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873B6C" w14:paraId="4A29750A" w14:textId="77777777" w:rsidTr="00F20C2F">
        <w:trPr>
          <w:cantSplit/>
        </w:trPr>
        <w:tc>
          <w:tcPr>
            <w:tcW w:w="10423" w:type="dxa"/>
            <w:gridSpan w:val="2"/>
            <w:shd w:val="clear" w:color="auto" w:fill="auto"/>
          </w:tcPr>
          <w:p w14:paraId="3BCD32FA" w14:textId="5E00FFD9" w:rsidR="004F0988" w:rsidRPr="00873B6C" w:rsidRDefault="00D40151" w:rsidP="00133525">
            <w:pPr>
              <w:pStyle w:val="ZA"/>
              <w:framePr w:w="0" w:hRule="auto" w:wrap="auto" w:vAnchor="margin" w:hAnchor="text" w:yAlign="inline"/>
            </w:pPr>
            <w:bookmarkStart w:id="0" w:name="page1"/>
            <w:r w:rsidRPr="00873B6C">
              <w:rPr>
                <w:sz w:val="64"/>
              </w:rPr>
              <w:t xml:space="preserve">3GPP TS 23.501 </w:t>
            </w:r>
            <w:r w:rsidRPr="00873B6C">
              <w:t>V1</w:t>
            </w:r>
            <w:r w:rsidR="0069561D" w:rsidRPr="00873B6C">
              <w:t>8</w:t>
            </w:r>
            <w:r w:rsidRPr="00873B6C">
              <w:t>.</w:t>
            </w:r>
            <w:r w:rsidR="008D6138">
              <w:t>10</w:t>
            </w:r>
            <w:r w:rsidRPr="00873B6C">
              <w:t>.</w:t>
            </w:r>
            <w:r w:rsidR="0004047F" w:rsidRPr="00873B6C">
              <w:t>0</w:t>
            </w:r>
            <w:r w:rsidRPr="00873B6C">
              <w:t xml:space="preserve"> </w:t>
            </w:r>
            <w:r w:rsidRPr="00873B6C">
              <w:rPr>
                <w:sz w:val="32"/>
              </w:rPr>
              <w:t>(202</w:t>
            </w:r>
            <w:r w:rsidR="008056BA" w:rsidRPr="00873B6C">
              <w:rPr>
                <w:sz w:val="32"/>
              </w:rPr>
              <w:t>5</w:t>
            </w:r>
            <w:r w:rsidRPr="00873B6C">
              <w:rPr>
                <w:sz w:val="32"/>
              </w:rPr>
              <w:t>-</w:t>
            </w:r>
            <w:r w:rsidR="008056BA" w:rsidRPr="00873B6C">
              <w:rPr>
                <w:sz w:val="32"/>
              </w:rPr>
              <w:t>0</w:t>
            </w:r>
            <w:r w:rsidR="008D6138">
              <w:rPr>
                <w:sz w:val="32"/>
              </w:rPr>
              <w:t>6</w:t>
            </w:r>
            <w:r w:rsidRPr="00873B6C">
              <w:rPr>
                <w:sz w:val="32"/>
              </w:rPr>
              <w:t>)</w:t>
            </w:r>
          </w:p>
        </w:tc>
      </w:tr>
      <w:tr w:rsidR="004F0988" w:rsidRPr="00873B6C" w14:paraId="326A9AC4" w14:textId="77777777" w:rsidTr="00F20C2F">
        <w:trPr>
          <w:cantSplit/>
          <w:trHeight w:hRule="exact" w:val="1134"/>
        </w:trPr>
        <w:tc>
          <w:tcPr>
            <w:tcW w:w="10423" w:type="dxa"/>
            <w:gridSpan w:val="2"/>
            <w:shd w:val="clear" w:color="auto" w:fill="auto"/>
          </w:tcPr>
          <w:p w14:paraId="337BE0C4" w14:textId="77777777" w:rsidR="00BA4B8D" w:rsidRPr="00873B6C" w:rsidRDefault="00D40151" w:rsidP="00D40151">
            <w:pPr>
              <w:pStyle w:val="TAR"/>
            </w:pPr>
            <w:r w:rsidRPr="00873B6C">
              <w:t>Technical Specification</w:t>
            </w:r>
          </w:p>
        </w:tc>
      </w:tr>
      <w:tr w:rsidR="004F0988" w:rsidRPr="00873B6C" w14:paraId="786F97E9" w14:textId="77777777" w:rsidTr="00F20C2F">
        <w:trPr>
          <w:cantSplit/>
          <w:trHeight w:hRule="exact" w:val="3685"/>
        </w:trPr>
        <w:tc>
          <w:tcPr>
            <w:tcW w:w="10423" w:type="dxa"/>
            <w:gridSpan w:val="2"/>
            <w:shd w:val="clear" w:color="auto" w:fill="auto"/>
          </w:tcPr>
          <w:p w14:paraId="3EC029B2" w14:textId="77777777" w:rsidR="00D40151" w:rsidRPr="00873B6C" w:rsidRDefault="00D40151" w:rsidP="00D40151">
            <w:pPr>
              <w:pStyle w:val="ZT"/>
              <w:framePr w:wrap="auto" w:hAnchor="text" w:yAlign="inline"/>
            </w:pPr>
            <w:r w:rsidRPr="00873B6C">
              <w:t>3rd Generation Partnership Project;</w:t>
            </w:r>
          </w:p>
          <w:p w14:paraId="6D0C58FE" w14:textId="77777777" w:rsidR="00D40151" w:rsidRPr="00873B6C" w:rsidRDefault="00D40151" w:rsidP="00D40151">
            <w:pPr>
              <w:pStyle w:val="ZT"/>
              <w:framePr w:wrap="auto" w:hAnchor="text" w:yAlign="inline"/>
            </w:pPr>
            <w:r w:rsidRPr="00873B6C">
              <w:t>Technical Specification Group Services and System Aspects;</w:t>
            </w:r>
          </w:p>
          <w:p w14:paraId="0DBF057B" w14:textId="77777777" w:rsidR="00D40151" w:rsidRPr="00873B6C" w:rsidRDefault="00D40151" w:rsidP="00D40151">
            <w:pPr>
              <w:pStyle w:val="ZT"/>
              <w:framePr w:wrap="auto" w:hAnchor="text" w:yAlign="inline"/>
            </w:pPr>
            <w:r w:rsidRPr="00873B6C">
              <w:t>System architecture for the 5G System (5GS);</w:t>
            </w:r>
          </w:p>
          <w:p w14:paraId="7442073D" w14:textId="77777777" w:rsidR="00D40151" w:rsidRPr="00873B6C" w:rsidRDefault="00D40151" w:rsidP="00D40151">
            <w:pPr>
              <w:pStyle w:val="ZT"/>
              <w:framePr w:wrap="auto" w:hAnchor="text" w:yAlign="inline"/>
            </w:pPr>
            <w:r w:rsidRPr="00873B6C">
              <w:t>Stage 2</w:t>
            </w:r>
          </w:p>
          <w:p w14:paraId="241C9AE9" w14:textId="71942058" w:rsidR="004F0988" w:rsidRPr="00873B6C" w:rsidRDefault="00D40151" w:rsidP="00D40151">
            <w:pPr>
              <w:pStyle w:val="ZT"/>
              <w:framePr w:wrap="auto" w:hAnchor="text" w:yAlign="inline"/>
              <w:rPr>
                <w:i/>
                <w:sz w:val="28"/>
              </w:rPr>
            </w:pPr>
            <w:r w:rsidRPr="00873B6C">
              <w:t>(</w:t>
            </w:r>
            <w:r w:rsidRPr="00873B6C">
              <w:rPr>
                <w:rStyle w:val="ZGSM"/>
              </w:rPr>
              <w:t>Release 1</w:t>
            </w:r>
            <w:r w:rsidR="0069561D" w:rsidRPr="00873B6C">
              <w:rPr>
                <w:rStyle w:val="ZGSM"/>
              </w:rPr>
              <w:t>8</w:t>
            </w:r>
            <w:r w:rsidRPr="00873B6C">
              <w:t>)</w:t>
            </w:r>
          </w:p>
        </w:tc>
      </w:tr>
      <w:tr w:rsidR="00D40151" w:rsidRPr="00873B6C" w14:paraId="318F9CFE" w14:textId="77777777" w:rsidTr="00F20C2F">
        <w:trPr>
          <w:cantSplit/>
        </w:trPr>
        <w:tc>
          <w:tcPr>
            <w:tcW w:w="10423" w:type="dxa"/>
            <w:gridSpan w:val="2"/>
            <w:shd w:val="clear" w:color="auto" w:fill="auto"/>
          </w:tcPr>
          <w:p w14:paraId="6C23B97B" w14:textId="77777777" w:rsidR="00D40151" w:rsidRPr="00873B6C" w:rsidRDefault="00D40151" w:rsidP="00D40151">
            <w:pPr>
              <w:pStyle w:val="FP"/>
            </w:pPr>
          </w:p>
        </w:tc>
      </w:tr>
      <w:tr w:rsidR="00C074DD" w:rsidRPr="00873B6C" w14:paraId="7CF75E6B" w14:textId="77777777" w:rsidTr="00F20C2F">
        <w:trPr>
          <w:cantSplit/>
          <w:trHeight w:hRule="exact" w:val="1531"/>
        </w:trPr>
        <w:tc>
          <w:tcPr>
            <w:tcW w:w="4883" w:type="dxa"/>
            <w:shd w:val="clear" w:color="auto" w:fill="auto"/>
          </w:tcPr>
          <w:p w14:paraId="6D86991B" w14:textId="5223F7F3" w:rsidR="00C074DD" w:rsidRPr="00873B6C" w:rsidRDefault="0069561D" w:rsidP="00C074DD">
            <w:pPr>
              <w:rPr>
                <w:i/>
              </w:rPr>
            </w:pPr>
            <w:r w:rsidRPr="00873B6C">
              <w:object w:dxaOrig="2026" w:dyaOrig="1251" w14:anchorId="0B86E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11772359" r:id="rId10"/>
              </w:object>
            </w:r>
          </w:p>
        </w:tc>
        <w:bookmarkStart w:id="1" w:name="_MON_1637044125"/>
        <w:bookmarkEnd w:id="1"/>
        <w:tc>
          <w:tcPr>
            <w:tcW w:w="5540" w:type="dxa"/>
            <w:shd w:val="clear" w:color="auto" w:fill="auto"/>
          </w:tcPr>
          <w:p w14:paraId="5FACA308" w14:textId="15C11281" w:rsidR="00C074DD" w:rsidRPr="00873B6C" w:rsidRDefault="00562E84" w:rsidP="00C074DD">
            <w:pPr>
              <w:jc w:val="right"/>
            </w:pPr>
            <w:r w:rsidRPr="00873B6C">
              <w:object w:dxaOrig="2595" w:dyaOrig="1536" w14:anchorId="40E469F1">
                <v:shape id="_x0000_i1026" type="#_x0000_t75" style="width:127.7pt;height:75.15pt" o:ole="">
                  <v:imagedata r:id="rId11" o:title=""/>
                </v:shape>
                <o:OLEObject Type="Embed" ProgID="Word.Picture.8" ShapeID="_x0000_i1026" DrawAspect="Content" ObjectID="_1811772360" r:id="rId12"/>
              </w:object>
            </w:r>
          </w:p>
        </w:tc>
      </w:tr>
      <w:tr w:rsidR="00C074DD" w:rsidRPr="00873B6C" w14:paraId="21690211" w14:textId="77777777" w:rsidTr="00F20C2F">
        <w:trPr>
          <w:cantSplit/>
          <w:trHeight w:hRule="exact" w:val="5783"/>
        </w:trPr>
        <w:tc>
          <w:tcPr>
            <w:tcW w:w="10423" w:type="dxa"/>
            <w:gridSpan w:val="2"/>
            <w:shd w:val="clear" w:color="auto" w:fill="auto"/>
          </w:tcPr>
          <w:p w14:paraId="38EE1A05" w14:textId="77777777" w:rsidR="00C074DD" w:rsidRPr="00873B6C" w:rsidRDefault="00C074DD" w:rsidP="00D40151">
            <w:pPr>
              <w:pStyle w:val="FP"/>
              <w:rPr>
                <w:b/>
              </w:rPr>
            </w:pPr>
          </w:p>
        </w:tc>
      </w:tr>
      <w:tr w:rsidR="00C074DD" w:rsidRPr="00873B6C" w14:paraId="635BBB9F" w14:textId="77777777" w:rsidTr="00F20C2F">
        <w:trPr>
          <w:cantSplit/>
          <w:trHeight w:hRule="exact" w:val="964"/>
        </w:trPr>
        <w:tc>
          <w:tcPr>
            <w:tcW w:w="10423" w:type="dxa"/>
            <w:gridSpan w:val="2"/>
            <w:shd w:val="clear" w:color="auto" w:fill="auto"/>
          </w:tcPr>
          <w:p w14:paraId="54810E42" w14:textId="77777777" w:rsidR="00C074DD" w:rsidRPr="00873B6C" w:rsidRDefault="00C074DD" w:rsidP="00C074DD">
            <w:pPr>
              <w:rPr>
                <w:sz w:val="16"/>
              </w:rPr>
            </w:pPr>
            <w:bookmarkStart w:id="2" w:name="warningNotice"/>
            <w:r w:rsidRPr="00873B6C">
              <w:rPr>
                <w:sz w:val="16"/>
              </w:rPr>
              <w:t>The present document has been developed within the 3rd Generation Partnership Project (3GPP</w:t>
            </w:r>
            <w:r w:rsidRPr="00873B6C">
              <w:rPr>
                <w:sz w:val="16"/>
                <w:vertAlign w:val="superscript"/>
              </w:rPr>
              <w:t xml:space="preserve"> TM</w:t>
            </w:r>
            <w:r w:rsidRPr="00873B6C">
              <w:rPr>
                <w:sz w:val="16"/>
              </w:rPr>
              <w:t>) and may be further elaborated for the purposes of 3GPP.</w:t>
            </w:r>
            <w:r w:rsidRPr="00873B6C">
              <w:rPr>
                <w:sz w:val="16"/>
              </w:rPr>
              <w:br/>
              <w:t>The present document has not been subject to any approval process by the 3GPP</w:t>
            </w:r>
            <w:r w:rsidRPr="00873B6C">
              <w:rPr>
                <w:sz w:val="16"/>
                <w:vertAlign w:val="superscript"/>
              </w:rPr>
              <w:t xml:space="preserve"> </w:t>
            </w:r>
            <w:r w:rsidRPr="00873B6C">
              <w:rPr>
                <w:sz w:val="16"/>
              </w:rPr>
              <w:t>Organizational Partners and shall not be implemented.</w:t>
            </w:r>
            <w:r w:rsidRPr="00873B6C">
              <w:rPr>
                <w:sz w:val="16"/>
              </w:rPr>
              <w:br/>
              <w:t>This Specification is provided for future development work within 3GPP</w:t>
            </w:r>
            <w:r w:rsidRPr="00873B6C">
              <w:rPr>
                <w:sz w:val="16"/>
                <w:vertAlign w:val="superscript"/>
              </w:rPr>
              <w:t xml:space="preserve"> </w:t>
            </w:r>
            <w:r w:rsidRPr="00873B6C">
              <w:rPr>
                <w:sz w:val="16"/>
              </w:rPr>
              <w:t>only. The Organizational Partners accept no liability for any use of this Specification.</w:t>
            </w:r>
            <w:r w:rsidRPr="00873B6C">
              <w:rPr>
                <w:sz w:val="16"/>
              </w:rPr>
              <w:br/>
              <w:t>Specifications and Reports for implementation of the 3GPP</w:t>
            </w:r>
            <w:r w:rsidRPr="00873B6C">
              <w:rPr>
                <w:sz w:val="16"/>
                <w:vertAlign w:val="superscript"/>
              </w:rPr>
              <w:t xml:space="preserve"> TM</w:t>
            </w:r>
            <w:r w:rsidRPr="00873B6C">
              <w:rPr>
                <w:sz w:val="16"/>
              </w:rPr>
              <w:t xml:space="preserve"> system should be obtained via the 3GPP Organizational Partners' Publications Offices.</w:t>
            </w:r>
            <w:bookmarkEnd w:id="2"/>
          </w:p>
          <w:p w14:paraId="760CC9C6" w14:textId="77777777" w:rsidR="00C074DD" w:rsidRPr="00873B6C" w:rsidRDefault="00C074DD" w:rsidP="00C074DD">
            <w:pPr>
              <w:pStyle w:val="ZV"/>
              <w:framePr w:w="0" w:wrap="auto" w:vAnchor="margin" w:hAnchor="text" w:yAlign="inline"/>
            </w:pPr>
          </w:p>
          <w:p w14:paraId="63A59BED" w14:textId="77777777" w:rsidR="00C074DD" w:rsidRPr="00873B6C" w:rsidRDefault="00C074DD" w:rsidP="00C074DD">
            <w:pPr>
              <w:rPr>
                <w:sz w:val="16"/>
              </w:rPr>
            </w:pPr>
          </w:p>
        </w:tc>
      </w:tr>
      <w:bookmarkEnd w:id="0"/>
    </w:tbl>
    <w:p w14:paraId="5139AB83" w14:textId="77777777" w:rsidR="00080512" w:rsidRPr="00873B6C" w:rsidRDefault="00080512">
      <w:pPr>
        <w:sectPr w:rsidR="00080512" w:rsidRPr="00873B6C" w:rsidSect="00C5166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73B6C" w14:paraId="36508408" w14:textId="77777777" w:rsidTr="00D40151">
        <w:trPr>
          <w:cantSplit/>
          <w:trHeight w:hRule="exact" w:val="5669"/>
        </w:trPr>
        <w:tc>
          <w:tcPr>
            <w:tcW w:w="10423" w:type="dxa"/>
            <w:shd w:val="clear" w:color="auto" w:fill="auto"/>
          </w:tcPr>
          <w:p w14:paraId="2C7597E2" w14:textId="77777777" w:rsidR="00E16509" w:rsidRPr="00873B6C" w:rsidRDefault="00E16509" w:rsidP="00D40151">
            <w:pPr>
              <w:pStyle w:val="FP"/>
            </w:pPr>
            <w:bookmarkStart w:id="3" w:name="page2"/>
          </w:p>
        </w:tc>
      </w:tr>
      <w:tr w:rsidR="00E16509" w:rsidRPr="00873B6C" w14:paraId="4C2EED0C" w14:textId="77777777" w:rsidTr="00D40151">
        <w:trPr>
          <w:cantSplit/>
          <w:trHeight w:hRule="exact" w:val="5386"/>
        </w:trPr>
        <w:tc>
          <w:tcPr>
            <w:tcW w:w="10423" w:type="dxa"/>
            <w:shd w:val="clear" w:color="auto" w:fill="auto"/>
          </w:tcPr>
          <w:p w14:paraId="49E5F2F5" w14:textId="77777777" w:rsidR="00E16509" w:rsidRPr="00873B6C" w:rsidRDefault="00E16509" w:rsidP="00133525">
            <w:pPr>
              <w:pStyle w:val="FP"/>
              <w:spacing w:after="240"/>
              <w:ind w:left="2835" w:right="2835"/>
              <w:jc w:val="center"/>
              <w:rPr>
                <w:rFonts w:ascii="Arial" w:hAnsi="Arial"/>
                <w:b/>
                <w:i/>
                <w:noProof/>
              </w:rPr>
            </w:pPr>
            <w:bookmarkStart w:id="4" w:name="coords3gpp"/>
            <w:r w:rsidRPr="00873B6C">
              <w:rPr>
                <w:rFonts w:ascii="Arial" w:hAnsi="Arial"/>
                <w:b/>
                <w:i/>
                <w:noProof/>
              </w:rPr>
              <w:t>3GPP</w:t>
            </w:r>
          </w:p>
          <w:p w14:paraId="15A688DC" w14:textId="77777777" w:rsidR="00E16509" w:rsidRPr="00873B6C" w:rsidRDefault="00E16509" w:rsidP="00133525">
            <w:pPr>
              <w:pStyle w:val="FP"/>
              <w:pBdr>
                <w:bottom w:val="single" w:sz="6" w:space="1" w:color="auto"/>
              </w:pBdr>
              <w:ind w:left="2835" w:right="2835"/>
              <w:jc w:val="center"/>
              <w:rPr>
                <w:noProof/>
              </w:rPr>
            </w:pPr>
            <w:r w:rsidRPr="00873B6C">
              <w:rPr>
                <w:noProof/>
              </w:rPr>
              <w:t>Postal address</w:t>
            </w:r>
          </w:p>
          <w:p w14:paraId="30DD09F5" w14:textId="77777777" w:rsidR="00E16509" w:rsidRPr="00873B6C" w:rsidRDefault="00E16509" w:rsidP="00133525">
            <w:pPr>
              <w:pStyle w:val="FP"/>
              <w:ind w:left="2835" w:right="2835"/>
              <w:jc w:val="center"/>
              <w:rPr>
                <w:rFonts w:ascii="Arial" w:hAnsi="Arial"/>
                <w:noProof/>
                <w:sz w:val="18"/>
              </w:rPr>
            </w:pPr>
          </w:p>
          <w:p w14:paraId="2AD3D206" w14:textId="77777777" w:rsidR="00E16509" w:rsidRPr="00873B6C" w:rsidRDefault="00E16509" w:rsidP="00133525">
            <w:pPr>
              <w:pStyle w:val="FP"/>
              <w:pBdr>
                <w:bottom w:val="single" w:sz="6" w:space="1" w:color="auto"/>
              </w:pBdr>
              <w:spacing w:before="240"/>
              <w:ind w:left="2835" w:right="2835"/>
              <w:jc w:val="center"/>
              <w:rPr>
                <w:noProof/>
              </w:rPr>
            </w:pPr>
            <w:r w:rsidRPr="00873B6C">
              <w:rPr>
                <w:noProof/>
              </w:rPr>
              <w:t>3GPP support office address</w:t>
            </w:r>
          </w:p>
          <w:p w14:paraId="1B2CF7BD" w14:textId="77777777" w:rsidR="00E16509" w:rsidRPr="00873B6C" w:rsidRDefault="00E16509" w:rsidP="00133525">
            <w:pPr>
              <w:pStyle w:val="FP"/>
              <w:ind w:left="2835" w:right="2835"/>
              <w:jc w:val="center"/>
              <w:rPr>
                <w:rFonts w:ascii="Arial" w:hAnsi="Arial"/>
                <w:noProof/>
                <w:sz w:val="18"/>
                <w:lang w:val="fr-FR"/>
              </w:rPr>
            </w:pPr>
            <w:r w:rsidRPr="00873B6C">
              <w:rPr>
                <w:rFonts w:ascii="Arial" w:hAnsi="Arial"/>
                <w:noProof/>
                <w:sz w:val="18"/>
                <w:lang w:val="fr-FR"/>
              </w:rPr>
              <w:t>650 Route des Lucioles - Sophia Antipolis</w:t>
            </w:r>
          </w:p>
          <w:p w14:paraId="2728D30C" w14:textId="77777777" w:rsidR="00E16509" w:rsidRPr="00873B6C" w:rsidRDefault="00E16509" w:rsidP="00133525">
            <w:pPr>
              <w:pStyle w:val="FP"/>
              <w:ind w:left="2835" w:right="2835"/>
              <w:jc w:val="center"/>
              <w:rPr>
                <w:rFonts w:ascii="Arial" w:hAnsi="Arial"/>
                <w:noProof/>
                <w:sz w:val="18"/>
                <w:lang w:val="fr-FR"/>
              </w:rPr>
            </w:pPr>
            <w:r w:rsidRPr="00873B6C">
              <w:rPr>
                <w:rFonts w:ascii="Arial" w:hAnsi="Arial"/>
                <w:noProof/>
                <w:sz w:val="18"/>
                <w:lang w:val="fr-FR"/>
              </w:rPr>
              <w:t>Valbonne - FRANCE</w:t>
            </w:r>
          </w:p>
          <w:p w14:paraId="64352E7A" w14:textId="77777777" w:rsidR="00E16509" w:rsidRPr="00873B6C" w:rsidRDefault="00E16509" w:rsidP="00133525">
            <w:pPr>
              <w:pStyle w:val="FP"/>
              <w:spacing w:after="20"/>
              <w:ind w:left="2835" w:right="2835"/>
              <w:jc w:val="center"/>
              <w:rPr>
                <w:rFonts w:ascii="Arial" w:hAnsi="Arial"/>
                <w:noProof/>
                <w:sz w:val="18"/>
              </w:rPr>
            </w:pPr>
            <w:r w:rsidRPr="00873B6C">
              <w:rPr>
                <w:rFonts w:ascii="Arial" w:hAnsi="Arial"/>
                <w:noProof/>
                <w:sz w:val="18"/>
              </w:rPr>
              <w:t>Tel.: +33 4 92 94 42 00 Fax: +33 4 93 65 47 16</w:t>
            </w:r>
          </w:p>
          <w:p w14:paraId="6744E439" w14:textId="77777777" w:rsidR="00E16509" w:rsidRPr="00873B6C" w:rsidRDefault="00E16509" w:rsidP="00133525">
            <w:pPr>
              <w:pStyle w:val="FP"/>
              <w:pBdr>
                <w:bottom w:val="single" w:sz="6" w:space="1" w:color="auto"/>
              </w:pBdr>
              <w:spacing w:before="240"/>
              <w:ind w:left="2835" w:right="2835"/>
              <w:jc w:val="center"/>
              <w:rPr>
                <w:noProof/>
              </w:rPr>
            </w:pPr>
            <w:r w:rsidRPr="00873B6C">
              <w:rPr>
                <w:noProof/>
              </w:rPr>
              <w:t>Internet</w:t>
            </w:r>
          </w:p>
          <w:p w14:paraId="58F439BE" w14:textId="77777777" w:rsidR="00E16509" w:rsidRPr="00873B6C" w:rsidRDefault="00E16509" w:rsidP="00133525">
            <w:pPr>
              <w:pStyle w:val="FP"/>
              <w:ind w:left="2835" w:right="2835"/>
              <w:jc w:val="center"/>
              <w:rPr>
                <w:rFonts w:ascii="Arial" w:hAnsi="Arial"/>
                <w:noProof/>
                <w:sz w:val="18"/>
              </w:rPr>
            </w:pPr>
            <w:r w:rsidRPr="00873B6C">
              <w:rPr>
                <w:rFonts w:ascii="Arial" w:hAnsi="Arial"/>
                <w:noProof/>
                <w:sz w:val="18"/>
              </w:rPr>
              <w:t>http://www.3gpp.org</w:t>
            </w:r>
            <w:bookmarkEnd w:id="4"/>
          </w:p>
          <w:p w14:paraId="2C582277" w14:textId="77777777" w:rsidR="00E16509" w:rsidRPr="00873B6C" w:rsidRDefault="00E16509" w:rsidP="00133525">
            <w:pPr>
              <w:rPr>
                <w:noProof/>
              </w:rPr>
            </w:pPr>
          </w:p>
        </w:tc>
      </w:tr>
      <w:tr w:rsidR="00E16509" w:rsidRPr="00873B6C" w14:paraId="5E340C4B" w14:textId="77777777" w:rsidTr="00D40151">
        <w:trPr>
          <w:cantSplit/>
        </w:trPr>
        <w:tc>
          <w:tcPr>
            <w:tcW w:w="10423" w:type="dxa"/>
            <w:shd w:val="clear" w:color="auto" w:fill="auto"/>
            <w:vAlign w:val="bottom"/>
          </w:tcPr>
          <w:p w14:paraId="3F48B994" w14:textId="77777777" w:rsidR="00E16509" w:rsidRPr="00873B6C" w:rsidRDefault="00E16509" w:rsidP="00133525">
            <w:pPr>
              <w:pStyle w:val="FP"/>
              <w:pBdr>
                <w:bottom w:val="single" w:sz="6" w:space="1" w:color="auto"/>
              </w:pBdr>
              <w:spacing w:after="240"/>
              <w:jc w:val="center"/>
              <w:rPr>
                <w:rFonts w:ascii="Arial" w:hAnsi="Arial"/>
                <w:b/>
                <w:i/>
                <w:noProof/>
              </w:rPr>
            </w:pPr>
            <w:bookmarkStart w:id="5" w:name="copyrightNotification"/>
            <w:r w:rsidRPr="00873B6C">
              <w:rPr>
                <w:rFonts w:ascii="Arial" w:hAnsi="Arial"/>
                <w:b/>
                <w:i/>
                <w:noProof/>
              </w:rPr>
              <w:t>Copyright Notification</w:t>
            </w:r>
          </w:p>
          <w:p w14:paraId="640442E6" w14:textId="77777777" w:rsidR="00E16509" w:rsidRPr="00873B6C" w:rsidRDefault="00E16509" w:rsidP="00133525">
            <w:pPr>
              <w:pStyle w:val="FP"/>
              <w:jc w:val="center"/>
              <w:rPr>
                <w:noProof/>
              </w:rPr>
            </w:pPr>
            <w:r w:rsidRPr="00873B6C">
              <w:rPr>
                <w:noProof/>
              </w:rPr>
              <w:t>No part may be reproduced except as authorized by written permission.</w:t>
            </w:r>
            <w:r w:rsidRPr="00873B6C">
              <w:rPr>
                <w:noProof/>
              </w:rPr>
              <w:br/>
              <w:t>The copyright and the foregoing restriction extend to reproduction in all media.</w:t>
            </w:r>
          </w:p>
          <w:p w14:paraId="12874D1F" w14:textId="77777777" w:rsidR="00E16509" w:rsidRPr="00873B6C" w:rsidRDefault="00E16509" w:rsidP="00133525">
            <w:pPr>
              <w:pStyle w:val="FP"/>
              <w:jc w:val="center"/>
              <w:rPr>
                <w:noProof/>
              </w:rPr>
            </w:pPr>
          </w:p>
          <w:p w14:paraId="6BA65063" w14:textId="0732F1ED" w:rsidR="00E16509" w:rsidRPr="00873B6C" w:rsidRDefault="00E16509" w:rsidP="00133525">
            <w:pPr>
              <w:pStyle w:val="FP"/>
              <w:jc w:val="center"/>
              <w:rPr>
                <w:noProof/>
                <w:sz w:val="18"/>
              </w:rPr>
            </w:pPr>
            <w:r w:rsidRPr="00873B6C">
              <w:rPr>
                <w:noProof/>
                <w:sz w:val="18"/>
              </w:rPr>
              <w:t xml:space="preserve">© </w:t>
            </w:r>
            <w:r w:rsidR="00D40151" w:rsidRPr="00873B6C">
              <w:rPr>
                <w:noProof/>
                <w:sz w:val="18"/>
              </w:rPr>
              <w:t>202</w:t>
            </w:r>
            <w:r w:rsidR="008056BA" w:rsidRPr="00873B6C">
              <w:rPr>
                <w:noProof/>
                <w:sz w:val="18"/>
              </w:rPr>
              <w:t>5</w:t>
            </w:r>
            <w:r w:rsidRPr="00873B6C">
              <w:rPr>
                <w:noProof/>
                <w:sz w:val="18"/>
              </w:rPr>
              <w:t>, 3GPP Organizational Partners (ARIB, ATIS, CCSA, ETSI, TSDSI, TTA, TTC).</w:t>
            </w:r>
            <w:bookmarkStart w:id="6" w:name="copyrightaddon"/>
            <w:bookmarkEnd w:id="6"/>
          </w:p>
          <w:p w14:paraId="6666D3A8" w14:textId="77777777" w:rsidR="00E16509" w:rsidRPr="00873B6C" w:rsidRDefault="00E16509" w:rsidP="00133525">
            <w:pPr>
              <w:pStyle w:val="FP"/>
              <w:jc w:val="center"/>
              <w:rPr>
                <w:noProof/>
                <w:sz w:val="18"/>
              </w:rPr>
            </w:pPr>
            <w:r w:rsidRPr="00873B6C">
              <w:rPr>
                <w:noProof/>
                <w:sz w:val="18"/>
              </w:rPr>
              <w:t>All rights reserved.</w:t>
            </w:r>
          </w:p>
          <w:p w14:paraId="11D2D13D" w14:textId="77777777" w:rsidR="00E16509" w:rsidRPr="00873B6C" w:rsidRDefault="00E16509" w:rsidP="00E16509">
            <w:pPr>
              <w:pStyle w:val="FP"/>
              <w:rPr>
                <w:noProof/>
                <w:sz w:val="18"/>
              </w:rPr>
            </w:pPr>
          </w:p>
          <w:p w14:paraId="5FB1D8A4" w14:textId="77777777" w:rsidR="00E16509" w:rsidRPr="00873B6C" w:rsidRDefault="00E16509" w:rsidP="00E16509">
            <w:pPr>
              <w:pStyle w:val="FP"/>
              <w:rPr>
                <w:noProof/>
                <w:sz w:val="18"/>
              </w:rPr>
            </w:pPr>
            <w:r w:rsidRPr="00873B6C">
              <w:rPr>
                <w:noProof/>
                <w:sz w:val="18"/>
              </w:rPr>
              <w:t>UMTS™ is a Trade Mark of ETSI registered for the benefit of its members</w:t>
            </w:r>
          </w:p>
          <w:p w14:paraId="44D0F05B" w14:textId="77777777" w:rsidR="00E16509" w:rsidRPr="00873B6C" w:rsidRDefault="00E16509" w:rsidP="00E16509">
            <w:pPr>
              <w:pStyle w:val="FP"/>
              <w:rPr>
                <w:noProof/>
                <w:sz w:val="18"/>
              </w:rPr>
            </w:pPr>
            <w:r w:rsidRPr="00873B6C">
              <w:rPr>
                <w:noProof/>
                <w:sz w:val="18"/>
              </w:rPr>
              <w:t>3GPP™ is a Trade Mark of ETSI registered for the benefit of its Members and of the 3GPP Organizational Partners</w:t>
            </w:r>
            <w:r w:rsidRPr="00873B6C">
              <w:rPr>
                <w:noProof/>
                <w:sz w:val="18"/>
              </w:rPr>
              <w:br/>
              <w:t>LTE™ is a Trade Mark of ETSI registered for the benefit of its Members and of the 3GPP Organizational Partners</w:t>
            </w:r>
          </w:p>
          <w:p w14:paraId="1EA1B8AA" w14:textId="77777777" w:rsidR="00E16509" w:rsidRPr="00873B6C" w:rsidRDefault="00E16509" w:rsidP="00E16509">
            <w:pPr>
              <w:pStyle w:val="FP"/>
              <w:rPr>
                <w:noProof/>
                <w:sz w:val="18"/>
              </w:rPr>
            </w:pPr>
            <w:r w:rsidRPr="00873B6C">
              <w:rPr>
                <w:noProof/>
                <w:sz w:val="18"/>
              </w:rPr>
              <w:t>GSM® and the GSM logo are registered and owned by the GSM Association</w:t>
            </w:r>
            <w:bookmarkEnd w:id="5"/>
          </w:p>
          <w:p w14:paraId="3D3610EC" w14:textId="77777777" w:rsidR="00E16509" w:rsidRPr="00873B6C" w:rsidRDefault="00E16509" w:rsidP="00133525"/>
        </w:tc>
      </w:tr>
      <w:bookmarkEnd w:id="3"/>
    </w:tbl>
    <w:p w14:paraId="0DC87BEE" w14:textId="77777777" w:rsidR="00080512" w:rsidRPr="00873B6C" w:rsidRDefault="00080512">
      <w:pPr>
        <w:pStyle w:val="TT"/>
      </w:pPr>
      <w:r w:rsidRPr="00873B6C">
        <w:br w:type="page"/>
      </w:r>
      <w:bookmarkStart w:id="7" w:name="tableOfContents"/>
      <w:bookmarkEnd w:id="7"/>
      <w:r w:rsidRPr="00873B6C">
        <w:lastRenderedPageBreak/>
        <w:t>Contents</w:t>
      </w:r>
    </w:p>
    <w:p w14:paraId="7ADD7CE7" w14:textId="6D84BB70" w:rsidR="006C1B74" w:rsidRDefault="00FA1F66">
      <w:pPr>
        <w:pStyle w:val="TOC1"/>
        <w:rPr>
          <w:rFonts w:asciiTheme="minorHAnsi" w:eastAsiaTheme="minorEastAsia" w:hAnsiTheme="minorHAnsi" w:cstheme="minorBidi"/>
          <w:kern w:val="2"/>
          <w:sz w:val="24"/>
          <w:szCs w:val="24"/>
          <w14:ligatures w14:val="standardContextual"/>
        </w:rPr>
      </w:pPr>
      <w:r w:rsidRPr="00873B6C">
        <w:rPr>
          <w:noProof w:val="0"/>
        </w:rPr>
        <w:fldChar w:fldCharType="begin" w:fldLock="1"/>
      </w:r>
      <w:r w:rsidRPr="00873B6C">
        <w:instrText xml:space="preserve"> TOC \o "1-9" </w:instrText>
      </w:r>
      <w:r w:rsidRPr="00873B6C">
        <w:rPr>
          <w:noProof w:val="0"/>
        </w:rPr>
        <w:fldChar w:fldCharType="separate"/>
      </w:r>
      <w:r w:rsidR="006C1B74">
        <w:t>Foreword</w:t>
      </w:r>
      <w:r w:rsidR="006C1B74">
        <w:tab/>
      </w:r>
      <w:r w:rsidR="006C1B74">
        <w:fldChar w:fldCharType="begin" w:fldLock="1"/>
      </w:r>
      <w:r w:rsidR="006C1B74">
        <w:instrText xml:space="preserve"> PAGEREF _Toc201156894 \h </w:instrText>
      </w:r>
      <w:r w:rsidR="006C1B74">
        <w:fldChar w:fldCharType="separate"/>
      </w:r>
      <w:r w:rsidR="006C1B74">
        <w:t>22</w:t>
      </w:r>
      <w:r w:rsidR="006C1B74">
        <w:fldChar w:fldCharType="end"/>
      </w:r>
    </w:p>
    <w:p w14:paraId="1E0D9272" w14:textId="6095743A" w:rsidR="006C1B74" w:rsidRDefault="006C1B74">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_Toc201156895 \h </w:instrText>
      </w:r>
      <w:r>
        <w:fldChar w:fldCharType="separate"/>
      </w:r>
      <w:r>
        <w:t>23</w:t>
      </w:r>
      <w:r>
        <w:fldChar w:fldCharType="end"/>
      </w:r>
    </w:p>
    <w:p w14:paraId="09B7E1E1" w14:textId="59FC6921" w:rsidR="006C1B74" w:rsidRDefault="006C1B74">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_Toc201156896 \h </w:instrText>
      </w:r>
      <w:r>
        <w:fldChar w:fldCharType="separate"/>
      </w:r>
      <w:r>
        <w:t>23</w:t>
      </w:r>
      <w:r>
        <w:fldChar w:fldCharType="end"/>
      </w:r>
    </w:p>
    <w:p w14:paraId="6E612CA2" w14:textId="2B4C95D9" w:rsidR="006C1B74" w:rsidRDefault="006C1B74">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_Toc201156897 \h </w:instrText>
      </w:r>
      <w:r>
        <w:fldChar w:fldCharType="separate"/>
      </w:r>
      <w:r>
        <w:t>30</w:t>
      </w:r>
      <w:r>
        <w:fldChar w:fldCharType="end"/>
      </w:r>
    </w:p>
    <w:p w14:paraId="20FA3006" w14:textId="5711DE3A" w:rsidR="006C1B74" w:rsidRDefault="006C1B74">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_Toc201156898 \h </w:instrText>
      </w:r>
      <w:r>
        <w:fldChar w:fldCharType="separate"/>
      </w:r>
      <w:r>
        <w:t>30</w:t>
      </w:r>
      <w:r>
        <w:fldChar w:fldCharType="end"/>
      </w:r>
    </w:p>
    <w:p w14:paraId="391122AF" w14:textId="2168E057" w:rsidR="006C1B74" w:rsidRDefault="006C1B74">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_Toc201156899 \h </w:instrText>
      </w:r>
      <w:r>
        <w:fldChar w:fldCharType="separate"/>
      </w:r>
      <w:r>
        <w:t>37</w:t>
      </w:r>
      <w:r>
        <w:fldChar w:fldCharType="end"/>
      </w:r>
    </w:p>
    <w:p w14:paraId="616C5882" w14:textId="7C4F83E6" w:rsidR="006C1B74" w:rsidRDefault="006C1B74">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fldLock="1"/>
      </w:r>
      <w:r>
        <w:instrText xml:space="preserve"> PAGEREF _Toc201156900 \h </w:instrText>
      </w:r>
      <w:r>
        <w:fldChar w:fldCharType="separate"/>
      </w:r>
      <w:r>
        <w:t>41</w:t>
      </w:r>
      <w:r>
        <w:fldChar w:fldCharType="end"/>
      </w:r>
    </w:p>
    <w:p w14:paraId="148C5144" w14:textId="64AF9288" w:rsidR="006C1B74" w:rsidRDefault="006C1B74">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concepts</w:t>
      </w:r>
      <w:r>
        <w:tab/>
      </w:r>
      <w:r>
        <w:fldChar w:fldCharType="begin" w:fldLock="1"/>
      </w:r>
      <w:r>
        <w:instrText xml:space="preserve"> PAGEREF _Toc201156901 \h </w:instrText>
      </w:r>
      <w:r>
        <w:fldChar w:fldCharType="separate"/>
      </w:r>
      <w:r>
        <w:t>41</w:t>
      </w:r>
      <w:r>
        <w:fldChar w:fldCharType="end"/>
      </w:r>
    </w:p>
    <w:p w14:paraId="66164F9A" w14:textId="2B203D62" w:rsidR="006C1B74" w:rsidRDefault="006C1B74">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Architecture reference model</w:t>
      </w:r>
      <w:r>
        <w:tab/>
      </w:r>
      <w:r>
        <w:fldChar w:fldCharType="begin" w:fldLock="1"/>
      </w:r>
      <w:r>
        <w:instrText xml:space="preserve"> PAGEREF _Toc201156902 \h </w:instrText>
      </w:r>
      <w:r>
        <w:fldChar w:fldCharType="separate"/>
      </w:r>
      <w:r>
        <w:t>41</w:t>
      </w:r>
      <w:r>
        <w:fldChar w:fldCharType="end"/>
      </w:r>
    </w:p>
    <w:p w14:paraId="00F8C61A" w14:textId="133DAAB5" w:rsidR="006C1B74" w:rsidRDefault="006C1B74">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_Toc201156903 \h </w:instrText>
      </w:r>
      <w:r>
        <w:fldChar w:fldCharType="separate"/>
      </w:r>
      <w:r>
        <w:t>41</w:t>
      </w:r>
      <w:r>
        <w:fldChar w:fldCharType="end"/>
      </w:r>
    </w:p>
    <w:p w14:paraId="62D49049" w14:textId="1AE6E0B7" w:rsidR="006C1B74" w:rsidRDefault="006C1B74">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Network Functions and entities</w:t>
      </w:r>
      <w:r>
        <w:tab/>
      </w:r>
      <w:r>
        <w:fldChar w:fldCharType="begin" w:fldLock="1"/>
      </w:r>
      <w:r>
        <w:instrText xml:space="preserve"> PAGEREF _Toc201156904 \h </w:instrText>
      </w:r>
      <w:r>
        <w:fldChar w:fldCharType="separate"/>
      </w:r>
      <w:r>
        <w:t>42</w:t>
      </w:r>
      <w:r>
        <w:fldChar w:fldCharType="end"/>
      </w:r>
    </w:p>
    <w:p w14:paraId="0FB02D3F" w14:textId="27356FB2" w:rsidR="006C1B74" w:rsidRDefault="006C1B74">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Non-roaming reference architecture</w:t>
      </w:r>
      <w:r>
        <w:tab/>
      </w:r>
      <w:r>
        <w:fldChar w:fldCharType="begin" w:fldLock="1"/>
      </w:r>
      <w:r>
        <w:instrText xml:space="preserve"> PAGEREF _Toc201156905 \h </w:instrText>
      </w:r>
      <w:r>
        <w:fldChar w:fldCharType="separate"/>
      </w:r>
      <w:r>
        <w:t>43</w:t>
      </w:r>
      <w:r>
        <w:fldChar w:fldCharType="end"/>
      </w:r>
    </w:p>
    <w:p w14:paraId="74C477F7" w14:textId="009B5F5F" w:rsidR="006C1B74" w:rsidRDefault="006C1B74">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Roaming reference architectures</w:t>
      </w:r>
      <w:r>
        <w:tab/>
      </w:r>
      <w:r>
        <w:fldChar w:fldCharType="begin" w:fldLock="1"/>
      </w:r>
      <w:r>
        <w:instrText xml:space="preserve"> PAGEREF _Toc201156906 \h </w:instrText>
      </w:r>
      <w:r>
        <w:fldChar w:fldCharType="separate"/>
      </w:r>
      <w:r>
        <w:t>46</w:t>
      </w:r>
      <w:r>
        <w:fldChar w:fldCharType="end"/>
      </w:r>
    </w:p>
    <w:p w14:paraId="303B33C5" w14:textId="0D2FF106" w:rsidR="006C1B74" w:rsidRDefault="006C1B74">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Data Storage architectures</w:t>
      </w:r>
      <w:r>
        <w:tab/>
      </w:r>
      <w:r>
        <w:fldChar w:fldCharType="begin" w:fldLock="1"/>
      </w:r>
      <w:r>
        <w:instrText xml:space="preserve"> PAGEREF _Toc201156907 \h </w:instrText>
      </w:r>
      <w:r>
        <w:fldChar w:fldCharType="separate"/>
      </w:r>
      <w:r>
        <w:t>50</w:t>
      </w:r>
      <w:r>
        <w:fldChar w:fldCharType="end"/>
      </w:r>
    </w:p>
    <w:p w14:paraId="6A3DDBEA" w14:textId="76B786D3" w:rsidR="006C1B74" w:rsidRDefault="006C1B74">
      <w:pPr>
        <w:pStyle w:val="TOC3"/>
        <w:rPr>
          <w:rFonts w:asciiTheme="minorHAnsi" w:eastAsiaTheme="minorEastAsia" w:hAnsiTheme="minorHAnsi" w:cstheme="minorBidi"/>
          <w:kern w:val="2"/>
          <w:sz w:val="24"/>
          <w:szCs w:val="24"/>
          <w14:ligatures w14:val="standardContextual"/>
        </w:rPr>
      </w:pPr>
      <w:r>
        <w:t>4.2.5a</w:t>
      </w:r>
      <w:r>
        <w:rPr>
          <w:rFonts w:asciiTheme="minorHAnsi" w:eastAsiaTheme="minorEastAsia" w:hAnsiTheme="minorHAnsi" w:cstheme="minorBidi"/>
          <w:kern w:val="2"/>
          <w:sz w:val="24"/>
          <w:szCs w:val="24"/>
          <w14:ligatures w14:val="standardContextual"/>
        </w:rPr>
        <w:tab/>
      </w:r>
      <w:r>
        <w:t>Radio Capabilities Signalling optimisation</w:t>
      </w:r>
      <w:r>
        <w:tab/>
      </w:r>
      <w:r>
        <w:fldChar w:fldCharType="begin" w:fldLock="1"/>
      </w:r>
      <w:r>
        <w:instrText xml:space="preserve"> PAGEREF _Toc201156908 \h </w:instrText>
      </w:r>
      <w:r>
        <w:fldChar w:fldCharType="separate"/>
      </w:r>
      <w:r>
        <w:t>52</w:t>
      </w:r>
      <w:r>
        <w:fldChar w:fldCharType="end"/>
      </w:r>
    </w:p>
    <w:p w14:paraId="622A878F" w14:textId="161A83DE" w:rsidR="006C1B74" w:rsidRDefault="006C1B74">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Service-based interfaces</w:t>
      </w:r>
      <w:r>
        <w:tab/>
      </w:r>
      <w:r>
        <w:fldChar w:fldCharType="begin" w:fldLock="1"/>
      </w:r>
      <w:r>
        <w:instrText xml:space="preserve"> PAGEREF _Toc201156909 \h </w:instrText>
      </w:r>
      <w:r>
        <w:fldChar w:fldCharType="separate"/>
      </w:r>
      <w:r>
        <w:t>52</w:t>
      </w:r>
      <w:r>
        <w:fldChar w:fldCharType="end"/>
      </w:r>
    </w:p>
    <w:p w14:paraId="149F53D7" w14:textId="4792AEBC" w:rsidR="006C1B74" w:rsidRDefault="006C1B74">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_Toc201156910 \h </w:instrText>
      </w:r>
      <w:r>
        <w:fldChar w:fldCharType="separate"/>
      </w:r>
      <w:r>
        <w:t>53</w:t>
      </w:r>
      <w:r>
        <w:fldChar w:fldCharType="end"/>
      </w:r>
    </w:p>
    <w:p w14:paraId="3F601F3F" w14:textId="587D26FB" w:rsidR="006C1B74" w:rsidRDefault="006C1B74">
      <w:pPr>
        <w:pStyle w:val="TOC3"/>
        <w:rPr>
          <w:rFonts w:asciiTheme="minorHAnsi" w:eastAsiaTheme="minorEastAsia" w:hAnsiTheme="minorHAnsi" w:cstheme="minorBidi"/>
          <w:kern w:val="2"/>
          <w:sz w:val="24"/>
          <w:szCs w:val="24"/>
          <w14:ligatures w14:val="standardContextual"/>
        </w:rPr>
      </w:pPr>
      <w:r>
        <w:t>4.2.8</w:t>
      </w:r>
      <w:r>
        <w:rPr>
          <w:rFonts w:asciiTheme="minorHAnsi" w:eastAsiaTheme="minorEastAsia" w:hAnsiTheme="minorHAnsi" w:cstheme="minorBidi"/>
          <w:kern w:val="2"/>
          <w:sz w:val="24"/>
          <w:szCs w:val="24"/>
          <w14:ligatures w14:val="standardContextual"/>
        </w:rPr>
        <w:tab/>
      </w:r>
      <w:r>
        <w:t>Support of non-3GPP access</w:t>
      </w:r>
      <w:r>
        <w:tab/>
      </w:r>
      <w:r>
        <w:fldChar w:fldCharType="begin" w:fldLock="1"/>
      </w:r>
      <w:r>
        <w:instrText xml:space="preserve"> PAGEREF _Toc201156911 \h </w:instrText>
      </w:r>
      <w:r>
        <w:fldChar w:fldCharType="separate"/>
      </w:r>
      <w:r>
        <w:t>56</w:t>
      </w:r>
      <w:r>
        <w:fldChar w:fldCharType="end"/>
      </w:r>
    </w:p>
    <w:p w14:paraId="659B79F1" w14:textId="124FC9AB" w:rsidR="006C1B74" w:rsidRDefault="006C1B74">
      <w:pPr>
        <w:pStyle w:val="TOC4"/>
        <w:rPr>
          <w:rFonts w:asciiTheme="minorHAnsi" w:eastAsiaTheme="minorEastAsia" w:hAnsiTheme="minorHAnsi" w:cstheme="minorBidi"/>
          <w:kern w:val="2"/>
          <w:sz w:val="24"/>
          <w:szCs w:val="24"/>
          <w14:ligatures w14:val="standardContextual"/>
        </w:rPr>
      </w:pPr>
      <w:r>
        <w:t>4.2.8.0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_Toc201156912 \h </w:instrText>
      </w:r>
      <w:r>
        <w:fldChar w:fldCharType="separate"/>
      </w:r>
      <w:r>
        <w:t>56</w:t>
      </w:r>
      <w:r>
        <w:fldChar w:fldCharType="end"/>
      </w:r>
    </w:p>
    <w:p w14:paraId="18A20C63" w14:textId="51A30659" w:rsidR="006C1B74" w:rsidRDefault="006C1B74">
      <w:pPr>
        <w:pStyle w:val="TOC4"/>
        <w:rPr>
          <w:rFonts w:asciiTheme="minorHAnsi" w:eastAsiaTheme="minorEastAsia" w:hAnsiTheme="minorHAnsi" w:cstheme="minorBidi"/>
          <w:kern w:val="2"/>
          <w:sz w:val="24"/>
          <w:szCs w:val="24"/>
          <w14:ligatures w14:val="standardContextual"/>
        </w:rPr>
      </w:pPr>
      <w:r>
        <w:t>4.2.8.1</w:t>
      </w:r>
      <w:r>
        <w:rPr>
          <w:rFonts w:asciiTheme="minorHAnsi" w:eastAsiaTheme="minorEastAsia" w:hAnsiTheme="minorHAnsi" w:cstheme="minorBidi"/>
          <w:kern w:val="2"/>
          <w:sz w:val="24"/>
          <w:szCs w:val="24"/>
          <w14:ligatures w14:val="standardContextual"/>
        </w:rPr>
        <w:tab/>
      </w:r>
      <w:r>
        <w:t xml:space="preserve">General </w:t>
      </w:r>
      <w:r>
        <w:rPr>
          <w:lang w:eastAsia="ko-KR"/>
        </w:rPr>
        <w:t>Concepts to Support Trusted and Untrusted Non-3GPP Access</w:t>
      </w:r>
      <w:r>
        <w:tab/>
      </w:r>
      <w:r>
        <w:fldChar w:fldCharType="begin" w:fldLock="1"/>
      </w:r>
      <w:r>
        <w:instrText xml:space="preserve"> PAGEREF _Toc201156913 \h </w:instrText>
      </w:r>
      <w:r>
        <w:fldChar w:fldCharType="separate"/>
      </w:r>
      <w:r>
        <w:t>56</w:t>
      </w:r>
      <w:r>
        <w:fldChar w:fldCharType="end"/>
      </w:r>
    </w:p>
    <w:p w14:paraId="1BC1F2C8" w14:textId="264AA22D" w:rsidR="006C1B74" w:rsidRDefault="006C1B74">
      <w:pPr>
        <w:pStyle w:val="TOC4"/>
        <w:rPr>
          <w:rFonts w:asciiTheme="minorHAnsi" w:eastAsiaTheme="minorEastAsia" w:hAnsiTheme="minorHAnsi" w:cstheme="minorBidi"/>
          <w:kern w:val="2"/>
          <w:sz w:val="24"/>
          <w:szCs w:val="24"/>
          <w14:ligatures w14:val="standardContextual"/>
        </w:rPr>
      </w:pPr>
      <w:r>
        <w:t>4.2.8.1A</w:t>
      </w:r>
      <w:r>
        <w:rPr>
          <w:rFonts w:asciiTheme="minorHAnsi" w:eastAsiaTheme="minorEastAsia" w:hAnsiTheme="minorHAnsi" w:cstheme="minorBidi"/>
          <w:kern w:val="2"/>
          <w:sz w:val="24"/>
          <w:szCs w:val="24"/>
          <w14:ligatures w14:val="standardContextual"/>
        </w:rPr>
        <w:tab/>
      </w:r>
      <w:r>
        <w:t>General Concepts to support Wireline Access</w:t>
      </w:r>
      <w:r>
        <w:tab/>
      </w:r>
      <w:r>
        <w:fldChar w:fldCharType="begin" w:fldLock="1"/>
      </w:r>
      <w:r>
        <w:instrText xml:space="preserve"> PAGEREF _Toc201156914 \h </w:instrText>
      </w:r>
      <w:r>
        <w:fldChar w:fldCharType="separate"/>
      </w:r>
      <w:r>
        <w:t>57</w:t>
      </w:r>
      <w:r>
        <w:fldChar w:fldCharType="end"/>
      </w:r>
    </w:p>
    <w:p w14:paraId="7A8B9AB3" w14:textId="4EDFBAB2" w:rsidR="006C1B74" w:rsidRDefault="006C1B74">
      <w:pPr>
        <w:pStyle w:val="TOC4"/>
        <w:rPr>
          <w:rFonts w:asciiTheme="minorHAnsi" w:eastAsiaTheme="minorEastAsia" w:hAnsiTheme="minorHAnsi" w:cstheme="minorBidi"/>
          <w:kern w:val="2"/>
          <w:sz w:val="24"/>
          <w:szCs w:val="24"/>
          <w14:ligatures w14:val="standardContextual"/>
        </w:rPr>
      </w:pPr>
      <w:r>
        <w:t>4.2.8.2</w:t>
      </w:r>
      <w:r>
        <w:rPr>
          <w:rFonts w:asciiTheme="minorHAnsi" w:eastAsiaTheme="minorEastAsia" w:hAnsiTheme="minorHAnsi" w:cstheme="minorBidi"/>
          <w:kern w:val="2"/>
          <w:sz w:val="24"/>
          <w:szCs w:val="24"/>
          <w14:ligatures w14:val="standardContextual"/>
        </w:rPr>
        <w:tab/>
      </w:r>
      <w:r>
        <w:rPr>
          <w:lang w:eastAsia="ko-KR"/>
        </w:rPr>
        <w:t>Architecture Reference Model for Trusted and Untrusted Non-3GPP Accesses</w:t>
      </w:r>
      <w:r>
        <w:tab/>
      </w:r>
      <w:r>
        <w:fldChar w:fldCharType="begin" w:fldLock="1"/>
      </w:r>
      <w:r>
        <w:instrText xml:space="preserve"> PAGEREF _Toc201156915 \h </w:instrText>
      </w:r>
      <w:r>
        <w:fldChar w:fldCharType="separate"/>
      </w:r>
      <w:r>
        <w:t>58</w:t>
      </w:r>
      <w:r>
        <w:fldChar w:fldCharType="end"/>
      </w:r>
    </w:p>
    <w:p w14:paraId="58BAC022" w14:textId="1975E8D4" w:rsidR="006C1B74" w:rsidRDefault="006C1B74">
      <w:pPr>
        <w:pStyle w:val="TOC5"/>
        <w:rPr>
          <w:rFonts w:asciiTheme="minorHAnsi" w:eastAsiaTheme="minorEastAsia" w:hAnsiTheme="minorHAnsi" w:cstheme="minorBidi"/>
          <w:kern w:val="2"/>
          <w:sz w:val="24"/>
          <w:szCs w:val="24"/>
          <w14:ligatures w14:val="standardContextual"/>
        </w:rPr>
      </w:pPr>
      <w:r>
        <w:t>4.2.8.2.1</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_Toc201156916 \h </w:instrText>
      </w:r>
      <w:r>
        <w:fldChar w:fldCharType="separate"/>
      </w:r>
      <w:r>
        <w:t>58</w:t>
      </w:r>
      <w:r>
        <w:fldChar w:fldCharType="end"/>
      </w:r>
    </w:p>
    <w:p w14:paraId="0F69C2FA" w14:textId="1ECF710E" w:rsidR="006C1B74" w:rsidRDefault="006C1B74">
      <w:pPr>
        <w:pStyle w:val="TOC5"/>
        <w:rPr>
          <w:rFonts w:asciiTheme="minorHAnsi" w:eastAsiaTheme="minorEastAsia" w:hAnsiTheme="minorHAnsi" w:cstheme="minorBidi"/>
          <w:kern w:val="2"/>
          <w:sz w:val="24"/>
          <w:szCs w:val="24"/>
          <w14:ligatures w14:val="standardContextual"/>
        </w:rPr>
      </w:pPr>
      <w:r>
        <w:t>4.2.8.2.2</w:t>
      </w:r>
      <w:r>
        <w:rPr>
          <w:rFonts w:asciiTheme="minorHAnsi" w:eastAsiaTheme="minorEastAsia" w:hAnsiTheme="minorHAnsi" w:cstheme="minorBidi"/>
          <w:kern w:val="2"/>
          <w:sz w:val="24"/>
          <w:szCs w:val="24"/>
          <w14:ligatures w14:val="standardContextual"/>
        </w:rPr>
        <w:tab/>
      </w:r>
      <w:r>
        <w:t xml:space="preserve">LBO </w:t>
      </w:r>
      <w:r>
        <w:rPr>
          <w:lang w:eastAsia="ko-KR"/>
        </w:rPr>
        <w:t>R</w:t>
      </w:r>
      <w:r>
        <w:t>oaming Architecture</w:t>
      </w:r>
      <w:r>
        <w:tab/>
      </w:r>
      <w:r>
        <w:fldChar w:fldCharType="begin" w:fldLock="1"/>
      </w:r>
      <w:r>
        <w:instrText xml:space="preserve"> PAGEREF _Toc201156917 \h </w:instrText>
      </w:r>
      <w:r>
        <w:fldChar w:fldCharType="separate"/>
      </w:r>
      <w:r>
        <w:t>59</w:t>
      </w:r>
      <w:r>
        <w:fldChar w:fldCharType="end"/>
      </w:r>
    </w:p>
    <w:p w14:paraId="6769B680" w14:textId="76DBE212" w:rsidR="006C1B74" w:rsidRDefault="006C1B74">
      <w:pPr>
        <w:pStyle w:val="TOC5"/>
        <w:rPr>
          <w:rFonts w:asciiTheme="minorHAnsi" w:eastAsiaTheme="minorEastAsia" w:hAnsiTheme="minorHAnsi" w:cstheme="minorBidi"/>
          <w:kern w:val="2"/>
          <w:sz w:val="24"/>
          <w:szCs w:val="24"/>
          <w14:ligatures w14:val="standardContextual"/>
        </w:rPr>
      </w:pPr>
      <w:r>
        <w:t>4.2.8.2.3</w:t>
      </w:r>
      <w:r>
        <w:rPr>
          <w:rFonts w:asciiTheme="minorHAnsi" w:eastAsiaTheme="minorEastAsia" w:hAnsiTheme="minorHAnsi" w:cstheme="minorBidi"/>
          <w:kern w:val="2"/>
          <w:sz w:val="24"/>
          <w:szCs w:val="24"/>
          <w14:ligatures w14:val="standardContextual"/>
        </w:rPr>
        <w:tab/>
      </w:r>
      <w:r>
        <w:t xml:space="preserve">Home-routed </w:t>
      </w:r>
      <w:r>
        <w:rPr>
          <w:lang w:eastAsia="ko-KR"/>
        </w:rPr>
        <w:t>R</w:t>
      </w:r>
      <w:r>
        <w:t>oaming Architecture</w:t>
      </w:r>
      <w:r>
        <w:tab/>
      </w:r>
      <w:r>
        <w:fldChar w:fldCharType="begin" w:fldLock="1"/>
      </w:r>
      <w:r>
        <w:instrText xml:space="preserve"> PAGEREF _Toc201156918 \h </w:instrText>
      </w:r>
      <w:r>
        <w:fldChar w:fldCharType="separate"/>
      </w:r>
      <w:r>
        <w:t>62</w:t>
      </w:r>
      <w:r>
        <w:fldChar w:fldCharType="end"/>
      </w:r>
    </w:p>
    <w:p w14:paraId="5D8B49DB" w14:textId="4EB01EB1" w:rsidR="006C1B74" w:rsidRDefault="006C1B74">
      <w:pPr>
        <w:pStyle w:val="TOC4"/>
        <w:rPr>
          <w:rFonts w:asciiTheme="minorHAnsi" w:eastAsiaTheme="minorEastAsia" w:hAnsiTheme="minorHAnsi" w:cstheme="minorBidi"/>
          <w:kern w:val="2"/>
          <w:sz w:val="24"/>
          <w:szCs w:val="24"/>
          <w14:ligatures w14:val="standardContextual"/>
        </w:rPr>
      </w:pPr>
      <w:r>
        <w:t>4.2.8.3</w:t>
      </w:r>
      <w:r>
        <w:rPr>
          <w:rFonts w:asciiTheme="minorHAnsi" w:eastAsiaTheme="minorEastAsia" w:hAnsiTheme="minorHAnsi" w:cstheme="minorBidi"/>
          <w:kern w:val="2"/>
          <w:sz w:val="24"/>
          <w:szCs w:val="24"/>
          <w14:ligatures w14:val="standardContextual"/>
        </w:rPr>
        <w:tab/>
      </w:r>
      <w:r>
        <w:rPr>
          <w:lang w:eastAsia="ko-KR"/>
        </w:rPr>
        <w:t>Reference Points for Non-3GPP Access</w:t>
      </w:r>
      <w:r>
        <w:tab/>
      </w:r>
      <w:r>
        <w:fldChar w:fldCharType="begin" w:fldLock="1"/>
      </w:r>
      <w:r>
        <w:instrText xml:space="preserve"> PAGEREF _Toc201156919 \h </w:instrText>
      </w:r>
      <w:r>
        <w:fldChar w:fldCharType="separate"/>
      </w:r>
      <w:r>
        <w:t>64</w:t>
      </w:r>
      <w:r>
        <w:fldChar w:fldCharType="end"/>
      </w:r>
    </w:p>
    <w:p w14:paraId="439D2BFA" w14:textId="717E62D0" w:rsidR="006C1B74" w:rsidRDefault="006C1B74">
      <w:pPr>
        <w:pStyle w:val="TOC5"/>
        <w:rPr>
          <w:rFonts w:asciiTheme="minorHAnsi" w:eastAsiaTheme="minorEastAsia" w:hAnsiTheme="minorHAnsi" w:cstheme="minorBidi"/>
          <w:kern w:val="2"/>
          <w:sz w:val="24"/>
          <w:szCs w:val="24"/>
          <w14:ligatures w14:val="standardContextual"/>
        </w:rPr>
      </w:pPr>
      <w:r>
        <w:t>4.2.8.3.1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_Toc201156920 \h </w:instrText>
      </w:r>
      <w:r>
        <w:fldChar w:fldCharType="separate"/>
      </w:r>
      <w:r>
        <w:t>64</w:t>
      </w:r>
      <w:r>
        <w:fldChar w:fldCharType="end"/>
      </w:r>
    </w:p>
    <w:p w14:paraId="7FACF25A" w14:textId="553C095F" w:rsidR="006C1B74" w:rsidRDefault="006C1B74">
      <w:pPr>
        <w:pStyle w:val="TOC5"/>
        <w:rPr>
          <w:rFonts w:asciiTheme="minorHAnsi" w:eastAsiaTheme="minorEastAsia" w:hAnsiTheme="minorHAnsi" w:cstheme="minorBidi"/>
          <w:kern w:val="2"/>
          <w:sz w:val="24"/>
          <w:szCs w:val="24"/>
          <w14:ligatures w14:val="standardContextual"/>
        </w:rPr>
      </w:pPr>
      <w:r>
        <w:t>4.2.8.3.2</w:t>
      </w:r>
      <w:r>
        <w:rPr>
          <w:rFonts w:asciiTheme="minorHAnsi" w:eastAsiaTheme="minorEastAsia" w:hAnsiTheme="minorHAnsi" w:cstheme="minorBidi"/>
          <w:kern w:val="2"/>
          <w:sz w:val="24"/>
          <w:szCs w:val="24"/>
          <w14:ligatures w14:val="standardContextual"/>
        </w:rPr>
        <w:tab/>
      </w:r>
      <w:r>
        <w:t>Requirements on Ta</w:t>
      </w:r>
      <w:r>
        <w:tab/>
      </w:r>
      <w:r>
        <w:fldChar w:fldCharType="begin" w:fldLock="1"/>
      </w:r>
      <w:r>
        <w:instrText xml:space="preserve"> PAGEREF _Toc201156921 \h </w:instrText>
      </w:r>
      <w:r>
        <w:fldChar w:fldCharType="separate"/>
      </w:r>
      <w:r>
        <w:t>64</w:t>
      </w:r>
      <w:r>
        <w:fldChar w:fldCharType="end"/>
      </w:r>
    </w:p>
    <w:p w14:paraId="28DA736A" w14:textId="35AB1F03" w:rsidR="006C1B74" w:rsidRDefault="006C1B74">
      <w:pPr>
        <w:pStyle w:val="TOC4"/>
        <w:rPr>
          <w:rFonts w:asciiTheme="minorHAnsi" w:eastAsiaTheme="minorEastAsia" w:hAnsiTheme="minorHAnsi" w:cstheme="minorBidi"/>
          <w:kern w:val="2"/>
          <w:sz w:val="24"/>
          <w:szCs w:val="24"/>
          <w14:ligatures w14:val="standardContextual"/>
        </w:rPr>
      </w:pPr>
      <w:r>
        <w:t>4.2.8.4</w:t>
      </w:r>
      <w:r>
        <w:rPr>
          <w:rFonts w:asciiTheme="minorHAnsi" w:eastAsiaTheme="minorEastAsia" w:hAnsiTheme="minorHAnsi" w:cstheme="minorBidi"/>
          <w:kern w:val="2"/>
          <w:sz w:val="24"/>
          <w:szCs w:val="24"/>
          <w14:ligatures w14:val="standardContextual"/>
        </w:rPr>
        <w:tab/>
      </w:r>
      <w:r>
        <w:t>Architecture Reference Model for Wireline Access network</w:t>
      </w:r>
      <w:r>
        <w:tab/>
      </w:r>
      <w:r>
        <w:fldChar w:fldCharType="begin" w:fldLock="1"/>
      </w:r>
      <w:r>
        <w:instrText xml:space="preserve"> PAGEREF _Toc201156922 \h </w:instrText>
      </w:r>
      <w:r>
        <w:fldChar w:fldCharType="separate"/>
      </w:r>
      <w:r>
        <w:t>65</w:t>
      </w:r>
      <w:r>
        <w:fldChar w:fldCharType="end"/>
      </w:r>
    </w:p>
    <w:p w14:paraId="5F8A61C7" w14:textId="3C1A28CE" w:rsidR="006C1B74" w:rsidRDefault="006C1B74">
      <w:pPr>
        <w:pStyle w:val="TOC4"/>
        <w:rPr>
          <w:rFonts w:asciiTheme="minorHAnsi" w:eastAsiaTheme="minorEastAsia" w:hAnsiTheme="minorHAnsi" w:cstheme="minorBidi"/>
          <w:kern w:val="2"/>
          <w:sz w:val="24"/>
          <w:szCs w:val="24"/>
          <w14:ligatures w14:val="standardContextual"/>
        </w:rPr>
      </w:pPr>
      <w:r>
        <w:t>4.2.8.5</w:t>
      </w:r>
      <w:r>
        <w:rPr>
          <w:rFonts w:asciiTheme="minorHAnsi" w:eastAsiaTheme="minorEastAsia" w:hAnsiTheme="minorHAnsi" w:cstheme="minorBidi"/>
          <w:kern w:val="2"/>
          <w:sz w:val="24"/>
          <w:szCs w:val="24"/>
          <w14:ligatures w14:val="standardContextual"/>
        </w:rPr>
        <w:tab/>
      </w:r>
      <w:r>
        <w:t>Access to 5GC from devices that do not support 5GC NAS over WLAN access</w:t>
      </w:r>
      <w:r>
        <w:tab/>
      </w:r>
      <w:r>
        <w:fldChar w:fldCharType="begin" w:fldLock="1"/>
      </w:r>
      <w:r>
        <w:instrText xml:space="preserve"> PAGEREF _Toc201156923 \h </w:instrText>
      </w:r>
      <w:r>
        <w:fldChar w:fldCharType="separate"/>
      </w:r>
      <w:r>
        <w:t>66</w:t>
      </w:r>
      <w:r>
        <w:fldChar w:fldCharType="end"/>
      </w:r>
    </w:p>
    <w:p w14:paraId="5AD5F8F1" w14:textId="10FDDAD5" w:rsidR="006C1B74" w:rsidRDefault="006C1B74">
      <w:pPr>
        <w:pStyle w:val="TOC5"/>
        <w:rPr>
          <w:rFonts w:asciiTheme="minorHAnsi" w:eastAsiaTheme="minorEastAsia" w:hAnsiTheme="minorHAnsi" w:cstheme="minorBidi"/>
          <w:kern w:val="2"/>
          <w:sz w:val="24"/>
          <w:szCs w:val="24"/>
          <w14:ligatures w14:val="standardContextual"/>
        </w:rPr>
      </w:pPr>
      <w:r>
        <w:t>4.2.8.5.1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_Toc201156924 \h </w:instrText>
      </w:r>
      <w:r>
        <w:fldChar w:fldCharType="separate"/>
      </w:r>
      <w:r>
        <w:t>66</w:t>
      </w:r>
      <w:r>
        <w:fldChar w:fldCharType="end"/>
      </w:r>
    </w:p>
    <w:p w14:paraId="5DBC13BC" w14:textId="05D4AD72" w:rsidR="006C1B74" w:rsidRDefault="006C1B74">
      <w:pPr>
        <w:pStyle w:val="TOC5"/>
        <w:rPr>
          <w:rFonts w:asciiTheme="minorHAnsi" w:eastAsiaTheme="minorEastAsia" w:hAnsiTheme="minorHAnsi" w:cstheme="minorBidi"/>
          <w:kern w:val="2"/>
          <w:sz w:val="24"/>
          <w:szCs w:val="24"/>
          <w14:ligatures w14:val="standardContextual"/>
        </w:rPr>
      </w:pPr>
      <w:r>
        <w:t>4.2.8.5.2</w:t>
      </w:r>
      <w:r>
        <w:rPr>
          <w:rFonts w:asciiTheme="minorHAnsi" w:eastAsiaTheme="minorEastAsia" w:hAnsiTheme="minorHAnsi" w:cstheme="minorBidi"/>
          <w:kern w:val="2"/>
          <w:sz w:val="24"/>
          <w:szCs w:val="24"/>
          <w14:ligatures w14:val="standardContextual"/>
        </w:rPr>
        <w:tab/>
      </w:r>
      <w:r>
        <w:t>Reference Architecture</w:t>
      </w:r>
      <w:r>
        <w:tab/>
      </w:r>
      <w:r>
        <w:fldChar w:fldCharType="begin" w:fldLock="1"/>
      </w:r>
      <w:r>
        <w:instrText xml:space="preserve"> PAGEREF _Toc201156925 \h </w:instrText>
      </w:r>
      <w:r>
        <w:fldChar w:fldCharType="separate"/>
      </w:r>
      <w:r>
        <w:t>67</w:t>
      </w:r>
      <w:r>
        <w:fldChar w:fldCharType="end"/>
      </w:r>
    </w:p>
    <w:p w14:paraId="134DF981" w14:textId="0BFBC8A4" w:rsidR="006C1B74" w:rsidRDefault="006C1B74">
      <w:pPr>
        <w:pStyle w:val="TOC5"/>
        <w:rPr>
          <w:rFonts w:asciiTheme="minorHAnsi" w:eastAsiaTheme="minorEastAsia" w:hAnsiTheme="minorHAnsi" w:cstheme="minorBidi"/>
          <w:kern w:val="2"/>
          <w:sz w:val="24"/>
          <w:szCs w:val="24"/>
          <w14:ligatures w14:val="standardContextual"/>
        </w:rPr>
      </w:pPr>
      <w:r>
        <w:t>4.2.8.5.3</w:t>
      </w:r>
      <w:r>
        <w:rPr>
          <w:rFonts w:asciiTheme="minorHAnsi" w:eastAsiaTheme="minorEastAsia" w:hAnsiTheme="minorHAnsi" w:cstheme="minorBidi"/>
          <w:kern w:val="2"/>
          <w:sz w:val="24"/>
          <w:szCs w:val="24"/>
          <w14:ligatures w14:val="standardContextual"/>
        </w:rPr>
        <w:tab/>
      </w:r>
      <w:r>
        <w:t>Network Functions</w:t>
      </w:r>
      <w:r>
        <w:tab/>
      </w:r>
      <w:r>
        <w:fldChar w:fldCharType="begin" w:fldLock="1"/>
      </w:r>
      <w:r>
        <w:instrText xml:space="preserve"> PAGEREF _Toc201156926 \h </w:instrText>
      </w:r>
      <w:r>
        <w:fldChar w:fldCharType="separate"/>
      </w:r>
      <w:r>
        <w:t>67</w:t>
      </w:r>
      <w:r>
        <w:fldChar w:fldCharType="end"/>
      </w:r>
    </w:p>
    <w:p w14:paraId="3169740D" w14:textId="788977CF" w:rsidR="006C1B74" w:rsidRDefault="006C1B74">
      <w:pPr>
        <w:pStyle w:val="TOC5"/>
        <w:rPr>
          <w:rFonts w:asciiTheme="minorHAnsi" w:eastAsiaTheme="minorEastAsia" w:hAnsiTheme="minorHAnsi" w:cstheme="minorBidi"/>
          <w:kern w:val="2"/>
          <w:sz w:val="24"/>
          <w:szCs w:val="24"/>
          <w14:ligatures w14:val="standardContextual"/>
        </w:rPr>
      </w:pPr>
      <w:r>
        <w:t>4.2.8.5.4</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_Toc201156927 \h </w:instrText>
      </w:r>
      <w:r>
        <w:fldChar w:fldCharType="separate"/>
      </w:r>
      <w:r>
        <w:t>67</w:t>
      </w:r>
      <w:r>
        <w:fldChar w:fldCharType="end"/>
      </w:r>
    </w:p>
    <w:p w14:paraId="3595D451" w14:textId="0C2F82C5" w:rsidR="006C1B74" w:rsidRDefault="006C1B74">
      <w:pPr>
        <w:pStyle w:val="TOC3"/>
        <w:rPr>
          <w:rFonts w:asciiTheme="minorHAnsi" w:eastAsiaTheme="minorEastAsia" w:hAnsiTheme="minorHAnsi" w:cstheme="minorBidi"/>
          <w:kern w:val="2"/>
          <w:sz w:val="24"/>
          <w:szCs w:val="24"/>
          <w14:ligatures w14:val="standardContextual"/>
        </w:rPr>
      </w:pPr>
      <w:r>
        <w:t>4.2.9</w:t>
      </w:r>
      <w:r>
        <w:rPr>
          <w:rFonts w:asciiTheme="minorHAnsi" w:eastAsiaTheme="minorEastAsia" w:hAnsiTheme="minorHAnsi" w:cstheme="minorBidi"/>
          <w:kern w:val="2"/>
          <w:sz w:val="24"/>
          <w:szCs w:val="24"/>
          <w14:ligatures w14:val="standardContextual"/>
        </w:rPr>
        <w:tab/>
      </w:r>
      <w:r>
        <w:t>Network Analytics architecture</w:t>
      </w:r>
      <w:r>
        <w:tab/>
      </w:r>
      <w:r>
        <w:fldChar w:fldCharType="begin" w:fldLock="1"/>
      </w:r>
      <w:r>
        <w:instrText xml:space="preserve"> PAGEREF _Toc201156928 \h </w:instrText>
      </w:r>
      <w:r>
        <w:fldChar w:fldCharType="separate"/>
      </w:r>
      <w:r>
        <w:t>68</w:t>
      </w:r>
      <w:r>
        <w:fldChar w:fldCharType="end"/>
      </w:r>
    </w:p>
    <w:p w14:paraId="4FFEE6BD" w14:textId="5A2EE3A1" w:rsidR="006C1B74" w:rsidRDefault="006C1B74">
      <w:pPr>
        <w:pStyle w:val="TOC3"/>
        <w:rPr>
          <w:rFonts w:asciiTheme="minorHAnsi" w:eastAsiaTheme="minorEastAsia" w:hAnsiTheme="minorHAnsi" w:cstheme="minorBidi"/>
          <w:kern w:val="2"/>
          <w:sz w:val="24"/>
          <w:szCs w:val="24"/>
          <w14:ligatures w14:val="standardContextual"/>
        </w:rPr>
      </w:pPr>
      <w:r>
        <w:t>4.2.10</w:t>
      </w:r>
      <w:r>
        <w:rPr>
          <w:rFonts w:asciiTheme="minorHAnsi" w:eastAsiaTheme="minorEastAsia" w:hAnsiTheme="minorHAnsi" w:cstheme="minorBidi"/>
          <w:kern w:val="2"/>
          <w:sz w:val="24"/>
          <w:szCs w:val="24"/>
          <w14:ligatures w14:val="standardContextual"/>
        </w:rPr>
        <w:tab/>
      </w:r>
      <w:r>
        <w:t>Architecture Reference Model for ATSSS Support</w:t>
      </w:r>
      <w:r>
        <w:tab/>
      </w:r>
      <w:r>
        <w:fldChar w:fldCharType="begin" w:fldLock="1"/>
      </w:r>
      <w:r>
        <w:instrText xml:space="preserve"> PAGEREF _Toc201156929 \h </w:instrText>
      </w:r>
      <w:r>
        <w:fldChar w:fldCharType="separate"/>
      </w:r>
      <w:r>
        <w:t>68</w:t>
      </w:r>
      <w:r>
        <w:fldChar w:fldCharType="end"/>
      </w:r>
    </w:p>
    <w:p w14:paraId="00E6CD29" w14:textId="60947367" w:rsidR="006C1B74" w:rsidRDefault="006C1B74">
      <w:pPr>
        <w:pStyle w:val="TOC3"/>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Architecture for 5G multicast-broadcast services</w:t>
      </w:r>
      <w:r>
        <w:tab/>
      </w:r>
      <w:r>
        <w:fldChar w:fldCharType="begin" w:fldLock="1"/>
      </w:r>
      <w:r>
        <w:instrText xml:space="preserve"> PAGEREF _Toc201156930 \h </w:instrText>
      </w:r>
      <w:r>
        <w:fldChar w:fldCharType="separate"/>
      </w:r>
      <w:r>
        <w:t>70</w:t>
      </w:r>
      <w:r>
        <w:fldChar w:fldCharType="end"/>
      </w:r>
    </w:p>
    <w:p w14:paraId="315951F9" w14:textId="092A3B8C" w:rsidR="006C1B74" w:rsidRDefault="006C1B74">
      <w:pPr>
        <w:pStyle w:val="TOC3"/>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Architecture for Proximity based Services (ProSe) in 5GS</w:t>
      </w:r>
      <w:r>
        <w:tab/>
      </w:r>
      <w:r>
        <w:fldChar w:fldCharType="begin" w:fldLock="1"/>
      </w:r>
      <w:r>
        <w:instrText xml:space="preserve"> PAGEREF _Toc201156931 \h </w:instrText>
      </w:r>
      <w:r>
        <w:fldChar w:fldCharType="separate"/>
      </w:r>
      <w:r>
        <w:t>70</w:t>
      </w:r>
      <w:r>
        <w:fldChar w:fldCharType="end"/>
      </w:r>
    </w:p>
    <w:p w14:paraId="4AAA7A26" w14:textId="6CE22290" w:rsidR="006C1B74" w:rsidRDefault="006C1B74">
      <w:pPr>
        <w:pStyle w:val="TOC3"/>
        <w:rPr>
          <w:rFonts w:asciiTheme="minorHAnsi" w:eastAsiaTheme="minorEastAsia" w:hAnsiTheme="minorHAnsi" w:cstheme="minorBidi"/>
          <w:kern w:val="2"/>
          <w:sz w:val="24"/>
          <w:szCs w:val="24"/>
          <w14:ligatures w14:val="standardContextual"/>
        </w:rPr>
      </w:pPr>
      <w:r>
        <w:t>4.2.13</w:t>
      </w:r>
      <w:r>
        <w:rPr>
          <w:rFonts w:asciiTheme="minorHAnsi" w:eastAsiaTheme="minorEastAsia" w:hAnsiTheme="minorHAnsi" w:cstheme="minorBidi"/>
          <w:kern w:val="2"/>
          <w:sz w:val="24"/>
          <w:szCs w:val="24"/>
          <w14:ligatures w14:val="standardContextual"/>
        </w:rPr>
        <w:tab/>
      </w:r>
      <w:r>
        <w:t>Architecture enhancements for Edge Computing</w:t>
      </w:r>
      <w:r>
        <w:tab/>
      </w:r>
      <w:r>
        <w:fldChar w:fldCharType="begin" w:fldLock="1"/>
      </w:r>
      <w:r>
        <w:instrText xml:space="preserve"> PAGEREF _Toc201156932 \h </w:instrText>
      </w:r>
      <w:r>
        <w:fldChar w:fldCharType="separate"/>
      </w:r>
      <w:r>
        <w:t>70</w:t>
      </w:r>
      <w:r>
        <w:fldChar w:fldCharType="end"/>
      </w:r>
    </w:p>
    <w:p w14:paraId="091CEE18" w14:textId="01611D2F" w:rsidR="006C1B74" w:rsidRDefault="006C1B74">
      <w:pPr>
        <w:pStyle w:val="TOC3"/>
        <w:rPr>
          <w:rFonts w:asciiTheme="minorHAnsi" w:eastAsiaTheme="minorEastAsia" w:hAnsiTheme="minorHAnsi" w:cstheme="minorBidi"/>
          <w:kern w:val="2"/>
          <w:sz w:val="24"/>
          <w:szCs w:val="24"/>
          <w14:ligatures w14:val="standardContextual"/>
        </w:rPr>
      </w:pPr>
      <w:r>
        <w:t>4.2.14</w:t>
      </w:r>
      <w:r>
        <w:rPr>
          <w:rFonts w:asciiTheme="minorHAnsi" w:eastAsiaTheme="minorEastAsia" w:hAnsiTheme="minorHAnsi" w:cstheme="minorBidi"/>
          <w:kern w:val="2"/>
          <w:sz w:val="24"/>
          <w:szCs w:val="24"/>
          <w14:ligatures w14:val="standardContextual"/>
        </w:rPr>
        <w:tab/>
      </w:r>
      <w:r>
        <w:t>Architecture for Support of Uncrewed Aerial Systems connectivity, identification and tracking</w:t>
      </w:r>
      <w:r>
        <w:tab/>
      </w:r>
      <w:r>
        <w:fldChar w:fldCharType="begin" w:fldLock="1"/>
      </w:r>
      <w:r>
        <w:instrText xml:space="preserve"> PAGEREF _Toc201156933 \h </w:instrText>
      </w:r>
      <w:r>
        <w:fldChar w:fldCharType="separate"/>
      </w:r>
      <w:r>
        <w:t>70</w:t>
      </w:r>
      <w:r>
        <w:fldChar w:fldCharType="end"/>
      </w:r>
    </w:p>
    <w:p w14:paraId="35E6C844" w14:textId="5A86BC1E" w:rsidR="006C1B74" w:rsidRDefault="006C1B74">
      <w:pPr>
        <w:pStyle w:val="TOC3"/>
        <w:rPr>
          <w:rFonts w:asciiTheme="minorHAnsi" w:eastAsiaTheme="minorEastAsia" w:hAnsiTheme="minorHAnsi" w:cstheme="minorBidi"/>
          <w:kern w:val="2"/>
          <w:sz w:val="24"/>
          <w:szCs w:val="24"/>
          <w14:ligatures w14:val="standardContextual"/>
        </w:rPr>
      </w:pPr>
      <w:r>
        <w:t>4.2.15</w:t>
      </w:r>
      <w:r>
        <w:rPr>
          <w:rFonts w:asciiTheme="minorHAnsi" w:eastAsiaTheme="minorEastAsia" w:hAnsiTheme="minorHAnsi" w:cstheme="minorBidi"/>
          <w:kern w:val="2"/>
          <w:sz w:val="24"/>
          <w:szCs w:val="24"/>
          <w14:ligatures w14:val="standardContextual"/>
        </w:rPr>
        <w:tab/>
      </w:r>
      <w:r>
        <w:t>Architecture to support WLAN connection using 5G credentials without 5GS registration</w:t>
      </w:r>
      <w:r>
        <w:tab/>
      </w:r>
      <w:r>
        <w:fldChar w:fldCharType="begin" w:fldLock="1"/>
      </w:r>
      <w:r>
        <w:instrText xml:space="preserve"> PAGEREF _Toc201156934 \h </w:instrText>
      </w:r>
      <w:r>
        <w:fldChar w:fldCharType="separate"/>
      </w:r>
      <w:r>
        <w:t>70</w:t>
      </w:r>
      <w:r>
        <w:fldChar w:fldCharType="end"/>
      </w:r>
    </w:p>
    <w:p w14:paraId="719D9F5C" w14:textId="32DAF42C" w:rsidR="006C1B74" w:rsidRDefault="006C1B74">
      <w:pPr>
        <w:pStyle w:val="TOC3"/>
        <w:rPr>
          <w:rFonts w:asciiTheme="minorHAnsi" w:eastAsiaTheme="minorEastAsia" w:hAnsiTheme="minorHAnsi" w:cstheme="minorBidi"/>
          <w:kern w:val="2"/>
          <w:sz w:val="24"/>
          <w:szCs w:val="24"/>
          <w14:ligatures w14:val="standardContextual"/>
        </w:rPr>
      </w:pPr>
      <w:r>
        <w:t>4.2.16</w:t>
      </w:r>
      <w:r>
        <w:rPr>
          <w:rFonts w:asciiTheme="minorHAnsi" w:eastAsiaTheme="minorEastAsia" w:hAnsiTheme="minorHAnsi" w:cstheme="minorBidi"/>
          <w:kern w:val="2"/>
          <w:sz w:val="24"/>
          <w:szCs w:val="24"/>
          <w14:ligatures w14:val="standardContextual"/>
        </w:rPr>
        <w:tab/>
      </w:r>
      <w:r>
        <w:t>Architecture to support User Plane Information Exposure via a service-based interface</w:t>
      </w:r>
      <w:r>
        <w:tab/>
      </w:r>
      <w:r>
        <w:fldChar w:fldCharType="begin" w:fldLock="1"/>
      </w:r>
      <w:r>
        <w:instrText xml:space="preserve"> PAGEREF _Toc201156935 \h </w:instrText>
      </w:r>
      <w:r>
        <w:fldChar w:fldCharType="separate"/>
      </w:r>
      <w:r>
        <w:t>74</w:t>
      </w:r>
      <w:r>
        <w:fldChar w:fldCharType="end"/>
      </w:r>
    </w:p>
    <w:p w14:paraId="46F77146" w14:textId="10456E75" w:rsidR="006C1B74" w:rsidRDefault="006C1B74">
      <w:pPr>
        <w:pStyle w:val="TOC3"/>
        <w:rPr>
          <w:rFonts w:asciiTheme="minorHAnsi" w:eastAsiaTheme="minorEastAsia" w:hAnsiTheme="minorHAnsi" w:cstheme="minorBidi"/>
          <w:kern w:val="2"/>
          <w:sz w:val="24"/>
          <w:szCs w:val="24"/>
          <w14:ligatures w14:val="standardContextual"/>
        </w:rPr>
      </w:pPr>
      <w:r>
        <w:t>4.2.17</w:t>
      </w:r>
      <w:r>
        <w:rPr>
          <w:rFonts w:asciiTheme="minorHAnsi" w:eastAsiaTheme="minorEastAsia" w:hAnsiTheme="minorHAnsi" w:cstheme="minorBidi"/>
          <w:kern w:val="2"/>
          <w:sz w:val="24"/>
          <w:szCs w:val="24"/>
          <w14:ligatures w14:val="standardContextual"/>
        </w:rPr>
        <w:tab/>
      </w:r>
      <w:r>
        <w:t>Architecture for Ranging based services and Sidelink Positioning</w:t>
      </w:r>
      <w:r>
        <w:tab/>
      </w:r>
      <w:r>
        <w:fldChar w:fldCharType="begin" w:fldLock="1"/>
      </w:r>
      <w:r>
        <w:instrText xml:space="preserve"> PAGEREF _Toc201156936 \h </w:instrText>
      </w:r>
      <w:r>
        <w:fldChar w:fldCharType="separate"/>
      </w:r>
      <w:r>
        <w:t>74</w:t>
      </w:r>
      <w:r>
        <w:fldChar w:fldCharType="end"/>
      </w:r>
    </w:p>
    <w:p w14:paraId="1DC17727" w14:textId="41532C85" w:rsidR="006C1B74" w:rsidRDefault="006C1B74">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Interworking with EPC</w:t>
      </w:r>
      <w:r>
        <w:tab/>
      </w:r>
      <w:r>
        <w:fldChar w:fldCharType="begin" w:fldLock="1"/>
      </w:r>
      <w:r>
        <w:instrText xml:space="preserve"> PAGEREF _Toc201156937 \h </w:instrText>
      </w:r>
      <w:r>
        <w:fldChar w:fldCharType="separate"/>
      </w:r>
      <w:r>
        <w:t>75</w:t>
      </w:r>
      <w:r>
        <w:fldChar w:fldCharType="end"/>
      </w:r>
    </w:p>
    <w:p w14:paraId="2204DC26" w14:textId="4072C80A" w:rsidR="006C1B74" w:rsidRDefault="006C1B74">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_Toc201156938 \h </w:instrText>
      </w:r>
      <w:r>
        <w:fldChar w:fldCharType="separate"/>
      </w:r>
      <w:r>
        <w:t>75</w:t>
      </w:r>
      <w:r>
        <w:fldChar w:fldCharType="end"/>
      </w:r>
    </w:p>
    <w:p w14:paraId="2F7E7480" w14:textId="4A43EBA7" w:rsidR="006C1B74" w:rsidRDefault="006C1B74">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_Toc201156939 \h </w:instrText>
      </w:r>
      <w:r>
        <w:fldChar w:fldCharType="separate"/>
      </w:r>
      <w:r>
        <w:t>75</w:t>
      </w:r>
      <w:r>
        <w:fldChar w:fldCharType="end"/>
      </w:r>
    </w:p>
    <w:p w14:paraId="21480C0C" w14:textId="4FF83FD0" w:rsidR="006C1B74" w:rsidRDefault="006C1B74">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Interworking between 5GC via non-3GPP access and E-UTRAN connected to EPC</w:t>
      </w:r>
      <w:r>
        <w:tab/>
      </w:r>
      <w:r>
        <w:fldChar w:fldCharType="begin" w:fldLock="1"/>
      </w:r>
      <w:r>
        <w:instrText xml:space="preserve"> PAGEREF _Toc201156940 \h </w:instrText>
      </w:r>
      <w:r>
        <w:fldChar w:fldCharType="separate"/>
      </w:r>
      <w:r>
        <w:t>77</w:t>
      </w:r>
      <w:r>
        <w:fldChar w:fldCharType="end"/>
      </w:r>
    </w:p>
    <w:p w14:paraId="6402EF04" w14:textId="08B2AF00" w:rsidR="006C1B74" w:rsidRDefault="006C1B74">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_Toc201156941 \h </w:instrText>
      </w:r>
      <w:r>
        <w:fldChar w:fldCharType="separate"/>
      </w:r>
      <w:r>
        <w:t>77</w:t>
      </w:r>
      <w:r>
        <w:fldChar w:fldCharType="end"/>
      </w:r>
    </w:p>
    <w:p w14:paraId="5F98514E" w14:textId="2E59EB4C" w:rsidR="006C1B74" w:rsidRDefault="006C1B74">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_Toc201156942 \h </w:instrText>
      </w:r>
      <w:r>
        <w:fldChar w:fldCharType="separate"/>
      </w:r>
      <w:r>
        <w:t>78</w:t>
      </w:r>
      <w:r>
        <w:fldChar w:fldCharType="end"/>
      </w:r>
    </w:p>
    <w:p w14:paraId="717409E8" w14:textId="42276E3F" w:rsidR="006C1B74" w:rsidRDefault="006C1B74">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Interworking between ePDG connected to EPC and 5GS</w:t>
      </w:r>
      <w:r>
        <w:tab/>
      </w:r>
      <w:r>
        <w:fldChar w:fldCharType="begin" w:fldLock="1"/>
      </w:r>
      <w:r>
        <w:instrText xml:space="preserve"> PAGEREF _Toc201156943 \h </w:instrText>
      </w:r>
      <w:r>
        <w:fldChar w:fldCharType="separate"/>
      </w:r>
      <w:r>
        <w:t>80</w:t>
      </w:r>
      <w:r>
        <w:fldChar w:fldCharType="end"/>
      </w:r>
    </w:p>
    <w:p w14:paraId="0BACEAB1" w14:textId="04384840" w:rsidR="006C1B74" w:rsidRDefault="006C1B74">
      <w:pPr>
        <w:pStyle w:val="TOC4"/>
        <w:rPr>
          <w:rFonts w:asciiTheme="minorHAnsi" w:eastAsiaTheme="minorEastAsia" w:hAnsiTheme="minorHAnsi" w:cstheme="minorBidi"/>
          <w:kern w:val="2"/>
          <w:sz w:val="24"/>
          <w:szCs w:val="24"/>
          <w14:ligatures w14:val="standardContextual"/>
        </w:rPr>
      </w:pPr>
      <w:r>
        <w:t>4.3.4.1</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_Toc201156944 \h </w:instrText>
      </w:r>
      <w:r>
        <w:fldChar w:fldCharType="separate"/>
      </w:r>
      <w:r>
        <w:t>80</w:t>
      </w:r>
      <w:r>
        <w:fldChar w:fldCharType="end"/>
      </w:r>
    </w:p>
    <w:p w14:paraId="03B440E0" w14:textId="45A822AA" w:rsidR="006C1B74" w:rsidRDefault="006C1B74">
      <w:pPr>
        <w:pStyle w:val="TOC4"/>
        <w:rPr>
          <w:rFonts w:asciiTheme="minorHAnsi" w:eastAsiaTheme="minorEastAsia" w:hAnsiTheme="minorHAnsi" w:cstheme="minorBidi"/>
          <w:kern w:val="2"/>
          <w:sz w:val="24"/>
          <w:szCs w:val="24"/>
          <w14:ligatures w14:val="standardContextual"/>
        </w:rPr>
      </w:pPr>
      <w:r>
        <w:t>4.3.4.2</w:t>
      </w:r>
      <w:r>
        <w:rPr>
          <w:rFonts w:asciiTheme="minorHAnsi" w:eastAsiaTheme="minorEastAsia" w:hAnsiTheme="minorHAnsi" w:cstheme="minorBidi"/>
          <w:kern w:val="2"/>
          <w:sz w:val="24"/>
          <w:szCs w:val="24"/>
          <w14:ligatures w14:val="standardContextual"/>
        </w:rPr>
        <w:tab/>
      </w:r>
      <w:r>
        <w:t>Roaming architectures</w:t>
      </w:r>
      <w:r>
        <w:tab/>
      </w:r>
      <w:r>
        <w:fldChar w:fldCharType="begin" w:fldLock="1"/>
      </w:r>
      <w:r>
        <w:instrText xml:space="preserve"> PAGEREF _Toc201156945 \h </w:instrText>
      </w:r>
      <w:r>
        <w:fldChar w:fldCharType="separate"/>
      </w:r>
      <w:r>
        <w:t>81</w:t>
      </w:r>
      <w:r>
        <w:fldChar w:fldCharType="end"/>
      </w:r>
    </w:p>
    <w:p w14:paraId="35298A2C" w14:textId="6FEB5025" w:rsidR="006C1B74" w:rsidRDefault="006C1B74">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Service Exposure in Interworking Scenarios</w:t>
      </w:r>
      <w:r>
        <w:tab/>
      </w:r>
      <w:r>
        <w:fldChar w:fldCharType="begin" w:fldLock="1"/>
      </w:r>
      <w:r>
        <w:instrText xml:space="preserve"> PAGEREF _Toc201156946 \h </w:instrText>
      </w:r>
      <w:r>
        <w:fldChar w:fldCharType="separate"/>
      </w:r>
      <w:r>
        <w:t>83</w:t>
      </w:r>
      <w:r>
        <w:fldChar w:fldCharType="end"/>
      </w:r>
    </w:p>
    <w:p w14:paraId="15A687B0" w14:textId="4BA312F1" w:rsidR="006C1B74" w:rsidRDefault="006C1B74">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_Toc201156947 \h </w:instrText>
      </w:r>
      <w:r>
        <w:fldChar w:fldCharType="separate"/>
      </w:r>
      <w:r>
        <w:t>83</w:t>
      </w:r>
      <w:r>
        <w:fldChar w:fldCharType="end"/>
      </w:r>
    </w:p>
    <w:p w14:paraId="30B02C47" w14:textId="782D96A3" w:rsidR="006C1B74" w:rsidRDefault="006C1B74">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Roaming architectures</w:t>
      </w:r>
      <w:r>
        <w:tab/>
      </w:r>
      <w:r>
        <w:fldChar w:fldCharType="begin" w:fldLock="1"/>
      </w:r>
      <w:r>
        <w:instrText xml:space="preserve"> PAGEREF _Toc201156948 \h </w:instrText>
      </w:r>
      <w:r>
        <w:fldChar w:fldCharType="separate"/>
      </w:r>
      <w:r>
        <w:t>84</w:t>
      </w:r>
      <w:r>
        <w:fldChar w:fldCharType="end"/>
      </w:r>
    </w:p>
    <w:p w14:paraId="719F6240" w14:textId="3990A6D9" w:rsidR="006C1B74" w:rsidRDefault="006C1B74">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Specific services</w:t>
      </w:r>
      <w:r>
        <w:tab/>
      </w:r>
      <w:r>
        <w:fldChar w:fldCharType="begin" w:fldLock="1"/>
      </w:r>
      <w:r>
        <w:instrText xml:space="preserve"> PAGEREF _Toc201156949 \h </w:instrText>
      </w:r>
      <w:r>
        <w:fldChar w:fldCharType="separate"/>
      </w:r>
      <w:r>
        <w:t>85</w:t>
      </w:r>
      <w:r>
        <w:fldChar w:fldCharType="end"/>
      </w:r>
    </w:p>
    <w:p w14:paraId="0A8935E0" w14:textId="527BFB81" w:rsidR="006C1B74" w:rsidRDefault="006C1B74">
      <w:pPr>
        <w:pStyle w:val="TOC3"/>
        <w:rPr>
          <w:rFonts w:asciiTheme="minorHAnsi" w:eastAsiaTheme="minorEastAsia" w:hAnsiTheme="minorHAnsi" w:cstheme="minorBidi"/>
          <w:kern w:val="2"/>
          <w:sz w:val="24"/>
          <w:szCs w:val="24"/>
          <w14:ligatures w14:val="standardContextual"/>
        </w:rPr>
      </w:pPr>
      <w:r>
        <w:lastRenderedPageBreak/>
        <w:t>4.4.1</w:t>
      </w:r>
      <w:r>
        <w:rPr>
          <w:rFonts w:asciiTheme="minorHAnsi" w:eastAsiaTheme="minorEastAsia" w:hAnsiTheme="minorHAnsi" w:cstheme="minorBidi"/>
          <w:kern w:val="2"/>
          <w:sz w:val="24"/>
          <w:szCs w:val="24"/>
          <w14:ligatures w14:val="standardContextual"/>
        </w:rPr>
        <w:tab/>
      </w:r>
      <w:r>
        <w:t>Public Warning System</w:t>
      </w:r>
      <w:r>
        <w:tab/>
      </w:r>
      <w:r>
        <w:fldChar w:fldCharType="begin" w:fldLock="1"/>
      </w:r>
      <w:r>
        <w:instrText xml:space="preserve"> PAGEREF _Toc201156950 \h </w:instrText>
      </w:r>
      <w:r>
        <w:fldChar w:fldCharType="separate"/>
      </w:r>
      <w:r>
        <w:t>85</w:t>
      </w:r>
      <w:r>
        <w:fldChar w:fldCharType="end"/>
      </w:r>
    </w:p>
    <w:p w14:paraId="4CE49955" w14:textId="0C39FB16" w:rsidR="006C1B74" w:rsidRDefault="006C1B74">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SMS over NAS</w:t>
      </w:r>
      <w:r>
        <w:tab/>
      </w:r>
      <w:r>
        <w:fldChar w:fldCharType="begin" w:fldLock="1"/>
      </w:r>
      <w:r>
        <w:instrText xml:space="preserve"> PAGEREF _Toc201156951 \h </w:instrText>
      </w:r>
      <w:r>
        <w:fldChar w:fldCharType="separate"/>
      </w:r>
      <w:r>
        <w:t>85</w:t>
      </w:r>
      <w:r>
        <w:fldChar w:fldCharType="end"/>
      </w:r>
    </w:p>
    <w:p w14:paraId="78DB2C3D" w14:textId="2C3A42DB" w:rsidR="006C1B74" w:rsidRDefault="006C1B74">
      <w:pPr>
        <w:pStyle w:val="TOC4"/>
        <w:rPr>
          <w:rFonts w:asciiTheme="minorHAnsi" w:eastAsiaTheme="minorEastAsia" w:hAnsiTheme="minorHAnsi" w:cstheme="minorBidi"/>
          <w:kern w:val="2"/>
          <w:sz w:val="24"/>
          <w:szCs w:val="24"/>
          <w14:ligatures w14:val="standardContextual"/>
        </w:rPr>
      </w:pPr>
      <w:r>
        <w:t>4.4.2.0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_Toc201156952 \h </w:instrText>
      </w:r>
      <w:r>
        <w:fldChar w:fldCharType="separate"/>
      </w:r>
      <w:r>
        <w:t>85</w:t>
      </w:r>
      <w:r>
        <w:fldChar w:fldCharType="end"/>
      </w:r>
    </w:p>
    <w:p w14:paraId="0B3D229D" w14:textId="43215F86" w:rsidR="006C1B74" w:rsidRDefault="006C1B74">
      <w:pPr>
        <w:pStyle w:val="TOC4"/>
        <w:rPr>
          <w:rFonts w:asciiTheme="minorHAnsi" w:eastAsiaTheme="minorEastAsia" w:hAnsiTheme="minorHAnsi" w:cstheme="minorBidi"/>
          <w:kern w:val="2"/>
          <w:sz w:val="24"/>
          <w:szCs w:val="24"/>
          <w14:ligatures w14:val="standardContextual"/>
        </w:rPr>
      </w:pPr>
      <w:r>
        <w:t>4.4.2.1</w:t>
      </w:r>
      <w:r>
        <w:rPr>
          <w:rFonts w:asciiTheme="minorHAnsi" w:eastAsiaTheme="minorEastAsia" w:hAnsiTheme="minorHAnsi" w:cstheme="minorBidi"/>
          <w:kern w:val="2"/>
          <w:sz w:val="24"/>
          <w:szCs w:val="24"/>
          <w14:ligatures w14:val="standardContextual"/>
        </w:rPr>
        <w:tab/>
      </w:r>
      <w:r>
        <w:t>Architecture to support SMS over NAS</w:t>
      </w:r>
      <w:r>
        <w:tab/>
      </w:r>
      <w:r>
        <w:fldChar w:fldCharType="begin" w:fldLock="1"/>
      </w:r>
      <w:r>
        <w:instrText xml:space="preserve"> PAGEREF _Toc201156953 \h </w:instrText>
      </w:r>
      <w:r>
        <w:fldChar w:fldCharType="separate"/>
      </w:r>
      <w:r>
        <w:t>85</w:t>
      </w:r>
      <w:r>
        <w:fldChar w:fldCharType="end"/>
      </w:r>
    </w:p>
    <w:p w14:paraId="43659DA7" w14:textId="08C00824" w:rsidR="006C1B74" w:rsidRDefault="006C1B74">
      <w:pPr>
        <w:pStyle w:val="TOC4"/>
        <w:rPr>
          <w:rFonts w:asciiTheme="minorHAnsi" w:eastAsiaTheme="minorEastAsia" w:hAnsiTheme="minorHAnsi" w:cstheme="minorBidi"/>
          <w:kern w:val="2"/>
          <w:sz w:val="24"/>
          <w:szCs w:val="24"/>
          <w14:ligatures w14:val="standardContextual"/>
        </w:rPr>
      </w:pPr>
      <w:r>
        <w:t>4.4.2.2</w:t>
      </w:r>
      <w:r>
        <w:rPr>
          <w:rFonts w:asciiTheme="minorHAnsi" w:eastAsiaTheme="minorEastAsia" w:hAnsiTheme="minorHAnsi" w:cstheme="minorBidi"/>
          <w:kern w:val="2"/>
          <w:sz w:val="24"/>
          <w:szCs w:val="24"/>
          <w14:ligatures w14:val="standardContextual"/>
        </w:rPr>
        <w:tab/>
      </w:r>
      <w:r>
        <w:t>Reference point to support SMS over NAS</w:t>
      </w:r>
      <w:r>
        <w:tab/>
      </w:r>
      <w:r>
        <w:fldChar w:fldCharType="begin" w:fldLock="1"/>
      </w:r>
      <w:r>
        <w:instrText xml:space="preserve"> PAGEREF _Toc201156954 \h </w:instrText>
      </w:r>
      <w:r>
        <w:fldChar w:fldCharType="separate"/>
      </w:r>
      <w:r>
        <w:t>87</w:t>
      </w:r>
      <w:r>
        <w:fldChar w:fldCharType="end"/>
      </w:r>
    </w:p>
    <w:p w14:paraId="2C5DE77C" w14:textId="6939C0F7" w:rsidR="006C1B74" w:rsidRDefault="006C1B74">
      <w:pPr>
        <w:pStyle w:val="TOC4"/>
        <w:rPr>
          <w:rFonts w:asciiTheme="minorHAnsi" w:eastAsiaTheme="minorEastAsia" w:hAnsiTheme="minorHAnsi" w:cstheme="minorBidi"/>
          <w:kern w:val="2"/>
          <w:sz w:val="24"/>
          <w:szCs w:val="24"/>
          <w14:ligatures w14:val="standardContextual"/>
        </w:rPr>
      </w:pPr>
      <w:r>
        <w:t>4.4.2.3</w:t>
      </w:r>
      <w:r>
        <w:rPr>
          <w:rFonts w:asciiTheme="minorHAnsi" w:eastAsiaTheme="minorEastAsia" w:hAnsiTheme="minorHAnsi" w:cstheme="minorBidi"/>
          <w:kern w:val="2"/>
          <w:sz w:val="24"/>
          <w:szCs w:val="24"/>
          <w14:ligatures w14:val="standardContextual"/>
        </w:rPr>
        <w:tab/>
      </w:r>
      <w:r>
        <w:t>Service based interface to support SMS over NAS</w:t>
      </w:r>
      <w:r>
        <w:tab/>
      </w:r>
      <w:r>
        <w:fldChar w:fldCharType="begin" w:fldLock="1"/>
      </w:r>
      <w:r>
        <w:instrText xml:space="preserve"> PAGEREF _Toc201156955 \h </w:instrText>
      </w:r>
      <w:r>
        <w:fldChar w:fldCharType="separate"/>
      </w:r>
      <w:r>
        <w:t>87</w:t>
      </w:r>
      <w:r>
        <w:fldChar w:fldCharType="end"/>
      </w:r>
    </w:p>
    <w:p w14:paraId="29865564" w14:textId="5D08F284" w:rsidR="006C1B74" w:rsidRDefault="006C1B74">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IMS support</w:t>
      </w:r>
      <w:r>
        <w:tab/>
      </w:r>
      <w:r>
        <w:fldChar w:fldCharType="begin" w:fldLock="1"/>
      </w:r>
      <w:r>
        <w:instrText xml:space="preserve"> PAGEREF _Toc201156956 \h </w:instrText>
      </w:r>
      <w:r>
        <w:fldChar w:fldCharType="separate"/>
      </w:r>
      <w:r>
        <w:t>87</w:t>
      </w:r>
      <w:r>
        <w:fldChar w:fldCharType="end"/>
      </w:r>
    </w:p>
    <w:p w14:paraId="2186B2E6" w14:textId="2D5FF538" w:rsidR="006C1B74" w:rsidRDefault="006C1B74">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Location services</w:t>
      </w:r>
      <w:r>
        <w:tab/>
      </w:r>
      <w:r>
        <w:fldChar w:fldCharType="begin" w:fldLock="1"/>
      </w:r>
      <w:r>
        <w:instrText xml:space="preserve"> PAGEREF _Toc201156957 \h </w:instrText>
      </w:r>
      <w:r>
        <w:fldChar w:fldCharType="separate"/>
      </w:r>
      <w:r>
        <w:t>88</w:t>
      </w:r>
      <w:r>
        <w:fldChar w:fldCharType="end"/>
      </w:r>
    </w:p>
    <w:p w14:paraId="4789E5AA" w14:textId="1934D97E" w:rsidR="006C1B74" w:rsidRDefault="006C1B74">
      <w:pPr>
        <w:pStyle w:val="TOC4"/>
        <w:rPr>
          <w:rFonts w:asciiTheme="minorHAnsi" w:eastAsiaTheme="minorEastAsia" w:hAnsiTheme="minorHAnsi" w:cstheme="minorBidi"/>
          <w:kern w:val="2"/>
          <w:sz w:val="24"/>
          <w:szCs w:val="24"/>
          <w14:ligatures w14:val="standardContextual"/>
        </w:rPr>
      </w:pPr>
      <w:r>
        <w:t>4.4.4.1</w:t>
      </w:r>
      <w:r>
        <w:rPr>
          <w:rFonts w:asciiTheme="minorHAnsi" w:eastAsiaTheme="minorEastAsia" w:hAnsiTheme="minorHAnsi" w:cstheme="minorBidi"/>
          <w:kern w:val="2"/>
          <w:sz w:val="24"/>
          <w:szCs w:val="24"/>
          <w14:ligatures w14:val="standardContextual"/>
        </w:rPr>
        <w:tab/>
      </w:r>
      <w:r>
        <w:t>Architecture to support Location Services</w:t>
      </w:r>
      <w:r>
        <w:tab/>
      </w:r>
      <w:r>
        <w:fldChar w:fldCharType="begin" w:fldLock="1"/>
      </w:r>
      <w:r>
        <w:instrText xml:space="preserve"> PAGEREF _Toc201156958 \h </w:instrText>
      </w:r>
      <w:r>
        <w:fldChar w:fldCharType="separate"/>
      </w:r>
      <w:r>
        <w:t>88</w:t>
      </w:r>
      <w:r>
        <w:fldChar w:fldCharType="end"/>
      </w:r>
    </w:p>
    <w:p w14:paraId="103C88DF" w14:textId="1A5BA0AD" w:rsidR="006C1B74" w:rsidRDefault="006C1B74">
      <w:pPr>
        <w:pStyle w:val="TOC4"/>
        <w:rPr>
          <w:rFonts w:asciiTheme="minorHAnsi" w:eastAsiaTheme="minorEastAsia" w:hAnsiTheme="minorHAnsi" w:cstheme="minorBidi"/>
          <w:kern w:val="2"/>
          <w:sz w:val="24"/>
          <w:szCs w:val="24"/>
          <w14:ligatures w14:val="standardContextual"/>
        </w:rPr>
      </w:pPr>
      <w:r>
        <w:t>4.4.4.2</w:t>
      </w:r>
      <w:r>
        <w:rPr>
          <w:rFonts w:asciiTheme="minorHAnsi" w:eastAsiaTheme="minorEastAsia" w:hAnsiTheme="minorHAnsi" w:cstheme="minorBidi"/>
          <w:kern w:val="2"/>
          <w:sz w:val="24"/>
          <w:szCs w:val="24"/>
          <w14:ligatures w14:val="standardContextual"/>
        </w:rPr>
        <w:tab/>
      </w:r>
      <w:r>
        <w:t>Reference point to support Location Services</w:t>
      </w:r>
      <w:r>
        <w:tab/>
      </w:r>
      <w:r>
        <w:fldChar w:fldCharType="begin" w:fldLock="1"/>
      </w:r>
      <w:r>
        <w:instrText xml:space="preserve"> PAGEREF _Toc201156959 \h </w:instrText>
      </w:r>
      <w:r>
        <w:fldChar w:fldCharType="separate"/>
      </w:r>
      <w:r>
        <w:t>88</w:t>
      </w:r>
      <w:r>
        <w:fldChar w:fldCharType="end"/>
      </w:r>
    </w:p>
    <w:p w14:paraId="7D5B8BE1" w14:textId="2FBEBDBC" w:rsidR="006C1B74" w:rsidRDefault="006C1B74">
      <w:pPr>
        <w:pStyle w:val="TOC4"/>
        <w:rPr>
          <w:rFonts w:asciiTheme="minorHAnsi" w:eastAsiaTheme="minorEastAsia" w:hAnsiTheme="minorHAnsi" w:cstheme="minorBidi"/>
          <w:kern w:val="2"/>
          <w:sz w:val="24"/>
          <w:szCs w:val="24"/>
          <w14:ligatures w14:val="standardContextual"/>
        </w:rPr>
      </w:pPr>
      <w:r>
        <w:t>4.4.4.3</w:t>
      </w:r>
      <w:r>
        <w:rPr>
          <w:rFonts w:asciiTheme="minorHAnsi" w:eastAsiaTheme="minorEastAsia" w:hAnsiTheme="minorHAnsi" w:cstheme="minorBidi"/>
          <w:kern w:val="2"/>
          <w:sz w:val="24"/>
          <w:szCs w:val="24"/>
          <w14:ligatures w14:val="standardContextual"/>
        </w:rPr>
        <w:tab/>
      </w:r>
      <w:r>
        <w:t>Service Based Interfaces to support Location Services</w:t>
      </w:r>
      <w:r>
        <w:tab/>
      </w:r>
      <w:r>
        <w:fldChar w:fldCharType="begin" w:fldLock="1"/>
      </w:r>
      <w:r>
        <w:instrText xml:space="preserve"> PAGEREF _Toc201156960 \h </w:instrText>
      </w:r>
      <w:r>
        <w:fldChar w:fldCharType="separate"/>
      </w:r>
      <w:r>
        <w:t>88</w:t>
      </w:r>
      <w:r>
        <w:fldChar w:fldCharType="end"/>
      </w:r>
    </w:p>
    <w:p w14:paraId="3C1231C5" w14:textId="146AF6A4" w:rsidR="006C1B74" w:rsidRDefault="006C1B74">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Application Triggering Services</w:t>
      </w:r>
      <w:r>
        <w:tab/>
      </w:r>
      <w:r>
        <w:fldChar w:fldCharType="begin" w:fldLock="1"/>
      </w:r>
      <w:r>
        <w:instrText xml:space="preserve"> PAGEREF _Toc201156961 \h </w:instrText>
      </w:r>
      <w:r>
        <w:fldChar w:fldCharType="separate"/>
      </w:r>
      <w:r>
        <w:t>88</w:t>
      </w:r>
      <w:r>
        <w:fldChar w:fldCharType="end"/>
      </w:r>
    </w:p>
    <w:p w14:paraId="210C364C" w14:textId="2367AF3A" w:rsidR="006C1B74" w:rsidRDefault="006C1B74">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5G LAN-type Services</w:t>
      </w:r>
      <w:r>
        <w:tab/>
      </w:r>
      <w:r>
        <w:fldChar w:fldCharType="begin" w:fldLock="1"/>
      </w:r>
      <w:r>
        <w:instrText xml:space="preserve"> PAGEREF _Toc201156962 \h </w:instrText>
      </w:r>
      <w:r>
        <w:fldChar w:fldCharType="separate"/>
      </w:r>
      <w:r>
        <w:t>88</w:t>
      </w:r>
      <w:r>
        <w:fldChar w:fldCharType="end"/>
      </w:r>
    </w:p>
    <w:p w14:paraId="6C8BD261" w14:textId="2AE0F690" w:rsidR="006C1B74" w:rsidRDefault="006C1B74">
      <w:pPr>
        <w:pStyle w:val="TOC4"/>
        <w:rPr>
          <w:rFonts w:asciiTheme="minorHAnsi" w:eastAsiaTheme="minorEastAsia" w:hAnsiTheme="minorHAnsi" w:cstheme="minorBidi"/>
          <w:kern w:val="2"/>
          <w:sz w:val="24"/>
          <w:szCs w:val="24"/>
          <w14:ligatures w14:val="standardContextual"/>
        </w:rPr>
      </w:pPr>
      <w:r>
        <w:t>4.4.6.1</w:t>
      </w:r>
      <w:r>
        <w:rPr>
          <w:rFonts w:asciiTheme="minorHAnsi" w:eastAsiaTheme="minorEastAsia" w:hAnsiTheme="minorHAnsi" w:cstheme="minorBidi"/>
          <w:kern w:val="2"/>
          <w:sz w:val="24"/>
          <w:szCs w:val="24"/>
          <w14:ligatures w14:val="standardContextual"/>
        </w:rPr>
        <w:tab/>
      </w:r>
      <w:r>
        <w:t>User plane architecture to support 5G LAN-type service</w:t>
      </w:r>
      <w:r>
        <w:tab/>
      </w:r>
      <w:r>
        <w:fldChar w:fldCharType="begin" w:fldLock="1"/>
      </w:r>
      <w:r>
        <w:instrText xml:space="preserve"> PAGEREF _Toc201156963 \h </w:instrText>
      </w:r>
      <w:r>
        <w:fldChar w:fldCharType="separate"/>
      </w:r>
      <w:r>
        <w:t>88</w:t>
      </w:r>
      <w:r>
        <w:fldChar w:fldCharType="end"/>
      </w:r>
    </w:p>
    <w:p w14:paraId="4B12CC19" w14:textId="5409D932" w:rsidR="006C1B74" w:rsidRDefault="006C1B74">
      <w:pPr>
        <w:pStyle w:val="TOC4"/>
        <w:rPr>
          <w:rFonts w:asciiTheme="minorHAnsi" w:eastAsiaTheme="minorEastAsia" w:hAnsiTheme="minorHAnsi" w:cstheme="minorBidi"/>
          <w:kern w:val="2"/>
          <w:sz w:val="24"/>
          <w:szCs w:val="24"/>
          <w14:ligatures w14:val="standardContextual"/>
        </w:rPr>
      </w:pPr>
      <w:r>
        <w:t>4.4.6.2</w:t>
      </w:r>
      <w:r>
        <w:rPr>
          <w:rFonts w:asciiTheme="minorHAnsi" w:eastAsiaTheme="minorEastAsia" w:hAnsiTheme="minorHAnsi" w:cstheme="minorBidi"/>
          <w:kern w:val="2"/>
          <w:sz w:val="24"/>
          <w:szCs w:val="24"/>
          <w14:ligatures w14:val="standardContextual"/>
        </w:rPr>
        <w:tab/>
      </w:r>
      <w:r>
        <w:t>Reference points to support 5G LAN-type service</w:t>
      </w:r>
      <w:r>
        <w:tab/>
      </w:r>
      <w:r>
        <w:fldChar w:fldCharType="begin" w:fldLock="1"/>
      </w:r>
      <w:r>
        <w:instrText xml:space="preserve"> PAGEREF _Toc201156964 \h </w:instrText>
      </w:r>
      <w:r>
        <w:fldChar w:fldCharType="separate"/>
      </w:r>
      <w:r>
        <w:t>89</w:t>
      </w:r>
      <w:r>
        <w:fldChar w:fldCharType="end"/>
      </w:r>
    </w:p>
    <w:p w14:paraId="2B2CB479" w14:textId="274D5C23" w:rsidR="006C1B74" w:rsidRDefault="006C1B74">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MSISDN-less MO SMS Service</w:t>
      </w:r>
      <w:r>
        <w:tab/>
      </w:r>
      <w:r>
        <w:fldChar w:fldCharType="begin" w:fldLock="1"/>
      </w:r>
      <w:r>
        <w:instrText xml:space="preserve"> PAGEREF _Toc201156965 \h </w:instrText>
      </w:r>
      <w:r>
        <w:fldChar w:fldCharType="separate"/>
      </w:r>
      <w:r>
        <w:t>89</w:t>
      </w:r>
      <w:r>
        <w:fldChar w:fldCharType="end"/>
      </w:r>
    </w:p>
    <w:p w14:paraId="6D14542E" w14:textId="0C7F77A6" w:rsidR="006C1B74" w:rsidRDefault="006C1B74">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Architecture to enable Time Sensitive Communication, Time Synchronization and Deterministic Networking</w:t>
      </w:r>
      <w:r>
        <w:tab/>
      </w:r>
      <w:r>
        <w:fldChar w:fldCharType="begin" w:fldLock="1"/>
      </w:r>
      <w:r>
        <w:instrText xml:space="preserve"> PAGEREF _Toc201156966 \h </w:instrText>
      </w:r>
      <w:r>
        <w:fldChar w:fldCharType="separate"/>
      </w:r>
      <w:r>
        <w:t>89</w:t>
      </w:r>
      <w:r>
        <w:fldChar w:fldCharType="end"/>
      </w:r>
    </w:p>
    <w:p w14:paraId="3FEE5AD4" w14:textId="4F9E6158" w:rsidR="006C1B74" w:rsidRDefault="006C1B74">
      <w:pPr>
        <w:pStyle w:val="TOC4"/>
        <w:rPr>
          <w:rFonts w:asciiTheme="minorHAnsi" w:eastAsiaTheme="minorEastAsia" w:hAnsiTheme="minorHAnsi" w:cstheme="minorBidi"/>
          <w:kern w:val="2"/>
          <w:sz w:val="24"/>
          <w:szCs w:val="24"/>
          <w14:ligatures w14:val="standardContextual"/>
        </w:rPr>
      </w:pPr>
      <w:r>
        <w:t>4.4.8.1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_Toc201156967 \h </w:instrText>
      </w:r>
      <w:r>
        <w:fldChar w:fldCharType="separate"/>
      </w:r>
      <w:r>
        <w:t>89</w:t>
      </w:r>
      <w:r>
        <w:fldChar w:fldCharType="end"/>
      </w:r>
    </w:p>
    <w:p w14:paraId="361F4312" w14:textId="65B6F28C" w:rsidR="006C1B74" w:rsidRDefault="006C1B74">
      <w:pPr>
        <w:pStyle w:val="TOC4"/>
        <w:rPr>
          <w:rFonts w:asciiTheme="minorHAnsi" w:eastAsiaTheme="minorEastAsia" w:hAnsiTheme="minorHAnsi" w:cstheme="minorBidi"/>
          <w:kern w:val="2"/>
          <w:sz w:val="24"/>
          <w:szCs w:val="24"/>
          <w14:ligatures w14:val="standardContextual"/>
        </w:rPr>
      </w:pPr>
      <w:r>
        <w:t>4.4.8.2</w:t>
      </w:r>
      <w:r>
        <w:rPr>
          <w:rFonts w:asciiTheme="minorHAnsi" w:eastAsiaTheme="minorEastAsia" w:hAnsiTheme="minorHAnsi" w:cstheme="minorBidi"/>
          <w:kern w:val="2"/>
          <w:sz w:val="24"/>
          <w:szCs w:val="24"/>
          <w14:ligatures w14:val="standardContextual"/>
        </w:rPr>
        <w:tab/>
      </w:r>
      <w:r>
        <w:t>Architecture to support IEEE Time Sensitive Networking</w:t>
      </w:r>
      <w:r>
        <w:tab/>
      </w:r>
      <w:r>
        <w:fldChar w:fldCharType="begin" w:fldLock="1"/>
      </w:r>
      <w:r>
        <w:instrText xml:space="preserve"> PAGEREF _Toc201156968 \h </w:instrText>
      </w:r>
      <w:r>
        <w:fldChar w:fldCharType="separate"/>
      </w:r>
      <w:r>
        <w:t>90</w:t>
      </w:r>
      <w:r>
        <w:fldChar w:fldCharType="end"/>
      </w:r>
    </w:p>
    <w:p w14:paraId="685CCB06" w14:textId="29906C14" w:rsidR="006C1B74" w:rsidRDefault="006C1B74">
      <w:pPr>
        <w:pStyle w:val="TOC4"/>
        <w:rPr>
          <w:rFonts w:asciiTheme="minorHAnsi" w:eastAsiaTheme="minorEastAsia" w:hAnsiTheme="minorHAnsi" w:cstheme="minorBidi"/>
          <w:kern w:val="2"/>
          <w:sz w:val="24"/>
          <w:szCs w:val="24"/>
          <w14:ligatures w14:val="standardContextual"/>
        </w:rPr>
      </w:pPr>
      <w:r>
        <w:t>4.4.8.3</w:t>
      </w:r>
      <w:r>
        <w:rPr>
          <w:rFonts w:asciiTheme="minorHAnsi" w:eastAsiaTheme="minorEastAsia" w:hAnsiTheme="minorHAnsi" w:cstheme="minorBidi"/>
          <w:kern w:val="2"/>
          <w:sz w:val="24"/>
          <w:szCs w:val="24"/>
          <w14:ligatures w14:val="standardContextual"/>
        </w:rPr>
        <w:tab/>
      </w:r>
      <w:r>
        <w:t>Architecture for AF requested support of Time Sensitive Communication and Time Synchronization</w:t>
      </w:r>
      <w:r>
        <w:tab/>
      </w:r>
      <w:r>
        <w:fldChar w:fldCharType="begin" w:fldLock="1"/>
      </w:r>
      <w:r>
        <w:instrText xml:space="preserve"> PAGEREF _Toc201156969 \h </w:instrText>
      </w:r>
      <w:r>
        <w:fldChar w:fldCharType="separate"/>
      </w:r>
      <w:r>
        <w:t>91</w:t>
      </w:r>
      <w:r>
        <w:fldChar w:fldCharType="end"/>
      </w:r>
    </w:p>
    <w:p w14:paraId="4AE59BF1" w14:textId="7B7A872E" w:rsidR="006C1B74" w:rsidRDefault="006C1B74">
      <w:pPr>
        <w:pStyle w:val="TOC4"/>
        <w:rPr>
          <w:rFonts w:asciiTheme="minorHAnsi" w:eastAsiaTheme="minorEastAsia" w:hAnsiTheme="minorHAnsi" w:cstheme="minorBidi"/>
          <w:kern w:val="2"/>
          <w:sz w:val="24"/>
          <w:szCs w:val="24"/>
          <w14:ligatures w14:val="standardContextual"/>
        </w:rPr>
      </w:pPr>
      <w:r>
        <w:t>4.4.8.4</w:t>
      </w:r>
      <w:r>
        <w:rPr>
          <w:rFonts w:asciiTheme="minorHAnsi" w:eastAsiaTheme="minorEastAsia" w:hAnsiTheme="minorHAnsi" w:cstheme="minorBidi"/>
          <w:kern w:val="2"/>
          <w:sz w:val="24"/>
          <w:szCs w:val="24"/>
          <w14:ligatures w14:val="standardContextual"/>
        </w:rPr>
        <w:tab/>
      </w:r>
      <w:r>
        <w:t>Architecture to support IETF Deterministic Networking</w:t>
      </w:r>
      <w:r>
        <w:tab/>
      </w:r>
      <w:r>
        <w:fldChar w:fldCharType="begin" w:fldLock="1"/>
      </w:r>
      <w:r>
        <w:instrText xml:space="preserve"> PAGEREF _Toc201156970 \h </w:instrText>
      </w:r>
      <w:r>
        <w:fldChar w:fldCharType="separate"/>
      </w:r>
      <w:r>
        <w:t>91</w:t>
      </w:r>
      <w:r>
        <w:fldChar w:fldCharType="end"/>
      </w:r>
    </w:p>
    <w:p w14:paraId="659C4291" w14:textId="267A0E2E" w:rsidR="006C1B74" w:rsidRDefault="006C1B74">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High level features</w:t>
      </w:r>
      <w:r>
        <w:tab/>
      </w:r>
      <w:r>
        <w:fldChar w:fldCharType="begin" w:fldLock="1"/>
      </w:r>
      <w:r>
        <w:instrText xml:space="preserve"> PAGEREF _Toc201156971 \h </w:instrText>
      </w:r>
      <w:r>
        <w:fldChar w:fldCharType="separate"/>
      </w:r>
      <w:r>
        <w:t>92</w:t>
      </w:r>
      <w:r>
        <w:fldChar w:fldCharType="end"/>
      </w:r>
    </w:p>
    <w:p w14:paraId="36B2A299" w14:textId="78C74E6B" w:rsidR="006C1B74" w:rsidRDefault="006C1B74">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_Toc201156972 \h </w:instrText>
      </w:r>
      <w:r>
        <w:fldChar w:fldCharType="separate"/>
      </w:r>
      <w:r>
        <w:t>92</w:t>
      </w:r>
      <w:r>
        <w:fldChar w:fldCharType="end"/>
      </w:r>
    </w:p>
    <w:p w14:paraId="7E148CF6" w14:textId="7EC681B3" w:rsidR="006C1B74" w:rsidRDefault="006C1B74">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Network Access Control</w:t>
      </w:r>
      <w:r>
        <w:tab/>
      </w:r>
      <w:r>
        <w:fldChar w:fldCharType="begin" w:fldLock="1"/>
      </w:r>
      <w:r>
        <w:instrText xml:space="preserve"> PAGEREF _Toc201156973 \h </w:instrText>
      </w:r>
      <w:r>
        <w:fldChar w:fldCharType="separate"/>
      </w:r>
      <w:r>
        <w:t>93</w:t>
      </w:r>
      <w:r>
        <w:fldChar w:fldCharType="end"/>
      </w:r>
    </w:p>
    <w:p w14:paraId="7570C136" w14:textId="255301B0" w:rsidR="006C1B74" w:rsidRDefault="006C1B74">
      <w:pPr>
        <w:pStyle w:val="TOC3"/>
        <w:rPr>
          <w:rFonts w:asciiTheme="minorHAnsi" w:eastAsiaTheme="minorEastAsia" w:hAnsiTheme="minorHAnsi" w:cstheme="minorBidi"/>
          <w:kern w:val="2"/>
          <w:sz w:val="24"/>
          <w:szCs w:val="24"/>
          <w14:ligatures w14:val="standardContextual"/>
        </w:rPr>
      </w:pPr>
      <w:r w:rsidRPr="00191652">
        <w:rPr>
          <w:rFonts w:eastAsia="MS Mincho"/>
        </w:rPr>
        <w:t>5.2.1</w:t>
      </w:r>
      <w:r>
        <w:rPr>
          <w:rFonts w:asciiTheme="minorHAnsi" w:eastAsiaTheme="minorEastAsia" w:hAnsiTheme="minorHAnsi" w:cstheme="minorBidi"/>
          <w:kern w:val="2"/>
          <w:sz w:val="24"/>
          <w:szCs w:val="24"/>
          <w14:ligatures w14:val="standardContextual"/>
        </w:rPr>
        <w:tab/>
      </w:r>
      <w:r w:rsidRPr="00191652">
        <w:rPr>
          <w:rFonts w:eastAsia="MS Mincho"/>
        </w:rPr>
        <w:t>General</w:t>
      </w:r>
      <w:r>
        <w:tab/>
      </w:r>
      <w:r>
        <w:fldChar w:fldCharType="begin" w:fldLock="1"/>
      </w:r>
      <w:r>
        <w:instrText xml:space="preserve"> PAGEREF _Toc201156974 \h </w:instrText>
      </w:r>
      <w:r>
        <w:fldChar w:fldCharType="separate"/>
      </w:r>
      <w:r>
        <w:t>93</w:t>
      </w:r>
      <w:r>
        <w:fldChar w:fldCharType="end"/>
      </w:r>
    </w:p>
    <w:p w14:paraId="01B11A99" w14:textId="6CFED333" w:rsidR="006C1B74" w:rsidRDefault="006C1B74">
      <w:pPr>
        <w:pStyle w:val="TOC3"/>
        <w:rPr>
          <w:rFonts w:asciiTheme="minorHAnsi" w:eastAsiaTheme="minorEastAsia" w:hAnsiTheme="minorHAnsi" w:cstheme="minorBidi"/>
          <w:kern w:val="2"/>
          <w:sz w:val="24"/>
          <w:szCs w:val="24"/>
          <w14:ligatures w14:val="standardContextual"/>
        </w:rPr>
      </w:pPr>
      <w:r w:rsidRPr="00191652">
        <w:rPr>
          <w:rFonts w:eastAsia="MS Mincho"/>
        </w:rPr>
        <w:t>5.2.2</w:t>
      </w:r>
      <w:r>
        <w:rPr>
          <w:rFonts w:asciiTheme="minorHAnsi" w:eastAsiaTheme="minorEastAsia" w:hAnsiTheme="minorHAnsi" w:cstheme="minorBidi"/>
          <w:kern w:val="2"/>
          <w:sz w:val="24"/>
          <w:szCs w:val="24"/>
          <w14:ligatures w14:val="standardContextual"/>
        </w:rPr>
        <w:tab/>
      </w:r>
      <w:r w:rsidRPr="00191652">
        <w:rPr>
          <w:rFonts w:eastAsia="MS Mincho"/>
        </w:rPr>
        <w:t>Network selection</w:t>
      </w:r>
      <w:r>
        <w:tab/>
      </w:r>
      <w:r>
        <w:fldChar w:fldCharType="begin" w:fldLock="1"/>
      </w:r>
      <w:r>
        <w:instrText xml:space="preserve"> PAGEREF _Toc201156975 \h </w:instrText>
      </w:r>
      <w:r>
        <w:fldChar w:fldCharType="separate"/>
      </w:r>
      <w:r>
        <w:t>93</w:t>
      </w:r>
      <w:r>
        <w:fldChar w:fldCharType="end"/>
      </w:r>
    </w:p>
    <w:p w14:paraId="02561B4E" w14:textId="7C0BE9DC" w:rsidR="006C1B74" w:rsidRDefault="006C1B74">
      <w:pPr>
        <w:pStyle w:val="TOC3"/>
        <w:rPr>
          <w:rFonts w:asciiTheme="minorHAnsi" w:eastAsiaTheme="minorEastAsia" w:hAnsiTheme="minorHAnsi" w:cstheme="minorBidi"/>
          <w:kern w:val="2"/>
          <w:sz w:val="24"/>
          <w:szCs w:val="24"/>
          <w14:ligatures w14:val="standardContextual"/>
        </w:rPr>
      </w:pPr>
      <w:r w:rsidRPr="00191652">
        <w:rPr>
          <w:rFonts w:eastAsia="MS Mincho"/>
        </w:rPr>
        <w:t>5.2.2a</w:t>
      </w:r>
      <w:r>
        <w:rPr>
          <w:rFonts w:asciiTheme="minorHAnsi" w:eastAsiaTheme="minorEastAsia" w:hAnsiTheme="minorHAnsi" w:cstheme="minorBidi"/>
          <w:kern w:val="2"/>
          <w:sz w:val="24"/>
          <w:szCs w:val="24"/>
          <w14:ligatures w14:val="standardContextual"/>
        </w:rPr>
        <w:tab/>
      </w:r>
      <w:r w:rsidRPr="00191652">
        <w:rPr>
          <w:rFonts w:eastAsia="MS Mincho"/>
        </w:rPr>
        <w:t>Void</w:t>
      </w:r>
      <w:r>
        <w:tab/>
      </w:r>
      <w:r>
        <w:fldChar w:fldCharType="begin" w:fldLock="1"/>
      </w:r>
      <w:r>
        <w:instrText xml:space="preserve"> PAGEREF _Toc201156976 \h </w:instrText>
      </w:r>
      <w:r>
        <w:fldChar w:fldCharType="separate"/>
      </w:r>
      <w:r>
        <w:t>93</w:t>
      </w:r>
      <w:r>
        <w:fldChar w:fldCharType="end"/>
      </w:r>
    </w:p>
    <w:p w14:paraId="3C6229E6" w14:textId="53824809" w:rsidR="006C1B74" w:rsidRDefault="006C1B74">
      <w:pPr>
        <w:pStyle w:val="TOC3"/>
        <w:rPr>
          <w:rFonts w:asciiTheme="minorHAnsi" w:eastAsiaTheme="minorEastAsia" w:hAnsiTheme="minorHAnsi" w:cstheme="minorBidi"/>
          <w:kern w:val="2"/>
          <w:sz w:val="24"/>
          <w:szCs w:val="24"/>
          <w14:ligatures w14:val="standardContextual"/>
        </w:rPr>
      </w:pPr>
      <w:r w:rsidRPr="00191652">
        <w:rPr>
          <w:rFonts w:eastAsia="MS Mincho"/>
        </w:rPr>
        <w:t>5.2.3</w:t>
      </w:r>
      <w:r>
        <w:rPr>
          <w:rFonts w:asciiTheme="minorHAnsi" w:eastAsiaTheme="minorEastAsia" w:hAnsiTheme="minorHAnsi" w:cstheme="minorBidi"/>
          <w:kern w:val="2"/>
          <w:sz w:val="24"/>
          <w:szCs w:val="24"/>
          <w14:ligatures w14:val="standardContextual"/>
        </w:rPr>
        <w:tab/>
      </w:r>
      <w:r w:rsidRPr="00191652">
        <w:rPr>
          <w:rFonts w:eastAsia="MS Mincho"/>
        </w:rPr>
        <w:t>Identification and authentication</w:t>
      </w:r>
      <w:r>
        <w:tab/>
      </w:r>
      <w:r>
        <w:fldChar w:fldCharType="begin" w:fldLock="1"/>
      </w:r>
      <w:r>
        <w:instrText xml:space="preserve"> PAGEREF _Toc201156977 \h </w:instrText>
      </w:r>
      <w:r>
        <w:fldChar w:fldCharType="separate"/>
      </w:r>
      <w:r>
        <w:t>93</w:t>
      </w:r>
      <w:r>
        <w:fldChar w:fldCharType="end"/>
      </w:r>
    </w:p>
    <w:p w14:paraId="1CEE2DA0" w14:textId="1C4A7624" w:rsidR="006C1B74" w:rsidRDefault="006C1B74">
      <w:pPr>
        <w:pStyle w:val="TOC3"/>
        <w:rPr>
          <w:rFonts w:asciiTheme="minorHAnsi" w:eastAsiaTheme="minorEastAsia" w:hAnsiTheme="minorHAnsi" w:cstheme="minorBidi"/>
          <w:kern w:val="2"/>
          <w:sz w:val="24"/>
          <w:szCs w:val="24"/>
          <w14:ligatures w14:val="standardContextual"/>
        </w:rPr>
      </w:pPr>
      <w:r w:rsidRPr="00191652">
        <w:rPr>
          <w:rFonts w:eastAsia="MS Mincho"/>
        </w:rPr>
        <w:t>5.2.4</w:t>
      </w:r>
      <w:r>
        <w:rPr>
          <w:rFonts w:asciiTheme="minorHAnsi" w:eastAsiaTheme="minorEastAsia" w:hAnsiTheme="minorHAnsi" w:cstheme="minorBidi"/>
          <w:kern w:val="2"/>
          <w:sz w:val="24"/>
          <w:szCs w:val="24"/>
          <w14:ligatures w14:val="standardContextual"/>
        </w:rPr>
        <w:tab/>
      </w:r>
      <w:r w:rsidRPr="00191652">
        <w:rPr>
          <w:rFonts w:eastAsia="MS Mincho"/>
        </w:rPr>
        <w:t>Authorisation</w:t>
      </w:r>
      <w:r>
        <w:tab/>
      </w:r>
      <w:r>
        <w:fldChar w:fldCharType="begin" w:fldLock="1"/>
      </w:r>
      <w:r>
        <w:instrText xml:space="preserve"> PAGEREF _Toc201156978 \h </w:instrText>
      </w:r>
      <w:r>
        <w:fldChar w:fldCharType="separate"/>
      </w:r>
      <w:r>
        <w:t>93</w:t>
      </w:r>
      <w:r>
        <w:fldChar w:fldCharType="end"/>
      </w:r>
    </w:p>
    <w:p w14:paraId="7859137C" w14:textId="2C1B08A6" w:rsidR="006C1B74" w:rsidRDefault="006C1B74">
      <w:pPr>
        <w:pStyle w:val="TOC3"/>
        <w:rPr>
          <w:rFonts w:asciiTheme="minorHAnsi" w:eastAsiaTheme="minorEastAsia" w:hAnsiTheme="minorHAnsi" w:cstheme="minorBidi"/>
          <w:kern w:val="2"/>
          <w:sz w:val="24"/>
          <w:szCs w:val="24"/>
          <w14:ligatures w14:val="standardContextual"/>
        </w:rPr>
      </w:pPr>
      <w:r w:rsidRPr="00191652">
        <w:rPr>
          <w:rFonts w:eastAsia="MS Mincho"/>
        </w:rPr>
        <w:t>5.2.5</w:t>
      </w:r>
      <w:r>
        <w:rPr>
          <w:rFonts w:asciiTheme="minorHAnsi" w:eastAsiaTheme="minorEastAsia" w:hAnsiTheme="minorHAnsi" w:cstheme="minorBidi"/>
          <w:kern w:val="2"/>
          <w:sz w:val="24"/>
          <w:szCs w:val="24"/>
          <w14:ligatures w14:val="standardContextual"/>
        </w:rPr>
        <w:tab/>
      </w:r>
      <w:r w:rsidRPr="00191652">
        <w:rPr>
          <w:rFonts w:eastAsia="MS Mincho"/>
        </w:rPr>
        <w:t>Access control and barring</w:t>
      </w:r>
      <w:r>
        <w:tab/>
      </w:r>
      <w:r>
        <w:fldChar w:fldCharType="begin" w:fldLock="1"/>
      </w:r>
      <w:r>
        <w:instrText xml:space="preserve"> PAGEREF _Toc201156979 \h </w:instrText>
      </w:r>
      <w:r>
        <w:fldChar w:fldCharType="separate"/>
      </w:r>
      <w:r>
        <w:t>93</w:t>
      </w:r>
      <w:r>
        <w:fldChar w:fldCharType="end"/>
      </w:r>
    </w:p>
    <w:p w14:paraId="0C4D7D60" w14:textId="24636149" w:rsidR="006C1B74" w:rsidRDefault="006C1B74">
      <w:pPr>
        <w:pStyle w:val="TOC3"/>
        <w:rPr>
          <w:rFonts w:asciiTheme="minorHAnsi" w:eastAsiaTheme="minorEastAsia" w:hAnsiTheme="minorHAnsi" w:cstheme="minorBidi"/>
          <w:kern w:val="2"/>
          <w:sz w:val="24"/>
          <w:szCs w:val="24"/>
          <w14:ligatures w14:val="standardContextual"/>
        </w:rPr>
      </w:pPr>
      <w:r w:rsidRPr="00191652">
        <w:rPr>
          <w:rFonts w:eastAsia="MS Mincho"/>
        </w:rPr>
        <w:t>5.2.6</w:t>
      </w:r>
      <w:r>
        <w:rPr>
          <w:rFonts w:asciiTheme="minorHAnsi" w:eastAsiaTheme="minorEastAsia" w:hAnsiTheme="minorHAnsi" w:cstheme="minorBidi"/>
          <w:kern w:val="2"/>
          <w:sz w:val="24"/>
          <w:szCs w:val="24"/>
          <w14:ligatures w14:val="standardContextual"/>
        </w:rPr>
        <w:tab/>
      </w:r>
      <w:r w:rsidRPr="00191652">
        <w:rPr>
          <w:rFonts w:eastAsia="MS Mincho"/>
        </w:rPr>
        <w:t>Policy control</w:t>
      </w:r>
      <w:r>
        <w:tab/>
      </w:r>
      <w:r>
        <w:fldChar w:fldCharType="begin" w:fldLock="1"/>
      </w:r>
      <w:r>
        <w:instrText xml:space="preserve"> PAGEREF _Toc201156980 \h </w:instrText>
      </w:r>
      <w:r>
        <w:fldChar w:fldCharType="separate"/>
      </w:r>
      <w:r>
        <w:t>94</w:t>
      </w:r>
      <w:r>
        <w:fldChar w:fldCharType="end"/>
      </w:r>
    </w:p>
    <w:p w14:paraId="13CF9323" w14:textId="494428DB" w:rsidR="006C1B74" w:rsidRDefault="006C1B74">
      <w:pPr>
        <w:pStyle w:val="TOC3"/>
        <w:rPr>
          <w:rFonts w:asciiTheme="minorHAnsi" w:eastAsiaTheme="minorEastAsia" w:hAnsiTheme="minorHAnsi" w:cstheme="minorBidi"/>
          <w:kern w:val="2"/>
          <w:sz w:val="24"/>
          <w:szCs w:val="24"/>
          <w14:ligatures w14:val="standardContextual"/>
        </w:rPr>
      </w:pPr>
      <w:r w:rsidRPr="00191652">
        <w:rPr>
          <w:rFonts w:eastAsia="MS Mincho"/>
        </w:rPr>
        <w:t>5.2.7</w:t>
      </w:r>
      <w:r>
        <w:rPr>
          <w:rFonts w:asciiTheme="minorHAnsi" w:eastAsiaTheme="minorEastAsia" w:hAnsiTheme="minorHAnsi" w:cstheme="minorBidi"/>
          <w:kern w:val="2"/>
          <w:sz w:val="24"/>
          <w:szCs w:val="24"/>
          <w14:ligatures w14:val="standardContextual"/>
        </w:rPr>
        <w:tab/>
      </w:r>
      <w:r w:rsidRPr="00191652">
        <w:rPr>
          <w:rFonts w:eastAsia="MS Mincho"/>
        </w:rPr>
        <w:t>Lawful Interception</w:t>
      </w:r>
      <w:r>
        <w:tab/>
      </w:r>
      <w:r>
        <w:fldChar w:fldCharType="begin" w:fldLock="1"/>
      </w:r>
      <w:r>
        <w:instrText xml:space="preserve"> PAGEREF _Toc201156981 \h </w:instrText>
      </w:r>
      <w:r>
        <w:fldChar w:fldCharType="separate"/>
      </w:r>
      <w:r>
        <w:t>94</w:t>
      </w:r>
      <w:r>
        <w:fldChar w:fldCharType="end"/>
      </w:r>
    </w:p>
    <w:p w14:paraId="1D4C4F3A" w14:textId="63156CA9" w:rsidR="006C1B74" w:rsidRDefault="006C1B74">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Registration and Connection Management</w:t>
      </w:r>
      <w:r>
        <w:tab/>
      </w:r>
      <w:r>
        <w:fldChar w:fldCharType="begin" w:fldLock="1"/>
      </w:r>
      <w:r>
        <w:instrText xml:space="preserve"> PAGEREF _Toc201156982 \h </w:instrText>
      </w:r>
      <w:r>
        <w:fldChar w:fldCharType="separate"/>
      </w:r>
      <w:r>
        <w:t>94</w:t>
      </w:r>
      <w:r>
        <w:fldChar w:fldCharType="end"/>
      </w:r>
    </w:p>
    <w:p w14:paraId="13882FAD" w14:textId="795E093C" w:rsidR="006C1B74" w:rsidRDefault="006C1B74">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_Toc201156983 \h </w:instrText>
      </w:r>
      <w:r>
        <w:fldChar w:fldCharType="separate"/>
      </w:r>
      <w:r>
        <w:t>94</w:t>
      </w:r>
      <w:r>
        <w:fldChar w:fldCharType="end"/>
      </w:r>
    </w:p>
    <w:p w14:paraId="6A99BDE3" w14:textId="6E111414" w:rsidR="006C1B74" w:rsidRDefault="006C1B74">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Registration Management</w:t>
      </w:r>
      <w:r>
        <w:tab/>
      </w:r>
      <w:r>
        <w:fldChar w:fldCharType="begin" w:fldLock="1"/>
      </w:r>
      <w:r>
        <w:instrText xml:space="preserve"> PAGEREF _Toc201156984 \h </w:instrText>
      </w:r>
      <w:r>
        <w:fldChar w:fldCharType="separate"/>
      </w:r>
      <w:r>
        <w:t>94</w:t>
      </w:r>
      <w:r>
        <w:fldChar w:fldCharType="end"/>
      </w:r>
    </w:p>
    <w:p w14:paraId="27169697" w14:textId="26EDB5EB" w:rsidR="006C1B74" w:rsidRDefault="006C1B74">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_Toc201156985 \h </w:instrText>
      </w:r>
      <w:r>
        <w:fldChar w:fldCharType="separate"/>
      </w:r>
      <w:r>
        <w:t>94</w:t>
      </w:r>
      <w:r>
        <w:fldChar w:fldCharType="end"/>
      </w:r>
    </w:p>
    <w:p w14:paraId="289BF2A1" w14:textId="204E5215" w:rsidR="006C1B74" w:rsidRDefault="006C1B74">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5GS Registration Management states</w:t>
      </w:r>
      <w:r>
        <w:tab/>
      </w:r>
      <w:r>
        <w:fldChar w:fldCharType="begin" w:fldLock="1"/>
      </w:r>
      <w:r>
        <w:instrText xml:space="preserve"> PAGEREF _Toc201156986 \h </w:instrText>
      </w:r>
      <w:r>
        <w:fldChar w:fldCharType="separate"/>
      </w:r>
      <w:r>
        <w:t>95</w:t>
      </w:r>
      <w:r>
        <w:fldChar w:fldCharType="end"/>
      </w:r>
    </w:p>
    <w:p w14:paraId="01B7C0D1" w14:textId="12C5452B" w:rsidR="006C1B74" w:rsidRDefault="006C1B74">
      <w:pPr>
        <w:pStyle w:val="TOC5"/>
        <w:rPr>
          <w:rFonts w:asciiTheme="minorHAnsi" w:eastAsiaTheme="minorEastAsia" w:hAnsiTheme="minorHAnsi" w:cstheme="minorBidi"/>
          <w:kern w:val="2"/>
          <w:sz w:val="24"/>
          <w:szCs w:val="24"/>
          <w14:ligatures w14:val="standardContextual"/>
        </w:rPr>
      </w:pPr>
      <w:r>
        <w:t>5.3.2.2.1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_Toc201156987 \h </w:instrText>
      </w:r>
      <w:r>
        <w:fldChar w:fldCharType="separate"/>
      </w:r>
      <w:r>
        <w:t>95</w:t>
      </w:r>
      <w:r>
        <w:fldChar w:fldCharType="end"/>
      </w:r>
    </w:p>
    <w:p w14:paraId="016CB97E" w14:textId="6CFC735C" w:rsidR="006C1B74" w:rsidRDefault="006C1B74">
      <w:pPr>
        <w:pStyle w:val="TOC5"/>
        <w:rPr>
          <w:rFonts w:asciiTheme="minorHAnsi" w:eastAsiaTheme="minorEastAsia" w:hAnsiTheme="minorHAnsi" w:cstheme="minorBidi"/>
          <w:kern w:val="2"/>
          <w:sz w:val="24"/>
          <w:szCs w:val="24"/>
          <w14:ligatures w14:val="standardContextual"/>
        </w:rPr>
      </w:pPr>
      <w:r>
        <w:t>5.3.2.2.2</w:t>
      </w:r>
      <w:r>
        <w:rPr>
          <w:rFonts w:asciiTheme="minorHAnsi" w:eastAsiaTheme="minorEastAsia" w:hAnsiTheme="minorHAnsi" w:cstheme="minorBidi"/>
          <w:kern w:val="2"/>
          <w:sz w:val="24"/>
          <w:szCs w:val="24"/>
          <w14:ligatures w14:val="standardContextual"/>
        </w:rPr>
        <w:tab/>
      </w:r>
      <w:r>
        <w:t>RM-DEREGISTERED state</w:t>
      </w:r>
      <w:r>
        <w:tab/>
      </w:r>
      <w:r>
        <w:fldChar w:fldCharType="begin" w:fldLock="1"/>
      </w:r>
      <w:r>
        <w:instrText xml:space="preserve"> PAGEREF _Toc201156988 \h </w:instrText>
      </w:r>
      <w:r>
        <w:fldChar w:fldCharType="separate"/>
      </w:r>
      <w:r>
        <w:t>95</w:t>
      </w:r>
      <w:r>
        <w:fldChar w:fldCharType="end"/>
      </w:r>
    </w:p>
    <w:p w14:paraId="4314C6A8" w14:textId="34DDD49D" w:rsidR="006C1B74" w:rsidRDefault="006C1B74">
      <w:pPr>
        <w:pStyle w:val="TOC5"/>
        <w:rPr>
          <w:rFonts w:asciiTheme="minorHAnsi" w:eastAsiaTheme="minorEastAsia" w:hAnsiTheme="minorHAnsi" w:cstheme="minorBidi"/>
          <w:kern w:val="2"/>
          <w:sz w:val="24"/>
          <w:szCs w:val="24"/>
          <w14:ligatures w14:val="standardContextual"/>
        </w:rPr>
      </w:pPr>
      <w:r>
        <w:t>5.3.2.2.3</w:t>
      </w:r>
      <w:r>
        <w:rPr>
          <w:rFonts w:asciiTheme="minorHAnsi" w:eastAsiaTheme="minorEastAsia" w:hAnsiTheme="minorHAnsi" w:cstheme="minorBidi"/>
          <w:kern w:val="2"/>
          <w:sz w:val="24"/>
          <w:szCs w:val="24"/>
          <w14:ligatures w14:val="standardContextual"/>
        </w:rPr>
        <w:tab/>
      </w:r>
      <w:r>
        <w:t>RM-REGISTERED state</w:t>
      </w:r>
      <w:r>
        <w:tab/>
      </w:r>
      <w:r>
        <w:fldChar w:fldCharType="begin" w:fldLock="1"/>
      </w:r>
      <w:r>
        <w:instrText xml:space="preserve"> PAGEREF _Toc201156989 \h </w:instrText>
      </w:r>
      <w:r>
        <w:fldChar w:fldCharType="separate"/>
      </w:r>
      <w:r>
        <w:t>95</w:t>
      </w:r>
      <w:r>
        <w:fldChar w:fldCharType="end"/>
      </w:r>
    </w:p>
    <w:p w14:paraId="0F15E821" w14:textId="73D376F3" w:rsidR="006C1B74" w:rsidRDefault="006C1B74">
      <w:pPr>
        <w:pStyle w:val="TOC5"/>
        <w:rPr>
          <w:rFonts w:asciiTheme="minorHAnsi" w:eastAsiaTheme="minorEastAsia" w:hAnsiTheme="minorHAnsi" w:cstheme="minorBidi"/>
          <w:kern w:val="2"/>
          <w:sz w:val="24"/>
          <w:szCs w:val="24"/>
          <w14:ligatures w14:val="standardContextual"/>
        </w:rPr>
      </w:pPr>
      <w:r>
        <w:t>5.3.2.2.4</w:t>
      </w:r>
      <w:r>
        <w:rPr>
          <w:rFonts w:asciiTheme="minorHAnsi" w:eastAsiaTheme="minorEastAsia" w:hAnsiTheme="minorHAnsi" w:cstheme="minorBidi"/>
          <w:kern w:val="2"/>
          <w:sz w:val="24"/>
          <w:szCs w:val="24"/>
          <w14:ligatures w14:val="standardContextual"/>
        </w:rPr>
        <w:tab/>
      </w:r>
      <w:r>
        <w:t>5GS Registration Management State models</w:t>
      </w:r>
      <w:r>
        <w:tab/>
      </w:r>
      <w:r>
        <w:fldChar w:fldCharType="begin" w:fldLock="1"/>
      </w:r>
      <w:r>
        <w:instrText xml:space="preserve"> PAGEREF _Toc201156990 \h </w:instrText>
      </w:r>
      <w:r>
        <w:fldChar w:fldCharType="separate"/>
      </w:r>
      <w:r>
        <w:t>96</w:t>
      </w:r>
      <w:r>
        <w:fldChar w:fldCharType="end"/>
      </w:r>
    </w:p>
    <w:p w14:paraId="5676FD33" w14:textId="4D2CB63C"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5.3.2.3</w:t>
      </w:r>
      <w:r>
        <w:rPr>
          <w:rFonts w:asciiTheme="minorHAnsi" w:eastAsiaTheme="minorEastAsia" w:hAnsiTheme="minorHAnsi" w:cstheme="minorBidi"/>
          <w:kern w:val="2"/>
          <w:sz w:val="24"/>
          <w:szCs w:val="24"/>
          <w14:ligatures w14:val="standardContextual"/>
        </w:rPr>
        <w:tab/>
      </w:r>
      <w:r>
        <w:rPr>
          <w:lang w:eastAsia="zh-CN"/>
        </w:rPr>
        <w:t>Registration Area management</w:t>
      </w:r>
      <w:r>
        <w:tab/>
      </w:r>
      <w:r>
        <w:fldChar w:fldCharType="begin" w:fldLock="1"/>
      </w:r>
      <w:r>
        <w:instrText xml:space="preserve"> PAGEREF _Toc201156991 \h </w:instrText>
      </w:r>
      <w:r>
        <w:fldChar w:fldCharType="separate"/>
      </w:r>
      <w:r>
        <w:t>96</w:t>
      </w:r>
      <w:r>
        <w:fldChar w:fldCharType="end"/>
      </w:r>
    </w:p>
    <w:p w14:paraId="2DDC64BF" w14:textId="72E86613"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5.3.2.4</w:t>
      </w:r>
      <w:r>
        <w:rPr>
          <w:rFonts w:asciiTheme="minorHAnsi" w:eastAsiaTheme="minorEastAsia" w:hAnsiTheme="minorHAnsi" w:cstheme="minorBidi"/>
          <w:kern w:val="2"/>
          <w:sz w:val="24"/>
          <w:szCs w:val="24"/>
          <w14:ligatures w14:val="standardContextual"/>
        </w:rPr>
        <w:tab/>
      </w:r>
      <w:r>
        <w:rPr>
          <w:lang w:eastAsia="zh-CN"/>
        </w:rPr>
        <w:t>Support of a UE registered over both 3GPP and Non-3GPP access</w:t>
      </w:r>
      <w:r>
        <w:tab/>
      </w:r>
      <w:r>
        <w:fldChar w:fldCharType="begin" w:fldLock="1"/>
      </w:r>
      <w:r>
        <w:instrText xml:space="preserve"> PAGEREF _Toc201156992 \h </w:instrText>
      </w:r>
      <w:r>
        <w:fldChar w:fldCharType="separate"/>
      </w:r>
      <w:r>
        <w:t>98</w:t>
      </w:r>
      <w:r>
        <w:fldChar w:fldCharType="end"/>
      </w:r>
    </w:p>
    <w:p w14:paraId="7B11B758" w14:textId="62C204D9" w:rsidR="006C1B74" w:rsidRDefault="006C1B74">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Connection Management</w:t>
      </w:r>
      <w:r>
        <w:tab/>
      </w:r>
      <w:r>
        <w:fldChar w:fldCharType="begin" w:fldLock="1"/>
      </w:r>
      <w:r>
        <w:instrText xml:space="preserve"> PAGEREF _Toc201156993 \h </w:instrText>
      </w:r>
      <w:r>
        <w:fldChar w:fldCharType="separate"/>
      </w:r>
      <w:r>
        <w:t>99</w:t>
      </w:r>
      <w:r>
        <w:fldChar w:fldCharType="end"/>
      </w:r>
    </w:p>
    <w:p w14:paraId="71B3A181" w14:textId="1A0A1E24"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_Toc201156994 \h </w:instrText>
      </w:r>
      <w:r>
        <w:fldChar w:fldCharType="separate"/>
      </w:r>
      <w:r>
        <w:t>99</w:t>
      </w:r>
      <w:r>
        <w:fldChar w:fldCharType="end"/>
      </w:r>
    </w:p>
    <w:p w14:paraId="1347B97E" w14:textId="16773252"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5.3.3.2</w:t>
      </w:r>
      <w:r>
        <w:rPr>
          <w:rFonts w:asciiTheme="minorHAnsi" w:eastAsiaTheme="minorEastAsia" w:hAnsiTheme="minorHAnsi" w:cstheme="minorBidi"/>
          <w:kern w:val="2"/>
          <w:sz w:val="24"/>
          <w:szCs w:val="24"/>
          <w14:ligatures w14:val="standardContextual"/>
        </w:rPr>
        <w:tab/>
      </w:r>
      <w:r>
        <w:rPr>
          <w:lang w:eastAsia="zh-CN"/>
        </w:rPr>
        <w:t>5GS Connection Management states</w:t>
      </w:r>
      <w:r>
        <w:tab/>
      </w:r>
      <w:r>
        <w:fldChar w:fldCharType="begin" w:fldLock="1"/>
      </w:r>
      <w:r>
        <w:instrText xml:space="preserve"> PAGEREF _Toc201156995 \h </w:instrText>
      </w:r>
      <w:r>
        <w:fldChar w:fldCharType="separate"/>
      </w:r>
      <w:r>
        <w:t>100</w:t>
      </w:r>
      <w:r>
        <w:fldChar w:fldCharType="end"/>
      </w:r>
    </w:p>
    <w:p w14:paraId="41A3D257" w14:textId="284F43CD"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5.3.3.2.1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_Toc201156996 \h </w:instrText>
      </w:r>
      <w:r>
        <w:fldChar w:fldCharType="separate"/>
      </w:r>
      <w:r>
        <w:t>100</w:t>
      </w:r>
      <w:r>
        <w:fldChar w:fldCharType="end"/>
      </w:r>
    </w:p>
    <w:p w14:paraId="44C93CF4" w14:textId="5DF15047" w:rsidR="006C1B74" w:rsidRDefault="006C1B74">
      <w:pPr>
        <w:pStyle w:val="TOC5"/>
        <w:rPr>
          <w:rFonts w:asciiTheme="minorHAnsi" w:eastAsiaTheme="minorEastAsia" w:hAnsiTheme="minorHAnsi" w:cstheme="minorBidi"/>
          <w:kern w:val="2"/>
          <w:sz w:val="24"/>
          <w:szCs w:val="24"/>
          <w14:ligatures w14:val="standardContextual"/>
        </w:rPr>
      </w:pPr>
      <w:r>
        <w:t>5.3.3.2.2</w:t>
      </w:r>
      <w:r>
        <w:rPr>
          <w:rFonts w:asciiTheme="minorHAnsi" w:eastAsiaTheme="minorEastAsia" w:hAnsiTheme="minorHAnsi" w:cstheme="minorBidi"/>
          <w:kern w:val="2"/>
          <w:sz w:val="24"/>
          <w:szCs w:val="24"/>
          <w14:ligatures w14:val="standardContextual"/>
        </w:rPr>
        <w:tab/>
      </w:r>
      <w:r>
        <w:t>CM-IDLE state</w:t>
      </w:r>
      <w:r>
        <w:tab/>
      </w:r>
      <w:r>
        <w:fldChar w:fldCharType="begin" w:fldLock="1"/>
      </w:r>
      <w:r>
        <w:instrText xml:space="preserve"> PAGEREF _Toc201156997 \h </w:instrText>
      </w:r>
      <w:r>
        <w:fldChar w:fldCharType="separate"/>
      </w:r>
      <w:r>
        <w:t>100</w:t>
      </w:r>
      <w:r>
        <w:fldChar w:fldCharType="end"/>
      </w:r>
    </w:p>
    <w:p w14:paraId="77344550" w14:textId="7D1FB814"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5.3.3.2.3</w:t>
      </w:r>
      <w:r>
        <w:rPr>
          <w:rFonts w:asciiTheme="minorHAnsi" w:eastAsiaTheme="minorEastAsia" w:hAnsiTheme="minorHAnsi" w:cstheme="minorBidi"/>
          <w:kern w:val="2"/>
          <w:sz w:val="24"/>
          <w:szCs w:val="24"/>
          <w14:ligatures w14:val="standardContextual"/>
        </w:rPr>
        <w:tab/>
      </w:r>
      <w:r>
        <w:rPr>
          <w:lang w:eastAsia="zh-CN"/>
        </w:rPr>
        <w:t>CM-CONNECTED state</w:t>
      </w:r>
      <w:r>
        <w:tab/>
      </w:r>
      <w:r>
        <w:fldChar w:fldCharType="begin" w:fldLock="1"/>
      </w:r>
      <w:r>
        <w:instrText xml:space="preserve"> PAGEREF _Toc201156998 \h </w:instrText>
      </w:r>
      <w:r>
        <w:fldChar w:fldCharType="separate"/>
      </w:r>
      <w:r>
        <w:t>100</w:t>
      </w:r>
      <w:r>
        <w:fldChar w:fldCharType="end"/>
      </w:r>
    </w:p>
    <w:p w14:paraId="2B5404C0" w14:textId="05DEAE0C"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5.3.3.2.4</w:t>
      </w:r>
      <w:r>
        <w:rPr>
          <w:rFonts w:asciiTheme="minorHAnsi" w:eastAsiaTheme="minorEastAsia" w:hAnsiTheme="minorHAnsi" w:cstheme="minorBidi"/>
          <w:kern w:val="2"/>
          <w:sz w:val="24"/>
          <w:szCs w:val="24"/>
          <w14:ligatures w14:val="standardContextual"/>
        </w:rPr>
        <w:tab/>
      </w:r>
      <w:r>
        <w:rPr>
          <w:lang w:eastAsia="zh-CN"/>
        </w:rPr>
        <w:t>5GS Connection Management State models</w:t>
      </w:r>
      <w:r>
        <w:tab/>
      </w:r>
      <w:r>
        <w:fldChar w:fldCharType="begin" w:fldLock="1"/>
      </w:r>
      <w:r>
        <w:instrText xml:space="preserve"> PAGEREF _Toc201156999 \h </w:instrText>
      </w:r>
      <w:r>
        <w:fldChar w:fldCharType="separate"/>
      </w:r>
      <w:r>
        <w:t>101</w:t>
      </w:r>
      <w:r>
        <w:fldChar w:fldCharType="end"/>
      </w:r>
    </w:p>
    <w:p w14:paraId="514708CC" w14:textId="1F96C69D" w:rsidR="006C1B74" w:rsidRDefault="006C1B74">
      <w:pPr>
        <w:pStyle w:val="TOC5"/>
        <w:rPr>
          <w:rFonts w:asciiTheme="minorHAnsi" w:eastAsiaTheme="minorEastAsia" w:hAnsiTheme="minorHAnsi" w:cstheme="minorBidi"/>
          <w:kern w:val="2"/>
          <w:sz w:val="24"/>
          <w:szCs w:val="24"/>
          <w14:ligatures w14:val="standardContextual"/>
        </w:rPr>
      </w:pPr>
      <w:r>
        <w:t>5.3.3.2.5</w:t>
      </w:r>
      <w:r>
        <w:rPr>
          <w:rFonts w:asciiTheme="minorHAnsi" w:eastAsiaTheme="minorEastAsia" w:hAnsiTheme="minorHAnsi" w:cstheme="minorBidi"/>
          <w:kern w:val="2"/>
          <w:sz w:val="24"/>
          <w:szCs w:val="24"/>
          <w14:ligatures w14:val="standardContextual"/>
        </w:rPr>
        <w:tab/>
      </w:r>
      <w:r>
        <w:t>CM-CONNECTED with RRC_INACTIVE state</w:t>
      </w:r>
      <w:r>
        <w:tab/>
      </w:r>
      <w:r>
        <w:fldChar w:fldCharType="begin" w:fldLock="1"/>
      </w:r>
      <w:r>
        <w:instrText xml:space="preserve"> PAGEREF _Toc201157000 \h </w:instrText>
      </w:r>
      <w:r>
        <w:fldChar w:fldCharType="separate"/>
      </w:r>
      <w:r>
        <w:t>101</w:t>
      </w:r>
      <w:r>
        <w:fldChar w:fldCharType="end"/>
      </w:r>
    </w:p>
    <w:p w14:paraId="2D296C27" w14:textId="7816D75D"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5.3.3.3</w:t>
      </w:r>
      <w:r>
        <w:rPr>
          <w:rFonts w:asciiTheme="minorHAnsi" w:eastAsiaTheme="minorEastAsia" w:hAnsiTheme="minorHAnsi" w:cstheme="minorBidi"/>
          <w:kern w:val="2"/>
          <w:sz w:val="24"/>
          <w:szCs w:val="24"/>
          <w14:ligatures w14:val="standardContextual"/>
        </w:rPr>
        <w:tab/>
      </w:r>
      <w:r>
        <w:rPr>
          <w:lang w:eastAsia="zh-CN"/>
        </w:rPr>
        <w:t>NAS signalling connection management</w:t>
      </w:r>
      <w:r>
        <w:tab/>
      </w:r>
      <w:r>
        <w:fldChar w:fldCharType="begin" w:fldLock="1"/>
      </w:r>
      <w:r>
        <w:instrText xml:space="preserve"> PAGEREF _Toc201157001 \h </w:instrText>
      </w:r>
      <w:r>
        <w:fldChar w:fldCharType="separate"/>
      </w:r>
      <w:r>
        <w:t>104</w:t>
      </w:r>
      <w:r>
        <w:fldChar w:fldCharType="end"/>
      </w:r>
    </w:p>
    <w:p w14:paraId="2926D92E" w14:textId="48330807"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5.3.3.3.1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_Toc201157002 \h </w:instrText>
      </w:r>
      <w:r>
        <w:fldChar w:fldCharType="separate"/>
      </w:r>
      <w:r>
        <w:t>104</w:t>
      </w:r>
      <w:r>
        <w:fldChar w:fldCharType="end"/>
      </w:r>
    </w:p>
    <w:p w14:paraId="5266785A" w14:textId="4840888E"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5.3.3.3.2</w:t>
      </w:r>
      <w:r>
        <w:rPr>
          <w:rFonts w:asciiTheme="minorHAnsi" w:eastAsiaTheme="minorEastAsia" w:hAnsiTheme="minorHAnsi" w:cstheme="minorBidi"/>
          <w:kern w:val="2"/>
          <w:sz w:val="24"/>
          <w:szCs w:val="24"/>
          <w14:ligatures w14:val="standardContextual"/>
        </w:rPr>
        <w:tab/>
      </w:r>
      <w:r>
        <w:rPr>
          <w:lang w:eastAsia="zh-CN"/>
        </w:rPr>
        <w:t>NAS signalling connection establishment</w:t>
      </w:r>
      <w:r>
        <w:tab/>
      </w:r>
      <w:r>
        <w:fldChar w:fldCharType="begin" w:fldLock="1"/>
      </w:r>
      <w:r>
        <w:instrText xml:space="preserve"> PAGEREF _Toc201157003 \h </w:instrText>
      </w:r>
      <w:r>
        <w:fldChar w:fldCharType="separate"/>
      </w:r>
      <w:r>
        <w:t>104</w:t>
      </w:r>
      <w:r>
        <w:fldChar w:fldCharType="end"/>
      </w:r>
    </w:p>
    <w:p w14:paraId="4023E8D7" w14:textId="7658DE9C"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5.3.3.3.3</w:t>
      </w:r>
      <w:r>
        <w:rPr>
          <w:rFonts w:asciiTheme="minorHAnsi" w:eastAsiaTheme="minorEastAsia" w:hAnsiTheme="minorHAnsi" w:cstheme="minorBidi"/>
          <w:kern w:val="2"/>
          <w:sz w:val="24"/>
          <w:szCs w:val="24"/>
          <w14:ligatures w14:val="standardContextual"/>
        </w:rPr>
        <w:tab/>
      </w:r>
      <w:r>
        <w:rPr>
          <w:lang w:eastAsia="zh-CN"/>
        </w:rPr>
        <w:t>NAS signalling connection Release</w:t>
      </w:r>
      <w:r>
        <w:tab/>
      </w:r>
      <w:r>
        <w:fldChar w:fldCharType="begin" w:fldLock="1"/>
      </w:r>
      <w:r>
        <w:instrText xml:space="preserve"> PAGEREF _Toc201157004 \h </w:instrText>
      </w:r>
      <w:r>
        <w:fldChar w:fldCharType="separate"/>
      </w:r>
      <w:r>
        <w:t>104</w:t>
      </w:r>
      <w:r>
        <w:fldChar w:fldCharType="end"/>
      </w:r>
    </w:p>
    <w:p w14:paraId="3CA85945" w14:textId="50240F16"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5.3.3.4</w:t>
      </w:r>
      <w:r>
        <w:rPr>
          <w:rFonts w:asciiTheme="minorHAnsi" w:eastAsiaTheme="minorEastAsia" w:hAnsiTheme="minorHAnsi" w:cstheme="minorBidi"/>
          <w:kern w:val="2"/>
          <w:sz w:val="24"/>
          <w:szCs w:val="24"/>
          <w14:ligatures w14:val="standardContextual"/>
        </w:rPr>
        <w:tab/>
      </w:r>
      <w:r>
        <w:rPr>
          <w:lang w:eastAsia="zh-CN"/>
        </w:rPr>
        <w:t>Support of a UE connected over both 3GPP and Non-3GPP access</w:t>
      </w:r>
      <w:r>
        <w:tab/>
      </w:r>
      <w:r>
        <w:fldChar w:fldCharType="begin" w:fldLock="1"/>
      </w:r>
      <w:r>
        <w:instrText xml:space="preserve"> PAGEREF _Toc201157005 \h </w:instrText>
      </w:r>
      <w:r>
        <w:fldChar w:fldCharType="separate"/>
      </w:r>
      <w:r>
        <w:t>104</w:t>
      </w:r>
      <w:r>
        <w:fldChar w:fldCharType="end"/>
      </w:r>
    </w:p>
    <w:p w14:paraId="21758BC1" w14:textId="3EBB3F25"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5.3.4</w:t>
      </w:r>
      <w:r>
        <w:rPr>
          <w:rFonts w:asciiTheme="minorHAnsi" w:eastAsiaTheme="minorEastAsia" w:hAnsiTheme="minorHAnsi" w:cstheme="minorBidi"/>
          <w:kern w:val="2"/>
          <w:sz w:val="24"/>
          <w:szCs w:val="24"/>
          <w14:ligatures w14:val="standardContextual"/>
        </w:rPr>
        <w:tab/>
      </w:r>
      <w:r>
        <w:rPr>
          <w:lang w:eastAsia="zh-CN"/>
        </w:rPr>
        <w:t>UE Mobility</w:t>
      </w:r>
      <w:r>
        <w:tab/>
      </w:r>
      <w:r>
        <w:fldChar w:fldCharType="begin" w:fldLock="1"/>
      </w:r>
      <w:r>
        <w:instrText xml:space="preserve"> PAGEREF _Toc201157006 \h </w:instrText>
      </w:r>
      <w:r>
        <w:fldChar w:fldCharType="separate"/>
      </w:r>
      <w:r>
        <w:t>105</w:t>
      </w:r>
      <w:r>
        <w:fldChar w:fldCharType="end"/>
      </w:r>
    </w:p>
    <w:p w14:paraId="357F1CDE" w14:textId="14C39284" w:rsidR="006C1B74" w:rsidRDefault="006C1B74">
      <w:pPr>
        <w:pStyle w:val="TOC4"/>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Mobility Restrictions</w:t>
      </w:r>
      <w:r>
        <w:tab/>
      </w:r>
      <w:r>
        <w:fldChar w:fldCharType="begin" w:fldLock="1"/>
      </w:r>
      <w:r>
        <w:instrText xml:space="preserve"> PAGEREF _Toc201157007 \h </w:instrText>
      </w:r>
      <w:r>
        <w:fldChar w:fldCharType="separate"/>
      </w:r>
      <w:r>
        <w:t>105</w:t>
      </w:r>
      <w:r>
        <w:fldChar w:fldCharType="end"/>
      </w:r>
    </w:p>
    <w:p w14:paraId="68833B80" w14:textId="2B36C2BE" w:rsidR="006C1B74" w:rsidRDefault="006C1B74">
      <w:pPr>
        <w:pStyle w:val="TOC5"/>
        <w:rPr>
          <w:rFonts w:asciiTheme="minorHAnsi" w:eastAsiaTheme="minorEastAsia" w:hAnsiTheme="minorHAnsi" w:cstheme="minorBidi"/>
          <w:kern w:val="2"/>
          <w:sz w:val="24"/>
          <w:szCs w:val="24"/>
          <w14:ligatures w14:val="standardContextual"/>
        </w:rPr>
      </w:pPr>
      <w:r>
        <w:t>5.3.4.1.1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_Toc201157008 \h </w:instrText>
      </w:r>
      <w:r>
        <w:fldChar w:fldCharType="separate"/>
      </w:r>
      <w:r>
        <w:t>105</w:t>
      </w:r>
      <w:r>
        <w:fldChar w:fldCharType="end"/>
      </w:r>
    </w:p>
    <w:p w14:paraId="0D8E88F3" w14:textId="7C58A0EB" w:rsidR="006C1B74" w:rsidRDefault="006C1B74">
      <w:pPr>
        <w:pStyle w:val="TOC5"/>
        <w:rPr>
          <w:rFonts w:asciiTheme="minorHAnsi" w:eastAsiaTheme="minorEastAsia" w:hAnsiTheme="minorHAnsi" w:cstheme="minorBidi"/>
          <w:kern w:val="2"/>
          <w:sz w:val="24"/>
          <w:szCs w:val="24"/>
          <w14:ligatures w14:val="standardContextual"/>
        </w:rPr>
      </w:pPr>
      <w:r>
        <w:lastRenderedPageBreak/>
        <w:t>5.3.4.1.2</w:t>
      </w:r>
      <w:r>
        <w:rPr>
          <w:rFonts w:asciiTheme="minorHAnsi" w:eastAsiaTheme="minorEastAsia" w:hAnsiTheme="minorHAnsi" w:cstheme="minorBidi"/>
          <w:kern w:val="2"/>
          <w:sz w:val="24"/>
          <w:szCs w:val="24"/>
          <w14:ligatures w14:val="standardContextual"/>
        </w:rPr>
        <w:tab/>
      </w:r>
      <w:r>
        <w:t>Management of Service Area Restrictions</w:t>
      </w:r>
      <w:r>
        <w:tab/>
      </w:r>
      <w:r>
        <w:fldChar w:fldCharType="begin" w:fldLock="1"/>
      </w:r>
      <w:r>
        <w:instrText xml:space="preserve"> PAGEREF _Toc201157009 \h </w:instrText>
      </w:r>
      <w:r>
        <w:fldChar w:fldCharType="separate"/>
      </w:r>
      <w:r>
        <w:t>108</w:t>
      </w:r>
      <w:r>
        <w:fldChar w:fldCharType="end"/>
      </w:r>
    </w:p>
    <w:p w14:paraId="302897E3" w14:textId="37F84828"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5.3.4.2</w:t>
      </w:r>
      <w:r>
        <w:rPr>
          <w:rFonts w:asciiTheme="minorHAnsi" w:eastAsiaTheme="minorEastAsia" w:hAnsiTheme="minorHAnsi" w:cstheme="minorBidi"/>
          <w:kern w:val="2"/>
          <w:sz w:val="24"/>
          <w:szCs w:val="24"/>
          <w14:ligatures w14:val="standardContextual"/>
        </w:rPr>
        <w:tab/>
      </w:r>
      <w:r>
        <w:rPr>
          <w:lang w:eastAsia="ko-KR"/>
        </w:rPr>
        <w:t>Mobility Pattern</w:t>
      </w:r>
      <w:r>
        <w:tab/>
      </w:r>
      <w:r>
        <w:fldChar w:fldCharType="begin" w:fldLock="1"/>
      </w:r>
      <w:r>
        <w:instrText xml:space="preserve"> PAGEREF _Toc201157010 \h </w:instrText>
      </w:r>
      <w:r>
        <w:fldChar w:fldCharType="separate"/>
      </w:r>
      <w:r>
        <w:t>109</w:t>
      </w:r>
      <w:r>
        <w:fldChar w:fldCharType="end"/>
      </w:r>
    </w:p>
    <w:p w14:paraId="2057AF7E" w14:textId="6B274F7F" w:rsidR="006C1B74" w:rsidRDefault="006C1B74">
      <w:pPr>
        <w:pStyle w:val="TOC4"/>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Radio Resource Management functions</w:t>
      </w:r>
      <w:r>
        <w:tab/>
      </w:r>
      <w:r>
        <w:fldChar w:fldCharType="begin" w:fldLock="1"/>
      </w:r>
      <w:r>
        <w:instrText xml:space="preserve"> PAGEREF _Toc201157011 \h </w:instrText>
      </w:r>
      <w:r>
        <w:fldChar w:fldCharType="separate"/>
      </w:r>
      <w:r>
        <w:t>109</w:t>
      </w:r>
      <w:r>
        <w:fldChar w:fldCharType="end"/>
      </w:r>
    </w:p>
    <w:p w14:paraId="5EF427F3" w14:textId="176CA33A" w:rsidR="006C1B74" w:rsidRDefault="006C1B74">
      <w:pPr>
        <w:pStyle w:val="TOC5"/>
        <w:rPr>
          <w:rFonts w:asciiTheme="minorHAnsi" w:eastAsiaTheme="minorEastAsia" w:hAnsiTheme="minorHAnsi" w:cstheme="minorBidi"/>
          <w:kern w:val="2"/>
          <w:sz w:val="24"/>
          <w:szCs w:val="24"/>
          <w14:ligatures w14:val="standardContextual"/>
        </w:rPr>
      </w:pPr>
      <w:r>
        <w:t>5.3.4.3.1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_Toc201157012 \h </w:instrText>
      </w:r>
      <w:r>
        <w:fldChar w:fldCharType="separate"/>
      </w:r>
      <w:r>
        <w:t>109</w:t>
      </w:r>
      <w:r>
        <w:fldChar w:fldCharType="end"/>
      </w:r>
    </w:p>
    <w:p w14:paraId="57AD7170" w14:textId="798B89B6" w:rsidR="006C1B74" w:rsidRDefault="006C1B74">
      <w:pPr>
        <w:pStyle w:val="TOC5"/>
        <w:rPr>
          <w:rFonts w:asciiTheme="minorHAnsi" w:eastAsiaTheme="minorEastAsia" w:hAnsiTheme="minorHAnsi" w:cstheme="minorBidi"/>
          <w:kern w:val="2"/>
          <w:sz w:val="24"/>
          <w:szCs w:val="24"/>
          <w14:ligatures w14:val="standardContextual"/>
        </w:rPr>
      </w:pPr>
      <w:r>
        <w:t>5.3.4.3.2</w:t>
      </w:r>
      <w:r>
        <w:rPr>
          <w:rFonts w:asciiTheme="minorHAnsi" w:eastAsiaTheme="minorEastAsia" w:hAnsiTheme="minorHAnsi" w:cstheme="minorBidi"/>
          <w:kern w:val="2"/>
          <w:sz w:val="24"/>
          <w:szCs w:val="24"/>
          <w14:ligatures w14:val="standardContextual"/>
        </w:rPr>
        <w:tab/>
      </w:r>
      <w:r>
        <w:t>Preferred band(s) per data radio bearer(s)</w:t>
      </w:r>
      <w:r>
        <w:tab/>
      </w:r>
      <w:r>
        <w:fldChar w:fldCharType="begin" w:fldLock="1"/>
      </w:r>
      <w:r>
        <w:instrText xml:space="preserve"> PAGEREF _Toc201157013 \h </w:instrText>
      </w:r>
      <w:r>
        <w:fldChar w:fldCharType="separate"/>
      </w:r>
      <w:r>
        <w:t>110</w:t>
      </w:r>
      <w:r>
        <w:fldChar w:fldCharType="end"/>
      </w:r>
    </w:p>
    <w:p w14:paraId="33E5BF90" w14:textId="1A0CC48F" w:rsidR="006C1B74" w:rsidRDefault="006C1B74">
      <w:pPr>
        <w:pStyle w:val="TOC5"/>
        <w:rPr>
          <w:rFonts w:asciiTheme="minorHAnsi" w:eastAsiaTheme="minorEastAsia" w:hAnsiTheme="minorHAnsi" w:cstheme="minorBidi"/>
          <w:kern w:val="2"/>
          <w:sz w:val="24"/>
          <w:szCs w:val="24"/>
          <w14:ligatures w14:val="standardContextual"/>
        </w:rPr>
      </w:pPr>
      <w:r>
        <w:t>5.3.4.3.3</w:t>
      </w:r>
      <w:r>
        <w:rPr>
          <w:rFonts w:asciiTheme="minorHAnsi" w:eastAsiaTheme="minorEastAsia" w:hAnsiTheme="minorHAnsi" w:cstheme="minorBidi"/>
          <w:kern w:val="2"/>
          <w:sz w:val="24"/>
          <w:szCs w:val="24"/>
          <w14:ligatures w14:val="standardContextual"/>
        </w:rPr>
        <w:tab/>
      </w:r>
      <w:r>
        <w:t>Redirection to dedicated frequency band(s) for an S-NSSAI</w:t>
      </w:r>
      <w:r>
        <w:tab/>
      </w:r>
      <w:r>
        <w:fldChar w:fldCharType="begin" w:fldLock="1"/>
      </w:r>
      <w:r>
        <w:instrText xml:space="preserve"> PAGEREF _Toc201157014 \h </w:instrText>
      </w:r>
      <w:r>
        <w:fldChar w:fldCharType="separate"/>
      </w:r>
      <w:r>
        <w:t>110</w:t>
      </w:r>
      <w:r>
        <w:fldChar w:fldCharType="end"/>
      </w:r>
    </w:p>
    <w:p w14:paraId="0FF2C40B" w14:textId="1622EFC6" w:rsidR="006C1B74" w:rsidRDefault="006C1B74">
      <w:pPr>
        <w:pStyle w:val="TOC5"/>
        <w:rPr>
          <w:rFonts w:asciiTheme="minorHAnsi" w:eastAsiaTheme="minorEastAsia" w:hAnsiTheme="minorHAnsi" w:cstheme="minorBidi"/>
          <w:kern w:val="2"/>
          <w:sz w:val="24"/>
          <w:szCs w:val="24"/>
          <w14:ligatures w14:val="standardContextual"/>
        </w:rPr>
      </w:pPr>
      <w:r>
        <w:t>5.3.4.3.4</w:t>
      </w:r>
      <w:r>
        <w:rPr>
          <w:rFonts w:asciiTheme="minorHAnsi" w:eastAsiaTheme="minorEastAsia" w:hAnsiTheme="minorHAnsi" w:cstheme="minorBidi"/>
          <w:kern w:val="2"/>
          <w:sz w:val="24"/>
          <w:szCs w:val="24"/>
          <w14:ligatures w14:val="standardContextual"/>
        </w:rPr>
        <w:tab/>
      </w:r>
      <w:r>
        <w:t>Network Slice based cell reselection and Random Access</w:t>
      </w:r>
      <w:r>
        <w:tab/>
      </w:r>
      <w:r>
        <w:fldChar w:fldCharType="begin" w:fldLock="1"/>
      </w:r>
      <w:r>
        <w:instrText xml:space="preserve"> PAGEREF _Toc201157015 \h </w:instrText>
      </w:r>
      <w:r>
        <w:fldChar w:fldCharType="separate"/>
      </w:r>
      <w:r>
        <w:t>111</w:t>
      </w:r>
      <w:r>
        <w:fldChar w:fldCharType="end"/>
      </w:r>
    </w:p>
    <w:p w14:paraId="6F578D78" w14:textId="614FAF7C" w:rsidR="006C1B74" w:rsidRDefault="006C1B74">
      <w:pPr>
        <w:pStyle w:val="TOC4"/>
        <w:rPr>
          <w:rFonts w:asciiTheme="minorHAnsi" w:eastAsiaTheme="minorEastAsia" w:hAnsiTheme="minorHAnsi" w:cstheme="minorBidi"/>
          <w:kern w:val="2"/>
          <w:sz w:val="24"/>
          <w:szCs w:val="24"/>
          <w14:ligatures w14:val="standardContextual"/>
        </w:rPr>
      </w:pPr>
      <w:r>
        <w:t>5.3.4.4</w:t>
      </w:r>
      <w:r>
        <w:rPr>
          <w:rFonts w:asciiTheme="minorHAnsi" w:eastAsiaTheme="minorEastAsia" w:hAnsiTheme="minorHAnsi" w:cstheme="minorBidi"/>
          <w:kern w:val="2"/>
          <w:sz w:val="24"/>
          <w:szCs w:val="24"/>
          <w14:ligatures w14:val="standardContextual"/>
        </w:rPr>
        <w:tab/>
      </w:r>
      <w:r>
        <w:t>UE mobility event notification</w:t>
      </w:r>
      <w:r>
        <w:tab/>
      </w:r>
      <w:r>
        <w:fldChar w:fldCharType="begin" w:fldLock="1"/>
      </w:r>
      <w:r>
        <w:instrText xml:space="preserve"> PAGEREF _Toc201157016 \h </w:instrText>
      </w:r>
      <w:r>
        <w:fldChar w:fldCharType="separate"/>
      </w:r>
      <w:r>
        <w:t>112</w:t>
      </w:r>
      <w:r>
        <w:fldChar w:fldCharType="end"/>
      </w:r>
    </w:p>
    <w:p w14:paraId="0CDB2CA2" w14:textId="294864D7"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5.3.5</w:t>
      </w:r>
      <w:r>
        <w:rPr>
          <w:rFonts w:asciiTheme="minorHAnsi" w:eastAsiaTheme="minorEastAsia" w:hAnsiTheme="minorHAnsi" w:cstheme="minorBidi"/>
          <w:kern w:val="2"/>
          <w:sz w:val="24"/>
          <w:szCs w:val="24"/>
          <w14:ligatures w14:val="standardContextual"/>
        </w:rPr>
        <w:tab/>
      </w:r>
      <w:r>
        <w:rPr>
          <w:lang w:eastAsia="zh-CN"/>
        </w:rPr>
        <w:t>Triggers for network analytics</w:t>
      </w:r>
      <w:r>
        <w:tab/>
      </w:r>
      <w:r>
        <w:fldChar w:fldCharType="begin" w:fldLock="1"/>
      </w:r>
      <w:r>
        <w:instrText xml:space="preserve"> PAGEREF _Toc201157017 \h </w:instrText>
      </w:r>
      <w:r>
        <w:fldChar w:fldCharType="separate"/>
      </w:r>
      <w:r>
        <w:t>113</w:t>
      </w:r>
      <w:r>
        <w:fldChar w:fldCharType="end"/>
      </w:r>
    </w:p>
    <w:p w14:paraId="4F4BF607" w14:textId="243C4B4E" w:rsidR="006C1B74" w:rsidRDefault="006C1B74">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3GPP access specific aspects</w:t>
      </w:r>
      <w:r>
        <w:tab/>
      </w:r>
      <w:r>
        <w:fldChar w:fldCharType="begin" w:fldLock="1"/>
      </w:r>
      <w:r>
        <w:instrText xml:space="preserve"> PAGEREF _Toc201157018 \h </w:instrText>
      </w:r>
      <w:r>
        <w:fldChar w:fldCharType="separate"/>
      </w:r>
      <w:r>
        <w:t>114</w:t>
      </w:r>
      <w:r>
        <w:fldChar w:fldCharType="end"/>
      </w:r>
    </w:p>
    <w:p w14:paraId="302A46B5" w14:textId="3C82EC55"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5.4.1</w:t>
      </w:r>
      <w:r>
        <w:rPr>
          <w:rFonts w:asciiTheme="minorHAnsi" w:eastAsiaTheme="minorEastAsia" w:hAnsiTheme="minorHAnsi" w:cstheme="minorBidi"/>
          <w:kern w:val="2"/>
          <w:sz w:val="24"/>
          <w:szCs w:val="24"/>
          <w14:ligatures w14:val="standardContextual"/>
        </w:rPr>
        <w:tab/>
      </w:r>
      <w:r>
        <w:rPr>
          <w:lang w:eastAsia="zh-CN"/>
        </w:rPr>
        <w:t>UE reachability in CM-IDLE</w:t>
      </w:r>
      <w:r>
        <w:tab/>
      </w:r>
      <w:r>
        <w:fldChar w:fldCharType="begin" w:fldLock="1"/>
      </w:r>
      <w:r>
        <w:instrText xml:space="preserve"> PAGEREF _Toc201157019 \h </w:instrText>
      </w:r>
      <w:r>
        <w:fldChar w:fldCharType="separate"/>
      </w:r>
      <w:r>
        <w:t>114</w:t>
      </w:r>
      <w:r>
        <w:fldChar w:fldCharType="end"/>
      </w:r>
    </w:p>
    <w:p w14:paraId="60E75143" w14:textId="5FE928C8"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5.4.1.1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_Toc201157020 \h </w:instrText>
      </w:r>
      <w:r>
        <w:fldChar w:fldCharType="separate"/>
      </w:r>
      <w:r>
        <w:t>114</w:t>
      </w:r>
      <w:r>
        <w:fldChar w:fldCharType="end"/>
      </w:r>
    </w:p>
    <w:p w14:paraId="25256A6F" w14:textId="3292C1A0"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5.4.1.2</w:t>
      </w:r>
      <w:r>
        <w:rPr>
          <w:rFonts w:asciiTheme="minorHAnsi" w:eastAsiaTheme="minorEastAsia" w:hAnsiTheme="minorHAnsi" w:cstheme="minorBidi"/>
          <w:kern w:val="2"/>
          <w:sz w:val="24"/>
          <w:szCs w:val="24"/>
          <w14:ligatures w14:val="standardContextual"/>
        </w:rPr>
        <w:tab/>
      </w:r>
      <w:r>
        <w:rPr>
          <w:lang w:eastAsia="zh-CN"/>
        </w:rPr>
        <w:t>UE reachability allowing mobile terminated data while the UE is CM-IDLE</w:t>
      </w:r>
      <w:r>
        <w:tab/>
      </w:r>
      <w:r>
        <w:fldChar w:fldCharType="begin" w:fldLock="1"/>
      </w:r>
      <w:r>
        <w:instrText xml:space="preserve"> PAGEREF _Toc201157021 \h </w:instrText>
      </w:r>
      <w:r>
        <w:fldChar w:fldCharType="separate"/>
      </w:r>
      <w:r>
        <w:t>115</w:t>
      </w:r>
      <w:r>
        <w:fldChar w:fldCharType="end"/>
      </w:r>
    </w:p>
    <w:p w14:paraId="2770D7CD" w14:textId="287F28EC"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5.4.1.3</w:t>
      </w:r>
      <w:r>
        <w:rPr>
          <w:rFonts w:asciiTheme="minorHAnsi" w:eastAsiaTheme="minorEastAsia" w:hAnsiTheme="minorHAnsi" w:cstheme="minorBidi"/>
          <w:kern w:val="2"/>
          <w:sz w:val="24"/>
          <w:szCs w:val="24"/>
          <w14:ligatures w14:val="standardContextual"/>
        </w:rPr>
        <w:tab/>
      </w:r>
      <w:r>
        <w:rPr>
          <w:lang w:eastAsia="zh-CN"/>
        </w:rPr>
        <w:t>Mobile Initiated Connection Only (MICO) mode</w:t>
      </w:r>
      <w:r>
        <w:tab/>
      </w:r>
      <w:r>
        <w:fldChar w:fldCharType="begin" w:fldLock="1"/>
      </w:r>
      <w:r>
        <w:instrText xml:space="preserve"> PAGEREF _Toc201157022 \h </w:instrText>
      </w:r>
      <w:r>
        <w:fldChar w:fldCharType="separate"/>
      </w:r>
      <w:r>
        <w:t>115</w:t>
      </w:r>
      <w:r>
        <w:fldChar w:fldCharType="end"/>
      </w:r>
    </w:p>
    <w:p w14:paraId="2F13A525" w14:textId="164EE4C8"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5.4.1.4</w:t>
      </w:r>
      <w:r>
        <w:rPr>
          <w:rFonts w:asciiTheme="minorHAnsi" w:eastAsiaTheme="minorEastAsia" w:hAnsiTheme="minorHAnsi" w:cstheme="minorBidi"/>
          <w:kern w:val="2"/>
          <w:sz w:val="24"/>
          <w:szCs w:val="24"/>
          <w14:ligatures w14:val="standardContextual"/>
        </w:rPr>
        <w:tab/>
      </w:r>
      <w:r>
        <w:rPr>
          <w:lang w:eastAsia="zh-CN"/>
        </w:rPr>
        <w:t>Support of Unavailability Period</w:t>
      </w:r>
      <w:r>
        <w:tab/>
      </w:r>
      <w:r>
        <w:fldChar w:fldCharType="begin" w:fldLock="1"/>
      </w:r>
      <w:r>
        <w:instrText xml:space="preserve"> PAGEREF _Toc201157023 \h </w:instrText>
      </w:r>
      <w:r>
        <w:fldChar w:fldCharType="separate"/>
      </w:r>
      <w:r>
        <w:t>116</w:t>
      </w:r>
      <w:r>
        <w:fldChar w:fldCharType="end"/>
      </w:r>
    </w:p>
    <w:p w14:paraId="1FB355D5" w14:textId="0B08451B"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5.4.2</w:t>
      </w:r>
      <w:r>
        <w:rPr>
          <w:rFonts w:asciiTheme="minorHAnsi" w:eastAsiaTheme="minorEastAsia" w:hAnsiTheme="minorHAnsi" w:cstheme="minorBidi"/>
          <w:kern w:val="2"/>
          <w:sz w:val="24"/>
          <w:szCs w:val="24"/>
          <w14:ligatures w14:val="standardContextual"/>
        </w:rPr>
        <w:tab/>
      </w:r>
      <w:r>
        <w:rPr>
          <w:lang w:eastAsia="zh-CN"/>
        </w:rPr>
        <w:t>UE reachability in CM-CONNECTED</w:t>
      </w:r>
      <w:r>
        <w:tab/>
      </w:r>
      <w:r>
        <w:fldChar w:fldCharType="begin" w:fldLock="1"/>
      </w:r>
      <w:r>
        <w:instrText xml:space="preserve"> PAGEREF _Toc201157024 \h </w:instrText>
      </w:r>
      <w:r>
        <w:fldChar w:fldCharType="separate"/>
      </w:r>
      <w:r>
        <w:t>118</w:t>
      </w:r>
      <w:r>
        <w:fldChar w:fldCharType="end"/>
      </w:r>
    </w:p>
    <w:p w14:paraId="3DF09A9B" w14:textId="56C39F3D" w:rsidR="006C1B74" w:rsidRDefault="006C1B74">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Paging strategy handling</w:t>
      </w:r>
      <w:r>
        <w:tab/>
      </w:r>
      <w:r>
        <w:fldChar w:fldCharType="begin" w:fldLock="1"/>
      </w:r>
      <w:r>
        <w:instrText xml:space="preserve"> PAGEREF _Toc201157025 \h </w:instrText>
      </w:r>
      <w:r>
        <w:fldChar w:fldCharType="separate"/>
      </w:r>
      <w:r>
        <w:t>118</w:t>
      </w:r>
      <w:r>
        <w:fldChar w:fldCharType="end"/>
      </w:r>
    </w:p>
    <w:p w14:paraId="5267F80F" w14:textId="262D2D13" w:rsidR="006C1B74" w:rsidRDefault="006C1B74">
      <w:pPr>
        <w:pStyle w:val="TOC4"/>
        <w:rPr>
          <w:rFonts w:asciiTheme="minorHAnsi" w:eastAsiaTheme="minorEastAsia" w:hAnsiTheme="minorHAnsi" w:cstheme="minorBidi"/>
          <w:kern w:val="2"/>
          <w:sz w:val="24"/>
          <w:szCs w:val="24"/>
          <w14:ligatures w14:val="standardContextual"/>
        </w:rPr>
      </w:pPr>
      <w:r>
        <w:t>5.4.3.1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_Toc201157026 \h </w:instrText>
      </w:r>
      <w:r>
        <w:fldChar w:fldCharType="separate"/>
      </w:r>
      <w:r>
        <w:t>118</w:t>
      </w:r>
      <w:r>
        <w:fldChar w:fldCharType="end"/>
      </w:r>
    </w:p>
    <w:p w14:paraId="79A449C9" w14:textId="186109F1" w:rsidR="006C1B74" w:rsidRDefault="006C1B74">
      <w:pPr>
        <w:pStyle w:val="TOC4"/>
        <w:rPr>
          <w:rFonts w:asciiTheme="minorHAnsi" w:eastAsiaTheme="minorEastAsia" w:hAnsiTheme="minorHAnsi" w:cstheme="minorBidi"/>
          <w:kern w:val="2"/>
          <w:sz w:val="24"/>
          <w:szCs w:val="24"/>
          <w14:ligatures w14:val="standardContextual"/>
        </w:rPr>
      </w:pPr>
      <w:r>
        <w:t>5.4.3.2</w:t>
      </w:r>
      <w:r>
        <w:rPr>
          <w:rFonts w:asciiTheme="minorHAnsi" w:eastAsiaTheme="minorEastAsia" w:hAnsiTheme="minorHAnsi" w:cstheme="minorBidi"/>
          <w:kern w:val="2"/>
          <w:sz w:val="24"/>
          <w:szCs w:val="24"/>
          <w14:ligatures w14:val="standardContextual"/>
        </w:rPr>
        <w:tab/>
      </w:r>
      <w:r>
        <w:t>Paging Policy Differentiation</w:t>
      </w:r>
      <w:r>
        <w:tab/>
      </w:r>
      <w:r>
        <w:fldChar w:fldCharType="begin" w:fldLock="1"/>
      </w:r>
      <w:r>
        <w:instrText xml:space="preserve"> PAGEREF _Toc201157027 \h </w:instrText>
      </w:r>
      <w:r>
        <w:fldChar w:fldCharType="separate"/>
      </w:r>
      <w:r>
        <w:t>118</w:t>
      </w:r>
      <w:r>
        <w:fldChar w:fldCharType="end"/>
      </w:r>
    </w:p>
    <w:p w14:paraId="2EAFAB44" w14:textId="78F970C5" w:rsidR="006C1B74" w:rsidRDefault="006C1B74">
      <w:pPr>
        <w:pStyle w:val="TOC4"/>
        <w:rPr>
          <w:rFonts w:asciiTheme="minorHAnsi" w:eastAsiaTheme="minorEastAsia" w:hAnsiTheme="minorHAnsi" w:cstheme="minorBidi"/>
          <w:kern w:val="2"/>
          <w:sz w:val="24"/>
          <w:szCs w:val="24"/>
          <w14:ligatures w14:val="standardContextual"/>
        </w:rPr>
      </w:pPr>
      <w:r>
        <w:t>5.4.3.3</w:t>
      </w:r>
      <w:r>
        <w:rPr>
          <w:rFonts w:asciiTheme="minorHAnsi" w:eastAsiaTheme="minorEastAsia" w:hAnsiTheme="minorHAnsi" w:cstheme="minorBidi"/>
          <w:kern w:val="2"/>
          <w:sz w:val="24"/>
          <w:szCs w:val="24"/>
          <w14:ligatures w14:val="standardContextual"/>
        </w:rPr>
        <w:tab/>
      </w:r>
      <w:r>
        <w:t>Paging Priority</w:t>
      </w:r>
      <w:r>
        <w:tab/>
      </w:r>
      <w:r>
        <w:fldChar w:fldCharType="begin" w:fldLock="1"/>
      </w:r>
      <w:r>
        <w:instrText xml:space="preserve"> PAGEREF _Toc201157028 \h </w:instrText>
      </w:r>
      <w:r>
        <w:fldChar w:fldCharType="separate"/>
      </w:r>
      <w:r>
        <w:t>119</w:t>
      </w:r>
      <w:r>
        <w:fldChar w:fldCharType="end"/>
      </w:r>
    </w:p>
    <w:p w14:paraId="244A244D" w14:textId="5045C346" w:rsidR="006C1B74" w:rsidRDefault="006C1B74">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UE Radio Capability handling</w:t>
      </w:r>
      <w:r>
        <w:tab/>
      </w:r>
      <w:r>
        <w:fldChar w:fldCharType="begin" w:fldLock="1"/>
      </w:r>
      <w:r>
        <w:instrText xml:space="preserve"> PAGEREF _Toc201157029 \h </w:instrText>
      </w:r>
      <w:r>
        <w:fldChar w:fldCharType="separate"/>
      </w:r>
      <w:r>
        <w:t>119</w:t>
      </w:r>
      <w:r>
        <w:fldChar w:fldCharType="end"/>
      </w:r>
    </w:p>
    <w:p w14:paraId="4B5F5438" w14:textId="1EDDD6BC" w:rsidR="006C1B74" w:rsidRDefault="006C1B74">
      <w:pPr>
        <w:pStyle w:val="TOC4"/>
        <w:rPr>
          <w:rFonts w:asciiTheme="minorHAnsi" w:eastAsiaTheme="minorEastAsia" w:hAnsiTheme="minorHAnsi" w:cstheme="minorBidi"/>
          <w:kern w:val="2"/>
          <w:sz w:val="24"/>
          <w:szCs w:val="24"/>
          <w14:ligatures w14:val="standardContextual"/>
        </w:rPr>
      </w:pPr>
      <w:r>
        <w:t>5.4.4.1</w:t>
      </w:r>
      <w:r>
        <w:rPr>
          <w:rFonts w:asciiTheme="minorHAnsi" w:eastAsiaTheme="minorEastAsia" w:hAnsiTheme="minorHAnsi" w:cstheme="minorBidi"/>
          <w:kern w:val="2"/>
          <w:sz w:val="24"/>
          <w:szCs w:val="24"/>
          <w14:ligatures w14:val="standardContextual"/>
        </w:rPr>
        <w:tab/>
      </w:r>
      <w:r>
        <w:t>UE radio capability information storage in the AMF</w:t>
      </w:r>
      <w:r>
        <w:tab/>
      </w:r>
      <w:r>
        <w:fldChar w:fldCharType="begin" w:fldLock="1"/>
      </w:r>
      <w:r>
        <w:instrText xml:space="preserve"> PAGEREF _Toc201157030 \h </w:instrText>
      </w:r>
      <w:r>
        <w:fldChar w:fldCharType="separate"/>
      </w:r>
      <w:r>
        <w:t>119</w:t>
      </w:r>
      <w:r>
        <w:fldChar w:fldCharType="end"/>
      </w:r>
    </w:p>
    <w:p w14:paraId="232ED5AB" w14:textId="60248FA0" w:rsidR="006C1B74" w:rsidRDefault="006C1B74">
      <w:pPr>
        <w:pStyle w:val="TOC4"/>
        <w:rPr>
          <w:rFonts w:asciiTheme="minorHAnsi" w:eastAsiaTheme="minorEastAsia" w:hAnsiTheme="minorHAnsi" w:cstheme="minorBidi"/>
          <w:kern w:val="2"/>
          <w:sz w:val="24"/>
          <w:szCs w:val="24"/>
          <w14:ligatures w14:val="standardContextual"/>
        </w:rPr>
      </w:pPr>
      <w:r>
        <w:t>5.4.4.1a</w:t>
      </w:r>
      <w:r>
        <w:rPr>
          <w:rFonts w:asciiTheme="minorHAnsi" w:eastAsiaTheme="minorEastAsia" w:hAnsiTheme="minorHAnsi" w:cstheme="minorBidi"/>
          <w:kern w:val="2"/>
          <w:sz w:val="24"/>
          <w:szCs w:val="24"/>
          <w14:ligatures w14:val="standardContextual"/>
        </w:rPr>
        <w:tab/>
      </w:r>
      <w:r>
        <w:t>UE radio capability signalling optimisation (RACS)</w:t>
      </w:r>
      <w:r>
        <w:tab/>
      </w:r>
      <w:r>
        <w:fldChar w:fldCharType="begin" w:fldLock="1"/>
      </w:r>
      <w:r>
        <w:instrText xml:space="preserve"> PAGEREF _Toc201157031 \h </w:instrText>
      </w:r>
      <w:r>
        <w:fldChar w:fldCharType="separate"/>
      </w:r>
      <w:r>
        <w:t>120</w:t>
      </w:r>
      <w:r>
        <w:fldChar w:fldCharType="end"/>
      </w:r>
    </w:p>
    <w:p w14:paraId="56C7B51F" w14:textId="587E3840" w:rsidR="006C1B74" w:rsidRDefault="006C1B74">
      <w:pPr>
        <w:pStyle w:val="TOC4"/>
        <w:rPr>
          <w:rFonts w:asciiTheme="minorHAnsi" w:eastAsiaTheme="minorEastAsia" w:hAnsiTheme="minorHAnsi" w:cstheme="minorBidi"/>
          <w:kern w:val="2"/>
          <w:sz w:val="24"/>
          <w:szCs w:val="24"/>
          <w14:ligatures w14:val="standardContextual"/>
        </w:rPr>
      </w:pPr>
      <w:r>
        <w:t>5.4.4.2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_Toc201157032 \h </w:instrText>
      </w:r>
      <w:r>
        <w:fldChar w:fldCharType="separate"/>
      </w:r>
      <w:r>
        <w:t>124</w:t>
      </w:r>
      <w:r>
        <w:fldChar w:fldCharType="end"/>
      </w:r>
    </w:p>
    <w:p w14:paraId="467C4259" w14:textId="5D4EAF98"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5.4.4.2a</w:t>
      </w:r>
      <w:r>
        <w:rPr>
          <w:rFonts w:asciiTheme="minorHAnsi" w:eastAsiaTheme="minorEastAsia" w:hAnsiTheme="minorHAnsi" w:cstheme="minorBidi"/>
          <w:kern w:val="2"/>
          <w:sz w:val="24"/>
          <w:szCs w:val="24"/>
          <w14:ligatures w14:val="standardContextual"/>
        </w:rPr>
        <w:tab/>
      </w:r>
      <w:r>
        <w:rPr>
          <w:lang w:eastAsia="zh-CN"/>
        </w:rPr>
        <w:t>UE Radio Capability Match Request</w:t>
      </w:r>
      <w:r>
        <w:tab/>
      </w:r>
      <w:r>
        <w:fldChar w:fldCharType="begin" w:fldLock="1"/>
      </w:r>
      <w:r>
        <w:instrText xml:space="preserve"> PAGEREF _Toc201157033 \h </w:instrText>
      </w:r>
      <w:r>
        <w:fldChar w:fldCharType="separate"/>
      </w:r>
      <w:r>
        <w:t>124</w:t>
      </w:r>
      <w:r>
        <w:fldChar w:fldCharType="end"/>
      </w:r>
    </w:p>
    <w:p w14:paraId="280A333D" w14:textId="0165A156"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5.4.4.3</w:t>
      </w:r>
      <w:r>
        <w:rPr>
          <w:rFonts w:asciiTheme="minorHAnsi" w:eastAsiaTheme="minorEastAsia" w:hAnsiTheme="minorHAnsi" w:cstheme="minorBidi"/>
          <w:kern w:val="2"/>
          <w:sz w:val="24"/>
          <w:szCs w:val="24"/>
          <w14:ligatures w14:val="standardContextual"/>
        </w:rPr>
        <w:tab/>
      </w:r>
      <w:r>
        <w:rPr>
          <w:lang w:eastAsia="zh-CN"/>
        </w:rPr>
        <w:t>Paging assistance information</w:t>
      </w:r>
      <w:r>
        <w:tab/>
      </w:r>
      <w:r>
        <w:fldChar w:fldCharType="begin" w:fldLock="1"/>
      </w:r>
      <w:r>
        <w:instrText xml:space="preserve"> PAGEREF _Toc201157034 \h </w:instrText>
      </w:r>
      <w:r>
        <w:fldChar w:fldCharType="separate"/>
      </w:r>
      <w:r>
        <w:t>125</w:t>
      </w:r>
      <w:r>
        <w:fldChar w:fldCharType="end"/>
      </w:r>
    </w:p>
    <w:p w14:paraId="2A5C7C02" w14:textId="2425E72A"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5.4.4a</w:t>
      </w:r>
      <w:r>
        <w:rPr>
          <w:rFonts w:asciiTheme="minorHAnsi" w:eastAsiaTheme="minorEastAsia" w:hAnsiTheme="minorHAnsi" w:cstheme="minorBidi"/>
          <w:kern w:val="2"/>
          <w:sz w:val="24"/>
          <w:szCs w:val="24"/>
          <w14:ligatures w14:val="standardContextual"/>
        </w:rPr>
        <w:tab/>
      </w:r>
      <w:r>
        <w:rPr>
          <w:lang w:eastAsia="zh-CN"/>
        </w:rPr>
        <w:t>UE MM Core Network Capability handling</w:t>
      </w:r>
      <w:r>
        <w:tab/>
      </w:r>
      <w:r>
        <w:fldChar w:fldCharType="begin" w:fldLock="1"/>
      </w:r>
      <w:r>
        <w:instrText xml:space="preserve"> PAGEREF _Toc201157035 \h </w:instrText>
      </w:r>
      <w:r>
        <w:fldChar w:fldCharType="separate"/>
      </w:r>
      <w:r>
        <w:t>125</w:t>
      </w:r>
      <w:r>
        <w:fldChar w:fldCharType="end"/>
      </w:r>
    </w:p>
    <w:p w14:paraId="390E3231" w14:textId="4CD9FAC5"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5.4.4b</w:t>
      </w:r>
      <w:r>
        <w:rPr>
          <w:rFonts w:asciiTheme="minorHAnsi" w:eastAsiaTheme="minorEastAsia" w:hAnsiTheme="minorHAnsi" w:cstheme="minorBidi"/>
          <w:kern w:val="2"/>
          <w:sz w:val="24"/>
          <w:szCs w:val="24"/>
          <w14:ligatures w14:val="standardContextual"/>
        </w:rPr>
        <w:tab/>
      </w:r>
      <w:r>
        <w:rPr>
          <w:lang w:eastAsia="zh-CN"/>
        </w:rPr>
        <w:t>UE 5GSM Core Network Capability handling</w:t>
      </w:r>
      <w:r>
        <w:tab/>
      </w:r>
      <w:r>
        <w:fldChar w:fldCharType="begin" w:fldLock="1"/>
      </w:r>
      <w:r>
        <w:instrText xml:space="preserve"> PAGEREF _Toc201157036 \h </w:instrText>
      </w:r>
      <w:r>
        <w:fldChar w:fldCharType="separate"/>
      </w:r>
      <w:r>
        <w:t>126</w:t>
      </w:r>
      <w:r>
        <w:fldChar w:fldCharType="end"/>
      </w:r>
    </w:p>
    <w:p w14:paraId="70A856FE" w14:textId="2E3E506F"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5.4.5</w:t>
      </w:r>
      <w:r>
        <w:rPr>
          <w:rFonts w:asciiTheme="minorHAnsi" w:eastAsiaTheme="minorEastAsia" w:hAnsiTheme="minorHAnsi" w:cstheme="minorBidi"/>
          <w:kern w:val="2"/>
          <w:sz w:val="24"/>
          <w:szCs w:val="24"/>
          <w14:ligatures w14:val="standardContextual"/>
        </w:rPr>
        <w:tab/>
      </w:r>
      <w:r>
        <w:rPr>
          <w:lang w:eastAsia="zh-CN"/>
        </w:rPr>
        <w:t>DRX (</w:t>
      </w:r>
      <w:r>
        <w:t>Discontinuous Reception) framework</w:t>
      </w:r>
      <w:r>
        <w:tab/>
      </w:r>
      <w:r>
        <w:fldChar w:fldCharType="begin" w:fldLock="1"/>
      </w:r>
      <w:r>
        <w:instrText xml:space="preserve"> PAGEREF _Toc201157037 \h </w:instrText>
      </w:r>
      <w:r>
        <w:fldChar w:fldCharType="separate"/>
      </w:r>
      <w:r>
        <w:t>127</w:t>
      </w:r>
      <w:r>
        <w:fldChar w:fldCharType="end"/>
      </w:r>
    </w:p>
    <w:p w14:paraId="051E3C46" w14:textId="019D3B54" w:rsidR="006C1B74" w:rsidRDefault="006C1B74">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C</w:t>
      </w:r>
      <w:r>
        <w:rPr>
          <w:lang w:eastAsia="zh-CN"/>
        </w:rPr>
        <w:t xml:space="preserve">ore Network </w:t>
      </w:r>
      <w:r>
        <w:t>assistance information for RAN optimization</w:t>
      </w:r>
      <w:r>
        <w:tab/>
      </w:r>
      <w:r>
        <w:fldChar w:fldCharType="begin" w:fldLock="1"/>
      </w:r>
      <w:r>
        <w:instrText xml:space="preserve"> PAGEREF _Toc201157038 \h </w:instrText>
      </w:r>
      <w:r>
        <w:fldChar w:fldCharType="separate"/>
      </w:r>
      <w:r>
        <w:t>127</w:t>
      </w:r>
      <w:r>
        <w:fldChar w:fldCharType="end"/>
      </w:r>
    </w:p>
    <w:p w14:paraId="73FAEF6A" w14:textId="7D65B62F" w:rsidR="006C1B74" w:rsidRDefault="006C1B74">
      <w:pPr>
        <w:pStyle w:val="TOC4"/>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_Toc201157039 \h </w:instrText>
      </w:r>
      <w:r>
        <w:fldChar w:fldCharType="separate"/>
      </w:r>
      <w:r>
        <w:t>127</w:t>
      </w:r>
      <w:r>
        <w:fldChar w:fldCharType="end"/>
      </w:r>
    </w:p>
    <w:p w14:paraId="7CBFB93A" w14:textId="2E96BB01" w:rsidR="006C1B74" w:rsidRDefault="006C1B74">
      <w:pPr>
        <w:pStyle w:val="TOC4"/>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Core Network assisted RAN parameters tuning</w:t>
      </w:r>
      <w:r>
        <w:tab/>
      </w:r>
      <w:r>
        <w:fldChar w:fldCharType="begin" w:fldLock="1"/>
      </w:r>
      <w:r>
        <w:instrText xml:space="preserve"> PAGEREF _Toc201157040 \h </w:instrText>
      </w:r>
      <w:r>
        <w:fldChar w:fldCharType="separate"/>
      </w:r>
      <w:r>
        <w:t>127</w:t>
      </w:r>
      <w:r>
        <w:fldChar w:fldCharType="end"/>
      </w:r>
    </w:p>
    <w:p w14:paraId="6231F2DC" w14:textId="171FF3E5" w:rsidR="006C1B74" w:rsidRDefault="006C1B74">
      <w:pPr>
        <w:pStyle w:val="TOC4"/>
        <w:rPr>
          <w:rFonts w:asciiTheme="minorHAnsi" w:eastAsiaTheme="minorEastAsia" w:hAnsiTheme="minorHAnsi" w:cstheme="minorBidi"/>
          <w:kern w:val="2"/>
          <w:sz w:val="24"/>
          <w:szCs w:val="24"/>
          <w14:ligatures w14:val="standardContextual"/>
        </w:rPr>
      </w:pPr>
      <w:r>
        <w:t>5.4.6.3</w:t>
      </w:r>
      <w:r>
        <w:rPr>
          <w:rFonts w:asciiTheme="minorHAnsi" w:eastAsiaTheme="minorEastAsia" w:hAnsiTheme="minorHAnsi" w:cstheme="minorBidi"/>
          <w:kern w:val="2"/>
          <w:sz w:val="24"/>
          <w:szCs w:val="24"/>
          <w14:ligatures w14:val="standardContextual"/>
        </w:rPr>
        <w:tab/>
      </w:r>
      <w:r>
        <w:t>Core Network assisted RAN paging information</w:t>
      </w:r>
      <w:r>
        <w:tab/>
      </w:r>
      <w:r>
        <w:fldChar w:fldCharType="begin" w:fldLock="1"/>
      </w:r>
      <w:r>
        <w:instrText xml:space="preserve"> PAGEREF _Toc201157041 \h </w:instrText>
      </w:r>
      <w:r>
        <w:fldChar w:fldCharType="separate"/>
      </w:r>
      <w:r>
        <w:t>128</w:t>
      </w:r>
      <w:r>
        <w:fldChar w:fldCharType="end"/>
      </w:r>
    </w:p>
    <w:p w14:paraId="313EC773" w14:textId="691F1807" w:rsidR="006C1B74" w:rsidRDefault="006C1B74">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NG-RAN location reporting</w:t>
      </w:r>
      <w:r>
        <w:tab/>
      </w:r>
      <w:r>
        <w:fldChar w:fldCharType="begin" w:fldLock="1"/>
      </w:r>
      <w:r>
        <w:instrText xml:space="preserve"> PAGEREF _Toc201157042 \h </w:instrText>
      </w:r>
      <w:r>
        <w:fldChar w:fldCharType="separate"/>
      </w:r>
      <w:r>
        <w:t>129</w:t>
      </w:r>
      <w:r>
        <w:fldChar w:fldCharType="end"/>
      </w:r>
    </w:p>
    <w:p w14:paraId="50766556" w14:textId="02830B88" w:rsidR="006C1B74" w:rsidRDefault="006C1B74">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Support for identification and restriction of using unlicensed spectrum</w:t>
      </w:r>
      <w:r>
        <w:tab/>
      </w:r>
      <w:r>
        <w:fldChar w:fldCharType="begin" w:fldLock="1"/>
      </w:r>
      <w:r>
        <w:instrText xml:space="preserve"> PAGEREF _Toc201157043 \h </w:instrText>
      </w:r>
      <w:r>
        <w:fldChar w:fldCharType="separate"/>
      </w:r>
      <w:r>
        <w:t>129</w:t>
      </w:r>
      <w:r>
        <w:fldChar w:fldCharType="end"/>
      </w:r>
    </w:p>
    <w:p w14:paraId="691A76EC" w14:textId="1D5A5930" w:rsidR="006C1B74" w:rsidRDefault="006C1B74">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Wake Up Signal Assistance</w:t>
      </w:r>
      <w:r>
        <w:tab/>
      </w:r>
      <w:r>
        <w:fldChar w:fldCharType="begin" w:fldLock="1"/>
      </w:r>
      <w:r>
        <w:instrText xml:space="preserve"> PAGEREF _Toc201157044 \h </w:instrText>
      </w:r>
      <w:r>
        <w:fldChar w:fldCharType="separate"/>
      </w:r>
      <w:r>
        <w:t>130</w:t>
      </w:r>
      <w:r>
        <w:fldChar w:fldCharType="end"/>
      </w:r>
    </w:p>
    <w:p w14:paraId="37511E0B" w14:textId="1DF98789" w:rsidR="006C1B74" w:rsidRDefault="006C1B74">
      <w:pPr>
        <w:pStyle w:val="TOC4"/>
        <w:rPr>
          <w:rFonts w:asciiTheme="minorHAnsi" w:eastAsiaTheme="minorEastAsia" w:hAnsiTheme="minorHAnsi" w:cstheme="minorBidi"/>
          <w:kern w:val="2"/>
          <w:sz w:val="24"/>
          <w:szCs w:val="24"/>
          <w14:ligatures w14:val="standardContextual"/>
        </w:rPr>
      </w:pPr>
      <w:r>
        <w:t>5.4.9.1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_Toc201157045 \h </w:instrText>
      </w:r>
      <w:r>
        <w:fldChar w:fldCharType="separate"/>
      </w:r>
      <w:r>
        <w:t>130</w:t>
      </w:r>
      <w:r>
        <w:fldChar w:fldCharType="end"/>
      </w:r>
    </w:p>
    <w:p w14:paraId="3DFA4B76" w14:textId="54EB49E8" w:rsidR="006C1B74" w:rsidRDefault="006C1B74">
      <w:pPr>
        <w:pStyle w:val="TOC4"/>
        <w:rPr>
          <w:rFonts w:asciiTheme="minorHAnsi" w:eastAsiaTheme="minorEastAsia" w:hAnsiTheme="minorHAnsi" w:cstheme="minorBidi"/>
          <w:kern w:val="2"/>
          <w:sz w:val="24"/>
          <w:szCs w:val="24"/>
          <w14:ligatures w14:val="standardContextual"/>
        </w:rPr>
      </w:pPr>
      <w:r>
        <w:t>5.4.9.2</w:t>
      </w:r>
      <w:r>
        <w:rPr>
          <w:rFonts w:asciiTheme="minorHAnsi" w:eastAsiaTheme="minorEastAsia" w:hAnsiTheme="minorHAnsi" w:cstheme="minorBidi"/>
          <w:kern w:val="2"/>
          <w:sz w:val="24"/>
          <w:szCs w:val="24"/>
          <w14:ligatures w14:val="standardContextual"/>
        </w:rPr>
        <w:tab/>
      </w:r>
      <w:r>
        <w:t>Group Wake Up Signal</w:t>
      </w:r>
      <w:r>
        <w:tab/>
      </w:r>
      <w:r>
        <w:fldChar w:fldCharType="begin" w:fldLock="1"/>
      </w:r>
      <w:r>
        <w:instrText xml:space="preserve"> PAGEREF _Toc201157046 \h </w:instrText>
      </w:r>
      <w:r>
        <w:fldChar w:fldCharType="separate"/>
      </w:r>
      <w:r>
        <w:t>131</w:t>
      </w:r>
      <w:r>
        <w:fldChar w:fldCharType="end"/>
      </w:r>
    </w:p>
    <w:p w14:paraId="462DC1F0" w14:textId="62CD7AFD" w:rsidR="006C1B74" w:rsidRDefault="006C1B74">
      <w:pPr>
        <w:pStyle w:val="TOC3"/>
        <w:rPr>
          <w:rFonts w:asciiTheme="minorHAnsi" w:eastAsiaTheme="minorEastAsia" w:hAnsiTheme="minorHAnsi" w:cstheme="minorBidi"/>
          <w:kern w:val="2"/>
          <w:sz w:val="24"/>
          <w:szCs w:val="24"/>
          <w14:ligatures w14:val="standardContextual"/>
        </w:rPr>
      </w:pPr>
      <w:r>
        <w:t>5.4.10</w:t>
      </w:r>
      <w:r>
        <w:rPr>
          <w:rFonts w:asciiTheme="minorHAnsi" w:eastAsiaTheme="minorEastAsia" w:hAnsiTheme="minorHAnsi" w:cstheme="minorBidi"/>
          <w:kern w:val="2"/>
          <w:sz w:val="24"/>
          <w:szCs w:val="24"/>
          <w14:ligatures w14:val="standardContextual"/>
        </w:rPr>
        <w:tab/>
      </w:r>
      <w:r>
        <w:t>Support for identification and restriction of using NR satellite access</w:t>
      </w:r>
      <w:r>
        <w:tab/>
      </w:r>
      <w:r>
        <w:fldChar w:fldCharType="begin" w:fldLock="1"/>
      </w:r>
      <w:r>
        <w:instrText xml:space="preserve"> PAGEREF _Toc201157047 \h </w:instrText>
      </w:r>
      <w:r>
        <w:fldChar w:fldCharType="separate"/>
      </w:r>
      <w:r>
        <w:t>131</w:t>
      </w:r>
      <w:r>
        <w:fldChar w:fldCharType="end"/>
      </w:r>
    </w:p>
    <w:p w14:paraId="6475E662" w14:textId="40F40A6C" w:rsidR="006C1B74" w:rsidRDefault="006C1B74">
      <w:pPr>
        <w:pStyle w:val="TOC3"/>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Support for integrating NR satellite access into 5GS</w:t>
      </w:r>
      <w:r>
        <w:tab/>
      </w:r>
      <w:r>
        <w:fldChar w:fldCharType="begin" w:fldLock="1"/>
      </w:r>
      <w:r>
        <w:instrText xml:space="preserve"> PAGEREF _Toc201157048 \h </w:instrText>
      </w:r>
      <w:r>
        <w:fldChar w:fldCharType="separate"/>
      </w:r>
      <w:r>
        <w:t>132</w:t>
      </w:r>
      <w:r>
        <w:fldChar w:fldCharType="end"/>
      </w:r>
    </w:p>
    <w:p w14:paraId="1A142169" w14:textId="44FDF9B7" w:rsidR="006C1B74" w:rsidRDefault="006C1B74">
      <w:pPr>
        <w:pStyle w:val="TOC4"/>
        <w:rPr>
          <w:rFonts w:asciiTheme="minorHAnsi" w:eastAsiaTheme="minorEastAsia" w:hAnsiTheme="minorHAnsi" w:cstheme="minorBidi"/>
          <w:kern w:val="2"/>
          <w:sz w:val="24"/>
          <w:szCs w:val="24"/>
          <w14:ligatures w14:val="standardContextual"/>
        </w:rPr>
      </w:pPr>
      <w:r>
        <w:t>5.4.11.1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_Toc201157049 \h </w:instrText>
      </w:r>
      <w:r>
        <w:fldChar w:fldCharType="separate"/>
      </w:r>
      <w:r>
        <w:t>132</w:t>
      </w:r>
      <w:r>
        <w:fldChar w:fldCharType="end"/>
      </w:r>
    </w:p>
    <w:p w14:paraId="11526A87" w14:textId="68054056" w:rsidR="006C1B74" w:rsidRDefault="006C1B74">
      <w:pPr>
        <w:pStyle w:val="TOC4"/>
        <w:rPr>
          <w:rFonts w:asciiTheme="minorHAnsi" w:eastAsiaTheme="minorEastAsia" w:hAnsiTheme="minorHAnsi" w:cstheme="minorBidi"/>
          <w:kern w:val="2"/>
          <w:sz w:val="24"/>
          <w:szCs w:val="24"/>
          <w14:ligatures w14:val="standardContextual"/>
        </w:rPr>
      </w:pPr>
      <w:r>
        <w:t>5.4.11.2</w:t>
      </w:r>
      <w:r>
        <w:rPr>
          <w:rFonts w:asciiTheme="minorHAnsi" w:eastAsiaTheme="minorEastAsia" w:hAnsiTheme="minorHAnsi" w:cstheme="minorBidi"/>
          <w:kern w:val="2"/>
          <w:sz w:val="24"/>
          <w:szCs w:val="24"/>
          <w14:ligatures w14:val="standardContextual"/>
        </w:rPr>
        <w:tab/>
      </w:r>
      <w:r>
        <w:t>Support of RAT types defined in 5GC for satellite access</w:t>
      </w:r>
      <w:r>
        <w:tab/>
      </w:r>
      <w:r>
        <w:fldChar w:fldCharType="begin" w:fldLock="1"/>
      </w:r>
      <w:r>
        <w:instrText xml:space="preserve"> PAGEREF _Toc201157050 \h </w:instrText>
      </w:r>
      <w:r>
        <w:fldChar w:fldCharType="separate"/>
      </w:r>
      <w:r>
        <w:t>132</w:t>
      </w:r>
      <w:r>
        <w:fldChar w:fldCharType="end"/>
      </w:r>
    </w:p>
    <w:p w14:paraId="21CD650F" w14:textId="7AAD14B8" w:rsidR="006C1B74" w:rsidRDefault="006C1B74">
      <w:pPr>
        <w:pStyle w:val="TOC4"/>
        <w:rPr>
          <w:rFonts w:asciiTheme="minorHAnsi" w:eastAsiaTheme="minorEastAsia" w:hAnsiTheme="minorHAnsi" w:cstheme="minorBidi"/>
          <w:kern w:val="2"/>
          <w:sz w:val="24"/>
          <w:szCs w:val="24"/>
          <w14:ligatures w14:val="standardContextual"/>
        </w:rPr>
      </w:pPr>
      <w:r>
        <w:t>5.4.11.3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_Toc201157051 \h </w:instrText>
      </w:r>
      <w:r>
        <w:fldChar w:fldCharType="separate"/>
      </w:r>
      <w:r>
        <w:t>132</w:t>
      </w:r>
      <w:r>
        <w:fldChar w:fldCharType="end"/>
      </w:r>
    </w:p>
    <w:p w14:paraId="5FAAA3C6" w14:textId="2CA45AB3" w:rsidR="006C1B74" w:rsidRDefault="006C1B74">
      <w:pPr>
        <w:pStyle w:val="TOC4"/>
        <w:rPr>
          <w:rFonts w:asciiTheme="minorHAnsi" w:eastAsiaTheme="minorEastAsia" w:hAnsiTheme="minorHAnsi" w:cstheme="minorBidi"/>
          <w:kern w:val="2"/>
          <w:sz w:val="24"/>
          <w:szCs w:val="24"/>
          <w14:ligatures w14:val="standardContextual"/>
        </w:rPr>
      </w:pPr>
      <w:r>
        <w:t>5.4.11.4</w:t>
      </w:r>
      <w:r>
        <w:rPr>
          <w:rFonts w:asciiTheme="minorHAnsi" w:eastAsiaTheme="minorEastAsia" w:hAnsiTheme="minorHAnsi" w:cstheme="minorBidi"/>
          <w:kern w:val="2"/>
          <w:sz w:val="24"/>
          <w:szCs w:val="24"/>
          <w14:ligatures w14:val="standardContextual"/>
        </w:rPr>
        <w:tab/>
      </w:r>
      <w:r>
        <w:t>Verification of UE location</w:t>
      </w:r>
      <w:r>
        <w:tab/>
      </w:r>
      <w:r>
        <w:fldChar w:fldCharType="begin" w:fldLock="1"/>
      </w:r>
      <w:r>
        <w:instrText xml:space="preserve"> PAGEREF _Toc201157052 \h </w:instrText>
      </w:r>
      <w:r>
        <w:fldChar w:fldCharType="separate"/>
      </w:r>
      <w:r>
        <w:t>132</w:t>
      </w:r>
      <w:r>
        <w:fldChar w:fldCharType="end"/>
      </w:r>
    </w:p>
    <w:p w14:paraId="3059CD08" w14:textId="4D22A6A2" w:rsidR="006C1B74" w:rsidRDefault="006C1B74">
      <w:pPr>
        <w:pStyle w:val="TOC4"/>
        <w:rPr>
          <w:rFonts w:asciiTheme="minorHAnsi" w:eastAsiaTheme="minorEastAsia" w:hAnsiTheme="minorHAnsi" w:cstheme="minorBidi"/>
          <w:kern w:val="2"/>
          <w:sz w:val="24"/>
          <w:szCs w:val="24"/>
          <w14:ligatures w14:val="standardContextual"/>
        </w:rPr>
      </w:pPr>
      <w:r>
        <w:t>5.4.11.5</w:t>
      </w:r>
      <w:r>
        <w:rPr>
          <w:rFonts w:asciiTheme="minorHAnsi" w:eastAsiaTheme="minorEastAsia" w:hAnsiTheme="minorHAnsi" w:cstheme="minorBidi"/>
          <w:kern w:val="2"/>
          <w:sz w:val="24"/>
          <w:szCs w:val="24"/>
          <w14:ligatures w14:val="standardContextual"/>
        </w:rPr>
        <w:tab/>
      </w:r>
      <w:r>
        <w:t>Network selection for NR satellite access</w:t>
      </w:r>
      <w:r>
        <w:tab/>
      </w:r>
      <w:r>
        <w:fldChar w:fldCharType="begin" w:fldLock="1"/>
      </w:r>
      <w:r>
        <w:instrText xml:space="preserve"> PAGEREF _Toc201157053 \h </w:instrText>
      </w:r>
      <w:r>
        <w:fldChar w:fldCharType="separate"/>
      </w:r>
      <w:r>
        <w:t>133</w:t>
      </w:r>
      <w:r>
        <w:fldChar w:fldCharType="end"/>
      </w:r>
    </w:p>
    <w:p w14:paraId="001B672E" w14:textId="124B5D02" w:rsidR="006C1B74" w:rsidRDefault="006C1B74">
      <w:pPr>
        <w:pStyle w:val="TOC4"/>
        <w:rPr>
          <w:rFonts w:asciiTheme="minorHAnsi" w:eastAsiaTheme="minorEastAsia" w:hAnsiTheme="minorHAnsi" w:cstheme="minorBidi"/>
          <w:kern w:val="2"/>
          <w:sz w:val="24"/>
          <w:szCs w:val="24"/>
          <w14:ligatures w14:val="standardContextual"/>
        </w:rPr>
      </w:pPr>
      <w:r>
        <w:t>5.4.11.6</w:t>
      </w:r>
      <w:r>
        <w:rPr>
          <w:rFonts w:asciiTheme="minorHAnsi" w:eastAsiaTheme="minorEastAsia" w:hAnsiTheme="minorHAnsi" w:cstheme="minorBidi"/>
          <w:kern w:val="2"/>
          <w:sz w:val="24"/>
          <w:szCs w:val="24"/>
          <w14:ligatures w14:val="standardContextual"/>
        </w:rPr>
        <w:tab/>
      </w:r>
      <w:r>
        <w:t>Support of Mobility Registration Update</w:t>
      </w:r>
      <w:r>
        <w:tab/>
      </w:r>
      <w:r>
        <w:fldChar w:fldCharType="begin" w:fldLock="1"/>
      </w:r>
      <w:r>
        <w:instrText xml:space="preserve"> PAGEREF _Toc201157054 \h </w:instrText>
      </w:r>
      <w:r>
        <w:fldChar w:fldCharType="separate"/>
      </w:r>
      <w:r>
        <w:t>133</w:t>
      </w:r>
      <w:r>
        <w:fldChar w:fldCharType="end"/>
      </w:r>
    </w:p>
    <w:p w14:paraId="3651F6D3" w14:textId="3B875A7D" w:rsidR="006C1B74" w:rsidRDefault="006C1B74">
      <w:pPr>
        <w:pStyle w:val="TOC4"/>
        <w:rPr>
          <w:rFonts w:asciiTheme="minorHAnsi" w:eastAsiaTheme="minorEastAsia" w:hAnsiTheme="minorHAnsi" w:cstheme="minorBidi"/>
          <w:kern w:val="2"/>
          <w:sz w:val="24"/>
          <w:szCs w:val="24"/>
          <w14:ligatures w14:val="standardContextual"/>
        </w:rPr>
      </w:pPr>
      <w:r>
        <w:t>5.4.11.7</w:t>
      </w:r>
      <w:r>
        <w:rPr>
          <w:rFonts w:asciiTheme="minorHAnsi" w:eastAsiaTheme="minorEastAsia" w:hAnsiTheme="minorHAnsi" w:cstheme="minorBidi"/>
          <w:kern w:val="2"/>
          <w:sz w:val="24"/>
          <w:szCs w:val="24"/>
          <w14:ligatures w14:val="standardContextual"/>
        </w:rPr>
        <w:tab/>
      </w:r>
      <w:r>
        <w:t>Tracking Area handling for NR satellite access</w:t>
      </w:r>
      <w:r>
        <w:tab/>
      </w:r>
      <w:r>
        <w:fldChar w:fldCharType="begin" w:fldLock="1"/>
      </w:r>
      <w:r>
        <w:instrText xml:space="preserve"> PAGEREF _Toc201157055 \h </w:instrText>
      </w:r>
      <w:r>
        <w:fldChar w:fldCharType="separate"/>
      </w:r>
      <w:r>
        <w:t>133</w:t>
      </w:r>
      <w:r>
        <w:fldChar w:fldCharType="end"/>
      </w:r>
    </w:p>
    <w:p w14:paraId="0176CF74" w14:textId="5EA566DB" w:rsidR="006C1B74" w:rsidRDefault="006C1B74">
      <w:pPr>
        <w:pStyle w:val="TOC4"/>
        <w:rPr>
          <w:rFonts w:asciiTheme="minorHAnsi" w:eastAsiaTheme="minorEastAsia" w:hAnsiTheme="minorHAnsi" w:cstheme="minorBidi"/>
          <w:kern w:val="2"/>
          <w:sz w:val="24"/>
          <w:szCs w:val="24"/>
          <w14:ligatures w14:val="standardContextual"/>
        </w:rPr>
      </w:pPr>
      <w:r>
        <w:t>5.4.11.8</w:t>
      </w:r>
      <w:r>
        <w:rPr>
          <w:rFonts w:asciiTheme="minorHAnsi" w:eastAsiaTheme="minorEastAsia" w:hAnsiTheme="minorHAnsi" w:cstheme="minorBidi"/>
          <w:kern w:val="2"/>
          <w:sz w:val="24"/>
          <w:szCs w:val="24"/>
          <w14:ligatures w14:val="standardContextual"/>
        </w:rPr>
        <w:tab/>
      </w:r>
      <w:r>
        <w:t>Support for mobility Forbidden Area and Service Area Restrictions for NR satellite access</w:t>
      </w:r>
      <w:r>
        <w:tab/>
      </w:r>
      <w:r>
        <w:fldChar w:fldCharType="begin" w:fldLock="1"/>
      </w:r>
      <w:r>
        <w:instrText xml:space="preserve"> PAGEREF _Toc201157056 \h </w:instrText>
      </w:r>
      <w:r>
        <w:fldChar w:fldCharType="separate"/>
      </w:r>
      <w:r>
        <w:t>133</w:t>
      </w:r>
      <w:r>
        <w:fldChar w:fldCharType="end"/>
      </w:r>
    </w:p>
    <w:p w14:paraId="46014BFD" w14:textId="560F6298" w:rsidR="006C1B74" w:rsidRDefault="006C1B74">
      <w:pPr>
        <w:pStyle w:val="TOC3"/>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Paging Early Indication with Paging Subgrouping Assistance</w:t>
      </w:r>
      <w:r>
        <w:tab/>
      </w:r>
      <w:r>
        <w:fldChar w:fldCharType="begin" w:fldLock="1"/>
      </w:r>
      <w:r>
        <w:instrText xml:space="preserve"> PAGEREF _Toc201157057 \h </w:instrText>
      </w:r>
      <w:r>
        <w:fldChar w:fldCharType="separate"/>
      </w:r>
      <w:r>
        <w:t>134</w:t>
      </w:r>
      <w:r>
        <w:fldChar w:fldCharType="end"/>
      </w:r>
    </w:p>
    <w:p w14:paraId="3ACD0141" w14:textId="318A22BB" w:rsidR="006C1B74" w:rsidRDefault="006C1B74">
      <w:pPr>
        <w:pStyle w:val="TOC4"/>
        <w:rPr>
          <w:rFonts w:asciiTheme="minorHAnsi" w:eastAsiaTheme="minorEastAsia" w:hAnsiTheme="minorHAnsi" w:cstheme="minorBidi"/>
          <w:kern w:val="2"/>
          <w:sz w:val="24"/>
          <w:szCs w:val="24"/>
          <w14:ligatures w14:val="standardContextual"/>
        </w:rPr>
      </w:pPr>
      <w:r>
        <w:t>5.4.12.1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_Toc201157058 \h </w:instrText>
      </w:r>
      <w:r>
        <w:fldChar w:fldCharType="separate"/>
      </w:r>
      <w:r>
        <w:t>134</w:t>
      </w:r>
      <w:r>
        <w:fldChar w:fldCharType="end"/>
      </w:r>
    </w:p>
    <w:p w14:paraId="65B5DF78" w14:textId="605AAEAB" w:rsidR="006C1B74" w:rsidRDefault="006C1B74">
      <w:pPr>
        <w:pStyle w:val="TOC4"/>
        <w:rPr>
          <w:rFonts w:asciiTheme="minorHAnsi" w:eastAsiaTheme="minorEastAsia" w:hAnsiTheme="minorHAnsi" w:cstheme="minorBidi"/>
          <w:kern w:val="2"/>
          <w:sz w:val="24"/>
          <w:szCs w:val="24"/>
          <w14:ligatures w14:val="standardContextual"/>
        </w:rPr>
      </w:pPr>
      <w:r>
        <w:t>5.4.12.2</w:t>
      </w:r>
      <w:r>
        <w:rPr>
          <w:rFonts w:asciiTheme="minorHAnsi" w:eastAsiaTheme="minorEastAsia" w:hAnsiTheme="minorHAnsi" w:cstheme="minorBidi"/>
          <w:kern w:val="2"/>
          <w:sz w:val="24"/>
          <w:szCs w:val="24"/>
          <w14:ligatures w14:val="standardContextual"/>
        </w:rPr>
        <w:tab/>
      </w:r>
      <w:r>
        <w:t>Core Network Assistance for PEIPS</w:t>
      </w:r>
      <w:r>
        <w:tab/>
      </w:r>
      <w:r>
        <w:fldChar w:fldCharType="begin" w:fldLock="1"/>
      </w:r>
      <w:r>
        <w:instrText xml:space="preserve"> PAGEREF _Toc201157059 \h </w:instrText>
      </w:r>
      <w:r>
        <w:fldChar w:fldCharType="separate"/>
      </w:r>
      <w:r>
        <w:t>134</w:t>
      </w:r>
      <w:r>
        <w:fldChar w:fldCharType="end"/>
      </w:r>
    </w:p>
    <w:p w14:paraId="0D4AFC07" w14:textId="6D5C82B2" w:rsidR="006C1B74" w:rsidRDefault="006C1B74">
      <w:pPr>
        <w:pStyle w:val="TOC3"/>
        <w:rPr>
          <w:rFonts w:asciiTheme="minorHAnsi" w:eastAsiaTheme="minorEastAsia" w:hAnsiTheme="minorHAnsi" w:cstheme="minorBidi"/>
          <w:kern w:val="2"/>
          <w:sz w:val="24"/>
          <w:szCs w:val="24"/>
          <w14:ligatures w14:val="standardContextual"/>
        </w:rPr>
      </w:pPr>
      <w:r>
        <w:t>5.4.13</w:t>
      </w:r>
      <w:r>
        <w:rPr>
          <w:rFonts w:asciiTheme="minorHAnsi" w:eastAsiaTheme="minorEastAsia" w:hAnsiTheme="minorHAnsi" w:cstheme="minorBidi"/>
          <w:kern w:val="2"/>
          <w:sz w:val="24"/>
          <w:szCs w:val="24"/>
          <w14:ligatures w14:val="standardContextual"/>
        </w:rPr>
        <w:tab/>
      </w:r>
      <w:r>
        <w:t>Support of discontinuous network coverage for satellite access</w:t>
      </w:r>
      <w:r>
        <w:tab/>
      </w:r>
      <w:r>
        <w:fldChar w:fldCharType="begin" w:fldLock="1"/>
      </w:r>
      <w:r>
        <w:instrText xml:space="preserve"> PAGEREF _Toc201157060 \h </w:instrText>
      </w:r>
      <w:r>
        <w:fldChar w:fldCharType="separate"/>
      </w:r>
      <w:r>
        <w:t>135</w:t>
      </w:r>
      <w:r>
        <w:fldChar w:fldCharType="end"/>
      </w:r>
    </w:p>
    <w:p w14:paraId="10B34E92" w14:textId="2551A05D" w:rsidR="006C1B74" w:rsidRDefault="006C1B74">
      <w:pPr>
        <w:pStyle w:val="TOC4"/>
        <w:rPr>
          <w:rFonts w:asciiTheme="minorHAnsi" w:eastAsiaTheme="minorEastAsia" w:hAnsiTheme="minorHAnsi" w:cstheme="minorBidi"/>
          <w:kern w:val="2"/>
          <w:sz w:val="24"/>
          <w:szCs w:val="24"/>
          <w14:ligatures w14:val="standardContextual"/>
        </w:rPr>
      </w:pPr>
      <w:r>
        <w:t>5.4.13.0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_Toc201157061 \h </w:instrText>
      </w:r>
      <w:r>
        <w:fldChar w:fldCharType="separate"/>
      </w:r>
      <w:r>
        <w:t>135</w:t>
      </w:r>
      <w:r>
        <w:fldChar w:fldCharType="end"/>
      </w:r>
    </w:p>
    <w:p w14:paraId="49D9E917" w14:textId="046C6D06" w:rsidR="006C1B74" w:rsidRDefault="006C1B74">
      <w:pPr>
        <w:pStyle w:val="TOC4"/>
        <w:rPr>
          <w:rFonts w:asciiTheme="minorHAnsi" w:eastAsiaTheme="minorEastAsia" w:hAnsiTheme="minorHAnsi" w:cstheme="minorBidi"/>
          <w:kern w:val="2"/>
          <w:sz w:val="24"/>
          <w:szCs w:val="24"/>
          <w14:ligatures w14:val="standardContextual"/>
        </w:rPr>
      </w:pPr>
      <w:r>
        <w:t>5.4.13.1</w:t>
      </w:r>
      <w:r>
        <w:rPr>
          <w:rFonts w:asciiTheme="minorHAnsi" w:eastAsiaTheme="minorEastAsia" w:hAnsiTheme="minorHAnsi" w:cstheme="minorBidi"/>
          <w:kern w:val="2"/>
          <w:sz w:val="24"/>
          <w:szCs w:val="24"/>
          <w14:ligatures w14:val="standardContextual"/>
        </w:rPr>
        <w:tab/>
      </w:r>
      <w:r>
        <w:t>Mobility Management and Power Saving Optimization</w:t>
      </w:r>
      <w:r>
        <w:tab/>
      </w:r>
      <w:r>
        <w:fldChar w:fldCharType="begin" w:fldLock="1"/>
      </w:r>
      <w:r>
        <w:instrText xml:space="preserve"> PAGEREF _Toc201157062 \h </w:instrText>
      </w:r>
      <w:r>
        <w:fldChar w:fldCharType="separate"/>
      </w:r>
      <w:r>
        <w:t>135</w:t>
      </w:r>
      <w:r>
        <w:fldChar w:fldCharType="end"/>
      </w:r>
    </w:p>
    <w:p w14:paraId="47CFFE15" w14:textId="07182D65" w:rsidR="006C1B74" w:rsidRDefault="006C1B74">
      <w:pPr>
        <w:pStyle w:val="TOC4"/>
        <w:rPr>
          <w:rFonts w:asciiTheme="minorHAnsi" w:eastAsiaTheme="minorEastAsia" w:hAnsiTheme="minorHAnsi" w:cstheme="minorBidi"/>
          <w:kern w:val="2"/>
          <w:sz w:val="24"/>
          <w:szCs w:val="24"/>
          <w14:ligatures w14:val="standardContextual"/>
        </w:rPr>
      </w:pPr>
      <w:r>
        <w:t>5.4.13.2</w:t>
      </w:r>
      <w:r>
        <w:rPr>
          <w:rFonts w:asciiTheme="minorHAnsi" w:eastAsiaTheme="minorEastAsia" w:hAnsiTheme="minorHAnsi" w:cstheme="minorBidi"/>
          <w:kern w:val="2"/>
          <w:sz w:val="24"/>
          <w:szCs w:val="24"/>
          <w14:ligatures w14:val="standardContextual"/>
        </w:rPr>
        <w:tab/>
      </w:r>
      <w:r>
        <w:t>Coverage availability information provisioning to the UE</w:t>
      </w:r>
      <w:r>
        <w:tab/>
      </w:r>
      <w:r>
        <w:fldChar w:fldCharType="begin" w:fldLock="1"/>
      </w:r>
      <w:r>
        <w:instrText xml:space="preserve"> PAGEREF _Toc201157063 \h </w:instrText>
      </w:r>
      <w:r>
        <w:fldChar w:fldCharType="separate"/>
      </w:r>
      <w:r>
        <w:t>136</w:t>
      </w:r>
      <w:r>
        <w:fldChar w:fldCharType="end"/>
      </w:r>
    </w:p>
    <w:p w14:paraId="11534698" w14:textId="6A8354A2" w:rsidR="006C1B74" w:rsidRDefault="006C1B74">
      <w:pPr>
        <w:pStyle w:val="TOC4"/>
        <w:rPr>
          <w:rFonts w:asciiTheme="minorHAnsi" w:eastAsiaTheme="minorEastAsia" w:hAnsiTheme="minorHAnsi" w:cstheme="minorBidi"/>
          <w:kern w:val="2"/>
          <w:sz w:val="24"/>
          <w:szCs w:val="24"/>
          <w14:ligatures w14:val="standardContextual"/>
        </w:rPr>
      </w:pPr>
      <w:r>
        <w:t>5.4.13.3</w:t>
      </w:r>
      <w:r>
        <w:rPr>
          <w:rFonts w:asciiTheme="minorHAnsi" w:eastAsiaTheme="minorEastAsia" w:hAnsiTheme="minorHAnsi" w:cstheme="minorBidi"/>
          <w:kern w:val="2"/>
          <w:sz w:val="24"/>
          <w:szCs w:val="24"/>
          <w14:ligatures w14:val="standardContextual"/>
        </w:rPr>
        <w:tab/>
      </w:r>
      <w:r>
        <w:t>Coverage availability information provisioning to the AMF</w:t>
      </w:r>
      <w:r>
        <w:tab/>
      </w:r>
      <w:r>
        <w:fldChar w:fldCharType="begin" w:fldLock="1"/>
      </w:r>
      <w:r>
        <w:instrText xml:space="preserve"> PAGEREF _Toc201157064 \h </w:instrText>
      </w:r>
      <w:r>
        <w:fldChar w:fldCharType="separate"/>
      </w:r>
      <w:r>
        <w:t>136</w:t>
      </w:r>
      <w:r>
        <w:fldChar w:fldCharType="end"/>
      </w:r>
    </w:p>
    <w:p w14:paraId="42C7FC53" w14:textId="1A8F33D1" w:rsidR="006C1B74" w:rsidRDefault="006C1B74">
      <w:pPr>
        <w:pStyle w:val="TOC4"/>
        <w:rPr>
          <w:rFonts w:asciiTheme="minorHAnsi" w:eastAsiaTheme="minorEastAsia" w:hAnsiTheme="minorHAnsi" w:cstheme="minorBidi"/>
          <w:kern w:val="2"/>
          <w:sz w:val="24"/>
          <w:szCs w:val="24"/>
          <w14:ligatures w14:val="standardContextual"/>
        </w:rPr>
      </w:pPr>
      <w:r>
        <w:t>5.4.13.4</w:t>
      </w:r>
      <w:r>
        <w:rPr>
          <w:rFonts w:asciiTheme="minorHAnsi" w:eastAsiaTheme="minorEastAsia" w:hAnsiTheme="minorHAnsi" w:cstheme="minorBidi"/>
          <w:kern w:val="2"/>
          <w:sz w:val="24"/>
          <w:szCs w:val="24"/>
          <w14:ligatures w14:val="standardContextual"/>
        </w:rPr>
        <w:tab/>
      </w:r>
      <w:r>
        <w:t>Paging</w:t>
      </w:r>
      <w:r>
        <w:tab/>
      </w:r>
      <w:r>
        <w:fldChar w:fldCharType="begin" w:fldLock="1"/>
      </w:r>
      <w:r>
        <w:instrText xml:space="preserve"> PAGEREF _Toc201157065 \h </w:instrText>
      </w:r>
      <w:r>
        <w:fldChar w:fldCharType="separate"/>
      </w:r>
      <w:r>
        <w:t>136</w:t>
      </w:r>
      <w:r>
        <w:fldChar w:fldCharType="end"/>
      </w:r>
    </w:p>
    <w:p w14:paraId="0D27E475" w14:textId="21B9B679" w:rsidR="006C1B74" w:rsidRDefault="006C1B74">
      <w:pPr>
        <w:pStyle w:val="TOC4"/>
        <w:rPr>
          <w:rFonts w:asciiTheme="minorHAnsi" w:eastAsiaTheme="minorEastAsia" w:hAnsiTheme="minorHAnsi" w:cstheme="minorBidi"/>
          <w:kern w:val="2"/>
          <w:sz w:val="24"/>
          <w:szCs w:val="24"/>
          <w14:ligatures w14:val="standardContextual"/>
        </w:rPr>
      </w:pPr>
      <w:r>
        <w:t>5.4.13.5</w:t>
      </w:r>
      <w:r>
        <w:rPr>
          <w:rFonts w:asciiTheme="minorHAnsi" w:eastAsiaTheme="minorEastAsia" w:hAnsiTheme="minorHAnsi" w:cstheme="minorBidi"/>
          <w:kern w:val="2"/>
          <w:sz w:val="24"/>
          <w:szCs w:val="24"/>
          <w14:ligatures w14:val="standardContextual"/>
        </w:rPr>
        <w:tab/>
      </w:r>
      <w:r>
        <w:t>Overload control</w:t>
      </w:r>
      <w:r>
        <w:tab/>
      </w:r>
      <w:r>
        <w:fldChar w:fldCharType="begin" w:fldLock="1"/>
      </w:r>
      <w:r>
        <w:instrText xml:space="preserve"> PAGEREF _Toc201157066 \h </w:instrText>
      </w:r>
      <w:r>
        <w:fldChar w:fldCharType="separate"/>
      </w:r>
      <w:r>
        <w:t>136</w:t>
      </w:r>
      <w:r>
        <w:fldChar w:fldCharType="end"/>
      </w:r>
    </w:p>
    <w:p w14:paraId="4E7409FC" w14:textId="708021FF" w:rsidR="006C1B74" w:rsidRDefault="006C1B74">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Non-3GPP access specific aspects</w:t>
      </w:r>
      <w:r>
        <w:tab/>
      </w:r>
      <w:r>
        <w:fldChar w:fldCharType="begin" w:fldLock="1"/>
      </w:r>
      <w:r>
        <w:instrText xml:space="preserve"> PAGEREF _Toc201157067 \h </w:instrText>
      </w:r>
      <w:r>
        <w:fldChar w:fldCharType="separate"/>
      </w:r>
      <w:r>
        <w:t>137</w:t>
      </w:r>
      <w:r>
        <w:fldChar w:fldCharType="end"/>
      </w:r>
    </w:p>
    <w:p w14:paraId="54AFEC33" w14:textId="3710564B" w:rsidR="006C1B74" w:rsidRDefault="006C1B74">
      <w:pPr>
        <w:pStyle w:val="TOC3"/>
        <w:rPr>
          <w:rFonts w:asciiTheme="minorHAnsi" w:eastAsiaTheme="minorEastAsia" w:hAnsiTheme="minorHAnsi" w:cstheme="minorBidi"/>
          <w:kern w:val="2"/>
          <w:sz w:val="24"/>
          <w:szCs w:val="24"/>
          <w14:ligatures w14:val="standardContextual"/>
        </w:rPr>
      </w:pPr>
      <w:r>
        <w:t>5.5.0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_Toc201157068 \h </w:instrText>
      </w:r>
      <w:r>
        <w:fldChar w:fldCharType="separate"/>
      </w:r>
      <w:r>
        <w:t>137</w:t>
      </w:r>
      <w:r>
        <w:fldChar w:fldCharType="end"/>
      </w:r>
    </w:p>
    <w:p w14:paraId="7C0550B1" w14:textId="3B5241EF" w:rsidR="006C1B74" w:rsidRDefault="006C1B74">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Registration Management</w:t>
      </w:r>
      <w:r>
        <w:tab/>
      </w:r>
      <w:r>
        <w:fldChar w:fldCharType="begin" w:fldLock="1"/>
      </w:r>
      <w:r>
        <w:instrText xml:space="preserve"> PAGEREF _Toc201157069 \h </w:instrText>
      </w:r>
      <w:r>
        <w:fldChar w:fldCharType="separate"/>
      </w:r>
      <w:r>
        <w:t>137</w:t>
      </w:r>
      <w:r>
        <w:fldChar w:fldCharType="end"/>
      </w:r>
    </w:p>
    <w:p w14:paraId="72F59347" w14:textId="752BDA4A" w:rsidR="006C1B74" w:rsidRDefault="006C1B74">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Connection Management</w:t>
      </w:r>
      <w:r>
        <w:tab/>
      </w:r>
      <w:r>
        <w:fldChar w:fldCharType="begin" w:fldLock="1"/>
      </w:r>
      <w:r>
        <w:instrText xml:space="preserve"> PAGEREF _Toc201157070 \h </w:instrText>
      </w:r>
      <w:r>
        <w:fldChar w:fldCharType="separate"/>
      </w:r>
      <w:r>
        <w:t>138</w:t>
      </w:r>
      <w:r>
        <w:fldChar w:fldCharType="end"/>
      </w:r>
    </w:p>
    <w:p w14:paraId="52200A18" w14:textId="7373EACA"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lastRenderedPageBreak/>
        <w:t>5.5.3</w:t>
      </w:r>
      <w:r>
        <w:rPr>
          <w:rFonts w:asciiTheme="minorHAnsi" w:eastAsiaTheme="minorEastAsia" w:hAnsiTheme="minorHAnsi" w:cstheme="minorBidi"/>
          <w:kern w:val="2"/>
          <w:sz w:val="24"/>
          <w:szCs w:val="24"/>
          <w14:ligatures w14:val="standardContextual"/>
        </w:rPr>
        <w:tab/>
      </w:r>
      <w:r>
        <w:rPr>
          <w:lang w:eastAsia="zh-CN"/>
        </w:rPr>
        <w:t>UE Reachability</w:t>
      </w:r>
      <w:r>
        <w:tab/>
      </w:r>
      <w:r>
        <w:fldChar w:fldCharType="begin" w:fldLock="1"/>
      </w:r>
      <w:r>
        <w:instrText xml:space="preserve"> PAGEREF _Toc201157071 \h </w:instrText>
      </w:r>
      <w:r>
        <w:fldChar w:fldCharType="separate"/>
      </w:r>
      <w:r>
        <w:t>139</w:t>
      </w:r>
      <w:r>
        <w:fldChar w:fldCharType="end"/>
      </w:r>
    </w:p>
    <w:p w14:paraId="32302BF0" w14:textId="34202EAC"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5.5.3.1</w:t>
      </w:r>
      <w:r>
        <w:rPr>
          <w:rFonts w:asciiTheme="minorHAnsi" w:eastAsiaTheme="minorEastAsia" w:hAnsiTheme="minorHAnsi" w:cstheme="minorBidi"/>
          <w:kern w:val="2"/>
          <w:sz w:val="24"/>
          <w:szCs w:val="24"/>
          <w14:ligatures w14:val="standardContextual"/>
        </w:rPr>
        <w:tab/>
      </w:r>
      <w:r>
        <w:rPr>
          <w:lang w:eastAsia="zh-CN"/>
        </w:rPr>
        <w:t>UE reachability in CM-IDLE</w:t>
      </w:r>
      <w:r>
        <w:tab/>
      </w:r>
      <w:r>
        <w:fldChar w:fldCharType="begin" w:fldLock="1"/>
      </w:r>
      <w:r>
        <w:instrText xml:space="preserve"> PAGEREF _Toc201157072 \h </w:instrText>
      </w:r>
      <w:r>
        <w:fldChar w:fldCharType="separate"/>
      </w:r>
      <w:r>
        <w:t>139</w:t>
      </w:r>
      <w:r>
        <w:fldChar w:fldCharType="end"/>
      </w:r>
    </w:p>
    <w:p w14:paraId="7D125B45" w14:textId="61CD91C8"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5.5.3.2</w:t>
      </w:r>
      <w:r>
        <w:rPr>
          <w:rFonts w:asciiTheme="minorHAnsi" w:eastAsiaTheme="minorEastAsia" w:hAnsiTheme="minorHAnsi" w:cstheme="minorBidi"/>
          <w:kern w:val="2"/>
          <w:sz w:val="24"/>
          <w:szCs w:val="24"/>
          <w14:ligatures w14:val="standardContextual"/>
        </w:rPr>
        <w:tab/>
      </w:r>
      <w:r>
        <w:rPr>
          <w:lang w:eastAsia="zh-CN"/>
        </w:rPr>
        <w:t>UE reachability in CM-CONNECTED</w:t>
      </w:r>
      <w:r>
        <w:tab/>
      </w:r>
      <w:r>
        <w:fldChar w:fldCharType="begin" w:fldLock="1"/>
      </w:r>
      <w:r>
        <w:instrText xml:space="preserve"> PAGEREF _Toc201157073 \h </w:instrText>
      </w:r>
      <w:r>
        <w:fldChar w:fldCharType="separate"/>
      </w:r>
      <w:r>
        <w:t>139</w:t>
      </w:r>
      <w:r>
        <w:fldChar w:fldCharType="end"/>
      </w:r>
    </w:p>
    <w:p w14:paraId="4444520A" w14:textId="38B3774E" w:rsidR="006C1B74" w:rsidRDefault="006C1B74">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Session Management</w:t>
      </w:r>
      <w:r>
        <w:tab/>
      </w:r>
      <w:r>
        <w:fldChar w:fldCharType="begin" w:fldLock="1"/>
      </w:r>
      <w:r>
        <w:instrText xml:space="preserve"> PAGEREF _Toc201157074 \h </w:instrText>
      </w:r>
      <w:r>
        <w:fldChar w:fldCharType="separate"/>
      </w:r>
      <w:r>
        <w:t>140</w:t>
      </w:r>
      <w:r>
        <w:fldChar w:fldCharType="end"/>
      </w:r>
    </w:p>
    <w:p w14:paraId="0C0C19BC" w14:textId="200260AD" w:rsidR="006C1B74" w:rsidRDefault="006C1B74">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_Toc201157075 \h </w:instrText>
      </w:r>
      <w:r>
        <w:fldChar w:fldCharType="separate"/>
      </w:r>
      <w:r>
        <w:t>140</w:t>
      </w:r>
      <w:r>
        <w:fldChar w:fldCharType="end"/>
      </w:r>
    </w:p>
    <w:p w14:paraId="4743FB71" w14:textId="72F1345A" w:rsidR="006C1B74" w:rsidRDefault="006C1B74">
      <w:pPr>
        <w:pStyle w:val="TOC3"/>
        <w:rPr>
          <w:rFonts w:asciiTheme="minorHAnsi" w:eastAsiaTheme="minorEastAsia" w:hAnsiTheme="minorHAnsi" w:cstheme="minorBidi"/>
          <w:kern w:val="2"/>
          <w:sz w:val="24"/>
          <w:szCs w:val="24"/>
          <w14:ligatures w14:val="standardContextual"/>
        </w:rPr>
      </w:pPr>
      <w:r>
        <w:rPr>
          <w:lang w:eastAsia="ko-KR"/>
        </w:rPr>
        <w:t>5.6.2</w:t>
      </w:r>
      <w:r>
        <w:rPr>
          <w:rFonts w:asciiTheme="minorHAnsi" w:eastAsiaTheme="minorEastAsia" w:hAnsiTheme="minorHAnsi" w:cstheme="minorBidi"/>
          <w:kern w:val="2"/>
          <w:sz w:val="24"/>
          <w:szCs w:val="24"/>
          <w14:ligatures w14:val="standardContextual"/>
        </w:rPr>
        <w:tab/>
      </w:r>
      <w:r>
        <w:rPr>
          <w:lang w:eastAsia="ko-KR"/>
        </w:rPr>
        <w:t>Interaction between AMF and SMF</w:t>
      </w:r>
      <w:r>
        <w:tab/>
      </w:r>
      <w:r>
        <w:fldChar w:fldCharType="begin" w:fldLock="1"/>
      </w:r>
      <w:r>
        <w:instrText xml:space="preserve"> PAGEREF _Toc201157076 \h </w:instrText>
      </w:r>
      <w:r>
        <w:fldChar w:fldCharType="separate"/>
      </w:r>
      <w:r>
        <w:t>143</w:t>
      </w:r>
      <w:r>
        <w:fldChar w:fldCharType="end"/>
      </w:r>
    </w:p>
    <w:p w14:paraId="1611F618" w14:textId="1A152EC5" w:rsidR="006C1B74" w:rsidRDefault="006C1B74">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Roaming</w:t>
      </w:r>
      <w:r>
        <w:tab/>
      </w:r>
      <w:r>
        <w:fldChar w:fldCharType="begin" w:fldLock="1"/>
      </w:r>
      <w:r>
        <w:instrText xml:space="preserve"> PAGEREF _Toc201157077 \h </w:instrText>
      </w:r>
      <w:r>
        <w:fldChar w:fldCharType="separate"/>
      </w:r>
      <w:r>
        <w:t>145</w:t>
      </w:r>
      <w:r>
        <w:fldChar w:fldCharType="end"/>
      </w:r>
    </w:p>
    <w:p w14:paraId="4A1ABA9A" w14:textId="385AD2E3" w:rsidR="006C1B74" w:rsidRDefault="006C1B74">
      <w:pPr>
        <w:pStyle w:val="TOC3"/>
        <w:rPr>
          <w:rFonts w:asciiTheme="minorHAnsi" w:eastAsiaTheme="minorEastAsia" w:hAnsiTheme="minorHAnsi" w:cstheme="minorBidi"/>
          <w:kern w:val="2"/>
          <w:sz w:val="24"/>
          <w:szCs w:val="24"/>
          <w14:ligatures w14:val="standardContextual"/>
        </w:rPr>
      </w:pPr>
      <w:r w:rsidRPr="00191652">
        <w:rPr>
          <w:rFonts w:eastAsia="SimSun"/>
        </w:rPr>
        <w:t>5.6.4</w:t>
      </w:r>
      <w:r>
        <w:rPr>
          <w:rFonts w:asciiTheme="minorHAnsi" w:eastAsiaTheme="minorEastAsia" w:hAnsiTheme="minorHAnsi" w:cstheme="minorBidi"/>
          <w:kern w:val="2"/>
          <w:sz w:val="24"/>
          <w:szCs w:val="24"/>
          <w14:ligatures w14:val="standardContextual"/>
        </w:rPr>
        <w:tab/>
      </w:r>
      <w:r w:rsidRPr="00191652">
        <w:rPr>
          <w:rFonts w:eastAsia="SimSun"/>
        </w:rPr>
        <w:t xml:space="preserve">Single PDU Session with </w:t>
      </w:r>
      <w:r w:rsidRPr="00191652">
        <w:rPr>
          <w:rFonts w:eastAsia="SimSun"/>
          <w:lang w:eastAsia="fr-FR"/>
        </w:rPr>
        <w:t>multiple PDU Session Anchors</w:t>
      </w:r>
      <w:r>
        <w:tab/>
      </w:r>
      <w:r>
        <w:fldChar w:fldCharType="begin" w:fldLock="1"/>
      </w:r>
      <w:r>
        <w:instrText xml:space="preserve"> PAGEREF _Toc201157078 \h </w:instrText>
      </w:r>
      <w:r>
        <w:fldChar w:fldCharType="separate"/>
      </w:r>
      <w:r>
        <w:t>145</w:t>
      </w:r>
      <w:r>
        <w:fldChar w:fldCharType="end"/>
      </w:r>
    </w:p>
    <w:p w14:paraId="7E759583" w14:textId="55E0CCCC" w:rsidR="006C1B74" w:rsidRDefault="006C1B74">
      <w:pPr>
        <w:pStyle w:val="TOC4"/>
        <w:rPr>
          <w:rFonts w:asciiTheme="minorHAnsi" w:eastAsiaTheme="minorEastAsia" w:hAnsiTheme="minorHAnsi" w:cstheme="minorBidi"/>
          <w:kern w:val="2"/>
          <w:sz w:val="24"/>
          <w:szCs w:val="24"/>
          <w14:ligatures w14:val="standardContextual"/>
        </w:rPr>
      </w:pPr>
      <w:r w:rsidRPr="00191652">
        <w:rPr>
          <w:rFonts w:eastAsia="SimSun"/>
        </w:rPr>
        <w:t>5.6.4.1</w:t>
      </w:r>
      <w:r>
        <w:rPr>
          <w:rFonts w:asciiTheme="minorHAnsi" w:eastAsiaTheme="minorEastAsia" w:hAnsiTheme="minorHAnsi" w:cstheme="minorBidi"/>
          <w:kern w:val="2"/>
          <w:sz w:val="24"/>
          <w:szCs w:val="24"/>
          <w14:ligatures w14:val="standardContextual"/>
        </w:rPr>
        <w:tab/>
      </w:r>
      <w:r w:rsidRPr="00191652">
        <w:rPr>
          <w:rFonts w:eastAsia="SimSun"/>
        </w:rPr>
        <w:t>General</w:t>
      </w:r>
      <w:r>
        <w:tab/>
      </w:r>
      <w:r>
        <w:fldChar w:fldCharType="begin" w:fldLock="1"/>
      </w:r>
      <w:r>
        <w:instrText xml:space="preserve"> PAGEREF _Toc201157079 \h </w:instrText>
      </w:r>
      <w:r>
        <w:fldChar w:fldCharType="separate"/>
      </w:r>
      <w:r>
        <w:t>145</w:t>
      </w:r>
      <w:r>
        <w:fldChar w:fldCharType="end"/>
      </w:r>
    </w:p>
    <w:p w14:paraId="7FF5AE2F" w14:textId="712D3C11" w:rsidR="006C1B74" w:rsidRDefault="006C1B74">
      <w:pPr>
        <w:pStyle w:val="TOC4"/>
        <w:rPr>
          <w:rFonts w:asciiTheme="minorHAnsi" w:eastAsiaTheme="minorEastAsia" w:hAnsiTheme="minorHAnsi" w:cstheme="minorBidi"/>
          <w:kern w:val="2"/>
          <w:sz w:val="24"/>
          <w:szCs w:val="24"/>
          <w14:ligatures w14:val="standardContextual"/>
        </w:rPr>
      </w:pPr>
      <w:r w:rsidRPr="00191652">
        <w:rPr>
          <w:rFonts w:eastAsia="SimSun"/>
        </w:rPr>
        <w:t>5.6.4.2</w:t>
      </w:r>
      <w:r>
        <w:rPr>
          <w:rFonts w:asciiTheme="minorHAnsi" w:eastAsiaTheme="minorEastAsia" w:hAnsiTheme="minorHAnsi" w:cstheme="minorBidi"/>
          <w:kern w:val="2"/>
          <w:sz w:val="24"/>
          <w:szCs w:val="24"/>
          <w14:ligatures w14:val="standardContextual"/>
        </w:rPr>
        <w:tab/>
      </w:r>
      <w:r w:rsidRPr="00191652">
        <w:rPr>
          <w:rFonts w:eastAsia="SimSun"/>
        </w:rPr>
        <w:t>Usage of an UL Classifier for a PDU Session</w:t>
      </w:r>
      <w:r>
        <w:tab/>
      </w:r>
      <w:r>
        <w:fldChar w:fldCharType="begin" w:fldLock="1"/>
      </w:r>
      <w:r>
        <w:instrText xml:space="preserve"> PAGEREF _Toc201157080 \h </w:instrText>
      </w:r>
      <w:r>
        <w:fldChar w:fldCharType="separate"/>
      </w:r>
      <w:r>
        <w:t>146</w:t>
      </w:r>
      <w:r>
        <w:fldChar w:fldCharType="end"/>
      </w:r>
    </w:p>
    <w:p w14:paraId="0F283AFC" w14:textId="3A27ACE1" w:rsidR="006C1B74" w:rsidRDefault="006C1B74">
      <w:pPr>
        <w:pStyle w:val="TOC4"/>
        <w:rPr>
          <w:rFonts w:asciiTheme="minorHAnsi" w:eastAsiaTheme="minorEastAsia" w:hAnsiTheme="minorHAnsi" w:cstheme="minorBidi"/>
          <w:kern w:val="2"/>
          <w:sz w:val="24"/>
          <w:szCs w:val="24"/>
          <w14:ligatures w14:val="standardContextual"/>
        </w:rPr>
      </w:pPr>
      <w:r w:rsidRPr="00191652">
        <w:rPr>
          <w:rFonts w:eastAsia="SimSun"/>
        </w:rPr>
        <w:t>5.6.4.3</w:t>
      </w:r>
      <w:r>
        <w:rPr>
          <w:rFonts w:asciiTheme="minorHAnsi" w:eastAsiaTheme="minorEastAsia" w:hAnsiTheme="minorHAnsi" w:cstheme="minorBidi"/>
          <w:kern w:val="2"/>
          <w:sz w:val="24"/>
          <w:szCs w:val="24"/>
          <w14:ligatures w14:val="standardContextual"/>
        </w:rPr>
        <w:tab/>
      </w:r>
      <w:r w:rsidRPr="00191652">
        <w:rPr>
          <w:rFonts w:eastAsia="SimSun"/>
        </w:rPr>
        <w:t>Usage of IPv6 multi-homing for a PDU Session</w:t>
      </w:r>
      <w:r>
        <w:tab/>
      </w:r>
      <w:r>
        <w:fldChar w:fldCharType="begin" w:fldLock="1"/>
      </w:r>
      <w:r>
        <w:instrText xml:space="preserve"> PAGEREF _Toc201157081 \h </w:instrText>
      </w:r>
      <w:r>
        <w:fldChar w:fldCharType="separate"/>
      </w:r>
      <w:r>
        <w:t>148</w:t>
      </w:r>
      <w:r>
        <w:fldChar w:fldCharType="end"/>
      </w:r>
    </w:p>
    <w:p w14:paraId="156B9D68" w14:textId="5299DF64" w:rsidR="006C1B74" w:rsidRDefault="006C1B74">
      <w:pPr>
        <w:pStyle w:val="TOC3"/>
        <w:rPr>
          <w:rFonts w:asciiTheme="minorHAnsi" w:eastAsiaTheme="minorEastAsia" w:hAnsiTheme="minorHAnsi" w:cstheme="minorBidi"/>
          <w:kern w:val="2"/>
          <w:sz w:val="24"/>
          <w:szCs w:val="24"/>
          <w14:ligatures w14:val="standardContextual"/>
        </w:rPr>
      </w:pPr>
      <w:r>
        <w:rPr>
          <w:lang w:eastAsia="ko-KR"/>
        </w:rPr>
        <w:t>5.6.5</w:t>
      </w:r>
      <w:r>
        <w:rPr>
          <w:rFonts w:asciiTheme="minorHAnsi" w:eastAsiaTheme="minorEastAsia" w:hAnsiTheme="minorHAnsi" w:cstheme="minorBidi"/>
          <w:kern w:val="2"/>
          <w:sz w:val="24"/>
          <w:szCs w:val="24"/>
          <w14:ligatures w14:val="standardContextual"/>
        </w:rPr>
        <w:tab/>
      </w:r>
      <w:r>
        <w:rPr>
          <w:lang w:eastAsia="ko-KR"/>
        </w:rPr>
        <w:t>Support for Local Area Data Network</w:t>
      </w:r>
      <w:r>
        <w:tab/>
      </w:r>
      <w:r>
        <w:fldChar w:fldCharType="begin" w:fldLock="1"/>
      </w:r>
      <w:r>
        <w:instrText xml:space="preserve"> PAGEREF _Toc201157082 \h </w:instrText>
      </w:r>
      <w:r>
        <w:fldChar w:fldCharType="separate"/>
      </w:r>
      <w:r>
        <w:t>149</w:t>
      </w:r>
      <w:r>
        <w:fldChar w:fldCharType="end"/>
      </w:r>
    </w:p>
    <w:p w14:paraId="5C8259AC" w14:textId="2D92CC3E" w:rsidR="006C1B74" w:rsidRDefault="006C1B74">
      <w:pPr>
        <w:pStyle w:val="TOC3"/>
        <w:rPr>
          <w:rFonts w:asciiTheme="minorHAnsi" w:eastAsiaTheme="minorEastAsia" w:hAnsiTheme="minorHAnsi" w:cstheme="minorBidi"/>
          <w:kern w:val="2"/>
          <w:sz w:val="24"/>
          <w:szCs w:val="24"/>
          <w14:ligatures w14:val="standardContextual"/>
        </w:rPr>
      </w:pPr>
      <w:r>
        <w:t>5.6.5a</w:t>
      </w:r>
      <w:r>
        <w:rPr>
          <w:rFonts w:asciiTheme="minorHAnsi" w:eastAsiaTheme="minorEastAsia" w:hAnsiTheme="minorHAnsi" w:cstheme="minorBidi"/>
          <w:kern w:val="2"/>
          <w:sz w:val="24"/>
          <w:szCs w:val="24"/>
          <w14:ligatures w14:val="standardContextual"/>
        </w:rPr>
        <w:tab/>
      </w:r>
      <w:r>
        <w:t>Supporting LADN per DNN and S-NSSAI</w:t>
      </w:r>
      <w:r>
        <w:tab/>
      </w:r>
      <w:r>
        <w:fldChar w:fldCharType="begin" w:fldLock="1"/>
      </w:r>
      <w:r>
        <w:instrText xml:space="preserve"> PAGEREF _Toc201157083 \h </w:instrText>
      </w:r>
      <w:r>
        <w:fldChar w:fldCharType="separate"/>
      </w:r>
      <w:r>
        <w:t>151</w:t>
      </w:r>
      <w:r>
        <w:fldChar w:fldCharType="end"/>
      </w:r>
    </w:p>
    <w:p w14:paraId="0FB712D9" w14:textId="622CA7D8" w:rsidR="006C1B74" w:rsidRDefault="006C1B74">
      <w:pPr>
        <w:pStyle w:val="TOC3"/>
        <w:rPr>
          <w:rFonts w:asciiTheme="minorHAnsi" w:eastAsiaTheme="minorEastAsia" w:hAnsiTheme="minorHAnsi" w:cstheme="minorBidi"/>
          <w:kern w:val="2"/>
          <w:sz w:val="24"/>
          <w:szCs w:val="24"/>
          <w14:ligatures w14:val="standardContextual"/>
        </w:rPr>
      </w:pPr>
      <w:r>
        <w:t>5.6.6</w:t>
      </w:r>
      <w:r>
        <w:rPr>
          <w:rFonts w:asciiTheme="minorHAnsi" w:eastAsiaTheme="minorEastAsia" w:hAnsiTheme="minorHAnsi" w:cstheme="minorBidi"/>
          <w:kern w:val="2"/>
          <w:sz w:val="24"/>
          <w:szCs w:val="24"/>
          <w14:ligatures w14:val="standardContextual"/>
        </w:rPr>
        <w:tab/>
      </w:r>
      <w:r>
        <w:t>Secondary authentication/authorization by a DN-AAA server during the establishment of a PDU Session</w:t>
      </w:r>
      <w:r>
        <w:tab/>
      </w:r>
      <w:r>
        <w:fldChar w:fldCharType="begin" w:fldLock="1"/>
      </w:r>
      <w:r>
        <w:instrText xml:space="preserve"> PAGEREF _Toc201157084 \h </w:instrText>
      </w:r>
      <w:r>
        <w:fldChar w:fldCharType="separate"/>
      </w:r>
      <w:r>
        <w:t>152</w:t>
      </w:r>
      <w:r>
        <w:fldChar w:fldCharType="end"/>
      </w:r>
    </w:p>
    <w:p w14:paraId="7D5ACFDE" w14:textId="6B9E0F93" w:rsidR="006C1B74" w:rsidRDefault="006C1B74">
      <w:pPr>
        <w:pStyle w:val="TOC3"/>
        <w:rPr>
          <w:rFonts w:asciiTheme="minorHAnsi" w:eastAsiaTheme="minorEastAsia" w:hAnsiTheme="minorHAnsi" w:cstheme="minorBidi"/>
          <w:kern w:val="2"/>
          <w:sz w:val="24"/>
          <w:szCs w:val="24"/>
          <w14:ligatures w14:val="standardContextual"/>
        </w:rPr>
      </w:pPr>
      <w:r>
        <w:t>5.6.7</w:t>
      </w:r>
      <w:r>
        <w:rPr>
          <w:rFonts w:asciiTheme="minorHAnsi" w:eastAsiaTheme="minorEastAsia" w:hAnsiTheme="minorHAnsi" w:cstheme="minorBidi"/>
          <w:kern w:val="2"/>
          <w:sz w:val="24"/>
          <w:szCs w:val="24"/>
          <w14:ligatures w14:val="standardContextual"/>
        </w:rPr>
        <w:tab/>
      </w:r>
      <w:r>
        <w:t>Application Function influence on traffic routing</w:t>
      </w:r>
      <w:r>
        <w:tab/>
      </w:r>
      <w:r>
        <w:fldChar w:fldCharType="begin" w:fldLock="1"/>
      </w:r>
      <w:r>
        <w:instrText xml:space="preserve"> PAGEREF _Toc201157085 \h </w:instrText>
      </w:r>
      <w:r>
        <w:fldChar w:fldCharType="separate"/>
      </w:r>
      <w:r>
        <w:t>154</w:t>
      </w:r>
      <w:r>
        <w:fldChar w:fldCharType="end"/>
      </w:r>
    </w:p>
    <w:p w14:paraId="1FE56AF7" w14:textId="2417CBBF" w:rsidR="006C1B74" w:rsidRDefault="006C1B74">
      <w:pPr>
        <w:pStyle w:val="TOC4"/>
        <w:rPr>
          <w:rFonts w:asciiTheme="minorHAnsi" w:eastAsiaTheme="minorEastAsia" w:hAnsiTheme="minorHAnsi" w:cstheme="minorBidi"/>
          <w:kern w:val="2"/>
          <w:sz w:val="24"/>
          <w:szCs w:val="24"/>
          <w14:ligatures w14:val="standardContextual"/>
        </w:rPr>
      </w:pPr>
      <w:r>
        <w:t>5.6.7.1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_Toc201157086 \h </w:instrText>
      </w:r>
      <w:r>
        <w:fldChar w:fldCharType="separate"/>
      </w:r>
      <w:r>
        <w:t>154</w:t>
      </w:r>
      <w:r>
        <w:fldChar w:fldCharType="end"/>
      </w:r>
    </w:p>
    <w:p w14:paraId="3F454E30" w14:textId="185B5CEF" w:rsidR="006C1B74" w:rsidRDefault="006C1B74">
      <w:pPr>
        <w:pStyle w:val="TOC4"/>
        <w:rPr>
          <w:rFonts w:asciiTheme="minorHAnsi" w:eastAsiaTheme="minorEastAsia" w:hAnsiTheme="minorHAnsi" w:cstheme="minorBidi"/>
          <w:kern w:val="2"/>
          <w:sz w:val="24"/>
          <w:szCs w:val="24"/>
          <w14:ligatures w14:val="standardContextual"/>
        </w:rPr>
      </w:pPr>
      <w:r>
        <w:t>5.6.7.2</w:t>
      </w:r>
      <w:r>
        <w:rPr>
          <w:rFonts w:asciiTheme="minorHAnsi" w:eastAsiaTheme="minorEastAsia" w:hAnsiTheme="minorHAnsi" w:cstheme="minorBidi"/>
          <w:kern w:val="2"/>
          <w:sz w:val="24"/>
          <w:szCs w:val="24"/>
          <w14:ligatures w14:val="standardContextual"/>
        </w:rPr>
        <w:tab/>
      </w:r>
      <w:r>
        <w:t>Enhancement of UP path management based on the coordination with AFs</w:t>
      </w:r>
      <w:r>
        <w:tab/>
      </w:r>
      <w:r>
        <w:fldChar w:fldCharType="begin" w:fldLock="1"/>
      </w:r>
      <w:r>
        <w:instrText xml:space="preserve"> PAGEREF _Toc201157087 \h </w:instrText>
      </w:r>
      <w:r>
        <w:fldChar w:fldCharType="separate"/>
      </w:r>
      <w:r>
        <w:t>164</w:t>
      </w:r>
      <w:r>
        <w:fldChar w:fldCharType="end"/>
      </w:r>
    </w:p>
    <w:p w14:paraId="60D553B6" w14:textId="6251B9D6" w:rsidR="006C1B74" w:rsidRDefault="006C1B74">
      <w:pPr>
        <w:pStyle w:val="TOC3"/>
        <w:rPr>
          <w:rFonts w:asciiTheme="minorHAnsi" w:eastAsiaTheme="minorEastAsia" w:hAnsiTheme="minorHAnsi" w:cstheme="minorBidi"/>
          <w:kern w:val="2"/>
          <w:sz w:val="24"/>
          <w:szCs w:val="24"/>
          <w14:ligatures w14:val="standardContextual"/>
        </w:rPr>
      </w:pPr>
      <w:r>
        <w:rPr>
          <w:lang w:eastAsia="ko-KR"/>
        </w:rPr>
        <w:t>5.6.8</w:t>
      </w:r>
      <w:r>
        <w:rPr>
          <w:rFonts w:asciiTheme="minorHAnsi" w:eastAsiaTheme="minorEastAsia" w:hAnsiTheme="minorHAnsi" w:cstheme="minorBidi"/>
          <w:kern w:val="2"/>
          <w:sz w:val="24"/>
          <w:szCs w:val="24"/>
          <w14:ligatures w14:val="standardContextual"/>
        </w:rPr>
        <w:tab/>
      </w:r>
      <w:r>
        <w:rPr>
          <w:lang w:eastAsia="ko-KR"/>
        </w:rPr>
        <w:t>Selective activation and deactivation of UP connection of existing PDU Session</w:t>
      </w:r>
      <w:r>
        <w:tab/>
      </w:r>
      <w:r>
        <w:fldChar w:fldCharType="begin" w:fldLock="1"/>
      </w:r>
      <w:r>
        <w:instrText xml:space="preserve"> PAGEREF _Toc201157088 \h </w:instrText>
      </w:r>
      <w:r>
        <w:fldChar w:fldCharType="separate"/>
      </w:r>
      <w:r>
        <w:t>165</w:t>
      </w:r>
      <w:r>
        <w:fldChar w:fldCharType="end"/>
      </w:r>
    </w:p>
    <w:p w14:paraId="72F969DF" w14:textId="64EB8368" w:rsidR="006C1B74" w:rsidRDefault="006C1B74">
      <w:pPr>
        <w:pStyle w:val="TOC3"/>
        <w:rPr>
          <w:rFonts w:asciiTheme="minorHAnsi" w:eastAsiaTheme="minorEastAsia" w:hAnsiTheme="minorHAnsi" w:cstheme="minorBidi"/>
          <w:kern w:val="2"/>
          <w:sz w:val="24"/>
          <w:szCs w:val="24"/>
          <w14:ligatures w14:val="standardContextual"/>
        </w:rPr>
      </w:pPr>
      <w:r>
        <w:t>5.6.9</w:t>
      </w:r>
      <w:r>
        <w:rPr>
          <w:rFonts w:asciiTheme="minorHAnsi" w:eastAsiaTheme="minorEastAsia" w:hAnsiTheme="minorHAnsi" w:cstheme="minorBidi"/>
          <w:kern w:val="2"/>
          <w:sz w:val="24"/>
          <w:szCs w:val="24"/>
          <w14:ligatures w14:val="standardContextual"/>
        </w:rPr>
        <w:tab/>
      </w:r>
      <w:r>
        <w:t>Session and Service Continuity</w:t>
      </w:r>
      <w:r>
        <w:tab/>
      </w:r>
      <w:r>
        <w:fldChar w:fldCharType="begin" w:fldLock="1"/>
      </w:r>
      <w:r>
        <w:instrText xml:space="preserve"> PAGEREF _Toc201157089 \h </w:instrText>
      </w:r>
      <w:r>
        <w:fldChar w:fldCharType="separate"/>
      </w:r>
      <w:r>
        <w:t>166</w:t>
      </w:r>
      <w:r>
        <w:fldChar w:fldCharType="end"/>
      </w:r>
    </w:p>
    <w:p w14:paraId="655F7A68" w14:textId="34C53FC4" w:rsidR="006C1B74" w:rsidRDefault="006C1B74">
      <w:pPr>
        <w:pStyle w:val="TOC4"/>
        <w:rPr>
          <w:rFonts w:asciiTheme="minorHAnsi" w:eastAsiaTheme="minorEastAsia" w:hAnsiTheme="minorHAnsi" w:cstheme="minorBidi"/>
          <w:kern w:val="2"/>
          <w:sz w:val="24"/>
          <w:szCs w:val="24"/>
          <w14:ligatures w14:val="standardContextual"/>
        </w:rPr>
      </w:pPr>
      <w:r>
        <w:t>5.6.9.1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_Toc201157090 \h </w:instrText>
      </w:r>
      <w:r>
        <w:fldChar w:fldCharType="separate"/>
      </w:r>
      <w:r>
        <w:t>166</w:t>
      </w:r>
      <w:r>
        <w:fldChar w:fldCharType="end"/>
      </w:r>
    </w:p>
    <w:p w14:paraId="1AE7E54A" w14:textId="30145CB4" w:rsidR="006C1B74" w:rsidRDefault="006C1B74">
      <w:pPr>
        <w:pStyle w:val="TOC4"/>
        <w:rPr>
          <w:rFonts w:asciiTheme="minorHAnsi" w:eastAsiaTheme="minorEastAsia" w:hAnsiTheme="minorHAnsi" w:cstheme="minorBidi"/>
          <w:kern w:val="2"/>
          <w:sz w:val="24"/>
          <w:szCs w:val="24"/>
          <w14:ligatures w14:val="standardContextual"/>
        </w:rPr>
      </w:pPr>
      <w:r>
        <w:t>5.6.9.2</w:t>
      </w:r>
      <w:r>
        <w:rPr>
          <w:rFonts w:asciiTheme="minorHAnsi" w:eastAsiaTheme="minorEastAsia" w:hAnsiTheme="minorHAnsi" w:cstheme="minorBidi"/>
          <w:kern w:val="2"/>
          <w:sz w:val="24"/>
          <w:szCs w:val="24"/>
          <w14:ligatures w14:val="standardContextual"/>
        </w:rPr>
        <w:tab/>
      </w:r>
      <w:r>
        <w:t>SSC mode</w:t>
      </w:r>
      <w:r>
        <w:tab/>
      </w:r>
      <w:r>
        <w:fldChar w:fldCharType="begin" w:fldLock="1"/>
      </w:r>
      <w:r>
        <w:instrText xml:space="preserve"> PAGEREF _Toc201157091 \h </w:instrText>
      </w:r>
      <w:r>
        <w:fldChar w:fldCharType="separate"/>
      </w:r>
      <w:r>
        <w:t>166</w:t>
      </w:r>
      <w:r>
        <w:fldChar w:fldCharType="end"/>
      </w:r>
    </w:p>
    <w:p w14:paraId="4D5404E0" w14:textId="46683915" w:rsidR="006C1B74" w:rsidRDefault="006C1B74">
      <w:pPr>
        <w:pStyle w:val="TOC5"/>
        <w:rPr>
          <w:rFonts w:asciiTheme="minorHAnsi" w:eastAsiaTheme="minorEastAsia" w:hAnsiTheme="minorHAnsi" w:cstheme="minorBidi"/>
          <w:kern w:val="2"/>
          <w:sz w:val="24"/>
          <w:szCs w:val="24"/>
          <w14:ligatures w14:val="standardContextual"/>
        </w:rPr>
      </w:pPr>
      <w:r>
        <w:t>5.6.9.2.1</w:t>
      </w:r>
      <w:r>
        <w:rPr>
          <w:rFonts w:asciiTheme="minorHAnsi" w:eastAsiaTheme="minorEastAsia" w:hAnsiTheme="minorHAnsi" w:cstheme="minorBidi"/>
          <w:kern w:val="2"/>
          <w:sz w:val="24"/>
          <w:szCs w:val="24"/>
          <w14:ligatures w14:val="standardContextual"/>
        </w:rPr>
        <w:tab/>
      </w:r>
      <w:r>
        <w:t>SSC Mode 1</w:t>
      </w:r>
      <w:r>
        <w:tab/>
      </w:r>
      <w:r>
        <w:fldChar w:fldCharType="begin" w:fldLock="1"/>
      </w:r>
      <w:r>
        <w:instrText xml:space="preserve"> PAGEREF _Toc201157092 \h </w:instrText>
      </w:r>
      <w:r>
        <w:fldChar w:fldCharType="separate"/>
      </w:r>
      <w:r>
        <w:t>166</w:t>
      </w:r>
      <w:r>
        <w:fldChar w:fldCharType="end"/>
      </w:r>
    </w:p>
    <w:p w14:paraId="2B4BD9AC" w14:textId="6B75A181" w:rsidR="006C1B74" w:rsidRDefault="006C1B74">
      <w:pPr>
        <w:pStyle w:val="TOC5"/>
        <w:rPr>
          <w:rFonts w:asciiTheme="minorHAnsi" w:eastAsiaTheme="minorEastAsia" w:hAnsiTheme="minorHAnsi" w:cstheme="minorBidi"/>
          <w:kern w:val="2"/>
          <w:sz w:val="24"/>
          <w:szCs w:val="24"/>
          <w14:ligatures w14:val="standardContextual"/>
        </w:rPr>
      </w:pPr>
      <w:r>
        <w:t>5.6.9.2</w:t>
      </w:r>
      <w:r>
        <w:rPr>
          <w:lang w:eastAsia="zh-CN"/>
        </w:rPr>
        <w:t>.2</w:t>
      </w:r>
      <w:r>
        <w:rPr>
          <w:rFonts w:asciiTheme="minorHAnsi" w:eastAsiaTheme="minorEastAsia" w:hAnsiTheme="minorHAnsi" w:cstheme="minorBidi"/>
          <w:kern w:val="2"/>
          <w:sz w:val="24"/>
          <w:szCs w:val="24"/>
          <w14:ligatures w14:val="standardContextual"/>
        </w:rPr>
        <w:tab/>
      </w:r>
      <w:r>
        <w:t>SSC Mode 2</w:t>
      </w:r>
      <w:r>
        <w:tab/>
      </w:r>
      <w:r>
        <w:fldChar w:fldCharType="begin" w:fldLock="1"/>
      </w:r>
      <w:r>
        <w:instrText xml:space="preserve"> PAGEREF _Toc201157093 \h </w:instrText>
      </w:r>
      <w:r>
        <w:fldChar w:fldCharType="separate"/>
      </w:r>
      <w:r>
        <w:t>166</w:t>
      </w:r>
      <w:r>
        <w:fldChar w:fldCharType="end"/>
      </w:r>
    </w:p>
    <w:p w14:paraId="17EA5C3A" w14:textId="1F540FF3" w:rsidR="006C1B74" w:rsidRDefault="006C1B74">
      <w:pPr>
        <w:pStyle w:val="TOC5"/>
        <w:rPr>
          <w:rFonts w:asciiTheme="minorHAnsi" w:eastAsiaTheme="minorEastAsia" w:hAnsiTheme="minorHAnsi" w:cstheme="minorBidi"/>
          <w:kern w:val="2"/>
          <w:sz w:val="24"/>
          <w:szCs w:val="24"/>
          <w14:ligatures w14:val="standardContextual"/>
        </w:rPr>
      </w:pPr>
      <w:r>
        <w:t>5.6.9.</w:t>
      </w:r>
      <w:r>
        <w:rPr>
          <w:lang w:eastAsia="zh-CN"/>
        </w:rPr>
        <w:t>2.</w:t>
      </w:r>
      <w:r>
        <w:t>3</w:t>
      </w:r>
      <w:r>
        <w:rPr>
          <w:rFonts w:asciiTheme="minorHAnsi" w:eastAsiaTheme="minorEastAsia" w:hAnsiTheme="minorHAnsi" w:cstheme="minorBidi"/>
          <w:kern w:val="2"/>
          <w:sz w:val="24"/>
          <w:szCs w:val="24"/>
          <w14:ligatures w14:val="standardContextual"/>
        </w:rPr>
        <w:tab/>
      </w:r>
      <w:r>
        <w:t>SSC Mode 3</w:t>
      </w:r>
      <w:r>
        <w:tab/>
      </w:r>
      <w:r>
        <w:fldChar w:fldCharType="begin" w:fldLock="1"/>
      </w:r>
      <w:r>
        <w:instrText xml:space="preserve"> PAGEREF _Toc201157094 \h </w:instrText>
      </w:r>
      <w:r>
        <w:fldChar w:fldCharType="separate"/>
      </w:r>
      <w:r>
        <w:t>167</w:t>
      </w:r>
      <w:r>
        <w:fldChar w:fldCharType="end"/>
      </w:r>
    </w:p>
    <w:p w14:paraId="14E0CE27" w14:textId="13473F53" w:rsidR="006C1B74" w:rsidRDefault="006C1B74">
      <w:pPr>
        <w:pStyle w:val="TOC4"/>
        <w:rPr>
          <w:rFonts w:asciiTheme="minorHAnsi" w:eastAsiaTheme="minorEastAsia" w:hAnsiTheme="minorHAnsi" w:cstheme="minorBidi"/>
          <w:kern w:val="2"/>
          <w:sz w:val="24"/>
          <w:szCs w:val="24"/>
          <w14:ligatures w14:val="standardContextual"/>
        </w:rPr>
      </w:pPr>
      <w:r>
        <w:t>5.</w:t>
      </w:r>
      <w:r>
        <w:rPr>
          <w:lang w:eastAsia="zh-CN"/>
        </w:rPr>
        <w:t>6.9.3</w:t>
      </w:r>
      <w:r>
        <w:rPr>
          <w:rFonts w:asciiTheme="minorHAnsi" w:eastAsiaTheme="minorEastAsia" w:hAnsiTheme="minorHAnsi" w:cstheme="minorBidi"/>
          <w:kern w:val="2"/>
          <w:sz w:val="24"/>
          <w:szCs w:val="24"/>
          <w14:ligatures w14:val="standardContextual"/>
        </w:rPr>
        <w:tab/>
      </w:r>
      <w:r>
        <w:t>SSC mode selection</w:t>
      </w:r>
      <w:r>
        <w:tab/>
      </w:r>
      <w:r>
        <w:fldChar w:fldCharType="begin" w:fldLock="1"/>
      </w:r>
      <w:r>
        <w:instrText xml:space="preserve"> PAGEREF _Toc201157095 \h </w:instrText>
      </w:r>
      <w:r>
        <w:fldChar w:fldCharType="separate"/>
      </w:r>
      <w:r>
        <w:t>167</w:t>
      </w:r>
      <w:r>
        <w:fldChar w:fldCharType="end"/>
      </w:r>
    </w:p>
    <w:p w14:paraId="0F5160AC" w14:textId="1CF27EC9" w:rsidR="006C1B74" w:rsidRDefault="006C1B74">
      <w:pPr>
        <w:pStyle w:val="TOC3"/>
        <w:rPr>
          <w:rFonts w:asciiTheme="minorHAnsi" w:eastAsiaTheme="minorEastAsia" w:hAnsiTheme="minorHAnsi" w:cstheme="minorBidi"/>
          <w:kern w:val="2"/>
          <w:sz w:val="24"/>
          <w:szCs w:val="24"/>
          <w14:ligatures w14:val="standardContextual"/>
        </w:rPr>
      </w:pPr>
      <w:r>
        <w:t>5.6.10</w:t>
      </w:r>
      <w:r>
        <w:rPr>
          <w:rFonts w:asciiTheme="minorHAnsi" w:eastAsiaTheme="minorEastAsia" w:hAnsiTheme="minorHAnsi" w:cstheme="minorBidi"/>
          <w:kern w:val="2"/>
          <w:sz w:val="24"/>
          <w:szCs w:val="24"/>
          <w14:ligatures w14:val="standardContextual"/>
        </w:rPr>
        <w:tab/>
      </w:r>
      <w:r>
        <w:t>Specific aspects of different PDU Session types</w:t>
      </w:r>
      <w:r>
        <w:tab/>
      </w:r>
      <w:r>
        <w:fldChar w:fldCharType="begin" w:fldLock="1"/>
      </w:r>
      <w:r>
        <w:instrText xml:space="preserve"> PAGEREF _Toc201157096 \h </w:instrText>
      </w:r>
      <w:r>
        <w:fldChar w:fldCharType="separate"/>
      </w:r>
      <w:r>
        <w:t>168</w:t>
      </w:r>
      <w:r>
        <w:fldChar w:fldCharType="end"/>
      </w:r>
    </w:p>
    <w:p w14:paraId="3FF66A4B" w14:textId="0362F8F8" w:rsidR="006C1B74" w:rsidRDefault="006C1B74">
      <w:pPr>
        <w:pStyle w:val="TOC4"/>
        <w:rPr>
          <w:rFonts w:asciiTheme="minorHAnsi" w:eastAsiaTheme="minorEastAsia" w:hAnsiTheme="minorHAnsi" w:cstheme="minorBidi"/>
          <w:kern w:val="2"/>
          <w:sz w:val="24"/>
          <w:szCs w:val="24"/>
          <w14:ligatures w14:val="standardContextual"/>
        </w:rPr>
      </w:pPr>
      <w:r>
        <w:t>5.6.10.1</w:t>
      </w:r>
      <w:r>
        <w:rPr>
          <w:rFonts w:asciiTheme="minorHAnsi" w:eastAsiaTheme="minorEastAsia" w:hAnsiTheme="minorHAnsi" w:cstheme="minorBidi"/>
          <w:kern w:val="2"/>
          <w:sz w:val="24"/>
          <w:szCs w:val="24"/>
          <w14:ligatures w14:val="standardContextual"/>
        </w:rPr>
        <w:tab/>
      </w:r>
      <w:r>
        <w:t>Support of IP PDU Session type</w:t>
      </w:r>
      <w:r>
        <w:tab/>
      </w:r>
      <w:r>
        <w:fldChar w:fldCharType="begin" w:fldLock="1"/>
      </w:r>
      <w:r>
        <w:instrText xml:space="preserve"> PAGEREF _Toc201157097 \h </w:instrText>
      </w:r>
      <w:r>
        <w:fldChar w:fldCharType="separate"/>
      </w:r>
      <w:r>
        <w:t>168</w:t>
      </w:r>
      <w:r>
        <w:fldChar w:fldCharType="end"/>
      </w:r>
    </w:p>
    <w:p w14:paraId="6B58A7D8" w14:textId="618CAC55" w:rsidR="006C1B74" w:rsidRDefault="006C1B74">
      <w:pPr>
        <w:pStyle w:val="TOC4"/>
        <w:rPr>
          <w:rFonts w:asciiTheme="minorHAnsi" w:eastAsiaTheme="minorEastAsia" w:hAnsiTheme="minorHAnsi" w:cstheme="minorBidi"/>
          <w:kern w:val="2"/>
          <w:sz w:val="24"/>
          <w:szCs w:val="24"/>
          <w14:ligatures w14:val="standardContextual"/>
        </w:rPr>
      </w:pPr>
      <w:r>
        <w:t>5.6.10.2</w:t>
      </w:r>
      <w:r>
        <w:rPr>
          <w:rFonts w:asciiTheme="minorHAnsi" w:eastAsiaTheme="minorEastAsia" w:hAnsiTheme="minorHAnsi" w:cstheme="minorBidi"/>
          <w:kern w:val="2"/>
          <w:sz w:val="24"/>
          <w:szCs w:val="24"/>
          <w14:ligatures w14:val="standardContextual"/>
        </w:rPr>
        <w:tab/>
      </w:r>
      <w:r>
        <w:t>Support of Ethernet PDU Session type</w:t>
      </w:r>
      <w:r>
        <w:tab/>
      </w:r>
      <w:r>
        <w:fldChar w:fldCharType="begin" w:fldLock="1"/>
      </w:r>
      <w:r>
        <w:instrText xml:space="preserve"> PAGEREF _Toc201157098 \h </w:instrText>
      </w:r>
      <w:r>
        <w:fldChar w:fldCharType="separate"/>
      </w:r>
      <w:r>
        <w:t>168</w:t>
      </w:r>
      <w:r>
        <w:fldChar w:fldCharType="end"/>
      </w:r>
    </w:p>
    <w:p w14:paraId="432BF930" w14:textId="04A85F72" w:rsidR="006C1B74" w:rsidRDefault="006C1B74">
      <w:pPr>
        <w:pStyle w:val="TOC4"/>
        <w:rPr>
          <w:rFonts w:asciiTheme="minorHAnsi" w:eastAsiaTheme="minorEastAsia" w:hAnsiTheme="minorHAnsi" w:cstheme="minorBidi"/>
          <w:kern w:val="2"/>
          <w:sz w:val="24"/>
          <w:szCs w:val="24"/>
          <w14:ligatures w14:val="standardContextual"/>
        </w:rPr>
      </w:pPr>
      <w:r>
        <w:t>5.6.10.3</w:t>
      </w:r>
      <w:r>
        <w:rPr>
          <w:rFonts w:asciiTheme="minorHAnsi" w:eastAsiaTheme="minorEastAsia" w:hAnsiTheme="minorHAnsi" w:cstheme="minorBidi"/>
          <w:kern w:val="2"/>
          <w:sz w:val="24"/>
          <w:szCs w:val="24"/>
          <w14:ligatures w14:val="standardContextual"/>
        </w:rPr>
        <w:tab/>
      </w:r>
      <w:r>
        <w:t>Support of Unstructured PDU Session type</w:t>
      </w:r>
      <w:r>
        <w:tab/>
      </w:r>
      <w:r>
        <w:fldChar w:fldCharType="begin" w:fldLock="1"/>
      </w:r>
      <w:r>
        <w:instrText xml:space="preserve"> PAGEREF _Toc201157099 \h </w:instrText>
      </w:r>
      <w:r>
        <w:fldChar w:fldCharType="separate"/>
      </w:r>
      <w:r>
        <w:t>170</w:t>
      </w:r>
      <w:r>
        <w:fldChar w:fldCharType="end"/>
      </w:r>
    </w:p>
    <w:p w14:paraId="090379B0" w14:textId="0EFBFA53" w:rsidR="006C1B74" w:rsidRDefault="006C1B74">
      <w:pPr>
        <w:pStyle w:val="TOC4"/>
        <w:rPr>
          <w:rFonts w:asciiTheme="minorHAnsi" w:eastAsiaTheme="minorEastAsia" w:hAnsiTheme="minorHAnsi" w:cstheme="minorBidi"/>
          <w:kern w:val="2"/>
          <w:sz w:val="24"/>
          <w:szCs w:val="24"/>
          <w14:ligatures w14:val="standardContextual"/>
        </w:rPr>
      </w:pPr>
      <w:r>
        <w:t>5.6.10.4</w:t>
      </w:r>
      <w:r>
        <w:rPr>
          <w:rFonts w:asciiTheme="minorHAnsi" w:eastAsiaTheme="minorEastAsia" w:hAnsiTheme="minorHAnsi" w:cstheme="minorBidi"/>
          <w:kern w:val="2"/>
          <w:sz w:val="24"/>
          <w:szCs w:val="24"/>
          <w14:ligatures w14:val="standardContextual"/>
        </w:rPr>
        <w:tab/>
      </w:r>
      <w:r>
        <w:t>Maximum Transfer Unit size considerations</w:t>
      </w:r>
      <w:r>
        <w:tab/>
      </w:r>
      <w:r>
        <w:fldChar w:fldCharType="begin" w:fldLock="1"/>
      </w:r>
      <w:r>
        <w:instrText xml:space="preserve"> PAGEREF _Toc201157100 \h </w:instrText>
      </w:r>
      <w:r>
        <w:fldChar w:fldCharType="separate"/>
      </w:r>
      <w:r>
        <w:t>171</w:t>
      </w:r>
      <w:r>
        <w:fldChar w:fldCharType="end"/>
      </w:r>
    </w:p>
    <w:p w14:paraId="656000D8" w14:textId="1C212980" w:rsidR="006C1B74" w:rsidRDefault="006C1B74">
      <w:pPr>
        <w:pStyle w:val="TOC3"/>
        <w:rPr>
          <w:rFonts w:asciiTheme="minorHAnsi" w:eastAsiaTheme="minorEastAsia" w:hAnsiTheme="minorHAnsi" w:cstheme="minorBidi"/>
          <w:kern w:val="2"/>
          <w:sz w:val="24"/>
          <w:szCs w:val="24"/>
          <w14:ligatures w14:val="standardContextual"/>
        </w:rPr>
      </w:pPr>
      <w:r>
        <w:t>5.6.11</w:t>
      </w:r>
      <w:r>
        <w:rPr>
          <w:rFonts w:asciiTheme="minorHAnsi" w:eastAsiaTheme="minorEastAsia" w:hAnsiTheme="minorHAnsi" w:cstheme="minorBidi"/>
          <w:kern w:val="2"/>
          <w:sz w:val="24"/>
          <w:szCs w:val="24"/>
          <w14:ligatures w14:val="standardContextual"/>
        </w:rPr>
        <w:tab/>
      </w:r>
      <w:r>
        <w:t>UE presence in Area of Interest reporting usage by SMF</w:t>
      </w:r>
      <w:r>
        <w:tab/>
      </w:r>
      <w:r>
        <w:fldChar w:fldCharType="begin" w:fldLock="1"/>
      </w:r>
      <w:r>
        <w:instrText xml:space="preserve"> PAGEREF _Toc201157101 \h </w:instrText>
      </w:r>
      <w:r>
        <w:fldChar w:fldCharType="separate"/>
      </w:r>
      <w:r>
        <w:t>171</w:t>
      </w:r>
      <w:r>
        <w:fldChar w:fldCharType="end"/>
      </w:r>
    </w:p>
    <w:p w14:paraId="2F0D493E" w14:textId="4D178743" w:rsidR="006C1B74" w:rsidRDefault="006C1B74">
      <w:pPr>
        <w:pStyle w:val="TOC3"/>
        <w:rPr>
          <w:rFonts w:asciiTheme="minorHAnsi" w:eastAsiaTheme="minorEastAsia" w:hAnsiTheme="minorHAnsi" w:cstheme="minorBidi"/>
          <w:kern w:val="2"/>
          <w:sz w:val="24"/>
          <w:szCs w:val="24"/>
          <w14:ligatures w14:val="standardContextual"/>
        </w:rPr>
      </w:pPr>
      <w:r>
        <w:t>5.6.12</w:t>
      </w:r>
      <w:r>
        <w:rPr>
          <w:rFonts w:asciiTheme="minorHAnsi" w:eastAsiaTheme="minorEastAsia" w:hAnsiTheme="minorHAnsi" w:cstheme="minorBidi"/>
          <w:kern w:val="2"/>
          <w:sz w:val="24"/>
          <w:szCs w:val="24"/>
          <w14:ligatures w14:val="standardContextual"/>
        </w:rPr>
        <w:tab/>
      </w:r>
      <w:r>
        <w:t>Use of Network Instance</w:t>
      </w:r>
      <w:r>
        <w:tab/>
      </w:r>
      <w:r>
        <w:fldChar w:fldCharType="begin" w:fldLock="1"/>
      </w:r>
      <w:r>
        <w:instrText xml:space="preserve"> PAGEREF _Toc201157102 \h </w:instrText>
      </w:r>
      <w:r>
        <w:fldChar w:fldCharType="separate"/>
      </w:r>
      <w:r>
        <w:t>173</w:t>
      </w:r>
      <w:r>
        <w:fldChar w:fldCharType="end"/>
      </w:r>
    </w:p>
    <w:p w14:paraId="2BBFA325" w14:textId="18376E8F" w:rsidR="006C1B74" w:rsidRDefault="006C1B74">
      <w:pPr>
        <w:pStyle w:val="TOC3"/>
        <w:rPr>
          <w:rFonts w:asciiTheme="minorHAnsi" w:eastAsiaTheme="minorEastAsia" w:hAnsiTheme="minorHAnsi" w:cstheme="minorBidi"/>
          <w:kern w:val="2"/>
          <w:sz w:val="24"/>
          <w:szCs w:val="24"/>
          <w14:ligatures w14:val="standardContextual"/>
        </w:rPr>
      </w:pPr>
      <w:r>
        <w:rPr>
          <w:lang w:eastAsia="ko-KR"/>
        </w:rPr>
        <w:t>5.6.</w:t>
      </w:r>
      <w:r>
        <w:rPr>
          <w:lang w:eastAsia="zh-CN"/>
        </w:rPr>
        <w:t>13</w:t>
      </w:r>
      <w:r>
        <w:rPr>
          <w:rFonts w:asciiTheme="minorHAnsi" w:eastAsiaTheme="minorEastAsia" w:hAnsiTheme="minorHAnsi" w:cstheme="minorBidi"/>
          <w:kern w:val="2"/>
          <w:sz w:val="24"/>
          <w:szCs w:val="24"/>
          <w14:ligatures w14:val="standardContextual"/>
        </w:rPr>
        <w:tab/>
      </w:r>
      <w:r>
        <w:rPr>
          <w:lang w:eastAsia="zh-CN"/>
        </w:rPr>
        <w:t>Always-on PDU session</w:t>
      </w:r>
      <w:r>
        <w:tab/>
      </w:r>
      <w:r>
        <w:fldChar w:fldCharType="begin" w:fldLock="1"/>
      </w:r>
      <w:r>
        <w:instrText xml:space="preserve"> PAGEREF _Toc201157103 \h </w:instrText>
      </w:r>
      <w:r>
        <w:fldChar w:fldCharType="separate"/>
      </w:r>
      <w:r>
        <w:t>173</w:t>
      </w:r>
      <w:r>
        <w:fldChar w:fldCharType="end"/>
      </w:r>
    </w:p>
    <w:p w14:paraId="71E29130" w14:textId="77CF5A1E"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5.6.14</w:t>
      </w:r>
      <w:r>
        <w:rPr>
          <w:rFonts w:asciiTheme="minorHAnsi" w:eastAsiaTheme="minorEastAsia" w:hAnsiTheme="minorHAnsi" w:cstheme="minorBidi"/>
          <w:kern w:val="2"/>
          <w:sz w:val="24"/>
          <w:szCs w:val="24"/>
          <w14:ligatures w14:val="standardContextual"/>
        </w:rPr>
        <w:tab/>
      </w:r>
      <w:r>
        <w:rPr>
          <w:lang w:eastAsia="zh-CN"/>
        </w:rPr>
        <w:t>Support of Framed Routing</w:t>
      </w:r>
      <w:r>
        <w:tab/>
      </w:r>
      <w:r>
        <w:fldChar w:fldCharType="begin" w:fldLock="1"/>
      </w:r>
      <w:r>
        <w:instrText xml:space="preserve"> PAGEREF _Toc201157104 \h </w:instrText>
      </w:r>
      <w:r>
        <w:fldChar w:fldCharType="separate"/>
      </w:r>
      <w:r>
        <w:t>174</w:t>
      </w:r>
      <w:r>
        <w:fldChar w:fldCharType="end"/>
      </w:r>
    </w:p>
    <w:p w14:paraId="1BE8DAF9" w14:textId="18B30D42" w:rsidR="006C1B74" w:rsidRDefault="006C1B74">
      <w:pPr>
        <w:pStyle w:val="TOC3"/>
        <w:rPr>
          <w:rFonts w:asciiTheme="minorHAnsi" w:eastAsiaTheme="minorEastAsia" w:hAnsiTheme="minorHAnsi" w:cstheme="minorBidi"/>
          <w:kern w:val="2"/>
          <w:sz w:val="24"/>
          <w:szCs w:val="24"/>
          <w14:ligatures w14:val="standardContextual"/>
        </w:rPr>
      </w:pPr>
      <w:r>
        <w:t>5.6.15</w:t>
      </w:r>
      <w:r>
        <w:rPr>
          <w:rFonts w:asciiTheme="minorHAnsi" w:eastAsiaTheme="minorEastAsia" w:hAnsiTheme="minorHAnsi" w:cstheme="minorBidi"/>
          <w:kern w:val="2"/>
          <w:sz w:val="24"/>
          <w:szCs w:val="24"/>
          <w14:ligatures w14:val="standardContextual"/>
        </w:rPr>
        <w:tab/>
      </w:r>
      <w:r>
        <w:t>Triggers for network analytics</w:t>
      </w:r>
      <w:r>
        <w:tab/>
      </w:r>
      <w:r>
        <w:fldChar w:fldCharType="begin" w:fldLock="1"/>
      </w:r>
      <w:r>
        <w:instrText xml:space="preserve"> PAGEREF _Toc201157105 \h </w:instrText>
      </w:r>
      <w:r>
        <w:fldChar w:fldCharType="separate"/>
      </w:r>
      <w:r>
        <w:t>174</w:t>
      </w:r>
      <w:r>
        <w:fldChar w:fldCharType="end"/>
      </w:r>
    </w:p>
    <w:p w14:paraId="4F2531BC" w14:textId="53BC1D1C" w:rsidR="006C1B74" w:rsidRDefault="006C1B74">
      <w:pPr>
        <w:pStyle w:val="TOC3"/>
        <w:rPr>
          <w:rFonts w:asciiTheme="minorHAnsi" w:eastAsiaTheme="minorEastAsia" w:hAnsiTheme="minorHAnsi" w:cstheme="minorBidi"/>
          <w:kern w:val="2"/>
          <w:sz w:val="24"/>
          <w:szCs w:val="24"/>
          <w14:ligatures w14:val="standardContextual"/>
        </w:rPr>
      </w:pPr>
      <w:r>
        <w:t>5.6.16</w:t>
      </w:r>
      <w:r>
        <w:rPr>
          <w:rFonts w:asciiTheme="minorHAnsi" w:eastAsiaTheme="minorEastAsia" w:hAnsiTheme="minorHAnsi" w:cstheme="minorBidi"/>
          <w:kern w:val="2"/>
          <w:sz w:val="24"/>
          <w:szCs w:val="24"/>
          <w14:ligatures w14:val="standardContextual"/>
        </w:rPr>
        <w:tab/>
      </w:r>
      <w:r>
        <w:t>Support for Service Function Chaining</w:t>
      </w:r>
      <w:r>
        <w:tab/>
      </w:r>
      <w:r>
        <w:fldChar w:fldCharType="begin" w:fldLock="1"/>
      </w:r>
      <w:r>
        <w:instrText xml:space="preserve"> PAGEREF _Toc201157106 \h </w:instrText>
      </w:r>
      <w:r>
        <w:fldChar w:fldCharType="separate"/>
      </w:r>
      <w:r>
        <w:t>175</w:t>
      </w:r>
      <w:r>
        <w:fldChar w:fldCharType="end"/>
      </w:r>
    </w:p>
    <w:p w14:paraId="60F1EABD" w14:textId="6CC66C09" w:rsidR="006C1B74" w:rsidRDefault="006C1B74">
      <w:pPr>
        <w:pStyle w:val="TOC4"/>
        <w:rPr>
          <w:rFonts w:asciiTheme="minorHAnsi" w:eastAsiaTheme="minorEastAsia" w:hAnsiTheme="minorHAnsi" w:cstheme="minorBidi"/>
          <w:kern w:val="2"/>
          <w:sz w:val="24"/>
          <w:szCs w:val="24"/>
          <w14:ligatures w14:val="standardContextual"/>
        </w:rPr>
      </w:pPr>
      <w:r>
        <w:t>5.6.16.1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_Toc201157107 \h </w:instrText>
      </w:r>
      <w:r>
        <w:fldChar w:fldCharType="separate"/>
      </w:r>
      <w:r>
        <w:t>175</w:t>
      </w:r>
      <w:r>
        <w:fldChar w:fldCharType="end"/>
      </w:r>
    </w:p>
    <w:p w14:paraId="3BC72EA6" w14:textId="653EE452" w:rsidR="006C1B74" w:rsidRDefault="006C1B74">
      <w:pPr>
        <w:pStyle w:val="TOC4"/>
        <w:rPr>
          <w:rFonts w:asciiTheme="minorHAnsi" w:eastAsiaTheme="minorEastAsia" w:hAnsiTheme="minorHAnsi" w:cstheme="minorBidi"/>
          <w:kern w:val="2"/>
          <w:sz w:val="24"/>
          <w:szCs w:val="24"/>
          <w14:ligatures w14:val="standardContextual"/>
        </w:rPr>
      </w:pPr>
      <w:r>
        <w:t>5.6.16.2</w:t>
      </w:r>
      <w:r>
        <w:rPr>
          <w:rFonts w:asciiTheme="minorHAnsi" w:eastAsiaTheme="minorEastAsia" w:hAnsiTheme="minorHAnsi" w:cstheme="minorBidi"/>
          <w:kern w:val="2"/>
          <w:sz w:val="24"/>
          <w:szCs w:val="24"/>
          <w14:ligatures w14:val="standardContextual"/>
        </w:rPr>
        <w:tab/>
      </w:r>
      <w:r>
        <w:t>Application Function influence on Service Function Chaining</w:t>
      </w:r>
      <w:r>
        <w:tab/>
      </w:r>
      <w:r>
        <w:fldChar w:fldCharType="begin" w:fldLock="1"/>
      </w:r>
      <w:r>
        <w:instrText xml:space="preserve"> PAGEREF _Toc201157108 \h </w:instrText>
      </w:r>
      <w:r>
        <w:fldChar w:fldCharType="separate"/>
      </w:r>
      <w:r>
        <w:t>175</w:t>
      </w:r>
      <w:r>
        <w:fldChar w:fldCharType="end"/>
      </w:r>
    </w:p>
    <w:p w14:paraId="635575E9" w14:textId="0D055286" w:rsidR="006C1B74" w:rsidRDefault="006C1B74">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QoS model</w:t>
      </w:r>
      <w:r>
        <w:tab/>
      </w:r>
      <w:r>
        <w:fldChar w:fldCharType="begin" w:fldLock="1"/>
      </w:r>
      <w:r>
        <w:instrText xml:space="preserve"> PAGEREF _Toc201157109 \h </w:instrText>
      </w:r>
      <w:r>
        <w:fldChar w:fldCharType="separate"/>
      </w:r>
      <w:r>
        <w:t>176</w:t>
      </w:r>
      <w:r>
        <w:fldChar w:fldCharType="end"/>
      </w:r>
    </w:p>
    <w:p w14:paraId="60996327" w14:textId="14C70155" w:rsidR="006C1B74" w:rsidRDefault="006C1B74">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General Overview</w:t>
      </w:r>
      <w:r>
        <w:tab/>
      </w:r>
      <w:r>
        <w:fldChar w:fldCharType="begin" w:fldLock="1"/>
      </w:r>
      <w:r>
        <w:instrText xml:space="preserve"> PAGEREF _Toc201157110 \h </w:instrText>
      </w:r>
      <w:r>
        <w:fldChar w:fldCharType="separate"/>
      </w:r>
      <w:r>
        <w:t>176</w:t>
      </w:r>
      <w:r>
        <w:fldChar w:fldCharType="end"/>
      </w:r>
    </w:p>
    <w:p w14:paraId="777DC481" w14:textId="15D0B283" w:rsidR="006C1B74" w:rsidRDefault="006C1B74">
      <w:pPr>
        <w:pStyle w:val="TOC4"/>
        <w:rPr>
          <w:rFonts w:asciiTheme="minorHAnsi" w:eastAsiaTheme="minorEastAsia" w:hAnsiTheme="minorHAnsi" w:cstheme="minorBidi"/>
          <w:kern w:val="2"/>
          <w:sz w:val="24"/>
          <w:szCs w:val="24"/>
          <w14:ligatures w14:val="standardContextual"/>
        </w:rPr>
      </w:pPr>
      <w:r>
        <w:t>5.7.1.1</w:t>
      </w:r>
      <w:r>
        <w:rPr>
          <w:rFonts w:asciiTheme="minorHAnsi" w:eastAsiaTheme="minorEastAsia" w:hAnsiTheme="minorHAnsi" w:cstheme="minorBidi"/>
          <w:kern w:val="2"/>
          <w:sz w:val="24"/>
          <w:szCs w:val="24"/>
          <w14:ligatures w14:val="standardContextual"/>
        </w:rPr>
        <w:tab/>
      </w:r>
      <w:r>
        <w:t>QoS Flow</w:t>
      </w:r>
      <w:r>
        <w:tab/>
      </w:r>
      <w:r>
        <w:fldChar w:fldCharType="begin" w:fldLock="1"/>
      </w:r>
      <w:r>
        <w:instrText xml:space="preserve"> PAGEREF _Toc201157111 \h </w:instrText>
      </w:r>
      <w:r>
        <w:fldChar w:fldCharType="separate"/>
      </w:r>
      <w:r>
        <w:t>176</w:t>
      </w:r>
      <w:r>
        <w:fldChar w:fldCharType="end"/>
      </w:r>
    </w:p>
    <w:p w14:paraId="2EE873F0" w14:textId="3087AC20" w:rsidR="006C1B74" w:rsidRDefault="006C1B74">
      <w:pPr>
        <w:pStyle w:val="TOC4"/>
        <w:rPr>
          <w:rFonts w:asciiTheme="minorHAnsi" w:eastAsiaTheme="minorEastAsia" w:hAnsiTheme="minorHAnsi" w:cstheme="minorBidi"/>
          <w:kern w:val="2"/>
          <w:sz w:val="24"/>
          <w:szCs w:val="24"/>
          <w14:ligatures w14:val="standardContextual"/>
        </w:rPr>
      </w:pPr>
      <w:r>
        <w:t>5.7.1.2</w:t>
      </w:r>
      <w:r>
        <w:rPr>
          <w:rFonts w:asciiTheme="minorHAnsi" w:eastAsiaTheme="minorEastAsia" w:hAnsiTheme="minorHAnsi" w:cstheme="minorBidi"/>
          <w:kern w:val="2"/>
          <w:sz w:val="24"/>
          <w:szCs w:val="24"/>
          <w14:ligatures w14:val="standardContextual"/>
        </w:rPr>
        <w:tab/>
      </w:r>
      <w:r>
        <w:t>QoS Profile</w:t>
      </w:r>
      <w:r>
        <w:tab/>
      </w:r>
      <w:r>
        <w:fldChar w:fldCharType="begin" w:fldLock="1"/>
      </w:r>
      <w:r>
        <w:instrText xml:space="preserve"> PAGEREF _Toc201157112 \h </w:instrText>
      </w:r>
      <w:r>
        <w:fldChar w:fldCharType="separate"/>
      </w:r>
      <w:r>
        <w:t>177</w:t>
      </w:r>
      <w:r>
        <w:fldChar w:fldCharType="end"/>
      </w:r>
    </w:p>
    <w:p w14:paraId="26B48765" w14:textId="746CBB21" w:rsidR="006C1B74" w:rsidRDefault="006C1B74">
      <w:pPr>
        <w:pStyle w:val="TOC4"/>
        <w:rPr>
          <w:rFonts w:asciiTheme="minorHAnsi" w:eastAsiaTheme="minorEastAsia" w:hAnsiTheme="minorHAnsi" w:cstheme="minorBidi"/>
          <w:kern w:val="2"/>
          <w:sz w:val="24"/>
          <w:szCs w:val="24"/>
          <w14:ligatures w14:val="standardContextual"/>
        </w:rPr>
      </w:pPr>
      <w:r>
        <w:t>5.7.1.2a</w:t>
      </w:r>
      <w:r>
        <w:rPr>
          <w:rFonts w:asciiTheme="minorHAnsi" w:eastAsiaTheme="minorEastAsia" w:hAnsiTheme="minorHAnsi" w:cstheme="minorBidi"/>
          <w:kern w:val="2"/>
          <w:sz w:val="24"/>
          <w:szCs w:val="24"/>
          <w14:ligatures w14:val="standardContextual"/>
        </w:rPr>
        <w:tab/>
      </w:r>
      <w:r>
        <w:t>Alternative QoS Profile</w:t>
      </w:r>
      <w:r>
        <w:tab/>
      </w:r>
      <w:r>
        <w:fldChar w:fldCharType="begin" w:fldLock="1"/>
      </w:r>
      <w:r>
        <w:instrText xml:space="preserve"> PAGEREF _Toc201157113 \h </w:instrText>
      </w:r>
      <w:r>
        <w:fldChar w:fldCharType="separate"/>
      </w:r>
      <w:r>
        <w:t>178</w:t>
      </w:r>
      <w:r>
        <w:fldChar w:fldCharType="end"/>
      </w:r>
    </w:p>
    <w:p w14:paraId="76BAF2EC" w14:textId="658E544E" w:rsidR="006C1B74" w:rsidRDefault="006C1B74">
      <w:pPr>
        <w:pStyle w:val="TOC4"/>
        <w:rPr>
          <w:rFonts w:asciiTheme="minorHAnsi" w:eastAsiaTheme="minorEastAsia" w:hAnsiTheme="minorHAnsi" w:cstheme="minorBidi"/>
          <w:kern w:val="2"/>
          <w:sz w:val="24"/>
          <w:szCs w:val="24"/>
          <w14:ligatures w14:val="standardContextual"/>
        </w:rPr>
      </w:pPr>
      <w:r>
        <w:t>5.7.1.3</w:t>
      </w:r>
      <w:r>
        <w:rPr>
          <w:rFonts w:asciiTheme="minorHAnsi" w:eastAsiaTheme="minorEastAsia" w:hAnsiTheme="minorHAnsi" w:cstheme="minorBidi"/>
          <w:kern w:val="2"/>
          <w:sz w:val="24"/>
          <w:szCs w:val="24"/>
          <w14:ligatures w14:val="standardContextual"/>
        </w:rPr>
        <w:tab/>
      </w:r>
      <w:r>
        <w:t>Control of QoS Flows</w:t>
      </w:r>
      <w:r>
        <w:tab/>
      </w:r>
      <w:r>
        <w:fldChar w:fldCharType="begin" w:fldLock="1"/>
      </w:r>
      <w:r>
        <w:instrText xml:space="preserve"> PAGEREF _Toc201157114 \h </w:instrText>
      </w:r>
      <w:r>
        <w:fldChar w:fldCharType="separate"/>
      </w:r>
      <w:r>
        <w:t>178</w:t>
      </w:r>
      <w:r>
        <w:fldChar w:fldCharType="end"/>
      </w:r>
    </w:p>
    <w:p w14:paraId="7D0641A4" w14:textId="063231A7" w:rsidR="006C1B74" w:rsidRDefault="006C1B74">
      <w:pPr>
        <w:pStyle w:val="TOC4"/>
        <w:rPr>
          <w:rFonts w:asciiTheme="minorHAnsi" w:eastAsiaTheme="minorEastAsia" w:hAnsiTheme="minorHAnsi" w:cstheme="minorBidi"/>
          <w:kern w:val="2"/>
          <w:sz w:val="24"/>
          <w:szCs w:val="24"/>
          <w14:ligatures w14:val="standardContextual"/>
        </w:rPr>
      </w:pPr>
      <w:r>
        <w:t>5.7.1.4</w:t>
      </w:r>
      <w:r>
        <w:rPr>
          <w:rFonts w:asciiTheme="minorHAnsi" w:eastAsiaTheme="minorEastAsia" w:hAnsiTheme="minorHAnsi" w:cstheme="minorBidi"/>
          <w:kern w:val="2"/>
          <w:sz w:val="24"/>
          <w:szCs w:val="24"/>
          <w14:ligatures w14:val="standardContextual"/>
        </w:rPr>
        <w:tab/>
      </w:r>
      <w:r>
        <w:t>QoS Rules</w:t>
      </w:r>
      <w:r>
        <w:tab/>
      </w:r>
      <w:r>
        <w:fldChar w:fldCharType="begin" w:fldLock="1"/>
      </w:r>
      <w:r>
        <w:instrText xml:space="preserve"> PAGEREF _Toc201157115 \h </w:instrText>
      </w:r>
      <w:r>
        <w:fldChar w:fldCharType="separate"/>
      </w:r>
      <w:r>
        <w:t>178</w:t>
      </w:r>
      <w:r>
        <w:fldChar w:fldCharType="end"/>
      </w:r>
    </w:p>
    <w:p w14:paraId="74111ECB" w14:textId="14D18911" w:rsidR="006C1B74" w:rsidRDefault="006C1B74">
      <w:pPr>
        <w:pStyle w:val="TOC4"/>
        <w:rPr>
          <w:rFonts w:asciiTheme="minorHAnsi" w:eastAsiaTheme="minorEastAsia" w:hAnsiTheme="minorHAnsi" w:cstheme="minorBidi"/>
          <w:kern w:val="2"/>
          <w:sz w:val="24"/>
          <w:szCs w:val="24"/>
          <w14:ligatures w14:val="standardContextual"/>
        </w:rPr>
      </w:pPr>
      <w:r>
        <w:t>5.7.1.5</w:t>
      </w:r>
      <w:r>
        <w:rPr>
          <w:rFonts w:asciiTheme="minorHAnsi" w:eastAsiaTheme="minorEastAsia" w:hAnsiTheme="minorHAnsi" w:cstheme="minorBidi"/>
          <w:kern w:val="2"/>
          <w:sz w:val="24"/>
          <w:szCs w:val="24"/>
          <w14:ligatures w14:val="standardContextual"/>
        </w:rPr>
        <w:tab/>
      </w:r>
      <w:r>
        <w:t>QoS Flow mapping</w:t>
      </w:r>
      <w:r>
        <w:tab/>
      </w:r>
      <w:r>
        <w:fldChar w:fldCharType="begin" w:fldLock="1"/>
      </w:r>
      <w:r>
        <w:instrText xml:space="preserve"> PAGEREF _Toc201157116 \h </w:instrText>
      </w:r>
      <w:r>
        <w:fldChar w:fldCharType="separate"/>
      </w:r>
      <w:r>
        <w:t>179</w:t>
      </w:r>
      <w:r>
        <w:fldChar w:fldCharType="end"/>
      </w:r>
    </w:p>
    <w:p w14:paraId="4FD75971" w14:textId="2B12F5A8" w:rsidR="006C1B74" w:rsidRDefault="006C1B74">
      <w:pPr>
        <w:pStyle w:val="TOC4"/>
        <w:rPr>
          <w:rFonts w:asciiTheme="minorHAnsi" w:eastAsiaTheme="minorEastAsia" w:hAnsiTheme="minorHAnsi" w:cstheme="minorBidi"/>
          <w:kern w:val="2"/>
          <w:sz w:val="24"/>
          <w:szCs w:val="24"/>
          <w14:ligatures w14:val="standardContextual"/>
        </w:rPr>
      </w:pPr>
      <w:r>
        <w:t>5.7.1.6</w:t>
      </w:r>
      <w:r>
        <w:rPr>
          <w:rFonts w:asciiTheme="minorHAnsi" w:eastAsiaTheme="minorEastAsia" w:hAnsiTheme="minorHAnsi" w:cstheme="minorBidi"/>
          <w:kern w:val="2"/>
          <w:sz w:val="24"/>
          <w:szCs w:val="24"/>
          <w14:ligatures w14:val="standardContextual"/>
        </w:rPr>
        <w:tab/>
      </w:r>
      <w:r>
        <w:t>DL traffic</w:t>
      </w:r>
      <w:r>
        <w:tab/>
      </w:r>
      <w:r>
        <w:fldChar w:fldCharType="begin" w:fldLock="1"/>
      </w:r>
      <w:r>
        <w:instrText xml:space="preserve"> PAGEREF _Toc201157117 \h </w:instrText>
      </w:r>
      <w:r>
        <w:fldChar w:fldCharType="separate"/>
      </w:r>
      <w:r>
        <w:t>181</w:t>
      </w:r>
      <w:r>
        <w:fldChar w:fldCharType="end"/>
      </w:r>
    </w:p>
    <w:p w14:paraId="138F1C18" w14:textId="2B833417" w:rsidR="006C1B74" w:rsidRDefault="006C1B74">
      <w:pPr>
        <w:pStyle w:val="TOC4"/>
        <w:rPr>
          <w:rFonts w:asciiTheme="minorHAnsi" w:eastAsiaTheme="minorEastAsia" w:hAnsiTheme="minorHAnsi" w:cstheme="minorBidi"/>
          <w:kern w:val="2"/>
          <w:sz w:val="24"/>
          <w:szCs w:val="24"/>
          <w14:ligatures w14:val="standardContextual"/>
        </w:rPr>
      </w:pPr>
      <w:r>
        <w:t>5.7.1.7</w:t>
      </w:r>
      <w:r>
        <w:rPr>
          <w:rFonts w:asciiTheme="minorHAnsi" w:eastAsiaTheme="minorEastAsia" w:hAnsiTheme="minorHAnsi" w:cstheme="minorBidi"/>
          <w:kern w:val="2"/>
          <w:sz w:val="24"/>
          <w:szCs w:val="24"/>
          <w14:ligatures w14:val="standardContextual"/>
        </w:rPr>
        <w:tab/>
      </w:r>
      <w:r>
        <w:t>UL Traffic</w:t>
      </w:r>
      <w:r>
        <w:tab/>
      </w:r>
      <w:r>
        <w:fldChar w:fldCharType="begin" w:fldLock="1"/>
      </w:r>
      <w:r>
        <w:instrText xml:space="preserve"> PAGEREF _Toc201157118 \h </w:instrText>
      </w:r>
      <w:r>
        <w:fldChar w:fldCharType="separate"/>
      </w:r>
      <w:r>
        <w:t>181</w:t>
      </w:r>
      <w:r>
        <w:fldChar w:fldCharType="end"/>
      </w:r>
    </w:p>
    <w:p w14:paraId="7435889A" w14:textId="45B95FB1" w:rsidR="006C1B74" w:rsidRDefault="006C1B74">
      <w:pPr>
        <w:pStyle w:val="TOC4"/>
        <w:rPr>
          <w:rFonts w:asciiTheme="minorHAnsi" w:eastAsiaTheme="minorEastAsia" w:hAnsiTheme="minorHAnsi" w:cstheme="minorBidi"/>
          <w:kern w:val="2"/>
          <w:sz w:val="24"/>
          <w:szCs w:val="24"/>
          <w14:ligatures w14:val="standardContextual"/>
        </w:rPr>
      </w:pPr>
      <w:r>
        <w:t>5.7.1.8</w:t>
      </w:r>
      <w:r>
        <w:rPr>
          <w:rFonts w:asciiTheme="minorHAnsi" w:eastAsiaTheme="minorEastAsia" w:hAnsiTheme="minorHAnsi" w:cstheme="minorBidi"/>
          <w:kern w:val="2"/>
          <w:sz w:val="24"/>
          <w:szCs w:val="24"/>
          <w14:ligatures w14:val="standardContextual"/>
        </w:rPr>
        <w:tab/>
      </w:r>
      <w:r>
        <w:t>AMBR/MFBR enforcement and rate limitation</w:t>
      </w:r>
      <w:r>
        <w:tab/>
      </w:r>
      <w:r>
        <w:fldChar w:fldCharType="begin" w:fldLock="1"/>
      </w:r>
      <w:r>
        <w:instrText xml:space="preserve"> PAGEREF _Toc201157119 \h </w:instrText>
      </w:r>
      <w:r>
        <w:fldChar w:fldCharType="separate"/>
      </w:r>
      <w:r>
        <w:t>182</w:t>
      </w:r>
      <w:r>
        <w:fldChar w:fldCharType="end"/>
      </w:r>
    </w:p>
    <w:p w14:paraId="44C66B83" w14:textId="37AF9AFE" w:rsidR="006C1B74" w:rsidRDefault="006C1B74">
      <w:pPr>
        <w:pStyle w:val="TOC4"/>
        <w:rPr>
          <w:rFonts w:asciiTheme="minorHAnsi" w:eastAsiaTheme="minorEastAsia" w:hAnsiTheme="minorHAnsi" w:cstheme="minorBidi"/>
          <w:kern w:val="2"/>
          <w:sz w:val="24"/>
          <w:szCs w:val="24"/>
          <w14:ligatures w14:val="standardContextual"/>
        </w:rPr>
      </w:pPr>
      <w:r>
        <w:t>5.7.1.9</w:t>
      </w:r>
      <w:r>
        <w:rPr>
          <w:rFonts w:asciiTheme="minorHAnsi" w:eastAsiaTheme="minorEastAsia" w:hAnsiTheme="minorHAnsi" w:cstheme="minorBidi"/>
          <w:kern w:val="2"/>
          <w:sz w:val="24"/>
          <w:szCs w:val="24"/>
          <w14:ligatures w14:val="standardContextual"/>
        </w:rPr>
        <w:tab/>
      </w:r>
      <w:r>
        <w:t>Precedence Value</w:t>
      </w:r>
      <w:r>
        <w:tab/>
      </w:r>
      <w:r>
        <w:fldChar w:fldCharType="begin" w:fldLock="1"/>
      </w:r>
      <w:r>
        <w:instrText xml:space="preserve"> PAGEREF _Toc201157120 \h </w:instrText>
      </w:r>
      <w:r>
        <w:fldChar w:fldCharType="separate"/>
      </w:r>
      <w:r>
        <w:t>182</w:t>
      </w:r>
      <w:r>
        <w:fldChar w:fldCharType="end"/>
      </w:r>
    </w:p>
    <w:p w14:paraId="0B176C44" w14:textId="3B0CC9D1" w:rsidR="006C1B74" w:rsidRDefault="006C1B74">
      <w:pPr>
        <w:pStyle w:val="TOC4"/>
        <w:rPr>
          <w:rFonts w:asciiTheme="minorHAnsi" w:eastAsiaTheme="minorEastAsia" w:hAnsiTheme="minorHAnsi" w:cstheme="minorBidi"/>
          <w:kern w:val="2"/>
          <w:sz w:val="24"/>
          <w:szCs w:val="24"/>
          <w14:ligatures w14:val="standardContextual"/>
        </w:rPr>
      </w:pPr>
      <w:r>
        <w:t>5.7.1.10</w:t>
      </w:r>
      <w:r>
        <w:rPr>
          <w:rFonts w:asciiTheme="minorHAnsi" w:eastAsiaTheme="minorEastAsia" w:hAnsiTheme="minorHAnsi" w:cstheme="minorBidi"/>
          <w:kern w:val="2"/>
          <w:sz w:val="24"/>
          <w:szCs w:val="24"/>
          <w14:ligatures w14:val="standardContextual"/>
        </w:rPr>
        <w:tab/>
      </w:r>
      <w:r>
        <w:t>UE-Slice-MBR enforcement and rate limitation</w:t>
      </w:r>
      <w:r>
        <w:tab/>
      </w:r>
      <w:r>
        <w:fldChar w:fldCharType="begin" w:fldLock="1"/>
      </w:r>
      <w:r>
        <w:instrText xml:space="preserve"> PAGEREF _Toc201157121 \h </w:instrText>
      </w:r>
      <w:r>
        <w:fldChar w:fldCharType="separate"/>
      </w:r>
      <w:r>
        <w:t>182</w:t>
      </w:r>
      <w:r>
        <w:fldChar w:fldCharType="end"/>
      </w:r>
    </w:p>
    <w:p w14:paraId="1CA120DB" w14:textId="57D273B7" w:rsidR="006C1B74" w:rsidRDefault="006C1B74">
      <w:pPr>
        <w:pStyle w:val="TOC4"/>
        <w:rPr>
          <w:rFonts w:asciiTheme="minorHAnsi" w:eastAsiaTheme="minorEastAsia" w:hAnsiTheme="minorHAnsi" w:cstheme="minorBidi"/>
          <w:kern w:val="2"/>
          <w:sz w:val="24"/>
          <w:szCs w:val="24"/>
          <w14:ligatures w14:val="standardContextual"/>
        </w:rPr>
      </w:pPr>
      <w:r>
        <w:t>5.7.1.11</w:t>
      </w:r>
      <w:r>
        <w:rPr>
          <w:rFonts w:asciiTheme="minorHAnsi" w:eastAsiaTheme="minorEastAsia" w:hAnsiTheme="minorHAnsi" w:cstheme="minorBidi"/>
          <w:kern w:val="2"/>
          <w:sz w:val="24"/>
          <w:szCs w:val="24"/>
          <w14:ligatures w14:val="standardContextual"/>
        </w:rPr>
        <w:tab/>
      </w:r>
      <w:r>
        <w:t>QoS aspects of home-routed roaming</w:t>
      </w:r>
      <w:r>
        <w:tab/>
      </w:r>
      <w:r>
        <w:fldChar w:fldCharType="begin" w:fldLock="1"/>
      </w:r>
      <w:r>
        <w:instrText xml:space="preserve"> PAGEREF _Toc201157122 \h </w:instrText>
      </w:r>
      <w:r>
        <w:fldChar w:fldCharType="separate"/>
      </w:r>
      <w:r>
        <w:t>183</w:t>
      </w:r>
      <w:r>
        <w:fldChar w:fldCharType="end"/>
      </w:r>
    </w:p>
    <w:p w14:paraId="6C763537" w14:textId="3BEE42EF" w:rsidR="006C1B74" w:rsidRDefault="006C1B74">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5G QoS Parameters</w:t>
      </w:r>
      <w:r>
        <w:tab/>
      </w:r>
      <w:r>
        <w:fldChar w:fldCharType="begin" w:fldLock="1"/>
      </w:r>
      <w:r>
        <w:instrText xml:space="preserve"> PAGEREF _Toc201157123 \h </w:instrText>
      </w:r>
      <w:r>
        <w:fldChar w:fldCharType="separate"/>
      </w:r>
      <w:r>
        <w:t>184</w:t>
      </w:r>
      <w:r>
        <w:fldChar w:fldCharType="end"/>
      </w:r>
    </w:p>
    <w:p w14:paraId="0DE48003" w14:textId="75C604A6" w:rsidR="006C1B74" w:rsidRDefault="006C1B74">
      <w:pPr>
        <w:pStyle w:val="TOC4"/>
        <w:rPr>
          <w:rFonts w:asciiTheme="minorHAnsi" w:eastAsiaTheme="minorEastAsia" w:hAnsiTheme="minorHAnsi" w:cstheme="minorBidi"/>
          <w:kern w:val="2"/>
          <w:sz w:val="24"/>
          <w:szCs w:val="24"/>
          <w14:ligatures w14:val="standardContextual"/>
        </w:rPr>
      </w:pPr>
      <w:r>
        <w:t>5.7.2.1</w:t>
      </w:r>
      <w:r>
        <w:rPr>
          <w:rFonts w:asciiTheme="minorHAnsi" w:eastAsiaTheme="minorEastAsia" w:hAnsiTheme="minorHAnsi" w:cstheme="minorBidi"/>
          <w:kern w:val="2"/>
          <w:sz w:val="24"/>
          <w:szCs w:val="24"/>
          <w14:ligatures w14:val="standardContextual"/>
        </w:rPr>
        <w:tab/>
      </w:r>
      <w:r>
        <w:t>5QI</w:t>
      </w:r>
      <w:r>
        <w:tab/>
      </w:r>
      <w:r>
        <w:fldChar w:fldCharType="begin" w:fldLock="1"/>
      </w:r>
      <w:r>
        <w:instrText xml:space="preserve"> PAGEREF _Toc201157124 \h </w:instrText>
      </w:r>
      <w:r>
        <w:fldChar w:fldCharType="separate"/>
      </w:r>
      <w:r>
        <w:t>184</w:t>
      </w:r>
      <w:r>
        <w:fldChar w:fldCharType="end"/>
      </w:r>
    </w:p>
    <w:p w14:paraId="120F9E7A" w14:textId="45907973" w:rsidR="006C1B74" w:rsidRDefault="006C1B74">
      <w:pPr>
        <w:pStyle w:val="TOC4"/>
        <w:rPr>
          <w:rFonts w:asciiTheme="minorHAnsi" w:eastAsiaTheme="minorEastAsia" w:hAnsiTheme="minorHAnsi" w:cstheme="minorBidi"/>
          <w:kern w:val="2"/>
          <w:sz w:val="24"/>
          <w:szCs w:val="24"/>
          <w14:ligatures w14:val="standardContextual"/>
        </w:rPr>
      </w:pPr>
      <w:r>
        <w:t>5.7.2.2</w:t>
      </w:r>
      <w:r>
        <w:rPr>
          <w:rFonts w:asciiTheme="minorHAnsi" w:eastAsiaTheme="minorEastAsia" w:hAnsiTheme="minorHAnsi" w:cstheme="minorBidi"/>
          <w:kern w:val="2"/>
          <w:sz w:val="24"/>
          <w:szCs w:val="24"/>
          <w14:ligatures w14:val="standardContextual"/>
        </w:rPr>
        <w:tab/>
      </w:r>
      <w:r>
        <w:t>ARP</w:t>
      </w:r>
      <w:r>
        <w:tab/>
      </w:r>
      <w:r>
        <w:fldChar w:fldCharType="begin" w:fldLock="1"/>
      </w:r>
      <w:r>
        <w:instrText xml:space="preserve"> PAGEREF _Toc201157125 \h </w:instrText>
      </w:r>
      <w:r>
        <w:fldChar w:fldCharType="separate"/>
      </w:r>
      <w:r>
        <w:t>184</w:t>
      </w:r>
      <w:r>
        <w:fldChar w:fldCharType="end"/>
      </w:r>
    </w:p>
    <w:p w14:paraId="7C3F6850" w14:textId="7ACBBE75" w:rsidR="006C1B74" w:rsidRDefault="006C1B74">
      <w:pPr>
        <w:pStyle w:val="TOC4"/>
        <w:rPr>
          <w:rFonts w:asciiTheme="minorHAnsi" w:eastAsiaTheme="minorEastAsia" w:hAnsiTheme="minorHAnsi" w:cstheme="minorBidi"/>
          <w:kern w:val="2"/>
          <w:sz w:val="24"/>
          <w:szCs w:val="24"/>
          <w14:ligatures w14:val="standardContextual"/>
        </w:rPr>
      </w:pPr>
      <w:r>
        <w:t>5.7.2.3</w:t>
      </w:r>
      <w:r>
        <w:rPr>
          <w:rFonts w:asciiTheme="minorHAnsi" w:eastAsiaTheme="minorEastAsia" w:hAnsiTheme="minorHAnsi" w:cstheme="minorBidi"/>
          <w:kern w:val="2"/>
          <w:sz w:val="24"/>
          <w:szCs w:val="24"/>
          <w14:ligatures w14:val="standardContextual"/>
        </w:rPr>
        <w:tab/>
      </w:r>
      <w:r>
        <w:t>RQA</w:t>
      </w:r>
      <w:r>
        <w:tab/>
      </w:r>
      <w:r>
        <w:fldChar w:fldCharType="begin" w:fldLock="1"/>
      </w:r>
      <w:r>
        <w:instrText xml:space="preserve"> PAGEREF _Toc201157126 \h </w:instrText>
      </w:r>
      <w:r>
        <w:fldChar w:fldCharType="separate"/>
      </w:r>
      <w:r>
        <w:t>184</w:t>
      </w:r>
      <w:r>
        <w:fldChar w:fldCharType="end"/>
      </w:r>
    </w:p>
    <w:p w14:paraId="2791B588" w14:textId="6297726C" w:rsidR="006C1B74" w:rsidRDefault="006C1B74">
      <w:pPr>
        <w:pStyle w:val="TOC4"/>
        <w:rPr>
          <w:rFonts w:asciiTheme="minorHAnsi" w:eastAsiaTheme="minorEastAsia" w:hAnsiTheme="minorHAnsi" w:cstheme="minorBidi"/>
          <w:kern w:val="2"/>
          <w:sz w:val="24"/>
          <w:szCs w:val="24"/>
          <w14:ligatures w14:val="standardContextual"/>
        </w:rPr>
      </w:pPr>
      <w:r>
        <w:t>5.7.2.4</w:t>
      </w:r>
      <w:r>
        <w:rPr>
          <w:rFonts w:asciiTheme="minorHAnsi" w:eastAsiaTheme="minorEastAsia" w:hAnsiTheme="minorHAnsi" w:cstheme="minorBidi"/>
          <w:kern w:val="2"/>
          <w:sz w:val="24"/>
          <w:szCs w:val="24"/>
          <w14:ligatures w14:val="standardContextual"/>
        </w:rPr>
        <w:tab/>
      </w:r>
      <w:r>
        <w:t>Notification control</w:t>
      </w:r>
      <w:r>
        <w:tab/>
      </w:r>
      <w:r>
        <w:fldChar w:fldCharType="begin" w:fldLock="1"/>
      </w:r>
      <w:r>
        <w:instrText xml:space="preserve"> PAGEREF _Toc201157127 \h </w:instrText>
      </w:r>
      <w:r>
        <w:fldChar w:fldCharType="separate"/>
      </w:r>
      <w:r>
        <w:t>185</w:t>
      </w:r>
      <w:r>
        <w:fldChar w:fldCharType="end"/>
      </w:r>
    </w:p>
    <w:p w14:paraId="1BEDEE9C" w14:textId="33C39B1A" w:rsidR="006C1B74" w:rsidRDefault="006C1B74">
      <w:pPr>
        <w:pStyle w:val="TOC5"/>
        <w:rPr>
          <w:rFonts w:asciiTheme="minorHAnsi" w:eastAsiaTheme="minorEastAsia" w:hAnsiTheme="minorHAnsi" w:cstheme="minorBidi"/>
          <w:kern w:val="2"/>
          <w:sz w:val="24"/>
          <w:szCs w:val="24"/>
          <w14:ligatures w14:val="standardContextual"/>
        </w:rPr>
      </w:pPr>
      <w:r>
        <w:t>5.7.2.4.1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_Toc201157128 \h </w:instrText>
      </w:r>
      <w:r>
        <w:fldChar w:fldCharType="separate"/>
      </w:r>
      <w:r>
        <w:t>185</w:t>
      </w:r>
      <w:r>
        <w:fldChar w:fldCharType="end"/>
      </w:r>
    </w:p>
    <w:p w14:paraId="11E7A619" w14:textId="3EAB96C5" w:rsidR="006C1B74" w:rsidRDefault="006C1B74">
      <w:pPr>
        <w:pStyle w:val="TOC5"/>
        <w:rPr>
          <w:rFonts w:asciiTheme="minorHAnsi" w:eastAsiaTheme="minorEastAsia" w:hAnsiTheme="minorHAnsi" w:cstheme="minorBidi"/>
          <w:kern w:val="2"/>
          <w:sz w:val="24"/>
          <w:szCs w:val="24"/>
          <w14:ligatures w14:val="standardContextual"/>
        </w:rPr>
      </w:pPr>
      <w:r>
        <w:t>5.7.2.4.1a</w:t>
      </w:r>
      <w:r>
        <w:rPr>
          <w:rFonts w:asciiTheme="minorHAnsi" w:eastAsiaTheme="minorEastAsia" w:hAnsiTheme="minorHAnsi" w:cstheme="minorBidi"/>
          <w:kern w:val="2"/>
          <w:sz w:val="24"/>
          <w:szCs w:val="24"/>
          <w14:ligatures w14:val="standardContextual"/>
        </w:rPr>
        <w:tab/>
      </w:r>
      <w:r>
        <w:t>Notification Control without Alternative QoS Profiles</w:t>
      </w:r>
      <w:r>
        <w:tab/>
      </w:r>
      <w:r>
        <w:fldChar w:fldCharType="begin" w:fldLock="1"/>
      </w:r>
      <w:r>
        <w:instrText xml:space="preserve"> PAGEREF _Toc201157129 \h </w:instrText>
      </w:r>
      <w:r>
        <w:fldChar w:fldCharType="separate"/>
      </w:r>
      <w:r>
        <w:t>185</w:t>
      </w:r>
      <w:r>
        <w:fldChar w:fldCharType="end"/>
      </w:r>
    </w:p>
    <w:p w14:paraId="7EDBD53C" w14:textId="604C3154" w:rsidR="006C1B74" w:rsidRDefault="006C1B74">
      <w:pPr>
        <w:pStyle w:val="TOC5"/>
        <w:rPr>
          <w:rFonts w:asciiTheme="minorHAnsi" w:eastAsiaTheme="minorEastAsia" w:hAnsiTheme="minorHAnsi" w:cstheme="minorBidi"/>
          <w:kern w:val="2"/>
          <w:sz w:val="24"/>
          <w:szCs w:val="24"/>
          <w14:ligatures w14:val="standardContextual"/>
        </w:rPr>
      </w:pPr>
      <w:r>
        <w:t>5.7.2.4.1b</w:t>
      </w:r>
      <w:r>
        <w:rPr>
          <w:rFonts w:asciiTheme="minorHAnsi" w:eastAsiaTheme="minorEastAsia" w:hAnsiTheme="minorHAnsi" w:cstheme="minorBidi"/>
          <w:kern w:val="2"/>
          <w:sz w:val="24"/>
          <w:szCs w:val="24"/>
          <w14:ligatures w14:val="standardContextual"/>
        </w:rPr>
        <w:tab/>
      </w:r>
      <w:r>
        <w:t>Notification control with Alternative QoS Profiles</w:t>
      </w:r>
      <w:r>
        <w:tab/>
      </w:r>
      <w:r>
        <w:fldChar w:fldCharType="begin" w:fldLock="1"/>
      </w:r>
      <w:r>
        <w:instrText xml:space="preserve"> PAGEREF _Toc201157130 \h </w:instrText>
      </w:r>
      <w:r>
        <w:fldChar w:fldCharType="separate"/>
      </w:r>
      <w:r>
        <w:t>186</w:t>
      </w:r>
      <w:r>
        <w:fldChar w:fldCharType="end"/>
      </w:r>
    </w:p>
    <w:p w14:paraId="52905BED" w14:textId="0EEDE846" w:rsidR="006C1B74" w:rsidRDefault="006C1B74">
      <w:pPr>
        <w:pStyle w:val="TOC5"/>
        <w:rPr>
          <w:rFonts w:asciiTheme="minorHAnsi" w:eastAsiaTheme="minorEastAsia" w:hAnsiTheme="minorHAnsi" w:cstheme="minorBidi"/>
          <w:kern w:val="2"/>
          <w:sz w:val="24"/>
          <w:szCs w:val="24"/>
          <w14:ligatures w14:val="standardContextual"/>
        </w:rPr>
      </w:pPr>
      <w:r>
        <w:t>5.7.2.4.2</w:t>
      </w:r>
      <w:r>
        <w:rPr>
          <w:rFonts w:asciiTheme="minorHAnsi" w:eastAsiaTheme="minorEastAsia" w:hAnsiTheme="minorHAnsi" w:cstheme="minorBidi"/>
          <w:kern w:val="2"/>
          <w:sz w:val="24"/>
          <w:szCs w:val="24"/>
          <w14:ligatures w14:val="standardContextual"/>
        </w:rPr>
        <w:tab/>
      </w:r>
      <w:r>
        <w:t>Usage of Notification control with Alternative QoS Profiles at handover</w:t>
      </w:r>
      <w:r>
        <w:tab/>
      </w:r>
      <w:r>
        <w:fldChar w:fldCharType="begin" w:fldLock="1"/>
      </w:r>
      <w:r>
        <w:instrText xml:space="preserve"> PAGEREF _Toc201157131 \h </w:instrText>
      </w:r>
      <w:r>
        <w:fldChar w:fldCharType="separate"/>
      </w:r>
      <w:r>
        <w:t>186</w:t>
      </w:r>
      <w:r>
        <w:fldChar w:fldCharType="end"/>
      </w:r>
    </w:p>
    <w:p w14:paraId="07237A21" w14:textId="176815AC" w:rsidR="006C1B74" w:rsidRDefault="006C1B74">
      <w:pPr>
        <w:pStyle w:val="TOC5"/>
        <w:rPr>
          <w:rFonts w:asciiTheme="minorHAnsi" w:eastAsiaTheme="minorEastAsia" w:hAnsiTheme="minorHAnsi" w:cstheme="minorBidi"/>
          <w:kern w:val="2"/>
          <w:sz w:val="24"/>
          <w:szCs w:val="24"/>
          <w14:ligatures w14:val="standardContextual"/>
        </w:rPr>
      </w:pPr>
      <w:r>
        <w:lastRenderedPageBreak/>
        <w:t>5.7.2.4.3</w:t>
      </w:r>
      <w:r>
        <w:rPr>
          <w:rFonts w:asciiTheme="minorHAnsi" w:eastAsiaTheme="minorEastAsia" w:hAnsiTheme="minorHAnsi" w:cstheme="minorBidi"/>
          <w:kern w:val="2"/>
          <w:sz w:val="24"/>
          <w:szCs w:val="24"/>
          <w14:ligatures w14:val="standardContextual"/>
        </w:rPr>
        <w:tab/>
      </w:r>
      <w:r>
        <w:t>Usage of Notification control with Alternative QoS Profiles during QoS Flow establishment and modification</w:t>
      </w:r>
      <w:r>
        <w:tab/>
      </w:r>
      <w:r>
        <w:fldChar w:fldCharType="begin" w:fldLock="1"/>
      </w:r>
      <w:r>
        <w:instrText xml:space="preserve"> PAGEREF _Toc201157132 \h </w:instrText>
      </w:r>
      <w:r>
        <w:fldChar w:fldCharType="separate"/>
      </w:r>
      <w:r>
        <w:t>187</w:t>
      </w:r>
      <w:r>
        <w:fldChar w:fldCharType="end"/>
      </w:r>
    </w:p>
    <w:p w14:paraId="7710EE18" w14:textId="119B9E2E" w:rsidR="006C1B74" w:rsidRDefault="006C1B74">
      <w:pPr>
        <w:pStyle w:val="TOC4"/>
        <w:rPr>
          <w:rFonts w:asciiTheme="minorHAnsi" w:eastAsiaTheme="minorEastAsia" w:hAnsiTheme="minorHAnsi" w:cstheme="minorBidi"/>
          <w:kern w:val="2"/>
          <w:sz w:val="24"/>
          <w:szCs w:val="24"/>
          <w14:ligatures w14:val="standardContextual"/>
        </w:rPr>
      </w:pPr>
      <w:r>
        <w:t>5.7.2.5</w:t>
      </w:r>
      <w:r>
        <w:rPr>
          <w:rFonts w:asciiTheme="minorHAnsi" w:eastAsiaTheme="minorEastAsia" w:hAnsiTheme="minorHAnsi" w:cstheme="minorBidi"/>
          <w:kern w:val="2"/>
          <w:sz w:val="24"/>
          <w:szCs w:val="24"/>
          <w14:ligatures w14:val="standardContextual"/>
        </w:rPr>
        <w:tab/>
      </w:r>
      <w:r>
        <w:t>Flow Bit Rates</w:t>
      </w:r>
      <w:r>
        <w:tab/>
      </w:r>
      <w:r>
        <w:fldChar w:fldCharType="begin" w:fldLock="1"/>
      </w:r>
      <w:r>
        <w:instrText xml:space="preserve"> PAGEREF _Toc201157133 \h </w:instrText>
      </w:r>
      <w:r>
        <w:fldChar w:fldCharType="separate"/>
      </w:r>
      <w:r>
        <w:t>187</w:t>
      </w:r>
      <w:r>
        <w:fldChar w:fldCharType="end"/>
      </w:r>
    </w:p>
    <w:p w14:paraId="5F8B1211" w14:textId="20CBA44E" w:rsidR="006C1B74" w:rsidRDefault="006C1B74">
      <w:pPr>
        <w:pStyle w:val="TOC4"/>
        <w:rPr>
          <w:rFonts w:asciiTheme="minorHAnsi" w:eastAsiaTheme="minorEastAsia" w:hAnsiTheme="minorHAnsi" w:cstheme="minorBidi"/>
          <w:kern w:val="2"/>
          <w:sz w:val="24"/>
          <w:szCs w:val="24"/>
          <w14:ligatures w14:val="standardContextual"/>
        </w:rPr>
      </w:pPr>
      <w:r>
        <w:t>5.7.2.6</w:t>
      </w:r>
      <w:r>
        <w:rPr>
          <w:rFonts w:asciiTheme="minorHAnsi" w:eastAsiaTheme="minorEastAsia" w:hAnsiTheme="minorHAnsi" w:cstheme="minorBidi"/>
          <w:kern w:val="2"/>
          <w:sz w:val="24"/>
          <w:szCs w:val="24"/>
          <w14:ligatures w14:val="standardContextual"/>
        </w:rPr>
        <w:tab/>
      </w:r>
      <w:r>
        <w:t>Aggregate Bit Rates</w:t>
      </w:r>
      <w:r>
        <w:tab/>
      </w:r>
      <w:r>
        <w:fldChar w:fldCharType="begin" w:fldLock="1"/>
      </w:r>
      <w:r>
        <w:instrText xml:space="preserve"> PAGEREF _Toc201157134 \h </w:instrText>
      </w:r>
      <w:r>
        <w:fldChar w:fldCharType="separate"/>
      </w:r>
      <w:r>
        <w:t>188</w:t>
      </w:r>
      <w:r>
        <w:fldChar w:fldCharType="end"/>
      </w:r>
    </w:p>
    <w:p w14:paraId="7541000C" w14:textId="6C2B2CD1" w:rsidR="006C1B74" w:rsidRDefault="006C1B74">
      <w:pPr>
        <w:pStyle w:val="TOC4"/>
        <w:rPr>
          <w:rFonts w:asciiTheme="minorHAnsi" w:eastAsiaTheme="minorEastAsia" w:hAnsiTheme="minorHAnsi" w:cstheme="minorBidi"/>
          <w:kern w:val="2"/>
          <w:sz w:val="24"/>
          <w:szCs w:val="24"/>
          <w14:ligatures w14:val="standardContextual"/>
        </w:rPr>
      </w:pPr>
      <w:r>
        <w:t>5.7.2.7</w:t>
      </w:r>
      <w:r>
        <w:rPr>
          <w:rFonts w:asciiTheme="minorHAnsi" w:eastAsiaTheme="minorEastAsia" w:hAnsiTheme="minorHAnsi" w:cstheme="minorBidi"/>
          <w:kern w:val="2"/>
          <w:sz w:val="24"/>
          <w:szCs w:val="24"/>
          <w14:ligatures w14:val="standardContextual"/>
        </w:rPr>
        <w:tab/>
      </w:r>
      <w:r>
        <w:t>Default values</w:t>
      </w:r>
      <w:r>
        <w:tab/>
      </w:r>
      <w:r>
        <w:fldChar w:fldCharType="begin" w:fldLock="1"/>
      </w:r>
      <w:r>
        <w:instrText xml:space="preserve"> PAGEREF _Toc201157135 \h </w:instrText>
      </w:r>
      <w:r>
        <w:fldChar w:fldCharType="separate"/>
      </w:r>
      <w:r>
        <w:t>188</w:t>
      </w:r>
      <w:r>
        <w:fldChar w:fldCharType="end"/>
      </w:r>
    </w:p>
    <w:p w14:paraId="59ABBF73" w14:textId="63DC08D9" w:rsidR="006C1B74" w:rsidRDefault="006C1B74">
      <w:pPr>
        <w:pStyle w:val="TOC4"/>
        <w:rPr>
          <w:rFonts w:asciiTheme="minorHAnsi" w:eastAsiaTheme="minorEastAsia" w:hAnsiTheme="minorHAnsi" w:cstheme="minorBidi"/>
          <w:kern w:val="2"/>
          <w:sz w:val="24"/>
          <w:szCs w:val="24"/>
          <w14:ligatures w14:val="standardContextual"/>
        </w:rPr>
      </w:pPr>
      <w:r>
        <w:t>5.7.2.8</w:t>
      </w:r>
      <w:r>
        <w:rPr>
          <w:rFonts w:asciiTheme="minorHAnsi" w:eastAsiaTheme="minorEastAsia" w:hAnsiTheme="minorHAnsi" w:cstheme="minorBidi"/>
          <w:kern w:val="2"/>
          <w:sz w:val="24"/>
          <w:szCs w:val="24"/>
          <w14:ligatures w14:val="standardContextual"/>
        </w:rPr>
        <w:tab/>
      </w:r>
      <w:r>
        <w:t>Maximum Packet Loss Rate</w:t>
      </w:r>
      <w:r>
        <w:tab/>
      </w:r>
      <w:r>
        <w:fldChar w:fldCharType="begin" w:fldLock="1"/>
      </w:r>
      <w:r>
        <w:instrText xml:space="preserve"> PAGEREF _Toc201157136 \h </w:instrText>
      </w:r>
      <w:r>
        <w:fldChar w:fldCharType="separate"/>
      </w:r>
      <w:r>
        <w:t>189</w:t>
      </w:r>
      <w:r>
        <w:fldChar w:fldCharType="end"/>
      </w:r>
    </w:p>
    <w:p w14:paraId="2CDC789E" w14:textId="65AEEC45" w:rsidR="006C1B74" w:rsidRDefault="006C1B74">
      <w:pPr>
        <w:pStyle w:val="TOC4"/>
        <w:rPr>
          <w:rFonts w:asciiTheme="minorHAnsi" w:eastAsiaTheme="minorEastAsia" w:hAnsiTheme="minorHAnsi" w:cstheme="minorBidi"/>
          <w:kern w:val="2"/>
          <w:sz w:val="24"/>
          <w:szCs w:val="24"/>
          <w14:ligatures w14:val="standardContextual"/>
        </w:rPr>
      </w:pPr>
      <w:r>
        <w:t>5.7.2.9</w:t>
      </w:r>
      <w:r>
        <w:rPr>
          <w:rFonts w:asciiTheme="minorHAnsi" w:eastAsiaTheme="minorEastAsia" w:hAnsiTheme="minorHAnsi" w:cstheme="minorBidi"/>
          <w:kern w:val="2"/>
          <w:sz w:val="24"/>
          <w:szCs w:val="24"/>
          <w14:ligatures w14:val="standardContextual"/>
        </w:rPr>
        <w:tab/>
      </w:r>
      <w:r>
        <w:t>Wireline access network specific 5G QoS parameters</w:t>
      </w:r>
      <w:r>
        <w:tab/>
      </w:r>
      <w:r>
        <w:fldChar w:fldCharType="begin" w:fldLock="1"/>
      </w:r>
      <w:r>
        <w:instrText xml:space="preserve"> PAGEREF _Toc201157137 \h </w:instrText>
      </w:r>
      <w:r>
        <w:fldChar w:fldCharType="separate"/>
      </w:r>
      <w:r>
        <w:t>189</w:t>
      </w:r>
      <w:r>
        <w:fldChar w:fldCharType="end"/>
      </w:r>
    </w:p>
    <w:p w14:paraId="210C1713" w14:textId="0ADF71B8" w:rsidR="006C1B74" w:rsidRDefault="006C1B74">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5G QoS characteristics</w:t>
      </w:r>
      <w:r>
        <w:tab/>
      </w:r>
      <w:r>
        <w:fldChar w:fldCharType="begin" w:fldLock="1"/>
      </w:r>
      <w:r>
        <w:instrText xml:space="preserve"> PAGEREF _Toc201157138 \h </w:instrText>
      </w:r>
      <w:r>
        <w:fldChar w:fldCharType="separate"/>
      </w:r>
      <w:r>
        <w:t>189</w:t>
      </w:r>
      <w:r>
        <w:fldChar w:fldCharType="end"/>
      </w:r>
    </w:p>
    <w:p w14:paraId="67DDE6ED" w14:textId="4F0178E4" w:rsidR="006C1B74" w:rsidRDefault="006C1B74">
      <w:pPr>
        <w:pStyle w:val="TOC4"/>
        <w:rPr>
          <w:rFonts w:asciiTheme="minorHAnsi" w:eastAsiaTheme="minorEastAsia" w:hAnsiTheme="minorHAnsi" w:cstheme="minorBidi"/>
          <w:kern w:val="2"/>
          <w:sz w:val="24"/>
          <w:szCs w:val="24"/>
          <w14:ligatures w14:val="standardContextual"/>
        </w:rPr>
      </w:pPr>
      <w:r>
        <w:t>5.7.3.1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_Toc201157139 \h </w:instrText>
      </w:r>
      <w:r>
        <w:fldChar w:fldCharType="separate"/>
      </w:r>
      <w:r>
        <w:t>189</w:t>
      </w:r>
      <w:r>
        <w:fldChar w:fldCharType="end"/>
      </w:r>
    </w:p>
    <w:p w14:paraId="46F106B0" w14:textId="2053F237" w:rsidR="006C1B74" w:rsidRDefault="006C1B74">
      <w:pPr>
        <w:pStyle w:val="TOC4"/>
        <w:rPr>
          <w:rFonts w:asciiTheme="minorHAnsi" w:eastAsiaTheme="minorEastAsia" w:hAnsiTheme="minorHAnsi" w:cstheme="minorBidi"/>
          <w:kern w:val="2"/>
          <w:sz w:val="24"/>
          <w:szCs w:val="24"/>
          <w14:ligatures w14:val="standardContextual"/>
        </w:rPr>
      </w:pPr>
      <w:r>
        <w:t>5.7.3.2</w:t>
      </w:r>
      <w:r>
        <w:rPr>
          <w:rFonts w:asciiTheme="minorHAnsi" w:eastAsiaTheme="minorEastAsia" w:hAnsiTheme="minorHAnsi" w:cstheme="minorBidi"/>
          <w:kern w:val="2"/>
          <w:sz w:val="24"/>
          <w:szCs w:val="24"/>
          <w14:ligatures w14:val="standardContextual"/>
        </w:rPr>
        <w:tab/>
      </w:r>
      <w:r>
        <w:t>Resource Type</w:t>
      </w:r>
      <w:r>
        <w:tab/>
      </w:r>
      <w:r>
        <w:fldChar w:fldCharType="begin" w:fldLock="1"/>
      </w:r>
      <w:r>
        <w:instrText xml:space="preserve"> PAGEREF _Toc201157140 \h </w:instrText>
      </w:r>
      <w:r>
        <w:fldChar w:fldCharType="separate"/>
      </w:r>
      <w:r>
        <w:t>190</w:t>
      </w:r>
      <w:r>
        <w:fldChar w:fldCharType="end"/>
      </w:r>
    </w:p>
    <w:p w14:paraId="279A59B1" w14:textId="07989C18" w:rsidR="006C1B74" w:rsidRDefault="006C1B74">
      <w:pPr>
        <w:pStyle w:val="TOC4"/>
        <w:rPr>
          <w:rFonts w:asciiTheme="minorHAnsi" w:eastAsiaTheme="minorEastAsia" w:hAnsiTheme="minorHAnsi" w:cstheme="minorBidi"/>
          <w:kern w:val="2"/>
          <w:sz w:val="24"/>
          <w:szCs w:val="24"/>
          <w14:ligatures w14:val="standardContextual"/>
        </w:rPr>
      </w:pPr>
      <w:r>
        <w:t>5.7.3.3</w:t>
      </w:r>
      <w:r>
        <w:rPr>
          <w:rFonts w:asciiTheme="minorHAnsi" w:eastAsiaTheme="minorEastAsia" w:hAnsiTheme="minorHAnsi" w:cstheme="minorBidi"/>
          <w:kern w:val="2"/>
          <w:sz w:val="24"/>
          <w:szCs w:val="24"/>
          <w14:ligatures w14:val="standardContextual"/>
        </w:rPr>
        <w:tab/>
      </w:r>
      <w:r>
        <w:t>Priority Level</w:t>
      </w:r>
      <w:r>
        <w:tab/>
      </w:r>
      <w:r>
        <w:fldChar w:fldCharType="begin" w:fldLock="1"/>
      </w:r>
      <w:r>
        <w:instrText xml:space="preserve"> PAGEREF _Toc201157141 \h </w:instrText>
      </w:r>
      <w:r>
        <w:fldChar w:fldCharType="separate"/>
      </w:r>
      <w:r>
        <w:t>190</w:t>
      </w:r>
      <w:r>
        <w:fldChar w:fldCharType="end"/>
      </w:r>
    </w:p>
    <w:p w14:paraId="676FA747" w14:textId="4158EFB3" w:rsidR="006C1B74" w:rsidRDefault="006C1B74">
      <w:pPr>
        <w:pStyle w:val="TOC4"/>
        <w:rPr>
          <w:rFonts w:asciiTheme="minorHAnsi" w:eastAsiaTheme="minorEastAsia" w:hAnsiTheme="minorHAnsi" w:cstheme="minorBidi"/>
          <w:kern w:val="2"/>
          <w:sz w:val="24"/>
          <w:szCs w:val="24"/>
          <w14:ligatures w14:val="standardContextual"/>
        </w:rPr>
      </w:pPr>
      <w:r>
        <w:t>5.7.3.4</w:t>
      </w:r>
      <w:r>
        <w:rPr>
          <w:rFonts w:asciiTheme="minorHAnsi" w:eastAsiaTheme="minorEastAsia" w:hAnsiTheme="minorHAnsi" w:cstheme="minorBidi"/>
          <w:kern w:val="2"/>
          <w:sz w:val="24"/>
          <w:szCs w:val="24"/>
          <w14:ligatures w14:val="standardContextual"/>
        </w:rPr>
        <w:tab/>
      </w:r>
      <w:r>
        <w:t>Packet Delay Budget</w:t>
      </w:r>
      <w:r>
        <w:tab/>
      </w:r>
      <w:r>
        <w:fldChar w:fldCharType="begin" w:fldLock="1"/>
      </w:r>
      <w:r>
        <w:instrText xml:space="preserve"> PAGEREF _Toc201157142 \h </w:instrText>
      </w:r>
      <w:r>
        <w:fldChar w:fldCharType="separate"/>
      </w:r>
      <w:r>
        <w:t>190</w:t>
      </w:r>
      <w:r>
        <w:fldChar w:fldCharType="end"/>
      </w:r>
    </w:p>
    <w:p w14:paraId="41712FAD" w14:textId="7CC4F2F1" w:rsidR="006C1B74" w:rsidRDefault="006C1B74">
      <w:pPr>
        <w:pStyle w:val="TOC4"/>
        <w:rPr>
          <w:rFonts w:asciiTheme="minorHAnsi" w:eastAsiaTheme="minorEastAsia" w:hAnsiTheme="minorHAnsi" w:cstheme="minorBidi"/>
          <w:kern w:val="2"/>
          <w:sz w:val="24"/>
          <w:szCs w:val="24"/>
          <w14:ligatures w14:val="standardContextual"/>
        </w:rPr>
      </w:pPr>
      <w:r>
        <w:t>5.7.3.5</w:t>
      </w:r>
      <w:r>
        <w:rPr>
          <w:rFonts w:asciiTheme="minorHAnsi" w:eastAsiaTheme="minorEastAsia" w:hAnsiTheme="minorHAnsi" w:cstheme="minorBidi"/>
          <w:kern w:val="2"/>
          <w:sz w:val="24"/>
          <w:szCs w:val="24"/>
          <w14:ligatures w14:val="standardContextual"/>
        </w:rPr>
        <w:tab/>
      </w:r>
      <w:r>
        <w:t>Packet Error Rate</w:t>
      </w:r>
      <w:r>
        <w:tab/>
      </w:r>
      <w:r>
        <w:fldChar w:fldCharType="begin" w:fldLock="1"/>
      </w:r>
      <w:r>
        <w:instrText xml:space="preserve"> PAGEREF _Toc201157143 \h </w:instrText>
      </w:r>
      <w:r>
        <w:fldChar w:fldCharType="separate"/>
      </w:r>
      <w:r>
        <w:t>191</w:t>
      </w:r>
      <w:r>
        <w:fldChar w:fldCharType="end"/>
      </w:r>
    </w:p>
    <w:p w14:paraId="2E3ED45E" w14:textId="5504690D" w:rsidR="006C1B74" w:rsidRDefault="006C1B74">
      <w:pPr>
        <w:pStyle w:val="TOC4"/>
        <w:rPr>
          <w:rFonts w:asciiTheme="minorHAnsi" w:eastAsiaTheme="minorEastAsia" w:hAnsiTheme="minorHAnsi" w:cstheme="minorBidi"/>
          <w:kern w:val="2"/>
          <w:sz w:val="24"/>
          <w:szCs w:val="24"/>
          <w14:ligatures w14:val="standardContextual"/>
        </w:rPr>
      </w:pPr>
      <w:r>
        <w:t>5.7.3.6</w:t>
      </w:r>
      <w:r>
        <w:rPr>
          <w:rFonts w:asciiTheme="minorHAnsi" w:eastAsiaTheme="minorEastAsia" w:hAnsiTheme="minorHAnsi" w:cstheme="minorBidi"/>
          <w:kern w:val="2"/>
          <w:sz w:val="24"/>
          <w:szCs w:val="24"/>
          <w14:ligatures w14:val="standardContextual"/>
        </w:rPr>
        <w:tab/>
      </w:r>
      <w:r>
        <w:t>Averaging Window</w:t>
      </w:r>
      <w:r>
        <w:tab/>
      </w:r>
      <w:r>
        <w:fldChar w:fldCharType="begin" w:fldLock="1"/>
      </w:r>
      <w:r>
        <w:instrText xml:space="preserve"> PAGEREF _Toc201157144 \h </w:instrText>
      </w:r>
      <w:r>
        <w:fldChar w:fldCharType="separate"/>
      </w:r>
      <w:r>
        <w:t>191</w:t>
      </w:r>
      <w:r>
        <w:fldChar w:fldCharType="end"/>
      </w:r>
    </w:p>
    <w:p w14:paraId="3B65EFCB" w14:textId="0E730DD4" w:rsidR="006C1B74" w:rsidRDefault="006C1B74">
      <w:pPr>
        <w:pStyle w:val="TOC4"/>
        <w:rPr>
          <w:rFonts w:asciiTheme="minorHAnsi" w:eastAsiaTheme="minorEastAsia" w:hAnsiTheme="minorHAnsi" w:cstheme="minorBidi"/>
          <w:kern w:val="2"/>
          <w:sz w:val="24"/>
          <w:szCs w:val="24"/>
          <w14:ligatures w14:val="standardContextual"/>
        </w:rPr>
      </w:pPr>
      <w:r>
        <w:t>5.7.3.7</w:t>
      </w:r>
      <w:r>
        <w:rPr>
          <w:rFonts w:asciiTheme="minorHAnsi" w:eastAsiaTheme="minorEastAsia" w:hAnsiTheme="minorHAnsi" w:cstheme="minorBidi"/>
          <w:kern w:val="2"/>
          <w:sz w:val="24"/>
          <w:szCs w:val="24"/>
          <w14:ligatures w14:val="standardContextual"/>
        </w:rPr>
        <w:tab/>
      </w:r>
      <w:r>
        <w:t>Maximum Data Burst Volume</w:t>
      </w:r>
      <w:r>
        <w:tab/>
      </w:r>
      <w:r>
        <w:fldChar w:fldCharType="begin" w:fldLock="1"/>
      </w:r>
      <w:r>
        <w:instrText xml:space="preserve"> PAGEREF _Toc201157145 \h </w:instrText>
      </w:r>
      <w:r>
        <w:fldChar w:fldCharType="separate"/>
      </w:r>
      <w:r>
        <w:t>192</w:t>
      </w:r>
      <w:r>
        <w:fldChar w:fldCharType="end"/>
      </w:r>
    </w:p>
    <w:p w14:paraId="50AD09D3" w14:textId="16600608" w:rsidR="006C1B74" w:rsidRDefault="006C1B74">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Standardized 5QI to QoS characteristics mapping</w:t>
      </w:r>
      <w:r>
        <w:tab/>
      </w:r>
      <w:r>
        <w:fldChar w:fldCharType="begin" w:fldLock="1"/>
      </w:r>
      <w:r>
        <w:instrText xml:space="preserve"> PAGEREF _Toc201157146 \h </w:instrText>
      </w:r>
      <w:r>
        <w:fldChar w:fldCharType="separate"/>
      </w:r>
      <w:r>
        <w:t>192</w:t>
      </w:r>
      <w:r>
        <w:fldChar w:fldCharType="end"/>
      </w:r>
    </w:p>
    <w:p w14:paraId="195EBDA5" w14:textId="7259F6F3" w:rsidR="006C1B74" w:rsidRDefault="006C1B74">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Reflective QoS</w:t>
      </w:r>
      <w:r>
        <w:tab/>
      </w:r>
      <w:r>
        <w:fldChar w:fldCharType="begin" w:fldLock="1"/>
      </w:r>
      <w:r>
        <w:instrText xml:space="preserve"> PAGEREF _Toc201157147 \h </w:instrText>
      </w:r>
      <w:r>
        <w:fldChar w:fldCharType="separate"/>
      </w:r>
      <w:r>
        <w:t>197</w:t>
      </w:r>
      <w:r>
        <w:fldChar w:fldCharType="end"/>
      </w:r>
    </w:p>
    <w:p w14:paraId="629E1C2F" w14:textId="63E85C38" w:rsidR="006C1B74" w:rsidRDefault="006C1B74">
      <w:pPr>
        <w:pStyle w:val="TOC4"/>
        <w:rPr>
          <w:rFonts w:asciiTheme="minorHAnsi" w:eastAsiaTheme="minorEastAsia" w:hAnsiTheme="minorHAnsi" w:cstheme="minorBidi"/>
          <w:kern w:val="2"/>
          <w:sz w:val="24"/>
          <w:szCs w:val="24"/>
          <w14:ligatures w14:val="standardContextual"/>
        </w:rPr>
      </w:pPr>
      <w:r>
        <w:t>5.7.5.1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_Toc201157148 \h </w:instrText>
      </w:r>
      <w:r>
        <w:fldChar w:fldCharType="separate"/>
      </w:r>
      <w:r>
        <w:t>197</w:t>
      </w:r>
      <w:r>
        <w:fldChar w:fldCharType="end"/>
      </w:r>
    </w:p>
    <w:p w14:paraId="66AC2E95" w14:textId="3483B318" w:rsidR="006C1B74" w:rsidRDefault="006C1B74">
      <w:pPr>
        <w:pStyle w:val="TOC4"/>
        <w:rPr>
          <w:rFonts w:asciiTheme="minorHAnsi" w:eastAsiaTheme="minorEastAsia" w:hAnsiTheme="minorHAnsi" w:cstheme="minorBidi"/>
          <w:kern w:val="2"/>
          <w:sz w:val="24"/>
          <w:szCs w:val="24"/>
          <w14:ligatures w14:val="standardContextual"/>
        </w:rPr>
      </w:pPr>
      <w:r>
        <w:t>5.7.5.2</w:t>
      </w:r>
      <w:r>
        <w:rPr>
          <w:rFonts w:asciiTheme="minorHAnsi" w:eastAsiaTheme="minorEastAsia" w:hAnsiTheme="minorHAnsi" w:cstheme="minorBidi"/>
          <w:kern w:val="2"/>
          <w:sz w:val="24"/>
          <w:szCs w:val="24"/>
          <w14:ligatures w14:val="standardContextual"/>
        </w:rPr>
        <w:tab/>
      </w:r>
      <w:r>
        <w:t xml:space="preserve">UE Derived QoS </w:t>
      </w:r>
      <w:r>
        <w:rPr>
          <w:lang w:eastAsia="zh-CN"/>
        </w:rPr>
        <w:t>R</w:t>
      </w:r>
      <w:r>
        <w:t>ule</w:t>
      </w:r>
      <w:r>
        <w:tab/>
      </w:r>
      <w:r>
        <w:fldChar w:fldCharType="begin" w:fldLock="1"/>
      </w:r>
      <w:r>
        <w:instrText xml:space="preserve"> PAGEREF _Toc201157149 \h </w:instrText>
      </w:r>
      <w:r>
        <w:fldChar w:fldCharType="separate"/>
      </w:r>
      <w:r>
        <w:t>198</w:t>
      </w:r>
      <w:r>
        <w:fldChar w:fldCharType="end"/>
      </w:r>
    </w:p>
    <w:p w14:paraId="7683FF77" w14:textId="6FE40468" w:rsidR="006C1B74" w:rsidRDefault="006C1B74">
      <w:pPr>
        <w:pStyle w:val="TOC4"/>
        <w:rPr>
          <w:rFonts w:asciiTheme="minorHAnsi" w:eastAsiaTheme="minorEastAsia" w:hAnsiTheme="minorHAnsi" w:cstheme="minorBidi"/>
          <w:kern w:val="2"/>
          <w:sz w:val="24"/>
          <w:szCs w:val="24"/>
          <w14:ligatures w14:val="standardContextual"/>
        </w:rPr>
      </w:pPr>
      <w:r>
        <w:t>5.7.5.3</w:t>
      </w:r>
      <w:r>
        <w:rPr>
          <w:rFonts w:asciiTheme="minorHAnsi" w:eastAsiaTheme="minorEastAsia" w:hAnsiTheme="minorHAnsi" w:cstheme="minorBidi"/>
          <w:kern w:val="2"/>
          <w:sz w:val="24"/>
          <w:szCs w:val="24"/>
          <w14:ligatures w14:val="standardContextual"/>
        </w:rPr>
        <w:tab/>
      </w:r>
      <w:r>
        <w:t>Reflective QoS Control</w:t>
      </w:r>
      <w:r>
        <w:tab/>
      </w:r>
      <w:r>
        <w:fldChar w:fldCharType="begin" w:fldLock="1"/>
      </w:r>
      <w:r>
        <w:instrText xml:space="preserve"> PAGEREF _Toc201157150 \h </w:instrText>
      </w:r>
      <w:r>
        <w:fldChar w:fldCharType="separate"/>
      </w:r>
      <w:r>
        <w:t>199</w:t>
      </w:r>
      <w:r>
        <w:fldChar w:fldCharType="end"/>
      </w:r>
    </w:p>
    <w:p w14:paraId="40EC634E" w14:textId="78F202DF" w:rsidR="006C1B74" w:rsidRDefault="006C1B74">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Packet Filter Set</w:t>
      </w:r>
      <w:r>
        <w:tab/>
      </w:r>
      <w:r>
        <w:fldChar w:fldCharType="begin" w:fldLock="1"/>
      </w:r>
      <w:r>
        <w:instrText xml:space="preserve"> PAGEREF _Toc201157151 \h </w:instrText>
      </w:r>
      <w:r>
        <w:fldChar w:fldCharType="separate"/>
      </w:r>
      <w:r>
        <w:t>200</w:t>
      </w:r>
      <w:r>
        <w:fldChar w:fldCharType="end"/>
      </w:r>
    </w:p>
    <w:p w14:paraId="47AA708A" w14:textId="4B293B60" w:rsidR="006C1B74" w:rsidRDefault="006C1B74">
      <w:pPr>
        <w:pStyle w:val="TOC4"/>
        <w:rPr>
          <w:rFonts w:asciiTheme="minorHAnsi" w:eastAsiaTheme="minorEastAsia" w:hAnsiTheme="minorHAnsi" w:cstheme="minorBidi"/>
          <w:kern w:val="2"/>
          <w:sz w:val="24"/>
          <w:szCs w:val="24"/>
          <w14:ligatures w14:val="standardContextual"/>
        </w:rPr>
      </w:pPr>
      <w:r>
        <w:t>5.7.6.1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_Toc201157152 \h </w:instrText>
      </w:r>
      <w:r>
        <w:fldChar w:fldCharType="separate"/>
      </w:r>
      <w:r>
        <w:t>200</w:t>
      </w:r>
      <w:r>
        <w:fldChar w:fldCharType="end"/>
      </w:r>
    </w:p>
    <w:p w14:paraId="70AC49BA" w14:textId="7E5E301D" w:rsidR="006C1B74" w:rsidRDefault="006C1B74">
      <w:pPr>
        <w:pStyle w:val="TOC4"/>
        <w:rPr>
          <w:rFonts w:asciiTheme="minorHAnsi" w:eastAsiaTheme="minorEastAsia" w:hAnsiTheme="minorHAnsi" w:cstheme="minorBidi"/>
          <w:kern w:val="2"/>
          <w:sz w:val="24"/>
          <w:szCs w:val="24"/>
          <w14:ligatures w14:val="standardContextual"/>
        </w:rPr>
      </w:pPr>
      <w:r>
        <w:t>5.7.6.2</w:t>
      </w:r>
      <w:r>
        <w:rPr>
          <w:rFonts w:asciiTheme="minorHAnsi" w:eastAsiaTheme="minorEastAsia" w:hAnsiTheme="minorHAnsi" w:cstheme="minorBidi"/>
          <w:kern w:val="2"/>
          <w:sz w:val="24"/>
          <w:szCs w:val="24"/>
          <w14:ligatures w14:val="standardContextual"/>
        </w:rPr>
        <w:tab/>
      </w:r>
      <w:r>
        <w:t>IP Packet Filter Set</w:t>
      </w:r>
      <w:r>
        <w:tab/>
      </w:r>
      <w:r>
        <w:fldChar w:fldCharType="begin" w:fldLock="1"/>
      </w:r>
      <w:r>
        <w:instrText xml:space="preserve"> PAGEREF _Toc201157153 \h </w:instrText>
      </w:r>
      <w:r>
        <w:fldChar w:fldCharType="separate"/>
      </w:r>
      <w:r>
        <w:t>200</w:t>
      </w:r>
      <w:r>
        <w:fldChar w:fldCharType="end"/>
      </w:r>
    </w:p>
    <w:p w14:paraId="1C955E7B" w14:textId="0C4332DD" w:rsidR="006C1B74" w:rsidRDefault="006C1B74">
      <w:pPr>
        <w:pStyle w:val="TOC4"/>
        <w:rPr>
          <w:rFonts w:asciiTheme="minorHAnsi" w:eastAsiaTheme="minorEastAsia" w:hAnsiTheme="minorHAnsi" w:cstheme="minorBidi"/>
          <w:kern w:val="2"/>
          <w:sz w:val="24"/>
          <w:szCs w:val="24"/>
          <w14:ligatures w14:val="standardContextual"/>
        </w:rPr>
      </w:pPr>
      <w:r>
        <w:t>5.7.6.3</w:t>
      </w:r>
      <w:r>
        <w:rPr>
          <w:rFonts w:asciiTheme="minorHAnsi" w:eastAsiaTheme="minorEastAsia" w:hAnsiTheme="minorHAnsi" w:cstheme="minorBidi"/>
          <w:kern w:val="2"/>
          <w:sz w:val="24"/>
          <w:szCs w:val="24"/>
          <w14:ligatures w14:val="standardContextual"/>
        </w:rPr>
        <w:tab/>
      </w:r>
      <w:r>
        <w:t>Ethernet Packet Filter Set</w:t>
      </w:r>
      <w:r>
        <w:tab/>
      </w:r>
      <w:r>
        <w:fldChar w:fldCharType="begin" w:fldLock="1"/>
      </w:r>
      <w:r>
        <w:instrText xml:space="preserve"> PAGEREF _Toc201157154 \h </w:instrText>
      </w:r>
      <w:r>
        <w:fldChar w:fldCharType="separate"/>
      </w:r>
      <w:r>
        <w:t>201</w:t>
      </w:r>
      <w:r>
        <w:fldChar w:fldCharType="end"/>
      </w:r>
    </w:p>
    <w:p w14:paraId="29565C8B" w14:textId="36834610" w:rsidR="006C1B74" w:rsidRDefault="006C1B74">
      <w:pPr>
        <w:pStyle w:val="TOC3"/>
        <w:rPr>
          <w:rFonts w:asciiTheme="minorHAnsi" w:eastAsiaTheme="minorEastAsia" w:hAnsiTheme="minorHAnsi" w:cstheme="minorBidi"/>
          <w:kern w:val="2"/>
          <w:sz w:val="24"/>
          <w:szCs w:val="24"/>
          <w14:ligatures w14:val="standardContextual"/>
        </w:rPr>
      </w:pPr>
      <w:r>
        <w:rPr>
          <w:lang w:eastAsia="ko-KR"/>
        </w:rPr>
        <w:t>5.7.7</w:t>
      </w:r>
      <w:r>
        <w:rPr>
          <w:rFonts w:asciiTheme="minorHAnsi" w:eastAsiaTheme="minorEastAsia" w:hAnsiTheme="minorHAnsi" w:cstheme="minorBidi"/>
          <w:kern w:val="2"/>
          <w:sz w:val="24"/>
          <w:szCs w:val="24"/>
          <w14:ligatures w14:val="standardContextual"/>
        </w:rPr>
        <w:tab/>
      </w:r>
      <w:r>
        <w:rPr>
          <w:lang w:eastAsia="ko-KR"/>
        </w:rPr>
        <w:t>PDU Set QoS Parameters</w:t>
      </w:r>
      <w:r>
        <w:tab/>
      </w:r>
      <w:r>
        <w:fldChar w:fldCharType="begin" w:fldLock="1"/>
      </w:r>
      <w:r>
        <w:instrText xml:space="preserve"> PAGEREF _Toc201157155 \h </w:instrText>
      </w:r>
      <w:r>
        <w:fldChar w:fldCharType="separate"/>
      </w:r>
      <w:r>
        <w:t>201</w:t>
      </w:r>
      <w:r>
        <w:fldChar w:fldCharType="end"/>
      </w:r>
    </w:p>
    <w:p w14:paraId="7128FB63" w14:textId="5B16B955"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5.7.7.1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_Toc201157156 \h </w:instrText>
      </w:r>
      <w:r>
        <w:fldChar w:fldCharType="separate"/>
      </w:r>
      <w:r>
        <w:t>201</w:t>
      </w:r>
      <w:r>
        <w:fldChar w:fldCharType="end"/>
      </w:r>
    </w:p>
    <w:p w14:paraId="4C40FC53" w14:textId="20B07A07"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5.7.7.2</w:t>
      </w:r>
      <w:r>
        <w:rPr>
          <w:rFonts w:asciiTheme="minorHAnsi" w:eastAsiaTheme="minorEastAsia" w:hAnsiTheme="minorHAnsi" w:cstheme="minorBidi"/>
          <w:kern w:val="2"/>
          <w:sz w:val="24"/>
          <w:szCs w:val="24"/>
          <w14:ligatures w14:val="standardContextual"/>
        </w:rPr>
        <w:tab/>
      </w:r>
      <w:r>
        <w:rPr>
          <w:lang w:eastAsia="ko-KR"/>
        </w:rPr>
        <w:t>PDU Set Delay Budget</w:t>
      </w:r>
      <w:r>
        <w:tab/>
      </w:r>
      <w:r>
        <w:fldChar w:fldCharType="begin" w:fldLock="1"/>
      </w:r>
      <w:r>
        <w:instrText xml:space="preserve"> PAGEREF _Toc201157157 \h </w:instrText>
      </w:r>
      <w:r>
        <w:fldChar w:fldCharType="separate"/>
      </w:r>
      <w:r>
        <w:t>201</w:t>
      </w:r>
      <w:r>
        <w:fldChar w:fldCharType="end"/>
      </w:r>
    </w:p>
    <w:p w14:paraId="741CE3A0" w14:textId="1FC95F1E"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5.7.7.3</w:t>
      </w:r>
      <w:r>
        <w:rPr>
          <w:rFonts w:asciiTheme="minorHAnsi" w:eastAsiaTheme="minorEastAsia" w:hAnsiTheme="minorHAnsi" w:cstheme="minorBidi"/>
          <w:kern w:val="2"/>
          <w:sz w:val="24"/>
          <w:szCs w:val="24"/>
          <w14:ligatures w14:val="standardContextual"/>
        </w:rPr>
        <w:tab/>
      </w:r>
      <w:r>
        <w:rPr>
          <w:lang w:eastAsia="ko-KR"/>
        </w:rPr>
        <w:t>PDU Set Error Rate</w:t>
      </w:r>
      <w:r>
        <w:tab/>
      </w:r>
      <w:r>
        <w:fldChar w:fldCharType="begin" w:fldLock="1"/>
      </w:r>
      <w:r>
        <w:instrText xml:space="preserve"> PAGEREF _Toc201157158 \h </w:instrText>
      </w:r>
      <w:r>
        <w:fldChar w:fldCharType="separate"/>
      </w:r>
      <w:r>
        <w:t>202</w:t>
      </w:r>
      <w:r>
        <w:fldChar w:fldCharType="end"/>
      </w:r>
    </w:p>
    <w:p w14:paraId="13556B69" w14:textId="7D790AAB"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5.7.7.4</w:t>
      </w:r>
      <w:r>
        <w:rPr>
          <w:rFonts w:asciiTheme="minorHAnsi" w:eastAsiaTheme="minorEastAsia" w:hAnsiTheme="minorHAnsi" w:cstheme="minorBidi"/>
          <w:kern w:val="2"/>
          <w:sz w:val="24"/>
          <w:szCs w:val="24"/>
          <w14:ligatures w14:val="standardContextual"/>
        </w:rPr>
        <w:tab/>
      </w:r>
      <w:r>
        <w:rPr>
          <w:lang w:eastAsia="ko-KR"/>
        </w:rPr>
        <w:t>PDU Set Integrated Handling Information</w:t>
      </w:r>
      <w:r>
        <w:tab/>
      </w:r>
      <w:r>
        <w:fldChar w:fldCharType="begin" w:fldLock="1"/>
      </w:r>
      <w:r>
        <w:instrText xml:space="preserve"> PAGEREF _Toc201157159 \h </w:instrText>
      </w:r>
      <w:r>
        <w:fldChar w:fldCharType="separate"/>
      </w:r>
      <w:r>
        <w:t>202</w:t>
      </w:r>
      <w:r>
        <w:fldChar w:fldCharType="end"/>
      </w:r>
    </w:p>
    <w:p w14:paraId="4F065F67" w14:textId="379174C4" w:rsidR="006C1B74" w:rsidRDefault="006C1B74">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User Plane Management</w:t>
      </w:r>
      <w:r>
        <w:tab/>
      </w:r>
      <w:r>
        <w:fldChar w:fldCharType="begin" w:fldLock="1"/>
      </w:r>
      <w:r>
        <w:instrText xml:space="preserve"> PAGEREF _Toc201157160 \h </w:instrText>
      </w:r>
      <w:r>
        <w:fldChar w:fldCharType="separate"/>
      </w:r>
      <w:r>
        <w:t>202</w:t>
      </w:r>
      <w:r>
        <w:fldChar w:fldCharType="end"/>
      </w:r>
    </w:p>
    <w:p w14:paraId="4286DE77" w14:textId="1C4FEA6A" w:rsidR="006C1B74" w:rsidRDefault="006C1B74">
      <w:pPr>
        <w:pStyle w:val="TOC3"/>
        <w:rPr>
          <w:rFonts w:asciiTheme="minorHAnsi" w:eastAsiaTheme="minorEastAsia" w:hAnsiTheme="minorHAnsi" w:cstheme="minorBidi"/>
          <w:kern w:val="2"/>
          <w:sz w:val="24"/>
          <w:szCs w:val="24"/>
          <w14:ligatures w14:val="standardContextual"/>
        </w:rPr>
      </w:pPr>
      <w:r>
        <w:rPr>
          <w:lang w:eastAsia="ko-KR"/>
        </w:rPr>
        <w:t>5.8.1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_Toc201157161 \h </w:instrText>
      </w:r>
      <w:r>
        <w:fldChar w:fldCharType="separate"/>
      </w:r>
      <w:r>
        <w:t>202</w:t>
      </w:r>
      <w:r>
        <w:fldChar w:fldCharType="end"/>
      </w:r>
    </w:p>
    <w:p w14:paraId="4B115239" w14:textId="1622553B" w:rsidR="006C1B74" w:rsidRDefault="006C1B74">
      <w:pPr>
        <w:pStyle w:val="TOC3"/>
        <w:rPr>
          <w:rFonts w:asciiTheme="minorHAnsi" w:eastAsiaTheme="minorEastAsia" w:hAnsiTheme="minorHAnsi" w:cstheme="minorBidi"/>
          <w:kern w:val="2"/>
          <w:sz w:val="24"/>
          <w:szCs w:val="24"/>
          <w14:ligatures w14:val="standardContextual"/>
        </w:rPr>
      </w:pPr>
      <w:r>
        <w:rPr>
          <w:lang w:eastAsia="ko-KR"/>
        </w:rPr>
        <w:t>5.8.2</w:t>
      </w:r>
      <w:r>
        <w:rPr>
          <w:rFonts w:asciiTheme="minorHAnsi" w:eastAsiaTheme="minorEastAsia" w:hAnsiTheme="minorHAnsi" w:cstheme="minorBidi"/>
          <w:kern w:val="2"/>
          <w:sz w:val="24"/>
          <w:szCs w:val="24"/>
          <w14:ligatures w14:val="standardContextual"/>
        </w:rPr>
        <w:tab/>
      </w:r>
      <w:r>
        <w:rPr>
          <w:lang w:eastAsia="ko-KR"/>
        </w:rPr>
        <w:t>Functional Description</w:t>
      </w:r>
      <w:r>
        <w:tab/>
      </w:r>
      <w:r>
        <w:fldChar w:fldCharType="begin" w:fldLock="1"/>
      </w:r>
      <w:r>
        <w:instrText xml:space="preserve"> PAGEREF _Toc201157162 \h </w:instrText>
      </w:r>
      <w:r>
        <w:fldChar w:fldCharType="separate"/>
      </w:r>
      <w:r>
        <w:t>203</w:t>
      </w:r>
      <w:r>
        <w:fldChar w:fldCharType="end"/>
      </w:r>
    </w:p>
    <w:p w14:paraId="728C2A1F" w14:textId="0DA0A434"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5.8.2.1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_Toc201157163 \h </w:instrText>
      </w:r>
      <w:r>
        <w:fldChar w:fldCharType="separate"/>
      </w:r>
      <w:r>
        <w:t>203</w:t>
      </w:r>
      <w:r>
        <w:fldChar w:fldCharType="end"/>
      </w:r>
    </w:p>
    <w:p w14:paraId="0638EA2A" w14:textId="23616B81"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5.8.2.2</w:t>
      </w:r>
      <w:r>
        <w:rPr>
          <w:rFonts w:asciiTheme="minorHAnsi" w:eastAsiaTheme="minorEastAsia" w:hAnsiTheme="minorHAnsi" w:cstheme="minorBidi"/>
          <w:kern w:val="2"/>
          <w:sz w:val="24"/>
          <w:szCs w:val="24"/>
          <w14:ligatures w14:val="standardContextual"/>
        </w:rPr>
        <w:tab/>
      </w:r>
      <w:r>
        <w:rPr>
          <w:lang w:eastAsia="ko-KR"/>
        </w:rPr>
        <w:t>UE IP Address Management</w:t>
      </w:r>
      <w:r>
        <w:tab/>
      </w:r>
      <w:r>
        <w:fldChar w:fldCharType="begin" w:fldLock="1"/>
      </w:r>
      <w:r>
        <w:instrText xml:space="preserve"> PAGEREF _Toc201157164 \h </w:instrText>
      </w:r>
      <w:r>
        <w:fldChar w:fldCharType="separate"/>
      </w:r>
      <w:r>
        <w:t>203</w:t>
      </w:r>
      <w:r>
        <w:fldChar w:fldCharType="end"/>
      </w:r>
    </w:p>
    <w:p w14:paraId="507C0D52" w14:textId="4C6A1E4A" w:rsidR="006C1B74" w:rsidRDefault="006C1B74">
      <w:pPr>
        <w:pStyle w:val="TOC5"/>
        <w:rPr>
          <w:rFonts w:asciiTheme="minorHAnsi" w:eastAsiaTheme="minorEastAsia" w:hAnsiTheme="minorHAnsi" w:cstheme="minorBidi"/>
          <w:kern w:val="2"/>
          <w:sz w:val="24"/>
          <w:szCs w:val="24"/>
          <w14:ligatures w14:val="standardContextual"/>
        </w:rPr>
      </w:pPr>
      <w:r>
        <w:rPr>
          <w:lang w:eastAsia="ko-KR"/>
        </w:rPr>
        <w:t>5.8.2.2.1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_Toc201157165 \h </w:instrText>
      </w:r>
      <w:r>
        <w:fldChar w:fldCharType="separate"/>
      </w:r>
      <w:r>
        <w:t>203</w:t>
      </w:r>
      <w:r>
        <w:fldChar w:fldCharType="end"/>
      </w:r>
    </w:p>
    <w:p w14:paraId="4217E83E" w14:textId="3A1EC38F" w:rsidR="006C1B74" w:rsidRDefault="006C1B74">
      <w:pPr>
        <w:pStyle w:val="TOC5"/>
        <w:rPr>
          <w:rFonts w:asciiTheme="minorHAnsi" w:eastAsiaTheme="minorEastAsia" w:hAnsiTheme="minorHAnsi" w:cstheme="minorBidi"/>
          <w:kern w:val="2"/>
          <w:sz w:val="24"/>
          <w:szCs w:val="24"/>
          <w14:ligatures w14:val="standardContextual"/>
        </w:rPr>
      </w:pPr>
      <w:r>
        <w:rPr>
          <w:lang w:eastAsia="ko-KR"/>
        </w:rPr>
        <w:t>5.8.2.2.2</w:t>
      </w:r>
      <w:r>
        <w:rPr>
          <w:rFonts w:asciiTheme="minorHAnsi" w:eastAsiaTheme="minorEastAsia" w:hAnsiTheme="minorHAnsi" w:cstheme="minorBidi"/>
          <w:kern w:val="2"/>
          <w:sz w:val="24"/>
          <w:szCs w:val="24"/>
          <w14:ligatures w14:val="standardContextual"/>
        </w:rPr>
        <w:tab/>
      </w:r>
      <w:r>
        <w:rPr>
          <w:lang w:eastAsia="ko-KR"/>
        </w:rPr>
        <w:t>Routing rules configuration</w:t>
      </w:r>
      <w:r>
        <w:tab/>
      </w:r>
      <w:r>
        <w:fldChar w:fldCharType="begin" w:fldLock="1"/>
      </w:r>
      <w:r>
        <w:instrText xml:space="preserve"> PAGEREF _Toc201157166 \h </w:instrText>
      </w:r>
      <w:r>
        <w:fldChar w:fldCharType="separate"/>
      </w:r>
      <w:r>
        <w:t>205</w:t>
      </w:r>
      <w:r>
        <w:fldChar w:fldCharType="end"/>
      </w:r>
    </w:p>
    <w:p w14:paraId="2A356A1E" w14:textId="02496288" w:rsidR="006C1B74" w:rsidRDefault="006C1B74">
      <w:pPr>
        <w:pStyle w:val="TOC5"/>
        <w:rPr>
          <w:rFonts w:asciiTheme="minorHAnsi" w:eastAsiaTheme="minorEastAsia" w:hAnsiTheme="minorHAnsi" w:cstheme="minorBidi"/>
          <w:kern w:val="2"/>
          <w:sz w:val="24"/>
          <w:szCs w:val="24"/>
          <w14:ligatures w14:val="standardContextual"/>
        </w:rPr>
      </w:pPr>
      <w:r w:rsidRPr="00191652">
        <w:rPr>
          <w:rFonts w:eastAsia="SimSun"/>
          <w:lang w:eastAsia="zh-CN"/>
        </w:rPr>
        <w:t>5.8.2.2.3</w:t>
      </w:r>
      <w:r>
        <w:rPr>
          <w:rFonts w:asciiTheme="minorHAnsi" w:eastAsiaTheme="minorEastAsia" w:hAnsiTheme="minorHAnsi" w:cstheme="minorBidi"/>
          <w:kern w:val="2"/>
          <w:sz w:val="24"/>
          <w:szCs w:val="24"/>
          <w14:ligatures w14:val="standardContextual"/>
        </w:rPr>
        <w:tab/>
      </w:r>
      <w:r w:rsidRPr="00191652">
        <w:rPr>
          <w:rFonts w:eastAsia="SimSun"/>
          <w:lang w:eastAsia="zh-CN"/>
        </w:rPr>
        <w:t>The procedure of Stateless IPv6 Address Autoconfiguration</w:t>
      </w:r>
      <w:r>
        <w:tab/>
      </w:r>
      <w:r>
        <w:fldChar w:fldCharType="begin" w:fldLock="1"/>
      </w:r>
      <w:r>
        <w:instrText xml:space="preserve"> PAGEREF _Toc201157167 \h </w:instrText>
      </w:r>
      <w:r>
        <w:fldChar w:fldCharType="separate"/>
      </w:r>
      <w:r>
        <w:t>206</w:t>
      </w:r>
      <w:r>
        <w:fldChar w:fldCharType="end"/>
      </w:r>
    </w:p>
    <w:p w14:paraId="5E34C156" w14:textId="671BAB96" w:rsidR="006C1B74" w:rsidRDefault="006C1B74">
      <w:pPr>
        <w:pStyle w:val="TOC5"/>
        <w:rPr>
          <w:rFonts w:asciiTheme="minorHAnsi" w:eastAsiaTheme="minorEastAsia" w:hAnsiTheme="minorHAnsi" w:cstheme="minorBidi"/>
          <w:kern w:val="2"/>
          <w:sz w:val="24"/>
          <w:szCs w:val="24"/>
          <w14:ligatures w14:val="standardContextual"/>
        </w:rPr>
      </w:pPr>
      <w:r w:rsidRPr="00191652">
        <w:rPr>
          <w:rFonts w:eastAsia="SimSun"/>
          <w:lang w:eastAsia="zh-CN"/>
        </w:rPr>
        <w:t>5.8.2.2.4</w:t>
      </w:r>
      <w:r>
        <w:rPr>
          <w:rFonts w:asciiTheme="minorHAnsi" w:eastAsiaTheme="minorEastAsia" w:hAnsiTheme="minorHAnsi" w:cstheme="minorBidi"/>
          <w:kern w:val="2"/>
          <w:sz w:val="24"/>
          <w:szCs w:val="24"/>
          <w14:ligatures w14:val="standardContextual"/>
        </w:rPr>
        <w:tab/>
      </w:r>
      <w:r w:rsidRPr="00191652">
        <w:rPr>
          <w:rFonts w:eastAsia="SimSun"/>
          <w:lang w:eastAsia="zh-CN"/>
        </w:rPr>
        <w:t>IPv6 Prefix Delegation via DHCPv6</w:t>
      </w:r>
      <w:r>
        <w:tab/>
      </w:r>
      <w:r>
        <w:fldChar w:fldCharType="begin" w:fldLock="1"/>
      </w:r>
      <w:r>
        <w:instrText xml:space="preserve"> PAGEREF _Toc201157168 \h </w:instrText>
      </w:r>
      <w:r>
        <w:fldChar w:fldCharType="separate"/>
      </w:r>
      <w:r>
        <w:t>206</w:t>
      </w:r>
      <w:r>
        <w:fldChar w:fldCharType="end"/>
      </w:r>
    </w:p>
    <w:p w14:paraId="28E9E22D" w14:textId="77EF3B04"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5.8.2.3</w:t>
      </w:r>
      <w:r>
        <w:rPr>
          <w:rFonts w:asciiTheme="minorHAnsi" w:eastAsiaTheme="minorEastAsia" w:hAnsiTheme="minorHAnsi" w:cstheme="minorBidi"/>
          <w:kern w:val="2"/>
          <w:sz w:val="24"/>
          <w:szCs w:val="24"/>
          <w14:ligatures w14:val="standardContextual"/>
        </w:rPr>
        <w:tab/>
      </w:r>
      <w:r>
        <w:rPr>
          <w:lang w:eastAsia="ko-KR"/>
        </w:rPr>
        <w:t>Management of CN Tunnel Info</w:t>
      </w:r>
      <w:r>
        <w:tab/>
      </w:r>
      <w:r>
        <w:fldChar w:fldCharType="begin" w:fldLock="1"/>
      </w:r>
      <w:r>
        <w:instrText xml:space="preserve"> PAGEREF _Toc201157169 \h </w:instrText>
      </w:r>
      <w:r>
        <w:fldChar w:fldCharType="separate"/>
      </w:r>
      <w:r>
        <w:t>207</w:t>
      </w:r>
      <w:r>
        <w:fldChar w:fldCharType="end"/>
      </w:r>
    </w:p>
    <w:p w14:paraId="2F969B56" w14:textId="1A35E083" w:rsidR="006C1B74" w:rsidRDefault="006C1B74">
      <w:pPr>
        <w:pStyle w:val="TOC5"/>
        <w:rPr>
          <w:rFonts w:asciiTheme="minorHAnsi" w:eastAsiaTheme="minorEastAsia" w:hAnsiTheme="minorHAnsi" w:cstheme="minorBidi"/>
          <w:kern w:val="2"/>
          <w:sz w:val="24"/>
          <w:szCs w:val="24"/>
          <w14:ligatures w14:val="standardContextual"/>
        </w:rPr>
      </w:pPr>
      <w:r>
        <w:t>5.8.2.3.1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_Toc201157170 \h </w:instrText>
      </w:r>
      <w:r>
        <w:fldChar w:fldCharType="separate"/>
      </w:r>
      <w:r>
        <w:t>207</w:t>
      </w:r>
      <w:r>
        <w:fldChar w:fldCharType="end"/>
      </w:r>
    </w:p>
    <w:p w14:paraId="3FD1F48E" w14:textId="56816721" w:rsidR="006C1B74" w:rsidRDefault="006C1B74">
      <w:pPr>
        <w:pStyle w:val="TOC5"/>
        <w:rPr>
          <w:rFonts w:asciiTheme="minorHAnsi" w:eastAsiaTheme="minorEastAsia" w:hAnsiTheme="minorHAnsi" w:cstheme="minorBidi"/>
          <w:kern w:val="2"/>
          <w:sz w:val="24"/>
          <w:szCs w:val="24"/>
          <w14:ligatures w14:val="standardContextual"/>
        </w:rPr>
      </w:pPr>
      <w:r>
        <w:t>5.8.2.3.2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_Toc201157171 \h </w:instrText>
      </w:r>
      <w:r>
        <w:fldChar w:fldCharType="separate"/>
      </w:r>
      <w:r>
        <w:t>207</w:t>
      </w:r>
      <w:r>
        <w:fldChar w:fldCharType="end"/>
      </w:r>
    </w:p>
    <w:p w14:paraId="749FBBE8" w14:textId="6492AECE" w:rsidR="006C1B74" w:rsidRDefault="006C1B74">
      <w:pPr>
        <w:pStyle w:val="TOC5"/>
        <w:rPr>
          <w:rFonts w:asciiTheme="minorHAnsi" w:eastAsiaTheme="minorEastAsia" w:hAnsiTheme="minorHAnsi" w:cstheme="minorBidi"/>
          <w:kern w:val="2"/>
          <w:sz w:val="24"/>
          <w:szCs w:val="24"/>
          <w14:ligatures w14:val="standardContextual"/>
        </w:rPr>
      </w:pPr>
      <w:r>
        <w:t>5.8.2.3.3</w:t>
      </w:r>
      <w:r>
        <w:rPr>
          <w:rFonts w:asciiTheme="minorHAnsi" w:eastAsiaTheme="minorEastAsia" w:hAnsiTheme="minorHAnsi" w:cstheme="minorBidi"/>
          <w:kern w:val="2"/>
          <w:sz w:val="24"/>
          <w:szCs w:val="24"/>
          <w14:ligatures w14:val="standardContextual"/>
        </w:rPr>
        <w:tab/>
      </w:r>
      <w:r>
        <w:t>Management of CN Tunnel Info in the UPF</w:t>
      </w:r>
      <w:r>
        <w:tab/>
      </w:r>
      <w:r>
        <w:fldChar w:fldCharType="begin" w:fldLock="1"/>
      </w:r>
      <w:r>
        <w:instrText xml:space="preserve"> PAGEREF _Toc201157172 \h </w:instrText>
      </w:r>
      <w:r>
        <w:fldChar w:fldCharType="separate"/>
      </w:r>
      <w:r>
        <w:t>207</w:t>
      </w:r>
      <w:r>
        <w:fldChar w:fldCharType="end"/>
      </w:r>
    </w:p>
    <w:p w14:paraId="2EF8A8B2" w14:textId="43FEF618"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5.8.2.4</w:t>
      </w:r>
      <w:r>
        <w:rPr>
          <w:rFonts w:asciiTheme="minorHAnsi" w:eastAsiaTheme="minorEastAsia" w:hAnsiTheme="minorHAnsi" w:cstheme="minorBidi"/>
          <w:kern w:val="2"/>
          <w:sz w:val="24"/>
          <w:szCs w:val="24"/>
          <w14:ligatures w14:val="standardContextual"/>
        </w:rPr>
        <w:tab/>
      </w:r>
      <w:r>
        <w:rPr>
          <w:lang w:eastAsia="ko-KR"/>
        </w:rPr>
        <w:t>Traffic Detection</w:t>
      </w:r>
      <w:r>
        <w:tab/>
      </w:r>
      <w:r>
        <w:fldChar w:fldCharType="begin" w:fldLock="1"/>
      </w:r>
      <w:r>
        <w:instrText xml:space="preserve"> PAGEREF _Toc201157173 \h </w:instrText>
      </w:r>
      <w:r>
        <w:fldChar w:fldCharType="separate"/>
      </w:r>
      <w:r>
        <w:t>207</w:t>
      </w:r>
      <w:r>
        <w:fldChar w:fldCharType="end"/>
      </w:r>
    </w:p>
    <w:p w14:paraId="146C806B" w14:textId="4227DEFB"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5.8.2.4.1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_Toc201157174 \h </w:instrText>
      </w:r>
      <w:r>
        <w:fldChar w:fldCharType="separate"/>
      </w:r>
      <w:r>
        <w:t>207</w:t>
      </w:r>
      <w:r>
        <w:fldChar w:fldCharType="end"/>
      </w:r>
    </w:p>
    <w:p w14:paraId="218754DA" w14:textId="7944A1AD" w:rsidR="006C1B74" w:rsidRDefault="006C1B74">
      <w:pPr>
        <w:pStyle w:val="TOC5"/>
        <w:rPr>
          <w:rFonts w:asciiTheme="minorHAnsi" w:eastAsiaTheme="minorEastAsia" w:hAnsiTheme="minorHAnsi" w:cstheme="minorBidi"/>
          <w:kern w:val="2"/>
          <w:sz w:val="24"/>
          <w:szCs w:val="24"/>
          <w14:ligatures w14:val="standardContextual"/>
        </w:rPr>
      </w:pPr>
      <w:r>
        <w:t>5.8.2.4.2</w:t>
      </w:r>
      <w:r>
        <w:rPr>
          <w:rFonts w:asciiTheme="minorHAnsi" w:eastAsiaTheme="minorEastAsia" w:hAnsiTheme="minorHAnsi" w:cstheme="minorBidi"/>
          <w:kern w:val="2"/>
          <w:sz w:val="24"/>
          <w:szCs w:val="24"/>
          <w14:ligatures w14:val="standardContextual"/>
        </w:rPr>
        <w:tab/>
      </w:r>
      <w:r>
        <w:t>Traffic Detection Information</w:t>
      </w:r>
      <w:r>
        <w:tab/>
      </w:r>
      <w:r>
        <w:fldChar w:fldCharType="begin" w:fldLock="1"/>
      </w:r>
      <w:r>
        <w:instrText xml:space="preserve"> PAGEREF _Toc201157175 \h </w:instrText>
      </w:r>
      <w:r>
        <w:fldChar w:fldCharType="separate"/>
      </w:r>
      <w:r>
        <w:t>207</w:t>
      </w:r>
      <w:r>
        <w:fldChar w:fldCharType="end"/>
      </w:r>
    </w:p>
    <w:p w14:paraId="5FCEE9B6" w14:textId="511FE841"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5.8.2.5</w:t>
      </w:r>
      <w:r>
        <w:rPr>
          <w:rFonts w:asciiTheme="minorHAnsi" w:eastAsiaTheme="minorEastAsia" w:hAnsiTheme="minorHAnsi" w:cstheme="minorBidi"/>
          <w:kern w:val="2"/>
          <w:sz w:val="24"/>
          <w:szCs w:val="24"/>
          <w14:ligatures w14:val="standardContextual"/>
        </w:rPr>
        <w:tab/>
      </w:r>
      <w:r>
        <w:rPr>
          <w:lang w:eastAsia="ko-KR"/>
        </w:rPr>
        <w:t>Control of User Plane Forwarding</w:t>
      </w:r>
      <w:r>
        <w:tab/>
      </w:r>
      <w:r>
        <w:fldChar w:fldCharType="begin" w:fldLock="1"/>
      </w:r>
      <w:r>
        <w:instrText xml:space="preserve"> PAGEREF _Toc201157176 \h </w:instrText>
      </w:r>
      <w:r>
        <w:fldChar w:fldCharType="separate"/>
      </w:r>
      <w:r>
        <w:t>208</w:t>
      </w:r>
      <w:r>
        <w:fldChar w:fldCharType="end"/>
      </w:r>
    </w:p>
    <w:p w14:paraId="1FE8E600" w14:textId="16F8357F" w:rsidR="006C1B74" w:rsidRDefault="006C1B74">
      <w:pPr>
        <w:pStyle w:val="TOC5"/>
        <w:rPr>
          <w:rFonts w:asciiTheme="minorHAnsi" w:eastAsiaTheme="minorEastAsia" w:hAnsiTheme="minorHAnsi" w:cstheme="minorBidi"/>
          <w:kern w:val="2"/>
          <w:sz w:val="24"/>
          <w:szCs w:val="24"/>
          <w14:ligatures w14:val="standardContextual"/>
        </w:rPr>
      </w:pPr>
      <w:r>
        <w:t>5.8.2.5.1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_Toc201157177 \h </w:instrText>
      </w:r>
      <w:r>
        <w:fldChar w:fldCharType="separate"/>
      </w:r>
      <w:r>
        <w:t>208</w:t>
      </w:r>
      <w:r>
        <w:fldChar w:fldCharType="end"/>
      </w:r>
    </w:p>
    <w:p w14:paraId="44CC63A5" w14:textId="5830FCC4" w:rsidR="006C1B74" w:rsidRDefault="006C1B74">
      <w:pPr>
        <w:pStyle w:val="TOC5"/>
        <w:rPr>
          <w:rFonts w:asciiTheme="minorHAnsi" w:eastAsiaTheme="minorEastAsia" w:hAnsiTheme="minorHAnsi" w:cstheme="minorBidi"/>
          <w:kern w:val="2"/>
          <w:sz w:val="24"/>
          <w:szCs w:val="24"/>
          <w14:ligatures w14:val="standardContextual"/>
        </w:rPr>
      </w:pPr>
      <w:r>
        <w:t>5.8.2.5.2</w:t>
      </w:r>
      <w:r>
        <w:rPr>
          <w:rFonts w:asciiTheme="minorHAnsi" w:eastAsiaTheme="minorEastAsia" w:hAnsiTheme="minorHAnsi" w:cstheme="minorBidi"/>
          <w:kern w:val="2"/>
          <w:sz w:val="24"/>
          <w:szCs w:val="24"/>
          <w14:ligatures w14:val="standardContextual"/>
        </w:rPr>
        <w:tab/>
      </w:r>
      <w:r>
        <w:t>Data forwarding between the SMF and UPF</w:t>
      </w:r>
      <w:r>
        <w:tab/>
      </w:r>
      <w:r>
        <w:fldChar w:fldCharType="begin" w:fldLock="1"/>
      </w:r>
      <w:r>
        <w:instrText xml:space="preserve"> PAGEREF _Toc201157178 \h </w:instrText>
      </w:r>
      <w:r>
        <w:fldChar w:fldCharType="separate"/>
      </w:r>
      <w:r>
        <w:t>208</w:t>
      </w:r>
      <w:r>
        <w:fldChar w:fldCharType="end"/>
      </w:r>
    </w:p>
    <w:p w14:paraId="70177C04" w14:textId="632F52CF" w:rsidR="006C1B74" w:rsidRDefault="006C1B74">
      <w:pPr>
        <w:pStyle w:val="TOC5"/>
        <w:rPr>
          <w:rFonts w:asciiTheme="minorHAnsi" w:eastAsiaTheme="minorEastAsia" w:hAnsiTheme="minorHAnsi" w:cstheme="minorBidi"/>
          <w:kern w:val="2"/>
          <w:sz w:val="24"/>
          <w:szCs w:val="24"/>
          <w14:ligatures w14:val="standardContextual"/>
        </w:rPr>
      </w:pPr>
      <w:r>
        <w:t>5.8.2.5.3</w:t>
      </w:r>
      <w:r>
        <w:rPr>
          <w:rFonts w:asciiTheme="minorHAnsi" w:eastAsiaTheme="minorEastAsia" w:hAnsiTheme="minorHAnsi" w:cstheme="minorBidi"/>
          <w:kern w:val="2"/>
          <w:sz w:val="24"/>
          <w:szCs w:val="24"/>
          <w14:ligatures w14:val="standardContextual"/>
        </w:rPr>
        <w:tab/>
      </w:r>
      <w:r>
        <w:t>Support of Ethernet PDU Session type</w:t>
      </w:r>
      <w:r>
        <w:tab/>
      </w:r>
      <w:r>
        <w:fldChar w:fldCharType="begin" w:fldLock="1"/>
      </w:r>
      <w:r>
        <w:instrText xml:space="preserve"> PAGEREF _Toc201157179 \h </w:instrText>
      </w:r>
      <w:r>
        <w:fldChar w:fldCharType="separate"/>
      </w:r>
      <w:r>
        <w:t>209</w:t>
      </w:r>
      <w:r>
        <w:fldChar w:fldCharType="end"/>
      </w:r>
    </w:p>
    <w:p w14:paraId="4FFDA5CE" w14:textId="77CC747B"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5.8.2.6</w:t>
      </w:r>
      <w:r>
        <w:rPr>
          <w:rFonts w:asciiTheme="minorHAnsi" w:eastAsiaTheme="minorEastAsia" w:hAnsiTheme="minorHAnsi" w:cstheme="minorBidi"/>
          <w:kern w:val="2"/>
          <w:sz w:val="24"/>
          <w:szCs w:val="24"/>
          <w14:ligatures w14:val="standardContextual"/>
        </w:rPr>
        <w:tab/>
      </w:r>
      <w:r>
        <w:t>Charging and Usage Monitoring Handling</w:t>
      </w:r>
      <w:r>
        <w:tab/>
      </w:r>
      <w:r>
        <w:fldChar w:fldCharType="begin" w:fldLock="1"/>
      </w:r>
      <w:r>
        <w:instrText xml:space="preserve"> PAGEREF _Toc201157180 \h </w:instrText>
      </w:r>
      <w:r>
        <w:fldChar w:fldCharType="separate"/>
      </w:r>
      <w:r>
        <w:t>210</w:t>
      </w:r>
      <w:r>
        <w:fldChar w:fldCharType="end"/>
      </w:r>
    </w:p>
    <w:p w14:paraId="50CEAF85" w14:textId="506714A2" w:rsidR="006C1B74" w:rsidRDefault="006C1B74">
      <w:pPr>
        <w:pStyle w:val="TOC5"/>
        <w:rPr>
          <w:rFonts w:asciiTheme="minorHAnsi" w:eastAsiaTheme="minorEastAsia" w:hAnsiTheme="minorHAnsi" w:cstheme="minorBidi"/>
          <w:kern w:val="2"/>
          <w:sz w:val="24"/>
          <w:szCs w:val="24"/>
          <w14:ligatures w14:val="standardContextual"/>
        </w:rPr>
      </w:pPr>
      <w:r>
        <w:t>5.8.2.6.1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_Toc201157181 \h </w:instrText>
      </w:r>
      <w:r>
        <w:fldChar w:fldCharType="separate"/>
      </w:r>
      <w:r>
        <w:t>210</w:t>
      </w:r>
      <w:r>
        <w:fldChar w:fldCharType="end"/>
      </w:r>
    </w:p>
    <w:p w14:paraId="2430596F" w14:textId="6848EA9B" w:rsidR="006C1B74" w:rsidRDefault="006C1B74">
      <w:pPr>
        <w:pStyle w:val="TOC5"/>
        <w:rPr>
          <w:rFonts w:asciiTheme="minorHAnsi" w:eastAsiaTheme="minorEastAsia" w:hAnsiTheme="minorHAnsi" w:cstheme="minorBidi"/>
          <w:kern w:val="2"/>
          <w:sz w:val="24"/>
          <w:szCs w:val="24"/>
          <w14:ligatures w14:val="standardContextual"/>
        </w:rPr>
      </w:pPr>
      <w:r>
        <w:t>5.8.2.6.2</w:t>
      </w:r>
      <w:r>
        <w:rPr>
          <w:rFonts w:asciiTheme="minorHAnsi" w:eastAsiaTheme="minorEastAsia" w:hAnsiTheme="minorHAnsi" w:cstheme="minorBidi"/>
          <w:kern w:val="2"/>
          <w:sz w:val="24"/>
          <w:szCs w:val="24"/>
          <w14:ligatures w14:val="standardContextual"/>
        </w:rPr>
        <w:tab/>
      </w:r>
      <w:r>
        <w:t>Activation of Usage Reporting in UPF</w:t>
      </w:r>
      <w:r>
        <w:tab/>
      </w:r>
      <w:r>
        <w:fldChar w:fldCharType="begin" w:fldLock="1"/>
      </w:r>
      <w:r>
        <w:instrText xml:space="preserve"> PAGEREF _Toc201157182 \h </w:instrText>
      </w:r>
      <w:r>
        <w:fldChar w:fldCharType="separate"/>
      </w:r>
      <w:r>
        <w:t>210</w:t>
      </w:r>
      <w:r>
        <w:fldChar w:fldCharType="end"/>
      </w:r>
    </w:p>
    <w:p w14:paraId="6DE3C22D" w14:textId="55FF9A82" w:rsidR="006C1B74" w:rsidRDefault="006C1B74">
      <w:pPr>
        <w:pStyle w:val="TOC5"/>
        <w:rPr>
          <w:rFonts w:asciiTheme="minorHAnsi" w:eastAsiaTheme="minorEastAsia" w:hAnsiTheme="minorHAnsi" w:cstheme="minorBidi"/>
          <w:kern w:val="2"/>
          <w:sz w:val="24"/>
          <w:szCs w:val="24"/>
          <w14:ligatures w14:val="standardContextual"/>
        </w:rPr>
      </w:pPr>
      <w:r>
        <w:t>5.8.2.6.3</w:t>
      </w:r>
      <w:r>
        <w:rPr>
          <w:rFonts w:asciiTheme="minorHAnsi" w:eastAsiaTheme="minorEastAsia" w:hAnsiTheme="minorHAnsi" w:cstheme="minorBidi"/>
          <w:kern w:val="2"/>
          <w:sz w:val="24"/>
          <w:szCs w:val="24"/>
          <w14:ligatures w14:val="standardContextual"/>
        </w:rPr>
        <w:tab/>
      </w:r>
      <w:r>
        <w:t>Reporting of Usage Information towards SMF</w:t>
      </w:r>
      <w:r>
        <w:tab/>
      </w:r>
      <w:r>
        <w:fldChar w:fldCharType="begin" w:fldLock="1"/>
      </w:r>
      <w:r>
        <w:instrText xml:space="preserve"> PAGEREF _Toc201157183 \h </w:instrText>
      </w:r>
      <w:r>
        <w:fldChar w:fldCharType="separate"/>
      </w:r>
      <w:r>
        <w:t>211</w:t>
      </w:r>
      <w:r>
        <w:fldChar w:fldCharType="end"/>
      </w:r>
    </w:p>
    <w:p w14:paraId="559D23CB" w14:textId="30F3B419"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5.8.2.7</w:t>
      </w:r>
      <w:r>
        <w:rPr>
          <w:rFonts w:asciiTheme="minorHAnsi" w:eastAsiaTheme="minorEastAsia" w:hAnsiTheme="minorHAnsi" w:cstheme="minorBidi"/>
          <w:kern w:val="2"/>
          <w:sz w:val="24"/>
          <w:szCs w:val="24"/>
          <w14:ligatures w14:val="standardContextual"/>
        </w:rPr>
        <w:tab/>
      </w:r>
      <w:r>
        <w:rPr>
          <w:lang w:eastAsia="ko-KR"/>
        </w:rPr>
        <w:t>PDU Session and QoS Flow Policing</w:t>
      </w:r>
      <w:r>
        <w:tab/>
      </w:r>
      <w:r>
        <w:fldChar w:fldCharType="begin" w:fldLock="1"/>
      </w:r>
      <w:r>
        <w:instrText xml:space="preserve"> PAGEREF _Toc201157184 \h </w:instrText>
      </w:r>
      <w:r>
        <w:fldChar w:fldCharType="separate"/>
      </w:r>
      <w:r>
        <w:t>211</w:t>
      </w:r>
      <w:r>
        <w:fldChar w:fldCharType="end"/>
      </w:r>
    </w:p>
    <w:p w14:paraId="08730EDF" w14:textId="3B012668"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5.8.2.8</w:t>
      </w:r>
      <w:r>
        <w:rPr>
          <w:rFonts w:asciiTheme="minorHAnsi" w:eastAsiaTheme="minorEastAsia" w:hAnsiTheme="minorHAnsi" w:cstheme="minorBidi"/>
          <w:kern w:val="2"/>
          <w:sz w:val="24"/>
          <w:szCs w:val="24"/>
          <w14:ligatures w14:val="standardContextual"/>
        </w:rPr>
        <w:tab/>
      </w:r>
      <w:r>
        <w:t>PCC Related Functions</w:t>
      </w:r>
      <w:r>
        <w:tab/>
      </w:r>
      <w:r>
        <w:fldChar w:fldCharType="begin" w:fldLock="1"/>
      </w:r>
      <w:r>
        <w:instrText xml:space="preserve"> PAGEREF _Toc201157185 \h </w:instrText>
      </w:r>
      <w:r>
        <w:fldChar w:fldCharType="separate"/>
      </w:r>
      <w:r>
        <w:t>211</w:t>
      </w:r>
      <w:r>
        <w:fldChar w:fldCharType="end"/>
      </w:r>
    </w:p>
    <w:p w14:paraId="410E389C" w14:textId="337B3DEB"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5.8.2.8.1</w:t>
      </w:r>
      <w:r>
        <w:rPr>
          <w:rFonts w:asciiTheme="minorHAnsi" w:eastAsiaTheme="minorEastAsia" w:hAnsiTheme="minorHAnsi" w:cstheme="minorBidi"/>
          <w:kern w:val="2"/>
          <w:sz w:val="24"/>
          <w:szCs w:val="24"/>
          <w14:ligatures w14:val="standardContextual"/>
        </w:rPr>
        <w:tab/>
      </w:r>
      <w:r>
        <w:rPr>
          <w:lang w:eastAsia="zh-CN"/>
        </w:rPr>
        <w:t>Activation/Deactivation of predefined PCC rules</w:t>
      </w:r>
      <w:r>
        <w:tab/>
      </w:r>
      <w:r>
        <w:fldChar w:fldCharType="begin" w:fldLock="1"/>
      </w:r>
      <w:r>
        <w:instrText xml:space="preserve"> PAGEREF _Toc201157186 \h </w:instrText>
      </w:r>
      <w:r>
        <w:fldChar w:fldCharType="separate"/>
      </w:r>
      <w:r>
        <w:t>211</w:t>
      </w:r>
      <w:r>
        <w:fldChar w:fldCharType="end"/>
      </w:r>
    </w:p>
    <w:p w14:paraId="599E89F8" w14:textId="02E29F40"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5.8.2.8.2</w:t>
      </w:r>
      <w:r>
        <w:rPr>
          <w:rFonts w:asciiTheme="minorHAnsi" w:eastAsiaTheme="minorEastAsia" w:hAnsiTheme="minorHAnsi" w:cstheme="minorBidi"/>
          <w:kern w:val="2"/>
          <w:sz w:val="24"/>
          <w:szCs w:val="24"/>
          <w14:ligatures w14:val="standardContextual"/>
        </w:rPr>
        <w:tab/>
      </w:r>
      <w:r>
        <w:rPr>
          <w:lang w:eastAsia="zh-CN"/>
        </w:rPr>
        <w:t>Enforcement of Dynamic PCC Rules</w:t>
      </w:r>
      <w:r>
        <w:tab/>
      </w:r>
      <w:r>
        <w:fldChar w:fldCharType="begin" w:fldLock="1"/>
      </w:r>
      <w:r>
        <w:instrText xml:space="preserve"> PAGEREF _Toc201157187 \h </w:instrText>
      </w:r>
      <w:r>
        <w:fldChar w:fldCharType="separate"/>
      </w:r>
      <w:r>
        <w:t>212</w:t>
      </w:r>
      <w:r>
        <w:fldChar w:fldCharType="end"/>
      </w:r>
    </w:p>
    <w:p w14:paraId="321FCC02" w14:textId="33BD57B6"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5.8.2.8.3</w:t>
      </w:r>
      <w:r>
        <w:rPr>
          <w:rFonts w:asciiTheme="minorHAnsi" w:eastAsiaTheme="minorEastAsia" w:hAnsiTheme="minorHAnsi" w:cstheme="minorBidi"/>
          <w:kern w:val="2"/>
          <w:sz w:val="24"/>
          <w:szCs w:val="24"/>
          <w14:ligatures w14:val="standardContextual"/>
        </w:rPr>
        <w:tab/>
      </w:r>
      <w:r>
        <w:rPr>
          <w:lang w:eastAsia="zh-CN"/>
        </w:rPr>
        <w:t>Redirection</w:t>
      </w:r>
      <w:r>
        <w:tab/>
      </w:r>
      <w:r>
        <w:fldChar w:fldCharType="begin" w:fldLock="1"/>
      </w:r>
      <w:r>
        <w:instrText xml:space="preserve"> PAGEREF _Toc201157188 \h </w:instrText>
      </w:r>
      <w:r>
        <w:fldChar w:fldCharType="separate"/>
      </w:r>
      <w:r>
        <w:t>212</w:t>
      </w:r>
      <w:r>
        <w:fldChar w:fldCharType="end"/>
      </w:r>
    </w:p>
    <w:p w14:paraId="08E22533" w14:textId="24AB464A" w:rsidR="006C1B74" w:rsidRDefault="006C1B74">
      <w:pPr>
        <w:pStyle w:val="TOC5"/>
        <w:rPr>
          <w:rFonts w:asciiTheme="minorHAnsi" w:eastAsiaTheme="minorEastAsia" w:hAnsiTheme="minorHAnsi" w:cstheme="minorBidi"/>
          <w:kern w:val="2"/>
          <w:sz w:val="24"/>
          <w:szCs w:val="24"/>
          <w14:ligatures w14:val="standardContextual"/>
        </w:rPr>
      </w:pPr>
      <w:r>
        <w:t>5.8.2.8.4</w:t>
      </w:r>
      <w:r>
        <w:rPr>
          <w:rFonts w:asciiTheme="minorHAnsi" w:eastAsiaTheme="minorEastAsia" w:hAnsiTheme="minorHAnsi" w:cstheme="minorBidi"/>
          <w:kern w:val="2"/>
          <w:sz w:val="24"/>
          <w:szCs w:val="24"/>
          <w14:ligatures w14:val="standardContextual"/>
        </w:rPr>
        <w:tab/>
      </w:r>
      <w:r>
        <w:t>Support of PFD Management</w:t>
      </w:r>
      <w:r>
        <w:tab/>
      </w:r>
      <w:r>
        <w:fldChar w:fldCharType="begin" w:fldLock="1"/>
      </w:r>
      <w:r>
        <w:instrText xml:space="preserve"> PAGEREF _Toc201157189 \h </w:instrText>
      </w:r>
      <w:r>
        <w:fldChar w:fldCharType="separate"/>
      </w:r>
      <w:r>
        <w:t>213</w:t>
      </w:r>
      <w:r>
        <w:fldChar w:fldCharType="end"/>
      </w:r>
    </w:p>
    <w:p w14:paraId="66B9B90B" w14:textId="511AFED0"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5.8.2.9</w:t>
      </w:r>
      <w:r>
        <w:rPr>
          <w:rFonts w:asciiTheme="minorHAnsi" w:eastAsiaTheme="minorEastAsia" w:hAnsiTheme="minorHAnsi" w:cstheme="minorBidi"/>
          <w:kern w:val="2"/>
          <w:sz w:val="24"/>
          <w:szCs w:val="24"/>
          <w14:ligatures w14:val="standardContextual"/>
        </w:rPr>
        <w:tab/>
      </w:r>
      <w:r>
        <w:rPr>
          <w:lang w:eastAsia="ko-KR"/>
        </w:rPr>
        <w:t>Functionality of Sending of "</w:t>
      </w:r>
      <w:r>
        <w:rPr>
          <w:lang w:eastAsia="zh-CN"/>
        </w:rPr>
        <w:t>E</w:t>
      </w:r>
      <w:r>
        <w:rPr>
          <w:lang w:eastAsia="ko-KR"/>
        </w:rPr>
        <w:t>nd marker"</w:t>
      </w:r>
      <w:r>
        <w:tab/>
      </w:r>
      <w:r>
        <w:fldChar w:fldCharType="begin" w:fldLock="1"/>
      </w:r>
      <w:r>
        <w:instrText xml:space="preserve"> PAGEREF _Toc201157190 \h </w:instrText>
      </w:r>
      <w:r>
        <w:fldChar w:fldCharType="separate"/>
      </w:r>
      <w:r>
        <w:t>213</w:t>
      </w:r>
      <w:r>
        <w:fldChar w:fldCharType="end"/>
      </w:r>
    </w:p>
    <w:p w14:paraId="7DFCB894" w14:textId="73265507"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5.8.2.9.0</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fldLock="1"/>
      </w:r>
      <w:r>
        <w:instrText xml:space="preserve"> PAGEREF _Toc201157191 \h </w:instrText>
      </w:r>
      <w:r>
        <w:fldChar w:fldCharType="separate"/>
      </w:r>
      <w:r>
        <w:t>213</w:t>
      </w:r>
      <w:r>
        <w:fldChar w:fldCharType="end"/>
      </w:r>
    </w:p>
    <w:p w14:paraId="634200F2" w14:textId="3344C3EF"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5.8.2.9.1</w:t>
      </w:r>
      <w:r>
        <w:rPr>
          <w:rFonts w:asciiTheme="minorHAnsi" w:eastAsiaTheme="minorEastAsia" w:hAnsiTheme="minorHAnsi" w:cstheme="minorBidi"/>
          <w:kern w:val="2"/>
          <w:sz w:val="24"/>
          <w:szCs w:val="24"/>
          <w14:ligatures w14:val="standardContextual"/>
        </w:rPr>
        <w:tab/>
      </w:r>
      <w:r>
        <w:rPr>
          <w:lang w:eastAsia="zh-CN"/>
        </w:rPr>
        <w:t>UPF Constructing the "End marker" Packets</w:t>
      </w:r>
      <w:r>
        <w:tab/>
      </w:r>
      <w:r>
        <w:fldChar w:fldCharType="begin" w:fldLock="1"/>
      </w:r>
      <w:r>
        <w:instrText xml:space="preserve"> PAGEREF _Toc201157192 \h </w:instrText>
      </w:r>
      <w:r>
        <w:fldChar w:fldCharType="separate"/>
      </w:r>
      <w:r>
        <w:t>213</w:t>
      </w:r>
      <w:r>
        <w:fldChar w:fldCharType="end"/>
      </w:r>
    </w:p>
    <w:p w14:paraId="762B356D" w14:textId="6EE7BF20"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lastRenderedPageBreak/>
        <w:t>5.8.2.9.2</w:t>
      </w:r>
      <w:r>
        <w:rPr>
          <w:rFonts w:asciiTheme="minorHAnsi" w:eastAsiaTheme="minorEastAsia" w:hAnsiTheme="minorHAnsi" w:cstheme="minorBidi"/>
          <w:kern w:val="2"/>
          <w:sz w:val="24"/>
          <w:szCs w:val="24"/>
          <w14:ligatures w14:val="standardContextual"/>
        </w:rPr>
        <w:tab/>
      </w:r>
      <w:r>
        <w:rPr>
          <w:lang w:eastAsia="zh-CN"/>
        </w:rPr>
        <w:t>SMF Constructing the "End marker" Packets</w:t>
      </w:r>
      <w:r>
        <w:tab/>
      </w:r>
      <w:r>
        <w:fldChar w:fldCharType="begin" w:fldLock="1"/>
      </w:r>
      <w:r>
        <w:instrText xml:space="preserve"> PAGEREF _Toc201157193 \h </w:instrText>
      </w:r>
      <w:r>
        <w:fldChar w:fldCharType="separate"/>
      </w:r>
      <w:r>
        <w:t>214</w:t>
      </w:r>
      <w:r>
        <w:fldChar w:fldCharType="end"/>
      </w:r>
    </w:p>
    <w:p w14:paraId="72AD9DEA" w14:textId="7D22A8EA"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5.8.2.10</w:t>
      </w:r>
      <w:r>
        <w:rPr>
          <w:rFonts w:asciiTheme="minorHAnsi" w:eastAsiaTheme="minorEastAsia" w:hAnsiTheme="minorHAnsi" w:cstheme="minorBidi"/>
          <w:kern w:val="2"/>
          <w:sz w:val="24"/>
          <w:szCs w:val="24"/>
          <w14:ligatures w14:val="standardContextual"/>
        </w:rPr>
        <w:tab/>
      </w:r>
      <w:r>
        <w:rPr>
          <w:lang w:eastAsia="ko-KR"/>
        </w:rPr>
        <w:t>UP Tunnel Management</w:t>
      </w:r>
      <w:r>
        <w:tab/>
      </w:r>
      <w:r>
        <w:fldChar w:fldCharType="begin" w:fldLock="1"/>
      </w:r>
      <w:r>
        <w:instrText xml:space="preserve"> PAGEREF _Toc201157194 \h </w:instrText>
      </w:r>
      <w:r>
        <w:fldChar w:fldCharType="separate"/>
      </w:r>
      <w:r>
        <w:t>214</w:t>
      </w:r>
      <w:r>
        <w:fldChar w:fldCharType="end"/>
      </w:r>
    </w:p>
    <w:p w14:paraId="09901C03" w14:textId="0FA6346D"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5.8.2.11</w:t>
      </w:r>
      <w:r>
        <w:rPr>
          <w:rFonts w:asciiTheme="minorHAnsi" w:eastAsiaTheme="minorEastAsia" w:hAnsiTheme="minorHAnsi" w:cstheme="minorBidi"/>
          <w:kern w:val="2"/>
          <w:sz w:val="24"/>
          <w:szCs w:val="24"/>
          <w14:ligatures w14:val="standardContextual"/>
        </w:rPr>
        <w:tab/>
      </w:r>
      <w:r>
        <w:rPr>
          <w:lang w:eastAsia="ko-KR"/>
        </w:rPr>
        <w:t>Parameters for N4 session management (moved)</w:t>
      </w:r>
      <w:r>
        <w:tab/>
      </w:r>
      <w:r>
        <w:fldChar w:fldCharType="begin" w:fldLock="1"/>
      </w:r>
      <w:r>
        <w:instrText xml:space="preserve"> PAGEREF _Toc201157195 \h </w:instrText>
      </w:r>
      <w:r>
        <w:fldChar w:fldCharType="separate"/>
      </w:r>
      <w:r>
        <w:t>214</w:t>
      </w:r>
      <w:r>
        <w:fldChar w:fldCharType="end"/>
      </w:r>
    </w:p>
    <w:p w14:paraId="788F5842" w14:textId="582A3A4F" w:rsidR="006C1B74" w:rsidRDefault="006C1B74">
      <w:pPr>
        <w:pStyle w:val="TOC4"/>
        <w:rPr>
          <w:rFonts w:asciiTheme="minorHAnsi" w:eastAsiaTheme="minorEastAsia" w:hAnsiTheme="minorHAnsi" w:cstheme="minorBidi"/>
          <w:kern w:val="2"/>
          <w:sz w:val="24"/>
          <w:szCs w:val="24"/>
          <w14:ligatures w14:val="standardContextual"/>
        </w:rPr>
      </w:pPr>
      <w:r>
        <w:t>5.8.2.12</w:t>
      </w:r>
      <w:r>
        <w:rPr>
          <w:rFonts w:asciiTheme="minorHAnsi" w:eastAsiaTheme="minorEastAsia" w:hAnsiTheme="minorHAnsi" w:cstheme="minorBidi"/>
          <w:kern w:val="2"/>
          <w:sz w:val="24"/>
          <w:szCs w:val="24"/>
          <w14:ligatures w14:val="standardContextual"/>
        </w:rPr>
        <w:tab/>
      </w:r>
      <w:r>
        <w:t>Reporting of the UE MAC addresses used in a PDU Session</w:t>
      </w:r>
      <w:r>
        <w:tab/>
      </w:r>
      <w:r>
        <w:fldChar w:fldCharType="begin" w:fldLock="1"/>
      </w:r>
      <w:r>
        <w:instrText xml:space="preserve"> PAGEREF _Toc201157196 \h </w:instrText>
      </w:r>
      <w:r>
        <w:fldChar w:fldCharType="separate"/>
      </w:r>
      <w:r>
        <w:t>215</w:t>
      </w:r>
      <w:r>
        <w:fldChar w:fldCharType="end"/>
      </w:r>
    </w:p>
    <w:p w14:paraId="2E39CC85" w14:textId="60C91BB7" w:rsidR="006C1B74" w:rsidRDefault="006C1B74">
      <w:pPr>
        <w:pStyle w:val="TOC4"/>
        <w:rPr>
          <w:rFonts w:asciiTheme="minorHAnsi" w:eastAsiaTheme="minorEastAsia" w:hAnsiTheme="minorHAnsi" w:cstheme="minorBidi"/>
          <w:kern w:val="2"/>
          <w:sz w:val="24"/>
          <w:szCs w:val="24"/>
          <w14:ligatures w14:val="standardContextual"/>
        </w:rPr>
      </w:pPr>
      <w:r>
        <w:t>5.8.2.13</w:t>
      </w:r>
      <w:r>
        <w:rPr>
          <w:rFonts w:asciiTheme="minorHAnsi" w:eastAsiaTheme="minorEastAsia" w:hAnsiTheme="minorHAnsi" w:cstheme="minorBidi"/>
          <w:kern w:val="2"/>
          <w:sz w:val="24"/>
          <w:szCs w:val="24"/>
          <w14:ligatures w14:val="standardContextual"/>
        </w:rPr>
        <w:tab/>
      </w:r>
      <w:r>
        <w:t>Support for 5G VN group communication</w:t>
      </w:r>
      <w:r>
        <w:tab/>
      </w:r>
      <w:r>
        <w:fldChar w:fldCharType="begin" w:fldLock="1"/>
      </w:r>
      <w:r>
        <w:instrText xml:space="preserve"> PAGEREF _Toc201157197 \h </w:instrText>
      </w:r>
      <w:r>
        <w:fldChar w:fldCharType="separate"/>
      </w:r>
      <w:r>
        <w:t>215</w:t>
      </w:r>
      <w:r>
        <w:fldChar w:fldCharType="end"/>
      </w:r>
    </w:p>
    <w:p w14:paraId="7A67DD8F" w14:textId="77CA97A5" w:rsidR="006C1B74" w:rsidRDefault="006C1B74">
      <w:pPr>
        <w:pStyle w:val="TOC5"/>
        <w:rPr>
          <w:rFonts w:asciiTheme="minorHAnsi" w:eastAsiaTheme="minorEastAsia" w:hAnsiTheme="minorHAnsi" w:cstheme="minorBidi"/>
          <w:kern w:val="2"/>
          <w:sz w:val="24"/>
          <w:szCs w:val="24"/>
          <w14:ligatures w14:val="standardContextual"/>
        </w:rPr>
      </w:pPr>
      <w:r>
        <w:t>5.8.2.13.0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_Toc201157198 \h </w:instrText>
      </w:r>
      <w:r>
        <w:fldChar w:fldCharType="separate"/>
      </w:r>
      <w:r>
        <w:t>215</w:t>
      </w:r>
      <w:r>
        <w:fldChar w:fldCharType="end"/>
      </w:r>
    </w:p>
    <w:p w14:paraId="7DABAF95" w14:textId="76938BBE" w:rsidR="006C1B74" w:rsidRDefault="006C1B74">
      <w:pPr>
        <w:pStyle w:val="TOC5"/>
        <w:rPr>
          <w:rFonts w:asciiTheme="minorHAnsi" w:eastAsiaTheme="minorEastAsia" w:hAnsiTheme="minorHAnsi" w:cstheme="minorBidi"/>
          <w:kern w:val="2"/>
          <w:sz w:val="24"/>
          <w:szCs w:val="24"/>
          <w14:ligatures w14:val="standardContextual"/>
        </w:rPr>
      </w:pPr>
      <w:r>
        <w:t>5.8.2.13.1</w:t>
      </w:r>
      <w:r>
        <w:rPr>
          <w:rFonts w:asciiTheme="minorHAnsi" w:eastAsiaTheme="minorEastAsia" w:hAnsiTheme="minorHAnsi" w:cstheme="minorBidi"/>
          <w:kern w:val="2"/>
          <w:sz w:val="24"/>
          <w:szCs w:val="24"/>
          <w14:ligatures w14:val="standardContextual"/>
        </w:rPr>
        <w:tab/>
      </w:r>
      <w:r>
        <w:t>Support for unicast traffic forwarding of a 5G VN</w:t>
      </w:r>
      <w:r>
        <w:tab/>
      </w:r>
      <w:r>
        <w:fldChar w:fldCharType="begin" w:fldLock="1"/>
      </w:r>
      <w:r>
        <w:instrText xml:space="preserve"> PAGEREF _Toc201157199 \h </w:instrText>
      </w:r>
      <w:r>
        <w:fldChar w:fldCharType="separate"/>
      </w:r>
      <w:r>
        <w:t>216</w:t>
      </w:r>
      <w:r>
        <w:fldChar w:fldCharType="end"/>
      </w:r>
    </w:p>
    <w:p w14:paraId="3E7BD20D" w14:textId="45817A61" w:rsidR="006C1B74" w:rsidRDefault="006C1B74">
      <w:pPr>
        <w:pStyle w:val="TOC5"/>
        <w:rPr>
          <w:rFonts w:asciiTheme="minorHAnsi" w:eastAsiaTheme="minorEastAsia" w:hAnsiTheme="minorHAnsi" w:cstheme="minorBidi"/>
          <w:kern w:val="2"/>
          <w:sz w:val="24"/>
          <w:szCs w:val="24"/>
          <w14:ligatures w14:val="standardContextual"/>
        </w:rPr>
      </w:pPr>
      <w:r>
        <w:t>5.8.2.13.2</w:t>
      </w:r>
      <w:r>
        <w:rPr>
          <w:rFonts w:asciiTheme="minorHAnsi" w:eastAsiaTheme="minorEastAsia" w:hAnsiTheme="minorHAnsi" w:cstheme="minorBidi"/>
          <w:kern w:val="2"/>
          <w:sz w:val="24"/>
          <w:szCs w:val="24"/>
          <w14:ligatures w14:val="standardContextual"/>
        </w:rPr>
        <w:tab/>
      </w:r>
      <w:r>
        <w:t>Support for unicast traffic forwarding update due to UE mobility</w:t>
      </w:r>
      <w:r>
        <w:tab/>
      </w:r>
      <w:r>
        <w:fldChar w:fldCharType="begin" w:fldLock="1"/>
      </w:r>
      <w:r>
        <w:instrText xml:space="preserve"> PAGEREF _Toc201157200 \h </w:instrText>
      </w:r>
      <w:r>
        <w:fldChar w:fldCharType="separate"/>
      </w:r>
      <w:r>
        <w:t>217</w:t>
      </w:r>
      <w:r>
        <w:fldChar w:fldCharType="end"/>
      </w:r>
    </w:p>
    <w:p w14:paraId="2F361E5B" w14:textId="0FBF4F05" w:rsidR="006C1B74" w:rsidRDefault="006C1B74">
      <w:pPr>
        <w:pStyle w:val="TOC5"/>
        <w:rPr>
          <w:rFonts w:asciiTheme="minorHAnsi" w:eastAsiaTheme="minorEastAsia" w:hAnsiTheme="minorHAnsi" w:cstheme="minorBidi"/>
          <w:kern w:val="2"/>
          <w:sz w:val="24"/>
          <w:szCs w:val="24"/>
          <w14:ligatures w14:val="standardContextual"/>
        </w:rPr>
      </w:pPr>
      <w:r>
        <w:t>5.8.2.13.3</w:t>
      </w:r>
      <w:r>
        <w:rPr>
          <w:rFonts w:asciiTheme="minorHAnsi" w:eastAsiaTheme="minorEastAsia" w:hAnsiTheme="minorHAnsi" w:cstheme="minorBidi"/>
          <w:kern w:val="2"/>
          <w:sz w:val="24"/>
          <w:szCs w:val="24"/>
          <w14:ligatures w14:val="standardContextual"/>
        </w:rPr>
        <w:tab/>
      </w:r>
      <w:r>
        <w:t>Support for user plane traffic replication in a 5G VN</w:t>
      </w:r>
      <w:r>
        <w:tab/>
      </w:r>
      <w:r>
        <w:fldChar w:fldCharType="begin" w:fldLock="1"/>
      </w:r>
      <w:r>
        <w:instrText xml:space="preserve"> PAGEREF _Toc201157201 \h </w:instrText>
      </w:r>
      <w:r>
        <w:fldChar w:fldCharType="separate"/>
      </w:r>
      <w:r>
        <w:t>217</w:t>
      </w:r>
      <w:r>
        <w:fldChar w:fldCharType="end"/>
      </w:r>
    </w:p>
    <w:p w14:paraId="4A375689" w14:textId="54CDF6E8" w:rsidR="006C1B74" w:rsidRDefault="006C1B74">
      <w:pPr>
        <w:pStyle w:val="TOC4"/>
        <w:rPr>
          <w:rFonts w:asciiTheme="minorHAnsi" w:eastAsiaTheme="minorEastAsia" w:hAnsiTheme="minorHAnsi" w:cstheme="minorBidi"/>
          <w:kern w:val="2"/>
          <w:sz w:val="24"/>
          <w:szCs w:val="24"/>
          <w14:ligatures w14:val="standardContextual"/>
        </w:rPr>
      </w:pPr>
      <w:r>
        <w:t>5.8.2.14</w:t>
      </w:r>
      <w:r>
        <w:rPr>
          <w:rFonts w:asciiTheme="minorHAnsi" w:eastAsiaTheme="minorEastAsia" w:hAnsiTheme="minorHAnsi" w:cstheme="minorBidi"/>
          <w:kern w:val="2"/>
          <w:sz w:val="24"/>
          <w:szCs w:val="24"/>
          <w14:ligatures w14:val="standardContextual"/>
        </w:rPr>
        <w:tab/>
      </w:r>
      <w:r>
        <w:t>Inter PLMN User Plane Security functionality</w:t>
      </w:r>
      <w:r>
        <w:tab/>
      </w:r>
      <w:r>
        <w:fldChar w:fldCharType="begin" w:fldLock="1"/>
      </w:r>
      <w:r>
        <w:instrText xml:space="preserve"> PAGEREF _Toc201157202 \h </w:instrText>
      </w:r>
      <w:r>
        <w:fldChar w:fldCharType="separate"/>
      </w:r>
      <w:r>
        <w:t>219</w:t>
      </w:r>
      <w:r>
        <w:fldChar w:fldCharType="end"/>
      </w:r>
    </w:p>
    <w:p w14:paraId="47FF9891" w14:textId="14CC35CE" w:rsidR="006C1B74" w:rsidRDefault="006C1B74">
      <w:pPr>
        <w:pStyle w:val="TOC4"/>
        <w:rPr>
          <w:rFonts w:asciiTheme="minorHAnsi" w:eastAsiaTheme="minorEastAsia" w:hAnsiTheme="minorHAnsi" w:cstheme="minorBidi"/>
          <w:kern w:val="2"/>
          <w:sz w:val="24"/>
          <w:szCs w:val="24"/>
          <w14:ligatures w14:val="standardContextual"/>
        </w:rPr>
      </w:pPr>
      <w:r>
        <w:t>5.8.2.15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_Toc201157203 \h </w:instrText>
      </w:r>
      <w:r>
        <w:fldChar w:fldCharType="separate"/>
      </w:r>
      <w:r>
        <w:t>220</w:t>
      </w:r>
      <w:r>
        <w:fldChar w:fldCharType="end"/>
      </w:r>
    </w:p>
    <w:p w14:paraId="338CC180" w14:textId="452F7092" w:rsidR="006C1B74" w:rsidRDefault="006C1B74">
      <w:pPr>
        <w:pStyle w:val="TOC4"/>
        <w:rPr>
          <w:rFonts w:asciiTheme="minorHAnsi" w:eastAsiaTheme="minorEastAsia" w:hAnsiTheme="minorHAnsi" w:cstheme="minorBidi"/>
          <w:kern w:val="2"/>
          <w:sz w:val="24"/>
          <w:szCs w:val="24"/>
          <w14:ligatures w14:val="standardContextual"/>
        </w:rPr>
      </w:pPr>
      <w:r>
        <w:t>5.8.2.16</w:t>
      </w:r>
      <w:r>
        <w:rPr>
          <w:rFonts w:asciiTheme="minorHAnsi" w:eastAsiaTheme="minorEastAsia" w:hAnsiTheme="minorHAnsi" w:cstheme="minorBidi"/>
          <w:kern w:val="2"/>
          <w:sz w:val="24"/>
          <w:szCs w:val="24"/>
          <w14:ligatures w14:val="standardContextual"/>
        </w:rPr>
        <w:tab/>
      </w:r>
      <w:r>
        <w:t>Support for L2TP tunnelling on N6</w:t>
      </w:r>
      <w:r>
        <w:tab/>
      </w:r>
      <w:r>
        <w:fldChar w:fldCharType="begin" w:fldLock="1"/>
      </w:r>
      <w:r>
        <w:instrText xml:space="preserve"> PAGEREF _Toc201157204 \h </w:instrText>
      </w:r>
      <w:r>
        <w:fldChar w:fldCharType="separate"/>
      </w:r>
      <w:r>
        <w:t>220</w:t>
      </w:r>
      <w:r>
        <w:fldChar w:fldCharType="end"/>
      </w:r>
    </w:p>
    <w:p w14:paraId="39E828A3" w14:textId="620B284D" w:rsidR="006C1B74" w:rsidRDefault="006C1B74">
      <w:pPr>
        <w:pStyle w:val="TOC4"/>
        <w:rPr>
          <w:rFonts w:asciiTheme="minorHAnsi" w:eastAsiaTheme="minorEastAsia" w:hAnsiTheme="minorHAnsi" w:cstheme="minorBidi"/>
          <w:kern w:val="2"/>
          <w:sz w:val="24"/>
          <w:szCs w:val="24"/>
          <w14:ligatures w14:val="standardContextual"/>
        </w:rPr>
      </w:pPr>
      <w:r>
        <w:t>5.8.2.17</w:t>
      </w:r>
      <w:r>
        <w:rPr>
          <w:rFonts w:asciiTheme="minorHAnsi" w:eastAsiaTheme="minorEastAsia" w:hAnsiTheme="minorHAnsi" w:cstheme="minorBidi"/>
          <w:kern w:val="2"/>
          <w:sz w:val="24"/>
          <w:szCs w:val="24"/>
          <w14:ligatures w14:val="standardContextual"/>
        </w:rPr>
        <w:tab/>
      </w:r>
      <w:r>
        <w:t>Data exposure via Service Based interface</w:t>
      </w:r>
      <w:r>
        <w:tab/>
      </w:r>
      <w:r>
        <w:fldChar w:fldCharType="begin" w:fldLock="1"/>
      </w:r>
      <w:r>
        <w:instrText xml:space="preserve"> PAGEREF _Toc201157205 \h </w:instrText>
      </w:r>
      <w:r>
        <w:fldChar w:fldCharType="separate"/>
      </w:r>
      <w:r>
        <w:t>220</w:t>
      </w:r>
      <w:r>
        <w:fldChar w:fldCharType="end"/>
      </w:r>
    </w:p>
    <w:p w14:paraId="1A6BC697" w14:textId="3F1508F9" w:rsidR="006C1B74" w:rsidRDefault="006C1B74">
      <w:pPr>
        <w:pStyle w:val="TOC4"/>
        <w:rPr>
          <w:rFonts w:asciiTheme="minorHAnsi" w:eastAsiaTheme="minorEastAsia" w:hAnsiTheme="minorHAnsi" w:cstheme="minorBidi"/>
          <w:kern w:val="2"/>
          <w:sz w:val="24"/>
          <w:szCs w:val="24"/>
          <w14:ligatures w14:val="standardContextual"/>
        </w:rPr>
      </w:pPr>
      <w:r>
        <w:t>5.8.2.18</w:t>
      </w:r>
      <w:r>
        <w:rPr>
          <w:rFonts w:asciiTheme="minorHAnsi" w:eastAsiaTheme="minorEastAsia" w:hAnsiTheme="minorHAnsi" w:cstheme="minorBidi"/>
          <w:kern w:val="2"/>
          <w:sz w:val="24"/>
          <w:szCs w:val="24"/>
          <w14:ligatures w14:val="standardContextual"/>
        </w:rPr>
        <w:tab/>
      </w:r>
      <w:r>
        <w:t>QoS Flow related QoS monitoring and reporting</w:t>
      </w:r>
      <w:r>
        <w:tab/>
      </w:r>
      <w:r>
        <w:fldChar w:fldCharType="begin" w:fldLock="1"/>
      </w:r>
      <w:r>
        <w:instrText xml:space="preserve"> PAGEREF _Toc201157206 \h </w:instrText>
      </w:r>
      <w:r>
        <w:fldChar w:fldCharType="separate"/>
      </w:r>
      <w:r>
        <w:t>221</w:t>
      </w:r>
      <w:r>
        <w:fldChar w:fldCharType="end"/>
      </w:r>
    </w:p>
    <w:p w14:paraId="33AE4C5F" w14:textId="3321FE68" w:rsidR="006C1B74" w:rsidRDefault="006C1B74">
      <w:pPr>
        <w:pStyle w:val="TOC4"/>
        <w:rPr>
          <w:rFonts w:asciiTheme="minorHAnsi" w:eastAsiaTheme="minorEastAsia" w:hAnsiTheme="minorHAnsi" w:cstheme="minorBidi"/>
          <w:kern w:val="2"/>
          <w:sz w:val="24"/>
          <w:szCs w:val="24"/>
          <w14:ligatures w14:val="standardContextual"/>
        </w:rPr>
      </w:pPr>
      <w:r>
        <w:t>5.8.2.19</w:t>
      </w:r>
      <w:r>
        <w:rPr>
          <w:rFonts w:asciiTheme="minorHAnsi" w:eastAsiaTheme="minorEastAsia" w:hAnsiTheme="minorHAnsi" w:cstheme="minorBidi"/>
          <w:kern w:val="2"/>
          <w:sz w:val="24"/>
          <w:szCs w:val="24"/>
          <w14:ligatures w14:val="standardContextual"/>
        </w:rPr>
        <w:tab/>
      </w:r>
      <w:r>
        <w:t>Explicit Buffer Management</w:t>
      </w:r>
      <w:r>
        <w:tab/>
      </w:r>
      <w:r>
        <w:fldChar w:fldCharType="begin" w:fldLock="1"/>
      </w:r>
      <w:r>
        <w:instrText xml:space="preserve"> PAGEREF _Toc201157207 \h </w:instrText>
      </w:r>
      <w:r>
        <w:fldChar w:fldCharType="separate"/>
      </w:r>
      <w:r>
        <w:t>221</w:t>
      </w:r>
      <w:r>
        <w:fldChar w:fldCharType="end"/>
      </w:r>
    </w:p>
    <w:p w14:paraId="40B4B739" w14:textId="064843F5" w:rsidR="006C1B74" w:rsidRDefault="006C1B74">
      <w:pPr>
        <w:pStyle w:val="TOC5"/>
        <w:rPr>
          <w:rFonts w:asciiTheme="minorHAnsi" w:eastAsiaTheme="minorEastAsia" w:hAnsiTheme="minorHAnsi" w:cstheme="minorBidi"/>
          <w:kern w:val="2"/>
          <w:sz w:val="24"/>
          <w:szCs w:val="24"/>
          <w14:ligatures w14:val="standardContextual"/>
        </w:rPr>
      </w:pPr>
      <w:r>
        <w:t>5.8.2.19.1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_Toc201157208 \h </w:instrText>
      </w:r>
      <w:r>
        <w:fldChar w:fldCharType="separate"/>
      </w:r>
      <w:r>
        <w:t>221</w:t>
      </w:r>
      <w:r>
        <w:fldChar w:fldCharType="end"/>
      </w:r>
    </w:p>
    <w:p w14:paraId="6FE5CFF5" w14:textId="488D23A8" w:rsidR="006C1B74" w:rsidRDefault="006C1B74">
      <w:pPr>
        <w:pStyle w:val="TOC5"/>
        <w:rPr>
          <w:rFonts w:asciiTheme="minorHAnsi" w:eastAsiaTheme="minorEastAsia" w:hAnsiTheme="minorHAnsi" w:cstheme="minorBidi"/>
          <w:kern w:val="2"/>
          <w:sz w:val="24"/>
          <w:szCs w:val="24"/>
          <w14:ligatures w14:val="standardContextual"/>
        </w:rPr>
      </w:pPr>
      <w:r>
        <w:t>5.8.2.19.2</w:t>
      </w:r>
      <w:r>
        <w:rPr>
          <w:rFonts w:asciiTheme="minorHAnsi" w:eastAsiaTheme="minorEastAsia" w:hAnsiTheme="minorHAnsi" w:cstheme="minorBidi"/>
          <w:kern w:val="2"/>
          <w:sz w:val="24"/>
          <w:szCs w:val="24"/>
          <w14:ligatures w14:val="standardContextual"/>
        </w:rPr>
        <w:tab/>
      </w:r>
      <w:r>
        <w:t>Buffering at UPF</w:t>
      </w:r>
      <w:r>
        <w:tab/>
      </w:r>
      <w:r>
        <w:fldChar w:fldCharType="begin" w:fldLock="1"/>
      </w:r>
      <w:r>
        <w:instrText xml:space="preserve"> PAGEREF _Toc201157209 \h </w:instrText>
      </w:r>
      <w:r>
        <w:fldChar w:fldCharType="separate"/>
      </w:r>
      <w:r>
        <w:t>222</w:t>
      </w:r>
      <w:r>
        <w:fldChar w:fldCharType="end"/>
      </w:r>
    </w:p>
    <w:p w14:paraId="5E67EA6E" w14:textId="41B3B5F1" w:rsidR="006C1B74" w:rsidRDefault="006C1B74">
      <w:pPr>
        <w:pStyle w:val="TOC5"/>
        <w:rPr>
          <w:rFonts w:asciiTheme="minorHAnsi" w:eastAsiaTheme="minorEastAsia" w:hAnsiTheme="minorHAnsi" w:cstheme="minorBidi"/>
          <w:kern w:val="2"/>
          <w:sz w:val="24"/>
          <w:szCs w:val="24"/>
          <w14:ligatures w14:val="standardContextual"/>
        </w:rPr>
      </w:pPr>
      <w:r w:rsidRPr="00191652">
        <w:rPr>
          <w:rFonts w:eastAsia="SimSun"/>
          <w:lang w:eastAsia="zh-CN"/>
        </w:rPr>
        <w:t>5.8.2.19.3</w:t>
      </w:r>
      <w:r>
        <w:rPr>
          <w:rFonts w:asciiTheme="minorHAnsi" w:eastAsiaTheme="minorEastAsia" w:hAnsiTheme="minorHAnsi" w:cstheme="minorBidi"/>
          <w:kern w:val="2"/>
          <w:sz w:val="24"/>
          <w:szCs w:val="24"/>
          <w14:ligatures w14:val="standardContextual"/>
        </w:rPr>
        <w:tab/>
      </w:r>
      <w:r w:rsidRPr="00191652">
        <w:rPr>
          <w:rFonts w:eastAsia="SimSun"/>
          <w:lang w:eastAsia="zh-CN"/>
        </w:rPr>
        <w:t>Buffering at SMF</w:t>
      </w:r>
      <w:r>
        <w:tab/>
      </w:r>
      <w:r>
        <w:fldChar w:fldCharType="begin" w:fldLock="1"/>
      </w:r>
      <w:r>
        <w:instrText xml:space="preserve"> PAGEREF _Toc201157210 \h </w:instrText>
      </w:r>
      <w:r>
        <w:fldChar w:fldCharType="separate"/>
      </w:r>
      <w:r>
        <w:t>222</w:t>
      </w:r>
      <w:r>
        <w:fldChar w:fldCharType="end"/>
      </w:r>
    </w:p>
    <w:p w14:paraId="539964B0" w14:textId="7778B42F" w:rsidR="006C1B74" w:rsidRDefault="006C1B74">
      <w:pPr>
        <w:pStyle w:val="TOC4"/>
        <w:rPr>
          <w:rFonts w:asciiTheme="minorHAnsi" w:eastAsiaTheme="minorEastAsia" w:hAnsiTheme="minorHAnsi" w:cstheme="minorBidi"/>
          <w:kern w:val="2"/>
          <w:sz w:val="24"/>
          <w:szCs w:val="24"/>
          <w14:ligatures w14:val="standardContextual"/>
        </w:rPr>
      </w:pPr>
      <w:r>
        <w:t>5.8.2.20</w:t>
      </w:r>
      <w:r>
        <w:rPr>
          <w:rFonts w:asciiTheme="minorHAnsi" w:eastAsiaTheme="minorEastAsia" w:hAnsiTheme="minorHAnsi" w:cstheme="minorBidi"/>
          <w:kern w:val="2"/>
          <w:sz w:val="24"/>
          <w:szCs w:val="24"/>
          <w14:ligatures w14:val="standardContextual"/>
        </w:rPr>
        <w:tab/>
      </w:r>
      <w:r>
        <w:t>SMF Pause of Charging</w:t>
      </w:r>
      <w:r>
        <w:tab/>
      </w:r>
      <w:r>
        <w:fldChar w:fldCharType="begin" w:fldLock="1"/>
      </w:r>
      <w:r>
        <w:instrText xml:space="preserve"> PAGEREF _Toc201157211 \h </w:instrText>
      </w:r>
      <w:r>
        <w:fldChar w:fldCharType="separate"/>
      </w:r>
      <w:r>
        <w:t>223</w:t>
      </w:r>
      <w:r>
        <w:fldChar w:fldCharType="end"/>
      </w:r>
    </w:p>
    <w:p w14:paraId="3EB88EE7" w14:textId="1C5AD980" w:rsidR="006C1B74" w:rsidRDefault="006C1B74">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Explicit Buffer Management (moved)</w:t>
      </w:r>
      <w:r>
        <w:tab/>
      </w:r>
      <w:r>
        <w:fldChar w:fldCharType="begin" w:fldLock="1"/>
      </w:r>
      <w:r>
        <w:instrText xml:space="preserve"> PAGEREF _Toc201157212 \h </w:instrText>
      </w:r>
      <w:r>
        <w:fldChar w:fldCharType="separate"/>
      </w:r>
      <w:r>
        <w:t>223</w:t>
      </w:r>
      <w:r>
        <w:fldChar w:fldCharType="end"/>
      </w:r>
    </w:p>
    <w:p w14:paraId="494EFB06" w14:textId="5B7922A9" w:rsidR="006C1B74" w:rsidRDefault="006C1B74">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SMF Pause of Charging (moved)</w:t>
      </w:r>
      <w:r>
        <w:tab/>
      </w:r>
      <w:r>
        <w:fldChar w:fldCharType="begin" w:fldLock="1"/>
      </w:r>
      <w:r>
        <w:instrText xml:space="preserve"> PAGEREF _Toc201157213 \h </w:instrText>
      </w:r>
      <w:r>
        <w:fldChar w:fldCharType="separate"/>
      </w:r>
      <w:r>
        <w:t>223</w:t>
      </w:r>
      <w:r>
        <w:fldChar w:fldCharType="end"/>
      </w:r>
    </w:p>
    <w:p w14:paraId="7600FD7A" w14:textId="6283515F" w:rsidR="006C1B74" w:rsidRDefault="006C1B74">
      <w:pPr>
        <w:pStyle w:val="TOC3"/>
        <w:rPr>
          <w:rFonts w:asciiTheme="minorHAnsi" w:eastAsiaTheme="minorEastAsia" w:hAnsiTheme="minorHAnsi" w:cstheme="minorBidi"/>
          <w:kern w:val="2"/>
          <w:sz w:val="24"/>
          <w:szCs w:val="24"/>
          <w14:ligatures w14:val="standardContextual"/>
        </w:rPr>
      </w:pPr>
      <w:r>
        <w:t>5.8.5</w:t>
      </w:r>
      <w:r>
        <w:rPr>
          <w:rFonts w:asciiTheme="minorHAnsi" w:eastAsiaTheme="minorEastAsia" w:hAnsiTheme="minorHAnsi" w:cstheme="minorBidi"/>
          <w:kern w:val="2"/>
          <w:sz w:val="24"/>
          <w:szCs w:val="24"/>
          <w14:ligatures w14:val="standardContextual"/>
        </w:rPr>
        <w:tab/>
      </w:r>
      <w:r>
        <w:t>Parameters for N4 session management</w:t>
      </w:r>
      <w:r>
        <w:tab/>
      </w:r>
      <w:r>
        <w:fldChar w:fldCharType="begin" w:fldLock="1"/>
      </w:r>
      <w:r>
        <w:instrText xml:space="preserve"> PAGEREF _Toc201157214 \h </w:instrText>
      </w:r>
      <w:r>
        <w:fldChar w:fldCharType="separate"/>
      </w:r>
      <w:r>
        <w:t>223</w:t>
      </w:r>
      <w:r>
        <w:fldChar w:fldCharType="end"/>
      </w:r>
    </w:p>
    <w:p w14:paraId="1F092B88" w14:textId="51921F5E" w:rsidR="006C1B74" w:rsidRDefault="006C1B74">
      <w:pPr>
        <w:pStyle w:val="TOC4"/>
        <w:rPr>
          <w:rFonts w:asciiTheme="minorHAnsi" w:eastAsiaTheme="minorEastAsia" w:hAnsiTheme="minorHAnsi" w:cstheme="minorBidi"/>
          <w:kern w:val="2"/>
          <w:sz w:val="24"/>
          <w:szCs w:val="24"/>
          <w14:ligatures w14:val="standardContextual"/>
        </w:rPr>
      </w:pPr>
      <w:r>
        <w:t>5.8.5.1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_Toc201157215 \h </w:instrText>
      </w:r>
      <w:r>
        <w:fldChar w:fldCharType="separate"/>
      </w:r>
      <w:r>
        <w:t>223</w:t>
      </w:r>
      <w:r>
        <w:fldChar w:fldCharType="end"/>
      </w:r>
    </w:p>
    <w:p w14:paraId="3DD7BDC6" w14:textId="7E3E3B9C" w:rsidR="006C1B74" w:rsidRDefault="006C1B74">
      <w:pPr>
        <w:pStyle w:val="TOC4"/>
        <w:rPr>
          <w:rFonts w:asciiTheme="minorHAnsi" w:eastAsiaTheme="minorEastAsia" w:hAnsiTheme="minorHAnsi" w:cstheme="minorBidi"/>
          <w:kern w:val="2"/>
          <w:sz w:val="24"/>
          <w:szCs w:val="24"/>
          <w14:ligatures w14:val="standardContextual"/>
        </w:rPr>
      </w:pPr>
      <w:r>
        <w:t>5.8.5.2</w:t>
      </w:r>
      <w:r>
        <w:rPr>
          <w:rFonts w:asciiTheme="minorHAnsi" w:eastAsiaTheme="minorEastAsia" w:hAnsiTheme="minorHAnsi" w:cstheme="minorBidi"/>
          <w:kern w:val="2"/>
          <w:sz w:val="24"/>
          <w:szCs w:val="24"/>
          <w14:ligatures w14:val="standardContextual"/>
        </w:rPr>
        <w:tab/>
      </w:r>
      <w:r>
        <w:t>N4 Session Context</w:t>
      </w:r>
      <w:r>
        <w:tab/>
      </w:r>
      <w:r>
        <w:fldChar w:fldCharType="begin" w:fldLock="1"/>
      </w:r>
      <w:r>
        <w:instrText xml:space="preserve"> PAGEREF _Toc201157216 \h </w:instrText>
      </w:r>
      <w:r>
        <w:fldChar w:fldCharType="separate"/>
      </w:r>
      <w:r>
        <w:t>224</w:t>
      </w:r>
      <w:r>
        <w:fldChar w:fldCharType="end"/>
      </w:r>
    </w:p>
    <w:p w14:paraId="189825B5" w14:textId="11B10440" w:rsidR="006C1B74" w:rsidRDefault="006C1B74">
      <w:pPr>
        <w:pStyle w:val="TOC4"/>
        <w:rPr>
          <w:rFonts w:asciiTheme="minorHAnsi" w:eastAsiaTheme="minorEastAsia" w:hAnsiTheme="minorHAnsi" w:cstheme="minorBidi"/>
          <w:kern w:val="2"/>
          <w:sz w:val="24"/>
          <w:szCs w:val="24"/>
          <w14:ligatures w14:val="standardContextual"/>
        </w:rPr>
      </w:pPr>
      <w:r>
        <w:t>5.8.5.3</w:t>
      </w:r>
      <w:r>
        <w:rPr>
          <w:rFonts w:asciiTheme="minorHAnsi" w:eastAsiaTheme="minorEastAsia" w:hAnsiTheme="minorHAnsi" w:cstheme="minorBidi"/>
          <w:kern w:val="2"/>
          <w:sz w:val="24"/>
          <w:szCs w:val="24"/>
          <w14:ligatures w14:val="standardContextual"/>
        </w:rPr>
        <w:tab/>
      </w:r>
      <w:r>
        <w:t>Packet Detection Rule</w:t>
      </w:r>
      <w:r>
        <w:tab/>
      </w:r>
      <w:r>
        <w:fldChar w:fldCharType="begin" w:fldLock="1"/>
      </w:r>
      <w:r>
        <w:instrText xml:space="preserve"> PAGEREF _Toc201157217 \h </w:instrText>
      </w:r>
      <w:r>
        <w:fldChar w:fldCharType="separate"/>
      </w:r>
      <w:r>
        <w:t>224</w:t>
      </w:r>
      <w:r>
        <w:fldChar w:fldCharType="end"/>
      </w:r>
    </w:p>
    <w:p w14:paraId="1FEB3CE4" w14:textId="57DCB62A" w:rsidR="006C1B74" w:rsidRDefault="006C1B74">
      <w:pPr>
        <w:pStyle w:val="TOC4"/>
        <w:rPr>
          <w:rFonts w:asciiTheme="minorHAnsi" w:eastAsiaTheme="minorEastAsia" w:hAnsiTheme="minorHAnsi" w:cstheme="minorBidi"/>
          <w:kern w:val="2"/>
          <w:sz w:val="24"/>
          <w:szCs w:val="24"/>
          <w14:ligatures w14:val="standardContextual"/>
        </w:rPr>
      </w:pPr>
      <w:r>
        <w:t>5.8.5.4</w:t>
      </w:r>
      <w:r>
        <w:rPr>
          <w:rFonts w:asciiTheme="minorHAnsi" w:eastAsiaTheme="minorEastAsia" w:hAnsiTheme="minorHAnsi" w:cstheme="minorBidi"/>
          <w:kern w:val="2"/>
          <w:sz w:val="24"/>
          <w:szCs w:val="24"/>
          <w14:ligatures w14:val="standardContextual"/>
        </w:rPr>
        <w:tab/>
      </w:r>
      <w:r>
        <w:t>QoS Enforcement Rule</w:t>
      </w:r>
      <w:r>
        <w:tab/>
      </w:r>
      <w:r>
        <w:fldChar w:fldCharType="begin" w:fldLock="1"/>
      </w:r>
      <w:r>
        <w:instrText xml:space="preserve"> PAGEREF _Toc201157218 \h </w:instrText>
      </w:r>
      <w:r>
        <w:fldChar w:fldCharType="separate"/>
      </w:r>
      <w:r>
        <w:t>227</w:t>
      </w:r>
      <w:r>
        <w:fldChar w:fldCharType="end"/>
      </w:r>
    </w:p>
    <w:p w14:paraId="1E8BA9C8" w14:textId="15CA07B8" w:rsidR="006C1B74" w:rsidRDefault="006C1B74">
      <w:pPr>
        <w:pStyle w:val="TOC4"/>
        <w:rPr>
          <w:rFonts w:asciiTheme="minorHAnsi" w:eastAsiaTheme="minorEastAsia" w:hAnsiTheme="minorHAnsi" w:cstheme="minorBidi"/>
          <w:kern w:val="2"/>
          <w:sz w:val="24"/>
          <w:szCs w:val="24"/>
          <w14:ligatures w14:val="standardContextual"/>
        </w:rPr>
      </w:pPr>
      <w:r>
        <w:t>5.8.5.5</w:t>
      </w:r>
      <w:r>
        <w:rPr>
          <w:rFonts w:asciiTheme="minorHAnsi" w:eastAsiaTheme="minorEastAsia" w:hAnsiTheme="minorHAnsi" w:cstheme="minorBidi"/>
          <w:kern w:val="2"/>
          <w:sz w:val="24"/>
          <w:szCs w:val="24"/>
          <w14:ligatures w14:val="standardContextual"/>
        </w:rPr>
        <w:tab/>
      </w:r>
      <w:r>
        <w:t>Usage Reporting Rule</w:t>
      </w:r>
      <w:r>
        <w:tab/>
      </w:r>
      <w:r>
        <w:fldChar w:fldCharType="begin" w:fldLock="1"/>
      </w:r>
      <w:r>
        <w:instrText xml:space="preserve"> PAGEREF _Toc201157219 \h </w:instrText>
      </w:r>
      <w:r>
        <w:fldChar w:fldCharType="separate"/>
      </w:r>
      <w:r>
        <w:t>230</w:t>
      </w:r>
      <w:r>
        <w:fldChar w:fldCharType="end"/>
      </w:r>
    </w:p>
    <w:p w14:paraId="6EFD24E9" w14:textId="4D9D773B" w:rsidR="006C1B74" w:rsidRDefault="006C1B74">
      <w:pPr>
        <w:pStyle w:val="TOC4"/>
        <w:rPr>
          <w:rFonts w:asciiTheme="minorHAnsi" w:eastAsiaTheme="minorEastAsia" w:hAnsiTheme="minorHAnsi" w:cstheme="minorBidi"/>
          <w:kern w:val="2"/>
          <w:sz w:val="24"/>
          <w:szCs w:val="24"/>
          <w14:ligatures w14:val="standardContextual"/>
        </w:rPr>
      </w:pPr>
      <w:r>
        <w:t>5.8.5.6</w:t>
      </w:r>
      <w:r>
        <w:rPr>
          <w:rFonts w:asciiTheme="minorHAnsi" w:eastAsiaTheme="minorEastAsia" w:hAnsiTheme="minorHAnsi" w:cstheme="minorBidi"/>
          <w:kern w:val="2"/>
          <w:sz w:val="24"/>
          <w:szCs w:val="24"/>
          <w14:ligatures w14:val="standardContextual"/>
        </w:rPr>
        <w:tab/>
      </w:r>
      <w:r>
        <w:t>Forwarding Action Rule</w:t>
      </w:r>
      <w:r>
        <w:tab/>
      </w:r>
      <w:r>
        <w:fldChar w:fldCharType="begin" w:fldLock="1"/>
      </w:r>
      <w:r>
        <w:instrText xml:space="preserve"> PAGEREF _Toc201157220 \h </w:instrText>
      </w:r>
      <w:r>
        <w:fldChar w:fldCharType="separate"/>
      </w:r>
      <w:r>
        <w:t>233</w:t>
      </w:r>
      <w:r>
        <w:fldChar w:fldCharType="end"/>
      </w:r>
    </w:p>
    <w:p w14:paraId="007DF4E3" w14:textId="5D40F80C" w:rsidR="006C1B74" w:rsidRDefault="006C1B74">
      <w:pPr>
        <w:pStyle w:val="TOC4"/>
        <w:rPr>
          <w:rFonts w:asciiTheme="minorHAnsi" w:eastAsiaTheme="minorEastAsia" w:hAnsiTheme="minorHAnsi" w:cstheme="minorBidi"/>
          <w:kern w:val="2"/>
          <w:sz w:val="24"/>
          <w:szCs w:val="24"/>
          <w14:ligatures w14:val="standardContextual"/>
        </w:rPr>
      </w:pPr>
      <w:r>
        <w:t>5.8.5.7</w:t>
      </w:r>
      <w:r>
        <w:rPr>
          <w:rFonts w:asciiTheme="minorHAnsi" w:eastAsiaTheme="minorEastAsia" w:hAnsiTheme="minorHAnsi" w:cstheme="minorBidi"/>
          <w:kern w:val="2"/>
          <w:sz w:val="24"/>
          <w:szCs w:val="24"/>
          <w14:ligatures w14:val="standardContextual"/>
        </w:rPr>
        <w:tab/>
      </w:r>
      <w:r>
        <w:t>Usage Report generated by UPF</w:t>
      </w:r>
      <w:r>
        <w:tab/>
      </w:r>
      <w:r>
        <w:fldChar w:fldCharType="begin" w:fldLock="1"/>
      </w:r>
      <w:r>
        <w:instrText xml:space="preserve"> PAGEREF _Toc201157221 \h </w:instrText>
      </w:r>
      <w:r>
        <w:fldChar w:fldCharType="separate"/>
      </w:r>
      <w:r>
        <w:t>236</w:t>
      </w:r>
      <w:r>
        <w:fldChar w:fldCharType="end"/>
      </w:r>
    </w:p>
    <w:p w14:paraId="7B284DDA" w14:textId="36571FF9" w:rsidR="006C1B74" w:rsidRDefault="006C1B74">
      <w:pPr>
        <w:pStyle w:val="TOC4"/>
        <w:rPr>
          <w:rFonts w:asciiTheme="minorHAnsi" w:eastAsiaTheme="minorEastAsia" w:hAnsiTheme="minorHAnsi" w:cstheme="minorBidi"/>
          <w:kern w:val="2"/>
          <w:sz w:val="24"/>
          <w:szCs w:val="24"/>
          <w14:ligatures w14:val="standardContextual"/>
        </w:rPr>
      </w:pPr>
      <w:r>
        <w:t>5.8.5.8</w:t>
      </w:r>
      <w:r>
        <w:rPr>
          <w:rFonts w:asciiTheme="minorHAnsi" w:eastAsiaTheme="minorEastAsia" w:hAnsiTheme="minorHAnsi" w:cstheme="minorBidi"/>
          <w:kern w:val="2"/>
          <w:sz w:val="24"/>
          <w:szCs w:val="24"/>
          <w14:ligatures w14:val="standardContextual"/>
        </w:rPr>
        <w:tab/>
      </w:r>
      <w:r>
        <w:t>Multi-Access Rule</w:t>
      </w:r>
      <w:r>
        <w:tab/>
      </w:r>
      <w:r>
        <w:fldChar w:fldCharType="begin" w:fldLock="1"/>
      </w:r>
      <w:r>
        <w:instrText xml:space="preserve"> PAGEREF _Toc201157222 \h </w:instrText>
      </w:r>
      <w:r>
        <w:fldChar w:fldCharType="separate"/>
      </w:r>
      <w:r>
        <w:t>237</w:t>
      </w:r>
      <w:r>
        <w:fldChar w:fldCharType="end"/>
      </w:r>
    </w:p>
    <w:p w14:paraId="543F9689" w14:textId="41F6BABB" w:rsidR="006C1B74" w:rsidRDefault="006C1B74">
      <w:pPr>
        <w:pStyle w:val="TOC4"/>
        <w:rPr>
          <w:rFonts w:asciiTheme="minorHAnsi" w:eastAsiaTheme="minorEastAsia" w:hAnsiTheme="minorHAnsi" w:cstheme="minorBidi"/>
          <w:kern w:val="2"/>
          <w:sz w:val="24"/>
          <w:szCs w:val="24"/>
          <w14:ligatures w14:val="standardContextual"/>
        </w:rPr>
      </w:pPr>
      <w:r>
        <w:t>5.8.5.9</w:t>
      </w:r>
      <w:r>
        <w:rPr>
          <w:rFonts w:asciiTheme="minorHAnsi" w:eastAsiaTheme="minorEastAsia" w:hAnsiTheme="minorHAnsi" w:cstheme="minorBidi"/>
          <w:kern w:val="2"/>
          <w:sz w:val="24"/>
          <w:szCs w:val="24"/>
          <w14:ligatures w14:val="standardContextual"/>
        </w:rPr>
        <w:tab/>
      </w:r>
      <w:r>
        <w:t>Bridge/Router Information</w:t>
      </w:r>
      <w:r>
        <w:tab/>
      </w:r>
      <w:r>
        <w:fldChar w:fldCharType="begin" w:fldLock="1"/>
      </w:r>
      <w:r>
        <w:instrText xml:space="preserve"> PAGEREF _Toc201157223 \h </w:instrText>
      </w:r>
      <w:r>
        <w:fldChar w:fldCharType="separate"/>
      </w:r>
      <w:r>
        <w:t>238</w:t>
      </w:r>
      <w:r>
        <w:fldChar w:fldCharType="end"/>
      </w:r>
    </w:p>
    <w:p w14:paraId="267EF231" w14:textId="5EA90039" w:rsidR="006C1B74" w:rsidRDefault="006C1B74">
      <w:pPr>
        <w:pStyle w:val="TOC4"/>
        <w:rPr>
          <w:rFonts w:asciiTheme="minorHAnsi" w:eastAsiaTheme="minorEastAsia" w:hAnsiTheme="minorHAnsi" w:cstheme="minorBidi"/>
          <w:kern w:val="2"/>
          <w:sz w:val="24"/>
          <w:szCs w:val="24"/>
          <w14:ligatures w14:val="standardContextual"/>
        </w:rPr>
      </w:pPr>
      <w:r>
        <w:t>5.8.5.10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_Toc201157224 \h </w:instrText>
      </w:r>
      <w:r>
        <w:fldChar w:fldCharType="separate"/>
      </w:r>
      <w:r>
        <w:t>238</w:t>
      </w:r>
      <w:r>
        <w:fldChar w:fldCharType="end"/>
      </w:r>
    </w:p>
    <w:p w14:paraId="6F1E1545" w14:textId="1E2A3A35" w:rsidR="006C1B74" w:rsidRDefault="006C1B74">
      <w:pPr>
        <w:pStyle w:val="TOC4"/>
        <w:rPr>
          <w:rFonts w:asciiTheme="minorHAnsi" w:eastAsiaTheme="minorEastAsia" w:hAnsiTheme="minorHAnsi" w:cstheme="minorBidi"/>
          <w:kern w:val="2"/>
          <w:sz w:val="24"/>
          <w:szCs w:val="24"/>
          <w14:ligatures w14:val="standardContextual"/>
        </w:rPr>
      </w:pPr>
      <w:r>
        <w:t>5.8.5.11</w:t>
      </w:r>
      <w:r>
        <w:rPr>
          <w:rFonts w:asciiTheme="minorHAnsi" w:eastAsiaTheme="minorEastAsia" w:hAnsiTheme="minorHAnsi" w:cstheme="minorBidi"/>
          <w:kern w:val="2"/>
          <w:sz w:val="24"/>
          <w:szCs w:val="24"/>
          <w14:ligatures w14:val="standardContextual"/>
        </w:rPr>
        <w:tab/>
      </w:r>
      <w:r>
        <w:t>Session Reporting Rule</w:t>
      </w:r>
      <w:r>
        <w:tab/>
      </w:r>
      <w:r>
        <w:fldChar w:fldCharType="begin" w:fldLock="1"/>
      </w:r>
      <w:r>
        <w:instrText xml:space="preserve"> PAGEREF _Toc201157225 \h </w:instrText>
      </w:r>
      <w:r>
        <w:fldChar w:fldCharType="separate"/>
      </w:r>
      <w:r>
        <w:t>239</w:t>
      </w:r>
      <w:r>
        <w:fldChar w:fldCharType="end"/>
      </w:r>
    </w:p>
    <w:p w14:paraId="7022DF3D" w14:textId="7870D4AE" w:rsidR="006C1B74" w:rsidRDefault="006C1B74">
      <w:pPr>
        <w:pStyle w:val="TOC4"/>
        <w:rPr>
          <w:rFonts w:asciiTheme="minorHAnsi" w:eastAsiaTheme="minorEastAsia" w:hAnsiTheme="minorHAnsi" w:cstheme="minorBidi"/>
          <w:kern w:val="2"/>
          <w:sz w:val="24"/>
          <w:szCs w:val="24"/>
          <w14:ligatures w14:val="standardContextual"/>
        </w:rPr>
      </w:pPr>
      <w:r>
        <w:t>5.8.5.12</w:t>
      </w:r>
      <w:r>
        <w:rPr>
          <w:rFonts w:asciiTheme="minorHAnsi" w:eastAsiaTheme="minorEastAsia" w:hAnsiTheme="minorHAnsi" w:cstheme="minorBidi"/>
          <w:kern w:val="2"/>
          <w:sz w:val="24"/>
          <w:szCs w:val="24"/>
          <w14:ligatures w14:val="standardContextual"/>
        </w:rPr>
        <w:tab/>
      </w:r>
      <w:r>
        <w:t>Session reporting generated by UPF</w:t>
      </w:r>
      <w:r>
        <w:tab/>
      </w:r>
      <w:r>
        <w:fldChar w:fldCharType="begin" w:fldLock="1"/>
      </w:r>
      <w:r>
        <w:instrText xml:space="preserve"> PAGEREF _Toc201157226 \h </w:instrText>
      </w:r>
      <w:r>
        <w:fldChar w:fldCharType="separate"/>
      </w:r>
      <w:r>
        <w:t>239</w:t>
      </w:r>
      <w:r>
        <w:fldChar w:fldCharType="end"/>
      </w:r>
    </w:p>
    <w:p w14:paraId="04DB2C03" w14:textId="7BC6B3D9" w:rsidR="006C1B74" w:rsidRDefault="006C1B74">
      <w:pPr>
        <w:pStyle w:val="TOC4"/>
        <w:rPr>
          <w:rFonts w:asciiTheme="minorHAnsi" w:eastAsiaTheme="minorEastAsia" w:hAnsiTheme="minorHAnsi" w:cstheme="minorBidi"/>
          <w:kern w:val="2"/>
          <w:sz w:val="24"/>
          <w:szCs w:val="24"/>
          <w14:ligatures w14:val="standardContextual"/>
        </w:rPr>
      </w:pPr>
      <w:r>
        <w:t>5.8.5.13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_Toc201157227 \h </w:instrText>
      </w:r>
      <w:r>
        <w:fldChar w:fldCharType="separate"/>
      </w:r>
      <w:r>
        <w:t>240</w:t>
      </w:r>
      <w:r>
        <w:fldChar w:fldCharType="end"/>
      </w:r>
    </w:p>
    <w:p w14:paraId="67342483" w14:textId="58AE8E26" w:rsidR="006C1B74" w:rsidRDefault="006C1B74">
      <w:pPr>
        <w:pStyle w:val="TOC4"/>
        <w:rPr>
          <w:rFonts w:asciiTheme="minorHAnsi" w:eastAsiaTheme="minorEastAsia" w:hAnsiTheme="minorHAnsi" w:cstheme="minorBidi"/>
          <w:kern w:val="2"/>
          <w:sz w:val="24"/>
          <w:szCs w:val="24"/>
          <w14:ligatures w14:val="standardContextual"/>
        </w:rPr>
      </w:pPr>
      <w:r>
        <w:t>5.8.5.14</w:t>
      </w:r>
      <w:r>
        <w:rPr>
          <w:rFonts w:asciiTheme="minorHAnsi" w:eastAsiaTheme="minorEastAsia" w:hAnsiTheme="minorHAnsi" w:cstheme="minorBidi"/>
          <w:kern w:val="2"/>
          <w:sz w:val="24"/>
          <w:szCs w:val="24"/>
          <w14:ligatures w14:val="standardContextual"/>
        </w:rPr>
        <w:tab/>
      </w:r>
      <w:r>
        <w:t>TSC Management Information</w:t>
      </w:r>
      <w:r>
        <w:tab/>
      </w:r>
      <w:r>
        <w:fldChar w:fldCharType="begin" w:fldLock="1"/>
      </w:r>
      <w:r>
        <w:instrText xml:space="preserve"> PAGEREF _Toc201157228 \h </w:instrText>
      </w:r>
      <w:r>
        <w:fldChar w:fldCharType="separate"/>
      </w:r>
      <w:r>
        <w:t>240</w:t>
      </w:r>
      <w:r>
        <w:fldChar w:fldCharType="end"/>
      </w:r>
    </w:p>
    <w:p w14:paraId="5669A2FC" w14:textId="360D2A1F" w:rsidR="006C1B74" w:rsidRDefault="006C1B74">
      <w:pPr>
        <w:pStyle w:val="TOC4"/>
        <w:rPr>
          <w:rFonts w:asciiTheme="minorHAnsi" w:eastAsiaTheme="minorEastAsia" w:hAnsiTheme="minorHAnsi" w:cstheme="minorBidi"/>
          <w:kern w:val="2"/>
          <w:sz w:val="24"/>
          <w:szCs w:val="24"/>
          <w14:ligatures w14:val="standardContextual"/>
        </w:rPr>
      </w:pPr>
      <w:r>
        <w:t>5.8.5.15</w:t>
      </w:r>
      <w:r>
        <w:rPr>
          <w:rFonts w:asciiTheme="minorHAnsi" w:eastAsiaTheme="minorEastAsia" w:hAnsiTheme="minorHAnsi" w:cstheme="minorBidi"/>
          <w:kern w:val="2"/>
          <w:sz w:val="24"/>
          <w:szCs w:val="24"/>
          <w14:ligatures w14:val="standardContextual"/>
        </w:rPr>
        <w:tab/>
      </w:r>
      <w:r>
        <w:t>Downlink Data Report generated by UPF</w:t>
      </w:r>
      <w:r>
        <w:tab/>
      </w:r>
      <w:r>
        <w:fldChar w:fldCharType="begin" w:fldLock="1"/>
      </w:r>
      <w:r>
        <w:instrText xml:space="preserve"> PAGEREF _Toc201157229 \h </w:instrText>
      </w:r>
      <w:r>
        <w:fldChar w:fldCharType="separate"/>
      </w:r>
      <w:r>
        <w:t>240</w:t>
      </w:r>
      <w:r>
        <w:fldChar w:fldCharType="end"/>
      </w:r>
    </w:p>
    <w:p w14:paraId="2D9E7EE1" w14:textId="4F2397AC" w:rsidR="006C1B74" w:rsidRDefault="006C1B74">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Identifiers</w:t>
      </w:r>
      <w:r>
        <w:tab/>
      </w:r>
      <w:r>
        <w:fldChar w:fldCharType="begin" w:fldLock="1"/>
      </w:r>
      <w:r>
        <w:instrText xml:space="preserve"> PAGEREF _Toc201157230 \h </w:instrText>
      </w:r>
      <w:r>
        <w:fldChar w:fldCharType="separate"/>
      </w:r>
      <w:r>
        <w:t>241</w:t>
      </w:r>
      <w:r>
        <w:fldChar w:fldCharType="end"/>
      </w:r>
    </w:p>
    <w:p w14:paraId="347655B5" w14:textId="177743F4" w:rsidR="006C1B74" w:rsidRDefault="006C1B74">
      <w:pPr>
        <w:pStyle w:val="TOC3"/>
        <w:rPr>
          <w:rFonts w:asciiTheme="minorHAnsi" w:eastAsiaTheme="minorEastAsia" w:hAnsiTheme="minorHAnsi" w:cstheme="minorBidi"/>
          <w:kern w:val="2"/>
          <w:sz w:val="24"/>
          <w:szCs w:val="24"/>
          <w14:ligatures w14:val="standardContextual"/>
        </w:rPr>
      </w:pPr>
      <w:r>
        <w:t>5.9.1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_Toc201157231 \h </w:instrText>
      </w:r>
      <w:r>
        <w:fldChar w:fldCharType="separate"/>
      </w:r>
      <w:r>
        <w:t>241</w:t>
      </w:r>
      <w:r>
        <w:fldChar w:fldCharType="end"/>
      </w:r>
    </w:p>
    <w:p w14:paraId="3AC2BDAC" w14:textId="6EFE6BEB" w:rsidR="006C1B74" w:rsidRDefault="006C1B74">
      <w:pPr>
        <w:pStyle w:val="TOC3"/>
        <w:rPr>
          <w:rFonts w:asciiTheme="minorHAnsi" w:eastAsiaTheme="minorEastAsia" w:hAnsiTheme="minorHAnsi" w:cstheme="minorBidi"/>
          <w:kern w:val="2"/>
          <w:sz w:val="24"/>
          <w:szCs w:val="24"/>
          <w14:ligatures w14:val="standardContextual"/>
        </w:rPr>
      </w:pPr>
      <w:r>
        <w:t>5.9.2</w:t>
      </w:r>
      <w:r>
        <w:rPr>
          <w:rFonts w:asciiTheme="minorHAnsi" w:eastAsiaTheme="minorEastAsia" w:hAnsiTheme="minorHAnsi" w:cstheme="minorBidi"/>
          <w:kern w:val="2"/>
          <w:sz w:val="24"/>
          <w:szCs w:val="24"/>
          <w14:ligatures w14:val="standardContextual"/>
        </w:rPr>
        <w:tab/>
      </w:r>
      <w:r>
        <w:t>Subscription Permanent Identifier</w:t>
      </w:r>
      <w:r>
        <w:tab/>
      </w:r>
      <w:r>
        <w:fldChar w:fldCharType="begin" w:fldLock="1"/>
      </w:r>
      <w:r>
        <w:instrText xml:space="preserve"> PAGEREF _Toc201157232 \h </w:instrText>
      </w:r>
      <w:r>
        <w:fldChar w:fldCharType="separate"/>
      </w:r>
      <w:r>
        <w:t>241</w:t>
      </w:r>
      <w:r>
        <w:fldChar w:fldCharType="end"/>
      </w:r>
    </w:p>
    <w:p w14:paraId="5BF33CCF" w14:textId="705CA888" w:rsidR="006C1B74" w:rsidRDefault="006C1B74">
      <w:pPr>
        <w:pStyle w:val="TOC3"/>
        <w:rPr>
          <w:rFonts w:asciiTheme="minorHAnsi" w:eastAsiaTheme="minorEastAsia" w:hAnsiTheme="minorHAnsi" w:cstheme="minorBidi"/>
          <w:kern w:val="2"/>
          <w:sz w:val="24"/>
          <w:szCs w:val="24"/>
          <w14:ligatures w14:val="standardContextual"/>
        </w:rPr>
      </w:pPr>
      <w:r>
        <w:t>5.9.2a</w:t>
      </w:r>
      <w:r>
        <w:rPr>
          <w:rFonts w:asciiTheme="minorHAnsi" w:eastAsiaTheme="minorEastAsia" w:hAnsiTheme="minorHAnsi" w:cstheme="minorBidi"/>
          <w:kern w:val="2"/>
          <w:sz w:val="24"/>
          <w:szCs w:val="24"/>
          <w14:ligatures w14:val="standardContextual"/>
        </w:rPr>
        <w:tab/>
      </w:r>
      <w:r>
        <w:t>Subscription Concealed Identifier</w:t>
      </w:r>
      <w:r>
        <w:tab/>
      </w:r>
      <w:r>
        <w:fldChar w:fldCharType="begin" w:fldLock="1"/>
      </w:r>
      <w:r>
        <w:instrText xml:space="preserve"> PAGEREF _Toc201157233 \h </w:instrText>
      </w:r>
      <w:r>
        <w:fldChar w:fldCharType="separate"/>
      </w:r>
      <w:r>
        <w:t>241</w:t>
      </w:r>
      <w:r>
        <w:fldChar w:fldCharType="end"/>
      </w:r>
    </w:p>
    <w:p w14:paraId="1D70BC6D" w14:textId="29272BD9" w:rsidR="006C1B74" w:rsidRDefault="006C1B74">
      <w:pPr>
        <w:pStyle w:val="TOC3"/>
        <w:rPr>
          <w:rFonts w:asciiTheme="minorHAnsi" w:eastAsiaTheme="minorEastAsia" w:hAnsiTheme="minorHAnsi" w:cstheme="minorBidi"/>
          <w:kern w:val="2"/>
          <w:sz w:val="24"/>
          <w:szCs w:val="24"/>
          <w14:ligatures w14:val="standardContextual"/>
        </w:rPr>
      </w:pPr>
      <w:r>
        <w:t>5.9.3</w:t>
      </w:r>
      <w:r>
        <w:rPr>
          <w:rFonts w:asciiTheme="minorHAnsi" w:eastAsiaTheme="minorEastAsia" w:hAnsiTheme="minorHAnsi" w:cstheme="minorBidi"/>
          <w:kern w:val="2"/>
          <w:sz w:val="24"/>
          <w:szCs w:val="24"/>
          <w14:ligatures w14:val="standardContextual"/>
        </w:rPr>
        <w:tab/>
      </w:r>
      <w:r>
        <w:t>Permanent Equipment Identifier</w:t>
      </w:r>
      <w:r>
        <w:tab/>
      </w:r>
      <w:r>
        <w:fldChar w:fldCharType="begin" w:fldLock="1"/>
      </w:r>
      <w:r>
        <w:instrText xml:space="preserve"> PAGEREF _Toc201157234 \h </w:instrText>
      </w:r>
      <w:r>
        <w:fldChar w:fldCharType="separate"/>
      </w:r>
      <w:r>
        <w:t>241</w:t>
      </w:r>
      <w:r>
        <w:fldChar w:fldCharType="end"/>
      </w:r>
    </w:p>
    <w:p w14:paraId="08F9524E" w14:textId="6CDEAE00" w:rsidR="006C1B74" w:rsidRDefault="006C1B74">
      <w:pPr>
        <w:pStyle w:val="TOC3"/>
        <w:rPr>
          <w:rFonts w:asciiTheme="minorHAnsi" w:eastAsiaTheme="minorEastAsia" w:hAnsiTheme="minorHAnsi" w:cstheme="minorBidi"/>
          <w:kern w:val="2"/>
          <w:sz w:val="24"/>
          <w:szCs w:val="24"/>
          <w14:ligatures w14:val="standardContextual"/>
        </w:rPr>
      </w:pPr>
      <w:r>
        <w:t>5.9.4</w:t>
      </w:r>
      <w:r>
        <w:rPr>
          <w:rFonts w:asciiTheme="minorHAnsi" w:eastAsiaTheme="minorEastAsia" w:hAnsiTheme="minorHAnsi" w:cstheme="minorBidi"/>
          <w:kern w:val="2"/>
          <w:sz w:val="24"/>
          <w:szCs w:val="24"/>
          <w14:ligatures w14:val="standardContextual"/>
        </w:rPr>
        <w:tab/>
      </w:r>
      <w:r>
        <w:t xml:space="preserve">5G </w:t>
      </w:r>
      <w:r w:rsidRPr="00191652">
        <w:rPr>
          <w:rFonts w:eastAsia="DengXian"/>
          <w:bCs/>
        </w:rPr>
        <w:t xml:space="preserve">Globally Unique </w:t>
      </w:r>
      <w:r>
        <w:t>Temporary Identifier</w:t>
      </w:r>
      <w:r>
        <w:tab/>
      </w:r>
      <w:r>
        <w:fldChar w:fldCharType="begin" w:fldLock="1"/>
      </w:r>
      <w:r>
        <w:instrText xml:space="preserve"> PAGEREF _Toc201157235 \h </w:instrText>
      </w:r>
      <w:r>
        <w:fldChar w:fldCharType="separate"/>
      </w:r>
      <w:r>
        <w:t>242</w:t>
      </w:r>
      <w:r>
        <w:fldChar w:fldCharType="end"/>
      </w:r>
    </w:p>
    <w:p w14:paraId="5FD7305C" w14:textId="54C1F04B"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5.9.5</w:t>
      </w:r>
      <w:r>
        <w:rPr>
          <w:rFonts w:asciiTheme="minorHAnsi" w:eastAsiaTheme="minorEastAsia" w:hAnsiTheme="minorHAnsi" w:cstheme="minorBidi"/>
          <w:kern w:val="2"/>
          <w:sz w:val="24"/>
          <w:szCs w:val="24"/>
          <w14:ligatures w14:val="standardContextual"/>
        </w:rPr>
        <w:tab/>
      </w:r>
      <w:r>
        <w:rPr>
          <w:lang w:eastAsia="zh-CN"/>
        </w:rPr>
        <w:t>AMF Name</w:t>
      </w:r>
      <w:r>
        <w:tab/>
      </w:r>
      <w:r>
        <w:fldChar w:fldCharType="begin" w:fldLock="1"/>
      </w:r>
      <w:r>
        <w:instrText xml:space="preserve"> PAGEREF _Toc201157236 \h </w:instrText>
      </w:r>
      <w:r>
        <w:fldChar w:fldCharType="separate"/>
      </w:r>
      <w:r>
        <w:t>243</w:t>
      </w:r>
      <w:r>
        <w:fldChar w:fldCharType="end"/>
      </w:r>
    </w:p>
    <w:p w14:paraId="5D6711D6" w14:textId="26E4C507" w:rsidR="006C1B74" w:rsidRDefault="006C1B74">
      <w:pPr>
        <w:pStyle w:val="TOC3"/>
        <w:rPr>
          <w:rFonts w:asciiTheme="minorHAnsi" w:eastAsiaTheme="minorEastAsia" w:hAnsiTheme="minorHAnsi" w:cstheme="minorBidi"/>
          <w:kern w:val="2"/>
          <w:sz w:val="24"/>
          <w:szCs w:val="24"/>
          <w14:ligatures w14:val="standardContextual"/>
        </w:rPr>
      </w:pPr>
      <w:r>
        <w:t>5.9.6</w:t>
      </w:r>
      <w:r>
        <w:rPr>
          <w:rFonts w:asciiTheme="minorHAnsi" w:eastAsiaTheme="minorEastAsia" w:hAnsiTheme="minorHAnsi" w:cstheme="minorBidi"/>
          <w:kern w:val="2"/>
          <w:sz w:val="24"/>
          <w:szCs w:val="24"/>
          <w14:ligatures w14:val="standardContextual"/>
        </w:rPr>
        <w:tab/>
      </w:r>
      <w:r>
        <w:t>Data Network Name (DNN)</w:t>
      </w:r>
      <w:r>
        <w:tab/>
      </w:r>
      <w:r>
        <w:fldChar w:fldCharType="begin" w:fldLock="1"/>
      </w:r>
      <w:r>
        <w:instrText xml:space="preserve"> PAGEREF _Toc201157237 \h </w:instrText>
      </w:r>
      <w:r>
        <w:fldChar w:fldCharType="separate"/>
      </w:r>
      <w:r>
        <w:t>243</w:t>
      </w:r>
      <w:r>
        <w:fldChar w:fldCharType="end"/>
      </w:r>
    </w:p>
    <w:p w14:paraId="56242578" w14:textId="4AE08F22" w:rsidR="006C1B74" w:rsidRDefault="006C1B74">
      <w:pPr>
        <w:pStyle w:val="TOC3"/>
        <w:rPr>
          <w:rFonts w:asciiTheme="minorHAnsi" w:eastAsiaTheme="minorEastAsia" w:hAnsiTheme="minorHAnsi" w:cstheme="minorBidi"/>
          <w:kern w:val="2"/>
          <w:sz w:val="24"/>
          <w:szCs w:val="24"/>
          <w14:ligatures w14:val="standardContextual"/>
        </w:rPr>
      </w:pPr>
      <w:r>
        <w:t>5.9.7</w:t>
      </w:r>
      <w:r>
        <w:rPr>
          <w:rFonts w:asciiTheme="minorHAnsi" w:eastAsiaTheme="minorEastAsia" w:hAnsiTheme="minorHAnsi" w:cstheme="minorBidi"/>
          <w:kern w:val="2"/>
          <w:sz w:val="24"/>
          <w:szCs w:val="24"/>
          <w14:ligatures w14:val="standardContextual"/>
        </w:rPr>
        <w:tab/>
      </w:r>
      <w:r>
        <w:t>Internal-Group Identifier</w:t>
      </w:r>
      <w:r>
        <w:tab/>
      </w:r>
      <w:r>
        <w:fldChar w:fldCharType="begin" w:fldLock="1"/>
      </w:r>
      <w:r>
        <w:instrText xml:space="preserve"> PAGEREF _Toc201157238 \h </w:instrText>
      </w:r>
      <w:r>
        <w:fldChar w:fldCharType="separate"/>
      </w:r>
      <w:r>
        <w:t>243</w:t>
      </w:r>
      <w:r>
        <w:fldChar w:fldCharType="end"/>
      </w:r>
    </w:p>
    <w:p w14:paraId="43BE478F" w14:textId="29D64DF1" w:rsidR="006C1B74" w:rsidRDefault="006C1B74">
      <w:pPr>
        <w:pStyle w:val="TOC3"/>
        <w:rPr>
          <w:rFonts w:asciiTheme="minorHAnsi" w:eastAsiaTheme="minorEastAsia" w:hAnsiTheme="minorHAnsi" w:cstheme="minorBidi"/>
          <w:kern w:val="2"/>
          <w:sz w:val="24"/>
          <w:szCs w:val="24"/>
          <w14:ligatures w14:val="standardContextual"/>
        </w:rPr>
      </w:pPr>
      <w:r>
        <w:t>5.9.8</w:t>
      </w:r>
      <w:r>
        <w:rPr>
          <w:rFonts w:asciiTheme="minorHAnsi" w:eastAsiaTheme="minorEastAsia" w:hAnsiTheme="minorHAnsi" w:cstheme="minorBidi"/>
          <w:kern w:val="2"/>
          <w:sz w:val="24"/>
          <w:szCs w:val="24"/>
          <w14:ligatures w14:val="standardContextual"/>
        </w:rPr>
        <w:tab/>
      </w:r>
      <w:r>
        <w:t>Generic Public Subscription Identifier</w:t>
      </w:r>
      <w:r>
        <w:tab/>
      </w:r>
      <w:r>
        <w:fldChar w:fldCharType="begin" w:fldLock="1"/>
      </w:r>
      <w:r>
        <w:instrText xml:space="preserve"> PAGEREF _Toc201157239 \h </w:instrText>
      </w:r>
      <w:r>
        <w:fldChar w:fldCharType="separate"/>
      </w:r>
      <w:r>
        <w:t>243</w:t>
      </w:r>
      <w:r>
        <w:fldChar w:fldCharType="end"/>
      </w:r>
    </w:p>
    <w:p w14:paraId="75CC000E" w14:textId="577A254C" w:rsidR="006C1B74" w:rsidRDefault="006C1B74">
      <w:pPr>
        <w:pStyle w:val="TOC3"/>
        <w:rPr>
          <w:rFonts w:asciiTheme="minorHAnsi" w:eastAsiaTheme="minorEastAsia" w:hAnsiTheme="minorHAnsi" w:cstheme="minorBidi"/>
          <w:kern w:val="2"/>
          <w:sz w:val="24"/>
          <w:szCs w:val="24"/>
          <w14:ligatures w14:val="standardContextual"/>
        </w:rPr>
      </w:pPr>
      <w:r>
        <w:t>5.9.9</w:t>
      </w:r>
      <w:r>
        <w:rPr>
          <w:rFonts w:asciiTheme="minorHAnsi" w:eastAsiaTheme="minorEastAsia" w:hAnsiTheme="minorHAnsi" w:cstheme="minorBidi"/>
          <w:kern w:val="2"/>
          <w:sz w:val="24"/>
          <w:szCs w:val="24"/>
          <w14:ligatures w14:val="standardContextual"/>
        </w:rPr>
        <w:tab/>
      </w:r>
      <w:r>
        <w:t>AMF UE NGAP ID</w:t>
      </w:r>
      <w:r>
        <w:tab/>
      </w:r>
      <w:r>
        <w:fldChar w:fldCharType="begin" w:fldLock="1"/>
      </w:r>
      <w:r>
        <w:instrText xml:space="preserve"> PAGEREF _Toc201157240 \h </w:instrText>
      </w:r>
      <w:r>
        <w:fldChar w:fldCharType="separate"/>
      </w:r>
      <w:r>
        <w:t>243</w:t>
      </w:r>
      <w:r>
        <w:fldChar w:fldCharType="end"/>
      </w:r>
    </w:p>
    <w:p w14:paraId="2E2B0163" w14:textId="05068CBC" w:rsidR="006C1B74" w:rsidRDefault="006C1B74">
      <w:pPr>
        <w:pStyle w:val="TOC3"/>
        <w:rPr>
          <w:rFonts w:asciiTheme="minorHAnsi" w:eastAsiaTheme="minorEastAsia" w:hAnsiTheme="minorHAnsi" w:cstheme="minorBidi"/>
          <w:kern w:val="2"/>
          <w:sz w:val="24"/>
          <w:szCs w:val="24"/>
          <w14:ligatures w14:val="standardContextual"/>
        </w:rPr>
      </w:pPr>
      <w:r>
        <w:t>5.9.10</w:t>
      </w:r>
      <w:r>
        <w:rPr>
          <w:rFonts w:asciiTheme="minorHAnsi" w:eastAsiaTheme="minorEastAsia" w:hAnsiTheme="minorHAnsi" w:cstheme="minorBidi"/>
          <w:kern w:val="2"/>
          <w:sz w:val="24"/>
          <w:szCs w:val="24"/>
          <w14:ligatures w14:val="standardContextual"/>
        </w:rPr>
        <w:tab/>
      </w:r>
      <w:r>
        <w:t>UE Radio Capability ID</w:t>
      </w:r>
      <w:r>
        <w:tab/>
      </w:r>
      <w:r>
        <w:fldChar w:fldCharType="begin" w:fldLock="1"/>
      </w:r>
      <w:r>
        <w:instrText xml:space="preserve"> PAGEREF _Toc201157241 \h </w:instrText>
      </w:r>
      <w:r>
        <w:fldChar w:fldCharType="separate"/>
      </w:r>
      <w:r>
        <w:t>244</w:t>
      </w:r>
      <w:r>
        <w:fldChar w:fldCharType="end"/>
      </w:r>
    </w:p>
    <w:p w14:paraId="42E106CF" w14:textId="743EAF1B" w:rsidR="006C1B74" w:rsidRDefault="006C1B74">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Security aspects</w:t>
      </w:r>
      <w:r>
        <w:tab/>
      </w:r>
      <w:r>
        <w:fldChar w:fldCharType="begin" w:fldLock="1"/>
      </w:r>
      <w:r>
        <w:instrText xml:space="preserve"> PAGEREF _Toc201157242 \h </w:instrText>
      </w:r>
      <w:r>
        <w:fldChar w:fldCharType="separate"/>
      </w:r>
      <w:r>
        <w:t>244</w:t>
      </w:r>
      <w:r>
        <w:fldChar w:fldCharType="end"/>
      </w:r>
    </w:p>
    <w:p w14:paraId="4DCF16DA" w14:textId="42696CDF"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5.10.1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_Toc201157243 \h </w:instrText>
      </w:r>
      <w:r>
        <w:fldChar w:fldCharType="separate"/>
      </w:r>
      <w:r>
        <w:t>244</w:t>
      </w:r>
      <w:r>
        <w:fldChar w:fldCharType="end"/>
      </w:r>
    </w:p>
    <w:p w14:paraId="1CAC995E" w14:textId="4279D3EA"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5.10.2</w:t>
      </w:r>
      <w:r>
        <w:rPr>
          <w:rFonts w:asciiTheme="minorHAnsi" w:eastAsiaTheme="minorEastAsia" w:hAnsiTheme="minorHAnsi" w:cstheme="minorBidi"/>
          <w:kern w:val="2"/>
          <w:sz w:val="24"/>
          <w:szCs w:val="24"/>
          <w14:ligatures w14:val="standardContextual"/>
        </w:rPr>
        <w:tab/>
      </w:r>
      <w:r>
        <w:rPr>
          <w:lang w:eastAsia="zh-CN"/>
        </w:rPr>
        <w:t>Security Model for non-3GPP access</w:t>
      </w:r>
      <w:r>
        <w:tab/>
      </w:r>
      <w:r>
        <w:fldChar w:fldCharType="begin" w:fldLock="1"/>
      </w:r>
      <w:r>
        <w:instrText xml:space="preserve"> PAGEREF _Toc201157244 \h </w:instrText>
      </w:r>
      <w:r>
        <w:fldChar w:fldCharType="separate"/>
      </w:r>
      <w:r>
        <w:t>244</w:t>
      </w:r>
      <w:r>
        <w:fldChar w:fldCharType="end"/>
      </w:r>
    </w:p>
    <w:p w14:paraId="24845B67" w14:textId="3E57F996" w:rsidR="006C1B74" w:rsidRDefault="006C1B74">
      <w:pPr>
        <w:pStyle w:val="TOC4"/>
        <w:rPr>
          <w:rFonts w:asciiTheme="minorHAnsi" w:eastAsiaTheme="minorEastAsia" w:hAnsiTheme="minorHAnsi" w:cstheme="minorBidi"/>
          <w:kern w:val="2"/>
          <w:sz w:val="24"/>
          <w:szCs w:val="24"/>
          <w14:ligatures w14:val="standardContextual"/>
        </w:rPr>
      </w:pPr>
      <w:r>
        <w:t>5.10.2.1</w:t>
      </w:r>
      <w:r>
        <w:rPr>
          <w:rFonts w:asciiTheme="minorHAnsi" w:eastAsiaTheme="minorEastAsia" w:hAnsiTheme="minorHAnsi" w:cstheme="minorBidi"/>
          <w:kern w:val="2"/>
          <w:sz w:val="24"/>
          <w:szCs w:val="24"/>
          <w14:ligatures w14:val="standardContextual"/>
        </w:rPr>
        <w:tab/>
      </w:r>
      <w:r>
        <w:t>Signalling Security</w:t>
      </w:r>
      <w:r>
        <w:tab/>
      </w:r>
      <w:r>
        <w:fldChar w:fldCharType="begin" w:fldLock="1"/>
      </w:r>
      <w:r>
        <w:instrText xml:space="preserve"> PAGEREF _Toc201157245 \h </w:instrText>
      </w:r>
      <w:r>
        <w:fldChar w:fldCharType="separate"/>
      </w:r>
      <w:r>
        <w:t>244</w:t>
      </w:r>
      <w:r>
        <w:fldChar w:fldCharType="end"/>
      </w:r>
    </w:p>
    <w:p w14:paraId="04B3575D" w14:textId="63F20234" w:rsidR="006C1B74" w:rsidRDefault="006C1B74">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PDU Session User Plane Security</w:t>
      </w:r>
      <w:r>
        <w:tab/>
      </w:r>
      <w:r>
        <w:fldChar w:fldCharType="begin" w:fldLock="1"/>
      </w:r>
      <w:r>
        <w:instrText xml:space="preserve"> PAGEREF _Toc201157246 \h </w:instrText>
      </w:r>
      <w:r>
        <w:fldChar w:fldCharType="separate"/>
      </w:r>
      <w:r>
        <w:t>245</w:t>
      </w:r>
      <w:r>
        <w:fldChar w:fldCharType="end"/>
      </w:r>
    </w:p>
    <w:p w14:paraId="6F2B2F33" w14:textId="62E5CAA0" w:rsidR="006C1B74" w:rsidRDefault="006C1B74">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Support for Dual Connectivity, Multi-Connectivity</w:t>
      </w:r>
      <w:r>
        <w:tab/>
      </w:r>
      <w:r>
        <w:fldChar w:fldCharType="begin" w:fldLock="1"/>
      </w:r>
      <w:r>
        <w:instrText xml:space="preserve"> PAGEREF _Toc201157247 \h </w:instrText>
      </w:r>
      <w:r>
        <w:fldChar w:fldCharType="separate"/>
      </w:r>
      <w:r>
        <w:t>247</w:t>
      </w:r>
      <w:r>
        <w:fldChar w:fldCharType="end"/>
      </w:r>
    </w:p>
    <w:p w14:paraId="66BE9C01" w14:textId="0B866760" w:rsidR="006C1B74" w:rsidRDefault="006C1B74">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Support for Dual Connectivity</w:t>
      </w:r>
      <w:r>
        <w:tab/>
      </w:r>
      <w:r>
        <w:fldChar w:fldCharType="begin" w:fldLock="1"/>
      </w:r>
      <w:r>
        <w:instrText xml:space="preserve"> PAGEREF _Toc201157248 \h </w:instrText>
      </w:r>
      <w:r>
        <w:fldChar w:fldCharType="separate"/>
      </w:r>
      <w:r>
        <w:t>247</w:t>
      </w:r>
      <w:r>
        <w:fldChar w:fldCharType="end"/>
      </w:r>
    </w:p>
    <w:p w14:paraId="3973C288" w14:textId="4B007E33" w:rsidR="006C1B74" w:rsidRDefault="006C1B74">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Charging</w:t>
      </w:r>
      <w:r>
        <w:tab/>
      </w:r>
      <w:r>
        <w:fldChar w:fldCharType="begin" w:fldLock="1"/>
      </w:r>
      <w:r>
        <w:instrText xml:space="preserve"> PAGEREF _Toc201157249 \h </w:instrText>
      </w:r>
      <w:r>
        <w:fldChar w:fldCharType="separate"/>
      </w:r>
      <w:r>
        <w:t>248</w:t>
      </w:r>
      <w:r>
        <w:fldChar w:fldCharType="end"/>
      </w:r>
    </w:p>
    <w:p w14:paraId="28FAB206" w14:textId="562269FF" w:rsidR="006C1B74" w:rsidRDefault="006C1B74">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_Toc201157250 \h </w:instrText>
      </w:r>
      <w:r>
        <w:fldChar w:fldCharType="separate"/>
      </w:r>
      <w:r>
        <w:t>248</w:t>
      </w:r>
      <w:r>
        <w:fldChar w:fldCharType="end"/>
      </w:r>
    </w:p>
    <w:p w14:paraId="348C691F" w14:textId="51CD54A0" w:rsidR="006C1B74" w:rsidRDefault="006C1B74">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Usage Data Reporting for Secondary RAT</w:t>
      </w:r>
      <w:r>
        <w:tab/>
      </w:r>
      <w:r>
        <w:fldChar w:fldCharType="begin" w:fldLock="1"/>
      </w:r>
      <w:r>
        <w:instrText xml:space="preserve"> PAGEREF _Toc201157251 \h </w:instrText>
      </w:r>
      <w:r>
        <w:fldChar w:fldCharType="separate"/>
      </w:r>
      <w:r>
        <w:t>248</w:t>
      </w:r>
      <w:r>
        <w:fldChar w:fldCharType="end"/>
      </w:r>
    </w:p>
    <w:p w14:paraId="09A9950B" w14:textId="3E299BB0" w:rsidR="006C1B74" w:rsidRDefault="006C1B74">
      <w:pPr>
        <w:pStyle w:val="TOC3"/>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Secondary RAT Periodic Usage Data Reporting Procedure</w:t>
      </w:r>
      <w:r>
        <w:tab/>
      </w:r>
      <w:r>
        <w:fldChar w:fldCharType="begin" w:fldLock="1"/>
      </w:r>
      <w:r>
        <w:instrText xml:space="preserve"> PAGEREF _Toc201157252 \h </w:instrText>
      </w:r>
      <w:r>
        <w:fldChar w:fldCharType="separate"/>
      </w:r>
      <w:r>
        <w:t>249</w:t>
      </w:r>
      <w:r>
        <w:fldChar w:fldCharType="end"/>
      </w:r>
    </w:p>
    <w:p w14:paraId="49C7851D" w14:textId="26828F57" w:rsidR="006C1B74" w:rsidRDefault="006C1B74">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Support for Edge Computing</w:t>
      </w:r>
      <w:r>
        <w:tab/>
      </w:r>
      <w:r>
        <w:fldChar w:fldCharType="begin" w:fldLock="1"/>
      </w:r>
      <w:r>
        <w:instrText xml:space="preserve"> PAGEREF _Toc201157253 \h </w:instrText>
      </w:r>
      <w:r>
        <w:fldChar w:fldCharType="separate"/>
      </w:r>
      <w:r>
        <w:t>249</w:t>
      </w:r>
      <w:r>
        <w:fldChar w:fldCharType="end"/>
      </w:r>
    </w:p>
    <w:p w14:paraId="064A7345" w14:textId="4645E373" w:rsidR="006C1B74" w:rsidRDefault="006C1B74">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Policy Control</w:t>
      </w:r>
      <w:r>
        <w:tab/>
      </w:r>
      <w:r>
        <w:fldChar w:fldCharType="begin" w:fldLock="1"/>
      </w:r>
      <w:r>
        <w:instrText xml:space="preserve"> PAGEREF _Toc201157254 \h </w:instrText>
      </w:r>
      <w:r>
        <w:fldChar w:fldCharType="separate"/>
      </w:r>
      <w:r>
        <w:t>250</w:t>
      </w:r>
      <w:r>
        <w:fldChar w:fldCharType="end"/>
      </w:r>
    </w:p>
    <w:p w14:paraId="7134C759" w14:textId="4809563C" w:rsidR="006C1B74" w:rsidRDefault="006C1B74">
      <w:pPr>
        <w:pStyle w:val="TOC2"/>
        <w:rPr>
          <w:rFonts w:asciiTheme="minorHAnsi" w:eastAsiaTheme="minorEastAsia" w:hAnsiTheme="minorHAnsi" w:cstheme="minorBidi"/>
          <w:kern w:val="2"/>
          <w:sz w:val="24"/>
          <w:szCs w:val="24"/>
          <w14:ligatures w14:val="standardContextual"/>
        </w:rPr>
      </w:pPr>
      <w:r>
        <w:lastRenderedPageBreak/>
        <w:t>5.15</w:t>
      </w:r>
      <w:r>
        <w:rPr>
          <w:rFonts w:asciiTheme="minorHAnsi" w:eastAsiaTheme="minorEastAsia" w:hAnsiTheme="minorHAnsi" w:cstheme="minorBidi"/>
          <w:kern w:val="2"/>
          <w:sz w:val="24"/>
          <w:szCs w:val="24"/>
          <w14:ligatures w14:val="standardContextual"/>
        </w:rPr>
        <w:tab/>
      </w:r>
      <w:r>
        <w:t>Network slicing</w:t>
      </w:r>
      <w:r>
        <w:tab/>
      </w:r>
      <w:r>
        <w:fldChar w:fldCharType="begin" w:fldLock="1"/>
      </w:r>
      <w:r>
        <w:instrText xml:space="preserve"> PAGEREF _Toc201157255 \h </w:instrText>
      </w:r>
      <w:r>
        <w:fldChar w:fldCharType="separate"/>
      </w:r>
      <w:r>
        <w:t>250</w:t>
      </w:r>
      <w:r>
        <w:fldChar w:fldCharType="end"/>
      </w:r>
    </w:p>
    <w:p w14:paraId="10D0A4C2" w14:textId="0E7CD8B7" w:rsidR="006C1B74" w:rsidRDefault="006C1B74">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_Toc201157256 \h </w:instrText>
      </w:r>
      <w:r>
        <w:fldChar w:fldCharType="separate"/>
      </w:r>
      <w:r>
        <w:t>250</w:t>
      </w:r>
      <w:r>
        <w:fldChar w:fldCharType="end"/>
      </w:r>
    </w:p>
    <w:p w14:paraId="2F4D7108" w14:textId="6CB93F7F" w:rsidR="006C1B74" w:rsidRDefault="006C1B74">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Identification and selection of a Network Slice: the S-NSSAI and the NSSAI</w:t>
      </w:r>
      <w:r>
        <w:tab/>
      </w:r>
      <w:r>
        <w:fldChar w:fldCharType="begin" w:fldLock="1"/>
      </w:r>
      <w:r>
        <w:instrText xml:space="preserve"> PAGEREF _Toc201157257 \h </w:instrText>
      </w:r>
      <w:r>
        <w:fldChar w:fldCharType="separate"/>
      </w:r>
      <w:r>
        <w:t>251</w:t>
      </w:r>
      <w:r>
        <w:fldChar w:fldCharType="end"/>
      </w:r>
    </w:p>
    <w:p w14:paraId="48F60F7B" w14:textId="64D7A55F" w:rsidR="006C1B74" w:rsidRDefault="006C1B74">
      <w:pPr>
        <w:pStyle w:val="TOC4"/>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_Toc201157258 \h </w:instrText>
      </w:r>
      <w:r>
        <w:fldChar w:fldCharType="separate"/>
      </w:r>
      <w:r>
        <w:t>251</w:t>
      </w:r>
      <w:r>
        <w:fldChar w:fldCharType="end"/>
      </w:r>
    </w:p>
    <w:p w14:paraId="22BCB7C7" w14:textId="02543685" w:rsidR="006C1B74" w:rsidRDefault="006C1B74">
      <w:pPr>
        <w:pStyle w:val="TOC4"/>
        <w:rPr>
          <w:rFonts w:asciiTheme="minorHAnsi" w:eastAsiaTheme="minorEastAsia" w:hAnsiTheme="minorHAnsi" w:cstheme="minorBidi"/>
          <w:kern w:val="2"/>
          <w:sz w:val="24"/>
          <w:szCs w:val="24"/>
          <w14:ligatures w14:val="standardContextual"/>
        </w:rPr>
      </w:pPr>
      <w:r>
        <w:t>5.15.2.2</w:t>
      </w:r>
      <w:r>
        <w:rPr>
          <w:rFonts w:asciiTheme="minorHAnsi" w:eastAsiaTheme="minorEastAsia" w:hAnsiTheme="minorHAnsi" w:cstheme="minorBidi"/>
          <w:kern w:val="2"/>
          <w:sz w:val="24"/>
          <w:szCs w:val="24"/>
          <w14:ligatures w14:val="standardContextual"/>
        </w:rPr>
        <w:tab/>
      </w:r>
      <w:r>
        <w:t>Standardised SST values</w:t>
      </w:r>
      <w:r>
        <w:tab/>
      </w:r>
      <w:r>
        <w:fldChar w:fldCharType="begin" w:fldLock="1"/>
      </w:r>
      <w:r>
        <w:instrText xml:space="preserve"> PAGEREF _Toc201157259 \h </w:instrText>
      </w:r>
      <w:r>
        <w:fldChar w:fldCharType="separate"/>
      </w:r>
      <w:r>
        <w:t>252</w:t>
      </w:r>
      <w:r>
        <w:fldChar w:fldCharType="end"/>
      </w:r>
    </w:p>
    <w:p w14:paraId="3CE31BD1" w14:textId="6A7D9006" w:rsidR="006C1B74" w:rsidRDefault="006C1B74">
      <w:pPr>
        <w:pStyle w:val="TOC3"/>
        <w:rPr>
          <w:rFonts w:asciiTheme="minorHAnsi" w:eastAsiaTheme="minorEastAsia" w:hAnsiTheme="minorHAnsi" w:cstheme="minorBidi"/>
          <w:kern w:val="2"/>
          <w:sz w:val="24"/>
          <w:szCs w:val="24"/>
          <w14:ligatures w14:val="standardContextual"/>
        </w:rPr>
      </w:pPr>
      <w:r>
        <w:t>5.15.3</w:t>
      </w:r>
      <w:r>
        <w:rPr>
          <w:rFonts w:asciiTheme="minorHAnsi" w:eastAsiaTheme="minorEastAsia" w:hAnsiTheme="minorHAnsi" w:cstheme="minorBidi"/>
          <w:kern w:val="2"/>
          <w:sz w:val="24"/>
          <w:szCs w:val="24"/>
          <w14:ligatures w14:val="standardContextual"/>
        </w:rPr>
        <w:tab/>
      </w:r>
      <w:r>
        <w:t>Subscription aspects</w:t>
      </w:r>
      <w:r>
        <w:tab/>
      </w:r>
      <w:r>
        <w:fldChar w:fldCharType="begin" w:fldLock="1"/>
      </w:r>
      <w:r>
        <w:instrText xml:space="preserve"> PAGEREF _Toc201157260 \h </w:instrText>
      </w:r>
      <w:r>
        <w:fldChar w:fldCharType="separate"/>
      </w:r>
      <w:r>
        <w:t>253</w:t>
      </w:r>
      <w:r>
        <w:fldChar w:fldCharType="end"/>
      </w:r>
    </w:p>
    <w:p w14:paraId="6FAF088D" w14:textId="0511B959"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5.15.4</w:t>
      </w:r>
      <w:r>
        <w:rPr>
          <w:rFonts w:asciiTheme="minorHAnsi" w:eastAsiaTheme="minorEastAsia" w:hAnsiTheme="minorHAnsi" w:cstheme="minorBidi"/>
          <w:kern w:val="2"/>
          <w:sz w:val="24"/>
          <w:szCs w:val="24"/>
          <w14:ligatures w14:val="standardContextual"/>
        </w:rPr>
        <w:tab/>
      </w:r>
      <w:r>
        <w:rPr>
          <w:lang w:eastAsia="zh-CN"/>
        </w:rPr>
        <w:t>UE NSSAI configuration and NSSAI storage aspects</w:t>
      </w:r>
      <w:r>
        <w:tab/>
      </w:r>
      <w:r>
        <w:fldChar w:fldCharType="begin" w:fldLock="1"/>
      </w:r>
      <w:r>
        <w:instrText xml:space="preserve"> PAGEREF _Toc201157261 \h </w:instrText>
      </w:r>
      <w:r>
        <w:fldChar w:fldCharType="separate"/>
      </w:r>
      <w:r>
        <w:t>254</w:t>
      </w:r>
      <w:r>
        <w:fldChar w:fldCharType="end"/>
      </w:r>
    </w:p>
    <w:p w14:paraId="28E7EB15" w14:textId="0C737072"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5.15.4.1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_Toc201157262 \h </w:instrText>
      </w:r>
      <w:r>
        <w:fldChar w:fldCharType="separate"/>
      </w:r>
      <w:r>
        <w:t>254</w:t>
      </w:r>
      <w:r>
        <w:fldChar w:fldCharType="end"/>
      </w:r>
    </w:p>
    <w:p w14:paraId="643240CB" w14:textId="257EFF15" w:rsidR="006C1B74" w:rsidRDefault="006C1B74">
      <w:pPr>
        <w:pStyle w:val="TOC5"/>
        <w:rPr>
          <w:rFonts w:asciiTheme="minorHAnsi" w:eastAsiaTheme="minorEastAsia" w:hAnsiTheme="minorHAnsi" w:cstheme="minorBidi"/>
          <w:kern w:val="2"/>
          <w:sz w:val="24"/>
          <w:szCs w:val="24"/>
          <w14:ligatures w14:val="standardContextual"/>
        </w:rPr>
      </w:pPr>
      <w:r>
        <w:t>5.15.4.1.1</w:t>
      </w:r>
      <w:r>
        <w:rPr>
          <w:rFonts w:asciiTheme="minorHAnsi" w:eastAsiaTheme="minorEastAsia" w:hAnsiTheme="minorHAnsi" w:cstheme="minorBidi"/>
          <w:kern w:val="2"/>
          <w:sz w:val="24"/>
          <w:szCs w:val="24"/>
          <w14:ligatures w14:val="standardContextual"/>
        </w:rPr>
        <w:tab/>
      </w:r>
      <w:r>
        <w:t>UE Network Slice configuration</w:t>
      </w:r>
      <w:r>
        <w:tab/>
      </w:r>
      <w:r>
        <w:fldChar w:fldCharType="begin" w:fldLock="1"/>
      </w:r>
      <w:r>
        <w:instrText xml:space="preserve"> PAGEREF _Toc201157263 \h </w:instrText>
      </w:r>
      <w:r>
        <w:fldChar w:fldCharType="separate"/>
      </w:r>
      <w:r>
        <w:t>254</w:t>
      </w:r>
      <w:r>
        <w:fldChar w:fldCharType="end"/>
      </w:r>
    </w:p>
    <w:p w14:paraId="76ECA67A" w14:textId="588E39DB" w:rsidR="006C1B74" w:rsidRDefault="006C1B74">
      <w:pPr>
        <w:pStyle w:val="TOC5"/>
        <w:rPr>
          <w:rFonts w:asciiTheme="minorHAnsi" w:eastAsiaTheme="minorEastAsia" w:hAnsiTheme="minorHAnsi" w:cstheme="minorBidi"/>
          <w:kern w:val="2"/>
          <w:sz w:val="24"/>
          <w:szCs w:val="24"/>
          <w14:ligatures w14:val="standardContextual"/>
        </w:rPr>
      </w:pPr>
      <w:r>
        <w:t>5.15.4.1.2</w:t>
      </w:r>
      <w:r>
        <w:rPr>
          <w:rFonts w:asciiTheme="minorHAnsi" w:eastAsiaTheme="minorEastAsia" w:hAnsiTheme="minorHAnsi" w:cstheme="minorBidi"/>
          <w:kern w:val="2"/>
          <w:sz w:val="24"/>
          <w:szCs w:val="24"/>
          <w14:ligatures w14:val="standardContextual"/>
        </w:rPr>
        <w:tab/>
      </w:r>
      <w:r>
        <w:t>Mapping of S-NSSAIs values in the Allowed NSSAI and in the Requested NSSAI to the S-NSSAIs values used in the HPLMN</w:t>
      </w:r>
      <w:r>
        <w:tab/>
      </w:r>
      <w:r>
        <w:fldChar w:fldCharType="begin" w:fldLock="1"/>
      </w:r>
      <w:r>
        <w:instrText xml:space="preserve"> PAGEREF _Toc201157264 \h </w:instrText>
      </w:r>
      <w:r>
        <w:fldChar w:fldCharType="separate"/>
      </w:r>
      <w:r>
        <w:t>257</w:t>
      </w:r>
      <w:r>
        <w:fldChar w:fldCharType="end"/>
      </w:r>
    </w:p>
    <w:p w14:paraId="6FBB8463" w14:textId="77C5EDD3"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5.15.4.2</w:t>
      </w:r>
      <w:r>
        <w:rPr>
          <w:rFonts w:asciiTheme="minorHAnsi" w:eastAsiaTheme="minorEastAsia" w:hAnsiTheme="minorHAnsi" w:cstheme="minorBidi"/>
          <w:kern w:val="2"/>
          <w:sz w:val="24"/>
          <w:szCs w:val="24"/>
          <w14:ligatures w14:val="standardContextual"/>
        </w:rPr>
        <w:tab/>
      </w:r>
      <w:r>
        <w:rPr>
          <w:lang w:eastAsia="ko-KR"/>
        </w:rPr>
        <w:t>Update of UE Network Slice configuration</w:t>
      </w:r>
      <w:r>
        <w:tab/>
      </w:r>
      <w:r>
        <w:fldChar w:fldCharType="begin" w:fldLock="1"/>
      </w:r>
      <w:r>
        <w:instrText xml:space="preserve"> PAGEREF _Toc201157265 \h </w:instrText>
      </w:r>
      <w:r>
        <w:fldChar w:fldCharType="separate"/>
      </w:r>
      <w:r>
        <w:t>257</w:t>
      </w:r>
      <w:r>
        <w:fldChar w:fldCharType="end"/>
      </w:r>
    </w:p>
    <w:p w14:paraId="07D2C3BA" w14:textId="44F4B802" w:rsidR="006C1B74" w:rsidRDefault="006C1B74">
      <w:pPr>
        <w:pStyle w:val="TOC3"/>
        <w:rPr>
          <w:rFonts w:asciiTheme="minorHAnsi" w:eastAsiaTheme="minorEastAsia" w:hAnsiTheme="minorHAnsi" w:cstheme="minorBidi"/>
          <w:kern w:val="2"/>
          <w:sz w:val="24"/>
          <w:szCs w:val="24"/>
          <w14:ligatures w14:val="standardContextual"/>
        </w:rPr>
      </w:pPr>
      <w:r>
        <w:t>5.15.5</w:t>
      </w:r>
      <w:r>
        <w:rPr>
          <w:rFonts w:asciiTheme="minorHAnsi" w:eastAsiaTheme="minorEastAsia" w:hAnsiTheme="minorHAnsi" w:cstheme="minorBidi"/>
          <w:kern w:val="2"/>
          <w:sz w:val="24"/>
          <w:szCs w:val="24"/>
          <w14:ligatures w14:val="standardContextual"/>
        </w:rPr>
        <w:tab/>
      </w:r>
      <w:r>
        <w:t>Detailed Operation Overview</w:t>
      </w:r>
      <w:r>
        <w:tab/>
      </w:r>
      <w:r>
        <w:fldChar w:fldCharType="begin" w:fldLock="1"/>
      </w:r>
      <w:r>
        <w:instrText xml:space="preserve"> PAGEREF _Toc201157266 \h </w:instrText>
      </w:r>
      <w:r>
        <w:fldChar w:fldCharType="separate"/>
      </w:r>
      <w:r>
        <w:t>258</w:t>
      </w:r>
      <w:r>
        <w:fldChar w:fldCharType="end"/>
      </w:r>
    </w:p>
    <w:p w14:paraId="3BAB707E" w14:textId="128FB2D8" w:rsidR="006C1B74" w:rsidRDefault="006C1B74">
      <w:pPr>
        <w:pStyle w:val="TOC4"/>
        <w:rPr>
          <w:rFonts w:asciiTheme="minorHAnsi" w:eastAsiaTheme="minorEastAsia" w:hAnsiTheme="minorHAnsi" w:cstheme="minorBidi"/>
          <w:kern w:val="2"/>
          <w:sz w:val="24"/>
          <w:szCs w:val="24"/>
          <w14:ligatures w14:val="standardContextual"/>
        </w:rPr>
      </w:pPr>
      <w:r>
        <w:t>5.15.5.1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_Toc201157267 \h </w:instrText>
      </w:r>
      <w:r>
        <w:fldChar w:fldCharType="separate"/>
      </w:r>
      <w:r>
        <w:t>258</w:t>
      </w:r>
      <w:r>
        <w:fldChar w:fldCharType="end"/>
      </w:r>
    </w:p>
    <w:p w14:paraId="3B0754E9" w14:textId="230971CA" w:rsidR="006C1B74" w:rsidRDefault="006C1B74">
      <w:pPr>
        <w:pStyle w:val="TOC4"/>
        <w:rPr>
          <w:rFonts w:asciiTheme="minorHAnsi" w:eastAsiaTheme="minorEastAsia" w:hAnsiTheme="minorHAnsi" w:cstheme="minorBidi"/>
          <w:kern w:val="2"/>
          <w:sz w:val="24"/>
          <w:szCs w:val="24"/>
          <w14:ligatures w14:val="standardContextual"/>
        </w:rPr>
      </w:pPr>
      <w:r>
        <w:t>5.15.5.2</w:t>
      </w:r>
      <w:r>
        <w:rPr>
          <w:rFonts w:asciiTheme="minorHAnsi" w:eastAsiaTheme="minorEastAsia" w:hAnsiTheme="minorHAnsi" w:cstheme="minorBidi"/>
          <w:kern w:val="2"/>
          <w:sz w:val="24"/>
          <w:szCs w:val="24"/>
          <w14:ligatures w14:val="standardContextual"/>
        </w:rPr>
        <w:tab/>
      </w:r>
      <w:r>
        <w:t>Selection of a Serving AMF supporting the Network Slices</w:t>
      </w:r>
      <w:r>
        <w:tab/>
      </w:r>
      <w:r>
        <w:fldChar w:fldCharType="begin" w:fldLock="1"/>
      </w:r>
      <w:r>
        <w:instrText xml:space="preserve"> PAGEREF _Toc201157268 \h </w:instrText>
      </w:r>
      <w:r>
        <w:fldChar w:fldCharType="separate"/>
      </w:r>
      <w:r>
        <w:t>258</w:t>
      </w:r>
      <w:r>
        <w:fldChar w:fldCharType="end"/>
      </w:r>
    </w:p>
    <w:p w14:paraId="23513EE5" w14:textId="08D58F19" w:rsidR="006C1B74" w:rsidRDefault="006C1B74">
      <w:pPr>
        <w:pStyle w:val="TOC5"/>
        <w:rPr>
          <w:rFonts w:asciiTheme="minorHAnsi" w:eastAsiaTheme="minorEastAsia" w:hAnsiTheme="minorHAnsi" w:cstheme="minorBidi"/>
          <w:kern w:val="2"/>
          <w:sz w:val="24"/>
          <w:szCs w:val="24"/>
          <w14:ligatures w14:val="standardContextual"/>
        </w:rPr>
      </w:pPr>
      <w:r>
        <w:t>5.15.5.2.1</w:t>
      </w:r>
      <w:r>
        <w:rPr>
          <w:rFonts w:asciiTheme="minorHAnsi" w:eastAsiaTheme="minorEastAsia" w:hAnsiTheme="minorHAnsi" w:cstheme="minorBidi"/>
          <w:kern w:val="2"/>
          <w:sz w:val="24"/>
          <w:szCs w:val="24"/>
          <w14:ligatures w14:val="standardContextual"/>
        </w:rPr>
        <w:tab/>
      </w:r>
      <w:r>
        <w:t>Registration to a set of Network Slices</w:t>
      </w:r>
      <w:r>
        <w:tab/>
      </w:r>
      <w:r>
        <w:fldChar w:fldCharType="begin" w:fldLock="1"/>
      </w:r>
      <w:r>
        <w:instrText xml:space="preserve"> PAGEREF _Toc201157269 \h </w:instrText>
      </w:r>
      <w:r>
        <w:fldChar w:fldCharType="separate"/>
      </w:r>
      <w:r>
        <w:t>258</w:t>
      </w:r>
      <w:r>
        <w:fldChar w:fldCharType="end"/>
      </w:r>
    </w:p>
    <w:p w14:paraId="7EE69F45" w14:textId="7BEAAE89" w:rsidR="006C1B74" w:rsidRDefault="006C1B74">
      <w:pPr>
        <w:pStyle w:val="TOC5"/>
        <w:rPr>
          <w:rFonts w:asciiTheme="minorHAnsi" w:eastAsiaTheme="minorEastAsia" w:hAnsiTheme="minorHAnsi" w:cstheme="minorBidi"/>
          <w:kern w:val="2"/>
          <w:sz w:val="24"/>
          <w:szCs w:val="24"/>
          <w14:ligatures w14:val="standardContextual"/>
        </w:rPr>
      </w:pPr>
      <w:r>
        <w:t>5.15.5.2.2</w:t>
      </w:r>
      <w:r>
        <w:rPr>
          <w:rFonts w:asciiTheme="minorHAnsi" w:eastAsiaTheme="minorEastAsia" w:hAnsiTheme="minorHAnsi" w:cstheme="minorBidi"/>
          <w:kern w:val="2"/>
          <w:sz w:val="24"/>
          <w:szCs w:val="24"/>
          <w14:ligatures w14:val="standardContextual"/>
        </w:rPr>
        <w:tab/>
      </w:r>
      <w:r>
        <w:t>Modification of the Set of Network Slice(s) for a UE</w:t>
      </w:r>
      <w:r>
        <w:tab/>
      </w:r>
      <w:r>
        <w:fldChar w:fldCharType="begin" w:fldLock="1"/>
      </w:r>
      <w:r>
        <w:instrText xml:space="preserve"> PAGEREF _Toc201157270 \h </w:instrText>
      </w:r>
      <w:r>
        <w:fldChar w:fldCharType="separate"/>
      </w:r>
      <w:r>
        <w:t>263</w:t>
      </w:r>
      <w:r>
        <w:fldChar w:fldCharType="end"/>
      </w:r>
    </w:p>
    <w:p w14:paraId="7079103A" w14:textId="07CD2C46" w:rsidR="006C1B74" w:rsidRDefault="006C1B74">
      <w:pPr>
        <w:pStyle w:val="TOC5"/>
        <w:rPr>
          <w:rFonts w:asciiTheme="minorHAnsi" w:eastAsiaTheme="minorEastAsia" w:hAnsiTheme="minorHAnsi" w:cstheme="minorBidi"/>
          <w:kern w:val="2"/>
          <w:sz w:val="24"/>
          <w:szCs w:val="24"/>
          <w14:ligatures w14:val="standardContextual"/>
        </w:rPr>
      </w:pPr>
      <w:r>
        <w:t>5.15.5.2.3</w:t>
      </w:r>
      <w:r>
        <w:rPr>
          <w:rFonts w:asciiTheme="minorHAnsi" w:eastAsiaTheme="minorEastAsia" w:hAnsiTheme="minorHAnsi" w:cstheme="minorBidi"/>
          <w:kern w:val="2"/>
          <w:sz w:val="24"/>
          <w:szCs w:val="24"/>
          <w14:ligatures w14:val="standardContextual"/>
        </w:rPr>
        <w:tab/>
      </w:r>
      <w:r>
        <w:t>AMF Re-allocation due to Network Slice(s) Support</w:t>
      </w:r>
      <w:r>
        <w:tab/>
      </w:r>
      <w:r>
        <w:fldChar w:fldCharType="begin" w:fldLock="1"/>
      </w:r>
      <w:r>
        <w:instrText xml:space="preserve"> PAGEREF _Toc201157271 \h </w:instrText>
      </w:r>
      <w:r>
        <w:fldChar w:fldCharType="separate"/>
      </w:r>
      <w:r>
        <w:t>265</w:t>
      </w:r>
      <w:r>
        <w:fldChar w:fldCharType="end"/>
      </w:r>
    </w:p>
    <w:p w14:paraId="6F706C24" w14:textId="23D8F2F4" w:rsidR="006C1B74" w:rsidRDefault="006C1B74">
      <w:pPr>
        <w:pStyle w:val="TOC4"/>
        <w:rPr>
          <w:rFonts w:asciiTheme="minorHAnsi" w:eastAsiaTheme="minorEastAsia" w:hAnsiTheme="minorHAnsi" w:cstheme="minorBidi"/>
          <w:kern w:val="2"/>
          <w:sz w:val="24"/>
          <w:szCs w:val="24"/>
          <w14:ligatures w14:val="standardContextual"/>
        </w:rPr>
      </w:pPr>
      <w:r>
        <w:t>5.15.5.3</w:t>
      </w:r>
      <w:r>
        <w:rPr>
          <w:rFonts w:asciiTheme="minorHAnsi" w:eastAsiaTheme="minorEastAsia" w:hAnsiTheme="minorHAnsi" w:cstheme="minorBidi"/>
          <w:kern w:val="2"/>
          <w:sz w:val="24"/>
          <w:szCs w:val="24"/>
          <w14:ligatures w14:val="standardContextual"/>
        </w:rPr>
        <w:tab/>
      </w:r>
      <w:r>
        <w:t>Establishing a PDU Session in a Network Slice</w:t>
      </w:r>
      <w:r>
        <w:tab/>
      </w:r>
      <w:r>
        <w:fldChar w:fldCharType="begin" w:fldLock="1"/>
      </w:r>
      <w:r>
        <w:instrText xml:space="preserve"> PAGEREF _Toc201157272 \h </w:instrText>
      </w:r>
      <w:r>
        <w:fldChar w:fldCharType="separate"/>
      </w:r>
      <w:r>
        <w:t>265</w:t>
      </w:r>
      <w:r>
        <w:fldChar w:fldCharType="end"/>
      </w:r>
    </w:p>
    <w:p w14:paraId="46F190A5" w14:textId="51CEDF02" w:rsidR="006C1B74" w:rsidRDefault="006C1B74">
      <w:pPr>
        <w:pStyle w:val="TOC3"/>
        <w:rPr>
          <w:rFonts w:asciiTheme="minorHAnsi" w:eastAsiaTheme="minorEastAsia" w:hAnsiTheme="minorHAnsi" w:cstheme="minorBidi"/>
          <w:kern w:val="2"/>
          <w:sz w:val="24"/>
          <w:szCs w:val="24"/>
          <w14:ligatures w14:val="standardContextual"/>
        </w:rPr>
      </w:pPr>
      <w:r>
        <w:t>5.15.6</w:t>
      </w:r>
      <w:r>
        <w:rPr>
          <w:rFonts w:asciiTheme="minorHAnsi" w:eastAsiaTheme="minorEastAsia" w:hAnsiTheme="minorHAnsi" w:cstheme="minorBidi"/>
          <w:kern w:val="2"/>
          <w:sz w:val="24"/>
          <w:szCs w:val="24"/>
          <w14:ligatures w14:val="standardContextual"/>
        </w:rPr>
        <w:tab/>
      </w:r>
      <w:r>
        <w:t>Network Slicing Support for Roaming</w:t>
      </w:r>
      <w:r>
        <w:tab/>
      </w:r>
      <w:r>
        <w:fldChar w:fldCharType="begin" w:fldLock="1"/>
      </w:r>
      <w:r>
        <w:instrText xml:space="preserve"> PAGEREF _Toc201157273 \h </w:instrText>
      </w:r>
      <w:r>
        <w:fldChar w:fldCharType="separate"/>
      </w:r>
      <w:r>
        <w:t>267</w:t>
      </w:r>
      <w:r>
        <w:fldChar w:fldCharType="end"/>
      </w:r>
    </w:p>
    <w:p w14:paraId="3C46F59D" w14:textId="75BFD07D" w:rsidR="006C1B74" w:rsidRDefault="006C1B74">
      <w:pPr>
        <w:pStyle w:val="TOC3"/>
        <w:rPr>
          <w:rFonts w:asciiTheme="minorHAnsi" w:eastAsiaTheme="minorEastAsia" w:hAnsiTheme="minorHAnsi" w:cstheme="minorBidi"/>
          <w:kern w:val="2"/>
          <w:sz w:val="24"/>
          <w:szCs w:val="24"/>
          <w14:ligatures w14:val="standardContextual"/>
        </w:rPr>
      </w:pPr>
      <w:r>
        <w:rPr>
          <w:lang w:eastAsia="ko-KR"/>
        </w:rPr>
        <w:t>5.15.7</w:t>
      </w:r>
      <w:r>
        <w:rPr>
          <w:rFonts w:asciiTheme="minorHAnsi" w:eastAsiaTheme="minorEastAsia" w:hAnsiTheme="minorHAnsi" w:cstheme="minorBidi"/>
          <w:kern w:val="2"/>
          <w:sz w:val="24"/>
          <w:szCs w:val="24"/>
          <w14:ligatures w14:val="standardContextual"/>
        </w:rPr>
        <w:tab/>
      </w:r>
      <w:r>
        <w:rPr>
          <w:lang w:eastAsia="ko-KR"/>
        </w:rPr>
        <w:t>Network slicing and Interworking with EPS</w:t>
      </w:r>
      <w:r>
        <w:tab/>
      </w:r>
      <w:r>
        <w:fldChar w:fldCharType="begin" w:fldLock="1"/>
      </w:r>
      <w:r>
        <w:instrText xml:space="preserve"> PAGEREF _Toc201157274 \h </w:instrText>
      </w:r>
      <w:r>
        <w:fldChar w:fldCharType="separate"/>
      </w:r>
      <w:r>
        <w:t>268</w:t>
      </w:r>
      <w:r>
        <w:fldChar w:fldCharType="end"/>
      </w:r>
    </w:p>
    <w:p w14:paraId="0949628D" w14:textId="2494B1C8" w:rsidR="006C1B74" w:rsidRDefault="006C1B74">
      <w:pPr>
        <w:pStyle w:val="TOC4"/>
        <w:rPr>
          <w:rFonts w:asciiTheme="minorHAnsi" w:eastAsiaTheme="minorEastAsia" w:hAnsiTheme="minorHAnsi" w:cstheme="minorBidi"/>
          <w:kern w:val="2"/>
          <w:sz w:val="24"/>
          <w:szCs w:val="24"/>
          <w14:ligatures w14:val="standardContextual"/>
        </w:rPr>
      </w:pPr>
      <w:r>
        <w:t>5.15.7.1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_Toc201157275 \h </w:instrText>
      </w:r>
      <w:r>
        <w:fldChar w:fldCharType="separate"/>
      </w:r>
      <w:r>
        <w:t>268</w:t>
      </w:r>
      <w:r>
        <w:fldChar w:fldCharType="end"/>
      </w:r>
    </w:p>
    <w:p w14:paraId="5F567EE2" w14:textId="0FFE429D" w:rsidR="006C1B74" w:rsidRDefault="006C1B74">
      <w:pPr>
        <w:pStyle w:val="TOC4"/>
        <w:rPr>
          <w:rFonts w:asciiTheme="minorHAnsi" w:eastAsiaTheme="minorEastAsia" w:hAnsiTheme="minorHAnsi" w:cstheme="minorBidi"/>
          <w:kern w:val="2"/>
          <w:sz w:val="24"/>
          <w:szCs w:val="24"/>
          <w14:ligatures w14:val="standardContextual"/>
        </w:rPr>
      </w:pPr>
      <w:r>
        <w:t>5.15.7.2</w:t>
      </w:r>
      <w:r>
        <w:rPr>
          <w:rFonts w:asciiTheme="minorHAnsi" w:eastAsiaTheme="minorEastAsia" w:hAnsiTheme="minorHAnsi" w:cstheme="minorBidi"/>
          <w:kern w:val="2"/>
          <w:sz w:val="24"/>
          <w:szCs w:val="24"/>
          <w14:ligatures w14:val="standardContextual"/>
        </w:rPr>
        <w:tab/>
      </w:r>
      <w:r>
        <w:t>Idle mode aspects</w:t>
      </w:r>
      <w:r>
        <w:tab/>
      </w:r>
      <w:r>
        <w:fldChar w:fldCharType="begin" w:fldLock="1"/>
      </w:r>
      <w:r>
        <w:instrText xml:space="preserve"> PAGEREF _Toc201157276 \h </w:instrText>
      </w:r>
      <w:r>
        <w:fldChar w:fldCharType="separate"/>
      </w:r>
      <w:r>
        <w:t>268</w:t>
      </w:r>
      <w:r>
        <w:fldChar w:fldCharType="end"/>
      </w:r>
    </w:p>
    <w:p w14:paraId="144E7EC5" w14:textId="491330B8" w:rsidR="006C1B74" w:rsidRDefault="006C1B74">
      <w:pPr>
        <w:pStyle w:val="TOC4"/>
        <w:rPr>
          <w:rFonts w:asciiTheme="minorHAnsi" w:eastAsiaTheme="minorEastAsia" w:hAnsiTheme="minorHAnsi" w:cstheme="minorBidi"/>
          <w:kern w:val="2"/>
          <w:sz w:val="24"/>
          <w:szCs w:val="24"/>
          <w14:ligatures w14:val="standardContextual"/>
        </w:rPr>
      </w:pPr>
      <w:r>
        <w:t>5.15.7.3</w:t>
      </w:r>
      <w:r>
        <w:rPr>
          <w:rFonts w:asciiTheme="minorHAnsi" w:eastAsiaTheme="minorEastAsia" w:hAnsiTheme="minorHAnsi" w:cstheme="minorBidi"/>
          <w:kern w:val="2"/>
          <w:sz w:val="24"/>
          <w:szCs w:val="24"/>
          <w14:ligatures w14:val="standardContextual"/>
        </w:rPr>
        <w:tab/>
      </w:r>
      <w:r>
        <w:t>Connected mode aspects</w:t>
      </w:r>
      <w:r>
        <w:tab/>
      </w:r>
      <w:r>
        <w:fldChar w:fldCharType="begin" w:fldLock="1"/>
      </w:r>
      <w:r>
        <w:instrText xml:space="preserve"> PAGEREF _Toc201157277 \h </w:instrText>
      </w:r>
      <w:r>
        <w:fldChar w:fldCharType="separate"/>
      </w:r>
      <w:r>
        <w:t>269</w:t>
      </w:r>
      <w:r>
        <w:fldChar w:fldCharType="end"/>
      </w:r>
    </w:p>
    <w:p w14:paraId="2261F6CD" w14:textId="51769A29" w:rsidR="006C1B74" w:rsidRDefault="006C1B74">
      <w:pPr>
        <w:pStyle w:val="TOC4"/>
        <w:rPr>
          <w:rFonts w:asciiTheme="minorHAnsi" w:eastAsiaTheme="minorEastAsia" w:hAnsiTheme="minorHAnsi" w:cstheme="minorBidi"/>
          <w:kern w:val="2"/>
          <w:sz w:val="24"/>
          <w:szCs w:val="24"/>
          <w14:ligatures w14:val="standardContextual"/>
        </w:rPr>
      </w:pPr>
      <w:r>
        <w:t>5.15.7.4</w:t>
      </w:r>
      <w:r>
        <w:rPr>
          <w:rFonts w:asciiTheme="minorHAnsi" w:eastAsiaTheme="minorEastAsia" w:hAnsiTheme="minorHAnsi" w:cstheme="minorBidi"/>
          <w:kern w:val="2"/>
          <w:sz w:val="24"/>
          <w:szCs w:val="24"/>
          <w14:ligatures w14:val="standardContextual"/>
        </w:rPr>
        <w:tab/>
      </w:r>
      <w:r>
        <w:t>Support of Network Slice usage control and Interworking with EPC</w:t>
      </w:r>
      <w:r>
        <w:tab/>
      </w:r>
      <w:r>
        <w:fldChar w:fldCharType="begin" w:fldLock="1"/>
      </w:r>
      <w:r>
        <w:instrText xml:space="preserve"> PAGEREF _Toc201157278 \h </w:instrText>
      </w:r>
      <w:r>
        <w:fldChar w:fldCharType="separate"/>
      </w:r>
      <w:r>
        <w:t>269</w:t>
      </w:r>
      <w:r>
        <w:fldChar w:fldCharType="end"/>
      </w:r>
    </w:p>
    <w:p w14:paraId="2345E8E5" w14:textId="014B02D3" w:rsidR="006C1B74" w:rsidRDefault="006C1B74">
      <w:pPr>
        <w:pStyle w:val="TOC3"/>
        <w:rPr>
          <w:rFonts w:asciiTheme="minorHAnsi" w:eastAsiaTheme="minorEastAsia" w:hAnsiTheme="minorHAnsi" w:cstheme="minorBidi"/>
          <w:kern w:val="2"/>
          <w:sz w:val="24"/>
          <w:szCs w:val="24"/>
          <w14:ligatures w14:val="standardContextual"/>
        </w:rPr>
      </w:pPr>
      <w:r>
        <w:t>5.15.8</w:t>
      </w:r>
      <w:r>
        <w:rPr>
          <w:rFonts w:asciiTheme="minorHAnsi" w:eastAsiaTheme="minorEastAsia" w:hAnsiTheme="minorHAnsi" w:cstheme="minorBidi"/>
          <w:kern w:val="2"/>
          <w:sz w:val="24"/>
          <w:szCs w:val="24"/>
          <w14:ligatures w14:val="standardContextual"/>
        </w:rPr>
        <w:tab/>
      </w:r>
      <w:r>
        <w:t>Configuration of Network Slice support and availability in a PLMN</w:t>
      </w:r>
      <w:r>
        <w:tab/>
      </w:r>
      <w:r>
        <w:fldChar w:fldCharType="begin" w:fldLock="1"/>
      </w:r>
      <w:r>
        <w:instrText xml:space="preserve"> PAGEREF _Toc201157279 \h </w:instrText>
      </w:r>
      <w:r>
        <w:fldChar w:fldCharType="separate"/>
      </w:r>
      <w:r>
        <w:t>269</w:t>
      </w:r>
      <w:r>
        <w:fldChar w:fldCharType="end"/>
      </w:r>
    </w:p>
    <w:p w14:paraId="4C046B8A" w14:textId="21910DD9" w:rsidR="006C1B74" w:rsidRDefault="006C1B74">
      <w:pPr>
        <w:pStyle w:val="TOC3"/>
        <w:rPr>
          <w:rFonts w:asciiTheme="minorHAnsi" w:eastAsiaTheme="minorEastAsia" w:hAnsiTheme="minorHAnsi" w:cstheme="minorBidi"/>
          <w:kern w:val="2"/>
          <w:sz w:val="24"/>
          <w:szCs w:val="24"/>
          <w14:ligatures w14:val="standardContextual"/>
        </w:rPr>
      </w:pPr>
      <w:r>
        <w:t>5.15.9</w:t>
      </w:r>
      <w:r>
        <w:rPr>
          <w:rFonts w:asciiTheme="minorHAnsi" w:eastAsiaTheme="minorEastAsia" w:hAnsiTheme="minorHAnsi" w:cstheme="minorBidi"/>
          <w:kern w:val="2"/>
          <w:sz w:val="24"/>
          <w:szCs w:val="24"/>
          <w14:ligatures w14:val="standardContextual"/>
        </w:rPr>
        <w:tab/>
      </w:r>
      <w:r>
        <w:t>Operator-controlled inclusion of NSSAI in Access Stratum Connection Establishment</w:t>
      </w:r>
      <w:r>
        <w:tab/>
      </w:r>
      <w:r>
        <w:fldChar w:fldCharType="begin" w:fldLock="1"/>
      </w:r>
      <w:r>
        <w:instrText xml:space="preserve"> PAGEREF _Toc201157280 \h </w:instrText>
      </w:r>
      <w:r>
        <w:fldChar w:fldCharType="separate"/>
      </w:r>
      <w:r>
        <w:t>270</w:t>
      </w:r>
      <w:r>
        <w:fldChar w:fldCharType="end"/>
      </w:r>
    </w:p>
    <w:p w14:paraId="609E5882" w14:textId="2C0BD489" w:rsidR="006C1B74" w:rsidRDefault="006C1B74">
      <w:pPr>
        <w:pStyle w:val="TOC3"/>
        <w:rPr>
          <w:rFonts w:asciiTheme="minorHAnsi" w:eastAsiaTheme="minorEastAsia" w:hAnsiTheme="minorHAnsi" w:cstheme="minorBidi"/>
          <w:kern w:val="2"/>
          <w:sz w:val="24"/>
          <w:szCs w:val="24"/>
          <w14:ligatures w14:val="standardContextual"/>
        </w:rPr>
      </w:pPr>
      <w:r>
        <w:t>5.15.10</w:t>
      </w:r>
      <w:r>
        <w:rPr>
          <w:rFonts w:asciiTheme="minorHAnsi" w:eastAsiaTheme="minorEastAsia" w:hAnsiTheme="minorHAnsi" w:cstheme="minorBidi"/>
          <w:kern w:val="2"/>
          <w:sz w:val="24"/>
          <w:szCs w:val="24"/>
          <w14:ligatures w14:val="standardContextual"/>
        </w:rPr>
        <w:tab/>
      </w:r>
      <w:r>
        <w:t>Network Slice-Specific Authentication and Authorization</w:t>
      </w:r>
      <w:r>
        <w:tab/>
      </w:r>
      <w:r>
        <w:fldChar w:fldCharType="begin" w:fldLock="1"/>
      </w:r>
      <w:r>
        <w:instrText xml:space="preserve"> PAGEREF _Toc201157281 \h </w:instrText>
      </w:r>
      <w:r>
        <w:fldChar w:fldCharType="separate"/>
      </w:r>
      <w:r>
        <w:t>271</w:t>
      </w:r>
      <w:r>
        <w:fldChar w:fldCharType="end"/>
      </w:r>
    </w:p>
    <w:p w14:paraId="35B66917" w14:textId="761B476C" w:rsidR="006C1B74" w:rsidRDefault="006C1B74">
      <w:pPr>
        <w:pStyle w:val="TOC3"/>
        <w:rPr>
          <w:rFonts w:asciiTheme="minorHAnsi" w:eastAsiaTheme="minorEastAsia" w:hAnsiTheme="minorHAnsi" w:cstheme="minorBidi"/>
          <w:kern w:val="2"/>
          <w:sz w:val="24"/>
          <w:szCs w:val="24"/>
          <w14:ligatures w14:val="standardContextual"/>
        </w:rPr>
      </w:pPr>
      <w:r>
        <w:t>5.15.11</w:t>
      </w:r>
      <w:r>
        <w:rPr>
          <w:rFonts w:asciiTheme="minorHAnsi" w:eastAsiaTheme="minorEastAsia" w:hAnsiTheme="minorHAnsi" w:cstheme="minorBidi"/>
          <w:kern w:val="2"/>
          <w:sz w:val="24"/>
          <w:szCs w:val="24"/>
          <w14:ligatures w14:val="standardContextual"/>
        </w:rPr>
        <w:tab/>
      </w:r>
      <w:r>
        <w:t>Network Slice Admission Control</w:t>
      </w:r>
      <w:r>
        <w:tab/>
      </w:r>
      <w:r>
        <w:fldChar w:fldCharType="begin" w:fldLock="1"/>
      </w:r>
      <w:r>
        <w:instrText xml:space="preserve"> PAGEREF _Toc201157282 \h </w:instrText>
      </w:r>
      <w:r>
        <w:fldChar w:fldCharType="separate"/>
      </w:r>
      <w:r>
        <w:t>272</w:t>
      </w:r>
      <w:r>
        <w:fldChar w:fldCharType="end"/>
      </w:r>
    </w:p>
    <w:p w14:paraId="31EA667B" w14:textId="20F9DD04" w:rsidR="006C1B74" w:rsidRDefault="006C1B74">
      <w:pPr>
        <w:pStyle w:val="TOC4"/>
        <w:rPr>
          <w:rFonts w:asciiTheme="minorHAnsi" w:eastAsiaTheme="minorEastAsia" w:hAnsiTheme="minorHAnsi" w:cstheme="minorBidi"/>
          <w:kern w:val="2"/>
          <w:sz w:val="24"/>
          <w:szCs w:val="24"/>
          <w14:ligatures w14:val="standardContextual"/>
        </w:rPr>
      </w:pPr>
      <w:r>
        <w:t>5.15.11.0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_Toc201157283 \h </w:instrText>
      </w:r>
      <w:r>
        <w:fldChar w:fldCharType="separate"/>
      </w:r>
      <w:r>
        <w:t>272</w:t>
      </w:r>
      <w:r>
        <w:fldChar w:fldCharType="end"/>
      </w:r>
    </w:p>
    <w:p w14:paraId="086A4F55" w14:textId="62E3D570" w:rsidR="006C1B74" w:rsidRDefault="006C1B74">
      <w:pPr>
        <w:pStyle w:val="TOC4"/>
        <w:rPr>
          <w:rFonts w:asciiTheme="minorHAnsi" w:eastAsiaTheme="minorEastAsia" w:hAnsiTheme="minorHAnsi" w:cstheme="minorBidi"/>
          <w:kern w:val="2"/>
          <w:sz w:val="24"/>
          <w:szCs w:val="24"/>
          <w14:ligatures w14:val="standardContextual"/>
        </w:rPr>
      </w:pPr>
      <w:r>
        <w:t>5.15.11.1</w:t>
      </w:r>
      <w:r>
        <w:rPr>
          <w:rFonts w:asciiTheme="minorHAnsi" w:eastAsiaTheme="minorEastAsia" w:hAnsiTheme="minorHAnsi" w:cstheme="minorBidi"/>
          <w:kern w:val="2"/>
          <w:sz w:val="24"/>
          <w:szCs w:val="24"/>
          <w14:ligatures w14:val="standardContextual"/>
        </w:rPr>
        <w:tab/>
      </w:r>
      <w:r>
        <w:t>Network Slice Admission Control for maximum number of UEs</w:t>
      </w:r>
      <w:r>
        <w:tab/>
      </w:r>
      <w:r>
        <w:fldChar w:fldCharType="begin" w:fldLock="1"/>
      </w:r>
      <w:r>
        <w:instrText xml:space="preserve"> PAGEREF _Toc201157284 \h </w:instrText>
      </w:r>
      <w:r>
        <w:fldChar w:fldCharType="separate"/>
      </w:r>
      <w:r>
        <w:t>274</w:t>
      </w:r>
      <w:r>
        <w:fldChar w:fldCharType="end"/>
      </w:r>
    </w:p>
    <w:p w14:paraId="717230C4" w14:textId="3CF39544" w:rsidR="006C1B74" w:rsidRDefault="006C1B74">
      <w:pPr>
        <w:pStyle w:val="TOC5"/>
        <w:rPr>
          <w:rFonts w:asciiTheme="minorHAnsi" w:eastAsiaTheme="minorEastAsia" w:hAnsiTheme="minorHAnsi" w:cstheme="minorBidi"/>
          <w:kern w:val="2"/>
          <w:sz w:val="24"/>
          <w:szCs w:val="24"/>
          <w14:ligatures w14:val="standardContextual"/>
        </w:rPr>
      </w:pPr>
      <w:r>
        <w:t>5.15.11.1.1</w:t>
      </w:r>
      <w:r>
        <w:rPr>
          <w:rFonts w:asciiTheme="minorHAnsi" w:eastAsiaTheme="minorEastAsia" w:hAnsiTheme="minorHAnsi" w:cstheme="minorBidi"/>
          <w:kern w:val="2"/>
          <w:sz w:val="24"/>
          <w:szCs w:val="24"/>
          <w14:ligatures w14:val="standardContextual"/>
        </w:rPr>
        <w:tab/>
      </w:r>
      <w:r>
        <w:t>Non-Hierarchical NSAC architecture</w:t>
      </w:r>
      <w:r>
        <w:tab/>
      </w:r>
      <w:r>
        <w:fldChar w:fldCharType="begin" w:fldLock="1"/>
      </w:r>
      <w:r>
        <w:instrText xml:space="preserve"> PAGEREF _Toc201157285 \h </w:instrText>
      </w:r>
      <w:r>
        <w:fldChar w:fldCharType="separate"/>
      </w:r>
      <w:r>
        <w:t>274</w:t>
      </w:r>
      <w:r>
        <w:fldChar w:fldCharType="end"/>
      </w:r>
    </w:p>
    <w:p w14:paraId="44C5B495" w14:textId="708870EB" w:rsidR="006C1B74" w:rsidRDefault="006C1B74">
      <w:pPr>
        <w:pStyle w:val="TOC5"/>
        <w:rPr>
          <w:rFonts w:asciiTheme="minorHAnsi" w:eastAsiaTheme="minorEastAsia" w:hAnsiTheme="minorHAnsi" w:cstheme="minorBidi"/>
          <w:kern w:val="2"/>
          <w:sz w:val="24"/>
          <w:szCs w:val="24"/>
          <w14:ligatures w14:val="standardContextual"/>
        </w:rPr>
      </w:pPr>
      <w:r>
        <w:t>5.15.11.1.2</w:t>
      </w:r>
      <w:r>
        <w:rPr>
          <w:rFonts w:asciiTheme="minorHAnsi" w:eastAsiaTheme="minorEastAsia" w:hAnsiTheme="minorHAnsi" w:cstheme="minorBidi"/>
          <w:kern w:val="2"/>
          <w:sz w:val="24"/>
          <w:szCs w:val="24"/>
          <w14:ligatures w14:val="standardContextual"/>
        </w:rPr>
        <w:tab/>
      </w:r>
      <w:r>
        <w:t>Hierarchical NSAC architecture</w:t>
      </w:r>
      <w:r>
        <w:tab/>
      </w:r>
      <w:r>
        <w:fldChar w:fldCharType="begin" w:fldLock="1"/>
      </w:r>
      <w:r>
        <w:instrText xml:space="preserve"> PAGEREF _Toc201157286 \h </w:instrText>
      </w:r>
      <w:r>
        <w:fldChar w:fldCharType="separate"/>
      </w:r>
      <w:r>
        <w:t>274</w:t>
      </w:r>
      <w:r>
        <w:fldChar w:fldCharType="end"/>
      </w:r>
    </w:p>
    <w:p w14:paraId="6FAD88D3" w14:textId="1FE82985" w:rsidR="006C1B74" w:rsidRDefault="006C1B74">
      <w:pPr>
        <w:pStyle w:val="TOC5"/>
        <w:rPr>
          <w:rFonts w:asciiTheme="minorHAnsi" w:eastAsiaTheme="minorEastAsia" w:hAnsiTheme="minorHAnsi" w:cstheme="minorBidi"/>
          <w:kern w:val="2"/>
          <w:sz w:val="24"/>
          <w:szCs w:val="24"/>
          <w14:ligatures w14:val="standardContextual"/>
        </w:rPr>
      </w:pPr>
      <w:r>
        <w:t>5.15.11.1.3</w:t>
      </w:r>
      <w:r>
        <w:rPr>
          <w:rFonts w:asciiTheme="minorHAnsi" w:eastAsiaTheme="minorEastAsia" w:hAnsiTheme="minorHAnsi" w:cstheme="minorBidi"/>
          <w:kern w:val="2"/>
          <w:sz w:val="24"/>
          <w:szCs w:val="24"/>
          <w14:ligatures w14:val="standardContextual"/>
        </w:rPr>
        <w:tab/>
      </w:r>
      <w:r>
        <w:t>Centralized NSAC architecture</w:t>
      </w:r>
      <w:r>
        <w:tab/>
      </w:r>
      <w:r>
        <w:fldChar w:fldCharType="begin" w:fldLock="1"/>
      </w:r>
      <w:r>
        <w:instrText xml:space="preserve"> PAGEREF _Toc201157287 \h </w:instrText>
      </w:r>
      <w:r>
        <w:fldChar w:fldCharType="separate"/>
      </w:r>
      <w:r>
        <w:t>276</w:t>
      </w:r>
      <w:r>
        <w:fldChar w:fldCharType="end"/>
      </w:r>
    </w:p>
    <w:p w14:paraId="6F66F88A" w14:textId="217DFDAF" w:rsidR="006C1B74" w:rsidRDefault="006C1B74">
      <w:pPr>
        <w:pStyle w:val="TOC4"/>
        <w:rPr>
          <w:rFonts w:asciiTheme="minorHAnsi" w:eastAsiaTheme="minorEastAsia" w:hAnsiTheme="minorHAnsi" w:cstheme="minorBidi"/>
          <w:kern w:val="2"/>
          <w:sz w:val="24"/>
          <w:szCs w:val="24"/>
          <w14:ligatures w14:val="standardContextual"/>
        </w:rPr>
      </w:pPr>
      <w:r>
        <w:t>5.15.11.2</w:t>
      </w:r>
      <w:r>
        <w:rPr>
          <w:rFonts w:asciiTheme="minorHAnsi" w:eastAsiaTheme="minorEastAsia" w:hAnsiTheme="minorHAnsi" w:cstheme="minorBidi"/>
          <w:kern w:val="2"/>
          <w:sz w:val="24"/>
          <w:szCs w:val="24"/>
          <w14:ligatures w14:val="standardContextual"/>
        </w:rPr>
        <w:tab/>
      </w:r>
      <w:r>
        <w:t>Network Slice Admission Control for maximum number of PDU sessions</w:t>
      </w:r>
      <w:r>
        <w:tab/>
      </w:r>
      <w:r>
        <w:fldChar w:fldCharType="begin" w:fldLock="1"/>
      </w:r>
      <w:r>
        <w:instrText xml:space="preserve"> PAGEREF _Toc201157288 \h </w:instrText>
      </w:r>
      <w:r>
        <w:fldChar w:fldCharType="separate"/>
      </w:r>
      <w:r>
        <w:t>276</w:t>
      </w:r>
      <w:r>
        <w:fldChar w:fldCharType="end"/>
      </w:r>
    </w:p>
    <w:p w14:paraId="5C59C9EE" w14:textId="60F36F25" w:rsidR="006C1B74" w:rsidRDefault="006C1B74">
      <w:pPr>
        <w:pStyle w:val="TOC5"/>
        <w:rPr>
          <w:rFonts w:asciiTheme="minorHAnsi" w:eastAsiaTheme="minorEastAsia" w:hAnsiTheme="minorHAnsi" w:cstheme="minorBidi"/>
          <w:kern w:val="2"/>
          <w:sz w:val="24"/>
          <w:szCs w:val="24"/>
          <w14:ligatures w14:val="standardContextual"/>
        </w:rPr>
      </w:pPr>
      <w:r>
        <w:t>5.15.11.2.1</w:t>
      </w:r>
      <w:r>
        <w:rPr>
          <w:rFonts w:asciiTheme="minorHAnsi" w:eastAsiaTheme="minorEastAsia" w:hAnsiTheme="minorHAnsi" w:cstheme="minorBidi"/>
          <w:kern w:val="2"/>
          <w:sz w:val="24"/>
          <w:szCs w:val="24"/>
          <w14:ligatures w14:val="standardContextual"/>
        </w:rPr>
        <w:tab/>
      </w:r>
      <w:r>
        <w:t>Non- Hierarchical NSAC architecture</w:t>
      </w:r>
      <w:r>
        <w:tab/>
      </w:r>
      <w:r>
        <w:fldChar w:fldCharType="begin" w:fldLock="1"/>
      </w:r>
      <w:r>
        <w:instrText xml:space="preserve"> PAGEREF _Toc201157289 \h </w:instrText>
      </w:r>
      <w:r>
        <w:fldChar w:fldCharType="separate"/>
      </w:r>
      <w:r>
        <w:t>276</w:t>
      </w:r>
      <w:r>
        <w:fldChar w:fldCharType="end"/>
      </w:r>
    </w:p>
    <w:p w14:paraId="7BA49CC7" w14:textId="4104152F" w:rsidR="006C1B74" w:rsidRDefault="006C1B74">
      <w:pPr>
        <w:pStyle w:val="TOC5"/>
        <w:rPr>
          <w:rFonts w:asciiTheme="minorHAnsi" w:eastAsiaTheme="minorEastAsia" w:hAnsiTheme="minorHAnsi" w:cstheme="minorBidi"/>
          <w:kern w:val="2"/>
          <w:sz w:val="24"/>
          <w:szCs w:val="24"/>
          <w14:ligatures w14:val="standardContextual"/>
        </w:rPr>
      </w:pPr>
      <w:r>
        <w:t>5.15.11.2.2</w:t>
      </w:r>
      <w:r>
        <w:rPr>
          <w:rFonts w:asciiTheme="minorHAnsi" w:eastAsiaTheme="minorEastAsia" w:hAnsiTheme="minorHAnsi" w:cstheme="minorBidi"/>
          <w:kern w:val="2"/>
          <w:sz w:val="24"/>
          <w:szCs w:val="24"/>
          <w14:ligatures w14:val="standardContextual"/>
        </w:rPr>
        <w:tab/>
      </w:r>
      <w:r>
        <w:t>Hierarchical NSAC architecture</w:t>
      </w:r>
      <w:r>
        <w:tab/>
      </w:r>
      <w:r>
        <w:fldChar w:fldCharType="begin" w:fldLock="1"/>
      </w:r>
      <w:r>
        <w:instrText xml:space="preserve"> PAGEREF _Toc201157290 \h </w:instrText>
      </w:r>
      <w:r>
        <w:fldChar w:fldCharType="separate"/>
      </w:r>
      <w:r>
        <w:t>276</w:t>
      </w:r>
      <w:r>
        <w:fldChar w:fldCharType="end"/>
      </w:r>
    </w:p>
    <w:p w14:paraId="751F7F04" w14:textId="6F5A3CE5" w:rsidR="006C1B74" w:rsidRDefault="006C1B74">
      <w:pPr>
        <w:pStyle w:val="TOC5"/>
        <w:rPr>
          <w:rFonts w:asciiTheme="minorHAnsi" w:eastAsiaTheme="minorEastAsia" w:hAnsiTheme="minorHAnsi" w:cstheme="minorBidi"/>
          <w:kern w:val="2"/>
          <w:sz w:val="24"/>
          <w:szCs w:val="24"/>
          <w14:ligatures w14:val="standardContextual"/>
        </w:rPr>
      </w:pPr>
      <w:r>
        <w:t>5.15.11.2.3</w:t>
      </w:r>
      <w:r>
        <w:rPr>
          <w:rFonts w:asciiTheme="minorHAnsi" w:eastAsiaTheme="minorEastAsia" w:hAnsiTheme="minorHAnsi" w:cstheme="minorBidi"/>
          <w:kern w:val="2"/>
          <w:sz w:val="24"/>
          <w:szCs w:val="24"/>
          <w14:ligatures w14:val="standardContextual"/>
        </w:rPr>
        <w:tab/>
      </w:r>
      <w:r>
        <w:t>Centralized NSAC architecture</w:t>
      </w:r>
      <w:r>
        <w:tab/>
      </w:r>
      <w:r>
        <w:fldChar w:fldCharType="begin" w:fldLock="1"/>
      </w:r>
      <w:r>
        <w:instrText xml:space="preserve"> PAGEREF _Toc201157291 \h </w:instrText>
      </w:r>
      <w:r>
        <w:fldChar w:fldCharType="separate"/>
      </w:r>
      <w:r>
        <w:t>277</w:t>
      </w:r>
      <w:r>
        <w:fldChar w:fldCharType="end"/>
      </w:r>
    </w:p>
    <w:p w14:paraId="5458BF0D" w14:textId="4894E38F" w:rsidR="006C1B74" w:rsidRDefault="006C1B74">
      <w:pPr>
        <w:pStyle w:val="TOC4"/>
        <w:rPr>
          <w:rFonts w:asciiTheme="minorHAnsi" w:eastAsiaTheme="minorEastAsia" w:hAnsiTheme="minorHAnsi" w:cstheme="minorBidi"/>
          <w:kern w:val="2"/>
          <w:sz w:val="24"/>
          <w:szCs w:val="24"/>
          <w14:ligatures w14:val="standardContextual"/>
        </w:rPr>
      </w:pPr>
      <w:r>
        <w:t>5.15.11.3</w:t>
      </w:r>
      <w:r>
        <w:rPr>
          <w:rFonts w:asciiTheme="minorHAnsi" w:eastAsiaTheme="minorEastAsia" w:hAnsiTheme="minorHAnsi" w:cstheme="minorBidi"/>
          <w:kern w:val="2"/>
          <w:sz w:val="24"/>
          <w:szCs w:val="24"/>
          <w14:ligatures w14:val="standardContextual"/>
        </w:rPr>
        <w:tab/>
      </w:r>
      <w:r>
        <w:t>Network Slice Admission Control for Roaming</w:t>
      </w:r>
      <w:r>
        <w:tab/>
      </w:r>
      <w:r>
        <w:fldChar w:fldCharType="begin" w:fldLock="1"/>
      </w:r>
      <w:r>
        <w:instrText xml:space="preserve"> PAGEREF _Toc201157292 \h </w:instrText>
      </w:r>
      <w:r>
        <w:fldChar w:fldCharType="separate"/>
      </w:r>
      <w:r>
        <w:t>277</w:t>
      </w:r>
      <w:r>
        <w:fldChar w:fldCharType="end"/>
      </w:r>
    </w:p>
    <w:p w14:paraId="6BA646A3" w14:textId="1E0B2D78" w:rsidR="006C1B74" w:rsidRDefault="006C1B74">
      <w:pPr>
        <w:pStyle w:val="TOC5"/>
        <w:rPr>
          <w:rFonts w:asciiTheme="minorHAnsi" w:eastAsiaTheme="minorEastAsia" w:hAnsiTheme="minorHAnsi" w:cstheme="minorBidi"/>
          <w:kern w:val="2"/>
          <w:sz w:val="24"/>
          <w:szCs w:val="24"/>
          <w14:ligatures w14:val="standardContextual"/>
        </w:rPr>
      </w:pPr>
      <w:r>
        <w:t>5.15.11.3.0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_Toc201157293 \h </w:instrText>
      </w:r>
      <w:r>
        <w:fldChar w:fldCharType="separate"/>
      </w:r>
      <w:r>
        <w:t>277</w:t>
      </w:r>
      <w:r>
        <w:fldChar w:fldCharType="end"/>
      </w:r>
    </w:p>
    <w:p w14:paraId="64F0D126" w14:textId="7D30C1E3" w:rsidR="006C1B74" w:rsidRDefault="006C1B74">
      <w:pPr>
        <w:pStyle w:val="TOC5"/>
        <w:rPr>
          <w:rFonts w:asciiTheme="minorHAnsi" w:eastAsiaTheme="minorEastAsia" w:hAnsiTheme="minorHAnsi" w:cstheme="minorBidi"/>
          <w:kern w:val="2"/>
          <w:sz w:val="24"/>
          <w:szCs w:val="24"/>
          <w14:ligatures w14:val="standardContextual"/>
        </w:rPr>
      </w:pPr>
      <w:r>
        <w:t>5.15.11.3.1</w:t>
      </w:r>
      <w:r>
        <w:rPr>
          <w:rFonts w:asciiTheme="minorHAnsi" w:eastAsiaTheme="minorEastAsia" w:hAnsiTheme="minorHAnsi" w:cstheme="minorBidi"/>
          <w:kern w:val="2"/>
          <w:sz w:val="24"/>
          <w:szCs w:val="24"/>
          <w14:ligatures w14:val="standardContextual"/>
        </w:rPr>
        <w:tab/>
      </w:r>
      <w:r>
        <w:t>VPLMN NSAC Admission Mode</w:t>
      </w:r>
      <w:r>
        <w:tab/>
      </w:r>
      <w:r>
        <w:fldChar w:fldCharType="begin" w:fldLock="1"/>
      </w:r>
      <w:r>
        <w:instrText xml:space="preserve"> PAGEREF _Toc201157294 \h </w:instrText>
      </w:r>
      <w:r>
        <w:fldChar w:fldCharType="separate"/>
      </w:r>
      <w:r>
        <w:t>277</w:t>
      </w:r>
      <w:r>
        <w:fldChar w:fldCharType="end"/>
      </w:r>
    </w:p>
    <w:p w14:paraId="05949B6A" w14:textId="0792C03B" w:rsidR="006C1B74" w:rsidRDefault="006C1B74">
      <w:pPr>
        <w:pStyle w:val="TOC5"/>
        <w:rPr>
          <w:rFonts w:asciiTheme="minorHAnsi" w:eastAsiaTheme="minorEastAsia" w:hAnsiTheme="minorHAnsi" w:cstheme="minorBidi"/>
          <w:kern w:val="2"/>
          <w:sz w:val="24"/>
          <w:szCs w:val="24"/>
          <w14:ligatures w14:val="standardContextual"/>
        </w:rPr>
      </w:pPr>
      <w:r>
        <w:t>5.15.11.3.2</w:t>
      </w:r>
      <w:r>
        <w:rPr>
          <w:rFonts w:asciiTheme="minorHAnsi" w:eastAsiaTheme="minorEastAsia" w:hAnsiTheme="minorHAnsi" w:cstheme="minorBidi"/>
          <w:kern w:val="2"/>
          <w:sz w:val="24"/>
          <w:szCs w:val="24"/>
          <w14:ligatures w14:val="standardContextual"/>
        </w:rPr>
        <w:tab/>
      </w:r>
      <w:r>
        <w:t>VPLMN with HPLMN assistance NSAC Admission</w:t>
      </w:r>
      <w:r>
        <w:tab/>
      </w:r>
      <w:r>
        <w:fldChar w:fldCharType="begin" w:fldLock="1"/>
      </w:r>
      <w:r>
        <w:instrText xml:space="preserve"> PAGEREF _Toc201157295 \h </w:instrText>
      </w:r>
      <w:r>
        <w:fldChar w:fldCharType="separate"/>
      </w:r>
      <w:r>
        <w:t>278</w:t>
      </w:r>
      <w:r>
        <w:fldChar w:fldCharType="end"/>
      </w:r>
    </w:p>
    <w:p w14:paraId="311AE79B" w14:textId="5182BFE1" w:rsidR="006C1B74" w:rsidRDefault="006C1B74">
      <w:pPr>
        <w:pStyle w:val="TOC5"/>
        <w:rPr>
          <w:rFonts w:asciiTheme="minorHAnsi" w:eastAsiaTheme="minorEastAsia" w:hAnsiTheme="minorHAnsi" w:cstheme="minorBidi"/>
          <w:kern w:val="2"/>
          <w:sz w:val="24"/>
          <w:szCs w:val="24"/>
          <w14:ligatures w14:val="standardContextual"/>
        </w:rPr>
      </w:pPr>
      <w:r>
        <w:t>5.15.11.3.3</w:t>
      </w:r>
      <w:r>
        <w:rPr>
          <w:rFonts w:asciiTheme="minorHAnsi" w:eastAsiaTheme="minorEastAsia" w:hAnsiTheme="minorHAnsi" w:cstheme="minorBidi"/>
          <w:kern w:val="2"/>
          <w:sz w:val="24"/>
          <w:szCs w:val="24"/>
          <w14:ligatures w14:val="standardContextual"/>
        </w:rPr>
        <w:tab/>
      </w:r>
      <w:r>
        <w:t>HPLMN NSAC Admission Mode</w:t>
      </w:r>
      <w:r>
        <w:tab/>
      </w:r>
      <w:r>
        <w:fldChar w:fldCharType="begin" w:fldLock="1"/>
      </w:r>
      <w:r>
        <w:instrText xml:space="preserve"> PAGEREF _Toc201157296 \h </w:instrText>
      </w:r>
      <w:r>
        <w:fldChar w:fldCharType="separate"/>
      </w:r>
      <w:r>
        <w:t>278</w:t>
      </w:r>
      <w:r>
        <w:fldChar w:fldCharType="end"/>
      </w:r>
    </w:p>
    <w:p w14:paraId="703404B1" w14:textId="56F58D5B" w:rsidR="006C1B74" w:rsidRDefault="006C1B74">
      <w:pPr>
        <w:pStyle w:val="TOC4"/>
        <w:rPr>
          <w:rFonts w:asciiTheme="minorHAnsi" w:eastAsiaTheme="minorEastAsia" w:hAnsiTheme="minorHAnsi" w:cstheme="minorBidi"/>
          <w:kern w:val="2"/>
          <w:sz w:val="24"/>
          <w:szCs w:val="24"/>
          <w14:ligatures w14:val="standardContextual"/>
        </w:rPr>
      </w:pPr>
      <w:r>
        <w:t>5.15.11.4</w:t>
      </w:r>
      <w:r>
        <w:rPr>
          <w:rFonts w:asciiTheme="minorHAnsi" w:eastAsiaTheme="minorEastAsia" w:hAnsiTheme="minorHAnsi" w:cstheme="minorBidi"/>
          <w:kern w:val="2"/>
          <w:sz w:val="24"/>
          <w:szCs w:val="24"/>
          <w14:ligatures w14:val="standardContextual"/>
        </w:rPr>
        <w:tab/>
      </w:r>
      <w:r>
        <w:t>Network Slice status notifications and reports to a consumer NF</w:t>
      </w:r>
      <w:r>
        <w:tab/>
      </w:r>
      <w:r>
        <w:fldChar w:fldCharType="begin" w:fldLock="1"/>
      </w:r>
      <w:r>
        <w:instrText xml:space="preserve"> PAGEREF _Toc201157297 \h </w:instrText>
      </w:r>
      <w:r>
        <w:fldChar w:fldCharType="separate"/>
      </w:r>
      <w:r>
        <w:t>278</w:t>
      </w:r>
      <w:r>
        <w:fldChar w:fldCharType="end"/>
      </w:r>
    </w:p>
    <w:p w14:paraId="16A4DCE9" w14:textId="1B4B1087" w:rsidR="006C1B74" w:rsidRDefault="006C1B74">
      <w:pPr>
        <w:pStyle w:val="TOC4"/>
        <w:rPr>
          <w:rFonts w:asciiTheme="minorHAnsi" w:eastAsiaTheme="minorEastAsia" w:hAnsiTheme="minorHAnsi" w:cstheme="minorBidi"/>
          <w:kern w:val="2"/>
          <w:sz w:val="24"/>
          <w:szCs w:val="24"/>
          <w14:ligatures w14:val="standardContextual"/>
        </w:rPr>
      </w:pPr>
      <w:r>
        <w:t>5.15.11.5</w:t>
      </w:r>
      <w:r>
        <w:rPr>
          <w:rFonts w:asciiTheme="minorHAnsi" w:eastAsiaTheme="minorEastAsia" w:hAnsiTheme="minorHAnsi" w:cstheme="minorBidi"/>
          <w:kern w:val="2"/>
          <w:sz w:val="24"/>
          <w:szCs w:val="24"/>
          <w14:ligatures w14:val="standardContextual"/>
        </w:rPr>
        <w:tab/>
      </w:r>
      <w:r>
        <w:t>Support of Network Slice Admission Control and Interworking with EPC</w:t>
      </w:r>
      <w:r>
        <w:tab/>
      </w:r>
      <w:r>
        <w:fldChar w:fldCharType="begin" w:fldLock="1"/>
      </w:r>
      <w:r>
        <w:instrText xml:space="preserve"> PAGEREF _Toc201157298 \h </w:instrText>
      </w:r>
      <w:r>
        <w:fldChar w:fldCharType="separate"/>
      </w:r>
      <w:r>
        <w:t>279</w:t>
      </w:r>
      <w:r>
        <w:fldChar w:fldCharType="end"/>
      </w:r>
    </w:p>
    <w:p w14:paraId="4DBB8B9E" w14:textId="22DAAB91" w:rsidR="006C1B74" w:rsidRDefault="006C1B74">
      <w:pPr>
        <w:pStyle w:val="TOC4"/>
        <w:rPr>
          <w:rFonts w:asciiTheme="minorHAnsi" w:eastAsiaTheme="minorEastAsia" w:hAnsiTheme="minorHAnsi" w:cstheme="minorBidi"/>
          <w:kern w:val="2"/>
          <w:sz w:val="24"/>
          <w:szCs w:val="24"/>
          <w14:ligatures w14:val="standardContextual"/>
        </w:rPr>
      </w:pPr>
      <w:r>
        <w:t>5.15.11.5a</w:t>
      </w:r>
      <w:r>
        <w:rPr>
          <w:rFonts w:asciiTheme="minorHAnsi" w:eastAsiaTheme="minorEastAsia" w:hAnsiTheme="minorHAnsi" w:cstheme="minorBidi"/>
          <w:kern w:val="2"/>
          <w:sz w:val="24"/>
          <w:szCs w:val="24"/>
          <w14:ligatures w14:val="standardContextual"/>
        </w:rPr>
        <w:tab/>
      </w:r>
      <w:r>
        <w:t>Support of Network Slice Admission Control in 5GS for maximum number of UEs with at least one PDU Session/PDN Connection</w:t>
      </w:r>
      <w:r>
        <w:tab/>
      </w:r>
      <w:r>
        <w:fldChar w:fldCharType="begin" w:fldLock="1"/>
      </w:r>
      <w:r>
        <w:instrText xml:space="preserve"> PAGEREF _Toc201157299 \h </w:instrText>
      </w:r>
      <w:r>
        <w:fldChar w:fldCharType="separate"/>
      </w:r>
      <w:r>
        <w:t>281</w:t>
      </w:r>
      <w:r>
        <w:fldChar w:fldCharType="end"/>
      </w:r>
    </w:p>
    <w:p w14:paraId="2EE81659" w14:textId="16B98ACC" w:rsidR="006C1B74" w:rsidRDefault="006C1B74">
      <w:pPr>
        <w:pStyle w:val="TOC3"/>
        <w:rPr>
          <w:rFonts w:asciiTheme="minorHAnsi" w:eastAsiaTheme="minorEastAsia" w:hAnsiTheme="minorHAnsi" w:cstheme="minorBidi"/>
          <w:kern w:val="2"/>
          <w:sz w:val="24"/>
          <w:szCs w:val="24"/>
          <w14:ligatures w14:val="standardContextual"/>
        </w:rPr>
      </w:pPr>
      <w:r>
        <w:t>5.15.12</w:t>
      </w:r>
      <w:r>
        <w:rPr>
          <w:rFonts w:asciiTheme="minorHAnsi" w:eastAsiaTheme="minorEastAsia" w:hAnsiTheme="minorHAnsi" w:cstheme="minorBidi"/>
          <w:kern w:val="2"/>
          <w:sz w:val="24"/>
          <w:szCs w:val="24"/>
          <w14:ligatures w14:val="standardContextual"/>
        </w:rPr>
        <w:tab/>
      </w:r>
      <w:r>
        <w:t>Support of subscription-based restrictions to simultaneous registration of network slices</w:t>
      </w:r>
      <w:r>
        <w:tab/>
      </w:r>
      <w:r>
        <w:fldChar w:fldCharType="begin" w:fldLock="1"/>
      </w:r>
      <w:r>
        <w:instrText xml:space="preserve"> PAGEREF _Toc201157300 \h </w:instrText>
      </w:r>
      <w:r>
        <w:fldChar w:fldCharType="separate"/>
      </w:r>
      <w:r>
        <w:t>282</w:t>
      </w:r>
      <w:r>
        <w:fldChar w:fldCharType="end"/>
      </w:r>
    </w:p>
    <w:p w14:paraId="18AE2808" w14:textId="32BDA8E8" w:rsidR="006C1B74" w:rsidRDefault="006C1B74">
      <w:pPr>
        <w:pStyle w:val="TOC4"/>
        <w:rPr>
          <w:rFonts w:asciiTheme="minorHAnsi" w:eastAsiaTheme="minorEastAsia" w:hAnsiTheme="minorHAnsi" w:cstheme="minorBidi"/>
          <w:kern w:val="2"/>
          <w:sz w:val="24"/>
          <w:szCs w:val="24"/>
          <w14:ligatures w14:val="standardContextual"/>
        </w:rPr>
      </w:pPr>
      <w:r>
        <w:t>5.15.12.1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_Toc201157301 \h </w:instrText>
      </w:r>
      <w:r>
        <w:fldChar w:fldCharType="separate"/>
      </w:r>
      <w:r>
        <w:t>282</w:t>
      </w:r>
      <w:r>
        <w:fldChar w:fldCharType="end"/>
      </w:r>
    </w:p>
    <w:p w14:paraId="6C426A42" w14:textId="2ACE5F6A" w:rsidR="006C1B74" w:rsidRDefault="006C1B74">
      <w:pPr>
        <w:pStyle w:val="TOC4"/>
        <w:rPr>
          <w:rFonts w:asciiTheme="minorHAnsi" w:eastAsiaTheme="minorEastAsia" w:hAnsiTheme="minorHAnsi" w:cstheme="minorBidi"/>
          <w:kern w:val="2"/>
          <w:sz w:val="24"/>
          <w:szCs w:val="24"/>
          <w14:ligatures w14:val="standardContextual"/>
        </w:rPr>
      </w:pPr>
      <w:r>
        <w:t>5.15.12.2</w:t>
      </w:r>
      <w:r>
        <w:rPr>
          <w:rFonts w:asciiTheme="minorHAnsi" w:eastAsiaTheme="minorEastAsia" w:hAnsiTheme="minorHAnsi" w:cstheme="minorBidi"/>
          <w:kern w:val="2"/>
          <w:sz w:val="24"/>
          <w:szCs w:val="24"/>
          <w14:ligatures w14:val="standardContextual"/>
        </w:rPr>
        <w:tab/>
      </w:r>
      <w:r>
        <w:t>UE and UE configuration aspects</w:t>
      </w:r>
      <w:r>
        <w:tab/>
      </w:r>
      <w:r>
        <w:fldChar w:fldCharType="begin" w:fldLock="1"/>
      </w:r>
      <w:r>
        <w:instrText xml:space="preserve"> PAGEREF _Toc201157302 \h </w:instrText>
      </w:r>
      <w:r>
        <w:fldChar w:fldCharType="separate"/>
      </w:r>
      <w:r>
        <w:t>282</w:t>
      </w:r>
      <w:r>
        <w:fldChar w:fldCharType="end"/>
      </w:r>
    </w:p>
    <w:p w14:paraId="4AF35E63" w14:textId="5E212FB5" w:rsidR="006C1B74" w:rsidRDefault="006C1B74">
      <w:pPr>
        <w:pStyle w:val="TOC3"/>
        <w:rPr>
          <w:rFonts w:asciiTheme="minorHAnsi" w:eastAsiaTheme="minorEastAsia" w:hAnsiTheme="minorHAnsi" w:cstheme="minorBidi"/>
          <w:kern w:val="2"/>
          <w:sz w:val="24"/>
          <w:szCs w:val="24"/>
          <w14:ligatures w14:val="standardContextual"/>
        </w:rPr>
      </w:pPr>
      <w:r>
        <w:t>5.15.13</w:t>
      </w:r>
      <w:r>
        <w:rPr>
          <w:rFonts w:asciiTheme="minorHAnsi" w:eastAsiaTheme="minorEastAsia" w:hAnsiTheme="minorHAnsi" w:cstheme="minorBidi"/>
          <w:kern w:val="2"/>
          <w:sz w:val="24"/>
          <w:szCs w:val="24"/>
          <w14:ligatures w14:val="standardContextual"/>
        </w:rPr>
        <w:tab/>
      </w:r>
      <w:r>
        <w:t>Support of data rate limitation per Network Slice for a UE</w:t>
      </w:r>
      <w:r>
        <w:tab/>
      </w:r>
      <w:r>
        <w:fldChar w:fldCharType="begin" w:fldLock="1"/>
      </w:r>
      <w:r>
        <w:instrText xml:space="preserve"> PAGEREF _Toc201157303 \h </w:instrText>
      </w:r>
      <w:r>
        <w:fldChar w:fldCharType="separate"/>
      </w:r>
      <w:r>
        <w:t>283</w:t>
      </w:r>
      <w:r>
        <w:fldChar w:fldCharType="end"/>
      </w:r>
    </w:p>
    <w:p w14:paraId="7578D1E8" w14:textId="4E18A006" w:rsidR="006C1B74" w:rsidRDefault="006C1B74">
      <w:pPr>
        <w:pStyle w:val="TOC3"/>
        <w:rPr>
          <w:rFonts w:asciiTheme="minorHAnsi" w:eastAsiaTheme="minorEastAsia" w:hAnsiTheme="minorHAnsi" w:cstheme="minorBidi"/>
          <w:kern w:val="2"/>
          <w:sz w:val="24"/>
          <w:szCs w:val="24"/>
          <w14:ligatures w14:val="standardContextual"/>
        </w:rPr>
      </w:pPr>
      <w:r>
        <w:t>5.15.14</w:t>
      </w:r>
      <w:r>
        <w:rPr>
          <w:rFonts w:asciiTheme="minorHAnsi" w:eastAsiaTheme="minorEastAsia" w:hAnsiTheme="minorHAnsi" w:cstheme="minorBidi"/>
          <w:kern w:val="2"/>
          <w:sz w:val="24"/>
          <w:szCs w:val="24"/>
          <w14:ligatures w14:val="standardContextual"/>
        </w:rPr>
        <w:tab/>
      </w:r>
      <w:r>
        <w:t>Network Slice AS Groups support</w:t>
      </w:r>
      <w:r>
        <w:tab/>
      </w:r>
      <w:r>
        <w:fldChar w:fldCharType="begin" w:fldLock="1"/>
      </w:r>
      <w:r>
        <w:instrText xml:space="preserve"> PAGEREF _Toc201157304 \h </w:instrText>
      </w:r>
      <w:r>
        <w:fldChar w:fldCharType="separate"/>
      </w:r>
      <w:r>
        <w:t>284</w:t>
      </w:r>
      <w:r>
        <w:fldChar w:fldCharType="end"/>
      </w:r>
    </w:p>
    <w:p w14:paraId="3719983C" w14:textId="157E4BBC" w:rsidR="006C1B74" w:rsidRDefault="006C1B74">
      <w:pPr>
        <w:pStyle w:val="TOC3"/>
        <w:rPr>
          <w:rFonts w:asciiTheme="minorHAnsi" w:eastAsiaTheme="minorEastAsia" w:hAnsiTheme="minorHAnsi" w:cstheme="minorBidi"/>
          <w:kern w:val="2"/>
          <w:sz w:val="24"/>
          <w:szCs w:val="24"/>
          <w14:ligatures w14:val="standardContextual"/>
        </w:rPr>
      </w:pPr>
      <w:r>
        <w:t>5.15.15</w:t>
      </w:r>
      <w:r>
        <w:rPr>
          <w:rFonts w:asciiTheme="minorHAnsi" w:eastAsiaTheme="minorEastAsia" w:hAnsiTheme="minorHAnsi" w:cstheme="minorBidi"/>
          <w:kern w:val="2"/>
          <w:sz w:val="24"/>
          <w:szCs w:val="24"/>
          <w14:ligatures w14:val="standardContextual"/>
        </w:rPr>
        <w:tab/>
      </w:r>
      <w:r>
        <w:t>Support of Network Slice usage control</w:t>
      </w:r>
      <w:r>
        <w:tab/>
      </w:r>
      <w:r>
        <w:fldChar w:fldCharType="begin" w:fldLock="1"/>
      </w:r>
      <w:r>
        <w:instrText xml:space="preserve"> PAGEREF _Toc201157305 \h </w:instrText>
      </w:r>
      <w:r>
        <w:fldChar w:fldCharType="separate"/>
      </w:r>
      <w:r>
        <w:t>284</w:t>
      </w:r>
      <w:r>
        <w:fldChar w:fldCharType="end"/>
      </w:r>
    </w:p>
    <w:p w14:paraId="6BF1FF73" w14:textId="2B6528FB" w:rsidR="006C1B74" w:rsidRDefault="006C1B74">
      <w:pPr>
        <w:pStyle w:val="TOC4"/>
        <w:rPr>
          <w:rFonts w:asciiTheme="minorHAnsi" w:eastAsiaTheme="minorEastAsia" w:hAnsiTheme="minorHAnsi" w:cstheme="minorBidi"/>
          <w:kern w:val="2"/>
          <w:sz w:val="24"/>
          <w:szCs w:val="24"/>
          <w14:ligatures w14:val="standardContextual"/>
        </w:rPr>
      </w:pPr>
      <w:r>
        <w:t>5.15.15.1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_Toc201157306 \h </w:instrText>
      </w:r>
      <w:r>
        <w:fldChar w:fldCharType="separate"/>
      </w:r>
      <w:r>
        <w:t>284</w:t>
      </w:r>
      <w:r>
        <w:fldChar w:fldCharType="end"/>
      </w:r>
    </w:p>
    <w:p w14:paraId="3DE1CDD2" w14:textId="6DF4A8B9" w:rsidR="006C1B74" w:rsidRDefault="006C1B74">
      <w:pPr>
        <w:pStyle w:val="TOC4"/>
        <w:rPr>
          <w:rFonts w:asciiTheme="minorHAnsi" w:eastAsiaTheme="minorEastAsia" w:hAnsiTheme="minorHAnsi" w:cstheme="minorBidi"/>
          <w:kern w:val="2"/>
          <w:sz w:val="24"/>
          <w:szCs w:val="24"/>
          <w14:ligatures w14:val="standardContextual"/>
        </w:rPr>
      </w:pPr>
      <w:r>
        <w:t>5.15.15.2</w:t>
      </w:r>
      <w:r>
        <w:rPr>
          <w:rFonts w:asciiTheme="minorHAnsi" w:eastAsiaTheme="minorEastAsia" w:hAnsiTheme="minorHAnsi" w:cstheme="minorBidi"/>
          <w:kern w:val="2"/>
          <w:sz w:val="24"/>
          <w:szCs w:val="24"/>
          <w14:ligatures w14:val="standardContextual"/>
        </w:rPr>
        <w:tab/>
      </w:r>
      <w:r>
        <w:t>UE Configuration of network-controlled Slice Usage Policy</w:t>
      </w:r>
      <w:r>
        <w:tab/>
      </w:r>
      <w:r>
        <w:fldChar w:fldCharType="begin" w:fldLock="1"/>
      </w:r>
      <w:r>
        <w:instrText xml:space="preserve"> PAGEREF _Toc201157307 \h </w:instrText>
      </w:r>
      <w:r>
        <w:fldChar w:fldCharType="separate"/>
      </w:r>
      <w:r>
        <w:t>285</w:t>
      </w:r>
      <w:r>
        <w:fldChar w:fldCharType="end"/>
      </w:r>
    </w:p>
    <w:p w14:paraId="1AA1D2A0" w14:textId="6364EAC8" w:rsidR="006C1B74" w:rsidRDefault="006C1B74">
      <w:pPr>
        <w:pStyle w:val="TOC4"/>
        <w:rPr>
          <w:rFonts w:asciiTheme="minorHAnsi" w:eastAsiaTheme="minorEastAsia" w:hAnsiTheme="minorHAnsi" w:cstheme="minorBidi"/>
          <w:kern w:val="2"/>
          <w:sz w:val="24"/>
          <w:szCs w:val="24"/>
          <w14:ligatures w14:val="standardContextual"/>
        </w:rPr>
      </w:pPr>
      <w:r>
        <w:t>5.15.15.3</w:t>
      </w:r>
      <w:r>
        <w:rPr>
          <w:rFonts w:asciiTheme="minorHAnsi" w:eastAsiaTheme="minorEastAsia" w:hAnsiTheme="minorHAnsi" w:cstheme="minorBidi"/>
          <w:kern w:val="2"/>
          <w:sz w:val="24"/>
          <w:szCs w:val="24"/>
          <w14:ligatures w14:val="standardContextual"/>
        </w:rPr>
        <w:tab/>
      </w:r>
      <w:r>
        <w:t>Network-based per UE Network Slice usage behaviour control</w:t>
      </w:r>
      <w:r>
        <w:tab/>
      </w:r>
      <w:r>
        <w:fldChar w:fldCharType="begin" w:fldLock="1"/>
      </w:r>
      <w:r>
        <w:instrText xml:space="preserve"> PAGEREF _Toc201157308 \h </w:instrText>
      </w:r>
      <w:r>
        <w:fldChar w:fldCharType="separate"/>
      </w:r>
      <w:r>
        <w:t>286</w:t>
      </w:r>
      <w:r>
        <w:fldChar w:fldCharType="end"/>
      </w:r>
    </w:p>
    <w:p w14:paraId="4D19F5BA" w14:textId="148E1741" w:rsidR="006C1B74" w:rsidRDefault="006C1B74">
      <w:pPr>
        <w:pStyle w:val="TOC3"/>
        <w:rPr>
          <w:rFonts w:asciiTheme="minorHAnsi" w:eastAsiaTheme="minorEastAsia" w:hAnsiTheme="minorHAnsi" w:cstheme="minorBidi"/>
          <w:kern w:val="2"/>
          <w:sz w:val="24"/>
          <w:szCs w:val="24"/>
          <w14:ligatures w14:val="standardContextual"/>
        </w:rPr>
      </w:pPr>
      <w:r>
        <w:t>5.15.16</w:t>
      </w:r>
      <w:r>
        <w:rPr>
          <w:rFonts w:asciiTheme="minorHAnsi" w:eastAsiaTheme="minorEastAsia" w:hAnsiTheme="minorHAnsi" w:cstheme="minorBidi"/>
          <w:kern w:val="2"/>
          <w:sz w:val="24"/>
          <w:szCs w:val="24"/>
          <w14:ligatures w14:val="standardContextual"/>
        </w:rPr>
        <w:tab/>
      </w:r>
      <w:r>
        <w:t>Optimized handling of temporarily available network slices</w:t>
      </w:r>
      <w:r>
        <w:tab/>
      </w:r>
      <w:r>
        <w:fldChar w:fldCharType="begin" w:fldLock="1"/>
      </w:r>
      <w:r>
        <w:instrText xml:space="preserve"> PAGEREF _Toc201157309 \h </w:instrText>
      </w:r>
      <w:r>
        <w:fldChar w:fldCharType="separate"/>
      </w:r>
      <w:r>
        <w:t>287</w:t>
      </w:r>
      <w:r>
        <w:fldChar w:fldCharType="end"/>
      </w:r>
    </w:p>
    <w:p w14:paraId="77F4C3D9" w14:textId="1575F912" w:rsidR="006C1B74" w:rsidRDefault="006C1B74">
      <w:pPr>
        <w:pStyle w:val="TOC3"/>
        <w:rPr>
          <w:rFonts w:asciiTheme="minorHAnsi" w:eastAsiaTheme="minorEastAsia" w:hAnsiTheme="minorHAnsi" w:cstheme="minorBidi"/>
          <w:kern w:val="2"/>
          <w:sz w:val="24"/>
          <w:szCs w:val="24"/>
          <w14:ligatures w14:val="standardContextual"/>
        </w:rPr>
      </w:pPr>
      <w:r>
        <w:t>5.15.17</w:t>
      </w:r>
      <w:r>
        <w:rPr>
          <w:rFonts w:asciiTheme="minorHAnsi" w:eastAsiaTheme="minorEastAsia" w:hAnsiTheme="minorHAnsi" w:cstheme="minorBidi"/>
          <w:kern w:val="2"/>
          <w:sz w:val="24"/>
          <w:szCs w:val="24"/>
          <w14:ligatures w14:val="standardContextual"/>
        </w:rPr>
        <w:tab/>
      </w:r>
      <w:r>
        <w:t>Partial Network Slice support in a Registration Area</w:t>
      </w:r>
      <w:r>
        <w:tab/>
      </w:r>
      <w:r>
        <w:fldChar w:fldCharType="begin" w:fldLock="1"/>
      </w:r>
      <w:r>
        <w:instrText xml:space="preserve"> PAGEREF _Toc201157310 \h </w:instrText>
      </w:r>
      <w:r>
        <w:fldChar w:fldCharType="separate"/>
      </w:r>
      <w:r>
        <w:t>288</w:t>
      </w:r>
      <w:r>
        <w:fldChar w:fldCharType="end"/>
      </w:r>
    </w:p>
    <w:p w14:paraId="040A4F86" w14:textId="201D337E" w:rsidR="006C1B74" w:rsidRDefault="006C1B74">
      <w:pPr>
        <w:pStyle w:val="TOC3"/>
        <w:rPr>
          <w:rFonts w:asciiTheme="minorHAnsi" w:eastAsiaTheme="minorEastAsia" w:hAnsiTheme="minorHAnsi" w:cstheme="minorBidi"/>
          <w:kern w:val="2"/>
          <w:sz w:val="24"/>
          <w:szCs w:val="24"/>
          <w14:ligatures w14:val="standardContextual"/>
        </w:rPr>
      </w:pPr>
      <w:r>
        <w:t>5.15.18</w:t>
      </w:r>
      <w:r>
        <w:rPr>
          <w:rFonts w:asciiTheme="minorHAnsi" w:eastAsiaTheme="minorEastAsia" w:hAnsiTheme="minorHAnsi" w:cstheme="minorBidi"/>
          <w:kern w:val="2"/>
          <w:sz w:val="24"/>
          <w:szCs w:val="24"/>
          <w14:ligatures w14:val="standardContextual"/>
        </w:rPr>
        <w:tab/>
      </w:r>
      <w:r>
        <w:t>Support for Network Slices with Network Slice Area of Service not matching deployed Tracking Areas</w:t>
      </w:r>
      <w:r>
        <w:tab/>
      </w:r>
      <w:r>
        <w:fldChar w:fldCharType="begin" w:fldLock="1"/>
      </w:r>
      <w:r>
        <w:instrText xml:space="preserve"> PAGEREF _Toc201157311 \h </w:instrText>
      </w:r>
      <w:r>
        <w:fldChar w:fldCharType="separate"/>
      </w:r>
      <w:r>
        <w:t>291</w:t>
      </w:r>
      <w:r>
        <w:fldChar w:fldCharType="end"/>
      </w:r>
    </w:p>
    <w:p w14:paraId="1A998C8B" w14:textId="7B152E4F" w:rsidR="006C1B74" w:rsidRDefault="006C1B74">
      <w:pPr>
        <w:pStyle w:val="TOC4"/>
        <w:rPr>
          <w:rFonts w:asciiTheme="minorHAnsi" w:eastAsiaTheme="minorEastAsia" w:hAnsiTheme="minorHAnsi" w:cstheme="minorBidi"/>
          <w:kern w:val="2"/>
          <w:sz w:val="24"/>
          <w:szCs w:val="24"/>
          <w14:ligatures w14:val="standardContextual"/>
        </w:rPr>
      </w:pPr>
      <w:r>
        <w:t>5.15.18.1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_Toc201157312 \h </w:instrText>
      </w:r>
      <w:r>
        <w:fldChar w:fldCharType="separate"/>
      </w:r>
      <w:r>
        <w:t>291</w:t>
      </w:r>
      <w:r>
        <w:fldChar w:fldCharType="end"/>
      </w:r>
    </w:p>
    <w:p w14:paraId="0FB16134" w14:textId="17DAE5FA" w:rsidR="006C1B74" w:rsidRDefault="006C1B74">
      <w:pPr>
        <w:pStyle w:val="TOC4"/>
        <w:rPr>
          <w:rFonts w:asciiTheme="minorHAnsi" w:eastAsiaTheme="minorEastAsia" w:hAnsiTheme="minorHAnsi" w:cstheme="minorBidi"/>
          <w:kern w:val="2"/>
          <w:sz w:val="24"/>
          <w:szCs w:val="24"/>
          <w14:ligatures w14:val="standardContextual"/>
        </w:rPr>
      </w:pPr>
      <w:r>
        <w:t>5.15.18.2</w:t>
      </w:r>
      <w:r>
        <w:rPr>
          <w:rFonts w:asciiTheme="minorHAnsi" w:eastAsiaTheme="minorEastAsia" w:hAnsiTheme="minorHAnsi" w:cstheme="minorBidi"/>
          <w:kern w:val="2"/>
          <w:sz w:val="24"/>
          <w:szCs w:val="24"/>
          <w14:ligatures w14:val="standardContextual"/>
        </w:rPr>
        <w:tab/>
      </w:r>
      <w:r>
        <w:t>S-NSSAI location availability information</w:t>
      </w:r>
      <w:r>
        <w:tab/>
      </w:r>
      <w:r>
        <w:fldChar w:fldCharType="begin" w:fldLock="1"/>
      </w:r>
      <w:r>
        <w:instrText xml:space="preserve"> PAGEREF _Toc201157313 \h </w:instrText>
      </w:r>
      <w:r>
        <w:fldChar w:fldCharType="separate"/>
      </w:r>
      <w:r>
        <w:t>291</w:t>
      </w:r>
      <w:r>
        <w:fldChar w:fldCharType="end"/>
      </w:r>
    </w:p>
    <w:p w14:paraId="22EABDEB" w14:textId="3DEA7242" w:rsidR="006C1B74" w:rsidRDefault="006C1B74">
      <w:pPr>
        <w:pStyle w:val="TOC4"/>
        <w:rPr>
          <w:rFonts w:asciiTheme="minorHAnsi" w:eastAsiaTheme="minorEastAsia" w:hAnsiTheme="minorHAnsi" w:cstheme="minorBidi"/>
          <w:kern w:val="2"/>
          <w:sz w:val="24"/>
          <w:szCs w:val="24"/>
          <w14:ligatures w14:val="standardContextual"/>
        </w:rPr>
      </w:pPr>
      <w:r>
        <w:lastRenderedPageBreak/>
        <w:t>5.15.18.3</w:t>
      </w:r>
      <w:r>
        <w:rPr>
          <w:rFonts w:asciiTheme="minorHAnsi" w:eastAsiaTheme="minorEastAsia" w:hAnsiTheme="minorHAnsi" w:cstheme="minorBidi"/>
          <w:kern w:val="2"/>
          <w:sz w:val="24"/>
          <w:szCs w:val="24"/>
          <w14:ligatures w14:val="standardContextual"/>
        </w:rPr>
        <w:tab/>
      </w:r>
      <w:r>
        <w:t>Network based monitoring and enforcement of Network Slice Area of Service not matching deployed Tracking Areas</w:t>
      </w:r>
      <w:r>
        <w:tab/>
      </w:r>
      <w:r>
        <w:fldChar w:fldCharType="begin" w:fldLock="1"/>
      </w:r>
      <w:r>
        <w:instrText xml:space="preserve"> PAGEREF _Toc201157314 \h </w:instrText>
      </w:r>
      <w:r>
        <w:fldChar w:fldCharType="separate"/>
      </w:r>
      <w:r>
        <w:t>292</w:t>
      </w:r>
      <w:r>
        <w:fldChar w:fldCharType="end"/>
      </w:r>
    </w:p>
    <w:p w14:paraId="2284926D" w14:textId="520AF56F" w:rsidR="006C1B74" w:rsidRDefault="006C1B74">
      <w:pPr>
        <w:pStyle w:val="TOC3"/>
        <w:rPr>
          <w:rFonts w:asciiTheme="minorHAnsi" w:eastAsiaTheme="minorEastAsia" w:hAnsiTheme="minorHAnsi" w:cstheme="minorBidi"/>
          <w:kern w:val="2"/>
          <w:sz w:val="24"/>
          <w:szCs w:val="24"/>
          <w14:ligatures w14:val="standardContextual"/>
        </w:rPr>
      </w:pPr>
      <w:r>
        <w:t>5.15.19</w:t>
      </w:r>
      <w:r>
        <w:rPr>
          <w:rFonts w:asciiTheme="minorHAnsi" w:eastAsiaTheme="minorEastAsia" w:hAnsiTheme="minorHAnsi" w:cstheme="minorBidi"/>
          <w:kern w:val="2"/>
          <w:sz w:val="24"/>
          <w:szCs w:val="24"/>
          <w14:ligatures w14:val="standardContextual"/>
        </w:rPr>
        <w:tab/>
      </w:r>
      <w:r>
        <w:t>Support of Network Slice Replacement</w:t>
      </w:r>
      <w:r>
        <w:tab/>
      </w:r>
      <w:r>
        <w:fldChar w:fldCharType="begin" w:fldLock="1"/>
      </w:r>
      <w:r>
        <w:instrText xml:space="preserve"> PAGEREF _Toc201157315 \h </w:instrText>
      </w:r>
      <w:r>
        <w:fldChar w:fldCharType="separate"/>
      </w:r>
      <w:r>
        <w:t>293</w:t>
      </w:r>
      <w:r>
        <w:fldChar w:fldCharType="end"/>
      </w:r>
    </w:p>
    <w:p w14:paraId="52F21FF6" w14:textId="3ED88229" w:rsidR="006C1B74" w:rsidRDefault="006C1B74">
      <w:pPr>
        <w:pStyle w:val="TOC3"/>
        <w:rPr>
          <w:rFonts w:asciiTheme="minorHAnsi" w:eastAsiaTheme="minorEastAsia" w:hAnsiTheme="minorHAnsi" w:cstheme="minorBidi"/>
          <w:kern w:val="2"/>
          <w:sz w:val="24"/>
          <w:szCs w:val="24"/>
          <w14:ligatures w14:val="standardContextual"/>
        </w:rPr>
      </w:pPr>
      <w:r>
        <w:t>5.15.20</w:t>
      </w:r>
      <w:r>
        <w:rPr>
          <w:rFonts w:asciiTheme="minorHAnsi" w:eastAsiaTheme="minorEastAsia" w:hAnsiTheme="minorHAnsi" w:cstheme="minorBidi"/>
          <w:kern w:val="2"/>
          <w:sz w:val="24"/>
          <w:szCs w:val="24"/>
          <w14:ligatures w14:val="standardContextual"/>
        </w:rPr>
        <w:tab/>
      </w:r>
      <w:r>
        <w:t>Support of Network Slice Instance Replacement</w:t>
      </w:r>
      <w:r>
        <w:tab/>
      </w:r>
      <w:r>
        <w:fldChar w:fldCharType="begin" w:fldLock="1"/>
      </w:r>
      <w:r>
        <w:instrText xml:space="preserve"> PAGEREF _Toc201157316 \h </w:instrText>
      </w:r>
      <w:r>
        <w:fldChar w:fldCharType="separate"/>
      </w:r>
      <w:r>
        <w:t>296</w:t>
      </w:r>
      <w:r>
        <w:fldChar w:fldCharType="end"/>
      </w:r>
    </w:p>
    <w:p w14:paraId="2DC0FB55" w14:textId="6FF4D1E9" w:rsidR="006C1B74" w:rsidRDefault="006C1B74">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Support for specific services</w:t>
      </w:r>
      <w:r>
        <w:tab/>
      </w:r>
      <w:r>
        <w:fldChar w:fldCharType="begin" w:fldLock="1"/>
      </w:r>
      <w:r>
        <w:instrText xml:space="preserve"> PAGEREF _Toc201157317 \h </w:instrText>
      </w:r>
      <w:r>
        <w:fldChar w:fldCharType="separate"/>
      </w:r>
      <w:r>
        <w:t>296</w:t>
      </w:r>
      <w:r>
        <w:fldChar w:fldCharType="end"/>
      </w:r>
    </w:p>
    <w:p w14:paraId="5F76B2FC" w14:textId="578E9B26" w:rsidR="006C1B74" w:rsidRDefault="006C1B74">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Public Warning System</w:t>
      </w:r>
      <w:r>
        <w:tab/>
      </w:r>
      <w:r>
        <w:fldChar w:fldCharType="begin" w:fldLock="1"/>
      </w:r>
      <w:r>
        <w:instrText xml:space="preserve"> PAGEREF _Toc201157318 \h </w:instrText>
      </w:r>
      <w:r>
        <w:fldChar w:fldCharType="separate"/>
      </w:r>
      <w:r>
        <w:t>296</w:t>
      </w:r>
      <w:r>
        <w:fldChar w:fldCharType="end"/>
      </w:r>
    </w:p>
    <w:p w14:paraId="67BD55D8" w14:textId="4A163C8F" w:rsidR="006C1B74" w:rsidRDefault="006C1B74">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SMS over NAS</w:t>
      </w:r>
      <w:r>
        <w:tab/>
      </w:r>
      <w:r>
        <w:fldChar w:fldCharType="begin" w:fldLock="1"/>
      </w:r>
      <w:r>
        <w:instrText xml:space="preserve"> PAGEREF _Toc201157319 \h </w:instrText>
      </w:r>
      <w:r>
        <w:fldChar w:fldCharType="separate"/>
      </w:r>
      <w:r>
        <w:t>296</w:t>
      </w:r>
      <w:r>
        <w:fldChar w:fldCharType="end"/>
      </w:r>
    </w:p>
    <w:p w14:paraId="659339AD" w14:textId="768C8B0E" w:rsidR="006C1B74" w:rsidRDefault="006C1B74">
      <w:pPr>
        <w:pStyle w:val="TOC4"/>
        <w:rPr>
          <w:rFonts w:asciiTheme="minorHAnsi" w:eastAsiaTheme="minorEastAsia" w:hAnsiTheme="minorHAnsi" w:cstheme="minorBidi"/>
          <w:kern w:val="2"/>
          <w:sz w:val="24"/>
          <w:szCs w:val="24"/>
          <w14:ligatures w14:val="standardContextual"/>
        </w:rPr>
      </w:pPr>
      <w:r>
        <w:t>5.16.2.1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_Toc201157320 \h </w:instrText>
      </w:r>
      <w:r>
        <w:fldChar w:fldCharType="separate"/>
      </w:r>
      <w:r>
        <w:t>296</w:t>
      </w:r>
      <w:r>
        <w:fldChar w:fldCharType="end"/>
      </w:r>
    </w:p>
    <w:p w14:paraId="5C188580" w14:textId="175E58B2" w:rsidR="006C1B74" w:rsidRDefault="006C1B74">
      <w:pPr>
        <w:pStyle w:val="TOC4"/>
        <w:rPr>
          <w:rFonts w:asciiTheme="minorHAnsi" w:eastAsiaTheme="minorEastAsia" w:hAnsiTheme="minorHAnsi" w:cstheme="minorBidi"/>
          <w:kern w:val="2"/>
          <w:sz w:val="24"/>
          <w:szCs w:val="24"/>
          <w14:ligatures w14:val="standardContextual"/>
        </w:rPr>
      </w:pPr>
      <w:r>
        <w:t>5.16.2.2</w:t>
      </w:r>
      <w:r>
        <w:rPr>
          <w:rFonts w:asciiTheme="minorHAnsi" w:eastAsiaTheme="minorEastAsia" w:hAnsiTheme="minorHAnsi" w:cstheme="minorBidi"/>
          <w:kern w:val="2"/>
          <w:sz w:val="24"/>
          <w:szCs w:val="24"/>
          <w14:ligatures w14:val="standardContextual"/>
        </w:rPr>
        <w:tab/>
      </w:r>
      <w:r>
        <w:t>SMS over NAS transport</w:t>
      </w:r>
      <w:r>
        <w:tab/>
      </w:r>
      <w:r>
        <w:fldChar w:fldCharType="begin" w:fldLock="1"/>
      </w:r>
      <w:r>
        <w:instrText xml:space="preserve"> PAGEREF _Toc201157321 \h </w:instrText>
      </w:r>
      <w:r>
        <w:fldChar w:fldCharType="separate"/>
      </w:r>
      <w:r>
        <w:t>297</w:t>
      </w:r>
      <w:r>
        <w:fldChar w:fldCharType="end"/>
      </w:r>
    </w:p>
    <w:p w14:paraId="33C66FAB" w14:textId="3CAD0F54" w:rsidR="006C1B74" w:rsidRDefault="006C1B74">
      <w:pPr>
        <w:pStyle w:val="TOC3"/>
        <w:rPr>
          <w:rFonts w:asciiTheme="minorHAnsi" w:eastAsiaTheme="minorEastAsia" w:hAnsiTheme="minorHAnsi" w:cstheme="minorBidi"/>
          <w:kern w:val="2"/>
          <w:sz w:val="24"/>
          <w:szCs w:val="24"/>
          <w14:ligatures w14:val="standardContextual"/>
        </w:rPr>
      </w:pPr>
      <w:r>
        <w:t>5.16.3</w:t>
      </w:r>
      <w:r>
        <w:rPr>
          <w:rFonts w:asciiTheme="minorHAnsi" w:eastAsiaTheme="minorEastAsia" w:hAnsiTheme="minorHAnsi" w:cstheme="minorBidi"/>
          <w:kern w:val="2"/>
          <w:sz w:val="24"/>
          <w:szCs w:val="24"/>
          <w14:ligatures w14:val="standardContextual"/>
        </w:rPr>
        <w:tab/>
      </w:r>
      <w:r>
        <w:t>IMS support</w:t>
      </w:r>
      <w:r>
        <w:tab/>
      </w:r>
      <w:r>
        <w:fldChar w:fldCharType="begin" w:fldLock="1"/>
      </w:r>
      <w:r>
        <w:instrText xml:space="preserve"> PAGEREF _Toc201157322 \h </w:instrText>
      </w:r>
      <w:r>
        <w:fldChar w:fldCharType="separate"/>
      </w:r>
      <w:r>
        <w:t>297</w:t>
      </w:r>
      <w:r>
        <w:fldChar w:fldCharType="end"/>
      </w:r>
    </w:p>
    <w:p w14:paraId="5EB6C9BD" w14:textId="55E22E18" w:rsidR="006C1B74" w:rsidRDefault="006C1B74">
      <w:pPr>
        <w:pStyle w:val="TOC4"/>
        <w:rPr>
          <w:rFonts w:asciiTheme="minorHAnsi" w:eastAsiaTheme="minorEastAsia" w:hAnsiTheme="minorHAnsi" w:cstheme="minorBidi"/>
          <w:kern w:val="2"/>
          <w:sz w:val="24"/>
          <w:szCs w:val="24"/>
          <w14:ligatures w14:val="standardContextual"/>
        </w:rPr>
      </w:pPr>
      <w:r w:rsidRPr="00191652">
        <w:rPr>
          <w:rFonts w:eastAsia="SimSun"/>
          <w:lang w:eastAsia="zh-CN"/>
        </w:rPr>
        <w:t>5.16.3.1</w:t>
      </w:r>
      <w:r>
        <w:rPr>
          <w:rFonts w:asciiTheme="minorHAnsi" w:eastAsiaTheme="minorEastAsia" w:hAnsiTheme="minorHAnsi" w:cstheme="minorBidi"/>
          <w:kern w:val="2"/>
          <w:sz w:val="24"/>
          <w:szCs w:val="24"/>
          <w14:ligatures w14:val="standardContextual"/>
        </w:rPr>
        <w:tab/>
      </w:r>
      <w:r w:rsidRPr="00191652">
        <w:rPr>
          <w:rFonts w:eastAsia="SimSun"/>
          <w:lang w:eastAsia="zh-CN"/>
        </w:rPr>
        <w:t>General</w:t>
      </w:r>
      <w:r>
        <w:tab/>
      </w:r>
      <w:r>
        <w:fldChar w:fldCharType="begin" w:fldLock="1"/>
      </w:r>
      <w:r>
        <w:instrText xml:space="preserve"> PAGEREF _Toc201157323 \h </w:instrText>
      </w:r>
      <w:r>
        <w:fldChar w:fldCharType="separate"/>
      </w:r>
      <w:r>
        <w:t>297</w:t>
      </w:r>
      <w:r>
        <w:fldChar w:fldCharType="end"/>
      </w:r>
    </w:p>
    <w:p w14:paraId="2566309A" w14:textId="19E5E204" w:rsidR="006C1B74" w:rsidRDefault="006C1B74">
      <w:pPr>
        <w:pStyle w:val="TOC4"/>
        <w:rPr>
          <w:rFonts w:asciiTheme="minorHAnsi" w:eastAsiaTheme="minorEastAsia" w:hAnsiTheme="minorHAnsi" w:cstheme="minorBidi"/>
          <w:kern w:val="2"/>
          <w:sz w:val="24"/>
          <w:szCs w:val="24"/>
          <w14:ligatures w14:val="standardContextual"/>
        </w:rPr>
      </w:pPr>
      <w:r>
        <w:t>5.16.3.2</w:t>
      </w:r>
      <w:r>
        <w:rPr>
          <w:rFonts w:asciiTheme="minorHAnsi" w:eastAsiaTheme="minorEastAsia" w:hAnsiTheme="minorHAnsi" w:cstheme="minorBidi"/>
          <w:kern w:val="2"/>
          <w:sz w:val="24"/>
          <w:szCs w:val="24"/>
          <w14:ligatures w14:val="standardContextual"/>
        </w:rPr>
        <w:tab/>
      </w:r>
      <w:r>
        <w:t>IMS voice over PS Session Supported Indication over 3GPP access</w:t>
      </w:r>
      <w:r>
        <w:tab/>
      </w:r>
      <w:r>
        <w:fldChar w:fldCharType="begin" w:fldLock="1"/>
      </w:r>
      <w:r>
        <w:instrText xml:space="preserve"> PAGEREF _Toc201157324 \h </w:instrText>
      </w:r>
      <w:r>
        <w:fldChar w:fldCharType="separate"/>
      </w:r>
      <w:r>
        <w:t>297</w:t>
      </w:r>
      <w:r>
        <w:fldChar w:fldCharType="end"/>
      </w:r>
    </w:p>
    <w:p w14:paraId="5C634EB9" w14:textId="1EB68802" w:rsidR="006C1B74" w:rsidRDefault="006C1B74">
      <w:pPr>
        <w:pStyle w:val="TOC4"/>
        <w:rPr>
          <w:rFonts w:asciiTheme="minorHAnsi" w:eastAsiaTheme="minorEastAsia" w:hAnsiTheme="minorHAnsi" w:cstheme="minorBidi"/>
          <w:kern w:val="2"/>
          <w:sz w:val="24"/>
          <w:szCs w:val="24"/>
          <w14:ligatures w14:val="standardContextual"/>
        </w:rPr>
      </w:pPr>
      <w:r>
        <w:t>5.16.3.2a</w:t>
      </w:r>
      <w:r>
        <w:rPr>
          <w:rFonts w:asciiTheme="minorHAnsi" w:eastAsiaTheme="minorEastAsia" w:hAnsiTheme="minorHAnsi" w:cstheme="minorBidi"/>
          <w:kern w:val="2"/>
          <w:sz w:val="24"/>
          <w:szCs w:val="24"/>
          <w14:ligatures w14:val="standardContextual"/>
        </w:rPr>
        <w:tab/>
      </w:r>
      <w:r>
        <w:t>IMS voice over PS Session Supported Indication over non-3GPP access</w:t>
      </w:r>
      <w:r>
        <w:tab/>
      </w:r>
      <w:r>
        <w:fldChar w:fldCharType="begin" w:fldLock="1"/>
      </w:r>
      <w:r>
        <w:instrText xml:space="preserve"> PAGEREF _Toc201157325 \h </w:instrText>
      </w:r>
      <w:r>
        <w:fldChar w:fldCharType="separate"/>
      </w:r>
      <w:r>
        <w:t>298</w:t>
      </w:r>
      <w:r>
        <w:fldChar w:fldCharType="end"/>
      </w:r>
    </w:p>
    <w:p w14:paraId="68CFF3AF" w14:textId="3DCA91EB" w:rsidR="006C1B74" w:rsidRDefault="006C1B74">
      <w:pPr>
        <w:pStyle w:val="TOC4"/>
        <w:rPr>
          <w:rFonts w:asciiTheme="minorHAnsi" w:eastAsiaTheme="minorEastAsia" w:hAnsiTheme="minorHAnsi" w:cstheme="minorBidi"/>
          <w:kern w:val="2"/>
          <w:sz w:val="24"/>
          <w:szCs w:val="24"/>
          <w14:ligatures w14:val="standardContextual"/>
        </w:rPr>
      </w:pPr>
      <w:r>
        <w:t>5.16.3.3</w:t>
      </w:r>
      <w:r>
        <w:rPr>
          <w:rFonts w:asciiTheme="minorHAnsi" w:eastAsiaTheme="minorEastAsia" w:hAnsiTheme="minorHAnsi" w:cstheme="minorBidi"/>
          <w:kern w:val="2"/>
          <w:sz w:val="24"/>
          <w:szCs w:val="24"/>
          <w14:ligatures w14:val="standardContextual"/>
        </w:rPr>
        <w:tab/>
      </w:r>
      <w:r>
        <w:t>Homogeneous support for IMS voice over PS Session supported indication</w:t>
      </w:r>
      <w:r>
        <w:tab/>
      </w:r>
      <w:r>
        <w:fldChar w:fldCharType="begin" w:fldLock="1"/>
      </w:r>
      <w:r>
        <w:instrText xml:space="preserve"> PAGEREF _Toc201157326 \h </w:instrText>
      </w:r>
      <w:r>
        <w:fldChar w:fldCharType="separate"/>
      </w:r>
      <w:r>
        <w:t>298</w:t>
      </w:r>
      <w:r>
        <w:fldChar w:fldCharType="end"/>
      </w:r>
    </w:p>
    <w:p w14:paraId="0CC470AC" w14:textId="25A55F3D" w:rsidR="006C1B74" w:rsidRDefault="006C1B74">
      <w:pPr>
        <w:pStyle w:val="TOC4"/>
        <w:rPr>
          <w:rFonts w:asciiTheme="minorHAnsi" w:eastAsiaTheme="minorEastAsia" w:hAnsiTheme="minorHAnsi" w:cstheme="minorBidi"/>
          <w:kern w:val="2"/>
          <w:sz w:val="24"/>
          <w:szCs w:val="24"/>
          <w14:ligatures w14:val="standardContextual"/>
        </w:rPr>
      </w:pPr>
      <w:r>
        <w:t>5.16.3.4</w:t>
      </w:r>
      <w:r>
        <w:rPr>
          <w:rFonts w:asciiTheme="minorHAnsi" w:eastAsiaTheme="minorEastAsia" w:hAnsiTheme="minorHAnsi" w:cstheme="minorBidi"/>
          <w:kern w:val="2"/>
          <w:sz w:val="24"/>
          <w:szCs w:val="24"/>
          <w14:ligatures w14:val="standardContextual"/>
        </w:rPr>
        <w:tab/>
      </w:r>
      <w:r>
        <w:t>P-CSCF address delivery</w:t>
      </w:r>
      <w:r>
        <w:tab/>
      </w:r>
      <w:r>
        <w:fldChar w:fldCharType="begin" w:fldLock="1"/>
      </w:r>
      <w:r>
        <w:instrText xml:space="preserve"> PAGEREF _Toc201157327 \h </w:instrText>
      </w:r>
      <w:r>
        <w:fldChar w:fldCharType="separate"/>
      </w:r>
      <w:r>
        <w:t>299</w:t>
      </w:r>
      <w:r>
        <w:fldChar w:fldCharType="end"/>
      </w:r>
    </w:p>
    <w:p w14:paraId="67231FC5" w14:textId="67798CA8" w:rsidR="006C1B74" w:rsidRDefault="006C1B74">
      <w:pPr>
        <w:pStyle w:val="TOC4"/>
        <w:rPr>
          <w:rFonts w:asciiTheme="minorHAnsi" w:eastAsiaTheme="minorEastAsia" w:hAnsiTheme="minorHAnsi" w:cstheme="minorBidi"/>
          <w:kern w:val="2"/>
          <w:sz w:val="24"/>
          <w:szCs w:val="24"/>
          <w14:ligatures w14:val="standardContextual"/>
        </w:rPr>
      </w:pPr>
      <w:r>
        <w:t>5.16.3.5</w:t>
      </w:r>
      <w:r>
        <w:rPr>
          <w:rFonts w:asciiTheme="minorHAnsi" w:eastAsiaTheme="minorEastAsia" w:hAnsiTheme="minorHAnsi" w:cstheme="minorBidi"/>
          <w:kern w:val="2"/>
          <w:sz w:val="24"/>
          <w:szCs w:val="24"/>
          <w14:ligatures w14:val="standardContextual"/>
        </w:rPr>
        <w:tab/>
      </w:r>
      <w:r>
        <w:t>Domain selection for UE originating sessions / calls</w:t>
      </w:r>
      <w:r>
        <w:tab/>
      </w:r>
      <w:r>
        <w:fldChar w:fldCharType="begin" w:fldLock="1"/>
      </w:r>
      <w:r>
        <w:instrText xml:space="preserve"> PAGEREF _Toc201157328 \h </w:instrText>
      </w:r>
      <w:r>
        <w:fldChar w:fldCharType="separate"/>
      </w:r>
      <w:r>
        <w:t>299</w:t>
      </w:r>
      <w:r>
        <w:fldChar w:fldCharType="end"/>
      </w:r>
    </w:p>
    <w:p w14:paraId="4986A5A1" w14:textId="2396E5E8" w:rsidR="006C1B74" w:rsidRDefault="006C1B74">
      <w:pPr>
        <w:pStyle w:val="TOC4"/>
        <w:rPr>
          <w:rFonts w:asciiTheme="minorHAnsi" w:eastAsiaTheme="minorEastAsia" w:hAnsiTheme="minorHAnsi" w:cstheme="minorBidi"/>
          <w:kern w:val="2"/>
          <w:sz w:val="24"/>
          <w:szCs w:val="24"/>
          <w14:ligatures w14:val="standardContextual"/>
        </w:rPr>
      </w:pPr>
      <w:r w:rsidRPr="00191652">
        <w:rPr>
          <w:rFonts w:eastAsia="SimSun"/>
          <w:lang w:eastAsia="zh-CN"/>
        </w:rPr>
        <w:t>5.16.3.6</w:t>
      </w:r>
      <w:r>
        <w:rPr>
          <w:rFonts w:asciiTheme="minorHAnsi" w:eastAsiaTheme="minorEastAsia" w:hAnsiTheme="minorHAnsi" w:cstheme="minorBidi"/>
          <w:kern w:val="2"/>
          <w:sz w:val="24"/>
          <w:szCs w:val="24"/>
          <w14:ligatures w14:val="standardContextual"/>
        </w:rPr>
        <w:tab/>
      </w:r>
      <w:r w:rsidRPr="00191652">
        <w:rPr>
          <w:rFonts w:eastAsia="SimSun"/>
          <w:lang w:eastAsia="zh-CN"/>
        </w:rPr>
        <w:t>Terminating domain selection for IMS voice</w:t>
      </w:r>
      <w:r>
        <w:tab/>
      </w:r>
      <w:r>
        <w:fldChar w:fldCharType="begin" w:fldLock="1"/>
      </w:r>
      <w:r>
        <w:instrText xml:space="preserve"> PAGEREF _Toc201157329 \h </w:instrText>
      </w:r>
      <w:r>
        <w:fldChar w:fldCharType="separate"/>
      </w:r>
      <w:r>
        <w:t>300</w:t>
      </w:r>
      <w:r>
        <w:fldChar w:fldCharType="end"/>
      </w:r>
    </w:p>
    <w:p w14:paraId="4D8CDBE4" w14:textId="3AFC12E9" w:rsidR="006C1B74" w:rsidRDefault="006C1B74">
      <w:pPr>
        <w:pStyle w:val="TOC4"/>
        <w:rPr>
          <w:rFonts w:asciiTheme="minorHAnsi" w:eastAsiaTheme="minorEastAsia" w:hAnsiTheme="minorHAnsi" w:cstheme="minorBidi"/>
          <w:kern w:val="2"/>
          <w:sz w:val="24"/>
          <w:szCs w:val="24"/>
          <w14:ligatures w14:val="standardContextual"/>
        </w:rPr>
      </w:pPr>
      <w:r>
        <w:t>5.16.3.7</w:t>
      </w:r>
      <w:r>
        <w:rPr>
          <w:rFonts w:asciiTheme="minorHAnsi" w:eastAsiaTheme="minorEastAsia" w:hAnsiTheme="minorHAnsi" w:cstheme="minorBidi"/>
          <w:kern w:val="2"/>
          <w:sz w:val="24"/>
          <w:szCs w:val="24"/>
          <w14:ligatures w14:val="standardContextual"/>
        </w:rPr>
        <w:tab/>
      </w:r>
      <w:r>
        <w:t>UE's usage setting</w:t>
      </w:r>
      <w:r>
        <w:tab/>
      </w:r>
      <w:r>
        <w:fldChar w:fldCharType="begin" w:fldLock="1"/>
      </w:r>
      <w:r>
        <w:instrText xml:space="preserve"> PAGEREF _Toc201157330 \h </w:instrText>
      </w:r>
      <w:r>
        <w:fldChar w:fldCharType="separate"/>
      </w:r>
      <w:r>
        <w:t>300</w:t>
      </w:r>
      <w:r>
        <w:fldChar w:fldCharType="end"/>
      </w:r>
    </w:p>
    <w:p w14:paraId="2FDCA1D4" w14:textId="5E370D49" w:rsidR="006C1B74" w:rsidRDefault="006C1B74">
      <w:pPr>
        <w:pStyle w:val="TOC4"/>
        <w:rPr>
          <w:rFonts w:asciiTheme="minorHAnsi" w:eastAsiaTheme="minorEastAsia" w:hAnsiTheme="minorHAnsi" w:cstheme="minorBidi"/>
          <w:kern w:val="2"/>
          <w:sz w:val="24"/>
          <w:szCs w:val="24"/>
          <w14:ligatures w14:val="standardContextual"/>
        </w:rPr>
      </w:pPr>
      <w:r>
        <w:t>5.16.3.8</w:t>
      </w:r>
      <w:r>
        <w:rPr>
          <w:rFonts w:asciiTheme="minorHAnsi" w:eastAsiaTheme="minorEastAsia" w:hAnsiTheme="minorHAnsi" w:cstheme="minorBidi"/>
          <w:kern w:val="2"/>
          <w:sz w:val="24"/>
          <w:szCs w:val="24"/>
          <w14:ligatures w14:val="standardContextual"/>
        </w:rPr>
        <w:tab/>
      </w:r>
      <w:r>
        <w:t>Domain and Access Selection for UE originating SMS</w:t>
      </w:r>
      <w:r>
        <w:tab/>
      </w:r>
      <w:r>
        <w:fldChar w:fldCharType="begin" w:fldLock="1"/>
      </w:r>
      <w:r>
        <w:instrText xml:space="preserve"> PAGEREF _Toc201157331 \h </w:instrText>
      </w:r>
      <w:r>
        <w:fldChar w:fldCharType="separate"/>
      </w:r>
      <w:r>
        <w:t>300</w:t>
      </w:r>
      <w:r>
        <w:fldChar w:fldCharType="end"/>
      </w:r>
    </w:p>
    <w:p w14:paraId="3E39205A" w14:textId="54F82FD2" w:rsidR="006C1B74" w:rsidRDefault="006C1B74">
      <w:pPr>
        <w:pStyle w:val="TOC5"/>
        <w:rPr>
          <w:rFonts w:asciiTheme="minorHAnsi" w:eastAsiaTheme="minorEastAsia" w:hAnsiTheme="minorHAnsi" w:cstheme="minorBidi"/>
          <w:kern w:val="2"/>
          <w:sz w:val="24"/>
          <w:szCs w:val="24"/>
          <w14:ligatures w14:val="standardContextual"/>
        </w:rPr>
      </w:pPr>
      <w:r>
        <w:t>5.16.3.8.1</w:t>
      </w:r>
      <w:r>
        <w:rPr>
          <w:rFonts w:asciiTheme="minorHAnsi" w:eastAsiaTheme="minorEastAsia" w:hAnsiTheme="minorHAnsi" w:cstheme="minorBidi"/>
          <w:kern w:val="2"/>
          <w:sz w:val="24"/>
          <w:szCs w:val="24"/>
          <w14:ligatures w14:val="standardContextual"/>
        </w:rPr>
        <w:tab/>
      </w:r>
      <w:r>
        <w:t>UE originating SMS for IMS Capable UEs supporting SMS over IP</w:t>
      </w:r>
      <w:r>
        <w:tab/>
      </w:r>
      <w:r>
        <w:fldChar w:fldCharType="begin" w:fldLock="1"/>
      </w:r>
      <w:r>
        <w:instrText xml:space="preserve"> PAGEREF _Toc201157332 \h </w:instrText>
      </w:r>
      <w:r>
        <w:fldChar w:fldCharType="separate"/>
      </w:r>
      <w:r>
        <w:t>300</w:t>
      </w:r>
      <w:r>
        <w:fldChar w:fldCharType="end"/>
      </w:r>
    </w:p>
    <w:p w14:paraId="309AEA79" w14:textId="3F31CF88" w:rsidR="006C1B74" w:rsidRDefault="006C1B74">
      <w:pPr>
        <w:pStyle w:val="TOC5"/>
        <w:rPr>
          <w:rFonts w:asciiTheme="minorHAnsi" w:eastAsiaTheme="minorEastAsia" w:hAnsiTheme="minorHAnsi" w:cstheme="minorBidi"/>
          <w:kern w:val="2"/>
          <w:sz w:val="24"/>
          <w:szCs w:val="24"/>
          <w14:ligatures w14:val="standardContextual"/>
        </w:rPr>
      </w:pPr>
      <w:r>
        <w:t>5.16.3.8.2</w:t>
      </w:r>
      <w:r>
        <w:rPr>
          <w:rFonts w:asciiTheme="minorHAnsi" w:eastAsiaTheme="minorEastAsia" w:hAnsiTheme="minorHAnsi" w:cstheme="minorBidi"/>
          <w:kern w:val="2"/>
          <w:sz w:val="24"/>
          <w:szCs w:val="24"/>
          <w14:ligatures w14:val="standardContextual"/>
        </w:rPr>
        <w:tab/>
      </w:r>
      <w:r>
        <w:t>Access Selection for SMS over NAS</w:t>
      </w:r>
      <w:r>
        <w:tab/>
      </w:r>
      <w:r>
        <w:fldChar w:fldCharType="begin" w:fldLock="1"/>
      </w:r>
      <w:r>
        <w:instrText xml:space="preserve"> PAGEREF _Toc201157333 \h </w:instrText>
      </w:r>
      <w:r>
        <w:fldChar w:fldCharType="separate"/>
      </w:r>
      <w:r>
        <w:t>300</w:t>
      </w:r>
      <w:r>
        <w:fldChar w:fldCharType="end"/>
      </w:r>
    </w:p>
    <w:p w14:paraId="4221EC43" w14:textId="29F6A41F" w:rsidR="006C1B74" w:rsidRDefault="006C1B74">
      <w:pPr>
        <w:pStyle w:val="TOC4"/>
        <w:rPr>
          <w:rFonts w:asciiTheme="minorHAnsi" w:eastAsiaTheme="minorEastAsia" w:hAnsiTheme="minorHAnsi" w:cstheme="minorBidi"/>
          <w:kern w:val="2"/>
          <w:sz w:val="24"/>
          <w:szCs w:val="24"/>
          <w14:ligatures w14:val="standardContextual"/>
        </w:rPr>
      </w:pPr>
      <w:r>
        <w:t>5.16.3.9</w:t>
      </w:r>
      <w:r>
        <w:rPr>
          <w:rFonts w:asciiTheme="minorHAnsi" w:eastAsiaTheme="minorEastAsia" w:hAnsiTheme="minorHAnsi" w:cstheme="minorBidi"/>
          <w:kern w:val="2"/>
          <w:sz w:val="24"/>
          <w:szCs w:val="24"/>
          <w14:ligatures w14:val="standardContextual"/>
        </w:rPr>
        <w:tab/>
      </w:r>
      <w:r>
        <w:t>SMF support for P-CSCF restoration procedure</w:t>
      </w:r>
      <w:r>
        <w:tab/>
      </w:r>
      <w:r>
        <w:fldChar w:fldCharType="begin" w:fldLock="1"/>
      </w:r>
      <w:r>
        <w:instrText xml:space="preserve"> PAGEREF _Toc201157334 \h </w:instrText>
      </w:r>
      <w:r>
        <w:fldChar w:fldCharType="separate"/>
      </w:r>
      <w:r>
        <w:t>301</w:t>
      </w:r>
      <w:r>
        <w:fldChar w:fldCharType="end"/>
      </w:r>
    </w:p>
    <w:p w14:paraId="2A71AB0C" w14:textId="45A51814" w:rsidR="006C1B74" w:rsidRDefault="006C1B74">
      <w:pPr>
        <w:pStyle w:val="TOC4"/>
        <w:rPr>
          <w:rFonts w:asciiTheme="minorHAnsi" w:eastAsiaTheme="minorEastAsia" w:hAnsiTheme="minorHAnsi" w:cstheme="minorBidi"/>
          <w:kern w:val="2"/>
          <w:sz w:val="24"/>
          <w:szCs w:val="24"/>
          <w14:ligatures w14:val="standardContextual"/>
        </w:rPr>
      </w:pPr>
      <w:r>
        <w:t>5.16.3.10</w:t>
      </w:r>
      <w:r>
        <w:rPr>
          <w:rFonts w:asciiTheme="minorHAnsi" w:eastAsiaTheme="minorEastAsia" w:hAnsiTheme="minorHAnsi" w:cstheme="minorBidi"/>
          <w:kern w:val="2"/>
          <w:sz w:val="24"/>
          <w:szCs w:val="24"/>
          <w14:ligatures w14:val="standardContextual"/>
        </w:rPr>
        <w:tab/>
      </w:r>
      <w:r>
        <w:t>IMS Voice Service via EPS Fallback or RAT fallback in 5GS</w:t>
      </w:r>
      <w:r>
        <w:tab/>
      </w:r>
      <w:r>
        <w:fldChar w:fldCharType="begin" w:fldLock="1"/>
      </w:r>
      <w:r>
        <w:instrText xml:space="preserve"> PAGEREF _Toc201157335 \h </w:instrText>
      </w:r>
      <w:r>
        <w:fldChar w:fldCharType="separate"/>
      </w:r>
      <w:r>
        <w:t>301</w:t>
      </w:r>
      <w:r>
        <w:fldChar w:fldCharType="end"/>
      </w:r>
    </w:p>
    <w:p w14:paraId="65BBA3A1" w14:textId="34426D88" w:rsidR="006C1B74" w:rsidRDefault="006C1B74">
      <w:pPr>
        <w:pStyle w:val="TOC4"/>
        <w:rPr>
          <w:rFonts w:asciiTheme="minorHAnsi" w:eastAsiaTheme="minorEastAsia" w:hAnsiTheme="minorHAnsi" w:cstheme="minorBidi"/>
          <w:kern w:val="2"/>
          <w:sz w:val="24"/>
          <w:szCs w:val="24"/>
          <w14:ligatures w14:val="standardContextual"/>
        </w:rPr>
      </w:pPr>
      <w:r>
        <w:t>5.16.3.11</w:t>
      </w:r>
      <w:r>
        <w:rPr>
          <w:rFonts w:asciiTheme="minorHAnsi" w:eastAsiaTheme="minorEastAsia" w:hAnsiTheme="minorHAnsi" w:cstheme="minorBidi"/>
          <w:kern w:val="2"/>
          <w:sz w:val="24"/>
          <w:szCs w:val="24"/>
          <w14:ligatures w14:val="standardContextual"/>
        </w:rPr>
        <w:tab/>
      </w:r>
      <w:r>
        <w:t>P-CSCF discovery and selection</w:t>
      </w:r>
      <w:r>
        <w:tab/>
      </w:r>
      <w:r>
        <w:fldChar w:fldCharType="begin" w:fldLock="1"/>
      </w:r>
      <w:r>
        <w:instrText xml:space="preserve"> PAGEREF _Toc201157336 \h </w:instrText>
      </w:r>
      <w:r>
        <w:fldChar w:fldCharType="separate"/>
      </w:r>
      <w:r>
        <w:t>301</w:t>
      </w:r>
      <w:r>
        <w:fldChar w:fldCharType="end"/>
      </w:r>
    </w:p>
    <w:p w14:paraId="6A814123" w14:textId="7F91E18E" w:rsidR="006C1B74" w:rsidRDefault="006C1B74">
      <w:pPr>
        <w:pStyle w:val="TOC4"/>
        <w:rPr>
          <w:rFonts w:asciiTheme="minorHAnsi" w:eastAsiaTheme="minorEastAsia" w:hAnsiTheme="minorHAnsi" w:cstheme="minorBidi"/>
          <w:kern w:val="2"/>
          <w:sz w:val="24"/>
          <w:szCs w:val="24"/>
          <w14:ligatures w14:val="standardContextual"/>
        </w:rPr>
      </w:pPr>
      <w:r>
        <w:t>5.16.3.12</w:t>
      </w:r>
      <w:r>
        <w:rPr>
          <w:rFonts w:asciiTheme="minorHAnsi" w:eastAsiaTheme="minorEastAsia" w:hAnsiTheme="minorHAnsi" w:cstheme="minorBidi"/>
          <w:kern w:val="2"/>
          <w:sz w:val="24"/>
          <w:szCs w:val="24"/>
          <w14:ligatures w14:val="standardContextual"/>
        </w:rPr>
        <w:tab/>
      </w:r>
      <w:r>
        <w:t>HSS discovery and selection</w:t>
      </w:r>
      <w:r>
        <w:tab/>
      </w:r>
      <w:r>
        <w:fldChar w:fldCharType="begin" w:fldLock="1"/>
      </w:r>
      <w:r>
        <w:instrText xml:space="preserve"> PAGEREF _Toc201157337 \h </w:instrText>
      </w:r>
      <w:r>
        <w:fldChar w:fldCharType="separate"/>
      </w:r>
      <w:r>
        <w:t>302</w:t>
      </w:r>
      <w:r>
        <w:fldChar w:fldCharType="end"/>
      </w:r>
    </w:p>
    <w:p w14:paraId="7BACB9E5" w14:textId="49B9F142" w:rsidR="006C1B74" w:rsidRDefault="006C1B74">
      <w:pPr>
        <w:pStyle w:val="TOC3"/>
        <w:rPr>
          <w:rFonts w:asciiTheme="minorHAnsi" w:eastAsiaTheme="minorEastAsia" w:hAnsiTheme="minorHAnsi" w:cstheme="minorBidi"/>
          <w:kern w:val="2"/>
          <w:sz w:val="24"/>
          <w:szCs w:val="24"/>
          <w14:ligatures w14:val="standardContextual"/>
        </w:rPr>
      </w:pPr>
      <w:r>
        <w:t>5.16.4</w:t>
      </w:r>
      <w:r>
        <w:rPr>
          <w:rFonts w:asciiTheme="minorHAnsi" w:eastAsiaTheme="minorEastAsia" w:hAnsiTheme="minorHAnsi" w:cstheme="minorBidi"/>
          <w:kern w:val="2"/>
          <w:sz w:val="24"/>
          <w:szCs w:val="24"/>
          <w14:ligatures w14:val="standardContextual"/>
        </w:rPr>
        <w:tab/>
      </w:r>
      <w:r>
        <w:t>Emergency Services</w:t>
      </w:r>
      <w:r>
        <w:tab/>
      </w:r>
      <w:r>
        <w:fldChar w:fldCharType="begin" w:fldLock="1"/>
      </w:r>
      <w:r>
        <w:instrText xml:space="preserve"> PAGEREF _Toc201157338 \h </w:instrText>
      </w:r>
      <w:r>
        <w:fldChar w:fldCharType="separate"/>
      </w:r>
      <w:r>
        <w:t>302</w:t>
      </w:r>
      <w:r>
        <w:fldChar w:fldCharType="end"/>
      </w:r>
    </w:p>
    <w:p w14:paraId="2C6492C2" w14:textId="02844B31" w:rsidR="006C1B74" w:rsidRDefault="006C1B74">
      <w:pPr>
        <w:pStyle w:val="TOC4"/>
        <w:rPr>
          <w:rFonts w:asciiTheme="minorHAnsi" w:eastAsiaTheme="minorEastAsia" w:hAnsiTheme="minorHAnsi" w:cstheme="minorBidi"/>
          <w:kern w:val="2"/>
          <w:sz w:val="24"/>
          <w:szCs w:val="24"/>
          <w14:ligatures w14:val="standardContextual"/>
        </w:rPr>
      </w:pPr>
      <w:r>
        <w:t>5.16.4.1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_Toc201157339 \h </w:instrText>
      </w:r>
      <w:r>
        <w:fldChar w:fldCharType="separate"/>
      </w:r>
      <w:r>
        <w:t>302</w:t>
      </w:r>
      <w:r>
        <w:fldChar w:fldCharType="end"/>
      </w:r>
    </w:p>
    <w:p w14:paraId="295EED07" w14:textId="0B788BAD" w:rsidR="006C1B74" w:rsidRDefault="006C1B74">
      <w:pPr>
        <w:pStyle w:val="TOC4"/>
        <w:rPr>
          <w:rFonts w:asciiTheme="minorHAnsi" w:eastAsiaTheme="minorEastAsia" w:hAnsiTheme="minorHAnsi" w:cstheme="minorBidi"/>
          <w:kern w:val="2"/>
          <w:sz w:val="24"/>
          <w:szCs w:val="24"/>
          <w14:ligatures w14:val="standardContextual"/>
        </w:rPr>
      </w:pPr>
      <w:r>
        <w:t>5.16.4.2</w:t>
      </w:r>
      <w:r>
        <w:rPr>
          <w:rFonts w:asciiTheme="minorHAnsi" w:eastAsiaTheme="minorEastAsia" w:hAnsiTheme="minorHAnsi" w:cstheme="minorBidi"/>
          <w:kern w:val="2"/>
          <w:sz w:val="24"/>
          <w:szCs w:val="24"/>
          <w14:ligatures w14:val="standardContextual"/>
        </w:rPr>
        <w:tab/>
      </w:r>
      <w:r>
        <w:t>Architecture Reference Model for Emergency Services</w:t>
      </w:r>
      <w:r>
        <w:tab/>
      </w:r>
      <w:r>
        <w:fldChar w:fldCharType="begin" w:fldLock="1"/>
      </w:r>
      <w:r>
        <w:instrText xml:space="preserve"> PAGEREF _Toc201157340 \h </w:instrText>
      </w:r>
      <w:r>
        <w:fldChar w:fldCharType="separate"/>
      </w:r>
      <w:r>
        <w:t>305</w:t>
      </w:r>
      <w:r>
        <w:fldChar w:fldCharType="end"/>
      </w:r>
    </w:p>
    <w:p w14:paraId="39B7E322" w14:textId="229D1976" w:rsidR="006C1B74" w:rsidRDefault="006C1B74">
      <w:pPr>
        <w:pStyle w:val="TOC4"/>
        <w:rPr>
          <w:rFonts w:asciiTheme="minorHAnsi" w:eastAsiaTheme="minorEastAsia" w:hAnsiTheme="minorHAnsi" w:cstheme="minorBidi"/>
          <w:kern w:val="2"/>
          <w:sz w:val="24"/>
          <w:szCs w:val="24"/>
          <w14:ligatures w14:val="standardContextual"/>
        </w:rPr>
      </w:pPr>
      <w:r>
        <w:t>5.16.4.3</w:t>
      </w:r>
      <w:r>
        <w:rPr>
          <w:rFonts w:asciiTheme="minorHAnsi" w:eastAsiaTheme="minorEastAsia" w:hAnsiTheme="minorHAnsi" w:cstheme="minorBidi"/>
          <w:kern w:val="2"/>
          <w:sz w:val="24"/>
          <w:szCs w:val="24"/>
          <w14:ligatures w14:val="standardContextual"/>
        </w:rPr>
        <w:tab/>
      </w:r>
      <w:r>
        <w:t>Mobility Restrictions and Access Restrictions for Emergency Services</w:t>
      </w:r>
      <w:r>
        <w:tab/>
      </w:r>
      <w:r>
        <w:fldChar w:fldCharType="begin" w:fldLock="1"/>
      </w:r>
      <w:r>
        <w:instrText xml:space="preserve"> PAGEREF _Toc201157341 \h </w:instrText>
      </w:r>
      <w:r>
        <w:fldChar w:fldCharType="separate"/>
      </w:r>
      <w:r>
        <w:t>305</w:t>
      </w:r>
      <w:r>
        <w:fldChar w:fldCharType="end"/>
      </w:r>
    </w:p>
    <w:p w14:paraId="5E917507" w14:textId="4FA80F30" w:rsidR="006C1B74" w:rsidRDefault="006C1B74">
      <w:pPr>
        <w:pStyle w:val="TOC4"/>
        <w:rPr>
          <w:rFonts w:asciiTheme="minorHAnsi" w:eastAsiaTheme="minorEastAsia" w:hAnsiTheme="minorHAnsi" w:cstheme="minorBidi"/>
          <w:kern w:val="2"/>
          <w:sz w:val="24"/>
          <w:szCs w:val="24"/>
          <w14:ligatures w14:val="standardContextual"/>
        </w:rPr>
      </w:pPr>
      <w:r>
        <w:t>5.16.4.4</w:t>
      </w:r>
      <w:r>
        <w:rPr>
          <w:rFonts w:asciiTheme="minorHAnsi" w:eastAsiaTheme="minorEastAsia" w:hAnsiTheme="minorHAnsi" w:cstheme="minorBidi"/>
          <w:kern w:val="2"/>
          <w:sz w:val="24"/>
          <w:szCs w:val="24"/>
          <w14:ligatures w14:val="standardContextual"/>
        </w:rPr>
        <w:tab/>
      </w:r>
      <w:r>
        <w:t>Reachability Management</w:t>
      </w:r>
      <w:r>
        <w:tab/>
      </w:r>
      <w:r>
        <w:fldChar w:fldCharType="begin" w:fldLock="1"/>
      </w:r>
      <w:r>
        <w:instrText xml:space="preserve"> PAGEREF _Toc201157342 \h </w:instrText>
      </w:r>
      <w:r>
        <w:fldChar w:fldCharType="separate"/>
      </w:r>
      <w:r>
        <w:t>306</w:t>
      </w:r>
      <w:r>
        <w:fldChar w:fldCharType="end"/>
      </w:r>
    </w:p>
    <w:p w14:paraId="0D437A0B" w14:textId="63488E9C" w:rsidR="006C1B74" w:rsidRDefault="006C1B74">
      <w:pPr>
        <w:pStyle w:val="TOC4"/>
        <w:rPr>
          <w:rFonts w:asciiTheme="minorHAnsi" w:eastAsiaTheme="minorEastAsia" w:hAnsiTheme="minorHAnsi" w:cstheme="minorBidi"/>
          <w:kern w:val="2"/>
          <w:sz w:val="24"/>
          <w:szCs w:val="24"/>
          <w14:ligatures w14:val="standardContextual"/>
        </w:rPr>
      </w:pPr>
      <w:r>
        <w:t>5.16.4.5</w:t>
      </w:r>
      <w:r>
        <w:rPr>
          <w:rFonts w:asciiTheme="minorHAnsi" w:eastAsiaTheme="minorEastAsia" w:hAnsiTheme="minorHAnsi" w:cstheme="minorBidi"/>
          <w:kern w:val="2"/>
          <w:sz w:val="24"/>
          <w:szCs w:val="24"/>
          <w14:ligatures w14:val="standardContextual"/>
        </w:rPr>
        <w:tab/>
      </w:r>
      <w:r>
        <w:t>SMF and UPF selection function for Emergency Services</w:t>
      </w:r>
      <w:r>
        <w:tab/>
      </w:r>
      <w:r>
        <w:fldChar w:fldCharType="begin" w:fldLock="1"/>
      </w:r>
      <w:r>
        <w:instrText xml:space="preserve"> PAGEREF _Toc201157343 \h </w:instrText>
      </w:r>
      <w:r>
        <w:fldChar w:fldCharType="separate"/>
      </w:r>
      <w:r>
        <w:t>306</w:t>
      </w:r>
      <w:r>
        <w:fldChar w:fldCharType="end"/>
      </w:r>
    </w:p>
    <w:p w14:paraId="70ADAC12" w14:textId="0D3F1A34" w:rsidR="006C1B74" w:rsidRDefault="006C1B74">
      <w:pPr>
        <w:pStyle w:val="TOC4"/>
        <w:rPr>
          <w:rFonts w:asciiTheme="minorHAnsi" w:eastAsiaTheme="minorEastAsia" w:hAnsiTheme="minorHAnsi" w:cstheme="minorBidi"/>
          <w:kern w:val="2"/>
          <w:sz w:val="24"/>
          <w:szCs w:val="24"/>
          <w14:ligatures w14:val="standardContextual"/>
        </w:rPr>
      </w:pPr>
      <w:r>
        <w:t>5.16.4.6</w:t>
      </w:r>
      <w:r>
        <w:rPr>
          <w:rFonts w:asciiTheme="minorHAnsi" w:eastAsiaTheme="minorEastAsia" w:hAnsiTheme="minorHAnsi" w:cstheme="minorBidi"/>
          <w:kern w:val="2"/>
          <w:sz w:val="24"/>
          <w:szCs w:val="24"/>
          <w14:ligatures w14:val="standardContextual"/>
        </w:rPr>
        <w:tab/>
      </w:r>
      <w:r>
        <w:t>QoS for Emergency Services</w:t>
      </w:r>
      <w:r>
        <w:tab/>
      </w:r>
      <w:r>
        <w:fldChar w:fldCharType="begin" w:fldLock="1"/>
      </w:r>
      <w:r>
        <w:instrText xml:space="preserve"> PAGEREF _Toc201157344 \h </w:instrText>
      </w:r>
      <w:r>
        <w:fldChar w:fldCharType="separate"/>
      </w:r>
      <w:r>
        <w:t>306</w:t>
      </w:r>
      <w:r>
        <w:fldChar w:fldCharType="end"/>
      </w:r>
    </w:p>
    <w:p w14:paraId="51AF1198" w14:textId="7E69DC68" w:rsidR="006C1B74" w:rsidRDefault="006C1B74">
      <w:pPr>
        <w:pStyle w:val="TOC4"/>
        <w:rPr>
          <w:rFonts w:asciiTheme="minorHAnsi" w:eastAsiaTheme="minorEastAsia" w:hAnsiTheme="minorHAnsi" w:cstheme="minorBidi"/>
          <w:kern w:val="2"/>
          <w:sz w:val="24"/>
          <w:szCs w:val="24"/>
          <w14:ligatures w14:val="standardContextual"/>
        </w:rPr>
      </w:pPr>
      <w:r>
        <w:t>5.16.4.7</w:t>
      </w:r>
      <w:r>
        <w:rPr>
          <w:rFonts w:asciiTheme="minorHAnsi" w:eastAsiaTheme="minorEastAsia" w:hAnsiTheme="minorHAnsi" w:cstheme="minorBidi"/>
          <w:kern w:val="2"/>
          <w:sz w:val="24"/>
          <w:szCs w:val="24"/>
          <w14:ligatures w14:val="standardContextual"/>
        </w:rPr>
        <w:tab/>
      </w:r>
      <w:r>
        <w:t>PCC for Emergency Services</w:t>
      </w:r>
      <w:r>
        <w:tab/>
      </w:r>
      <w:r>
        <w:fldChar w:fldCharType="begin" w:fldLock="1"/>
      </w:r>
      <w:r>
        <w:instrText xml:space="preserve"> PAGEREF _Toc201157345 \h </w:instrText>
      </w:r>
      <w:r>
        <w:fldChar w:fldCharType="separate"/>
      </w:r>
      <w:r>
        <w:t>306</w:t>
      </w:r>
      <w:r>
        <w:fldChar w:fldCharType="end"/>
      </w:r>
    </w:p>
    <w:p w14:paraId="4442D327" w14:textId="24C5213A" w:rsidR="006C1B74" w:rsidRDefault="006C1B74">
      <w:pPr>
        <w:pStyle w:val="TOC4"/>
        <w:rPr>
          <w:rFonts w:asciiTheme="minorHAnsi" w:eastAsiaTheme="minorEastAsia" w:hAnsiTheme="minorHAnsi" w:cstheme="minorBidi"/>
          <w:kern w:val="2"/>
          <w:sz w:val="24"/>
          <w:szCs w:val="24"/>
          <w14:ligatures w14:val="standardContextual"/>
        </w:rPr>
      </w:pPr>
      <w:r>
        <w:t>5.16.4.8</w:t>
      </w:r>
      <w:r>
        <w:rPr>
          <w:rFonts w:asciiTheme="minorHAnsi" w:eastAsiaTheme="minorEastAsia" w:hAnsiTheme="minorHAnsi" w:cstheme="minorBidi"/>
          <w:kern w:val="2"/>
          <w:sz w:val="24"/>
          <w:szCs w:val="24"/>
          <w14:ligatures w14:val="standardContextual"/>
        </w:rPr>
        <w:tab/>
      </w:r>
      <w:r>
        <w:t>IP Address Allocation</w:t>
      </w:r>
      <w:r>
        <w:tab/>
      </w:r>
      <w:r>
        <w:fldChar w:fldCharType="begin" w:fldLock="1"/>
      </w:r>
      <w:r>
        <w:instrText xml:space="preserve"> PAGEREF _Toc201157346 \h </w:instrText>
      </w:r>
      <w:r>
        <w:fldChar w:fldCharType="separate"/>
      </w:r>
      <w:r>
        <w:t>306</w:t>
      </w:r>
      <w:r>
        <w:fldChar w:fldCharType="end"/>
      </w:r>
    </w:p>
    <w:p w14:paraId="52AB5E53" w14:textId="2CD032E8" w:rsidR="006C1B74" w:rsidRDefault="006C1B74">
      <w:pPr>
        <w:pStyle w:val="TOC4"/>
        <w:rPr>
          <w:rFonts w:asciiTheme="minorHAnsi" w:eastAsiaTheme="minorEastAsia" w:hAnsiTheme="minorHAnsi" w:cstheme="minorBidi"/>
          <w:kern w:val="2"/>
          <w:sz w:val="24"/>
          <w:szCs w:val="24"/>
          <w14:ligatures w14:val="standardContextual"/>
        </w:rPr>
      </w:pPr>
      <w:r>
        <w:t>5.16.4.9</w:t>
      </w:r>
      <w:r>
        <w:rPr>
          <w:rFonts w:asciiTheme="minorHAnsi" w:eastAsiaTheme="minorEastAsia" w:hAnsiTheme="minorHAnsi" w:cstheme="minorBidi"/>
          <w:kern w:val="2"/>
          <w:sz w:val="24"/>
          <w:szCs w:val="24"/>
          <w14:ligatures w14:val="standardContextual"/>
        </w:rPr>
        <w:tab/>
      </w:r>
      <w:r>
        <w:t>Handling of PDU Sessions for Emergency Services</w:t>
      </w:r>
      <w:r>
        <w:tab/>
      </w:r>
      <w:r>
        <w:fldChar w:fldCharType="begin" w:fldLock="1"/>
      </w:r>
      <w:r>
        <w:instrText xml:space="preserve"> PAGEREF _Toc201157347 \h </w:instrText>
      </w:r>
      <w:r>
        <w:fldChar w:fldCharType="separate"/>
      </w:r>
      <w:r>
        <w:t>306</w:t>
      </w:r>
      <w:r>
        <w:fldChar w:fldCharType="end"/>
      </w:r>
    </w:p>
    <w:p w14:paraId="134E8A38" w14:textId="359ED2A0" w:rsidR="006C1B74" w:rsidRDefault="006C1B74">
      <w:pPr>
        <w:pStyle w:val="TOC4"/>
        <w:rPr>
          <w:rFonts w:asciiTheme="minorHAnsi" w:eastAsiaTheme="minorEastAsia" w:hAnsiTheme="minorHAnsi" w:cstheme="minorBidi"/>
          <w:kern w:val="2"/>
          <w:sz w:val="24"/>
          <w:szCs w:val="24"/>
          <w14:ligatures w14:val="standardContextual"/>
        </w:rPr>
      </w:pPr>
      <w:r>
        <w:t>5.16.4.9a</w:t>
      </w:r>
      <w:r>
        <w:rPr>
          <w:rFonts w:asciiTheme="minorHAnsi" w:eastAsiaTheme="minorEastAsia" w:hAnsiTheme="minorHAnsi" w:cstheme="minorBidi"/>
          <w:kern w:val="2"/>
          <w:sz w:val="24"/>
          <w:szCs w:val="24"/>
          <w14:ligatures w14:val="standardContextual"/>
        </w:rPr>
        <w:tab/>
      </w:r>
      <w:r>
        <w:t>Handling of PDU Sessions for normal services for Emergency Registered UEs</w:t>
      </w:r>
      <w:r>
        <w:tab/>
      </w:r>
      <w:r>
        <w:fldChar w:fldCharType="begin" w:fldLock="1"/>
      </w:r>
      <w:r>
        <w:instrText xml:space="preserve"> PAGEREF _Toc201157348 \h </w:instrText>
      </w:r>
      <w:r>
        <w:fldChar w:fldCharType="separate"/>
      </w:r>
      <w:r>
        <w:t>307</w:t>
      </w:r>
      <w:r>
        <w:fldChar w:fldCharType="end"/>
      </w:r>
    </w:p>
    <w:p w14:paraId="471947AE" w14:textId="2E91F5DC" w:rsidR="006C1B74" w:rsidRDefault="006C1B74">
      <w:pPr>
        <w:pStyle w:val="TOC4"/>
        <w:rPr>
          <w:rFonts w:asciiTheme="minorHAnsi" w:eastAsiaTheme="minorEastAsia" w:hAnsiTheme="minorHAnsi" w:cstheme="minorBidi"/>
          <w:kern w:val="2"/>
          <w:sz w:val="24"/>
          <w:szCs w:val="24"/>
          <w14:ligatures w14:val="standardContextual"/>
        </w:rPr>
      </w:pPr>
      <w:r>
        <w:t>5.16.4.10</w:t>
      </w:r>
      <w:r>
        <w:rPr>
          <w:rFonts w:asciiTheme="minorHAnsi" w:eastAsiaTheme="minorEastAsia" w:hAnsiTheme="minorHAnsi" w:cstheme="minorBidi"/>
          <w:kern w:val="2"/>
          <w:sz w:val="24"/>
          <w:szCs w:val="24"/>
          <w14:ligatures w14:val="standardContextual"/>
        </w:rPr>
        <w:tab/>
      </w:r>
      <w:r>
        <w:t>Support of eCall Only Mode</w:t>
      </w:r>
      <w:r>
        <w:tab/>
      </w:r>
      <w:r>
        <w:fldChar w:fldCharType="begin" w:fldLock="1"/>
      </w:r>
      <w:r>
        <w:instrText xml:space="preserve"> PAGEREF _Toc201157349 \h </w:instrText>
      </w:r>
      <w:r>
        <w:fldChar w:fldCharType="separate"/>
      </w:r>
      <w:r>
        <w:t>307</w:t>
      </w:r>
      <w:r>
        <w:fldChar w:fldCharType="end"/>
      </w:r>
    </w:p>
    <w:p w14:paraId="2FDFC709" w14:textId="50F64722" w:rsidR="006C1B74" w:rsidRDefault="006C1B74">
      <w:pPr>
        <w:pStyle w:val="TOC4"/>
        <w:rPr>
          <w:rFonts w:asciiTheme="minorHAnsi" w:eastAsiaTheme="minorEastAsia" w:hAnsiTheme="minorHAnsi" w:cstheme="minorBidi"/>
          <w:kern w:val="2"/>
          <w:sz w:val="24"/>
          <w:szCs w:val="24"/>
          <w14:ligatures w14:val="standardContextual"/>
        </w:rPr>
      </w:pPr>
      <w:r>
        <w:t>5.16.4.11</w:t>
      </w:r>
      <w:r>
        <w:rPr>
          <w:rFonts w:asciiTheme="minorHAnsi" w:eastAsiaTheme="minorEastAsia" w:hAnsiTheme="minorHAnsi" w:cstheme="minorBidi"/>
          <w:kern w:val="2"/>
          <w:sz w:val="24"/>
          <w:szCs w:val="24"/>
          <w14:ligatures w14:val="standardContextual"/>
        </w:rPr>
        <w:tab/>
      </w:r>
      <w:r>
        <w:t>Emergency Services Fallback</w:t>
      </w:r>
      <w:r>
        <w:tab/>
      </w:r>
      <w:r>
        <w:fldChar w:fldCharType="begin" w:fldLock="1"/>
      </w:r>
      <w:r>
        <w:instrText xml:space="preserve"> PAGEREF _Toc201157350 \h </w:instrText>
      </w:r>
      <w:r>
        <w:fldChar w:fldCharType="separate"/>
      </w:r>
      <w:r>
        <w:t>307</w:t>
      </w:r>
      <w:r>
        <w:fldChar w:fldCharType="end"/>
      </w:r>
    </w:p>
    <w:p w14:paraId="36E38288" w14:textId="6F7F5916" w:rsidR="006C1B74" w:rsidRDefault="006C1B74">
      <w:pPr>
        <w:pStyle w:val="TOC3"/>
        <w:rPr>
          <w:rFonts w:asciiTheme="minorHAnsi" w:eastAsiaTheme="minorEastAsia" w:hAnsiTheme="minorHAnsi" w:cstheme="minorBidi"/>
          <w:kern w:val="2"/>
          <w:sz w:val="24"/>
          <w:szCs w:val="24"/>
          <w14:ligatures w14:val="standardContextual"/>
        </w:rPr>
      </w:pPr>
      <w:r>
        <w:t>5.16.5</w:t>
      </w:r>
      <w:r>
        <w:rPr>
          <w:rFonts w:asciiTheme="minorHAnsi" w:eastAsiaTheme="minorEastAsia" w:hAnsiTheme="minorHAnsi" w:cstheme="minorBidi"/>
          <w:kern w:val="2"/>
          <w:sz w:val="24"/>
          <w:szCs w:val="24"/>
          <w14:ligatures w14:val="standardContextual"/>
        </w:rPr>
        <w:tab/>
      </w:r>
      <w:r>
        <w:t>Multimedia Priority Services</w:t>
      </w:r>
      <w:r>
        <w:tab/>
      </w:r>
      <w:r>
        <w:fldChar w:fldCharType="begin" w:fldLock="1"/>
      </w:r>
      <w:r>
        <w:instrText xml:space="preserve"> PAGEREF _Toc201157351 \h </w:instrText>
      </w:r>
      <w:r>
        <w:fldChar w:fldCharType="separate"/>
      </w:r>
      <w:r>
        <w:t>308</w:t>
      </w:r>
      <w:r>
        <w:fldChar w:fldCharType="end"/>
      </w:r>
    </w:p>
    <w:p w14:paraId="51136236" w14:textId="48989C9D" w:rsidR="006C1B74" w:rsidRDefault="006C1B74">
      <w:pPr>
        <w:pStyle w:val="TOC3"/>
        <w:rPr>
          <w:rFonts w:asciiTheme="minorHAnsi" w:eastAsiaTheme="minorEastAsia" w:hAnsiTheme="minorHAnsi" w:cstheme="minorBidi"/>
          <w:kern w:val="2"/>
          <w:sz w:val="24"/>
          <w:szCs w:val="24"/>
          <w14:ligatures w14:val="standardContextual"/>
        </w:rPr>
      </w:pPr>
      <w:r>
        <w:t>5.16.6</w:t>
      </w:r>
      <w:r>
        <w:rPr>
          <w:rFonts w:asciiTheme="minorHAnsi" w:eastAsiaTheme="minorEastAsia" w:hAnsiTheme="minorHAnsi" w:cstheme="minorBidi"/>
          <w:kern w:val="2"/>
          <w:sz w:val="24"/>
          <w:szCs w:val="24"/>
          <w14:ligatures w14:val="standardContextual"/>
        </w:rPr>
        <w:tab/>
      </w:r>
      <w:r>
        <w:t>Mission Critical Services</w:t>
      </w:r>
      <w:r>
        <w:tab/>
      </w:r>
      <w:r>
        <w:fldChar w:fldCharType="begin" w:fldLock="1"/>
      </w:r>
      <w:r>
        <w:instrText xml:space="preserve"> PAGEREF _Toc201157352 \h </w:instrText>
      </w:r>
      <w:r>
        <w:fldChar w:fldCharType="separate"/>
      </w:r>
      <w:r>
        <w:t>310</w:t>
      </w:r>
      <w:r>
        <w:fldChar w:fldCharType="end"/>
      </w:r>
    </w:p>
    <w:p w14:paraId="6FABA468" w14:textId="3559D7D9" w:rsidR="006C1B74" w:rsidRDefault="006C1B74">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Interworking and Migration</w:t>
      </w:r>
      <w:r>
        <w:tab/>
      </w:r>
      <w:r>
        <w:fldChar w:fldCharType="begin" w:fldLock="1"/>
      </w:r>
      <w:r>
        <w:instrText xml:space="preserve"> PAGEREF _Toc201157353 \h </w:instrText>
      </w:r>
      <w:r>
        <w:fldChar w:fldCharType="separate"/>
      </w:r>
      <w:r>
        <w:t>311</w:t>
      </w:r>
      <w:r>
        <w:fldChar w:fldCharType="end"/>
      </w:r>
    </w:p>
    <w:p w14:paraId="26CF0E1D" w14:textId="5C7EA13B" w:rsidR="006C1B74" w:rsidRDefault="006C1B74">
      <w:pPr>
        <w:pStyle w:val="TOC3"/>
        <w:rPr>
          <w:rFonts w:asciiTheme="minorHAnsi" w:eastAsiaTheme="minorEastAsia" w:hAnsiTheme="minorHAnsi" w:cstheme="minorBidi"/>
          <w:kern w:val="2"/>
          <w:sz w:val="24"/>
          <w:szCs w:val="24"/>
          <w14:ligatures w14:val="standardContextual"/>
        </w:rPr>
      </w:pPr>
      <w:r>
        <w:t>5.17.1</w:t>
      </w:r>
      <w:r>
        <w:rPr>
          <w:rFonts w:asciiTheme="minorHAnsi" w:eastAsiaTheme="minorEastAsia" w:hAnsiTheme="minorHAnsi" w:cstheme="minorBidi"/>
          <w:kern w:val="2"/>
          <w:sz w:val="24"/>
          <w:szCs w:val="24"/>
          <w14:ligatures w14:val="standardContextual"/>
        </w:rPr>
        <w:tab/>
      </w:r>
      <w:r>
        <w:t>Support for Migration from EPC to 5GC</w:t>
      </w:r>
      <w:r>
        <w:tab/>
      </w:r>
      <w:r>
        <w:fldChar w:fldCharType="begin" w:fldLock="1"/>
      </w:r>
      <w:r>
        <w:instrText xml:space="preserve"> PAGEREF _Toc201157354 \h </w:instrText>
      </w:r>
      <w:r>
        <w:fldChar w:fldCharType="separate"/>
      </w:r>
      <w:r>
        <w:t>311</w:t>
      </w:r>
      <w:r>
        <w:fldChar w:fldCharType="end"/>
      </w:r>
    </w:p>
    <w:p w14:paraId="705D2A66" w14:textId="45E50C5A" w:rsidR="006C1B74" w:rsidRDefault="006C1B74">
      <w:pPr>
        <w:pStyle w:val="TOC4"/>
        <w:rPr>
          <w:rFonts w:asciiTheme="minorHAnsi" w:eastAsiaTheme="minorEastAsia" w:hAnsiTheme="minorHAnsi" w:cstheme="minorBidi"/>
          <w:kern w:val="2"/>
          <w:sz w:val="24"/>
          <w:szCs w:val="24"/>
          <w14:ligatures w14:val="standardContextual"/>
        </w:rPr>
      </w:pPr>
      <w:r>
        <w:t>5.17.1.1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_Toc201157355 \h </w:instrText>
      </w:r>
      <w:r>
        <w:fldChar w:fldCharType="separate"/>
      </w:r>
      <w:r>
        <w:t>311</w:t>
      </w:r>
      <w:r>
        <w:fldChar w:fldCharType="end"/>
      </w:r>
    </w:p>
    <w:p w14:paraId="41309047" w14:textId="19477A4F" w:rsidR="006C1B74" w:rsidRDefault="006C1B74">
      <w:pPr>
        <w:pStyle w:val="TOC4"/>
        <w:rPr>
          <w:rFonts w:asciiTheme="minorHAnsi" w:eastAsiaTheme="minorEastAsia" w:hAnsiTheme="minorHAnsi" w:cstheme="minorBidi"/>
          <w:kern w:val="2"/>
          <w:sz w:val="24"/>
          <w:szCs w:val="24"/>
          <w14:ligatures w14:val="standardContextual"/>
        </w:rPr>
      </w:pPr>
      <w:r>
        <w:t>5.17.1.2</w:t>
      </w:r>
      <w:r>
        <w:rPr>
          <w:rFonts w:asciiTheme="minorHAnsi" w:eastAsiaTheme="minorEastAsia" w:hAnsiTheme="minorHAnsi" w:cstheme="minorBidi"/>
          <w:kern w:val="2"/>
          <w:sz w:val="24"/>
          <w:szCs w:val="24"/>
          <w14:ligatures w14:val="standardContextual"/>
        </w:rPr>
        <w:tab/>
      </w:r>
      <w:r>
        <w:t>User Plane management to support interworking with EPS</w:t>
      </w:r>
      <w:r>
        <w:tab/>
      </w:r>
      <w:r>
        <w:fldChar w:fldCharType="begin" w:fldLock="1"/>
      </w:r>
      <w:r>
        <w:instrText xml:space="preserve"> PAGEREF _Toc201157356 \h </w:instrText>
      </w:r>
      <w:r>
        <w:fldChar w:fldCharType="separate"/>
      </w:r>
      <w:r>
        <w:t>313</w:t>
      </w:r>
      <w:r>
        <w:fldChar w:fldCharType="end"/>
      </w:r>
    </w:p>
    <w:p w14:paraId="7F1BCC21" w14:textId="7C1695FC" w:rsidR="006C1B74" w:rsidRDefault="006C1B74">
      <w:pPr>
        <w:pStyle w:val="TOC4"/>
        <w:rPr>
          <w:rFonts w:asciiTheme="minorHAnsi" w:eastAsiaTheme="minorEastAsia" w:hAnsiTheme="minorHAnsi" w:cstheme="minorBidi"/>
          <w:kern w:val="2"/>
          <w:sz w:val="24"/>
          <w:szCs w:val="24"/>
          <w14:ligatures w14:val="standardContextual"/>
        </w:rPr>
      </w:pPr>
      <w:r>
        <w:t>5.17.1.3</w:t>
      </w:r>
      <w:r>
        <w:rPr>
          <w:rFonts w:asciiTheme="minorHAnsi" w:eastAsiaTheme="minorEastAsia" w:hAnsiTheme="minorHAnsi" w:cstheme="minorBidi"/>
          <w:kern w:val="2"/>
          <w:sz w:val="24"/>
          <w:szCs w:val="24"/>
          <w14:ligatures w14:val="standardContextual"/>
        </w:rPr>
        <w:tab/>
      </w:r>
      <w:r>
        <w:t>QoS handling for home routed roaming</w:t>
      </w:r>
      <w:r>
        <w:tab/>
      </w:r>
      <w:r>
        <w:fldChar w:fldCharType="begin" w:fldLock="1"/>
      </w:r>
      <w:r>
        <w:instrText xml:space="preserve"> PAGEREF _Toc201157357 \h </w:instrText>
      </w:r>
      <w:r>
        <w:fldChar w:fldCharType="separate"/>
      </w:r>
      <w:r>
        <w:t>313</w:t>
      </w:r>
      <w:r>
        <w:fldChar w:fldCharType="end"/>
      </w:r>
    </w:p>
    <w:p w14:paraId="6873141C" w14:textId="5BD93E43" w:rsidR="006C1B74" w:rsidRDefault="006C1B74">
      <w:pPr>
        <w:pStyle w:val="TOC3"/>
        <w:rPr>
          <w:rFonts w:asciiTheme="minorHAnsi" w:eastAsiaTheme="minorEastAsia" w:hAnsiTheme="minorHAnsi" w:cstheme="minorBidi"/>
          <w:kern w:val="2"/>
          <w:sz w:val="24"/>
          <w:szCs w:val="24"/>
          <w14:ligatures w14:val="standardContextual"/>
        </w:rPr>
      </w:pPr>
      <w:r>
        <w:t>5.17.2</w:t>
      </w:r>
      <w:r>
        <w:rPr>
          <w:rFonts w:asciiTheme="minorHAnsi" w:eastAsiaTheme="minorEastAsia" w:hAnsiTheme="minorHAnsi" w:cstheme="minorBidi"/>
          <w:kern w:val="2"/>
          <w:sz w:val="24"/>
          <w:szCs w:val="24"/>
          <w14:ligatures w14:val="standardContextual"/>
        </w:rPr>
        <w:tab/>
      </w:r>
      <w:r>
        <w:t>Interworking with EPC</w:t>
      </w:r>
      <w:r>
        <w:tab/>
      </w:r>
      <w:r>
        <w:fldChar w:fldCharType="begin" w:fldLock="1"/>
      </w:r>
      <w:r>
        <w:instrText xml:space="preserve"> PAGEREF _Toc201157358 \h </w:instrText>
      </w:r>
      <w:r>
        <w:fldChar w:fldCharType="separate"/>
      </w:r>
      <w:r>
        <w:t>313</w:t>
      </w:r>
      <w:r>
        <w:fldChar w:fldCharType="end"/>
      </w:r>
    </w:p>
    <w:p w14:paraId="21D75568" w14:textId="177A75E1" w:rsidR="006C1B74" w:rsidRDefault="006C1B74">
      <w:pPr>
        <w:pStyle w:val="TOC4"/>
        <w:rPr>
          <w:rFonts w:asciiTheme="minorHAnsi" w:eastAsiaTheme="minorEastAsia" w:hAnsiTheme="minorHAnsi" w:cstheme="minorBidi"/>
          <w:kern w:val="2"/>
          <w:sz w:val="24"/>
          <w:szCs w:val="24"/>
          <w14:ligatures w14:val="standardContextual"/>
        </w:rPr>
      </w:pPr>
      <w:r>
        <w:t>5.17.2.1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_Toc201157359 \h </w:instrText>
      </w:r>
      <w:r>
        <w:fldChar w:fldCharType="separate"/>
      </w:r>
      <w:r>
        <w:t>313</w:t>
      </w:r>
      <w:r>
        <w:fldChar w:fldCharType="end"/>
      </w:r>
    </w:p>
    <w:p w14:paraId="5CF44B73" w14:textId="5A0ADA63"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5.17.2.2</w:t>
      </w:r>
      <w:r>
        <w:rPr>
          <w:rFonts w:asciiTheme="minorHAnsi" w:eastAsiaTheme="minorEastAsia" w:hAnsiTheme="minorHAnsi" w:cstheme="minorBidi"/>
          <w:kern w:val="2"/>
          <w:sz w:val="24"/>
          <w:szCs w:val="24"/>
          <w14:ligatures w14:val="standardContextual"/>
        </w:rPr>
        <w:tab/>
      </w:r>
      <w:r>
        <w:rPr>
          <w:lang w:eastAsia="zh-CN"/>
        </w:rPr>
        <w:t>Interworking Procedures with N26 interface</w:t>
      </w:r>
      <w:r>
        <w:tab/>
      </w:r>
      <w:r>
        <w:fldChar w:fldCharType="begin" w:fldLock="1"/>
      </w:r>
      <w:r>
        <w:instrText xml:space="preserve"> PAGEREF _Toc201157360 \h </w:instrText>
      </w:r>
      <w:r>
        <w:fldChar w:fldCharType="separate"/>
      </w:r>
      <w:r>
        <w:t>317</w:t>
      </w:r>
      <w:r>
        <w:fldChar w:fldCharType="end"/>
      </w:r>
    </w:p>
    <w:p w14:paraId="22FF5E5C" w14:textId="4B497196"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5.17.2.2.1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_Toc201157361 \h </w:instrText>
      </w:r>
      <w:r>
        <w:fldChar w:fldCharType="separate"/>
      </w:r>
      <w:r>
        <w:t>317</w:t>
      </w:r>
      <w:r>
        <w:fldChar w:fldCharType="end"/>
      </w:r>
    </w:p>
    <w:p w14:paraId="39D3B242" w14:textId="45AC7D0F"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5.17.2.2.2</w:t>
      </w:r>
      <w:r>
        <w:rPr>
          <w:rFonts w:asciiTheme="minorHAnsi" w:eastAsiaTheme="minorEastAsia" w:hAnsiTheme="minorHAnsi" w:cstheme="minorBidi"/>
          <w:kern w:val="2"/>
          <w:sz w:val="24"/>
          <w:szCs w:val="24"/>
          <w14:ligatures w14:val="standardContextual"/>
        </w:rPr>
        <w:tab/>
      </w:r>
      <w:r>
        <w:rPr>
          <w:lang w:eastAsia="zh-CN"/>
        </w:rPr>
        <w:t>Mobility for UEs in single-registration mode</w:t>
      </w:r>
      <w:r>
        <w:tab/>
      </w:r>
      <w:r>
        <w:fldChar w:fldCharType="begin" w:fldLock="1"/>
      </w:r>
      <w:r>
        <w:instrText xml:space="preserve"> PAGEREF _Toc201157362 \h </w:instrText>
      </w:r>
      <w:r>
        <w:fldChar w:fldCharType="separate"/>
      </w:r>
      <w:r>
        <w:t>318</w:t>
      </w:r>
      <w:r>
        <w:fldChar w:fldCharType="end"/>
      </w:r>
    </w:p>
    <w:p w14:paraId="096A68B8" w14:textId="3BDA9F1C"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5.17.2.3</w:t>
      </w:r>
      <w:r>
        <w:rPr>
          <w:rFonts w:asciiTheme="minorHAnsi" w:eastAsiaTheme="minorEastAsia" w:hAnsiTheme="minorHAnsi" w:cstheme="minorBidi"/>
          <w:kern w:val="2"/>
          <w:sz w:val="24"/>
          <w:szCs w:val="24"/>
          <w14:ligatures w14:val="standardContextual"/>
        </w:rPr>
        <w:tab/>
      </w:r>
      <w:r>
        <w:rPr>
          <w:lang w:eastAsia="zh-CN"/>
        </w:rPr>
        <w:t>Interworking Procedures without N26 interface</w:t>
      </w:r>
      <w:r>
        <w:tab/>
      </w:r>
      <w:r>
        <w:fldChar w:fldCharType="begin" w:fldLock="1"/>
      </w:r>
      <w:r>
        <w:instrText xml:space="preserve"> PAGEREF _Toc201157363 \h </w:instrText>
      </w:r>
      <w:r>
        <w:fldChar w:fldCharType="separate"/>
      </w:r>
      <w:r>
        <w:t>319</w:t>
      </w:r>
      <w:r>
        <w:fldChar w:fldCharType="end"/>
      </w:r>
    </w:p>
    <w:p w14:paraId="52400D0B" w14:textId="24B148A8"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5.17.2.3.1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_Toc201157364 \h </w:instrText>
      </w:r>
      <w:r>
        <w:fldChar w:fldCharType="separate"/>
      </w:r>
      <w:r>
        <w:t>319</w:t>
      </w:r>
      <w:r>
        <w:fldChar w:fldCharType="end"/>
      </w:r>
    </w:p>
    <w:p w14:paraId="7E4153A8" w14:textId="3F638AFC"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5.17.2.3.2</w:t>
      </w:r>
      <w:r>
        <w:rPr>
          <w:rFonts w:asciiTheme="minorHAnsi" w:eastAsiaTheme="minorEastAsia" w:hAnsiTheme="minorHAnsi" w:cstheme="minorBidi"/>
          <w:kern w:val="2"/>
          <w:sz w:val="24"/>
          <w:szCs w:val="24"/>
          <w14:ligatures w14:val="standardContextual"/>
        </w:rPr>
        <w:tab/>
      </w:r>
      <w:r>
        <w:rPr>
          <w:lang w:eastAsia="zh-CN"/>
        </w:rPr>
        <w:t>Mobility for UEs in single-registration mode</w:t>
      </w:r>
      <w:r>
        <w:tab/>
      </w:r>
      <w:r>
        <w:fldChar w:fldCharType="begin" w:fldLock="1"/>
      </w:r>
      <w:r>
        <w:instrText xml:space="preserve"> PAGEREF _Toc201157365 \h </w:instrText>
      </w:r>
      <w:r>
        <w:fldChar w:fldCharType="separate"/>
      </w:r>
      <w:r>
        <w:t>320</w:t>
      </w:r>
      <w:r>
        <w:fldChar w:fldCharType="end"/>
      </w:r>
    </w:p>
    <w:p w14:paraId="2B334D1E" w14:textId="6FEBE9B8"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5.17.2.3.3</w:t>
      </w:r>
      <w:r>
        <w:rPr>
          <w:rFonts w:asciiTheme="minorHAnsi" w:eastAsiaTheme="minorEastAsia" w:hAnsiTheme="minorHAnsi" w:cstheme="minorBidi"/>
          <w:kern w:val="2"/>
          <w:sz w:val="24"/>
          <w:szCs w:val="24"/>
          <w14:ligatures w14:val="standardContextual"/>
        </w:rPr>
        <w:tab/>
      </w:r>
      <w:r>
        <w:rPr>
          <w:lang w:eastAsia="zh-CN"/>
        </w:rPr>
        <w:t>Mobility for UEs in dual-registration mode</w:t>
      </w:r>
      <w:r>
        <w:tab/>
      </w:r>
      <w:r>
        <w:fldChar w:fldCharType="begin" w:fldLock="1"/>
      </w:r>
      <w:r>
        <w:instrText xml:space="preserve"> PAGEREF _Toc201157366 \h </w:instrText>
      </w:r>
      <w:r>
        <w:fldChar w:fldCharType="separate"/>
      </w:r>
      <w:r>
        <w:t>320</w:t>
      </w:r>
      <w:r>
        <w:fldChar w:fldCharType="end"/>
      </w:r>
    </w:p>
    <w:p w14:paraId="6A223FC1" w14:textId="1A3DA2A9" w:rsidR="006C1B74" w:rsidRDefault="006C1B74">
      <w:pPr>
        <w:pStyle w:val="TOC5"/>
        <w:rPr>
          <w:rFonts w:asciiTheme="minorHAnsi" w:eastAsiaTheme="minorEastAsia" w:hAnsiTheme="minorHAnsi" w:cstheme="minorBidi"/>
          <w:kern w:val="2"/>
          <w:sz w:val="24"/>
          <w:szCs w:val="24"/>
          <w14:ligatures w14:val="standardContextual"/>
        </w:rPr>
      </w:pPr>
      <w:r>
        <w:rPr>
          <w:lang w:eastAsia="zh-CN"/>
        </w:rPr>
        <w:t>5.17.2.3.4</w:t>
      </w:r>
      <w:r>
        <w:rPr>
          <w:rFonts w:asciiTheme="minorHAnsi" w:eastAsiaTheme="minorEastAsia" w:hAnsiTheme="minorHAnsi" w:cstheme="minorBidi"/>
          <w:kern w:val="2"/>
          <w:sz w:val="24"/>
          <w:szCs w:val="24"/>
          <w14:ligatures w14:val="standardContextual"/>
        </w:rPr>
        <w:tab/>
      </w:r>
      <w:r>
        <w:rPr>
          <w:lang w:eastAsia="zh-CN"/>
        </w:rPr>
        <w:t>Redirection for UEs in connected state</w:t>
      </w:r>
      <w:r>
        <w:tab/>
      </w:r>
      <w:r>
        <w:fldChar w:fldCharType="begin" w:fldLock="1"/>
      </w:r>
      <w:r>
        <w:instrText xml:space="preserve"> PAGEREF _Toc201157367 \h </w:instrText>
      </w:r>
      <w:r>
        <w:fldChar w:fldCharType="separate"/>
      </w:r>
      <w:r>
        <w:t>322</w:t>
      </w:r>
      <w:r>
        <w:fldChar w:fldCharType="end"/>
      </w:r>
    </w:p>
    <w:p w14:paraId="3EF4B05F" w14:textId="2190F471" w:rsidR="006C1B74" w:rsidRDefault="006C1B74">
      <w:pPr>
        <w:pStyle w:val="TOC4"/>
        <w:rPr>
          <w:rFonts w:asciiTheme="minorHAnsi" w:eastAsiaTheme="minorEastAsia" w:hAnsiTheme="minorHAnsi" w:cstheme="minorBidi"/>
          <w:kern w:val="2"/>
          <w:sz w:val="24"/>
          <w:szCs w:val="24"/>
          <w14:ligatures w14:val="standardContextual"/>
        </w:rPr>
      </w:pPr>
      <w:r>
        <w:t>5.17.2.4</w:t>
      </w:r>
      <w:r>
        <w:rPr>
          <w:rFonts w:asciiTheme="minorHAnsi" w:eastAsiaTheme="minorEastAsia" w:hAnsiTheme="minorHAnsi" w:cstheme="minorBidi"/>
          <w:kern w:val="2"/>
          <w:sz w:val="24"/>
          <w:szCs w:val="24"/>
          <w14:ligatures w14:val="standardContextual"/>
        </w:rPr>
        <w:tab/>
      </w:r>
      <w:r>
        <w:t>Mobility between 5GS and GERAN/UTRAN</w:t>
      </w:r>
      <w:r>
        <w:tab/>
      </w:r>
      <w:r>
        <w:fldChar w:fldCharType="begin" w:fldLock="1"/>
      </w:r>
      <w:r>
        <w:instrText xml:space="preserve"> PAGEREF _Toc201157368 \h </w:instrText>
      </w:r>
      <w:r>
        <w:fldChar w:fldCharType="separate"/>
      </w:r>
      <w:r>
        <w:t>322</w:t>
      </w:r>
      <w:r>
        <w:fldChar w:fldCharType="end"/>
      </w:r>
    </w:p>
    <w:p w14:paraId="4C1EFD82" w14:textId="471CBE2E" w:rsidR="006C1B74" w:rsidRDefault="006C1B74">
      <w:pPr>
        <w:pStyle w:val="TOC4"/>
        <w:rPr>
          <w:rFonts w:asciiTheme="minorHAnsi" w:eastAsiaTheme="minorEastAsia" w:hAnsiTheme="minorHAnsi" w:cstheme="minorBidi"/>
          <w:kern w:val="2"/>
          <w:sz w:val="24"/>
          <w:szCs w:val="24"/>
          <w14:ligatures w14:val="standardContextual"/>
        </w:rPr>
      </w:pPr>
      <w:r>
        <w:t>5.17.2.5</w:t>
      </w:r>
      <w:r>
        <w:rPr>
          <w:rFonts w:asciiTheme="minorHAnsi" w:eastAsiaTheme="minorEastAsia" w:hAnsiTheme="minorHAnsi" w:cstheme="minorBidi"/>
          <w:kern w:val="2"/>
          <w:sz w:val="24"/>
          <w:szCs w:val="24"/>
          <w14:ligatures w14:val="standardContextual"/>
        </w:rPr>
        <w:tab/>
      </w:r>
      <w:r>
        <w:t>Secondary DN authentication and authorization in EPS Interworking case</w:t>
      </w:r>
      <w:r>
        <w:tab/>
      </w:r>
      <w:r>
        <w:fldChar w:fldCharType="begin" w:fldLock="1"/>
      </w:r>
      <w:r>
        <w:instrText xml:space="preserve"> PAGEREF _Toc201157369 \h </w:instrText>
      </w:r>
      <w:r>
        <w:fldChar w:fldCharType="separate"/>
      </w:r>
      <w:r>
        <w:t>323</w:t>
      </w:r>
      <w:r>
        <w:fldChar w:fldCharType="end"/>
      </w:r>
    </w:p>
    <w:p w14:paraId="5BF04BA0" w14:textId="74514305" w:rsidR="006C1B74" w:rsidRDefault="006C1B74">
      <w:pPr>
        <w:pStyle w:val="TOC3"/>
        <w:rPr>
          <w:rFonts w:asciiTheme="minorHAnsi" w:eastAsiaTheme="minorEastAsia" w:hAnsiTheme="minorHAnsi" w:cstheme="minorBidi"/>
          <w:kern w:val="2"/>
          <w:sz w:val="24"/>
          <w:szCs w:val="24"/>
          <w14:ligatures w14:val="standardContextual"/>
        </w:rPr>
      </w:pPr>
      <w:r>
        <w:t>5.17.3</w:t>
      </w:r>
      <w:r>
        <w:rPr>
          <w:rFonts w:asciiTheme="minorHAnsi" w:eastAsiaTheme="minorEastAsia" w:hAnsiTheme="minorHAnsi" w:cstheme="minorBidi"/>
          <w:kern w:val="2"/>
          <w:sz w:val="24"/>
          <w:szCs w:val="24"/>
          <w14:ligatures w14:val="standardContextual"/>
        </w:rPr>
        <w:tab/>
      </w:r>
      <w:r>
        <w:t>Interworking with EPC in presence of Non-3GPP PDU Sessions</w:t>
      </w:r>
      <w:r>
        <w:tab/>
      </w:r>
      <w:r>
        <w:fldChar w:fldCharType="begin" w:fldLock="1"/>
      </w:r>
      <w:r>
        <w:instrText xml:space="preserve"> PAGEREF _Toc201157370 \h </w:instrText>
      </w:r>
      <w:r>
        <w:fldChar w:fldCharType="separate"/>
      </w:r>
      <w:r>
        <w:t>323</w:t>
      </w:r>
      <w:r>
        <w:fldChar w:fldCharType="end"/>
      </w:r>
    </w:p>
    <w:p w14:paraId="2C922C71" w14:textId="531FE003" w:rsidR="006C1B74" w:rsidRDefault="006C1B74">
      <w:pPr>
        <w:pStyle w:val="TOC3"/>
        <w:rPr>
          <w:rFonts w:asciiTheme="minorHAnsi" w:eastAsiaTheme="minorEastAsia" w:hAnsiTheme="minorHAnsi" w:cstheme="minorBidi"/>
          <w:kern w:val="2"/>
          <w:sz w:val="24"/>
          <w:szCs w:val="24"/>
          <w14:ligatures w14:val="standardContextual"/>
        </w:rPr>
      </w:pPr>
      <w:r>
        <w:t>5.17.4</w:t>
      </w:r>
      <w:r>
        <w:rPr>
          <w:rFonts w:asciiTheme="minorHAnsi" w:eastAsiaTheme="minorEastAsia" w:hAnsiTheme="minorHAnsi" w:cstheme="minorBidi"/>
          <w:kern w:val="2"/>
          <w:sz w:val="24"/>
          <w:szCs w:val="24"/>
          <w14:ligatures w14:val="standardContextual"/>
        </w:rPr>
        <w:tab/>
      </w:r>
      <w:r>
        <w:t>Network sharing support and interworking between EPS and 5GS</w:t>
      </w:r>
      <w:r>
        <w:tab/>
      </w:r>
      <w:r>
        <w:fldChar w:fldCharType="begin" w:fldLock="1"/>
      </w:r>
      <w:r>
        <w:instrText xml:space="preserve"> PAGEREF _Toc201157371 \h </w:instrText>
      </w:r>
      <w:r>
        <w:fldChar w:fldCharType="separate"/>
      </w:r>
      <w:r>
        <w:t>324</w:t>
      </w:r>
      <w:r>
        <w:fldChar w:fldCharType="end"/>
      </w:r>
    </w:p>
    <w:p w14:paraId="7EBFB36E" w14:textId="3465F83C" w:rsidR="006C1B74" w:rsidRDefault="006C1B74">
      <w:pPr>
        <w:pStyle w:val="TOC3"/>
        <w:rPr>
          <w:rFonts w:asciiTheme="minorHAnsi" w:eastAsiaTheme="minorEastAsia" w:hAnsiTheme="minorHAnsi" w:cstheme="minorBidi"/>
          <w:kern w:val="2"/>
          <w:sz w:val="24"/>
          <w:szCs w:val="24"/>
          <w14:ligatures w14:val="standardContextual"/>
        </w:rPr>
      </w:pPr>
      <w:r>
        <w:t>5.17.5</w:t>
      </w:r>
      <w:r>
        <w:rPr>
          <w:rFonts w:asciiTheme="minorHAnsi" w:eastAsiaTheme="minorEastAsia" w:hAnsiTheme="minorHAnsi" w:cstheme="minorBidi"/>
          <w:kern w:val="2"/>
          <w:sz w:val="24"/>
          <w:szCs w:val="24"/>
          <w14:ligatures w14:val="standardContextual"/>
        </w:rPr>
        <w:tab/>
      </w:r>
      <w:r>
        <w:t>Service Exposure in Interworking Scenarios</w:t>
      </w:r>
      <w:r>
        <w:tab/>
      </w:r>
      <w:r>
        <w:fldChar w:fldCharType="begin" w:fldLock="1"/>
      </w:r>
      <w:r>
        <w:instrText xml:space="preserve"> PAGEREF _Toc201157372 \h </w:instrText>
      </w:r>
      <w:r>
        <w:fldChar w:fldCharType="separate"/>
      </w:r>
      <w:r>
        <w:t>324</w:t>
      </w:r>
      <w:r>
        <w:fldChar w:fldCharType="end"/>
      </w:r>
    </w:p>
    <w:p w14:paraId="1B536EA3" w14:textId="16EE063A" w:rsidR="006C1B74" w:rsidRDefault="006C1B74">
      <w:pPr>
        <w:pStyle w:val="TOC4"/>
        <w:rPr>
          <w:rFonts w:asciiTheme="minorHAnsi" w:eastAsiaTheme="minorEastAsia" w:hAnsiTheme="minorHAnsi" w:cstheme="minorBidi"/>
          <w:kern w:val="2"/>
          <w:sz w:val="24"/>
          <w:szCs w:val="24"/>
          <w14:ligatures w14:val="standardContextual"/>
        </w:rPr>
      </w:pPr>
      <w:r>
        <w:t>5.17.5.1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_Toc201157373 \h </w:instrText>
      </w:r>
      <w:r>
        <w:fldChar w:fldCharType="separate"/>
      </w:r>
      <w:r>
        <w:t>324</w:t>
      </w:r>
      <w:r>
        <w:fldChar w:fldCharType="end"/>
      </w:r>
    </w:p>
    <w:p w14:paraId="6AC81770" w14:textId="54A454A3" w:rsidR="006C1B74" w:rsidRDefault="006C1B74">
      <w:pPr>
        <w:pStyle w:val="TOC4"/>
        <w:rPr>
          <w:rFonts w:asciiTheme="minorHAnsi" w:eastAsiaTheme="minorEastAsia" w:hAnsiTheme="minorHAnsi" w:cstheme="minorBidi"/>
          <w:kern w:val="2"/>
          <w:sz w:val="24"/>
          <w:szCs w:val="24"/>
          <w14:ligatures w14:val="standardContextual"/>
        </w:rPr>
      </w:pPr>
      <w:r>
        <w:t>5.17.5.2</w:t>
      </w:r>
      <w:r>
        <w:rPr>
          <w:rFonts w:asciiTheme="minorHAnsi" w:eastAsiaTheme="minorEastAsia" w:hAnsiTheme="minorHAnsi" w:cstheme="minorBidi"/>
          <w:kern w:val="2"/>
          <w:sz w:val="24"/>
          <w:szCs w:val="24"/>
          <w14:ligatures w14:val="standardContextual"/>
        </w:rPr>
        <w:tab/>
      </w:r>
      <w:r>
        <w:t>Support of interworking for Monitoring Events</w:t>
      </w:r>
      <w:r>
        <w:tab/>
      </w:r>
      <w:r>
        <w:fldChar w:fldCharType="begin" w:fldLock="1"/>
      </w:r>
      <w:r>
        <w:instrText xml:space="preserve"> PAGEREF _Toc201157374 \h </w:instrText>
      </w:r>
      <w:r>
        <w:fldChar w:fldCharType="separate"/>
      </w:r>
      <w:r>
        <w:t>325</w:t>
      </w:r>
      <w:r>
        <w:fldChar w:fldCharType="end"/>
      </w:r>
    </w:p>
    <w:p w14:paraId="193814AF" w14:textId="7CB0A6F5" w:rsidR="006C1B74" w:rsidRDefault="006C1B74">
      <w:pPr>
        <w:pStyle w:val="TOC5"/>
        <w:rPr>
          <w:rFonts w:asciiTheme="minorHAnsi" w:eastAsiaTheme="minorEastAsia" w:hAnsiTheme="minorHAnsi" w:cstheme="minorBidi"/>
          <w:kern w:val="2"/>
          <w:sz w:val="24"/>
          <w:szCs w:val="24"/>
          <w14:ligatures w14:val="standardContextual"/>
        </w:rPr>
      </w:pPr>
      <w:r>
        <w:lastRenderedPageBreak/>
        <w:t>5.17.5.2.1</w:t>
      </w:r>
      <w:r>
        <w:rPr>
          <w:rFonts w:asciiTheme="minorHAnsi" w:eastAsiaTheme="minorEastAsia" w:hAnsiTheme="minorHAnsi" w:cstheme="minorBidi"/>
          <w:kern w:val="2"/>
          <w:sz w:val="24"/>
          <w:szCs w:val="24"/>
          <w14:ligatures w14:val="standardContextual"/>
        </w:rPr>
        <w:tab/>
      </w:r>
      <w:r>
        <w:t>Interworking with N26 interface</w:t>
      </w:r>
      <w:r>
        <w:tab/>
      </w:r>
      <w:r>
        <w:fldChar w:fldCharType="begin" w:fldLock="1"/>
      </w:r>
      <w:r>
        <w:instrText xml:space="preserve"> PAGEREF _Toc201157375 \h </w:instrText>
      </w:r>
      <w:r>
        <w:fldChar w:fldCharType="separate"/>
      </w:r>
      <w:r>
        <w:t>325</w:t>
      </w:r>
      <w:r>
        <w:fldChar w:fldCharType="end"/>
      </w:r>
    </w:p>
    <w:p w14:paraId="177E2DC2" w14:textId="58B89FAC" w:rsidR="006C1B74" w:rsidRDefault="006C1B74">
      <w:pPr>
        <w:pStyle w:val="TOC5"/>
        <w:rPr>
          <w:rFonts w:asciiTheme="minorHAnsi" w:eastAsiaTheme="minorEastAsia" w:hAnsiTheme="minorHAnsi" w:cstheme="minorBidi"/>
          <w:kern w:val="2"/>
          <w:sz w:val="24"/>
          <w:szCs w:val="24"/>
          <w14:ligatures w14:val="standardContextual"/>
        </w:rPr>
      </w:pPr>
      <w:r>
        <w:t>5.17.5.2.2</w:t>
      </w:r>
      <w:r>
        <w:rPr>
          <w:rFonts w:asciiTheme="minorHAnsi" w:eastAsiaTheme="minorEastAsia" w:hAnsiTheme="minorHAnsi" w:cstheme="minorBidi"/>
          <w:kern w:val="2"/>
          <w:sz w:val="24"/>
          <w:szCs w:val="24"/>
          <w14:ligatures w14:val="standardContextual"/>
        </w:rPr>
        <w:tab/>
      </w:r>
      <w:r>
        <w:t>Interworking without N26 interface</w:t>
      </w:r>
      <w:r>
        <w:tab/>
      </w:r>
      <w:r>
        <w:fldChar w:fldCharType="begin" w:fldLock="1"/>
      </w:r>
      <w:r>
        <w:instrText xml:space="preserve"> PAGEREF _Toc201157376 \h </w:instrText>
      </w:r>
      <w:r>
        <w:fldChar w:fldCharType="separate"/>
      </w:r>
      <w:r>
        <w:t>325</w:t>
      </w:r>
      <w:r>
        <w:fldChar w:fldCharType="end"/>
      </w:r>
    </w:p>
    <w:p w14:paraId="5EAE1715" w14:textId="4F0ADB96" w:rsidR="006C1B74" w:rsidRDefault="006C1B74">
      <w:pPr>
        <w:pStyle w:val="TOC4"/>
        <w:rPr>
          <w:rFonts w:asciiTheme="minorHAnsi" w:eastAsiaTheme="minorEastAsia" w:hAnsiTheme="minorHAnsi" w:cstheme="minorBidi"/>
          <w:kern w:val="2"/>
          <w:sz w:val="24"/>
          <w:szCs w:val="24"/>
          <w14:ligatures w14:val="standardContextual"/>
        </w:rPr>
      </w:pPr>
      <w:r>
        <w:t>5.17.5.3</w:t>
      </w:r>
      <w:r>
        <w:rPr>
          <w:rFonts w:asciiTheme="minorHAnsi" w:eastAsiaTheme="minorEastAsia" w:hAnsiTheme="minorHAnsi" w:cstheme="minorBidi"/>
          <w:kern w:val="2"/>
          <w:sz w:val="24"/>
          <w:szCs w:val="24"/>
          <w14:ligatures w14:val="standardContextual"/>
        </w:rPr>
        <w:tab/>
      </w:r>
      <w:r>
        <w:t>Availability or expected level of a service API</w:t>
      </w:r>
      <w:r>
        <w:tab/>
      </w:r>
      <w:r>
        <w:fldChar w:fldCharType="begin" w:fldLock="1"/>
      </w:r>
      <w:r>
        <w:instrText xml:space="preserve"> PAGEREF _Toc201157377 \h </w:instrText>
      </w:r>
      <w:r>
        <w:fldChar w:fldCharType="separate"/>
      </w:r>
      <w:r>
        <w:t>325</w:t>
      </w:r>
      <w:r>
        <w:fldChar w:fldCharType="end"/>
      </w:r>
    </w:p>
    <w:p w14:paraId="57B875E4" w14:textId="5349904D" w:rsidR="006C1B74" w:rsidRDefault="006C1B74">
      <w:pPr>
        <w:pStyle w:val="TOC3"/>
        <w:rPr>
          <w:rFonts w:asciiTheme="minorHAnsi" w:eastAsiaTheme="minorEastAsia" w:hAnsiTheme="minorHAnsi" w:cstheme="minorBidi"/>
          <w:kern w:val="2"/>
          <w:sz w:val="24"/>
          <w:szCs w:val="24"/>
          <w14:ligatures w14:val="standardContextual"/>
        </w:rPr>
      </w:pPr>
      <w:r>
        <w:t>5.17.6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_Toc201157378 \h </w:instrText>
      </w:r>
      <w:r>
        <w:fldChar w:fldCharType="separate"/>
      </w:r>
      <w:r>
        <w:t>326</w:t>
      </w:r>
      <w:r>
        <w:fldChar w:fldCharType="end"/>
      </w:r>
    </w:p>
    <w:p w14:paraId="5A8F8FEE" w14:textId="2194B506" w:rsidR="006C1B74" w:rsidRDefault="006C1B74">
      <w:pPr>
        <w:pStyle w:val="TOC3"/>
        <w:rPr>
          <w:rFonts w:asciiTheme="minorHAnsi" w:eastAsiaTheme="minorEastAsia" w:hAnsiTheme="minorHAnsi" w:cstheme="minorBidi"/>
          <w:kern w:val="2"/>
          <w:sz w:val="24"/>
          <w:szCs w:val="24"/>
          <w14:ligatures w14:val="standardContextual"/>
        </w:rPr>
      </w:pPr>
      <w:r>
        <w:t>5.17.7</w:t>
      </w:r>
      <w:r>
        <w:rPr>
          <w:rFonts w:asciiTheme="minorHAnsi" w:eastAsiaTheme="minorEastAsia" w:hAnsiTheme="minorHAnsi" w:cstheme="minorBidi"/>
          <w:kern w:val="2"/>
          <w:sz w:val="24"/>
          <w:szCs w:val="24"/>
          <w14:ligatures w14:val="standardContextual"/>
        </w:rPr>
        <w:tab/>
      </w:r>
      <w:r>
        <w:t>Configuration Transfer Procedure between NG-RAN and E-UTRAN</w:t>
      </w:r>
      <w:r>
        <w:tab/>
      </w:r>
      <w:r>
        <w:fldChar w:fldCharType="begin" w:fldLock="1"/>
      </w:r>
      <w:r>
        <w:instrText xml:space="preserve"> PAGEREF _Toc201157379 \h </w:instrText>
      </w:r>
      <w:r>
        <w:fldChar w:fldCharType="separate"/>
      </w:r>
      <w:r>
        <w:t>326</w:t>
      </w:r>
      <w:r>
        <w:fldChar w:fldCharType="end"/>
      </w:r>
    </w:p>
    <w:p w14:paraId="50919113" w14:textId="3B13EEE4" w:rsidR="006C1B74" w:rsidRDefault="006C1B74">
      <w:pPr>
        <w:pStyle w:val="TOC4"/>
        <w:rPr>
          <w:rFonts w:asciiTheme="minorHAnsi" w:eastAsiaTheme="minorEastAsia" w:hAnsiTheme="minorHAnsi" w:cstheme="minorBidi"/>
          <w:kern w:val="2"/>
          <w:sz w:val="24"/>
          <w:szCs w:val="24"/>
          <w14:ligatures w14:val="standardContextual"/>
        </w:rPr>
      </w:pPr>
      <w:r>
        <w:t>5.17.7.1</w:t>
      </w:r>
      <w:r>
        <w:rPr>
          <w:rFonts w:asciiTheme="minorHAnsi" w:eastAsiaTheme="minorEastAsia" w:hAnsiTheme="minorHAnsi" w:cstheme="minorBidi"/>
          <w:kern w:val="2"/>
          <w:sz w:val="24"/>
          <w:szCs w:val="24"/>
          <w14:ligatures w14:val="standardContextual"/>
        </w:rPr>
        <w:tab/>
      </w:r>
      <w:r>
        <w:t>Architecture Principles for Configuration Transfer between NG-RAN and E-UTRAN</w:t>
      </w:r>
      <w:r>
        <w:tab/>
      </w:r>
      <w:r>
        <w:fldChar w:fldCharType="begin" w:fldLock="1"/>
      </w:r>
      <w:r>
        <w:instrText xml:space="preserve"> PAGEREF _Toc201157380 \h </w:instrText>
      </w:r>
      <w:r>
        <w:fldChar w:fldCharType="separate"/>
      </w:r>
      <w:r>
        <w:t>326</w:t>
      </w:r>
      <w:r>
        <w:fldChar w:fldCharType="end"/>
      </w:r>
    </w:p>
    <w:p w14:paraId="7B776A27" w14:textId="0086BB90" w:rsidR="006C1B74" w:rsidRDefault="006C1B74">
      <w:pPr>
        <w:pStyle w:val="TOC4"/>
        <w:rPr>
          <w:rFonts w:asciiTheme="minorHAnsi" w:eastAsiaTheme="minorEastAsia" w:hAnsiTheme="minorHAnsi" w:cstheme="minorBidi"/>
          <w:kern w:val="2"/>
          <w:sz w:val="24"/>
          <w:szCs w:val="24"/>
          <w14:ligatures w14:val="standardContextual"/>
        </w:rPr>
      </w:pPr>
      <w:r>
        <w:t>5.17.7.2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fldLock="1"/>
      </w:r>
      <w:r>
        <w:instrText xml:space="preserve"> PAGEREF _Toc201157381 \h </w:instrText>
      </w:r>
      <w:r>
        <w:fldChar w:fldCharType="separate"/>
      </w:r>
      <w:r>
        <w:t>327</w:t>
      </w:r>
      <w:r>
        <w:fldChar w:fldCharType="end"/>
      </w:r>
    </w:p>
    <w:p w14:paraId="2F305BB8" w14:textId="15ABBEFF" w:rsidR="006C1B74" w:rsidRDefault="006C1B74">
      <w:pPr>
        <w:pStyle w:val="TOC5"/>
        <w:rPr>
          <w:rFonts w:asciiTheme="minorHAnsi" w:eastAsiaTheme="minorEastAsia" w:hAnsiTheme="minorHAnsi" w:cstheme="minorBidi"/>
          <w:kern w:val="2"/>
          <w:sz w:val="24"/>
          <w:szCs w:val="24"/>
          <w14:ligatures w14:val="standardContextual"/>
        </w:rPr>
      </w:pPr>
      <w:r>
        <w:t>5.17.7.2.1</w:t>
      </w:r>
      <w:r>
        <w:rPr>
          <w:rFonts w:asciiTheme="minorHAnsi" w:eastAsiaTheme="minorEastAsia" w:hAnsiTheme="minorHAnsi" w:cstheme="minorBidi"/>
          <w:kern w:val="2"/>
          <w:sz w:val="24"/>
          <w:szCs w:val="24"/>
          <w14:ligatures w14:val="standardContextual"/>
        </w:rPr>
        <w:tab/>
      </w:r>
      <w:r>
        <w:t>Addressing</w:t>
      </w:r>
      <w:r>
        <w:tab/>
      </w:r>
      <w:r>
        <w:fldChar w:fldCharType="begin" w:fldLock="1"/>
      </w:r>
      <w:r>
        <w:instrText xml:space="preserve"> PAGEREF _Toc201157382 \h </w:instrText>
      </w:r>
      <w:r>
        <w:fldChar w:fldCharType="separate"/>
      </w:r>
      <w:r>
        <w:t>327</w:t>
      </w:r>
      <w:r>
        <w:fldChar w:fldCharType="end"/>
      </w:r>
    </w:p>
    <w:p w14:paraId="6D3B7DEE" w14:textId="077C498E" w:rsidR="006C1B74" w:rsidRDefault="006C1B74">
      <w:pPr>
        <w:pStyle w:val="TOC5"/>
        <w:rPr>
          <w:rFonts w:asciiTheme="minorHAnsi" w:eastAsiaTheme="minorEastAsia" w:hAnsiTheme="minorHAnsi" w:cstheme="minorBidi"/>
          <w:kern w:val="2"/>
          <w:sz w:val="24"/>
          <w:szCs w:val="24"/>
          <w14:ligatures w14:val="standardContextual"/>
        </w:rPr>
      </w:pPr>
      <w:r>
        <w:t>5.17.7.2.2</w:t>
      </w:r>
      <w:r>
        <w:rPr>
          <w:rFonts w:asciiTheme="minorHAnsi" w:eastAsiaTheme="minorEastAsia" w:hAnsiTheme="minorHAnsi" w:cstheme="minorBidi"/>
          <w:kern w:val="2"/>
          <w:sz w:val="24"/>
          <w:szCs w:val="24"/>
          <w14:ligatures w14:val="standardContextual"/>
        </w:rPr>
        <w:tab/>
      </w:r>
      <w:r>
        <w:t>Routing</w:t>
      </w:r>
      <w:r>
        <w:tab/>
      </w:r>
      <w:r>
        <w:fldChar w:fldCharType="begin" w:fldLock="1"/>
      </w:r>
      <w:r>
        <w:instrText xml:space="preserve"> PAGEREF _Toc201157383 \h </w:instrText>
      </w:r>
      <w:r>
        <w:fldChar w:fldCharType="separate"/>
      </w:r>
      <w:r>
        <w:t>327</w:t>
      </w:r>
      <w:r>
        <w:fldChar w:fldCharType="end"/>
      </w:r>
    </w:p>
    <w:p w14:paraId="1E5AF65E" w14:textId="172E2BCB" w:rsidR="006C1B74" w:rsidRDefault="006C1B74">
      <w:pPr>
        <w:pStyle w:val="TOC5"/>
        <w:rPr>
          <w:rFonts w:asciiTheme="minorHAnsi" w:eastAsiaTheme="minorEastAsia" w:hAnsiTheme="minorHAnsi" w:cstheme="minorBidi"/>
          <w:kern w:val="2"/>
          <w:sz w:val="24"/>
          <w:szCs w:val="24"/>
          <w14:ligatures w14:val="standardContextual"/>
        </w:rPr>
      </w:pPr>
      <w:r>
        <w:t>5.17.7.2.3</w:t>
      </w:r>
      <w:r>
        <w:rPr>
          <w:rFonts w:asciiTheme="minorHAnsi" w:eastAsiaTheme="minorEastAsia" w:hAnsiTheme="minorHAnsi" w:cstheme="minorBidi"/>
          <w:kern w:val="2"/>
          <w:sz w:val="24"/>
          <w:szCs w:val="24"/>
          <w14:ligatures w14:val="standardContextual"/>
        </w:rPr>
        <w:tab/>
      </w:r>
      <w:r>
        <w:t>Relaying</w:t>
      </w:r>
      <w:r>
        <w:tab/>
      </w:r>
      <w:r>
        <w:fldChar w:fldCharType="begin" w:fldLock="1"/>
      </w:r>
      <w:r>
        <w:instrText xml:space="preserve"> PAGEREF _Toc201157384 \h </w:instrText>
      </w:r>
      <w:r>
        <w:fldChar w:fldCharType="separate"/>
      </w:r>
      <w:r>
        <w:t>328</w:t>
      </w:r>
      <w:r>
        <w:fldChar w:fldCharType="end"/>
      </w:r>
    </w:p>
    <w:p w14:paraId="22AA4500" w14:textId="5360BB63" w:rsidR="006C1B74" w:rsidRDefault="006C1B74">
      <w:pPr>
        <w:pStyle w:val="TOC3"/>
        <w:rPr>
          <w:rFonts w:asciiTheme="minorHAnsi" w:eastAsiaTheme="minorEastAsia" w:hAnsiTheme="minorHAnsi" w:cstheme="minorBidi"/>
          <w:kern w:val="2"/>
          <w:sz w:val="24"/>
          <w:szCs w:val="24"/>
          <w14:ligatures w14:val="standardContextual"/>
        </w:rPr>
      </w:pPr>
      <w:r>
        <w:t>5.17.8</w:t>
      </w:r>
      <w:r>
        <w:rPr>
          <w:rFonts w:asciiTheme="minorHAnsi" w:eastAsiaTheme="minorEastAsia" w:hAnsiTheme="minorHAnsi" w:cstheme="minorBidi"/>
          <w:kern w:val="2"/>
          <w:sz w:val="24"/>
          <w:szCs w:val="24"/>
          <w14:ligatures w14:val="standardContextual"/>
        </w:rPr>
        <w:tab/>
      </w:r>
      <w:r>
        <w:t>URSP Provisioning in EPS</w:t>
      </w:r>
      <w:r>
        <w:tab/>
      </w:r>
      <w:r>
        <w:fldChar w:fldCharType="begin" w:fldLock="1"/>
      </w:r>
      <w:r>
        <w:instrText xml:space="preserve"> PAGEREF _Toc201157385 \h </w:instrText>
      </w:r>
      <w:r>
        <w:fldChar w:fldCharType="separate"/>
      </w:r>
      <w:r>
        <w:t>328</w:t>
      </w:r>
      <w:r>
        <w:fldChar w:fldCharType="end"/>
      </w:r>
    </w:p>
    <w:p w14:paraId="7925C419" w14:textId="77D55F54" w:rsidR="006C1B74" w:rsidRDefault="006C1B74">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Network Sharing</w:t>
      </w:r>
      <w:r>
        <w:tab/>
      </w:r>
      <w:r>
        <w:fldChar w:fldCharType="begin" w:fldLock="1"/>
      </w:r>
      <w:r>
        <w:instrText xml:space="preserve"> PAGEREF _Toc201157386 \h </w:instrText>
      </w:r>
      <w:r>
        <w:fldChar w:fldCharType="separate"/>
      </w:r>
      <w:r>
        <w:t>330</w:t>
      </w:r>
      <w:r>
        <w:fldChar w:fldCharType="end"/>
      </w:r>
    </w:p>
    <w:p w14:paraId="38E0EEA4" w14:textId="47461477" w:rsidR="006C1B74" w:rsidRDefault="006C1B74">
      <w:pPr>
        <w:pStyle w:val="TOC3"/>
        <w:rPr>
          <w:rFonts w:asciiTheme="minorHAnsi" w:eastAsiaTheme="minorEastAsia" w:hAnsiTheme="minorHAnsi" w:cstheme="minorBidi"/>
          <w:kern w:val="2"/>
          <w:sz w:val="24"/>
          <w:szCs w:val="24"/>
          <w14:ligatures w14:val="standardContextual"/>
        </w:rPr>
      </w:pPr>
      <w:r>
        <w:t>5.</w:t>
      </w:r>
      <w:r>
        <w:rPr>
          <w:lang w:eastAsia="zh-CN"/>
        </w:rPr>
        <w:t>1</w:t>
      </w:r>
      <w:r>
        <w:t>8.1</w:t>
      </w:r>
      <w:r>
        <w:rPr>
          <w:rFonts w:asciiTheme="minorHAnsi" w:eastAsiaTheme="minorEastAsia" w:hAnsiTheme="minorHAnsi" w:cstheme="minorBidi"/>
          <w:kern w:val="2"/>
          <w:sz w:val="24"/>
          <w:szCs w:val="24"/>
          <w14:ligatures w14:val="standardContextual"/>
        </w:rPr>
        <w:tab/>
      </w:r>
      <w:r>
        <w:t>General concepts</w:t>
      </w:r>
      <w:r>
        <w:tab/>
      </w:r>
      <w:r>
        <w:fldChar w:fldCharType="begin" w:fldLock="1"/>
      </w:r>
      <w:r>
        <w:instrText xml:space="preserve"> PAGEREF _Toc201157387 \h </w:instrText>
      </w:r>
      <w:r>
        <w:fldChar w:fldCharType="separate"/>
      </w:r>
      <w:r>
        <w:t>330</w:t>
      </w:r>
      <w:r>
        <w:fldChar w:fldCharType="end"/>
      </w:r>
    </w:p>
    <w:p w14:paraId="282FD149" w14:textId="60D6EA38" w:rsidR="006C1B74" w:rsidRDefault="006C1B74">
      <w:pPr>
        <w:pStyle w:val="TOC3"/>
        <w:rPr>
          <w:rFonts w:asciiTheme="minorHAnsi" w:eastAsiaTheme="minorEastAsia" w:hAnsiTheme="minorHAnsi" w:cstheme="minorBidi"/>
          <w:kern w:val="2"/>
          <w:sz w:val="24"/>
          <w:szCs w:val="24"/>
          <w14:ligatures w14:val="standardContextual"/>
        </w:rPr>
      </w:pPr>
      <w:r>
        <w:t>5.18.2</w:t>
      </w:r>
      <w:r>
        <w:rPr>
          <w:rFonts w:asciiTheme="minorHAnsi" w:eastAsiaTheme="minorEastAsia" w:hAnsiTheme="minorHAnsi" w:cstheme="minorBidi"/>
          <w:kern w:val="2"/>
          <w:sz w:val="24"/>
          <w:szCs w:val="24"/>
          <w14:ligatures w14:val="standardContextual"/>
        </w:rPr>
        <w:tab/>
      </w:r>
      <w:r>
        <w:t>Broadcast system information for network sharing</w:t>
      </w:r>
      <w:r>
        <w:tab/>
      </w:r>
      <w:r>
        <w:fldChar w:fldCharType="begin" w:fldLock="1"/>
      </w:r>
      <w:r>
        <w:instrText xml:space="preserve"> PAGEREF _Toc201157388 \h </w:instrText>
      </w:r>
      <w:r>
        <w:fldChar w:fldCharType="separate"/>
      </w:r>
      <w:r>
        <w:t>331</w:t>
      </w:r>
      <w:r>
        <w:fldChar w:fldCharType="end"/>
      </w:r>
    </w:p>
    <w:p w14:paraId="4D7CB0D7" w14:textId="17BB3AD6" w:rsidR="006C1B74" w:rsidRDefault="006C1B74">
      <w:pPr>
        <w:pStyle w:val="TOC3"/>
        <w:rPr>
          <w:rFonts w:asciiTheme="minorHAnsi" w:eastAsiaTheme="minorEastAsia" w:hAnsiTheme="minorHAnsi" w:cstheme="minorBidi"/>
          <w:kern w:val="2"/>
          <w:sz w:val="24"/>
          <w:szCs w:val="24"/>
          <w14:ligatures w14:val="standardContextual"/>
        </w:rPr>
      </w:pPr>
      <w:r w:rsidRPr="00191652">
        <w:rPr>
          <w:rFonts w:eastAsia="MS Mincho"/>
        </w:rPr>
        <w:t>5.18.2a</w:t>
      </w:r>
      <w:r>
        <w:rPr>
          <w:rFonts w:asciiTheme="minorHAnsi" w:eastAsiaTheme="minorEastAsia" w:hAnsiTheme="minorHAnsi" w:cstheme="minorBidi"/>
          <w:kern w:val="2"/>
          <w:sz w:val="24"/>
          <w:szCs w:val="24"/>
          <w14:ligatures w14:val="standardContextual"/>
        </w:rPr>
        <w:tab/>
      </w:r>
      <w:r w:rsidRPr="00191652">
        <w:rPr>
          <w:rFonts w:eastAsia="MS Mincho"/>
        </w:rPr>
        <w:t>PLMN list and SNPN list handling for network sharing</w:t>
      </w:r>
      <w:r>
        <w:tab/>
      </w:r>
      <w:r>
        <w:fldChar w:fldCharType="begin" w:fldLock="1"/>
      </w:r>
      <w:r>
        <w:instrText xml:space="preserve"> PAGEREF _Toc201157389 \h </w:instrText>
      </w:r>
      <w:r>
        <w:fldChar w:fldCharType="separate"/>
      </w:r>
      <w:r>
        <w:t>331</w:t>
      </w:r>
      <w:r>
        <w:fldChar w:fldCharType="end"/>
      </w:r>
    </w:p>
    <w:p w14:paraId="43990158" w14:textId="513B2107" w:rsidR="006C1B74" w:rsidRDefault="006C1B74">
      <w:pPr>
        <w:pStyle w:val="TOC3"/>
        <w:rPr>
          <w:rFonts w:asciiTheme="minorHAnsi" w:eastAsiaTheme="minorEastAsia" w:hAnsiTheme="minorHAnsi" w:cstheme="minorBidi"/>
          <w:kern w:val="2"/>
          <w:sz w:val="24"/>
          <w:szCs w:val="24"/>
          <w14:ligatures w14:val="standardContextual"/>
        </w:rPr>
      </w:pPr>
      <w:r w:rsidRPr="00191652">
        <w:rPr>
          <w:rFonts w:eastAsia="MS Mincho"/>
        </w:rPr>
        <w:t>5.18.3</w:t>
      </w:r>
      <w:r>
        <w:rPr>
          <w:rFonts w:asciiTheme="minorHAnsi" w:eastAsiaTheme="minorEastAsia" w:hAnsiTheme="minorHAnsi" w:cstheme="minorBidi"/>
          <w:kern w:val="2"/>
          <w:sz w:val="24"/>
          <w:szCs w:val="24"/>
          <w14:ligatures w14:val="standardContextual"/>
        </w:rPr>
        <w:tab/>
      </w:r>
      <w:r w:rsidRPr="00191652">
        <w:rPr>
          <w:rFonts w:eastAsia="MS Mincho"/>
        </w:rPr>
        <w:t>Network selection by the UE</w:t>
      </w:r>
      <w:r>
        <w:tab/>
      </w:r>
      <w:r>
        <w:fldChar w:fldCharType="begin" w:fldLock="1"/>
      </w:r>
      <w:r>
        <w:instrText xml:space="preserve"> PAGEREF _Toc201157390 \h </w:instrText>
      </w:r>
      <w:r>
        <w:fldChar w:fldCharType="separate"/>
      </w:r>
      <w:r>
        <w:t>331</w:t>
      </w:r>
      <w:r>
        <w:fldChar w:fldCharType="end"/>
      </w:r>
    </w:p>
    <w:p w14:paraId="5FD5739E" w14:textId="7B8E5FB4" w:rsidR="006C1B74" w:rsidRDefault="006C1B74">
      <w:pPr>
        <w:pStyle w:val="TOC3"/>
        <w:rPr>
          <w:rFonts w:asciiTheme="minorHAnsi" w:eastAsiaTheme="minorEastAsia" w:hAnsiTheme="minorHAnsi" w:cstheme="minorBidi"/>
          <w:kern w:val="2"/>
          <w:sz w:val="24"/>
          <w:szCs w:val="24"/>
          <w14:ligatures w14:val="standardContextual"/>
        </w:rPr>
      </w:pPr>
      <w:r>
        <w:t>5.18.4</w:t>
      </w:r>
      <w:r>
        <w:rPr>
          <w:rFonts w:asciiTheme="minorHAnsi" w:eastAsiaTheme="minorEastAsia" w:hAnsiTheme="minorHAnsi" w:cstheme="minorBidi"/>
          <w:kern w:val="2"/>
          <w:sz w:val="24"/>
          <w:szCs w:val="24"/>
          <w14:ligatures w14:val="standardContextual"/>
        </w:rPr>
        <w:tab/>
      </w:r>
      <w:r>
        <w:t>Network selection by the network</w:t>
      </w:r>
      <w:r>
        <w:tab/>
      </w:r>
      <w:r>
        <w:fldChar w:fldCharType="begin" w:fldLock="1"/>
      </w:r>
      <w:r>
        <w:instrText xml:space="preserve"> PAGEREF _Toc201157391 \h </w:instrText>
      </w:r>
      <w:r>
        <w:fldChar w:fldCharType="separate"/>
      </w:r>
      <w:r>
        <w:t>332</w:t>
      </w:r>
      <w:r>
        <w:fldChar w:fldCharType="end"/>
      </w:r>
    </w:p>
    <w:p w14:paraId="1AC16EC2" w14:textId="6474D77F" w:rsidR="006C1B74" w:rsidRDefault="006C1B74">
      <w:pPr>
        <w:pStyle w:val="TOC3"/>
        <w:rPr>
          <w:rFonts w:asciiTheme="minorHAnsi" w:eastAsiaTheme="minorEastAsia" w:hAnsiTheme="minorHAnsi" w:cstheme="minorBidi"/>
          <w:kern w:val="2"/>
          <w:sz w:val="24"/>
          <w:szCs w:val="24"/>
          <w14:ligatures w14:val="standardContextual"/>
        </w:rPr>
      </w:pPr>
      <w:r>
        <w:t>5.18.5</w:t>
      </w:r>
      <w:r>
        <w:rPr>
          <w:rFonts w:asciiTheme="minorHAnsi" w:eastAsiaTheme="minorEastAsia" w:hAnsiTheme="minorHAnsi" w:cstheme="minorBidi"/>
          <w:kern w:val="2"/>
          <w:sz w:val="24"/>
          <w:szCs w:val="24"/>
          <w14:ligatures w14:val="standardContextual"/>
        </w:rPr>
        <w:tab/>
      </w:r>
      <w:r>
        <w:t>Network Sharing and Network Slicing</w:t>
      </w:r>
      <w:r>
        <w:tab/>
      </w:r>
      <w:r>
        <w:fldChar w:fldCharType="begin" w:fldLock="1"/>
      </w:r>
      <w:r>
        <w:instrText xml:space="preserve"> PAGEREF _Toc201157392 \h </w:instrText>
      </w:r>
      <w:r>
        <w:fldChar w:fldCharType="separate"/>
      </w:r>
      <w:r>
        <w:t>333</w:t>
      </w:r>
      <w:r>
        <w:fldChar w:fldCharType="end"/>
      </w:r>
    </w:p>
    <w:p w14:paraId="09C2D3B5" w14:textId="1A78BF51" w:rsidR="006C1B74" w:rsidRDefault="006C1B74">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Control Plane Load Control, Congestion and Overload Control</w:t>
      </w:r>
      <w:r>
        <w:tab/>
      </w:r>
      <w:r>
        <w:fldChar w:fldCharType="begin" w:fldLock="1"/>
      </w:r>
      <w:r>
        <w:instrText xml:space="preserve"> PAGEREF _Toc201157393 \h </w:instrText>
      </w:r>
      <w:r>
        <w:fldChar w:fldCharType="separate"/>
      </w:r>
      <w:r>
        <w:t>333</w:t>
      </w:r>
      <w:r>
        <w:fldChar w:fldCharType="end"/>
      </w:r>
    </w:p>
    <w:p w14:paraId="12408852" w14:textId="6D7160DA" w:rsidR="006C1B74" w:rsidRDefault="006C1B74">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_Toc201157394 \h </w:instrText>
      </w:r>
      <w:r>
        <w:fldChar w:fldCharType="separate"/>
      </w:r>
      <w:r>
        <w:t>333</w:t>
      </w:r>
      <w:r>
        <w:fldChar w:fldCharType="end"/>
      </w:r>
    </w:p>
    <w:p w14:paraId="50BA62CB" w14:textId="198E2DD5" w:rsidR="006C1B74" w:rsidRDefault="006C1B74">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TNLA Load Balancing and TNLA Load Re-Balancing</w:t>
      </w:r>
      <w:r>
        <w:tab/>
      </w:r>
      <w:r>
        <w:fldChar w:fldCharType="begin" w:fldLock="1"/>
      </w:r>
      <w:r>
        <w:instrText xml:space="preserve"> PAGEREF _Toc201157395 \h </w:instrText>
      </w:r>
      <w:r>
        <w:fldChar w:fldCharType="separate"/>
      </w:r>
      <w:r>
        <w:t>333</w:t>
      </w:r>
      <w:r>
        <w:fldChar w:fldCharType="end"/>
      </w:r>
    </w:p>
    <w:p w14:paraId="196CD7A5" w14:textId="2A89C1CE" w:rsidR="006C1B74" w:rsidRDefault="006C1B74">
      <w:pPr>
        <w:pStyle w:val="TOC3"/>
        <w:rPr>
          <w:rFonts w:asciiTheme="minorHAnsi" w:eastAsiaTheme="minorEastAsia" w:hAnsiTheme="minorHAnsi" w:cstheme="minorBidi"/>
          <w:kern w:val="2"/>
          <w:sz w:val="24"/>
          <w:szCs w:val="24"/>
          <w14:ligatures w14:val="standardContextual"/>
        </w:rPr>
      </w:pPr>
      <w:r>
        <w:t>5.19.3</w:t>
      </w:r>
      <w:r>
        <w:rPr>
          <w:rFonts w:asciiTheme="minorHAnsi" w:eastAsiaTheme="minorEastAsia" w:hAnsiTheme="minorHAnsi" w:cstheme="minorBidi"/>
          <w:kern w:val="2"/>
          <w:sz w:val="24"/>
          <w:szCs w:val="24"/>
          <w14:ligatures w14:val="standardContextual"/>
        </w:rPr>
        <w:tab/>
      </w:r>
      <w:r>
        <w:t>AMF Load Balancing</w:t>
      </w:r>
      <w:r>
        <w:tab/>
      </w:r>
      <w:r>
        <w:fldChar w:fldCharType="begin" w:fldLock="1"/>
      </w:r>
      <w:r>
        <w:instrText xml:space="preserve"> PAGEREF _Toc201157396 \h </w:instrText>
      </w:r>
      <w:r>
        <w:fldChar w:fldCharType="separate"/>
      </w:r>
      <w:r>
        <w:t>333</w:t>
      </w:r>
      <w:r>
        <w:fldChar w:fldCharType="end"/>
      </w:r>
    </w:p>
    <w:p w14:paraId="7F999CDE" w14:textId="2B432C80" w:rsidR="006C1B74" w:rsidRDefault="006C1B74">
      <w:pPr>
        <w:pStyle w:val="TOC3"/>
        <w:rPr>
          <w:rFonts w:asciiTheme="minorHAnsi" w:eastAsiaTheme="minorEastAsia" w:hAnsiTheme="minorHAnsi" w:cstheme="minorBidi"/>
          <w:kern w:val="2"/>
          <w:sz w:val="24"/>
          <w:szCs w:val="24"/>
          <w14:ligatures w14:val="standardContextual"/>
        </w:rPr>
      </w:pPr>
      <w:r>
        <w:t>5.19.4</w:t>
      </w:r>
      <w:r>
        <w:rPr>
          <w:rFonts w:asciiTheme="minorHAnsi" w:eastAsiaTheme="minorEastAsia" w:hAnsiTheme="minorHAnsi" w:cstheme="minorBidi"/>
          <w:kern w:val="2"/>
          <w:sz w:val="24"/>
          <w:szCs w:val="24"/>
          <w14:ligatures w14:val="standardContextual"/>
        </w:rPr>
        <w:tab/>
      </w:r>
      <w:r>
        <w:t>AMF Load Re-Balancing</w:t>
      </w:r>
      <w:r>
        <w:tab/>
      </w:r>
      <w:r>
        <w:fldChar w:fldCharType="begin" w:fldLock="1"/>
      </w:r>
      <w:r>
        <w:instrText xml:space="preserve"> PAGEREF _Toc201157397 \h </w:instrText>
      </w:r>
      <w:r>
        <w:fldChar w:fldCharType="separate"/>
      </w:r>
      <w:r>
        <w:t>333</w:t>
      </w:r>
      <w:r>
        <w:fldChar w:fldCharType="end"/>
      </w:r>
    </w:p>
    <w:p w14:paraId="4323FF3D" w14:textId="7A728088" w:rsidR="006C1B74" w:rsidRDefault="006C1B74">
      <w:pPr>
        <w:pStyle w:val="TOC3"/>
        <w:rPr>
          <w:rFonts w:asciiTheme="minorHAnsi" w:eastAsiaTheme="minorEastAsia" w:hAnsiTheme="minorHAnsi" w:cstheme="minorBidi"/>
          <w:kern w:val="2"/>
          <w:sz w:val="24"/>
          <w:szCs w:val="24"/>
          <w14:ligatures w14:val="standardContextual"/>
        </w:rPr>
      </w:pPr>
      <w:r>
        <w:t>5.19.5</w:t>
      </w:r>
      <w:r>
        <w:rPr>
          <w:rFonts w:asciiTheme="minorHAnsi" w:eastAsiaTheme="minorEastAsia" w:hAnsiTheme="minorHAnsi" w:cstheme="minorBidi"/>
          <w:kern w:val="2"/>
          <w:sz w:val="24"/>
          <w:szCs w:val="24"/>
          <w14:ligatures w14:val="standardContextual"/>
        </w:rPr>
        <w:tab/>
      </w:r>
      <w:r>
        <w:t>AMF Control Of Overload</w:t>
      </w:r>
      <w:r>
        <w:tab/>
      </w:r>
      <w:r>
        <w:fldChar w:fldCharType="begin" w:fldLock="1"/>
      </w:r>
      <w:r>
        <w:instrText xml:space="preserve"> PAGEREF _Toc201157398 \h </w:instrText>
      </w:r>
      <w:r>
        <w:fldChar w:fldCharType="separate"/>
      </w:r>
      <w:r>
        <w:t>334</w:t>
      </w:r>
      <w:r>
        <w:fldChar w:fldCharType="end"/>
      </w:r>
    </w:p>
    <w:p w14:paraId="5703941C" w14:textId="4352C0F7" w:rsidR="006C1B74" w:rsidRDefault="006C1B74">
      <w:pPr>
        <w:pStyle w:val="TOC4"/>
        <w:rPr>
          <w:rFonts w:asciiTheme="minorHAnsi" w:eastAsiaTheme="minorEastAsia" w:hAnsiTheme="minorHAnsi" w:cstheme="minorBidi"/>
          <w:kern w:val="2"/>
          <w:sz w:val="24"/>
          <w:szCs w:val="24"/>
          <w14:ligatures w14:val="standardContextual"/>
        </w:rPr>
      </w:pPr>
      <w:r>
        <w:rPr>
          <w:lang w:eastAsia="ja-JP"/>
        </w:rPr>
        <w:t>5.19.5.1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_Toc201157399 \h </w:instrText>
      </w:r>
      <w:r>
        <w:fldChar w:fldCharType="separate"/>
      </w:r>
      <w:r>
        <w:t>334</w:t>
      </w:r>
      <w:r>
        <w:fldChar w:fldCharType="end"/>
      </w:r>
    </w:p>
    <w:p w14:paraId="3F55E4EB" w14:textId="7091693B" w:rsidR="006C1B74" w:rsidRDefault="006C1B74">
      <w:pPr>
        <w:pStyle w:val="TOC4"/>
        <w:rPr>
          <w:rFonts w:asciiTheme="minorHAnsi" w:eastAsiaTheme="minorEastAsia" w:hAnsiTheme="minorHAnsi" w:cstheme="minorBidi"/>
          <w:kern w:val="2"/>
          <w:sz w:val="24"/>
          <w:szCs w:val="24"/>
          <w14:ligatures w14:val="standardContextual"/>
        </w:rPr>
      </w:pPr>
      <w:r>
        <w:t>5.19.5.2</w:t>
      </w:r>
      <w:r>
        <w:rPr>
          <w:rFonts w:asciiTheme="minorHAnsi" w:eastAsiaTheme="minorEastAsia" w:hAnsiTheme="minorHAnsi" w:cstheme="minorBidi"/>
          <w:kern w:val="2"/>
          <w:sz w:val="24"/>
          <w:szCs w:val="24"/>
          <w14:ligatures w14:val="standardContextual"/>
        </w:rPr>
        <w:tab/>
      </w:r>
      <w:r>
        <w:t>AMF Overload Control</w:t>
      </w:r>
      <w:r>
        <w:tab/>
      </w:r>
      <w:r>
        <w:fldChar w:fldCharType="begin" w:fldLock="1"/>
      </w:r>
      <w:r>
        <w:instrText xml:space="preserve"> PAGEREF _Toc201157400 \h </w:instrText>
      </w:r>
      <w:r>
        <w:fldChar w:fldCharType="separate"/>
      </w:r>
      <w:r>
        <w:t>334</w:t>
      </w:r>
      <w:r>
        <w:fldChar w:fldCharType="end"/>
      </w:r>
    </w:p>
    <w:p w14:paraId="5D3BD0AE" w14:textId="12B11821" w:rsidR="006C1B74" w:rsidRDefault="006C1B74">
      <w:pPr>
        <w:pStyle w:val="TOC3"/>
        <w:rPr>
          <w:rFonts w:asciiTheme="minorHAnsi" w:eastAsiaTheme="minorEastAsia" w:hAnsiTheme="minorHAnsi" w:cstheme="minorBidi"/>
          <w:kern w:val="2"/>
          <w:sz w:val="24"/>
          <w:szCs w:val="24"/>
          <w14:ligatures w14:val="standardContextual"/>
        </w:rPr>
      </w:pPr>
      <w:r>
        <w:t>5.19.6</w:t>
      </w:r>
      <w:r>
        <w:rPr>
          <w:rFonts w:asciiTheme="minorHAnsi" w:eastAsiaTheme="minorEastAsia" w:hAnsiTheme="minorHAnsi" w:cstheme="minorBidi"/>
          <w:kern w:val="2"/>
          <w:sz w:val="24"/>
          <w:szCs w:val="24"/>
          <w14:ligatures w14:val="standardContextual"/>
        </w:rPr>
        <w:tab/>
      </w:r>
      <w:r>
        <w:t>SMF Overload Control</w:t>
      </w:r>
      <w:r>
        <w:tab/>
      </w:r>
      <w:r>
        <w:fldChar w:fldCharType="begin" w:fldLock="1"/>
      </w:r>
      <w:r>
        <w:instrText xml:space="preserve"> PAGEREF _Toc201157401 \h </w:instrText>
      </w:r>
      <w:r>
        <w:fldChar w:fldCharType="separate"/>
      </w:r>
      <w:r>
        <w:t>335</w:t>
      </w:r>
      <w:r>
        <w:fldChar w:fldCharType="end"/>
      </w:r>
    </w:p>
    <w:p w14:paraId="5AC17DB9" w14:textId="291B900B" w:rsidR="006C1B74" w:rsidRDefault="006C1B74">
      <w:pPr>
        <w:pStyle w:val="TOC3"/>
        <w:rPr>
          <w:rFonts w:asciiTheme="minorHAnsi" w:eastAsiaTheme="minorEastAsia" w:hAnsiTheme="minorHAnsi" w:cstheme="minorBidi"/>
          <w:kern w:val="2"/>
          <w:sz w:val="24"/>
          <w:szCs w:val="24"/>
          <w14:ligatures w14:val="standardContextual"/>
        </w:rPr>
      </w:pPr>
      <w:r>
        <w:t>5.19.7</w:t>
      </w:r>
      <w:r>
        <w:rPr>
          <w:rFonts w:asciiTheme="minorHAnsi" w:eastAsiaTheme="minorEastAsia" w:hAnsiTheme="minorHAnsi" w:cstheme="minorBidi"/>
          <w:kern w:val="2"/>
          <w:sz w:val="24"/>
          <w:szCs w:val="24"/>
          <w14:ligatures w14:val="standardContextual"/>
        </w:rPr>
        <w:tab/>
      </w:r>
      <w:r>
        <w:t>NAS level congestion control</w:t>
      </w:r>
      <w:r>
        <w:tab/>
      </w:r>
      <w:r>
        <w:fldChar w:fldCharType="begin" w:fldLock="1"/>
      </w:r>
      <w:r>
        <w:instrText xml:space="preserve"> PAGEREF _Toc201157402 \h </w:instrText>
      </w:r>
      <w:r>
        <w:fldChar w:fldCharType="separate"/>
      </w:r>
      <w:r>
        <w:t>335</w:t>
      </w:r>
      <w:r>
        <w:fldChar w:fldCharType="end"/>
      </w:r>
    </w:p>
    <w:p w14:paraId="4C010C3B" w14:textId="3AB2596D" w:rsidR="006C1B74" w:rsidRDefault="006C1B74">
      <w:pPr>
        <w:pStyle w:val="TOC4"/>
        <w:rPr>
          <w:rFonts w:asciiTheme="minorHAnsi" w:eastAsiaTheme="minorEastAsia" w:hAnsiTheme="minorHAnsi" w:cstheme="minorBidi"/>
          <w:kern w:val="2"/>
          <w:sz w:val="24"/>
          <w:szCs w:val="24"/>
          <w14:ligatures w14:val="standardContextual"/>
        </w:rPr>
      </w:pPr>
      <w:r>
        <w:t>5.19.7.1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_Toc201157403 \h </w:instrText>
      </w:r>
      <w:r>
        <w:fldChar w:fldCharType="separate"/>
      </w:r>
      <w:r>
        <w:t>335</w:t>
      </w:r>
      <w:r>
        <w:fldChar w:fldCharType="end"/>
      </w:r>
    </w:p>
    <w:p w14:paraId="5F3F0E18" w14:textId="64DA2181" w:rsidR="006C1B74" w:rsidRDefault="006C1B74">
      <w:pPr>
        <w:pStyle w:val="TOC4"/>
        <w:rPr>
          <w:rFonts w:asciiTheme="minorHAnsi" w:eastAsiaTheme="minorEastAsia" w:hAnsiTheme="minorHAnsi" w:cstheme="minorBidi"/>
          <w:kern w:val="2"/>
          <w:sz w:val="24"/>
          <w:szCs w:val="24"/>
          <w14:ligatures w14:val="standardContextual"/>
        </w:rPr>
      </w:pPr>
      <w:r>
        <w:t>5.19.7.2</w:t>
      </w:r>
      <w:r>
        <w:rPr>
          <w:rFonts w:asciiTheme="minorHAnsi" w:eastAsiaTheme="minorEastAsia" w:hAnsiTheme="minorHAnsi" w:cstheme="minorBidi"/>
          <w:kern w:val="2"/>
          <w:sz w:val="24"/>
          <w:szCs w:val="24"/>
          <w14:ligatures w14:val="standardContextual"/>
        </w:rPr>
        <w:tab/>
      </w:r>
      <w:r>
        <w:t>General NAS level congestion control</w:t>
      </w:r>
      <w:r>
        <w:tab/>
      </w:r>
      <w:r>
        <w:fldChar w:fldCharType="begin" w:fldLock="1"/>
      </w:r>
      <w:r>
        <w:instrText xml:space="preserve"> PAGEREF _Toc201157404 \h </w:instrText>
      </w:r>
      <w:r>
        <w:fldChar w:fldCharType="separate"/>
      </w:r>
      <w:r>
        <w:t>336</w:t>
      </w:r>
      <w:r>
        <w:fldChar w:fldCharType="end"/>
      </w:r>
    </w:p>
    <w:p w14:paraId="110CA6AF" w14:textId="7B44D17B" w:rsidR="006C1B74" w:rsidRDefault="006C1B74">
      <w:pPr>
        <w:pStyle w:val="TOC4"/>
        <w:rPr>
          <w:rFonts w:asciiTheme="minorHAnsi" w:eastAsiaTheme="minorEastAsia" w:hAnsiTheme="minorHAnsi" w:cstheme="minorBidi"/>
          <w:kern w:val="2"/>
          <w:sz w:val="24"/>
          <w:szCs w:val="24"/>
          <w14:ligatures w14:val="standardContextual"/>
        </w:rPr>
      </w:pPr>
      <w:r>
        <w:t>5.19.7.3</w:t>
      </w:r>
      <w:r>
        <w:rPr>
          <w:rFonts w:asciiTheme="minorHAnsi" w:eastAsiaTheme="minorEastAsia" w:hAnsiTheme="minorHAnsi" w:cstheme="minorBidi"/>
          <w:kern w:val="2"/>
          <w:sz w:val="24"/>
          <w:szCs w:val="24"/>
          <w14:ligatures w14:val="standardContextual"/>
        </w:rPr>
        <w:tab/>
      </w:r>
      <w:r>
        <w:t>DNN based congestion control</w:t>
      </w:r>
      <w:r>
        <w:tab/>
      </w:r>
      <w:r>
        <w:fldChar w:fldCharType="begin" w:fldLock="1"/>
      </w:r>
      <w:r>
        <w:instrText xml:space="preserve"> PAGEREF _Toc201157405 \h </w:instrText>
      </w:r>
      <w:r>
        <w:fldChar w:fldCharType="separate"/>
      </w:r>
      <w:r>
        <w:t>337</w:t>
      </w:r>
      <w:r>
        <w:fldChar w:fldCharType="end"/>
      </w:r>
    </w:p>
    <w:p w14:paraId="2D6333A2" w14:textId="65833D34" w:rsidR="006C1B74" w:rsidRDefault="006C1B74">
      <w:pPr>
        <w:pStyle w:val="TOC4"/>
        <w:rPr>
          <w:rFonts w:asciiTheme="minorHAnsi" w:eastAsiaTheme="minorEastAsia" w:hAnsiTheme="minorHAnsi" w:cstheme="minorBidi"/>
          <w:kern w:val="2"/>
          <w:sz w:val="24"/>
          <w:szCs w:val="24"/>
          <w14:ligatures w14:val="standardContextual"/>
        </w:rPr>
      </w:pPr>
      <w:r>
        <w:t>5.19.7.4</w:t>
      </w:r>
      <w:r>
        <w:rPr>
          <w:rFonts w:asciiTheme="minorHAnsi" w:eastAsiaTheme="minorEastAsia" w:hAnsiTheme="minorHAnsi" w:cstheme="minorBidi"/>
          <w:kern w:val="2"/>
          <w:sz w:val="24"/>
          <w:szCs w:val="24"/>
          <w14:ligatures w14:val="standardContextual"/>
        </w:rPr>
        <w:tab/>
      </w:r>
      <w:r>
        <w:t>S-NSSAI based congestion control</w:t>
      </w:r>
      <w:r>
        <w:tab/>
      </w:r>
      <w:r>
        <w:fldChar w:fldCharType="begin" w:fldLock="1"/>
      </w:r>
      <w:r>
        <w:instrText xml:space="preserve"> PAGEREF _Toc201157406 \h </w:instrText>
      </w:r>
      <w:r>
        <w:fldChar w:fldCharType="separate"/>
      </w:r>
      <w:r>
        <w:t>338</w:t>
      </w:r>
      <w:r>
        <w:fldChar w:fldCharType="end"/>
      </w:r>
    </w:p>
    <w:p w14:paraId="51C0A032" w14:textId="63F6547D" w:rsidR="006C1B74" w:rsidRDefault="006C1B74">
      <w:pPr>
        <w:pStyle w:val="TOC4"/>
        <w:rPr>
          <w:rFonts w:asciiTheme="minorHAnsi" w:eastAsiaTheme="minorEastAsia" w:hAnsiTheme="minorHAnsi" w:cstheme="minorBidi"/>
          <w:kern w:val="2"/>
          <w:sz w:val="24"/>
          <w:szCs w:val="24"/>
          <w14:ligatures w14:val="standardContextual"/>
        </w:rPr>
      </w:pPr>
      <w:r>
        <w:t>5.19.7.5</w:t>
      </w:r>
      <w:r>
        <w:rPr>
          <w:rFonts w:asciiTheme="minorHAnsi" w:eastAsiaTheme="minorEastAsia" w:hAnsiTheme="minorHAnsi" w:cstheme="minorBidi"/>
          <w:kern w:val="2"/>
          <w:sz w:val="24"/>
          <w:szCs w:val="24"/>
          <w14:ligatures w14:val="standardContextual"/>
        </w:rPr>
        <w:tab/>
      </w:r>
      <w:r>
        <w:t>Group specific NAS level congestion control</w:t>
      </w:r>
      <w:r>
        <w:tab/>
      </w:r>
      <w:r>
        <w:fldChar w:fldCharType="begin" w:fldLock="1"/>
      </w:r>
      <w:r>
        <w:instrText xml:space="preserve"> PAGEREF _Toc201157407 \h </w:instrText>
      </w:r>
      <w:r>
        <w:fldChar w:fldCharType="separate"/>
      </w:r>
      <w:r>
        <w:t>340</w:t>
      </w:r>
      <w:r>
        <w:fldChar w:fldCharType="end"/>
      </w:r>
    </w:p>
    <w:p w14:paraId="65CE8FE7" w14:textId="578CE713" w:rsidR="006C1B74" w:rsidRDefault="006C1B74">
      <w:pPr>
        <w:pStyle w:val="TOC4"/>
        <w:rPr>
          <w:rFonts w:asciiTheme="minorHAnsi" w:eastAsiaTheme="minorEastAsia" w:hAnsiTheme="minorHAnsi" w:cstheme="minorBidi"/>
          <w:kern w:val="2"/>
          <w:sz w:val="24"/>
          <w:szCs w:val="24"/>
          <w14:ligatures w14:val="standardContextual"/>
        </w:rPr>
      </w:pPr>
      <w:r>
        <w:t>5.19.7.6</w:t>
      </w:r>
      <w:r>
        <w:rPr>
          <w:rFonts w:asciiTheme="minorHAnsi" w:eastAsiaTheme="minorEastAsia" w:hAnsiTheme="minorHAnsi" w:cstheme="minorBidi"/>
          <w:kern w:val="2"/>
          <w:sz w:val="24"/>
          <w:szCs w:val="24"/>
          <w14:ligatures w14:val="standardContextual"/>
        </w:rPr>
        <w:tab/>
      </w:r>
      <w:r>
        <w:t>Control Plane data specific NAS level congestion control</w:t>
      </w:r>
      <w:r>
        <w:tab/>
      </w:r>
      <w:r>
        <w:fldChar w:fldCharType="begin" w:fldLock="1"/>
      </w:r>
      <w:r>
        <w:instrText xml:space="preserve"> PAGEREF _Toc201157408 \h </w:instrText>
      </w:r>
      <w:r>
        <w:fldChar w:fldCharType="separate"/>
      </w:r>
      <w:r>
        <w:t>340</w:t>
      </w:r>
      <w:r>
        <w:fldChar w:fldCharType="end"/>
      </w:r>
    </w:p>
    <w:p w14:paraId="407386C8" w14:textId="4F794A22" w:rsidR="006C1B74" w:rsidRDefault="006C1B74">
      <w:pPr>
        <w:pStyle w:val="TOC2"/>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rPr>
          <w:lang w:eastAsia="ko-KR"/>
        </w:rPr>
        <w:t>External Exposure of Network Capability</w:t>
      </w:r>
      <w:r>
        <w:tab/>
      </w:r>
      <w:r>
        <w:fldChar w:fldCharType="begin" w:fldLock="1"/>
      </w:r>
      <w:r>
        <w:instrText xml:space="preserve"> PAGEREF _Toc201157409 \h </w:instrText>
      </w:r>
      <w:r>
        <w:fldChar w:fldCharType="separate"/>
      </w:r>
      <w:r>
        <w:t>341</w:t>
      </w:r>
      <w:r>
        <w:fldChar w:fldCharType="end"/>
      </w:r>
    </w:p>
    <w:p w14:paraId="2B0675C8" w14:textId="72B848B1" w:rsidR="006C1B74" w:rsidRDefault="006C1B74">
      <w:pPr>
        <w:pStyle w:val="TOC2"/>
        <w:rPr>
          <w:rFonts w:asciiTheme="minorHAnsi" w:eastAsiaTheme="minorEastAsia" w:hAnsiTheme="minorHAnsi" w:cstheme="minorBidi"/>
          <w:kern w:val="2"/>
          <w:sz w:val="24"/>
          <w:szCs w:val="24"/>
          <w14:ligatures w14:val="standardContextual"/>
        </w:rPr>
      </w:pPr>
      <w:r>
        <w:t>5.20a</w:t>
      </w:r>
      <w:r>
        <w:rPr>
          <w:rFonts w:asciiTheme="minorHAnsi" w:eastAsiaTheme="minorEastAsia" w:hAnsiTheme="minorHAnsi" w:cstheme="minorBidi"/>
          <w:kern w:val="2"/>
          <w:sz w:val="24"/>
          <w:szCs w:val="24"/>
          <w14:ligatures w14:val="standardContextual"/>
        </w:rPr>
        <w:tab/>
      </w:r>
      <w:r>
        <w:t>Data Collection from an AF</w:t>
      </w:r>
      <w:r>
        <w:tab/>
      </w:r>
      <w:r>
        <w:fldChar w:fldCharType="begin" w:fldLock="1"/>
      </w:r>
      <w:r>
        <w:instrText xml:space="preserve"> PAGEREF _Toc201157410 \h </w:instrText>
      </w:r>
      <w:r>
        <w:fldChar w:fldCharType="separate"/>
      </w:r>
      <w:r>
        <w:t>342</w:t>
      </w:r>
      <w:r>
        <w:fldChar w:fldCharType="end"/>
      </w:r>
    </w:p>
    <w:p w14:paraId="31E14C4E" w14:textId="36176D90" w:rsidR="006C1B74" w:rsidRDefault="006C1B74">
      <w:pPr>
        <w:pStyle w:val="TOC2"/>
        <w:rPr>
          <w:rFonts w:asciiTheme="minorHAnsi" w:eastAsiaTheme="minorEastAsia" w:hAnsiTheme="minorHAnsi" w:cstheme="minorBidi"/>
          <w:kern w:val="2"/>
          <w:sz w:val="24"/>
          <w:szCs w:val="24"/>
          <w14:ligatures w14:val="standardContextual"/>
        </w:rPr>
      </w:pPr>
      <w:r>
        <w:t>5.20b</w:t>
      </w:r>
      <w:r>
        <w:rPr>
          <w:rFonts w:asciiTheme="minorHAnsi" w:eastAsiaTheme="minorEastAsia" w:hAnsiTheme="minorHAnsi" w:cstheme="minorBidi"/>
          <w:kern w:val="2"/>
          <w:sz w:val="24"/>
          <w:szCs w:val="24"/>
          <w14:ligatures w14:val="standardContextual"/>
        </w:rPr>
        <w:tab/>
      </w:r>
      <w:r>
        <w:t>Support exposure of DNN and S-NSSAI specific Group Parameters</w:t>
      </w:r>
      <w:r>
        <w:tab/>
      </w:r>
      <w:r>
        <w:fldChar w:fldCharType="begin" w:fldLock="1"/>
      </w:r>
      <w:r>
        <w:instrText xml:space="preserve"> PAGEREF _Toc201157411 \h </w:instrText>
      </w:r>
      <w:r>
        <w:fldChar w:fldCharType="separate"/>
      </w:r>
      <w:r>
        <w:t>343</w:t>
      </w:r>
      <w:r>
        <w:fldChar w:fldCharType="end"/>
      </w:r>
    </w:p>
    <w:p w14:paraId="2B390D3A" w14:textId="718813D3" w:rsidR="006C1B74" w:rsidRDefault="006C1B74">
      <w:pPr>
        <w:pStyle w:val="TOC3"/>
        <w:rPr>
          <w:rFonts w:asciiTheme="minorHAnsi" w:eastAsiaTheme="minorEastAsia" w:hAnsiTheme="minorHAnsi" w:cstheme="minorBidi"/>
          <w:kern w:val="2"/>
          <w:sz w:val="24"/>
          <w:szCs w:val="24"/>
          <w14:ligatures w14:val="standardContextual"/>
        </w:rPr>
      </w:pPr>
      <w:r>
        <w:t>5.20b.1</w:t>
      </w:r>
      <w:r>
        <w:rPr>
          <w:rFonts w:asciiTheme="minorHAnsi" w:eastAsiaTheme="minorEastAsia" w:hAnsiTheme="minorHAnsi" w:cstheme="minorBidi"/>
          <w:kern w:val="2"/>
          <w:sz w:val="24"/>
          <w:szCs w:val="24"/>
          <w14:ligatures w14:val="standardContextual"/>
        </w:rPr>
        <w:tab/>
      </w:r>
      <w:r>
        <w:t>Group attribute provisioning</w:t>
      </w:r>
      <w:r>
        <w:tab/>
      </w:r>
      <w:r>
        <w:fldChar w:fldCharType="begin" w:fldLock="1"/>
      </w:r>
      <w:r>
        <w:instrText xml:space="preserve"> PAGEREF _Toc201157412 \h </w:instrText>
      </w:r>
      <w:r>
        <w:fldChar w:fldCharType="separate"/>
      </w:r>
      <w:r>
        <w:t>343</w:t>
      </w:r>
      <w:r>
        <w:fldChar w:fldCharType="end"/>
      </w:r>
    </w:p>
    <w:p w14:paraId="46BD2916" w14:textId="2F13E73B" w:rsidR="006C1B74" w:rsidRDefault="006C1B74">
      <w:pPr>
        <w:pStyle w:val="TOC3"/>
        <w:rPr>
          <w:rFonts w:asciiTheme="minorHAnsi" w:eastAsiaTheme="minorEastAsia" w:hAnsiTheme="minorHAnsi" w:cstheme="minorBidi"/>
          <w:kern w:val="2"/>
          <w:sz w:val="24"/>
          <w:szCs w:val="24"/>
          <w14:ligatures w14:val="standardContextual"/>
        </w:rPr>
      </w:pPr>
      <w:r>
        <w:t>5.20b.2</w:t>
      </w:r>
      <w:r>
        <w:rPr>
          <w:rFonts w:asciiTheme="minorHAnsi" w:eastAsiaTheme="minorEastAsia" w:hAnsiTheme="minorHAnsi" w:cstheme="minorBidi"/>
          <w:kern w:val="2"/>
          <w:sz w:val="24"/>
          <w:szCs w:val="24"/>
          <w14:ligatures w14:val="standardContextual"/>
        </w:rPr>
        <w:tab/>
      </w:r>
      <w:r>
        <w:t>Support LADN service area for a group</w:t>
      </w:r>
      <w:r>
        <w:tab/>
      </w:r>
      <w:r>
        <w:fldChar w:fldCharType="begin" w:fldLock="1"/>
      </w:r>
      <w:r>
        <w:instrText xml:space="preserve"> PAGEREF _Toc201157413 \h </w:instrText>
      </w:r>
      <w:r>
        <w:fldChar w:fldCharType="separate"/>
      </w:r>
      <w:r>
        <w:t>343</w:t>
      </w:r>
      <w:r>
        <w:fldChar w:fldCharType="end"/>
      </w:r>
    </w:p>
    <w:p w14:paraId="61DE019D" w14:textId="7CA9FE2B" w:rsidR="006C1B74" w:rsidRDefault="006C1B74">
      <w:pPr>
        <w:pStyle w:val="TOC3"/>
        <w:rPr>
          <w:rFonts w:asciiTheme="minorHAnsi" w:eastAsiaTheme="minorEastAsia" w:hAnsiTheme="minorHAnsi" w:cstheme="minorBidi"/>
          <w:kern w:val="2"/>
          <w:sz w:val="24"/>
          <w:szCs w:val="24"/>
          <w14:ligatures w14:val="standardContextual"/>
        </w:rPr>
      </w:pPr>
      <w:r>
        <w:t>5.20b.3</w:t>
      </w:r>
      <w:r>
        <w:rPr>
          <w:rFonts w:asciiTheme="minorHAnsi" w:eastAsiaTheme="minorEastAsia" w:hAnsiTheme="minorHAnsi" w:cstheme="minorBidi"/>
          <w:kern w:val="2"/>
          <w:sz w:val="24"/>
          <w:szCs w:val="24"/>
          <w14:ligatures w14:val="standardContextual"/>
        </w:rPr>
        <w:tab/>
      </w:r>
      <w:r>
        <w:t>Support QoS for a group</w:t>
      </w:r>
      <w:r>
        <w:tab/>
      </w:r>
      <w:r>
        <w:fldChar w:fldCharType="begin" w:fldLock="1"/>
      </w:r>
      <w:r>
        <w:instrText xml:space="preserve"> PAGEREF _Toc201157414 \h </w:instrText>
      </w:r>
      <w:r>
        <w:fldChar w:fldCharType="separate"/>
      </w:r>
      <w:r>
        <w:t>343</w:t>
      </w:r>
      <w:r>
        <w:fldChar w:fldCharType="end"/>
      </w:r>
    </w:p>
    <w:p w14:paraId="1CF0CEF6" w14:textId="4F8F2CF4" w:rsidR="006C1B74" w:rsidRDefault="006C1B74">
      <w:pPr>
        <w:pStyle w:val="TOC3"/>
        <w:rPr>
          <w:rFonts w:asciiTheme="minorHAnsi" w:eastAsiaTheme="minorEastAsia" w:hAnsiTheme="minorHAnsi" w:cstheme="minorBidi"/>
          <w:kern w:val="2"/>
          <w:sz w:val="24"/>
          <w:szCs w:val="24"/>
          <w14:ligatures w14:val="standardContextual"/>
        </w:rPr>
      </w:pPr>
      <w:r>
        <w:t>5.20b.4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_Toc201157415 \h </w:instrText>
      </w:r>
      <w:r>
        <w:fldChar w:fldCharType="separate"/>
      </w:r>
      <w:r>
        <w:t>343</w:t>
      </w:r>
      <w:r>
        <w:fldChar w:fldCharType="end"/>
      </w:r>
    </w:p>
    <w:p w14:paraId="5D406E8F" w14:textId="343AD4CA" w:rsidR="006C1B74" w:rsidRDefault="006C1B74">
      <w:pPr>
        <w:pStyle w:val="TOC3"/>
        <w:rPr>
          <w:rFonts w:asciiTheme="minorHAnsi" w:eastAsiaTheme="minorEastAsia" w:hAnsiTheme="minorHAnsi" w:cstheme="minorBidi"/>
          <w:kern w:val="2"/>
          <w:sz w:val="24"/>
          <w:szCs w:val="24"/>
          <w14:ligatures w14:val="standardContextual"/>
        </w:rPr>
      </w:pPr>
      <w:r>
        <w:t>5.20b.5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_Toc201157416 \h </w:instrText>
      </w:r>
      <w:r>
        <w:fldChar w:fldCharType="separate"/>
      </w:r>
      <w:r>
        <w:t>343</w:t>
      </w:r>
      <w:r>
        <w:fldChar w:fldCharType="end"/>
      </w:r>
    </w:p>
    <w:p w14:paraId="0BDE50D3" w14:textId="7C78004C" w:rsidR="006C1B74" w:rsidRDefault="006C1B74">
      <w:pPr>
        <w:pStyle w:val="TOC2"/>
        <w:rPr>
          <w:rFonts w:asciiTheme="minorHAnsi" w:eastAsiaTheme="minorEastAsia" w:hAnsiTheme="minorHAnsi" w:cstheme="minorBidi"/>
          <w:kern w:val="2"/>
          <w:sz w:val="24"/>
          <w:szCs w:val="24"/>
          <w14:ligatures w14:val="standardContextual"/>
        </w:rPr>
      </w:pPr>
      <w:r>
        <w:t>5.20c</w:t>
      </w:r>
      <w:r>
        <w:rPr>
          <w:rFonts w:asciiTheme="minorHAnsi" w:eastAsiaTheme="minorEastAsia" w:hAnsiTheme="minorHAnsi" w:cstheme="minorBidi"/>
          <w:kern w:val="2"/>
          <w:sz w:val="24"/>
          <w:szCs w:val="24"/>
          <w14:ligatures w14:val="standardContextual"/>
        </w:rPr>
        <w:tab/>
      </w:r>
      <w:r>
        <w:t>Provisioning of traffic characteristics and monitoring of performance characteristics for a group</w:t>
      </w:r>
      <w:r>
        <w:tab/>
      </w:r>
      <w:r>
        <w:fldChar w:fldCharType="begin" w:fldLock="1"/>
      </w:r>
      <w:r>
        <w:instrText xml:space="preserve"> PAGEREF _Toc201157417 \h </w:instrText>
      </w:r>
      <w:r>
        <w:fldChar w:fldCharType="separate"/>
      </w:r>
      <w:r>
        <w:t>344</w:t>
      </w:r>
      <w:r>
        <w:fldChar w:fldCharType="end"/>
      </w:r>
    </w:p>
    <w:p w14:paraId="6ACF5F34" w14:textId="5DB8CF60" w:rsidR="006C1B74" w:rsidRDefault="006C1B74">
      <w:pPr>
        <w:pStyle w:val="TOC2"/>
        <w:rPr>
          <w:rFonts w:asciiTheme="minorHAnsi" w:eastAsiaTheme="minorEastAsia" w:hAnsiTheme="minorHAnsi" w:cstheme="minorBidi"/>
          <w:kern w:val="2"/>
          <w:sz w:val="24"/>
          <w:szCs w:val="24"/>
          <w14:ligatures w14:val="standardContextual"/>
        </w:rPr>
      </w:pPr>
      <w:r w:rsidRPr="00191652">
        <w:rPr>
          <w:lang w:val="fr-FR"/>
        </w:rPr>
        <w:t>5.20d</w:t>
      </w:r>
      <w:r>
        <w:rPr>
          <w:rFonts w:asciiTheme="minorHAnsi" w:eastAsiaTheme="minorEastAsia" w:hAnsiTheme="minorHAnsi" w:cstheme="minorBidi"/>
          <w:kern w:val="2"/>
          <w:sz w:val="24"/>
          <w:szCs w:val="24"/>
          <w14:ligatures w14:val="standardContextual"/>
        </w:rPr>
        <w:tab/>
      </w:r>
      <w:r w:rsidRPr="00191652">
        <w:rPr>
          <w:lang w:val="fr-FR"/>
        </w:rPr>
        <w:t>User Plane Direct 5GS Information Exposure</w:t>
      </w:r>
      <w:r>
        <w:tab/>
      </w:r>
      <w:r>
        <w:fldChar w:fldCharType="begin" w:fldLock="1"/>
      </w:r>
      <w:r>
        <w:instrText xml:space="preserve"> PAGEREF _Toc201157418 \h </w:instrText>
      </w:r>
      <w:r>
        <w:fldChar w:fldCharType="separate"/>
      </w:r>
      <w:r>
        <w:t>344</w:t>
      </w:r>
      <w:r>
        <w:fldChar w:fldCharType="end"/>
      </w:r>
    </w:p>
    <w:p w14:paraId="308442B5" w14:textId="19DCFF19" w:rsidR="006C1B74" w:rsidRDefault="006C1B74">
      <w:pPr>
        <w:pStyle w:val="TOC3"/>
        <w:rPr>
          <w:rFonts w:asciiTheme="minorHAnsi" w:eastAsiaTheme="minorEastAsia" w:hAnsiTheme="minorHAnsi" w:cstheme="minorBidi"/>
          <w:kern w:val="2"/>
          <w:sz w:val="24"/>
          <w:szCs w:val="24"/>
          <w14:ligatures w14:val="standardContextual"/>
        </w:rPr>
      </w:pPr>
      <w:r>
        <w:t>5.20d.1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_Toc201157419 \h </w:instrText>
      </w:r>
      <w:r>
        <w:fldChar w:fldCharType="separate"/>
      </w:r>
      <w:r>
        <w:t>344</w:t>
      </w:r>
      <w:r>
        <w:fldChar w:fldCharType="end"/>
      </w:r>
    </w:p>
    <w:p w14:paraId="5CFFD41F" w14:textId="5128B4A9" w:rsidR="006C1B74" w:rsidRDefault="006C1B74">
      <w:pPr>
        <w:pStyle w:val="TOC2"/>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Architectural support for virtualized deployments</w:t>
      </w:r>
      <w:r>
        <w:tab/>
      </w:r>
      <w:r>
        <w:fldChar w:fldCharType="begin" w:fldLock="1"/>
      </w:r>
      <w:r>
        <w:instrText xml:space="preserve"> PAGEREF _Toc201157420 \h </w:instrText>
      </w:r>
      <w:r>
        <w:fldChar w:fldCharType="separate"/>
      </w:r>
      <w:r>
        <w:t>345</w:t>
      </w:r>
      <w:r>
        <w:fldChar w:fldCharType="end"/>
      </w:r>
    </w:p>
    <w:p w14:paraId="5D799635" w14:textId="16287970" w:rsidR="006C1B74" w:rsidRDefault="006C1B74">
      <w:pPr>
        <w:pStyle w:val="TOC3"/>
        <w:rPr>
          <w:rFonts w:asciiTheme="minorHAnsi" w:eastAsiaTheme="minorEastAsia" w:hAnsiTheme="minorHAnsi" w:cstheme="minorBidi"/>
          <w:kern w:val="2"/>
          <w:sz w:val="24"/>
          <w:szCs w:val="24"/>
          <w14:ligatures w14:val="standardContextual"/>
        </w:rPr>
      </w:pPr>
      <w:r>
        <w:t>5.21.0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_Toc201157421 \h </w:instrText>
      </w:r>
      <w:r>
        <w:fldChar w:fldCharType="separate"/>
      </w:r>
      <w:r>
        <w:t>345</w:t>
      </w:r>
      <w:r>
        <w:fldChar w:fldCharType="end"/>
      </w:r>
    </w:p>
    <w:p w14:paraId="1C844D24" w14:textId="575C0E12"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5.21.1</w:t>
      </w:r>
      <w:r>
        <w:rPr>
          <w:rFonts w:asciiTheme="minorHAnsi" w:eastAsiaTheme="minorEastAsia" w:hAnsiTheme="minorHAnsi" w:cstheme="minorBidi"/>
          <w:kern w:val="2"/>
          <w:sz w:val="24"/>
          <w:szCs w:val="24"/>
          <w14:ligatures w14:val="standardContextual"/>
        </w:rPr>
        <w:tab/>
      </w:r>
      <w:r>
        <w:rPr>
          <w:lang w:eastAsia="zh-CN"/>
        </w:rPr>
        <w:t>Architectural support for N2</w:t>
      </w:r>
      <w:r>
        <w:tab/>
      </w:r>
      <w:r>
        <w:fldChar w:fldCharType="begin" w:fldLock="1"/>
      </w:r>
      <w:r>
        <w:instrText xml:space="preserve"> PAGEREF _Toc201157422 \h </w:instrText>
      </w:r>
      <w:r>
        <w:fldChar w:fldCharType="separate"/>
      </w:r>
      <w:r>
        <w:t>345</w:t>
      </w:r>
      <w:r>
        <w:fldChar w:fldCharType="end"/>
      </w:r>
    </w:p>
    <w:p w14:paraId="1A902869" w14:textId="1F6AC517" w:rsidR="006C1B74" w:rsidRDefault="006C1B74">
      <w:pPr>
        <w:pStyle w:val="TOC4"/>
        <w:rPr>
          <w:rFonts w:asciiTheme="minorHAnsi" w:eastAsiaTheme="minorEastAsia" w:hAnsiTheme="minorHAnsi" w:cstheme="minorBidi"/>
          <w:kern w:val="2"/>
          <w:sz w:val="24"/>
          <w:szCs w:val="24"/>
          <w14:ligatures w14:val="standardContextual"/>
        </w:rPr>
      </w:pPr>
      <w:r>
        <w:t>5.21.1.1</w:t>
      </w:r>
      <w:r>
        <w:rPr>
          <w:rFonts w:asciiTheme="minorHAnsi" w:eastAsiaTheme="minorEastAsia" w:hAnsiTheme="minorHAnsi" w:cstheme="minorBidi"/>
          <w:kern w:val="2"/>
          <w:sz w:val="24"/>
          <w:szCs w:val="24"/>
          <w14:ligatures w14:val="standardContextual"/>
        </w:rPr>
        <w:tab/>
      </w:r>
      <w:r>
        <w:t>TNL associations</w:t>
      </w:r>
      <w:r>
        <w:tab/>
      </w:r>
      <w:r>
        <w:fldChar w:fldCharType="begin" w:fldLock="1"/>
      </w:r>
      <w:r>
        <w:instrText xml:space="preserve"> PAGEREF _Toc201157423 \h </w:instrText>
      </w:r>
      <w:r>
        <w:fldChar w:fldCharType="separate"/>
      </w:r>
      <w:r>
        <w:t>345</w:t>
      </w:r>
      <w:r>
        <w:fldChar w:fldCharType="end"/>
      </w:r>
    </w:p>
    <w:p w14:paraId="276AFED1" w14:textId="38235093" w:rsidR="006C1B74" w:rsidRDefault="006C1B74">
      <w:pPr>
        <w:pStyle w:val="TOC4"/>
        <w:rPr>
          <w:rFonts w:asciiTheme="minorHAnsi" w:eastAsiaTheme="minorEastAsia" w:hAnsiTheme="minorHAnsi" w:cstheme="minorBidi"/>
          <w:kern w:val="2"/>
          <w:sz w:val="24"/>
          <w:szCs w:val="24"/>
          <w14:ligatures w14:val="standardContextual"/>
        </w:rPr>
      </w:pPr>
      <w:r>
        <w:t>5.21.1.2</w:t>
      </w:r>
      <w:r>
        <w:rPr>
          <w:rFonts w:asciiTheme="minorHAnsi" w:eastAsiaTheme="minorEastAsia" w:hAnsiTheme="minorHAnsi" w:cstheme="minorBidi"/>
          <w:kern w:val="2"/>
          <w:sz w:val="24"/>
          <w:szCs w:val="24"/>
          <w14:ligatures w14:val="standardContextual"/>
        </w:rPr>
        <w:tab/>
      </w:r>
      <w:r>
        <w:t>NGAP UE-TNLA-binding</w:t>
      </w:r>
      <w:r>
        <w:tab/>
      </w:r>
      <w:r>
        <w:fldChar w:fldCharType="begin" w:fldLock="1"/>
      </w:r>
      <w:r>
        <w:instrText xml:space="preserve"> PAGEREF _Toc201157424 \h </w:instrText>
      </w:r>
      <w:r>
        <w:fldChar w:fldCharType="separate"/>
      </w:r>
      <w:r>
        <w:t>346</w:t>
      </w:r>
      <w:r>
        <w:fldChar w:fldCharType="end"/>
      </w:r>
    </w:p>
    <w:p w14:paraId="4EBE5405" w14:textId="0D9CDAC8" w:rsidR="006C1B74" w:rsidRDefault="006C1B74">
      <w:pPr>
        <w:pStyle w:val="TOC4"/>
        <w:rPr>
          <w:rFonts w:asciiTheme="minorHAnsi" w:eastAsiaTheme="minorEastAsia" w:hAnsiTheme="minorHAnsi" w:cstheme="minorBidi"/>
          <w:kern w:val="2"/>
          <w:sz w:val="24"/>
          <w:szCs w:val="24"/>
          <w14:ligatures w14:val="standardContextual"/>
        </w:rPr>
      </w:pPr>
      <w:r>
        <w:t>5.21.1.3</w:t>
      </w:r>
      <w:r>
        <w:rPr>
          <w:rFonts w:asciiTheme="minorHAnsi" w:eastAsiaTheme="minorEastAsia" w:hAnsiTheme="minorHAnsi" w:cstheme="minorBidi"/>
          <w:kern w:val="2"/>
          <w:sz w:val="24"/>
          <w:szCs w:val="24"/>
          <w14:ligatures w14:val="standardContextual"/>
        </w:rPr>
        <w:tab/>
      </w:r>
      <w:r>
        <w:t>N2 TNL association selection</w:t>
      </w:r>
      <w:r>
        <w:tab/>
      </w:r>
      <w:r>
        <w:fldChar w:fldCharType="begin" w:fldLock="1"/>
      </w:r>
      <w:r>
        <w:instrText xml:space="preserve"> PAGEREF _Toc201157425 \h </w:instrText>
      </w:r>
      <w:r>
        <w:fldChar w:fldCharType="separate"/>
      </w:r>
      <w:r>
        <w:t>346</w:t>
      </w:r>
      <w:r>
        <w:fldChar w:fldCharType="end"/>
      </w:r>
    </w:p>
    <w:p w14:paraId="76AA1137" w14:textId="3D422B81"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5.21.2</w:t>
      </w:r>
      <w:r>
        <w:rPr>
          <w:rFonts w:asciiTheme="minorHAnsi" w:eastAsiaTheme="minorEastAsia" w:hAnsiTheme="minorHAnsi" w:cstheme="minorBidi"/>
          <w:kern w:val="2"/>
          <w:sz w:val="24"/>
          <w:szCs w:val="24"/>
          <w14:ligatures w14:val="standardContextual"/>
        </w:rPr>
        <w:tab/>
      </w:r>
      <w:r>
        <w:rPr>
          <w:lang w:eastAsia="zh-CN"/>
        </w:rPr>
        <w:t>AMF Management</w:t>
      </w:r>
      <w:r>
        <w:tab/>
      </w:r>
      <w:r>
        <w:fldChar w:fldCharType="begin" w:fldLock="1"/>
      </w:r>
      <w:r>
        <w:instrText xml:space="preserve"> PAGEREF _Toc201157426 \h </w:instrText>
      </w:r>
      <w:r>
        <w:fldChar w:fldCharType="separate"/>
      </w:r>
      <w:r>
        <w:t>346</w:t>
      </w:r>
      <w:r>
        <w:fldChar w:fldCharType="end"/>
      </w:r>
    </w:p>
    <w:p w14:paraId="75635D2B" w14:textId="42B893BD" w:rsidR="006C1B74" w:rsidRDefault="006C1B74">
      <w:pPr>
        <w:pStyle w:val="TOC4"/>
        <w:rPr>
          <w:rFonts w:asciiTheme="minorHAnsi" w:eastAsiaTheme="minorEastAsia" w:hAnsiTheme="minorHAnsi" w:cstheme="minorBidi"/>
          <w:kern w:val="2"/>
          <w:sz w:val="24"/>
          <w:szCs w:val="24"/>
          <w14:ligatures w14:val="standardContextual"/>
        </w:rPr>
      </w:pPr>
      <w:r>
        <w:t>5.21.2.1</w:t>
      </w:r>
      <w:r>
        <w:rPr>
          <w:rFonts w:asciiTheme="minorHAnsi" w:eastAsiaTheme="minorEastAsia" w:hAnsiTheme="minorHAnsi" w:cstheme="minorBidi"/>
          <w:kern w:val="2"/>
          <w:sz w:val="24"/>
          <w:szCs w:val="24"/>
          <w14:ligatures w14:val="standardContextual"/>
        </w:rPr>
        <w:tab/>
      </w:r>
      <w:r>
        <w:t>AMF Addition/Update</w:t>
      </w:r>
      <w:r>
        <w:tab/>
      </w:r>
      <w:r>
        <w:fldChar w:fldCharType="begin" w:fldLock="1"/>
      </w:r>
      <w:r>
        <w:instrText xml:space="preserve"> PAGEREF _Toc201157427 \h </w:instrText>
      </w:r>
      <w:r>
        <w:fldChar w:fldCharType="separate"/>
      </w:r>
      <w:r>
        <w:t>346</w:t>
      </w:r>
      <w:r>
        <w:fldChar w:fldCharType="end"/>
      </w:r>
    </w:p>
    <w:p w14:paraId="7FFA33ED" w14:textId="7B4C19FD" w:rsidR="006C1B74" w:rsidRDefault="006C1B74">
      <w:pPr>
        <w:pStyle w:val="TOC4"/>
        <w:rPr>
          <w:rFonts w:asciiTheme="minorHAnsi" w:eastAsiaTheme="minorEastAsia" w:hAnsiTheme="minorHAnsi" w:cstheme="minorBidi"/>
          <w:kern w:val="2"/>
          <w:sz w:val="24"/>
          <w:szCs w:val="24"/>
          <w14:ligatures w14:val="standardContextual"/>
        </w:rPr>
      </w:pPr>
      <w:r>
        <w:t>5.21.2.2</w:t>
      </w:r>
      <w:r>
        <w:rPr>
          <w:rFonts w:asciiTheme="minorHAnsi" w:eastAsiaTheme="minorEastAsia" w:hAnsiTheme="minorHAnsi" w:cstheme="minorBidi"/>
          <w:kern w:val="2"/>
          <w:sz w:val="24"/>
          <w:szCs w:val="24"/>
          <w14:ligatures w14:val="standardContextual"/>
        </w:rPr>
        <w:tab/>
      </w:r>
      <w:r>
        <w:t>AMF planned removal procedure</w:t>
      </w:r>
      <w:r>
        <w:tab/>
      </w:r>
      <w:r>
        <w:fldChar w:fldCharType="begin" w:fldLock="1"/>
      </w:r>
      <w:r>
        <w:instrText xml:space="preserve"> PAGEREF _Toc201157428 \h </w:instrText>
      </w:r>
      <w:r>
        <w:fldChar w:fldCharType="separate"/>
      </w:r>
      <w:r>
        <w:t>347</w:t>
      </w:r>
      <w:r>
        <w:fldChar w:fldCharType="end"/>
      </w:r>
    </w:p>
    <w:p w14:paraId="3CA70E4C" w14:textId="69B5AA82" w:rsidR="006C1B74" w:rsidRDefault="006C1B74">
      <w:pPr>
        <w:pStyle w:val="TOC5"/>
        <w:rPr>
          <w:rFonts w:asciiTheme="minorHAnsi" w:eastAsiaTheme="minorEastAsia" w:hAnsiTheme="minorHAnsi" w:cstheme="minorBidi"/>
          <w:kern w:val="2"/>
          <w:sz w:val="24"/>
          <w:szCs w:val="24"/>
          <w14:ligatures w14:val="standardContextual"/>
        </w:rPr>
      </w:pPr>
      <w:r>
        <w:t>5.21.2.2.1</w:t>
      </w:r>
      <w:r>
        <w:rPr>
          <w:rFonts w:asciiTheme="minorHAnsi" w:eastAsiaTheme="minorEastAsia" w:hAnsiTheme="minorHAnsi" w:cstheme="minorBidi"/>
          <w:kern w:val="2"/>
          <w:sz w:val="24"/>
          <w:szCs w:val="24"/>
          <w14:ligatures w14:val="standardContextual"/>
        </w:rPr>
        <w:tab/>
      </w:r>
      <w:r>
        <w:t>AMF planned removal procedure with UDSF deployed</w:t>
      </w:r>
      <w:r>
        <w:tab/>
      </w:r>
      <w:r>
        <w:fldChar w:fldCharType="begin" w:fldLock="1"/>
      </w:r>
      <w:r>
        <w:instrText xml:space="preserve"> PAGEREF _Toc201157429 \h </w:instrText>
      </w:r>
      <w:r>
        <w:fldChar w:fldCharType="separate"/>
      </w:r>
      <w:r>
        <w:t>347</w:t>
      </w:r>
      <w:r>
        <w:fldChar w:fldCharType="end"/>
      </w:r>
    </w:p>
    <w:p w14:paraId="6FDC558B" w14:textId="34F08C36" w:rsidR="006C1B74" w:rsidRDefault="006C1B74">
      <w:pPr>
        <w:pStyle w:val="TOC5"/>
        <w:rPr>
          <w:rFonts w:asciiTheme="minorHAnsi" w:eastAsiaTheme="minorEastAsia" w:hAnsiTheme="minorHAnsi" w:cstheme="minorBidi"/>
          <w:kern w:val="2"/>
          <w:sz w:val="24"/>
          <w:szCs w:val="24"/>
          <w14:ligatures w14:val="standardContextual"/>
        </w:rPr>
      </w:pPr>
      <w:r>
        <w:t>5.21.2.2.2</w:t>
      </w:r>
      <w:r>
        <w:rPr>
          <w:rFonts w:asciiTheme="minorHAnsi" w:eastAsiaTheme="minorEastAsia" w:hAnsiTheme="minorHAnsi" w:cstheme="minorBidi"/>
          <w:kern w:val="2"/>
          <w:sz w:val="24"/>
          <w:szCs w:val="24"/>
          <w14:ligatures w14:val="standardContextual"/>
        </w:rPr>
        <w:tab/>
      </w:r>
      <w:r>
        <w:t>AMF planned removal procedure without UDSF</w:t>
      </w:r>
      <w:r>
        <w:tab/>
      </w:r>
      <w:r>
        <w:fldChar w:fldCharType="begin" w:fldLock="1"/>
      </w:r>
      <w:r>
        <w:instrText xml:space="preserve"> PAGEREF _Toc201157430 \h </w:instrText>
      </w:r>
      <w:r>
        <w:fldChar w:fldCharType="separate"/>
      </w:r>
      <w:r>
        <w:t>348</w:t>
      </w:r>
      <w:r>
        <w:fldChar w:fldCharType="end"/>
      </w:r>
    </w:p>
    <w:p w14:paraId="72CAB0D3" w14:textId="4F83E786" w:rsidR="006C1B74" w:rsidRDefault="006C1B74">
      <w:pPr>
        <w:pStyle w:val="TOC4"/>
        <w:rPr>
          <w:rFonts w:asciiTheme="minorHAnsi" w:eastAsiaTheme="minorEastAsia" w:hAnsiTheme="minorHAnsi" w:cstheme="minorBidi"/>
          <w:kern w:val="2"/>
          <w:sz w:val="24"/>
          <w:szCs w:val="24"/>
          <w14:ligatures w14:val="standardContextual"/>
        </w:rPr>
      </w:pPr>
      <w:r>
        <w:t>5.21.2.3</w:t>
      </w:r>
      <w:r>
        <w:rPr>
          <w:rFonts w:asciiTheme="minorHAnsi" w:eastAsiaTheme="minorEastAsia" w:hAnsiTheme="minorHAnsi" w:cstheme="minorBidi"/>
          <w:kern w:val="2"/>
          <w:sz w:val="24"/>
          <w:szCs w:val="24"/>
          <w14:ligatures w14:val="standardContextual"/>
        </w:rPr>
        <w:tab/>
      </w:r>
      <w:r>
        <w:t>Procedure for AMF Auto-recovery</w:t>
      </w:r>
      <w:r>
        <w:tab/>
      </w:r>
      <w:r>
        <w:fldChar w:fldCharType="begin" w:fldLock="1"/>
      </w:r>
      <w:r>
        <w:instrText xml:space="preserve"> PAGEREF _Toc201157431 \h </w:instrText>
      </w:r>
      <w:r>
        <w:fldChar w:fldCharType="separate"/>
      </w:r>
      <w:r>
        <w:t>350</w:t>
      </w:r>
      <w:r>
        <w:fldChar w:fldCharType="end"/>
      </w:r>
    </w:p>
    <w:p w14:paraId="64EE8E41" w14:textId="32F70E3F" w:rsidR="006C1B74" w:rsidRDefault="006C1B74">
      <w:pPr>
        <w:pStyle w:val="TOC3"/>
        <w:rPr>
          <w:rFonts w:asciiTheme="minorHAnsi" w:eastAsiaTheme="minorEastAsia" w:hAnsiTheme="minorHAnsi" w:cstheme="minorBidi"/>
          <w:kern w:val="2"/>
          <w:sz w:val="24"/>
          <w:szCs w:val="24"/>
          <w14:ligatures w14:val="standardContextual"/>
        </w:rPr>
      </w:pPr>
      <w:r>
        <w:t>5.21.3</w:t>
      </w:r>
      <w:r>
        <w:rPr>
          <w:rFonts w:asciiTheme="minorHAnsi" w:eastAsiaTheme="minorEastAsia" w:hAnsiTheme="minorHAnsi" w:cstheme="minorBidi"/>
          <w:kern w:val="2"/>
          <w:sz w:val="24"/>
          <w:szCs w:val="24"/>
          <w14:ligatures w14:val="standardContextual"/>
        </w:rPr>
        <w:tab/>
      </w:r>
      <w:r>
        <w:t>Network Reliability support with Sets</w:t>
      </w:r>
      <w:r>
        <w:tab/>
      </w:r>
      <w:r>
        <w:fldChar w:fldCharType="begin" w:fldLock="1"/>
      </w:r>
      <w:r>
        <w:instrText xml:space="preserve"> PAGEREF _Toc201157432 \h </w:instrText>
      </w:r>
      <w:r>
        <w:fldChar w:fldCharType="separate"/>
      </w:r>
      <w:r>
        <w:t>351</w:t>
      </w:r>
      <w:r>
        <w:fldChar w:fldCharType="end"/>
      </w:r>
    </w:p>
    <w:p w14:paraId="2ED43A57" w14:textId="1E4AC68A" w:rsidR="006C1B74" w:rsidRDefault="006C1B74">
      <w:pPr>
        <w:pStyle w:val="TOC4"/>
        <w:rPr>
          <w:rFonts w:asciiTheme="minorHAnsi" w:eastAsiaTheme="minorEastAsia" w:hAnsiTheme="minorHAnsi" w:cstheme="minorBidi"/>
          <w:kern w:val="2"/>
          <w:sz w:val="24"/>
          <w:szCs w:val="24"/>
          <w14:ligatures w14:val="standardContextual"/>
        </w:rPr>
      </w:pPr>
      <w:r>
        <w:t>5.21.3.1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_Toc201157433 \h </w:instrText>
      </w:r>
      <w:r>
        <w:fldChar w:fldCharType="separate"/>
      </w:r>
      <w:r>
        <w:t>351</w:t>
      </w:r>
      <w:r>
        <w:fldChar w:fldCharType="end"/>
      </w:r>
    </w:p>
    <w:p w14:paraId="1ECEF692" w14:textId="7869D187" w:rsidR="006C1B74" w:rsidRDefault="006C1B74">
      <w:pPr>
        <w:pStyle w:val="TOC4"/>
        <w:rPr>
          <w:rFonts w:asciiTheme="minorHAnsi" w:eastAsiaTheme="minorEastAsia" w:hAnsiTheme="minorHAnsi" w:cstheme="minorBidi"/>
          <w:kern w:val="2"/>
          <w:sz w:val="24"/>
          <w:szCs w:val="24"/>
          <w14:ligatures w14:val="standardContextual"/>
        </w:rPr>
      </w:pPr>
      <w:r>
        <w:t>5.21.3.2</w:t>
      </w:r>
      <w:r>
        <w:rPr>
          <w:rFonts w:asciiTheme="minorHAnsi" w:eastAsiaTheme="minorEastAsia" w:hAnsiTheme="minorHAnsi" w:cstheme="minorBidi"/>
          <w:kern w:val="2"/>
          <w:sz w:val="24"/>
          <w:szCs w:val="24"/>
          <w14:ligatures w14:val="standardContextual"/>
        </w:rPr>
        <w:tab/>
      </w:r>
      <w:r>
        <w:t>NF Set and NF Service Set</w:t>
      </w:r>
      <w:r>
        <w:tab/>
      </w:r>
      <w:r>
        <w:fldChar w:fldCharType="begin" w:fldLock="1"/>
      </w:r>
      <w:r>
        <w:instrText xml:space="preserve"> PAGEREF _Toc201157434 \h </w:instrText>
      </w:r>
      <w:r>
        <w:fldChar w:fldCharType="separate"/>
      </w:r>
      <w:r>
        <w:t>352</w:t>
      </w:r>
      <w:r>
        <w:fldChar w:fldCharType="end"/>
      </w:r>
    </w:p>
    <w:p w14:paraId="04D60626" w14:textId="7AF41FCE" w:rsidR="006C1B74" w:rsidRDefault="006C1B74">
      <w:pPr>
        <w:pStyle w:val="TOC4"/>
        <w:rPr>
          <w:rFonts w:asciiTheme="minorHAnsi" w:eastAsiaTheme="minorEastAsia" w:hAnsiTheme="minorHAnsi" w:cstheme="minorBidi"/>
          <w:kern w:val="2"/>
          <w:sz w:val="24"/>
          <w:szCs w:val="24"/>
          <w14:ligatures w14:val="standardContextual"/>
        </w:rPr>
      </w:pPr>
      <w:r>
        <w:t>5.21.3.3</w:t>
      </w:r>
      <w:r>
        <w:rPr>
          <w:rFonts w:asciiTheme="minorHAnsi" w:eastAsiaTheme="minorEastAsia" w:hAnsiTheme="minorHAnsi" w:cstheme="minorBidi"/>
          <w:kern w:val="2"/>
          <w:sz w:val="24"/>
          <w:szCs w:val="24"/>
          <w14:ligatures w14:val="standardContextual"/>
        </w:rPr>
        <w:tab/>
      </w:r>
      <w:r>
        <w:t>Reliability of NF instances within the same NF Set</w:t>
      </w:r>
      <w:r>
        <w:tab/>
      </w:r>
      <w:r>
        <w:fldChar w:fldCharType="begin" w:fldLock="1"/>
      </w:r>
      <w:r>
        <w:instrText xml:space="preserve"> PAGEREF _Toc201157435 \h </w:instrText>
      </w:r>
      <w:r>
        <w:fldChar w:fldCharType="separate"/>
      </w:r>
      <w:r>
        <w:t>352</w:t>
      </w:r>
      <w:r>
        <w:fldChar w:fldCharType="end"/>
      </w:r>
    </w:p>
    <w:p w14:paraId="21B6A1BE" w14:textId="1C4CE10A" w:rsidR="006C1B74" w:rsidRDefault="006C1B74">
      <w:pPr>
        <w:pStyle w:val="TOC4"/>
        <w:rPr>
          <w:rFonts w:asciiTheme="minorHAnsi" w:eastAsiaTheme="minorEastAsia" w:hAnsiTheme="minorHAnsi" w:cstheme="minorBidi"/>
          <w:kern w:val="2"/>
          <w:sz w:val="24"/>
          <w:szCs w:val="24"/>
          <w14:ligatures w14:val="standardContextual"/>
        </w:rPr>
      </w:pPr>
      <w:r>
        <w:t>5.21.3.4</w:t>
      </w:r>
      <w:r>
        <w:rPr>
          <w:rFonts w:asciiTheme="minorHAnsi" w:eastAsiaTheme="minorEastAsia" w:hAnsiTheme="minorHAnsi" w:cstheme="minorBidi"/>
          <w:kern w:val="2"/>
          <w:sz w:val="24"/>
          <w:szCs w:val="24"/>
          <w14:ligatures w14:val="standardContextual"/>
        </w:rPr>
        <w:tab/>
      </w:r>
      <w:r>
        <w:t>Reliability of NF Services</w:t>
      </w:r>
      <w:r>
        <w:tab/>
      </w:r>
      <w:r>
        <w:fldChar w:fldCharType="begin" w:fldLock="1"/>
      </w:r>
      <w:r>
        <w:instrText xml:space="preserve"> PAGEREF _Toc201157436 \h </w:instrText>
      </w:r>
      <w:r>
        <w:fldChar w:fldCharType="separate"/>
      </w:r>
      <w:r>
        <w:t>352</w:t>
      </w:r>
      <w:r>
        <w:fldChar w:fldCharType="end"/>
      </w:r>
    </w:p>
    <w:p w14:paraId="7667C9DD" w14:textId="79109870" w:rsidR="006C1B74" w:rsidRDefault="006C1B74">
      <w:pPr>
        <w:pStyle w:val="TOC3"/>
        <w:rPr>
          <w:rFonts w:asciiTheme="minorHAnsi" w:eastAsiaTheme="minorEastAsia" w:hAnsiTheme="minorHAnsi" w:cstheme="minorBidi"/>
          <w:kern w:val="2"/>
          <w:sz w:val="24"/>
          <w:szCs w:val="24"/>
          <w14:ligatures w14:val="standardContextual"/>
        </w:rPr>
      </w:pPr>
      <w:r>
        <w:lastRenderedPageBreak/>
        <w:t>5.21.4</w:t>
      </w:r>
      <w:r>
        <w:rPr>
          <w:rFonts w:asciiTheme="minorHAnsi" w:eastAsiaTheme="minorEastAsia" w:hAnsiTheme="minorHAnsi" w:cstheme="minorBidi"/>
          <w:kern w:val="2"/>
          <w:sz w:val="24"/>
          <w:szCs w:val="24"/>
          <w14:ligatures w14:val="standardContextual"/>
        </w:rPr>
        <w:tab/>
      </w:r>
      <w:r>
        <w:t>Network Function/NF Service Context Transfer</w:t>
      </w:r>
      <w:r>
        <w:tab/>
      </w:r>
      <w:r>
        <w:fldChar w:fldCharType="begin" w:fldLock="1"/>
      </w:r>
      <w:r>
        <w:instrText xml:space="preserve"> PAGEREF _Toc201157437 \h </w:instrText>
      </w:r>
      <w:r>
        <w:fldChar w:fldCharType="separate"/>
      </w:r>
      <w:r>
        <w:t>352</w:t>
      </w:r>
      <w:r>
        <w:fldChar w:fldCharType="end"/>
      </w:r>
    </w:p>
    <w:p w14:paraId="06B82D4F" w14:textId="1628CE99" w:rsidR="006C1B74" w:rsidRDefault="006C1B74">
      <w:pPr>
        <w:pStyle w:val="TOC4"/>
        <w:rPr>
          <w:rFonts w:asciiTheme="minorHAnsi" w:eastAsiaTheme="minorEastAsia" w:hAnsiTheme="minorHAnsi" w:cstheme="minorBidi"/>
          <w:kern w:val="2"/>
          <w:sz w:val="24"/>
          <w:szCs w:val="24"/>
          <w14:ligatures w14:val="standardContextual"/>
        </w:rPr>
      </w:pPr>
      <w:r>
        <w:t>5.21.4.1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_Toc201157438 \h </w:instrText>
      </w:r>
      <w:r>
        <w:fldChar w:fldCharType="separate"/>
      </w:r>
      <w:r>
        <w:t>352</w:t>
      </w:r>
      <w:r>
        <w:fldChar w:fldCharType="end"/>
      </w:r>
    </w:p>
    <w:p w14:paraId="62AED34A" w14:textId="52885BD6" w:rsidR="006C1B74" w:rsidRDefault="006C1B74">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System Enablers for priority mechanism</w:t>
      </w:r>
      <w:r>
        <w:tab/>
      </w:r>
      <w:r>
        <w:fldChar w:fldCharType="begin" w:fldLock="1"/>
      </w:r>
      <w:r>
        <w:instrText xml:space="preserve"> PAGEREF _Toc201157439 \h </w:instrText>
      </w:r>
      <w:r>
        <w:fldChar w:fldCharType="separate"/>
      </w:r>
      <w:r>
        <w:t>353</w:t>
      </w:r>
      <w:r>
        <w:fldChar w:fldCharType="end"/>
      </w:r>
    </w:p>
    <w:p w14:paraId="67ECA26F" w14:textId="72E5A7A3" w:rsidR="006C1B74" w:rsidRDefault="006C1B74">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_Toc201157440 \h </w:instrText>
      </w:r>
      <w:r>
        <w:fldChar w:fldCharType="separate"/>
      </w:r>
      <w:r>
        <w:t>353</w:t>
      </w:r>
      <w:r>
        <w:fldChar w:fldCharType="end"/>
      </w:r>
    </w:p>
    <w:p w14:paraId="7C207362" w14:textId="122B80FE" w:rsidR="006C1B74" w:rsidRDefault="006C1B74">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rPr>
          <w:lang w:eastAsia="zh-CN"/>
        </w:rPr>
        <w:t>Subscription-related Priority Mechanisms</w:t>
      </w:r>
      <w:r>
        <w:tab/>
      </w:r>
      <w:r>
        <w:fldChar w:fldCharType="begin" w:fldLock="1"/>
      </w:r>
      <w:r>
        <w:instrText xml:space="preserve"> PAGEREF _Toc201157441 \h </w:instrText>
      </w:r>
      <w:r>
        <w:fldChar w:fldCharType="separate"/>
      </w:r>
      <w:r>
        <w:t>353</w:t>
      </w:r>
      <w:r>
        <w:fldChar w:fldCharType="end"/>
      </w:r>
    </w:p>
    <w:p w14:paraId="03F7687F" w14:textId="5FC9DA85" w:rsidR="006C1B74" w:rsidRDefault="006C1B74">
      <w:pPr>
        <w:pStyle w:val="TOC3"/>
        <w:rPr>
          <w:rFonts w:asciiTheme="minorHAnsi" w:eastAsiaTheme="minorEastAsia" w:hAnsiTheme="minorHAnsi" w:cstheme="minorBidi"/>
          <w:kern w:val="2"/>
          <w:sz w:val="24"/>
          <w:szCs w:val="24"/>
          <w14:ligatures w14:val="standardContextual"/>
        </w:rPr>
      </w:pPr>
      <w:r>
        <w:t>5.22.3</w:t>
      </w:r>
      <w:r>
        <w:rPr>
          <w:rFonts w:asciiTheme="minorHAnsi" w:eastAsiaTheme="minorEastAsia" w:hAnsiTheme="minorHAnsi" w:cstheme="minorBidi"/>
          <w:kern w:val="2"/>
          <w:sz w:val="24"/>
          <w:szCs w:val="24"/>
          <w14:ligatures w14:val="standardContextual"/>
        </w:rPr>
        <w:tab/>
      </w:r>
      <w:r>
        <w:rPr>
          <w:lang w:eastAsia="zh-CN"/>
        </w:rPr>
        <w:t>Invocation-related Priority Mechanisms</w:t>
      </w:r>
      <w:r>
        <w:tab/>
      </w:r>
      <w:r>
        <w:fldChar w:fldCharType="begin" w:fldLock="1"/>
      </w:r>
      <w:r>
        <w:instrText xml:space="preserve"> PAGEREF _Toc201157442 \h </w:instrText>
      </w:r>
      <w:r>
        <w:fldChar w:fldCharType="separate"/>
      </w:r>
      <w:r>
        <w:t>354</w:t>
      </w:r>
      <w:r>
        <w:fldChar w:fldCharType="end"/>
      </w:r>
    </w:p>
    <w:p w14:paraId="45708736" w14:textId="396364B0" w:rsidR="006C1B74" w:rsidRDefault="006C1B74">
      <w:pPr>
        <w:pStyle w:val="TOC3"/>
        <w:rPr>
          <w:rFonts w:asciiTheme="minorHAnsi" w:eastAsiaTheme="minorEastAsia" w:hAnsiTheme="minorHAnsi" w:cstheme="minorBidi"/>
          <w:kern w:val="2"/>
          <w:sz w:val="24"/>
          <w:szCs w:val="24"/>
          <w14:ligatures w14:val="standardContextual"/>
        </w:rPr>
      </w:pPr>
      <w:r>
        <w:t>5.22.4</w:t>
      </w:r>
      <w:r>
        <w:rPr>
          <w:rFonts w:asciiTheme="minorHAnsi" w:eastAsiaTheme="minorEastAsia" w:hAnsiTheme="minorHAnsi" w:cstheme="minorBidi"/>
          <w:kern w:val="2"/>
          <w:sz w:val="24"/>
          <w:szCs w:val="24"/>
          <w14:ligatures w14:val="standardContextual"/>
        </w:rPr>
        <w:tab/>
      </w:r>
      <w:r>
        <w:t xml:space="preserve">QoS </w:t>
      </w:r>
      <w:r>
        <w:rPr>
          <w:lang w:eastAsia="zh-CN"/>
        </w:rPr>
        <w:t>Mechanisms applied to established QoS Flows</w:t>
      </w:r>
      <w:r>
        <w:tab/>
      </w:r>
      <w:r>
        <w:fldChar w:fldCharType="begin" w:fldLock="1"/>
      </w:r>
      <w:r>
        <w:instrText xml:space="preserve"> PAGEREF _Toc201157443 \h </w:instrText>
      </w:r>
      <w:r>
        <w:fldChar w:fldCharType="separate"/>
      </w:r>
      <w:r>
        <w:t>355</w:t>
      </w:r>
      <w:r>
        <w:fldChar w:fldCharType="end"/>
      </w:r>
    </w:p>
    <w:p w14:paraId="08FFE981" w14:textId="25EF2C19" w:rsidR="006C1B74" w:rsidRDefault="006C1B74">
      <w:pPr>
        <w:pStyle w:val="TOC2"/>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Supporting for Asynchronous Type Communication</w:t>
      </w:r>
      <w:r>
        <w:tab/>
      </w:r>
      <w:r>
        <w:fldChar w:fldCharType="begin" w:fldLock="1"/>
      </w:r>
      <w:r>
        <w:instrText xml:space="preserve"> PAGEREF _Toc201157444 \h </w:instrText>
      </w:r>
      <w:r>
        <w:fldChar w:fldCharType="separate"/>
      </w:r>
      <w:r>
        <w:t>356</w:t>
      </w:r>
      <w:r>
        <w:fldChar w:fldCharType="end"/>
      </w:r>
    </w:p>
    <w:p w14:paraId="5CADA6E5" w14:textId="79761806" w:rsidR="006C1B74" w:rsidRDefault="006C1B74">
      <w:pPr>
        <w:pStyle w:val="TOC2"/>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3GPP PS Data Off</w:t>
      </w:r>
      <w:r>
        <w:tab/>
      </w:r>
      <w:r>
        <w:fldChar w:fldCharType="begin" w:fldLock="1"/>
      </w:r>
      <w:r>
        <w:instrText xml:space="preserve"> PAGEREF _Toc201157445 \h </w:instrText>
      </w:r>
      <w:r>
        <w:fldChar w:fldCharType="separate"/>
      </w:r>
      <w:r>
        <w:t>356</w:t>
      </w:r>
      <w:r>
        <w:fldChar w:fldCharType="end"/>
      </w:r>
    </w:p>
    <w:p w14:paraId="0CE87F67" w14:textId="6662F626" w:rsidR="006C1B74" w:rsidRDefault="006C1B74">
      <w:pPr>
        <w:pStyle w:val="TOC2"/>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Support of OAM Features</w:t>
      </w:r>
      <w:r>
        <w:tab/>
      </w:r>
      <w:r>
        <w:fldChar w:fldCharType="begin" w:fldLock="1"/>
      </w:r>
      <w:r>
        <w:instrText xml:space="preserve"> PAGEREF _Toc201157446 \h </w:instrText>
      </w:r>
      <w:r>
        <w:fldChar w:fldCharType="separate"/>
      </w:r>
      <w:r>
        <w:t>357</w:t>
      </w:r>
      <w:r>
        <w:fldChar w:fldCharType="end"/>
      </w:r>
    </w:p>
    <w:p w14:paraId="4E6C4E96" w14:textId="158A0CF8" w:rsidR="006C1B74" w:rsidRDefault="006C1B74">
      <w:pPr>
        <w:pStyle w:val="TOC3"/>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Support of Tracing: Signalling Based Activation/Deactivation of Tracing</w:t>
      </w:r>
      <w:r>
        <w:tab/>
      </w:r>
      <w:r>
        <w:fldChar w:fldCharType="begin" w:fldLock="1"/>
      </w:r>
      <w:r>
        <w:instrText xml:space="preserve"> PAGEREF _Toc201157447 \h </w:instrText>
      </w:r>
      <w:r>
        <w:fldChar w:fldCharType="separate"/>
      </w:r>
      <w:r>
        <w:t>357</w:t>
      </w:r>
      <w:r>
        <w:fldChar w:fldCharType="end"/>
      </w:r>
    </w:p>
    <w:p w14:paraId="2C0FA4DD" w14:textId="13E86B15" w:rsidR="006C1B74" w:rsidRDefault="006C1B74">
      <w:pPr>
        <w:pStyle w:val="TOC3"/>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Support of OAM-based 5G VN group management</w:t>
      </w:r>
      <w:r>
        <w:tab/>
      </w:r>
      <w:r>
        <w:fldChar w:fldCharType="begin" w:fldLock="1"/>
      </w:r>
      <w:r>
        <w:instrText xml:space="preserve"> PAGEREF _Toc201157448 \h </w:instrText>
      </w:r>
      <w:r>
        <w:fldChar w:fldCharType="separate"/>
      </w:r>
      <w:r>
        <w:t>358</w:t>
      </w:r>
      <w:r>
        <w:fldChar w:fldCharType="end"/>
      </w:r>
    </w:p>
    <w:p w14:paraId="6F3479FD" w14:textId="59046E48" w:rsidR="006C1B74" w:rsidRDefault="006C1B74">
      <w:pPr>
        <w:pStyle w:val="TOC3"/>
        <w:rPr>
          <w:rFonts w:asciiTheme="minorHAnsi" w:eastAsiaTheme="minorEastAsia" w:hAnsiTheme="minorHAnsi" w:cstheme="minorBidi"/>
          <w:kern w:val="2"/>
          <w:sz w:val="24"/>
          <w:szCs w:val="24"/>
          <w14:ligatures w14:val="standardContextual"/>
        </w:rPr>
      </w:pPr>
      <w:r>
        <w:t>5.25.3</w:t>
      </w:r>
      <w:r>
        <w:rPr>
          <w:rFonts w:asciiTheme="minorHAnsi" w:eastAsiaTheme="minorEastAsia" w:hAnsiTheme="minorHAnsi" w:cstheme="minorBidi"/>
          <w:kern w:val="2"/>
          <w:sz w:val="24"/>
          <w:szCs w:val="24"/>
          <w14:ligatures w14:val="standardContextual"/>
        </w:rPr>
        <w:tab/>
      </w:r>
      <w:r>
        <w:t>Signalling Based Activation of QoE Measurement Collection</w:t>
      </w:r>
      <w:r>
        <w:tab/>
      </w:r>
      <w:r>
        <w:fldChar w:fldCharType="begin" w:fldLock="1"/>
      </w:r>
      <w:r>
        <w:instrText xml:space="preserve"> PAGEREF _Toc201157449 \h </w:instrText>
      </w:r>
      <w:r>
        <w:fldChar w:fldCharType="separate"/>
      </w:r>
      <w:r>
        <w:t>358</w:t>
      </w:r>
      <w:r>
        <w:fldChar w:fldCharType="end"/>
      </w:r>
    </w:p>
    <w:p w14:paraId="4B38D898" w14:textId="7030CE0D" w:rsidR="006C1B74" w:rsidRDefault="006C1B74">
      <w:pPr>
        <w:pStyle w:val="TOC2"/>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Configuration Transfer Procedure</w:t>
      </w:r>
      <w:r>
        <w:tab/>
      </w:r>
      <w:r>
        <w:fldChar w:fldCharType="begin" w:fldLock="1"/>
      </w:r>
      <w:r>
        <w:instrText xml:space="preserve"> PAGEREF _Toc201157450 \h </w:instrText>
      </w:r>
      <w:r>
        <w:fldChar w:fldCharType="separate"/>
      </w:r>
      <w:r>
        <w:t>358</w:t>
      </w:r>
      <w:r>
        <w:fldChar w:fldCharType="end"/>
      </w:r>
    </w:p>
    <w:p w14:paraId="5EDA1875" w14:textId="45131B7E" w:rsidR="006C1B74" w:rsidRDefault="006C1B74">
      <w:pPr>
        <w:pStyle w:val="TOC3"/>
        <w:rPr>
          <w:rFonts w:asciiTheme="minorHAnsi" w:eastAsiaTheme="minorEastAsia" w:hAnsiTheme="minorHAnsi" w:cstheme="minorBidi"/>
          <w:kern w:val="2"/>
          <w:sz w:val="24"/>
          <w:szCs w:val="24"/>
          <w14:ligatures w14:val="standardContextual"/>
        </w:rPr>
      </w:pPr>
      <w:r>
        <w:t>5.26.1</w:t>
      </w:r>
      <w:r>
        <w:rPr>
          <w:rFonts w:asciiTheme="minorHAnsi" w:eastAsiaTheme="minorEastAsia" w:hAnsiTheme="minorHAnsi" w:cstheme="minorBidi"/>
          <w:kern w:val="2"/>
          <w:sz w:val="24"/>
          <w:szCs w:val="24"/>
          <w14:ligatures w14:val="standardContextual"/>
        </w:rPr>
        <w:tab/>
      </w:r>
      <w:r>
        <w:t>Architecture Principles for Configuration Transfer</w:t>
      </w:r>
      <w:r>
        <w:tab/>
      </w:r>
      <w:r>
        <w:fldChar w:fldCharType="begin" w:fldLock="1"/>
      </w:r>
      <w:r>
        <w:instrText xml:space="preserve"> PAGEREF _Toc201157451 \h </w:instrText>
      </w:r>
      <w:r>
        <w:fldChar w:fldCharType="separate"/>
      </w:r>
      <w:r>
        <w:t>358</w:t>
      </w:r>
      <w:r>
        <w:fldChar w:fldCharType="end"/>
      </w:r>
    </w:p>
    <w:p w14:paraId="6FE92727" w14:textId="3D75ACE5" w:rsidR="006C1B74" w:rsidRDefault="006C1B74">
      <w:pPr>
        <w:pStyle w:val="TOC3"/>
        <w:rPr>
          <w:rFonts w:asciiTheme="minorHAnsi" w:eastAsiaTheme="minorEastAsia" w:hAnsiTheme="minorHAnsi" w:cstheme="minorBidi"/>
          <w:kern w:val="2"/>
          <w:sz w:val="24"/>
          <w:szCs w:val="24"/>
          <w14:ligatures w14:val="standardContextual"/>
        </w:rPr>
      </w:pPr>
      <w:r>
        <w:t>5.26.2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fldLock="1"/>
      </w:r>
      <w:r>
        <w:instrText xml:space="preserve"> PAGEREF _Toc201157452 \h </w:instrText>
      </w:r>
      <w:r>
        <w:fldChar w:fldCharType="separate"/>
      </w:r>
      <w:r>
        <w:t>359</w:t>
      </w:r>
      <w:r>
        <w:fldChar w:fldCharType="end"/>
      </w:r>
    </w:p>
    <w:p w14:paraId="5E8FFD86" w14:textId="6EA365D9" w:rsidR="006C1B74" w:rsidRDefault="006C1B74">
      <w:pPr>
        <w:pStyle w:val="TOC4"/>
        <w:rPr>
          <w:rFonts w:asciiTheme="minorHAnsi" w:eastAsiaTheme="minorEastAsia" w:hAnsiTheme="minorHAnsi" w:cstheme="minorBidi"/>
          <w:kern w:val="2"/>
          <w:sz w:val="24"/>
          <w:szCs w:val="24"/>
          <w14:ligatures w14:val="standardContextual"/>
        </w:rPr>
      </w:pPr>
      <w:r>
        <w:t>5.26.2.1</w:t>
      </w:r>
      <w:r>
        <w:rPr>
          <w:rFonts w:asciiTheme="minorHAnsi" w:eastAsiaTheme="minorEastAsia" w:hAnsiTheme="minorHAnsi" w:cstheme="minorBidi"/>
          <w:kern w:val="2"/>
          <w:sz w:val="24"/>
          <w:szCs w:val="24"/>
          <w14:ligatures w14:val="standardContextual"/>
        </w:rPr>
        <w:tab/>
      </w:r>
      <w:r>
        <w:t>Addressing</w:t>
      </w:r>
      <w:r>
        <w:tab/>
      </w:r>
      <w:r>
        <w:fldChar w:fldCharType="begin" w:fldLock="1"/>
      </w:r>
      <w:r>
        <w:instrText xml:space="preserve"> PAGEREF _Toc201157453 \h </w:instrText>
      </w:r>
      <w:r>
        <w:fldChar w:fldCharType="separate"/>
      </w:r>
      <w:r>
        <w:t>359</w:t>
      </w:r>
      <w:r>
        <w:fldChar w:fldCharType="end"/>
      </w:r>
    </w:p>
    <w:p w14:paraId="54FDEF58" w14:textId="51FEC00C" w:rsidR="006C1B74" w:rsidRDefault="006C1B74">
      <w:pPr>
        <w:pStyle w:val="TOC4"/>
        <w:rPr>
          <w:rFonts w:asciiTheme="minorHAnsi" w:eastAsiaTheme="minorEastAsia" w:hAnsiTheme="minorHAnsi" w:cstheme="minorBidi"/>
          <w:kern w:val="2"/>
          <w:sz w:val="24"/>
          <w:szCs w:val="24"/>
          <w14:ligatures w14:val="standardContextual"/>
        </w:rPr>
      </w:pPr>
      <w:r>
        <w:t>5.26.2.2</w:t>
      </w:r>
      <w:r>
        <w:rPr>
          <w:rFonts w:asciiTheme="minorHAnsi" w:eastAsiaTheme="minorEastAsia" w:hAnsiTheme="minorHAnsi" w:cstheme="minorBidi"/>
          <w:kern w:val="2"/>
          <w:sz w:val="24"/>
          <w:szCs w:val="24"/>
          <w14:ligatures w14:val="standardContextual"/>
        </w:rPr>
        <w:tab/>
      </w:r>
      <w:r>
        <w:t>Routing</w:t>
      </w:r>
      <w:r>
        <w:tab/>
      </w:r>
      <w:r>
        <w:fldChar w:fldCharType="begin" w:fldLock="1"/>
      </w:r>
      <w:r>
        <w:instrText xml:space="preserve"> PAGEREF _Toc201157454 \h </w:instrText>
      </w:r>
      <w:r>
        <w:fldChar w:fldCharType="separate"/>
      </w:r>
      <w:r>
        <w:t>359</w:t>
      </w:r>
      <w:r>
        <w:fldChar w:fldCharType="end"/>
      </w:r>
    </w:p>
    <w:p w14:paraId="2CD3F1DD" w14:textId="3F86FB26" w:rsidR="006C1B74" w:rsidRDefault="006C1B74">
      <w:pPr>
        <w:pStyle w:val="TOC4"/>
        <w:rPr>
          <w:rFonts w:asciiTheme="minorHAnsi" w:eastAsiaTheme="minorEastAsia" w:hAnsiTheme="minorHAnsi" w:cstheme="minorBidi"/>
          <w:kern w:val="2"/>
          <w:sz w:val="24"/>
          <w:szCs w:val="24"/>
          <w14:ligatures w14:val="standardContextual"/>
        </w:rPr>
      </w:pPr>
      <w:r>
        <w:t>5.26.2.3</w:t>
      </w:r>
      <w:r>
        <w:rPr>
          <w:rFonts w:asciiTheme="minorHAnsi" w:eastAsiaTheme="minorEastAsia" w:hAnsiTheme="minorHAnsi" w:cstheme="minorBidi"/>
          <w:kern w:val="2"/>
          <w:sz w:val="24"/>
          <w:szCs w:val="24"/>
          <w14:ligatures w14:val="standardContextual"/>
        </w:rPr>
        <w:tab/>
      </w:r>
      <w:r>
        <w:t>Relaying</w:t>
      </w:r>
      <w:r>
        <w:tab/>
      </w:r>
      <w:r>
        <w:fldChar w:fldCharType="begin" w:fldLock="1"/>
      </w:r>
      <w:r>
        <w:instrText xml:space="preserve"> PAGEREF _Toc201157455 \h </w:instrText>
      </w:r>
      <w:r>
        <w:fldChar w:fldCharType="separate"/>
      </w:r>
      <w:r>
        <w:t>359</w:t>
      </w:r>
      <w:r>
        <w:fldChar w:fldCharType="end"/>
      </w:r>
    </w:p>
    <w:p w14:paraId="59F27E87" w14:textId="428B2278" w:rsidR="006C1B74" w:rsidRDefault="006C1B74">
      <w:pPr>
        <w:pStyle w:val="TOC2"/>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Enablers for Time Sensitive Communications, Time Synchronization and Deterministic Networking</w:t>
      </w:r>
      <w:r>
        <w:tab/>
      </w:r>
      <w:r>
        <w:fldChar w:fldCharType="begin" w:fldLock="1"/>
      </w:r>
      <w:r>
        <w:instrText xml:space="preserve"> PAGEREF _Toc201157456 \h </w:instrText>
      </w:r>
      <w:r>
        <w:fldChar w:fldCharType="separate"/>
      </w:r>
      <w:r>
        <w:t>359</w:t>
      </w:r>
      <w:r>
        <w:fldChar w:fldCharType="end"/>
      </w:r>
    </w:p>
    <w:p w14:paraId="46ECF9AD" w14:textId="1200865C" w:rsidR="006C1B74" w:rsidRDefault="006C1B74">
      <w:pPr>
        <w:pStyle w:val="TOC3"/>
        <w:rPr>
          <w:rFonts w:asciiTheme="minorHAnsi" w:eastAsiaTheme="minorEastAsia" w:hAnsiTheme="minorHAnsi" w:cstheme="minorBidi"/>
          <w:kern w:val="2"/>
          <w:sz w:val="24"/>
          <w:szCs w:val="24"/>
          <w14:ligatures w14:val="standardContextual"/>
        </w:rPr>
      </w:pPr>
      <w:r>
        <w:t>5.27.0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_Toc201157457 \h </w:instrText>
      </w:r>
      <w:r>
        <w:fldChar w:fldCharType="separate"/>
      </w:r>
      <w:r>
        <w:t>359</w:t>
      </w:r>
      <w:r>
        <w:fldChar w:fldCharType="end"/>
      </w:r>
    </w:p>
    <w:p w14:paraId="0C334CA0" w14:textId="3EC75505" w:rsidR="006C1B74" w:rsidRDefault="006C1B74">
      <w:pPr>
        <w:pStyle w:val="TOC3"/>
        <w:rPr>
          <w:rFonts w:asciiTheme="minorHAnsi" w:eastAsiaTheme="minorEastAsia" w:hAnsiTheme="minorHAnsi" w:cstheme="minorBidi"/>
          <w:kern w:val="2"/>
          <w:sz w:val="24"/>
          <w:szCs w:val="24"/>
          <w14:ligatures w14:val="standardContextual"/>
        </w:rPr>
      </w:pPr>
      <w:r>
        <w:t>5.27.1</w:t>
      </w:r>
      <w:r>
        <w:rPr>
          <w:rFonts w:asciiTheme="minorHAnsi" w:eastAsiaTheme="minorEastAsia" w:hAnsiTheme="minorHAnsi" w:cstheme="minorBidi"/>
          <w:kern w:val="2"/>
          <w:sz w:val="24"/>
          <w:szCs w:val="24"/>
          <w14:ligatures w14:val="standardContextual"/>
        </w:rPr>
        <w:tab/>
      </w:r>
      <w:r>
        <w:t>Time Synchronization</w:t>
      </w:r>
      <w:r>
        <w:tab/>
      </w:r>
      <w:r>
        <w:fldChar w:fldCharType="begin" w:fldLock="1"/>
      </w:r>
      <w:r>
        <w:instrText xml:space="preserve"> PAGEREF _Toc201157458 \h </w:instrText>
      </w:r>
      <w:r>
        <w:fldChar w:fldCharType="separate"/>
      </w:r>
      <w:r>
        <w:t>360</w:t>
      </w:r>
      <w:r>
        <w:fldChar w:fldCharType="end"/>
      </w:r>
    </w:p>
    <w:p w14:paraId="270F4362" w14:textId="15AFE778" w:rsidR="006C1B74" w:rsidRDefault="006C1B74">
      <w:pPr>
        <w:pStyle w:val="TOC4"/>
        <w:rPr>
          <w:rFonts w:asciiTheme="minorHAnsi" w:eastAsiaTheme="minorEastAsia" w:hAnsiTheme="minorHAnsi" w:cstheme="minorBidi"/>
          <w:kern w:val="2"/>
          <w:sz w:val="24"/>
          <w:szCs w:val="24"/>
          <w14:ligatures w14:val="standardContextual"/>
        </w:rPr>
      </w:pPr>
      <w:r>
        <w:t>5.27.1.1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_Toc201157459 \h </w:instrText>
      </w:r>
      <w:r>
        <w:fldChar w:fldCharType="separate"/>
      </w:r>
      <w:r>
        <w:t>360</w:t>
      </w:r>
      <w:r>
        <w:fldChar w:fldCharType="end"/>
      </w:r>
    </w:p>
    <w:p w14:paraId="0F98D55B" w14:textId="553AD97D" w:rsidR="006C1B74" w:rsidRDefault="006C1B74">
      <w:pPr>
        <w:pStyle w:val="TOC4"/>
        <w:rPr>
          <w:rFonts w:asciiTheme="minorHAnsi" w:eastAsiaTheme="minorEastAsia" w:hAnsiTheme="minorHAnsi" w:cstheme="minorBidi"/>
          <w:kern w:val="2"/>
          <w:sz w:val="24"/>
          <w:szCs w:val="24"/>
          <w14:ligatures w14:val="standardContextual"/>
        </w:rPr>
      </w:pPr>
      <w:r>
        <w:t>5.27.1.2</w:t>
      </w:r>
      <w:r>
        <w:rPr>
          <w:rFonts w:asciiTheme="minorHAnsi" w:eastAsiaTheme="minorEastAsia" w:hAnsiTheme="minorHAnsi" w:cstheme="minorBidi"/>
          <w:kern w:val="2"/>
          <w:sz w:val="24"/>
          <w:szCs w:val="24"/>
          <w14:ligatures w14:val="standardContextual"/>
        </w:rPr>
        <w:tab/>
      </w:r>
      <w:r>
        <w:t>Distribution of timing information</w:t>
      </w:r>
      <w:r>
        <w:tab/>
      </w:r>
      <w:r>
        <w:fldChar w:fldCharType="begin" w:fldLock="1"/>
      </w:r>
      <w:r>
        <w:instrText xml:space="preserve"> PAGEREF _Toc201157460 \h </w:instrText>
      </w:r>
      <w:r>
        <w:fldChar w:fldCharType="separate"/>
      </w:r>
      <w:r>
        <w:t>361</w:t>
      </w:r>
      <w:r>
        <w:fldChar w:fldCharType="end"/>
      </w:r>
    </w:p>
    <w:p w14:paraId="753DB3DC" w14:textId="060E1882" w:rsidR="006C1B74" w:rsidRDefault="006C1B74">
      <w:pPr>
        <w:pStyle w:val="TOC5"/>
        <w:rPr>
          <w:rFonts w:asciiTheme="minorHAnsi" w:eastAsiaTheme="minorEastAsia" w:hAnsiTheme="minorHAnsi" w:cstheme="minorBidi"/>
          <w:kern w:val="2"/>
          <w:sz w:val="24"/>
          <w:szCs w:val="24"/>
          <w14:ligatures w14:val="standardContextual"/>
        </w:rPr>
      </w:pPr>
      <w:r>
        <w:t>5.27.1.2.1</w:t>
      </w:r>
      <w:r>
        <w:rPr>
          <w:rFonts w:asciiTheme="minorHAnsi" w:eastAsiaTheme="minorEastAsia" w:hAnsiTheme="minorHAnsi" w:cstheme="minorBidi"/>
          <w:kern w:val="2"/>
          <w:sz w:val="24"/>
          <w:szCs w:val="24"/>
          <w14:ligatures w14:val="standardContextual"/>
        </w:rPr>
        <w:tab/>
      </w:r>
      <w:r>
        <w:t>Distribution of 5G internal system clock</w:t>
      </w:r>
      <w:r>
        <w:tab/>
      </w:r>
      <w:r>
        <w:fldChar w:fldCharType="begin" w:fldLock="1"/>
      </w:r>
      <w:r>
        <w:instrText xml:space="preserve"> PAGEREF _Toc201157461 \h </w:instrText>
      </w:r>
      <w:r>
        <w:fldChar w:fldCharType="separate"/>
      </w:r>
      <w:r>
        <w:t>361</w:t>
      </w:r>
      <w:r>
        <w:fldChar w:fldCharType="end"/>
      </w:r>
    </w:p>
    <w:p w14:paraId="5B29FAC7" w14:textId="27C175ED" w:rsidR="006C1B74" w:rsidRDefault="006C1B74">
      <w:pPr>
        <w:pStyle w:val="TOC5"/>
        <w:rPr>
          <w:rFonts w:asciiTheme="minorHAnsi" w:eastAsiaTheme="minorEastAsia" w:hAnsiTheme="minorHAnsi" w:cstheme="minorBidi"/>
          <w:kern w:val="2"/>
          <w:sz w:val="24"/>
          <w:szCs w:val="24"/>
          <w14:ligatures w14:val="standardContextual"/>
        </w:rPr>
      </w:pPr>
      <w:r>
        <w:t>5.27.1.2.2</w:t>
      </w:r>
      <w:r>
        <w:rPr>
          <w:rFonts w:asciiTheme="minorHAnsi" w:eastAsiaTheme="minorEastAsia" w:hAnsiTheme="minorHAnsi" w:cstheme="minorBidi"/>
          <w:kern w:val="2"/>
          <w:sz w:val="24"/>
          <w:szCs w:val="24"/>
          <w14:ligatures w14:val="standardContextual"/>
        </w:rPr>
        <w:tab/>
      </w:r>
      <w:r>
        <w:t>Distribution of grandmaster clock and time-stamping</w:t>
      </w:r>
      <w:r>
        <w:tab/>
      </w:r>
      <w:r>
        <w:fldChar w:fldCharType="begin" w:fldLock="1"/>
      </w:r>
      <w:r>
        <w:instrText xml:space="preserve"> PAGEREF _Toc201157462 \h </w:instrText>
      </w:r>
      <w:r>
        <w:fldChar w:fldCharType="separate"/>
      </w:r>
      <w:r>
        <w:t>361</w:t>
      </w:r>
      <w:r>
        <w:fldChar w:fldCharType="end"/>
      </w:r>
    </w:p>
    <w:p w14:paraId="748687DF" w14:textId="27384ADA" w:rsidR="006C1B74" w:rsidRDefault="006C1B74">
      <w:pPr>
        <w:pStyle w:val="TOC4"/>
        <w:rPr>
          <w:rFonts w:asciiTheme="minorHAnsi" w:eastAsiaTheme="minorEastAsia" w:hAnsiTheme="minorHAnsi" w:cstheme="minorBidi"/>
          <w:kern w:val="2"/>
          <w:sz w:val="24"/>
          <w:szCs w:val="24"/>
          <w14:ligatures w14:val="standardContextual"/>
        </w:rPr>
      </w:pPr>
      <w:r>
        <w:t>5.27.1.3</w:t>
      </w:r>
      <w:r>
        <w:rPr>
          <w:rFonts w:asciiTheme="minorHAnsi" w:eastAsiaTheme="minorEastAsia" w:hAnsiTheme="minorHAnsi" w:cstheme="minorBidi"/>
          <w:kern w:val="2"/>
          <w:sz w:val="24"/>
          <w:szCs w:val="24"/>
          <w14:ligatures w14:val="standardContextual"/>
        </w:rPr>
        <w:tab/>
      </w:r>
      <w:r>
        <w:t>Support for multiple (g)PTP domains</w:t>
      </w:r>
      <w:r>
        <w:tab/>
      </w:r>
      <w:r>
        <w:fldChar w:fldCharType="begin" w:fldLock="1"/>
      </w:r>
      <w:r>
        <w:instrText xml:space="preserve"> PAGEREF _Toc201157463 \h </w:instrText>
      </w:r>
      <w:r>
        <w:fldChar w:fldCharType="separate"/>
      </w:r>
      <w:r>
        <w:t>364</w:t>
      </w:r>
      <w:r>
        <w:fldChar w:fldCharType="end"/>
      </w:r>
    </w:p>
    <w:p w14:paraId="68175F35" w14:textId="7A821C9F" w:rsidR="006C1B74" w:rsidRDefault="006C1B74">
      <w:pPr>
        <w:pStyle w:val="TOC4"/>
        <w:rPr>
          <w:rFonts w:asciiTheme="minorHAnsi" w:eastAsiaTheme="minorEastAsia" w:hAnsiTheme="minorHAnsi" w:cstheme="minorBidi"/>
          <w:kern w:val="2"/>
          <w:sz w:val="24"/>
          <w:szCs w:val="24"/>
          <w14:ligatures w14:val="standardContextual"/>
        </w:rPr>
      </w:pPr>
      <w:r>
        <w:t>5.27.1.4</w:t>
      </w:r>
      <w:r>
        <w:rPr>
          <w:rFonts w:asciiTheme="minorHAnsi" w:eastAsiaTheme="minorEastAsia" w:hAnsiTheme="minorHAnsi" w:cstheme="minorBidi"/>
          <w:kern w:val="2"/>
          <w:sz w:val="24"/>
          <w:szCs w:val="24"/>
          <w14:ligatures w14:val="standardContextual"/>
        </w:rPr>
        <w:tab/>
      </w:r>
      <w:r>
        <w:t>DS-TT and NW-TT Time Synchronization functionality</w:t>
      </w:r>
      <w:r>
        <w:tab/>
      </w:r>
      <w:r>
        <w:fldChar w:fldCharType="begin" w:fldLock="1"/>
      </w:r>
      <w:r>
        <w:instrText xml:space="preserve"> PAGEREF _Toc201157464 \h </w:instrText>
      </w:r>
      <w:r>
        <w:fldChar w:fldCharType="separate"/>
      </w:r>
      <w:r>
        <w:t>365</w:t>
      </w:r>
      <w:r>
        <w:fldChar w:fldCharType="end"/>
      </w:r>
    </w:p>
    <w:p w14:paraId="63AC755A" w14:textId="5D99A343" w:rsidR="006C1B74" w:rsidRDefault="006C1B74">
      <w:pPr>
        <w:pStyle w:val="TOC4"/>
        <w:rPr>
          <w:rFonts w:asciiTheme="minorHAnsi" w:eastAsiaTheme="minorEastAsia" w:hAnsiTheme="minorHAnsi" w:cstheme="minorBidi"/>
          <w:kern w:val="2"/>
          <w:sz w:val="24"/>
          <w:szCs w:val="24"/>
          <w14:ligatures w14:val="standardContextual"/>
        </w:rPr>
      </w:pPr>
      <w:r>
        <w:t>5.27.1.5</w:t>
      </w:r>
      <w:r>
        <w:rPr>
          <w:rFonts w:asciiTheme="minorHAnsi" w:eastAsiaTheme="minorEastAsia" w:hAnsiTheme="minorHAnsi" w:cstheme="minorBidi"/>
          <w:kern w:val="2"/>
          <w:sz w:val="24"/>
          <w:szCs w:val="24"/>
          <w14:ligatures w14:val="standardContextual"/>
        </w:rPr>
        <w:tab/>
      </w:r>
      <w:r>
        <w:t>Detection of (g)PTP Sync and Announce timeouts</w:t>
      </w:r>
      <w:r>
        <w:tab/>
      </w:r>
      <w:r>
        <w:fldChar w:fldCharType="begin" w:fldLock="1"/>
      </w:r>
      <w:r>
        <w:instrText xml:space="preserve"> PAGEREF _Toc201157465 \h </w:instrText>
      </w:r>
      <w:r>
        <w:fldChar w:fldCharType="separate"/>
      </w:r>
      <w:r>
        <w:t>366</w:t>
      </w:r>
      <w:r>
        <w:fldChar w:fldCharType="end"/>
      </w:r>
    </w:p>
    <w:p w14:paraId="6A1EFC9F" w14:textId="7EAC58BC" w:rsidR="006C1B74" w:rsidRDefault="006C1B74">
      <w:pPr>
        <w:pStyle w:val="TOC4"/>
        <w:rPr>
          <w:rFonts w:asciiTheme="minorHAnsi" w:eastAsiaTheme="minorEastAsia" w:hAnsiTheme="minorHAnsi" w:cstheme="minorBidi"/>
          <w:kern w:val="2"/>
          <w:sz w:val="24"/>
          <w:szCs w:val="24"/>
          <w14:ligatures w14:val="standardContextual"/>
        </w:rPr>
      </w:pPr>
      <w:r>
        <w:t>5.27.1.6</w:t>
      </w:r>
      <w:r>
        <w:rPr>
          <w:rFonts w:asciiTheme="minorHAnsi" w:eastAsiaTheme="minorEastAsia" w:hAnsiTheme="minorHAnsi" w:cstheme="minorBidi"/>
          <w:kern w:val="2"/>
          <w:sz w:val="24"/>
          <w:szCs w:val="24"/>
          <w14:ligatures w14:val="standardContextual"/>
        </w:rPr>
        <w:tab/>
      </w:r>
      <w:r>
        <w:t>Distribution of Announce messages and best master clock selection</w:t>
      </w:r>
      <w:r>
        <w:tab/>
      </w:r>
      <w:r>
        <w:fldChar w:fldCharType="begin" w:fldLock="1"/>
      </w:r>
      <w:r>
        <w:instrText xml:space="preserve"> PAGEREF _Toc201157466 \h </w:instrText>
      </w:r>
      <w:r>
        <w:fldChar w:fldCharType="separate"/>
      </w:r>
      <w:r>
        <w:t>366</w:t>
      </w:r>
      <w:r>
        <w:fldChar w:fldCharType="end"/>
      </w:r>
    </w:p>
    <w:p w14:paraId="41CE546D" w14:textId="353E99E0" w:rsidR="006C1B74" w:rsidRDefault="006C1B74">
      <w:pPr>
        <w:pStyle w:val="TOC4"/>
        <w:rPr>
          <w:rFonts w:asciiTheme="minorHAnsi" w:eastAsiaTheme="minorEastAsia" w:hAnsiTheme="minorHAnsi" w:cstheme="minorBidi"/>
          <w:kern w:val="2"/>
          <w:sz w:val="24"/>
          <w:szCs w:val="24"/>
          <w14:ligatures w14:val="standardContextual"/>
        </w:rPr>
      </w:pPr>
      <w:r>
        <w:t>5.27.1.7</w:t>
      </w:r>
      <w:r>
        <w:rPr>
          <w:rFonts w:asciiTheme="minorHAnsi" w:eastAsiaTheme="minorEastAsia" w:hAnsiTheme="minorHAnsi" w:cstheme="minorBidi"/>
          <w:kern w:val="2"/>
          <w:sz w:val="24"/>
          <w:szCs w:val="24"/>
          <w14:ligatures w14:val="standardContextual"/>
        </w:rPr>
        <w:tab/>
      </w:r>
      <w:r>
        <w:t>Support for PTP grandmaster function in 5GS</w:t>
      </w:r>
      <w:r>
        <w:tab/>
      </w:r>
      <w:r>
        <w:fldChar w:fldCharType="begin" w:fldLock="1"/>
      </w:r>
      <w:r>
        <w:instrText xml:space="preserve"> PAGEREF _Toc201157467 \h </w:instrText>
      </w:r>
      <w:r>
        <w:fldChar w:fldCharType="separate"/>
      </w:r>
      <w:r>
        <w:t>367</w:t>
      </w:r>
      <w:r>
        <w:fldChar w:fldCharType="end"/>
      </w:r>
    </w:p>
    <w:p w14:paraId="2389AC52" w14:textId="693598EC" w:rsidR="006C1B74" w:rsidRDefault="006C1B74">
      <w:pPr>
        <w:pStyle w:val="TOC4"/>
        <w:rPr>
          <w:rFonts w:asciiTheme="minorHAnsi" w:eastAsiaTheme="minorEastAsia" w:hAnsiTheme="minorHAnsi" w:cstheme="minorBidi"/>
          <w:kern w:val="2"/>
          <w:sz w:val="24"/>
          <w:szCs w:val="24"/>
          <w14:ligatures w14:val="standardContextual"/>
        </w:rPr>
      </w:pPr>
      <w:r>
        <w:t>5.27.1.8</w:t>
      </w:r>
      <w:r>
        <w:rPr>
          <w:rFonts w:asciiTheme="minorHAnsi" w:eastAsiaTheme="minorEastAsia" w:hAnsiTheme="minorHAnsi" w:cstheme="minorBidi"/>
          <w:kern w:val="2"/>
          <w:sz w:val="24"/>
          <w:szCs w:val="24"/>
          <w14:ligatures w14:val="standardContextual"/>
        </w:rPr>
        <w:tab/>
      </w:r>
      <w:r>
        <w:t>Exposure of Time Synchronization</w:t>
      </w:r>
      <w:r>
        <w:tab/>
      </w:r>
      <w:r>
        <w:fldChar w:fldCharType="begin" w:fldLock="1"/>
      </w:r>
      <w:r>
        <w:instrText xml:space="preserve"> PAGEREF _Toc201157468 \h </w:instrText>
      </w:r>
      <w:r>
        <w:fldChar w:fldCharType="separate"/>
      </w:r>
      <w:r>
        <w:t>367</w:t>
      </w:r>
      <w:r>
        <w:fldChar w:fldCharType="end"/>
      </w:r>
    </w:p>
    <w:p w14:paraId="73A48DA4" w14:textId="70FC46A2" w:rsidR="006C1B74" w:rsidRDefault="006C1B74">
      <w:pPr>
        <w:pStyle w:val="TOC4"/>
        <w:rPr>
          <w:rFonts w:asciiTheme="minorHAnsi" w:eastAsiaTheme="minorEastAsia" w:hAnsiTheme="minorHAnsi" w:cstheme="minorBidi"/>
          <w:kern w:val="2"/>
          <w:sz w:val="24"/>
          <w:szCs w:val="24"/>
          <w14:ligatures w14:val="standardContextual"/>
        </w:rPr>
      </w:pPr>
      <w:r>
        <w:t>5.27.1.9</w:t>
      </w:r>
      <w:r>
        <w:rPr>
          <w:rFonts w:asciiTheme="minorHAnsi" w:eastAsiaTheme="minorEastAsia" w:hAnsiTheme="minorHAnsi" w:cstheme="minorBidi"/>
          <w:kern w:val="2"/>
          <w:sz w:val="24"/>
          <w:szCs w:val="24"/>
          <w14:ligatures w14:val="standardContextual"/>
        </w:rPr>
        <w:tab/>
      </w:r>
      <w:r>
        <w:t>Support for derivation of Uu time synchronization error budget</w:t>
      </w:r>
      <w:r>
        <w:tab/>
      </w:r>
      <w:r>
        <w:fldChar w:fldCharType="begin" w:fldLock="1"/>
      </w:r>
      <w:r>
        <w:instrText xml:space="preserve"> PAGEREF _Toc201157469 \h </w:instrText>
      </w:r>
      <w:r>
        <w:fldChar w:fldCharType="separate"/>
      </w:r>
      <w:r>
        <w:t>369</w:t>
      </w:r>
      <w:r>
        <w:fldChar w:fldCharType="end"/>
      </w:r>
    </w:p>
    <w:p w14:paraId="0ADAD434" w14:textId="14A9A752" w:rsidR="006C1B74" w:rsidRDefault="006C1B74">
      <w:pPr>
        <w:pStyle w:val="TOC4"/>
        <w:rPr>
          <w:rFonts w:asciiTheme="minorHAnsi" w:eastAsiaTheme="minorEastAsia" w:hAnsiTheme="minorHAnsi" w:cstheme="minorBidi"/>
          <w:kern w:val="2"/>
          <w:sz w:val="24"/>
          <w:szCs w:val="24"/>
          <w14:ligatures w14:val="standardContextual"/>
        </w:rPr>
      </w:pPr>
      <w:r>
        <w:t>5.27.1.10</w:t>
      </w:r>
      <w:r>
        <w:rPr>
          <w:rFonts w:asciiTheme="minorHAnsi" w:eastAsiaTheme="minorEastAsia" w:hAnsiTheme="minorHAnsi" w:cstheme="minorBidi"/>
          <w:kern w:val="2"/>
          <w:sz w:val="24"/>
          <w:szCs w:val="24"/>
          <w14:ligatures w14:val="standardContextual"/>
        </w:rPr>
        <w:tab/>
      </w:r>
      <w:r>
        <w:t>Support for coverage area filters for time synchronization service</w:t>
      </w:r>
      <w:r>
        <w:tab/>
      </w:r>
      <w:r>
        <w:fldChar w:fldCharType="begin" w:fldLock="1"/>
      </w:r>
      <w:r>
        <w:instrText xml:space="preserve"> PAGEREF _Toc201157470 \h </w:instrText>
      </w:r>
      <w:r>
        <w:fldChar w:fldCharType="separate"/>
      </w:r>
      <w:r>
        <w:t>369</w:t>
      </w:r>
      <w:r>
        <w:fldChar w:fldCharType="end"/>
      </w:r>
    </w:p>
    <w:p w14:paraId="080B79AE" w14:textId="57AAD037" w:rsidR="006C1B74" w:rsidRDefault="006C1B74">
      <w:pPr>
        <w:pStyle w:val="TOC4"/>
        <w:rPr>
          <w:rFonts w:asciiTheme="minorHAnsi" w:eastAsiaTheme="minorEastAsia" w:hAnsiTheme="minorHAnsi" w:cstheme="minorBidi"/>
          <w:kern w:val="2"/>
          <w:sz w:val="24"/>
          <w:szCs w:val="24"/>
          <w14:ligatures w14:val="standardContextual"/>
        </w:rPr>
      </w:pPr>
      <w:r>
        <w:t>5.27.1.11</w:t>
      </w:r>
      <w:r>
        <w:rPr>
          <w:rFonts w:asciiTheme="minorHAnsi" w:eastAsiaTheme="minorEastAsia" w:hAnsiTheme="minorHAnsi" w:cstheme="minorBidi"/>
          <w:kern w:val="2"/>
          <w:sz w:val="24"/>
          <w:szCs w:val="24"/>
          <w14:ligatures w14:val="standardContextual"/>
        </w:rPr>
        <w:tab/>
      </w:r>
      <w:r>
        <w:t>Controlling time synchronization service based on the Subscription</w:t>
      </w:r>
      <w:r>
        <w:tab/>
      </w:r>
      <w:r>
        <w:fldChar w:fldCharType="begin" w:fldLock="1"/>
      </w:r>
      <w:r>
        <w:instrText xml:space="preserve"> PAGEREF _Toc201157471 \h </w:instrText>
      </w:r>
      <w:r>
        <w:fldChar w:fldCharType="separate"/>
      </w:r>
      <w:r>
        <w:t>370</w:t>
      </w:r>
      <w:r>
        <w:fldChar w:fldCharType="end"/>
      </w:r>
    </w:p>
    <w:p w14:paraId="3B47B0D3" w14:textId="3FF89F66" w:rsidR="006C1B74" w:rsidRDefault="006C1B74">
      <w:pPr>
        <w:pStyle w:val="TOC4"/>
        <w:rPr>
          <w:rFonts w:asciiTheme="minorHAnsi" w:eastAsiaTheme="minorEastAsia" w:hAnsiTheme="minorHAnsi" w:cstheme="minorBidi"/>
          <w:kern w:val="2"/>
          <w:sz w:val="24"/>
          <w:szCs w:val="24"/>
          <w14:ligatures w14:val="standardContextual"/>
        </w:rPr>
      </w:pPr>
      <w:r>
        <w:t>5.27.1.12</w:t>
      </w:r>
      <w:r>
        <w:rPr>
          <w:rFonts w:asciiTheme="minorHAnsi" w:eastAsiaTheme="minorEastAsia" w:hAnsiTheme="minorHAnsi" w:cstheme="minorBidi"/>
          <w:kern w:val="2"/>
          <w:sz w:val="24"/>
          <w:szCs w:val="24"/>
          <w14:ligatures w14:val="standardContextual"/>
        </w:rPr>
        <w:tab/>
      </w:r>
      <w:r>
        <w:t>Support for network timing synchronization status monitoring</w:t>
      </w:r>
      <w:r>
        <w:tab/>
      </w:r>
      <w:r>
        <w:fldChar w:fldCharType="begin" w:fldLock="1"/>
      </w:r>
      <w:r>
        <w:instrText xml:space="preserve"> PAGEREF _Toc201157472 \h </w:instrText>
      </w:r>
      <w:r>
        <w:fldChar w:fldCharType="separate"/>
      </w:r>
      <w:r>
        <w:t>373</w:t>
      </w:r>
      <w:r>
        <w:fldChar w:fldCharType="end"/>
      </w:r>
    </w:p>
    <w:p w14:paraId="4857535D" w14:textId="345E58D6" w:rsidR="006C1B74" w:rsidRDefault="006C1B74">
      <w:pPr>
        <w:pStyle w:val="TOC3"/>
        <w:rPr>
          <w:rFonts w:asciiTheme="minorHAnsi" w:eastAsiaTheme="minorEastAsia" w:hAnsiTheme="minorHAnsi" w:cstheme="minorBidi"/>
          <w:kern w:val="2"/>
          <w:sz w:val="24"/>
          <w:szCs w:val="24"/>
          <w14:ligatures w14:val="standardContextual"/>
        </w:rPr>
      </w:pPr>
      <w:r>
        <w:t>5.27.1a</w:t>
      </w:r>
      <w:r>
        <w:rPr>
          <w:rFonts w:asciiTheme="minorHAnsi" w:eastAsiaTheme="minorEastAsia" w:hAnsiTheme="minorHAnsi" w:cstheme="minorBidi"/>
          <w:kern w:val="2"/>
          <w:sz w:val="24"/>
          <w:szCs w:val="24"/>
          <w14:ligatures w14:val="standardContextual"/>
        </w:rPr>
        <w:tab/>
      </w:r>
      <w:r>
        <w:t>Periodic deterministic communication</w:t>
      </w:r>
      <w:r>
        <w:tab/>
      </w:r>
      <w:r>
        <w:fldChar w:fldCharType="begin" w:fldLock="1"/>
      </w:r>
      <w:r>
        <w:instrText xml:space="preserve"> PAGEREF _Toc201157473 \h </w:instrText>
      </w:r>
      <w:r>
        <w:fldChar w:fldCharType="separate"/>
      </w:r>
      <w:r>
        <w:t>376</w:t>
      </w:r>
      <w:r>
        <w:fldChar w:fldCharType="end"/>
      </w:r>
    </w:p>
    <w:p w14:paraId="5925DFEA" w14:textId="4C197B96" w:rsidR="006C1B74" w:rsidRDefault="006C1B74">
      <w:pPr>
        <w:pStyle w:val="TOC3"/>
        <w:rPr>
          <w:rFonts w:asciiTheme="minorHAnsi" w:eastAsiaTheme="minorEastAsia" w:hAnsiTheme="minorHAnsi" w:cstheme="minorBidi"/>
          <w:kern w:val="2"/>
          <w:sz w:val="24"/>
          <w:szCs w:val="24"/>
          <w14:ligatures w14:val="standardContextual"/>
        </w:rPr>
      </w:pPr>
      <w:r>
        <w:t>5.27.2</w:t>
      </w:r>
      <w:r>
        <w:rPr>
          <w:rFonts w:asciiTheme="minorHAnsi" w:eastAsiaTheme="minorEastAsia" w:hAnsiTheme="minorHAnsi" w:cstheme="minorBidi"/>
          <w:kern w:val="2"/>
          <w:sz w:val="24"/>
          <w:szCs w:val="24"/>
          <w14:ligatures w14:val="standardContextual"/>
        </w:rPr>
        <w:tab/>
      </w:r>
      <w:r>
        <w:t>TSC Assistance Information (TSCAI) and TSC Assistance Container (TSCAC)</w:t>
      </w:r>
      <w:r>
        <w:tab/>
      </w:r>
      <w:r>
        <w:fldChar w:fldCharType="begin" w:fldLock="1"/>
      </w:r>
      <w:r>
        <w:instrText xml:space="preserve"> PAGEREF _Toc201157474 \h </w:instrText>
      </w:r>
      <w:r>
        <w:fldChar w:fldCharType="separate"/>
      </w:r>
      <w:r>
        <w:t>377</w:t>
      </w:r>
      <w:r>
        <w:fldChar w:fldCharType="end"/>
      </w:r>
    </w:p>
    <w:p w14:paraId="1D0BF8A4" w14:textId="15415B40" w:rsidR="006C1B74" w:rsidRDefault="006C1B74">
      <w:pPr>
        <w:pStyle w:val="TOC4"/>
        <w:rPr>
          <w:rFonts w:asciiTheme="minorHAnsi" w:eastAsiaTheme="minorEastAsia" w:hAnsiTheme="minorHAnsi" w:cstheme="minorBidi"/>
          <w:kern w:val="2"/>
          <w:sz w:val="24"/>
          <w:szCs w:val="24"/>
          <w14:ligatures w14:val="standardContextual"/>
        </w:rPr>
      </w:pPr>
      <w:r>
        <w:t>5.27.2.1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_Toc201157475 \h </w:instrText>
      </w:r>
      <w:r>
        <w:fldChar w:fldCharType="separate"/>
      </w:r>
      <w:r>
        <w:t>377</w:t>
      </w:r>
      <w:r>
        <w:fldChar w:fldCharType="end"/>
      </w:r>
    </w:p>
    <w:p w14:paraId="6F4E5CE1" w14:textId="156FD301" w:rsidR="006C1B74" w:rsidRDefault="006C1B74">
      <w:pPr>
        <w:pStyle w:val="TOC4"/>
        <w:rPr>
          <w:rFonts w:asciiTheme="minorHAnsi" w:eastAsiaTheme="minorEastAsia" w:hAnsiTheme="minorHAnsi" w:cstheme="minorBidi"/>
          <w:kern w:val="2"/>
          <w:sz w:val="24"/>
          <w:szCs w:val="24"/>
          <w14:ligatures w14:val="standardContextual"/>
        </w:rPr>
      </w:pPr>
      <w:r>
        <w:t>5.27.2.2</w:t>
      </w:r>
      <w:r>
        <w:rPr>
          <w:rFonts w:asciiTheme="minorHAnsi" w:eastAsiaTheme="minorEastAsia" w:hAnsiTheme="minorHAnsi" w:cstheme="minorBidi"/>
          <w:kern w:val="2"/>
          <w:sz w:val="24"/>
          <w:szCs w:val="24"/>
          <w14:ligatures w14:val="standardContextual"/>
        </w:rPr>
        <w:tab/>
      </w:r>
      <w:r>
        <w:t>TSC Assistance Container determination based on PSFP</w:t>
      </w:r>
      <w:r>
        <w:tab/>
      </w:r>
      <w:r>
        <w:fldChar w:fldCharType="begin" w:fldLock="1"/>
      </w:r>
      <w:r>
        <w:instrText xml:space="preserve"> PAGEREF _Toc201157476 \h </w:instrText>
      </w:r>
      <w:r>
        <w:fldChar w:fldCharType="separate"/>
      </w:r>
      <w:r>
        <w:t>378</w:t>
      </w:r>
      <w:r>
        <w:fldChar w:fldCharType="end"/>
      </w:r>
    </w:p>
    <w:p w14:paraId="2C4E1182" w14:textId="68DA4909" w:rsidR="006C1B74" w:rsidRDefault="006C1B74">
      <w:pPr>
        <w:pStyle w:val="TOC4"/>
        <w:rPr>
          <w:rFonts w:asciiTheme="minorHAnsi" w:eastAsiaTheme="minorEastAsia" w:hAnsiTheme="minorHAnsi" w:cstheme="minorBidi"/>
          <w:kern w:val="2"/>
          <w:sz w:val="24"/>
          <w:szCs w:val="24"/>
          <w14:ligatures w14:val="standardContextual"/>
        </w:rPr>
      </w:pPr>
      <w:r>
        <w:t>5.27.2.3</w:t>
      </w:r>
      <w:r>
        <w:rPr>
          <w:rFonts w:asciiTheme="minorHAnsi" w:eastAsiaTheme="minorEastAsia" w:hAnsiTheme="minorHAnsi" w:cstheme="minorBidi"/>
          <w:kern w:val="2"/>
          <w:sz w:val="24"/>
          <w:szCs w:val="24"/>
          <w14:ligatures w14:val="standardContextual"/>
        </w:rPr>
        <w:tab/>
      </w:r>
      <w:r>
        <w:t>TSC Assistance Container determination by TSCTSF</w:t>
      </w:r>
      <w:r>
        <w:tab/>
      </w:r>
      <w:r>
        <w:fldChar w:fldCharType="begin" w:fldLock="1"/>
      </w:r>
      <w:r>
        <w:instrText xml:space="preserve"> PAGEREF _Toc201157477 \h </w:instrText>
      </w:r>
      <w:r>
        <w:fldChar w:fldCharType="separate"/>
      </w:r>
      <w:r>
        <w:t>379</w:t>
      </w:r>
      <w:r>
        <w:fldChar w:fldCharType="end"/>
      </w:r>
    </w:p>
    <w:p w14:paraId="4A02861D" w14:textId="43F2538C" w:rsidR="006C1B74" w:rsidRDefault="006C1B74">
      <w:pPr>
        <w:pStyle w:val="TOC4"/>
        <w:rPr>
          <w:rFonts w:asciiTheme="minorHAnsi" w:eastAsiaTheme="minorEastAsia" w:hAnsiTheme="minorHAnsi" w:cstheme="minorBidi"/>
          <w:kern w:val="2"/>
          <w:sz w:val="24"/>
          <w:szCs w:val="24"/>
          <w14:ligatures w14:val="standardContextual"/>
        </w:rPr>
      </w:pPr>
      <w:r>
        <w:t>5.27.2.4</w:t>
      </w:r>
      <w:r>
        <w:rPr>
          <w:rFonts w:asciiTheme="minorHAnsi" w:eastAsiaTheme="minorEastAsia" w:hAnsiTheme="minorHAnsi" w:cstheme="minorBidi"/>
          <w:kern w:val="2"/>
          <w:sz w:val="24"/>
          <w:szCs w:val="24"/>
          <w14:ligatures w14:val="standardContextual"/>
        </w:rPr>
        <w:tab/>
      </w:r>
      <w:r>
        <w:t>TSCAI determination based on TSC Assistance Container</w:t>
      </w:r>
      <w:r>
        <w:tab/>
      </w:r>
      <w:r>
        <w:fldChar w:fldCharType="begin" w:fldLock="1"/>
      </w:r>
      <w:r>
        <w:instrText xml:space="preserve"> PAGEREF _Toc201157478 \h </w:instrText>
      </w:r>
      <w:r>
        <w:fldChar w:fldCharType="separate"/>
      </w:r>
      <w:r>
        <w:t>380</w:t>
      </w:r>
      <w:r>
        <w:fldChar w:fldCharType="end"/>
      </w:r>
    </w:p>
    <w:p w14:paraId="5DDFD0DD" w14:textId="454D4E07" w:rsidR="006C1B74" w:rsidRDefault="006C1B74">
      <w:pPr>
        <w:pStyle w:val="TOC4"/>
        <w:rPr>
          <w:rFonts w:asciiTheme="minorHAnsi" w:eastAsiaTheme="minorEastAsia" w:hAnsiTheme="minorHAnsi" w:cstheme="minorBidi"/>
          <w:kern w:val="2"/>
          <w:sz w:val="24"/>
          <w:szCs w:val="24"/>
          <w14:ligatures w14:val="standardContextual"/>
        </w:rPr>
      </w:pPr>
      <w:r>
        <w:t>5.27.2.5</w:t>
      </w:r>
      <w:r>
        <w:rPr>
          <w:rFonts w:asciiTheme="minorHAnsi" w:eastAsiaTheme="minorEastAsia" w:hAnsiTheme="minorHAnsi" w:cstheme="minorBidi"/>
          <w:kern w:val="2"/>
          <w:sz w:val="24"/>
          <w:szCs w:val="24"/>
          <w14:ligatures w14:val="standardContextual"/>
        </w:rPr>
        <w:tab/>
      </w:r>
      <w:r>
        <w:t>RAN feedback for Burst Arrival Time offset and adjusted Periodicity</w:t>
      </w:r>
      <w:r>
        <w:tab/>
      </w:r>
      <w:r>
        <w:fldChar w:fldCharType="begin" w:fldLock="1"/>
      </w:r>
      <w:r>
        <w:instrText xml:space="preserve"> PAGEREF _Toc201157479 \h </w:instrText>
      </w:r>
      <w:r>
        <w:fldChar w:fldCharType="separate"/>
      </w:r>
      <w:r>
        <w:t>381</w:t>
      </w:r>
      <w:r>
        <w:fldChar w:fldCharType="end"/>
      </w:r>
    </w:p>
    <w:p w14:paraId="6E5C8F51" w14:textId="254D4B23" w:rsidR="006C1B74" w:rsidRDefault="006C1B74">
      <w:pPr>
        <w:pStyle w:val="TOC5"/>
        <w:rPr>
          <w:rFonts w:asciiTheme="minorHAnsi" w:eastAsiaTheme="minorEastAsia" w:hAnsiTheme="minorHAnsi" w:cstheme="minorBidi"/>
          <w:kern w:val="2"/>
          <w:sz w:val="24"/>
          <w:szCs w:val="24"/>
          <w14:ligatures w14:val="standardContextual"/>
        </w:rPr>
      </w:pPr>
      <w:r>
        <w:t>5.27.2.5.1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_Toc201157480 \h </w:instrText>
      </w:r>
      <w:r>
        <w:fldChar w:fldCharType="separate"/>
      </w:r>
      <w:r>
        <w:t>381</w:t>
      </w:r>
      <w:r>
        <w:fldChar w:fldCharType="end"/>
      </w:r>
    </w:p>
    <w:p w14:paraId="6FF2F8E1" w14:textId="7F4924E0" w:rsidR="006C1B74" w:rsidRDefault="006C1B74">
      <w:pPr>
        <w:pStyle w:val="TOC5"/>
        <w:rPr>
          <w:rFonts w:asciiTheme="minorHAnsi" w:eastAsiaTheme="minorEastAsia" w:hAnsiTheme="minorHAnsi" w:cstheme="minorBidi"/>
          <w:kern w:val="2"/>
          <w:sz w:val="24"/>
          <w:szCs w:val="24"/>
          <w14:ligatures w14:val="standardContextual"/>
        </w:rPr>
      </w:pPr>
      <w:r>
        <w:t>5.27.2.5.2</w:t>
      </w:r>
      <w:r>
        <w:rPr>
          <w:rFonts w:asciiTheme="minorHAnsi" w:eastAsiaTheme="minorEastAsia" w:hAnsiTheme="minorHAnsi" w:cstheme="minorBidi"/>
          <w:kern w:val="2"/>
          <w:sz w:val="24"/>
          <w:szCs w:val="24"/>
          <w14:ligatures w14:val="standardContextual"/>
        </w:rPr>
        <w:tab/>
      </w:r>
      <w:r>
        <w:t>Proactive RAN feedback for adaptation of Burst Arrival Time and Periodicity</w:t>
      </w:r>
      <w:r>
        <w:tab/>
      </w:r>
      <w:r>
        <w:fldChar w:fldCharType="begin" w:fldLock="1"/>
      </w:r>
      <w:r>
        <w:instrText xml:space="preserve"> PAGEREF _Toc201157481 \h </w:instrText>
      </w:r>
      <w:r>
        <w:fldChar w:fldCharType="separate"/>
      </w:r>
      <w:r>
        <w:t>381</w:t>
      </w:r>
      <w:r>
        <w:fldChar w:fldCharType="end"/>
      </w:r>
    </w:p>
    <w:p w14:paraId="5742C3A7" w14:textId="1FF44242" w:rsidR="006C1B74" w:rsidRDefault="006C1B74">
      <w:pPr>
        <w:pStyle w:val="TOC5"/>
        <w:rPr>
          <w:rFonts w:asciiTheme="minorHAnsi" w:eastAsiaTheme="minorEastAsia" w:hAnsiTheme="minorHAnsi" w:cstheme="minorBidi"/>
          <w:kern w:val="2"/>
          <w:sz w:val="24"/>
          <w:szCs w:val="24"/>
          <w14:ligatures w14:val="standardContextual"/>
        </w:rPr>
      </w:pPr>
      <w:r>
        <w:t>5.27.2.5.3</w:t>
      </w:r>
      <w:r>
        <w:rPr>
          <w:rFonts w:asciiTheme="minorHAnsi" w:eastAsiaTheme="minorEastAsia" w:hAnsiTheme="minorHAnsi" w:cstheme="minorBidi"/>
          <w:kern w:val="2"/>
          <w:sz w:val="24"/>
          <w:szCs w:val="24"/>
          <w14:ligatures w14:val="standardContextual"/>
        </w:rPr>
        <w:tab/>
      </w:r>
      <w:r>
        <w:t>Reactive RAN feedback for Burst Arrival Time adaptation</w:t>
      </w:r>
      <w:r>
        <w:tab/>
      </w:r>
      <w:r>
        <w:fldChar w:fldCharType="begin" w:fldLock="1"/>
      </w:r>
      <w:r>
        <w:instrText xml:space="preserve"> PAGEREF _Toc201157482 \h </w:instrText>
      </w:r>
      <w:r>
        <w:fldChar w:fldCharType="separate"/>
      </w:r>
      <w:r>
        <w:t>382</w:t>
      </w:r>
      <w:r>
        <w:fldChar w:fldCharType="end"/>
      </w:r>
    </w:p>
    <w:p w14:paraId="3758B782" w14:textId="58A2E980" w:rsidR="006C1B74" w:rsidRDefault="006C1B74">
      <w:pPr>
        <w:pStyle w:val="TOC3"/>
        <w:rPr>
          <w:rFonts w:asciiTheme="minorHAnsi" w:eastAsiaTheme="minorEastAsia" w:hAnsiTheme="minorHAnsi" w:cstheme="minorBidi"/>
          <w:kern w:val="2"/>
          <w:sz w:val="24"/>
          <w:szCs w:val="24"/>
          <w14:ligatures w14:val="standardContextual"/>
        </w:rPr>
      </w:pPr>
      <w:r>
        <w:t>5.27.3</w:t>
      </w:r>
      <w:r>
        <w:rPr>
          <w:rFonts w:asciiTheme="minorHAnsi" w:eastAsiaTheme="minorEastAsia" w:hAnsiTheme="minorHAnsi" w:cstheme="minorBidi"/>
          <w:kern w:val="2"/>
          <w:sz w:val="24"/>
          <w:szCs w:val="24"/>
          <w14:ligatures w14:val="standardContextual"/>
        </w:rPr>
        <w:tab/>
      </w:r>
      <w:r>
        <w:t>Support for TSC QoS Flows</w:t>
      </w:r>
      <w:r>
        <w:tab/>
      </w:r>
      <w:r>
        <w:fldChar w:fldCharType="begin" w:fldLock="1"/>
      </w:r>
      <w:r>
        <w:instrText xml:space="preserve"> PAGEREF _Toc201157483 \h </w:instrText>
      </w:r>
      <w:r>
        <w:fldChar w:fldCharType="separate"/>
      </w:r>
      <w:r>
        <w:t>382</w:t>
      </w:r>
      <w:r>
        <w:fldChar w:fldCharType="end"/>
      </w:r>
    </w:p>
    <w:p w14:paraId="6184C7E6" w14:textId="7775A4D4" w:rsidR="006C1B74" w:rsidRDefault="006C1B74">
      <w:pPr>
        <w:pStyle w:val="TOC3"/>
        <w:rPr>
          <w:rFonts w:asciiTheme="minorHAnsi" w:eastAsiaTheme="minorEastAsia" w:hAnsiTheme="minorHAnsi" w:cstheme="minorBidi"/>
          <w:kern w:val="2"/>
          <w:sz w:val="24"/>
          <w:szCs w:val="24"/>
          <w14:ligatures w14:val="standardContextual"/>
        </w:rPr>
      </w:pPr>
      <w:r>
        <w:t>5.27.4</w:t>
      </w:r>
      <w:r>
        <w:rPr>
          <w:rFonts w:asciiTheme="minorHAnsi" w:eastAsiaTheme="minorEastAsia" w:hAnsiTheme="minorHAnsi" w:cstheme="minorBidi"/>
          <w:kern w:val="2"/>
          <w:sz w:val="24"/>
          <w:szCs w:val="24"/>
          <w14:ligatures w14:val="standardContextual"/>
        </w:rPr>
        <w:tab/>
      </w:r>
      <w:r>
        <w:t>Hold and Forward Buffering mechanism</w:t>
      </w:r>
      <w:r>
        <w:tab/>
      </w:r>
      <w:r>
        <w:fldChar w:fldCharType="begin" w:fldLock="1"/>
      </w:r>
      <w:r>
        <w:instrText xml:space="preserve"> PAGEREF _Toc201157484 \h </w:instrText>
      </w:r>
      <w:r>
        <w:fldChar w:fldCharType="separate"/>
      </w:r>
      <w:r>
        <w:t>383</w:t>
      </w:r>
      <w:r>
        <w:fldChar w:fldCharType="end"/>
      </w:r>
    </w:p>
    <w:p w14:paraId="3DF59BF2" w14:textId="3C97DFC9" w:rsidR="006C1B74" w:rsidRDefault="006C1B74">
      <w:pPr>
        <w:pStyle w:val="TOC3"/>
        <w:rPr>
          <w:rFonts w:asciiTheme="minorHAnsi" w:eastAsiaTheme="minorEastAsia" w:hAnsiTheme="minorHAnsi" w:cstheme="minorBidi"/>
          <w:kern w:val="2"/>
          <w:sz w:val="24"/>
          <w:szCs w:val="24"/>
          <w14:ligatures w14:val="standardContextual"/>
        </w:rPr>
      </w:pPr>
      <w:r>
        <w:t>5.27.5</w:t>
      </w:r>
      <w:r>
        <w:rPr>
          <w:rFonts w:asciiTheme="minorHAnsi" w:eastAsiaTheme="minorEastAsia" w:hAnsiTheme="minorHAnsi" w:cstheme="minorBidi"/>
          <w:kern w:val="2"/>
          <w:sz w:val="24"/>
          <w:szCs w:val="24"/>
          <w14:ligatures w14:val="standardContextual"/>
        </w:rPr>
        <w:tab/>
      </w:r>
      <w:r>
        <w:t>5G System Bridge delay</w:t>
      </w:r>
      <w:r>
        <w:tab/>
      </w:r>
      <w:r>
        <w:fldChar w:fldCharType="begin" w:fldLock="1"/>
      </w:r>
      <w:r>
        <w:instrText xml:space="preserve"> PAGEREF _Toc201157485 \h </w:instrText>
      </w:r>
      <w:r>
        <w:fldChar w:fldCharType="separate"/>
      </w:r>
      <w:r>
        <w:t>383</w:t>
      </w:r>
      <w:r>
        <w:fldChar w:fldCharType="end"/>
      </w:r>
    </w:p>
    <w:p w14:paraId="126C6124" w14:textId="753C6165" w:rsidR="006C1B74" w:rsidRDefault="006C1B74">
      <w:pPr>
        <w:pStyle w:val="TOC2"/>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Support of integration with TSN, Time Sensitive Communications, Time Synchronization and Deterministic Networking</w:t>
      </w:r>
      <w:r>
        <w:tab/>
      </w:r>
      <w:r>
        <w:fldChar w:fldCharType="begin" w:fldLock="1"/>
      </w:r>
      <w:r>
        <w:instrText xml:space="preserve"> PAGEREF _Toc201157486 \h </w:instrText>
      </w:r>
      <w:r>
        <w:fldChar w:fldCharType="separate"/>
      </w:r>
      <w:r>
        <w:t>384</w:t>
      </w:r>
      <w:r>
        <w:fldChar w:fldCharType="end"/>
      </w:r>
    </w:p>
    <w:p w14:paraId="62D76DD4" w14:textId="75978777" w:rsidR="006C1B74" w:rsidRDefault="006C1B74">
      <w:pPr>
        <w:pStyle w:val="TOC3"/>
        <w:rPr>
          <w:rFonts w:asciiTheme="minorHAnsi" w:eastAsiaTheme="minorEastAsia" w:hAnsiTheme="minorHAnsi" w:cstheme="minorBidi"/>
          <w:kern w:val="2"/>
          <w:sz w:val="24"/>
          <w:szCs w:val="24"/>
          <w14:ligatures w14:val="standardContextual"/>
        </w:rPr>
      </w:pPr>
      <w:r>
        <w:t>5.28.0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_Toc201157487 \h </w:instrText>
      </w:r>
      <w:r>
        <w:fldChar w:fldCharType="separate"/>
      </w:r>
      <w:r>
        <w:t>384</w:t>
      </w:r>
      <w:r>
        <w:fldChar w:fldCharType="end"/>
      </w:r>
    </w:p>
    <w:p w14:paraId="7D9D505A" w14:textId="3BD2948E" w:rsidR="006C1B74" w:rsidRDefault="006C1B74">
      <w:pPr>
        <w:pStyle w:val="TOC3"/>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5GS bridge management for TSN</w:t>
      </w:r>
      <w:r>
        <w:tab/>
      </w:r>
      <w:r>
        <w:fldChar w:fldCharType="begin" w:fldLock="1"/>
      </w:r>
      <w:r>
        <w:instrText xml:space="preserve"> PAGEREF _Toc201157488 \h </w:instrText>
      </w:r>
      <w:r>
        <w:fldChar w:fldCharType="separate"/>
      </w:r>
      <w:r>
        <w:t>384</w:t>
      </w:r>
      <w:r>
        <w:fldChar w:fldCharType="end"/>
      </w:r>
    </w:p>
    <w:p w14:paraId="172093F2" w14:textId="085F3FB6" w:rsidR="006C1B74" w:rsidRDefault="006C1B74">
      <w:pPr>
        <w:pStyle w:val="TOC3"/>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5GS Bridge configuration for TSN</w:t>
      </w:r>
      <w:r>
        <w:tab/>
      </w:r>
      <w:r>
        <w:fldChar w:fldCharType="begin" w:fldLock="1"/>
      </w:r>
      <w:r>
        <w:instrText xml:space="preserve"> PAGEREF _Toc201157489 \h </w:instrText>
      </w:r>
      <w:r>
        <w:fldChar w:fldCharType="separate"/>
      </w:r>
      <w:r>
        <w:t>386</w:t>
      </w:r>
      <w:r>
        <w:fldChar w:fldCharType="end"/>
      </w:r>
    </w:p>
    <w:p w14:paraId="57D85925" w14:textId="655C4F6E" w:rsidR="006C1B74" w:rsidRDefault="006C1B74">
      <w:pPr>
        <w:pStyle w:val="TOC3"/>
        <w:rPr>
          <w:rFonts w:asciiTheme="minorHAnsi" w:eastAsiaTheme="minorEastAsia" w:hAnsiTheme="minorHAnsi" w:cstheme="minorBidi"/>
          <w:kern w:val="2"/>
          <w:sz w:val="24"/>
          <w:szCs w:val="24"/>
          <w14:ligatures w14:val="standardContextual"/>
        </w:rPr>
      </w:pPr>
      <w:r>
        <w:t>5.28.3</w:t>
      </w:r>
      <w:r>
        <w:rPr>
          <w:rFonts w:asciiTheme="minorHAnsi" w:eastAsiaTheme="minorEastAsia" w:hAnsiTheme="minorHAnsi" w:cstheme="minorBidi"/>
          <w:kern w:val="2"/>
          <w:sz w:val="24"/>
          <w:szCs w:val="24"/>
          <w14:ligatures w14:val="standardContextual"/>
        </w:rPr>
        <w:tab/>
      </w:r>
      <w:r>
        <w:t>Port and user plane node management information exchange in 5GS</w:t>
      </w:r>
      <w:r>
        <w:tab/>
      </w:r>
      <w:r>
        <w:fldChar w:fldCharType="begin" w:fldLock="1"/>
      </w:r>
      <w:r>
        <w:instrText xml:space="preserve"> PAGEREF _Toc201157490 \h </w:instrText>
      </w:r>
      <w:r>
        <w:fldChar w:fldCharType="separate"/>
      </w:r>
      <w:r>
        <w:t>388</w:t>
      </w:r>
      <w:r>
        <w:fldChar w:fldCharType="end"/>
      </w:r>
    </w:p>
    <w:p w14:paraId="21E0BD0E" w14:textId="5354D5CD" w:rsidR="006C1B74" w:rsidRDefault="006C1B74">
      <w:pPr>
        <w:pStyle w:val="TOC4"/>
        <w:rPr>
          <w:rFonts w:asciiTheme="minorHAnsi" w:eastAsiaTheme="minorEastAsia" w:hAnsiTheme="minorHAnsi" w:cstheme="minorBidi"/>
          <w:kern w:val="2"/>
          <w:sz w:val="24"/>
          <w:szCs w:val="24"/>
          <w14:ligatures w14:val="standardContextual"/>
        </w:rPr>
      </w:pPr>
      <w:r>
        <w:t>5.28.3.1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_Toc201157491 \h </w:instrText>
      </w:r>
      <w:r>
        <w:fldChar w:fldCharType="separate"/>
      </w:r>
      <w:r>
        <w:t>388</w:t>
      </w:r>
      <w:r>
        <w:fldChar w:fldCharType="end"/>
      </w:r>
    </w:p>
    <w:p w14:paraId="45C1890B" w14:textId="42B71687" w:rsidR="006C1B74" w:rsidRDefault="006C1B74">
      <w:pPr>
        <w:pStyle w:val="TOC4"/>
        <w:rPr>
          <w:rFonts w:asciiTheme="minorHAnsi" w:eastAsiaTheme="minorEastAsia" w:hAnsiTheme="minorHAnsi" w:cstheme="minorBidi"/>
          <w:kern w:val="2"/>
          <w:sz w:val="24"/>
          <w:szCs w:val="24"/>
          <w14:ligatures w14:val="standardContextual"/>
        </w:rPr>
      </w:pPr>
      <w:r>
        <w:t>5.28.3.2</w:t>
      </w:r>
      <w:r>
        <w:rPr>
          <w:rFonts w:asciiTheme="minorHAnsi" w:eastAsiaTheme="minorEastAsia" w:hAnsiTheme="minorHAnsi" w:cstheme="minorBidi"/>
          <w:kern w:val="2"/>
          <w:sz w:val="24"/>
          <w:szCs w:val="24"/>
          <w14:ligatures w14:val="standardContextual"/>
        </w:rPr>
        <w:tab/>
      </w:r>
      <w:r>
        <w:t>Transfer of port or user plane node management information</w:t>
      </w:r>
      <w:r>
        <w:tab/>
      </w:r>
      <w:r>
        <w:fldChar w:fldCharType="begin" w:fldLock="1"/>
      </w:r>
      <w:r>
        <w:instrText xml:space="preserve"> PAGEREF _Toc201157492 \h </w:instrText>
      </w:r>
      <w:r>
        <w:fldChar w:fldCharType="separate"/>
      </w:r>
      <w:r>
        <w:t>389</w:t>
      </w:r>
      <w:r>
        <w:fldChar w:fldCharType="end"/>
      </w:r>
    </w:p>
    <w:p w14:paraId="2CB3455C" w14:textId="7318DD40" w:rsidR="006C1B74" w:rsidRDefault="006C1B74">
      <w:pPr>
        <w:pStyle w:val="TOC4"/>
        <w:rPr>
          <w:rFonts w:asciiTheme="minorHAnsi" w:eastAsiaTheme="minorEastAsia" w:hAnsiTheme="minorHAnsi" w:cstheme="minorBidi"/>
          <w:kern w:val="2"/>
          <w:sz w:val="24"/>
          <w:szCs w:val="24"/>
          <w14:ligatures w14:val="standardContextual"/>
        </w:rPr>
      </w:pPr>
      <w:r>
        <w:t>5.28.3.3</w:t>
      </w:r>
      <w:r>
        <w:rPr>
          <w:rFonts w:asciiTheme="minorHAnsi" w:eastAsiaTheme="minorEastAsia" w:hAnsiTheme="minorHAnsi" w:cstheme="minorBidi"/>
          <w:kern w:val="2"/>
          <w:sz w:val="24"/>
          <w:szCs w:val="24"/>
          <w14:ligatures w14:val="standardContextual"/>
        </w:rPr>
        <w:tab/>
      </w:r>
      <w:r>
        <w:t>VLAN Configuration Information for TSN</w:t>
      </w:r>
      <w:r>
        <w:tab/>
      </w:r>
      <w:r>
        <w:fldChar w:fldCharType="begin" w:fldLock="1"/>
      </w:r>
      <w:r>
        <w:instrText xml:space="preserve"> PAGEREF _Toc201157493 \h </w:instrText>
      </w:r>
      <w:r>
        <w:fldChar w:fldCharType="separate"/>
      </w:r>
      <w:r>
        <w:t>390</w:t>
      </w:r>
      <w:r>
        <w:fldChar w:fldCharType="end"/>
      </w:r>
    </w:p>
    <w:p w14:paraId="7478B682" w14:textId="45BD4596" w:rsidR="006C1B74" w:rsidRDefault="006C1B74">
      <w:pPr>
        <w:pStyle w:val="TOC3"/>
        <w:rPr>
          <w:rFonts w:asciiTheme="minorHAnsi" w:eastAsiaTheme="minorEastAsia" w:hAnsiTheme="minorHAnsi" w:cstheme="minorBidi"/>
          <w:kern w:val="2"/>
          <w:sz w:val="24"/>
          <w:szCs w:val="24"/>
          <w14:ligatures w14:val="standardContextual"/>
        </w:rPr>
      </w:pPr>
      <w:r>
        <w:t>5.28.4</w:t>
      </w:r>
      <w:r>
        <w:rPr>
          <w:rFonts w:asciiTheme="minorHAnsi" w:eastAsiaTheme="minorEastAsia" w:hAnsiTheme="minorHAnsi" w:cstheme="minorBidi"/>
          <w:kern w:val="2"/>
          <w:sz w:val="24"/>
          <w:szCs w:val="24"/>
          <w14:ligatures w14:val="standardContextual"/>
        </w:rPr>
        <w:tab/>
      </w:r>
      <w:r>
        <w:t>QoS mapping tables for TSN</w:t>
      </w:r>
      <w:r>
        <w:tab/>
      </w:r>
      <w:r>
        <w:fldChar w:fldCharType="begin" w:fldLock="1"/>
      </w:r>
      <w:r>
        <w:instrText xml:space="preserve"> PAGEREF _Toc201157494 \h </w:instrText>
      </w:r>
      <w:r>
        <w:fldChar w:fldCharType="separate"/>
      </w:r>
      <w:r>
        <w:t>390</w:t>
      </w:r>
      <w:r>
        <w:fldChar w:fldCharType="end"/>
      </w:r>
    </w:p>
    <w:p w14:paraId="55FE7C22" w14:textId="3E3590C6" w:rsidR="006C1B74" w:rsidRDefault="006C1B74">
      <w:pPr>
        <w:pStyle w:val="TOC3"/>
        <w:rPr>
          <w:rFonts w:asciiTheme="minorHAnsi" w:eastAsiaTheme="minorEastAsia" w:hAnsiTheme="minorHAnsi" w:cstheme="minorBidi"/>
          <w:kern w:val="2"/>
          <w:sz w:val="24"/>
          <w:szCs w:val="24"/>
          <w14:ligatures w14:val="standardContextual"/>
        </w:rPr>
      </w:pPr>
      <w:r>
        <w:t>5.28.5</w:t>
      </w:r>
      <w:r>
        <w:rPr>
          <w:rFonts w:asciiTheme="minorHAnsi" w:eastAsiaTheme="minorEastAsia" w:hAnsiTheme="minorHAnsi" w:cstheme="minorBidi"/>
          <w:kern w:val="2"/>
          <w:sz w:val="24"/>
          <w:szCs w:val="24"/>
          <w14:ligatures w14:val="standardContextual"/>
        </w:rPr>
        <w:tab/>
      </w:r>
      <w:r>
        <w:t>Support of integration with IETF Deterministic Networking</w:t>
      </w:r>
      <w:r>
        <w:tab/>
      </w:r>
      <w:r>
        <w:fldChar w:fldCharType="begin" w:fldLock="1"/>
      </w:r>
      <w:r>
        <w:instrText xml:space="preserve"> PAGEREF _Toc201157495 \h </w:instrText>
      </w:r>
      <w:r>
        <w:fldChar w:fldCharType="separate"/>
      </w:r>
      <w:r>
        <w:t>392</w:t>
      </w:r>
      <w:r>
        <w:fldChar w:fldCharType="end"/>
      </w:r>
    </w:p>
    <w:p w14:paraId="1EECF534" w14:textId="53D57049" w:rsidR="006C1B74" w:rsidRDefault="006C1B74">
      <w:pPr>
        <w:pStyle w:val="TOC4"/>
        <w:rPr>
          <w:rFonts w:asciiTheme="minorHAnsi" w:eastAsiaTheme="minorEastAsia" w:hAnsiTheme="minorHAnsi" w:cstheme="minorBidi"/>
          <w:kern w:val="2"/>
          <w:sz w:val="24"/>
          <w:szCs w:val="24"/>
          <w14:ligatures w14:val="standardContextual"/>
        </w:rPr>
      </w:pPr>
      <w:r>
        <w:t>5.28.5.1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_Toc201157496 \h </w:instrText>
      </w:r>
      <w:r>
        <w:fldChar w:fldCharType="separate"/>
      </w:r>
      <w:r>
        <w:t>392</w:t>
      </w:r>
      <w:r>
        <w:fldChar w:fldCharType="end"/>
      </w:r>
    </w:p>
    <w:p w14:paraId="03877EFF" w14:textId="383C73BF" w:rsidR="006C1B74" w:rsidRDefault="006C1B74">
      <w:pPr>
        <w:pStyle w:val="TOC4"/>
        <w:rPr>
          <w:rFonts w:asciiTheme="minorHAnsi" w:eastAsiaTheme="minorEastAsia" w:hAnsiTheme="minorHAnsi" w:cstheme="minorBidi"/>
          <w:kern w:val="2"/>
          <w:sz w:val="24"/>
          <w:szCs w:val="24"/>
          <w14:ligatures w14:val="standardContextual"/>
        </w:rPr>
      </w:pPr>
      <w:r>
        <w:t>5.28.5.2</w:t>
      </w:r>
      <w:r>
        <w:rPr>
          <w:rFonts w:asciiTheme="minorHAnsi" w:eastAsiaTheme="minorEastAsia" w:hAnsiTheme="minorHAnsi" w:cstheme="minorBidi"/>
          <w:kern w:val="2"/>
          <w:sz w:val="24"/>
          <w:szCs w:val="24"/>
          <w14:ligatures w14:val="standardContextual"/>
        </w:rPr>
        <w:tab/>
      </w:r>
      <w:r>
        <w:t>5GS DetNet node reporting</w:t>
      </w:r>
      <w:r>
        <w:tab/>
      </w:r>
      <w:r>
        <w:fldChar w:fldCharType="begin" w:fldLock="1"/>
      </w:r>
      <w:r>
        <w:instrText xml:space="preserve"> PAGEREF _Toc201157497 \h </w:instrText>
      </w:r>
      <w:r>
        <w:fldChar w:fldCharType="separate"/>
      </w:r>
      <w:r>
        <w:t>392</w:t>
      </w:r>
      <w:r>
        <w:fldChar w:fldCharType="end"/>
      </w:r>
    </w:p>
    <w:p w14:paraId="001FAB79" w14:textId="5A724C63" w:rsidR="006C1B74" w:rsidRDefault="006C1B74">
      <w:pPr>
        <w:pStyle w:val="TOC4"/>
        <w:rPr>
          <w:rFonts w:asciiTheme="minorHAnsi" w:eastAsiaTheme="minorEastAsia" w:hAnsiTheme="minorHAnsi" w:cstheme="minorBidi"/>
          <w:kern w:val="2"/>
          <w:sz w:val="24"/>
          <w:szCs w:val="24"/>
          <w14:ligatures w14:val="standardContextual"/>
        </w:rPr>
      </w:pPr>
      <w:r>
        <w:lastRenderedPageBreak/>
        <w:t>5.28.5.3</w:t>
      </w:r>
      <w:r>
        <w:rPr>
          <w:rFonts w:asciiTheme="minorHAnsi" w:eastAsiaTheme="minorEastAsia" w:hAnsiTheme="minorHAnsi" w:cstheme="minorBidi"/>
          <w:kern w:val="2"/>
          <w:sz w:val="24"/>
          <w:szCs w:val="24"/>
          <w14:ligatures w14:val="standardContextual"/>
        </w:rPr>
        <w:tab/>
      </w:r>
      <w:r>
        <w:t>DetNet node configuration mapping in 5GS</w:t>
      </w:r>
      <w:r>
        <w:tab/>
      </w:r>
      <w:r>
        <w:fldChar w:fldCharType="begin" w:fldLock="1"/>
      </w:r>
      <w:r>
        <w:instrText xml:space="preserve"> PAGEREF _Toc201157498 \h </w:instrText>
      </w:r>
      <w:r>
        <w:fldChar w:fldCharType="separate"/>
      </w:r>
      <w:r>
        <w:t>393</w:t>
      </w:r>
      <w:r>
        <w:fldChar w:fldCharType="end"/>
      </w:r>
    </w:p>
    <w:p w14:paraId="5A01E239" w14:textId="4BECBED7" w:rsidR="006C1B74" w:rsidRDefault="006C1B74">
      <w:pPr>
        <w:pStyle w:val="TOC2"/>
        <w:rPr>
          <w:rFonts w:asciiTheme="minorHAnsi" w:eastAsiaTheme="minorEastAsia" w:hAnsiTheme="minorHAnsi" w:cstheme="minorBidi"/>
          <w:kern w:val="2"/>
          <w:sz w:val="24"/>
          <w:szCs w:val="24"/>
          <w14:ligatures w14:val="standardContextual"/>
        </w:rPr>
      </w:pPr>
      <w:r>
        <w:t>5.28a</w:t>
      </w:r>
      <w:r>
        <w:rPr>
          <w:rFonts w:asciiTheme="minorHAnsi" w:eastAsiaTheme="minorEastAsia" w:hAnsiTheme="minorHAnsi" w:cstheme="minorBidi"/>
          <w:kern w:val="2"/>
          <w:sz w:val="24"/>
          <w:szCs w:val="24"/>
          <w14:ligatures w14:val="standardContextual"/>
        </w:rPr>
        <w:tab/>
      </w:r>
      <w:r>
        <w:t>Support for TSN enabled Transport Network</w:t>
      </w:r>
      <w:r>
        <w:tab/>
      </w:r>
      <w:r>
        <w:fldChar w:fldCharType="begin" w:fldLock="1"/>
      </w:r>
      <w:r>
        <w:instrText xml:space="preserve"> PAGEREF _Toc201157499 \h </w:instrText>
      </w:r>
      <w:r>
        <w:fldChar w:fldCharType="separate"/>
      </w:r>
      <w:r>
        <w:t>394</w:t>
      </w:r>
      <w:r>
        <w:fldChar w:fldCharType="end"/>
      </w:r>
    </w:p>
    <w:p w14:paraId="1550976D" w14:textId="01EC12F2" w:rsidR="006C1B74" w:rsidRDefault="006C1B74">
      <w:pPr>
        <w:pStyle w:val="TOC3"/>
        <w:rPr>
          <w:rFonts w:asciiTheme="minorHAnsi" w:eastAsiaTheme="minorEastAsia" w:hAnsiTheme="minorHAnsi" w:cstheme="minorBidi"/>
          <w:kern w:val="2"/>
          <w:sz w:val="24"/>
          <w:szCs w:val="24"/>
          <w14:ligatures w14:val="standardContextual"/>
        </w:rPr>
      </w:pPr>
      <w:r>
        <w:t>5.28a.1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_Toc201157500 \h </w:instrText>
      </w:r>
      <w:r>
        <w:fldChar w:fldCharType="separate"/>
      </w:r>
      <w:r>
        <w:t>394</w:t>
      </w:r>
      <w:r>
        <w:fldChar w:fldCharType="end"/>
      </w:r>
    </w:p>
    <w:p w14:paraId="4FCDF5FB" w14:textId="4749E592" w:rsidR="006C1B74" w:rsidRDefault="006C1B74">
      <w:pPr>
        <w:pStyle w:val="TOC3"/>
        <w:rPr>
          <w:rFonts w:asciiTheme="minorHAnsi" w:eastAsiaTheme="minorEastAsia" w:hAnsiTheme="minorHAnsi" w:cstheme="minorBidi"/>
          <w:kern w:val="2"/>
          <w:sz w:val="24"/>
          <w:szCs w:val="24"/>
          <w14:ligatures w14:val="standardContextual"/>
        </w:rPr>
      </w:pPr>
      <w:r>
        <w:t>5.28a.2</w:t>
      </w:r>
      <w:r>
        <w:rPr>
          <w:rFonts w:asciiTheme="minorHAnsi" w:eastAsiaTheme="minorEastAsia" w:hAnsiTheme="minorHAnsi" w:cstheme="minorBidi"/>
          <w:kern w:val="2"/>
          <w:sz w:val="24"/>
          <w:szCs w:val="24"/>
          <w14:ligatures w14:val="standardContextual"/>
        </w:rPr>
        <w:tab/>
      </w:r>
      <w:r>
        <w:t>Transfer of TL-Container between SMF/CUC and AN-TL and CN-TL</w:t>
      </w:r>
      <w:r>
        <w:tab/>
      </w:r>
      <w:r>
        <w:fldChar w:fldCharType="begin" w:fldLock="1"/>
      </w:r>
      <w:r>
        <w:instrText xml:space="preserve"> PAGEREF _Toc201157501 \h </w:instrText>
      </w:r>
      <w:r>
        <w:fldChar w:fldCharType="separate"/>
      </w:r>
      <w:r>
        <w:t>394</w:t>
      </w:r>
      <w:r>
        <w:fldChar w:fldCharType="end"/>
      </w:r>
    </w:p>
    <w:p w14:paraId="2B627FAB" w14:textId="48483ACE" w:rsidR="006C1B74" w:rsidRDefault="006C1B74">
      <w:pPr>
        <w:pStyle w:val="TOC3"/>
        <w:rPr>
          <w:rFonts w:asciiTheme="minorHAnsi" w:eastAsiaTheme="minorEastAsia" w:hAnsiTheme="minorHAnsi" w:cstheme="minorBidi"/>
          <w:kern w:val="2"/>
          <w:sz w:val="24"/>
          <w:szCs w:val="24"/>
          <w14:ligatures w14:val="standardContextual"/>
        </w:rPr>
      </w:pPr>
      <w:r>
        <w:t>5.28a.3</w:t>
      </w:r>
      <w:r>
        <w:rPr>
          <w:rFonts w:asciiTheme="minorHAnsi" w:eastAsiaTheme="minorEastAsia" w:hAnsiTheme="minorHAnsi" w:cstheme="minorBidi"/>
          <w:kern w:val="2"/>
          <w:sz w:val="24"/>
          <w:szCs w:val="24"/>
          <w14:ligatures w14:val="standardContextual"/>
        </w:rPr>
        <w:tab/>
      </w:r>
      <w:r>
        <w:t>Topology Information for TSN TN</w:t>
      </w:r>
      <w:r>
        <w:tab/>
      </w:r>
      <w:r>
        <w:fldChar w:fldCharType="begin" w:fldLock="1"/>
      </w:r>
      <w:r>
        <w:instrText xml:space="preserve"> PAGEREF _Toc201157502 \h </w:instrText>
      </w:r>
      <w:r>
        <w:fldChar w:fldCharType="separate"/>
      </w:r>
      <w:r>
        <w:t>395</w:t>
      </w:r>
      <w:r>
        <w:fldChar w:fldCharType="end"/>
      </w:r>
    </w:p>
    <w:p w14:paraId="7CC882A8" w14:textId="21E53DD5" w:rsidR="006C1B74" w:rsidRDefault="006C1B74">
      <w:pPr>
        <w:pStyle w:val="TOC2"/>
        <w:rPr>
          <w:rFonts w:asciiTheme="minorHAnsi" w:eastAsiaTheme="minorEastAsia" w:hAnsiTheme="minorHAnsi" w:cstheme="minorBidi"/>
          <w:kern w:val="2"/>
          <w:sz w:val="24"/>
          <w:szCs w:val="24"/>
          <w14:ligatures w14:val="standardContextual"/>
        </w:rPr>
      </w:pPr>
      <w:r>
        <w:t>5.29</w:t>
      </w:r>
      <w:r>
        <w:rPr>
          <w:rFonts w:asciiTheme="minorHAnsi" w:eastAsiaTheme="minorEastAsia" w:hAnsiTheme="minorHAnsi" w:cstheme="minorBidi"/>
          <w:kern w:val="2"/>
          <w:sz w:val="24"/>
          <w:szCs w:val="24"/>
          <w14:ligatures w14:val="standardContextual"/>
        </w:rPr>
        <w:tab/>
      </w:r>
      <w:r>
        <w:t>Support for 5G LAN-type service</w:t>
      </w:r>
      <w:r>
        <w:tab/>
      </w:r>
      <w:r>
        <w:fldChar w:fldCharType="begin" w:fldLock="1"/>
      </w:r>
      <w:r>
        <w:instrText xml:space="preserve"> PAGEREF _Toc201157503 \h </w:instrText>
      </w:r>
      <w:r>
        <w:fldChar w:fldCharType="separate"/>
      </w:r>
      <w:r>
        <w:t>395</w:t>
      </w:r>
      <w:r>
        <w:fldChar w:fldCharType="end"/>
      </w:r>
    </w:p>
    <w:p w14:paraId="3349686F" w14:textId="1CDA007B" w:rsidR="006C1B74" w:rsidRDefault="006C1B74">
      <w:pPr>
        <w:pStyle w:val="TOC3"/>
        <w:rPr>
          <w:rFonts w:asciiTheme="minorHAnsi" w:eastAsiaTheme="minorEastAsia" w:hAnsiTheme="minorHAnsi" w:cstheme="minorBidi"/>
          <w:kern w:val="2"/>
          <w:sz w:val="24"/>
          <w:szCs w:val="24"/>
          <w14:ligatures w14:val="standardContextual"/>
        </w:rPr>
      </w:pPr>
      <w:r>
        <w:t>5.29.1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_Toc201157504 \h </w:instrText>
      </w:r>
      <w:r>
        <w:fldChar w:fldCharType="separate"/>
      </w:r>
      <w:r>
        <w:t>395</w:t>
      </w:r>
      <w:r>
        <w:fldChar w:fldCharType="end"/>
      </w:r>
    </w:p>
    <w:p w14:paraId="2238387A" w14:textId="5875A8CA" w:rsidR="006C1B74" w:rsidRDefault="006C1B74">
      <w:pPr>
        <w:pStyle w:val="TOC3"/>
        <w:rPr>
          <w:rFonts w:asciiTheme="minorHAnsi" w:eastAsiaTheme="minorEastAsia" w:hAnsiTheme="minorHAnsi" w:cstheme="minorBidi"/>
          <w:kern w:val="2"/>
          <w:sz w:val="24"/>
          <w:szCs w:val="24"/>
          <w14:ligatures w14:val="standardContextual"/>
        </w:rPr>
      </w:pPr>
      <w:r>
        <w:t>5.29.2</w:t>
      </w:r>
      <w:r>
        <w:rPr>
          <w:rFonts w:asciiTheme="minorHAnsi" w:eastAsiaTheme="minorEastAsia" w:hAnsiTheme="minorHAnsi" w:cstheme="minorBidi"/>
          <w:kern w:val="2"/>
          <w:sz w:val="24"/>
          <w:szCs w:val="24"/>
          <w14:ligatures w14:val="standardContextual"/>
        </w:rPr>
        <w:tab/>
      </w:r>
      <w:r>
        <w:t>5G VN group management</w:t>
      </w:r>
      <w:r>
        <w:tab/>
      </w:r>
      <w:r>
        <w:fldChar w:fldCharType="begin" w:fldLock="1"/>
      </w:r>
      <w:r>
        <w:instrText xml:space="preserve"> PAGEREF _Toc201157505 \h </w:instrText>
      </w:r>
      <w:r>
        <w:fldChar w:fldCharType="separate"/>
      </w:r>
      <w:r>
        <w:t>396</w:t>
      </w:r>
      <w:r>
        <w:fldChar w:fldCharType="end"/>
      </w:r>
    </w:p>
    <w:p w14:paraId="61DB651A" w14:textId="1071FF0F" w:rsidR="006C1B74" w:rsidRDefault="006C1B74">
      <w:pPr>
        <w:pStyle w:val="TOC3"/>
        <w:rPr>
          <w:rFonts w:asciiTheme="minorHAnsi" w:eastAsiaTheme="minorEastAsia" w:hAnsiTheme="minorHAnsi" w:cstheme="minorBidi"/>
          <w:kern w:val="2"/>
          <w:sz w:val="24"/>
          <w:szCs w:val="24"/>
          <w14:ligatures w14:val="standardContextual"/>
        </w:rPr>
      </w:pPr>
      <w:r>
        <w:t>5.29.3</w:t>
      </w:r>
      <w:r>
        <w:rPr>
          <w:rFonts w:asciiTheme="minorHAnsi" w:eastAsiaTheme="minorEastAsia" w:hAnsiTheme="minorHAnsi" w:cstheme="minorBidi"/>
          <w:kern w:val="2"/>
          <w:sz w:val="24"/>
          <w:szCs w:val="24"/>
          <w14:ligatures w14:val="standardContextual"/>
        </w:rPr>
        <w:tab/>
      </w:r>
      <w:r>
        <w:t>PDU Session management</w:t>
      </w:r>
      <w:r>
        <w:tab/>
      </w:r>
      <w:r>
        <w:fldChar w:fldCharType="begin" w:fldLock="1"/>
      </w:r>
      <w:r>
        <w:instrText xml:space="preserve"> PAGEREF _Toc201157506 \h </w:instrText>
      </w:r>
      <w:r>
        <w:fldChar w:fldCharType="separate"/>
      </w:r>
      <w:r>
        <w:t>397</w:t>
      </w:r>
      <w:r>
        <w:fldChar w:fldCharType="end"/>
      </w:r>
    </w:p>
    <w:p w14:paraId="38C28CE8" w14:textId="6AE12F04" w:rsidR="006C1B74" w:rsidRDefault="006C1B74">
      <w:pPr>
        <w:pStyle w:val="TOC3"/>
        <w:rPr>
          <w:rFonts w:asciiTheme="minorHAnsi" w:eastAsiaTheme="minorEastAsia" w:hAnsiTheme="minorHAnsi" w:cstheme="minorBidi"/>
          <w:kern w:val="2"/>
          <w:sz w:val="24"/>
          <w:szCs w:val="24"/>
          <w14:ligatures w14:val="standardContextual"/>
        </w:rPr>
      </w:pPr>
      <w:r>
        <w:t>5.29.4</w:t>
      </w:r>
      <w:r>
        <w:rPr>
          <w:rFonts w:asciiTheme="minorHAnsi" w:eastAsiaTheme="minorEastAsia" w:hAnsiTheme="minorHAnsi" w:cstheme="minorBidi"/>
          <w:kern w:val="2"/>
          <w:sz w:val="24"/>
          <w:szCs w:val="24"/>
          <w14:ligatures w14:val="standardContextual"/>
        </w:rPr>
        <w:tab/>
      </w:r>
      <w:r>
        <w:t>User Plane handling</w:t>
      </w:r>
      <w:r>
        <w:tab/>
      </w:r>
      <w:r>
        <w:fldChar w:fldCharType="begin" w:fldLock="1"/>
      </w:r>
      <w:r>
        <w:instrText xml:space="preserve"> PAGEREF _Toc201157507 \h </w:instrText>
      </w:r>
      <w:r>
        <w:fldChar w:fldCharType="separate"/>
      </w:r>
      <w:r>
        <w:t>398</w:t>
      </w:r>
      <w:r>
        <w:fldChar w:fldCharType="end"/>
      </w:r>
    </w:p>
    <w:p w14:paraId="1AA480CB" w14:textId="025976CC" w:rsidR="006C1B74" w:rsidRDefault="006C1B74">
      <w:pPr>
        <w:pStyle w:val="TOC2"/>
        <w:rPr>
          <w:rFonts w:asciiTheme="minorHAnsi" w:eastAsiaTheme="minorEastAsia" w:hAnsiTheme="minorHAnsi" w:cstheme="minorBidi"/>
          <w:kern w:val="2"/>
          <w:sz w:val="24"/>
          <w:szCs w:val="24"/>
          <w14:ligatures w14:val="standardContextual"/>
        </w:rPr>
      </w:pPr>
      <w:r>
        <w:t>5.30</w:t>
      </w:r>
      <w:r>
        <w:rPr>
          <w:rFonts w:asciiTheme="minorHAnsi" w:eastAsiaTheme="minorEastAsia" w:hAnsiTheme="minorHAnsi" w:cstheme="minorBidi"/>
          <w:kern w:val="2"/>
          <w:sz w:val="24"/>
          <w:szCs w:val="24"/>
          <w14:ligatures w14:val="standardContextual"/>
        </w:rPr>
        <w:tab/>
      </w:r>
      <w:r>
        <w:t>Support for non-public networks</w:t>
      </w:r>
      <w:r>
        <w:tab/>
      </w:r>
      <w:r>
        <w:fldChar w:fldCharType="begin" w:fldLock="1"/>
      </w:r>
      <w:r>
        <w:instrText xml:space="preserve"> PAGEREF _Toc201157508 \h </w:instrText>
      </w:r>
      <w:r>
        <w:fldChar w:fldCharType="separate"/>
      </w:r>
      <w:r>
        <w:t>399</w:t>
      </w:r>
      <w:r>
        <w:fldChar w:fldCharType="end"/>
      </w:r>
    </w:p>
    <w:p w14:paraId="33ED9D6D" w14:textId="7D36D063" w:rsidR="006C1B74" w:rsidRDefault="006C1B74">
      <w:pPr>
        <w:pStyle w:val="TOC3"/>
        <w:rPr>
          <w:rFonts w:asciiTheme="minorHAnsi" w:eastAsiaTheme="minorEastAsia" w:hAnsiTheme="minorHAnsi" w:cstheme="minorBidi"/>
          <w:kern w:val="2"/>
          <w:sz w:val="24"/>
          <w:szCs w:val="24"/>
          <w14:ligatures w14:val="standardContextual"/>
        </w:rPr>
      </w:pPr>
      <w:r>
        <w:t>5.30.1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_Toc201157509 \h </w:instrText>
      </w:r>
      <w:r>
        <w:fldChar w:fldCharType="separate"/>
      </w:r>
      <w:r>
        <w:t>399</w:t>
      </w:r>
      <w:r>
        <w:fldChar w:fldCharType="end"/>
      </w:r>
    </w:p>
    <w:p w14:paraId="3DBD227C" w14:textId="6DF60670" w:rsidR="006C1B74" w:rsidRDefault="006C1B74">
      <w:pPr>
        <w:pStyle w:val="TOC3"/>
        <w:rPr>
          <w:rFonts w:asciiTheme="minorHAnsi" w:eastAsiaTheme="minorEastAsia" w:hAnsiTheme="minorHAnsi" w:cstheme="minorBidi"/>
          <w:kern w:val="2"/>
          <w:sz w:val="24"/>
          <w:szCs w:val="24"/>
          <w14:ligatures w14:val="standardContextual"/>
        </w:rPr>
      </w:pPr>
      <w:r>
        <w:t>5.30.2</w:t>
      </w:r>
      <w:r>
        <w:rPr>
          <w:rFonts w:asciiTheme="minorHAnsi" w:eastAsiaTheme="minorEastAsia" w:hAnsiTheme="minorHAnsi" w:cstheme="minorBidi"/>
          <w:kern w:val="2"/>
          <w:sz w:val="24"/>
          <w:szCs w:val="24"/>
          <w14:ligatures w14:val="standardContextual"/>
        </w:rPr>
        <w:tab/>
      </w:r>
      <w:r>
        <w:t>Stand-alone Non-Public Networks</w:t>
      </w:r>
      <w:r>
        <w:tab/>
      </w:r>
      <w:r>
        <w:fldChar w:fldCharType="begin" w:fldLock="1"/>
      </w:r>
      <w:r>
        <w:instrText xml:space="preserve"> PAGEREF _Toc201157510 \h </w:instrText>
      </w:r>
      <w:r>
        <w:fldChar w:fldCharType="separate"/>
      </w:r>
      <w:r>
        <w:t>400</w:t>
      </w:r>
      <w:r>
        <w:fldChar w:fldCharType="end"/>
      </w:r>
    </w:p>
    <w:p w14:paraId="1BE0B841" w14:textId="75AEB368" w:rsidR="006C1B74" w:rsidRDefault="006C1B74">
      <w:pPr>
        <w:pStyle w:val="TOC4"/>
        <w:rPr>
          <w:rFonts w:asciiTheme="minorHAnsi" w:eastAsiaTheme="minorEastAsia" w:hAnsiTheme="minorHAnsi" w:cstheme="minorBidi"/>
          <w:kern w:val="2"/>
          <w:sz w:val="24"/>
          <w:szCs w:val="24"/>
          <w14:ligatures w14:val="standardContextual"/>
        </w:rPr>
      </w:pPr>
      <w:r>
        <w:t>5.30.2.0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_Toc201157511 \h </w:instrText>
      </w:r>
      <w:r>
        <w:fldChar w:fldCharType="separate"/>
      </w:r>
      <w:r>
        <w:t>400</w:t>
      </w:r>
      <w:r>
        <w:fldChar w:fldCharType="end"/>
      </w:r>
    </w:p>
    <w:p w14:paraId="17095ADA" w14:textId="0DE0EDDA" w:rsidR="006C1B74" w:rsidRDefault="006C1B74">
      <w:pPr>
        <w:pStyle w:val="TOC4"/>
        <w:rPr>
          <w:rFonts w:asciiTheme="minorHAnsi" w:eastAsiaTheme="minorEastAsia" w:hAnsiTheme="minorHAnsi" w:cstheme="minorBidi"/>
          <w:kern w:val="2"/>
          <w:sz w:val="24"/>
          <w:szCs w:val="24"/>
          <w14:ligatures w14:val="standardContextual"/>
        </w:rPr>
      </w:pPr>
      <w:r>
        <w:t>5.30.2.1</w:t>
      </w:r>
      <w:r>
        <w:rPr>
          <w:rFonts w:asciiTheme="minorHAnsi" w:eastAsiaTheme="minorEastAsia" w:hAnsiTheme="minorHAnsi" w:cstheme="minorBidi"/>
          <w:kern w:val="2"/>
          <w:sz w:val="24"/>
          <w:szCs w:val="24"/>
          <w14:ligatures w14:val="standardContextual"/>
        </w:rPr>
        <w:tab/>
      </w:r>
      <w:r>
        <w:t>Identifiers</w:t>
      </w:r>
      <w:r>
        <w:tab/>
      </w:r>
      <w:r>
        <w:fldChar w:fldCharType="begin" w:fldLock="1"/>
      </w:r>
      <w:r>
        <w:instrText xml:space="preserve"> PAGEREF _Toc201157512 \h </w:instrText>
      </w:r>
      <w:r>
        <w:fldChar w:fldCharType="separate"/>
      </w:r>
      <w:r>
        <w:t>400</w:t>
      </w:r>
      <w:r>
        <w:fldChar w:fldCharType="end"/>
      </w:r>
    </w:p>
    <w:p w14:paraId="5CEF0A60" w14:textId="11123224" w:rsidR="006C1B74" w:rsidRDefault="006C1B74">
      <w:pPr>
        <w:pStyle w:val="TOC4"/>
        <w:rPr>
          <w:rFonts w:asciiTheme="minorHAnsi" w:eastAsiaTheme="minorEastAsia" w:hAnsiTheme="minorHAnsi" w:cstheme="minorBidi"/>
          <w:kern w:val="2"/>
          <w:sz w:val="24"/>
          <w:szCs w:val="24"/>
          <w14:ligatures w14:val="standardContextual"/>
        </w:rPr>
      </w:pPr>
      <w:r>
        <w:t>5.30.2.2</w:t>
      </w:r>
      <w:r>
        <w:rPr>
          <w:rFonts w:asciiTheme="minorHAnsi" w:eastAsiaTheme="minorEastAsia" w:hAnsiTheme="minorHAnsi" w:cstheme="minorBidi"/>
          <w:kern w:val="2"/>
          <w:sz w:val="24"/>
          <w:szCs w:val="24"/>
          <w14:ligatures w14:val="standardContextual"/>
        </w:rPr>
        <w:tab/>
      </w:r>
      <w:r>
        <w:t>Broadcast system information</w:t>
      </w:r>
      <w:r>
        <w:tab/>
      </w:r>
      <w:r>
        <w:fldChar w:fldCharType="begin" w:fldLock="1"/>
      </w:r>
      <w:r>
        <w:instrText xml:space="preserve"> PAGEREF _Toc201157513 \h </w:instrText>
      </w:r>
      <w:r>
        <w:fldChar w:fldCharType="separate"/>
      </w:r>
      <w:r>
        <w:t>401</w:t>
      </w:r>
      <w:r>
        <w:fldChar w:fldCharType="end"/>
      </w:r>
    </w:p>
    <w:p w14:paraId="596DF305" w14:textId="5D3B394E" w:rsidR="006C1B74" w:rsidRDefault="006C1B74">
      <w:pPr>
        <w:pStyle w:val="TOC4"/>
        <w:rPr>
          <w:rFonts w:asciiTheme="minorHAnsi" w:eastAsiaTheme="minorEastAsia" w:hAnsiTheme="minorHAnsi" w:cstheme="minorBidi"/>
          <w:kern w:val="2"/>
          <w:sz w:val="24"/>
          <w:szCs w:val="24"/>
          <w14:ligatures w14:val="standardContextual"/>
        </w:rPr>
      </w:pPr>
      <w:r>
        <w:t>5.30.2.3</w:t>
      </w:r>
      <w:r>
        <w:rPr>
          <w:rFonts w:asciiTheme="minorHAnsi" w:eastAsiaTheme="minorEastAsia" w:hAnsiTheme="minorHAnsi" w:cstheme="minorBidi"/>
          <w:kern w:val="2"/>
          <w:sz w:val="24"/>
          <w:szCs w:val="24"/>
          <w14:ligatures w14:val="standardContextual"/>
        </w:rPr>
        <w:tab/>
      </w:r>
      <w:r>
        <w:t>UE configuration and subscription aspects</w:t>
      </w:r>
      <w:r>
        <w:tab/>
      </w:r>
      <w:r>
        <w:fldChar w:fldCharType="begin" w:fldLock="1"/>
      </w:r>
      <w:r>
        <w:instrText xml:space="preserve"> PAGEREF _Toc201157514 \h </w:instrText>
      </w:r>
      <w:r>
        <w:fldChar w:fldCharType="separate"/>
      </w:r>
      <w:r>
        <w:t>402</w:t>
      </w:r>
      <w:r>
        <w:fldChar w:fldCharType="end"/>
      </w:r>
    </w:p>
    <w:p w14:paraId="6A10E11A" w14:textId="0CB02848" w:rsidR="006C1B74" w:rsidRDefault="006C1B74">
      <w:pPr>
        <w:pStyle w:val="TOC4"/>
        <w:rPr>
          <w:rFonts w:asciiTheme="minorHAnsi" w:eastAsiaTheme="minorEastAsia" w:hAnsiTheme="minorHAnsi" w:cstheme="minorBidi"/>
          <w:kern w:val="2"/>
          <w:sz w:val="24"/>
          <w:szCs w:val="24"/>
          <w14:ligatures w14:val="standardContextual"/>
        </w:rPr>
      </w:pPr>
      <w:r>
        <w:t>5.30.2.4</w:t>
      </w:r>
      <w:r>
        <w:rPr>
          <w:rFonts w:asciiTheme="minorHAnsi" w:eastAsiaTheme="minorEastAsia" w:hAnsiTheme="minorHAnsi" w:cstheme="minorBidi"/>
          <w:kern w:val="2"/>
          <w:sz w:val="24"/>
          <w:szCs w:val="24"/>
          <w14:ligatures w14:val="standardContextual"/>
        </w:rPr>
        <w:tab/>
      </w:r>
      <w:r>
        <w:t>Network selection in SNPN access mode</w:t>
      </w:r>
      <w:r>
        <w:tab/>
      </w:r>
      <w:r>
        <w:fldChar w:fldCharType="begin" w:fldLock="1"/>
      </w:r>
      <w:r>
        <w:instrText xml:space="preserve"> PAGEREF _Toc201157515 \h </w:instrText>
      </w:r>
      <w:r>
        <w:fldChar w:fldCharType="separate"/>
      </w:r>
      <w:r>
        <w:t>404</w:t>
      </w:r>
      <w:r>
        <w:fldChar w:fldCharType="end"/>
      </w:r>
    </w:p>
    <w:p w14:paraId="24989DEE" w14:textId="3ADFCE59" w:rsidR="006C1B74" w:rsidRDefault="006C1B74">
      <w:pPr>
        <w:pStyle w:val="TOC5"/>
        <w:rPr>
          <w:rFonts w:asciiTheme="minorHAnsi" w:eastAsiaTheme="minorEastAsia" w:hAnsiTheme="minorHAnsi" w:cstheme="minorBidi"/>
          <w:kern w:val="2"/>
          <w:sz w:val="24"/>
          <w:szCs w:val="24"/>
          <w14:ligatures w14:val="standardContextual"/>
        </w:rPr>
      </w:pPr>
      <w:r>
        <w:t>5.30.2.4.1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_Toc201157516 \h </w:instrText>
      </w:r>
      <w:r>
        <w:fldChar w:fldCharType="separate"/>
      </w:r>
      <w:r>
        <w:t>404</w:t>
      </w:r>
      <w:r>
        <w:fldChar w:fldCharType="end"/>
      </w:r>
    </w:p>
    <w:p w14:paraId="0DEF7421" w14:textId="566D94B1" w:rsidR="006C1B74" w:rsidRDefault="006C1B74">
      <w:pPr>
        <w:pStyle w:val="TOC5"/>
        <w:rPr>
          <w:rFonts w:asciiTheme="minorHAnsi" w:eastAsiaTheme="minorEastAsia" w:hAnsiTheme="minorHAnsi" w:cstheme="minorBidi"/>
          <w:kern w:val="2"/>
          <w:sz w:val="24"/>
          <w:szCs w:val="24"/>
          <w14:ligatures w14:val="standardContextual"/>
        </w:rPr>
      </w:pPr>
      <w:r>
        <w:t>5.30.2.4.2</w:t>
      </w:r>
      <w:r>
        <w:rPr>
          <w:rFonts w:asciiTheme="minorHAnsi" w:eastAsiaTheme="minorEastAsia" w:hAnsiTheme="minorHAnsi" w:cstheme="minorBidi"/>
          <w:kern w:val="2"/>
          <w:sz w:val="24"/>
          <w:szCs w:val="24"/>
          <w14:ligatures w14:val="standardContextual"/>
        </w:rPr>
        <w:tab/>
      </w:r>
      <w:r>
        <w:t>Automatic network selection</w:t>
      </w:r>
      <w:r>
        <w:tab/>
      </w:r>
      <w:r>
        <w:fldChar w:fldCharType="begin" w:fldLock="1"/>
      </w:r>
      <w:r>
        <w:instrText xml:space="preserve"> PAGEREF _Toc201157517 \h </w:instrText>
      </w:r>
      <w:r>
        <w:fldChar w:fldCharType="separate"/>
      </w:r>
      <w:r>
        <w:t>405</w:t>
      </w:r>
      <w:r>
        <w:fldChar w:fldCharType="end"/>
      </w:r>
    </w:p>
    <w:p w14:paraId="3646C019" w14:textId="4325A663" w:rsidR="006C1B74" w:rsidRDefault="006C1B74">
      <w:pPr>
        <w:pStyle w:val="TOC5"/>
        <w:rPr>
          <w:rFonts w:asciiTheme="minorHAnsi" w:eastAsiaTheme="minorEastAsia" w:hAnsiTheme="minorHAnsi" w:cstheme="minorBidi"/>
          <w:kern w:val="2"/>
          <w:sz w:val="24"/>
          <w:szCs w:val="24"/>
          <w14:ligatures w14:val="standardContextual"/>
        </w:rPr>
      </w:pPr>
      <w:r>
        <w:t>5.30.2.4.3</w:t>
      </w:r>
      <w:r>
        <w:rPr>
          <w:rFonts w:asciiTheme="minorHAnsi" w:eastAsiaTheme="minorEastAsia" w:hAnsiTheme="minorHAnsi" w:cstheme="minorBidi"/>
          <w:kern w:val="2"/>
          <w:sz w:val="24"/>
          <w:szCs w:val="24"/>
          <w14:ligatures w14:val="standardContextual"/>
        </w:rPr>
        <w:tab/>
      </w:r>
      <w:r>
        <w:t>Manual network selection</w:t>
      </w:r>
      <w:r>
        <w:tab/>
      </w:r>
      <w:r>
        <w:fldChar w:fldCharType="begin" w:fldLock="1"/>
      </w:r>
      <w:r>
        <w:instrText xml:space="preserve"> PAGEREF _Toc201157518 \h </w:instrText>
      </w:r>
      <w:r>
        <w:fldChar w:fldCharType="separate"/>
      </w:r>
      <w:r>
        <w:t>407</w:t>
      </w:r>
      <w:r>
        <w:fldChar w:fldCharType="end"/>
      </w:r>
    </w:p>
    <w:p w14:paraId="53445C11" w14:textId="1FEFB8B7" w:rsidR="006C1B74" w:rsidRDefault="006C1B74">
      <w:pPr>
        <w:pStyle w:val="TOC4"/>
        <w:rPr>
          <w:rFonts w:asciiTheme="minorHAnsi" w:eastAsiaTheme="minorEastAsia" w:hAnsiTheme="minorHAnsi" w:cstheme="minorBidi"/>
          <w:kern w:val="2"/>
          <w:sz w:val="24"/>
          <w:szCs w:val="24"/>
          <w14:ligatures w14:val="standardContextual"/>
        </w:rPr>
      </w:pPr>
      <w:r>
        <w:t>5.30.2.5</w:t>
      </w:r>
      <w:r>
        <w:rPr>
          <w:rFonts w:asciiTheme="minorHAnsi" w:eastAsiaTheme="minorEastAsia" w:hAnsiTheme="minorHAnsi" w:cstheme="minorBidi"/>
          <w:kern w:val="2"/>
          <w:sz w:val="24"/>
          <w:szCs w:val="24"/>
          <w14:ligatures w14:val="standardContextual"/>
        </w:rPr>
        <w:tab/>
      </w:r>
      <w:r>
        <w:t>Network access control</w:t>
      </w:r>
      <w:r>
        <w:tab/>
      </w:r>
      <w:r>
        <w:fldChar w:fldCharType="begin" w:fldLock="1"/>
      </w:r>
      <w:r>
        <w:instrText xml:space="preserve"> PAGEREF _Toc201157519 \h </w:instrText>
      </w:r>
      <w:r>
        <w:fldChar w:fldCharType="separate"/>
      </w:r>
      <w:r>
        <w:t>407</w:t>
      </w:r>
      <w:r>
        <w:fldChar w:fldCharType="end"/>
      </w:r>
    </w:p>
    <w:p w14:paraId="008CE1FB" w14:textId="48137591" w:rsidR="006C1B74" w:rsidRDefault="006C1B74">
      <w:pPr>
        <w:pStyle w:val="TOC4"/>
        <w:rPr>
          <w:rFonts w:asciiTheme="minorHAnsi" w:eastAsiaTheme="minorEastAsia" w:hAnsiTheme="minorHAnsi" w:cstheme="minorBidi"/>
          <w:kern w:val="2"/>
          <w:sz w:val="24"/>
          <w:szCs w:val="24"/>
          <w14:ligatures w14:val="standardContextual"/>
        </w:rPr>
      </w:pPr>
      <w:r>
        <w:t>5.30.2.6</w:t>
      </w:r>
      <w:r>
        <w:rPr>
          <w:rFonts w:asciiTheme="minorHAnsi" w:eastAsiaTheme="minorEastAsia" w:hAnsiTheme="minorHAnsi" w:cstheme="minorBidi"/>
          <w:kern w:val="2"/>
          <w:sz w:val="24"/>
          <w:szCs w:val="24"/>
          <w14:ligatures w14:val="standardContextual"/>
        </w:rPr>
        <w:tab/>
      </w:r>
      <w:r>
        <w:t>Cell (re-)selection in SNPN access mode</w:t>
      </w:r>
      <w:r>
        <w:tab/>
      </w:r>
      <w:r>
        <w:fldChar w:fldCharType="begin" w:fldLock="1"/>
      </w:r>
      <w:r>
        <w:instrText xml:space="preserve"> PAGEREF _Toc201157520 \h </w:instrText>
      </w:r>
      <w:r>
        <w:fldChar w:fldCharType="separate"/>
      </w:r>
      <w:r>
        <w:t>407</w:t>
      </w:r>
      <w:r>
        <w:fldChar w:fldCharType="end"/>
      </w:r>
    </w:p>
    <w:p w14:paraId="37C5F994" w14:textId="30926208" w:rsidR="006C1B74" w:rsidRDefault="006C1B74">
      <w:pPr>
        <w:pStyle w:val="TOC4"/>
        <w:rPr>
          <w:rFonts w:asciiTheme="minorHAnsi" w:eastAsiaTheme="minorEastAsia" w:hAnsiTheme="minorHAnsi" w:cstheme="minorBidi"/>
          <w:kern w:val="2"/>
          <w:sz w:val="24"/>
          <w:szCs w:val="24"/>
          <w14:ligatures w14:val="standardContextual"/>
        </w:rPr>
      </w:pPr>
      <w:r>
        <w:t>5.30.2.7</w:t>
      </w:r>
      <w:r>
        <w:rPr>
          <w:rFonts w:asciiTheme="minorHAnsi" w:eastAsiaTheme="minorEastAsia" w:hAnsiTheme="minorHAnsi" w:cstheme="minorBidi"/>
          <w:kern w:val="2"/>
          <w:sz w:val="24"/>
          <w:szCs w:val="24"/>
          <w14:ligatures w14:val="standardContextual"/>
        </w:rPr>
        <w:tab/>
      </w:r>
      <w:r>
        <w:t>Access to PLMN services via stand-alone non-public networks</w:t>
      </w:r>
      <w:r>
        <w:tab/>
      </w:r>
      <w:r>
        <w:fldChar w:fldCharType="begin" w:fldLock="1"/>
      </w:r>
      <w:r>
        <w:instrText xml:space="preserve"> PAGEREF _Toc201157521 \h </w:instrText>
      </w:r>
      <w:r>
        <w:fldChar w:fldCharType="separate"/>
      </w:r>
      <w:r>
        <w:t>407</w:t>
      </w:r>
      <w:r>
        <w:fldChar w:fldCharType="end"/>
      </w:r>
    </w:p>
    <w:p w14:paraId="410480BA" w14:textId="77EECD5B" w:rsidR="006C1B74" w:rsidRDefault="006C1B74">
      <w:pPr>
        <w:pStyle w:val="TOC4"/>
        <w:rPr>
          <w:rFonts w:asciiTheme="minorHAnsi" w:eastAsiaTheme="minorEastAsia" w:hAnsiTheme="minorHAnsi" w:cstheme="minorBidi"/>
          <w:kern w:val="2"/>
          <w:sz w:val="24"/>
          <w:szCs w:val="24"/>
          <w14:ligatures w14:val="standardContextual"/>
        </w:rPr>
      </w:pPr>
      <w:r>
        <w:t>5.30.2.8</w:t>
      </w:r>
      <w:r>
        <w:rPr>
          <w:rFonts w:asciiTheme="minorHAnsi" w:eastAsiaTheme="minorEastAsia" w:hAnsiTheme="minorHAnsi" w:cstheme="minorBidi"/>
          <w:kern w:val="2"/>
          <w:sz w:val="24"/>
          <w:szCs w:val="24"/>
          <w14:ligatures w14:val="standardContextual"/>
        </w:rPr>
        <w:tab/>
      </w:r>
      <w:r>
        <w:t>Access to stand-alone non-public network services via PLMN</w:t>
      </w:r>
      <w:r>
        <w:tab/>
      </w:r>
      <w:r>
        <w:fldChar w:fldCharType="begin" w:fldLock="1"/>
      </w:r>
      <w:r>
        <w:instrText xml:space="preserve"> PAGEREF _Toc201157522 \h </w:instrText>
      </w:r>
      <w:r>
        <w:fldChar w:fldCharType="separate"/>
      </w:r>
      <w:r>
        <w:t>408</w:t>
      </w:r>
      <w:r>
        <w:fldChar w:fldCharType="end"/>
      </w:r>
    </w:p>
    <w:p w14:paraId="64CB3C54" w14:textId="1FA2C6D5" w:rsidR="006C1B74" w:rsidRDefault="006C1B74">
      <w:pPr>
        <w:pStyle w:val="TOC4"/>
        <w:rPr>
          <w:rFonts w:asciiTheme="minorHAnsi" w:eastAsiaTheme="minorEastAsia" w:hAnsiTheme="minorHAnsi" w:cstheme="minorBidi"/>
          <w:kern w:val="2"/>
          <w:sz w:val="24"/>
          <w:szCs w:val="24"/>
          <w14:ligatures w14:val="standardContextual"/>
        </w:rPr>
      </w:pPr>
      <w:r>
        <w:t>5.30.2.9</w:t>
      </w:r>
      <w:r>
        <w:rPr>
          <w:rFonts w:asciiTheme="minorHAnsi" w:eastAsiaTheme="minorEastAsia" w:hAnsiTheme="minorHAnsi" w:cstheme="minorBidi"/>
          <w:kern w:val="2"/>
          <w:sz w:val="24"/>
          <w:szCs w:val="24"/>
          <w14:ligatures w14:val="standardContextual"/>
        </w:rPr>
        <w:tab/>
      </w:r>
      <w:r>
        <w:t>SNPN connectivity for UEs with credentials owned by Credentials Holder</w:t>
      </w:r>
      <w:r>
        <w:tab/>
      </w:r>
      <w:r>
        <w:fldChar w:fldCharType="begin" w:fldLock="1"/>
      </w:r>
      <w:r>
        <w:instrText xml:space="preserve"> PAGEREF _Toc201157523 \h </w:instrText>
      </w:r>
      <w:r>
        <w:fldChar w:fldCharType="separate"/>
      </w:r>
      <w:r>
        <w:t>408</w:t>
      </w:r>
      <w:r>
        <w:fldChar w:fldCharType="end"/>
      </w:r>
    </w:p>
    <w:p w14:paraId="63D65DC5" w14:textId="0EFA1BDF" w:rsidR="006C1B74" w:rsidRDefault="006C1B74">
      <w:pPr>
        <w:pStyle w:val="TOC5"/>
        <w:rPr>
          <w:rFonts w:asciiTheme="minorHAnsi" w:eastAsiaTheme="minorEastAsia" w:hAnsiTheme="minorHAnsi" w:cstheme="minorBidi"/>
          <w:kern w:val="2"/>
          <w:sz w:val="24"/>
          <w:szCs w:val="24"/>
          <w14:ligatures w14:val="standardContextual"/>
        </w:rPr>
      </w:pPr>
      <w:r>
        <w:t>5.30.2.9.1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_Toc201157524 \h </w:instrText>
      </w:r>
      <w:r>
        <w:fldChar w:fldCharType="separate"/>
      </w:r>
      <w:r>
        <w:t>408</w:t>
      </w:r>
      <w:r>
        <w:fldChar w:fldCharType="end"/>
      </w:r>
    </w:p>
    <w:p w14:paraId="31D8470D" w14:textId="44884024" w:rsidR="006C1B74" w:rsidRDefault="006C1B74">
      <w:pPr>
        <w:pStyle w:val="TOC5"/>
        <w:rPr>
          <w:rFonts w:asciiTheme="minorHAnsi" w:eastAsiaTheme="minorEastAsia" w:hAnsiTheme="minorHAnsi" w:cstheme="minorBidi"/>
          <w:kern w:val="2"/>
          <w:sz w:val="24"/>
          <w:szCs w:val="24"/>
          <w14:ligatures w14:val="standardContextual"/>
        </w:rPr>
      </w:pPr>
      <w:r>
        <w:t>5.30.2.9.2</w:t>
      </w:r>
      <w:r>
        <w:rPr>
          <w:rFonts w:asciiTheme="minorHAnsi" w:eastAsiaTheme="minorEastAsia" w:hAnsiTheme="minorHAnsi" w:cstheme="minorBidi"/>
          <w:kern w:val="2"/>
          <w:sz w:val="24"/>
          <w:szCs w:val="24"/>
          <w14:ligatures w14:val="standardContextual"/>
        </w:rPr>
        <w:tab/>
      </w:r>
      <w:r>
        <w:t>Credentials Holder using AAA Server for primary authentication and authorization</w:t>
      </w:r>
      <w:r>
        <w:tab/>
      </w:r>
      <w:r>
        <w:fldChar w:fldCharType="begin" w:fldLock="1"/>
      </w:r>
      <w:r>
        <w:instrText xml:space="preserve"> PAGEREF _Toc201157525 \h </w:instrText>
      </w:r>
      <w:r>
        <w:fldChar w:fldCharType="separate"/>
      </w:r>
      <w:r>
        <w:t>409</w:t>
      </w:r>
      <w:r>
        <w:fldChar w:fldCharType="end"/>
      </w:r>
    </w:p>
    <w:p w14:paraId="512A9A8F" w14:textId="4631FCE2" w:rsidR="006C1B74" w:rsidRDefault="006C1B74">
      <w:pPr>
        <w:pStyle w:val="TOC5"/>
        <w:rPr>
          <w:rFonts w:asciiTheme="minorHAnsi" w:eastAsiaTheme="minorEastAsia" w:hAnsiTheme="minorHAnsi" w:cstheme="minorBidi"/>
          <w:kern w:val="2"/>
          <w:sz w:val="24"/>
          <w:szCs w:val="24"/>
          <w14:ligatures w14:val="standardContextual"/>
        </w:rPr>
      </w:pPr>
      <w:r>
        <w:t>5.30.2.9.3</w:t>
      </w:r>
      <w:r>
        <w:rPr>
          <w:rFonts w:asciiTheme="minorHAnsi" w:eastAsiaTheme="minorEastAsia" w:hAnsiTheme="minorHAnsi" w:cstheme="minorBidi"/>
          <w:kern w:val="2"/>
          <w:sz w:val="24"/>
          <w:szCs w:val="24"/>
          <w14:ligatures w14:val="standardContextual"/>
        </w:rPr>
        <w:tab/>
      </w:r>
      <w:r>
        <w:t>Credentials Holder using AUSF and UDM for primary authentication and authorization</w:t>
      </w:r>
      <w:r>
        <w:tab/>
      </w:r>
      <w:r>
        <w:fldChar w:fldCharType="begin" w:fldLock="1"/>
      </w:r>
      <w:r>
        <w:instrText xml:space="preserve"> PAGEREF _Toc201157526 \h </w:instrText>
      </w:r>
      <w:r>
        <w:fldChar w:fldCharType="separate"/>
      </w:r>
      <w:r>
        <w:t>410</w:t>
      </w:r>
      <w:r>
        <w:fldChar w:fldCharType="end"/>
      </w:r>
    </w:p>
    <w:p w14:paraId="6A783BCF" w14:textId="4123F18C" w:rsidR="006C1B74" w:rsidRDefault="006C1B74">
      <w:pPr>
        <w:pStyle w:val="TOC4"/>
        <w:rPr>
          <w:rFonts w:asciiTheme="minorHAnsi" w:eastAsiaTheme="minorEastAsia" w:hAnsiTheme="minorHAnsi" w:cstheme="minorBidi"/>
          <w:kern w:val="2"/>
          <w:sz w:val="24"/>
          <w:szCs w:val="24"/>
          <w14:ligatures w14:val="standardContextual"/>
        </w:rPr>
      </w:pPr>
      <w:r>
        <w:t>5.30.2.10</w:t>
      </w:r>
      <w:r>
        <w:rPr>
          <w:rFonts w:asciiTheme="minorHAnsi" w:eastAsiaTheme="minorEastAsia" w:hAnsiTheme="minorHAnsi" w:cstheme="minorBidi"/>
          <w:kern w:val="2"/>
          <w:sz w:val="24"/>
          <w:szCs w:val="24"/>
          <w14:ligatures w14:val="standardContextual"/>
        </w:rPr>
        <w:tab/>
      </w:r>
      <w:r>
        <w:t>Onboarding of UEs for SNPNs</w:t>
      </w:r>
      <w:r>
        <w:tab/>
      </w:r>
      <w:r>
        <w:fldChar w:fldCharType="begin" w:fldLock="1"/>
      </w:r>
      <w:r>
        <w:instrText xml:space="preserve"> PAGEREF _Toc201157527 \h </w:instrText>
      </w:r>
      <w:r>
        <w:fldChar w:fldCharType="separate"/>
      </w:r>
      <w:r>
        <w:t>411</w:t>
      </w:r>
      <w:r>
        <w:fldChar w:fldCharType="end"/>
      </w:r>
    </w:p>
    <w:p w14:paraId="219B6891" w14:textId="048B8569" w:rsidR="006C1B74" w:rsidRDefault="006C1B74">
      <w:pPr>
        <w:pStyle w:val="TOC5"/>
        <w:rPr>
          <w:rFonts w:asciiTheme="minorHAnsi" w:eastAsiaTheme="minorEastAsia" w:hAnsiTheme="minorHAnsi" w:cstheme="minorBidi"/>
          <w:kern w:val="2"/>
          <w:sz w:val="24"/>
          <w:szCs w:val="24"/>
          <w14:ligatures w14:val="standardContextual"/>
        </w:rPr>
      </w:pPr>
      <w:r>
        <w:t>5.30.2.10.1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_Toc201157528 \h </w:instrText>
      </w:r>
      <w:r>
        <w:fldChar w:fldCharType="separate"/>
      </w:r>
      <w:r>
        <w:t>411</w:t>
      </w:r>
      <w:r>
        <w:fldChar w:fldCharType="end"/>
      </w:r>
    </w:p>
    <w:p w14:paraId="62073986" w14:textId="25E15D90" w:rsidR="006C1B74" w:rsidRDefault="006C1B74">
      <w:pPr>
        <w:pStyle w:val="TOC5"/>
        <w:rPr>
          <w:rFonts w:asciiTheme="minorHAnsi" w:eastAsiaTheme="minorEastAsia" w:hAnsiTheme="minorHAnsi" w:cstheme="minorBidi"/>
          <w:kern w:val="2"/>
          <w:sz w:val="24"/>
          <w:szCs w:val="24"/>
          <w14:ligatures w14:val="standardContextual"/>
        </w:rPr>
      </w:pPr>
      <w:r>
        <w:t>5.30.2.10.2</w:t>
      </w:r>
      <w:r>
        <w:rPr>
          <w:rFonts w:asciiTheme="minorHAnsi" w:eastAsiaTheme="minorEastAsia" w:hAnsiTheme="minorHAnsi" w:cstheme="minorBidi"/>
          <w:kern w:val="2"/>
          <w:sz w:val="24"/>
          <w:szCs w:val="24"/>
          <w14:ligatures w14:val="standardContextual"/>
        </w:rPr>
        <w:tab/>
      </w:r>
      <w:r>
        <w:t>Onboarding Network is an SNPN</w:t>
      </w:r>
      <w:r>
        <w:tab/>
      </w:r>
      <w:r>
        <w:fldChar w:fldCharType="begin" w:fldLock="1"/>
      </w:r>
      <w:r>
        <w:instrText xml:space="preserve"> PAGEREF _Toc201157529 \h </w:instrText>
      </w:r>
      <w:r>
        <w:fldChar w:fldCharType="separate"/>
      </w:r>
      <w:r>
        <w:t>411</w:t>
      </w:r>
      <w:r>
        <w:fldChar w:fldCharType="end"/>
      </w:r>
    </w:p>
    <w:p w14:paraId="4A36A205" w14:textId="436F1E8D" w:rsidR="006C1B74" w:rsidRDefault="006C1B74">
      <w:pPr>
        <w:pStyle w:val="TOC5"/>
        <w:rPr>
          <w:rFonts w:asciiTheme="minorHAnsi" w:eastAsiaTheme="minorEastAsia" w:hAnsiTheme="minorHAnsi" w:cstheme="minorBidi"/>
          <w:kern w:val="2"/>
          <w:sz w:val="24"/>
          <w:szCs w:val="24"/>
          <w14:ligatures w14:val="standardContextual"/>
        </w:rPr>
      </w:pPr>
      <w:r>
        <w:t>5.30.2.10.3</w:t>
      </w:r>
      <w:r>
        <w:rPr>
          <w:rFonts w:asciiTheme="minorHAnsi" w:eastAsiaTheme="minorEastAsia" w:hAnsiTheme="minorHAnsi" w:cstheme="minorBidi"/>
          <w:kern w:val="2"/>
          <w:sz w:val="24"/>
          <w:szCs w:val="24"/>
          <w14:ligatures w14:val="standardContextual"/>
        </w:rPr>
        <w:tab/>
      </w:r>
      <w:r>
        <w:t>Onboarding Network is a PLMN</w:t>
      </w:r>
      <w:r>
        <w:tab/>
      </w:r>
      <w:r>
        <w:fldChar w:fldCharType="begin" w:fldLock="1"/>
      </w:r>
      <w:r>
        <w:instrText xml:space="preserve"> PAGEREF _Toc201157530 \h </w:instrText>
      </w:r>
      <w:r>
        <w:fldChar w:fldCharType="separate"/>
      </w:r>
      <w:r>
        <w:t>416</w:t>
      </w:r>
      <w:r>
        <w:fldChar w:fldCharType="end"/>
      </w:r>
    </w:p>
    <w:p w14:paraId="2CF27994" w14:textId="0BE3E2B5" w:rsidR="006C1B74" w:rsidRDefault="006C1B74">
      <w:pPr>
        <w:pStyle w:val="TOC5"/>
        <w:rPr>
          <w:rFonts w:asciiTheme="minorHAnsi" w:eastAsiaTheme="minorEastAsia" w:hAnsiTheme="minorHAnsi" w:cstheme="minorBidi"/>
          <w:kern w:val="2"/>
          <w:sz w:val="24"/>
          <w:szCs w:val="24"/>
          <w14:ligatures w14:val="standardContextual"/>
        </w:rPr>
      </w:pPr>
      <w:r>
        <w:t>5.30.2.10.4</w:t>
      </w:r>
      <w:r>
        <w:rPr>
          <w:rFonts w:asciiTheme="minorHAnsi" w:eastAsiaTheme="minorEastAsia" w:hAnsiTheme="minorHAnsi" w:cstheme="minorBidi"/>
          <w:kern w:val="2"/>
          <w:sz w:val="24"/>
          <w:szCs w:val="24"/>
          <w14:ligatures w14:val="standardContextual"/>
        </w:rPr>
        <w:tab/>
      </w:r>
      <w:r>
        <w:t>Remote Provisioning of UEs in Onboarding Network</w:t>
      </w:r>
      <w:r>
        <w:tab/>
      </w:r>
      <w:r>
        <w:fldChar w:fldCharType="begin" w:fldLock="1"/>
      </w:r>
      <w:r>
        <w:instrText xml:space="preserve"> PAGEREF _Toc201157531 \h </w:instrText>
      </w:r>
      <w:r>
        <w:fldChar w:fldCharType="separate"/>
      </w:r>
      <w:r>
        <w:t>416</w:t>
      </w:r>
      <w:r>
        <w:fldChar w:fldCharType="end"/>
      </w:r>
    </w:p>
    <w:p w14:paraId="6D2EDB7C" w14:textId="44D8537E" w:rsidR="006C1B74" w:rsidRDefault="006C1B74">
      <w:pPr>
        <w:pStyle w:val="TOC4"/>
        <w:rPr>
          <w:rFonts w:asciiTheme="minorHAnsi" w:eastAsiaTheme="minorEastAsia" w:hAnsiTheme="minorHAnsi" w:cstheme="minorBidi"/>
          <w:kern w:val="2"/>
          <w:sz w:val="24"/>
          <w:szCs w:val="24"/>
          <w14:ligatures w14:val="standardContextual"/>
        </w:rPr>
      </w:pPr>
      <w:r>
        <w:t>5.30.2.11</w:t>
      </w:r>
      <w:r>
        <w:rPr>
          <w:rFonts w:asciiTheme="minorHAnsi" w:eastAsiaTheme="minorEastAsia" w:hAnsiTheme="minorHAnsi" w:cstheme="minorBidi"/>
          <w:kern w:val="2"/>
          <w:sz w:val="24"/>
          <w:szCs w:val="24"/>
          <w14:ligatures w14:val="standardContextual"/>
        </w:rPr>
        <w:tab/>
      </w:r>
      <w:r>
        <w:t>UE Mobility support for SNPN</w:t>
      </w:r>
      <w:r>
        <w:tab/>
      </w:r>
      <w:r>
        <w:fldChar w:fldCharType="begin" w:fldLock="1"/>
      </w:r>
      <w:r>
        <w:instrText xml:space="preserve"> PAGEREF _Toc201157532 \h </w:instrText>
      </w:r>
      <w:r>
        <w:fldChar w:fldCharType="separate"/>
      </w:r>
      <w:r>
        <w:t>418</w:t>
      </w:r>
      <w:r>
        <w:fldChar w:fldCharType="end"/>
      </w:r>
    </w:p>
    <w:p w14:paraId="39A71125" w14:textId="0C2CB37F" w:rsidR="006C1B74" w:rsidRDefault="006C1B74">
      <w:pPr>
        <w:pStyle w:val="TOC4"/>
        <w:rPr>
          <w:rFonts w:asciiTheme="minorHAnsi" w:eastAsiaTheme="minorEastAsia" w:hAnsiTheme="minorHAnsi" w:cstheme="minorBidi"/>
          <w:kern w:val="2"/>
          <w:sz w:val="24"/>
          <w:szCs w:val="24"/>
          <w14:ligatures w14:val="standardContextual"/>
        </w:rPr>
      </w:pPr>
      <w:r>
        <w:t>5.30.2.12</w:t>
      </w:r>
      <w:r>
        <w:rPr>
          <w:rFonts w:asciiTheme="minorHAnsi" w:eastAsiaTheme="minorEastAsia" w:hAnsiTheme="minorHAnsi" w:cstheme="minorBidi"/>
          <w:kern w:val="2"/>
          <w:sz w:val="24"/>
          <w:szCs w:val="24"/>
          <w14:ligatures w14:val="standardContextual"/>
        </w:rPr>
        <w:tab/>
      </w:r>
      <w:r>
        <w:t>Access to SNPN services via Untrusted non-3GPP access</w:t>
      </w:r>
      <w:r>
        <w:tab/>
      </w:r>
      <w:r>
        <w:fldChar w:fldCharType="begin" w:fldLock="1"/>
      </w:r>
      <w:r>
        <w:instrText xml:space="preserve"> PAGEREF _Toc201157533 \h </w:instrText>
      </w:r>
      <w:r>
        <w:fldChar w:fldCharType="separate"/>
      </w:r>
      <w:r>
        <w:t>419</w:t>
      </w:r>
      <w:r>
        <w:fldChar w:fldCharType="end"/>
      </w:r>
    </w:p>
    <w:p w14:paraId="59497DE6" w14:textId="1C850FE7" w:rsidR="006C1B74" w:rsidRDefault="006C1B74">
      <w:pPr>
        <w:pStyle w:val="TOC4"/>
        <w:rPr>
          <w:rFonts w:asciiTheme="minorHAnsi" w:eastAsiaTheme="minorEastAsia" w:hAnsiTheme="minorHAnsi" w:cstheme="minorBidi"/>
          <w:kern w:val="2"/>
          <w:sz w:val="24"/>
          <w:szCs w:val="24"/>
          <w14:ligatures w14:val="standardContextual"/>
        </w:rPr>
      </w:pPr>
      <w:r>
        <w:t>5.30.2.13</w:t>
      </w:r>
      <w:r>
        <w:rPr>
          <w:rFonts w:asciiTheme="minorHAnsi" w:eastAsiaTheme="minorEastAsia" w:hAnsiTheme="minorHAnsi" w:cstheme="minorBidi"/>
          <w:kern w:val="2"/>
          <w:sz w:val="24"/>
          <w:szCs w:val="24"/>
          <w14:ligatures w14:val="standardContextual"/>
        </w:rPr>
        <w:tab/>
      </w:r>
      <w:r>
        <w:t>Access to SNPN services via Trusted non-3GPP access</w:t>
      </w:r>
      <w:r>
        <w:tab/>
      </w:r>
      <w:r>
        <w:fldChar w:fldCharType="begin" w:fldLock="1"/>
      </w:r>
      <w:r>
        <w:instrText xml:space="preserve"> PAGEREF _Toc201157534 \h </w:instrText>
      </w:r>
      <w:r>
        <w:fldChar w:fldCharType="separate"/>
      </w:r>
      <w:r>
        <w:t>420</w:t>
      </w:r>
      <w:r>
        <w:fldChar w:fldCharType="end"/>
      </w:r>
    </w:p>
    <w:p w14:paraId="736FC900" w14:textId="70556BE2" w:rsidR="006C1B74" w:rsidRDefault="006C1B74">
      <w:pPr>
        <w:pStyle w:val="TOC4"/>
        <w:rPr>
          <w:rFonts w:asciiTheme="minorHAnsi" w:eastAsiaTheme="minorEastAsia" w:hAnsiTheme="minorHAnsi" w:cstheme="minorBidi"/>
          <w:kern w:val="2"/>
          <w:sz w:val="24"/>
          <w:szCs w:val="24"/>
          <w14:ligatures w14:val="standardContextual"/>
        </w:rPr>
      </w:pPr>
      <w:r>
        <w:t>5.30.2.14</w:t>
      </w:r>
      <w:r>
        <w:rPr>
          <w:rFonts w:asciiTheme="minorHAnsi" w:eastAsiaTheme="minorEastAsia" w:hAnsiTheme="minorHAnsi" w:cstheme="minorBidi"/>
          <w:kern w:val="2"/>
          <w:sz w:val="24"/>
          <w:szCs w:val="24"/>
          <w14:ligatures w14:val="standardContextual"/>
        </w:rPr>
        <w:tab/>
      </w:r>
      <w:r>
        <w:t>Access to SNPN services via wireline access network</w:t>
      </w:r>
      <w:r>
        <w:tab/>
      </w:r>
      <w:r>
        <w:fldChar w:fldCharType="begin" w:fldLock="1"/>
      </w:r>
      <w:r>
        <w:instrText xml:space="preserve"> PAGEREF _Toc201157535 \h </w:instrText>
      </w:r>
      <w:r>
        <w:fldChar w:fldCharType="separate"/>
      </w:r>
      <w:r>
        <w:t>421</w:t>
      </w:r>
      <w:r>
        <w:fldChar w:fldCharType="end"/>
      </w:r>
    </w:p>
    <w:p w14:paraId="227F0D26" w14:textId="2CDD7D74" w:rsidR="006C1B74" w:rsidRDefault="006C1B74">
      <w:pPr>
        <w:pStyle w:val="TOC4"/>
        <w:rPr>
          <w:rFonts w:asciiTheme="minorHAnsi" w:eastAsiaTheme="minorEastAsia" w:hAnsiTheme="minorHAnsi" w:cstheme="minorBidi"/>
          <w:kern w:val="2"/>
          <w:sz w:val="24"/>
          <w:szCs w:val="24"/>
          <w14:ligatures w14:val="standardContextual"/>
        </w:rPr>
      </w:pPr>
      <w:r>
        <w:t>5.30.2.15</w:t>
      </w:r>
      <w:r>
        <w:rPr>
          <w:rFonts w:asciiTheme="minorHAnsi" w:eastAsiaTheme="minorEastAsia" w:hAnsiTheme="minorHAnsi" w:cstheme="minorBidi"/>
          <w:kern w:val="2"/>
          <w:sz w:val="24"/>
          <w:szCs w:val="24"/>
          <w14:ligatures w14:val="standardContextual"/>
        </w:rPr>
        <w:tab/>
      </w:r>
      <w:r>
        <w:t>Access to SNPN services for N5CW devices</w:t>
      </w:r>
      <w:r>
        <w:tab/>
      </w:r>
      <w:r>
        <w:fldChar w:fldCharType="begin" w:fldLock="1"/>
      </w:r>
      <w:r>
        <w:instrText xml:space="preserve"> PAGEREF _Toc201157536 \h </w:instrText>
      </w:r>
      <w:r>
        <w:fldChar w:fldCharType="separate"/>
      </w:r>
      <w:r>
        <w:t>421</w:t>
      </w:r>
      <w:r>
        <w:fldChar w:fldCharType="end"/>
      </w:r>
    </w:p>
    <w:p w14:paraId="7F281FED" w14:textId="19638A41" w:rsidR="006C1B74" w:rsidRDefault="006C1B74">
      <w:pPr>
        <w:pStyle w:val="TOC3"/>
        <w:rPr>
          <w:rFonts w:asciiTheme="minorHAnsi" w:eastAsiaTheme="minorEastAsia" w:hAnsiTheme="minorHAnsi" w:cstheme="minorBidi"/>
          <w:kern w:val="2"/>
          <w:sz w:val="24"/>
          <w:szCs w:val="24"/>
          <w14:ligatures w14:val="standardContextual"/>
        </w:rPr>
      </w:pPr>
      <w:r>
        <w:t>5.30.3</w:t>
      </w:r>
      <w:r>
        <w:rPr>
          <w:rFonts w:asciiTheme="minorHAnsi" w:eastAsiaTheme="minorEastAsia" w:hAnsiTheme="minorHAnsi" w:cstheme="minorBidi"/>
          <w:kern w:val="2"/>
          <w:sz w:val="24"/>
          <w:szCs w:val="24"/>
          <w14:ligatures w14:val="standardContextual"/>
        </w:rPr>
        <w:tab/>
      </w:r>
      <w:r>
        <w:t>Public Network Integrated NPN</w:t>
      </w:r>
      <w:r>
        <w:tab/>
      </w:r>
      <w:r>
        <w:fldChar w:fldCharType="begin" w:fldLock="1"/>
      </w:r>
      <w:r>
        <w:instrText xml:space="preserve"> PAGEREF _Toc201157537 \h </w:instrText>
      </w:r>
      <w:r>
        <w:fldChar w:fldCharType="separate"/>
      </w:r>
      <w:r>
        <w:t>421</w:t>
      </w:r>
      <w:r>
        <w:fldChar w:fldCharType="end"/>
      </w:r>
    </w:p>
    <w:p w14:paraId="415DBEFC" w14:textId="17696458" w:rsidR="006C1B74" w:rsidRDefault="006C1B74">
      <w:pPr>
        <w:pStyle w:val="TOC4"/>
        <w:rPr>
          <w:rFonts w:asciiTheme="minorHAnsi" w:eastAsiaTheme="minorEastAsia" w:hAnsiTheme="minorHAnsi" w:cstheme="minorBidi"/>
          <w:kern w:val="2"/>
          <w:sz w:val="24"/>
          <w:szCs w:val="24"/>
          <w14:ligatures w14:val="standardContextual"/>
        </w:rPr>
      </w:pPr>
      <w:r>
        <w:t>5.30.3.1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_Toc201157538 \h </w:instrText>
      </w:r>
      <w:r>
        <w:fldChar w:fldCharType="separate"/>
      </w:r>
      <w:r>
        <w:t>421</w:t>
      </w:r>
      <w:r>
        <w:fldChar w:fldCharType="end"/>
      </w:r>
    </w:p>
    <w:p w14:paraId="44749500" w14:textId="0E70FF5F" w:rsidR="006C1B74" w:rsidRDefault="006C1B74">
      <w:pPr>
        <w:pStyle w:val="TOC4"/>
        <w:rPr>
          <w:rFonts w:asciiTheme="minorHAnsi" w:eastAsiaTheme="minorEastAsia" w:hAnsiTheme="minorHAnsi" w:cstheme="minorBidi"/>
          <w:kern w:val="2"/>
          <w:sz w:val="24"/>
          <w:szCs w:val="24"/>
          <w14:ligatures w14:val="standardContextual"/>
        </w:rPr>
      </w:pPr>
      <w:r>
        <w:t>5.30.3.2</w:t>
      </w:r>
      <w:r>
        <w:rPr>
          <w:rFonts w:asciiTheme="minorHAnsi" w:eastAsiaTheme="minorEastAsia" w:hAnsiTheme="minorHAnsi" w:cstheme="minorBidi"/>
          <w:kern w:val="2"/>
          <w:sz w:val="24"/>
          <w:szCs w:val="24"/>
          <w14:ligatures w14:val="standardContextual"/>
        </w:rPr>
        <w:tab/>
      </w:r>
      <w:r>
        <w:t>Identifiers</w:t>
      </w:r>
      <w:r>
        <w:tab/>
      </w:r>
      <w:r>
        <w:fldChar w:fldCharType="begin" w:fldLock="1"/>
      </w:r>
      <w:r>
        <w:instrText xml:space="preserve"> PAGEREF _Toc201157539 \h </w:instrText>
      </w:r>
      <w:r>
        <w:fldChar w:fldCharType="separate"/>
      </w:r>
      <w:r>
        <w:t>422</w:t>
      </w:r>
      <w:r>
        <w:fldChar w:fldCharType="end"/>
      </w:r>
    </w:p>
    <w:p w14:paraId="4784F778" w14:textId="6D5A6165" w:rsidR="006C1B74" w:rsidRDefault="006C1B74">
      <w:pPr>
        <w:pStyle w:val="TOC4"/>
        <w:rPr>
          <w:rFonts w:asciiTheme="minorHAnsi" w:eastAsiaTheme="minorEastAsia" w:hAnsiTheme="minorHAnsi" w:cstheme="minorBidi"/>
          <w:kern w:val="2"/>
          <w:sz w:val="24"/>
          <w:szCs w:val="24"/>
          <w14:ligatures w14:val="standardContextual"/>
        </w:rPr>
      </w:pPr>
      <w:r>
        <w:t>5.30.3.3</w:t>
      </w:r>
      <w:r>
        <w:rPr>
          <w:rFonts w:asciiTheme="minorHAnsi" w:eastAsiaTheme="minorEastAsia" w:hAnsiTheme="minorHAnsi" w:cstheme="minorBidi"/>
          <w:kern w:val="2"/>
          <w:sz w:val="24"/>
          <w:szCs w:val="24"/>
          <w14:ligatures w14:val="standardContextual"/>
        </w:rPr>
        <w:tab/>
      </w:r>
      <w:r>
        <w:t>UE configuration, subscription aspects and storage</w:t>
      </w:r>
      <w:r>
        <w:tab/>
      </w:r>
      <w:r>
        <w:fldChar w:fldCharType="begin" w:fldLock="1"/>
      </w:r>
      <w:r>
        <w:instrText xml:space="preserve"> PAGEREF _Toc201157540 \h </w:instrText>
      </w:r>
      <w:r>
        <w:fldChar w:fldCharType="separate"/>
      </w:r>
      <w:r>
        <w:t>422</w:t>
      </w:r>
      <w:r>
        <w:fldChar w:fldCharType="end"/>
      </w:r>
    </w:p>
    <w:p w14:paraId="53168199" w14:textId="29F17BC3" w:rsidR="006C1B74" w:rsidRDefault="006C1B74">
      <w:pPr>
        <w:pStyle w:val="TOC4"/>
        <w:rPr>
          <w:rFonts w:asciiTheme="minorHAnsi" w:eastAsiaTheme="minorEastAsia" w:hAnsiTheme="minorHAnsi" w:cstheme="minorBidi"/>
          <w:kern w:val="2"/>
          <w:sz w:val="24"/>
          <w:szCs w:val="24"/>
          <w14:ligatures w14:val="standardContextual"/>
        </w:rPr>
      </w:pPr>
      <w:r>
        <w:t>5.30.3.4</w:t>
      </w:r>
      <w:r>
        <w:rPr>
          <w:rFonts w:asciiTheme="minorHAnsi" w:eastAsiaTheme="minorEastAsia" w:hAnsiTheme="minorHAnsi" w:cstheme="minorBidi"/>
          <w:kern w:val="2"/>
          <w:sz w:val="24"/>
          <w:szCs w:val="24"/>
          <w14:ligatures w14:val="standardContextual"/>
        </w:rPr>
        <w:tab/>
      </w:r>
      <w:r>
        <w:t>Network and cell (re-)selection and access control</w:t>
      </w:r>
      <w:r>
        <w:tab/>
      </w:r>
      <w:r>
        <w:fldChar w:fldCharType="begin" w:fldLock="1"/>
      </w:r>
      <w:r>
        <w:instrText xml:space="preserve"> PAGEREF _Toc201157541 \h </w:instrText>
      </w:r>
      <w:r>
        <w:fldChar w:fldCharType="separate"/>
      </w:r>
      <w:r>
        <w:t>423</w:t>
      </w:r>
      <w:r>
        <w:fldChar w:fldCharType="end"/>
      </w:r>
    </w:p>
    <w:p w14:paraId="21769D9B" w14:textId="5A957F8D" w:rsidR="006C1B74" w:rsidRDefault="006C1B74">
      <w:pPr>
        <w:pStyle w:val="TOC4"/>
        <w:rPr>
          <w:rFonts w:asciiTheme="minorHAnsi" w:eastAsiaTheme="minorEastAsia" w:hAnsiTheme="minorHAnsi" w:cstheme="minorBidi"/>
          <w:kern w:val="2"/>
          <w:sz w:val="24"/>
          <w:szCs w:val="24"/>
          <w14:ligatures w14:val="standardContextual"/>
        </w:rPr>
      </w:pPr>
      <w:r>
        <w:t>5.30.3.5</w:t>
      </w:r>
      <w:r>
        <w:rPr>
          <w:rFonts w:asciiTheme="minorHAnsi" w:eastAsiaTheme="minorEastAsia" w:hAnsiTheme="minorHAnsi" w:cstheme="minorBidi"/>
          <w:kern w:val="2"/>
          <w:sz w:val="24"/>
          <w:szCs w:val="24"/>
          <w14:ligatures w14:val="standardContextual"/>
        </w:rPr>
        <w:tab/>
      </w:r>
      <w:r>
        <w:t>Support of emergency services in CAG cells</w:t>
      </w:r>
      <w:r>
        <w:tab/>
      </w:r>
      <w:r>
        <w:fldChar w:fldCharType="begin" w:fldLock="1"/>
      </w:r>
      <w:r>
        <w:instrText xml:space="preserve"> PAGEREF _Toc201157542 \h </w:instrText>
      </w:r>
      <w:r>
        <w:fldChar w:fldCharType="separate"/>
      </w:r>
      <w:r>
        <w:t>425</w:t>
      </w:r>
      <w:r>
        <w:fldChar w:fldCharType="end"/>
      </w:r>
    </w:p>
    <w:p w14:paraId="5E8900AC" w14:textId="11A0B9B7" w:rsidR="006C1B74" w:rsidRDefault="006C1B74">
      <w:pPr>
        <w:pStyle w:val="TOC2"/>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Support for Cellular IoT</w:t>
      </w:r>
      <w:r>
        <w:tab/>
      </w:r>
      <w:r>
        <w:fldChar w:fldCharType="begin" w:fldLock="1"/>
      </w:r>
      <w:r>
        <w:instrText xml:space="preserve"> PAGEREF _Toc201157543 \h </w:instrText>
      </w:r>
      <w:r>
        <w:fldChar w:fldCharType="separate"/>
      </w:r>
      <w:r>
        <w:t>425</w:t>
      </w:r>
      <w:r>
        <w:fldChar w:fldCharType="end"/>
      </w:r>
    </w:p>
    <w:p w14:paraId="48EBBD9F" w14:textId="4E894084" w:rsidR="006C1B74" w:rsidRDefault="006C1B74">
      <w:pPr>
        <w:pStyle w:val="TOC3"/>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_Toc201157544 \h </w:instrText>
      </w:r>
      <w:r>
        <w:fldChar w:fldCharType="separate"/>
      </w:r>
      <w:r>
        <w:t>425</w:t>
      </w:r>
      <w:r>
        <w:fldChar w:fldCharType="end"/>
      </w:r>
    </w:p>
    <w:p w14:paraId="16D64F43" w14:textId="2B3B6083" w:rsidR="006C1B74" w:rsidRDefault="006C1B74">
      <w:pPr>
        <w:pStyle w:val="TOC3"/>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Preferred and Supported Network Behaviour</w:t>
      </w:r>
      <w:r>
        <w:tab/>
      </w:r>
      <w:r>
        <w:fldChar w:fldCharType="begin" w:fldLock="1"/>
      </w:r>
      <w:r>
        <w:instrText xml:space="preserve"> PAGEREF _Toc201157545 \h </w:instrText>
      </w:r>
      <w:r>
        <w:fldChar w:fldCharType="separate"/>
      </w:r>
      <w:r>
        <w:t>425</w:t>
      </w:r>
      <w:r>
        <w:fldChar w:fldCharType="end"/>
      </w:r>
    </w:p>
    <w:p w14:paraId="36AB704B" w14:textId="67AF5799" w:rsidR="006C1B74" w:rsidRDefault="006C1B74">
      <w:pPr>
        <w:pStyle w:val="TOC3"/>
        <w:rPr>
          <w:rFonts w:asciiTheme="minorHAnsi" w:eastAsiaTheme="minorEastAsia" w:hAnsiTheme="minorHAnsi" w:cstheme="minorBidi"/>
          <w:kern w:val="2"/>
          <w:sz w:val="24"/>
          <w:szCs w:val="24"/>
          <w14:ligatures w14:val="standardContextual"/>
        </w:rPr>
      </w:pPr>
      <w:r>
        <w:t>5.31.3</w:t>
      </w:r>
      <w:r>
        <w:rPr>
          <w:rFonts w:asciiTheme="minorHAnsi" w:eastAsiaTheme="minorEastAsia" w:hAnsiTheme="minorHAnsi" w:cstheme="minorBidi"/>
          <w:kern w:val="2"/>
          <w:sz w:val="24"/>
          <w:szCs w:val="24"/>
          <w14:ligatures w14:val="standardContextual"/>
        </w:rPr>
        <w:tab/>
      </w:r>
      <w:r>
        <w:t>Selection, steering and redirection between EPS and 5GS</w:t>
      </w:r>
      <w:r>
        <w:tab/>
      </w:r>
      <w:r>
        <w:fldChar w:fldCharType="begin" w:fldLock="1"/>
      </w:r>
      <w:r>
        <w:instrText xml:space="preserve"> PAGEREF _Toc201157546 \h </w:instrText>
      </w:r>
      <w:r>
        <w:fldChar w:fldCharType="separate"/>
      </w:r>
      <w:r>
        <w:t>426</w:t>
      </w:r>
      <w:r>
        <w:fldChar w:fldCharType="end"/>
      </w:r>
    </w:p>
    <w:p w14:paraId="69FFB480" w14:textId="53718281" w:rsidR="006C1B74" w:rsidRDefault="006C1B74">
      <w:pPr>
        <w:pStyle w:val="TOC3"/>
        <w:rPr>
          <w:rFonts w:asciiTheme="minorHAnsi" w:eastAsiaTheme="minorEastAsia" w:hAnsiTheme="minorHAnsi" w:cstheme="minorBidi"/>
          <w:kern w:val="2"/>
          <w:sz w:val="24"/>
          <w:szCs w:val="24"/>
          <w14:ligatures w14:val="standardContextual"/>
        </w:rPr>
      </w:pPr>
      <w:r>
        <w:t>5.31.4</w:t>
      </w:r>
      <w:r>
        <w:rPr>
          <w:rFonts w:asciiTheme="minorHAnsi" w:eastAsiaTheme="minorEastAsia" w:hAnsiTheme="minorHAnsi" w:cstheme="minorBidi"/>
          <w:kern w:val="2"/>
          <w:sz w:val="24"/>
          <w:szCs w:val="24"/>
          <w14:ligatures w14:val="standardContextual"/>
        </w:rPr>
        <w:tab/>
      </w:r>
      <w:r>
        <w:t>Control Plane CIoT 5GS Optimisation</w:t>
      </w:r>
      <w:r>
        <w:tab/>
      </w:r>
      <w:r>
        <w:fldChar w:fldCharType="begin" w:fldLock="1"/>
      </w:r>
      <w:r>
        <w:instrText xml:space="preserve"> PAGEREF _Toc201157547 \h </w:instrText>
      </w:r>
      <w:r>
        <w:fldChar w:fldCharType="separate"/>
      </w:r>
      <w:r>
        <w:t>427</w:t>
      </w:r>
      <w:r>
        <w:fldChar w:fldCharType="end"/>
      </w:r>
    </w:p>
    <w:p w14:paraId="11BC88BD" w14:textId="23719BAB" w:rsidR="006C1B74" w:rsidRDefault="006C1B74">
      <w:pPr>
        <w:pStyle w:val="TOC4"/>
        <w:rPr>
          <w:rFonts w:asciiTheme="minorHAnsi" w:eastAsiaTheme="minorEastAsia" w:hAnsiTheme="minorHAnsi" w:cstheme="minorBidi"/>
          <w:kern w:val="2"/>
          <w:sz w:val="24"/>
          <w:szCs w:val="24"/>
          <w14:ligatures w14:val="standardContextual"/>
        </w:rPr>
      </w:pPr>
      <w:r>
        <w:t>5.31.4.1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_Toc201157548 \h </w:instrText>
      </w:r>
      <w:r>
        <w:fldChar w:fldCharType="separate"/>
      </w:r>
      <w:r>
        <w:t>427</w:t>
      </w:r>
      <w:r>
        <w:fldChar w:fldCharType="end"/>
      </w:r>
    </w:p>
    <w:p w14:paraId="08D68644" w14:textId="48C34A3A" w:rsidR="006C1B74" w:rsidRDefault="006C1B74">
      <w:pPr>
        <w:pStyle w:val="TOC4"/>
        <w:rPr>
          <w:rFonts w:asciiTheme="minorHAnsi" w:eastAsiaTheme="minorEastAsia" w:hAnsiTheme="minorHAnsi" w:cstheme="minorBidi"/>
          <w:kern w:val="2"/>
          <w:sz w:val="24"/>
          <w:szCs w:val="24"/>
          <w14:ligatures w14:val="standardContextual"/>
        </w:rPr>
      </w:pPr>
      <w:r>
        <w:t>5.31.4.2</w:t>
      </w:r>
      <w:r>
        <w:rPr>
          <w:rFonts w:asciiTheme="minorHAnsi" w:eastAsiaTheme="minorEastAsia" w:hAnsiTheme="minorHAnsi" w:cstheme="minorBidi"/>
          <w:kern w:val="2"/>
          <w:sz w:val="24"/>
          <w:szCs w:val="24"/>
          <w14:ligatures w14:val="standardContextual"/>
        </w:rPr>
        <w:tab/>
      </w:r>
      <w:r>
        <w:t>Establishment of N3 data transfer during Data Transport in Control Plane CIoT 5GS Optimisation</w:t>
      </w:r>
      <w:r>
        <w:tab/>
      </w:r>
      <w:r>
        <w:fldChar w:fldCharType="begin" w:fldLock="1"/>
      </w:r>
      <w:r>
        <w:instrText xml:space="preserve"> PAGEREF _Toc201157549 \h </w:instrText>
      </w:r>
      <w:r>
        <w:fldChar w:fldCharType="separate"/>
      </w:r>
      <w:r>
        <w:t>428</w:t>
      </w:r>
      <w:r>
        <w:fldChar w:fldCharType="end"/>
      </w:r>
    </w:p>
    <w:p w14:paraId="28E99CBF" w14:textId="41093F28" w:rsidR="006C1B74" w:rsidRDefault="006C1B74">
      <w:pPr>
        <w:pStyle w:val="TOC4"/>
        <w:rPr>
          <w:rFonts w:asciiTheme="minorHAnsi" w:eastAsiaTheme="minorEastAsia" w:hAnsiTheme="minorHAnsi" w:cstheme="minorBidi"/>
          <w:kern w:val="2"/>
          <w:sz w:val="24"/>
          <w:szCs w:val="24"/>
          <w14:ligatures w14:val="standardContextual"/>
        </w:rPr>
      </w:pPr>
      <w:r>
        <w:t>5.31.4.3</w:t>
      </w:r>
      <w:r>
        <w:rPr>
          <w:rFonts w:asciiTheme="minorHAnsi" w:eastAsiaTheme="minorEastAsia" w:hAnsiTheme="minorHAnsi" w:cstheme="minorBidi"/>
          <w:kern w:val="2"/>
          <w:sz w:val="24"/>
          <w:szCs w:val="24"/>
          <w14:ligatures w14:val="standardContextual"/>
        </w:rPr>
        <w:tab/>
      </w:r>
      <w:r>
        <w:t>Control Plane Relocation Indication procedure</w:t>
      </w:r>
      <w:r>
        <w:tab/>
      </w:r>
      <w:r>
        <w:fldChar w:fldCharType="begin" w:fldLock="1"/>
      </w:r>
      <w:r>
        <w:instrText xml:space="preserve"> PAGEREF _Toc201157550 \h </w:instrText>
      </w:r>
      <w:r>
        <w:fldChar w:fldCharType="separate"/>
      </w:r>
      <w:r>
        <w:t>428</w:t>
      </w:r>
      <w:r>
        <w:fldChar w:fldCharType="end"/>
      </w:r>
    </w:p>
    <w:p w14:paraId="252F0E26" w14:textId="0AFB7F75" w:rsidR="006C1B74" w:rsidRDefault="006C1B74">
      <w:pPr>
        <w:pStyle w:val="TOC3"/>
        <w:rPr>
          <w:rFonts w:asciiTheme="minorHAnsi" w:eastAsiaTheme="minorEastAsia" w:hAnsiTheme="minorHAnsi" w:cstheme="minorBidi"/>
          <w:kern w:val="2"/>
          <w:sz w:val="24"/>
          <w:szCs w:val="24"/>
          <w14:ligatures w14:val="standardContextual"/>
        </w:rPr>
      </w:pPr>
      <w:r>
        <w:t>5.31.5</w:t>
      </w:r>
      <w:r>
        <w:rPr>
          <w:rFonts w:asciiTheme="minorHAnsi" w:eastAsiaTheme="minorEastAsia" w:hAnsiTheme="minorHAnsi" w:cstheme="minorBidi"/>
          <w:kern w:val="2"/>
          <w:sz w:val="24"/>
          <w:szCs w:val="24"/>
          <w14:ligatures w14:val="standardContextual"/>
        </w:rPr>
        <w:tab/>
      </w:r>
      <w:r>
        <w:t>Non-IP Data Delivery (NIDD)</w:t>
      </w:r>
      <w:r>
        <w:tab/>
      </w:r>
      <w:r>
        <w:fldChar w:fldCharType="begin" w:fldLock="1"/>
      </w:r>
      <w:r>
        <w:instrText xml:space="preserve"> PAGEREF _Toc201157551 \h </w:instrText>
      </w:r>
      <w:r>
        <w:fldChar w:fldCharType="separate"/>
      </w:r>
      <w:r>
        <w:t>428</w:t>
      </w:r>
      <w:r>
        <w:fldChar w:fldCharType="end"/>
      </w:r>
    </w:p>
    <w:p w14:paraId="193E9B94" w14:textId="4D7703FB" w:rsidR="006C1B74" w:rsidRDefault="006C1B74">
      <w:pPr>
        <w:pStyle w:val="TOC3"/>
        <w:rPr>
          <w:rFonts w:asciiTheme="minorHAnsi" w:eastAsiaTheme="minorEastAsia" w:hAnsiTheme="minorHAnsi" w:cstheme="minorBidi"/>
          <w:kern w:val="2"/>
          <w:sz w:val="24"/>
          <w:szCs w:val="24"/>
          <w14:ligatures w14:val="standardContextual"/>
        </w:rPr>
      </w:pPr>
      <w:r>
        <w:t>5.31.6</w:t>
      </w:r>
      <w:r>
        <w:rPr>
          <w:rFonts w:asciiTheme="minorHAnsi" w:eastAsiaTheme="minorEastAsia" w:hAnsiTheme="minorHAnsi" w:cstheme="minorBidi"/>
          <w:kern w:val="2"/>
          <w:sz w:val="24"/>
          <w:szCs w:val="24"/>
          <w14:ligatures w14:val="standardContextual"/>
        </w:rPr>
        <w:tab/>
      </w:r>
      <w:r>
        <w:t>Reliable Data Service</w:t>
      </w:r>
      <w:r>
        <w:tab/>
      </w:r>
      <w:r>
        <w:fldChar w:fldCharType="begin" w:fldLock="1"/>
      </w:r>
      <w:r>
        <w:instrText xml:space="preserve"> PAGEREF _Toc201157552 \h </w:instrText>
      </w:r>
      <w:r>
        <w:fldChar w:fldCharType="separate"/>
      </w:r>
      <w:r>
        <w:t>429</w:t>
      </w:r>
      <w:r>
        <w:fldChar w:fldCharType="end"/>
      </w:r>
    </w:p>
    <w:p w14:paraId="11E33317" w14:textId="3DDB20E0" w:rsidR="006C1B74" w:rsidRDefault="006C1B74">
      <w:pPr>
        <w:pStyle w:val="TOC3"/>
        <w:rPr>
          <w:rFonts w:asciiTheme="minorHAnsi" w:eastAsiaTheme="minorEastAsia" w:hAnsiTheme="minorHAnsi" w:cstheme="minorBidi"/>
          <w:kern w:val="2"/>
          <w:sz w:val="24"/>
          <w:szCs w:val="24"/>
          <w14:ligatures w14:val="standardContextual"/>
        </w:rPr>
      </w:pPr>
      <w:r>
        <w:t>5.31.7</w:t>
      </w:r>
      <w:r>
        <w:rPr>
          <w:rFonts w:asciiTheme="minorHAnsi" w:eastAsiaTheme="minorEastAsia" w:hAnsiTheme="minorHAnsi" w:cstheme="minorBidi"/>
          <w:kern w:val="2"/>
          <w:sz w:val="24"/>
          <w:szCs w:val="24"/>
          <w14:ligatures w14:val="standardContextual"/>
        </w:rPr>
        <w:tab/>
      </w:r>
      <w:r>
        <w:t>Power Saving Enhancements</w:t>
      </w:r>
      <w:r>
        <w:tab/>
      </w:r>
      <w:r>
        <w:fldChar w:fldCharType="begin" w:fldLock="1"/>
      </w:r>
      <w:r>
        <w:instrText xml:space="preserve"> PAGEREF _Toc201157553 \h </w:instrText>
      </w:r>
      <w:r>
        <w:fldChar w:fldCharType="separate"/>
      </w:r>
      <w:r>
        <w:t>430</w:t>
      </w:r>
      <w:r>
        <w:fldChar w:fldCharType="end"/>
      </w:r>
    </w:p>
    <w:p w14:paraId="542BC748" w14:textId="262CACBC" w:rsidR="006C1B74" w:rsidRDefault="006C1B74">
      <w:pPr>
        <w:pStyle w:val="TOC4"/>
        <w:rPr>
          <w:rFonts w:asciiTheme="minorHAnsi" w:eastAsiaTheme="minorEastAsia" w:hAnsiTheme="minorHAnsi" w:cstheme="minorBidi"/>
          <w:kern w:val="2"/>
          <w:sz w:val="24"/>
          <w:szCs w:val="24"/>
          <w14:ligatures w14:val="standardContextual"/>
        </w:rPr>
      </w:pPr>
      <w:r>
        <w:t>5.31.7.1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_Toc201157554 \h </w:instrText>
      </w:r>
      <w:r>
        <w:fldChar w:fldCharType="separate"/>
      </w:r>
      <w:r>
        <w:t>430</w:t>
      </w:r>
      <w:r>
        <w:fldChar w:fldCharType="end"/>
      </w:r>
    </w:p>
    <w:p w14:paraId="2E88EB66" w14:textId="1B9D3DA8" w:rsidR="006C1B74" w:rsidRDefault="006C1B74">
      <w:pPr>
        <w:pStyle w:val="TOC4"/>
        <w:rPr>
          <w:rFonts w:asciiTheme="minorHAnsi" w:eastAsiaTheme="minorEastAsia" w:hAnsiTheme="minorHAnsi" w:cstheme="minorBidi"/>
          <w:kern w:val="2"/>
          <w:sz w:val="24"/>
          <w:szCs w:val="24"/>
          <w14:ligatures w14:val="standardContextual"/>
        </w:rPr>
      </w:pPr>
      <w:r>
        <w:t>5.31.7.2</w:t>
      </w:r>
      <w:r>
        <w:rPr>
          <w:rFonts w:asciiTheme="minorHAnsi" w:eastAsiaTheme="minorEastAsia" w:hAnsiTheme="minorHAnsi" w:cstheme="minorBidi"/>
          <w:kern w:val="2"/>
          <w:sz w:val="24"/>
          <w:szCs w:val="24"/>
          <w14:ligatures w14:val="standardContextual"/>
        </w:rPr>
        <w:tab/>
      </w:r>
      <w:r>
        <w:t>Extended Discontinuous Reception (DRX) for CM-IDLE and CM-CONNECTED with RRC-INACTIVE</w:t>
      </w:r>
      <w:r>
        <w:tab/>
      </w:r>
      <w:r>
        <w:fldChar w:fldCharType="begin" w:fldLock="1"/>
      </w:r>
      <w:r>
        <w:instrText xml:space="preserve"> PAGEREF _Toc201157555 \h </w:instrText>
      </w:r>
      <w:r>
        <w:fldChar w:fldCharType="separate"/>
      </w:r>
      <w:r>
        <w:t>430</w:t>
      </w:r>
      <w:r>
        <w:fldChar w:fldCharType="end"/>
      </w:r>
    </w:p>
    <w:p w14:paraId="55BB8484" w14:textId="2F205E8C" w:rsidR="006C1B74" w:rsidRDefault="006C1B74">
      <w:pPr>
        <w:pStyle w:val="TOC5"/>
        <w:rPr>
          <w:rFonts w:asciiTheme="minorHAnsi" w:eastAsiaTheme="minorEastAsia" w:hAnsiTheme="minorHAnsi" w:cstheme="minorBidi"/>
          <w:kern w:val="2"/>
          <w:sz w:val="24"/>
          <w:szCs w:val="24"/>
          <w14:ligatures w14:val="standardContextual"/>
        </w:rPr>
      </w:pPr>
      <w:r>
        <w:t>5.31.7.2.1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_Toc201157556 \h </w:instrText>
      </w:r>
      <w:r>
        <w:fldChar w:fldCharType="separate"/>
      </w:r>
      <w:r>
        <w:t>430</w:t>
      </w:r>
      <w:r>
        <w:fldChar w:fldCharType="end"/>
      </w:r>
    </w:p>
    <w:p w14:paraId="15D79B57" w14:textId="77F26FC2" w:rsidR="006C1B74" w:rsidRDefault="006C1B74">
      <w:pPr>
        <w:pStyle w:val="TOC5"/>
        <w:rPr>
          <w:rFonts w:asciiTheme="minorHAnsi" w:eastAsiaTheme="minorEastAsia" w:hAnsiTheme="minorHAnsi" w:cstheme="minorBidi"/>
          <w:kern w:val="2"/>
          <w:sz w:val="24"/>
          <w:szCs w:val="24"/>
          <w14:ligatures w14:val="standardContextual"/>
        </w:rPr>
      </w:pPr>
      <w:r>
        <w:t>5.31.7.2.2</w:t>
      </w:r>
      <w:r>
        <w:rPr>
          <w:rFonts w:asciiTheme="minorHAnsi" w:eastAsiaTheme="minorEastAsia" w:hAnsiTheme="minorHAnsi" w:cstheme="minorBidi"/>
          <w:kern w:val="2"/>
          <w:sz w:val="24"/>
          <w:szCs w:val="24"/>
          <w14:ligatures w14:val="standardContextual"/>
        </w:rPr>
        <w:tab/>
      </w:r>
      <w:r>
        <w:t>Paging for extended idle mode DRX in E-UTRA and NR connected to 5GC</w:t>
      </w:r>
      <w:r>
        <w:tab/>
      </w:r>
      <w:r>
        <w:fldChar w:fldCharType="begin" w:fldLock="1"/>
      </w:r>
      <w:r>
        <w:instrText xml:space="preserve"> PAGEREF _Toc201157557 \h </w:instrText>
      </w:r>
      <w:r>
        <w:fldChar w:fldCharType="separate"/>
      </w:r>
      <w:r>
        <w:t>432</w:t>
      </w:r>
      <w:r>
        <w:fldChar w:fldCharType="end"/>
      </w:r>
    </w:p>
    <w:p w14:paraId="0B6F14DA" w14:textId="2020361B" w:rsidR="006C1B74" w:rsidRDefault="006C1B74">
      <w:pPr>
        <w:pStyle w:val="TOC5"/>
        <w:rPr>
          <w:rFonts w:asciiTheme="minorHAnsi" w:eastAsiaTheme="minorEastAsia" w:hAnsiTheme="minorHAnsi" w:cstheme="minorBidi"/>
          <w:kern w:val="2"/>
          <w:sz w:val="24"/>
          <w:szCs w:val="24"/>
          <w14:ligatures w14:val="standardContextual"/>
        </w:rPr>
      </w:pPr>
      <w:r>
        <w:lastRenderedPageBreak/>
        <w:t>5.31.7.2.3</w:t>
      </w:r>
      <w:r>
        <w:rPr>
          <w:rFonts w:asciiTheme="minorHAnsi" w:eastAsiaTheme="minorEastAsia" w:hAnsiTheme="minorHAnsi" w:cstheme="minorBidi"/>
          <w:kern w:val="2"/>
          <w:sz w:val="24"/>
          <w:szCs w:val="24"/>
          <w14:ligatures w14:val="standardContextual"/>
        </w:rPr>
        <w:tab/>
      </w:r>
      <w:r>
        <w:t>Paging for a UE registered in a tracking area with heterogeneous support of extended idle mode DRX</w:t>
      </w:r>
      <w:r>
        <w:tab/>
      </w:r>
      <w:r>
        <w:fldChar w:fldCharType="begin" w:fldLock="1"/>
      </w:r>
      <w:r>
        <w:instrText xml:space="preserve"> PAGEREF _Toc201157558 \h </w:instrText>
      </w:r>
      <w:r>
        <w:fldChar w:fldCharType="separate"/>
      </w:r>
      <w:r>
        <w:t>433</w:t>
      </w:r>
      <w:r>
        <w:fldChar w:fldCharType="end"/>
      </w:r>
    </w:p>
    <w:p w14:paraId="3F7FA42C" w14:textId="3F219FE8" w:rsidR="006C1B74" w:rsidRDefault="006C1B74">
      <w:pPr>
        <w:pStyle w:val="TOC5"/>
        <w:rPr>
          <w:rFonts w:asciiTheme="minorHAnsi" w:eastAsiaTheme="minorEastAsia" w:hAnsiTheme="minorHAnsi" w:cstheme="minorBidi"/>
          <w:kern w:val="2"/>
          <w:sz w:val="24"/>
          <w:szCs w:val="24"/>
          <w14:ligatures w14:val="standardContextual"/>
        </w:rPr>
      </w:pPr>
      <w:r>
        <w:t>5.31.7.2.4</w:t>
      </w:r>
      <w:r>
        <w:rPr>
          <w:rFonts w:asciiTheme="minorHAnsi" w:eastAsiaTheme="minorEastAsia" w:hAnsiTheme="minorHAnsi" w:cstheme="minorBidi"/>
          <w:kern w:val="2"/>
          <w:sz w:val="24"/>
          <w:szCs w:val="24"/>
          <w14:ligatures w14:val="standardContextual"/>
        </w:rPr>
        <w:tab/>
      </w:r>
      <w:r>
        <w:t>Paging for extended DRX for RRC_INACTIVE in NR connected to 5GC</w:t>
      </w:r>
      <w:r>
        <w:tab/>
      </w:r>
      <w:r>
        <w:fldChar w:fldCharType="begin" w:fldLock="1"/>
      </w:r>
      <w:r>
        <w:instrText xml:space="preserve"> PAGEREF _Toc201157559 \h </w:instrText>
      </w:r>
      <w:r>
        <w:fldChar w:fldCharType="separate"/>
      </w:r>
      <w:r>
        <w:t>433</w:t>
      </w:r>
      <w:r>
        <w:fldChar w:fldCharType="end"/>
      </w:r>
    </w:p>
    <w:p w14:paraId="1EC9EF92" w14:textId="04650AC6" w:rsidR="006C1B74" w:rsidRDefault="006C1B74">
      <w:pPr>
        <w:pStyle w:val="TOC4"/>
        <w:rPr>
          <w:rFonts w:asciiTheme="minorHAnsi" w:eastAsiaTheme="minorEastAsia" w:hAnsiTheme="minorHAnsi" w:cstheme="minorBidi"/>
          <w:kern w:val="2"/>
          <w:sz w:val="24"/>
          <w:szCs w:val="24"/>
          <w14:ligatures w14:val="standardContextual"/>
        </w:rPr>
      </w:pPr>
      <w:r>
        <w:t>5.31.7.3</w:t>
      </w:r>
      <w:r>
        <w:rPr>
          <w:rFonts w:asciiTheme="minorHAnsi" w:eastAsiaTheme="minorEastAsia" w:hAnsiTheme="minorHAnsi" w:cstheme="minorBidi"/>
          <w:kern w:val="2"/>
          <w:sz w:val="24"/>
          <w:szCs w:val="24"/>
          <w14:ligatures w14:val="standardContextual"/>
        </w:rPr>
        <w:tab/>
      </w:r>
      <w:r>
        <w:t>MICO mode with Extended Connected Time</w:t>
      </w:r>
      <w:r>
        <w:tab/>
      </w:r>
      <w:r>
        <w:fldChar w:fldCharType="begin" w:fldLock="1"/>
      </w:r>
      <w:r>
        <w:instrText xml:space="preserve"> PAGEREF _Toc201157560 \h </w:instrText>
      </w:r>
      <w:r>
        <w:fldChar w:fldCharType="separate"/>
      </w:r>
      <w:r>
        <w:t>433</w:t>
      </w:r>
      <w:r>
        <w:fldChar w:fldCharType="end"/>
      </w:r>
    </w:p>
    <w:p w14:paraId="43F887BC" w14:textId="51CD8235" w:rsidR="006C1B74" w:rsidRDefault="006C1B74">
      <w:pPr>
        <w:pStyle w:val="TOC4"/>
        <w:rPr>
          <w:rFonts w:asciiTheme="minorHAnsi" w:eastAsiaTheme="minorEastAsia" w:hAnsiTheme="minorHAnsi" w:cstheme="minorBidi"/>
          <w:kern w:val="2"/>
          <w:sz w:val="24"/>
          <w:szCs w:val="24"/>
          <w14:ligatures w14:val="standardContextual"/>
        </w:rPr>
      </w:pPr>
      <w:r>
        <w:t>5.31.7.4</w:t>
      </w:r>
      <w:r>
        <w:rPr>
          <w:rFonts w:asciiTheme="minorHAnsi" w:eastAsiaTheme="minorEastAsia" w:hAnsiTheme="minorHAnsi" w:cstheme="minorBidi"/>
          <w:kern w:val="2"/>
          <w:sz w:val="24"/>
          <w:szCs w:val="24"/>
          <w14:ligatures w14:val="standardContextual"/>
        </w:rPr>
        <w:tab/>
      </w:r>
      <w:r>
        <w:t>MICO mode with Active Time</w:t>
      </w:r>
      <w:r>
        <w:tab/>
      </w:r>
      <w:r>
        <w:fldChar w:fldCharType="begin" w:fldLock="1"/>
      </w:r>
      <w:r>
        <w:instrText xml:space="preserve"> PAGEREF _Toc201157561 \h </w:instrText>
      </w:r>
      <w:r>
        <w:fldChar w:fldCharType="separate"/>
      </w:r>
      <w:r>
        <w:t>434</w:t>
      </w:r>
      <w:r>
        <w:fldChar w:fldCharType="end"/>
      </w:r>
    </w:p>
    <w:p w14:paraId="307C0D04" w14:textId="18DCDD1E" w:rsidR="006C1B74" w:rsidRDefault="006C1B74">
      <w:pPr>
        <w:pStyle w:val="TOC4"/>
        <w:rPr>
          <w:rFonts w:asciiTheme="minorHAnsi" w:eastAsiaTheme="minorEastAsia" w:hAnsiTheme="minorHAnsi" w:cstheme="minorBidi"/>
          <w:kern w:val="2"/>
          <w:sz w:val="24"/>
          <w:szCs w:val="24"/>
          <w14:ligatures w14:val="standardContextual"/>
        </w:rPr>
      </w:pPr>
      <w:r>
        <w:t>5.31.7.5</w:t>
      </w:r>
      <w:r>
        <w:rPr>
          <w:rFonts w:asciiTheme="minorHAnsi" w:eastAsiaTheme="minorEastAsia" w:hAnsiTheme="minorHAnsi" w:cstheme="minorBidi"/>
          <w:kern w:val="2"/>
          <w:sz w:val="24"/>
          <w:szCs w:val="24"/>
          <w14:ligatures w14:val="standardContextual"/>
        </w:rPr>
        <w:tab/>
      </w:r>
      <w:r>
        <w:t>MICO mode and Periodic Registration Timer Control</w:t>
      </w:r>
      <w:r>
        <w:tab/>
      </w:r>
      <w:r>
        <w:fldChar w:fldCharType="begin" w:fldLock="1"/>
      </w:r>
      <w:r>
        <w:instrText xml:space="preserve"> PAGEREF _Toc201157562 \h </w:instrText>
      </w:r>
      <w:r>
        <w:fldChar w:fldCharType="separate"/>
      </w:r>
      <w:r>
        <w:t>434</w:t>
      </w:r>
      <w:r>
        <w:fldChar w:fldCharType="end"/>
      </w:r>
    </w:p>
    <w:p w14:paraId="220C2480" w14:textId="3CA03418" w:rsidR="006C1B74" w:rsidRDefault="006C1B74">
      <w:pPr>
        <w:pStyle w:val="TOC3"/>
        <w:rPr>
          <w:rFonts w:asciiTheme="minorHAnsi" w:eastAsiaTheme="minorEastAsia" w:hAnsiTheme="minorHAnsi" w:cstheme="minorBidi"/>
          <w:kern w:val="2"/>
          <w:sz w:val="24"/>
          <w:szCs w:val="24"/>
          <w14:ligatures w14:val="standardContextual"/>
        </w:rPr>
      </w:pPr>
      <w:r>
        <w:t>5.31.8</w:t>
      </w:r>
      <w:r>
        <w:rPr>
          <w:rFonts w:asciiTheme="minorHAnsi" w:eastAsiaTheme="minorEastAsia" w:hAnsiTheme="minorHAnsi" w:cstheme="minorBidi"/>
          <w:kern w:val="2"/>
          <w:sz w:val="24"/>
          <w:szCs w:val="24"/>
          <w14:ligatures w14:val="standardContextual"/>
        </w:rPr>
        <w:tab/>
      </w:r>
      <w:r>
        <w:t>High latency communication</w:t>
      </w:r>
      <w:r>
        <w:tab/>
      </w:r>
      <w:r>
        <w:fldChar w:fldCharType="begin" w:fldLock="1"/>
      </w:r>
      <w:r>
        <w:instrText xml:space="preserve"> PAGEREF _Toc201157563 \h </w:instrText>
      </w:r>
      <w:r>
        <w:fldChar w:fldCharType="separate"/>
      </w:r>
      <w:r>
        <w:t>435</w:t>
      </w:r>
      <w:r>
        <w:fldChar w:fldCharType="end"/>
      </w:r>
    </w:p>
    <w:p w14:paraId="46E1185E" w14:textId="69734E13" w:rsidR="006C1B74" w:rsidRDefault="006C1B74">
      <w:pPr>
        <w:pStyle w:val="TOC3"/>
        <w:rPr>
          <w:rFonts w:asciiTheme="minorHAnsi" w:eastAsiaTheme="minorEastAsia" w:hAnsiTheme="minorHAnsi" w:cstheme="minorBidi"/>
          <w:kern w:val="2"/>
          <w:sz w:val="24"/>
          <w:szCs w:val="24"/>
          <w14:ligatures w14:val="standardContextual"/>
        </w:rPr>
      </w:pPr>
      <w:r>
        <w:t>5.31.9</w:t>
      </w:r>
      <w:r>
        <w:rPr>
          <w:rFonts w:asciiTheme="minorHAnsi" w:eastAsiaTheme="minorEastAsia" w:hAnsiTheme="minorHAnsi" w:cstheme="minorBidi"/>
          <w:kern w:val="2"/>
          <w:sz w:val="24"/>
          <w:szCs w:val="24"/>
          <w14:ligatures w14:val="standardContextual"/>
        </w:rPr>
        <w:tab/>
      </w:r>
      <w:r>
        <w:t>Support for Monitoring Events</w:t>
      </w:r>
      <w:r>
        <w:tab/>
      </w:r>
      <w:r>
        <w:fldChar w:fldCharType="begin" w:fldLock="1"/>
      </w:r>
      <w:r>
        <w:instrText xml:space="preserve"> PAGEREF _Toc201157564 \h </w:instrText>
      </w:r>
      <w:r>
        <w:fldChar w:fldCharType="separate"/>
      </w:r>
      <w:r>
        <w:t>436</w:t>
      </w:r>
      <w:r>
        <w:fldChar w:fldCharType="end"/>
      </w:r>
    </w:p>
    <w:p w14:paraId="4470AE22" w14:textId="3129CAB6" w:rsidR="006C1B74" w:rsidRDefault="006C1B74">
      <w:pPr>
        <w:pStyle w:val="TOC3"/>
        <w:rPr>
          <w:rFonts w:asciiTheme="minorHAnsi" w:eastAsiaTheme="minorEastAsia" w:hAnsiTheme="minorHAnsi" w:cstheme="minorBidi"/>
          <w:kern w:val="2"/>
          <w:sz w:val="24"/>
          <w:szCs w:val="24"/>
          <w14:ligatures w14:val="standardContextual"/>
        </w:rPr>
      </w:pPr>
      <w:r>
        <w:t>5.31.10</w:t>
      </w:r>
      <w:r>
        <w:rPr>
          <w:rFonts w:asciiTheme="minorHAnsi" w:eastAsiaTheme="minorEastAsia" w:hAnsiTheme="minorHAnsi" w:cstheme="minorBidi"/>
          <w:kern w:val="2"/>
          <w:sz w:val="24"/>
          <w:szCs w:val="24"/>
          <w14:ligatures w14:val="standardContextual"/>
        </w:rPr>
        <w:tab/>
      </w:r>
      <w:r>
        <w:t>NB-IoT UE Radio Capability Handling</w:t>
      </w:r>
      <w:r>
        <w:tab/>
      </w:r>
      <w:r>
        <w:fldChar w:fldCharType="begin" w:fldLock="1"/>
      </w:r>
      <w:r>
        <w:instrText xml:space="preserve"> PAGEREF _Toc201157565 \h </w:instrText>
      </w:r>
      <w:r>
        <w:fldChar w:fldCharType="separate"/>
      </w:r>
      <w:r>
        <w:t>436</w:t>
      </w:r>
      <w:r>
        <w:fldChar w:fldCharType="end"/>
      </w:r>
    </w:p>
    <w:p w14:paraId="31D51BFA" w14:textId="23E5BF65" w:rsidR="006C1B74" w:rsidRDefault="006C1B74">
      <w:pPr>
        <w:pStyle w:val="TOC3"/>
        <w:rPr>
          <w:rFonts w:asciiTheme="minorHAnsi" w:eastAsiaTheme="minorEastAsia" w:hAnsiTheme="minorHAnsi" w:cstheme="minorBidi"/>
          <w:kern w:val="2"/>
          <w:sz w:val="24"/>
          <w:szCs w:val="24"/>
          <w14:ligatures w14:val="standardContextual"/>
        </w:rPr>
      </w:pPr>
      <w:r>
        <w:t>5.31.11</w:t>
      </w:r>
      <w:r>
        <w:rPr>
          <w:rFonts w:asciiTheme="minorHAnsi" w:eastAsiaTheme="minorEastAsia" w:hAnsiTheme="minorHAnsi" w:cstheme="minorBidi"/>
          <w:kern w:val="2"/>
          <w:sz w:val="24"/>
          <w:szCs w:val="24"/>
          <w14:ligatures w14:val="standardContextual"/>
        </w:rPr>
        <w:tab/>
      </w:r>
      <w:r>
        <w:t>Inter-RAT idle mode mobility to and from NB-IoT</w:t>
      </w:r>
      <w:r>
        <w:tab/>
      </w:r>
      <w:r>
        <w:fldChar w:fldCharType="begin" w:fldLock="1"/>
      </w:r>
      <w:r>
        <w:instrText xml:space="preserve"> PAGEREF _Toc201157566 \h </w:instrText>
      </w:r>
      <w:r>
        <w:fldChar w:fldCharType="separate"/>
      </w:r>
      <w:r>
        <w:t>436</w:t>
      </w:r>
      <w:r>
        <w:fldChar w:fldCharType="end"/>
      </w:r>
    </w:p>
    <w:p w14:paraId="579F268D" w14:textId="5A864260" w:rsidR="006C1B74" w:rsidRDefault="006C1B74">
      <w:pPr>
        <w:pStyle w:val="TOC3"/>
        <w:rPr>
          <w:rFonts w:asciiTheme="minorHAnsi" w:eastAsiaTheme="minorEastAsia" w:hAnsiTheme="minorHAnsi" w:cstheme="minorBidi"/>
          <w:kern w:val="2"/>
          <w:sz w:val="24"/>
          <w:szCs w:val="24"/>
          <w14:ligatures w14:val="standardContextual"/>
        </w:rPr>
      </w:pPr>
      <w:r>
        <w:t>5.31.12</w:t>
      </w:r>
      <w:r>
        <w:rPr>
          <w:rFonts w:asciiTheme="minorHAnsi" w:eastAsiaTheme="minorEastAsia" w:hAnsiTheme="minorHAnsi" w:cstheme="minorBidi"/>
          <w:kern w:val="2"/>
          <w:sz w:val="24"/>
          <w:szCs w:val="24"/>
          <w14:ligatures w14:val="standardContextual"/>
        </w:rPr>
        <w:tab/>
      </w:r>
      <w:r>
        <w:t>Restriction of use of Enhanced Coverage</w:t>
      </w:r>
      <w:r>
        <w:tab/>
      </w:r>
      <w:r>
        <w:fldChar w:fldCharType="begin" w:fldLock="1"/>
      </w:r>
      <w:r>
        <w:instrText xml:space="preserve"> PAGEREF _Toc201157567 \h </w:instrText>
      </w:r>
      <w:r>
        <w:fldChar w:fldCharType="separate"/>
      </w:r>
      <w:r>
        <w:t>437</w:t>
      </w:r>
      <w:r>
        <w:fldChar w:fldCharType="end"/>
      </w:r>
    </w:p>
    <w:p w14:paraId="0F96DC2C" w14:textId="05F81B58" w:rsidR="006C1B74" w:rsidRDefault="006C1B74">
      <w:pPr>
        <w:pStyle w:val="TOC3"/>
        <w:rPr>
          <w:rFonts w:asciiTheme="minorHAnsi" w:eastAsiaTheme="minorEastAsia" w:hAnsiTheme="minorHAnsi" w:cstheme="minorBidi"/>
          <w:kern w:val="2"/>
          <w:sz w:val="24"/>
          <w:szCs w:val="24"/>
          <w14:ligatures w14:val="standardContextual"/>
        </w:rPr>
      </w:pPr>
      <w:r>
        <w:t>5.31.13</w:t>
      </w:r>
      <w:r>
        <w:rPr>
          <w:rFonts w:asciiTheme="minorHAnsi" w:eastAsiaTheme="minorEastAsia" w:hAnsiTheme="minorHAnsi" w:cstheme="minorBidi"/>
          <w:kern w:val="2"/>
          <w:sz w:val="24"/>
          <w:szCs w:val="24"/>
          <w14:ligatures w14:val="standardContextual"/>
        </w:rPr>
        <w:tab/>
      </w:r>
      <w:r>
        <w:t>Paging for Enhanced Coverage</w:t>
      </w:r>
      <w:r>
        <w:tab/>
      </w:r>
      <w:r>
        <w:fldChar w:fldCharType="begin" w:fldLock="1"/>
      </w:r>
      <w:r>
        <w:instrText xml:space="preserve"> PAGEREF _Toc201157568 \h </w:instrText>
      </w:r>
      <w:r>
        <w:fldChar w:fldCharType="separate"/>
      </w:r>
      <w:r>
        <w:t>438</w:t>
      </w:r>
      <w:r>
        <w:fldChar w:fldCharType="end"/>
      </w:r>
    </w:p>
    <w:p w14:paraId="29893B82" w14:textId="6042F300" w:rsidR="006C1B74" w:rsidRDefault="006C1B74">
      <w:pPr>
        <w:pStyle w:val="TOC3"/>
        <w:rPr>
          <w:rFonts w:asciiTheme="minorHAnsi" w:eastAsiaTheme="minorEastAsia" w:hAnsiTheme="minorHAnsi" w:cstheme="minorBidi"/>
          <w:kern w:val="2"/>
          <w:sz w:val="24"/>
          <w:szCs w:val="24"/>
          <w14:ligatures w14:val="standardContextual"/>
        </w:rPr>
      </w:pPr>
      <w:r>
        <w:t>5.31.14</w:t>
      </w:r>
      <w:r>
        <w:rPr>
          <w:rFonts w:asciiTheme="minorHAnsi" w:eastAsiaTheme="minorEastAsia" w:hAnsiTheme="minorHAnsi" w:cstheme="minorBidi"/>
          <w:kern w:val="2"/>
          <w:sz w:val="24"/>
          <w:szCs w:val="24"/>
          <w14:ligatures w14:val="standardContextual"/>
        </w:rPr>
        <w:tab/>
      </w:r>
      <w:r>
        <w:t>Support of rate control of user data</w:t>
      </w:r>
      <w:r>
        <w:tab/>
      </w:r>
      <w:r>
        <w:fldChar w:fldCharType="begin" w:fldLock="1"/>
      </w:r>
      <w:r>
        <w:instrText xml:space="preserve"> PAGEREF _Toc201157569 \h </w:instrText>
      </w:r>
      <w:r>
        <w:fldChar w:fldCharType="separate"/>
      </w:r>
      <w:r>
        <w:t>438</w:t>
      </w:r>
      <w:r>
        <w:fldChar w:fldCharType="end"/>
      </w:r>
    </w:p>
    <w:p w14:paraId="10BCB48F" w14:textId="364A26C4" w:rsidR="006C1B74" w:rsidRDefault="006C1B74">
      <w:pPr>
        <w:pStyle w:val="TOC4"/>
        <w:rPr>
          <w:rFonts w:asciiTheme="minorHAnsi" w:eastAsiaTheme="minorEastAsia" w:hAnsiTheme="minorHAnsi" w:cstheme="minorBidi"/>
          <w:kern w:val="2"/>
          <w:sz w:val="24"/>
          <w:szCs w:val="24"/>
          <w14:ligatures w14:val="standardContextual"/>
        </w:rPr>
      </w:pPr>
      <w:r>
        <w:t>5.31.14.1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_Toc201157570 \h </w:instrText>
      </w:r>
      <w:r>
        <w:fldChar w:fldCharType="separate"/>
      </w:r>
      <w:r>
        <w:t>438</w:t>
      </w:r>
      <w:r>
        <w:fldChar w:fldCharType="end"/>
      </w:r>
    </w:p>
    <w:p w14:paraId="32678C9F" w14:textId="5DE1BCD9" w:rsidR="006C1B74" w:rsidRDefault="006C1B74">
      <w:pPr>
        <w:pStyle w:val="TOC4"/>
        <w:rPr>
          <w:rFonts w:asciiTheme="minorHAnsi" w:eastAsiaTheme="minorEastAsia" w:hAnsiTheme="minorHAnsi" w:cstheme="minorBidi"/>
          <w:kern w:val="2"/>
          <w:sz w:val="24"/>
          <w:szCs w:val="24"/>
          <w14:ligatures w14:val="standardContextual"/>
        </w:rPr>
      </w:pPr>
      <w:r>
        <w:t>5.31.14.2</w:t>
      </w:r>
      <w:r>
        <w:rPr>
          <w:rFonts w:asciiTheme="minorHAnsi" w:eastAsiaTheme="minorEastAsia" w:hAnsiTheme="minorHAnsi" w:cstheme="minorBidi"/>
          <w:kern w:val="2"/>
          <w:sz w:val="24"/>
          <w:szCs w:val="24"/>
          <w14:ligatures w14:val="standardContextual"/>
        </w:rPr>
        <w:tab/>
      </w:r>
      <w:r>
        <w:t>Serving PLMN Rate Control</w:t>
      </w:r>
      <w:r>
        <w:tab/>
      </w:r>
      <w:r>
        <w:fldChar w:fldCharType="begin" w:fldLock="1"/>
      </w:r>
      <w:r>
        <w:instrText xml:space="preserve"> PAGEREF _Toc201157571 \h </w:instrText>
      </w:r>
      <w:r>
        <w:fldChar w:fldCharType="separate"/>
      </w:r>
      <w:r>
        <w:t>438</w:t>
      </w:r>
      <w:r>
        <w:fldChar w:fldCharType="end"/>
      </w:r>
    </w:p>
    <w:p w14:paraId="498A6BDB" w14:textId="4D79157E" w:rsidR="006C1B74" w:rsidRDefault="006C1B74">
      <w:pPr>
        <w:pStyle w:val="TOC4"/>
        <w:rPr>
          <w:rFonts w:asciiTheme="minorHAnsi" w:eastAsiaTheme="minorEastAsia" w:hAnsiTheme="minorHAnsi" w:cstheme="minorBidi"/>
          <w:kern w:val="2"/>
          <w:sz w:val="24"/>
          <w:szCs w:val="24"/>
          <w14:ligatures w14:val="standardContextual"/>
        </w:rPr>
      </w:pPr>
      <w:r>
        <w:t>5.31.14.3</w:t>
      </w:r>
      <w:r>
        <w:rPr>
          <w:rFonts w:asciiTheme="minorHAnsi" w:eastAsiaTheme="minorEastAsia" w:hAnsiTheme="minorHAnsi" w:cstheme="minorBidi"/>
          <w:kern w:val="2"/>
          <w:sz w:val="24"/>
          <w:szCs w:val="24"/>
          <w14:ligatures w14:val="standardContextual"/>
        </w:rPr>
        <w:tab/>
      </w:r>
      <w:r>
        <w:t>Small Data Rate Control</w:t>
      </w:r>
      <w:r>
        <w:tab/>
      </w:r>
      <w:r>
        <w:fldChar w:fldCharType="begin" w:fldLock="1"/>
      </w:r>
      <w:r>
        <w:instrText xml:space="preserve"> PAGEREF _Toc201157572 \h </w:instrText>
      </w:r>
      <w:r>
        <w:fldChar w:fldCharType="separate"/>
      </w:r>
      <w:r>
        <w:t>439</w:t>
      </w:r>
      <w:r>
        <w:fldChar w:fldCharType="end"/>
      </w:r>
    </w:p>
    <w:p w14:paraId="5E587DF5" w14:textId="247239EA" w:rsidR="006C1B74" w:rsidRDefault="006C1B74">
      <w:pPr>
        <w:pStyle w:val="TOC3"/>
        <w:rPr>
          <w:rFonts w:asciiTheme="minorHAnsi" w:eastAsiaTheme="minorEastAsia" w:hAnsiTheme="minorHAnsi" w:cstheme="minorBidi"/>
          <w:kern w:val="2"/>
          <w:sz w:val="24"/>
          <w:szCs w:val="24"/>
          <w14:ligatures w14:val="standardContextual"/>
        </w:rPr>
      </w:pPr>
      <w:r>
        <w:t>5.31.15</w:t>
      </w:r>
      <w:r>
        <w:rPr>
          <w:rFonts w:asciiTheme="minorHAnsi" w:eastAsiaTheme="minorEastAsia" w:hAnsiTheme="minorHAnsi" w:cstheme="minorBidi"/>
          <w:kern w:val="2"/>
          <w:sz w:val="24"/>
          <w:szCs w:val="24"/>
          <w14:ligatures w14:val="standardContextual"/>
        </w:rPr>
        <w:tab/>
      </w:r>
      <w:r>
        <w:t>Control Plane Data Transfer Congestion Control</w:t>
      </w:r>
      <w:r>
        <w:tab/>
      </w:r>
      <w:r>
        <w:fldChar w:fldCharType="begin" w:fldLock="1"/>
      </w:r>
      <w:r>
        <w:instrText xml:space="preserve"> PAGEREF _Toc201157573 \h </w:instrText>
      </w:r>
      <w:r>
        <w:fldChar w:fldCharType="separate"/>
      </w:r>
      <w:r>
        <w:t>440</w:t>
      </w:r>
      <w:r>
        <w:fldChar w:fldCharType="end"/>
      </w:r>
    </w:p>
    <w:p w14:paraId="03E51233" w14:textId="3C729E08" w:rsidR="006C1B74" w:rsidRDefault="006C1B74">
      <w:pPr>
        <w:pStyle w:val="TOC3"/>
        <w:rPr>
          <w:rFonts w:asciiTheme="minorHAnsi" w:eastAsiaTheme="minorEastAsia" w:hAnsiTheme="minorHAnsi" w:cstheme="minorBidi"/>
          <w:kern w:val="2"/>
          <w:sz w:val="24"/>
          <w:szCs w:val="24"/>
          <w14:ligatures w14:val="standardContextual"/>
        </w:rPr>
      </w:pPr>
      <w:r>
        <w:t>5.31.16</w:t>
      </w:r>
      <w:r>
        <w:rPr>
          <w:rFonts w:asciiTheme="minorHAnsi" w:eastAsiaTheme="minorEastAsia" w:hAnsiTheme="minorHAnsi" w:cstheme="minorBidi"/>
          <w:kern w:val="2"/>
          <w:sz w:val="24"/>
          <w:szCs w:val="24"/>
          <w14:ligatures w14:val="standardContextual"/>
        </w:rPr>
        <w:tab/>
      </w:r>
      <w:r>
        <w:t>Service Gap Control</w:t>
      </w:r>
      <w:r>
        <w:tab/>
      </w:r>
      <w:r>
        <w:fldChar w:fldCharType="begin" w:fldLock="1"/>
      </w:r>
      <w:r>
        <w:instrText xml:space="preserve"> PAGEREF _Toc201157574 \h </w:instrText>
      </w:r>
      <w:r>
        <w:fldChar w:fldCharType="separate"/>
      </w:r>
      <w:r>
        <w:t>440</w:t>
      </w:r>
      <w:r>
        <w:fldChar w:fldCharType="end"/>
      </w:r>
    </w:p>
    <w:p w14:paraId="05F7DB1D" w14:textId="636118B3" w:rsidR="006C1B74" w:rsidRDefault="006C1B74">
      <w:pPr>
        <w:pStyle w:val="TOC3"/>
        <w:rPr>
          <w:rFonts w:asciiTheme="minorHAnsi" w:eastAsiaTheme="minorEastAsia" w:hAnsiTheme="minorHAnsi" w:cstheme="minorBidi"/>
          <w:kern w:val="2"/>
          <w:sz w:val="24"/>
          <w:szCs w:val="24"/>
          <w14:ligatures w14:val="standardContextual"/>
        </w:rPr>
      </w:pPr>
      <w:r>
        <w:t>5.31.17</w:t>
      </w:r>
      <w:r>
        <w:rPr>
          <w:rFonts w:asciiTheme="minorHAnsi" w:eastAsiaTheme="minorEastAsia" w:hAnsiTheme="minorHAnsi" w:cstheme="minorBidi"/>
          <w:kern w:val="2"/>
          <w:sz w:val="24"/>
          <w:szCs w:val="24"/>
          <w14:ligatures w14:val="standardContextual"/>
        </w:rPr>
        <w:tab/>
      </w:r>
      <w:r>
        <w:t>Inter-UE QoS for NB-IoT</w:t>
      </w:r>
      <w:r>
        <w:tab/>
      </w:r>
      <w:r>
        <w:fldChar w:fldCharType="begin" w:fldLock="1"/>
      </w:r>
      <w:r>
        <w:instrText xml:space="preserve"> PAGEREF _Toc201157575 \h </w:instrText>
      </w:r>
      <w:r>
        <w:fldChar w:fldCharType="separate"/>
      </w:r>
      <w:r>
        <w:t>442</w:t>
      </w:r>
      <w:r>
        <w:fldChar w:fldCharType="end"/>
      </w:r>
    </w:p>
    <w:p w14:paraId="109D9DF0" w14:textId="4BE3BC6E" w:rsidR="006C1B74" w:rsidRDefault="006C1B74">
      <w:pPr>
        <w:pStyle w:val="TOC3"/>
        <w:rPr>
          <w:rFonts w:asciiTheme="minorHAnsi" w:eastAsiaTheme="minorEastAsia" w:hAnsiTheme="minorHAnsi" w:cstheme="minorBidi"/>
          <w:kern w:val="2"/>
          <w:sz w:val="24"/>
          <w:szCs w:val="24"/>
          <w14:ligatures w14:val="standardContextual"/>
        </w:rPr>
      </w:pPr>
      <w:r>
        <w:t>5.31.18</w:t>
      </w:r>
      <w:r>
        <w:rPr>
          <w:rFonts w:asciiTheme="minorHAnsi" w:eastAsiaTheme="minorEastAsia" w:hAnsiTheme="minorHAnsi" w:cstheme="minorBidi"/>
          <w:kern w:val="2"/>
          <w:sz w:val="24"/>
          <w:szCs w:val="24"/>
          <w14:ligatures w14:val="standardContextual"/>
        </w:rPr>
        <w:tab/>
      </w:r>
      <w:r>
        <w:t>User Plane CIoT 5GS Optimisation</w:t>
      </w:r>
      <w:r>
        <w:tab/>
      </w:r>
      <w:r>
        <w:fldChar w:fldCharType="begin" w:fldLock="1"/>
      </w:r>
      <w:r>
        <w:instrText xml:space="preserve"> PAGEREF _Toc201157576 \h </w:instrText>
      </w:r>
      <w:r>
        <w:fldChar w:fldCharType="separate"/>
      </w:r>
      <w:r>
        <w:t>442</w:t>
      </w:r>
      <w:r>
        <w:fldChar w:fldCharType="end"/>
      </w:r>
    </w:p>
    <w:p w14:paraId="09C0AEB9" w14:textId="1F24B0F0" w:rsidR="006C1B74" w:rsidRDefault="006C1B74">
      <w:pPr>
        <w:pStyle w:val="TOC3"/>
        <w:rPr>
          <w:rFonts w:asciiTheme="minorHAnsi" w:eastAsiaTheme="minorEastAsia" w:hAnsiTheme="minorHAnsi" w:cstheme="minorBidi"/>
          <w:kern w:val="2"/>
          <w:sz w:val="24"/>
          <w:szCs w:val="24"/>
          <w14:ligatures w14:val="standardContextual"/>
        </w:rPr>
      </w:pPr>
      <w:r>
        <w:t>5.31.19</w:t>
      </w:r>
      <w:r>
        <w:rPr>
          <w:rFonts w:asciiTheme="minorHAnsi" w:eastAsiaTheme="minorEastAsia" w:hAnsiTheme="minorHAnsi" w:cstheme="minorBidi"/>
          <w:kern w:val="2"/>
          <w:sz w:val="24"/>
          <w:szCs w:val="24"/>
          <w14:ligatures w14:val="standardContextual"/>
        </w:rPr>
        <w:tab/>
      </w:r>
      <w:r>
        <w:t>QoS model for NB-IoT</w:t>
      </w:r>
      <w:r>
        <w:tab/>
      </w:r>
      <w:r>
        <w:fldChar w:fldCharType="begin" w:fldLock="1"/>
      </w:r>
      <w:r>
        <w:instrText xml:space="preserve"> PAGEREF _Toc201157577 \h </w:instrText>
      </w:r>
      <w:r>
        <w:fldChar w:fldCharType="separate"/>
      </w:r>
      <w:r>
        <w:t>443</w:t>
      </w:r>
      <w:r>
        <w:fldChar w:fldCharType="end"/>
      </w:r>
    </w:p>
    <w:p w14:paraId="3FFB9AF7" w14:textId="111E96C7" w:rsidR="006C1B74" w:rsidRDefault="006C1B74">
      <w:pPr>
        <w:pStyle w:val="TOC3"/>
        <w:rPr>
          <w:rFonts w:asciiTheme="minorHAnsi" w:eastAsiaTheme="minorEastAsia" w:hAnsiTheme="minorHAnsi" w:cstheme="minorBidi"/>
          <w:kern w:val="2"/>
          <w:sz w:val="24"/>
          <w:szCs w:val="24"/>
          <w14:ligatures w14:val="standardContextual"/>
        </w:rPr>
      </w:pPr>
      <w:r>
        <w:t>5.31.20</w:t>
      </w:r>
      <w:r>
        <w:rPr>
          <w:rFonts w:asciiTheme="minorHAnsi" w:eastAsiaTheme="minorEastAsia" w:hAnsiTheme="minorHAnsi" w:cstheme="minorBidi"/>
          <w:kern w:val="2"/>
          <w:sz w:val="24"/>
          <w:szCs w:val="24"/>
          <w14:ligatures w14:val="standardContextual"/>
        </w:rPr>
        <w:tab/>
      </w:r>
      <w:r>
        <w:t>Category M UEs differentiation</w:t>
      </w:r>
      <w:r>
        <w:tab/>
      </w:r>
      <w:r>
        <w:fldChar w:fldCharType="begin" w:fldLock="1"/>
      </w:r>
      <w:r>
        <w:instrText xml:space="preserve"> PAGEREF _Toc201157578 \h </w:instrText>
      </w:r>
      <w:r>
        <w:fldChar w:fldCharType="separate"/>
      </w:r>
      <w:r>
        <w:t>443</w:t>
      </w:r>
      <w:r>
        <w:fldChar w:fldCharType="end"/>
      </w:r>
    </w:p>
    <w:p w14:paraId="3274D291" w14:textId="263F509E" w:rsidR="006C1B74" w:rsidRDefault="006C1B74">
      <w:pPr>
        <w:pStyle w:val="TOC2"/>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Support for ATSSS</w:t>
      </w:r>
      <w:r>
        <w:tab/>
      </w:r>
      <w:r>
        <w:fldChar w:fldCharType="begin" w:fldLock="1"/>
      </w:r>
      <w:r>
        <w:instrText xml:space="preserve"> PAGEREF _Toc201157579 \h </w:instrText>
      </w:r>
      <w:r>
        <w:fldChar w:fldCharType="separate"/>
      </w:r>
      <w:r>
        <w:t>444</w:t>
      </w:r>
      <w:r>
        <w:fldChar w:fldCharType="end"/>
      </w:r>
    </w:p>
    <w:p w14:paraId="46BEE08A" w14:textId="6AAB4106" w:rsidR="006C1B74" w:rsidRDefault="006C1B74">
      <w:pPr>
        <w:pStyle w:val="TOC3"/>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_Toc201157580 \h </w:instrText>
      </w:r>
      <w:r>
        <w:fldChar w:fldCharType="separate"/>
      </w:r>
      <w:r>
        <w:t>444</w:t>
      </w:r>
      <w:r>
        <w:fldChar w:fldCharType="end"/>
      </w:r>
    </w:p>
    <w:p w14:paraId="23B8DC23" w14:textId="3C6D1F1A" w:rsidR="006C1B74" w:rsidRDefault="006C1B74">
      <w:pPr>
        <w:pStyle w:val="TOC3"/>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Multi Access PDU Sessions</w:t>
      </w:r>
      <w:r>
        <w:tab/>
      </w:r>
      <w:r>
        <w:fldChar w:fldCharType="begin" w:fldLock="1"/>
      </w:r>
      <w:r>
        <w:instrText xml:space="preserve"> PAGEREF _Toc201157581 \h </w:instrText>
      </w:r>
      <w:r>
        <w:fldChar w:fldCharType="separate"/>
      </w:r>
      <w:r>
        <w:t>445</w:t>
      </w:r>
      <w:r>
        <w:fldChar w:fldCharType="end"/>
      </w:r>
    </w:p>
    <w:p w14:paraId="05E1E191" w14:textId="0924718E" w:rsidR="006C1B74" w:rsidRDefault="006C1B74">
      <w:pPr>
        <w:pStyle w:val="TOC3"/>
        <w:rPr>
          <w:rFonts w:asciiTheme="minorHAnsi" w:eastAsiaTheme="minorEastAsia" w:hAnsiTheme="minorHAnsi" w:cstheme="minorBidi"/>
          <w:kern w:val="2"/>
          <w:sz w:val="24"/>
          <w:szCs w:val="24"/>
          <w14:ligatures w14:val="standardContextual"/>
        </w:rPr>
      </w:pPr>
      <w:r>
        <w:t>5.32.3</w:t>
      </w:r>
      <w:r>
        <w:rPr>
          <w:rFonts w:asciiTheme="minorHAnsi" w:eastAsiaTheme="minorEastAsia" w:hAnsiTheme="minorHAnsi" w:cstheme="minorBidi"/>
          <w:kern w:val="2"/>
          <w:sz w:val="24"/>
          <w:szCs w:val="24"/>
          <w14:ligatures w14:val="standardContextual"/>
        </w:rPr>
        <w:tab/>
      </w:r>
      <w:r>
        <w:t>Policy for ATSSS Control</w:t>
      </w:r>
      <w:r>
        <w:tab/>
      </w:r>
      <w:r>
        <w:fldChar w:fldCharType="begin" w:fldLock="1"/>
      </w:r>
      <w:r>
        <w:instrText xml:space="preserve"> PAGEREF _Toc201157582 \h </w:instrText>
      </w:r>
      <w:r>
        <w:fldChar w:fldCharType="separate"/>
      </w:r>
      <w:r>
        <w:t>450</w:t>
      </w:r>
      <w:r>
        <w:fldChar w:fldCharType="end"/>
      </w:r>
    </w:p>
    <w:p w14:paraId="459729A7" w14:textId="2DCA9A2F" w:rsidR="006C1B74" w:rsidRDefault="006C1B74">
      <w:pPr>
        <w:pStyle w:val="TOC3"/>
        <w:rPr>
          <w:rFonts w:asciiTheme="minorHAnsi" w:eastAsiaTheme="minorEastAsia" w:hAnsiTheme="minorHAnsi" w:cstheme="minorBidi"/>
          <w:kern w:val="2"/>
          <w:sz w:val="24"/>
          <w:szCs w:val="24"/>
          <w14:ligatures w14:val="standardContextual"/>
        </w:rPr>
      </w:pPr>
      <w:r>
        <w:t>5.32.4</w:t>
      </w:r>
      <w:r>
        <w:rPr>
          <w:rFonts w:asciiTheme="minorHAnsi" w:eastAsiaTheme="minorEastAsia" w:hAnsiTheme="minorHAnsi" w:cstheme="minorBidi"/>
          <w:kern w:val="2"/>
          <w:sz w:val="24"/>
          <w:szCs w:val="24"/>
          <w14:ligatures w14:val="standardContextual"/>
        </w:rPr>
        <w:tab/>
      </w:r>
      <w:r>
        <w:t>QoS Support</w:t>
      </w:r>
      <w:r>
        <w:tab/>
      </w:r>
      <w:r>
        <w:fldChar w:fldCharType="begin" w:fldLock="1"/>
      </w:r>
      <w:r>
        <w:instrText xml:space="preserve"> PAGEREF _Toc201157583 \h </w:instrText>
      </w:r>
      <w:r>
        <w:fldChar w:fldCharType="separate"/>
      </w:r>
      <w:r>
        <w:t>451</w:t>
      </w:r>
      <w:r>
        <w:fldChar w:fldCharType="end"/>
      </w:r>
    </w:p>
    <w:p w14:paraId="5325CB6D" w14:textId="3A7B434D" w:rsidR="006C1B74" w:rsidRDefault="006C1B74">
      <w:pPr>
        <w:pStyle w:val="TOC3"/>
        <w:rPr>
          <w:rFonts w:asciiTheme="minorHAnsi" w:eastAsiaTheme="minorEastAsia" w:hAnsiTheme="minorHAnsi" w:cstheme="minorBidi"/>
          <w:kern w:val="2"/>
          <w:sz w:val="24"/>
          <w:szCs w:val="24"/>
          <w14:ligatures w14:val="standardContextual"/>
        </w:rPr>
      </w:pPr>
      <w:r>
        <w:t>5.32.5</w:t>
      </w:r>
      <w:r>
        <w:rPr>
          <w:rFonts w:asciiTheme="minorHAnsi" w:eastAsiaTheme="minorEastAsia" w:hAnsiTheme="minorHAnsi" w:cstheme="minorBidi"/>
          <w:kern w:val="2"/>
          <w:sz w:val="24"/>
          <w:szCs w:val="24"/>
          <w14:ligatures w14:val="standardContextual"/>
        </w:rPr>
        <w:tab/>
      </w:r>
      <w:r>
        <w:t>Access Network Performance Measurements</w:t>
      </w:r>
      <w:r>
        <w:tab/>
      </w:r>
      <w:r>
        <w:fldChar w:fldCharType="begin" w:fldLock="1"/>
      </w:r>
      <w:r>
        <w:instrText xml:space="preserve"> PAGEREF _Toc201157584 \h </w:instrText>
      </w:r>
      <w:r>
        <w:fldChar w:fldCharType="separate"/>
      </w:r>
      <w:r>
        <w:t>452</w:t>
      </w:r>
      <w:r>
        <w:fldChar w:fldCharType="end"/>
      </w:r>
    </w:p>
    <w:p w14:paraId="6BF9F3AE" w14:textId="7AAA86A8" w:rsidR="006C1B74" w:rsidRDefault="006C1B74">
      <w:pPr>
        <w:pStyle w:val="TOC4"/>
        <w:rPr>
          <w:rFonts w:asciiTheme="minorHAnsi" w:eastAsiaTheme="minorEastAsia" w:hAnsiTheme="minorHAnsi" w:cstheme="minorBidi"/>
          <w:kern w:val="2"/>
          <w:sz w:val="24"/>
          <w:szCs w:val="24"/>
          <w14:ligatures w14:val="standardContextual"/>
        </w:rPr>
      </w:pPr>
      <w:r>
        <w:t>5.32.5.1</w:t>
      </w:r>
      <w:r>
        <w:rPr>
          <w:rFonts w:asciiTheme="minorHAnsi" w:eastAsiaTheme="minorEastAsia" w:hAnsiTheme="minorHAnsi" w:cstheme="minorBidi"/>
          <w:kern w:val="2"/>
          <w:sz w:val="24"/>
          <w:szCs w:val="24"/>
          <w14:ligatures w14:val="standardContextual"/>
        </w:rPr>
        <w:tab/>
      </w:r>
      <w:r>
        <w:t>General principles</w:t>
      </w:r>
      <w:r>
        <w:tab/>
      </w:r>
      <w:r>
        <w:fldChar w:fldCharType="begin" w:fldLock="1"/>
      </w:r>
      <w:r>
        <w:instrText xml:space="preserve"> PAGEREF _Toc201157585 \h </w:instrText>
      </w:r>
      <w:r>
        <w:fldChar w:fldCharType="separate"/>
      </w:r>
      <w:r>
        <w:t>452</w:t>
      </w:r>
      <w:r>
        <w:fldChar w:fldCharType="end"/>
      </w:r>
    </w:p>
    <w:p w14:paraId="6F06474E" w14:textId="46190E1E" w:rsidR="006C1B74" w:rsidRDefault="006C1B74">
      <w:pPr>
        <w:pStyle w:val="TOC4"/>
        <w:rPr>
          <w:rFonts w:asciiTheme="minorHAnsi" w:eastAsiaTheme="minorEastAsia" w:hAnsiTheme="minorHAnsi" w:cstheme="minorBidi"/>
          <w:kern w:val="2"/>
          <w:sz w:val="24"/>
          <w:szCs w:val="24"/>
          <w14:ligatures w14:val="standardContextual"/>
        </w:rPr>
      </w:pPr>
      <w:r>
        <w:t>5.32.5.1a</w:t>
      </w:r>
      <w:r>
        <w:rPr>
          <w:rFonts w:asciiTheme="minorHAnsi" w:eastAsiaTheme="minorEastAsia" w:hAnsiTheme="minorHAnsi" w:cstheme="minorBidi"/>
          <w:kern w:val="2"/>
          <w:sz w:val="24"/>
          <w:szCs w:val="24"/>
          <w14:ligatures w14:val="standardContextual"/>
        </w:rPr>
        <w:tab/>
      </w:r>
      <w:r>
        <w:t>Address of PMF messages</w:t>
      </w:r>
      <w:r>
        <w:tab/>
      </w:r>
      <w:r>
        <w:fldChar w:fldCharType="begin" w:fldLock="1"/>
      </w:r>
      <w:r>
        <w:instrText xml:space="preserve"> PAGEREF _Toc201157586 \h </w:instrText>
      </w:r>
      <w:r>
        <w:fldChar w:fldCharType="separate"/>
      </w:r>
      <w:r>
        <w:t>455</w:t>
      </w:r>
      <w:r>
        <w:fldChar w:fldCharType="end"/>
      </w:r>
    </w:p>
    <w:p w14:paraId="5EEA6728" w14:textId="24BBA302" w:rsidR="006C1B74" w:rsidRDefault="006C1B74">
      <w:pPr>
        <w:pStyle w:val="TOC4"/>
        <w:rPr>
          <w:rFonts w:asciiTheme="minorHAnsi" w:eastAsiaTheme="minorEastAsia" w:hAnsiTheme="minorHAnsi" w:cstheme="minorBidi"/>
          <w:kern w:val="2"/>
          <w:sz w:val="24"/>
          <w:szCs w:val="24"/>
          <w14:ligatures w14:val="standardContextual"/>
        </w:rPr>
      </w:pPr>
      <w:r>
        <w:t>5.32.5.2</w:t>
      </w:r>
      <w:r>
        <w:rPr>
          <w:rFonts w:asciiTheme="minorHAnsi" w:eastAsiaTheme="minorEastAsia" w:hAnsiTheme="minorHAnsi" w:cstheme="minorBidi"/>
          <w:kern w:val="2"/>
          <w:sz w:val="24"/>
          <w:szCs w:val="24"/>
          <w14:ligatures w14:val="standardContextual"/>
        </w:rPr>
        <w:tab/>
      </w:r>
      <w:r>
        <w:t>Round Trip Time Measurements</w:t>
      </w:r>
      <w:r>
        <w:tab/>
      </w:r>
      <w:r>
        <w:fldChar w:fldCharType="begin" w:fldLock="1"/>
      </w:r>
      <w:r>
        <w:instrText xml:space="preserve"> PAGEREF _Toc201157587 \h </w:instrText>
      </w:r>
      <w:r>
        <w:fldChar w:fldCharType="separate"/>
      </w:r>
      <w:r>
        <w:t>456</w:t>
      </w:r>
      <w:r>
        <w:fldChar w:fldCharType="end"/>
      </w:r>
    </w:p>
    <w:p w14:paraId="6184520E" w14:textId="12033158" w:rsidR="006C1B74" w:rsidRDefault="006C1B74">
      <w:pPr>
        <w:pStyle w:val="TOC4"/>
        <w:rPr>
          <w:rFonts w:asciiTheme="minorHAnsi" w:eastAsiaTheme="minorEastAsia" w:hAnsiTheme="minorHAnsi" w:cstheme="minorBidi"/>
          <w:kern w:val="2"/>
          <w:sz w:val="24"/>
          <w:szCs w:val="24"/>
          <w14:ligatures w14:val="standardContextual"/>
        </w:rPr>
      </w:pPr>
      <w:r>
        <w:t>5.32.5.2a</w:t>
      </w:r>
      <w:r>
        <w:rPr>
          <w:rFonts w:asciiTheme="minorHAnsi" w:eastAsiaTheme="minorEastAsia" w:hAnsiTheme="minorHAnsi" w:cstheme="minorBidi"/>
          <w:kern w:val="2"/>
          <w:sz w:val="24"/>
          <w:szCs w:val="24"/>
          <w14:ligatures w14:val="standardContextual"/>
        </w:rPr>
        <w:tab/>
      </w:r>
      <w:r>
        <w:t>Packet Loss Rate Measurements</w:t>
      </w:r>
      <w:r>
        <w:tab/>
      </w:r>
      <w:r>
        <w:fldChar w:fldCharType="begin" w:fldLock="1"/>
      </w:r>
      <w:r>
        <w:instrText xml:space="preserve"> PAGEREF _Toc201157588 \h </w:instrText>
      </w:r>
      <w:r>
        <w:fldChar w:fldCharType="separate"/>
      </w:r>
      <w:r>
        <w:t>456</w:t>
      </w:r>
      <w:r>
        <w:fldChar w:fldCharType="end"/>
      </w:r>
    </w:p>
    <w:p w14:paraId="2C4CCBD6" w14:textId="55745677" w:rsidR="006C1B74" w:rsidRDefault="006C1B74">
      <w:pPr>
        <w:pStyle w:val="TOC4"/>
        <w:rPr>
          <w:rFonts w:asciiTheme="minorHAnsi" w:eastAsiaTheme="minorEastAsia" w:hAnsiTheme="minorHAnsi" w:cstheme="minorBidi"/>
          <w:kern w:val="2"/>
          <w:sz w:val="24"/>
          <w:szCs w:val="24"/>
          <w14:ligatures w14:val="standardContextual"/>
        </w:rPr>
      </w:pPr>
      <w:r>
        <w:t>5.32.5.3</w:t>
      </w:r>
      <w:r>
        <w:rPr>
          <w:rFonts w:asciiTheme="minorHAnsi" w:eastAsiaTheme="minorEastAsia" w:hAnsiTheme="minorHAnsi" w:cstheme="minorBidi"/>
          <w:kern w:val="2"/>
          <w:sz w:val="24"/>
          <w:szCs w:val="24"/>
          <w14:ligatures w14:val="standardContextual"/>
        </w:rPr>
        <w:tab/>
      </w:r>
      <w:r>
        <w:t>Access Availability/Unavailability Report</w:t>
      </w:r>
      <w:r>
        <w:tab/>
      </w:r>
      <w:r>
        <w:fldChar w:fldCharType="begin" w:fldLock="1"/>
      </w:r>
      <w:r>
        <w:instrText xml:space="preserve"> PAGEREF _Toc201157589 \h </w:instrText>
      </w:r>
      <w:r>
        <w:fldChar w:fldCharType="separate"/>
      </w:r>
      <w:r>
        <w:t>457</w:t>
      </w:r>
      <w:r>
        <w:fldChar w:fldCharType="end"/>
      </w:r>
    </w:p>
    <w:p w14:paraId="1934A809" w14:textId="23818359" w:rsidR="006C1B74" w:rsidRDefault="006C1B74">
      <w:pPr>
        <w:pStyle w:val="TOC4"/>
        <w:rPr>
          <w:rFonts w:asciiTheme="minorHAnsi" w:eastAsiaTheme="minorEastAsia" w:hAnsiTheme="minorHAnsi" w:cstheme="minorBidi"/>
          <w:kern w:val="2"/>
          <w:sz w:val="24"/>
          <w:szCs w:val="24"/>
          <w14:ligatures w14:val="standardContextual"/>
        </w:rPr>
      </w:pPr>
      <w:r>
        <w:t>5.32.5.4</w:t>
      </w:r>
      <w:r>
        <w:rPr>
          <w:rFonts w:asciiTheme="minorHAnsi" w:eastAsiaTheme="minorEastAsia" w:hAnsiTheme="minorHAnsi" w:cstheme="minorBidi"/>
          <w:kern w:val="2"/>
          <w:sz w:val="24"/>
          <w:szCs w:val="24"/>
          <w14:ligatures w14:val="standardContextual"/>
        </w:rPr>
        <w:tab/>
      </w:r>
      <w:r>
        <w:t>Protocol stack for user plane measurements and measurement reports</w:t>
      </w:r>
      <w:r>
        <w:tab/>
      </w:r>
      <w:r>
        <w:fldChar w:fldCharType="begin" w:fldLock="1"/>
      </w:r>
      <w:r>
        <w:instrText xml:space="preserve"> PAGEREF _Toc201157590 \h </w:instrText>
      </w:r>
      <w:r>
        <w:fldChar w:fldCharType="separate"/>
      </w:r>
      <w:r>
        <w:t>458</w:t>
      </w:r>
      <w:r>
        <w:fldChar w:fldCharType="end"/>
      </w:r>
    </w:p>
    <w:p w14:paraId="141F2C33" w14:textId="1D11C416" w:rsidR="006C1B74" w:rsidRDefault="006C1B74">
      <w:pPr>
        <w:pStyle w:val="TOC4"/>
        <w:rPr>
          <w:rFonts w:asciiTheme="minorHAnsi" w:eastAsiaTheme="minorEastAsia" w:hAnsiTheme="minorHAnsi" w:cstheme="minorBidi"/>
          <w:kern w:val="2"/>
          <w:sz w:val="24"/>
          <w:szCs w:val="24"/>
          <w14:ligatures w14:val="standardContextual"/>
        </w:rPr>
      </w:pPr>
      <w:r>
        <w:t>5.32.5.5</w:t>
      </w:r>
      <w:r>
        <w:rPr>
          <w:rFonts w:asciiTheme="minorHAnsi" w:eastAsiaTheme="minorEastAsia" w:hAnsiTheme="minorHAnsi" w:cstheme="minorBidi"/>
          <w:kern w:val="2"/>
          <w:sz w:val="24"/>
          <w:szCs w:val="24"/>
          <w14:ligatures w14:val="standardContextual"/>
        </w:rPr>
        <w:tab/>
      </w:r>
      <w:r>
        <w:t>UE Assistance Operation</w:t>
      </w:r>
      <w:r>
        <w:tab/>
      </w:r>
      <w:r>
        <w:fldChar w:fldCharType="begin" w:fldLock="1"/>
      </w:r>
      <w:r>
        <w:instrText xml:space="preserve"> PAGEREF _Toc201157591 \h </w:instrText>
      </w:r>
      <w:r>
        <w:fldChar w:fldCharType="separate"/>
      </w:r>
      <w:r>
        <w:t>459</w:t>
      </w:r>
      <w:r>
        <w:fldChar w:fldCharType="end"/>
      </w:r>
    </w:p>
    <w:p w14:paraId="0AEF6C95" w14:textId="4DE88969" w:rsidR="006C1B74" w:rsidRDefault="006C1B74">
      <w:pPr>
        <w:pStyle w:val="TOC4"/>
        <w:rPr>
          <w:rFonts w:asciiTheme="minorHAnsi" w:eastAsiaTheme="minorEastAsia" w:hAnsiTheme="minorHAnsi" w:cstheme="minorBidi"/>
          <w:kern w:val="2"/>
          <w:sz w:val="24"/>
          <w:szCs w:val="24"/>
          <w14:ligatures w14:val="standardContextual"/>
        </w:rPr>
      </w:pPr>
      <w:r>
        <w:t>5.32.5.6</w:t>
      </w:r>
      <w:r>
        <w:rPr>
          <w:rFonts w:asciiTheme="minorHAnsi" w:eastAsiaTheme="minorEastAsia" w:hAnsiTheme="minorHAnsi" w:cstheme="minorBidi"/>
          <w:kern w:val="2"/>
          <w:sz w:val="24"/>
          <w:szCs w:val="24"/>
          <w14:ligatures w14:val="standardContextual"/>
        </w:rPr>
        <w:tab/>
      </w:r>
      <w:r>
        <w:t>Suspend and Resume Traffic Duplication</w:t>
      </w:r>
      <w:r>
        <w:tab/>
      </w:r>
      <w:r>
        <w:fldChar w:fldCharType="begin" w:fldLock="1"/>
      </w:r>
      <w:r>
        <w:instrText xml:space="preserve"> PAGEREF _Toc201157592 \h </w:instrText>
      </w:r>
      <w:r>
        <w:fldChar w:fldCharType="separate"/>
      </w:r>
      <w:r>
        <w:t>459</w:t>
      </w:r>
      <w:r>
        <w:fldChar w:fldCharType="end"/>
      </w:r>
    </w:p>
    <w:p w14:paraId="1E25519E" w14:textId="1CF07623" w:rsidR="006C1B74" w:rsidRDefault="006C1B74">
      <w:pPr>
        <w:pStyle w:val="TOC3"/>
        <w:rPr>
          <w:rFonts w:asciiTheme="minorHAnsi" w:eastAsiaTheme="minorEastAsia" w:hAnsiTheme="minorHAnsi" w:cstheme="minorBidi"/>
          <w:kern w:val="2"/>
          <w:sz w:val="24"/>
          <w:szCs w:val="24"/>
          <w14:ligatures w14:val="standardContextual"/>
        </w:rPr>
      </w:pPr>
      <w:r>
        <w:t>5.32.6</w:t>
      </w:r>
      <w:r>
        <w:rPr>
          <w:rFonts w:asciiTheme="minorHAnsi" w:eastAsiaTheme="minorEastAsia" w:hAnsiTheme="minorHAnsi" w:cstheme="minorBidi"/>
          <w:kern w:val="2"/>
          <w:sz w:val="24"/>
          <w:szCs w:val="24"/>
          <w14:ligatures w14:val="standardContextual"/>
        </w:rPr>
        <w:tab/>
      </w:r>
      <w:r>
        <w:t>Support of Steering Functionalities</w:t>
      </w:r>
      <w:r>
        <w:tab/>
      </w:r>
      <w:r>
        <w:fldChar w:fldCharType="begin" w:fldLock="1"/>
      </w:r>
      <w:r>
        <w:instrText xml:space="preserve"> PAGEREF _Toc201157593 \h </w:instrText>
      </w:r>
      <w:r>
        <w:fldChar w:fldCharType="separate"/>
      </w:r>
      <w:r>
        <w:t>460</w:t>
      </w:r>
      <w:r>
        <w:fldChar w:fldCharType="end"/>
      </w:r>
    </w:p>
    <w:p w14:paraId="18B8EACD" w14:textId="47EAC659" w:rsidR="006C1B74" w:rsidRDefault="006C1B74">
      <w:pPr>
        <w:pStyle w:val="TOC4"/>
        <w:rPr>
          <w:rFonts w:asciiTheme="minorHAnsi" w:eastAsiaTheme="minorEastAsia" w:hAnsiTheme="minorHAnsi" w:cstheme="minorBidi"/>
          <w:kern w:val="2"/>
          <w:sz w:val="24"/>
          <w:szCs w:val="24"/>
          <w14:ligatures w14:val="standardContextual"/>
        </w:rPr>
      </w:pPr>
      <w:r>
        <w:t>5.32.6.1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_Toc201157594 \h </w:instrText>
      </w:r>
      <w:r>
        <w:fldChar w:fldCharType="separate"/>
      </w:r>
      <w:r>
        <w:t>460</w:t>
      </w:r>
      <w:r>
        <w:fldChar w:fldCharType="end"/>
      </w:r>
    </w:p>
    <w:p w14:paraId="09146A21" w14:textId="51DB6A4B" w:rsidR="006C1B74" w:rsidRDefault="006C1B74">
      <w:pPr>
        <w:pStyle w:val="TOC4"/>
        <w:rPr>
          <w:rFonts w:asciiTheme="minorHAnsi" w:eastAsiaTheme="minorEastAsia" w:hAnsiTheme="minorHAnsi" w:cstheme="minorBidi"/>
          <w:kern w:val="2"/>
          <w:sz w:val="24"/>
          <w:szCs w:val="24"/>
          <w14:ligatures w14:val="standardContextual"/>
        </w:rPr>
      </w:pPr>
      <w:r>
        <w:t>5.32.6.2</w:t>
      </w:r>
      <w:r>
        <w:rPr>
          <w:rFonts w:asciiTheme="minorHAnsi" w:eastAsiaTheme="minorEastAsia" w:hAnsiTheme="minorHAnsi" w:cstheme="minorBidi"/>
          <w:kern w:val="2"/>
          <w:sz w:val="24"/>
          <w:szCs w:val="24"/>
          <w14:ligatures w14:val="standardContextual"/>
        </w:rPr>
        <w:tab/>
      </w:r>
      <w:r>
        <w:t>High-Layer Steering Functionalities</w:t>
      </w:r>
      <w:r>
        <w:tab/>
      </w:r>
      <w:r>
        <w:fldChar w:fldCharType="begin" w:fldLock="1"/>
      </w:r>
      <w:r>
        <w:instrText xml:space="preserve"> PAGEREF _Toc201157595 \h </w:instrText>
      </w:r>
      <w:r>
        <w:fldChar w:fldCharType="separate"/>
      </w:r>
      <w:r>
        <w:t>462</w:t>
      </w:r>
      <w:r>
        <w:fldChar w:fldCharType="end"/>
      </w:r>
    </w:p>
    <w:p w14:paraId="6F383B8B" w14:textId="7B7E1C7C" w:rsidR="006C1B74" w:rsidRDefault="006C1B74">
      <w:pPr>
        <w:pStyle w:val="TOC5"/>
        <w:rPr>
          <w:rFonts w:asciiTheme="minorHAnsi" w:eastAsiaTheme="minorEastAsia" w:hAnsiTheme="minorHAnsi" w:cstheme="minorBidi"/>
          <w:kern w:val="2"/>
          <w:sz w:val="24"/>
          <w:szCs w:val="24"/>
          <w14:ligatures w14:val="standardContextual"/>
        </w:rPr>
      </w:pPr>
      <w:r>
        <w:t>5.32.6.2.1</w:t>
      </w:r>
      <w:r>
        <w:rPr>
          <w:rFonts w:asciiTheme="minorHAnsi" w:eastAsiaTheme="minorEastAsia" w:hAnsiTheme="minorHAnsi" w:cstheme="minorBidi"/>
          <w:kern w:val="2"/>
          <w:sz w:val="24"/>
          <w:szCs w:val="24"/>
          <w14:ligatures w14:val="standardContextual"/>
        </w:rPr>
        <w:tab/>
      </w:r>
      <w:r>
        <w:t>MPTCP Functionality</w:t>
      </w:r>
      <w:r>
        <w:tab/>
      </w:r>
      <w:r>
        <w:fldChar w:fldCharType="begin" w:fldLock="1"/>
      </w:r>
      <w:r>
        <w:instrText xml:space="preserve"> PAGEREF _Toc201157596 \h </w:instrText>
      </w:r>
      <w:r>
        <w:fldChar w:fldCharType="separate"/>
      </w:r>
      <w:r>
        <w:t>462</w:t>
      </w:r>
      <w:r>
        <w:fldChar w:fldCharType="end"/>
      </w:r>
    </w:p>
    <w:p w14:paraId="5B512F3E" w14:textId="67C28F95" w:rsidR="006C1B74" w:rsidRDefault="006C1B74">
      <w:pPr>
        <w:pStyle w:val="TOC5"/>
        <w:rPr>
          <w:rFonts w:asciiTheme="minorHAnsi" w:eastAsiaTheme="minorEastAsia" w:hAnsiTheme="minorHAnsi" w:cstheme="minorBidi"/>
          <w:kern w:val="2"/>
          <w:sz w:val="24"/>
          <w:szCs w:val="24"/>
          <w14:ligatures w14:val="standardContextual"/>
        </w:rPr>
      </w:pPr>
      <w:r>
        <w:t>5.32.6.2.2</w:t>
      </w:r>
      <w:r>
        <w:rPr>
          <w:rFonts w:asciiTheme="minorHAnsi" w:eastAsiaTheme="minorEastAsia" w:hAnsiTheme="minorHAnsi" w:cstheme="minorBidi"/>
          <w:kern w:val="2"/>
          <w:sz w:val="24"/>
          <w:szCs w:val="24"/>
          <w14:ligatures w14:val="standardContextual"/>
        </w:rPr>
        <w:tab/>
      </w:r>
      <w:r>
        <w:t>MPQUIC Functionality</w:t>
      </w:r>
      <w:r>
        <w:tab/>
      </w:r>
      <w:r>
        <w:fldChar w:fldCharType="begin" w:fldLock="1"/>
      </w:r>
      <w:r>
        <w:instrText xml:space="preserve"> PAGEREF _Toc201157597 \h </w:instrText>
      </w:r>
      <w:r>
        <w:fldChar w:fldCharType="separate"/>
      </w:r>
      <w:r>
        <w:t>463</w:t>
      </w:r>
      <w:r>
        <w:fldChar w:fldCharType="end"/>
      </w:r>
    </w:p>
    <w:p w14:paraId="548E3F27" w14:textId="7B0E008A" w:rsidR="006C1B74" w:rsidRDefault="006C1B74">
      <w:pPr>
        <w:pStyle w:val="TOC4"/>
        <w:rPr>
          <w:rFonts w:asciiTheme="minorHAnsi" w:eastAsiaTheme="minorEastAsia" w:hAnsiTheme="minorHAnsi" w:cstheme="minorBidi"/>
          <w:kern w:val="2"/>
          <w:sz w:val="24"/>
          <w:szCs w:val="24"/>
          <w14:ligatures w14:val="standardContextual"/>
        </w:rPr>
      </w:pPr>
      <w:r>
        <w:t>5.32.6.3</w:t>
      </w:r>
      <w:r>
        <w:rPr>
          <w:rFonts w:asciiTheme="minorHAnsi" w:eastAsiaTheme="minorEastAsia" w:hAnsiTheme="minorHAnsi" w:cstheme="minorBidi"/>
          <w:kern w:val="2"/>
          <w:sz w:val="24"/>
          <w:szCs w:val="24"/>
          <w14:ligatures w14:val="standardContextual"/>
        </w:rPr>
        <w:tab/>
      </w:r>
      <w:r>
        <w:t>Low-Layer Steering Functionalities</w:t>
      </w:r>
      <w:r>
        <w:tab/>
      </w:r>
      <w:r>
        <w:fldChar w:fldCharType="begin" w:fldLock="1"/>
      </w:r>
      <w:r>
        <w:instrText xml:space="preserve"> PAGEREF _Toc201157598 \h </w:instrText>
      </w:r>
      <w:r>
        <w:fldChar w:fldCharType="separate"/>
      </w:r>
      <w:r>
        <w:t>466</w:t>
      </w:r>
      <w:r>
        <w:fldChar w:fldCharType="end"/>
      </w:r>
    </w:p>
    <w:p w14:paraId="7019AF01" w14:textId="4A2B1DCA" w:rsidR="006C1B74" w:rsidRDefault="006C1B74">
      <w:pPr>
        <w:pStyle w:val="TOC5"/>
        <w:rPr>
          <w:rFonts w:asciiTheme="minorHAnsi" w:eastAsiaTheme="minorEastAsia" w:hAnsiTheme="minorHAnsi" w:cstheme="minorBidi"/>
          <w:kern w:val="2"/>
          <w:sz w:val="24"/>
          <w:szCs w:val="24"/>
          <w14:ligatures w14:val="standardContextual"/>
        </w:rPr>
      </w:pPr>
      <w:r>
        <w:t>5.32.6.3.1</w:t>
      </w:r>
      <w:r>
        <w:rPr>
          <w:rFonts w:asciiTheme="minorHAnsi" w:eastAsiaTheme="minorEastAsia" w:hAnsiTheme="minorHAnsi" w:cstheme="minorBidi"/>
          <w:kern w:val="2"/>
          <w:sz w:val="24"/>
          <w:szCs w:val="24"/>
          <w14:ligatures w14:val="standardContextual"/>
        </w:rPr>
        <w:tab/>
      </w:r>
      <w:r>
        <w:t>ATSSS-LL Functionality</w:t>
      </w:r>
      <w:r>
        <w:tab/>
      </w:r>
      <w:r>
        <w:fldChar w:fldCharType="begin" w:fldLock="1"/>
      </w:r>
      <w:r>
        <w:instrText xml:space="preserve"> PAGEREF _Toc201157599 \h </w:instrText>
      </w:r>
      <w:r>
        <w:fldChar w:fldCharType="separate"/>
      </w:r>
      <w:r>
        <w:t>466</w:t>
      </w:r>
      <w:r>
        <w:fldChar w:fldCharType="end"/>
      </w:r>
    </w:p>
    <w:p w14:paraId="245BB286" w14:textId="1B29C967" w:rsidR="006C1B74" w:rsidRDefault="006C1B74">
      <w:pPr>
        <w:pStyle w:val="TOC3"/>
        <w:rPr>
          <w:rFonts w:asciiTheme="minorHAnsi" w:eastAsiaTheme="minorEastAsia" w:hAnsiTheme="minorHAnsi" w:cstheme="minorBidi"/>
          <w:kern w:val="2"/>
          <w:sz w:val="24"/>
          <w:szCs w:val="24"/>
          <w14:ligatures w14:val="standardContextual"/>
        </w:rPr>
      </w:pPr>
      <w:r>
        <w:t>5.32.7</w:t>
      </w:r>
      <w:r>
        <w:rPr>
          <w:rFonts w:asciiTheme="minorHAnsi" w:eastAsiaTheme="minorEastAsia" w:hAnsiTheme="minorHAnsi" w:cstheme="minorBidi"/>
          <w:kern w:val="2"/>
          <w:sz w:val="24"/>
          <w:szCs w:val="24"/>
          <w14:ligatures w14:val="standardContextual"/>
        </w:rPr>
        <w:tab/>
      </w:r>
      <w:r>
        <w:t>Interworking with EPS</w:t>
      </w:r>
      <w:r>
        <w:tab/>
      </w:r>
      <w:r>
        <w:fldChar w:fldCharType="begin" w:fldLock="1"/>
      </w:r>
      <w:r>
        <w:instrText xml:space="preserve"> PAGEREF _Toc201157600 \h </w:instrText>
      </w:r>
      <w:r>
        <w:fldChar w:fldCharType="separate"/>
      </w:r>
      <w:r>
        <w:t>466</w:t>
      </w:r>
      <w:r>
        <w:fldChar w:fldCharType="end"/>
      </w:r>
    </w:p>
    <w:p w14:paraId="6CDC8D94" w14:textId="74BBE86C" w:rsidR="006C1B74" w:rsidRDefault="006C1B74">
      <w:pPr>
        <w:pStyle w:val="TOC4"/>
        <w:rPr>
          <w:rFonts w:asciiTheme="minorHAnsi" w:eastAsiaTheme="minorEastAsia" w:hAnsiTheme="minorHAnsi" w:cstheme="minorBidi"/>
          <w:kern w:val="2"/>
          <w:sz w:val="24"/>
          <w:szCs w:val="24"/>
          <w14:ligatures w14:val="standardContextual"/>
        </w:rPr>
      </w:pPr>
      <w:r>
        <w:t>5.32.7.1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_Toc201157601 \h </w:instrText>
      </w:r>
      <w:r>
        <w:fldChar w:fldCharType="separate"/>
      </w:r>
      <w:r>
        <w:t>466</w:t>
      </w:r>
      <w:r>
        <w:fldChar w:fldCharType="end"/>
      </w:r>
    </w:p>
    <w:p w14:paraId="64304ADE" w14:textId="250E7D4E" w:rsidR="006C1B74" w:rsidRDefault="006C1B74">
      <w:pPr>
        <w:pStyle w:val="TOC4"/>
        <w:rPr>
          <w:rFonts w:asciiTheme="minorHAnsi" w:eastAsiaTheme="minorEastAsia" w:hAnsiTheme="minorHAnsi" w:cstheme="minorBidi"/>
          <w:kern w:val="2"/>
          <w:sz w:val="24"/>
          <w:szCs w:val="24"/>
          <w14:ligatures w14:val="standardContextual"/>
        </w:rPr>
      </w:pPr>
      <w:r>
        <w:t>5.32.7.2</w:t>
      </w:r>
      <w:r>
        <w:rPr>
          <w:rFonts w:asciiTheme="minorHAnsi" w:eastAsiaTheme="minorEastAsia" w:hAnsiTheme="minorHAnsi" w:cstheme="minorBidi"/>
          <w:kern w:val="2"/>
          <w:sz w:val="24"/>
          <w:szCs w:val="24"/>
          <w14:ligatures w14:val="standardContextual"/>
        </w:rPr>
        <w:tab/>
      </w:r>
      <w:r>
        <w:t>Interworking with N26 Interface</w:t>
      </w:r>
      <w:r>
        <w:tab/>
      </w:r>
      <w:r>
        <w:fldChar w:fldCharType="begin" w:fldLock="1"/>
      </w:r>
      <w:r>
        <w:instrText xml:space="preserve"> PAGEREF _Toc201157602 \h </w:instrText>
      </w:r>
      <w:r>
        <w:fldChar w:fldCharType="separate"/>
      </w:r>
      <w:r>
        <w:t>467</w:t>
      </w:r>
      <w:r>
        <w:fldChar w:fldCharType="end"/>
      </w:r>
    </w:p>
    <w:p w14:paraId="2BB51A44" w14:textId="52AA9F4B" w:rsidR="006C1B74" w:rsidRDefault="006C1B74">
      <w:pPr>
        <w:pStyle w:val="TOC4"/>
        <w:rPr>
          <w:rFonts w:asciiTheme="minorHAnsi" w:eastAsiaTheme="minorEastAsia" w:hAnsiTheme="minorHAnsi" w:cstheme="minorBidi"/>
          <w:kern w:val="2"/>
          <w:sz w:val="24"/>
          <w:szCs w:val="24"/>
          <w14:ligatures w14:val="standardContextual"/>
        </w:rPr>
      </w:pPr>
      <w:r>
        <w:t>5.32.7.3</w:t>
      </w:r>
      <w:r>
        <w:rPr>
          <w:rFonts w:asciiTheme="minorHAnsi" w:eastAsiaTheme="minorEastAsia" w:hAnsiTheme="minorHAnsi" w:cstheme="minorBidi"/>
          <w:kern w:val="2"/>
          <w:sz w:val="24"/>
          <w:szCs w:val="24"/>
          <w14:ligatures w14:val="standardContextual"/>
        </w:rPr>
        <w:tab/>
      </w:r>
      <w:r>
        <w:t>Interworking without N26 Interface</w:t>
      </w:r>
      <w:r>
        <w:tab/>
      </w:r>
      <w:r>
        <w:fldChar w:fldCharType="begin" w:fldLock="1"/>
      </w:r>
      <w:r>
        <w:instrText xml:space="preserve"> PAGEREF _Toc201157603 \h </w:instrText>
      </w:r>
      <w:r>
        <w:fldChar w:fldCharType="separate"/>
      </w:r>
      <w:r>
        <w:t>468</w:t>
      </w:r>
      <w:r>
        <w:fldChar w:fldCharType="end"/>
      </w:r>
    </w:p>
    <w:p w14:paraId="5DBD6098" w14:textId="1DFD10A7" w:rsidR="006C1B74" w:rsidRDefault="006C1B74">
      <w:pPr>
        <w:pStyle w:val="TOC3"/>
        <w:rPr>
          <w:rFonts w:asciiTheme="minorHAnsi" w:eastAsiaTheme="minorEastAsia" w:hAnsiTheme="minorHAnsi" w:cstheme="minorBidi"/>
          <w:kern w:val="2"/>
          <w:sz w:val="24"/>
          <w:szCs w:val="24"/>
          <w14:ligatures w14:val="standardContextual"/>
        </w:rPr>
      </w:pPr>
      <w:r>
        <w:t>5.32.8</w:t>
      </w:r>
      <w:r>
        <w:rPr>
          <w:rFonts w:asciiTheme="minorHAnsi" w:eastAsiaTheme="minorEastAsia" w:hAnsiTheme="minorHAnsi" w:cstheme="minorBidi"/>
          <w:kern w:val="2"/>
          <w:sz w:val="24"/>
          <w:szCs w:val="24"/>
          <w14:ligatures w14:val="standardContextual"/>
        </w:rPr>
        <w:tab/>
      </w:r>
      <w:r>
        <w:t>ATSSS Rules</w:t>
      </w:r>
      <w:r>
        <w:tab/>
      </w:r>
      <w:r>
        <w:fldChar w:fldCharType="begin" w:fldLock="1"/>
      </w:r>
      <w:r>
        <w:instrText xml:space="preserve"> PAGEREF _Toc201157604 \h </w:instrText>
      </w:r>
      <w:r>
        <w:fldChar w:fldCharType="separate"/>
      </w:r>
      <w:r>
        <w:t>468</w:t>
      </w:r>
      <w:r>
        <w:fldChar w:fldCharType="end"/>
      </w:r>
    </w:p>
    <w:p w14:paraId="452F8268" w14:textId="5C381BD3" w:rsidR="006C1B74" w:rsidRDefault="006C1B74">
      <w:pPr>
        <w:pStyle w:val="TOC2"/>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Support for Ultra Reliable Low Latency Communication</w:t>
      </w:r>
      <w:r>
        <w:tab/>
      </w:r>
      <w:r>
        <w:fldChar w:fldCharType="begin" w:fldLock="1"/>
      </w:r>
      <w:r>
        <w:instrText xml:space="preserve"> PAGEREF _Toc201157605 \h </w:instrText>
      </w:r>
      <w:r>
        <w:fldChar w:fldCharType="separate"/>
      </w:r>
      <w:r>
        <w:t>472</w:t>
      </w:r>
      <w:r>
        <w:fldChar w:fldCharType="end"/>
      </w:r>
    </w:p>
    <w:p w14:paraId="4AAAABCB" w14:textId="4112EA3A" w:rsidR="006C1B74" w:rsidRDefault="006C1B74">
      <w:pPr>
        <w:pStyle w:val="TOC3"/>
        <w:rPr>
          <w:rFonts w:asciiTheme="minorHAnsi" w:eastAsiaTheme="minorEastAsia" w:hAnsiTheme="minorHAnsi" w:cstheme="minorBidi"/>
          <w:kern w:val="2"/>
          <w:sz w:val="24"/>
          <w:szCs w:val="24"/>
          <w14:ligatures w14:val="standardContextual"/>
        </w:rPr>
      </w:pPr>
      <w:r>
        <w:t>5.33.1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_Toc201157606 \h </w:instrText>
      </w:r>
      <w:r>
        <w:fldChar w:fldCharType="separate"/>
      </w:r>
      <w:r>
        <w:t>472</w:t>
      </w:r>
      <w:r>
        <w:fldChar w:fldCharType="end"/>
      </w:r>
    </w:p>
    <w:p w14:paraId="108D66B0" w14:textId="2A3E02CC" w:rsidR="006C1B74" w:rsidRDefault="006C1B74">
      <w:pPr>
        <w:pStyle w:val="TOC3"/>
        <w:rPr>
          <w:rFonts w:asciiTheme="minorHAnsi" w:eastAsiaTheme="minorEastAsia" w:hAnsiTheme="minorHAnsi" w:cstheme="minorBidi"/>
          <w:kern w:val="2"/>
          <w:sz w:val="24"/>
          <w:szCs w:val="24"/>
          <w14:ligatures w14:val="standardContextual"/>
        </w:rPr>
      </w:pPr>
      <w:r>
        <w:t>5.33.2</w:t>
      </w:r>
      <w:r>
        <w:rPr>
          <w:rFonts w:asciiTheme="minorHAnsi" w:eastAsiaTheme="minorEastAsia" w:hAnsiTheme="minorHAnsi" w:cstheme="minorBidi"/>
          <w:kern w:val="2"/>
          <w:sz w:val="24"/>
          <w:szCs w:val="24"/>
          <w14:ligatures w14:val="standardContextual"/>
        </w:rPr>
        <w:tab/>
      </w:r>
      <w:r>
        <w:t>Redundant transmission for high reliability communication</w:t>
      </w:r>
      <w:r>
        <w:tab/>
      </w:r>
      <w:r>
        <w:fldChar w:fldCharType="begin" w:fldLock="1"/>
      </w:r>
      <w:r>
        <w:instrText xml:space="preserve"> PAGEREF _Toc201157607 \h </w:instrText>
      </w:r>
      <w:r>
        <w:fldChar w:fldCharType="separate"/>
      </w:r>
      <w:r>
        <w:t>473</w:t>
      </w:r>
      <w:r>
        <w:fldChar w:fldCharType="end"/>
      </w:r>
    </w:p>
    <w:p w14:paraId="1BA91C8C" w14:textId="7B7E708A" w:rsidR="006C1B74" w:rsidRDefault="006C1B74">
      <w:pPr>
        <w:pStyle w:val="TOC4"/>
        <w:rPr>
          <w:rFonts w:asciiTheme="minorHAnsi" w:eastAsiaTheme="minorEastAsia" w:hAnsiTheme="minorHAnsi" w:cstheme="minorBidi"/>
          <w:kern w:val="2"/>
          <w:sz w:val="24"/>
          <w:szCs w:val="24"/>
          <w14:ligatures w14:val="standardContextual"/>
        </w:rPr>
      </w:pPr>
      <w:r>
        <w:t>5.33.2.1</w:t>
      </w:r>
      <w:r>
        <w:rPr>
          <w:rFonts w:asciiTheme="minorHAnsi" w:eastAsiaTheme="minorEastAsia" w:hAnsiTheme="minorHAnsi" w:cstheme="minorBidi"/>
          <w:kern w:val="2"/>
          <w:sz w:val="24"/>
          <w:szCs w:val="24"/>
          <w14:ligatures w14:val="standardContextual"/>
        </w:rPr>
        <w:tab/>
      </w:r>
      <w:r>
        <w:t>Dual Connectivity based end to end Redundant User Plane Paths</w:t>
      </w:r>
      <w:r>
        <w:tab/>
      </w:r>
      <w:r>
        <w:fldChar w:fldCharType="begin" w:fldLock="1"/>
      </w:r>
      <w:r>
        <w:instrText xml:space="preserve"> PAGEREF _Toc201157608 \h </w:instrText>
      </w:r>
      <w:r>
        <w:fldChar w:fldCharType="separate"/>
      </w:r>
      <w:r>
        <w:t>473</w:t>
      </w:r>
      <w:r>
        <w:fldChar w:fldCharType="end"/>
      </w:r>
    </w:p>
    <w:p w14:paraId="41B8D996" w14:textId="427B73B8" w:rsidR="006C1B74" w:rsidRDefault="006C1B74">
      <w:pPr>
        <w:pStyle w:val="TOC4"/>
        <w:rPr>
          <w:rFonts w:asciiTheme="minorHAnsi" w:eastAsiaTheme="minorEastAsia" w:hAnsiTheme="minorHAnsi" w:cstheme="minorBidi"/>
          <w:kern w:val="2"/>
          <w:sz w:val="24"/>
          <w:szCs w:val="24"/>
          <w14:ligatures w14:val="standardContextual"/>
        </w:rPr>
      </w:pPr>
      <w:r>
        <w:t>5.33.2.2</w:t>
      </w:r>
      <w:r>
        <w:rPr>
          <w:rFonts w:asciiTheme="minorHAnsi" w:eastAsiaTheme="minorEastAsia" w:hAnsiTheme="minorHAnsi" w:cstheme="minorBidi"/>
          <w:kern w:val="2"/>
          <w:sz w:val="24"/>
          <w:szCs w:val="24"/>
          <w14:ligatures w14:val="standardContextual"/>
        </w:rPr>
        <w:tab/>
      </w:r>
      <w:r>
        <w:t>Support of redundant transmission on N3/N9 interfaces</w:t>
      </w:r>
      <w:r>
        <w:tab/>
      </w:r>
      <w:r>
        <w:fldChar w:fldCharType="begin" w:fldLock="1"/>
      </w:r>
      <w:r>
        <w:instrText xml:space="preserve"> PAGEREF _Toc201157609 \h </w:instrText>
      </w:r>
      <w:r>
        <w:fldChar w:fldCharType="separate"/>
      </w:r>
      <w:r>
        <w:t>475</w:t>
      </w:r>
      <w:r>
        <w:fldChar w:fldCharType="end"/>
      </w:r>
    </w:p>
    <w:p w14:paraId="6B802834" w14:textId="60797BDD" w:rsidR="006C1B74" w:rsidRDefault="006C1B74">
      <w:pPr>
        <w:pStyle w:val="TOC4"/>
        <w:rPr>
          <w:rFonts w:asciiTheme="minorHAnsi" w:eastAsiaTheme="minorEastAsia" w:hAnsiTheme="minorHAnsi" w:cstheme="minorBidi"/>
          <w:kern w:val="2"/>
          <w:sz w:val="24"/>
          <w:szCs w:val="24"/>
          <w14:ligatures w14:val="standardContextual"/>
        </w:rPr>
      </w:pPr>
      <w:r>
        <w:t>5.33.2.3</w:t>
      </w:r>
      <w:r>
        <w:rPr>
          <w:rFonts w:asciiTheme="minorHAnsi" w:eastAsiaTheme="minorEastAsia" w:hAnsiTheme="minorHAnsi" w:cstheme="minorBidi"/>
          <w:kern w:val="2"/>
          <w:sz w:val="24"/>
          <w:szCs w:val="24"/>
          <w14:ligatures w14:val="standardContextual"/>
        </w:rPr>
        <w:tab/>
      </w:r>
      <w:r>
        <w:t>Support for redundant transmission at transport layer</w:t>
      </w:r>
      <w:r>
        <w:tab/>
      </w:r>
      <w:r>
        <w:fldChar w:fldCharType="begin" w:fldLock="1"/>
      </w:r>
      <w:r>
        <w:instrText xml:space="preserve"> PAGEREF _Toc201157610 \h </w:instrText>
      </w:r>
      <w:r>
        <w:fldChar w:fldCharType="separate"/>
      </w:r>
      <w:r>
        <w:t>477</w:t>
      </w:r>
      <w:r>
        <w:fldChar w:fldCharType="end"/>
      </w:r>
    </w:p>
    <w:p w14:paraId="2E93557E" w14:textId="0FB19DF0" w:rsidR="006C1B74" w:rsidRDefault="006C1B74">
      <w:pPr>
        <w:pStyle w:val="TOC3"/>
        <w:rPr>
          <w:rFonts w:asciiTheme="minorHAnsi" w:eastAsiaTheme="minorEastAsia" w:hAnsiTheme="minorHAnsi" w:cstheme="minorBidi"/>
          <w:kern w:val="2"/>
          <w:sz w:val="24"/>
          <w:szCs w:val="24"/>
          <w14:ligatures w14:val="standardContextual"/>
        </w:rPr>
      </w:pPr>
      <w:r>
        <w:t>5.33.3</w:t>
      </w:r>
      <w:r>
        <w:rPr>
          <w:rFonts w:asciiTheme="minorHAnsi" w:eastAsiaTheme="minorEastAsia" w:hAnsiTheme="minorHAnsi" w:cstheme="minorBidi"/>
          <w:kern w:val="2"/>
          <w:sz w:val="24"/>
          <w:szCs w:val="24"/>
          <w14:ligatures w14:val="standardContextual"/>
        </w:rPr>
        <w:tab/>
      </w:r>
      <w:r>
        <w:t>QoS Monitoring for packet delay</w:t>
      </w:r>
      <w:r>
        <w:tab/>
      </w:r>
      <w:r>
        <w:fldChar w:fldCharType="begin" w:fldLock="1"/>
      </w:r>
      <w:r>
        <w:instrText xml:space="preserve"> PAGEREF _Toc201157611 \h </w:instrText>
      </w:r>
      <w:r>
        <w:fldChar w:fldCharType="separate"/>
      </w:r>
      <w:r>
        <w:t>477</w:t>
      </w:r>
      <w:r>
        <w:fldChar w:fldCharType="end"/>
      </w:r>
    </w:p>
    <w:p w14:paraId="65438D53" w14:textId="7519C6E9" w:rsidR="006C1B74" w:rsidRDefault="006C1B74">
      <w:pPr>
        <w:pStyle w:val="TOC4"/>
        <w:rPr>
          <w:rFonts w:asciiTheme="minorHAnsi" w:eastAsiaTheme="minorEastAsia" w:hAnsiTheme="minorHAnsi" w:cstheme="minorBidi"/>
          <w:kern w:val="2"/>
          <w:sz w:val="24"/>
          <w:szCs w:val="24"/>
          <w14:ligatures w14:val="standardContextual"/>
        </w:rPr>
      </w:pPr>
      <w:r>
        <w:t>5.33.3.1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_Toc201157612 \h </w:instrText>
      </w:r>
      <w:r>
        <w:fldChar w:fldCharType="separate"/>
      </w:r>
      <w:r>
        <w:t>477</w:t>
      </w:r>
      <w:r>
        <w:fldChar w:fldCharType="end"/>
      </w:r>
    </w:p>
    <w:p w14:paraId="6B919F16" w14:textId="7ACC2D16" w:rsidR="006C1B74" w:rsidRDefault="006C1B74">
      <w:pPr>
        <w:pStyle w:val="TOC4"/>
        <w:rPr>
          <w:rFonts w:asciiTheme="minorHAnsi" w:eastAsiaTheme="minorEastAsia" w:hAnsiTheme="minorHAnsi" w:cstheme="minorBidi"/>
          <w:kern w:val="2"/>
          <w:sz w:val="24"/>
          <w:szCs w:val="24"/>
          <w14:ligatures w14:val="standardContextual"/>
        </w:rPr>
      </w:pPr>
      <w:r>
        <w:t>5.33.3.2</w:t>
      </w:r>
      <w:r>
        <w:rPr>
          <w:rFonts w:asciiTheme="minorHAnsi" w:eastAsiaTheme="minorEastAsia" w:hAnsiTheme="minorHAnsi" w:cstheme="minorBidi"/>
          <w:kern w:val="2"/>
          <w:sz w:val="24"/>
          <w:szCs w:val="24"/>
          <w14:ligatures w14:val="standardContextual"/>
        </w:rPr>
        <w:tab/>
      </w:r>
      <w:r>
        <w:t>Per QoS Flow per UE QoS Measurement</w:t>
      </w:r>
      <w:r>
        <w:tab/>
      </w:r>
      <w:r>
        <w:fldChar w:fldCharType="begin" w:fldLock="1"/>
      </w:r>
      <w:r>
        <w:instrText xml:space="preserve"> PAGEREF _Toc201157613 \h </w:instrText>
      </w:r>
      <w:r>
        <w:fldChar w:fldCharType="separate"/>
      </w:r>
      <w:r>
        <w:t>477</w:t>
      </w:r>
      <w:r>
        <w:fldChar w:fldCharType="end"/>
      </w:r>
    </w:p>
    <w:p w14:paraId="4C910B73" w14:textId="0576D97A" w:rsidR="006C1B74" w:rsidRDefault="006C1B74">
      <w:pPr>
        <w:pStyle w:val="TOC4"/>
        <w:rPr>
          <w:rFonts w:asciiTheme="minorHAnsi" w:eastAsiaTheme="minorEastAsia" w:hAnsiTheme="minorHAnsi" w:cstheme="minorBidi"/>
          <w:kern w:val="2"/>
          <w:sz w:val="24"/>
          <w:szCs w:val="24"/>
          <w14:ligatures w14:val="standardContextual"/>
        </w:rPr>
      </w:pPr>
      <w:r>
        <w:t>5.33.3.3</w:t>
      </w:r>
      <w:r>
        <w:rPr>
          <w:rFonts w:asciiTheme="minorHAnsi" w:eastAsiaTheme="minorEastAsia" w:hAnsiTheme="minorHAnsi" w:cstheme="minorBidi"/>
          <w:kern w:val="2"/>
          <w:sz w:val="24"/>
          <w:szCs w:val="24"/>
          <w14:ligatures w14:val="standardContextual"/>
        </w:rPr>
        <w:tab/>
      </w:r>
      <w:r>
        <w:t>GTP-U Path Measurement</w:t>
      </w:r>
      <w:r>
        <w:tab/>
      </w:r>
      <w:r>
        <w:fldChar w:fldCharType="begin" w:fldLock="1"/>
      </w:r>
      <w:r>
        <w:instrText xml:space="preserve"> PAGEREF _Toc201157614 \h </w:instrText>
      </w:r>
      <w:r>
        <w:fldChar w:fldCharType="separate"/>
      </w:r>
      <w:r>
        <w:t>478</w:t>
      </w:r>
      <w:r>
        <w:fldChar w:fldCharType="end"/>
      </w:r>
    </w:p>
    <w:p w14:paraId="73710960" w14:textId="0E447D16" w:rsidR="006C1B74" w:rsidRDefault="006C1B74">
      <w:pPr>
        <w:pStyle w:val="TOC2"/>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Support of deployments topologies with specific SMF Service Areas</w:t>
      </w:r>
      <w:r>
        <w:tab/>
      </w:r>
      <w:r>
        <w:fldChar w:fldCharType="begin" w:fldLock="1"/>
      </w:r>
      <w:r>
        <w:instrText xml:space="preserve"> PAGEREF _Toc201157615 \h </w:instrText>
      </w:r>
      <w:r>
        <w:fldChar w:fldCharType="separate"/>
      </w:r>
      <w:r>
        <w:t>480</w:t>
      </w:r>
      <w:r>
        <w:fldChar w:fldCharType="end"/>
      </w:r>
    </w:p>
    <w:p w14:paraId="52819678" w14:textId="3920A43F" w:rsidR="006C1B74" w:rsidRDefault="006C1B74">
      <w:pPr>
        <w:pStyle w:val="TOC3"/>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_Toc201157616 \h </w:instrText>
      </w:r>
      <w:r>
        <w:fldChar w:fldCharType="separate"/>
      </w:r>
      <w:r>
        <w:t>480</w:t>
      </w:r>
      <w:r>
        <w:fldChar w:fldCharType="end"/>
      </w:r>
    </w:p>
    <w:p w14:paraId="50765754" w14:textId="61C12684" w:rsidR="006C1B74" w:rsidRDefault="006C1B74">
      <w:pPr>
        <w:pStyle w:val="TOC3"/>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_Toc201157617 \h </w:instrText>
      </w:r>
      <w:r>
        <w:fldChar w:fldCharType="separate"/>
      </w:r>
      <w:r>
        <w:t>481</w:t>
      </w:r>
      <w:r>
        <w:fldChar w:fldCharType="end"/>
      </w:r>
    </w:p>
    <w:p w14:paraId="67011445" w14:textId="196BAB44" w:rsidR="006C1B74" w:rsidRDefault="006C1B74">
      <w:pPr>
        <w:pStyle w:val="TOC4"/>
        <w:rPr>
          <w:rFonts w:asciiTheme="minorHAnsi" w:eastAsiaTheme="minorEastAsia" w:hAnsiTheme="minorHAnsi" w:cstheme="minorBidi"/>
          <w:kern w:val="2"/>
          <w:sz w:val="24"/>
          <w:szCs w:val="24"/>
          <w14:ligatures w14:val="standardContextual"/>
        </w:rPr>
      </w:pPr>
      <w:r>
        <w:t>5.34.2.1</w:t>
      </w:r>
      <w:r>
        <w:rPr>
          <w:rFonts w:asciiTheme="minorHAnsi" w:eastAsiaTheme="minorEastAsia" w:hAnsiTheme="minorHAnsi" w:cstheme="minorBidi"/>
          <w:kern w:val="2"/>
          <w:sz w:val="24"/>
          <w:szCs w:val="24"/>
          <w14:ligatures w14:val="standardContextual"/>
        </w:rPr>
        <w:tab/>
      </w:r>
      <w:r>
        <w:t>SBA architecture</w:t>
      </w:r>
      <w:r>
        <w:tab/>
      </w:r>
      <w:r>
        <w:fldChar w:fldCharType="begin" w:fldLock="1"/>
      </w:r>
      <w:r>
        <w:instrText xml:space="preserve"> PAGEREF _Toc201157618 \h </w:instrText>
      </w:r>
      <w:r>
        <w:fldChar w:fldCharType="separate"/>
      </w:r>
      <w:r>
        <w:t>481</w:t>
      </w:r>
      <w:r>
        <w:fldChar w:fldCharType="end"/>
      </w:r>
    </w:p>
    <w:p w14:paraId="2F738458" w14:textId="4A1CBA3F" w:rsidR="006C1B74" w:rsidRDefault="006C1B74">
      <w:pPr>
        <w:pStyle w:val="TOC4"/>
        <w:rPr>
          <w:rFonts w:asciiTheme="minorHAnsi" w:eastAsiaTheme="minorEastAsia" w:hAnsiTheme="minorHAnsi" w:cstheme="minorBidi"/>
          <w:kern w:val="2"/>
          <w:sz w:val="24"/>
          <w:szCs w:val="24"/>
          <w14:ligatures w14:val="standardContextual"/>
        </w:rPr>
      </w:pPr>
      <w:r>
        <w:lastRenderedPageBreak/>
        <w:t>5.34.2.2</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_Toc201157619 \h </w:instrText>
      </w:r>
      <w:r>
        <w:fldChar w:fldCharType="separate"/>
      </w:r>
      <w:r>
        <w:t>481</w:t>
      </w:r>
      <w:r>
        <w:fldChar w:fldCharType="end"/>
      </w:r>
    </w:p>
    <w:p w14:paraId="7DA8DF4F" w14:textId="70A2146F" w:rsidR="006C1B74" w:rsidRDefault="006C1B74">
      <w:pPr>
        <w:pStyle w:val="TOC4"/>
        <w:rPr>
          <w:rFonts w:asciiTheme="minorHAnsi" w:eastAsiaTheme="minorEastAsia" w:hAnsiTheme="minorHAnsi" w:cstheme="minorBidi"/>
          <w:kern w:val="2"/>
          <w:sz w:val="24"/>
          <w:szCs w:val="24"/>
          <w14:ligatures w14:val="standardContextual"/>
        </w:rPr>
      </w:pPr>
      <w:r>
        <w:t>5.34.2.3</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_Toc201157620 \h </w:instrText>
      </w:r>
      <w:r>
        <w:fldChar w:fldCharType="separate"/>
      </w:r>
      <w:r>
        <w:t>482</w:t>
      </w:r>
      <w:r>
        <w:fldChar w:fldCharType="end"/>
      </w:r>
    </w:p>
    <w:p w14:paraId="528BD482" w14:textId="324BC40B" w:rsidR="006C1B74" w:rsidRDefault="006C1B74">
      <w:pPr>
        <w:pStyle w:val="TOC3"/>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I-SMF selection, V-SMF reselection</w:t>
      </w:r>
      <w:r>
        <w:tab/>
      </w:r>
      <w:r>
        <w:fldChar w:fldCharType="begin" w:fldLock="1"/>
      </w:r>
      <w:r>
        <w:instrText xml:space="preserve"> PAGEREF _Toc201157621 \h </w:instrText>
      </w:r>
      <w:r>
        <w:fldChar w:fldCharType="separate"/>
      </w:r>
      <w:r>
        <w:t>483</w:t>
      </w:r>
      <w:r>
        <w:fldChar w:fldCharType="end"/>
      </w:r>
    </w:p>
    <w:p w14:paraId="59644DFA" w14:textId="2FFE966B" w:rsidR="006C1B74" w:rsidRDefault="006C1B74">
      <w:pPr>
        <w:pStyle w:val="TOC3"/>
        <w:rPr>
          <w:rFonts w:asciiTheme="minorHAnsi" w:eastAsiaTheme="minorEastAsia" w:hAnsiTheme="minorHAnsi" w:cstheme="minorBidi"/>
          <w:kern w:val="2"/>
          <w:sz w:val="24"/>
          <w:szCs w:val="24"/>
          <w14:ligatures w14:val="standardContextual"/>
        </w:rPr>
      </w:pPr>
      <w:r>
        <w:t>5.34.4</w:t>
      </w:r>
      <w:r>
        <w:rPr>
          <w:rFonts w:asciiTheme="minorHAnsi" w:eastAsiaTheme="minorEastAsia" w:hAnsiTheme="minorHAnsi" w:cstheme="minorBidi"/>
          <w:kern w:val="2"/>
          <w:sz w:val="24"/>
          <w:szCs w:val="24"/>
          <w14:ligatures w14:val="standardContextual"/>
        </w:rPr>
        <w:tab/>
      </w:r>
      <w:r>
        <w:t>Usage of an UL Classifier for a PDU Session controlled by I-SMF</w:t>
      </w:r>
      <w:r>
        <w:tab/>
      </w:r>
      <w:r>
        <w:fldChar w:fldCharType="begin" w:fldLock="1"/>
      </w:r>
      <w:r>
        <w:instrText xml:space="preserve"> PAGEREF _Toc201157622 \h </w:instrText>
      </w:r>
      <w:r>
        <w:fldChar w:fldCharType="separate"/>
      </w:r>
      <w:r>
        <w:t>484</w:t>
      </w:r>
      <w:r>
        <w:fldChar w:fldCharType="end"/>
      </w:r>
    </w:p>
    <w:p w14:paraId="781045FC" w14:textId="20584F5F" w:rsidR="006C1B74" w:rsidRDefault="006C1B74">
      <w:pPr>
        <w:pStyle w:val="TOC3"/>
        <w:rPr>
          <w:rFonts w:asciiTheme="minorHAnsi" w:eastAsiaTheme="minorEastAsia" w:hAnsiTheme="minorHAnsi" w:cstheme="minorBidi"/>
          <w:kern w:val="2"/>
          <w:sz w:val="24"/>
          <w:szCs w:val="24"/>
          <w14:ligatures w14:val="standardContextual"/>
        </w:rPr>
      </w:pPr>
      <w:r>
        <w:t>5.34.5</w:t>
      </w:r>
      <w:r>
        <w:rPr>
          <w:rFonts w:asciiTheme="minorHAnsi" w:eastAsiaTheme="minorEastAsia" w:hAnsiTheme="minorHAnsi" w:cstheme="minorBidi"/>
          <w:kern w:val="2"/>
          <w:sz w:val="24"/>
          <w:szCs w:val="24"/>
          <w14:ligatures w14:val="standardContextual"/>
        </w:rPr>
        <w:tab/>
      </w:r>
      <w:r>
        <w:t>Usage of IPv6 multi-homing for a PDU Session controlled by I-SMF</w:t>
      </w:r>
      <w:r>
        <w:tab/>
      </w:r>
      <w:r>
        <w:fldChar w:fldCharType="begin" w:fldLock="1"/>
      </w:r>
      <w:r>
        <w:instrText xml:space="preserve"> PAGEREF _Toc201157623 \h </w:instrText>
      </w:r>
      <w:r>
        <w:fldChar w:fldCharType="separate"/>
      </w:r>
      <w:r>
        <w:t>484</w:t>
      </w:r>
      <w:r>
        <w:fldChar w:fldCharType="end"/>
      </w:r>
    </w:p>
    <w:p w14:paraId="2359D068" w14:textId="37969DB0" w:rsidR="006C1B74" w:rsidRDefault="006C1B74">
      <w:pPr>
        <w:pStyle w:val="TOC3"/>
        <w:rPr>
          <w:rFonts w:asciiTheme="minorHAnsi" w:eastAsiaTheme="minorEastAsia" w:hAnsiTheme="minorHAnsi" w:cstheme="minorBidi"/>
          <w:kern w:val="2"/>
          <w:sz w:val="24"/>
          <w:szCs w:val="24"/>
          <w14:ligatures w14:val="standardContextual"/>
        </w:rPr>
      </w:pPr>
      <w:r>
        <w:t>5.34.6</w:t>
      </w:r>
      <w:r>
        <w:rPr>
          <w:rFonts w:asciiTheme="minorHAnsi" w:eastAsiaTheme="minorEastAsia" w:hAnsiTheme="minorHAnsi" w:cstheme="minorBidi"/>
          <w:kern w:val="2"/>
          <w:sz w:val="24"/>
          <w:szCs w:val="24"/>
          <w14:ligatures w14:val="standardContextual"/>
        </w:rPr>
        <w:tab/>
      </w:r>
      <w:r>
        <w:t>Interaction between I-SMF and SMF for the support of traffic offload by UPF controlled by the I-SMF</w:t>
      </w:r>
      <w:r>
        <w:tab/>
      </w:r>
      <w:r>
        <w:fldChar w:fldCharType="begin" w:fldLock="1"/>
      </w:r>
      <w:r>
        <w:instrText xml:space="preserve"> PAGEREF _Toc201157624 \h </w:instrText>
      </w:r>
      <w:r>
        <w:fldChar w:fldCharType="separate"/>
      </w:r>
      <w:r>
        <w:t>485</w:t>
      </w:r>
      <w:r>
        <w:fldChar w:fldCharType="end"/>
      </w:r>
    </w:p>
    <w:p w14:paraId="479CE2FF" w14:textId="479527EE" w:rsidR="006C1B74" w:rsidRDefault="006C1B74">
      <w:pPr>
        <w:pStyle w:val="TOC4"/>
        <w:rPr>
          <w:rFonts w:asciiTheme="minorHAnsi" w:eastAsiaTheme="minorEastAsia" w:hAnsiTheme="minorHAnsi" w:cstheme="minorBidi"/>
          <w:kern w:val="2"/>
          <w:sz w:val="24"/>
          <w:szCs w:val="24"/>
          <w14:ligatures w14:val="standardContextual"/>
        </w:rPr>
      </w:pPr>
      <w:r>
        <w:t>5.34.6.1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_Toc201157625 \h </w:instrText>
      </w:r>
      <w:r>
        <w:fldChar w:fldCharType="separate"/>
      </w:r>
      <w:r>
        <w:t>485</w:t>
      </w:r>
      <w:r>
        <w:fldChar w:fldCharType="end"/>
      </w:r>
    </w:p>
    <w:p w14:paraId="68BD39D5" w14:textId="34511ABB" w:rsidR="006C1B74" w:rsidRDefault="006C1B74">
      <w:pPr>
        <w:pStyle w:val="TOC4"/>
        <w:rPr>
          <w:rFonts w:asciiTheme="minorHAnsi" w:eastAsiaTheme="minorEastAsia" w:hAnsiTheme="minorHAnsi" w:cstheme="minorBidi"/>
          <w:kern w:val="2"/>
          <w:sz w:val="24"/>
          <w:szCs w:val="24"/>
          <w14:ligatures w14:val="standardContextual"/>
        </w:rPr>
      </w:pPr>
      <w:r>
        <w:t>5.34.6.2</w:t>
      </w:r>
      <w:r>
        <w:rPr>
          <w:rFonts w:asciiTheme="minorHAnsi" w:eastAsiaTheme="minorEastAsia" w:hAnsiTheme="minorHAnsi" w:cstheme="minorBidi"/>
          <w:kern w:val="2"/>
          <w:sz w:val="24"/>
          <w:szCs w:val="24"/>
          <w14:ligatures w14:val="standardContextual"/>
        </w:rPr>
        <w:tab/>
      </w:r>
      <w:r>
        <w:t>N4 information sent from SMF to I-SMF for local traffic offload</w:t>
      </w:r>
      <w:r>
        <w:tab/>
      </w:r>
      <w:r>
        <w:fldChar w:fldCharType="begin" w:fldLock="1"/>
      </w:r>
      <w:r>
        <w:instrText xml:space="preserve"> PAGEREF _Toc201157626 \h </w:instrText>
      </w:r>
      <w:r>
        <w:fldChar w:fldCharType="separate"/>
      </w:r>
      <w:r>
        <w:t>486</w:t>
      </w:r>
      <w:r>
        <w:fldChar w:fldCharType="end"/>
      </w:r>
    </w:p>
    <w:p w14:paraId="3E60A17B" w14:textId="35E6993D" w:rsidR="006C1B74" w:rsidRDefault="006C1B74">
      <w:pPr>
        <w:pStyle w:val="TOC3"/>
        <w:rPr>
          <w:rFonts w:asciiTheme="minorHAnsi" w:eastAsiaTheme="minorEastAsia" w:hAnsiTheme="minorHAnsi" w:cstheme="minorBidi"/>
          <w:kern w:val="2"/>
          <w:sz w:val="24"/>
          <w:szCs w:val="24"/>
          <w14:ligatures w14:val="standardContextual"/>
        </w:rPr>
      </w:pPr>
      <w:r>
        <w:t>5.34.7</w:t>
      </w:r>
      <w:r>
        <w:rPr>
          <w:rFonts w:asciiTheme="minorHAnsi" w:eastAsiaTheme="minorEastAsia" w:hAnsiTheme="minorHAnsi" w:cstheme="minorBidi"/>
          <w:kern w:val="2"/>
          <w:sz w:val="24"/>
          <w:szCs w:val="24"/>
          <w14:ligatures w14:val="standardContextual"/>
        </w:rPr>
        <w:tab/>
      </w:r>
      <w:r>
        <w:t>Event Management</w:t>
      </w:r>
      <w:r>
        <w:tab/>
      </w:r>
      <w:r>
        <w:fldChar w:fldCharType="begin" w:fldLock="1"/>
      </w:r>
      <w:r>
        <w:instrText xml:space="preserve"> PAGEREF _Toc201157627 \h </w:instrText>
      </w:r>
      <w:r>
        <w:fldChar w:fldCharType="separate"/>
      </w:r>
      <w:r>
        <w:t>486</w:t>
      </w:r>
      <w:r>
        <w:fldChar w:fldCharType="end"/>
      </w:r>
    </w:p>
    <w:p w14:paraId="1C1FC440" w14:textId="2295F45D" w:rsidR="006C1B74" w:rsidRDefault="006C1B74">
      <w:pPr>
        <w:pStyle w:val="TOC4"/>
        <w:rPr>
          <w:rFonts w:asciiTheme="minorHAnsi" w:eastAsiaTheme="minorEastAsia" w:hAnsiTheme="minorHAnsi" w:cstheme="minorBidi"/>
          <w:kern w:val="2"/>
          <w:sz w:val="24"/>
          <w:szCs w:val="24"/>
          <w14:ligatures w14:val="standardContextual"/>
        </w:rPr>
      </w:pPr>
      <w:r>
        <w:t>5.34.7.1</w:t>
      </w:r>
      <w:r>
        <w:rPr>
          <w:rFonts w:asciiTheme="minorHAnsi" w:eastAsiaTheme="minorEastAsia" w:hAnsiTheme="minorHAnsi" w:cstheme="minorBidi"/>
          <w:kern w:val="2"/>
          <w:sz w:val="24"/>
          <w:szCs w:val="24"/>
          <w14:ligatures w14:val="standardContextual"/>
        </w:rPr>
        <w:tab/>
      </w:r>
      <w:r>
        <w:t>UE's Mobility Event Management</w:t>
      </w:r>
      <w:r>
        <w:tab/>
      </w:r>
      <w:r>
        <w:fldChar w:fldCharType="begin" w:fldLock="1"/>
      </w:r>
      <w:r>
        <w:instrText xml:space="preserve"> PAGEREF _Toc201157628 \h </w:instrText>
      </w:r>
      <w:r>
        <w:fldChar w:fldCharType="separate"/>
      </w:r>
      <w:r>
        <w:t>486</w:t>
      </w:r>
      <w:r>
        <w:fldChar w:fldCharType="end"/>
      </w:r>
    </w:p>
    <w:p w14:paraId="09B8998E" w14:textId="72D5C903" w:rsidR="006C1B74" w:rsidRDefault="006C1B74">
      <w:pPr>
        <w:pStyle w:val="TOC4"/>
        <w:rPr>
          <w:rFonts w:asciiTheme="minorHAnsi" w:eastAsiaTheme="minorEastAsia" w:hAnsiTheme="minorHAnsi" w:cstheme="minorBidi"/>
          <w:kern w:val="2"/>
          <w:sz w:val="24"/>
          <w:szCs w:val="24"/>
          <w14:ligatures w14:val="standardContextual"/>
        </w:rPr>
      </w:pPr>
      <w:r>
        <w:t>5.34.7.2</w:t>
      </w:r>
      <w:r>
        <w:rPr>
          <w:rFonts w:asciiTheme="minorHAnsi" w:eastAsiaTheme="minorEastAsia" w:hAnsiTheme="minorHAnsi" w:cstheme="minorBidi"/>
          <w:kern w:val="2"/>
          <w:sz w:val="24"/>
          <w:szCs w:val="24"/>
          <w14:ligatures w14:val="standardContextual"/>
        </w:rPr>
        <w:tab/>
      </w:r>
      <w:r>
        <w:t>SMF event exposure service</w:t>
      </w:r>
      <w:r>
        <w:tab/>
      </w:r>
      <w:r>
        <w:fldChar w:fldCharType="begin" w:fldLock="1"/>
      </w:r>
      <w:r>
        <w:instrText xml:space="preserve"> PAGEREF _Toc201157629 \h </w:instrText>
      </w:r>
      <w:r>
        <w:fldChar w:fldCharType="separate"/>
      </w:r>
      <w:r>
        <w:t>487</w:t>
      </w:r>
      <w:r>
        <w:fldChar w:fldCharType="end"/>
      </w:r>
    </w:p>
    <w:p w14:paraId="09E788F2" w14:textId="30D0AFFC" w:rsidR="006C1B74" w:rsidRDefault="006C1B74">
      <w:pPr>
        <w:pStyle w:val="TOC4"/>
        <w:rPr>
          <w:rFonts w:asciiTheme="minorHAnsi" w:eastAsiaTheme="minorEastAsia" w:hAnsiTheme="minorHAnsi" w:cstheme="minorBidi"/>
          <w:kern w:val="2"/>
          <w:sz w:val="24"/>
          <w:szCs w:val="24"/>
          <w14:ligatures w14:val="standardContextual"/>
        </w:rPr>
      </w:pPr>
      <w:r>
        <w:t>5.34.7.3</w:t>
      </w:r>
      <w:r>
        <w:rPr>
          <w:rFonts w:asciiTheme="minorHAnsi" w:eastAsiaTheme="minorEastAsia" w:hAnsiTheme="minorHAnsi" w:cstheme="minorBidi"/>
          <w:kern w:val="2"/>
          <w:sz w:val="24"/>
          <w:szCs w:val="24"/>
          <w14:ligatures w14:val="standardContextual"/>
        </w:rPr>
        <w:tab/>
      </w:r>
      <w:r>
        <w:t>AMF implicit subscription about events related with the PDU Session</w:t>
      </w:r>
      <w:r>
        <w:tab/>
      </w:r>
      <w:r>
        <w:fldChar w:fldCharType="begin" w:fldLock="1"/>
      </w:r>
      <w:r>
        <w:instrText xml:space="preserve"> PAGEREF _Toc201157630 \h </w:instrText>
      </w:r>
      <w:r>
        <w:fldChar w:fldCharType="separate"/>
      </w:r>
      <w:r>
        <w:t>487</w:t>
      </w:r>
      <w:r>
        <w:fldChar w:fldCharType="end"/>
      </w:r>
    </w:p>
    <w:p w14:paraId="127D73C6" w14:textId="63F5A400" w:rsidR="006C1B74" w:rsidRDefault="006C1B74">
      <w:pPr>
        <w:pStyle w:val="TOC3"/>
        <w:rPr>
          <w:rFonts w:asciiTheme="minorHAnsi" w:eastAsiaTheme="minorEastAsia" w:hAnsiTheme="minorHAnsi" w:cstheme="minorBidi"/>
          <w:kern w:val="2"/>
          <w:sz w:val="24"/>
          <w:szCs w:val="24"/>
          <w14:ligatures w14:val="standardContextual"/>
        </w:rPr>
      </w:pPr>
      <w:r>
        <w:t>5.34.8</w:t>
      </w:r>
      <w:r>
        <w:rPr>
          <w:rFonts w:asciiTheme="minorHAnsi" w:eastAsiaTheme="minorEastAsia" w:hAnsiTheme="minorHAnsi" w:cstheme="minorBidi"/>
          <w:kern w:val="2"/>
          <w:sz w:val="24"/>
          <w:szCs w:val="24"/>
          <w14:ligatures w14:val="standardContextual"/>
        </w:rPr>
        <w:tab/>
      </w:r>
      <w:r>
        <w:t>Support for Cellular IoT</w:t>
      </w:r>
      <w:r>
        <w:tab/>
      </w:r>
      <w:r>
        <w:fldChar w:fldCharType="begin" w:fldLock="1"/>
      </w:r>
      <w:r>
        <w:instrText xml:space="preserve"> PAGEREF _Toc201157631 \h </w:instrText>
      </w:r>
      <w:r>
        <w:fldChar w:fldCharType="separate"/>
      </w:r>
      <w:r>
        <w:t>487</w:t>
      </w:r>
      <w:r>
        <w:fldChar w:fldCharType="end"/>
      </w:r>
    </w:p>
    <w:p w14:paraId="71CF2DD2" w14:textId="5FE1368E" w:rsidR="006C1B74" w:rsidRDefault="006C1B74">
      <w:pPr>
        <w:pStyle w:val="TOC3"/>
        <w:rPr>
          <w:rFonts w:asciiTheme="minorHAnsi" w:eastAsiaTheme="minorEastAsia" w:hAnsiTheme="minorHAnsi" w:cstheme="minorBidi"/>
          <w:kern w:val="2"/>
          <w:sz w:val="24"/>
          <w:szCs w:val="24"/>
          <w14:ligatures w14:val="standardContextual"/>
        </w:rPr>
      </w:pPr>
      <w:r>
        <w:t>5.34.9</w:t>
      </w:r>
      <w:r>
        <w:rPr>
          <w:rFonts w:asciiTheme="minorHAnsi" w:eastAsiaTheme="minorEastAsia" w:hAnsiTheme="minorHAnsi" w:cstheme="minorBidi"/>
          <w:kern w:val="2"/>
          <w:sz w:val="24"/>
          <w:szCs w:val="24"/>
          <w14:ligatures w14:val="standardContextual"/>
        </w:rPr>
        <w:tab/>
      </w:r>
      <w:r>
        <w:t>Support of the Deployment Topologies with specific SMF Service Areas feature within and between PLMN(s)</w:t>
      </w:r>
      <w:r>
        <w:tab/>
      </w:r>
      <w:r>
        <w:fldChar w:fldCharType="begin" w:fldLock="1"/>
      </w:r>
      <w:r>
        <w:instrText xml:space="preserve"> PAGEREF _Toc201157632 \h </w:instrText>
      </w:r>
      <w:r>
        <w:fldChar w:fldCharType="separate"/>
      </w:r>
      <w:r>
        <w:t>487</w:t>
      </w:r>
      <w:r>
        <w:fldChar w:fldCharType="end"/>
      </w:r>
    </w:p>
    <w:p w14:paraId="341DC8A7" w14:textId="486871CC" w:rsidR="006C1B74" w:rsidRDefault="006C1B74">
      <w:pPr>
        <w:pStyle w:val="TOC3"/>
        <w:rPr>
          <w:rFonts w:asciiTheme="minorHAnsi" w:eastAsiaTheme="minorEastAsia" w:hAnsiTheme="minorHAnsi" w:cstheme="minorBidi"/>
          <w:kern w:val="2"/>
          <w:sz w:val="24"/>
          <w:szCs w:val="24"/>
          <w14:ligatures w14:val="standardContextual"/>
        </w:rPr>
      </w:pPr>
      <w:r>
        <w:t>5.34.10</w:t>
      </w:r>
      <w:r>
        <w:rPr>
          <w:rFonts w:asciiTheme="minorHAnsi" w:eastAsiaTheme="minorEastAsia" w:hAnsiTheme="minorHAnsi" w:cstheme="minorBidi"/>
          <w:kern w:val="2"/>
          <w:sz w:val="24"/>
          <w:szCs w:val="24"/>
          <w14:ligatures w14:val="standardContextual"/>
        </w:rPr>
        <w:tab/>
      </w:r>
      <w:r>
        <w:t>Support for 5G LAN-type service</w:t>
      </w:r>
      <w:r>
        <w:tab/>
      </w:r>
      <w:r>
        <w:fldChar w:fldCharType="begin" w:fldLock="1"/>
      </w:r>
      <w:r>
        <w:instrText xml:space="preserve"> PAGEREF _Toc201157633 \h </w:instrText>
      </w:r>
      <w:r>
        <w:fldChar w:fldCharType="separate"/>
      </w:r>
      <w:r>
        <w:t>488</w:t>
      </w:r>
      <w:r>
        <w:fldChar w:fldCharType="end"/>
      </w:r>
    </w:p>
    <w:p w14:paraId="75A76FC7" w14:textId="7F161241" w:rsidR="006C1B74" w:rsidRDefault="006C1B74">
      <w:pPr>
        <w:pStyle w:val="TOC2"/>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Support for Integrated access and backhaul (IAB)</w:t>
      </w:r>
      <w:r>
        <w:tab/>
      </w:r>
      <w:r>
        <w:fldChar w:fldCharType="begin" w:fldLock="1"/>
      </w:r>
      <w:r>
        <w:instrText xml:space="preserve"> PAGEREF _Toc201157634 \h </w:instrText>
      </w:r>
      <w:r>
        <w:fldChar w:fldCharType="separate"/>
      </w:r>
      <w:r>
        <w:t>488</w:t>
      </w:r>
      <w:r>
        <w:fldChar w:fldCharType="end"/>
      </w:r>
    </w:p>
    <w:p w14:paraId="33781F94" w14:textId="22B06DA1" w:rsidR="006C1B74" w:rsidRDefault="006C1B74">
      <w:pPr>
        <w:pStyle w:val="TOC3"/>
        <w:rPr>
          <w:rFonts w:asciiTheme="minorHAnsi" w:eastAsiaTheme="minorEastAsia" w:hAnsiTheme="minorHAnsi" w:cstheme="minorBidi"/>
          <w:kern w:val="2"/>
          <w:sz w:val="24"/>
          <w:szCs w:val="24"/>
          <w14:ligatures w14:val="standardContextual"/>
        </w:rPr>
      </w:pPr>
      <w:r>
        <w:t>5.35.1</w:t>
      </w:r>
      <w:r>
        <w:rPr>
          <w:rFonts w:asciiTheme="minorHAnsi" w:eastAsiaTheme="minorEastAsia" w:hAnsiTheme="minorHAnsi" w:cstheme="minorBidi"/>
          <w:kern w:val="2"/>
          <w:sz w:val="24"/>
          <w:szCs w:val="24"/>
          <w14:ligatures w14:val="standardContextual"/>
        </w:rPr>
        <w:tab/>
      </w:r>
      <w:r>
        <w:t>IAB architecture and functional entities</w:t>
      </w:r>
      <w:r>
        <w:tab/>
      </w:r>
      <w:r>
        <w:fldChar w:fldCharType="begin" w:fldLock="1"/>
      </w:r>
      <w:r>
        <w:instrText xml:space="preserve"> PAGEREF _Toc201157635 \h </w:instrText>
      </w:r>
      <w:r>
        <w:fldChar w:fldCharType="separate"/>
      </w:r>
      <w:r>
        <w:t>488</w:t>
      </w:r>
      <w:r>
        <w:fldChar w:fldCharType="end"/>
      </w:r>
    </w:p>
    <w:p w14:paraId="22603507" w14:textId="0BCB656C" w:rsidR="006C1B74" w:rsidRDefault="006C1B74">
      <w:pPr>
        <w:pStyle w:val="TOC3"/>
        <w:rPr>
          <w:rFonts w:asciiTheme="minorHAnsi" w:eastAsiaTheme="minorEastAsia" w:hAnsiTheme="minorHAnsi" w:cstheme="minorBidi"/>
          <w:kern w:val="2"/>
          <w:sz w:val="24"/>
          <w:szCs w:val="24"/>
          <w14:ligatures w14:val="standardContextual"/>
        </w:rPr>
      </w:pPr>
      <w:r>
        <w:t>5.35.2</w:t>
      </w:r>
      <w:r>
        <w:rPr>
          <w:rFonts w:asciiTheme="minorHAnsi" w:eastAsiaTheme="minorEastAsia" w:hAnsiTheme="minorHAnsi" w:cstheme="minorBidi"/>
          <w:kern w:val="2"/>
          <w:sz w:val="24"/>
          <w:szCs w:val="24"/>
          <w14:ligatures w14:val="standardContextual"/>
        </w:rPr>
        <w:tab/>
      </w:r>
      <w:r>
        <w:t>5G System enhancements to support IAB</w:t>
      </w:r>
      <w:r>
        <w:tab/>
      </w:r>
      <w:r>
        <w:fldChar w:fldCharType="begin" w:fldLock="1"/>
      </w:r>
      <w:r>
        <w:instrText xml:space="preserve"> PAGEREF _Toc201157636 \h </w:instrText>
      </w:r>
      <w:r>
        <w:fldChar w:fldCharType="separate"/>
      </w:r>
      <w:r>
        <w:t>489</w:t>
      </w:r>
      <w:r>
        <w:fldChar w:fldCharType="end"/>
      </w:r>
    </w:p>
    <w:p w14:paraId="5FDF133A" w14:textId="01F855B1" w:rsidR="006C1B74" w:rsidRDefault="006C1B74">
      <w:pPr>
        <w:pStyle w:val="TOC3"/>
        <w:rPr>
          <w:rFonts w:asciiTheme="minorHAnsi" w:eastAsiaTheme="minorEastAsia" w:hAnsiTheme="minorHAnsi" w:cstheme="minorBidi"/>
          <w:kern w:val="2"/>
          <w:sz w:val="24"/>
          <w:szCs w:val="24"/>
          <w14:ligatures w14:val="standardContextual"/>
        </w:rPr>
      </w:pPr>
      <w:r>
        <w:t>5.35.3</w:t>
      </w:r>
      <w:r>
        <w:rPr>
          <w:rFonts w:asciiTheme="minorHAnsi" w:eastAsiaTheme="minorEastAsia" w:hAnsiTheme="minorHAnsi" w:cstheme="minorBidi"/>
          <w:kern w:val="2"/>
          <w:sz w:val="24"/>
          <w:szCs w:val="24"/>
          <w14:ligatures w14:val="standardContextual"/>
        </w:rPr>
        <w:tab/>
      </w:r>
      <w:r>
        <w:t>Data handling and QoS support with IAB</w:t>
      </w:r>
      <w:r>
        <w:tab/>
      </w:r>
      <w:r>
        <w:fldChar w:fldCharType="begin" w:fldLock="1"/>
      </w:r>
      <w:r>
        <w:instrText xml:space="preserve"> PAGEREF _Toc201157637 \h </w:instrText>
      </w:r>
      <w:r>
        <w:fldChar w:fldCharType="separate"/>
      </w:r>
      <w:r>
        <w:t>490</w:t>
      </w:r>
      <w:r>
        <w:fldChar w:fldCharType="end"/>
      </w:r>
    </w:p>
    <w:p w14:paraId="0BF16F11" w14:textId="701D3CAF" w:rsidR="006C1B74" w:rsidRDefault="006C1B74">
      <w:pPr>
        <w:pStyle w:val="TOC3"/>
        <w:rPr>
          <w:rFonts w:asciiTheme="minorHAnsi" w:eastAsiaTheme="minorEastAsia" w:hAnsiTheme="minorHAnsi" w:cstheme="minorBidi"/>
          <w:kern w:val="2"/>
          <w:sz w:val="24"/>
          <w:szCs w:val="24"/>
          <w14:ligatures w14:val="standardContextual"/>
        </w:rPr>
      </w:pPr>
      <w:r>
        <w:t>5.35.4</w:t>
      </w:r>
      <w:r>
        <w:rPr>
          <w:rFonts w:asciiTheme="minorHAnsi" w:eastAsiaTheme="minorEastAsia" w:hAnsiTheme="minorHAnsi" w:cstheme="minorBidi"/>
          <w:kern w:val="2"/>
          <w:sz w:val="24"/>
          <w:szCs w:val="24"/>
          <w14:ligatures w14:val="standardContextual"/>
        </w:rPr>
        <w:tab/>
      </w:r>
      <w:r>
        <w:t>Mobility support with IAB</w:t>
      </w:r>
      <w:r>
        <w:tab/>
      </w:r>
      <w:r>
        <w:fldChar w:fldCharType="begin" w:fldLock="1"/>
      </w:r>
      <w:r>
        <w:instrText xml:space="preserve"> PAGEREF _Toc201157638 \h </w:instrText>
      </w:r>
      <w:r>
        <w:fldChar w:fldCharType="separate"/>
      </w:r>
      <w:r>
        <w:t>490</w:t>
      </w:r>
      <w:r>
        <w:fldChar w:fldCharType="end"/>
      </w:r>
    </w:p>
    <w:p w14:paraId="483E8E3B" w14:textId="50CCFCFB" w:rsidR="006C1B74" w:rsidRDefault="006C1B74">
      <w:pPr>
        <w:pStyle w:val="TOC3"/>
        <w:rPr>
          <w:rFonts w:asciiTheme="minorHAnsi" w:eastAsiaTheme="minorEastAsia" w:hAnsiTheme="minorHAnsi" w:cstheme="minorBidi"/>
          <w:kern w:val="2"/>
          <w:sz w:val="24"/>
          <w:szCs w:val="24"/>
          <w14:ligatures w14:val="standardContextual"/>
        </w:rPr>
      </w:pPr>
      <w:r>
        <w:t>5.35.5</w:t>
      </w:r>
      <w:r>
        <w:rPr>
          <w:rFonts w:asciiTheme="minorHAnsi" w:eastAsiaTheme="minorEastAsia" w:hAnsiTheme="minorHAnsi" w:cstheme="minorBidi"/>
          <w:kern w:val="2"/>
          <w:sz w:val="24"/>
          <w:szCs w:val="24"/>
          <w14:ligatures w14:val="standardContextual"/>
        </w:rPr>
        <w:tab/>
      </w:r>
      <w:r>
        <w:t>Charging support with IAB</w:t>
      </w:r>
      <w:r>
        <w:tab/>
      </w:r>
      <w:r>
        <w:fldChar w:fldCharType="begin" w:fldLock="1"/>
      </w:r>
      <w:r>
        <w:instrText xml:space="preserve"> PAGEREF _Toc201157639 \h </w:instrText>
      </w:r>
      <w:r>
        <w:fldChar w:fldCharType="separate"/>
      </w:r>
      <w:r>
        <w:t>490</w:t>
      </w:r>
      <w:r>
        <w:fldChar w:fldCharType="end"/>
      </w:r>
    </w:p>
    <w:p w14:paraId="22E349F9" w14:textId="1B55618F" w:rsidR="006C1B74" w:rsidRDefault="006C1B74">
      <w:pPr>
        <w:pStyle w:val="TOC3"/>
        <w:rPr>
          <w:rFonts w:asciiTheme="minorHAnsi" w:eastAsiaTheme="minorEastAsia" w:hAnsiTheme="minorHAnsi" w:cstheme="minorBidi"/>
          <w:kern w:val="2"/>
          <w:sz w:val="24"/>
          <w:szCs w:val="24"/>
          <w14:ligatures w14:val="standardContextual"/>
        </w:rPr>
      </w:pPr>
      <w:r>
        <w:t>5.35.6</w:t>
      </w:r>
      <w:r>
        <w:rPr>
          <w:rFonts w:asciiTheme="minorHAnsi" w:eastAsiaTheme="minorEastAsia" w:hAnsiTheme="minorHAnsi" w:cstheme="minorBidi"/>
          <w:kern w:val="2"/>
          <w:sz w:val="24"/>
          <w:szCs w:val="24"/>
          <w14:ligatures w14:val="standardContextual"/>
        </w:rPr>
        <w:tab/>
      </w:r>
      <w:r>
        <w:t>IAB operation involving EPC</w:t>
      </w:r>
      <w:r>
        <w:tab/>
      </w:r>
      <w:r>
        <w:fldChar w:fldCharType="begin" w:fldLock="1"/>
      </w:r>
      <w:r>
        <w:instrText xml:space="preserve"> PAGEREF _Toc201157640 \h </w:instrText>
      </w:r>
      <w:r>
        <w:fldChar w:fldCharType="separate"/>
      </w:r>
      <w:r>
        <w:t>490</w:t>
      </w:r>
      <w:r>
        <w:fldChar w:fldCharType="end"/>
      </w:r>
    </w:p>
    <w:p w14:paraId="04999573" w14:textId="65B52F41" w:rsidR="006C1B74" w:rsidRDefault="006C1B74">
      <w:pPr>
        <w:pStyle w:val="TOC2"/>
        <w:rPr>
          <w:rFonts w:asciiTheme="minorHAnsi" w:eastAsiaTheme="minorEastAsia" w:hAnsiTheme="minorHAnsi" w:cstheme="minorBidi"/>
          <w:kern w:val="2"/>
          <w:sz w:val="24"/>
          <w:szCs w:val="24"/>
          <w14:ligatures w14:val="standardContextual"/>
        </w:rPr>
      </w:pPr>
      <w:r>
        <w:t>5.35A</w:t>
      </w:r>
      <w:r>
        <w:rPr>
          <w:rFonts w:asciiTheme="minorHAnsi" w:eastAsiaTheme="minorEastAsia" w:hAnsiTheme="minorHAnsi" w:cstheme="minorBidi"/>
          <w:kern w:val="2"/>
          <w:sz w:val="24"/>
          <w:szCs w:val="24"/>
          <w14:ligatures w14:val="standardContextual"/>
        </w:rPr>
        <w:tab/>
      </w:r>
      <w:r>
        <w:t>Support for Mobile Base Station Relay (MBSR)</w:t>
      </w:r>
      <w:r>
        <w:tab/>
      </w:r>
      <w:r>
        <w:fldChar w:fldCharType="begin" w:fldLock="1"/>
      </w:r>
      <w:r>
        <w:instrText xml:space="preserve"> PAGEREF _Toc201157641 \h </w:instrText>
      </w:r>
      <w:r>
        <w:fldChar w:fldCharType="separate"/>
      </w:r>
      <w:r>
        <w:t>491</w:t>
      </w:r>
      <w:r>
        <w:fldChar w:fldCharType="end"/>
      </w:r>
    </w:p>
    <w:p w14:paraId="130714E7" w14:textId="16B3060D" w:rsidR="006C1B74" w:rsidRDefault="006C1B74">
      <w:pPr>
        <w:pStyle w:val="TOC3"/>
        <w:rPr>
          <w:rFonts w:asciiTheme="minorHAnsi" w:eastAsiaTheme="minorEastAsia" w:hAnsiTheme="minorHAnsi" w:cstheme="minorBidi"/>
          <w:kern w:val="2"/>
          <w:sz w:val="24"/>
          <w:szCs w:val="24"/>
          <w14:ligatures w14:val="standardContextual"/>
        </w:rPr>
      </w:pPr>
      <w:r>
        <w:t>5.35A.1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_Toc201157642 \h </w:instrText>
      </w:r>
      <w:r>
        <w:fldChar w:fldCharType="separate"/>
      </w:r>
      <w:r>
        <w:t>491</w:t>
      </w:r>
      <w:r>
        <w:fldChar w:fldCharType="end"/>
      </w:r>
    </w:p>
    <w:p w14:paraId="11B99745" w14:textId="29F97C43" w:rsidR="006C1B74" w:rsidRDefault="006C1B74">
      <w:pPr>
        <w:pStyle w:val="TOC3"/>
        <w:rPr>
          <w:rFonts w:asciiTheme="minorHAnsi" w:eastAsiaTheme="minorEastAsia" w:hAnsiTheme="minorHAnsi" w:cstheme="minorBidi"/>
          <w:kern w:val="2"/>
          <w:sz w:val="24"/>
          <w:szCs w:val="24"/>
          <w14:ligatures w14:val="standardContextual"/>
        </w:rPr>
      </w:pPr>
      <w:r>
        <w:t>5.35A.2</w:t>
      </w:r>
      <w:r>
        <w:rPr>
          <w:rFonts w:asciiTheme="minorHAnsi" w:eastAsiaTheme="minorEastAsia" w:hAnsiTheme="minorHAnsi" w:cstheme="minorBidi"/>
          <w:kern w:val="2"/>
          <w:sz w:val="24"/>
          <w:szCs w:val="24"/>
          <w14:ligatures w14:val="standardContextual"/>
        </w:rPr>
        <w:tab/>
      </w:r>
      <w:r>
        <w:t xml:space="preserve"> Configuration of the MBSR</w:t>
      </w:r>
      <w:r>
        <w:tab/>
      </w:r>
      <w:r>
        <w:fldChar w:fldCharType="begin" w:fldLock="1"/>
      </w:r>
      <w:r>
        <w:instrText xml:space="preserve"> PAGEREF _Toc201157643 \h </w:instrText>
      </w:r>
      <w:r>
        <w:fldChar w:fldCharType="separate"/>
      </w:r>
      <w:r>
        <w:t>491</w:t>
      </w:r>
      <w:r>
        <w:fldChar w:fldCharType="end"/>
      </w:r>
    </w:p>
    <w:p w14:paraId="17ECF222" w14:textId="71BBB685" w:rsidR="006C1B74" w:rsidRDefault="006C1B74">
      <w:pPr>
        <w:pStyle w:val="TOC3"/>
        <w:rPr>
          <w:rFonts w:asciiTheme="minorHAnsi" w:eastAsiaTheme="minorEastAsia" w:hAnsiTheme="minorHAnsi" w:cstheme="minorBidi"/>
          <w:kern w:val="2"/>
          <w:sz w:val="24"/>
          <w:szCs w:val="24"/>
          <w14:ligatures w14:val="standardContextual"/>
        </w:rPr>
      </w:pPr>
      <w:r>
        <w:t>5.35A.3</w:t>
      </w:r>
      <w:r>
        <w:rPr>
          <w:rFonts w:asciiTheme="minorHAnsi" w:eastAsiaTheme="minorEastAsia" w:hAnsiTheme="minorHAnsi" w:cstheme="minorBidi"/>
          <w:kern w:val="2"/>
          <w:sz w:val="24"/>
          <w:szCs w:val="24"/>
          <w14:ligatures w14:val="standardContextual"/>
        </w:rPr>
        <w:tab/>
      </w:r>
      <w:r>
        <w:t>Mobility support of UEs served by MBSR</w:t>
      </w:r>
      <w:r>
        <w:tab/>
      </w:r>
      <w:r>
        <w:fldChar w:fldCharType="begin" w:fldLock="1"/>
      </w:r>
      <w:r>
        <w:instrText xml:space="preserve"> PAGEREF _Toc201157644 \h </w:instrText>
      </w:r>
      <w:r>
        <w:fldChar w:fldCharType="separate"/>
      </w:r>
      <w:r>
        <w:t>492</w:t>
      </w:r>
      <w:r>
        <w:fldChar w:fldCharType="end"/>
      </w:r>
    </w:p>
    <w:p w14:paraId="7811C170" w14:textId="238E92D8" w:rsidR="006C1B74" w:rsidRDefault="006C1B74">
      <w:pPr>
        <w:pStyle w:val="TOC4"/>
        <w:rPr>
          <w:rFonts w:asciiTheme="minorHAnsi" w:eastAsiaTheme="minorEastAsia" w:hAnsiTheme="minorHAnsi" w:cstheme="minorBidi"/>
          <w:kern w:val="2"/>
          <w:sz w:val="24"/>
          <w:szCs w:val="24"/>
          <w14:ligatures w14:val="standardContextual"/>
        </w:rPr>
      </w:pPr>
      <w:r>
        <w:t>5.35A.3.1</w:t>
      </w:r>
      <w:r>
        <w:rPr>
          <w:rFonts w:asciiTheme="minorHAnsi" w:eastAsiaTheme="minorEastAsia" w:hAnsiTheme="minorHAnsi" w:cstheme="minorBidi"/>
          <w:kern w:val="2"/>
          <w:sz w:val="24"/>
          <w:szCs w:val="24"/>
          <w14:ligatures w14:val="standardContextual"/>
        </w:rPr>
        <w:tab/>
      </w:r>
      <w:r>
        <w:t>UE mobility between a fixed cell and MBSR cell</w:t>
      </w:r>
      <w:r>
        <w:tab/>
      </w:r>
      <w:r>
        <w:fldChar w:fldCharType="begin" w:fldLock="1"/>
      </w:r>
      <w:r>
        <w:instrText xml:space="preserve"> PAGEREF _Toc201157645 \h </w:instrText>
      </w:r>
      <w:r>
        <w:fldChar w:fldCharType="separate"/>
      </w:r>
      <w:r>
        <w:t>492</w:t>
      </w:r>
      <w:r>
        <w:fldChar w:fldCharType="end"/>
      </w:r>
    </w:p>
    <w:p w14:paraId="5C36E3A4" w14:textId="0E5E1275" w:rsidR="006C1B74" w:rsidRDefault="006C1B74">
      <w:pPr>
        <w:pStyle w:val="TOC4"/>
        <w:rPr>
          <w:rFonts w:asciiTheme="minorHAnsi" w:eastAsiaTheme="minorEastAsia" w:hAnsiTheme="minorHAnsi" w:cstheme="minorBidi"/>
          <w:kern w:val="2"/>
          <w:sz w:val="24"/>
          <w:szCs w:val="24"/>
          <w14:ligatures w14:val="standardContextual"/>
        </w:rPr>
      </w:pPr>
      <w:r>
        <w:t>5.35A.3.2</w:t>
      </w:r>
      <w:r>
        <w:rPr>
          <w:rFonts w:asciiTheme="minorHAnsi" w:eastAsiaTheme="minorEastAsia" w:hAnsiTheme="minorHAnsi" w:cstheme="minorBidi"/>
          <w:kern w:val="2"/>
          <w:sz w:val="24"/>
          <w:szCs w:val="24"/>
          <w14:ligatures w14:val="standardContextual"/>
        </w:rPr>
        <w:tab/>
      </w:r>
      <w:r>
        <w:t>UE mobility between MBSR cells</w:t>
      </w:r>
      <w:r>
        <w:tab/>
      </w:r>
      <w:r>
        <w:fldChar w:fldCharType="begin" w:fldLock="1"/>
      </w:r>
      <w:r>
        <w:instrText xml:space="preserve"> PAGEREF _Toc201157646 \h </w:instrText>
      </w:r>
      <w:r>
        <w:fldChar w:fldCharType="separate"/>
      </w:r>
      <w:r>
        <w:t>492</w:t>
      </w:r>
      <w:r>
        <w:fldChar w:fldCharType="end"/>
      </w:r>
    </w:p>
    <w:p w14:paraId="40C7F174" w14:textId="319BF449" w:rsidR="006C1B74" w:rsidRDefault="006C1B74">
      <w:pPr>
        <w:pStyle w:val="TOC4"/>
        <w:rPr>
          <w:rFonts w:asciiTheme="minorHAnsi" w:eastAsiaTheme="minorEastAsia" w:hAnsiTheme="minorHAnsi" w:cstheme="minorBidi"/>
          <w:kern w:val="2"/>
          <w:sz w:val="24"/>
          <w:szCs w:val="24"/>
          <w14:ligatures w14:val="standardContextual"/>
        </w:rPr>
      </w:pPr>
      <w:r>
        <w:t>5.35A.3.3</w:t>
      </w:r>
      <w:r>
        <w:rPr>
          <w:rFonts w:asciiTheme="minorHAnsi" w:eastAsiaTheme="minorEastAsia" w:hAnsiTheme="minorHAnsi" w:cstheme="minorBidi"/>
          <w:kern w:val="2"/>
          <w:sz w:val="24"/>
          <w:szCs w:val="24"/>
          <w14:ligatures w14:val="standardContextual"/>
        </w:rPr>
        <w:tab/>
      </w:r>
      <w:r>
        <w:t>UE mobility when moving together with a MBSR cell</w:t>
      </w:r>
      <w:r>
        <w:tab/>
      </w:r>
      <w:r>
        <w:fldChar w:fldCharType="begin" w:fldLock="1"/>
      </w:r>
      <w:r>
        <w:instrText xml:space="preserve"> PAGEREF _Toc201157647 \h </w:instrText>
      </w:r>
      <w:r>
        <w:fldChar w:fldCharType="separate"/>
      </w:r>
      <w:r>
        <w:t>492</w:t>
      </w:r>
      <w:r>
        <w:fldChar w:fldCharType="end"/>
      </w:r>
    </w:p>
    <w:p w14:paraId="5186D80A" w14:textId="68DFB1B4" w:rsidR="006C1B74" w:rsidRDefault="006C1B74">
      <w:pPr>
        <w:pStyle w:val="TOC4"/>
        <w:rPr>
          <w:rFonts w:asciiTheme="minorHAnsi" w:eastAsiaTheme="minorEastAsia" w:hAnsiTheme="minorHAnsi" w:cstheme="minorBidi"/>
          <w:kern w:val="2"/>
          <w:sz w:val="24"/>
          <w:szCs w:val="24"/>
          <w14:ligatures w14:val="standardContextual"/>
        </w:rPr>
      </w:pPr>
      <w:r>
        <w:t>5.35A.3.4</w:t>
      </w:r>
      <w:r>
        <w:rPr>
          <w:rFonts w:asciiTheme="minorHAnsi" w:eastAsiaTheme="minorEastAsia" w:hAnsiTheme="minorHAnsi" w:cstheme="minorBidi"/>
          <w:kern w:val="2"/>
          <w:sz w:val="24"/>
          <w:szCs w:val="24"/>
          <w14:ligatures w14:val="standardContextual"/>
        </w:rPr>
        <w:tab/>
      </w:r>
      <w:r>
        <w:t>MBSR mobility</w:t>
      </w:r>
      <w:r>
        <w:tab/>
      </w:r>
      <w:r>
        <w:fldChar w:fldCharType="begin" w:fldLock="1"/>
      </w:r>
      <w:r>
        <w:instrText xml:space="preserve"> PAGEREF _Toc201157648 \h </w:instrText>
      </w:r>
      <w:r>
        <w:fldChar w:fldCharType="separate"/>
      </w:r>
      <w:r>
        <w:t>492</w:t>
      </w:r>
      <w:r>
        <w:fldChar w:fldCharType="end"/>
      </w:r>
    </w:p>
    <w:p w14:paraId="3D1ADCDD" w14:textId="765B2A21" w:rsidR="006C1B74" w:rsidRDefault="006C1B74">
      <w:pPr>
        <w:pStyle w:val="TOC3"/>
        <w:rPr>
          <w:rFonts w:asciiTheme="minorHAnsi" w:eastAsiaTheme="minorEastAsia" w:hAnsiTheme="minorHAnsi" w:cstheme="minorBidi"/>
          <w:kern w:val="2"/>
          <w:sz w:val="24"/>
          <w:szCs w:val="24"/>
          <w14:ligatures w14:val="standardContextual"/>
        </w:rPr>
      </w:pPr>
      <w:r>
        <w:t>5.35A.4</w:t>
      </w:r>
      <w:r>
        <w:rPr>
          <w:rFonts w:asciiTheme="minorHAnsi" w:eastAsiaTheme="minorEastAsia" w:hAnsiTheme="minorHAnsi" w:cstheme="minorBidi"/>
          <w:kern w:val="2"/>
          <w:sz w:val="24"/>
          <w:szCs w:val="24"/>
          <w14:ligatures w14:val="standardContextual"/>
        </w:rPr>
        <w:tab/>
      </w:r>
      <w:r>
        <w:t>MBSR authorization</w:t>
      </w:r>
      <w:r>
        <w:tab/>
      </w:r>
      <w:r>
        <w:fldChar w:fldCharType="begin" w:fldLock="1"/>
      </w:r>
      <w:r>
        <w:instrText xml:space="preserve"> PAGEREF _Toc201157649 \h </w:instrText>
      </w:r>
      <w:r>
        <w:fldChar w:fldCharType="separate"/>
      </w:r>
      <w:r>
        <w:t>493</w:t>
      </w:r>
      <w:r>
        <w:fldChar w:fldCharType="end"/>
      </w:r>
    </w:p>
    <w:p w14:paraId="4A97CCF9" w14:textId="05F8DEC5" w:rsidR="006C1B74" w:rsidRDefault="006C1B74">
      <w:pPr>
        <w:pStyle w:val="TOC3"/>
        <w:rPr>
          <w:rFonts w:asciiTheme="minorHAnsi" w:eastAsiaTheme="minorEastAsia" w:hAnsiTheme="minorHAnsi" w:cstheme="minorBidi"/>
          <w:kern w:val="2"/>
          <w:sz w:val="24"/>
          <w:szCs w:val="24"/>
          <w14:ligatures w14:val="standardContextual"/>
        </w:rPr>
      </w:pPr>
      <w:r>
        <w:t>5.35A.5</w:t>
      </w:r>
      <w:r>
        <w:rPr>
          <w:rFonts w:asciiTheme="minorHAnsi" w:eastAsiaTheme="minorEastAsia" w:hAnsiTheme="minorHAnsi" w:cstheme="minorBidi"/>
          <w:kern w:val="2"/>
          <w:sz w:val="24"/>
          <w:szCs w:val="24"/>
          <w14:ligatures w14:val="standardContextual"/>
        </w:rPr>
        <w:tab/>
      </w:r>
      <w:r>
        <w:t>Location Service Support of UEs served by MBSR</w:t>
      </w:r>
      <w:r>
        <w:tab/>
      </w:r>
      <w:r>
        <w:fldChar w:fldCharType="begin" w:fldLock="1"/>
      </w:r>
      <w:r>
        <w:instrText xml:space="preserve"> PAGEREF _Toc201157650 \h </w:instrText>
      </w:r>
      <w:r>
        <w:fldChar w:fldCharType="separate"/>
      </w:r>
      <w:r>
        <w:t>494</w:t>
      </w:r>
      <w:r>
        <w:fldChar w:fldCharType="end"/>
      </w:r>
    </w:p>
    <w:p w14:paraId="3C9F3942" w14:textId="4490834D" w:rsidR="006C1B74" w:rsidRDefault="006C1B74">
      <w:pPr>
        <w:pStyle w:val="TOC3"/>
        <w:rPr>
          <w:rFonts w:asciiTheme="minorHAnsi" w:eastAsiaTheme="minorEastAsia" w:hAnsiTheme="minorHAnsi" w:cstheme="minorBidi"/>
          <w:kern w:val="2"/>
          <w:sz w:val="24"/>
          <w:szCs w:val="24"/>
          <w14:ligatures w14:val="standardContextual"/>
        </w:rPr>
      </w:pPr>
      <w:r>
        <w:t>5.35A.6</w:t>
      </w:r>
      <w:r>
        <w:rPr>
          <w:rFonts w:asciiTheme="minorHAnsi" w:eastAsiaTheme="minorEastAsia" w:hAnsiTheme="minorHAnsi" w:cstheme="minorBidi"/>
          <w:kern w:val="2"/>
          <w:sz w:val="24"/>
          <w:szCs w:val="24"/>
          <w14:ligatures w14:val="standardContextual"/>
        </w:rPr>
        <w:tab/>
      </w:r>
      <w:r>
        <w:t>Providing cell ID/TAC of MBSR for services</w:t>
      </w:r>
      <w:r>
        <w:tab/>
      </w:r>
      <w:r>
        <w:fldChar w:fldCharType="begin" w:fldLock="1"/>
      </w:r>
      <w:r>
        <w:instrText xml:space="preserve"> PAGEREF _Toc201157651 \h </w:instrText>
      </w:r>
      <w:r>
        <w:fldChar w:fldCharType="separate"/>
      </w:r>
      <w:r>
        <w:t>494</w:t>
      </w:r>
      <w:r>
        <w:fldChar w:fldCharType="end"/>
      </w:r>
    </w:p>
    <w:p w14:paraId="436479C9" w14:textId="2C8DF420" w:rsidR="006C1B74" w:rsidRDefault="006C1B74">
      <w:pPr>
        <w:pStyle w:val="TOC3"/>
        <w:rPr>
          <w:rFonts w:asciiTheme="minorHAnsi" w:eastAsiaTheme="minorEastAsia" w:hAnsiTheme="minorHAnsi" w:cstheme="minorBidi"/>
          <w:kern w:val="2"/>
          <w:sz w:val="24"/>
          <w:szCs w:val="24"/>
          <w14:ligatures w14:val="standardContextual"/>
        </w:rPr>
      </w:pPr>
      <w:r>
        <w:t>5.35A.7</w:t>
      </w:r>
      <w:r>
        <w:rPr>
          <w:rFonts w:asciiTheme="minorHAnsi" w:eastAsiaTheme="minorEastAsia" w:hAnsiTheme="minorHAnsi" w:cstheme="minorBidi"/>
          <w:kern w:val="2"/>
          <w:sz w:val="24"/>
          <w:szCs w:val="24"/>
          <w14:ligatures w14:val="standardContextual"/>
        </w:rPr>
        <w:tab/>
      </w:r>
      <w:r>
        <w:t>Control of UE access to MBSR</w:t>
      </w:r>
      <w:r>
        <w:tab/>
      </w:r>
      <w:r>
        <w:fldChar w:fldCharType="begin" w:fldLock="1"/>
      </w:r>
      <w:r>
        <w:instrText xml:space="preserve"> PAGEREF _Toc201157652 \h </w:instrText>
      </w:r>
      <w:r>
        <w:fldChar w:fldCharType="separate"/>
      </w:r>
      <w:r>
        <w:t>494</w:t>
      </w:r>
      <w:r>
        <w:fldChar w:fldCharType="end"/>
      </w:r>
    </w:p>
    <w:p w14:paraId="00A0E193" w14:textId="16CD3A63" w:rsidR="006C1B74" w:rsidRDefault="006C1B74">
      <w:pPr>
        <w:pStyle w:val="TOC2"/>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RIM Information Transfer</w:t>
      </w:r>
      <w:r>
        <w:tab/>
      </w:r>
      <w:r>
        <w:fldChar w:fldCharType="begin" w:fldLock="1"/>
      </w:r>
      <w:r>
        <w:instrText xml:space="preserve"> PAGEREF _Toc201157653 \h </w:instrText>
      </w:r>
      <w:r>
        <w:fldChar w:fldCharType="separate"/>
      </w:r>
      <w:r>
        <w:t>495</w:t>
      </w:r>
      <w:r>
        <w:fldChar w:fldCharType="end"/>
      </w:r>
    </w:p>
    <w:p w14:paraId="36FA77CE" w14:textId="249D64F4" w:rsidR="006C1B74" w:rsidRDefault="006C1B74">
      <w:pPr>
        <w:pStyle w:val="TOC2"/>
        <w:rPr>
          <w:rFonts w:asciiTheme="minorHAnsi" w:eastAsiaTheme="minorEastAsia" w:hAnsiTheme="minorHAnsi" w:cstheme="minorBidi"/>
          <w:kern w:val="2"/>
          <w:sz w:val="24"/>
          <w:szCs w:val="24"/>
          <w14:ligatures w14:val="standardContextual"/>
        </w:rPr>
      </w:pPr>
      <w:r>
        <w:t>5.37</w:t>
      </w:r>
      <w:r>
        <w:rPr>
          <w:rFonts w:asciiTheme="minorHAnsi" w:eastAsiaTheme="minorEastAsia" w:hAnsiTheme="minorHAnsi" w:cstheme="minorBidi"/>
          <w:kern w:val="2"/>
          <w:sz w:val="24"/>
          <w:szCs w:val="24"/>
          <w14:ligatures w14:val="standardContextual"/>
        </w:rPr>
        <w:tab/>
      </w:r>
      <w:r>
        <w:t>Support for high data rate low latency services, eXtended Reality (XR) and interactive media services</w:t>
      </w:r>
      <w:r>
        <w:tab/>
      </w:r>
      <w:r>
        <w:fldChar w:fldCharType="begin" w:fldLock="1"/>
      </w:r>
      <w:r>
        <w:instrText xml:space="preserve"> PAGEREF _Toc201157654 \h </w:instrText>
      </w:r>
      <w:r>
        <w:fldChar w:fldCharType="separate"/>
      </w:r>
      <w:r>
        <w:t>495</w:t>
      </w:r>
      <w:r>
        <w:fldChar w:fldCharType="end"/>
      </w:r>
    </w:p>
    <w:p w14:paraId="41D2E48A" w14:textId="7E6A521A" w:rsidR="006C1B74" w:rsidRDefault="006C1B74">
      <w:pPr>
        <w:pStyle w:val="TOC3"/>
        <w:rPr>
          <w:rFonts w:asciiTheme="minorHAnsi" w:eastAsiaTheme="minorEastAsia" w:hAnsiTheme="minorHAnsi" w:cstheme="minorBidi"/>
          <w:kern w:val="2"/>
          <w:sz w:val="24"/>
          <w:szCs w:val="24"/>
          <w14:ligatures w14:val="standardContextual"/>
        </w:rPr>
      </w:pPr>
      <w:r>
        <w:t>5.37.1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_Toc201157655 \h </w:instrText>
      </w:r>
      <w:r>
        <w:fldChar w:fldCharType="separate"/>
      </w:r>
      <w:r>
        <w:t>495</w:t>
      </w:r>
      <w:r>
        <w:fldChar w:fldCharType="end"/>
      </w:r>
    </w:p>
    <w:p w14:paraId="52966B1B" w14:textId="1757ED65" w:rsidR="006C1B74" w:rsidRDefault="006C1B74">
      <w:pPr>
        <w:pStyle w:val="TOC3"/>
        <w:rPr>
          <w:rFonts w:asciiTheme="minorHAnsi" w:eastAsiaTheme="minorEastAsia" w:hAnsiTheme="minorHAnsi" w:cstheme="minorBidi"/>
          <w:kern w:val="2"/>
          <w:sz w:val="24"/>
          <w:szCs w:val="24"/>
          <w14:ligatures w14:val="standardContextual"/>
        </w:rPr>
      </w:pPr>
      <w:r>
        <w:t>5.37.2</w:t>
      </w:r>
      <w:r>
        <w:rPr>
          <w:rFonts w:asciiTheme="minorHAnsi" w:eastAsiaTheme="minorEastAsia" w:hAnsiTheme="minorHAnsi" w:cstheme="minorBidi"/>
          <w:kern w:val="2"/>
          <w:sz w:val="24"/>
          <w:szCs w:val="24"/>
          <w14:ligatures w14:val="standardContextual"/>
        </w:rPr>
        <w:tab/>
      </w:r>
      <w:r>
        <w:t>Policy control enhancements to support multi-modal services</w:t>
      </w:r>
      <w:r>
        <w:tab/>
      </w:r>
      <w:r>
        <w:fldChar w:fldCharType="begin" w:fldLock="1"/>
      </w:r>
      <w:r>
        <w:instrText xml:space="preserve"> PAGEREF _Toc201157656 \h </w:instrText>
      </w:r>
      <w:r>
        <w:fldChar w:fldCharType="separate"/>
      </w:r>
      <w:r>
        <w:t>495</w:t>
      </w:r>
      <w:r>
        <w:fldChar w:fldCharType="end"/>
      </w:r>
    </w:p>
    <w:p w14:paraId="6F97D701" w14:textId="08522E2E" w:rsidR="006C1B74" w:rsidRDefault="006C1B74">
      <w:pPr>
        <w:pStyle w:val="TOC3"/>
        <w:rPr>
          <w:rFonts w:asciiTheme="minorHAnsi" w:eastAsiaTheme="minorEastAsia" w:hAnsiTheme="minorHAnsi" w:cstheme="minorBidi"/>
          <w:kern w:val="2"/>
          <w:sz w:val="24"/>
          <w:szCs w:val="24"/>
          <w14:ligatures w14:val="standardContextual"/>
        </w:rPr>
      </w:pPr>
      <w:r>
        <w:t>5.37.3</w:t>
      </w:r>
      <w:r>
        <w:rPr>
          <w:rFonts w:asciiTheme="minorHAnsi" w:eastAsiaTheme="minorEastAsia" w:hAnsiTheme="minorHAnsi" w:cstheme="minorBidi"/>
          <w:kern w:val="2"/>
          <w:sz w:val="24"/>
          <w:szCs w:val="24"/>
          <w14:ligatures w14:val="standardContextual"/>
        </w:rPr>
        <w:tab/>
      </w:r>
      <w:r>
        <w:t>Support of ECN marking for L4S to expose the congestion information</w:t>
      </w:r>
      <w:r>
        <w:tab/>
      </w:r>
      <w:r>
        <w:fldChar w:fldCharType="begin" w:fldLock="1"/>
      </w:r>
      <w:r>
        <w:instrText xml:space="preserve"> PAGEREF _Toc201157657 \h </w:instrText>
      </w:r>
      <w:r>
        <w:fldChar w:fldCharType="separate"/>
      </w:r>
      <w:r>
        <w:t>496</w:t>
      </w:r>
      <w:r>
        <w:fldChar w:fldCharType="end"/>
      </w:r>
    </w:p>
    <w:p w14:paraId="2F20264B" w14:textId="2D74332C" w:rsidR="006C1B74" w:rsidRDefault="006C1B74">
      <w:pPr>
        <w:pStyle w:val="TOC4"/>
        <w:rPr>
          <w:rFonts w:asciiTheme="minorHAnsi" w:eastAsiaTheme="minorEastAsia" w:hAnsiTheme="minorHAnsi" w:cstheme="minorBidi"/>
          <w:kern w:val="2"/>
          <w:sz w:val="24"/>
          <w:szCs w:val="24"/>
          <w14:ligatures w14:val="standardContextual"/>
        </w:rPr>
      </w:pPr>
      <w:r>
        <w:t>5.37.3.1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_Toc201157658 \h </w:instrText>
      </w:r>
      <w:r>
        <w:fldChar w:fldCharType="separate"/>
      </w:r>
      <w:r>
        <w:t>496</w:t>
      </w:r>
      <w:r>
        <w:fldChar w:fldCharType="end"/>
      </w:r>
    </w:p>
    <w:p w14:paraId="7F69D87E" w14:textId="32ABB18B" w:rsidR="006C1B74" w:rsidRDefault="006C1B74">
      <w:pPr>
        <w:pStyle w:val="TOC4"/>
        <w:rPr>
          <w:rFonts w:asciiTheme="minorHAnsi" w:eastAsiaTheme="minorEastAsia" w:hAnsiTheme="minorHAnsi" w:cstheme="minorBidi"/>
          <w:kern w:val="2"/>
          <w:sz w:val="24"/>
          <w:szCs w:val="24"/>
          <w14:ligatures w14:val="standardContextual"/>
        </w:rPr>
      </w:pPr>
      <w:r>
        <w:t>5.37.3.2</w:t>
      </w:r>
      <w:r>
        <w:rPr>
          <w:rFonts w:asciiTheme="minorHAnsi" w:eastAsiaTheme="minorEastAsia" w:hAnsiTheme="minorHAnsi" w:cstheme="minorBidi"/>
          <w:kern w:val="2"/>
          <w:sz w:val="24"/>
          <w:szCs w:val="24"/>
          <w14:ligatures w14:val="standardContextual"/>
        </w:rPr>
        <w:tab/>
      </w:r>
      <w:r>
        <w:t>Support of ECN marking for L4S in NG-RAN</w:t>
      </w:r>
      <w:r>
        <w:tab/>
      </w:r>
      <w:r>
        <w:fldChar w:fldCharType="begin" w:fldLock="1"/>
      </w:r>
      <w:r>
        <w:instrText xml:space="preserve"> PAGEREF _Toc201157659 \h </w:instrText>
      </w:r>
      <w:r>
        <w:fldChar w:fldCharType="separate"/>
      </w:r>
      <w:r>
        <w:t>497</w:t>
      </w:r>
      <w:r>
        <w:fldChar w:fldCharType="end"/>
      </w:r>
    </w:p>
    <w:p w14:paraId="1AA36465" w14:textId="7F26446A" w:rsidR="006C1B74" w:rsidRDefault="006C1B74">
      <w:pPr>
        <w:pStyle w:val="TOC4"/>
        <w:rPr>
          <w:rFonts w:asciiTheme="minorHAnsi" w:eastAsiaTheme="minorEastAsia" w:hAnsiTheme="minorHAnsi" w:cstheme="minorBidi"/>
          <w:kern w:val="2"/>
          <w:sz w:val="24"/>
          <w:szCs w:val="24"/>
          <w14:ligatures w14:val="standardContextual"/>
        </w:rPr>
      </w:pPr>
      <w:r>
        <w:t>5.37.3.3</w:t>
      </w:r>
      <w:r>
        <w:rPr>
          <w:rFonts w:asciiTheme="minorHAnsi" w:eastAsiaTheme="minorEastAsia" w:hAnsiTheme="minorHAnsi" w:cstheme="minorBidi"/>
          <w:kern w:val="2"/>
          <w:sz w:val="24"/>
          <w:szCs w:val="24"/>
          <w14:ligatures w14:val="standardContextual"/>
        </w:rPr>
        <w:tab/>
      </w:r>
      <w:r>
        <w:t>Support of ECN marking for L4S in PSA UPF</w:t>
      </w:r>
      <w:r>
        <w:tab/>
      </w:r>
      <w:r>
        <w:fldChar w:fldCharType="begin" w:fldLock="1"/>
      </w:r>
      <w:r>
        <w:instrText xml:space="preserve"> PAGEREF _Toc201157660 \h </w:instrText>
      </w:r>
      <w:r>
        <w:fldChar w:fldCharType="separate"/>
      </w:r>
      <w:r>
        <w:t>497</w:t>
      </w:r>
      <w:r>
        <w:fldChar w:fldCharType="end"/>
      </w:r>
    </w:p>
    <w:p w14:paraId="094F2BAB" w14:textId="21015925" w:rsidR="006C1B74" w:rsidRDefault="006C1B74">
      <w:pPr>
        <w:pStyle w:val="TOC3"/>
        <w:rPr>
          <w:rFonts w:asciiTheme="minorHAnsi" w:eastAsiaTheme="minorEastAsia" w:hAnsiTheme="minorHAnsi" w:cstheme="minorBidi"/>
          <w:kern w:val="2"/>
          <w:sz w:val="24"/>
          <w:szCs w:val="24"/>
          <w14:ligatures w14:val="standardContextual"/>
        </w:rPr>
      </w:pPr>
      <w:r>
        <w:t>5.37.4</w:t>
      </w:r>
      <w:r>
        <w:rPr>
          <w:rFonts w:asciiTheme="minorHAnsi" w:eastAsiaTheme="minorEastAsia" w:hAnsiTheme="minorHAnsi" w:cstheme="minorBidi"/>
          <w:kern w:val="2"/>
          <w:sz w:val="24"/>
          <w:szCs w:val="24"/>
          <w14:ligatures w14:val="standardContextual"/>
        </w:rPr>
        <w:tab/>
      </w:r>
      <w:r>
        <w:t>Network Exposure of 5GS information</w:t>
      </w:r>
      <w:r>
        <w:tab/>
      </w:r>
      <w:r>
        <w:fldChar w:fldCharType="begin" w:fldLock="1"/>
      </w:r>
      <w:r>
        <w:instrText xml:space="preserve"> PAGEREF _Toc201157661 \h </w:instrText>
      </w:r>
      <w:r>
        <w:fldChar w:fldCharType="separate"/>
      </w:r>
      <w:r>
        <w:t>498</w:t>
      </w:r>
      <w:r>
        <w:fldChar w:fldCharType="end"/>
      </w:r>
    </w:p>
    <w:p w14:paraId="3D4B02B5" w14:textId="448901F1" w:rsidR="006C1B74" w:rsidRDefault="006C1B74">
      <w:pPr>
        <w:pStyle w:val="TOC3"/>
        <w:rPr>
          <w:rFonts w:asciiTheme="minorHAnsi" w:eastAsiaTheme="minorEastAsia" w:hAnsiTheme="minorHAnsi" w:cstheme="minorBidi"/>
          <w:kern w:val="2"/>
          <w:sz w:val="24"/>
          <w:szCs w:val="24"/>
          <w14:ligatures w14:val="standardContextual"/>
        </w:rPr>
      </w:pPr>
      <w:r>
        <w:t>5.37.5</w:t>
      </w:r>
      <w:r>
        <w:rPr>
          <w:rFonts w:asciiTheme="minorHAnsi" w:eastAsiaTheme="minorEastAsia" w:hAnsiTheme="minorHAnsi" w:cstheme="minorBidi"/>
          <w:kern w:val="2"/>
          <w:sz w:val="24"/>
          <w:szCs w:val="24"/>
          <w14:ligatures w14:val="standardContextual"/>
        </w:rPr>
        <w:tab/>
      </w:r>
      <w:r>
        <w:t>PDU Set based Handling</w:t>
      </w:r>
      <w:r>
        <w:tab/>
      </w:r>
      <w:r>
        <w:fldChar w:fldCharType="begin" w:fldLock="1"/>
      </w:r>
      <w:r>
        <w:instrText xml:space="preserve"> PAGEREF _Toc201157662 \h </w:instrText>
      </w:r>
      <w:r>
        <w:fldChar w:fldCharType="separate"/>
      </w:r>
      <w:r>
        <w:t>498</w:t>
      </w:r>
      <w:r>
        <w:fldChar w:fldCharType="end"/>
      </w:r>
    </w:p>
    <w:p w14:paraId="01B3AD74" w14:textId="4CE41314" w:rsidR="006C1B74" w:rsidRDefault="006C1B74">
      <w:pPr>
        <w:pStyle w:val="TOC4"/>
        <w:rPr>
          <w:rFonts w:asciiTheme="minorHAnsi" w:eastAsiaTheme="minorEastAsia" w:hAnsiTheme="minorHAnsi" w:cstheme="minorBidi"/>
          <w:kern w:val="2"/>
          <w:sz w:val="24"/>
          <w:szCs w:val="24"/>
          <w14:ligatures w14:val="standardContextual"/>
        </w:rPr>
      </w:pPr>
      <w:r>
        <w:t>5.37.5.1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_Toc201157663 \h </w:instrText>
      </w:r>
      <w:r>
        <w:fldChar w:fldCharType="separate"/>
      </w:r>
      <w:r>
        <w:t>498</w:t>
      </w:r>
      <w:r>
        <w:fldChar w:fldCharType="end"/>
      </w:r>
    </w:p>
    <w:p w14:paraId="6511EA7E" w14:textId="7D29CC5C" w:rsidR="006C1B74" w:rsidRDefault="006C1B74">
      <w:pPr>
        <w:pStyle w:val="TOC4"/>
        <w:rPr>
          <w:rFonts w:asciiTheme="minorHAnsi" w:eastAsiaTheme="minorEastAsia" w:hAnsiTheme="minorHAnsi" w:cstheme="minorBidi"/>
          <w:kern w:val="2"/>
          <w:sz w:val="24"/>
          <w:szCs w:val="24"/>
          <w14:ligatures w14:val="standardContextual"/>
        </w:rPr>
      </w:pPr>
      <w:r>
        <w:t>5.37.5.2</w:t>
      </w:r>
      <w:r>
        <w:rPr>
          <w:rFonts w:asciiTheme="minorHAnsi" w:eastAsiaTheme="minorEastAsia" w:hAnsiTheme="minorHAnsi" w:cstheme="minorBidi"/>
          <w:kern w:val="2"/>
          <w:sz w:val="24"/>
          <w:szCs w:val="24"/>
          <w14:ligatures w14:val="standardContextual"/>
        </w:rPr>
        <w:tab/>
      </w:r>
      <w:r>
        <w:t>PDU Set Information and Identification</w:t>
      </w:r>
      <w:r>
        <w:tab/>
      </w:r>
      <w:r>
        <w:fldChar w:fldCharType="begin" w:fldLock="1"/>
      </w:r>
      <w:r>
        <w:instrText xml:space="preserve"> PAGEREF _Toc201157664 \h </w:instrText>
      </w:r>
      <w:r>
        <w:fldChar w:fldCharType="separate"/>
      </w:r>
      <w:r>
        <w:t>500</w:t>
      </w:r>
      <w:r>
        <w:fldChar w:fldCharType="end"/>
      </w:r>
    </w:p>
    <w:p w14:paraId="7B5DDC2F" w14:textId="14D4729A" w:rsidR="006C1B74" w:rsidRDefault="006C1B74">
      <w:pPr>
        <w:pStyle w:val="TOC4"/>
        <w:rPr>
          <w:rFonts w:asciiTheme="minorHAnsi" w:eastAsiaTheme="minorEastAsia" w:hAnsiTheme="minorHAnsi" w:cstheme="minorBidi"/>
          <w:kern w:val="2"/>
          <w:sz w:val="24"/>
          <w:szCs w:val="24"/>
          <w14:ligatures w14:val="standardContextual"/>
        </w:rPr>
      </w:pPr>
      <w:r>
        <w:t>5.37.5.3</w:t>
      </w:r>
      <w:r>
        <w:rPr>
          <w:rFonts w:asciiTheme="minorHAnsi" w:eastAsiaTheme="minorEastAsia" w:hAnsiTheme="minorHAnsi" w:cstheme="minorBidi"/>
          <w:kern w:val="2"/>
          <w:sz w:val="24"/>
          <w:szCs w:val="24"/>
          <w14:ligatures w14:val="standardContextual"/>
        </w:rPr>
        <w:tab/>
      </w:r>
      <w:r>
        <w:t>Non-homogenous support of PDU set based handling in NG-RAN</w:t>
      </w:r>
      <w:r>
        <w:tab/>
      </w:r>
      <w:r>
        <w:fldChar w:fldCharType="begin" w:fldLock="1"/>
      </w:r>
      <w:r>
        <w:instrText xml:space="preserve"> PAGEREF _Toc201157665 \h </w:instrText>
      </w:r>
      <w:r>
        <w:fldChar w:fldCharType="separate"/>
      </w:r>
      <w:r>
        <w:t>500</w:t>
      </w:r>
      <w:r>
        <w:fldChar w:fldCharType="end"/>
      </w:r>
    </w:p>
    <w:p w14:paraId="5AD4E3F2" w14:textId="287DEA74" w:rsidR="006C1B74" w:rsidRDefault="006C1B74">
      <w:pPr>
        <w:pStyle w:val="TOC3"/>
        <w:rPr>
          <w:rFonts w:asciiTheme="minorHAnsi" w:eastAsiaTheme="minorEastAsia" w:hAnsiTheme="minorHAnsi" w:cstheme="minorBidi"/>
          <w:kern w:val="2"/>
          <w:sz w:val="24"/>
          <w:szCs w:val="24"/>
          <w14:ligatures w14:val="standardContextual"/>
        </w:rPr>
      </w:pPr>
      <w:r>
        <w:t>5.37.6</w:t>
      </w:r>
      <w:r>
        <w:rPr>
          <w:rFonts w:asciiTheme="minorHAnsi" w:eastAsiaTheme="minorEastAsia" w:hAnsiTheme="minorHAnsi" w:cstheme="minorBidi"/>
          <w:kern w:val="2"/>
          <w:sz w:val="24"/>
          <w:szCs w:val="24"/>
          <w14:ligatures w14:val="standardContextual"/>
        </w:rPr>
        <w:tab/>
      </w:r>
      <w:r>
        <w:t>UL/DL policy control based on round-trip latency requirement</w:t>
      </w:r>
      <w:r>
        <w:tab/>
      </w:r>
      <w:r>
        <w:fldChar w:fldCharType="begin" w:fldLock="1"/>
      </w:r>
      <w:r>
        <w:instrText xml:space="preserve"> PAGEREF _Toc201157666 \h </w:instrText>
      </w:r>
      <w:r>
        <w:fldChar w:fldCharType="separate"/>
      </w:r>
      <w:r>
        <w:t>501</w:t>
      </w:r>
      <w:r>
        <w:fldChar w:fldCharType="end"/>
      </w:r>
    </w:p>
    <w:p w14:paraId="343991E8" w14:textId="2B828BCE" w:rsidR="006C1B74" w:rsidRDefault="006C1B74">
      <w:pPr>
        <w:pStyle w:val="TOC3"/>
        <w:rPr>
          <w:rFonts w:asciiTheme="minorHAnsi" w:eastAsiaTheme="minorEastAsia" w:hAnsiTheme="minorHAnsi" w:cstheme="minorBidi"/>
          <w:kern w:val="2"/>
          <w:sz w:val="24"/>
          <w:szCs w:val="24"/>
          <w14:ligatures w14:val="standardContextual"/>
        </w:rPr>
      </w:pPr>
      <w:r>
        <w:t>5.37.7</w:t>
      </w:r>
      <w:r>
        <w:rPr>
          <w:rFonts w:asciiTheme="minorHAnsi" w:eastAsiaTheme="minorEastAsia" w:hAnsiTheme="minorHAnsi" w:cstheme="minorBidi"/>
          <w:kern w:val="2"/>
          <w:sz w:val="24"/>
          <w:szCs w:val="24"/>
          <w14:ligatures w14:val="standardContextual"/>
        </w:rPr>
        <w:tab/>
      </w:r>
      <w:r>
        <w:t>5GS Packet Delay Variation monitoring and reporting</w:t>
      </w:r>
      <w:r>
        <w:tab/>
      </w:r>
      <w:r>
        <w:fldChar w:fldCharType="begin" w:fldLock="1"/>
      </w:r>
      <w:r>
        <w:instrText xml:space="preserve"> PAGEREF _Toc201157667 \h </w:instrText>
      </w:r>
      <w:r>
        <w:fldChar w:fldCharType="separate"/>
      </w:r>
      <w:r>
        <w:t>501</w:t>
      </w:r>
      <w:r>
        <w:fldChar w:fldCharType="end"/>
      </w:r>
    </w:p>
    <w:p w14:paraId="1F9F46B4" w14:textId="66950E36" w:rsidR="006C1B74" w:rsidRDefault="006C1B74">
      <w:pPr>
        <w:pStyle w:val="TOC4"/>
        <w:rPr>
          <w:rFonts w:asciiTheme="minorHAnsi" w:eastAsiaTheme="minorEastAsia" w:hAnsiTheme="minorHAnsi" w:cstheme="minorBidi"/>
          <w:kern w:val="2"/>
          <w:sz w:val="24"/>
          <w:szCs w:val="24"/>
          <w14:ligatures w14:val="standardContextual"/>
        </w:rPr>
      </w:pPr>
      <w:r>
        <w:t>5.37.7.1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_Toc201157668 \h </w:instrText>
      </w:r>
      <w:r>
        <w:fldChar w:fldCharType="separate"/>
      </w:r>
      <w:r>
        <w:t>501</w:t>
      </w:r>
      <w:r>
        <w:fldChar w:fldCharType="end"/>
      </w:r>
    </w:p>
    <w:p w14:paraId="3C681D90" w14:textId="4CD85B48" w:rsidR="006C1B74" w:rsidRDefault="006C1B74">
      <w:pPr>
        <w:pStyle w:val="TOC3"/>
        <w:rPr>
          <w:rFonts w:asciiTheme="minorHAnsi" w:eastAsiaTheme="minorEastAsia" w:hAnsiTheme="minorHAnsi" w:cstheme="minorBidi"/>
          <w:kern w:val="2"/>
          <w:sz w:val="24"/>
          <w:szCs w:val="24"/>
          <w14:ligatures w14:val="standardContextual"/>
        </w:rPr>
      </w:pPr>
      <w:r>
        <w:t>5.37.8</w:t>
      </w:r>
      <w:r>
        <w:rPr>
          <w:rFonts w:asciiTheme="minorHAnsi" w:eastAsiaTheme="minorEastAsia" w:hAnsiTheme="minorHAnsi" w:cstheme="minorBidi"/>
          <w:kern w:val="2"/>
          <w:sz w:val="24"/>
          <w:szCs w:val="24"/>
          <w14:ligatures w14:val="standardContextual"/>
        </w:rPr>
        <w:tab/>
      </w:r>
      <w:r>
        <w:t>UE power saving management</w:t>
      </w:r>
      <w:r>
        <w:tab/>
      </w:r>
      <w:r>
        <w:fldChar w:fldCharType="begin" w:fldLock="1"/>
      </w:r>
      <w:r>
        <w:instrText xml:space="preserve"> PAGEREF _Toc201157669 \h </w:instrText>
      </w:r>
      <w:r>
        <w:fldChar w:fldCharType="separate"/>
      </w:r>
      <w:r>
        <w:t>501</w:t>
      </w:r>
      <w:r>
        <w:fldChar w:fldCharType="end"/>
      </w:r>
    </w:p>
    <w:p w14:paraId="014303AB" w14:textId="13C1C1B2" w:rsidR="006C1B74" w:rsidRDefault="006C1B74">
      <w:pPr>
        <w:pStyle w:val="TOC4"/>
        <w:rPr>
          <w:rFonts w:asciiTheme="minorHAnsi" w:eastAsiaTheme="minorEastAsia" w:hAnsiTheme="minorHAnsi" w:cstheme="minorBidi"/>
          <w:kern w:val="2"/>
          <w:sz w:val="24"/>
          <w:szCs w:val="24"/>
          <w14:ligatures w14:val="standardContextual"/>
        </w:rPr>
      </w:pPr>
      <w:r>
        <w:t>5.37.8.1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_Toc201157670 \h </w:instrText>
      </w:r>
      <w:r>
        <w:fldChar w:fldCharType="separate"/>
      </w:r>
      <w:r>
        <w:t>501</w:t>
      </w:r>
      <w:r>
        <w:fldChar w:fldCharType="end"/>
      </w:r>
    </w:p>
    <w:p w14:paraId="02F06F3F" w14:textId="0EC0DB25" w:rsidR="006C1B74" w:rsidRDefault="006C1B74">
      <w:pPr>
        <w:pStyle w:val="TOC4"/>
        <w:rPr>
          <w:rFonts w:asciiTheme="minorHAnsi" w:eastAsiaTheme="minorEastAsia" w:hAnsiTheme="minorHAnsi" w:cstheme="minorBidi"/>
          <w:kern w:val="2"/>
          <w:sz w:val="24"/>
          <w:szCs w:val="24"/>
          <w14:ligatures w14:val="standardContextual"/>
        </w:rPr>
      </w:pPr>
      <w:r>
        <w:t>5.37.8.2</w:t>
      </w:r>
      <w:r>
        <w:rPr>
          <w:rFonts w:asciiTheme="minorHAnsi" w:eastAsiaTheme="minorEastAsia" w:hAnsiTheme="minorHAnsi" w:cstheme="minorBidi"/>
          <w:kern w:val="2"/>
          <w:sz w:val="24"/>
          <w:szCs w:val="24"/>
          <w14:ligatures w14:val="standardContextual"/>
        </w:rPr>
        <w:tab/>
      </w:r>
      <w:r>
        <w:t>Periodicity and N6 Jitter Information associated with Periodicity</w:t>
      </w:r>
      <w:r>
        <w:tab/>
      </w:r>
      <w:r>
        <w:fldChar w:fldCharType="begin" w:fldLock="1"/>
      </w:r>
      <w:r>
        <w:instrText xml:space="preserve"> PAGEREF _Toc201157671 \h </w:instrText>
      </w:r>
      <w:r>
        <w:fldChar w:fldCharType="separate"/>
      </w:r>
      <w:r>
        <w:t>502</w:t>
      </w:r>
      <w:r>
        <w:fldChar w:fldCharType="end"/>
      </w:r>
    </w:p>
    <w:p w14:paraId="5CE8793C" w14:textId="212EF959" w:rsidR="006C1B74" w:rsidRDefault="006C1B74">
      <w:pPr>
        <w:pStyle w:val="TOC4"/>
        <w:rPr>
          <w:rFonts w:asciiTheme="minorHAnsi" w:eastAsiaTheme="minorEastAsia" w:hAnsiTheme="minorHAnsi" w:cstheme="minorBidi"/>
          <w:kern w:val="2"/>
          <w:sz w:val="24"/>
          <w:szCs w:val="24"/>
          <w14:ligatures w14:val="standardContextual"/>
        </w:rPr>
      </w:pPr>
      <w:r>
        <w:t>5.37.8.3</w:t>
      </w:r>
      <w:r>
        <w:rPr>
          <w:rFonts w:asciiTheme="minorHAnsi" w:eastAsiaTheme="minorEastAsia" w:hAnsiTheme="minorHAnsi" w:cstheme="minorBidi"/>
          <w:kern w:val="2"/>
          <w:sz w:val="24"/>
          <w:szCs w:val="24"/>
          <w14:ligatures w14:val="standardContextual"/>
        </w:rPr>
        <w:tab/>
      </w:r>
      <w:r>
        <w:t>End of Data Burst Indication</w:t>
      </w:r>
      <w:r>
        <w:tab/>
      </w:r>
      <w:r>
        <w:fldChar w:fldCharType="begin" w:fldLock="1"/>
      </w:r>
      <w:r>
        <w:instrText xml:space="preserve"> PAGEREF _Toc201157672 \h </w:instrText>
      </w:r>
      <w:r>
        <w:fldChar w:fldCharType="separate"/>
      </w:r>
      <w:r>
        <w:t>502</w:t>
      </w:r>
      <w:r>
        <w:fldChar w:fldCharType="end"/>
      </w:r>
    </w:p>
    <w:p w14:paraId="5D7FE4B9" w14:textId="55DD4B20" w:rsidR="006C1B74" w:rsidRDefault="006C1B74">
      <w:pPr>
        <w:pStyle w:val="TOC2"/>
        <w:rPr>
          <w:rFonts w:asciiTheme="minorHAnsi" w:eastAsiaTheme="minorEastAsia" w:hAnsiTheme="minorHAnsi" w:cstheme="minorBidi"/>
          <w:kern w:val="2"/>
          <w:sz w:val="24"/>
          <w:szCs w:val="24"/>
          <w14:ligatures w14:val="standardContextual"/>
        </w:rPr>
      </w:pPr>
      <w:r>
        <w:t>5.38</w:t>
      </w:r>
      <w:r>
        <w:rPr>
          <w:rFonts w:asciiTheme="minorHAnsi" w:eastAsiaTheme="minorEastAsia" w:hAnsiTheme="minorHAnsi" w:cstheme="minorBidi"/>
          <w:kern w:val="2"/>
          <w:sz w:val="24"/>
          <w:szCs w:val="24"/>
          <w14:ligatures w14:val="standardContextual"/>
        </w:rPr>
        <w:tab/>
      </w:r>
      <w:r>
        <w:t>Support for Multi-USIM UE</w:t>
      </w:r>
      <w:r>
        <w:tab/>
      </w:r>
      <w:r>
        <w:fldChar w:fldCharType="begin" w:fldLock="1"/>
      </w:r>
      <w:r>
        <w:instrText xml:space="preserve"> PAGEREF _Toc201157673 \h </w:instrText>
      </w:r>
      <w:r>
        <w:fldChar w:fldCharType="separate"/>
      </w:r>
      <w:r>
        <w:t>503</w:t>
      </w:r>
      <w:r>
        <w:fldChar w:fldCharType="end"/>
      </w:r>
    </w:p>
    <w:p w14:paraId="0E766A59" w14:textId="4160A9DC" w:rsidR="006C1B74" w:rsidRDefault="006C1B74">
      <w:pPr>
        <w:pStyle w:val="TOC3"/>
        <w:rPr>
          <w:rFonts w:asciiTheme="minorHAnsi" w:eastAsiaTheme="minorEastAsia" w:hAnsiTheme="minorHAnsi" w:cstheme="minorBidi"/>
          <w:kern w:val="2"/>
          <w:sz w:val="24"/>
          <w:szCs w:val="24"/>
          <w14:ligatures w14:val="standardContextual"/>
        </w:rPr>
      </w:pPr>
      <w:r>
        <w:t>5.38.1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_Toc201157674 \h </w:instrText>
      </w:r>
      <w:r>
        <w:fldChar w:fldCharType="separate"/>
      </w:r>
      <w:r>
        <w:t>503</w:t>
      </w:r>
      <w:r>
        <w:fldChar w:fldCharType="end"/>
      </w:r>
    </w:p>
    <w:p w14:paraId="6FDA8357" w14:textId="7FC600A9" w:rsidR="006C1B74" w:rsidRDefault="006C1B74">
      <w:pPr>
        <w:pStyle w:val="TOC3"/>
        <w:rPr>
          <w:rFonts w:asciiTheme="minorHAnsi" w:eastAsiaTheme="minorEastAsia" w:hAnsiTheme="minorHAnsi" w:cstheme="minorBidi"/>
          <w:kern w:val="2"/>
          <w:sz w:val="24"/>
          <w:szCs w:val="24"/>
          <w14:ligatures w14:val="standardContextual"/>
        </w:rPr>
      </w:pPr>
      <w:r>
        <w:t>5.38.2</w:t>
      </w:r>
      <w:r>
        <w:rPr>
          <w:rFonts w:asciiTheme="minorHAnsi" w:eastAsiaTheme="minorEastAsia" w:hAnsiTheme="minorHAnsi" w:cstheme="minorBidi"/>
          <w:kern w:val="2"/>
          <w:sz w:val="24"/>
          <w:szCs w:val="24"/>
          <w14:ligatures w14:val="standardContextual"/>
        </w:rPr>
        <w:tab/>
      </w:r>
      <w:r>
        <w:t>Connection Release</w:t>
      </w:r>
      <w:r>
        <w:tab/>
      </w:r>
      <w:r>
        <w:fldChar w:fldCharType="begin" w:fldLock="1"/>
      </w:r>
      <w:r>
        <w:instrText xml:space="preserve"> PAGEREF _Toc201157675 \h </w:instrText>
      </w:r>
      <w:r>
        <w:fldChar w:fldCharType="separate"/>
      </w:r>
      <w:r>
        <w:t>503</w:t>
      </w:r>
      <w:r>
        <w:fldChar w:fldCharType="end"/>
      </w:r>
    </w:p>
    <w:p w14:paraId="2CED847D" w14:textId="46574466" w:rsidR="006C1B74" w:rsidRDefault="006C1B74">
      <w:pPr>
        <w:pStyle w:val="TOC3"/>
        <w:rPr>
          <w:rFonts w:asciiTheme="minorHAnsi" w:eastAsiaTheme="minorEastAsia" w:hAnsiTheme="minorHAnsi" w:cstheme="minorBidi"/>
          <w:kern w:val="2"/>
          <w:sz w:val="24"/>
          <w:szCs w:val="24"/>
          <w14:ligatures w14:val="standardContextual"/>
        </w:rPr>
      </w:pPr>
      <w:r>
        <w:t>5.38.3</w:t>
      </w:r>
      <w:r>
        <w:rPr>
          <w:rFonts w:asciiTheme="minorHAnsi" w:eastAsiaTheme="minorEastAsia" w:hAnsiTheme="minorHAnsi" w:cstheme="minorBidi"/>
          <w:kern w:val="2"/>
          <w:sz w:val="24"/>
          <w:szCs w:val="24"/>
          <w14:ligatures w14:val="standardContextual"/>
        </w:rPr>
        <w:tab/>
      </w:r>
      <w:r>
        <w:t>Paging Cause Indication for Voice Service</w:t>
      </w:r>
      <w:r>
        <w:tab/>
      </w:r>
      <w:r>
        <w:fldChar w:fldCharType="begin" w:fldLock="1"/>
      </w:r>
      <w:r>
        <w:instrText xml:space="preserve"> PAGEREF _Toc201157676 \h </w:instrText>
      </w:r>
      <w:r>
        <w:fldChar w:fldCharType="separate"/>
      </w:r>
      <w:r>
        <w:t>504</w:t>
      </w:r>
      <w:r>
        <w:fldChar w:fldCharType="end"/>
      </w:r>
    </w:p>
    <w:p w14:paraId="2F0067D5" w14:textId="194F0F94" w:rsidR="006C1B74" w:rsidRDefault="006C1B74">
      <w:pPr>
        <w:pStyle w:val="TOC3"/>
        <w:rPr>
          <w:rFonts w:asciiTheme="minorHAnsi" w:eastAsiaTheme="minorEastAsia" w:hAnsiTheme="minorHAnsi" w:cstheme="minorBidi"/>
          <w:kern w:val="2"/>
          <w:sz w:val="24"/>
          <w:szCs w:val="24"/>
          <w14:ligatures w14:val="standardContextual"/>
        </w:rPr>
      </w:pPr>
      <w:r>
        <w:t>5.38.4</w:t>
      </w:r>
      <w:r>
        <w:rPr>
          <w:rFonts w:asciiTheme="minorHAnsi" w:eastAsiaTheme="minorEastAsia" w:hAnsiTheme="minorHAnsi" w:cstheme="minorBidi"/>
          <w:kern w:val="2"/>
          <w:sz w:val="24"/>
          <w:szCs w:val="24"/>
          <w14:ligatures w14:val="standardContextual"/>
        </w:rPr>
        <w:tab/>
      </w:r>
      <w:r>
        <w:t>Reject Paging Request</w:t>
      </w:r>
      <w:r>
        <w:tab/>
      </w:r>
      <w:r>
        <w:fldChar w:fldCharType="begin" w:fldLock="1"/>
      </w:r>
      <w:r>
        <w:instrText xml:space="preserve"> PAGEREF _Toc201157677 \h </w:instrText>
      </w:r>
      <w:r>
        <w:fldChar w:fldCharType="separate"/>
      </w:r>
      <w:r>
        <w:t>504</w:t>
      </w:r>
      <w:r>
        <w:fldChar w:fldCharType="end"/>
      </w:r>
    </w:p>
    <w:p w14:paraId="3D9C279A" w14:textId="2132FA56" w:rsidR="006C1B74" w:rsidRDefault="006C1B74">
      <w:pPr>
        <w:pStyle w:val="TOC3"/>
        <w:rPr>
          <w:rFonts w:asciiTheme="minorHAnsi" w:eastAsiaTheme="minorEastAsia" w:hAnsiTheme="minorHAnsi" w:cstheme="minorBidi"/>
          <w:kern w:val="2"/>
          <w:sz w:val="24"/>
          <w:szCs w:val="24"/>
          <w14:ligatures w14:val="standardContextual"/>
        </w:rPr>
      </w:pPr>
      <w:r>
        <w:t>5.38.5</w:t>
      </w:r>
      <w:r>
        <w:rPr>
          <w:rFonts w:asciiTheme="minorHAnsi" w:eastAsiaTheme="minorEastAsia" w:hAnsiTheme="minorHAnsi" w:cstheme="minorBidi"/>
          <w:kern w:val="2"/>
          <w:sz w:val="24"/>
          <w:szCs w:val="24"/>
          <w14:ligatures w14:val="standardContextual"/>
        </w:rPr>
        <w:tab/>
      </w:r>
      <w:r>
        <w:t>Paging Restriction</w:t>
      </w:r>
      <w:r>
        <w:tab/>
      </w:r>
      <w:r>
        <w:fldChar w:fldCharType="begin" w:fldLock="1"/>
      </w:r>
      <w:r>
        <w:instrText xml:space="preserve"> PAGEREF _Toc201157678 \h </w:instrText>
      </w:r>
      <w:r>
        <w:fldChar w:fldCharType="separate"/>
      </w:r>
      <w:r>
        <w:t>504</w:t>
      </w:r>
      <w:r>
        <w:fldChar w:fldCharType="end"/>
      </w:r>
    </w:p>
    <w:p w14:paraId="2AA814E4" w14:textId="4A9E0985" w:rsidR="006C1B74" w:rsidRDefault="006C1B74">
      <w:pPr>
        <w:pStyle w:val="TOC3"/>
        <w:rPr>
          <w:rFonts w:asciiTheme="minorHAnsi" w:eastAsiaTheme="minorEastAsia" w:hAnsiTheme="minorHAnsi" w:cstheme="minorBidi"/>
          <w:kern w:val="2"/>
          <w:sz w:val="24"/>
          <w:szCs w:val="24"/>
          <w14:ligatures w14:val="standardContextual"/>
        </w:rPr>
      </w:pPr>
      <w:r>
        <w:lastRenderedPageBreak/>
        <w:t>5.38.6</w:t>
      </w:r>
      <w:r>
        <w:rPr>
          <w:rFonts w:asciiTheme="minorHAnsi" w:eastAsiaTheme="minorEastAsia" w:hAnsiTheme="minorHAnsi" w:cstheme="minorBidi"/>
          <w:kern w:val="2"/>
          <w:sz w:val="24"/>
          <w:szCs w:val="24"/>
          <w14:ligatures w14:val="standardContextual"/>
        </w:rPr>
        <w:tab/>
      </w:r>
      <w:r>
        <w:t>Paging Timing Collision Control</w:t>
      </w:r>
      <w:r>
        <w:tab/>
      </w:r>
      <w:r>
        <w:fldChar w:fldCharType="begin" w:fldLock="1"/>
      </w:r>
      <w:r>
        <w:instrText xml:space="preserve"> PAGEREF _Toc201157679 \h </w:instrText>
      </w:r>
      <w:r>
        <w:fldChar w:fldCharType="separate"/>
      </w:r>
      <w:r>
        <w:t>505</w:t>
      </w:r>
      <w:r>
        <w:fldChar w:fldCharType="end"/>
      </w:r>
    </w:p>
    <w:p w14:paraId="0D362F6B" w14:textId="0C02A11A" w:rsidR="006C1B74" w:rsidRDefault="006C1B74">
      <w:pPr>
        <w:pStyle w:val="TOC2"/>
        <w:rPr>
          <w:rFonts w:asciiTheme="minorHAnsi" w:eastAsiaTheme="minorEastAsia" w:hAnsiTheme="minorHAnsi" w:cstheme="minorBidi"/>
          <w:kern w:val="2"/>
          <w:sz w:val="24"/>
          <w:szCs w:val="24"/>
          <w14:ligatures w14:val="standardContextual"/>
        </w:rPr>
      </w:pPr>
      <w:r>
        <w:t>5.39</w:t>
      </w:r>
      <w:r>
        <w:rPr>
          <w:rFonts w:asciiTheme="minorHAnsi" w:eastAsiaTheme="minorEastAsia" w:hAnsiTheme="minorHAnsi" w:cstheme="minorBidi"/>
          <w:kern w:val="2"/>
          <w:sz w:val="24"/>
          <w:szCs w:val="24"/>
          <w14:ligatures w14:val="standardContextual"/>
        </w:rPr>
        <w:tab/>
      </w:r>
      <w:r>
        <w:t>Remote provisioning of credentials for NSSAA or secondary authentication/authorization</w:t>
      </w:r>
      <w:r>
        <w:tab/>
      </w:r>
      <w:r>
        <w:fldChar w:fldCharType="begin" w:fldLock="1"/>
      </w:r>
      <w:r>
        <w:instrText xml:space="preserve"> PAGEREF _Toc201157680 \h </w:instrText>
      </w:r>
      <w:r>
        <w:fldChar w:fldCharType="separate"/>
      </w:r>
      <w:r>
        <w:t>505</w:t>
      </w:r>
      <w:r>
        <w:fldChar w:fldCharType="end"/>
      </w:r>
    </w:p>
    <w:p w14:paraId="72C5E55F" w14:textId="79C03130" w:rsidR="006C1B74" w:rsidRDefault="006C1B74">
      <w:pPr>
        <w:pStyle w:val="TOC3"/>
        <w:rPr>
          <w:rFonts w:asciiTheme="minorHAnsi" w:eastAsiaTheme="minorEastAsia" w:hAnsiTheme="minorHAnsi" w:cstheme="minorBidi"/>
          <w:kern w:val="2"/>
          <w:sz w:val="24"/>
          <w:szCs w:val="24"/>
          <w14:ligatures w14:val="standardContextual"/>
        </w:rPr>
      </w:pPr>
      <w:r>
        <w:t>5.39.1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_Toc201157681 \h </w:instrText>
      </w:r>
      <w:r>
        <w:fldChar w:fldCharType="separate"/>
      </w:r>
      <w:r>
        <w:t>505</w:t>
      </w:r>
      <w:r>
        <w:fldChar w:fldCharType="end"/>
      </w:r>
    </w:p>
    <w:p w14:paraId="2CFD74FC" w14:textId="11AC8488" w:rsidR="006C1B74" w:rsidRDefault="006C1B74">
      <w:pPr>
        <w:pStyle w:val="TOC3"/>
        <w:rPr>
          <w:rFonts w:asciiTheme="minorHAnsi" w:eastAsiaTheme="minorEastAsia" w:hAnsiTheme="minorHAnsi" w:cstheme="minorBidi"/>
          <w:kern w:val="2"/>
          <w:sz w:val="24"/>
          <w:szCs w:val="24"/>
          <w14:ligatures w14:val="standardContextual"/>
        </w:rPr>
      </w:pPr>
      <w:r>
        <w:t>5.39.2</w:t>
      </w:r>
      <w:r>
        <w:rPr>
          <w:rFonts w:asciiTheme="minorHAnsi" w:eastAsiaTheme="minorEastAsia" w:hAnsiTheme="minorHAnsi" w:cstheme="minorBidi"/>
          <w:kern w:val="2"/>
          <w:sz w:val="24"/>
          <w:szCs w:val="24"/>
          <w14:ligatures w14:val="standardContextual"/>
        </w:rPr>
        <w:tab/>
      </w:r>
      <w:r>
        <w:t>Configuration for the UE</w:t>
      </w:r>
      <w:r>
        <w:tab/>
      </w:r>
      <w:r>
        <w:fldChar w:fldCharType="begin" w:fldLock="1"/>
      </w:r>
      <w:r>
        <w:instrText xml:space="preserve"> PAGEREF _Toc201157682 \h </w:instrText>
      </w:r>
      <w:r>
        <w:fldChar w:fldCharType="separate"/>
      </w:r>
      <w:r>
        <w:t>506</w:t>
      </w:r>
      <w:r>
        <w:fldChar w:fldCharType="end"/>
      </w:r>
    </w:p>
    <w:p w14:paraId="127DAA9C" w14:textId="438D0C75" w:rsidR="006C1B74" w:rsidRDefault="006C1B74">
      <w:pPr>
        <w:pStyle w:val="TOC2"/>
        <w:rPr>
          <w:rFonts w:asciiTheme="minorHAnsi" w:eastAsiaTheme="minorEastAsia" w:hAnsiTheme="minorHAnsi" w:cstheme="minorBidi"/>
          <w:kern w:val="2"/>
          <w:sz w:val="24"/>
          <w:szCs w:val="24"/>
          <w14:ligatures w14:val="standardContextual"/>
        </w:rPr>
      </w:pPr>
      <w:r>
        <w:t>5.40</w:t>
      </w:r>
      <w:r>
        <w:rPr>
          <w:rFonts w:asciiTheme="minorHAnsi" w:eastAsiaTheme="minorEastAsia" w:hAnsiTheme="minorHAnsi" w:cstheme="minorBidi"/>
          <w:kern w:val="2"/>
          <w:sz w:val="24"/>
          <w:szCs w:val="24"/>
          <w14:ligatures w14:val="standardContextual"/>
        </w:rPr>
        <w:tab/>
      </w:r>
      <w:r>
        <w:t>Support of Disaster Roaming with Minimization of Service Interruption</w:t>
      </w:r>
      <w:r>
        <w:tab/>
      </w:r>
      <w:r>
        <w:fldChar w:fldCharType="begin" w:fldLock="1"/>
      </w:r>
      <w:r>
        <w:instrText xml:space="preserve"> PAGEREF _Toc201157683 \h </w:instrText>
      </w:r>
      <w:r>
        <w:fldChar w:fldCharType="separate"/>
      </w:r>
      <w:r>
        <w:t>506</w:t>
      </w:r>
      <w:r>
        <w:fldChar w:fldCharType="end"/>
      </w:r>
    </w:p>
    <w:p w14:paraId="7A06EBF3" w14:textId="160CDF8C" w:rsidR="006C1B74" w:rsidRDefault="006C1B74">
      <w:pPr>
        <w:pStyle w:val="TOC3"/>
        <w:rPr>
          <w:rFonts w:asciiTheme="minorHAnsi" w:eastAsiaTheme="minorEastAsia" w:hAnsiTheme="minorHAnsi" w:cstheme="minorBidi"/>
          <w:kern w:val="2"/>
          <w:sz w:val="24"/>
          <w:szCs w:val="24"/>
          <w14:ligatures w14:val="standardContextual"/>
        </w:rPr>
      </w:pPr>
      <w:r>
        <w:t>5.40.1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_Toc201157684 \h </w:instrText>
      </w:r>
      <w:r>
        <w:fldChar w:fldCharType="separate"/>
      </w:r>
      <w:r>
        <w:t>506</w:t>
      </w:r>
      <w:r>
        <w:fldChar w:fldCharType="end"/>
      </w:r>
    </w:p>
    <w:p w14:paraId="7696BBD7" w14:textId="7AAC783E" w:rsidR="006C1B74" w:rsidRDefault="006C1B74">
      <w:pPr>
        <w:pStyle w:val="TOC3"/>
        <w:rPr>
          <w:rFonts w:asciiTheme="minorHAnsi" w:eastAsiaTheme="minorEastAsia" w:hAnsiTheme="minorHAnsi" w:cstheme="minorBidi"/>
          <w:kern w:val="2"/>
          <w:sz w:val="24"/>
          <w:szCs w:val="24"/>
          <w14:ligatures w14:val="standardContextual"/>
        </w:rPr>
      </w:pPr>
      <w:r>
        <w:t>5.40.2</w:t>
      </w:r>
      <w:r>
        <w:rPr>
          <w:rFonts w:asciiTheme="minorHAnsi" w:eastAsiaTheme="minorEastAsia" w:hAnsiTheme="minorHAnsi" w:cstheme="minorBidi"/>
          <w:kern w:val="2"/>
          <w:sz w:val="24"/>
          <w:szCs w:val="24"/>
          <w14:ligatures w14:val="standardContextual"/>
        </w:rPr>
        <w:tab/>
      </w:r>
      <w:r>
        <w:t>UE configuration and provisioning for Disaster Roaming</w:t>
      </w:r>
      <w:r>
        <w:tab/>
      </w:r>
      <w:r>
        <w:fldChar w:fldCharType="begin" w:fldLock="1"/>
      </w:r>
      <w:r>
        <w:instrText xml:space="preserve"> PAGEREF _Toc201157685 \h </w:instrText>
      </w:r>
      <w:r>
        <w:fldChar w:fldCharType="separate"/>
      </w:r>
      <w:r>
        <w:t>506</w:t>
      </w:r>
      <w:r>
        <w:fldChar w:fldCharType="end"/>
      </w:r>
    </w:p>
    <w:p w14:paraId="0FB11CF9" w14:textId="5C3BB1D2" w:rsidR="006C1B74" w:rsidRDefault="006C1B74">
      <w:pPr>
        <w:pStyle w:val="TOC3"/>
        <w:rPr>
          <w:rFonts w:asciiTheme="minorHAnsi" w:eastAsiaTheme="minorEastAsia" w:hAnsiTheme="minorHAnsi" w:cstheme="minorBidi"/>
          <w:kern w:val="2"/>
          <w:sz w:val="24"/>
          <w:szCs w:val="24"/>
          <w14:ligatures w14:val="standardContextual"/>
        </w:rPr>
      </w:pPr>
      <w:r>
        <w:t>5.40.3</w:t>
      </w:r>
      <w:r>
        <w:rPr>
          <w:rFonts w:asciiTheme="minorHAnsi" w:eastAsiaTheme="minorEastAsia" w:hAnsiTheme="minorHAnsi" w:cstheme="minorBidi"/>
          <w:kern w:val="2"/>
          <w:sz w:val="24"/>
          <w:szCs w:val="24"/>
          <w14:ligatures w14:val="standardContextual"/>
        </w:rPr>
        <w:tab/>
      </w:r>
      <w:r>
        <w:t>Disaster Condition Notification and Determination</w:t>
      </w:r>
      <w:r>
        <w:tab/>
      </w:r>
      <w:r>
        <w:fldChar w:fldCharType="begin" w:fldLock="1"/>
      </w:r>
      <w:r>
        <w:instrText xml:space="preserve"> PAGEREF _Toc201157686 \h </w:instrText>
      </w:r>
      <w:r>
        <w:fldChar w:fldCharType="separate"/>
      </w:r>
      <w:r>
        <w:t>507</w:t>
      </w:r>
      <w:r>
        <w:fldChar w:fldCharType="end"/>
      </w:r>
    </w:p>
    <w:p w14:paraId="18B1254C" w14:textId="4BBAED8F" w:rsidR="006C1B74" w:rsidRDefault="006C1B74">
      <w:pPr>
        <w:pStyle w:val="TOC3"/>
        <w:rPr>
          <w:rFonts w:asciiTheme="minorHAnsi" w:eastAsiaTheme="minorEastAsia" w:hAnsiTheme="minorHAnsi" w:cstheme="minorBidi"/>
          <w:kern w:val="2"/>
          <w:sz w:val="24"/>
          <w:szCs w:val="24"/>
          <w14:ligatures w14:val="standardContextual"/>
        </w:rPr>
      </w:pPr>
      <w:r>
        <w:t>5.40.4</w:t>
      </w:r>
      <w:r>
        <w:rPr>
          <w:rFonts w:asciiTheme="minorHAnsi" w:eastAsiaTheme="minorEastAsia" w:hAnsiTheme="minorHAnsi" w:cstheme="minorBidi"/>
          <w:kern w:val="2"/>
          <w:sz w:val="24"/>
          <w:szCs w:val="24"/>
          <w14:ligatures w14:val="standardContextual"/>
        </w:rPr>
        <w:tab/>
      </w:r>
      <w:r>
        <w:t>Registration for Disaster Roaming service</w:t>
      </w:r>
      <w:r>
        <w:tab/>
      </w:r>
      <w:r>
        <w:fldChar w:fldCharType="begin" w:fldLock="1"/>
      </w:r>
      <w:r>
        <w:instrText xml:space="preserve"> PAGEREF _Toc201157687 \h </w:instrText>
      </w:r>
      <w:r>
        <w:fldChar w:fldCharType="separate"/>
      </w:r>
      <w:r>
        <w:t>507</w:t>
      </w:r>
      <w:r>
        <w:fldChar w:fldCharType="end"/>
      </w:r>
    </w:p>
    <w:p w14:paraId="5EF087DC" w14:textId="78C8DD34" w:rsidR="006C1B74" w:rsidRDefault="006C1B74">
      <w:pPr>
        <w:pStyle w:val="TOC3"/>
        <w:rPr>
          <w:rFonts w:asciiTheme="minorHAnsi" w:eastAsiaTheme="minorEastAsia" w:hAnsiTheme="minorHAnsi" w:cstheme="minorBidi"/>
          <w:kern w:val="2"/>
          <w:sz w:val="24"/>
          <w:szCs w:val="24"/>
          <w14:ligatures w14:val="standardContextual"/>
        </w:rPr>
      </w:pPr>
      <w:r>
        <w:t>5.40.5</w:t>
      </w:r>
      <w:r>
        <w:rPr>
          <w:rFonts w:asciiTheme="minorHAnsi" w:eastAsiaTheme="minorEastAsia" w:hAnsiTheme="minorHAnsi" w:cstheme="minorBidi"/>
          <w:kern w:val="2"/>
          <w:sz w:val="24"/>
          <w:szCs w:val="24"/>
          <w14:ligatures w14:val="standardContextual"/>
        </w:rPr>
        <w:tab/>
      </w:r>
      <w:r>
        <w:t>Handling when a Disaster Condition is no longer applicable</w:t>
      </w:r>
      <w:r>
        <w:tab/>
      </w:r>
      <w:r>
        <w:fldChar w:fldCharType="begin" w:fldLock="1"/>
      </w:r>
      <w:r>
        <w:instrText xml:space="preserve"> PAGEREF _Toc201157688 \h </w:instrText>
      </w:r>
      <w:r>
        <w:fldChar w:fldCharType="separate"/>
      </w:r>
      <w:r>
        <w:t>508</w:t>
      </w:r>
      <w:r>
        <w:fldChar w:fldCharType="end"/>
      </w:r>
    </w:p>
    <w:p w14:paraId="4C98E60D" w14:textId="79638535" w:rsidR="006C1B74" w:rsidRDefault="006C1B74">
      <w:pPr>
        <w:pStyle w:val="TOC3"/>
        <w:rPr>
          <w:rFonts w:asciiTheme="minorHAnsi" w:eastAsiaTheme="minorEastAsia" w:hAnsiTheme="minorHAnsi" w:cstheme="minorBidi"/>
          <w:kern w:val="2"/>
          <w:sz w:val="24"/>
          <w:szCs w:val="24"/>
          <w14:ligatures w14:val="standardContextual"/>
        </w:rPr>
      </w:pPr>
      <w:r>
        <w:t>5.40.6</w:t>
      </w:r>
      <w:r>
        <w:rPr>
          <w:rFonts w:asciiTheme="minorHAnsi" w:eastAsiaTheme="minorEastAsia" w:hAnsiTheme="minorHAnsi" w:cstheme="minorBidi"/>
          <w:kern w:val="2"/>
          <w:sz w:val="24"/>
          <w:szCs w:val="24"/>
          <w14:ligatures w14:val="standardContextual"/>
        </w:rPr>
        <w:tab/>
      </w:r>
      <w:r>
        <w:t>Prevention of signalling overload related to Disaster Condition and Disaster Roaming service</w:t>
      </w:r>
      <w:r>
        <w:tab/>
      </w:r>
      <w:r>
        <w:fldChar w:fldCharType="begin" w:fldLock="1"/>
      </w:r>
      <w:r>
        <w:instrText xml:space="preserve"> PAGEREF _Toc201157689 \h </w:instrText>
      </w:r>
      <w:r>
        <w:fldChar w:fldCharType="separate"/>
      </w:r>
      <w:r>
        <w:t>509</w:t>
      </w:r>
      <w:r>
        <w:fldChar w:fldCharType="end"/>
      </w:r>
    </w:p>
    <w:p w14:paraId="20BE667A" w14:textId="4ABBE6C5" w:rsidR="006C1B74" w:rsidRDefault="006C1B74">
      <w:pPr>
        <w:pStyle w:val="TOC2"/>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NR RedCap and NR eRedCap UEs differentiation</w:t>
      </w:r>
      <w:r>
        <w:tab/>
      </w:r>
      <w:r>
        <w:fldChar w:fldCharType="begin" w:fldLock="1"/>
      </w:r>
      <w:r>
        <w:instrText xml:space="preserve"> PAGEREF _Toc201157690 \h </w:instrText>
      </w:r>
      <w:r>
        <w:fldChar w:fldCharType="separate"/>
      </w:r>
      <w:r>
        <w:t>509</w:t>
      </w:r>
      <w:r>
        <w:fldChar w:fldCharType="end"/>
      </w:r>
    </w:p>
    <w:p w14:paraId="436E236C" w14:textId="762C7DCD" w:rsidR="006C1B74" w:rsidRDefault="006C1B74">
      <w:pPr>
        <w:pStyle w:val="TOC2"/>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Support of Non-seamless WLAN offload</w:t>
      </w:r>
      <w:r>
        <w:tab/>
      </w:r>
      <w:r>
        <w:fldChar w:fldCharType="begin" w:fldLock="1"/>
      </w:r>
      <w:r>
        <w:instrText xml:space="preserve"> PAGEREF _Toc201157691 \h </w:instrText>
      </w:r>
      <w:r>
        <w:fldChar w:fldCharType="separate"/>
      </w:r>
      <w:r>
        <w:t>510</w:t>
      </w:r>
      <w:r>
        <w:fldChar w:fldCharType="end"/>
      </w:r>
    </w:p>
    <w:p w14:paraId="7351BC8D" w14:textId="3641B4DB" w:rsidR="006C1B74" w:rsidRDefault="006C1B74">
      <w:pPr>
        <w:pStyle w:val="TOC2"/>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Support for 5G Satellite Backhaul</w:t>
      </w:r>
      <w:r>
        <w:tab/>
      </w:r>
      <w:r>
        <w:fldChar w:fldCharType="begin" w:fldLock="1"/>
      </w:r>
      <w:r>
        <w:instrText xml:space="preserve"> PAGEREF _Toc201157692 \h </w:instrText>
      </w:r>
      <w:r>
        <w:fldChar w:fldCharType="separate"/>
      </w:r>
      <w:r>
        <w:t>511</w:t>
      </w:r>
      <w:r>
        <w:fldChar w:fldCharType="end"/>
      </w:r>
    </w:p>
    <w:p w14:paraId="21BB50A8" w14:textId="25077455" w:rsidR="006C1B74" w:rsidRDefault="006C1B74">
      <w:pPr>
        <w:pStyle w:val="TOC3"/>
        <w:rPr>
          <w:rFonts w:asciiTheme="minorHAnsi" w:eastAsiaTheme="minorEastAsia" w:hAnsiTheme="minorHAnsi" w:cstheme="minorBidi"/>
          <w:kern w:val="2"/>
          <w:sz w:val="24"/>
          <w:szCs w:val="24"/>
          <w14:ligatures w14:val="standardContextual"/>
        </w:rPr>
      </w:pPr>
      <w:r>
        <w:t>5.43.1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_Toc201157693 \h </w:instrText>
      </w:r>
      <w:r>
        <w:fldChar w:fldCharType="separate"/>
      </w:r>
      <w:r>
        <w:t>511</w:t>
      </w:r>
      <w:r>
        <w:fldChar w:fldCharType="end"/>
      </w:r>
    </w:p>
    <w:p w14:paraId="2A11F202" w14:textId="25653627" w:rsidR="006C1B74" w:rsidRDefault="006C1B74">
      <w:pPr>
        <w:pStyle w:val="TOC3"/>
        <w:rPr>
          <w:rFonts w:asciiTheme="minorHAnsi" w:eastAsiaTheme="minorEastAsia" w:hAnsiTheme="minorHAnsi" w:cstheme="minorBidi"/>
          <w:kern w:val="2"/>
          <w:sz w:val="24"/>
          <w:szCs w:val="24"/>
          <w14:ligatures w14:val="standardContextual"/>
        </w:rPr>
      </w:pPr>
      <w:r>
        <w:t>5.43.2</w:t>
      </w:r>
      <w:r>
        <w:rPr>
          <w:rFonts w:asciiTheme="minorHAnsi" w:eastAsiaTheme="minorEastAsia" w:hAnsiTheme="minorHAnsi" w:cstheme="minorBidi"/>
          <w:kern w:val="2"/>
          <w:sz w:val="24"/>
          <w:szCs w:val="24"/>
          <w14:ligatures w14:val="standardContextual"/>
        </w:rPr>
        <w:tab/>
      </w:r>
      <w:r>
        <w:t>Edge Computing via UPF deployed on satellite</w:t>
      </w:r>
      <w:r>
        <w:tab/>
      </w:r>
      <w:r>
        <w:fldChar w:fldCharType="begin" w:fldLock="1"/>
      </w:r>
      <w:r>
        <w:instrText xml:space="preserve"> PAGEREF _Toc201157694 \h </w:instrText>
      </w:r>
      <w:r>
        <w:fldChar w:fldCharType="separate"/>
      </w:r>
      <w:r>
        <w:t>511</w:t>
      </w:r>
      <w:r>
        <w:fldChar w:fldCharType="end"/>
      </w:r>
    </w:p>
    <w:p w14:paraId="0D7DFA51" w14:textId="3ED5B58A" w:rsidR="006C1B74" w:rsidRDefault="006C1B74">
      <w:pPr>
        <w:pStyle w:val="TOC3"/>
        <w:rPr>
          <w:rFonts w:asciiTheme="minorHAnsi" w:eastAsiaTheme="minorEastAsia" w:hAnsiTheme="minorHAnsi" w:cstheme="minorBidi"/>
          <w:kern w:val="2"/>
          <w:sz w:val="24"/>
          <w:szCs w:val="24"/>
          <w14:ligatures w14:val="standardContextual"/>
        </w:rPr>
      </w:pPr>
      <w:r>
        <w:t>5.43.3</w:t>
      </w:r>
      <w:r>
        <w:rPr>
          <w:rFonts w:asciiTheme="minorHAnsi" w:eastAsiaTheme="minorEastAsia" w:hAnsiTheme="minorHAnsi" w:cstheme="minorBidi"/>
          <w:kern w:val="2"/>
          <w:sz w:val="24"/>
          <w:szCs w:val="24"/>
          <w14:ligatures w14:val="standardContextual"/>
        </w:rPr>
        <w:tab/>
      </w:r>
      <w:r>
        <w:t>Local switch for UE-to-UE communications via UPF deployed on GEO satellite</w:t>
      </w:r>
      <w:r>
        <w:tab/>
      </w:r>
      <w:r>
        <w:fldChar w:fldCharType="begin" w:fldLock="1"/>
      </w:r>
      <w:r>
        <w:instrText xml:space="preserve"> PAGEREF _Toc201157695 \h </w:instrText>
      </w:r>
      <w:r>
        <w:fldChar w:fldCharType="separate"/>
      </w:r>
      <w:r>
        <w:t>512</w:t>
      </w:r>
      <w:r>
        <w:fldChar w:fldCharType="end"/>
      </w:r>
    </w:p>
    <w:p w14:paraId="34F8A2C2" w14:textId="4483E1CB" w:rsidR="006C1B74" w:rsidRDefault="006C1B74">
      <w:pPr>
        <w:pStyle w:val="TOC4"/>
        <w:rPr>
          <w:rFonts w:asciiTheme="minorHAnsi" w:eastAsiaTheme="minorEastAsia" w:hAnsiTheme="minorHAnsi" w:cstheme="minorBidi"/>
          <w:kern w:val="2"/>
          <w:sz w:val="24"/>
          <w:szCs w:val="24"/>
          <w14:ligatures w14:val="standardContextual"/>
        </w:rPr>
      </w:pPr>
      <w:r>
        <w:t>5.43.3.1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_Toc201157696 \h </w:instrText>
      </w:r>
      <w:r>
        <w:fldChar w:fldCharType="separate"/>
      </w:r>
      <w:r>
        <w:t>512</w:t>
      </w:r>
      <w:r>
        <w:fldChar w:fldCharType="end"/>
      </w:r>
    </w:p>
    <w:p w14:paraId="4188C232" w14:textId="148ACBB5" w:rsidR="006C1B74" w:rsidRDefault="006C1B74">
      <w:pPr>
        <w:pStyle w:val="TOC4"/>
        <w:rPr>
          <w:rFonts w:asciiTheme="minorHAnsi" w:eastAsiaTheme="minorEastAsia" w:hAnsiTheme="minorHAnsi" w:cstheme="minorBidi"/>
          <w:kern w:val="2"/>
          <w:sz w:val="24"/>
          <w:szCs w:val="24"/>
          <w14:ligatures w14:val="standardContextual"/>
        </w:rPr>
      </w:pPr>
      <w:r>
        <w:t>5.43.3.2</w:t>
      </w:r>
      <w:r>
        <w:rPr>
          <w:rFonts w:asciiTheme="minorHAnsi" w:eastAsiaTheme="minorEastAsia" w:hAnsiTheme="minorHAnsi" w:cstheme="minorBidi"/>
          <w:kern w:val="2"/>
          <w:sz w:val="24"/>
          <w:szCs w:val="24"/>
          <w14:ligatures w14:val="standardContextual"/>
        </w:rPr>
        <w:tab/>
      </w:r>
      <w:r>
        <w:t>Local switch with PSA UPF deployed on satellite</w:t>
      </w:r>
      <w:r>
        <w:tab/>
      </w:r>
      <w:r>
        <w:fldChar w:fldCharType="begin" w:fldLock="1"/>
      </w:r>
      <w:r>
        <w:instrText xml:space="preserve"> PAGEREF _Toc201157697 \h </w:instrText>
      </w:r>
      <w:r>
        <w:fldChar w:fldCharType="separate"/>
      </w:r>
      <w:r>
        <w:t>512</w:t>
      </w:r>
      <w:r>
        <w:fldChar w:fldCharType="end"/>
      </w:r>
    </w:p>
    <w:p w14:paraId="368ECA36" w14:textId="3A20265C" w:rsidR="006C1B74" w:rsidRDefault="006C1B74">
      <w:pPr>
        <w:pStyle w:val="TOC4"/>
        <w:rPr>
          <w:rFonts w:asciiTheme="minorHAnsi" w:eastAsiaTheme="minorEastAsia" w:hAnsiTheme="minorHAnsi" w:cstheme="minorBidi"/>
          <w:kern w:val="2"/>
          <w:sz w:val="24"/>
          <w:szCs w:val="24"/>
          <w14:ligatures w14:val="standardContextual"/>
        </w:rPr>
      </w:pPr>
      <w:r>
        <w:t>5.43.3.3</w:t>
      </w:r>
      <w:r>
        <w:rPr>
          <w:rFonts w:asciiTheme="minorHAnsi" w:eastAsiaTheme="minorEastAsia" w:hAnsiTheme="minorHAnsi" w:cstheme="minorBidi"/>
          <w:kern w:val="2"/>
          <w:sz w:val="24"/>
          <w:szCs w:val="24"/>
          <w14:ligatures w14:val="standardContextual"/>
        </w:rPr>
        <w:tab/>
      </w:r>
      <w:r>
        <w:t>Local switching with UL CL/BP and local PSA UPF deployed on satellite</w:t>
      </w:r>
      <w:r>
        <w:tab/>
      </w:r>
      <w:r>
        <w:fldChar w:fldCharType="begin" w:fldLock="1"/>
      </w:r>
      <w:r>
        <w:instrText xml:space="preserve"> PAGEREF _Toc201157698 \h </w:instrText>
      </w:r>
      <w:r>
        <w:fldChar w:fldCharType="separate"/>
      </w:r>
      <w:r>
        <w:t>512</w:t>
      </w:r>
      <w:r>
        <w:fldChar w:fldCharType="end"/>
      </w:r>
    </w:p>
    <w:p w14:paraId="1EF04F7D" w14:textId="6D2B993E" w:rsidR="006C1B74" w:rsidRDefault="006C1B74">
      <w:pPr>
        <w:pStyle w:val="TOC3"/>
        <w:rPr>
          <w:rFonts w:asciiTheme="minorHAnsi" w:eastAsiaTheme="minorEastAsia" w:hAnsiTheme="minorHAnsi" w:cstheme="minorBidi"/>
          <w:kern w:val="2"/>
          <w:sz w:val="24"/>
          <w:szCs w:val="24"/>
          <w14:ligatures w14:val="standardContextual"/>
        </w:rPr>
      </w:pPr>
      <w:r>
        <w:t>5.43.4</w:t>
      </w:r>
      <w:r>
        <w:rPr>
          <w:rFonts w:asciiTheme="minorHAnsi" w:eastAsiaTheme="minorEastAsia" w:hAnsiTheme="minorHAnsi" w:cstheme="minorBidi"/>
          <w:kern w:val="2"/>
          <w:sz w:val="24"/>
          <w:szCs w:val="24"/>
          <w14:ligatures w14:val="standardContextual"/>
        </w:rPr>
        <w:tab/>
      </w:r>
      <w:r>
        <w:t>Reporting of satellite backhaul to SMF</w:t>
      </w:r>
      <w:r>
        <w:tab/>
      </w:r>
      <w:r>
        <w:fldChar w:fldCharType="begin" w:fldLock="1"/>
      </w:r>
      <w:r>
        <w:instrText xml:space="preserve"> PAGEREF _Toc201157699 \h </w:instrText>
      </w:r>
      <w:r>
        <w:fldChar w:fldCharType="separate"/>
      </w:r>
      <w:r>
        <w:t>513</w:t>
      </w:r>
      <w:r>
        <w:fldChar w:fldCharType="end"/>
      </w:r>
    </w:p>
    <w:p w14:paraId="04262809" w14:textId="79CDF062" w:rsidR="006C1B74" w:rsidRDefault="006C1B74">
      <w:pPr>
        <w:pStyle w:val="TOC3"/>
        <w:rPr>
          <w:rFonts w:asciiTheme="minorHAnsi" w:eastAsiaTheme="minorEastAsia" w:hAnsiTheme="minorHAnsi" w:cstheme="minorBidi"/>
          <w:kern w:val="2"/>
          <w:sz w:val="24"/>
          <w:szCs w:val="24"/>
          <w14:ligatures w14:val="standardContextual"/>
        </w:rPr>
      </w:pPr>
      <w:r>
        <w:t>5.43.5</w:t>
      </w:r>
      <w:r>
        <w:rPr>
          <w:rFonts w:asciiTheme="minorHAnsi" w:eastAsiaTheme="minorEastAsia" w:hAnsiTheme="minorHAnsi" w:cstheme="minorBidi"/>
          <w:kern w:val="2"/>
          <w:sz w:val="24"/>
          <w:szCs w:val="24"/>
          <w14:ligatures w14:val="standardContextual"/>
        </w:rPr>
        <w:tab/>
      </w:r>
      <w:r>
        <w:t>QoS monitoring when dynamic Satellite Backhaul is used</w:t>
      </w:r>
      <w:r>
        <w:tab/>
      </w:r>
      <w:r>
        <w:fldChar w:fldCharType="begin" w:fldLock="1"/>
      </w:r>
      <w:r>
        <w:instrText xml:space="preserve"> PAGEREF _Toc201157700 \h </w:instrText>
      </w:r>
      <w:r>
        <w:fldChar w:fldCharType="separate"/>
      </w:r>
      <w:r>
        <w:t>513</w:t>
      </w:r>
      <w:r>
        <w:fldChar w:fldCharType="end"/>
      </w:r>
    </w:p>
    <w:p w14:paraId="46DA8888" w14:textId="6225B239" w:rsidR="006C1B74" w:rsidRDefault="006C1B74">
      <w:pPr>
        <w:pStyle w:val="TOC2"/>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Support of Personal IoT network service</w:t>
      </w:r>
      <w:r>
        <w:tab/>
      </w:r>
      <w:r>
        <w:fldChar w:fldCharType="begin" w:fldLock="1"/>
      </w:r>
      <w:r>
        <w:instrText xml:space="preserve"> PAGEREF _Toc201157701 \h </w:instrText>
      </w:r>
      <w:r>
        <w:fldChar w:fldCharType="separate"/>
      </w:r>
      <w:r>
        <w:t>514</w:t>
      </w:r>
      <w:r>
        <w:fldChar w:fldCharType="end"/>
      </w:r>
    </w:p>
    <w:p w14:paraId="48B4AA23" w14:textId="09E278E0" w:rsidR="006C1B74" w:rsidRDefault="006C1B74">
      <w:pPr>
        <w:pStyle w:val="TOC3"/>
        <w:rPr>
          <w:rFonts w:asciiTheme="minorHAnsi" w:eastAsiaTheme="minorEastAsia" w:hAnsiTheme="minorHAnsi" w:cstheme="minorBidi"/>
          <w:kern w:val="2"/>
          <w:sz w:val="24"/>
          <w:szCs w:val="24"/>
          <w14:ligatures w14:val="standardContextual"/>
        </w:rPr>
      </w:pPr>
      <w:r>
        <w:t>5.44.1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_Toc201157702 \h </w:instrText>
      </w:r>
      <w:r>
        <w:fldChar w:fldCharType="separate"/>
      </w:r>
      <w:r>
        <w:t>514</w:t>
      </w:r>
      <w:r>
        <w:fldChar w:fldCharType="end"/>
      </w:r>
    </w:p>
    <w:p w14:paraId="55EFEDA9" w14:textId="59E04564" w:rsidR="006C1B74" w:rsidRDefault="006C1B74">
      <w:pPr>
        <w:pStyle w:val="TOC3"/>
        <w:rPr>
          <w:rFonts w:asciiTheme="minorHAnsi" w:eastAsiaTheme="minorEastAsia" w:hAnsiTheme="minorHAnsi" w:cstheme="minorBidi"/>
          <w:kern w:val="2"/>
          <w:sz w:val="24"/>
          <w:szCs w:val="24"/>
          <w14:ligatures w14:val="standardContextual"/>
        </w:rPr>
      </w:pPr>
      <w:r>
        <w:t>5.44.2</w:t>
      </w:r>
      <w:r>
        <w:rPr>
          <w:rFonts w:asciiTheme="minorHAnsi" w:eastAsiaTheme="minorEastAsia" w:hAnsiTheme="minorHAnsi" w:cstheme="minorBidi"/>
          <w:kern w:val="2"/>
          <w:sz w:val="24"/>
          <w:szCs w:val="24"/>
          <w14:ligatures w14:val="standardContextual"/>
        </w:rPr>
        <w:tab/>
      </w:r>
      <w:r>
        <w:t>UE policy delivery for PIN</w:t>
      </w:r>
      <w:r>
        <w:tab/>
      </w:r>
      <w:r>
        <w:fldChar w:fldCharType="begin" w:fldLock="1"/>
      </w:r>
      <w:r>
        <w:instrText xml:space="preserve"> PAGEREF _Toc201157703 \h </w:instrText>
      </w:r>
      <w:r>
        <w:fldChar w:fldCharType="separate"/>
      </w:r>
      <w:r>
        <w:t>514</w:t>
      </w:r>
      <w:r>
        <w:fldChar w:fldCharType="end"/>
      </w:r>
    </w:p>
    <w:p w14:paraId="707D4A47" w14:textId="1133FC51" w:rsidR="006C1B74" w:rsidRDefault="006C1B74">
      <w:pPr>
        <w:pStyle w:val="TOC3"/>
        <w:rPr>
          <w:rFonts w:asciiTheme="minorHAnsi" w:eastAsiaTheme="minorEastAsia" w:hAnsiTheme="minorHAnsi" w:cstheme="minorBidi"/>
          <w:kern w:val="2"/>
          <w:sz w:val="24"/>
          <w:szCs w:val="24"/>
          <w14:ligatures w14:val="standardContextual"/>
        </w:rPr>
      </w:pPr>
      <w:r>
        <w:t>5.44.3</w:t>
      </w:r>
      <w:r>
        <w:rPr>
          <w:rFonts w:asciiTheme="minorHAnsi" w:eastAsiaTheme="minorEastAsia" w:hAnsiTheme="minorHAnsi" w:cstheme="minorBidi"/>
          <w:kern w:val="2"/>
          <w:sz w:val="24"/>
          <w:szCs w:val="24"/>
          <w14:ligatures w14:val="standardContextual"/>
        </w:rPr>
        <w:tab/>
      </w:r>
      <w:r>
        <w:t>Session management enhancement for PIN service support</w:t>
      </w:r>
      <w:r>
        <w:tab/>
      </w:r>
      <w:r>
        <w:fldChar w:fldCharType="begin" w:fldLock="1"/>
      </w:r>
      <w:r>
        <w:instrText xml:space="preserve"> PAGEREF _Toc201157704 \h </w:instrText>
      </w:r>
      <w:r>
        <w:fldChar w:fldCharType="separate"/>
      </w:r>
      <w:r>
        <w:t>514</w:t>
      </w:r>
      <w:r>
        <w:fldChar w:fldCharType="end"/>
      </w:r>
    </w:p>
    <w:p w14:paraId="1197767D" w14:textId="47EDC88F" w:rsidR="006C1B74" w:rsidRDefault="006C1B74">
      <w:pPr>
        <w:pStyle w:val="TOC4"/>
        <w:rPr>
          <w:rFonts w:asciiTheme="minorHAnsi" w:eastAsiaTheme="minorEastAsia" w:hAnsiTheme="minorHAnsi" w:cstheme="minorBidi"/>
          <w:kern w:val="2"/>
          <w:sz w:val="24"/>
          <w:szCs w:val="24"/>
          <w14:ligatures w14:val="standardContextual"/>
        </w:rPr>
      </w:pPr>
      <w:r>
        <w:t>5.44.3.1</w:t>
      </w:r>
      <w:r>
        <w:rPr>
          <w:rFonts w:asciiTheme="minorHAnsi" w:eastAsiaTheme="minorEastAsia" w:hAnsiTheme="minorHAnsi" w:cstheme="minorBidi"/>
          <w:kern w:val="2"/>
          <w:sz w:val="24"/>
          <w:szCs w:val="24"/>
          <w14:ligatures w14:val="standardContextual"/>
        </w:rPr>
        <w:tab/>
      </w:r>
      <w:r>
        <w:t>PDU Session Establishment for PIN</w:t>
      </w:r>
      <w:r>
        <w:tab/>
      </w:r>
      <w:r>
        <w:fldChar w:fldCharType="begin" w:fldLock="1"/>
      </w:r>
      <w:r>
        <w:instrText xml:space="preserve"> PAGEREF _Toc201157705 \h </w:instrText>
      </w:r>
      <w:r>
        <w:fldChar w:fldCharType="separate"/>
      </w:r>
      <w:r>
        <w:t>514</w:t>
      </w:r>
      <w:r>
        <w:fldChar w:fldCharType="end"/>
      </w:r>
    </w:p>
    <w:p w14:paraId="7AA95413" w14:textId="5B3705FB" w:rsidR="006C1B74" w:rsidRDefault="006C1B74">
      <w:pPr>
        <w:pStyle w:val="TOC4"/>
        <w:rPr>
          <w:rFonts w:asciiTheme="minorHAnsi" w:eastAsiaTheme="minorEastAsia" w:hAnsiTheme="minorHAnsi" w:cstheme="minorBidi"/>
          <w:kern w:val="2"/>
          <w:sz w:val="24"/>
          <w:szCs w:val="24"/>
          <w14:ligatures w14:val="standardContextual"/>
        </w:rPr>
      </w:pPr>
      <w:r>
        <w:t>5.44.3.2</w:t>
      </w:r>
      <w:r>
        <w:rPr>
          <w:rFonts w:asciiTheme="minorHAnsi" w:eastAsiaTheme="minorEastAsia" w:hAnsiTheme="minorHAnsi" w:cstheme="minorBidi"/>
          <w:kern w:val="2"/>
          <w:sz w:val="24"/>
          <w:szCs w:val="24"/>
          <w14:ligatures w14:val="standardContextual"/>
        </w:rPr>
        <w:tab/>
      </w:r>
      <w:r>
        <w:t>Session management related policy control</w:t>
      </w:r>
      <w:r>
        <w:tab/>
      </w:r>
      <w:r>
        <w:fldChar w:fldCharType="begin" w:fldLock="1"/>
      </w:r>
      <w:r>
        <w:instrText xml:space="preserve"> PAGEREF _Toc201157706 \h </w:instrText>
      </w:r>
      <w:r>
        <w:fldChar w:fldCharType="separate"/>
      </w:r>
      <w:r>
        <w:t>515</w:t>
      </w:r>
      <w:r>
        <w:fldChar w:fldCharType="end"/>
      </w:r>
    </w:p>
    <w:p w14:paraId="4D0B65B9" w14:textId="10F31A22" w:rsidR="006C1B74" w:rsidRDefault="006C1B74">
      <w:pPr>
        <w:pStyle w:val="TOC4"/>
        <w:rPr>
          <w:rFonts w:asciiTheme="minorHAnsi" w:eastAsiaTheme="minorEastAsia" w:hAnsiTheme="minorHAnsi" w:cstheme="minorBidi"/>
          <w:kern w:val="2"/>
          <w:sz w:val="24"/>
          <w:szCs w:val="24"/>
          <w14:ligatures w14:val="standardContextual"/>
        </w:rPr>
      </w:pPr>
      <w:r>
        <w:t>5.44.3.3</w:t>
      </w:r>
      <w:r>
        <w:rPr>
          <w:rFonts w:asciiTheme="minorHAnsi" w:eastAsiaTheme="minorEastAsia" w:hAnsiTheme="minorHAnsi" w:cstheme="minorBidi"/>
          <w:kern w:val="2"/>
          <w:sz w:val="24"/>
          <w:szCs w:val="24"/>
          <w14:ligatures w14:val="standardContextual"/>
        </w:rPr>
        <w:tab/>
      </w:r>
      <w:r>
        <w:t>Non-3GPP QoS Assistance Information</w:t>
      </w:r>
      <w:r>
        <w:tab/>
      </w:r>
      <w:r>
        <w:fldChar w:fldCharType="begin" w:fldLock="1"/>
      </w:r>
      <w:r>
        <w:instrText xml:space="preserve"> PAGEREF _Toc201157707 \h </w:instrText>
      </w:r>
      <w:r>
        <w:fldChar w:fldCharType="separate"/>
      </w:r>
      <w:r>
        <w:t>515</w:t>
      </w:r>
      <w:r>
        <w:fldChar w:fldCharType="end"/>
      </w:r>
    </w:p>
    <w:p w14:paraId="494A37C2" w14:textId="34826DD2" w:rsidR="006C1B74" w:rsidRDefault="006C1B74">
      <w:pPr>
        <w:pStyle w:val="TOC4"/>
        <w:rPr>
          <w:rFonts w:asciiTheme="minorHAnsi" w:eastAsiaTheme="minorEastAsia" w:hAnsiTheme="minorHAnsi" w:cstheme="minorBidi"/>
          <w:kern w:val="2"/>
          <w:sz w:val="24"/>
          <w:szCs w:val="24"/>
          <w14:ligatures w14:val="standardContextual"/>
        </w:rPr>
      </w:pPr>
      <w:r>
        <w:t>5.44.3.4</w:t>
      </w:r>
      <w:r>
        <w:rPr>
          <w:rFonts w:asciiTheme="minorHAnsi" w:eastAsiaTheme="minorEastAsia" w:hAnsiTheme="minorHAnsi" w:cstheme="minorBidi"/>
          <w:kern w:val="2"/>
          <w:sz w:val="24"/>
          <w:szCs w:val="24"/>
          <w14:ligatures w14:val="standardContextual"/>
        </w:rPr>
        <w:tab/>
      </w:r>
      <w:r>
        <w:t>Non-3GPP delay budget between PINE and PEGC</w:t>
      </w:r>
      <w:r>
        <w:tab/>
      </w:r>
      <w:r>
        <w:fldChar w:fldCharType="begin" w:fldLock="1"/>
      </w:r>
      <w:r>
        <w:instrText xml:space="preserve"> PAGEREF _Toc201157708 \h </w:instrText>
      </w:r>
      <w:r>
        <w:fldChar w:fldCharType="separate"/>
      </w:r>
      <w:r>
        <w:t>515</w:t>
      </w:r>
      <w:r>
        <w:fldChar w:fldCharType="end"/>
      </w:r>
    </w:p>
    <w:p w14:paraId="3F49E73E" w14:textId="4B91113D" w:rsidR="006C1B74" w:rsidRDefault="006C1B74">
      <w:pPr>
        <w:pStyle w:val="TOC3"/>
        <w:rPr>
          <w:rFonts w:asciiTheme="minorHAnsi" w:eastAsiaTheme="minorEastAsia" w:hAnsiTheme="minorHAnsi" w:cstheme="minorBidi"/>
          <w:kern w:val="2"/>
          <w:sz w:val="24"/>
          <w:szCs w:val="24"/>
          <w14:ligatures w14:val="standardContextual"/>
        </w:rPr>
      </w:pPr>
      <w:r>
        <w:t>5.44.4</w:t>
      </w:r>
      <w:r>
        <w:rPr>
          <w:rFonts w:asciiTheme="minorHAnsi" w:eastAsiaTheme="minorEastAsia" w:hAnsiTheme="minorHAnsi" w:cstheme="minorBidi"/>
          <w:kern w:val="2"/>
          <w:sz w:val="24"/>
          <w:szCs w:val="24"/>
          <w14:ligatures w14:val="standardContextual"/>
        </w:rPr>
        <w:tab/>
      </w:r>
      <w:r>
        <w:t>Identifiers for PIN</w:t>
      </w:r>
      <w:r>
        <w:tab/>
      </w:r>
      <w:r>
        <w:fldChar w:fldCharType="begin" w:fldLock="1"/>
      </w:r>
      <w:r>
        <w:instrText xml:space="preserve"> PAGEREF _Toc201157709 \h </w:instrText>
      </w:r>
      <w:r>
        <w:fldChar w:fldCharType="separate"/>
      </w:r>
      <w:r>
        <w:t>515</w:t>
      </w:r>
      <w:r>
        <w:fldChar w:fldCharType="end"/>
      </w:r>
    </w:p>
    <w:p w14:paraId="1139003B" w14:textId="02FEE71B" w:rsidR="006C1B74" w:rsidRDefault="006C1B74">
      <w:pPr>
        <w:pStyle w:val="TOC2"/>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QoS Monitoring</w:t>
      </w:r>
      <w:r>
        <w:tab/>
      </w:r>
      <w:r>
        <w:fldChar w:fldCharType="begin" w:fldLock="1"/>
      </w:r>
      <w:r>
        <w:instrText xml:space="preserve"> PAGEREF _Toc201157710 \h </w:instrText>
      </w:r>
      <w:r>
        <w:fldChar w:fldCharType="separate"/>
      </w:r>
      <w:r>
        <w:t>516</w:t>
      </w:r>
      <w:r>
        <w:fldChar w:fldCharType="end"/>
      </w:r>
    </w:p>
    <w:p w14:paraId="52CA8E94" w14:textId="0B20833A" w:rsidR="006C1B74" w:rsidRDefault="006C1B74">
      <w:pPr>
        <w:pStyle w:val="TOC3"/>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_Toc201157711 \h </w:instrText>
      </w:r>
      <w:r>
        <w:fldChar w:fldCharType="separate"/>
      </w:r>
      <w:r>
        <w:t>516</w:t>
      </w:r>
      <w:r>
        <w:fldChar w:fldCharType="end"/>
      </w:r>
    </w:p>
    <w:p w14:paraId="3FCCB7FB" w14:textId="65CF999A" w:rsidR="006C1B74" w:rsidRDefault="006C1B74">
      <w:pPr>
        <w:pStyle w:val="TOC3"/>
        <w:rPr>
          <w:rFonts w:asciiTheme="minorHAnsi" w:eastAsiaTheme="minorEastAsia" w:hAnsiTheme="minorHAnsi" w:cstheme="minorBidi"/>
          <w:kern w:val="2"/>
          <w:sz w:val="24"/>
          <w:szCs w:val="24"/>
          <w14:ligatures w14:val="standardContextual"/>
        </w:rPr>
      </w:pPr>
      <w:r>
        <w:t>5.45.2</w:t>
      </w:r>
      <w:r>
        <w:rPr>
          <w:rFonts w:asciiTheme="minorHAnsi" w:eastAsiaTheme="minorEastAsia" w:hAnsiTheme="minorHAnsi" w:cstheme="minorBidi"/>
          <w:kern w:val="2"/>
          <w:sz w:val="24"/>
          <w:szCs w:val="24"/>
          <w14:ligatures w14:val="standardContextual"/>
        </w:rPr>
        <w:tab/>
      </w:r>
      <w:r>
        <w:t>Packet delay monitoring</w:t>
      </w:r>
      <w:r>
        <w:tab/>
      </w:r>
      <w:r>
        <w:fldChar w:fldCharType="begin" w:fldLock="1"/>
      </w:r>
      <w:r>
        <w:instrText xml:space="preserve"> PAGEREF _Toc201157712 \h </w:instrText>
      </w:r>
      <w:r>
        <w:fldChar w:fldCharType="separate"/>
      </w:r>
      <w:r>
        <w:t>517</w:t>
      </w:r>
      <w:r>
        <w:fldChar w:fldCharType="end"/>
      </w:r>
    </w:p>
    <w:p w14:paraId="2BBAE776" w14:textId="7084B324" w:rsidR="006C1B74" w:rsidRDefault="006C1B74">
      <w:pPr>
        <w:pStyle w:val="TOC3"/>
        <w:rPr>
          <w:rFonts w:asciiTheme="minorHAnsi" w:eastAsiaTheme="minorEastAsia" w:hAnsiTheme="minorHAnsi" w:cstheme="minorBidi"/>
          <w:kern w:val="2"/>
          <w:sz w:val="24"/>
          <w:szCs w:val="24"/>
          <w14:ligatures w14:val="standardContextual"/>
        </w:rPr>
      </w:pPr>
      <w:r>
        <w:t>5.45.3</w:t>
      </w:r>
      <w:r>
        <w:rPr>
          <w:rFonts w:asciiTheme="minorHAnsi" w:eastAsiaTheme="minorEastAsia" w:hAnsiTheme="minorHAnsi" w:cstheme="minorBidi"/>
          <w:kern w:val="2"/>
          <w:sz w:val="24"/>
          <w:szCs w:val="24"/>
          <w14:ligatures w14:val="standardContextual"/>
        </w:rPr>
        <w:tab/>
      </w:r>
      <w:r>
        <w:t>Congestion information monitoring</w:t>
      </w:r>
      <w:r>
        <w:tab/>
      </w:r>
      <w:r>
        <w:fldChar w:fldCharType="begin" w:fldLock="1"/>
      </w:r>
      <w:r>
        <w:instrText xml:space="preserve"> PAGEREF _Toc201157713 \h </w:instrText>
      </w:r>
      <w:r>
        <w:fldChar w:fldCharType="separate"/>
      </w:r>
      <w:r>
        <w:t>517</w:t>
      </w:r>
      <w:r>
        <w:fldChar w:fldCharType="end"/>
      </w:r>
    </w:p>
    <w:p w14:paraId="3C4E5416" w14:textId="0C74D37E" w:rsidR="006C1B74" w:rsidRDefault="006C1B74">
      <w:pPr>
        <w:pStyle w:val="TOC3"/>
        <w:rPr>
          <w:rFonts w:asciiTheme="minorHAnsi" w:eastAsiaTheme="minorEastAsia" w:hAnsiTheme="minorHAnsi" w:cstheme="minorBidi"/>
          <w:kern w:val="2"/>
          <w:sz w:val="24"/>
          <w:szCs w:val="24"/>
          <w14:ligatures w14:val="standardContextual"/>
        </w:rPr>
      </w:pPr>
      <w:r>
        <w:t>5.45.4</w:t>
      </w:r>
      <w:r>
        <w:rPr>
          <w:rFonts w:asciiTheme="minorHAnsi" w:eastAsiaTheme="minorEastAsia" w:hAnsiTheme="minorHAnsi" w:cstheme="minorBidi"/>
          <w:kern w:val="2"/>
          <w:sz w:val="24"/>
          <w:szCs w:val="24"/>
          <w14:ligatures w14:val="standardContextual"/>
        </w:rPr>
        <w:tab/>
      </w:r>
      <w:r>
        <w:t>Data rate monitoring</w:t>
      </w:r>
      <w:r>
        <w:tab/>
      </w:r>
      <w:r>
        <w:fldChar w:fldCharType="begin" w:fldLock="1"/>
      </w:r>
      <w:r>
        <w:instrText xml:space="preserve"> PAGEREF _Toc201157714 \h </w:instrText>
      </w:r>
      <w:r>
        <w:fldChar w:fldCharType="separate"/>
      </w:r>
      <w:r>
        <w:t>517</w:t>
      </w:r>
      <w:r>
        <w:fldChar w:fldCharType="end"/>
      </w:r>
    </w:p>
    <w:p w14:paraId="23FCAF01" w14:textId="1ECCF158" w:rsidR="006C1B74" w:rsidRDefault="006C1B74">
      <w:pPr>
        <w:pStyle w:val="TOC3"/>
        <w:rPr>
          <w:rFonts w:asciiTheme="minorHAnsi" w:eastAsiaTheme="minorEastAsia" w:hAnsiTheme="minorHAnsi" w:cstheme="minorBidi"/>
          <w:kern w:val="2"/>
          <w:sz w:val="24"/>
          <w:szCs w:val="24"/>
          <w14:ligatures w14:val="standardContextual"/>
        </w:rPr>
      </w:pPr>
      <w:r>
        <w:t>5.45.5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_Toc201157715 \h </w:instrText>
      </w:r>
      <w:r>
        <w:fldChar w:fldCharType="separate"/>
      </w:r>
      <w:r>
        <w:t>517</w:t>
      </w:r>
      <w:r>
        <w:fldChar w:fldCharType="end"/>
      </w:r>
    </w:p>
    <w:p w14:paraId="2FD27921" w14:textId="06A83952" w:rsidR="006C1B74" w:rsidRDefault="006C1B74">
      <w:pPr>
        <w:pStyle w:val="TOC2"/>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Assistance to AI/ML Operations in the Application Layer</w:t>
      </w:r>
      <w:r>
        <w:tab/>
      </w:r>
      <w:r>
        <w:fldChar w:fldCharType="begin" w:fldLock="1"/>
      </w:r>
      <w:r>
        <w:instrText xml:space="preserve"> PAGEREF _Toc201157716 \h </w:instrText>
      </w:r>
      <w:r>
        <w:fldChar w:fldCharType="separate"/>
      </w:r>
      <w:r>
        <w:t>517</w:t>
      </w:r>
      <w:r>
        <w:fldChar w:fldCharType="end"/>
      </w:r>
    </w:p>
    <w:p w14:paraId="387DB092" w14:textId="1B155FFB" w:rsidR="006C1B74" w:rsidRDefault="006C1B74">
      <w:pPr>
        <w:pStyle w:val="TOC3"/>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_Toc201157717 \h </w:instrText>
      </w:r>
      <w:r>
        <w:fldChar w:fldCharType="separate"/>
      </w:r>
      <w:r>
        <w:t>517</w:t>
      </w:r>
      <w:r>
        <w:fldChar w:fldCharType="end"/>
      </w:r>
    </w:p>
    <w:p w14:paraId="48EB92C0" w14:textId="4FA399FD" w:rsidR="006C1B74" w:rsidRDefault="006C1B74">
      <w:pPr>
        <w:pStyle w:val="TOC3"/>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Member UE selection assistance functionality for application operation</w:t>
      </w:r>
      <w:r>
        <w:tab/>
      </w:r>
      <w:r>
        <w:fldChar w:fldCharType="begin" w:fldLock="1"/>
      </w:r>
      <w:r>
        <w:instrText xml:space="preserve"> PAGEREF _Toc201157718 \h </w:instrText>
      </w:r>
      <w:r>
        <w:fldChar w:fldCharType="separate"/>
      </w:r>
      <w:r>
        <w:t>519</w:t>
      </w:r>
      <w:r>
        <w:fldChar w:fldCharType="end"/>
      </w:r>
    </w:p>
    <w:p w14:paraId="1069B50E" w14:textId="03B058B2" w:rsidR="006C1B74" w:rsidRDefault="006C1B74">
      <w:pPr>
        <w:pStyle w:val="TOC2"/>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Support for Network Controlled Repeater (NCR)</w:t>
      </w:r>
      <w:r>
        <w:tab/>
      </w:r>
      <w:r>
        <w:fldChar w:fldCharType="begin" w:fldLock="1"/>
      </w:r>
      <w:r>
        <w:instrText xml:space="preserve"> PAGEREF _Toc201157719 \h </w:instrText>
      </w:r>
      <w:r>
        <w:fldChar w:fldCharType="separate"/>
      </w:r>
      <w:r>
        <w:t>519</w:t>
      </w:r>
      <w:r>
        <w:fldChar w:fldCharType="end"/>
      </w:r>
    </w:p>
    <w:p w14:paraId="4253A3BE" w14:textId="061EAB4B" w:rsidR="006C1B74" w:rsidRDefault="006C1B74">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Network Functions</w:t>
      </w:r>
      <w:r>
        <w:tab/>
      </w:r>
      <w:r>
        <w:fldChar w:fldCharType="begin" w:fldLock="1"/>
      </w:r>
      <w:r>
        <w:instrText xml:space="preserve"> PAGEREF _Toc201157720 \h </w:instrText>
      </w:r>
      <w:r>
        <w:fldChar w:fldCharType="separate"/>
      </w:r>
      <w:r>
        <w:t>520</w:t>
      </w:r>
      <w:r>
        <w:fldChar w:fldCharType="end"/>
      </w:r>
    </w:p>
    <w:p w14:paraId="1DBD78B5" w14:textId="514B9BDD" w:rsidR="006C1B74" w:rsidRDefault="006C1B74">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_Toc201157721 \h </w:instrText>
      </w:r>
      <w:r>
        <w:fldChar w:fldCharType="separate"/>
      </w:r>
      <w:r>
        <w:t>520</w:t>
      </w:r>
      <w:r>
        <w:fldChar w:fldCharType="end"/>
      </w:r>
    </w:p>
    <w:p w14:paraId="08CC7294" w14:textId="008E90A1" w:rsidR="006C1B74" w:rsidRDefault="006C1B74">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Network Function Functional description</w:t>
      </w:r>
      <w:r>
        <w:tab/>
      </w:r>
      <w:r>
        <w:fldChar w:fldCharType="begin" w:fldLock="1"/>
      </w:r>
      <w:r>
        <w:instrText xml:space="preserve"> PAGEREF _Toc201157722 \h </w:instrText>
      </w:r>
      <w:r>
        <w:fldChar w:fldCharType="separate"/>
      </w:r>
      <w:r>
        <w:t>520</w:t>
      </w:r>
      <w:r>
        <w:fldChar w:fldCharType="end"/>
      </w:r>
    </w:p>
    <w:p w14:paraId="26543B6F" w14:textId="442ECD80" w:rsidR="006C1B74" w:rsidRDefault="006C1B74">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AMF</w:t>
      </w:r>
      <w:r>
        <w:tab/>
      </w:r>
      <w:r>
        <w:fldChar w:fldCharType="begin" w:fldLock="1"/>
      </w:r>
      <w:r>
        <w:instrText xml:space="preserve"> PAGEREF _Toc201157723 \h </w:instrText>
      </w:r>
      <w:r>
        <w:fldChar w:fldCharType="separate"/>
      </w:r>
      <w:r>
        <w:t>520</w:t>
      </w:r>
      <w:r>
        <w:fldChar w:fldCharType="end"/>
      </w:r>
    </w:p>
    <w:p w14:paraId="0878D67D" w14:textId="3F19F6E4" w:rsidR="006C1B74" w:rsidRDefault="006C1B74">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SMF</w:t>
      </w:r>
      <w:r>
        <w:tab/>
      </w:r>
      <w:r>
        <w:fldChar w:fldCharType="begin" w:fldLock="1"/>
      </w:r>
      <w:r>
        <w:instrText xml:space="preserve"> PAGEREF _Toc201157724 \h </w:instrText>
      </w:r>
      <w:r>
        <w:fldChar w:fldCharType="separate"/>
      </w:r>
      <w:r>
        <w:t>522</w:t>
      </w:r>
      <w:r>
        <w:fldChar w:fldCharType="end"/>
      </w:r>
    </w:p>
    <w:p w14:paraId="1EC91FA0" w14:textId="15EC879C" w:rsidR="006C1B74" w:rsidRDefault="006C1B74">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UPF</w:t>
      </w:r>
      <w:r>
        <w:tab/>
      </w:r>
      <w:r>
        <w:fldChar w:fldCharType="begin" w:fldLock="1"/>
      </w:r>
      <w:r>
        <w:instrText xml:space="preserve"> PAGEREF _Toc201157725 \h </w:instrText>
      </w:r>
      <w:r>
        <w:fldChar w:fldCharType="separate"/>
      </w:r>
      <w:r>
        <w:t>524</w:t>
      </w:r>
      <w:r>
        <w:fldChar w:fldCharType="end"/>
      </w:r>
    </w:p>
    <w:p w14:paraId="24CF0908" w14:textId="451C4404" w:rsidR="006C1B74" w:rsidRDefault="006C1B74">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PCF</w:t>
      </w:r>
      <w:r>
        <w:tab/>
      </w:r>
      <w:r>
        <w:fldChar w:fldCharType="begin" w:fldLock="1"/>
      </w:r>
      <w:r>
        <w:instrText xml:space="preserve"> PAGEREF _Toc201157726 \h </w:instrText>
      </w:r>
      <w:r>
        <w:fldChar w:fldCharType="separate"/>
      </w:r>
      <w:r>
        <w:t>525</w:t>
      </w:r>
      <w:r>
        <w:fldChar w:fldCharType="end"/>
      </w:r>
    </w:p>
    <w:p w14:paraId="359A2B75" w14:textId="3F0B1E33" w:rsidR="006C1B74" w:rsidRDefault="006C1B74">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NEF</w:t>
      </w:r>
      <w:r>
        <w:tab/>
      </w:r>
      <w:r>
        <w:fldChar w:fldCharType="begin" w:fldLock="1"/>
      </w:r>
      <w:r>
        <w:instrText xml:space="preserve"> PAGEREF _Toc201157727 \h </w:instrText>
      </w:r>
      <w:r>
        <w:fldChar w:fldCharType="separate"/>
      </w:r>
      <w:r>
        <w:t>525</w:t>
      </w:r>
      <w:r>
        <w:fldChar w:fldCharType="end"/>
      </w:r>
    </w:p>
    <w:p w14:paraId="76820024" w14:textId="1ADE5DD1" w:rsidR="006C1B74" w:rsidRDefault="006C1B74">
      <w:pPr>
        <w:pStyle w:val="TOC4"/>
        <w:rPr>
          <w:rFonts w:asciiTheme="minorHAnsi" w:eastAsiaTheme="minorEastAsia" w:hAnsiTheme="minorHAnsi" w:cstheme="minorBidi"/>
          <w:kern w:val="2"/>
          <w:sz w:val="24"/>
          <w:szCs w:val="24"/>
          <w14:ligatures w14:val="standardContextual"/>
        </w:rPr>
      </w:pPr>
      <w:r>
        <w:t>6.2.5.0</w:t>
      </w:r>
      <w:r>
        <w:rPr>
          <w:rFonts w:asciiTheme="minorHAnsi" w:eastAsiaTheme="minorEastAsia" w:hAnsiTheme="minorHAnsi" w:cstheme="minorBidi"/>
          <w:kern w:val="2"/>
          <w:sz w:val="24"/>
          <w:szCs w:val="24"/>
          <w14:ligatures w14:val="standardContextual"/>
        </w:rPr>
        <w:tab/>
      </w:r>
      <w:r>
        <w:t>NEF functionality</w:t>
      </w:r>
      <w:r>
        <w:tab/>
      </w:r>
      <w:r>
        <w:fldChar w:fldCharType="begin" w:fldLock="1"/>
      </w:r>
      <w:r>
        <w:instrText xml:space="preserve"> PAGEREF _Toc201157728 \h </w:instrText>
      </w:r>
      <w:r>
        <w:fldChar w:fldCharType="separate"/>
      </w:r>
      <w:r>
        <w:t>525</w:t>
      </w:r>
      <w:r>
        <w:fldChar w:fldCharType="end"/>
      </w:r>
    </w:p>
    <w:p w14:paraId="744C60B5" w14:textId="06942B68" w:rsidR="006C1B74" w:rsidRDefault="006C1B74">
      <w:pPr>
        <w:pStyle w:val="TOC4"/>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Support for CAPIF</w:t>
      </w:r>
      <w:r>
        <w:tab/>
      </w:r>
      <w:r>
        <w:fldChar w:fldCharType="begin" w:fldLock="1"/>
      </w:r>
      <w:r>
        <w:instrText xml:space="preserve"> PAGEREF _Toc201157729 \h </w:instrText>
      </w:r>
      <w:r>
        <w:fldChar w:fldCharType="separate"/>
      </w:r>
      <w:r>
        <w:t>526</w:t>
      </w:r>
      <w:r>
        <w:fldChar w:fldCharType="end"/>
      </w:r>
    </w:p>
    <w:p w14:paraId="3126F4DE" w14:textId="15F81D00" w:rsidR="006C1B74" w:rsidRDefault="006C1B74">
      <w:pPr>
        <w:pStyle w:val="TOC3"/>
        <w:rPr>
          <w:rFonts w:asciiTheme="minorHAnsi" w:eastAsiaTheme="minorEastAsia" w:hAnsiTheme="minorHAnsi" w:cstheme="minorBidi"/>
          <w:kern w:val="2"/>
          <w:sz w:val="24"/>
          <w:szCs w:val="24"/>
          <w14:ligatures w14:val="standardContextual"/>
        </w:rPr>
      </w:pPr>
      <w:r>
        <w:t>6.2.5a</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_Toc201157730 \h </w:instrText>
      </w:r>
      <w:r>
        <w:fldChar w:fldCharType="separate"/>
      </w:r>
      <w:r>
        <w:t>527</w:t>
      </w:r>
      <w:r>
        <w:fldChar w:fldCharType="end"/>
      </w:r>
    </w:p>
    <w:p w14:paraId="3E8CBEE4" w14:textId="5902689E" w:rsidR="006C1B74" w:rsidRDefault="006C1B74">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NRF</w:t>
      </w:r>
      <w:r>
        <w:tab/>
      </w:r>
      <w:r>
        <w:fldChar w:fldCharType="begin" w:fldLock="1"/>
      </w:r>
      <w:r>
        <w:instrText xml:space="preserve"> PAGEREF _Toc201157731 \h </w:instrText>
      </w:r>
      <w:r>
        <w:fldChar w:fldCharType="separate"/>
      </w:r>
      <w:r>
        <w:t>527</w:t>
      </w:r>
      <w:r>
        <w:fldChar w:fldCharType="end"/>
      </w:r>
    </w:p>
    <w:p w14:paraId="38840D4A" w14:textId="776A357C" w:rsidR="006C1B74" w:rsidRDefault="006C1B74">
      <w:pPr>
        <w:pStyle w:val="TOC4"/>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_Toc201157732 \h </w:instrText>
      </w:r>
      <w:r>
        <w:fldChar w:fldCharType="separate"/>
      </w:r>
      <w:r>
        <w:t>527</w:t>
      </w:r>
      <w:r>
        <w:fldChar w:fldCharType="end"/>
      </w:r>
    </w:p>
    <w:p w14:paraId="3CFEAF44" w14:textId="63B1B369" w:rsidR="006C1B74" w:rsidRDefault="006C1B74">
      <w:pPr>
        <w:pStyle w:val="TOC4"/>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NF profile</w:t>
      </w:r>
      <w:r>
        <w:tab/>
      </w:r>
      <w:r>
        <w:fldChar w:fldCharType="begin" w:fldLock="1"/>
      </w:r>
      <w:r>
        <w:instrText xml:space="preserve"> PAGEREF _Toc201157733 \h </w:instrText>
      </w:r>
      <w:r>
        <w:fldChar w:fldCharType="separate"/>
      </w:r>
      <w:r>
        <w:t>527</w:t>
      </w:r>
      <w:r>
        <w:fldChar w:fldCharType="end"/>
      </w:r>
    </w:p>
    <w:p w14:paraId="1196A650" w14:textId="7D65AE75" w:rsidR="006C1B74" w:rsidRDefault="006C1B74">
      <w:pPr>
        <w:pStyle w:val="TOC4"/>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SCP profile</w:t>
      </w:r>
      <w:r>
        <w:tab/>
      </w:r>
      <w:r>
        <w:fldChar w:fldCharType="begin" w:fldLock="1"/>
      </w:r>
      <w:r>
        <w:instrText xml:space="preserve"> PAGEREF _Toc201157734 \h </w:instrText>
      </w:r>
      <w:r>
        <w:fldChar w:fldCharType="separate"/>
      </w:r>
      <w:r>
        <w:t>530</w:t>
      </w:r>
      <w:r>
        <w:fldChar w:fldCharType="end"/>
      </w:r>
    </w:p>
    <w:p w14:paraId="5B770009" w14:textId="47BE1F46" w:rsidR="006C1B74" w:rsidRDefault="006C1B74">
      <w:pPr>
        <w:pStyle w:val="TOC3"/>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UDM</w:t>
      </w:r>
      <w:r>
        <w:tab/>
      </w:r>
      <w:r>
        <w:fldChar w:fldCharType="begin" w:fldLock="1"/>
      </w:r>
      <w:r>
        <w:instrText xml:space="preserve"> PAGEREF _Toc201157735 \h </w:instrText>
      </w:r>
      <w:r>
        <w:fldChar w:fldCharType="separate"/>
      </w:r>
      <w:r>
        <w:t>530</w:t>
      </w:r>
      <w:r>
        <w:fldChar w:fldCharType="end"/>
      </w:r>
    </w:p>
    <w:p w14:paraId="7F494337" w14:textId="110B14C5" w:rsidR="006C1B74" w:rsidRDefault="006C1B74">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AUSF</w:t>
      </w:r>
      <w:r>
        <w:tab/>
      </w:r>
      <w:r>
        <w:fldChar w:fldCharType="begin" w:fldLock="1"/>
      </w:r>
      <w:r>
        <w:instrText xml:space="preserve"> PAGEREF _Toc201157736 \h </w:instrText>
      </w:r>
      <w:r>
        <w:fldChar w:fldCharType="separate"/>
      </w:r>
      <w:r>
        <w:t>531</w:t>
      </w:r>
      <w:r>
        <w:fldChar w:fldCharType="end"/>
      </w:r>
    </w:p>
    <w:p w14:paraId="38A48F0A" w14:textId="4A8FD621" w:rsidR="006C1B74" w:rsidRDefault="006C1B74">
      <w:pPr>
        <w:pStyle w:val="TOC3"/>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N3IWF</w:t>
      </w:r>
      <w:r>
        <w:tab/>
      </w:r>
      <w:r>
        <w:fldChar w:fldCharType="begin" w:fldLock="1"/>
      </w:r>
      <w:r>
        <w:instrText xml:space="preserve"> PAGEREF _Toc201157737 \h </w:instrText>
      </w:r>
      <w:r>
        <w:fldChar w:fldCharType="separate"/>
      </w:r>
      <w:r>
        <w:t>531</w:t>
      </w:r>
      <w:r>
        <w:fldChar w:fldCharType="end"/>
      </w:r>
    </w:p>
    <w:p w14:paraId="1C10486E" w14:textId="0A5159D7" w:rsidR="006C1B74" w:rsidRDefault="006C1B74">
      <w:pPr>
        <w:pStyle w:val="TOC3"/>
        <w:rPr>
          <w:rFonts w:asciiTheme="minorHAnsi" w:eastAsiaTheme="minorEastAsia" w:hAnsiTheme="minorHAnsi" w:cstheme="minorBidi"/>
          <w:kern w:val="2"/>
          <w:sz w:val="24"/>
          <w:szCs w:val="24"/>
          <w14:ligatures w14:val="standardContextual"/>
        </w:rPr>
      </w:pPr>
      <w:r>
        <w:t>6.2.9A</w:t>
      </w:r>
      <w:r>
        <w:rPr>
          <w:rFonts w:asciiTheme="minorHAnsi" w:eastAsiaTheme="minorEastAsia" w:hAnsiTheme="minorHAnsi" w:cstheme="minorBidi"/>
          <w:kern w:val="2"/>
          <w:sz w:val="24"/>
          <w:szCs w:val="24"/>
          <w14:ligatures w14:val="standardContextual"/>
        </w:rPr>
        <w:tab/>
      </w:r>
      <w:r>
        <w:t>TNGF</w:t>
      </w:r>
      <w:r>
        <w:tab/>
      </w:r>
      <w:r>
        <w:fldChar w:fldCharType="begin" w:fldLock="1"/>
      </w:r>
      <w:r>
        <w:instrText xml:space="preserve"> PAGEREF _Toc201157738 \h </w:instrText>
      </w:r>
      <w:r>
        <w:fldChar w:fldCharType="separate"/>
      </w:r>
      <w:r>
        <w:t>532</w:t>
      </w:r>
      <w:r>
        <w:fldChar w:fldCharType="end"/>
      </w:r>
    </w:p>
    <w:p w14:paraId="37B7569D" w14:textId="3F33E151" w:rsidR="006C1B74" w:rsidRDefault="006C1B74">
      <w:pPr>
        <w:pStyle w:val="TOC3"/>
        <w:rPr>
          <w:rFonts w:asciiTheme="minorHAnsi" w:eastAsiaTheme="minorEastAsia" w:hAnsiTheme="minorHAnsi" w:cstheme="minorBidi"/>
          <w:kern w:val="2"/>
          <w:sz w:val="24"/>
          <w:szCs w:val="24"/>
          <w14:ligatures w14:val="standardContextual"/>
        </w:rPr>
      </w:pPr>
      <w:r>
        <w:t>6.2.10</w:t>
      </w:r>
      <w:r>
        <w:rPr>
          <w:rFonts w:asciiTheme="minorHAnsi" w:eastAsiaTheme="minorEastAsia" w:hAnsiTheme="minorHAnsi" w:cstheme="minorBidi"/>
          <w:kern w:val="2"/>
          <w:sz w:val="24"/>
          <w:szCs w:val="24"/>
          <w14:ligatures w14:val="standardContextual"/>
        </w:rPr>
        <w:tab/>
      </w:r>
      <w:r>
        <w:t>AF</w:t>
      </w:r>
      <w:r>
        <w:tab/>
      </w:r>
      <w:r>
        <w:fldChar w:fldCharType="begin" w:fldLock="1"/>
      </w:r>
      <w:r>
        <w:instrText xml:space="preserve"> PAGEREF _Toc201157739 \h </w:instrText>
      </w:r>
      <w:r>
        <w:fldChar w:fldCharType="separate"/>
      </w:r>
      <w:r>
        <w:t>532</w:t>
      </w:r>
      <w:r>
        <w:fldChar w:fldCharType="end"/>
      </w:r>
    </w:p>
    <w:p w14:paraId="0F8296C9" w14:textId="23967A71" w:rsidR="006C1B74" w:rsidRDefault="006C1B74">
      <w:pPr>
        <w:pStyle w:val="TOC3"/>
        <w:rPr>
          <w:rFonts w:asciiTheme="minorHAnsi" w:eastAsiaTheme="minorEastAsia" w:hAnsiTheme="minorHAnsi" w:cstheme="minorBidi"/>
          <w:kern w:val="2"/>
          <w:sz w:val="24"/>
          <w:szCs w:val="24"/>
          <w14:ligatures w14:val="standardContextual"/>
        </w:rPr>
      </w:pPr>
      <w:r>
        <w:lastRenderedPageBreak/>
        <w:t>6.2.11</w:t>
      </w:r>
      <w:r>
        <w:rPr>
          <w:rFonts w:asciiTheme="minorHAnsi" w:eastAsiaTheme="minorEastAsia" w:hAnsiTheme="minorHAnsi" w:cstheme="minorBidi"/>
          <w:kern w:val="2"/>
          <w:sz w:val="24"/>
          <w:szCs w:val="24"/>
          <w14:ligatures w14:val="standardContextual"/>
        </w:rPr>
        <w:tab/>
      </w:r>
      <w:r>
        <w:t>UDR</w:t>
      </w:r>
      <w:r>
        <w:tab/>
      </w:r>
      <w:r>
        <w:fldChar w:fldCharType="begin" w:fldLock="1"/>
      </w:r>
      <w:r>
        <w:instrText xml:space="preserve"> PAGEREF _Toc201157740 \h </w:instrText>
      </w:r>
      <w:r>
        <w:fldChar w:fldCharType="separate"/>
      </w:r>
      <w:r>
        <w:t>532</w:t>
      </w:r>
      <w:r>
        <w:fldChar w:fldCharType="end"/>
      </w:r>
    </w:p>
    <w:p w14:paraId="1FDF5704" w14:textId="53907BAF" w:rsidR="006C1B74" w:rsidRDefault="006C1B74">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UDSF</w:t>
      </w:r>
      <w:r>
        <w:tab/>
      </w:r>
      <w:r>
        <w:fldChar w:fldCharType="begin" w:fldLock="1"/>
      </w:r>
      <w:r>
        <w:instrText xml:space="preserve"> PAGEREF _Toc201157741 \h </w:instrText>
      </w:r>
      <w:r>
        <w:fldChar w:fldCharType="separate"/>
      </w:r>
      <w:r>
        <w:t>533</w:t>
      </w:r>
      <w:r>
        <w:fldChar w:fldCharType="end"/>
      </w:r>
    </w:p>
    <w:p w14:paraId="5619FE8E" w14:textId="40B7B41D" w:rsidR="006C1B74" w:rsidRDefault="006C1B74">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SMSF</w:t>
      </w:r>
      <w:r>
        <w:tab/>
      </w:r>
      <w:r>
        <w:fldChar w:fldCharType="begin" w:fldLock="1"/>
      </w:r>
      <w:r>
        <w:instrText xml:space="preserve"> PAGEREF _Toc201157742 \h </w:instrText>
      </w:r>
      <w:r>
        <w:fldChar w:fldCharType="separate"/>
      </w:r>
      <w:r>
        <w:t>533</w:t>
      </w:r>
      <w:r>
        <w:fldChar w:fldCharType="end"/>
      </w:r>
    </w:p>
    <w:p w14:paraId="3E478014" w14:textId="34EA6949" w:rsidR="006C1B74" w:rsidRDefault="006C1B74">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NSSF</w:t>
      </w:r>
      <w:r>
        <w:tab/>
      </w:r>
      <w:r>
        <w:fldChar w:fldCharType="begin" w:fldLock="1"/>
      </w:r>
      <w:r>
        <w:instrText xml:space="preserve"> PAGEREF _Toc201157743 \h </w:instrText>
      </w:r>
      <w:r>
        <w:fldChar w:fldCharType="separate"/>
      </w:r>
      <w:r>
        <w:t>533</w:t>
      </w:r>
      <w:r>
        <w:fldChar w:fldCharType="end"/>
      </w:r>
    </w:p>
    <w:p w14:paraId="580947B8" w14:textId="73781A34" w:rsidR="006C1B74" w:rsidRDefault="006C1B74">
      <w:pPr>
        <w:pStyle w:val="TOC3"/>
        <w:rPr>
          <w:rFonts w:asciiTheme="minorHAnsi" w:eastAsiaTheme="minorEastAsia" w:hAnsiTheme="minorHAnsi" w:cstheme="minorBidi"/>
          <w:kern w:val="2"/>
          <w:sz w:val="24"/>
          <w:szCs w:val="24"/>
          <w14:ligatures w14:val="standardContextual"/>
        </w:rPr>
      </w:pPr>
      <w:r>
        <w:t>6.2.</w:t>
      </w:r>
      <w:r>
        <w:rPr>
          <w:lang w:eastAsia="zh-CN"/>
        </w:rPr>
        <w:t>15</w:t>
      </w:r>
      <w:r>
        <w:rPr>
          <w:rFonts w:asciiTheme="minorHAnsi" w:eastAsiaTheme="minorEastAsia" w:hAnsiTheme="minorHAnsi" w:cstheme="minorBidi"/>
          <w:kern w:val="2"/>
          <w:sz w:val="24"/>
          <w:szCs w:val="24"/>
          <w14:ligatures w14:val="standardContextual"/>
        </w:rPr>
        <w:tab/>
      </w:r>
      <w:r>
        <w:t>5G-</w:t>
      </w:r>
      <w:r>
        <w:rPr>
          <w:lang w:eastAsia="zh-CN"/>
        </w:rPr>
        <w:t>EIR</w:t>
      </w:r>
      <w:r>
        <w:tab/>
      </w:r>
      <w:r>
        <w:fldChar w:fldCharType="begin" w:fldLock="1"/>
      </w:r>
      <w:r>
        <w:instrText xml:space="preserve"> PAGEREF _Toc201157744 \h </w:instrText>
      </w:r>
      <w:r>
        <w:fldChar w:fldCharType="separate"/>
      </w:r>
      <w:r>
        <w:t>533</w:t>
      </w:r>
      <w:r>
        <w:fldChar w:fldCharType="end"/>
      </w:r>
    </w:p>
    <w:p w14:paraId="7711507B" w14:textId="5013D217" w:rsidR="006C1B74" w:rsidRDefault="006C1B74">
      <w:pPr>
        <w:pStyle w:val="TOC3"/>
        <w:rPr>
          <w:rFonts w:asciiTheme="minorHAnsi" w:eastAsiaTheme="minorEastAsia" w:hAnsiTheme="minorHAnsi" w:cstheme="minorBidi"/>
          <w:kern w:val="2"/>
          <w:sz w:val="24"/>
          <w:szCs w:val="24"/>
          <w14:ligatures w14:val="standardContextual"/>
        </w:rPr>
      </w:pPr>
      <w:r>
        <w:t>6.2.16</w:t>
      </w:r>
      <w:r>
        <w:rPr>
          <w:rFonts w:asciiTheme="minorHAnsi" w:eastAsiaTheme="minorEastAsia" w:hAnsiTheme="minorHAnsi" w:cstheme="minorBidi"/>
          <w:kern w:val="2"/>
          <w:sz w:val="24"/>
          <w:szCs w:val="24"/>
          <w14:ligatures w14:val="standardContextual"/>
        </w:rPr>
        <w:tab/>
      </w:r>
      <w:r>
        <w:t>LMF</w:t>
      </w:r>
      <w:r>
        <w:tab/>
      </w:r>
      <w:r>
        <w:fldChar w:fldCharType="begin" w:fldLock="1"/>
      </w:r>
      <w:r>
        <w:instrText xml:space="preserve"> PAGEREF _Toc201157745 \h </w:instrText>
      </w:r>
      <w:r>
        <w:fldChar w:fldCharType="separate"/>
      </w:r>
      <w:r>
        <w:t>534</w:t>
      </w:r>
      <w:r>
        <w:fldChar w:fldCharType="end"/>
      </w:r>
    </w:p>
    <w:p w14:paraId="6E497B70" w14:textId="61E6129C" w:rsidR="006C1B74" w:rsidRDefault="006C1B74">
      <w:pPr>
        <w:pStyle w:val="TOC3"/>
        <w:rPr>
          <w:rFonts w:asciiTheme="minorHAnsi" w:eastAsiaTheme="minorEastAsia" w:hAnsiTheme="minorHAnsi" w:cstheme="minorBidi"/>
          <w:kern w:val="2"/>
          <w:sz w:val="24"/>
          <w:szCs w:val="24"/>
          <w14:ligatures w14:val="standardContextual"/>
        </w:rPr>
      </w:pPr>
      <w:r>
        <w:t>6.2.16A</w:t>
      </w:r>
      <w:r>
        <w:rPr>
          <w:rFonts w:asciiTheme="minorHAnsi" w:eastAsiaTheme="minorEastAsia" w:hAnsiTheme="minorHAnsi" w:cstheme="minorBidi"/>
          <w:kern w:val="2"/>
          <w:sz w:val="24"/>
          <w:szCs w:val="24"/>
          <w14:ligatures w14:val="standardContextual"/>
        </w:rPr>
        <w:tab/>
      </w:r>
      <w:r>
        <w:t>GMLC</w:t>
      </w:r>
      <w:r>
        <w:tab/>
      </w:r>
      <w:r>
        <w:fldChar w:fldCharType="begin" w:fldLock="1"/>
      </w:r>
      <w:r>
        <w:instrText xml:space="preserve"> PAGEREF _Toc201157746 \h </w:instrText>
      </w:r>
      <w:r>
        <w:fldChar w:fldCharType="separate"/>
      </w:r>
      <w:r>
        <w:t>534</w:t>
      </w:r>
      <w:r>
        <w:fldChar w:fldCharType="end"/>
      </w:r>
    </w:p>
    <w:p w14:paraId="1411622A" w14:textId="41CD4A08" w:rsidR="006C1B74" w:rsidRDefault="006C1B74">
      <w:pPr>
        <w:pStyle w:val="TOC3"/>
        <w:rPr>
          <w:rFonts w:asciiTheme="minorHAnsi" w:eastAsiaTheme="minorEastAsia" w:hAnsiTheme="minorHAnsi" w:cstheme="minorBidi"/>
          <w:kern w:val="2"/>
          <w:sz w:val="24"/>
          <w:szCs w:val="24"/>
          <w14:ligatures w14:val="standardContextual"/>
        </w:rPr>
      </w:pPr>
      <w:r>
        <w:t>6.2.</w:t>
      </w:r>
      <w:r>
        <w:rPr>
          <w:lang w:eastAsia="zh-CN"/>
        </w:rPr>
        <w:t>17</w:t>
      </w:r>
      <w:r>
        <w:rPr>
          <w:rFonts w:asciiTheme="minorHAnsi" w:eastAsiaTheme="minorEastAsia" w:hAnsiTheme="minorHAnsi" w:cstheme="minorBidi"/>
          <w:kern w:val="2"/>
          <w:sz w:val="24"/>
          <w:szCs w:val="24"/>
          <w14:ligatures w14:val="standardContextual"/>
        </w:rPr>
        <w:tab/>
      </w:r>
      <w:r>
        <w:t>SEPP</w:t>
      </w:r>
      <w:r>
        <w:tab/>
      </w:r>
      <w:r>
        <w:fldChar w:fldCharType="begin" w:fldLock="1"/>
      </w:r>
      <w:r>
        <w:instrText xml:space="preserve"> PAGEREF _Toc201157747 \h </w:instrText>
      </w:r>
      <w:r>
        <w:fldChar w:fldCharType="separate"/>
      </w:r>
      <w:r>
        <w:t>534</w:t>
      </w:r>
      <w:r>
        <w:fldChar w:fldCharType="end"/>
      </w:r>
    </w:p>
    <w:p w14:paraId="79EF9D14" w14:textId="57069392" w:rsidR="006C1B74" w:rsidRDefault="006C1B74">
      <w:pPr>
        <w:pStyle w:val="TOC3"/>
        <w:rPr>
          <w:rFonts w:asciiTheme="minorHAnsi" w:eastAsiaTheme="minorEastAsia" w:hAnsiTheme="minorHAnsi" w:cstheme="minorBidi"/>
          <w:kern w:val="2"/>
          <w:sz w:val="24"/>
          <w:szCs w:val="24"/>
          <w14:ligatures w14:val="standardContextual"/>
        </w:rPr>
      </w:pPr>
      <w:r>
        <w:t>6.2.18</w:t>
      </w:r>
      <w:r>
        <w:rPr>
          <w:rFonts w:asciiTheme="minorHAnsi" w:eastAsiaTheme="minorEastAsia" w:hAnsiTheme="minorHAnsi" w:cstheme="minorBidi"/>
          <w:kern w:val="2"/>
          <w:sz w:val="24"/>
          <w:szCs w:val="24"/>
          <w14:ligatures w14:val="standardContextual"/>
        </w:rPr>
        <w:tab/>
      </w:r>
      <w:r>
        <w:t>Network Data Analytics Function (NWDAF)</w:t>
      </w:r>
      <w:r>
        <w:tab/>
      </w:r>
      <w:r>
        <w:fldChar w:fldCharType="begin" w:fldLock="1"/>
      </w:r>
      <w:r>
        <w:instrText xml:space="preserve"> PAGEREF _Toc201157748 \h </w:instrText>
      </w:r>
      <w:r>
        <w:fldChar w:fldCharType="separate"/>
      </w:r>
      <w:r>
        <w:t>534</w:t>
      </w:r>
      <w:r>
        <w:fldChar w:fldCharType="end"/>
      </w:r>
    </w:p>
    <w:p w14:paraId="7869EE77" w14:textId="2184D3CB" w:rsidR="006C1B74" w:rsidRDefault="006C1B74">
      <w:pPr>
        <w:pStyle w:val="TOC3"/>
        <w:rPr>
          <w:rFonts w:asciiTheme="minorHAnsi" w:eastAsiaTheme="minorEastAsia" w:hAnsiTheme="minorHAnsi" w:cstheme="minorBidi"/>
          <w:kern w:val="2"/>
          <w:sz w:val="24"/>
          <w:szCs w:val="24"/>
          <w14:ligatures w14:val="standardContextual"/>
        </w:rPr>
      </w:pPr>
      <w:r>
        <w:t>6.2.19</w:t>
      </w:r>
      <w:r>
        <w:rPr>
          <w:rFonts w:asciiTheme="minorHAnsi" w:eastAsiaTheme="minorEastAsia" w:hAnsiTheme="minorHAnsi" w:cstheme="minorBidi"/>
          <w:kern w:val="2"/>
          <w:sz w:val="24"/>
          <w:szCs w:val="24"/>
          <w14:ligatures w14:val="standardContextual"/>
        </w:rPr>
        <w:tab/>
      </w:r>
      <w:r>
        <w:t>SCP</w:t>
      </w:r>
      <w:r>
        <w:tab/>
      </w:r>
      <w:r>
        <w:fldChar w:fldCharType="begin" w:fldLock="1"/>
      </w:r>
      <w:r>
        <w:instrText xml:space="preserve"> PAGEREF _Toc201157749 \h </w:instrText>
      </w:r>
      <w:r>
        <w:fldChar w:fldCharType="separate"/>
      </w:r>
      <w:r>
        <w:t>535</w:t>
      </w:r>
      <w:r>
        <w:fldChar w:fldCharType="end"/>
      </w:r>
    </w:p>
    <w:p w14:paraId="12EE4225" w14:textId="018E9ABA" w:rsidR="006C1B74" w:rsidRDefault="006C1B74">
      <w:pPr>
        <w:pStyle w:val="TOC3"/>
        <w:rPr>
          <w:rFonts w:asciiTheme="minorHAnsi" w:eastAsiaTheme="minorEastAsia" w:hAnsiTheme="minorHAnsi" w:cstheme="minorBidi"/>
          <w:kern w:val="2"/>
          <w:sz w:val="24"/>
          <w:szCs w:val="24"/>
          <w14:ligatures w14:val="standardContextual"/>
        </w:rPr>
      </w:pPr>
      <w:r>
        <w:t>6.2.20</w:t>
      </w:r>
      <w:r>
        <w:rPr>
          <w:rFonts w:asciiTheme="minorHAnsi" w:eastAsiaTheme="minorEastAsia" w:hAnsiTheme="minorHAnsi" w:cstheme="minorBidi"/>
          <w:kern w:val="2"/>
          <w:sz w:val="24"/>
          <w:szCs w:val="24"/>
          <w14:ligatures w14:val="standardContextual"/>
        </w:rPr>
        <w:tab/>
      </w:r>
      <w:r>
        <w:t>W-AGF</w:t>
      </w:r>
      <w:r>
        <w:tab/>
      </w:r>
      <w:r>
        <w:fldChar w:fldCharType="begin" w:fldLock="1"/>
      </w:r>
      <w:r>
        <w:instrText xml:space="preserve"> PAGEREF _Toc201157750 \h </w:instrText>
      </w:r>
      <w:r>
        <w:fldChar w:fldCharType="separate"/>
      </w:r>
      <w:r>
        <w:t>535</w:t>
      </w:r>
      <w:r>
        <w:fldChar w:fldCharType="end"/>
      </w:r>
    </w:p>
    <w:p w14:paraId="596C431B" w14:textId="76EE7C2F" w:rsidR="006C1B74" w:rsidRDefault="006C1B74">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UE radio Capability Management Function (UCMF)</w:t>
      </w:r>
      <w:r>
        <w:tab/>
      </w:r>
      <w:r>
        <w:fldChar w:fldCharType="begin" w:fldLock="1"/>
      </w:r>
      <w:r>
        <w:instrText xml:space="preserve"> PAGEREF _Toc201157751 \h </w:instrText>
      </w:r>
      <w:r>
        <w:fldChar w:fldCharType="separate"/>
      </w:r>
      <w:r>
        <w:t>535</w:t>
      </w:r>
      <w:r>
        <w:fldChar w:fldCharType="end"/>
      </w:r>
    </w:p>
    <w:p w14:paraId="29574F75" w14:textId="50A9EE61" w:rsidR="006C1B74" w:rsidRDefault="006C1B74">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TWIF</w:t>
      </w:r>
      <w:r>
        <w:tab/>
      </w:r>
      <w:r>
        <w:fldChar w:fldCharType="begin" w:fldLock="1"/>
      </w:r>
      <w:r>
        <w:instrText xml:space="preserve"> PAGEREF _Toc201157752 \h </w:instrText>
      </w:r>
      <w:r>
        <w:fldChar w:fldCharType="separate"/>
      </w:r>
      <w:r>
        <w:t>536</w:t>
      </w:r>
      <w:r>
        <w:fldChar w:fldCharType="end"/>
      </w:r>
    </w:p>
    <w:p w14:paraId="158FFD85" w14:textId="5F00A35A" w:rsidR="006C1B74" w:rsidRDefault="006C1B74">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NSSAAF</w:t>
      </w:r>
      <w:r>
        <w:tab/>
      </w:r>
      <w:r>
        <w:fldChar w:fldCharType="begin" w:fldLock="1"/>
      </w:r>
      <w:r>
        <w:instrText xml:space="preserve"> PAGEREF _Toc201157753 \h </w:instrText>
      </w:r>
      <w:r>
        <w:fldChar w:fldCharType="separate"/>
      </w:r>
      <w:r>
        <w:t>536</w:t>
      </w:r>
      <w:r>
        <w:fldChar w:fldCharType="end"/>
      </w:r>
    </w:p>
    <w:p w14:paraId="4FFD8BC4" w14:textId="73B4AE4E" w:rsidR="006C1B74" w:rsidRDefault="006C1B74">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DCCF</w:t>
      </w:r>
      <w:r>
        <w:tab/>
      </w:r>
      <w:r>
        <w:fldChar w:fldCharType="begin" w:fldLock="1"/>
      </w:r>
      <w:r>
        <w:instrText xml:space="preserve"> PAGEREF _Toc201157754 \h </w:instrText>
      </w:r>
      <w:r>
        <w:fldChar w:fldCharType="separate"/>
      </w:r>
      <w:r>
        <w:t>536</w:t>
      </w:r>
      <w:r>
        <w:fldChar w:fldCharType="end"/>
      </w:r>
    </w:p>
    <w:p w14:paraId="4CE7BDBC" w14:textId="7863EF6B" w:rsidR="006C1B74" w:rsidRDefault="006C1B74">
      <w:pPr>
        <w:pStyle w:val="TOC3"/>
        <w:rPr>
          <w:rFonts w:asciiTheme="minorHAnsi" w:eastAsiaTheme="minorEastAsia" w:hAnsiTheme="minorHAnsi" w:cstheme="minorBidi"/>
          <w:kern w:val="2"/>
          <w:sz w:val="24"/>
          <w:szCs w:val="24"/>
          <w14:ligatures w14:val="standardContextual"/>
        </w:rPr>
      </w:pPr>
      <w:r>
        <w:t>6.2.25</w:t>
      </w:r>
      <w:r>
        <w:rPr>
          <w:rFonts w:asciiTheme="minorHAnsi" w:eastAsiaTheme="minorEastAsia" w:hAnsiTheme="minorHAnsi" w:cstheme="minorBidi"/>
          <w:kern w:val="2"/>
          <w:sz w:val="24"/>
          <w:szCs w:val="24"/>
          <w14:ligatures w14:val="standardContextual"/>
        </w:rPr>
        <w:tab/>
      </w:r>
      <w:r>
        <w:t>MFAF</w:t>
      </w:r>
      <w:r>
        <w:tab/>
      </w:r>
      <w:r>
        <w:fldChar w:fldCharType="begin" w:fldLock="1"/>
      </w:r>
      <w:r>
        <w:instrText xml:space="preserve"> PAGEREF _Toc201157755 \h </w:instrText>
      </w:r>
      <w:r>
        <w:fldChar w:fldCharType="separate"/>
      </w:r>
      <w:r>
        <w:t>536</w:t>
      </w:r>
      <w:r>
        <w:fldChar w:fldCharType="end"/>
      </w:r>
    </w:p>
    <w:p w14:paraId="7166C5D6" w14:textId="2D04D095" w:rsidR="006C1B74" w:rsidRDefault="006C1B74">
      <w:pPr>
        <w:pStyle w:val="TOC3"/>
        <w:rPr>
          <w:rFonts w:asciiTheme="minorHAnsi" w:eastAsiaTheme="minorEastAsia" w:hAnsiTheme="minorHAnsi" w:cstheme="minorBidi"/>
          <w:kern w:val="2"/>
          <w:sz w:val="24"/>
          <w:szCs w:val="24"/>
          <w14:ligatures w14:val="standardContextual"/>
        </w:rPr>
      </w:pPr>
      <w:r>
        <w:t>6.2.26</w:t>
      </w:r>
      <w:r>
        <w:rPr>
          <w:rFonts w:asciiTheme="minorHAnsi" w:eastAsiaTheme="minorEastAsia" w:hAnsiTheme="minorHAnsi" w:cstheme="minorBidi"/>
          <w:kern w:val="2"/>
          <w:sz w:val="24"/>
          <w:szCs w:val="24"/>
          <w14:ligatures w14:val="standardContextual"/>
        </w:rPr>
        <w:tab/>
      </w:r>
      <w:r>
        <w:t>ADRF</w:t>
      </w:r>
      <w:r>
        <w:tab/>
      </w:r>
      <w:r>
        <w:fldChar w:fldCharType="begin" w:fldLock="1"/>
      </w:r>
      <w:r>
        <w:instrText xml:space="preserve"> PAGEREF _Toc201157756 \h </w:instrText>
      </w:r>
      <w:r>
        <w:fldChar w:fldCharType="separate"/>
      </w:r>
      <w:r>
        <w:t>537</w:t>
      </w:r>
      <w:r>
        <w:fldChar w:fldCharType="end"/>
      </w:r>
    </w:p>
    <w:p w14:paraId="0EC09C34" w14:textId="7D3DA9CA" w:rsidR="006C1B74" w:rsidRDefault="006C1B74">
      <w:pPr>
        <w:pStyle w:val="TOC3"/>
        <w:rPr>
          <w:rFonts w:asciiTheme="minorHAnsi" w:eastAsiaTheme="minorEastAsia" w:hAnsiTheme="minorHAnsi" w:cstheme="minorBidi"/>
          <w:kern w:val="2"/>
          <w:sz w:val="24"/>
          <w:szCs w:val="24"/>
          <w14:ligatures w14:val="standardContextual"/>
        </w:rPr>
      </w:pPr>
      <w:r>
        <w:t>6.2.27</w:t>
      </w:r>
      <w:r>
        <w:rPr>
          <w:rFonts w:asciiTheme="minorHAnsi" w:eastAsiaTheme="minorEastAsia" w:hAnsiTheme="minorHAnsi" w:cstheme="minorBidi"/>
          <w:kern w:val="2"/>
          <w:sz w:val="24"/>
          <w:szCs w:val="24"/>
          <w14:ligatures w14:val="standardContextual"/>
        </w:rPr>
        <w:tab/>
      </w:r>
      <w:r>
        <w:t>MB-SMF</w:t>
      </w:r>
      <w:r>
        <w:tab/>
      </w:r>
      <w:r>
        <w:fldChar w:fldCharType="begin" w:fldLock="1"/>
      </w:r>
      <w:r>
        <w:instrText xml:space="preserve"> PAGEREF _Toc201157757 \h </w:instrText>
      </w:r>
      <w:r>
        <w:fldChar w:fldCharType="separate"/>
      </w:r>
      <w:r>
        <w:t>537</w:t>
      </w:r>
      <w:r>
        <w:fldChar w:fldCharType="end"/>
      </w:r>
    </w:p>
    <w:p w14:paraId="0E353B4E" w14:textId="23FC1772" w:rsidR="006C1B74" w:rsidRDefault="006C1B74">
      <w:pPr>
        <w:pStyle w:val="TOC3"/>
        <w:rPr>
          <w:rFonts w:asciiTheme="minorHAnsi" w:eastAsiaTheme="minorEastAsia" w:hAnsiTheme="minorHAnsi" w:cstheme="minorBidi"/>
          <w:kern w:val="2"/>
          <w:sz w:val="24"/>
          <w:szCs w:val="24"/>
          <w14:ligatures w14:val="standardContextual"/>
        </w:rPr>
      </w:pPr>
      <w:r>
        <w:t>6.2.27a</w:t>
      </w:r>
      <w:r>
        <w:rPr>
          <w:rFonts w:asciiTheme="minorHAnsi" w:eastAsiaTheme="minorEastAsia" w:hAnsiTheme="minorHAnsi" w:cstheme="minorBidi"/>
          <w:kern w:val="2"/>
          <w:sz w:val="24"/>
          <w:szCs w:val="24"/>
          <w14:ligatures w14:val="standardContextual"/>
        </w:rPr>
        <w:tab/>
      </w:r>
      <w:r>
        <w:t>MB-UPF</w:t>
      </w:r>
      <w:r>
        <w:tab/>
      </w:r>
      <w:r>
        <w:fldChar w:fldCharType="begin" w:fldLock="1"/>
      </w:r>
      <w:r>
        <w:instrText xml:space="preserve"> PAGEREF _Toc201157758 \h </w:instrText>
      </w:r>
      <w:r>
        <w:fldChar w:fldCharType="separate"/>
      </w:r>
      <w:r>
        <w:t>537</w:t>
      </w:r>
      <w:r>
        <w:fldChar w:fldCharType="end"/>
      </w:r>
    </w:p>
    <w:p w14:paraId="2B30CC98" w14:textId="31FB3B1C" w:rsidR="006C1B74" w:rsidRDefault="006C1B74">
      <w:pPr>
        <w:pStyle w:val="TOC3"/>
        <w:rPr>
          <w:rFonts w:asciiTheme="minorHAnsi" w:eastAsiaTheme="minorEastAsia" w:hAnsiTheme="minorHAnsi" w:cstheme="minorBidi"/>
          <w:kern w:val="2"/>
          <w:sz w:val="24"/>
          <w:szCs w:val="24"/>
          <w14:ligatures w14:val="standardContextual"/>
        </w:rPr>
      </w:pPr>
      <w:r>
        <w:t>6.2.27b</w:t>
      </w:r>
      <w:r>
        <w:rPr>
          <w:rFonts w:asciiTheme="minorHAnsi" w:eastAsiaTheme="minorEastAsia" w:hAnsiTheme="minorHAnsi" w:cstheme="minorBidi"/>
          <w:kern w:val="2"/>
          <w:sz w:val="24"/>
          <w:szCs w:val="24"/>
          <w14:ligatures w14:val="standardContextual"/>
        </w:rPr>
        <w:tab/>
      </w:r>
      <w:r>
        <w:t>MBSF</w:t>
      </w:r>
      <w:r>
        <w:tab/>
      </w:r>
      <w:r>
        <w:fldChar w:fldCharType="begin" w:fldLock="1"/>
      </w:r>
      <w:r>
        <w:instrText xml:space="preserve"> PAGEREF _Toc201157759 \h </w:instrText>
      </w:r>
      <w:r>
        <w:fldChar w:fldCharType="separate"/>
      </w:r>
      <w:r>
        <w:t>537</w:t>
      </w:r>
      <w:r>
        <w:fldChar w:fldCharType="end"/>
      </w:r>
    </w:p>
    <w:p w14:paraId="0A25B1F9" w14:textId="7EF01944" w:rsidR="006C1B74" w:rsidRDefault="006C1B74">
      <w:pPr>
        <w:pStyle w:val="TOC3"/>
        <w:rPr>
          <w:rFonts w:asciiTheme="minorHAnsi" w:eastAsiaTheme="minorEastAsia" w:hAnsiTheme="minorHAnsi" w:cstheme="minorBidi"/>
          <w:kern w:val="2"/>
          <w:sz w:val="24"/>
          <w:szCs w:val="24"/>
          <w14:ligatures w14:val="standardContextual"/>
        </w:rPr>
      </w:pPr>
      <w:r>
        <w:t>6.2.27c</w:t>
      </w:r>
      <w:r>
        <w:rPr>
          <w:rFonts w:asciiTheme="minorHAnsi" w:eastAsiaTheme="minorEastAsia" w:hAnsiTheme="minorHAnsi" w:cstheme="minorBidi"/>
          <w:kern w:val="2"/>
          <w:sz w:val="24"/>
          <w:szCs w:val="24"/>
          <w14:ligatures w14:val="standardContextual"/>
        </w:rPr>
        <w:tab/>
      </w:r>
      <w:r>
        <w:t>MBSTF</w:t>
      </w:r>
      <w:r>
        <w:tab/>
      </w:r>
      <w:r>
        <w:fldChar w:fldCharType="begin" w:fldLock="1"/>
      </w:r>
      <w:r>
        <w:instrText xml:space="preserve"> PAGEREF _Toc201157760 \h </w:instrText>
      </w:r>
      <w:r>
        <w:fldChar w:fldCharType="separate"/>
      </w:r>
      <w:r>
        <w:t>537</w:t>
      </w:r>
      <w:r>
        <w:fldChar w:fldCharType="end"/>
      </w:r>
    </w:p>
    <w:p w14:paraId="63294D42" w14:textId="5C92CB17"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6.2.28</w:t>
      </w:r>
      <w:r>
        <w:rPr>
          <w:rFonts w:asciiTheme="minorHAnsi" w:eastAsiaTheme="minorEastAsia" w:hAnsiTheme="minorHAnsi" w:cstheme="minorBidi"/>
          <w:kern w:val="2"/>
          <w:sz w:val="24"/>
          <w:szCs w:val="24"/>
          <w14:ligatures w14:val="standardContextual"/>
        </w:rPr>
        <w:tab/>
      </w:r>
      <w:r>
        <w:rPr>
          <w:lang w:eastAsia="zh-CN"/>
        </w:rPr>
        <w:t>NSACF</w:t>
      </w:r>
      <w:r>
        <w:tab/>
      </w:r>
      <w:r>
        <w:fldChar w:fldCharType="begin" w:fldLock="1"/>
      </w:r>
      <w:r>
        <w:instrText xml:space="preserve"> PAGEREF _Toc201157761 \h </w:instrText>
      </w:r>
      <w:r>
        <w:fldChar w:fldCharType="separate"/>
      </w:r>
      <w:r>
        <w:t>537</w:t>
      </w:r>
      <w:r>
        <w:fldChar w:fldCharType="end"/>
      </w:r>
    </w:p>
    <w:p w14:paraId="4285D8D5" w14:textId="6AF237D1"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6.2.29</w:t>
      </w:r>
      <w:r>
        <w:rPr>
          <w:rFonts w:asciiTheme="minorHAnsi" w:eastAsiaTheme="minorEastAsia" w:hAnsiTheme="minorHAnsi" w:cstheme="minorBidi"/>
          <w:kern w:val="2"/>
          <w:sz w:val="24"/>
          <w:szCs w:val="24"/>
          <w14:ligatures w14:val="standardContextual"/>
        </w:rPr>
        <w:tab/>
      </w:r>
      <w:r>
        <w:rPr>
          <w:lang w:eastAsia="zh-CN"/>
        </w:rPr>
        <w:t>TSCTSF</w:t>
      </w:r>
      <w:r>
        <w:tab/>
      </w:r>
      <w:r>
        <w:fldChar w:fldCharType="begin" w:fldLock="1"/>
      </w:r>
      <w:r>
        <w:instrText xml:space="preserve"> PAGEREF _Toc201157762 \h </w:instrText>
      </w:r>
      <w:r>
        <w:fldChar w:fldCharType="separate"/>
      </w:r>
      <w:r>
        <w:t>538</w:t>
      </w:r>
      <w:r>
        <w:fldChar w:fldCharType="end"/>
      </w:r>
    </w:p>
    <w:p w14:paraId="23DC46E3" w14:textId="0A742D2D"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6.2.30</w:t>
      </w:r>
      <w:r>
        <w:rPr>
          <w:rFonts w:asciiTheme="minorHAnsi" w:eastAsiaTheme="minorEastAsia" w:hAnsiTheme="minorHAnsi" w:cstheme="minorBidi"/>
          <w:kern w:val="2"/>
          <w:sz w:val="24"/>
          <w:szCs w:val="24"/>
          <w14:ligatures w14:val="standardContextual"/>
        </w:rPr>
        <w:tab/>
      </w:r>
      <w:r>
        <w:rPr>
          <w:lang w:eastAsia="zh-CN"/>
        </w:rPr>
        <w:t>5G DDNMF</w:t>
      </w:r>
      <w:r>
        <w:tab/>
      </w:r>
      <w:r>
        <w:fldChar w:fldCharType="begin" w:fldLock="1"/>
      </w:r>
      <w:r>
        <w:instrText xml:space="preserve"> PAGEREF _Toc201157763 \h </w:instrText>
      </w:r>
      <w:r>
        <w:fldChar w:fldCharType="separate"/>
      </w:r>
      <w:r>
        <w:t>538</w:t>
      </w:r>
      <w:r>
        <w:fldChar w:fldCharType="end"/>
      </w:r>
    </w:p>
    <w:p w14:paraId="54982E55" w14:textId="3886C472"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EASDF</w:t>
      </w:r>
      <w:r>
        <w:tab/>
      </w:r>
      <w:r>
        <w:fldChar w:fldCharType="begin" w:fldLock="1"/>
      </w:r>
      <w:r>
        <w:instrText xml:space="preserve"> PAGEREF _Toc201157764 \h </w:instrText>
      </w:r>
      <w:r>
        <w:fldChar w:fldCharType="separate"/>
      </w:r>
      <w:r>
        <w:t>538</w:t>
      </w:r>
      <w:r>
        <w:fldChar w:fldCharType="end"/>
      </w:r>
    </w:p>
    <w:p w14:paraId="6D3651BC" w14:textId="1222D763"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TSN AF</w:t>
      </w:r>
      <w:r>
        <w:tab/>
      </w:r>
      <w:r>
        <w:fldChar w:fldCharType="begin" w:fldLock="1"/>
      </w:r>
      <w:r>
        <w:instrText xml:space="preserve"> PAGEREF _Toc201157765 \h </w:instrText>
      </w:r>
      <w:r>
        <w:fldChar w:fldCharType="separate"/>
      </w:r>
      <w:r>
        <w:t>539</w:t>
      </w:r>
      <w:r>
        <w:fldChar w:fldCharType="end"/>
      </w:r>
    </w:p>
    <w:p w14:paraId="57EA97DA" w14:textId="08719E34"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6.2.33</w:t>
      </w:r>
      <w:r>
        <w:rPr>
          <w:rFonts w:asciiTheme="minorHAnsi" w:eastAsiaTheme="minorEastAsia" w:hAnsiTheme="minorHAnsi" w:cstheme="minorBidi"/>
          <w:kern w:val="2"/>
          <w:sz w:val="24"/>
          <w:szCs w:val="24"/>
          <w14:ligatures w14:val="standardContextual"/>
        </w:rPr>
        <w:tab/>
      </w:r>
      <w:r>
        <w:rPr>
          <w:lang w:eastAsia="zh-CN"/>
        </w:rPr>
        <w:t>NSWOF</w:t>
      </w:r>
      <w:r>
        <w:tab/>
      </w:r>
      <w:r>
        <w:fldChar w:fldCharType="begin" w:fldLock="1"/>
      </w:r>
      <w:r>
        <w:instrText xml:space="preserve"> PAGEREF _Toc201157766 \h </w:instrText>
      </w:r>
      <w:r>
        <w:fldChar w:fldCharType="separate"/>
      </w:r>
      <w:r>
        <w:t>539</w:t>
      </w:r>
      <w:r>
        <w:fldChar w:fldCharType="end"/>
      </w:r>
    </w:p>
    <w:p w14:paraId="5DD05817" w14:textId="5C4FDA3F" w:rsidR="006C1B74" w:rsidRDefault="006C1B74">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Principles for Network Function and Network Function Service discovery and selection</w:t>
      </w:r>
      <w:r>
        <w:tab/>
      </w:r>
      <w:r>
        <w:fldChar w:fldCharType="begin" w:fldLock="1"/>
      </w:r>
      <w:r>
        <w:instrText xml:space="preserve"> PAGEREF _Toc201157767 \h </w:instrText>
      </w:r>
      <w:r>
        <w:fldChar w:fldCharType="separate"/>
      </w:r>
      <w:r>
        <w:t>539</w:t>
      </w:r>
      <w:r>
        <w:fldChar w:fldCharType="end"/>
      </w:r>
    </w:p>
    <w:p w14:paraId="1CD058A7" w14:textId="4C38E7C1"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_Toc201157768 \h </w:instrText>
      </w:r>
      <w:r>
        <w:fldChar w:fldCharType="separate"/>
      </w:r>
      <w:r>
        <w:t>539</w:t>
      </w:r>
      <w:r>
        <w:fldChar w:fldCharType="end"/>
      </w:r>
    </w:p>
    <w:p w14:paraId="7FE5C087" w14:textId="03B88110" w:rsidR="006C1B74" w:rsidRDefault="006C1B74">
      <w:pPr>
        <w:pStyle w:val="TOC4"/>
        <w:rPr>
          <w:rFonts w:asciiTheme="minorHAnsi" w:eastAsiaTheme="minorEastAsia" w:hAnsiTheme="minorHAnsi" w:cstheme="minorBidi"/>
          <w:kern w:val="2"/>
          <w:sz w:val="24"/>
          <w:szCs w:val="24"/>
          <w14:ligatures w14:val="standardContextual"/>
        </w:rPr>
      </w:pPr>
      <w:r>
        <w:t>6.3.1.0</w:t>
      </w:r>
      <w:r>
        <w:rPr>
          <w:rFonts w:asciiTheme="minorHAnsi" w:eastAsiaTheme="minorEastAsia" w:hAnsiTheme="minorHAnsi" w:cstheme="minorBidi"/>
          <w:kern w:val="2"/>
          <w:sz w:val="24"/>
          <w:szCs w:val="24"/>
          <w14:ligatures w14:val="standardContextual"/>
        </w:rPr>
        <w:tab/>
      </w:r>
      <w:r>
        <w:t>Principles for Binding, Selection and Reselection</w:t>
      </w:r>
      <w:r>
        <w:tab/>
      </w:r>
      <w:r>
        <w:fldChar w:fldCharType="begin" w:fldLock="1"/>
      </w:r>
      <w:r>
        <w:instrText xml:space="preserve"> PAGEREF _Toc201157769 \h </w:instrText>
      </w:r>
      <w:r>
        <w:fldChar w:fldCharType="separate"/>
      </w:r>
      <w:r>
        <w:t>540</w:t>
      </w:r>
      <w:r>
        <w:fldChar w:fldCharType="end"/>
      </w:r>
    </w:p>
    <w:p w14:paraId="2C17EE49" w14:textId="71BE9CF8" w:rsidR="006C1B74" w:rsidRDefault="006C1B74">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NF Discovery and Selection aspects relevant with indirect communication</w:t>
      </w:r>
      <w:r>
        <w:tab/>
      </w:r>
      <w:r>
        <w:fldChar w:fldCharType="begin" w:fldLock="1"/>
      </w:r>
      <w:r>
        <w:instrText xml:space="preserve"> PAGEREF _Toc201157770 \h </w:instrText>
      </w:r>
      <w:r>
        <w:fldChar w:fldCharType="separate"/>
      </w:r>
      <w:r>
        <w:t>543</w:t>
      </w:r>
      <w:r>
        <w:fldChar w:fldCharType="end"/>
      </w:r>
    </w:p>
    <w:p w14:paraId="2D1D2815" w14:textId="12E7DB7E" w:rsidR="006C1B74" w:rsidRDefault="006C1B74">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Location information</w:t>
      </w:r>
      <w:r>
        <w:tab/>
      </w:r>
      <w:r>
        <w:fldChar w:fldCharType="begin" w:fldLock="1"/>
      </w:r>
      <w:r>
        <w:instrText xml:space="preserve"> PAGEREF _Toc201157771 \h </w:instrText>
      </w:r>
      <w:r>
        <w:fldChar w:fldCharType="separate"/>
      </w:r>
      <w:r>
        <w:t>543</w:t>
      </w:r>
      <w:r>
        <w:fldChar w:fldCharType="end"/>
      </w:r>
    </w:p>
    <w:p w14:paraId="529784FF" w14:textId="6AD632D7" w:rsidR="006C1B74" w:rsidRDefault="006C1B74">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SMF discovery and selection</w:t>
      </w:r>
      <w:r>
        <w:tab/>
      </w:r>
      <w:r>
        <w:fldChar w:fldCharType="begin" w:fldLock="1"/>
      </w:r>
      <w:r>
        <w:instrText xml:space="preserve"> PAGEREF _Toc201157772 \h </w:instrText>
      </w:r>
      <w:r>
        <w:fldChar w:fldCharType="separate"/>
      </w:r>
      <w:r>
        <w:t>543</w:t>
      </w:r>
      <w:r>
        <w:fldChar w:fldCharType="end"/>
      </w:r>
    </w:p>
    <w:p w14:paraId="19D5FC89" w14:textId="40B9612D" w:rsidR="006C1B74" w:rsidRDefault="006C1B74">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User Plane Function Selection</w:t>
      </w:r>
      <w:r>
        <w:tab/>
      </w:r>
      <w:r>
        <w:fldChar w:fldCharType="begin" w:fldLock="1"/>
      </w:r>
      <w:r>
        <w:instrText xml:space="preserve"> PAGEREF _Toc201157773 \h </w:instrText>
      </w:r>
      <w:r>
        <w:fldChar w:fldCharType="separate"/>
      </w:r>
      <w:r>
        <w:t>546</w:t>
      </w:r>
      <w:r>
        <w:fldChar w:fldCharType="end"/>
      </w:r>
    </w:p>
    <w:p w14:paraId="4145DBB3" w14:textId="2766A175" w:rsidR="006C1B74" w:rsidRDefault="006C1B74">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_Toc201157774 \h </w:instrText>
      </w:r>
      <w:r>
        <w:fldChar w:fldCharType="separate"/>
      </w:r>
      <w:r>
        <w:t>546</w:t>
      </w:r>
      <w:r>
        <w:fldChar w:fldCharType="end"/>
      </w:r>
    </w:p>
    <w:p w14:paraId="300A4A41" w14:textId="708C6481" w:rsidR="006C1B74" w:rsidRDefault="006C1B74">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SMF Provisioning of available UPF(s)</w:t>
      </w:r>
      <w:r>
        <w:tab/>
      </w:r>
      <w:r>
        <w:fldChar w:fldCharType="begin" w:fldLock="1"/>
      </w:r>
      <w:r>
        <w:instrText xml:space="preserve"> PAGEREF _Toc201157775 \h </w:instrText>
      </w:r>
      <w:r>
        <w:fldChar w:fldCharType="separate"/>
      </w:r>
      <w:r>
        <w:t>547</w:t>
      </w:r>
      <w:r>
        <w:fldChar w:fldCharType="end"/>
      </w:r>
    </w:p>
    <w:p w14:paraId="15CF6C7E" w14:textId="22ACBCC7" w:rsidR="006C1B74" w:rsidRDefault="006C1B74">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Selection of an UPF for a particular PDU Session</w:t>
      </w:r>
      <w:r>
        <w:tab/>
      </w:r>
      <w:r>
        <w:fldChar w:fldCharType="begin" w:fldLock="1"/>
      </w:r>
      <w:r>
        <w:instrText xml:space="preserve"> PAGEREF _Toc201157776 \h </w:instrText>
      </w:r>
      <w:r>
        <w:fldChar w:fldCharType="separate"/>
      </w:r>
      <w:r>
        <w:t>547</w:t>
      </w:r>
      <w:r>
        <w:fldChar w:fldCharType="end"/>
      </w:r>
    </w:p>
    <w:p w14:paraId="5181DF2F" w14:textId="16917BF8"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6.3.</w:t>
      </w:r>
      <w:r w:rsidRPr="00191652">
        <w:rPr>
          <w:rFonts w:eastAsia="Malgun Gothic"/>
          <w:lang w:eastAsia="ko-KR"/>
        </w:rPr>
        <w:t>4</w:t>
      </w:r>
      <w:r>
        <w:rPr>
          <w:rFonts w:asciiTheme="minorHAnsi" w:eastAsiaTheme="minorEastAsia" w:hAnsiTheme="minorHAnsi" w:cstheme="minorBidi"/>
          <w:kern w:val="2"/>
          <w:sz w:val="24"/>
          <w:szCs w:val="24"/>
          <w14:ligatures w14:val="standardContextual"/>
        </w:rPr>
        <w:tab/>
      </w:r>
      <w:r w:rsidRPr="00191652">
        <w:rPr>
          <w:rFonts w:eastAsia="Malgun Gothic"/>
          <w:lang w:eastAsia="ko-KR"/>
        </w:rPr>
        <w:t>AUSF discovery and selection</w:t>
      </w:r>
      <w:r>
        <w:tab/>
      </w:r>
      <w:r>
        <w:fldChar w:fldCharType="begin" w:fldLock="1"/>
      </w:r>
      <w:r>
        <w:instrText xml:space="preserve"> PAGEREF _Toc201157777 \h </w:instrText>
      </w:r>
      <w:r>
        <w:fldChar w:fldCharType="separate"/>
      </w:r>
      <w:r>
        <w:t>548</w:t>
      </w:r>
      <w:r>
        <w:fldChar w:fldCharType="end"/>
      </w:r>
    </w:p>
    <w:p w14:paraId="7E5BFDDD" w14:textId="43F3FC7E" w:rsidR="006C1B74" w:rsidRDefault="006C1B74">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AMF discovery and selection</w:t>
      </w:r>
      <w:r>
        <w:tab/>
      </w:r>
      <w:r>
        <w:fldChar w:fldCharType="begin" w:fldLock="1"/>
      </w:r>
      <w:r>
        <w:instrText xml:space="preserve"> PAGEREF _Toc201157778 \h </w:instrText>
      </w:r>
      <w:r>
        <w:fldChar w:fldCharType="separate"/>
      </w:r>
      <w:r>
        <w:t>549</w:t>
      </w:r>
      <w:r>
        <w:fldChar w:fldCharType="end"/>
      </w:r>
    </w:p>
    <w:p w14:paraId="2A2707CA" w14:textId="1805F604" w:rsidR="006C1B74" w:rsidRDefault="006C1B74">
      <w:pPr>
        <w:pStyle w:val="TOC3"/>
        <w:rPr>
          <w:rFonts w:asciiTheme="minorHAnsi" w:eastAsiaTheme="minorEastAsia" w:hAnsiTheme="minorHAnsi" w:cstheme="minorBidi"/>
          <w:kern w:val="2"/>
          <w:sz w:val="24"/>
          <w:szCs w:val="24"/>
          <w14:ligatures w14:val="standardContextual"/>
        </w:rPr>
      </w:pPr>
      <w:r w:rsidRPr="00191652">
        <w:rPr>
          <w:rFonts w:eastAsia="Malgun Gothic"/>
          <w:lang w:eastAsia="ko-KR"/>
        </w:rPr>
        <w:t>6.3.6</w:t>
      </w:r>
      <w:r>
        <w:rPr>
          <w:rFonts w:asciiTheme="minorHAnsi" w:eastAsiaTheme="minorEastAsia" w:hAnsiTheme="minorHAnsi" w:cstheme="minorBidi"/>
          <w:kern w:val="2"/>
          <w:sz w:val="24"/>
          <w:szCs w:val="24"/>
          <w14:ligatures w14:val="standardContextual"/>
        </w:rPr>
        <w:tab/>
      </w:r>
      <w:r w:rsidRPr="00191652">
        <w:rPr>
          <w:rFonts w:eastAsia="Malgun Gothic"/>
          <w:lang w:eastAsia="ko-KR"/>
        </w:rPr>
        <w:t>N3IWF</w:t>
      </w:r>
      <w:r>
        <w:t xml:space="preserve"> </w:t>
      </w:r>
      <w:r w:rsidRPr="00191652">
        <w:rPr>
          <w:rFonts w:eastAsia="Malgun Gothic"/>
          <w:lang w:eastAsia="ko-KR"/>
        </w:rPr>
        <w:t>s</w:t>
      </w:r>
      <w:r>
        <w:t>election</w:t>
      </w:r>
      <w:r>
        <w:tab/>
      </w:r>
      <w:r>
        <w:fldChar w:fldCharType="begin" w:fldLock="1"/>
      </w:r>
      <w:r>
        <w:instrText xml:space="preserve"> PAGEREF _Toc201157779 \h </w:instrText>
      </w:r>
      <w:r>
        <w:fldChar w:fldCharType="separate"/>
      </w:r>
      <w:r>
        <w:t>552</w:t>
      </w:r>
      <w:r>
        <w:fldChar w:fldCharType="end"/>
      </w:r>
    </w:p>
    <w:p w14:paraId="366297A4" w14:textId="235A4480"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6.3.6.1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_Toc201157780 \h </w:instrText>
      </w:r>
      <w:r>
        <w:fldChar w:fldCharType="separate"/>
      </w:r>
      <w:r>
        <w:t>552</w:t>
      </w:r>
      <w:r>
        <w:fldChar w:fldCharType="end"/>
      </w:r>
    </w:p>
    <w:p w14:paraId="7F603E73" w14:textId="29B1FAE0" w:rsidR="006C1B74" w:rsidRDefault="006C1B74">
      <w:pPr>
        <w:pStyle w:val="TOC4"/>
        <w:rPr>
          <w:rFonts w:asciiTheme="minorHAnsi" w:eastAsiaTheme="minorEastAsia" w:hAnsiTheme="minorHAnsi" w:cstheme="minorBidi"/>
          <w:kern w:val="2"/>
          <w:sz w:val="24"/>
          <w:szCs w:val="24"/>
          <w14:ligatures w14:val="standardContextual"/>
        </w:rPr>
      </w:pPr>
      <w:r>
        <w:rPr>
          <w:lang w:eastAsia="ko-KR"/>
        </w:rPr>
        <w:t>6.3.6.2</w:t>
      </w:r>
      <w:r>
        <w:rPr>
          <w:rFonts w:asciiTheme="minorHAnsi" w:eastAsiaTheme="minorEastAsia" w:hAnsiTheme="minorHAnsi" w:cstheme="minorBidi"/>
          <w:kern w:val="2"/>
          <w:sz w:val="24"/>
          <w:szCs w:val="24"/>
          <w14:ligatures w14:val="standardContextual"/>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_Toc201157781 \h </w:instrText>
      </w:r>
      <w:r>
        <w:fldChar w:fldCharType="separate"/>
      </w:r>
      <w:r>
        <w:t>554</w:t>
      </w:r>
      <w:r>
        <w:fldChar w:fldCharType="end"/>
      </w:r>
    </w:p>
    <w:p w14:paraId="2A48B3BF" w14:textId="51E61085" w:rsidR="006C1B74" w:rsidRDefault="006C1B74">
      <w:pPr>
        <w:pStyle w:val="TOC4"/>
        <w:rPr>
          <w:rFonts w:asciiTheme="minorHAnsi" w:eastAsiaTheme="minorEastAsia" w:hAnsiTheme="minorHAnsi" w:cstheme="minorBidi"/>
          <w:kern w:val="2"/>
          <w:sz w:val="24"/>
          <w:szCs w:val="24"/>
          <w14:ligatures w14:val="standardContextual"/>
        </w:rPr>
      </w:pPr>
      <w:r>
        <w:t>6.3.6.2a</w:t>
      </w:r>
      <w:r>
        <w:rPr>
          <w:rFonts w:asciiTheme="minorHAnsi" w:eastAsiaTheme="minorEastAsia" w:hAnsiTheme="minorHAnsi" w:cstheme="minorBidi"/>
          <w:kern w:val="2"/>
          <w:sz w:val="24"/>
          <w:szCs w:val="24"/>
          <w14:ligatures w14:val="standardContextual"/>
        </w:rPr>
        <w:tab/>
      </w:r>
      <w:r>
        <w:t>SNPN N3IWF selection</w:t>
      </w:r>
      <w:r>
        <w:tab/>
      </w:r>
      <w:r>
        <w:fldChar w:fldCharType="begin" w:fldLock="1"/>
      </w:r>
      <w:r>
        <w:instrText xml:space="preserve"> PAGEREF _Toc201157782 \h </w:instrText>
      </w:r>
      <w:r>
        <w:fldChar w:fldCharType="separate"/>
      </w:r>
      <w:r>
        <w:t>555</w:t>
      </w:r>
      <w:r>
        <w:fldChar w:fldCharType="end"/>
      </w:r>
    </w:p>
    <w:p w14:paraId="42246481" w14:textId="466B3997" w:rsidR="006C1B74" w:rsidRDefault="006C1B74">
      <w:pPr>
        <w:pStyle w:val="TOC4"/>
        <w:rPr>
          <w:rFonts w:asciiTheme="minorHAnsi" w:eastAsiaTheme="minorEastAsia" w:hAnsiTheme="minorHAnsi" w:cstheme="minorBidi"/>
          <w:kern w:val="2"/>
          <w:sz w:val="24"/>
          <w:szCs w:val="24"/>
          <w14:ligatures w14:val="standardContextual"/>
        </w:rPr>
      </w:pPr>
      <w:r>
        <w:t>6.3.6.3</w:t>
      </w:r>
      <w:r>
        <w:rPr>
          <w:rFonts w:asciiTheme="minorHAnsi" w:eastAsiaTheme="minorEastAsia" w:hAnsiTheme="minorHAnsi" w:cstheme="minorBidi"/>
          <w:kern w:val="2"/>
          <w:sz w:val="24"/>
          <w:szCs w:val="24"/>
          <w14:ligatures w14:val="standardContextual"/>
        </w:rPr>
        <w:tab/>
      </w:r>
      <w:r>
        <w:t>Combined N3IWF/ePDG Selection</w:t>
      </w:r>
      <w:r>
        <w:tab/>
      </w:r>
      <w:r>
        <w:fldChar w:fldCharType="begin" w:fldLock="1"/>
      </w:r>
      <w:r>
        <w:instrText xml:space="preserve"> PAGEREF _Toc201157783 \h </w:instrText>
      </w:r>
      <w:r>
        <w:fldChar w:fldCharType="separate"/>
      </w:r>
      <w:r>
        <w:t>556</w:t>
      </w:r>
      <w:r>
        <w:fldChar w:fldCharType="end"/>
      </w:r>
    </w:p>
    <w:p w14:paraId="09307299" w14:textId="3981BD63" w:rsidR="006C1B74" w:rsidRDefault="006C1B74">
      <w:pPr>
        <w:pStyle w:val="TOC4"/>
        <w:rPr>
          <w:rFonts w:asciiTheme="minorHAnsi" w:eastAsiaTheme="minorEastAsia" w:hAnsiTheme="minorHAnsi" w:cstheme="minorBidi"/>
          <w:kern w:val="2"/>
          <w:sz w:val="24"/>
          <w:szCs w:val="24"/>
          <w14:ligatures w14:val="standardContextual"/>
        </w:rPr>
      </w:pPr>
      <w:r>
        <w:t>6.3.6.4</w:t>
      </w:r>
      <w:r>
        <w:rPr>
          <w:rFonts w:asciiTheme="minorHAnsi" w:eastAsiaTheme="minorEastAsia" w:hAnsiTheme="minorHAnsi" w:cstheme="minorBidi"/>
          <w:kern w:val="2"/>
          <w:sz w:val="24"/>
          <w:szCs w:val="24"/>
          <w14:ligatures w14:val="standardContextual"/>
        </w:rPr>
        <w:tab/>
      </w:r>
      <w:r>
        <w:t>PLMN and non-3GPP access node Selection for emergency services</w:t>
      </w:r>
      <w:r>
        <w:tab/>
      </w:r>
      <w:r>
        <w:fldChar w:fldCharType="begin" w:fldLock="1"/>
      </w:r>
      <w:r>
        <w:instrText xml:space="preserve"> PAGEREF _Toc201157784 \h </w:instrText>
      </w:r>
      <w:r>
        <w:fldChar w:fldCharType="separate"/>
      </w:r>
      <w:r>
        <w:t>558</w:t>
      </w:r>
      <w:r>
        <w:fldChar w:fldCharType="end"/>
      </w:r>
    </w:p>
    <w:p w14:paraId="22A900DF" w14:textId="6AD11A50" w:rsidR="006C1B74" w:rsidRDefault="006C1B74">
      <w:pPr>
        <w:pStyle w:val="TOC5"/>
        <w:rPr>
          <w:rFonts w:asciiTheme="minorHAnsi" w:eastAsiaTheme="minorEastAsia" w:hAnsiTheme="minorHAnsi" w:cstheme="minorBidi"/>
          <w:kern w:val="2"/>
          <w:sz w:val="24"/>
          <w:szCs w:val="24"/>
          <w14:ligatures w14:val="standardContextual"/>
        </w:rPr>
      </w:pPr>
      <w:r>
        <w:t>6.3.6.4.1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_Toc201157785 \h </w:instrText>
      </w:r>
      <w:r>
        <w:fldChar w:fldCharType="separate"/>
      </w:r>
      <w:r>
        <w:t>558</w:t>
      </w:r>
      <w:r>
        <w:fldChar w:fldCharType="end"/>
      </w:r>
    </w:p>
    <w:p w14:paraId="489321B6" w14:textId="0E5808C2" w:rsidR="006C1B74" w:rsidRDefault="006C1B74">
      <w:pPr>
        <w:pStyle w:val="TOC5"/>
        <w:rPr>
          <w:rFonts w:asciiTheme="minorHAnsi" w:eastAsiaTheme="minorEastAsia" w:hAnsiTheme="minorHAnsi" w:cstheme="minorBidi"/>
          <w:kern w:val="2"/>
          <w:sz w:val="24"/>
          <w:szCs w:val="24"/>
          <w14:ligatures w14:val="standardContextual"/>
        </w:rPr>
      </w:pPr>
      <w:r>
        <w:t>6.3.6.4.2</w:t>
      </w:r>
      <w:r>
        <w:rPr>
          <w:rFonts w:asciiTheme="minorHAnsi" w:eastAsiaTheme="minorEastAsia" w:hAnsiTheme="minorHAnsi" w:cstheme="minorBidi"/>
          <w:kern w:val="2"/>
          <w:sz w:val="24"/>
          <w:szCs w:val="24"/>
          <w14:ligatures w14:val="standardContextual"/>
        </w:rPr>
        <w:tab/>
      </w:r>
      <w:r>
        <w:t>Stand-alone N3IWF selection</w:t>
      </w:r>
      <w:r>
        <w:tab/>
      </w:r>
      <w:r>
        <w:fldChar w:fldCharType="begin" w:fldLock="1"/>
      </w:r>
      <w:r>
        <w:instrText xml:space="preserve"> PAGEREF _Toc201157786 \h </w:instrText>
      </w:r>
      <w:r>
        <w:fldChar w:fldCharType="separate"/>
      </w:r>
      <w:r>
        <w:t>558</w:t>
      </w:r>
      <w:r>
        <w:fldChar w:fldCharType="end"/>
      </w:r>
    </w:p>
    <w:p w14:paraId="4F810D85" w14:textId="3AD41802" w:rsidR="006C1B74" w:rsidRDefault="006C1B74">
      <w:pPr>
        <w:pStyle w:val="TOC5"/>
        <w:rPr>
          <w:rFonts w:asciiTheme="minorHAnsi" w:eastAsiaTheme="minorEastAsia" w:hAnsiTheme="minorHAnsi" w:cstheme="minorBidi"/>
          <w:kern w:val="2"/>
          <w:sz w:val="24"/>
          <w:szCs w:val="24"/>
          <w14:ligatures w14:val="standardContextual"/>
        </w:rPr>
      </w:pPr>
      <w:r>
        <w:t>6.3.6.3.3</w:t>
      </w:r>
      <w:r>
        <w:rPr>
          <w:rFonts w:asciiTheme="minorHAnsi" w:eastAsiaTheme="minorEastAsia" w:hAnsiTheme="minorHAnsi" w:cstheme="minorBidi"/>
          <w:kern w:val="2"/>
          <w:sz w:val="24"/>
          <w:szCs w:val="24"/>
          <w14:ligatures w14:val="standardContextual"/>
        </w:rPr>
        <w:tab/>
      </w:r>
      <w:r>
        <w:t>Combined N3IWF/ePDG Selection</w:t>
      </w:r>
      <w:r>
        <w:tab/>
      </w:r>
      <w:r>
        <w:fldChar w:fldCharType="begin" w:fldLock="1"/>
      </w:r>
      <w:r>
        <w:instrText xml:space="preserve"> PAGEREF _Toc201157787 \h </w:instrText>
      </w:r>
      <w:r>
        <w:fldChar w:fldCharType="separate"/>
      </w:r>
      <w:r>
        <w:t>559</w:t>
      </w:r>
      <w:r>
        <w:fldChar w:fldCharType="end"/>
      </w:r>
    </w:p>
    <w:p w14:paraId="24F08F52" w14:textId="419BC990"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6.3.</w:t>
      </w:r>
      <w:r w:rsidRPr="00191652">
        <w:rPr>
          <w:rFonts w:eastAsia="Malgun Gothic"/>
          <w:lang w:eastAsia="ko-KR"/>
        </w:rPr>
        <w:t>7</w:t>
      </w:r>
      <w:r>
        <w:rPr>
          <w:rFonts w:asciiTheme="minorHAnsi" w:eastAsiaTheme="minorEastAsia" w:hAnsiTheme="minorHAnsi" w:cstheme="minorBidi"/>
          <w:kern w:val="2"/>
          <w:sz w:val="24"/>
          <w:szCs w:val="24"/>
          <w14:ligatures w14:val="standardContextual"/>
        </w:rPr>
        <w:tab/>
      </w:r>
      <w:r w:rsidRPr="00191652">
        <w:rPr>
          <w:rFonts w:eastAsia="Malgun Gothic"/>
          <w:lang w:eastAsia="ko-KR"/>
        </w:rPr>
        <w:t>PCF discovery and selection</w:t>
      </w:r>
      <w:r>
        <w:tab/>
      </w:r>
      <w:r>
        <w:fldChar w:fldCharType="begin" w:fldLock="1"/>
      </w:r>
      <w:r>
        <w:instrText xml:space="preserve"> PAGEREF _Toc201157788 \h </w:instrText>
      </w:r>
      <w:r>
        <w:fldChar w:fldCharType="separate"/>
      </w:r>
      <w:r>
        <w:t>560</w:t>
      </w:r>
      <w:r>
        <w:fldChar w:fldCharType="end"/>
      </w:r>
    </w:p>
    <w:p w14:paraId="3BB6F4C3" w14:textId="2793FA8A" w:rsidR="006C1B74" w:rsidRDefault="006C1B74">
      <w:pPr>
        <w:pStyle w:val="TOC4"/>
        <w:rPr>
          <w:rFonts w:asciiTheme="minorHAnsi" w:eastAsiaTheme="minorEastAsia" w:hAnsiTheme="minorHAnsi" w:cstheme="minorBidi"/>
          <w:kern w:val="2"/>
          <w:sz w:val="24"/>
          <w:szCs w:val="24"/>
          <w14:ligatures w14:val="standardContextual"/>
        </w:rPr>
      </w:pPr>
      <w:r>
        <w:t>6.3.7.0</w:t>
      </w:r>
      <w:r>
        <w:rPr>
          <w:rFonts w:asciiTheme="minorHAnsi" w:eastAsiaTheme="minorEastAsia" w:hAnsiTheme="minorHAnsi" w:cstheme="minorBidi"/>
          <w:kern w:val="2"/>
          <w:sz w:val="24"/>
          <w:szCs w:val="24"/>
          <w14:ligatures w14:val="standardContextual"/>
        </w:rPr>
        <w:tab/>
      </w:r>
      <w:r>
        <w:t>General principles</w:t>
      </w:r>
      <w:r>
        <w:tab/>
      </w:r>
      <w:r>
        <w:fldChar w:fldCharType="begin" w:fldLock="1"/>
      </w:r>
      <w:r>
        <w:instrText xml:space="preserve"> PAGEREF _Toc201157789 \h </w:instrText>
      </w:r>
      <w:r>
        <w:fldChar w:fldCharType="separate"/>
      </w:r>
      <w:r>
        <w:t>560</w:t>
      </w:r>
      <w:r>
        <w:fldChar w:fldCharType="end"/>
      </w:r>
    </w:p>
    <w:p w14:paraId="74D8AA9D" w14:textId="62D0CEB5"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6.3.7</w:t>
      </w:r>
      <w:r w:rsidRPr="00191652">
        <w:rPr>
          <w:rFonts w:eastAsia="Malgun Gothic"/>
          <w:lang w:eastAsia="ko-KR"/>
        </w:rPr>
        <w:t>.1</w:t>
      </w:r>
      <w:r>
        <w:rPr>
          <w:rFonts w:asciiTheme="minorHAnsi" w:eastAsiaTheme="minorEastAsia" w:hAnsiTheme="minorHAnsi" w:cstheme="minorBidi"/>
          <w:kern w:val="2"/>
          <w:sz w:val="24"/>
          <w:szCs w:val="24"/>
          <w14:ligatures w14:val="standardContextual"/>
        </w:rPr>
        <w:tab/>
      </w:r>
      <w:r w:rsidRPr="00191652">
        <w:rPr>
          <w:rFonts w:eastAsia="Malgun Gothic"/>
          <w:lang w:eastAsia="ko-KR"/>
        </w:rPr>
        <w:t>PCF discovery and selection for a UE or a PDU Session</w:t>
      </w:r>
      <w:r>
        <w:tab/>
      </w:r>
      <w:r>
        <w:fldChar w:fldCharType="begin" w:fldLock="1"/>
      </w:r>
      <w:r>
        <w:instrText xml:space="preserve"> PAGEREF _Toc201157790 \h </w:instrText>
      </w:r>
      <w:r>
        <w:fldChar w:fldCharType="separate"/>
      </w:r>
      <w:r>
        <w:t>560</w:t>
      </w:r>
      <w:r>
        <w:fldChar w:fldCharType="end"/>
      </w:r>
    </w:p>
    <w:p w14:paraId="371637B5" w14:textId="658D0ED9"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6.3.7</w:t>
      </w:r>
      <w:r w:rsidRPr="00191652">
        <w:rPr>
          <w:rFonts w:eastAsia="Malgun Gothic"/>
          <w:lang w:eastAsia="ko-KR"/>
        </w:rPr>
        <w:t>.2</w:t>
      </w:r>
      <w:r>
        <w:rPr>
          <w:rFonts w:asciiTheme="minorHAnsi" w:eastAsiaTheme="minorEastAsia" w:hAnsiTheme="minorHAnsi" w:cstheme="minorBidi"/>
          <w:kern w:val="2"/>
          <w:sz w:val="24"/>
          <w:szCs w:val="24"/>
          <w14:ligatures w14:val="standardContextual"/>
        </w:rPr>
        <w:tab/>
      </w:r>
      <w:r w:rsidRPr="00191652">
        <w:rPr>
          <w:rFonts w:eastAsia="Malgun Gothic"/>
          <w:lang w:eastAsia="ko-KR"/>
        </w:rPr>
        <w:t>Providing policy requirements that apply to multiple UE and hence to multiple PCF</w:t>
      </w:r>
      <w:r>
        <w:tab/>
      </w:r>
      <w:r>
        <w:fldChar w:fldCharType="begin" w:fldLock="1"/>
      </w:r>
      <w:r>
        <w:instrText xml:space="preserve"> PAGEREF _Toc201157791 \h </w:instrText>
      </w:r>
      <w:r>
        <w:fldChar w:fldCharType="separate"/>
      </w:r>
      <w:r>
        <w:t>563</w:t>
      </w:r>
      <w:r>
        <w:fldChar w:fldCharType="end"/>
      </w:r>
    </w:p>
    <w:p w14:paraId="6A63D92B" w14:textId="06DE6889"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6.3.7</w:t>
      </w:r>
      <w:r w:rsidRPr="00191652">
        <w:rPr>
          <w:rFonts w:eastAsia="Malgun Gothic"/>
          <w:lang w:eastAsia="ko-KR"/>
        </w:rPr>
        <w:t>.3</w:t>
      </w:r>
      <w:r>
        <w:rPr>
          <w:rFonts w:asciiTheme="minorHAnsi" w:eastAsiaTheme="minorEastAsia" w:hAnsiTheme="minorHAnsi" w:cstheme="minorBidi"/>
          <w:kern w:val="2"/>
          <w:sz w:val="24"/>
          <w:szCs w:val="24"/>
          <w14:ligatures w14:val="standardContextual"/>
        </w:rPr>
        <w:tab/>
      </w:r>
      <w:r w:rsidRPr="00191652">
        <w:rPr>
          <w:rFonts w:eastAsia="Malgun Gothic"/>
          <w:lang w:eastAsia="ko-KR"/>
        </w:rPr>
        <w:t>Binding an AF request targeting a UE address to the relevant PCF</w:t>
      </w:r>
      <w:r>
        <w:tab/>
      </w:r>
      <w:r>
        <w:fldChar w:fldCharType="begin" w:fldLock="1"/>
      </w:r>
      <w:r>
        <w:instrText xml:space="preserve"> PAGEREF _Toc201157792 \h </w:instrText>
      </w:r>
      <w:r>
        <w:fldChar w:fldCharType="separate"/>
      </w:r>
      <w:r>
        <w:t>563</w:t>
      </w:r>
      <w:r>
        <w:fldChar w:fldCharType="end"/>
      </w:r>
    </w:p>
    <w:p w14:paraId="138F2C3A" w14:textId="779365B0"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6.3.7</w:t>
      </w:r>
      <w:r w:rsidRPr="00191652">
        <w:rPr>
          <w:rFonts w:eastAsia="Malgun Gothic"/>
          <w:lang w:eastAsia="ko-KR"/>
        </w:rPr>
        <w:t>.4</w:t>
      </w:r>
      <w:r>
        <w:rPr>
          <w:rFonts w:asciiTheme="minorHAnsi" w:eastAsiaTheme="minorEastAsia" w:hAnsiTheme="minorHAnsi" w:cstheme="minorBidi"/>
          <w:kern w:val="2"/>
          <w:sz w:val="24"/>
          <w:szCs w:val="24"/>
          <w14:ligatures w14:val="standardContextual"/>
        </w:rPr>
        <w:tab/>
      </w:r>
      <w:r>
        <w:rPr>
          <w:lang w:eastAsia="zh-CN"/>
        </w:rPr>
        <w:t>Binding an AF request targeting a UE to the relevant PCF</w:t>
      </w:r>
      <w:r>
        <w:tab/>
      </w:r>
      <w:r>
        <w:fldChar w:fldCharType="begin" w:fldLock="1"/>
      </w:r>
      <w:r>
        <w:instrText xml:space="preserve"> PAGEREF _Toc201157793 \h </w:instrText>
      </w:r>
      <w:r>
        <w:fldChar w:fldCharType="separate"/>
      </w:r>
      <w:r>
        <w:t>563</w:t>
      </w:r>
      <w:r>
        <w:fldChar w:fldCharType="end"/>
      </w:r>
    </w:p>
    <w:p w14:paraId="76A06C3B" w14:textId="7FFAD7D5"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6.3.8</w:t>
      </w:r>
      <w:r>
        <w:rPr>
          <w:rFonts w:asciiTheme="minorHAnsi" w:eastAsiaTheme="minorEastAsia" w:hAnsiTheme="minorHAnsi" w:cstheme="minorBidi"/>
          <w:kern w:val="2"/>
          <w:sz w:val="24"/>
          <w:szCs w:val="24"/>
          <w14:ligatures w14:val="standardContextual"/>
        </w:rPr>
        <w:tab/>
      </w:r>
      <w:r>
        <w:rPr>
          <w:lang w:eastAsia="zh-CN"/>
        </w:rPr>
        <w:t>UDM</w:t>
      </w:r>
      <w:r w:rsidRPr="00191652">
        <w:rPr>
          <w:rFonts w:eastAsia="Malgun Gothic"/>
          <w:lang w:eastAsia="ko-KR"/>
        </w:rPr>
        <w:t xml:space="preserve"> </w:t>
      </w:r>
      <w:r>
        <w:rPr>
          <w:lang w:eastAsia="zh-CN"/>
        </w:rPr>
        <w:t>discovery and selection</w:t>
      </w:r>
      <w:r>
        <w:tab/>
      </w:r>
      <w:r>
        <w:fldChar w:fldCharType="begin" w:fldLock="1"/>
      </w:r>
      <w:r>
        <w:instrText xml:space="preserve"> PAGEREF _Toc201157794 \h </w:instrText>
      </w:r>
      <w:r>
        <w:fldChar w:fldCharType="separate"/>
      </w:r>
      <w:r>
        <w:t>563</w:t>
      </w:r>
      <w:r>
        <w:fldChar w:fldCharType="end"/>
      </w:r>
    </w:p>
    <w:p w14:paraId="0365185C" w14:textId="53E5FC24"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6.3.9</w:t>
      </w:r>
      <w:r>
        <w:rPr>
          <w:rFonts w:asciiTheme="minorHAnsi" w:eastAsiaTheme="minorEastAsia" w:hAnsiTheme="minorHAnsi" w:cstheme="minorBidi"/>
          <w:kern w:val="2"/>
          <w:sz w:val="24"/>
          <w:szCs w:val="24"/>
          <w14:ligatures w14:val="standardContextual"/>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_Toc201157795 \h </w:instrText>
      </w:r>
      <w:r>
        <w:fldChar w:fldCharType="separate"/>
      </w:r>
      <w:r>
        <w:t>564</w:t>
      </w:r>
      <w:r>
        <w:fldChar w:fldCharType="end"/>
      </w:r>
    </w:p>
    <w:p w14:paraId="58643DE3" w14:textId="4EF8AB1D" w:rsidR="006C1B74" w:rsidRDefault="006C1B74">
      <w:pPr>
        <w:pStyle w:val="TOC3"/>
        <w:rPr>
          <w:rFonts w:asciiTheme="minorHAnsi" w:eastAsiaTheme="minorEastAsia" w:hAnsiTheme="minorHAnsi" w:cstheme="minorBidi"/>
          <w:kern w:val="2"/>
          <w:sz w:val="24"/>
          <w:szCs w:val="24"/>
          <w14:ligatures w14:val="standardContextual"/>
        </w:rPr>
      </w:pPr>
      <w:r>
        <w:t>6.3.10</w:t>
      </w:r>
      <w:r>
        <w:rPr>
          <w:rFonts w:asciiTheme="minorHAnsi" w:eastAsiaTheme="minorEastAsia" w:hAnsiTheme="minorHAnsi" w:cstheme="minorBidi"/>
          <w:kern w:val="2"/>
          <w:sz w:val="24"/>
          <w:szCs w:val="24"/>
          <w14:ligatures w14:val="standardContextual"/>
        </w:rPr>
        <w:tab/>
      </w:r>
      <w:r>
        <w:t>SMSF discovery and selection</w:t>
      </w:r>
      <w:r>
        <w:tab/>
      </w:r>
      <w:r>
        <w:fldChar w:fldCharType="begin" w:fldLock="1"/>
      </w:r>
      <w:r>
        <w:instrText xml:space="preserve"> PAGEREF _Toc201157796 \h </w:instrText>
      </w:r>
      <w:r>
        <w:fldChar w:fldCharType="separate"/>
      </w:r>
      <w:r>
        <w:t>565</w:t>
      </w:r>
      <w:r>
        <w:fldChar w:fldCharType="end"/>
      </w:r>
    </w:p>
    <w:p w14:paraId="18A71DB6" w14:textId="1EA323CF" w:rsidR="006C1B74" w:rsidRDefault="006C1B74">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CHF discovery and selection</w:t>
      </w:r>
      <w:r>
        <w:tab/>
      </w:r>
      <w:r>
        <w:fldChar w:fldCharType="begin" w:fldLock="1"/>
      </w:r>
      <w:r>
        <w:instrText xml:space="preserve"> PAGEREF _Toc201157797 \h </w:instrText>
      </w:r>
      <w:r>
        <w:fldChar w:fldCharType="separate"/>
      </w:r>
      <w:r>
        <w:t>565</w:t>
      </w:r>
      <w:r>
        <w:fldChar w:fldCharType="end"/>
      </w:r>
    </w:p>
    <w:p w14:paraId="5E2B8656" w14:textId="3F02648C"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6.3.12</w:t>
      </w:r>
      <w:r>
        <w:rPr>
          <w:rFonts w:asciiTheme="minorHAnsi" w:eastAsiaTheme="minorEastAsia" w:hAnsiTheme="minorHAnsi" w:cstheme="minorBidi"/>
          <w:kern w:val="2"/>
          <w:sz w:val="24"/>
          <w:szCs w:val="24"/>
          <w14:ligatures w14:val="standardContextual"/>
        </w:rPr>
        <w:tab/>
      </w:r>
      <w:r>
        <w:rPr>
          <w:lang w:eastAsia="zh-CN"/>
        </w:rPr>
        <w:t>Trusted Non-3GPP Access Network selection</w:t>
      </w:r>
      <w:r>
        <w:tab/>
      </w:r>
      <w:r>
        <w:fldChar w:fldCharType="begin" w:fldLock="1"/>
      </w:r>
      <w:r>
        <w:instrText xml:space="preserve"> PAGEREF _Toc201157798 \h </w:instrText>
      </w:r>
      <w:r>
        <w:fldChar w:fldCharType="separate"/>
      </w:r>
      <w:r>
        <w:t>567</w:t>
      </w:r>
      <w:r>
        <w:fldChar w:fldCharType="end"/>
      </w:r>
    </w:p>
    <w:p w14:paraId="46CD8C6D" w14:textId="515DE176" w:rsidR="006C1B74" w:rsidRDefault="006C1B74">
      <w:pPr>
        <w:pStyle w:val="TOC4"/>
        <w:rPr>
          <w:rFonts w:asciiTheme="minorHAnsi" w:eastAsiaTheme="minorEastAsia" w:hAnsiTheme="minorHAnsi" w:cstheme="minorBidi"/>
          <w:kern w:val="2"/>
          <w:sz w:val="24"/>
          <w:szCs w:val="24"/>
          <w14:ligatures w14:val="standardContextual"/>
        </w:rPr>
      </w:pPr>
      <w:r>
        <w:t>6.3.12.1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_Toc201157799 \h </w:instrText>
      </w:r>
      <w:r>
        <w:fldChar w:fldCharType="separate"/>
      </w:r>
      <w:r>
        <w:t>567</w:t>
      </w:r>
      <w:r>
        <w:fldChar w:fldCharType="end"/>
      </w:r>
    </w:p>
    <w:p w14:paraId="5690FCC0" w14:textId="54AEB12B" w:rsidR="006C1B74" w:rsidRDefault="006C1B74">
      <w:pPr>
        <w:pStyle w:val="TOC4"/>
        <w:rPr>
          <w:rFonts w:asciiTheme="minorHAnsi" w:eastAsiaTheme="minorEastAsia" w:hAnsiTheme="minorHAnsi" w:cstheme="minorBidi"/>
          <w:kern w:val="2"/>
          <w:sz w:val="24"/>
          <w:szCs w:val="24"/>
          <w14:ligatures w14:val="standardContextual"/>
        </w:rPr>
      </w:pPr>
      <w:r>
        <w:t>6.3.12.2</w:t>
      </w:r>
      <w:r>
        <w:rPr>
          <w:rFonts w:asciiTheme="minorHAnsi" w:eastAsiaTheme="minorEastAsia" w:hAnsiTheme="minorHAnsi" w:cstheme="minorBidi"/>
          <w:kern w:val="2"/>
          <w:sz w:val="24"/>
          <w:szCs w:val="24"/>
          <w14:ligatures w14:val="standardContextual"/>
        </w:rPr>
        <w:tab/>
      </w:r>
      <w:r>
        <w:t>Access Network Selection Procedure</w:t>
      </w:r>
      <w:r>
        <w:tab/>
      </w:r>
      <w:r>
        <w:fldChar w:fldCharType="begin" w:fldLock="1"/>
      </w:r>
      <w:r>
        <w:instrText xml:space="preserve"> PAGEREF _Toc201157800 \h </w:instrText>
      </w:r>
      <w:r>
        <w:fldChar w:fldCharType="separate"/>
      </w:r>
      <w:r>
        <w:t>568</w:t>
      </w:r>
      <w:r>
        <w:fldChar w:fldCharType="end"/>
      </w:r>
    </w:p>
    <w:p w14:paraId="133D32B6" w14:textId="07E7BB6C" w:rsidR="006C1B74" w:rsidRDefault="006C1B74">
      <w:pPr>
        <w:pStyle w:val="TOC3"/>
        <w:rPr>
          <w:rFonts w:asciiTheme="minorHAnsi" w:eastAsiaTheme="minorEastAsia" w:hAnsiTheme="minorHAnsi" w:cstheme="minorBidi"/>
          <w:kern w:val="2"/>
          <w:sz w:val="24"/>
          <w:szCs w:val="24"/>
          <w14:ligatures w14:val="standardContextual"/>
        </w:rPr>
      </w:pPr>
      <w:r>
        <w:t>6.3.12a</w:t>
      </w:r>
      <w:r>
        <w:rPr>
          <w:rFonts w:asciiTheme="minorHAnsi" w:eastAsiaTheme="minorEastAsia" w:hAnsiTheme="minorHAnsi" w:cstheme="minorBidi"/>
          <w:kern w:val="2"/>
          <w:sz w:val="24"/>
          <w:szCs w:val="24"/>
          <w14:ligatures w14:val="standardContextual"/>
        </w:rPr>
        <w:tab/>
      </w:r>
      <w:r>
        <w:t>Access Network selection for devices that do not support 5GC NAS over WLAN</w:t>
      </w:r>
      <w:r>
        <w:tab/>
      </w:r>
      <w:r>
        <w:fldChar w:fldCharType="begin" w:fldLock="1"/>
      </w:r>
      <w:r>
        <w:instrText xml:space="preserve"> PAGEREF _Toc201157801 \h </w:instrText>
      </w:r>
      <w:r>
        <w:fldChar w:fldCharType="separate"/>
      </w:r>
      <w:r>
        <w:t>571</w:t>
      </w:r>
      <w:r>
        <w:fldChar w:fldCharType="end"/>
      </w:r>
    </w:p>
    <w:p w14:paraId="2DCF253E" w14:textId="7F3E792D" w:rsidR="006C1B74" w:rsidRDefault="006C1B74">
      <w:pPr>
        <w:pStyle w:val="TOC4"/>
        <w:rPr>
          <w:rFonts w:asciiTheme="minorHAnsi" w:eastAsiaTheme="minorEastAsia" w:hAnsiTheme="minorHAnsi" w:cstheme="minorBidi"/>
          <w:kern w:val="2"/>
          <w:sz w:val="24"/>
          <w:szCs w:val="24"/>
          <w14:ligatures w14:val="standardContextual"/>
        </w:rPr>
      </w:pPr>
      <w:r>
        <w:lastRenderedPageBreak/>
        <w:t>6.3.12a.1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_Toc201157802 \h </w:instrText>
      </w:r>
      <w:r>
        <w:fldChar w:fldCharType="separate"/>
      </w:r>
      <w:r>
        <w:t>571</w:t>
      </w:r>
      <w:r>
        <w:fldChar w:fldCharType="end"/>
      </w:r>
    </w:p>
    <w:p w14:paraId="7ED48D0B" w14:textId="7718C24B" w:rsidR="006C1B74" w:rsidRDefault="006C1B74">
      <w:pPr>
        <w:pStyle w:val="TOC4"/>
        <w:rPr>
          <w:rFonts w:asciiTheme="minorHAnsi" w:eastAsiaTheme="minorEastAsia" w:hAnsiTheme="minorHAnsi" w:cstheme="minorBidi"/>
          <w:kern w:val="2"/>
          <w:sz w:val="24"/>
          <w:szCs w:val="24"/>
          <w14:ligatures w14:val="standardContextual"/>
        </w:rPr>
      </w:pPr>
      <w:r>
        <w:t>6.3.12a.2</w:t>
      </w:r>
      <w:r>
        <w:rPr>
          <w:rFonts w:asciiTheme="minorHAnsi" w:eastAsiaTheme="minorEastAsia" w:hAnsiTheme="minorHAnsi" w:cstheme="minorBidi"/>
          <w:kern w:val="2"/>
          <w:sz w:val="24"/>
          <w:szCs w:val="24"/>
          <w14:ligatures w14:val="standardContextual"/>
        </w:rPr>
        <w:tab/>
      </w:r>
      <w:r>
        <w:t>Access Network Selection Procedure</w:t>
      </w:r>
      <w:r>
        <w:tab/>
      </w:r>
      <w:r>
        <w:fldChar w:fldCharType="begin" w:fldLock="1"/>
      </w:r>
      <w:r>
        <w:instrText xml:space="preserve"> PAGEREF _Toc201157803 \h </w:instrText>
      </w:r>
      <w:r>
        <w:fldChar w:fldCharType="separate"/>
      </w:r>
      <w:r>
        <w:t>571</w:t>
      </w:r>
      <w:r>
        <w:fldChar w:fldCharType="end"/>
      </w:r>
    </w:p>
    <w:p w14:paraId="3B33D0D0" w14:textId="673C06F1" w:rsidR="006C1B74" w:rsidRDefault="006C1B74">
      <w:pPr>
        <w:pStyle w:val="TOC3"/>
        <w:rPr>
          <w:rFonts w:asciiTheme="minorHAnsi" w:eastAsiaTheme="minorEastAsia" w:hAnsiTheme="minorHAnsi" w:cstheme="minorBidi"/>
          <w:kern w:val="2"/>
          <w:sz w:val="24"/>
          <w:szCs w:val="24"/>
          <w14:ligatures w14:val="standardContextual"/>
        </w:rPr>
      </w:pPr>
      <w:r>
        <w:t>6.3.12b</w:t>
      </w:r>
      <w:r>
        <w:rPr>
          <w:rFonts w:asciiTheme="minorHAnsi" w:eastAsiaTheme="minorEastAsia" w:hAnsiTheme="minorHAnsi" w:cstheme="minorBidi"/>
          <w:kern w:val="2"/>
          <w:sz w:val="24"/>
          <w:szCs w:val="24"/>
          <w14:ligatures w14:val="standardContextual"/>
        </w:rPr>
        <w:tab/>
      </w:r>
      <w:r>
        <w:t>Access Network selection for 5G NSWO</w:t>
      </w:r>
      <w:r>
        <w:tab/>
      </w:r>
      <w:r>
        <w:fldChar w:fldCharType="begin" w:fldLock="1"/>
      </w:r>
      <w:r>
        <w:instrText xml:space="preserve"> PAGEREF _Toc201157804 \h </w:instrText>
      </w:r>
      <w:r>
        <w:fldChar w:fldCharType="separate"/>
      </w:r>
      <w:r>
        <w:t>572</w:t>
      </w:r>
      <w:r>
        <w:fldChar w:fldCharType="end"/>
      </w:r>
    </w:p>
    <w:p w14:paraId="4DDE921B" w14:textId="0130F8E5" w:rsidR="006C1B74" w:rsidRDefault="006C1B74">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NWDAF discovery and selection</w:t>
      </w:r>
      <w:r>
        <w:tab/>
      </w:r>
      <w:r>
        <w:fldChar w:fldCharType="begin" w:fldLock="1"/>
      </w:r>
      <w:r>
        <w:instrText xml:space="preserve"> PAGEREF _Toc201157805 \h </w:instrText>
      </w:r>
      <w:r>
        <w:fldChar w:fldCharType="separate"/>
      </w:r>
      <w:r>
        <w:t>573</w:t>
      </w:r>
      <w:r>
        <w:fldChar w:fldCharType="end"/>
      </w:r>
    </w:p>
    <w:p w14:paraId="6E97E7C7" w14:textId="0DDB6B0E" w:rsidR="006C1B74" w:rsidRDefault="006C1B74">
      <w:pPr>
        <w:pStyle w:val="TOC3"/>
        <w:rPr>
          <w:rFonts w:asciiTheme="minorHAnsi" w:eastAsiaTheme="minorEastAsia" w:hAnsiTheme="minorHAnsi" w:cstheme="minorBidi"/>
          <w:kern w:val="2"/>
          <w:sz w:val="24"/>
          <w:szCs w:val="24"/>
          <w14:ligatures w14:val="standardContextual"/>
        </w:rPr>
      </w:pPr>
      <w:r>
        <w:t>6.3.14</w:t>
      </w:r>
      <w:r>
        <w:rPr>
          <w:rFonts w:asciiTheme="minorHAnsi" w:eastAsiaTheme="minorEastAsia" w:hAnsiTheme="minorHAnsi" w:cstheme="minorBidi"/>
          <w:kern w:val="2"/>
          <w:sz w:val="24"/>
          <w:szCs w:val="24"/>
          <w14:ligatures w14:val="standardContextual"/>
        </w:rPr>
        <w:tab/>
      </w:r>
      <w:r>
        <w:t>NEF Discovery</w:t>
      </w:r>
      <w:r>
        <w:tab/>
      </w:r>
      <w:r>
        <w:fldChar w:fldCharType="begin" w:fldLock="1"/>
      </w:r>
      <w:r>
        <w:instrText xml:space="preserve"> PAGEREF _Toc201157806 \h </w:instrText>
      </w:r>
      <w:r>
        <w:fldChar w:fldCharType="separate"/>
      </w:r>
      <w:r>
        <w:t>574</w:t>
      </w:r>
      <w:r>
        <w:fldChar w:fldCharType="end"/>
      </w:r>
    </w:p>
    <w:p w14:paraId="54A3B28E" w14:textId="486E50DE" w:rsidR="006C1B74" w:rsidRDefault="006C1B74">
      <w:pPr>
        <w:pStyle w:val="TOC3"/>
        <w:rPr>
          <w:rFonts w:asciiTheme="minorHAnsi" w:eastAsiaTheme="minorEastAsia" w:hAnsiTheme="minorHAnsi" w:cstheme="minorBidi"/>
          <w:kern w:val="2"/>
          <w:sz w:val="24"/>
          <w:szCs w:val="24"/>
          <w14:ligatures w14:val="standardContextual"/>
        </w:rPr>
      </w:pPr>
      <w:r>
        <w:t>6.3.15</w:t>
      </w:r>
      <w:r>
        <w:rPr>
          <w:rFonts w:asciiTheme="minorHAnsi" w:eastAsiaTheme="minorEastAsia" w:hAnsiTheme="minorHAnsi" w:cstheme="minorBidi"/>
          <w:kern w:val="2"/>
          <w:sz w:val="24"/>
          <w:szCs w:val="24"/>
          <w14:ligatures w14:val="standardContextual"/>
        </w:rPr>
        <w:tab/>
      </w:r>
      <w:r>
        <w:t>UCMF Discovery and Selection</w:t>
      </w:r>
      <w:r>
        <w:tab/>
      </w:r>
      <w:r>
        <w:fldChar w:fldCharType="begin" w:fldLock="1"/>
      </w:r>
      <w:r>
        <w:instrText xml:space="preserve"> PAGEREF _Toc201157807 \h </w:instrText>
      </w:r>
      <w:r>
        <w:fldChar w:fldCharType="separate"/>
      </w:r>
      <w:r>
        <w:t>575</w:t>
      </w:r>
      <w:r>
        <w:fldChar w:fldCharType="end"/>
      </w:r>
    </w:p>
    <w:p w14:paraId="2705D5C4" w14:textId="60606896" w:rsidR="006C1B74" w:rsidRDefault="006C1B74">
      <w:pPr>
        <w:pStyle w:val="TOC3"/>
        <w:rPr>
          <w:rFonts w:asciiTheme="minorHAnsi" w:eastAsiaTheme="minorEastAsia" w:hAnsiTheme="minorHAnsi" w:cstheme="minorBidi"/>
          <w:kern w:val="2"/>
          <w:sz w:val="24"/>
          <w:szCs w:val="24"/>
          <w14:ligatures w14:val="standardContextual"/>
        </w:rPr>
      </w:pPr>
      <w:r>
        <w:t>6.3.16</w:t>
      </w:r>
      <w:r>
        <w:rPr>
          <w:rFonts w:asciiTheme="minorHAnsi" w:eastAsiaTheme="minorEastAsia" w:hAnsiTheme="minorHAnsi" w:cstheme="minorBidi"/>
          <w:kern w:val="2"/>
          <w:sz w:val="24"/>
          <w:szCs w:val="24"/>
          <w14:ligatures w14:val="standardContextual"/>
        </w:rPr>
        <w:tab/>
      </w:r>
      <w:r>
        <w:t>SCP discovery and selection</w:t>
      </w:r>
      <w:r>
        <w:tab/>
      </w:r>
      <w:r>
        <w:fldChar w:fldCharType="begin" w:fldLock="1"/>
      </w:r>
      <w:r>
        <w:instrText xml:space="preserve"> PAGEREF _Toc201157808 \h </w:instrText>
      </w:r>
      <w:r>
        <w:fldChar w:fldCharType="separate"/>
      </w:r>
      <w:r>
        <w:t>575</w:t>
      </w:r>
      <w:r>
        <w:fldChar w:fldCharType="end"/>
      </w:r>
    </w:p>
    <w:p w14:paraId="25E6946D" w14:textId="0D790478" w:rsidR="006C1B74" w:rsidRDefault="006C1B74">
      <w:pPr>
        <w:pStyle w:val="TOC3"/>
        <w:rPr>
          <w:rFonts w:asciiTheme="minorHAnsi" w:eastAsiaTheme="minorEastAsia" w:hAnsiTheme="minorHAnsi" w:cstheme="minorBidi"/>
          <w:kern w:val="2"/>
          <w:sz w:val="24"/>
          <w:szCs w:val="24"/>
          <w14:ligatures w14:val="standardContextual"/>
        </w:rPr>
      </w:pPr>
      <w:r>
        <w:t>6.3.17</w:t>
      </w:r>
      <w:r>
        <w:rPr>
          <w:rFonts w:asciiTheme="minorHAnsi" w:eastAsiaTheme="minorEastAsia" w:hAnsiTheme="minorHAnsi" w:cstheme="minorBidi"/>
          <w:kern w:val="2"/>
          <w:sz w:val="24"/>
          <w:szCs w:val="24"/>
          <w14:ligatures w14:val="standardContextual"/>
        </w:rPr>
        <w:tab/>
      </w:r>
      <w:r>
        <w:t>NSSAAF discovery and selection</w:t>
      </w:r>
      <w:r>
        <w:tab/>
      </w:r>
      <w:r>
        <w:fldChar w:fldCharType="begin" w:fldLock="1"/>
      </w:r>
      <w:r>
        <w:instrText xml:space="preserve"> PAGEREF _Toc201157809 \h </w:instrText>
      </w:r>
      <w:r>
        <w:fldChar w:fldCharType="separate"/>
      </w:r>
      <w:r>
        <w:t>576</w:t>
      </w:r>
      <w:r>
        <w:fldChar w:fldCharType="end"/>
      </w:r>
    </w:p>
    <w:p w14:paraId="19D8D35F" w14:textId="2403B9B1" w:rsidR="006C1B74" w:rsidRDefault="006C1B74">
      <w:pPr>
        <w:pStyle w:val="TOC3"/>
        <w:rPr>
          <w:rFonts w:asciiTheme="minorHAnsi" w:eastAsiaTheme="minorEastAsia" w:hAnsiTheme="minorHAnsi" w:cstheme="minorBidi"/>
          <w:kern w:val="2"/>
          <w:sz w:val="24"/>
          <w:szCs w:val="24"/>
          <w14:ligatures w14:val="standardContextual"/>
        </w:rPr>
      </w:pPr>
      <w:r>
        <w:t>6.3.18</w:t>
      </w:r>
      <w:r>
        <w:rPr>
          <w:rFonts w:asciiTheme="minorHAnsi" w:eastAsiaTheme="minorEastAsia" w:hAnsiTheme="minorHAnsi" w:cstheme="minorBidi"/>
          <w:kern w:val="2"/>
          <w:sz w:val="24"/>
          <w:szCs w:val="24"/>
          <w14:ligatures w14:val="standardContextual"/>
        </w:rPr>
        <w:tab/>
      </w:r>
      <w:r>
        <w:t>5G-EIR discovery and selection</w:t>
      </w:r>
      <w:r>
        <w:tab/>
      </w:r>
      <w:r>
        <w:fldChar w:fldCharType="begin" w:fldLock="1"/>
      </w:r>
      <w:r>
        <w:instrText xml:space="preserve"> PAGEREF _Toc201157810 \h </w:instrText>
      </w:r>
      <w:r>
        <w:fldChar w:fldCharType="separate"/>
      </w:r>
      <w:r>
        <w:t>576</w:t>
      </w:r>
      <w:r>
        <w:fldChar w:fldCharType="end"/>
      </w:r>
    </w:p>
    <w:p w14:paraId="2E3198B6" w14:textId="6606BED9" w:rsidR="006C1B74" w:rsidRDefault="006C1B74">
      <w:pPr>
        <w:pStyle w:val="TOC3"/>
        <w:rPr>
          <w:rFonts w:asciiTheme="minorHAnsi" w:eastAsiaTheme="minorEastAsia" w:hAnsiTheme="minorHAnsi" w:cstheme="minorBidi"/>
          <w:kern w:val="2"/>
          <w:sz w:val="24"/>
          <w:szCs w:val="24"/>
          <w14:ligatures w14:val="standardContextual"/>
        </w:rPr>
      </w:pPr>
      <w:r>
        <w:t>6.3.19</w:t>
      </w:r>
      <w:r>
        <w:rPr>
          <w:rFonts w:asciiTheme="minorHAnsi" w:eastAsiaTheme="minorEastAsia" w:hAnsiTheme="minorHAnsi" w:cstheme="minorBidi"/>
          <w:kern w:val="2"/>
          <w:sz w:val="24"/>
          <w:szCs w:val="24"/>
          <w14:ligatures w14:val="standardContextual"/>
        </w:rPr>
        <w:tab/>
      </w:r>
      <w:r>
        <w:t>DCCF discovery and selection</w:t>
      </w:r>
      <w:r>
        <w:tab/>
      </w:r>
      <w:r>
        <w:fldChar w:fldCharType="begin" w:fldLock="1"/>
      </w:r>
      <w:r>
        <w:instrText xml:space="preserve"> PAGEREF _Toc201157811 \h </w:instrText>
      </w:r>
      <w:r>
        <w:fldChar w:fldCharType="separate"/>
      </w:r>
      <w:r>
        <w:t>576</w:t>
      </w:r>
      <w:r>
        <w:fldChar w:fldCharType="end"/>
      </w:r>
    </w:p>
    <w:p w14:paraId="3FBC569C" w14:textId="2548667B" w:rsidR="006C1B74" w:rsidRDefault="006C1B74">
      <w:pPr>
        <w:pStyle w:val="TOC3"/>
        <w:rPr>
          <w:rFonts w:asciiTheme="minorHAnsi" w:eastAsiaTheme="minorEastAsia" w:hAnsiTheme="minorHAnsi" w:cstheme="minorBidi"/>
          <w:kern w:val="2"/>
          <w:sz w:val="24"/>
          <w:szCs w:val="24"/>
          <w14:ligatures w14:val="standardContextual"/>
        </w:rPr>
      </w:pPr>
      <w:r>
        <w:t>6.3.20</w:t>
      </w:r>
      <w:r>
        <w:rPr>
          <w:rFonts w:asciiTheme="minorHAnsi" w:eastAsiaTheme="minorEastAsia" w:hAnsiTheme="minorHAnsi" w:cstheme="minorBidi"/>
          <w:kern w:val="2"/>
          <w:sz w:val="24"/>
          <w:szCs w:val="24"/>
          <w14:ligatures w14:val="standardContextual"/>
        </w:rPr>
        <w:tab/>
      </w:r>
      <w:r>
        <w:t>ADRF discovery and selection</w:t>
      </w:r>
      <w:r>
        <w:tab/>
      </w:r>
      <w:r>
        <w:fldChar w:fldCharType="begin" w:fldLock="1"/>
      </w:r>
      <w:r>
        <w:instrText xml:space="preserve"> PAGEREF _Toc201157812 \h </w:instrText>
      </w:r>
      <w:r>
        <w:fldChar w:fldCharType="separate"/>
      </w:r>
      <w:r>
        <w:t>577</w:t>
      </w:r>
      <w:r>
        <w:fldChar w:fldCharType="end"/>
      </w:r>
    </w:p>
    <w:p w14:paraId="37536601" w14:textId="001711C3" w:rsidR="006C1B74" w:rsidRDefault="006C1B74">
      <w:pPr>
        <w:pStyle w:val="TOC3"/>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MFAF discovery and selection</w:t>
      </w:r>
      <w:r>
        <w:tab/>
      </w:r>
      <w:r>
        <w:fldChar w:fldCharType="begin" w:fldLock="1"/>
      </w:r>
      <w:r>
        <w:instrText xml:space="preserve"> PAGEREF _Toc201157813 \h </w:instrText>
      </w:r>
      <w:r>
        <w:fldChar w:fldCharType="separate"/>
      </w:r>
      <w:r>
        <w:t>577</w:t>
      </w:r>
      <w:r>
        <w:fldChar w:fldCharType="end"/>
      </w:r>
    </w:p>
    <w:p w14:paraId="157D0B35" w14:textId="6A709181" w:rsidR="006C1B74" w:rsidRDefault="006C1B74">
      <w:pPr>
        <w:pStyle w:val="TOC3"/>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NSACF discovery and selection</w:t>
      </w:r>
      <w:r>
        <w:tab/>
      </w:r>
      <w:r>
        <w:fldChar w:fldCharType="begin" w:fldLock="1"/>
      </w:r>
      <w:r>
        <w:instrText xml:space="preserve"> PAGEREF _Toc201157814 \h </w:instrText>
      </w:r>
      <w:r>
        <w:fldChar w:fldCharType="separate"/>
      </w:r>
      <w:r>
        <w:t>577</w:t>
      </w:r>
      <w:r>
        <w:fldChar w:fldCharType="end"/>
      </w:r>
    </w:p>
    <w:p w14:paraId="7923B7BB" w14:textId="32F9C75E" w:rsidR="006C1B74" w:rsidRDefault="006C1B74">
      <w:pPr>
        <w:pStyle w:val="TOC3"/>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EASDF discovery and selection</w:t>
      </w:r>
      <w:r>
        <w:tab/>
      </w:r>
      <w:r>
        <w:fldChar w:fldCharType="begin" w:fldLock="1"/>
      </w:r>
      <w:r>
        <w:instrText xml:space="preserve"> PAGEREF _Toc201157815 \h </w:instrText>
      </w:r>
      <w:r>
        <w:fldChar w:fldCharType="separate"/>
      </w:r>
      <w:r>
        <w:t>578</w:t>
      </w:r>
      <w:r>
        <w:fldChar w:fldCharType="end"/>
      </w:r>
    </w:p>
    <w:p w14:paraId="6A4C8C13" w14:textId="5E96871F" w:rsidR="006C1B74" w:rsidRDefault="006C1B74">
      <w:pPr>
        <w:pStyle w:val="TOC3"/>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TSCTSF Discovery</w:t>
      </w:r>
      <w:r>
        <w:tab/>
      </w:r>
      <w:r>
        <w:fldChar w:fldCharType="begin" w:fldLock="1"/>
      </w:r>
      <w:r>
        <w:instrText xml:space="preserve"> PAGEREF _Toc201157816 \h </w:instrText>
      </w:r>
      <w:r>
        <w:fldChar w:fldCharType="separate"/>
      </w:r>
      <w:r>
        <w:t>578</w:t>
      </w:r>
      <w:r>
        <w:fldChar w:fldCharType="end"/>
      </w:r>
    </w:p>
    <w:p w14:paraId="15A69A95" w14:textId="78D5034D" w:rsidR="006C1B74" w:rsidRDefault="006C1B74">
      <w:pPr>
        <w:pStyle w:val="TOC3"/>
        <w:rPr>
          <w:rFonts w:asciiTheme="minorHAnsi" w:eastAsiaTheme="minorEastAsia" w:hAnsiTheme="minorHAnsi" w:cstheme="minorBidi"/>
          <w:kern w:val="2"/>
          <w:sz w:val="24"/>
          <w:szCs w:val="24"/>
          <w14:ligatures w14:val="standardContextual"/>
        </w:rPr>
      </w:pPr>
      <w:r>
        <w:t>6.3.25</w:t>
      </w:r>
      <w:r>
        <w:rPr>
          <w:rFonts w:asciiTheme="minorHAnsi" w:eastAsiaTheme="minorEastAsia" w:hAnsiTheme="minorHAnsi" w:cstheme="minorBidi"/>
          <w:kern w:val="2"/>
          <w:sz w:val="24"/>
          <w:szCs w:val="24"/>
          <w14:ligatures w14:val="standardContextual"/>
        </w:rPr>
        <w:tab/>
      </w:r>
      <w:r>
        <w:t>AF Discovery and Selection</w:t>
      </w:r>
      <w:r>
        <w:tab/>
      </w:r>
      <w:r>
        <w:fldChar w:fldCharType="begin" w:fldLock="1"/>
      </w:r>
      <w:r>
        <w:instrText xml:space="preserve"> PAGEREF _Toc201157817 \h </w:instrText>
      </w:r>
      <w:r>
        <w:fldChar w:fldCharType="separate"/>
      </w:r>
      <w:r>
        <w:t>579</w:t>
      </w:r>
      <w:r>
        <w:fldChar w:fldCharType="end"/>
      </w:r>
    </w:p>
    <w:p w14:paraId="33850C43" w14:textId="0A594327" w:rsidR="006C1B74" w:rsidRDefault="006C1B74">
      <w:pPr>
        <w:pStyle w:val="TOC3"/>
        <w:rPr>
          <w:rFonts w:asciiTheme="minorHAnsi" w:eastAsiaTheme="minorEastAsia" w:hAnsiTheme="minorHAnsi" w:cstheme="minorBidi"/>
          <w:kern w:val="2"/>
          <w:sz w:val="24"/>
          <w:szCs w:val="24"/>
          <w14:ligatures w14:val="standardContextual"/>
        </w:rPr>
      </w:pPr>
      <w:r>
        <w:t>6.3.26</w:t>
      </w:r>
      <w:r>
        <w:rPr>
          <w:rFonts w:asciiTheme="minorHAnsi" w:eastAsiaTheme="minorEastAsia" w:hAnsiTheme="minorHAnsi" w:cstheme="minorBidi"/>
          <w:kern w:val="2"/>
          <w:sz w:val="24"/>
          <w:szCs w:val="24"/>
          <w14:ligatures w14:val="standardContextual"/>
        </w:rPr>
        <w:tab/>
      </w:r>
      <w:r>
        <w:t>NRF discovery and selection</w:t>
      </w:r>
      <w:r>
        <w:tab/>
      </w:r>
      <w:r>
        <w:fldChar w:fldCharType="begin" w:fldLock="1"/>
      </w:r>
      <w:r>
        <w:instrText xml:space="preserve"> PAGEREF _Toc201157818 \h </w:instrText>
      </w:r>
      <w:r>
        <w:fldChar w:fldCharType="separate"/>
      </w:r>
      <w:r>
        <w:t>579</w:t>
      </w:r>
      <w:r>
        <w:fldChar w:fldCharType="end"/>
      </w:r>
    </w:p>
    <w:p w14:paraId="123440C8" w14:textId="11E114ED" w:rsidR="006C1B74" w:rsidRDefault="006C1B74">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Network Function Services and descriptions</w:t>
      </w:r>
      <w:r>
        <w:tab/>
      </w:r>
      <w:r>
        <w:fldChar w:fldCharType="begin" w:fldLock="1"/>
      </w:r>
      <w:r>
        <w:instrText xml:space="preserve"> PAGEREF _Toc201157819 \h </w:instrText>
      </w:r>
      <w:r>
        <w:fldChar w:fldCharType="separate"/>
      </w:r>
      <w:r>
        <w:t>579</w:t>
      </w:r>
      <w:r>
        <w:fldChar w:fldCharType="end"/>
      </w:r>
    </w:p>
    <w:p w14:paraId="79A5F558" w14:textId="269996C2" w:rsidR="006C1B74" w:rsidRDefault="006C1B74">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Network Function Service Framework</w:t>
      </w:r>
      <w:r>
        <w:tab/>
      </w:r>
      <w:r>
        <w:fldChar w:fldCharType="begin" w:fldLock="1"/>
      </w:r>
      <w:r>
        <w:instrText xml:space="preserve"> PAGEREF _Toc201157820 \h </w:instrText>
      </w:r>
      <w:r>
        <w:fldChar w:fldCharType="separate"/>
      </w:r>
      <w:r>
        <w:t>579</w:t>
      </w:r>
      <w:r>
        <w:fldChar w:fldCharType="end"/>
      </w:r>
    </w:p>
    <w:p w14:paraId="6EC2361D" w14:textId="0316C92D" w:rsidR="006C1B74" w:rsidRDefault="006C1B74">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_Toc201157821 \h </w:instrText>
      </w:r>
      <w:r>
        <w:fldChar w:fldCharType="separate"/>
      </w:r>
      <w:r>
        <w:t>579</w:t>
      </w:r>
      <w:r>
        <w:fldChar w:fldCharType="end"/>
      </w:r>
    </w:p>
    <w:p w14:paraId="2BA2EE32" w14:textId="258EFD88" w:rsidR="006C1B74" w:rsidRDefault="006C1B74">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NF Service Consumer - NF Service Producer interactions</w:t>
      </w:r>
      <w:r>
        <w:tab/>
      </w:r>
      <w:r>
        <w:fldChar w:fldCharType="begin" w:fldLock="1"/>
      </w:r>
      <w:r>
        <w:instrText xml:space="preserve"> PAGEREF _Toc201157822 \h </w:instrText>
      </w:r>
      <w:r>
        <w:fldChar w:fldCharType="separate"/>
      </w:r>
      <w:r>
        <w:t>580</w:t>
      </w:r>
      <w:r>
        <w:fldChar w:fldCharType="end"/>
      </w:r>
    </w:p>
    <w:p w14:paraId="2498D127" w14:textId="4CD2BE83" w:rsidR="006C1B74" w:rsidRDefault="006C1B74">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Network Function Service discovery</w:t>
      </w:r>
      <w:r>
        <w:tab/>
      </w:r>
      <w:r>
        <w:fldChar w:fldCharType="begin" w:fldLock="1"/>
      </w:r>
      <w:r>
        <w:instrText xml:space="preserve"> PAGEREF _Toc201157823 \h </w:instrText>
      </w:r>
      <w:r>
        <w:fldChar w:fldCharType="separate"/>
      </w:r>
      <w:r>
        <w:t>582</w:t>
      </w:r>
      <w:r>
        <w:fldChar w:fldCharType="end"/>
      </w:r>
    </w:p>
    <w:p w14:paraId="159C889B" w14:textId="2B0D3291" w:rsidR="006C1B74" w:rsidRDefault="006C1B74">
      <w:pPr>
        <w:pStyle w:val="TOC3"/>
        <w:rPr>
          <w:rFonts w:asciiTheme="minorHAnsi" w:eastAsiaTheme="minorEastAsia" w:hAnsiTheme="minorHAnsi" w:cstheme="minorBidi"/>
          <w:kern w:val="2"/>
          <w:sz w:val="24"/>
          <w:szCs w:val="24"/>
          <w14:ligatures w14:val="standardContextual"/>
        </w:rPr>
      </w:pPr>
      <w:r>
        <w:t>7.1.4</w:t>
      </w:r>
      <w:r>
        <w:rPr>
          <w:rFonts w:asciiTheme="minorHAnsi" w:eastAsiaTheme="minorEastAsia" w:hAnsiTheme="minorHAnsi" w:cstheme="minorBidi"/>
          <w:kern w:val="2"/>
          <w:sz w:val="24"/>
          <w:szCs w:val="24"/>
          <w14:ligatures w14:val="standardContextual"/>
        </w:rPr>
        <w:tab/>
      </w:r>
      <w:r>
        <w:t>Network Function Service Authorization</w:t>
      </w:r>
      <w:r>
        <w:tab/>
      </w:r>
      <w:r>
        <w:fldChar w:fldCharType="begin" w:fldLock="1"/>
      </w:r>
      <w:r>
        <w:instrText xml:space="preserve"> PAGEREF _Toc201157824 \h </w:instrText>
      </w:r>
      <w:r>
        <w:fldChar w:fldCharType="separate"/>
      </w:r>
      <w:r>
        <w:t>582</w:t>
      </w:r>
      <w:r>
        <w:fldChar w:fldCharType="end"/>
      </w:r>
    </w:p>
    <w:p w14:paraId="31316811" w14:textId="690426E0" w:rsidR="006C1B74" w:rsidRDefault="006C1B74">
      <w:pPr>
        <w:pStyle w:val="TOC3"/>
        <w:rPr>
          <w:rFonts w:asciiTheme="minorHAnsi" w:eastAsiaTheme="minorEastAsia" w:hAnsiTheme="minorHAnsi" w:cstheme="minorBidi"/>
          <w:kern w:val="2"/>
          <w:sz w:val="24"/>
          <w:szCs w:val="24"/>
          <w14:ligatures w14:val="standardContextual"/>
        </w:rPr>
      </w:pPr>
      <w:r>
        <w:t>7.1.5</w:t>
      </w:r>
      <w:r>
        <w:rPr>
          <w:rFonts w:asciiTheme="minorHAnsi" w:eastAsiaTheme="minorEastAsia" w:hAnsiTheme="minorHAnsi" w:cstheme="minorBidi"/>
          <w:kern w:val="2"/>
          <w:sz w:val="24"/>
          <w:szCs w:val="24"/>
          <w14:ligatures w14:val="standardContextual"/>
        </w:rPr>
        <w:tab/>
      </w:r>
      <w:r>
        <w:t>Network Function and Network Function Service registration and de-registration</w:t>
      </w:r>
      <w:r>
        <w:tab/>
      </w:r>
      <w:r>
        <w:fldChar w:fldCharType="begin" w:fldLock="1"/>
      </w:r>
      <w:r>
        <w:instrText xml:space="preserve"> PAGEREF _Toc201157825 \h </w:instrText>
      </w:r>
      <w:r>
        <w:fldChar w:fldCharType="separate"/>
      </w:r>
      <w:r>
        <w:t>583</w:t>
      </w:r>
      <w:r>
        <w:fldChar w:fldCharType="end"/>
      </w:r>
    </w:p>
    <w:p w14:paraId="4F723223" w14:textId="761B52CA" w:rsidR="006C1B74" w:rsidRDefault="006C1B74">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Network Function Services</w:t>
      </w:r>
      <w:r>
        <w:tab/>
      </w:r>
      <w:r>
        <w:fldChar w:fldCharType="begin" w:fldLock="1"/>
      </w:r>
      <w:r>
        <w:instrText xml:space="preserve"> PAGEREF _Toc201157826 \h </w:instrText>
      </w:r>
      <w:r>
        <w:fldChar w:fldCharType="separate"/>
      </w:r>
      <w:r>
        <w:t>583</w:t>
      </w:r>
      <w:r>
        <w:fldChar w:fldCharType="end"/>
      </w:r>
    </w:p>
    <w:p w14:paraId="6AFA3A02" w14:textId="682143EE" w:rsidR="006C1B74" w:rsidRDefault="006C1B74">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_Toc201157827 \h </w:instrText>
      </w:r>
      <w:r>
        <w:fldChar w:fldCharType="separate"/>
      </w:r>
      <w:r>
        <w:t>583</w:t>
      </w:r>
      <w:r>
        <w:fldChar w:fldCharType="end"/>
      </w:r>
    </w:p>
    <w:p w14:paraId="1C906201" w14:textId="4F724AD5" w:rsidR="006C1B74" w:rsidRDefault="006C1B74">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AMF Services</w:t>
      </w:r>
      <w:r>
        <w:tab/>
      </w:r>
      <w:r>
        <w:fldChar w:fldCharType="begin" w:fldLock="1"/>
      </w:r>
      <w:r>
        <w:instrText xml:space="preserve"> PAGEREF _Toc201157828 \h </w:instrText>
      </w:r>
      <w:r>
        <w:fldChar w:fldCharType="separate"/>
      </w:r>
      <w:r>
        <w:t>584</w:t>
      </w:r>
      <w:r>
        <w:fldChar w:fldCharType="end"/>
      </w:r>
    </w:p>
    <w:p w14:paraId="6A0C7CD4" w14:textId="39140833" w:rsidR="006C1B74" w:rsidRDefault="006C1B74">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SMF Services</w:t>
      </w:r>
      <w:r>
        <w:tab/>
      </w:r>
      <w:r>
        <w:fldChar w:fldCharType="begin" w:fldLock="1"/>
      </w:r>
      <w:r>
        <w:instrText xml:space="preserve"> PAGEREF _Toc201157829 \h </w:instrText>
      </w:r>
      <w:r>
        <w:fldChar w:fldCharType="separate"/>
      </w:r>
      <w:r>
        <w:t>585</w:t>
      </w:r>
      <w:r>
        <w:fldChar w:fldCharType="end"/>
      </w:r>
    </w:p>
    <w:p w14:paraId="7C1DC141" w14:textId="6D361758" w:rsidR="006C1B74" w:rsidRDefault="006C1B74">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PCF Services</w:t>
      </w:r>
      <w:r>
        <w:tab/>
      </w:r>
      <w:r>
        <w:fldChar w:fldCharType="begin" w:fldLock="1"/>
      </w:r>
      <w:r>
        <w:instrText xml:space="preserve"> PAGEREF _Toc201157830 \h </w:instrText>
      </w:r>
      <w:r>
        <w:fldChar w:fldCharType="separate"/>
      </w:r>
      <w:r>
        <w:t>585</w:t>
      </w:r>
      <w:r>
        <w:fldChar w:fldCharType="end"/>
      </w:r>
    </w:p>
    <w:p w14:paraId="1C8BDE91" w14:textId="7F1FB09A" w:rsidR="006C1B74" w:rsidRDefault="006C1B74">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UDM Services</w:t>
      </w:r>
      <w:r>
        <w:tab/>
      </w:r>
      <w:r>
        <w:fldChar w:fldCharType="begin" w:fldLock="1"/>
      </w:r>
      <w:r>
        <w:instrText xml:space="preserve"> PAGEREF _Toc201157831 \h </w:instrText>
      </w:r>
      <w:r>
        <w:fldChar w:fldCharType="separate"/>
      </w:r>
      <w:r>
        <w:t>586</w:t>
      </w:r>
      <w:r>
        <w:fldChar w:fldCharType="end"/>
      </w:r>
    </w:p>
    <w:p w14:paraId="3CE60F35" w14:textId="65446B30" w:rsidR="006C1B74" w:rsidRDefault="006C1B74">
      <w:pPr>
        <w:pStyle w:val="TOC3"/>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NRF Services</w:t>
      </w:r>
      <w:r>
        <w:tab/>
      </w:r>
      <w:r>
        <w:fldChar w:fldCharType="begin" w:fldLock="1"/>
      </w:r>
      <w:r>
        <w:instrText xml:space="preserve"> PAGEREF _Toc201157832 \h </w:instrText>
      </w:r>
      <w:r>
        <w:fldChar w:fldCharType="separate"/>
      </w:r>
      <w:r>
        <w:t>587</w:t>
      </w:r>
      <w:r>
        <w:fldChar w:fldCharType="end"/>
      </w:r>
    </w:p>
    <w:p w14:paraId="60E23660" w14:textId="1B60ED15" w:rsidR="006C1B74" w:rsidRDefault="006C1B74">
      <w:pPr>
        <w:pStyle w:val="TOC3"/>
        <w:rPr>
          <w:rFonts w:asciiTheme="minorHAnsi" w:eastAsiaTheme="minorEastAsia" w:hAnsiTheme="minorHAnsi" w:cstheme="minorBidi"/>
          <w:kern w:val="2"/>
          <w:sz w:val="24"/>
          <w:szCs w:val="24"/>
          <w14:ligatures w14:val="standardContextual"/>
        </w:rPr>
      </w:pPr>
      <w:r>
        <w:t>7.2.7</w:t>
      </w:r>
      <w:r>
        <w:rPr>
          <w:rFonts w:asciiTheme="minorHAnsi" w:eastAsiaTheme="minorEastAsia" w:hAnsiTheme="minorHAnsi" w:cstheme="minorBidi"/>
          <w:kern w:val="2"/>
          <w:sz w:val="24"/>
          <w:szCs w:val="24"/>
          <w14:ligatures w14:val="standardContextual"/>
        </w:rPr>
        <w:tab/>
      </w:r>
      <w:r>
        <w:t>AUSF Services</w:t>
      </w:r>
      <w:r>
        <w:tab/>
      </w:r>
      <w:r>
        <w:fldChar w:fldCharType="begin" w:fldLock="1"/>
      </w:r>
      <w:r>
        <w:instrText xml:space="preserve"> PAGEREF _Toc201157833 \h </w:instrText>
      </w:r>
      <w:r>
        <w:fldChar w:fldCharType="separate"/>
      </w:r>
      <w:r>
        <w:t>588</w:t>
      </w:r>
      <w:r>
        <w:fldChar w:fldCharType="end"/>
      </w:r>
    </w:p>
    <w:p w14:paraId="614CDDB6" w14:textId="0733BF4C" w:rsidR="006C1B74" w:rsidRDefault="006C1B74">
      <w:pPr>
        <w:pStyle w:val="TOC3"/>
        <w:rPr>
          <w:rFonts w:asciiTheme="minorHAnsi" w:eastAsiaTheme="minorEastAsia" w:hAnsiTheme="minorHAnsi" w:cstheme="minorBidi"/>
          <w:kern w:val="2"/>
          <w:sz w:val="24"/>
          <w:szCs w:val="24"/>
          <w14:ligatures w14:val="standardContextual"/>
        </w:rPr>
      </w:pPr>
      <w:r>
        <w:t>7.2.8</w:t>
      </w:r>
      <w:r>
        <w:rPr>
          <w:rFonts w:asciiTheme="minorHAnsi" w:eastAsiaTheme="minorEastAsia" w:hAnsiTheme="minorHAnsi" w:cstheme="minorBidi"/>
          <w:kern w:val="2"/>
          <w:sz w:val="24"/>
          <w:szCs w:val="24"/>
          <w14:ligatures w14:val="standardContextual"/>
        </w:rPr>
        <w:tab/>
      </w:r>
      <w:r>
        <w:t>NEF Services</w:t>
      </w:r>
      <w:r>
        <w:tab/>
      </w:r>
      <w:r>
        <w:fldChar w:fldCharType="begin" w:fldLock="1"/>
      </w:r>
      <w:r>
        <w:instrText xml:space="preserve"> PAGEREF _Toc201157834 \h </w:instrText>
      </w:r>
      <w:r>
        <w:fldChar w:fldCharType="separate"/>
      </w:r>
      <w:r>
        <w:t>588</w:t>
      </w:r>
      <w:r>
        <w:fldChar w:fldCharType="end"/>
      </w:r>
    </w:p>
    <w:p w14:paraId="5CE26AFA" w14:textId="770C662F" w:rsidR="006C1B74" w:rsidRDefault="006C1B74">
      <w:pPr>
        <w:pStyle w:val="TOC3"/>
        <w:rPr>
          <w:rFonts w:asciiTheme="minorHAnsi" w:eastAsiaTheme="minorEastAsia" w:hAnsiTheme="minorHAnsi" w:cstheme="minorBidi"/>
          <w:kern w:val="2"/>
          <w:sz w:val="24"/>
          <w:szCs w:val="24"/>
          <w14:ligatures w14:val="standardContextual"/>
        </w:rPr>
      </w:pPr>
      <w:r>
        <w:t>7.2.8A</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_Toc201157835 \h </w:instrText>
      </w:r>
      <w:r>
        <w:fldChar w:fldCharType="separate"/>
      </w:r>
      <w:r>
        <w:t>591</w:t>
      </w:r>
      <w:r>
        <w:fldChar w:fldCharType="end"/>
      </w:r>
    </w:p>
    <w:p w14:paraId="752EED2E" w14:textId="3AE8E3AE" w:rsidR="006C1B74" w:rsidRDefault="006C1B74">
      <w:pPr>
        <w:pStyle w:val="TOC3"/>
        <w:rPr>
          <w:rFonts w:asciiTheme="minorHAnsi" w:eastAsiaTheme="minorEastAsia" w:hAnsiTheme="minorHAnsi" w:cstheme="minorBidi"/>
          <w:kern w:val="2"/>
          <w:sz w:val="24"/>
          <w:szCs w:val="24"/>
          <w14:ligatures w14:val="standardContextual"/>
        </w:rPr>
      </w:pPr>
      <w:r>
        <w:t>7.2.9</w:t>
      </w:r>
      <w:r>
        <w:rPr>
          <w:rFonts w:asciiTheme="minorHAnsi" w:eastAsiaTheme="minorEastAsia" w:hAnsiTheme="minorHAnsi" w:cstheme="minorBidi"/>
          <w:kern w:val="2"/>
          <w:sz w:val="24"/>
          <w:szCs w:val="24"/>
          <w14:ligatures w14:val="standardContextual"/>
        </w:rPr>
        <w:tab/>
      </w:r>
      <w:r>
        <w:t>SM</w:t>
      </w:r>
      <w:r>
        <w:rPr>
          <w:lang w:eastAsia="zh-CN"/>
        </w:rPr>
        <w:t>S</w:t>
      </w:r>
      <w:r>
        <w:t>F Services</w:t>
      </w:r>
      <w:r>
        <w:tab/>
      </w:r>
      <w:r>
        <w:fldChar w:fldCharType="begin" w:fldLock="1"/>
      </w:r>
      <w:r>
        <w:instrText xml:space="preserve"> PAGEREF _Toc201157836 \h </w:instrText>
      </w:r>
      <w:r>
        <w:fldChar w:fldCharType="separate"/>
      </w:r>
      <w:r>
        <w:t>591</w:t>
      </w:r>
      <w:r>
        <w:fldChar w:fldCharType="end"/>
      </w:r>
    </w:p>
    <w:p w14:paraId="244E0149" w14:textId="01BED6FE" w:rsidR="006C1B74" w:rsidRDefault="006C1B74">
      <w:pPr>
        <w:pStyle w:val="TOC3"/>
        <w:rPr>
          <w:rFonts w:asciiTheme="minorHAnsi" w:eastAsiaTheme="minorEastAsia" w:hAnsiTheme="minorHAnsi" w:cstheme="minorBidi"/>
          <w:kern w:val="2"/>
          <w:sz w:val="24"/>
          <w:szCs w:val="24"/>
          <w14:ligatures w14:val="standardContextual"/>
        </w:rPr>
      </w:pPr>
      <w:r>
        <w:t>7.2.10</w:t>
      </w:r>
      <w:r>
        <w:rPr>
          <w:rFonts w:asciiTheme="minorHAnsi" w:eastAsiaTheme="minorEastAsia" w:hAnsiTheme="minorHAnsi" w:cstheme="minorBidi"/>
          <w:kern w:val="2"/>
          <w:sz w:val="24"/>
          <w:szCs w:val="24"/>
          <w14:ligatures w14:val="standardContextual"/>
        </w:rPr>
        <w:tab/>
      </w:r>
      <w:r>
        <w:t>UDR Services</w:t>
      </w:r>
      <w:r>
        <w:tab/>
      </w:r>
      <w:r>
        <w:fldChar w:fldCharType="begin" w:fldLock="1"/>
      </w:r>
      <w:r>
        <w:instrText xml:space="preserve"> PAGEREF _Toc201157837 \h </w:instrText>
      </w:r>
      <w:r>
        <w:fldChar w:fldCharType="separate"/>
      </w:r>
      <w:r>
        <w:t>591</w:t>
      </w:r>
      <w:r>
        <w:fldChar w:fldCharType="end"/>
      </w:r>
    </w:p>
    <w:p w14:paraId="5F9425DC" w14:textId="3E7DD51C"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7.2.11</w:t>
      </w:r>
      <w:r>
        <w:rPr>
          <w:rFonts w:asciiTheme="minorHAnsi" w:eastAsiaTheme="minorEastAsia" w:hAnsiTheme="minorHAnsi" w:cstheme="minorBidi"/>
          <w:kern w:val="2"/>
          <w:sz w:val="24"/>
          <w:szCs w:val="24"/>
          <w14:ligatures w14:val="standardContextual"/>
        </w:rPr>
        <w:tab/>
      </w:r>
      <w:r>
        <w:rPr>
          <w:lang w:eastAsia="zh-CN"/>
        </w:rPr>
        <w:t>5G-EIR Services</w:t>
      </w:r>
      <w:r>
        <w:tab/>
      </w:r>
      <w:r>
        <w:fldChar w:fldCharType="begin" w:fldLock="1"/>
      </w:r>
      <w:r>
        <w:instrText xml:space="preserve"> PAGEREF _Toc201157838 \h </w:instrText>
      </w:r>
      <w:r>
        <w:fldChar w:fldCharType="separate"/>
      </w:r>
      <w:r>
        <w:t>592</w:t>
      </w:r>
      <w:r>
        <w:fldChar w:fldCharType="end"/>
      </w:r>
    </w:p>
    <w:p w14:paraId="517D48AE" w14:textId="37F83ADE"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7.2.12</w:t>
      </w:r>
      <w:r>
        <w:rPr>
          <w:rFonts w:asciiTheme="minorHAnsi" w:eastAsiaTheme="minorEastAsia" w:hAnsiTheme="minorHAnsi" w:cstheme="minorBidi"/>
          <w:kern w:val="2"/>
          <w:sz w:val="24"/>
          <w:szCs w:val="24"/>
          <w14:ligatures w14:val="standardContextual"/>
        </w:rPr>
        <w:tab/>
      </w:r>
      <w:r>
        <w:rPr>
          <w:lang w:eastAsia="zh-CN"/>
        </w:rPr>
        <w:t>NWDAF Services</w:t>
      </w:r>
      <w:r>
        <w:tab/>
      </w:r>
      <w:r>
        <w:fldChar w:fldCharType="begin" w:fldLock="1"/>
      </w:r>
      <w:r>
        <w:instrText xml:space="preserve"> PAGEREF _Toc201157839 \h </w:instrText>
      </w:r>
      <w:r>
        <w:fldChar w:fldCharType="separate"/>
      </w:r>
      <w:r>
        <w:t>592</w:t>
      </w:r>
      <w:r>
        <w:fldChar w:fldCharType="end"/>
      </w:r>
    </w:p>
    <w:p w14:paraId="4E5A1A4B" w14:textId="71E77021" w:rsidR="006C1B74" w:rsidRDefault="006C1B74">
      <w:pPr>
        <w:pStyle w:val="TOC3"/>
        <w:rPr>
          <w:rFonts w:asciiTheme="minorHAnsi" w:eastAsiaTheme="minorEastAsia" w:hAnsiTheme="minorHAnsi" w:cstheme="minorBidi"/>
          <w:kern w:val="2"/>
          <w:sz w:val="24"/>
          <w:szCs w:val="24"/>
          <w14:ligatures w14:val="standardContextual"/>
        </w:rPr>
      </w:pPr>
      <w:r>
        <w:t>7.2.13</w:t>
      </w:r>
      <w:r>
        <w:rPr>
          <w:rFonts w:asciiTheme="minorHAnsi" w:eastAsiaTheme="minorEastAsia" w:hAnsiTheme="minorHAnsi" w:cstheme="minorBidi"/>
          <w:kern w:val="2"/>
          <w:sz w:val="24"/>
          <w:szCs w:val="24"/>
          <w14:ligatures w14:val="standardContextual"/>
        </w:rPr>
        <w:tab/>
      </w:r>
      <w:r>
        <w:t>UDSF Services</w:t>
      </w:r>
      <w:r>
        <w:tab/>
      </w:r>
      <w:r>
        <w:fldChar w:fldCharType="begin" w:fldLock="1"/>
      </w:r>
      <w:r>
        <w:instrText xml:space="preserve"> PAGEREF _Toc201157840 \h </w:instrText>
      </w:r>
      <w:r>
        <w:fldChar w:fldCharType="separate"/>
      </w:r>
      <w:r>
        <w:t>593</w:t>
      </w:r>
      <w:r>
        <w:fldChar w:fldCharType="end"/>
      </w:r>
    </w:p>
    <w:p w14:paraId="71AF9C57" w14:textId="0E83B5B8" w:rsidR="006C1B74" w:rsidRDefault="006C1B74">
      <w:pPr>
        <w:pStyle w:val="TOC3"/>
        <w:rPr>
          <w:rFonts w:asciiTheme="minorHAnsi" w:eastAsiaTheme="minorEastAsia" w:hAnsiTheme="minorHAnsi" w:cstheme="minorBidi"/>
          <w:kern w:val="2"/>
          <w:sz w:val="24"/>
          <w:szCs w:val="24"/>
          <w14:ligatures w14:val="standardContextual"/>
        </w:rPr>
      </w:pPr>
      <w:r>
        <w:t>7.2.14</w:t>
      </w:r>
      <w:r>
        <w:rPr>
          <w:rFonts w:asciiTheme="minorHAnsi" w:eastAsiaTheme="minorEastAsia" w:hAnsiTheme="minorHAnsi" w:cstheme="minorBidi"/>
          <w:kern w:val="2"/>
          <w:sz w:val="24"/>
          <w:szCs w:val="24"/>
          <w14:ligatures w14:val="standardContextual"/>
        </w:rPr>
        <w:tab/>
      </w:r>
      <w:r>
        <w:t>NSSF Services</w:t>
      </w:r>
      <w:r>
        <w:tab/>
      </w:r>
      <w:r>
        <w:fldChar w:fldCharType="begin" w:fldLock="1"/>
      </w:r>
      <w:r>
        <w:instrText xml:space="preserve"> PAGEREF _Toc201157841 \h </w:instrText>
      </w:r>
      <w:r>
        <w:fldChar w:fldCharType="separate"/>
      </w:r>
      <w:r>
        <w:t>593</w:t>
      </w:r>
      <w:r>
        <w:fldChar w:fldCharType="end"/>
      </w:r>
    </w:p>
    <w:p w14:paraId="790DA16D" w14:textId="5A2266A9" w:rsidR="006C1B74" w:rsidRDefault="006C1B74">
      <w:pPr>
        <w:pStyle w:val="TOC3"/>
        <w:rPr>
          <w:rFonts w:asciiTheme="minorHAnsi" w:eastAsiaTheme="minorEastAsia" w:hAnsiTheme="minorHAnsi" w:cstheme="minorBidi"/>
          <w:kern w:val="2"/>
          <w:sz w:val="24"/>
          <w:szCs w:val="24"/>
          <w14:ligatures w14:val="standardContextual"/>
        </w:rPr>
      </w:pPr>
      <w:r>
        <w:t>7.2.15</w:t>
      </w:r>
      <w:r>
        <w:rPr>
          <w:rFonts w:asciiTheme="minorHAnsi" w:eastAsiaTheme="minorEastAsia" w:hAnsiTheme="minorHAnsi" w:cstheme="minorBidi"/>
          <w:kern w:val="2"/>
          <w:sz w:val="24"/>
          <w:szCs w:val="24"/>
          <w14:ligatures w14:val="standardContextual"/>
        </w:rPr>
        <w:tab/>
      </w:r>
      <w:r>
        <w:t>BSF Services</w:t>
      </w:r>
      <w:r>
        <w:tab/>
      </w:r>
      <w:r>
        <w:fldChar w:fldCharType="begin" w:fldLock="1"/>
      </w:r>
      <w:r>
        <w:instrText xml:space="preserve"> PAGEREF _Toc201157842 \h </w:instrText>
      </w:r>
      <w:r>
        <w:fldChar w:fldCharType="separate"/>
      </w:r>
      <w:r>
        <w:t>594</w:t>
      </w:r>
      <w:r>
        <w:fldChar w:fldCharType="end"/>
      </w:r>
    </w:p>
    <w:p w14:paraId="1AF6BB20" w14:textId="6A1036ED" w:rsidR="006C1B74" w:rsidRDefault="006C1B74">
      <w:pPr>
        <w:pStyle w:val="TOC3"/>
        <w:rPr>
          <w:rFonts w:asciiTheme="minorHAnsi" w:eastAsiaTheme="minorEastAsia" w:hAnsiTheme="minorHAnsi" w:cstheme="minorBidi"/>
          <w:kern w:val="2"/>
          <w:sz w:val="24"/>
          <w:szCs w:val="24"/>
          <w14:ligatures w14:val="standardContextual"/>
        </w:rPr>
      </w:pPr>
      <w:r>
        <w:t>7.2.16</w:t>
      </w:r>
      <w:r>
        <w:rPr>
          <w:rFonts w:asciiTheme="minorHAnsi" w:eastAsiaTheme="minorEastAsia" w:hAnsiTheme="minorHAnsi" w:cstheme="minorBidi"/>
          <w:kern w:val="2"/>
          <w:sz w:val="24"/>
          <w:szCs w:val="24"/>
          <w14:ligatures w14:val="standardContextual"/>
        </w:rPr>
        <w:tab/>
      </w:r>
      <w:r>
        <w:t>LMF Services</w:t>
      </w:r>
      <w:r>
        <w:tab/>
      </w:r>
      <w:r>
        <w:fldChar w:fldCharType="begin" w:fldLock="1"/>
      </w:r>
      <w:r>
        <w:instrText xml:space="preserve"> PAGEREF _Toc201157843 \h </w:instrText>
      </w:r>
      <w:r>
        <w:fldChar w:fldCharType="separate"/>
      </w:r>
      <w:r>
        <w:t>594</w:t>
      </w:r>
      <w:r>
        <w:fldChar w:fldCharType="end"/>
      </w:r>
    </w:p>
    <w:p w14:paraId="06757D17" w14:textId="5CB4A264" w:rsidR="006C1B74" w:rsidRDefault="006C1B74">
      <w:pPr>
        <w:pStyle w:val="TOC3"/>
        <w:rPr>
          <w:rFonts w:asciiTheme="minorHAnsi" w:eastAsiaTheme="minorEastAsia" w:hAnsiTheme="minorHAnsi" w:cstheme="minorBidi"/>
          <w:kern w:val="2"/>
          <w:sz w:val="24"/>
          <w:szCs w:val="24"/>
          <w14:ligatures w14:val="standardContextual"/>
        </w:rPr>
      </w:pPr>
      <w:r>
        <w:t>7.2.16A</w:t>
      </w:r>
      <w:r>
        <w:rPr>
          <w:rFonts w:asciiTheme="minorHAnsi" w:eastAsiaTheme="minorEastAsia" w:hAnsiTheme="minorHAnsi" w:cstheme="minorBidi"/>
          <w:kern w:val="2"/>
          <w:sz w:val="24"/>
          <w:szCs w:val="24"/>
          <w14:ligatures w14:val="standardContextual"/>
        </w:rPr>
        <w:tab/>
      </w:r>
      <w:r>
        <w:t>GMLC Services</w:t>
      </w:r>
      <w:r>
        <w:tab/>
      </w:r>
      <w:r>
        <w:fldChar w:fldCharType="begin" w:fldLock="1"/>
      </w:r>
      <w:r>
        <w:instrText xml:space="preserve"> PAGEREF _Toc201157844 \h </w:instrText>
      </w:r>
      <w:r>
        <w:fldChar w:fldCharType="separate"/>
      </w:r>
      <w:r>
        <w:t>594</w:t>
      </w:r>
      <w:r>
        <w:fldChar w:fldCharType="end"/>
      </w:r>
    </w:p>
    <w:p w14:paraId="644C9340" w14:textId="403EEEFF" w:rsidR="006C1B74" w:rsidRDefault="006C1B74">
      <w:pPr>
        <w:pStyle w:val="TOC3"/>
        <w:rPr>
          <w:rFonts w:asciiTheme="minorHAnsi" w:eastAsiaTheme="minorEastAsia" w:hAnsiTheme="minorHAnsi" w:cstheme="minorBidi"/>
          <w:kern w:val="2"/>
          <w:sz w:val="24"/>
          <w:szCs w:val="24"/>
          <w14:ligatures w14:val="standardContextual"/>
        </w:rPr>
      </w:pPr>
      <w:r>
        <w:t>7.2.17</w:t>
      </w:r>
      <w:r>
        <w:rPr>
          <w:rFonts w:asciiTheme="minorHAnsi" w:eastAsiaTheme="minorEastAsia" w:hAnsiTheme="minorHAnsi" w:cstheme="minorBidi"/>
          <w:kern w:val="2"/>
          <w:sz w:val="24"/>
          <w:szCs w:val="24"/>
          <w14:ligatures w14:val="standardContextual"/>
        </w:rPr>
        <w:tab/>
      </w:r>
      <w:r>
        <w:t>CHF Services</w:t>
      </w:r>
      <w:r>
        <w:tab/>
      </w:r>
      <w:r>
        <w:fldChar w:fldCharType="begin" w:fldLock="1"/>
      </w:r>
      <w:r>
        <w:instrText xml:space="preserve"> PAGEREF _Toc201157845 \h </w:instrText>
      </w:r>
      <w:r>
        <w:fldChar w:fldCharType="separate"/>
      </w:r>
      <w:r>
        <w:t>594</w:t>
      </w:r>
      <w:r>
        <w:fldChar w:fldCharType="end"/>
      </w:r>
    </w:p>
    <w:p w14:paraId="68B9EB6B" w14:textId="2AB08E54" w:rsidR="006C1B74" w:rsidRDefault="006C1B74">
      <w:pPr>
        <w:pStyle w:val="TOC3"/>
        <w:rPr>
          <w:rFonts w:asciiTheme="minorHAnsi" w:eastAsiaTheme="minorEastAsia" w:hAnsiTheme="minorHAnsi" w:cstheme="minorBidi"/>
          <w:kern w:val="2"/>
          <w:sz w:val="24"/>
          <w:szCs w:val="24"/>
          <w14:ligatures w14:val="standardContextual"/>
        </w:rPr>
      </w:pPr>
      <w:r>
        <w:t>7.2.18</w:t>
      </w:r>
      <w:r>
        <w:rPr>
          <w:rFonts w:asciiTheme="minorHAnsi" w:eastAsiaTheme="minorEastAsia" w:hAnsiTheme="minorHAnsi" w:cstheme="minorBidi"/>
          <w:kern w:val="2"/>
          <w:sz w:val="24"/>
          <w:szCs w:val="24"/>
          <w14:ligatures w14:val="standardContextual"/>
        </w:rPr>
        <w:tab/>
      </w:r>
      <w:r>
        <w:t>UCMF Services</w:t>
      </w:r>
      <w:r>
        <w:tab/>
      </w:r>
      <w:r>
        <w:fldChar w:fldCharType="begin" w:fldLock="1"/>
      </w:r>
      <w:r>
        <w:instrText xml:space="preserve"> PAGEREF _Toc201157846 \h </w:instrText>
      </w:r>
      <w:r>
        <w:fldChar w:fldCharType="separate"/>
      </w:r>
      <w:r>
        <w:t>595</w:t>
      </w:r>
      <w:r>
        <w:fldChar w:fldCharType="end"/>
      </w:r>
    </w:p>
    <w:p w14:paraId="3F895AA9" w14:textId="391CEC9F" w:rsidR="006C1B74" w:rsidRDefault="006C1B74">
      <w:pPr>
        <w:pStyle w:val="TOC3"/>
        <w:rPr>
          <w:rFonts w:asciiTheme="minorHAnsi" w:eastAsiaTheme="minorEastAsia" w:hAnsiTheme="minorHAnsi" w:cstheme="minorBidi"/>
          <w:kern w:val="2"/>
          <w:sz w:val="24"/>
          <w:szCs w:val="24"/>
          <w14:ligatures w14:val="standardContextual"/>
        </w:rPr>
      </w:pPr>
      <w:r>
        <w:t>7.2.19</w:t>
      </w:r>
      <w:r>
        <w:rPr>
          <w:rFonts w:asciiTheme="minorHAnsi" w:eastAsiaTheme="minorEastAsia" w:hAnsiTheme="minorHAnsi" w:cstheme="minorBidi"/>
          <w:kern w:val="2"/>
          <w:sz w:val="24"/>
          <w:szCs w:val="24"/>
          <w14:ligatures w14:val="standardContextual"/>
        </w:rPr>
        <w:tab/>
      </w:r>
      <w:r>
        <w:t>AF Services</w:t>
      </w:r>
      <w:r>
        <w:tab/>
      </w:r>
      <w:r>
        <w:fldChar w:fldCharType="begin" w:fldLock="1"/>
      </w:r>
      <w:r>
        <w:instrText xml:space="preserve"> PAGEREF _Toc201157847 \h </w:instrText>
      </w:r>
      <w:r>
        <w:fldChar w:fldCharType="separate"/>
      </w:r>
      <w:r>
        <w:t>595</w:t>
      </w:r>
      <w:r>
        <w:fldChar w:fldCharType="end"/>
      </w:r>
    </w:p>
    <w:p w14:paraId="1367E9BA" w14:textId="01B42C4E" w:rsidR="006C1B74" w:rsidRDefault="006C1B74">
      <w:pPr>
        <w:pStyle w:val="TOC3"/>
        <w:rPr>
          <w:rFonts w:asciiTheme="minorHAnsi" w:eastAsiaTheme="minorEastAsia" w:hAnsiTheme="minorHAnsi" w:cstheme="minorBidi"/>
          <w:kern w:val="2"/>
          <w:sz w:val="24"/>
          <w:szCs w:val="24"/>
          <w14:ligatures w14:val="standardContextual"/>
        </w:rPr>
      </w:pPr>
      <w:r>
        <w:t>7.2.20</w:t>
      </w:r>
      <w:r>
        <w:rPr>
          <w:rFonts w:asciiTheme="minorHAnsi" w:eastAsiaTheme="minorEastAsia" w:hAnsiTheme="minorHAnsi" w:cstheme="minorBidi"/>
          <w:kern w:val="2"/>
          <w:sz w:val="24"/>
          <w:szCs w:val="24"/>
          <w14:ligatures w14:val="standardContextual"/>
        </w:rPr>
        <w:tab/>
      </w:r>
      <w:r>
        <w:t>NSSAAF Services</w:t>
      </w:r>
      <w:r>
        <w:tab/>
      </w:r>
      <w:r>
        <w:fldChar w:fldCharType="begin" w:fldLock="1"/>
      </w:r>
      <w:r>
        <w:instrText xml:space="preserve"> PAGEREF _Toc201157848 \h </w:instrText>
      </w:r>
      <w:r>
        <w:fldChar w:fldCharType="separate"/>
      </w:r>
      <w:r>
        <w:t>596</w:t>
      </w:r>
      <w:r>
        <w:fldChar w:fldCharType="end"/>
      </w:r>
    </w:p>
    <w:p w14:paraId="147E405E" w14:textId="1B4C2ACC" w:rsidR="006C1B74" w:rsidRDefault="006C1B74">
      <w:pPr>
        <w:pStyle w:val="TOC3"/>
        <w:rPr>
          <w:rFonts w:asciiTheme="minorHAnsi" w:eastAsiaTheme="minorEastAsia" w:hAnsiTheme="minorHAnsi" w:cstheme="minorBidi"/>
          <w:kern w:val="2"/>
          <w:sz w:val="24"/>
          <w:szCs w:val="24"/>
          <w14:ligatures w14:val="standardContextual"/>
        </w:rPr>
      </w:pPr>
      <w:r>
        <w:t>7.2.21</w:t>
      </w:r>
      <w:r>
        <w:rPr>
          <w:rFonts w:asciiTheme="minorHAnsi" w:eastAsiaTheme="minorEastAsia" w:hAnsiTheme="minorHAnsi" w:cstheme="minorBidi"/>
          <w:kern w:val="2"/>
          <w:sz w:val="24"/>
          <w:szCs w:val="24"/>
          <w14:ligatures w14:val="standardContextual"/>
        </w:rPr>
        <w:tab/>
      </w:r>
      <w:r>
        <w:t>DCCF Services</w:t>
      </w:r>
      <w:r>
        <w:tab/>
      </w:r>
      <w:r>
        <w:fldChar w:fldCharType="begin" w:fldLock="1"/>
      </w:r>
      <w:r>
        <w:instrText xml:space="preserve"> PAGEREF _Toc201157849 \h </w:instrText>
      </w:r>
      <w:r>
        <w:fldChar w:fldCharType="separate"/>
      </w:r>
      <w:r>
        <w:t>596</w:t>
      </w:r>
      <w:r>
        <w:fldChar w:fldCharType="end"/>
      </w:r>
    </w:p>
    <w:p w14:paraId="4A7807AD" w14:textId="569D8451" w:rsidR="006C1B74" w:rsidRDefault="006C1B74">
      <w:pPr>
        <w:pStyle w:val="TOC3"/>
        <w:rPr>
          <w:rFonts w:asciiTheme="minorHAnsi" w:eastAsiaTheme="minorEastAsia" w:hAnsiTheme="minorHAnsi" w:cstheme="minorBidi"/>
          <w:kern w:val="2"/>
          <w:sz w:val="24"/>
          <w:szCs w:val="24"/>
          <w14:ligatures w14:val="standardContextual"/>
        </w:rPr>
      </w:pPr>
      <w:r>
        <w:t>7.2.22</w:t>
      </w:r>
      <w:r>
        <w:rPr>
          <w:rFonts w:asciiTheme="minorHAnsi" w:eastAsiaTheme="minorEastAsia" w:hAnsiTheme="minorHAnsi" w:cstheme="minorBidi"/>
          <w:kern w:val="2"/>
          <w:sz w:val="24"/>
          <w:szCs w:val="24"/>
          <w14:ligatures w14:val="standardContextual"/>
        </w:rPr>
        <w:tab/>
      </w:r>
      <w:r>
        <w:t>MFAF Services</w:t>
      </w:r>
      <w:r>
        <w:tab/>
      </w:r>
      <w:r>
        <w:fldChar w:fldCharType="begin" w:fldLock="1"/>
      </w:r>
      <w:r>
        <w:instrText xml:space="preserve"> PAGEREF _Toc201157850 \h </w:instrText>
      </w:r>
      <w:r>
        <w:fldChar w:fldCharType="separate"/>
      </w:r>
      <w:r>
        <w:t>596</w:t>
      </w:r>
      <w:r>
        <w:fldChar w:fldCharType="end"/>
      </w:r>
    </w:p>
    <w:p w14:paraId="79CB5428" w14:textId="4BABB1BA" w:rsidR="006C1B74" w:rsidRDefault="006C1B74">
      <w:pPr>
        <w:pStyle w:val="TOC3"/>
        <w:rPr>
          <w:rFonts w:asciiTheme="minorHAnsi" w:eastAsiaTheme="minorEastAsia" w:hAnsiTheme="minorHAnsi" w:cstheme="minorBidi"/>
          <w:kern w:val="2"/>
          <w:sz w:val="24"/>
          <w:szCs w:val="24"/>
          <w14:ligatures w14:val="standardContextual"/>
        </w:rPr>
      </w:pPr>
      <w:r>
        <w:t>7.2.23</w:t>
      </w:r>
      <w:r>
        <w:rPr>
          <w:rFonts w:asciiTheme="minorHAnsi" w:eastAsiaTheme="minorEastAsia" w:hAnsiTheme="minorHAnsi" w:cstheme="minorBidi"/>
          <w:kern w:val="2"/>
          <w:sz w:val="24"/>
          <w:szCs w:val="24"/>
          <w14:ligatures w14:val="standardContextual"/>
        </w:rPr>
        <w:tab/>
      </w:r>
      <w:r>
        <w:t>ADRF Services</w:t>
      </w:r>
      <w:r>
        <w:tab/>
      </w:r>
      <w:r>
        <w:fldChar w:fldCharType="begin" w:fldLock="1"/>
      </w:r>
      <w:r>
        <w:instrText xml:space="preserve"> PAGEREF _Toc201157851 \h </w:instrText>
      </w:r>
      <w:r>
        <w:fldChar w:fldCharType="separate"/>
      </w:r>
      <w:r>
        <w:t>597</w:t>
      </w:r>
      <w:r>
        <w:fldChar w:fldCharType="end"/>
      </w:r>
    </w:p>
    <w:p w14:paraId="08687A58" w14:textId="63FAE263" w:rsidR="006C1B74" w:rsidRDefault="006C1B74">
      <w:pPr>
        <w:pStyle w:val="TOC3"/>
        <w:rPr>
          <w:rFonts w:asciiTheme="minorHAnsi" w:eastAsiaTheme="minorEastAsia" w:hAnsiTheme="minorHAnsi" w:cstheme="minorBidi"/>
          <w:kern w:val="2"/>
          <w:sz w:val="24"/>
          <w:szCs w:val="24"/>
          <w14:ligatures w14:val="standardContextual"/>
        </w:rPr>
      </w:pPr>
      <w:r>
        <w:t>7.2.24</w:t>
      </w:r>
      <w:r>
        <w:rPr>
          <w:rFonts w:asciiTheme="minorHAnsi" w:eastAsiaTheme="minorEastAsia" w:hAnsiTheme="minorHAnsi" w:cstheme="minorBidi"/>
          <w:kern w:val="2"/>
          <w:sz w:val="24"/>
          <w:szCs w:val="24"/>
          <w14:ligatures w14:val="standardContextual"/>
        </w:rPr>
        <w:tab/>
      </w:r>
      <w:r>
        <w:t>5G DDNMF Services</w:t>
      </w:r>
      <w:r>
        <w:tab/>
      </w:r>
      <w:r>
        <w:fldChar w:fldCharType="begin" w:fldLock="1"/>
      </w:r>
      <w:r>
        <w:instrText xml:space="preserve"> PAGEREF _Toc201157852 \h </w:instrText>
      </w:r>
      <w:r>
        <w:fldChar w:fldCharType="separate"/>
      </w:r>
      <w:r>
        <w:t>597</w:t>
      </w:r>
      <w:r>
        <w:fldChar w:fldCharType="end"/>
      </w:r>
    </w:p>
    <w:p w14:paraId="2B2A4688" w14:textId="05CF50E5" w:rsidR="006C1B74" w:rsidRDefault="006C1B74">
      <w:pPr>
        <w:pStyle w:val="TOC3"/>
        <w:rPr>
          <w:rFonts w:asciiTheme="minorHAnsi" w:eastAsiaTheme="minorEastAsia" w:hAnsiTheme="minorHAnsi" w:cstheme="minorBidi"/>
          <w:kern w:val="2"/>
          <w:sz w:val="24"/>
          <w:szCs w:val="24"/>
          <w14:ligatures w14:val="standardContextual"/>
        </w:rPr>
      </w:pPr>
      <w:r>
        <w:t>7.2.25</w:t>
      </w:r>
      <w:r>
        <w:rPr>
          <w:rFonts w:asciiTheme="minorHAnsi" w:eastAsiaTheme="minorEastAsia" w:hAnsiTheme="minorHAnsi" w:cstheme="minorBidi"/>
          <w:kern w:val="2"/>
          <w:sz w:val="24"/>
          <w:szCs w:val="24"/>
          <w14:ligatures w14:val="standardContextual"/>
        </w:rPr>
        <w:tab/>
      </w:r>
      <w:r>
        <w:t>EASDF Services</w:t>
      </w:r>
      <w:r>
        <w:tab/>
      </w:r>
      <w:r>
        <w:fldChar w:fldCharType="begin" w:fldLock="1"/>
      </w:r>
      <w:r>
        <w:instrText xml:space="preserve"> PAGEREF _Toc201157853 \h </w:instrText>
      </w:r>
      <w:r>
        <w:fldChar w:fldCharType="separate"/>
      </w:r>
      <w:r>
        <w:t>597</w:t>
      </w:r>
      <w:r>
        <w:fldChar w:fldCharType="end"/>
      </w:r>
    </w:p>
    <w:p w14:paraId="0FE08A9A" w14:textId="147C816E" w:rsidR="006C1B74" w:rsidRDefault="006C1B74">
      <w:pPr>
        <w:pStyle w:val="TOC3"/>
        <w:rPr>
          <w:rFonts w:asciiTheme="minorHAnsi" w:eastAsiaTheme="minorEastAsia" w:hAnsiTheme="minorHAnsi" w:cstheme="minorBidi"/>
          <w:kern w:val="2"/>
          <w:sz w:val="24"/>
          <w:szCs w:val="24"/>
          <w14:ligatures w14:val="standardContextual"/>
        </w:rPr>
      </w:pPr>
      <w:r>
        <w:t>7.2.26</w:t>
      </w:r>
      <w:r>
        <w:rPr>
          <w:rFonts w:asciiTheme="minorHAnsi" w:eastAsiaTheme="minorEastAsia" w:hAnsiTheme="minorHAnsi" w:cstheme="minorBidi"/>
          <w:kern w:val="2"/>
          <w:sz w:val="24"/>
          <w:szCs w:val="24"/>
          <w14:ligatures w14:val="standardContextual"/>
        </w:rPr>
        <w:tab/>
      </w:r>
      <w:r>
        <w:t>TSCTSF Services</w:t>
      </w:r>
      <w:r>
        <w:tab/>
      </w:r>
      <w:r>
        <w:fldChar w:fldCharType="begin" w:fldLock="1"/>
      </w:r>
      <w:r>
        <w:instrText xml:space="preserve"> PAGEREF _Toc201157854 \h </w:instrText>
      </w:r>
      <w:r>
        <w:fldChar w:fldCharType="separate"/>
      </w:r>
      <w:r>
        <w:t>597</w:t>
      </w:r>
      <w:r>
        <w:fldChar w:fldCharType="end"/>
      </w:r>
    </w:p>
    <w:p w14:paraId="3431FC74" w14:textId="2310BC2C" w:rsidR="006C1B74" w:rsidRDefault="006C1B74">
      <w:pPr>
        <w:pStyle w:val="TOC3"/>
        <w:rPr>
          <w:rFonts w:asciiTheme="minorHAnsi" w:eastAsiaTheme="minorEastAsia" w:hAnsiTheme="minorHAnsi" w:cstheme="minorBidi"/>
          <w:kern w:val="2"/>
          <w:sz w:val="24"/>
          <w:szCs w:val="24"/>
          <w14:ligatures w14:val="standardContextual"/>
        </w:rPr>
      </w:pPr>
      <w:r>
        <w:t>7.2.27</w:t>
      </w:r>
      <w:r>
        <w:rPr>
          <w:rFonts w:asciiTheme="minorHAnsi" w:eastAsiaTheme="minorEastAsia" w:hAnsiTheme="minorHAnsi" w:cstheme="minorBidi"/>
          <w:kern w:val="2"/>
          <w:sz w:val="24"/>
          <w:szCs w:val="24"/>
          <w14:ligatures w14:val="standardContextual"/>
        </w:rPr>
        <w:tab/>
      </w:r>
      <w:r>
        <w:t>NSACF Services</w:t>
      </w:r>
      <w:r>
        <w:tab/>
      </w:r>
      <w:r>
        <w:fldChar w:fldCharType="begin" w:fldLock="1"/>
      </w:r>
      <w:r>
        <w:instrText xml:space="preserve"> PAGEREF _Toc201157855 \h </w:instrText>
      </w:r>
      <w:r>
        <w:fldChar w:fldCharType="separate"/>
      </w:r>
      <w:r>
        <w:t>598</w:t>
      </w:r>
      <w:r>
        <w:fldChar w:fldCharType="end"/>
      </w:r>
    </w:p>
    <w:p w14:paraId="7CAEC50E" w14:textId="66BCEA46" w:rsidR="006C1B74" w:rsidRDefault="006C1B74">
      <w:pPr>
        <w:pStyle w:val="TOC3"/>
        <w:rPr>
          <w:rFonts w:asciiTheme="minorHAnsi" w:eastAsiaTheme="minorEastAsia" w:hAnsiTheme="minorHAnsi" w:cstheme="minorBidi"/>
          <w:kern w:val="2"/>
          <w:sz w:val="24"/>
          <w:szCs w:val="24"/>
          <w14:ligatures w14:val="standardContextual"/>
        </w:rPr>
      </w:pPr>
      <w:r>
        <w:t>7.2.28</w:t>
      </w:r>
      <w:r>
        <w:rPr>
          <w:rFonts w:asciiTheme="minorHAnsi" w:eastAsiaTheme="minorEastAsia" w:hAnsiTheme="minorHAnsi" w:cstheme="minorBidi"/>
          <w:kern w:val="2"/>
          <w:sz w:val="24"/>
          <w:szCs w:val="24"/>
          <w14:ligatures w14:val="standardContextual"/>
        </w:rPr>
        <w:tab/>
      </w:r>
      <w:r>
        <w:t>MB-SMF Services</w:t>
      </w:r>
      <w:r>
        <w:tab/>
      </w:r>
      <w:r>
        <w:fldChar w:fldCharType="begin" w:fldLock="1"/>
      </w:r>
      <w:r>
        <w:instrText xml:space="preserve"> PAGEREF _Toc201157856 \h </w:instrText>
      </w:r>
      <w:r>
        <w:fldChar w:fldCharType="separate"/>
      </w:r>
      <w:r>
        <w:t>598</w:t>
      </w:r>
      <w:r>
        <w:fldChar w:fldCharType="end"/>
      </w:r>
    </w:p>
    <w:p w14:paraId="57CA9EE6" w14:textId="263D84A9" w:rsidR="006C1B74" w:rsidRDefault="006C1B74">
      <w:pPr>
        <w:pStyle w:val="TOC3"/>
        <w:rPr>
          <w:rFonts w:asciiTheme="minorHAnsi" w:eastAsiaTheme="minorEastAsia" w:hAnsiTheme="minorHAnsi" w:cstheme="minorBidi"/>
          <w:kern w:val="2"/>
          <w:sz w:val="24"/>
          <w:szCs w:val="24"/>
          <w14:ligatures w14:val="standardContextual"/>
        </w:rPr>
      </w:pPr>
      <w:r>
        <w:t>7.2.29</w:t>
      </w:r>
      <w:r>
        <w:rPr>
          <w:rFonts w:asciiTheme="minorHAnsi" w:eastAsiaTheme="minorEastAsia" w:hAnsiTheme="minorHAnsi" w:cstheme="minorBidi"/>
          <w:kern w:val="2"/>
          <w:sz w:val="24"/>
          <w:szCs w:val="24"/>
          <w14:ligatures w14:val="standardContextual"/>
        </w:rPr>
        <w:tab/>
      </w:r>
      <w:r>
        <w:t>UPF Services</w:t>
      </w:r>
      <w:r>
        <w:tab/>
      </w:r>
      <w:r>
        <w:fldChar w:fldCharType="begin" w:fldLock="1"/>
      </w:r>
      <w:r>
        <w:instrText xml:space="preserve"> PAGEREF _Toc201157857 \h </w:instrText>
      </w:r>
      <w:r>
        <w:fldChar w:fldCharType="separate"/>
      </w:r>
      <w:r>
        <w:t>599</w:t>
      </w:r>
      <w:r>
        <w:fldChar w:fldCharType="end"/>
      </w:r>
    </w:p>
    <w:p w14:paraId="133EBE4A" w14:textId="56B561E6" w:rsidR="006C1B74" w:rsidRDefault="006C1B74">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Exposure</w:t>
      </w:r>
      <w:r>
        <w:tab/>
      </w:r>
      <w:r>
        <w:fldChar w:fldCharType="begin" w:fldLock="1"/>
      </w:r>
      <w:r>
        <w:instrText xml:space="preserve"> PAGEREF _Toc201157858 \h </w:instrText>
      </w:r>
      <w:r>
        <w:fldChar w:fldCharType="separate"/>
      </w:r>
      <w:r>
        <w:t>599</w:t>
      </w:r>
      <w:r>
        <w:fldChar w:fldCharType="end"/>
      </w:r>
    </w:p>
    <w:p w14:paraId="6916E377" w14:textId="61DA92BC" w:rsidR="006C1B74" w:rsidRDefault="006C1B74">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Control and User Plane Protocol Stacks</w:t>
      </w:r>
      <w:r>
        <w:tab/>
      </w:r>
      <w:r>
        <w:fldChar w:fldCharType="begin" w:fldLock="1"/>
      </w:r>
      <w:r>
        <w:instrText xml:space="preserve"> PAGEREF _Toc201157859 \h </w:instrText>
      </w:r>
      <w:r>
        <w:fldChar w:fldCharType="separate"/>
      </w:r>
      <w:r>
        <w:t>599</w:t>
      </w:r>
      <w:r>
        <w:fldChar w:fldCharType="end"/>
      </w:r>
    </w:p>
    <w:p w14:paraId="2E212A1E" w14:textId="1CB60023" w:rsidR="006C1B74" w:rsidRDefault="006C1B74">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_Toc201157860 \h </w:instrText>
      </w:r>
      <w:r>
        <w:fldChar w:fldCharType="separate"/>
      </w:r>
      <w:r>
        <w:t>599</w:t>
      </w:r>
      <w:r>
        <w:fldChar w:fldCharType="end"/>
      </w:r>
    </w:p>
    <w:p w14:paraId="49598B3A" w14:textId="4F332122" w:rsidR="006C1B74" w:rsidRDefault="006C1B74">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Control Plane Protocol Stacks</w:t>
      </w:r>
      <w:r>
        <w:tab/>
      </w:r>
      <w:r>
        <w:fldChar w:fldCharType="begin" w:fldLock="1"/>
      </w:r>
      <w:r>
        <w:instrText xml:space="preserve"> PAGEREF _Toc201157861 \h </w:instrText>
      </w:r>
      <w:r>
        <w:fldChar w:fldCharType="separate"/>
      </w:r>
      <w:r>
        <w:t>599</w:t>
      </w:r>
      <w:r>
        <w:fldChar w:fldCharType="end"/>
      </w:r>
    </w:p>
    <w:p w14:paraId="0B3F111B" w14:textId="3467DC4B" w:rsidR="006C1B74" w:rsidRDefault="006C1B74">
      <w:pPr>
        <w:pStyle w:val="TOC3"/>
        <w:rPr>
          <w:rFonts w:asciiTheme="minorHAnsi" w:eastAsiaTheme="minorEastAsia" w:hAnsiTheme="minorHAnsi" w:cstheme="minorBidi"/>
          <w:kern w:val="2"/>
          <w:sz w:val="24"/>
          <w:szCs w:val="24"/>
          <w14:ligatures w14:val="standardContextual"/>
        </w:rPr>
      </w:pPr>
      <w:r>
        <w:lastRenderedPageBreak/>
        <w:t>8.2.1</w:t>
      </w:r>
      <w:r>
        <w:rPr>
          <w:rFonts w:asciiTheme="minorHAnsi" w:eastAsiaTheme="minorEastAsia" w:hAnsiTheme="minorHAnsi" w:cstheme="minorBidi"/>
          <w:kern w:val="2"/>
          <w:sz w:val="24"/>
          <w:szCs w:val="24"/>
          <w14:ligatures w14:val="standardContextual"/>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_Toc201157862 \h </w:instrText>
      </w:r>
      <w:r>
        <w:fldChar w:fldCharType="separate"/>
      </w:r>
      <w:r>
        <w:t>599</w:t>
      </w:r>
      <w:r>
        <w:fldChar w:fldCharType="end"/>
      </w:r>
    </w:p>
    <w:p w14:paraId="0D7FF4E8" w14:textId="4946E239" w:rsidR="006C1B74" w:rsidRDefault="006C1B74">
      <w:pPr>
        <w:pStyle w:val="TOC4"/>
        <w:rPr>
          <w:rFonts w:asciiTheme="minorHAnsi" w:eastAsiaTheme="minorEastAsia" w:hAnsiTheme="minorHAnsi" w:cstheme="minorBidi"/>
          <w:kern w:val="2"/>
          <w:sz w:val="24"/>
          <w:szCs w:val="24"/>
          <w14:ligatures w14:val="standardContextual"/>
        </w:rPr>
      </w:pPr>
      <w:r>
        <w:t>8.2.1</w:t>
      </w:r>
      <w:r>
        <w:rPr>
          <w:lang w:eastAsia="zh-CN"/>
        </w:rPr>
        <w:t>.</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_Toc201157863 \h </w:instrText>
      </w:r>
      <w:r>
        <w:fldChar w:fldCharType="separate"/>
      </w:r>
      <w:r>
        <w:t>599</w:t>
      </w:r>
      <w:r>
        <w:fldChar w:fldCharType="end"/>
      </w:r>
    </w:p>
    <w:p w14:paraId="00E30F53" w14:textId="1ADB1AEC"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.1</w:t>
      </w:r>
      <w:r>
        <w:rPr>
          <w:lang w:eastAsia="zh-CN"/>
        </w:rPr>
        <w:t>.2</w:t>
      </w:r>
      <w:r>
        <w:rPr>
          <w:rFonts w:asciiTheme="minorHAnsi" w:eastAsiaTheme="minorEastAsia" w:hAnsiTheme="minorHAnsi" w:cstheme="minorBidi"/>
          <w:kern w:val="2"/>
          <w:sz w:val="24"/>
          <w:szCs w:val="24"/>
          <w14:ligatures w14:val="standardContextual"/>
        </w:rPr>
        <w:tab/>
      </w:r>
      <w:r>
        <w:t>5G-AN - AMF</w:t>
      </w:r>
      <w:r>
        <w:tab/>
      </w:r>
      <w:r>
        <w:fldChar w:fldCharType="begin" w:fldLock="1"/>
      </w:r>
      <w:r>
        <w:instrText xml:space="preserve"> PAGEREF _Toc201157864 \h </w:instrText>
      </w:r>
      <w:r>
        <w:fldChar w:fldCharType="separate"/>
      </w:r>
      <w:r>
        <w:t>600</w:t>
      </w:r>
      <w:r>
        <w:fldChar w:fldCharType="end"/>
      </w:r>
    </w:p>
    <w:p w14:paraId="21CF889E" w14:textId="5C5649DA"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.1</w:t>
      </w:r>
      <w:r>
        <w:rPr>
          <w:lang w:eastAsia="zh-CN"/>
        </w:rPr>
        <w:t>.3</w:t>
      </w:r>
      <w:r>
        <w:rPr>
          <w:rFonts w:asciiTheme="minorHAnsi" w:eastAsiaTheme="minorEastAsia" w:hAnsiTheme="minorHAnsi" w:cstheme="minorBidi"/>
          <w:kern w:val="2"/>
          <w:sz w:val="24"/>
          <w:szCs w:val="24"/>
          <w14:ligatures w14:val="standardContextual"/>
        </w:rPr>
        <w:tab/>
      </w:r>
      <w:r>
        <w:t>5G-AN - SMF</w:t>
      </w:r>
      <w:r>
        <w:tab/>
      </w:r>
      <w:r>
        <w:fldChar w:fldCharType="begin" w:fldLock="1"/>
      </w:r>
      <w:r>
        <w:instrText xml:space="preserve"> PAGEREF _Toc201157865 \h </w:instrText>
      </w:r>
      <w:r>
        <w:fldChar w:fldCharType="separate"/>
      </w:r>
      <w:r>
        <w:t>601</w:t>
      </w:r>
      <w:r>
        <w:fldChar w:fldCharType="end"/>
      </w:r>
    </w:p>
    <w:p w14:paraId="31B8E859" w14:textId="2B7B35CB"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.2</w:t>
      </w:r>
      <w:r>
        <w:rPr>
          <w:rFonts w:asciiTheme="minorHAnsi" w:eastAsiaTheme="minorEastAsia" w:hAnsiTheme="minorHAnsi" w:cstheme="minorBidi"/>
          <w:kern w:val="2"/>
          <w:sz w:val="24"/>
          <w:szCs w:val="24"/>
          <w14:ligatures w14:val="standardContextual"/>
        </w:rPr>
        <w:tab/>
      </w:r>
      <w:r>
        <w:t>Control Plane Protocol Stacks between the UE and the 5GC</w:t>
      </w:r>
      <w:r>
        <w:tab/>
      </w:r>
      <w:r>
        <w:fldChar w:fldCharType="begin" w:fldLock="1"/>
      </w:r>
      <w:r>
        <w:instrText xml:space="preserve"> PAGEREF _Toc201157866 \h </w:instrText>
      </w:r>
      <w:r>
        <w:fldChar w:fldCharType="separate"/>
      </w:r>
      <w:r>
        <w:t>601</w:t>
      </w:r>
      <w:r>
        <w:fldChar w:fldCharType="end"/>
      </w:r>
    </w:p>
    <w:p w14:paraId="1DB6603C" w14:textId="41EDF7D1" w:rsidR="006C1B74" w:rsidRDefault="006C1B74">
      <w:pPr>
        <w:pStyle w:val="TOC4"/>
        <w:rPr>
          <w:rFonts w:asciiTheme="minorHAnsi" w:eastAsiaTheme="minorEastAsia" w:hAnsiTheme="minorHAnsi" w:cstheme="minorBidi"/>
          <w:kern w:val="2"/>
          <w:sz w:val="24"/>
          <w:szCs w:val="24"/>
          <w14:ligatures w14:val="standardContextual"/>
        </w:rPr>
      </w:pPr>
      <w:r>
        <w:t>8.2.2</w:t>
      </w:r>
      <w:r>
        <w:rPr>
          <w:lang w:eastAsia="zh-CN"/>
        </w:rPr>
        <w:t>.</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_Toc201157867 \h </w:instrText>
      </w:r>
      <w:r>
        <w:fldChar w:fldCharType="separate"/>
      </w:r>
      <w:r>
        <w:t>601</w:t>
      </w:r>
      <w:r>
        <w:fldChar w:fldCharType="end"/>
      </w:r>
    </w:p>
    <w:p w14:paraId="78969AF9" w14:textId="5CFC2195"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2.2</w:t>
      </w:r>
      <w:r>
        <w:rPr>
          <w:rFonts w:asciiTheme="minorHAnsi" w:eastAsiaTheme="minorEastAsia" w:hAnsiTheme="minorHAnsi" w:cstheme="minorBidi"/>
          <w:kern w:val="2"/>
          <w:sz w:val="24"/>
          <w:szCs w:val="24"/>
          <w14:ligatures w14:val="standardContextual"/>
        </w:rPr>
        <w:tab/>
      </w:r>
      <w:r>
        <w:t>UE - AMF</w:t>
      </w:r>
      <w:r>
        <w:tab/>
      </w:r>
      <w:r>
        <w:fldChar w:fldCharType="begin" w:fldLock="1"/>
      </w:r>
      <w:r>
        <w:instrText xml:space="preserve"> PAGEREF _Toc201157868 \h </w:instrText>
      </w:r>
      <w:r>
        <w:fldChar w:fldCharType="separate"/>
      </w:r>
      <w:r>
        <w:t>603</w:t>
      </w:r>
      <w:r>
        <w:fldChar w:fldCharType="end"/>
      </w:r>
    </w:p>
    <w:p w14:paraId="44C43B5B" w14:textId="0938F0A0"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2.3</w:t>
      </w:r>
      <w:r>
        <w:rPr>
          <w:rFonts w:asciiTheme="minorHAnsi" w:eastAsiaTheme="minorEastAsia" w:hAnsiTheme="minorHAnsi" w:cstheme="minorBidi"/>
          <w:kern w:val="2"/>
          <w:sz w:val="24"/>
          <w:szCs w:val="24"/>
          <w14:ligatures w14:val="standardContextual"/>
        </w:rPr>
        <w:tab/>
      </w:r>
      <w:r>
        <w:t>UE – SMF</w:t>
      </w:r>
      <w:r>
        <w:tab/>
      </w:r>
      <w:r>
        <w:fldChar w:fldCharType="begin" w:fldLock="1"/>
      </w:r>
      <w:r>
        <w:instrText xml:space="preserve"> PAGEREF _Toc201157869 \h </w:instrText>
      </w:r>
      <w:r>
        <w:fldChar w:fldCharType="separate"/>
      </w:r>
      <w:r>
        <w:t>603</w:t>
      </w:r>
      <w:r>
        <w:fldChar w:fldCharType="end"/>
      </w:r>
    </w:p>
    <w:p w14:paraId="3725DBB7" w14:textId="1F38669D"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.3</w:t>
      </w:r>
      <w:r>
        <w:rPr>
          <w:rFonts w:asciiTheme="minorHAnsi" w:eastAsiaTheme="minorEastAsia" w:hAnsiTheme="minorHAnsi" w:cstheme="minorBidi"/>
          <w:kern w:val="2"/>
          <w:sz w:val="24"/>
          <w:szCs w:val="24"/>
          <w14:ligatures w14:val="standardContextual"/>
        </w:rPr>
        <w:tab/>
      </w:r>
      <w:r>
        <w:t>Control Plane Protocol Stacks between the network functions in 5GC</w:t>
      </w:r>
      <w:r>
        <w:tab/>
      </w:r>
      <w:r>
        <w:fldChar w:fldCharType="begin" w:fldLock="1"/>
      </w:r>
      <w:r>
        <w:instrText xml:space="preserve"> PAGEREF _Toc201157870 \h </w:instrText>
      </w:r>
      <w:r>
        <w:fldChar w:fldCharType="separate"/>
      </w:r>
      <w:r>
        <w:t>604</w:t>
      </w:r>
      <w:r>
        <w:fldChar w:fldCharType="end"/>
      </w:r>
    </w:p>
    <w:p w14:paraId="426AC429" w14:textId="6E4956C0"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3.1</w:t>
      </w:r>
      <w:r>
        <w:rPr>
          <w:rFonts w:asciiTheme="minorHAnsi" w:eastAsiaTheme="minorEastAsia" w:hAnsiTheme="minorHAnsi" w:cstheme="minorBidi"/>
          <w:kern w:val="2"/>
          <w:sz w:val="24"/>
          <w:szCs w:val="24"/>
          <w14:ligatures w14:val="standardContextual"/>
        </w:rPr>
        <w:tab/>
      </w:r>
      <w:r>
        <w:t>The Control Plane Protocol Stack for the service based interface</w:t>
      </w:r>
      <w:r>
        <w:tab/>
      </w:r>
      <w:r>
        <w:fldChar w:fldCharType="begin" w:fldLock="1"/>
      </w:r>
      <w:r>
        <w:instrText xml:space="preserve"> PAGEREF _Toc201157871 \h </w:instrText>
      </w:r>
      <w:r>
        <w:fldChar w:fldCharType="separate"/>
      </w:r>
      <w:r>
        <w:t>604</w:t>
      </w:r>
      <w:r>
        <w:fldChar w:fldCharType="end"/>
      </w:r>
    </w:p>
    <w:p w14:paraId="14F43A14" w14:textId="5697B259" w:rsidR="006C1B74" w:rsidRDefault="006C1B74">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3.2</w:t>
      </w:r>
      <w:r>
        <w:rPr>
          <w:rFonts w:asciiTheme="minorHAnsi" w:eastAsiaTheme="minorEastAsia" w:hAnsiTheme="minorHAnsi" w:cstheme="minorBidi"/>
          <w:kern w:val="2"/>
          <w:sz w:val="24"/>
          <w:szCs w:val="24"/>
          <w14:ligatures w14:val="standardContextual"/>
        </w:rPr>
        <w:tab/>
      </w:r>
      <w:r>
        <w:t>The Control Plane protocol stack for the N4 interface between SMF and UPF</w:t>
      </w:r>
      <w:r>
        <w:tab/>
      </w:r>
      <w:r>
        <w:fldChar w:fldCharType="begin" w:fldLock="1"/>
      </w:r>
      <w:r>
        <w:instrText xml:space="preserve"> PAGEREF _Toc201157872 \h </w:instrText>
      </w:r>
      <w:r>
        <w:fldChar w:fldCharType="separate"/>
      </w:r>
      <w:r>
        <w:t>604</w:t>
      </w:r>
      <w:r>
        <w:fldChar w:fldCharType="end"/>
      </w:r>
    </w:p>
    <w:p w14:paraId="7864DB4B" w14:textId="0A682B8C"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.4</w:t>
      </w:r>
      <w:r>
        <w:rPr>
          <w:rFonts w:asciiTheme="minorHAnsi" w:eastAsiaTheme="minorEastAsia" w:hAnsiTheme="minorHAnsi" w:cstheme="minorBidi"/>
          <w:kern w:val="2"/>
          <w:sz w:val="24"/>
          <w:szCs w:val="24"/>
          <w14:ligatures w14:val="standardContextual"/>
        </w:rPr>
        <w:tab/>
      </w:r>
      <w:r>
        <w:t>Control Plane</w:t>
      </w:r>
      <w:r>
        <w:rPr>
          <w:lang w:eastAsia="zh-CN"/>
        </w:rPr>
        <w:t xml:space="preserve"> for untrusted non 3GPP Access</w:t>
      </w:r>
      <w:r>
        <w:tab/>
      </w:r>
      <w:r>
        <w:fldChar w:fldCharType="begin" w:fldLock="1"/>
      </w:r>
      <w:r>
        <w:instrText xml:space="preserve"> PAGEREF _Toc201157873 \h </w:instrText>
      </w:r>
      <w:r>
        <w:fldChar w:fldCharType="separate"/>
      </w:r>
      <w:r>
        <w:t>604</w:t>
      </w:r>
      <w:r>
        <w:fldChar w:fldCharType="end"/>
      </w:r>
    </w:p>
    <w:p w14:paraId="503DB7C4" w14:textId="72F49CFA"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8.2.5</w:t>
      </w:r>
      <w:r>
        <w:rPr>
          <w:rFonts w:asciiTheme="minorHAnsi" w:eastAsiaTheme="minorEastAsia" w:hAnsiTheme="minorHAnsi" w:cstheme="minorBidi"/>
          <w:kern w:val="2"/>
          <w:sz w:val="24"/>
          <w:szCs w:val="24"/>
          <w14:ligatures w14:val="standardContextual"/>
        </w:rPr>
        <w:tab/>
      </w:r>
      <w:r>
        <w:rPr>
          <w:lang w:eastAsia="zh-CN"/>
        </w:rPr>
        <w:t>Control Plane for trusted non-3GPP Access</w:t>
      </w:r>
      <w:r>
        <w:tab/>
      </w:r>
      <w:r>
        <w:fldChar w:fldCharType="begin" w:fldLock="1"/>
      </w:r>
      <w:r>
        <w:instrText xml:space="preserve"> PAGEREF _Toc201157874 \h </w:instrText>
      </w:r>
      <w:r>
        <w:fldChar w:fldCharType="separate"/>
      </w:r>
      <w:r>
        <w:t>605</w:t>
      </w:r>
      <w:r>
        <w:fldChar w:fldCharType="end"/>
      </w:r>
    </w:p>
    <w:p w14:paraId="6ABFCD37" w14:textId="50E6B54A"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8.2.6</w:t>
      </w:r>
      <w:r>
        <w:rPr>
          <w:rFonts w:asciiTheme="minorHAnsi" w:eastAsiaTheme="minorEastAsia" w:hAnsiTheme="minorHAnsi" w:cstheme="minorBidi"/>
          <w:kern w:val="2"/>
          <w:sz w:val="24"/>
          <w:szCs w:val="24"/>
          <w14:ligatures w14:val="standardContextual"/>
        </w:rPr>
        <w:tab/>
      </w:r>
      <w:r>
        <w:rPr>
          <w:lang w:eastAsia="zh-CN"/>
        </w:rPr>
        <w:t>Control Plane for W-5GAN Access</w:t>
      </w:r>
      <w:r>
        <w:tab/>
      </w:r>
      <w:r>
        <w:fldChar w:fldCharType="begin" w:fldLock="1"/>
      </w:r>
      <w:r>
        <w:instrText xml:space="preserve"> PAGEREF _Toc201157875 \h </w:instrText>
      </w:r>
      <w:r>
        <w:fldChar w:fldCharType="separate"/>
      </w:r>
      <w:r>
        <w:t>606</w:t>
      </w:r>
      <w:r>
        <w:fldChar w:fldCharType="end"/>
      </w:r>
    </w:p>
    <w:p w14:paraId="5B30B037" w14:textId="512EED50"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8.2.7</w:t>
      </w:r>
      <w:r>
        <w:rPr>
          <w:rFonts w:asciiTheme="minorHAnsi" w:eastAsiaTheme="minorEastAsia" w:hAnsiTheme="minorHAnsi" w:cstheme="minorBidi"/>
          <w:kern w:val="2"/>
          <w:sz w:val="24"/>
          <w:szCs w:val="24"/>
          <w14:ligatures w14:val="standardContextual"/>
        </w:rPr>
        <w:tab/>
      </w:r>
      <w:r>
        <w:rPr>
          <w:lang w:eastAsia="zh-CN"/>
        </w:rPr>
        <w:t>Control Plane for Trusted WLAN Access for N5CW Device</w:t>
      </w:r>
      <w:r>
        <w:tab/>
      </w:r>
      <w:r>
        <w:fldChar w:fldCharType="begin" w:fldLock="1"/>
      </w:r>
      <w:r>
        <w:instrText xml:space="preserve"> PAGEREF _Toc201157876 \h </w:instrText>
      </w:r>
      <w:r>
        <w:fldChar w:fldCharType="separate"/>
      </w:r>
      <w:r>
        <w:t>606</w:t>
      </w:r>
      <w:r>
        <w:fldChar w:fldCharType="end"/>
      </w:r>
    </w:p>
    <w:p w14:paraId="75E503C5" w14:textId="3F156522" w:rsidR="006C1B74" w:rsidRDefault="006C1B74">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User Plane Protocol Stacks</w:t>
      </w:r>
      <w:r>
        <w:tab/>
      </w:r>
      <w:r>
        <w:fldChar w:fldCharType="begin" w:fldLock="1"/>
      </w:r>
      <w:r>
        <w:instrText xml:space="preserve"> PAGEREF _Toc201157877 \h </w:instrText>
      </w:r>
      <w:r>
        <w:fldChar w:fldCharType="separate"/>
      </w:r>
      <w:r>
        <w:t>606</w:t>
      </w:r>
      <w:r>
        <w:fldChar w:fldCharType="end"/>
      </w:r>
    </w:p>
    <w:p w14:paraId="6DCE9BF1" w14:textId="47293AC1"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8.3.1</w:t>
      </w:r>
      <w:r>
        <w:rPr>
          <w:rFonts w:asciiTheme="minorHAnsi" w:eastAsiaTheme="minorEastAsia" w:hAnsiTheme="minorHAnsi" w:cstheme="minorBidi"/>
          <w:kern w:val="2"/>
          <w:sz w:val="24"/>
          <w:szCs w:val="24"/>
          <w14:ligatures w14:val="standardContextual"/>
        </w:rPr>
        <w:tab/>
      </w:r>
      <w:r>
        <w:t>User Plane Protocol Stack for a PDU Session</w:t>
      </w:r>
      <w:r>
        <w:tab/>
      </w:r>
      <w:r>
        <w:fldChar w:fldCharType="begin" w:fldLock="1"/>
      </w:r>
      <w:r>
        <w:instrText xml:space="preserve"> PAGEREF _Toc201157878 \h </w:instrText>
      </w:r>
      <w:r>
        <w:fldChar w:fldCharType="separate"/>
      </w:r>
      <w:r>
        <w:t>606</w:t>
      </w:r>
      <w:r>
        <w:fldChar w:fldCharType="end"/>
      </w:r>
    </w:p>
    <w:p w14:paraId="2A4164AA" w14:textId="0E10FF71"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3</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User Plane for untrusted non-3GPP Access</w:t>
      </w:r>
      <w:r>
        <w:tab/>
      </w:r>
      <w:r>
        <w:fldChar w:fldCharType="begin" w:fldLock="1"/>
      </w:r>
      <w:r>
        <w:instrText xml:space="preserve"> PAGEREF _Toc201157879 \h </w:instrText>
      </w:r>
      <w:r>
        <w:fldChar w:fldCharType="separate"/>
      </w:r>
      <w:r>
        <w:t>608</w:t>
      </w:r>
      <w:r>
        <w:fldChar w:fldCharType="end"/>
      </w:r>
    </w:p>
    <w:p w14:paraId="29BF87D4" w14:textId="525E71C0"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8.3.3</w:t>
      </w:r>
      <w:r>
        <w:rPr>
          <w:rFonts w:asciiTheme="minorHAnsi" w:eastAsiaTheme="minorEastAsia" w:hAnsiTheme="minorHAnsi" w:cstheme="minorBidi"/>
          <w:kern w:val="2"/>
          <w:sz w:val="24"/>
          <w:szCs w:val="24"/>
          <w14:ligatures w14:val="standardContextual"/>
        </w:rPr>
        <w:tab/>
      </w:r>
      <w:r>
        <w:rPr>
          <w:lang w:eastAsia="zh-CN"/>
        </w:rPr>
        <w:t>User Plane for trusted non-3GPP Access</w:t>
      </w:r>
      <w:r>
        <w:tab/>
      </w:r>
      <w:r>
        <w:fldChar w:fldCharType="begin" w:fldLock="1"/>
      </w:r>
      <w:r>
        <w:instrText xml:space="preserve"> PAGEREF _Toc201157880 \h </w:instrText>
      </w:r>
      <w:r>
        <w:fldChar w:fldCharType="separate"/>
      </w:r>
      <w:r>
        <w:t>608</w:t>
      </w:r>
      <w:r>
        <w:fldChar w:fldCharType="end"/>
      </w:r>
    </w:p>
    <w:p w14:paraId="33CAA117" w14:textId="13B0D3C3"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8.3.4</w:t>
      </w:r>
      <w:r>
        <w:rPr>
          <w:rFonts w:asciiTheme="minorHAnsi" w:eastAsiaTheme="minorEastAsia" w:hAnsiTheme="minorHAnsi" w:cstheme="minorBidi"/>
          <w:kern w:val="2"/>
          <w:sz w:val="24"/>
          <w:szCs w:val="24"/>
          <w14:ligatures w14:val="standardContextual"/>
        </w:rPr>
        <w:tab/>
      </w:r>
      <w:r>
        <w:rPr>
          <w:lang w:eastAsia="zh-CN"/>
        </w:rPr>
        <w:t>User Plane for W-5GAN Access</w:t>
      </w:r>
      <w:r>
        <w:tab/>
      </w:r>
      <w:r>
        <w:fldChar w:fldCharType="begin" w:fldLock="1"/>
      </w:r>
      <w:r>
        <w:instrText xml:space="preserve"> PAGEREF _Toc201157881 \h </w:instrText>
      </w:r>
      <w:r>
        <w:fldChar w:fldCharType="separate"/>
      </w:r>
      <w:r>
        <w:t>608</w:t>
      </w:r>
      <w:r>
        <w:fldChar w:fldCharType="end"/>
      </w:r>
    </w:p>
    <w:p w14:paraId="7F92B75C" w14:textId="6CFF1E11"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8.3.5</w:t>
      </w:r>
      <w:r>
        <w:rPr>
          <w:rFonts w:asciiTheme="minorHAnsi" w:eastAsiaTheme="minorEastAsia" w:hAnsiTheme="minorHAnsi" w:cstheme="minorBidi"/>
          <w:kern w:val="2"/>
          <w:sz w:val="24"/>
          <w:szCs w:val="24"/>
          <w14:ligatures w14:val="standardContextual"/>
        </w:rPr>
        <w:tab/>
      </w:r>
      <w:r>
        <w:rPr>
          <w:lang w:eastAsia="zh-CN"/>
        </w:rPr>
        <w:t>User Plane for N19-based forwarding of a 5G VN group</w:t>
      </w:r>
      <w:r>
        <w:tab/>
      </w:r>
      <w:r>
        <w:fldChar w:fldCharType="begin" w:fldLock="1"/>
      </w:r>
      <w:r>
        <w:instrText xml:space="preserve"> PAGEREF _Toc201157882 \h </w:instrText>
      </w:r>
      <w:r>
        <w:fldChar w:fldCharType="separate"/>
      </w:r>
      <w:r>
        <w:t>609</w:t>
      </w:r>
      <w:r>
        <w:fldChar w:fldCharType="end"/>
      </w:r>
    </w:p>
    <w:p w14:paraId="3A91339E" w14:textId="2AB76F3E" w:rsidR="006C1B74" w:rsidRDefault="006C1B74">
      <w:pPr>
        <w:pStyle w:val="TOC3"/>
        <w:rPr>
          <w:rFonts w:asciiTheme="minorHAnsi" w:eastAsiaTheme="minorEastAsia" w:hAnsiTheme="minorHAnsi" w:cstheme="minorBidi"/>
          <w:kern w:val="2"/>
          <w:sz w:val="24"/>
          <w:szCs w:val="24"/>
          <w14:ligatures w14:val="standardContextual"/>
        </w:rPr>
      </w:pPr>
      <w:r>
        <w:rPr>
          <w:lang w:eastAsia="zh-CN"/>
        </w:rPr>
        <w:t>8.3.6</w:t>
      </w:r>
      <w:r>
        <w:rPr>
          <w:rFonts w:asciiTheme="minorHAnsi" w:eastAsiaTheme="minorEastAsia" w:hAnsiTheme="minorHAnsi" w:cstheme="minorBidi"/>
          <w:kern w:val="2"/>
          <w:sz w:val="24"/>
          <w:szCs w:val="24"/>
          <w14:ligatures w14:val="standardContextual"/>
        </w:rPr>
        <w:tab/>
      </w:r>
      <w:r>
        <w:rPr>
          <w:lang w:eastAsia="zh-CN"/>
        </w:rPr>
        <w:t>User Plane for Trusted WLAN Access for N5CW Device</w:t>
      </w:r>
      <w:r>
        <w:tab/>
      </w:r>
      <w:r>
        <w:fldChar w:fldCharType="begin" w:fldLock="1"/>
      </w:r>
      <w:r>
        <w:instrText xml:space="preserve"> PAGEREF _Toc201157883 \h </w:instrText>
      </w:r>
      <w:r>
        <w:fldChar w:fldCharType="separate"/>
      </w:r>
      <w:r>
        <w:t>609</w:t>
      </w:r>
      <w:r>
        <w:fldChar w:fldCharType="end"/>
      </w:r>
    </w:p>
    <w:p w14:paraId="6F75FD27" w14:textId="29720A6E" w:rsidR="006C1B74" w:rsidRDefault="006C1B74">
      <w:pPr>
        <w:pStyle w:val="TOC8"/>
        <w:rPr>
          <w:rFonts w:asciiTheme="minorHAnsi" w:eastAsiaTheme="minorEastAsia" w:hAnsiTheme="minorHAnsi" w:cstheme="minorBidi"/>
          <w:b w:val="0"/>
          <w:kern w:val="2"/>
          <w:sz w:val="24"/>
          <w:szCs w:val="24"/>
          <w14:ligatures w14:val="standardContextual"/>
        </w:rPr>
      </w:pPr>
      <w:r>
        <w:t>Annex A (informative):</w:t>
      </w:r>
      <w:r>
        <w:tab/>
      </w:r>
      <w:r>
        <w:rPr>
          <w:lang w:eastAsia="ja-JP"/>
        </w:rPr>
        <w:t>Relationship between Service-Based Interfaces and Reference Points</w:t>
      </w:r>
      <w:r>
        <w:tab/>
      </w:r>
      <w:r>
        <w:fldChar w:fldCharType="begin" w:fldLock="1"/>
      </w:r>
      <w:r>
        <w:instrText xml:space="preserve"> PAGEREF _Toc201157884 \h </w:instrText>
      </w:r>
      <w:r>
        <w:fldChar w:fldCharType="separate"/>
      </w:r>
      <w:r>
        <w:t>610</w:t>
      </w:r>
      <w:r>
        <w:fldChar w:fldCharType="end"/>
      </w:r>
    </w:p>
    <w:p w14:paraId="1C7DA952" w14:textId="4A956780" w:rsidR="006C1B74" w:rsidRDefault="006C1B74">
      <w:pPr>
        <w:pStyle w:val="TOC8"/>
        <w:rPr>
          <w:rFonts w:asciiTheme="minorHAnsi" w:eastAsiaTheme="minorEastAsia" w:hAnsiTheme="minorHAnsi" w:cstheme="minorBidi"/>
          <w:b w:val="0"/>
          <w:kern w:val="2"/>
          <w:sz w:val="24"/>
          <w:szCs w:val="24"/>
          <w14:ligatures w14:val="standardContextual"/>
        </w:rPr>
      </w:pPr>
      <w:r>
        <w:t>Annex B (normative):</w:t>
      </w:r>
      <w:r>
        <w:tab/>
        <w:t>Mapping between temporary identities</w:t>
      </w:r>
      <w:r>
        <w:tab/>
      </w:r>
      <w:r>
        <w:fldChar w:fldCharType="begin" w:fldLock="1"/>
      </w:r>
      <w:r>
        <w:instrText xml:space="preserve"> PAGEREF _Toc201157885 \h </w:instrText>
      </w:r>
      <w:r>
        <w:fldChar w:fldCharType="separate"/>
      </w:r>
      <w:r>
        <w:t>612</w:t>
      </w:r>
      <w:r>
        <w:fldChar w:fldCharType="end"/>
      </w:r>
    </w:p>
    <w:p w14:paraId="1BD574D9" w14:textId="6C3A22CB" w:rsidR="006C1B74" w:rsidRDefault="006C1B74">
      <w:pPr>
        <w:pStyle w:val="TOC8"/>
        <w:rPr>
          <w:rFonts w:asciiTheme="minorHAnsi" w:eastAsiaTheme="minorEastAsia" w:hAnsiTheme="minorHAnsi" w:cstheme="minorBidi"/>
          <w:b w:val="0"/>
          <w:kern w:val="2"/>
          <w:sz w:val="24"/>
          <w:szCs w:val="24"/>
          <w14:ligatures w14:val="standardContextual"/>
        </w:rPr>
      </w:pPr>
      <w:r>
        <w:t>Annex C (informative):</w:t>
      </w:r>
      <w:r>
        <w:tab/>
        <w:t>Guidelines and Principles for Compute-Storage Separation</w:t>
      </w:r>
      <w:r>
        <w:tab/>
      </w:r>
      <w:r>
        <w:fldChar w:fldCharType="begin" w:fldLock="1"/>
      </w:r>
      <w:r>
        <w:instrText xml:space="preserve"> PAGEREF _Toc201157886 \h </w:instrText>
      </w:r>
      <w:r>
        <w:fldChar w:fldCharType="separate"/>
      </w:r>
      <w:r>
        <w:t>613</w:t>
      </w:r>
      <w:r>
        <w:fldChar w:fldCharType="end"/>
      </w:r>
    </w:p>
    <w:p w14:paraId="66F07C4D" w14:textId="2B3F3391" w:rsidR="006C1B74" w:rsidRDefault="006C1B74">
      <w:pPr>
        <w:pStyle w:val="TOC8"/>
        <w:rPr>
          <w:rFonts w:asciiTheme="minorHAnsi" w:eastAsiaTheme="minorEastAsia" w:hAnsiTheme="minorHAnsi" w:cstheme="minorBidi"/>
          <w:b w:val="0"/>
          <w:kern w:val="2"/>
          <w:sz w:val="24"/>
          <w:szCs w:val="24"/>
          <w14:ligatures w14:val="standardContextual"/>
        </w:rPr>
      </w:pPr>
      <w:r>
        <w:t>Annex D (informative):</w:t>
      </w:r>
      <w:r>
        <w:tab/>
        <w:t>5GS support for Non-Public Network deployment options</w:t>
      </w:r>
      <w:r>
        <w:tab/>
      </w:r>
      <w:r>
        <w:fldChar w:fldCharType="begin" w:fldLock="1"/>
      </w:r>
      <w:r>
        <w:instrText xml:space="preserve"> PAGEREF _Toc201157887 \h </w:instrText>
      </w:r>
      <w:r>
        <w:fldChar w:fldCharType="separate"/>
      </w:r>
      <w:r>
        <w:t>614</w:t>
      </w:r>
      <w:r>
        <w:fldChar w:fldCharType="end"/>
      </w:r>
    </w:p>
    <w:p w14:paraId="32DD7D26" w14:textId="5096D277" w:rsidR="006C1B74" w:rsidRDefault="006C1B74">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_Toc201157888 \h </w:instrText>
      </w:r>
      <w:r>
        <w:fldChar w:fldCharType="separate"/>
      </w:r>
      <w:r>
        <w:t>614</w:t>
      </w:r>
      <w:r>
        <w:fldChar w:fldCharType="end"/>
      </w:r>
    </w:p>
    <w:p w14:paraId="7616F936" w14:textId="31998394" w:rsidR="006C1B74" w:rsidRDefault="006C1B74">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Support of Non-Public Network as a network slice of a PLMN</w:t>
      </w:r>
      <w:r>
        <w:tab/>
      </w:r>
      <w:r>
        <w:fldChar w:fldCharType="begin" w:fldLock="1"/>
      </w:r>
      <w:r>
        <w:instrText xml:space="preserve"> PAGEREF _Toc201157889 \h </w:instrText>
      </w:r>
      <w:r>
        <w:fldChar w:fldCharType="separate"/>
      </w:r>
      <w:r>
        <w:t>614</w:t>
      </w:r>
      <w:r>
        <w:fldChar w:fldCharType="end"/>
      </w:r>
    </w:p>
    <w:p w14:paraId="6A6387B9" w14:textId="58B0BDBB" w:rsidR="006C1B74" w:rsidRDefault="006C1B74">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t>Support for access to PLMN services via Stand-alone Non-Public Network and access to Stand-alone Non Public Network services via PLMN</w:t>
      </w:r>
      <w:r>
        <w:tab/>
      </w:r>
      <w:r>
        <w:fldChar w:fldCharType="begin" w:fldLock="1"/>
      </w:r>
      <w:r>
        <w:instrText xml:space="preserve"> PAGEREF _Toc201157890 \h </w:instrText>
      </w:r>
      <w:r>
        <w:fldChar w:fldCharType="separate"/>
      </w:r>
      <w:r>
        <w:t>615</w:t>
      </w:r>
      <w:r>
        <w:fldChar w:fldCharType="end"/>
      </w:r>
    </w:p>
    <w:p w14:paraId="075AAED5" w14:textId="521B2414" w:rsidR="006C1B74" w:rsidRDefault="006C1B74">
      <w:pPr>
        <w:pStyle w:val="TOC1"/>
        <w:rPr>
          <w:rFonts w:asciiTheme="minorHAnsi" w:eastAsiaTheme="minorEastAsia" w:hAnsiTheme="minorHAnsi" w:cstheme="minorBidi"/>
          <w:kern w:val="2"/>
          <w:sz w:val="24"/>
          <w:szCs w:val="24"/>
          <w14:ligatures w14:val="standardContextual"/>
        </w:rPr>
      </w:pPr>
      <w:r>
        <w:t>D.4</w:t>
      </w:r>
      <w:r>
        <w:rPr>
          <w:rFonts w:asciiTheme="minorHAnsi" w:eastAsiaTheme="minorEastAsia" w:hAnsiTheme="minorHAnsi" w:cstheme="minorBidi"/>
          <w:kern w:val="2"/>
          <w:sz w:val="24"/>
          <w:szCs w:val="24"/>
          <w14:ligatures w14:val="standardContextual"/>
        </w:rPr>
        <w:tab/>
      </w:r>
      <w:r>
        <w:t>Support for UE capable of simultaneously connecting to an SNPN and a PLMN</w:t>
      </w:r>
      <w:r>
        <w:tab/>
      </w:r>
      <w:r>
        <w:fldChar w:fldCharType="begin" w:fldLock="1"/>
      </w:r>
      <w:r>
        <w:instrText xml:space="preserve"> PAGEREF _Toc201157891 \h </w:instrText>
      </w:r>
      <w:r>
        <w:fldChar w:fldCharType="separate"/>
      </w:r>
      <w:r>
        <w:t>616</w:t>
      </w:r>
      <w:r>
        <w:fldChar w:fldCharType="end"/>
      </w:r>
    </w:p>
    <w:p w14:paraId="3CF1E710" w14:textId="46C615DC" w:rsidR="006C1B74" w:rsidRDefault="006C1B74">
      <w:pPr>
        <w:pStyle w:val="TOC1"/>
        <w:rPr>
          <w:rFonts w:asciiTheme="minorHAnsi" w:eastAsiaTheme="minorEastAsia" w:hAnsiTheme="minorHAnsi" w:cstheme="minorBidi"/>
          <w:kern w:val="2"/>
          <w:sz w:val="24"/>
          <w:szCs w:val="24"/>
          <w14:ligatures w14:val="standardContextual"/>
        </w:rPr>
      </w:pPr>
      <w:r>
        <w:t>D.5</w:t>
      </w:r>
      <w:r>
        <w:rPr>
          <w:rFonts w:asciiTheme="minorHAnsi" w:eastAsiaTheme="minorEastAsia" w:hAnsiTheme="minorHAnsi" w:cstheme="minorBidi"/>
          <w:kern w:val="2"/>
          <w:sz w:val="24"/>
          <w:szCs w:val="24"/>
          <w14:ligatures w14:val="standardContextual"/>
        </w:rPr>
        <w:tab/>
      </w:r>
      <w:r>
        <w:t>Support for keeping UE in CM-CONNECTED state in overlay network when accessing services via NWu</w:t>
      </w:r>
      <w:r>
        <w:tab/>
      </w:r>
      <w:r>
        <w:fldChar w:fldCharType="begin" w:fldLock="1"/>
      </w:r>
      <w:r>
        <w:instrText xml:space="preserve"> PAGEREF _Toc201157892 \h </w:instrText>
      </w:r>
      <w:r>
        <w:fldChar w:fldCharType="separate"/>
      </w:r>
      <w:r>
        <w:t>616</w:t>
      </w:r>
      <w:r>
        <w:fldChar w:fldCharType="end"/>
      </w:r>
    </w:p>
    <w:p w14:paraId="273A27CE" w14:textId="7C8E47B6" w:rsidR="006C1B74" w:rsidRDefault="006C1B74">
      <w:pPr>
        <w:pStyle w:val="TOC1"/>
        <w:rPr>
          <w:rFonts w:asciiTheme="minorHAnsi" w:eastAsiaTheme="minorEastAsia" w:hAnsiTheme="minorHAnsi" w:cstheme="minorBidi"/>
          <w:kern w:val="2"/>
          <w:sz w:val="24"/>
          <w:szCs w:val="24"/>
          <w14:ligatures w14:val="standardContextual"/>
        </w:rPr>
      </w:pPr>
      <w:r>
        <w:t>D.6</w:t>
      </w:r>
      <w:r>
        <w:rPr>
          <w:rFonts w:asciiTheme="minorHAnsi" w:eastAsiaTheme="minorEastAsia" w:hAnsiTheme="minorHAnsi" w:cstheme="minorBidi"/>
          <w:kern w:val="2"/>
          <w:sz w:val="24"/>
          <w:szCs w:val="24"/>
          <w14:ligatures w14:val="standardContextual"/>
        </w:rPr>
        <w:tab/>
      </w:r>
      <w:r>
        <w:t>Support for session/service continuity between SNPN and PLMN when using N3IWF</w:t>
      </w:r>
      <w:r>
        <w:tab/>
      </w:r>
      <w:r>
        <w:fldChar w:fldCharType="begin" w:fldLock="1"/>
      </w:r>
      <w:r>
        <w:instrText xml:space="preserve"> PAGEREF _Toc201157893 \h </w:instrText>
      </w:r>
      <w:r>
        <w:fldChar w:fldCharType="separate"/>
      </w:r>
      <w:r>
        <w:t>617</w:t>
      </w:r>
      <w:r>
        <w:fldChar w:fldCharType="end"/>
      </w:r>
    </w:p>
    <w:p w14:paraId="7D15DF40" w14:textId="73CABED0" w:rsidR="006C1B74" w:rsidRDefault="006C1B74">
      <w:pPr>
        <w:pStyle w:val="TOC1"/>
        <w:rPr>
          <w:rFonts w:asciiTheme="minorHAnsi" w:eastAsiaTheme="minorEastAsia" w:hAnsiTheme="minorHAnsi" w:cstheme="minorBidi"/>
          <w:kern w:val="2"/>
          <w:sz w:val="24"/>
          <w:szCs w:val="24"/>
          <w14:ligatures w14:val="standardContextual"/>
        </w:rPr>
      </w:pPr>
      <w:r>
        <w:t>D.7</w:t>
      </w:r>
      <w:r>
        <w:rPr>
          <w:rFonts w:asciiTheme="minorHAnsi" w:eastAsiaTheme="minorEastAsia" w:hAnsiTheme="minorHAnsi" w:cstheme="minorBidi"/>
          <w:kern w:val="2"/>
          <w:sz w:val="24"/>
          <w:szCs w:val="24"/>
          <w14:ligatures w14:val="standardContextual"/>
        </w:rPr>
        <w:tab/>
      </w:r>
      <w:r>
        <w:t>Guidance for underlay network to support QoS differentiation for User Plane IPsec Child SA</w:t>
      </w:r>
      <w:r>
        <w:tab/>
      </w:r>
      <w:r>
        <w:fldChar w:fldCharType="begin" w:fldLock="1"/>
      </w:r>
      <w:r>
        <w:instrText xml:space="preserve"> PAGEREF _Toc201157894 \h </w:instrText>
      </w:r>
      <w:r>
        <w:fldChar w:fldCharType="separate"/>
      </w:r>
      <w:r>
        <w:t>618</w:t>
      </w:r>
      <w:r>
        <w:fldChar w:fldCharType="end"/>
      </w:r>
    </w:p>
    <w:p w14:paraId="4B229D26" w14:textId="33B3EF6E" w:rsidR="006C1B74" w:rsidRDefault="006C1B74">
      <w:pPr>
        <w:pStyle w:val="TOC2"/>
        <w:rPr>
          <w:rFonts w:asciiTheme="minorHAnsi" w:eastAsiaTheme="minorEastAsia" w:hAnsiTheme="minorHAnsi" w:cstheme="minorBidi"/>
          <w:kern w:val="2"/>
          <w:sz w:val="24"/>
          <w:szCs w:val="24"/>
          <w14:ligatures w14:val="standardContextual"/>
        </w:rPr>
      </w:pPr>
      <w:r>
        <w:t>D.7.1</w:t>
      </w:r>
      <w:r>
        <w:rPr>
          <w:rFonts w:asciiTheme="minorHAnsi" w:eastAsiaTheme="minorEastAsia" w:hAnsiTheme="minorHAnsi" w:cstheme="minorBidi"/>
          <w:kern w:val="2"/>
          <w:sz w:val="24"/>
          <w:szCs w:val="24"/>
          <w14:ligatures w14:val="standardContextual"/>
        </w:rPr>
        <w:tab/>
      </w:r>
      <w:r>
        <w:t>Network initiated QoS</w:t>
      </w:r>
      <w:r>
        <w:tab/>
      </w:r>
      <w:r>
        <w:fldChar w:fldCharType="begin" w:fldLock="1"/>
      </w:r>
      <w:r>
        <w:instrText xml:space="preserve"> PAGEREF _Toc201157895 \h </w:instrText>
      </w:r>
      <w:r>
        <w:fldChar w:fldCharType="separate"/>
      </w:r>
      <w:r>
        <w:t>618</w:t>
      </w:r>
      <w:r>
        <w:fldChar w:fldCharType="end"/>
      </w:r>
    </w:p>
    <w:p w14:paraId="09F3A13C" w14:textId="24A19D6C" w:rsidR="006C1B74" w:rsidRDefault="006C1B74">
      <w:pPr>
        <w:pStyle w:val="TOC2"/>
        <w:rPr>
          <w:rFonts w:asciiTheme="minorHAnsi" w:eastAsiaTheme="minorEastAsia" w:hAnsiTheme="minorHAnsi" w:cstheme="minorBidi"/>
          <w:kern w:val="2"/>
          <w:sz w:val="24"/>
          <w:szCs w:val="24"/>
          <w14:ligatures w14:val="standardContextual"/>
        </w:rPr>
      </w:pPr>
      <w:r>
        <w:t>D.7.2</w:t>
      </w:r>
      <w:r>
        <w:rPr>
          <w:rFonts w:asciiTheme="minorHAnsi" w:eastAsiaTheme="minorEastAsia" w:hAnsiTheme="minorHAnsi" w:cstheme="minorBidi"/>
          <w:kern w:val="2"/>
          <w:sz w:val="24"/>
          <w:szCs w:val="24"/>
          <w14:ligatures w14:val="standardContextual"/>
        </w:rPr>
        <w:tab/>
      </w:r>
      <w:r>
        <w:t>UE initiated QoS</w:t>
      </w:r>
      <w:r>
        <w:tab/>
      </w:r>
      <w:r>
        <w:fldChar w:fldCharType="begin" w:fldLock="1"/>
      </w:r>
      <w:r>
        <w:instrText xml:space="preserve"> PAGEREF _Toc201157896 \h </w:instrText>
      </w:r>
      <w:r>
        <w:fldChar w:fldCharType="separate"/>
      </w:r>
      <w:r>
        <w:t>619</w:t>
      </w:r>
      <w:r>
        <w:fldChar w:fldCharType="end"/>
      </w:r>
    </w:p>
    <w:p w14:paraId="627D39E2" w14:textId="3E39FED0" w:rsidR="006C1B74" w:rsidRDefault="006C1B74">
      <w:pPr>
        <w:pStyle w:val="TOC8"/>
        <w:rPr>
          <w:rFonts w:asciiTheme="minorHAnsi" w:eastAsiaTheme="minorEastAsia" w:hAnsiTheme="minorHAnsi" w:cstheme="minorBidi"/>
          <w:b w:val="0"/>
          <w:kern w:val="2"/>
          <w:sz w:val="24"/>
          <w:szCs w:val="24"/>
          <w14:ligatures w14:val="standardContextual"/>
        </w:rPr>
      </w:pPr>
      <w:r>
        <w:t>Annex E (informative):</w:t>
      </w:r>
      <w:r>
        <w:tab/>
        <w:t>Communication models for NF/NF services interaction</w:t>
      </w:r>
      <w:r>
        <w:tab/>
      </w:r>
      <w:r>
        <w:fldChar w:fldCharType="begin" w:fldLock="1"/>
      </w:r>
      <w:r>
        <w:instrText xml:space="preserve"> PAGEREF _Toc201157897 \h </w:instrText>
      </w:r>
      <w:r>
        <w:fldChar w:fldCharType="separate"/>
      </w:r>
      <w:r>
        <w:t>621</w:t>
      </w:r>
      <w:r>
        <w:fldChar w:fldCharType="end"/>
      </w:r>
    </w:p>
    <w:p w14:paraId="7922910E" w14:textId="4F3ACBB8" w:rsidR="006C1B74" w:rsidRDefault="006C1B74">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_Toc201157898 \h </w:instrText>
      </w:r>
      <w:r>
        <w:fldChar w:fldCharType="separate"/>
      </w:r>
      <w:r>
        <w:t>621</w:t>
      </w:r>
      <w:r>
        <w:fldChar w:fldCharType="end"/>
      </w:r>
    </w:p>
    <w:p w14:paraId="3E23ACE3" w14:textId="30E3A038" w:rsidR="006C1B74" w:rsidRDefault="006C1B74">
      <w:pPr>
        <w:pStyle w:val="TOC8"/>
        <w:rPr>
          <w:rFonts w:asciiTheme="minorHAnsi" w:eastAsiaTheme="minorEastAsia" w:hAnsiTheme="minorHAnsi" w:cstheme="minorBidi"/>
          <w:b w:val="0"/>
          <w:kern w:val="2"/>
          <w:sz w:val="24"/>
          <w:szCs w:val="24"/>
          <w14:ligatures w14:val="standardContextual"/>
        </w:rPr>
      </w:pPr>
      <w:r>
        <w:t>Annex F (informative):</w:t>
      </w:r>
      <w:r>
        <w:tab/>
        <w:t>Redundant user plane paths based on multiple UEs per device</w:t>
      </w:r>
      <w:r>
        <w:tab/>
      </w:r>
      <w:r>
        <w:fldChar w:fldCharType="begin" w:fldLock="1"/>
      </w:r>
      <w:r>
        <w:instrText xml:space="preserve"> PAGEREF _Toc201157899 \h </w:instrText>
      </w:r>
      <w:r>
        <w:fldChar w:fldCharType="separate"/>
      </w:r>
      <w:r>
        <w:t>623</w:t>
      </w:r>
      <w:r>
        <w:fldChar w:fldCharType="end"/>
      </w:r>
    </w:p>
    <w:p w14:paraId="79AC6265" w14:textId="6964DC68" w:rsidR="006C1B74" w:rsidRDefault="006C1B74">
      <w:pPr>
        <w:pStyle w:val="TOC8"/>
        <w:rPr>
          <w:rFonts w:asciiTheme="minorHAnsi" w:eastAsiaTheme="minorEastAsia" w:hAnsiTheme="minorHAnsi" w:cstheme="minorBidi"/>
          <w:b w:val="0"/>
          <w:kern w:val="2"/>
          <w:sz w:val="24"/>
          <w:szCs w:val="24"/>
          <w14:ligatures w14:val="standardContextual"/>
        </w:rPr>
      </w:pPr>
      <w:r>
        <w:t>Annex G (informative):</w:t>
      </w:r>
      <w:r>
        <w:tab/>
      </w:r>
      <w:r>
        <w:rPr>
          <w:lang w:eastAsia="ja-JP"/>
        </w:rPr>
        <w:t>SCP Deployment Examples</w:t>
      </w:r>
      <w:r>
        <w:tab/>
      </w:r>
      <w:r>
        <w:fldChar w:fldCharType="begin" w:fldLock="1"/>
      </w:r>
      <w:r>
        <w:instrText xml:space="preserve"> PAGEREF _Toc201157900 \h </w:instrText>
      </w:r>
      <w:r>
        <w:fldChar w:fldCharType="separate"/>
      </w:r>
      <w:r>
        <w:t>626</w:t>
      </w:r>
      <w:r>
        <w:fldChar w:fldCharType="end"/>
      </w:r>
    </w:p>
    <w:p w14:paraId="6547A60A" w14:textId="2E4AF5C2" w:rsidR="006C1B74" w:rsidRDefault="006C1B74">
      <w:pPr>
        <w:pStyle w:val="TOC1"/>
        <w:rPr>
          <w:rFonts w:asciiTheme="minorHAnsi" w:eastAsiaTheme="minorEastAsia" w:hAnsiTheme="minorHAnsi" w:cstheme="minorBidi"/>
          <w:kern w:val="2"/>
          <w:sz w:val="24"/>
          <w:szCs w:val="24"/>
          <w14:ligatures w14:val="standardContextual"/>
        </w:rPr>
      </w:pPr>
      <w:r>
        <w:rPr>
          <w:lang w:eastAsia="ja-JP"/>
        </w:rPr>
        <w:t>G.1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_Toc201157901 \h </w:instrText>
      </w:r>
      <w:r>
        <w:fldChar w:fldCharType="separate"/>
      </w:r>
      <w:r>
        <w:t>626</w:t>
      </w:r>
      <w:r>
        <w:fldChar w:fldCharType="end"/>
      </w:r>
    </w:p>
    <w:p w14:paraId="08B9B676" w14:textId="4D2986EF" w:rsidR="006C1B74" w:rsidRDefault="006C1B74">
      <w:pPr>
        <w:pStyle w:val="TOC1"/>
        <w:rPr>
          <w:rFonts w:asciiTheme="minorHAnsi" w:eastAsiaTheme="minorEastAsia" w:hAnsiTheme="minorHAnsi" w:cstheme="minorBidi"/>
          <w:kern w:val="2"/>
          <w:sz w:val="24"/>
          <w:szCs w:val="24"/>
          <w14:ligatures w14:val="standardContextual"/>
        </w:rPr>
      </w:pPr>
      <w:r>
        <w:rPr>
          <w:lang w:eastAsia="ja-JP"/>
        </w:rPr>
        <w:t>G.2</w:t>
      </w:r>
      <w:r>
        <w:rPr>
          <w:rFonts w:asciiTheme="minorHAnsi" w:eastAsiaTheme="minorEastAsia" w:hAnsiTheme="minorHAnsi" w:cstheme="minorBidi"/>
          <w:kern w:val="2"/>
          <w:sz w:val="24"/>
          <w:szCs w:val="24"/>
          <w14:ligatures w14:val="standardContextual"/>
        </w:rPr>
        <w:tab/>
      </w:r>
      <w:r>
        <w:rPr>
          <w:lang w:eastAsia="ja-JP"/>
        </w:rPr>
        <w:t>An SCP based on service mesh</w:t>
      </w:r>
      <w:r>
        <w:tab/>
      </w:r>
      <w:r>
        <w:fldChar w:fldCharType="begin" w:fldLock="1"/>
      </w:r>
      <w:r>
        <w:instrText xml:space="preserve"> PAGEREF _Toc201157902 \h </w:instrText>
      </w:r>
      <w:r>
        <w:fldChar w:fldCharType="separate"/>
      </w:r>
      <w:r>
        <w:t>626</w:t>
      </w:r>
      <w:r>
        <w:fldChar w:fldCharType="end"/>
      </w:r>
    </w:p>
    <w:p w14:paraId="579984C3" w14:textId="749D59A8" w:rsidR="006C1B74" w:rsidRDefault="006C1B74">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_Toc201157903 \h </w:instrText>
      </w:r>
      <w:r>
        <w:fldChar w:fldCharType="separate"/>
      </w:r>
      <w:r>
        <w:t>626</w:t>
      </w:r>
      <w:r>
        <w:fldChar w:fldCharType="end"/>
      </w:r>
    </w:p>
    <w:p w14:paraId="37871A03" w14:textId="63ABE748" w:rsidR="006C1B74" w:rsidRDefault="006C1B74">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Communication across service mesh boundaries</w:t>
      </w:r>
      <w:r>
        <w:tab/>
      </w:r>
      <w:r>
        <w:fldChar w:fldCharType="begin" w:fldLock="1"/>
      </w:r>
      <w:r>
        <w:instrText xml:space="preserve"> PAGEREF _Toc201157904 \h </w:instrText>
      </w:r>
      <w:r>
        <w:fldChar w:fldCharType="separate"/>
      </w:r>
      <w:r>
        <w:t>627</w:t>
      </w:r>
      <w:r>
        <w:fldChar w:fldCharType="end"/>
      </w:r>
    </w:p>
    <w:p w14:paraId="54FDB184" w14:textId="14B73443" w:rsidR="006C1B74" w:rsidRDefault="006C1B74">
      <w:pPr>
        <w:pStyle w:val="TOC1"/>
        <w:rPr>
          <w:rFonts w:asciiTheme="minorHAnsi" w:eastAsiaTheme="minorEastAsia" w:hAnsiTheme="minorHAnsi" w:cstheme="minorBidi"/>
          <w:kern w:val="2"/>
          <w:sz w:val="24"/>
          <w:szCs w:val="24"/>
          <w14:ligatures w14:val="standardContextual"/>
        </w:rPr>
      </w:pPr>
      <w:r>
        <w:rPr>
          <w:lang w:eastAsia="ja-JP"/>
        </w:rPr>
        <w:t>G.3</w:t>
      </w:r>
      <w:r>
        <w:rPr>
          <w:rFonts w:asciiTheme="minorHAnsi" w:eastAsiaTheme="minorEastAsia" w:hAnsiTheme="minorHAnsi" w:cstheme="minorBidi"/>
          <w:kern w:val="2"/>
          <w:sz w:val="24"/>
          <w:szCs w:val="24"/>
          <w14:ligatures w14:val="standardContextual"/>
        </w:rPr>
        <w:tab/>
      </w:r>
      <w:r>
        <w:rPr>
          <w:lang w:eastAsia="ja-JP"/>
        </w:rPr>
        <w:t>An SCP based on independent deployment units</w:t>
      </w:r>
      <w:r>
        <w:tab/>
      </w:r>
      <w:r>
        <w:fldChar w:fldCharType="begin" w:fldLock="1"/>
      </w:r>
      <w:r>
        <w:instrText xml:space="preserve"> PAGEREF _Toc201157905 \h </w:instrText>
      </w:r>
      <w:r>
        <w:fldChar w:fldCharType="separate"/>
      </w:r>
      <w:r>
        <w:t>628</w:t>
      </w:r>
      <w:r>
        <w:fldChar w:fldCharType="end"/>
      </w:r>
    </w:p>
    <w:p w14:paraId="238FF949" w14:textId="37F67299" w:rsidR="006C1B74" w:rsidRDefault="006C1B74">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An SCP deployment example based on name-based routing</w:t>
      </w:r>
      <w:r>
        <w:tab/>
      </w:r>
      <w:r>
        <w:fldChar w:fldCharType="begin" w:fldLock="1"/>
      </w:r>
      <w:r>
        <w:instrText xml:space="preserve"> PAGEREF _Toc201157906 \h </w:instrText>
      </w:r>
      <w:r>
        <w:fldChar w:fldCharType="separate"/>
      </w:r>
      <w:r>
        <w:t>629</w:t>
      </w:r>
      <w:r>
        <w:fldChar w:fldCharType="end"/>
      </w:r>
    </w:p>
    <w:p w14:paraId="655B214F" w14:textId="6DFBB3C0" w:rsidR="006C1B74" w:rsidRDefault="006C1B74">
      <w:pPr>
        <w:pStyle w:val="TOC2"/>
        <w:rPr>
          <w:rFonts w:asciiTheme="minorHAnsi" w:eastAsiaTheme="minorEastAsia" w:hAnsiTheme="minorHAnsi" w:cstheme="minorBidi"/>
          <w:kern w:val="2"/>
          <w:sz w:val="24"/>
          <w:szCs w:val="24"/>
          <w14:ligatures w14:val="standardContextual"/>
        </w:rPr>
      </w:pPr>
      <w:r>
        <w:t>G.4.0</w:t>
      </w:r>
      <w:r>
        <w:rPr>
          <w:rFonts w:asciiTheme="minorHAnsi" w:eastAsiaTheme="minorEastAsia" w:hAnsiTheme="minorHAnsi" w:cstheme="minorBidi"/>
          <w:kern w:val="2"/>
          <w:sz w:val="24"/>
          <w:szCs w:val="24"/>
          <w14:ligatures w14:val="standardContextual"/>
        </w:rPr>
        <w:tab/>
      </w:r>
      <w:r>
        <w:t>General Information</w:t>
      </w:r>
      <w:r>
        <w:tab/>
      </w:r>
      <w:r>
        <w:fldChar w:fldCharType="begin" w:fldLock="1"/>
      </w:r>
      <w:r>
        <w:instrText xml:space="preserve"> PAGEREF _Toc201157907 \h </w:instrText>
      </w:r>
      <w:r>
        <w:fldChar w:fldCharType="separate"/>
      </w:r>
      <w:r>
        <w:t>629</w:t>
      </w:r>
      <w:r>
        <w:fldChar w:fldCharType="end"/>
      </w:r>
    </w:p>
    <w:p w14:paraId="7419D1F3" w14:textId="6304A8B9" w:rsidR="006C1B74" w:rsidRDefault="006C1B74">
      <w:pPr>
        <w:pStyle w:val="TOC2"/>
        <w:rPr>
          <w:rFonts w:asciiTheme="minorHAnsi" w:eastAsiaTheme="minorEastAsia" w:hAnsiTheme="minorHAnsi" w:cstheme="minorBidi"/>
          <w:kern w:val="2"/>
          <w:sz w:val="24"/>
          <w:szCs w:val="24"/>
          <w14:ligatures w14:val="standardContextual"/>
        </w:rPr>
      </w:pPr>
      <w:r>
        <w:lastRenderedPageBreak/>
        <w:t>G.4.1</w:t>
      </w:r>
      <w:r>
        <w:rPr>
          <w:rFonts w:asciiTheme="minorHAnsi" w:eastAsiaTheme="minorEastAsia" w:hAnsiTheme="minorHAnsi" w:cstheme="minorBidi"/>
          <w:kern w:val="2"/>
          <w:sz w:val="24"/>
          <w:szCs w:val="24"/>
          <w14:ligatures w14:val="standardContextual"/>
        </w:rPr>
        <w:tab/>
      </w:r>
      <w:r>
        <w:t>Service Registration and Service Discovery</w:t>
      </w:r>
      <w:r>
        <w:tab/>
      </w:r>
      <w:r>
        <w:fldChar w:fldCharType="begin" w:fldLock="1"/>
      </w:r>
      <w:r>
        <w:instrText xml:space="preserve"> PAGEREF _Toc201157908 \h </w:instrText>
      </w:r>
      <w:r>
        <w:fldChar w:fldCharType="separate"/>
      </w:r>
      <w:r>
        <w:t>630</w:t>
      </w:r>
      <w:r>
        <w:fldChar w:fldCharType="end"/>
      </w:r>
    </w:p>
    <w:p w14:paraId="1D9859F4" w14:textId="77A185D1" w:rsidR="006C1B74" w:rsidRDefault="006C1B74">
      <w:pPr>
        <w:pStyle w:val="TOC2"/>
        <w:rPr>
          <w:rFonts w:asciiTheme="minorHAnsi" w:eastAsiaTheme="minorEastAsia" w:hAnsiTheme="minorHAnsi" w:cstheme="minorBidi"/>
          <w:kern w:val="2"/>
          <w:sz w:val="24"/>
          <w:szCs w:val="24"/>
          <w14:ligatures w14:val="standardContextual"/>
        </w:rPr>
      </w:pPr>
      <w:r>
        <w:t>G.4.2</w:t>
      </w:r>
      <w:r>
        <w:rPr>
          <w:rFonts w:asciiTheme="minorHAnsi" w:eastAsiaTheme="minorEastAsia" w:hAnsiTheme="minorHAnsi" w:cstheme="minorBidi"/>
          <w:kern w:val="2"/>
          <w:sz w:val="24"/>
          <w:szCs w:val="24"/>
          <w14:ligatures w14:val="standardContextual"/>
        </w:rPr>
        <w:tab/>
      </w:r>
      <w:r>
        <w:t>Overview of Deployment Scenario</w:t>
      </w:r>
      <w:r>
        <w:tab/>
      </w:r>
      <w:r>
        <w:fldChar w:fldCharType="begin" w:fldLock="1"/>
      </w:r>
      <w:r>
        <w:instrText xml:space="preserve"> PAGEREF _Toc201157909 \h </w:instrText>
      </w:r>
      <w:r>
        <w:fldChar w:fldCharType="separate"/>
      </w:r>
      <w:r>
        <w:t>631</w:t>
      </w:r>
      <w:r>
        <w:fldChar w:fldCharType="end"/>
      </w:r>
    </w:p>
    <w:p w14:paraId="78BFB716" w14:textId="6D1B142F" w:rsidR="006C1B74" w:rsidRDefault="006C1B74">
      <w:pPr>
        <w:pStyle w:val="TOC2"/>
        <w:rPr>
          <w:rFonts w:asciiTheme="minorHAnsi" w:eastAsiaTheme="minorEastAsia" w:hAnsiTheme="minorHAnsi" w:cstheme="minorBidi"/>
          <w:kern w:val="2"/>
          <w:sz w:val="24"/>
          <w:szCs w:val="24"/>
          <w14:ligatures w14:val="standardContextual"/>
        </w:rPr>
      </w:pPr>
      <w:r>
        <w:t>G.4.3</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_Toc201157910 \h </w:instrText>
      </w:r>
      <w:r>
        <w:fldChar w:fldCharType="separate"/>
      </w:r>
      <w:r>
        <w:t>631</w:t>
      </w:r>
      <w:r>
        <w:fldChar w:fldCharType="end"/>
      </w:r>
    </w:p>
    <w:p w14:paraId="6DDFB1D6" w14:textId="0BBA2475" w:rsidR="006C1B74" w:rsidRDefault="006C1B74">
      <w:pPr>
        <w:pStyle w:val="TOC8"/>
        <w:rPr>
          <w:rFonts w:asciiTheme="minorHAnsi" w:eastAsiaTheme="minorEastAsia" w:hAnsiTheme="minorHAnsi" w:cstheme="minorBidi"/>
          <w:b w:val="0"/>
          <w:kern w:val="2"/>
          <w:sz w:val="24"/>
          <w:szCs w:val="24"/>
          <w14:ligatures w14:val="standardContextual"/>
        </w:rPr>
      </w:pPr>
      <w:r>
        <w:t>Annex H (normative):</w:t>
      </w:r>
      <w:r>
        <w:tab/>
        <w:t>PTP usage guidelines</w:t>
      </w:r>
      <w:r>
        <w:tab/>
      </w:r>
      <w:r>
        <w:fldChar w:fldCharType="begin" w:fldLock="1"/>
      </w:r>
      <w:r>
        <w:instrText xml:space="preserve"> PAGEREF _Toc201157911 \h </w:instrText>
      </w:r>
      <w:r>
        <w:fldChar w:fldCharType="separate"/>
      </w:r>
      <w:r>
        <w:t>632</w:t>
      </w:r>
      <w:r>
        <w:fldChar w:fldCharType="end"/>
      </w:r>
    </w:p>
    <w:p w14:paraId="39B65FD8" w14:textId="17ADFB3C" w:rsidR="006C1B74" w:rsidRDefault="006C1B74">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_Toc201157912 \h </w:instrText>
      </w:r>
      <w:r>
        <w:fldChar w:fldCharType="separate"/>
      </w:r>
      <w:r>
        <w:t>632</w:t>
      </w:r>
      <w:r>
        <w:fldChar w:fldCharType="end"/>
      </w:r>
    </w:p>
    <w:p w14:paraId="2487BA1C" w14:textId="56CB03D3" w:rsidR="006C1B74" w:rsidRDefault="006C1B74">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Signalling of ingress time for time synchronization</w:t>
      </w:r>
      <w:r>
        <w:tab/>
      </w:r>
      <w:r>
        <w:fldChar w:fldCharType="begin" w:fldLock="1"/>
      </w:r>
      <w:r>
        <w:instrText xml:space="preserve"> PAGEREF _Toc201157913 \h </w:instrText>
      </w:r>
      <w:r>
        <w:fldChar w:fldCharType="separate"/>
      </w:r>
      <w:r>
        <w:t>632</w:t>
      </w:r>
      <w:r>
        <w:fldChar w:fldCharType="end"/>
      </w:r>
    </w:p>
    <w:p w14:paraId="05FB9972" w14:textId="763BD1AF" w:rsidR="006C1B74" w:rsidRDefault="006C1B74">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_Toc201157914 \h </w:instrText>
      </w:r>
      <w:r>
        <w:fldChar w:fldCharType="separate"/>
      </w:r>
      <w:r>
        <w:t>632</w:t>
      </w:r>
      <w:r>
        <w:fldChar w:fldCharType="end"/>
      </w:r>
    </w:p>
    <w:p w14:paraId="203A52A7" w14:textId="2FFC2587" w:rsidR="006C1B74" w:rsidRDefault="006C1B74">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Path and Link delay measurements</w:t>
      </w:r>
      <w:r>
        <w:tab/>
      </w:r>
      <w:r>
        <w:fldChar w:fldCharType="begin" w:fldLock="1"/>
      </w:r>
      <w:r>
        <w:instrText xml:space="preserve"> PAGEREF _Toc201157915 \h </w:instrText>
      </w:r>
      <w:r>
        <w:fldChar w:fldCharType="separate"/>
      </w:r>
      <w:r>
        <w:t>632</w:t>
      </w:r>
      <w:r>
        <w:fldChar w:fldCharType="end"/>
      </w:r>
    </w:p>
    <w:p w14:paraId="788198E5" w14:textId="707078EE" w:rsidR="006C1B74" w:rsidRDefault="006C1B74">
      <w:pPr>
        <w:pStyle w:val="TOC8"/>
        <w:rPr>
          <w:rFonts w:asciiTheme="minorHAnsi" w:eastAsiaTheme="minorEastAsia" w:hAnsiTheme="minorHAnsi" w:cstheme="minorBidi"/>
          <w:b w:val="0"/>
          <w:kern w:val="2"/>
          <w:sz w:val="24"/>
          <w:szCs w:val="24"/>
          <w14:ligatures w14:val="standardContextual"/>
        </w:rPr>
      </w:pPr>
      <w:r>
        <w:t>Annex I (normative):</w:t>
      </w:r>
      <w:r>
        <w:tab/>
        <w:t>TSN usage guidelines</w:t>
      </w:r>
      <w:r>
        <w:tab/>
      </w:r>
      <w:r>
        <w:fldChar w:fldCharType="begin" w:fldLock="1"/>
      </w:r>
      <w:r>
        <w:instrText xml:space="preserve"> PAGEREF _Toc201157916 \h </w:instrText>
      </w:r>
      <w:r>
        <w:fldChar w:fldCharType="separate"/>
      </w:r>
      <w:r>
        <w:t>634</w:t>
      </w:r>
      <w:r>
        <w:fldChar w:fldCharType="end"/>
      </w:r>
    </w:p>
    <w:p w14:paraId="1ED38D4B" w14:textId="1075E19B" w:rsidR="006C1B74" w:rsidRDefault="006C1B74">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Determination of traffic pattern information</w:t>
      </w:r>
      <w:r>
        <w:tab/>
      </w:r>
      <w:r>
        <w:fldChar w:fldCharType="begin" w:fldLock="1"/>
      </w:r>
      <w:r>
        <w:instrText xml:space="preserve"> PAGEREF _Toc201157917 \h </w:instrText>
      </w:r>
      <w:r>
        <w:fldChar w:fldCharType="separate"/>
      </w:r>
      <w:r>
        <w:t>634</w:t>
      </w:r>
      <w:r>
        <w:fldChar w:fldCharType="end"/>
      </w:r>
    </w:p>
    <w:p w14:paraId="34E032B7" w14:textId="0B896171" w:rsidR="006C1B74" w:rsidRDefault="006C1B74">
      <w:pPr>
        <w:pStyle w:val="TOC8"/>
        <w:rPr>
          <w:rFonts w:asciiTheme="minorHAnsi" w:eastAsiaTheme="minorEastAsia" w:hAnsiTheme="minorHAnsi" w:cstheme="minorBidi"/>
          <w:b w:val="0"/>
          <w:kern w:val="2"/>
          <w:sz w:val="24"/>
          <w:szCs w:val="24"/>
          <w14:ligatures w14:val="standardContextual"/>
        </w:rPr>
      </w:pPr>
      <w:r>
        <w:t>Annex J (informative):</w:t>
      </w:r>
      <w:r>
        <w:tab/>
        <w:t>Link MTU considerations</w:t>
      </w:r>
      <w:r>
        <w:tab/>
      </w:r>
      <w:r>
        <w:fldChar w:fldCharType="begin" w:fldLock="1"/>
      </w:r>
      <w:r>
        <w:instrText xml:space="preserve"> PAGEREF _Toc201157918 \h </w:instrText>
      </w:r>
      <w:r>
        <w:fldChar w:fldCharType="separate"/>
      </w:r>
      <w:r>
        <w:t>636</w:t>
      </w:r>
      <w:r>
        <w:fldChar w:fldCharType="end"/>
      </w:r>
    </w:p>
    <w:p w14:paraId="1806605D" w14:textId="37901704" w:rsidR="006C1B74" w:rsidRDefault="006C1B74">
      <w:pPr>
        <w:pStyle w:val="TOC8"/>
        <w:rPr>
          <w:rFonts w:asciiTheme="minorHAnsi" w:eastAsiaTheme="minorEastAsia" w:hAnsiTheme="minorHAnsi" w:cstheme="minorBidi"/>
          <w:b w:val="0"/>
          <w:kern w:val="2"/>
          <w:sz w:val="24"/>
          <w:szCs w:val="24"/>
          <w14:ligatures w14:val="standardContextual"/>
        </w:rPr>
      </w:pPr>
      <w:r>
        <w:t>Annex K (normative):</w:t>
      </w:r>
      <w:r>
        <w:tab/>
        <w:t>Port and user plane node management information exchange</w:t>
      </w:r>
      <w:r>
        <w:tab/>
      </w:r>
      <w:r>
        <w:fldChar w:fldCharType="begin" w:fldLock="1"/>
      </w:r>
      <w:r>
        <w:instrText xml:space="preserve"> PAGEREF _Toc201157919 \h </w:instrText>
      </w:r>
      <w:r>
        <w:fldChar w:fldCharType="separate"/>
      </w:r>
      <w:r>
        <w:t>638</w:t>
      </w:r>
      <w:r>
        <w:fldChar w:fldCharType="end"/>
      </w:r>
    </w:p>
    <w:p w14:paraId="47AB8702" w14:textId="2C510549" w:rsidR="006C1B74" w:rsidRDefault="006C1B74">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Standardized port and user plane node management information</w:t>
      </w:r>
      <w:r>
        <w:tab/>
      </w:r>
      <w:r>
        <w:fldChar w:fldCharType="begin" w:fldLock="1"/>
      </w:r>
      <w:r>
        <w:instrText xml:space="preserve"> PAGEREF _Toc201157920 \h </w:instrText>
      </w:r>
      <w:r>
        <w:fldChar w:fldCharType="separate"/>
      </w:r>
      <w:r>
        <w:t>638</w:t>
      </w:r>
      <w:r>
        <w:fldChar w:fldCharType="end"/>
      </w:r>
    </w:p>
    <w:p w14:paraId="1A672C8C" w14:textId="0697606D" w:rsidR="006C1B74" w:rsidRDefault="006C1B74">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Port and user plane node management information exchange for time synchronization</w:t>
      </w:r>
      <w:r>
        <w:tab/>
      </w:r>
      <w:r>
        <w:fldChar w:fldCharType="begin" w:fldLock="1"/>
      </w:r>
      <w:r>
        <w:instrText xml:space="preserve"> PAGEREF _Toc201157921 \h </w:instrText>
      </w:r>
      <w:r>
        <w:fldChar w:fldCharType="separate"/>
      </w:r>
      <w:r>
        <w:t>654</w:t>
      </w:r>
      <w:r>
        <w:fldChar w:fldCharType="end"/>
      </w:r>
    </w:p>
    <w:p w14:paraId="0324C204" w14:textId="1FE83463" w:rsidR="006C1B74" w:rsidRDefault="006C1B74">
      <w:pPr>
        <w:pStyle w:val="TOC2"/>
        <w:rPr>
          <w:rFonts w:asciiTheme="minorHAnsi" w:eastAsiaTheme="minorEastAsia" w:hAnsiTheme="minorHAnsi" w:cstheme="minorBidi"/>
          <w:kern w:val="2"/>
          <w:sz w:val="24"/>
          <w:szCs w:val="24"/>
          <w14:ligatures w14:val="standardContextual"/>
        </w:rPr>
      </w:pPr>
      <w:r>
        <w:t>K.2.1</w:t>
      </w:r>
      <w:r>
        <w:rPr>
          <w:rFonts w:asciiTheme="minorHAnsi" w:eastAsiaTheme="minorEastAsia" w:hAnsiTheme="minorHAnsi" w:cstheme="minorBidi"/>
          <w:kern w:val="2"/>
          <w:sz w:val="24"/>
          <w:szCs w:val="24"/>
          <w14:ligatures w14:val="standardContextual"/>
        </w:rPr>
        <w:tab/>
      </w:r>
      <w:r>
        <w:t>Capability exchange</w:t>
      </w:r>
      <w:r>
        <w:tab/>
      </w:r>
      <w:r>
        <w:fldChar w:fldCharType="begin" w:fldLock="1"/>
      </w:r>
      <w:r>
        <w:instrText xml:space="preserve"> PAGEREF _Toc201157922 \h </w:instrText>
      </w:r>
      <w:r>
        <w:fldChar w:fldCharType="separate"/>
      </w:r>
      <w:r>
        <w:t>654</w:t>
      </w:r>
      <w:r>
        <w:fldChar w:fldCharType="end"/>
      </w:r>
    </w:p>
    <w:p w14:paraId="3433CE0C" w14:textId="69D2B586" w:rsidR="006C1B74" w:rsidRDefault="006C1B74">
      <w:pPr>
        <w:pStyle w:val="TOC2"/>
        <w:rPr>
          <w:rFonts w:asciiTheme="minorHAnsi" w:eastAsiaTheme="minorEastAsia" w:hAnsiTheme="minorHAnsi" w:cstheme="minorBidi"/>
          <w:kern w:val="2"/>
          <w:sz w:val="24"/>
          <w:szCs w:val="24"/>
          <w14:ligatures w14:val="standardContextual"/>
        </w:rPr>
      </w:pPr>
      <w:r>
        <w:t>K.2.2</w:t>
      </w:r>
      <w:r>
        <w:rPr>
          <w:rFonts w:asciiTheme="minorHAnsi" w:eastAsiaTheme="minorEastAsia" w:hAnsiTheme="minorHAnsi" w:cstheme="minorBidi"/>
          <w:kern w:val="2"/>
          <w:sz w:val="24"/>
          <w:szCs w:val="24"/>
          <w14:ligatures w14:val="standardContextual"/>
        </w:rPr>
        <w:tab/>
      </w:r>
      <w:r>
        <w:t>PTP Instance configuration</w:t>
      </w:r>
      <w:r>
        <w:tab/>
      </w:r>
      <w:r>
        <w:fldChar w:fldCharType="begin" w:fldLock="1"/>
      </w:r>
      <w:r>
        <w:instrText xml:space="preserve"> PAGEREF _Toc201157923 \h </w:instrText>
      </w:r>
      <w:r>
        <w:fldChar w:fldCharType="separate"/>
      </w:r>
      <w:r>
        <w:t>655</w:t>
      </w:r>
      <w:r>
        <w:fldChar w:fldCharType="end"/>
      </w:r>
    </w:p>
    <w:p w14:paraId="42747DD9" w14:textId="293CADDE" w:rsidR="006C1B74" w:rsidRDefault="006C1B74">
      <w:pPr>
        <w:pStyle w:val="TOC3"/>
        <w:rPr>
          <w:rFonts w:asciiTheme="minorHAnsi" w:eastAsiaTheme="minorEastAsia" w:hAnsiTheme="minorHAnsi" w:cstheme="minorBidi"/>
          <w:kern w:val="2"/>
          <w:sz w:val="24"/>
          <w:szCs w:val="24"/>
          <w14:ligatures w14:val="standardContextual"/>
        </w:rPr>
      </w:pPr>
      <w:r>
        <w:t>K.2.2.1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_Toc201157924 \h </w:instrText>
      </w:r>
      <w:r>
        <w:fldChar w:fldCharType="separate"/>
      </w:r>
      <w:r>
        <w:t>655</w:t>
      </w:r>
      <w:r>
        <w:fldChar w:fldCharType="end"/>
      </w:r>
    </w:p>
    <w:p w14:paraId="0A0CD65C" w14:textId="5A35E4C5" w:rsidR="006C1B74" w:rsidRDefault="006C1B74">
      <w:pPr>
        <w:pStyle w:val="TOC3"/>
        <w:rPr>
          <w:rFonts w:asciiTheme="minorHAnsi" w:eastAsiaTheme="minorEastAsia" w:hAnsiTheme="minorHAnsi" w:cstheme="minorBidi"/>
          <w:kern w:val="2"/>
          <w:sz w:val="24"/>
          <w:szCs w:val="24"/>
          <w14:ligatures w14:val="standardContextual"/>
        </w:rPr>
      </w:pPr>
      <w:r>
        <w:t>K.2.2.2</w:t>
      </w:r>
      <w:r>
        <w:rPr>
          <w:rFonts w:asciiTheme="minorHAnsi" w:eastAsiaTheme="minorEastAsia" w:hAnsiTheme="minorHAnsi" w:cstheme="minorBidi"/>
          <w:kern w:val="2"/>
          <w:sz w:val="24"/>
          <w:szCs w:val="24"/>
          <w14:ligatures w14:val="standardContextual"/>
        </w:rPr>
        <w:tab/>
      </w:r>
      <w:r>
        <w:t>Configuration for Sync and Announce reception timeouts</w:t>
      </w:r>
      <w:r>
        <w:tab/>
      </w:r>
      <w:r>
        <w:fldChar w:fldCharType="begin" w:fldLock="1"/>
      </w:r>
      <w:r>
        <w:instrText xml:space="preserve"> PAGEREF _Toc201157925 \h </w:instrText>
      </w:r>
      <w:r>
        <w:fldChar w:fldCharType="separate"/>
      </w:r>
      <w:r>
        <w:t>656</w:t>
      </w:r>
      <w:r>
        <w:fldChar w:fldCharType="end"/>
      </w:r>
    </w:p>
    <w:p w14:paraId="298849CF" w14:textId="15456953" w:rsidR="006C1B74" w:rsidRDefault="006C1B74">
      <w:pPr>
        <w:pStyle w:val="TOC3"/>
        <w:rPr>
          <w:rFonts w:asciiTheme="minorHAnsi" w:eastAsiaTheme="minorEastAsia" w:hAnsiTheme="minorHAnsi" w:cstheme="minorBidi"/>
          <w:kern w:val="2"/>
          <w:sz w:val="24"/>
          <w:szCs w:val="24"/>
          <w14:ligatures w14:val="standardContextual"/>
        </w:rPr>
      </w:pPr>
      <w:r>
        <w:t>K.2.2.3</w:t>
      </w:r>
      <w:r>
        <w:rPr>
          <w:rFonts w:asciiTheme="minorHAnsi" w:eastAsiaTheme="minorEastAsia" w:hAnsiTheme="minorHAnsi" w:cstheme="minorBidi"/>
          <w:kern w:val="2"/>
          <w:sz w:val="24"/>
          <w:szCs w:val="24"/>
          <w14:ligatures w14:val="standardContextual"/>
        </w:rPr>
        <w:tab/>
      </w:r>
      <w:r>
        <w:t>Configuration for PTP port states</w:t>
      </w:r>
      <w:r>
        <w:tab/>
      </w:r>
      <w:r>
        <w:fldChar w:fldCharType="begin" w:fldLock="1"/>
      </w:r>
      <w:r>
        <w:instrText xml:space="preserve"> PAGEREF _Toc201157926 \h </w:instrText>
      </w:r>
      <w:r>
        <w:fldChar w:fldCharType="separate"/>
      </w:r>
      <w:r>
        <w:t>656</w:t>
      </w:r>
      <w:r>
        <w:fldChar w:fldCharType="end"/>
      </w:r>
    </w:p>
    <w:p w14:paraId="6C84617D" w14:textId="6810895E" w:rsidR="006C1B74" w:rsidRDefault="006C1B74">
      <w:pPr>
        <w:pStyle w:val="TOC3"/>
        <w:rPr>
          <w:rFonts w:asciiTheme="minorHAnsi" w:eastAsiaTheme="minorEastAsia" w:hAnsiTheme="minorHAnsi" w:cstheme="minorBidi"/>
          <w:kern w:val="2"/>
          <w:sz w:val="24"/>
          <w:szCs w:val="24"/>
          <w14:ligatures w14:val="standardContextual"/>
        </w:rPr>
      </w:pPr>
      <w:r>
        <w:t>K.2.2.4</w:t>
      </w:r>
      <w:r>
        <w:rPr>
          <w:rFonts w:asciiTheme="minorHAnsi" w:eastAsiaTheme="minorEastAsia" w:hAnsiTheme="minorHAnsi" w:cstheme="minorBidi"/>
          <w:kern w:val="2"/>
          <w:sz w:val="24"/>
          <w:szCs w:val="24"/>
          <w14:ligatures w14:val="standardContextual"/>
        </w:rPr>
        <w:tab/>
      </w:r>
      <w:r>
        <w:t>Configuration for PTP grandmaster function</w:t>
      </w:r>
      <w:r>
        <w:tab/>
      </w:r>
      <w:r>
        <w:fldChar w:fldCharType="begin" w:fldLock="1"/>
      </w:r>
      <w:r>
        <w:instrText xml:space="preserve"> PAGEREF _Toc201157927 \h </w:instrText>
      </w:r>
      <w:r>
        <w:fldChar w:fldCharType="separate"/>
      </w:r>
      <w:r>
        <w:t>657</w:t>
      </w:r>
      <w:r>
        <w:fldChar w:fldCharType="end"/>
      </w:r>
    </w:p>
    <w:p w14:paraId="2D9CE9B4" w14:textId="32BB3F9E" w:rsidR="006C1B74" w:rsidRDefault="006C1B74">
      <w:pPr>
        <w:pStyle w:val="TOC3"/>
        <w:rPr>
          <w:rFonts w:asciiTheme="minorHAnsi" w:eastAsiaTheme="minorEastAsia" w:hAnsiTheme="minorHAnsi" w:cstheme="minorBidi"/>
          <w:kern w:val="2"/>
          <w:sz w:val="24"/>
          <w:szCs w:val="24"/>
          <w14:ligatures w14:val="standardContextual"/>
        </w:rPr>
      </w:pPr>
      <w:r>
        <w:t>K.2.2.5</w:t>
      </w:r>
      <w:r>
        <w:rPr>
          <w:rFonts w:asciiTheme="minorHAnsi" w:eastAsiaTheme="minorEastAsia" w:hAnsiTheme="minorHAnsi" w:cstheme="minorBidi"/>
          <w:kern w:val="2"/>
          <w:sz w:val="24"/>
          <w:szCs w:val="24"/>
          <w14:ligatures w14:val="standardContextual"/>
        </w:rPr>
        <w:tab/>
      </w:r>
      <w:r>
        <w:t>Configuration for Sync and Announce intervals</w:t>
      </w:r>
      <w:r>
        <w:tab/>
      </w:r>
      <w:r>
        <w:fldChar w:fldCharType="begin" w:fldLock="1"/>
      </w:r>
      <w:r>
        <w:instrText xml:space="preserve"> PAGEREF _Toc201157928 \h </w:instrText>
      </w:r>
      <w:r>
        <w:fldChar w:fldCharType="separate"/>
      </w:r>
      <w:r>
        <w:t>657</w:t>
      </w:r>
      <w:r>
        <w:fldChar w:fldCharType="end"/>
      </w:r>
    </w:p>
    <w:p w14:paraId="77BE6A71" w14:textId="3D902630" w:rsidR="006C1B74" w:rsidRDefault="006C1B74">
      <w:pPr>
        <w:pStyle w:val="TOC3"/>
        <w:rPr>
          <w:rFonts w:asciiTheme="minorHAnsi" w:eastAsiaTheme="minorEastAsia" w:hAnsiTheme="minorHAnsi" w:cstheme="minorBidi"/>
          <w:kern w:val="2"/>
          <w:sz w:val="24"/>
          <w:szCs w:val="24"/>
          <w14:ligatures w14:val="standardContextual"/>
        </w:rPr>
      </w:pPr>
      <w:r>
        <w:t>K.2.2.6</w:t>
      </w:r>
      <w:r>
        <w:rPr>
          <w:rFonts w:asciiTheme="minorHAnsi" w:eastAsiaTheme="minorEastAsia" w:hAnsiTheme="minorHAnsi" w:cstheme="minorBidi"/>
          <w:kern w:val="2"/>
          <w:sz w:val="24"/>
          <w:szCs w:val="24"/>
          <w14:ligatures w14:val="standardContextual"/>
        </w:rPr>
        <w:tab/>
      </w:r>
      <w:r>
        <w:t>Configuration for transport protocols</w:t>
      </w:r>
      <w:r>
        <w:tab/>
      </w:r>
      <w:r>
        <w:fldChar w:fldCharType="begin" w:fldLock="1"/>
      </w:r>
      <w:r>
        <w:instrText xml:space="preserve"> PAGEREF _Toc201157929 \h </w:instrText>
      </w:r>
      <w:r>
        <w:fldChar w:fldCharType="separate"/>
      </w:r>
      <w:r>
        <w:t>658</w:t>
      </w:r>
      <w:r>
        <w:fldChar w:fldCharType="end"/>
      </w:r>
    </w:p>
    <w:p w14:paraId="5F0658E6" w14:textId="151EE7F8" w:rsidR="006C1B74" w:rsidRDefault="006C1B74">
      <w:pPr>
        <w:pStyle w:val="TOC8"/>
        <w:rPr>
          <w:rFonts w:asciiTheme="minorHAnsi" w:eastAsiaTheme="minorEastAsia" w:hAnsiTheme="minorHAnsi" w:cstheme="minorBidi"/>
          <w:b w:val="0"/>
          <w:kern w:val="2"/>
          <w:sz w:val="24"/>
          <w:szCs w:val="24"/>
          <w14:ligatures w14:val="standardContextual"/>
        </w:rPr>
      </w:pPr>
      <w:r>
        <w:t>Annex L (normative):</w:t>
      </w:r>
      <w:r>
        <w:tab/>
        <w:t>Support of GERAN/UTRAN access</w:t>
      </w:r>
      <w:r>
        <w:tab/>
      </w:r>
      <w:r>
        <w:fldChar w:fldCharType="begin" w:fldLock="1"/>
      </w:r>
      <w:r>
        <w:instrText xml:space="preserve"> PAGEREF _Toc201157930 \h </w:instrText>
      </w:r>
      <w:r>
        <w:fldChar w:fldCharType="separate"/>
      </w:r>
      <w:r>
        <w:t>659</w:t>
      </w:r>
      <w:r>
        <w:fldChar w:fldCharType="end"/>
      </w:r>
    </w:p>
    <w:p w14:paraId="118D6678" w14:textId="226EF41E" w:rsidR="006C1B74" w:rsidRDefault="006C1B74">
      <w:pPr>
        <w:pStyle w:val="TOC8"/>
        <w:rPr>
          <w:rFonts w:asciiTheme="minorHAnsi" w:eastAsiaTheme="minorEastAsia" w:hAnsiTheme="minorHAnsi" w:cstheme="minorBidi"/>
          <w:b w:val="0"/>
          <w:kern w:val="2"/>
          <w:sz w:val="24"/>
          <w:szCs w:val="24"/>
          <w14:ligatures w14:val="standardContextual"/>
        </w:rPr>
      </w:pPr>
      <w:r>
        <w:t>Annex M (normative):</w:t>
      </w:r>
      <w:r>
        <w:tab/>
        <w:t>Interworking with TSN deployed in the Transport Network</w:t>
      </w:r>
      <w:r>
        <w:tab/>
      </w:r>
      <w:r>
        <w:fldChar w:fldCharType="begin" w:fldLock="1"/>
      </w:r>
      <w:r>
        <w:instrText xml:space="preserve"> PAGEREF _Toc201157931 \h </w:instrText>
      </w:r>
      <w:r>
        <w:fldChar w:fldCharType="separate"/>
      </w:r>
      <w:r>
        <w:t>660</w:t>
      </w:r>
      <w:r>
        <w:fldChar w:fldCharType="end"/>
      </w:r>
    </w:p>
    <w:p w14:paraId="78A0C72F" w14:textId="5E2F0384" w:rsidR="006C1B74" w:rsidRDefault="006C1B74">
      <w:pPr>
        <w:pStyle w:val="TOC1"/>
        <w:rPr>
          <w:rFonts w:asciiTheme="minorHAnsi" w:eastAsiaTheme="minorEastAsia" w:hAnsiTheme="minorHAnsi" w:cstheme="minorBidi"/>
          <w:kern w:val="2"/>
          <w:sz w:val="24"/>
          <w:szCs w:val="24"/>
          <w14:ligatures w14:val="standardContextual"/>
        </w:rPr>
      </w:pPr>
      <w:r>
        <w:t>M.1</w:t>
      </w:r>
      <w:r>
        <w:rPr>
          <w:rFonts w:asciiTheme="minorHAnsi" w:eastAsiaTheme="minorEastAsia" w:hAnsiTheme="minorHAnsi" w:cstheme="minorBidi"/>
          <w:kern w:val="2"/>
          <w:sz w:val="24"/>
          <w:szCs w:val="24"/>
          <w14:ligatures w14:val="standardContextual"/>
        </w:rPr>
        <w:tab/>
      </w:r>
      <w:r>
        <w:t>Mapping of the parameters between 5GS and TSN UNI</w:t>
      </w:r>
      <w:r>
        <w:tab/>
      </w:r>
      <w:r>
        <w:fldChar w:fldCharType="begin" w:fldLock="1"/>
      </w:r>
      <w:r>
        <w:instrText xml:space="preserve"> PAGEREF _Toc201157932 \h </w:instrText>
      </w:r>
      <w:r>
        <w:fldChar w:fldCharType="separate"/>
      </w:r>
      <w:r>
        <w:t>660</w:t>
      </w:r>
      <w:r>
        <w:fldChar w:fldCharType="end"/>
      </w:r>
    </w:p>
    <w:p w14:paraId="4B063BC0" w14:textId="201DB08B" w:rsidR="006C1B74" w:rsidRDefault="006C1B74">
      <w:pPr>
        <w:pStyle w:val="TOC1"/>
        <w:rPr>
          <w:rFonts w:asciiTheme="minorHAnsi" w:eastAsiaTheme="minorEastAsia" w:hAnsiTheme="minorHAnsi" w:cstheme="minorBidi"/>
          <w:kern w:val="2"/>
          <w:sz w:val="24"/>
          <w:szCs w:val="24"/>
          <w14:ligatures w14:val="standardContextual"/>
        </w:rPr>
      </w:pPr>
      <w:r w:rsidRPr="00191652">
        <w:rPr>
          <w:lang w:val="fr-FR"/>
        </w:rPr>
        <w:t>M.2</w:t>
      </w:r>
      <w:r>
        <w:rPr>
          <w:rFonts w:asciiTheme="minorHAnsi" w:eastAsiaTheme="minorEastAsia" w:hAnsiTheme="minorHAnsi" w:cstheme="minorBidi"/>
          <w:kern w:val="2"/>
          <w:sz w:val="24"/>
          <w:szCs w:val="24"/>
          <w14:ligatures w14:val="standardContextual"/>
        </w:rPr>
        <w:tab/>
      </w:r>
      <w:r w:rsidRPr="00191652">
        <w:rPr>
          <w:lang w:val="fr-FR"/>
        </w:rPr>
        <w:t>TL-Container Information</w:t>
      </w:r>
      <w:r>
        <w:tab/>
      </w:r>
      <w:r>
        <w:fldChar w:fldCharType="begin" w:fldLock="1"/>
      </w:r>
      <w:r>
        <w:instrText xml:space="preserve"> PAGEREF _Toc201157933 \h </w:instrText>
      </w:r>
      <w:r>
        <w:fldChar w:fldCharType="separate"/>
      </w:r>
      <w:r>
        <w:t>664</w:t>
      </w:r>
      <w:r>
        <w:fldChar w:fldCharType="end"/>
      </w:r>
    </w:p>
    <w:p w14:paraId="492F2152" w14:textId="7FF630CA" w:rsidR="006C1B74" w:rsidRDefault="006C1B74">
      <w:pPr>
        <w:pStyle w:val="TOC8"/>
        <w:rPr>
          <w:rFonts w:asciiTheme="minorHAnsi" w:eastAsiaTheme="minorEastAsia" w:hAnsiTheme="minorHAnsi" w:cstheme="minorBidi"/>
          <w:b w:val="0"/>
          <w:kern w:val="2"/>
          <w:sz w:val="24"/>
          <w:szCs w:val="24"/>
          <w14:ligatures w14:val="standardContextual"/>
        </w:rPr>
      </w:pPr>
      <w:r>
        <w:t>Annex N (informative):</w:t>
      </w:r>
      <w:r>
        <w:tab/>
        <w:t>Support for access to Localized Services</w:t>
      </w:r>
      <w:r>
        <w:tab/>
      </w:r>
      <w:r>
        <w:fldChar w:fldCharType="begin" w:fldLock="1"/>
      </w:r>
      <w:r>
        <w:instrText xml:space="preserve"> PAGEREF _Toc201157934 \h </w:instrText>
      </w:r>
      <w:r>
        <w:fldChar w:fldCharType="separate"/>
      </w:r>
      <w:r>
        <w:t>667</w:t>
      </w:r>
      <w:r>
        <w:fldChar w:fldCharType="end"/>
      </w:r>
    </w:p>
    <w:p w14:paraId="301E2832" w14:textId="0ECE6768" w:rsidR="006C1B74" w:rsidRDefault="006C1B74">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_Toc201157935 \h </w:instrText>
      </w:r>
      <w:r>
        <w:fldChar w:fldCharType="separate"/>
      </w:r>
      <w:r>
        <w:t>667</w:t>
      </w:r>
      <w:r>
        <w:fldChar w:fldCharType="end"/>
      </w:r>
    </w:p>
    <w:p w14:paraId="0FF8E51A" w14:textId="44E11474" w:rsidR="006C1B74" w:rsidRDefault="006C1B74">
      <w:pPr>
        <w:pStyle w:val="TOC1"/>
        <w:rPr>
          <w:rFonts w:asciiTheme="minorHAnsi" w:eastAsiaTheme="minorEastAsia" w:hAnsiTheme="minorHAnsi" w:cstheme="minorBidi"/>
          <w:kern w:val="2"/>
          <w:sz w:val="24"/>
          <w:szCs w:val="24"/>
          <w14:ligatures w14:val="standardContextual"/>
        </w:rPr>
      </w:pPr>
      <w:r>
        <w:t>N.2</w:t>
      </w:r>
      <w:r>
        <w:rPr>
          <w:rFonts w:asciiTheme="minorHAnsi" w:eastAsiaTheme="minorEastAsia" w:hAnsiTheme="minorHAnsi" w:cstheme="minorBidi"/>
          <w:kern w:val="2"/>
          <w:sz w:val="24"/>
          <w:szCs w:val="24"/>
          <w14:ligatures w14:val="standardContextual"/>
        </w:rPr>
        <w:tab/>
      </w:r>
      <w:r>
        <w:t>Enabling access to Localized Services</w:t>
      </w:r>
      <w:r>
        <w:tab/>
      </w:r>
      <w:r>
        <w:fldChar w:fldCharType="begin" w:fldLock="1"/>
      </w:r>
      <w:r>
        <w:instrText xml:space="preserve"> PAGEREF _Toc201157936 \h </w:instrText>
      </w:r>
      <w:r>
        <w:fldChar w:fldCharType="separate"/>
      </w:r>
      <w:r>
        <w:t>667</w:t>
      </w:r>
      <w:r>
        <w:fldChar w:fldCharType="end"/>
      </w:r>
    </w:p>
    <w:p w14:paraId="5A79CF3D" w14:textId="51EB07A7" w:rsidR="006C1B74" w:rsidRDefault="006C1B74">
      <w:pPr>
        <w:pStyle w:val="TOC2"/>
        <w:rPr>
          <w:rFonts w:asciiTheme="minorHAnsi" w:eastAsiaTheme="minorEastAsia" w:hAnsiTheme="minorHAnsi" w:cstheme="minorBidi"/>
          <w:kern w:val="2"/>
          <w:sz w:val="24"/>
          <w:szCs w:val="24"/>
          <w14:ligatures w14:val="standardContextual"/>
        </w:rPr>
      </w:pPr>
      <w:r>
        <w:t>N.2.1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_Toc201157937 \h </w:instrText>
      </w:r>
      <w:r>
        <w:fldChar w:fldCharType="separate"/>
      </w:r>
      <w:r>
        <w:t>667</w:t>
      </w:r>
      <w:r>
        <w:fldChar w:fldCharType="end"/>
      </w:r>
    </w:p>
    <w:p w14:paraId="0E104B3A" w14:textId="1A9E416A" w:rsidR="006C1B74" w:rsidRDefault="006C1B74">
      <w:pPr>
        <w:pStyle w:val="TOC2"/>
        <w:rPr>
          <w:rFonts w:asciiTheme="minorHAnsi" w:eastAsiaTheme="minorEastAsia" w:hAnsiTheme="minorHAnsi" w:cstheme="minorBidi"/>
          <w:kern w:val="2"/>
          <w:sz w:val="24"/>
          <w:szCs w:val="24"/>
          <w14:ligatures w14:val="standardContextual"/>
        </w:rPr>
      </w:pPr>
      <w:r>
        <w:t>N.2.2</w:t>
      </w:r>
      <w:r>
        <w:rPr>
          <w:rFonts w:asciiTheme="minorHAnsi" w:eastAsiaTheme="minorEastAsia" w:hAnsiTheme="minorHAnsi" w:cstheme="minorBidi"/>
          <w:kern w:val="2"/>
          <w:sz w:val="24"/>
          <w:szCs w:val="24"/>
          <w14:ligatures w14:val="standardContextual"/>
        </w:rPr>
        <w:tab/>
      </w:r>
      <w:r>
        <w:t>Configuration of network to provide access to Localized Services</w:t>
      </w:r>
      <w:r>
        <w:tab/>
      </w:r>
      <w:r>
        <w:fldChar w:fldCharType="begin" w:fldLock="1"/>
      </w:r>
      <w:r>
        <w:instrText xml:space="preserve"> PAGEREF _Toc201157938 \h </w:instrText>
      </w:r>
      <w:r>
        <w:fldChar w:fldCharType="separate"/>
      </w:r>
      <w:r>
        <w:t>668</w:t>
      </w:r>
      <w:r>
        <w:fldChar w:fldCharType="end"/>
      </w:r>
    </w:p>
    <w:p w14:paraId="2222B169" w14:textId="5F52E308" w:rsidR="006C1B74" w:rsidRDefault="006C1B74">
      <w:pPr>
        <w:pStyle w:val="TOC2"/>
        <w:rPr>
          <w:rFonts w:asciiTheme="minorHAnsi" w:eastAsiaTheme="minorEastAsia" w:hAnsiTheme="minorHAnsi" w:cstheme="minorBidi"/>
          <w:kern w:val="2"/>
          <w:sz w:val="24"/>
          <w:szCs w:val="24"/>
          <w14:ligatures w14:val="standardContextual"/>
        </w:rPr>
      </w:pPr>
      <w:r>
        <w:t>N.2.3</w:t>
      </w:r>
      <w:r>
        <w:rPr>
          <w:rFonts w:asciiTheme="minorHAnsi" w:eastAsiaTheme="minorEastAsia" w:hAnsiTheme="minorHAnsi" w:cstheme="minorBidi"/>
          <w:kern w:val="2"/>
          <w:sz w:val="24"/>
          <w:szCs w:val="24"/>
          <w14:ligatures w14:val="standardContextual"/>
        </w:rPr>
        <w:tab/>
      </w:r>
      <w:r>
        <w:t>Session Management aspects</w:t>
      </w:r>
      <w:r>
        <w:tab/>
      </w:r>
      <w:r>
        <w:fldChar w:fldCharType="begin" w:fldLock="1"/>
      </w:r>
      <w:r>
        <w:instrText xml:space="preserve"> PAGEREF _Toc201157939 \h </w:instrText>
      </w:r>
      <w:r>
        <w:fldChar w:fldCharType="separate"/>
      </w:r>
      <w:r>
        <w:t>668</w:t>
      </w:r>
      <w:r>
        <w:fldChar w:fldCharType="end"/>
      </w:r>
    </w:p>
    <w:p w14:paraId="27FCCB9C" w14:textId="18422F4B" w:rsidR="006C1B74" w:rsidRDefault="006C1B74">
      <w:pPr>
        <w:pStyle w:val="TOC1"/>
        <w:rPr>
          <w:rFonts w:asciiTheme="minorHAnsi" w:eastAsiaTheme="minorEastAsia" w:hAnsiTheme="minorHAnsi" w:cstheme="minorBidi"/>
          <w:kern w:val="2"/>
          <w:sz w:val="24"/>
          <w:szCs w:val="24"/>
          <w14:ligatures w14:val="standardContextual"/>
        </w:rPr>
      </w:pPr>
      <w:r>
        <w:lastRenderedPageBreak/>
        <w:t>N.3</w:t>
      </w:r>
      <w:r>
        <w:rPr>
          <w:rFonts w:asciiTheme="minorHAnsi" w:eastAsiaTheme="minorEastAsia" w:hAnsiTheme="minorHAnsi" w:cstheme="minorBidi"/>
          <w:kern w:val="2"/>
          <w:sz w:val="24"/>
          <w:szCs w:val="24"/>
          <w14:ligatures w14:val="standardContextual"/>
        </w:rPr>
        <w:tab/>
      </w:r>
      <w:r>
        <w:t>Selection of network providing access to Localized Services</w:t>
      </w:r>
      <w:r>
        <w:tab/>
      </w:r>
      <w:r>
        <w:fldChar w:fldCharType="begin" w:fldLock="1"/>
      </w:r>
      <w:r>
        <w:instrText xml:space="preserve"> PAGEREF _Toc201157940 \h </w:instrText>
      </w:r>
      <w:r>
        <w:fldChar w:fldCharType="separate"/>
      </w:r>
      <w:r>
        <w:t>668</w:t>
      </w:r>
      <w:r>
        <w:fldChar w:fldCharType="end"/>
      </w:r>
    </w:p>
    <w:p w14:paraId="281BD792" w14:textId="6025EB2A" w:rsidR="006C1B74" w:rsidRDefault="006C1B74">
      <w:pPr>
        <w:pStyle w:val="TOC1"/>
        <w:rPr>
          <w:rFonts w:asciiTheme="minorHAnsi" w:eastAsiaTheme="minorEastAsia" w:hAnsiTheme="minorHAnsi" w:cstheme="minorBidi"/>
          <w:kern w:val="2"/>
          <w:sz w:val="24"/>
          <w:szCs w:val="24"/>
          <w14:ligatures w14:val="standardContextual"/>
        </w:rPr>
      </w:pPr>
      <w:r>
        <w:t>N.4</w:t>
      </w:r>
      <w:r>
        <w:rPr>
          <w:rFonts w:asciiTheme="minorHAnsi" w:eastAsiaTheme="minorEastAsia" w:hAnsiTheme="minorHAnsi" w:cstheme="minorBidi"/>
          <w:kern w:val="2"/>
          <w:sz w:val="24"/>
          <w:szCs w:val="24"/>
          <w14:ligatures w14:val="standardContextual"/>
        </w:rPr>
        <w:tab/>
      </w:r>
      <w:r>
        <w:t>Enabling the UE access to Localized Services</w:t>
      </w:r>
      <w:r>
        <w:tab/>
      </w:r>
      <w:r>
        <w:fldChar w:fldCharType="begin" w:fldLock="1"/>
      </w:r>
      <w:r>
        <w:instrText xml:space="preserve"> PAGEREF _Toc201157941 \h </w:instrText>
      </w:r>
      <w:r>
        <w:fldChar w:fldCharType="separate"/>
      </w:r>
      <w:r>
        <w:t>668</w:t>
      </w:r>
      <w:r>
        <w:fldChar w:fldCharType="end"/>
      </w:r>
    </w:p>
    <w:p w14:paraId="4F29C2D8" w14:textId="7FDB8F84" w:rsidR="006C1B74" w:rsidRDefault="006C1B74">
      <w:pPr>
        <w:pStyle w:val="TOC1"/>
        <w:rPr>
          <w:rFonts w:asciiTheme="minorHAnsi" w:eastAsiaTheme="minorEastAsia" w:hAnsiTheme="minorHAnsi" w:cstheme="minorBidi"/>
          <w:kern w:val="2"/>
          <w:sz w:val="24"/>
          <w:szCs w:val="24"/>
          <w14:ligatures w14:val="standardContextual"/>
        </w:rPr>
      </w:pPr>
      <w:r>
        <w:t>N.5</w:t>
      </w:r>
      <w:r>
        <w:rPr>
          <w:rFonts w:asciiTheme="minorHAnsi" w:eastAsiaTheme="minorEastAsia" w:hAnsiTheme="minorHAnsi" w:cstheme="minorBidi"/>
          <w:kern w:val="2"/>
          <w:sz w:val="24"/>
          <w:szCs w:val="24"/>
          <w14:ligatures w14:val="standardContextual"/>
        </w:rPr>
        <w:tab/>
      </w:r>
      <w:r>
        <w:t>Support for leaving network that provides access to Localized Services</w:t>
      </w:r>
      <w:r>
        <w:tab/>
      </w:r>
      <w:r>
        <w:fldChar w:fldCharType="begin" w:fldLock="1"/>
      </w:r>
      <w:r>
        <w:instrText xml:space="preserve"> PAGEREF _Toc201157942 \h </w:instrText>
      </w:r>
      <w:r>
        <w:fldChar w:fldCharType="separate"/>
      </w:r>
      <w:r>
        <w:t>668</w:t>
      </w:r>
      <w:r>
        <w:fldChar w:fldCharType="end"/>
      </w:r>
    </w:p>
    <w:p w14:paraId="1024CB43" w14:textId="7059F838" w:rsidR="006C1B74" w:rsidRDefault="006C1B74">
      <w:pPr>
        <w:pStyle w:val="TOC1"/>
        <w:rPr>
          <w:rFonts w:asciiTheme="minorHAnsi" w:eastAsiaTheme="minorEastAsia" w:hAnsiTheme="minorHAnsi" w:cstheme="minorBidi"/>
          <w:kern w:val="2"/>
          <w:sz w:val="24"/>
          <w:szCs w:val="24"/>
          <w14:ligatures w14:val="standardContextual"/>
        </w:rPr>
      </w:pPr>
      <w:r>
        <w:t>N.6</w:t>
      </w:r>
      <w:r>
        <w:rPr>
          <w:rFonts w:asciiTheme="minorHAnsi" w:eastAsiaTheme="minorEastAsia" w:hAnsiTheme="minorHAnsi" w:cstheme="minorBidi"/>
          <w:kern w:val="2"/>
          <w:sz w:val="24"/>
          <w:szCs w:val="24"/>
          <w14:ligatures w14:val="standardContextual"/>
        </w:rPr>
        <w:tab/>
      </w:r>
      <w:r>
        <w:t>Configuration of Credentials Holder for determining SNPN selection information</w:t>
      </w:r>
      <w:r>
        <w:tab/>
      </w:r>
      <w:r>
        <w:fldChar w:fldCharType="begin" w:fldLock="1"/>
      </w:r>
      <w:r>
        <w:instrText xml:space="preserve"> PAGEREF _Toc201157943 \h </w:instrText>
      </w:r>
      <w:r>
        <w:fldChar w:fldCharType="separate"/>
      </w:r>
      <w:r>
        <w:t>669</w:t>
      </w:r>
      <w:r>
        <w:fldChar w:fldCharType="end"/>
      </w:r>
    </w:p>
    <w:p w14:paraId="6E96874E" w14:textId="6F8D308B" w:rsidR="006C1B74" w:rsidRDefault="006C1B74">
      <w:pPr>
        <w:pStyle w:val="TOC8"/>
        <w:rPr>
          <w:rFonts w:asciiTheme="minorHAnsi" w:eastAsiaTheme="minorEastAsia" w:hAnsiTheme="minorHAnsi" w:cstheme="minorBidi"/>
          <w:b w:val="0"/>
          <w:kern w:val="2"/>
          <w:sz w:val="24"/>
          <w:szCs w:val="24"/>
          <w14:ligatures w14:val="standardContextual"/>
        </w:rPr>
      </w:pPr>
      <w:r>
        <w:t>Annex O (informative):</w:t>
      </w:r>
      <w:r>
        <w:tab/>
        <w:t>Allowing UE to simultaneously send data to different groups with different QoS policy</w:t>
      </w:r>
      <w:r>
        <w:tab/>
      </w:r>
      <w:r>
        <w:fldChar w:fldCharType="begin" w:fldLock="1"/>
      </w:r>
      <w:r>
        <w:instrText xml:space="preserve"> PAGEREF _Toc201157944 \h </w:instrText>
      </w:r>
      <w:r>
        <w:fldChar w:fldCharType="separate"/>
      </w:r>
      <w:r>
        <w:t>671</w:t>
      </w:r>
      <w:r>
        <w:fldChar w:fldCharType="end"/>
      </w:r>
    </w:p>
    <w:p w14:paraId="1FD19D7F" w14:textId="6D4A8CF9" w:rsidR="006C1B74" w:rsidRDefault="006C1B74">
      <w:pPr>
        <w:pStyle w:val="TOC1"/>
        <w:rPr>
          <w:rFonts w:asciiTheme="minorHAnsi" w:eastAsiaTheme="minorEastAsia" w:hAnsiTheme="minorHAnsi" w:cstheme="minorBidi"/>
          <w:kern w:val="2"/>
          <w:sz w:val="24"/>
          <w:szCs w:val="24"/>
          <w14:ligatures w14:val="standardContextual"/>
        </w:rPr>
      </w:pPr>
      <w:r>
        <w:t>O.1</w:t>
      </w:r>
      <w:r>
        <w:rPr>
          <w:rFonts w:asciiTheme="minorHAnsi" w:eastAsiaTheme="minorEastAsia" w:hAnsiTheme="minorHAnsi" w:cstheme="minorBidi"/>
          <w:kern w:val="2"/>
          <w:sz w:val="24"/>
          <w:szCs w:val="24"/>
          <w14:ligatures w14:val="standardContextual"/>
        </w:rPr>
        <w:tab/>
      </w:r>
      <w:r>
        <w:t>A PDU Session with multiple QoS Flows for different groups</w:t>
      </w:r>
      <w:r>
        <w:tab/>
      </w:r>
      <w:r>
        <w:fldChar w:fldCharType="begin" w:fldLock="1"/>
      </w:r>
      <w:r>
        <w:instrText xml:space="preserve"> PAGEREF _Toc201157945 \h </w:instrText>
      </w:r>
      <w:r>
        <w:fldChar w:fldCharType="separate"/>
      </w:r>
      <w:r>
        <w:t>671</w:t>
      </w:r>
      <w:r>
        <w:fldChar w:fldCharType="end"/>
      </w:r>
    </w:p>
    <w:p w14:paraId="4793C2D0" w14:textId="1AA7EB9C" w:rsidR="006C1B74" w:rsidRDefault="006C1B74">
      <w:pPr>
        <w:pStyle w:val="TOC1"/>
        <w:rPr>
          <w:rFonts w:asciiTheme="minorHAnsi" w:eastAsiaTheme="minorEastAsia" w:hAnsiTheme="minorHAnsi" w:cstheme="minorBidi"/>
          <w:kern w:val="2"/>
          <w:sz w:val="24"/>
          <w:szCs w:val="24"/>
          <w14:ligatures w14:val="standardContextual"/>
        </w:rPr>
      </w:pPr>
      <w:r>
        <w:t>O.2</w:t>
      </w:r>
      <w:r>
        <w:rPr>
          <w:rFonts w:asciiTheme="minorHAnsi" w:eastAsiaTheme="minorEastAsia" w:hAnsiTheme="minorHAnsi" w:cstheme="minorBidi"/>
          <w:kern w:val="2"/>
          <w:sz w:val="24"/>
          <w:szCs w:val="24"/>
          <w14:ligatures w14:val="standardContextual"/>
        </w:rPr>
        <w:tab/>
      </w:r>
      <w:r>
        <w:t>Multiple PDU Sessions for different groups</w:t>
      </w:r>
      <w:r>
        <w:tab/>
      </w:r>
      <w:r>
        <w:fldChar w:fldCharType="begin" w:fldLock="1"/>
      </w:r>
      <w:r>
        <w:instrText xml:space="preserve"> PAGEREF _Toc201157946 \h </w:instrText>
      </w:r>
      <w:r>
        <w:fldChar w:fldCharType="separate"/>
      </w:r>
      <w:r>
        <w:t>672</w:t>
      </w:r>
      <w:r>
        <w:fldChar w:fldCharType="end"/>
      </w:r>
    </w:p>
    <w:p w14:paraId="0AA58FD0" w14:textId="6A81552D" w:rsidR="006C1B74" w:rsidRDefault="006C1B74">
      <w:pPr>
        <w:pStyle w:val="TOC1"/>
        <w:rPr>
          <w:rFonts w:asciiTheme="minorHAnsi" w:eastAsiaTheme="minorEastAsia" w:hAnsiTheme="minorHAnsi" w:cstheme="minorBidi"/>
          <w:kern w:val="2"/>
          <w:sz w:val="24"/>
          <w:szCs w:val="24"/>
          <w14:ligatures w14:val="standardContextual"/>
        </w:rPr>
      </w:pPr>
      <w:r>
        <w:t>O.3</w:t>
      </w:r>
      <w:r>
        <w:rPr>
          <w:rFonts w:asciiTheme="minorHAnsi" w:eastAsiaTheme="minorEastAsia" w:hAnsiTheme="minorHAnsi" w:cstheme="minorBidi"/>
          <w:kern w:val="2"/>
          <w:sz w:val="24"/>
          <w:szCs w:val="24"/>
          <w14:ligatures w14:val="standardContextual"/>
        </w:rPr>
        <w:tab/>
      </w:r>
      <w:r>
        <w:t>A PDU Session targeting a predefined group formed of multiple sub-groups</w:t>
      </w:r>
      <w:r>
        <w:tab/>
      </w:r>
      <w:r>
        <w:fldChar w:fldCharType="begin" w:fldLock="1"/>
      </w:r>
      <w:r>
        <w:instrText xml:space="preserve"> PAGEREF _Toc201157947 \h </w:instrText>
      </w:r>
      <w:r>
        <w:fldChar w:fldCharType="separate"/>
      </w:r>
      <w:r>
        <w:t>673</w:t>
      </w:r>
      <w:r>
        <w:fldChar w:fldCharType="end"/>
      </w:r>
    </w:p>
    <w:p w14:paraId="0C8AE7C5" w14:textId="1E6AF665" w:rsidR="006C1B74" w:rsidRDefault="006C1B74">
      <w:pPr>
        <w:pStyle w:val="TOC8"/>
        <w:rPr>
          <w:rFonts w:asciiTheme="minorHAnsi" w:eastAsiaTheme="minorEastAsia" w:hAnsiTheme="minorHAnsi" w:cstheme="minorBidi"/>
          <w:b w:val="0"/>
          <w:kern w:val="2"/>
          <w:sz w:val="24"/>
          <w:szCs w:val="24"/>
          <w14:ligatures w14:val="standardContextual"/>
        </w:rPr>
      </w:pPr>
      <w:r>
        <w:t>Annex P (informative):</w:t>
      </w:r>
      <w:r>
        <w:tab/>
        <w:t>Personal IoT Networks</w:t>
      </w:r>
      <w:r>
        <w:tab/>
      </w:r>
      <w:r>
        <w:fldChar w:fldCharType="begin" w:fldLock="1"/>
      </w:r>
      <w:r>
        <w:instrText xml:space="preserve"> PAGEREF _Toc201157948 \h </w:instrText>
      </w:r>
      <w:r>
        <w:fldChar w:fldCharType="separate"/>
      </w:r>
      <w:r>
        <w:t>675</w:t>
      </w:r>
      <w:r>
        <w:fldChar w:fldCharType="end"/>
      </w:r>
    </w:p>
    <w:p w14:paraId="47EA35CD" w14:textId="5D9EADA2" w:rsidR="006C1B74" w:rsidRDefault="006C1B74">
      <w:pPr>
        <w:pStyle w:val="TOC1"/>
        <w:rPr>
          <w:rFonts w:asciiTheme="minorHAnsi" w:eastAsiaTheme="minorEastAsia" w:hAnsiTheme="minorHAnsi" w:cstheme="minorBidi"/>
          <w:kern w:val="2"/>
          <w:sz w:val="24"/>
          <w:szCs w:val="24"/>
          <w14:ligatures w14:val="standardContextual"/>
        </w:rPr>
      </w:pPr>
      <w:r>
        <w:t>P.1</w:t>
      </w:r>
      <w:r>
        <w:rPr>
          <w:rFonts w:asciiTheme="minorHAnsi" w:eastAsiaTheme="minorEastAsia" w:hAnsiTheme="minorHAnsi" w:cstheme="minorBidi"/>
          <w:kern w:val="2"/>
          <w:sz w:val="24"/>
          <w:szCs w:val="24"/>
          <w14:ligatures w14:val="standardContextual"/>
        </w:rPr>
        <w:tab/>
      </w:r>
      <w:r>
        <w:t>PIN Reference Architecture</w:t>
      </w:r>
      <w:r>
        <w:tab/>
      </w:r>
      <w:r>
        <w:fldChar w:fldCharType="begin" w:fldLock="1"/>
      </w:r>
      <w:r>
        <w:instrText xml:space="preserve"> PAGEREF _Toc201157949 \h </w:instrText>
      </w:r>
      <w:r>
        <w:fldChar w:fldCharType="separate"/>
      </w:r>
      <w:r>
        <w:t>675</w:t>
      </w:r>
      <w:r>
        <w:fldChar w:fldCharType="end"/>
      </w:r>
    </w:p>
    <w:p w14:paraId="7F1ECD04" w14:textId="12FD4823" w:rsidR="006C1B74" w:rsidRDefault="006C1B74">
      <w:pPr>
        <w:pStyle w:val="TOC1"/>
        <w:rPr>
          <w:rFonts w:asciiTheme="minorHAnsi" w:eastAsiaTheme="minorEastAsia" w:hAnsiTheme="minorHAnsi" w:cstheme="minorBidi"/>
          <w:kern w:val="2"/>
          <w:sz w:val="24"/>
          <w:szCs w:val="24"/>
          <w14:ligatures w14:val="standardContextual"/>
        </w:rPr>
      </w:pPr>
      <w:r>
        <w:t>P.2</w:t>
      </w:r>
      <w:r>
        <w:rPr>
          <w:rFonts w:asciiTheme="minorHAnsi" w:eastAsiaTheme="minorEastAsia" w:hAnsiTheme="minorHAnsi" w:cstheme="minorBidi"/>
          <w:kern w:val="2"/>
          <w:sz w:val="24"/>
          <w:szCs w:val="24"/>
          <w14:ligatures w14:val="standardContextual"/>
        </w:rPr>
        <w:tab/>
      </w:r>
      <w:r>
        <w:t>Session management and traffic routing for PIN</w:t>
      </w:r>
      <w:r>
        <w:tab/>
      </w:r>
      <w:r>
        <w:fldChar w:fldCharType="begin" w:fldLock="1"/>
      </w:r>
      <w:r>
        <w:instrText xml:space="preserve"> PAGEREF _Toc201157950 \h </w:instrText>
      </w:r>
      <w:r>
        <w:fldChar w:fldCharType="separate"/>
      </w:r>
      <w:r>
        <w:t>675</w:t>
      </w:r>
      <w:r>
        <w:fldChar w:fldCharType="end"/>
      </w:r>
    </w:p>
    <w:p w14:paraId="5BAC0099" w14:textId="7B5632BA" w:rsidR="006C1B74" w:rsidRDefault="006C1B74">
      <w:pPr>
        <w:pStyle w:val="TOC8"/>
        <w:rPr>
          <w:rFonts w:asciiTheme="minorHAnsi" w:eastAsiaTheme="minorEastAsia" w:hAnsiTheme="minorHAnsi" w:cstheme="minorBidi"/>
          <w:b w:val="0"/>
          <w:kern w:val="2"/>
          <w:sz w:val="24"/>
          <w:szCs w:val="24"/>
          <w14:ligatures w14:val="standardContextual"/>
        </w:rPr>
      </w:pPr>
      <w:r>
        <w:t>Annex Q (informative):</w:t>
      </w:r>
      <w:r>
        <w:tab/>
        <w:t>Satellite coverage availability information</w:t>
      </w:r>
      <w:r>
        <w:tab/>
      </w:r>
      <w:r>
        <w:fldChar w:fldCharType="begin" w:fldLock="1"/>
      </w:r>
      <w:r>
        <w:instrText xml:space="preserve"> PAGEREF _Toc201157951 \h </w:instrText>
      </w:r>
      <w:r>
        <w:fldChar w:fldCharType="separate"/>
      </w:r>
      <w:r>
        <w:t>677</w:t>
      </w:r>
      <w:r>
        <w:fldChar w:fldCharType="end"/>
      </w:r>
    </w:p>
    <w:p w14:paraId="709FC805" w14:textId="512DA8AE" w:rsidR="006C1B74" w:rsidRDefault="006C1B74">
      <w:pPr>
        <w:pStyle w:val="TOC8"/>
        <w:rPr>
          <w:rFonts w:asciiTheme="minorHAnsi" w:eastAsiaTheme="minorEastAsia" w:hAnsiTheme="minorHAnsi" w:cstheme="minorBidi"/>
          <w:b w:val="0"/>
          <w:kern w:val="2"/>
          <w:sz w:val="24"/>
          <w:szCs w:val="24"/>
          <w14:ligatures w14:val="standardContextual"/>
        </w:rPr>
      </w:pPr>
      <w:r>
        <w:t>Annex R (informative):</w:t>
      </w:r>
      <w:r>
        <w:tab/>
        <w:t>Change history</w:t>
      </w:r>
      <w:r>
        <w:tab/>
      </w:r>
      <w:r>
        <w:fldChar w:fldCharType="begin" w:fldLock="1"/>
      </w:r>
      <w:r>
        <w:instrText xml:space="preserve"> PAGEREF _Toc201157952 \h </w:instrText>
      </w:r>
      <w:r>
        <w:fldChar w:fldCharType="separate"/>
      </w:r>
      <w:r>
        <w:t>678</w:t>
      </w:r>
      <w:r>
        <w:fldChar w:fldCharType="end"/>
      </w:r>
    </w:p>
    <w:p w14:paraId="5B6892B9" w14:textId="3CC94ADF" w:rsidR="00D40151" w:rsidRPr="00873B6C" w:rsidRDefault="00FA1F66" w:rsidP="00D40151">
      <w:r w:rsidRPr="00873B6C">
        <w:rPr>
          <w:noProof/>
          <w:sz w:val="22"/>
        </w:rPr>
        <w:fldChar w:fldCharType="end"/>
      </w:r>
    </w:p>
    <w:p w14:paraId="55D1B253" w14:textId="77777777" w:rsidR="00D40151" w:rsidRPr="00873B6C" w:rsidRDefault="00D40151" w:rsidP="00D40151"/>
    <w:p w14:paraId="68B3024D" w14:textId="77777777" w:rsidR="00D40151" w:rsidRPr="00873B6C" w:rsidRDefault="00D40151" w:rsidP="00D40151">
      <w:pPr>
        <w:pStyle w:val="Heading1"/>
      </w:pPr>
      <w:bookmarkStart w:id="8" w:name="_CRForeword"/>
      <w:bookmarkEnd w:id="8"/>
      <w:r w:rsidRPr="00873B6C">
        <w:br w:type="page"/>
      </w:r>
      <w:bookmarkStart w:id="9" w:name="_Toc20149622"/>
      <w:bookmarkStart w:id="10" w:name="_Toc27846413"/>
      <w:bookmarkStart w:id="11" w:name="_Toc36187537"/>
      <w:bookmarkStart w:id="12" w:name="_Toc45183441"/>
      <w:bookmarkStart w:id="13" w:name="_Toc47342283"/>
      <w:bookmarkStart w:id="14" w:name="_Toc51768981"/>
      <w:bookmarkStart w:id="15" w:name="_Toc201156894"/>
      <w:r w:rsidRPr="00873B6C">
        <w:lastRenderedPageBreak/>
        <w:t>Foreword</w:t>
      </w:r>
      <w:bookmarkEnd w:id="9"/>
      <w:bookmarkEnd w:id="10"/>
      <w:bookmarkEnd w:id="11"/>
      <w:bookmarkEnd w:id="12"/>
      <w:bookmarkEnd w:id="13"/>
      <w:bookmarkEnd w:id="14"/>
      <w:bookmarkEnd w:id="15"/>
    </w:p>
    <w:p w14:paraId="366C303F" w14:textId="77777777" w:rsidR="00D40151" w:rsidRPr="00873B6C" w:rsidRDefault="00D40151" w:rsidP="00D40151">
      <w:r w:rsidRPr="00873B6C">
        <w:t>This Technical Specification has been produced by the 3rd Generation Partnership Project (3GPP).</w:t>
      </w:r>
    </w:p>
    <w:p w14:paraId="6F83A66B" w14:textId="77777777" w:rsidR="00D40151" w:rsidRPr="00873B6C" w:rsidRDefault="00D40151" w:rsidP="00D40151">
      <w:r w:rsidRPr="00873B6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873B6C" w:rsidRDefault="00D40151" w:rsidP="00D40151">
      <w:pPr>
        <w:pStyle w:val="B1"/>
        <w:rPr>
          <w:noProof/>
        </w:rPr>
      </w:pPr>
      <w:r w:rsidRPr="00873B6C">
        <w:rPr>
          <w:noProof/>
        </w:rPr>
        <w:t>Version x.y.z</w:t>
      </w:r>
    </w:p>
    <w:p w14:paraId="5B59629E" w14:textId="77777777" w:rsidR="00D40151" w:rsidRPr="00873B6C" w:rsidRDefault="00D40151" w:rsidP="00D40151">
      <w:pPr>
        <w:pStyle w:val="B1"/>
      </w:pPr>
      <w:r w:rsidRPr="00873B6C">
        <w:t>where:</w:t>
      </w:r>
    </w:p>
    <w:p w14:paraId="0F292A28" w14:textId="77777777" w:rsidR="00D40151" w:rsidRPr="00873B6C" w:rsidRDefault="00D40151" w:rsidP="00D40151">
      <w:pPr>
        <w:pStyle w:val="B2"/>
      </w:pPr>
      <w:r w:rsidRPr="00873B6C">
        <w:t>x</w:t>
      </w:r>
      <w:r w:rsidRPr="00873B6C">
        <w:tab/>
        <w:t>the first digit:</w:t>
      </w:r>
    </w:p>
    <w:p w14:paraId="39430371" w14:textId="77777777" w:rsidR="00D40151" w:rsidRPr="00873B6C" w:rsidRDefault="00D40151" w:rsidP="00D40151">
      <w:pPr>
        <w:pStyle w:val="B3"/>
      </w:pPr>
      <w:r w:rsidRPr="00873B6C">
        <w:t>1</w:t>
      </w:r>
      <w:r w:rsidRPr="00873B6C">
        <w:tab/>
        <w:t>presented to TSG for information;</w:t>
      </w:r>
    </w:p>
    <w:p w14:paraId="5AE7E7C2" w14:textId="77777777" w:rsidR="00D40151" w:rsidRPr="00873B6C" w:rsidRDefault="00D40151" w:rsidP="00D40151">
      <w:pPr>
        <w:pStyle w:val="B3"/>
      </w:pPr>
      <w:r w:rsidRPr="00873B6C">
        <w:t>2</w:t>
      </w:r>
      <w:r w:rsidRPr="00873B6C">
        <w:tab/>
        <w:t>presented to TSG for approval;</w:t>
      </w:r>
    </w:p>
    <w:p w14:paraId="0DB2D1ED" w14:textId="77777777" w:rsidR="00D40151" w:rsidRPr="00873B6C" w:rsidRDefault="00D40151" w:rsidP="00D40151">
      <w:pPr>
        <w:pStyle w:val="B3"/>
      </w:pPr>
      <w:r w:rsidRPr="00873B6C">
        <w:t>3</w:t>
      </w:r>
      <w:r w:rsidRPr="00873B6C">
        <w:tab/>
        <w:t>or greater indicates TSG approved document under change control.</w:t>
      </w:r>
    </w:p>
    <w:p w14:paraId="202C1969" w14:textId="77777777" w:rsidR="00D40151" w:rsidRPr="00873B6C" w:rsidRDefault="00D40151" w:rsidP="00D40151">
      <w:pPr>
        <w:pStyle w:val="B2"/>
      </w:pPr>
      <w:r w:rsidRPr="00873B6C">
        <w:t>y</w:t>
      </w:r>
      <w:r w:rsidRPr="00873B6C">
        <w:tab/>
        <w:t>the second digit is incremented for all changes of substance, i.e. technical enhancements, corrections, updates, etc.</w:t>
      </w:r>
    </w:p>
    <w:p w14:paraId="56D7A058" w14:textId="77777777" w:rsidR="00D40151" w:rsidRPr="00873B6C" w:rsidRDefault="00D40151" w:rsidP="00D40151">
      <w:pPr>
        <w:pStyle w:val="B2"/>
      </w:pPr>
      <w:r w:rsidRPr="00873B6C">
        <w:t>z</w:t>
      </w:r>
      <w:r w:rsidRPr="00873B6C">
        <w:tab/>
        <w:t>the third digit is incremented when editorial only changes have been incorporated in the document.</w:t>
      </w:r>
    </w:p>
    <w:p w14:paraId="292F2996" w14:textId="77777777" w:rsidR="00D40151" w:rsidRPr="00873B6C" w:rsidRDefault="00D40151" w:rsidP="00D40151">
      <w:pPr>
        <w:pStyle w:val="Heading1"/>
      </w:pPr>
      <w:bookmarkStart w:id="16" w:name="_CR1"/>
      <w:bookmarkEnd w:id="16"/>
      <w:r w:rsidRPr="00873B6C">
        <w:br w:type="page"/>
      </w:r>
      <w:bookmarkStart w:id="17" w:name="_Toc20149623"/>
      <w:bookmarkStart w:id="18" w:name="_Toc27846414"/>
      <w:bookmarkStart w:id="19" w:name="_Toc36187538"/>
      <w:bookmarkStart w:id="20" w:name="_Toc45183442"/>
      <w:bookmarkStart w:id="21" w:name="_Toc47342284"/>
      <w:bookmarkStart w:id="22" w:name="_Toc51768982"/>
      <w:bookmarkStart w:id="23" w:name="_Toc201156895"/>
      <w:r w:rsidRPr="00873B6C">
        <w:lastRenderedPageBreak/>
        <w:t>1</w:t>
      </w:r>
      <w:r w:rsidRPr="00873B6C">
        <w:tab/>
        <w:t>Scope</w:t>
      </w:r>
      <w:bookmarkEnd w:id="17"/>
      <w:bookmarkEnd w:id="18"/>
      <w:bookmarkEnd w:id="19"/>
      <w:bookmarkEnd w:id="20"/>
      <w:bookmarkEnd w:id="21"/>
      <w:bookmarkEnd w:id="22"/>
      <w:bookmarkEnd w:id="23"/>
    </w:p>
    <w:p w14:paraId="115B1C43" w14:textId="77777777" w:rsidR="00D40151" w:rsidRPr="00873B6C" w:rsidRDefault="00D40151" w:rsidP="00D40151">
      <w:r w:rsidRPr="00873B6C">
        <w:t>The present document defines the Stage 2 system architecture for the 5G System. The 5G System provides data connectivity and services.</w:t>
      </w:r>
    </w:p>
    <w:p w14:paraId="6F57F5BA" w14:textId="77777777" w:rsidR="00D40151" w:rsidRPr="00873B6C" w:rsidRDefault="00D40151" w:rsidP="00D40151">
      <w:r w:rsidRPr="00873B6C">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053A7BF4" w:rsidR="00D40151" w:rsidRPr="00873B6C" w:rsidRDefault="00D40151" w:rsidP="00D40151">
      <w:r w:rsidRPr="00873B6C">
        <w:t>ITU</w:t>
      </w:r>
      <w:r w:rsidRPr="00873B6C">
        <w:noBreakHyphen/>
        <w:t>T Recommendation I.130 [11] describes a three-stage method for characterisation of telecommunication services</w:t>
      </w:r>
      <w:r w:rsidR="00472CD7" w:rsidRPr="00873B6C">
        <w:t xml:space="preserve"> and</w:t>
      </w:r>
      <w:r w:rsidRPr="00873B6C">
        <w:t xml:space="preserve"> ITU</w:t>
      </w:r>
      <w:r w:rsidRPr="00873B6C">
        <w:noBreakHyphen/>
        <w:t>T Recommendation Q.65 [12] defines Stage 2 of the method.</w:t>
      </w:r>
    </w:p>
    <w:p w14:paraId="2F2533AA" w14:textId="77777777" w:rsidR="00D40151" w:rsidRPr="00873B6C" w:rsidRDefault="00D40151" w:rsidP="00D40151">
      <w:r w:rsidRPr="00873B6C">
        <w:t>TS 23.502 [3] contains the stage 2 procedures and flows for 5G System and it is a companion specification to this specification.</w:t>
      </w:r>
    </w:p>
    <w:p w14:paraId="413BC4CB" w14:textId="77777777" w:rsidR="00D40151" w:rsidRPr="00873B6C" w:rsidRDefault="00D40151" w:rsidP="00D40151">
      <w:r w:rsidRPr="00873B6C">
        <w:t>TS 23.503 [45] contains the stage 2 Policy Control and Charging architecture for 5G System and it is a companion specification to this specification.</w:t>
      </w:r>
    </w:p>
    <w:p w14:paraId="2CF976E4" w14:textId="77777777" w:rsidR="00D40151" w:rsidRPr="00873B6C" w:rsidRDefault="00D40151" w:rsidP="00D40151">
      <w:pPr>
        <w:pStyle w:val="Heading1"/>
      </w:pPr>
      <w:bookmarkStart w:id="24" w:name="_CR2"/>
      <w:bookmarkStart w:id="25" w:name="_Toc20149624"/>
      <w:bookmarkStart w:id="26" w:name="_Toc27846415"/>
      <w:bookmarkStart w:id="27" w:name="_Toc36187539"/>
      <w:bookmarkStart w:id="28" w:name="_Toc45183443"/>
      <w:bookmarkStart w:id="29" w:name="_Toc47342285"/>
      <w:bookmarkStart w:id="30" w:name="_Toc51768983"/>
      <w:bookmarkStart w:id="31" w:name="_Toc201156896"/>
      <w:bookmarkEnd w:id="24"/>
      <w:r w:rsidRPr="00873B6C">
        <w:t>2</w:t>
      </w:r>
      <w:r w:rsidRPr="00873B6C">
        <w:tab/>
        <w:t>References</w:t>
      </w:r>
      <w:bookmarkEnd w:id="25"/>
      <w:bookmarkEnd w:id="26"/>
      <w:bookmarkEnd w:id="27"/>
      <w:bookmarkEnd w:id="28"/>
      <w:bookmarkEnd w:id="29"/>
      <w:bookmarkEnd w:id="30"/>
      <w:bookmarkEnd w:id="31"/>
    </w:p>
    <w:p w14:paraId="7952C5D1" w14:textId="77777777" w:rsidR="00D40151" w:rsidRPr="00873B6C" w:rsidRDefault="00D40151" w:rsidP="00D40151">
      <w:r w:rsidRPr="00873B6C">
        <w:t>The following documents contain provisions which, through reference in this text, constitute provisions of the present document.</w:t>
      </w:r>
    </w:p>
    <w:p w14:paraId="777BDD95" w14:textId="77777777" w:rsidR="00D40151" w:rsidRPr="00873B6C" w:rsidRDefault="00D40151" w:rsidP="00D40151">
      <w:pPr>
        <w:pStyle w:val="B1"/>
      </w:pPr>
      <w:r w:rsidRPr="00873B6C">
        <w:t>-</w:t>
      </w:r>
      <w:r w:rsidRPr="00873B6C">
        <w:tab/>
        <w:t>References are either specific (identified by date of publication, edition number, version number, etc.) or non</w:t>
      </w:r>
      <w:r w:rsidRPr="00873B6C">
        <w:noBreakHyphen/>
        <w:t>specific.</w:t>
      </w:r>
    </w:p>
    <w:p w14:paraId="65F0844E" w14:textId="77777777" w:rsidR="00D40151" w:rsidRPr="00873B6C" w:rsidRDefault="00D40151" w:rsidP="00D40151">
      <w:pPr>
        <w:pStyle w:val="B1"/>
      </w:pPr>
      <w:r w:rsidRPr="00873B6C">
        <w:t>-</w:t>
      </w:r>
      <w:r w:rsidRPr="00873B6C">
        <w:tab/>
        <w:t>For a specific reference, subsequent revisions do not apply.</w:t>
      </w:r>
    </w:p>
    <w:p w14:paraId="571082D2" w14:textId="77777777" w:rsidR="00D40151" w:rsidRPr="00873B6C" w:rsidRDefault="00D40151" w:rsidP="00D40151">
      <w:pPr>
        <w:pStyle w:val="B1"/>
      </w:pPr>
      <w:r w:rsidRPr="00873B6C">
        <w:t>-</w:t>
      </w:r>
      <w:r w:rsidRPr="00873B6C">
        <w:tab/>
        <w:t>For a non-specific reference, the latest version applies. In the case of a reference to a 3GPP document (including a GSM document), a non-specific reference implicitly refers to the latest version of that document</w:t>
      </w:r>
      <w:r w:rsidRPr="00873B6C">
        <w:rPr>
          <w:i/>
        </w:rPr>
        <w:t xml:space="preserve"> in the same Release as the present document</w:t>
      </w:r>
      <w:r w:rsidRPr="00873B6C">
        <w:t>.</w:t>
      </w:r>
    </w:p>
    <w:p w14:paraId="2F778E01" w14:textId="324D0E6C" w:rsidR="00D40151" w:rsidRPr="00873B6C" w:rsidRDefault="00D40151" w:rsidP="00D40151">
      <w:pPr>
        <w:pStyle w:val="EX"/>
      </w:pPr>
      <w:r w:rsidRPr="00873B6C">
        <w:t>[1]</w:t>
      </w:r>
      <w:r w:rsidRPr="00873B6C">
        <w:tab/>
      </w:r>
      <w:r w:rsidR="00972E70" w:rsidRPr="00873B6C">
        <w:t>3GPP TR 21.905:</w:t>
      </w:r>
      <w:r w:rsidRPr="00873B6C">
        <w:t xml:space="preserve"> "Vocabulary for 3GPP Specifications".</w:t>
      </w:r>
    </w:p>
    <w:p w14:paraId="188F7C6E" w14:textId="351A0DD8" w:rsidR="00D40151" w:rsidRPr="00873B6C" w:rsidRDefault="00D40151" w:rsidP="00D40151">
      <w:pPr>
        <w:pStyle w:val="EX"/>
      </w:pPr>
      <w:r w:rsidRPr="00873B6C">
        <w:t>[2]</w:t>
      </w:r>
      <w:r w:rsidRPr="00873B6C">
        <w:tab/>
      </w:r>
      <w:r w:rsidR="00972E70" w:rsidRPr="00873B6C">
        <w:t>3GPP TS 22.261:</w:t>
      </w:r>
      <w:r w:rsidRPr="00873B6C">
        <w:t xml:space="preserve"> "Service requirements for next generation new services and markets; Stage 1".</w:t>
      </w:r>
    </w:p>
    <w:p w14:paraId="53A5470D" w14:textId="43C70830" w:rsidR="00D40151" w:rsidRPr="00873B6C" w:rsidRDefault="00D40151" w:rsidP="00D40151">
      <w:pPr>
        <w:pStyle w:val="EX"/>
      </w:pPr>
      <w:r w:rsidRPr="00873B6C">
        <w:t>[</w:t>
      </w:r>
      <w:r w:rsidRPr="00873B6C">
        <w:rPr>
          <w:noProof/>
        </w:rPr>
        <w:t>3</w:t>
      </w:r>
      <w:r w:rsidRPr="00873B6C">
        <w:t>]</w:t>
      </w:r>
      <w:r w:rsidRPr="00873B6C">
        <w:tab/>
      </w:r>
      <w:r w:rsidR="00972E70" w:rsidRPr="00873B6C">
        <w:t>3GPP TS 23.502:</w:t>
      </w:r>
      <w:r w:rsidRPr="00873B6C">
        <w:t xml:space="preserve"> "Procedures for the 5G System; Stage 2".</w:t>
      </w:r>
    </w:p>
    <w:p w14:paraId="06A39551" w14:textId="7B1C86AF" w:rsidR="00D40151" w:rsidRPr="00873B6C" w:rsidRDefault="00D40151" w:rsidP="00D40151">
      <w:pPr>
        <w:pStyle w:val="EX"/>
      </w:pPr>
      <w:r w:rsidRPr="00873B6C">
        <w:t>[</w:t>
      </w:r>
      <w:r w:rsidRPr="00873B6C">
        <w:rPr>
          <w:noProof/>
        </w:rPr>
        <w:t>4</w:t>
      </w:r>
      <w:r w:rsidRPr="00873B6C">
        <w:t>]</w:t>
      </w:r>
      <w:r w:rsidRPr="00873B6C">
        <w:tab/>
      </w:r>
      <w:r w:rsidR="00972E70" w:rsidRPr="00873B6C">
        <w:t>3GPP TS 23.203:</w:t>
      </w:r>
      <w:r w:rsidRPr="00873B6C">
        <w:t xml:space="preserve"> "Policies and Charging control architecture; Stage 2".</w:t>
      </w:r>
    </w:p>
    <w:p w14:paraId="4CA404DD" w14:textId="573F1711" w:rsidR="00D40151" w:rsidRPr="00873B6C" w:rsidRDefault="00D40151" w:rsidP="00D40151">
      <w:pPr>
        <w:pStyle w:val="EX"/>
      </w:pPr>
      <w:r w:rsidRPr="00873B6C">
        <w:t>[</w:t>
      </w:r>
      <w:r w:rsidRPr="00873B6C">
        <w:rPr>
          <w:noProof/>
        </w:rPr>
        <w:t>5</w:t>
      </w:r>
      <w:r w:rsidRPr="00873B6C">
        <w:t>]</w:t>
      </w:r>
      <w:r w:rsidRPr="00873B6C">
        <w:tab/>
      </w:r>
      <w:r w:rsidR="00972E70" w:rsidRPr="00873B6C">
        <w:t>3GPP TS 23.040:</w:t>
      </w:r>
      <w:r w:rsidRPr="00873B6C">
        <w:t xml:space="preserve"> "Technical realization of the Short Message Service (SMS); Stage 2".</w:t>
      </w:r>
    </w:p>
    <w:p w14:paraId="4B5B7437" w14:textId="4F1390CE" w:rsidR="00D40151" w:rsidRPr="00873B6C" w:rsidRDefault="00D40151" w:rsidP="00D40151">
      <w:pPr>
        <w:pStyle w:val="EX"/>
      </w:pPr>
      <w:r w:rsidRPr="00873B6C">
        <w:t>[6]</w:t>
      </w:r>
      <w:r w:rsidRPr="00873B6C">
        <w:tab/>
      </w:r>
      <w:r w:rsidR="00972E70" w:rsidRPr="00873B6C">
        <w:t>3GPP TS 24.011:</w:t>
      </w:r>
      <w:r w:rsidRPr="00873B6C">
        <w:t xml:space="preserve"> "Point-to-Point (PP) Short Message Service (SMS) support on mobile radio interface: Stage 3".</w:t>
      </w:r>
    </w:p>
    <w:p w14:paraId="0E864B55" w14:textId="77777777" w:rsidR="00D40151" w:rsidRPr="00873B6C" w:rsidRDefault="00D40151" w:rsidP="00D40151">
      <w:pPr>
        <w:pStyle w:val="EX"/>
      </w:pPr>
      <w:r w:rsidRPr="00873B6C">
        <w:t>[7]</w:t>
      </w:r>
      <w:r w:rsidRPr="00873B6C">
        <w:tab/>
        <w:t>IETF RFC 7157: "IPv6 Multihoming without Network Address Translation".</w:t>
      </w:r>
    </w:p>
    <w:p w14:paraId="5104BE31" w14:textId="77777777" w:rsidR="00D40151" w:rsidRPr="00873B6C" w:rsidRDefault="00D40151" w:rsidP="00D40151">
      <w:pPr>
        <w:pStyle w:val="EX"/>
      </w:pPr>
      <w:r w:rsidRPr="00873B6C">
        <w:t>[8]</w:t>
      </w:r>
      <w:r w:rsidRPr="00873B6C">
        <w:tab/>
        <w:t>IETF RFC 4191: "Default Router Preferences and More-Specific Routes".</w:t>
      </w:r>
    </w:p>
    <w:p w14:paraId="3E012E20" w14:textId="77777777" w:rsidR="00D40151" w:rsidRPr="00873B6C" w:rsidRDefault="00D40151" w:rsidP="00D40151">
      <w:pPr>
        <w:pStyle w:val="EX"/>
      </w:pPr>
      <w:r w:rsidRPr="00873B6C">
        <w:t>[9]</w:t>
      </w:r>
      <w:r w:rsidRPr="00873B6C">
        <w:tab/>
        <w:t>IETF RFC 2131: "Dynamic Host Configuration Protocol".</w:t>
      </w:r>
    </w:p>
    <w:p w14:paraId="4E5350AC" w14:textId="77777777" w:rsidR="00D40151" w:rsidRPr="00873B6C" w:rsidRDefault="00D40151" w:rsidP="00D40151">
      <w:pPr>
        <w:pStyle w:val="EX"/>
      </w:pPr>
      <w:r w:rsidRPr="00873B6C">
        <w:t>[10]</w:t>
      </w:r>
      <w:r w:rsidRPr="00873B6C">
        <w:tab/>
        <w:t>IETF RFC 4862: "IPv6 Stateless Address Autoconfiguration".</w:t>
      </w:r>
    </w:p>
    <w:p w14:paraId="6D4AC886" w14:textId="77777777" w:rsidR="00D40151" w:rsidRPr="00873B6C" w:rsidRDefault="00D40151" w:rsidP="00D40151">
      <w:pPr>
        <w:pStyle w:val="EX"/>
      </w:pPr>
      <w:r w:rsidRPr="00873B6C">
        <w:t>[11]</w:t>
      </w:r>
      <w:r w:rsidRPr="00873B6C">
        <w:tab/>
        <w:t>ITU</w:t>
      </w:r>
      <w:r w:rsidRPr="00873B6C">
        <w:noBreakHyphen/>
        <w:t>T Recommendation I.130: "Method for the characterization of telecommunication services supported by an ISDN and network capabilities of an ISDN".</w:t>
      </w:r>
    </w:p>
    <w:p w14:paraId="68FBA80D" w14:textId="77777777" w:rsidR="00D40151" w:rsidRPr="00873B6C" w:rsidRDefault="00D40151" w:rsidP="00D40151">
      <w:pPr>
        <w:pStyle w:val="EX"/>
      </w:pPr>
      <w:r w:rsidRPr="00873B6C">
        <w:t>[12]</w:t>
      </w:r>
      <w:r w:rsidRPr="00873B6C">
        <w:tab/>
        <w:t>ITU</w:t>
      </w:r>
      <w:r w:rsidRPr="00873B6C">
        <w:noBreakHyphen/>
        <w:t>T Recommendation Q.65: "The unified functional methodology for the characterization of services and network capabilities".</w:t>
      </w:r>
    </w:p>
    <w:p w14:paraId="196ADFCE" w14:textId="2877BD58" w:rsidR="00D40151" w:rsidRPr="00873B6C" w:rsidRDefault="00D40151" w:rsidP="00D40151">
      <w:pPr>
        <w:pStyle w:val="EX"/>
      </w:pPr>
      <w:r w:rsidRPr="00873B6C">
        <w:t>[13]</w:t>
      </w:r>
      <w:r w:rsidRPr="00873B6C">
        <w:tab/>
      </w:r>
      <w:r w:rsidR="00972E70" w:rsidRPr="00873B6C">
        <w:t>3GPP TS 24.301:</w:t>
      </w:r>
      <w:r w:rsidRPr="00873B6C">
        <w:t xml:space="preserve"> "Non-Access-Stratum (NAS) protocol for Evolved Packet System (EPS): Stage 3".</w:t>
      </w:r>
    </w:p>
    <w:p w14:paraId="34189696" w14:textId="38E0CA95" w:rsidR="00D40151" w:rsidRPr="00873B6C" w:rsidRDefault="00D40151" w:rsidP="00D40151">
      <w:pPr>
        <w:pStyle w:val="EX"/>
      </w:pPr>
      <w:r w:rsidRPr="00873B6C">
        <w:t>[14]</w:t>
      </w:r>
      <w:r w:rsidR="00357584" w:rsidRPr="00873B6C">
        <w:tab/>
        <w:t>Void</w:t>
      </w:r>
      <w:r w:rsidRPr="00873B6C">
        <w:t>.</w:t>
      </w:r>
    </w:p>
    <w:p w14:paraId="2E55CD8A" w14:textId="2810490C" w:rsidR="00D40151" w:rsidRPr="00873B6C" w:rsidRDefault="00D40151" w:rsidP="00D40151">
      <w:pPr>
        <w:pStyle w:val="EX"/>
      </w:pPr>
      <w:r w:rsidRPr="00873B6C">
        <w:lastRenderedPageBreak/>
        <w:t>[15]</w:t>
      </w:r>
      <w:r w:rsidRPr="00873B6C">
        <w:tab/>
      </w:r>
      <w:r w:rsidR="00972E70" w:rsidRPr="00873B6C">
        <w:t>3GPP TS 23.228:</w:t>
      </w:r>
      <w:r w:rsidRPr="00873B6C">
        <w:t xml:space="preserve"> "IP Multimedia Subsystem (IMS); Stage 2".</w:t>
      </w:r>
    </w:p>
    <w:p w14:paraId="2CBAE0D4" w14:textId="475581E4" w:rsidR="00D40151" w:rsidRPr="00873B6C" w:rsidRDefault="00D40151" w:rsidP="00D40151">
      <w:pPr>
        <w:pStyle w:val="EX"/>
      </w:pPr>
      <w:r w:rsidRPr="00873B6C">
        <w:t>[16]</w:t>
      </w:r>
      <w:r w:rsidRPr="00873B6C">
        <w:tab/>
      </w:r>
      <w:r w:rsidR="00972E70" w:rsidRPr="00873B6C">
        <w:t>3GPP TS 22.173:</w:t>
      </w:r>
      <w:r w:rsidRPr="00873B6C">
        <w:t xml:space="preserve"> "IMS Multimedia Telephony Service and supplementary services; Stage 1".</w:t>
      </w:r>
    </w:p>
    <w:p w14:paraId="184FF99D" w14:textId="3FBF08C6" w:rsidR="00D40151" w:rsidRPr="00873B6C" w:rsidRDefault="00D40151" w:rsidP="00D40151">
      <w:pPr>
        <w:pStyle w:val="EX"/>
      </w:pPr>
      <w:r w:rsidRPr="00873B6C">
        <w:t>[17]</w:t>
      </w:r>
      <w:r w:rsidRPr="00873B6C">
        <w:tab/>
      </w:r>
      <w:r w:rsidR="00972E70" w:rsidRPr="00873B6C">
        <w:t>3GPP TS 23.122:</w:t>
      </w:r>
      <w:r w:rsidRPr="00873B6C">
        <w:t xml:space="preserve"> "Non-Access-Stratum (NAS) functions related to Mobile Station in idle mode".</w:t>
      </w:r>
    </w:p>
    <w:p w14:paraId="4F27B248" w14:textId="70AA1545" w:rsidR="00D40151" w:rsidRPr="00873B6C" w:rsidRDefault="00D40151" w:rsidP="00D40151">
      <w:pPr>
        <w:pStyle w:val="EX"/>
      </w:pPr>
      <w:r w:rsidRPr="00873B6C">
        <w:t>[18]</w:t>
      </w:r>
      <w:r w:rsidRPr="00873B6C">
        <w:tab/>
      </w:r>
      <w:r w:rsidR="00972E70" w:rsidRPr="00873B6C">
        <w:t>3GPP TS 23.167:</w:t>
      </w:r>
      <w:r w:rsidRPr="00873B6C">
        <w:t xml:space="preserve"> "3rd Generation Partnership Project; Technical Specification Group Services and Systems Aspects; IP Multimedia Subsystem (IMS) emergency sessions".</w:t>
      </w:r>
    </w:p>
    <w:p w14:paraId="40EF617A" w14:textId="3A737CDA" w:rsidR="00D40151" w:rsidRPr="00873B6C" w:rsidRDefault="00D40151" w:rsidP="00D40151">
      <w:pPr>
        <w:pStyle w:val="EX"/>
      </w:pPr>
      <w:r w:rsidRPr="00873B6C">
        <w:t>[19]</w:t>
      </w:r>
      <w:r w:rsidRPr="00873B6C">
        <w:tab/>
      </w:r>
      <w:r w:rsidR="00972E70" w:rsidRPr="00873B6C">
        <w:t>3GPP TS 23.003:</w:t>
      </w:r>
      <w:r w:rsidRPr="00873B6C">
        <w:t xml:space="preserve"> "Numbering, Addressing and Identification".</w:t>
      </w:r>
    </w:p>
    <w:p w14:paraId="3A7B5FAF" w14:textId="77777777" w:rsidR="00D40151" w:rsidRPr="00873B6C" w:rsidRDefault="00D40151" w:rsidP="00D40151">
      <w:pPr>
        <w:pStyle w:val="EX"/>
      </w:pPr>
      <w:r w:rsidRPr="00873B6C">
        <w:t>[20]</w:t>
      </w:r>
      <w:r w:rsidRPr="00873B6C">
        <w:tab/>
        <w:t>IETF RFC 7542: "The Network Access Identifier".</w:t>
      </w:r>
    </w:p>
    <w:p w14:paraId="2A1298AA" w14:textId="120DF1D4" w:rsidR="00D40151" w:rsidRPr="00873B6C" w:rsidRDefault="00D40151" w:rsidP="00D40151">
      <w:pPr>
        <w:pStyle w:val="EX"/>
      </w:pPr>
      <w:r w:rsidRPr="00873B6C">
        <w:t>[21]</w:t>
      </w:r>
      <w:r w:rsidRPr="00873B6C">
        <w:tab/>
      </w:r>
      <w:r w:rsidR="00972E70" w:rsidRPr="00873B6C">
        <w:t>3GPP TS 23.002:</w:t>
      </w:r>
      <w:r w:rsidRPr="00873B6C">
        <w:t xml:space="preserve"> "Network Architecture".</w:t>
      </w:r>
    </w:p>
    <w:p w14:paraId="26776E4D" w14:textId="6A9E4EE8" w:rsidR="00D40151" w:rsidRPr="00873B6C" w:rsidRDefault="00D40151" w:rsidP="00D40151">
      <w:pPr>
        <w:pStyle w:val="EX"/>
      </w:pPr>
      <w:r w:rsidRPr="00873B6C">
        <w:t>[22]</w:t>
      </w:r>
      <w:r w:rsidRPr="00873B6C">
        <w:tab/>
      </w:r>
      <w:r w:rsidR="00972E70" w:rsidRPr="00873B6C">
        <w:t>3GPP TS 23.335:</w:t>
      </w:r>
      <w:r w:rsidRPr="00873B6C">
        <w:t xml:space="preserve"> "User Data Convergence (UDC); Technical realization and information flows; Stage 2".</w:t>
      </w:r>
    </w:p>
    <w:p w14:paraId="4ECF50D2" w14:textId="39F95AAE" w:rsidR="00D40151" w:rsidRPr="00873B6C" w:rsidRDefault="00D40151" w:rsidP="00D40151">
      <w:pPr>
        <w:pStyle w:val="EX"/>
      </w:pPr>
      <w:r w:rsidRPr="00873B6C">
        <w:t>[23]</w:t>
      </w:r>
      <w:r w:rsidRPr="00873B6C">
        <w:tab/>
      </w:r>
      <w:r w:rsidR="00972E70" w:rsidRPr="00873B6C">
        <w:t>3GPP TS 23.221:</w:t>
      </w:r>
      <w:r w:rsidRPr="00873B6C">
        <w:t xml:space="preserve"> "Architectural requirements".</w:t>
      </w:r>
    </w:p>
    <w:p w14:paraId="025C61C2" w14:textId="354EB59D" w:rsidR="00D40151" w:rsidRPr="00873B6C" w:rsidRDefault="00D40151" w:rsidP="00D40151">
      <w:pPr>
        <w:pStyle w:val="EX"/>
      </w:pPr>
      <w:r w:rsidRPr="00873B6C">
        <w:t>[24]</w:t>
      </w:r>
      <w:r w:rsidRPr="00873B6C">
        <w:tab/>
      </w:r>
      <w:r w:rsidR="00972E70" w:rsidRPr="00873B6C">
        <w:t>3GPP TS 22.153:</w:t>
      </w:r>
      <w:r w:rsidRPr="00873B6C">
        <w:t xml:space="preserve"> "Multimedia priority service".</w:t>
      </w:r>
    </w:p>
    <w:p w14:paraId="2D1EFE4F" w14:textId="40142BDF" w:rsidR="00D40151" w:rsidRPr="00873B6C" w:rsidRDefault="00D40151" w:rsidP="00D40151">
      <w:pPr>
        <w:pStyle w:val="EX"/>
      </w:pPr>
      <w:r w:rsidRPr="00873B6C">
        <w:t>[25]</w:t>
      </w:r>
      <w:r w:rsidRPr="00873B6C">
        <w:tab/>
      </w:r>
      <w:r w:rsidR="00972E70" w:rsidRPr="00873B6C">
        <w:t>3GPP TS 22.011:</w:t>
      </w:r>
      <w:r w:rsidRPr="00873B6C">
        <w:t xml:space="preserve"> "Service Accessibility".</w:t>
      </w:r>
    </w:p>
    <w:p w14:paraId="190EE456" w14:textId="05BDDA49" w:rsidR="00D40151" w:rsidRPr="00873B6C" w:rsidRDefault="00D40151" w:rsidP="00D40151">
      <w:pPr>
        <w:pStyle w:val="EX"/>
      </w:pPr>
      <w:r w:rsidRPr="00873B6C">
        <w:t>[26]</w:t>
      </w:r>
      <w:r w:rsidRPr="00873B6C">
        <w:tab/>
      </w:r>
      <w:r w:rsidR="00972E70" w:rsidRPr="00873B6C">
        <w:t>3GPP TS 23.401:</w:t>
      </w:r>
      <w:r w:rsidRPr="00873B6C">
        <w:t xml:space="preserve"> "General Packet Radio Service (GPRS) enhancements for Evolved Universal Terrestrial Radio Access Network (E-UTRAN) access".</w:t>
      </w:r>
    </w:p>
    <w:p w14:paraId="6B5A743B" w14:textId="1BD7CE97" w:rsidR="00D40151" w:rsidRPr="00873B6C" w:rsidRDefault="00D40151" w:rsidP="00D40151">
      <w:pPr>
        <w:pStyle w:val="EX"/>
      </w:pPr>
      <w:r w:rsidRPr="00873B6C">
        <w:t>[27]</w:t>
      </w:r>
      <w:r w:rsidRPr="00873B6C">
        <w:tab/>
      </w:r>
      <w:r w:rsidR="00972E70" w:rsidRPr="00873B6C">
        <w:t>3GPP TS 38.300:</w:t>
      </w:r>
      <w:r w:rsidRPr="00873B6C">
        <w:t xml:space="preserve"> "NR; NR and NG-RAN Overall Description".</w:t>
      </w:r>
    </w:p>
    <w:p w14:paraId="0829F618" w14:textId="57AE5F9D" w:rsidR="00D40151" w:rsidRPr="00873B6C" w:rsidRDefault="00D40151" w:rsidP="00D40151">
      <w:pPr>
        <w:pStyle w:val="EX"/>
      </w:pPr>
      <w:r w:rsidRPr="00873B6C">
        <w:t>[28]</w:t>
      </w:r>
      <w:r w:rsidRPr="00873B6C">
        <w:tab/>
      </w:r>
      <w:r w:rsidR="00972E70" w:rsidRPr="00873B6C">
        <w:t>3GPP TS 38.331:</w:t>
      </w:r>
      <w:r w:rsidRPr="00873B6C">
        <w:t xml:space="preserve"> "NR; Radio Resource Control (RRC); Protocol Specification".</w:t>
      </w:r>
    </w:p>
    <w:p w14:paraId="4CD2B788" w14:textId="465840E1" w:rsidR="00D40151" w:rsidRPr="00873B6C" w:rsidRDefault="00D40151" w:rsidP="00D40151">
      <w:pPr>
        <w:pStyle w:val="EX"/>
      </w:pPr>
      <w:r w:rsidRPr="00873B6C">
        <w:t>[29]</w:t>
      </w:r>
      <w:r w:rsidRPr="00873B6C">
        <w:tab/>
      </w:r>
      <w:r w:rsidR="00972E70" w:rsidRPr="00873B6C">
        <w:t>3GPP TS 33.501:</w:t>
      </w:r>
      <w:r w:rsidRPr="00873B6C">
        <w:t xml:space="preserve"> "Security architecture and procedures for 5G system".</w:t>
      </w:r>
    </w:p>
    <w:p w14:paraId="4AD7BAD1" w14:textId="15814CFC" w:rsidR="00D40151" w:rsidRPr="00873B6C" w:rsidRDefault="00D40151" w:rsidP="00D40151">
      <w:pPr>
        <w:pStyle w:val="EX"/>
      </w:pPr>
      <w:r w:rsidRPr="00873B6C">
        <w:t>[30]</w:t>
      </w:r>
      <w:r w:rsidRPr="00873B6C">
        <w:tab/>
      </w:r>
      <w:r w:rsidR="00972E70" w:rsidRPr="00873B6C">
        <w:t>3GPP TS 36.300:</w:t>
      </w:r>
      <w:r w:rsidRPr="00873B6C">
        <w:t xml:space="preserve"> "Evolved Universal Terrestrial Radio Access (E-UTRA) and Evolved Universal Terrestrial Radio Access Network (E-UTRAN); Overall description; Stage 2".</w:t>
      </w:r>
    </w:p>
    <w:p w14:paraId="5126B8AB" w14:textId="49C42291" w:rsidR="00D40151" w:rsidRPr="00873B6C" w:rsidRDefault="00D40151" w:rsidP="00D40151">
      <w:pPr>
        <w:pStyle w:val="EX"/>
      </w:pPr>
      <w:r w:rsidRPr="00873B6C">
        <w:t>[31]</w:t>
      </w:r>
      <w:r w:rsidRPr="00873B6C">
        <w:tab/>
      </w:r>
      <w:r w:rsidR="00972E70" w:rsidRPr="00873B6C">
        <w:t>3GPP TS 37.340:</w:t>
      </w:r>
      <w:r w:rsidRPr="00873B6C">
        <w:t xml:space="preserve"> "Evolved Universal Terrestrial Radio Access (E-UTRA) and NR; Multi-connectivity; Stage 2".</w:t>
      </w:r>
    </w:p>
    <w:p w14:paraId="558762AB" w14:textId="30C0BC88" w:rsidR="00D40151" w:rsidRPr="00873B6C" w:rsidRDefault="00D40151" w:rsidP="00D40151">
      <w:pPr>
        <w:pStyle w:val="EX"/>
      </w:pPr>
      <w:r w:rsidRPr="00873B6C">
        <w:t>[32]</w:t>
      </w:r>
      <w:r w:rsidRPr="00873B6C">
        <w:tab/>
      </w:r>
      <w:r w:rsidR="00972E70" w:rsidRPr="00873B6C">
        <w:t>3GPP TS 23.214:</w:t>
      </w:r>
      <w:r w:rsidRPr="00873B6C">
        <w:t xml:space="preserve"> "Architecture enhancements for control and user plane separation of EPC nodes; Stage 2".</w:t>
      </w:r>
    </w:p>
    <w:p w14:paraId="45E11F33" w14:textId="3F52D90E" w:rsidR="00D40151" w:rsidRPr="00873B6C" w:rsidRDefault="00D40151" w:rsidP="00D40151">
      <w:pPr>
        <w:pStyle w:val="EX"/>
      </w:pPr>
      <w:r w:rsidRPr="00873B6C">
        <w:t>[33]</w:t>
      </w:r>
      <w:r w:rsidRPr="00873B6C">
        <w:tab/>
      </w:r>
      <w:r w:rsidR="00972E70" w:rsidRPr="00873B6C">
        <w:t>3GPP TS 22.101:</w:t>
      </w:r>
      <w:r w:rsidRPr="00873B6C">
        <w:t xml:space="preserve"> "3rd Generation Partnership Project; Technical Specification Group Services and Systems Aspects; Service aspects; Service principles".</w:t>
      </w:r>
    </w:p>
    <w:p w14:paraId="6876C2A3" w14:textId="55EF523F" w:rsidR="00D40151" w:rsidRPr="00873B6C" w:rsidRDefault="00D40151" w:rsidP="00D40151">
      <w:pPr>
        <w:pStyle w:val="EX"/>
      </w:pPr>
      <w:r w:rsidRPr="00873B6C">
        <w:t>[34]</w:t>
      </w:r>
      <w:r w:rsidRPr="00873B6C">
        <w:tab/>
      </w:r>
      <w:r w:rsidR="00972E70" w:rsidRPr="00873B6C">
        <w:t>3GPP TS 38.413:</w:t>
      </w:r>
      <w:r w:rsidRPr="00873B6C">
        <w:t xml:space="preserve"> "NG-RAN; NG Application Protocol (NGAP)".</w:t>
      </w:r>
    </w:p>
    <w:p w14:paraId="2F15E2A0" w14:textId="65164E1F" w:rsidR="00D40151" w:rsidRPr="00873B6C" w:rsidRDefault="00D40151" w:rsidP="00D40151">
      <w:pPr>
        <w:pStyle w:val="EX"/>
      </w:pPr>
      <w:r w:rsidRPr="00873B6C">
        <w:t>[35]</w:t>
      </w:r>
      <w:r w:rsidRPr="00873B6C">
        <w:tab/>
      </w:r>
      <w:r w:rsidR="00972E70" w:rsidRPr="00873B6C">
        <w:t>3GPP TS 33.126:</w:t>
      </w:r>
      <w:r w:rsidRPr="00873B6C">
        <w:t xml:space="preserve"> "Lawful Interception Requirements".</w:t>
      </w:r>
    </w:p>
    <w:p w14:paraId="75A3CDD1" w14:textId="0E325DCB" w:rsidR="00D40151" w:rsidRPr="00873B6C" w:rsidRDefault="00D40151" w:rsidP="00D40151">
      <w:pPr>
        <w:pStyle w:val="EX"/>
      </w:pPr>
      <w:r w:rsidRPr="00873B6C">
        <w:t>[36]</w:t>
      </w:r>
      <w:r w:rsidRPr="00873B6C">
        <w:tab/>
      </w:r>
      <w:r w:rsidR="00972E70" w:rsidRPr="00873B6C">
        <w:t>3GPP TS 23.682:</w:t>
      </w:r>
      <w:r w:rsidRPr="00873B6C">
        <w:t xml:space="preserve"> "Architecture enhancements to facilitate communications with packet data networks and applications".</w:t>
      </w:r>
    </w:p>
    <w:p w14:paraId="281BC5E3" w14:textId="4004F16C" w:rsidR="00D40151" w:rsidRPr="00873B6C" w:rsidRDefault="00D40151" w:rsidP="00D40151">
      <w:pPr>
        <w:pStyle w:val="EX"/>
      </w:pPr>
      <w:r w:rsidRPr="00873B6C">
        <w:t>[37]</w:t>
      </w:r>
      <w:r w:rsidRPr="00873B6C">
        <w:tab/>
      </w:r>
      <w:r w:rsidR="00972E70" w:rsidRPr="00873B6C">
        <w:t>3GPP TS 22.280:</w:t>
      </w:r>
      <w:r w:rsidRPr="00873B6C">
        <w:t xml:space="preserve"> "Mission Critical Services Common Requirements (MCCoRe); Stage 1".</w:t>
      </w:r>
    </w:p>
    <w:p w14:paraId="4C834BCA" w14:textId="48CA667E" w:rsidR="00D40151" w:rsidRPr="00873B6C" w:rsidRDefault="00D40151" w:rsidP="00D40151">
      <w:pPr>
        <w:pStyle w:val="EX"/>
      </w:pPr>
      <w:r w:rsidRPr="00873B6C">
        <w:t>[38]</w:t>
      </w:r>
      <w:r w:rsidRPr="00873B6C">
        <w:tab/>
      </w:r>
      <w:r w:rsidR="00972E70" w:rsidRPr="00873B6C">
        <w:t>3GPP TS 23.379:</w:t>
      </w:r>
      <w:r w:rsidRPr="00873B6C">
        <w:t xml:space="preserve"> "Functional architecture and information flows to support Mission Critical Push To Talk (MCPTT); Stage 2".</w:t>
      </w:r>
    </w:p>
    <w:p w14:paraId="63FF524E" w14:textId="678AA25F" w:rsidR="00D40151" w:rsidRPr="00873B6C" w:rsidRDefault="00D40151" w:rsidP="00D40151">
      <w:pPr>
        <w:pStyle w:val="EX"/>
      </w:pPr>
      <w:r w:rsidRPr="00873B6C">
        <w:t>[39]</w:t>
      </w:r>
      <w:r w:rsidRPr="00873B6C">
        <w:tab/>
      </w:r>
      <w:r w:rsidR="00972E70" w:rsidRPr="00873B6C">
        <w:t>3GPP TS 23.281:</w:t>
      </w:r>
      <w:r w:rsidRPr="00873B6C">
        <w:t xml:space="preserve"> "Functional architecture and information flows to support Mission Critical Video (MCVideo); Stage 2".</w:t>
      </w:r>
    </w:p>
    <w:p w14:paraId="550576F1" w14:textId="4D146BCF" w:rsidR="00D40151" w:rsidRPr="00873B6C" w:rsidRDefault="00D40151" w:rsidP="00D40151">
      <w:pPr>
        <w:pStyle w:val="EX"/>
      </w:pPr>
      <w:r w:rsidRPr="00873B6C">
        <w:t>[40]</w:t>
      </w:r>
      <w:r w:rsidRPr="00873B6C">
        <w:tab/>
      </w:r>
      <w:r w:rsidR="00972E70" w:rsidRPr="00873B6C">
        <w:t>3GPP TS 23.282:</w:t>
      </w:r>
      <w:r w:rsidRPr="00873B6C">
        <w:t xml:space="preserve"> "Functional architecture and information flows to support Mission Critical Data (MCData); Stage 2".</w:t>
      </w:r>
    </w:p>
    <w:p w14:paraId="4DB0D803" w14:textId="61E407BF" w:rsidR="00D40151" w:rsidRPr="00873B6C" w:rsidRDefault="00D40151" w:rsidP="00D40151">
      <w:pPr>
        <w:pStyle w:val="EX"/>
      </w:pPr>
      <w:r w:rsidRPr="00873B6C">
        <w:t>[41]</w:t>
      </w:r>
      <w:r w:rsidRPr="00873B6C">
        <w:tab/>
      </w:r>
      <w:r w:rsidR="00972E70" w:rsidRPr="00873B6C">
        <w:t>3GPP TS 32.240:</w:t>
      </w:r>
      <w:r w:rsidRPr="00873B6C">
        <w:t xml:space="preserve"> "Charging management; Charging architecture and principles".</w:t>
      </w:r>
    </w:p>
    <w:p w14:paraId="145BCA7A" w14:textId="3D7ECD5F" w:rsidR="00D40151" w:rsidRPr="00873B6C" w:rsidRDefault="00D40151" w:rsidP="00D40151">
      <w:pPr>
        <w:pStyle w:val="EX"/>
      </w:pPr>
      <w:r w:rsidRPr="00873B6C">
        <w:t>[42]</w:t>
      </w:r>
      <w:r w:rsidRPr="00873B6C">
        <w:tab/>
      </w:r>
      <w:r w:rsidR="00972E70" w:rsidRPr="00873B6C">
        <w:t>3GPP TS 38.401:</w:t>
      </w:r>
      <w:r w:rsidRPr="00873B6C">
        <w:t xml:space="preserve"> "NG-RAN Architecture description".</w:t>
      </w:r>
    </w:p>
    <w:p w14:paraId="20736691" w14:textId="14FF6608" w:rsidR="00D40151" w:rsidRPr="00873B6C" w:rsidRDefault="00D40151" w:rsidP="00D40151">
      <w:pPr>
        <w:pStyle w:val="EX"/>
      </w:pPr>
      <w:r w:rsidRPr="00873B6C">
        <w:t>[43]</w:t>
      </w:r>
      <w:r w:rsidRPr="00873B6C">
        <w:tab/>
      </w:r>
      <w:r w:rsidR="00972E70" w:rsidRPr="00873B6C">
        <w:t>3GPP TS 23.402:</w:t>
      </w:r>
      <w:r w:rsidRPr="00873B6C">
        <w:t xml:space="preserve"> "Architecture enhancements for non-3GPP accesses".</w:t>
      </w:r>
    </w:p>
    <w:p w14:paraId="06327DA7" w14:textId="77777777" w:rsidR="00D40151" w:rsidRPr="00873B6C" w:rsidRDefault="00D40151" w:rsidP="00D40151">
      <w:pPr>
        <w:pStyle w:val="EX"/>
      </w:pPr>
      <w:r w:rsidRPr="00873B6C">
        <w:lastRenderedPageBreak/>
        <w:t>[44]</w:t>
      </w:r>
      <w:r w:rsidRPr="00873B6C">
        <w:tab/>
        <w:t>IETF RFC 4960: "Stream Control Transmission Protocol".</w:t>
      </w:r>
    </w:p>
    <w:p w14:paraId="5A0B3341" w14:textId="1E93783A" w:rsidR="00D40151" w:rsidRPr="00873B6C" w:rsidRDefault="00D40151" w:rsidP="00D40151">
      <w:pPr>
        <w:pStyle w:val="EX"/>
      </w:pPr>
      <w:r w:rsidRPr="00873B6C">
        <w:t>[45]</w:t>
      </w:r>
      <w:r w:rsidRPr="00873B6C">
        <w:tab/>
      </w:r>
      <w:r w:rsidR="00972E70" w:rsidRPr="00873B6C">
        <w:t>3GPP TS 23.503:</w:t>
      </w:r>
      <w:r w:rsidRPr="00873B6C">
        <w:t xml:space="preserve"> "Policy and Charging Control Framework for the 5G System".</w:t>
      </w:r>
    </w:p>
    <w:p w14:paraId="7ABA184E" w14:textId="77368F9A" w:rsidR="00D40151" w:rsidRPr="00873B6C" w:rsidRDefault="00D40151" w:rsidP="00D40151">
      <w:pPr>
        <w:pStyle w:val="EX"/>
      </w:pPr>
      <w:r w:rsidRPr="00873B6C">
        <w:t>[46]</w:t>
      </w:r>
      <w:r w:rsidRPr="00873B6C">
        <w:tab/>
      </w:r>
      <w:r w:rsidR="00972E70" w:rsidRPr="00873B6C">
        <w:t>3GPP TS 23.041:</w:t>
      </w:r>
      <w:r w:rsidRPr="00873B6C">
        <w:t xml:space="preserve"> "Public Warning System".</w:t>
      </w:r>
    </w:p>
    <w:p w14:paraId="5043646B" w14:textId="1E7FE8E6" w:rsidR="00D40151" w:rsidRPr="00873B6C" w:rsidRDefault="00D40151" w:rsidP="00D40151">
      <w:pPr>
        <w:pStyle w:val="EX"/>
      </w:pPr>
      <w:r w:rsidRPr="00873B6C">
        <w:t>[47]</w:t>
      </w:r>
      <w:r w:rsidRPr="00873B6C">
        <w:tab/>
      </w:r>
      <w:r w:rsidR="00972E70" w:rsidRPr="00873B6C">
        <w:t>3GPP TS 24.501:</w:t>
      </w:r>
      <w:r w:rsidRPr="00873B6C">
        <w:t xml:space="preserve"> "Non-Access-Stratum (NAS) protocol for 5G System (5GS); Stage 3".</w:t>
      </w:r>
    </w:p>
    <w:p w14:paraId="44702EEB" w14:textId="2BE0423E" w:rsidR="00D40151" w:rsidRPr="00873B6C" w:rsidRDefault="00D40151" w:rsidP="00D40151">
      <w:pPr>
        <w:pStyle w:val="EX"/>
      </w:pPr>
      <w:r w:rsidRPr="00873B6C">
        <w:t>[48]</w:t>
      </w:r>
      <w:r w:rsidRPr="00873B6C">
        <w:tab/>
      </w:r>
      <w:r w:rsidR="00972E70" w:rsidRPr="00873B6C">
        <w:t>3GPP TS 24.502:</w:t>
      </w:r>
      <w:r w:rsidRPr="00873B6C">
        <w:t xml:space="preserve"> "Access to the 5G System (5GS) via non-3GPP access networks; Stage 3".</w:t>
      </w:r>
    </w:p>
    <w:p w14:paraId="1EC4C33E" w14:textId="33CCE6F2" w:rsidR="00D40151" w:rsidRPr="00873B6C" w:rsidRDefault="00D40151" w:rsidP="00D40151">
      <w:pPr>
        <w:pStyle w:val="EX"/>
      </w:pPr>
      <w:r w:rsidRPr="00873B6C">
        <w:t>[49]</w:t>
      </w:r>
      <w:r w:rsidRPr="00873B6C">
        <w:tab/>
      </w:r>
      <w:r w:rsidR="00972E70" w:rsidRPr="00873B6C">
        <w:t>3GPP TS 29.500:</w:t>
      </w:r>
      <w:r w:rsidRPr="00873B6C">
        <w:t xml:space="preserve"> "5G System; Technical Realization of Service Based Architecture; Stage 3".</w:t>
      </w:r>
    </w:p>
    <w:p w14:paraId="7D82DB24" w14:textId="1A63E108" w:rsidR="00D40151" w:rsidRPr="00873B6C" w:rsidRDefault="00D40151" w:rsidP="00D40151">
      <w:pPr>
        <w:pStyle w:val="EX"/>
      </w:pPr>
      <w:r w:rsidRPr="00873B6C">
        <w:t>[50]</w:t>
      </w:r>
      <w:r w:rsidRPr="00873B6C">
        <w:tab/>
      </w:r>
      <w:r w:rsidR="00972E70" w:rsidRPr="00873B6C">
        <w:t>3GPP TS 38.304:</w:t>
      </w:r>
      <w:r w:rsidRPr="00873B6C">
        <w:t xml:space="preserve"> "NR; User Equipment (UE) procedures in idle mode".</w:t>
      </w:r>
    </w:p>
    <w:p w14:paraId="201DE812" w14:textId="7EC187CE" w:rsidR="00D40151" w:rsidRPr="00873B6C" w:rsidRDefault="00D40151" w:rsidP="00D40151">
      <w:pPr>
        <w:pStyle w:val="EX"/>
      </w:pPr>
      <w:r w:rsidRPr="00873B6C">
        <w:t>[51]</w:t>
      </w:r>
      <w:r w:rsidRPr="00873B6C">
        <w:tab/>
      </w:r>
      <w:r w:rsidR="00972E70" w:rsidRPr="00873B6C">
        <w:t>3GPP TS 36.331:</w:t>
      </w:r>
      <w:r w:rsidRPr="00873B6C">
        <w:t xml:space="preserve"> "Evolved Universal Terrestrial Radio Access (E-UTRA); Radio Resource Control (RRC); Protocol specification".</w:t>
      </w:r>
    </w:p>
    <w:p w14:paraId="365CB4E9" w14:textId="079318DB" w:rsidR="00D40151" w:rsidRPr="00873B6C" w:rsidRDefault="00D40151" w:rsidP="00D40151">
      <w:pPr>
        <w:pStyle w:val="EX"/>
      </w:pPr>
      <w:r w:rsidRPr="00873B6C">
        <w:t>[52]</w:t>
      </w:r>
      <w:r w:rsidRPr="00873B6C">
        <w:tab/>
      </w:r>
      <w:r w:rsidR="00972E70" w:rsidRPr="00873B6C">
        <w:t>3GPP TS 36.304:</w:t>
      </w:r>
      <w:r w:rsidRPr="00873B6C">
        <w:t xml:space="preserve"> "Evolved Universal Terrestrial Radio Access (E-UTRA); User Equipment (UE) procedures in idle mode".</w:t>
      </w:r>
    </w:p>
    <w:p w14:paraId="1D95153B" w14:textId="77777777" w:rsidR="00D40151" w:rsidRPr="00873B6C" w:rsidRDefault="00D40151" w:rsidP="00D40151">
      <w:pPr>
        <w:pStyle w:val="EX"/>
      </w:pPr>
      <w:r w:rsidRPr="00873B6C">
        <w:t>[53]</w:t>
      </w:r>
      <w:r w:rsidRPr="00873B6C">
        <w:tab/>
        <w:t>Void.</w:t>
      </w:r>
    </w:p>
    <w:p w14:paraId="7B5C2FF4" w14:textId="77777777" w:rsidR="00D40151" w:rsidRPr="00873B6C" w:rsidRDefault="00D40151" w:rsidP="00D40151">
      <w:pPr>
        <w:pStyle w:val="EX"/>
      </w:pPr>
      <w:r w:rsidRPr="00873B6C">
        <w:t>[54]</w:t>
      </w:r>
      <w:r w:rsidRPr="00873B6C">
        <w:tab/>
        <w:t>IETF RFC 4861: "Neighbor Discovery for IP version 6 (IPv6)".</w:t>
      </w:r>
    </w:p>
    <w:p w14:paraId="1AA89456" w14:textId="65DCFBBE" w:rsidR="00D40151" w:rsidRPr="00873B6C" w:rsidRDefault="00D40151" w:rsidP="00D40151">
      <w:pPr>
        <w:pStyle w:val="EX"/>
      </w:pPr>
      <w:r w:rsidRPr="00873B6C">
        <w:t>[55]</w:t>
      </w:r>
      <w:r w:rsidRPr="00873B6C">
        <w:tab/>
      </w:r>
      <w:r w:rsidR="00972E70" w:rsidRPr="00873B6C">
        <w:t>3GPP TS 23.271:</w:t>
      </w:r>
      <w:r w:rsidRPr="00873B6C">
        <w:t xml:space="preserve"> "Functional stage 2 description of Location Services (LCS)".</w:t>
      </w:r>
    </w:p>
    <w:p w14:paraId="504F61E9" w14:textId="1FF7E956" w:rsidR="00D40151" w:rsidRPr="00873B6C" w:rsidRDefault="00D40151" w:rsidP="00D40151">
      <w:pPr>
        <w:pStyle w:val="EX"/>
      </w:pPr>
      <w:r w:rsidRPr="00873B6C">
        <w:t>[56]</w:t>
      </w:r>
      <w:r w:rsidRPr="00873B6C">
        <w:tab/>
      </w:r>
      <w:r w:rsidR="00972E70" w:rsidRPr="00873B6C">
        <w:t>3GPP TS 23.060:</w:t>
      </w:r>
      <w:r w:rsidRPr="00873B6C">
        <w:t xml:space="preserve"> "General Packet Radio Service (GPRS); Service description; Stage 2".</w:t>
      </w:r>
    </w:p>
    <w:p w14:paraId="106C0A1B" w14:textId="77777777" w:rsidR="00D40151" w:rsidRPr="00873B6C" w:rsidRDefault="00D40151" w:rsidP="00D40151">
      <w:pPr>
        <w:pStyle w:val="EX"/>
      </w:pPr>
      <w:r w:rsidRPr="00873B6C">
        <w:t>[57]</w:t>
      </w:r>
      <w:r w:rsidRPr="00873B6C">
        <w:tab/>
        <w:t>IETF RFC 4555: "IKEv2 Mobility and Multihoming Protocol (MOBIKE)".</w:t>
      </w:r>
    </w:p>
    <w:p w14:paraId="1BCC54D9" w14:textId="600BA790" w:rsidR="00D40151" w:rsidRPr="00873B6C" w:rsidRDefault="00D40151" w:rsidP="00D40151">
      <w:pPr>
        <w:pStyle w:val="EX"/>
      </w:pPr>
      <w:r w:rsidRPr="00873B6C">
        <w:t>[58]</w:t>
      </w:r>
      <w:r w:rsidRPr="00873B6C">
        <w:tab/>
      </w:r>
      <w:r w:rsidR="00972E70" w:rsidRPr="00873B6C">
        <w:t>3GPP TS 29.510:</w:t>
      </w:r>
      <w:r w:rsidRPr="00873B6C">
        <w:t xml:space="preserve"> "5G System: Network function repository services; Stage 3".</w:t>
      </w:r>
    </w:p>
    <w:p w14:paraId="08DFD4AA" w14:textId="7FFA35B3" w:rsidR="00D40151" w:rsidRPr="00873B6C" w:rsidRDefault="00D40151" w:rsidP="00D40151">
      <w:pPr>
        <w:pStyle w:val="EX"/>
      </w:pPr>
      <w:r w:rsidRPr="00873B6C">
        <w:t>[59]</w:t>
      </w:r>
      <w:r w:rsidRPr="00873B6C">
        <w:tab/>
      </w:r>
      <w:r w:rsidR="00972E70" w:rsidRPr="00873B6C">
        <w:t>3GPP TS 29.502:</w:t>
      </w:r>
      <w:r w:rsidRPr="00873B6C">
        <w:t xml:space="preserve"> "5G System: Session Management Services: Stage 3".</w:t>
      </w:r>
    </w:p>
    <w:p w14:paraId="0DEE2A58" w14:textId="77777777" w:rsidR="00D40151" w:rsidRPr="00873B6C" w:rsidRDefault="00D40151" w:rsidP="00D40151">
      <w:pPr>
        <w:pStyle w:val="EX"/>
      </w:pPr>
      <w:r w:rsidRPr="00873B6C">
        <w:t>[60]</w:t>
      </w:r>
      <w:r w:rsidRPr="00873B6C">
        <w:tab/>
        <w:t>IETF RFC 7296: "Internet Key Exchange Protocol Version 2 (IKEv2) ".</w:t>
      </w:r>
    </w:p>
    <w:p w14:paraId="04DB285F" w14:textId="5AEAC194" w:rsidR="00D40151" w:rsidRPr="00873B6C" w:rsidRDefault="00D40151" w:rsidP="00D40151">
      <w:pPr>
        <w:pStyle w:val="EX"/>
      </w:pPr>
      <w:r w:rsidRPr="00873B6C">
        <w:t>[61]</w:t>
      </w:r>
      <w:r w:rsidRPr="00873B6C">
        <w:tab/>
      </w:r>
      <w:r w:rsidR="00972E70" w:rsidRPr="00873B6C">
        <w:t>3GPP TS 23.380:</w:t>
      </w:r>
      <w:r w:rsidRPr="00873B6C">
        <w:t xml:space="preserve"> "IMS Restoration Procedures".</w:t>
      </w:r>
    </w:p>
    <w:p w14:paraId="66A8730A" w14:textId="035F4FC0" w:rsidR="00D40151" w:rsidRPr="00873B6C" w:rsidRDefault="00D40151" w:rsidP="00D40151">
      <w:pPr>
        <w:pStyle w:val="EX"/>
      </w:pPr>
      <w:r w:rsidRPr="00873B6C">
        <w:t>[62]</w:t>
      </w:r>
      <w:r w:rsidRPr="00873B6C">
        <w:tab/>
      </w:r>
      <w:r w:rsidR="00972E70" w:rsidRPr="00873B6C">
        <w:t>3GPP TS 24.229:</w:t>
      </w:r>
      <w:r w:rsidRPr="00873B6C">
        <w:t xml:space="preserve"> "IP multimedia call control protocol based on Session Initiation Protocol (SIP) and Session Description Protocol (SDP); Stage 3".</w:t>
      </w:r>
    </w:p>
    <w:p w14:paraId="67523F1E" w14:textId="10CB6C0F" w:rsidR="00D40151" w:rsidRPr="00873B6C" w:rsidRDefault="00D40151" w:rsidP="00D40151">
      <w:pPr>
        <w:pStyle w:val="EX"/>
      </w:pPr>
      <w:r w:rsidRPr="00873B6C">
        <w:t>[63]</w:t>
      </w:r>
      <w:r w:rsidRPr="00873B6C">
        <w:tab/>
      </w:r>
      <w:r w:rsidR="00972E70" w:rsidRPr="00873B6C">
        <w:t>3GPP TS 23.292:</w:t>
      </w:r>
      <w:r w:rsidRPr="00873B6C">
        <w:t xml:space="preserve"> "IP Multimedia Subsystem (IMS) centralized services; Stage 2".</w:t>
      </w:r>
    </w:p>
    <w:p w14:paraId="594C3EBC" w14:textId="464AE89A" w:rsidR="00D40151" w:rsidRPr="00873B6C" w:rsidRDefault="00D40151" w:rsidP="00D40151">
      <w:pPr>
        <w:pStyle w:val="EX"/>
      </w:pPr>
      <w:r w:rsidRPr="00873B6C">
        <w:t>[64]</w:t>
      </w:r>
      <w:r w:rsidRPr="00873B6C">
        <w:tab/>
      </w:r>
      <w:r w:rsidR="00972E70" w:rsidRPr="00873B6C">
        <w:t>3GPP TS 23.222:</w:t>
      </w:r>
      <w:r w:rsidRPr="00873B6C">
        <w:t xml:space="preserve"> "Functional architecture and information flows to support Common API Framework for 3GPP Northbound APIs".</w:t>
      </w:r>
    </w:p>
    <w:p w14:paraId="5D0F8E28" w14:textId="2E998029" w:rsidR="00D40151" w:rsidRPr="00873B6C" w:rsidRDefault="00D40151" w:rsidP="00D40151">
      <w:pPr>
        <w:pStyle w:val="EX"/>
      </w:pPr>
      <w:r w:rsidRPr="00873B6C">
        <w:t>[65]</w:t>
      </w:r>
      <w:r w:rsidRPr="00873B6C">
        <w:tab/>
      </w:r>
      <w:r w:rsidR="00972E70" w:rsidRPr="00873B6C">
        <w:t>3GPP TS 29.244:</w:t>
      </w:r>
      <w:r w:rsidRPr="00873B6C">
        <w:t xml:space="preserve"> "Interface between the Control Plane and the User Plane Nodes; Stage 3".</w:t>
      </w:r>
    </w:p>
    <w:p w14:paraId="38CD88E5" w14:textId="565A0AF8" w:rsidR="00D40151" w:rsidRPr="00873B6C" w:rsidRDefault="00D40151" w:rsidP="00D40151">
      <w:pPr>
        <w:pStyle w:val="EX"/>
      </w:pPr>
      <w:r w:rsidRPr="00873B6C">
        <w:t>[66]</w:t>
      </w:r>
      <w:r w:rsidRPr="00873B6C">
        <w:tab/>
      </w:r>
      <w:r w:rsidR="00972E70" w:rsidRPr="00873B6C">
        <w:t>3GPP TS 32.421:</w:t>
      </w:r>
      <w:r w:rsidRPr="00873B6C">
        <w:t xml:space="preserve"> "Telecommunication management; Subscriber and equipment trace; Trace concepts and requirements".</w:t>
      </w:r>
    </w:p>
    <w:p w14:paraId="40099667" w14:textId="40F9F138" w:rsidR="00D40151" w:rsidRPr="00873B6C" w:rsidRDefault="00D40151" w:rsidP="00D40151">
      <w:pPr>
        <w:pStyle w:val="EX"/>
      </w:pPr>
      <w:r w:rsidRPr="00873B6C">
        <w:t>[67]</w:t>
      </w:r>
      <w:r w:rsidRPr="00873B6C">
        <w:tab/>
      </w:r>
      <w:r w:rsidR="00972E70" w:rsidRPr="00873B6C">
        <w:t>3GPP TS 32.290:</w:t>
      </w:r>
      <w:r w:rsidRPr="00873B6C">
        <w:t xml:space="preserve"> "5G system; Services, operations and procedures of charging using Service Based Interface (SBI)".</w:t>
      </w:r>
    </w:p>
    <w:p w14:paraId="4ADBC5C2" w14:textId="64865718" w:rsidR="00D40151" w:rsidRPr="00873B6C" w:rsidRDefault="00D40151" w:rsidP="00D40151">
      <w:pPr>
        <w:pStyle w:val="EX"/>
      </w:pPr>
      <w:r w:rsidRPr="00873B6C">
        <w:t>[68]</w:t>
      </w:r>
      <w:r w:rsidRPr="00873B6C">
        <w:tab/>
      </w:r>
      <w:r w:rsidR="00972E70" w:rsidRPr="00873B6C">
        <w:t>3GPP TS 32.255:</w:t>
      </w:r>
      <w:r w:rsidRPr="00873B6C">
        <w:t xml:space="preserve"> "5G Data connectivity domain charging; Stage 2".</w:t>
      </w:r>
    </w:p>
    <w:p w14:paraId="6C3E833C" w14:textId="01AAA213" w:rsidR="00D40151" w:rsidRPr="00873B6C" w:rsidRDefault="00D40151" w:rsidP="00D40151">
      <w:pPr>
        <w:pStyle w:val="EX"/>
      </w:pPr>
      <w:r w:rsidRPr="00873B6C">
        <w:t>[69]</w:t>
      </w:r>
      <w:r w:rsidRPr="00873B6C">
        <w:tab/>
      </w:r>
      <w:r w:rsidR="00972E70" w:rsidRPr="00873B6C">
        <w:t>3GPP TS 38.306:</w:t>
      </w:r>
      <w:r w:rsidRPr="00873B6C">
        <w:t xml:space="preserve"> "NR; User Equipment -UE) radio access capabilities".</w:t>
      </w:r>
    </w:p>
    <w:p w14:paraId="353D73E2" w14:textId="44C41F99" w:rsidR="00D40151" w:rsidRPr="00873B6C" w:rsidRDefault="00D40151" w:rsidP="00D40151">
      <w:pPr>
        <w:pStyle w:val="EX"/>
      </w:pPr>
      <w:r w:rsidRPr="00873B6C">
        <w:t>[70]</w:t>
      </w:r>
      <w:r w:rsidRPr="00873B6C">
        <w:tab/>
      </w:r>
      <w:r w:rsidR="00972E70" w:rsidRPr="00873B6C">
        <w:t>3GPP TS 36.306:</w:t>
      </w:r>
      <w:r w:rsidRPr="00873B6C">
        <w:t xml:space="preserve"> "Evolved Universal Terrestrial Radio Access -E-UTRA); User Equipment -UE) radio access capabilities".</w:t>
      </w:r>
    </w:p>
    <w:p w14:paraId="11936BE9" w14:textId="113939F4" w:rsidR="00D40151" w:rsidRPr="00873B6C" w:rsidRDefault="00D40151" w:rsidP="00D40151">
      <w:pPr>
        <w:pStyle w:val="EX"/>
      </w:pPr>
      <w:r w:rsidRPr="00873B6C">
        <w:t>[71]</w:t>
      </w:r>
      <w:r w:rsidRPr="00873B6C">
        <w:tab/>
      </w:r>
      <w:r w:rsidR="00972E70" w:rsidRPr="00873B6C">
        <w:t>3GPP TS 29.518:</w:t>
      </w:r>
      <w:r w:rsidRPr="00873B6C">
        <w:t xml:space="preserve"> "5G System; Access and Mobility Management Services; Stage 3".</w:t>
      </w:r>
    </w:p>
    <w:p w14:paraId="5F9F9612" w14:textId="4BF987AE" w:rsidR="00D40151" w:rsidRPr="00873B6C" w:rsidRDefault="00D40151" w:rsidP="00D40151">
      <w:pPr>
        <w:pStyle w:val="EX"/>
      </w:pPr>
      <w:r w:rsidRPr="00873B6C">
        <w:t>[72]</w:t>
      </w:r>
      <w:r w:rsidR="00BC24B5" w:rsidRPr="00873B6C">
        <w:tab/>
        <w:t>Void</w:t>
      </w:r>
      <w:r w:rsidRPr="00873B6C">
        <w:t>.</w:t>
      </w:r>
    </w:p>
    <w:p w14:paraId="084D14DF" w14:textId="77777777" w:rsidR="00D40151" w:rsidRPr="00873B6C" w:rsidRDefault="00D40151" w:rsidP="00D40151">
      <w:pPr>
        <w:pStyle w:val="EX"/>
      </w:pPr>
      <w:r w:rsidRPr="00873B6C">
        <w:t>[73]</w:t>
      </w:r>
      <w:r w:rsidRPr="00873B6C">
        <w:tab/>
        <w:t>IETF RFC 2865: "Remote Authentication Dial In User Service (RADIUS)".</w:t>
      </w:r>
    </w:p>
    <w:p w14:paraId="10266ACF" w14:textId="77777777" w:rsidR="00D40151" w:rsidRPr="00873B6C" w:rsidRDefault="00D40151" w:rsidP="00D40151">
      <w:pPr>
        <w:pStyle w:val="EX"/>
      </w:pPr>
      <w:r w:rsidRPr="00873B6C">
        <w:t>[74]</w:t>
      </w:r>
      <w:r w:rsidRPr="00873B6C">
        <w:tab/>
        <w:t>IETF RFC 3162: "RADIUS and IPv6".</w:t>
      </w:r>
    </w:p>
    <w:p w14:paraId="2CDC38BA" w14:textId="1FEEF0E7" w:rsidR="00D40151" w:rsidRPr="00873B6C" w:rsidRDefault="00D40151" w:rsidP="00D40151">
      <w:pPr>
        <w:pStyle w:val="EX"/>
      </w:pPr>
      <w:r w:rsidRPr="00873B6C">
        <w:lastRenderedPageBreak/>
        <w:t>[75]</w:t>
      </w:r>
      <w:r w:rsidRPr="00873B6C">
        <w:tab/>
      </w:r>
      <w:r w:rsidR="00972E70" w:rsidRPr="00873B6C">
        <w:t>3GPP TS 29.281:</w:t>
      </w:r>
      <w:r w:rsidRPr="00873B6C">
        <w:t xml:space="preserve"> "General Packet Radio System (GPRS) Tunnelling Protocol User Plane (GTPv1-U)".</w:t>
      </w:r>
    </w:p>
    <w:p w14:paraId="177913E3" w14:textId="48F3D826" w:rsidR="00D40151" w:rsidRPr="00873B6C" w:rsidRDefault="00D40151" w:rsidP="00D40151">
      <w:pPr>
        <w:pStyle w:val="EX"/>
      </w:pPr>
      <w:r w:rsidRPr="00873B6C">
        <w:t>[76]</w:t>
      </w:r>
      <w:r w:rsidRPr="00873B6C">
        <w:tab/>
      </w:r>
      <w:r w:rsidR="00972E70" w:rsidRPr="00873B6C">
        <w:t>3GPP TS 26.238:</w:t>
      </w:r>
      <w:r w:rsidRPr="00873B6C">
        <w:t xml:space="preserve"> "Uplink streaming".</w:t>
      </w:r>
    </w:p>
    <w:p w14:paraId="1AFC968D" w14:textId="5BBA1188" w:rsidR="00D40151" w:rsidRPr="00873B6C" w:rsidRDefault="00D40151" w:rsidP="00D40151">
      <w:pPr>
        <w:pStyle w:val="EX"/>
      </w:pPr>
      <w:r w:rsidRPr="00873B6C">
        <w:t>[77]</w:t>
      </w:r>
      <w:r w:rsidRPr="00873B6C">
        <w:tab/>
      </w:r>
      <w:r w:rsidR="00972E70" w:rsidRPr="00873B6C">
        <w:t>3GPP TR 26.939:</w:t>
      </w:r>
      <w:r w:rsidRPr="00873B6C">
        <w:t xml:space="preserve"> "Guidelines on the Framework for Live Uplink Streaming (FLUS)".</w:t>
      </w:r>
    </w:p>
    <w:p w14:paraId="672863B4" w14:textId="77777777" w:rsidR="00D40151" w:rsidRPr="00873B6C" w:rsidRDefault="00D40151" w:rsidP="00D40151">
      <w:pPr>
        <w:pStyle w:val="EX"/>
      </w:pPr>
      <w:r w:rsidRPr="00873B6C">
        <w:t>[78]</w:t>
      </w:r>
      <w:r w:rsidRPr="00873B6C">
        <w:tab/>
        <w:t>International Telecommunication Union (ITU), Standardization Bureau (TSB): "Operational Bulletin No. 1156"; http://handle.itu.int/11.1002/pub/810cad63-en (retrieved October 5, 2018).</w:t>
      </w:r>
    </w:p>
    <w:p w14:paraId="1385F158" w14:textId="087E144F" w:rsidR="00D40151" w:rsidRPr="00873B6C" w:rsidRDefault="00D40151" w:rsidP="00D40151">
      <w:pPr>
        <w:pStyle w:val="EX"/>
      </w:pPr>
      <w:r w:rsidRPr="00873B6C">
        <w:t>[79]</w:t>
      </w:r>
      <w:r w:rsidRPr="00873B6C">
        <w:tab/>
      </w:r>
      <w:r w:rsidR="00972E70" w:rsidRPr="00873B6C">
        <w:t>3GPP TS 28.533:</w:t>
      </w:r>
      <w:r w:rsidRPr="00873B6C">
        <w:t xml:space="preserve"> "Management and orchestration; Architecture framework".</w:t>
      </w:r>
    </w:p>
    <w:p w14:paraId="1488879A" w14:textId="789E631B" w:rsidR="00D40151" w:rsidRPr="00873B6C" w:rsidRDefault="00D40151" w:rsidP="00D40151">
      <w:pPr>
        <w:pStyle w:val="EX"/>
      </w:pPr>
      <w:r w:rsidRPr="00873B6C">
        <w:t>[80]</w:t>
      </w:r>
      <w:r w:rsidRPr="00873B6C">
        <w:tab/>
      </w:r>
      <w:r w:rsidR="00972E70" w:rsidRPr="00873B6C">
        <w:t>3GPP TS 24.250:</w:t>
      </w:r>
      <w:r w:rsidRPr="00873B6C">
        <w:t xml:space="preserve"> "Protocol for Reliable Data Service; Stage 3".</w:t>
      </w:r>
    </w:p>
    <w:p w14:paraId="54C6CF20" w14:textId="77777777" w:rsidR="00D40151" w:rsidRPr="00873B6C" w:rsidRDefault="00D40151" w:rsidP="00D40151">
      <w:pPr>
        <w:pStyle w:val="EX"/>
      </w:pPr>
      <w:r w:rsidRPr="00873B6C">
        <w:t>[81]</w:t>
      </w:r>
      <w:r w:rsidRPr="00873B6C">
        <w:tab/>
        <w:t>IETF RFC 8684: "TCP Extensions for Multipath Operation with Multiple Addresses".</w:t>
      </w:r>
    </w:p>
    <w:p w14:paraId="6A04D098" w14:textId="77777777" w:rsidR="00D40151" w:rsidRPr="00873B6C" w:rsidRDefault="00D40151" w:rsidP="00D40151">
      <w:pPr>
        <w:pStyle w:val="EX"/>
      </w:pPr>
      <w:r w:rsidRPr="00873B6C">
        <w:t>[82]</w:t>
      </w:r>
      <w:r w:rsidRPr="00873B6C">
        <w:tab/>
        <w:t>IETF RFC 8803: "0-RTT TCP Convert Protocol".</w:t>
      </w:r>
    </w:p>
    <w:p w14:paraId="55C34C7B" w14:textId="77777777" w:rsidR="00D40151" w:rsidRPr="00873B6C" w:rsidRDefault="00D40151" w:rsidP="00D40151">
      <w:pPr>
        <w:pStyle w:val="EX"/>
      </w:pPr>
      <w:r w:rsidRPr="00873B6C">
        <w:t>[83]</w:t>
      </w:r>
      <w:r w:rsidRPr="00873B6C">
        <w:tab/>
        <w:t>IEEE Std 802.1CB-2017: "IEEE Standard for Local and metropolitan area networks-Frame Replication and Elimination for Reliability".</w:t>
      </w:r>
    </w:p>
    <w:p w14:paraId="4059EECA" w14:textId="08C891E2" w:rsidR="00D40151" w:rsidRPr="00873B6C" w:rsidRDefault="00D40151" w:rsidP="00D40151">
      <w:pPr>
        <w:pStyle w:val="EX"/>
      </w:pPr>
      <w:r w:rsidRPr="00873B6C">
        <w:t>[84]</w:t>
      </w:r>
      <w:r w:rsidRPr="00873B6C">
        <w:tab/>
      </w:r>
      <w:r w:rsidR="00972E70" w:rsidRPr="00873B6C">
        <w:t>3GPP TS 23.316:</w:t>
      </w:r>
      <w:r w:rsidRPr="00873B6C">
        <w:t xml:space="preserve"> "Wireless and wireline convergence access support for the 5G System (5GS)".</w:t>
      </w:r>
    </w:p>
    <w:p w14:paraId="552A88A2" w14:textId="77777777" w:rsidR="00D40151" w:rsidRPr="00873B6C" w:rsidRDefault="00D40151" w:rsidP="00D40151">
      <w:pPr>
        <w:pStyle w:val="EX"/>
      </w:pPr>
      <w:r w:rsidRPr="00873B6C">
        <w:t>[85]</w:t>
      </w:r>
      <w:r w:rsidRPr="00873B6C">
        <w:tab/>
        <w:t>WiFi Alliance Technical Committee, Hotspot 2.0 Technical Task Group: "Hotspot 2.0 (Release 2) Technical Specification".</w:t>
      </w:r>
    </w:p>
    <w:p w14:paraId="5BC8931B" w14:textId="6B9223D2" w:rsidR="00D40151" w:rsidRPr="00873B6C" w:rsidRDefault="00D40151" w:rsidP="00D40151">
      <w:pPr>
        <w:pStyle w:val="EX"/>
      </w:pPr>
      <w:r w:rsidRPr="00873B6C">
        <w:t>[86]</w:t>
      </w:r>
      <w:r w:rsidRPr="00873B6C">
        <w:tab/>
      </w:r>
      <w:r w:rsidR="00972E70" w:rsidRPr="00873B6C">
        <w:t>3GPP TS 23.288:</w:t>
      </w:r>
      <w:r w:rsidRPr="00873B6C">
        <w:t xml:space="preserve"> "Architecture enhancements for 5G System (5GS) to support network data analytics services".</w:t>
      </w:r>
    </w:p>
    <w:p w14:paraId="38C04DFF" w14:textId="0D4F5367" w:rsidR="00D40151" w:rsidRPr="00873B6C" w:rsidRDefault="00D40151" w:rsidP="00D40151">
      <w:pPr>
        <w:pStyle w:val="EX"/>
      </w:pPr>
      <w:r w:rsidRPr="00873B6C">
        <w:t>[87]</w:t>
      </w:r>
      <w:r w:rsidRPr="00873B6C">
        <w:tab/>
      </w:r>
      <w:r w:rsidR="00972E70" w:rsidRPr="00873B6C">
        <w:t>3GPP TS 23.273:</w:t>
      </w:r>
      <w:r w:rsidRPr="00873B6C">
        <w:t xml:space="preserve"> "5G System (5GS) Location Services (LCS); Stage 2".</w:t>
      </w:r>
    </w:p>
    <w:p w14:paraId="447D0BA6" w14:textId="2C44C117" w:rsidR="00D40151" w:rsidRPr="00873B6C" w:rsidRDefault="00D40151" w:rsidP="00D40151">
      <w:pPr>
        <w:pStyle w:val="EX"/>
      </w:pPr>
      <w:r w:rsidRPr="00873B6C">
        <w:t>[88]</w:t>
      </w:r>
      <w:r w:rsidRPr="00873B6C">
        <w:tab/>
      </w:r>
      <w:r w:rsidR="00972E70" w:rsidRPr="00873B6C">
        <w:t>3GPP TS 23.216:</w:t>
      </w:r>
      <w:r w:rsidRPr="00873B6C">
        <w:t xml:space="preserve"> "Single Radio Voice Call Continuity (SRVCC); Stage 2".</w:t>
      </w:r>
    </w:p>
    <w:p w14:paraId="0C34BB3F" w14:textId="77777777" w:rsidR="00D40151" w:rsidRPr="00873B6C" w:rsidRDefault="00D40151" w:rsidP="00D40151">
      <w:pPr>
        <w:pStyle w:val="EX"/>
      </w:pPr>
      <w:r w:rsidRPr="00873B6C">
        <w:t>[89]</w:t>
      </w:r>
      <w:r w:rsidRPr="00873B6C">
        <w:tab/>
        <w:t>CableLabs DOCSIS MULPI: "Data-Over-Cable Service Interface Specifications DOCSIS 3.1, MAC and Upper Layer Protocols Interface Specification".</w:t>
      </w:r>
    </w:p>
    <w:p w14:paraId="5E000E7E" w14:textId="373958B1" w:rsidR="00D40151" w:rsidRPr="00873B6C" w:rsidRDefault="00D40151" w:rsidP="00D40151">
      <w:pPr>
        <w:pStyle w:val="EX"/>
      </w:pPr>
      <w:r w:rsidRPr="00873B6C">
        <w:t>[90]</w:t>
      </w:r>
      <w:r w:rsidRPr="00873B6C">
        <w:tab/>
        <w:t>BBF</w:t>
      </w:r>
      <w:r w:rsidR="005309E6" w:rsidRPr="00873B6C">
        <w:t> </w:t>
      </w:r>
      <w:r w:rsidRPr="00873B6C">
        <w:t>TR-124 issue 5: "Functional Requirements for Broadband Residential Gateway Devices".</w:t>
      </w:r>
    </w:p>
    <w:p w14:paraId="4338D0DD" w14:textId="2A9E2EC0" w:rsidR="00D40151" w:rsidRPr="00873B6C" w:rsidRDefault="00D40151" w:rsidP="00D40151">
      <w:pPr>
        <w:pStyle w:val="EX"/>
      </w:pPr>
      <w:r w:rsidRPr="00873B6C">
        <w:t>[91]</w:t>
      </w:r>
      <w:r w:rsidRPr="00873B6C">
        <w:tab/>
        <w:t>BBF</w:t>
      </w:r>
      <w:r w:rsidR="005309E6" w:rsidRPr="00873B6C">
        <w:t> </w:t>
      </w:r>
      <w:r w:rsidRPr="00873B6C">
        <w:t>TR-101 issue 2: "Migration to Ethernet-Based Broadband Aggregation".</w:t>
      </w:r>
    </w:p>
    <w:p w14:paraId="75B186FF" w14:textId="36F3144E" w:rsidR="00D40151" w:rsidRPr="00873B6C" w:rsidRDefault="00D40151" w:rsidP="00D40151">
      <w:pPr>
        <w:pStyle w:val="EX"/>
      </w:pPr>
      <w:r w:rsidRPr="00873B6C">
        <w:t>[92]</w:t>
      </w:r>
      <w:r w:rsidRPr="00873B6C">
        <w:tab/>
        <w:t>BBF</w:t>
      </w:r>
      <w:r w:rsidR="005309E6" w:rsidRPr="00873B6C">
        <w:t> </w:t>
      </w:r>
      <w:r w:rsidRPr="00873B6C">
        <w:t>TR-178 issue 1: "Multi-service Broadband Network Architecture and Nodal Requirements".</w:t>
      </w:r>
    </w:p>
    <w:p w14:paraId="3694E73D" w14:textId="7BD7D842" w:rsidR="00D40151" w:rsidRPr="00873B6C" w:rsidRDefault="00D40151" w:rsidP="00D40151">
      <w:pPr>
        <w:pStyle w:val="EX"/>
      </w:pPr>
      <w:r w:rsidRPr="00873B6C">
        <w:t>[93]</w:t>
      </w:r>
      <w:r w:rsidRPr="00873B6C">
        <w:tab/>
        <w:t>BBF</w:t>
      </w:r>
      <w:r w:rsidR="005309E6" w:rsidRPr="00873B6C">
        <w:t> </w:t>
      </w:r>
      <w:r w:rsidRPr="00873B6C">
        <w:t>T</w:t>
      </w:r>
      <w:r w:rsidR="008A60FE" w:rsidRPr="00873B6C">
        <w:t>R</w:t>
      </w:r>
      <w:r w:rsidRPr="00873B6C">
        <w:t>-456</w:t>
      </w:r>
      <w:r w:rsidR="008A60FE" w:rsidRPr="00873B6C">
        <w:t xml:space="preserve"> issue </w:t>
      </w:r>
      <w:r w:rsidR="005309E6" w:rsidRPr="00873B6C">
        <w:t>2</w:t>
      </w:r>
      <w:r w:rsidRPr="00873B6C">
        <w:t>: "AGF Functional Requirements".</w:t>
      </w:r>
    </w:p>
    <w:p w14:paraId="0977D9B8" w14:textId="4626845C" w:rsidR="00D40151" w:rsidRPr="00873B6C" w:rsidRDefault="00D40151" w:rsidP="00D40151">
      <w:pPr>
        <w:pStyle w:val="EX"/>
      </w:pPr>
      <w:r w:rsidRPr="00873B6C">
        <w:t>[94]</w:t>
      </w:r>
      <w:r w:rsidRPr="00873B6C">
        <w:tab/>
        <w:t>BBF</w:t>
      </w:r>
      <w:r w:rsidR="005309E6" w:rsidRPr="00873B6C">
        <w:t> </w:t>
      </w:r>
      <w:r w:rsidRPr="00873B6C">
        <w:t>WT-457: "FMIF Functional Requirements".</w:t>
      </w:r>
    </w:p>
    <w:p w14:paraId="55E8110E" w14:textId="166DEA5F" w:rsidR="00D40151" w:rsidRPr="00873B6C" w:rsidRDefault="00D40151" w:rsidP="00D40151">
      <w:pPr>
        <w:pStyle w:val="EditorsNote"/>
      </w:pPr>
      <w:r w:rsidRPr="00873B6C">
        <w:t>Editor's note:</w:t>
      </w:r>
      <w:r w:rsidRPr="00873B6C">
        <w:tab/>
        <w:t>The reference to BBF WT-457 will be revised when finalized by BBF.</w:t>
      </w:r>
    </w:p>
    <w:p w14:paraId="42E31C2E" w14:textId="2385ACBF" w:rsidR="00D40151" w:rsidRPr="00873B6C" w:rsidRDefault="00D40151" w:rsidP="00D40151">
      <w:pPr>
        <w:pStyle w:val="EX"/>
      </w:pPr>
      <w:r w:rsidRPr="00873B6C">
        <w:t>[95]</w:t>
      </w:r>
      <w:r w:rsidR="007C1B83" w:rsidRPr="00873B6C">
        <w:tab/>
        <w:t>Void</w:t>
      </w:r>
      <w:r w:rsidRPr="00873B6C">
        <w:t>.</w:t>
      </w:r>
    </w:p>
    <w:p w14:paraId="1DBCDF3D" w14:textId="77777777" w:rsidR="00D40151" w:rsidRPr="00873B6C" w:rsidRDefault="00D40151" w:rsidP="00D40151">
      <w:pPr>
        <w:pStyle w:val="EX"/>
      </w:pPr>
      <w:r w:rsidRPr="00873B6C">
        <w:t>[96]</w:t>
      </w:r>
      <w:r w:rsidRPr="00873B6C">
        <w:tab/>
        <w:t>Void.</w:t>
      </w:r>
    </w:p>
    <w:p w14:paraId="71CCE86C" w14:textId="77777777" w:rsidR="00D40151" w:rsidRPr="00873B6C" w:rsidRDefault="00D40151" w:rsidP="00D40151">
      <w:pPr>
        <w:pStyle w:val="EX"/>
      </w:pPr>
      <w:r w:rsidRPr="00873B6C">
        <w:t>[97]</w:t>
      </w:r>
      <w:r w:rsidRPr="00873B6C">
        <w:tab/>
        <w:t>IEEE Std 802.1AB-2016: "IEEE Standard for Local and metropolitan area networks -- Station and Media Access Control Connectivity Discovery".</w:t>
      </w:r>
    </w:p>
    <w:p w14:paraId="5CFD5917" w14:textId="5A40DE26" w:rsidR="00D40151" w:rsidRPr="00873B6C" w:rsidRDefault="00D40151" w:rsidP="00D40151">
      <w:pPr>
        <w:pStyle w:val="EX"/>
      </w:pPr>
      <w:r w:rsidRPr="00873B6C">
        <w:t>[98]</w:t>
      </w:r>
      <w:r w:rsidRPr="00873B6C">
        <w:tab/>
        <w:t>IEEE Std 802.1Q-</w:t>
      </w:r>
      <w:r w:rsidR="007C1B83" w:rsidRPr="00873B6C">
        <w:t>2022</w:t>
      </w:r>
      <w:r w:rsidRPr="00873B6C">
        <w:t>: "IEEE Standard for Local and metropolitan area networks--Bridges and Bridged Networks".</w:t>
      </w:r>
    </w:p>
    <w:p w14:paraId="7E4FA9E2" w14:textId="71D4C106" w:rsidR="00D40151" w:rsidRPr="00873B6C" w:rsidRDefault="00D40151" w:rsidP="00D40151">
      <w:pPr>
        <w:pStyle w:val="EX"/>
      </w:pPr>
      <w:r w:rsidRPr="00873B6C">
        <w:t>[99]</w:t>
      </w:r>
      <w:r w:rsidRPr="00873B6C">
        <w:tab/>
      </w:r>
      <w:r w:rsidR="00972E70" w:rsidRPr="00873B6C">
        <w:t>3GPP TS 38.423:</w:t>
      </w:r>
      <w:r w:rsidRPr="00873B6C">
        <w:t xml:space="preserve"> "NG-RAN; Xn Application Protocol (XnAP)".</w:t>
      </w:r>
    </w:p>
    <w:p w14:paraId="51353DD5" w14:textId="0B1B541D" w:rsidR="00D40151" w:rsidRPr="00873B6C" w:rsidRDefault="00D40151" w:rsidP="00D40151">
      <w:pPr>
        <w:pStyle w:val="EX"/>
      </w:pPr>
      <w:r w:rsidRPr="00873B6C">
        <w:t>[100]</w:t>
      </w:r>
      <w:r w:rsidRPr="00873B6C">
        <w:tab/>
      </w:r>
      <w:r w:rsidR="00972E70" w:rsidRPr="00873B6C">
        <w:t>3GPP TS 36.413:</w:t>
      </w:r>
      <w:r w:rsidRPr="00873B6C">
        <w:t xml:space="preserve"> "Evolved Universal Terrestrial Radio Access Network (E-UTRAN); S1 Application Protocol (S1AP)".</w:t>
      </w:r>
    </w:p>
    <w:p w14:paraId="0292029A" w14:textId="05EB7564" w:rsidR="00D40151" w:rsidRPr="00873B6C" w:rsidRDefault="00D40151" w:rsidP="00D40151">
      <w:pPr>
        <w:pStyle w:val="EX"/>
      </w:pPr>
      <w:r w:rsidRPr="00873B6C">
        <w:t>[101]</w:t>
      </w:r>
      <w:r w:rsidRPr="00873B6C">
        <w:tab/>
      </w:r>
      <w:r w:rsidR="00972E70" w:rsidRPr="00873B6C">
        <w:t>3GPP TS 29.274:</w:t>
      </w:r>
      <w:r w:rsidRPr="00873B6C">
        <w:t xml:space="preserve"> "Evolved General Packet Radio Service (GPRS) Tunnelling Protocol for Control plane (GTPv2-C); Stage 3".</w:t>
      </w:r>
    </w:p>
    <w:p w14:paraId="367A88D7" w14:textId="297DDA9A" w:rsidR="00D40151" w:rsidRPr="00873B6C" w:rsidRDefault="00D40151" w:rsidP="00D40151">
      <w:pPr>
        <w:pStyle w:val="EX"/>
      </w:pPr>
      <w:r w:rsidRPr="00873B6C">
        <w:t>[102]</w:t>
      </w:r>
      <w:r w:rsidRPr="00873B6C">
        <w:tab/>
      </w:r>
      <w:r w:rsidR="00972E70" w:rsidRPr="00873B6C">
        <w:t>3GPP TS 23.632:</w:t>
      </w:r>
      <w:r w:rsidRPr="00873B6C">
        <w:t xml:space="preserve"> "User Data Interworking, Coexistence and Migration; stage 2".</w:t>
      </w:r>
    </w:p>
    <w:p w14:paraId="15E0711C" w14:textId="67609101" w:rsidR="00D40151" w:rsidRPr="00873B6C" w:rsidRDefault="00D40151" w:rsidP="00D40151">
      <w:pPr>
        <w:pStyle w:val="EX"/>
      </w:pPr>
      <w:r w:rsidRPr="00873B6C">
        <w:lastRenderedPageBreak/>
        <w:t>[103]</w:t>
      </w:r>
      <w:r w:rsidRPr="00873B6C">
        <w:tab/>
      </w:r>
      <w:r w:rsidR="00972E70" w:rsidRPr="00873B6C">
        <w:t>3GPP TS 29.563:</w:t>
      </w:r>
      <w:r w:rsidRPr="00873B6C">
        <w:t xml:space="preserve"> "5G System (5GS); HSS services for interworking with UDM; Stage 3".</w:t>
      </w:r>
    </w:p>
    <w:p w14:paraId="5E5FF0D9" w14:textId="77777777" w:rsidR="00D40151" w:rsidRPr="00873B6C" w:rsidRDefault="00D40151" w:rsidP="00D40151">
      <w:pPr>
        <w:pStyle w:val="EX"/>
      </w:pPr>
      <w:r w:rsidRPr="00873B6C">
        <w:t>[104]</w:t>
      </w:r>
      <w:r w:rsidRPr="00873B6C">
        <w:tab/>
        <w:t>IEEE Std 802.1AS-2020: "IEEE Standard for Local and metropolitan area networks--Timing and Synchronization for Time-Sensitive Applications".</w:t>
      </w:r>
    </w:p>
    <w:p w14:paraId="21A79F15" w14:textId="0EB55F2A" w:rsidR="00D40151" w:rsidRPr="00873B6C" w:rsidRDefault="00D40151" w:rsidP="00D40151">
      <w:pPr>
        <w:pStyle w:val="EX"/>
      </w:pPr>
      <w:r w:rsidRPr="00873B6C">
        <w:t>[105]</w:t>
      </w:r>
      <w:r w:rsidRPr="00873B6C">
        <w:tab/>
      </w:r>
      <w:r w:rsidR="00972E70" w:rsidRPr="00873B6C">
        <w:t>3GPP TS 22.104:</w:t>
      </w:r>
      <w:r w:rsidRPr="00873B6C">
        <w:t xml:space="preserve"> "Service requirements for cyber-physical control applications in vertical domains".</w:t>
      </w:r>
    </w:p>
    <w:p w14:paraId="368EB1D6" w14:textId="77777777" w:rsidR="00D40151" w:rsidRPr="00873B6C" w:rsidRDefault="00D40151" w:rsidP="00D40151">
      <w:pPr>
        <w:pStyle w:val="EX"/>
      </w:pPr>
      <w:r w:rsidRPr="00873B6C">
        <w:t>[106]</w:t>
      </w:r>
      <w:r w:rsidRPr="00873B6C">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873B6C" w:rsidRDefault="00D40151" w:rsidP="00D40151">
      <w:pPr>
        <w:pStyle w:val="EX"/>
      </w:pPr>
      <w:r w:rsidRPr="00873B6C">
        <w:t>[107]</w:t>
      </w:r>
      <w:r w:rsidRPr="00873B6C">
        <w:tab/>
        <w:t>IEEE Std 1588-2008: "IEEE Standard for a Precision Clock Synchronization Protocol for Networked Measurement and Control</w:t>
      </w:r>
      <w:r w:rsidR="00BD3ADB" w:rsidRPr="00873B6C">
        <w:t xml:space="preserve"> Systems</w:t>
      </w:r>
      <w:r w:rsidRPr="00873B6C">
        <w:t>".</w:t>
      </w:r>
    </w:p>
    <w:p w14:paraId="5FF6015D" w14:textId="70F8A33D" w:rsidR="00D40151" w:rsidRPr="00873B6C" w:rsidRDefault="00D40151" w:rsidP="00D40151">
      <w:pPr>
        <w:pStyle w:val="EX"/>
      </w:pPr>
      <w:r w:rsidRPr="00873B6C">
        <w:t>[108]</w:t>
      </w:r>
      <w:r w:rsidRPr="00873B6C">
        <w:tab/>
      </w:r>
      <w:r w:rsidR="00972E70" w:rsidRPr="00873B6C">
        <w:t>3GPP TS 28.552:</w:t>
      </w:r>
      <w:r w:rsidRPr="00873B6C">
        <w:t xml:space="preserve"> "Management and orchestration; 5G performance measurements".</w:t>
      </w:r>
    </w:p>
    <w:p w14:paraId="7B9F3AED" w14:textId="77C93010" w:rsidR="00D40151" w:rsidRPr="00873B6C" w:rsidRDefault="00D40151" w:rsidP="00D40151">
      <w:pPr>
        <w:pStyle w:val="EX"/>
      </w:pPr>
      <w:r w:rsidRPr="00873B6C">
        <w:t>[109]</w:t>
      </w:r>
      <w:r w:rsidRPr="00873B6C">
        <w:tab/>
      </w:r>
      <w:r w:rsidR="00972E70" w:rsidRPr="00873B6C">
        <w:t>3GPP TS 24.193:</w:t>
      </w:r>
      <w:r w:rsidRPr="00873B6C">
        <w:t xml:space="preserve"> "Access Traffic Steering, Switching and Splitting; Stage 3".</w:t>
      </w:r>
    </w:p>
    <w:p w14:paraId="26A496C0" w14:textId="1D9635C3" w:rsidR="00D40151" w:rsidRPr="00873B6C" w:rsidRDefault="00D40151" w:rsidP="00D40151">
      <w:pPr>
        <w:pStyle w:val="EX"/>
      </w:pPr>
      <w:r w:rsidRPr="00873B6C">
        <w:t>[110]</w:t>
      </w:r>
      <w:r w:rsidRPr="00873B6C">
        <w:tab/>
      </w:r>
      <w:r w:rsidR="00972E70" w:rsidRPr="00873B6C">
        <w:t>3GPP TS 24.526:</w:t>
      </w:r>
      <w:r w:rsidRPr="00873B6C">
        <w:t xml:space="preserve"> "User Equipment (UE) policies for 5G System (5GS); Stage 3".</w:t>
      </w:r>
    </w:p>
    <w:p w14:paraId="133818F2" w14:textId="17E005E7" w:rsidR="00D40151" w:rsidRPr="00873B6C" w:rsidRDefault="00D40151" w:rsidP="00D40151">
      <w:pPr>
        <w:pStyle w:val="EX"/>
      </w:pPr>
      <w:bookmarkStart w:id="32" w:name="_Toc20149625"/>
      <w:r w:rsidRPr="00873B6C">
        <w:t>[111]</w:t>
      </w:r>
      <w:r w:rsidRPr="00873B6C">
        <w:tab/>
      </w:r>
      <w:r w:rsidR="00972E70" w:rsidRPr="00873B6C">
        <w:t>3GPP TS 22.186:</w:t>
      </w:r>
      <w:r w:rsidRPr="00873B6C">
        <w:t xml:space="preserve"> "Enhancement of 3GPP support for V2X scenarios; Stage 1".</w:t>
      </w:r>
    </w:p>
    <w:p w14:paraId="6A21C38B" w14:textId="1EAFB03F" w:rsidR="00D40151" w:rsidRPr="00873B6C" w:rsidRDefault="00D40151" w:rsidP="00D40151">
      <w:pPr>
        <w:pStyle w:val="EX"/>
      </w:pPr>
      <w:r w:rsidRPr="00873B6C">
        <w:t>[112]</w:t>
      </w:r>
      <w:r w:rsidRPr="00873B6C">
        <w:tab/>
      </w:r>
      <w:r w:rsidR="00972E70" w:rsidRPr="00873B6C">
        <w:t>3GPP TR 38.824:</w:t>
      </w:r>
      <w:r w:rsidRPr="00873B6C">
        <w:t xml:space="preserve"> "Study on physical layer enhancements for NR ultra-reliable and low latency case (URLLC)".</w:t>
      </w:r>
    </w:p>
    <w:p w14:paraId="2C579E36" w14:textId="59864F09" w:rsidR="00D40151" w:rsidRPr="00873B6C" w:rsidRDefault="00D40151" w:rsidP="00D40151">
      <w:pPr>
        <w:pStyle w:val="EX"/>
      </w:pPr>
      <w:r w:rsidRPr="00873B6C">
        <w:t>[113]</w:t>
      </w:r>
      <w:r w:rsidRPr="00873B6C">
        <w:tab/>
        <w:t>IEEE: "Guidelines for Use of Extended Unique Identifier (EUI), Organizationally Unique Identifier (OUI)</w:t>
      </w:r>
      <w:r w:rsidR="00472CD7" w:rsidRPr="00873B6C">
        <w:t xml:space="preserve"> and</w:t>
      </w:r>
      <w:r w:rsidRPr="00873B6C">
        <w:t xml:space="preserve"> Company ID (CID)", https://standards.ieee.org/content/dam/ieee-standards/standards/web/documents/tutorials/eui.pdf.</w:t>
      </w:r>
    </w:p>
    <w:p w14:paraId="385D5AFB" w14:textId="3C3403B8" w:rsidR="00D40151" w:rsidRPr="00873B6C" w:rsidRDefault="00D40151" w:rsidP="00D40151">
      <w:pPr>
        <w:pStyle w:val="EX"/>
      </w:pPr>
      <w:r w:rsidRPr="00873B6C">
        <w:t>[114]</w:t>
      </w:r>
      <w:r w:rsidRPr="00873B6C">
        <w:tab/>
      </w:r>
      <w:r w:rsidR="00972E70" w:rsidRPr="00873B6C">
        <w:t>3GPP TS 32.256:</w:t>
      </w:r>
      <w:r w:rsidRPr="00873B6C">
        <w:t xml:space="preserve"> "Charging Management; 5G connection and mobility domain charging; Stage 2".</w:t>
      </w:r>
    </w:p>
    <w:p w14:paraId="70780F18" w14:textId="6AF9F571" w:rsidR="00D40151" w:rsidRPr="00873B6C" w:rsidRDefault="00D40151" w:rsidP="00D40151">
      <w:pPr>
        <w:pStyle w:val="EX"/>
      </w:pPr>
      <w:bookmarkStart w:id="33" w:name="_Toc27846416"/>
      <w:r w:rsidRPr="00873B6C">
        <w:t>[115]</w:t>
      </w:r>
      <w:r w:rsidRPr="00873B6C">
        <w:tab/>
      </w:r>
      <w:r w:rsidR="00972E70" w:rsidRPr="00873B6C">
        <w:t>3GPP TS 33.210:</w:t>
      </w:r>
      <w:r w:rsidRPr="00873B6C">
        <w:t xml:space="preserve"> "Network Domain Security (NDS); IP network layer security".</w:t>
      </w:r>
    </w:p>
    <w:p w14:paraId="48E80999" w14:textId="711C5D74" w:rsidR="00D40151" w:rsidRPr="00873B6C" w:rsidRDefault="00D40151" w:rsidP="00D40151">
      <w:pPr>
        <w:pStyle w:val="EX"/>
      </w:pPr>
      <w:r w:rsidRPr="00873B6C">
        <w:t>[116]</w:t>
      </w:r>
      <w:r w:rsidRPr="00873B6C">
        <w:tab/>
      </w:r>
      <w:r w:rsidR="00972E70" w:rsidRPr="00873B6C">
        <w:t>3GPP TS 38.415:</w:t>
      </w:r>
      <w:r w:rsidRPr="00873B6C">
        <w:t xml:space="preserve"> "PDU Session User Plane Protocol".</w:t>
      </w:r>
    </w:p>
    <w:p w14:paraId="08C5126B" w14:textId="41C349DD" w:rsidR="00D40151" w:rsidRPr="00873B6C" w:rsidRDefault="00D40151" w:rsidP="00D40151">
      <w:pPr>
        <w:pStyle w:val="EX"/>
      </w:pPr>
      <w:r w:rsidRPr="00873B6C">
        <w:t>[117]</w:t>
      </w:r>
      <w:r w:rsidRPr="00873B6C">
        <w:tab/>
      </w:r>
      <w:r w:rsidR="00972E70" w:rsidRPr="00873B6C">
        <w:t>3GPP TS 24.535:</w:t>
      </w:r>
      <w:r w:rsidRPr="00873B6C">
        <w:t xml:space="preserve"> "Device-side Time-Sensitive Networking (TSN) Translator (DS-TT) to network-side TSN Translator (NW-TT) protocol aspects; Stage 3".</w:t>
      </w:r>
    </w:p>
    <w:p w14:paraId="0B605290" w14:textId="7825B173" w:rsidR="00D40151" w:rsidRPr="00873B6C" w:rsidRDefault="00D40151" w:rsidP="00D40151">
      <w:pPr>
        <w:pStyle w:val="EX"/>
      </w:pPr>
      <w:r w:rsidRPr="00873B6C">
        <w:t>[118]</w:t>
      </w:r>
      <w:r w:rsidRPr="00873B6C">
        <w:tab/>
      </w:r>
      <w:r w:rsidR="00972E70" w:rsidRPr="00873B6C">
        <w:t>3GPP TS 32.274:</w:t>
      </w:r>
      <w:r w:rsidRPr="00873B6C">
        <w:t xml:space="preserve"> "Charging Management; Short Message Service (SMS) charging".</w:t>
      </w:r>
    </w:p>
    <w:p w14:paraId="094C20ED" w14:textId="6363C1F3" w:rsidR="00D40151" w:rsidRPr="00873B6C" w:rsidRDefault="00D40151" w:rsidP="00D40151">
      <w:pPr>
        <w:pStyle w:val="EX"/>
      </w:pPr>
      <w:r w:rsidRPr="00873B6C">
        <w:t>[119]</w:t>
      </w:r>
      <w:r w:rsidRPr="00873B6C">
        <w:tab/>
      </w:r>
      <w:r w:rsidR="00972E70" w:rsidRPr="00873B6C">
        <w:t>3GPP TS 23.008:</w:t>
      </w:r>
      <w:r w:rsidRPr="00873B6C">
        <w:t xml:space="preserve"> "Organization of subscriber data".</w:t>
      </w:r>
    </w:p>
    <w:p w14:paraId="4897E9EE" w14:textId="60837E84" w:rsidR="00D40151" w:rsidRPr="00873B6C" w:rsidRDefault="00D40151" w:rsidP="00D40151">
      <w:pPr>
        <w:pStyle w:val="EX"/>
      </w:pPr>
      <w:bookmarkStart w:id="34" w:name="_Toc36187540"/>
      <w:r w:rsidRPr="00873B6C">
        <w:t>[120]</w:t>
      </w:r>
      <w:r w:rsidRPr="00873B6C">
        <w:tab/>
      </w:r>
      <w:r w:rsidR="00972E70" w:rsidRPr="00873B6C">
        <w:t>3GPP TS 38.314:</w:t>
      </w:r>
      <w:r w:rsidRPr="00873B6C">
        <w:t xml:space="preserve"> "NR; Layer 2 measurements".</w:t>
      </w:r>
    </w:p>
    <w:p w14:paraId="06F63465" w14:textId="2791BF37" w:rsidR="00D40151" w:rsidRPr="00873B6C" w:rsidRDefault="00D40151" w:rsidP="00D40151">
      <w:pPr>
        <w:pStyle w:val="EX"/>
      </w:pPr>
      <w:r w:rsidRPr="00873B6C">
        <w:t>[121]</w:t>
      </w:r>
      <w:r w:rsidRPr="00873B6C">
        <w:tab/>
      </w:r>
      <w:r w:rsidR="00972E70" w:rsidRPr="00873B6C">
        <w:t>3GPP TS 23.287:</w:t>
      </w:r>
      <w:r w:rsidRPr="00873B6C">
        <w:t xml:space="preserve"> "Architecture enhancements for 5G System (5GS) to support Vehicle-to-Everything (V2X) services".</w:t>
      </w:r>
    </w:p>
    <w:p w14:paraId="2E44AD81" w14:textId="37C8BBF8" w:rsidR="00D40151" w:rsidRPr="00873B6C" w:rsidRDefault="00D40151" w:rsidP="00D40151">
      <w:pPr>
        <w:pStyle w:val="EX"/>
      </w:pPr>
      <w:r w:rsidRPr="00873B6C">
        <w:t>[122]</w:t>
      </w:r>
      <w:r w:rsidRPr="00873B6C">
        <w:tab/>
      </w:r>
      <w:r w:rsidR="00972E70" w:rsidRPr="00873B6C">
        <w:t>3GPP TS 29.503:</w:t>
      </w:r>
      <w:r w:rsidRPr="00873B6C">
        <w:t xml:space="preserve"> "5G System; Unified Data Management Services; Stage 3".</w:t>
      </w:r>
    </w:p>
    <w:p w14:paraId="63B0C3DB" w14:textId="7E8B41DC" w:rsidR="008A60FE" w:rsidRPr="00873B6C" w:rsidRDefault="008A60FE" w:rsidP="008A60FE">
      <w:pPr>
        <w:pStyle w:val="EX"/>
      </w:pPr>
      <w:bookmarkStart w:id="35" w:name="_Toc45183444"/>
      <w:bookmarkStart w:id="36" w:name="_Toc47342286"/>
      <w:bookmarkStart w:id="37" w:name="_Toc51768984"/>
      <w:r w:rsidRPr="00873B6C">
        <w:t>[123]</w:t>
      </w:r>
      <w:r w:rsidRPr="00873B6C">
        <w:tab/>
      </w:r>
      <w:r w:rsidR="00972E70" w:rsidRPr="00873B6C">
        <w:t>3GPP TS 32.254:</w:t>
      </w:r>
      <w:r w:rsidRPr="00873B6C">
        <w:t xml:space="preserve"> "Charging management; Exposure function Northbound Application Program Interfaces (APIs) charging".</w:t>
      </w:r>
    </w:p>
    <w:p w14:paraId="63A65AA2" w14:textId="70AA649E" w:rsidR="00C05113" w:rsidRPr="00873B6C" w:rsidRDefault="00C05113" w:rsidP="00C05113">
      <w:pPr>
        <w:pStyle w:val="EX"/>
      </w:pPr>
      <w:r w:rsidRPr="00873B6C">
        <w:t>[124]</w:t>
      </w:r>
      <w:r w:rsidRPr="00873B6C">
        <w:tab/>
      </w:r>
      <w:r w:rsidR="00972E70" w:rsidRPr="00873B6C">
        <w:t>3GPP TS 33.535:</w:t>
      </w:r>
      <w:r w:rsidRPr="00873B6C">
        <w:t xml:space="preserve"> "Authentication and Key Management for Applications based on 3GPP credentials in the 5G System (5GS)".</w:t>
      </w:r>
    </w:p>
    <w:p w14:paraId="416EEF04" w14:textId="2394D5BF" w:rsidR="00DC49BB" w:rsidRPr="00873B6C" w:rsidRDefault="00DC49BB" w:rsidP="00DC49BB">
      <w:pPr>
        <w:pStyle w:val="EX"/>
      </w:pPr>
      <w:r w:rsidRPr="00873B6C">
        <w:t>[125]</w:t>
      </w:r>
      <w:r w:rsidRPr="00873B6C">
        <w:tab/>
      </w:r>
      <w:r w:rsidR="00972E70" w:rsidRPr="00873B6C">
        <w:t>3GPP TS 38.410:</w:t>
      </w:r>
      <w:r w:rsidRPr="00873B6C">
        <w:t xml:space="preserve"> "NG-RAN; NG general aspects and principles".</w:t>
      </w:r>
    </w:p>
    <w:p w14:paraId="0094A6BF" w14:textId="44A1AD88" w:rsidR="00BD3ADB" w:rsidRPr="00873B6C" w:rsidRDefault="00BD3ADB" w:rsidP="00BD3ADB">
      <w:pPr>
        <w:pStyle w:val="EX"/>
      </w:pPr>
      <w:r w:rsidRPr="00873B6C">
        <w:t>[126]</w:t>
      </w:r>
      <w:r w:rsidRPr="00873B6C">
        <w:tab/>
        <w:t>IEEE Std 1588: "IEEE Standard for a Precision Clock Synchronization Protocol for Networked Measurement and Control Systems"</w:t>
      </w:r>
      <w:r w:rsidR="00426DE4" w:rsidRPr="00873B6C">
        <w:t>, Edition 2019</w:t>
      </w:r>
      <w:r w:rsidRPr="00873B6C">
        <w:t>.</w:t>
      </w:r>
    </w:p>
    <w:p w14:paraId="3EEA04F7" w14:textId="0F4BE67D" w:rsidR="00BD3ADB" w:rsidRPr="00873B6C" w:rsidRDefault="00BD3ADB" w:rsidP="00BD3ADB">
      <w:pPr>
        <w:pStyle w:val="EX"/>
      </w:pPr>
      <w:r w:rsidRPr="00873B6C">
        <w:t>[127]</w:t>
      </w:r>
      <w:r w:rsidRPr="00873B6C">
        <w:tab/>
        <w:t>ST 2059-2:2015: "SMPTE Standard - SMPTE Profile for Use of IEEE-1588 Precision Time Protocol in Professional Broadcast Applications".</w:t>
      </w:r>
    </w:p>
    <w:p w14:paraId="3718DF07" w14:textId="5FD2E964" w:rsidR="00405088" w:rsidRPr="00873B6C" w:rsidRDefault="00405088" w:rsidP="00405088">
      <w:pPr>
        <w:pStyle w:val="EX"/>
      </w:pPr>
      <w:r w:rsidRPr="00873B6C">
        <w:t>[128]</w:t>
      </w:r>
      <w:r w:rsidRPr="00873B6C">
        <w:tab/>
      </w:r>
      <w:r w:rsidR="00972E70" w:rsidRPr="00873B6C">
        <w:t>3GPP TS 23.304:</w:t>
      </w:r>
      <w:r w:rsidRPr="00873B6C">
        <w:t xml:space="preserve"> "Proximity based Services (ProSe) in the 5G System (5GS)".</w:t>
      </w:r>
    </w:p>
    <w:p w14:paraId="229A16B8" w14:textId="5B573FE8" w:rsidR="009D42BF" w:rsidRPr="00873B6C" w:rsidRDefault="009D42BF" w:rsidP="009D42BF">
      <w:pPr>
        <w:pStyle w:val="EX"/>
      </w:pPr>
      <w:r w:rsidRPr="00873B6C">
        <w:lastRenderedPageBreak/>
        <w:t>[129]</w:t>
      </w:r>
      <w:r w:rsidRPr="00873B6C">
        <w:tab/>
      </w:r>
      <w:r w:rsidR="00972E70" w:rsidRPr="00873B6C">
        <w:t>3GPP TS 23.247:</w:t>
      </w:r>
      <w:r w:rsidRPr="00873B6C">
        <w:t xml:space="preserve"> "Architectural enhancements for 5G multicast-broadcast services".</w:t>
      </w:r>
    </w:p>
    <w:p w14:paraId="6AEDCA10" w14:textId="576336DB" w:rsidR="00FD5C4A" w:rsidRPr="00873B6C" w:rsidRDefault="00FD5C4A" w:rsidP="00FD5C4A">
      <w:pPr>
        <w:pStyle w:val="EX"/>
      </w:pPr>
      <w:r w:rsidRPr="00873B6C">
        <w:t>[130]</w:t>
      </w:r>
      <w:r w:rsidRPr="00873B6C">
        <w:tab/>
      </w:r>
      <w:r w:rsidR="00972E70" w:rsidRPr="00873B6C">
        <w:t>3GPP TS 23.548:</w:t>
      </w:r>
      <w:r w:rsidR="00695DF1" w:rsidRPr="00873B6C">
        <w:t xml:space="preserve"> </w:t>
      </w:r>
      <w:r w:rsidRPr="00873B6C">
        <w:t>"5G System Enhancements for Edge Computing; Stage 2".</w:t>
      </w:r>
    </w:p>
    <w:p w14:paraId="4410D779" w14:textId="39035A59" w:rsidR="00607A94" w:rsidRPr="00873B6C" w:rsidRDefault="00607A94" w:rsidP="00607A94">
      <w:pPr>
        <w:pStyle w:val="EX"/>
      </w:pPr>
      <w:r w:rsidRPr="00873B6C">
        <w:t>[131]</w:t>
      </w:r>
      <w:r w:rsidRPr="00873B6C">
        <w:tab/>
        <w:t>IEEE Std 802.3: "Ethernet"</w:t>
      </w:r>
      <w:r w:rsidR="00182EE7" w:rsidRPr="00873B6C">
        <w:t>.</w:t>
      </w:r>
    </w:p>
    <w:p w14:paraId="111B0119" w14:textId="5050150F" w:rsidR="00607A94" w:rsidRPr="00873B6C" w:rsidRDefault="00607A94" w:rsidP="00607A94">
      <w:pPr>
        <w:pStyle w:val="EX"/>
      </w:pPr>
      <w:r w:rsidRPr="00873B6C">
        <w:t>[132]</w:t>
      </w:r>
      <w:r w:rsidRPr="00873B6C">
        <w:tab/>
      </w:r>
      <w:r w:rsidR="00972E70" w:rsidRPr="00873B6C">
        <w:t>3GPP TS 29.561:</w:t>
      </w:r>
      <w:r w:rsidRPr="00873B6C">
        <w:t xml:space="preserve"> "5G System; Interworking between 5G Network and external Data Networks; Stage 3".</w:t>
      </w:r>
    </w:p>
    <w:p w14:paraId="27F3E1B5" w14:textId="71499F51" w:rsidR="00BA212C" w:rsidRPr="00873B6C" w:rsidRDefault="00BA212C" w:rsidP="00BA212C">
      <w:pPr>
        <w:pStyle w:val="EX"/>
      </w:pPr>
      <w:r w:rsidRPr="00873B6C">
        <w:t>[133]</w:t>
      </w:r>
      <w:r w:rsidRPr="00873B6C">
        <w:tab/>
      </w:r>
      <w:r w:rsidR="00972E70" w:rsidRPr="00873B6C">
        <w:t>3GPP TS 29.513:</w:t>
      </w:r>
      <w:r w:rsidRPr="00873B6C">
        <w:t xml:space="preserve"> "Policy and Charging Control signalling flows and QoS parameter mapping; Stage 3".</w:t>
      </w:r>
    </w:p>
    <w:p w14:paraId="283B0413" w14:textId="57F290CF" w:rsidR="00B04F2B" w:rsidRPr="00873B6C" w:rsidRDefault="00B04F2B" w:rsidP="00B04F2B">
      <w:pPr>
        <w:pStyle w:val="EX"/>
      </w:pPr>
      <w:r w:rsidRPr="00873B6C">
        <w:t>[134]</w:t>
      </w:r>
      <w:r w:rsidRPr="00873B6C">
        <w:tab/>
      </w:r>
      <w:r w:rsidR="00972E70" w:rsidRPr="00873B6C">
        <w:t>3GPP TS 23.558:</w:t>
      </w:r>
      <w:r w:rsidRPr="00873B6C">
        <w:t xml:space="preserve"> "Architecture for enabling Edge Applications (EA)".</w:t>
      </w:r>
    </w:p>
    <w:p w14:paraId="68D675EF" w14:textId="0A9B7332" w:rsidR="00160667" w:rsidRPr="00873B6C" w:rsidRDefault="00160667" w:rsidP="00160667">
      <w:pPr>
        <w:pStyle w:val="EX"/>
      </w:pPr>
      <w:r w:rsidRPr="00873B6C">
        <w:t>[135]</w:t>
      </w:r>
      <w:r w:rsidRPr="00873B6C">
        <w:tab/>
      </w:r>
      <w:r w:rsidR="00972E70" w:rsidRPr="00873B6C">
        <w:t>3GPP TS 26.501:</w:t>
      </w:r>
      <w:r w:rsidRPr="00873B6C">
        <w:t xml:space="preserve"> "5G Media Streaming (5GMS); General description and architecture".</w:t>
      </w:r>
    </w:p>
    <w:p w14:paraId="057987B4" w14:textId="240CAF5C" w:rsidR="00C84B6D" w:rsidRPr="00873B6C" w:rsidRDefault="00C84B6D" w:rsidP="00C84B6D">
      <w:pPr>
        <w:pStyle w:val="EX"/>
      </w:pPr>
      <w:r w:rsidRPr="00873B6C">
        <w:t>[136]</w:t>
      </w:r>
      <w:r w:rsidRPr="00873B6C">
        <w:tab/>
      </w:r>
      <w:r w:rsidR="00972E70" w:rsidRPr="00873B6C">
        <w:t>3GPP TS 23.256:</w:t>
      </w:r>
      <w:r w:rsidR="00695DF1" w:rsidRPr="00873B6C">
        <w:t xml:space="preserve"> </w:t>
      </w:r>
      <w:r w:rsidRPr="00873B6C">
        <w:t>"Support of Uncrewed Aerial Systems (UAS) connectivity, identification and tracking; Stage 2".</w:t>
      </w:r>
    </w:p>
    <w:p w14:paraId="52DFFD8A" w14:textId="7133AE78" w:rsidR="00182EE7" w:rsidRPr="00873B6C" w:rsidRDefault="00182EE7" w:rsidP="00182EE7">
      <w:pPr>
        <w:pStyle w:val="EX"/>
      </w:pPr>
      <w:r w:rsidRPr="00873B6C">
        <w:t>[137]</w:t>
      </w:r>
      <w:r w:rsidRPr="00873B6C">
        <w:tab/>
        <w:t>GSMA NG.116: "Generic Network Slice Template".</w:t>
      </w:r>
    </w:p>
    <w:p w14:paraId="0A082A45" w14:textId="7DA2DCA3" w:rsidR="00A1192D" w:rsidRPr="00873B6C" w:rsidRDefault="00A1192D" w:rsidP="00A1192D">
      <w:pPr>
        <w:pStyle w:val="EX"/>
      </w:pPr>
      <w:r w:rsidRPr="00873B6C">
        <w:t>[138]</w:t>
      </w:r>
      <w:r w:rsidRPr="00873B6C">
        <w:tab/>
        <w:t>IETF RFC 3948: "UDP Encapsulation of IPsec ESP Packets".</w:t>
      </w:r>
    </w:p>
    <w:p w14:paraId="2F01AD26" w14:textId="1797EF05" w:rsidR="00611C81" w:rsidRPr="00873B6C" w:rsidRDefault="00611C81" w:rsidP="00611C81">
      <w:pPr>
        <w:pStyle w:val="EX"/>
      </w:pPr>
      <w:r w:rsidRPr="00873B6C">
        <w:t>[139]</w:t>
      </w:r>
      <w:r w:rsidRPr="00873B6C">
        <w:tab/>
      </w:r>
      <w:r w:rsidR="00972E70" w:rsidRPr="00873B6C">
        <w:t>3GPP TS 24.539:</w:t>
      </w:r>
      <w:r w:rsidRPr="00873B6C">
        <w:t xml:space="preserve"> "5G System (5GS); Network to TSN translator (TT) protocol aspects; Stage 3".</w:t>
      </w:r>
    </w:p>
    <w:p w14:paraId="54D8633B" w14:textId="0E0C2303" w:rsidR="00627C2F" w:rsidRPr="00873B6C" w:rsidRDefault="00627C2F" w:rsidP="00627C2F">
      <w:pPr>
        <w:pStyle w:val="EX"/>
      </w:pPr>
      <w:r w:rsidRPr="00873B6C">
        <w:t>[140]</w:t>
      </w:r>
      <w:r w:rsidRPr="00873B6C">
        <w:tab/>
      </w:r>
      <w:r w:rsidR="00972E70" w:rsidRPr="00873B6C">
        <w:t>3GPP TS 33.220:</w:t>
      </w:r>
      <w:r w:rsidRPr="00873B6C">
        <w:t xml:space="preserve"> "Generic Authentication Architecture (GAA); Generic bootstrapping architecture".</w:t>
      </w:r>
    </w:p>
    <w:p w14:paraId="23F8CFF0" w14:textId="0E74EDEF" w:rsidR="00627C2F" w:rsidRPr="00873B6C" w:rsidRDefault="00627C2F" w:rsidP="00627C2F">
      <w:pPr>
        <w:pStyle w:val="EX"/>
      </w:pPr>
      <w:r w:rsidRPr="00873B6C">
        <w:t>[141]</w:t>
      </w:r>
      <w:r w:rsidRPr="00873B6C">
        <w:tab/>
      </w:r>
      <w:r w:rsidR="00972E70" w:rsidRPr="00873B6C">
        <w:t>3GPP TS 33.223:</w:t>
      </w:r>
      <w:r w:rsidRPr="00873B6C">
        <w:t xml:space="preserve"> "Generic Authentication Architecture (GAA); Generic Bootstrapping Architecture (GBA) Push function".</w:t>
      </w:r>
    </w:p>
    <w:p w14:paraId="5395F07B" w14:textId="4C26C3C4" w:rsidR="00183D3D" w:rsidRPr="00873B6C" w:rsidRDefault="00183D3D" w:rsidP="00183D3D">
      <w:pPr>
        <w:pStyle w:val="EX"/>
      </w:pPr>
      <w:r w:rsidRPr="00873B6C">
        <w:t>[142]</w:t>
      </w:r>
      <w:r w:rsidRPr="00873B6C">
        <w:tab/>
      </w:r>
      <w:r w:rsidR="00972E70" w:rsidRPr="00873B6C">
        <w:t>3GPP TS 23.540:</w:t>
      </w:r>
      <w:r w:rsidRPr="00873B6C">
        <w:t xml:space="preserve"> "Technical realization of Service Based Short Message Service; Stage 2".</w:t>
      </w:r>
    </w:p>
    <w:p w14:paraId="1A55CCF3" w14:textId="1DBE53F4" w:rsidR="00183D3D" w:rsidRPr="00873B6C" w:rsidRDefault="00183D3D" w:rsidP="00183D3D">
      <w:pPr>
        <w:pStyle w:val="EX"/>
      </w:pPr>
      <w:r w:rsidRPr="00873B6C">
        <w:t>[143]</w:t>
      </w:r>
      <w:r w:rsidRPr="00873B6C">
        <w:tab/>
      </w:r>
      <w:r w:rsidR="00972E70" w:rsidRPr="00873B6C">
        <w:t>3GPP TS 38.321:</w:t>
      </w:r>
      <w:r w:rsidRPr="00873B6C">
        <w:t xml:space="preserve"> "NR; Medium Access Control (MAC) protocol specification".</w:t>
      </w:r>
    </w:p>
    <w:p w14:paraId="6B776334" w14:textId="7B00FD37" w:rsidR="006F101E" w:rsidRPr="00873B6C" w:rsidRDefault="006F101E" w:rsidP="006F101E">
      <w:pPr>
        <w:pStyle w:val="EX"/>
      </w:pPr>
      <w:r w:rsidRPr="00873B6C">
        <w:t>[144]</w:t>
      </w:r>
      <w:r w:rsidRPr="00873B6C">
        <w:tab/>
      </w:r>
      <w:r w:rsidR="00972E70" w:rsidRPr="00873B6C">
        <w:t>3GPP TS 29.525:</w:t>
      </w:r>
      <w:r w:rsidRPr="00873B6C">
        <w:t xml:space="preserve"> "5G System; UE Policy Control Service; Stage 3".</w:t>
      </w:r>
    </w:p>
    <w:p w14:paraId="586EA6F4" w14:textId="73AF5BB4" w:rsidR="006F101E" w:rsidRPr="00873B6C" w:rsidRDefault="006F101E" w:rsidP="006F101E">
      <w:pPr>
        <w:pStyle w:val="EX"/>
      </w:pPr>
      <w:r w:rsidRPr="00873B6C">
        <w:t>[145]</w:t>
      </w:r>
      <w:r w:rsidRPr="00873B6C">
        <w:tab/>
      </w:r>
      <w:r w:rsidR="00972E70" w:rsidRPr="00873B6C">
        <w:t>3GPP TS 29.505:</w:t>
      </w:r>
      <w:r w:rsidRPr="00873B6C">
        <w:t xml:space="preserve"> "5G System; Usage of the Unified Data Repository Services for Subscription Data; Stage 3".</w:t>
      </w:r>
    </w:p>
    <w:p w14:paraId="1C8A63E3" w14:textId="48D6BBCE" w:rsidR="00A92B4B" w:rsidRPr="00873B6C" w:rsidRDefault="00A92B4B" w:rsidP="00A92B4B">
      <w:pPr>
        <w:pStyle w:val="EX"/>
      </w:pPr>
      <w:r w:rsidRPr="00873B6C">
        <w:t>[146]</w:t>
      </w:r>
      <w:r w:rsidRPr="00873B6C">
        <w:tab/>
        <w:t>IEEE Std 802.1Qdj-</w:t>
      </w:r>
      <w:r w:rsidR="00640EBF" w:rsidRPr="00873B6C">
        <w:t>2024</w:t>
      </w:r>
      <w:r w:rsidRPr="00873B6C">
        <w:t>: "IEEE Draft Standard for Local and metropolitan area networks - Bridges and Bridged Networks - Amendment XX: Configuration Enhancements for Time-Sensitive Networking".</w:t>
      </w:r>
    </w:p>
    <w:p w14:paraId="5F6F3C50" w14:textId="2FD07D7F" w:rsidR="00A92B4B" w:rsidRPr="00873B6C" w:rsidRDefault="00A92B4B" w:rsidP="00A92B4B">
      <w:pPr>
        <w:pStyle w:val="EX"/>
      </w:pPr>
      <w:r w:rsidRPr="00873B6C">
        <w:t>[147]</w:t>
      </w:r>
      <w:r w:rsidR="009E78C1" w:rsidRPr="00873B6C">
        <w:tab/>
        <w:t>Void</w:t>
      </w:r>
      <w:r w:rsidRPr="00873B6C">
        <w:t>.</w:t>
      </w:r>
    </w:p>
    <w:p w14:paraId="3BEC7B95" w14:textId="6A111D63" w:rsidR="00D51D1B" w:rsidRPr="00873B6C" w:rsidRDefault="00D51D1B" w:rsidP="00D51D1B">
      <w:pPr>
        <w:pStyle w:val="EX"/>
      </w:pPr>
      <w:r w:rsidRPr="00873B6C">
        <w:t>[148]</w:t>
      </w:r>
      <w:r w:rsidRPr="00873B6C">
        <w:tab/>
      </w:r>
      <w:r w:rsidR="00972E70" w:rsidRPr="00873B6C">
        <w:t>3GPP TS 28.557:</w:t>
      </w:r>
      <w:r w:rsidRPr="00873B6C">
        <w:t xml:space="preserve"> "Management and orchestration; Management of Non-Public Networks (NPN)".</w:t>
      </w:r>
    </w:p>
    <w:p w14:paraId="46A2CDAF" w14:textId="5584BC57" w:rsidR="00D51D1B" w:rsidRPr="00873B6C" w:rsidRDefault="00D51D1B" w:rsidP="00D51D1B">
      <w:pPr>
        <w:pStyle w:val="EX"/>
      </w:pPr>
      <w:r w:rsidRPr="00873B6C">
        <w:t>[149]</w:t>
      </w:r>
      <w:r w:rsidRPr="00873B6C">
        <w:tab/>
      </w:r>
      <w:r w:rsidR="00972E70" w:rsidRPr="00873B6C">
        <w:t>3GPP TS 28.541:</w:t>
      </w:r>
      <w:r w:rsidRPr="00873B6C">
        <w:t xml:space="preserve"> "Management and orchestration; 5G Network Resource Model (NRM)".</w:t>
      </w:r>
    </w:p>
    <w:p w14:paraId="141E09E8" w14:textId="273F18F1" w:rsidR="00E02643" w:rsidRPr="00873B6C" w:rsidRDefault="00E02643" w:rsidP="00E02643">
      <w:pPr>
        <w:pStyle w:val="EX"/>
      </w:pPr>
      <w:r w:rsidRPr="00873B6C">
        <w:t>[150]</w:t>
      </w:r>
      <w:r w:rsidRPr="00873B6C">
        <w:tab/>
        <w:t>IETF RFC 8655: "Deterministic Networking Architecture".</w:t>
      </w:r>
    </w:p>
    <w:p w14:paraId="3945F961" w14:textId="6C58B05D" w:rsidR="00E02643" w:rsidRPr="00873B6C" w:rsidRDefault="00E02643" w:rsidP="00E02643">
      <w:pPr>
        <w:pStyle w:val="EX"/>
      </w:pPr>
      <w:r w:rsidRPr="00873B6C">
        <w:t>[151]</w:t>
      </w:r>
      <w:r w:rsidRPr="00873B6C">
        <w:tab/>
        <w:t>IETF RFC 8343: "A YANG Data Model for Interface Management".</w:t>
      </w:r>
    </w:p>
    <w:p w14:paraId="6BED6F46" w14:textId="36DD3680" w:rsidR="00E02643" w:rsidRPr="00873B6C" w:rsidRDefault="00E02643" w:rsidP="00E02643">
      <w:pPr>
        <w:pStyle w:val="EX"/>
      </w:pPr>
      <w:r w:rsidRPr="00873B6C">
        <w:t>[152]</w:t>
      </w:r>
      <w:r w:rsidRPr="00873B6C">
        <w:tab/>
        <w:t>IETF RFC 8344: "A YANG Data Model for IP Management".</w:t>
      </w:r>
    </w:p>
    <w:p w14:paraId="444DBA0E" w14:textId="78995B6B" w:rsidR="00E02643" w:rsidRPr="00873B6C" w:rsidRDefault="00E02643" w:rsidP="00E02643">
      <w:pPr>
        <w:pStyle w:val="EX"/>
      </w:pPr>
      <w:r w:rsidRPr="00873B6C">
        <w:t>[153]</w:t>
      </w:r>
      <w:r w:rsidRPr="00873B6C">
        <w:tab/>
        <w:t>IETF RFC 7224: " IANA Interface Type YANG Module".</w:t>
      </w:r>
    </w:p>
    <w:p w14:paraId="105AA52E" w14:textId="53FB4177" w:rsidR="00E02643" w:rsidRPr="00873B6C" w:rsidRDefault="00E02643" w:rsidP="00E02643">
      <w:pPr>
        <w:pStyle w:val="EX"/>
      </w:pPr>
      <w:r w:rsidRPr="00873B6C">
        <w:t>[154]</w:t>
      </w:r>
      <w:r w:rsidRPr="00873B6C">
        <w:tab/>
        <w:t>IETF</w:t>
      </w:r>
      <w:r w:rsidR="000F3F9B" w:rsidRPr="00873B6C">
        <w:t> RFC 9633</w:t>
      </w:r>
      <w:r w:rsidRPr="00873B6C">
        <w:t>: "Deterministic Networking (DetNet) YANG Model".</w:t>
      </w:r>
    </w:p>
    <w:p w14:paraId="24289A47" w14:textId="36DF8187" w:rsidR="00E02643" w:rsidRPr="00873B6C" w:rsidRDefault="00E02643" w:rsidP="00E02643">
      <w:pPr>
        <w:pStyle w:val="EX"/>
      </w:pPr>
      <w:r w:rsidRPr="00873B6C">
        <w:t>[155]</w:t>
      </w:r>
      <w:r w:rsidRPr="00873B6C">
        <w:tab/>
        <w:t>IETF RFC 6241: "Network Configuration Protocol (NETCONF)".</w:t>
      </w:r>
    </w:p>
    <w:p w14:paraId="5665E0F9" w14:textId="20DEE15D" w:rsidR="00E02643" w:rsidRPr="00873B6C" w:rsidRDefault="00E02643" w:rsidP="00E02643">
      <w:pPr>
        <w:pStyle w:val="EX"/>
      </w:pPr>
      <w:r w:rsidRPr="00873B6C">
        <w:t>[156]</w:t>
      </w:r>
      <w:r w:rsidRPr="00873B6C">
        <w:tab/>
        <w:t>IETF RFC 8040: "RESTCONF Protocol".</w:t>
      </w:r>
    </w:p>
    <w:p w14:paraId="1A3DDF0B" w14:textId="577976B1" w:rsidR="00E02643" w:rsidRPr="00873B6C" w:rsidRDefault="00E02643" w:rsidP="00E02643">
      <w:pPr>
        <w:pStyle w:val="EX"/>
      </w:pPr>
      <w:r w:rsidRPr="00873B6C">
        <w:t>[157]</w:t>
      </w:r>
      <w:r w:rsidRPr="00873B6C">
        <w:tab/>
        <w:t>IETF RFC 8939: "Deterministic Networking (DetNet) Data Plane: IP".</w:t>
      </w:r>
    </w:p>
    <w:p w14:paraId="3C4082EB" w14:textId="2F7ED851" w:rsidR="00E02643" w:rsidRPr="00873B6C" w:rsidRDefault="00E02643" w:rsidP="00E02643">
      <w:pPr>
        <w:pStyle w:val="EX"/>
      </w:pPr>
      <w:r w:rsidRPr="00873B6C">
        <w:t>[158]</w:t>
      </w:r>
      <w:r w:rsidRPr="00873B6C">
        <w:tab/>
        <w:t>IETF RFC 5279: "A Uniform Resource Name (URN) Namespace for the 3rd Generation Partnership Project (3GPP)".</w:t>
      </w:r>
    </w:p>
    <w:p w14:paraId="051597E1" w14:textId="1020636E" w:rsidR="00D409DD" w:rsidRPr="00873B6C" w:rsidRDefault="00D409DD" w:rsidP="00D409DD">
      <w:pPr>
        <w:pStyle w:val="EX"/>
      </w:pPr>
      <w:r w:rsidRPr="00873B6C">
        <w:lastRenderedPageBreak/>
        <w:t>[159]</w:t>
      </w:r>
      <w:r w:rsidRPr="00873B6C">
        <w:tab/>
        <w:t>IETF RFC 9330:"Low Latency, Low Loss, Scalable Throughput (L4S) Internet Service: Architecture".</w:t>
      </w:r>
    </w:p>
    <w:p w14:paraId="287037FB" w14:textId="10A08575" w:rsidR="00D409DD" w:rsidRPr="00873B6C" w:rsidRDefault="00D409DD" w:rsidP="00D409DD">
      <w:pPr>
        <w:pStyle w:val="EX"/>
      </w:pPr>
      <w:r w:rsidRPr="00873B6C">
        <w:t>[160]</w:t>
      </w:r>
      <w:r w:rsidRPr="00873B6C">
        <w:tab/>
        <w:t>IETF RFC 9331: "Explicit Congestion Notification (ECN) Protocol for Very Low Queuing Delay (L4S)".</w:t>
      </w:r>
    </w:p>
    <w:p w14:paraId="74205639" w14:textId="6DFD1891" w:rsidR="00D409DD" w:rsidRPr="00873B6C" w:rsidRDefault="00D409DD" w:rsidP="00D409DD">
      <w:pPr>
        <w:pStyle w:val="EX"/>
      </w:pPr>
      <w:r w:rsidRPr="00873B6C">
        <w:t>[161]</w:t>
      </w:r>
      <w:r w:rsidRPr="00873B6C">
        <w:tab/>
        <w:t>IETF RFC 9332: "Dual-Queue Coupled Active Queue Management (AQM) for Low Latency, Low Loss</w:t>
      </w:r>
      <w:r w:rsidR="00472CD7" w:rsidRPr="00873B6C">
        <w:t xml:space="preserve"> and</w:t>
      </w:r>
      <w:r w:rsidRPr="00873B6C">
        <w:t xml:space="preserve"> Scalable Throughput (L4S)".</w:t>
      </w:r>
    </w:p>
    <w:p w14:paraId="10584B98" w14:textId="55500ED1" w:rsidR="00D409DD" w:rsidRPr="00873B6C" w:rsidRDefault="00D409DD" w:rsidP="00D409DD">
      <w:pPr>
        <w:pStyle w:val="EX"/>
      </w:pPr>
      <w:r w:rsidRPr="00873B6C">
        <w:t>[162]</w:t>
      </w:r>
      <w:r w:rsidRPr="00873B6C">
        <w:tab/>
        <w:t>IETF RFC 6603: "Prefix Exclude Option for DHCPv6-based Prefix Delegation".</w:t>
      </w:r>
    </w:p>
    <w:p w14:paraId="0908F7BF" w14:textId="27195D8D" w:rsidR="00D409DD" w:rsidRPr="00873B6C" w:rsidRDefault="00D409DD" w:rsidP="00D409DD">
      <w:pPr>
        <w:pStyle w:val="EX"/>
      </w:pPr>
      <w:r w:rsidRPr="00873B6C">
        <w:t>[163]</w:t>
      </w:r>
      <w:r w:rsidRPr="00873B6C">
        <w:tab/>
        <w:t>IETF RFC 8415: "Dynamic Host Configuration Protocol for IPv6 (DHCPv6)".</w:t>
      </w:r>
    </w:p>
    <w:p w14:paraId="58A2CC46" w14:textId="0D6E5539" w:rsidR="003A5CE6" w:rsidRPr="00873B6C" w:rsidRDefault="003A5CE6" w:rsidP="003A5CE6">
      <w:pPr>
        <w:pStyle w:val="EX"/>
      </w:pPr>
      <w:r w:rsidRPr="00873B6C">
        <w:t>[164]</w:t>
      </w:r>
      <w:r w:rsidRPr="00873B6C">
        <w:tab/>
        <w:t>ITU</w:t>
      </w:r>
      <w:r w:rsidRPr="00873B6C">
        <w:noBreakHyphen/>
        <w:t>T Recommendation G.810: "Definitions and terminology for synchronization networks".</w:t>
      </w:r>
    </w:p>
    <w:p w14:paraId="28C51A23" w14:textId="1640481D" w:rsidR="009E78C1" w:rsidRPr="00873B6C" w:rsidRDefault="009E78C1" w:rsidP="009E78C1">
      <w:pPr>
        <w:pStyle w:val="EX"/>
      </w:pPr>
      <w:r w:rsidRPr="00873B6C">
        <w:t>[165]</w:t>
      </w:r>
      <w:r w:rsidRPr="00873B6C">
        <w:tab/>
      </w:r>
      <w:r w:rsidR="00972E70" w:rsidRPr="00873B6C">
        <w:t>3GPP TS 38.470:</w:t>
      </w:r>
      <w:r w:rsidRPr="00873B6C">
        <w:t xml:space="preserve"> "NG-RAN; F1 general aspects and principles".</w:t>
      </w:r>
    </w:p>
    <w:p w14:paraId="5EB9893E" w14:textId="2F351C10" w:rsidR="007C2ADF" w:rsidRPr="00873B6C" w:rsidRDefault="007C2ADF" w:rsidP="007C2ADF">
      <w:pPr>
        <w:pStyle w:val="EX"/>
      </w:pPr>
      <w:r w:rsidRPr="00873B6C">
        <w:t>[166]</w:t>
      </w:r>
      <w:r w:rsidRPr="00873B6C">
        <w:tab/>
        <w:t>IETF RFC 9000: "QUIC: A UDP-Based Multiplexed and Secure Transport".</w:t>
      </w:r>
    </w:p>
    <w:p w14:paraId="4CF61EF5" w14:textId="2DF10D0C" w:rsidR="007C2ADF" w:rsidRPr="00873B6C" w:rsidRDefault="007C2ADF" w:rsidP="007C2ADF">
      <w:pPr>
        <w:pStyle w:val="EX"/>
      </w:pPr>
      <w:r w:rsidRPr="00873B6C">
        <w:t>[167]</w:t>
      </w:r>
      <w:r w:rsidRPr="00873B6C">
        <w:tab/>
        <w:t>IETF RFC 9001: "Using TLS to Secure QUIC".</w:t>
      </w:r>
    </w:p>
    <w:p w14:paraId="598D9E2D" w14:textId="572C219B" w:rsidR="007C2ADF" w:rsidRPr="00873B6C" w:rsidRDefault="007C2ADF" w:rsidP="007C2ADF">
      <w:pPr>
        <w:pStyle w:val="EX"/>
      </w:pPr>
      <w:r w:rsidRPr="00873B6C">
        <w:t>[168]</w:t>
      </w:r>
      <w:r w:rsidRPr="00873B6C">
        <w:tab/>
        <w:t>IETF RFC 9002: "QUIC Loss Detection and Congestion Control".</w:t>
      </w:r>
    </w:p>
    <w:p w14:paraId="380BEB49" w14:textId="76FD926A" w:rsidR="007C2ADF" w:rsidRPr="00873B6C" w:rsidRDefault="007C2ADF" w:rsidP="007C2ADF">
      <w:pPr>
        <w:pStyle w:val="EX"/>
      </w:pPr>
      <w:r w:rsidRPr="00873B6C">
        <w:t>[169]</w:t>
      </w:r>
      <w:r w:rsidRPr="00873B6C">
        <w:tab/>
        <w:t>IETF RFC 9221: "An Unreliable Datagram Extension to QUIC".</w:t>
      </w:r>
    </w:p>
    <w:p w14:paraId="1EF71030" w14:textId="4BC68E73" w:rsidR="007C2ADF" w:rsidRPr="00873B6C" w:rsidRDefault="007C2ADF" w:rsidP="007C2ADF">
      <w:pPr>
        <w:pStyle w:val="EX"/>
      </w:pPr>
      <w:r w:rsidRPr="00873B6C">
        <w:t>[170]</w:t>
      </w:r>
      <w:r w:rsidRPr="00873B6C">
        <w:tab/>
        <w:t>IETF RFC 9298: "Proxying UDP in HTTP".</w:t>
      </w:r>
    </w:p>
    <w:p w14:paraId="10827357" w14:textId="7613853D" w:rsidR="007C2ADF" w:rsidRPr="00873B6C" w:rsidRDefault="007C2ADF" w:rsidP="007C2ADF">
      <w:pPr>
        <w:pStyle w:val="EX"/>
      </w:pPr>
      <w:r w:rsidRPr="00873B6C">
        <w:t>[171]</w:t>
      </w:r>
      <w:r w:rsidRPr="00873B6C">
        <w:tab/>
        <w:t>IETF RFC 9114: "Hypertext Transfer Protocol Version 3 (HTTP/3)".</w:t>
      </w:r>
    </w:p>
    <w:p w14:paraId="59C1F4AB" w14:textId="11592CB2" w:rsidR="007C2ADF" w:rsidRPr="00873B6C" w:rsidRDefault="007C2ADF" w:rsidP="007C2ADF">
      <w:pPr>
        <w:pStyle w:val="EX"/>
      </w:pPr>
      <w:r w:rsidRPr="00873B6C">
        <w:t>[172]</w:t>
      </w:r>
      <w:r w:rsidRPr="00873B6C">
        <w:tab/>
        <w:t>IETF RFC 9297: "HTTP Datagrams and the Capsule Protocol".</w:t>
      </w:r>
    </w:p>
    <w:p w14:paraId="65A7EB5D" w14:textId="1A367635" w:rsidR="007C2ADF" w:rsidRPr="00873B6C" w:rsidRDefault="007C2ADF" w:rsidP="007C2ADF">
      <w:pPr>
        <w:pStyle w:val="EX"/>
      </w:pPr>
      <w:r w:rsidRPr="00873B6C">
        <w:t>[173]</w:t>
      </w:r>
      <w:r w:rsidRPr="00873B6C">
        <w:tab/>
        <w:t>IETF RFC 9220: "Bootstrapping WebSockets with HTTP/3".</w:t>
      </w:r>
    </w:p>
    <w:p w14:paraId="7A98FCFB" w14:textId="77777777" w:rsidR="007C2ADF" w:rsidRPr="00873B6C" w:rsidRDefault="007C2ADF" w:rsidP="007C2ADF">
      <w:pPr>
        <w:pStyle w:val="EX"/>
      </w:pPr>
      <w:r w:rsidRPr="00873B6C">
        <w:t>[174]</w:t>
      </w:r>
      <w:r w:rsidRPr="00873B6C">
        <w:tab/>
        <w:t>draft-ietf-quic-multipath: "Multipath Extension for QUIC".</w:t>
      </w:r>
    </w:p>
    <w:p w14:paraId="42026767" w14:textId="2017FEB1" w:rsidR="007C2ADF" w:rsidRPr="00873B6C" w:rsidRDefault="007C2ADF" w:rsidP="00972E70">
      <w:pPr>
        <w:pStyle w:val="EditorsNote"/>
      </w:pPr>
      <w:r w:rsidRPr="00873B6C">
        <w:t>Editor's note:</w:t>
      </w:r>
      <w:r w:rsidRPr="00873B6C">
        <w:tab/>
        <w:t>The above document cannot be formally referenced until it is published as an RFC.</w:t>
      </w:r>
    </w:p>
    <w:p w14:paraId="51C1B23E" w14:textId="494D10D2" w:rsidR="003E03C2" w:rsidRPr="00873B6C" w:rsidRDefault="003E03C2" w:rsidP="003E03C2">
      <w:pPr>
        <w:pStyle w:val="EX"/>
      </w:pPr>
      <w:r w:rsidRPr="00873B6C">
        <w:t>[175]</w:t>
      </w:r>
      <w:r w:rsidRPr="00873B6C">
        <w:tab/>
      </w:r>
      <w:r w:rsidR="00972E70" w:rsidRPr="00873B6C">
        <w:t>3GPP TS 28.530:</w:t>
      </w:r>
      <w:r w:rsidRPr="00873B6C">
        <w:t xml:space="preserve"> "Management and orchestration; Concepts, use cases and requirements".</w:t>
      </w:r>
    </w:p>
    <w:p w14:paraId="1A3AD019" w14:textId="73B201D4" w:rsidR="003E03C2" w:rsidRPr="00873B6C" w:rsidRDefault="003E03C2" w:rsidP="003E03C2">
      <w:pPr>
        <w:pStyle w:val="EX"/>
      </w:pPr>
      <w:r w:rsidRPr="00873B6C">
        <w:t>[176]</w:t>
      </w:r>
      <w:r w:rsidRPr="00873B6C">
        <w:tab/>
      </w:r>
      <w:r w:rsidR="00972E70" w:rsidRPr="00873B6C">
        <w:t>3GPP TS 28.531:</w:t>
      </w:r>
      <w:r w:rsidRPr="00873B6C">
        <w:t xml:space="preserve"> "Management and orchestration; Provisioning".</w:t>
      </w:r>
    </w:p>
    <w:p w14:paraId="5D30EC95" w14:textId="67B4804D" w:rsidR="00111015" w:rsidRPr="00873B6C" w:rsidRDefault="00111015" w:rsidP="00111015">
      <w:pPr>
        <w:pStyle w:val="EX"/>
      </w:pPr>
      <w:r w:rsidRPr="00873B6C">
        <w:t>[177]</w:t>
      </w:r>
      <w:r w:rsidRPr="00873B6C">
        <w:tab/>
      </w:r>
      <w:r w:rsidR="00972E70" w:rsidRPr="00873B6C">
        <w:t>3GPP TS 23.434:</w:t>
      </w:r>
      <w:r w:rsidRPr="00873B6C">
        <w:t xml:space="preserve"> "Service Enabler Architecture Layer for Verticals (SEAL); Functional architecture and information flows".</w:t>
      </w:r>
    </w:p>
    <w:p w14:paraId="431D9198" w14:textId="4CE4AD0D" w:rsidR="007C1B83" w:rsidRPr="00873B6C" w:rsidRDefault="007C1B83" w:rsidP="007C1B83">
      <w:pPr>
        <w:pStyle w:val="EX"/>
      </w:pPr>
      <w:r w:rsidRPr="00873B6C">
        <w:t>[178]</w:t>
      </w:r>
      <w:r w:rsidRPr="00873B6C">
        <w:tab/>
        <w:t>IEEE Std 802.1CBdb-2021: "Amendment 2: Extend Stream Identification Functions".</w:t>
      </w:r>
    </w:p>
    <w:p w14:paraId="5F57FBAD" w14:textId="1E26AF38" w:rsidR="00114986" w:rsidRPr="00873B6C" w:rsidRDefault="00114986" w:rsidP="00114986">
      <w:pPr>
        <w:pStyle w:val="EX"/>
      </w:pPr>
      <w:r w:rsidRPr="00873B6C">
        <w:t>[179]</w:t>
      </w:r>
      <w:r w:rsidRPr="00873B6C">
        <w:tab/>
        <w:t>3GPP TS 26.522: "5G Real-time Media Transport Protocol Configurations".</w:t>
      </w:r>
    </w:p>
    <w:p w14:paraId="60B98826" w14:textId="091A50C9" w:rsidR="00A13197" w:rsidRPr="00873B6C" w:rsidRDefault="00A13197" w:rsidP="00A13197">
      <w:pPr>
        <w:pStyle w:val="EX"/>
      </w:pPr>
      <w:r w:rsidRPr="00873B6C">
        <w:t>[180]</w:t>
      </w:r>
      <w:r w:rsidRPr="00873B6C">
        <w:tab/>
        <w:t>3GPP TS 23.586: "Architectural Enhancements to support Ranging based services and Sidelink Positioning".</w:t>
      </w:r>
    </w:p>
    <w:p w14:paraId="7FAABF99" w14:textId="2FC1B6A9" w:rsidR="00A13197" w:rsidRPr="00873B6C" w:rsidRDefault="00A13197" w:rsidP="00A13197">
      <w:pPr>
        <w:pStyle w:val="EX"/>
      </w:pPr>
      <w:r w:rsidRPr="00873B6C">
        <w:t>[181]</w:t>
      </w:r>
      <w:r w:rsidRPr="00873B6C">
        <w:tab/>
        <w:t>3GPP TS 23.542: "Application layer support for Personal IoT Network".</w:t>
      </w:r>
    </w:p>
    <w:p w14:paraId="501A694F" w14:textId="65E4E08D" w:rsidR="00357584" w:rsidRPr="00873B6C" w:rsidRDefault="00357584" w:rsidP="00357584">
      <w:pPr>
        <w:pStyle w:val="EX"/>
      </w:pPr>
      <w:r w:rsidRPr="00873B6C">
        <w:t>[182]</w:t>
      </w:r>
      <w:r w:rsidRPr="00873B6C">
        <w:tab/>
        <w:t>IETF RFC 8415: "Dynamic Host Configuration Protocol for IPv6 (DHCPv6)".</w:t>
      </w:r>
    </w:p>
    <w:p w14:paraId="31261543" w14:textId="7B0AE427" w:rsidR="0001193E" w:rsidRPr="00873B6C" w:rsidRDefault="0001193E" w:rsidP="0001193E">
      <w:pPr>
        <w:pStyle w:val="EX"/>
      </w:pPr>
      <w:r w:rsidRPr="00873B6C">
        <w:t>[183]</w:t>
      </w:r>
      <w:r w:rsidRPr="00873B6C">
        <w:tab/>
        <w:t>3GPP TS 29.571: "5G System; Common Data Types for Service Based Interfaces; Stage 3".</w:t>
      </w:r>
    </w:p>
    <w:p w14:paraId="156F8029" w14:textId="109AFFB8" w:rsidR="00FE24CE" w:rsidRPr="00873B6C" w:rsidRDefault="00FE24CE" w:rsidP="00FE24CE">
      <w:pPr>
        <w:pStyle w:val="EX"/>
      </w:pPr>
      <w:r w:rsidRPr="00873B6C">
        <w:t>[184]</w:t>
      </w:r>
      <w:r w:rsidRPr="00873B6C">
        <w:tab/>
        <w:t>3GPP TS 23.289: "Mission Critical services over 5G System; Stage 2".</w:t>
      </w:r>
    </w:p>
    <w:p w14:paraId="3ACDF036" w14:textId="79D9A0D5" w:rsidR="00644F65" w:rsidRPr="00873B6C" w:rsidRDefault="00644F65" w:rsidP="00644F65">
      <w:pPr>
        <w:pStyle w:val="EX"/>
      </w:pPr>
      <w:r w:rsidRPr="00873B6C">
        <w:t>[185]</w:t>
      </w:r>
      <w:r w:rsidRPr="00873B6C">
        <w:tab/>
        <w:t>IETF RFC 3550: "RTP: A Transport Protocol for Real-Time Applications".</w:t>
      </w:r>
    </w:p>
    <w:p w14:paraId="2B3A76BD" w14:textId="47229EDF" w:rsidR="00644F65" w:rsidRPr="00873B6C" w:rsidRDefault="00644F65" w:rsidP="00644F65">
      <w:pPr>
        <w:pStyle w:val="EX"/>
      </w:pPr>
      <w:r w:rsidRPr="00873B6C">
        <w:t>[186]</w:t>
      </w:r>
      <w:r w:rsidRPr="00873B6C">
        <w:tab/>
        <w:t>IETF RFC 3711: "The Secure Real-time Transport Protocol (SRTP)".</w:t>
      </w:r>
    </w:p>
    <w:p w14:paraId="1D77832A" w14:textId="6DD5D9B6" w:rsidR="00644F65" w:rsidRPr="00873B6C" w:rsidRDefault="00644F65" w:rsidP="00644F65">
      <w:pPr>
        <w:pStyle w:val="EX"/>
      </w:pPr>
      <w:r w:rsidRPr="00873B6C">
        <w:t>[187]</w:t>
      </w:r>
      <w:r w:rsidRPr="00873B6C">
        <w:tab/>
        <w:t>IETF RFC 6184: "RTP Payload Format for H.264 Video".</w:t>
      </w:r>
    </w:p>
    <w:p w14:paraId="0A3514C9" w14:textId="0572F6C0" w:rsidR="00644F65" w:rsidRPr="00873B6C" w:rsidRDefault="00644F65" w:rsidP="00644F65">
      <w:pPr>
        <w:pStyle w:val="EX"/>
      </w:pPr>
      <w:r w:rsidRPr="00873B6C">
        <w:t>[188]</w:t>
      </w:r>
      <w:r w:rsidRPr="00873B6C">
        <w:tab/>
        <w:t>IETF RFC 7798: "RTP Payload Format for High Efficiency Video Coding (HEVC) ".</w:t>
      </w:r>
    </w:p>
    <w:p w14:paraId="7F95B581" w14:textId="408415C7" w:rsidR="00644F65" w:rsidRPr="00873B6C" w:rsidRDefault="00644F65" w:rsidP="00644F65">
      <w:pPr>
        <w:pStyle w:val="EX"/>
      </w:pPr>
      <w:r w:rsidRPr="00873B6C">
        <w:t>[189]</w:t>
      </w:r>
      <w:r w:rsidRPr="00873B6C">
        <w:tab/>
        <w:t>IETF RFC 8285: "A General Mechanism for RTP Header Extensions".</w:t>
      </w:r>
    </w:p>
    <w:p w14:paraId="0933CE5E" w14:textId="6E9B58EA" w:rsidR="00060FE0" w:rsidRPr="00873B6C" w:rsidRDefault="00060FE0" w:rsidP="00060FE0">
      <w:pPr>
        <w:pStyle w:val="EX"/>
      </w:pPr>
      <w:r w:rsidRPr="00873B6C">
        <w:lastRenderedPageBreak/>
        <w:t>[190]</w:t>
      </w:r>
      <w:r w:rsidRPr="00873B6C">
        <w:tab/>
        <w:t>3GPP TS 28.405: "Quality of Experience (QoE) measurement collection; Control and configuration".</w:t>
      </w:r>
    </w:p>
    <w:p w14:paraId="49F26FD7" w14:textId="601B3890" w:rsidR="00500903" w:rsidRPr="00873B6C" w:rsidRDefault="00500903" w:rsidP="00500903">
      <w:pPr>
        <w:pStyle w:val="EX"/>
      </w:pPr>
      <w:r w:rsidRPr="00873B6C">
        <w:t>[191]</w:t>
      </w:r>
      <w:r w:rsidRPr="00873B6C">
        <w:tab/>
        <w:t>3GPP TS 37.355: " LTE Positioning Protocol (LPP)".</w:t>
      </w:r>
    </w:p>
    <w:p w14:paraId="1CFB88BB" w14:textId="0D66D36D" w:rsidR="00AF2D89" w:rsidRPr="00873B6C" w:rsidRDefault="00AF2D89" w:rsidP="00AF2D89">
      <w:pPr>
        <w:pStyle w:val="EX"/>
      </w:pPr>
      <w:r w:rsidRPr="00873B6C">
        <w:t>[192]</w:t>
      </w:r>
      <w:r w:rsidRPr="00873B6C">
        <w:tab/>
        <w:t>3GPP TS 32.422: "Telecommunication management; Subscriber and equipment trace; Trace control and configuration management".</w:t>
      </w:r>
    </w:p>
    <w:p w14:paraId="459225B6" w14:textId="75B315B2" w:rsidR="00AF2D89" w:rsidRPr="00873B6C" w:rsidRDefault="00AF2D89" w:rsidP="00AF2D89">
      <w:pPr>
        <w:pStyle w:val="EX"/>
      </w:pPr>
      <w:r w:rsidRPr="00873B6C">
        <w:t>[193]</w:t>
      </w:r>
      <w:r w:rsidRPr="00873B6C">
        <w:tab/>
        <w:t>IETF RFC 3168: "The Addition of Explicit Congestion Notification (ECN) to IP".</w:t>
      </w:r>
    </w:p>
    <w:p w14:paraId="134230D3" w14:textId="746E6567" w:rsidR="00CD22D1" w:rsidRPr="00873B6C" w:rsidRDefault="00CD22D1" w:rsidP="00CD22D1">
      <w:pPr>
        <w:pStyle w:val="EX"/>
      </w:pPr>
      <w:r w:rsidRPr="00873B6C">
        <w:t>[194]</w:t>
      </w:r>
      <w:r w:rsidRPr="00873B6C">
        <w:tab/>
        <w:t>3GPP TS 33.503: "Security Aspects of Proximity based Services (ProSe) in the 5G System (5GS)".</w:t>
      </w:r>
    </w:p>
    <w:p w14:paraId="2729609B" w14:textId="1C20AEB5" w:rsidR="00857A0D" w:rsidRPr="00873B6C" w:rsidRDefault="00857A0D" w:rsidP="00857A0D">
      <w:pPr>
        <w:pStyle w:val="EX"/>
      </w:pPr>
      <w:r w:rsidRPr="00873B6C">
        <w:t>[195]</w:t>
      </w:r>
      <w:r w:rsidRPr="00873B6C">
        <w:tab/>
        <w:t>IEC/IEEE 60802: "Time-Sensitive Networking Profile for Industrial Automation".</w:t>
      </w:r>
    </w:p>
    <w:p w14:paraId="1BC10B27" w14:textId="2193E69A" w:rsidR="00D40151" w:rsidRPr="00873B6C" w:rsidRDefault="00D40151" w:rsidP="00D40151">
      <w:pPr>
        <w:pStyle w:val="Heading1"/>
      </w:pPr>
      <w:bookmarkStart w:id="38" w:name="_CR3"/>
      <w:bookmarkStart w:id="39" w:name="_Toc201156897"/>
      <w:bookmarkEnd w:id="38"/>
      <w:r w:rsidRPr="00873B6C">
        <w:t>3</w:t>
      </w:r>
      <w:r w:rsidRPr="00873B6C">
        <w:tab/>
        <w:t>Definitions and abbreviations</w:t>
      </w:r>
      <w:bookmarkEnd w:id="32"/>
      <w:bookmarkEnd w:id="33"/>
      <w:bookmarkEnd w:id="34"/>
      <w:bookmarkEnd w:id="35"/>
      <w:bookmarkEnd w:id="36"/>
      <w:bookmarkEnd w:id="37"/>
      <w:bookmarkEnd w:id="39"/>
    </w:p>
    <w:p w14:paraId="57D5901D" w14:textId="77777777" w:rsidR="00D40151" w:rsidRPr="00873B6C" w:rsidRDefault="00D40151" w:rsidP="00D40151">
      <w:pPr>
        <w:pStyle w:val="Heading2"/>
      </w:pPr>
      <w:bookmarkStart w:id="40" w:name="_CR3_1"/>
      <w:bookmarkStart w:id="41" w:name="_Toc20149626"/>
      <w:bookmarkStart w:id="42" w:name="_Toc27846417"/>
      <w:bookmarkStart w:id="43" w:name="_Toc36187541"/>
      <w:bookmarkStart w:id="44" w:name="_Toc45183445"/>
      <w:bookmarkStart w:id="45" w:name="_Toc47342287"/>
      <w:bookmarkStart w:id="46" w:name="_Toc51768985"/>
      <w:bookmarkStart w:id="47" w:name="_Toc201156898"/>
      <w:bookmarkEnd w:id="40"/>
      <w:r w:rsidRPr="00873B6C">
        <w:t>3.1</w:t>
      </w:r>
      <w:r w:rsidRPr="00873B6C">
        <w:tab/>
        <w:t>Definitions</w:t>
      </w:r>
      <w:bookmarkEnd w:id="41"/>
      <w:bookmarkEnd w:id="42"/>
      <w:bookmarkEnd w:id="43"/>
      <w:bookmarkEnd w:id="44"/>
      <w:bookmarkEnd w:id="45"/>
      <w:bookmarkEnd w:id="46"/>
      <w:bookmarkEnd w:id="47"/>
    </w:p>
    <w:p w14:paraId="3706842C" w14:textId="2697C8B3" w:rsidR="00D40151" w:rsidRPr="00873B6C" w:rsidRDefault="00D40151" w:rsidP="00D40151">
      <w:r w:rsidRPr="00873B6C">
        <w:t xml:space="preserve">For the purposes of the present document, the terms and definitions given in </w:t>
      </w:r>
      <w:r w:rsidR="00972E70" w:rsidRPr="00873B6C">
        <w:t>TR 21.905 [</w:t>
      </w:r>
      <w:r w:rsidRPr="00873B6C">
        <w:t xml:space="preserve">1] and the following apply. A term defined in the present document takes precedence over the definition of the same term, if any, in </w:t>
      </w:r>
      <w:r w:rsidR="00972E70" w:rsidRPr="00873B6C">
        <w:t>TR 21.905 [</w:t>
      </w:r>
      <w:r w:rsidRPr="00873B6C">
        <w:t>1].</w:t>
      </w:r>
    </w:p>
    <w:p w14:paraId="10096B72" w14:textId="5D962D9C" w:rsidR="00D40151" w:rsidRPr="00873B6C" w:rsidRDefault="00D40151" w:rsidP="004969CB">
      <w:r w:rsidRPr="00873B6C">
        <w:rPr>
          <w:b/>
        </w:rPr>
        <w:t>5G</w:t>
      </w:r>
      <w:r w:rsidR="00CD64F1" w:rsidRPr="00873B6C">
        <w:rPr>
          <w:b/>
        </w:rPr>
        <w:t xml:space="preserve"> VN</w:t>
      </w:r>
      <w:r w:rsidRPr="00873B6C">
        <w:rPr>
          <w:b/>
        </w:rPr>
        <w:t xml:space="preserve"> Group:</w:t>
      </w:r>
      <w:r w:rsidRPr="00873B6C">
        <w:t xml:space="preserve"> A set of UEs using private communication for 5G LAN-type service.</w:t>
      </w:r>
    </w:p>
    <w:p w14:paraId="546BB7A0" w14:textId="77777777" w:rsidR="00D40151" w:rsidRPr="00873B6C" w:rsidRDefault="00D40151" w:rsidP="004969CB">
      <w:r w:rsidRPr="00873B6C">
        <w:rPr>
          <w:b/>
          <w:noProof/>
        </w:rPr>
        <w:t xml:space="preserve">5G Access Network: </w:t>
      </w:r>
      <w:r w:rsidRPr="00873B6C">
        <w:t>An access network comprising a NG-RAN and/or non-3GPP AN connecting to a 5G Core Network.</w:t>
      </w:r>
    </w:p>
    <w:p w14:paraId="07E5F66E" w14:textId="44983748" w:rsidR="00EC5600" w:rsidRPr="00873B6C" w:rsidRDefault="00EC5600" w:rsidP="004969CB">
      <w:r w:rsidRPr="00873B6C">
        <w:rPr>
          <w:b/>
          <w:bCs/>
        </w:rPr>
        <w:t>5G Access Stratum-based Time Distribution:</w:t>
      </w:r>
      <w:r w:rsidRPr="00873B6C">
        <w:t xml:space="preserve"> A time synchronization distribution method that is used by an NG-RAN to provide the 5GS time to the UE(s) over the radio interface using procedures specified in </w:t>
      </w:r>
      <w:r w:rsidR="00972E70" w:rsidRPr="00873B6C">
        <w:t>TS 38.331 [</w:t>
      </w:r>
      <w:r w:rsidRPr="00873B6C">
        <w:t>28].</w:t>
      </w:r>
    </w:p>
    <w:p w14:paraId="43704C57" w14:textId="00E5B88F" w:rsidR="00D40151" w:rsidRPr="00873B6C" w:rsidRDefault="00D40151" w:rsidP="004969CB">
      <w:r w:rsidRPr="00873B6C">
        <w:rPr>
          <w:b/>
          <w:noProof/>
        </w:rPr>
        <w:t xml:space="preserve">5G Core Network: </w:t>
      </w:r>
      <w:r w:rsidRPr="00873B6C">
        <w:t>The core network specified in the present document. It connects to a 5G Access Network.</w:t>
      </w:r>
    </w:p>
    <w:p w14:paraId="462D8FEE" w14:textId="77777777" w:rsidR="00D40151" w:rsidRPr="00873B6C" w:rsidRDefault="00D40151" w:rsidP="004969CB">
      <w:r w:rsidRPr="00873B6C">
        <w:rPr>
          <w:b/>
        </w:rPr>
        <w:t>5G LAN-Type Service:</w:t>
      </w:r>
      <w:r w:rsidRPr="00873B6C">
        <w:t xml:space="preserve"> A service over the 5G system offering private communication using IP and/or non-IP type communications.</w:t>
      </w:r>
    </w:p>
    <w:p w14:paraId="5CF76DA2" w14:textId="77777777" w:rsidR="00D40151" w:rsidRPr="00873B6C" w:rsidRDefault="00D40151" w:rsidP="004969CB">
      <w:r w:rsidRPr="00873B6C">
        <w:rPr>
          <w:b/>
        </w:rPr>
        <w:t>5G LAN-Virtual Network:</w:t>
      </w:r>
      <w:r w:rsidRPr="00873B6C">
        <w:t xml:space="preserve"> A virtual network over the 5G system capable of supporting 5G LAN-type service.</w:t>
      </w:r>
    </w:p>
    <w:p w14:paraId="4162892B" w14:textId="795933CB" w:rsidR="00D45059" w:rsidRPr="00873B6C" w:rsidRDefault="00D45059" w:rsidP="004969CB">
      <w:r w:rsidRPr="00873B6C">
        <w:rPr>
          <w:b/>
          <w:bCs/>
        </w:rPr>
        <w:t>5G NSWO:</w:t>
      </w:r>
      <w:r w:rsidRPr="00873B6C">
        <w:t xml:space="preserve"> The 5G NSWO is the capability provided by 5G system and by UE to enable the connection to a WLAN access network using 5GS credentials without registration to 5GS.</w:t>
      </w:r>
    </w:p>
    <w:p w14:paraId="1B35C755" w14:textId="3DD221AC" w:rsidR="00D40151" w:rsidRPr="00873B6C" w:rsidRDefault="00D40151" w:rsidP="004969CB">
      <w:r w:rsidRPr="00873B6C">
        <w:rPr>
          <w:b/>
        </w:rPr>
        <w:t>5G QoS Flow</w:t>
      </w:r>
      <w:r w:rsidR="00CD64F1" w:rsidRPr="00873B6C">
        <w:rPr>
          <w:b/>
        </w:rPr>
        <w:t xml:space="preserve"> or QoS Flow</w:t>
      </w:r>
      <w:r w:rsidRPr="00873B6C">
        <w:rPr>
          <w:b/>
        </w:rPr>
        <w:t xml:space="preserve">: </w:t>
      </w:r>
      <w:r w:rsidRPr="00873B6C">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873B6C" w:rsidRDefault="00D40151" w:rsidP="004969CB">
      <w:r w:rsidRPr="00873B6C">
        <w:rPr>
          <w:b/>
        </w:rPr>
        <w:t>5G QoS Identifier:</w:t>
      </w:r>
      <w:r w:rsidRPr="00873B6C">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873B6C" w:rsidRDefault="00D40151" w:rsidP="004969CB">
      <w:pPr>
        <w:rPr>
          <w:lang w:eastAsia="zh-CN"/>
        </w:rPr>
      </w:pPr>
      <w:r w:rsidRPr="00873B6C">
        <w:rPr>
          <w:b/>
          <w:noProof/>
        </w:rPr>
        <w:t>5G</w:t>
      </w:r>
      <w:r w:rsidRPr="00873B6C">
        <w:rPr>
          <w:b/>
        </w:rPr>
        <w:t xml:space="preserve"> System: </w:t>
      </w:r>
      <w:r w:rsidRPr="00873B6C">
        <w:t>3GPP system consisting of 5G Access Network (AN),</w:t>
      </w:r>
      <w:r w:rsidRPr="00873B6C">
        <w:rPr>
          <w:lang w:eastAsia="zh-CN"/>
        </w:rPr>
        <w:t xml:space="preserve"> </w:t>
      </w:r>
      <w:r w:rsidRPr="00873B6C">
        <w:rPr>
          <w:noProof/>
        </w:rPr>
        <w:t>5G</w:t>
      </w:r>
      <w:r w:rsidRPr="00873B6C">
        <w:t xml:space="preserve"> Core Network and UE.</w:t>
      </w:r>
    </w:p>
    <w:p w14:paraId="0870290A" w14:textId="77777777" w:rsidR="00D40151" w:rsidRPr="00873B6C" w:rsidRDefault="00D40151" w:rsidP="004969CB">
      <w:r w:rsidRPr="00873B6C">
        <w:rPr>
          <w:b/>
        </w:rPr>
        <w:t>5G-BRG:</w:t>
      </w:r>
      <w:r w:rsidRPr="00873B6C">
        <w:t xml:space="preserve"> The 5G-BRG is a 5G-RG defined in BBF.</w:t>
      </w:r>
    </w:p>
    <w:p w14:paraId="51E31C3B" w14:textId="77777777" w:rsidR="00D40151" w:rsidRPr="00873B6C" w:rsidRDefault="00D40151" w:rsidP="004969CB">
      <w:r w:rsidRPr="00873B6C">
        <w:rPr>
          <w:b/>
        </w:rPr>
        <w:t>5G-CRG:</w:t>
      </w:r>
      <w:r w:rsidRPr="00873B6C">
        <w:t xml:space="preserve"> The 5G-CRG is a 5G-RG specified in DOCSIS MULPI [89].</w:t>
      </w:r>
    </w:p>
    <w:p w14:paraId="10BED4BC" w14:textId="77777777" w:rsidR="00D40151" w:rsidRPr="00873B6C" w:rsidRDefault="00D40151" w:rsidP="004969CB">
      <w:r w:rsidRPr="00873B6C">
        <w:rPr>
          <w:b/>
        </w:rPr>
        <w:t>5G-RG:</w:t>
      </w:r>
      <w:r w:rsidRPr="00873B6C">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873B6C" w:rsidRDefault="00D40151" w:rsidP="004969CB">
      <w:r w:rsidRPr="00873B6C">
        <w:rPr>
          <w:b/>
        </w:rPr>
        <w:t>Access Traffic Steering:</w:t>
      </w:r>
      <w:r w:rsidRPr="00873B6C">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873B6C" w:rsidRDefault="00D40151" w:rsidP="004969CB">
      <w:r w:rsidRPr="00873B6C">
        <w:rPr>
          <w:b/>
        </w:rPr>
        <w:lastRenderedPageBreak/>
        <w:t>Access Traffic Switching:</w:t>
      </w:r>
      <w:r w:rsidRPr="00873B6C">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873B6C" w:rsidRDefault="00D40151" w:rsidP="004969CB">
      <w:r w:rsidRPr="00873B6C">
        <w:rPr>
          <w:b/>
        </w:rPr>
        <w:t>Access Traffic Splitting:</w:t>
      </w:r>
      <w:r w:rsidRPr="00873B6C">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873B6C" w:rsidRDefault="00D40151" w:rsidP="004969CB">
      <w:r w:rsidRPr="00873B6C">
        <w:rPr>
          <w:b/>
        </w:rPr>
        <w:t>Allowed NSSAI</w:t>
      </w:r>
      <w:r w:rsidRPr="00873B6C">
        <w:rPr>
          <w:iCs/>
        </w:rPr>
        <w:t>:</w:t>
      </w:r>
      <w:r w:rsidR="006E1B0F" w:rsidRPr="00873B6C">
        <w:rPr>
          <w:iCs/>
        </w:rPr>
        <w:t xml:space="preserve"> I</w:t>
      </w:r>
      <w:r w:rsidRPr="00873B6C">
        <w:rPr>
          <w:iCs/>
        </w:rPr>
        <w:t xml:space="preserve">ndicating the S-NSSAIs values the UE could use in the Serving PLMN </w:t>
      </w:r>
      <w:r w:rsidR="006E1B0F" w:rsidRPr="00873B6C">
        <w:rPr>
          <w:iCs/>
        </w:rPr>
        <w:t xml:space="preserve">in </w:t>
      </w:r>
      <w:r w:rsidRPr="00873B6C">
        <w:rPr>
          <w:iCs/>
        </w:rPr>
        <w:t xml:space="preserve">the current Registration </w:t>
      </w:r>
      <w:r w:rsidRPr="00873B6C">
        <w:t>Area.</w:t>
      </w:r>
    </w:p>
    <w:p w14:paraId="76986B8C" w14:textId="77777777" w:rsidR="00D40151" w:rsidRPr="00873B6C" w:rsidRDefault="00D40151" w:rsidP="004969CB">
      <w:r w:rsidRPr="00873B6C">
        <w:rPr>
          <w:b/>
        </w:rPr>
        <w:t>Allowed Area:</w:t>
      </w:r>
      <w:r w:rsidRPr="00873B6C">
        <w:t xml:space="preserve"> Area where the UE is allowed to initiate communication as specified in clause 5.3.2.3.</w:t>
      </w:r>
    </w:p>
    <w:p w14:paraId="4C390D84" w14:textId="47B6DD20" w:rsidR="003E03C2" w:rsidRPr="00873B6C" w:rsidRDefault="003E03C2" w:rsidP="004969CB">
      <w:r w:rsidRPr="00873B6C">
        <w:rPr>
          <w:b/>
          <w:bCs/>
        </w:rPr>
        <w:t>Alternative S-NSSAI:</w:t>
      </w:r>
      <w:r w:rsidRPr="00873B6C">
        <w:t xml:space="preserve"> Indicating a compatible S-NSSAI for an S-NSSAI in the Allowed NSSAI that the AMF uses to replace an S-NSSAI when the S-NSSAI is not available or congested, as specified in clause 5.15.19.</w:t>
      </w:r>
    </w:p>
    <w:p w14:paraId="5062D26B" w14:textId="73743598" w:rsidR="00D40151" w:rsidRPr="00873B6C" w:rsidRDefault="00D40151" w:rsidP="004969CB">
      <w:r w:rsidRPr="00873B6C">
        <w:rPr>
          <w:b/>
        </w:rPr>
        <w:t>AMF Region:</w:t>
      </w:r>
      <w:r w:rsidRPr="00873B6C">
        <w:t xml:space="preserve"> An AMF Region consists of one or multiple AMF Sets.</w:t>
      </w:r>
    </w:p>
    <w:p w14:paraId="7A2F36BF" w14:textId="77777777" w:rsidR="00D40151" w:rsidRPr="00873B6C" w:rsidRDefault="00D40151" w:rsidP="004969CB">
      <w:pPr>
        <w:rPr>
          <w:rFonts w:eastAsia="DengXian"/>
        </w:rPr>
      </w:pPr>
      <w:r w:rsidRPr="00873B6C">
        <w:rPr>
          <w:b/>
        </w:rPr>
        <w:t>AMF Set:</w:t>
      </w:r>
      <w:r w:rsidRPr="00873B6C">
        <w:t xml:space="preserve"> </w:t>
      </w:r>
      <w:r w:rsidRPr="00873B6C">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873B6C">
        <w:rPr>
          <w:rFonts w:eastAsia="DengXian"/>
        </w:rPr>
        <w:t>. The AMF instances in the same AMF Set may be geographically distributed but have access to the same context data.</w:t>
      </w:r>
    </w:p>
    <w:p w14:paraId="00544277" w14:textId="656099BA" w:rsidR="00D40151" w:rsidRPr="00873B6C" w:rsidRDefault="00D40151" w:rsidP="004969CB">
      <w:r w:rsidRPr="00873B6C">
        <w:rPr>
          <w:b/>
        </w:rPr>
        <w:t xml:space="preserve">Application </w:t>
      </w:r>
      <w:r w:rsidR="00CD64F1" w:rsidRPr="00873B6C">
        <w:rPr>
          <w:b/>
        </w:rPr>
        <w:t>I</w:t>
      </w:r>
      <w:r w:rsidRPr="00873B6C">
        <w:rPr>
          <w:b/>
        </w:rPr>
        <w:t>dentifier:</w:t>
      </w:r>
      <w:r w:rsidRPr="00873B6C">
        <w:t xml:space="preserve"> An identifier that can be mapped to a specific application traffic detection rule.</w:t>
      </w:r>
    </w:p>
    <w:p w14:paraId="3B86731F" w14:textId="77777777" w:rsidR="00D40151" w:rsidRPr="00873B6C" w:rsidRDefault="00D40151" w:rsidP="004969CB">
      <w:r w:rsidRPr="00873B6C">
        <w:rPr>
          <w:b/>
        </w:rPr>
        <w:t>AUSF Group ID:</w:t>
      </w:r>
      <w:r w:rsidRPr="00873B6C">
        <w:t xml:space="preserve"> This refers to one or more AUSF instances managing a specific set of SUPIs. An AUSF Group consists of one or multiple AUSF Sets.</w:t>
      </w:r>
    </w:p>
    <w:p w14:paraId="2FFB4654" w14:textId="77777777" w:rsidR="00D40151" w:rsidRPr="00873B6C" w:rsidRDefault="00D40151" w:rsidP="004969CB">
      <w:r w:rsidRPr="00873B6C">
        <w:rPr>
          <w:b/>
          <w:bCs/>
        </w:rPr>
        <w:t>Binding Indication:</w:t>
      </w:r>
      <w:r w:rsidRPr="00873B6C">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873B6C" w:rsidRDefault="00F8101C" w:rsidP="004969CB">
      <w:r w:rsidRPr="00873B6C">
        <w:rPr>
          <w:b/>
          <w:bCs/>
        </w:rPr>
        <w:t>BSF Group ID:</w:t>
      </w:r>
      <w:r w:rsidRPr="00873B6C">
        <w:t xml:space="preserve"> This refers to one or more BSF instances managing a specific set of SUPIs or GPSIs. A BSF Group consists of one or multiple BSF Sets.</w:t>
      </w:r>
    </w:p>
    <w:p w14:paraId="55C5D31D" w14:textId="2452D984" w:rsidR="00D40151" w:rsidRPr="00873B6C" w:rsidRDefault="00D40151" w:rsidP="004969CB">
      <w:r w:rsidRPr="00873B6C">
        <w:rPr>
          <w:b/>
        </w:rPr>
        <w:t xml:space="preserve">Configured NSSAI: </w:t>
      </w:r>
      <w:r w:rsidRPr="00873B6C">
        <w:t>NSSAI provisioned in the UE applicable to one or more PLMNs.</w:t>
      </w:r>
    </w:p>
    <w:p w14:paraId="2140EE22" w14:textId="77777777" w:rsidR="00D40151" w:rsidRPr="00873B6C" w:rsidRDefault="00D40151" w:rsidP="004969CB">
      <w:r w:rsidRPr="00873B6C">
        <w:rPr>
          <w:b/>
          <w:bCs/>
        </w:rPr>
        <w:t xml:space="preserve">CHF Group ID: </w:t>
      </w:r>
      <w:r w:rsidRPr="00873B6C">
        <w:t>This refers to one or more CHF instances managing a specific set of SUPIs.</w:t>
      </w:r>
    </w:p>
    <w:p w14:paraId="49224EF8" w14:textId="443C6D6A" w:rsidR="00757CAF" w:rsidRPr="00873B6C" w:rsidRDefault="00757CAF" w:rsidP="004969CB">
      <w:r w:rsidRPr="00873B6C">
        <w:rPr>
          <w:b/>
          <w:bCs/>
        </w:rPr>
        <w:t>Credentials Holder:</w:t>
      </w:r>
      <w:r w:rsidRPr="00873B6C">
        <w:t xml:space="preserve"> Entity which authenticates and authorizes access to an SNPN separate from the Credentials Holder.</w:t>
      </w:r>
    </w:p>
    <w:p w14:paraId="531BE889" w14:textId="77777777" w:rsidR="002C4A81" w:rsidRPr="00873B6C" w:rsidRDefault="002C4A81" w:rsidP="00D40151">
      <w:pPr>
        <w:keepLines/>
      </w:pPr>
      <w:r w:rsidRPr="00873B6C">
        <w:rPr>
          <w:b/>
          <w:bCs/>
        </w:rPr>
        <w:t>Data Burst:</w:t>
      </w:r>
      <w:r w:rsidRPr="00873B6C">
        <w:t xml:space="preserve"> A set of multiple PDUs generated and sent by the application in a short period of time.</w:t>
      </w:r>
    </w:p>
    <w:p w14:paraId="5C772761" w14:textId="6C95DC30" w:rsidR="002C4A81" w:rsidRPr="00873B6C" w:rsidRDefault="002C4A81" w:rsidP="00972E70">
      <w:pPr>
        <w:pStyle w:val="NO"/>
      </w:pPr>
      <w:r w:rsidRPr="00873B6C">
        <w:t>NOTE 1:</w:t>
      </w:r>
      <w:r w:rsidRPr="00873B6C">
        <w:tab/>
        <w:t>A Data Burst can be composed of one or multiple PDU Sets.</w:t>
      </w:r>
    </w:p>
    <w:p w14:paraId="64C79724" w14:textId="70B4A051" w:rsidR="00C922CA" w:rsidRPr="00873B6C" w:rsidRDefault="00C922CA" w:rsidP="004969CB">
      <w:r w:rsidRPr="00873B6C">
        <w:rPr>
          <w:b/>
          <w:bCs/>
        </w:rPr>
        <w:t>Default UE credentials:</w:t>
      </w:r>
      <w:r w:rsidRPr="00873B6C">
        <w:t xml:space="preserve"> Information configured in the UE to make the UE uniquely identifiable and verifiably secure to perform UE onboarding.</w:t>
      </w:r>
    </w:p>
    <w:p w14:paraId="0836A685" w14:textId="77777777" w:rsidR="00C922CA" w:rsidRPr="00873B6C" w:rsidRDefault="00C922CA" w:rsidP="004969CB">
      <w:r w:rsidRPr="00873B6C">
        <w:rPr>
          <w:b/>
          <w:bCs/>
        </w:rPr>
        <w:t>Default Credentials Server (DCS):</w:t>
      </w:r>
      <w:r w:rsidRPr="00873B6C">
        <w:t xml:space="preserve"> An entity that can perform authentication based on the Default UE credentials or provide means for another entity to perform authentication based on the Default UE credentials.</w:t>
      </w:r>
    </w:p>
    <w:p w14:paraId="52FC45B9" w14:textId="7361495F" w:rsidR="00D40151" w:rsidRPr="00873B6C" w:rsidRDefault="00D40151" w:rsidP="004969CB">
      <w:r w:rsidRPr="00873B6C">
        <w:rPr>
          <w:b/>
        </w:rPr>
        <w:t>Delegated Discovery:</w:t>
      </w:r>
      <w:r w:rsidRPr="00873B6C">
        <w:t xml:space="preserve"> This refers to delegating the discovery and associated selection of NF instances or NF service instances to an SCP.</w:t>
      </w:r>
    </w:p>
    <w:p w14:paraId="330BACF7" w14:textId="77777777" w:rsidR="00D40151" w:rsidRPr="00873B6C" w:rsidRDefault="00D40151" w:rsidP="004969CB">
      <w:r w:rsidRPr="00873B6C">
        <w:rPr>
          <w:b/>
        </w:rPr>
        <w:t>Direct Communication:</w:t>
      </w:r>
      <w:r w:rsidRPr="00873B6C">
        <w:t xml:space="preserve"> This refers to the communication between NFs or NF services without using an SCP.</w:t>
      </w:r>
    </w:p>
    <w:p w14:paraId="31E07BFA" w14:textId="02F01363" w:rsidR="00F8101C" w:rsidRPr="00873B6C" w:rsidRDefault="00F8101C" w:rsidP="004969CB">
      <w:r w:rsidRPr="00873B6C">
        <w:rPr>
          <w:b/>
          <w:bCs/>
        </w:rPr>
        <w:t>Disaster Condition:</w:t>
      </w:r>
      <w:r w:rsidRPr="00873B6C">
        <w:t xml:space="preserve"> See definition in </w:t>
      </w:r>
      <w:r w:rsidR="00972E70" w:rsidRPr="00873B6C">
        <w:t>TS 22.261 [</w:t>
      </w:r>
      <w:r w:rsidRPr="00873B6C">
        <w:t>2].</w:t>
      </w:r>
    </w:p>
    <w:p w14:paraId="1A128DF6" w14:textId="084F04A3" w:rsidR="00F8101C" w:rsidRPr="00873B6C" w:rsidRDefault="00F8101C" w:rsidP="004969CB">
      <w:r w:rsidRPr="00873B6C">
        <w:rPr>
          <w:b/>
          <w:bCs/>
        </w:rPr>
        <w:t>Disaster Inbound Roamer:</w:t>
      </w:r>
      <w:r w:rsidRPr="00873B6C">
        <w:t xml:space="preserve"> See definition in </w:t>
      </w:r>
      <w:r w:rsidR="00972E70" w:rsidRPr="00873B6C">
        <w:t>TS 22.261 [</w:t>
      </w:r>
      <w:r w:rsidRPr="00873B6C">
        <w:t>2].</w:t>
      </w:r>
    </w:p>
    <w:p w14:paraId="37E1767E" w14:textId="3790859B" w:rsidR="00F8101C" w:rsidRPr="00873B6C" w:rsidRDefault="00F8101C" w:rsidP="004969CB">
      <w:r w:rsidRPr="00873B6C">
        <w:rPr>
          <w:b/>
          <w:bCs/>
        </w:rPr>
        <w:t>Disaster Roaming:</w:t>
      </w:r>
      <w:r w:rsidRPr="00873B6C">
        <w:t xml:space="preserve"> See definition in </w:t>
      </w:r>
      <w:r w:rsidR="00972E70" w:rsidRPr="00873B6C">
        <w:t>TS 22.261 [</w:t>
      </w:r>
      <w:r w:rsidRPr="00873B6C">
        <w:t>2].</w:t>
      </w:r>
    </w:p>
    <w:p w14:paraId="61F742A4" w14:textId="489DD071" w:rsidR="00D40151" w:rsidRPr="00873B6C" w:rsidRDefault="00D40151" w:rsidP="004969CB">
      <w:r w:rsidRPr="00873B6C">
        <w:rPr>
          <w:b/>
        </w:rPr>
        <w:t>DN Access Identifier (DNAI):</w:t>
      </w:r>
      <w:r w:rsidRPr="00873B6C">
        <w:t xml:space="preserve"> Identifier of a user plane access to one or more DN(s) where applications are deployed.</w:t>
      </w:r>
    </w:p>
    <w:p w14:paraId="65C46F48" w14:textId="77777777" w:rsidR="00D40151" w:rsidRPr="00873B6C" w:rsidRDefault="00D40151" w:rsidP="004969CB">
      <w:r w:rsidRPr="00873B6C">
        <w:rPr>
          <w:b/>
        </w:rPr>
        <w:lastRenderedPageBreak/>
        <w:t xml:space="preserve">Emergency Registered: </w:t>
      </w:r>
      <w:r w:rsidRPr="00873B6C">
        <w:t>A UE is considered Emergency Registered over an Access Type in a PLMN when registered for emergency services only over this Access Type in this PLMN.</w:t>
      </w:r>
    </w:p>
    <w:p w14:paraId="3BEE17F7" w14:textId="77777777" w:rsidR="00D40151" w:rsidRPr="00873B6C" w:rsidRDefault="00D40151" w:rsidP="004969CB">
      <w:r w:rsidRPr="00873B6C">
        <w:rPr>
          <w:b/>
        </w:rPr>
        <w:t>Endpoint Address:</w:t>
      </w:r>
      <w:r w:rsidRPr="00873B6C">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C0C3A9E" w:rsidR="00D40151" w:rsidRPr="00873B6C" w:rsidRDefault="00D40151" w:rsidP="004969CB">
      <w:r w:rsidRPr="00873B6C">
        <w:rPr>
          <w:b/>
        </w:rPr>
        <w:t>En-gNB:</w:t>
      </w:r>
      <w:r w:rsidRPr="00873B6C">
        <w:t xml:space="preserve"> as defined in </w:t>
      </w:r>
      <w:r w:rsidR="00972E70" w:rsidRPr="00873B6C">
        <w:t>TS 37.340 [</w:t>
      </w:r>
      <w:r w:rsidRPr="00873B6C">
        <w:t>31].</w:t>
      </w:r>
    </w:p>
    <w:p w14:paraId="5F4CBDFB" w14:textId="77777777" w:rsidR="00D40151" w:rsidRPr="00873B6C" w:rsidRDefault="00D40151" w:rsidP="004969CB">
      <w:r w:rsidRPr="00873B6C">
        <w:rPr>
          <w:b/>
        </w:rPr>
        <w:t xml:space="preserve">Expected UE Behaviour: </w:t>
      </w:r>
      <w:r w:rsidRPr="00873B6C">
        <w:t>Set of parameters provisioned by an external party to 5G network functions on the foreseen or expected UE behaviour, see clause 5.20.</w:t>
      </w:r>
    </w:p>
    <w:p w14:paraId="0F5E4FAE" w14:textId="2546241A" w:rsidR="00CD22D1" w:rsidRPr="00873B6C" w:rsidRDefault="00CD22D1" w:rsidP="004969CB">
      <w:r w:rsidRPr="00873B6C">
        <w:rPr>
          <w:b/>
          <w:bCs/>
        </w:rPr>
        <w:t>Feeder link:</w:t>
      </w:r>
      <w:r w:rsidRPr="00873B6C">
        <w:t xml:space="preserve"> As defined in TS 38.300 [27].</w:t>
      </w:r>
    </w:p>
    <w:p w14:paraId="1E211FCD" w14:textId="1ED29301" w:rsidR="00D40151" w:rsidRPr="00873B6C" w:rsidRDefault="00D40151" w:rsidP="004969CB">
      <w:r w:rsidRPr="00873B6C">
        <w:rPr>
          <w:b/>
        </w:rPr>
        <w:t>Fixed Network Residential Gateway:</w:t>
      </w:r>
      <w:r w:rsidRPr="00873B6C">
        <w:t xml:space="preserve"> A Fixed Network RG (FN-RG) is a RG that it does not support N1 signalling and it is not 5GC capable.</w:t>
      </w:r>
    </w:p>
    <w:p w14:paraId="77CDB83D" w14:textId="77777777" w:rsidR="00D40151" w:rsidRPr="00873B6C" w:rsidRDefault="00D40151" w:rsidP="004969CB">
      <w:r w:rsidRPr="00873B6C">
        <w:rPr>
          <w:b/>
        </w:rPr>
        <w:t>Fixed Network Broadband Residential Gateway:</w:t>
      </w:r>
      <w:r w:rsidRPr="00873B6C">
        <w:t xml:space="preserve"> A Fixed Network RG (FN-BRG) is a FN-RG specified in BBF TR</w:t>
      </w:r>
      <w:r w:rsidRPr="00873B6C">
        <w:noBreakHyphen/>
        <w:t>124 [90].</w:t>
      </w:r>
    </w:p>
    <w:p w14:paraId="2A21E1EA" w14:textId="77777777" w:rsidR="00D40151" w:rsidRPr="00873B6C" w:rsidRDefault="00D40151" w:rsidP="004969CB">
      <w:r w:rsidRPr="00873B6C">
        <w:rPr>
          <w:b/>
        </w:rPr>
        <w:t>Fixed Network Cable Residential Gateway:</w:t>
      </w:r>
      <w:r w:rsidRPr="00873B6C">
        <w:t xml:space="preserve"> A Fixed Network Cable RG (FN-CRG) is a FN-RG with cable modem specified in DOCSIS MULPI [89].</w:t>
      </w:r>
    </w:p>
    <w:p w14:paraId="70E49B42" w14:textId="77777777" w:rsidR="00D40151" w:rsidRPr="00873B6C" w:rsidRDefault="00D40151" w:rsidP="004969CB">
      <w:r w:rsidRPr="00873B6C">
        <w:rPr>
          <w:b/>
        </w:rPr>
        <w:t>Forbidden Area:</w:t>
      </w:r>
      <w:r w:rsidRPr="00873B6C">
        <w:t xml:space="preserve"> An area where the UE is not allowed to initiate communication as specified in clause 5.3.2.3.</w:t>
      </w:r>
    </w:p>
    <w:p w14:paraId="0D25173C" w14:textId="77777777" w:rsidR="00D40151" w:rsidRPr="00873B6C" w:rsidRDefault="00D40151" w:rsidP="004969CB">
      <w:r w:rsidRPr="00873B6C">
        <w:rPr>
          <w:b/>
        </w:rPr>
        <w:t xml:space="preserve">GBR QoS Flow: </w:t>
      </w:r>
      <w:r w:rsidRPr="00873B6C">
        <w:t>A QoS Flow using the GBR resource type or the Delay-critical GBR resource type and requiring guaranteed flow bit rate.</w:t>
      </w:r>
    </w:p>
    <w:p w14:paraId="554A4B9D" w14:textId="36B98171" w:rsidR="00C1580A" w:rsidRPr="00873B6C" w:rsidRDefault="00C1580A" w:rsidP="004969CB">
      <w:r w:rsidRPr="00873B6C">
        <w:rPr>
          <w:b/>
          <w:bCs/>
        </w:rPr>
        <w:t>Group ID for Network Selection (GIN):</w:t>
      </w:r>
      <w:r w:rsidRPr="00873B6C">
        <w:t xml:space="preserve"> An identifier used during SNPN selection to enhance the likelihood of selecting a preferred SNPN that supports a Default Credentials Server or a Credentials Holder.</w:t>
      </w:r>
    </w:p>
    <w:p w14:paraId="7B3253C1" w14:textId="6551ACCB" w:rsidR="00EC5600" w:rsidRPr="00873B6C" w:rsidRDefault="00EC5600" w:rsidP="004969CB">
      <w:r w:rsidRPr="00873B6C">
        <w:rPr>
          <w:b/>
          <w:bCs/>
        </w:rPr>
        <w:t>(g)PTP-based Time Distribution:</w:t>
      </w:r>
      <w:r w:rsidRPr="00873B6C">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65FC68C6" w:rsidR="00616F73" w:rsidRPr="00873B6C" w:rsidRDefault="00616F73" w:rsidP="004969CB">
      <w:r w:rsidRPr="00873B6C">
        <w:rPr>
          <w:b/>
          <w:bCs/>
        </w:rPr>
        <w:t xml:space="preserve">Home Network Public Key Identifier: </w:t>
      </w:r>
      <w:r w:rsidRPr="00873B6C">
        <w:t xml:space="preserve">An identifier used to indicate which public/private key pair is used for SUPI protection and de-concealment of the SUCI as specified in </w:t>
      </w:r>
      <w:r w:rsidR="00972E70" w:rsidRPr="00873B6C">
        <w:t>TS 23.003 [</w:t>
      </w:r>
      <w:r w:rsidRPr="00873B6C">
        <w:t>19].</w:t>
      </w:r>
    </w:p>
    <w:p w14:paraId="62F90DC5" w14:textId="2D9C3C53" w:rsidR="00D40151" w:rsidRPr="00873B6C" w:rsidRDefault="00D40151" w:rsidP="004969CB">
      <w:r w:rsidRPr="00873B6C">
        <w:rPr>
          <w:b/>
        </w:rPr>
        <w:t>IAB-donor:</w:t>
      </w:r>
      <w:r w:rsidRPr="00873B6C">
        <w:t xml:space="preserve"> This is a NG-RAN node that supports Integrated access and backhaul (IAB) feature and provides connection to the core network to IAB-nodes. It supports the CU function of the CU/DU architecture for IAB defined in </w:t>
      </w:r>
      <w:r w:rsidR="00972E70" w:rsidRPr="00873B6C">
        <w:t>TS 38.401 [</w:t>
      </w:r>
      <w:r w:rsidRPr="00873B6C">
        <w:t>42].</w:t>
      </w:r>
    </w:p>
    <w:p w14:paraId="07922885" w14:textId="15F46683" w:rsidR="00D40151" w:rsidRPr="00873B6C" w:rsidRDefault="00D40151" w:rsidP="004969CB">
      <w:r w:rsidRPr="00873B6C">
        <w:rPr>
          <w:b/>
        </w:rPr>
        <w:t>IAB-node:</w:t>
      </w:r>
      <w:r w:rsidRPr="00873B6C">
        <w:t xml:space="preserve"> A relay node that supports wireless in-band and out-of-band relaying of NR access traffic via NR Uu backhaul links. It supports the UE function and the DU function of the CU/DU architecture for IAB defined in </w:t>
      </w:r>
      <w:r w:rsidR="00972E70" w:rsidRPr="00873B6C">
        <w:t>TS 38.401 [</w:t>
      </w:r>
      <w:r w:rsidRPr="00873B6C">
        <w:t>42].</w:t>
      </w:r>
    </w:p>
    <w:p w14:paraId="0D2923A7" w14:textId="77777777" w:rsidR="00D40151" w:rsidRPr="00873B6C" w:rsidRDefault="00D40151" w:rsidP="004969CB">
      <w:r w:rsidRPr="00873B6C">
        <w:rPr>
          <w:b/>
        </w:rPr>
        <w:t>Indirect Communication:</w:t>
      </w:r>
      <w:r w:rsidRPr="00873B6C">
        <w:t xml:space="preserve"> This refers to the communication between NFs or NF services via an SCP.</w:t>
      </w:r>
    </w:p>
    <w:p w14:paraId="7E496D05" w14:textId="77777777" w:rsidR="00D40151" w:rsidRPr="00873B6C" w:rsidRDefault="00D40151" w:rsidP="004969CB">
      <w:r w:rsidRPr="00873B6C">
        <w:rPr>
          <w:b/>
        </w:rPr>
        <w:t>Initial Registration:</w:t>
      </w:r>
      <w:r w:rsidRPr="00873B6C">
        <w:t xml:space="preserve"> UE registration in RM-DEREGISTERED state as specified in clause 5.3.2.</w:t>
      </w:r>
    </w:p>
    <w:p w14:paraId="61E85139" w14:textId="77777777" w:rsidR="00D40151" w:rsidRPr="00873B6C" w:rsidRDefault="00D40151" w:rsidP="004969CB">
      <w:r w:rsidRPr="00873B6C">
        <w:rPr>
          <w:b/>
        </w:rPr>
        <w:t>Intermediate SMF (I-SMF):</w:t>
      </w:r>
      <w:r w:rsidRPr="00873B6C">
        <w:t xml:space="preserve"> An SMF that is inserted to support a PDU session as the UE is located in an area which cannot be controlled by the original SMF because the UPF(s) belong to a different SMF Service Area.</w:t>
      </w:r>
    </w:p>
    <w:p w14:paraId="2880F404" w14:textId="3A654FAE" w:rsidR="00D40151" w:rsidRPr="00873B6C" w:rsidRDefault="00D40151" w:rsidP="004969CB">
      <w:r w:rsidRPr="00873B6C">
        <w:rPr>
          <w:b/>
        </w:rPr>
        <w:t xml:space="preserve">Local Area Data Network: </w:t>
      </w:r>
      <w:r w:rsidRPr="00873B6C">
        <w:t>a DN that is accessible by the UE only in specific locations, that provides connectivity to a specific DNN</w:t>
      </w:r>
      <w:r w:rsidR="00472CD7" w:rsidRPr="00873B6C">
        <w:t xml:space="preserve"> and</w:t>
      </w:r>
      <w:r w:rsidRPr="00873B6C">
        <w:t xml:space="preserve"> whose availability is provided to the UE.</w:t>
      </w:r>
    </w:p>
    <w:p w14:paraId="761DFE0A" w14:textId="77777777" w:rsidR="00D40151" w:rsidRPr="00873B6C" w:rsidRDefault="00D40151" w:rsidP="004969CB">
      <w:r w:rsidRPr="00873B6C">
        <w:rPr>
          <w:b/>
        </w:rPr>
        <w:t xml:space="preserve">Local Break Out (LBO): </w:t>
      </w:r>
      <w:r w:rsidRPr="00873B6C">
        <w:t>Roaming scenario for a PDU Session where the PDU Session Anchor and its controlling SMF are located in the serving PLMN (VPLMN).</w:t>
      </w:r>
    </w:p>
    <w:p w14:paraId="77A7B57F" w14:textId="52E05FAE" w:rsidR="00D40151" w:rsidRPr="00873B6C" w:rsidRDefault="00D40151" w:rsidP="004969CB">
      <w:r w:rsidRPr="00873B6C">
        <w:rPr>
          <w:b/>
          <w:bCs/>
        </w:rPr>
        <w:t>LTE-M:</w:t>
      </w:r>
      <w:r w:rsidRPr="00873B6C">
        <w:t xml:space="preserve"> a 3GPP RAT type Identifier used in the Core Network only, which is a sub-type of E-UTRA RAT type</w:t>
      </w:r>
      <w:r w:rsidR="00472CD7" w:rsidRPr="00873B6C">
        <w:t xml:space="preserve"> and</w:t>
      </w:r>
      <w:r w:rsidRPr="00873B6C">
        <w:t xml:space="preserve"> defined to identify in the Core Network the E-UTRA when used by a UE indicating Category M.</w:t>
      </w:r>
    </w:p>
    <w:p w14:paraId="77EAD0AE" w14:textId="77777777" w:rsidR="00D40151" w:rsidRPr="00873B6C" w:rsidRDefault="00D40151" w:rsidP="004969CB">
      <w:r w:rsidRPr="00873B6C">
        <w:rPr>
          <w:b/>
        </w:rPr>
        <w:t>MA PDU Session:</w:t>
      </w:r>
      <w:r w:rsidRPr="00873B6C">
        <w:t xml:space="preserve"> A PDU Session that provides a PDU connectivity service, which can use one access network at a time, or simultaneously one 3GPP access network and one non-3GPP access network.</w:t>
      </w:r>
    </w:p>
    <w:p w14:paraId="05CD6CF5" w14:textId="28893052" w:rsidR="00A92B4B" w:rsidRPr="00873B6C" w:rsidRDefault="00A92B4B" w:rsidP="004969CB">
      <w:r w:rsidRPr="00873B6C">
        <w:rPr>
          <w:b/>
          <w:bCs/>
        </w:rPr>
        <w:lastRenderedPageBreak/>
        <w:t>Mobile Base Station Relay:</w:t>
      </w:r>
      <w:r w:rsidRPr="00873B6C">
        <w:t xml:space="preserve"> A mobile base station acts as a relay between a UE and the 5G network. Such mobile base station relay can for example be mounted on a moving vehicle and serve UEs that can be located inside or outside the vehicle (or entering/leaving the vehicle). See description of </w:t>
      </w:r>
      <w:r w:rsidR="00972E70" w:rsidRPr="00873B6C">
        <w:t>TS 22.261 [</w:t>
      </w:r>
      <w:r w:rsidRPr="00873B6C">
        <w:t xml:space="preserve">2]. A mobile Base Station Relay is supported in 5GS with the IAB-architecture with mobility as specified in clause 5.35A and that described in </w:t>
      </w:r>
      <w:r w:rsidR="00972E70" w:rsidRPr="00873B6C">
        <w:t>TS 38.401 [</w:t>
      </w:r>
      <w:r w:rsidRPr="00873B6C">
        <w:t>42].</w:t>
      </w:r>
    </w:p>
    <w:p w14:paraId="3AA26DEF" w14:textId="1EED50D0" w:rsidR="004001F9" w:rsidRPr="00873B6C" w:rsidRDefault="004001F9" w:rsidP="004969CB">
      <w:r w:rsidRPr="00873B6C">
        <w:rPr>
          <w:b/>
          <w:bCs/>
        </w:rPr>
        <w:t>Master RAN node:</w:t>
      </w:r>
      <w:r w:rsidRPr="00873B6C">
        <w:t xml:space="preserve"> A Master node as defined in TS 37.340 [31].</w:t>
      </w:r>
    </w:p>
    <w:p w14:paraId="065493AF" w14:textId="1DE6CF10" w:rsidR="00D40151" w:rsidRPr="00873B6C" w:rsidRDefault="00D40151" w:rsidP="004969CB">
      <w:r w:rsidRPr="00873B6C">
        <w:rPr>
          <w:b/>
        </w:rPr>
        <w:t>Mobility Pattern:</w:t>
      </w:r>
      <w:r w:rsidRPr="00873B6C">
        <w:t xml:space="preserve"> Network concept of determining within the AMF the UE mobility parameters as specified in clause 5.3.2.4.</w:t>
      </w:r>
    </w:p>
    <w:p w14:paraId="75B24669" w14:textId="77777777" w:rsidR="00D40151" w:rsidRPr="00873B6C" w:rsidRDefault="00D40151" w:rsidP="004969CB">
      <w:r w:rsidRPr="00873B6C">
        <w:rPr>
          <w:b/>
        </w:rPr>
        <w:t>Mobility Registration Update:</w:t>
      </w:r>
      <w:r w:rsidRPr="00873B6C">
        <w:t xml:space="preserve"> UE re-registration when entering new TA outside the TAI List as specified in clause 5.3.2.</w:t>
      </w:r>
    </w:p>
    <w:p w14:paraId="53441FEE" w14:textId="77777777" w:rsidR="00D40151" w:rsidRPr="00873B6C" w:rsidRDefault="00D40151" w:rsidP="00D40151">
      <w:r w:rsidRPr="00873B6C">
        <w:rPr>
          <w:b/>
        </w:rPr>
        <w:t>MPS-subscribed UE:</w:t>
      </w:r>
      <w:r w:rsidRPr="00873B6C">
        <w:t xml:space="preserve"> A UE having a USIM with MPS subscription.</w:t>
      </w:r>
    </w:p>
    <w:p w14:paraId="419556E9" w14:textId="5B137518" w:rsidR="00C922CA" w:rsidRPr="00873B6C" w:rsidRDefault="00C922CA" w:rsidP="00D40151">
      <w:pPr>
        <w:rPr>
          <w:rFonts w:eastAsia="DengXian"/>
        </w:rPr>
      </w:pPr>
      <w:r w:rsidRPr="00873B6C">
        <w:rPr>
          <w:rFonts w:eastAsia="DengXian"/>
          <w:b/>
          <w:bCs/>
        </w:rPr>
        <w:t>Multi-USIM UE:</w:t>
      </w:r>
      <w:r w:rsidRPr="00873B6C">
        <w:rPr>
          <w:rFonts w:eastAsia="DengXian"/>
        </w:rPr>
        <w:t xml:space="preserve"> A UE with multiple USIMs, capable of maintaining a separate registration state with a PLMN for each USIM at least over 3GPP Access and supporting one or more of the </w:t>
      </w:r>
      <w:r w:rsidR="008546A1" w:rsidRPr="00873B6C">
        <w:rPr>
          <w:rFonts w:eastAsia="DengXian"/>
        </w:rPr>
        <w:t xml:space="preserve">features </w:t>
      </w:r>
      <w:r w:rsidRPr="00873B6C">
        <w:rPr>
          <w:rFonts w:eastAsia="DengXian"/>
        </w:rPr>
        <w:t>described in clause 5.38.</w:t>
      </w:r>
    </w:p>
    <w:p w14:paraId="7789DBFA" w14:textId="368258CC" w:rsidR="00D40151" w:rsidRPr="00873B6C" w:rsidRDefault="00D40151" w:rsidP="00D40151">
      <w:pPr>
        <w:rPr>
          <w:rFonts w:eastAsia="DengXian"/>
        </w:rPr>
      </w:pPr>
      <w:r w:rsidRPr="00873B6C">
        <w:rPr>
          <w:rFonts w:eastAsia="DengXian"/>
          <w:b/>
        </w:rPr>
        <w:t xml:space="preserve">NB-IoT UE Priority: </w:t>
      </w:r>
      <w:r w:rsidRPr="00873B6C">
        <w:rPr>
          <w:rFonts w:eastAsia="DengXian"/>
        </w:rPr>
        <w:t>Numerical value used by the NG-RAN to prioritise between different UEs accessing via NB-IoT.</w:t>
      </w:r>
    </w:p>
    <w:p w14:paraId="7EC902F2" w14:textId="77777777" w:rsidR="00D40151" w:rsidRPr="00873B6C" w:rsidRDefault="00D40151" w:rsidP="00D40151">
      <w:pPr>
        <w:rPr>
          <w:rFonts w:eastAsia="DengXian"/>
        </w:rPr>
      </w:pPr>
      <w:r w:rsidRPr="00873B6C">
        <w:rPr>
          <w:rFonts w:eastAsia="DengXian"/>
          <w:b/>
        </w:rPr>
        <w:t>NGAP UE association:</w:t>
      </w:r>
      <w:r w:rsidRPr="00873B6C">
        <w:rPr>
          <w:rFonts w:eastAsia="DengXian"/>
        </w:rPr>
        <w:t xml:space="preserve"> The logical per UE association between a 5G-AN node and an AMF.</w:t>
      </w:r>
    </w:p>
    <w:p w14:paraId="00830B4F" w14:textId="77777777" w:rsidR="00D40151" w:rsidRPr="00873B6C" w:rsidRDefault="00D40151" w:rsidP="00D40151">
      <w:pPr>
        <w:rPr>
          <w:rFonts w:eastAsia="DengXian"/>
        </w:rPr>
      </w:pPr>
      <w:r w:rsidRPr="00873B6C">
        <w:rPr>
          <w:rFonts w:eastAsia="DengXian"/>
          <w:b/>
        </w:rPr>
        <w:t>NGAP UE-TNLA-binding:</w:t>
      </w:r>
      <w:r w:rsidRPr="00873B6C">
        <w:rPr>
          <w:rFonts w:eastAsia="DengXian"/>
        </w:rPr>
        <w:t xml:space="preserve"> The binding between a NGAP UE association and a specific TNL association for a given UE.</w:t>
      </w:r>
    </w:p>
    <w:p w14:paraId="3E557FE2" w14:textId="77777777" w:rsidR="00D40151" w:rsidRPr="00873B6C" w:rsidRDefault="00D40151" w:rsidP="00D40151">
      <w:pPr>
        <w:rPr>
          <w:lang w:eastAsia="zh-CN"/>
        </w:rPr>
      </w:pPr>
      <w:r w:rsidRPr="00873B6C">
        <w:rPr>
          <w:b/>
        </w:rPr>
        <w:t xml:space="preserve">Network </w:t>
      </w:r>
      <w:r w:rsidRPr="00873B6C">
        <w:rPr>
          <w:b/>
          <w:lang w:eastAsia="zh-CN"/>
        </w:rPr>
        <w:t>F</w:t>
      </w:r>
      <w:r w:rsidRPr="00873B6C">
        <w:rPr>
          <w:b/>
        </w:rPr>
        <w:t>unction:</w:t>
      </w:r>
      <w:r w:rsidRPr="00873B6C">
        <w:t xml:space="preserve"> A 3GPP adopted or 3GPP defined</w:t>
      </w:r>
      <w:r w:rsidRPr="00873B6C">
        <w:rPr>
          <w:lang w:eastAsia="zh-CN"/>
        </w:rPr>
        <w:t xml:space="preserve"> p</w:t>
      </w:r>
      <w:r w:rsidRPr="00873B6C">
        <w:t xml:space="preserve">rocessing function in a network, which </w:t>
      </w:r>
      <w:r w:rsidRPr="00873B6C">
        <w:rPr>
          <w:lang w:eastAsia="zh-CN"/>
        </w:rPr>
        <w:t>has</w:t>
      </w:r>
      <w:r w:rsidRPr="00873B6C">
        <w:t xml:space="preserve"> </w:t>
      </w:r>
      <w:r w:rsidRPr="00873B6C">
        <w:rPr>
          <w:lang w:eastAsia="zh-CN"/>
        </w:rPr>
        <w:t>defined functional behaviour and 3GPP</w:t>
      </w:r>
      <w:r w:rsidRPr="00873B6C">
        <w:t xml:space="preserve"> defined</w:t>
      </w:r>
      <w:r w:rsidRPr="00873B6C">
        <w:rPr>
          <w:lang w:eastAsia="zh-CN"/>
        </w:rPr>
        <w:t xml:space="preserve"> interfaces.</w:t>
      </w:r>
    </w:p>
    <w:p w14:paraId="7117E50E" w14:textId="4AAAF8A9" w:rsidR="00D40151" w:rsidRPr="00873B6C" w:rsidRDefault="00D40151" w:rsidP="00D40151">
      <w:pPr>
        <w:pStyle w:val="NO"/>
        <w:rPr>
          <w:lang w:eastAsia="zh-CN"/>
        </w:rPr>
      </w:pPr>
      <w:r w:rsidRPr="00873B6C">
        <w:rPr>
          <w:lang w:eastAsia="zh-CN"/>
        </w:rPr>
        <w:t>NOTE </w:t>
      </w:r>
      <w:r w:rsidR="002C4A81" w:rsidRPr="00873B6C">
        <w:rPr>
          <w:lang w:eastAsia="zh-CN"/>
        </w:rPr>
        <w:t>2</w:t>
      </w:r>
      <w:r w:rsidRPr="00873B6C">
        <w:rPr>
          <w:lang w:eastAsia="zh-CN"/>
        </w:rPr>
        <w:t>:</w:t>
      </w:r>
      <w:r w:rsidRPr="00873B6C">
        <w:rPr>
          <w:lang w:eastAsia="zh-CN"/>
        </w:rPr>
        <w:tab/>
      </w:r>
      <w:r w:rsidRPr="00873B6C">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873B6C" w:rsidRDefault="00D40151" w:rsidP="00D40151">
      <w:r w:rsidRPr="00873B6C">
        <w:rPr>
          <w:b/>
        </w:rPr>
        <w:t>Network Instance</w:t>
      </w:r>
      <w:r w:rsidRPr="00873B6C">
        <w:t>: Information identifying a domain. Used by the UPF for traffic detection and routing.</w:t>
      </w:r>
    </w:p>
    <w:p w14:paraId="75DC04B2" w14:textId="77777777" w:rsidR="00D40151" w:rsidRPr="00873B6C" w:rsidRDefault="00D40151" w:rsidP="00D40151">
      <w:r w:rsidRPr="00873B6C">
        <w:rPr>
          <w:b/>
          <w:bCs/>
        </w:rPr>
        <w:t>Network Slice</w:t>
      </w:r>
      <w:r w:rsidRPr="00873B6C">
        <w:rPr>
          <w:b/>
        </w:rPr>
        <w:t>:</w:t>
      </w:r>
      <w:r w:rsidRPr="00873B6C">
        <w:t xml:space="preserve"> A logical network that provides specific network capabilities and network characteristics.</w:t>
      </w:r>
    </w:p>
    <w:p w14:paraId="79A4BDDC" w14:textId="07A91BBA" w:rsidR="00335A94" w:rsidRPr="00873B6C" w:rsidRDefault="00335A94" w:rsidP="00D40151">
      <w:r w:rsidRPr="00873B6C">
        <w:rPr>
          <w:b/>
          <w:bCs/>
        </w:rPr>
        <w:t>Network Slice Area of Service</w:t>
      </w:r>
      <w:r w:rsidR="002A4DF8" w:rsidRPr="00873B6C">
        <w:rPr>
          <w:b/>
          <w:bCs/>
        </w:rPr>
        <w:t xml:space="preserve"> (NS-AoS)</w:t>
      </w:r>
      <w:r w:rsidRPr="00873B6C">
        <w:rPr>
          <w:b/>
          <w:bCs/>
        </w:rPr>
        <w:t>:</w:t>
      </w:r>
      <w:r w:rsidRPr="00873B6C">
        <w:t xml:space="preserve"> The area where a</w:t>
      </w:r>
      <w:r w:rsidR="002A4DF8" w:rsidRPr="00873B6C">
        <w:t xml:space="preserve"> network slice is available i.e. the</w:t>
      </w:r>
      <w:r w:rsidRPr="00873B6C">
        <w:t xml:space="preserve"> UE can access and get service of a particular network slice as more than zero resources are allocated to the network slice in the NG-RAN cells.</w:t>
      </w:r>
      <w:r w:rsidR="002A4DF8" w:rsidRPr="00873B6C">
        <w:t xml:space="preserve"> This area may be, depending on the specific network slice, the whole PLMN, one or more TAs, or one or more cells when the NS-AoS does not match deployed TAs as defined in clause 5.15.18.</w:t>
      </w:r>
    </w:p>
    <w:p w14:paraId="14AD1EB2" w14:textId="29FD68A8" w:rsidR="00D40151" w:rsidRPr="00873B6C" w:rsidRDefault="00D40151" w:rsidP="00D40151">
      <w:r w:rsidRPr="00873B6C">
        <w:rPr>
          <w:b/>
          <w:bCs/>
        </w:rPr>
        <w:t>Network Slice instance:</w:t>
      </w:r>
      <w:r w:rsidRPr="00873B6C">
        <w:t xml:space="preserve"> A set of Network Function instances and the required resources (e.g. compute, storage and networking resources) which form a deployed Network Slice.</w:t>
      </w:r>
    </w:p>
    <w:p w14:paraId="507F5A38" w14:textId="77777777" w:rsidR="00D40151" w:rsidRPr="00873B6C" w:rsidRDefault="00D40151" w:rsidP="00D40151">
      <w:r w:rsidRPr="00873B6C">
        <w:rPr>
          <w:b/>
        </w:rPr>
        <w:t>Non-GBR QoS Flow:</w:t>
      </w:r>
      <w:r w:rsidRPr="00873B6C">
        <w:t xml:space="preserve"> A QoS Flow using the Non-GBR resource type and not requiring guaranteed flow bit rate.</w:t>
      </w:r>
    </w:p>
    <w:p w14:paraId="40B50217" w14:textId="5C716912" w:rsidR="00D40151" w:rsidRPr="00873B6C" w:rsidRDefault="00D40151" w:rsidP="00D40151">
      <w:pPr>
        <w:rPr>
          <w:bCs/>
        </w:rPr>
      </w:pPr>
      <w:r w:rsidRPr="00873B6C">
        <w:rPr>
          <w:b/>
        </w:rPr>
        <w:t xml:space="preserve">NSI ID: </w:t>
      </w:r>
      <w:r w:rsidRPr="00873B6C">
        <w:t>an identifier for identifying the Core Network part of a Network Slice instance when multiple Network Slice instances of the same Network Slice are deployed</w:t>
      </w:r>
      <w:r w:rsidR="00472CD7" w:rsidRPr="00873B6C">
        <w:t xml:space="preserve"> and</w:t>
      </w:r>
      <w:r w:rsidRPr="00873B6C">
        <w:t xml:space="preserve"> there is a need to differentiate between them in the 5GC.</w:t>
      </w:r>
    </w:p>
    <w:p w14:paraId="7B1E0DD5" w14:textId="77777777" w:rsidR="00D40151" w:rsidRPr="00873B6C" w:rsidRDefault="00D40151" w:rsidP="00D40151">
      <w:r w:rsidRPr="00873B6C">
        <w:rPr>
          <w:b/>
        </w:rPr>
        <w:t>NF instance:</w:t>
      </w:r>
      <w:r w:rsidRPr="00873B6C">
        <w:t xml:space="preserve"> an identifiable instance of the NF.</w:t>
      </w:r>
    </w:p>
    <w:p w14:paraId="4B05B0A5" w14:textId="1480017F" w:rsidR="00D40151" w:rsidRPr="00873B6C" w:rsidRDefault="00D40151" w:rsidP="004969CB">
      <w:r w:rsidRPr="00873B6C">
        <w:rPr>
          <w:b/>
          <w:bCs/>
        </w:rPr>
        <w:t>NF service:</w:t>
      </w:r>
      <w:r w:rsidRPr="00873B6C">
        <w:t xml:space="preserve"> a functionality exposed by a NF through a service</w:t>
      </w:r>
      <w:r w:rsidR="006E1B0F" w:rsidRPr="00873B6C">
        <w:t>-</w:t>
      </w:r>
      <w:r w:rsidRPr="00873B6C">
        <w:t>based interface and consumed by other authorized NFs.</w:t>
      </w:r>
    </w:p>
    <w:p w14:paraId="345684FB" w14:textId="77777777" w:rsidR="00D40151" w:rsidRPr="00873B6C" w:rsidRDefault="00D40151" w:rsidP="004969CB">
      <w:r w:rsidRPr="00873B6C">
        <w:rPr>
          <w:b/>
        </w:rPr>
        <w:t>NF service instance:</w:t>
      </w:r>
      <w:r w:rsidRPr="00873B6C">
        <w:t xml:space="preserve"> an identifiable instance of the NF service.</w:t>
      </w:r>
    </w:p>
    <w:p w14:paraId="76385F42" w14:textId="77777777" w:rsidR="00D40151" w:rsidRPr="00873B6C" w:rsidRDefault="00D40151" w:rsidP="004969CB">
      <w:r w:rsidRPr="00873B6C">
        <w:rPr>
          <w:b/>
          <w:bCs/>
        </w:rPr>
        <w:t>NF service operation:</w:t>
      </w:r>
      <w:r w:rsidRPr="00873B6C">
        <w:t xml:space="preserve"> </w:t>
      </w:r>
      <w:r w:rsidRPr="00873B6C">
        <w:rPr>
          <w:lang w:eastAsia="zh-CN"/>
        </w:rPr>
        <w:t xml:space="preserve">An </w:t>
      </w:r>
      <w:r w:rsidRPr="00873B6C">
        <w:t>elementary unit a NF service</w:t>
      </w:r>
      <w:r w:rsidRPr="00873B6C">
        <w:rPr>
          <w:lang w:eastAsia="zh-CN"/>
        </w:rPr>
        <w:t xml:space="preserve"> is compos</w:t>
      </w:r>
      <w:r w:rsidRPr="00873B6C">
        <w:t>ed of.</w:t>
      </w:r>
    </w:p>
    <w:p w14:paraId="6BAB4B27" w14:textId="77777777" w:rsidR="00D40151" w:rsidRPr="00873B6C" w:rsidRDefault="00D40151" w:rsidP="004969CB">
      <w:r w:rsidRPr="00873B6C">
        <w:rPr>
          <w:b/>
        </w:rPr>
        <w:t>NF Service Set:</w:t>
      </w:r>
      <w:r w:rsidRPr="00873B6C">
        <w:t xml:space="preserve"> A group of interchangeable NF service instances of the same service type within an NF instance. The NF service instances in the same NF Service Set have access to the same context data.</w:t>
      </w:r>
    </w:p>
    <w:p w14:paraId="256F11D4" w14:textId="77777777" w:rsidR="00D40151" w:rsidRPr="00873B6C" w:rsidRDefault="00D40151" w:rsidP="004969CB">
      <w:r w:rsidRPr="00873B6C">
        <w:rPr>
          <w:b/>
        </w:rPr>
        <w:t>NF Set:</w:t>
      </w:r>
      <w:r w:rsidRPr="00873B6C">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873B6C" w:rsidRDefault="00D40151" w:rsidP="00D40151">
      <w:pPr>
        <w:keepLines/>
      </w:pPr>
      <w:r w:rsidRPr="00873B6C">
        <w:rPr>
          <w:b/>
          <w:noProof/>
        </w:rPr>
        <w:t>NG-RAN</w:t>
      </w:r>
      <w:r w:rsidRPr="00873B6C">
        <w:rPr>
          <w:b/>
        </w:rPr>
        <w:t>:</w:t>
      </w:r>
      <w:r w:rsidRPr="00873B6C">
        <w:t xml:space="preserve"> A radio access network that supports one or more of the following options with the common characteristics that it connects to 5GC:</w:t>
      </w:r>
    </w:p>
    <w:p w14:paraId="28D84D6D" w14:textId="77777777" w:rsidR="00D40151" w:rsidRPr="00873B6C" w:rsidRDefault="00D40151" w:rsidP="00D40151">
      <w:pPr>
        <w:pStyle w:val="B1"/>
      </w:pPr>
      <w:r w:rsidRPr="00873B6C">
        <w:lastRenderedPageBreak/>
        <w:t>1)</w:t>
      </w:r>
      <w:r w:rsidRPr="00873B6C">
        <w:tab/>
        <w:t>Standalone New Radio.</w:t>
      </w:r>
    </w:p>
    <w:p w14:paraId="0D1F2358" w14:textId="77777777" w:rsidR="00D40151" w:rsidRPr="00873B6C" w:rsidRDefault="00D40151" w:rsidP="00D40151">
      <w:pPr>
        <w:pStyle w:val="B1"/>
      </w:pPr>
      <w:r w:rsidRPr="00873B6C">
        <w:t>2)</w:t>
      </w:r>
      <w:r w:rsidRPr="00873B6C">
        <w:tab/>
        <w:t>New Radio is the anchor with E-UTRA extensions.</w:t>
      </w:r>
    </w:p>
    <w:p w14:paraId="7E9BAB26" w14:textId="77777777" w:rsidR="00D40151" w:rsidRPr="00873B6C" w:rsidRDefault="00D40151" w:rsidP="00D40151">
      <w:pPr>
        <w:pStyle w:val="B1"/>
      </w:pPr>
      <w:r w:rsidRPr="00873B6C">
        <w:t>3)</w:t>
      </w:r>
      <w:r w:rsidRPr="00873B6C">
        <w:tab/>
        <w:t>Standalone E-UTRA.</w:t>
      </w:r>
    </w:p>
    <w:p w14:paraId="3501DC3F" w14:textId="77777777" w:rsidR="00D40151" w:rsidRPr="00873B6C" w:rsidRDefault="00D40151" w:rsidP="00D40151">
      <w:pPr>
        <w:pStyle w:val="B1"/>
      </w:pPr>
      <w:r w:rsidRPr="00873B6C">
        <w:t>4)</w:t>
      </w:r>
      <w:r w:rsidRPr="00873B6C">
        <w:tab/>
        <w:t>E-UTRA is the anchor with New Radio extensions.</w:t>
      </w:r>
    </w:p>
    <w:p w14:paraId="7A20DCFE" w14:textId="1553A553" w:rsidR="004969CB" w:rsidRPr="00873B6C" w:rsidRDefault="004969CB" w:rsidP="00972E70">
      <w:r w:rsidRPr="00873B6C">
        <w:rPr>
          <w:b/>
          <w:bCs/>
        </w:rPr>
        <w:t>Non-3GPP QoS Assistance Information:</w:t>
      </w:r>
      <w:r w:rsidRPr="00873B6C">
        <w:t xml:space="preserve"> A set of QoS assistance information provided to the UE (e.g. PEGC) to enable the UE to perform QoS differentiation for the connected devices in the non-3GPP network behind the UE.</w:t>
      </w:r>
    </w:p>
    <w:p w14:paraId="236B3814" w14:textId="77777777" w:rsidR="00D40151" w:rsidRPr="00873B6C" w:rsidRDefault="00D40151" w:rsidP="004969CB">
      <w:r w:rsidRPr="00873B6C">
        <w:rPr>
          <w:b/>
        </w:rPr>
        <w:t>Non-Allowed Area:</w:t>
      </w:r>
      <w:r w:rsidRPr="00873B6C">
        <w:t xml:space="preserve"> Area where the UE is allowed to initiate Registration procedure but no other communication as specified in clause 5.3.2.3.</w:t>
      </w:r>
    </w:p>
    <w:p w14:paraId="63530CEA" w14:textId="3AF802BA" w:rsidR="00D40151" w:rsidRPr="00873B6C" w:rsidRDefault="00D40151" w:rsidP="004969CB">
      <w:r w:rsidRPr="00873B6C">
        <w:t xml:space="preserve">Non-Public Network: See definition in </w:t>
      </w:r>
      <w:r w:rsidR="00972E70" w:rsidRPr="00873B6C">
        <w:t>TS 22.261 [</w:t>
      </w:r>
      <w:r w:rsidRPr="00873B6C">
        <w:t>2].</w:t>
      </w:r>
    </w:p>
    <w:p w14:paraId="042348F3" w14:textId="77777777" w:rsidR="00D40151" w:rsidRPr="00873B6C" w:rsidRDefault="00D40151" w:rsidP="004969CB">
      <w:r w:rsidRPr="00873B6C">
        <w:rPr>
          <w:b/>
        </w:rPr>
        <w:t>Non-Seamless Non-3GPP offload:</w:t>
      </w:r>
      <w:r w:rsidRPr="00873B6C">
        <w:t xml:space="preserve"> The offload of user plane traffic via non-3GPP access without traversing either N3IWF/TNGF or UPF.</w:t>
      </w:r>
    </w:p>
    <w:p w14:paraId="117AAB6B" w14:textId="1ADE8A85" w:rsidR="00D841E1" w:rsidRPr="00873B6C" w:rsidRDefault="00D841E1" w:rsidP="004969CB">
      <w:r w:rsidRPr="00873B6C">
        <w:rPr>
          <w:b/>
          <w:bCs/>
        </w:rPr>
        <w:t>Non-Seamless WLAN offload:</w:t>
      </w:r>
      <w:r w:rsidRPr="00873B6C">
        <w:t xml:space="preserve"> Non-Seamless Non-3GPP offload when the non-3GPP access network is WLAN.</w:t>
      </w:r>
    </w:p>
    <w:p w14:paraId="5794FF2E" w14:textId="731BEDB2" w:rsidR="00182EE7" w:rsidRPr="00873B6C" w:rsidRDefault="00182EE7" w:rsidP="004969CB">
      <w:r w:rsidRPr="00873B6C">
        <w:rPr>
          <w:b/>
          <w:bCs/>
        </w:rPr>
        <w:t>Onboarding Network:</w:t>
      </w:r>
      <w:r w:rsidRPr="00873B6C">
        <w:t xml:space="preserve"> Either a PLMN enabling Remote Provisioning for a registered UE, or an Onboarding SNPN.</w:t>
      </w:r>
    </w:p>
    <w:p w14:paraId="6428D6BF" w14:textId="13283061" w:rsidR="00182EE7" w:rsidRPr="00873B6C" w:rsidRDefault="00182EE7" w:rsidP="004969CB">
      <w:r w:rsidRPr="00873B6C">
        <w:rPr>
          <w:b/>
          <w:bCs/>
        </w:rPr>
        <w:t>Onboarding Standalone Non-Public Network:</w:t>
      </w:r>
      <w:r w:rsidRPr="00873B6C">
        <w:t xml:space="preserve"> An SNPN providing Onboarding access and enabling Remote Provisioning for a UE registered for Onboarding</w:t>
      </w:r>
      <w:r w:rsidR="00FC0C60" w:rsidRPr="00873B6C">
        <w:t xml:space="preserve"> as specified in clause 4.2.2.2.4 of </w:t>
      </w:r>
      <w:r w:rsidR="00972E70" w:rsidRPr="00873B6C">
        <w:t>TS 23.502 [</w:t>
      </w:r>
      <w:r w:rsidR="00FC0C60" w:rsidRPr="00873B6C">
        <w:t>3]</w:t>
      </w:r>
      <w:r w:rsidRPr="00873B6C">
        <w:t>.</w:t>
      </w:r>
    </w:p>
    <w:p w14:paraId="0D02EF95" w14:textId="6D63047B" w:rsidR="00D01473" w:rsidRPr="00873B6C" w:rsidRDefault="00D01473" w:rsidP="004969CB">
      <w:r w:rsidRPr="00873B6C">
        <w:rPr>
          <w:b/>
          <w:bCs/>
        </w:rPr>
        <w:t>Partially Allowed NSSAI:</w:t>
      </w:r>
      <w:r w:rsidRPr="00873B6C">
        <w:t xml:space="preserve"> Indicating the S-NSSAIs values the UE could use in the Serving PLMN or SNPN in some of the TAs in the current Registration Area. Each S-NSSAI in the Partially Allowed NSSAI is associated with a list of TAs where the S-NSSAI is supported.</w:t>
      </w:r>
    </w:p>
    <w:p w14:paraId="58B240E2" w14:textId="29B7D8BF" w:rsidR="00D40151" w:rsidRPr="00873B6C" w:rsidRDefault="00D40151" w:rsidP="004969CB">
      <w:r w:rsidRPr="00873B6C">
        <w:rPr>
          <w:b/>
        </w:rPr>
        <w:t>PCF Group ID:</w:t>
      </w:r>
      <w:r w:rsidRPr="00873B6C">
        <w:t xml:space="preserve"> This refers to one or more PCF instances managing a specific set of SUPIs. A PCF Group consists of one or multiple PCF Sets.</w:t>
      </w:r>
    </w:p>
    <w:p w14:paraId="676AEB84" w14:textId="77777777" w:rsidR="00D40151" w:rsidRPr="00873B6C" w:rsidRDefault="00D40151" w:rsidP="004969CB">
      <w:r w:rsidRPr="00873B6C">
        <w:rPr>
          <w:b/>
        </w:rPr>
        <w:t>PDU Connectivity Service:</w:t>
      </w:r>
      <w:r w:rsidRPr="00873B6C">
        <w:t xml:space="preserve"> A service that provides exchange of PDUs between a UE and a </w:t>
      </w:r>
      <w:r w:rsidRPr="00873B6C">
        <w:rPr>
          <w:lang w:eastAsia="zh-CN"/>
        </w:rPr>
        <w:t>D</w:t>
      </w:r>
      <w:r w:rsidRPr="00873B6C">
        <w:t xml:space="preserve">ata </w:t>
      </w:r>
      <w:r w:rsidRPr="00873B6C">
        <w:rPr>
          <w:lang w:eastAsia="zh-CN"/>
        </w:rPr>
        <w:t>N</w:t>
      </w:r>
      <w:r w:rsidRPr="00873B6C">
        <w:t>etwork.</w:t>
      </w:r>
    </w:p>
    <w:p w14:paraId="0BDA0332" w14:textId="77777777" w:rsidR="00D40151" w:rsidRPr="00873B6C" w:rsidRDefault="00D40151" w:rsidP="004969CB">
      <w:r w:rsidRPr="00873B6C">
        <w:rPr>
          <w:b/>
        </w:rPr>
        <w:t>PDU Session:</w:t>
      </w:r>
      <w:r w:rsidRPr="00873B6C">
        <w:t xml:space="preserve"> Association between the UE and a Data Network that provides a PDU </w:t>
      </w:r>
      <w:r w:rsidRPr="00873B6C">
        <w:rPr>
          <w:lang w:eastAsia="zh-CN"/>
        </w:rPr>
        <w:t>c</w:t>
      </w:r>
      <w:r w:rsidRPr="00873B6C">
        <w:t xml:space="preserve">onnectivity </w:t>
      </w:r>
      <w:r w:rsidRPr="00873B6C">
        <w:rPr>
          <w:lang w:eastAsia="zh-CN"/>
        </w:rPr>
        <w:t>s</w:t>
      </w:r>
      <w:r w:rsidRPr="00873B6C">
        <w:t>ervice.</w:t>
      </w:r>
    </w:p>
    <w:p w14:paraId="45B93948" w14:textId="77777777" w:rsidR="00D40151" w:rsidRPr="00873B6C" w:rsidRDefault="00D40151" w:rsidP="004969CB">
      <w:r w:rsidRPr="00873B6C">
        <w:rPr>
          <w:b/>
        </w:rPr>
        <w:t>PDU Session Type:</w:t>
      </w:r>
      <w:r w:rsidRPr="00873B6C">
        <w:t xml:space="preserve"> </w:t>
      </w:r>
      <w:r w:rsidRPr="00873B6C">
        <w:rPr>
          <w:lang w:eastAsia="ko-KR"/>
        </w:rPr>
        <w:t>The type of PDU Session which can be IPv4, IPv6, IPv4v6, Ethernet or Unstr</w:t>
      </w:r>
      <w:r w:rsidRPr="00873B6C">
        <w:t>uctured.</w:t>
      </w:r>
    </w:p>
    <w:p w14:paraId="2530D274" w14:textId="25BCFBF6" w:rsidR="002062D8" w:rsidRPr="00873B6C" w:rsidRDefault="002062D8" w:rsidP="004969CB">
      <w:r w:rsidRPr="00873B6C">
        <w:rPr>
          <w:b/>
          <w:bCs/>
        </w:rPr>
        <w:t>PDU Set:</w:t>
      </w:r>
      <w:r w:rsidRPr="00873B6C">
        <w:t xml:space="preserve"> One or more PDUs carrying the payload of one unit of information generated at the application level (e.g. frame(s) or video slice(s) etc. for eXtended Reality (XR) Services). All the PDUs of a PDU set are transmitted within the same QoS Flow.</w:t>
      </w:r>
    </w:p>
    <w:p w14:paraId="7C2B5BB4" w14:textId="77777777" w:rsidR="0022127D" w:rsidRPr="00873B6C" w:rsidRDefault="0022127D" w:rsidP="0022127D">
      <w:r w:rsidRPr="00873B6C">
        <w:rPr>
          <w:b/>
          <w:bCs/>
        </w:rPr>
        <w:t>Pending NSSAI:</w:t>
      </w:r>
      <w:r w:rsidRPr="00873B6C">
        <w:t xml:space="preserve"> NSSAI provided by the Serving PLMN during a Registration procedure, indicating the S-NSSAI(s) for which the network slice-specific authentication and authorization procedure is pending.</w:t>
      </w:r>
    </w:p>
    <w:p w14:paraId="6DD747C2" w14:textId="2B097741" w:rsidR="00D40151" w:rsidRPr="00873B6C" w:rsidRDefault="00D40151" w:rsidP="004969CB">
      <w:r w:rsidRPr="00873B6C">
        <w:rPr>
          <w:b/>
        </w:rPr>
        <w:t>Periodic Registration Update:</w:t>
      </w:r>
      <w:r w:rsidRPr="00873B6C">
        <w:t xml:space="preserve"> UE re-registration at expiry of periodic registration timer as specified in clause 5.3.2.</w:t>
      </w:r>
    </w:p>
    <w:p w14:paraId="2E7EFA8F" w14:textId="558271BE" w:rsidR="00A10084" w:rsidRPr="00873B6C" w:rsidRDefault="00A10084">
      <w:r w:rsidRPr="00873B6C">
        <w:rPr>
          <w:b/>
          <w:bCs/>
        </w:rPr>
        <w:t>Personal IoT Network (PIN):</w:t>
      </w:r>
      <w:r w:rsidRPr="00873B6C">
        <w:t xml:space="preserve"> A network with group of element</w:t>
      </w:r>
      <w:r w:rsidR="00500903" w:rsidRPr="00873B6C">
        <w:t>s</w:t>
      </w:r>
      <w:r w:rsidRPr="00873B6C">
        <w:t xml:space="preserve"> (i.e. UE or non-3GPP device) that are able to communicate with each other directly, communicate with each other via intermediate element(s), communicate with each other via 5GS, or communicate with external DN via 5GS.</w:t>
      </w:r>
    </w:p>
    <w:p w14:paraId="513405A9" w14:textId="77777777" w:rsidR="00A10084" w:rsidRPr="00873B6C" w:rsidRDefault="00A10084">
      <w:r w:rsidRPr="00873B6C">
        <w:rPr>
          <w:b/>
          <w:bCs/>
        </w:rPr>
        <w:t>PIN Element (PINE):</w:t>
      </w:r>
      <w:r w:rsidRPr="00873B6C">
        <w:t xml:space="preserve"> A UE or non-3GPP device that is part of the group of elements in a PIN.</w:t>
      </w:r>
    </w:p>
    <w:p w14:paraId="329AC4D6" w14:textId="424E0B0C" w:rsidR="0022127D" w:rsidRPr="00873B6C" w:rsidRDefault="0022127D">
      <w:r w:rsidRPr="00873B6C">
        <w:rPr>
          <w:b/>
          <w:bCs/>
        </w:rPr>
        <w:t>PIN Element with Gateway Capability (PEGC):</w:t>
      </w:r>
      <w:r w:rsidRPr="00873B6C">
        <w:t xml:space="preserve"> A PIN</w:t>
      </w:r>
      <w:r w:rsidR="00500903" w:rsidRPr="00873B6C">
        <w:t>E</w:t>
      </w:r>
      <w:r w:rsidRPr="00873B6C">
        <w:t xml:space="preserve"> with the ability to provide DN connectivity via the 5G network for other PIN</w:t>
      </w:r>
      <w:r w:rsidR="00500903" w:rsidRPr="00873B6C">
        <w:t>Es</w:t>
      </w:r>
      <w:r w:rsidRPr="00873B6C">
        <w:t xml:space="preserve"> and/or</w:t>
      </w:r>
      <w:r w:rsidR="00A10084" w:rsidRPr="00873B6C">
        <w:t xml:space="preserve"> a PIN</w:t>
      </w:r>
      <w:r w:rsidR="00500903" w:rsidRPr="00873B6C">
        <w:t>E</w:t>
      </w:r>
      <w:r w:rsidR="00A10084" w:rsidRPr="00873B6C">
        <w:t xml:space="preserve"> with the ability</w:t>
      </w:r>
      <w:r w:rsidRPr="00873B6C">
        <w:t xml:space="preserve"> to provide relay functionality for communication between PIN</w:t>
      </w:r>
      <w:r w:rsidR="00500903" w:rsidRPr="00873B6C">
        <w:t>Es</w:t>
      </w:r>
      <w:r w:rsidRPr="00873B6C">
        <w:t>. Only a UE is able to act as a PEGC.</w:t>
      </w:r>
      <w:r w:rsidR="00A10084" w:rsidRPr="00873B6C">
        <w:t xml:space="preserve"> A PIN includes at least one PEGC.</w:t>
      </w:r>
    </w:p>
    <w:p w14:paraId="7629CB6E" w14:textId="6F8872E4" w:rsidR="00A10084" w:rsidRPr="00873B6C" w:rsidRDefault="00A10084" w:rsidP="00A10084">
      <w:pPr>
        <w:pStyle w:val="NO"/>
      </w:pPr>
      <w:r w:rsidRPr="00873B6C">
        <w:t>NOTE 3:</w:t>
      </w:r>
      <w:r w:rsidRPr="00873B6C">
        <w:tab/>
        <w:t>In the context of PIN, the terms PEGC and UE with PEGC capability are synonymous, therefore when the term PEGC is used, it is also intended as UE.</w:t>
      </w:r>
    </w:p>
    <w:p w14:paraId="61F519FA" w14:textId="470A9A09" w:rsidR="0022127D" w:rsidRPr="00873B6C" w:rsidRDefault="0022127D">
      <w:r w:rsidRPr="00873B6C">
        <w:rPr>
          <w:b/>
          <w:bCs/>
        </w:rPr>
        <w:t>PIN Element with Management Capability (PEMC):</w:t>
      </w:r>
      <w:r w:rsidRPr="00873B6C">
        <w:t xml:space="preserve"> A PIN</w:t>
      </w:r>
      <w:r w:rsidR="00500903" w:rsidRPr="00873B6C">
        <w:t>E</w:t>
      </w:r>
      <w:r w:rsidRPr="00873B6C">
        <w:t xml:space="preserve"> with capability to manage the PIN</w:t>
      </w:r>
      <w:r w:rsidR="00A10084" w:rsidRPr="00873B6C">
        <w:t xml:space="preserve"> and the management is supported by an AF if deployed. A PIN includes at least one PEMC</w:t>
      </w:r>
      <w:r w:rsidRPr="00873B6C">
        <w:t>.</w:t>
      </w:r>
    </w:p>
    <w:p w14:paraId="79BCA458" w14:textId="7CC41A77" w:rsidR="0022127D" w:rsidRPr="00873B6C" w:rsidRDefault="0022127D" w:rsidP="00972E70">
      <w:pPr>
        <w:pStyle w:val="NO"/>
      </w:pPr>
      <w:r w:rsidRPr="00873B6C">
        <w:t>NOTE </w:t>
      </w:r>
      <w:r w:rsidR="00A10084" w:rsidRPr="00873B6C">
        <w:t>4</w:t>
      </w:r>
      <w:r w:rsidRPr="00873B6C">
        <w:t>:</w:t>
      </w:r>
      <w:r w:rsidRPr="00873B6C">
        <w:tab/>
        <w:t>A UE that is a PIN</w:t>
      </w:r>
      <w:r w:rsidR="00500903" w:rsidRPr="00873B6C">
        <w:t>E</w:t>
      </w:r>
      <w:r w:rsidRPr="00873B6C">
        <w:t xml:space="preserve"> may both act as PEMC and PEGC</w:t>
      </w:r>
      <w:r w:rsidR="00500903" w:rsidRPr="00873B6C">
        <w:t xml:space="preserve"> in a PIN</w:t>
      </w:r>
      <w:r w:rsidRPr="00873B6C">
        <w:t>.</w:t>
      </w:r>
    </w:p>
    <w:p w14:paraId="411C1F14" w14:textId="47126594" w:rsidR="00A51A83" w:rsidRPr="00873B6C" w:rsidRDefault="00A51A83">
      <w:r w:rsidRPr="00873B6C">
        <w:rPr>
          <w:b/>
          <w:bCs/>
        </w:rPr>
        <w:t>PIN management traffic:</w:t>
      </w:r>
      <w:r w:rsidRPr="00873B6C">
        <w:t xml:space="preserve"> The traffic among PINE, PEGC, PEMC and AF</w:t>
      </w:r>
      <w:r w:rsidR="00A10084" w:rsidRPr="00873B6C">
        <w:t xml:space="preserve"> for PIN</w:t>
      </w:r>
      <w:r w:rsidRPr="00873B6C">
        <w:t xml:space="preserve"> related to the management of PIN.</w:t>
      </w:r>
    </w:p>
    <w:p w14:paraId="1A93AF4C" w14:textId="0A384736" w:rsidR="00A51A83" w:rsidRPr="00873B6C" w:rsidRDefault="00A51A83">
      <w:r w:rsidRPr="00873B6C">
        <w:rPr>
          <w:b/>
          <w:bCs/>
        </w:rPr>
        <w:lastRenderedPageBreak/>
        <w:t>PIN-DN communication:</w:t>
      </w:r>
      <w:r w:rsidRPr="00873B6C">
        <w:t xml:space="preserve"> The communication between PINE and DN via a PEGC and</w:t>
      </w:r>
      <w:r w:rsidR="00A10084" w:rsidRPr="00873B6C">
        <w:t xml:space="preserve"> 5G network, as well as the communication</w:t>
      </w:r>
      <w:r w:rsidRPr="00873B6C">
        <w:t xml:space="preserve"> between PEGC and DN via</w:t>
      </w:r>
      <w:r w:rsidR="00A10084" w:rsidRPr="00873B6C">
        <w:t xml:space="preserve"> 5G network</w:t>
      </w:r>
      <w:r w:rsidRPr="00873B6C">
        <w:t>. The communication includes both the data traffic and the PIN management traffic (e.g. the data traffic towards the internet or the PIN management traffic towards the AF</w:t>
      </w:r>
      <w:r w:rsidR="00500903" w:rsidRPr="00873B6C">
        <w:t xml:space="preserve"> for PIN</w:t>
      </w:r>
      <w:r w:rsidRPr="00873B6C">
        <w:t>).</w:t>
      </w:r>
    </w:p>
    <w:p w14:paraId="2D63642C" w14:textId="1681C337" w:rsidR="00A51A83" w:rsidRPr="00873B6C" w:rsidRDefault="00A51A83">
      <w:r w:rsidRPr="00873B6C">
        <w:rPr>
          <w:b/>
          <w:bCs/>
        </w:rPr>
        <w:t xml:space="preserve">PIN direct communication: </w:t>
      </w:r>
      <w:r w:rsidRPr="00873B6C">
        <w:t>The communication</w:t>
      </w:r>
      <w:r w:rsidR="00A10084" w:rsidRPr="00873B6C">
        <w:t xml:space="preserve"> without traversing 5G network</w:t>
      </w:r>
      <w:r w:rsidRPr="00873B6C">
        <w:t xml:space="preserve"> between two PIN</w:t>
      </w:r>
      <w:r w:rsidR="00500903" w:rsidRPr="00873B6C">
        <w:t>Es</w:t>
      </w:r>
      <w:r w:rsidR="00A10084" w:rsidRPr="00873B6C">
        <w:t xml:space="preserve"> (e.g.</w:t>
      </w:r>
      <w:r w:rsidRPr="00873B6C">
        <w:t xml:space="preserve"> between a PIN</w:t>
      </w:r>
      <w:r w:rsidR="00500903" w:rsidRPr="00873B6C">
        <w:t>E</w:t>
      </w:r>
      <w:r w:rsidRPr="00873B6C">
        <w:t xml:space="preserve"> and a PEGC, between a PIN</w:t>
      </w:r>
      <w:r w:rsidR="00500903" w:rsidRPr="00873B6C">
        <w:t>E</w:t>
      </w:r>
      <w:r w:rsidRPr="00873B6C">
        <w:t xml:space="preserve"> and a PEMC, between a PEMC and a PEGC and between two PEGCs</w:t>
      </w:r>
      <w:r w:rsidR="00A10084" w:rsidRPr="00873B6C">
        <w:t>). The communication traverses</w:t>
      </w:r>
      <w:r w:rsidRPr="00873B6C">
        <w:t xml:space="preserve"> intermediate</w:t>
      </w:r>
      <w:r w:rsidR="00A10084" w:rsidRPr="00873B6C">
        <w:t xml:space="preserve"> PIN</w:t>
      </w:r>
      <w:r w:rsidR="00500903" w:rsidRPr="00873B6C">
        <w:t>E(s)</w:t>
      </w:r>
      <w:r w:rsidR="00A10084" w:rsidRPr="00873B6C">
        <w:t xml:space="preserve"> or not</w:t>
      </w:r>
      <w:r w:rsidRPr="00873B6C">
        <w:t>. The communication includes both the data traffic and the PIN management traffic (e.g. the data traffic between 2 PINEs or the PIN management traffic between PINE and PEMC).</w:t>
      </w:r>
    </w:p>
    <w:p w14:paraId="3EEF58A4" w14:textId="651C87C7" w:rsidR="00A51A83" w:rsidRPr="00873B6C" w:rsidRDefault="00A51A83">
      <w:r w:rsidRPr="00873B6C">
        <w:rPr>
          <w:b/>
          <w:bCs/>
        </w:rPr>
        <w:t>PIN indirect communication:</w:t>
      </w:r>
      <w:r w:rsidRPr="00873B6C">
        <w:t xml:space="preserve"> The communication</w:t>
      </w:r>
      <w:r w:rsidR="00A10084" w:rsidRPr="00873B6C">
        <w:t xml:space="preserve"> with traversing 5G network</w:t>
      </w:r>
      <w:r w:rsidRPr="00873B6C">
        <w:t xml:space="preserve"> between PIN</w:t>
      </w:r>
      <w:r w:rsidR="00500903" w:rsidRPr="00873B6C">
        <w:t>Es</w:t>
      </w:r>
      <w:r w:rsidRPr="00873B6C">
        <w:t xml:space="preserve"> connected to different PEGCs of the same PIN</w:t>
      </w:r>
      <w:r w:rsidR="00472CD7" w:rsidRPr="00873B6C">
        <w:t xml:space="preserve"> and</w:t>
      </w:r>
      <w:r w:rsidRPr="00873B6C">
        <w:t xml:space="preserve"> between a PIN</w:t>
      </w:r>
      <w:r w:rsidR="00500903" w:rsidRPr="00873B6C">
        <w:t>E</w:t>
      </w:r>
      <w:r w:rsidRPr="00873B6C">
        <w:t xml:space="preserve"> and a PEMC via PEGC</w:t>
      </w:r>
      <w:r w:rsidR="00500903" w:rsidRPr="00873B6C">
        <w:t xml:space="preserve"> and 5G network</w:t>
      </w:r>
      <w:r w:rsidRPr="00873B6C">
        <w:t>. The communication includes both the data traffic and the PIN management traffic (e.g. the data traffic between 2 PINEs or the PIN management traffic between PINE and PEMC).</w:t>
      </w:r>
    </w:p>
    <w:p w14:paraId="16852075" w14:textId="48F50E06" w:rsidR="00F8101C" w:rsidRPr="00873B6C" w:rsidRDefault="00F8101C">
      <w:r w:rsidRPr="00873B6C">
        <w:rPr>
          <w:b/>
          <w:bCs/>
        </w:rPr>
        <w:t>PLMN with Disaster Condition:</w:t>
      </w:r>
      <w:r w:rsidRPr="00873B6C">
        <w:t xml:space="preserve"> A PLMN to which a Disaster Condition applies.</w:t>
      </w:r>
    </w:p>
    <w:p w14:paraId="565B5F78" w14:textId="5BB1698E" w:rsidR="00CD64F1" w:rsidRPr="00873B6C" w:rsidRDefault="00CD64F1">
      <w:r w:rsidRPr="00873B6C">
        <w:rPr>
          <w:b/>
          <w:bCs/>
        </w:rPr>
        <w:t>Pre-configured 5QI:</w:t>
      </w:r>
      <w:r w:rsidRPr="00873B6C">
        <w:t xml:space="preserve"> Pre-defined QoS characteristics configured in the AN and 5GC and referenced via a non-standardized 5QI value.</w:t>
      </w:r>
      <w:r w:rsidR="00153C7D" w:rsidRPr="00873B6C">
        <w:t xml:space="preserve"> Corresponding to Operator-specific 5QI in TS 24.501 [47].</w:t>
      </w:r>
    </w:p>
    <w:p w14:paraId="72BA3140" w14:textId="18666094" w:rsidR="004001F9" w:rsidRPr="00873B6C" w:rsidRDefault="004001F9" w:rsidP="00D40151">
      <w:r w:rsidRPr="00873B6C">
        <w:rPr>
          <w:b/>
          <w:bCs/>
        </w:rPr>
        <w:t>Primary cell:</w:t>
      </w:r>
      <w:r w:rsidRPr="00873B6C">
        <w:t xml:space="preserve"> as defined in TS 36.331 [51].</w:t>
      </w:r>
    </w:p>
    <w:p w14:paraId="661D67AE" w14:textId="77777777" w:rsidR="004001F9" w:rsidRPr="00873B6C" w:rsidRDefault="004001F9" w:rsidP="00D40151">
      <w:r w:rsidRPr="00873B6C">
        <w:rPr>
          <w:b/>
          <w:bCs/>
        </w:rPr>
        <w:t>Primary RAT:</w:t>
      </w:r>
      <w:r w:rsidRPr="00873B6C">
        <w:t xml:space="preserve"> RAT of the Master RAN node, when Dual Connectivity is used; otherwise RAT of the RAN node.</w:t>
      </w:r>
    </w:p>
    <w:p w14:paraId="76E8DE0D" w14:textId="525D64A5" w:rsidR="00D40151" w:rsidRPr="00873B6C" w:rsidRDefault="00D40151" w:rsidP="00D40151">
      <w:r w:rsidRPr="00873B6C">
        <w:rPr>
          <w:b/>
        </w:rPr>
        <w:t>Private communication:</w:t>
      </w:r>
      <w:r w:rsidRPr="00873B6C">
        <w:t xml:space="preserve"> See definition in </w:t>
      </w:r>
      <w:r w:rsidR="00972E70" w:rsidRPr="00873B6C">
        <w:t>TS 22.261 [</w:t>
      </w:r>
      <w:r w:rsidRPr="00873B6C">
        <w:t>2].</w:t>
      </w:r>
    </w:p>
    <w:p w14:paraId="70251740" w14:textId="59F9F67F" w:rsidR="00182EE7" w:rsidRPr="00873B6C" w:rsidRDefault="00182EE7" w:rsidP="00323277">
      <w:r w:rsidRPr="00873B6C">
        <w:rPr>
          <w:b/>
          <w:bCs/>
        </w:rPr>
        <w:t>Provisioning Server:</w:t>
      </w:r>
      <w:r w:rsidRPr="00873B6C">
        <w:t xml:space="preserve"> Entity that provisions network credentials and other data in the UE to enable SNPN access.</w:t>
      </w:r>
    </w:p>
    <w:p w14:paraId="1F72403D" w14:textId="71D14A67" w:rsidR="006D2D57" w:rsidRPr="00873B6C" w:rsidRDefault="006D2D57" w:rsidP="00323277">
      <w:r w:rsidRPr="00873B6C">
        <w:rPr>
          <w:b/>
          <w:bCs/>
        </w:rPr>
        <w:t>PTP domain:</w:t>
      </w:r>
      <w:r w:rsidRPr="00873B6C">
        <w:t xml:space="preserve"> As defined in IEEE Std 1588 [126].</w:t>
      </w:r>
    </w:p>
    <w:p w14:paraId="5E9B8D3C" w14:textId="7C06798E" w:rsidR="00D40151" w:rsidRPr="00873B6C" w:rsidRDefault="00D40151" w:rsidP="004969CB">
      <w:r w:rsidRPr="00873B6C">
        <w:rPr>
          <w:b/>
        </w:rPr>
        <w:t>Public network integrated NPN:</w:t>
      </w:r>
      <w:r w:rsidRPr="00873B6C">
        <w:t xml:space="preserve"> A non-public network deployed with the support of a PLMN.</w:t>
      </w:r>
    </w:p>
    <w:p w14:paraId="10862206" w14:textId="77777777" w:rsidR="00D40151" w:rsidRPr="00873B6C" w:rsidRDefault="00D40151" w:rsidP="004969CB">
      <w:r w:rsidRPr="00873B6C">
        <w:rPr>
          <w:b/>
        </w:rPr>
        <w:t>(Radio) Access Network</w:t>
      </w:r>
      <w:r w:rsidRPr="00873B6C">
        <w:t>: See 5G Access Network.</w:t>
      </w:r>
    </w:p>
    <w:p w14:paraId="04D3F0E3" w14:textId="77777777" w:rsidR="00D40151" w:rsidRPr="00873B6C" w:rsidRDefault="00D40151" w:rsidP="004969CB">
      <w:r w:rsidRPr="00873B6C">
        <w:rPr>
          <w:b/>
          <w:bCs/>
        </w:rPr>
        <w:t>RAT type:</w:t>
      </w:r>
      <w:r w:rsidRPr="00873B6C">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003BCAB4" w:rsidR="00A46717" w:rsidRPr="00873B6C" w:rsidRDefault="00A46717" w:rsidP="004969CB">
      <w:r w:rsidRPr="00873B6C">
        <w:rPr>
          <w:b/>
          <w:bCs/>
        </w:rPr>
        <w:t>NR RedCap:</w:t>
      </w:r>
      <w:r w:rsidRPr="00873B6C">
        <w:t xml:space="preserve"> a 3GPP RAT type Identifier used in the Core Network only, which is a sub-type of NR RAT type</w:t>
      </w:r>
      <w:r w:rsidR="00472CD7" w:rsidRPr="00873B6C">
        <w:t xml:space="preserve"> and</w:t>
      </w:r>
      <w:r w:rsidRPr="00873B6C">
        <w:t xml:space="preserve"> defined to identify in the Core Network the NR when used by a UE indicating NR RedCap.</w:t>
      </w:r>
    </w:p>
    <w:p w14:paraId="5207EF38" w14:textId="628FAAB6" w:rsidR="00153C7D" w:rsidRPr="00873B6C" w:rsidRDefault="00153C7D" w:rsidP="004969CB">
      <w:r w:rsidRPr="00873B6C">
        <w:rPr>
          <w:b/>
          <w:bCs/>
        </w:rPr>
        <w:t>NR eRedCap:</w:t>
      </w:r>
      <w:r w:rsidRPr="00873B6C">
        <w:t xml:space="preserve"> a 3GPP RAT type Identifier used in the Core Network only, which is a sub-type of NR RAT type</w:t>
      </w:r>
      <w:r w:rsidR="00472CD7" w:rsidRPr="00873B6C">
        <w:t xml:space="preserve"> and</w:t>
      </w:r>
      <w:r w:rsidRPr="00873B6C">
        <w:t xml:space="preserve"> defined to identify in the Core Network the NR when used by a UE indicating NR eRedCap.</w:t>
      </w:r>
    </w:p>
    <w:p w14:paraId="51CCEA7D" w14:textId="04F54FED" w:rsidR="00D40151" w:rsidRPr="00873B6C" w:rsidRDefault="00D40151" w:rsidP="004969CB">
      <w:r w:rsidRPr="00873B6C">
        <w:rPr>
          <w:b/>
        </w:rPr>
        <w:t xml:space="preserve">Requested NSSAI: </w:t>
      </w:r>
      <w:r w:rsidRPr="00873B6C">
        <w:t>NSSAI provided by the UE to the Serving PLMN during registration.</w:t>
      </w:r>
    </w:p>
    <w:p w14:paraId="3D4C95D3" w14:textId="77777777" w:rsidR="00D40151" w:rsidRPr="00873B6C" w:rsidRDefault="00D40151" w:rsidP="004969CB">
      <w:r w:rsidRPr="00873B6C">
        <w:rPr>
          <w:b/>
        </w:rPr>
        <w:t>Residential Gateway:</w:t>
      </w:r>
      <w:r w:rsidRPr="00873B6C">
        <w:t xml:space="preserve"> The Residential Gateway (RG) is a device providing, for example voice, data, broadcast video, video on demand, to other devices in customer premises.</w:t>
      </w:r>
    </w:p>
    <w:p w14:paraId="3E1CA661" w14:textId="77777777" w:rsidR="00D40151" w:rsidRPr="00873B6C" w:rsidRDefault="00D40151" w:rsidP="004969CB">
      <w:pPr>
        <w:rPr>
          <w:lang w:eastAsia="zh-CN"/>
        </w:rPr>
      </w:pPr>
      <w:r w:rsidRPr="00873B6C">
        <w:rPr>
          <w:b/>
          <w:bCs/>
          <w:lang w:eastAsia="zh-CN"/>
        </w:rPr>
        <w:t xml:space="preserve">Routing Binding Indication: </w:t>
      </w:r>
      <w:r w:rsidRPr="00873B6C">
        <w:rPr>
          <w:lang w:eastAsia="zh-CN"/>
        </w:rPr>
        <w:t>Information included in a request or notification and that can be used by the SCP for discovery and associated selection to of a suitable target. See clauses 6.3.1.0 and 7.1.2</w:t>
      </w:r>
    </w:p>
    <w:p w14:paraId="6C27B233" w14:textId="77777777" w:rsidR="00D40151" w:rsidRPr="00873B6C" w:rsidRDefault="00D40151" w:rsidP="004969CB">
      <w:pPr>
        <w:rPr>
          <w:lang w:eastAsia="zh-CN"/>
        </w:rPr>
      </w:pPr>
      <w:r w:rsidRPr="00873B6C">
        <w:rPr>
          <w:b/>
          <w:lang w:eastAsia="zh-CN"/>
        </w:rPr>
        <w:t xml:space="preserve">Routing Indicator: </w:t>
      </w:r>
      <w:r w:rsidRPr="00873B6C">
        <w:rPr>
          <w:lang w:eastAsia="zh-CN"/>
        </w:rPr>
        <w:t>Indicator that allows together with SUCI/SUPI Home Network Identifier to route network signalling to AUSF and UDM instances capable to serve the subscriber.</w:t>
      </w:r>
    </w:p>
    <w:p w14:paraId="111FFA2E" w14:textId="2FAFA612" w:rsidR="00753E54" w:rsidRPr="00873B6C" w:rsidRDefault="00753E54" w:rsidP="004969CB">
      <w:r w:rsidRPr="00873B6C">
        <w:rPr>
          <w:b/>
          <w:bCs/>
        </w:rPr>
        <w:t>RRC_IDLE, RRC_CONNECTED, RRC_INACTIVE:</w:t>
      </w:r>
      <w:r w:rsidRPr="00873B6C">
        <w:t xml:space="preserve"> As defined in </w:t>
      </w:r>
      <w:r w:rsidR="00972E70" w:rsidRPr="00873B6C">
        <w:t>TS 38.331 [</w:t>
      </w:r>
      <w:r w:rsidRPr="00873B6C">
        <w:t xml:space="preserve">28] and </w:t>
      </w:r>
      <w:r w:rsidR="00972E70" w:rsidRPr="00873B6C">
        <w:t>TS 38.306 [</w:t>
      </w:r>
      <w:r w:rsidRPr="00873B6C">
        <w:t>69].</w:t>
      </w:r>
    </w:p>
    <w:p w14:paraId="49EC3BFF" w14:textId="6942390C" w:rsidR="00D40151" w:rsidRPr="00873B6C" w:rsidRDefault="00D40151" w:rsidP="004969CB">
      <w:r w:rsidRPr="00873B6C">
        <w:rPr>
          <w:b/>
          <w:bCs/>
        </w:rPr>
        <w:t>SCP Domain:</w:t>
      </w:r>
      <w:r w:rsidRPr="00873B6C">
        <w:t xml:space="preserve"> A configured group of one or more SCP(s) and zero or more NF instances(s). An SCP within the group can communicate with any NF instance or SCP within the same group directly, i.e. without passing through an intermediate SCP.</w:t>
      </w:r>
    </w:p>
    <w:p w14:paraId="08D4D51F" w14:textId="77777777" w:rsidR="004001F9" w:rsidRPr="00873B6C" w:rsidRDefault="004001F9" w:rsidP="004969CB">
      <w:r w:rsidRPr="00873B6C">
        <w:rPr>
          <w:b/>
          <w:bCs/>
        </w:rPr>
        <w:t>Secondary RAN node:</w:t>
      </w:r>
      <w:r w:rsidRPr="00873B6C">
        <w:t xml:space="preserve"> A Secondary node as defined in TS 37.340 [31].</w:t>
      </w:r>
    </w:p>
    <w:p w14:paraId="7D8968D9" w14:textId="77777777" w:rsidR="004001F9" w:rsidRPr="00873B6C" w:rsidRDefault="004001F9" w:rsidP="004969CB">
      <w:r w:rsidRPr="00873B6C">
        <w:rPr>
          <w:b/>
          <w:bCs/>
        </w:rPr>
        <w:t>Secondary RAT:</w:t>
      </w:r>
      <w:r w:rsidRPr="00873B6C">
        <w:t xml:space="preserve"> RAT of the secondary RAN node.</w:t>
      </w:r>
    </w:p>
    <w:p w14:paraId="06A184B4" w14:textId="2A1EA8AD" w:rsidR="00CD22D1" w:rsidRPr="00873B6C" w:rsidRDefault="00CD22D1" w:rsidP="004969CB">
      <w:r w:rsidRPr="00873B6C">
        <w:rPr>
          <w:b/>
          <w:bCs/>
        </w:rPr>
        <w:t>Service link:</w:t>
      </w:r>
      <w:r w:rsidRPr="00873B6C">
        <w:t xml:space="preserve"> As defined in TS 38.300 [27]</w:t>
      </w:r>
    </w:p>
    <w:p w14:paraId="06C68E04" w14:textId="0CDC9DE1" w:rsidR="00D40151" w:rsidRPr="00873B6C" w:rsidRDefault="00D40151" w:rsidP="004969CB">
      <w:r w:rsidRPr="00873B6C">
        <w:rPr>
          <w:b/>
        </w:rPr>
        <w:t>SNPN</w:t>
      </w:r>
      <w:r w:rsidR="00A725B6" w:rsidRPr="00873B6C">
        <w:rPr>
          <w:b/>
        </w:rPr>
        <w:t>-</w:t>
      </w:r>
      <w:r w:rsidRPr="00873B6C">
        <w:rPr>
          <w:b/>
        </w:rPr>
        <w:t>enabled UE:</w:t>
      </w:r>
      <w:r w:rsidRPr="00873B6C">
        <w:t xml:space="preserve"> A UE configured to use stand-alone Non-Public Networks.</w:t>
      </w:r>
    </w:p>
    <w:p w14:paraId="0A42E3E8" w14:textId="32135208" w:rsidR="00D40151" w:rsidRPr="00873B6C" w:rsidRDefault="00D40151" w:rsidP="00D40151">
      <w:pPr>
        <w:keepLines/>
      </w:pPr>
      <w:r w:rsidRPr="00873B6C">
        <w:rPr>
          <w:b/>
        </w:rPr>
        <w:lastRenderedPageBreak/>
        <w:t>SNPN access mode:</w:t>
      </w:r>
      <w:r w:rsidRPr="00873B6C">
        <w:t xml:space="preserve"> A UE operating in SNPN access mode only selects stand-alone Non-Public Networks</w:t>
      </w:r>
      <w:r w:rsidR="00D51D1B" w:rsidRPr="00873B6C">
        <w:t xml:space="preserve"> over Uu, Yt, NWu</w:t>
      </w:r>
      <w:r w:rsidRPr="00873B6C">
        <w:t>.</w:t>
      </w:r>
    </w:p>
    <w:p w14:paraId="3355068B" w14:textId="3238E3BB" w:rsidR="00D51D1B" w:rsidRPr="00873B6C" w:rsidRDefault="00D51D1B" w:rsidP="00972E70">
      <w:pPr>
        <w:pStyle w:val="NO"/>
      </w:pPr>
      <w:r w:rsidRPr="00873B6C">
        <w:t>NOTE </w:t>
      </w:r>
      <w:r w:rsidR="00A10084" w:rsidRPr="00873B6C">
        <w:t>5</w:t>
      </w:r>
      <w:r w:rsidRPr="00873B6C">
        <w:t>:</w:t>
      </w:r>
      <w:r w:rsidRPr="00873B6C">
        <w:tab/>
        <w:t>If there are multiple instances of Uu/Yt/NWu, whether the UE is in SNPN access mode is determined for each instance independently. NWu can be either direct access via untrusted non-3GPP access or access via underlay network (see Annex D, clause D.3).</w:t>
      </w:r>
    </w:p>
    <w:p w14:paraId="432DF474" w14:textId="223A582A" w:rsidR="00D40151" w:rsidRPr="00873B6C" w:rsidRDefault="00D40151" w:rsidP="004969CB">
      <w:r w:rsidRPr="00873B6C">
        <w:rPr>
          <w:b/>
          <w:lang w:eastAsia="zh-CN"/>
        </w:rPr>
        <w:t xml:space="preserve">Service based interface: </w:t>
      </w:r>
      <w:r w:rsidRPr="00873B6C">
        <w:rPr>
          <w:lang w:eastAsia="zh-CN"/>
        </w:rPr>
        <w:t>It represents how a set of services is provided/exposed by a give</w:t>
      </w:r>
      <w:r w:rsidRPr="00873B6C">
        <w:t>n NF.</w:t>
      </w:r>
    </w:p>
    <w:p w14:paraId="5507D052" w14:textId="77777777" w:rsidR="00D40151" w:rsidRPr="00873B6C" w:rsidRDefault="00D40151" w:rsidP="004969CB">
      <w:pPr>
        <w:rPr>
          <w:lang w:eastAsia="zh-CN"/>
        </w:rPr>
      </w:pPr>
      <w:r w:rsidRPr="00873B6C">
        <w:rPr>
          <w:b/>
        </w:rPr>
        <w:t>Service Continuity:</w:t>
      </w:r>
      <w:r w:rsidRPr="00873B6C">
        <w:rPr>
          <w:b/>
          <w:lang w:eastAsia="zh-CN"/>
        </w:rPr>
        <w:t xml:space="preserve"> </w:t>
      </w:r>
      <w:r w:rsidRPr="00873B6C">
        <w:t>The uninterrupted user experience of a service, includin</w:t>
      </w:r>
      <w:r w:rsidRPr="00873B6C">
        <w:rPr>
          <w:lang w:eastAsia="zh-CN"/>
        </w:rPr>
        <w:t>g</w:t>
      </w:r>
      <w:r w:rsidRPr="00873B6C">
        <w:t xml:space="preserve"> the cases where the IP address and/or anchoring point change.</w:t>
      </w:r>
    </w:p>
    <w:p w14:paraId="27CFACE3" w14:textId="0DC62E92" w:rsidR="00D40151" w:rsidRPr="00873B6C" w:rsidRDefault="00D40151" w:rsidP="004969CB">
      <w:r w:rsidRPr="00873B6C">
        <w:rPr>
          <w:b/>
          <w:bCs/>
        </w:rPr>
        <w:t>Service Data Flow Filter:</w:t>
      </w:r>
      <w:r w:rsidRPr="00873B6C">
        <w:t xml:space="preserve"> A set of packet flow header parameter values/ranges used to identify one or more of the </w:t>
      </w:r>
      <w:r w:rsidR="006E1B0F" w:rsidRPr="00873B6C">
        <w:t xml:space="preserve">(IP or Ethernet) </w:t>
      </w:r>
      <w:r w:rsidRPr="00873B6C">
        <w:t>packet flows constituting a Service Data Flow.</w:t>
      </w:r>
    </w:p>
    <w:p w14:paraId="652844CC" w14:textId="77777777" w:rsidR="00D40151" w:rsidRPr="00873B6C" w:rsidRDefault="00D40151" w:rsidP="004969CB">
      <w:r w:rsidRPr="00873B6C">
        <w:rPr>
          <w:b/>
        </w:rPr>
        <w:t>Service Data Flow Template:</w:t>
      </w:r>
      <w:r w:rsidRPr="00873B6C">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873B6C" w:rsidRDefault="00D40151" w:rsidP="004969CB">
      <w:r w:rsidRPr="00873B6C">
        <w:rPr>
          <w:b/>
        </w:rPr>
        <w:t>Session Continuity:</w:t>
      </w:r>
      <w:r w:rsidRPr="00873B6C">
        <w:t xml:space="preserve"> The continuity of a PDU Session. For PDU Session of IPv4 or IPv6 or IPv4v6 type "session continuity" implies that the IP address is preserved for the lifetime of the PDU Session.</w:t>
      </w:r>
    </w:p>
    <w:p w14:paraId="5270537F" w14:textId="77777777" w:rsidR="00D40151" w:rsidRPr="00873B6C" w:rsidRDefault="00D40151" w:rsidP="004969CB">
      <w:r w:rsidRPr="00873B6C">
        <w:rPr>
          <w:b/>
        </w:rPr>
        <w:t>SMF Service Area:</w:t>
      </w:r>
      <w:r w:rsidRPr="00873B6C">
        <w:t xml:space="preserve"> The collection of UPF Service Areas of all UPFs which can be controlled by one SMF.</w:t>
      </w:r>
    </w:p>
    <w:p w14:paraId="4374ECB5" w14:textId="2F0D2210" w:rsidR="00182EE7" w:rsidRPr="00873B6C" w:rsidRDefault="00182EE7" w:rsidP="004969CB">
      <w:r w:rsidRPr="00873B6C">
        <w:rPr>
          <w:b/>
          <w:bCs/>
        </w:rPr>
        <w:t>SNPN ID:</w:t>
      </w:r>
      <w:r w:rsidRPr="00873B6C">
        <w:t xml:space="preserve"> PLMN ID and NID identifying an SNPN.</w:t>
      </w:r>
    </w:p>
    <w:p w14:paraId="3A4004EE" w14:textId="6E7CC3EA" w:rsidR="00D40151" w:rsidRPr="00873B6C" w:rsidRDefault="00D40151" w:rsidP="004969CB">
      <w:r w:rsidRPr="00873B6C">
        <w:rPr>
          <w:b/>
        </w:rPr>
        <w:t>Stand-alone Non-Public Network:</w:t>
      </w:r>
      <w:r w:rsidRPr="00873B6C">
        <w:t xml:space="preserve"> A non-public network not relying on network functions provided by a PLMN</w:t>
      </w:r>
    </w:p>
    <w:p w14:paraId="4509F77A" w14:textId="77777777" w:rsidR="00D40151" w:rsidRPr="00873B6C" w:rsidRDefault="00D40151" w:rsidP="004969CB">
      <w:r w:rsidRPr="00873B6C">
        <w:rPr>
          <w:b/>
        </w:rPr>
        <w:t>Subscribed S-NSSAI</w:t>
      </w:r>
      <w:r w:rsidRPr="00873B6C">
        <w:t>: S-NSSAI based on subscriber information, which a UE is subscribed to use in a PLMN</w:t>
      </w:r>
    </w:p>
    <w:p w14:paraId="1BDD5B16" w14:textId="77777777" w:rsidR="00182EE7" w:rsidRPr="00873B6C" w:rsidRDefault="00182EE7" w:rsidP="004969CB">
      <w:r w:rsidRPr="00873B6C">
        <w:rPr>
          <w:b/>
          <w:bCs/>
        </w:rPr>
        <w:t>Subscription Owner Standalone Non-Public Network:</w:t>
      </w:r>
      <w:r w:rsidRPr="00873B6C">
        <w:t xml:space="preserve"> A Standalone Non-Public Network owning the subscription of a UE and providing subscription data to the UE via a Provisioning Server during the onboarding procedure.</w:t>
      </w:r>
    </w:p>
    <w:p w14:paraId="01F299F3" w14:textId="77777777" w:rsidR="0010039C" w:rsidRPr="00873B6C" w:rsidRDefault="0010039C" w:rsidP="004969CB">
      <w:r w:rsidRPr="00873B6C">
        <w:rPr>
          <w:b/>
          <w:bCs/>
        </w:rPr>
        <w:t>Survival Time:</w:t>
      </w:r>
      <w:r w:rsidRPr="00873B6C">
        <w:t xml:space="preserve"> The time that an application consuming a communication service may continue without an anticipated message.</w:t>
      </w:r>
    </w:p>
    <w:p w14:paraId="0DEF9C9D" w14:textId="4B855DF7" w:rsidR="0010039C" w:rsidRPr="00873B6C" w:rsidRDefault="0010039C" w:rsidP="004969CB">
      <w:pPr>
        <w:pStyle w:val="NO"/>
      </w:pPr>
      <w:r w:rsidRPr="00873B6C">
        <w:t>NOTE </w:t>
      </w:r>
      <w:r w:rsidR="00A10084" w:rsidRPr="00873B6C">
        <w:t>6</w:t>
      </w:r>
      <w:r w:rsidRPr="00873B6C">
        <w:t>:</w:t>
      </w:r>
      <w:r w:rsidRPr="00873B6C">
        <w:tab/>
        <w:t xml:space="preserve">Taken from clause 3.1 of </w:t>
      </w:r>
      <w:r w:rsidR="00972E70" w:rsidRPr="00873B6C">
        <w:t>TS 22.261 [</w:t>
      </w:r>
      <w:r w:rsidRPr="00873B6C">
        <w:t>2].</w:t>
      </w:r>
    </w:p>
    <w:p w14:paraId="6294A504" w14:textId="04B474CB" w:rsidR="006E1B0F" w:rsidRPr="00873B6C" w:rsidRDefault="006E1B0F" w:rsidP="004969CB">
      <w:r w:rsidRPr="00873B6C">
        <w:rPr>
          <w:b/>
          <w:bCs/>
        </w:rPr>
        <w:t>Target NSSAI:</w:t>
      </w:r>
      <w:r w:rsidRPr="00873B6C">
        <w:t xml:space="preserve"> NSSAI provided by the Serving PLMN to the NG-RAN to cause the NG-RAN to attempt to steer the UE to a cell supporting the Network Slices identified by the S-NSSAIs in this NSSAI. See clause 5.3.4.3.3 for more details.</w:t>
      </w:r>
    </w:p>
    <w:p w14:paraId="2A67D512" w14:textId="3A2A8582" w:rsidR="00D40151" w:rsidRPr="00873B6C" w:rsidRDefault="00D40151" w:rsidP="004969CB">
      <w:r w:rsidRPr="00873B6C">
        <w:rPr>
          <w:b/>
        </w:rPr>
        <w:t>Time Sensitive Communication (TSC):</w:t>
      </w:r>
      <w:r w:rsidRPr="00873B6C">
        <w:t xml:space="preserve"> A communication service that supports deterministic communication</w:t>
      </w:r>
      <w:r w:rsidR="00055D0B" w:rsidRPr="00873B6C">
        <w:t xml:space="preserve"> (i.e. which ensures a maximum delay)</w:t>
      </w:r>
      <w:r w:rsidRPr="00873B6C">
        <w:t xml:space="preserve"> and/or isochronous communication with high reliability and availability. It is about providing packet transport with QoS characteristics such as bounds on latency, loss</w:t>
      </w:r>
      <w:r w:rsidR="00472CD7" w:rsidRPr="00873B6C">
        <w:t xml:space="preserve"> and</w:t>
      </w:r>
      <w:r w:rsidRPr="00873B6C">
        <w:t xml:space="preserve"> reliability, where end systems and relay/transmit nodes </w:t>
      </w:r>
      <w:r w:rsidR="00055D0B" w:rsidRPr="00873B6C">
        <w:t xml:space="preserve">may or may not </w:t>
      </w:r>
      <w:r w:rsidRPr="00873B6C">
        <w:t>be strictly synchronized.</w:t>
      </w:r>
    </w:p>
    <w:p w14:paraId="6C65CD88" w14:textId="77777777" w:rsidR="00D40151" w:rsidRPr="00873B6C" w:rsidRDefault="00D40151" w:rsidP="004969CB">
      <w:r w:rsidRPr="00873B6C">
        <w:rPr>
          <w:b/>
          <w:bCs/>
        </w:rPr>
        <w:t xml:space="preserve">TSN working domain: </w:t>
      </w:r>
      <w:r w:rsidRPr="00873B6C">
        <w:t>Synchronization domain for a localized set of devices collaborating on a specific task or work function in a TSN network, corresponding to a gPTP domain defined in IEEE 802.1AS [104].</w:t>
      </w:r>
    </w:p>
    <w:p w14:paraId="188ACAE0" w14:textId="77777777" w:rsidR="00D40151" w:rsidRPr="00873B6C" w:rsidRDefault="00D40151" w:rsidP="004969CB">
      <w:r w:rsidRPr="00873B6C">
        <w:rPr>
          <w:b/>
        </w:rPr>
        <w:t>UDM Group ID:</w:t>
      </w:r>
      <w:r w:rsidRPr="00873B6C">
        <w:t xml:space="preserve"> This refers to one or more UDM instances managing a specific set of SUPIs. An UDM Group consists of one or multiple UDM Sets.</w:t>
      </w:r>
    </w:p>
    <w:p w14:paraId="1F95BF94" w14:textId="77777777" w:rsidR="00D40151" w:rsidRPr="00873B6C" w:rsidRDefault="00D40151" w:rsidP="004969CB">
      <w:r w:rsidRPr="00873B6C">
        <w:rPr>
          <w:b/>
        </w:rPr>
        <w:t>UDR Group ID:</w:t>
      </w:r>
      <w:r w:rsidRPr="00873B6C">
        <w:t xml:space="preserve"> This refers to one or more UDR instances managing a specific set of SUPIs. An UDR Group consists of one or multiple UDR Sets.</w:t>
      </w:r>
    </w:p>
    <w:p w14:paraId="36D93BB6" w14:textId="30A9568A" w:rsidR="000F5D21" w:rsidRPr="00873B6C" w:rsidRDefault="000F5D21" w:rsidP="004969CB">
      <w:r w:rsidRPr="00873B6C">
        <w:rPr>
          <w:b/>
          <w:bCs/>
        </w:rPr>
        <w:t>UE-DS-TT Residence Time:</w:t>
      </w:r>
      <w:r w:rsidRPr="00873B6C">
        <w:t xml:space="preserve"> The time taken within the UE and DS-TT to forward a packet</w:t>
      </w:r>
      <w:r w:rsidR="00CF2EC5" w:rsidRPr="00873B6C">
        <w:t>, i.e.</w:t>
      </w:r>
      <w:r w:rsidRPr="00873B6C">
        <w:t xml:space="preserve"> between the</w:t>
      </w:r>
      <w:r w:rsidR="00CF2EC5" w:rsidRPr="00873B6C">
        <w:t xml:space="preserve"> ingress of the</w:t>
      </w:r>
      <w:r w:rsidRPr="00873B6C">
        <w:t xml:space="preserve"> UE and </w:t>
      </w:r>
      <w:r w:rsidR="00CF2EC5" w:rsidRPr="00873B6C">
        <w:t xml:space="preserve">the </w:t>
      </w:r>
      <w:r w:rsidRPr="00873B6C">
        <w:t>DS-TT port</w:t>
      </w:r>
      <w:r w:rsidR="00CF2EC5" w:rsidRPr="00873B6C">
        <w:t xml:space="preserve"> in the DL direction, or between the DS-TT port and the egress of the UE in the UL direction</w:t>
      </w:r>
      <w:r w:rsidRPr="00873B6C">
        <w:t>. UE-DS-TT Residence Time is provided at the time of PDU Session Establishment by the UE to the network.</w:t>
      </w:r>
    </w:p>
    <w:p w14:paraId="40B26D73" w14:textId="5672AF2F" w:rsidR="000F5D21" w:rsidRPr="00873B6C" w:rsidRDefault="000F5D21" w:rsidP="004969CB">
      <w:pPr>
        <w:pStyle w:val="NO"/>
      </w:pPr>
      <w:r w:rsidRPr="00873B6C">
        <w:t>NOTE </w:t>
      </w:r>
      <w:r w:rsidR="00A10084" w:rsidRPr="00873B6C">
        <w:t>7</w:t>
      </w:r>
      <w:r w:rsidRPr="00873B6C">
        <w:t>:</w:t>
      </w:r>
      <w:r w:rsidRPr="00873B6C">
        <w:tab/>
        <w:t>UE-DS-TT Residence Time is the same for uplink and downlink traffic and applies to all QoS Flows.</w:t>
      </w:r>
    </w:p>
    <w:p w14:paraId="4EE36030" w14:textId="31819C70" w:rsidR="00D40151" w:rsidRPr="00873B6C" w:rsidRDefault="00D40151" w:rsidP="004969CB">
      <w:r w:rsidRPr="00873B6C">
        <w:rPr>
          <w:b/>
        </w:rPr>
        <w:t>UPF Service Area</w:t>
      </w:r>
      <w:r w:rsidRPr="00873B6C">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873B6C" w:rsidRDefault="00D40151" w:rsidP="004969CB">
      <w:r w:rsidRPr="00873B6C">
        <w:rPr>
          <w:b/>
        </w:rPr>
        <w:lastRenderedPageBreak/>
        <w:t>Uplink Classifier:</w:t>
      </w:r>
      <w:r w:rsidRPr="00873B6C">
        <w:t xml:space="preserve"> UPF functionality that aims at diverting Uplink traffic, based on filter rules provided by SMF, towards Data Network.</w:t>
      </w:r>
    </w:p>
    <w:p w14:paraId="5C8130C5" w14:textId="77777777" w:rsidR="00D40151" w:rsidRPr="00873B6C" w:rsidRDefault="00D40151" w:rsidP="004969CB">
      <w:r w:rsidRPr="00873B6C">
        <w:rPr>
          <w:b/>
          <w:bCs/>
        </w:rPr>
        <w:t>WB-E-UTRA:</w:t>
      </w:r>
      <w:r w:rsidRPr="00873B6C">
        <w:t xml:space="preserve"> In the RAN, WB-E-UTRA is the part of E-UTRA that excludes NB-IoT. In the Core Network, WB-E-UTRA also excludes LTE-M.</w:t>
      </w:r>
    </w:p>
    <w:p w14:paraId="6338DC71" w14:textId="77777777" w:rsidR="00D40151" w:rsidRPr="00873B6C" w:rsidRDefault="00D40151" w:rsidP="004969CB">
      <w:r w:rsidRPr="00873B6C">
        <w:rPr>
          <w:b/>
        </w:rPr>
        <w:t>Wireline 5G Access Network:</w:t>
      </w:r>
      <w:r w:rsidRPr="00873B6C">
        <w:t xml:space="preserve"> The Wireline 5G Access Network (W-5GAN) is a wireline AN that connects to a 5GC via N2 and N3 reference points. The W-5GAN can be either a W-5GBAN or W-5GCAN.</w:t>
      </w:r>
    </w:p>
    <w:p w14:paraId="176DC3F4" w14:textId="77777777" w:rsidR="00D40151" w:rsidRPr="00873B6C" w:rsidRDefault="00D40151" w:rsidP="004969CB">
      <w:r w:rsidRPr="00873B6C">
        <w:rPr>
          <w:b/>
        </w:rPr>
        <w:t>Wireline 5G Cable Access Network:</w:t>
      </w:r>
      <w:r w:rsidRPr="00873B6C">
        <w:t xml:space="preserve"> The Wireline 5G Cable Access Network (W-5GCAN) is the Access Network defined in CableLabs.</w:t>
      </w:r>
    </w:p>
    <w:p w14:paraId="69032681" w14:textId="77777777" w:rsidR="00D40151" w:rsidRPr="00873B6C" w:rsidRDefault="00D40151" w:rsidP="004969CB">
      <w:r w:rsidRPr="00873B6C">
        <w:rPr>
          <w:b/>
        </w:rPr>
        <w:t>Wireline BBF Access Network:</w:t>
      </w:r>
      <w:r w:rsidRPr="00873B6C">
        <w:t xml:space="preserve"> The Wireline 5G BBF Access Network (W-5GBAN) is the Access Network defined in BBF.</w:t>
      </w:r>
    </w:p>
    <w:p w14:paraId="38E90BEA" w14:textId="77777777" w:rsidR="00D40151" w:rsidRPr="00873B6C" w:rsidRDefault="00D40151" w:rsidP="00D40151">
      <w:r w:rsidRPr="00873B6C">
        <w:rPr>
          <w:b/>
        </w:rPr>
        <w:t>Wireline Access Gateway Function (W-AGF):</w:t>
      </w:r>
      <w:r w:rsidRPr="00873B6C">
        <w:t xml:space="preserve"> The Wireline Access Gateway Function (W-AGF) is a Network function in W-5GAN that provides connectivity to the 5G Core to 5G-RG and FN-RG.</w:t>
      </w:r>
    </w:p>
    <w:p w14:paraId="5F7ADCCF" w14:textId="08B791D8" w:rsidR="00D40151" w:rsidRPr="00873B6C" w:rsidRDefault="00D40151" w:rsidP="00D40151">
      <w:pPr>
        <w:pStyle w:val="NO"/>
      </w:pPr>
      <w:bookmarkStart w:id="48" w:name="_Toc20149627"/>
      <w:r w:rsidRPr="00873B6C">
        <w:t>NOTE </w:t>
      </w:r>
      <w:r w:rsidR="00A10084" w:rsidRPr="00873B6C">
        <w:t>8</w:t>
      </w:r>
      <w:r w:rsidRPr="00873B6C">
        <w:t>:</w:t>
      </w:r>
      <w:r w:rsidRPr="00873B6C">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873B6C" w:rsidRDefault="00D40151" w:rsidP="00D40151">
      <w:pPr>
        <w:pStyle w:val="Heading2"/>
      </w:pPr>
      <w:bookmarkStart w:id="49" w:name="_CR3_2"/>
      <w:bookmarkStart w:id="50" w:name="_Toc27846418"/>
      <w:bookmarkStart w:id="51" w:name="_Toc36187542"/>
      <w:bookmarkStart w:id="52" w:name="_Toc45183446"/>
      <w:bookmarkStart w:id="53" w:name="_Toc47342288"/>
      <w:bookmarkStart w:id="54" w:name="_Toc51768986"/>
      <w:bookmarkStart w:id="55" w:name="_Toc201156899"/>
      <w:bookmarkEnd w:id="49"/>
      <w:r w:rsidRPr="00873B6C">
        <w:t>3.2</w:t>
      </w:r>
      <w:r w:rsidRPr="00873B6C">
        <w:tab/>
        <w:t>Abbreviations</w:t>
      </w:r>
      <w:bookmarkEnd w:id="48"/>
      <w:bookmarkEnd w:id="50"/>
      <w:bookmarkEnd w:id="51"/>
      <w:bookmarkEnd w:id="52"/>
      <w:bookmarkEnd w:id="53"/>
      <w:bookmarkEnd w:id="54"/>
      <w:bookmarkEnd w:id="55"/>
    </w:p>
    <w:p w14:paraId="4E066447" w14:textId="65AF96F5" w:rsidR="00D40151" w:rsidRPr="00873B6C" w:rsidRDefault="00D40151" w:rsidP="00D40151">
      <w:pPr>
        <w:keepNext/>
      </w:pPr>
      <w:r w:rsidRPr="00873B6C">
        <w:t xml:space="preserve">For the purposes of the present document, the abbreviations given in </w:t>
      </w:r>
      <w:r w:rsidR="00972E70" w:rsidRPr="00873B6C">
        <w:t>TR 21.905 [</w:t>
      </w:r>
      <w:r w:rsidRPr="00873B6C">
        <w:t xml:space="preserve">1] and the following apply. An abbreviation defined in the present document takes precedence over the definition of the same abbreviation, if any, in </w:t>
      </w:r>
      <w:r w:rsidR="00972E70" w:rsidRPr="00873B6C">
        <w:t>TR 21.905 [</w:t>
      </w:r>
      <w:r w:rsidRPr="00873B6C">
        <w:t>1].</w:t>
      </w:r>
    </w:p>
    <w:p w14:paraId="6641D18E" w14:textId="77777777" w:rsidR="00D40151" w:rsidRPr="00873B6C" w:rsidRDefault="00D40151" w:rsidP="00D40151">
      <w:pPr>
        <w:pStyle w:val="EW"/>
      </w:pPr>
      <w:r w:rsidRPr="00873B6C">
        <w:t>5GC</w:t>
      </w:r>
      <w:r w:rsidRPr="00873B6C">
        <w:tab/>
        <w:t>5G Core Network</w:t>
      </w:r>
    </w:p>
    <w:p w14:paraId="6D5C1EC0" w14:textId="77777777" w:rsidR="00160667" w:rsidRPr="00873B6C" w:rsidRDefault="00160667" w:rsidP="00D40151">
      <w:pPr>
        <w:pStyle w:val="EW"/>
      </w:pPr>
      <w:r w:rsidRPr="00873B6C">
        <w:t>5G DDNMF</w:t>
      </w:r>
      <w:r w:rsidRPr="00873B6C">
        <w:tab/>
        <w:t>5G Direct Discovery Name Management Function</w:t>
      </w:r>
    </w:p>
    <w:p w14:paraId="061125A8" w14:textId="726DE6F3" w:rsidR="00D40151" w:rsidRPr="00873B6C" w:rsidRDefault="00704A9E" w:rsidP="00D40151">
      <w:pPr>
        <w:pStyle w:val="EW"/>
      </w:pPr>
      <w:r w:rsidRPr="00873B6C">
        <w:t>5G</w:t>
      </w:r>
      <w:r w:rsidR="00160667" w:rsidRPr="00873B6C">
        <w:t xml:space="preserve"> LAN</w:t>
      </w:r>
      <w:r w:rsidR="00D40151" w:rsidRPr="00873B6C">
        <w:tab/>
        <w:t>5G Local Area Network</w:t>
      </w:r>
    </w:p>
    <w:p w14:paraId="5ADE552D" w14:textId="77777777" w:rsidR="00D40151" w:rsidRPr="00873B6C" w:rsidRDefault="00D40151" w:rsidP="00D40151">
      <w:pPr>
        <w:pStyle w:val="EW"/>
        <w:rPr>
          <w:lang w:eastAsia="zh-CN"/>
        </w:rPr>
      </w:pPr>
      <w:r w:rsidRPr="00873B6C">
        <w:t>5GS</w:t>
      </w:r>
      <w:r w:rsidRPr="00873B6C">
        <w:tab/>
        <w:t>5G System</w:t>
      </w:r>
    </w:p>
    <w:p w14:paraId="1E769390" w14:textId="77777777" w:rsidR="00D40151" w:rsidRPr="00873B6C" w:rsidRDefault="00D40151" w:rsidP="00D40151">
      <w:pPr>
        <w:pStyle w:val="EW"/>
      </w:pPr>
      <w:r w:rsidRPr="00873B6C">
        <w:t>5G-AN</w:t>
      </w:r>
      <w:r w:rsidRPr="00873B6C">
        <w:tab/>
        <w:t>5G Access Network</w:t>
      </w:r>
    </w:p>
    <w:p w14:paraId="4607CA96" w14:textId="77777777" w:rsidR="00D40151" w:rsidRPr="00873B6C" w:rsidRDefault="00D40151" w:rsidP="00D40151">
      <w:pPr>
        <w:pStyle w:val="EW"/>
        <w:rPr>
          <w:lang w:eastAsia="zh-CN"/>
        </w:rPr>
      </w:pPr>
      <w:r w:rsidRPr="00873B6C">
        <w:rPr>
          <w:lang w:eastAsia="zh-CN"/>
        </w:rPr>
        <w:t>5G-AN PDB</w:t>
      </w:r>
      <w:r w:rsidRPr="00873B6C">
        <w:rPr>
          <w:lang w:eastAsia="zh-CN"/>
        </w:rPr>
        <w:tab/>
        <w:t>5G Access Network Packet Delay Budget</w:t>
      </w:r>
    </w:p>
    <w:p w14:paraId="33F3BD13" w14:textId="77777777" w:rsidR="00D40151" w:rsidRPr="00873B6C" w:rsidRDefault="00D40151" w:rsidP="00D40151">
      <w:pPr>
        <w:pStyle w:val="EW"/>
        <w:rPr>
          <w:lang w:eastAsia="zh-CN"/>
        </w:rPr>
      </w:pPr>
      <w:r w:rsidRPr="00873B6C">
        <w:rPr>
          <w:lang w:eastAsia="zh-CN"/>
        </w:rPr>
        <w:t>5G-EIR</w:t>
      </w:r>
      <w:r w:rsidRPr="00873B6C">
        <w:rPr>
          <w:lang w:eastAsia="zh-CN"/>
        </w:rPr>
        <w:tab/>
        <w:t>5G-Equipment Identity Register</w:t>
      </w:r>
    </w:p>
    <w:p w14:paraId="28A960EA" w14:textId="77777777" w:rsidR="00D40151" w:rsidRPr="00873B6C" w:rsidRDefault="00D40151" w:rsidP="00D40151">
      <w:pPr>
        <w:pStyle w:val="EW"/>
        <w:rPr>
          <w:lang w:eastAsia="zh-CN"/>
        </w:rPr>
      </w:pPr>
      <w:r w:rsidRPr="00873B6C">
        <w:rPr>
          <w:lang w:eastAsia="zh-CN"/>
        </w:rPr>
        <w:t>5G-GUTI</w:t>
      </w:r>
      <w:r w:rsidRPr="00873B6C">
        <w:rPr>
          <w:lang w:eastAsia="zh-CN"/>
        </w:rPr>
        <w:tab/>
        <w:t>5G Globally Unique Temporary Identifier</w:t>
      </w:r>
    </w:p>
    <w:p w14:paraId="04F7B0C7" w14:textId="77777777" w:rsidR="00D40151" w:rsidRPr="00873B6C" w:rsidRDefault="00D40151" w:rsidP="00D40151">
      <w:pPr>
        <w:pStyle w:val="EW"/>
        <w:rPr>
          <w:lang w:eastAsia="zh-CN"/>
        </w:rPr>
      </w:pPr>
      <w:r w:rsidRPr="00873B6C">
        <w:rPr>
          <w:lang w:eastAsia="zh-CN"/>
        </w:rPr>
        <w:t>5G-BRG</w:t>
      </w:r>
      <w:r w:rsidRPr="00873B6C">
        <w:rPr>
          <w:lang w:eastAsia="zh-CN"/>
        </w:rPr>
        <w:tab/>
        <w:t>5G Broadband Residential Gateway</w:t>
      </w:r>
    </w:p>
    <w:p w14:paraId="2D456583" w14:textId="77777777" w:rsidR="00D40151" w:rsidRPr="00873B6C" w:rsidRDefault="00D40151" w:rsidP="00D40151">
      <w:pPr>
        <w:pStyle w:val="EW"/>
        <w:rPr>
          <w:lang w:eastAsia="zh-CN"/>
        </w:rPr>
      </w:pPr>
      <w:r w:rsidRPr="00873B6C">
        <w:rPr>
          <w:lang w:eastAsia="zh-CN"/>
        </w:rPr>
        <w:t>5G-CRG</w:t>
      </w:r>
      <w:r w:rsidRPr="00873B6C">
        <w:rPr>
          <w:lang w:eastAsia="zh-CN"/>
        </w:rPr>
        <w:tab/>
        <w:t>5G Cable Residential Gateway</w:t>
      </w:r>
    </w:p>
    <w:p w14:paraId="5A54144D" w14:textId="77777777" w:rsidR="00D40151" w:rsidRPr="00873B6C" w:rsidRDefault="00D40151" w:rsidP="00D40151">
      <w:pPr>
        <w:pStyle w:val="EW"/>
        <w:rPr>
          <w:lang w:eastAsia="zh-CN"/>
        </w:rPr>
      </w:pPr>
      <w:r w:rsidRPr="00873B6C">
        <w:rPr>
          <w:lang w:eastAsia="zh-CN"/>
        </w:rPr>
        <w:t>5G GM</w:t>
      </w:r>
      <w:r w:rsidRPr="00873B6C">
        <w:rPr>
          <w:lang w:eastAsia="zh-CN"/>
        </w:rPr>
        <w:tab/>
        <w:t>5G Grand Master</w:t>
      </w:r>
    </w:p>
    <w:p w14:paraId="13BC6891" w14:textId="38990F93" w:rsidR="00D45059" w:rsidRPr="00873B6C" w:rsidRDefault="00D45059" w:rsidP="00D40151">
      <w:pPr>
        <w:pStyle w:val="EW"/>
        <w:rPr>
          <w:lang w:eastAsia="zh-CN"/>
        </w:rPr>
      </w:pPr>
      <w:r w:rsidRPr="00873B6C">
        <w:rPr>
          <w:lang w:eastAsia="zh-CN"/>
        </w:rPr>
        <w:t>5G NSWO</w:t>
      </w:r>
      <w:r w:rsidRPr="00873B6C">
        <w:rPr>
          <w:lang w:eastAsia="zh-CN"/>
        </w:rPr>
        <w:tab/>
        <w:t>5G Non-Seamless WLAN offload</w:t>
      </w:r>
    </w:p>
    <w:p w14:paraId="669BB346" w14:textId="58035ABA" w:rsidR="00D40151" w:rsidRPr="00873B6C" w:rsidRDefault="00D40151" w:rsidP="00D40151">
      <w:pPr>
        <w:pStyle w:val="EW"/>
        <w:rPr>
          <w:lang w:eastAsia="zh-CN"/>
        </w:rPr>
      </w:pPr>
      <w:r w:rsidRPr="00873B6C">
        <w:rPr>
          <w:lang w:eastAsia="zh-CN"/>
        </w:rPr>
        <w:t>5G-RG</w:t>
      </w:r>
      <w:r w:rsidRPr="00873B6C">
        <w:rPr>
          <w:lang w:eastAsia="zh-CN"/>
        </w:rPr>
        <w:tab/>
        <w:t>5G Residential Gateway</w:t>
      </w:r>
    </w:p>
    <w:p w14:paraId="7E397472" w14:textId="77777777" w:rsidR="00D40151" w:rsidRPr="00873B6C" w:rsidRDefault="00D40151" w:rsidP="00D40151">
      <w:pPr>
        <w:pStyle w:val="EW"/>
      </w:pPr>
      <w:r w:rsidRPr="00873B6C">
        <w:rPr>
          <w:lang w:eastAsia="zh-CN"/>
        </w:rPr>
        <w:t>5G-S-TMSI</w:t>
      </w:r>
      <w:r w:rsidRPr="00873B6C">
        <w:rPr>
          <w:lang w:eastAsia="zh-CN"/>
        </w:rPr>
        <w:tab/>
        <w:t>5G S-Temporary Mobile Subscription Identifier</w:t>
      </w:r>
    </w:p>
    <w:p w14:paraId="7D352874" w14:textId="77777777" w:rsidR="00D40151" w:rsidRPr="00873B6C" w:rsidRDefault="00D40151" w:rsidP="00D40151">
      <w:pPr>
        <w:pStyle w:val="EW"/>
      </w:pPr>
      <w:r w:rsidRPr="00873B6C">
        <w:t>5G VN</w:t>
      </w:r>
      <w:r w:rsidRPr="00873B6C">
        <w:tab/>
        <w:t>5G Virtual Network</w:t>
      </w:r>
    </w:p>
    <w:p w14:paraId="7B5DF1D5" w14:textId="77777777" w:rsidR="00D40151" w:rsidRPr="00873B6C" w:rsidRDefault="00D40151" w:rsidP="00D40151">
      <w:pPr>
        <w:pStyle w:val="EW"/>
      </w:pPr>
      <w:r w:rsidRPr="00873B6C">
        <w:t>5QI</w:t>
      </w:r>
      <w:r w:rsidRPr="00873B6C">
        <w:tab/>
        <w:t>5G QoS Identifier</w:t>
      </w:r>
    </w:p>
    <w:p w14:paraId="51DB672F" w14:textId="69126437" w:rsidR="00D63C5A" w:rsidRPr="00873B6C" w:rsidRDefault="00D63C5A" w:rsidP="00D40151">
      <w:pPr>
        <w:pStyle w:val="EW"/>
        <w:keepNext/>
      </w:pPr>
      <w:r w:rsidRPr="00873B6C">
        <w:t>ADRF</w:t>
      </w:r>
      <w:r w:rsidRPr="00873B6C">
        <w:tab/>
        <w:t>Analytics Data Repository Function</w:t>
      </w:r>
    </w:p>
    <w:p w14:paraId="5E1376C8" w14:textId="384BDFF4" w:rsidR="00D40151" w:rsidRPr="00873B6C" w:rsidRDefault="00D40151" w:rsidP="00D40151">
      <w:pPr>
        <w:pStyle w:val="EW"/>
        <w:keepNext/>
      </w:pPr>
      <w:r w:rsidRPr="00873B6C">
        <w:t>AF</w:t>
      </w:r>
      <w:r w:rsidRPr="00873B6C">
        <w:tab/>
        <w:t>Application Function</w:t>
      </w:r>
    </w:p>
    <w:p w14:paraId="2A2AA266" w14:textId="77111F23" w:rsidR="0004047F" w:rsidRPr="00873B6C" w:rsidRDefault="0004047F" w:rsidP="00D40151">
      <w:pPr>
        <w:pStyle w:val="EW"/>
        <w:keepNext/>
      </w:pPr>
      <w:r w:rsidRPr="00873B6C">
        <w:t>AI/ML</w:t>
      </w:r>
      <w:r w:rsidRPr="00873B6C">
        <w:tab/>
        <w:t>Artificial Intelligence/Machine Learning</w:t>
      </w:r>
    </w:p>
    <w:p w14:paraId="514DEF6E" w14:textId="498C65CF" w:rsidR="00C05113" w:rsidRPr="00873B6C" w:rsidRDefault="00C05113" w:rsidP="00D40151">
      <w:pPr>
        <w:pStyle w:val="EW"/>
        <w:keepNext/>
      </w:pPr>
      <w:r w:rsidRPr="00873B6C">
        <w:t>AKMA</w:t>
      </w:r>
      <w:r w:rsidRPr="00873B6C">
        <w:tab/>
        <w:t>Authentication and Key Management for Applications</w:t>
      </w:r>
    </w:p>
    <w:p w14:paraId="6C2C9478" w14:textId="0548BD1A" w:rsidR="006D2D57" w:rsidRPr="00873B6C" w:rsidRDefault="006D2D57" w:rsidP="00D40151">
      <w:pPr>
        <w:pStyle w:val="EW"/>
        <w:keepNext/>
      </w:pPr>
      <w:r w:rsidRPr="00873B6C">
        <w:t>AnLF</w:t>
      </w:r>
      <w:r w:rsidRPr="00873B6C">
        <w:tab/>
        <w:t>Analytics Logical Function</w:t>
      </w:r>
    </w:p>
    <w:p w14:paraId="2BC0C0FB" w14:textId="1CD32B30" w:rsidR="00D40151" w:rsidRPr="00873B6C" w:rsidRDefault="00D40151" w:rsidP="00D40151">
      <w:pPr>
        <w:pStyle w:val="EW"/>
        <w:keepNext/>
      </w:pPr>
      <w:r w:rsidRPr="00873B6C">
        <w:t>AMF</w:t>
      </w:r>
      <w:r w:rsidRPr="00873B6C">
        <w:tab/>
        <w:t>Access and Mobility Management Function</w:t>
      </w:r>
    </w:p>
    <w:p w14:paraId="62104B3B" w14:textId="464045B3" w:rsidR="00335A94" w:rsidRPr="00873B6C" w:rsidRDefault="00335A94" w:rsidP="00D40151">
      <w:pPr>
        <w:pStyle w:val="EW"/>
        <w:keepNext/>
      </w:pPr>
      <w:r w:rsidRPr="00873B6C">
        <w:t>AoI</w:t>
      </w:r>
      <w:r w:rsidRPr="00873B6C">
        <w:tab/>
        <w:t>Area of Interest</w:t>
      </w:r>
    </w:p>
    <w:p w14:paraId="1CB82D5C" w14:textId="402EE4E7" w:rsidR="00D40151" w:rsidRPr="00873B6C" w:rsidRDefault="00D40151" w:rsidP="00D40151">
      <w:pPr>
        <w:pStyle w:val="EW"/>
        <w:keepNext/>
      </w:pPr>
      <w:r w:rsidRPr="00873B6C">
        <w:t>AS</w:t>
      </w:r>
      <w:r w:rsidRPr="00873B6C">
        <w:tab/>
        <w:t>Access Stratum</w:t>
      </w:r>
    </w:p>
    <w:p w14:paraId="60B0E388" w14:textId="77777777" w:rsidR="00D40151" w:rsidRPr="00873B6C" w:rsidRDefault="00D40151" w:rsidP="00D40151">
      <w:pPr>
        <w:pStyle w:val="EW"/>
      </w:pPr>
      <w:r w:rsidRPr="00873B6C">
        <w:t>ATSSS</w:t>
      </w:r>
      <w:r w:rsidRPr="00873B6C">
        <w:tab/>
        <w:t>Access Traffic Steering, Switching, Splitting</w:t>
      </w:r>
    </w:p>
    <w:p w14:paraId="7D15D2B0" w14:textId="77777777" w:rsidR="00D40151" w:rsidRPr="00873B6C" w:rsidRDefault="00D40151" w:rsidP="00D40151">
      <w:pPr>
        <w:pStyle w:val="EW"/>
      </w:pPr>
      <w:r w:rsidRPr="00873B6C">
        <w:t>ATSSS-LL</w:t>
      </w:r>
      <w:r w:rsidRPr="00873B6C">
        <w:tab/>
        <w:t>ATSSS Low-Layer</w:t>
      </w:r>
    </w:p>
    <w:p w14:paraId="4940948F" w14:textId="77777777" w:rsidR="00D40151" w:rsidRPr="00873B6C" w:rsidRDefault="00D40151" w:rsidP="00D40151">
      <w:pPr>
        <w:pStyle w:val="EW"/>
      </w:pPr>
      <w:r w:rsidRPr="00873B6C">
        <w:t>AUSF</w:t>
      </w:r>
      <w:r w:rsidRPr="00873B6C">
        <w:tab/>
        <w:t>Authentication Server Function</w:t>
      </w:r>
    </w:p>
    <w:p w14:paraId="4D901E12" w14:textId="77777777" w:rsidR="00D40151" w:rsidRPr="00873B6C" w:rsidRDefault="00D40151" w:rsidP="00D40151">
      <w:pPr>
        <w:pStyle w:val="EW"/>
      </w:pPr>
      <w:r w:rsidRPr="00873B6C">
        <w:t>BMCA</w:t>
      </w:r>
      <w:r w:rsidRPr="00873B6C">
        <w:tab/>
        <w:t>Best Master Clock Algorithm</w:t>
      </w:r>
    </w:p>
    <w:p w14:paraId="2CDE7680" w14:textId="77777777" w:rsidR="00D40151" w:rsidRPr="00873B6C" w:rsidRDefault="00D40151" w:rsidP="00D40151">
      <w:pPr>
        <w:pStyle w:val="EW"/>
      </w:pPr>
      <w:r w:rsidRPr="00873B6C">
        <w:t>BSF</w:t>
      </w:r>
      <w:r w:rsidRPr="00873B6C">
        <w:tab/>
        <w:t>Binding Support Function</w:t>
      </w:r>
    </w:p>
    <w:p w14:paraId="6D74DDCB" w14:textId="77777777" w:rsidR="00D40151" w:rsidRPr="00873B6C" w:rsidRDefault="00D40151" w:rsidP="00D40151">
      <w:pPr>
        <w:pStyle w:val="EW"/>
      </w:pPr>
      <w:r w:rsidRPr="00873B6C">
        <w:t>CAG</w:t>
      </w:r>
      <w:r w:rsidRPr="00873B6C">
        <w:tab/>
        <w:t>Closed Access Group</w:t>
      </w:r>
    </w:p>
    <w:p w14:paraId="376DB805" w14:textId="77777777" w:rsidR="00D40151" w:rsidRPr="00873B6C" w:rsidRDefault="00D40151" w:rsidP="00D40151">
      <w:pPr>
        <w:pStyle w:val="EW"/>
      </w:pPr>
      <w:r w:rsidRPr="00873B6C">
        <w:t>CAPIF</w:t>
      </w:r>
      <w:r w:rsidRPr="00873B6C">
        <w:tab/>
        <w:t>Common API Framework for 3GPP northbound APIs</w:t>
      </w:r>
    </w:p>
    <w:p w14:paraId="7F1C29FC" w14:textId="76839FC1" w:rsidR="00757CAF" w:rsidRPr="00873B6C" w:rsidRDefault="00757CAF" w:rsidP="00D40151">
      <w:pPr>
        <w:pStyle w:val="EW"/>
      </w:pPr>
      <w:r w:rsidRPr="00873B6C">
        <w:t>CH</w:t>
      </w:r>
      <w:r w:rsidRPr="00873B6C">
        <w:tab/>
        <w:t>Credentials Holder</w:t>
      </w:r>
    </w:p>
    <w:p w14:paraId="07397AA7" w14:textId="3B712819" w:rsidR="00D40151" w:rsidRPr="00873B6C" w:rsidRDefault="00D40151" w:rsidP="00D40151">
      <w:pPr>
        <w:pStyle w:val="EW"/>
      </w:pPr>
      <w:r w:rsidRPr="00873B6C">
        <w:lastRenderedPageBreak/>
        <w:t>CHF</w:t>
      </w:r>
      <w:r w:rsidRPr="00873B6C">
        <w:tab/>
        <w:t>Charging Function</w:t>
      </w:r>
    </w:p>
    <w:p w14:paraId="4322FC2F" w14:textId="77777777" w:rsidR="00D40151" w:rsidRPr="00873B6C" w:rsidRDefault="00D40151" w:rsidP="00D40151">
      <w:pPr>
        <w:pStyle w:val="EW"/>
      </w:pPr>
      <w:r w:rsidRPr="00873B6C">
        <w:t>CN PDB</w:t>
      </w:r>
      <w:r w:rsidRPr="00873B6C">
        <w:tab/>
        <w:t>Core Network Packet Delay Budget</w:t>
      </w:r>
    </w:p>
    <w:p w14:paraId="303174A9" w14:textId="77777777" w:rsidR="00D40151" w:rsidRPr="00873B6C" w:rsidRDefault="00D40151" w:rsidP="00D40151">
      <w:pPr>
        <w:pStyle w:val="EW"/>
      </w:pPr>
      <w:r w:rsidRPr="00873B6C">
        <w:t>CP</w:t>
      </w:r>
      <w:r w:rsidRPr="00873B6C">
        <w:tab/>
        <w:t>Control Plane</w:t>
      </w:r>
    </w:p>
    <w:p w14:paraId="7D87C08F" w14:textId="26B2B1B0" w:rsidR="0029208C" w:rsidRPr="00873B6C" w:rsidRDefault="0029208C" w:rsidP="00D40151">
      <w:pPr>
        <w:pStyle w:val="EW"/>
      </w:pPr>
      <w:r w:rsidRPr="00873B6C">
        <w:t>CQRCI</w:t>
      </w:r>
      <w:r w:rsidRPr="00873B6C">
        <w:tab/>
        <w:t>Clock Quality Reporting Control Information</w:t>
      </w:r>
    </w:p>
    <w:p w14:paraId="74554C36" w14:textId="27839214" w:rsidR="00D40151" w:rsidRPr="00873B6C" w:rsidRDefault="00D40151" w:rsidP="00D40151">
      <w:pPr>
        <w:pStyle w:val="EW"/>
      </w:pPr>
      <w:r w:rsidRPr="00873B6C">
        <w:t>DAPS</w:t>
      </w:r>
      <w:r w:rsidRPr="00873B6C">
        <w:tab/>
        <w:t>Dual Active Protocol Stacks</w:t>
      </w:r>
    </w:p>
    <w:p w14:paraId="4CDFBE5A" w14:textId="3E965006" w:rsidR="00D63C5A" w:rsidRPr="00873B6C" w:rsidRDefault="00D63C5A" w:rsidP="00D40151">
      <w:pPr>
        <w:pStyle w:val="EW"/>
      </w:pPr>
      <w:r w:rsidRPr="00873B6C">
        <w:t>DCCF</w:t>
      </w:r>
      <w:r w:rsidRPr="00873B6C">
        <w:tab/>
        <w:t>Data Collection Coordination Function</w:t>
      </w:r>
    </w:p>
    <w:p w14:paraId="42AE07E1" w14:textId="29711277" w:rsidR="00C922CA" w:rsidRPr="00873B6C" w:rsidRDefault="00C922CA" w:rsidP="00D40151">
      <w:pPr>
        <w:pStyle w:val="EW"/>
      </w:pPr>
      <w:r w:rsidRPr="00873B6C">
        <w:t>DCS</w:t>
      </w:r>
      <w:r w:rsidRPr="00873B6C">
        <w:tab/>
        <w:t>Default Credentials Server</w:t>
      </w:r>
    </w:p>
    <w:p w14:paraId="16FE4F62" w14:textId="3CD50E46" w:rsidR="00E02643" w:rsidRPr="00873B6C" w:rsidRDefault="00E02643" w:rsidP="00D40151">
      <w:pPr>
        <w:pStyle w:val="EW"/>
      </w:pPr>
      <w:r w:rsidRPr="00873B6C">
        <w:t>DetNet</w:t>
      </w:r>
      <w:r w:rsidRPr="00873B6C">
        <w:tab/>
        <w:t>Deterministic Networking</w:t>
      </w:r>
    </w:p>
    <w:p w14:paraId="0759A523" w14:textId="6F8D3384" w:rsidR="00D40151" w:rsidRPr="00873B6C" w:rsidRDefault="00D40151" w:rsidP="00D40151">
      <w:pPr>
        <w:pStyle w:val="EW"/>
      </w:pPr>
      <w:r w:rsidRPr="00873B6C">
        <w:t>DL</w:t>
      </w:r>
      <w:r w:rsidRPr="00873B6C">
        <w:tab/>
        <w:t>Downlink</w:t>
      </w:r>
    </w:p>
    <w:p w14:paraId="1520EA63" w14:textId="77777777" w:rsidR="00D40151" w:rsidRPr="00873B6C" w:rsidRDefault="00D40151" w:rsidP="00D40151">
      <w:pPr>
        <w:pStyle w:val="EW"/>
      </w:pPr>
      <w:r w:rsidRPr="00873B6C">
        <w:t>DN</w:t>
      </w:r>
      <w:r w:rsidRPr="00873B6C">
        <w:tab/>
        <w:t>Data Network</w:t>
      </w:r>
    </w:p>
    <w:p w14:paraId="2ACC940F" w14:textId="77777777" w:rsidR="00D40151" w:rsidRPr="00873B6C" w:rsidRDefault="00D40151" w:rsidP="00D40151">
      <w:pPr>
        <w:pStyle w:val="EW"/>
      </w:pPr>
      <w:r w:rsidRPr="00873B6C">
        <w:rPr>
          <w:rFonts w:eastAsia="SimSun"/>
          <w:lang w:eastAsia="zh-CN"/>
        </w:rPr>
        <w:t>DNAI</w:t>
      </w:r>
      <w:r w:rsidRPr="00873B6C">
        <w:tab/>
      </w:r>
      <w:r w:rsidRPr="00873B6C">
        <w:rPr>
          <w:rFonts w:eastAsia="SimSun"/>
          <w:lang w:eastAsia="zh-CN"/>
        </w:rPr>
        <w:t>DN Access Identifier</w:t>
      </w:r>
    </w:p>
    <w:p w14:paraId="0558D0DB" w14:textId="77777777" w:rsidR="00D40151" w:rsidRPr="00873B6C" w:rsidRDefault="00D40151" w:rsidP="00D40151">
      <w:pPr>
        <w:pStyle w:val="EW"/>
      </w:pPr>
      <w:r w:rsidRPr="00873B6C">
        <w:t>DNN</w:t>
      </w:r>
      <w:r w:rsidRPr="00873B6C">
        <w:tab/>
        <w:t>Data Network Name</w:t>
      </w:r>
    </w:p>
    <w:p w14:paraId="3B510706" w14:textId="77777777" w:rsidR="00D40151" w:rsidRPr="00873B6C" w:rsidRDefault="00D40151" w:rsidP="00D40151">
      <w:pPr>
        <w:pStyle w:val="EW"/>
      </w:pPr>
      <w:r w:rsidRPr="00873B6C">
        <w:t>DRX</w:t>
      </w:r>
      <w:r w:rsidRPr="00873B6C">
        <w:tab/>
        <w:t>Discontinuous Reception</w:t>
      </w:r>
    </w:p>
    <w:p w14:paraId="2E874420" w14:textId="77777777" w:rsidR="00D40151" w:rsidRPr="00873B6C" w:rsidRDefault="00D40151" w:rsidP="00D40151">
      <w:pPr>
        <w:pStyle w:val="EW"/>
      </w:pPr>
      <w:r w:rsidRPr="00873B6C">
        <w:t>DS-TT</w:t>
      </w:r>
      <w:r w:rsidRPr="00873B6C">
        <w:tab/>
        <w:t>Device-side TSN translator</w:t>
      </w:r>
    </w:p>
    <w:p w14:paraId="0D632988" w14:textId="27B70B63" w:rsidR="00DA3BBC" w:rsidRPr="00873B6C" w:rsidRDefault="00DA3BBC" w:rsidP="00D40151">
      <w:pPr>
        <w:pStyle w:val="EW"/>
      </w:pPr>
      <w:r w:rsidRPr="00873B6C">
        <w:t>EAC</w:t>
      </w:r>
      <w:r w:rsidRPr="00873B6C">
        <w:tab/>
        <w:t>Early Admission Control</w:t>
      </w:r>
    </w:p>
    <w:p w14:paraId="164D5C64" w14:textId="0A878E1A" w:rsidR="00D40151" w:rsidRPr="00873B6C" w:rsidRDefault="00D40151" w:rsidP="00D40151">
      <w:pPr>
        <w:pStyle w:val="EW"/>
      </w:pPr>
      <w:r w:rsidRPr="00873B6C">
        <w:t>ePDG</w:t>
      </w:r>
      <w:r w:rsidRPr="00873B6C">
        <w:tab/>
        <w:t>evolved Packet Data Gateway</w:t>
      </w:r>
    </w:p>
    <w:p w14:paraId="30DE16DC" w14:textId="77777777" w:rsidR="00D40151" w:rsidRPr="00873B6C" w:rsidRDefault="00D40151" w:rsidP="00D40151">
      <w:pPr>
        <w:pStyle w:val="EW"/>
      </w:pPr>
      <w:r w:rsidRPr="00873B6C">
        <w:t>EBI</w:t>
      </w:r>
      <w:r w:rsidRPr="00873B6C">
        <w:tab/>
        <w:t>EPS Bearer Identity</w:t>
      </w:r>
    </w:p>
    <w:p w14:paraId="531FC80B" w14:textId="77777777" w:rsidR="00D40151" w:rsidRPr="00873B6C" w:rsidRDefault="00D40151" w:rsidP="00D40151">
      <w:pPr>
        <w:pStyle w:val="EW"/>
      </w:pPr>
      <w:r w:rsidRPr="00873B6C">
        <w:t>EUI</w:t>
      </w:r>
      <w:r w:rsidRPr="00873B6C">
        <w:tab/>
        <w:t>Extended Unique Identifier</w:t>
      </w:r>
    </w:p>
    <w:p w14:paraId="054A2AD6" w14:textId="77777777" w:rsidR="00D40151" w:rsidRPr="00873B6C" w:rsidRDefault="00D40151" w:rsidP="00D40151">
      <w:pPr>
        <w:pStyle w:val="EW"/>
      </w:pPr>
      <w:r w:rsidRPr="00873B6C">
        <w:t>FAR</w:t>
      </w:r>
      <w:r w:rsidRPr="00873B6C">
        <w:tab/>
        <w:t>Forwarding Action Rule</w:t>
      </w:r>
    </w:p>
    <w:p w14:paraId="31ACCDD1" w14:textId="12F774DB" w:rsidR="0004047F" w:rsidRPr="00873B6C" w:rsidRDefault="0004047F" w:rsidP="00D40151">
      <w:pPr>
        <w:pStyle w:val="EW"/>
      </w:pPr>
      <w:r w:rsidRPr="00873B6C">
        <w:t>FL</w:t>
      </w:r>
      <w:r w:rsidRPr="00873B6C">
        <w:tab/>
        <w:t>Federated Learning</w:t>
      </w:r>
    </w:p>
    <w:p w14:paraId="095A093F" w14:textId="4091BA81" w:rsidR="00D40151" w:rsidRPr="00873B6C" w:rsidRDefault="00D40151" w:rsidP="00D40151">
      <w:pPr>
        <w:pStyle w:val="EW"/>
      </w:pPr>
      <w:r w:rsidRPr="00873B6C">
        <w:t>FN-BRG</w:t>
      </w:r>
      <w:r w:rsidRPr="00873B6C">
        <w:tab/>
        <w:t>Fixed Network Broadband RG</w:t>
      </w:r>
    </w:p>
    <w:p w14:paraId="5E215D86" w14:textId="77777777" w:rsidR="00D40151" w:rsidRPr="00873B6C" w:rsidRDefault="00D40151" w:rsidP="00D40151">
      <w:pPr>
        <w:pStyle w:val="EW"/>
      </w:pPr>
      <w:r w:rsidRPr="00873B6C">
        <w:t>FN-CRG</w:t>
      </w:r>
      <w:r w:rsidRPr="00873B6C">
        <w:tab/>
        <w:t>Fixed Network Cable RG</w:t>
      </w:r>
    </w:p>
    <w:p w14:paraId="410DBAE4" w14:textId="77777777" w:rsidR="00D40151" w:rsidRPr="00873B6C" w:rsidRDefault="00D40151" w:rsidP="00D40151">
      <w:pPr>
        <w:pStyle w:val="EW"/>
      </w:pPr>
      <w:r w:rsidRPr="00873B6C">
        <w:t>FN-RG</w:t>
      </w:r>
      <w:r w:rsidRPr="00873B6C">
        <w:tab/>
        <w:t>Fixed Network RG</w:t>
      </w:r>
    </w:p>
    <w:p w14:paraId="46C7952B" w14:textId="77777777" w:rsidR="00D40151" w:rsidRPr="00873B6C" w:rsidRDefault="00D40151" w:rsidP="00D40151">
      <w:pPr>
        <w:pStyle w:val="EW"/>
      </w:pPr>
      <w:r w:rsidRPr="00873B6C">
        <w:t>FQDN</w:t>
      </w:r>
      <w:r w:rsidRPr="00873B6C">
        <w:tab/>
        <w:t>Fully Qualified Domain Name</w:t>
      </w:r>
    </w:p>
    <w:p w14:paraId="4BE13947" w14:textId="1A5F4358" w:rsidR="00627C2F" w:rsidRPr="00873B6C" w:rsidRDefault="00627C2F" w:rsidP="00D40151">
      <w:pPr>
        <w:pStyle w:val="EW"/>
        <w:rPr>
          <w:lang w:eastAsia="zh-CN"/>
        </w:rPr>
      </w:pPr>
      <w:r w:rsidRPr="00873B6C">
        <w:rPr>
          <w:lang w:eastAsia="zh-CN"/>
        </w:rPr>
        <w:t>GBA</w:t>
      </w:r>
      <w:r w:rsidRPr="00873B6C">
        <w:rPr>
          <w:lang w:eastAsia="zh-CN"/>
        </w:rPr>
        <w:tab/>
        <w:t>Generic Bootstrapping Architecture</w:t>
      </w:r>
    </w:p>
    <w:p w14:paraId="6D1446F2" w14:textId="1D4D9775" w:rsidR="00DA3BBC" w:rsidRPr="00873B6C" w:rsidRDefault="00DA3BBC" w:rsidP="00D40151">
      <w:pPr>
        <w:pStyle w:val="EW"/>
        <w:rPr>
          <w:lang w:eastAsia="zh-CN"/>
        </w:rPr>
      </w:pPr>
      <w:r w:rsidRPr="00873B6C">
        <w:rPr>
          <w:lang w:eastAsia="zh-CN"/>
        </w:rPr>
        <w:t>GEO</w:t>
      </w:r>
      <w:r w:rsidRPr="00873B6C">
        <w:rPr>
          <w:lang w:eastAsia="zh-CN"/>
        </w:rPr>
        <w:tab/>
        <w:t>Geostationary Orbit</w:t>
      </w:r>
    </w:p>
    <w:p w14:paraId="71B27260" w14:textId="19550101" w:rsidR="00D40151" w:rsidRPr="00873B6C" w:rsidRDefault="00D40151" w:rsidP="00D40151">
      <w:pPr>
        <w:pStyle w:val="EW"/>
        <w:rPr>
          <w:lang w:eastAsia="zh-CN"/>
        </w:rPr>
      </w:pPr>
      <w:r w:rsidRPr="00873B6C">
        <w:rPr>
          <w:lang w:eastAsia="zh-CN"/>
        </w:rPr>
        <w:t>GFBR</w:t>
      </w:r>
      <w:r w:rsidRPr="00873B6C">
        <w:rPr>
          <w:lang w:eastAsia="zh-CN"/>
        </w:rPr>
        <w:tab/>
        <w:t>Guaranteed Flow Bit Rate</w:t>
      </w:r>
    </w:p>
    <w:p w14:paraId="735732DA" w14:textId="7346BF84" w:rsidR="00B00E92" w:rsidRPr="00873B6C" w:rsidRDefault="00B00E92" w:rsidP="00D40151">
      <w:pPr>
        <w:pStyle w:val="EW"/>
        <w:rPr>
          <w:rFonts w:eastAsia="SimSun"/>
        </w:rPr>
      </w:pPr>
      <w:r w:rsidRPr="00873B6C">
        <w:rPr>
          <w:rFonts w:eastAsia="SimSun"/>
        </w:rPr>
        <w:t>GIN</w:t>
      </w:r>
      <w:r w:rsidRPr="00873B6C">
        <w:rPr>
          <w:rFonts w:eastAsia="SimSun"/>
        </w:rPr>
        <w:tab/>
        <w:t>Group ID for Network Selection</w:t>
      </w:r>
    </w:p>
    <w:p w14:paraId="65DAD252" w14:textId="705E790F" w:rsidR="00D40151" w:rsidRPr="00873B6C" w:rsidRDefault="00D40151" w:rsidP="00D40151">
      <w:pPr>
        <w:pStyle w:val="EW"/>
        <w:rPr>
          <w:lang w:eastAsia="zh-CN"/>
        </w:rPr>
      </w:pPr>
      <w:r w:rsidRPr="00873B6C">
        <w:rPr>
          <w:rFonts w:eastAsia="SimSun"/>
        </w:rPr>
        <w:t>GMLC</w:t>
      </w:r>
      <w:r w:rsidRPr="00873B6C">
        <w:rPr>
          <w:rFonts w:eastAsia="SimSun"/>
        </w:rPr>
        <w:tab/>
        <w:t>Gateway Mobile Location Centre</w:t>
      </w:r>
    </w:p>
    <w:p w14:paraId="16C380F6" w14:textId="77777777" w:rsidR="00D40151" w:rsidRPr="00873B6C" w:rsidRDefault="00D40151" w:rsidP="00D40151">
      <w:pPr>
        <w:pStyle w:val="EW"/>
        <w:rPr>
          <w:lang w:eastAsia="zh-CN"/>
        </w:rPr>
      </w:pPr>
      <w:r w:rsidRPr="00873B6C">
        <w:rPr>
          <w:lang w:eastAsia="zh-CN"/>
        </w:rPr>
        <w:t>GPSI</w:t>
      </w:r>
      <w:r w:rsidRPr="00873B6C">
        <w:rPr>
          <w:lang w:eastAsia="zh-CN"/>
        </w:rPr>
        <w:tab/>
        <w:t>Generic Public Subscription Identifier</w:t>
      </w:r>
    </w:p>
    <w:p w14:paraId="653729CB" w14:textId="77777777" w:rsidR="00D40151" w:rsidRPr="00873B6C" w:rsidRDefault="00D40151" w:rsidP="00D40151">
      <w:pPr>
        <w:pStyle w:val="EW"/>
        <w:rPr>
          <w:lang w:eastAsia="zh-CN"/>
        </w:rPr>
      </w:pPr>
      <w:r w:rsidRPr="00873B6C">
        <w:rPr>
          <w:lang w:eastAsia="zh-CN"/>
        </w:rPr>
        <w:t>GUAMI</w:t>
      </w:r>
      <w:r w:rsidRPr="00873B6C">
        <w:rPr>
          <w:lang w:eastAsia="zh-CN"/>
        </w:rPr>
        <w:tab/>
        <w:t>Globally Unique AMF Identifier</w:t>
      </w:r>
    </w:p>
    <w:p w14:paraId="0C110BB7" w14:textId="04FB16DE" w:rsidR="001F3682" w:rsidRPr="00873B6C" w:rsidRDefault="001F3682" w:rsidP="00D40151">
      <w:pPr>
        <w:pStyle w:val="EW"/>
        <w:rPr>
          <w:lang w:eastAsia="zh-CN"/>
        </w:rPr>
      </w:pPr>
      <w:r w:rsidRPr="00873B6C">
        <w:rPr>
          <w:lang w:eastAsia="zh-CN"/>
        </w:rPr>
        <w:t>HMTC</w:t>
      </w:r>
      <w:r w:rsidRPr="00873B6C">
        <w:rPr>
          <w:lang w:eastAsia="zh-CN"/>
        </w:rPr>
        <w:tab/>
        <w:t>High-Performance Machine-Type Communications</w:t>
      </w:r>
    </w:p>
    <w:p w14:paraId="104B3514" w14:textId="0D3A2E5B" w:rsidR="00D40151" w:rsidRPr="00873B6C" w:rsidRDefault="00D40151" w:rsidP="00D40151">
      <w:pPr>
        <w:pStyle w:val="EW"/>
        <w:rPr>
          <w:lang w:eastAsia="zh-CN"/>
        </w:rPr>
      </w:pPr>
      <w:r w:rsidRPr="00873B6C">
        <w:rPr>
          <w:lang w:eastAsia="zh-CN"/>
        </w:rPr>
        <w:t>HR</w:t>
      </w:r>
      <w:r w:rsidRPr="00873B6C">
        <w:rPr>
          <w:lang w:eastAsia="zh-CN"/>
        </w:rPr>
        <w:tab/>
        <w:t>Home Routed (roaming)</w:t>
      </w:r>
    </w:p>
    <w:p w14:paraId="303FFC0F" w14:textId="77777777" w:rsidR="00D40151" w:rsidRPr="00873B6C" w:rsidRDefault="00D40151" w:rsidP="00D40151">
      <w:pPr>
        <w:pStyle w:val="EW"/>
      </w:pPr>
      <w:r w:rsidRPr="00873B6C">
        <w:t>IAB</w:t>
      </w:r>
      <w:r w:rsidRPr="00873B6C">
        <w:tab/>
        <w:t>Integrated access and backhaul</w:t>
      </w:r>
    </w:p>
    <w:p w14:paraId="21B5A358" w14:textId="77777777" w:rsidR="00D40151" w:rsidRPr="00873B6C" w:rsidRDefault="00D40151" w:rsidP="00D40151">
      <w:pPr>
        <w:pStyle w:val="EW"/>
        <w:rPr>
          <w:lang w:val="fr-FR"/>
        </w:rPr>
      </w:pPr>
      <w:r w:rsidRPr="00873B6C">
        <w:rPr>
          <w:lang w:val="fr-FR"/>
        </w:rPr>
        <w:t>IMEI/TAC</w:t>
      </w:r>
      <w:r w:rsidRPr="00873B6C">
        <w:rPr>
          <w:lang w:val="fr-FR"/>
        </w:rPr>
        <w:tab/>
        <w:t>IMEI Type Allocation Code</w:t>
      </w:r>
    </w:p>
    <w:p w14:paraId="50481CEB" w14:textId="77777777" w:rsidR="00D40151" w:rsidRPr="00873B6C" w:rsidRDefault="00D40151" w:rsidP="00D40151">
      <w:pPr>
        <w:pStyle w:val="EW"/>
      </w:pPr>
      <w:r w:rsidRPr="00873B6C">
        <w:t>IPUPS</w:t>
      </w:r>
      <w:r w:rsidRPr="00873B6C">
        <w:tab/>
        <w:t>Inter PLMN UP Security</w:t>
      </w:r>
    </w:p>
    <w:p w14:paraId="798A34D1" w14:textId="77777777" w:rsidR="00D40151" w:rsidRPr="00873B6C" w:rsidRDefault="00D40151" w:rsidP="00D40151">
      <w:pPr>
        <w:pStyle w:val="EW"/>
      </w:pPr>
      <w:r w:rsidRPr="00873B6C">
        <w:t>I-SMF</w:t>
      </w:r>
      <w:r w:rsidRPr="00873B6C">
        <w:tab/>
        <w:t>Intermediate SMF</w:t>
      </w:r>
    </w:p>
    <w:p w14:paraId="461920C6" w14:textId="77777777" w:rsidR="00D40151" w:rsidRPr="00873B6C" w:rsidRDefault="00D40151" w:rsidP="00D40151">
      <w:pPr>
        <w:pStyle w:val="EW"/>
      </w:pPr>
      <w:r w:rsidRPr="00873B6C">
        <w:t>I-UPF</w:t>
      </w:r>
      <w:r w:rsidRPr="00873B6C">
        <w:tab/>
        <w:t>Intermediate UPF</w:t>
      </w:r>
    </w:p>
    <w:p w14:paraId="4D0B26AB" w14:textId="77777777" w:rsidR="00D40151" w:rsidRPr="00873B6C" w:rsidRDefault="00D40151" w:rsidP="00D40151">
      <w:pPr>
        <w:pStyle w:val="EW"/>
      </w:pPr>
      <w:r w:rsidRPr="00873B6C">
        <w:t>LADN</w:t>
      </w:r>
      <w:r w:rsidRPr="00873B6C">
        <w:tab/>
        <w:t>Local Area Data Network</w:t>
      </w:r>
    </w:p>
    <w:p w14:paraId="3FD746B0" w14:textId="77777777" w:rsidR="00D40151" w:rsidRPr="00873B6C" w:rsidRDefault="00D40151" w:rsidP="00D40151">
      <w:pPr>
        <w:pStyle w:val="EW"/>
      </w:pPr>
      <w:r w:rsidRPr="00873B6C">
        <w:t>LBO</w:t>
      </w:r>
      <w:r w:rsidRPr="00873B6C">
        <w:tab/>
        <w:t>Local Break Out (roaming)</w:t>
      </w:r>
    </w:p>
    <w:p w14:paraId="524B9F9D" w14:textId="3A373C4D" w:rsidR="00DA3BBC" w:rsidRPr="00873B6C" w:rsidRDefault="00DA3BBC" w:rsidP="00D40151">
      <w:pPr>
        <w:pStyle w:val="EW"/>
        <w:rPr>
          <w:rFonts w:eastAsia="SimSun"/>
        </w:rPr>
      </w:pPr>
      <w:r w:rsidRPr="00873B6C">
        <w:rPr>
          <w:rFonts w:eastAsia="SimSun"/>
        </w:rPr>
        <w:t>LEO</w:t>
      </w:r>
      <w:r w:rsidRPr="00873B6C">
        <w:rPr>
          <w:rFonts w:eastAsia="SimSun"/>
        </w:rPr>
        <w:tab/>
        <w:t>Low Earth Orbit</w:t>
      </w:r>
    </w:p>
    <w:p w14:paraId="40BF9C3D" w14:textId="55199A91" w:rsidR="00D40151" w:rsidRPr="00873B6C" w:rsidRDefault="00D40151" w:rsidP="00D40151">
      <w:pPr>
        <w:pStyle w:val="EW"/>
        <w:rPr>
          <w:rFonts w:eastAsia="SimSun"/>
        </w:rPr>
      </w:pPr>
      <w:r w:rsidRPr="00873B6C">
        <w:rPr>
          <w:rFonts w:eastAsia="SimSun"/>
        </w:rPr>
        <w:t>LMF</w:t>
      </w:r>
      <w:r w:rsidRPr="00873B6C">
        <w:rPr>
          <w:rFonts w:eastAsia="SimSun"/>
        </w:rPr>
        <w:tab/>
        <w:t>Location Management Function</w:t>
      </w:r>
    </w:p>
    <w:p w14:paraId="11D9A2E2" w14:textId="77777777" w:rsidR="00D40151" w:rsidRPr="00873B6C" w:rsidRDefault="00D40151" w:rsidP="00D40151">
      <w:pPr>
        <w:pStyle w:val="EW"/>
        <w:rPr>
          <w:rFonts w:eastAsia="SimSun"/>
        </w:rPr>
      </w:pPr>
      <w:r w:rsidRPr="00873B6C">
        <w:rPr>
          <w:rFonts w:eastAsia="SimSun"/>
        </w:rPr>
        <w:t>LoA</w:t>
      </w:r>
      <w:r w:rsidRPr="00873B6C">
        <w:rPr>
          <w:rFonts w:eastAsia="SimSun"/>
        </w:rPr>
        <w:tab/>
        <w:t>Level of Automation</w:t>
      </w:r>
    </w:p>
    <w:p w14:paraId="654A7FF5" w14:textId="77777777" w:rsidR="00D40151" w:rsidRPr="00873B6C" w:rsidRDefault="00D40151" w:rsidP="00D40151">
      <w:pPr>
        <w:pStyle w:val="EW"/>
        <w:rPr>
          <w:rFonts w:eastAsia="SimSun"/>
        </w:rPr>
      </w:pPr>
      <w:r w:rsidRPr="00873B6C">
        <w:rPr>
          <w:rFonts w:eastAsia="SimSun"/>
        </w:rPr>
        <w:t>LPP</w:t>
      </w:r>
      <w:r w:rsidRPr="00873B6C">
        <w:rPr>
          <w:rFonts w:eastAsia="SimSun"/>
        </w:rPr>
        <w:tab/>
        <w:t>LTE Positioning Protocol</w:t>
      </w:r>
    </w:p>
    <w:p w14:paraId="761BBB42" w14:textId="77777777" w:rsidR="00D40151" w:rsidRPr="00873B6C" w:rsidRDefault="00D40151" w:rsidP="00D40151">
      <w:pPr>
        <w:pStyle w:val="EW"/>
      </w:pPr>
      <w:r w:rsidRPr="00873B6C">
        <w:rPr>
          <w:rFonts w:eastAsia="SimSun"/>
        </w:rPr>
        <w:t>LRF</w:t>
      </w:r>
      <w:r w:rsidRPr="00873B6C">
        <w:rPr>
          <w:rFonts w:eastAsia="SimSun"/>
        </w:rPr>
        <w:tab/>
        <w:t>Location Retrieval Function</w:t>
      </w:r>
    </w:p>
    <w:p w14:paraId="61C1750B" w14:textId="0DC59779" w:rsidR="00D409DD" w:rsidRPr="00873B6C" w:rsidRDefault="00D409DD" w:rsidP="00D40151">
      <w:pPr>
        <w:pStyle w:val="EW"/>
        <w:rPr>
          <w:lang w:eastAsia="zh-CN"/>
        </w:rPr>
      </w:pPr>
      <w:r w:rsidRPr="00873B6C">
        <w:rPr>
          <w:lang w:eastAsia="zh-CN"/>
        </w:rPr>
        <w:t>L4S</w:t>
      </w:r>
      <w:r w:rsidRPr="00873B6C">
        <w:rPr>
          <w:lang w:eastAsia="zh-CN"/>
        </w:rPr>
        <w:tab/>
        <w:t>Low Latency, Low Loss and Scalable Throughput</w:t>
      </w:r>
    </w:p>
    <w:p w14:paraId="5C5A6A80" w14:textId="61C1C578" w:rsidR="00607A94" w:rsidRPr="00873B6C" w:rsidRDefault="00607A94" w:rsidP="00D40151">
      <w:pPr>
        <w:pStyle w:val="EW"/>
        <w:rPr>
          <w:lang w:eastAsia="zh-CN"/>
        </w:rPr>
      </w:pPr>
      <w:r w:rsidRPr="00873B6C">
        <w:rPr>
          <w:lang w:eastAsia="zh-CN"/>
        </w:rPr>
        <w:t>MBS</w:t>
      </w:r>
      <w:r w:rsidRPr="00873B6C">
        <w:rPr>
          <w:lang w:eastAsia="zh-CN"/>
        </w:rPr>
        <w:tab/>
        <w:t>Multicast/Broadcast Service</w:t>
      </w:r>
    </w:p>
    <w:p w14:paraId="150E6506" w14:textId="77777777" w:rsidR="00607A94" w:rsidRPr="00873B6C" w:rsidRDefault="00607A94" w:rsidP="00D40151">
      <w:pPr>
        <w:pStyle w:val="EW"/>
        <w:rPr>
          <w:lang w:eastAsia="zh-CN"/>
        </w:rPr>
      </w:pPr>
      <w:r w:rsidRPr="00873B6C">
        <w:rPr>
          <w:lang w:eastAsia="zh-CN"/>
        </w:rPr>
        <w:t>MBSF</w:t>
      </w:r>
      <w:r w:rsidRPr="00873B6C">
        <w:rPr>
          <w:lang w:eastAsia="zh-CN"/>
        </w:rPr>
        <w:tab/>
        <w:t>Multicast/Broadcast Service Function</w:t>
      </w:r>
    </w:p>
    <w:p w14:paraId="7A66DA2B" w14:textId="38BAFA8E" w:rsidR="00A92B4B" w:rsidRPr="00873B6C" w:rsidRDefault="00A92B4B" w:rsidP="00D40151">
      <w:pPr>
        <w:pStyle w:val="EW"/>
        <w:rPr>
          <w:lang w:eastAsia="zh-CN"/>
        </w:rPr>
      </w:pPr>
      <w:r w:rsidRPr="00873B6C">
        <w:rPr>
          <w:lang w:eastAsia="zh-CN"/>
        </w:rPr>
        <w:t>MBSR</w:t>
      </w:r>
      <w:r w:rsidRPr="00873B6C">
        <w:rPr>
          <w:lang w:eastAsia="zh-CN"/>
        </w:rPr>
        <w:tab/>
        <w:t>Mobile Base Station Relay</w:t>
      </w:r>
    </w:p>
    <w:p w14:paraId="79292F80" w14:textId="14FE49EE" w:rsidR="00607A94" w:rsidRPr="00873B6C" w:rsidRDefault="00607A94" w:rsidP="00D40151">
      <w:pPr>
        <w:pStyle w:val="EW"/>
        <w:rPr>
          <w:lang w:eastAsia="zh-CN"/>
        </w:rPr>
      </w:pPr>
      <w:r w:rsidRPr="00873B6C">
        <w:rPr>
          <w:lang w:eastAsia="zh-CN"/>
        </w:rPr>
        <w:t>MBSTF</w:t>
      </w:r>
      <w:r w:rsidRPr="00873B6C">
        <w:rPr>
          <w:lang w:eastAsia="zh-CN"/>
        </w:rPr>
        <w:tab/>
        <w:t>Multicast/Broadcast Service Transport Function</w:t>
      </w:r>
    </w:p>
    <w:p w14:paraId="54FD9C00" w14:textId="77777777" w:rsidR="00607A94" w:rsidRPr="00873B6C" w:rsidRDefault="00607A94" w:rsidP="00D40151">
      <w:pPr>
        <w:pStyle w:val="EW"/>
        <w:rPr>
          <w:lang w:eastAsia="zh-CN"/>
        </w:rPr>
      </w:pPr>
      <w:r w:rsidRPr="00873B6C">
        <w:rPr>
          <w:lang w:eastAsia="zh-CN"/>
        </w:rPr>
        <w:t>MB-SMF</w:t>
      </w:r>
      <w:r w:rsidRPr="00873B6C">
        <w:rPr>
          <w:lang w:eastAsia="zh-CN"/>
        </w:rPr>
        <w:tab/>
        <w:t>Multicast/Broadcast Session Management Function</w:t>
      </w:r>
    </w:p>
    <w:p w14:paraId="312008E0" w14:textId="77777777" w:rsidR="00607A94" w:rsidRPr="00873B6C" w:rsidRDefault="00607A94" w:rsidP="00D40151">
      <w:pPr>
        <w:pStyle w:val="EW"/>
        <w:rPr>
          <w:lang w:eastAsia="zh-CN"/>
        </w:rPr>
      </w:pPr>
      <w:r w:rsidRPr="00873B6C">
        <w:rPr>
          <w:lang w:eastAsia="zh-CN"/>
        </w:rPr>
        <w:t>MB-UPF</w:t>
      </w:r>
      <w:r w:rsidRPr="00873B6C">
        <w:rPr>
          <w:lang w:eastAsia="zh-CN"/>
        </w:rPr>
        <w:tab/>
        <w:t>Multicast/Broadcast User Plane Function</w:t>
      </w:r>
    </w:p>
    <w:p w14:paraId="20B072CD" w14:textId="2C30E277" w:rsidR="00DA3BBC" w:rsidRPr="00873B6C" w:rsidRDefault="00DA3BBC" w:rsidP="00D40151">
      <w:pPr>
        <w:pStyle w:val="EW"/>
        <w:rPr>
          <w:lang w:eastAsia="zh-CN"/>
        </w:rPr>
      </w:pPr>
      <w:r w:rsidRPr="00873B6C">
        <w:rPr>
          <w:lang w:eastAsia="zh-CN"/>
        </w:rPr>
        <w:t>MEO</w:t>
      </w:r>
      <w:r w:rsidRPr="00873B6C">
        <w:rPr>
          <w:lang w:eastAsia="zh-CN"/>
        </w:rPr>
        <w:tab/>
        <w:t>Medium Earth Orbit</w:t>
      </w:r>
    </w:p>
    <w:p w14:paraId="0BDDB6B6" w14:textId="6418A64B" w:rsidR="00D63C5A" w:rsidRPr="00873B6C" w:rsidRDefault="00D63C5A" w:rsidP="00D40151">
      <w:pPr>
        <w:pStyle w:val="EW"/>
        <w:rPr>
          <w:lang w:eastAsia="zh-CN"/>
        </w:rPr>
      </w:pPr>
      <w:r w:rsidRPr="00873B6C">
        <w:rPr>
          <w:lang w:eastAsia="zh-CN"/>
        </w:rPr>
        <w:t>MFAF</w:t>
      </w:r>
      <w:r w:rsidRPr="00873B6C">
        <w:rPr>
          <w:lang w:eastAsia="zh-CN"/>
        </w:rPr>
        <w:tab/>
        <w:t>Messaging Framework Adaptor Function</w:t>
      </w:r>
    </w:p>
    <w:p w14:paraId="20EBCA57" w14:textId="697014E0" w:rsidR="00D40151" w:rsidRPr="00873B6C" w:rsidRDefault="00D40151" w:rsidP="00D40151">
      <w:pPr>
        <w:pStyle w:val="EW"/>
        <w:rPr>
          <w:lang w:eastAsia="zh-CN"/>
        </w:rPr>
      </w:pPr>
      <w:r w:rsidRPr="00873B6C">
        <w:rPr>
          <w:lang w:eastAsia="zh-CN"/>
        </w:rPr>
        <w:t>MCX</w:t>
      </w:r>
      <w:r w:rsidRPr="00873B6C">
        <w:rPr>
          <w:lang w:eastAsia="zh-CN"/>
        </w:rPr>
        <w:tab/>
        <w:t>Mission Critical Service</w:t>
      </w:r>
    </w:p>
    <w:p w14:paraId="10BE2CB9" w14:textId="77777777" w:rsidR="00D40151" w:rsidRPr="00873B6C" w:rsidRDefault="00D40151" w:rsidP="00D40151">
      <w:pPr>
        <w:pStyle w:val="EW"/>
        <w:rPr>
          <w:lang w:eastAsia="zh-CN"/>
        </w:rPr>
      </w:pPr>
      <w:r w:rsidRPr="00873B6C">
        <w:rPr>
          <w:lang w:eastAsia="zh-CN"/>
        </w:rPr>
        <w:t>MDBV</w:t>
      </w:r>
      <w:r w:rsidRPr="00873B6C">
        <w:rPr>
          <w:lang w:eastAsia="zh-CN"/>
        </w:rPr>
        <w:tab/>
        <w:t>Maximum Data Burst Volume</w:t>
      </w:r>
    </w:p>
    <w:p w14:paraId="6AC662C3" w14:textId="77777777" w:rsidR="00D40151" w:rsidRPr="00873B6C" w:rsidRDefault="00D40151" w:rsidP="00D40151">
      <w:pPr>
        <w:pStyle w:val="EW"/>
        <w:rPr>
          <w:lang w:eastAsia="zh-CN"/>
        </w:rPr>
      </w:pPr>
      <w:r w:rsidRPr="00873B6C">
        <w:rPr>
          <w:lang w:eastAsia="zh-CN"/>
        </w:rPr>
        <w:t>MFBR</w:t>
      </w:r>
      <w:r w:rsidRPr="00873B6C">
        <w:rPr>
          <w:lang w:eastAsia="zh-CN"/>
        </w:rPr>
        <w:tab/>
        <w:t>Maximum Flow Bit Rate</w:t>
      </w:r>
    </w:p>
    <w:p w14:paraId="57C7BD76" w14:textId="77777777" w:rsidR="00D40151" w:rsidRPr="00873B6C" w:rsidRDefault="00D40151" w:rsidP="00D40151">
      <w:pPr>
        <w:pStyle w:val="EW"/>
      </w:pPr>
      <w:r w:rsidRPr="00873B6C">
        <w:t>MICO</w:t>
      </w:r>
      <w:r w:rsidRPr="00873B6C">
        <w:tab/>
        <w:t>Mobile Initiated Connection Only</w:t>
      </w:r>
    </w:p>
    <w:p w14:paraId="7006A8C9" w14:textId="4A8613D1" w:rsidR="005309E6" w:rsidRPr="00873B6C" w:rsidRDefault="005309E6" w:rsidP="00D40151">
      <w:pPr>
        <w:pStyle w:val="EW"/>
      </w:pPr>
      <w:r w:rsidRPr="00873B6C">
        <w:t>MINT</w:t>
      </w:r>
      <w:r w:rsidRPr="00873B6C">
        <w:tab/>
        <w:t>Minimization of Service Interruption</w:t>
      </w:r>
    </w:p>
    <w:p w14:paraId="3D9817D0" w14:textId="0CBAA989" w:rsidR="006D2D57" w:rsidRPr="00873B6C" w:rsidRDefault="006D2D57" w:rsidP="00D40151">
      <w:pPr>
        <w:pStyle w:val="EW"/>
      </w:pPr>
      <w:r w:rsidRPr="00873B6C">
        <w:t>ML</w:t>
      </w:r>
      <w:r w:rsidRPr="00873B6C">
        <w:tab/>
        <w:t>Machine Learning</w:t>
      </w:r>
    </w:p>
    <w:p w14:paraId="335AD799" w14:textId="50AA40E9" w:rsidR="007C2ADF" w:rsidRPr="00873B6C" w:rsidRDefault="007C2ADF" w:rsidP="00D40151">
      <w:pPr>
        <w:pStyle w:val="EW"/>
      </w:pPr>
      <w:r w:rsidRPr="00873B6C">
        <w:t>MPQUIC</w:t>
      </w:r>
      <w:r w:rsidRPr="00873B6C">
        <w:tab/>
        <w:t>Multi-Path QUIC</w:t>
      </w:r>
    </w:p>
    <w:p w14:paraId="24BC43FE" w14:textId="60DDADA1" w:rsidR="00D40151" w:rsidRPr="00873B6C" w:rsidRDefault="00D40151" w:rsidP="00D40151">
      <w:pPr>
        <w:pStyle w:val="EW"/>
      </w:pPr>
      <w:r w:rsidRPr="00873B6C">
        <w:t>MPS</w:t>
      </w:r>
      <w:r w:rsidRPr="00873B6C">
        <w:tab/>
        <w:t>Multimedia Priority Service</w:t>
      </w:r>
    </w:p>
    <w:p w14:paraId="65891EDE" w14:textId="77777777" w:rsidR="00D40151" w:rsidRPr="00873B6C" w:rsidRDefault="00D40151" w:rsidP="00D40151">
      <w:pPr>
        <w:pStyle w:val="EW"/>
      </w:pPr>
      <w:r w:rsidRPr="00873B6C">
        <w:lastRenderedPageBreak/>
        <w:t>MPTCP</w:t>
      </w:r>
      <w:r w:rsidRPr="00873B6C">
        <w:tab/>
        <w:t>Multi-Path TCP Protocol</w:t>
      </w:r>
    </w:p>
    <w:p w14:paraId="3EDF7AE7" w14:textId="62A224C6" w:rsidR="006D2D57" w:rsidRPr="00873B6C" w:rsidRDefault="006D2D57" w:rsidP="00D40151">
      <w:pPr>
        <w:pStyle w:val="EW"/>
      </w:pPr>
      <w:r w:rsidRPr="00873B6C">
        <w:t>MTLF</w:t>
      </w:r>
      <w:r w:rsidRPr="00873B6C">
        <w:tab/>
        <w:t>Model Training Logical Function</w:t>
      </w:r>
    </w:p>
    <w:p w14:paraId="5872224F" w14:textId="6C0CB743" w:rsidR="00D40151" w:rsidRPr="00873B6C" w:rsidRDefault="00D40151" w:rsidP="00D40151">
      <w:pPr>
        <w:pStyle w:val="EW"/>
      </w:pPr>
      <w:r w:rsidRPr="00873B6C">
        <w:t>N3IWF</w:t>
      </w:r>
      <w:r w:rsidRPr="00873B6C">
        <w:tab/>
        <w:t>Non-3GPP InterWorking Function</w:t>
      </w:r>
    </w:p>
    <w:p w14:paraId="6D26E208" w14:textId="15D70C71" w:rsidR="004969CB" w:rsidRPr="00873B6C" w:rsidRDefault="004969CB" w:rsidP="00D40151">
      <w:pPr>
        <w:pStyle w:val="EW"/>
      </w:pPr>
      <w:r w:rsidRPr="00873B6C">
        <w:t>N3QAI</w:t>
      </w:r>
      <w:r w:rsidRPr="00873B6C">
        <w:tab/>
      </w:r>
      <w:r w:rsidRPr="00873B6C">
        <w:tab/>
        <w:t>Non-3GPP QoS Assistance Information</w:t>
      </w:r>
    </w:p>
    <w:p w14:paraId="2D9B0D9D" w14:textId="774A0175" w:rsidR="00D40151" w:rsidRPr="00873B6C" w:rsidRDefault="00D40151" w:rsidP="00D40151">
      <w:pPr>
        <w:pStyle w:val="EW"/>
      </w:pPr>
      <w:r w:rsidRPr="00873B6C">
        <w:t>N5CW</w:t>
      </w:r>
      <w:r w:rsidRPr="00873B6C">
        <w:tab/>
        <w:t>Non-5G-Capable over WLAN</w:t>
      </w:r>
    </w:p>
    <w:p w14:paraId="3065FC81" w14:textId="77777777" w:rsidR="00D40151" w:rsidRPr="00873B6C" w:rsidRDefault="00D40151" w:rsidP="00D40151">
      <w:pPr>
        <w:pStyle w:val="EW"/>
      </w:pPr>
      <w:r w:rsidRPr="00873B6C">
        <w:t>NAI</w:t>
      </w:r>
      <w:r w:rsidRPr="00873B6C">
        <w:tab/>
        <w:t>Network Access Identifier</w:t>
      </w:r>
    </w:p>
    <w:p w14:paraId="1078D5E4" w14:textId="77777777" w:rsidR="00494FD0" w:rsidRPr="00873B6C" w:rsidRDefault="00494FD0" w:rsidP="00D40151">
      <w:pPr>
        <w:pStyle w:val="EW"/>
      </w:pPr>
      <w:r w:rsidRPr="00873B6C">
        <w:t>NCR</w:t>
      </w:r>
      <w:r w:rsidRPr="00873B6C">
        <w:tab/>
        <w:t>Network Controlled Repeater</w:t>
      </w:r>
    </w:p>
    <w:p w14:paraId="7F44A43A" w14:textId="77777777" w:rsidR="00494FD0" w:rsidRPr="00873B6C" w:rsidRDefault="00494FD0" w:rsidP="00D40151">
      <w:pPr>
        <w:pStyle w:val="EW"/>
      </w:pPr>
      <w:r w:rsidRPr="00873B6C">
        <w:t>NCR-MT</w:t>
      </w:r>
      <w:r w:rsidRPr="00873B6C">
        <w:tab/>
        <w:t>NCR Mobile Termination</w:t>
      </w:r>
    </w:p>
    <w:p w14:paraId="5394AABE" w14:textId="06B23FC2" w:rsidR="00D40151" w:rsidRPr="00873B6C" w:rsidRDefault="00D40151" w:rsidP="00D40151">
      <w:pPr>
        <w:pStyle w:val="EW"/>
      </w:pPr>
      <w:r w:rsidRPr="00873B6C">
        <w:t>NEF</w:t>
      </w:r>
      <w:r w:rsidRPr="00873B6C">
        <w:tab/>
        <w:t>Network Exposure Function</w:t>
      </w:r>
    </w:p>
    <w:p w14:paraId="0967189D" w14:textId="77777777" w:rsidR="00D40151" w:rsidRPr="00873B6C" w:rsidRDefault="00D40151" w:rsidP="00D40151">
      <w:pPr>
        <w:pStyle w:val="EW"/>
      </w:pPr>
      <w:r w:rsidRPr="00873B6C">
        <w:t>NF</w:t>
      </w:r>
      <w:r w:rsidRPr="00873B6C">
        <w:tab/>
        <w:t>Network Function</w:t>
      </w:r>
    </w:p>
    <w:p w14:paraId="5327ED7D" w14:textId="77777777" w:rsidR="00D40151" w:rsidRPr="00873B6C" w:rsidRDefault="00D40151" w:rsidP="00D40151">
      <w:pPr>
        <w:pStyle w:val="EW"/>
      </w:pPr>
      <w:r w:rsidRPr="00873B6C">
        <w:t>NGAP</w:t>
      </w:r>
      <w:r w:rsidRPr="00873B6C">
        <w:tab/>
        <w:t>Next Generation Application Protocol</w:t>
      </w:r>
    </w:p>
    <w:p w14:paraId="3DCEC5ED" w14:textId="77777777" w:rsidR="00D40151" w:rsidRPr="00873B6C" w:rsidRDefault="00D40151" w:rsidP="00D40151">
      <w:pPr>
        <w:pStyle w:val="EW"/>
      </w:pPr>
      <w:r w:rsidRPr="00873B6C">
        <w:t>NID</w:t>
      </w:r>
      <w:r w:rsidRPr="00873B6C">
        <w:tab/>
        <w:t>Network identifier</w:t>
      </w:r>
    </w:p>
    <w:p w14:paraId="408BF60E" w14:textId="77777777" w:rsidR="00D40151" w:rsidRPr="00873B6C" w:rsidRDefault="00D40151" w:rsidP="00D40151">
      <w:pPr>
        <w:pStyle w:val="EW"/>
      </w:pPr>
      <w:r w:rsidRPr="00873B6C">
        <w:t>NPN</w:t>
      </w:r>
      <w:r w:rsidRPr="00873B6C">
        <w:tab/>
        <w:t>Non-Public Network</w:t>
      </w:r>
    </w:p>
    <w:p w14:paraId="546B5293" w14:textId="77777777" w:rsidR="00D40151" w:rsidRPr="00873B6C" w:rsidRDefault="00D40151" w:rsidP="00D40151">
      <w:pPr>
        <w:pStyle w:val="EW"/>
      </w:pPr>
      <w:r w:rsidRPr="00873B6C">
        <w:t>NR</w:t>
      </w:r>
      <w:r w:rsidRPr="00873B6C">
        <w:tab/>
        <w:t>New Radio</w:t>
      </w:r>
    </w:p>
    <w:p w14:paraId="344BA2ED" w14:textId="77777777" w:rsidR="00D40151" w:rsidRPr="00873B6C" w:rsidRDefault="00D40151" w:rsidP="00D40151">
      <w:pPr>
        <w:pStyle w:val="EW"/>
      </w:pPr>
      <w:r w:rsidRPr="00873B6C">
        <w:t>NRF</w:t>
      </w:r>
      <w:r w:rsidRPr="00873B6C">
        <w:tab/>
        <w:t>Network Repository Function</w:t>
      </w:r>
    </w:p>
    <w:p w14:paraId="7EA4BFD4" w14:textId="5EFB4E11" w:rsidR="00335A94" w:rsidRPr="00873B6C" w:rsidRDefault="00335A94" w:rsidP="00D40151">
      <w:pPr>
        <w:pStyle w:val="EW"/>
      </w:pPr>
      <w:r w:rsidRPr="00873B6C">
        <w:t>NS-AoS</w:t>
      </w:r>
      <w:r w:rsidRPr="00873B6C">
        <w:tab/>
        <w:t>Network Slice Area of Service</w:t>
      </w:r>
    </w:p>
    <w:p w14:paraId="028B79AC" w14:textId="787A15D7" w:rsidR="006D2D57" w:rsidRPr="00873B6C" w:rsidRDefault="006D2D57" w:rsidP="00D40151">
      <w:pPr>
        <w:pStyle w:val="EW"/>
      </w:pPr>
      <w:r w:rsidRPr="00873B6C">
        <w:t>NSAC</w:t>
      </w:r>
      <w:r w:rsidRPr="00873B6C">
        <w:tab/>
        <w:t>Network Slice Admission Control</w:t>
      </w:r>
    </w:p>
    <w:p w14:paraId="6D771F59" w14:textId="77777777" w:rsidR="006D2D57" w:rsidRPr="00873B6C" w:rsidRDefault="006D2D57" w:rsidP="00D40151">
      <w:pPr>
        <w:pStyle w:val="EW"/>
      </w:pPr>
      <w:r w:rsidRPr="00873B6C">
        <w:t>NSACF</w:t>
      </w:r>
      <w:r w:rsidRPr="00873B6C">
        <w:tab/>
        <w:t>Network Slice Admission Control Function</w:t>
      </w:r>
    </w:p>
    <w:p w14:paraId="1CEA7594" w14:textId="69AD7D10" w:rsidR="00972BA6" w:rsidRPr="00873B6C" w:rsidRDefault="00972BA6" w:rsidP="00D40151">
      <w:pPr>
        <w:pStyle w:val="EW"/>
      </w:pPr>
      <w:r w:rsidRPr="00873B6C">
        <w:t>NSAG</w:t>
      </w:r>
      <w:r w:rsidRPr="00873B6C">
        <w:tab/>
        <w:t>Network Slice AS Group</w:t>
      </w:r>
    </w:p>
    <w:p w14:paraId="54B6298D" w14:textId="6F1BE9EF" w:rsidR="00D40151" w:rsidRPr="00873B6C" w:rsidRDefault="00D40151" w:rsidP="00D40151">
      <w:pPr>
        <w:pStyle w:val="EW"/>
      </w:pPr>
      <w:r w:rsidRPr="00873B6C">
        <w:t>NSI ID</w:t>
      </w:r>
      <w:r w:rsidRPr="00873B6C">
        <w:tab/>
        <w:t>Network Slice Instance Identifier</w:t>
      </w:r>
    </w:p>
    <w:p w14:paraId="6B64DCB0" w14:textId="77777777" w:rsidR="00D40151" w:rsidRPr="00873B6C" w:rsidRDefault="00D40151" w:rsidP="00D40151">
      <w:pPr>
        <w:pStyle w:val="EW"/>
      </w:pPr>
      <w:r w:rsidRPr="00873B6C">
        <w:t>NSSAA</w:t>
      </w:r>
      <w:r w:rsidRPr="00873B6C">
        <w:tab/>
        <w:t>Network Slice-Specific Authentication and Authorization</w:t>
      </w:r>
    </w:p>
    <w:p w14:paraId="17733D4F" w14:textId="7D41E931" w:rsidR="00D40151" w:rsidRPr="00873B6C" w:rsidRDefault="00D40151" w:rsidP="00D40151">
      <w:pPr>
        <w:pStyle w:val="EW"/>
      </w:pPr>
      <w:r w:rsidRPr="00873B6C">
        <w:t>NSSAAF</w:t>
      </w:r>
      <w:r w:rsidRPr="00873B6C">
        <w:tab/>
        <w:t>Network Slice-</w:t>
      </w:r>
      <w:r w:rsidR="00AF315F" w:rsidRPr="00873B6C">
        <w:t>s</w:t>
      </w:r>
      <w:r w:rsidRPr="00873B6C">
        <w:t>pecific</w:t>
      </w:r>
      <w:r w:rsidR="00AF315F" w:rsidRPr="00873B6C">
        <w:t xml:space="preserve"> and SNPN</w:t>
      </w:r>
      <w:r w:rsidRPr="00873B6C">
        <w:t xml:space="preserve"> Authentication and Authorization Function</w:t>
      </w:r>
    </w:p>
    <w:p w14:paraId="3B03AC6F" w14:textId="77777777" w:rsidR="00D40151" w:rsidRPr="00873B6C" w:rsidRDefault="00D40151" w:rsidP="00D40151">
      <w:pPr>
        <w:pStyle w:val="EW"/>
      </w:pPr>
      <w:r w:rsidRPr="00873B6C">
        <w:t>NSSAI</w:t>
      </w:r>
      <w:r w:rsidRPr="00873B6C">
        <w:tab/>
        <w:t>Network Slice Selection Assistance Information</w:t>
      </w:r>
    </w:p>
    <w:p w14:paraId="16FAE2A9" w14:textId="77777777" w:rsidR="00D40151" w:rsidRPr="00873B6C" w:rsidRDefault="00D40151" w:rsidP="00D40151">
      <w:pPr>
        <w:pStyle w:val="EW"/>
      </w:pPr>
      <w:r w:rsidRPr="00873B6C">
        <w:t>NSSF</w:t>
      </w:r>
      <w:r w:rsidRPr="00873B6C">
        <w:tab/>
        <w:t>Network Slice Selection Function</w:t>
      </w:r>
    </w:p>
    <w:p w14:paraId="31D63A0C" w14:textId="77777777" w:rsidR="00D40151" w:rsidRPr="00873B6C" w:rsidRDefault="00D40151" w:rsidP="00D40151">
      <w:pPr>
        <w:pStyle w:val="EW"/>
      </w:pPr>
      <w:r w:rsidRPr="00873B6C">
        <w:rPr>
          <w:rFonts w:eastAsia="SimSun"/>
          <w:lang w:eastAsia="zh-CN"/>
        </w:rPr>
        <w:t>NSSP</w:t>
      </w:r>
      <w:r w:rsidRPr="00873B6C">
        <w:tab/>
      </w:r>
      <w:r w:rsidRPr="00873B6C">
        <w:rPr>
          <w:rFonts w:eastAsia="SimSun"/>
          <w:lang w:eastAsia="zh-CN"/>
        </w:rPr>
        <w:t>Network Slice Selection Policy</w:t>
      </w:r>
    </w:p>
    <w:p w14:paraId="0AA0CEED" w14:textId="562F179D" w:rsidR="00681FC7" w:rsidRPr="00873B6C" w:rsidRDefault="00681FC7" w:rsidP="00D40151">
      <w:pPr>
        <w:pStyle w:val="EW"/>
      </w:pPr>
      <w:r w:rsidRPr="00873B6C">
        <w:t>NSSRG</w:t>
      </w:r>
      <w:r w:rsidRPr="00873B6C">
        <w:tab/>
        <w:t>Network Slice Simultaneous Registration Group</w:t>
      </w:r>
    </w:p>
    <w:p w14:paraId="6D1B1DAD" w14:textId="2A890E89" w:rsidR="00D45059" w:rsidRPr="00873B6C" w:rsidRDefault="00D45059" w:rsidP="00D40151">
      <w:pPr>
        <w:pStyle w:val="EW"/>
      </w:pPr>
      <w:r w:rsidRPr="00873B6C">
        <w:t>NSWO</w:t>
      </w:r>
      <w:r w:rsidRPr="00873B6C">
        <w:tab/>
        <w:t>Non-Seamless WLAN offload</w:t>
      </w:r>
    </w:p>
    <w:p w14:paraId="28BBD218" w14:textId="2E722C52" w:rsidR="00D841E1" w:rsidRPr="00873B6C" w:rsidRDefault="00D841E1" w:rsidP="00D40151">
      <w:pPr>
        <w:pStyle w:val="EW"/>
      </w:pPr>
      <w:r w:rsidRPr="00873B6C">
        <w:t>NSWOF</w:t>
      </w:r>
      <w:r w:rsidRPr="00873B6C">
        <w:tab/>
        <w:t>Non-Seamless WLAN offload Function</w:t>
      </w:r>
    </w:p>
    <w:p w14:paraId="027DB13C" w14:textId="6674C524" w:rsidR="00D40151" w:rsidRPr="00873B6C" w:rsidRDefault="00D40151" w:rsidP="00D40151">
      <w:pPr>
        <w:pStyle w:val="EW"/>
      </w:pPr>
      <w:r w:rsidRPr="00873B6C">
        <w:t>NW-TT</w:t>
      </w:r>
      <w:r w:rsidRPr="00873B6C">
        <w:tab/>
        <w:t>Network-side TSN translator</w:t>
      </w:r>
    </w:p>
    <w:p w14:paraId="2B04FA3A" w14:textId="77777777" w:rsidR="00D40151" w:rsidRPr="00873B6C" w:rsidRDefault="00D40151" w:rsidP="00D40151">
      <w:pPr>
        <w:pStyle w:val="EW"/>
      </w:pPr>
      <w:r w:rsidRPr="00873B6C">
        <w:t>NWDAF</w:t>
      </w:r>
      <w:r w:rsidRPr="00873B6C">
        <w:tab/>
        <w:t>Network Data Analytics Function</w:t>
      </w:r>
    </w:p>
    <w:p w14:paraId="4DEE8928" w14:textId="77777777" w:rsidR="00C922CA" w:rsidRPr="00873B6C" w:rsidRDefault="00C922CA" w:rsidP="00D40151">
      <w:pPr>
        <w:pStyle w:val="EW"/>
      </w:pPr>
      <w:r w:rsidRPr="00873B6C">
        <w:t>ONN</w:t>
      </w:r>
      <w:r w:rsidRPr="00873B6C">
        <w:tab/>
        <w:t>Onboarding Network</w:t>
      </w:r>
    </w:p>
    <w:p w14:paraId="3EB45FB8" w14:textId="77777777" w:rsidR="00C922CA" w:rsidRPr="00873B6C" w:rsidRDefault="00C922CA" w:rsidP="00D40151">
      <w:pPr>
        <w:pStyle w:val="EW"/>
      </w:pPr>
      <w:r w:rsidRPr="00873B6C">
        <w:t>ON-SNPN</w:t>
      </w:r>
      <w:r w:rsidRPr="00873B6C">
        <w:tab/>
        <w:t>Onboarding Standalone Non-Public Network</w:t>
      </w:r>
    </w:p>
    <w:p w14:paraId="79005C16" w14:textId="5310986D" w:rsidR="00D40151" w:rsidRPr="00873B6C" w:rsidRDefault="00D40151" w:rsidP="00D40151">
      <w:pPr>
        <w:pStyle w:val="EW"/>
      </w:pPr>
      <w:r w:rsidRPr="00873B6C">
        <w:t>PCF</w:t>
      </w:r>
      <w:r w:rsidRPr="00873B6C">
        <w:tab/>
        <w:t>Policy Control Function</w:t>
      </w:r>
    </w:p>
    <w:p w14:paraId="1DD9A0BF" w14:textId="77777777" w:rsidR="00D40151" w:rsidRPr="00873B6C" w:rsidRDefault="00D40151" w:rsidP="00D40151">
      <w:pPr>
        <w:pStyle w:val="EW"/>
        <w:rPr>
          <w:rFonts w:eastAsia="SimSun"/>
          <w:lang w:eastAsia="zh-CN"/>
        </w:rPr>
      </w:pPr>
      <w:r w:rsidRPr="00873B6C">
        <w:rPr>
          <w:rFonts w:eastAsia="SimSun"/>
          <w:lang w:eastAsia="zh-CN"/>
        </w:rPr>
        <w:t>PDB</w:t>
      </w:r>
      <w:r w:rsidRPr="00873B6C">
        <w:rPr>
          <w:rFonts w:eastAsia="SimSun"/>
          <w:lang w:eastAsia="zh-CN"/>
        </w:rPr>
        <w:tab/>
        <w:t>Packet Delay Budget</w:t>
      </w:r>
    </w:p>
    <w:p w14:paraId="40F87077" w14:textId="77777777" w:rsidR="00D40151" w:rsidRPr="00873B6C" w:rsidRDefault="00D40151" w:rsidP="00D40151">
      <w:pPr>
        <w:pStyle w:val="EW"/>
        <w:rPr>
          <w:rFonts w:eastAsia="SimSun"/>
          <w:lang w:eastAsia="zh-CN"/>
        </w:rPr>
      </w:pPr>
      <w:r w:rsidRPr="00873B6C">
        <w:rPr>
          <w:rFonts w:eastAsia="SimSun"/>
          <w:lang w:eastAsia="zh-CN"/>
        </w:rPr>
        <w:t>PDR</w:t>
      </w:r>
      <w:r w:rsidRPr="00873B6C">
        <w:rPr>
          <w:rFonts w:eastAsia="SimSun"/>
          <w:lang w:eastAsia="zh-CN"/>
        </w:rPr>
        <w:tab/>
        <w:t>Packet Detection Rule</w:t>
      </w:r>
    </w:p>
    <w:p w14:paraId="15FF5E19" w14:textId="77777777" w:rsidR="00D40151" w:rsidRPr="00873B6C" w:rsidRDefault="00D40151" w:rsidP="00D40151">
      <w:pPr>
        <w:pStyle w:val="EW"/>
        <w:rPr>
          <w:rFonts w:eastAsia="SimSun"/>
          <w:lang w:eastAsia="zh-CN"/>
        </w:rPr>
      </w:pPr>
      <w:r w:rsidRPr="00873B6C">
        <w:rPr>
          <w:rFonts w:eastAsia="SimSun"/>
          <w:lang w:eastAsia="zh-CN"/>
        </w:rPr>
        <w:t>PDU</w:t>
      </w:r>
      <w:r w:rsidRPr="00873B6C">
        <w:rPr>
          <w:rFonts w:eastAsia="SimSun"/>
          <w:lang w:eastAsia="zh-CN"/>
        </w:rPr>
        <w:tab/>
        <w:t>Protocol Data Unit</w:t>
      </w:r>
    </w:p>
    <w:p w14:paraId="7F8FC48B" w14:textId="25B06866" w:rsidR="002C4A81" w:rsidRPr="00873B6C" w:rsidRDefault="002C4A81" w:rsidP="00D40151">
      <w:pPr>
        <w:pStyle w:val="EW"/>
        <w:rPr>
          <w:rFonts w:eastAsia="SimSun"/>
          <w:lang w:eastAsia="zh-CN"/>
        </w:rPr>
      </w:pPr>
      <w:r w:rsidRPr="00873B6C">
        <w:rPr>
          <w:rFonts w:eastAsia="SimSun"/>
          <w:lang w:eastAsia="zh-CN"/>
        </w:rPr>
        <w:t>PDV</w:t>
      </w:r>
      <w:r w:rsidRPr="00873B6C">
        <w:rPr>
          <w:rFonts w:eastAsia="SimSun"/>
          <w:lang w:eastAsia="zh-CN"/>
        </w:rPr>
        <w:tab/>
        <w:t>Packet Delay Variation</w:t>
      </w:r>
    </w:p>
    <w:p w14:paraId="1E05DC38" w14:textId="2E0B4376" w:rsidR="0022127D" w:rsidRPr="00873B6C" w:rsidRDefault="0022127D" w:rsidP="00D40151">
      <w:pPr>
        <w:pStyle w:val="EW"/>
        <w:rPr>
          <w:rFonts w:eastAsia="SimSun"/>
          <w:lang w:eastAsia="zh-CN"/>
        </w:rPr>
      </w:pPr>
      <w:r w:rsidRPr="00873B6C">
        <w:rPr>
          <w:rFonts w:eastAsia="SimSun"/>
          <w:lang w:eastAsia="zh-CN"/>
        </w:rPr>
        <w:t>PEGC</w:t>
      </w:r>
      <w:r w:rsidRPr="00873B6C">
        <w:rPr>
          <w:rFonts w:eastAsia="SimSun"/>
          <w:lang w:eastAsia="zh-CN"/>
        </w:rPr>
        <w:tab/>
        <w:t>PIN Element with Gateway Capability</w:t>
      </w:r>
    </w:p>
    <w:p w14:paraId="00C9A8E5" w14:textId="60F1242E" w:rsidR="00D40151" w:rsidRPr="00873B6C" w:rsidRDefault="00D40151" w:rsidP="00D40151">
      <w:pPr>
        <w:pStyle w:val="EW"/>
        <w:rPr>
          <w:rFonts w:eastAsia="SimSun"/>
          <w:lang w:eastAsia="zh-CN"/>
        </w:rPr>
      </w:pPr>
      <w:r w:rsidRPr="00873B6C">
        <w:rPr>
          <w:rFonts w:eastAsia="SimSun"/>
          <w:lang w:eastAsia="zh-CN"/>
        </w:rPr>
        <w:t>PEI</w:t>
      </w:r>
      <w:r w:rsidRPr="00873B6C">
        <w:rPr>
          <w:rFonts w:eastAsia="SimSun"/>
          <w:lang w:eastAsia="zh-CN"/>
        </w:rPr>
        <w:tab/>
        <w:t>Permanent Equipment Identifier</w:t>
      </w:r>
    </w:p>
    <w:p w14:paraId="246727BC" w14:textId="78338968" w:rsidR="0022127D" w:rsidRPr="00873B6C" w:rsidRDefault="0022127D" w:rsidP="00D40151">
      <w:pPr>
        <w:pStyle w:val="EW"/>
        <w:rPr>
          <w:rFonts w:eastAsia="SimSun"/>
          <w:lang w:eastAsia="zh-CN"/>
        </w:rPr>
      </w:pPr>
      <w:r w:rsidRPr="00873B6C">
        <w:rPr>
          <w:rFonts w:eastAsia="SimSun"/>
          <w:lang w:eastAsia="zh-CN"/>
        </w:rPr>
        <w:t>PEMC</w:t>
      </w:r>
      <w:r w:rsidRPr="00873B6C">
        <w:rPr>
          <w:rFonts w:eastAsia="SimSun"/>
          <w:lang w:eastAsia="zh-CN"/>
        </w:rPr>
        <w:tab/>
        <w:t>PIN Element with Management Capability</w:t>
      </w:r>
    </w:p>
    <w:p w14:paraId="53611B6D" w14:textId="799A02B7" w:rsidR="00D40151" w:rsidRPr="00873B6C" w:rsidRDefault="00D40151" w:rsidP="00D40151">
      <w:pPr>
        <w:pStyle w:val="EW"/>
        <w:rPr>
          <w:rFonts w:eastAsia="SimSun"/>
          <w:lang w:eastAsia="zh-CN"/>
        </w:rPr>
      </w:pPr>
      <w:r w:rsidRPr="00873B6C">
        <w:rPr>
          <w:rFonts w:eastAsia="SimSun"/>
          <w:lang w:eastAsia="zh-CN"/>
        </w:rPr>
        <w:t>PER</w:t>
      </w:r>
      <w:r w:rsidRPr="00873B6C">
        <w:tab/>
      </w:r>
      <w:r w:rsidRPr="00873B6C">
        <w:rPr>
          <w:rFonts w:eastAsia="SimSun"/>
          <w:lang w:eastAsia="zh-CN"/>
        </w:rPr>
        <w:t>Packet Error Rate</w:t>
      </w:r>
    </w:p>
    <w:p w14:paraId="4F661451" w14:textId="77777777" w:rsidR="00D40151" w:rsidRPr="00873B6C" w:rsidRDefault="00D40151" w:rsidP="00D40151">
      <w:pPr>
        <w:pStyle w:val="EW"/>
        <w:rPr>
          <w:rFonts w:eastAsia="SimSun"/>
          <w:lang w:eastAsia="zh-CN"/>
        </w:rPr>
      </w:pPr>
      <w:r w:rsidRPr="00873B6C">
        <w:rPr>
          <w:rFonts w:eastAsia="SimSun"/>
          <w:lang w:eastAsia="zh-CN"/>
        </w:rPr>
        <w:t>PFD</w:t>
      </w:r>
      <w:r w:rsidRPr="00873B6C">
        <w:tab/>
        <w:t>Packet Flow Description</w:t>
      </w:r>
    </w:p>
    <w:p w14:paraId="28DF511D" w14:textId="77777777" w:rsidR="0022127D" w:rsidRPr="00873B6C" w:rsidRDefault="0022127D" w:rsidP="00D40151">
      <w:pPr>
        <w:pStyle w:val="EW"/>
        <w:rPr>
          <w:rFonts w:eastAsia="SimSun"/>
          <w:lang w:eastAsia="zh-CN"/>
        </w:rPr>
      </w:pPr>
      <w:r w:rsidRPr="00873B6C">
        <w:rPr>
          <w:rFonts w:eastAsia="SimSun"/>
          <w:lang w:eastAsia="zh-CN"/>
        </w:rPr>
        <w:t>PIN</w:t>
      </w:r>
      <w:r w:rsidRPr="00873B6C">
        <w:rPr>
          <w:rFonts w:eastAsia="SimSun"/>
          <w:lang w:eastAsia="zh-CN"/>
        </w:rPr>
        <w:tab/>
        <w:t>Personal IoT Network</w:t>
      </w:r>
    </w:p>
    <w:p w14:paraId="5E8EA9B9" w14:textId="77777777" w:rsidR="0022127D" w:rsidRPr="00873B6C" w:rsidRDefault="0022127D" w:rsidP="00D40151">
      <w:pPr>
        <w:pStyle w:val="EW"/>
        <w:rPr>
          <w:rFonts w:eastAsia="SimSun"/>
          <w:lang w:eastAsia="zh-CN"/>
        </w:rPr>
      </w:pPr>
      <w:r w:rsidRPr="00873B6C">
        <w:rPr>
          <w:rFonts w:eastAsia="SimSun"/>
          <w:lang w:eastAsia="zh-CN"/>
        </w:rPr>
        <w:t>PINE</w:t>
      </w:r>
      <w:r w:rsidRPr="00873B6C">
        <w:rPr>
          <w:rFonts w:eastAsia="SimSun"/>
          <w:lang w:eastAsia="zh-CN"/>
        </w:rPr>
        <w:tab/>
        <w:t>PIN Element</w:t>
      </w:r>
    </w:p>
    <w:p w14:paraId="78C03B2D" w14:textId="1A37824E" w:rsidR="00F03116" w:rsidRPr="00873B6C" w:rsidRDefault="00F03116" w:rsidP="00D40151">
      <w:pPr>
        <w:pStyle w:val="EW"/>
        <w:rPr>
          <w:rFonts w:eastAsia="SimSun"/>
          <w:lang w:eastAsia="zh-CN"/>
        </w:rPr>
      </w:pPr>
      <w:r w:rsidRPr="00873B6C">
        <w:rPr>
          <w:rFonts w:eastAsia="SimSun"/>
          <w:lang w:eastAsia="zh-CN"/>
        </w:rPr>
        <w:t>PLR</w:t>
      </w:r>
      <w:r w:rsidRPr="00873B6C">
        <w:rPr>
          <w:rFonts w:eastAsia="SimSun"/>
          <w:lang w:eastAsia="zh-CN"/>
        </w:rPr>
        <w:tab/>
        <w:t>Packet Loss Rate</w:t>
      </w:r>
    </w:p>
    <w:p w14:paraId="1A264610" w14:textId="00DB5107" w:rsidR="00D40151" w:rsidRPr="00873B6C" w:rsidRDefault="00D40151" w:rsidP="00D40151">
      <w:pPr>
        <w:pStyle w:val="EW"/>
        <w:rPr>
          <w:rFonts w:eastAsia="SimSun"/>
          <w:lang w:eastAsia="zh-CN"/>
        </w:rPr>
      </w:pPr>
      <w:r w:rsidRPr="00873B6C">
        <w:rPr>
          <w:rFonts w:eastAsia="SimSun"/>
          <w:lang w:eastAsia="zh-CN"/>
        </w:rPr>
        <w:t>PNI-NPN</w:t>
      </w:r>
      <w:r w:rsidRPr="00873B6C">
        <w:rPr>
          <w:rFonts w:eastAsia="SimSun"/>
          <w:lang w:eastAsia="zh-CN"/>
        </w:rPr>
        <w:tab/>
        <w:t>Public Network Integrated Non-Public Network</w:t>
      </w:r>
    </w:p>
    <w:p w14:paraId="495A9719" w14:textId="77777777" w:rsidR="00D40151" w:rsidRPr="00873B6C" w:rsidRDefault="00D40151" w:rsidP="00D40151">
      <w:pPr>
        <w:pStyle w:val="EW"/>
        <w:rPr>
          <w:rFonts w:eastAsia="SimSun"/>
          <w:lang w:eastAsia="zh-CN"/>
        </w:rPr>
      </w:pPr>
      <w:r w:rsidRPr="00873B6C">
        <w:rPr>
          <w:rFonts w:eastAsia="SimSun"/>
          <w:lang w:eastAsia="zh-CN"/>
        </w:rPr>
        <w:t>PPD</w:t>
      </w:r>
      <w:r w:rsidRPr="00873B6C">
        <w:tab/>
      </w:r>
      <w:r w:rsidRPr="00873B6C">
        <w:rPr>
          <w:rFonts w:eastAsia="SimSun"/>
          <w:lang w:eastAsia="zh-CN"/>
        </w:rPr>
        <w:t>Paging Policy Differentiation</w:t>
      </w:r>
    </w:p>
    <w:p w14:paraId="33637845" w14:textId="77777777" w:rsidR="00D40151" w:rsidRPr="00873B6C" w:rsidRDefault="00D40151" w:rsidP="00D40151">
      <w:pPr>
        <w:pStyle w:val="EW"/>
        <w:rPr>
          <w:rFonts w:eastAsia="SimSun"/>
          <w:lang w:eastAsia="zh-CN"/>
        </w:rPr>
      </w:pPr>
      <w:r w:rsidRPr="00873B6C">
        <w:rPr>
          <w:rFonts w:eastAsia="SimSun"/>
          <w:lang w:eastAsia="zh-CN"/>
        </w:rPr>
        <w:t>PPF</w:t>
      </w:r>
      <w:r w:rsidRPr="00873B6C">
        <w:rPr>
          <w:rFonts w:eastAsia="SimSun"/>
          <w:lang w:eastAsia="zh-CN"/>
        </w:rPr>
        <w:tab/>
        <w:t>Paging Proceed Flag</w:t>
      </w:r>
    </w:p>
    <w:p w14:paraId="0A09AEE9" w14:textId="77777777" w:rsidR="00D40151" w:rsidRPr="00873B6C" w:rsidRDefault="00D40151" w:rsidP="00D40151">
      <w:pPr>
        <w:pStyle w:val="EW"/>
        <w:rPr>
          <w:rFonts w:eastAsia="SimSun"/>
          <w:lang w:eastAsia="zh-CN"/>
        </w:rPr>
      </w:pPr>
      <w:r w:rsidRPr="00873B6C">
        <w:rPr>
          <w:rFonts w:eastAsia="SimSun"/>
          <w:lang w:eastAsia="zh-CN"/>
        </w:rPr>
        <w:t>PPI</w:t>
      </w:r>
      <w:r w:rsidRPr="00873B6C">
        <w:tab/>
      </w:r>
      <w:r w:rsidRPr="00873B6C">
        <w:rPr>
          <w:rFonts w:eastAsia="SimSun"/>
          <w:lang w:eastAsia="zh-CN"/>
        </w:rPr>
        <w:t>Paging Policy Indicator</w:t>
      </w:r>
    </w:p>
    <w:p w14:paraId="3087CAD5" w14:textId="77777777" w:rsidR="00D40151" w:rsidRPr="00873B6C" w:rsidRDefault="00D40151" w:rsidP="00D40151">
      <w:pPr>
        <w:pStyle w:val="EW"/>
      </w:pPr>
      <w:r w:rsidRPr="00873B6C">
        <w:rPr>
          <w:rFonts w:eastAsia="SimSun"/>
          <w:lang w:eastAsia="zh-CN"/>
        </w:rPr>
        <w:t>PSA</w:t>
      </w:r>
      <w:r w:rsidRPr="00873B6C">
        <w:rPr>
          <w:rFonts w:eastAsia="SimSun"/>
          <w:lang w:eastAsia="zh-CN"/>
        </w:rPr>
        <w:tab/>
        <w:t>PDU Session Anchor</w:t>
      </w:r>
    </w:p>
    <w:p w14:paraId="0E4FB9FB" w14:textId="77777777" w:rsidR="002C4A81" w:rsidRPr="00873B6C" w:rsidRDefault="002C4A81" w:rsidP="00D40151">
      <w:pPr>
        <w:pStyle w:val="EW"/>
      </w:pPr>
      <w:r w:rsidRPr="00873B6C">
        <w:t>PSDB</w:t>
      </w:r>
      <w:r w:rsidRPr="00873B6C">
        <w:tab/>
        <w:t>PDU Set Delay Budget</w:t>
      </w:r>
    </w:p>
    <w:p w14:paraId="11AE8AC3" w14:textId="77777777" w:rsidR="002C4A81" w:rsidRPr="00873B6C" w:rsidRDefault="002C4A81" w:rsidP="00D40151">
      <w:pPr>
        <w:pStyle w:val="EW"/>
      </w:pPr>
      <w:r w:rsidRPr="00873B6C">
        <w:t>PSER</w:t>
      </w:r>
      <w:r w:rsidRPr="00873B6C">
        <w:tab/>
        <w:t>PDU Set Error Rate</w:t>
      </w:r>
    </w:p>
    <w:p w14:paraId="674ABF75" w14:textId="77777777" w:rsidR="002C4A81" w:rsidRPr="00873B6C" w:rsidRDefault="002C4A81" w:rsidP="00D40151">
      <w:pPr>
        <w:pStyle w:val="EW"/>
      </w:pPr>
      <w:r w:rsidRPr="00873B6C">
        <w:t>PSIHI</w:t>
      </w:r>
      <w:r w:rsidRPr="00873B6C">
        <w:tab/>
        <w:t>PDU Set Integrated Handling Information</w:t>
      </w:r>
    </w:p>
    <w:p w14:paraId="647D0AF8" w14:textId="700E150E" w:rsidR="00D40151" w:rsidRPr="00873B6C" w:rsidRDefault="00D40151" w:rsidP="00D40151">
      <w:pPr>
        <w:pStyle w:val="EW"/>
      </w:pPr>
      <w:r w:rsidRPr="00873B6C">
        <w:t>PTP</w:t>
      </w:r>
      <w:r w:rsidRPr="00873B6C">
        <w:tab/>
        <w:t>Precision Time Protocol</w:t>
      </w:r>
    </w:p>
    <w:p w14:paraId="2E1E7BE7" w14:textId="62842A21" w:rsidR="00C922CA" w:rsidRPr="00873B6C" w:rsidRDefault="00C922CA" w:rsidP="00D40151">
      <w:pPr>
        <w:pStyle w:val="EW"/>
      </w:pPr>
      <w:r w:rsidRPr="00873B6C">
        <w:t>PVS</w:t>
      </w:r>
      <w:r w:rsidRPr="00873B6C">
        <w:tab/>
        <w:t>Provisioning Server</w:t>
      </w:r>
    </w:p>
    <w:p w14:paraId="2C1AB1C6" w14:textId="4012D913" w:rsidR="00D40151" w:rsidRPr="00873B6C" w:rsidRDefault="00D40151" w:rsidP="00D40151">
      <w:pPr>
        <w:pStyle w:val="EW"/>
        <w:rPr>
          <w:rFonts w:eastAsia="SimSun"/>
          <w:lang w:eastAsia="zh-CN"/>
        </w:rPr>
      </w:pPr>
      <w:r w:rsidRPr="00873B6C">
        <w:t>QFI</w:t>
      </w:r>
      <w:r w:rsidRPr="00873B6C">
        <w:tab/>
        <w:t>QoS Flow Identifier</w:t>
      </w:r>
    </w:p>
    <w:p w14:paraId="0CA9E7A1" w14:textId="76BA08E8" w:rsidR="00060FE0" w:rsidRPr="00873B6C" w:rsidRDefault="00060FE0" w:rsidP="00D40151">
      <w:pPr>
        <w:pStyle w:val="EW"/>
      </w:pPr>
      <w:r w:rsidRPr="00873B6C">
        <w:t>QMC</w:t>
      </w:r>
      <w:r w:rsidRPr="00873B6C">
        <w:tab/>
        <w:t>QoE Measurement Collection</w:t>
      </w:r>
    </w:p>
    <w:p w14:paraId="1722BF11" w14:textId="79C4C441" w:rsidR="00D40151" w:rsidRPr="00873B6C" w:rsidRDefault="00D40151" w:rsidP="00D40151">
      <w:pPr>
        <w:pStyle w:val="EW"/>
      </w:pPr>
      <w:r w:rsidRPr="00873B6C">
        <w:t>QoE</w:t>
      </w:r>
      <w:r w:rsidRPr="00873B6C">
        <w:tab/>
        <w:t>Quality of Experience</w:t>
      </w:r>
    </w:p>
    <w:p w14:paraId="2B08A341" w14:textId="77777777" w:rsidR="00D40151" w:rsidRPr="00873B6C" w:rsidRDefault="00D40151" w:rsidP="00D40151">
      <w:pPr>
        <w:pStyle w:val="EW"/>
      </w:pPr>
      <w:r w:rsidRPr="00873B6C">
        <w:t>RACS</w:t>
      </w:r>
      <w:r w:rsidRPr="00873B6C">
        <w:tab/>
        <w:t>Radio Capabilities Signalling optimisation</w:t>
      </w:r>
    </w:p>
    <w:p w14:paraId="056BB14F" w14:textId="77777777" w:rsidR="00D40151" w:rsidRPr="00873B6C" w:rsidRDefault="00D40151" w:rsidP="00D40151">
      <w:pPr>
        <w:pStyle w:val="EW"/>
      </w:pPr>
      <w:r w:rsidRPr="00873B6C">
        <w:t>(R)AN</w:t>
      </w:r>
      <w:r w:rsidRPr="00873B6C">
        <w:tab/>
        <w:t>(Radio) Access Network</w:t>
      </w:r>
    </w:p>
    <w:p w14:paraId="0F7DDC20" w14:textId="77777777" w:rsidR="00D40151" w:rsidRPr="00873B6C" w:rsidRDefault="00D40151" w:rsidP="00D40151">
      <w:pPr>
        <w:pStyle w:val="EW"/>
        <w:rPr>
          <w:rFonts w:eastAsia="SimSun"/>
          <w:lang w:eastAsia="zh-CN"/>
        </w:rPr>
      </w:pPr>
      <w:r w:rsidRPr="00873B6C">
        <w:rPr>
          <w:rFonts w:eastAsia="SimSun"/>
          <w:lang w:eastAsia="zh-CN"/>
        </w:rPr>
        <w:t>RG</w:t>
      </w:r>
      <w:r w:rsidRPr="00873B6C">
        <w:rPr>
          <w:rFonts w:eastAsia="SimSun"/>
          <w:lang w:eastAsia="zh-CN"/>
        </w:rPr>
        <w:tab/>
        <w:t>Residential Gateway</w:t>
      </w:r>
    </w:p>
    <w:p w14:paraId="6A72627B" w14:textId="77777777" w:rsidR="00D40151" w:rsidRPr="00873B6C" w:rsidRDefault="00D40151" w:rsidP="00D40151">
      <w:pPr>
        <w:pStyle w:val="EW"/>
        <w:rPr>
          <w:rFonts w:eastAsia="SimSun"/>
          <w:lang w:eastAsia="zh-CN"/>
        </w:rPr>
      </w:pPr>
      <w:r w:rsidRPr="00873B6C">
        <w:rPr>
          <w:rFonts w:eastAsia="SimSun"/>
          <w:lang w:eastAsia="zh-CN"/>
        </w:rPr>
        <w:t>RIM</w:t>
      </w:r>
      <w:r w:rsidRPr="00873B6C">
        <w:rPr>
          <w:rFonts w:eastAsia="SimSun"/>
          <w:lang w:eastAsia="zh-CN"/>
        </w:rPr>
        <w:tab/>
        <w:t>Remote Interference Management</w:t>
      </w:r>
    </w:p>
    <w:p w14:paraId="413904FD" w14:textId="77777777" w:rsidR="00D40151" w:rsidRPr="00873B6C" w:rsidRDefault="00D40151" w:rsidP="00D40151">
      <w:pPr>
        <w:pStyle w:val="EW"/>
        <w:rPr>
          <w:rFonts w:eastAsia="SimSun"/>
          <w:lang w:val="fr-FR" w:eastAsia="zh-CN"/>
        </w:rPr>
      </w:pPr>
      <w:r w:rsidRPr="00873B6C">
        <w:rPr>
          <w:rFonts w:eastAsia="SimSun"/>
          <w:lang w:val="fr-FR" w:eastAsia="zh-CN"/>
        </w:rPr>
        <w:lastRenderedPageBreak/>
        <w:t>RQA</w:t>
      </w:r>
      <w:r w:rsidRPr="00873B6C">
        <w:rPr>
          <w:lang w:val="fr-FR"/>
        </w:rPr>
        <w:tab/>
      </w:r>
      <w:r w:rsidRPr="00873B6C">
        <w:rPr>
          <w:rFonts w:eastAsia="SimSun"/>
          <w:lang w:val="fr-FR" w:eastAsia="zh-CN"/>
        </w:rPr>
        <w:t>Reflective QoS Attribute</w:t>
      </w:r>
    </w:p>
    <w:p w14:paraId="438144DD" w14:textId="77777777" w:rsidR="00D40151" w:rsidRPr="00873B6C" w:rsidRDefault="00D40151" w:rsidP="00D40151">
      <w:pPr>
        <w:pStyle w:val="EW"/>
        <w:rPr>
          <w:lang w:val="fr-FR"/>
        </w:rPr>
      </w:pPr>
      <w:r w:rsidRPr="00873B6C">
        <w:rPr>
          <w:rFonts w:eastAsia="SimSun"/>
          <w:lang w:val="fr-FR" w:eastAsia="zh-CN"/>
        </w:rPr>
        <w:t>RQI</w:t>
      </w:r>
      <w:r w:rsidRPr="00873B6C">
        <w:rPr>
          <w:lang w:val="fr-FR"/>
        </w:rPr>
        <w:tab/>
      </w:r>
      <w:r w:rsidRPr="00873B6C">
        <w:rPr>
          <w:rFonts w:eastAsia="SimSun"/>
          <w:lang w:val="fr-FR" w:eastAsia="zh-CN"/>
        </w:rPr>
        <w:t>Reflective QoS Indication</w:t>
      </w:r>
    </w:p>
    <w:p w14:paraId="513B9BCA" w14:textId="77777777" w:rsidR="00D40151" w:rsidRPr="00873B6C" w:rsidRDefault="00D40151" w:rsidP="00D40151">
      <w:pPr>
        <w:pStyle w:val="EW"/>
      </w:pPr>
      <w:r w:rsidRPr="00873B6C">
        <w:t>RSN</w:t>
      </w:r>
      <w:r w:rsidRPr="00873B6C">
        <w:tab/>
        <w:t>Redundancy Sequence Number</w:t>
      </w:r>
    </w:p>
    <w:p w14:paraId="3E76CE11" w14:textId="26920D59" w:rsidR="00F03116" w:rsidRPr="00873B6C" w:rsidRDefault="00F03116" w:rsidP="00D40151">
      <w:pPr>
        <w:pStyle w:val="EW"/>
      </w:pPr>
      <w:r w:rsidRPr="00873B6C">
        <w:t>RTT</w:t>
      </w:r>
      <w:r w:rsidRPr="00873B6C">
        <w:tab/>
        <w:t>Round Trip Time</w:t>
      </w:r>
    </w:p>
    <w:p w14:paraId="76D4757D" w14:textId="5165839C" w:rsidR="00D40151" w:rsidRPr="00873B6C" w:rsidRDefault="00D40151" w:rsidP="00D40151">
      <w:pPr>
        <w:pStyle w:val="EW"/>
      </w:pPr>
      <w:r w:rsidRPr="00873B6C">
        <w:t>SA NR</w:t>
      </w:r>
      <w:r w:rsidRPr="00873B6C">
        <w:tab/>
        <w:t>Standalone New Radio</w:t>
      </w:r>
    </w:p>
    <w:p w14:paraId="4FAC25D5" w14:textId="77777777" w:rsidR="00D40151" w:rsidRPr="00873B6C" w:rsidRDefault="00D40151" w:rsidP="00D40151">
      <w:pPr>
        <w:pStyle w:val="EW"/>
      </w:pPr>
      <w:r w:rsidRPr="00873B6C">
        <w:t>SBA</w:t>
      </w:r>
      <w:r w:rsidRPr="00873B6C">
        <w:tab/>
        <w:t>Service Based Architecture</w:t>
      </w:r>
    </w:p>
    <w:p w14:paraId="1A344C1A" w14:textId="77777777" w:rsidR="00D40151" w:rsidRPr="00873B6C" w:rsidRDefault="00D40151" w:rsidP="00D40151">
      <w:pPr>
        <w:pStyle w:val="EW"/>
      </w:pPr>
      <w:r w:rsidRPr="00873B6C">
        <w:t>SBI</w:t>
      </w:r>
      <w:r w:rsidRPr="00873B6C">
        <w:tab/>
        <w:t>Service Based Interface</w:t>
      </w:r>
    </w:p>
    <w:p w14:paraId="63582E40" w14:textId="77777777" w:rsidR="00D40151" w:rsidRPr="00873B6C" w:rsidRDefault="00D40151" w:rsidP="00D40151">
      <w:pPr>
        <w:pStyle w:val="EW"/>
        <w:rPr>
          <w:rFonts w:eastAsia="SimSun"/>
          <w:lang w:eastAsia="zh-CN"/>
        </w:rPr>
      </w:pPr>
      <w:r w:rsidRPr="00873B6C">
        <w:rPr>
          <w:rFonts w:eastAsia="SimSun"/>
          <w:lang w:eastAsia="zh-CN"/>
        </w:rPr>
        <w:t>SCP</w:t>
      </w:r>
      <w:r w:rsidRPr="00873B6C">
        <w:rPr>
          <w:rFonts w:eastAsia="SimSun"/>
          <w:lang w:eastAsia="zh-CN"/>
        </w:rPr>
        <w:tab/>
        <w:t>Service Communication Proxy</w:t>
      </w:r>
    </w:p>
    <w:p w14:paraId="48F33EEA" w14:textId="77777777" w:rsidR="00D40151" w:rsidRPr="00873B6C" w:rsidRDefault="00D40151" w:rsidP="00D40151">
      <w:pPr>
        <w:pStyle w:val="EW"/>
      </w:pPr>
      <w:r w:rsidRPr="00873B6C">
        <w:rPr>
          <w:rFonts w:eastAsia="SimSun"/>
          <w:lang w:eastAsia="zh-CN"/>
        </w:rPr>
        <w:t>SD</w:t>
      </w:r>
      <w:r w:rsidRPr="00873B6C">
        <w:tab/>
      </w:r>
      <w:r w:rsidRPr="00873B6C">
        <w:rPr>
          <w:rFonts w:eastAsia="SimSun"/>
          <w:lang w:eastAsia="zh-CN"/>
        </w:rPr>
        <w:t>Slice Differentiator</w:t>
      </w:r>
    </w:p>
    <w:p w14:paraId="36C185E7" w14:textId="77777777" w:rsidR="00D40151" w:rsidRPr="00873B6C" w:rsidRDefault="00D40151" w:rsidP="00D40151">
      <w:pPr>
        <w:pStyle w:val="EW"/>
      </w:pPr>
      <w:r w:rsidRPr="00873B6C">
        <w:t>SEAF</w:t>
      </w:r>
      <w:r w:rsidRPr="00873B6C">
        <w:tab/>
        <w:t>Security Anchor Functionality</w:t>
      </w:r>
    </w:p>
    <w:p w14:paraId="393AC22A" w14:textId="77777777" w:rsidR="00D40151" w:rsidRPr="00873B6C" w:rsidRDefault="00D40151" w:rsidP="00D40151">
      <w:pPr>
        <w:pStyle w:val="EW"/>
      </w:pPr>
      <w:r w:rsidRPr="00873B6C">
        <w:t>SEPP</w:t>
      </w:r>
      <w:r w:rsidRPr="00873B6C">
        <w:tab/>
        <w:t>Security Edge Protection Proxy</w:t>
      </w:r>
    </w:p>
    <w:p w14:paraId="5FE6E6BE" w14:textId="77777777" w:rsidR="00D409DD" w:rsidRPr="00873B6C" w:rsidRDefault="00D409DD" w:rsidP="00D40151">
      <w:pPr>
        <w:pStyle w:val="EW"/>
      </w:pPr>
      <w:r w:rsidRPr="00873B6C">
        <w:t>SF</w:t>
      </w:r>
      <w:r w:rsidRPr="00873B6C">
        <w:tab/>
        <w:t>Service Function</w:t>
      </w:r>
    </w:p>
    <w:p w14:paraId="7D0D2692" w14:textId="0081FCA6" w:rsidR="00D409DD" w:rsidRPr="00873B6C" w:rsidRDefault="00D409DD" w:rsidP="00D40151">
      <w:pPr>
        <w:pStyle w:val="EW"/>
      </w:pPr>
      <w:r w:rsidRPr="00873B6C">
        <w:t>SFC</w:t>
      </w:r>
      <w:r w:rsidRPr="00873B6C">
        <w:tab/>
        <w:t>Service Function Chain</w:t>
      </w:r>
    </w:p>
    <w:p w14:paraId="1E379788" w14:textId="382EF8D7" w:rsidR="00D40151" w:rsidRPr="00873B6C" w:rsidRDefault="00D40151" w:rsidP="00D40151">
      <w:pPr>
        <w:pStyle w:val="EW"/>
      </w:pPr>
      <w:r w:rsidRPr="00873B6C">
        <w:t>SMF</w:t>
      </w:r>
      <w:r w:rsidRPr="00873B6C">
        <w:tab/>
        <w:t>Session Management Function</w:t>
      </w:r>
    </w:p>
    <w:p w14:paraId="55BD00D1" w14:textId="77777777" w:rsidR="00D40151" w:rsidRPr="00873B6C" w:rsidRDefault="00D40151" w:rsidP="00D40151">
      <w:pPr>
        <w:pStyle w:val="EW"/>
      </w:pPr>
      <w:r w:rsidRPr="00873B6C">
        <w:t>SMSF</w:t>
      </w:r>
      <w:r w:rsidRPr="00873B6C">
        <w:tab/>
        <w:t>Short Message Service Function</w:t>
      </w:r>
    </w:p>
    <w:p w14:paraId="4ED5258C" w14:textId="77777777" w:rsidR="00D40151" w:rsidRPr="00873B6C" w:rsidRDefault="00D40151" w:rsidP="00D40151">
      <w:pPr>
        <w:pStyle w:val="EW"/>
      </w:pPr>
      <w:r w:rsidRPr="00873B6C">
        <w:t>SN</w:t>
      </w:r>
      <w:r w:rsidRPr="00873B6C">
        <w:tab/>
        <w:t>Sequence Number</w:t>
      </w:r>
    </w:p>
    <w:p w14:paraId="620E3A9B" w14:textId="77777777" w:rsidR="00D40151" w:rsidRPr="00873B6C" w:rsidRDefault="00D40151" w:rsidP="00D40151">
      <w:pPr>
        <w:pStyle w:val="EW"/>
      </w:pPr>
      <w:r w:rsidRPr="00873B6C">
        <w:t>SNPN</w:t>
      </w:r>
      <w:r w:rsidRPr="00873B6C">
        <w:tab/>
        <w:t>Stand-alone Non-Public Network</w:t>
      </w:r>
    </w:p>
    <w:p w14:paraId="56EB48D7" w14:textId="77777777" w:rsidR="00D40151" w:rsidRPr="00873B6C" w:rsidRDefault="00D40151" w:rsidP="00D40151">
      <w:pPr>
        <w:pStyle w:val="EW"/>
      </w:pPr>
      <w:r w:rsidRPr="00873B6C">
        <w:t>S-NSSAI</w:t>
      </w:r>
      <w:r w:rsidRPr="00873B6C">
        <w:tab/>
        <w:t>Single Network Slice Selection Assistance Information</w:t>
      </w:r>
    </w:p>
    <w:p w14:paraId="61D867DD" w14:textId="77777777" w:rsidR="00C922CA" w:rsidRPr="00873B6C" w:rsidRDefault="00C922CA" w:rsidP="00D40151">
      <w:pPr>
        <w:pStyle w:val="EW"/>
        <w:rPr>
          <w:rFonts w:eastAsia="SimSun"/>
          <w:lang w:eastAsia="zh-CN"/>
        </w:rPr>
      </w:pPr>
      <w:r w:rsidRPr="00873B6C">
        <w:rPr>
          <w:rFonts w:eastAsia="SimSun"/>
          <w:lang w:eastAsia="zh-CN"/>
        </w:rPr>
        <w:t>SO-SNPN</w:t>
      </w:r>
      <w:r w:rsidRPr="00873B6C">
        <w:rPr>
          <w:rFonts w:eastAsia="SimSun"/>
          <w:lang w:eastAsia="zh-CN"/>
        </w:rPr>
        <w:tab/>
        <w:t>Subscription Owner Standalone Non-Public Network</w:t>
      </w:r>
    </w:p>
    <w:p w14:paraId="1B56359A" w14:textId="56D97182" w:rsidR="00D40151" w:rsidRPr="00873B6C" w:rsidRDefault="00D40151" w:rsidP="00D40151">
      <w:pPr>
        <w:pStyle w:val="EW"/>
        <w:rPr>
          <w:rFonts w:eastAsia="SimSun"/>
          <w:lang w:eastAsia="zh-CN"/>
        </w:rPr>
      </w:pPr>
      <w:r w:rsidRPr="00873B6C">
        <w:rPr>
          <w:rFonts w:eastAsia="SimSun"/>
          <w:lang w:eastAsia="zh-CN"/>
        </w:rPr>
        <w:t>SSC</w:t>
      </w:r>
      <w:r w:rsidRPr="00873B6C">
        <w:tab/>
      </w:r>
      <w:r w:rsidRPr="00873B6C">
        <w:rPr>
          <w:rFonts w:eastAsia="SimSun"/>
          <w:lang w:eastAsia="zh-CN"/>
        </w:rPr>
        <w:t>Session and Service Continuity</w:t>
      </w:r>
    </w:p>
    <w:p w14:paraId="55531216" w14:textId="77777777" w:rsidR="00D40151" w:rsidRPr="00873B6C" w:rsidRDefault="00D40151" w:rsidP="00D40151">
      <w:pPr>
        <w:pStyle w:val="EW"/>
        <w:rPr>
          <w:rFonts w:eastAsia="SimSun"/>
          <w:lang w:eastAsia="zh-CN"/>
        </w:rPr>
      </w:pPr>
      <w:r w:rsidRPr="00873B6C">
        <w:rPr>
          <w:rFonts w:eastAsia="SimSun"/>
          <w:lang w:eastAsia="zh-CN"/>
        </w:rPr>
        <w:t>SSCMSP</w:t>
      </w:r>
      <w:r w:rsidRPr="00873B6C">
        <w:rPr>
          <w:rFonts w:eastAsia="SimSun"/>
          <w:lang w:eastAsia="zh-CN"/>
        </w:rPr>
        <w:tab/>
        <w:t>Session and Service Continuity Mode Selection Policy</w:t>
      </w:r>
    </w:p>
    <w:p w14:paraId="6EE9B838" w14:textId="77777777" w:rsidR="00D40151" w:rsidRPr="00873B6C" w:rsidRDefault="00D40151" w:rsidP="00D40151">
      <w:pPr>
        <w:pStyle w:val="EW"/>
        <w:rPr>
          <w:rFonts w:eastAsia="SimSun"/>
          <w:lang w:eastAsia="zh-CN"/>
        </w:rPr>
      </w:pPr>
      <w:r w:rsidRPr="00873B6C">
        <w:rPr>
          <w:rFonts w:eastAsia="SimSun"/>
          <w:lang w:eastAsia="zh-CN"/>
        </w:rPr>
        <w:t>SST</w:t>
      </w:r>
      <w:r w:rsidRPr="00873B6C">
        <w:tab/>
      </w:r>
      <w:r w:rsidRPr="00873B6C">
        <w:rPr>
          <w:rFonts w:eastAsia="SimSun"/>
          <w:lang w:eastAsia="zh-CN"/>
        </w:rPr>
        <w:t>Slice/Service Type</w:t>
      </w:r>
    </w:p>
    <w:p w14:paraId="174D4192" w14:textId="77777777" w:rsidR="00D40151" w:rsidRPr="00873B6C" w:rsidRDefault="00D40151" w:rsidP="00D40151">
      <w:pPr>
        <w:pStyle w:val="EW"/>
      </w:pPr>
      <w:r w:rsidRPr="00873B6C">
        <w:rPr>
          <w:lang w:eastAsia="ko-KR"/>
        </w:rPr>
        <w:t>SUCI</w:t>
      </w:r>
      <w:r w:rsidRPr="00873B6C">
        <w:rPr>
          <w:lang w:eastAsia="ko-KR"/>
        </w:rPr>
        <w:tab/>
        <w:t>Subscription Concealed Identifier</w:t>
      </w:r>
    </w:p>
    <w:p w14:paraId="09D93005" w14:textId="77777777" w:rsidR="00D40151" w:rsidRPr="00873B6C" w:rsidRDefault="00D40151" w:rsidP="00D40151">
      <w:pPr>
        <w:pStyle w:val="EW"/>
        <w:rPr>
          <w:lang w:val="fr-FR"/>
        </w:rPr>
      </w:pPr>
      <w:r w:rsidRPr="00873B6C">
        <w:rPr>
          <w:lang w:val="fr-FR"/>
        </w:rPr>
        <w:t>SUPI</w:t>
      </w:r>
      <w:r w:rsidRPr="00873B6C">
        <w:rPr>
          <w:lang w:val="fr-FR"/>
        </w:rPr>
        <w:tab/>
        <w:t>Subscription Permanent Identifier</w:t>
      </w:r>
    </w:p>
    <w:p w14:paraId="6C13E936" w14:textId="77777777" w:rsidR="00D40151" w:rsidRPr="00873B6C" w:rsidRDefault="00D40151" w:rsidP="00D40151">
      <w:pPr>
        <w:pStyle w:val="EW"/>
        <w:rPr>
          <w:lang w:val="fr-FR"/>
        </w:rPr>
      </w:pPr>
      <w:r w:rsidRPr="00873B6C">
        <w:rPr>
          <w:lang w:val="fr-FR"/>
        </w:rPr>
        <w:t>SV</w:t>
      </w:r>
      <w:r w:rsidRPr="00873B6C">
        <w:rPr>
          <w:lang w:val="fr-FR"/>
        </w:rPr>
        <w:tab/>
        <w:t>Software Version</w:t>
      </w:r>
    </w:p>
    <w:p w14:paraId="60A2BD30" w14:textId="77777777" w:rsidR="00426DE4" w:rsidRPr="00873B6C" w:rsidRDefault="00426DE4" w:rsidP="00D40151">
      <w:pPr>
        <w:pStyle w:val="EW"/>
      </w:pPr>
      <w:r w:rsidRPr="00873B6C">
        <w:t>TA</w:t>
      </w:r>
      <w:r w:rsidRPr="00873B6C">
        <w:tab/>
        <w:t>Tracking Area</w:t>
      </w:r>
    </w:p>
    <w:p w14:paraId="737917A7" w14:textId="77777777" w:rsidR="00426DE4" w:rsidRPr="00873B6C" w:rsidRDefault="00426DE4" w:rsidP="00D40151">
      <w:pPr>
        <w:pStyle w:val="EW"/>
      </w:pPr>
      <w:r w:rsidRPr="00873B6C">
        <w:t>TAI</w:t>
      </w:r>
      <w:r w:rsidRPr="00873B6C">
        <w:tab/>
        <w:t>Tracking Area Identity</w:t>
      </w:r>
    </w:p>
    <w:p w14:paraId="52E69BB3" w14:textId="5E40B553" w:rsidR="00D40151" w:rsidRPr="00873B6C" w:rsidRDefault="00D40151" w:rsidP="00D40151">
      <w:pPr>
        <w:pStyle w:val="EW"/>
      </w:pPr>
      <w:r w:rsidRPr="00873B6C">
        <w:t>TNAN</w:t>
      </w:r>
      <w:r w:rsidRPr="00873B6C">
        <w:tab/>
        <w:t>Trusted Non-3GPP Access Network</w:t>
      </w:r>
    </w:p>
    <w:p w14:paraId="73F00F32" w14:textId="77777777" w:rsidR="00D40151" w:rsidRPr="00873B6C" w:rsidRDefault="00D40151" w:rsidP="00D40151">
      <w:pPr>
        <w:pStyle w:val="EW"/>
      </w:pPr>
      <w:r w:rsidRPr="00873B6C">
        <w:t>TNAP</w:t>
      </w:r>
      <w:r w:rsidRPr="00873B6C">
        <w:tab/>
        <w:t>Trusted Non-3GPP Access Point</w:t>
      </w:r>
    </w:p>
    <w:p w14:paraId="5B83E3F4" w14:textId="77777777" w:rsidR="00D40151" w:rsidRPr="00873B6C" w:rsidRDefault="00D40151" w:rsidP="00D40151">
      <w:pPr>
        <w:pStyle w:val="EW"/>
      </w:pPr>
      <w:r w:rsidRPr="00873B6C">
        <w:t>TNGF</w:t>
      </w:r>
      <w:r w:rsidRPr="00873B6C">
        <w:tab/>
        <w:t>Trusted Non-3GPP Gateway Function</w:t>
      </w:r>
    </w:p>
    <w:p w14:paraId="6DCCEBF8" w14:textId="77777777" w:rsidR="00D40151" w:rsidRPr="00873B6C" w:rsidRDefault="00D40151" w:rsidP="00D40151">
      <w:pPr>
        <w:pStyle w:val="EW"/>
      </w:pPr>
      <w:r w:rsidRPr="00873B6C">
        <w:t>TNL</w:t>
      </w:r>
      <w:r w:rsidRPr="00873B6C">
        <w:tab/>
        <w:t>Transport Network Layer</w:t>
      </w:r>
    </w:p>
    <w:p w14:paraId="69856B3F" w14:textId="77777777" w:rsidR="00D40151" w:rsidRPr="00873B6C" w:rsidRDefault="00D40151" w:rsidP="00D40151">
      <w:pPr>
        <w:pStyle w:val="EW"/>
      </w:pPr>
      <w:r w:rsidRPr="00873B6C">
        <w:t>TNLA</w:t>
      </w:r>
      <w:r w:rsidRPr="00873B6C">
        <w:tab/>
        <w:t>Transport Network Layer Association</w:t>
      </w:r>
    </w:p>
    <w:p w14:paraId="3E704E4B" w14:textId="77777777" w:rsidR="00D40151" w:rsidRPr="00873B6C" w:rsidRDefault="00D40151" w:rsidP="00D40151">
      <w:pPr>
        <w:pStyle w:val="EW"/>
      </w:pPr>
      <w:r w:rsidRPr="00873B6C">
        <w:t>TSC</w:t>
      </w:r>
      <w:r w:rsidRPr="00873B6C">
        <w:tab/>
        <w:t>Time Sensitive Communication</w:t>
      </w:r>
    </w:p>
    <w:p w14:paraId="157B5E74" w14:textId="05708495" w:rsidR="00F13E92" w:rsidRPr="00873B6C" w:rsidRDefault="00F13E92" w:rsidP="00D40151">
      <w:pPr>
        <w:pStyle w:val="EW"/>
      </w:pPr>
      <w:r w:rsidRPr="00873B6C">
        <w:t>TSCAC</w:t>
      </w:r>
      <w:r w:rsidRPr="00873B6C">
        <w:tab/>
        <w:t>TSC Assistance Container</w:t>
      </w:r>
    </w:p>
    <w:p w14:paraId="75785721" w14:textId="2BEA43BE" w:rsidR="00D40151" w:rsidRPr="00873B6C" w:rsidRDefault="00D40151" w:rsidP="00D40151">
      <w:pPr>
        <w:pStyle w:val="EW"/>
      </w:pPr>
      <w:r w:rsidRPr="00873B6C">
        <w:t>TSCAI</w:t>
      </w:r>
      <w:r w:rsidRPr="00873B6C">
        <w:tab/>
      </w:r>
      <w:r w:rsidR="00F13E92" w:rsidRPr="00873B6C">
        <w:t xml:space="preserve">Traffic </w:t>
      </w:r>
      <w:r w:rsidRPr="00873B6C">
        <w:t>Assistance Information</w:t>
      </w:r>
    </w:p>
    <w:p w14:paraId="48D3DFEA" w14:textId="66BD859F" w:rsidR="00182EE7" w:rsidRPr="00873B6C" w:rsidRDefault="00182EE7" w:rsidP="00D40151">
      <w:pPr>
        <w:pStyle w:val="EW"/>
      </w:pPr>
      <w:r w:rsidRPr="00873B6C">
        <w:t>TSCTSF</w:t>
      </w:r>
      <w:r w:rsidRPr="00873B6C">
        <w:tab/>
        <w:t xml:space="preserve">Time Sensitive Communication and Time Synchronization </w:t>
      </w:r>
      <w:r w:rsidR="003F2E5D" w:rsidRPr="00873B6C">
        <w:t>F</w:t>
      </w:r>
      <w:r w:rsidRPr="00873B6C">
        <w:t>unction</w:t>
      </w:r>
    </w:p>
    <w:p w14:paraId="24B37C8F" w14:textId="6E2627DB" w:rsidR="00D40151" w:rsidRPr="00873B6C" w:rsidRDefault="00D40151" w:rsidP="00D40151">
      <w:pPr>
        <w:pStyle w:val="EW"/>
      </w:pPr>
      <w:r w:rsidRPr="00873B6C">
        <w:t>TSN</w:t>
      </w:r>
      <w:r w:rsidRPr="00873B6C">
        <w:tab/>
        <w:t>Time Sensitive Networking</w:t>
      </w:r>
    </w:p>
    <w:p w14:paraId="14BE3F43" w14:textId="77777777" w:rsidR="00D40151" w:rsidRPr="00873B6C" w:rsidRDefault="00D40151" w:rsidP="00D40151">
      <w:pPr>
        <w:pStyle w:val="EW"/>
      </w:pPr>
      <w:r w:rsidRPr="00873B6C">
        <w:t>TSN GM</w:t>
      </w:r>
      <w:r w:rsidRPr="00873B6C">
        <w:tab/>
        <w:t>TSN Grand Master</w:t>
      </w:r>
    </w:p>
    <w:p w14:paraId="618DA17D" w14:textId="77777777" w:rsidR="00D40151" w:rsidRPr="00873B6C" w:rsidRDefault="00D40151" w:rsidP="00D40151">
      <w:pPr>
        <w:pStyle w:val="EW"/>
      </w:pPr>
      <w:r w:rsidRPr="00873B6C">
        <w:t>TSP</w:t>
      </w:r>
      <w:r w:rsidRPr="00873B6C">
        <w:tab/>
        <w:t>Traffic Steering Policy</w:t>
      </w:r>
    </w:p>
    <w:p w14:paraId="34D8BB0B" w14:textId="465C3E13" w:rsidR="0029208C" w:rsidRPr="00873B6C" w:rsidRDefault="0029208C" w:rsidP="00D40151">
      <w:pPr>
        <w:pStyle w:val="EW"/>
      </w:pPr>
      <w:r w:rsidRPr="00873B6C">
        <w:t>TSS</w:t>
      </w:r>
      <w:r w:rsidRPr="00873B6C">
        <w:tab/>
        <w:t>Timing Synchronization Status</w:t>
      </w:r>
    </w:p>
    <w:p w14:paraId="11792270" w14:textId="20D8B65C" w:rsidR="00D40151" w:rsidRPr="00873B6C" w:rsidRDefault="00D40151" w:rsidP="00D40151">
      <w:pPr>
        <w:pStyle w:val="EW"/>
      </w:pPr>
      <w:r w:rsidRPr="00873B6C">
        <w:t>TT</w:t>
      </w:r>
      <w:r w:rsidRPr="00873B6C">
        <w:tab/>
        <w:t>TSN Translator</w:t>
      </w:r>
    </w:p>
    <w:p w14:paraId="6F2AD6FC" w14:textId="77777777" w:rsidR="00D40151" w:rsidRPr="00873B6C" w:rsidRDefault="00D40151" w:rsidP="00D40151">
      <w:pPr>
        <w:pStyle w:val="EW"/>
      </w:pPr>
      <w:r w:rsidRPr="00873B6C">
        <w:t>TWIF</w:t>
      </w:r>
      <w:r w:rsidRPr="00873B6C">
        <w:tab/>
        <w:t>Trusted WLAN Interworking Function</w:t>
      </w:r>
    </w:p>
    <w:p w14:paraId="3EC26388" w14:textId="4271323F" w:rsidR="00C84B6D" w:rsidRPr="00873B6C" w:rsidRDefault="00C84B6D" w:rsidP="00D40151">
      <w:pPr>
        <w:pStyle w:val="EW"/>
      </w:pPr>
      <w:r w:rsidRPr="00873B6C">
        <w:t>UAS NF</w:t>
      </w:r>
      <w:r w:rsidRPr="00873B6C">
        <w:tab/>
        <w:t>Uncrewed Aerial System Network Function</w:t>
      </w:r>
    </w:p>
    <w:p w14:paraId="59867981" w14:textId="45072926" w:rsidR="00D40151" w:rsidRPr="00873B6C" w:rsidRDefault="00D40151" w:rsidP="00D40151">
      <w:pPr>
        <w:pStyle w:val="EW"/>
      </w:pPr>
      <w:r w:rsidRPr="00873B6C">
        <w:t>UCMF</w:t>
      </w:r>
      <w:r w:rsidRPr="00873B6C">
        <w:tab/>
        <w:t>UE radio Capability Management Function</w:t>
      </w:r>
    </w:p>
    <w:p w14:paraId="16F042BA" w14:textId="77777777" w:rsidR="00D40151" w:rsidRPr="00873B6C" w:rsidRDefault="00D40151" w:rsidP="00D40151">
      <w:pPr>
        <w:pStyle w:val="EW"/>
      </w:pPr>
      <w:r w:rsidRPr="00873B6C">
        <w:t>UDM</w:t>
      </w:r>
      <w:r w:rsidRPr="00873B6C">
        <w:tab/>
        <w:t>Unified Data Management</w:t>
      </w:r>
    </w:p>
    <w:p w14:paraId="1A3C8C86" w14:textId="77777777" w:rsidR="00D40151" w:rsidRPr="00873B6C" w:rsidRDefault="00D40151" w:rsidP="00D40151">
      <w:pPr>
        <w:pStyle w:val="EW"/>
      </w:pPr>
      <w:r w:rsidRPr="00873B6C">
        <w:t>UDR</w:t>
      </w:r>
      <w:r w:rsidRPr="00873B6C">
        <w:tab/>
        <w:t>Unified Data Repository</w:t>
      </w:r>
    </w:p>
    <w:p w14:paraId="1FE7B7F0" w14:textId="77777777" w:rsidR="00D40151" w:rsidRPr="00873B6C" w:rsidRDefault="00D40151" w:rsidP="00D40151">
      <w:pPr>
        <w:pStyle w:val="EW"/>
      </w:pPr>
      <w:r w:rsidRPr="00873B6C">
        <w:t>UDSF</w:t>
      </w:r>
      <w:r w:rsidRPr="00873B6C">
        <w:tab/>
        <w:t>Unstructured Data Storage Function</w:t>
      </w:r>
    </w:p>
    <w:p w14:paraId="17884210" w14:textId="77777777" w:rsidR="00D40151" w:rsidRPr="00873B6C" w:rsidRDefault="00D40151" w:rsidP="00D40151">
      <w:pPr>
        <w:pStyle w:val="EW"/>
      </w:pPr>
      <w:r w:rsidRPr="00873B6C">
        <w:t>UL</w:t>
      </w:r>
      <w:r w:rsidRPr="00873B6C">
        <w:tab/>
        <w:t>Uplink</w:t>
      </w:r>
    </w:p>
    <w:p w14:paraId="615B2B6A" w14:textId="77777777" w:rsidR="00D40151" w:rsidRPr="00873B6C" w:rsidRDefault="00D40151" w:rsidP="00D40151">
      <w:pPr>
        <w:pStyle w:val="EW"/>
      </w:pPr>
      <w:r w:rsidRPr="00873B6C">
        <w:t>UL CL</w:t>
      </w:r>
      <w:r w:rsidRPr="00873B6C">
        <w:tab/>
        <w:t>Uplink Classifier</w:t>
      </w:r>
    </w:p>
    <w:p w14:paraId="019D65EA" w14:textId="77777777" w:rsidR="00D40151" w:rsidRPr="00873B6C" w:rsidRDefault="00D40151" w:rsidP="00D40151">
      <w:pPr>
        <w:pStyle w:val="EW"/>
      </w:pPr>
      <w:r w:rsidRPr="00873B6C">
        <w:t>UPF</w:t>
      </w:r>
      <w:r w:rsidRPr="00873B6C">
        <w:tab/>
        <w:t>User Plane Function</w:t>
      </w:r>
    </w:p>
    <w:p w14:paraId="0E5B84C6" w14:textId="77777777" w:rsidR="00D40151" w:rsidRPr="00873B6C" w:rsidRDefault="00D40151" w:rsidP="00D40151">
      <w:pPr>
        <w:pStyle w:val="EW"/>
      </w:pPr>
      <w:r w:rsidRPr="00873B6C">
        <w:t>URLLC</w:t>
      </w:r>
      <w:r w:rsidRPr="00873B6C">
        <w:tab/>
        <w:t>Ultra Reliable Low Latency Communication</w:t>
      </w:r>
    </w:p>
    <w:p w14:paraId="68014D56" w14:textId="77777777" w:rsidR="00D40151" w:rsidRPr="00873B6C" w:rsidRDefault="00D40151" w:rsidP="00D40151">
      <w:pPr>
        <w:pStyle w:val="EW"/>
      </w:pPr>
      <w:r w:rsidRPr="00873B6C">
        <w:t>URRP-AMF</w:t>
      </w:r>
      <w:r w:rsidRPr="00873B6C">
        <w:tab/>
        <w:t>UE Reachability Request Parameter for AMF</w:t>
      </w:r>
    </w:p>
    <w:p w14:paraId="1500C46F" w14:textId="77777777" w:rsidR="00D40151" w:rsidRPr="00873B6C" w:rsidRDefault="00D40151" w:rsidP="00D40151">
      <w:pPr>
        <w:pStyle w:val="EW"/>
      </w:pPr>
      <w:r w:rsidRPr="00873B6C">
        <w:t>URSP</w:t>
      </w:r>
      <w:r w:rsidRPr="00873B6C">
        <w:tab/>
        <w:t xml:space="preserve">UE </w:t>
      </w:r>
      <w:r w:rsidRPr="00873B6C">
        <w:rPr>
          <w:lang w:eastAsia="zh-CN"/>
        </w:rPr>
        <w:t>Route Selection Policy</w:t>
      </w:r>
    </w:p>
    <w:p w14:paraId="597C8C92" w14:textId="77777777" w:rsidR="00D40151" w:rsidRPr="00873B6C" w:rsidRDefault="00D40151" w:rsidP="00D40151">
      <w:pPr>
        <w:pStyle w:val="EW"/>
      </w:pPr>
      <w:r w:rsidRPr="00873B6C">
        <w:t>VID</w:t>
      </w:r>
      <w:r w:rsidRPr="00873B6C">
        <w:tab/>
        <w:t>VLAN Identifier</w:t>
      </w:r>
    </w:p>
    <w:p w14:paraId="1A29AA5D" w14:textId="77777777" w:rsidR="00D40151" w:rsidRPr="00873B6C" w:rsidRDefault="00D40151" w:rsidP="00D40151">
      <w:pPr>
        <w:pStyle w:val="EW"/>
      </w:pPr>
      <w:r w:rsidRPr="00873B6C">
        <w:t>VLAN</w:t>
      </w:r>
      <w:r w:rsidRPr="00873B6C">
        <w:tab/>
        <w:t>Virtual Local Area Network</w:t>
      </w:r>
    </w:p>
    <w:p w14:paraId="4B7965C9" w14:textId="77777777" w:rsidR="00D40151" w:rsidRPr="00873B6C" w:rsidRDefault="00D40151" w:rsidP="00D40151">
      <w:pPr>
        <w:pStyle w:val="EW"/>
      </w:pPr>
      <w:r w:rsidRPr="00873B6C">
        <w:t>W-5GAN</w:t>
      </w:r>
      <w:r w:rsidRPr="00873B6C">
        <w:tab/>
        <w:t>Wireline 5G Access Network</w:t>
      </w:r>
    </w:p>
    <w:p w14:paraId="0B42AC1C" w14:textId="77777777" w:rsidR="00D40151" w:rsidRPr="00873B6C" w:rsidRDefault="00D40151" w:rsidP="00D40151">
      <w:pPr>
        <w:pStyle w:val="EW"/>
      </w:pPr>
      <w:r w:rsidRPr="00873B6C">
        <w:t>W-5GBAN</w:t>
      </w:r>
      <w:r w:rsidRPr="00873B6C">
        <w:tab/>
        <w:t>Wireline BBF Access Network</w:t>
      </w:r>
    </w:p>
    <w:p w14:paraId="17D16AB7" w14:textId="77777777" w:rsidR="00D40151" w:rsidRPr="00873B6C" w:rsidRDefault="00D40151" w:rsidP="00D40151">
      <w:pPr>
        <w:pStyle w:val="EW"/>
      </w:pPr>
      <w:r w:rsidRPr="00873B6C">
        <w:t>W-5GCAN</w:t>
      </w:r>
      <w:r w:rsidRPr="00873B6C">
        <w:tab/>
        <w:t>Wireline 5G Cable Access Network</w:t>
      </w:r>
    </w:p>
    <w:p w14:paraId="57F7BF54" w14:textId="77777777" w:rsidR="00D40151" w:rsidRPr="00873B6C" w:rsidRDefault="00D40151" w:rsidP="00D40151">
      <w:pPr>
        <w:pStyle w:val="EW"/>
      </w:pPr>
      <w:r w:rsidRPr="00873B6C">
        <w:t>W-AGF</w:t>
      </w:r>
      <w:r w:rsidRPr="00873B6C">
        <w:tab/>
        <w:t>Wireline Access Gateway Function</w:t>
      </w:r>
    </w:p>
    <w:p w14:paraId="5673D2FB" w14:textId="77777777" w:rsidR="00D40151" w:rsidRPr="00873B6C" w:rsidRDefault="00D40151" w:rsidP="00D40151">
      <w:pPr>
        <w:pStyle w:val="EW"/>
      </w:pPr>
    </w:p>
    <w:p w14:paraId="3471BC61" w14:textId="77777777" w:rsidR="00D40151" w:rsidRPr="00873B6C" w:rsidRDefault="00D40151" w:rsidP="00D40151">
      <w:pPr>
        <w:pStyle w:val="Heading1"/>
      </w:pPr>
      <w:bookmarkStart w:id="56" w:name="_CR4"/>
      <w:bookmarkStart w:id="57" w:name="_Toc20149628"/>
      <w:bookmarkStart w:id="58" w:name="_Toc27846419"/>
      <w:bookmarkStart w:id="59" w:name="_Toc36187543"/>
      <w:bookmarkStart w:id="60" w:name="_Toc45183447"/>
      <w:bookmarkStart w:id="61" w:name="_Toc47342289"/>
      <w:bookmarkStart w:id="62" w:name="_Toc51768987"/>
      <w:bookmarkStart w:id="63" w:name="_Toc201156900"/>
      <w:bookmarkEnd w:id="56"/>
      <w:r w:rsidRPr="00873B6C">
        <w:lastRenderedPageBreak/>
        <w:t>4</w:t>
      </w:r>
      <w:r w:rsidRPr="00873B6C">
        <w:tab/>
        <w:t>Architecture model and concepts</w:t>
      </w:r>
      <w:bookmarkEnd w:id="57"/>
      <w:bookmarkEnd w:id="58"/>
      <w:bookmarkEnd w:id="59"/>
      <w:bookmarkEnd w:id="60"/>
      <w:bookmarkEnd w:id="61"/>
      <w:bookmarkEnd w:id="62"/>
      <w:bookmarkEnd w:id="63"/>
    </w:p>
    <w:p w14:paraId="0A549CE0" w14:textId="77777777" w:rsidR="00D40151" w:rsidRPr="00873B6C" w:rsidRDefault="00D40151" w:rsidP="00D40151">
      <w:pPr>
        <w:pStyle w:val="Heading2"/>
      </w:pPr>
      <w:bookmarkStart w:id="64" w:name="_CR4_1"/>
      <w:bookmarkStart w:id="65" w:name="_Toc20149629"/>
      <w:bookmarkStart w:id="66" w:name="_Toc27846420"/>
      <w:bookmarkStart w:id="67" w:name="_Toc36187544"/>
      <w:bookmarkStart w:id="68" w:name="_Toc45183448"/>
      <w:bookmarkStart w:id="69" w:name="_Toc47342290"/>
      <w:bookmarkStart w:id="70" w:name="_Toc51768988"/>
      <w:bookmarkStart w:id="71" w:name="_Toc201156901"/>
      <w:bookmarkEnd w:id="64"/>
      <w:r w:rsidRPr="00873B6C">
        <w:t>4.1</w:t>
      </w:r>
      <w:r w:rsidRPr="00873B6C">
        <w:tab/>
        <w:t>General concepts</w:t>
      </w:r>
      <w:bookmarkEnd w:id="65"/>
      <w:bookmarkEnd w:id="66"/>
      <w:bookmarkEnd w:id="67"/>
      <w:bookmarkEnd w:id="68"/>
      <w:bookmarkEnd w:id="69"/>
      <w:bookmarkEnd w:id="70"/>
      <w:bookmarkEnd w:id="71"/>
    </w:p>
    <w:p w14:paraId="6B12E35D" w14:textId="77777777" w:rsidR="00D40151" w:rsidRPr="00873B6C" w:rsidRDefault="00D40151" w:rsidP="00D40151">
      <w:r w:rsidRPr="00873B6C">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873B6C" w:rsidRDefault="00D40151" w:rsidP="00D40151">
      <w:pPr>
        <w:pStyle w:val="B1"/>
      </w:pPr>
      <w:r w:rsidRPr="00873B6C">
        <w:t>-</w:t>
      </w:r>
      <w:r w:rsidRPr="00873B6C">
        <w:tab/>
        <w:t>Separate the User Plane (UP) functions from the Control Plane (CP) functions, allowing independent scalability, evolution and flexible deployments e.g. centralized location or distributed (remote) location.</w:t>
      </w:r>
    </w:p>
    <w:p w14:paraId="4EA825DE" w14:textId="77777777" w:rsidR="00D40151" w:rsidRPr="00873B6C" w:rsidRDefault="00D40151" w:rsidP="00D40151">
      <w:pPr>
        <w:pStyle w:val="B1"/>
      </w:pPr>
      <w:r w:rsidRPr="00873B6C">
        <w:t>-</w:t>
      </w:r>
      <w:r w:rsidRPr="00873B6C">
        <w:tab/>
        <w:t>Modularize the function design, e.g. to enable flexible and efficient network slicing.</w:t>
      </w:r>
    </w:p>
    <w:p w14:paraId="23C19B1A" w14:textId="77777777" w:rsidR="00D40151" w:rsidRPr="00873B6C" w:rsidRDefault="00D40151" w:rsidP="00D40151">
      <w:pPr>
        <w:pStyle w:val="B1"/>
      </w:pPr>
      <w:r w:rsidRPr="00873B6C">
        <w:t>-</w:t>
      </w:r>
      <w:r w:rsidRPr="00873B6C">
        <w:tab/>
        <w:t>Wherever applicable, define procedures (i.e. the set of interactions between network functions) as services, so that their re-use is possible.</w:t>
      </w:r>
    </w:p>
    <w:p w14:paraId="55680C09" w14:textId="77777777" w:rsidR="00D40151" w:rsidRPr="00873B6C" w:rsidRDefault="00D40151" w:rsidP="00D40151">
      <w:pPr>
        <w:pStyle w:val="B1"/>
      </w:pPr>
      <w:r w:rsidRPr="00873B6C">
        <w:t>-</w:t>
      </w:r>
      <w:r w:rsidRPr="00873B6C">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873B6C" w:rsidRDefault="00D40151" w:rsidP="00D40151">
      <w:pPr>
        <w:pStyle w:val="B1"/>
      </w:pPr>
      <w:r w:rsidRPr="00873B6C">
        <w:t>-</w:t>
      </w:r>
      <w:r w:rsidRPr="00873B6C">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873B6C" w:rsidRDefault="00D40151" w:rsidP="00D40151">
      <w:pPr>
        <w:pStyle w:val="B1"/>
      </w:pPr>
      <w:r w:rsidRPr="00873B6C">
        <w:t>-</w:t>
      </w:r>
      <w:r w:rsidRPr="00873B6C">
        <w:tab/>
        <w:t>Support a unified authentication framework.</w:t>
      </w:r>
    </w:p>
    <w:p w14:paraId="1B9824F2" w14:textId="77777777" w:rsidR="00D40151" w:rsidRPr="00873B6C" w:rsidRDefault="00D40151" w:rsidP="00D40151">
      <w:pPr>
        <w:pStyle w:val="B1"/>
      </w:pPr>
      <w:r w:rsidRPr="00873B6C">
        <w:t>-</w:t>
      </w:r>
      <w:r w:rsidRPr="00873B6C">
        <w:tab/>
        <w:t>Support "stateless" NFs, where the "compute" resource is decoupled from the "storage" resource.</w:t>
      </w:r>
    </w:p>
    <w:p w14:paraId="36CE1A3A" w14:textId="77777777" w:rsidR="00D40151" w:rsidRPr="00873B6C" w:rsidRDefault="00D40151" w:rsidP="00D40151">
      <w:pPr>
        <w:pStyle w:val="B1"/>
      </w:pPr>
      <w:r w:rsidRPr="00873B6C">
        <w:t>-</w:t>
      </w:r>
      <w:r w:rsidRPr="00873B6C">
        <w:tab/>
        <w:t>Support capability exposure.</w:t>
      </w:r>
    </w:p>
    <w:p w14:paraId="1BD0F365" w14:textId="0FBC2378" w:rsidR="00D40151" w:rsidRPr="00873B6C" w:rsidRDefault="00D40151" w:rsidP="00D40151">
      <w:pPr>
        <w:pStyle w:val="B1"/>
      </w:pPr>
      <w:r w:rsidRPr="00873B6C">
        <w:t>-</w:t>
      </w:r>
      <w:r w:rsidRPr="00873B6C">
        <w:tab/>
        <w:t>Support concurrent access to local and centralized services. To support low latency services and</w:t>
      </w:r>
      <w:r w:rsidR="00D841E1" w:rsidRPr="00873B6C">
        <w:t xml:space="preserve"> local</w:t>
      </w:r>
      <w:r w:rsidRPr="00873B6C">
        <w:t xml:space="preserve"> access to data networks, UP functions can be deployed close to the Access Network.</w:t>
      </w:r>
    </w:p>
    <w:p w14:paraId="3A1638BE" w14:textId="77777777" w:rsidR="00D40151" w:rsidRPr="00873B6C" w:rsidRDefault="00D40151" w:rsidP="00D40151">
      <w:pPr>
        <w:pStyle w:val="B1"/>
      </w:pPr>
      <w:r w:rsidRPr="00873B6C">
        <w:t>-</w:t>
      </w:r>
      <w:r w:rsidRPr="00873B6C">
        <w:tab/>
        <w:t>Support roaming with both Home routed traffic as well as Local breakout traffic in the visited PLMN.</w:t>
      </w:r>
    </w:p>
    <w:p w14:paraId="018B9CB5" w14:textId="77777777" w:rsidR="00D40151" w:rsidRPr="00873B6C" w:rsidRDefault="00D40151" w:rsidP="00D40151">
      <w:pPr>
        <w:pStyle w:val="Heading2"/>
      </w:pPr>
      <w:bookmarkStart w:id="72" w:name="_CR4_2"/>
      <w:bookmarkStart w:id="73" w:name="_Toc20149630"/>
      <w:bookmarkStart w:id="74" w:name="_Toc27846421"/>
      <w:bookmarkStart w:id="75" w:name="_Toc36187545"/>
      <w:bookmarkStart w:id="76" w:name="_Toc45183449"/>
      <w:bookmarkStart w:id="77" w:name="_Toc47342291"/>
      <w:bookmarkStart w:id="78" w:name="_Toc51768989"/>
      <w:bookmarkStart w:id="79" w:name="_Toc201156902"/>
      <w:bookmarkEnd w:id="72"/>
      <w:r w:rsidRPr="00873B6C">
        <w:t>4.2</w:t>
      </w:r>
      <w:r w:rsidRPr="00873B6C">
        <w:tab/>
        <w:t>Architecture reference model</w:t>
      </w:r>
      <w:bookmarkEnd w:id="73"/>
      <w:bookmarkEnd w:id="74"/>
      <w:bookmarkEnd w:id="75"/>
      <w:bookmarkEnd w:id="76"/>
      <w:bookmarkEnd w:id="77"/>
      <w:bookmarkEnd w:id="78"/>
      <w:bookmarkEnd w:id="79"/>
    </w:p>
    <w:p w14:paraId="64076A66" w14:textId="77777777" w:rsidR="00D40151" w:rsidRPr="00873B6C" w:rsidRDefault="00D40151" w:rsidP="00D40151">
      <w:pPr>
        <w:pStyle w:val="Heading3"/>
      </w:pPr>
      <w:bookmarkStart w:id="80" w:name="_CR4_2_1"/>
      <w:bookmarkStart w:id="81" w:name="_Toc20149631"/>
      <w:bookmarkStart w:id="82" w:name="_Toc27846422"/>
      <w:bookmarkStart w:id="83" w:name="_Toc36187546"/>
      <w:bookmarkStart w:id="84" w:name="_Toc45183450"/>
      <w:bookmarkStart w:id="85" w:name="_Toc47342292"/>
      <w:bookmarkStart w:id="86" w:name="_Toc51768990"/>
      <w:bookmarkStart w:id="87" w:name="_Toc201156903"/>
      <w:bookmarkEnd w:id="80"/>
      <w:r w:rsidRPr="00873B6C">
        <w:t>4.2.1</w:t>
      </w:r>
      <w:r w:rsidRPr="00873B6C">
        <w:tab/>
        <w:t>General</w:t>
      </w:r>
      <w:bookmarkEnd w:id="81"/>
      <w:bookmarkEnd w:id="82"/>
      <w:bookmarkEnd w:id="83"/>
      <w:bookmarkEnd w:id="84"/>
      <w:bookmarkEnd w:id="85"/>
      <w:bookmarkEnd w:id="86"/>
      <w:bookmarkEnd w:id="87"/>
    </w:p>
    <w:p w14:paraId="0B89B010" w14:textId="77777777" w:rsidR="00D40151" w:rsidRPr="00873B6C" w:rsidRDefault="00D40151" w:rsidP="00D40151">
      <w:pPr>
        <w:rPr>
          <w:lang w:eastAsia="zh-CN"/>
        </w:rPr>
      </w:pPr>
      <w:r w:rsidRPr="00873B6C">
        <w:rPr>
          <w:lang w:eastAsia="zh-CN"/>
        </w:rPr>
        <w:t xml:space="preserve">This specification </w:t>
      </w:r>
      <w:r w:rsidRPr="00873B6C">
        <w:t>describes the architecture for the 5G System. The 5G architecture is defined as service-based and the interaction between network functions is represented in two ways.</w:t>
      </w:r>
    </w:p>
    <w:p w14:paraId="3C340F0F" w14:textId="77777777" w:rsidR="00D40151" w:rsidRPr="00873B6C" w:rsidRDefault="00D40151" w:rsidP="00D40151">
      <w:pPr>
        <w:pStyle w:val="B1"/>
        <w:rPr>
          <w:lang w:eastAsia="zh-CN"/>
        </w:rPr>
      </w:pPr>
      <w:r w:rsidRPr="00873B6C">
        <w:rPr>
          <w:lang w:eastAsia="zh-CN"/>
        </w:rPr>
        <w:t>-</w:t>
      </w:r>
      <w:r w:rsidRPr="00873B6C">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873B6C" w:rsidRDefault="00D40151" w:rsidP="00D40151">
      <w:pPr>
        <w:pStyle w:val="B1"/>
      </w:pPr>
      <w:r w:rsidRPr="00873B6C">
        <w:t>-</w:t>
      </w:r>
      <w:r w:rsidRPr="00873B6C">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873B6C" w:rsidRDefault="00D40151" w:rsidP="00D40151">
      <w:r w:rsidRPr="00873B6C">
        <w:t>Service-based interfaces are listed in clause 4.2.6. Reference points are listed in clause 4.2.7.</w:t>
      </w:r>
    </w:p>
    <w:p w14:paraId="486559A9" w14:textId="77777777" w:rsidR="00D40151" w:rsidRPr="00873B6C" w:rsidRDefault="00D40151" w:rsidP="00D40151">
      <w:r w:rsidRPr="00873B6C">
        <w:t>Network functions within the 5GC Control Plane shall only use service-based interfaces for their interactions.</w:t>
      </w:r>
    </w:p>
    <w:p w14:paraId="732D7186" w14:textId="77777777" w:rsidR="00D40151" w:rsidRPr="00873B6C" w:rsidRDefault="00D40151" w:rsidP="00D40151">
      <w:pPr>
        <w:pStyle w:val="NO"/>
      </w:pPr>
      <w:r w:rsidRPr="00873B6C">
        <w:t>NOTE 1:</w:t>
      </w:r>
      <w:r w:rsidRPr="00873B6C">
        <w:tab/>
        <w:t>The interactions between NF services within one NF are not specified in this Release of the specification.</w:t>
      </w:r>
    </w:p>
    <w:p w14:paraId="2523DC71" w14:textId="77777777" w:rsidR="00D40151" w:rsidRPr="00873B6C" w:rsidRDefault="00D40151" w:rsidP="00D40151">
      <w:r w:rsidRPr="00873B6C">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873B6C" w:rsidRDefault="00160667" w:rsidP="00160667">
      <w:bookmarkStart w:id="88" w:name="_Toc20149632"/>
      <w:bookmarkStart w:id="89" w:name="_Toc27846423"/>
      <w:bookmarkStart w:id="90" w:name="_Toc36187547"/>
      <w:bookmarkStart w:id="91" w:name="_Toc45183451"/>
      <w:bookmarkStart w:id="92" w:name="_Toc47342293"/>
      <w:bookmarkStart w:id="93" w:name="_Toc51768991"/>
      <w:r w:rsidRPr="00873B6C">
        <w:t>In addition to the architecture descriptions in clause 4, the following areas are further described in other specifications:</w:t>
      </w:r>
    </w:p>
    <w:p w14:paraId="7D10E237" w14:textId="5EC50082" w:rsidR="00160667" w:rsidRPr="00873B6C" w:rsidRDefault="00160667" w:rsidP="00562E84">
      <w:pPr>
        <w:pStyle w:val="B1"/>
      </w:pPr>
      <w:r w:rsidRPr="00873B6C">
        <w:lastRenderedPageBreak/>
        <w:t>-</w:t>
      </w:r>
      <w:r w:rsidRPr="00873B6C">
        <w:tab/>
        <w:t xml:space="preserve">NG-RAN architecture is described in </w:t>
      </w:r>
      <w:r w:rsidR="00972E70" w:rsidRPr="00873B6C">
        <w:t>TS 38.300 [</w:t>
      </w:r>
      <w:r w:rsidRPr="00873B6C">
        <w:t xml:space="preserve">27] and </w:t>
      </w:r>
      <w:r w:rsidR="00972E70" w:rsidRPr="00873B6C">
        <w:t>TS 38.401 [</w:t>
      </w:r>
      <w:r w:rsidRPr="00873B6C">
        <w:t>42].</w:t>
      </w:r>
    </w:p>
    <w:p w14:paraId="5AA9152C" w14:textId="3337C6E5" w:rsidR="00160667" w:rsidRPr="00873B6C" w:rsidRDefault="00160667" w:rsidP="00562E84">
      <w:pPr>
        <w:pStyle w:val="B1"/>
      </w:pPr>
      <w:r w:rsidRPr="00873B6C">
        <w:t>-</w:t>
      </w:r>
      <w:r w:rsidRPr="00873B6C">
        <w:tab/>
        <w:t xml:space="preserve">Security architecture is described in </w:t>
      </w:r>
      <w:r w:rsidR="00972E70" w:rsidRPr="00873B6C">
        <w:t>TS 33.501 [</w:t>
      </w:r>
      <w:r w:rsidRPr="00873B6C">
        <w:t xml:space="preserve">29] and </w:t>
      </w:r>
      <w:r w:rsidR="00972E70" w:rsidRPr="00873B6C">
        <w:t>TS 33.535 [</w:t>
      </w:r>
      <w:r w:rsidRPr="00873B6C">
        <w:t>124].</w:t>
      </w:r>
    </w:p>
    <w:p w14:paraId="03D1A87B" w14:textId="342C5C6C" w:rsidR="00160667" w:rsidRPr="00873B6C" w:rsidRDefault="00160667" w:rsidP="00562E84">
      <w:pPr>
        <w:pStyle w:val="B1"/>
      </w:pPr>
      <w:r w:rsidRPr="00873B6C">
        <w:t>-</w:t>
      </w:r>
      <w:r w:rsidRPr="00873B6C">
        <w:tab/>
        <w:t xml:space="preserve">Charging architecture is described in </w:t>
      </w:r>
      <w:r w:rsidR="00972E70" w:rsidRPr="00873B6C">
        <w:t>TS 32.240 [</w:t>
      </w:r>
      <w:r w:rsidRPr="00873B6C">
        <w:t>41].</w:t>
      </w:r>
    </w:p>
    <w:p w14:paraId="3604ADB4" w14:textId="5CDC6DCC" w:rsidR="00160667" w:rsidRPr="00873B6C" w:rsidRDefault="00160667" w:rsidP="00562E84">
      <w:pPr>
        <w:pStyle w:val="B1"/>
      </w:pPr>
      <w:r w:rsidRPr="00873B6C">
        <w:t>-</w:t>
      </w:r>
      <w:r w:rsidRPr="00873B6C">
        <w:tab/>
        <w:t xml:space="preserve">5G Media streaming architecture is described in </w:t>
      </w:r>
      <w:r w:rsidR="00972E70" w:rsidRPr="00873B6C">
        <w:t>TS 26.501 [</w:t>
      </w:r>
      <w:r w:rsidRPr="00873B6C">
        <w:t>135].</w:t>
      </w:r>
    </w:p>
    <w:p w14:paraId="5210676F" w14:textId="7C6B6BC7" w:rsidR="00160667" w:rsidRPr="00873B6C" w:rsidRDefault="00160667" w:rsidP="00562E84">
      <w:pPr>
        <w:pStyle w:val="NO"/>
      </w:pPr>
      <w:r w:rsidRPr="00873B6C">
        <w:t>NOTE 3:</w:t>
      </w:r>
      <w:r w:rsidRPr="00873B6C">
        <w:tab/>
        <w:t>The NFs listed in clause 4.2.2 are described in the following clauses or in the specifications above.</w:t>
      </w:r>
    </w:p>
    <w:p w14:paraId="6BCCA96C" w14:textId="77777777" w:rsidR="00D40151" w:rsidRPr="00873B6C" w:rsidRDefault="00D40151" w:rsidP="00D40151">
      <w:pPr>
        <w:pStyle w:val="Heading3"/>
      </w:pPr>
      <w:bookmarkStart w:id="94" w:name="_CR4_2_2"/>
      <w:bookmarkStart w:id="95" w:name="_Toc201156904"/>
      <w:bookmarkEnd w:id="94"/>
      <w:r w:rsidRPr="00873B6C">
        <w:t>4.2.2</w:t>
      </w:r>
      <w:r w:rsidRPr="00873B6C">
        <w:tab/>
        <w:t>Network Functions and entities</w:t>
      </w:r>
      <w:bookmarkEnd w:id="88"/>
      <w:bookmarkEnd w:id="89"/>
      <w:bookmarkEnd w:id="90"/>
      <w:bookmarkEnd w:id="91"/>
      <w:bookmarkEnd w:id="92"/>
      <w:bookmarkEnd w:id="93"/>
      <w:bookmarkEnd w:id="95"/>
    </w:p>
    <w:p w14:paraId="258C944A" w14:textId="578D3706" w:rsidR="00D40151" w:rsidRPr="00873B6C" w:rsidRDefault="00D40151" w:rsidP="00D40151">
      <w:r w:rsidRPr="00873B6C">
        <w:t>The 5G System architecture consists of the following network functions (NF)</w:t>
      </w:r>
      <w:r w:rsidR="00160667" w:rsidRPr="00873B6C">
        <w:t>:</w:t>
      </w:r>
    </w:p>
    <w:p w14:paraId="1D219EB2" w14:textId="77777777" w:rsidR="00D40151" w:rsidRPr="00873B6C" w:rsidRDefault="00D40151" w:rsidP="00D40151">
      <w:pPr>
        <w:pStyle w:val="B1"/>
      </w:pPr>
      <w:r w:rsidRPr="00873B6C">
        <w:t>-</w:t>
      </w:r>
      <w:r w:rsidRPr="00873B6C">
        <w:tab/>
        <w:t>Authentication Server Function (AUSF).</w:t>
      </w:r>
    </w:p>
    <w:p w14:paraId="2DD1D4E7" w14:textId="77777777" w:rsidR="00D40151" w:rsidRPr="00873B6C" w:rsidRDefault="00D40151" w:rsidP="00D40151">
      <w:pPr>
        <w:pStyle w:val="B1"/>
      </w:pPr>
      <w:r w:rsidRPr="00873B6C">
        <w:t>-</w:t>
      </w:r>
      <w:r w:rsidRPr="00873B6C">
        <w:tab/>
        <w:t>Access and Mobility Management Function (AMF).</w:t>
      </w:r>
    </w:p>
    <w:p w14:paraId="65E16B45" w14:textId="77777777" w:rsidR="00D40151" w:rsidRPr="00873B6C" w:rsidRDefault="00D40151" w:rsidP="00D40151">
      <w:pPr>
        <w:pStyle w:val="B1"/>
      </w:pPr>
      <w:r w:rsidRPr="00873B6C">
        <w:t>-</w:t>
      </w:r>
      <w:r w:rsidRPr="00873B6C">
        <w:tab/>
        <w:t>Data Network (DN), e.g. operator services, Internet access or 3rd party services.</w:t>
      </w:r>
    </w:p>
    <w:p w14:paraId="13DD2F9A" w14:textId="77777777" w:rsidR="00D40151" w:rsidRPr="00873B6C" w:rsidRDefault="00D40151" w:rsidP="00D40151">
      <w:pPr>
        <w:pStyle w:val="B1"/>
      </w:pPr>
      <w:r w:rsidRPr="00873B6C">
        <w:t>-</w:t>
      </w:r>
      <w:r w:rsidRPr="00873B6C">
        <w:tab/>
        <w:t>Unstructured Data Storage Function (UDSF).</w:t>
      </w:r>
    </w:p>
    <w:p w14:paraId="2777F240" w14:textId="77777777" w:rsidR="00D40151" w:rsidRPr="00873B6C" w:rsidRDefault="00D40151" w:rsidP="00D40151">
      <w:pPr>
        <w:pStyle w:val="B1"/>
      </w:pPr>
      <w:r w:rsidRPr="00873B6C">
        <w:t>-</w:t>
      </w:r>
      <w:r w:rsidRPr="00873B6C">
        <w:tab/>
        <w:t>Network Exposure Function (NEF).</w:t>
      </w:r>
    </w:p>
    <w:p w14:paraId="3F9549C8" w14:textId="77777777" w:rsidR="00D40151" w:rsidRPr="00873B6C" w:rsidRDefault="00D40151" w:rsidP="00D40151">
      <w:pPr>
        <w:pStyle w:val="B1"/>
      </w:pPr>
      <w:r w:rsidRPr="00873B6C">
        <w:t>-</w:t>
      </w:r>
      <w:r w:rsidRPr="00873B6C">
        <w:tab/>
        <w:t>Network Repository Function (NRF).</w:t>
      </w:r>
    </w:p>
    <w:p w14:paraId="4E1B223F" w14:textId="01FDB9DC" w:rsidR="006D2D57" w:rsidRPr="00873B6C" w:rsidRDefault="006D2D57" w:rsidP="00D40151">
      <w:pPr>
        <w:pStyle w:val="B1"/>
      </w:pPr>
      <w:r w:rsidRPr="00873B6C">
        <w:t>-</w:t>
      </w:r>
      <w:r w:rsidRPr="00873B6C">
        <w:tab/>
        <w:t>Network Slice Admission Control Function (NSACF).</w:t>
      </w:r>
    </w:p>
    <w:p w14:paraId="5D3C50E6" w14:textId="5F84BB3E" w:rsidR="00D40151" w:rsidRPr="00873B6C" w:rsidRDefault="00D40151" w:rsidP="00D40151">
      <w:pPr>
        <w:pStyle w:val="B1"/>
      </w:pPr>
      <w:r w:rsidRPr="00873B6C">
        <w:t>-</w:t>
      </w:r>
      <w:r w:rsidRPr="00873B6C">
        <w:tab/>
        <w:t>Network Slice</w:t>
      </w:r>
      <w:r w:rsidR="00AF315F" w:rsidRPr="00873B6C">
        <w:t>-s</w:t>
      </w:r>
      <w:r w:rsidRPr="00873B6C">
        <w:t>pecific</w:t>
      </w:r>
      <w:r w:rsidR="00AF315F" w:rsidRPr="00873B6C">
        <w:t xml:space="preserve"> and SNPN</w:t>
      </w:r>
      <w:r w:rsidRPr="00873B6C">
        <w:t xml:space="preserve"> Authentication and Authorization Function (NSSAAF).</w:t>
      </w:r>
    </w:p>
    <w:p w14:paraId="6DF88030" w14:textId="77777777" w:rsidR="00D40151" w:rsidRPr="00873B6C" w:rsidRDefault="00D40151" w:rsidP="00D40151">
      <w:pPr>
        <w:pStyle w:val="B1"/>
      </w:pPr>
      <w:r w:rsidRPr="00873B6C">
        <w:t>-</w:t>
      </w:r>
      <w:r w:rsidRPr="00873B6C">
        <w:tab/>
        <w:t>Network Slice Selection Function (NSSF).</w:t>
      </w:r>
    </w:p>
    <w:p w14:paraId="715A9C35" w14:textId="77777777" w:rsidR="00D40151" w:rsidRPr="00873B6C" w:rsidRDefault="00D40151" w:rsidP="00D40151">
      <w:pPr>
        <w:pStyle w:val="B1"/>
      </w:pPr>
      <w:r w:rsidRPr="00873B6C">
        <w:t>-</w:t>
      </w:r>
      <w:r w:rsidRPr="00873B6C">
        <w:tab/>
        <w:t>Policy Control Function (PCF).</w:t>
      </w:r>
    </w:p>
    <w:p w14:paraId="3C279750" w14:textId="77777777" w:rsidR="00D40151" w:rsidRPr="00873B6C" w:rsidRDefault="00D40151" w:rsidP="00D40151">
      <w:pPr>
        <w:pStyle w:val="B1"/>
      </w:pPr>
      <w:r w:rsidRPr="00873B6C">
        <w:t>-</w:t>
      </w:r>
      <w:r w:rsidRPr="00873B6C">
        <w:tab/>
        <w:t>Session Management Function (SMF).</w:t>
      </w:r>
    </w:p>
    <w:p w14:paraId="55E4ADDB" w14:textId="77777777" w:rsidR="00D40151" w:rsidRPr="00873B6C" w:rsidRDefault="00D40151" w:rsidP="00D40151">
      <w:pPr>
        <w:pStyle w:val="B1"/>
      </w:pPr>
      <w:r w:rsidRPr="00873B6C">
        <w:t>-</w:t>
      </w:r>
      <w:r w:rsidRPr="00873B6C">
        <w:tab/>
        <w:t>Unified Data Management (UDM).</w:t>
      </w:r>
    </w:p>
    <w:p w14:paraId="40EE8393" w14:textId="77777777" w:rsidR="00D40151" w:rsidRPr="00873B6C" w:rsidRDefault="00D40151" w:rsidP="00D40151">
      <w:pPr>
        <w:pStyle w:val="B1"/>
      </w:pPr>
      <w:r w:rsidRPr="00873B6C">
        <w:t>-</w:t>
      </w:r>
      <w:r w:rsidRPr="00873B6C">
        <w:tab/>
        <w:t>Unified Data Repository (UDR).</w:t>
      </w:r>
    </w:p>
    <w:p w14:paraId="193A7027" w14:textId="77777777" w:rsidR="00D40151" w:rsidRPr="00873B6C" w:rsidRDefault="00D40151" w:rsidP="00D40151">
      <w:pPr>
        <w:pStyle w:val="B1"/>
      </w:pPr>
      <w:r w:rsidRPr="00873B6C">
        <w:t>-</w:t>
      </w:r>
      <w:r w:rsidRPr="00873B6C">
        <w:tab/>
        <w:t>User Plane Function (UPF).</w:t>
      </w:r>
    </w:p>
    <w:p w14:paraId="71ED4229" w14:textId="77777777" w:rsidR="00D40151" w:rsidRPr="00873B6C" w:rsidRDefault="00D40151" w:rsidP="00D40151">
      <w:pPr>
        <w:pStyle w:val="B1"/>
      </w:pPr>
      <w:r w:rsidRPr="00873B6C">
        <w:t>-</w:t>
      </w:r>
      <w:r w:rsidRPr="00873B6C">
        <w:tab/>
        <w:t>UE radio Capability Management Function (UCMF).</w:t>
      </w:r>
    </w:p>
    <w:p w14:paraId="36100F5D" w14:textId="77777777" w:rsidR="00D40151" w:rsidRPr="00873B6C" w:rsidRDefault="00D40151" w:rsidP="00D40151">
      <w:pPr>
        <w:pStyle w:val="B1"/>
      </w:pPr>
      <w:r w:rsidRPr="00873B6C">
        <w:t>-</w:t>
      </w:r>
      <w:r w:rsidRPr="00873B6C">
        <w:tab/>
        <w:t>Application Function (AF).</w:t>
      </w:r>
    </w:p>
    <w:p w14:paraId="212A2EFD" w14:textId="77777777" w:rsidR="00D40151" w:rsidRPr="00873B6C" w:rsidRDefault="00D40151" w:rsidP="00D40151">
      <w:pPr>
        <w:pStyle w:val="B1"/>
      </w:pPr>
      <w:r w:rsidRPr="00873B6C">
        <w:t>-</w:t>
      </w:r>
      <w:r w:rsidRPr="00873B6C">
        <w:tab/>
        <w:t>User Equipment (UE).</w:t>
      </w:r>
    </w:p>
    <w:p w14:paraId="6A596F55" w14:textId="77777777" w:rsidR="00D40151" w:rsidRPr="00873B6C" w:rsidRDefault="00D40151" w:rsidP="00D40151">
      <w:pPr>
        <w:pStyle w:val="B1"/>
      </w:pPr>
      <w:r w:rsidRPr="00873B6C">
        <w:t>-</w:t>
      </w:r>
      <w:r w:rsidRPr="00873B6C">
        <w:tab/>
        <w:t>(Radio) Access Network ((R)AN).</w:t>
      </w:r>
    </w:p>
    <w:p w14:paraId="0410FE67" w14:textId="77777777" w:rsidR="00D40151" w:rsidRPr="00873B6C" w:rsidRDefault="00D40151" w:rsidP="00D40151">
      <w:pPr>
        <w:pStyle w:val="B1"/>
      </w:pPr>
      <w:r w:rsidRPr="00873B6C">
        <w:rPr>
          <w:lang w:eastAsia="zh-CN"/>
        </w:rPr>
        <w:t>-</w:t>
      </w:r>
      <w:r w:rsidRPr="00873B6C">
        <w:rPr>
          <w:lang w:eastAsia="zh-CN"/>
        </w:rPr>
        <w:tab/>
        <w:t>5G-</w:t>
      </w:r>
      <w:r w:rsidRPr="00873B6C">
        <w:t>Equipment Identity Register (5G-EIR).</w:t>
      </w:r>
    </w:p>
    <w:p w14:paraId="1AFC65D3" w14:textId="77777777" w:rsidR="00D40151" w:rsidRPr="00873B6C" w:rsidRDefault="00D40151" w:rsidP="00D40151">
      <w:pPr>
        <w:pStyle w:val="B1"/>
      </w:pPr>
      <w:r w:rsidRPr="00873B6C">
        <w:t>-</w:t>
      </w:r>
      <w:r w:rsidRPr="00873B6C">
        <w:tab/>
        <w:t>Network Data Analytics Function (NWDAF).</w:t>
      </w:r>
    </w:p>
    <w:p w14:paraId="5FDB102A" w14:textId="14929D03" w:rsidR="00D40151" w:rsidRPr="00873B6C" w:rsidRDefault="00D40151" w:rsidP="00D40151">
      <w:pPr>
        <w:pStyle w:val="B1"/>
      </w:pPr>
      <w:r w:rsidRPr="00873B6C">
        <w:t>-</w:t>
      </w:r>
      <w:r w:rsidRPr="00873B6C">
        <w:tab/>
      </w:r>
      <w:r w:rsidRPr="00873B6C">
        <w:rPr>
          <w:noProof/>
        </w:rPr>
        <w:t>CHarging</w:t>
      </w:r>
      <w:r w:rsidRPr="00873B6C">
        <w:t xml:space="preserve"> Function (CHF).</w:t>
      </w:r>
    </w:p>
    <w:p w14:paraId="345E19A9" w14:textId="77777777" w:rsidR="00055D0B" w:rsidRPr="00873B6C" w:rsidRDefault="00055D0B" w:rsidP="00055D0B">
      <w:pPr>
        <w:pStyle w:val="B1"/>
      </w:pPr>
      <w:r w:rsidRPr="00873B6C">
        <w:t>-</w:t>
      </w:r>
      <w:r w:rsidRPr="00873B6C">
        <w:tab/>
        <w:t>Time Sensitive Networking AF (TSN AF).</w:t>
      </w:r>
    </w:p>
    <w:p w14:paraId="190B34F9" w14:textId="77777777" w:rsidR="00055D0B" w:rsidRPr="00873B6C" w:rsidRDefault="00055D0B" w:rsidP="00055D0B">
      <w:pPr>
        <w:pStyle w:val="B1"/>
      </w:pPr>
      <w:r w:rsidRPr="00873B6C">
        <w:t>-</w:t>
      </w:r>
      <w:r w:rsidRPr="00873B6C">
        <w:tab/>
        <w:t>Time Sensitive Communication and Time Synchronization Function (TSCTSF).</w:t>
      </w:r>
    </w:p>
    <w:p w14:paraId="0707F3E9" w14:textId="2EC7F58E" w:rsidR="00D63C5A" w:rsidRPr="00873B6C" w:rsidRDefault="00D63C5A" w:rsidP="00323277">
      <w:pPr>
        <w:pStyle w:val="B1"/>
      </w:pPr>
      <w:r w:rsidRPr="00873B6C">
        <w:t>-</w:t>
      </w:r>
      <w:r w:rsidRPr="00873B6C">
        <w:tab/>
        <w:t>Data Collection Coordination Function (DCCF).</w:t>
      </w:r>
    </w:p>
    <w:p w14:paraId="3D9C0641" w14:textId="4A0DFB4F" w:rsidR="00D63C5A" w:rsidRPr="00873B6C" w:rsidRDefault="00D63C5A" w:rsidP="00323277">
      <w:pPr>
        <w:pStyle w:val="B1"/>
      </w:pPr>
      <w:r w:rsidRPr="00873B6C">
        <w:t>-</w:t>
      </w:r>
      <w:r w:rsidRPr="00873B6C">
        <w:tab/>
        <w:t>Analytics Data Repository Function (ADRF).</w:t>
      </w:r>
    </w:p>
    <w:p w14:paraId="5452FFD7" w14:textId="2480AC42" w:rsidR="00D63C5A" w:rsidRPr="00873B6C" w:rsidRDefault="00D63C5A" w:rsidP="00323277">
      <w:pPr>
        <w:pStyle w:val="B1"/>
      </w:pPr>
      <w:r w:rsidRPr="00873B6C">
        <w:t>-</w:t>
      </w:r>
      <w:r w:rsidRPr="00873B6C">
        <w:tab/>
        <w:t>Messaging Framework Adaptor Function (MFAF).</w:t>
      </w:r>
    </w:p>
    <w:p w14:paraId="520BDC6C" w14:textId="2D5114E1" w:rsidR="00D841E1" w:rsidRPr="00873B6C" w:rsidRDefault="00D841E1" w:rsidP="00D841E1">
      <w:pPr>
        <w:pStyle w:val="B1"/>
      </w:pPr>
      <w:r w:rsidRPr="00873B6C">
        <w:t>-</w:t>
      </w:r>
      <w:r w:rsidRPr="00873B6C">
        <w:tab/>
        <w:t>Non-Seamless WLAN Offload Function (NSWOF).</w:t>
      </w:r>
    </w:p>
    <w:p w14:paraId="6A0A3C7C" w14:textId="4ABD44D6" w:rsidR="00D63C5A" w:rsidRPr="00873B6C" w:rsidRDefault="00D63C5A" w:rsidP="00323277">
      <w:pPr>
        <w:pStyle w:val="NO"/>
      </w:pPr>
      <w:r w:rsidRPr="00873B6C">
        <w:lastRenderedPageBreak/>
        <w:t>NOTE:</w:t>
      </w:r>
      <w:r w:rsidRPr="00873B6C">
        <w:tab/>
        <w:t>The functionalities provided by DCCF and/or ADRF can also be hosted by an NWDAF.</w:t>
      </w:r>
    </w:p>
    <w:p w14:paraId="2133FAD0" w14:textId="3A04E177" w:rsidR="0010576F" w:rsidRPr="00873B6C" w:rsidRDefault="0010576F" w:rsidP="001B7C50">
      <w:pPr>
        <w:pStyle w:val="B1"/>
      </w:pPr>
      <w:r w:rsidRPr="00873B6C">
        <w:t>-</w:t>
      </w:r>
      <w:r w:rsidRPr="00873B6C">
        <w:tab/>
        <w:t>Edge Application Server Discovery Function (EASDF).</w:t>
      </w:r>
    </w:p>
    <w:p w14:paraId="389457C3" w14:textId="1646478F" w:rsidR="00D40151" w:rsidRPr="00873B6C" w:rsidRDefault="00D40151" w:rsidP="00D40151">
      <w:r w:rsidRPr="00873B6C">
        <w:t>The 5G System architecture also comprises the following network entities:</w:t>
      </w:r>
    </w:p>
    <w:p w14:paraId="2DF7969A" w14:textId="77777777" w:rsidR="00D40151" w:rsidRPr="00873B6C" w:rsidRDefault="00D40151" w:rsidP="00D40151">
      <w:pPr>
        <w:pStyle w:val="B1"/>
      </w:pPr>
      <w:r w:rsidRPr="00873B6C">
        <w:t>-</w:t>
      </w:r>
      <w:r w:rsidRPr="00873B6C">
        <w:tab/>
        <w:t>Service Communication Proxy (SCP).</w:t>
      </w:r>
    </w:p>
    <w:p w14:paraId="0E5965B8" w14:textId="77777777" w:rsidR="00D40151" w:rsidRPr="00873B6C" w:rsidRDefault="00D40151" w:rsidP="00D40151">
      <w:pPr>
        <w:pStyle w:val="B1"/>
      </w:pPr>
      <w:r w:rsidRPr="00873B6C">
        <w:t>-</w:t>
      </w:r>
      <w:r w:rsidRPr="00873B6C">
        <w:tab/>
        <w:t>Security Edge Protection Proxy (SEPP).</w:t>
      </w:r>
    </w:p>
    <w:p w14:paraId="169FFA2B" w14:textId="77777777" w:rsidR="00D40151" w:rsidRPr="00873B6C" w:rsidRDefault="00D40151" w:rsidP="00D40151">
      <w:r w:rsidRPr="00873B6C">
        <w:t>The functional descriptions of these Network Functions and entities are specified in clause 6.</w:t>
      </w:r>
    </w:p>
    <w:p w14:paraId="124D118D" w14:textId="77777777" w:rsidR="00D40151" w:rsidRPr="00873B6C" w:rsidRDefault="00D40151" w:rsidP="00D40151">
      <w:pPr>
        <w:pStyle w:val="B1"/>
      </w:pPr>
      <w:r w:rsidRPr="00873B6C">
        <w:t>-</w:t>
      </w:r>
      <w:r w:rsidRPr="00873B6C">
        <w:tab/>
        <w:t>Non-3GPP InterWorking Function (N3IWF).</w:t>
      </w:r>
    </w:p>
    <w:p w14:paraId="31A6FE1A" w14:textId="77777777" w:rsidR="00D40151" w:rsidRPr="00873B6C" w:rsidRDefault="00D40151" w:rsidP="00D40151">
      <w:pPr>
        <w:pStyle w:val="B1"/>
      </w:pPr>
      <w:r w:rsidRPr="00873B6C">
        <w:t>-</w:t>
      </w:r>
      <w:r w:rsidRPr="00873B6C">
        <w:tab/>
        <w:t>Trusted Non-3GPP Gateway Function (TNGF).</w:t>
      </w:r>
    </w:p>
    <w:p w14:paraId="6E6F07E8" w14:textId="77777777" w:rsidR="00D40151" w:rsidRPr="00873B6C" w:rsidRDefault="00D40151" w:rsidP="00D40151">
      <w:pPr>
        <w:pStyle w:val="B1"/>
      </w:pPr>
      <w:r w:rsidRPr="00873B6C">
        <w:t>-</w:t>
      </w:r>
      <w:r w:rsidRPr="00873B6C">
        <w:tab/>
        <w:t>Wireline Access Gateway Function (W-AGF).</w:t>
      </w:r>
    </w:p>
    <w:p w14:paraId="348F2EAA" w14:textId="77777777" w:rsidR="00D40151" w:rsidRPr="00873B6C" w:rsidRDefault="00D40151" w:rsidP="00D40151">
      <w:pPr>
        <w:pStyle w:val="B1"/>
      </w:pPr>
      <w:bookmarkStart w:id="96" w:name="_Toc20149633"/>
      <w:bookmarkStart w:id="97" w:name="_Toc27846424"/>
      <w:r w:rsidRPr="00873B6C">
        <w:t>-</w:t>
      </w:r>
      <w:r w:rsidRPr="00873B6C">
        <w:tab/>
        <w:t>Trusted WLAN Interworking Function (TWIF).</w:t>
      </w:r>
    </w:p>
    <w:p w14:paraId="73FE126F" w14:textId="77777777" w:rsidR="00D40151" w:rsidRPr="00873B6C" w:rsidRDefault="00D40151" w:rsidP="00D40151">
      <w:pPr>
        <w:pStyle w:val="Heading3"/>
      </w:pPr>
      <w:bookmarkStart w:id="98" w:name="_CR4_2_3"/>
      <w:bookmarkStart w:id="99" w:name="_Toc36187548"/>
      <w:bookmarkStart w:id="100" w:name="_Toc45183452"/>
      <w:bookmarkStart w:id="101" w:name="_Toc47342294"/>
      <w:bookmarkStart w:id="102" w:name="_Toc51768992"/>
      <w:bookmarkStart w:id="103" w:name="_Toc201156905"/>
      <w:bookmarkEnd w:id="98"/>
      <w:r w:rsidRPr="00873B6C">
        <w:t>4.2.3</w:t>
      </w:r>
      <w:r w:rsidRPr="00873B6C">
        <w:rPr>
          <w:lang w:eastAsia="zh-CN"/>
        </w:rPr>
        <w:tab/>
      </w:r>
      <w:r w:rsidRPr="00873B6C">
        <w:t>Non-roaming reference architecture</w:t>
      </w:r>
      <w:bookmarkEnd w:id="96"/>
      <w:bookmarkEnd w:id="97"/>
      <w:bookmarkEnd w:id="99"/>
      <w:bookmarkEnd w:id="100"/>
      <w:bookmarkEnd w:id="101"/>
      <w:bookmarkEnd w:id="102"/>
      <w:bookmarkEnd w:id="103"/>
    </w:p>
    <w:p w14:paraId="751634FE" w14:textId="77777777" w:rsidR="00D40151" w:rsidRPr="00873B6C" w:rsidRDefault="00D40151" w:rsidP="00D40151">
      <w:r w:rsidRPr="00873B6C">
        <w:t>Figure 4.2.3-1 depicts the non-roaming reference architecture. Service-based interfaces are used within the Control Plane.</w:t>
      </w:r>
    </w:p>
    <w:p w14:paraId="51F0A8C4" w14:textId="70926DF3" w:rsidR="00183D3D" w:rsidRPr="00873B6C" w:rsidRDefault="00183D3D" w:rsidP="00433EFC">
      <w:pPr>
        <w:pStyle w:val="TH"/>
      </w:pPr>
      <w:r w:rsidRPr="00873B6C">
        <w:object w:dxaOrig="8401" w:dyaOrig="5638" w14:anchorId="005C50BF">
          <v:shape id="_x0000_i1027" type="#_x0000_t75" style="width:420.1pt;height:280.5pt" o:ole="">
            <v:imagedata r:id="rId13" o:title=""/>
          </v:shape>
          <o:OLEObject Type="Embed" ProgID="Word.Picture.8" ShapeID="_x0000_i1027" DrawAspect="Content" ObjectID="_1811772361" r:id="rId14"/>
        </w:object>
      </w:r>
    </w:p>
    <w:p w14:paraId="2BEAEB97" w14:textId="2E461717" w:rsidR="00D40151" w:rsidRPr="00873B6C" w:rsidRDefault="00D40151" w:rsidP="00D40151">
      <w:pPr>
        <w:pStyle w:val="TF"/>
      </w:pPr>
      <w:bookmarkStart w:id="104" w:name="_CRFigure4_2_31"/>
      <w:r w:rsidRPr="00873B6C">
        <w:t xml:space="preserve">Figure </w:t>
      </w:r>
      <w:bookmarkEnd w:id="104"/>
      <w:r w:rsidRPr="00873B6C">
        <w:t xml:space="preserve">4.2.3-1: </w:t>
      </w:r>
      <w:r w:rsidR="0082686E" w:rsidRPr="00873B6C">
        <w:t xml:space="preserve">Non-Roaming </w:t>
      </w:r>
      <w:r w:rsidRPr="00873B6C">
        <w:t xml:space="preserve">5G System </w:t>
      </w:r>
      <w:r w:rsidR="0082686E" w:rsidRPr="00873B6C">
        <w:t>A</w:t>
      </w:r>
      <w:r w:rsidRPr="00873B6C">
        <w:t>rchitecture</w:t>
      </w:r>
    </w:p>
    <w:p w14:paraId="6E5CD918" w14:textId="77777777" w:rsidR="00D40151" w:rsidRPr="00873B6C" w:rsidRDefault="00D40151" w:rsidP="00D40151">
      <w:pPr>
        <w:pStyle w:val="NO"/>
      </w:pPr>
      <w:r w:rsidRPr="00873B6C">
        <w:t>NOTE:</w:t>
      </w:r>
      <w:r w:rsidRPr="00873B6C">
        <w:tab/>
        <w:t>If an SCP is deployed it can be used for indirect communication between NFs and NF services as described in Annex E. SCP does not expose services itself.</w:t>
      </w:r>
    </w:p>
    <w:p w14:paraId="7B01545E" w14:textId="77777777" w:rsidR="00D40151" w:rsidRPr="00873B6C" w:rsidRDefault="00D40151" w:rsidP="00D40151">
      <w:r w:rsidRPr="00873B6C">
        <w:t>Figure 4.2.3-2 depicts the 5G System architecture in the non-roaming case, using the reference point representation showing how various network functions interact with each other.</w:t>
      </w:r>
    </w:p>
    <w:p w14:paraId="2586E285" w14:textId="3B2348C4" w:rsidR="00DB3C92" w:rsidRPr="00873B6C" w:rsidRDefault="00DB3C92" w:rsidP="001B7C50">
      <w:pPr>
        <w:pStyle w:val="TH"/>
      </w:pPr>
      <w:r w:rsidRPr="00873B6C">
        <w:rPr>
          <w:noProof/>
        </w:rPr>
        <w:object w:dxaOrig="10485" w:dyaOrig="7845" w14:anchorId="7233752E">
          <v:shape id="_x0000_i1028" type="#_x0000_t75" alt="" style="width:418.25pt;height:238.55pt" o:ole="">
            <v:imagedata r:id="rId15" o:title="" cropbottom="9539f"/>
          </v:shape>
          <o:OLEObject Type="Embed" ProgID="Visio.Drawing.11" ShapeID="_x0000_i1028" DrawAspect="Content" ObjectID="_1811772362" r:id="rId16"/>
        </w:object>
      </w:r>
    </w:p>
    <w:p w14:paraId="4979BB52" w14:textId="77777777" w:rsidR="0082686E" w:rsidRPr="00873B6C" w:rsidRDefault="0082686E" w:rsidP="0082686E">
      <w:pPr>
        <w:pStyle w:val="TF"/>
      </w:pPr>
      <w:bookmarkStart w:id="105" w:name="_CRFigure4_2_32"/>
      <w:r w:rsidRPr="00873B6C">
        <w:t xml:space="preserve">Figure </w:t>
      </w:r>
      <w:bookmarkEnd w:id="105"/>
      <w:r w:rsidRPr="00873B6C">
        <w:t>4.2</w:t>
      </w:r>
      <w:r w:rsidRPr="00873B6C">
        <w:rPr>
          <w:lang w:eastAsia="zh-CN"/>
        </w:rPr>
        <w:t>.</w:t>
      </w:r>
      <w:r w:rsidRPr="00873B6C">
        <w:t>3-2: Non-Roaming 5G System Architecture in reference point representation</w:t>
      </w:r>
    </w:p>
    <w:p w14:paraId="3369CA46" w14:textId="04E37833" w:rsidR="00D40151" w:rsidRPr="00873B6C" w:rsidRDefault="00D40151" w:rsidP="0073598F">
      <w:pPr>
        <w:pStyle w:val="NO"/>
      </w:pPr>
      <w:r w:rsidRPr="00873B6C">
        <w:t>NOTE 1:</w:t>
      </w:r>
      <w:r w:rsidRPr="00873B6C">
        <w:tab/>
        <w:t>N9, N14 are not shown in all other figures however they may also be applicable for other scenarios.</w:t>
      </w:r>
    </w:p>
    <w:p w14:paraId="7C819FCA" w14:textId="77777777" w:rsidR="00D40151" w:rsidRPr="00873B6C" w:rsidRDefault="00D40151" w:rsidP="0073598F">
      <w:pPr>
        <w:pStyle w:val="NO"/>
      </w:pPr>
      <w:r w:rsidRPr="00873B6C">
        <w:t>NOTE 2:</w:t>
      </w:r>
      <w:r w:rsidRPr="00873B6C">
        <w:tab/>
        <w:t>For the sake of clarity of the point-to-point diagrams, the UDSF, NEF and NRF have not been depicted. However, all depicted Network Functions can interact with the UDSF, UDR, NEF and NRF as necessary.</w:t>
      </w:r>
    </w:p>
    <w:p w14:paraId="13DC09B6" w14:textId="77777777" w:rsidR="00D40151" w:rsidRPr="00873B6C" w:rsidRDefault="00D40151" w:rsidP="0073598F">
      <w:pPr>
        <w:pStyle w:val="NO"/>
      </w:pPr>
      <w:r w:rsidRPr="00873B6C">
        <w:t>NOTE 3:</w:t>
      </w:r>
      <w:r w:rsidRPr="00873B6C">
        <w:tab/>
        <w:t>The UDM uses</w:t>
      </w:r>
      <w:r w:rsidRPr="00873B6C">
        <w:rPr>
          <w:rFonts w:eastAsia="SimSun"/>
          <w:lang w:eastAsia="zh-CN"/>
        </w:rPr>
        <w:t xml:space="preserve"> subscription data and authentication data and the PCF uses policy data that may be stored in UDR (refer to clause 4.2.5)</w:t>
      </w:r>
      <w:r w:rsidRPr="00873B6C">
        <w:t>.</w:t>
      </w:r>
    </w:p>
    <w:p w14:paraId="7B6D525F" w14:textId="77777777" w:rsidR="00D40151" w:rsidRPr="00873B6C" w:rsidRDefault="00D40151" w:rsidP="0073598F">
      <w:pPr>
        <w:pStyle w:val="NO"/>
      </w:pPr>
      <w:r w:rsidRPr="00873B6C">
        <w:t>NOTE 4:</w:t>
      </w:r>
      <w:r w:rsidRPr="00873B6C">
        <w:tab/>
        <w:t xml:space="preserve">For clarity, </w:t>
      </w:r>
      <w:r w:rsidRPr="00873B6C">
        <w:rPr>
          <w:lang w:eastAsia="zh-CN"/>
        </w:rPr>
        <w:t>the UDR and its connections with other NFs, e.g. PCF, are not depicted in the point-to-point and service-based architecture diagrams</w:t>
      </w:r>
      <w:r w:rsidRPr="00873B6C">
        <w:t>. For more information on data storage architectures refer to clause 4.2.5.</w:t>
      </w:r>
    </w:p>
    <w:p w14:paraId="2BFDFCC0" w14:textId="262CB5F6" w:rsidR="00D40151" w:rsidRPr="00873B6C" w:rsidRDefault="00D40151" w:rsidP="0073598F">
      <w:pPr>
        <w:pStyle w:val="NO"/>
      </w:pPr>
      <w:r w:rsidRPr="00873B6C">
        <w:t>NOTE 5:</w:t>
      </w:r>
      <w:r w:rsidRPr="00873B6C">
        <w:tab/>
        <w:t>For clarity, the NWDAF</w:t>
      </w:r>
      <w:r w:rsidR="00D63C5A" w:rsidRPr="00873B6C">
        <w:t>(s), DCCF, MFAF and ADRF</w:t>
      </w:r>
      <w:r w:rsidRPr="00873B6C">
        <w:t xml:space="preserve"> and </w:t>
      </w:r>
      <w:r w:rsidR="00D63C5A" w:rsidRPr="00873B6C">
        <w:t xml:space="preserve">their </w:t>
      </w:r>
      <w:r w:rsidRPr="00873B6C">
        <w:t xml:space="preserve">connections with other NFs, are not depicted in the point-to-point and service-based architecture diagrams. For more information on network data analytics architecture refer to </w:t>
      </w:r>
      <w:r w:rsidR="00972E70" w:rsidRPr="00873B6C">
        <w:t>TS 23.288 [</w:t>
      </w:r>
      <w:r w:rsidRPr="00873B6C">
        <w:t>86].</w:t>
      </w:r>
    </w:p>
    <w:p w14:paraId="49D61D81" w14:textId="00C2EDBB" w:rsidR="00D40151" w:rsidRPr="00873B6C" w:rsidRDefault="006101B9" w:rsidP="0073598F">
      <w:pPr>
        <w:pStyle w:val="NO"/>
      </w:pPr>
      <w:r w:rsidRPr="00873B6C">
        <w:t>NOTE 6:</w:t>
      </w:r>
      <w:r w:rsidRPr="00873B6C">
        <w:tab/>
        <w:t>For clarity, the 5G DDNMF and its connections with other NFs, e.g. UDM,</w:t>
      </w:r>
      <w:r w:rsidR="00160667" w:rsidRPr="00873B6C">
        <w:t xml:space="preserve"> PCF</w:t>
      </w:r>
      <w:r w:rsidRPr="00873B6C">
        <w:t xml:space="preserve"> are not depicted in the point-to-point and service-based architecture diagrams. For more information on ProSe architecture refer to </w:t>
      </w:r>
      <w:r w:rsidR="00972E70" w:rsidRPr="00873B6C">
        <w:t>TS 23.304 [</w:t>
      </w:r>
      <w:r w:rsidRPr="00873B6C">
        <w:t>128].</w:t>
      </w:r>
    </w:p>
    <w:p w14:paraId="606160E8" w14:textId="191AF74E" w:rsidR="006101B9" w:rsidRPr="00873B6C" w:rsidRDefault="0010039C" w:rsidP="0073598F">
      <w:pPr>
        <w:pStyle w:val="NO"/>
      </w:pPr>
      <w:r w:rsidRPr="00873B6C">
        <w:t>NOTE 7:</w:t>
      </w:r>
      <w:r w:rsidRPr="00873B6C">
        <w:tab/>
        <w:t>For clarity, the TSCTSF and its connections with other NFs, e.g. PCF, NEF, UDR are not depicted in the point-to-point and service-based architecture diagrams. For more information on TSC architecture refer to clause 4.4.8.</w:t>
      </w:r>
    </w:p>
    <w:p w14:paraId="16053042" w14:textId="0B0002DF" w:rsidR="009B42A2" w:rsidRPr="00873B6C" w:rsidRDefault="009B42A2" w:rsidP="009B42A2">
      <w:pPr>
        <w:pStyle w:val="NO"/>
      </w:pPr>
      <w:r w:rsidRPr="00873B6C">
        <w:t>NOTE 8:</w:t>
      </w:r>
      <w:r w:rsidRPr="00873B6C">
        <w:tab/>
        <w:t>For exposure of the QoS monitoring information as specified in clause 5.8.2.18, exposure of data collected for analytics as specified in clause 5.2.26.2 of TS 23.502 [3]</w:t>
      </w:r>
      <w:r w:rsidR="00472CD7" w:rsidRPr="00873B6C">
        <w:t xml:space="preserve"> and</w:t>
      </w:r>
      <w:r w:rsidRPr="00873B6C">
        <w:t xml:space="preserve"> exposure of the TSC management information as specified in clause 5.8.5.14, direct interaction between UPF and NFs can be supported via the Nupf interface (see clause 4.2.16).</w:t>
      </w:r>
    </w:p>
    <w:p w14:paraId="7D5AA15E" w14:textId="5ACB8DBF" w:rsidR="008546A1" w:rsidRPr="00873B6C" w:rsidRDefault="0010576F" w:rsidP="0073598F">
      <w:pPr>
        <w:pStyle w:val="NO"/>
      </w:pPr>
      <w:r w:rsidRPr="00873B6C">
        <w:t>NOTE 9:</w:t>
      </w:r>
      <w:r w:rsidRPr="00873B6C">
        <w:tab/>
        <w:t xml:space="preserve">For clarity, the EASDF and its connections with SMF is not depicted in the point-to-point and service-based architecture diagrams. For more information on edge computing architecture refer to </w:t>
      </w:r>
      <w:r w:rsidR="00972E70" w:rsidRPr="00873B6C">
        <w:t>TS 23.548 [</w:t>
      </w:r>
      <w:r w:rsidRPr="00873B6C">
        <w:t>130].</w:t>
      </w:r>
    </w:p>
    <w:p w14:paraId="6A1E7DFC" w14:textId="77777777" w:rsidR="00D40151" w:rsidRPr="00873B6C" w:rsidRDefault="00D40151" w:rsidP="00D40151">
      <w:r w:rsidRPr="00873B6C">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873B6C" w:rsidRDefault="008E69B3" w:rsidP="00562E84">
      <w:pPr>
        <w:pStyle w:val="TH"/>
      </w:pPr>
      <w:r w:rsidRPr="00873B6C">
        <w:rPr>
          <w:noProof/>
        </w:rPr>
        <w:object w:dxaOrig="9645" w:dyaOrig="5940" w14:anchorId="7C11E268">
          <v:shape id="_x0000_i1029" type="#_x0000_t75" alt="" style="width:471.45pt;height:258.55pt" o:ole="">
            <v:imagedata r:id="rId17" o:title=""/>
          </v:shape>
          <o:OLEObject Type="Embed" ProgID="Visio.Drawing.11" ShapeID="_x0000_i1029" DrawAspect="Content" ObjectID="_1811772363" r:id="rId18"/>
        </w:object>
      </w:r>
    </w:p>
    <w:p w14:paraId="1BF97C9B" w14:textId="3FF634C4" w:rsidR="00D40151" w:rsidRPr="00873B6C" w:rsidRDefault="00D40151" w:rsidP="00D40151">
      <w:pPr>
        <w:pStyle w:val="TF"/>
      </w:pPr>
      <w:bookmarkStart w:id="106" w:name="_CRFigure4_2_33"/>
      <w:r w:rsidRPr="00873B6C">
        <w:t xml:space="preserve">Figure </w:t>
      </w:r>
      <w:bookmarkEnd w:id="106"/>
      <w:r w:rsidRPr="00873B6C">
        <w:t xml:space="preserve">4.2.3-3: Applying </w:t>
      </w:r>
      <w:r w:rsidR="0082686E" w:rsidRPr="00873B6C">
        <w:t>N</w:t>
      </w:r>
      <w:r w:rsidRPr="00873B6C">
        <w:t>on-</w:t>
      </w:r>
      <w:r w:rsidR="0082686E" w:rsidRPr="00873B6C">
        <w:t>R</w:t>
      </w:r>
      <w:r w:rsidRPr="00873B6C">
        <w:t xml:space="preserve">oaming 5G System </w:t>
      </w:r>
      <w:r w:rsidR="0082686E" w:rsidRPr="00873B6C">
        <w:t>A</w:t>
      </w:r>
      <w:r w:rsidRPr="00873B6C">
        <w:t>rchitecture for multiple PDU Session in reference point representation</w:t>
      </w:r>
    </w:p>
    <w:p w14:paraId="4D2E1163" w14:textId="77777777" w:rsidR="00D40151" w:rsidRPr="00873B6C" w:rsidRDefault="00D40151" w:rsidP="00D40151">
      <w:r w:rsidRPr="00873B6C">
        <w:t>Figure 4.2.3-4 depicts the non-roaming architecture in the case of concurrent access to two (e.g. local and central) data networks is provided within a single PDU Session, using the reference point representation.</w:t>
      </w:r>
    </w:p>
    <w:bookmarkStart w:id="107" w:name="_MON_1678543087"/>
    <w:bookmarkEnd w:id="107"/>
    <w:p w14:paraId="017C8160" w14:textId="6B932C54" w:rsidR="008E69B3" w:rsidRPr="00873B6C" w:rsidRDefault="008E69B3" w:rsidP="00562E84">
      <w:pPr>
        <w:pStyle w:val="TH"/>
      </w:pPr>
      <w:r w:rsidRPr="00873B6C">
        <w:object w:dxaOrig="8647" w:dyaOrig="5202" w14:anchorId="61F4133E">
          <v:shape id="_x0000_i1030" type="#_x0000_t75" style="width:434.5pt;height:260.45pt" o:ole="">
            <v:imagedata r:id="rId19" o:title=""/>
          </v:shape>
          <o:OLEObject Type="Embed" ProgID="Word.Picture.8" ShapeID="_x0000_i1030" DrawAspect="Content" ObjectID="_1811772364" r:id="rId20"/>
        </w:object>
      </w:r>
    </w:p>
    <w:p w14:paraId="5AF25C3F" w14:textId="5BBFD2C7" w:rsidR="00D40151" w:rsidRPr="00873B6C" w:rsidRDefault="00D40151" w:rsidP="00D40151">
      <w:pPr>
        <w:pStyle w:val="TF"/>
      </w:pPr>
      <w:bookmarkStart w:id="108" w:name="_CRFigure4_2_34"/>
      <w:r w:rsidRPr="00873B6C">
        <w:t xml:space="preserve">Figure </w:t>
      </w:r>
      <w:bookmarkEnd w:id="108"/>
      <w:r w:rsidRPr="00873B6C">
        <w:t xml:space="preserve">4.2.3-4: Applying </w:t>
      </w:r>
      <w:r w:rsidR="0082686E" w:rsidRPr="00873B6C">
        <w:t>N</w:t>
      </w:r>
      <w:r w:rsidRPr="00873B6C">
        <w:t>on-</w:t>
      </w:r>
      <w:r w:rsidR="0082686E" w:rsidRPr="00873B6C">
        <w:t>R</w:t>
      </w:r>
      <w:r w:rsidRPr="00873B6C">
        <w:t xml:space="preserve">oaming 5G System </w:t>
      </w:r>
      <w:r w:rsidR="0082686E" w:rsidRPr="00873B6C">
        <w:t>A</w:t>
      </w:r>
      <w:r w:rsidRPr="00873B6C">
        <w:t>rchitecture for concurrent access to two (e.g. local and central) data networks (single PDU Session option) in reference point representation</w:t>
      </w:r>
    </w:p>
    <w:p w14:paraId="1EC9D466" w14:textId="77777777" w:rsidR="00D40151" w:rsidRPr="00873B6C" w:rsidRDefault="00D40151" w:rsidP="00D40151">
      <w:r w:rsidRPr="00873B6C">
        <w:t>Figure 4.2.3-5 depicts the non-roaming architecture for Network Exposure Function, using reference point representation.</w:t>
      </w:r>
    </w:p>
    <w:p w14:paraId="3FE61C08" w14:textId="77777777" w:rsidR="00D40151" w:rsidRPr="00873B6C" w:rsidRDefault="00D40151" w:rsidP="00D40151">
      <w:pPr>
        <w:pStyle w:val="TH"/>
      </w:pPr>
      <w:r w:rsidRPr="00873B6C">
        <w:object w:dxaOrig="10020" w:dyaOrig="7500" w14:anchorId="7A41BBED">
          <v:shape id="_x0000_i1031" type="#_x0000_t75" style="width:372.5pt;height:279.25pt" o:ole="">
            <v:imagedata r:id="rId21" o:title=""/>
          </v:shape>
          <o:OLEObject Type="Embed" ProgID="Visio.Drawing.15" ShapeID="_x0000_i1031" DrawAspect="Content" ObjectID="_1811772365" r:id="rId22"/>
        </w:object>
      </w:r>
    </w:p>
    <w:p w14:paraId="79CE239D" w14:textId="26051969" w:rsidR="00D40151" w:rsidRPr="00873B6C" w:rsidRDefault="00D40151" w:rsidP="00D40151">
      <w:pPr>
        <w:pStyle w:val="TF"/>
      </w:pPr>
      <w:bookmarkStart w:id="109" w:name="_CRFigure4_2_35"/>
      <w:r w:rsidRPr="00873B6C">
        <w:t xml:space="preserve">Figure </w:t>
      </w:r>
      <w:bookmarkEnd w:id="109"/>
      <w:r w:rsidRPr="00873B6C">
        <w:t>4.2.3-5: Non-</w:t>
      </w:r>
      <w:r w:rsidR="0082686E" w:rsidRPr="00873B6C">
        <w:t>R</w:t>
      </w:r>
      <w:r w:rsidRPr="00873B6C">
        <w:t xml:space="preserve">oaming </w:t>
      </w:r>
      <w:r w:rsidR="0082686E" w:rsidRPr="00873B6C">
        <w:t>A</w:t>
      </w:r>
      <w:r w:rsidRPr="00873B6C">
        <w:t>rchitecture for Network Exposure Function in reference point representation</w:t>
      </w:r>
    </w:p>
    <w:p w14:paraId="74392D87" w14:textId="5DFEE8AC" w:rsidR="00D40151" w:rsidRPr="00873B6C" w:rsidRDefault="00D40151" w:rsidP="00D40151">
      <w:pPr>
        <w:pStyle w:val="NO"/>
      </w:pPr>
      <w:r w:rsidRPr="00873B6C">
        <w:t>NOTE 1:</w:t>
      </w:r>
      <w:r w:rsidRPr="00873B6C">
        <w:tab/>
        <w:t xml:space="preserve">In </w:t>
      </w:r>
      <w:r w:rsidR="0082686E" w:rsidRPr="00873B6C">
        <w:t>F</w:t>
      </w:r>
      <w:r w:rsidRPr="00873B6C">
        <w:t xml:space="preserve">igure 4.2.3-5, Trust domain for NEF is same as Trust domain for SCEF as defined in </w:t>
      </w:r>
      <w:r w:rsidR="00972E70" w:rsidRPr="00873B6C">
        <w:t>TS 23.682 [</w:t>
      </w:r>
      <w:r w:rsidRPr="00873B6C">
        <w:t>36].</w:t>
      </w:r>
    </w:p>
    <w:p w14:paraId="509478AC" w14:textId="764B012C" w:rsidR="00D40151" w:rsidRPr="00873B6C" w:rsidRDefault="00D40151" w:rsidP="00D40151">
      <w:pPr>
        <w:pStyle w:val="NO"/>
      </w:pPr>
      <w:r w:rsidRPr="00873B6C">
        <w:t>NOTE 2:</w:t>
      </w:r>
      <w:r w:rsidRPr="00873B6C">
        <w:tab/>
        <w:t xml:space="preserve">In </w:t>
      </w:r>
      <w:r w:rsidR="0082686E" w:rsidRPr="00873B6C">
        <w:t>F</w:t>
      </w:r>
      <w:r w:rsidRPr="00873B6C">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873B6C" w:rsidRDefault="00D40151" w:rsidP="00D40151">
      <w:pPr>
        <w:pStyle w:val="Heading3"/>
      </w:pPr>
      <w:bookmarkStart w:id="110" w:name="_CR4_2_4"/>
      <w:bookmarkStart w:id="111" w:name="_Toc20149634"/>
      <w:bookmarkStart w:id="112" w:name="_Toc27846425"/>
      <w:bookmarkStart w:id="113" w:name="_Toc36187549"/>
      <w:bookmarkStart w:id="114" w:name="_Toc45183453"/>
      <w:bookmarkStart w:id="115" w:name="_Toc47342295"/>
      <w:bookmarkStart w:id="116" w:name="_Toc51768993"/>
      <w:bookmarkStart w:id="117" w:name="_Toc201156906"/>
      <w:bookmarkEnd w:id="110"/>
      <w:r w:rsidRPr="00873B6C">
        <w:t>4.2.4</w:t>
      </w:r>
      <w:r w:rsidRPr="00873B6C">
        <w:rPr>
          <w:lang w:eastAsia="zh-CN"/>
        </w:rPr>
        <w:tab/>
      </w:r>
      <w:r w:rsidRPr="00873B6C">
        <w:t>Roaming reference architectures</w:t>
      </w:r>
      <w:bookmarkEnd w:id="111"/>
      <w:bookmarkEnd w:id="112"/>
      <w:bookmarkEnd w:id="113"/>
      <w:bookmarkEnd w:id="114"/>
      <w:bookmarkEnd w:id="115"/>
      <w:bookmarkEnd w:id="116"/>
      <w:bookmarkEnd w:id="117"/>
    </w:p>
    <w:p w14:paraId="1CBB1D73" w14:textId="77777777" w:rsidR="00D40151" w:rsidRPr="00873B6C" w:rsidRDefault="00D40151" w:rsidP="00D40151">
      <w:r w:rsidRPr="00873B6C">
        <w:t>Figure 4.2.4-1 depicts the 5G System roaming architecture with local breakout with service-based interfaces within the Control Plane.</w:t>
      </w:r>
    </w:p>
    <w:p w14:paraId="6A7CADFD" w14:textId="42D84483" w:rsidR="00B96062" w:rsidRPr="00873B6C" w:rsidRDefault="00B96062" w:rsidP="00562E84">
      <w:pPr>
        <w:pStyle w:val="TH"/>
      </w:pPr>
      <w:r w:rsidRPr="00873B6C">
        <w:rPr>
          <w:noProof/>
        </w:rPr>
        <w:object w:dxaOrig="9450" w:dyaOrig="3855" w14:anchorId="4C2BAEA8">
          <v:shape id="_x0000_i1032" type="#_x0000_t75" alt="" style="width:478.35pt;height:197.2pt;mso-width-percent:0;mso-height-percent:0;mso-width-percent:0;mso-height-percent:0" o:ole="">
            <v:imagedata r:id="rId23" o:title=""/>
          </v:shape>
          <o:OLEObject Type="Embed" ProgID="Visio.Drawing.11" ShapeID="_x0000_i1032" DrawAspect="Content" ObjectID="_1811772366" r:id="rId24"/>
        </w:object>
      </w:r>
    </w:p>
    <w:p w14:paraId="3CC32749" w14:textId="24945B3B" w:rsidR="00D40151" w:rsidRPr="00873B6C" w:rsidRDefault="00D40151" w:rsidP="00D40151">
      <w:pPr>
        <w:pStyle w:val="TF"/>
      </w:pPr>
      <w:bookmarkStart w:id="118" w:name="_CRFigure4_2_41"/>
      <w:r w:rsidRPr="00873B6C">
        <w:t xml:space="preserve">Figure </w:t>
      </w:r>
      <w:bookmarkEnd w:id="118"/>
      <w:r w:rsidRPr="00873B6C">
        <w:t>4.2.4-1: Roaming 5G System architecture- local breakout scenario in service-based interface representation</w:t>
      </w:r>
    </w:p>
    <w:p w14:paraId="25C6F4E9" w14:textId="0FDCBA2B" w:rsidR="00D40151" w:rsidRPr="00873B6C" w:rsidRDefault="00D40151" w:rsidP="00D40151">
      <w:pPr>
        <w:pStyle w:val="NO"/>
      </w:pPr>
      <w:r w:rsidRPr="00873B6C">
        <w:lastRenderedPageBreak/>
        <w:t>NOTE 1:</w:t>
      </w:r>
      <w:r w:rsidRPr="00873B6C">
        <w:tab/>
        <w:t xml:space="preserve">In the LBO architecture. </w:t>
      </w:r>
      <w:r w:rsidR="00972BA6" w:rsidRPr="00873B6C">
        <w:t>t</w:t>
      </w:r>
      <w:r w:rsidRPr="00873B6C">
        <w:t>he PCF in the VPLMN may interact with the AF in order to generate PCC Rules for services delivered via the VPLMN</w:t>
      </w:r>
      <w:r w:rsidR="00972BA6" w:rsidRPr="00873B6C">
        <w:t>, t</w:t>
      </w:r>
      <w:r w:rsidRPr="00873B6C">
        <w:t>he PCF in the VPLMN uses locally configured policies according to the roaming agreement with the HPLMN operator as input for PCC Rule generation</w:t>
      </w:r>
      <w:r w:rsidR="00972BA6" w:rsidRPr="00873B6C">
        <w:t>, t</w:t>
      </w:r>
      <w:r w:rsidRPr="00873B6C">
        <w:t>he PCF in VPLMN has no access to subscriber policy information from the HPLMN.</w:t>
      </w:r>
    </w:p>
    <w:p w14:paraId="5CAE5CDE" w14:textId="35DAC0EB" w:rsidR="00D40151" w:rsidRPr="00873B6C" w:rsidRDefault="00D40151" w:rsidP="00D40151">
      <w:pPr>
        <w:pStyle w:val="NO"/>
      </w:pPr>
      <w:r w:rsidRPr="00873B6C">
        <w:t>NOTE 2:</w:t>
      </w:r>
      <w:r w:rsidRPr="00873B6C">
        <w:tab/>
        <w:t>An SCP can be used for indirect communication between NFs and NF services within the</w:t>
      </w:r>
      <w:r w:rsidR="00CD64F1" w:rsidRPr="00873B6C">
        <w:t xml:space="preserve"> </w:t>
      </w:r>
      <w:r w:rsidRPr="00873B6C">
        <w:t>VPLMN, within the HPLMN, or in within both VPLMN and HPLMN. For simplicity, the SCP is not shown in the roaming architecture.</w:t>
      </w:r>
    </w:p>
    <w:p w14:paraId="1E1139EC" w14:textId="75E16270" w:rsidR="006E26ED" w:rsidRPr="00873B6C" w:rsidRDefault="006E26ED" w:rsidP="006E26ED">
      <w:pPr>
        <w:pStyle w:val="NO"/>
      </w:pPr>
      <w:r w:rsidRPr="00873B6C">
        <w:t>NOTE 3:</w:t>
      </w:r>
      <w:r w:rsidRPr="00873B6C">
        <w:tab/>
        <w:t>For clarity, the NWDAF(s) with roaming exchange capability (RE-NWDAF) and their connections with other NFs, are not depicted in the service-based architecture diagram. For more information on network data analytics architecture refer to TS 23.288 [86].</w:t>
      </w:r>
    </w:p>
    <w:p w14:paraId="5B2526A8" w14:textId="653FA17C" w:rsidR="002E6C8C" w:rsidRPr="00873B6C" w:rsidRDefault="002E6C8C" w:rsidP="002E6C8C">
      <w:pPr>
        <w:pStyle w:val="NO"/>
      </w:pPr>
      <w:r w:rsidRPr="00873B6C">
        <w:t>NOTE 4:</w:t>
      </w:r>
      <w:r w:rsidRPr="00873B6C">
        <w:tab/>
        <w:t>Depending on the architecture deployed, the Primary or Centralized NSACF at the VPLMN can fetch the maximum number of registered UEs or the maximum number of LBO PDU sessions to be enforced from the HPLMN Primary or Centralized NSACF as described in clause 5.15.11.3.1.</w:t>
      </w:r>
    </w:p>
    <w:p w14:paraId="3E17AD6C" w14:textId="77777777" w:rsidR="006E26ED" w:rsidRPr="00873B6C" w:rsidRDefault="006E26ED" w:rsidP="005A13C0">
      <w:pPr>
        <w:pStyle w:val="TH"/>
      </w:pPr>
    </w:p>
    <w:p w14:paraId="0BB10B3A" w14:textId="26E1C38D" w:rsidR="00B96062" w:rsidRPr="00873B6C" w:rsidRDefault="00B96062" w:rsidP="00B96062">
      <w:pPr>
        <w:pStyle w:val="TF"/>
      </w:pPr>
      <w:bookmarkStart w:id="119" w:name="_CRFigure4_2_42"/>
      <w:r w:rsidRPr="00873B6C">
        <w:t xml:space="preserve">Figure </w:t>
      </w:r>
      <w:bookmarkEnd w:id="119"/>
      <w:r w:rsidRPr="00873B6C">
        <w:t>4.2.4-2: Void</w:t>
      </w:r>
    </w:p>
    <w:p w14:paraId="282DA2C4" w14:textId="77777777" w:rsidR="00D40151" w:rsidRPr="00873B6C" w:rsidRDefault="00D40151" w:rsidP="00D40151">
      <w:r w:rsidRPr="00873B6C">
        <w:t>Figure 4.2.4-3 depicts the 5G System roaming architecture in the case of home routed scenario with service-based interfaces within the Control Plane.</w:t>
      </w:r>
    </w:p>
    <w:p w14:paraId="05AE949A" w14:textId="7202AC37" w:rsidR="00B96062" w:rsidRPr="00873B6C" w:rsidRDefault="00B96062" w:rsidP="00562E84">
      <w:pPr>
        <w:pStyle w:val="TH"/>
      </w:pPr>
      <w:r w:rsidRPr="00873B6C">
        <w:rPr>
          <w:noProof/>
        </w:rPr>
        <w:object w:dxaOrig="10335" w:dyaOrig="4455" w14:anchorId="15878F3F">
          <v:shape id="_x0000_i1033" type="#_x0000_t75" alt="" style="width:479.6pt;height:226pt;mso-width-percent:0;mso-height-percent:0;mso-width-percent:0;mso-height-percent:0" o:ole="">
            <v:imagedata r:id="rId25" o:title=""/>
          </v:shape>
          <o:OLEObject Type="Embed" ProgID="Visio.Drawing.11" ShapeID="_x0000_i1033" DrawAspect="Content" ObjectID="_1811772367" r:id="rId26"/>
        </w:object>
      </w:r>
    </w:p>
    <w:p w14:paraId="56359698" w14:textId="2FB9CB07" w:rsidR="00D40151" w:rsidRPr="00873B6C" w:rsidRDefault="00D40151" w:rsidP="00D40151">
      <w:pPr>
        <w:pStyle w:val="TF"/>
        <w:tabs>
          <w:tab w:val="left" w:pos="1276"/>
        </w:tabs>
      </w:pPr>
      <w:bookmarkStart w:id="120" w:name="_CRFigure4_2_43"/>
      <w:r w:rsidRPr="00873B6C">
        <w:t xml:space="preserve">Figure </w:t>
      </w:r>
      <w:bookmarkEnd w:id="120"/>
      <w:r w:rsidRPr="00873B6C">
        <w:t>4.2.4-3: Roaming 5G System architecture - home routed scenario in service-based interface representation</w:t>
      </w:r>
    </w:p>
    <w:p w14:paraId="60DF19D0" w14:textId="0A906E94" w:rsidR="00D40151" w:rsidRPr="00873B6C" w:rsidRDefault="00D40151" w:rsidP="00D40151">
      <w:pPr>
        <w:pStyle w:val="NO"/>
      </w:pPr>
      <w:r w:rsidRPr="00873B6C">
        <w:t>NOTE </w:t>
      </w:r>
      <w:r w:rsidR="006E26ED" w:rsidRPr="00873B6C">
        <w:t>4</w:t>
      </w:r>
      <w:r w:rsidRPr="00873B6C">
        <w:t>:</w:t>
      </w:r>
      <w:r w:rsidRPr="00873B6C">
        <w:tab/>
        <w:t>An SCP can be used for indirect communication between NFs and NF services within the VPLMN, within the HPLMN, or in within both VPLMN and HPLMN. For simplicity, the SCP is not shown in the roaming architecture.</w:t>
      </w:r>
    </w:p>
    <w:p w14:paraId="69EE1D2C" w14:textId="61EED43E" w:rsidR="00D40151" w:rsidRPr="00873B6C" w:rsidRDefault="00D40151" w:rsidP="00D40151">
      <w:pPr>
        <w:pStyle w:val="NO"/>
      </w:pPr>
      <w:r w:rsidRPr="00873B6C">
        <w:t>NOTE</w:t>
      </w:r>
      <w:r w:rsidR="006E26ED" w:rsidRPr="00873B6C">
        <w:t> 5</w:t>
      </w:r>
      <w:r w:rsidRPr="00873B6C">
        <w:t>:</w:t>
      </w:r>
      <w:r w:rsidRPr="00873B6C">
        <w:tab/>
        <w:t>UPFs in the home routed scenario can be used also to support the IPUPS functionality (see clause 5.8.2.14).</w:t>
      </w:r>
    </w:p>
    <w:p w14:paraId="522D8026" w14:textId="44E56308" w:rsidR="006E26ED" w:rsidRPr="00873B6C" w:rsidRDefault="006E26ED" w:rsidP="006E26ED">
      <w:pPr>
        <w:pStyle w:val="NO"/>
      </w:pPr>
      <w:r w:rsidRPr="00873B6C">
        <w:t>NOTE 6:</w:t>
      </w:r>
      <w:r w:rsidRPr="00873B6C">
        <w:tab/>
        <w:t>For clarity, the NWDAF(s) with roaming exchange capability (RE-NWDAF) and their connections with other NFs, are not depicted in the service-based architecture diagram. For more information on network data analytics architecture refer to TS 23.288 [86].</w:t>
      </w:r>
    </w:p>
    <w:p w14:paraId="6EE20E4D" w14:textId="77777777" w:rsidR="00D40151" w:rsidRPr="00873B6C" w:rsidRDefault="00D40151" w:rsidP="00D40151">
      <w:r w:rsidRPr="00873B6C">
        <w:t>Figure 4.2.4-4 depicts 5G System roaming architecture in the case of local break out scenario using the reference point representation.</w:t>
      </w:r>
    </w:p>
    <w:p w14:paraId="3D54661F" w14:textId="59307751" w:rsidR="00B96062" w:rsidRPr="00873B6C" w:rsidRDefault="00B96062" w:rsidP="00562E84">
      <w:pPr>
        <w:pStyle w:val="TH"/>
      </w:pPr>
      <w:r w:rsidRPr="00873B6C">
        <w:rPr>
          <w:noProof/>
        </w:rPr>
        <w:object w:dxaOrig="10005" w:dyaOrig="6045" w14:anchorId="7FE04127">
          <v:shape id="_x0000_i1034" type="#_x0000_t75" alt="" style="width:403.85pt;height:245.45pt;mso-width-percent:0;mso-height-percent:0;mso-width-percent:0;mso-height-percent:0" o:ole="">
            <v:imagedata r:id="rId27" o:title=""/>
          </v:shape>
          <o:OLEObject Type="Embed" ProgID="Visio.Drawing.11" ShapeID="_x0000_i1034" DrawAspect="Content" ObjectID="_1811772368" r:id="rId28"/>
        </w:object>
      </w:r>
    </w:p>
    <w:p w14:paraId="7D60CF43" w14:textId="37366884" w:rsidR="00D40151" w:rsidRPr="00873B6C" w:rsidRDefault="00D40151" w:rsidP="00D40151">
      <w:pPr>
        <w:pStyle w:val="TF"/>
      </w:pPr>
      <w:bookmarkStart w:id="121" w:name="_CRFigure4_2_44"/>
      <w:r w:rsidRPr="00873B6C">
        <w:t xml:space="preserve">Figure </w:t>
      </w:r>
      <w:bookmarkEnd w:id="121"/>
      <w:r w:rsidRPr="00873B6C">
        <w:t>4.2.4-4</w:t>
      </w:r>
      <w:r w:rsidRPr="00873B6C">
        <w:rPr>
          <w:lang w:eastAsia="zh-CN"/>
        </w:rPr>
        <w:t>:</w:t>
      </w:r>
      <w:r w:rsidRPr="00873B6C">
        <w:t xml:space="preserve"> Roaming 5G System architecture - local breakout scenario in reference point representation</w:t>
      </w:r>
    </w:p>
    <w:p w14:paraId="05FC2E43" w14:textId="22513C5F" w:rsidR="00D40151" w:rsidRPr="00873B6C" w:rsidRDefault="00D40151" w:rsidP="00D40151">
      <w:pPr>
        <w:pStyle w:val="NO"/>
      </w:pPr>
      <w:r w:rsidRPr="00873B6C">
        <w:t>NOTE </w:t>
      </w:r>
      <w:r w:rsidR="006E26ED" w:rsidRPr="00873B6C">
        <w:t>7</w:t>
      </w:r>
      <w:r w:rsidRPr="00873B6C">
        <w:t>:</w:t>
      </w:r>
      <w:r w:rsidRPr="00873B6C">
        <w:tab/>
        <w:t>The NRF is not depicted in reference point architecture figures. Refer to Figure 4.2.4-7 for details on NRF and NF interfaces.</w:t>
      </w:r>
    </w:p>
    <w:p w14:paraId="368769A0" w14:textId="2185C6EE" w:rsidR="00D40151" w:rsidRPr="00873B6C" w:rsidRDefault="00D40151" w:rsidP="00D40151">
      <w:pPr>
        <w:pStyle w:val="NO"/>
      </w:pPr>
      <w:r w:rsidRPr="00873B6C">
        <w:t>NOTE </w:t>
      </w:r>
      <w:r w:rsidR="006E26ED" w:rsidRPr="00873B6C">
        <w:t>8</w:t>
      </w:r>
      <w:r w:rsidRPr="00873B6C">
        <w:t>:</w:t>
      </w:r>
      <w:r w:rsidRPr="00873B6C">
        <w:tab/>
        <w:t>For the sake of clarity, SEPPs are not depicted in the roaming reference point architecture figures.</w:t>
      </w:r>
    </w:p>
    <w:p w14:paraId="3E7E30E9" w14:textId="06490381" w:rsidR="006E26ED" w:rsidRPr="00873B6C" w:rsidRDefault="006E26ED" w:rsidP="006E26ED">
      <w:pPr>
        <w:pStyle w:val="NO"/>
      </w:pPr>
      <w:r w:rsidRPr="00873B6C">
        <w:t>NOTE 9:</w:t>
      </w:r>
      <w:r w:rsidRPr="00873B6C">
        <w:tab/>
        <w:t>For clarity, the NWDAF(s) with roaming exchange capability (RE-NWDAF) and their connections with other NFs, are not depicted in the reference point architecture figure. For more information on network data analytics architecture refer to TS 23.288 [86].</w:t>
      </w:r>
    </w:p>
    <w:p w14:paraId="03EBFC31" w14:textId="77777777" w:rsidR="00D40151" w:rsidRPr="00873B6C" w:rsidRDefault="00D40151" w:rsidP="00D40151">
      <w:r w:rsidRPr="00873B6C">
        <w:t>The following figure 4.2.4-6 depicts the 5G System roaming architecture in the case of home routed scenario using the reference point representation.</w:t>
      </w:r>
    </w:p>
    <w:p w14:paraId="75D5A920" w14:textId="52F5FF6B" w:rsidR="00CB6EDC" w:rsidRPr="00873B6C" w:rsidRDefault="00CB6EDC" w:rsidP="00461850">
      <w:pPr>
        <w:pStyle w:val="TH"/>
      </w:pPr>
      <w:r w:rsidRPr="00873B6C">
        <w:rPr>
          <w:noProof/>
        </w:rPr>
        <w:object w:dxaOrig="11408" w:dyaOrig="7328" w14:anchorId="7FFAC8CB">
          <v:shape id="_x0000_i1035" type="#_x0000_t75" alt="" style="width:406.95pt;height:261.7pt" o:ole="">
            <v:imagedata r:id="rId29" o:title=""/>
          </v:shape>
          <o:OLEObject Type="Embed" ProgID="Visio.Drawing.11" ShapeID="_x0000_i1035" DrawAspect="Content" ObjectID="_1811772369" r:id="rId30"/>
        </w:object>
      </w:r>
    </w:p>
    <w:p w14:paraId="3A062B1B" w14:textId="7EC8BBB2" w:rsidR="00D40151" w:rsidRPr="00873B6C" w:rsidRDefault="00D40151" w:rsidP="00D40151">
      <w:pPr>
        <w:pStyle w:val="TF"/>
      </w:pPr>
      <w:bookmarkStart w:id="122" w:name="_CRFigure4_2_46"/>
      <w:r w:rsidRPr="00873B6C">
        <w:t xml:space="preserve">Figure </w:t>
      </w:r>
      <w:bookmarkEnd w:id="122"/>
      <w:r w:rsidRPr="00873B6C">
        <w:t>4.2.4-6</w:t>
      </w:r>
      <w:r w:rsidRPr="00873B6C">
        <w:rPr>
          <w:lang w:eastAsia="zh-CN"/>
        </w:rPr>
        <w:t>:</w:t>
      </w:r>
      <w:r w:rsidRPr="00873B6C">
        <w:t xml:space="preserve"> Roaming 5G System architecture - Home routed scenario in reference point representation</w:t>
      </w:r>
    </w:p>
    <w:p w14:paraId="72B19F53" w14:textId="48877A0D" w:rsidR="00CB6EDC" w:rsidRPr="00873B6C" w:rsidRDefault="00CB6EDC" w:rsidP="00D40151">
      <w:r w:rsidRPr="00873B6C">
        <w:lastRenderedPageBreak/>
        <w:t>The N38 references point can be between V-SMFs in the same VPLMN, or between V-SMFs in different VPLMNs (to enable inter-PLMN mobility).</w:t>
      </w:r>
    </w:p>
    <w:p w14:paraId="45B65AFB" w14:textId="424230A7" w:rsidR="006E26ED" w:rsidRPr="00873B6C" w:rsidRDefault="006E26ED" w:rsidP="006E26ED">
      <w:pPr>
        <w:pStyle w:val="NO"/>
      </w:pPr>
      <w:r w:rsidRPr="00873B6C">
        <w:t>NOTE 10:</w:t>
      </w:r>
      <w:r w:rsidRPr="00873B6C">
        <w:tab/>
        <w:t>For clarity, the NWDAF(s) with roaming exchange capability (RE-NWDAF) and their connections with other NFs, are not depicted in the reference point architecture figure. For more information on network data analytics architecture refer to TS 23.288 [86].</w:t>
      </w:r>
    </w:p>
    <w:p w14:paraId="19B08925" w14:textId="4583F743" w:rsidR="00D40151" w:rsidRPr="00873B6C" w:rsidRDefault="00D40151" w:rsidP="00D40151">
      <w:r w:rsidRPr="00873B6C">
        <w:t>For the roaming scenarios described above each PLMN implements proxy functionality to secure interconnection and hide topology on the inter-PLMN interfaces.</w:t>
      </w:r>
    </w:p>
    <w:p w14:paraId="248A1E38" w14:textId="77777777" w:rsidR="00D40151" w:rsidRPr="00873B6C" w:rsidRDefault="00D40151" w:rsidP="00D40151">
      <w:pPr>
        <w:pStyle w:val="TH"/>
      </w:pPr>
      <w:r w:rsidRPr="00873B6C">
        <w:object w:dxaOrig="9990" w:dyaOrig="3630" w14:anchorId="5CD3717E">
          <v:shape id="_x0000_i1036" type="#_x0000_t75" style="width:477.7pt;height:173.45pt" o:ole="">
            <v:imagedata r:id="rId31" o:title=""/>
          </v:shape>
          <o:OLEObject Type="Embed" ProgID="Visio.Drawing.11" ShapeID="_x0000_i1036" DrawAspect="Content" ObjectID="_1811772370" r:id="rId32"/>
        </w:object>
      </w:r>
    </w:p>
    <w:p w14:paraId="61B612A6" w14:textId="77777777" w:rsidR="00D40151" w:rsidRPr="00873B6C" w:rsidRDefault="00D40151" w:rsidP="00D40151">
      <w:pPr>
        <w:pStyle w:val="TF"/>
      </w:pPr>
      <w:bookmarkStart w:id="123" w:name="_CRFigure4_2_47"/>
      <w:r w:rsidRPr="00873B6C">
        <w:t xml:space="preserve">Figure </w:t>
      </w:r>
      <w:bookmarkEnd w:id="123"/>
      <w:r w:rsidRPr="00873B6C">
        <w:t>4.2.4-7: NRF Roaming architecture in reference point representation</w:t>
      </w:r>
    </w:p>
    <w:p w14:paraId="20F64F03" w14:textId="242D57B4" w:rsidR="00D40151" w:rsidRPr="00873B6C" w:rsidRDefault="00D40151" w:rsidP="00D40151">
      <w:pPr>
        <w:pStyle w:val="NO"/>
      </w:pPr>
      <w:r w:rsidRPr="00873B6C">
        <w:t>NOTE </w:t>
      </w:r>
      <w:r w:rsidR="006E26ED" w:rsidRPr="00873B6C">
        <w:t>11</w:t>
      </w:r>
      <w:r w:rsidRPr="00873B6C">
        <w:t>:</w:t>
      </w:r>
      <w:r w:rsidRPr="00873B6C">
        <w:tab/>
        <w:t>For the sake of clarity, SEPPs on both sides of PLMN borders are not depicted in figure 4.2.4-7.</w:t>
      </w:r>
    </w:p>
    <w:p w14:paraId="2441DE5D" w14:textId="77777777" w:rsidR="00D40151" w:rsidRPr="00873B6C" w:rsidRDefault="00D40151" w:rsidP="00D40151">
      <w:pPr>
        <w:pStyle w:val="TF"/>
      </w:pPr>
      <w:bookmarkStart w:id="124" w:name="_CRFigure4_2_48"/>
      <w:r w:rsidRPr="00873B6C">
        <w:t xml:space="preserve">Figure </w:t>
      </w:r>
      <w:bookmarkEnd w:id="124"/>
      <w:r w:rsidRPr="00873B6C">
        <w:t>4.2.4-8: Void</w:t>
      </w:r>
    </w:p>
    <w:p w14:paraId="0DFC5913" w14:textId="77777777" w:rsidR="00D40151" w:rsidRPr="00873B6C" w:rsidRDefault="00D40151" w:rsidP="00D40151">
      <w:bookmarkStart w:id="125" w:name="_Toc20149635"/>
      <w:bookmarkStart w:id="126" w:name="_Toc27846426"/>
      <w:r w:rsidRPr="00873B6C">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A8A538D" w:rsidR="00D40151" w:rsidRPr="00873B6C" w:rsidRDefault="00D40151" w:rsidP="00D40151">
      <w:pPr>
        <w:pStyle w:val="NO"/>
      </w:pPr>
      <w:r w:rsidRPr="00873B6C">
        <w:t>NOTE </w:t>
      </w:r>
      <w:r w:rsidR="006E26ED" w:rsidRPr="00873B6C">
        <w:t>12</w:t>
      </w:r>
      <w:r w:rsidRPr="00873B6C">
        <w:t>:</w:t>
      </w:r>
      <w:r w:rsidRPr="00873B6C">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B796CED" w:rsidR="00D40151" w:rsidRPr="00873B6C" w:rsidRDefault="00D40151" w:rsidP="00D40151">
      <w:r w:rsidRPr="00873B6C">
        <w:t xml:space="preserve">The IPUPS functionality is specified in clause 5.8.2.14 and </w:t>
      </w:r>
      <w:r w:rsidR="00972E70" w:rsidRPr="00873B6C">
        <w:t>TS 33.501 [</w:t>
      </w:r>
      <w:r w:rsidRPr="00873B6C">
        <w:t>29].</w:t>
      </w:r>
    </w:p>
    <w:p w14:paraId="670B3871" w14:textId="6E459753" w:rsidR="00B96062" w:rsidRPr="00873B6C" w:rsidRDefault="00B96062" w:rsidP="00562E84">
      <w:pPr>
        <w:pStyle w:val="TH"/>
      </w:pPr>
      <w:r w:rsidRPr="00873B6C">
        <w:rPr>
          <w:noProof/>
        </w:rPr>
        <w:object w:dxaOrig="10545" w:dyaOrig="4455" w14:anchorId="34813652">
          <v:shape id="_x0000_i1037" type="#_x0000_t75" alt="" style="width:479.6pt;height:220.4pt;mso-width-percent:0;mso-height-percent:0;mso-width-percent:0;mso-height-percent:0" o:ole="">
            <v:imagedata r:id="rId33" o:title=""/>
          </v:shape>
          <o:OLEObject Type="Embed" ProgID="Visio.Drawing.11" ShapeID="_x0000_i1037" DrawAspect="Content" ObjectID="_1811772371" r:id="rId34"/>
        </w:object>
      </w:r>
    </w:p>
    <w:p w14:paraId="15379655" w14:textId="272C3C1F" w:rsidR="00D40151" w:rsidRPr="00873B6C" w:rsidRDefault="00D40151" w:rsidP="00D40151">
      <w:pPr>
        <w:pStyle w:val="TF"/>
      </w:pPr>
      <w:bookmarkStart w:id="127" w:name="_CRFigure4_2_49"/>
      <w:r w:rsidRPr="00873B6C">
        <w:t xml:space="preserve">Figure </w:t>
      </w:r>
      <w:bookmarkEnd w:id="127"/>
      <w:r w:rsidRPr="00873B6C">
        <w:t>4.2.4-9: Roaming 5G System architecture - home routed roaming scenario in service-based interface representation employing UPF dedicated to IPUPS</w:t>
      </w:r>
    </w:p>
    <w:p w14:paraId="108F013D" w14:textId="77777777" w:rsidR="00D40151" w:rsidRPr="00873B6C" w:rsidRDefault="00D40151" w:rsidP="00D40151">
      <w:pPr>
        <w:pStyle w:val="Heading3"/>
      </w:pPr>
      <w:bookmarkStart w:id="128" w:name="_CR4_2_5"/>
      <w:bookmarkStart w:id="129" w:name="_Toc36187550"/>
      <w:bookmarkStart w:id="130" w:name="_Toc45183454"/>
      <w:bookmarkStart w:id="131" w:name="_Toc47342296"/>
      <w:bookmarkStart w:id="132" w:name="_Toc51768994"/>
      <w:bookmarkStart w:id="133" w:name="_Toc201156907"/>
      <w:bookmarkEnd w:id="128"/>
      <w:r w:rsidRPr="00873B6C">
        <w:t>4.2.5</w:t>
      </w:r>
      <w:r w:rsidRPr="00873B6C">
        <w:tab/>
        <w:t>Data Storage architectures</w:t>
      </w:r>
      <w:bookmarkEnd w:id="125"/>
      <w:bookmarkEnd w:id="126"/>
      <w:bookmarkEnd w:id="129"/>
      <w:bookmarkEnd w:id="130"/>
      <w:bookmarkEnd w:id="131"/>
      <w:bookmarkEnd w:id="132"/>
      <w:bookmarkEnd w:id="133"/>
    </w:p>
    <w:p w14:paraId="592F4A24" w14:textId="7B256917" w:rsidR="00D40151" w:rsidRPr="00873B6C" w:rsidRDefault="00D40151" w:rsidP="00D40151">
      <w:r w:rsidRPr="00873B6C">
        <w:t>As depicted in Figure 4.2.5-1, the 5G System architecture allows any NF to</w:t>
      </w:r>
      <w:r w:rsidR="0014088C" w:rsidRPr="00873B6C">
        <w:t xml:space="preserve"> create/read/update/delete</w:t>
      </w:r>
      <w:r w:rsidRPr="00873B6C">
        <w:t xml:space="preserve"> its unstructured data in</w:t>
      </w:r>
      <w:r w:rsidR="0014088C" w:rsidRPr="00873B6C">
        <w:t xml:space="preserve"> </w:t>
      </w:r>
      <w:r w:rsidRPr="00873B6C">
        <w:t>a UDSF (e.g. UE contexts).</w:t>
      </w:r>
      <w:r w:rsidR="0014088C" w:rsidRPr="00873B6C">
        <w:t xml:space="preserve"> If such an NF is using UDSF is part of an NF set, then any of the NF instance within this NF set may read/update/delete the unstructured data that was created by this NF.</w:t>
      </w:r>
      <w:r w:rsidRPr="00873B6C">
        <w:t xml:space="preserve"> The UDSF belongs to the same PLMN where the network function is located. CP NFs</w:t>
      </w:r>
      <w:r w:rsidR="0014088C" w:rsidRPr="00873B6C">
        <w:t>/NF Sets</w:t>
      </w:r>
      <w:r w:rsidRPr="00873B6C">
        <w:t xml:space="preserve"> may share a UDSF for storing their respective unstructured data or may each have their own UDSF (e.g. a UDSF may be located close to the respective NF).</w:t>
      </w:r>
    </w:p>
    <w:p w14:paraId="063C1DC6" w14:textId="77777777" w:rsidR="00D40151" w:rsidRPr="00873B6C" w:rsidRDefault="00D40151" w:rsidP="00D40151">
      <w:pPr>
        <w:pStyle w:val="NO"/>
      </w:pPr>
      <w:r w:rsidRPr="00873B6C">
        <w:t>NOTE 1:</w:t>
      </w:r>
      <w:r w:rsidRPr="00873B6C">
        <w:tab/>
        <w:t>Structured data in this specification refers to data for which the structure is defined in 3GPP specifications. Unstructured data refers to data for which the structure is not defined in 3GPP specifications.</w:t>
      </w:r>
    </w:p>
    <w:p w14:paraId="7B600A6B" w14:textId="70CB1062" w:rsidR="0014088C" w:rsidRPr="00873B6C" w:rsidRDefault="0014088C" w:rsidP="0014088C">
      <w:pPr>
        <w:pStyle w:val="NO"/>
      </w:pPr>
      <w:r w:rsidRPr="00873B6C">
        <w:t>NOTE 2:</w:t>
      </w:r>
      <w:r w:rsidRPr="00873B6C">
        <w:tab/>
        <w:t>If a NF Set has its own UDSF, it is up to UDSF implementation and deployment that only the NF instance within the set can access the data created by another NF instance within the NF set. If a UDSF is shared between several NFs not part of the same set or is shared between several NF sets, it is up to UDSF implementation and deployment to make sure that only NFs that are authorized can access the data. For further information about Guidelines and Principles for Compute-Storage Separation see Annex C.</w:t>
      </w:r>
    </w:p>
    <w:p w14:paraId="4B4EEE79" w14:textId="77777777" w:rsidR="00D40151" w:rsidRPr="00873B6C" w:rsidRDefault="00D40151" w:rsidP="00D40151">
      <w:pPr>
        <w:pStyle w:val="TH"/>
      </w:pPr>
      <w:r w:rsidRPr="00873B6C">
        <w:object w:dxaOrig="4260" w:dyaOrig="1006" w14:anchorId="7836F12F">
          <v:shape id="_x0000_i1038" type="#_x0000_t75" style="width:211pt;height:50.1pt" o:ole="">
            <v:imagedata r:id="rId35" o:title=""/>
          </v:shape>
          <o:OLEObject Type="Embed" ProgID="Visio.Drawing.11" ShapeID="_x0000_i1038" DrawAspect="Content" ObjectID="_1811772372" r:id="rId36"/>
        </w:object>
      </w:r>
    </w:p>
    <w:p w14:paraId="2E1F84FB" w14:textId="734AAEF5" w:rsidR="00D40151" w:rsidRPr="00873B6C" w:rsidRDefault="00D40151" w:rsidP="00D40151">
      <w:pPr>
        <w:pStyle w:val="TF"/>
      </w:pPr>
      <w:bookmarkStart w:id="134" w:name="_CRFigure4_2_51"/>
      <w:r w:rsidRPr="00873B6C">
        <w:t xml:space="preserve">Figure </w:t>
      </w:r>
      <w:bookmarkEnd w:id="134"/>
      <w:r w:rsidRPr="00873B6C">
        <w:t>4.2.5-1</w:t>
      </w:r>
      <w:r w:rsidRPr="00873B6C">
        <w:rPr>
          <w:lang w:eastAsia="zh-CN"/>
        </w:rPr>
        <w:t>:</w:t>
      </w:r>
      <w:r w:rsidRPr="00873B6C">
        <w:t xml:space="preserve"> Data </w:t>
      </w:r>
      <w:r w:rsidR="0082686E" w:rsidRPr="00873B6C">
        <w:t>S</w:t>
      </w:r>
      <w:r w:rsidRPr="00873B6C">
        <w:t xml:space="preserve">torage </w:t>
      </w:r>
      <w:r w:rsidR="0082686E" w:rsidRPr="00873B6C">
        <w:t>A</w:t>
      </w:r>
      <w:r w:rsidRPr="00873B6C">
        <w:t>rchitecture for unstructured data from any NF</w:t>
      </w:r>
    </w:p>
    <w:p w14:paraId="0A3D4FAD" w14:textId="653D9F33" w:rsidR="00D40151" w:rsidRPr="00873B6C" w:rsidRDefault="00D40151" w:rsidP="00D40151">
      <w:pPr>
        <w:pStyle w:val="NO"/>
      </w:pPr>
      <w:r w:rsidRPr="00873B6C">
        <w:t>NOTE </w:t>
      </w:r>
      <w:r w:rsidR="0014088C" w:rsidRPr="00873B6C">
        <w:t>3</w:t>
      </w:r>
      <w:r w:rsidRPr="00873B6C">
        <w:t>:</w:t>
      </w:r>
      <w:r w:rsidRPr="00873B6C">
        <w:tab/>
        <w:t>3GPP will specify (possibly by referencing) the N18/Nudsf interface.</w:t>
      </w:r>
    </w:p>
    <w:p w14:paraId="6D26660E" w14:textId="77777777" w:rsidR="00D40151" w:rsidRPr="00873B6C" w:rsidRDefault="00D40151" w:rsidP="00D40151">
      <w:r w:rsidRPr="00873B6C">
        <w:t xml:space="preserve">As depicted in Figure 4.2.5-2, the 5G System architecture allows the </w:t>
      </w:r>
      <w:r w:rsidRPr="00873B6C">
        <w:rPr>
          <w:lang w:eastAsia="zh-CN"/>
        </w:rPr>
        <w:t xml:space="preserve">UDM, PCF and </w:t>
      </w:r>
      <w:r w:rsidRPr="00873B6C">
        <w:t xml:space="preserve">NEF to store data in the </w:t>
      </w:r>
      <w:r w:rsidRPr="00873B6C">
        <w:rPr>
          <w:lang w:eastAsia="zh-CN"/>
        </w:rPr>
        <w:t xml:space="preserve">UDR, including subscription data and policy data by UDM and PCF, structured data for exposure </w:t>
      </w:r>
      <w:r w:rsidRPr="00873B6C">
        <w:t>and</w:t>
      </w:r>
      <w:r w:rsidRPr="00873B6C">
        <w:rPr>
          <w:lang w:eastAsia="zh-CN"/>
        </w:rPr>
        <w:t xml:space="preserve"> application data (including</w:t>
      </w:r>
      <w:r w:rsidRPr="00873B6C">
        <w:rPr>
          <w:bCs/>
        </w:rPr>
        <w:t xml:space="preserve"> Packet Flow Descriptions (PFDs) for application detection</w:t>
      </w:r>
      <w:r w:rsidRPr="00873B6C">
        <w:rPr>
          <w:lang w:eastAsia="zh-CN"/>
        </w:rPr>
        <w:t xml:space="preserve">, AF request information for multiple UEs) </w:t>
      </w:r>
      <w:r w:rsidRPr="00873B6C">
        <w:t>by the NEF. UDR can be deployed in each PLMN and it can serve different functions as follows:</w:t>
      </w:r>
    </w:p>
    <w:p w14:paraId="7526087D" w14:textId="77777777" w:rsidR="00D40151" w:rsidRPr="00873B6C" w:rsidRDefault="00D40151" w:rsidP="00D40151">
      <w:pPr>
        <w:pStyle w:val="B1"/>
      </w:pPr>
      <w:r w:rsidRPr="00873B6C">
        <w:t>-</w:t>
      </w:r>
      <w:r w:rsidRPr="00873B6C">
        <w:tab/>
        <w:t>UDR accessed by the NEF belongs to the same PLMN where the NEF is located.</w:t>
      </w:r>
    </w:p>
    <w:p w14:paraId="4F20A8B5" w14:textId="77777777" w:rsidR="00D40151" w:rsidRPr="00873B6C" w:rsidRDefault="00D40151" w:rsidP="00D40151">
      <w:pPr>
        <w:pStyle w:val="B1"/>
      </w:pPr>
      <w:r w:rsidRPr="00873B6C">
        <w:t>-</w:t>
      </w:r>
      <w:r w:rsidRPr="00873B6C">
        <w:tab/>
        <w:t>UDR accessed by the UDM belongs to the same PLMN where the UDM is located if UDM supports a split architecture.</w:t>
      </w:r>
    </w:p>
    <w:p w14:paraId="32F506FD" w14:textId="77777777" w:rsidR="00D40151" w:rsidRPr="00873B6C" w:rsidRDefault="00D40151" w:rsidP="00D40151">
      <w:pPr>
        <w:pStyle w:val="B1"/>
      </w:pPr>
      <w:r w:rsidRPr="00873B6C">
        <w:t>-</w:t>
      </w:r>
      <w:r w:rsidRPr="00873B6C">
        <w:tab/>
        <w:t>UDR accessed by the PCF belongs to the same PLMN where the PCF is located.</w:t>
      </w:r>
    </w:p>
    <w:p w14:paraId="7D19EC93" w14:textId="08114D82" w:rsidR="00D40151" w:rsidRPr="00873B6C" w:rsidRDefault="00D40151" w:rsidP="00D40151">
      <w:pPr>
        <w:pStyle w:val="NO"/>
      </w:pPr>
      <w:r w:rsidRPr="00873B6C">
        <w:lastRenderedPageBreak/>
        <w:t>NOTE </w:t>
      </w:r>
      <w:r w:rsidR="0014088C" w:rsidRPr="00873B6C">
        <w:t>4</w:t>
      </w:r>
      <w:r w:rsidRPr="00873B6C">
        <w:t>:</w:t>
      </w:r>
      <w:r w:rsidRPr="00873B6C">
        <w:tab/>
        <w:t>The UDR deployed in each PLMN can store application data for roaming subscribers.</w:t>
      </w:r>
    </w:p>
    <w:p w14:paraId="6695CD58" w14:textId="77777777" w:rsidR="00D40151" w:rsidRPr="00873B6C" w:rsidRDefault="00D40151" w:rsidP="00D40151">
      <w:pPr>
        <w:pStyle w:val="TH"/>
      </w:pPr>
      <w:r w:rsidRPr="00873B6C">
        <w:object w:dxaOrig="8920" w:dyaOrig="4140" w14:anchorId="6ECF9C05">
          <v:shape id="_x0000_i1039" type="#_x0000_t75" style="width:446.4pt;height:207.85pt" o:ole="">
            <v:imagedata r:id="rId37" o:title=""/>
          </v:shape>
          <o:OLEObject Type="Embed" ProgID="Visio.Drawing.15" ShapeID="_x0000_i1039" DrawAspect="Content" ObjectID="_1811772373" r:id="rId38"/>
        </w:object>
      </w:r>
    </w:p>
    <w:p w14:paraId="1BF3923F" w14:textId="5891CE8D" w:rsidR="00D40151" w:rsidRPr="00873B6C" w:rsidRDefault="00D40151" w:rsidP="00D40151">
      <w:pPr>
        <w:pStyle w:val="TF"/>
      </w:pPr>
      <w:bookmarkStart w:id="135" w:name="_CRFigure4_2_52"/>
      <w:r w:rsidRPr="00873B6C">
        <w:t xml:space="preserve">Figure </w:t>
      </w:r>
      <w:bookmarkEnd w:id="135"/>
      <w:r w:rsidRPr="00873B6C">
        <w:t>4.2.5-2</w:t>
      </w:r>
      <w:r w:rsidRPr="00873B6C">
        <w:rPr>
          <w:lang w:eastAsia="zh-CN"/>
        </w:rPr>
        <w:t>:</w:t>
      </w:r>
      <w:r w:rsidRPr="00873B6C">
        <w:t xml:space="preserve"> Data </w:t>
      </w:r>
      <w:r w:rsidR="0082686E" w:rsidRPr="00873B6C">
        <w:t>S</w:t>
      </w:r>
      <w:r w:rsidRPr="00873B6C">
        <w:t xml:space="preserve">torage </w:t>
      </w:r>
      <w:r w:rsidR="0082686E" w:rsidRPr="00873B6C">
        <w:t>A</w:t>
      </w:r>
      <w:r w:rsidRPr="00873B6C">
        <w:t>rchitecture</w:t>
      </w:r>
    </w:p>
    <w:p w14:paraId="6A3E363A" w14:textId="7670FDD6" w:rsidR="00D40151" w:rsidRPr="00873B6C" w:rsidRDefault="00D40151" w:rsidP="00D40151">
      <w:pPr>
        <w:pStyle w:val="NO"/>
      </w:pPr>
      <w:r w:rsidRPr="00873B6C">
        <w:t>NOTE </w:t>
      </w:r>
      <w:r w:rsidR="0014088C" w:rsidRPr="00873B6C">
        <w:t>5</w:t>
      </w:r>
      <w:r w:rsidRPr="00873B6C">
        <w:t>:</w:t>
      </w:r>
      <w:r w:rsidRPr="00873B6C">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w:t>
      </w:r>
      <w:r w:rsidR="00472CD7" w:rsidRPr="00873B6C">
        <w:t xml:space="preserve"> and</w:t>
      </w:r>
      <w:r w:rsidRPr="00873B6C">
        <w:t>, thus, can be integrated with this NF, can be possible.</w:t>
      </w:r>
    </w:p>
    <w:p w14:paraId="6FB349E0" w14:textId="4C5447F7" w:rsidR="00D40151" w:rsidRPr="00873B6C" w:rsidRDefault="00D40151" w:rsidP="00D40151">
      <w:pPr>
        <w:pStyle w:val="NO"/>
      </w:pPr>
      <w:r w:rsidRPr="00873B6C">
        <w:t>NOTE </w:t>
      </w:r>
      <w:r w:rsidR="0014088C" w:rsidRPr="00873B6C">
        <w:t>6</w:t>
      </w:r>
      <w:r w:rsidRPr="00873B6C">
        <w:t>: The internal structure of the UDR in figure 4.2.5-2 is shown for information only.</w:t>
      </w:r>
    </w:p>
    <w:p w14:paraId="4C260B6A" w14:textId="576DA978" w:rsidR="00D40151" w:rsidRPr="00873B6C" w:rsidRDefault="00D40151" w:rsidP="00D40151">
      <w:pPr>
        <w:rPr>
          <w:lang w:eastAsia="zh-CN"/>
        </w:rPr>
      </w:pPr>
      <w:r w:rsidRPr="00873B6C">
        <w:rPr>
          <w:lang w:eastAsia="zh-CN"/>
        </w:rPr>
        <w:t>The Nudr interface is defined for the network functions (i.e. NF Service Consumers), such as UDM, PCF</w:t>
      </w:r>
      <w:r w:rsidR="0082686E" w:rsidRPr="00873B6C">
        <w:rPr>
          <w:lang w:eastAsia="zh-CN"/>
        </w:rPr>
        <w:t xml:space="preserve"> and</w:t>
      </w:r>
      <w:r w:rsidRPr="00873B6C">
        <w:rPr>
          <w:lang w:eastAsia="zh-CN"/>
        </w:rPr>
        <w:t xml:space="preserve"> NEF, to access a particular set of the data stored and to read, update (including add, modify), delete</w:t>
      </w:r>
      <w:r w:rsidR="00472CD7" w:rsidRPr="00873B6C">
        <w:rPr>
          <w:lang w:eastAsia="zh-CN"/>
        </w:rPr>
        <w:t xml:space="preserve"> and</w:t>
      </w:r>
      <w:r w:rsidRPr="00873B6C">
        <w:rPr>
          <w:lang w:eastAsia="zh-CN"/>
        </w:rPr>
        <w:t xml:space="preserve"> subscribe to notification of relevant data changes in the UDR.</w:t>
      </w:r>
    </w:p>
    <w:p w14:paraId="6A90B0DB" w14:textId="77777777" w:rsidR="00D40151" w:rsidRPr="00873B6C" w:rsidRDefault="00D40151" w:rsidP="00D40151">
      <w:pPr>
        <w:rPr>
          <w:lang w:eastAsia="zh-CN"/>
        </w:rPr>
      </w:pPr>
      <w:r w:rsidRPr="00873B6C">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873B6C" w:rsidRDefault="00D40151" w:rsidP="00D40151">
      <w:r w:rsidRPr="00873B6C">
        <w:rPr>
          <w:lang w:eastAsia="zh-CN"/>
        </w:rPr>
        <w:t>The following data in the UDR sets exposed via Nudr to the respective NF service consumer and stored shall be standardized</w:t>
      </w:r>
      <w:r w:rsidRPr="00873B6C">
        <w:rPr>
          <w:bCs/>
          <w:lang w:eastAsia="zh-CN"/>
        </w:rPr>
        <w:t>:</w:t>
      </w:r>
    </w:p>
    <w:p w14:paraId="11AD7210" w14:textId="77777777" w:rsidR="00D40151" w:rsidRPr="00873B6C" w:rsidRDefault="00D40151" w:rsidP="00D40151">
      <w:pPr>
        <w:pStyle w:val="B1"/>
      </w:pPr>
      <w:r w:rsidRPr="00873B6C">
        <w:t>-</w:t>
      </w:r>
      <w:r w:rsidRPr="00873B6C">
        <w:tab/>
        <w:t>Subscription Data,</w:t>
      </w:r>
    </w:p>
    <w:p w14:paraId="45FD8FF3" w14:textId="77777777" w:rsidR="00D40151" w:rsidRPr="00873B6C" w:rsidRDefault="00D40151" w:rsidP="00D40151">
      <w:pPr>
        <w:pStyle w:val="B1"/>
      </w:pPr>
      <w:r w:rsidRPr="00873B6C">
        <w:t>-</w:t>
      </w:r>
      <w:r w:rsidRPr="00873B6C">
        <w:tab/>
        <w:t>Policy Data,</w:t>
      </w:r>
    </w:p>
    <w:p w14:paraId="2B8849B3" w14:textId="77777777" w:rsidR="00D40151" w:rsidRPr="00873B6C" w:rsidRDefault="00D40151" w:rsidP="00D40151">
      <w:pPr>
        <w:pStyle w:val="B1"/>
      </w:pPr>
      <w:r w:rsidRPr="00873B6C">
        <w:t>-</w:t>
      </w:r>
      <w:r w:rsidRPr="00873B6C">
        <w:tab/>
        <w:t>Structured Data for exposure,</w:t>
      </w:r>
    </w:p>
    <w:p w14:paraId="26802B80" w14:textId="77777777" w:rsidR="00D40151" w:rsidRPr="00873B6C" w:rsidRDefault="00D40151" w:rsidP="00D40151">
      <w:pPr>
        <w:pStyle w:val="B1"/>
      </w:pPr>
      <w:r w:rsidRPr="00873B6C">
        <w:t>-</w:t>
      </w:r>
      <w:r w:rsidRPr="00873B6C">
        <w:tab/>
        <w:t>Application data: Packet Flow Descriptions (PFDs) for application detection and AF request information for multiple UEs, as defined in clause 5.6.7.</w:t>
      </w:r>
    </w:p>
    <w:p w14:paraId="1E118E51" w14:textId="77777777" w:rsidR="00D40151" w:rsidRPr="00873B6C" w:rsidRDefault="00D40151" w:rsidP="00D40151">
      <w:r w:rsidRPr="00873B6C">
        <w:t>The service based Nudr interface defines the content and format/encoding of the 3GPP defined information elements exposed by the data sets.</w:t>
      </w:r>
    </w:p>
    <w:p w14:paraId="228D7179" w14:textId="77777777" w:rsidR="00D40151" w:rsidRPr="00873B6C" w:rsidRDefault="00D40151" w:rsidP="00D40151">
      <w:r w:rsidRPr="00873B6C">
        <w:t>In addition, it shall be possible to access operator specific data sets by the NF Service Consumers from the UDR as well as operator specific data for each data set.</w:t>
      </w:r>
    </w:p>
    <w:p w14:paraId="274703B4" w14:textId="5859B348" w:rsidR="00D40151" w:rsidRPr="00873B6C" w:rsidRDefault="00D40151" w:rsidP="00D40151">
      <w:pPr>
        <w:pStyle w:val="NO"/>
      </w:pPr>
      <w:r w:rsidRPr="00873B6C">
        <w:t>NOTE </w:t>
      </w:r>
      <w:r w:rsidR="0014088C" w:rsidRPr="00873B6C">
        <w:t>7</w:t>
      </w:r>
      <w:r w:rsidRPr="00873B6C">
        <w:t>:</w:t>
      </w:r>
      <w:r w:rsidRPr="00873B6C">
        <w:tab/>
        <w:t>The content and format/encoding of operator specific data and operator specific data sets are not subject to standardization.</w:t>
      </w:r>
    </w:p>
    <w:p w14:paraId="6A65D493" w14:textId="043FC839" w:rsidR="00D40151" w:rsidRPr="00873B6C" w:rsidRDefault="00D40151" w:rsidP="00D40151">
      <w:pPr>
        <w:pStyle w:val="NO"/>
      </w:pPr>
      <w:r w:rsidRPr="00873B6C">
        <w:t>NOTE </w:t>
      </w:r>
      <w:r w:rsidR="0014088C" w:rsidRPr="00873B6C">
        <w:t>8</w:t>
      </w:r>
      <w:r w:rsidRPr="00873B6C">
        <w:t>:</w:t>
      </w:r>
      <w:r w:rsidRPr="00873B6C">
        <w:tab/>
        <w:t>The organization of the different data stored in the UDR is not to be standardized.</w:t>
      </w:r>
    </w:p>
    <w:p w14:paraId="5F98F07B" w14:textId="77777777" w:rsidR="00D40151" w:rsidRPr="00873B6C" w:rsidRDefault="00D40151" w:rsidP="00D40151">
      <w:pPr>
        <w:pStyle w:val="Heading3"/>
      </w:pPr>
      <w:bookmarkStart w:id="136" w:name="_CR4_2_5a"/>
      <w:bookmarkStart w:id="137" w:name="_Toc20149636"/>
      <w:bookmarkStart w:id="138" w:name="_Toc27846427"/>
      <w:bookmarkStart w:id="139" w:name="_Toc36187551"/>
      <w:bookmarkStart w:id="140" w:name="_Toc45183455"/>
      <w:bookmarkStart w:id="141" w:name="_Toc47342297"/>
      <w:bookmarkStart w:id="142" w:name="_Toc51768995"/>
      <w:bookmarkStart w:id="143" w:name="_Toc201156908"/>
      <w:bookmarkEnd w:id="136"/>
      <w:r w:rsidRPr="00873B6C">
        <w:lastRenderedPageBreak/>
        <w:t>4.2.5a</w:t>
      </w:r>
      <w:r w:rsidRPr="00873B6C">
        <w:tab/>
        <w:t>Radio Capabilities Signalling optimisation</w:t>
      </w:r>
      <w:bookmarkEnd w:id="137"/>
      <w:bookmarkEnd w:id="138"/>
      <w:bookmarkEnd w:id="139"/>
      <w:bookmarkEnd w:id="140"/>
      <w:bookmarkEnd w:id="141"/>
      <w:bookmarkEnd w:id="142"/>
      <w:bookmarkEnd w:id="143"/>
    </w:p>
    <w:p w14:paraId="094E79CD" w14:textId="77777777" w:rsidR="00D40151" w:rsidRPr="00873B6C" w:rsidRDefault="00D40151" w:rsidP="00D40151">
      <w:r w:rsidRPr="00873B6C">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873B6C" w:rsidRDefault="00D40151" w:rsidP="00D40151">
      <w:pPr>
        <w:pStyle w:val="TH"/>
      </w:pPr>
      <w:r w:rsidRPr="00873B6C">
        <w:object w:dxaOrig="7500" w:dyaOrig="5160" w14:anchorId="2DA16713">
          <v:shape id="_x0000_i1040" type="#_x0000_t75" style="width:257.3pt;height:175.95pt" o:ole="">
            <v:imagedata r:id="rId39" o:title=""/>
          </v:shape>
          <o:OLEObject Type="Embed" ProgID="Visio.Drawing.11" ShapeID="_x0000_i1040" DrawAspect="Content" ObjectID="_1811772374" r:id="rId40"/>
        </w:object>
      </w:r>
    </w:p>
    <w:p w14:paraId="70132439" w14:textId="77777777" w:rsidR="00D40151" w:rsidRPr="00873B6C" w:rsidRDefault="00D40151" w:rsidP="00D40151">
      <w:pPr>
        <w:pStyle w:val="TF"/>
      </w:pPr>
      <w:bookmarkStart w:id="144" w:name="_CRFigure4_2_5a1"/>
      <w:r w:rsidRPr="00873B6C">
        <w:t xml:space="preserve">Figure </w:t>
      </w:r>
      <w:bookmarkEnd w:id="144"/>
      <w:r w:rsidRPr="00873B6C">
        <w:t>4.2.5a-1: Radio Capability Signalling optimisation architecture</w:t>
      </w:r>
    </w:p>
    <w:p w14:paraId="296199AB" w14:textId="77777777" w:rsidR="00D40151" w:rsidRPr="00873B6C" w:rsidRDefault="00D40151" w:rsidP="00D40151">
      <w:pPr>
        <w:pStyle w:val="TH"/>
      </w:pPr>
      <w:r w:rsidRPr="00873B6C">
        <w:object w:dxaOrig="8280" w:dyaOrig="4620" w14:anchorId="23FC161A">
          <v:shape id="_x0000_i1041" type="#_x0000_t75" style="width:320.55pt;height:179.7pt" o:ole="">
            <v:imagedata r:id="rId41" o:title=""/>
          </v:shape>
          <o:OLEObject Type="Embed" ProgID="Visio.Drawing.11" ShapeID="_x0000_i1041" DrawAspect="Content" ObjectID="_1811772375" r:id="rId42"/>
        </w:object>
      </w:r>
    </w:p>
    <w:p w14:paraId="2050EB72" w14:textId="77777777" w:rsidR="00D40151" w:rsidRPr="00873B6C" w:rsidRDefault="00D40151" w:rsidP="00D40151">
      <w:pPr>
        <w:pStyle w:val="NF"/>
      </w:pPr>
      <w:r w:rsidRPr="00873B6C">
        <w:t>NOTE:</w:t>
      </w:r>
      <w:r w:rsidRPr="00873B6C">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873B6C" w:rsidRDefault="00D40151" w:rsidP="00D40151">
      <w:pPr>
        <w:pStyle w:val="NF"/>
      </w:pPr>
    </w:p>
    <w:p w14:paraId="56AED9D9" w14:textId="77777777" w:rsidR="00D40151" w:rsidRPr="00873B6C" w:rsidRDefault="00D40151" w:rsidP="00D40151">
      <w:pPr>
        <w:pStyle w:val="TF"/>
      </w:pPr>
      <w:bookmarkStart w:id="145" w:name="_CRFigure4_2_5a2"/>
      <w:r w:rsidRPr="00873B6C">
        <w:t xml:space="preserve">Figure </w:t>
      </w:r>
      <w:bookmarkEnd w:id="145"/>
      <w:r w:rsidRPr="00873B6C">
        <w:t>4.2.5a-2: Roaming architecture for Radio Capability Signalling optimisation</w:t>
      </w:r>
    </w:p>
    <w:p w14:paraId="0CE8364C" w14:textId="77777777" w:rsidR="00D40151" w:rsidRPr="00873B6C" w:rsidRDefault="00D40151" w:rsidP="00D40151">
      <w:pPr>
        <w:pStyle w:val="Heading3"/>
      </w:pPr>
      <w:bookmarkStart w:id="146" w:name="_CR4_2_6"/>
      <w:bookmarkStart w:id="147" w:name="_Toc20149637"/>
      <w:bookmarkStart w:id="148" w:name="_Toc27846428"/>
      <w:bookmarkStart w:id="149" w:name="_Toc36187552"/>
      <w:bookmarkStart w:id="150" w:name="_Toc45183456"/>
      <w:bookmarkStart w:id="151" w:name="_Toc47342298"/>
      <w:bookmarkStart w:id="152" w:name="_Toc51768996"/>
      <w:bookmarkStart w:id="153" w:name="_Toc201156909"/>
      <w:bookmarkEnd w:id="146"/>
      <w:r w:rsidRPr="00873B6C">
        <w:t>4.2.6</w:t>
      </w:r>
      <w:r w:rsidRPr="00873B6C">
        <w:tab/>
        <w:t>Service-based interfaces</w:t>
      </w:r>
      <w:bookmarkEnd w:id="147"/>
      <w:bookmarkEnd w:id="148"/>
      <w:bookmarkEnd w:id="149"/>
      <w:bookmarkEnd w:id="150"/>
      <w:bookmarkEnd w:id="151"/>
      <w:bookmarkEnd w:id="152"/>
      <w:bookmarkEnd w:id="153"/>
    </w:p>
    <w:p w14:paraId="4377BAA1" w14:textId="77777777" w:rsidR="00D40151" w:rsidRPr="00873B6C" w:rsidRDefault="00D40151" w:rsidP="00D40151">
      <w:r w:rsidRPr="00873B6C">
        <w:t>The 5G System Architecture contains the following service-based interfaces:</w:t>
      </w:r>
    </w:p>
    <w:p w14:paraId="633F9518" w14:textId="77777777" w:rsidR="00D40151" w:rsidRPr="00873B6C" w:rsidRDefault="00D40151" w:rsidP="00D40151">
      <w:pPr>
        <w:pStyle w:val="NO"/>
      </w:pPr>
      <w:r w:rsidRPr="00873B6C">
        <w:rPr>
          <w:b/>
        </w:rPr>
        <w:t>Namf:</w:t>
      </w:r>
      <w:r w:rsidRPr="00873B6C">
        <w:tab/>
        <w:t>Service-based interface exhibited by AMF.</w:t>
      </w:r>
    </w:p>
    <w:p w14:paraId="1947950F" w14:textId="77777777" w:rsidR="00D40151" w:rsidRPr="00873B6C" w:rsidRDefault="00D40151" w:rsidP="00D40151">
      <w:pPr>
        <w:pStyle w:val="NO"/>
      </w:pPr>
      <w:r w:rsidRPr="00873B6C">
        <w:rPr>
          <w:b/>
        </w:rPr>
        <w:t>Nsmf:</w:t>
      </w:r>
      <w:r w:rsidRPr="00873B6C">
        <w:tab/>
        <w:t>Service-based interface exhibited by SMF.</w:t>
      </w:r>
    </w:p>
    <w:p w14:paraId="6A2E2408" w14:textId="77777777" w:rsidR="00D40151" w:rsidRPr="00873B6C" w:rsidRDefault="00D40151" w:rsidP="00D40151">
      <w:pPr>
        <w:pStyle w:val="NO"/>
      </w:pPr>
      <w:r w:rsidRPr="00873B6C">
        <w:rPr>
          <w:b/>
        </w:rPr>
        <w:t>Nnef:</w:t>
      </w:r>
      <w:r w:rsidRPr="00873B6C">
        <w:tab/>
        <w:t>Service-based interface exhibited by NEF.</w:t>
      </w:r>
    </w:p>
    <w:p w14:paraId="072940F8" w14:textId="77777777" w:rsidR="00D40151" w:rsidRPr="00873B6C" w:rsidRDefault="00D40151" w:rsidP="00D40151">
      <w:pPr>
        <w:pStyle w:val="NO"/>
      </w:pPr>
      <w:r w:rsidRPr="00873B6C">
        <w:rPr>
          <w:b/>
        </w:rPr>
        <w:t>Npcf:</w:t>
      </w:r>
      <w:r w:rsidRPr="00873B6C">
        <w:tab/>
        <w:t>Service-based interface exhibited by PCF.</w:t>
      </w:r>
    </w:p>
    <w:p w14:paraId="54AE1973" w14:textId="77777777" w:rsidR="00D40151" w:rsidRPr="00873B6C" w:rsidRDefault="00D40151" w:rsidP="00D40151">
      <w:pPr>
        <w:pStyle w:val="NO"/>
      </w:pPr>
      <w:r w:rsidRPr="00873B6C">
        <w:rPr>
          <w:b/>
        </w:rPr>
        <w:t>Nudm:</w:t>
      </w:r>
      <w:r w:rsidRPr="00873B6C">
        <w:tab/>
        <w:t>Service-based interface exhibited by UDM.</w:t>
      </w:r>
    </w:p>
    <w:p w14:paraId="361322D3" w14:textId="77777777" w:rsidR="00D40151" w:rsidRPr="00873B6C" w:rsidRDefault="00D40151" w:rsidP="00D40151">
      <w:pPr>
        <w:pStyle w:val="NO"/>
      </w:pPr>
      <w:r w:rsidRPr="00873B6C">
        <w:rPr>
          <w:b/>
        </w:rPr>
        <w:t>Naf:</w:t>
      </w:r>
      <w:r w:rsidRPr="00873B6C">
        <w:tab/>
        <w:t>Service-based interface exhibited by AF.</w:t>
      </w:r>
    </w:p>
    <w:p w14:paraId="172BCE86" w14:textId="77777777" w:rsidR="00D40151" w:rsidRPr="00873B6C" w:rsidRDefault="00D40151" w:rsidP="00D40151">
      <w:pPr>
        <w:pStyle w:val="NO"/>
      </w:pPr>
      <w:r w:rsidRPr="00873B6C">
        <w:rPr>
          <w:b/>
        </w:rPr>
        <w:t>Nnrf:</w:t>
      </w:r>
      <w:r w:rsidRPr="00873B6C">
        <w:tab/>
        <w:t>Service-based interface exhibited by NRF.</w:t>
      </w:r>
    </w:p>
    <w:p w14:paraId="5B868D80" w14:textId="4123F784" w:rsidR="006D2D57" w:rsidRPr="00873B6C" w:rsidRDefault="006D2D57" w:rsidP="00D40151">
      <w:pPr>
        <w:pStyle w:val="NO"/>
      </w:pPr>
      <w:r w:rsidRPr="00873B6C">
        <w:rPr>
          <w:b/>
          <w:bCs/>
        </w:rPr>
        <w:lastRenderedPageBreak/>
        <w:t>Nnsacf:</w:t>
      </w:r>
      <w:r w:rsidRPr="00873B6C">
        <w:tab/>
        <w:t>Service-based interface exhibited by NSACF.</w:t>
      </w:r>
    </w:p>
    <w:p w14:paraId="069EA44E" w14:textId="7C9E2F39" w:rsidR="00D40151" w:rsidRPr="00873B6C" w:rsidRDefault="00D40151" w:rsidP="00D40151">
      <w:pPr>
        <w:pStyle w:val="NO"/>
      </w:pPr>
      <w:r w:rsidRPr="00873B6C">
        <w:rPr>
          <w:b/>
          <w:bCs/>
        </w:rPr>
        <w:t>Nnssaaf:</w:t>
      </w:r>
      <w:r w:rsidRPr="00873B6C">
        <w:tab/>
        <w:t>Service-based interface exhibited by NSSAAF.</w:t>
      </w:r>
    </w:p>
    <w:p w14:paraId="0F11EB9A" w14:textId="77777777" w:rsidR="00D40151" w:rsidRPr="00873B6C" w:rsidRDefault="00D40151" w:rsidP="00D40151">
      <w:pPr>
        <w:pStyle w:val="NO"/>
      </w:pPr>
      <w:r w:rsidRPr="00873B6C">
        <w:rPr>
          <w:b/>
        </w:rPr>
        <w:t>Nnssf</w:t>
      </w:r>
      <w:r w:rsidRPr="00873B6C">
        <w:t>:</w:t>
      </w:r>
      <w:r w:rsidRPr="00873B6C">
        <w:tab/>
        <w:t>Service-based interface exhibited by NSSF.</w:t>
      </w:r>
    </w:p>
    <w:p w14:paraId="3D882D51" w14:textId="77777777" w:rsidR="00D40151" w:rsidRPr="00873B6C" w:rsidRDefault="00D40151" w:rsidP="00D40151">
      <w:pPr>
        <w:pStyle w:val="NO"/>
      </w:pPr>
      <w:r w:rsidRPr="00873B6C">
        <w:rPr>
          <w:b/>
        </w:rPr>
        <w:t>Nausf:</w:t>
      </w:r>
      <w:r w:rsidRPr="00873B6C">
        <w:tab/>
        <w:t>Service-based interface exhibited by AUSF.</w:t>
      </w:r>
    </w:p>
    <w:p w14:paraId="2C3F4303" w14:textId="77777777" w:rsidR="00D40151" w:rsidRPr="00873B6C" w:rsidRDefault="00D40151" w:rsidP="00D40151">
      <w:pPr>
        <w:pStyle w:val="NO"/>
      </w:pPr>
      <w:r w:rsidRPr="00873B6C">
        <w:rPr>
          <w:b/>
        </w:rPr>
        <w:t>Nudr:</w:t>
      </w:r>
      <w:r w:rsidRPr="00873B6C">
        <w:tab/>
        <w:t>Service-based interface exhibited by UDR.</w:t>
      </w:r>
    </w:p>
    <w:p w14:paraId="11FA819D" w14:textId="77777777" w:rsidR="00D40151" w:rsidRPr="00873B6C" w:rsidRDefault="00D40151" w:rsidP="00D40151">
      <w:pPr>
        <w:pStyle w:val="NO"/>
      </w:pPr>
      <w:r w:rsidRPr="00873B6C">
        <w:rPr>
          <w:b/>
        </w:rPr>
        <w:t>Nudsf:</w:t>
      </w:r>
      <w:r w:rsidRPr="00873B6C">
        <w:tab/>
        <w:t>Service-based interface exhibited by UDSF.</w:t>
      </w:r>
    </w:p>
    <w:p w14:paraId="524B2E5D" w14:textId="1899084F" w:rsidR="00D40151" w:rsidRPr="00873B6C" w:rsidRDefault="00D40151" w:rsidP="00D40151">
      <w:pPr>
        <w:pStyle w:val="NO"/>
      </w:pPr>
      <w:r w:rsidRPr="00873B6C">
        <w:rPr>
          <w:b/>
        </w:rPr>
        <w:t>N5g-</w:t>
      </w:r>
      <w:r w:rsidRPr="00873B6C">
        <w:rPr>
          <w:b/>
          <w:lang w:eastAsia="zh-CN"/>
        </w:rPr>
        <w:t>eir</w:t>
      </w:r>
      <w:r w:rsidRPr="00873B6C">
        <w:rPr>
          <w:b/>
        </w:rPr>
        <w:t>:</w:t>
      </w:r>
      <w:r w:rsidRPr="00873B6C">
        <w:tab/>
        <w:t>Service-based interface exhibited by 5G-</w:t>
      </w:r>
      <w:r w:rsidRPr="00873B6C">
        <w:rPr>
          <w:lang w:eastAsia="zh-CN"/>
        </w:rPr>
        <w:t>EIR</w:t>
      </w:r>
      <w:r w:rsidRPr="00873B6C">
        <w:t>.</w:t>
      </w:r>
    </w:p>
    <w:p w14:paraId="293E86D2" w14:textId="77777777" w:rsidR="00D40151" w:rsidRPr="00873B6C" w:rsidRDefault="00D40151" w:rsidP="00D40151">
      <w:pPr>
        <w:pStyle w:val="NO"/>
      </w:pPr>
      <w:r w:rsidRPr="00873B6C">
        <w:rPr>
          <w:b/>
        </w:rPr>
        <w:t>Nnwdaf:</w:t>
      </w:r>
      <w:r w:rsidRPr="00873B6C">
        <w:tab/>
        <w:t>Service-based interface exhibited by NWDAF.</w:t>
      </w:r>
    </w:p>
    <w:p w14:paraId="5EC6E261" w14:textId="77777777" w:rsidR="00D40151" w:rsidRPr="00873B6C" w:rsidRDefault="00D40151" w:rsidP="00D40151">
      <w:pPr>
        <w:pStyle w:val="NO"/>
      </w:pPr>
      <w:r w:rsidRPr="00873B6C">
        <w:rPr>
          <w:b/>
        </w:rPr>
        <w:t>Nchf:</w:t>
      </w:r>
      <w:r w:rsidRPr="00873B6C">
        <w:tab/>
        <w:t>Service-based interface exhibited by CHF.</w:t>
      </w:r>
    </w:p>
    <w:p w14:paraId="0EE79701" w14:textId="77777777" w:rsidR="00D40151" w:rsidRPr="00873B6C" w:rsidRDefault="00D40151" w:rsidP="00D40151">
      <w:pPr>
        <w:pStyle w:val="NO"/>
      </w:pPr>
      <w:r w:rsidRPr="00873B6C">
        <w:rPr>
          <w:b/>
        </w:rPr>
        <w:t>Nucmf:</w:t>
      </w:r>
      <w:r w:rsidRPr="00873B6C">
        <w:tab/>
        <w:t>Service-based interface exhibited by UCMF.</w:t>
      </w:r>
    </w:p>
    <w:p w14:paraId="69CEE621" w14:textId="77777777" w:rsidR="00D63C5A" w:rsidRPr="00873B6C" w:rsidRDefault="00D63C5A" w:rsidP="00D40151">
      <w:pPr>
        <w:pStyle w:val="NO"/>
      </w:pPr>
      <w:r w:rsidRPr="00873B6C">
        <w:rPr>
          <w:b/>
          <w:bCs/>
        </w:rPr>
        <w:t>Ndccf:</w:t>
      </w:r>
      <w:r w:rsidRPr="00873B6C">
        <w:tab/>
        <w:t>Service based interface exhibited by DCCF.</w:t>
      </w:r>
    </w:p>
    <w:p w14:paraId="03871A5D" w14:textId="77777777" w:rsidR="00D63C5A" w:rsidRPr="00873B6C" w:rsidRDefault="00D63C5A" w:rsidP="00D40151">
      <w:pPr>
        <w:pStyle w:val="NO"/>
      </w:pPr>
      <w:r w:rsidRPr="00873B6C">
        <w:rPr>
          <w:b/>
          <w:bCs/>
        </w:rPr>
        <w:t>Nmfaf:</w:t>
      </w:r>
      <w:r w:rsidRPr="00873B6C">
        <w:tab/>
        <w:t>Service based interface exhibited by MFAF.</w:t>
      </w:r>
    </w:p>
    <w:p w14:paraId="4EE597E9" w14:textId="77777777" w:rsidR="00D63C5A" w:rsidRPr="00873B6C" w:rsidRDefault="00D63C5A" w:rsidP="00D40151">
      <w:pPr>
        <w:pStyle w:val="NO"/>
      </w:pPr>
      <w:r w:rsidRPr="00873B6C">
        <w:rPr>
          <w:b/>
          <w:bCs/>
        </w:rPr>
        <w:t>Nadrf:</w:t>
      </w:r>
      <w:r w:rsidRPr="00873B6C">
        <w:tab/>
        <w:t>Service based interface exhibited by ADRF.</w:t>
      </w:r>
    </w:p>
    <w:p w14:paraId="4697F86F" w14:textId="77777777" w:rsidR="00C05113" w:rsidRPr="00873B6C" w:rsidRDefault="00C05113" w:rsidP="00C05113">
      <w:pPr>
        <w:pStyle w:val="NO"/>
      </w:pPr>
      <w:bookmarkStart w:id="154" w:name="_Toc20149638"/>
      <w:bookmarkStart w:id="155" w:name="_Toc27846429"/>
      <w:bookmarkStart w:id="156" w:name="_Toc36187553"/>
      <w:bookmarkStart w:id="157" w:name="_Toc45183457"/>
      <w:bookmarkStart w:id="158" w:name="_Toc47342299"/>
      <w:bookmarkStart w:id="159" w:name="_Toc51768997"/>
      <w:r w:rsidRPr="00873B6C">
        <w:rPr>
          <w:b/>
          <w:bCs/>
        </w:rPr>
        <w:t>Naanf:</w:t>
      </w:r>
      <w:r w:rsidRPr="00873B6C">
        <w:tab/>
        <w:t>Service-based interface exhibited by AANF.</w:t>
      </w:r>
    </w:p>
    <w:p w14:paraId="4F228F5E" w14:textId="42E5D4F5" w:rsidR="00C05113" w:rsidRPr="00873B6C" w:rsidRDefault="00C05113" w:rsidP="00C05113">
      <w:pPr>
        <w:pStyle w:val="NO"/>
      </w:pPr>
      <w:r w:rsidRPr="00873B6C">
        <w:t>NOTE</w:t>
      </w:r>
      <w:r w:rsidR="00607A94" w:rsidRPr="00873B6C">
        <w:t> 1</w:t>
      </w:r>
      <w:r w:rsidRPr="00873B6C">
        <w:t>:</w:t>
      </w:r>
      <w:r w:rsidRPr="00873B6C">
        <w:tab/>
        <w:t xml:space="preserve">The Service-based interface exhibited by AANF is defined in </w:t>
      </w:r>
      <w:r w:rsidR="00972E70" w:rsidRPr="00873B6C">
        <w:t>TS 33.535 [</w:t>
      </w:r>
      <w:r w:rsidRPr="00873B6C">
        <w:t>124].</w:t>
      </w:r>
    </w:p>
    <w:p w14:paraId="342DA0B3" w14:textId="77777777" w:rsidR="006101B9" w:rsidRPr="00873B6C" w:rsidRDefault="006101B9" w:rsidP="006101B9">
      <w:pPr>
        <w:pStyle w:val="NO"/>
      </w:pPr>
      <w:r w:rsidRPr="00873B6C">
        <w:rPr>
          <w:b/>
          <w:bCs/>
        </w:rPr>
        <w:t>N5g-ddnmf:</w:t>
      </w:r>
      <w:r w:rsidRPr="00873B6C">
        <w:tab/>
        <w:t>Service-based interface exhibited by 5G DDNMF.</w:t>
      </w:r>
    </w:p>
    <w:p w14:paraId="16CC05F2" w14:textId="45419D67" w:rsidR="00607A94" w:rsidRPr="00873B6C" w:rsidRDefault="00607A94" w:rsidP="00607A94">
      <w:pPr>
        <w:pStyle w:val="NO"/>
      </w:pPr>
      <w:r w:rsidRPr="00873B6C">
        <w:rPr>
          <w:b/>
          <w:bCs/>
        </w:rPr>
        <w:t>Nmbsmf:</w:t>
      </w:r>
      <w:r w:rsidRPr="00873B6C">
        <w:tab/>
        <w:t>Service-based interface exhibited by MB-SMF.</w:t>
      </w:r>
    </w:p>
    <w:p w14:paraId="02DD8594" w14:textId="014063DF" w:rsidR="00607A94" w:rsidRPr="00873B6C" w:rsidRDefault="00607A94" w:rsidP="00607A94">
      <w:pPr>
        <w:pStyle w:val="NO"/>
      </w:pPr>
      <w:r w:rsidRPr="00873B6C">
        <w:rPr>
          <w:b/>
          <w:bCs/>
        </w:rPr>
        <w:t>Nmbsf:</w:t>
      </w:r>
      <w:r w:rsidRPr="00873B6C">
        <w:tab/>
        <w:t>Service-based interface exhibited by MBSF.</w:t>
      </w:r>
    </w:p>
    <w:p w14:paraId="2C430F4F" w14:textId="3A866E6F" w:rsidR="00607A94" w:rsidRPr="00873B6C" w:rsidRDefault="00607A94" w:rsidP="00607A94">
      <w:pPr>
        <w:pStyle w:val="NO"/>
      </w:pPr>
      <w:r w:rsidRPr="00873B6C">
        <w:t>NOTE 2:</w:t>
      </w:r>
      <w:r w:rsidRPr="00873B6C">
        <w:tab/>
        <w:t xml:space="preserve">The Service-based interfaces exhibited by MB-SMF and MBSF are defined in </w:t>
      </w:r>
      <w:r w:rsidR="00972E70" w:rsidRPr="00873B6C">
        <w:t>TS 23.247 [</w:t>
      </w:r>
      <w:r w:rsidRPr="00873B6C">
        <w:t>129].</w:t>
      </w:r>
    </w:p>
    <w:p w14:paraId="42C0FAF3" w14:textId="43D7DC79" w:rsidR="0010039C" w:rsidRPr="00873B6C" w:rsidRDefault="0010039C" w:rsidP="0010039C">
      <w:pPr>
        <w:pStyle w:val="NO"/>
      </w:pPr>
      <w:r w:rsidRPr="00873B6C">
        <w:rPr>
          <w:b/>
          <w:bCs/>
        </w:rPr>
        <w:t>Ntsctsf:</w:t>
      </w:r>
      <w:r w:rsidRPr="00873B6C">
        <w:tab/>
        <w:t>Service-based interface exhibited by TSCTSF.</w:t>
      </w:r>
    </w:p>
    <w:p w14:paraId="08A420D4" w14:textId="17C1ABF0" w:rsidR="00627C2F" w:rsidRPr="00873B6C" w:rsidRDefault="00627C2F" w:rsidP="00627C2F">
      <w:pPr>
        <w:pStyle w:val="NO"/>
      </w:pPr>
      <w:r w:rsidRPr="00873B6C">
        <w:rPr>
          <w:b/>
          <w:bCs/>
        </w:rPr>
        <w:t>Nbsp:</w:t>
      </w:r>
      <w:r w:rsidRPr="00873B6C">
        <w:tab/>
        <w:t>Service-based interface exhibited by an SBI capable Boostrapping Server Function in GBA.</w:t>
      </w:r>
    </w:p>
    <w:p w14:paraId="7BEDE4C9" w14:textId="567250A2" w:rsidR="00627C2F" w:rsidRPr="00873B6C" w:rsidRDefault="00627C2F" w:rsidP="00627C2F">
      <w:pPr>
        <w:pStyle w:val="NO"/>
      </w:pPr>
      <w:r w:rsidRPr="00873B6C">
        <w:t>NOTE</w:t>
      </w:r>
      <w:r w:rsidR="0010576F" w:rsidRPr="00873B6C">
        <w:t> 2</w:t>
      </w:r>
      <w:r w:rsidRPr="00873B6C">
        <w:t>:</w:t>
      </w:r>
      <w:r w:rsidRPr="00873B6C">
        <w:tab/>
        <w:t xml:space="preserve">The Service-based interfaces exhibited by an SBI capable Boostrapping Server Function are defined in </w:t>
      </w:r>
      <w:r w:rsidR="00972E70" w:rsidRPr="00873B6C">
        <w:t>TS 33.220 [</w:t>
      </w:r>
      <w:r w:rsidRPr="00873B6C">
        <w:t xml:space="preserve">140] and </w:t>
      </w:r>
      <w:r w:rsidR="00972E70" w:rsidRPr="00873B6C">
        <w:t>TS 33.223 [</w:t>
      </w:r>
      <w:r w:rsidRPr="00873B6C">
        <w:t>141].</w:t>
      </w:r>
    </w:p>
    <w:p w14:paraId="1609A88D" w14:textId="77777777" w:rsidR="0010576F" w:rsidRPr="00873B6C" w:rsidRDefault="0010576F" w:rsidP="0010576F">
      <w:pPr>
        <w:pStyle w:val="NO"/>
      </w:pPr>
      <w:r w:rsidRPr="00873B6C">
        <w:rPr>
          <w:b/>
          <w:bCs/>
        </w:rPr>
        <w:t>Neasdf:</w:t>
      </w:r>
      <w:r w:rsidRPr="00873B6C">
        <w:tab/>
        <w:t>Service-based interface exhibited by EASDF.</w:t>
      </w:r>
    </w:p>
    <w:p w14:paraId="0B93E086" w14:textId="7D543CE0" w:rsidR="0010576F" w:rsidRPr="00873B6C" w:rsidRDefault="0010576F" w:rsidP="0010576F">
      <w:pPr>
        <w:pStyle w:val="NO"/>
      </w:pPr>
      <w:r w:rsidRPr="00873B6C">
        <w:t>NOTE 3:</w:t>
      </w:r>
      <w:r w:rsidRPr="00873B6C">
        <w:tab/>
        <w:t xml:space="preserve">The Service-based interfaces exhibited by EADSF is defined in </w:t>
      </w:r>
      <w:r w:rsidR="00972E70" w:rsidRPr="00873B6C">
        <w:t>TS 23.548 [</w:t>
      </w:r>
      <w:r w:rsidRPr="00873B6C">
        <w:t>130].</w:t>
      </w:r>
    </w:p>
    <w:p w14:paraId="71F85920" w14:textId="753F42A5" w:rsidR="003E5241" w:rsidRPr="00873B6C" w:rsidRDefault="003E5241" w:rsidP="003E5241">
      <w:pPr>
        <w:pStyle w:val="NO"/>
      </w:pPr>
      <w:r w:rsidRPr="00873B6C">
        <w:rPr>
          <w:b/>
          <w:bCs/>
        </w:rPr>
        <w:t>Nupf:</w:t>
      </w:r>
      <w:r w:rsidRPr="00873B6C">
        <w:tab/>
        <w:t>Service-based interface exhibited by UPF.</w:t>
      </w:r>
    </w:p>
    <w:p w14:paraId="3204A3BF" w14:textId="3964FF53" w:rsidR="00D40151" w:rsidRPr="00873B6C" w:rsidRDefault="00D40151" w:rsidP="00D40151">
      <w:pPr>
        <w:pStyle w:val="Heading3"/>
      </w:pPr>
      <w:bookmarkStart w:id="160" w:name="_CR4_2_7"/>
      <w:bookmarkStart w:id="161" w:name="_Toc201156910"/>
      <w:bookmarkEnd w:id="160"/>
      <w:r w:rsidRPr="00873B6C">
        <w:t>4.2.7</w:t>
      </w:r>
      <w:r w:rsidRPr="00873B6C">
        <w:rPr>
          <w:lang w:eastAsia="zh-CN"/>
        </w:rPr>
        <w:tab/>
      </w:r>
      <w:r w:rsidRPr="00873B6C">
        <w:t>Reference points</w:t>
      </w:r>
      <w:bookmarkEnd w:id="154"/>
      <w:bookmarkEnd w:id="155"/>
      <w:bookmarkEnd w:id="156"/>
      <w:bookmarkEnd w:id="157"/>
      <w:bookmarkEnd w:id="158"/>
      <w:bookmarkEnd w:id="159"/>
      <w:bookmarkEnd w:id="161"/>
    </w:p>
    <w:p w14:paraId="770AB325" w14:textId="77777777" w:rsidR="00D40151" w:rsidRPr="00873B6C" w:rsidRDefault="00D40151" w:rsidP="00D40151">
      <w:r w:rsidRPr="00873B6C">
        <w:t>The 5G System Architecture contains the following reference points:</w:t>
      </w:r>
    </w:p>
    <w:p w14:paraId="70878DB2" w14:textId="77777777" w:rsidR="00D40151" w:rsidRPr="00873B6C" w:rsidRDefault="00D40151" w:rsidP="00D40151">
      <w:pPr>
        <w:pStyle w:val="NO"/>
      </w:pPr>
      <w:r w:rsidRPr="00873B6C">
        <w:rPr>
          <w:b/>
        </w:rPr>
        <w:t>N1:</w:t>
      </w:r>
      <w:r w:rsidRPr="00873B6C">
        <w:tab/>
        <w:t>Reference point between the UE and the AMF.</w:t>
      </w:r>
    </w:p>
    <w:p w14:paraId="1B53DE3A" w14:textId="77777777" w:rsidR="00D40151" w:rsidRPr="00873B6C" w:rsidRDefault="00D40151" w:rsidP="00D40151">
      <w:pPr>
        <w:pStyle w:val="NO"/>
      </w:pPr>
      <w:r w:rsidRPr="00873B6C">
        <w:rPr>
          <w:b/>
        </w:rPr>
        <w:t>N2:</w:t>
      </w:r>
      <w:r w:rsidRPr="00873B6C">
        <w:tab/>
        <w:t>Reference point between the (R)AN and the AMF.</w:t>
      </w:r>
    </w:p>
    <w:p w14:paraId="7B811495" w14:textId="77777777" w:rsidR="00D40151" w:rsidRPr="00873B6C" w:rsidRDefault="00D40151" w:rsidP="00D40151">
      <w:pPr>
        <w:pStyle w:val="NO"/>
      </w:pPr>
      <w:r w:rsidRPr="00873B6C">
        <w:rPr>
          <w:b/>
        </w:rPr>
        <w:t>N3:</w:t>
      </w:r>
      <w:r w:rsidRPr="00873B6C">
        <w:tab/>
        <w:t>Reference point between the (R)AN and the UPF.</w:t>
      </w:r>
    </w:p>
    <w:p w14:paraId="21FF9D34" w14:textId="77777777" w:rsidR="00D40151" w:rsidRPr="00873B6C" w:rsidRDefault="00D40151" w:rsidP="00D40151">
      <w:pPr>
        <w:pStyle w:val="NO"/>
      </w:pPr>
      <w:r w:rsidRPr="00873B6C">
        <w:rPr>
          <w:b/>
        </w:rPr>
        <w:t>N4:</w:t>
      </w:r>
      <w:r w:rsidRPr="00873B6C">
        <w:tab/>
        <w:t>Reference point between the SMF and the UPF.</w:t>
      </w:r>
    </w:p>
    <w:p w14:paraId="663E9E24" w14:textId="77777777" w:rsidR="00D40151" w:rsidRPr="00873B6C" w:rsidRDefault="00D40151" w:rsidP="00D40151">
      <w:pPr>
        <w:pStyle w:val="NO"/>
      </w:pPr>
      <w:r w:rsidRPr="00873B6C">
        <w:rPr>
          <w:b/>
        </w:rPr>
        <w:t>N6:</w:t>
      </w:r>
      <w:r w:rsidRPr="00873B6C">
        <w:tab/>
        <w:t>Reference point between the UPF and a Data Network.</w:t>
      </w:r>
    </w:p>
    <w:p w14:paraId="0F9CFA72" w14:textId="77777777" w:rsidR="00D40151" w:rsidRPr="00873B6C" w:rsidRDefault="00D40151" w:rsidP="00D40151">
      <w:pPr>
        <w:pStyle w:val="NO"/>
      </w:pPr>
      <w:r w:rsidRPr="00873B6C">
        <w:rPr>
          <w:b/>
        </w:rPr>
        <w:t>N9:</w:t>
      </w:r>
      <w:r w:rsidRPr="00873B6C">
        <w:tab/>
        <w:t>Reference point between two UPFs.</w:t>
      </w:r>
    </w:p>
    <w:p w14:paraId="14408E14" w14:textId="77777777" w:rsidR="00D40151" w:rsidRPr="00873B6C" w:rsidRDefault="00D40151" w:rsidP="00D40151">
      <w:r w:rsidRPr="00873B6C">
        <w:lastRenderedPageBreak/>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873B6C" w:rsidRDefault="00D40151" w:rsidP="00D40151">
      <w:pPr>
        <w:pStyle w:val="NO"/>
      </w:pPr>
      <w:r w:rsidRPr="00873B6C">
        <w:rPr>
          <w:b/>
        </w:rPr>
        <w:t>N5:</w:t>
      </w:r>
      <w:r w:rsidRPr="00873B6C">
        <w:tab/>
        <w:t>Reference point between the PCF and an AF</w:t>
      </w:r>
      <w:r w:rsidR="007B3699" w:rsidRPr="00873B6C">
        <w:t xml:space="preserve"> or TSN AF</w:t>
      </w:r>
      <w:r w:rsidRPr="00873B6C">
        <w:t>.</w:t>
      </w:r>
    </w:p>
    <w:p w14:paraId="49FBC296" w14:textId="77777777" w:rsidR="00D40151" w:rsidRPr="00873B6C" w:rsidRDefault="00D40151" w:rsidP="00D40151">
      <w:pPr>
        <w:pStyle w:val="NO"/>
      </w:pPr>
      <w:r w:rsidRPr="00873B6C">
        <w:rPr>
          <w:b/>
        </w:rPr>
        <w:t>N7:</w:t>
      </w:r>
      <w:r w:rsidRPr="00873B6C">
        <w:tab/>
        <w:t>Reference point between the SMF and the PCF.</w:t>
      </w:r>
    </w:p>
    <w:p w14:paraId="5A64CF61" w14:textId="77777777" w:rsidR="00D40151" w:rsidRPr="00873B6C" w:rsidRDefault="00D40151" w:rsidP="00D40151">
      <w:pPr>
        <w:pStyle w:val="NO"/>
        <w:rPr>
          <w:lang w:eastAsia="zh-CN"/>
        </w:rPr>
      </w:pPr>
      <w:r w:rsidRPr="00873B6C">
        <w:rPr>
          <w:b/>
        </w:rPr>
        <w:t>N8:</w:t>
      </w:r>
      <w:r w:rsidRPr="00873B6C">
        <w:tab/>
      </w:r>
      <w:r w:rsidRPr="00873B6C">
        <w:rPr>
          <w:lang w:eastAsia="ko-KR"/>
        </w:rPr>
        <w:t>Reference point between the UDM</w:t>
      </w:r>
      <w:r w:rsidRPr="00873B6C">
        <w:t xml:space="preserve"> and the AMF.</w:t>
      </w:r>
    </w:p>
    <w:p w14:paraId="6874A2BD" w14:textId="77777777" w:rsidR="00D40151" w:rsidRPr="00873B6C" w:rsidRDefault="00D40151" w:rsidP="00D40151">
      <w:pPr>
        <w:pStyle w:val="NO"/>
      </w:pPr>
      <w:r w:rsidRPr="00873B6C">
        <w:rPr>
          <w:b/>
        </w:rPr>
        <w:t>N10:</w:t>
      </w:r>
      <w:r w:rsidRPr="00873B6C">
        <w:tab/>
        <w:t>Reference point between the UDM and the SMF.</w:t>
      </w:r>
    </w:p>
    <w:p w14:paraId="5D941914" w14:textId="77777777" w:rsidR="00D40151" w:rsidRPr="00873B6C" w:rsidRDefault="00D40151" w:rsidP="00D40151">
      <w:pPr>
        <w:pStyle w:val="NO"/>
      </w:pPr>
      <w:r w:rsidRPr="00873B6C">
        <w:rPr>
          <w:b/>
        </w:rPr>
        <w:t>N11:</w:t>
      </w:r>
      <w:r w:rsidRPr="00873B6C">
        <w:rPr>
          <w:b/>
        </w:rPr>
        <w:tab/>
      </w:r>
      <w:r w:rsidRPr="00873B6C">
        <w:t>Reference point between the AMF and the SMF.</w:t>
      </w:r>
    </w:p>
    <w:p w14:paraId="15930E1A" w14:textId="77777777" w:rsidR="00D40151" w:rsidRPr="00873B6C" w:rsidRDefault="00D40151" w:rsidP="00D40151">
      <w:pPr>
        <w:pStyle w:val="NO"/>
      </w:pPr>
      <w:r w:rsidRPr="00873B6C">
        <w:rPr>
          <w:b/>
        </w:rPr>
        <w:t>N12:</w:t>
      </w:r>
      <w:r w:rsidRPr="00873B6C">
        <w:rPr>
          <w:b/>
        </w:rPr>
        <w:tab/>
      </w:r>
      <w:r w:rsidRPr="00873B6C">
        <w:t>Reference point between AMF and AUSF.</w:t>
      </w:r>
    </w:p>
    <w:p w14:paraId="4590BC42" w14:textId="77777777" w:rsidR="00D40151" w:rsidRPr="00873B6C" w:rsidRDefault="00D40151" w:rsidP="00D40151">
      <w:pPr>
        <w:pStyle w:val="NO"/>
      </w:pPr>
      <w:r w:rsidRPr="00873B6C">
        <w:rPr>
          <w:b/>
        </w:rPr>
        <w:t>N13:</w:t>
      </w:r>
      <w:r w:rsidRPr="00873B6C">
        <w:rPr>
          <w:b/>
        </w:rPr>
        <w:tab/>
      </w:r>
      <w:r w:rsidRPr="00873B6C">
        <w:t>Reference point between the UDM and Authentication Server function the AUSF.</w:t>
      </w:r>
    </w:p>
    <w:p w14:paraId="5C930E63" w14:textId="77777777" w:rsidR="00D40151" w:rsidRPr="00873B6C" w:rsidRDefault="00D40151" w:rsidP="00D40151">
      <w:pPr>
        <w:pStyle w:val="NO"/>
      </w:pPr>
      <w:r w:rsidRPr="00873B6C">
        <w:rPr>
          <w:b/>
        </w:rPr>
        <w:t>N14:</w:t>
      </w:r>
      <w:r w:rsidRPr="00873B6C">
        <w:rPr>
          <w:b/>
        </w:rPr>
        <w:tab/>
      </w:r>
      <w:r w:rsidRPr="00873B6C">
        <w:t>Reference point between two AMFs.</w:t>
      </w:r>
    </w:p>
    <w:p w14:paraId="109BC0B6" w14:textId="77777777" w:rsidR="00D40151" w:rsidRPr="00873B6C" w:rsidRDefault="00D40151" w:rsidP="00D40151">
      <w:pPr>
        <w:pStyle w:val="NO"/>
      </w:pPr>
      <w:r w:rsidRPr="00873B6C">
        <w:rPr>
          <w:b/>
        </w:rPr>
        <w:t>N15:</w:t>
      </w:r>
      <w:r w:rsidRPr="00873B6C">
        <w:tab/>
        <w:t>Reference point between the PCF and the AMF in the case of non-roaming scenario, PCF in the visited network and AMF in the case of roaming scenario.</w:t>
      </w:r>
    </w:p>
    <w:p w14:paraId="423CCA4D" w14:textId="77777777" w:rsidR="00D40151" w:rsidRPr="00873B6C" w:rsidRDefault="00D40151" w:rsidP="00D40151">
      <w:pPr>
        <w:pStyle w:val="NO"/>
      </w:pPr>
      <w:r w:rsidRPr="00873B6C">
        <w:rPr>
          <w:b/>
        </w:rPr>
        <w:t>N16:</w:t>
      </w:r>
      <w:r w:rsidRPr="00873B6C">
        <w:rPr>
          <w:b/>
        </w:rPr>
        <w:tab/>
      </w:r>
      <w:r w:rsidRPr="00873B6C">
        <w:t>Reference point between two SMFs, (in roaming case between SMF in the visited network and the SMF in the home network).</w:t>
      </w:r>
    </w:p>
    <w:p w14:paraId="3129D10D" w14:textId="77777777" w:rsidR="00D40151" w:rsidRPr="00873B6C" w:rsidRDefault="00D40151" w:rsidP="00D40151">
      <w:pPr>
        <w:pStyle w:val="NO"/>
      </w:pPr>
      <w:r w:rsidRPr="00873B6C">
        <w:rPr>
          <w:b/>
        </w:rPr>
        <w:t>N16a:</w:t>
      </w:r>
      <w:r w:rsidRPr="00873B6C">
        <w:tab/>
        <w:t>Reference point between SMF and I-SMF.</w:t>
      </w:r>
    </w:p>
    <w:p w14:paraId="2C45BAD6" w14:textId="77777777" w:rsidR="00D40151" w:rsidRPr="00873B6C" w:rsidRDefault="00D40151" w:rsidP="00D40151">
      <w:pPr>
        <w:pStyle w:val="NO"/>
      </w:pPr>
      <w:r w:rsidRPr="00873B6C">
        <w:rPr>
          <w:b/>
        </w:rPr>
        <w:t>N17:</w:t>
      </w:r>
      <w:r w:rsidRPr="00873B6C">
        <w:tab/>
        <w:t>Reference point between AMF and 5G-EIR.</w:t>
      </w:r>
    </w:p>
    <w:p w14:paraId="0A1D78CA" w14:textId="77777777" w:rsidR="00D40151" w:rsidRPr="00873B6C" w:rsidRDefault="00D40151" w:rsidP="00D40151">
      <w:pPr>
        <w:pStyle w:val="NO"/>
      </w:pPr>
      <w:r w:rsidRPr="00873B6C">
        <w:rPr>
          <w:b/>
        </w:rPr>
        <w:t>N18:</w:t>
      </w:r>
      <w:r w:rsidRPr="00873B6C">
        <w:tab/>
        <w:t>Reference point between any NF and UDSF.</w:t>
      </w:r>
    </w:p>
    <w:p w14:paraId="27AF9714" w14:textId="77777777" w:rsidR="00D40151" w:rsidRPr="00873B6C" w:rsidRDefault="00D40151" w:rsidP="00D40151">
      <w:pPr>
        <w:pStyle w:val="NO"/>
      </w:pPr>
      <w:r w:rsidRPr="00873B6C">
        <w:rPr>
          <w:b/>
        </w:rPr>
        <w:t>N19:</w:t>
      </w:r>
      <w:r w:rsidRPr="00873B6C">
        <w:tab/>
        <w:t>Reference point between two PSA UPFs for 5G LAN-type service.</w:t>
      </w:r>
    </w:p>
    <w:p w14:paraId="1643AEDD" w14:textId="77777777" w:rsidR="00D40151" w:rsidRPr="00873B6C" w:rsidRDefault="00D40151" w:rsidP="00D40151">
      <w:pPr>
        <w:pStyle w:val="NO"/>
      </w:pPr>
      <w:r w:rsidRPr="00873B6C">
        <w:rPr>
          <w:b/>
        </w:rPr>
        <w:t>N22:</w:t>
      </w:r>
      <w:r w:rsidRPr="00873B6C">
        <w:tab/>
        <w:t>Reference point between AMF and NSSF.</w:t>
      </w:r>
    </w:p>
    <w:p w14:paraId="3D980A89" w14:textId="77777777" w:rsidR="00D40151" w:rsidRPr="00873B6C" w:rsidRDefault="00D40151" w:rsidP="00D40151">
      <w:pPr>
        <w:pStyle w:val="NO"/>
      </w:pPr>
      <w:r w:rsidRPr="00873B6C">
        <w:rPr>
          <w:b/>
        </w:rPr>
        <w:t>N23:</w:t>
      </w:r>
      <w:r w:rsidRPr="00873B6C">
        <w:tab/>
        <w:t>Reference point between PCF and NWDAF.</w:t>
      </w:r>
    </w:p>
    <w:p w14:paraId="0CD8F0BB" w14:textId="77777777" w:rsidR="00D40151" w:rsidRPr="00873B6C" w:rsidRDefault="00D40151" w:rsidP="00D40151">
      <w:pPr>
        <w:pStyle w:val="NO"/>
      </w:pPr>
      <w:r w:rsidRPr="00873B6C">
        <w:rPr>
          <w:b/>
        </w:rPr>
        <w:t>N24:</w:t>
      </w:r>
      <w:r w:rsidRPr="00873B6C">
        <w:tab/>
        <w:t>Reference point between the PCF in the visited network and the PCF in the home network.</w:t>
      </w:r>
    </w:p>
    <w:p w14:paraId="7997E9EE" w14:textId="77777777" w:rsidR="00D40151" w:rsidRPr="00873B6C" w:rsidRDefault="00D40151" w:rsidP="00D40151">
      <w:pPr>
        <w:pStyle w:val="NO"/>
      </w:pPr>
      <w:r w:rsidRPr="00873B6C">
        <w:rPr>
          <w:b/>
        </w:rPr>
        <w:t>N27:</w:t>
      </w:r>
      <w:r w:rsidRPr="00873B6C">
        <w:tab/>
        <w:t>Reference point between NRF in the visited network and the NRF in the home network.</w:t>
      </w:r>
    </w:p>
    <w:p w14:paraId="53F651E9" w14:textId="77777777" w:rsidR="00D40151" w:rsidRPr="00873B6C" w:rsidRDefault="00D40151" w:rsidP="00D40151">
      <w:pPr>
        <w:pStyle w:val="NO"/>
      </w:pPr>
      <w:r w:rsidRPr="00873B6C">
        <w:rPr>
          <w:b/>
        </w:rPr>
        <w:t>N28:</w:t>
      </w:r>
      <w:r w:rsidRPr="00873B6C">
        <w:tab/>
        <w:t>Reference point between PCF and CHF.</w:t>
      </w:r>
    </w:p>
    <w:p w14:paraId="2BB13AA0" w14:textId="77777777" w:rsidR="00D40151" w:rsidRPr="00873B6C" w:rsidRDefault="00D40151" w:rsidP="00D40151">
      <w:pPr>
        <w:pStyle w:val="NO"/>
      </w:pPr>
      <w:r w:rsidRPr="00873B6C">
        <w:rPr>
          <w:b/>
        </w:rPr>
        <w:t>N29:</w:t>
      </w:r>
      <w:r w:rsidRPr="00873B6C">
        <w:tab/>
        <w:t>Reference point between NEF and SMF.</w:t>
      </w:r>
    </w:p>
    <w:p w14:paraId="4922E3F1" w14:textId="77777777" w:rsidR="00D40151" w:rsidRPr="00873B6C" w:rsidRDefault="00D40151" w:rsidP="00D40151">
      <w:pPr>
        <w:pStyle w:val="NO"/>
      </w:pPr>
      <w:r w:rsidRPr="00873B6C">
        <w:rPr>
          <w:b/>
        </w:rPr>
        <w:t>N30:</w:t>
      </w:r>
      <w:r w:rsidRPr="00873B6C">
        <w:tab/>
        <w:t>Reference point between PCF and NEF.</w:t>
      </w:r>
    </w:p>
    <w:p w14:paraId="5A8F69E5" w14:textId="193EA7EE" w:rsidR="00D40151" w:rsidRPr="00873B6C" w:rsidRDefault="00D40151" w:rsidP="00D40151">
      <w:pPr>
        <w:pStyle w:val="NO"/>
      </w:pPr>
      <w:r w:rsidRPr="00873B6C">
        <w:t>NOTE </w:t>
      </w:r>
      <w:r w:rsidR="00B96062" w:rsidRPr="00873B6C">
        <w:t>1</w:t>
      </w:r>
      <w:r w:rsidRPr="00873B6C">
        <w:t>:</w:t>
      </w:r>
      <w:r w:rsidRPr="00873B6C">
        <w:tab/>
        <w:t xml:space="preserve">The functionality of N28 and N29 and N30 reference points are defined in </w:t>
      </w:r>
      <w:r w:rsidR="00972E70" w:rsidRPr="00873B6C">
        <w:t>TS 23.503 [</w:t>
      </w:r>
      <w:r w:rsidRPr="00873B6C">
        <w:t>45].</w:t>
      </w:r>
    </w:p>
    <w:p w14:paraId="4ADE4BC2" w14:textId="77777777" w:rsidR="00D40151" w:rsidRPr="00873B6C" w:rsidRDefault="00D40151" w:rsidP="00D40151">
      <w:pPr>
        <w:pStyle w:val="NO"/>
      </w:pPr>
      <w:r w:rsidRPr="00873B6C">
        <w:rPr>
          <w:b/>
        </w:rPr>
        <w:t>N31:</w:t>
      </w:r>
      <w:r w:rsidRPr="00873B6C">
        <w:tab/>
        <w:t>Reference point between the NSSF in the visited network and the NSSF in the home network.</w:t>
      </w:r>
    </w:p>
    <w:p w14:paraId="4D0D3BF3" w14:textId="04103CDF" w:rsidR="00D40151" w:rsidRPr="00873B6C" w:rsidRDefault="00D40151" w:rsidP="00D40151">
      <w:pPr>
        <w:pStyle w:val="NO"/>
      </w:pPr>
      <w:r w:rsidRPr="00873B6C">
        <w:t>NOTE </w:t>
      </w:r>
      <w:r w:rsidR="008A60FE" w:rsidRPr="00873B6C">
        <w:t>2</w:t>
      </w:r>
      <w:r w:rsidRPr="00873B6C">
        <w:t>:</w:t>
      </w:r>
      <w:r w:rsidR="008A60FE" w:rsidRPr="00873B6C">
        <w:tab/>
        <w:t xml:space="preserve">In </w:t>
      </w:r>
      <w:r w:rsidRPr="00873B6C">
        <w:t>some cases, a couple of NFs may need to be associated with each other to serve a UE.</w:t>
      </w:r>
    </w:p>
    <w:p w14:paraId="7D36E931" w14:textId="496C9C20" w:rsidR="00D40151" w:rsidRPr="00873B6C" w:rsidRDefault="00D40151" w:rsidP="00D40151">
      <w:pPr>
        <w:pStyle w:val="NO"/>
      </w:pPr>
      <w:r w:rsidRPr="00873B6C">
        <w:rPr>
          <w:b/>
        </w:rPr>
        <w:t>N32:</w:t>
      </w:r>
      <w:r w:rsidRPr="00873B6C">
        <w:tab/>
        <w:t>Reference point between</w:t>
      </w:r>
      <w:r w:rsidR="0053150F" w:rsidRPr="00873B6C">
        <w:t xml:space="preserve"> a SEPP in one PLMN or SNPN and a SEPP in another PLMN or SNPN; or between a SEPP in a SNPN and a SEPP in a CH/DCS, where the CH/DCS contains a UDM/AUSF</w:t>
      </w:r>
      <w:r w:rsidRPr="00873B6C">
        <w:t>.</w:t>
      </w:r>
    </w:p>
    <w:p w14:paraId="3E9D06BF" w14:textId="15A9F7C0" w:rsidR="00D40151" w:rsidRPr="00873B6C" w:rsidRDefault="00D40151" w:rsidP="00D40151">
      <w:pPr>
        <w:pStyle w:val="NO"/>
      </w:pPr>
      <w:r w:rsidRPr="00873B6C">
        <w:rPr>
          <w:iCs/>
        </w:rPr>
        <w:t>NOTE </w:t>
      </w:r>
      <w:r w:rsidR="00B96062" w:rsidRPr="00873B6C">
        <w:rPr>
          <w:iCs/>
        </w:rPr>
        <w:t>3</w:t>
      </w:r>
      <w:r w:rsidRPr="00873B6C">
        <w:rPr>
          <w:iCs/>
        </w:rPr>
        <w:t>:</w:t>
      </w:r>
      <w:r w:rsidRPr="00873B6C">
        <w:rPr>
          <w:iCs/>
        </w:rPr>
        <w:tab/>
        <w:t xml:space="preserve">The functionality of N32 reference point is defined in </w:t>
      </w:r>
      <w:r w:rsidR="00972E70" w:rsidRPr="00873B6C">
        <w:rPr>
          <w:iCs/>
        </w:rPr>
        <w:t>TS 33.501 [</w:t>
      </w:r>
      <w:r w:rsidRPr="00873B6C">
        <w:rPr>
          <w:iCs/>
        </w:rPr>
        <w:t>29].</w:t>
      </w:r>
    </w:p>
    <w:p w14:paraId="2918904D" w14:textId="77777777" w:rsidR="00D40151" w:rsidRPr="00873B6C" w:rsidRDefault="00D40151" w:rsidP="00D40151">
      <w:pPr>
        <w:pStyle w:val="NO"/>
      </w:pPr>
      <w:r w:rsidRPr="00873B6C">
        <w:rPr>
          <w:b/>
        </w:rPr>
        <w:t>N33:</w:t>
      </w:r>
      <w:r w:rsidRPr="00873B6C">
        <w:tab/>
        <w:t>Reference point between NEF and AF.</w:t>
      </w:r>
    </w:p>
    <w:p w14:paraId="2E649551" w14:textId="77777777" w:rsidR="00D40151" w:rsidRPr="00873B6C" w:rsidRDefault="00D40151" w:rsidP="00D40151">
      <w:pPr>
        <w:pStyle w:val="NO"/>
      </w:pPr>
      <w:r w:rsidRPr="00873B6C">
        <w:rPr>
          <w:b/>
        </w:rPr>
        <w:t>N34:</w:t>
      </w:r>
      <w:r w:rsidRPr="00873B6C">
        <w:tab/>
        <w:t>Reference point between NSSF and NWDAF.</w:t>
      </w:r>
    </w:p>
    <w:p w14:paraId="63C118DE" w14:textId="77777777" w:rsidR="00D40151" w:rsidRPr="00873B6C" w:rsidRDefault="00D40151" w:rsidP="00D40151">
      <w:pPr>
        <w:pStyle w:val="NO"/>
      </w:pPr>
      <w:r w:rsidRPr="00873B6C">
        <w:rPr>
          <w:b/>
        </w:rPr>
        <w:t>N35:</w:t>
      </w:r>
      <w:r w:rsidRPr="00873B6C">
        <w:tab/>
        <w:t>Reference point between UDM and UDR.</w:t>
      </w:r>
    </w:p>
    <w:p w14:paraId="01E3F1B1" w14:textId="77777777" w:rsidR="00D40151" w:rsidRPr="00873B6C" w:rsidRDefault="00D40151" w:rsidP="00D40151">
      <w:pPr>
        <w:pStyle w:val="NO"/>
      </w:pPr>
      <w:r w:rsidRPr="00873B6C">
        <w:rPr>
          <w:b/>
        </w:rPr>
        <w:t>N36:</w:t>
      </w:r>
      <w:r w:rsidRPr="00873B6C">
        <w:tab/>
        <w:t>Reference point between PCF and UDR.</w:t>
      </w:r>
    </w:p>
    <w:p w14:paraId="20BBBC24" w14:textId="77777777" w:rsidR="00D40151" w:rsidRPr="00873B6C" w:rsidRDefault="00D40151" w:rsidP="00D40151">
      <w:pPr>
        <w:pStyle w:val="NO"/>
      </w:pPr>
      <w:r w:rsidRPr="00873B6C">
        <w:rPr>
          <w:b/>
        </w:rPr>
        <w:t>N37:</w:t>
      </w:r>
      <w:r w:rsidRPr="00873B6C">
        <w:tab/>
        <w:t>Reference point between NEF and UDR.</w:t>
      </w:r>
    </w:p>
    <w:p w14:paraId="5D2D6454" w14:textId="6FF1492F" w:rsidR="00D40151" w:rsidRPr="00873B6C" w:rsidRDefault="00D40151" w:rsidP="00D40151">
      <w:pPr>
        <w:pStyle w:val="NO"/>
      </w:pPr>
      <w:r w:rsidRPr="00873B6C">
        <w:rPr>
          <w:b/>
        </w:rPr>
        <w:lastRenderedPageBreak/>
        <w:t>N38:</w:t>
      </w:r>
      <w:r w:rsidRPr="00873B6C">
        <w:tab/>
        <w:t>Reference point between I-SMFs</w:t>
      </w:r>
      <w:r w:rsidR="00CB6EDC" w:rsidRPr="00873B6C">
        <w:t xml:space="preserve"> and between V-SMFs</w:t>
      </w:r>
      <w:r w:rsidRPr="00873B6C">
        <w:t>.</w:t>
      </w:r>
    </w:p>
    <w:p w14:paraId="316EE4A6" w14:textId="77777777" w:rsidR="00D40151" w:rsidRPr="00873B6C" w:rsidRDefault="00D40151" w:rsidP="00D40151">
      <w:pPr>
        <w:pStyle w:val="NO"/>
      </w:pPr>
      <w:r w:rsidRPr="00873B6C">
        <w:rPr>
          <w:b/>
        </w:rPr>
        <w:t>N40:</w:t>
      </w:r>
      <w:r w:rsidRPr="00873B6C">
        <w:tab/>
        <w:t>Reference point between SMF and the CHF.</w:t>
      </w:r>
    </w:p>
    <w:p w14:paraId="3D692415" w14:textId="77777777" w:rsidR="008A60FE" w:rsidRPr="00873B6C" w:rsidRDefault="008A60FE" w:rsidP="00D40151">
      <w:pPr>
        <w:pStyle w:val="NO"/>
      </w:pPr>
      <w:r w:rsidRPr="00873B6C">
        <w:rPr>
          <w:b/>
          <w:bCs/>
        </w:rPr>
        <w:t>N41:</w:t>
      </w:r>
      <w:r w:rsidRPr="00873B6C">
        <w:tab/>
        <w:t>Reference point between AMF and CHF in HPLMN.</w:t>
      </w:r>
    </w:p>
    <w:p w14:paraId="03F5083E" w14:textId="77777777" w:rsidR="008A60FE" w:rsidRPr="00873B6C" w:rsidRDefault="008A60FE" w:rsidP="00D40151">
      <w:pPr>
        <w:pStyle w:val="NO"/>
      </w:pPr>
      <w:r w:rsidRPr="00873B6C">
        <w:rPr>
          <w:b/>
          <w:bCs/>
        </w:rPr>
        <w:t>N42:</w:t>
      </w:r>
      <w:r w:rsidRPr="00873B6C">
        <w:tab/>
        <w:t>Reference point between AMF and CHF in VPLMN.</w:t>
      </w:r>
    </w:p>
    <w:p w14:paraId="20B1B8E0" w14:textId="32F00BF3" w:rsidR="00C84B6D" w:rsidRPr="00873B6C" w:rsidRDefault="00C84B6D" w:rsidP="00D40151">
      <w:pPr>
        <w:pStyle w:val="NO"/>
      </w:pPr>
      <w:r w:rsidRPr="00873B6C">
        <w:t>NOTE 4:</w:t>
      </w:r>
      <w:r w:rsidRPr="00873B6C">
        <w:tab/>
        <w:t xml:space="preserve">The functionality of N40, N41 and N42 reference points are defined in </w:t>
      </w:r>
      <w:r w:rsidR="00972E70" w:rsidRPr="00873B6C">
        <w:t>TS 32.240 [</w:t>
      </w:r>
      <w:r w:rsidRPr="00873B6C">
        <w:t>41].</w:t>
      </w:r>
    </w:p>
    <w:p w14:paraId="06B6EC59" w14:textId="77777777" w:rsidR="00C84B6D" w:rsidRPr="00873B6C" w:rsidRDefault="00C84B6D" w:rsidP="00D40151">
      <w:pPr>
        <w:pStyle w:val="NO"/>
      </w:pPr>
      <w:r w:rsidRPr="00873B6C">
        <w:rPr>
          <w:b/>
          <w:bCs/>
        </w:rPr>
        <w:t>N43:</w:t>
      </w:r>
      <w:r w:rsidRPr="00873B6C">
        <w:tab/>
        <w:t>Reference point between PCFs.</w:t>
      </w:r>
    </w:p>
    <w:p w14:paraId="352EBAC1" w14:textId="756BB49D" w:rsidR="00C84B6D" w:rsidRPr="00873B6C" w:rsidRDefault="00C84B6D" w:rsidP="00D40151">
      <w:pPr>
        <w:pStyle w:val="NO"/>
      </w:pPr>
      <w:r w:rsidRPr="00873B6C">
        <w:t>NOTE 5:</w:t>
      </w:r>
      <w:r w:rsidRPr="00873B6C">
        <w:tab/>
        <w:t xml:space="preserve">The functionality of N43 reference point is defined in </w:t>
      </w:r>
      <w:r w:rsidR="00972E70" w:rsidRPr="00873B6C">
        <w:t>TS 23.503 [</w:t>
      </w:r>
      <w:r w:rsidRPr="00873B6C">
        <w:t>45].</w:t>
      </w:r>
    </w:p>
    <w:p w14:paraId="064690FF" w14:textId="2BEA26B3" w:rsidR="00D40151" w:rsidRPr="00873B6C" w:rsidRDefault="00D40151" w:rsidP="00D40151">
      <w:pPr>
        <w:pStyle w:val="NO"/>
      </w:pPr>
      <w:r w:rsidRPr="00873B6C">
        <w:t>NOTE </w:t>
      </w:r>
      <w:r w:rsidR="00C84B6D" w:rsidRPr="00873B6C">
        <w:t>6</w:t>
      </w:r>
      <w:r w:rsidRPr="00873B6C">
        <w:t>:</w:t>
      </w:r>
      <w:r w:rsidRPr="00873B6C">
        <w:tab/>
        <w:t>The reference points from N4</w:t>
      </w:r>
      <w:r w:rsidR="00C84B6D" w:rsidRPr="00873B6C">
        <w:t>4</w:t>
      </w:r>
      <w:r w:rsidRPr="00873B6C">
        <w:t xml:space="preserve"> up to and including N49 are reserved for allocation and definition in</w:t>
      </w:r>
      <w:r w:rsidR="00C84B6D" w:rsidRPr="00873B6C">
        <w:t xml:space="preserve"> </w:t>
      </w:r>
      <w:r w:rsidR="00972E70" w:rsidRPr="00873B6C">
        <w:t>TS 32.240 [</w:t>
      </w:r>
      <w:r w:rsidR="00C84B6D" w:rsidRPr="00873B6C">
        <w:t>41]</w:t>
      </w:r>
      <w:r w:rsidRPr="00873B6C">
        <w:t>.</w:t>
      </w:r>
    </w:p>
    <w:p w14:paraId="5C352E33" w14:textId="77777777" w:rsidR="00D40151" w:rsidRPr="00873B6C" w:rsidRDefault="00D40151" w:rsidP="00D40151">
      <w:pPr>
        <w:pStyle w:val="NO"/>
      </w:pPr>
      <w:r w:rsidRPr="00873B6C">
        <w:rPr>
          <w:b/>
        </w:rPr>
        <w:t>N50:</w:t>
      </w:r>
      <w:r w:rsidRPr="00873B6C">
        <w:tab/>
        <w:t>Reference point between AMF and the CBCF.</w:t>
      </w:r>
    </w:p>
    <w:p w14:paraId="7F3A30C4" w14:textId="77777777" w:rsidR="00D40151" w:rsidRPr="00873B6C" w:rsidRDefault="00D40151" w:rsidP="00D40151">
      <w:pPr>
        <w:pStyle w:val="NO"/>
      </w:pPr>
      <w:r w:rsidRPr="00873B6C">
        <w:rPr>
          <w:b/>
        </w:rPr>
        <w:t>N51:</w:t>
      </w:r>
      <w:r w:rsidRPr="00873B6C">
        <w:tab/>
        <w:t>Reference point between AMF and NEF.</w:t>
      </w:r>
    </w:p>
    <w:p w14:paraId="766DD206" w14:textId="77777777" w:rsidR="00D40151" w:rsidRPr="00873B6C" w:rsidRDefault="00D40151" w:rsidP="00D40151">
      <w:pPr>
        <w:pStyle w:val="NO"/>
      </w:pPr>
      <w:r w:rsidRPr="00873B6C">
        <w:rPr>
          <w:b/>
        </w:rPr>
        <w:t>N52:</w:t>
      </w:r>
      <w:r w:rsidRPr="00873B6C">
        <w:tab/>
        <w:t>Reference point between NEF and UDM.</w:t>
      </w:r>
    </w:p>
    <w:p w14:paraId="6E1F3613" w14:textId="77777777" w:rsidR="00D40151" w:rsidRPr="00873B6C" w:rsidRDefault="00D40151" w:rsidP="00D40151">
      <w:pPr>
        <w:pStyle w:val="NO"/>
      </w:pPr>
      <w:r w:rsidRPr="00873B6C">
        <w:rPr>
          <w:b/>
        </w:rPr>
        <w:t>N55:</w:t>
      </w:r>
      <w:r w:rsidRPr="00873B6C">
        <w:tab/>
        <w:t>Reference point between AMF and the UCMF.</w:t>
      </w:r>
    </w:p>
    <w:p w14:paraId="3E6A6785" w14:textId="77777777" w:rsidR="00D40151" w:rsidRPr="00873B6C" w:rsidRDefault="00D40151" w:rsidP="00D40151">
      <w:pPr>
        <w:pStyle w:val="NO"/>
      </w:pPr>
      <w:r w:rsidRPr="00873B6C">
        <w:rPr>
          <w:b/>
        </w:rPr>
        <w:t>N56:</w:t>
      </w:r>
      <w:r w:rsidRPr="00873B6C">
        <w:tab/>
        <w:t>Reference point between NEF and the UCMF.</w:t>
      </w:r>
    </w:p>
    <w:p w14:paraId="13123375" w14:textId="77777777" w:rsidR="00D40151" w:rsidRPr="00873B6C" w:rsidRDefault="00D40151" w:rsidP="00D40151">
      <w:pPr>
        <w:pStyle w:val="NO"/>
      </w:pPr>
      <w:r w:rsidRPr="00873B6C">
        <w:rPr>
          <w:b/>
        </w:rPr>
        <w:t>N57:</w:t>
      </w:r>
      <w:r w:rsidRPr="00873B6C">
        <w:tab/>
        <w:t>Reference point between AF and the UCMF.</w:t>
      </w:r>
    </w:p>
    <w:p w14:paraId="3C4CD6B0" w14:textId="18435C30" w:rsidR="00D40151" w:rsidRPr="00873B6C" w:rsidRDefault="00D40151" w:rsidP="00D40151">
      <w:pPr>
        <w:pStyle w:val="NO"/>
      </w:pPr>
      <w:r w:rsidRPr="00873B6C">
        <w:t>NOTE </w:t>
      </w:r>
      <w:r w:rsidR="00C84B6D" w:rsidRPr="00873B6C">
        <w:t>7</w:t>
      </w:r>
      <w:r w:rsidRPr="00873B6C">
        <w:t>:</w:t>
      </w:r>
      <w:r w:rsidRPr="00873B6C">
        <w:tab/>
        <w:t xml:space="preserve">The Public Warning System functionality of N50 reference point is defined in </w:t>
      </w:r>
      <w:r w:rsidR="00972E70" w:rsidRPr="00873B6C">
        <w:t>TS 23.041 [</w:t>
      </w:r>
      <w:r w:rsidRPr="00873B6C">
        <w:t>46].</w:t>
      </w:r>
    </w:p>
    <w:p w14:paraId="6AD4E6D7" w14:textId="77777777" w:rsidR="00D40151" w:rsidRPr="00873B6C" w:rsidRDefault="00D40151" w:rsidP="00D40151">
      <w:pPr>
        <w:pStyle w:val="NO"/>
      </w:pPr>
      <w:r w:rsidRPr="00873B6C">
        <w:rPr>
          <w:b/>
          <w:bCs/>
        </w:rPr>
        <w:t>N58:</w:t>
      </w:r>
      <w:r w:rsidRPr="00873B6C">
        <w:tab/>
        <w:t>Reference point between AMF and the NSSAAF.</w:t>
      </w:r>
    </w:p>
    <w:p w14:paraId="04A8BC32" w14:textId="77777777" w:rsidR="00D40151" w:rsidRPr="00873B6C" w:rsidRDefault="00D40151" w:rsidP="00D40151">
      <w:pPr>
        <w:pStyle w:val="NO"/>
      </w:pPr>
      <w:r w:rsidRPr="00873B6C">
        <w:rPr>
          <w:b/>
          <w:bCs/>
        </w:rPr>
        <w:t>N59:</w:t>
      </w:r>
      <w:r w:rsidRPr="00873B6C">
        <w:tab/>
        <w:t>Reference point between UDM and the NSSAAF.</w:t>
      </w:r>
    </w:p>
    <w:p w14:paraId="6CE10B47" w14:textId="77777777" w:rsidR="006310D8" w:rsidRPr="00873B6C" w:rsidRDefault="006310D8" w:rsidP="006310D8">
      <w:pPr>
        <w:pStyle w:val="NO"/>
      </w:pPr>
      <w:r w:rsidRPr="00873B6C">
        <w:rPr>
          <w:b/>
          <w:bCs/>
        </w:rPr>
        <w:t>N60:</w:t>
      </w:r>
      <w:r w:rsidRPr="00873B6C">
        <w:tab/>
        <w:t>Reference point between AUSF and NSWOF.</w:t>
      </w:r>
    </w:p>
    <w:p w14:paraId="48032E0B" w14:textId="5BC1E150" w:rsidR="006310D8" w:rsidRPr="00873B6C" w:rsidRDefault="006310D8" w:rsidP="006310D8">
      <w:pPr>
        <w:pStyle w:val="NO"/>
      </w:pPr>
      <w:r w:rsidRPr="00873B6C">
        <w:t>NOTE 8:</w:t>
      </w:r>
      <w:r w:rsidRPr="00873B6C">
        <w:tab/>
        <w:t xml:space="preserve">The functionality of N60 reference point is defined in </w:t>
      </w:r>
      <w:r w:rsidR="00972E70" w:rsidRPr="00873B6C">
        <w:t>TS 33.501 [</w:t>
      </w:r>
      <w:r w:rsidRPr="00873B6C">
        <w:t>29].</w:t>
      </w:r>
    </w:p>
    <w:p w14:paraId="09D7C8A5" w14:textId="11F27216" w:rsidR="00757CAF" w:rsidRPr="00873B6C" w:rsidRDefault="00757CAF" w:rsidP="00757CAF">
      <w:pPr>
        <w:pStyle w:val="NO"/>
      </w:pPr>
      <w:r w:rsidRPr="00873B6C">
        <w:rPr>
          <w:b/>
          <w:bCs/>
        </w:rPr>
        <w:t>N</w:t>
      </w:r>
      <w:r w:rsidR="008E69B3" w:rsidRPr="00873B6C">
        <w:rPr>
          <w:b/>
          <w:bCs/>
        </w:rPr>
        <w:t>8</w:t>
      </w:r>
      <w:r w:rsidRPr="00873B6C">
        <w:rPr>
          <w:b/>
          <w:bCs/>
        </w:rPr>
        <w:t>0:</w:t>
      </w:r>
      <w:r w:rsidRPr="00873B6C">
        <w:tab/>
        <w:t>Reference point between AMF and NSACF.</w:t>
      </w:r>
    </w:p>
    <w:p w14:paraId="2562A5DB" w14:textId="04F09D41" w:rsidR="008E69B3" w:rsidRPr="00873B6C" w:rsidRDefault="008E69B3" w:rsidP="008E69B3">
      <w:pPr>
        <w:pStyle w:val="NO"/>
      </w:pPr>
      <w:r w:rsidRPr="00873B6C">
        <w:rPr>
          <w:b/>
          <w:bCs/>
        </w:rPr>
        <w:t>N81:</w:t>
      </w:r>
      <w:r w:rsidRPr="00873B6C">
        <w:tab/>
        <w:t>Reference point between SMF and NSACF.</w:t>
      </w:r>
    </w:p>
    <w:p w14:paraId="77AAECC6" w14:textId="446BA5CA" w:rsidR="005E258C" w:rsidRPr="00873B6C" w:rsidRDefault="005E258C" w:rsidP="00562E84">
      <w:pPr>
        <w:pStyle w:val="NO"/>
      </w:pPr>
      <w:r w:rsidRPr="00873B6C">
        <w:rPr>
          <w:b/>
          <w:bCs/>
        </w:rPr>
        <w:t>N82:</w:t>
      </w:r>
      <w:r w:rsidRPr="00873B6C">
        <w:tab/>
        <w:t>Reference point between NSACF and NEF.</w:t>
      </w:r>
    </w:p>
    <w:p w14:paraId="6E1CFB34" w14:textId="459C9665" w:rsidR="00366291" w:rsidRPr="00873B6C" w:rsidRDefault="00366291" w:rsidP="00366291">
      <w:pPr>
        <w:pStyle w:val="NO"/>
      </w:pPr>
      <w:r w:rsidRPr="00873B6C">
        <w:rPr>
          <w:b/>
          <w:bCs/>
        </w:rPr>
        <w:t>N83:</w:t>
      </w:r>
      <w:r w:rsidRPr="00873B6C">
        <w:tab/>
        <w:t>Reference point between AUSF and NSSAAF.</w:t>
      </w:r>
    </w:p>
    <w:p w14:paraId="07588F37" w14:textId="77777777" w:rsidR="0010039C" w:rsidRPr="00873B6C" w:rsidRDefault="0010039C" w:rsidP="00C74FFE">
      <w:pPr>
        <w:pStyle w:val="NO"/>
      </w:pPr>
      <w:r w:rsidRPr="00873B6C">
        <w:rPr>
          <w:b/>
          <w:bCs/>
        </w:rPr>
        <w:t>N84:</w:t>
      </w:r>
      <w:r w:rsidRPr="00873B6C">
        <w:tab/>
        <w:t>Reference point between TSCTSF and PCF.</w:t>
      </w:r>
    </w:p>
    <w:p w14:paraId="643F3250" w14:textId="77777777" w:rsidR="0010039C" w:rsidRPr="00873B6C" w:rsidRDefault="0010039C" w:rsidP="00C74FFE">
      <w:pPr>
        <w:pStyle w:val="NO"/>
      </w:pPr>
      <w:r w:rsidRPr="00873B6C">
        <w:rPr>
          <w:b/>
          <w:bCs/>
        </w:rPr>
        <w:t>N85:</w:t>
      </w:r>
      <w:r w:rsidRPr="00873B6C">
        <w:tab/>
        <w:t>Reference point between TSCTSF and NEF.</w:t>
      </w:r>
    </w:p>
    <w:p w14:paraId="50F9D323" w14:textId="77777777" w:rsidR="0010039C" w:rsidRPr="00873B6C" w:rsidRDefault="0010039C" w:rsidP="00C74FFE">
      <w:pPr>
        <w:pStyle w:val="NO"/>
      </w:pPr>
      <w:r w:rsidRPr="00873B6C">
        <w:rPr>
          <w:b/>
          <w:bCs/>
        </w:rPr>
        <w:t>N86:</w:t>
      </w:r>
      <w:r w:rsidRPr="00873B6C">
        <w:tab/>
        <w:t>Reference point between TSCTSF and AF.</w:t>
      </w:r>
    </w:p>
    <w:p w14:paraId="143DA4B9" w14:textId="5A50189F" w:rsidR="0010039C" w:rsidRPr="00873B6C" w:rsidRDefault="0010039C" w:rsidP="00C74FFE">
      <w:pPr>
        <w:pStyle w:val="NO"/>
      </w:pPr>
      <w:r w:rsidRPr="00873B6C">
        <w:rPr>
          <w:b/>
          <w:bCs/>
        </w:rPr>
        <w:t>N87:</w:t>
      </w:r>
      <w:r w:rsidRPr="00873B6C">
        <w:tab/>
        <w:t>Reference point between TSCTSF and UD</w:t>
      </w:r>
      <w:r w:rsidR="0082686E" w:rsidRPr="00873B6C">
        <w:t>M</w:t>
      </w:r>
      <w:r w:rsidRPr="00873B6C">
        <w:t>.</w:t>
      </w:r>
    </w:p>
    <w:p w14:paraId="4366414D" w14:textId="52F959B0" w:rsidR="0010576F" w:rsidRPr="00873B6C" w:rsidRDefault="0010576F" w:rsidP="00461850">
      <w:pPr>
        <w:pStyle w:val="NO"/>
      </w:pPr>
      <w:r w:rsidRPr="00873B6C">
        <w:rPr>
          <w:b/>
          <w:bCs/>
        </w:rPr>
        <w:t>N88:</w:t>
      </w:r>
      <w:r w:rsidRPr="00873B6C">
        <w:tab/>
        <w:t>Reference point between SMF and EASDF.</w:t>
      </w:r>
    </w:p>
    <w:p w14:paraId="38A2DBCA" w14:textId="77777777" w:rsidR="003A5CE6" w:rsidRPr="00873B6C" w:rsidRDefault="003A5CE6" w:rsidP="00461850">
      <w:pPr>
        <w:pStyle w:val="NO"/>
      </w:pPr>
      <w:r w:rsidRPr="00873B6C">
        <w:rPr>
          <w:b/>
          <w:bCs/>
        </w:rPr>
        <w:t>N89:</w:t>
      </w:r>
      <w:r w:rsidRPr="00873B6C">
        <w:tab/>
        <w:t>Reference point between TSCTSF and AMF.</w:t>
      </w:r>
    </w:p>
    <w:p w14:paraId="7A2883E4" w14:textId="77777777" w:rsidR="003A5CE6" w:rsidRPr="00873B6C" w:rsidRDefault="003A5CE6" w:rsidP="00461850">
      <w:pPr>
        <w:pStyle w:val="NO"/>
      </w:pPr>
      <w:r w:rsidRPr="00873B6C">
        <w:rPr>
          <w:b/>
          <w:bCs/>
        </w:rPr>
        <w:t>N96:</w:t>
      </w:r>
      <w:r w:rsidRPr="00873B6C">
        <w:tab/>
        <w:t>Reference point between TSCTSF and NRF.</w:t>
      </w:r>
    </w:p>
    <w:p w14:paraId="6493CCA6" w14:textId="27925780" w:rsidR="002C4A81" w:rsidRPr="00873B6C" w:rsidRDefault="002C4A81" w:rsidP="00461850">
      <w:pPr>
        <w:pStyle w:val="NO"/>
      </w:pPr>
      <w:r w:rsidRPr="00873B6C">
        <w:rPr>
          <w:b/>
          <w:bCs/>
        </w:rPr>
        <w:t>N</w:t>
      </w:r>
      <w:r w:rsidR="003A5CE6" w:rsidRPr="00873B6C">
        <w:rPr>
          <w:b/>
          <w:bCs/>
        </w:rPr>
        <w:t>97</w:t>
      </w:r>
      <w:r w:rsidRPr="00873B6C">
        <w:rPr>
          <w:b/>
          <w:bCs/>
        </w:rPr>
        <w:t>:</w:t>
      </w:r>
      <w:r w:rsidRPr="00873B6C">
        <w:tab/>
        <w:t>Reference point between two NSACFs in different PLMNs.</w:t>
      </w:r>
    </w:p>
    <w:p w14:paraId="37A57C68" w14:textId="0FECA6A7" w:rsidR="00AD480D" w:rsidRPr="00873B6C" w:rsidRDefault="00AD480D" w:rsidP="00AD480D">
      <w:pPr>
        <w:pStyle w:val="NO"/>
      </w:pPr>
      <w:r w:rsidRPr="00873B6C">
        <w:rPr>
          <w:b/>
          <w:bCs/>
        </w:rPr>
        <w:t>N99:</w:t>
      </w:r>
      <w:r w:rsidRPr="00873B6C">
        <w:tab/>
        <w:t>Reference point between two NSACFs within the same PLMN.</w:t>
      </w:r>
    </w:p>
    <w:p w14:paraId="56D050C7" w14:textId="4DACA3BD" w:rsidR="00426DE4" w:rsidRPr="00873B6C" w:rsidRDefault="00426DE4" w:rsidP="00461850">
      <w:pPr>
        <w:pStyle w:val="NO"/>
      </w:pPr>
      <w:r w:rsidRPr="00873B6C">
        <w:t>NOTE</w:t>
      </w:r>
      <w:r w:rsidR="006310D8" w:rsidRPr="00873B6C">
        <w:t> 9</w:t>
      </w:r>
      <w:r w:rsidRPr="00873B6C">
        <w:t>:</w:t>
      </w:r>
      <w:r w:rsidRPr="00873B6C">
        <w:tab/>
        <w:t xml:space="preserve">The reference points from N90 up to and including N95 are reserved for allocation and definition in </w:t>
      </w:r>
      <w:r w:rsidR="00972E70" w:rsidRPr="00873B6C">
        <w:t>TS 23.503 [</w:t>
      </w:r>
      <w:r w:rsidRPr="00873B6C">
        <w:t>45].</w:t>
      </w:r>
    </w:p>
    <w:p w14:paraId="5CCF08ED" w14:textId="0D6CF362" w:rsidR="00872C86" w:rsidRPr="00873B6C" w:rsidRDefault="00872C86" w:rsidP="00872C86">
      <w:pPr>
        <w:pStyle w:val="NO"/>
      </w:pPr>
      <w:r w:rsidRPr="00873B6C">
        <w:lastRenderedPageBreak/>
        <w:t>NOTE 10:</w:t>
      </w:r>
      <w:r w:rsidRPr="00873B6C">
        <w:tab/>
        <w:t xml:space="preserve">The reference points from N100 up to and including N109 are reserved for allocation and definition in </w:t>
      </w:r>
      <w:r w:rsidR="00972E70" w:rsidRPr="00873B6C">
        <w:t>TS 32.240 [</w:t>
      </w:r>
      <w:r w:rsidRPr="00873B6C">
        <w:t>41].</w:t>
      </w:r>
    </w:p>
    <w:p w14:paraId="584887D4" w14:textId="253E019B" w:rsidR="00D40151" w:rsidRPr="00873B6C" w:rsidRDefault="00D40151" w:rsidP="00D40151">
      <w:r w:rsidRPr="00873B6C">
        <w:t>The reference points to support SMS over NAS are listed in clause 4.4.2.2.</w:t>
      </w:r>
    </w:p>
    <w:p w14:paraId="718FBCA9" w14:textId="7503BE4D" w:rsidR="00D40151" w:rsidRPr="00873B6C" w:rsidRDefault="00D40151" w:rsidP="00D40151">
      <w:r w:rsidRPr="00873B6C">
        <w:t xml:space="preserve">The reference points to support Location Services are listed in </w:t>
      </w:r>
      <w:r w:rsidR="00972E70" w:rsidRPr="00873B6C">
        <w:t>TS 23.273 [</w:t>
      </w:r>
      <w:r w:rsidRPr="00873B6C">
        <w:t>87].</w:t>
      </w:r>
    </w:p>
    <w:p w14:paraId="324587C5" w14:textId="64DD37A2" w:rsidR="00D40151" w:rsidRPr="00873B6C" w:rsidRDefault="00D40151" w:rsidP="00D40151">
      <w:bookmarkStart w:id="162" w:name="_Toc20149639"/>
      <w:r w:rsidRPr="00873B6C">
        <w:t xml:space="preserve">The reference points to support SBA in IMS (N5, N70 and N71) are described in </w:t>
      </w:r>
      <w:r w:rsidR="00972E70" w:rsidRPr="00873B6C">
        <w:t>TS 23.228 [</w:t>
      </w:r>
      <w:r w:rsidRPr="00873B6C">
        <w:t>15].</w:t>
      </w:r>
    </w:p>
    <w:p w14:paraId="4A23963A" w14:textId="71AE9178" w:rsidR="00C05113" w:rsidRPr="00873B6C" w:rsidRDefault="00C05113" w:rsidP="00C05113">
      <w:bookmarkStart w:id="163" w:name="_Toc27846430"/>
      <w:bookmarkStart w:id="164" w:name="_Toc36187554"/>
      <w:bookmarkStart w:id="165" w:name="_Toc45183458"/>
      <w:bookmarkStart w:id="166" w:name="_Toc47342300"/>
      <w:bookmarkStart w:id="167" w:name="_Toc51768998"/>
      <w:r w:rsidRPr="00873B6C">
        <w:t xml:space="preserve">The reference points to support AKMA (N61, N62 and N63) are described in </w:t>
      </w:r>
      <w:r w:rsidR="00972E70" w:rsidRPr="00873B6C">
        <w:t>TS 33.535 [</w:t>
      </w:r>
      <w:r w:rsidRPr="00873B6C">
        <w:t>124].</w:t>
      </w:r>
    </w:p>
    <w:p w14:paraId="419707CD" w14:textId="5BB311EA" w:rsidR="006101B9" w:rsidRPr="00873B6C" w:rsidRDefault="006101B9" w:rsidP="006101B9">
      <w:r w:rsidRPr="00873B6C">
        <w:t xml:space="preserve">The reference points to support </w:t>
      </w:r>
      <w:r w:rsidR="00C25C3D" w:rsidRPr="00873B6C">
        <w:t xml:space="preserve">5G </w:t>
      </w:r>
      <w:r w:rsidRPr="00873B6C">
        <w:t xml:space="preserve">ProSe are described in </w:t>
      </w:r>
      <w:r w:rsidR="00972E70" w:rsidRPr="00873B6C">
        <w:t>TS 23.304 [</w:t>
      </w:r>
      <w:r w:rsidRPr="00873B6C">
        <w:t>128].</w:t>
      </w:r>
    </w:p>
    <w:p w14:paraId="4A1B24A4" w14:textId="5EC67D91" w:rsidR="00607A94" w:rsidRPr="00873B6C" w:rsidRDefault="00607A94" w:rsidP="00607A94">
      <w:r w:rsidRPr="00873B6C">
        <w:t xml:space="preserve">The reference points to support 5G multicast-broadcast services are described in </w:t>
      </w:r>
      <w:r w:rsidR="00972E70" w:rsidRPr="00873B6C">
        <w:t>TS 23.247 [</w:t>
      </w:r>
      <w:r w:rsidRPr="00873B6C">
        <w:t>129].</w:t>
      </w:r>
    </w:p>
    <w:p w14:paraId="380C49FB" w14:textId="0CC56DD7" w:rsidR="00C84B6D" w:rsidRPr="00873B6C" w:rsidRDefault="00C84B6D" w:rsidP="00C84B6D">
      <w:r w:rsidRPr="00873B6C">
        <w:t xml:space="preserve">The reference points to Support Uncrewed Aerial Systems (UAS) connectivity, identification and tracking are described in </w:t>
      </w:r>
      <w:r w:rsidR="00972E70" w:rsidRPr="00873B6C">
        <w:t>TS 23.256 [</w:t>
      </w:r>
      <w:r w:rsidRPr="00873B6C">
        <w:t>136].</w:t>
      </w:r>
    </w:p>
    <w:p w14:paraId="434ED500" w14:textId="54211B67" w:rsidR="00627C2F" w:rsidRPr="00873B6C" w:rsidRDefault="00627C2F" w:rsidP="00627C2F">
      <w:r w:rsidRPr="00873B6C">
        <w:t xml:space="preserve">The reference points to support SBA in GBA and GBA push (N65, N66, N67 and N68) are described in </w:t>
      </w:r>
      <w:r w:rsidR="00972E70" w:rsidRPr="00873B6C">
        <w:t>TS 33.220 [</w:t>
      </w:r>
      <w:r w:rsidRPr="00873B6C">
        <w:t xml:space="preserve">140] and </w:t>
      </w:r>
      <w:r w:rsidR="00972E70" w:rsidRPr="00873B6C">
        <w:t>TS 33.223 [</w:t>
      </w:r>
      <w:r w:rsidRPr="00873B6C">
        <w:t>141].</w:t>
      </w:r>
    </w:p>
    <w:p w14:paraId="609BE9BF" w14:textId="57340083" w:rsidR="00183D3D" w:rsidRPr="00873B6C" w:rsidRDefault="00183D3D" w:rsidP="00183D3D">
      <w:r w:rsidRPr="00873B6C">
        <w:t xml:space="preserve">The reference points to support SMS delivery using SBA are described in </w:t>
      </w:r>
      <w:r w:rsidR="00972E70" w:rsidRPr="00873B6C">
        <w:t>TS 23.540 [</w:t>
      </w:r>
      <w:r w:rsidRPr="00873B6C">
        <w:t>142].</w:t>
      </w:r>
    </w:p>
    <w:p w14:paraId="490466FF" w14:textId="77945FC1" w:rsidR="00A13197" w:rsidRPr="00873B6C" w:rsidRDefault="00A13197" w:rsidP="00A13197">
      <w:r w:rsidRPr="00873B6C">
        <w:t>The reference points to support Ranging based services and Sidelink Positioning are described in TS 23.586 [180].</w:t>
      </w:r>
    </w:p>
    <w:p w14:paraId="30766B75" w14:textId="77777777" w:rsidR="00D40151" w:rsidRPr="00873B6C" w:rsidRDefault="00D40151" w:rsidP="00D40151">
      <w:pPr>
        <w:pStyle w:val="Heading3"/>
      </w:pPr>
      <w:bookmarkStart w:id="168" w:name="_CR4_2_8"/>
      <w:bookmarkStart w:id="169" w:name="_Toc201156911"/>
      <w:bookmarkEnd w:id="168"/>
      <w:r w:rsidRPr="00873B6C">
        <w:t>4.2.8</w:t>
      </w:r>
      <w:r w:rsidRPr="00873B6C">
        <w:tab/>
        <w:t>Support of non-3GPP access</w:t>
      </w:r>
      <w:bookmarkEnd w:id="162"/>
      <w:bookmarkEnd w:id="163"/>
      <w:bookmarkEnd w:id="164"/>
      <w:bookmarkEnd w:id="165"/>
      <w:bookmarkEnd w:id="166"/>
      <w:bookmarkEnd w:id="167"/>
      <w:bookmarkEnd w:id="169"/>
    </w:p>
    <w:p w14:paraId="4A0527A4" w14:textId="77777777" w:rsidR="00D40151" w:rsidRPr="00873B6C" w:rsidRDefault="00D40151" w:rsidP="00D40151">
      <w:pPr>
        <w:pStyle w:val="Heading4"/>
      </w:pPr>
      <w:bookmarkStart w:id="170" w:name="_CR4_2_8_0"/>
      <w:bookmarkStart w:id="171" w:name="_Toc20149640"/>
      <w:bookmarkStart w:id="172" w:name="_Toc27846431"/>
      <w:bookmarkStart w:id="173" w:name="_Toc36187555"/>
      <w:bookmarkStart w:id="174" w:name="_Toc45183459"/>
      <w:bookmarkStart w:id="175" w:name="_Toc47342301"/>
      <w:bookmarkStart w:id="176" w:name="_Toc51768999"/>
      <w:bookmarkStart w:id="177" w:name="_Toc201156912"/>
      <w:bookmarkEnd w:id="170"/>
      <w:r w:rsidRPr="00873B6C">
        <w:t>4.2.8.0</w:t>
      </w:r>
      <w:r w:rsidRPr="00873B6C">
        <w:tab/>
        <w:t>General</w:t>
      </w:r>
      <w:bookmarkEnd w:id="171"/>
      <w:bookmarkEnd w:id="172"/>
      <w:bookmarkEnd w:id="173"/>
      <w:bookmarkEnd w:id="174"/>
      <w:bookmarkEnd w:id="175"/>
      <w:bookmarkEnd w:id="176"/>
      <w:bookmarkEnd w:id="177"/>
    </w:p>
    <w:p w14:paraId="42CEAB00" w14:textId="77777777" w:rsidR="00D40151" w:rsidRPr="00873B6C" w:rsidRDefault="00D40151" w:rsidP="00D40151">
      <w:pPr>
        <w:rPr>
          <w:lang w:eastAsia="ko-KR"/>
        </w:rPr>
      </w:pPr>
      <w:r w:rsidRPr="00873B6C">
        <w:rPr>
          <w:lang w:eastAsia="ko-KR"/>
        </w:rPr>
        <w:t>In this Release of the specification, the following types of non-3GPP access networks are defined:</w:t>
      </w:r>
    </w:p>
    <w:p w14:paraId="0D82F279" w14:textId="77777777" w:rsidR="00D40151" w:rsidRPr="00873B6C" w:rsidRDefault="00D40151" w:rsidP="00D40151">
      <w:pPr>
        <w:pStyle w:val="B1"/>
        <w:rPr>
          <w:lang w:eastAsia="ko-KR"/>
        </w:rPr>
      </w:pPr>
      <w:r w:rsidRPr="00873B6C">
        <w:rPr>
          <w:lang w:eastAsia="ko-KR"/>
        </w:rPr>
        <w:t>-</w:t>
      </w:r>
      <w:r w:rsidRPr="00873B6C">
        <w:rPr>
          <w:lang w:eastAsia="ko-KR"/>
        </w:rPr>
        <w:tab/>
        <w:t>Untrusted non-3GPP access networks;</w:t>
      </w:r>
    </w:p>
    <w:p w14:paraId="739CCCC4" w14:textId="77777777" w:rsidR="00D40151" w:rsidRPr="00873B6C" w:rsidRDefault="00D40151" w:rsidP="00D40151">
      <w:pPr>
        <w:pStyle w:val="B1"/>
        <w:rPr>
          <w:lang w:eastAsia="ko-KR"/>
        </w:rPr>
      </w:pPr>
      <w:r w:rsidRPr="00873B6C">
        <w:rPr>
          <w:lang w:eastAsia="ko-KR"/>
        </w:rPr>
        <w:t>-</w:t>
      </w:r>
      <w:r w:rsidRPr="00873B6C">
        <w:rPr>
          <w:lang w:eastAsia="ko-KR"/>
        </w:rPr>
        <w:tab/>
        <w:t>Trusted non-3GPP access networks; and</w:t>
      </w:r>
    </w:p>
    <w:p w14:paraId="61687FF9" w14:textId="77777777" w:rsidR="00D40151" w:rsidRPr="00873B6C" w:rsidRDefault="00D40151" w:rsidP="00D40151">
      <w:pPr>
        <w:pStyle w:val="B1"/>
        <w:rPr>
          <w:lang w:eastAsia="ko-KR"/>
        </w:rPr>
      </w:pPr>
      <w:r w:rsidRPr="00873B6C">
        <w:rPr>
          <w:lang w:eastAsia="ko-KR"/>
        </w:rPr>
        <w:t>-</w:t>
      </w:r>
      <w:r w:rsidRPr="00873B6C">
        <w:rPr>
          <w:lang w:eastAsia="ko-KR"/>
        </w:rPr>
        <w:tab/>
        <w:t>Wireline access networks.</w:t>
      </w:r>
    </w:p>
    <w:p w14:paraId="01026E92" w14:textId="64240351" w:rsidR="00D40151" w:rsidRPr="00873B6C" w:rsidRDefault="00D40151" w:rsidP="00D40151">
      <w:pPr>
        <w:rPr>
          <w:lang w:eastAsia="ko-KR"/>
        </w:rPr>
      </w:pPr>
      <w:r w:rsidRPr="00873B6C">
        <w:rPr>
          <w:lang w:eastAsia="ko-KR"/>
        </w:rPr>
        <w:t xml:space="preserve">The architecture to support Untrusted and Trusted non-3GPP access networks is defined in clause 4.2.8.2. The architecture to support Wireline access networks is defined in </w:t>
      </w:r>
      <w:r w:rsidR="00960CDA" w:rsidRPr="00873B6C">
        <w:rPr>
          <w:lang w:eastAsia="ko-KR"/>
        </w:rPr>
        <w:t>clause </w:t>
      </w:r>
      <w:r w:rsidRPr="00873B6C">
        <w:rPr>
          <w:lang w:eastAsia="ko-KR"/>
        </w:rPr>
        <w:t xml:space="preserve">4.2.8.2.4 and in </w:t>
      </w:r>
      <w:r w:rsidR="00972E70" w:rsidRPr="00873B6C">
        <w:rPr>
          <w:lang w:eastAsia="ko-KR"/>
        </w:rPr>
        <w:t>TS 23.316 [</w:t>
      </w:r>
      <w:r w:rsidRPr="00873B6C">
        <w:rPr>
          <w:lang w:eastAsia="ko-KR"/>
        </w:rPr>
        <w:t>84].</w:t>
      </w:r>
    </w:p>
    <w:p w14:paraId="555874DC" w14:textId="77777777" w:rsidR="00D40151" w:rsidRPr="00873B6C" w:rsidRDefault="00D40151" w:rsidP="00D40151">
      <w:pPr>
        <w:pStyle w:val="Heading4"/>
        <w:rPr>
          <w:lang w:eastAsia="ko-KR"/>
        </w:rPr>
      </w:pPr>
      <w:bookmarkStart w:id="178" w:name="_CR4_2_8_1"/>
      <w:bookmarkStart w:id="179" w:name="_Toc20149641"/>
      <w:bookmarkStart w:id="180" w:name="_Toc27846432"/>
      <w:bookmarkStart w:id="181" w:name="_Toc36187556"/>
      <w:bookmarkStart w:id="182" w:name="_Toc45183460"/>
      <w:bookmarkStart w:id="183" w:name="_Toc47342302"/>
      <w:bookmarkStart w:id="184" w:name="_Toc51769000"/>
      <w:bookmarkStart w:id="185" w:name="_Toc201156913"/>
      <w:bookmarkEnd w:id="178"/>
      <w:r w:rsidRPr="00873B6C">
        <w:t>4.2.8.1</w:t>
      </w:r>
      <w:r w:rsidRPr="00873B6C">
        <w:tab/>
        <w:t xml:space="preserve">General </w:t>
      </w:r>
      <w:r w:rsidRPr="00873B6C">
        <w:rPr>
          <w:lang w:eastAsia="ko-KR"/>
        </w:rPr>
        <w:t>Concepts to Support Trusted and Untrusted Non-3GPP Access</w:t>
      </w:r>
      <w:bookmarkEnd w:id="179"/>
      <w:bookmarkEnd w:id="180"/>
      <w:bookmarkEnd w:id="181"/>
      <w:bookmarkEnd w:id="182"/>
      <w:bookmarkEnd w:id="183"/>
      <w:bookmarkEnd w:id="184"/>
      <w:bookmarkEnd w:id="185"/>
    </w:p>
    <w:p w14:paraId="3D880100" w14:textId="77777777" w:rsidR="00D40151" w:rsidRPr="00873B6C" w:rsidRDefault="00D40151" w:rsidP="00D40151">
      <w:pPr>
        <w:rPr>
          <w:lang w:eastAsia="ko-KR"/>
        </w:rPr>
      </w:pPr>
      <w:r w:rsidRPr="00873B6C">
        <w:t>The 5</w:t>
      </w:r>
      <w:r w:rsidRPr="00873B6C">
        <w:rPr>
          <w:lang w:eastAsia="ko-KR"/>
        </w:rPr>
        <w:t>G Core Network supports connectivity of UEs via non-3GPP access networks, e.g. WLAN access networks.</w:t>
      </w:r>
    </w:p>
    <w:p w14:paraId="259B4394" w14:textId="77777777" w:rsidR="00D40151" w:rsidRPr="00873B6C" w:rsidRDefault="00D40151" w:rsidP="00D40151">
      <w:r w:rsidRPr="00873B6C">
        <w:t>Only the support of non-3GPP access networks deployed outside the NG-RAN is described in this clause.</w:t>
      </w:r>
    </w:p>
    <w:p w14:paraId="507C51CB" w14:textId="77777777" w:rsidR="00D40151" w:rsidRPr="00873B6C" w:rsidRDefault="00D40151" w:rsidP="00D40151">
      <w:pPr>
        <w:rPr>
          <w:lang w:eastAsia="ko-KR"/>
        </w:rPr>
      </w:pPr>
      <w:r w:rsidRPr="00873B6C">
        <w:rPr>
          <w:lang w:eastAsia="ko-KR"/>
        </w:rPr>
        <w:t>The 5G Core Network supports both untrusted non-3GPP access networks and trusted non-3GPP access networks (TNANs).</w:t>
      </w:r>
    </w:p>
    <w:p w14:paraId="4C5AA818" w14:textId="77777777" w:rsidR="00D40151" w:rsidRPr="00873B6C" w:rsidRDefault="00D40151" w:rsidP="00D40151">
      <w:pPr>
        <w:rPr>
          <w:lang w:eastAsia="ko-KR"/>
        </w:rPr>
      </w:pPr>
      <w:r w:rsidRPr="00873B6C">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6B54FAC2" w:rsidR="00D40151" w:rsidRPr="00873B6C" w:rsidRDefault="00D40151" w:rsidP="00D40151">
      <w:pPr>
        <w:rPr>
          <w:lang w:eastAsia="ko-KR"/>
        </w:rPr>
      </w:pPr>
      <w:r w:rsidRPr="00873B6C">
        <w:rPr>
          <w:lang w:eastAsia="ko-KR"/>
        </w:rPr>
        <w:t>A non-3GPP access network may advertise the PLMNs</w:t>
      </w:r>
      <w:r w:rsidR="0022127D" w:rsidRPr="00873B6C">
        <w:rPr>
          <w:lang w:eastAsia="ko-KR"/>
        </w:rPr>
        <w:t xml:space="preserve"> or SNPNs</w:t>
      </w:r>
      <w:r w:rsidRPr="00873B6C">
        <w:rPr>
          <w:lang w:eastAsia="ko-KR"/>
        </w:rPr>
        <w:t xml:space="preserve"> for which it supports trusted connectivity and the type of supported trusted connectivity (e.g. "5G connectivity"). Therefore, the UEs can discover the non-3GPP access networks that can provide trusted connectivity to one or more PLMNs</w:t>
      </w:r>
      <w:r w:rsidR="0022127D" w:rsidRPr="00873B6C">
        <w:rPr>
          <w:lang w:eastAsia="ko-KR"/>
        </w:rPr>
        <w:t xml:space="preserve"> or SNPNs</w:t>
      </w:r>
      <w:r w:rsidRPr="00873B6C">
        <w:rPr>
          <w:lang w:eastAsia="ko-KR"/>
        </w:rPr>
        <w:t>. This is further specified in clause 6.3.12 (Trusted Non-3GPP Access Network selection).</w:t>
      </w:r>
    </w:p>
    <w:p w14:paraId="1C4B99F5" w14:textId="35642E9D" w:rsidR="00D40151" w:rsidRPr="00873B6C" w:rsidRDefault="00D40151" w:rsidP="00D40151">
      <w:pPr>
        <w:rPr>
          <w:lang w:eastAsia="ko-KR"/>
        </w:rPr>
      </w:pPr>
      <w:r w:rsidRPr="00873B6C">
        <w:rPr>
          <w:lang w:eastAsia="ko-KR"/>
        </w:rPr>
        <w:t>The UE decides to use trusted or untrusted non-3GPP access for connecting to a 5G PLMN</w:t>
      </w:r>
      <w:r w:rsidR="0022127D" w:rsidRPr="00873B6C">
        <w:rPr>
          <w:lang w:eastAsia="ko-KR"/>
        </w:rPr>
        <w:t xml:space="preserve"> or SNPNs</w:t>
      </w:r>
      <w:r w:rsidRPr="00873B6C">
        <w:rPr>
          <w:lang w:eastAsia="ko-KR"/>
        </w:rPr>
        <w:t xml:space="preserve"> by using procedures not specified in this document. Examples of such procedures are defined in clause 6.3.12.1.</w:t>
      </w:r>
    </w:p>
    <w:p w14:paraId="1B5E0C25" w14:textId="77777777" w:rsidR="00D40151" w:rsidRPr="00873B6C" w:rsidRDefault="00D40151" w:rsidP="00D40151">
      <w:pPr>
        <w:rPr>
          <w:lang w:eastAsia="ko-KR"/>
        </w:rPr>
      </w:pPr>
      <w:r w:rsidRPr="00873B6C">
        <w:rPr>
          <w:lang w:eastAsia="ko-KR"/>
        </w:rPr>
        <w:t>When the UE decides to use untrusted non-3GPP access to connect to a 5G Core Network in a PLMN:</w:t>
      </w:r>
    </w:p>
    <w:p w14:paraId="0204AD81" w14:textId="77777777" w:rsidR="00D40151" w:rsidRPr="00873B6C" w:rsidRDefault="00D40151" w:rsidP="00D40151">
      <w:pPr>
        <w:pStyle w:val="B1"/>
        <w:rPr>
          <w:lang w:eastAsia="ko-KR"/>
        </w:rPr>
      </w:pPr>
      <w:r w:rsidRPr="00873B6C">
        <w:rPr>
          <w:lang w:eastAsia="ko-KR"/>
        </w:rPr>
        <w:t>-</w:t>
      </w:r>
      <w:r w:rsidRPr="00873B6C">
        <w:rPr>
          <w:lang w:eastAsia="ko-KR"/>
        </w:rPr>
        <w:tab/>
        <w:t>the UE first selects and connects with a non-3GPP access network; and then</w:t>
      </w:r>
    </w:p>
    <w:p w14:paraId="0880DAF9" w14:textId="220C0130" w:rsidR="00D40151" w:rsidRPr="00873B6C" w:rsidRDefault="00D40151" w:rsidP="00D40151">
      <w:pPr>
        <w:pStyle w:val="B1"/>
        <w:rPr>
          <w:lang w:eastAsia="ko-KR"/>
        </w:rPr>
      </w:pPr>
      <w:r w:rsidRPr="00873B6C">
        <w:rPr>
          <w:lang w:eastAsia="ko-KR"/>
        </w:rPr>
        <w:lastRenderedPageBreak/>
        <w:t>-</w:t>
      </w:r>
      <w:r w:rsidRPr="00873B6C">
        <w:rPr>
          <w:lang w:eastAsia="ko-KR"/>
        </w:rPr>
        <w:tab/>
        <w:t>the UE selects a PLMN</w:t>
      </w:r>
      <w:r w:rsidR="0022127D" w:rsidRPr="00873B6C">
        <w:rPr>
          <w:lang w:eastAsia="ko-KR"/>
        </w:rPr>
        <w:t>/SNPN</w:t>
      </w:r>
      <w:r w:rsidRPr="00873B6C">
        <w:rPr>
          <w:lang w:eastAsia="ko-KR"/>
        </w:rPr>
        <w:t xml:space="preserve"> and an N3IWF in this PLMN</w:t>
      </w:r>
      <w:r w:rsidR="0022127D" w:rsidRPr="00873B6C">
        <w:rPr>
          <w:lang w:eastAsia="ko-KR"/>
        </w:rPr>
        <w:t>/SNPN</w:t>
      </w:r>
      <w:r w:rsidRPr="00873B6C">
        <w:rPr>
          <w:lang w:eastAsia="ko-KR"/>
        </w:rPr>
        <w:t>. The PLMN</w:t>
      </w:r>
      <w:r w:rsidR="0022127D" w:rsidRPr="00873B6C">
        <w:rPr>
          <w:lang w:eastAsia="ko-KR"/>
        </w:rPr>
        <w:t>/SNPN</w:t>
      </w:r>
      <w:r w:rsidRPr="00873B6C">
        <w:rPr>
          <w:lang w:eastAsia="ko-KR"/>
        </w:rPr>
        <w:t>/N3IWF selection and the non-3GPP access network selection are independent. The N3IWF selection is defined in clause 6.3.6.</w:t>
      </w:r>
    </w:p>
    <w:p w14:paraId="525D4346" w14:textId="77777777" w:rsidR="00D40151" w:rsidRPr="00873B6C" w:rsidRDefault="00D40151" w:rsidP="00D40151">
      <w:pPr>
        <w:rPr>
          <w:lang w:eastAsia="ko-KR"/>
        </w:rPr>
      </w:pPr>
      <w:r w:rsidRPr="00873B6C">
        <w:rPr>
          <w:lang w:eastAsia="ko-KR"/>
        </w:rPr>
        <w:t>When the UE decides to use trusted non-3GPP access to connect to a 5G Core Network in a PLMN:</w:t>
      </w:r>
    </w:p>
    <w:p w14:paraId="5EEAA378" w14:textId="6D32B9AE" w:rsidR="00D40151" w:rsidRPr="00873B6C" w:rsidRDefault="00D40151" w:rsidP="00D40151">
      <w:pPr>
        <w:pStyle w:val="B1"/>
        <w:rPr>
          <w:lang w:eastAsia="ko-KR"/>
        </w:rPr>
      </w:pPr>
      <w:r w:rsidRPr="00873B6C">
        <w:rPr>
          <w:lang w:eastAsia="ko-KR"/>
        </w:rPr>
        <w:t>-</w:t>
      </w:r>
      <w:r w:rsidRPr="00873B6C">
        <w:rPr>
          <w:lang w:eastAsia="ko-KR"/>
        </w:rPr>
        <w:tab/>
        <w:t>the UE first selects a PLMN</w:t>
      </w:r>
      <w:r w:rsidR="0022127D" w:rsidRPr="00873B6C">
        <w:rPr>
          <w:lang w:eastAsia="ko-KR"/>
        </w:rPr>
        <w:t>/SNPN</w:t>
      </w:r>
      <w:r w:rsidRPr="00873B6C">
        <w:rPr>
          <w:lang w:eastAsia="ko-KR"/>
        </w:rPr>
        <w:t>; and then</w:t>
      </w:r>
    </w:p>
    <w:p w14:paraId="6A8E1559" w14:textId="7026383E" w:rsidR="00D40151" w:rsidRPr="00873B6C" w:rsidRDefault="00D40151" w:rsidP="00D40151">
      <w:pPr>
        <w:pStyle w:val="B1"/>
        <w:rPr>
          <w:lang w:eastAsia="ko-KR"/>
        </w:rPr>
      </w:pPr>
      <w:r w:rsidRPr="00873B6C">
        <w:rPr>
          <w:lang w:eastAsia="ko-KR"/>
        </w:rPr>
        <w:t>-</w:t>
      </w:r>
      <w:r w:rsidRPr="00873B6C">
        <w:rPr>
          <w:lang w:eastAsia="ko-KR"/>
        </w:rPr>
        <w:tab/>
        <w:t>the UE selects a non-3GPP access network (a TNAN) that supports trusted connectivity to the selected PLMN</w:t>
      </w:r>
      <w:r w:rsidR="0022127D" w:rsidRPr="00873B6C">
        <w:rPr>
          <w:lang w:eastAsia="ko-KR"/>
        </w:rPr>
        <w:t>/SNPN</w:t>
      </w:r>
      <w:r w:rsidRPr="00873B6C">
        <w:rPr>
          <w:lang w:eastAsia="ko-KR"/>
        </w:rPr>
        <w:t>. In this case, the non-3GPP access network selection is affected by the PLMN</w:t>
      </w:r>
      <w:r w:rsidR="0022127D" w:rsidRPr="00873B6C">
        <w:rPr>
          <w:lang w:eastAsia="ko-KR"/>
        </w:rPr>
        <w:t>/SNPN</w:t>
      </w:r>
      <w:r w:rsidRPr="00873B6C">
        <w:rPr>
          <w:lang w:eastAsia="ko-KR"/>
        </w:rPr>
        <w:t xml:space="preserve"> selection.</w:t>
      </w:r>
    </w:p>
    <w:p w14:paraId="67D5E09B" w14:textId="77777777" w:rsidR="00D40151" w:rsidRPr="00873B6C" w:rsidRDefault="00D40151" w:rsidP="00D40151">
      <w:pPr>
        <w:rPr>
          <w:lang w:eastAsia="ko-KR"/>
        </w:rPr>
      </w:pPr>
      <w:r w:rsidRPr="00873B6C">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873B6C" w:rsidRDefault="00D40151" w:rsidP="00D40151">
      <w:pPr>
        <w:rPr>
          <w:rFonts w:eastAsia="Malgun Gothic"/>
          <w:lang w:eastAsia="ko-KR"/>
        </w:rPr>
      </w:pPr>
      <w:r w:rsidRPr="00873B6C">
        <w:rPr>
          <w:lang w:eastAsia="ko-KR"/>
        </w:rPr>
        <w:t xml:space="preserve">When a UE is connected via a NG-RAN and via a non-3GPP access, multiple N1 instances shall exist for the UE i.e. there shall be one N1 instance over NG-RAN and one N1 instance </w:t>
      </w:r>
      <w:r w:rsidRPr="00873B6C">
        <w:rPr>
          <w:rFonts w:eastAsia="Malgun Gothic"/>
          <w:lang w:eastAsia="ko-KR"/>
        </w:rPr>
        <w:t>over</w:t>
      </w:r>
      <w:r w:rsidRPr="00873B6C">
        <w:rPr>
          <w:lang w:eastAsia="ko-KR"/>
        </w:rPr>
        <w:t xml:space="preserve"> non-3GPP access.</w:t>
      </w:r>
    </w:p>
    <w:p w14:paraId="60A079E5" w14:textId="33F9C73B" w:rsidR="00D40151" w:rsidRPr="00873B6C" w:rsidRDefault="00D40151" w:rsidP="00D40151">
      <w:pPr>
        <w:rPr>
          <w:lang w:eastAsia="ko-KR"/>
        </w:rPr>
      </w:pPr>
      <w:r w:rsidRPr="00873B6C">
        <w:rPr>
          <w:lang w:eastAsia="ko-KR"/>
        </w:rPr>
        <w:t>A UE simultaneously connected to the same 5G Core Network of a PLMN</w:t>
      </w:r>
      <w:r w:rsidR="0022127D" w:rsidRPr="00873B6C">
        <w:rPr>
          <w:lang w:eastAsia="ko-KR"/>
        </w:rPr>
        <w:t>/SNPN</w:t>
      </w:r>
      <w:r w:rsidRPr="00873B6C">
        <w:rPr>
          <w:lang w:eastAsia="ko-KR"/>
        </w:rPr>
        <w:t xml:space="preserve"> over a 3GPP access and a non-3GPP access shall be served by a single AMF in this 5G Core Network.</w:t>
      </w:r>
    </w:p>
    <w:p w14:paraId="07713B3C" w14:textId="77777777" w:rsidR="00D40151" w:rsidRPr="00873B6C" w:rsidRDefault="00D40151" w:rsidP="00D40151">
      <w:r w:rsidRPr="00873B6C">
        <w:rPr>
          <w:lang w:eastAsia="ko-KR"/>
        </w:rPr>
        <w:t xml:space="preserve">When a UE is connected to a 3GPP access of a PLMN, </w:t>
      </w:r>
      <w:r w:rsidRPr="00873B6C">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873B6C" w:rsidRDefault="00824EE1" w:rsidP="00461850">
      <w:pPr>
        <w:pStyle w:val="NO"/>
        <w:rPr>
          <w:lang w:eastAsia="ko-KR"/>
        </w:rPr>
      </w:pPr>
      <w:r w:rsidRPr="00873B6C">
        <w:rPr>
          <w:lang w:eastAsia="ko-KR"/>
        </w:rPr>
        <w:t>NOTE:</w:t>
      </w:r>
      <w:r w:rsidRPr="00873B6C">
        <w:rPr>
          <w:lang w:eastAsia="ko-KR"/>
        </w:rPr>
        <w:tab/>
        <w:t>The registrations with different PLMNs over different Access Types doesn't apply to UE registered for Disaster Roaming service as described in the clause 5.40.</w:t>
      </w:r>
    </w:p>
    <w:p w14:paraId="1DFA15A3" w14:textId="00AC0C2A" w:rsidR="00D40151" w:rsidRPr="00873B6C" w:rsidRDefault="00D40151" w:rsidP="00D40151">
      <w:pPr>
        <w:rPr>
          <w:rFonts w:eastAsia="Malgun Gothic"/>
          <w:lang w:eastAsia="ko-KR"/>
        </w:rPr>
      </w:pPr>
      <w:r w:rsidRPr="00873B6C">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0D7D94" w:rsidR="00D40151" w:rsidRPr="00873B6C" w:rsidRDefault="00D40151" w:rsidP="00D40151">
      <w:pPr>
        <w:rPr>
          <w:rFonts w:eastAsia="Malgun Gothic"/>
          <w:lang w:eastAsia="ko-KR"/>
        </w:rPr>
      </w:pPr>
      <w:r w:rsidRPr="00873B6C">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873B6C">
        <w:rPr>
          <w:lang w:eastAsia="zh-CN"/>
        </w:rPr>
        <w:t xml:space="preserve">4.12.2 and in clause 4.12.2a </w:t>
      </w:r>
      <w:r w:rsidR="00960CDA" w:rsidRPr="00873B6C">
        <w:rPr>
          <w:lang w:eastAsia="zh-CN"/>
        </w:rPr>
        <w:t>of</w:t>
      </w:r>
      <w:r w:rsidRPr="00873B6C">
        <w:rPr>
          <w:lang w:eastAsia="zh-CN"/>
        </w:rPr>
        <w:t xml:space="preserve"> </w:t>
      </w:r>
      <w:r w:rsidR="00972E70" w:rsidRPr="00873B6C">
        <w:rPr>
          <w:lang w:eastAsia="zh-CN"/>
        </w:rPr>
        <w:t>TS 23.502 [</w:t>
      </w:r>
      <w:r w:rsidRPr="00873B6C">
        <w:rPr>
          <w:lang w:eastAsia="zh-CN"/>
        </w:rPr>
        <w:t>3], respectively</w:t>
      </w:r>
      <w:r w:rsidRPr="00873B6C">
        <w:rPr>
          <w:rFonts w:eastAsia="Malgun Gothic"/>
          <w:lang w:eastAsia="ko-KR"/>
        </w:rPr>
        <w:t>.</w:t>
      </w:r>
    </w:p>
    <w:p w14:paraId="5036D55C" w14:textId="77777777" w:rsidR="00D40151" w:rsidRPr="00873B6C" w:rsidRDefault="00D40151" w:rsidP="00D40151">
      <w:pPr>
        <w:rPr>
          <w:rFonts w:eastAsia="Malgun Gothic"/>
          <w:lang w:eastAsia="ko-KR"/>
        </w:rPr>
      </w:pPr>
      <w:r w:rsidRPr="00873B6C">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873B6C" w:rsidRDefault="00D40151" w:rsidP="00D40151">
      <w:pPr>
        <w:rPr>
          <w:rFonts w:eastAsia="Malgun Gothic"/>
          <w:lang w:eastAsia="ko-KR"/>
        </w:rPr>
      </w:pPr>
      <w:r w:rsidRPr="00873B6C">
        <w:rPr>
          <w:rFonts w:eastAsia="Malgun Gothic"/>
          <w:lang w:eastAsia="ko-KR"/>
        </w:rPr>
        <w:t xml:space="preserve">N1 NAS signalling </w:t>
      </w:r>
      <w:r w:rsidRPr="00873B6C">
        <w:rPr>
          <w:lang w:eastAsia="zh-CN"/>
        </w:rPr>
        <w:t xml:space="preserve">over </w:t>
      </w:r>
      <w:r w:rsidRPr="00873B6C">
        <w:rPr>
          <w:rFonts w:eastAsia="Malgun Gothic"/>
          <w:lang w:eastAsia="ko-KR"/>
        </w:rPr>
        <w:t>non-3GPP accesses shall be protected with the same security mechanism applied for N1 over a 3GPP access.</w:t>
      </w:r>
    </w:p>
    <w:p w14:paraId="4B0D5B73" w14:textId="445607E1" w:rsidR="00D40151" w:rsidRPr="00873B6C" w:rsidRDefault="00D40151" w:rsidP="00D40151">
      <w:pPr>
        <w:rPr>
          <w:rFonts w:eastAsia="Malgun Gothic"/>
          <w:lang w:eastAsia="ko-KR"/>
        </w:rPr>
      </w:pPr>
      <w:r w:rsidRPr="00873B6C">
        <w:rPr>
          <w:rFonts w:eastAsia="MS Mincho"/>
        </w:rPr>
        <w:t>User plane QoS differentiation between UE and N3IWF is supported as described in clause 5.7 and</w:t>
      </w:r>
      <w:r w:rsidR="00D602DF" w:rsidRPr="00873B6C">
        <w:rPr>
          <w:rFonts w:eastAsia="MS Mincho"/>
        </w:rPr>
        <w:t xml:space="preserve"> clause 4.12.5</w:t>
      </w:r>
      <w:r w:rsidRPr="00873B6C">
        <w:rPr>
          <w:rFonts w:eastAsia="MS Mincho"/>
        </w:rPr>
        <w:t xml:space="preserve"> </w:t>
      </w:r>
      <w:r w:rsidR="00D602DF" w:rsidRPr="00873B6C">
        <w:t>of</w:t>
      </w:r>
      <w:r w:rsidR="00D602DF" w:rsidRPr="00873B6C">
        <w:rPr>
          <w:rFonts w:eastAsia="MS Mincho"/>
        </w:rPr>
        <w:t xml:space="preserve"> </w:t>
      </w:r>
      <w:r w:rsidR="00972E70" w:rsidRPr="00873B6C">
        <w:rPr>
          <w:rFonts w:eastAsia="MS Mincho"/>
        </w:rPr>
        <w:t>TS 23.502 [</w:t>
      </w:r>
      <w:r w:rsidRPr="00873B6C">
        <w:rPr>
          <w:rFonts w:eastAsia="MS Mincho"/>
        </w:rPr>
        <w:t>3]. QoS differentiation between UE and TNGF is supported as described in clause 5.7 and</w:t>
      </w:r>
      <w:r w:rsidR="00D602DF" w:rsidRPr="00873B6C">
        <w:rPr>
          <w:rFonts w:eastAsia="MS Mincho"/>
        </w:rPr>
        <w:t xml:space="preserve"> clause 4.12a.5</w:t>
      </w:r>
      <w:r w:rsidRPr="00873B6C">
        <w:rPr>
          <w:rFonts w:eastAsia="MS Mincho"/>
        </w:rPr>
        <w:t xml:space="preserve"> </w:t>
      </w:r>
      <w:r w:rsidR="00D602DF" w:rsidRPr="00873B6C">
        <w:t>of</w:t>
      </w:r>
      <w:r w:rsidR="00D602DF" w:rsidRPr="00873B6C">
        <w:rPr>
          <w:rFonts w:eastAsia="MS Mincho"/>
        </w:rPr>
        <w:t xml:space="preserve"> </w:t>
      </w:r>
      <w:r w:rsidR="00972E70" w:rsidRPr="00873B6C">
        <w:rPr>
          <w:rFonts w:eastAsia="MS Mincho"/>
        </w:rPr>
        <w:t>TS 23.502 [</w:t>
      </w:r>
      <w:r w:rsidRPr="00873B6C">
        <w:rPr>
          <w:rFonts w:eastAsia="MS Mincho"/>
        </w:rPr>
        <w:t>3].</w:t>
      </w:r>
    </w:p>
    <w:p w14:paraId="5A7A2118" w14:textId="77777777" w:rsidR="00D40151" w:rsidRPr="00873B6C" w:rsidRDefault="00D40151" w:rsidP="00D40151">
      <w:pPr>
        <w:pStyle w:val="Heading4"/>
      </w:pPr>
      <w:bookmarkStart w:id="186" w:name="_CR4_2_8_1A"/>
      <w:bookmarkStart w:id="187" w:name="_Toc20149642"/>
      <w:bookmarkStart w:id="188" w:name="_Toc27846433"/>
      <w:bookmarkStart w:id="189" w:name="_Toc36187557"/>
      <w:bookmarkStart w:id="190" w:name="_Toc45183461"/>
      <w:bookmarkStart w:id="191" w:name="_Toc47342303"/>
      <w:bookmarkStart w:id="192" w:name="_Toc51769001"/>
      <w:bookmarkStart w:id="193" w:name="_Toc201156914"/>
      <w:bookmarkEnd w:id="186"/>
      <w:r w:rsidRPr="00873B6C">
        <w:t>4.2.8.1A</w:t>
      </w:r>
      <w:r w:rsidRPr="00873B6C">
        <w:tab/>
        <w:t>General Concepts to support Wireline Access</w:t>
      </w:r>
      <w:bookmarkEnd w:id="187"/>
      <w:bookmarkEnd w:id="188"/>
      <w:bookmarkEnd w:id="189"/>
      <w:bookmarkEnd w:id="190"/>
      <w:bookmarkEnd w:id="191"/>
      <w:bookmarkEnd w:id="192"/>
      <w:bookmarkEnd w:id="193"/>
    </w:p>
    <w:p w14:paraId="1A547927" w14:textId="77777777" w:rsidR="00D40151" w:rsidRPr="00873B6C" w:rsidRDefault="00D40151" w:rsidP="00D40151">
      <w:pPr>
        <w:rPr>
          <w:lang w:eastAsia="x-none"/>
        </w:rPr>
      </w:pPr>
      <w:r w:rsidRPr="00873B6C">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1FD2E965" w:rsidR="00D40151" w:rsidRPr="00873B6C" w:rsidRDefault="00D40151" w:rsidP="00D40151">
      <w:pPr>
        <w:rPr>
          <w:lang w:eastAsia="x-none"/>
        </w:rPr>
      </w:pPr>
      <w:r w:rsidRPr="00873B6C">
        <w:rPr>
          <w:lang w:eastAsia="x-none"/>
        </w:rPr>
        <w:t xml:space="preserve">For the scenario of 5G-RG connected via NG RAN the specification for UE defined in this TS, </w:t>
      </w:r>
      <w:r w:rsidR="00972E70" w:rsidRPr="00873B6C">
        <w:rPr>
          <w:lang w:eastAsia="x-none"/>
        </w:rPr>
        <w:t>TS 23.502 [</w:t>
      </w:r>
      <w:r w:rsidRPr="00873B6C">
        <w:rPr>
          <w:lang w:eastAsia="x-none"/>
        </w:rPr>
        <w:t xml:space="preserve">3] and </w:t>
      </w:r>
      <w:r w:rsidR="00972E70" w:rsidRPr="00873B6C">
        <w:rPr>
          <w:lang w:eastAsia="x-none"/>
        </w:rPr>
        <w:t>TS 23.503 [</w:t>
      </w:r>
      <w:r w:rsidRPr="00873B6C">
        <w:rPr>
          <w:lang w:eastAsia="x-none"/>
        </w:rPr>
        <w:t xml:space="preserve">45] are applicable as defined for UE connected to 5GC via NG RAN unless differently specified in this TS and in </w:t>
      </w:r>
      <w:r w:rsidR="00972E70" w:rsidRPr="00873B6C">
        <w:rPr>
          <w:lang w:eastAsia="x-none"/>
        </w:rPr>
        <w:t>TS 23.316 [</w:t>
      </w:r>
      <w:r w:rsidRPr="00873B6C">
        <w:rPr>
          <w:lang w:eastAsia="x-none"/>
        </w:rPr>
        <w:t>84].</w:t>
      </w:r>
    </w:p>
    <w:p w14:paraId="0262A929" w14:textId="77777777" w:rsidR="00D40151" w:rsidRPr="00873B6C" w:rsidRDefault="00D40151" w:rsidP="00D40151">
      <w:pPr>
        <w:rPr>
          <w:lang w:eastAsia="x-none"/>
        </w:rPr>
      </w:pPr>
      <w:r w:rsidRPr="00873B6C">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873B6C" w:rsidRDefault="00D40151" w:rsidP="00D40151">
      <w:pPr>
        <w:rPr>
          <w:lang w:eastAsia="x-none"/>
        </w:rPr>
      </w:pPr>
      <w:r w:rsidRPr="00873B6C">
        <w:rPr>
          <w:lang w:eastAsia="x-none"/>
        </w:rPr>
        <w:t>A 5G-RG simultaneously connected to the same 5G Core Network of a PLMN over a 3GPP access and a W-5GAN access shall be served by a single AMF in this 5G Core Network.</w:t>
      </w:r>
    </w:p>
    <w:p w14:paraId="09F19AAE" w14:textId="77777777" w:rsidR="00D40151" w:rsidRPr="00873B6C" w:rsidRDefault="00D40151" w:rsidP="00D40151">
      <w:pPr>
        <w:rPr>
          <w:lang w:eastAsia="x-none"/>
        </w:rPr>
      </w:pPr>
      <w:r w:rsidRPr="00873B6C">
        <w:rPr>
          <w:lang w:eastAsia="x-none"/>
        </w:rPr>
        <w:t>5G-RG shall maintain the NAS signalling connection with the AMF over the W-5GAN after all the PDU Sessions for the 5G-RG over that access have been released or handed over to 3GPP access.</w:t>
      </w:r>
    </w:p>
    <w:p w14:paraId="14C7CB6C" w14:textId="6F2D8550" w:rsidR="00D40151" w:rsidRPr="00873B6C" w:rsidRDefault="00D40151" w:rsidP="00D40151">
      <w:pPr>
        <w:rPr>
          <w:lang w:eastAsia="x-none"/>
        </w:rPr>
      </w:pPr>
      <w:r w:rsidRPr="00873B6C">
        <w:rPr>
          <w:lang w:eastAsia="x-none"/>
        </w:rPr>
        <w:lastRenderedPageBreak/>
        <w:t xml:space="preserve">The 5G-RG connected to 5GC via NG-RAN is specified in </w:t>
      </w:r>
      <w:r w:rsidR="00972E70" w:rsidRPr="00873B6C">
        <w:rPr>
          <w:lang w:eastAsia="x-none"/>
        </w:rPr>
        <w:t>TS 23.316 [</w:t>
      </w:r>
      <w:r w:rsidRPr="00873B6C">
        <w:rPr>
          <w:lang w:eastAsia="x-none"/>
        </w:rPr>
        <w:t>84].</w:t>
      </w:r>
    </w:p>
    <w:p w14:paraId="4FD3A947" w14:textId="77777777" w:rsidR="00D40151" w:rsidRPr="00873B6C" w:rsidRDefault="00D40151" w:rsidP="00D40151">
      <w:pPr>
        <w:rPr>
          <w:lang w:eastAsia="x-none"/>
        </w:rPr>
      </w:pPr>
      <w:r w:rsidRPr="00873B6C">
        <w:rPr>
          <w:lang w:eastAsia="x-none"/>
        </w:rPr>
        <w:t>For the scenario of FN-RG, which is not 5G capable, connected via W-5GAN to 5GC, the W-AGF provides the N1 interface to AMF on behalf of the FN-RG.</w:t>
      </w:r>
    </w:p>
    <w:p w14:paraId="0611E7BB" w14:textId="53DF84D3" w:rsidR="00D40151" w:rsidRPr="00873B6C" w:rsidRDefault="00D40151" w:rsidP="00D40151">
      <w:pPr>
        <w:rPr>
          <w:lang w:eastAsia="x-none"/>
        </w:rPr>
      </w:pPr>
      <w:r w:rsidRPr="00873B6C">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972E70" w:rsidRPr="00873B6C">
        <w:rPr>
          <w:lang w:eastAsia="x-none"/>
        </w:rPr>
        <w:t>TS 23.316 [</w:t>
      </w:r>
      <w:r w:rsidRPr="00873B6C">
        <w:rPr>
          <w:lang w:eastAsia="x-none"/>
        </w:rPr>
        <w:t>84].</w:t>
      </w:r>
    </w:p>
    <w:p w14:paraId="77F3A9BA" w14:textId="77777777" w:rsidR="00D40151" w:rsidRPr="00873B6C" w:rsidRDefault="00D40151" w:rsidP="00D40151">
      <w:pPr>
        <w:rPr>
          <w:lang w:eastAsia="x-none"/>
        </w:rPr>
      </w:pPr>
      <w:r w:rsidRPr="00873B6C">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873B6C" w:rsidRDefault="00D40151" w:rsidP="00D40151">
      <w:r w:rsidRPr="00873B6C">
        <w:t>5G Multi-Operator Core Network (5G MOCN) is supported for 5G-RG connected via NG RAN as defined in clause 5.18</w:t>
      </w:r>
    </w:p>
    <w:p w14:paraId="316086A1" w14:textId="77777777" w:rsidR="00D40151" w:rsidRPr="00873B6C" w:rsidRDefault="00D40151" w:rsidP="00D40151">
      <w:pPr>
        <w:pStyle w:val="Heading4"/>
        <w:rPr>
          <w:lang w:eastAsia="ko-KR"/>
        </w:rPr>
      </w:pPr>
      <w:bookmarkStart w:id="194" w:name="_CR4_2_8_2"/>
      <w:bookmarkStart w:id="195" w:name="_Toc20149643"/>
      <w:bookmarkStart w:id="196" w:name="_Toc27846434"/>
      <w:bookmarkStart w:id="197" w:name="_Toc36187558"/>
      <w:bookmarkStart w:id="198" w:name="_Toc45183462"/>
      <w:bookmarkStart w:id="199" w:name="_Toc47342304"/>
      <w:bookmarkStart w:id="200" w:name="_Toc51769002"/>
      <w:bookmarkStart w:id="201" w:name="_Toc201156915"/>
      <w:bookmarkEnd w:id="194"/>
      <w:r w:rsidRPr="00873B6C">
        <w:t>4.2.8.2</w:t>
      </w:r>
      <w:r w:rsidRPr="00873B6C">
        <w:tab/>
      </w:r>
      <w:r w:rsidRPr="00873B6C">
        <w:rPr>
          <w:lang w:eastAsia="ko-KR"/>
        </w:rPr>
        <w:t>Architecture Reference Model for Trusted and Untrusted Non-3GPP Accesses</w:t>
      </w:r>
      <w:bookmarkEnd w:id="195"/>
      <w:bookmarkEnd w:id="196"/>
      <w:bookmarkEnd w:id="197"/>
      <w:bookmarkEnd w:id="198"/>
      <w:bookmarkEnd w:id="199"/>
      <w:bookmarkEnd w:id="200"/>
      <w:bookmarkEnd w:id="201"/>
    </w:p>
    <w:p w14:paraId="5F1997EB" w14:textId="77777777" w:rsidR="00D40151" w:rsidRPr="00873B6C" w:rsidRDefault="00D40151" w:rsidP="00D40151">
      <w:pPr>
        <w:pStyle w:val="Heading5"/>
      </w:pPr>
      <w:bookmarkStart w:id="202" w:name="_CR4_2_8_2_1"/>
      <w:bookmarkStart w:id="203" w:name="_Toc20149644"/>
      <w:bookmarkStart w:id="204" w:name="_Toc27846435"/>
      <w:bookmarkStart w:id="205" w:name="_Toc36187559"/>
      <w:bookmarkStart w:id="206" w:name="_Toc45183463"/>
      <w:bookmarkStart w:id="207" w:name="_Toc47342305"/>
      <w:bookmarkStart w:id="208" w:name="_Toc51769003"/>
      <w:bookmarkStart w:id="209" w:name="_Toc201156916"/>
      <w:bookmarkEnd w:id="202"/>
      <w:r w:rsidRPr="00873B6C">
        <w:t>4.2.8.2.1</w:t>
      </w:r>
      <w:r w:rsidRPr="00873B6C">
        <w:tab/>
        <w:t>Non-roaming Architecture</w:t>
      </w:r>
      <w:bookmarkEnd w:id="203"/>
      <w:bookmarkEnd w:id="204"/>
      <w:bookmarkEnd w:id="205"/>
      <w:bookmarkEnd w:id="206"/>
      <w:bookmarkEnd w:id="207"/>
      <w:bookmarkEnd w:id="208"/>
      <w:bookmarkEnd w:id="209"/>
    </w:p>
    <w:p w14:paraId="73E5EC82" w14:textId="77777777" w:rsidR="00D40151" w:rsidRPr="00873B6C" w:rsidRDefault="00D40151" w:rsidP="00D40151">
      <w:pPr>
        <w:pStyle w:val="TH"/>
      </w:pPr>
      <w:r w:rsidRPr="00873B6C">
        <w:object w:dxaOrig="11593" w:dyaOrig="4660" w14:anchorId="18E8A0E4">
          <v:shape id="_x0000_i1042" type="#_x0000_t75" style="width:481.45pt;height:193.45pt" o:ole="">
            <v:imagedata r:id="rId43" o:title=""/>
          </v:shape>
          <o:OLEObject Type="Embed" ProgID="Visio.Drawing.11" ShapeID="_x0000_i1042" DrawAspect="Content" ObjectID="_1811772376" r:id="rId44"/>
        </w:object>
      </w:r>
    </w:p>
    <w:p w14:paraId="56AF24C5" w14:textId="77777777" w:rsidR="00D40151" w:rsidRPr="00873B6C" w:rsidRDefault="00D40151" w:rsidP="00D40151">
      <w:pPr>
        <w:pStyle w:val="TF"/>
        <w:rPr>
          <w:rFonts w:eastAsia="MS Mincho"/>
          <w:iCs/>
        </w:rPr>
      </w:pPr>
      <w:bookmarkStart w:id="210" w:name="_CRFigure4_2_8_2_11"/>
      <w:r w:rsidRPr="00873B6C">
        <w:t xml:space="preserve">Figure </w:t>
      </w:r>
      <w:bookmarkEnd w:id="210"/>
      <w:r w:rsidRPr="00873B6C">
        <w:t>4.2.8.2.1-1: Non-</w:t>
      </w:r>
      <w:r w:rsidRPr="00873B6C">
        <w:rPr>
          <w:rFonts w:eastAsia="Malgun Gothic"/>
          <w:lang w:eastAsia="ko-KR"/>
        </w:rPr>
        <w:t>r</w:t>
      </w:r>
      <w:r w:rsidRPr="00873B6C">
        <w:t xml:space="preserve">oaming </w:t>
      </w:r>
      <w:r w:rsidRPr="00873B6C">
        <w:rPr>
          <w:rFonts w:eastAsia="Malgun Gothic"/>
          <w:lang w:eastAsia="ko-KR"/>
        </w:rPr>
        <w:t>a</w:t>
      </w:r>
      <w:r w:rsidRPr="00873B6C">
        <w:t xml:space="preserve">rchitecture for </w:t>
      </w:r>
      <w:r w:rsidRPr="00873B6C">
        <w:rPr>
          <w:iCs/>
        </w:rPr>
        <w:t xml:space="preserve">5G </w:t>
      </w:r>
      <w:r w:rsidRPr="00873B6C">
        <w:rPr>
          <w:rFonts w:eastAsia="Malgun Gothic"/>
          <w:iCs/>
          <w:lang w:eastAsia="ko-KR"/>
        </w:rPr>
        <w:t>C</w:t>
      </w:r>
      <w:r w:rsidRPr="00873B6C">
        <w:rPr>
          <w:iCs/>
        </w:rPr>
        <w:t xml:space="preserve">ore </w:t>
      </w:r>
      <w:r w:rsidRPr="00873B6C">
        <w:rPr>
          <w:rFonts w:eastAsia="Malgun Gothic"/>
          <w:iCs/>
          <w:lang w:eastAsia="ko-KR"/>
        </w:rPr>
        <w:t>N</w:t>
      </w:r>
      <w:r w:rsidRPr="00873B6C">
        <w:rPr>
          <w:iCs/>
        </w:rPr>
        <w:t xml:space="preserve">etwork with untrusted </w:t>
      </w:r>
      <w:r w:rsidRPr="00873B6C">
        <w:rPr>
          <w:rFonts w:eastAsia="Malgun Gothic"/>
          <w:iCs/>
          <w:lang w:eastAsia="ko-KR"/>
        </w:rPr>
        <w:t>n</w:t>
      </w:r>
      <w:r w:rsidRPr="00873B6C">
        <w:rPr>
          <w:iCs/>
        </w:rPr>
        <w:t xml:space="preserve">on-3GPP </w:t>
      </w:r>
      <w:r w:rsidRPr="00873B6C">
        <w:rPr>
          <w:rFonts w:eastAsia="Malgun Gothic"/>
          <w:iCs/>
          <w:lang w:eastAsia="ko-KR"/>
        </w:rPr>
        <w:t>a</w:t>
      </w:r>
      <w:r w:rsidRPr="00873B6C">
        <w:rPr>
          <w:iCs/>
        </w:rPr>
        <w:t>ccess</w:t>
      </w:r>
    </w:p>
    <w:p w14:paraId="182288FD" w14:textId="77777777" w:rsidR="00D40151" w:rsidRPr="00873B6C" w:rsidRDefault="00D40151" w:rsidP="00D40151">
      <w:pPr>
        <w:pStyle w:val="TH"/>
      </w:pPr>
      <w:r w:rsidRPr="00873B6C">
        <w:object w:dxaOrig="10166" w:dyaOrig="5396" w14:anchorId="2F70FC35">
          <v:shape id="_x0000_i1043" type="#_x0000_t75" style="width:446.4pt;height:234.15pt" o:ole="">
            <v:imagedata r:id="rId45" o:title=""/>
          </v:shape>
          <o:OLEObject Type="Embed" ProgID="Visio.Drawing.11" ShapeID="_x0000_i1043" DrawAspect="Content" ObjectID="_1811772377" r:id="rId46"/>
        </w:object>
      </w:r>
    </w:p>
    <w:p w14:paraId="7FEE0934" w14:textId="77777777" w:rsidR="00D40151" w:rsidRPr="00873B6C" w:rsidRDefault="00D40151" w:rsidP="00D40151">
      <w:pPr>
        <w:pStyle w:val="TF"/>
        <w:rPr>
          <w:rFonts w:eastAsia="MS Mincho"/>
          <w:iCs/>
        </w:rPr>
      </w:pPr>
      <w:bookmarkStart w:id="211" w:name="_CRFigure4_2_8_2_12"/>
      <w:r w:rsidRPr="00873B6C">
        <w:rPr>
          <w:rFonts w:eastAsia="MS Mincho"/>
          <w:iCs/>
        </w:rPr>
        <w:t xml:space="preserve">Figure </w:t>
      </w:r>
      <w:bookmarkEnd w:id="211"/>
      <w:r w:rsidRPr="00873B6C">
        <w:rPr>
          <w:rFonts w:eastAsia="MS Mincho"/>
          <w:iCs/>
        </w:rPr>
        <w:t>4.2.8.2.1-2: Non-roaming architecture for 5G Core Network with trusted non-3GPP access</w:t>
      </w:r>
    </w:p>
    <w:p w14:paraId="69E4120A" w14:textId="3EAD3961" w:rsidR="00D40151" w:rsidRPr="00873B6C" w:rsidRDefault="00D40151" w:rsidP="00D40151">
      <w:pPr>
        <w:pStyle w:val="NO"/>
        <w:rPr>
          <w:rFonts w:eastAsia="MS Mincho"/>
        </w:rPr>
      </w:pPr>
      <w:r w:rsidRPr="00873B6C">
        <w:t>NOTE 1:</w:t>
      </w:r>
      <w:r w:rsidRPr="00873B6C">
        <w:rPr>
          <w:rFonts w:eastAsia="Malgun Gothic"/>
          <w:lang w:eastAsia="ko-KR"/>
        </w:rPr>
        <w:tab/>
      </w:r>
      <w:r w:rsidRPr="00873B6C">
        <w:t>The reference architecture in Figure 4.2.8.2.1-1 and in Figure 4.2.8.2.1-2 only shows the architecture and the network functions directly connected to non-3GPP access</w:t>
      </w:r>
      <w:r w:rsidR="00472CD7" w:rsidRPr="00873B6C">
        <w:t xml:space="preserve"> and</w:t>
      </w:r>
      <w:r w:rsidRPr="00873B6C">
        <w:t xml:space="preserve"> other parts of the architecture are the same as defined in clause 4.2.</w:t>
      </w:r>
    </w:p>
    <w:p w14:paraId="6D94F71A" w14:textId="77777777" w:rsidR="00D40151" w:rsidRPr="00873B6C" w:rsidRDefault="00D40151" w:rsidP="00D40151">
      <w:pPr>
        <w:pStyle w:val="NO"/>
      </w:pPr>
      <w:r w:rsidRPr="00873B6C">
        <w:t>NOTE 2:</w:t>
      </w:r>
      <w:r w:rsidRPr="00873B6C">
        <w:rPr>
          <w:rFonts w:eastAsia="Malgun Gothic"/>
          <w:lang w:eastAsia="ko-KR"/>
        </w:rPr>
        <w:tab/>
      </w:r>
      <w:r w:rsidRPr="00873B6C">
        <w:t>The reference architecture in Figure 4.2.8.2.1-1 and in Figure 4.2.8.2.1-2 supports service based interfaces for AMF, SMF and other NFs not represented in the figure.</w:t>
      </w:r>
    </w:p>
    <w:p w14:paraId="06D888C0" w14:textId="77777777" w:rsidR="00D40151" w:rsidRPr="00873B6C" w:rsidRDefault="00D40151" w:rsidP="00D40151">
      <w:pPr>
        <w:pStyle w:val="NO"/>
        <w:rPr>
          <w:rFonts w:eastAsia="MS Mincho"/>
        </w:rPr>
      </w:pPr>
      <w:r w:rsidRPr="00873B6C">
        <w:rPr>
          <w:lang w:eastAsia="ko-KR"/>
        </w:rPr>
        <w:t>NOTE 3:</w:t>
      </w:r>
      <w:r w:rsidRPr="00873B6C">
        <w:rPr>
          <w:rFonts w:eastAsia="Malgun Gothic"/>
          <w:lang w:eastAsia="ko-KR"/>
        </w:rPr>
        <w:tab/>
      </w:r>
      <w:r w:rsidRPr="00873B6C">
        <w:rPr>
          <w:lang w:eastAsia="ko-KR"/>
        </w:rPr>
        <w:t>The two N2 instances in Figure </w:t>
      </w:r>
      <w:r w:rsidRPr="00873B6C">
        <w:t xml:space="preserve">4.2.8.2.1-1 and in Figure 4.2.8.2.1-2 </w:t>
      </w:r>
      <w:r w:rsidRPr="00873B6C">
        <w:rPr>
          <w:lang w:eastAsia="ko-KR"/>
        </w:rPr>
        <w:t>terminate to a single AMF for a UE which is simultaneously connected to the same 5G Core Network over 3GPP access and non-3GPP access.</w:t>
      </w:r>
    </w:p>
    <w:p w14:paraId="3C02DB3B" w14:textId="77777777" w:rsidR="00D40151" w:rsidRPr="00873B6C" w:rsidRDefault="00D40151" w:rsidP="00D40151">
      <w:pPr>
        <w:pStyle w:val="NO"/>
        <w:rPr>
          <w:rFonts w:eastAsia="MS Mincho"/>
          <w:lang w:eastAsia="zh-CN"/>
        </w:rPr>
      </w:pPr>
      <w:r w:rsidRPr="00873B6C">
        <w:rPr>
          <w:lang w:eastAsia="ko-KR"/>
        </w:rPr>
        <w:t>NOTE 4</w:t>
      </w:r>
      <w:r w:rsidRPr="00873B6C">
        <w:rPr>
          <w:lang w:eastAsia="ko-KR"/>
        </w:rPr>
        <w:tab/>
        <w:t>The two N3 instances in Figure </w:t>
      </w:r>
      <w:r w:rsidRPr="00873B6C">
        <w:t xml:space="preserve">4.2.8.2.1-1 and in Figure 4.2.8.2.1-2 </w:t>
      </w:r>
      <w:r w:rsidRPr="00873B6C">
        <w:rPr>
          <w:lang w:eastAsia="ko-KR"/>
        </w:rPr>
        <w:t xml:space="preserve">may terminate to different UPFs when different PDU Sessions are established over 3GPP </w:t>
      </w:r>
      <w:r w:rsidRPr="00873B6C">
        <w:rPr>
          <w:rFonts w:eastAsia="Malgun Gothic"/>
          <w:lang w:eastAsia="ko-KR"/>
        </w:rPr>
        <w:t xml:space="preserve">access </w:t>
      </w:r>
      <w:r w:rsidRPr="00873B6C">
        <w:rPr>
          <w:lang w:eastAsia="ko-KR"/>
        </w:rPr>
        <w:t>and non</w:t>
      </w:r>
      <w:r w:rsidRPr="00873B6C">
        <w:rPr>
          <w:rFonts w:eastAsia="Malgun Gothic"/>
          <w:lang w:eastAsia="ko-KR"/>
        </w:rPr>
        <w:t>-</w:t>
      </w:r>
      <w:r w:rsidRPr="00873B6C">
        <w:rPr>
          <w:lang w:eastAsia="ko-KR"/>
        </w:rPr>
        <w:t>3GPP access</w:t>
      </w:r>
      <w:r w:rsidRPr="00873B6C">
        <w:t>.</w:t>
      </w:r>
    </w:p>
    <w:p w14:paraId="54A14A16" w14:textId="77777777" w:rsidR="00D40151" w:rsidRPr="00873B6C" w:rsidRDefault="00D40151" w:rsidP="00D40151">
      <w:pPr>
        <w:pStyle w:val="Heading5"/>
      </w:pPr>
      <w:bookmarkStart w:id="212" w:name="_CR4_2_8_2_2"/>
      <w:bookmarkStart w:id="213" w:name="_Toc20149645"/>
      <w:bookmarkStart w:id="214" w:name="_Toc27846436"/>
      <w:bookmarkStart w:id="215" w:name="_Toc36187560"/>
      <w:bookmarkStart w:id="216" w:name="_Toc45183464"/>
      <w:bookmarkStart w:id="217" w:name="_Toc47342306"/>
      <w:bookmarkStart w:id="218" w:name="_Toc51769004"/>
      <w:bookmarkStart w:id="219" w:name="_Toc201156917"/>
      <w:bookmarkEnd w:id="212"/>
      <w:r w:rsidRPr="00873B6C">
        <w:t>4.2.8.2.2</w:t>
      </w:r>
      <w:r w:rsidRPr="00873B6C">
        <w:tab/>
        <w:t xml:space="preserve">LBO </w:t>
      </w:r>
      <w:r w:rsidRPr="00873B6C">
        <w:rPr>
          <w:lang w:eastAsia="ko-KR"/>
        </w:rPr>
        <w:t>R</w:t>
      </w:r>
      <w:r w:rsidRPr="00873B6C">
        <w:t>oaming Architecture</w:t>
      </w:r>
      <w:bookmarkEnd w:id="213"/>
      <w:bookmarkEnd w:id="214"/>
      <w:bookmarkEnd w:id="215"/>
      <w:bookmarkEnd w:id="216"/>
      <w:bookmarkEnd w:id="217"/>
      <w:bookmarkEnd w:id="218"/>
      <w:bookmarkEnd w:id="219"/>
    </w:p>
    <w:p w14:paraId="4AA41E29" w14:textId="77777777" w:rsidR="00D40151" w:rsidRPr="00873B6C" w:rsidRDefault="00D40151" w:rsidP="00D40151">
      <w:pPr>
        <w:pStyle w:val="TH"/>
      </w:pPr>
      <w:r w:rsidRPr="00873B6C">
        <w:object w:dxaOrig="11593" w:dyaOrig="4660" w14:anchorId="1C884BA2">
          <v:shape id="_x0000_i1044" type="#_x0000_t75" style="width:481.45pt;height:193.45pt" o:ole="">
            <v:imagedata r:id="rId47" o:title=""/>
          </v:shape>
          <o:OLEObject Type="Embed" ProgID="Visio.Drawing.11" ShapeID="_x0000_i1044" DrawAspect="Content" ObjectID="_1811772378" r:id="rId48"/>
        </w:object>
      </w:r>
    </w:p>
    <w:p w14:paraId="1525E184" w14:textId="77777777" w:rsidR="00D40151" w:rsidRPr="00873B6C" w:rsidRDefault="00D40151" w:rsidP="00D40151">
      <w:pPr>
        <w:pStyle w:val="TF"/>
        <w:rPr>
          <w:iCs/>
        </w:rPr>
      </w:pPr>
      <w:bookmarkStart w:id="220" w:name="_CRFigure4_2_8_2_21"/>
      <w:r w:rsidRPr="00873B6C">
        <w:t xml:space="preserve">Figure </w:t>
      </w:r>
      <w:bookmarkEnd w:id="220"/>
      <w:r w:rsidRPr="00873B6C">
        <w:t xml:space="preserve">4.2.8.2.2-1: LBO Roaming </w:t>
      </w:r>
      <w:r w:rsidRPr="00873B6C">
        <w:rPr>
          <w:rFonts w:eastAsia="Malgun Gothic"/>
          <w:lang w:eastAsia="ko-KR"/>
        </w:rPr>
        <w:t>a</w:t>
      </w:r>
      <w:r w:rsidRPr="00873B6C">
        <w:t xml:space="preserve">rchitecture for </w:t>
      </w:r>
      <w:r w:rsidRPr="00873B6C">
        <w:rPr>
          <w:iCs/>
        </w:rPr>
        <w:t xml:space="preserve">5G </w:t>
      </w:r>
      <w:r w:rsidRPr="00873B6C">
        <w:rPr>
          <w:rFonts w:eastAsia="Malgun Gothic"/>
          <w:iCs/>
          <w:lang w:eastAsia="ko-KR"/>
        </w:rPr>
        <w:t>C</w:t>
      </w:r>
      <w:r w:rsidRPr="00873B6C">
        <w:rPr>
          <w:iCs/>
        </w:rPr>
        <w:t xml:space="preserve">ore </w:t>
      </w:r>
      <w:r w:rsidRPr="00873B6C">
        <w:rPr>
          <w:rFonts w:eastAsia="Malgun Gothic"/>
          <w:iCs/>
          <w:lang w:eastAsia="ko-KR"/>
        </w:rPr>
        <w:t>N</w:t>
      </w:r>
      <w:r w:rsidRPr="00873B6C">
        <w:rPr>
          <w:iCs/>
        </w:rPr>
        <w:t xml:space="preserve">etwork with untrusted </w:t>
      </w:r>
      <w:r w:rsidRPr="00873B6C">
        <w:rPr>
          <w:rFonts w:eastAsia="Malgun Gothic"/>
          <w:iCs/>
          <w:lang w:eastAsia="ko-KR"/>
        </w:rPr>
        <w:t>n</w:t>
      </w:r>
      <w:r w:rsidRPr="00873B6C">
        <w:rPr>
          <w:iCs/>
        </w:rPr>
        <w:t xml:space="preserve">on-3GPP </w:t>
      </w:r>
      <w:r w:rsidRPr="00873B6C">
        <w:rPr>
          <w:rFonts w:eastAsia="Malgun Gothic"/>
          <w:iCs/>
          <w:lang w:eastAsia="ko-KR"/>
        </w:rPr>
        <w:t>a</w:t>
      </w:r>
      <w:r w:rsidRPr="00873B6C">
        <w:rPr>
          <w:iCs/>
        </w:rPr>
        <w:t>ccess - N3IWF in the same VPLMN as 3GPP access</w:t>
      </w:r>
    </w:p>
    <w:p w14:paraId="69493787" w14:textId="77777777" w:rsidR="00D40151" w:rsidRPr="00873B6C" w:rsidRDefault="00D40151" w:rsidP="00D40151">
      <w:pPr>
        <w:pStyle w:val="TH"/>
      </w:pPr>
      <w:r w:rsidRPr="00873B6C">
        <w:object w:dxaOrig="12313" w:dyaOrig="7705" w14:anchorId="33CA392E">
          <v:shape id="_x0000_i1045" type="#_x0000_t75" style="width:480.2pt;height:301.15pt" o:ole="">
            <v:imagedata r:id="rId49" o:title=""/>
          </v:shape>
          <o:OLEObject Type="Embed" ProgID="Visio.Drawing.11" ShapeID="_x0000_i1045" DrawAspect="Content" ObjectID="_1811772379" r:id="rId50"/>
        </w:object>
      </w:r>
    </w:p>
    <w:p w14:paraId="38E4272F" w14:textId="77777777" w:rsidR="00D40151" w:rsidRPr="00873B6C" w:rsidRDefault="00D40151" w:rsidP="00D40151">
      <w:pPr>
        <w:pStyle w:val="TF"/>
        <w:rPr>
          <w:iCs/>
        </w:rPr>
      </w:pPr>
      <w:bookmarkStart w:id="221" w:name="_CRFigure4_2_8_2_22"/>
      <w:r w:rsidRPr="00873B6C">
        <w:rPr>
          <w:iCs/>
        </w:rPr>
        <w:t xml:space="preserve">Figure </w:t>
      </w:r>
      <w:bookmarkEnd w:id="221"/>
      <w:r w:rsidRPr="00873B6C">
        <w:rPr>
          <w:iCs/>
        </w:rPr>
        <w:t>4.2.8.2.2-2: LBO Roaming architecture for 5G Core Network with untrusted non-3GPP access - N3IWF in a different PLMN from 3GPP access</w:t>
      </w:r>
    </w:p>
    <w:p w14:paraId="23C01A8E" w14:textId="77777777" w:rsidR="00D40151" w:rsidRPr="00873B6C" w:rsidRDefault="00D40151" w:rsidP="00D40151">
      <w:pPr>
        <w:pStyle w:val="TH"/>
      </w:pPr>
      <w:r w:rsidRPr="00873B6C">
        <w:object w:dxaOrig="10166" w:dyaOrig="5228" w14:anchorId="70005D72">
          <v:shape id="_x0000_i1046" type="#_x0000_t75" style="width:468.3pt;height:241.05pt" o:ole="">
            <v:imagedata r:id="rId51" o:title=""/>
          </v:shape>
          <o:OLEObject Type="Embed" ProgID="Visio.Drawing.11" ShapeID="_x0000_i1046" DrawAspect="Content" ObjectID="_1811772380" r:id="rId52"/>
        </w:object>
      </w:r>
    </w:p>
    <w:p w14:paraId="1BC78351" w14:textId="77777777" w:rsidR="00D40151" w:rsidRPr="00873B6C" w:rsidRDefault="00D40151" w:rsidP="00D40151">
      <w:pPr>
        <w:pStyle w:val="TF"/>
        <w:rPr>
          <w:iCs/>
        </w:rPr>
      </w:pPr>
      <w:bookmarkStart w:id="222" w:name="_CRFigure4_2_8_2_23"/>
      <w:r w:rsidRPr="00873B6C">
        <w:rPr>
          <w:iCs/>
        </w:rPr>
        <w:t xml:space="preserve">Figure </w:t>
      </w:r>
      <w:bookmarkEnd w:id="222"/>
      <w:r w:rsidRPr="00873B6C">
        <w:rPr>
          <w:iCs/>
        </w:rPr>
        <w:t>4.2.8.2.2-3: LBO Roaming architecture for 5G Core Network with trusted non-3GPP access using the same VPLMN as 3GPP access</w:t>
      </w:r>
    </w:p>
    <w:p w14:paraId="50058A13" w14:textId="77777777" w:rsidR="00D40151" w:rsidRPr="00873B6C" w:rsidRDefault="00D40151" w:rsidP="00D40151">
      <w:pPr>
        <w:pStyle w:val="TH"/>
      </w:pPr>
      <w:r w:rsidRPr="00873B6C">
        <w:object w:dxaOrig="10190" w:dyaOrig="6248" w14:anchorId="590DC00B">
          <v:shape id="_x0000_i1047" type="#_x0000_t75" style="width:462.7pt;height:287.35pt" o:ole="">
            <v:imagedata r:id="rId53" o:title=""/>
          </v:shape>
          <o:OLEObject Type="Embed" ProgID="Visio.Drawing.11" ShapeID="_x0000_i1047" DrawAspect="Content" ObjectID="_1811772381" r:id="rId54"/>
        </w:object>
      </w:r>
    </w:p>
    <w:p w14:paraId="7F8ED7F6" w14:textId="77777777" w:rsidR="00D40151" w:rsidRPr="00873B6C" w:rsidRDefault="00D40151" w:rsidP="00D40151">
      <w:pPr>
        <w:pStyle w:val="TF"/>
        <w:rPr>
          <w:iCs/>
        </w:rPr>
      </w:pPr>
      <w:bookmarkStart w:id="223" w:name="_CRFigure4_2_8_2_24"/>
      <w:r w:rsidRPr="00873B6C">
        <w:rPr>
          <w:iCs/>
        </w:rPr>
        <w:t xml:space="preserve">Figure </w:t>
      </w:r>
      <w:bookmarkEnd w:id="223"/>
      <w:r w:rsidRPr="00873B6C">
        <w:rPr>
          <w:iCs/>
        </w:rPr>
        <w:t>4.2.8.2.2-4: LBO Roaming architecture for 5G Core Network with trusted non-3GPP access using a different PLMN than 3GPP access</w:t>
      </w:r>
    </w:p>
    <w:p w14:paraId="25FFE923" w14:textId="24612DB9" w:rsidR="00D40151" w:rsidRPr="00873B6C" w:rsidRDefault="00D40151" w:rsidP="00D40151">
      <w:pPr>
        <w:pStyle w:val="NO"/>
        <w:rPr>
          <w:rFonts w:eastAsia="MS Mincho"/>
          <w:lang w:eastAsia="ja-JP"/>
        </w:rPr>
      </w:pPr>
      <w:r w:rsidRPr="00873B6C">
        <w:t>NOTE 1:</w:t>
      </w:r>
      <w:r w:rsidRPr="00873B6C">
        <w:rPr>
          <w:rFonts w:eastAsia="Malgun Gothic"/>
          <w:lang w:eastAsia="ko-KR"/>
        </w:rPr>
        <w:tab/>
      </w:r>
      <w:r w:rsidRPr="00873B6C">
        <w:t>The reference architecture in all above figures only shows the architecture and the network functions directly connected to support non-3GPP access</w:t>
      </w:r>
      <w:r w:rsidR="00472CD7" w:rsidRPr="00873B6C">
        <w:t xml:space="preserve"> and</w:t>
      </w:r>
      <w:r w:rsidRPr="00873B6C">
        <w:t xml:space="preserve"> other parts of the architecture are the same as defined in clause 4.2.</w:t>
      </w:r>
    </w:p>
    <w:p w14:paraId="659FA56D" w14:textId="77777777" w:rsidR="00D40151" w:rsidRPr="00873B6C" w:rsidRDefault="00D40151" w:rsidP="00D40151">
      <w:pPr>
        <w:pStyle w:val="NO"/>
      </w:pPr>
      <w:r w:rsidRPr="00873B6C">
        <w:t>NOTE 2:</w:t>
      </w:r>
      <w:r w:rsidRPr="00873B6C">
        <w:rPr>
          <w:rFonts w:eastAsia="Malgun Gothic"/>
          <w:lang w:eastAsia="ko-KR"/>
        </w:rPr>
        <w:tab/>
      </w:r>
      <w:r w:rsidRPr="00873B6C">
        <w:t>The reference architecture in all above figures supports service based interfaces for AMF, SMF and other NFs not represented in the figures.</w:t>
      </w:r>
    </w:p>
    <w:p w14:paraId="389A2BE7" w14:textId="77777777" w:rsidR="00D40151" w:rsidRPr="00873B6C" w:rsidRDefault="00D40151" w:rsidP="00D40151">
      <w:pPr>
        <w:pStyle w:val="NO"/>
        <w:rPr>
          <w:rFonts w:eastAsia="MS Mincho"/>
        </w:rPr>
      </w:pPr>
      <w:r w:rsidRPr="00873B6C">
        <w:rPr>
          <w:lang w:eastAsia="ko-KR"/>
        </w:rPr>
        <w:t>NOTE 3:</w:t>
      </w:r>
      <w:r w:rsidRPr="00873B6C">
        <w:rPr>
          <w:lang w:eastAsia="ko-KR"/>
        </w:rPr>
        <w:tab/>
        <w:t>The two N2 instances in Figure </w:t>
      </w:r>
      <w:r w:rsidRPr="00873B6C">
        <w:t>4.2.8.2.2-1 and in Figure 4.2.8.2.2-3</w:t>
      </w:r>
      <w:r w:rsidRPr="00873B6C">
        <w:rPr>
          <w:lang w:eastAsia="ko-KR"/>
        </w:rPr>
        <w:t xml:space="preserve"> terminate</w:t>
      </w:r>
      <w:r w:rsidRPr="00873B6C">
        <w:t xml:space="preserve"> </w:t>
      </w:r>
      <w:r w:rsidRPr="00873B6C">
        <w:rPr>
          <w:lang w:eastAsia="ko-KR"/>
        </w:rPr>
        <w:t>to a single AMF for a UE which is connected to the same 5G Core Network over 3GPP access and non-3GPP access simultaneously.</w:t>
      </w:r>
    </w:p>
    <w:p w14:paraId="0D930693" w14:textId="77777777" w:rsidR="00D40151" w:rsidRPr="00873B6C" w:rsidRDefault="00D40151" w:rsidP="00D40151">
      <w:pPr>
        <w:pStyle w:val="NO"/>
      </w:pPr>
      <w:r w:rsidRPr="00873B6C">
        <w:rPr>
          <w:lang w:eastAsia="ko-KR"/>
        </w:rPr>
        <w:t>NOTE 4:</w:t>
      </w:r>
      <w:r w:rsidRPr="00873B6C">
        <w:rPr>
          <w:lang w:eastAsia="ko-KR"/>
        </w:rPr>
        <w:tab/>
        <w:t>The two N3 instances in Figure </w:t>
      </w:r>
      <w:r w:rsidRPr="00873B6C">
        <w:t xml:space="preserve">4.2.8.2.2-1 and in Figure 4.2.8.2.2-3 </w:t>
      </w:r>
      <w:r w:rsidRPr="00873B6C">
        <w:rPr>
          <w:lang w:eastAsia="ko-KR"/>
        </w:rPr>
        <w:t xml:space="preserve">may terminate to different UPFs when different PDU Sessions are established over 3GPP </w:t>
      </w:r>
      <w:r w:rsidRPr="00873B6C">
        <w:rPr>
          <w:rFonts w:eastAsia="Malgun Gothic"/>
          <w:lang w:eastAsia="ko-KR"/>
        </w:rPr>
        <w:t xml:space="preserve">access </w:t>
      </w:r>
      <w:r w:rsidRPr="00873B6C">
        <w:rPr>
          <w:lang w:eastAsia="ko-KR"/>
        </w:rPr>
        <w:t>and non</w:t>
      </w:r>
      <w:r w:rsidRPr="00873B6C">
        <w:rPr>
          <w:rFonts w:eastAsia="Malgun Gothic"/>
          <w:lang w:eastAsia="ko-KR"/>
        </w:rPr>
        <w:t>-</w:t>
      </w:r>
      <w:r w:rsidRPr="00873B6C">
        <w:rPr>
          <w:lang w:eastAsia="ko-KR"/>
        </w:rPr>
        <w:t>3GPP access</w:t>
      </w:r>
      <w:r w:rsidRPr="00873B6C">
        <w:t>.</w:t>
      </w:r>
    </w:p>
    <w:p w14:paraId="5C6FFE15" w14:textId="77777777" w:rsidR="00D40151" w:rsidRPr="00873B6C" w:rsidRDefault="00D40151" w:rsidP="00D40151">
      <w:pPr>
        <w:pStyle w:val="Heading5"/>
      </w:pPr>
      <w:bookmarkStart w:id="224" w:name="_CR4_2_8_2_3"/>
      <w:bookmarkStart w:id="225" w:name="_Toc20149646"/>
      <w:bookmarkStart w:id="226" w:name="_Toc27846437"/>
      <w:bookmarkStart w:id="227" w:name="_Toc36187561"/>
      <w:bookmarkStart w:id="228" w:name="_Toc45183465"/>
      <w:bookmarkStart w:id="229" w:name="_Toc47342307"/>
      <w:bookmarkStart w:id="230" w:name="_Toc51769005"/>
      <w:bookmarkStart w:id="231" w:name="_Toc201156918"/>
      <w:bookmarkEnd w:id="224"/>
      <w:r w:rsidRPr="00873B6C">
        <w:lastRenderedPageBreak/>
        <w:t>4.2.8.2.3</w:t>
      </w:r>
      <w:r w:rsidRPr="00873B6C">
        <w:tab/>
        <w:t xml:space="preserve">Home-routed </w:t>
      </w:r>
      <w:r w:rsidRPr="00873B6C">
        <w:rPr>
          <w:lang w:eastAsia="ko-KR"/>
        </w:rPr>
        <w:t>R</w:t>
      </w:r>
      <w:r w:rsidRPr="00873B6C">
        <w:t>oaming Architecture</w:t>
      </w:r>
      <w:bookmarkEnd w:id="225"/>
      <w:bookmarkEnd w:id="226"/>
      <w:bookmarkEnd w:id="227"/>
      <w:bookmarkEnd w:id="228"/>
      <w:bookmarkEnd w:id="229"/>
      <w:bookmarkEnd w:id="230"/>
      <w:bookmarkEnd w:id="231"/>
    </w:p>
    <w:bookmarkStart w:id="232" w:name="_MON_1274250813"/>
    <w:bookmarkEnd w:id="232"/>
    <w:bookmarkStart w:id="233" w:name="_MON_1274251218"/>
    <w:bookmarkEnd w:id="233"/>
    <w:p w14:paraId="4F734CCF" w14:textId="77777777" w:rsidR="00D40151" w:rsidRPr="00873B6C" w:rsidRDefault="00D40151" w:rsidP="00D40151">
      <w:pPr>
        <w:pStyle w:val="TH"/>
      </w:pPr>
      <w:r w:rsidRPr="00873B6C">
        <w:object w:dxaOrig="9210" w:dyaOrig="6347" w14:anchorId="7F8D59E8">
          <v:shape id="_x0000_i1048" type="#_x0000_t75" style="width:437.65pt;height:301.75pt" o:ole="">
            <v:imagedata r:id="rId55" o:title=""/>
          </v:shape>
          <o:OLEObject Type="Embed" ProgID="Word.Picture.8" ShapeID="_x0000_i1048" DrawAspect="Content" ObjectID="_1811772382" r:id="rId56"/>
        </w:object>
      </w:r>
    </w:p>
    <w:p w14:paraId="15569198" w14:textId="77777777" w:rsidR="00D40151" w:rsidRPr="00873B6C" w:rsidRDefault="00D40151" w:rsidP="00D40151">
      <w:pPr>
        <w:pStyle w:val="TF"/>
        <w:rPr>
          <w:iCs/>
        </w:rPr>
      </w:pPr>
      <w:bookmarkStart w:id="234" w:name="_CRFigure4_2_8_2_31"/>
      <w:r w:rsidRPr="00873B6C">
        <w:t xml:space="preserve">Figure </w:t>
      </w:r>
      <w:bookmarkEnd w:id="234"/>
      <w:r w:rsidRPr="00873B6C">
        <w:t xml:space="preserve">4.2.8.2.3-1: Home-routed Roaming </w:t>
      </w:r>
      <w:r w:rsidRPr="00873B6C">
        <w:rPr>
          <w:rFonts w:eastAsia="Malgun Gothic"/>
          <w:lang w:eastAsia="ko-KR"/>
        </w:rPr>
        <w:t>a</w:t>
      </w:r>
      <w:r w:rsidRPr="00873B6C">
        <w:t xml:space="preserve">rchitecture for </w:t>
      </w:r>
      <w:r w:rsidRPr="00873B6C">
        <w:rPr>
          <w:iCs/>
        </w:rPr>
        <w:t xml:space="preserve">5G </w:t>
      </w:r>
      <w:r w:rsidRPr="00873B6C">
        <w:rPr>
          <w:rFonts w:eastAsia="Malgun Gothic"/>
          <w:iCs/>
          <w:lang w:eastAsia="ko-KR"/>
        </w:rPr>
        <w:t>C</w:t>
      </w:r>
      <w:r w:rsidRPr="00873B6C">
        <w:rPr>
          <w:iCs/>
        </w:rPr>
        <w:t xml:space="preserve">ore </w:t>
      </w:r>
      <w:r w:rsidRPr="00873B6C">
        <w:rPr>
          <w:rFonts w:eastAsia="Malgun Gothic"/>
          <w:iCs/>
          <w:lang w:eastAsia="ko-KR"/>
        </w:rPr>
        <w:t>N</w:t>
      </w:r>
      <w:r w:rsidRPr="00873B6C">
        <w:rPr>
          <w:iCs/>
        </w:rPr>
        <w:t xml:space="preserve">etwork with untrusted </w:t>
      </w:r>
      <w:r w:rsidRPr="00873B6C">
        <w:rPr>
          <w:rFonts w:eastAsia="Malgun Gothic"/>
          <w:iCs/>
          <w:lang w:eastAsia="ko-KR"/>
        </w:rPr>
        <w:t>n</w:t>
      </w:r>
      <w:r w:rsidRPr="00873B6C">
        <w:rPr>
          <w:iCs/>
        </w:rPr>
        <w:t xml:space="preserve">on-3GPP </w:t>
      </w:r>
      <w:r w:rsidRPr="00873B6C">
        <w:rPr>
          <w:rFonts w:eastAsia="Malgun Gothic"/>
          <w:iCs/>
          <w:lang w:eastAsia="ko-KR"/>
        </w:rPr>
        <w:t>a</w:t>
      </w:r>
      <w:r w:rsidRPr="00873B6C">
        <w:rPr>
          <w:iCs/>
        </w:rPr>
        <w:t>ccess - N3IWF in the same VPLMN as 3GPP access</w:t>
      </w:r>
    </w:p>
    <w:p w14:paraId="351C3961" w14:textId="77777777" w:rsidR="00D40151" w:rsidRPr="00873B6C" w:rsidRDefault="00D40151" w:rsidP="00D40151">
      <w:pPr>
        <w:pStyle w:val="TH"/>
      </w:pPr>
      <w:r w:rsidRPr="00873B6C">
        <w:object w:dxaOrig="9210" w:dyaOrig="6347" w14:anchorId="6CBF1968">
          <v:shape id="_x0000_i1049" type="#_x0000_t75" style="width:420.1pt;height:288.65pt" o:ole="">
            <v:imagedata r:id="rId57" o:title=""/>
          </v:shape>
          <o:OLEObject Type="Embed" ProgID="Word.Picture.8" ShapeID="_x0000_i1049" DrawAspect="Content" ObjectID="_1811772383" r:id="rId58"/>
        </w:object>
      </w:r>
    </w:p>
    <w:p w14:paraId="16D20AD1" w14:textId="77777777" w:rsidR="00D40151" w:rsidRPr="00873B6C" w:rsidRDefault="00D40151" w:rsidP="00D40151">
      <w:pPr>
        <w:pStyle w:val="TF"/>
        <w:rPr>
          <w:iCs/>
        </w:rPr>
      </w:pPr>
      <w:bookmarkStart w:id="235" w:name="_CRFigure4_2_8_2_32"/>
      <w:r w:rsidRPr="00873B6C">
        <w:rPr>
          <w:iCs/>
        </w:rPr>
        <w:t xml:space="preserve">Figure </w:t>
      </w:r>
      <w:bookmarkEnd w:id="235"/>
      <w:r w:rsidRPr="00873B6C">
        <w:rPr>
          <w:iCs/>
        </w:rPr>
        <w:t>4.2.8.2.3-2: Home-routed Roaming architecture for 5G Core Network with untrusted non-3GPP access - N3IWF in a different VPLMN than 3GPP access</w:t>
      </w:r>
    </w:p>
    <w:p w14:paraId="12F5BFD5" w14:textId="77777777" w:rsidR="00D40151" w:rsidRPr="00873B6C" w:rsidRDefault="00D40151" w:rsidP="00D40151">
      <w:pPr>
        <w:pStyle w:val="TH"/>
      </w:pPr>
      <w:r w:rsidRPr="00873B6C">
        <w:object w:dxaOrig="9210" w:dyaOrig="6347" w14:anchorId="7A3E9BFF">
          <v:shape id="_x0000_i1050" type="#_x0000_t75" style="width:429.5pt;height:294.9pt" o:ole="">
            <v:imagedata r:id="rId59" o:title=""/>
          </v:shape>
          <o:OLEObject Type="Embed" ProgID="Word.Picture.8" ShapeID="_x0000_i1050" DrawAspect="Content" ObjectID="_1811772384" r:id="rId60"/>
        </w:object>
      </w:r>
    </w:p>
    <w:p w14:paraId="78CD01ED" w14:textId="77777777" w:rsidR="00D40151" w:rsidRPr="00873B6C" w:rsidRDefault="00D40151" w:rsidP="00D40151">
      <w:pPr>
        <w:pStyle w:val="TF"/>
        <w:rPr>
          <w:iCs/>
        </w:rPr>
      </w:pPr>
      <w:bookmarkStart w:id="236" w:name="_CRFigure4_2_8_2_33"/>
      <w:r w:rsidRPr="00873B6C">
        <w:rPr>
          <w:iCs/>
        </w:rPr>
        <w:t xml:space="preserve">Figure </w:t>
      </w:r>
      <w:bookmarkEnd w:id="236"/>
      <w:r w:rsidRPr="00873B6C">
        <w:rPr>
          <w:iCs/>
        </w:rPr>
        <w:t>4.2.8.2.3-3: Home-routed Roaming architecture for 5G Core Network with untrusted non-3GPP access - N3IWF in HPLMN</w:t>
      </w:r>
    </w:p>
    <w:p w14:paraId="6BCFE019" w14:textId="77777777" w:rsidR="00D40151" w:rsidRPr="00873B6C" w:rsidRDefault="00D40151" w:rsidP="00D40151">
      <w:pPr>
        <w:pStyle w:val="TH"/>
      </w:pPr>
      <w:r w:rsidRPr="00873B6C">
        <w:object w:dxaOrig="10903" w:dyaOrig="5335" w14:anchorId="4EF37129">
          <v:shape id="_x0000_i1051" type="#_x0000_t75" style="width:462.05pt;height:227.25pt" o:ole="">
            <v:imagedata r:id="rId61" o:title=""/>
          </v:shape>
          <o:OLEObject Type="Embed" ProgID="Visio.Drawing.11" ShapeID="_x0000_i1051" DrawAspect="Content" ObjectID="_1811772385" r:id="rId62"/>
        </w:object>
      </w:r>
    </w:p>
    <w:p w14:paraId="20D51ACA" w14:textId="77777777" w:rsidR="00D40151" w:rsidRPr="00873B6C" w:rsidRDefault="00D40151" w:rsidP="00D40151">
      <w:pPr>
        <w:pStyle w:val="TF"/>
        <w:rPr>
          <w:iCs/>
        </w:rPr>
      </w:pPr>
      <w:bookmarkStart w:id="237" w:name="_CRFigure4_2_8_2_34"/>
      <w:r w:rsidRPr="00873B6C">
        <w:rPr>
          <w:iCs/>
        </w:rPr>
        <w:t xml:space="preserve">Figure </w:t>
      </w:r>
      <w:bookmarkEnd w:id="237"/>
      <w:r w:rsidRPr="00873B6C">
        <w:rPr>
          <w:iCs/>
        </w:rPr>
        <w:t>4.2.8.2.3-4: Home-routed Roaming architecture for 5G Core Network with trusted non-3GPP access using the same VPLMN as 3GPP access</w:t>
      </w:r>
    </w:p>
    <w:p w14:paraId="2A718D07" w14:textId="5FECBC7D" w:rsidR="00D40151" w:rsidRPr="00873B6C" w:rsidRDefault="00D40151" w:rsidP="00D40151">
      <w:pPr>
        <w:pStyle w:val="NO"/>
        <w:rPr>
          <w:rFonts w:eastAsia="MS Mincho"/>
        </w:rPr>
      </w:pPr>
      <w:r w:rsidRPr="00873B6C">
        <w:t>NOTE 1:</w:t>
      </w:r>
      <w:r w:rsidRPr="00873B6C">
        <w:rPr>
          <w:rFonts w:eastAsia="Malgun Gothic"/>
          <w:lang w:eastAsia="ko-KR"/>
        </w:rPr>
        <w:tab/>
      </w:r>
      <w:r w:rsidRPr="00873B6C">
        <w:t>The reference architecture in all above figures only shows the architecture and the network functions directly connected to support non-3GPP access</w:t>
      </w:r>
      <w:r w:rsidR="00472CD7" w:rsidRPr="00873B6C">
        <w:t xml:space="preserve"> and</w:t>
      </w:r>
      <w:r w:rsidRPr="00873B6C">
        <w:t xml:space="preserve"> other parts of the architecture are the same as defined in clause 4.2.</w:t>
      </w:r>
    </w:p>
    <w:p w14:paraId="613C109F" w14:textId="77777777" w:rsidR="00D40151" w:rsidRPr="00873B6C" w:rsidRDefault="00D40151" w:rsidP="00D40151">
      <w:pPr>
        <w:pStyle w:val="NO"/>
        <w:rPr>
          <w:rFonts w:eastAsia="MS Mincho"/>
        </w:rPr>
      </w:pPr>
      <w:r w:rsidRPr="00873B6C">
        <w:rPr>
          <w:lang w:eastAsia="ko-KR"/>
        </w:rPr>
        <w:t>NOTE 2:</w:t>
      </w:r>
      <w:r w:rsidRPr="00873B6C">
        <w:rPr>
          <w:lang w:eastAsia="ko-KR"/>
        </w:rPr>
        <w:tab/>
        <w:t>The two N2 instances in Figure </w:t>
      </w:r>
      <w:r w:rsidRPr="00873B6C">
        <w:t>4.2.8.2.3-1 and in Figure 4.2.8.2.3-4 terminate</w:t>
      </w:r>
      <w:r w:rsidRPr="00873B6C">
        <w:rPr>
          <w:lang w:eastAsia="ko-KR"/>
        </w:rPr>
        <w:t xml:space="preserve"> to a single AMF for a UE which is connected to the same 5G Core Network over 3GPP access and non-3GPP access simultaneously.</w:t>
      </w:r>
    </w:p>
    <w:p w14:paraId="58567DC0" w14:textId="77777777" w:rsidR="00D40151" w:rsidRPr="00873B6C" w:rsidRDefault="00D40151" w:rsidP="00D40151">
      <w:pPr>
        <w:pStyle w:val="Heading4"/>
        <w:rPr>
          <w:lang w:eastAsia="ko-KR"/>
        </w:rPr>
      </w:pPr>
      <w:bookmarkStart w:id="238" w:name="_CR4_2_8_3"/>
      <w:bookmarkStart w:id="239" w:name="_Toc20149647"/>
      <w:bookmarkStart w:id="240" w:name="_Toc27846438"/>
      <w:bookmarkStart w:id="241" w:name="_Toc36187562"/>
      <w:bookmarkStart w:id="242" w:name="_Toc45183466"/>
      <w:bookmarkStart w:id="243" w:name="_Toc47342308"/>
      <w:bookmarkStart w:id="244" w:name="_Toc51769006"/>
      <w:bookmarkStart w:id="245" w:name="_Toc201156919"/>
      <w:bookmarkEnd w:id="238"/>
      <w:r w:rsidRPr="00873B6C">
        <w:lastRenderedPageBreak/>
        <w:t>4.2.8.3</w:t>
      </w:r>
      <w:r w:rsidRPr="00873B6C">
        <w:tab/>
      </w:r>
      <w:r w:rsidRPr="00873B6C">
        <w:rPr>
          <w:lang w:eastAsia="ko-KR"/>
        </w:rPr>
        <w:t>Reference Points for Non-3GPP Access</w:t>
      </w:r>
      <w:bookmarkEnd w:id="239"/>
      <w:bookmarkEnd w:id="240"/>
      <w:bookmarkEnd w:id="241"/>
      <w:bookmarkEnd w:id="242"/>
      <w:bookmarkEnd w:id="243"/>
      <w:bookmarkEnd w:id="244"/>
      <w:bookmarkEnd w:id="245"/>
    </w:p>
    <w:p w14:paraId="09230E5D" w14:textId="77777777" w:rsidR="00D40151" w:rsidRPr="00873B6C" w:rsidRDefault="00D40151" w:rsidP="00D40151">
      <w:pPr>
        <w:pStyle w:val="Heading5"/>
      </w:pPr>
      <w:bookmarkStart w:id="246" w:name="_CR4_2_8_3_1"/>
      <w:bookmarkStart w:id="247" w:name="_Toc20149648"/>
      <w:bookmarkStart w:id="248" w:name="_Toc27846439"/>
      <w:bookmarkStart w:id="249" w:name="_Toc36187563"/>
      <w:bookmarkStart w:id="250" w:name="_Toc45183467"/>
      <w:bookmarkStart w:id="251" w:name="_Toc47342309"/>
      <w:bookmarkStart w:id="252" w:name="_Toc51769007"/>
      <w:bookmarkStart w:id="253" w:name="_Toc201156920"/>
      <w:bookmarkEnd w:id="246"/>
      <w:r w:rsidRPr="00873B6C">
        <w:t>4.2.8.3.1</w:t>
      </w:r>
      <w:r w:rsidRPr="00873B6C">
        <w:tab/>
        <w:t>Overview</w:t>
      </w:r>
      <w:bookmarkEnd w:id="247"/>
      <w:bookmarkEnd w:id="248"/>
      <w:bookmarkEnd w:id="249"/>
      <w:bookmarkEnd w:id="250"/>
      <w:bookmarkEnd w:id="251"/>
      <w:bookmarkEnd w:id="252"/>
      <w:bookmarkEnd w:id="253"/>
    </w:p>
    <w:p w14:paraId="20EAB092" w14:textId="77777777" w:rsidR="00D40151" w:rsidRPr="00873B6C" w:rsidRDefault="00D40151" w:rsidP="00D40151">
      <w:r w:rsidRPr="00873B6C">
        <w:t xml:space="preserve">The description of the reference points specific for the </w:t>
      </w:r>
      <w:r w:rsidRPr="00873B6C">
        <w:rPr>
          <w:rFonts w:eastAsia="Malgun Gothic"/>
          <w:lang w:eastAsia="ko-KR"/>
        </w:rPr>
        <w:t>non-</w:t>
      </w:r>
      <w:r w:rsidRPr="00873B6C">
        <w:t>3GPP access:</w:t>
      </w:r>
    </w:p>
    <w:p w14:paraId="6684A003" w14:textId="77777777" w:rsidR="00D40151" w:rsidRPr="00873B6C" w:rsidRDefault="00D40151" w:rsidP="00D40151">
      <w:r w:rsidRPr="00873B6C">
        <w:t>N2, N3, N4, N6</w:t>
      </w:r>
      <w:r w:rsidRPr="00873B6C">
        <w:rPr>
          <w:lang w:eastAsia="ko-KR"/>
        </w:rPr>
        <w:t xml:space="preserve">: these are </w:t>
      </w:r>
      <w:r w:rsidRPr="00873B6C">
        <w:t>defined in clause 4.2.</w:t>
      </w:r>
    </w:p>
    <w:p w14:paraId="08FB7E2B" w14:textId="77777777" w:rsidR="00D40151" w:rsidRPr="00873B6C" w:rsidRDefault="00D40151" w:rsidP="00D40151">
      <w:pPr>
        <w:pStyle w:val="NO"/>
      </w:pPr>
      <w:r w:rsidRPr="00873B6C">
        <w:rPr>
          <w:b/>
        </w:rPr>
        <w:t>Y1</w:t>
      </w:r>
      <w:r w:rsidRPr="00873B6C">
        <w:rPr>
          <w:b/>
          <w:lang w:eastAsia="ko-KR"/>
        </w:rPr>
        <w:tab/>
      </w:r>
      <w:r w:rsidRPr="00873B6C">
        <w:t>Reference point between the UE and the untrusted non-3GPP access (e.g. WLAN). This depends on the non-3GPP access technology and is outside the scope of 3GPP.</w:t>
      </w:r>
    </w:p>
    <w:p w14:paraId="3323DA64" w14:textId="77777777" w:rsidR="00D40151" w:rsidRPr="00873B6C" w:rsidRDefault="00D40151" w:rsidP="00D40151">
      <w:pPr>
        <w:pStyle w:val="NO"/>
      </w:pPr>
      <w:r w:rsidRPr="00873B6C">
        <w:rPr>
          <w:b/>
        </w:rPr>
        <w:t>Y2</w:t>
      </w:r>
      <w:r w:rsidRPr="00873B6C">
        <w:rPr>
          <w:b/>
          <w:lang w:eastAsia="ko-KR"/>
        </w:rPr>
        <w:tab/>
      </w:r>
      <w:r w:rsidRPr="00873B6C">
        <w:t>Reference point between the untrusted non-3GPP access and the N3IWF for the transport of NWu traffic.</w:t>
      </w:r>
    </w:p>
    <w:p w14:paraId="017DEC99" w14:textId="77777777" w:rsidR="00D40151" w:rsidRPr="00873B6C" w:rsidRDefault="00D40151" w:rsidP="00D40151">
      <w:pPr>
        <w:pStyle w:val="NO"/>
      </w:pPr>
      <w:r w:rsidRPr="00873B6C">
        <w:rPr>
          <w:b/>
        </w:rPr>
        <w:t>Y4</w:t>
      </w:r>
      <w:r w:rsidRPr="00873B6C">
        <w:tab/>
        <w:t>Reference point between the 5G-RG and the W-AGF which transports the user plane traffic and the N1 NAS protocol. The definition of this interface is outside the scope of 3GPP.</w:t>
      </w:r>
    </w:p>
    <w:p w14:paraId="56EA5AE2" w14:textId="77777777" w:rsidR="00D40151" w:rsidRPr="00873B6C" w:rsidRDefault="00D40151" w:rsidP="00D40151">
      <w:pPr>
        <w:pStyle w:val="NO"/>
      </w:pPr>
      <w:r w:rsidRPr="00873B6C">
        <w:rPr>
          <w:b/>
        </w:rPr>
        <w:t>Y5</w:t>
      </w:r>
      <w:r w:rsidRPr="00873B6C">
        <w:tab/>
        <w:t>Reference point between the FN-RG and the W-AGF. The definition of this interface is outside the scope of 3GPP.</w:t>
      </w:r>
    </w:p>
    <w:p w14:paraId="77AD7DDF" w14:textId="77777777" w:rsidR="00D40151" w:rsidRPr="00873B6C" w:rsidRDefault="00D40151" w:rsidP="00D40151">
      <w:pPr>
        <w:pStyle w:val="NO"/>
      </w:pPr>
      <w:r w:rsidRPr="00873B6C">
        <w:rPr>
          <w:b/>
          <w:bCs/>
        </w:rPr>
        <w:t>Yt</w:t>
      </w:r>
      <w:r w:rsidRPr="00873B6C">
        <w:tab/>
        <w:t>Reference point between the UE and the TNAP. See e.g. Figure 4.2.8.2.1-2.</w:t>
      </w:r>
    </w:p>
    <w:p w14:paraId="55C2BD49" w14:textId="77777777" w:rsidR="00D40151" w:rsidRPr="00873B6C" w:rsidRDefault="00D40151" w:rsidP="00D40151">
      <w:pPr>
        <w:pStyle w:val="NO"/>
      </w:pPr>
      <w:r w:rsidRPr="00873B6C">
        <w:rPr>
          <w:b/>
          <w:bCs/>
        </w:rPr>
        <w:t>Yt'</w:t>
      </w:r>
      <w:r w:rsidRPr="00873B6C">
        <w:tab/>
        <w:t>Reference point between the N5CW devices and the TWAP. It is defined in clause 4.2.8.5.</w:t>
      </w:r>
    </w:p>
    <w:p w14:paraId="2AE47B4D" w14:textId="77777777" w:rsidR="00D40151" w:rsidRPr="00873B6C" w:rsidRDefault="00D40151" w:rsidP="00D40151">
      <w:pPr>
        <w:pStyle w:val="NO"/>
      </w:pPr>
      <w:r w:rsidRPr="00873B6C">
        <w:rPr>
          <w:b/>
        </w:rPr>
        <w:t>NWu</w:t>
      </w:r>
      <w:r w:rsidRPr="00873B6C">
        <w:rPr>
          <w:b/>
          <w:lang w:eastAsia="ko-KR"/>
        </w:rPr>
        <w:tab/>
      </w:r>
      <w:r w:rsidRPr="00873B6C">
        <w:t>Reference point between the UE and N3IWF for establishing secure tunnel(s) between the UE and N3IWF so that control-plane and user-plane exchanged between the UE and the 5G Core Network is transferred securely over untrusted non-3GPP access.</w:t>
      </w:r>
    </w:p>
    <w:p w14:paraId="1A5B1463" w14:textId="1A67E6B1" w:rsidR="00D40151" w:rsidRPr="00873B6C" w:rsidRDefault="00D40151" w:rsidP="00D40151">
      <w:pPr>
        <w:pStyle w:val="NO"/>
      </w:pPr>
      <w:r w:rsidRPr="00873B6C">
        <w:rPr>
          <w:b/>
        </w:rPr>
        <w:t>NWt</w:t>
      </w:r>
      <w:r w:rsidRPr="00873B6C">
        <w:tab/>
        <w:t>Reference point between the UE and the TNGF. A secure NWt connection is established over this reference point, as specified in</w:t>
      </w:r>
      <w:r w:rsidR="00960CDA" w:rsidRPr="00873B6C">
        <w:t xml:space="preserve"> clause 4.12a.2.2 of</w:t>
      </w:r>
      <w:r w:rsidRPr="00873B6C">
        <w:t xml:space="preserve"> </w:t>
      </w:r>
      <w:r w:rsidR="00972E70" w:rsidRPr="00873B6C">
        <w:t>TS 23.502 [</w:t>
      </w:r>
      <w:r w:rsidRPr="00873B6C">
        <w:t>3]. NAS messages between the UE and the AMF are transferred via this NWt connection.</w:t>
      </w:r>
    </w:p>
    <w:p w14:paraId="3329E485" w14:textId="77777777" w:rsidR="00D40151" w:rsidRPr="00873B6C" w:rsidRDefault="00D40151" w:rsidP="00D40151">
      <w:pPr>
        <w:pStyle w:val="NO"/>
      </w:pPr>
      <w:r w:rsidRPr="00873B6C">
        <w:rPr>
          <w:b/>
        </w:rPr>
        <w:t>Ta</w:t>
      </w:r>
      <w:r w:rsidRPr="00873B6C">
        <w:tab/>
        <w:t>A reference point between the TNAP and the TNGF, which is used to support an AAA interface. Ta requirements are documented in clause 4.2.8.3.2.</w:t>
      </w:r>
    </w:p>
    <w:p w14:paraId="693091E3" w14:textId="77777777" w:rsidR="00D40151" w:rsidRPr="00873B6C" w:rsidRDefault="00D40151" w:rsidP="00D40151">
      <w:pPr>
        <w:pStyle w:val="NO"/>
      </w:pPr>
      <w:r w:rsidRPr="00873B6C">
        <w:rPr>
          <w:b/>
        </w:rPr>
        <w:t>Tn</w:t>
      </w:r>
      <w:r w:rsidRPr="00873B6C">
        <w:tab/>
        <w:t>A reference point between two TNGFs, which is used to facilitate UE mobility between different TNGFs (inter-TNGF mobility).</w:t>
      </w:r>
    </w:p>
    <w:p w14:paraId="0759ADED" w14:textId="77777777" w:rsidR="00D40151" w:rsidRPr="00873B6C" w:rsidRDefault="00D40151" w:rsidP="00D40151">
      <w:r w:rsidRPr="00873B6C">
        <w:t>Tn and inter-TNGF mobility are not specified in this Release of the specification.</w:t>
      </w:r>
    </w:p>
    <w:p w14:paraId="16720543" w14:textId="77777777" w:rsidR="00D40151" w:rsidRPr="00873B6C" w:rsidRDefault="00D40151" w:rsidP="00D40151">
      <w:pPr>
        <w:pStyle w:val="Heading5"/>
      </w:pPr>
      <w:bookmarkStart w:id="254" w:name="_CR4_2_8_3_2"/>
      <w:bookmarkStart w:id="255" w:name="_Toc20149649"/>
      <w:bookmarkStart w:id="256" w:name="_Toc27846440"/>
      <w:bookmarkStart w:id="257" w:name="_Toc36187564"/>
      <w:bookmarkStart w:id="258" w:name="_Toc45183468"/>
      <w:bookmarkStart w:id="259" w:name="_Toc47342310"/>
      <w:bookmarkStart w:id="260" w:name="_Toc51769008"/>
      <w:bookmarkStart w:id="261" w:name="_Toc201156921"/>
      <w:bookmarkEnd w:id="254"/>
      <w:r w:rsidRPr="00873B6C">
        <w:t>4.2.8.3.2</w:t>
      </w:r>
      <w:r w:rsidRPr="00873B6C">
        <w:tab/>
        <w:t>Requirements on Ta</w:t>
      </w:r>
      <w:bookmarkEnd w:id="255"/>
      <w:bookmarkEnd w:id="256"/>
      <w:bookmarkEnd w:id="257"/>
      <w:bookmarkEnd w:id="258"/>
      <w:bookmarkEnd w:id="259"/>
      <w:bookmarkEnd w:id="260"/>
      <w:bookmarkEnd w:id="261"/>
    </w:p>
    <w:p w14:paraId="2F409C9B" w14:textId="77777777" w:rsidR="00D40151" w:rsidRPr="00873B6C" w:rsidRDefault="00D40151" w:rsidP="00D40151">
      <w:pPr>
        <w:rPr>
          <w:lang w:eastAsia="x-none"/>
        </w:rPr>
      </w:pPr>
      <w:r w:rsidRPr="00873B6C">
        <w:rPr>
          <w:lang w:eastAsia="x-none"/>
        </w:rPr>
        <w:t>Ta shall be able to</w:t>
      </w:r>
    </w:p>
    <w:p w14:paraId="5CC4A1CD" w14:textId="77777777" w:rsidR="00D40151" w:rsidRPr="00873B6C" w:rsidRDefault="00D40151" w:rsidP="00D40151">
      <w:pPr>
        <w:pStyle w:val="B1"/>
      </w:pPr>
      <w:r w:rsidRPr="00873B6C">
        <w:t>-</w:t>
      </w:r>
      <w:r w:rsidRPr="00873B6C">
        <w:tab/>
        <w:t>Carry EAP-5G traffic and user location information before the NWt connection is established between the UE and the TNGF.</w:t>
      </w:r>
    </w:p>
    <w:p w14:paraId="7E8017DA" w14:textId="77777777" w:rsidR="00D40151" w:rsidRPr="00873B6C" w:rsidRDefault="00D40151" w:rsidP="00D40151">
      <w:pPr>
        <w:pStyle w:val="B1"/>
      </w:pPr>
      <w:r w:rsidRPr="00873B6C">
        <w:t>-</w:t>
      </w:r>
      <w:r w:rsidRPr="00873B6C">
        <w:tab/>
        <w:t>Allow the UE and the TNGF to exchange IP traffic.</w:t>
      </w:r>
    </w:p>
    <w:p w14:paraId="131FF2FF" w14:textId="77777777" w:rsidR="00D40151" w:rsidRPr="00873B6C" w:rsidRDefault="00D40151" w:rsidP="00D40151">
      <w:pPr>
        <w:rPr>
          <w:lang w:eastAsia="x-none"/>
        </w:rPr>
      </w:pPr>
      <w:r w:rsidRPr="00873B6C">
        <w:rPr>
          <w:lang w:eastAsia="x-none"/>
        </w:rPr>
        <w:t>In deployments where the TNAP does not allocate the local IP addresses to UE(s), Ta shall be able to:</w:t>
      </w:r>
    </w:p>
    <w:p w14:paraId="4BB9CA39" w14:textId="77777777" w:rsidR="00D40151" w:rsidRPr="00873B6C" w:rsidRDefault="00D40151" w:rsidP="00D40151">
      <w:pPr>
        <w:pStyle w:val="B1"/>
      </w:pPr>
      <w:r w:rsidRPr="00873B6C">
        <w:t>-</w:t>
      </w:r>
      <w:r w:rsidRPr="00873B6C">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873B6C" w:rsidRDefault="00D40151" w:rsidP="00D40151">
      <w:pPr>
        <w:pStyle w:val="NO"/>
      </w:pPr>
      <w:r w:rsidRPr="00873B6C">
        <w:t>NOTE:</w:t>
      </w:r>
      <w:r w:rsidRPr="00873B6C">
        <w:tab/>
        <w:t>The "local IP address" is the IP address that allows the UE to contact the TNGF; the entity providing this local IP address is part of TNAN and out of 3GPP scope</w:t>
      </w:r>
    </w:p>
    <w:p w14:paraId="72A9E713" w14:textId="77777777" w:rsidR="00D40151" w:rsidRPr="00873B6C" w:rsidRDefault="00D40151" w:rsidP="00D40151">
      <w:pPr>
        <w:rPr>
          <w:lang w:eastAsia="x-none"/>
        </w:rPr>
      </w:pPr>
      <w:r w:rsidRPr="00873B6C">
        <w:rPr>
          <w:lang w:eastAsia="x-none"/>
        </w:rPr>
        <w:t>In this Release of the specification, Ta is not specified.</w:t>
      </w:r>
    </w:p>
    <w:p w14:paraId="7B12AD66" w14:textId="77777777" w:rsidR="00D40151" w:rsidRPr="00873B6C" w:rsidRDefault="00D40151" w:rsidP="00D40151">
      <w:pPr>
        <w:pStyle w:val="Heading4"/>
      </w:pPr>
      <w:bookmarkStart w:id="262" w:name="_CR4_2_8_4"/>
      <w:bookmarkStart w:id="263" w:name="_Toc20149650"/>
      <w:bookmarkStart w:id="264" w:name="_Toc27846441"/>
      <w:bookmarkStart w:id="265" w:name="_Toc36187565"/>
      <w:bookmarkStart w:id="266" w:name="_Toc45183469"/>
      <w:bookmarkStart w:id="267" w:name="_Toc47342311"/>
      <w:bookmarkStart w:id="268" w:name="_Toc51769009"/>
      <w:bookmarkStart w:id="269" w:name="_Toc201156922"/>
      <w:bookmarkEnd w:id="262"/>
      <w:r w:rsidRPr="00873B6C">
        <w:lastRenderedPageBreak/>
        <w:t>4.2.8.4</w:t>
      </w:r>
      <w:r w:rsidRPr="00873B6C">
        <w:tab/>
        <w:t>Architecture Reference Model for Wireline Access network</w:t>
      </w:r>
      <w:bookmarkEnd w:id="263"/>
      <w:bookmarkEnd w:id="264"/>
      <w:bookmarkEnd w:id="265"/>
      <w:bookmarkEnd w:id="266"/>
      <w:bookmarkEnd w:id="267"/>
      <w:bookmarkEnd w:id="268"/>
      <w:bookmarkEnd w:id="269"/>
    </w:p>
    <w:p w14:paraId="169318AB" w14:textId="77777777" w:rsidR="00D40151" w:rsidRPr="00873B6C" w:rsidRDefault="00D40151" w:rsidP="00D40151">
      <w:pPr>
        <w:pStyle w:val="TH"/>
      </w:pPr>
      <w:r w:rsidRPr="00873B6C">
        <w:object w:dxaOrig="10140" w:dyaOrig="5280" w14:anchorId="6C48FE8B">
          <v:shape id="_x0000_i1052" type="#_x0000_t75" style="width:448.9pt;height:234.15pt" o:ole="">
            <v:imagedata r:id="rId63" o:title=""/>
          </v:shape>
          <o:OLEObject Type="Embed" ProgID="Visio.Drawing.11" ShapeID="_x0000_i1052" DrawAspect="Content" ObjectID="_1811772386" r:id="rId64"/>
        </w:object>
      </w:r>
    </w:p>
    <w:p w14:paraId="24262047" w14:textId="77777777" w:rsidR="00D40151" w:rsidRPr="00873B6C" w:rsidRDefault="00D40151" w:rsidP="00D40151">
      <w:pPr>
        <w:pStyle w:val="TF"/>
      </w:pPr>
      <w:bookmarkStart w:id="270" w:name="_CRFigure4_2_8_41"/>
      <w:r w:rsidRPr="00873B6C">
        <w:t xml:space="preserve">Figure </w:t>
      </w:r>
      <w:bookmarkEnd w:id="270"/>
      <w:r w:rsidRPr="00873B6C">
        <w:t>4.2.8.4-1: Non- roaming architecture for 5G Core Network for 5G-RG with Wireline 5G Access network and NG RAN</w:t>
      </w:r>
    </w:p>
    <w:p w14:paraId="65B11A8F" w14:textId="77777777" w:rsidR="00D40151" w:rsidRPr="00873B6C" w:rsidRDefault="00D40151" w:rsidP="00D40151">
      <w:pPr>
        <w:rPr>
          <w:lang w:eastAsia="x-none"/>
        </w:rPr>
      </w:pPr>
      <w:r w:rsidRPr="00873B6C">
        <w:rPr>
          <w:lang w:eastAsia="x-none"/>
        </w:rPr>
        <w:t>The 5G-RG can be connected to 5GC via W-5GAN, NG RAN or via both accesses.</w:t>
      </w:r>
    </w:p>
    <w:p w14:paraId="5654C6D3" w14:textId="018443FC" w:rsidR="00D40151" w:rsidRPr="00873B6C" w:rsidRDefault="00D40151" w:rsidP="00D40151">
      <w:pPr>
        <w:pStyle w:val="NO"/>
      </w:pPr>
      <w:r w:rsidRPr="00873B6C">
        <w:t>NOTE 1:</w:t>
      </w:r>
      <w:r w:rsidRPr="00873B6C">
        <w:tab/>
        <w:t>The reference architecture in figure 4.2.8.4-1 only shows the architecture and the network functions directly connected to Wireline 5G Access Network</w:t>
      </w:r>
      <w:r w:rsidR="00472CD7" w:rsidRPr="00873B6C">
        <w:t xml:space="preserve"> and</w:t>
      </w:r>
      <w:r w:rsidRPr="00873B6C">
        <w:t xml:space="preserve"> other parts of the architecture are the same as defined in clause 4.2.</w:t>
      </w:r>
    </w:p>
    <w:p w14:paraId="0D5C758E" w14:textId="77777777" w:rsidR="00D40151" w:rsidRPr="00873B6C" w:rsidRDefault="00D40151" w:rsidP="00D40151">
      <w:pPr>
        <w:pStyle w:val="NO"/>
      </w:pPr>
      <w:r w:rsidRPr="00873B6C">
        <w:t>NOTE 2:</w:t>
      </w:r>
      <w:r w:rsidRPr="00873B6C">
        <w:tab/>
        <w:t>The reference architecture in figure 4.2.8.4-1 supports service based interfaces for AMF, SMF and other NFs not represented in the figure.</w:t>
      </w:r>
    </w:p>
    <w:p w14:paraId="2F168774" w14:textId="77777777" w:rsidR="00D40151" w:rsidRPr="00873B6C" w:rsidRDefault="00D40151" w:rsidP="00D40151">
      <w:pPr>
        <w:pStyle w:val="NO"/>
      </w:pPr>
      <w:r w:rsidRPr="00873B6C">
        <w:t>NOTE 3:</w:t>
      </w:r>
      <w:r w:rsidRPr="00873B6C">
        <w:tab/>
        <w:t>The two N2 instances in Figure 4.2.8.4-1 apply to a single AMF for a 5G-RG which is simultaneously connected to the same 5G Core Network over 3GPP access and Wireline 5G Access Network.</w:t>
      </w:r>
    </w:p>
    <w:p w14:paraId="0E572FD5" w14:textId="77777777" w:rsidR="00D40151" w:rsidRPr="00873B6C" w:rsidRDefault="00D40151" w:rsidP="00D40151">
      <w:pPr>
        <w:pStyle w:val="NO"/>
      </w:pPr>
      <w:r w:rsidRPr="00873B6C">
        <w:t>NOTE 4</w:t>
      </w:r>
      <w:r w:rsidRPr="00873B6C">
        <w:tab/>
        <w:t>The two N3 instances in Figure 4.2.8. 4-1 may apply to different UPFs when different PDU Sessions are established over 3GPP access and Wireline 5G Access Network.</w:t>
      </w:r>
    </w:p>
    <w:p w14:paraId="41D2A4D1" w14:textId="77777777" w:rsidR="00D40151" w:rsidRPr="00873B6C" w:rsidRDefault="00D40151" w:rsidP="00D40151">
      <w:pPr>
        <w:pStyle w:val="TH"/>
      </w:pPr>
      <w:r w:rsidRPr="00873B6C">
        <w:object w:dxaOrig="10140" w:dyaOrig="5280" w14:anchorId="475A13BB">
          <v:shape id="_x0000_i1053" type="#_x0000_t75" style="width:448.9pt;height:234.15pt" o:ole="">
            <v:imagedata r:id="rId65" o:title=""/>
          </v:shape>
          <o:OLEObject Type="Embed" ProgID="Visio.Drawing.11" ShapeID="_x0000_i1053" DrawAspect="Content" ObjectID="_1811772387" r:id="rId66"/>
        </w:object>
      </w:r>
    </w:p>
    <w:p w14:paraId="4909C6BC" w14:textId="77777777" w:rsidR="00D40151" w:rsidRPr="00873B6C" w:rsidRDefault="00D40151" w:rsidP="00D40151">
      <w:pPr>
        <w:pStyle w:val="TF"/>
      </w:pPr>
      <w:bookmarkStart w:id="271" w:name="_CRFigure4_2_8_42"/>
      <w:r w:rsidRPr="00873B6C">
        <w:t xml:space="preserve">Figure </w:t>
      </w:r>
      <w:bookmarkEnd w:id="271"/>
      <w:r w:rsidRPr="00873B6C">
        <w:t>4.2.8.4-2: Non- roaming architecture for 5G Core Network for FN-RG with Wireline 5G Access network and NG RAN</w:t>
      </w:r>
    </w:p>
    <w:p w14:paraId="1719E7DA" w14:textId="77777777" w:rsidR="00D40151" w:rsidRPr="00873B6C" w:rsidRDefault="00D40151" w:rsidP="00D40151">
      <w:pPr>
        <w:rPr>
          <w:lang w:eastAsia="x-none"/>
        </w:rPr>
      </w:pPr>
      <w:r w:rsidRPr="00873B6C">
        <w:rPr>
          <w:lang w:eastAsia="x-none"/>
        </w:rPr>
        <w:t>The N1 for the FN-RG, which is not 5G capable, is terminated on W-AGF which acts on behalf of the FN-RG.</w:t>
      </w:r>
    </w:p>
    <w:p w14:paraId="57E04998" w14:textId="77777777" w:rsidR="00D40151" w:rsidRPr="00873B6C" w:rsidRDefault="00D40151" w:rsidP="00D40151">
      <w:pPr>
        <w:rPr>
          <w:lang w:eastAsia="x-none"/>
        </w:rPr>
      </w:pPr>
      <w:r w:rsidRPr="00873B6C">
        <w:rPr>
          <w:lang w:eastAsia="x-none"/>
        </w:rPr>
        <w:t>The FN-RG can only be connected to 5GC via W-5GAN.</w:t>
      </w:r>
    </w:p>
    <w:p w14:paraId="52743D49" w14:textId="4F8754E4" w:rsidR="00D40151" w:rsidRPr="00873B6C" w:rsidRDefault="00D40151" w:rsidP="00D40151">
      <w:pPr>
        <w:pStyle w:val="NO"/>
      </w:pPr>
      <w:r w:rsidRPr="00873B6C">
        <w:t>NOTE 5:</w:t>
      </w:r>
      <w:r w:rsidRPr="00873B6C">
        <w:tab/>
        <w:t>The reference architecture in figure 4.2.8.4-2 only shows the architecture and the network functions directly connected to Wireline 5G Access Network</w:t>
      </w:r>
      <w:r w:rsidR="00472CD7" w:rsidRPr="00873B6C">
        <w:t xml:space="preserve"> and</w:t>
      </w:r>
      <w:r w:rsidRPr="00873B6C">
        <w:t xml:space="preserve"> other parts of the architecture are the same as defined in clause 4.2.</w:t>
      </w:r>
    </w:p>
    <w:p w14:paraId="505FF708" w14:textId="77777777" w:rsidR="00D40151" w:rsidRPr="00873B6C" w:rsidRDefault="00D40151" w:rsidP="00D40151">
      <w:pPr>
        <w:pStyle w:val="NO"/>
      </w:pPr>
      <w:r w:rsidRPr="00873B6C">
        <w:t>NOTE 6:</w:t>
      </w:r>
      <w:r w:rsidRPr="00873B6C">
        <w:tab/>
        <w:t>The reference architecture in figure 4.2.8.4-1 supports service based interfaces for AMF, SMF and other NFs not represented in the figure.</w:t>
      </w:r>
    </w:p>
    <w:p w14:paraId="0C94BBC3" w14:textId="77777777" w:rsidR="00D40151" w:rsidRPr="00873B6C" w:rsidRDefault="00D40151" w:rsidP="00D40151">
      <w:pPr>
        <w:pStyle w:val="Heading4"/>
      </w:pPr>
      <w:bookmarkStart w:id="272" w:name="_CR4_2_8_5"/>
      <w:bookmarkStart w:id="273" w:name="_Toc20149651"/>
      <w:bookmarkStart w:id="274" w:name="_Toc27846442"/>
      <w:bookmarkStart w:id="275" w:name="_Toc36187566"/>
      <w:bookmarkStart w:id="276" w:name="_Toc45183470"/>
      <w:bookmarkStart w:id="277" w:name="_Toc47342312"/>
      <w:bookmarkStart w:id="278" w:name="_Toc51769010"/>
      <w:bookmarkStart w:id="279" w:name="_Toc201156923"/>
      <w:bookmarkEnd w:id="272"/>
      <w:r w:rsidRPr="00873B6C">
        <w:t>4.2.8.5</w:t>
      </w:r>
      <w:r w:rsidRPr="00873B6C">
        <w:tab/>
        <w:t>Access to 5GC from devices that do not support 5GC NAS over WLAN access</w:t>
      </w:r>
      <w:bookmarkEnd w:id="273"/>
      <w:bookmarkEnd w:id="274"/>
      <w:bookmarkEnd w:id="275"/>
      <w:bookmarkEnd w:id="276"/>
      <w:bookmarkEnd w:id="277"/>
      <w:bookmarkEnd w:id="278"/>
      <w:bookmarkEnd w:id="279"/>
    </w:p>
    <w:p w14:paraId="40F3D0C0" w14:textId="77777777" w:rsidR="00D40151" w:rsidRPr="00873B6C" w:rsidRDefault="00D40151" w:rsidP="00D40151">
      <w:pPr>
        <w:pStyle w:val="Heading5"/>
      </w:pPr>
      <w:bookmarkStart w:id="280" w:name="_CR4_2_8_5_1"/>
      <w:bookmarkStart w:id="281" w:name="_Toc20149652"/>
      <w:bookmarkStart w:id="282" w:name="_Toc27846443"/>
      <w:bookmarkStart w:id="283" w:name="_Toc36187567"/>
      <w:bookmarkStart w:id="284" w:name="_Toc45183471"/>
      <w:bookmarkStart w:id="285" w:name="_Toc47342313"/>
      <w:bookmarkStart w:id="286" w:name="_Toc51769011"/>
      <w:bookmarkStart w:id="287" w:name="_Toc201156924"/>
      <w:bookmarkEnd w:id="280"/>
      <w:r w:rsidRPr="00873B6C">
        <w:t>4.2.8.5.1</w:t>
      </w:r>
      <w:r w:rsidRPr="00873B6C">
        <w:tab/>
        <w:t>General</w:t>
      </w:r>
      <w:bookmarkEnd w:id="281"/>
      <w:bookmarkEnd w:id="282"/>
      <w:bookmarkEnd w:id="283"/>
      <w:bookmarkEnd w:id="284"/>
      <w:bookmarkEnd w:id="285"/>
      <w:bookmarkEnd w:id="286"/>
      <w:bookmarkEnd w:id="287"/>
    </w:p>
    <w:p w14:paraId="649C3655" w14:textId="77777777" w:rsidR="00D40151" w:rsidRPr="00873B6C" w:rsidRDefault="00D40151" w:rsidP="00D40151">
      <w:pPr>
        <w:rPr>
          <w:lang w:eastAsia="x-none"/>
        </w:rPr>
      </w:pPr>
      <w:r w:rsidRPr="00873B6C">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873B6C" w:rsidRDefault="00D40151" w:rsidP="00D40151">
      <w:pPr>
        <w:rPr>
          <w:lang w:eastAsia="x-none"/>
        </w:rPr>
      </w:pPr>
      <w:r w:rsidRPr="00873B6C">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38D2E291" w:rsidR="00D40151" w:rsidRPr="00873B6C" w:rsidRDefault="00D40151" w:rsidP="00D40151">
      <w:pPr>
        <w:rPr>
          <w:lang w:eastAsia="x-none"/>
        </w:rPr>
      </w:pPr>
      <w:r w:rsidRPr="00873B6C">
        <w:rPr>
          <w:lang w:eastAsia="x-none"/>
        </w:rPr>
        <w:t>When a N5CW device performs an EAP-based access authentication procedure to connect to a trusted WLAN access network, the N5CW device may simultaneously be registered to a 5GC of a PLMN</w:t>
      </w:r>
      <w:r w:rsidR="0022127D" w:rsidRPr="00873B6C">
        <w:rPr>
          <w:lang w:eastAsia="x-none"/>
        </w:rPr>
        <w:t xml:space="preserve"> or SNPN</w:t>
      </w:r>
      <w:r w:rsidRPr="00873B6C">
        <w:rPr>
          <w:lang w:eastAsia="x-none"/>
        </w:rPr>
        <w:t xml:space="preserve">.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972E70" w:rsidRPr="00873B6C">
        <w:rPr>
          <w:lang w:eastAsia="x-none"/>
        </w:rPr>
        <w:t>TS 33.501 [</w:t>
      </w:r>
      <w:r w:rsidRPr="00873B6C">
        <w:rPr>
          <w:lang w:eastAsia="x-none"/>
        </w:rPr>
        <w:t>29].</w:t>
      </w:r>
      <w:r w:rsidR="00182EE7" w:rsidRPr="00873B6C">
        <w:rPr>
          <w:lang w:eastAsia="x-none"/>
        </w:rPr>
        <w:t xml:space="preserve"> In this Release of the specification, Trusted WLAN Access for N5CW Device only supports IP PDU Session type.</w:t>
      </w:r>
    </w:p>
    <w:p w14:paraId="48B153CC" w14:textId="77777777" w:rsidR="00D40151" w:rsidRPr="00873B6C" w:rsidRDefault="00D40151" w:rsidP="00D40151">
      <w:pPr>
        <w:pStyle w:val="Heading5"/>
      </w:pPr>
      <w:bookmarkStart w:id="288" w:name="_CR4_2_8_5_2"/>
      <w:bookmarkStart w:id="289" w:name="_Toc20149653"/>
      <w:bookmarkStart w:id="290" w:name="_Toc27846444"/>
      <w:bookmarkStart w:id="291" w:name="_Toc36187568"/>
      <w:bookmarkStart w:id="292" w:name="_Toc45183472"/>
      <w:bookmarkStart w:id="293" w:name="_Toc47342314"/>
      <w:bookmarkStart w:id="294" w:name="_Toc51769012"/>
      <w:bookmarkStart w:id="295" w:name="_Toc201156925"/>
      <w:bookmarkEnd w:id="288"/>
      <w:r w:rsidRPr="00873B6C">
        <w:lastRenderedPageBreak/>
        <w:t>4.2.8.5.2</w:t>
      </w:r>
      <w:r w:rsidRPr="00873B6C">
        <w:tab/>
        <w:t>Reference Architecture</w:t>
      </w:r>
      <w:bookmarkEnd w:id="289"/>
      <w:bookmarkEnd w:id="290"/>
      <w:bookmarkEnd w:id="291"/>
      <w:bookmarkEnd w:id="292"/>
      <w:bookmarkEnd w:id="293"/>
      <w:bookmarkEnd w:id="294"/>
      <w:bookmarkEnd w:id="295"/>
    </w:p>
    <w:p w14:paraId="55E8A12F" w14:textId="34339EB2" w:rsidR="00D40151" w:rsidRPr="00873B6C" w:rsidRDefault="00D40151" w:rsidP="00D40151">
      <w:pPr>
        <w:rPr>
          <w:lang w:eastAsia="x-none"/>
        </w:rPr>
      </w:pPr>
      <w:r w:rsidRPr="00873B6C">
        <w:rPr>
          <w:lang w:eastAsia="x-none"/>
        </w:rPr>
        <w:t>The architecture diagram</w:t>
      </w:r>
      <w:r w:rsidR="0022127D" w:rsidRPr="00873B6C">
        <w:rPr>
          <w:lang w:eastAsia="x-none"/>
        </w:rPr>
        <w:t xml:space="preserve"> in Figure 4.2.8.5.2-1</w:t>
      </w:r>
      <w:r w:rsidRPr="00873B6C">
        <w:rPr>
          <w:lang w:eastAsia="x-none"/>
        </w:rPr>
        <w:t xml:space="preserve"> is based on the general 5GS architecture diagrams in clause 4.2 and shows the main network functions required to support 5GC access from N5CW devices. Other network functions are not shown for simplicity.</w:t>
      </w:r>
    </w:p>
    <w:p w14:paraId="587C6D60" w14:textId="77777777" w:rsidR="00D40151" w:rsidRPr="00873B6C" w:rsidRDefault="00D40151" w:rsidP="00D40151">
      <w:pPr>
        <w:pStyle w:val="TH"/>
      </w:pPr>
      <w:r w:rsidRPr="00873B6C">
        <w:object w:dxaOrig="10150" w:dyaOrig="5021" w14:anchorId="65B3C2E0">
          <v:shape id="_x0000_i1054" type="#_x0000_t75" style="width:475.85pt;height:237.3pt" o:ole="">
            <v:imagedata r:id="rId67" o:title=""/>
          </v:shape>
          <o:OLEObject Type="Embed" ProgID="Visio.Drawing.11" ShapeID="_x0000_i1054" DrawAspect="Content" ObjectID="_1811772388" r:id="rId68"/>
        </w:object>
      </w:r>
    </w:p>
    <w:p w14:paraId="387CEBE5" w14:textId="77777777" w:rsidR="00D40151" w:rsidRPr="00873B6C" w:rsidRDefault="00D40151" w:rsidP="00D40151">
      <w:pPr>
        <w:pStyle w:val="TF"/>
      </w:pPr>
      <w:bookmarkStart w:id="296" w:name="_CRFigure4_2_8_5_21"/>
      <w:r w:rsidRPr="00873B6C">
        <w:t xml:space="preserve">Figure </w:t>
      </w:r>
      <w:bookmarkEnd w:id="296"/>
      <w:r w:rsidRPr="00873B6C">
        <w:t>4.2.8.5.2-1: Non-roaming and LBO Roaming Architecture for supporting 5GC access from N5CW devices</w:t>
      </w:r>
    </w:p>
    <w:p w14:paraId="05275409" w14:textId="16B68A9D" w:rsidR="0022127D" w:rsidRPr="00873B6C" w:rsidRDefault="0022127D" w:rsidP="0022127D">
      <w:pPr>
        <w:rPr>
          <w:lang w:eastAsia="x-none"/>
        </w:rPr>
      </w:pPr>
      <w:bookmarkStart w:id="297" w:name="_Toc20149654"/>
      <w:bookmarkStart w:id="298" w:name="_Toc27846445"/>
      <w:bookmarkStart w:id="299" w:name="_Toc36187569"/>
      <w:bookmarkStart w:id="300" w:name="_Toc45183473"/>
      <w:bookmarkStart w:id="301" w:name="_Toc47342315"/>
      <w:bookmarkStart w:id="302" w:name="_Toc51769013"/>
      <w:r w:rsidRPr="00873B6C">
        <w:rPr>
          <w:lang w:eastAsia="x-none"/>
        </w:rPr>
        <w:t>The reference architecture in Figure 4.2.8.5.2-1 also supports N5CW device access to the subscribed SNPN or access to the SNPN with credentials owned by Credentials Holder. Other parts of the architecture are the same as defined in clause 5.30.2.9.</w:t>
      </w:r>
    </w:p>
    <w:p w14:paraId="2B7278E0" w14:textId="77777777" w:rsidR="00D40151" w:rsidRPr="00873B6C" w:rsidRDefault="00D40151" w:rsidP="00D40151">
      <w:pPr>
        <w:pStyle w:val="Heading5"/>
      </w:pPr>
      <w:bookmarkStart w:id="303" w:name="_CR4_2_8_5_3"/>
      <w:bookmarkStart w:id="304" w:name="_Toc201156926"/>
      <w:bookmarkEnd w:id="303"/>
      <w:r w:rsidRPr="00873B6C">
        <w:t>4.2.8.5.3</w:t>
      </w:r>
      <w:r w:rsidRPr="00873B6C">
        <w:tab/>
        <w:t>Network Functions</w:t>
      </w:r>
      <w:bookmarkEnd w:id="297"/>
      <w:bookmarkEnd w:id="298"/>
      <w:bookmarkEnd w:id="299"/>
      <w:bookmarkEnd w:id="300"/>
      <w:bookmarkEnd w:id="301"/>
      <w:bookmarkEnd w:id="302"/>
      <w:bookmarkEnd w:id="304"/>
    </w:p>
    <w:p w14:paraId="6193E431" w14:textId="77777777" w:rsidR="00D40151" w:rsidRPr="00873B6C" w:rsidRDefault="00D40151" w:rsidP="00D40151">
      <w:pPr>
        <w:rPr>
          <w:lang w:eastAsia="x-none"/>
        </w:rPr>
      </w:pPr>
      <w:r w:rsidRPr="00873B6C">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873B6C" w:rsidRDefault="00D40151" w:rsidP="00D40151">
      <w:pPr>
        <w:rPr>
          <w:lang w:eastAsia="x-none"/>
        </w:rPr>
      </w:pPr>
      <w:r w:rsidRPr="00873B6C">
        <w:rPr>
          <w:lang w:eastAsia="x-none"/>
        </w:rPr>
        <w:t>Trusted WLAN Interworking Function (TWIF): It provides interworking functionality that enables N5CW devices to access 5GC. The TWIF supports the following functions:</w:t>
      </w:r>
    </w:p>
    <w:p w14:paraId="5C946F52" w14:textId="77777777" w:rsidR="00D40151" w:rsidRPr="00873B6C" w:rsidRDefault="00D40151" w:rsidP="00D40151">
      <w:pPr>
        <w:pStyle w:val="B1"/>
      </w:pPr>
      <w:r w:rsidRPr="00873B6C">
        <w:t>-</w:t>
      </w:r>
      <w:r w:rsidRPr="00873B6C">
        <w:tab/>
        <w:t>Terminates the N1, N2 and N3 interfaces.</w:t>
      </w:r>
    </w:p>
    <w:p w14:paraId="457F8FBB" w14:textId="77777777" w:rsidR="00D40151" w:rsidRPr="00873B6C" w:rsidRDefault="00D40151" w:rsidP="00D40151">
      <w:pPr>
        <w:pStyle w:val="B1"/>
      </w:pPr>
      <w:r w:rsidRPr="00873B6C">
        <w:t>-</w:t>
      </w:r>
      <w:r w:rsidRPr="00873B6C">
        <w:tab/>
        <w:t>Implements the AMF selection procedure.</w:t>
      </w:r>
    </w:p>
    <w:p w14:paraId="49B9D04D" w14:textId="77777777" w:rsidR="00D40151" w:rsidRPr="00873B6C" w:rsidRDefault="00D40151" w:rsidP="00D40151">
      <w:pPr>
        <w:pStyle w:val="B1"/>
      </w:pPr>
      <w:r w:rsidRPr="00873B6C">
        <w:t>-</w:t>
      </w:r>
      <w:r w:rsidRPr="00873B6C">
        <w:tab/>
        <w:t>Implements the NAS protocol stack and exchanges NAS messages with the AMF on behalf of the N5CW device.</w:t>
      </w:r>
    </w:p>
    <w:p w14:paraId="7878EBDE" w14:textId="77777777" w:rsidR="00D40151" w:rsidRPr="00873B6C" w:rsidRDefault="00D40151" w:rsidP="00D40151">
      <w:pPr>
        <w:pStyle w:val="B1"/>
      </w:pPr>
      <w:r w:rsidRPr="00873B6C">
        <w:t>-</w:t>
      </w:r>
      <w:r w:rsidRPr="00873B6C">
        <w:tab/>
        <w:t>On the user plane, it relays protocol data units (PDUs) between the Yw interface and the N3 interface.</w:t>
      </w:r>
    </w:p>
    <w:p w14:paraId="51FD91F1" w14:textId="77777777" w:rsidR="00D40151" w:rsidRPr="00873B6C" w:rsidRDefault="00D40151" w:rsidP="00D40151">
      <w:pPr>
        <w:pStyle w:val="B1"/>
      </w:pPr>
      <w:r w:rsidRPr="00873B6C">
        <w:t>-</w:t>
      </w:r>
      <w:r w:rsidRPr="00873B6C">
        <w:tab/>
        <w:t>May implement a local mobility anchor within the trusted WLAN access network.</w:t>
      </w:r>
    </w:p>
    <w:p w14:paraId="07D4B2C8" w14:textId="77777777" w:rsidR="00D40151" w:rsidRPr="00873B6C" w:rsidRDefault="00D40151" w:rsidP="00D40151">
      <w:pPr>
        <w:pStyle w:val="Heading5"/>
      </w:pPr>
      <w:bookmarkStart w:id="305" w:name="_CR4_2_8_5_4"/>
      <w:bookmarkStart w:id="306" w:name="_Toc20149655"/>
      <w:bookmarkStart w:id="307" w:name="_Toc27846446"/>
      <w:bookmarkStart w:id="308" w:name="_Toc36187570"/>
      <w:bookmarkStart w:id="309" w:name="_Toc45183474"/>
      <w:bookmarkStart w:id="310" w:name="_Toc47342316"/>
      <w:bookmarkStart w:id="311" w:name="_Toc51769014"/>
      <w:bookmarkStart w:id="312" w:name="_Toc201156927"/>
      <w:bookmarkEnd w:id="305"/>
      <w:r w:rsidRPr="00873B6C">
        <w:t>4.2.8.5.4</w:t>
      </w:r>
      <w:r w:rsidRPr="00873B6C">
        <w:tab/>
        <w:t>Reference Points</w:t>
      </w:r>
      <w:bookmarkEnd w:id="306"/>
      <w:bookmarkEnd w:id="307"/>
      <w:bookmarkEnd w:id="308"/>
      <w:bookmarkEnd w:id="309"/>
      <w:bookmarkEnd w:id="310"/>
      <w:bookmarkEnd w:id="311"/>
      <w:bookmarkEnd w:id="312"/>
    </w:p>
    <w:p w14:paraId="05DB492C" w14:textId="77777777" w:rsidR="00D40151" w:rsidRPr="00873B6C" w:rsidRDefault="00D40151" w:rsidP="00D40151">
      <w:pPr>
        <w:rPr>
          <w:lang w:eastAsia="x-none"/>
        </w:rPr>
      </w:pPr>
      <w:r w:rsidRPr="00873B6C">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873B6C" w:rsidRDefault="00D40151" w:rsidP="00D40151">
      <w:pPr>
        <w:pStyle w:val="B1"/>
      </w:pPr>
      <w:r w:rsidRPr="00873B6C">
        <w:t>-</w:t>
      </w:r>
      <w:r w:rsidRPr="00873B6C">
        <w:tab/>
        <w:t>Shall be able to transport authentication messages between the TNAP and the TWIF for enabling authentication of a N5CW device;</w:t>
      </w:r>
    </w:p>
    <w:p w14:paraId="456AB87C" w14:textId="77777777" w:rsidR="00D40151" w:rsidRPr="00873B6C" w:rsidRDefault="00D40151" w:rsidP="00D40151">
      <w:pPr>
        <w:pStyle w:val="B1"/>
      </w:pPr>
      <w:r w:rsidRPr="00873B6C">
        <w:lastRenderedPageBreak/>
        <w:t>-</w:t>
      </w:r>
      <w:r w:rsidRPr="00873B6C">
        <w:tab/>
        <w:t>Shall allow the N5CW device to request and receive IP configuration from the TWIF, including an IP address, e.g. with DHCP.</w:t>
      </w:r>
    </w:p>
    <w:p w14:paraId="2A344730" w14:textId="77777777" w:rsidR="00D40151" w:rsidRPr="00873B6C" w:rsidRDefault="00D40151" w:rsidP="00D40151">
      <w:pPr>
        <w:pStyle w:val="B1"/>
      </w:pPr>
      <w:r w:rsidRPr="00873B6C">
        <w:t>-</w:t>
      </w:r>
      <w:r w:rsidRPr="00873B6C">
        <w:tab/>
        <w:t>Shall support the transport of user-plane traffic for the N5CW device.</w:t>
      </w:r>
    </w:p>
    <w:p w14:paraId="329BC39F" w14:textId="77777777" w:rsidR="00D40151" w:rsidRPr="00873B6C" w:rsidRDefault="00D40151" w:rsidP="00D40151">
      <w:pPr>
        <w:rPr>
          <w:lang w:eastAsia="x-none"/>
        </w:rPr>
      </w:pPr>
      <w:r w:rsidRPr="00873B6C">
        <w:rPr>
          <w:lang w:eastAsia="x-none"/>
        </w:rPr>
        <w:t>The N1, N2 and N3 reference points are the same reference points defined in clause 4.2.7.</w:t>
      </w:r>
    </w:p>
    <w:p w14:paraId="1CAC73AB" w14:textId="77777777" w:rsidR="00D40151" w:rsidRPr="00873B6C" w:rsidRDefault="00D40151" w:rsidP="00D40151">
      <w:pPr>
        <w:pStyle w:val="Heading3"/>
      </w:pPr>
      <w:bookmarkStart w:id="313" w:name="_CR4_2_9"/>
      <w:bookmarkStart w:id="314" w:name="_Toc20149656"/>
      <w:bookmarkStart w:id="315" w:name="_Toc27846447"/>
      <w:bookmarkStart w:id="316" w:name="_Toc36187571"/>
      <w:bookmarkStart w:id="317" w:name="_Toc45183475"/>
      <w:bookmarkStart w:id="318" w:name="_Toc47342317"/>
      <w:bookmarkStart w:id="319" w:name="_Toc51769015"/>
      <w:bookmarkStart w:id="320" w:name="_Toc201156928"/>
      <w:bookmarkEnd w:id="313"/>
      <w:r w:rsidRPr="00873B6C">
        <w:t>4.2.9</w:t>
      </w:r>
      <w:r w:rsidRPr="00873B6C">
        <w:tab/>
        <w:t>Network Analytics architecture</w:t>
      </w:r>
      <w:bookmarkEnd w:id="314"/>
      <w:bookmarkEnd w:id="315"/>
      <w:bookmarkEnd w:id="316"/>
      <w:bookmarkEnd w:id="317"/>
      <w:bookmarkEnd w:id="318"/>
      <w:bookmarkEnd w:id="319"/>
      <w:bookmarkEnd w:id="320"/>
    </w:p>
    <w:p w14:paraId="1EDE36D9" w14:textId="714D8389" w:rsidR="00D40151" w:rsidRPr="00873B6C" w:rsidRDefault="00D40151" w:rsidP="00D40151">
      <w:r w:rsidRPr="00873B6C">
        <w:t xml:space="preserve">The Network Analytics architecture is defined in </w:t>
      </w:r>
      <w:r w:rsidR="00972E70" w:rsidRPr="00873B6C">
        <w:t>TS 23.288 [</w:t>
      </w:r>
      <w:r w:rsidRPr="00873B6C">
        <w:t>86].</w:t>
      </w:r>
    </w:p>
    <w:p w14:paraId="4DEAE07F" w14:textId="77777777" w:rsidR="00D40151" w:rsidRPr="00873B6C" w:rsidRDefault="00D40151" w:rsidP="00D40151">
      <w:pPr>
        <w:pStyle w:val="Heading3"/>
      </w:pPr>
      <w:bookmarkStart w:id="321" w:name="_CR4_2_10"/>
      <w:bookmarkStart w:id="322" w:name="_Toc20149657"/>
      <w:bookmarkStart w:id="323" w:name="_Toc27846448"/>
      <w:bookmarkStart w:id="324" w:name="_Toc36187572"/>
      <w:bookmarkStart w:id="325" w:name="_Toc45183476"/>
      <w:bookmarkStart w:id="326" w:name="_Toc47342318"/>
      <w:bookmarkStart w:id="327" w:name="_Toc51769016"/>
      <w:bookmarkStart w:id="328" w:name="_Toc201156929"/>
      <w:bookmarkEnd w:id="321"/>
      <w:r w:rsidRPr="00873B6C">
        <w:t>4.2.10</w:t>
      </w:r>
      <w:r w:rsidRPr="00873B6C">
        <w:tab/>
        <w:t>Architecture Reference Model for ATSSS Support</w:t>
      </w:r>
      <w:bookmarkEnd w:id="322"/>
      <w:bookmarkEnd w:id="323"/>
      <w:bookmarkEnd w:id="324"/>
      <w:bookmarkEnd w:id="325"/>
      <w:bookmarkEnd w:id="326"/>
      <w:bookmarkEnd w:id="327"/>
      <w:bookmarkEnd w:id="328"/>
    </w:p>
    <w:p w14:paraId="46B354C8" w14:textId="77777777" w:rsidR="00D40151" w:rsidRPr="00873B6C" w:rsidRDefault="00D40151" w:rsidP="00D40151">
      <w:r w:rsidRPr="00873B6C">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E488B4F" w:rsidR="00D40151" w:rsidRPr="00873B6C" w:rsidRDefault="00D40151" w:rsidP="00D40151">
      <w:pPr>
        <w:pStyle w:val="B1"/>
      </w:pPr>
      <w:r w:rsidRPr="00873B6C">
        <w:t>-</w:t>
      </w:r>
      <w:r w:rsidRPr="00873B6C">
        <w:tab/>
        <w:t xml:space="preserve">The UE supports one or more of the steering functionalities specified in clause 5.32.6, </w:t>
      </w:r>
      <w:r w:rsidR="007C2ADF" w:rsidRPr="00873B6C">
        <w:t xml:space="preserve">i.e. the </w:t>
      </w:r>
      <w:r w:rsidRPr="00873B6C">
        <w:t>MPTCP functionality</w:t>
      </w:r>
      <w:r w:rsidR="007C2ADF" w:rsidRPr="00873B6C">
        <w:t>, the MPQUIC functionality</w:t>
      </w:r>
      <w:r w:rsidRPr="00873B6C">
        <w:t xml:space="preserve"> and</w:t>
      </w:r>
      <w:r w:rsidR="007C2ADF" w:rsidRPr="00873B6C">
        <w:t xml:space="preserve"> the </w:t>
      </w:r>
      <w:r w:rsidRPr="00873B6C">
        <w:t>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53FA87C7" w:rsidR="00D40151" w:rsidRPr="00873B6C" w:rsidRDefault="00D40151" w:rsidP="00D40151">
      <w:pPr>
        <w:pStyle w:val="B1"/>
      </w:pPr>
      <w:r w:rsidRPr="00873B6C">
        <w:t>-</w:t>
      </w:r>
      <w:r w:rsidRPr="00873B6C">
        <w:tab/>
        <w:t xml:space="preserve">The UPF may support </w:t>
      </w:r>
      <w:r w:rsidR="007C2ADF" w:rsidRPr="00873B6C">
        <w:t xml:space="preserve">the </w:t>
      </w:r>
      <w:r w:rsidRPr="00873B6C">
        <w:t>MPTCP Proxy functionality, which communicates with the MPTCP functionality in the UE by using the MPTCP protocol (IETF RFC 8684 [81])</w:t>
      </w:r>
      <w:r w:rsidR="007C2ADF" w:rsidRPr="00873B6C">
        <w:t>, as defined in clause 5.32.6.2.1</w:t>
      </w:r>
      <w:r w:rsidRPr="00873B6C">
        <w:t>.</w:t>
      </w:r>
    </w:p>
    <w:p w14:paraId="5D7EE497" w14:textId="278B8CD2" w:rsidR="007C2ADF" w:rsidRPr="00873B6C" w:rsidRDefault="007C2ADF" w:rsidP="00D40151">
      <w:pPr>
        <w:pStyle w:val="B1"/>
      </w:pPr>
      <w:r w:rsidRPr="00873B6C">
        <w:t>-</w:t>
      </w:r>
      <w:r w:rsidRPr="00873B6C">
        <w:tab/>
        <w:t>The UPF may support the MPQUIC Proxy functionality, which communicates with the MPQUIC functionality in the UE by using the QUIC protocol (RFC 9000 [166], RFC 9001 [167], RFC 9002 [168]) and its multipath extensions (draft-ietf-quic-multipath [174]), as defined in clause 5.32.6.2.2.</w:t>
      </w:r>
    </w:p>
    <w:p w14:paraId="18197861" w14:textId="66FF7068" w:rsidR="00D40151" w:rsidRPr="00873B6C" w:rsidRDefault="00D40151" w:rsidP="00D40151">
      <w:pPr>
        <w:pStyle w:val="B1"/>
      </w:pPr>
      <w:r w:rsidRPr="00873B6C">
        <w:t>-</w:t>
      </w:r>
      <w:r w:rsidRPr="00873B6C">
        <w:tab/>
        <w:t>The UPF may support ATSSS-LL functionality, which is similar to the ATSSS-LL functionality defined for the UE. There is no user plane protocol defined between the ATSSS-LL functionality in the UE and the ATSSS-LL functionality in the UPF.</w:t>
      </w:r>
    </w:p>
    <w:p w14:paraId="242BEB7F" w14:textId="77777777" w:rsidR="00D40151" w:rsidRPr="00873B6C" w:rsidRDefault="00D40151" w:rsidP="00D40151">
      <w:pPr>
        <w:pStyle w:val="NO"/>
      </w:pPr>
      <w:r w:rsidRPr="00873B6C">
        <w:t>NOTE 1:</w:t>
      </w:r>
      <w:r w:rsidRPr="00873B6C">
        <w:tab/>
        <w:t>ATSSS-LL functionality is needed in the 5GC for MA PDU Session of type Ethernet.</w:t>
      </w:r>
    </w:p>
    <w:p w14:paraId="43F61AD6" w14:textId="77777777" w:rsidR="00D40151" w:rsidRPr="00873B6C" w:rsidRDefault="00D40151" w:rsidP="00D40151">
      <w:pPr>
        <w:pStyle w:val="B1"/>
      </w:pPr>
      <w:r w:rsidRPr="00873B6C">
        <w:t>-</w:t>
      </w:r>
      <w:r w:rsidRPr="00873B6C">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873B6C" w:rsidRDefault="00D40151" w:rsidP="00D40151">
      <w:pPr>
        <w:pStyle w:val="B1"/>
      </w:pPr>
      <w:r w:rsidRPr="00873B6C">
        <w:t>-</w:t>
      </w:r>
      <w:r w:rsidRPr="00873B6C">
        <w:tab/>
        <w:t>The AMF, SMF and PCF are extended with new functionality that is further discussed in clause 5.32.</w:t>
      </w:r>
    </w:p>
    <w:p w14:paraId="5B3FEB80" w14:textId="5425F2A6" w:rsidR="007C2ADF" w:rsidRPr="00873B6C" w:rsidRDefault="007C2ADF" w:rsidP="005A13C0">
      <w:pPr>
        <w:pStyle w:val="TH"/>
      </w:pPr>
      <w:r w:rsidRPr="00873B6C">
        <w:object w:dxaOrig="9000" w:dyaOrig="4220" w14:anchorId="27BE8CA2">
          <v:shape id="_x0000_i1055" type="#_x0000_t75" style="width:450.15pt;height:211.6pt" o:ole="">
            <v:imagedata r:id="rId69" o:title=""/>
          </v:shape>
          <o:OLEObject Type="Embed" ProgID="Visio.Drawing.15" ShapeID="_x0000_i1055" DrawAspect="Content" ObjectID="_1811772389" r:id="rId70"/>
        </w:object>
      </w:r>
    </w:p>
    <w:p w14:paraId="44125946" w14:textId="2A8C164A" w:rsidR="00D40151" w:rsidRPr="00873B6C" w:rsidRDefault="00D40151" w:rsidP="00D40151">
      <w:pPr>
        <w:pStyle w:val="TF"/>
      </w:pPr>
      <w:bookmarkStart w:id="329" w:name="_CRFigure4_2_101"/>
      <w:r w:rsidRPr="00873B6C">
        <w:t xml:space="preserve">Figure </w:t>
      </w:r>
      <w:bookmarkEnd w:id="329"/>
      <w:r w:rsidRPr="00873B6C">
        <w:t>4.2.10-1: Non-roaming and Roaming with Local Breakout architecture for ATSSS support</w:t>
      </w:r>
    </w:p>
    <w:p w14:paraId="0EF7B9FC" w14:textId="4FB363AF" w:rsidR="00D40151" w:rsidRPr="00873B6C" w:rsidRDefault="00D40151" w:rsidP="00D40151">
      <w:pPr>
        <w:pStyle w:val="NO"/>
      </w:pPr>
      <w:r w:rsidRPr="00873B6C">
        <w:lastRenderedPageBreak/>
        <w:t>NOTE 2:</w:t>
      </w:r>
      <w:r w:rsidRPr="00873B6C">
        <w:tab/>
        <w:t xml:space="preserve">The interactions between the UE and PCF that may be required for ATSSS control are specified in </w:t>
      </w:r>
      <w:r w:rsidR="00972E70" w:rsidRPr="00873B6C">
        <w:t>TS 23.503 [</w:t>
      </w:r>
      <w:r w:rsidRPr="00873B6C">
        <w:t>45].</w:t>
      </w:r>
    </w:p>
    <w:p w14:paraId="50A6AD12" w14:textId="78183002" w:rsidR="00D40151" w:rsidRPr="00873B6C" w:rsidRDefault="00D40151" w:rsidP="00D40151">
      <w:pPr>
        <w:pStyle w:val="NO"/>
      </w:pPr>
      <w:r w:rsidRPr="00873B6C">
        <w:t>NOTE 3:</w:t>
      </w:r>
      <w:r w:rsidRPr="00873B6C">
        <w:tab/>
      </w:r>
      <w:r w:rsidR="007C2ADF" w:rsidRPr="00873B6C">
        <w:t xml:space="preserve">The </w:t>
      </w:r>
      <w:r w:rsidRPr="00873B6C">
        <w:t>UPF</w:t>
      </w:r>
      <w:r w:rsidR="007C2ADF" w:rsidRPr="00873B6C">
        <w:t xml:space="preserve"> shown in Figure 4.2.10-1</w:t>
      </w:r>
      <w:r w:rsidRPr="00873B6C">
        <w:t xml:space="preserve"> can be connected via an N9 reference point, instead of the N3 reference point.</w:t>
      </w:r>
    </w:p>
    <w:p w14:paraId="254A720B" w14:textId="22649FD2" w:rsidR="00D40151" w:rsidRPr="00873B6C" w:rsidRDefault="00D40151" w:rsidP="00D40151">
      <w:r w:rsidRPr="00873B6C">
        <w:t>Figure 4.2.10-2 shows the 5G System Architecture for ATSSS support in a roaming case with home-routed traffic and when the UE is registered to the same VPLMN over 3GPP and non-3GPP accesses. In this case, the MPTCP Proxy functionality</w:t>
      </w:r>
      <w:r w:rsidR="007C2ADF" w:rsidRPr="00873B6C">
        <w:t>, the MPQUIC Proxy functionality</w:t>
      </w:r>
      <w:r w:rsidR="0029208C" w:rsidRPr="00873B6C">
        <w:t>, the ATSSS-LL functionality</w:t>
      </w:r>
      <w:r w:rsidRPr="00873B6C">
        <w:t xml:space="preserve"> and the PMF are located in the H-UPF.</w:t>
      </w:r>
    </w:p>
    <w:p w14:paraId="57D9C611" w14:textId="79ABCFDD" w:rsidR="007C2ADF" w:rsidRPr="00873B6C" w:rsidRDefault="005A13C0" w:rsidP="005A13C0">
      <w:pPr>
        <w:pStyle w:val="TH"/>
      </w:pPr>
      <w:r w:rsidRPr="00873B6C">
        <w:object w:dxaOrig="9640" w:dyaOrig="3970" w14:anchorId="1F69C551">
          <v:shape id="_x0000_i1056" type="#_x0000_t75" style="width:479.6pt;height:197.2pt" o:ole="">
            <v:imagedata r:id="rId71" o:title=""/>
          </v:shape>
          <o:OLEObject Type="Embed" ProgID="Visio.Drawing.15" ShapeID="_x0000_i1056" DrawAspect="Content" ObjectID="_1811772390" r:id="rId72"/>
        </w:object>
      </w:r>
    </w:p>
    <w:p w14:paraId="5EF1AA8E" w14:textId="76773FDC" w:rsidR="00D40151" w:rsidRPr="00873B6C" w:rsidRDefault="00D40151" w:rsidP="00D40151">
      <w:pPr>
        <w:pStyle w:val="TF"/>
      </w:pPr>
      <w:bookmarkStart w:id="330" w:name="_CRFigure4_2_102"/>
      <w:r w:rsidRPr="00873B6C">
        <w:t xml:space="preserve">Figure </w:t>
      </w:r>
      <w:bookmarkEnd w:id="330"/>
      <w:r w:rsidRPr="00873B6C">
        <w:t>4.2.10-2: Roaming with Home-routed architecture for ATSSS support (UE registered to the same VPLMN)</w:t>
      </w:r>
    </w:p>
    <w:p w14:paraId="7828F0C2" w14:textId="157D0926" w:rsidR="00D40151" w:rsidRPr="00873B6C" w:rsidRDefault="00D40151" w:rsidP="00D40151">
      <w:r w:rsidRPr="00873B6C">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w:t>
      </w:r>
      <w:r w:rsidR="007C2ADF" w:rsidRPr="00873B6C">
        <w:t>, the MPQUIC</w:t>
      </w:r>
      <w:r w:rsidR="003D49E0" w:rsidRPr="00873B6C">
        <w:t xml:space="preserve"> Proxy</w:t>
      </w:r>
      <w:r w:rsidR="007C2ADF" w:rsidRPr="00873B6C">
        <w:t xml:space="preserve"> functionality</w:t>
      </w:r>
      <w:r w:rsidR="0029208C" w:rsidRPr="00873B6C">
        <w:t>, the ATSSS-LL functionality</w:t>
      </w:r>
      <w:r w:rsidRPr="00873B6C">
        <w:t xml:space="preserve"> and the PMF are located in the H-UPF.</w:t>
      </w:r>
    </w:p>
    <w:p w14:paraId="2A94BD35" w14:textId="4A48FECD" w:rsidR="007C2ADF" w:rsidRPr="00873B6C" w:rsidRDefault="005A13C0" w:rsidP="005A13C0">
      <w:pPr>
        <w:pStyle w:val="TH"/>
      </w:pPr>
      <w:r w:rsidRPr="00873B6C">
        <w:object w:dxaOrig="9640" w:dyaOrig="4550" w14:anchorId="16D66811">
          <v:shape id="_x0000_i1057" type="#_x0000_t75" style="width:479.6pt;height:227.25pt" o:ole="">
            <v:imagedata r:id="rId73" o:title=""/>
          </v:shape>
          <o:OLEObject Type="Embed" ProgID="Visio.Drawing.15" ShapeID="_x0000_i1057" DrawAspect="Content" ObjectID="_1811772391" r:id="rId74"/>
        </w:object>
      </w:r>
    </w:p>
    <w:p w14:paraId="5A1F36FE" w14:textId="4D9364F4" w:rsidR="00D40151" w:rsidRPr="00873B6C" w:rsidRDefault="00D40151" w:rsidP="00D40151">
      <w:pPr>
        <w:pStyle w:val="TF"/>
      </w:pPr>
      <w:bookmarkStart w:id="331" w:name="_CRFigure4_2_103"/>
      <w:r w:rsidRPr="00873B6C">
        <w:t xml:space="preserve">Figure </w:t>
      </w:r>
      <w:bookmarkEnd w:id="331"/>
      <w:r w:rsidRPr="00873B6C">
        <w:t>4.2.10-3: Roaming with Home-routed architecture for ATSSS support (UE registered to different PLMNs)</w:t>
      </w:r>
    </w:p>
    <w:p w14:paraId="01209EC6" w14:textId="42BC32BC" w:rsidR="00607A94" w:rsidRPr="00873B6C" w:rsidRDefault="00607A94" w:rsidP="00607A94">
      <w:pPr>
        <w:pStyle w:val="Heading3"/>
      </w:pPr>
      <w:bookmarkStart w:id="332" w:name="_CR4_2_11"/>
      <w:bookmarkStart w:id="333" w:name="_Toc20149658"/>
      <w:bookmarkStart w:id="334" w:name="_Toc27846449"/>
      <w:bookmarkStart w:id="335" w:name="_Toc36187573"/>
      <w:bookmarkStart w:id="336" w:name="_Toc45183477"/>
      <w:bookmarkStart w:id="337" w:name="_Toc47342319"/>
      <w:bookmarkStart w:id="338" w:name="_Toc51769017"/>
      <w:bookmarkStart w:id="339" w:name="_Toc201156930"/>
      <w:bookmarkEnd w:id="332"/>
      <w:r w:rsidRPr="00873B6C">
        <w:lastRenderedPageBreak/>
        <w:t>4.2.11</w:t>
      </w:r>
      <w:r w:rsidRPr="00873B6C">
        <w:tab/>
        <w:t>Architecture for 5G multicast-broadcast services</w:t>
      </w:r>
      <w:bookmarkEnd w:id="339"/>
    </w:p>
    <w:p w14:paraId="48F33A40" w14:textId="6D36A83A" w:rsidR="00607A94" w:rsidRPr="00873B6C" w:rsidRDefault="00607A94" w:rsidP="00562E84">
      <w:r w:rsidRPr="00873B6C">
        <w:t xml:space="preserve">The architecture for 5G multicast-broadcast services is defined in </w:t>
      </w:r>
      <w:r w:rsidR="00972E70" w:rsidRPr="00873B6C">
        <w:t>TS 23.247 [</w:t>
      </w:r>
      <w:r w:rsidRPr="00873B6C">
        <w:t>129].</w:t>
      </w:r>
    </w:p>
    <w:p w14:paraId="1DF617FF" w14:textId="2B455300" w:rsidR="00160667" w:rsidRPr="00873B6C" w:rsidRDefault="00160667" w:rsidP="00160667">
      <w:pPr>
        <w:pStyle w:val="Heading3"/>
      </w:pPr>
      <w:bookmarkStart w:id="340" w:name="_CR4_2_12"/>
      <w:bookmarkStart w:id="341" w:name="_Toc201156931"/>
      <w:bookmarkEnd w:id="340"/>
      <w:r w:rsidRPr="00873B6C">
        <w:t>4.2.12</w:t>
      </w:r>
      <w:r w:rsidRPr="00873B6C">
        <w:tab/>
        <w:t>Architecture for Proximity based Services (ProSe) in 5GS</w:t>
      </w:r>
      <w:bookmarkEnd w:id="341"/>
    </w:p>
    <w:p w14:paraId="1D8DECC3" w14:textId="6E61959A" w:rsidR="00160667" w:rsidRPr="00873B6C" w:rsidRDefault="00160667" w:rsidP="00562E84">
      <w:r w:rsidRPr="00873B6C">
        <w:t xml:space="preserve">The architecture for Proximity based Services (ProSe) in the 5G System is defined in </w:t>
      </w:r>
      <w:r w:rsidR="00972E70" w:rsidRPr="00873B6C">
        <w:t>TS 23.304 [</w:t>
      </w:r>
      <w:r w:rsidRPr="00873B6C">
        <w:t>128].</w:t>
      </w:r>
    </w:p>
    <w:p w14:paraId="00B199E5" w14:textId="49D4E8CA" w:rsidR="00C84B6D" w:rsidRPr="00873B6C" w:rsidRDefault="00C84B6D" w:rsidP="00C84B6D">
      <w:pPr>
        <w:pStyle w:val="Heading3"/>
      </w:pPr>
      <w:bookmarkStart w:id="342" w:name="_CR4_2_13"/>
      <w:bookmarkStart w:id="343" w:name="_Toc201156932"/>
      <w:bookmarkEnd w:id="342"/>
      <w:r w:rsidRPr="00873B6C">
        <w:t>4.2.13</w:t>
      </w:r>
      <w:r w:rsidRPr="00873B6C">
        <w:tab/>
        <w:t>Architecture enhancements for Edge Computing</w:t>
      </w:r>
      <w:bookmarkEnd w:id="343"/>
    </w:p>
    <w:p w14:paraId="07F37922" w14:textId="073FE25B" w:rsidR="00C84B6D" w:rsidRPr="00873B6C" w:rsidRDefault="00C84B6D" w:rsidP="00562E84">
      <w:r w:rsidRPr="00873B6C">
        <w:t xml:space="preserve">The architecture enhancements for edge computing are outlined in clause 5.13 and further described in </w:t>
      </w:r>
      <w:r w:rsidR="00972E70" w:rsidRPr="00873B6C">
        <w:t>TS 23.548 [</w:t>
      </w:r>
      <w:r w:rsidRPr="00873B6C">
        <w:t>130].</w:t>
      </w:r>
    </w:p>
    <w:p w14:paraId="6500BA34" w14:textId="49A3F741" w:rsidR="00C84B6D" w:rsidRPr="00873B6C" w:rsidRDefault="00C84B6D" w:rsidP="00C84B6D">
      <w:pPr>
        <w:pStyle w:val="Heading3"/>
      </w:pPr>
      <w:bookmarkStart w:id="344" w:name="_CR4_2_14"/>
      <w:bookmarkStart w:id="345" w:name="_Toc201156933"/>
      <w:bookmarkEnd w:id="344"/>
      <w:r w:rsidRPr="00873B6C">
        <w:t>4.2.14</w:t>
      </w:r>
      <w:r w:rsidRPr="00873B6C">
        <w:tab/>
        <w:t>Architecture for Support of Uncrewed Aerial Systems connectivity, identification and tracking</w:t>
      </w:r>
      <w:bookmarkEnd w:id="345"/>
    </w:p>
    <w:p w14:paraId="325167CF" w14:textId="44A03896" w:rsidR="00C84B6D" w:rsidRPr="00873B6C" w:rsidRDefault="00C84B6D" w:rsidP="00562E84">
      <w:r w:rsidRPr="00873B6C">
        <w:t xml:space="preserve">The architecture for Support of Uncrewed Aerial Systems (UAS) connectivity, identification and tracking is defined in </w:t>
      </w:r>
      <w:r w:rsidR="00972E70" w:rsidRPr="00873B6C">
        <w:t>TS 23.256 [</w:t>
      </w:r>
      <w:r w:rsidRPr="00873B6C">
        <w:t>136].</w:t>
      </w:r>
    </w:p>
    <w:p w14:paraId="155F15BB" w14:textId="14BD5F0E" w:rsidR="00D841E1" w:rsidRPr="00873B6C" w:rsidRDefault="00D841E1" w:rsidP="00D841E1">
      <w:pPr>
        <w:pStyle w:val="Heading3"/>
      </w:pPr>
      <w:bookmarkStart w:id="346" w:name="_CR4_2_15"/>
      <w:bookmarkStart w:id="347" w:name="_Toc201156934"/>
      <w:bookmarkEnd w:id="346"/>
      <w:r w:rsidRPr="00873B6C">
        <w:t>4.2.15</w:t>
      </w:r>
      <w:r w:rsidRPr="00873B6C">
        <w:tab/>
        <w:t>Architecture to support WLAN connection using 5G credentials without 5GS registration</w:t>
      </w:r>
      <w:bookmarkEnd w:id="347"/>
    </w:p>
    <w:p w14:paraId="1A603061" w14:textId="009B6F55" w:rsidR="00D51D1B" w:rsidRPr="00873B6C" w:rsidRDefault="00D841E1" w:rsidP="00D841E1">
      <w:r w:rsidRPr="00873B6C">
        <w:t>The reference architecture shown</w:t>
      </w:r>
      <w:r w:rsidR="008B15DC" w:rsidRPr="00873B6C">
        <w:t xml:space="preserve"> with reference point representation in Figure 4.2.15-1 and with Service Based Interface (SBI)-representation in Figure 4.2.15-2,</w:t>
      </w:r>
      <w:r w:rsidRPr="00873B6C">
        <w:t xml:space="preserve"> enables a UE to connect to a WLAN access network using its 5GS credentials without registration to 5GS. This architecture is based on the Non-Seamless WLAN Offload Function (NSWOF), which interfaces to the WLAN access network using the SWa</w:t>
      </w:r>
      <w:r w:rsidR="00B7520E" w:rsidRPr="00873B6C">
        <w:t>' reference point</w:t>
      </w:r>
      <w:r w:rsidRPr="00873B6C">
        <w:t xml:space="preserve"> and interfaces to the AUSF using the Nausf SBI. </w:t>
      </w:r>
      <w:r w:rsidR="00D51D1B" w:rsidRPr="00873B6C">
        <w:t xml:space="preserve">The SWa' reference point corresponds to SWa reference point as defined in </w:t>
      </w:r>
      <w:r w:rsidR="00972E70" w:rsidRPr="00873B6C">
        <w:t>TS 23.402 [</w:t>
      </w:r>
      <w:r w:rsidR="00D51D1B" w:rsidRPr="00873B6C">
        <w:t xml:space="preserve">43] with the difference that SWa' the EAP procedure ensures that the permanent user ID is not visible over the access as defined in </w:t>
      </w:r>
      <w:r w:rsidR="00972E70" w:rsidRPr="00873B6C">
        <w:t>TS 33.501 [</w:t>
      </w:r>
      <w:r w:rsidR="00D51D1B" w:rsidRPr="00873B6C">
        <w:t>29]</w:t>
      </w:r>
      <w:r w:rsidR="00B7520E" w:rsidRPr="00873B6C">
        <w:t xml:space="preserve"> and that SWa' connects the Untrusted non-3GPP IP Access, possibly via 3GPP AAA Proxy, to the NSWOF and that the EAP user ID is a SUCI and not an IMSI</w:t>
      </w:r>
      <w:r w:rsidR="00D51D1B" w:rsidRPr="00873B6C">
        <w:t>.</w:t>
      </w:r>
    </w:p>
    <w:p w14:paraId="0908AC80" w14:textId="68FA8B28" w:rsidR="00D841E1" w:rsidRPr="00873B6C" w:rsidRDefault="00D841E1" w:rsidP="00D841E1">
      <w:r w:rsidRPr="00873B6C">
        <w:t>The functionality of</w:t>
      </w:r>
      <w:r w:rsidR="008B15DC" w:rsidRPr="00873B6C">
        <w:t xml:space="preserve"> the</w:t>
      </w:r>
      <w:r w:rsidRPr="00873B6C">
        <w:t xml:space="preserve"> NSWOF and the procedures applied for supporting</w:t>
      </w:r>
      <w:r w:rsidR="008B15DC" w:rsidRPr="00873B6C">
        <w:t xml:space="preserve"> a</w:t>
      </w:r>
      <w:r w:rsidRPr="00873B6C">
        <w:t xml:space="preserve"> WLAN connection using 5GS credentials for Non-seamless WLAN offload are further defined in </w:t>
      </w:r>
      <w:r w:rsidR="00972E70" w:rsidRPr="00873B6C">
        <w:t>TS 33.501 [</w:t>
      </w:r>
      <w:r w:rsidRPr="00873B6C">
        <w:t>29] Annex S.</w:t>
      </w:r>
      <w:r w:rsidR="008B15DC" w:rsidRPr="00873B6C">
        <w:t xml:space="preserve"> The roaming architectures are shown with reference point representation in Figure 4.2.15-3 and with SBI representation in Figure 4.2.15-4.</w:t>
      </w:r>
      <w:r w:rsidR="001F5968" w:rsidRPr="00873B6C">
        <w:t xml:space="preserve"> The architecture in Figure 4.2.15-1 and Figure 4.2.15-2 applies to UEs with PLMN or SNPN credentials.</w:t>
      </w:r>
    </w:p>
    <w:p w14:paraId="5E1251C4" w14:textId="14327EAD" w:rsidR="001F5968" w:rsidRPr="00873B6C" w:rsidRDefault="001F5968" w:rsidP="00695DF1">
      <w:pPr>
        <w:pStyle w:val="NO"/>
      </w:pPr>
      <w:r w:rsidRPr="00873B6C">
        <w:t>NOTE 1:</w:t>
      </w:r>
      <w:r w:rsidRPr="00873B6C">
        <w:tab/>
        <w:t>For a UE with SNPN credentials it is assumed that the realm part of UE identifier in SUCI format is defined in a way that enables routing of SWa requests from the WLAN AN to the NSWOF in the SNPN's 5GC.</w:t>
      </w:r>
    </w:p>
    <w:p w14:paraId="453C897F" w14:textId="77777777" w:rsidR="00D51D1B" w:rsidRPr="00873B6C" w:rsidRDefault="00D51D1B" w:rsidP="00D841E1">
      <w:r w:rsidRPr="00873B6C">
        <w:t>The architectures in Figure 4.2.15-3a and Figure 4.2.15-4a apply to UEs with PLMN or SNPN credentials from a CH using UDM.</w:t>
      </w:r>
    </w:p>
    <w:p w14:paraId="06ABD080" w14:textId="77777777" w:rsidR="00D51D1B" w:rsidRPr="00873B6C" w:rsidRDefault="00D51D1B" w:rsidP="00D841E1">
      <w:r w:rsidRPr="00873B6C">
        <w:t>The architecture in Figure 4.2.15-3b applies to UEs with SNPN credentials from a CH using AAA Server. In this architecture the UE procedures for access selection for 5G NSWO defined in clause 6.3.12b apply. Except the UE, all NFs in Figure 4.2.15-3b are out of scope of 3GPP.</w:t>
      </w:r>
    </w:p>
    <w:p w14:paraId="2E555928" w14:textId="10134E3A" w:rsidR="000C6BFB" w:rsidRPr="00873B6C" w:rsidRDefault="000C6BFB" w:rsidP="000C6BFB">
      <w:r w:rsidRPr="00873B6C">
        <w:t>The architectures in Figure 4.2.15-3c and Figure 4.2.15-4b apply to UEs with SNPN credentials from a CH using AAA Server via 5GC (NSWOF/AUSF/UDM/NSSAAF). In this architecture the UE procedures for access selection for 5G NSWO defined in clause 6.3.12b apply.</w:t>
      </w:r>
    </w:p>
    <w:p w14:paraId="4F6235BB" w14:textId="3984C854" w:rsidR="00D51D1B" w:rsidRPr="00873B6C" w:rsidRDefault="00D51D1B" w:rsidP="00972E70">
      <w:pPr>
        <w:pStyle w:val="NO"/>
      </w:pPr>
      <w:r w:rsidRPr="00873B6C">
        <w:t>NOTE 2:</w:t>
      </w:r>
      <w:r w:rsidRPr="00873B6C">
        <w:tab/>
        <w:t>How to protect the user identity over the WLAN interface in architecture defined in Figure 4.2.15-3b</w:t>
      </w:r>
      <w:r w:rsidR="000C6BFB" w:rsidRPr="00873B6C">
        <w:t xml:space="preserve"> and Figure 4.2.15-3c</w:t>
      </w:r>
      <w:r w:rsidRPr="00873B6C">
        <w:t xml:space="preserve"> is defined in </w:t>
      </w:r>
      <w:r w:rsidR="00972E70" w:rsidRPr="00873B6C">
        <w:t>TS 33.501 [</w:t>
      </w:r>
      <w:r w:rsidRPr="00873B6C">
        <w:t>29].</w:t>
      </w:r>
    </w:p>
    <w:p w14:paraId="67492654" w14:textId="51063507" w:rsidR="00D841E1" w:rsidRPr="00873B6C" w:rsidRDefault="00D841E1" w:rsidP="00D841E1">
      <w:r w:rsidRPr="00873B6C">
        <w:t xml:space="preserve">The UE can also connect to a WLAN access network using 5GS credentials by performing the 5GS registration via </w:t>
      </w:r>
      <w:r w:rsidR="008B15DC" w:rsidRPr="00873B6C">
        <w:t>T</w:t>
      </w:r>
      <w:r w:rsidRPr="00873B6C">
        <w:t>rusted non-3GPP access procedure defined in</w:t>
      </w:r>
      <w:r w:rsidR="00972BA6" w:rsidRPr="00873B6C">
        <w:t xml:space="preserve"> clause 4.12a.2.2</w:t>
      </w:r>
      <w:r w:rsidRPr="00873B6C">
        <w:t xml:space="preserve"> </w:t>
      </w:r>
      <w:r w:rsidR="00972BA6" w:rsidRPr="00873B6C">
        <w:t xml:space="preserve">of </w:t>
      </w:r>
      <w:r w:rsidR="00972E70" w:rsidRPr="00873B6C">
        <w:t>TS 23.502 [</w:t>
      </w:r>
      <w:r w:rsidRPr="00873B6C">
        <w:t>3]. With this procedure, the UE connects to a WLAN access network using 5GS credentials and simultaneously registers in 5GS. However, the architecture defined in Figure 4.2.15-1</w:t>
      </w:r>
      <w:r w:rsidR="008B15DC" w:rsidRPr="00873B6C">
        <w:t>, Figure 4.2.15-2, Figure 4.2.15-3 and in Figure 4.2.15-4,</w:t>
      </w:r>
      <w:r w:rsidRPr="00873B6C">
        <w:t xml:space="preserve"> enables a UE to connect to a WLAN access network using 5GS credentials but without registration in 5GS.</w:t>
      </w:r>
    </w:p>
    <w:p w14:paraId="727E3EE5" w14:textId="7F483510" w:rsidR="008B15DC" w:rsidRPr="00873B6C" w:rsidRDefault="008B15DC" w:rsidP="0073598F">
      <w:r w:rsidRPr="00873B6C">
        <w:lastRenderedPageBreak/>
        <w:t>If the WLAN is configured as Untrusted Non-3GPP access, in the case that the WLAN supports IEEE 802.1x, the UE may first use the 5G NSWO procedure to obtain a connection with and the local IP address from the WLAN</w:t>
      </w:r>
      <w:r w:rsidR="00472CD7" w:rsidRPr="00873B6C">
        <w:t xml:space="preserve"> and</w:t>
      </w:r>
      <w:r w:rsidRPr="00873B6C">
        <w:t xml:space="preserve"> any time after that, the UE may initiate the Untrusted Non-3GPP Access to obtain the access to 5GC.</w:t>
      </w:r>
    </w:p>
    <w:p w14:paraId="6D0F8C2F" w14:textId="23F72919" w:rsidR="00B7520E" w:rsidRPr="00873B6C" w:rsidRDefault="00B7520E" w:rsidP="00972E70">
      <w:pPr>
        <w:pStyle w:val="TH"/>
      </w:pPr>
      <w:r w:rsidRPr="00873B6C">
        <w:object w:dxaOrig="11631" w:dyaOrig="1631" w14:anchorId="0133314E">
          <v:shape id="_x0000_i1058" type="#_x0000_t75" style="width:442.65pt;height:61.35pt" o:ole="">
            <v:imagedata r:id="rId75" o:title=""/>
          </v:shape>
          <o:OLEObject Type="Embed" ProgID="Visio.Drawing.15" ShapeID="_x0000_i1058" DrawAspect="Content" ObjectID="_1811772392" r:id="rId76"/>
        </w:object>
      </w:r>
    </w:p>
    <w:p w14:paraId="31602D99" w14:textId="1BAD93E6" w:rsidR="00D841E1" w:rsidRPr="00873B6C" w:rsidRDefault="00D841E1" w:rsidP="00D841E1">
      <w:pPr>
        <w:pStyle w:val="TF"/>
      </w:pPr>
      <w:bookmarkStart w:id="348" w:name="_CRFigure4_2_151"/>
      <w:r w:rsidRPr="00873B6C">
        <w:t xml:space="preserve">Figure </w:t>
      </w:r>
      <w:bookmarkEnd w:id="348"/>
      <w:r w:rsidRPr="00873B6C">
        <w:t>4.2.15-1: Reference architecture to support authentication for Non-seamless WLAN offload in 5GS</w:t>
      </w:r>
    </w:p>
    <w:p w14:paraId="0E83584C" w14:textId="3D303336" w:rsidR="008B15DC" w:rsidRPr="00873B6C" w:rsidRDefault="008B15DC" w:rsidP="008B15DC">
      <w:pPr>
        <w:pStyle w:val="TH"/>
      </w:pPr>
      <w:r w:rsidRPr="00873B6C">
        <w:object w:dxaOrig="4536" w:dyaOrig="3683" w14:anchorId="4B775CCE">
          <v:shape id="_x0000_i1059" type="#_x0000_t75" style="width:227.25pt;height:184.05pt" o:ole="">
            <v:imagedata r:id="rId77" o:title=""/>
          </v:shape>
          <o:OLEObject Type="Embed" ProgID="Word.Picture.8" ShapeID="_x0000_i1059" DrawAspect="Content" ObjectID="_1811772393" r:id="rId78"/>
        </w:object>
      </w:r>
    </w:p>
    <w:p w14:paraId="5FDF268A" w14:textId="7E19F2B6" w:rsidR="008B15DC" w:rsidRPr="00873B6C" w:rsidRDefault="008B15DC" w:rsidP="008B15DC">
      <w:pPr>
        <w:pStyle w:val="TF"/>
      </w:pPr>
      <w:bookmarkStart w:id="349" w:name="_CRFigure4_2_152"/>
      <w:r w:rsidRPr="00873B6C">
        <w:t xml:space="preserve">Figure </w:t>
      </w:r>
      <w:bookmarkEnd w:id="349"/>
      <w:r w:rsidRPr="00873B6C">
        <w:t>4.2.15-2: Service based reference architecture to support authentication for Non-seamless WLAN offload in 5GS</w:t>
      </w:r>
    </w:p>
    <w:p w14:paraId="0178D0AA" w14:textId="4E4EC750" w:rsidR="009D3726" w:rsidRPr="00873B6C" w:rsidRDefault="009D3726" w:rsidP="00972E70">
      <w:pPr>
        <w:pStyle w:val="TH"/>
      </w:pPr>
      <w:r w:rsidRPr="00873B6C">
        <w:object w:dxaOrig="10981" w:dyaOrig="3891" w14:anchorId="1E6CC859">
          <v:shape id="_x0000_i1060" type="#_x0000_t75" style="width:479.6pt;height:169.65pt" o:ole="">
            <v:imagedata r:id="rId79" o:title=""/>
          </v:shape>
          <o:OLEObject Type="Embed" ProgID="Visio.Drawing.15" ShapeID="_x0000_i1060" DrawAspect="Content" ObjectID="_1811772394" r:id="rId80"/>
        </w:object>
      </w:r>
    </w:p>
    <w:p w14:paraId="1826EEAC" w14:textId="1AB734FF" w:rsidR="008B15DC" w:rsidRPr="00873B6C" w:rsidRDefault="008B15DC" w:rsidP="008B15DC">
      <w:pPr>
        <w:pStyle w:val="TF"/>
      </w:pPr>
      <w:bookmarkStart w:id="350" w:name="_CRFigure4_2_153"/>
      <w:r w:rsidRPr="00873B6C">
        <w:t xml:space="preserve">Figure </w:t>
      </w:r>
      <w:bookmarkEnd w:id="350"/>
      <w:r w:rsidRPr="00873B6C">
        <w:t>4.2.15-3: Roaming reference architectures to support authentication for Non-seamless WLAN offload in 5GS</w:t>
      </w:r>
    </w:p>
    <w:p w14:paraId="24465AE3" w14:textId="4AC00D18" w:rsidR="000C6BFB" w:rsidRPr="00873B6C" w:rsidRDefault="000C6BFB" w:rsidP="00FA7D5B">
      <w:pPr>
        <w:pStyle w:val="TH"/>
      </w:pPr>
      <w:r w:rsidRPr="00873B6C">
        <w:rPr>
          <w:rFonts w:eastAsia="DengXian"/>
        </w:rPr>
        <w:object w:dxaOrig="10968" w:dyaOrig="3876" w14:anchorId="396AA170">
          <v:shape id="_x0000_i1061" type="#_x0000_t75" style="width:479.6pt;height:169.05pt" o:ole="">
            <v:imagedata r:id="rId81" o:title=""/>
          </v:shape>
          <o:OLEObject Type="Embed" ProgID="Visio.Drawing.15" ShapeID="_x0000_i1061" DrawAspect="Content" ObjectID="_1811772395" r:id="rId82"/>
        </w:object>
      </w:r>
    </w:p>
    <w:p w14:paraId="657D6F94" w14:textId="751791EE" w:rsidR="00D51D1B" w:rsidRPr="00873B6C" w:rsidRDefault="00D51D1B" w:rsidP="00D51D1B">
      <w:pPr>
        <w:pStyle w:val="TF"/>
      </w:pPr>
      <w:bookmarkStart w:id="351" w:name="_CRFigure4_2_153a"/>
      <w:r w:rsidRPr="00873B6C">
        <w:t xml:space="preserve">Figure </w:t>
      </w:r>
      <w:bookmarkEnd w:id="351"/>
      <w:r w:rsidRPr="00873B6C">
        <w:t>4.2.15-3a: Reference architectures to support authentication for Non-seamless WLAN offload using credentials from Credentials Holder using UDM</w:t>
      </w:r>
    </w:p>
    <w:p w14:paraId="5F65BF15" w14:textId="7A08A99F" w:rsidR="000C6BFB" w:rsidRPr="00873B6C" w:rsidRDefault="000C6BFB" w:rsidP="00FA7D5B">
      <w:pPr>
        <w:pStyle w:val="TH"/>
      </w:pPr>
      <w:r w:rsidRPr="00873B6C">
        <w:rPr>
          <w:rFonts w:eastAsia="DengXian"/>
        </w:rPr>
        <w:object w:dxaOrig="8088" w:dyaOrig="1776" w14:anchorId="0E5550C7">
          <v:shape id="_x0000_i1062" type="#_x0000_t75" style="width:404.45pt;height:89.55pt" o:ole="">
            <v:imagedata r:id="rId83" o:title=""/>
          </v:shape>
          <o:OLEObject Type="Embed" ProgID="Visio.Drawing.15" ShapeID="_x0000_i1062" DrawAspect="Content" ObjectID="_1811772396" r:id="rId84"/>
        </w:object>
      </w:r>
    </w:p>
    <w:p w14:paraId="5CBAAFA1" w14:textId="1371F9AA" w:rsidR="00D51D1B" w:rsidRPr="00873B6C" w:rsidRDefault="00D51D1B" w:rsidP="00D51D1B">
      <w:pPr>
        <w:pStyle w:val="TF"/>
      </w:pPr>
      <w:bookmarkStart w:id="352" w:name="_CRFigure4_2_153b"/>
      <w:r w:rsidRPr="00873B6C">
        <w:t xml:space="preserve">Figure </w:t>
      </w:r>
      <w:bookmarkEnd w:id="352"/>
      <w:r w:rsidRPr="00873B6C">
        <w:t>4.2.15-3b: Reference architecture to support authentication for Non-seamless WLAN offload using credentials from Credentials Holder using AAA Server</w:t>
      </w:r>
    </w:p>
    <w:p w14:paraId="3D09A8C8" w14:textId="4DE97CC7" w:rsidR="000C6BFB" w:rsidRPr="00873B6C" w:rsidRDefault="000C6BFB" w:rsidP="000C6BFB">
      <w:pPr>
        <w:pStyle w:val="TH"/>
      </w:pPr>
      <w:r w:rsidRPr="00873B6C">
        <w:object w:dxaOrig="11040" w:dyaOrig="2233" w14:anchorId="77F35AA6">
          <v:shape id="_x0000_i1063" type="#_x0000_t75" style="width:482.1pt;height:97.05pt" o:ole="">
            <v:imagedata r:id="rId85" o:title=""/>
          </v:shape>
          <o:OLEObject Type="Embed" ProgID="Visio.Drawing.15" ShapeID="_x0000_i1063" DrawAspect="Content" ObjectID="_1811772397" r:id="rId86"/>
        </w:object>
      </w:r>
    </w:p>
    <w:p w14:paraId="369CE2AA" w14:textId="762D2071" w:rsidR="000C6BFB" w:rsidRPr="00873B6C" w:rsidRDefault="000C6BFB" w:rsidP="000C6BFB">
      <w:pPr>
        <w:pStyle w:val="TF"/>
      </w:pPr>
      <w:bookmarkStart w:id="353" w:name="_CRFigure4_2_153c"/>
      <w:r w:rsidRPr="00873B6C">
        <w:t xml:space="preserve">Figure </w:t>
      </w:r>
      <w:bookmarkEnd w:id="353"/>
      <w:r w:rsidRPr="00873B6C">
        <w:t>4.2.15-3c: Reference architecture to support authentication for Non-seamless WLAN offload using credentials from Credentials Holder using AAA Server via 5GC</w:t>
      </w:r>
    </w:p>
    <w:p w14:paraId="5CC2B2EC" w14:textId="093866CA" w:rsidR="008B15DC" w:rsidRPr="00873B6C" w:rsidRDefault="008B15DC" w:rsidP="0073598F">
      <w:pPr>
        <w:pStyle w:val="NO"/>
      </w:pPr>
      <w:r w:rsidRPr="00873B6C">
        <w:t>NOTE</w:t>
      </w:r>
      <w:r w:rsidR="001F5968" w:rsidRPr="00873B6C">
        <w:t> 2</w:t>
      </w:r>
      <w:r w:rsidRPr="00873B6C">
        <w:t>:</w:t>
      </w:r>
      <w:r w:rsidRPr="00873B6C">
        <w:tab/>
        <w:t>Configuration 2) in Figure 4.2.15-3</w:t>
      </w:r>
      <w:r w:rsidR="00D51D1B" w:rsidRPr="00873B6C">
        <w:t xml:space="preserve"> and Figure 4.2.15-3a</w:t>
      </w:r>
      <w:r w:rsidRPr="00873B6C">
        <w:t xml:space="preserve"> is a deployment variant of configuration 1)</w:t>
      </w:r>
    </w:p>
    <w:p w14:paraId="22BFF10F" w14:textId="6656902E" w:rsidR="009D3726" w:rsidRPr="00873B6C" w:rsidRDefault="009D3726" w:rsidP="00972E70">
      <w:pPr>
        <w:pStyle w:val="TH"/>
      </w:pPr>
      <w:r w:rsidRPr="00873B6C">
        <w:object w:dxaOrig="6663" w:dyaOrig="4250" w14:anchorId="1D627CB3">
          <v:shape id="_x0000_i1064" type="#_x0000_t75" style="width:333.1pt;height:211.6pt" o:ole="">
            <v:imagedata r:id="rId87" o:title=""/>
          </v:shape>
          <o:OLEObject Type="Embed" ProgID="Word.Picture.8" ShapeID="_x0000_i1064" DrawAspect="Content" ObjectID="_1811772398" r:id="rId88"/>
        </w:object>
      </w:r>
    </w:p>
    <w:p w14:paraId="65740061" w14:textId="6808555E" w:rsidR="008B15DC" w:rsidRPr="00873B6C" w:rsidRDefault="008B15DC" w:rsidP="008B15DC">
      <w:pPr>
        <w:pStyle w:val="TF"/>
      </w:pPr>
      <w:bookmarkStart w:id="354" w:name="_CRFigure4_2_154"/>
      <w:r w:rsidRPr="00873B6C">
        <w:t xml:space="preserve">Figure </w:t>
      </w:r>
      <w:bookmarkEnd w:id="354"/>
      <w:r w:rsidRPr="00873B6C">
        <w:t>4.2.15-4: Service based Roaming reference architecture to support authentication for Non-seamless WLAN offload in 5GS</w:t>
      </w:r>
    </w:p>
    <w:p w14:paraId="0BBE9F5B" w14:textId="5633F1AE" w:rsidR="009D3726" w:rsidRPr="00873B6C" w:rsidRDefault="009D3726" w:rsidP="009D3726">
      <w:r w:rsidRPr="00873B6C">
        <w:t xml:space="preserve">The SWd' reference point corresponds to the SWd reference point as defined in </w:t>
      </w:r>
      <w:r w:rsidR="00972E70" w:rsidRPr="00873B6C">
        <w:t>TS 23.402 [</w:t>
      </w:r>
      <w:r w:rsidRPr="00873B6C">
        <w:t>43] with the difference that SWd' connects the 3GPP AAA Proxy, possibly via intermediate 3GPP AAA Proxy, to the NSWOF and that the EAP user ID is a SUCI and not an IMSI.</w:t>
      </w:r>
    </w:p>
    <w:p w14:paraId="719E4D46" w14:textId="77777777" w:rsidR="009D3726" w:rsidRPr="00873B6C" w:rsidRDefault="009D3726" w:rsidP="009D3726">
      <w:r w:rsidRPr="00873B6C">
        <w:t>In both roaming and non-roaming scenarios, the NSWOF acts towards the WLAN Access as a 3GPP AAA server, with the difference that the EAP user ID is a SUCI and not an IMSI.</w:t>
      </w:r>
    </w:p>
    <w:bookmarkStart w:id="355" w:name="_MON_1737284991"/>
    <w:bookmarkEnd w:id="355"/>
    <w:p w14:paraId="38859DF8" w14:textId="6B3E621C" w:rsidR="00D51D1B" w:rsidRPr="00873B6C" w:rsidRDefault="00D51D1B" w:rsidP="00D51D1B">
      <w:pPr>
        <w:pStyle w:val="TH"/>
      </w:pPr>
      <w:r w:rsidRPr="00873B6C">
        <w:object w:dxaOrig="6663" w:dyaOrig="4250" w14:anchorId="325E7ADE">
          <v:shape id="_x0000_i1065" type="#_x0000_t75" style="width:334.95pt;height:211.6pt" o:ole="">
            <v:imagedata r:id="rId89" o:title=""/>
          </v:shape>
          <o:OLEObject Type="Embed" ProgID="Word.Picture.8" ShapeID="_x0000_i1065" DrawAspect="Content" ObjectID="_1811772399" r:id="rId90"/>
        </w:object>
      </w:r>
    </w:p>
    <w:p w14:paraId="790A074F" w14:textId="42946932" w:rsidR="00D51D1B" w:rsidRPr="00873B6C" w:rsidRDefault="00D51D1B" w:rsidP="00D51D1B">
      <w:pPr>
        <w:pStyle w:val="TF"/>
      </w:pPr>
      <w:bookmarkStart w:id="356" w:name="_CRFigure4_2_154a"/>
      <w:r w:rsidRPr="00873B6C">
        <w:t xml:space="preserve">Figure </w:t>
      </w:r>
      <w:bookmarkEnd w:id="356"/>
      <w:r w:rsidRPr="00873B6C">
        <w:t>4.2.15-4a: Service based reference architecture to support authentication for Non-seamless WLAN offload using credentials from Credentials Holder using UDM</w:t>
      </w:r>
    </w:p>
    <w:bookmarkStart w:id="357" w:name="_MON_1756840786"/>
    <w:bookmarkEnd w:id="357"/>
    <w:p w14:paraId="75E4379A" w14:textId="1F713200" w:rsidR="000C6BFB" w:rsidRPr="00873B6C" w:rsidRDefault="000C6BFB" w:rsidP="000C6BFB">
      <w:pPr>
        <w:pStyle w:val="TH"/>
      </w:pPr>
      <w:r w:rsidRPr="00873B6C">
        <w:rPr>
          <w:rFonts w:eastAsia="DengXian"/>
        </w:rPr>
        <w:object w:dxaOrig="6663" w:dyaOrig="4250" w14:anchorId="798C8903">
          <v:shape id="_x0000_i1066" type="#_x0000_t75" style="width:333.1pt;height:212.25pt" o:ole="">
            <v:imagedata r:id="rId91" o:title=""/>
          </v:shape>
          <o:OLEObject Type="Embed" ProgID="Word.Picture.8" ShapeID="_x0000_i1066" DrawAspect="Content" ObjectID="_1811772400" r:id="rId92"/>
        </w:object>
      </w:r>
    </w:p>
    <w:p w14:paraId="4F35FA04" w14:textId="233EAFA3" w:rsidR="000C6BFB" w:rsidRPr="00873B6C" w:rsidRDefault="000C6BFB" w:rsidP="000C6BFB">
      <w:pPr>
        <w:pStyle w:val="TF"/>
      </w:pPr>
      <w:bookmarkStart w:id="358" w:name="_CRFigure4_2_154b"/>
      <w:r w:rsidRPr="00873B6C">
        <w:t xml:space="preserve">Figure </w:t>
      </w:r>
      <w:bookmarkEnd w:id="358"/>
      <w:r w:rsidRPr="00873B6C">
        <w:t>4.2.15-4b: Service based reference architecture to support authentication for Non-seamless WLAN offload using credentials from Credentials Holder using AAA Server via 5GC</w:t>
      </w:r>
    </w:p>
    <w:p w14:paraId="0927C4E3" w14:textId="53FB7BF6" w:rsidR="009B42A2" w:rsidRPr="00873B6C" w:rsidRDefault="009B42A2" w:rsidP="009B42A2">
      <w:pPr>
        <w:pStyle w:val="Heading3"/>
      </w:pPr>
      <w:bookmarkStart w:id="359" w:name="_CR4_2_16"/>
      <w:bookmarkStart w:id="360" w:name="_Toc201156935"/>
      <w:bookmarkEnd w:id="359"/>
      <w:r w:rsidRPr="00873B6C">
        <w:t>4.2.16</w:t>
      </w:r>
      <w:r w:rsidRPr="00873B6C">
        <w:tab/>
        <w:t>Architecture to support User Plane Information Exposure via a service-based interface</w:t>
      </w:r>
      <w:bookmarkEnd w:id="360"/>
    </w:p>
    <w:p w14:paraId="28275323" w14:textId="1E10BE73" w:rsidR="009B42A2" w:rsidRPr="00873B6C" w:rsidRDefault="009B42A2" w:rsidP="009B42A2">
      <w:r w:rsidRPr="00873B6C">
        <w:t>As depicted in Figure 4.2.16-1, the 5G System architecture allows user plane information exposure to some NFs via service-based interface in UPF.</w:t>
      </w:r>
    </w:p>
    <w:p w14:paraId="41CFCF15" w14:textId="7B9F1FA1" w:rsidR="009B42A2" w:rsidRPr="00873B6C" w:rsidRDefault="009B42A2" w:rsidP="009B42A2">
      <w:pPr>
        <w:pStyle w:val="TH"/>
      </w:pPr>
      <w:r w:rsidRPr="00873B6C">
        <w:object w:dxaOrig="7026" w:dyaOrig="1997" w14:anchorId="26ADFBBC">
          <v:shape id="_x0000_i1067" type="#_x0000_t75" style="width:351.25pt;height:98.9pt" o:ole="">
            <v:imagedata r:id="rId93" o:title=""/>
          </v:shape>
          <o:OLEObject Type="Embed" ProgID="Visio.Drawing.15" ShapeID="_x0000_i1067" DrawAspect="Content" ObjectID="_1811772401" r:id="rId94"/>
        </w:object>
      </w:r>
    </w:p>
    <w:p w14:paraId="5F4A87C0" w14:textId="2228D655" w:rsidR="009B42A2" w:rsidRPr="00873B6C" w:rsidRDefault="009B42A2" w:rsidP="009B42A2">
      <w:pPr>
        <w:pStyle w:val="TF"/>
      </w:pPr>
      <w:bookmarkStart w:id="361" w:name="_CRFigure4_2_161"/>
      <w:r w:rsidRPr="00873B6C">
        <w:t xml:space="preserve">Figure </w:t>
      </w:r>
      <w:bookmarkEnd w:id="361"/>
      <w:r w:rsidRPr="00873B6C">
        <w:t>4.2.16-1: Architecture to support User Plane Information Exposure via a service-based interface</w:t>
      </w:r>
    </w:p>
    <w:p w14:paraId="48ACF88F" w14:textId="77777777" w:rsidR="009B42A2" w:rsidRPr="00873B6C" w:rsidRDefault="009B42A2" w:rsidP="009B42A2">
      <w:pPr>
        <w:pStyle w:val="NO"/>
      </w:pPr>
      <w:r w:rsidRPr="00873B6C">
        <w:t>NOTE 1:</w:t>
      </w:r>
      <w:r w:rsidRPr="00873B6C">
        <w:tab/>
        <w:t>In this Release of the specification, only NWDAF/DCCF/MFAF, NEF/AF and TSNAF/TSCTSF are considered as the receiver of the UPF event notifications.</w:t>
      </w:r>
    </w:p>
    <w:p w14:paraId="019FB851" w14:textId="75944746" w:rsidR="009B42A2" w:rsidRPr="00873B6C" w:rsidRDefault="009B42A2" w:rsidP="009B42A2">
      <w:pPr>
        <w:pStyle w:val="NO"/>
      </w:pPr>
      <w:r w:rsidRPr="00873B6C">
        <w:t>NOTE 2:</w:t>
      </w:r>
      <w:r w:rsidRPr="00873B6C">
        <w:tab/>
        <w:t>UPF</w:t>
      </w:r>
      <w:r w:rsidR="00517FBD" w:rsidRPr="00873B6C">
        <w:t xml:space="preserve"> information</w:t>
      </w:r>
      <w:r w:rsidRPr="00873B6C">
        <w:t xml:space="preserve"> exposure is not restricted to SBI interface, i.e. reporting via PFCP over N4 to SMF is still applicable.</w:t>
      </w:r>
    </w:p>
    <w:p w14:paraId="05022A63" w14:textId="5D11A762" w:rsidR="009B42A2" w:rsidRPr="00873B6C" w:rsidRDefault="009B42A2" w:rsidP="005A13C0">
      <w:r w:rsidRPr="00873B6C">
        <w:t>Not all events can be subscribed to UPF directly. The details and constraints for the subscription</w:t>
      </w:r>
      <w:r w:rsidR="00517FBD" w:rsidRPr="00873B6C">
        <w:t xml:space="preserve"> to UPF event exposure service</w:t>
      </w:r>
      <w:r w:rsidRPr="00873B6C">
        <w:t xml:space="preserve"> (i.e. direct vs. indirect) and the information exposed to certain NFs</w:t>
      </w:r>
      <w:r w:rsidR="00517FBD" w:rsidRPr="00873B6C">
        <w:t xml:space="preserve"> by UPF</w:t>
      </w:r>
      <w:r w:rsidRPr="00873B6C">
        <w:t>, as well as the information contained in the event notifications, are defined in clause 5.2.26.2 of TS 23.502 [3]</w:t>
      </w:r>
      <w:r w:rsidR="00517FBD" w:rsidRPr="00873B6C">
        <w:t xml:space="preserve"> and clause 5.8.2.17</w:t>
      </w:r>
      <w:r w:rsidRPr="00873B6C">
        <w:t>.</w:t>
      </w:r>
    </w:p>
    <w:p w14:paraId="3FD589B8" w14:textId="0D40A29F" w:rsidR="00A13197" w:rsidRPr="00873B6C" w:rsidRDefault="00A13197" w:rsidP="00A13197">
      <w:pPr>
        <w:pStyle w:val="Heading3"/>
      </w:pPr>
      <w:bookmarkStart w:id="362" w:name="_CR4_2_17"/>
      <w:bookmarkStart w:id="363" w:name="_Toc201156936"/>
      <w:bookmarkEnd w:id="362"/>
      <w:r w:rsidRPr="00873B6C">
        <w:t>4.2.17</w:t>
      </w:r>
      <w:r w:rsidRPr="00873B6C">
        <w:tab/>
        <w:t>Architecture for Ranging based services and Sidelink Positioning</w:t>
      </w:r>
      <w:bookmarkEnd w:id="363"/>
    </w:p>
    <w:p w14:paraId="7C7E05DD" w14:textId="286BD914" w:rsidR="00A13197" w:rsidRPr="00873B6C" w:rsidRDefault="00A13197" w:rsidP="005A13C0">
      <w:r w:rsidRPr="00873B6C">
        <w:t>The architecture for Ranging based services and Sidelink Positioning is defined in TS 23.586 [180].</w:t>
      </w:r>
    </w:p>
    <w:p w14:paraId="7A8D98D1" w14:textId="77777777" w:rsidR="00D40151" w:rsidRPr="00873B6C" w:rsidRDefault="00D40151" w:rsidP="00D40151">
      <w:pPr>
        <w:pStyle w:val="Heading2"/>
      </w:pPr>
      <w:bookmarkStart w:id="364" w:name="_CR4_3"/>
      <w:bookmarkStart w:id="365" w:name="_Toc201156937"/>
      <w:bookmarkEnd w:id="364"/>
      <w:r w:rsidRPr="00873B6C">
        <w:lastRenderedPageBreak/>
        <w:t>4.3</w:t>
      </w:r>
      <w:r w:rsidRPr="00873B6C">
        <w:tab/>
        <w:t>Interworking with EPC</w:t>
      </w:r>
      <w:bookmarkEnd w:id="333"/>
      <w:bookmarkEnd w:id="334"/>
      <w:bookmarkEnd w:id="335"/>
      <w:bookmarkEnd w:id="336"/>
      <w:bookmarkEnd w:id="337"/>
      <w:bookmarkEnd w:id="338"/>
      <w:bookmarkEnd w:id="365"/>
    </w:p>
    <w:p w14:paraId="252C955F" w14:textId="77777777" w:rsidR="00D40151" w:rsidRPr="00873B6C" w:rsidRDefault="00D40151" w:rsidP="00D40151">
      <w:pPr>
        <w:pStyle w:val="Heading3"/>
      </w:pPr>
      <w:bookmarkStart w:id="366" w:name="_CR4_3_1"/>
      <w:bookmarkStart w:id="367" w:name="_Toc20149659"/>
      <w:bookmarkStart w:id="368" w:name="_Toc27846450"/>
      <w:bookmarkStart w:id="369" w:name="_Toc36187574"/>
      <w:bookmarkStart w:id="370" w:name="_Toc45183478"/>
      <w:bookmarkStart w:id="371" w:name="_Toc47342320"/>
      <w:bookmarkStart w:id="372" w:name="_Toc51769018"/>
      <w:bookmarkStart w:id="373" w:name="_Toc201156938"/>
      <w:bookmarkEnd w:id="366"/>
      <w:r w:rsidRPr="00873B6C">
        <w:t>4.3.1</w:t>
      </w:r>
      <w:r w:rsidRPr="00873B6C">
        <w:tab/>
        <w:t>Non-roaming architecture</w:t>
      </w:r>
      <w:bookmarkEnd w:id="367"/>
      <w:bookmarkEnd w:id="368"/>
      <w:bookmarkEnd w:id="369"/>
      <w:bookmarkEnd w:id="370"/>
      <w:bookmarkEnd w:id="371"/>
      <w:bookmarkEnd w:id="372"/>
      <w:bookmarkEnd w:id="373"/>
    </w:p>
    <w:p w14:paraId="3A6B1256" w14:textId="77777777" w:rsidR="00D40151" w:rsidRPr="00873B6C" w:rsidRDefault="00D40151" w:rsidP="00D40151">
      <w:r w:rsidRPr="00873B6C">
        <w:t>Figure 4.3.1-1 represents the non-roaming architecture for interworking between 5GS and EPC/E-UTRAN.</w:t>
      </w:r>
    </w:p>
    <w:bookmarkStart w:id="374" w:name="_MON_1600414475"/>
    <w:bookmarkEnd w:id="374"/>
    <w:p w14:paraId="38AB4941" w14:textId="77777777" w:rsidR="00D40151" w:rsidRPr="00873B6C" w:rsidRDefault="00D40151" w:rsidP="00D40151">
      <w:pPr>
        <w:pStyle w:val="TH"/>
        <w:rPr>
          <w:lang w:eastAsia="zh-CN"/>
        </w:rPr>
      </w:pPr>
      <w:r w:rsidRPr="00873B6C">
        <w:object w:dxaOrig="8963" w:dyaOrig="5899" w14:anchorId="70278128">
          <v:shape id="_x0000_i1068" type="#_x0000_t75" style="width:450.15pt;height:294.25pt" o:ole="">
            <v:imagedata r:id="rId95" o:title=""/>
          </v:shape>
          <o:OLEObject Type="Embed" ProgID="Word.Picture.8" ShapeID="_x0000_i1068" DrawAspect="Content" ObjectID="_1811772402" r:id="rId96"/>
        </w:object>
      </w:r>
    </w:p>
    <w:p w14:paraId="1E261E8D" w14:textId="77777777" w:rsidR="00D40151" w:rsidRPr="00873B6C" w:rsidRDefault="00D40151" w:rsidP="00D40151">
      <w:pPr>
        <w:pStyle w:val="TF"/>
      </w:pPr>
      <w:bookmarkStart w:id="375" w:name="_CRFigure4_3_11"/>
      <w:r w:rsidRPr="00873B6C">
        <w:rPr>
          <w:lang w:eastAsia="zh-CN"/>
        </w:rPr>
        <w:t xml:space="preserve">Figure </w:t>
      </w:r>
      <w:bookmarkEnd w:id="375"/>
      <w:r w:rsidRPr="00873B6C">
        <w:rPr>
          <w:lang w:eastAsia="zh-CN"/>
        </w:rPr>
        <w:t xml:space="preserve">4.3.1-1: </w:t>
      </w:r>
      <w:r w:rsidRPr="00873B6C">
        <w:t>Non-roaming architecture</w:t>
      </w:r>
      <w:r w:rsidRPr="00873B6C">
        <w:rPr>
          <w:lang w:eastAsia="zh-CN"/>
        </w:rPr>
        <w:t xml:space="preserve"> for interworking between 5GS and EPC/E-UTRAN</w:t>
      </w:r>
    </w:p>
    <w:p w14:paraId="376EDC31" w14:textId="77777777" w:rsidR="00D40151" w:rsidRPr="00873B6C" w:rsidRDefault="00D40151" w:rsidP="00D40151">
      <w:pPr>
        <w:pStyle w:val="NO"/>
        <w:rPr>
          <w:rFonts w:eastAsia="MS Mincho"/>
        </w:rPr>
      </w:pPr>
      <w:r w:rsidRPr="00873B6C">
        <w:t>NOTE 1:</w:t>
      </w:r>
      <w:r w:rsidRPr="00873B6C">
        <w:tab/>
        <w:t>N26 interface is an inter-CN interface between the MME and 5GS AMF in order to enable interworking between EPC and the NG core. Support of N26 interface in the network is optional for interworking</w:t>
      </w:r>
      <w:r w:rsidRPr="00873B6C">
        <w:rPr>
          <w:rFonts w:eastAsia="SimSun"/>
        </w:rPr>
        <w:t>. N26 supports subset of the functionalities (essential for interworking) that are supported over S10.</w:t>
      </w:r>
    </w:p>
    <w:p w14:paraId="33021CE4" w14:textId="77777777" w:rsidR="00D40151" w:rsidRPr="00873B6C" w:rsidRDefault="00D40151" w:rsidP="00D40151">
      <w:pPr>
        <w:pStyle w:val="NO"/>
      </w:pPr>
      <w:r w:rsidRPr="00873B6C">
        <w:t>NOTE 2:</w:t>
      </w:r>
      <w:r w:rsidRPr="00873B6C">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873B6C" w:rsidRDefault="00D40151" w:rsidP="00D40151">
      <w:pPr>
        <w:pStyle w:val="NO"/>
      </w:pPr>
      <w:r w:rsidRPr="00873B6C">
        <w:t>NOTE 3:</w:t>
      </w:r>
      <w:r w:rsidRPr="00873B6C">
        <w:tab/>
      </w:r>
      <w:r w:rsidRPr="00873B6C">
        <w:rPr>
          <w:rFonts w:eastAsia="SimSun"/>
        </w:rPr>
        <w:t>T</w:t>
      </w:r>
      <w:r w:rsidRPr="00873B6C">
        <w:t xml:space="preserve">here can be another UPF (not shown in the figure above) between the NG-RAN and the UPF + PGW-U, i.e. the UPF + PGW-U can support N9 towards </w:t>
      </w:r>
      <w:r w:rsidRPr="00873B6C">
        <w:rPr>
          <w:rFonts w:eastAsia="SimSun"/>
        </w:rPr>
        <w:t>an</w:t>
      </w:r>
      <w:r w:rsidRPr="00873B6C">
        <w:t xml:space="preserve"> additional UPF, if needed.</w:t>
      </w:r>
    </w:p>
    <w:p w14:paraId="74FBC3BB" w14:textId="4358AF3E" w:rsidR="00D40151" w:rsidRPr="00873B6C" w:rsidRDefault="00D40151" w:rsidP="00D40151">
      <w:pPr>
        <w:pStyle w:val="NO"/>
        <w:rPr>
          <w:rFonts w:eastAsia="SimSun"/>
        </w:rPr>
      </w:pPr>
      <w:r w:rsidRPr="00873B6C">
        <w:t xml:space="preserve">NOTE 4: Figures and procedures in this specification that depict an SGW make no assumption whether the SGW is deployed as a monolithic SGW or as an SGW split into its control-plane and user-plane functionality as described in </w:t>
      </w:r>
      <w:r w:rsidR="00972E70" w:rsidRPr="00873B6C">
        <w:t>TS 23.214 [</w:t>
      </w:r>
      <w:r w:rsidRPr="00873B6C">
        <w:t>32].</w:t>
      </w:r>
    </w:p>
    <w:p w14:paraId="7990CDD9" w14:textId="77777777" w:rsidR="00D40151" w:rsidRPr="00873B6C" w:rsidRDefault="00D40151" w:rsidP="00D40151">
      <w:pPr>
        <w:pStyle w:val="Heading3"/>
      </w:pPr>
      <w:bookmarkStart w:id="376" w:name="_CR4_3_2"/>
      <w:bookmarkStart w:id="377" w:name="_Toc20149660"/>
      <w:bookmarkStart w:id="378" w:name="_Toc27846451"/>
      <w:bookmarkStart w:id="379" w:name="_Toc36187575"/>
      <w:bookmarkStart w:id="380" w:name="_Toc45183479"/>
      <w:bookmarkStart w:id="381" w:name="_Toc47342321"/>
      <w:bookmarkStart w:id="382" w:name="_Toc51769019"/>
      <w:bookmarkStart w:id="383" w:name="_Toc201156939"/>
      <w:bookmarkEnd w:id="376"/>
      <w:r w:rsidRPr="00873B6C">
        <w:t>4.3.2</w:t>
      </w:r>
      <w:r w:rsidRPr="00873B6C">
        <w:tab/>
        <w:t>Roaming architecture</w:t>
      </w:r>
      <w:bookmarkEnd w:id="377"/>
      <w:bookmarkEnd w:id="378"/>
      <w:bookmarkEnd w:id="379"/>
      <w:bookmarkEnd w:id="380"/>
      <w:bookmarkEnd w:id="381"/>
      <w:bookmarkEnd w:id="382"/>
      <w:bookmarkEnd w:id="383"/>
    </w:p>
    <w:p w14:paraId="4335F3D8" w14:textId="77777777" w:rsidR="00D40151" w:rsidRPr="00873B6C" w:rsidRDefault="00D40151" w:rsidP="00D40151">
      <w:r w:rsidRPr="00873B6C">
        <w:t>Figure 4.3.2-1 represents the Roaming architecture with local breakout and Figure 4.3.2-2 represents the Roaming architecture with home-routed traffic for interworking between 5GS and EPC/E-UTRAN.</w:t>
      </w:r>
    </w:p>
    <w:bookmarkStart w:id="384" w:name="_MON_1600414424"/>
    <w:bookmarkEnd w:id="384"/>
    <w:p w14:paraId="07D8829C" w14:textId="77777777" w:rsidR="00D40151" w:rsidRPr="00873B6C" w:rsidRDefault="00D40151" w:rsidP="00D40151">
      <w:pPr>
        <w:pStyle w:val="TH"/>
        <w:rPr>
          <w:lang w:eastAsia="zh-CN"/>
        </w:rPr>
      </w:pPr>
      <w:r w:rsidRPr="00873B6C">
        <w:object w:dxaOrig="9131" w:dyaOrig="6610" w14:anchorId="3692CB2D">
          <v:shape id="_x0000_i1069" type="#_x0000_t75" style="width:456.4pt;height:333.1pt" o:ole="">
            <v:imagedata r:id="rId97" o:title=""/>
          </v:shape>
          <o:OLEObject Type="Embed" ProgID="Word.Picture.8" ShapeID="_x0000_i1069" DrawAspect="Content" ObjectID="_1811772403" r:id="rId98"/>
        </w:object>
      </w:r>
    </w:p>
    <w:p w14:paraId="181745AF" w14:textId="77777777" w:rsidR="00D40151" w:rsidRPr="00873B6C" w:rsidRDefault="00D40151" w:rsidP="00D40151">
      <w:pPr>
        <w:pStyle w:val="TF"/>
        <w:rPr>
          <w:lang w:eastAsia="zh-CN"/>
        </w:rPr>
      </w:pPr>
      <w:bookmarkStart w:id="385" w:name="_CRFigure4_3_21"/>
      <w:r w:rsidRPr="00873B6C">
        <w:rPr>
          <w:lang w:eastAsia="zh-CN"/>
        </w:rPr>
        <w:t xml:space="preserve">Figure </w:t>
      </w:r>
      <w:bookmarkEnd w:id="385"/>
      <w:r w:rsidRPr="00873B6C">
        <w:rPr>
          <w:lang w:eastAsia="zh-CN"/>
        </w:rPr>
        <w:t>4.3.2-1: Local breakout roaming architecture for interworking between 5GS and EPC/E-UTRAN</w:t>
      </w:r>
    </w:p>
    <w:p w14:paraId="4FD90817" w14:textId="77777777" w:rsidR="00D40151" w:rsidRPr="00873B6C" w:rsidRDefault="00D40151" w:rsidP="00D40151">
      <w:pPr>
        <w:pStyle w:val="NO"/>
      </w:pPr>
      <w:r w:rsidRPr="00873B6C">
        <w:t>NOTE 1:</w:t>
      </w:r>
      <w:r w:rsidRPr="00873B6C">
        <w:tab/>
        <w:t>There can be another UPF (not shown in the figure above) between the NG-RAN and the UPF + PGW-U, i.e. the UPF + PGW-U can support N9 towards the additional UPF, if needed.</w:t>
      </w:r>
    </w:p>
    <w:p w14:paraId="54183910" w14:textId="77777777" w:rsidR="00D40151" w:rsidRPr="00873B6C" w:rsidRDefault="00D40151" w:rsidP="00D40151">
      <w:pPr>
        <w:pStyle w:val="NO"/>
      </w:pPr>
      <w:r w:rsidRPr="00873B6C">
        <w:t>NOTE 2:</w:t>
      </w:r>
      <w:r w:rsidRPr="00873B6C">
        <w:tab/>
        <w:t>S9 interface from EPC is not required since no known deployment exists.</w:t>
      </w:r>
    </w:p>
    <w:p w14:paraId="40520B6E" w14:textId="77777777" w:rsidR="00D40151" w:rsidRPr="00873B6C" w:rsidRDefault="00D40151" w:rsidP="00D40151">
      <w:pPr>
        <w:pStyle w:val="TH"/>
        <w:rPr>
          <w:lang w:eastAsia="zh-CN"/>
        </w:rPr>
      </w:pPr>
      <w:r w:rsidRPr="00873B6C">
        <w:object w:dxaOrig="9617" w:dyaOrig="7778" w14:anchorId="388949B3">
          <v:shape id="_x0000_i1070" type="#_x0000_t75" style="width:480.85pt;height:400.05pt" o:ole="">
            <v:imagedata r:id="rId99" o:title=""/>
          </v:shape>
          <o:OLEObject Type="Embed" ProgID="Word.Picture.8" ShapeID="_x0000_i1070" DrawAspect="Content" ObjectID="_1811772404" r:id="rId100"/>
        </w:object>
      </w:r>
    </w:p>
    <w:p w14:paraId="268D5507" w14:textId="77777777" w:rsidR="00D40151" w:rsidRPr="00873B6C" w:rsidRDefault="00D40151" w:rsidP="00D40151">
      <w:pPr>
        <w:pStyle w:val="TF"/>
        <w:rPr>
          <w:lang w:eastAsia="zh-CN"/>
        </w:rPr>
      </w:pPr>
      <w:bookmarkStart w:id="386" w:name="_CRFigure4_3_22"/>
      <w:r w:rsidRPr="00873B6C">
        <w:rPr>
          <w:lang w:eastAsia="zh-CN"/>
        </w:rPr>
        <w:t xml:space="preserve">Figure </w:t>
      </w:r>
      <w:bookmarkEnd w:id="386"/>
      <w:r w:rsidRPr="00873B6C">
        <w:rPr>
          <w:lang w:eastAsia="zh-CN"/>
        </w:rPr>
        <w:t>4.3.2-2: Home-routed roaming architecture for interworking between 5GS and EPC/E-UTRAN</w:t>
      </w:r>
    </w:p>
    <w:p w14:paraId="1703ADC2" w14:textId="77777777" w:rsidR="00D40151" w:rsidRPr="00873B6C" w:rsidRDefault="00D40151" w:rsidP="00D40151">
      <w:pPr>
        <w:pStyle w:val="Heading3"/>
      </w:pPr>
      <w:bookmarkStart w:id="387" w:name="_CR4_3_3"/>
      <w:bookmarkStart w:id="388" w:name="_Toc20149661"/>
      <w:bookmarkStart w:id="389" w:name="_Toc27846452"/>
      <w:bookmarkStart w:id="390" w:name="_Toc36187576"/>
      <w:bookmarkStart w:id="391" w:name="_Toc45183480"/>
      <w:bookmarkStart w:id="392" w:name="_Toc47342322"/>
      <w:bookmarkStart w:id="393" w:name="_Toc51769020"/>
      <w:bookmarkStart w:id="394" w:name="_Toc201156940"/>
      <w:bookmarkEnd w:id="387"/>
      <w:r w:rsidRPr="00873B6C">
        <w:t>4.3.3</w:t>
      </w:r>
      <w:r w:rsidRPr="00873B6C">
        <w:tab/>
        <w:t>Interworking between 5GC via non-3GPP access and E-UTRAN connected to EPC</w:t>
      </w:r>
      <w:bookmarkEnd w:id="388"/>
      <w:bookmarkEnd w:id="389"/>
      <w:bookmarkEnd w:id="390"/>
      <w:bookmarkEnd w:id="391"/>
      <w:bookmarkEnd w:id="392"/>
      <w:bookmarkEnd w:id="393"/>
      <w:bookmarkEnd w:id="394"/>
    </w:p>
    <w:p w14:paraId="032DB882" w14:textId="77777777" w:rsidR="00D40151" w:rsidRPr="00873B6C" w:rsidRDefault="00D40151" w:rsidP="00D40151">
      <w:pPr>
        <w:pStyle w:val="Heading4"/>
      </w:pPr>
      <w:bookmarkStart w:id="395" w:name="_CR4_3_3_1"/>
      <w:bookmarkStart w:id="396" w:name="_Toc20149662"/>
      <w:bookmarkStart w:id="397" w:name="_Toc27846453"/>
      <w:bookmarkStart w:id="398" w:name="_Toc36187577"/>
      <w:bookmarkStart w:id="399" w:name="_Toc45183481"/>
      <w:bookmarkStart w:id="400" w:name="_Toc47342323"/>
      <w:bookmarkStart w:id="401" w:name="_Toc51769021"/>
      <w:bookmarkStart w:id="402" w:name="_Toc201156941"/>
      <w:bookmarkEnd w:id="395"/>
      <w:r w:rsidRPr="00873B6C">
        <w:t>4.3.3.1</w:t>
      </w:r>
      <w:r w:rsidRPr="00873B6C">
        <w:tab/>
        <w:t>Non-roaming architecture</w:t>
      </w:r>
      <w:bookmarkEnd w:id="396"/>
      <w:bookmarkEnd w:id="397"/>
      <w:bookmarkEnd w:id="398"/>
      <w:bookmarkEnd w:id="399"/>
      <w:bookmarkEnd w:id="400"/>
      <w:bookmarkEnd w:id="401"/>
      <w:bookmarkEnd w:id="402"/>
    </w:p>
    <w:p w14:paraId="0C0BFC37" w14:textId="77777777" w:rsidR="00D40151" w:rsidRPr="00873B6C" w:rsidRDefault="00D40151" w:rsidP="00D40151">
      <w:r w:rsidRPr="00873B6C">
        <w:t>Figure 4.3.3-1 represents the non-roaming architecture for interworking between 5GC via non-3GPP access and EPC/E-UTRAN.</w:t>
      </w:r>
    </w:p>
    <w:bookmarkStart w:id="403" w:name="_MON_1631681159"/>
    <w:bookmarkEnd w:id="403"/>
    <w:p w14:paraId="42D78B2C" w14:textId="77777777" w:rsidR="00D40151" w:rsidRPr="00873B6C" w:rsidRDefault="00D40151" w:rsidP="00D40151">
      <w:pPr>
        <w:pStyle w:val="TH"/>
        <w:rPr>
          <w:lang w:eastAsia="zh-CN"/>
        </w:rPr>
      </w:pPr>
      <w:r w:rsidRPr="00873B6C">
        <w:object w:dxaOrig="8963" w:dyaOrig="5899" w14:anchorId="05DD3564">
          <v:shape id="_x0000_i1071" type="#_x0000_t75" style="width:450.15pt;height:294.25pt" o:ole="">
            <v:imagedata r:id="rId101" o:title=""/>
          </v:shape>
          <o:OLEObject Type="Embed" ProgID="Word.Picture.8" ShapeID="_x0000_i1071" DrawAspect="Content" ObjectID="_1811772405" r:id="rId102"/>
        </w:object>
      </w:r>
    </w:p>
    <w:p w14:paraId="6202E280" w14:textId="77777777" w:rsidR="00D40151" w:rsidRPr="00873B6C" w:rsidRDefault="00D40151" w:rsidP="00D40151">
      <w:pPr>
        <w:pStyle w:val="TF"/>
      </w:pPr>
      <w:bookmarkStart w:id="404" w:name="_CRFigure4_3_3_11"/>
      <w:r w:rsidRPr="00873B6C">
        <w:rPr>
          <w:lang w:eastAsia="zh-CN"/>
        </w:rPr>
        <w:t xml:space="preserve">Figure </w:t>
      </w:r>
      <w:bookmarkEnd w:id="404"/>
      <w:r w:rsidRPr="00873B6C">
        <w:rPr>
          <w:lang w:eastAsia="zh-CN"/>
        </w:rPr>
        <w:t xml:space="preserve">4.3.3.1-1: </w:t>
      </w:r>
      <w:r w:rsidRPr="00873B6C">
        <w:t>Non-roaming architecture</w:t>
      </w:r>
      <w:r w:rsidRPr="00873B6C">
        <w:rPr>
          <w:lang w:eastAsia="zh-CN"/>
        </w:rPr>
        <w:t xml:space="preserve"> for interworking between </w:t>
      </w:r>
      <w:r w:rsidRPr="00873B6C">
        <w:t xml:space="preserve">5GC via non-3GPP access </w:t>
      </w:r>
      <w:r w:rsidRPr="00873B6C">
        <w:rPr>
          <w:lang w:eastAsia="zh-CN"/>
        </w:rPr>
        <w:t>and EPC/E-UTRAN</w:t>
      </w:r>
    </w:p>
    <w:p w14:paraId="23B83D04" w14:textId="77777777" w:rsidR="00D40151" w:rsidRPr="00873B6C" w:rsidRDefault="00D40151" w:rsidP="00D40151">
      <w:pPr>
        <w:pStyle w:val="NO"/>
      </w:pPr>
      <w:r w:rsidRPr="00873B6C">
        <w:t>NOTE 1:</w:t>
      </w:r>
      <w:r w:rsidRPr="00873B6C">
        <w:tab/>
      </w:r>
      <w:r w:rsidRPr="00873B6C">
        <w:rPr>
          <w:rFonts w:eastAsia="SimSun"/>
        </w:rPr>
        <w:t>T</w:t>
      </w:r>
      <w:r w:rsidRPr="00873B6C">
        <w:t xml:space="preserve">here can be another UPF (not shown in the figure above) between the N3IWF/TNGF and the UPF + PGW-U, i.e. the UPF + PGW-U can support N9 towards </w:t>
      </w:r>
      <w:r w:rsidRPr="00873B6C">
        <w:rPr>
          <w:rFonts w:eastAsia="SimSun"/>
        </w:rPr>
        <w:t>an</w:t>
      </w:r>
      <w:r w:rsidRPr="00873B6C">
        <w:t xml:space="preserve"> additional UPF, if needed.</w:t>
      </w:r>
    </w:p>
    <w:p w14:paraId="6E09873C" w14:textId="77777777" w:rsidR="00D40151" w:rsidRPr="00873B6C" w:rsidRDefault="00D40151" w:rsidP="00D40151">
      <w:pPr>
        <w:pStyle w:val="NO"/>
      </w:pPr>
      <w:r w:rsidRPr="00873B6C">
        <w:t>NOTE 2:</w:t>
      </w:r>
      <w:r w:rsidRPr="00873B6C">
        <w:tab/>
        <w:t>N26 interface is not precluded, but it is not shown in the figure because it is not required for the interworking between 5GC via non-3GPP access and EPC/E-UTRAN.</w:t>
      </w:r>
    </w:p>
    <w:p w14:paraId="7E95FF41" w14:textId="77777777" w:rsidR="00D40151" w:rsidRPr="00873B6C" w:rsidRDefault="00D40151" w:rsidP="00D40151">
      <w:pPr>
        <w:pStyle w:val="Heading4"/>
      </w:pPr>
      <w:bookmarkStart w:id="405" w:name="_CR4_3_3_2"/>
      <w:bookmarkStart w:id="406" w:name="_Toc20149663"/>
      <w:bookmarkStart w:id="407" w:name="_Toc27846454"/>
      <w:bookmarkStart w:id="408" w:name="_Toc36187578"/>
      <w:bookmarkStart w:id="409" w:name="_Toc45183482"/>
      <w:bookmarkStart w:id="410" w:name="_Toc47342324"/>
      <w:bookmarkStart w:id="411" w:name="_Toc51769022"/>
      <w:bookmarkStart w:id="412" w:name="_Toc201156942"/>
      <w:bookmarkEnd w:id="405"/>
      <w:r w:rsidRPr="00873B6C">
        <w:t>4.3.3.2</w:t>
      </w:r>
      <w:r w:rsidRPr="00873B6C">
        <w:tab/>
        <w:t>Roaming architecture</w:t>
      </w:r>
      <w:bookmarkEnd w:id="406"/>
      <w:bookmarkEnd w:id="407"/>
      <w:bookmarkEnd w:id="408"/>
      <w:bookmarkEnd w:id="409"/>
      <w:bookmarkEnd w:id="410"/>
      <w:bookmarkEnd w:id="411"/>
      <w:bookmarkEnd w:id="412"/>
    </w:p>
    <w:p w14:paraId="5B6E678F" w14:textId="77777777" w:rsidR="00D40151" w:rsidRPr="00873B6C" w:rsidRDefault="00D40151" w:rsidP="00D40151">
      <w:r w:rsidRPr="00873B6C">
        <w:t>Figure 4.3.3.2-1 represents the Roaming architecture with local breakout and Figure 4.3.3.2-2 represents the Roaming architecture with home-routed traffic for interworking between 5GC via non-3GPP access and EPC/E-UTRAN.</w:t>
      </w:r>
    </w:p>
    <w:bookmarkStart w:id="413" w:name="_MON_1631681432"/>
    <w:bookmarkEnd w:id="413"/>
    <w:p w14:paraId="3587B809" w14:textId="77777777" w:rsidR="00D40151" w:rsidRPr="00873B6C" w:rsidRDefault="00D40151" w:rsidP="00D40151">
      <w:pPr>
        <w:pStyle w:val="TH"/>
        <w:rPr>
          <w:lang w:eastAsia="zh-CN"/>
        </w:rPr>
      </w:pPr>
      <w:r w:rsidRPr="00873B6C">
        <w:object w:dxaOrig="9131" w:dyaOrig="6610" w14:anchorId="1255FD3F">
          <v:shape id="_x0000_i1072" type="#_x0000_t75" style="width:456.4pt;height:333.1pt" o:ole="">
            <v:imagedata r:id="rId103" o:title=""/>
          </v:shape>
          <o:OLEObject Type="Embed" ProgID="Word.Picture.8" ShapeID="_x0000_i1072" DrawAspect="Content" ObjectID="_1811772406" r:id="rId104"/>
        </w:object>
      </w:r>
    </w:p>
    <w:p w14:paraId="32ABF801" w14:textId="77777777" w:rsidR="00D40151" w:rsidRPr="00873B6C" w:rsidRDefault="00D40151" w:rsidP="00D40151">
      <w:pPr>
        <w:pStyle w:val="TF"/>
        <w:rPr>
          <w:lang w:eastAsia="zh-CN"/>
        </w:rPr>
      </w:pPr>
      <w:bookmarkStart w:id="414" w:name="_CRFigure4_3_3_21"/>
      <w:r w:rsidRPr="00873B6C">
        <w:rPr>
          <w:lang w:eastAsia="zh-CN"/>
        </w:rPr>
        <w:t xml:space="preserve">Figure </w:t>
      </w:r>
      <w:bookmarkEnd w:id="414"/>
      <w:r w:rsidRPr="00873B6C">
        <w:rPr>
          <w:lang w:eastAsia="zh-CN"/>
        </w:rPr>
        <w:t>4.3.3.2-1: Local breakout roaming architecture for interworking between 5GC via non-3GPP access and EPC/E-UTRAN</w:t>
      </w:r>
    </w:p>
    <w:p w14:paraId="0A5603D3" w14:textId="77777777" w:rsidR="00D40151" w:rsidRPr="00873B6C" w:rsidRDefault="00D40151" w:rsidP="00D40151">
      <w:pPr>
        <w:pStyle w:val="NO"/>
      </w:pPr>
      <w:r w:rsidRPr="00873B6C">
        <w:t>NOTE 1:</w:t>
      </w:r>
      <w:r w:rsidRPr="00873B6C">
        <w:tab/>
        <w:t>There can be another UPF (not shown in the figure above) between the N3IWF/TNGF and the UPF + PGW-U, i.e. the UPF + PGW-U can support N9 towards the additional UPF, if needed.</w:t>
      </w:r>
    </w:p>
    <w:p w14:paraId="20DD77BE" w14:textId="77777777" w:rsidR="00D40151" w:rsidRPr="00873B6C" w:rsidRDefault="00D40151" w:rsidP="00D40151">
      <w:pPr>
        <w:pStyle w:val="NO"/>
      </w:pPr>
      <w:r w:rsidRPr="00873B6C">
        <w:t>NOTE 2:</w:t>
      </w:r>
      <w:r w:rsidRPr="00873B6C">
        <w:tab/>
        <w:t>S9 interface from EPC is not required since no known deployment exists.</w:t>
      </w:r>
    </w:p>
    <w:p w14:paraId="6B476F70" w14:textId="77777777" w:rsidR="00D40151" w:rsidRPr="00873B6C" w:rsidRDefault="00D40151" w:rsidP="00D40151">
      <w:pPr>
        <w:pStyle w:val="NO"/>
      </w:pPr>
      <w:r w:rsidRPr="00873B6C">
        <w:t>NOTE 3:</w:t>
      </w:r>
      <w:r w:rsidRPr="00873B6C">
        <w:tab/>
        <w:t>N26 interface is not precluded, but it not shown in the figure because it is not required for the interworking between 5GC via non-3GPP access and EPC/E-UTRAN.</w:t>
      </w:r>
    </w:p>
    <w:bookmarkStart w:id="415" w:name="_MON_1631681492"/>
    <w:bookmarkEnd w:id="415"/>
    <w:p w14:paraId="2E8B1D77" w14:textId="77777777" w:rsidR="00D40151" w:rsidRPr="00873B6C" w:rsidRDefault="00D40151" w:rsidP="00D40151">
      <w:pPr>
        <w:pStyle w:val="TH"/>
        <w:rPr>
          <w:lang w:eastAsia="zh-CN"/>
        </w:rPr>
      </w:pPr>
      <w:r w:rsidRPr="00873B6C">
        <w:object w:dxaOrig="9617" w:dyaOrig="7778" w14:anchorId="07E10B0B">
          <v:shape id="_x0000_i1073" type="#_x0000_t75" style="width:480.85pt;height:400.05pt" o:ole="">
            <v:imagedata r:id="rId105" o:title=""/>
          </v:shape>
          <o:OLEObject Type="Embed" ProgID="Word.Picture.8" ShapeID="_x0000_i1073" DrawAspect="Content" ObjectID="_1811772407" r:id="rId106"/>
        </w:object>
      </w:r>
    </w:p>
    <w:p w14:paraId="29F628C9" w14:textId="77777777" w:rsidR="00D40151" w:rsidRPr="00873B6C" w:rsidRDefault="00D40151" w:rsidP="00D40151">
      <w:pPr>
        <w:pStyle w:val="TF"/>
        <w:rPr>
          <w:lang w:eastAsia="zh-CN"/>
        </w:rPr>
      </w:pPr>
      <w:bookmarkStart w:id="416" w:name="_CRFigure4_3_3_22"/>
      <w:r w:rsidRPr="00873B6C">
        <w:rPr>
          <w:lang w:eastAsia="zh-CN"/>
        </w:rPr>
        <w:t xml:space="preserve">Figure </w:t>
      </w:r>
      <w:bookmarkEnd w:id="416"/>
      <w:r w:rsidRPr="00873B6C">
        <w:rPr>
          <w:lang w:eastAsia="zh-CN"/>
        </w:rPr>
        <w:t xml:space="preserve">4.3.3.2-2: Home-routed roaming architecture for interworking between </w:t>
      </w:r>
      <w:r w:rsidRPr="00873B6C">
        <w:t xml:space="preserve">5GC via non-3GPP access </w:t>
      </w:r>
      <w:r w:rsidRPr="00873B6C">
        <w:rPr>
          <w:lang w:eastAsia="zh-CN"/>
        </w:rPr>
        <w:t>and EPC/E-UTRAN</w:t>
      </w:r>
    </w:p>
    <w:p w14:paraId="63877697" w14:textId="77777777" w:rsidR="00D40151" w:rsidRPr="00873B6C" w:rsidRDefault="00D40151" w:rsidP="00D40151">
      <w:pPr>
        <w:pStyle w:val="NO"/>
      </w:pPr>
      <w:r w:rsidRPr="00873B6C">
        <w:t>NOTE 4:</w:t>
      </w:r>
      <w:r w:rsidRPr="00873B6C">
        <w:tab/>
        <w:t>N26 interface is not precluded, but it not shown in the figure because it is not required for the interworking between 5GC via non-3GPP access and EPC/E-UTRAN.</w:t>
      </w:r>
    </w:p>
    <w:p w14:paraId="5EDD7B4F" w14:textId="77777777" w:rsidR="00D40151" w:rsidRPr="00873B6C" w:rsidRDefault="00D40151" w:rsidP="00D40151">
      <w:pPr>
        <w:pStyle w:val="Heading3"/>
      </w:pPr>
      <w:bookmarkStart w:id="417" w:name="_CR4_3_4"/>
      <w:bookmarkStart w:id="418" w:name="_Toc20149664"/>
      <w:bookmarkStart w:id="419" w:name="_Toc27846455"/>
      <w:bookmarkStart w:id="420" w:name="_Toc36187579"/>
      <w:bookmarkStart w:id="421" w:name="_Toc45183483"/>
      <w:bookmarkStart w:id="422" w:name="_Toc47342325"/>
      <w:bookmarkStart w:id="423" w:name="_Toc51769023"/>
      <w:bookmarkStart w:id="424" w:name="_Toc201156943"/>
      <w:bookmarkEnd w:id="417"/>
      <w:r w:rsidRPr="00873B6C">
        <w:t>4.3.4</w:t>
      </w:r>
      <w:r w:rsidRPr="00873B6C">
        <w:tab/>
        <w:t>Interworking between ePDG connected to EPC and 5GS</w:t>
      </w:r>
      <w:bookmarkEnd w:id="418"/>
      <w:bookmarkEnd w:id="419"/>
      <w:bookmarkEnd w:id="420"/>
      <w:bookmarkEnd w:id="421"/>
      <w:bookmarkEnd w:id="422"/>
      <w:bookmarkEnd w:id="423"/>
      <w:bookmarkEnd w:id="424"/>
    </w:p>
    <w:p w14:paraId="71D07A96" w14:textId="77777777" w:rsidR="00D40151" w:rsidRPr="00873B6C" w:rsidRDefault="00D40151" w:rsidP="00D40151">
      <w:pPr>
        <w:pStyle w:val="Heading4"/>
      </w:pPr>
      <w:bookmarkStart w:id="425" w:name="_CR4_3_4_1"/>
      <w:bookmarkStart w:id="426" w:name="_Toc20149665"/>
      <w:bookmarkStart w:id="427" w:name="_Toc27846456"/>
      <w:bookmarkStart w:id="428" w:name="_Toc36187580"/>
      <w:bookmarkStart w:id="429" w:name="_Toc45183484"/>
      <w:bookmarkStart w:id="430" w:name="_Toc47342326"/>
      <w:bookmarkStart w:id="431" w:name="_Toc51769024"/>
      <w:bookmarkStart w:id="432" w:name="_Toc201156944"/>
      <w:bookmarkEnd w:id="425"/>
      <w:r w:rsidRPr="00873B6C">
        <w:t>4.3.4.1</w:t>
      </w:r>
      <w:r w:rsidRPr="00873B6C">
        <w:tab/>
        <w:t>Non-roaming architecture</w:t>
      </w:r>
      <w:bookmarkEnd w:id="426"/>
      <w:bookmarkEnd w:id="427"/>
      <w:bookmarkEnd w:id="428"/>
      <w:bookmarkEnd w:id="429"/>
      <w:bookmarkEnd w:id="430"/>
      <w:bookmarkEnd w:id="431"/>
      <w:bookmarkEnd w:id="432"/>
    </w:p>
    <w:p w14:paraId="65FBB41E" w14:textId="77777777" w:rsidR="00D40151" w:rsidRPr="00873B6C" w:rsidRDefault="00D40151" w:rsidP="00D40151">
      <w:r w:rsidRPr="00873B6C">
        <w:t>Figure 4.3.4.1-1 represents the non-roaming architecture for interworking between ePDG/EPC and 5GS.</w:t>
      </w:r>
    </w:p>
    <w:p w14:paraId="0439C4D5" w14:textId="77777777" w:rsidR="00D40151" w:rsidRPr="00873B6C" w:rsidRDefault="00D40151" w:rsidP="00D40151">
      <w:pPr>
        <w:pStyle w:val="TH"/>
        <w:rPr>
          <w:lang w:eastAsia="zh-CN"/>
        </w:rPr>
      </w:pPr>
      <w:r w:rsidRPr="00873B6C">
        <w:rPr>
          <w:noProof/>
        </w:rPr>
        <w:object w:dxaOrig="9356" w:dyaOrig="6093" w14:anchorId="5F715E77">
          <v:shape id="_x0000_i1074" type="#_x0000_t75" style="width:467.7pt;height:303.65pt" o:ole="">
            <v:imagedata r:id="rId107" o:title=""/>
          </v:shape>
          <o:OLEObject Type="Embed" ProgID="Word.Picture.8" ShapeID="_x0000_i1074" DrawAspect="Content" ObjectID="_1811772408" r:id="rId108"/>
        </w:object>
      </w:r>
    </w:p>
    <w:p w14:paraId="3740E25E" w14:textId="77777777" w:rsidR="00D40151" w:rsidRPr="00873B6C" w:rsidRDefault="00D40151" w:rsidP="00D40151">
      <w:pPr>
        <w:pStyle w:val="TF"/>
      </w:pPr>
      <w:bookmarkStart w:id="433" w:name="_CRFigure4_3_4_11"/>
      <w:r w:rsidRPr="00873B6C">
        <w:rPr>
          <w:lang w:eastAsia="zh-CN"/>
        </w:rPr>
        <w:t xml:space="preserve">Figure </w:t>
      </w:r>
      <w:bookmarkEnd w:id="433"/>
      <w:r w:rsidRPr="00873B6C">
        <w:rPr>
          <w:lang w:eastAsia="zh-CN"/>
        </w:rPr>
        <w:t xml:space="preserve">4.3.4.1-1: </w:t>
      </w:r>
      <w:r w:rsidRPr="00873B6C">
        <w:t>Non-roaming architecture</w:t>
      </w:r>
      <w:r w:rsidRPr="00873B6C">
        <w:rPr>
          <w:lang w:eastAsia="zh-CN"/>
        </w:rPr>
        <w:t xml:space="preserve"> for interworking between ePDG/EPC and </w:t>
      </w:r>
      <w:r w:rsidRPr="00873B6C">
        <w:t>5GS</w:t>
      </w:r>
    </w:p>
    <w:p w14:paraId="4F38F276" w14:textId="7F9F7899" w:rsidR="00D40151" w:rsidRPr="00873B6C" w:rsidRDefault="00D40151" w:rsidP="00D40151">
      <w:pPr>
        <w:pStyle w:val="NO"/>
      </w:pPr>
      <w:r w:rsidRPr="00873B6C">
        <w:t>NOTE 1:</w:t>
      </w:r>
      <w:r w:rsidRPr="00873B6C">
        <w:tab/>
      </w:r>
      <w:r w:rsidRPr="00873B6C">
        <w:rPr>
          <w:rFonts w:eastAsia="SimSun"/>
        </w:rPr>
        <w:t>The details of the interfaces between the UE and the ePDG</w:t>
      </w:r>
      <w:r w:rsidR="00472CD7" w:rsidRPr="00873B6C">
        <w:rPr>
          <w:rFonts w:eastAsia="SimSun"/>
        </w:rPr>
        <w:t xml:space="preserve"> and</w:t>
      </w:r>
      <w:r w:rsidRPr="00873B6C">
        <w:rPr>
          <w:rFonts w:eastAsia="SimSun"/>
        </w:rPr>
        <w:t xml:space="preserve"> between EPC nodes (i.e. SWm, SWx, S2b and S6b), are documented in </w:t>
      </w:r>
      <w:r w:rsidR="00972E70" w:rsidRPr="00873B6C">
        <w:rPr>
          <w:rFonts w:eastAsia="SimSun"/>
        </w:rPr>
        <w:t>TS 23.402 [</w:t>
      </w:r>
      <w:r w:rsidRPr="00873B6C">
        <w:rPr>
          <w:rFonts w:eastAsia="SimSun"/>
        </w:rPr>
        <w:t>43].</w:t>
      </w:r>
    </w:p>
    <w:p w14:paraId="56BA6930" w14:textId="72289EC6" w:rsidR="00D40151" w:rsidRPr="00873B6C" w:rsidRDefault="00D40151" w:rsidP="00D40151">
      <w:pPr>
        <w:pStyle w:val="NO"/>
      </w:pPr>
      <w:r w:rsidRPr="00873B6C">
        <w:t>NOTE 2:</w:t>
      </w:r>
      <w:r w:rsidRPr="00873B6C">
        <w:tab/>
        <w:t>Interworking with ePDG is only supported with GTP based S2b. S6b interface is optional (see</w:t>
      </w:r>
      <w:r w:rsidR="00D602DF" w:rsidRPr="00873B6C">
        <w:t xml:space="preserve"> clause 4.11.4.3.6</w:t>
      </w:r>
      <w:r w:rsidRPr="00873B6C">
        <w:t xml:space="preserve"> </w:t>
      </w:r>
      <w:r w:rsidR="00D602DF" w:rsidRPr="00873B6C">
        <w:t xml:space="preserve">of </w:t>
      </w:r>
      <w:r w:rsidR="00972E70" w:rsidRPr="00873B6C">
        <w:t>TS 23.502 [</w:t>
      </w:r>
      <w:r w:rsidRPr="00873B6C">
        <w:t>3]).</w:t>
      </w:r>
    </w:p>
    <w:p w14:paraId="48624BDA" w14:textId="77777777" w:rsidR="00D40151" w:rsidRPr="00873B6C" w:rsidRDefault="00D40151" w:rsidP="00D40151">
      <w:pPr>
        <w:pStyle w:val="Heading4"/>
      </w:pPr>
      <w:bookmarkStart w:id="434" w:name="_CR4_3_4_2"/>
      <w:bookmarkStart w:id="435" w:name="_Toc20149666"/>
      <w:bookmarkStart w:id="436" w:name="_Toc27846457"/>
      <w:bookmarkStart w:id="437" w:name="_Toc36187581"/>
      <w:bookmarkStart w:id="438" w:name="_Toc45183485"/>
      <w:bookmarkStart w:id="439" w:name="_Toc47342327"/>
      <w:bookmarkStart w:id="440" w:name="_Toc51769025"/>
      <w:bookmarkStart w:id="441" w:name="_Toc201156945"/>
      <w:bookmarkEnd w:id="434"/>
      <w:r w:rsidRPr="00873B6C">
        <w:t>4.3.4.2</w:t>
      </w:r>
      <w:r w:rsidRPr="00873B6C">
        <w:tab/>
        <w:t>Roaming architectures</w:t>
      </w:r>
      <w:bookmarkEnd w:id="435"/>
      <w:bookmarkEnd w:id="436"/>
      <w:bookmarkEnd w:id="437"/>
      <w:bookmarkEnd w:id="438"/>
      <w:bookmarkEnd w:id="439"/>
      <w:bookmarkEnd w:id="440"/>
      <w:bookmarkEnd w:id="441"/>
    </w:p>
    <w:p w14:paraId="7E04B5DF" w14:textId="77777777" w:rsidR="00D40151" w:rsidRPr="00873B6C" w:rsidRDefault="00D40151" w:rsidP="00D40151">
      <w:r w:rsidRPr="00873B6C">
        <w:t>Figure 4.3.4.2-1 represents the Roaming architecture with local breakout and Figure 4.3.4.2-2 represents the Roaming architecture with home-routed traffic for interworking between ePDG/EPC and 5GS.</w:t>
      </w:r>
    </w:p>
    <w:p w14:paraId="15C21763" w14:textId="77777777" w:rsidR="00D40151" w:rsidRPr="00873B6C" w:rsidRDefault="00D40151" w:rsidP="00D40151">
      <w:pPr>
        <w:pStyle w:val="TH"/>
        <w:rPr>
          <w:lang w:eastAsia="zh-CN"/>
        </w:rPr>
      </w:pPr>
      <w:r w:rsidRPr="00873B6C">
        <w:rPr>
          <w:noProof/>
        </w:rPr>
        <w:object w:dxaOrig="9356" w:dyaOrig="7085" w14:anchorId="1B41E149">
          <v:shape id="_x0000_i1075" type="#_x0000_t75" style="width:467.7pt;height:357.5pt" o:ole="">
            <v:imagedata r:id="rId109" o:title=""/>
          </v:shape>
          <o:OLEObject Type="Embed" ProgID="Word.Picture.8" ShapeID="_x0000_i1075" DrawAspect="Content" ObjectID="_1811772409" r:id="rId110"/>
        </w:object>
      </w:r>
    </w:p>
    <w:p w14:paraId="5207EFAE" w14:textId="52AD9DF9" w:rsidR="00D40151" w:rsidRPr="00873B6C" w:rsidRDefault="00D40151" w:rsidP="00D40151">
      <w:pPr>
        <w:pStyle w:val="TF"/>
        <w:rPr>
          <w:lang w:eastAsia="zh-CN"/>
        </w:rPr>
      </w:pPr>
      <w:bookmarkStart w:id="442" w:name="_CRFigure4_3_4_21"/>
      <w:r w:rsidRPr="00873B6C">
        <w:rPr>
          <w:lang w:eastAsia="zh-CN"/>
        </w:rPr>
        <w:t xml:space="preserve">Figure </w:t>
      </w:r>
      <w:bookmarkEnd w:id="442"/>
      <w:r w:rsidRPr="00873B6C">
        <w:rPr>
          <w:lang w:eastAsia="zh-CN"/>
        </w:rPr>
        <w:t>4.3.4.2-1:</w:t>
      </w:r>
      <w:r w:rsidR="005A13C0" w:rsidRPr="00873B6C">
        <w:rPr>
          <w:lang w:eastAsia="zh-CN"/>
        </w:rPr>
        <w:t xml:space="preserve"> </w:t>
      </w:r>
      <w:r w:rsidRPr="00873B6C">
        <w:rPr>
          <w:lang w:eastAsia="zh-CN"/>
        </w:rPr>
        <w:t xml:space="preserve">Local breakout roaming architecture for interworking between ePDG/EPC and </w:t>
      </w:r>
      <w:r w:rsidRPr="00873B6C">
        <w:t>5GS</w:t>
      </w:r>
    </w:p>
    <w:p w14:paraId="1582C154" w14:textId="42BAB2A2" w:rsidR="00D40151" w:rsidRPr="00873B6C" w:rsidRDefault="00D40151" w:rsidP="00D40151">
      <w:pPr>
        <w:pStyle w:val="NO"/>
      </w:pPr>
      <w:r w:rsidRPr="00873B6C">
        <w:t>NOTE 1:</w:t>
      </w:r>
      <w:r w:rsidRPr="00873B6C">
        <w:tab/>
      </w:r>
      <w:r w:rsidRPr="00873B6C">
        <w:rPr>
          <w:rFonts w:eastAsia="SimSun"/>
        </w:rPr>
        <w:t>The details of the interfaces between the UE and the ePDG</w:t>
      </w:r>
      <w:r w:rsidR="00472CD7" w:rsidRPr="00873B6C">
        <w:rPr>
          <w:rFonts w:eastAsia="SimSun"/>
        </w:rPr>
        <w:t xml:space="preserve"> and</w:t>
      </w:r>
      <w:r w:rsidRPr="00873B6C">
        <w:rPr>
          <w:rFonts w:eastAsia="SimSun"/>
        </w:rPr>
        <w:t xml:space="preserve"> between EPC nodes (i.e. SWm, SWd, SWx, S2b and S6b), are documented in </w:t>
      </w:r>
      <w:r w:rsidR="00972E70" w:rsidRPr="00873B6C">
        <w:rPr>
          <w:rFonts w:eastAsia="SimSun"/>
        </w:rPr>
        <w:t>TS 23.402 [</w:t>
      </w:r>
      <w:r w:rsidRPr="00873B6C">
        <w:rPr>
          <w:rFonts w:eastAsia="SimSun"/>
        </w:rPr>
        <w:t>43].</w:t>
      </w:r>
    </w:p>
    <w:p w14:paraId="543F6232" w14:textId="0F51B3CB" w:rsidR="00D40151" w:rsidRPr="00873B6C" w:rsidRDefault="00D40151" w:rsidP="00D40151">
      <w:pPr>
        <w:pStyle w:val="NO"/>
      </w:pPr>
      <w:r w:rsidRPr="00873B6C">
        <w:t>NOTE 2:</w:t>
      </w:r>
      <w:r w:rsidRPr="00873B6C">
        <w:tab/>
        <w:t>Interworking with ePDG is only supported with GTP based S2b. S6b interface is optional (see</w:t>
      </w:r>
      <w:r w:rsidR="00D602DF" w:rsidRPr="00873B6C">
        <w:t xml:space="preserve"> clause 4.11.4.3.6</w:t>
      </w:r>
      <w:r w:rsidRPr="00873B6C">
        <w:t xml:space="preserve"> </w:t>
      </w:r>
      <w:r w:rsidR="00D602DF" w:rsidRPr="00873B6C">
        <w:t xml:space="preserve">of </w:t>
      </w:r>
      <w:r w:rsidR="00972E70" w:rsidRPr="00873B6C">
        <w:t>TS 23.502 [</w:t>
      </w:r>
      <w:r w:rsidRPr="00873B6C">
        <w:t>3]).</w:t>
      </w:r>
    </w:p>
    <w:p w14:paraId="1EA6F839" w14:textId="77777777" w:rsidR="00D40151" w:rsidRPr="00873B6C" w:rsidRDefault="00D40151" w:rsidP="00D40151">
      <w:pPr>
        <w:pStyle w:val="TH"/>
        <w:rPr>
          <w:lang w:eastAsia="zh-CN"/>
        </w:rPr>
      </w:pPr>
      <w:r w:rsidRPr="00873B6C">
        <w:rPr>
          <w:noProof/>
        </w:rPr>
        <w:object w:dxaOrig="9617" w:dyaOrig="7935" w14:anchorId="496C7021">
          <v:shape id="_x0000_i1076" type="#_x0000_t75" style="width:480.85pt;height:411.35pt" o:ole="">
            <v:imagedata r:id="rId111" o:title=""/>
          </v:shape>
          <o:OLEObject Type="Embed" ProgID="Word.Picture.8" ShapeID="_x0000_i1076" DrawAspect="Content" ObjectID="_1811772410" r:id="rId112"/>
        </w:object>
      </w:r>
    </w:p>
    <w:p w14:paraId="068D774E" w14:textId="77777777" w:rsidR="00D40151" w:rsidRPr="00873B6C" w:rsidRDefault="00D40151" w:rsidP="00D40151">
      <w:pPr>
        <w:pStyle w:val="TF"/>
        <w:rPr>
          <w:lang w:eastAsia="zh-CN"/>
        </w:rPr>
      </w:pPr>
      <w:bookmarkStart w:id="443" w:name="_CRFigure4_3_4_22"/>
      <w:r w:rsidRPr="00873B6C">
        <w:rPr>
          <w:lang w:eastAsia="zh-CN"/>
        </w:rPr>
        <w:t xml:space="preserve">Figure </w:t>
      </w:r>
      <w:bookmarkEnd w:id="443"/>
      <w:r w:rsidRPr="00873B6C">
        <w:rPr>
          <w:lang w:eastAsia="zh-CN"/>
        </w:rPr>
        <w:t xml:space="preserve">4.3.4.2-2: Home-routed roaming architecture for interworking between ePDG/EPC and </w:t>
      </w:r>
      <w:r w:rsidRPr="00873B6C">
        <w:t>5GS</w:t>
      </w:r>
    </w:p>
    <w:p w14:paraId="7C26A195" w14:textId="02BCD5F8" w:rsidR="00D40151" w:rsidRPr="00873B6C" w:rsidRDefault="00D40151" w:rsidP="00D40151">
      <w:pPr>
        <w:pStyle w:val="NO"/>
        <w:rPr>
          <w:lang w:eastAsia="zh-CN"/>
        </w:rPr>
      </w:pPr>
      <w:r w:rsidRPr="00873B6C">
        <w:t>NOTE 1:</w:t>
      </w:r>
      <w:r w:rsidRPr="00873B6C">
        <w:tab/>
      </w:r>
      <w:r w:rsidRPr="00873B6C">
        <w:rPr>
          <w:rFonts w:eastAsia="SimSun"/>
        </w:rPr>
        <w:t>The details of the interfaces between the UE and the ePDG</w:t>
      </w:r>
      <w:r w:rsidR="00472CD7" w:rsidRPr="00873B6C">
        <w:rPr>
          <w:rFonts w:eastAsia="SimSun"/>
        </w:rPr>
        <w:t xml:space="preserve"> and</w:t>
      </w:r>
      <w:r w:rsidRPr="00873B6C">
        <w:rPr>
          <w:rFonts w:eastAsia="SimSun"/>
        </w:rPr>
        <w:t xml:space="preserve"> between EPC nodes (i.e. SWm, SWd, SWx, S2b and S6b), are documented in </w:t>
      </w:r>
      <w:r w:rsidR="00972E70" w:rsidRPr="00873B6C">
        <w:rPr>
          <w:rFonts w:eastAsia="SimSun"/>
        </w:rPr>
        <w:t>TS 23.402 [</w:t>
      </w:r>
      <w:r w:rsidRPr="00873B6C">
        <w:rPr>
          <w:rFonts w:eastAsia="SimSun"/>
        </w:rPr>
        <w:t>43].</w:t>
      </w:r>
    </w:p>
    <w:p w14:paraId="7111BE72" w14:textId="44F62787" w:rsidR="00D40151" w:rsidRPr="00873B6C" w:rsidRDefault="00D40151" w:rsidP="00D40151">
      <w:pPr>
        <w:pStyle w:val="NO"/>
        <w:rPr>
          <w:lang w:eastAsia="zh-CN"/>
        </w:rPr>
      </w:pPr>
      <w:r w:rsidRPr="00873B6C">
        <w:t>NOTE 2:</w:t>
      </w:r>
      <w:r w:rsidRPr="00873B6C">
        <w:tab/>
        <w:t>Interworking with ePDG is only supported with GTP based S2b. S6b interface is optional (see</w:t>
      </w:r>
      <w:r w:rsidR="00D602DF" w:rsidRPr="00873B6C">
        <w:t xml:space="preserve"> clause 4.11.4.3.6</w:t>
      </w:r>
      <w:r w:rsidRPr="00873B6C">
        <w:t xml:space="preserve"> </w:t>
      </w:r>
      <w:r w:rsidR="00D602DF" w:rsidRPr="00873B6C">
        <w:t xml:space="preserve">of </w:t>
      </w:r>
      <w:r w:rsidR="00972E70" w:rsidRPr="00873B6C">
        <w:t>TS 23.502 [</w:t>
      </w:r>
      <w:r w:rsidRPr="00873B6C">
        <w:t>3]).</w:t>
      </w:r>
    </w:p>
    <w:p w14:paraId="50C41C37" w14:textId="77777777" w:rsidR="00D40151" w:rsidRPr="00873B6C" w:rsidRDefault="00D40151" w:rsidP="00D40151">
      <w:pPr>
        <w:pStyle w:val="Heading3"/>
      </w:pPr>
      <w:bookmarkStart w:id="444" w:name="_CR4_3_5"/>
      <w:bookmarkStart w:id="445" w:name="_Toc20149667"/>
      <w:bookmarkStart w:id="446" w:name="_Toc27846458"/>
      <w:bookmarkStart w:id="447" w:name="_Toc36187582"/>
      <w:bookmarkStart w:id="448" w:name="_Toc45183486"/>
      <w:bookmarkStart w:id="449" w:name="_Toc47342328"/>
      <w:bookmarkStart w:id="450" w:name="_Toc51769026"/>
      <w:bookmarkStart w:id="451" w:name="_Toc201156946"/>
      <w:bookmarkEnd w:id="444"/>
      <w:r w:rsidRPr="00873B6C">
        <w:t>4.3.5</w:t>
      </w:r>
      <w:r w:rsidRPr="00873B6C">
        <w:tab/>
        <w:t>Service Exposure in Interworking Scenarios</w:t>
      </w:r>
      <w:bookmarkEnd w:id="445"/>
      <w:bookmarkEnd w:id="446"/>
      <w:bookmarkEnd w:id="447"/>
      <w:bookmarkEnd w:id="448"/>
      <w:bookmarkEnd w:id="449"/>
      <w:bookmarkEnd w:id="450"/>
      <w:bookmarkEnd w:id="451"/>
    </w:p>
    <w:p w14:paraId="0E7B4D1D" w14:textId="77777777" w:rsidR="00D40151" w:rsidRPr="00873B6C" w:rsidRDefault="00D40151" w:rsidP="00D40151">
      <w:pPr>
        <w:pStyle w:val="Heading4"/>
      </w:pPr>
      <w:bookmarkStart w:id="452" w:name="_CR4_3_5_1"/>
      <w:bookmarkStart w:id="453" w:name="_Toc20149668"/>
      <w:bookmarkStart w:id="454" w:name="_Toc27846459"/>
      <w:bookmarkStart w:id="455" w:name="_Toc36187583"/>
      <w:bookmarkStart w:id="456" w:name="_Toc45183487"/>
      <w:bookmarkStart w:id="457" w:name="_Toc47342329"/>
      <w:bookmarkStart w:id="458" w:name="_Toc51769027"/>
      <w:bookmarkStart w:id="459" w:name="_Toc201156947"/>
      <w:bookmarkEnd w:id="452"/>
      <w:r w:rsidRPr="00873B6C">
        <w:t>4.3.5.1</w:t>
      </w:r>
      <w:r w:rsidRPr="00873B6C">
        <w:tab/>
        <w:t>Non-roaming architecture</w:t>
      </w:r>
      <w:bookmarkEnd w:id="453"/>
      <w:bookmarkEnd w:id="454"/>
      <w:bookmarkEnd w:id="455"/>
      <w:bookmarkEnd w:id="456"/>
      <w:bookmarkEnd w:id="457"/>
      <w:bookmarkEnd w:id="458"/>
      <w:bookmarkEnd w:id="459"/>
    </w:p>
    <w:p w14:paraId="2B4A10ED" w14:textId="77777777" w:rsidR="00D40151" w:rsidRPr="00873B6C" w:rsidRDefault="00D40151" w:rsidP="00D40151">
      <w:r w:rsidRPr="00873B6C">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873B6C" w:rsidRDefault="00D40151" w:rsidP="00D40151">
      <w:pPr>
        <w:pStyle w:val="TH"/>
      </w:pPr>
      <w:r w:rsidRPr="00873B6C">
        <w:object w:dxaOrig="15145" w:dyaOrig="8232" w14:anchorId="60168E2F">
          <v:shape id="_x0000_i1077" type="#_x0000_t75" style="width:398.2pt;height:216.65pt" o:ole="">
            <v:imagedata r:id="rId113" o:title=""/>
          </v:shape>
          <o:OLEObject Type="Embed" ProgID="Visio.Drawing.11" ShapeID="_x0000_i1077" DrawAspect="Content" ObjectID="_1811772411" r:id="rId114"/>
        </w:object>
      </w:r>
    </w:p>
    <w:p w14:paraId="429E77D8" w14:textId="77777777" w:rsidR="00D40151" w:rsidRPr="00873B6C" w:rsidRDefault="00D40151" w:rsidP="00D40151">
      <w:pPr>
        <w:pStyle w:val="TF"/>
      </w:pPr>
      <w:bookmarkStart w:id="460" w:name="_CRFigure4_3_5_11"/>
      <w:r w:rsidRPr="00873B6C">
        <w:t xml:space="preserve">Figure </w:t>
      </w:r>
      <w:bookmarkEnd w:id="460"/>
      <w:r w:rsidRPr="00873B6C">
        <w:t>4.3.5.1 1: Non-roaming Service Exposure Architecture for EPC-5GC Interworking</w:t>
      </w:r>
    </w:p>
    <w:p w14:paraId="54687CE6" w14:textId="1F687D17" w:rsidR="00D40151" w:rsidRPr="00873B6C" w:rsidRDefault="00D40151" w:rsidP="00D40151">
      <w:pPr>
        <w:pStyle w:val="NO"/>
      </w:pPr>
      <w:r w:rsidRPr="00873B6C">
        <w:t>NOTE 1:</w:t>
      </w:r>
      <w:r w:rsidRPr="00873B6C">
        <w:tab/>
        <w:t xml:space="preserve">In Figure 4.3.5.1-1, Trust domain for SCEF+NEF is same as Trust domain for SCEF as defined in </w:t>
      </w:r>
      <w:r w:rsidR="00972E70" w:rsidRPr="00873B6C">
        <w:t>TS 23.682 [</w:t>
      </w:r>
      <w:r w:rsidRPr="00873B6C">
        <w:t>36].</w:t>
      </w:r>
    </w:p>
    <w:p w14:paraId="478C5ED1" w14:textId="5B294D70" w:rsidR="00D40151" w:rsidRPr="00873B6C" w:rsidRDefault="00D40151" w:rsidP="00D40151">
      <w:pPr>
        <w:pStyle w:val="NO"/>
      </w:pPr>
      <w:r w:rsidRPr="00873B6C">
        <w:t>NOTE 2:</w:t>
      </w:r>
      <w:r w:rsidRPr="00873B6C">
        <w:tab/>
        <w:t xml:space="preserve">In Figure 4.3.5.1-1, EPC Interface represents southbound interfaces between SCEF and EPC nodes e.g. the S6t interface between SCEF and HSS, the T6a interface between SCEF and MME, etc. All southbound interfaces from SCEF are defined in </w:t>
      </w:r>
      <w:r w:rsidR="00972E70" w:rsidRPr="00873B6C">
        <w:t>TS 23.682 [</w:t>
      </w:r>
      <w:r w:rsidRPr="00873B6C">
        <w:t>36] and are not shown for the sake of simplicity.</w:t>
      </w:r>
    </w:p>
    <w:p w14:paraId="6F1E5AE7" w14:textId="77777777" w:rsidR="00D40151" w:rsidRPr="00873B6C" w:rsidRDefault="00D40151" w:rsidP="00D40151">
      <w:pPr>
        <w:pStyle w:val="NO"/>
      </w:pPr>
      <w:r w:rsidRPr="00873B6C">
        <w:t>NOTE 3:</w:t>
      </w:r>
      <w:r w:rsidRPr="00873B6C">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873B6C" w:rsidRDefault="00D40151" w:rsidP="00D40151">
      <w:pPr>
        <w:pStyle w:val="NO"/>
      </w:pPr>
      <w:r w:rsidRPr="00873B6C">
        <w:t>NOTE 4:</w:t>
      </w:r>
      <w:r w:rsidRPr="00873B6C">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873B6C" w:rsidRDefault="00D40151" w:rsidP="00D40151">
      <w:pPr>
        <w:pStyle w:val="NO"/>
      </w:pPr>
      <w:r w:rsidRPr="00873B6C">
        <w:t>NOTE 5:</w:t>
      </w:r>
      <w:r w:rsidRPr="00873B6C">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873B6C" w:rsidRDefault="00D40151" w:rsidP="00D40151">
      <w:pPr>
        <w:pStyle w:val="Heading4"/>
      </w:pPr>
      <w:bookmarkStart w:id="461" w:name="_CR4_3_5_2"/>
      <w:bookmarkStart w:id="462" w:name="_Toc20149669"/>
      <w:bookmarkStart w:id="463" w:name="_Toc27846460"/>
      <w:bookmarkStart w:id="464" w:name="_Toc36187584"/>
      <w:bookmarkStart w:id="465" w:name="_Toc45183488"/>
      <w:bookmarkStart w:id="466" w:name="_Toc47342330"/>
      <w:bookmarkStart w:id="467" w:name="_Toc51769028"/>
      <w:bookmarkStart w:id="468" w:name="_Toc201156948"/>
      <w:bookmarkEnd w:id="461"/>
      <w:r w:rsidRPr="00873B6C">
        <w:t>4.3.5.2</w:t>
      </w:r>
      <w:r w:rsidRPr="00873B6C">
        <w:tab/>
        <w:t>Roaming architectures</w:t>
      </w:r>
      <w:bookmarkEnd w:id="462"/>
      <w:bookmarkEnd w:id="463"/>
      <w:bookmarkEnd w:id="464"/>
      <w:bookmarkEnd w:id="465"/>
      <w:bookmarkEnd w:id="466"/>
      <w:bookmarkEnd w:id="467"/>
      <w:bookmarkEnd w:id="468"/>
    </w:p>
    <w:p w14:paraId="2E246E9A" w14:textId="77777777" w:rsidR="00D40151" w:rsidRPr="00873B6C" w:rsidRDefault="00D40151" w:rsidP="00D40151">
      <w:pPr>
        <w:rPr>
          <w:lang w:eastAsia="x-none"/>
        </w:rPr>
      </w:pPr>
      <w:r w:rsidRPr="00873B6C">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873B6C" w:rsidRDefault="00D40151" w:rsidP="00D40151">
      <w:pPr>
        <w:pStyle w:val="TH"/>
      </w:pPr>
      <w:r w:rsidRPr="00873B6C">
        <w:object w:dxaOrig="16155" w:dyaOrig="9676" w14:anchorId="5C598600">
          <v:shape id="_x0000_i1078" type="#_x0000_t75" style="width:425.1pt;height:254.2pt" o:ole="">
            <v:imagedata r:id="rId115" o:title=""/>
          </v:shape>
          <o:OLEObject Type="Embed" ProgID="Visio.Drawing.11" ShapeID="_x0000_i1078" DrawAspect="Content" ObjectID="_1811772412" r:id="rId116"/>
        </w:object>
      </w:r>
    </w:p>
    <w:p w14:paraId="7E3C276E" w14:textId="77777777" w:rsidR="00D40151" w:rsidRPr="00873B6C" w:rsidRDefault="00D40151" w:rsidP="00D40151">
      <w:pPr>
        <w:pStyle w:val="TF"/>
      </w:pPr>
      <w:bookmarkStart w:id="469" w:name="_CRFigure4_3_5_21"/>
      <w:r w:rsidRPr="00873B6C">
        <w:t xml:space="preserve">Figure </w:t>
      </w:r>
      <w:bookmarkEnd w:id="469"/>
      <w:r w:rsidRPr="00873B6C">
        <w:t>4.3.5.2-1: Roaming Service Exposure Architecture for EPC-5GC Interworking</w:t>
      </w:r>
    </w:p>
    <w:p w14:paraId="64C19E78" w14:textId="5B9B2F58" w:rsidR="00D40151" w:rsidRPr="00873B6C" w:rsidRDefault="00D40151" w:rsidP="00D40151">
      <w:pPr>
        <w:pStyle w:val="NO"/>
      </w:pPr>
      <w:r w:rsidRPr="00873B6C">
        <w:t>NOTE:</w:t>
      </w:r>
      <w:r w:rsidRPr="00873B6C">
        <w:tab/>
        <w:t>Figure 4.3.5.2-1 does not include all the interfaces</w:t>
      </w:r>
      <w:r w:rsidR="00472CD7" w:rsidRPr="00873B6C">
        <w:t xml:space="preserve"> and</w:t>
      </w:r>
      <w:r w:rsidRPr="00873B6C">
        <w:t xml:space="preserve"> network elements or network functions that may be connected to SCEF+NEF.</w:t>
      </w:r>
    </w:p>
    <w:p w14:paraId="72E95701" w14:textId="77777777" w:rsidR="00D40151" w:rsidRPr="00873B6C" w:rsidRDefault="00D40151" w:rsidP="00D40151">
      <w:pPr>
        <w:pStyle w:val="Heading2"/>
      </w:pPr>
      <w:bookmarkStart w:id="470" w:name="_CR4_4"/>
      <w:bookmarkStart w:id="471" w:name="_Toc20149670"/>
      <w:bookmarkStart w:id="472" w:name="_Toc27846461"/>
      <w:bookmarkStart w:id="473" w:name="_Toc36187585"/>
      <w:bookmarkStart w:id="474" w:name="_Toc45183489"/>
      <w:bookmarkStart w:id="475" w:name="_Toc47342331"/>
      <w:bookmarkStart w:id="476" w:name="_Toc51769029"/>
      <w:bookmarkStart w:id="477" w:name="_Toc201156949"/>
      <w:bookmarkEnd w:id="470"/>
      <w:r w:rsidRPr="00873B6C">
        <w:t>4.4</w:t>
      </w:r>
      <w:r w:rsidRPr="00873B6C">
        <w:tab/>
        <w:t>Specific services</w:t>
      </w:r>
      <w:bookmarkEnd w:id="471"/>
      <w:bookmarkEnd w:id="472"/>
      <w:bookmarkEnd w:id="473"/>
      <w:bookmarkEnd w:id="474"/>
      <w:bookmarkEnd w:id="475"/>
      <w:bookmarkEnd w:id="476"/>
      <w:bookmarkEnd w:id="477"/>
    </w:p>
    <w:p w14:paraId="7CBBB367" w14:textId="77777777" w:rsidR="00D40151" w:rsidRPr="00873B6C" w:rsidRDefault="00D40151" w:rsidP="00D40151">
      <w:pPr>
        <w:pStyle w:val="Heading3"/>
      </w:pPr>
      <w:bookmarkStart w:id="478" w:name="_CR4_4_1"/>
      <w:bookmarkStart w:id="479" w:name="_Toc20149671"/>
      <w:bookmarkStart w:id="480" w:name="_Toc27846462"/>
      <w:bookmarkStart w:id="481" w:name="_Toc36187586"/>
      <w:bookmarkStart w:id="482" w:name="_Toc45183490"/>
      <w:bookmarkStart w:id="483" w:name="_Toc47342332"/>
      <w:bookmarkStart w:id="484" w:name="_Toc51769030"/>
      <w:bookmarkStart w:id="485" w:name="_Toc201156950"/>
      <w:bookmarkEnd w:id="478"/>
      <w:r w:rsidRPr="00873B6C">
        <w:t>4.4.1</w:t>
      </w:r>
      <w:r w:rsidRPr="00873B6C">
        <w:tab/>
        <w:t>Public Warning System</w:t>
      </w:r>
      <w:bookmarkEnd w:id="479"/>
      <w:bookmarkEnd w:id="480"/>
      <w:bookmarkEnd w:id="481"/>
      <w:bookmarkEnd w:id="482"/>
      <w:bookmarkEnd w:id="483"/>
      <w:bookmarkEnd w:id="484"/>
      <w:bookmarkEnd w:id="485"/>
    </w:p>
    <w:p w14:paraId="47DE61F1" w14:textId="149FB4F1" w:rsidR="00D40151" w:rsidRPr="00873B6C" w:rsidRDefault="00D40151" w:rsidP="00D40151">
      <w:pPr>
        <w:rPr>
          <w:rFonts w:eastAsia="MS Mincho"/>
        </w:rPr>
      </w:pPr>
      <w:r w:rsidRPr="00873B6C">
        <w:t xml:space="preserve">The Public Warning System architecture for 5G System is specified in </w:t>
      </w:r>
      <w:r w:rsidR="00972E70" w:rsidRPr="00873B6C">
        <w:t>TS 23.041 [</w:t>
      </w:r>
      <w:r w:rsidRPr="00873B6C">
        <w:t>46].</w:t>
      </w:r>
    </w:p>
    <w:p w14:paraId="39602734" w14:textId="77777777" w:rsidR="00D40151" w:rsidRPr="00873B6C" w:rsidRDefault="00D40151" w:rsidP="00D40151">
      <w:pPr>
        <w:pStyle w:val="Heading3"/>
      </w:pPr>
      <w:bookmarkStart w:id="486" w:name="_CR4_4_2"/>
      <w:bookmarkStart w:id="487" w:name="_Toc20149672"/>
      <w:bookmarkStart w:id="488" w:name="_Toc27846463"/>
      <w:bookmarkStart w:id="489" w:name="_Toc36187587"/>
      <w:bookmarkStart w:id="490" w:name="_Toc45183491"/>
      <w:bookmarkStart w:id="491" w:name="_Toc47342333"/>
      <w:bookmarkStart w:id="492" w:name="_Toc51769031"/>
      <w:bookmarkStart w:id="493" w:name="_Toc201156951"/>
      <w:bookmarkEnd w:id="486"/>
      <w:r w:rsidRPr="00873B6C">
        <w:t>4.4.2</w:t>
      </w:r>
      <w:r w:rsidRPr="00873B6C">
        <w:tab/>
        <w:t>SMS over NAS</w:t>
      </w:r>
      <w:bookmarkEnd w:id="487"/>
      <w:bookmarkEnd w:id="488"/>
      <w:bookmarkEnd w:id="489"/>
      <w:bookmarkEnd w:id="490"/>
      <w:bookmarkEnd w:id="491"/>
      <w:bookmarkEnd w:id="492"/>
      <w:bookmarkEnd w:id="493"/>
    </w:p>
    <w:p w14:paraId="7D575E81" w14:textId="4D47319E" w:rsidR="00183D3D" w:rsidRPr="00873B6C" w:rsidRDefault="00183D3D" w:rsidP="00D40151">
      <w:pPr>
        <w:pStyle w:val="Heading4"/>
      </w:pPr>
      <w:bookmarkStart w:id="494" w:name="_CR4_4_2_0"/>
      <w:bookmarkStart w:id="495" w:name="_Toc20149673"/>
      <w:bookmarkStart w:id="496" w:name="_Toc27846464"/>
      <w:bookmarkStart w:id="497" w:name="_Toc36187588"/>
      <w:bookmarkStart w:id="498" w:name="_Toc45183492"/>
      <w:bookmarkStart w:id="499" w:name="_Toc47342334"/>
      <w:bookmarkStart w:id="500" w:name="_Toc51769032"/>
      <w:bookmarkStart w:id="501" w:name="_Toc201156952"/>
      <w:bookmarkEnd w:id="494"/>
      <w:r w:rsidRPr="00873B6C">
        <w:t>4.4.2.0</w:t>
      </w:r>
      <w:r w:rsidRPr="00873B6C">
        <w:tab/>
        <w:t>General</w:t>
      </w:r>
      <w:bookmarkEnd w:id="501"/>
    </w:p>
    <w:p w14:paraId="522C34D8" w14:textId="77777777" w:rsidR="00183D3D" w:rsidRPr="00873B6C" w:rsidRDefault="00183D3D" w:rsidP="00183D3D">
      <w:r w:rsidRPr="00873B6C">
        <w:t>This clause introduces legacy SMS over NAS architecture, in which the interfaces between SMSF/UDM and SMS-GMSC/SMS-IWMSC/IP-SM-GW/SMS Router are still based on legacy protocol (i.e. MAP or Diameter).</w:t>
      </w:r>
    </w:p>
    <w:p w14:paraId="4BAF12EE" w14:textId="6A149BFD" w:rsidR="00183D3D" w:rsidRPr="00873B6C" w:rsidRDefault="00183D3D" w:rsidP="00183D3D">
      <w:r w:rsidRPr="00873B6C">
        <w:t xml:space="preserve">The SBI-based SMS architecture and interfaces are specified in </w:t>
      </w:r>
      <w:r w:rsidR="00972E70" w:rsidRPr="00873B6C">
        <w:t>TS 23.540 [</w:t>
      </w:r>
      <w:r w:rsidRPr="00873B6C">
        <w:t>142].</w:t>
      </w:r>
    </w:p>
    <w:p w14:paraId="38CCC8C3" w14:textId="1B71F1D6" w:rsidR="00D40151" w:rsidRPr="00873B6C" w:rsidRDefault="00D40151" w:rsidP="00D40151">
      <w:pPr>
        <w:pStyle w:val="Heading4"/>
      </w:pPr>
      <w:bookmarkStart w:id="502" w:name="_CR4_4_2_1"/>
      <w:bookmarkStart w:id="503" w:name="_Toc201156953"/>
      <w:bookmarkEnd w:id="502"/>
      <w:r w:rsidRPr="00873B6C">
        <w:t>4.4.2.1</w:t>
      </w:r>
      <w:r w:rsidRPr="00873B6C">
        <w:tab/>
        <w:t>Architecture to support SMS over NAS</w:t>
      </w:r>
      <w:bookmarkEnd w:id="495"/>
      <w:bookmarkEnd w:id="496"/>
      <w:bookmarkEnd w:id="497"/>
      <w:bookmarkEnd w:id="498"/>
      <w:bookmarkEnd w:id="499"/>
      <w:bookmarkEnd w:id="500"/>
      <w:bookmarkEnd w:id="503"/>
    </w:p>
    <w:p w14:paraId="233EB6A3" w14:textId="77777777" w:rsidR="00D40151" w:rsidRPr="00873B6C" w:rsidRDefault="00D40151" w:rsidP="00D40151">
      <w:r w:rsidRPr="00873B6C">
        <w:t>Figure 4.4.2.1-1 shows the non-roaming architecture to support SMS over NAS using the Service-based interfaces within the Control Plane.</w:t>
      </w:r>
    </w:p>
    <w:p w14:paraId="37F13DDE" w14:textId="77777777" w:rsidR="00D40151" w:rsidRPr="00873B6C" w:rsidRDefault="00D40151" w:rsidP="00D40151">
      <w:pPr>
        <w:pStyle w:val="TH"/>
      </w:pPr>
      <w:r w:rsidRPr="00873B6C">
        <w:object w:dxaOrig="4747" w:dyaOrig="2798" w14:anchorId="7176A189">
          <v:shape id="_x0000_i1079" type="#_x0000_t75" style="width:237.9pt;height:139.6pt" o:ole="">
            <v:imagedata r:id="rId117" o:title=""/>
          </v:shape>
          <o:OLEObject Type="Embed" ProgID="Word.Picture.8" ShapeID="_x0000_i1079" DrawAspect="Content" ObjectID="_1811772413" r:id="rId118"/>
        </w:object>
      </w:r>
    </w:p>
    <w:p w14:paraId="3CDF3F65" w14:textId="77777777" w:rsidR="00D40151" w:rsidRPr="00873B6C" w:rsidRDefault="00D40151" w:rsidP="00D40151">
      <w:pPr>
        <w:pStyle w:val="TF"/>
      </w:pPr>
      <w:bookmarkStart w:id="504" w:name="_CRFigure4_4_2_11"/>
      <w:r w:rsidRPr="00873B6C">
        <w:t xml:space="preserve">Figure </w:t>
      </w:r>
      <w:bookmarkEnd w:id="504"/>
      <w:r w:rsidRPr="00873B6C">
        <w:t>4.4.2.1-1: Non-roaming System Architecture for SMS over NAS</w:t>
      </w:r>
    </w:p>
    <w:p w14:paraId="5B8FE60C" w14:textId="77777777" w:rsidR="00D40151" w:rsidRPr="00873B6C" w:rsidRDefault="00D40151" w:rsidP="00D40151">
      <w:r w:rsidRPr="00873B6C">
        <w:t>Figure 4.4.2.1-2 shows the non-roaming architecture to support SMS over NAS using the reference point representation.</w:t>
      </w:r>
    </w:p>
    <w:p w14:paraId="3A794AD4" w14:textId="77777777" w:rsidR="00D40151" w:rsidRPr="00873B6C" w:rsidRDefault="00D40151" w:rsidP="00D40151">
      <w:pPr>
        <w:pStyle w:val="TH"/>
      </w:pPr>
      <w:r w:rsidRPr="00873B6C">
        <w:object w:dxaOrig="6256" w:dyaOrig="2743" w14:anchorId="6F20086A">
          <v:shape id="_x0000_i1080" type="#_x0000_t75" style="width:314.3pt;height:137.75pt" o:ole="">
            <v:imagedata r:id="rId119" o:title=""/>
          </v:shape>
          <o:OLEObject Type="Embed" ProgID="Word.Picture.8" ShapeID="_x0000_i1080" DrawAspect="Content" ObjectID="_1811772414" r:id="rId120"/>
        </w:object>
      </w:r>
    </w:p>
    <w:p w14:paraId="5A387324" w14:textId="77777777" w:rsidR="00D40151" w:rsidRPr="00873B6C" w:rsidRDefault="00D40151" w:rsidP="00D40151">
      <w:pPr>
        <w:pStyle w:val="TF"/>
      </w:pPr>
      <w:bookmarkStart w:id="505" w:name="_CRFigure4_4_2_12"/>
      <w:r w:rsidRPr="00873B6C">
        <w:t xml:space="preserve">Figure </w:t>
      </w:r>
      <w:bookmarkEnd w:id="505"/>
      <w:r w:rsidRPr="00873B6C">
        <w:t>4.4.2.1-2: Non-roaming System Architecture for SMS over NAS in reference point representation</w:t>
      </w:r>
    </w:p>
    <w:p w14:paraId="42A61AE6" w14:textId="06EA203A" w:rsidR="00D40151" w:rsidRPr="00873B6C" w:rsidRDefault="00D40151" w:rsidP="00D40151">
      <w:pPr>
        <w:pStyle w:val="NO"/>
      </w:pPr>
      <w:r w:rsidRPr="00873B6C">
        <w:t>NOTE 1:</w:t>
      </w:r>
      <w:r w:rsidRPr="00873B6C">
        <w:tab/>
        <w:t xml:space="preserve">SMS Function (SMSF) may be connected to the SMS-GMSC/IWMSC/SMS Router via one of the standardized interfaces as shown in </w:t>
      </w:r>
      <w:r w:rsidR="00972E70" w:rsidRPr="00873B6C">
        <w:t>TS 23.040 [</w:t>
      </w:r>
      <w:r w:rsidRPr="00873B6C">
        <w:t>5].</w:t>
      </w:r>
    </w:p>
    <w:p w14:paraId="7962B5D4" w14:textId="503531E3" w:rsidR="00D40151" w:rsidRPr="00873B6C" w:rsidRDefault="00D40151" w:rsidP="00D40151">
      <w:pPr>
        <w:pStyle w:val="NO"/>
      </w:pPr>
      <w:r w:rsidRPr="00873B6C">
        <w:t>NOTE 2:</w:t>
      </w:r>
      <w:r w:rsidRPr="00873B6C">
        <w:tab/>
        <w:t xml:space="preserve">UDM may be connected to the SMS-GMSC/IWMSC/SMS Router via one of the standardized interfaces as shown in </w:t>
      </w:r>
      <w:r w:rsidR="00972E70" w:rsidRPr="00873B6C">
        <w:t>TS 23.040 [</w:t>
      </w:r>
      <w:r w:rsidRPr="00873B6C">
        <w:t>5].</w:t>
      </w:r>
    </w:p>
    <w:p w14:paraId="5AE682C5" w14:textId="77777777" w:rsidR="00D40151" w:rsidRPr="00873B6C" w:rsidRDefault="00D40151" w:rsidP="00D40151">
      <w:pPr>
        <w:pStyle w:val="NO"/>
      </w:pPr>
      <w:r w:rsidRPr="00873B6C">
        <w:t>NOTE 3:</w:t>
      </w:r>
      <w:r w:rsidRPr="00873B6C">
        <w:tab/>
        <w:t>Each UE is associated with only one SMS Function in the registered PLMN.</w:t>
      </w:r>
    </w:p>
    <w:p w14:paraId="5833AA0A" w14:textId="77777777" w:rsidR="00D40151" w:rsidRPr="00873B6C" w:rsidRDefault="00D40151" w:rsidP="00D40151">
      <w:pPr>
        <w:pStyle w:val="NO"/>
      </w:pPr>
      <w:r w:rsidRPr="00873B6C">
        <w:t>NOTE 4:</w:t>
      </w:r>
      <w:r w:rsidRPr="00873B6C">
        <w:tab/>
        <w:t xml:space="preserve">SMSF re-allocation while the UE is in </w:t>
      </w:r>
      <w:r w:rsidRPr="00873B6C">
        <w:rPr>
          <w:rFonts w:eastAsia="Batang"/>
          <w:lang w:eastAsia="ko-KR"/>
        </w:rPr>
        <w:t>RM</w:t>
      </w:r>
      <w:r w:rsidRPr="00873B6C">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8C3CD78" w:rsidR="00D40151" w:rsidRPr="00873B6C" w:rsidRDefault="00D40151" w:rsidP="00D40151">
      <w:pPr>
        <w:pStyle w:val="NO"/>
      </w:pPr>
      <w:r w:rsidRPr="00873B6C">
        <w:rPr>
          <w:rFonts w:eastAsia="SimSun"/>
          <w:lang w:eastAsia="zh-CN"/>
        </w:rPr>
        <w:t>NOTE 5:</w:t>
      </w:r>
      <w:r w:rsidRPr="00873B6C">
        <w:rPr>
          <w:rFonts w:eastAsia="SimSun"/>
          <w:lang w:eastAsia="zh-CN"/>
        </w:rPr>
        <w:tab/>
        <w:t>To support MT SMS domain selection by IP-SM-GW/SMS Router, IP-SM-GW/SMS Router may connect to SGs MSC, MME and SMSF via</w:t>
      </w:r>
      <w:r w:rsidRPr="00873B6C">
        <w:rPr>
          <w:rFonts w:eastAsia="SimSun"/>
        </w:rPr>
        <w:t xml:space="preserve"> one of the standardized interfaces as shown in </w:t>
      </w:r>
      <w:r w:rsidR="00972E70" w:rsidRPr="00873B6C">
        <w:rPr>
          <w:rFonts w:eastAsia="SimSun"/>
        </w:rPr>
        <w:t>TS 23.040 [</w:t>
      </w:r>
      <w:r w:rsidRPr="00873B6C">
        <w:rPr>
          <w:rFonts w:eastAsia="SimSun"/>
        </w:rPr>
        <w:t>5]</w:t>
      </w:r>
      <w:r w:rsidRPr="00873B6C">
        <w:rPr>
          <w:rFonts w:eastAsia="SimSun"/>
          <w:lang w:eastAsia="zh-CN"/>
        </w:rPr>
        <w:t>.</w:t>
      </w:r>
    </w:p>
    <w:p w14:paraId="4C419B42" w14:textId="77777777" w:rsidR="00D40151" w:rsidRPr="00873B6C" w:rsidRDefault="00D40151" w:rsidP="00D40151">
      <w:r w:rsidRPr="00873B6C">
        <w:t>Figure 4.4.2.1-3 shows the roaming architecture to support SMS over NAS using the Service-based interfaces within the Control Plane.</w:t>
      </w:r>
    </w:p>
    <w:p w14:paraId="0BEE07A6" w14:textId="77777777" w:rsidR="00D40151" w:rsidRPr="00873B6C" w:rsidRDefault="00D40151" w:rsidP="00D40151">
      <w:pPr>
        <w:pStyle w:val="TH"/>
      </w:pPr>
      <w:r w:rsidRPr="00873B6C">
        <w:object w:dxaOrig="5044" w:dyaOrig="3272" w14:anchorId="3AEFD041">
          <v:shape id="_x0000_i1081" type="#_x0000_t75" style="width:250.45pt;height:164.05pt" o:ole="">
            <v:imagedata r:id="rId121" o:title=""/>
          </v:shape>
          <o:OLEObject Type="Embed" ProgID="Word.Picture.8" ShapeID="_x0000_i1081" DrawAspect="Content" ObjectID="_1811772415" r:id="rId122"/>
        </w:object>
      </w:r>
    </w:p>
    <w:p w14:paraId="45A82885" w14:textId="77777777" w:rsidR="00D40151" w:rsidRPr="00873B6C" w:rsidRDefault="00D40151" w:rsidP="00D40151">
      <w:pPr>
        <w:pStyle w:val="TF"/>
      </w:pPr>
      <w:bookmarkStart w:id="506" w:name="_CRFigure4_4_2_13"/>
      <w:r w:rsidRPr="00873B6C">
        <w:t xml:space="preserve">Figure </w:t>
      </w:r>
      <w:bookmarkEnd w:id="506"/>
      <w:r w:rsidRPr="00873B6C">
        <w:t>4.4.2.1-3: Roaming architecture for SMS over NAS</w:t>
      </w:r>
    </w:p>
    <w:p w14:paraId="5F275F84" w14:textId="77777777" w:rsidR="00D40151" w:rsidRPr="00873B6C" w:rsidRDefault="00D40151" w:rsidP="00D40151">
      <w:r w:rsidRPr="00873B6C">
        <w:t>Figure 4.4.2.1-4 shows the roaming architecture to support SMS over NAS using the reference point representation.</w:t>
      </w:r>
    </w:p>
    <w:p w14:paraId="048825B2" w14:textId="77777777" w:rsidR="00D40151" w:rsidRPr="00873B6C" w:rsidRDefault="00D40151" w:rsidP="00D40151">
      <w:pPr>
        <w:pStyle w:val="TH"/>
      </w:pPr>
      <w:r w:rsidRPr="00873B6C">
        <w:object w:dxaOrig="5141" w:dyaOrig="2808" w14:anchorId="1D15304C">
          <v:shape id="_x0000_i1082" type="#_x0000_t75" style="width:257.3pt;height:140.25pt" o:ole="">
            <v:imagedata r:id="rId123" o:title=""/>
          </v:shape>
          <o:OLEObject Type="Embed" ProgID="Word.Picture.8" ShapeID="_x0000_i1082" DrawAspect="Content" ObjectID="_1811772416" r:id="rId124"/>
        </w:object>
      </w:r>
    </w:p>
    <w:p w14:paraId="761ACFDD" w14:textId="77777777" w:rsidR="00D40151" w:rsidRPr="00873B6C" w:rsidRDefault="00D40151" w:rsidP="00D40151">
      <w:pPr>
        <w:pStyle w:val="TF"/>
      </w:pPr>
      <w:bookmarkStart w:id="507" w:name="_CRFigure4_4_2_14"/>
      <w:r w:rsidRPr="00873B6C">
        <w:t xml:space="preserve">Figure </w:t>
      </w:r>
      <w:bookmarkEnd w:id="507"/>
      <w:r w:rsidRPr="00873B6C">
        <w:t>4.4.2.1-4: Roaming architecture for SMS over NAS in reference point representation</w:t>
      </w:r>
    </w:p>
    <w:p w14:paraId="7DA545F2" w14:textId="77777777" w:rsidR="00D40151" w:rsidRPr="00873B6C" w:rsidRDefault="00D40151" w:rsidP="00D40151">
      <w:pPr>
        <w:pStyle w:val="Heading4"/>
      </w:pPr>
      <w:bookmarkStart w:id="508" w:name="_CR4_4_2_2"/>
      <w:bookmarkStart w:id="509" w:name="_Toc20149674"/>
      <w:bookmarkStart w:id="510" w:name="_Toc27846465"/>
      <w:bookmarkStart w:id="511" w:name="_Toc36187589"/>
      <w:bookmarkStart w:id="512" w:name="_Toc45183493"/>
      <w:bookmarkStart w:id="513" w:name="_Toc47342335"/>
      <w:bookmarkStart w:id="514" w:name="_Toc51769033"/>
      <w:bookmarkStart w:id="515" w:name="_Toc201156954"/>
      <w:bookmarkEnd w:id="508"/>
      <w:r w:rsidRPr="00873B6C">
        <w:t>4.4.2.2</w:t>
      </w:r>
      <w:r w:rsidRPr="00873B6C">
        <w:tab/>
        <w:t>Reference point to support SMS over NAS</w:t>
      </w:r>
      <w:bookmarkEnd w:id="509"/>
      <w:bookmarkEnd w:id="510"/>
      <w:bookmarkEnd w:id="511"/>
      <w:bookmarkEnd w:id="512"/>
      <w:bookmarkEnd w:id="513"/>
      <w:bookmarkEnd w:id="514"/>
      <w:bookmarkEnd w:id="515"/>
    </w:p>
    <w:p w14:paraId="48794E13" w14:textId="77777777" w:rsidR="00D40151" w:rsidRPr="00873B6C" w:rsidRDefault="00D40151" w:rsidP="00D40151">
      <w:pPr>
        <w:pStyle w:val="NO"/>
      </w:pPr>
      <w:r w:rsidRPr="00873B6C">
        <w:rPr>
          <w:b/>
        </w:rPr>
        <w:t>N1:</w:t>
      </w:r>
      <w:r w:rsidRPr="00873B6C">
        <w:tab/>
        <w:t>Reference point for SMS transfer between UE and AMF via NAS.</w:t>
      </w:r>
    </w:p>
    <w:p w14:paraId="70B4FDCD" w14:textId="77777777" w:rsidR="00D40151" w:rsidRPr="00873B6C" w:rsidRDefault="00D40151" w:rsidP="00D40151">
      <w:r w:rsidRPr="00873B6C">
        <w:t>Following reference points are realized by service based interfaces:</w:t>
      </w:r>
    </w:p>
    <w:p w14:paraId="6A798593" w14:textId="77777777" w:rsidR="00D40151" w:rsidRPr="00873B6C" w:rsidRDefault="00D40151" w:rsidP="00D40151">
      <w:pPr>
        <w:pStyle w:val="NO"/>
      </w:pPr>
      <w:r w:rsidRPr="00873B6C">
        <w:rPr>
          <w:b/>
        </w:rPr>
        <w:t>N8:</w:t>
      </w:r>
      <w:r w:rsidRPr="00873B6C">
        <w:tab/>
        <w:t>Reference point for SMS Subscription data retrieval between AMF and UDM.</w:t>
      </w:r>
    </w:p>
    <w:p w14:paraId="53064C04" w14:textId="77777777" w:rsidR="00D40151" w:rsidRPr="00873B6C" w:rsidRDefault="00D40151" w:rsidP="00D40151">
      <w:pPr>
        <w:pStyle w:val="NO"/>
      </w:pPr>
      <w:r w:rsidRPr="00873B6C">
        <w:rPr>
          <w:b/>
        </w:rPr>
        <w:t>N20:</w:t>
      </w:r>
      <w:r w:rsidRPr="00873B6C">
        <w:tab/>
        <w:t>Reference point for SMS transfer between AMF and SMS Function.</w:t>
      </w:r>
    </w:p>
    <w:p w14:paraId="339F19B5" w14:textId="77777777" w:rsidR="00D40151" w:rsidRPr="00873B6C" w:rsidRDefault="00D40151" w:rsidP="00D40151">
      <w:pPr>
        <w:pStyle w:val="NO"/>
      </w:pPr>
      <w:r w:rsidRPr="00873B6C">
        <w:rPr>
          <w:b/>
        </w:rPr>
        <w:t>N21:</w:t>
      </w:r>
      <w:r w:rsidRPr="00873B6C">
        <w:tab/>
        <w:t>Reference point for SMS Function address registration management and SMS Management Subscription data retrieval between SMS Function and UDM.</w:t>
      </w:r>
    </w:p>
    <w:p w14:paraId="79AA0FF0" w14:textId="77777777" w:rsidR="00D40151" w:rsidRPr="00873B6C" w:rsidRDefault="00D40151" w:rsidP="00D40151">
      <w:pPr>
        <w:pStyle w:val="Heading4"/>
      </w:pPr>
      <w:bookmarkStart w:id="516" w:name="_CR4_4_2_3"/>
      <w:bookmarkStart w:id="517" w:name="_Toc20149675"/>
      <w:bookmarkStart w:id="518" w:name="_Toc27846466"/>
      <w:bookmarkStart w:id="519" w:name="_Toc36187590"/>
      <w:bookmarkStart w:id="520" w:name="_Toc45183494"/>
      <w:bookmarkStart w:id="521" w:name="_Toc47342336"/>
      <w:bookmarkStart w:id="522" w:name="_Toc51769034"/>
      <w:bookmarkStart w:id="523" w:name="_Toc201156955"/>
      <w:bookmarkEnd w:id="516"/>
      <w:r w:rsidRPr="00873B6C">
        <w:t>4.4.2.3</w:t>
      </w:r>
      <w:r w:rsidRPr="00873B6C">
        <w:tab/>
        <w:t>Service based interface to support SMS over NAS</w:t>
      </w:r>
      <w:bookmarkEnd w:id="517"/>
      <w:bookmarkEnd w:id="518"/>
      <w:bookmarkEnd w:id="519"/>
      <w:bookmarkEnd w:id="520"/>
      <w:bookmarkEnd w:id="521"/>
      <w:bookmarkEnd w:id="522"/>
      <w:bookmarkEnd w:id="523"/>
    </w:p>
    <w:p w14:paraId="0C326C91" w14:textId="77777777" w:rsidR="00D40151" w:rsidRPr="00873B6C" w:rsidRDefault="00D40151" w:rsidP="00D40151">
      <w:pPr>
        <w:pStyle w:val="NO"/>
      </w:pPr>
      <w:r w:rsidRPr="00873B6C">
        <w:rPr>
          <w:b/>
        </w:rPr>
        <w:t>Nsmsf:</w:t>
      </w:r>
      <w:r w:rsidRPr="00873B6C">
        <w:tab/>
        <w:t>Service-based interface exhibited by SMSF.</w:t>
      </w:r>
    </w:p>
    <w:p w14:paraId="057BAC41" w14:textId="77777777" w:rsidR="00D40151" w:rsidRPr="00873B6C" w:rsidRDefault="00D40151" w:rsidP="00D40151">
      <w:pPr>
        <w:pStyle w:val="Heading3"/>
      </w:pPr>
      <w:bookmarkStart w:id="524" w:name="_CR4_4_3"/>
      <w:bookmarkStart w:id="525" w:name="_Toc20149676"/>
      <w:bookmarkStart w:id="526" w:name="_Toc27846467"/>
      <w:bookmarkStart w:id="527" w:name="_Toc36187591"/>
      <w:bookmarkStart w:id="528" w:name="_Toc45183495"/>
      <w:bookmarkStart w:id="529" w:name="_Toc47342337"/>
      <w:bookmarkStart w:id="530" w:name="_Toc51769035"/>
      <w:bookmarkStart w:id="531" w:name="_Toc201156956"/>
      <w:bookmarkEnd w:id="524"/>
      <w:r w:rsidRPr="00873B6C">
        <w:t>4.4.3</w:t>
      </w:r>
      <w:r w:rsidRPr="00873B6C">
        <w:tab/>
        <w:t>IMS support</w:t>
      </w:r>
      <w:bookmarkEnd w:id="525"/>
      <w:bookmarkEnd w:id="526"/>
      <w:bookmarkEnd w:id="527"/>
      <w:bookmarkEnd w:id="528"/>
      <w:bookmarkEnd w:id="529"/>
      <w:bookmarkEnd w:id="530"/>
      <w:bookmarkEnd w:id="531"/>
    </w:p>
    <w:p w14:paraId="748BE837" w14:textId="46F37E77" w:rsidR="00D40151" w:rsidRPr="00873B6C" w:rsidRDefault="00D40151" w:rsidP="00D40151">
      <w:r w:rsidRPr="00873B6C">
        <w:t xml:space="preserve">IMS support for 5GC is defined in </w:t>
      </w:r>
      <w:r w:rsidR="00972E70" w:rsidRPr="00873B6C">
        <w:t>TS 23.228 [</w:t>
      </w:r>
      <w:r w:rsidRPr="00873B6C">
        <w:t>15].</w:t>
      </w:r>
    </w:p>
    <w:p w14:paraId="3658856F" w14:textId="09DD549E" w:rsidR="00D40151" w:rsidRPr="00873B6C" w:rsidRDefault="00D40151" w:rsidP="00D40151">
      <w:r w:rsidRPr="00873B6C">
        <w:t xml:space="preserve">The 5G System architecture supports N5 interface between PCF and P-CSCF and supports Rx interface between PCF and P-CSCF, to enable IMS service. See </w:t>
      </w:r>
      <w:r w:rsidR="00972E70" w:rsidRPr="00873B6C">
        <w:t>TS 23.228 [</w:t>
      </w:r>
      <w:r w:rsidRPr="00873B6C">
        <w:t xml:space="preserve">15], </w:t>
      </w:r>
      <w:r w:rsidR="00972E70" w:rsidRPr="00873B6C">
        <w:t>TS 23.503 [</w:t>
      </w:r>
      <w:r w:rsidRPr="00873B6C">
        <w:t xml:space="preserve">45] and </w:t>
      </w:r>
      <w:r w:rsidR="00972E70" w:rsidRPr="00873B6C">
        <w:t>TS 23.203 [</w:t>
      </w:r>
      <w:r w:rsidRPr="00873B6C">
        <w:t>4].</w:t>
      </w:r>
    </w:p>
    <w:p w14:paraId="7D03CC1C" w14:textId="77777777" w:rsidR="00D40151" w:rsidRPr="00873B6C" w:rsidRDefault="00D40151" w:rsidP="00D40151">
      <w:pPr>
        <w:pStyle w:val="NO"/>
      </w:pPr>
      <w:r w:rsidRPr="00873B6C">
        <w:t>NOTE 1:</w:t>
      </w:r>
      <w:r w:rsidRPr="00873B6C">
        <w:tab/>
        <w:t>Rx support between PCF and P-CSCF is for backwards compatibility for early deployments using Diameter between IMS and 5GC functions.</w:t>
      </w:r>
    </w:p>
    <w:p w14:paraId="15BA57BE" w14:textId="77777777" w:rsidR="00D40151" w:rsidRPr="00873B6C" w:rsidRDefault="00D40151" w:rsidP="00D40151">
      <w:pPr>
        <w:pStyle w:val="NO"/>
      </w:pPr>
      <w:r w:rsidRPr="00873B6C">
        <w:lastRenderedPageBreak/>
        <w:t>NOTE 2:</w:t>
      </w:r>
      <w:r w:rsidRPr="00873B6C">
        <w:tab/>
        <w:t>When service based interfaces are used between the PCF and P-CSCF in the same PLMN, the P-CSCF performs the functions of a trusted AF in the 5GC.</w:t>
      </w:r>
    </w:p>
    <w:p w14:paraId="28C4DA62" w14:textId="77777777" w:rsidR="00D40151" w:rsidRPr="00873B6C" w:rsidRDefault="00D40151" w:rsidP="00D40151">
      <w:pPr>
        <w:pStyle w:val="Heading3"/>
      </w:pPr>
      <w:bookmarkStart w:id="532" w:name="_CR4_4_4"/>
      <w:bookmarkStart w:id="533" w:name="_Toc20149677"/>
      <w:bookmarkStart w:id="534" w:name="_Toc27846468"/>
      <w:bookmarkStart w:id="535" w:name="_Toc36187592"/>
      <w:bookmarkStart w:id="536" w:name="_Toc45183496"/>
      <w:bookmarkStart w:id="537" w:name="_Toc47342338"/>
      <w:bookmarkStart w:id="538" w:name="_Toc51769036"/>
      <w:bookmarkStart w:id="539" w:name="_Toc201156957"/>
      <w:bookmarkEnd w:id="532"/>
      <w:r w:rsidRPr="00873B6C">
        <w:t>4.4.4</w:t>
      </w:r>
      <w:r w:rsidRPr="00873B6C">
        <w:tab/>
        <w:t>Location services</w:t>
      </w:r>
      <w:bookmarkEnd w:id="533"/>
      <w:bookmarkEnd w:id="534"/>
      <w:bookmarkEnd w:id="535"/>
      <w:bookmarkEnd w:id="536"/>
      <w:bookmarkEnd w:id="537"/>
      <w:bookmarkEnd w:id="538"/>
      <w:bookmarkEnd w:id="539"/>
    </w:p>
    <w:p w14:paraId="22FAAA95" w14:textId="77777777" w:rsidR="00D40151" w:rsidRPr="00873B6C" w:rsidRDefault="00D40151" w:rsidP="00D40151">
      <w:pPr>
        <w:pStyle w:val="Heading4"/>
      </w:pPr>
      <w:bookmarkStart w:id="540" w:name="_CR4_4_4_1"/>
      <w:bookmarkStart w:id="541" w:name="_Toc20149678"/>
      <w:bookmarkStart w:id="542" w:name="_Toc27846469"/>
      <w:bookmarkStart w:id="543" w:name="_Toc36187593"/>
      <w:bookmarkStart w:id="544" w:name="_Toc45183497"/>
      <w:bookmarkStart w:id="545" w:name="_Toc47342339"/>
      <w:bookmarkStart w:id="546" w:name="_Toc51769037"/>
      <w:bookmarkStart w:id="547" w:name="_Toc201156958"/>
      <w:bookmarkEnd w:id="540"/>
      <w:r w:rsidRPr="00873B6C">
        <w:t>4.4.4.1</w:t>
      </w:r>
      <w:r w:rsidRPr="00873B6C">
        <w:tab/>
        <w:t>Architecture to support Location Services</w:t>
      </w:r>
      <w:bookmarkEnd w:id="541"/>
      <w:bookmarkEnd w:id="542"/>
      <w:bookmarkEnd w:id="543"/>
      <w:bookmarkEnd w:id="544"/>
      <w:bookmarkEnd w:id="545"/>
      <w:bookmarkEnd w:id="546"/>
      <w:bookmarkEnd w:id="547"/>
    </w:p>
    <w:p w14:paraId="056EECD3" w14:textId="3013476C" w:rsidR="00D40151" w:rsidRPr="00873B6C" w:rsidRDefault="00D40151" w:rsidP="00D40151">
      <w:pPr>
        <w:rPr>
          <w:lang w:eastAsia="zh-CN"/>
        </w:rPr>
      </w:pPr>
      <w:r w:rsidRPr="00873B6C">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972E70" w:rsidRPr="00873B6C">
        <w:rPr>
          <w:lang w:eastAsia="zh-CN"/>
        </w:rPr>
        <w:t>TS 23.273 [</w:t>
      </w:r>
      <w:r w:rsidRPr="00873B6C">
        <w:rPr>
          <w:lang w:eastAsia="zh-CN"/>
        </w:rPr>
        <w:t>87].</w:t>
      </w:r>
    </w:p>
    <w:p w14:paraId="0B801433" w14:textId="77777777" w:rsidR="00D40151" w:rsidRPr="00873B6C" w:rsidRDefault="00D40151" w:rsidP="00D40151">
      <w:pPr>
        <w:pStyle w:val="Heading4"/>
      </w:pPr>
      <w:bookmarkStart w:id="548" w:name="_CR4_4_4_2"/>
      <w:bookmarkStart w:id="549" w:name="_Toc20149679"/>
      <w:bookmarkStart w:id="550" w:name="_Toc27846470"/>
      <w:bookmarkStart w:id="551" w:name="_Toc36187594"/>
      <w:bookmarkStart w:id="552" w:name="_Toc45183498"/>
      <w:bookmarkStart w:id="553" w:name="_Toc47342340"/>
      <w:bookmarkStart w:id="554" w:name="_Toc51769038"/>
      <w:bookmarkStart w:id="555" w:name="_Toc201156959"/>
      <w:bookmarkEnd w:id="548"/>
      <w:r w:rsidRPr="00873B6C">
        <w:t>4.4.4.2</w:t>
      </w:r>
      <w:r w:rsidRPr="00873B6C">
        <w:tab/>
        <w:t>Reference point to support Location Services</w:t>
      </w:r>
      <w:bookmarkEnd w:id="549"/>
      <w:bookmarkEnd w:id="550"/>
      <w:bookmarkEnd w:id="551"/>
      <w:bookmarkEnd w:id="552"/>
      <w:bookmarkEnd w:id="553"/>
      <w:bookmarkEnd w:id="554"/>
      <w:bookmarkEnd w:id="555"/>
    </w:p>
    <w:p w14:paraId="4B93AF2F" w14:textId="53B83489" w:rsidR="00D40151" w:rsidRPr="00873B6C" w:rsidRDefault="00D40151" w:rsidP="00D40151">
      <w:r w:rsidRPr="00873B6C">
        <w:t xml:space="preserve">The reference points to support Location Services are defined in clause 4.4 of </w:t>
      </w:r>
      <w:r w:rsidR="00972E70" w:rsidRPr="00873B6C">
        <w:t>TS 23.273 [</w:t>
      </w:r>
      <w:r w:rsidRPr="00873B6C">
        <w:t>87].</w:t>
      </w:r>
    </w:p>
    <w:p w14:paraId="7BB482ED" w14:textId="77777777" w:rsidR="00D40151" w:rsidRPr="00873B6C" w:rsidRDefault="00D40151" w:rsidP="00D40151">
      <w:pPr>
        <w:pStyle w:val="Heading4"/>
      </w:pPr>
      <w:bookmarkStart w:id="556" w:name="_CR4_4_4_3"/>
      <w:bookmarkStart w:id="557" w:name="_Toc20149680"/>
      <w:bookmarkStart w:id="558" w:name="_Toc27846471"/>
      <w:bookmarkStart w:id="559" w:name="_Toc36187595"/>
      <w:bookmarkStart w:id="560" w:name="_Toc45183499"/>
      <w:bookmarkStart w:id="561" w:name="_Toc47342341"/>
      <w:bookmarkStart w:id="562" w:name="_Toc51769039"/>
      <w:bookmarkStart w:id="563" w:name="_Toc201156960"/>
      <w:bookmarkEnd w:id="556"/>
      <w:r w:rsidRPr="00873B6C">
        <w:t>4.4.4.3</w:t>
      </w:r>
      <w:r w:rsidRPr="00873B6C">
        <w:tab/>
        <w:t>Service Based Interfaces to support Location Services</w:t>
      </w:r>
      <w:bookmarkEnd w:id="557"/>
      <w:bookmarkEnd w:id="558"/>
      <w:bookmarkEnd w:id="559"/>
      <w:bookmarkEnd w:id="560"/>
      <w:bookmarkEnd w:id="561"/>
      <w:bookmarkEnd w:id="562"/>
      <w:bookmarkEnd w:id="563"/>
    </w:p>
    <w:p w14:paraId="570FAAAB" w14:textId="374FC009" w:rsidR="00D40151" w:rsidRPr="00873B6C" w:rsidRDefault="00D40151" w:rsidP="00D40151">
      <w:r w:rsidRPr="00873B6C">
        <w:t xml:space="preserve">The Service Based Interfaces to support Location Services are defined in clause 4.5 of </w:t>
      </w:r>
      <w:r w:rsidR="00972E70" w:rsidRPr="00873B6C">
        <w:t>TS 23.273 [</w:t>
      </w:r>
      <w:r w:rsidRPr="00873B6C">
        <w:t>87].</w:t>
      </w:r>
    </w:p>
    <w:p w14:paraId="0F13439B" w14:textId="77777777" w:rsidR="00D40151" w:rsidRPr="00873B6C" w:rsidRDefault="00D40151" w:rsidP="00D40151">
      <w:pPr>
        <w:pStyle w:val="Heading3"/>
      </w:pPr>
      <w:bookmarkStart w:id="564" w:name="_CR4_4_5"/>
      <w:bookmarkStart w:id="565" w:name="_Toc20149681"/>
      <w:bookmarkStart w:id="566" w:name="_Toc27846472"/>
      <w:bookmarkStart w:id="567" w:name="_Toc36187596"/>
      <w:bookmarkStart w:id="568" w:name="_Toc45183500"/>
      <w:bookmarkStart w:id="569" w:name="_Toc47342342"/>
      <w:bookmarkStart w:id="570" w:name="_Toc51769040"/>
      <w:bookmarkStart w:id="571" w:name="_Toc201156961"/>
      <w:bookmarkEnd w:id="564"/>
      <w:r w:rsidRPr="00873B6C">
        <w:t>4.4.5</w:t>
      </w:r>
      <w:r w:rsidRPr="00873B6C">
        <w:tab/>
        <w:t>Application Triggering Services</w:t>
      </w:r>
      <w:bookmarkEnd w:id="565"/>
      <w:bookmarkEnd w:id="566"/>
      <w:bookmarkEnd w:id="567"/>
      <w:bookmarkEnd w:id="568"/>
      <w:bookmarkEnd w:id="569"/>
      <w:bookmarkEnd w:id="570"/>
      <w:bookmarkEnd w:id="571"/>
    </w:p>
    <w:p w14:paraId="711550D8" w14:textId="673C91B7" w:rsidR="00D40151" w:rsidRPr="00873B6C" w:rsidRDefault="00D40151" w:rsidP="00D40151">
      <w:r w:rsidRPr="00873B6C">
        <w:t>See</w:t>
      </w:r>
      <w:r w:rsidR="00D602DF" w:rsidRPr="00873B6C">
        <w:t xml:space="preserve"> clause 5.2.6.1</w:t>
      </w:r>
      <w:r w:rsidRPr="00873B6C">
        <w:t xml:space="preserve"> </w:t>
      </w:r>
      <w:r w:rsidR="00D602DF" w:rsidRPr="00873B6C">
        <w:t xml:space="preserve">of </w:t>
      </w:r>
      <w:r w:rsidR="00972E70" w:rsidRPr="00873B6C">
        <w:t>TS 23.502 [</w:t>
      </w:r>
      <w:r w:rsidRPr="00873B6C">
        <w:t>3].</w:t>
      </w:r>
    </w:p>
    <w:p w14:paraId="59CB6FDE" w14:textId="77777777" w:rsidR="00D40151" w:rsidRPr="00873B6C" w:rsidRDefault="00D40151" w:rsidP="00D40151">
      <w:pPr>
        <w:rPr>
          <w:lang w:eastAsia="zh-CN"/>
        </w:rPr>
      </w:pPr>
      <w:r w:rsidRPr="00873B6C">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873B6C" w:rsidRDefault="00D40151" w:rsidP="00D40151">
      <w:pPr>
        <w:pStyle w:val="NO"/>
      </w:pPr>
      <w:r w:rsidRPr="00873B6C">
        <w:t>NOTE:</w:t>
      </w:r>
      <w:r w:rsidRPr="00873B6C">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873B6C">
        <w:rPr>
          <w:lang w:eastAsia="zh-CN"/>
        </w:rPr>
        <w:t>, which includes the PDU Session Establishment procedure if the related PDU Session is not already established</w:t>
      </w:r>
      <w:r w:rsidRPr="00873B6C">
        <w:t>.</w:t>
      </w:r>
    </w:p>
    <w:p w14:paraId="5A00EC0A" w14:textId="77777777" w:rsidR="00D40151" w:rsidRPr="00873B6C" w:rsidRDefault="00D40151" w:rsidP="00D40151">
      <w:pPr>
        <w:pStyle w:val="Heading3"/>
      </w:pPr>
      <w:bookmarkStart w:id="572" w:name="_CR4_4_6"/>
      <w:bookmarkStart w:id="573" w:name="_Toc20149682"/>
      <w:bookmarkStart w:id="574" w:name="_Toc27846473"/>
      <w:bookmarkStart w:id="575" w:name="_Toc36187597"/>
      <w:bookmarkStart w:id="576" w:name="_Toc45183501"/>
      <w:bookmarkStart w:id="577" w:name="_Toc47342343"/>
      <w:bookmarkStart w:id="578" w:name="_Toc51769041"/>
      <w:bookmarkStart w:id="579" w:name="_Toc201156962"/>
      <w:bookmarkEnd w:id="572"/>
      <w:r w:rsidRPr="00873B6C">
        <w:t>4.4.6</w:t>
      </w:r>
      <w:r w:rsidRPr="00873B6C">
        <w:tab/>
        <w:t>5G LAN-type Services</w:t>
      </w:r>
      <w:bookmarkEnd w:id="573"/>
      <w:bookmarkEnd w:id="574"/>
      <w:bookmarkEnd w:id="575"/>
      <w:bookmarkEnd w:id="576"/>
      <w:bookmarkEnd w:id="577"/>
      <w:bookmarkEnd w:id="578"/>
      <w:bookmarkEnd w:id="579"/>
    </w:p>
    <w:p w14:paraId="706C323E" w14:textId="77777777" w:rsidR="00D40151" w:rsidRPr="00873B6C" w:rsidRDefault="00D40151" w:rsidP="00D40151">
      <w:pPr>
        <w:pStyle w:val="Heading4"/>
      </w:pPr>
      <w:bookmarkStart w:id="580" w:name="_CR4_4_6_1"/>
      <w:bookmarkStart w:id="581" w:name="_Toc20149683"/>
      <w:bookmarkStart w:id="582" w:name="_Toc27846474"/>
      <w:bookmarkStart w:id="583" w:name="_Toc36187598"/>
      <w:bookmarkStart w:id="584" w:name="_Toc45183502"/>
      <w:bookmarkStart w:id="585" w:name="_Toc47342344"/>
      <w:bookmarkStart w:id="586" w:name="_Toc51769042"/>
      <w:bookmarkStart w:id="587" w:name="_Toc201156963"/>
      <w:bookmarkEnd w:id="580"/>
      <w:r w:rsidRPr="00873B6C">
        <w:t>4.4.6.1</w:t>
      </w:r>
      <w:r w:rsidRPr="00873B6C">
        <w:tab/>
        <w:t>User plane architecture to support 5G LAN-type service</w:t>
      </w:r>
      <w:bookmarkEnd w:id="581"/>
      <w:bookmarkEnd w:id="582"/>
      <w:bookmarkEnd w:id="583"/>
      <w:bookmarkEnd w:id="584"/>
      <w:bookmarkEnd w:id="585"/>
      <w:bookmarkEnd w:id="586"/>
      <w:bookmarkEnd w:id="587"/>
    </w:p>
    <w:p w14:paraId="01D062F9" w14:textId="77777777" w:rsidR="00D40151" w:rsidRPr="00873B6C" w:rsidRDefault="00D40151" w:rsidP="00D40151">
      <w:r w:rsidRPr="00873B6C">
        <w:t>The general User Plane architectures described in clause 4.2.3 and clause 4.2.4 apply to 5G LAN-type services, with the additional options described in this clause.</w:t>
      </w:r>
    </w:p>
    <w:p w14:paraId="3271940B" w14:textId="77777777" w:rsidR="00D40151" w:rsidRPr="00873B6C" w:rsidRDefault="00D40151" w:rsidP="00D40151">
      <w:r w:rsidRPr="00873B6C">
        <w:t>Figure 4.4.6.1-1 depicts the non-roaming user plane architecture to support 5G LAN-type service using local switch.</w:t>
      </w:r>
    </w:p>
    <w:bookmarkStart w:id="588" w:name="_MON_1684549432"/>
    <w:bookmarkEnd w:id="588"/>
    <w:p w14:paraId="5DFDA058" w14:textId="00895A48" w:rsidR="00FB1520" w:rsidRPr="00873B6C" w:rsidRDefault="00FB1520" w:rsidP="00C9561D">
      <w:pPr>
        <w:pStyle w:val="TH"/>
      </w:pPr>
      <w:r w:rsidRPr="00873B6C">
        <w:object w:dxaOrig="6016" w:dyaOrig="2175" w14:anchorId="0FD79F0E">
          <v:shape id="_x0000_i1083" type="#_x0000_t75" style="width:300.5pt;height:107.7pt" o:ole="">
            <v:imagedata r:id="rId125" o:title=""/>
          </v:shape>
          <o:OLEObject Type="Embed" ProgID="Word.Picture.8" ShapeID="_x0000_i1083" DrawAspect="Content" ObjectID="_1811772417" r:id="rId126"/>
        </w:object>
      </w:r>
    </w:p>
    <w:p w14:paraId="76A57DF5" w14:textId="77777777" w:rsidR="00D40151" w:rsidRPr="00873B6C" w:rsidRDefault="00D40151" w:rsidP="00D40151">
      <w:pPr>
        <w:pStyle w:val="TF"/>
      </w:pPr>
      <w:bookmarkStart w:id="589" w:name="_CRFigure4_4_6_11"/>
      <w:r w:rsidRPr="00873B6C">
        <w:t xml:space="preserve">Figure </w:t>
      </w:r>
      <w:bookmarkEnd w:id="589"/>
      <w:r w:rsidRPr="00873B6C">
        <w:t>4.4.6.1-1: Local-switch based user plane architecture in non-roaming scenario</w:t>
      </w:r>
    </w:p>
    <w:p w14:paraId="45DE26CD" w14:textId="77777777" w:rsidR="00D40151" w:rsidRPr="00873B6C" w:rsidRDefault="00D40151" w:rsidP="00D40151">
      <w:r w:rsidRPr="00873B6C">
        <w:t>Figure 4.4.6.1-2 depicts the non-roaming user plane architecture to support 5G LAN-type service using N19 tunnel.</w:t>
      </w:r>
    </w:p>
    <w:bookmarkStart w:id="590" w:name="_MON_1748776525"/>
    <w:bookmarkEnd w:id="590"/>
    <w:p w14:paraId="2048AFC7" w14:textId="339D3E73" w:rsidR="00FB1520" w:rsidRPr="00873B6C" w:rsidRDefault="00FB1520" w:rsidP="00FB1520">
      <w:pPr>
        <w:pStyle w:val="TH"/>
      </w:pPr>
      <w:r w:rsidRPr="00873B6C">
        <w:object w:dxaOrig="5945" w:dyaOrig="1500" w14:anchorId="1F8A8623">
          <v:shape id="_x0000_i1084" type="#_x0000_t75" style="width:298.65pt;height:75.15pt" o:ole="">
            <v:imagedata r:id="rId127" o:title=""/>
          </v:shape>
          <o:OLEObject Type="Embed" ProgID="Word.Picture.8" ShapeID="_x0000_i1084" DrawAspect="Content" ObjectID="_1811772418" r:id="rId128"/>
        </w:object>
      </w:r>
    </w:p>
    <w:p w14:paraId="27C53DBD" w14:textId="77777777" w:rsidR="00D40151" w:rsidRPr="00873B6C" w:rsidRDefault="00D40151" w:rsidP="00D40151">
      <w:pPr>
        <w:pStyle w:val="TF"/>
      </w:pPr>
      <w:bookmarkStart w:id="591" w:name="_CRFigure4_4_6_12"/>
      <w:r w:rsidRPr="00873B6C">
        <w:t xml:space="preserve">Figure </w:t>
      </w:r>
      <w:bookmarkEnd w:id="591"/>
      <w:r w:rsidRPr="00873B6C">
        <w:t>4.4.6.1-2: N19-based user plane architecture in non-roaming scenario</w:t>
      </w:r>
    </w:p>
    <w:p w14:paraId="28B785F0" w14:textId="72070B94" w:rsidR="00FB1520" w:rsidRPr="00873B6C" w:rsidRDefault="00FB1520" w:rsidP="00FB1520">
      <w:pPr>
        <w:pStyle w:val="NO"/>
      </w:pPr>
      <w:bookmarkStart w:id="592" w:name="_Toc20149684"/>
      <w:bookmarkStart w:id="593" w:name="_Toc27846475"/>
      <w:bookmarkStart w:id="594" w:name="_Toc36187599"/>
      <w:bookmarkStart w:id="595" w:name="_Toc45183503"/>
      <w:bookmarkStart w:id="596" w:name="_Toc47342345"/>
      <w:bookmarkStart w:id="597" w:name="_Toc51769043"/>
      <w:r w:rsidRPr="00873B6C">
        <w:t>NOTE:</w:t>
      </w:r>
      <w:r w:rsidRPr="00873B6C">
        <w:tab/>
        <w:t>As described in clause 5.29.3, the PSA UPFs can be controlled by a dedicated SMF, a dedicated SMF Set or multiple SMF Sets.</w:t>
      </w:r>
    </w:p>
    <w:p w14:paraId="54DE4085" w14:textId="77777777" w:rsidR="00D40151" w:rsidRPr="00873B6C" w:rsidRDefault="00D40151" w:rsidP="00D40151">
      <w:pPr>
        <w:pStyle w:val="Heading4"/>
      </w:pPr>
      <w:bookmarkStart w:id="598" w:name="_CR4_4_6_2"/>
      <w:bookmarkStart w:id="599" w:name="_Toc201156964"/>
      <w:bookmarkEnd w:id="598"/>
      <w:r w:rsidRPr="00873B6C">
        <w:t>4.4.6.2</w:t>
      </w:r>
      <w:r w:rsidRPr="00873B6C">
        <w:tab/>
        <w:t>Reference points to support 5G LAN-type service</w:t>
      </w:r>
      <w:bookmarkEnd w:id="592"/>
      <w:bookmarkEnd w:id="593"/>
      <w:bookmarkEnd w:id="594"/>
      <w:bookmarkEnd w:id="595"/>
      <w:bookmarkEnd w:id="596"/>
      <w:bookmarkEnd w:id="597"/>
      <w:bookmarkEnd w:id="599"/>
    </w:p>
    <w:p w14:paraId="6D5E0561" w14:textId="77777777" w:rsidR="00D40151" w:rsidRPr="00873B6C" w:rsidRDefault="00D40151" w:rsidP="00D40151">
      <w:pPr>
        <w:pStyle w:val="NO"/>
      </w:pPr>
      <w:r w:rsidRPr="00873B6C">
        <w:rPr>
          <w:b/>
        </w:rPr>
        <w:t>N19:</w:t>
      </w:r>
      <w:r w:rsidRPr="00873B6C">
        <w:tab/>
        <w:t>Reference point between two UPFs for direct routing of traffic between different PDU Sessions without using N6. It has a per 5G VN group granularity.</w:t>
      </w:r>
    </w:p>
    <w:p w14:paraId="4B015CFD" w14:textId="77777777" w:rsidR="00D40151" w:rsidRPr="00873B6C" w:rsidRDefault="00D40151" w:rsidP="00D40151">
      <w:pPr>
        <w:pStyle w:val="Heading3"/>
      </w:pPr>
      <w:bookmarkStart w:id="600" w:name="_CR4_4_7"/>
      <w:bookmarkStart w:id="601" w:name="_Toc20149685"/>
      <w:bookmarkStart w:id="602" w:name="_Toc27846476"/>
      <w:bookmarkStart w:id="603" w:name="_Toc36187600"/>
      <w:bookmarkStart w:id="604" w:name="_Toc45183504"/>
      <w:bookmarkStart w:id="605" w:name="_Toc47342346"/>
      <w:bookmarkStart w:id="606" w:name="_Toc51769044"/>
      <w:bookmarkStart w:id="607" w:name="_Toc201156965"/>
      <w:bookmarkEnd w:id="600"/>
      <w:r w:rsidRPr="00873B6C">
        <w:t>4.4.7</w:t>
      </w:r>
      <w:r w:rsidRPr="00873B6C">
        <w:tab/>
        <w:t>MSISDN-less MO SMS Service</w:t>
      </w:r>
      <w:bookmarkEnd w:id="601"/>
      <w:bookmarkEnd w:id="602"/>
      <w:bookmarkEnd w:id="603"/>
      <w:bookmarkEnd w:id="604"/>
      <w:bookmarkEnd w:id="605"/>
      <w:bookmarkEnd w:id="606"/>
      <w:bookmarkEnd w:id="607"/>
    </w:p>
    <w:p w14:paraId="0E592E67" w14:textId="77777777" w:rsidR="00D40151" w:rsidRPr="00873B6C" w:rsidRDefault="00D40151" w:rsidP="00D40151">
      <w:r w:rsidRPr="00873B6C">
        <w:t>MSISDN-less MO SMS via T4 is subscription based. The subscription provides the information whether a UE is allowed to originate MSISDN-less MO SMS.</w:t>
      </w:r>
    </w:p>
    <w:p w14:paraId="0E55ECC1" w14:textId="7B6A190A" w:rsidR="00D40151" w:rsidRPr="00873B6C" w:rsidRDefault="00D40151" w:rsidP="00D40151">
      <w:r w:rsidRPr="00873B6C">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972E70" w:rsidRPr="00873B6C">
        <w:t>TS 23.040 [</w:t>
      </w:r>
      <w:r w:rsidRPr="00873B6C">
        <w:t>5]). The NEF may obtain the GPSI by querying the UDM with the IMSI and application port ID.</w:t>
      </w:r>
    </w:p>
    <w:p w14:paraId="11685898" w14:textId="77777777" w:rsidR="00D40151" w:rsidRPr="00873B6C" w:rsidRDefault="00D40151" w:rsidP="00D40151">
      <w:r w:rsidRPr="00873B6C">
        <w:t>UE is aware whether the MO SMS delivery status (success or fail) based on the SMS delivery report from SMS-SC. The network does not perform any storing and forwarding functionality for MO SMS.</w:t>
      </w:r>
    </w:p>
    <w:p w14:paraId="6B1B86B3" w14:textId="55A0A8B9" w:rsidR="00D40151" w:rsidRPr="00873B6C" w:rsidRDefault="00D40151" w:rsidP="00D40151">
      <w:r w:rsidRPr="00873B6C">
        <w:t>See</w:t>
      </w:r>
      <w:r w:rsidR="00D602DF" w:rsidRPr="00873B6C">
        <w:t xml:space="preserve"> clause 5.2.6</w:t>
      </w:r>
      <w:r w:rsidRPr="00873B6C">
        <w:t xml:space="preserve"> </w:t>
      </w:r>
      <w:r w:rsidR="00D602DF" w:rsidRPr="00873B6C">
        <w:t xml:space="preserve">of </w:t>
      </w:r>
      <w:r w:rsidR="00972E70" w:rsidRPr="00873B6C">
        <w:t>TS 23.502 [</w:t>
      </w:r>
      <w:r w:rsidRPr="00873B6C">
        <w:t>3] for a description of NEF Services and Service Operations.</w:t>
      </w:r>
    </w:p>
    <w:p w14:paraId="1A0B65CF" w14:textId="255C22A2" w:rsidR="00D40151" w:rsidRPr="00873B6C" w:rsidRDefault="00D40151" w:rsidP="00D40151">
      <w:pPr>
        <w:pStyle w:val="Heading3"/>
      </w:pPr>
      <w:bookmarkStart w:id="608" w:name="_CR4_4_8"/>
      <w:bookmarkStart w:id="609" w:name="_Toc20149686"/>
      <w:bookmarkStart w:id="610" w:name="_Toc27846477"/>
      <w:bookmarkStart w:id="611" w:name="_Toc36187601"/>
      <w:bookmarkStart w:id="612" w:name="_Toc45183505"/>
      <w:bookmarkStart w:id="613" w:name="_Toc47342347"/>
      <w:bookmarkStart w:id="614" w:name="_Toc51769045"/>
      <w:bookmarkStart w:id="615" w:name="_Toc201156966"/>
      <w:bookmarkEnd w:id="608"/>
      <w:r w:rsidRPr="00873B6C">
        <w:t>4.4.8</w:t>
      </w:r>
      <w:r w:rsidRPr="00873B6C">
        <w:tab/>
      </w:r>
      <w:r w:rsidR="001F3682" w:rsidRPr="00873B6C">
        <w:t xml:space="preserve">Architecture to enable </w:t>
      </w:r>
      <w:r w:rsidRPr="00873B6C">
        <w:t>Time Sensitive Communication</w:t>
      </w:r>
      <w:bookmarkEnd w:id="609"/>
      <w:bookmarkEnd w:id="610"/>
      <w:bookmarkEnd w:id="611"/>
      <w:bookmarkEnd w:id="612"/>
      <w:bookmarkEnd w:id="613"/>
      <w:bookmarkEnd w:id="614"/>
      <w:r w:rsidR="00E02643" w:rsidRPr="00873B6C">
        <w:t>,</w:t>
      </w:r>
      <w:r w:rsidR="001F3682" w:rsidRPr="00873B6C">
        <w:t xml:space="preserve"> Time Synchronization</w:t>
      </w:r>
      <w:r w:rsidR="00E02643" w:rsidRPr="00873B6C">
        <w:t xml:space="preserve"> and Deterministic Networking</w:t>
      </w:r>
      <w:bookmarkEnd w:id="615"/>
    </w:p>
    <w:p w14:paraId="424D7584" w14:textId="77777777" w:rsidR="00D40151" w:rsidRPr="00873B6C" w:rsidRDefault="00D40151" w:rsidP="00D40151">
      <w:pPr>
        <w:pStyle w:val="Heading4"/>
      </w:pPr>
      <w:bookmarkStart w:id="616" w:name="_CR4_4_8_1"/>
      <w:bookmarkStart w:id="617" w:name="_Toc20149687"/>
      <w:bookmarkStart w:id="618" w:name="_Toc27846478"/>
      <w:bookmarkStart w:id="619" w:name="_Toc36187602"/>
      <w:bookmarkStart w:id="620" w:name="_Toc45183506"/>
      <w:bookmarkStart w:id="621" w:name="_Toc47342348"/>
      <w:bookmarkStart w:id="622" w:name="_Toc51769046"/>
      <w:bookmarkStart w:id="623" w:name="_Toc201156967"/>
      <w:bookmarkEnd w:id="616"/>
      <w:r w:rsidRPr="00873B6C">
        <w:t>4.4.8.1</w:t>
      </w:r>
      <w:r w:rsidRPr="00873B6C">
        <w:tab/>
        <w:t>General</w:t>
      </w:r>
      <w:bookmarkEnd w:id="617"/>
      <w:bookmarkEnd w:id="618"/>
      <w:bookmarkEnd w:id="619"/>
      <w:bookmarkEnd w:id="620"/>
      <w:bookmarkEnd w:id="621"/>
      <w:bookmarkEnd w:id="622"/>
      <w:bookmarkEnd w:id="623"/>
    </w:p>
    <w:p w14:paraId="61AFF2D6" w14:textId="23BC5D14" w:rsidR="001F3682" w:rsidRPr="00873B6C" w:rsidRDefault="00D40151" w:rsidP="00D40151">
      <w:r w:rsidRPr="00873B6C">
        <w:t xml:space="preserve">The 5G System </w:t>
      </w:r>
      <w:r w:rsidR="001F3682" w:rsidRPr="00873B6C">
        <w:t xml:space="preserve">can be </w:t>
      </w:r>
      <w:r w:rsidRPr="00873B6C">
        <w:t xml:space="preserve">extended to support </w:t>
      </w:r>
      <w:r w:rsidR="001F3682" w:rsidRPr="00873B6C">
        <w:t>the following:</w:t>
      </w:r>
    </w:p>
    <w:p w14:paraId="30A20F16" w14:textId="7A2CF135" w:rsidR="00D40151" w:rsidRPr="00873B6C" w:rsidRDefault="001F3682" w:rsidP="00323277">
      <w:pPr>
        <w:pStyle w:val="B1"/>
      </w:pPr>
      <w:r w:rsidRPr="00873B6C">
        <w:t>a)</w:t>
      </w:r>
      <w:r w:rsidRPr="00873B6C">
        <w:tab/>
      </w:r>
      <w:r w:rsidR="00D409DD" w:rsidRPr="00873B6C">
        <w:rPr>
          <w:b/>
          <w:bCs/>
        </w:rPr>
        <w:t>Integration of 5GS into a TSN data network (DN):</w:t>
      </w:r>
      <w:r w:rsidR="00D409DD" w:rsidRPr="00873B6C">
        <w:t xml:space="preserve"> </w:t>
      </w:r>
      <w:r w:rsidRPr="00873B6C">
        <w:t xml:space="preserve">Integration as a bridge in an IEEE 802.1 Time Sensitive Networking (TSN). The 5GS bridge supports the </w:t>
      </w:r>
      <w:r w:rsidR="00D40151" w:rsidRPr="00873B6C">
        <w:t>Time sensitive communication as defined in IEEE 802.1 Time Sensitive Networking (TSN) standards.</w:t>
      </w:r>
      <w:r w:rsidRPr="00873B6C">
        <w:t xml:space="preserve"> The architecture is described in clause 4.4.8.2.</w:t>
      </w:r>
    </w:p>
    <w:p w14:paraId="5429996E" w14:textId="25281DF3" w:rsidR="00D40151" w:rsidRPr="00873B6C" w:rsidRDefault="001F3682" w:rsidP="00323277">
      <w:pPr>
        <w:pStyle w:val="B1"/>
      </w:pPr>
      <w:r w:rsidRPr="00873B6C">
        <w:tab/>
      </w:r>
      <w:r w:rsidR="00D40151" w:rsidRPr="00873B6C">
        <w:t>This Release supports of the specification, integration of the 5G System with IEEE 802.1 TSN networks that apply the fully centralized configuration model as defined in IEEE Std 802.1Q [9</w:t>
      </w:r>
      <w:r w:rsidR="007C1B83" w:rsidRPr="00873B6C">
        <w:t>8</w:t>
      </w:r>
      <w:r w:rsidR="00D40151" w:rsidRPr="00873B6C">
        <w:t>]. IEEE TSN is a set of standards to define mechanisms for the time-sensitive (i.e. deterministic) transmission of data over Ethernet networks.</w:t>
      </w:r>
    </w:p>
    <w:p w14:paraId="3D995D05" w14:textId="3F924B81" w:rsidR="001F3682" w:rsidRPr="00873B6C" w:rsidRDefault="001F3682" w:rsidP="00323277">
      <w:pPr>
        <w:pStyle w:val="B1"/>
      </w:pPr>
      <w:bookmarkStart w:id="624" w:name="_Toc20149688"/>
      <w:bookmarkStart w:id="625" w:name="_Toc27846479"/>
      <w:bookmarkStart w:id="626" w:name="_Toc36187603"/>
      <w:bookmarkStart w:id="627" w:name="_Toc45183507"/>
      <w:bookmarkStart w:id="628" w:name="_Toc47342349"/>
      <w:bookmarkStart w:id="629" w:name="_Toc51769047"/>
      <w:r w:rsidRPr="00873B6C">
        <w:t>b)</w:t>
      </w:r>
      <w:r w:rsidRPr="00873B6C">
        <w:tab/>
        <w:t>Enablers for AF requested support of Time Synchronization and/or some aspects of Time Sensitive Communication. The architecture is described in clause 4.4.8.3.</w:t>
      </w:r>
    </w:p>
    <w:p w14:paraId="73242AC2" w14:textId="3713DF4C" w:rsidR="00A92B4B" w:rsidRPr="00873B6C" w:rsidRDefault="00A92B4B" w:rsidP="00695DF1">
      <w:pPr>
        <w:pStyle w:val="B1"/>
      </w:pPr>
      <w:r w:rsidRPr="00873B6C">
        <w:t>c)</w:t>
      </w:r>
      <w:r w:rsidRPr="00873B6C">
        <w:tab/>
      </w:r>
      <w:r w:rsidR="00D409DD" w:rsidRPr="00873B6C">
        <w:rPr>
          <w:b/>
          <w:bCs/>
        </w:rPr>
        <w:t>Support for TSN enabled transport network (TN):</w:t>
      </w:r>
      <w:r w:rsidR="00D409DD" w:rsidRPr="00873B6C">
        <w:t xml:space="preserve"> </w:t>
      </w:r>
      <w:r w:rsidRPr="00873B6C">
        <w:t>Enablers for interworking with TSN network deployed in the transport network. This option can be used simultaneously with either option a) or b). The architecture is described in clause 5.28a. The interworking is applicable when the transport network deploys the fully centralized configuration model as defined in IEEE Std 802.1Q [9</w:t>
      </w:r>
      <w:r w:rsidR="007C1B83" w:rsidRPr="00873B6C">
        <w:t>8</w:t>
      </w:r>
      <w:r w:rsidRPr="00873B6C">
        <w:t>].</w:t>
      </w:r>
      <w:r w:rsidR="00D409DD" w:rsidRPr="00873B6C">
        <w:t xml:space="preserve"> In this scenario, a TSN TN is deployed to realize the N3 interface between (R)AN and UPF. From the perspective of the TSN TN, (R)AN and UPF act as End Stations of the TSN TN.</w:t>
      </w:r>
    </w:p>
    <w:p w14:paraId="5DDDE04B" w14:textId="19F3810D" w:rsidR="00E02643" w:rsidRPr="00873B6C" w:rsidRDefault="00E02643" w:rsidP="00E02643">
      <w:pPr>
        <w:pStyle w:val="B1"/>
      </w:pPr>
      <w:r w:rsidRPr="00873B6C">
        <w:t>d)</w:t>
      </w:r>
      <w:r w:rsidRPr="00873B6C">
        <w:tab/>
        <w:t>Integration as a router in a Deterministic Network as defined in IETF RFC 8655 [150]. The architecture is described in clause 4.4.8.4.</w:t>
      </w:r>
    </w:p>
    <w:p w14:paraId="5AEFF404" w14:textId="40E02CD1" w:rsidR="00D40151" w:rsidRPr="00873B6C" w:rsidRDefault="00D40151" w:rsidP="00D40151">
      <w:pPr>
        <w:pStyle w:val="Heading4"/>
      </w:pPr>
      <w:bookmarkStart w:id="630" w:name="_CR4_4_8_2"/>
      <w:bookmarkStart w:id="631" w:name="_Toc201156968"/>
      <w:bookmarkEnd w:id="630"/>
      <w:r w:rsidRPr="00873B6C">
        <w:lastRenderedPageBreak/>
        <w:t>4.4.8.2</w:t>
      </w:r>
      <w:r w:rsidRPr="00873B6C">
        <w:tab/>
        <w:t xml:space="preserve">Architecture to support </w:t>
      </w:r>
      <w:r w:rsidR="001F3682" w:rsidRPr="00873B6C">
        <w:t xml:space="preserve">IEEE </w:t>
      </w:r>
      <w:r w:rsidRPr="00873B6C">
        <w:t>Time Sensitive</w:t>
      </w:r>
      <w:r w:rsidR="001F3682" w:rsidRPr="00873B6C">
        <w:t xml:space="preserve"> Networking</w:t>
      </w:r>
      <w:bookmarkEnd w:id="624"/>
      <w:bookmarkEnd w:id="625"/>
      <w:bookmarkEnd w:id="626"/>
      <w:bookmarkEnd w:id="627"/>
      <w:bookmarkEnd w:id="628"/>
      <w:bookmarkEnd w:id="629"/>
      <w:bookmarkEnd w:id="631"/>
    </w:p>
    <w:p w14:paraId="42711C3D" w14:textId="06817ED9" w:rsidR="00D40151" w:rsidRPr="00873B6C" w:rsidRDefault="00D40151" w:rsidP="00D40151">
      <w:pPr>
        <w:rPr>
          <w:lang w:eastAsia="x-none"/>
        </w:rPr>
      </w:pPr>
      <w:r w:rsidRPr="00873B6C">
        <w:rPr>
          <w:lang w:eastAsia="x-none"/>
        </w:rPr>
        <w:t>The 5G System is integrated with the external network as a TSN bridge. This "logical" TSN bridge (see Figure 4.4.8.2-1) includes TSN Translator functionality for interoperation between TSN System</w:t>
      </w:r>
      <w:r w:rsidR="005457D5" w:rsidRPr="00873B6C">
        <w:rPr>
          <w:lang w:eastAsia="x-none"/>
        </w:rPr>
        <w:t>s</w:t>
      </w:r>
      <w:r w:rsidRPr="00873B6C">
        <w:rPr>
          <w:lang w:eastAsia="x-none"/>
        </w:rPr>
        <w:t xml:space="preserve"> and 5G System both for user plane and control plane. 5GS TSN translator functionality consists of Device-side TSN translator (DS-TT) and Network-side TSN translator (NW-TT). The TSN AF</w:t>
      </w:r>
      <w:r w:rsidR="003B51EA" w:rsidRPr="00873B6C">
        <w:rPr>
          <w:lang w:eastAsia="x-none"/>
        </w:rPr>
        <w:t xml:space="preserve"> is part of 5GC and</w:t>
      </w:r>
      <w:r w:rsidRPr="00873B6C">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873B6C" w:rsidRDefault="00D40151" w:rsidP="00D40151">
      <w:pPr>
        <w:pStyle w:val="B1"/>
      </w:pPr>
      <w:r w:rsidRPr="00873B6C">
        <w:t>-</w:t>
      </w:r>
      <w:r w:rsidRPr="00873B6C">
        <w:tab/>
        <w:t>hold and forward functionality for the purpose of de-jittering;</w:t>
      </w:r>
    </w:p>
    <w:p w14:paraId="44EE828B" w14:textId="1E0B250F" w:rsidR="00D40151" w:rsidRPr="00873B6C" w:rsidRDefault="00D40151" w:rsidP="00D40151">
      <w:pPr>
        <w:pStyle w:val="B1"/>
      </w:pPr>
      <w:r w:rsidRPr="00873B6C">
        <w:t>-</w:t>
      </w:r>
      <w:r w:rsidRPr="00873B6C">
        <w:tab/>
        <w:t>per-stream filtering and policing as defined in</w:t>
      </w:r>
      <w:r w:rsidR="00D602DF" w:rsidRPr="00873B6C">
        <w:t xml:space="preserve"> clause 8.6.5</w:t>
      </w:r>
      <w:r w:rsidR="007C1B83" w:rsidRPr="00873B6C">
        <w:t>.2</w:t>
      </w:r>
      <w:r w:rsidR="00D602DF" w:rsidRPr="00873B6C">
        <w:t>.1</w:t>
      </w:r>
      <w:r w:rsidRPr="00873B6C">
        <w:t xml:space="preserve"> </w:t>
      </w:r>
      <w:r w:rsidR="00D602DF" w:rsidRPr="00873B6C">
        <w:t xml:space="preserve">of </w:t>
      </w:r>
      <w:r w:rsidRPr="00873B6C">
        <w:t>IEEE Std 802.1Q [98].</w:t>
      </w:r>
    </w:p>
    <w:p w14:paraId="0D12F573" w14:textId="77777777" w:rsidR="00D40151" w:rsidRPr="00873B6C" w:rsidRDefault="00D40151" w:rsidP="00D40151">
      <w:r w:rsidRPr="00873B6C">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873B6C" w:rsidRDefault="00D40151" w:rsidP="00D40151">
      <w:pPr>
        <w:pStyle w:val="NO"/>
      </w:pPr>
      <w:r w:rsidRPr="00873B6C">
        <w:t>NOTE 1:</w:t>
      </w:r>
      <w:r w:rsidRPr="00873B6C">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4E30563A" w:rsidR="00D40151" w:rsidRPr="00873B6C" w:rsidRDefault="00D40151" w:rsidP="00D40151">
      <w:pPr>
        <w:rPr>
          <w:lang w:eastAsia="x-none"/>
        </w:rPr>
      </w:pPr>
      <w:r w:rsidRPr="00873B6C">
        <w:rPr>
          <w:lang w:eastAsia="x-none"/>
        </w:rPr>
        <w:t>There are three TSN configuration models defined in IEEE Std 802.1Q [9</w:t>
      </w:r>
      <w:r w:rsidR="007C1B83" w:rsidRPr="00873B6C">
        <w:rPr>
          <w:lang w:eastAsia="x-none"/>
        </w:rPr>
        <w:t>8</w:t>
      </w:r>
      <w:r w:rsidRPr="00873B6C">
        <w:rPr>
          <w:lang w:eastAsia="x-none"/>
        </w:rPr>
        <w:t>]. Amongst the three models:</w:t>
      </w:r>
    </w:p>
    <w:p w14:paraId="251BC8C4" w14:textId="77777777" w:rsidR="00D40151" w:rsidRPr="00873B6C" w:rsidRDefault="00D40151" w:rsidP="00D40151">
      <w:pPr>
        <w:pStyle w:val="B1"/>
      </w:pPr>
      <w:r w:rsidRPr="00873B6C">
        <w:t>-</w:t>
      </w:r>
      <w:r w:rsidRPr="00873B6C">
        <w:tab/>
        <w:t>fully centralized model is supported in this Release of the specification;</w:t>
      </w:r>
    </w:p>
    <w:p w14:paraId="35F1D08F" w14:textId="77777777" w:rsidR="00D40151" w:rsidRPr="00873B6C" w:rsidRDefault="00D40151" w:rsidP="00D40151">
      <w:pPr>
        <w:pStyle w:val="B1"/>
      </w:pPr>
      <w:r w:rsidRPr="00873B6C">
        <w:t>-</w:t>
      </w:r>
      <w:r w:rsidRPr="00873B6C">
        <w:tab/>
        <w:t>fully distributed model is not supported in this Release of the specification;</w:t>
      </w:r>
    </w:p>
    <w:p w14:paraId="18DAD11F" w14:textId="77777777" w:rsidR="00D40151" w:rsidRPr="00873B6C" w:rsidRDefault="00D40151" w:rsidP="00D40151">
      <w:pPr>
        <w:pStyle w:val="B1"/>
      </w:pPr>
      <w:r w:rsidRPr="00873B6C">
        <w:t>-</w:t>
      </w:r>
      <w:r w:rsidRPr="00873B6C">
        <w:tab/>
        <w:t>centralized network/distributed user model is not supported in this Release of the specification.</w:t>
      </w:r>
    </w:p>
    <w:p w14:paraId="1D955D91" w14:textId="10090B23" w:rsidR="00D40151" w:rsidRPr="00873B6C" w:rsidRDefault="00D40151" w:rsidP="00D40151">
      <w:pPr>
        <w:pStyle w:val="NO"/>
      </w:pPr>
      <w:r w:rsidRPr="00873B6C">
        <w:t>NOTE 2:</w:t>
      </w:r>
      <w:r w:rsidRPr="00873B6C">
        <w:tab/>
        <w:t>This Release supports interworking with TSN using</w:t>
      </w:r>
      <w:r w:rsidR="00D602DF" w:rsidRPr="00873B6C">
        <w:t xml:space="preserve"> clause 8.6.8.4</w:t>
      </w:r>
      <w:r w:rsidRPr="00873B6C">
        <w:t xml:space="preserve"> </w:t>
      </w:r>
      <w:r w:rsidR="00D602DF" w:rsidRPr="00873B6C">
        <w:t xml:space="preserve">of </w:t>
      </w:r>
      <w:r w:rsidRPr="00873B6C">
        <w:t>IEEE Std 802.1Q [98] scheduled traffic and</w:t>
      </w:r>
      <w:r w:rsidR="00D602DF" w:rsidRPr="00873B6C">
        <w:t xml:space="preserve"> clause 8.6.5</w:t>
      </w:r>
      <w:r w:rsidR="007C1B83" w:rsidRPr="00873B6C">
        <w:t>.2</w:t>
      </w:r>
      <w:r w:rsidR="00D602DF" w:rsidRPr="00873B6C">
        <w:t>.1</w:t>
      </w:r>
      <w:r w:rsidRPr="00873B6C">
        <w:t xml:space="preserve"> </w:t>
      </w:r>
      <w:r w:rsidR="00D602DF" w:rsidRPr="00873B6C">
        <w:t xml:space="preserve">of </w:t>
      </w:r>
      <w:r w:rsidRPr="00873B6C">
        <w:t>IEEE Std 802.1Q [98] per-stream filtering and policy.</w:t>
      </w:r>
    </w:p>
    <w:p w14:paraId="0B8C981C" w14:textId="0BBE58E4" w:rsidR="003B51EA" w:rsidRPr="00873B6C" w:rsidRDefault="003B51EA" w:rsidP="00733F50">
      <w:pPr>
        <w:pStyle w:val="TH"/>
      </w:pPr>
      <w:r w:rsidRPr="00873B6C">
        <w:object w:dxaOrig="10065" w:dyaOrig="5383" w14:anchorId="5344A6C3">
          <v:shape id="_x0000_i1085" type="#_x0000_t75" style="width:481.45pt;height:257.3pt" o:ole="">
            <v:imagedata r:id="rId129" o:title=""/>
          </v:shape>
          <o:OLEObject Type="Embed" ProgID="Word.Picture.8" ShapeID="_x0000_i1085" DrawAspect="Content" ObjectID="_1811772419" r:id="rId130"/>
        </w:object>
      </w:r>
    </w:p>
    <w:p w14:paraId="78FF607F" w14:textId="5A4105E9" w:rsidR="00D40151" w:rsidRPr="00873B6C" w:rsidRDefault="00D40151" w:rsidP="00D40151">
      <w:pPr>
        <w:pStyle w:val="TF"/>
      </w:pPr>
      <w:bookmarkStart w:id="632" w:name="_CRFigure4_4_8_21"/>
      <w:r w:rsidRPr="00873B6C">
        <w:t xml:space="preserve">Figure </w:t>
      </w:r>
      <w:bookmarkEnd w:id="632"/>
      <w:r w:rsidRPr="00873B6C">
        <w:t>4.4.8.2-1: System architecture view with 5GS appearing as TSN bridge</w:t>
      </w:r>
    </w:p>
    <w:p w14:paraId="7825E0C5" w14:textId="77777777" w:rsidR="00D40151" w:rsidRPr="00873B6C" w:rsidRDefault="00D40151" w:rsidP="00D40151">
      <w:pPr>
        <w:pStyle w:val="NO"/>
      </w:pPr>
      <w:r w:rsidRPr="00873B6C">
        <w:t>NOTE 3:</w:t>
      </w:r>
      <w:r w:rsidRPr="00873B6C">
        <w:tab/>
        <w:t>Whether DS-TT and UE are combined or are separate is up to implementation.</w:t>
      </w:r>
    </w:p>
    <w:p w14:paraId="09AF3611" w14:textId="56394475" w:rsidR="003B51EA" w:rsidRPr="00873B6C" w:rsidRDefault="003B51EA" w:rsidP="003B51EA">
      <w:pPr>
        <w:pStyle w:val="NO"/>
      </w:pPr>
      <w:bookmarkStart w:id="633" w:name="_Toc20149689"/>
      <w:bookmarkStart w:id="634" w:name="_Toc27846480"/>
      <w:bookmarkStart w:id="635" w:name="_Toc36187604"/>
      <w:bookmarkStart w:id="636" w:name="_Toc45183508"/>
      <w:bookmarkStart w:id="637" w:name="_Toc47342350"/>
      <w:bookmarkStart w:id="638" w:name="_Toc51769048"/>
      <w:r w:rsidRPr="00873B6C">
        <w:lastRenderedPageBreak/>
        <w:t>NOTE 4:</w:t>
      </w:r>
      <w:r w:rsidRPr="00873B6C">
        <w:tab/>
        <w:t>TSN AF does not need to support N33 in this release of the specification.</w:t>
      </w:r>
    </w:p>
    <w:p w14:paraId="293D496F" w14:textId="703E40D7" w:rsidR="001F3682" w:rsidRPr="00873B6C" w:rsidRDefault="001F3682" w:rsidP="001F3682">
      <w:pPr>
        <w:pStyle w:val="Heading4"/>
      </w:pPr>
      <w:bookmarkStart w:id="639" w:name="_CR4_4_8_3"/>
      <w:bookmarkStart w:id="640" w:name="_Toc201156969"/>
      <w:bookmarkEnd w:id="639"/>
      <w:r w:rsidRPr="00873B6C">
        <w:t>4.4.8.3</w:t>
      </w:r>
      <w:r w:rsidRPr="00873B6C">
        <w:tab/>
        <w:t>Architecture for AF requested support of Time Sensitive Communication and Time Synchronization</w:t>
      </w:r>
      <w:bookmarkEnd w:id="640"/>
    </w:p>
    <w:p w14:paraId="30C9174F" w14:textId="4E663841" w:rsidR="001F3682" w:rsidRPr="00873B6C" w:rsidRDefault="001F3682" w:rsidP="001F3682">
      <w:r w:rsidRPr="00873B6C">
        <w:t xml:space="preserve">This clause describes the architecture to </w:t>
      </w:r>
      <w:r w:rsidR="00055D0B" w:rsidRPr="00873B6C">
        <w:t xml:space="preserve">enable Time Sensitive Communication </w:t>
      </w:r>
      <w:r w:rsidRPr="00873B6C">
        <w:t>AF requested time sensitive communication and time synchronization</w:t>
      </w:r>
      <w:r w:rsidR="00055D0B" w:rsidRPr="00873B6C">
        <w:t xml:space="preserve"> services</w:t>
      </w:r>
      <w:r w:rsidRPr="00873B6C">
        <w:t>. The</w:t>
      </w:r>
      <w:r w:rsidR="00055D0B" w:rsidRPr="00873B6C">
        <w:t xml:space="preserve"> Time Sensitive Communication and Time Synchronization</w:t>
      </w:r>
      <w:r w:rsidRPr="00873B6C">
        <w:t xml:space="preserve"> related features that are supported based on AF request are described in clause</w:t>
      </w:r>
      <w:r w:rsidR="005457D5" w:rsidRPr="00873B6C">
        <w:t xml:space="preserve">s </w:t>
      </w:r>
      <w:r w:rsidRPr="00873B6C">
        <w:t>5.27.</w:t>
      </w:r>
      <w:r w:rsidR="00055D0B" w:rsidRPr="00873B6C">
        <w:t>1</w:t>
      </w:r>
      <w:r w:rsidR="005457D5" w:rsidRPr="00873B6C">
        <w:t xml:space="preserve"> and 5.27.2, respectively. Figure 4.4.8.3-1 shows the architecture to support Time Sensitive Communication and Time Synchronization services</w:t>
      </w:r>
      <w:r w:rsidRPr="00873B6C">
        <w:t>.</w:t>
      </w:r>
    </w:p>
    <w:p w14:paraId="2814BC5B" w14:textId="78AC1A02" w:rsidR="001F3682" w:rsidRPr="00873B6C" w:rsidRDefault="00055D0B" w:rsidP="001F3682">
      <w:r w:rsidRPr="00873B6C">
        <w:t xml:space="preserve">As shown in Figure 4.4.8.3-1, to </w:t>
      </w:r>
      <w:r w:rsidR="001F3682" w:rsidRPr="00873B6C">
        <w:t>support Time Synchronization</w:t>
      </w:r>
      <w:r w:rsidRPr="00873B6C">
        <w:t xml:space="preserve"> service</w:t>
      </w:r>
      <w:r w:rsidR="001F3682" w:rsidRPr="00873B6C">
        <w:t xml:space="preserve"> based on IEEE Std 802.1AS [104] or IEEE Std 1588 [126] for Ethernet or IP type PDU Sessions, the DS-TT, NW-TT and</w:t>
      </w:r>
      <w:r w:rsidRPr="00873B6C">
        <w:t xml:space="preserve"> Time Sensitive Communication and Time Synchronization </w:t>
      </w:r>
      <w:r w:rsidR="003F2E5D" w:rsidRPr="00873B6C">
        <w:t>F</w:t>
      </w:r>
      <w:r w:rsidRPr="00873B6C">
        <w:t>unction (TSCTSF) are required in order to</w:t>
      </w:r>
      <w:r w:rsidR="001F3682" w:rsidRPr="00873B6C">
        <w:t xml:space="preserve"> support the features in IEEE Std 802.1AS [104] or IEEE Std 1588 [126] as described in clause 5.27. The NEF exposes 5GS capability to support Time Synchronization service as described in clause 5.27.1.</w:t>
      </w:r>
      <w:r w:rsidRPr="00873B6C">
        <w:t>8</w:t>
      </w:r>
      <w:r w:rsidR="001F3682" w:rsidRPr="00873B6C">
        <w:t>.</w:t>
      </w:r>
      <w:r w:rsidRPr="00873B6C">
        <w:t xml:space="preserve"> TSCTSF controls the DS-TT(s) and NW-TT for the (g)PTP based time synchronization service. In addition, TSCTSF supports TSC assistance container related functionalities.</w:t>
      </w:r>
    </w:p>
    <w:bookmarkStart w:id="641" w:name="_MON_1710917690"/>
    <w:bookmarkEnd w:id="641"/>
    <w:p w14:paraId="31D78378" w14:textId="690D1AE9" w:rsidR="0082686E" w:rsidRPr="00873B6C" w:rsidRDefault="0082686E" w:rsidP="0082686E">
      <w:pPr>
        <w:pStyle w:val="TH"/>
      </w:pPr>
      <w:r w:rsidRPr="00873B6C">
        <w:rPr>
          <w:noProof/>
        </w:rPr>
        <w:object w:dxaOrig="8703" w:dyaOrig="3952" w14:anchorId="026EA06D">
          <v:shape id="_x0000_i1086" type="#_x0000_t75" alt="" style="width:434.5pt;height:197.85pt" o:ole="">
            <v:imagedata r:id="rId131" o:title=""/>
          </v:shape>
          <o:OLEObject Type="Embed" ProgID="Word.Document.12" ShapeID="_x0000_i1086" DrawAspect="Content" ObjectID="_1811772420" r:id="rId132">
            <o:FieldCodes>\s</o:FieldCodes>
          </o:OLEObject>
        </w:object>
      </w:r>
    </w:p>
    <w:p w14:paraId="7DC8784F" w14:textId="45805F26" w:rsidR="00055D0B" w:rsidRPr="00873B6C" w:rsidRDefault="00055D0B" w:rsidP="00562E84">
      <w:pPr>
        <w:pStyle w:val="TF"/>
      </w:pPr>
      <w:bookmarkStart w:id="642" w:name="_CRFigure4_4_8_31"/>
      <w:r w:rsidRPr="00873B6C">
        <w:t xml:space="preserve">Figure </w:t>
      </w:r>
      <w:bookmarkEnd w:id="642"/>
      <w:r w:rsidRPr="00873B6C">
        <w:t>4.4.8.3-1: Architecture to enable Time Sensitive Communication and Time Synchronization services</w:t>
      </w:r>
    </w:p>
    <w:p w14:paraId="2C84DEF1" w14:textId="4BCAAD6F" w:rsidR="00DA3BBC" w:rsidRPr="00873B6C" w:rsidRDefault="00DA3BBC" w:rsidP="00461850">
      <w:pPr>
        <w:pStyle w:val="NO"/>
      </w:pPr>
      <w:r w:rsidRPr="00873B6C">
        <w:t>NOTE</w:t>
      </w:r>
      <w:r w:rsidR="00283ED6" w:rsidRPr="00873B6C">
        <w:t> 1</w:t>
      </w:r>
      <w:r w:rsidRPr="00873B6C">
        <w:t>:</w:t>
      </w:r>
      <w:r w:rsidRPr="00873B6C">
        <w:tab/>
        <w:t>If the AF is considered to be trusted by the operator, the AF could interact directly with TSCTSF, the connection between AF and TSCTSF is not depicted in the architecture diagram for brevity.</w:t>
      </w:r>
    </w:p>
    <w:p w14:paraId="7008AF6D" w14:textId="77777777" w:rsidR="00283ED6" w:rsidRPr="00873B6C" w:rsidRDefault="00283ED6" w:rsidP="00283ED6">
      <w:r w:rsidRPr="00873B6C">
        <w:t>UPF/NW-TT distributes the (g)PTP messages as described in clause 5.27.1.</w:t>
      </w:r>
    </w:p>
    <w:p w14:paraId="28C8D62D" w14:textId="568D15D8" w:rsidR="00283ED6" w:rsidRPr="00873B6C" w:rsidRDefault="00283ED6" w:rsidP="00283ED6">
      <w:r w:rsidRPr="00873B6C">
        <w:t>When the UPF supports one or more NW-TT(s), there is one-to-one association between an NW-TT and the network instance</w:t>
      </w:r>
      <w:r w:rsidR="003F2E5D" w:rsidRPr="00873B6C">
        <w:t xml:space="preserve"> or between an NW-TT and network instance together with DNN/S-NSSAI</w:t>
      </w:r>
      <w:r w:rsidRPr="00873B6C">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873B6C">
        <w:t>S</w:t>
      </w:r>
      <w:r w:rsidRPr="00873B6C">
        <w:t xml:space="preserve">ession during PDU </w:t>
      </w:r>
      <w:r w:rsidR="003F2E5D" w:rsidRPr="00873B6C">
        <w:t>S</w:t>
      </w:r>
      <w:r w:rsidRPr="00873B6C">
        <w:t>ession establishment procedure.</w:t>
      </w:r>
      <w:r w:rsidR="003F2E5D" w:rsidRPr="00873B6C">
        <w:t xml:space="preserve"> UPF allocates resources based on the Network Instance and S-NSSAI and it is supported according to </w:t>
      </w:r>
      <w:r w:rsidR="00972E70" w:rsidRPr="00873B6C">
        <w:t>TS 29.244 [</w:t>
      </w:r>
      <w:r w:rsidR="003F2E5D" w:rsidRPr="00873B6C">
        <w:t>65]. DNN/S-NSSAI may be indicated by the SMF together with the network instance to the UPF for a given PDU Session during PDU Session establishment procedure.</w:t>
      </w:r>
    </w:p>
    <w:p w14:paraId="1E5F0136" w14:textId="239459D9" w:rsidR="00283ED6" w:rsidRPr="00873B6C" w:rsidRDefault="00283ED6" w:rsidP="00461850">
      <w:pPr>
        <w:pStyle w:val="NO"/>
      </w:pPr>
      <w:r w:rsidRPr="00873B6C">
        <w:t>NOTE 2:</w:t>
      </w:r>
      <w:r w:rsidRPr="00873B6C">
        <w:tab/>
        <w:t>The same NW-TT is used for all PDU Sessions in the UPF for the given DNN</w:t>
      </w:r>
      <w:r w:rsidR="003F2E5D" w:rsidRPr="00873B6C">
        <w:t>/</w:t>
      </w:r>
      <w:r w:rsidRPr="00873B6C">
        <w:t>S-NSSAI; the NW-TT is unique per DNN</w:t>
      </w:r>
      <w:r w:rsidR="003F2E5D" w:rsidRPr="00873B6C">
        <w:t>/</w:t>
      </w:r>
      <w:r w:rsidRPr="00873B6C">
        <w:t>S-NSSAI. This ensures that the UPF selects an N4 session associated with the correct TSCTSF when the NW-TT initiates an UMIC or PMIC. At any given time, the NW-TT is associated with a single TSCTSF.</w:t>
      </w:r>
    </w:p>
    <w:p w14:paraId="115B91B4" w14:textId="1BDBC31A" w:rsidR="00E02643" w:rsidRPr="00873B6C" w:rsidRDefault="00E02643" w:rsidP="00E02643">
      <w:pPr>
        <w:pStyle w:val="Heading4"/>
      </w:pPr>
      <w:bookmarkStart w:id="643" w:name="_CR4_4_8_4"/>
      <w:bookmarkStart w:id="644" w:name="_Toc201156970"/>
      <w:bookmarkEnd w:id="643"/>
      <w:r w:rsidRPr="00873B6C">
        <w:t>4.4.8.4</w:t>
      </w:r>
      <w:r w:rsidRPr="00873B6C">
        <w:tab/>
        <w:t>Architecture to support IETF Deterministic Networking</w:t>
      </w:r>
      <w:bookmarkEnd w:id="644"/>
    </w:p>
    <w:p w14:paraId="58D87012" w14:textId="31C88B02" w:rsidR="00E02643" w:rsidRPr="00873B6C" w:rsidRDefault="00E02643" w:rsidP="00E02643">
      <w:r w:rsidRPr="00873B6C">
        <w:t>The 5G System is integrated with the Deterministic Network as defined in IETF RFC 8655 [150] as a logical DetNet transit router, see Figure 4.4.8.4-1. The TSCTSF performs mapping in the control plane between the 5GS internal functions and the DetNet controller. 5G System specific procedures in 5GC and RAN remain hidden from the DetNet controller.</w:t>
      </w:r>
    </w:p>
    <w:p w14:paraId="413EA47A" w14:textId="1056336C" w:rsidR="00120E23" w:rsidRPr="00873B6C" w:rsidRDefault="00120E23" w:rsidP="005A13C0">
      <w:pPr>
        <w:pStyle w:val="TH"/>
      </w:pPr>
      <w:r w:rsidRPr="00873B6C">
        <w:object w:dxaOrig="9509" w:dyaOrig="5338" w14:anchorId="61A4F4F5">
          <v:shape id="_x0000_i1087" type="#_x0000_t75" style="width:475.2pt;height:266.7pt" o:ole="">
            <v:imagedata r:id="rId133" o:title=""/>
          </v:shape>
          <o:OLEObject Type="Embed" ProgID="PowerPoint.Slide.8" ShapeID="_x0000_i1087" DrawAspect="Content" ObjectID="_1811772421" r:id="rId134"/>
        </w:object>
      </w:r>
    </w:p>
    <w:p w14:paraId="29DCAA15" w14:textId="76269568" w:rsidR="00E02643" w:rsidRPr="00873B6C" w:rsidRDefault="00E02643" w:rsidP="00E02643">
      <w:pPr>
        <w:pStyle w:val="TF"/>
      </w:pPr>
      <w:bookmarkStart w:id="645" w:name="_CRFigure4_4_8_41"/>
      <w:r w:rsidRPr="00873B6C">
        <w:t xml:space="preserve">Figure </w:t>
      </w:r>
      <w:bookmarkEnd w:id="645"/>
      <w:r w:rsidRPr="00873B6C">
        <w:t>4.4.8.4-1: 5GS Architecture to support IETF Deterministic Networking</w:t>
      </w:r>
    </w:p>
    <w:p w14:paraId="44AA7DFF" w14:textId="77777777" w:rsidR="00E02643" w:rsidRPr="00873B6C" w:rsidRDefault="00E02643" w:rsidP="00972E70">
      <w:r w:rsidRPr="00873B6C">
        <w:t>On the device side, the UE is connected with a DetNet system, which may be a DetNet End System or a DetNet Node.</w:t>
      </w:r>
    </w:p>
    <w:p w14:paraId="263C6FDA" w14:textId="55335B64" w:rsidR="00E02643" w:rsidRPr="00873B6C" w:rsidRDefault="00E02643" w:rsidP="00972E70">
      <w:r w:rsidRPr="00873B6C">
        <w:t>The architecture does not require the DS-TT functionality to be supported in the device nor require the user plane NW-TT functionality to be supported in the UPF, however, it can co-exist with such functions. For the reporting of information of the network side ports, NW-TT control plane function is used. The architecture can be combined with architecture in clause 4.4.8.3 to support time synchronization and TSC.</w:t>
      </w:r>
    </w:p>
    <w:p w14:paraId="2D7448B5" w14:textId="77777777" w:rsidR="00E02643" w:rsidRPr="00873B6C" w:rsidRDefault="00E02643" w:rsidP="00972E70">
      <w:r w:rsidRPr="00873B6C">
        <w:t>DetNet may be used in combination with time synchronization mechanisms as defined in clause 5.27, but it does not require usage of these mechanisms.</w:t>
      </w:r>
    </w:p>
    <w:p w14:paraId="1C5BE110" w14:textId="092F2908" w:rsidR="00E02643" w:rsidRPr="00873B6C" w:rsidRDefault="00E02643" w:rsidP="00972E70">
      <w:r w:rsidRPr="00873B6C">
        <w:t>5GS acts as a DetNet router in the DetNet domain. Use cases where the 5GS acts as a sub-network (see clause 4.1.2 of IETF RFC 8655 [150]) are also possible but do not require any additional 3GPP standardization. A special case where the 5GS can act as a sub-network is when the 5GS acts as a TSN network, which is supported by the 3GPP specifications based on the architecture in clause 4.4.8.2.</w:t>
      </w:r>
    </w:p>
    <w:p w14:paraId="03A99D6E" w14:textId="77777777" w:rsidR="00E02643" w:rsidRPr="00873B6C" w:rsidRDefault="00E02643" w:rsidP="00972E70">
      <w:pPr>
        <w:pStyle w:val="NO"/>
      </w:pPr>
      <w:r w:rsidRPr="00873B6C">
        <w:t>NOTE:</w:t>
      </w:r>
      <w:r w:rsidRPr="00873B6C">
        <w:tab/>
        <w:t>For DetNet interworking, it is assumed that there is a business agreement to support the use of the DetNet controller so that it can be regarded trusted for the operator. Depending on the needs of a given deployment, functions such as the authentication, authorization and potential throttling of signalling from the DetNet controller can be achieved by including such functionalities in the TSCTSF.</w:t>
      </w:r>
    </w:p>
    <w:p w14:paraId="43C8FFF6" w14:textId="77777777" w:rsidR="00E02643" w:rsidRPr="00873B6C" w:rsidRDefault="00E02643" w:rsidP="00972E70">
      <w:r w:rsidRPr="00873B6C">
        <w:t>The routing of the downlink packets is achieved using the existing 3GPP functions.</w:t>
      </w:r>
    </w:p>
    <w:p w14:paraId="602CD07D" w14:textId="2AF4EE02" w:rsidR="00D40151" w:rsidRPr="00873B6C" w:rsidRDefault="00D40151" w:rsidP="00D40151">
      <w:pPr>
        <w:pStyle w:val="Heading1"/>
      </w:pPr>
      <w:bookmarkStart w:id="646" w:name="_CR5"/>
      <w:bookmarkStart w:id="647" w:name="_Toc201156971"/>
      <w:bookmarkEnd w:id="646"/>
      <w:r w:rsidRPr="00873B6C">
        <w:t>5</w:t>
      </w:r>
      <w:r w:rsidRPr="00873B6C">
        <w:tab/>
        <w:t>High level features</w:t>
      </w:r>
      <w:bookmarkEnd w:id="633"/>
      <w:bookmarkEnd w:id="634"/>
      <w:bookmarkEnd w:id="635"/>
      <w:bookmarkEnd w:id="636"/>
      <w:bookmarkEnd w:id="637"/>
      <w:bookmarkEnd w:id="638"/>
      <w:bookmarkEnd w:id="647"/>
    </w:p>
    <w:p w14:paraId="32472D0B" w14:textId="77777777" w:rsidR="00D40151" w:rsidRPr="00873B6C" w:rsidRDefault="00D40151" w:rsidP="00D40151">
      <w:pPr>
        <w:pStyle w:val="Heading2"/>
      </w:pPr>
      <w:bookmarkStart w:id="648" w:name="_CR5_1"/>
      <w:bookmarkStart w:id="649" w:name="_Toc20149690"/>
      <w:bookmarkStart w:id="650" w:name="_Toc27846481"/>
      <w:bookmarkStart w:id="651" w:name="_Toc36187605"/>
      <w:bookmarkStart w:id="652" w:name="_Toc45183509"/>
      <w:bookmarkStart w:id="653" w:name="_Toc47342351"/>
      <w:bookmarkStart w:id="654" w:name="_Toc51769049"/>
      <w:bookmarkStart w:id="655" w:name="_Toc201156972"/>
      <w:bookmarkEnd w:id="648"/>
      <w:r w:rsidRPr="00873B6C">
        <w:t>5.1</w:t>
      </w:r>
      <w:r w:rsidRPr="00873B6C">
        <w:tab/>
        <w:t>General</w:t>
      </w:r>
      <w:bookmarkEnd w:id="649"/>
      <w:bookmarkEnd w:id="650"/>
      <w:bookmarkEnd w:id="651"/>
      <w:bookmarkEnd w:id="652"/>
      <w:bookmarkEnd w:id="653"/>
      <w:bookmarkEnd w:id="654"/>
      <w:bookmarkEnd w:id="655"/>
    </w:p>
    <w:p w14:paraId="6F97CC78" w14:textId="73859C09" w:rsidR="00D40151" w:rsidRPr="00873B6C" w:rsidRDefault="00D40151" w:rsidP="00D40151">
      <w:r w:rsidRPr="00873B6C">
        <w:t xml:space="preserve">Clause 5 specifies the high level functionality and features of the 5G System for both 3GPP and Non-3GPP access and for the interoperability with the EPC defined in </w:t>
      </w:r>
      <w:r w:rsidR="00972E70" w:rsidRPr="00873B6C">
        <w:t>TS 23.401 [</w:t>
      </w:r>
      <w:r w:rsidRPr="00873B6C">
        <w:t>26].</w:t>
      </w:r>
    </w:p>
    <w:p w14:paraId="2D8C10C1" w14:textId="77777777" w:rsidR="00D40151" w:rsidRPr="00873B6C" w:rsidRDefault="00D40151" w:rsidP="00D40151">
      <w:pPr>
        <w:pStyle w:val="Heading2"/>
      </w:pPr>
      <w:bookmarkStart w:id="656" w:name="_CR5_2"/>
      <w:bookmarkStart w:id="657" w:name="_Toc20149691"/>
      <w:bookmarkStart w:id="658" w:name="_Toc27846482"/>
      <w:bookmarkStart w:id="659" w:name="_Toc36187606"/>
      <w:bookmarkStart w:id="660" w:name="_Toc45183510"/>
      <w:bookmarkStart w:id="661" w:name="_Toc47342352"/>
      <w:bookmarkStart w:id="662" w:name="_Toc51769050"/>
      <w:bookmarkStart w:id="663" w:name="_Toc201156973"/>
      <w:bookmarkEnd w:id="656"/>
      <w:r w:rsidRPr="00873B6C">
        <w:lastRenderedPageBreak/>
        <w:t>5.2</w:t>
      </w:r>
      <w:r w:rsidRPr="00873B6C">
        <w:tab/>
        <w:t>Network Access Control</w:t>
      </w:r>
      <w:bookmarkEnd w:id="657"/>
      <w:bookmarkEnd w:id="658"/>
      <w:bookmarkEnd w:id="659"/>
      <w:bookmarkEnd w:id="660"/>
      <w:bookmarkEnd w:id="661"/>
      <w:bookmarkEnd w:id="662"/>
      <w:bookmarkEnd w:id="663"/>
    </w:p>
    <w:p w14:paraId="716B8B03" w14:textId="77777777" w:rsidR="00D40151" w:rsidRPr="00873B6C" w:rsidRDefault="00D40151" w:rsidP="00D40151">
      <w:pPr>
        <w:pStyle w:val="Heading3"/>
        <w:rPr>
          <w:rFonts w:eastAsia="MS Mincho"/>
        </w:rPr>
      </w:pPr>
      <w:bookmarkStart w:id="664" w:name="_CR5_2_1"/>
      <w:bookmarkStart w:id="665" w:name="_Toc20149692"/>
      <w:bookmarkStart w:id="666" w:name="_Toc27846483"/>
      <w:bookmarkStart w:id="667" w:name="_Toc36187607"/>
      <w:bookmarkStart w:id="668" w:name="_Toc45183511"/>
      <w:bookmarkStart w:id="669" w:name="_Toc47342353"/>
      <w:bookmarkStart w:id="670" w:name="_Toc51769051"/>
      <w:bookmarkStart w:id="671" w:name="_Toc201156974"/>
      <w:bookmarkEnd w:id="664"/>
      <w:r w:rsidRPr="00873B6C">
        <w:rPr>
          <w:rFonts w:eastAsia="MS Mincho"/>
        </w:rPr>
        <w:t>5.2.1</w:t>
      </w:r>
      <w:r w:rsidRPr="00873B6C">
        <w:rPr>
          <w:rFonts w:eastAsia="MS Mincho"/>
        </w:rPr>
        <w:tab/>
        <w:t>General</w:t>
      </w:r>
      <w:bookmarkEnd w:id="665"/>
      <w:bookmarkEnd w:id="666"/>
      <w:bookmarkEnd w:id="667"/>
      <w:bookmarkEnd w:id="668"/>
      <w:bookmarkEnd w:id="669"/>
      <w:bookmarkEnd w:id="670"/>
      <w:bookmarkEnd w:id="671"/>
    </w:p>
    <w:p w14:paraId="45C0D632" w14:textId="77777777" w:rsidR="00D40151" w:rsidRPr="00873B6C" w:rsidRDefault="00D40151" w:rsidP="00D40151">
      <w:pPr>
        <w:rPr>
          <w:rFonts w:eastAsia="MS Mincho"/>
        </w:rPr>
      </w:pPr>
      <w:r w:rsidRPr="00873B6C">
        <w:rPr>
          <w:rFonts w:eastAsia="MS Mincho"/>
        </w:rPr>
        <w:t>Network access is the means for the user to connect to 5G CN. Network access control comprises the following functionality:</w:t>
      </w:r>
    </w:p>
    <w:p w14:paraId="11E6096B" w14:textId="77777777" w:rsidR="00D40151" w:rsidRPr="00873B6C" w:rsidRDefault="00D40151" w:rsidP="00D40151">
      <w:pPr>
        <w:pStyle w:val="B1"/>
        <w:rPr>
          <w:rFonts w:eastAsia="MS Mincho"/>
        </w:rPr>
      </w:pPr>
      <w:r w:rsidRPr="00873B6C">
        <w:rPr>
          <w:rFonts w:eastAsia="MS Mincho"/>
        </w:rPr>
        <w:t>-</w:t>
      </w:r>
      <w:r w:rsidRPr="00873B6C">
        <w:rPr>
          <w:rFonts w:eastAsia="MS Mincho"/>
        </w:rPr>
        <w:tab/>
        <w:t>Network selection,</w:t>
      </w:r>
    </w:p>
    <w:p w14:paraId="41040BC3" w14:textId="77777777" w:rsidR="00D40151" w:rsidRPr="00873B6C" w:rsidRDefault="00D40151" w:rsidP="00D40151">
      <w:pPr>
        <w:pStyle w:val="B1"/>
        <w:rPr>
          <w:rFonts w:eastAsia="MS Mincho"/>
        </w:rPr>
      </w:pPr>
      <w:r w:rsidRPr="00873B6C">
        <w:rPr>
          <w:rFonts w:eastAsia="MS Mincho"/>
        </w:rPr>
        <w:t>-</w:t>
      </w:r>
      <w:r w:rsidRPr="00873B6C">
        <w:rPr>
          <w:rFonts w:eastAsia="MS Mincho"/>
        </w:rPr>
        <w:tab/>
        <w:t>Identification and authentication,</w:t>
      </w:r>
    </w:p>
    <w:p w14:paraId="53441307" w14:textId="77777777" w:rsidR="00D40151" w:rsidRPr="00873B6C" w:rsidRDefault="00D40151" w:rsidP="00D40151">
      <w:pPr>
        <w:pStyle w:val="B1"/>
        <w:rPr>
          <w:rFonts w:eastAsia="MS Mincho"/>
        </w:rPr>
      </w:pPr>
      <w:r w:rsidRPr="00873B6C">
        <w:rPr>
          <w:rFonts w:eastAsia="MS Mincho"/>
        </w:rPr>
        <w:t>-</w:t>
      </w:r>
      <w:r w:rsidRPr="00873B6C">
        <w:rPr>
          <w:rFonts w:eastAsia="MS Mincho"/>
        </w:rPr>
        <w:tab/>
        <w:t>Authorisation,</w:t>
      </w:r>
    </w:p>
    <w:p w14:paraId="759ACF8D" w14:textId="77777777" w:rsidR="00D40151" w:rsidRPr="00873B6C" w:rsidRDefault="00D40151" w:rsidP="00D40151">
      <w:pPr>
        <w:pStyle w:val="B1"/>
        <w:rPr>
          <w:rFonts w:eastAsia="MS Mincho"/>
        </w:rPr>
      </w:pPr>
      <w:r w:rsidRPr="00873B6C">
        <w:rPr>
          <w:rFonts w:eastAsia="MS Mincho"/>
        </w:rPr>
        <w:t>-</w:t>
      </w:r>
      <w:r w:rsidRPr="00873B6C">
        <w:rPr>
          <w:rFonts w:eastAsia="MS Mincho"/>
        </w:rPr>
        <w:tab/>
        <w:t>Access control and barring,</w:t>
      </w:r>
    </w:p>
    <w:p w14:paraId="4F195686" w14:textId="77777777" w:rsidR="00D40151" w:rsidRPr="00873B6C" w:rsidRDefault="00D40151" w:rsidP="00D40151">
      <w:pPr>
        <w:pStyle w:val="B1"/>
        <w:rPr>
          <w:rFonts w:eastAsia="MS Mincho"/>
        </w:rPr>
      </w:pPr>
      <w:r w:rsidRPr="00873B6C">
        <w:rPr>
          <w:rFonts w:eastAsia="MS Mincho"/>
        </w:rPr>
        <w:t>-</w:t>
      </w:r>
      <w:r w:rsidRPr="00873B6C">
        <w:rPr>
          <w:rFonts w:eastAsia="MS Mincho"/>
        </w:rPr>
        <w:tab/>
        <w:t>Policy control,</w:t>
      </w:r>
    </w:p>
    <w:p w14:paraId="1A1927BA" w14:textId="77777777" w:rsidR="00D40151" w:rsidRPr="00873B6C" w:rsidRDefault="00D40151" w:rsidP="00D40151">
      <w:pPr>
        <w:pStyle w:val="B1"/>
        <w:rPr>
          <w:rFonts w:eastAsia="MS Mincho"/>
        </w:rPr>
      </w:pPr>
      <w:r w:rsidRPr="00873B6C">
        <w:rPr>
          <w:rFonts w:eastAsia="MS Mincho"/>
        </w:rPr>
        <w:t>-</w:t>
      </w:r>
      <w:r w:rsidRPr="00873B6C">
        <w:rPr>
          <w:rFonts w:eastAsia="MS Mincho"/>
        </w:rPr>
        <w:tab/>
        <w:t>Lawful Interception</w:t>
      </w:r>
      <w:r w:rsidRPr="00873B6C">
        <w:rPr>
          <w:rFonts w:eastAsia="SimSun"/>
          <w:lang w:eastAsia="zh-CN"/>
        </w:rPr>
        <w:t>.</w:t>
      </w:r>
    </w:p>
    <w:p w14:paraId="5215C444" w14:textId="77777777" w:rsidR="00D40151" w:rsidRPr="00873B6C" w:rsidRDefault="00D40151" w:rsidP="00D40151">
      <w:pPr>
        <w:pStyle w:val="Heading3"/>
        <w:rPr>
          <w:rFonts w:eastAsia="MS Mincho"/>
        </w:rPr>
      </w:pPr>
      <w:bookmarkStart w:id="672" w:name="_CR5_2_2"/>
      <w:bookmarkStart w:id="673" w:name="_Toc20149693"/>
      <w:bookmarkStart w:id="674" w:name="_Toc27846484"/>
      <w:bookmarkStart w:id="675" w:name="_Toc36187608"/>
      <w:bookmarkStart w:id="676" w:name="_Toc45183512"/>
      <w:bookmarkStart w:id="677" w:name="_Toc47342354"/>
      <w:bookmarkStart w:id="678" w:name="_Toc51769052"/>
      <w:bookmarkStart w:id="679" w:name="_Toc201156975"/>
      <w:bookmarkEnd w:id="672"/>
      <w:r w:rsidRPr="00873B6C">
        <w:rPr>
          <w:rFonts w:eastAsia="MS Mincho"/>
        </w:rPr>
        <w:t>5.2.2</w:t>
      </w:r>
      <w:r w:rsidRPr="00873B6C">
        <w:rPr>
          <w:rFonts w:eastAsia="MS Mincho"/>
        </w:rPr>
        <w:tab/>
        <w:t>Network selection</w:t>
      </w:r>
      <w:bookmarkEnd w:id="673"/>
      <w:bookmarkEnd w:id="674"/>
      <w:bookmarkEnd w:id="675"/>
      <w:bookmarkEnd w:id="676"/>
      <w:bookmarkEnd w:id="677"/>
      <w:bookmarkEnd w:id="678"/>
      <w:bookmarkEnd w:id="679"/>
    </w:p>
    <w:p w14:paraId="2817394D" w14:textId="407A57FF" w:rsidR="00D40151" w:rsidRPr="00873B6C" w:rsidRDefault="00D40151" w:rsidP="00D40151">
      <w:pPr>
        <w:rPr>
          <w:rFonts w:eastAsia="MS Mincho"/>
        </w:rPr>
      </w:pPr>
      <w:r w:rsidRPr="00873B6C">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972E70" w:rsidRPr="00873B6C">
        <w:rPr>
          <w:rFonts w:eastAsia="MS Mincho"/>
        </w:rPr>
        <w:t>TS 22.011 [</w:t>
      </w:r>
      <w:r w:rsidRPr="00873B6C">
        <w:rPr>
          <w:rFonts w:eastAsia="MS Mincho"/>
        </w:rPr>
        <w:t xml:space="preserve">25] and the procedures are in </w:t>
      </w:r>
      <w:r w:rsidR="00972E70" w:rsidRPr="00873B6C">
        <w:rPr>
          <w:rFonts w:eastAsia="MS Mincho"/>
        </w:rPr>
        <w:t>TS 23.122 [</w:t>
      </w:r>
      <w:r w:rsidRPr="00873B6C">
        <w:rPr>
          <w:rFonts w:eastAsia="MS Mincho"/>
        </w:rPr>
        <w:t xml:space="preserve">17]. The access network selection part for the 3GPP access networks is specified in </w:t>
      </w:r>
      <w:r w:rsidR="00972E70" w:rsidRPr="00873B6C">
        <w:rPr>
          <w:rFonts w:eastAsia="MS Mincho"/>
        </w:rPr>
        <w:t>TS 36.300 [</w:t>
      </w:r>
      <w:r w:rsidRPr="00873B6C">
        <w:rPr>
          <w:rFonts w:eastAsia="MS Mincho"/>
        </w:rPr>
        <w:t xml:space="preserve">30] for E-UTRAN and in </w:t>
      </w:r>
      <w:r w:rsidR="00972E70" w:rsidRPr="00873B6C">
        <w:rPr>
          <w:rFonts w:eastAsia="MS Mincho"/>
        </w:rPr>
        <w:t>TS 38.300 [</w:t>
      </w:r>
      <w:r w:rsidRPr="00873B6C">
        <w:rPr>
          <w:rFonts w:eastAsia="MS Mincho"/>
        </w:rPr>
        <w:t>27] for the NR.</w:t>
      </w:r>
    </w:p>
    <w:p w14:paraId="36BC5F01" w14:textId="76DE8E2B" w:rsidR="00426DE4" w:rsidRPr="00873B6C" w:rsidRDefault="00426DE4" w:rsidP="00426DE4">
      <w:pPr>
        <w:rPr>
          <w:rFonts w:eastAsia="MS Mincho"/>
        </w:rPr>
      </w:pPr>
      <w:bookmarkStart w:id="680" w:name="_Toc20149694"/>
      <w:bookmarkStart w:id="681" w:name="_Toc27846485"/>
      <w:bookmarkStart w:id="682" w:name="_Toc36187609"/>
      <w:bookmarkStart w:id="683" w:name="_Toc45183513"/>
      <w:bookmarkStart w:id="684" w:name="_Toc47342355"/>
      <w:bookmarkStart w:id="685" w:name="_Toc51769053"/>
      <w:r w:rsidRPr="00873B6C">
        <w:rPr>
          <w:rFonts w:eastAsia="MS Mincho"/>
        </w:rPr>
        <w:t xml:space="preserve">The network selection for the Disaster Roaming is described in </w:t>
      </w:r>
      <w:r w:rsidR="00972E70" w:rsidRPr="00873B6C">
        <w:rPr>
          <w:rFonts w:eastAsia="MS Mincho"/>
        </w:rPr>
        <w:t>TS 23.122 [</w:t>
      </w:r>
      <w:r w:rsidRPr="00873B6C">
        <w:rPr>
          <w:rFonts w:eastAsia="MS Mincho"/>
        </w:rPr>
        <w:t xml:space="preserve">17] and </w:t>
      </w:r>
      <w:r w:rsidR="00972E70" w:rsidRPr="00873B6C">
        <w:rPr>
          <w:rFonts w:eastAsia="MS Mincho"/>
        </w:rPr>
        <w:t>TS 24.501 [</w:t>
      </w:r>
      <w:r w:rsidRPr="00873B6C">
        <w:rPr>
          <w:rFonts w:eastAsia="MS Mincho"/>
        </w:rPr>
        <w:t>47].</w:t>
      </w:r>
    </w:p>
    <w:p w14:paraId="5481930C" w14:textId="1AD17C42" w:rsidR="0013348C" w:rsidRPr="00873B6C" w:rsidRDefault="0013348C" w:rsidP="0013348C">
      <w:pPr>
        <w:pStyle w:val="Heading3"/>
        <w:rPr>
          <w:rFonts w:eastAsia="MS Mincho"/>
        </w:rPr>
      </w:pPr>
      <w:bookmarkStart w:id="686" w:name="_CR5_2_2a"/>
      <w:bookmarkStart w:id="687" w:name="_Toc201156976"/>
      <w:bookmarkEnd w:id="686"/>
      <w:r w:rsidRPr="00873B6C">
        <w:rPr>
          <w:rFonts w:eastAsia="MS Mincho"/>
        </w:rPr>
        <w:t>5.2.2a</w:t>
      </w:r>
      <w:r w:rsidR="00607A94" w:rsidRPr="00873B6C">
        <w:rPr>
          <w:rFonts w:eastAsia="MS Mincho"/>
        </w:rPr>
        <w:tab/>
        <w:t>Void</w:t>
      </w:r>
      <w:bookmarkEnd w:id="687"/>
    </w:p>
    <w:p w14:paraId="7F071C05" w14:textId="7198C35E" w:rsidR="0013348C" w:rsidRPr="00873B6C" w:rsidRDefault="0013348C" w:rsidP="0013348C">
      <w:pPr>
        <w:rPr>
          <w:rFonts w:eastAsia="MS Mincho"/>
        </w:rPr>
      </w:pPr>
    </w:p>
    <w:p w14:paraId="1DFDF539" w14:textId="77777777" w:rsidR="00D40151" w:rsidRPr="00873B6C" w:rsidRDefault="00D40151" w:rsidP="00D40151">
      <w:pPr>
        <w:pStyle w:val="Heading3"/>
        <w:rPr>
          <w:rFonts w:eastAsia="MS Mincho"/>
        </w:rPr>
      </w:pPr>
      <w:bookmarkStart w:id="688" w:name="_CR5_2_3"/>
      <w:bookmarkStart w:id="689" w:name="_Toc201156977"/>
      <w:bookmarkEnd w:id="688"/>
      <w:r w:rsidRPr="00873B6C">
        <w:rPr>
          <w:rFonts w:eastAsia="MS Mincho"/>
        </w:rPr>
        <w:t>5.2.3</w:t>
      </w:r>
      <w:r w:rsidRPr="00873B6C">
        <w:rPr>
          <w:rFonts w:eastAsia="MS Mincho"/>
        </w:rPr>
        <w:tab/>
        <w:t>Identification and authentication</w:t>
      </w:r>
      <w:bookmarkEnd w:id="680"/>
      <w:bookmarkEnd w:id="681"/>
      <w:bookmarkEnd w:id="682"/>
      <w:bookmarkEnd w:id="683"/>
      <w:bookmarkEnd w:id="684"/>
      <w:bookmarkEnd w:id="685"/>
      <w:bookmarkEnd w:id="689"/>
    </w:p>
    <w:p w14:paraId="32B552AA" w14:textId="35432619" w:rsidR="00D40151" w:rsidRPr="00873B6C" w:rsidRDefault="00D40151" w:rsidP="00D40151">
      <w:pPr>
        <w:rPr>
          <w:rFonts w:eastAsia="MS Mincho"/>
        </w:rPr>
      </w:pPr>
      <w:r w:rsidRPr="00873B6C">
        <w:rPr>
          <w:rFonts w:eastAsia="MS Mincho"/>
        </w:rPr>
        <w:t xml:space="preserve">The network may authenticate the UE during any procedure establishing a NAS signalling connection with the UE. The security architecture is specified in </w:t>
      </w:r>
      <w:r w:rsidR="00972E70" w:rsidRPr="00873B6C">
        <w:rPr>
          <w:rFonts w:eastAsia="MS Mincho"/>
        </w:rPr>
        <w:t>TS 33.501 [</w:t>
      </w:r>
      <w:r w:rsidRPr="00873B6C">
        <w:rPr>
          <w:rFonts w:eastAsia="MS Mincho"/>
        </w:rPr>
        <w:t>29]. The network may optionally perform an PEI check with 5G-EIR.</w:t>
      </w:r>
    </w:p>
    <w:p w14:paraId="71311E1E" w14:textId="77777777" w:rsidR="00D40151" w:rsidRPr="00873B6C" w:rsidRDefault="00D40151" w:rsidP="00D40151">
      <w:pPr>
        <w:pStyle w:val="Heading3"/>
        <w:rPr>
          <w:rFonts w:eastAsia="MS Mincho"/>
        </w:rPr>
      </w:pPr>
      <w:bookmarkStart w:id="690" w:name="_CR5_2_4"/>
      <w:bookmarkStart w:id="691" w:name="_Toc20149695"/>
      <w:bookmarkStart w:id="692" w:name="_Toc27846486"/>
      <w:bookmarkStart w:id="693" w:name="_Toc36187610"/>
      <w:bookmarkStart w:id="694" w:name="_Toc45183514"/>
      <w:bookmarkStart w:id="695" w:name="_Toc47342356"/>
      <w:bookmarkStart w:id="696" w:name="_Toc51769054"/>
      <w:bookmarkStart w:id="697" w:name="_Toc201156978"/>
      <w:bookmarkEnd w:id="690"/>
      <w:r w:rsidRPr="00873B6C">
        <w:rPr>
          <w:rFonts w:eastAsia="MS Mincho"/>
        </w:rPr>
        <w:t>5.2.4</w:t>
      </w:r>
      <w:r w:rsidRPr="00873B6C">
        <w:rPr>
          <w:rFonts w:eastAsia="MS Mincho"/>
        </w:rPr>
        <w:tab/>
        <w:t>Authorisation</w:t>
      </w:r>
      <w:bookmarkEnd w:id="691"/>
      <w:bookmarkEnd w:id="692"/>
      <w:bookmarkEnd w:id="693"/>
      <w:bookmarkEnd w:id="694"/>
      <w:bookmarkEnd w:id="695"/>
      <w:bookmarkEnd w:id="696"/>
      <w:bookmarkEnd w:id="697"/>
    </w:p>
    <w:p w14:paraId="045D675A" w14:textId="77777777" w:rsidR="00D40151" w:rsidRPr="00873B6C" w:rsidRDefault="00D40151" w:rsidP="00D40151">
      <w:pPr>
        <w:rPr>
          <w:rFonts w:eastAsia="MS Mincho"/>
        </w:rPr>
      </w:pPr>
      <w:r w:rsidRPr="00873B6C">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873B6C" w:rsidRDefault="00D40151" w:rsidP="00D40151">
      <w:pPr>
        <w:pStyle w:val="Heading3"/>
        <w:rPr>
          <w:rFonts w:eastAsia="MS Mincho"/>
        </w:rPr>
      </w:pPr>
      <w:bookmarkStart w:id="698" w:name="_CR5_2_5"/>
      <w:bookmarkStart w:id="699" w:name="_Toc20149696"/>
      <w:bookmarkStart w:id="700" w:name="_Toc27846487"/>
      <w:bookmarkStart w:id="701" w:name="_Toc36187611"/>
      <w:bookmarkStart w:id="702" w:name="_Toc45183515"/>
      <w:bookmarkStart w:id="703" w:name="_Toc47342357"/>
      <w:bookmarkStart w:id="704" w:name="_Toc51769055"/>
      <w:bookmarkStart w:id="705" w:name="_Toc201156979"/>
      <w:bookmarkEnd w:id="698"/>
      <w:r w:rsidRPr="00873B6C">
        <w:rPr>
          <w:rFonts w:eastAsia="MS Mincho"/>
        </w:rPr>
        <w:t>5.2.5</w:t>
      </w:r>
      <w:r w:rsidRPr="00873B6C">
        <w:rPr>
          <w:rFonts w:eastAsia="MS Mincho"/>
        </w:rPr>
        <w:tab/>
        <w:t>Access control and barring</w:t>
      </w:r>
      <w:bookmarkEnd w:id="699"/>
      <w:bookmarkEnd w:id="700"/>
      <w:bookmarkEnd w:id="701"/>
      <w:bookmarkEnd w:id="702"/>
      <w:bookmarkEnd w:id="703"/>
      <w:bookmarkEnd w:id="704"/>
      <w:bookmarkEnd w:id="705"/>
    </w:p>
    <w:p w14:paraId="137668E2" w14:textId="77777777" w:rsidR="00D40151" w:rsidRPr="00873B6C" w:rsidRDefault="00D40151" w:rsidP="00D40151">
      <w:r w:rsidRPr="00873B6C">
        <w:t>When the UE needs to transmit an initial NAS message, the UE shall request to establish a</w:t>
      </w:r>
      <w:r w:rsidRPr="00873B6C">
        <w:rPr>
          <w:rFonts w:eastAsia="SimSun"/>
          <w:lang w:eastAsia="zh-CN"/>
        </w:rPr>
        <w:t>n</w:t>
      </w:r>
      <w:r w:rsidRPr="00873B6C">
        <w:t xml:space="preserve"> RRC Connection first and the NAS shall provide the RRC establishment related information to the low</w:t>
      </w:r>
      <w:r w:rsidRPr="00873B6C">
        <w:rPr>
          <w:rFonts w:eastAsia="SimSun"/>
          <w:lang w:eastAsia="zh-CN"/>
        </w:rPr>
        <w:t>er</w:t>
      </w:r>
      <w:r w:rsidRPr="00873B6C">
        <w:t xml:space="preserve"> layer. </w:t>
      </w:r>
      <w:r w:rsidRPr="00873B6C">
        <w:rPr>
          <w:rFonts w:eastAsia="SimSun"/>
          <w:lang w:eastAsia="zh-CN"/>
        </w:rPr>
        <w:t>T</w:t>
      </w:r>
      <w:r w:rsidRPr="00873B6C">
        <w:t>he RAN handles the RRC Connection with priority</w:t>
      </w:r>
      <w:r w:rsidRPr="00873B6C">
        <w:rPr>
          <w:rFonts w:eastAsia="SimSun"/>
          <w:lang w:eastAsia="zh-CN"/>
        </w:rPr>
        <w:t xml:space="preserve"> </w:t>
      </w:r>
      <w:r w:rsidRPr="00873B6C">
        <w:t>during and after RRC Connection Establishment</w:t>
      </w:r>
      <w:r w:rsidRPr="00873B6C">
        <w:rPr>
          <w:rFonts w:eastAsia="SimSun"/>
          <w:lang w:eastAsia="zh-CN"/>
        </w:rPr>
        <w:t xml:space="preserve"> procedure, when UE indicates priority in </w:t>
      </w:r>
      <w:r w:rsidRPr="00873B6C">
        <w:t>Establishment related information</w:t>
      </w:r>
    </w:p>
    <w:p w14:paraId="40A25515" w14:textId="37E13273" w:rsidR="00D40151" w:rsidRPr="00873B6C" w:rsidRDefault="00D40151" w:rsidP="00D40151">
      <w:pPr>
        <w:rPr>
          <w:rFonts w:eastAsia="MS Mincho"/>
        </w:rPr>
      </w:pPr>
      <w:r w:rsidRPr="00873B6C">
        <w:rPr>
          <w:rFonts w:eastAsia="MS Mincho"/>
        </w:rPr>
        <w:t xml:space="preserve">Under high network load conditions, the network may protect itself against overload by using the Unified Access Control functionality for 3GPP access specified in </w:t>
      </w:r>
      <w:r w:rsidR="00972E70" w:rsidRPr="00873B6C">
        <w:rPr>
          <w:rFonts w:eastAsia="MS Mincho"/>
        </w:rPr>
        <w:t>TS 22.261 [</w:t>
      </w:r>
      <w:r w:rsidRPr="00873B6C">
        <w:rPr>
          <w:rFonts w:eastAsia="MS Mincho"/>
        </w:rPr>
        <w:t xml:space="preserve">2], </w:t>
      </w:r>
      <w:r w:rsidR="00972E70" w:rsidRPr="00873B6C">
        <w:rPr>
          <w:rFonts w:eastAsia="MS Mincho"/>
        </w:rPr>
        <w:t>TS 24.501 [</w:t>
      </w:r>
      <w:r w:rsidRPr="00873B6C">
        <w:rPr>
          <w:rFonts w:eastAsia="MS Mincho"/>
        </w:rPr>
        <w:t xml:space="preserve">47] and </w:t>
      </w:r>
      <w:r w:rsidR="00972E70" w:rsidRPr="00873B6C">
        <w:rPr>
          <w:rFonts w:eastAsia="MS Mincho"/>
        </w:rPr>
        <w:t>TS 38.300 [</w:t>
      </w:r>
      <w:r w:rsidRPr="00873B6C">
        <w:rPr>
          <w:rFonts w:eastAsia="MS Mincho"/>
        </w:rPr>
        <w:t xml:space="preserve">27] to limit access attempts from UEs. Depending on network configuration, the network may determine whether certain </w:t>
      </w:r>
      <w:r w:rsidRPr="00873B6C">
        <w:rPr>
          <w:lang w:eastAsia="ja-JP"/>
        </w:rPr>
        <w:t>access attempt should be allowed or blocked</w:t>
      </w:r>
      <w:r w:rsidRPr="00873B6C">
        <w:rPr>
          <w:rFonts w:eastAsia="MS Mincho"/>
        </w:rPr>
        <w:t xml:space="preserve"> based on categorized criteria, as specified in </w:t>
      </w:r>
      <w:r w:rsidR="00972E70" w:rsidRPr="00873B6C">
        <w:rPr>
          <w:rFonts w:eastAsia="MS Mincho"/>
        </w:rPr>
        <w:t>TS 22.261 [</w:t>
      </w:r>
      <w:r w:rsidRPr="00873B6C">
        <w:rPr>
          <w:rFonts w:eastAsia="MS Mincho"/>
        </w:rPr>
        <w:t>2]</w:t>
      </w:r>
      <w:r w:rsidRPr="00873B6C">
        <w:rPr>
          <w:rFonts w:eastAsia="SimSun"/>
          <w:lang w:eastAsia="zh-CN"/>
        </w:rPr>
        <w:t xml:space="preserve"> and </w:t>
      </w:r>
      <w:r w:rsidR="00972E70" w:rsidRPr="00873B6C">
        <w:rPr>
          <w:rFonts w:eastAsia="MS Mincho"/>
        </w:rPr>
        <w:t>TS 24.501 [</w:t>
      </w:r>
      <w:r w:rsidRPr="00873B6C">
        <w:rPr>
          <w:rFonts w:eastAsia="MS Mincho"/>
        </w:rPr>
        <w:t xml:space="preserve">47]. The NG-RAN may broadcast barring control information associated with Access Categories and Access Identities as specified in </w:t>
      </w:r>
      <w:r w:rsidR="00972E70" w:rsidRPr="00873B6C">
        <w:rPr>
          <w:rFonts w:eastAsia="MS Mincho"/>
        </w:rPr>
        <w:t>TS 38.300 [</w:t>
      </w:r>
      <w:r w:rsidRPr="00873B6C">
        <w:rPr>
          <w:rFonts w:eastAsia="MS Mincho"/>
        </w:rPr>
        <w:t>27].</w:t>
      </w:r>
    </w:p>
    <w:p w14:paraId="2EA6DC33" w14:textId="77777777" w:rsidR="00D40151" w:rsidRPr="00873B6C" w:rsidRDefault="00D40151" w:rsidP="00D40151">
      <w:pPr>
        <w:rPr>
          <w:rFonts w:eastAsia="MS Mincho"/>
        </w:rPr>
      </w:pPr>
      <w:r w:rsidRPr="00873B6C">
        <w:rPr>
          <w:rFonts w:eastAsia="MS Mincho"/>
        </w:rPr>
        <w:t>The NG-RAN node may initiate such Unified Access Control when:</w:t>
      </w:r>
    </w:p>
    <w:p w14:paraId="525A54A3" w14:textId="77777777" w:rsidR="00D40151" w:rsidRPr="00873B6C" w:rsidRDefault="00D40151" w:rsidP="00D40151">
      <w:pPr>
        <w:pStyle w:val="B1"/>
        <w:rPr>
          <w:rFonts w:eastAsia="MS Mincho"/>
        </w:rPr>
      </w:pPr>
      <w:r w:rsidRPr="00873B6C">
        <w:rPr>
          <w:rFonts w:eastAsia="MS Mincho"/>
        </w:rPr>
        <w:lastRenderedPageBreak/>
        <w:t>-</w:t>
      </w:r>
      <w:r w:rsidRPr="00873B6C">
        <w:rPr>
          <w:rFonts w:eastAsia="MS Mincho"/>
        </w:rPr>
        <w:tab/>
        <w:t>AMFs request to restrict the load for UEs that access the network by sending OVERLOAD START message containing conditions defined in clause 5.19.5.2, or</w:t>
      </w:r>
    </w:p>
    <w:p w14:paraId="6E6DCF53" w14:textId="77777777" w:rsidR="00D40151" w:rsidRPr="00873B6C" w:rsidRDefault="00D40151" w:rsidP="00D40151">
      <w:pPr>
        <w:pStyle w:val="B1"/>
        <w:rPr>
          <w:rFonts w:eastAsia="MS Mincho"/>
        </w:rPr>
      </w:pPr>
      <w:r w:rsidRPr="00873B6C">
        <w:rPr>
          <w:rFonts w:eastAsia="MS Mincho"/>
        </w:rPr>
        <w:t>-</w:t>
      </w:r>
      <w:r w:rsidRPr="00873B6C">
        <w:rPr>
          <w:rFonts w:eastAsia="MS Mincho"/>
        </w:rPr>
        <w:tab/>
        <w:t>requested by OAM, or</w:t>
      </w:r>
    </w:p>
    <w:p w14:paraId="05B78264" w14:textId="77777777" w:rsidR="00D40151" w:rsidRPr="00873B6C" w:rsidRDefault="00D40151" w:rsidP="00D40151">
      <w:pPr>
        <w:pStyle w:val="B1"/>
        <w:rPr>
          <w:rFonts w:eastAsia="MS Mincho"/>
        </w:rPr>
      </w:pPr>
      <w:r w:rsidRPr="00873B6C">
        <w:rPr>
          <w:rFonts w:eastAsia="MS Mincho"/>
        </w:rPr>
        <w:t>-</w:t>
      </w:r>
      <w:r w:rsidRPr="00873B6C">
        <w:rPr>
          <w:rFonts w:eastAsia="MS Mincho"/>
        </w:rPr>
        <w:tab/>
        <w:t>triggered by NG-RAN itself.</w:t>
      </w:r>
    </w:p>
    <w:p w14:paraId="6C11E4B5" w14:textId="77777777" w:rsidR="00D40151" w:rsidRPr="00873B6C" w:rsidRDefault="00D40151" w:rsidP="00D40151">
      <w:pPr>
        <w:rPr>
          <w:rFonts w:eastAsia="MS Mincho"/>
        </w:rPr>
      </w:pPr>
      <w:r w:rsidRPr="00873B6C">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15136EDA" w:rsidR="00D40151" w:rsidRPr="00873B6C" w:rsidRDefault="00D40151" w:rsidP="00D40151">
      <w:pPr>
        <w:rPr>
          <w:rFonts w:eastAsia="MS Mincho"/>
        </w:rPr>
      </w:pPr>
      <w:r w:rsidRPr="00873B6C">
        <w:rPr>
          <w:rFonts w:eastAsia="MS Mincho"/>
        </w:rPr>
        <w:t xml:space="preserve">If the UE supports both N1 and S1 modes NAS and, as defined in </w:t>
      </w:r>
      <w:r w:rsidR="00972E70" w:rsidRPr="00873B6C">
        <w:rPr>
          <w:rFonts w:eastAsia="MS Mincho"/>
        </w:rPr>
        <w:t>TS 23.401 [</w:t>
      </w:r>
      <w:r w:rsidRPr="00873B6C">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972E70" w:rsidRPr="00873B6C">
        <w:rPr>
          <w:rFonts w:eastAsia="MS Mincho"/>
        </w:rPr>
        <w:t>TS 24.501 [</w:t>
      </w:r>
      <w:r w:rsidRPr="00873B6C">
        <w:rPr>
          <w:rFonts w:eastAsia="MS Mincho"/>
        </w:rPr>
        <w:t xml:space="preserve">47], </w:t>
      </w:r>
      <w:r w:rsidR="00972E70" w:rsidRPr="00873B6C">
        <w:rPr>
          <w:rFonts w:eastAsia="MS Mincho"/>
        </w:rPr>
        <w:t>TS 38.331 [</w:t>
      </w:r>
      <w:r w:rsidRPr="00873B6C">
        <w:rPr>
          <w:rFonts w:eastAsia="MS Mincho"/>
        </w:rPr>
        <w:t xml:space="preserve">28], </w:t>
      </w:r>
      <w:r w:rsidR="00972E70" w:rsidRPr="00873B6C">
        <w:rPr>
          <w:rFonts w:eastAsia="MS Mincho"/>
        </w:rPr>
        <w:t>TS 36.331 [</w:t>
      </w:r>
      <w:r w:rsidRPr="00873B6C">
        <w:rPr>
          <w:rFonts w:eastAsia="MS Mincho"/>
        </w:rPr>
        <w:t>51].</w:t>
      </w:r>
    </w:p>
    <w:p w14:paraId="15801534" w14:textId="5D9B0A0D" w:rsidR="00D40151" w:rsidRPr="00873B6C" w:rsidRDefault="00D40151" w:rsidP="00D40151">
      <w:pPr>
        <w:rPr>
          <w:rFonts w:eastAsia="MS Mincho"/>
        </w:rPr>
      </w:pPr>
      <w:r w:rsidRPr="00873B6C">
        <w:rPr>
          <w:rFonts w:eastAsia="MS Mincho"/>
        </w:rPr>
        <w:t xml:space="preserve">If the UE supports both N1 and S1 modes NAS and, as defined in </w:t>
      </w:r>
      <w:r w:rsidR="00972E70" w:rsidRPr="00873B6C">
        <w:rPr>
          <w:rFonts w:eastAsia="MS Mincho"/>
        </w:rPr>
        <w:t>TS 23.401 [</w:t>
      </w:r>
      <w:r w:rsidRPr="00873B6C">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972E70" w:rsidRPr="00873B6C">
        <w:rPr>
          <w:rFonts w:eastAsia="MS Mincho"/>
        </w:rPr>
        <w:t>TS 24.501 [</w:t>
      </w:r>
      <w:r w:rsidRPr="00873B6C">
        <w:rPr>
          <w:rFonts w:eastAsia="MS Mincho"/>
        </w:rPr>
        <w:t>47].</w:t>
      </w:r>
    </w:p>
    <w:p w14:paraId="6DBA2E93" w14:textId="77777777" w:rsidR="00D40151" w:rsidRPr="00873B6C" w:rsidRDefault="00D40151" w:rsidP="00D40151">
      <w:pPr>
        <w:pStyle w:val="NO"/>
        <w:rPr>
          <w:rFonts w:eastAsia="MS Mincho"/>
        </w:rPr>
      </w:pPr>
      <w:r w:rsidRPr="00873B6C">
        <w:rPr>
          <w:rFonts w:eastAsia="MS Mincho"/>
        </w:rPr>
        <w:t>NOTE:</w:t>
      </w:r>
      <w:r w:rsidRPr="00873B6C">
        <w:rPr>
          <w:rFonts w:eastAsia="MS Mincho"/>
        </w:rPr>
        <w:tab/>
        <w:t>UE signalling of Low Access Priority indication over N1 in 5GS is not supported in this release of the specification.</w:t>
      </w:r>
    </w:p>
    <w:p w14:paraId="1A99B092" w14:textId="62BB2943" w:rsidR="00D40151" w:rsidRPr="00873B6C" w:rsidRDefault="00D40151" w:rsidP="00D40151">
      <w:pPr>
        <w:rPr>
          <w:rFonts w:eastAsia="MS Mincho"/>
        </w:rPr>
      </w:pPr>
      <w:r w:rsidRPr="00873B6C">
        <w:rPr>
          <w:rFonts w:eastAsia="MS Mincho"/>
        </w:rPr>
        <w:t>Operator may provide one or more PLMN-specific Operator-defined access category definitions to the UE using NAS signalling</w:t>
      </w:r>
      <w:r w:rsidR="00472CD7" w:rsidRPr="00873B6C">
        <w:rPr>
          <w:rFonts w:eastAsia="MS Mincho"/>
        </w:rPr>
        <w:t xml:space="preserve"> and</w:t>
      </w:r>
      <w:r w:rsidRPr="00873B6C">
        <w:rPr>
          <w:rFonts w:eastAsia="MS Mincho"/>
        </w:rPr>
        <w:t xml:space="preserve"> the UE handles the Operator-defined access category definitions stored for the Registered PLMN, as specified in </w:t>
      </w:r>
      <w:r w:rsidR="00972E70" w:rsidRPr="00873B6C">
        <w:rPr>
          <w:rFonts w:eastAsia="MS Mincho"/>
        </w:rPr>
        <w:t>TS 24.501 [</w:t>
      </w:r>
      <w:r w:rsidRPr="00873B6C">
        <w:rPr>
          <w:rFonts w:eastAsia="MS Mincho"/>
        </w:rPr>
        <w:t>47].</w:t>
      </w:r>
    </w:p>
    <w:p w14:paraId="2B714386" w14:textId="39525383" w:rsidR="00426DE4" w:rsidRPr="00873B6C" w:rsidRDefault="00426DE4" w:rsidP="00461850">
      <w:pPr>
        <w:rPr>
          <w:rFonts w:eastAsia="MS Mincho"/>
        </w:rPr>
      </w:pPr>
      <w:bookmarkStart w:id="706" w:name="_Toc20149697"/>
      <w:bookmarkStart w:id="707" w:name="_Toc27846488"/>
      <w:bookmarkStart w:id="708" w:name="_Toc36187612"/>
      <w:bookmarkStart w:id="709" w:name="_Toc45183516"/>
      <w:bookmarkStart w:id="710" w:name="_Toc47342358"/>
      <w:bookmarkStart w:id="711" w:name="_Toc51769056"/>
      <w:r w:rsidRPr="00873B6C">
        <w:rPr>
          <w:rFonts w:eastAsia="MS Mincho"/>
        </w:rPr>
        <w:t xml:space="preserve">The access control for the Disaster Roaming is described in </w:t>
      </w:r>
      <w:r w:rsidR="00972E70" w:rsidRPr="00873B6C">
        <w:rPr>
          <w:rFonts w:eastAsia="MS Mincho"/>
        </w:rPr>
        <w:t>TS 23.122 [</w:t>
      </w:r>
      <w:r w:rsidRPr="00873B6C">
        <w:rPr>
          <w:rFonts w:eastAsia="MS Mincho"/>
        </w:rPr>
        <w:t xml:space="preserve">17] and </w:t>
      </w:r>
      <w:r w:rsidR="00972E70" w:rsidRPr="00873B6C">
        <w:rPr>
          <w:rFonts w:eastAsia="MS Mincho"/>
        </w:rPr>
        <w:t>TS 24.501 [</w:t>
      </w:r>
      <w:r w:rsidRPr="00873B6C">
        <w:rPr>
          <w:rFonts w:eastAsia="MS Mincho"/>
        </w:rPr>
        <w:t>47].</w:t>
      </w:r>
    </w:p>
    <w:p w14:paraId="15178B90" w14:textId="62EFFAB1" w:rsidR="00D40151" w:rsidRPr="00873B6C" w:rsidRDefault="00D40151" w:rsidP="00D40151">
      <w:pPr>
        <w:pStyle w:val="Heading3"/>
        <w:rPr>
          <w:rFonts w:eastAsia="MS Mincho"/>
        </w:rPr>
      </w:pPr>
      <w:bookmarkStart w:id="712" w:name="_CR5_2_6"/>
      <w:bookmarkStart w:id="713" w:name="_Toc201156980"/>
      <w:bookmarkEnd w:id="712"/>
      <w:r w:rsidRPr="00873B6C">
        <w:rPr>
          <w:rFonts w:eastAsia="MS Mincho"/>
        </w:rPr>
        <w:t>5.2.6</w:t>
      </w:r>
      <w:r w:rsidRPr="00873B6C">
        <w:rPr>
          <w:rFonts w:eastAsia="MS Mincho"/>
        </w:rPr>
        <w:tab/>
        <w:t>Policy control</w:t>
      </w:r>
      <w:bookmarkEnd w:id="706"/>
      <w:bookmarkEnd w:id="707"/>
      <w:bookmarkEnd w:id="708"/>
      <w:bookmarkEnd w:id="709"/>
      <w:bookmarkEnd w:id="710"/>
      <w:bookmarkEnd w:id="711"/>
      <w:bookmarkEnd w:id="713"/>
    </w:p>
    <w:p w14:paraId="4351C178" w14:textId="77777777" w:rsidR="00D40151" w:rsidRPr="00873B6C" w:rsidRDefault="00D40151" w:rsidP="00D40151">
      <w:pPr>
        <w:rPr>
          <w:rFonts w:eastAsia="MS Mincho"/>
        </w:rPr>
      </w:pPr>
      <w:r w:rsidRPr="00873B6C">
        <w:rPr>
          <w:rFonts w:eastAsia="MS Mincho"/>
        </w:rPr>
        <w:t>Network access control including service authorization may be influenced by Policy control, as specified in clause 5.14.</w:t>
      </w:r>
    </w:p>
    <w:p w14:paraId="3277EE3D" w14:textId="77777777" w:rsidR="00D40151" w:rsidRPr="00873B6C" w:rsidRDefault="00D40151" w:rsidP="00D40151">
      <w:pPr>
        <w:pStyle w:val="Heading3"/>
        <w:rPr>
          <w:rFonts w:eastAsia="MS Mincho"/>
        </w:rPr>
      </w:pPr>
      <w:bookmarkStart w:id="714" w:name="_CR5_2_7"/>
      <w:bookmarkStart w:id="715" w:name="_Toc20149698"/>
      <w:bookmarkStart w:id="716" w:name="_Toc27846489"/>
      <w:bookmarkStart w:id="717" w:name="_Toc36187613"/>
      <w:bookmarkStart w:id="718" w:name="_Toc45183517"/>
      <w:bookmarkStart w:id="719" w:name="_Toc47342359"/>
      <w:bookmarkStart w:id="720" w:name="_Toc51769057"/>
      <w:bookmarkStart w:id="721" w:name="_Toc201156981"/>
      <w:bookmarkEnd w:id="714"/>
      <w:r w:rsidRPr="00873B6C">
        <w:rPr>
          <w:rFonts w:eastAsia="MS Mincho"/>
        </w:rPr>
        <w:t>5.2.7</w:t>
      </w:r>
      <w:r w:rsidRPr="00873B6C">
        <w:rPr>
          <w:rFonts w:eastAsia="MS Mincho"/>
        </w:rPr>
        <w:tab/>
        <w:t>Lawful Interception</w:t>
      </w:r>
      <w:bookmarkEnd w:id="715"/>
      <w:bookmarkEnd w:id="716"/>
      <w:bookmarkEnd w:id="717"/>
      <w:bookmarkEnd w:id="718"/>
      <w:bookmarkEnd w:id="719"/>
      <w:bookmarkEnd w:id="720"/>
      <w:bookmarkEnd w:id="721"/>
    </w:p>
    <w:p w14:paraId="3DFB653D" w14:textId="34BE1294" w:rsidR="00D40151" w:rsidRPr="00873B6C" w:rsidRDefault="00D40151" w:rsidP="00D40151">
      <w:pPr>
        <w:rPr>
          <w:rFonts w:eastAsia="MS Mincho"/>
        </w:rPr>
      </w:pPr>
      <w:r w:rsidRPr="00873B6C">
        <w:rPr>
          <w:snapToGrid w:val="0"/>
          <w:lang w:eastAsia="fr-FR"/>
        </w:rPr>
        <w:t xml:space="preserve">For definition and functionality of Lawful Interception, please see </w:t>
      </w:r>
      <w:r w:rsidR="00972E70" w:rsidRPr="00873B6C">
        <w:rPr>
          <w:snapToGrid w:val="0"/>
          <w:lang w:eastAsia="fr-FR"/>
        </w:rPr>
        <w:t>TS 33.126 [</w:t>
      </w:r>
      <w:r w:rsidRPr="00873B6C">
        <w:rPr>
          <w:snapToGrid w:val="0"/>
          <w:lang w:eastAsia="fr-FR"/>
        </w:rPr>
        <w:t>35].</w:t>
      </w:r>
    </w:p>
    <w:p w14:paraId="7067AF25" w14:textId="77777777" w:rsidR="00D40151" w:rsidRPr="00873B6C" w:rsidRDefault="00D40151" w:rsidP="00D40151">
      <w:pPr>
        <w:pStyle w:val="Heading2"/>
      </w:pPr>
      <w:bookmarkStart w:id="722" w:name="_CR5_3"/>
      <w:bookmarkStart w:id="723" w:name="_Toc20149699"/>
      <w:bookmarkStart w:id="724" w:name="_Toc27846490"/>
      <w:bookmarkStart w:id="725" w:name="_Toc36187614"/>
      <w:bookmarkStart w:id="726" w:name="_Toc45183518"/>
      <w:bookmarkStart w:id="727" w:name="_Toc47342360"/>
      <w:bookmarkStart w:id="728" w:name="_Toc51769058"/>
      <w:bookmarkStart w:id="729" w:name="_Toc201156982"/>
      <w:bookmarkEnd w:id="722"/>
      <w:r w:rsidRPr="00873B6C">
        <w:t>5.3</w:t>
      </w:r>
      <w:r w:rsidRPr="00873B6C">
        <w:tab/>
        <w:t>Registration and Connection Management</w:t>
      </w:r>
      <w:bookmarkEnd w:id="723"/>
      <w:bookmarkEnd w:id="724"/>
      <w:bookmarkEnd w:id="725"/>
      <w:bookmarkEnd w:id="726"/>
      <w:bookmarkEnd w:id="727"/>
      <w:bookmarkEnd w:id="728"/>
      <w:bookmarkEnd w:id="729"/>
    </w:p>
    <w:p w14:paraId="54B7246A" w14:textId="77777777" w:rsidR="00D40151" w:rsidRPr="00873B6C" w:rsidRDefault="00D40151" w:rsidP="00D40151">
      <w:pPr>
        <w:pStyle w:val="Heading3"/>
      </w:pPr>
      <w:bookmarkStart w:id="730" w:name="_CR5_3_1"/>
      <w:bookmarkStart w:id="731" w:name="_Toc20149700"/>
      <w:bookmarkStart w:id="732" w:name="_Toc27846491"/>
      <w:bookmarkStart w:id="733" w:name="_Toc36187615"/>
      <w:bookmarkStart w:id="734" w:name="_Toc45183519"/>
      <w:bookmarkStart w:id="735" w:name="_Toc47342361"/>
      <w:bookmarkStart w:id="736" w:name="_Toc51769059"/>
      <w:bookmarkStart w:id="737" w:name="_Toc201156983"/>
      <w:bookmarkEnd w:id="730"/>
      <w:r w:rsidRPr="00873B6C">
        <w:t>5.3.1</w:t>
      </w:r>
      <w:r w:rsidRPr="00873B6C">
        <w:tab/>
        <w:t>General</w:t>
      </w:r>
      <w:bookmarkEnd w:id="731"/>
      <w:bookmarkEnd w:id="732"/>
      <w:bookmarkEnd w:id="733"/>
      <w:bookmarkEnd w:id="734"/>
      <w:bookmarkEnd w:id="735"/>
      <w:bookmarkEnd w:id="736"/>
      <w:bookmarkEnd w:id="737"/>
    </w:p>
    <w:p w14:paraId="10FCC7A9" w14:textId="25968BCB" w:rsidR="00D40151" w:rsidRPr="00873B6C" w:rsidRDefault="00D40151" w:rsidP="00D40151">
      <w:r w:rsidRPr="00873B6C">
        <w:t>The Registration Management is used to register or deregister a UE/user with the network</w:t>
      </w:r>
      <w:r w:rsidR="00472CD7" w:rsidRPr="00873B6C">
        <w:t xml:space="preserve"> and</w:t>
      </w:r>
      <w:r w:rsidRPr="00873B6C">
        <w:t xml:space="preserve"> establish the user context in the network. The Connection Management is used to establish and release the signalling connection between the UE and the AMF.</w:t>
      </w:r>
    </w:p>
    <w:p w14:paraId="4C844701" w14:textId="77777777" w:rsidR="00D40151" w:rsidRPr="00873B6C" w:rsidRDefault="00D40151" w:rsidP="00D40151">
      <w:pPr>
        <w:pStyle w:val="Heading3"/>
      </w:pPr>
      <w:bookmarkStart w:id="738" w:name="_CR5_3_2"/>
      <w:bookmarkStart w:id="739" w:name="_Toc20149701"/>
      <w:bookmarkStart w:id="740" w:name="_Toc27846492"/>
      <w:bookmarkStart w:id="741" w:name="_Toc36187616"/>
      <w:bookmarkStart w:id="742" w:name="_Toc45183520"/>
      <w:bookmarkStart w:id="743" w:name="_Toc47342362"/>
      <w:bookmarkStart w:id="744" w:name="_Toc51769060"/>
      <w:bookmarkStart w:id="745" w:name="_Toc201156984"/>
      <w:bookmarkEnd w:id="738"/>
      <w:r w:rsidRPr="00873B6C">
        <w:t>5.3.2</w:t>
      </w:r>
      <w:r w:rsidRPr="00873B6C">
        <w:tab/>
        <w:t>Registration Management</w:t>
      </w:r>
      <w:bookmarkEnd w:id="739"/>
      <w:bookmarkEnd w:id="740"/>
      <w:bookmarkEnd w:id="741"/>
      <w:bookmarkEnd w:id="742"/>
      <w:bookmarkEnd w:id="743"/>
      <w:bookmarkEnd w:id="744"/>
      <w:bookmarkEnd w:id="745"/>
    </w:p>
    <w:p w14:paraId="09A4DC70" w14:textId="77777777" w:rsidR="00D40151" w:rsidRPr="00873B6C" w:rsidRDefault="00D40151" w:rsidP="00D40151">
      <w:pPr>
        <w:pStyle w:val="Heading4"/>
      </w:pPr>
      <w:bookmarkStart w:id="746" w:name="_CR5_3_2_1"/>
      <w:bookmarkStart w:id="747" w:name="_Toc20149702"/>
      <w:bookmarkStart w:id="748" w:name="_Toc27846493"/>
      <w:bookmarkStart w:id="749" w:name="_Toc36187617"/>
      <w:bookmarkStart w:id="750" w:name="_Toc45183521"/>
      <w:bookmarkStart w:id="751" w:name="_Toc47342363"/>
      <w:bookmarkStart w:id="752" w:name="_Toc51769061"/>
      <w:bookmarkStart w:id="753" w:name="_Toc201156985"/>
      <w:bookmarkEnd w:id="746"/>
      <w:r w:rsidRPr="00873B6C">
        <w:t>5.3.2.1</w:t>
      </w:r>
      <w:r w:rsidRPr="00873B6C">
        <w:tab/>
        <w:t>General</w:t>
      </w:r>
      <w:bookmarkEnd w:id="747"/>
      <w:bookmarkEnd w:id="748"/>
      <w:bookmarkEnd w:id="749"/>
      <w:bookmarkEnd w:id="750"/>
      <w:bookmarkEnd w:id="751"/>
      <w:bookmarkEnd w:id="752"/>
      <w:bookmarkEnd w:id="753"/>
    </w:p>
    <w:p w14:paraId="14A97DD2" w14:textId="685F7C88" w:rsidR="00D40151" w:rsidRPr="00873B6C" w:rsidRDefault="00D40151" w:rsidP="00D40151">
      <w:r w:rsidRPr="00873B6C">
        <w:t xml:space="preserve">A UE/user needs to register with the network to receive services that requires registration. Once registered and if applicable the UE updates its registration with the network (see </w:t>
      </w:r>
      <w:r w:rsidR="00972E70" w:rsidRPr="00873B6C">
        <w:t>TS 23.502 [</w:t>
      </w:r>
      <w:r w:rsidRPr="00873B6C">
        <w:t>3]):</w:t>
      </w:r>
    </w:p>
    <w:p w14:paraId="454C9F8E" w14:textId="77777777" w:rsidR="00D40151" w:rsidRPr="00873B6C" w:rsidRDefault="00D40151" w:rsidP="00D40151">
      <w:pPr>
        <w:pStyle w:val="B1"/>
      </w:pPr>
      <w:r w:rsidRPr="00873B6C">
        <w:t>-</w:t>
      </w:r>
      <w:r w:rsidRPr="00873B6C">
        <w:tab/>
        <w:t>periodically, in order to remain reachable (Periodic Registration Update); or</w:t>
      </w:r>
    </w:p>
    <w:p w14:paraId="2791E241" w14:textId="77777777" w:rsidR="00D40151" w:rsidRPr="00873B6C" w:rsidRDefault="00D40151" w:rsidP="00D40151">
      <w:pPr>
        <w:pStyle w:val="B1"/>
      </w:pPr>
      <w:r w:rsidRPr="00873B6C">
        <w:t>-</w:t>
      </w:r>
      <w:r w:rsidRPr="00873B6C">
        <w:tab/>
        <w:t>upon mobility (Mobility Registration Update); or</w:t>
      </w:r>
    </w:p>
    <w:p w14:paraId="22A19F06" w14:textId="77777777" w:rsidR="00D40151" w:rsidRPr="00873B6C" w:rsidRDefault="00D40151" w:rsidP="00D40151">
      <w:pPr>
        <w:pStyle w:val="B1"/>
      </w:pPr>
      <w:r w:rsidRPr="00873B6C">
        <w:t>-</w:t>
      </w:r>
      <w:r w:rsidRPr="00873B6C">
        <w:tab/>
        <w:t>to update its capabilities or re-negotiate protocol parameters (Mobility Registration Update).</w:t>
      </w:r>
    </w:p>
    <w:p w14:paraId="2D5E60A1" w14:textId="77777777" w:rsidR="00D40151" w:rsidRPr="00873B6C" w:rsidRDefault="00D40151" w:rsidP="00D40151">
      <w:r w:rsidRPr="00873B6C">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873B6C" w:rsidRDefault="00D40151" w:rsidP="00D40151">
      <w:r w:rsidRPr="00873B6C">
        <w:t>The registration management procedures are applicable over both 3GPP access and Non-3GPP access. The 3GPP and Non-3GPP RM states are independent of each other, see clause 5.3.2.4.</w:t>
      </w:r>
    </w:p>
    <w:p w14:paraId="5D3F40FC" w14:textId="77777777" w:rsidR="00D40151" w:rsidRPr="00873B6C" w:rsidRDefault="00D40151" w:rsidP="00D40151">
      <w:pPr>
        <w:pStyle w:val="Heading4"/>
      </w:pPr>
      <w:bookmarkStart w:id="754" w:name="_CR5_3_2_2"/>
      <w:bookmarkStart w:id="755" w:name="_Toc20149703"/>
      <w:bookmarkStart w:id="756" w:name="_Toc27846494"/>
      <w:bookmarkStart w:id="757" w:name="_Toc36187618"/>
      <w:bookmarkStart w:id="758" w:name="_Toc45183522"/>
      <w:bookmarkStart w:id="759" w:name="_Toc47342364"/>
      <w:bookmarkStart w:id="760" w:name="_Toc51769062"/>
      <w:bookmarkStart w:id="761" w:name="_Toc201156986"/>
      <w:bookmarkEnd w:id="754"/>
      <w:r w:rsidRPr="00873B6C">
        <w:t>5.3.2.2</w:t>
      </w:r>
      <w:r w:rsidRPr="00873B6C">
        <w:tab/>
        <w:t>5GS Registration Management states</w:t>
      </w:r>
      <w:bookmarkEnd w:id="755"/>
      <w:bookmarkEnd w:id="756"/>
      <w:bookmarkEnd w:id="757"/>
      <w:bookmarkEnd w:id="758"/>
      <w:bookmarkEnd w:id="759"/>
      <w:bookmarkEnd w:id="760"/>
      <w:bookmarkEnd w:id="761"/>
    </w:p>
    <w:p w14:paraId="5EACE5A0" w14:textId="77777777" w:rsidR="00D40151" w:rsidRPr="00873B6C" w:rsidRDefault="00D40151" w:rsidP="00D40151">
      <w:pPr>
        <w:pStyle w:val="Heading5"/>
      </w:pPr>
      <w:bookmarkStart w:id="762" w:name="_CR5_3_2_2_1"/>
      <w:bookmarkStart w:id="763" w:name="_Toc20149704"/>
      <w:bookmarkStart w:id="764" w:name="_Toc27846495"/>
      <w:bookmarkStart w:id="765" w:name="_Toc36187619"/>
      <w:bookmarkStart w:id="766" w:name="_Toc45183523"/>
      <w:bookmarkStart w:id="767" w:name="_Toc47342365"/>
      <w:bookmarkStart w:id="768" w:name="_Toc51769063"/>
      <w:bookmarkStart w:id="769" w:name="_Toc201156987"/>
      <w:bookmarkEnd w:id="762"/>
      <w:r w:rsidRPr="00873B6C">
        <w:t>5.3.2.2.1</w:t>
      </w:r>
      <w:r w:rsidRPr="00873B6C">
        <w:tab/>
        <w:t>General</w:t>
      </w:r>
      <w:bookmarkEnd w:id="763"/>
      <w:bookmarkEnd w:id="764"/>
      <w:bookmarkEnd w:id="765"/>
      <w:bookmarkEnd w:id="766"/>
      <w:bookmarkEnd w:id="767"/>
      <w:bookmarkEnd w:id="768"/>
      <w:bookmarkEnd w:id="769"/>
    </w:p>
    <w:p w14:paraId="29F2226A" w14:textId="77777777" w:rsidR="00D40151" w:rsidRPr="00873B6C" w:rsidRDefault="00D40151" w:rsidP="00D40151">
      <w:r w:rsidRPr="00873B6C">
        <w:t>Two RM states are used in the UE and the AMF that reflect the registration status of the UE in the selected PLMN:</w:t>
      </w:r>
    </w:p>
    <w:p w14:paraId="491EF694" w14:textId="77777777" w:rsidR="00D40151" w:rsidRPr="00873B6C" w:rsidRDefault="00D40151" w:rsidP="00D40151">
      <w:pPr>
        <w:pStyle w:val="B1"/>
      </w:pPr>
      <w:r w:rsidRPr="00873B6C">
        <w:t>-</w:t>
      </w:r>
      <w:r w:rsidRPr="00873B6C">
        <w:tab/>
        <w:t>RM-DEREGISTERED.</w:t>
      </w:r>
    </w:p>
    <w:p w14:paraId="43E65CD7" w14:textId="77777777" w:rsidR="00D40151" w:rsidRPr="00873B6C" w:rsidRDefault="00D40151" w:rsidP="00D40151">
      <w:pPr>
        <w:pStyle w:val="B1"/>
      </w:pPr>
      <w:r w:rsidRPr="00873B6C">
        <w:t>-</w:t>
      </w:r>
      <w:r w:rsidRPr="00873B6C">
        <w:tab/>
        <w:t>RM-REGISTERED.</w:t>
      </w:r>
    </w:p>
    <w:p w14:paraId="77846C1C" w14:textId="77777777" w:rsidR="00D40151" w:rsidRPr="00873B6C" w:rsidRDefault="00D40151" w:rsidP="00D40151">
      <w:pPr>
        <w:pStyle w:val="Heading5"/>
      </w:pPr>
      <w:bookmarkStart w:id="770" w:name="_CR5_3_2_2_2"/>
      <w:bookmarkStart w:id="771" w:name="_Toc20149705"/>
      <w:bookmarkStart w:id="772" w:name="_Toc27846496"/>
      <w:bookmarkStart w:id="773" w:name="_Toc36187620"/>
      <w:bookmarkStart w:id="774" w:name="_Toc45183524"/>
      <w:bookmarkStart w:id="775" w:name="_Toc47342366"/>
      <w:bookmarkStart w:id="776" w:name="_Toc51769064"/>
      <w:bookmarkStart w:id="777" w:name="_Toc201156988"/>
      <w:bookmarkEnd w:id="770"/>
      <w:r w:rsidRPr="00873B6C">
        <w:t>5.3.2.2.2</w:t>
      </w:r>
      <w:r w:rsidRPr="00873B6C">
        <w:tab/>
        <w:t>RM-DEREGISTERED state</w:t>
      </w:r>
      <w:bookmarkEnd w:id="771"/>
      <w:bookmarkEnd w:id="772"/>
      <w:bookmarkEnd w:id="773"/>
      <w:bookmarkEnd w:id="774"/>
      <w:bookmarkEnd w:id="775"/>
      <w:bookmarkEnd w:id="776"/>
      <w:bookmarkEnd w:id="777"/>
    </w:p>
    <w:p w14:paraId="2E345D5E" w14:textId="77777777" w:rsidR="00D40151" w:rsidRPr="00873B6C" w:rsidRDefault="00D40151" w:rsidP="00D40151">
      <w:r w:rsidRPr="00873B6C">
        <w:t xml:space="preserve">In the </w:t>
      </w:r>
      <w:r w:rsidRPr="00873B6C">
        <w:rPr>
          <w:rFonts w:eastAsia="Batang"/>
          <w:lang w:eastAsia="ko-KR"/>
        </w:rPr>
        <w:t>RM</w:t>
      </w:r>
      <w:r w:rsidRPr="00873B6C">
        <w:noBreakHyphen/>
        <w:t>DEREGISTERED state</w:t>
      </w:r>
      <w:r w:rsidRPr="00873B6C">
        <w:rPr>
          <w:rFonts w:eastAsia="Batang"/>
          <w:lang w:eastAsia="ko-KR"/>
        </w:rPr>
        <w:t>,</w:t>
      </w:r>
      <w:r w:rsidRPr="00873B6C">
        <w:t xml:space="preserve"> the UE is not registered with the network</w:t>
      </w:r>
      <w:r w:rsidRPr="00873B6C">
        <w:rPr>
          <w:lang w:eastAsia="zh-CN"/>
        </w:rPr>
        <w:t>.</w:t>
      </w:r>
      <w:r w:rsidRPr="00873B6C">
        <w:t xml:space="preserve"> The UE context in AMF holds no valid location or routing information for the </w:t>
      </w:r>
      <w:r w:rsidRPr="00873B6C">
        <w:rPr>
          <w:rFonts w:eastAsia="Batang"/>
          <w:lang w:eastAsia="ko-KR"/>
        </w:rPr>
        <w:t xml:space="preserve">UE so </w:t>
      </w:r>
      <w:r w:rsidRPr="00873B6C">
        <w:t xml:space="preserve">the </w:t>
      </w:r>
      <w:r w:rsidRPr="00873B6C">
        <w:rPr>
          <w:rFonts w:eastAsia="Batang"/>
          <w:lang w:eastAsia="ko-KR"/>
        </w:rPr>
        <w:t>UE</w:t>
      </w:r>
      <w:r w:rsidRPr="00873B6C">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873B6C" w:rsidRDefault="00D40151" w:rsidP="00D40151">
      <w:r w:rsidRPr="00873B6C">
        <w:t>In the RM-DEREGISTERED state, the UE shall:</w:t>
      </w:r>
    </w:p>
    <w:p w14:paraId="43AC3112" w14:textId="335B0A98" w:rsidR="00D40151" w:rsidRPr="00873B6C" w:rsidRDefault="00D40151" w:rsidP="00D40151">
      <w:pPr>
        <w:pStyle w:val="B1"/>
        <w:rPr>
          <w:rFonts w:eastAsia="Batang"/>
        </w:rPr>
      </w:pPr>
      <w:r w:rsidRPr="00873B6C">
        <w:rPr>
          <w:rFonts w:eastAsia="Batang"/>
        </w:rPr>
        <w:t>-</w:t>
      </w:r>
      <w:r w:rsidRPr="00873B6C">
        <w:rPr>
          <w:rFonts w:eastAsia="Batang"/>
        </w:rPr>
        <w:tab/>
        <w:t>attempt to register with the selected PLMN using the Initial Registration procedure if it needs to receive service that requires registration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w:t>
      </w:r>
    </w:p>
    <w:p w14:paraId="3FE34573" w14:textId="7D1CD637" w:rsidR="00D40151" w:rsidRPr="00873B6C" w:rsidRDefault="00D40151" w:rsidP="00D40151">
      <w:pPr>
        <w:pStyle w:val="B1"/>
        <w:rPr>
          <w:rFonts w:eastAsia="Batang"/>
        </w:rPr>
      </w:pPr>
      <w:r w:rsidRPr="00873B6C">
        <w:rPr>
          <w:rFonts w:eastAsia="Batang"/>
        </w:rPr>
        <w:t>-</w:t>
      </w:r>
      <w:r w:rsidRPr="00873B6C">
        <w:rPr>
          <w:rFonts w:eastAsia="Batang"/>
        </w:rPr>
        <w:tab/>
        <w:t>remain in RM-DEREGISTERED state if receiving a Registration Reject upon Initial Registration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w:t>
      </w:r>
    </w:p>
    <w:p w14:paraId="0CEC1250" w14:textId="204B1CFB" w:rsidR="00D40151" w:rsidRPr="00873B6C" w:rsidRDefault="00D40151" w:rsidP="00D40151">
      <w:pPr>
        <w:pStyle w:val="B1"/>
        <w:rPr>
          <w:rFonts w:eastAsia="Batang"/>
        </w:rPr>
      </w:pPr>
      <w:r w:rsidRPr="00873B6C">
        <w:rPr>
          <w:rFonts w:eastAsia="Batang"/>
        </w:rPr>
        <w:t>-</w:t>
      </w:r>
      <w:r w:rsidRPr="00873B6C">
        <w:rPr>
          <w:rFonts w:eastAsia="Batang"/>
        </w:rPr>
        <w:tab/>
        <w:t>enter RM-REGISTERED state upon receiving a Registration Accept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w:t>
      </w:r>
    </w:p>
    <w:p w14:paraId="5787501E" w14:textId="77777777" w:rsidR="00D40151" w:rsidRPr="00873B6C" w:rsidRDefault="00D40151" w:rsidP="00D40151">
      <w:r w:rsidRPr="00873B6C">
        <w:t>When the UE RM state in the AMF is RM-DEREGISTERED, the AMF shall:</w:t>
      </w:r>
    </w:p>
    <w:p w14:paraId="7D196C8E" w14:textId="44C41798" w:rsidR="00D40151" w:rsidRPr="00873B6C" w:rsidRDefault="00D40151" w:rsidP="00D40151">
      <w:pPr>
        <w:pStyle w:val="B1"/>
        <w:rPr>
          <w:rFonts w:eastAsia="Batang"/>
        </w:rPr>
      </w:pPr>
      <w:r w:rsidRPr="00873B6C">
        <w:rPr>
          <w:rFonts w:eastAsia="Batang"/>
        </w:rPr>
        <w:t>-</w:t>
      </w:r>
      <w:r w:rsidRPr="00873B6C">
        <w:rPr>
          <w:rFonts w:eastAsia="Batang"/>
        </w:rPr>
        <w:tab/>
        <w:t>when applicable, accept the Initial Registration of a UE by sending a Registration Accept to this UE and enter RM-REGISTERED state for the UE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 or</w:t>
      </w:r>
    </w:p>
    <w:p w14:paraId="536685BC" w14:textId="5BA0CB35" w:rsidR="00D40151" w:rsidRPr="00873B6C" w:rsidRDefault="00D40151" w:rsidP="00D40151">
      <w:pPr>
        <w:pStyle w:val="B1"/>
        <w:rPr>
          <w:rFonts w:eastAsia="Batang"/>
        </w:rPr>
      </w:pPr>
      <w:r w:rsidRPr="00873B6C">
        <w:rPr>
          <w:rFonts w:eastAsia="Batang"/>
        </w:rPr>
        <w:t>-</w:t>
      </w:r>
      <w:r w:rsidRPr="00873B6C">
        <w:rPr>
          <w:rFonts w:eastAsia="Batang"/>
        </w:rPr>
        <w:tab/>
        <w:t>when applicable, reject the Initial Registration of a UE by sending a Registration Reject to this UE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w:t>
      </w:r>
    </w:p>
    <w:p w14:paraId="1F256AC5" w14:textId="77777777" w:rsidR="00D40151" w:rsidRPr="00873B6C" w:rsidRDefault="00D40151" w:rsidP="00D40151">
      <w:pPr>
        <w:pStyle w:val="Heading5"/>
      </w:pPr>
      <w:bookmarkStart w:id="778" w:name="_CR5_3_2_2_3"/>
      <w:bookmarkStart w:id="779" w:name="_Toc20149706"/>
      <w:bookmarkStart w:id="780" w:name="_Toc27846497"/>
      <w:bookmarkStart w:id="781" w:name="_Toc36187621"/>
      <w:bookmarkStart w:id="782" w:name="_Toc45183525"/>
      <w:bookmarkStart w:id="783" w:name="_Toc47342367"/>
      <w:bookmarkStart w:id="784" w:name="_Toc51769065"/>
      <w:bookmarkStart w:id="785" w:name="_Toc201156989"/>
      <w:bookmarkEnd w:id="778"/>
      <w:r w:rsidRPr="00873B6C">
        <w:t>5.3.2.2.3</w:t>
      </w:r>
      <w:r w:rsidRPr="00873B6C">
        <w:tab/>
        <w:t>RM-REGISTERED state</w:t>
      </w:r>
      <w:bookmarkEnd w:id="779"/>
      <w:bookmarkEnd w:id="780"/>
      <w:bookmarkEnd w:id="781"/>
      <w:bookmarkEnd w:id="782"/>
      <w:bookmarkEnd w:id="783"/>
      <w:bookmarkEnd w:id="784"/>
      <w:bookmarkEnd w:id="785"/>
    </w:p>
    <w:p w14:paraId="797DC980" w14:textId="77777777" w:rsidR="00D40151" w:rsidRPr="00873B6C" w:rsidRDefault="00D40151" w:rsidP="00D40151">
      <w:r w:rsidRPr="00873B6C">
        <w:t xml:space="preserve">In the </w:t>
      </w:r>
      <w:r w:rsidRPr="00873B6C">
        <w:rPr>
          <w:rFonts w:eastAsia="Batang"/>
          <w:lang w:eastAsia="ko-KR"/>
        </w:rPr>
        <w:t>RM</w:t>
      </w:r>
      <w:r w:rsidRPr="00873B6C">
        <w:noBreakHyphen/>
        <w:t>REGISTERED state</w:t>
      </w:r>
      <w:r w:rsidRPr="00873B6C">
        <w:rPr>
          <w:rFonts w:eastAsia="Batang"/>
          <w:lang w:eastAsia="ko-KR"/>
        </w:rPr>
        <w:t>,</w:t>
      </w:r>
      <w:r w:rsidRPr="00873B6C">
        <w:t xml:space="preserve"> the UE is registered with the network. In the RM-REGISTERED state, the UE can receive services that require registration with the network.</w:t>
      </w:r>
    </w:p>
    <w:p w14:paraId="69A82DB5" w14:textId="77777777" w:rsidR="00D40151" w:rsidRPr="00873B6C" w:rsidRDefault="00D40151" w:rsidP="00D40151">
      <w:r w:rsidRPr="00873B6C">
        <w:t xml:space="preserve">In the RM-REGISTERED state, the </w:t>
      </w:r>
      <w:r w:rsidRPr="00873B6C">
        <w:rPr>
          <w:rFonts w:eastAsia="Batang"/>
          <w:lang w:eastAsia="ko-KR"/>
        </w:rPr>
        <w:t>UE</w:t>
      </w:r>
      <w:r w:rsidRPr="00873B6C">
        <w:t xml:space="preserve"> shall:</w:t>
      </w:r>
    </w:p>
    <w:p w14:paraId="73EE5C7B" w14:textId="462BCA4E" w:rsidR="00D40151" w:rsidRPr="00873B6C" w:rsidRDefault="00D40151" w:rsidP="00D40151">
      <w:pPr>
        <w:pStyle w:val="B1"/>
      </w:pPr>
      <w:r w:rsidRPr="00873B6C">
        <w:t>-</w:t>
      </w:r>
      <w:r w:rsidRPr="00873B6C">
        <w:tab/>
        <w:t xml:space="preserve">perform Mobility Registration Update procedure if the current TAI of the serving cell (see </w:t>
      </w:r>
      <w:r w:rsidR="00972E70" w:rsidRPr="00873B6C">
        <w:t>TS 37.340 [</w:t>
      </w:r>
      <w:r w:rsidRPr="00873B6C">
        <w:t>31]) is not in the list of TAIs that the UE has received from the network in order to maintain the registration and enable the AMF to page the UE;</w:t>
      </w:r>
    </w:p>
    <w:p w14:paraId="6CD349A8" w14:textId="57F7000F" w:rsidR="0053150F" w:rsidRPr="00873B6C" w:rsidRDefault="0053150F" w:rsidP="00461850">
      <w:pPr>
        <w:pStyle w:val="NO"/>
      </w:pPr>
      <w:r w:rsidRPr="00873B6C">
        <w:t>NOTE:</w:t>
      </w:r>
      <w:r w:rsidRPr="00873B6C">
        <w:tab/>
        <w:t>Additional considerations for Mobility Registration Update in case of NR satellite access are provided in clause 5.4.11.6.</w:t>
      </w:r>
    </w:p>
    <w:p w14:paraId="1A5ED1D2" w14:textId="62A19B64" w:rsidR="00D40151" w:rsidRPr="00873B6C" w:rsidRDefault="00D40151" w:rsidP="00D40151">
      <w:pPr>
        <w:pStyle w:val="B1"/>
      </w:pPr>
      <w:r w:rsidRPr="00873B6C">
        <w:t>-</w:t>
      </w:r>
      <w:r w:rsidRPr="00873B6C">
        <w:tab/>
        <w:t>perform Periodic Registration Update procedure triggered by expiration of the periodic update timer to notify the network that the UE is still active.</w:t>
      </w:r>
    </w:p>
    <w:p w14:paraId="42A437EF" w14:textId="77777777" w:rsidR="00D40151" w:rsidRPr="00873B6C" w:rsidRDefault="00D40151" w:rsidP="00D40151">
      <w:pPr>
        <w:pStyle w:val="B1"/>
      </w:pPr>
      <w:r w:rsidRPr="00873B6C">
        <w:t>-</w:t>
      </w:r>
      <w:r w:rsidRPr="00873B6C">
        <w:tab/>
        <w:t>perform a Mobility Registration Update procedure to update its capability information or to re-negotiate protocol parameters with the network;</w:t>
      </w:r>
    </w:p>
    <w:p w14:paraId="3102B314" w14:textId="3FCC641E" w:rsidR="00D40151" w:rsidRPr="00873B6C" w:rsidRDefault="00D40151" w:rsidP="00D40151">
      <w:pPr>
        <w:pStyle w:val="B1"/>
      </w:pPr>
      <w:r w:rsidRPr="00873B6C">
        <w:lastRenderedPageBreak/>
        <w:t>-</w:t>
      </w:r>
      <w:r w:rsidRPr="00873B6C">
        <w:tab/>
        <w:t>perform Deregistration procedure (see</w:t>
      </w:r>
      <w:r w:rsidR="00D602DF" w:rsidRPr="00873B6C">
        <w:t xml:space="preserve"> clause 4.2.2.3.1</w:t>
      </w:r>
      <w:r w:rsidRPr="00873B6C">
        <w:t xml:space="preserve"> </w:t>
      </w:r>
      <w:r w:rsidR="00D602DF" w:rsidRPr="00873B6C">
        <w:t xml:space="preserve">of </w:t>
      </w:r>
      <w:r w:rsidR="00972E70" w:rsidRPr="00873B6C">
        <w:t>TS 23.502 [</w:t>
      </w:r>
      <w:r w:rsidRPr="00873B6C">
        <w:t>3])</w:t>
      </w:r>
      <w:r w:rsidR="00472CD7" w:rsidRPr="00873B6C">
        <w:t xml:space="preserve"> and</w:t>
      </w:r>
      <w:r w:rsidRPr="00873B6C">
        <w:t xml:space="preserve"> enter RM-DEREGISTERED state, when the UE needs to be no longer registered with the PLMN. The UE may decide to deregister from the network at any time.</w:t>
      </w:r>
    </w:p>
    <w:p w14:paraId="4F9CC548" w14:textId="42A04326" w:rsidR="00D40151" w:rsidRPr="00873B6C" w:rsidRDefault="00D40151" w:rsidP="00D40151">
      <w:pPr>
        <w:pStyle w:val="B1"/>
      </w:pPr>
      <w:r w:rsidRPr="00873B6C">
        <w:t>-</w:t>
      </w:r>
      <w:r w:rsidRPr="00873B6C">
        <w:tab/>
        <w:t xml:space="preserve">enter RM-DEREGISTERED state when receiving a Registration Reject message or a Deregistration message. The actions of the UE depend upon the </w:t>
      </w:r>
      <w:r w:rsidR="00D602DF" w:rsidRPr="00873B6C">
        <w:t>cause</w:t>
      </w:r>
      <w:r w:rsidRPr="00873B6C">
        <w:t xml:space="preserve"> value' in the Registration Reject or Deregistration message. See</w:t>
      </w:r>
      <w:r w:rsidR="00D602DF" w:rsidRPr="00873B6C">
        <w:t xml:space="preserve"> clause 4.2.2</w:t>
      </w:r>
      <w:r w:rsidRPr="00873B6C">
        <w:t xml:space="preserve"> </w:t>
      </w:r>
      <w:r w:rsidR="00D602DF" w:rsidRPr="00873B6C">
        <w:t xml:space="preserve">of </w:t>
      </w:r>
      <w:r w:rsidR="00972E70" w:rsidRPr="00873B6C">
        <w:t>TS 23.502 [</w:t>
      </w:r>
      <w:r w:rsidRPr="00873B6C">
        <w:t>3].</w:t>
      </w:r>
    </w:p>
    <w:p w14:paraId="4C492BC7" w14:textId="77777777" w:rsidR="00D40151" w:rsidRPr="00873B6C" w:rsidRDefault="00D40151" w:rsidP="00D40151">
      <w:pPr>
        <w:rPr>
          <w:rFonts w:eastAsia="Batang"/>
          <w:lang w:eastAsia="ko-KR"/>
        </w:rPr>
      </w:pPr>
      <w:r w:rsidRPr="00873B6C">
        <w:rPr>
          <w:rFonts w:eastAsia="Batang"/>
          <w:lang w:eastAsia="ko-KR"/>
        </w:rPr>
        <w:t>When the UE RM state in the AMF is RM-REGISTERED, the AMF shall:</w:t>
      </w:r>
    </w:p>
    <w:p w14:paraId="2E215C38" w14:textId="1BFA2A2A" w:rsidR="00D40151" w:rsidRPr="00873B6C" w:rsidRDefault="00D40151" w:rsidP="00D40151">
      <w:pPr>
        <w:pStyle w:val="B1"/>
        <w:rPr>
          <w:rFonts w:eastAsia="Batang"/>
          <w:lang w:eastAsia="ko-KR"/>
        </w:rPr>
      </w:pPr>
      <w:r w:rsidRPr="00873B6C">
        <w:rPr>
          <w:rFonts w:eastAsia="Batang"/>
          <w:lang w:eastAsia="ko-KR"/>
        </w:rPr>
        <w:t>-</w:t>
      </w:r>
      <w:r w:rsidRPr="00873B6C">
        <w:rPr>
          <w:rFonts w:eastAsia="Batang"/>
          <w:lang w:eastAsia="ko-KR"/>
        </w:rPr>
        <w:tab/>
        <w:t>perform Deregistration procedure (see</w:t>
      </w:r>
      <w:r w:rsidR="00D602DF" w:rsidRPr="00873B6C">
        <w:rPr>
          <w:rFonts w:eastAsia="Batang"/>
          <w:lang w:eastAsia="ko-KR"/>
        </w:rPr>
        <w:t xml:space="preserve"> clauses 4.2.2.3.2, 4.2.2.3.3</w:t>
      </w:r>
      <w:r w:rsidRPr="00873B6C">
        <w:rPr>
          <w:rFonts w:eastAsia="Batang"/>
          <w:lang w:eastAsia="ko-KR"/>
        </w:rPr>
        <w:t xml:space="preserve"> </w:t>
      </w:r>
      <w:r w:rsidR="00D602DF" w:rsidRPr="00873B6C">
        <w:t>of</w:t>
      </w:r>
      <w:r w:rsidR="00D602DF" w:rsidRPr="00873B6C">
        <w:rPr>
          <w:rFonts w:eastAsia="Batang"/>
          <w:lang w:eastAsia="ko-KR"/>
        </w:rPr>
        <w:t xml:space="preserve"> </w:t>
      </w:r>
      <w:r w:rsidR="00972E70" w:rsidRPr="00873B6C">
        <w:rPr>
          <w:rFonts w:eastAsia="Batang"/>
          <w:lang w:eastAsia="ko-KR"/>
        </w:rPr>
        <w:t>TS 23.502 [</w:t>
      </w:r>
      <w:r w:rsidRPr="00873B6C">
        <w:rPr>
          <w:rFonts w:eastAsia="Batang"/>
          <w:lang w:eastAsia="ko-KR"/>
        </w:rPr>
        <w:t>3])</w:t>
      </w:r>
      <w:r w:rsidR="00472CD7" w:rsidRPr="00873B6C">
        <w:rPr>
          <w:rFonts w:eastAsia="Batang"/>
          <w:lang w:eastAsia="ko-KR"/>
        </w:rPr>
        <w:t xml:space="preserve"> and</w:t>
      </w:r>
      <w:r w:rsidRPr="00873B6C">
        <w:rPr>
          <w:rFonts w:eastAsia="Batang"/>
          <w:lang w:eastAsia="ko-KR"/>
        </w:rPr>
        <w:t xml:space="preserve"> enter RM-DEREGISTERED state for the UE, when the UE needs to be no longer registered with the PLMN. The network may decide to deregister the UE at any time;</w:t>
      </w:r>
    </w:p>
    <w:p w14:paraId="50DB8B89" w14:textId="77777777" w:rsidR="00D40151" w:rsidRPr="00873B6C" w:rsidRDefault="00D40151" w:rsidP="00D40151">
      <w:pPr>
        <w:pStyle w:val="B1"/>
        <w:rPr>
          <w:rFonts w:eastAsia="Batang"/>
          <w:lang w:eastAsia="ko-KR"/>
        </w:rPr>
      </w:pPr>
      <w:r w:rsidRPr="00873B6C">
        <w:rPr>
          <w:rFonts w:eastAsia="Batang"/>
          <w:lang w:eastAsia="ko-KR"/>
        </w:rPr>
        <w:t>-</w:t>
      </w:r>
      <w:r w:rsidRPr="00873B6C">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873B6C" w:rsidRDefault="00D40151" w:rsidP="00D40151">
      <w:pPr>
        <w:pStyle w:val="B1"/>
        <w:rPr>
          <w:rFonts w:eastAsia="Batang"/>
          <w:lang w:eastAsia="ko-KR"/>
        </w:rPr>
      </w:pPr>
      <w:r w:rsidRPr="00873B6C">
        <w:rPr>
          <w:rFonts w:eastAsia="Batang"/>
          <w:lang w:eastAsia="ko-KR"/>
        </w:rPr>
        <w:t>-</w:t>
      </w:r>
      <w:r w:rsidRPr="00873B6C">
        <w:rPr>
          <w:rFonts w:eastAsia="Batang"/>
          <w:lang w:eastAsia="ko-KR"/>
        </w:rPr>
        <w:tab/>
        <w:t>when applicable, accept or reject Registration Requests or Service Requests from the UE.</w:t>
      </w:r>
    </w:p>
    <w:p w14:paraId="3483B17F" w14:textId="77777777" w:rsidR="00D40151" w:rsidRPr="00873B6C" w:rsidRDefault="00D40151" w:rsidP="00D40151">
      <w:pPr>
        <w:pStyle w:val="Heading5"/>
      </w:pPr>
      <w:bookmarkStart w:id="786" w:name="_CR5_3_2_2_4"/>
      <w:bookmarkStart w:id="787" w:name="_Toc20149707"/>
      <w:bookmarkStart w:id="788" w:name="_Toc27846498"/>
      <w:bookmarkStart w:id="789" w:name="_Toc36187622"/>
      <w:bookmarkStart w:id="790" w:name="_Toc45183526"/>
      <w:bookmarkStart w:id="791" w:name="_Toc47342368"/>
      <w:bookmarkStart w:id="792" w:name="_Toc51769066"/>
      <w:bookmarkStart w:id="793" w:name="_Toc201156990"/>
      <w:bookmarkEnd w:id="786"/>
      <w:r w:rsidRPr="00873B6C">
        <w:t>5.3.2.2.4</w:t>
      </w:r>
      <w:r w:rsidRPr="00873B6C">
        <w:tab/>
        <w:t>5GS Registration Management State models</w:t>
      </w:r>
      <w:bookmarkEnd w:id="787"/>
      <w:bookmarkEnd w:id="788"/>
      <w:bookmarkEnd w:id="789"/>
      <w:bookmarkEnd w:id="790"/>
      <w:bookmarkEnd w:id="791"/>
      <w:bookmarkEnd w:id="792"/>
      <w:bookmarkEnd w:id="793"/>
    </w:p>
    <w:bookmarkStart w:id="794" w:name="_MON_1551624930"/>
    <w:bookmarkEnd w:id="794"/>
    <w:p w14:paraId="3B3D2396" w14:textId="77777777" w:rsidR="00D40151" w:rsidRPr="00873B6C" w:rsidRDefault="00D40151" w:rsidP="00D40151">
      <w:pPr>
        <w:pStyle w:val="TH"/>
      </w:pPr>
      <w:r w:rsidRPr="00873B6C">
        <w:object w:dxaOrig="7076" w:dyaOrig="2171" w14:anchorId="781C75F0">
          <v:shape id="_x0000_i1088" type="#_x0000_t75" style="width:354.35pt;height:108.95pt" o:ole="">
            <v:imagedata r:id="rId135" o:title=""/>
          </v:shape>
          <o:OLEObject Type="Embed" ProgID="Word.Picture.8" ShapeID="_x0000_i1088" DrawAspect="Content" ObjectID="_1811772422" r:id="rId136"/>
        </w:object>
      </w:r>
    </w:p>
    <w:p w14:paraId="338B1227" w14:textId="77777777" w:rsidR="00D40151" w:rsidRPr="00873B6C" w:rsidRDefault="00D40151" w:rsidP="00D40151">
      <w:pPr>
        <w:pStyle w:val="TF"/>
      </w:pPr>
      <w:bookmarkStart w:id="795" w:name="_CRFigure5_3_2_2_41"/>
      <w:r w:rsidRPr="00873B6C">
        <w:t xml:space="preserve">Figure </w:t>
      </w:r>
      <w:bookmarkEnd w:id="795"/>
      <w:r w:rsidRPr="00873B6C">
        <w:t>5.3.2.2.4-1: RM state model in UE</w:t>
      </w:r>
    </w:p>
    <w:bookmarkStart w:id="796" w:name="_MON_1551624961"/>
    <w:bookmarkEnd w:id="796"/>
    <w:p w14:paraId="794421C7" w14:textId="77777777" w:rsidR="00D40151" w:rsidRPr="00873B6C" w:rsidRDefault="00D40151" w:rsidP="00D40151">
      <w:pPr>
        <w:pStyle w:val="TH"/>
      </w:pPr>
      <w:r w:rsidRPr="00873B6C">
        <w:object w:dxaOrig="7076" w:dyaOrig="2171" w14:anchorId="76E5825A">
          <v:shape id="_x0000_i1089" type="#_x0000_t75" style="width:354.35pt;height:108.95pt" o:ole="">
            <v:imagedata r:id="rId137" o:title=""/>
          </v:shape>
          <o:OLEObject Type="Embed" ProgID="Word.Picture.8" ShapeID="_x0000_i1089" DrawAspect="Content" ObjectID="_1811772423" r:id="rId138"/>
        </w:object>
      </w:r>
    </w:p>
    <w:p w14:paraId="45D0D7AA" w14:textId="77777777" w:rsidR="00D40151" w:rsidRPr="00873B6C" w:rsidRDefault="00D40151" w:rsidP="00D40151">
      <w:pPr>
        <w:pStyle w:val="TF"/>
      </w:pPr>
      <w:bookmarkStart w:id="797" w:name="_CRFigure5_3_2_2_42"/>
      <w:r w:rsidRPr="00873B6C">
        <w:t xml:space="preserve">Figure </w:t>
      </w:r>
      <w:bookmarkEnd w:id="797"/>
      <w:r w:rsidRPr="00873B6C">
        <w:t>5.3.2.2.4-2: RM state model in AMF</w:t>
      </w:r>
    </w:p>
    <w:p w14:paraId="77EE5EB5" w14:textId="77777777" w:rsidR="00D40151" w:rsidRPr="00873B6C" w:rsidRDefault="00D40151" w:rsidP="00D40151">
      <w:pPr>
        <w:pStyle w:val="Heading4"/>
        <w:rPr>
          <w:lang w:eastAsia="zh-CN"/>
        </w:rPr>
      </w:pPr>
      <w:bookmarkStart w:id="798" w:name="_CR5_3_2_3"/>
      <w:bookmarkStart w:id="799" w:name="_Toc20149708"/>
      <w:bookmarkStart w:id="800" w:name="_Toc27846499"/>
      <w:bookmarkStart w:id="801" w:name="_Toc36187623"/>
      <w:bookmarkStart w:id="802" w:name="_Toc45183527"/>
      <w:bookmarkStart w:id="803" w:name="_Toc47342369"/>
      <w:bookmarkStart w:id="804" w:name="_Toc51769067"/>
      <w:bookmarkStart w:id="805" w:name="_Toc201156991"/>
      <w:bookmarkEnd w:id="798"/>
      <w:r w:rsidRPr="00873B6C">
        <w:rPr>
          <w:lang w:eastAsia="zh-CN"/>
        </w:rPr>
        <w:t>5.3.2.3</w:t>
      </w:r>
      <w:r w:rsidRPr="00873B6C">
        <w:rPr>
          <w:lang w:eastAsia="zh-CN"/>
        </w:rPr>
        <w:tab/>
        <w:t>Registration Area management</w:t>
      </w:r>
      <w:bookmarkEnd w:id="799"/>
      <w:bookmarkEnd w:id="800"/>
      <w:bookmarkEnd w:id="801"/>
      <w:bookmarkEnd w:id="802"/>
      <w:bookmarkEnd w:id="803"/>
      <w:bookmarkEnd w:id="804"/>
      <w:bookmarkEnd w:id="805"/>
    </w:p>
    <w:p w14:paraId="0EB450AD" w14:textId="20FD455C" w:rsidR="00D40151" w:rsidRPr="00873B6C" w:rsidRDefault="00D40151" w:rsidP="00D40151">
      <w:r w:rsidRPr="00873B6C">
        <w:rPr>
          <w:lang w:eastAsia="zh-CN"/>
        </w:rPr>
        <w:t>Registration</w:t>
      </w:r>
      <w:r w:rsidRPr="00873B6C">
        <w:t xml:space="preserve"> Area management comprises the functions to allocate and reallocate a Registration area to a UE. Registration area is managed per access type i.e</w:t>
      </w:r>
      <w:r w:rsidR="000E35F2" w:rsidRPr="00873B6C">
        <w:t>.</w:t>
      </w:r>
      <w:r w:rsidRPr="00873B6C">
        <w:t xml:space="preserve"> 3GPP access or Non-3GPP access.</w:t>
      </w:r>
    </w:p>
    <w:p w14:paraId="3687A755" w14:textId="4F375446" w:rsidR="00D40151" w:rsidRPr="00873B6C" w:rsidRDefault="00D40151" w:rsidP="00D40151">
      <w:r w:rsidRPr="00873B6C">
        <w:rPr>
          <w:lang w:eastAsia="zh-CN"/>
        </w:rPr>
        <w:t xml:space="preserve">When </w:t>
      </w:r>
      <w:r w:rsidRPr="00873B6C">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873B6C">
        <w:rPr>
          <w:lang w:eastAsia="zh-CN"/>
        </w:rPr>
        <w:t xml:space="preserve"> An AMF which has the whole PLMN as serving area may alternatively allocate the whole PLMN ("all PLMN") as registration area to a UE in MICO mode (refer to clause 5.4.1.3).</w:t>
      </w:r>
      <w:r w:rsidR="00F8101C" w:rsidRPr="00873B6C">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873B6C" w:rsidRDefault="00D40151" w:rsidP="00D40151">
      <w:r w:rsidRPr="00873B6C">
        <w:rPr>
          <w:rFonts w:eastAsia="SimSun"/>
          <w:lang w:eastAsia="zh-CN"/>
        </w:rPr>
        <w:t>T</w:t>
      </w:r>
      <w:r w:rsidRPr="00873B6C">
        <w:t>he 5G System shall support allocating a Registration Area using a single TAI List which includes tracking areas of any NG-RAN nodes in the Registration Area for a UE.</w:t>
      </w:r>
    </w:p>
    <w:p w14:paraId="59FCD0DD" w14:textId="534DE410" w:rsidR="003E5241" w:rsidRPr="00873B6C" w:rsidRDefault="003E5241" w:rsidP="00D40151">
      <w:r w:rsidRPr="00873B6C">
        <w:t>In the case of SNPN, the TAI list allocated by AMF does not support Tracking Areas belonging to different SNPNs.</w:t>
      </w:r>
    </w:p>
    <w:p w14:paraId="4F76A229" w14:textId="105E64B2" w:rsidR="00D40151" w:rsidRPr="00873B6C" w:rsidRDefault="006810D1" w:rsidP="00D40151">
      <w:r w:rsidRPr="00873B6C">
        <w:lastRenderedPageBreak/>
        <w:t xml:space="preserve">TAI used for non-3GPP access shall be dedicated to non-3GPP access. </w:t>
      </w:r>
      <w:r w:rsidR="00D40151" w:rsidRPr="00873B6C">
        <w:t>TAI</w:t>
      </w:r>
      <w:r w:rsidR="00C05113" w:rsidRPr="00873B6C">
        <w:t>(s)</w:t>
      </w:r>
      <w:r w:rsidR="00D40151" w:rsidRPr="00873B6C">
        <w:t xml:space="preserve"> dedicated to Non-3GPP access</w:t>
      </w:r>
      <w:r w:rsidR="00C05113" w:rsidRPr="00873B6C">
        <w:t xml:space="preserve"> may be</w:t>
      </w:r>
      <w:r w:rsidR="00D40151" w:rsidRPr="00873B6C">
        <w:t xml:space="preserve"> defined in a PLMN and appl</w:t>
      </w:r>
      <w:r w:rsidR="00C05113" w:rsidRPr="00873B6C">
        <w:t xml:space="preserve">y </w:t>
      </w:r>
      <w:r w:rsidR="00D40151" w:rsidRPr="00873B6C">
        <w:t xml:space="preserve">within </w:t>
      </w:r>
      <w:r w:rsidR="00C05113" w:rsidRPr="00873B6C">
        <w:t xml:space="preserve">this </w:t>
      </w:r>
      <w:r w:rsidR="00D40151" w:rsidRPr="00873B6C">
        <w:t>PLMN.</w:t>
      </w:r>
      <w:r w:rsidR="00C05113" w:rsidRPr="00873B6C">
        <w:t xml:space="preserve"> Each N3IWF, TNGF</w:t>
      </w:r>
      <w:r w:rsidR="0053150F" w:rsidRPr="00873B6C">
        <w:t>, TWIF</w:t>
      </w:r>
      <w:r w:rsidR="00C05113" w:rsidRPr="00873B6C">
        <w:t xml:space="preserve"> and W-AGF is locally configured with one TAI value. Each N3IWF, TNGF</w:t>
      </w:r>
      <w:r w:rsidR="0053150F" w:rsidRPr="00873B6C">
        <w:t>, TWIF</w:t>
      </w:r>
      <w:r w:rsidR="00C05113" w:rsidRPr="00873B6C">
        <w:t xml:space="preserve"> and W-AGF may be configured with a different TAI value or with the same TAI value as other N3IWFs, TNGFs</w:t>
      </w:r>
      <w:r w:rsidR="0053150F" w:rsidRPr="00873B6C">
        <w:t>, TWIFs</w:t>
      </w:r>
      <w:r w:rsidR="00C05113" w:rsidRPr="00873B6C">
        <w:t xml:space="preserve"> and/or W-AGFs. The TAI is provided to the AMF during N2 interface setup</w:t>
      </w:r>
      <w:r w:rsidR="0054498C" w:rsidRPr="00873B6C">
        <w:t xml:space="preserve"> and as part of the User Location Information in UE associated messages</w:t>
      </w:r>
      <w:r w:rsidR="00C05113" w:rsidRPr="00873B6C">
        <w:t xml:space="preserve"> as described in </w:t>
      </w:r>
      <w:r w:rsidR="00972E70" w:rsidRPr="00873B6C">
        <w:t>TS 38.413 [</w:t>
      </w:r>
      <w:r w:rsidR="00C05113" w:rsidRPr="00873B6C">
        <w:t>34].</w:t>
      </w:r>
    </w:p>
    <w:p w14:paraId="1537ECE4" w14:textId="598A9055" w:rsidR="00D40151" w:rsidRPr="00873B6C" w:rsidRDefault="00D40151" w:rsidP="00D40151">
      <w:r w:rsidRPr="00873B6C">
        <w:t xml:space="preserve">When a UE registers with the network over </w:t>
      </w:r>
      <w:r w:rsidR="00C05113" w:rsidRPr="00873B6C">
        <w:t xml:space="preserve">a </w:t>
      </w:r>
      <w:r w:rsidRPr="00873B6C">
        <w:t>Non-3GPP access, the AMF allocates</w:t>
      </w:r>
      <w:r w:rsidR="00C05113" w:rsidRPr="00873B6C">
        <w:t xml:space="preserve"> to the UE</w:t>
      </w:r>
      <w:r w:rsidRPr="00873B6C">
        <w:t xml:space="preserve"> a registration area that only includes the TAI</w:t>
      </w:r>
      <w:r w:rsidR="00C05113" w:rsidRPr="00873B6C">
        <w:t xml:space="preserve"> received from the serving N3IWF, TNGF</w:t>
      </w:r>
      <w:r w:rsidR="0053150F" w:rsidRPr="00873B6C">
        <w:t>, TWIF</w:t>
      </w:r>
      <w:r w:rsidR="00C05113" w:rsidRPr="00873B6C">
        <w:t xml:space="preserve"> or W-AGF</w:t>
      </w:r>
      <w:r w:rsidRPr="00873B6C">
        <w:t>.</w:t>
      </w:r>
    </w:p>
    <w:p w14:paraId="3087C893" w14:textId="64267E73" w:rsidR="00C05113" w:rsidRPr="00873B6C" w:rsidRDefault="00C05113" w:rsidP="00323277">
      <w:pPr>
        <w:pStyle w:val="NO"/>
      </w:pPr>
      <w:r w:rsidRPr="00873B6C">
        <w:t>NOTE 1:</w:t>
      </w:r>
      <w:r w:rsidRPr="00873B6C">
        <w:tab/>
        <w:t>For example, two W-AGFs can each correspond to a different TAI (one TAI per W-AGF) and thus support different sets of S-NSSAI(s).</w:t>
      </w:r>
    </w:p>
    <w:p w14:paraId="1D87B32F" w14:textId="273ED540" w:rsidR="00D40151" w:rsidRPr="00873B6C" w:rsidRDefault="00D40151" w:rsidP="00D40151">
      <w:r w:rsidRPr="00873B6C">
        <w:t>When generating the TAI list, the AMF shall include only TAIs that are applicable on the access type (i.e. 3GPP access or Non-3GPP access) where the TAI list is sent.</w:t>
      </w:r>
    </w:p>
    <w:p w14:paraId="79F1C912" w14:textId="2CB92F40" w:rsidR="00D40151" w:rsidRPr="00873B6C" w:rsidRDefault="00D40151" w:rsidP="00D40151">
      <w:pPr>
        <w:pStyle w:val="NO"/>
        <w:rPr>
          <w:rFonts w:eastAsia="SimSun"/>
          <w:lang w:eastAsia="zh-CN"/>
        </w:rPr>
      </w:pPr>
      <w:r w:rsidRPr="00873B6C">
        <w:rPr>
          <w:rFonts w:eastAsia="SimSun"/>
          <w:lang w:eastAsia="zh-CN"/>
        </w:rPr>
        <w:t>NOTE </w:t>
      </w:r>
      <w:r w:rsidR="00C05113" w:rsidRPr="00873B6C">
        <w:rPr>
          <w:rFonts w:eastAsia="SimSun"/>
          <w:lang w:eastAsia="zh-CN"/>
        </w:rPr>
        <w:t>2</w:t>
      </w:r>
      <w:r w:rsidRPr="00873B6C">
        <w:rPr>
          <w:rFonts w:eastAsia="SimSun"/>
          <w:lang w:eastAsia="zh-CN"/>
        </w:rPr>
        <w:t>:</w:t>
      </w:r>
      <w:r w:rsidRPr="00873B6C">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873B6C" w:rsidRDefault="00C05113" w:rsidP="00323277">
      <w:pPr>
        <w:pStyle w:val="NO"/>
        <w:rPr>
          <w:rFonts w:eastAsia="SimSun"/>
          <w:lang w:eastAsia="zh-CN"/>
        </w:rPr>
      </w:pPr>
      <w:r w:rsidRPr="00873B6C">
        <w:rPr>
          <w:rFonts w:eastAsia="SimSun"/>
          <w:lang w:eastAsia="zh-CN"/>
        </w:rPr>
        <w:t>NOTE 3:</w:t>
      </w:r>
      <w:r w:rsidRPr="00873B6C">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3665C227" w:rsidR="00D40151" w:rsidRPr="00873B6C" w:rsidRDefault="00D40151" w:rsidP="00D40151">
      <w:pPr>
        <w:rPr>
          <w:rFonts w:eastAsia="SimSun"/>
          <w:lang w:eastAsia="zh-CN"/>
        </w:rPr>
      </w:pPr>
      <w:r w:rsidRPr="00873B6C">
        <w:rPr>
          <w:rFonts w:eastAsia="SimSun"/>
          <w:lang w:eastAsia="zh-CN"/>
        </w:rPr>
        <w:t xml:space="preserve">For all 3GPP Access RATs in NG-RAN and for Non-3GPP Access, the 5G System supports the TAI format as specified in </w:t>
      </w:r>
      <w:r w:rsidR="00972E70" w:rsidRPr="00873B6C">
        <w:rPr>
          <w:rFonts w:eastAsia="SimSun"/>
          <w:lang w:eastAsia="zh-CN"/>
        </w:rPr>
        <w:t>TS 23.003 [</w:t>
      </w:r>
      <w:r w:rsidRPr="00873B6C">
        <w:rPr>
          <w:rFonts w:eastAsia="SimSun"/>
          <w:lang w:eastAsia="zh-CN"/>
        </w:rPr>
        <w:t>19] consisting of MCC, MNC and a 3-byte TAC only.</w:t>
      </w:r>
    </w:p>
    <w:p w14:paraId="77A23284" w14:textId="77777777" w:rsidR="00D40151" w:rsidRPr="00873B6C" w:rsidRDefault="00D40151" w:rsidP="00D40151">
      <w:pPr>
        <w:rPr>
          <w:lang w:eastAsia="zh-CN"/>
        </w:rPr>
      </w:pPr>
      <w:r w:rsidRPr="00873B6C">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421073E2" w:rsidR="00D40151" w:rsidRPr="00873B6C" w:rsidRDefault="00D40151" w:rsidP="00D40151">
      <w:pPr>
        <w:rPr>
          <w:rFonts w:eastAsia="SimSun"/>
          <w:lang w:eastAsia="zh-CN"/>
        </w:rPr>
      </w:pPr>
      <w:r w:rsidRPr="00873B6C">
        <w:rPr>
          <w:rFonts w:eastAsia="SimSun"/>
          <w:lang w:eastAsia="zh-CN"/>
        </w:rPr>
        <w:t>To ensure a UE initiates a Mobility Registration procedure when performing inter-RAT mobility to or from NB-IoT, a Tracking Area shall not contain both NB-IoT and other RATs cells (e.g. WB-E-UTRA, NR)</w:t>
      </w:r>
      <w:r w:rsidR="00472CD7" w:rsidRPr="00873B6C">
        <w:rPr>
          <w:rFonts w:eastAsia="SimSun"/>
          <w:lang w:eastAsia="zh-CN"/>
        </w:rPr>
        <w:t xml:space="preserve"> and</w:t>
      </w:r>
      <w:r w:rsidRPr="00873B6C">
        <w:rPr>
          <w:rFonts w:eastAsia="SimSun"/>
          <w:lang w:eastAsia="zh-CN"/>
        </w:rPr>
        <w:t xml:space="preserve"> the AMF shall not allocate a TAI list that contains both NB-IoT and other RATs Tracking Areas.</w:t>
      </w:r>
    </w:p>
    <w:p w14:paraId="4B20460B" w14:textId="5F760891" w:rsidR="00D40151" w:rsidRPr="00873B6C" w:rsidRDefault="00D40151" w:rsidP="00D40151">
      <w:pPr>
        <w:rPr>
          <w:rFonts w:eastAsia="SimSun"/>
          <w:lang w:eastAsia="zh-CN"/>
        </w:rPr>
      </w:pPr>
      <w:r w:rsidRPr="00873B6C">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972E70" w:rsidRPr="00873B6C">
        <w:rPr>
          <w:rFonts w:eastAsia="SimSun"/>
          <w:lang w:eastAsia="zh-CN"/>
        </w:rPr>
        <w:t>TS 38.413 [</w:t>
      </w:r>
      <w:r w:rsidRPr="00873B6C">
        <w:rPr>
          <w:rFonts w:eastAsia="SimSun"/>
          <w:lang w:eastAsia="zh-CN"/>
        </w:rPr>
        <w:t>34].</w:t>
      </w:r>
    </w:p>
    <w:p w14:paraId="302BFD59" w14:textId="77777777" w:rsidR="00D40151" w:rsidRPr="00873B6C" w:rsidRDefault="00D40151" w:rsidP="00D40151">
      <w:pPr>
        <w:rPr>
          <w:lang w:eastAsia="zh-CN"/>
        </w:rPr>
      </w:pPr>
      <w:bookmarkStart w:id="806" w:name="_Toc20149709"/>
      <w:bookmarkStart w:id="807" w:name="_Toc27846500"/>
      <w:r w:rsidRPr="00873B6C">
        <w:rPr>
          <w:lang w:eastAsia="zh-CN"/>
        </w:rPr>
        <w:t>The AMF may also determine more precise RAT Type information based on further information received from NG-RAN:</w:t>
      </w:r>
    </w:p>
    <w:p w14:paraId="22A301A5" w14:textId="77777777" w:rsidR="00D40151" w:rsidRPr="00873B6C" w:rsidRDefault="00D40151" w:rsidP="00D40151">
      <w:pPr>
        <w:pStyle w:val="B1"/>
        <w:rPr>
          <w:lang w:eastAsia="zh-CN"/>
        </w:rPr>
      </w:pPr>
      <w:r w:rsidRPr="00873B6C">
        <w:rPr>
          <w:lang w:eastAsia="zh-CN"/>
        </w:rPr>
        <w:t>-</w:t>
      </w:r>
      <w:r w:rsidRPr="00873B6C">
        <w:rPr>
          <w:lang w:eastAsia="zh-CN"/>
        </w:rPr>
        <w:tab/>
        <w:t>The AMF may determine the RAT Type to be LTE-M as defined in clause 5.31.20; or</w:t>
      </w:r>
    </w:p>
    <w:p w14:paraId="6282E743" w14:textId="77777777" w:rsidR="00D40151" w:rsidRPr="00873B6C" w:rsidRDefault="00D40151" w:rsidP="00D40151">
      <w:pPr>
        <w:pStyle w:val="B1"/>
        <w:rPr>
          <w:lang w:eastAsia="zh-CN"/>
        </w:rPr>
      </w:pPr>
      <w:r w:rsidRPr="00873B6C">
        <w:rPr>
          <w:lang w:eastAsia="zh-CN"/>
        </w:rPr>
        <w:t>-</w:t>
      </w:r>
      <w:r w:rsidRPr="00873B6C">
        <w:rPr>
          <w:lang w:eastAsia="zh-CN"/>
        </w:rPr>
        <w:tab/>
        <w:t>The AMF may determine the RAT Type to be NR using unlicensed bands, as defined in clause 5.4.8.</w:t>
      </w:r>
    </w:p>
    <w:p w14:paraId="6A5723D7" w14:textId="2C06D6A8" w:rsidR="001C7C66" w:rsidRPr="00873B6C" w:rsidRDefault="001C7C66" w:rsidP="00323277">
      <w:pPr>
        <w:pStyle w:val="B1"/>
        <w:rPr>
          <w:lang w:eastAsia="zh-CN"/>
        </w:rPr>
      </w:pPr>
      <w:r w:rsidRPr="00873B6C">
        <w:rPr>
          <w:lang w:eastAsia="zh-CN"/>
        </w:rPr>
        <w:t>-</w:t>
      </w:r>
      <w:r w:rsidRPr="00873B6C">
        <w:rPr>
          <w:lang w:eastAsia="zh-CN"/>
        </w:rPr>
        <w:tab/>
        <w:t>The AMF may determine the RAT Type to be one of the RAT types for satellite access, as defined in clause 5.4.10.</w:t>
      </w:r>
    </w:p>
    <w:p w14:paraId="04AB96F9" w14:textId="2D7AC605" w:rsidR="0053150F" w:rsidRPr="00873B6C" w:rsidRDefault="0053150F" w:rsidP="0053150F">
      <w:pPr>
        <w:pStyle w:val="B1"/>
        <w:rPr>
          <w:lang w:eastAsia="zh-CN"/>
        </w:rPr>
      </w:pPr>
      <w:r w:rsidRPr="00873B6C">
        <w:rPr>
          <w:lang w:eastAsia="zh-CN"/>
        </w:rPr>
        <w:t>-</w:t>
      </w:r>
      <w:r w:rsidRPr="00873B6C">
        <w:rPr>
          <w:lang w:eastAsia="zh-CN"/>
        </w:rPr>
        <w:tab/>
        <w:t>The AMF may determine the RAT Type to be NR RedCap as defined in clause 5.41.</w:t>
      </w:r>
    </w:p>
    <w:p w14:paraId="52EEEAC0" w14:textId="29D1A296" w:rsidR="00D40151" w:rsidRPr="00873B6C" w:rsidRDefault="00D40151" w:rsidP="00D40151">
      <w:pPr>
        <w:rPr>
          <w:lang w:eastAsia="zh-CN"/>
        </w:rPr>
      </w:pPr>
      <w:r w:rsidRPr="00873B6C">
        <w:rPr>
          <w:lang w:eastAsia="zh-CN"/>
        </w:rPr>
        <w:t>For Non-3GPP accesses the AMF determines the RAT type the UE is camping based on the 5G-AN node associated with N2 interface as follows:</w:t>
      </w:r>
    </w:p>
    <w:p w14:paraId="32B0B9CB" w14:textId="77777777" w:rsidR="00D40151" w:rsidRPr="00873B6C" w:rsidRDefault="00D40151" w:rsidP="00D40151">
      <w:pPr>
        <w:pStyle w:val="B1"/>
        <w:rPr>
          <w:lang w:eastAsia="zh-CN"/>
        </w:rPr>
      </w:pPr>
      <w:r w:rsidRPr="00873B6C">
        <w:rPr>
          <w:lang w:eastAsia="zh-CN"/>
        </w:rPr>
        <w:t>-</w:t>
      </w:r>
      <w:r w:rsidRPr="00873B6C">
        <w:rPr>
          <w:lang w:eastAsia="zh-CN"/>
        </w:rPr>
        <w:tab/>
        <w:t>The RAT type is Untrusted Non-3GPP if the 5G-AN node has a Global N3IWF Node ID;</w:t>
      </w:r>
    </w:p>
    <w:p w14:paraId="40D465C1" w14:textId="77777777" w:rsidR="00D40151" w:rsidRPr="00873B6C" w:rsidRDefault="00D40151" w:rsidP="00D40151">
      <w:pPr>
        <w:pStyle w:val="B1"/>
        <w:rPr>
          <w:lang w:eastAsia="zh-CN"/>
        </w:rPr>
      </w:pPr>
      <w:r w:rsidRPr="00873B6C">
        <w:rPr>
          <w:lang w:eastAsia="zh-CN"/>
        </w:rPr>
        <w:t>-</w:t>
      </w:r>
      <w:r w:rsidRPr="00873B6C">
        <w:rPr>
          <w:lang w:eastAsia="zh-CN"/>
        </w:rPr>
        <w:tab/>
        <w:t>The RAT type is Trusted Non-3GPP if the 5G-AN node has a Global TNGF Node ID or a Global TWIF Node ID; and</w:t>
      </w:r>
    </w:p>
    <w:p w14:paraId="2F50821E" w14:textId="77777777" w:rsidR="00D40151" w:rsidRPr="00873B6C" w:rsidRDefault="00D40151" w:rsidP="00D40151">
      <w:pPr>
        <w:pStyle w:val="B1"/>
        <w:rPr>
          <w:lang w:eastAsia="zh-CN"/>
        </w:rPr>
      </w:pPr>
      <w:r w:rsidRPr="00873B6C">
        <w:rPr>
          <w:lang w:eastAsia="zh-CN"/>
        </w:rPr>
        <w:t>-</w:t>
      </w:r>
      <w:r w:rsidRPr="00873B6C">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873B6C" w:rsidRDefault="00D40151" w:rsidP="00D40151">
      <w:pPr>
        <w:pStyle w:val="NO"/>
        <w:rPr>
          <w:lang w:eastAsia="zh-CN"/>
        </w:rPr>
      </w:pPr>
      <w:r w:rsidRPr="00873B6C">
        <w:rPr>
          <w:lang w:eastAsia="zh-CN"/>
        </w:rPr>
        <w:lastRenderedPageBreak/>
        <w:t>NOTE </w:t>
      </w:r>
      <w:r w:rsidR="00C05113" w:rsidRPr="00873B6C">
        <w:rPr>
          <w:lang w:eastAsia="zh-CN"/>
        </w:rPr>
        <w:t>4</w:t>
      </w:r>
      <w:r w:rsidRPr="00873B6C">
        <w:rPr>
          <w:lang w:eastAsia="zh-CN"/>
        </w:rPr>
        <w:t>:</w:t>
      </w:r>
      <w:r w:rsidRPr="00873B6C">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873B6C" w:rsidRDefault="00D40151" w:rsidP="00D40151">
      <w:pPr>
        <w:pStyle w:val="NO"/>
        <w:rPr>
          <w:lang w:eastAsia="zh-CN"/>
        </w:rPr>
      </w:pPr>
      <w:r w:rsidRPr="00873B6C">
        <w:rPr>
          <w:lang w:eastAsia="zh-CN"/>
        </w:rPr>
        <w:t>NOTE </w:t>
      </w:r>
      <w:r w:rsidR="00C05113" w:rsidRPr="00873B6C">
        <w:rPr>
          <w:lang w:eastAsia="zh-CN"/>
        </w:rPr>
        <w:t>5</w:t>
      </w:r>
      <w:r w:rsidRPr="00873B6C">
        <w:rPr>
          <w:lang w:eastAsia="zh-CN"/>
        </w:rPr>
        <w:t>:</w:t>
      </w:r>
      <w:r w:rsidR="00C05113" w:rsidRPr="00873B6C">
        <w:rPr>
          <w:lang w:eastAsia="zh-CN"/>
        </w:rPr>
        <w:tab/>
      </w:r>
      <w:r w:rsidRPr="00873B6C">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873B6C" w:rsidRDefault="00D40151" w:rsidP="00D40151">
      <w:pPr>
        <w:rPr>
          <w:lang w:eastAsia="zh-CN"/>
        </w:rPr>
      </w:pPr>
      <w:r w:rsidRPr="00873B6C">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873B6C" w:rsidRDefault="00D40151" w:rsidP="00D40151">
      <w:pPr>
        <w:rPr>
          <w:lang w:eastAsia="zh-CN"/>
        </w:rPr>
      </w:pPr>
      <w:r w:rsidRPr="00873B6C">
        <w:rPr>
          <w:lang w:eastAsia="zh-CN"/>
        </w:rPr>
        <w:t>When the 5G-AN node has either a Global N3IWF Node ID, or a Global TNGF Node ID, or a Global TWIF Node ID, or a Global W-AGF Node ID, the Access Type is Non-3GPP Access.</w:t>
      </w:r>
    </w:p>
    <w:p w14:paraId="339235F5" w14:textId="77777777" w:rsidR="00D40151" w:rsidRPr="00873B6C" w:rsidRDefault="00D40151" w:rsidP="00D40151">
      <w:pPr>
        <w:pStyle w:val="Heading4"/>
        <w:rPr>
          <w:lang w:eastAsia="zh-CN"/>
        </w:rPr>
      </w:pPr>
      <w:bookmarkStart w:id="808" w:name="_CR5_3_2_4"/>
      <w:bookmarkStart w:id="809" w:name="_Toc36187624"/>
      <w:bookmarkStart w:id="810" w:name="_Toc45183528"/>
      <w:bookmarkStart w:id="811" w:name="_Toc47342370"/>
      <w:bookmarkStart w:id="812" w:name="_Toc51769068"/>
      <w:bookmarkStart w:id="813" w:name="_Toc201156992"/>
      <w:bookmarkEnd w:id="808"/>
      <w:r w:rsidRPr="00873B6C">
        <w:rPr>
          <w:lang w:eastAsia="zh-CN"/>
        </w:rPr>
        <w:t>5.3.2.4</w:t>
      </w:r>
      <w:r w:rsidRPr="00873B6C">
        <w:rPr>
          <w:lang w:eastAsia="zh-CN"/>
        </w:rPr>
        <w:tab/>
        <w:t>Support of a UE registered over both 3GPP and Non-3GPP access</w:t>
      </w:r>
      <w:bookmarkEnd w:id="806"/>
      <w:bookmarkEnd w:id="807"/>
      <w:bookmarkEnd w:id="809"/>
      <w:bookmarkEnd w:id="810"/>
      <w:bookmarkEnd w:id="811"/>
      <w:bookmarkEnd w:id="812"/>
      <w:bookmarkEnd w:id="813"/>
    </w:p>
    <w:p w14:paraId="0B2CBD17" w14:textId="4AFCA6AF" w:rsidR="00D40151" w:rsidRPr="00873B6C" w:rsidRDefault="00D40151" w:rsidP="00D40151">
      <w:pPr>
        <w:rPr>
          <w:lang w:eastAsia="zh-CN"/>
        </w:rPr>
      </w:pPr>
      <w:r w:rsidRPr="00873B6C">
        <w:rPr>
          <w:lang w:eastAsia="zh-CN"/>
        </w:rPr>
        <w:t>This clause applies to Non-3GPP access network corresponding to the Untrusted Non-3GPP access network, to the Trusted Non-3GPP and to the W-5GAN. In the case of W-5GAN the UE mentioned in thi</w:t>
      </w:r>
      <w:r w:rsidR="00323277" w:rsidRPr="00873B6C">
        <w:rPr>
          <w:lang w:eastAsia="zh-CN"/>
        </w:rPr>
        <w:t xml:space="preserve">s clause </w:t>
      </w:r>
      <w:r w:rsidRPr="00873B6C">
        <w:rPr>
          <w:lang w:eastAsia="zh-CN"/>
        </w:rPr>
        <w:t>corresponds to the 5G-RG.</w:t>
      </w:r>
    </w:p>
    <w:p w14:paraId="4E5EE0F7" w14:textId="77777777" w:rsidR="00D40151" w:rsidRPr="00873B6C" w:rsidRDefault="00D40151" w:rsidP="00D40151">
      <w:pPr>
        <w:rPr>
          <w:lang w:eastAsia="zh-CN"/>
        </w:rPr>
      </w:pPr>
      <w:r w:rsidRPr="00873B6C">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873B6C" w:rsidRDefault="00D40151" w:rsidP="00D40151">
      <w:pPr>
        <w:rPr>
          <w:lang w:eastAsia="zh-CN"/>
        </w:rPr>
      </w:pPr>
      <w:r w:rsidRPr="00873B6C">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34B16A7B" w:rsidR="008B15DC" w:rsidRPr="00873B6C" w:rsidRDefault="008B15DC" w:rsidP="00D40151">
      <w:r w:rsidRPr="00873B6C">
        <w:t xml:space="preserve">The 5G NSWO authentication as defined in Annex S of </w:t>
      </w:r>
      <w:r w:rsidR="00972E70" w:rsidRPr="00873B6C">
        <w:t>TS 33.501 [</w:t>
      </w:r>
      <w:r w:rsidRPr="00873B6C">
        <w:t>29] does not impact the RM state.</w:t>
      </w:r>
    </w:p>
    <w:p w14:paraId="15734CA8" w14:textId="1FDB558E" w:rsidR="00D40151" w:rsidRPr="00873B6C" w:rsidRDefault="00D40151" w:rsidP="00D40151">
      <w:r w:rsidRPr="00873B6C">
        <w:t>An AMF associates multiple access-specific RM contexts for an UE with:</w:t>
      </w:r>
    </w:p>
    <w:p w14:paraId="03507ED5" w14:textId="77777777" w:rsidR="00D40151" w:rsidRPr="00873B6C" w:rsidRDefault="00D40151" w:rsidP="00D40151">
      <w:pPr>
        <w:pStyle w:val="B1"/>
      </w:pPr>
      <w:r w:rsidRPr="00873B6C">
        <w:t>-</w:t>
      </w:r>
      <w:r w:rsidRPr="00873B6C">
        <w:tab/>
        <w:t>a 5G-GUTI that is common to both 3GPP and Non-3GPP accesses. This 5G-GUTI is globally unique.</w:t>
      </w:r>
    </w:p>
    <w:p w14:paraId="421E74E4" w14:textId="77777777" w:rsidR="00D40151" w:rsidRPr="00873B6C" w:rsidRDefault="00D40151" w:rsidP="00D40151">
      <w:pPr>
        <w:pStyle w:val="B1"/>
      </w:pPr>
      <w:r w:rsidRPr="00873B6C">
        <w:t>-</w:t>
      </w:r>
      <w:r w:rsidRPr="00873B6C">
        <w:tab/>
        <w:t>a Registration state per access type (3GPP / Non-3GPP)</w:t>
      </w:r>
    </w:p>
    <w:p w14:paraId="25771B8F" w14:textId="77777777" w:rsidR="00D40151" w:rsidRPr="00873B6C" w:rsidRDefault="00D40151" w:rsidP="00D40151">
      <w:pPr>
        <w:pStyle w:val="B1"/>
      </w:pPr>
      <w:r w:rsidRPr="00873B6C">
        <w:t>-</w:t>
      </w:r>
      <w:r w:rsidRPr="00873B6C">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873B6C" w:rsidRDefault="00D40151" w:rsidP="00D40151">
      <w:pPr>
        <w:pStyle w:val="B1"/>
      </w:pPr>
      <w:r w:rsidRPr="00873B6C">
        <w:t>-</w:t>
      </w:r>
      <w:r w:rsidRPr="00873B6C">
        <w:tab/>
        <w:t>timers for 3GPP access:</w:t>
      </w:r>
    </w:p>
    <w:p w14:paraId="094ECF92" w14:textId="77777777" w:rsidR="00D40151" w:rsidRPr="00873B6C" w:rsidRDefault="00D40151" w:rsidP="00D40151">
      <w:pPr>
        <w:pStyle w:val="B2"/>
      </w:pPr>
      <w:r w:rsidRPr="00873B6C">
        <w:t>-</w:t>
      </w:r>
      <w:r w:rsidRPr="00873B6C">
        <w:tab/>
        <w:t>a Periodic Registration timer; and</w:t>
      </w:r>
    </w:p>
    <w:p w14:paraId="2F7DC7E4" w14:textId="77777777" w:rsidR="00D40151" w:rsidRPr="00873B6C" w:rsidRDefault="00D40151" w:rsidP="00D40151">
      <w:pPr>
        <w:pStyle w:val="B2"/>
      </w:pPr>
      <w:r w:rsidRPr="00873B6C">
        <w:t>-</w:t>
      </w:r>
      <w:r w:rsidRPr="00873B6C">
        <w:tab/>
        <w:t>a Mobile Reachable timer and an Implicit Deregistration timer.</w:t>
      </w:r>
    </w:p>
    <w:p w14:paraId="076A43FB" w14:textId="77777777" w:rsidR="00D40151" w:rsidRPr="00873B6C" w:rsidRDefault="00D40151" w:rsidP="00D40151">
      <w:pPr>
        <w:pStyle w:val="B1"/>
      </w:pPr>
      <w:r w:rsidRPr="00873B6C">
        <w:t>-</w:t>
      </w:r>
      <w:r w:rsidRPr="00873B6C">
        <w:tab/>
        <w:t>timers for non-3GPP access:</w:t>
      </w:r>
    </w:p>
    <w:p w14:paraId="12BEB8F9" w14:textId="77777777" w:rsidR="00D40151" w:rsidRPr="00873B6C" w:rsidRDefault="00D40151" w:rsidP="00D40151">
      <w:pPr>
        <w:pStyle w:val="B2"/>
      </w:pPr>
      <w:r w:rsidRPr="00873B6C">
        <w:t>-</w:t>
      </w:r>
      <w:r w:rsidRPr="00873B6C">
        <w:tab/>
        <w:t>a UE Non-3GPP Deregistration timer; and</w:t>
      </w:r>
    </w:p>
    <w:p w14:paraId="39CAD231" w14:textId="77777777" w:rsidR="00D40151" w:rsidRPr="00873B6C" w:rsidRDefault="00D40151" w:rsidP="00D40151">
      <w:pPr>
        <w:pStyle w:val="B2"/>
      </w:pPr>
      <w:r w:rsidRPr="00873B6C">
        <w:t>-</w:t>
      </w:r>
      <w:r w:rsidRPr="00873B6C">
        <w:tab/>
        <w:t>a Network Non-3GPP Implicit Deregistration timer.</w:t>
      </w:r>
    </w:p>
    <w:p w14:paraId="34EE824F" w14:textId="77777777" w:rsidR="00D40151" w:rsidRPr="00873B6C" w:rsidRDefault="00D40151" w:rsidP="00D40151">
      <w:r w:rsidRPr="00873B6C">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1F8255C2" w:rsidR="00D40151" w:rsidRPr="00873B6C" w:rsidRDefault="00D40151" w:rsidP="00D40151">
      <w:r w:rsidRPr="00873B6C">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w:t>
      </w:r>
      <w:r w:rsidR="00472CD7" w:rsidRPr="00873B6C">
        <w:t xml:space="preserve"> and</w:t>
      </w:r>
      <w:r w:rsidRPr="00873B6C">
        <w:t xml:space="preserve">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w:t>
      </w:r>
      <w:r w:rsidR="00472CD7" w:rsidRPr="00873B6C">
        <w:t xml:space="preserve"> and</w:t>
      </w:r>
      <w:r w:rsidRPr="00873B6C">
        <w:t xml:space="preserve"> enables the AMF to correlate the UE request to the existing UE context via the 5G-GUTI.</w:t>
      </w:r>
    </w:p>
    <w:p w14:paraId="403284E9" w14:textId="77777777" w:rsidR="00D40151" w:rsidRPr="00873B6C" w:rsidRDefault="00D40151" w:rsidP="00D40151">
      <w:r w:rsidRPr="00873B6C">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873B6C" w:rsidRDefault="00D40151" w:rsidP="00D40151">
      <w:pPr>
        <w:pStyle w:val="NO"/>
      </w:pPr>
      <w:r w:rsidRPr="00873B6C">
        <w:t>NOTE:</w:t>
      </w:r>
      <w:r w:rsidRPr="00873B6C">
        <w:tab/>
        <w:t>To which access the UE performs registration first is up to UE implementation.</w:t>
      </w:r>
    </w:p>
    <w:p w14:paraId="3F311B6E" w14:textId="77777777" w:rsidR="00D40151" w:rsidRPr="00873B6C" w:rsidRDefault="00D40151" w:rsidP="00D40151">
      <w:r w:rsidRPr="00873B6C">
        <w:t>When the UE is successfully registered to an access (3GPP access or Non-3GPP access respectively) and the UE registers via the other access:</w:t>
      </w:r>
    </w:p>
    <w:p w14:paraId="59F61E81" w14:textId="77777777" w:rsidR="00D40151" w:rsidRPr="00873B6C" w:rsidRDefault="00D40151" w:rsidP="00D40151">
      <w:pPr>
        <w:pStyle w:val="B1"/>
      </w:pPr>
      <w:r w:rsidRPr="00873B6C">
        <w:t>-</w:t>
      </w:r>
      <w:r w:rsidRPr="00873B6C">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873B6C" w:rsidRDefault="00D40151" w:rsidP="00D40151">
      <w:pPr>
        <w:pStyle w:val="B1"/>
      </w:pPr>
      <w:r w:rsidRPr="00873B6C">
        <w:t>-</w:t>
      </w:r>
      <w:r w:rsidRPr="00873B6C">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0DA630D5" w:rsidR="00D40151" w:rsidRPr="00873B6C" w:rsidRDefault="00D40151" w:rsidP="00D40151">
      <w:r w:rsidRPr="00873B6C">
        <w:t>A UE supporting registration over both 3GPP and Non-3GPP access to two PLMNs shall be able to handle two separate registrations, including two 5G-GUTIs, one per PLMN</w:t>
      </w:r>
      <w:r w:rsidR="00472CD7" w:rsidRPr="00873B6C">
        <w:t xml:space="preserve"> and</w:t>
      </w:r>
      <w:r w:rsidRPr="00873B6C">
        <w:t xml:space="preserve"> two associated equivalent PLMN lists.</w:t>
      </w:r>
    </w:p>
    <w:p w14:paraId="40A8CA92" w14:textId="77777777" w:rsidR="00D40151" w:rsidRPr="00873B6C" w:rsidRDefault="00D40151" w:rsidP="00D40151">
      <w:r w:rsidRPr="00873B6C">
        <w:t>When a UE 5G-GUTI assigned during a Registration procedure over 3GPP (e.g. the UE registers first over a 3GPP access) is location-</w:t>
      </w:r>
      <w:r w:rsidRPr="00873B6C">
        <w:rPr>
          <w:lang w:eastAsia="ko-KR"/>
        </w:rPr>
        <w:t>dependent</w:t>
      </w:r>
      <w:r w:rsidRPr="00873B6C">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873B6C">
        <w:rPr>
          <w:lang w:eastAsia="ko-KR"/>
        </w:rPr>
        <w:t>, the UE 5G-GUTI may not be location-dependent</w:t>
      </w:r>
      <w:r w:rsidRPr="00873B6C">
        <w:t xml:space="preserve">, </w:t>
      </w:r>
      <w:r w:rsidRPr="00873B6C">
        <w:rPr>
          <w:lang w:eastAsia="ko-KR"/>
        </w:rPr>
        <w:t>so that</w:t>
      </w:r>
      <w:r w:rsidRPr="00873B6C">
        <w:t xml:space="preserve"> the UE 5G-GUTI may not be valid for NAS procedures over the 3GPP access and, in this case, a new AMF is allocated during the Registration procedure over the 3GPP access.</w:t>
      </w:r>
    </w:p>
    <w:p w14:paraId="26702A11" w14:textId="0E79B0D0" w:rsidR="00D40151" w:rsidRPr="00873B6C" w:rsidRDefault="00D40151" w:rsidP="00D40151">
      <w:r w:rsidRPr="00873B6C">
        <w:rPr>
          <w:lang w:eastAsia="ko-KR"/>
        </w:rPr>
        <w:t>When the UE is registered first via 3GPP access, if the UE registers to the same PLMN via Non-3GPP access, the UE shall send the GUAMI</w:t>
      </w:r>
      <w:r w:rsidR="00DD4756" w:rsidRPr="00873B6C">
        <w:rPr>
          <w:lang w:eastAsia="ko-KR"/>
        </w:rPr>
        <w:t xml:space="preserve"> or 5G-GUTI</w:t>
      </w:r>
      <w:r w:rsidRPr="00873B6C">
        <w:rPr>
          <w:lang w:eastAsia="ko-KR"/>
        </w:rPr>
        <w:t xml:space="preserve"> obtained via 3GPP access to the N3IWF, TNGF or W-AGF, which uses the received GUAMI</w:t>
      </w:r>
      <w:r w:rsidR="00DD4756" w:rsidRPr="00873B6C">
        <w:rPr>
          <w:lang w:eastAsia="ko-KR"/>
        </w:rPr>
        <w:t xml:space="preserve"> or 5G-GUTI</w:t>
      </w:r>
      <w:r w:rsidRPr="00873B6C">
        <w:rPr>
          <w:lang w:eastAsia="ko-KR"/>
        </w:rPr>
        <w:t xml:space="preserve"> to select the same AMF as the 3GPP access.</w:t>
      </w:r>
      <w:r w:rsidR="00DD4756" w:rsidRPr="00873B6C">
        <w:rPr>
          <w:lang w:eastAsia="ko-KR"/>
        </w:rPr>
        <w:t xml:space="preserve"> Whether GUAMI or 5G-GUTI is sent from the UE in a particular non-3GPP access is specified in TS 24.501 [47] and TS 24.502 [48].</w:t>
      </w:r>
    </w:p>
    <w:p w14:paraId="380A9EA6" w14:textId="77777777" w:rsidR="00D40151" w:rsidRPr="00873B6C" w:rsidRDefault="00D40151" w:rsidP="00D40151">
      <w:r w:rsidRPr="00873B6C">
        <w:t xml:space="preserve">The Deregistration Request message indicates whether it applies to the 3GPP access </w:t>
      </w:r>
      <w:r w:rsidRPr="00873B6C">
        <w:rPr>
          <w:rFonts w:eastAsia="Malgun Gothic"/>
          <w:lang w:eastAsia="ko-KR"/>
        </w:rPr>
        <w:t>the Non-3GPP access, or both</w:t>
      </w:r>
      <w:r w:rsidRPr="00873B6C">
        <w:t>.</w:t>
      </w:r>
    </w:p>
    <w:p w14:paraId="0A75234B" w14:textId="77777777" w:rsidR="00D40151" w:rsidRPr="00873B6C" w:rsidRDefault="00D40151" w:rsidP="00D40151">
      <w:r w:rsidRPr="00873B6C">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873B6C" w:rsidRDefault="00D40151" w:rsidP="00D40151">
      <w:r w:rsidRPr="00873B6C">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873B6C" w:rsidRDefault="00D40151" w:rsidP="00D40151">
      <w:r w:rsidRPr="00873B6C">
        <w:rPr>
          <w:lang w:eastAsia="zh-CN"/>
        </w:rPr>
        <w:t xml:space="preserve">Registration </w:t>
      </w:r>
      <w:r w:rsidRPr="00873B6C">
        <w:t>Management over Non-3GPP access is further defined in clause 5.5.1.</w:t>
      </w:r>
    </w:p>
    <w:p w14:paraId="5097ECD7" w14:textId="77777777" w:rsidR="00D40151" w:rsidRPr="00873B6C" w:rsidRDefault="00D40151" w:rsidP="00D40151">
      <w:pPr>
        <w:pStyle w:val="Heading3"/>
      </w:pPr>
      <w:bookmarkStart w:id="814" w:name="_CR5_3_3"/>
      <w:bookmarkStart w:id="815" w:name="_Toc20149710"/>
      <w:bookmarkStart w:id="816" w:name="_Toc27846501"/>
      <w:bookmarkStart w:id="817" w:name="_Toc36187625"/>
      <w:bookmarkStart w:id="818" w:name="_Toc45183529"/>
      <w:bookmarkStart w:id="819" w:name="_Toc47342371"/>
      <w:bookmarkStart w:id="820" w:name="_Toc51769069"/>
      <w:bookmarkStart w:id="821" w:name="_Toc201156993"/>
      <w:bookmarkEnd w:id="814"/>
      <w:r w:rsidRPr="00873B6C">
        <w:t>5.3.3</w:t>
      </w:r>
      <w:r w:rsidRPr="00873B6C">
        <w:tab/>
        <w:t>Connection Management</w:t>
      </w:r>
      <w:bookmarkEnd w:id="815"/>
      <w:bookmarkEnd w:id="816"/>
      <w:bookmarkEnd w:id="817"/>
      <w:bookmarkEnd w:id="818"/>
      <w:bookmarkEnd w:id="819"/>
      <w:bookmarkEnd w:id="820"/>
      <w:bookmarkEnd w:id="821"/>
    </w:p>
    <w:p w14:paraId="6F65C566" w14:textId="77777777" w:rsidR="00D40151" w:rsidRPr="00873B6C" w:rsidRDefault="00D40151" w:rsidP="00D40151">
      <w:pPr>
        <w:pStyle w:val="Heading4"/>
        <w:rPr>
          <w:lang w:eastAsia="zh-CN"/>
        </w:rPr>
      </w:pPr>
      <w:bookmarkStart w:id="822" w:name="_CR5_3_3_1"/>
      <w:bookmarkStart w:id="823" w:name="_Toc20149711"/>
      <w:bookmarkStart w:id="824" w:name="_Toc27846502"/>
      <w:bookmarkStart w:id="825" w:name="_Toc36187626"/>
      <w:bookmarkStart w:id="826" w:name="_Toc45183530"/>
      <w:bookmarkStart w:id="827" w:name="_Toc47342372"/>
      <w:bookmarkStart w:id="828" w:name="_Toc51769070"/>
      <w:bookmarkStart w:id="829" w:name="_Toc201156994"/>
      <w:bookmarkEnd w:id="822"/>
      <w:r w:rsidRPr="00873B6C">
        <w:rPr>
          <w:lang w:eastAsia="zh-CN"/>
        </w:rPr>
        <w:t>5.3.3.1</w:t>
      </w:r>
      <w:r w:rsidRPr="00873B6C">
        <w:rPr>
          <w:lang w:eastAsia="zh-CN"/>
        </w:rPr>
        <w:tab/>
        <w:t>General</w:t>
      </w:r>
      <w:bookmarkEnd w:id="823"/>
      <w:bookmarkEnd w:id="824"/>
      <w:bookmarkEnd w:id="825"/>
      <w:bookmarkEnd w:id="826"/>
      <w:bookmarkEnd w:id="827"/>
      <w:bookmarkEnd w:id="828"/>
      <w:bookmarkEnd w:id="829"/>
    </w:p>
    <w:p w14:paraId="2E52DD55" w14:textId="77777777" w:rsidR="00D40151" w:rsidRPr="00873B6C" w:rsidRDefault="00D40151" w:rsidP="00D40151">
      <w:pPr>
        <w:rPr>
          <w:lang w:eastAsia="zh-CN"/>
        </w:rPr>
      </w:pPr>
      <w:r w:rsidRPr="00873B6C">
        <w:rPr>
          <w:lang w:eastAsia="zh-CN"/>
        </w:rPr>
        <w:t xml:space="preserve">Connection management </w:t>
      </w:r>
      <w:r w:rsidRPr="00873B6C">
        <w:t xml:space="preserve">comprises </w:t>
      </w:r>
      <w:r w:rsidRPr="00873B6C">
        <w:rPr>
          <w:lang w:eastAsia="zh-CN"/>
        </w:rPr>
        <w:t xml:space="preserve">the functions of establishing and releasing a NAS signalling connection </w:t>
      </w:r>
      <w:r w:rsidRPr="00873B6C">
        <w:t xml:space="preserve">between </w:t>
      </w:r>
      <w:r w:rsidRPr="00873B6C">
        <w:rPr>
          <w:lang w:eastAsia="zh-CN"/>
        </w:rPr>
        <w:t>a</w:t>
      </w:r>
      <w:r w:rsidRPr="00873B6C">
        <w:t xml:space="preserve"> UE and the </w:t>
      </w:r>
      <w:r w:rsidRPr="00873B6C">
        <w:rPr>
          <w:lang w:eastAsia="zh-CN"/>
        </w:rPr>
        <w:t xml:space="preserve">AMF over N1. This NAS signalling connection is used to enable NAS signalling exchange between the UE and the core network. It comprises both the AN signalling connection between the UE and the AN (RRC Connection </w:t>
      </w:r>
      <w:r w:rsidRPr="00873B6C">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873B6C" w:rsidRDefault="00D40151" w:rsidP="00D40151">
      <w:pPr>
        <w:pStyle w:val="Heading4"/>
        <w:rPr>
          <w:lang w:eastAsia="zh-CN"/>
        </w:rPr>
      </w:pPr>
      <w:bookmarkStart w:id="830" w:name="_CR5_3_3_2"/>
      <w:bookmarkStart w:id="831" w:name="_Toc20149712"/>
      <w:bookmarkStart w:id="832" w:name="_Toc27846503"/>
      <w:bookmarkStart w:id="833" w:name="_Toc36187627"/>
      <w:bookmarkStart w:id="834" w:name="_Toc45183531"/>
      <w:bookmarkStart w:id="835" w:name="_Toc47342373"/>
      <w:bookmarkStart w:id="836" w:name="_Toc51769071"/>
      <w:bookmarkStart w:id="837" w:name="_Toc201156995"/>
      <w:bookmarkEnd w:id="830"/>
      <w:r w:rsidRPr="00873B6C">
        <w:rPr>
          <w:lang w:eastAsia="zh-CN"/>
        </w:rPr>
        <w:t>5.3.3.2</w:t>
      </w:r>
      <w:r w:rsidRPr="00873B6C">
        <w:rPr>
          <w:lang w:eastAsia="zh-CN"/>
        </w:rPr>
        <w:tab/>
        <w:t>5GS Connection Management states</w:t>
      </w:r>
      <w:bookmarkEnd w:id="831"/>
      <w:bookmarkEnd w:id="832"/>
      <w:bookmarkEnd w:id="833"/>
      <w:bookmarkEnd w:id="834"/>
      <w:bookmarkEnd w:id="835"/>
      <w:bookmarkEnd w:id="836"/>
      <w:bookmarkEnd w:id="837"/>
    </w:p>
    <w:p w14:paraId="2A899A37" w14:textId="77777777" w:rsidR="00D40151" w:rsidRPr="00873B6C" w:rsidRDefault="00D40151" w:rsidP="00D40151">
      <w:pPr>
        <w:pStyle w:val="Heading5"/>
        <w:rPr>
          <w:lang w:eastAsia="zh-CN"/>
        </w:rPr>
      </w:pPr>
      <w:bookmarkStart w:id="838" w:name="_CR5_3_3_2_1"/>
      <w:bookmarkStart w:id="839" w:name="_Toc20149713"/>
      <w:bookmarkStart w:id="840" w:name="_Toc27846504"/>
      <w:bookmarkStart w:id="841" w:name="_Toc36187628"/>
      <w:bookmarkStart w:id="842" w:name="_Toc45183532"/>
      <w:bookmarkStart w:id="843" w:name="_Toc47342374"/>
      <w:bookmarkStart w:id="844" w:name="_Toc51769072"/>
      <w:bookmarkStart w:id="845" w:name="_Toc201156996"/>
      <w:bookmarkEnd w:id="838"/>
      <w:r w:rsidRPr="00873B6C">
        <w:rPr>
          <w:lang w:eastAsia="zh-CN"/>
        </w:rPr>
        <w:t>5.3.3.2.1</w:t>
      </w:r>
      <w:r w:rsidRPr="00873B6C">
        <w:rPr>
          <w:lang w:eastAsia="zh-CN"/>
        </w:rPr>
        <w:tab/>
        <w:t>General</w:t>
      </w:r>
      <w:bookmarkEnd w:id="839"/>
      <w:bookmarkEnd w:id="840"/>
      <w:bookmarkEnd w:id="841"/>
      <w:bookmarkEnd w:id="842"/>
      <w:bookmarkEnd w:id="843"/>
      <w:bookmarkEnd w:id="844"/>
      <w:bookmarkEnd w:id="845"/>
    </w:p>
    <w:p w14:paraId="7BEDE733" w14:textId="77777777" w:rsidR="00D40151" w:rsidRPr="00873B6C" w:rsidRDefault="00D40151" w:rsidP="00D40151">
      <w:pPr>
        <w:rPr>
          <w:lang w:eastAsia="zh-CN"/>
        </w:rPr>
      </w:pPr>
      <w:r w:rsidRPr="00873B6C">
        <w:rPr>
          <w:lang w:eastAsia="zh-CN"/>
        </w:rPr>
        <w:t>Two CM states are used to reflect the NAS signalling Connection of the UE with the AMF:</w:t>
      </w:r>
    </w:p>
    <w:p w14:paraId="70CB8AB5" w14:textId="77777777" w:rsidR="00D40151" w:rsidRPr="00873B6C" w:rsidRDefault="00D40151" w:rsidP="00D40151">
      <w:pPr>
        <w:pStyle w:val="B1"/>
        <w:rPr>
          <w:lang w:eastAsia="zh-CN"/>
        </w:rPr>
      </w:pPr>
      <w:r w:rsidRPr="00873B6C">
        <w:rPr>
          <w:lang w:eastAsia="zh-CN"/>
        </w:rPr>
        <w:t>-</w:t>
      </w:r>
      <w:r w:rsidRPr="00873B6C">
        <w:rPr>
          <w:lang w:eastAsia="zh-CN"/>
        </w:rPr>
        <w:tab/>
        <w:t>CM-IDLE</w:t>
      </w:r>
    </w:p>
    <w:p w14:paraId="4B953345" w14:textId="77777777" w:rsidR="00D40151" w:rsidRPr="00873B6C" w:rsidRDefault="00D40151" w:rsidP="00D40151">
      <w:pPr>
        <w:pStyle w:val="B1"/>
        <w:rPr>
          <w:lang w:eastAsia="zh-CN"/>
        </w:rPr>
      </w:pPr>
      <w:r w:rsidRPr="00873B6C">
        <w:rPr>
          <w:lang w:eastAsia="zh-CN"/>
        </w:rPr>
        <w:t>-</w:t>
      </w:r>
      <w:r w:rsidRPr="00873B6C">
        <w:rPr>
          <w:lang w:eastAsia="zh-CN"/>
        </w:rPr>
        <w:tab/>
        <w:t>CM-CONNECTED</w:t>
      </w:r>
    </w:p>
    <w:p w14:paraId="35DCBF19" w14:textId="77777777" w:rsidR="00D40151" w:rsidRPr="00873B6C" w:rsidRDefault="00D40151" w:rsidP="00D40151">
      <w:pPr>
        <w:rPr>
          <w:lang w:eastAsia="zh-CN"/>
        </w:rPr>
      </w:pPr>
      <w:r w:rsidRPr="00873B6C">
        <w:rPr>
          <w:lang w:eastAsia="zh-CN"/>
        </w:rPr>
        <w:t>The CM state for 3GPP access and Non-3GPP access are independent of each other, i.e. one can be in CM-IDLE state at the same time when the other is in CM-CONNECTED state.</w:t>
      </w:r>
    </w:p>
    <w:p w14:paraId="709C0489" w14:textId="77777777" w:rsidR="00D40151" w:rsidRPr="00873B6C" w:rsidRDefault="00D40151" w:rsidP="00D40151">
      <w:pPr>
        <w:pStyle w:val="Heading5"/>
      </w:pPr>
      <w:bookmarkStart w:id="846" w:name="_CR5_3_3_2_2"/>
      <w:bookmarkStart w:id="847" w:name="_Toc20149714"/>
      <w:bookmarkStart w:id="848" w:name="_Toc27846505"/>
      <w:bookmarkStart w:id="849" w:name="_Toc36187629"/>
      <w:bookmarkStart w:id="850" w:name="_Toc45183533"/>
      <w:bookmarkStart w:id="851" w:name="_Toc47342375"/>
      <w:bookmarkStart w:id="852" w:name="_Toc51769073"/>
      <w:bookmarkStart w:id="853" w:name="_Toc201156997"/>
      <w:bookmarkEnd w:id="846"/>
      <w:r w:rsidRPr="00873B6C">
        <w:t>5.3.3.2.2</w:t>
      </w:r>
      <w:r w:rsidRPr="00873B6C">
        <w:tab/>
        <w:t>CM-IDLE state</w:t>
      </w:r>
      <w:bookmarkEnd w:id="847"/>
      <w:bookmarkEnd w:id="848"/>
      <w:bookmarkEnd w:id="849"/>
      <w:bookmarkEnd w:id="850"/>
      <w:bookmarkEnd w:id="851"/>
      <w:bookmarkEnd w:id="852"/>
      <w:bookmarkEnd w:id="853"/>
    </w:p>
    <w:p w14:paraId="2C66EF89" w14:textId="1992E111" w:rsidR="00D40151" w:rsidRPr="00873B6C" w:rsidRDefault="00D40151" w:rsidP="00D40151">
      <w:r w:rsidRPr="00873B6C">
        <w:t>A UE in CM-IDLE state has no NAS signalling connection established with the AMF over N1.</w:t>
      </w:r>
      <w:r w:rsidRPr="00873B6C" w:rsidDel="004146B0">
        <w:t xml:space="preserve"> </w:t>
      </w:r>
      <w:r w:rsidRPr="00873B6C">
        <w:t>The UE performs cell selection/cell</w:t>
      </w:r>
      <w:r w:rsidRPr="00873B6C" w:rsidDel="00026B01">
        <w:t xml:space="preserve"> </w:t>
      </w:r>
      <w:r w:rsidRPr="00873B6C">
        <w:t xml:space="preserve">reselection according to </w:t>
      </w:r>
      <w:r w:rsidR="00972E70" w:rsidRPr="00873B6C">
        <w:t>TS 38.304 [</w:t>
      </w:r>
      <w:r w:rsidRPr="00873B6C">
        <w:t xml:space="preserve">50] and PLMN selection according to </w:t>
      </w:r>
      <w:r w:rsidR="00972E70" w:rsidRPr="00873B6C">
        <w:t>TS 23.122 [</w:t>
      </w:r>
      <w:r w:rsidRPr="00873B6C">
        <w:t>17].</w:t>
      </w:r>
    </w:p>
    <w:p w14:paraId="040026AD" w14:textId="77777777" w:rsidR="00D40151" w:rsidRPr="00873B6C" w:rsidRDefault="00D40151" w:rsidP="00D40151">
      <w:r w:rsidRPr="00873B6C">
        <w:t xml:space="preserve">There </w:t>
      </w:r>
      <w:r w:rsidRPr="00873B6C">
        <w:rPr>
          <w:lang w:eastAsia="zh-CN"/>
        </w:rPr>
        <w:t>are</w:t>
      </w:r>
      <w:r w:rsidRPr="00873B6C">
        <w:t xml:space="preserve"> no AN signalling connection, </w:t>
      </w:r>
      <w:r w:rsidRPr="00873B6C">
        <w:rPr>
          <w:lang w:eastAsia="zh-CN"/>
        </w:rPr>
        <w:t>N2</w:t>
      </w:r>
      <w:r w:rsidRPr="00873B6C">
        <w:t xml:space="preserve"> connection and </w:t>
      </w:r>
      <w:r w:rsidRPr="00873B6C">
        <w:rPr>
          <w:lang w:eastAsia="zh-CN"/>
        </w:rPr>
        <w:t>N3</w:t>
      </w:r>
      <w:r w:rsidRPr="00873B6C">
        <w:t xml:space="preserve"> connection</w:t>
      </w:r>
      <w:r w:rsidRPr="00873B6C">
        <w:rPr>
          <w:lang w:eastAsia="zh-CN"/>
        </w:rPr>
        <w:t>s</w:t>
      </w:r>
      <w:r w:rsidRPr="00873B6C">
        <w:t xml:space="preserve"> for the UE in the CM-IDLE state.</w:t>
      </w:r>
    </w:p>
    <w:p w14:paraId="14D86E67" w14:textId="77777777" w:rsidR="00D40151" w:rsidRPr="00873B6C" w:rsidRDefault="00D40151" w:rsidP="00D40151">
      <w:r w:rsidRPr="00873B6C">
        <w:rPr>
          <w:lang w:eastAsia="zh-CN"/>
        </w:rPr>
        <w:t>If the UE is both in CM-IDLE state</w:t>
      </w:r>
      <w:r w:rsidRPr="00873B6C">
        <w:t xml:space="preserve"> and</w:t>
      </w:r>
      <w:r w:rsidRPr="00873B6C">
        <w:rPr>
          <w:lang w:eastAsia="zh-CN"/>
        </w:rPr>
        <w:t xml:space="preserve"> in RM-REGISTERED state, the UE </w:t>
      </w:r>
      <w:r w:rsidRPr="00873B6C">
        <w:t>shall, unless otherwise specified in clause 5.3.4.1:</w:t>
      </w:r>
    </w:p>
    <w:p w14:paraId="4E1017B2" w14:textId="06F93EA9" w:rsidR="00D40151" w:rsidRPr="00873B6C" w:rsidRDefault="00D40151" w:rsidP="00D40151">
      <w:pPr>
        <w:pStyle w:val="B1"/>
      </w:pPr>
      <w:r w:rsidRPr="00873B6C">
        <w:t>-</w:t>
      </w:r>
      <w:r w:rsidRPr="00873B6C">
        <w:tab/>
        <w:t>Respond to paging by performing a Service Request procedure (see</w:t>
      </w:r>
      <w:r w:rsidR="00D602DF" w:rsidRPr="00873B6C">
        <w:t xml:space="preserve"> clause 4.2.3.2</w:t>
      </w:r>
      <w:r w:rsidRPr="00873B6C">
        <w:t xml:space="preserve"> </w:t>
      </w:r>
      <w:r w:rsidR="00D602DF" w:rsidRPr="00873B6C">
        <w:t xml:space="preserve">of </w:t>
      </w:r>
      <w:r w:rsidR="00972E70" w:rsidRPr="00873B6C">
        <w:t>TS 23.502 [</w:t>
      </w:r>
      <w:r w:rsidRPr="00873B6C">
        <w:t>3]), unless the UE is in MICO mode (see clause 5.4.1.3);</w:t>
      </w:r>
    </w:p>
    <w:p w14:paraId="5A69DCEE" w14:textId="18B69132" w:rsidR="00D40151" w:rsidRPr="00873B6C" w:rsidRDefault="00D40151" w:rsidP="00D40151">
      <w:pPr>
        <w:pStyle w:val="B1"/>
      </w:pPr>
      <w:r w:rsidRPr="00873B6C">
        <w:t>-</w:t>
      </w:r>
      <w:r w:rsidRPr="00873B6C">
        <w:tab/>
        <w:t xml:space="preserve">perform </w:t>
      </w:r>
      <w:r w:rsidRPr="00873B6C">
        <w:rPr>
          <w:lang w:eastAsia="zh-CN"/>
        </w:rPr>
        <w:t>a</w:t>
      </w:r>
      <w:r w:rsidRPr="00873B6C">
        <w:t xml:space="preserve"> Service Request procedure when </w:t>
      </w:r>
      <w:r w:rsidRPr="00873B6C">
        <w:rPr>
          <w:rFonts w:eastAsia="Malgun Gothic"/>
          <w:lang w:eastAsia="ko-KR"/>
        </w:rPr>
        <w:t xml:space="preserve">the UE has </w:t>
      </w:r>
      <w:r w:rsidRPr="00873B6C">
        <w:t>uplink</w:t>
      </w:r>
      <w:r w:rsidRPr="00873B6C">
        <w:rPr>
          <w:lang w:eastAsia="zh-CN"/>
        </w:rPr>
        <w:t xml:space="preserve"> signalling or</w:t>
      </w:r>
      <w:r w:rsidRPr="00873B6C">
        <w:t xml:space="preserve"> user data to be sent (see</w:t>
      </w:r>
      <w:r w:rsidR="00D602DF" w:rsidRPr="00873B6C">
        <w:t xml:space="preserve"> clause 4.2.3.2</w:t>
      </w:r>
      <w:r w:rsidRPr="00873B6C">
        <w:t xml:space="preserve"> </w:t>
      </w:r>
      <w:r w:rsidR="00D602DF" w:rsidRPr="00873B6C">
        <w:t xml:space="preserve">of </w:t>
      </w:r>
      <w:r w:rsidR="00972E70" w:rsidRPr="00873B6C">
        <w:t>TS 23.502 [</w:t>
      </w:r>
      <w:r w:rsidRPr="00873B6C">
        <w:t>3]). Specific conditions apply for LADN, see clause 5.6.5.</w:t>
      </w:r>
    </w:p>
    <w:p w14:paraId="2A4D8B6D" w14:textId="77777777" w:rsidR="00D40151" w:rsidRPr="00873B6C" w:rsidRDefault="00D40151" w:rsidP="00D40151">
      <w:r w:rsidRPr="00873B6C">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873B6C" w:rsidRDefault="00D40151" w:rsidP="00D40151">
      <w:pPr>
        <w:pStyle w:val="NO"/>
      </w:pPr>
      <w:r w:rsidRPr="00873B6C">
        <w:t>NOTE:</w:t>
      </w:r>
      <w:r w:rsidRPr="00873B6C">
        <w:tab/>
        <w:t>In 5GS there is no need for paging using the SUPI/SUCI of the UE.</w:t>
      </w:r>
    </w:p>
    <w:p w14:paraId="728F4EC0" w14:textId="06F748E6" w:rsidR="00D40151" w:rsidRPr="00873B6C" w:rsidRDefault="00D40151" w:rsidP="00D40151">
      <w:r w:rsidRPr="00873B6C">
        <w:t xml:space="preserve">The UE provides 5G-S-TMSI as part of AN parameters during AN signalling connection establishment as specified in </w:t>
      </w:r>
      <w:r w:rsidR="00972E70" w:rsidRPr="00873B6C">
        <w:t>TS 38.331 [</w:t>
      </w:r>
      <w:r w:rsidRPr="00873B6C">
        <w:t xml:space="preserve">28] and </w:t>
      </w:r>
      <w:r w:rsidR="00972E70" w:rsidRPr="00873B6C">
        <w:t>TS 36.331 [</w:t>
      </w:r>
      <w:r w:rsidRPr="00873B6C">
        <w:t xml:space="preserve">51]. The UE shall enter CM-CONNECTED state whenever </w:t>
      </w:r>
      <w:r w:rsidRPr="00873B6C">
        <w:rPr>
          <w:noProof/>
        </w:rPr>
        <w:t>an AN</w:t>
      </w:r>
      <w:r w:rsidRPr="00873B6C">
        <w:t xml:space="preserve"> signalling connection is established between the UE and the AN (entering </w:t>
      </w:r>
      <w:r w:rsidR="009F2095" w:rsidRPr="00873B6C">
        <w:t xml:space="preserve">RRC_CONNECTED </w:t>
      </w:r>
      <w:r w:rsidRPr="00873B6C">
        <w:t>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873B6C" w:rsidRDefault="00D40151" w:rsidP="00D40151">
      <w:r w:rsidRPr="00873B6C">
        <w:t>When the UE states in the AMF are CM-IDLE</w:t>
      </w:r>
      <w:r w:rsidRPr="00873B6C">
        <w:rPr>
          <w:lang w:eastAsia="zh-CN"/>
        </w:rPr>
        <w:t xml:space="preserve"> and RM-REGISTERED</w:t>
      </w:r>
      <w:r w:rsidRPr="00873B6C">
        <w:t>, the AMF shall:</w:t>
      </w:r>
    </w:p>
    <w:p w14:paraId="194F6416" w14:textId="7ED81E27" w:rsidR="00D40151" w:rsidRPr="00873B6C" w:rsidRDefault="00D40151" w:rsidP="00D40151">
      <w:pPr>
        <w:pStyle w:val="B1"/>
      </w:pPr>
      <w:r w:rsidRPr="00873B6C">
        <w:t>-</w:t>
      </w:r>
      <w:r w:rsidRPr="00873B6C">
        <w:tab/>
        <w:t xml:space="preserve">perform a network triggered Service Request procedure when it has signalling or mobile-terminated data to be sent to this UE, by sending a Paging Request to this UE (see </w:t>
      </w:r>
      <w:r w:rsidR="00D602DF" w:rsidRPr="00873B6C">
        <w:t xml:space="preserve">clause 4.2.3.3 of </w:t>
      </w:r>
      <w:r w:rsidR="00972E70" w:rsidRPr="00873B6C">
        <w:t>TS 23.502 [</w:t>
      </w:r>
      <w:r w:rsidRPr="00873B6C">
        <w:t>3]), if a UE is not prevented from responding e.g. due to MICO mode or Mobility Restrictions.</w:t>
      </w:r>
    </w:p>
    <w:p w14:paraId="15BF5E43" w14:textId="4097FB80" w:rsidR="00D40151" w:rsidRPr="00873B6C" w:rsidRDefault="00D40151" w:rsidP="00D40151">
      <w:r w:rsidRPr="00873B6C">
        <w:t>The AMF shall enter CM-CONNECTED state for the UE whenever an N2 connection is established for this UE between the AN and the AMF.</w:t>
      </w:r>
      <w:r w:rsidRPr="00873B6C">
        <w:rPr>
          <w:rFonts w:eastAsia="SimSun"/>
          <w:lang w:eastAsia="zh-CN"/>
        </w:rPr>
        <w:t xml:space="preserve"> The reception of initial N2 message (e.g</w:t>
      </w:r>
      <w:r w:rsidR="000E35F2" w:rsidRPr="00873B6C">
        <w:rPr>
          <w:rFonts w:eastAsia="SimSun"/>
          <w:lang w:eastAsia="zh-CN"/>
        </w:rPr>
        <w:t>.</w:t>
      </w:r>
      <w:r w:rsidRPr="00873B6C">
        <w:rPr>
          <w:rFonts w:eastAsia="SimSun"/>
          <w:lang w:eastAsia="zh-CN"/>
        </w:rPr>
        <w:t xml:space="preserve"> N2 INITIAL UE MESSAGE)</w:t>
      </w:r>
      <w:r w:rsidRPr="00873B6C">
        <w:t xml:space="preserve"> initiates the transition of AMF from CM-IDLE to CM-CONNECTED state.</w:t>
      </w:r>
    </w:p>
    <w:p w14:paraId="698FE1A4" w14:textId="77777777" w:rsidR="00D40151" w:rsidRPr="00873B6C" w:rsidRDefault="00D40151" w:rsidP="00D40151">
      <w:pPr>
        <w:rPr>
          <w:lang w:eastAsia="zh-CN"/>
        </w:rPr>
      </w:pPr>
      <w:r w:rsidRPr="00873B6C">
        <w:t xml:space="preserve">The UE and the AMF may optimize the power efficiency and signalling efficiency of the UE when in CM-IDLE state e.g. by </w:t>
      </w:r>
      <w:r w:rsidRPr="00873B6C">
        <w:rPr>
          <w:lang w:eastAsia="zh-CN"/>
        </w:rPr>
        <w:t>activating MICO mode</w:t>
      </w:r>
      <w:r w:rsidRPr="00873B6C">
        <w:t xml:space="preserve"> (see clause 5.4.1.3).</w:t>
      </w:r>
    </w:p>
    <w:p w14:paraId="4FD03E59" w14:textId="77777777" w:rsidR="00D40151" w:rsidRPr="00873B6C" w:rsidRDefault="00D40151" w:rsidP="00D40151">
      <w:pPr>
        <w:pStyle w:val="Heading5"/>
        <w:rPr>
          <w:lang w:eastAsia="zh-CN"/>
        </w:rPr>
      </w:pPr>
      <w:bookmarkStart w:id="854" w:name="_CR5_3_3_2_3"/>
      <w:bookmarkStart w:id="855" w:name="_Toc20149715"/>
      <w:bookmarkStart w:id="856" w:name="_Toc27846506"/>
      <w:bookmarkStart w:id="857" w:name="_Toc36187630"/>
      <w:bookmarkStart w:id="858" w:name="_Toc45183534"/>
      <w:bookmarkStart w:id="859" w:name="_Toc47342376"/>
      <w:bookmarkStart w:id="860" w:name="_Toc51769074"/>
      <w:bookmarkStart w:id="861" w:name="_Toc201156998"/>
      <w:bookmarkEnd w:id="854"/>
      <w:r w:rsidRPr="00873B6C">
        <w:rPr>
          <w:lang w:eastAsia="zh-CN"/>
        </w:rPr>
        <w:t>5.3.3.2.3</w:t>
      </w:r>
      <w:r w:rsidRPr="00873B6C">
        <w:rPr>
          <w:lang w:eastAsia="zh-CN"/>
        </w:rPr>
        <w:tab/>
        <w:t>CM-CONNECTED state</w:t>
      </w:r>
      <w:bookmarkEnd w:id="855"/>
      <w:bookmarkEnd w:id="856"/>
      <w:bookmarkEnd w:id="857"/>
      <w:bookmarkEnd w:id="858"/>
      <w:bookmarkEnd w:id="859"/>
      <w:bookmarkEnd w:id="860"/>
      <w:bookmarkEnd w:id="861"/>
    </w:p>
    <w:p w14:paraId="02F4BA25" w14:textId="77777777" w:rsidR="00D40151" w:rsidRPr="00873B6C" w:rsidRDefault="00D40151" w:rsidP="00D40151">
      <w:pPr>
        <w:rPr>
          <w:lang w:eastAsia="zh-CN"/>
        </w:rPr>
      </w:pPr>
      <w:r w:rsidRPr="00873B6C">
        <w:rPr>
          <w:lang w:eastAsia="zh-CN"/>
        </w:rPr>
        <w:t>A</w:t>
      </w:r>
      <w:r w:rsidRPr="00873B6C">
        <w:t xml:space="preserve"> UE</w:t>
      </w:r>
      <w:r w:rsidRPr="00873B6C">
        <w:rPr>
          <w:lang w:eastAsia="zh-CN"/>
        </w:rPr>
        <w:t xml:space="preserve"> </w:t>
      </w:r>
      <w:r w:rsidRPr="00873B6C">
        <w:t>in CM-CONNECTED state</w:t>
      </w:r>
      <w:r w:rsidRPr="00873B6C">
        <w:rPr>
          <w:lang w:eastAsia="zh-CN"/>
        </w:rPr>
        <w:t xml:space="preserve"> has </w:t>
      </w:r>
      <w:r w:rsidRPr="00873B6C">
        <w:t>a</w:t>
      </w:r>
      <w:r w:rsidRPr="00873B6C">
        <w:rPr>
          <w:lang w:eastAsia="zh-CN"/>
        </w:rPr>
        <w:t xml:space="preserve"> NAS </w:t>
      </w:r>
      <w:r w:rsidRPr="00873B6C">
        <w:t xml:space="preserve">signalling connection with the </w:t>
      </w:r>
      <w:r w:rsidRPr="00873B6C">
        <w:rPr>
          <w:lang w:eastAsia="zh-CN"/>
        </w:rPr>
        <w:t>AMF over N1</w:t>
      </w:r>
      <w:r w:rsidRPr="00873B6C">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873B6C">
        <w:rPr>
          <w:rFonts w:eastAsia="Arial Unicode MS"/>
          <w:lang w:eastAsia="zh-CN"/>
        </w:rPr>
        <w:t xml:space="preserve">See clause 5.21.1.2 for details on the state of NGAP UE association </w:t>
      </w:r>
      <w:r w:rsidRPr="00873B6C">
        <w:rPr>
          <w:rFonts w:eastAsia="Arial Unicode MS"/>
          <w:lang w:eastAsia="zh-CN"/>
        </w:rPr>
        <w:lastRenderedPageBreak/>
        <w:t xml:space="preserve">for an UE in CM-CONNECTED state. </w:t>
      </w:r>
      <w:r w:rsidRPr="00873B6C">
        <w:t xml:space="preserve">Upon completion of a NAS signalling procedure, the </w:t>
      </w:r>
      <w:r w:rsidRPr="00873B6C">
        <w:rPr>
          <w:lang w:eastAsia="zh-CN"/>
        </w:rPr>
        <w:t>AMF</w:t>
      </w:r>
      <w:r w:rsidRPr="00873B6C">
        <w:t xml:space="preserve"> may decide to release the</w:t>
      </w:r>
      <w:r w:rsidRPr="00873B6C">
        <w:rPr>
          <w:lang w:eastAsia="zh-CN"/>
        </w:rPr>
        <w:t xml:space="preserve"> </w:t>
      </w:r>
      <w:r w:rsidRPr="00873B6C">
        <w:t>NAS signalling connection with the UE.</w:t>
      </w:r>
    </w:p>
    <w:p w14:paraId="0195E0CE" w14:textId="77777777" w:rsidR="00D40151" w:rsidRPr="00873B6C" w:rsidRDefault="00D40151" w:rsidP="00D40151">
      <w:r w:rsidRPr="00873B6C">
        <w:t>In the CM-CONNECTED state, the UE shall:</w:t>
      </w:r>
    </w:p>
    <w:p w14:paraId="6DDDFDA0" w14:textId="4FDBFCCE" w:rsidR="00D40151" w:rsidRPr="00873B6C" w:rsidRDefault="00D40151" w:rsidP="00D40151">
      <w:pPr>
        <w:pStyle w:val="B1"/>
      </w:pPr>
      <w:r w:rsidRPr="00873B6C">
        <w:t>-</w:t>
      </w:r>
      <w:r w:rsidRPr="00873B6C">
        <w:tab/>
        <w:t xml:space="preserve">enter CM-IDLE state whenever the AN signalling connection is released (entering </w:t>
      </w:r>
      <w:r w:rsidR="009F2095" w:rsidRPr="00873B6C">
        <w:t xml:space="preserve">RRC_IDLE </w:t>
      </w:r>
      <w:r w:rsidRPr="00873B6C">
        <w:t xml:space="preserve">state over 3GPP access or when the release of the UE-N3IWF connectivity over untrusted non-3GPP access or the UE-TNGF connectivity over trusted non-3GPP access is detected by the UE), see </w:t>
      </w:r>
      <w:r w:rsidR="00972E70" w:rsidRPr="00873B6C">
        <w:t>TS 38.331 [</w:t>
      </w:r>
      <w:r w:rsidRPr="00873B6C">
        <w:t>28] for 3GPP access.</w:t>
      </w:r>
    </w:p>
    <w:p w14:paraId="7857DC33" w14:textId="77777777" w:rsidR="00D40151" w:rsidRPr="00873B6C" w:rsidRDefault="00D40151" w:rsidP="00D40151">
      <w:r w:rsidRPr="00873B6C">
        <w:t>When the UE CM state in the AMF is CM-CONNECTED, the AMF shall:</w:t>
      </w:r>
    </w:p>
    <w:p w14:paraId="5DA79214" w14:textId="65F75ABB" w:rsidR="00D40151" w:rsidRPr="00873B6C" w:rsidRDefault="00D40151" w:rsidP="00D40151">
      <w:pPr>
        <w:pStyle w:val="B1"/>
      </w:pPr>
      <w:r w:rsidRPr="00873B6C">
        <w:t>-</w:t>
      </w:r>
      <w:r w:rsidRPr="00873B6C">
        <w:tab/>
        <w:t xml:space="preserve">enter CM-IDLE state for the UE whenever the logical NGAP signalling connection and the N3 user plane connection for this UE are released upon completion of the AN Release procedure as specified in </w:t>
      </w:r>
      <w:r w:rsidR="00972E70" w:rsidRPr="00873B6C">
        <w:t>TS 23.502 [</w:t>
      </w:r>
      <w:r w:rsidRPr="00873B6C">
        <w:t>3].</w:t>
      </w:r>
    </w:p>
    <w:p w14:paraId="009BE55B" w14:textId="77777777" w:rsidR="00D40151" w:rsidRPr="00873B6C" w:rsidRDefault="00D40151" w:rsidP="00D40151">
      <w:pPr>
        <w:rPr>
          <w:rFonts w:eastAsia="Arial Unicode MS"/>
          <w:lang w:eastAsia="zh-CN"/>
        </w:rPr>
      </w:pPr>
      <w:r w:rsidRPr="00873B6C">
        <w:rPr>
          <w:rFonts w:eastAsia="Arial Unicode MS"/>
          <w:lang w:eastAsia="zh-CN"/>
        </w:rPr>
        <w:t>T</w:t>
      </w:r>
      <w:r w:rsidRPr="00873B6C">
        <w:rPr>
          <w:rFonts w:eastAsia="Arial Unicode MS"/>
        </w:rPr>
        <w:t xml:space="preserve">he AMF </w:t>
      </w:r>
      <w:r w:rsidRPr="00873B6C">
        <w:rPr>
          <w:rFonts w:eastAsia="Arial Unicode MS"/>
          <w:lang w:eastAsia="zh-CN"/>
        </w:rPr>
        <w:t>may keep a UE CM state in the AMF in CM-CONNECTED state until the UE de-registers from the core network.</w:t>
      </w:r>
    </w:p>
    <w:p w14:paraId="77BA9099" w14:textId="1E2DC9F6" w:rsidR="00D40151" w:rsidRPr="00873B6C" w:rsidRDefault="00D40151" w:rsidP="00D40151">
      <w:pPr>
        <w:rPr>
          <w:rFonts w:eastAsia="SimSun"/>
          <w:lang w:eastAsia="zh-CN"/>
        </w:rPr>
      </w:pPr>
      <w:r w:rsidRPr="00873B6C">
        <w:rPr>
          <w:rFonts w:eastAsia="SimSun"/>
          <w:lang w:eastAsia="zh-CN"/>
        </w:rPr>
        <w:t xml:space="preserve">A UE in CM-CONNECTED state can be in </w:t>
      </w:r>
      <w:r w:rsidR="009F2095" w:rsidRPr="00873B6C">
        <w:rPr>
          <w:rFonts w:eastAsia="SimSun"/>
          <w:lang w:eastAsia="zh-CN"/>
        </w:rPr>
        <w:t xml:space="preserve">RRC_INACTIVE </w:t>
      </w:r>
      <w:r w:rsidRPr="00873B6C">
        <w:rPr>
          <w:rFonts w:eastAsia="SimSun"/>
          <w:lang w:eastAsia="zh-CN"/>
        </w:rPr>
        <w:t xml:space="preserve">state, see </w:t>
      </w:r>
      <w:r w:rsidR="00972E70" w:rsidRPr="00873B6C">
        <w:rPr>
          <w:rFonts w:eastAsia="SimSun"/>
          <w:lang w:eastAsia="zh-CN"/>
        </w:rPr>
        <w:t>TS 38.300 [</w:t>
      </w:r>
      <w:r w:rsidRPr="00873B6C">
        <w:rPr>
          <w:rFonts w:eastAsia="SimSun"/>
          <w:lang w:eastAsia="zh-CN"/>
        </w:rPr>
        <w:t xml:space="preserve">27]. When the UE is in </w:t>
      </w:r>
      <w:r w:rsidR="009F2095" w:rsidRPr="00873B6C">
        <w:rPr>
          <w:rFonts w:eastAsia="SimSun"/>
          <w:lang w:eastAsia="zh-CN"/>
        </w:rPr>
        <w:t xml:space="preserve">RRC_INACTIVE </w:t>
      </w:r>
      <w:r w:rsidRPr="00873B6C">
        <w:rPr>
          <w:rFonts w:eastAsia="SimSun"/>
          <w:lang w:eastAsia="zh-CN"/>
        </w:rPr>
        <w:t>state the following applies:</w:t>
      </w:r>
    </w:p>
    <w:p w14:paraId="4B4A34CB" w14:textId="77777777" w:rsidR="00D40151" w:rsidRPr="00873B6C" w:rsidRDefault="00D40151" w:rsidP="00D40151">
      <w:pPr>
        <w:pStyle w:val="B1"/>
        <w:rPr>
          <w:lang w:eastAsia="zh-CN"/>
        </w:rPr>
      </w:pPr>
      <w:r w:rsidRPr="00873B6C">
        <w:t>-</w:t>
      </w:r>
      <w:r w:rsidRPr="00873B6C">
        <w:tab/>
        <w:t>UE reachability is</w:t>
      </w:r>
      <w:r w:rsidRPr="00873B6C">
        <w:rPr>
          <w:lang w:eastAsia="zh-CN"/>
        </w:rPr>
        <w:t xml:space="preserve"> </w:t>
      </w:r>
      <w:r w:rsidRPr="00873B6C">
        <w:t>managed by the RAN, with assistance information from core network;</w:t>
      </w:r>
    </w:p>
    <w:p w14:paraId="78D834D2" w14:textId="77777777" w:rsidR="00D40151" w:rsidRPr="00873B6C" w:rsidRDefault="00D40151" w:rsidP="00D40151">
      <w:pPr>
        <w:pStyle w:val="B1"/>
      </w:pPr>
      <w:r w:rsidRPr="00873B6C">
        <w:t>-</w:t>
      </w:r>
      <w:r w:rsidRPr="00873B6C">
        <w:tab/>
        <w:t>UE paging is managed by the RAN.</w:t>
      </w:r>
    </w:p>
    <w:p w14:paraId="196F5DC5" w14:textId="77777777" w:rsidR="00D40151" w:rsidRPr="00873B6C" w:rsidRDefault="00D40151" w:rsidP="00D40151">
      <w:pPr>
        <w:pStyle w:val="B1"/>
      </w:pPr>
      <w:r w:rsidRPr="00873B6C">
        <w:t>-</w:t>
      </w:r>
      <w:r w:rsidRPr="00873B6C">
        <w:tab/>
        <w:t>UE monitors for paging with UE's CN (5G S-TMSI) and RAN identifier.</w:t>
      </w:r>
    </w:p>
    <w:p w14:paraId="606CFD3F" w14:textId="77777777" w:rsidR="00D40151" w:rsidRPr="00873B6C" w:rsidRDefault="00D40151" w:rsidP="00D40151">
      <w:pPr>
        <w:pStyle w:val="Heading5"/>
        <w:rPr>
          <w:lang w:eastAsia="zh-CN"/>
        </w:rPr>
      </w:pPr>
      <w:bookmarkStart w:id="862" w:name="_CR5_3_3_2_4"/>
      <w:bookmarkStart w:id="863" w:name="_Toc20149716"/>
      <w:bookmarkStart w:id="864" w:name="_Toc27846507"/>
      <w:bookmarkStart w:id="865" w:name="_Toc36187631"/>
      <w:bookmarkStart w:id="866" w:name="_Toc45183535"/>
      <w:bookmarkStart w:id="867" w:name="_Toc47342377"/>
      <w:bookmarkStart w:id="868" w:name="_Toc51769075"/>
      <w:bookmarkStart w:id="869" w:name="_Toc201156999"/>
      <w:bookmarkEnd w:id="862"/>
      <w:r w:rsidRPr="00873B6C">
        <w:rPr>
          <w:lang w:eastAsia="zh-CN"/>
        </w:rPr>
        <w:t>5.3.3.2.4</w:t>
      </w:r>
      <w:r w:rsidRPr="00873B6C">
        <w:rPr>
          <w:lang w:eastAsia="zh-CN"/>
        </w:rPr>
        <w:tab/>
        <w:t>5GS Connection Management State models</w:t>
      </w:r>
      <w:bookmarkEnd w:id="863"/>
      <w:bookmarkEnd w:id="864"/>
      <w:bookmarkEnd w:id="865"/>
      <w:bookmarkEnd w:id="866"/>
      <w:bookmarkEnd w:id="867"/>
      <w:bookmarkEnd w:id="868"/>
      <w:bookmarkEnd w:id="869"/>
    </w:p>
    <w:p w14:paraId="503C39F2" w14:textId="77777777" w:rsidR="00D40151" w:rsidRPr="00873B6C" w:rsidRDefault="00D40151" w:rsidP="00D40151">
      <w:pPr>
        <w:pStyle w:val="TH"/>
      </w:pPr>
      <w:r w:rsidRPr="00873B6C">
        <w:object w:dxaOrig="6633" w:dyaOrig="1415" w14:anchorId="5DC6B4CC">
          <v:shape id="_x0000_i1090" type="#_x0000_t75" style="width:333.7pt;height:70.75pt" o:ole="">
            <v:imagedata r:id="rId139" o:title=""/>
          </v:shape>
          <o:OLEObject Type="Embed" ProgID="Word.Picture.8" ShapeID="_x0000_i1090" DrawAspect="Content" ObjectID="_1811772424" r:id="rId140"/>
        </w:object>
      </w:r>
    </w:p>
    <w:p w14:paraId="3187CD82" w14:textId="77777777" w:rsidR="00D40151" w:rsidRPr="00873B6C" w:rsidRDefault="00D40151" w:rsidP="00D40151">
      <w:pPr>
        <w:pStyle w:val="TF"/>
      </w:pPr>
      <w:bookmarkStart w:id="870" w:name="_CRFigure5_3_3_2_41"/>
      <w:r w:rsidRPr="00873B6C">
        <w:t xml:space="preserve">Figure </w:t>
      </w:r>
      <w:bookmarkEnd w:id="870"/>
      <w:r w:rsidRPr="00873B6C">
        <w:rPr>
          <w:lang w:eastAsia="zh-CN"/>
        </w:rPr>
        <w:t>5.3.3.2.4</w:t>
      </w:r>
      <w:r w:rsidRPr="00873B6C">
        <w:t xml:space="preserve">-1: </w:t>
      </w:r>
      <w:r w:rsidRPr="00873B6C">
        <w:rPr>
          <w:lang w:eastAsia="zh-CN"/>
        </w:rPr>
        <w:t>C</w:t>
      </w:r>
      <w:r w:rsidRPr="00873B6C">
        <w:t xml:space="preserve">M state </w:t>
      </w:r>
      <w:r w:rsidRPr="00873B6C">
        <w:rPr>
          <w:lang w:eastAsia="zh-CN"/>
        </w:rPr>
        <w:t>transition</w:t>
      </w:r>
      <w:r w:rsidRPr="00873B6C">
        <w:t xml:space="preserve"> in UE</w:t>
      </w:r>
    </w:p>
    <w:bookmarkStart w:id="871" w:name="_MON_1554662594"/>
    <w:bookmarkEnd w:id="871"/>
    <w:p w14:paraId="41E3D0D7" w14:textId="77777777" w:rsidR="00D40151" w:rsidRPr="00873B6C" w:rsidRDefault="00D40151" w:rsidP="00D40151">
      <w:pPr>
        <w:pStyle w:val="TH"/>
      </w:pPr>
      <w:r w:rsidRPr="00873B6C">
        <w:object w:dxaOrig="6633" w:dyaOrig="1319" w14:anchorId="2B12EAED">
          <v:shape id="_x0000_i1091" type="#_x0000_t75" style="width:333.7pt;height:65.75pt" o:ole="">
            <v:imagedata r:id="rId141" o:title=""/>
          </v:shape>
          <o:OLEObject Type="Embed" ProgID="Word.Picture.8" ShapeID="_x0000_i1091" DrawAspect="Content" ObjectID="_1811772425" r:id="rId142"/>
        </w:object>
      </w:r>
    </w:p>
    <w:p w14:paraId="5BCF8F10" w14:textId="77777777" w:rsidR="00D40151" w:rsidRPr="00873B6C" w:rsidRDefault="00D40151" w:rsidP="00D40151">
      <w:pPr>
        <w:pStyle w:val="TF"/>
        <w:rPr>
          <w:lang w:eastAsia="zh-CN"/>
        </w:rPr>
      </w:pPr>
      <w:bookmarkStart w:id="872" w:name="_CRFigure5_3_3_2_42"/>
      <w:r w:rsidRPr="00873B6C">
        <w:t xml:space="preserve">Figure </w:t>
      </w:r>
      <w:bookmarkEnd w:id="872"/>
      <w:r w:rsidRPr="00873B6C">
        <w:rPr>
          <w:lang w:eastAsia="zh-CN"/>
        </w:rPr>
        <w:t>5.3.3.2.4</w:t>
      </w:r>
      <w:r w:rsidRPr="00873B6C">
        <w:t xml:space="preserve">-2: </w:t>
      </w:r>
      <w:r w:rsidRPr="00873B6C">
        <w:rPr>
          <w:lang w:eastAsia="zh-CN"/>
        </w:rPr>
        <w:t>C</w:t>
      </w:r>
      <w:r w:rsidRPr="00873B6C">
        <w:t xml:space="preserve">M state </w:t>
      </w:r>
      <w:r w:rsidRPr="00873B6C">
        <w:rPr>
          <w:lang w:eastAsia="zh-CN"/>
        </w:rPr>
        <w:t>transition</w:t>
      </w:r>
      <w:r w:rsidRPr="00873B6C">
        <w:t xml:space="preserve"> in </w:t>
      </w:r>
      <w:r w:rsidRPr="00873B6C">
        <w:rPr>
          <w:lang w:eastAsia="zh-CN"/>
        </w:rPr>
        <w:t>AMF</w:t>
      </w:r>
    </w:p>
    <w:p w14:paraId="44B0332D" w14:textId="77777777" w:rsidR="00D40151" w:rsidRPr="00873B6C" w:rsidRDefault="00D40151" w:rsidP="00D40151">
      <w:r w:rsidRPr="00873B6C">
        <w:t>When a UE enters CM-IDLE state, the UP connection of the PDU Sessions that were active on this access are deactivated.</w:t>
      </w:r>
    </w:p>
    <w:p w14:paraId="36A8216F" w14:textId="77777777" w:rsidR="00D40151" w:rsidRPr="00873B6C" w:rsidRDefault="00D40151" w:rsidP="00D40151">
      <w:pPr>
        <w:pStyle w:val="NO"/>
      </w:pPr>
      <w:r w:rsidRPr="00873B6C">
        <w:t>NOTE:</w:t>
      </w:r>
      <w:r w:rsidRPr="00873B6C">
        <w:tab/>
        <w:t>The activation of UP connection of PDU Sessions is documented in clause 5.6.8.</w:t>
      </w:r>
    </w:p>
    <w:p w14:paraId="6B17823A" w14:textId="3511EAE7" w:rsidR="00D40151" w:rsidRPr="00873B6C" w:rsidRDefault="00D40151" w:rsidP="00D40151">
      <w:pPr>
        <w:pStyle w:val="Heading5"/>
      </w:pPr>
      <w:bookmarkStart w:id="873" w:name="_CR5_3_3_2_5"/>
      <w:bookmarkStart w:id="874" w:name="_Toc20149717"/>
      <w:bookmarkStart w:id="875" w:name="_Toc27846508"/>
      <w:bookmarkStart w:id="876" w:name="_Toc36187632"/>
      <w:bookmarkStart w:id="877" w:name="_Toc45183536"/>
      <w:bookmarkStart w:id="878" w:name="_Toc47342378"/>
      <w:bookmarkStart w:id="879" w:name="_Toc51769076"/>
      <w:bookmarkStart w:id="880" w:name="_Toc201157000"/>
      <w:bookmarkEnd w:id="873"/>
      <w:r w:rsidRPr="00873B6C">
        <w:t>5.3.3.2.5</w:t>
      </w:r>
      <w:r w:rsidRPr="00873B6C">
        <w:tab/>
        <w:t xml:space="preserve">CM-CONNECTED with </w:t>
      </w:r>
      <w:r w:rsidR="009F2095" w:rsidRPr="00873B6C">
        <w:t xml:space="preserve">RRC_INACTIVE </w:t>
      </w:r>
      <w:r w:rsidRPr="00873B6C">
        <w:t>state</w:t>
      </w:r>
      <w:bookmarkEnd w:id="874"/>
      <w:bookmarkEnd w:id="875"/>
      <w:bookmarkEnd w:id="876"/>
      <w:bookmarkEnd w:id="877"/>
      <w:bookmarkEnd w:id="878"/>
      <w:bookmarkEnd w:id="879"/>
      <w:bookmarkEnd w:id="880"/>
    </w:p>
    <w:p w14:paraId="7FEBE247" w14:textId="555DDF7E" w:rsidR="00D40151" w:rsidRPr="00873B6C" w:rsidRDefault="009F2095" w:rsidP="00D40151">
      <w:r w:rsidRPr="00873B6C">
        <w:t xml:space="preserve">RRC_INACTIVE </w:t>
      </w:r>
      <w:r w:rsidR="00D40151" w:rsidRPr="00873B6C">
        <w:t xml:space="preserve">state applies to NG-RAN. UE support for </w:t>
      </w:r>
      <w:r w:rsidRPr="00873B6C">
        <w:t xml:space="preserve">RRC_INACTIVE </w:t>
      </w:r>
      <w:r w:rsidR="00D40151" w:rsidRPr="00873B6C">
        <w:t xml:space="preserve">state is defined in </w:t>
      </w:r>
      <w:r w:rsidR="00972E70" w:rsidRPr="00873B6C">
        <w:t>TS 38.306 [</w:t>
      </w:r>
      <w:r w:rsidR="00D40151" w:rsidRPr="00873B6C">
        <w:t xml:space="preserve">69] for NR and </w:t>
      </w:r>
      <w:r w:rsidR="00972E70" w:rsidRPr="00873B6C">
        <w:t>TS 36.306 [</w:t>
      </w:r>
      <w:r w:rsidR="00D40151" w:rsidRPr="00873B6C">
        <w:t xml:space="preserve">70] for E-UTRA connected to 5GC. </w:t>
      </w:r>
      <w:r w:rsidRPr="00873B6C">
        <w:t xml:space="preserve">RRC_INACTIVE </w:t>
      </w:r>
      <w:r w:rsidR="00D40151" w:rsidRPr="00873B6C">
        <w:t>is not supported by NB-IoT connected to 5GC.</w:t>
      </w:r>
    </w:p>
    <w:p w14:paraId="1754BDB3" w14:textId="6CEFEAA7" w:rsidR="00D40151" w:rsidRPr="00873B6C" w:rsidRDefault="00D40151" w:rsidP="00D40151">
      <w:r w:rsidRPr="00873B6C">
        <w:t xml:space="preserve">The AMF shall provide assistance information to the NG-RAN, to assist the NG-RAN's decision whether the UE can be sent to </w:t>
      </w:r>
      <w:r w:rsidR="009F2095" w:rsidRPr="00873B6C">
        <w:t xml:space="preserve">RRC_INACTIVE </w:t>
      </w:r>
      <w:r w:rsidRPr="00873B6C">
        <w:t>state except due to some exceptional cases such as:</w:t>
      </w:r>
    </w:p>
    <w:p w14:paraId="28FE31E7" w14:textId="4B0A0D4B" w:rsidR="00D40151" w:rsidRPr="00873B6C" w:rsidRDefault="00D40151" w:rsidP="00D40151">
      <w:pPr>
        <w:pStyle w:val="B1"/>
      </w:pPr>
      <w:r w:rsidRPr="00873B6C">
        <w:t>-</w:t>
      </w:r>
      <w:r w:rsidRPr="00873B6C">
        <w:tab/>
        <w:t>PLMN (or AMF set) does not support</w:t>
      </w:r>
      <w:r w:rsidR="009F2095" w:rsidRPr="00873B6C">
        <w:t xml:space="preserve"> RRC_INACTIVE</w:t>
      </w:r>
      <w:r w:rsidRPr="00873B6C">
        <w:t>;</w:t>
      </w:r>
    </w:p>
    <w:p w14:paraId="3ACD3566" w14:textId="77777777" w:rsidR="00D40151" w:rsidRPr="00873B6C" w:rsidRDefault="00D40151" w:rsidP="00D40151">
      <w:pPr>
        <w:pStyle w:val="B1"/>
      </w:pPr>
      <w:r w:rsidRPr="00873B6C">
        <w:t>-</w:t>
      </w:r>
      <w:r w:rsidRPr="00873B6C">
        <w:tab/>
        <w:t>The UE needs to be kept in CM-CONNECTED State (e.g. for tracking).</w:t>
      </w:r>
    </w:p>
    <w:p w14:paraId="6D8652A8" w14:textId="38FCCB0E" w:rsidR="00D40151" w:rsidRPr="00873B6C" w:rsidRDefault="00D40151" w:rsidP="00D40151">
      <w:r w:rsidRPr="00873B6C">
        <w:t>The "RRC Inactive Assistance Information" includes:</w:t>
      </w:r>
    </w:p>
    <w:p w14:paraId="551DF79B" w14:textId="77777777" w:rsidR="00D40151" w:rsidRPr="00873B6C" w:rsidRDefault="00D40151" w:rsidP="00D40151">
      <w:pPr>
        <w:pStyle w:val="B1"/>
      </w:pPr>
      <w:r w:rsidRPr="00873B6C">
        <w:lastRenderedPageBreak/>
        <w:t>-</w:t>
      </w:r>
      <w:r w:rsidRPr="00873B6C">
        <w:tab/>
        <w:t>UE specific DRX values;</w:t>
      </w:r>
    </w:p>
    <w:p w14:paraId="79B0E9D2" w14:textId="77777777" w:rsidR="00D40151" w:rsidRPr="00873B6C" w:rsidRDefault="00D40151" w:rsidP="00D40151">
      <w:pPr>
        <w:pStyle w:val="B1"/>
      </w:pPr>
      <w:r w:rsidRPr="00873B6C">
        <w:t>-</w:t>
      </w:r>
      <w:r w:rsidRPr="00873B6C">
        <w:tab/>
        <w:t>UE specific extended idle mode DRX values (cycle length and Paging Time Window length);</w:t>
      </w:r>
    </w:p>
    <w:p w14:paraId="13070871" w14:textId="77777777" w:rsidR="00D40151" w:rsidRPr="00873B6C" w:rsidRDefault="00D40151" w:rsidP="00D40151">
      <w:pPr>
        <w:pStyle w:val="B1"/>
      </w:pPr>
      <w:r w:rsidRPr="00873B6C">
        <w:t>-</w:t>
      </w:r>
      <w:r w:rsidRPr="00873B6C">
        <w:tab/>
        <w:t>The Registration Area provided to the UE;</w:t>
      </w:r>
    </w:p>
    <w:p w14:paraId="0FDB80F0" w14:textId="77777777" w:rsidR="00D40151" w:rsidRPr="00873B6C" w:rsidRDefault="00D40151" w:rsidP="00D40151">
      <w:pPr>
        <w:pStyle w:val="B1"/>
      </w:pPr>
      <w:r w:rsidRPr="00873B6C">
        <w:t>-</w:t>
      </w:r>
      <w:r w:rsidRPr="00873B6C">
        <w:tab/>
        <w:t>Periodic Registration Update timer;</w:t>
      </w:r>
    </w:p>
    <w:p w14:paraId="72EE3F44" w14:textId="77777777" w:rsidR="00D40151" w:rsidRPr="00873B6C" w:rsidRDefault="00D40151" w:rsidP="00D40151">
      <w:pPr>
        <w:pStyle w:val="B1"/>
      </w:pPr>
      <w:r w:rsidRPr="00873B6C">
        <w:t>-</w:t>
      </w:r>
      <w:r w:rsidRPr="00873B6C">
        <w:tab/>
        <w:t>If the AMF has enabled MICO mode for the UE, an indication that the UE is in MICO mode;</w:t>
      </w:r>
    </w:p>
    <w:p w14:paraId="38FE09DE" w14:textId="478B10FB" w:rsidR="00D40151" w:rsidRPr="00873B6C" w:rsidRDefault="00D40151" w:rsidP="00D40151">
      <w:pPr>
        <w:pStyle w:val="B1"/>
      </w:pPr>
      <w:r w:rsidRPr="00873B6C">
        <w:rPr>
          <w:rFonts w:eastAsia="DengXian"/>
        </w:rPr>
        <w:t>-</w:t>
      </w:r>
      <w:r w:rsidRPr="00873B6C">
        <w:rPr>
          <w:rFonts w:eastAsia="DengXian"/>
        </w:rPr>
        <w:tab/>
        <w:t xml:space="preserve">Information from the UE identifier, as defined in </w:t>
      </w:r>
      <w:r w:rsidR="00972E70" w:rsidRPr="00873B6C">
        <w:rPr>
          <w:rFonts w:eastAsia="DengXian"/>
        </w:rPr>
        <w:t>TS 38.304 [</w:t>
      </w:r>
      <w:r w:rsidRPr="00873B6C">
        <w:rPr>
          <w:rFonts w:eastAsia="DengXian"/>
        </w:rPr>
        <w:t>50</w:t>
      </w:r>
      <w:r w:rsidRPr="00873B6C">
        <w:t xml:space="preserve">] for NR and </w:t>
      </w:r>
      <w:r w:rsidR="00972E70" w:rsidRPr="00873B6C">
        <w:t>TS 36.304 [</w:t>
      </w:r>
      <w:r w:rsidRPr="00873B6C">
        <w:t>52] for E-UTRA connected to 5GC,</w:t>
      </w:r>
      <w:r w:rsidRPr="00873B6C">
        <w:rPr>
          <w:rFonts w:eastAsia="DengXian"/>
        </w:rPr>
        <w:t xml:space="preserve"> that allows the RAN to calculate the UE's RAN paging occasions</w:t>
      </w:r>
      <w:r w:rsidR="0053150F" w:rsidRPr="00873B6C">
        <w:rPr>
          <w:rFonts w:eastAsia="DengXian"/>
        </w:rPr>
        <w:t>;</w:t>
      </w:r>
    </w:p>
    <w:p w14:paraId="263539C1" w14:textId="79CF36FE" w:rsidR="0053150F" w:rsidRPr="00873B6C" w:rsidRDefault="0053150F" w:rsidP="00283ED6">
      <w:pPr>
        <w:pStyle w:val="B1"/>
      </w:pPr>
      <w:r w:rsidRPr="00873B6C">
        <w:t>-</w:t>
      </w:r>
      <w:r w:rsidRPr="00873B6C">
        <w:tab/>
        <w:t>An indication that Paging Cause Indication for Voice Service is supported;</w:t>
      </w:r>
    </w:p>
    <w:p w14:paraId="7F3281EF" w14:textId="03E97564" w:rsidR="00283ED6" w:rsidRPr="00873B6C" w:rsidRDefault="00283ED6" w:rsidP="00283ED6">
      <w:pPr>
        <w:pStyle w:val="B1"/>
      </w:pPr>
      <w:r w:rsidRPr="00873B6C">
        <w:t>-</w:t>
      </w:r>
      <w:r w:rsidRPr="00873B6C">
        <w:tab/>
        <w:t xml:space="preserve">AMF PEIPS Assistance Information (see clause 5.4.12.2) for paging a UE in CM-CONNECTED with </w:t>
      </w:r>
      <w:r w:rsidR="009F2095" w:rsidRPr="00873B6C">
        <w:t xml:space="preserve">RRC_INACTIVE </w:t>
      </w:r>
      <w:r w:rsidRPr="00873B6C">
        <w:t xml:space="preserve">state over NR as defined in </w:t>
      </w:r>
      <w:r w:rsidR="00972E70" w:rsidRPr="00873B6C">
        <w:t>TS 38.300 [</w:t>
      </w:r>
      <w:r w:rsidRPr="00873B6C">
        <w:t>27]</w:t>
      </w:r>
      <w:r w:rsidR="00A51A83" w:rsidRPr="00873B6C">
        <w:t>;</w:t>
      </w:r>
    </w:p>
    <w:p w14:paraId="5FC07F6D" w14:textId="4CD9C193" w:rsidR="00A51A83" w:rsidRPr="00873B6C" w:rsidRDefault="00A51A83" w:rsidP="00A51A83">
      <w:pPr>
        <w:pStyle w:val="B1"/>
      </w:pPr>
      <w:r w:rsidRPr="00873B6C">
        <w:t>-</w:t>
      </w:r>
      <w:r w:rsidRPr="00873B6C">
        <w:tab/>
        <w:t>CN based MT communication handling support indication for RRC_INACATIVE state (see clause 5.31.7.2.1).</w:t>
      </w:r>
    </w:p>
    <w:p w14:paraId="04CD4E5D" w14:textId="5768823E" w:rsidR="00D40151" w:rsidRPr="00873B6C" w:rsidRDefault="00D40151" w:rsidP="00D40151">
      <w:r w:rsidRPr="00873B6C">
        <w:t xml:space="preserve">The RRC Inactive Assistance Information mentioned above is provided by the AMF during N2 activation with the (new) serving NG-RAN node (i.e. during Registration, Service Request, Handover) to assist the NG RAN's decision whether the UE can be sent to </w:t>
      </w:r>
      <w:r w:rsidR="009F2095" w:rsidRPr="00873B6C">
        <w:t xml:space="preserve">RRC_INACTIVE </w:t>
      </w:r>
      <w:r w:rsidRPr="00873B6C">
        <w:t>state. If the AMF allocates a new Registration Area to the UE, the AMF should update the NG-RAN with the new Registration Area by sending the RRC Inactive Assistance Information accordingly.</w:t>
      </w:r>
      <w:r w:rsidR="0053150F" w:rsidRPr="00873B6C">
        <w:t xml:space="preserve"> The Paging Cause Indication for Voice Service is used to assist NG RAN to perform RAN based paging.</w:t>
      </w:r>
    </w:p>
    <w:p w14:paraId="5343E88D" w14:textId="5529DD8E" w:rsidR="00D40151" w:rsidRPr="00873B6C" w:rsidRDefault="009F2095" w:rsidP="00D40151">
      <w:r w:rsidRPr="00873B6C">
        <w:t xml:space="preserve">RRC_INACTIVE </w:t>
      </w:r>
      <w:r w:rsidR="00D40151" w:rsidRPr="00873B6C">
        <w:t>state is part of RRC state machine</w:t>
      </w:r>
      <w:r w:rsidR="00472CD7" w:rsidRPr="00873B6C">
        <w:t xml:space="preserve"> and</w:t>
      </w:r>
      <w:r w:rsidR="00D40151" w:rsidRPr="00873B6C">
        <w:t xml:space="preserve"> it is up to the RAN to determine the conditions to enter </w:t>
      </w:r>
      <w:r w:rsidRPr="00873B6C">
        <w:t xml:space="preserve">RRC_INACTIVE </w:t>
      </w:r>
      <w:r w:rsidR="00D40151" w:rsidRPr="00873B6C">
        <w:t>state. If any of the parameters included in the RRC Inactive Assistance Information changes as the result of NAS procedure, the AMF shall update the RRC Inactive Assistance Information to the NG-RAN node.</w:t>
      </w:r>
    </w:p>
    <w:p w14:paraId="6F3D4DD9" w14:textId="6FAEDE51" w:rsidR="00D40151" w:rsidRPr="00873B6C" w:rsidRDefault="00D40151" w:rsidP="00D40151">
      <w:r w:rsidRPr="00873B6C">
        <w:t xml:space="preserve">When the UE is in CM-CONNECTED state, if the AMF has provided RRC Inactive assistance information, the RAN node may decide to move a UE to CM-CONNECTED with </w:t>
      </w:r>
      <w:r w:rsidR="009F2095" w:rsidRPr="00873B6C">
        <w:t xml:space="preserve">RRC_INACTIVE </w:t>
      </w:r>
      <w:r w:rsidRPr="00873B6C">
        <w:t>state.</w:t>
      </w:r>
    </w:p>
    <w:p w14:paraId="1DE07BDD" w14:textId="0A8D8B38" w:rsidR="00D40151" w:rsidRPr="00873B6C" w:rsidRDefault="00D40151" w:rsidP="00D40151">
      <w:r w:rsidRPr="00873B6C">
        <w:t xml:space="preserve">The state and "endpoints" (in the case of Dual Connectivity configuration) of the N2 and N3 reference points are not changed by the UE entering CM-CONNECTED with </w:t>
      </w:r>
      <w:r w:rsidR="009F2095" w:rsidRPr="00873B6C">
        <w:t xml:space="preserve">RRC_INACTIVE </w:t>
      </w:r>
      <w:r w:rsidRPr="00873B6C">
        <w:t xml:space="preserve">state. A UE in </w:t>
      </w:r>
      <w:r w:rsidR="009F2095" w:rsidRPr="00873B6C">
        <w:t xml:space="preserve">RRC_INACTIVE </w:t>
      </w:r>
      <w:r w:rsidRPr="00873B6C">
        <w:t xml:space="preserve">state is aware of the RAN </w:t>
      </w:r>
      <w:r w:rsidRPr="00873B6C">
        <w:rPr>
          <w:lang w:eastAsia="zh-CN"/>
        </w:rPr>
        <w:t>N</w:t>
      </w:r>
      <w:r w:rsidRPr="00873B6C">
        <w:t>otification area and periodic RAN Notification Area Update timer.</w:t>
      </w:r>
    </w:p>
    <w:p w14:paraId="47FC94D7" w14:textId="4AB73430" w:rsidR="00D40151" w:rsidRPr="00873B6C" w:rsidRDefault="00D40151" w:rsidP="00D40151">
      <w:r w:rsidRPr="00873B6C">
        <w:t xml:space="preserve">The 5GC network is not aware of the UE transitions between CM-CONNECTED with </w:t>
      </w:r>
      <w:r w:rsidR="009F2095" w:rsidRPr="00873B6C">
        <w:t xml:space="preserve">RRC_CONNECTED </w:t>
      </w:r>
      <w:r w:rsidRPr="00873B6C">
        <w:t xml:space="preserve">and CM-CONNECTED with </w:t>
      </w:r>
      <w:r w:rsidR="009F2095" w:rsidRPr="00873B6C">
        <w:t xml:space="preserve">RRC_INACTIVE </w:t>
      </w:r>
      <w:r w:rsidRPr="00873B6C">
        <w:t>state, unless the 5GC network is notified via N2 notification procedure in</w:t>
      </w:r>
      <w:r w:rsidR="00D602DF" w:rsidRPr="00873B6C">
        <w:t xml:space="preserve"> clause 4.8.3</w:t>
      </w:r>
      <w:r w:rsidRPr="00873B6C">
        <w:t xml:space="preserve"> </w:t>
      </w:r>
      <w:r w:rsidR="00D602DF" w:rsidRPr="00873B6C">
        <w:t xml:space="preserve">of </w:t>
      </w:r>
      <w:r w:rsidR="00972E70" w:rsidRPr="00873B6C">
        <w:t>TS 23.502 [</w:t>
      </w:r>
      <w:r w:rsidRPr="00873B6C">
        <w:t>3].</w:t>
      </w:r>
    </w:p>
    <w:p w14:paraId="3FE6E7DA" w14:textId="3070A945" w:rsidR="00D40151" w:rsidRPr="00873B6C" w:rsidRDefault="00D40151" w:rsidP="00D40151">
      <w:r w:rsidRPr="00873B6C">
        <w:t xml:space="preserve">At transition into CM-CONNECTED with </w:t>
      </w:r>
      <w:r w:rsidR="009F2095" w:rsidRPr="00873B6C">
        <w:t xml:space="preserve">RRC_INACTIVE </w:t>
      </w:r>
      <w:r w:rsidRPr="00873B6C">
        <w:t>state, the NG-RAN configures the UE with a periodic RAN Notification Area Update timer taking into account the value of the Periodic Registration Update timer value indicated in the RRC Inactive Assistance Information</w:t>
      </w:r>
      <w:r w:rsidR="00472CD7" w:rsidRPr="00873B6C">
        <w:t xml:space="preserve"> and</w:t>
      </w:r>
      <w:r w:rsidRPr="00873B6C">
        <w:t xml:space="preserve"> uses a guard timer with a value longer than the RAN Notification Area Update timer value provided to the UE.</w:t>
      </w:r>
    </w:p>
    <w:p w14:paraId="185977AE" w14:textId="67AD2C27" w:rsidR="00D40151" w:rsidRPr="00873B6C" w:rsidRDefault="00D40151" w:rsidP="00D40151">
      <w:r w:rsidRPr="00873B6C">
        <w:t>If the periodic RAN Notification Area Update guard timer expires in NG-RAN, the NG-RAN shall initiate AN Release procedure</w:t>
      </w:r>
      <w:r w:rsidRPr="00873B6C">
        <w:rPr>
          <w:lang w:eastAsia="zh-CN"/>
        </w:rPr>
        <w:t xml:space="preserve"> as specified in</w:t>
      </w:r>
      <w:r w:rsidR="00D602DF" w:rsidRPr="00873B6C">
        <w:rPr>
          <w:lang w:eastAsia="zh-CN"/>
        </w:rPr>
        <w:t xml:space="preserve"> clause 4.2.6</w:t>
      </w:r>
      <w:r w:rsidRPr="00873B6C">
        <w:rPr>
          <w:lang w:eastAsia="zh-CN"/>
        </w:rPr>
        <w:t xml:space="preserve"> </w:t>
      </w:r>
      <w:r w:rsidR="00D602DF" w:rsidRPr="00873B6C">
        <w:rPr>
          <w:lang w:eastAsia="zh-CN"/>
        </w:rPr>
        <w:t xml:space="preserve">of </w:t>
      </w:r>
      <w:r w:rsidR="00972E70" w:rsidRPr="00873B6C">
        <w:rPr>
          <w:lang w:eastAsia="zh-CN"/>
        </w:rPr>
        <w:t>TS 23.502 [</w:t>
      </w:r>
      <w:r w:rsidRPr="00873B6C">
        <w:rPr>
          <w:lang w:eastAsia="zh-CN"/>
        </w:rPr>
        <w:t>3]</w:t>
      </w:r>
      <w:r w:rsidRPr="00873B6C">
        <w:t>.</w:t>
      </w:r>
    </w:p>
    <w:p w14:paraId="3B510DC0" w14:textId="1478E046" w:rsidR="00D40151" w:rsidRPr="00873B6C" w:rsidRDefault="00D40151" w:rsidP="00D40151">
      <w:r w:rsidRPr="00873B6C">
        <w:t xml:space="preserve">When the UE is in CM-CONNECTED with </w:t>
      </w:r>
      <w:r w:rsidR="009F2095" w:rsidRPr="00873B6C">
        <w:t xml:space="preserve">RRC_INACTIVE </w:t>
      </w:r>
      <w:r w:rsidRPr="00873B6C">
        <w:t>state, the UE performs PLMN selection procedures as defined in</w:t>
      </w:r>
      <w:r w:rsidR="00960CDA" w:rsidRPr="00873B6C">
        <w:t xml:space="preserve"> </w:t>
      </w:r>
      <w:r w:rsidR="00972E70" w:rsidRPr="00873B6C">
        <w:t>TS 23.122 [</w:t>
      </w:r>
      <w:r w:rsidRPr="00873B6C">
        <w:t xml:space="preserve">17] and </w:t>
      </w:r>
      <w:r w:rsidR="00972E70" w:rsidRPr="00873B6C">
        <w:t>TS 24.501 [</w:t>
      </w:r>
      <w:r w:rsidRPr="00873B6C">
        <w:t>47].</w:t>
      </w:r>
    </w:p>
    <w:p w14:paraId="2F8959CA" w14:textId="663B01D7" w:rsidR="00D40151" w:rsidRPr="00873B6C" w:rsidRDefault="00D40151" w:rsidP="00D40151">
      <w:r w:rsidRPr="00873B6C">
        <w:t xml:space="preserve">When the UE is CM-CONNECTED with </w:t>
      </w:r>
      <w:r w:rsidR="009F2095" w:rsidRPr="00873B6C">
        <w:t xml:space="preserve">RRC_INACTIVE </w:t>
      </w:r>
      <w:r w:rsidRPr="00873B6C">
        <w:t>state, the UE may resume the RRC Connection due to:</w:t>
      </w:r>
    </w:p>
    <w:p w14:paraId="43466875" w14:textId="77777777" w:rsidR="00D40151" w:rsidRPr="00873B6C" w:rsidRDefault="00D40151" w:rsidP="00D40151">
      <w:pPr>
        <w:pStyle w:val="B1"/>
      </w:pPr>
      <w:r w:rsidRPr="00873B6C">
        <w:t>-</w:t>
      </w:r>
      <w:r w:rsidRPr="00873B6C">
        <w:tab/>
        <w:t>Uplink data pending;</w:t>
      </w:r>
    </w:p>
    <w:p w14:paraId="7F2234AE" w14:textId="77777777" w:rsidR="00D40151" w:rsidRPr="00873B6C" w:rsidRDefault="00D40151" w:rsidP="00D40151">
      <w:pPr>
        <w:pStyle w:val="B1"/>
      </w:pPr>
      <w:r w:rsidRPr="00873B6C">
        <w:t>-</w:t>
      </w:r>
      <w:r w:rsidRPr="00873B6C">
        <w:tab/>
        <w:t>Mobile initiated NAS signalling procedure;</w:t>
      </w:r>
    </w:p>
    <w:p w14:paraId="5E4BF1CB" w14:textId="77777777" w:rsidR="00D40151" w:rsidRPr="00873B6C" w:rsidRDefault="00D40151" w:rsidP="00D40151">
      <w:pPr>
        <w:pStyle w:val="B1"/>
      </w:pPr>
      <w:r w:rsidRPr="00873B6C">
        <w:t>-</w:t>
      </w:r>
      <w:r w:rsidRPr="00873B6C">
        <w:tab/>
        <w:t>As a response to RAN paging;</w:t>
      </w:r>
    </w:p>
    <w:p w14:paraId="2287D8E2" w14:textId="77777777" w:rsidR="00D40151" w:rsidRPr="00873B6C" w:rsidRDefault="00D40151" w:rsidP="00D40151">
      <w:pPr>
        <w:pStyle w:val="B1"/>
      </w:pPr>
      <w:r w:rsidRPr="00873B6C">
        <w:t>-</w:t>
      </w:r>
      <w:r w:rsidRPr="00873B6C">
        <w:tab/>
        <w:t xml:space="preserve">Notifying the network that it has left the RAN </w:t>
      </w:r>
      <w:r w:rsidRPr="00873B6C">
        <w:rPr>
          <w:lang w:eastAsia="zh-CN"/>
        </w:rPr>
        <w:t>N</w:t>
      </w:r>
      <w:r w:rsidRPr="00873B6C">
        <w:t>otification Area;</w:t>
      </w:r>
    </w:p>
    <w:p w14:paraId="50980B4D" w14:textId="77777777" w:rsidR="00D40151" w:rsidRPr="00873B6C" w:rsidRDefault="00D40151" w:rsidP="00D40151">
      <w:pPr>
        <w:pStyle w:val="B1"/>
      </w:pPr>
      <w:r w:rsidRPr="00873B6C">
        <w:t>-</w:t>
      </w:r>
      <w:r w:rsidRPr="00873B6C">
        <w:tab/>
        <w:t>Upon periodic RAN Notification Area Update timer expiration.</w:t>
      </w:r>
    </w:p>
    <w:p w14:paraId="73F66176" w14:textId="0399615A" w:rsidR="00D40151" w:rsidRPr="00873B6C" w:rsidRDefault="00D40151" w:rsidP="00D40151">
      <w:r w:rsidRPr="00873B6C">
        <w:t>If the UE resumes the connection in a different NG-RAN node within the same PLMN or equivalent PLMN</w:t>
      </w:r>
      <w:r w:rsidR="003E5241" w:rsidRPr="00873B6C">
        <w:t xml:space="preserve"> or within the same SNPN or equivalent SNPN</w:t>
      </w:r>
      <w:r w:rsidRPr="00873B6C">
        <w:t>, the UE AS context is retrieved from the old NG-RAN node and a procedure is triggered towards the CN (see</w:t>
      </w:r>
      <w:r w:rsidR="00D602DF" w:rsidRPr="00873B6C">
        <w:t xml:space="preserve"> clause 4.8.2</w:t>
      </w:r>
      <w:r w:rsidRPr="00873B6C">
        <w:t xml:space="preserve"> </w:t>
      </w:r>
      <w:r w:rsidR="00D602DF" w:rsidRPr="00873B6C">
        <w:t xml:space="preserve">of </w:t>
      </w:r>
      <w:r w:rsidR="00972E70" w:rsidRPr="00873B6C">
        <w:t>TS 23.502 [</w:t>
      </w:r>
      <w:r w:rsidRPr="00873B6C">
        <w:t>3]).</w:t>
      </w:r>
    </w:p>
    <w:p w14:paraId="4E05D990" w14:textId="0F699F79" w:rsidR="00D40151" w:rsidRPr="00873B6C" w:rsidRDefault="00D40151" w:rsidP="00D40151">
      <w:pPr>
        <w:pStyle w:val="NO"/>
      </w:pPr>
      <w:r w:rsidRPr="00873B6C">
        <w:lastRenderedPageBreak/>
        <w:t>NOTE 1:</w:t>
      </w:r>
      <w:r w:rsidRPr="00873B6C">
        <w:tab/>
        <w:t xml:space="preserve">With Dual Connectivity configuration if the UE resumes the RRC connection in the Master RAN node, the Secondary RAN node configuration is defined in </w:t>
      </w:r>
      <w:r w:rsidR="00972E70" w:rsidRPr="00873B6C">
        <w:t>TS 38.300 [</w:t>
      </w:r>
      <w:r w:rsidRPr="00873B6C">
        <w:t>27].</w:t>
      </w:r>
    </w:p>
    <w:p w14:paraId="51784027" w14:textId="0B71916A" w:rsidR="00D40151" w:rsidRPr="00873B6C" w:rsidRDefault="00D40151" w:rsidP="00D40151">
      <w:r w:rsidRPr="00873B6C">
        <w:t>If the RAN paging procedure</w:t>
      </w:r>
      <w:r w:rsidR="005656CA" w:rsidRPr="00873B6C">
        <w:t xml:space="preserve"> applying DRX or eDRX value no longer than 10.24s</w:t>
      </w:r>
      <w:r w:rsidRPr="00873B6C">
        <w:t xml:space="preserve">, as defined in </w:t>
      </w:r>
      <w:r w:rsidR="00972E70" w:rsidRPr="00873B6C">
        <w:t>TS 38.300 [</w:t>
      </w:r>
      <w:r w:rsidRPr="00873B6C">
        <w:t>27], is not successful in establishing contact with the UE the procedure</w:t>
      </w:r>
      <w:r w:rsidRPr="00873B6C" w:rsidDel="007E304D">
        <w:t xml:space="preserve"> </w:t>
      </w:r>
      <w:r w:rsidRPr="00873B6C">
        <w:t>shall be handled by the network as follows:</w:t>
      </w:r>
    </w:p>
    <w:p w14:paraId="0D420604" w14:textId="572E916C" w:rsidR="00D40151" w:rsidRPr="00873B6C" w:rsidRDefault="00D40151" w:rsidP="00D40151">
      <w:pPr>
        <w:pStyle w:val="B1"/>
      </w:pPr>
      <w:r w:rsidRPr="00873B6C">
        <w:t>-</w:t>
      </w:r>
      <w:r w:rsidRPr="00873B6C">
        <w:tab/>
        <w:t>If NG-RAN has at least one pending NAS PDU for transmission, the RAN node shall initiate the AN Release procedure (see</w:t>
      </w:r>
      <w:r w:rsidR="00D602DF" w:rsidRPr="00873B6C">
        <w:t xml:space="preserve"> clause 4.2.6 of</w:t>
      </w:r>
      <w:r w:rsidRPr="00873B6C">
        <w:t xml:space="preserve"> </w:t>
      </w:r>
      <w:r w:rsidR="00972E70" w:rsidRPr="00873B6C">
        <w:t>TS 23.502 [</w:t>
      </w:r>
      <w:r w:rsidRPr="00873B6C">
        <w:t>3]) to move the UE CM state in the AMF to CM-IDLE state and indicate to the AMF the NAS non-delivery.</w:t>
      </w:r>
    </w:p>
    <w:p w14:paraId="38ED85DF" w14:textId="40B4E892" w:rsidR="00D40151" w:rsidRPr="00873B6C" w:rsidRDefault="00D40151" w:rsidP="00D40151">
      <w:pPr>
        <w:pStyle w:val="B1"/>
      </w:pPr>
      <w:r w:rsidRPr="00873B6C">
        <w:t>-</w:t>
      </w:r>
      <w:r w:rsidRPr="00873B6C">
        <w:tab/>
        <w:t>If NG RAN has only pending user plane data for transmission, the NG-RAN node may keep the N2 connection active or initiate the AN Release procedure (see</w:t>
      </w:r>
      <w:r w:rsidR="00D602DF" w:rsidRPr="00873B6C">
        <w:t xml:space="preserve"> </w:t>
      </w:r>
      <w:r w:rsidR="00D602DF" w:rsidRPr="00873B6C">
        <w:rPr>
          <w:rFonts w:eastAsia="SimSun"/>
          <w:lang w:eastAsia="zh-CN"/>
        </w:rPr>
        <w:t>clause 4.2.6</w:t>
      </w:r>
      <w:r w:rsidRPr="00873B6C">
        <w:t xml:space="preserve"> </w:t>
      </w:r>
      <w:r w:rsidR="00D602DF" w:rsidRPr="00873B6C">
        <w:t xml:space="preserve">of </w:t>
      </w:r>
      <w:r w:rsidR="00972E70" w:rsidRPr="00873B6C">
        <w:t>TS 23.502 [</w:t>
      </w:r>
      <w:r w:rsidRPr="00873B6C">
        <w:t>3]) based on local configuration in NG-RAN.</w:t>
      </w:r>
    </w:p>
    <w:p w14:paraId="0B357B41" w14:textId="77777777" w:rsidR="00D40151" w:rsidRPr="00873B6C" w:rsidRDefault="00D40151" w:rsidP="00D40151">
      <w:pPr>
        <w:pStyle w:val="NO"/>
      </w:pPr>
      <w:r w:rsidRPr="00873B6C">
        <w:t>NOTE 2:</w:t>
      </w:r>
      <w:r w:rsidRPr="00873B6C">
        <w:tab/>
      </w:r>
      <w:r w:rsidRPr="00873B6C">
        <w:rPr>
          <w:rFonts w:eastAsia="SimSun"/>
          <w:lang w:eastAsia="zh-CN"/>
        </w:rPr>
        <w:t>T</w:t>
      </w:r>
      <w:r w:rsidRPr="00873B6C">
        <w:t>he user plane data which triggers the RAN paging can be lost</w:t>
      </w:r>
      <w:r w:rsidRPr="00873B6C">
        <w:rPr>
          <w:rFonts w:eastAsia="SimSun"/>
          <w:lang w:eastAsia="zh-CN"/>
        </w:rPr>
        <w:t>,</w:t>
      </w:r>
      <w:r w:rsidRPr="00873B6C">
        <w:t xml:space="preserve"> e.g. in the case of RAN paging failure.</w:t>
      </w:r>
    </w:p>
    <w:p w14:paraId="179E1F07" w14:textId="77777777" w:rsidR="005656CA" w:rsidRPr="00873B6C" w:rsidRDefault="005656CA" w:rsidP="00D40151">
      <w:r w:rsidRPr="00873B6C">
        <w:t>If the RAN paging procedure applying eDRX value longer than 10.24s, as defined in TS 38.300 [27], has not requested the CN based mobile terminated (MT) communication handling as described in clause 5.31.7.2.1 and is not successful in establishing contact with the UE after paging the UE, the procedure shall be handled by network as follows:</w:t>
      </w:r>
    </w:p>
    <w:p w14:paraId="41585240" w14:textId="77777777" w:rsidR="005656CA" w:rsidRPr="00873B6C" w:rsidRDefault="005656CA" w:rsidP="005A13C0">
      <w:pPr>
        <w:pStyle w:val="B1"/>
      </w:pPr>
      <w:r w:rsidRPr="00873B6C">
        <w:t>-</w:t>
      </w:r>
      <w:r w:rsidRPr="00873B6C">
        <w:tab/>
        <w:t>If NG-RAN has at least one pending NAS PDU for transmission, the RAN node shall initiate the AN Release procedure (see clause 4.2.6 of TS 23.502 [3]) to move the UE CM state in the AMF to CM-IDLE state and indicate to the AMF the NAS non-delivery.</w:t>
      </w:r>
    </w:p>
    <w:p w14:paraId="0B5C0326" w14:textId="77777777" w:rsidR="005656CA" w:rsidRPr="00873B6C" w:rsidRDefault="005656CA" w:rsidP="005A13C0">
      <w:pPr>
        <w:pStyle w:val="B1"/>
      </w:pPr>
      <w:r w:rsidRPr="00873B6C">
        <w:t>-</w:t>
      </w:r>
      <w:r w:rsidRPr="00873B6C">
        <w:tab/>
        <w:t>If NG-RAN has only pending user plane data for transmission, the NG-RAN node may keep the N2 connection active and based on implementation send indication to the CN requesting the CN based mobile terminated (MT) communication handling as described in clause 5.31.7.2.1, or initiate the AN Release procedure (see clause 4.2.6 of TS 23.502 [3]) based on local configuration in NG-RAN.</w:t>
      </w:r>
    </w:p>
    <w:p w14:paraId="6C4D44C6" w14:textId="0AE7C960" w:rsidR="005656CA" w:rsidRPr="00873B6C" w:rsidRDefault="005656CA" w:rsidP="005A13C0">
      <w:pPr>
        <w:pStyle w:val="NO"/>
      </w:pPr>
      <w:r w:rsidRPr="00873B6C">
        <w:t>NOTE 3:</w:t>
      </w:r>
      <w:r w:rsidRPr="00873B6C">
        <w:tab/>
        <w:t>The user plane data which triggers the RAN paging can be lost, e.g. in the case of RAN paging failure.</w:t>
      </w:r>
    </w:p>
    <w:p w14:paraId="1DC62BC8" w14:textId="410EB547" w:rsidR="00D40151" w:rsidRPr="00873B6C" w:rsidRDefault="00D40151" w:rsidP="00D40151">
      <w:r w:rsidRPr="00873B6C">
        <w:t xml:space="preserve">If a UE in CM-CONNECTED with </w:t>
      </w:r>
      <w:r w:rsidR="009F2095" w:rsidRPr="00873B6C">
        <w:t xml:space="preserve">RRC_INACTIVE </w:t>
      </w:r>
      <w:r w:rsidRPr="00873B6C">
        <w:t>state performs cell selection to GERAN/UTRAN/E-UTRAN, it shall follow idle mode procedures of the selected RAT as specified in clause 5.17.</w:t>
      </w:r>
    </w:p>
    <w:p w14:paraId="568A4FDA" w14:textId="72B8188A" w:rsidR="00D40151" w:rsidRPr="00873B6C" w:rsidRDefault="00D40151" w:rsidP="00D40151">
      <w:r w:rsidRPr="00873B6C">
        <w:t xml:space="preserve">In addition, a UE in CM-CONNECTED state with </w:t>
      </w:r>
      <w:r w:rsidR="009F2095" w:rsidRPr="00873B6C">
        <w:t xml:space="preserve">RRC_INACTIVE </w:t>
      </w:r>
      <w:r w:rsidRPr="00873B6C">
        <w:t xml:space="preserve">state shall enter CM-IDLE state and initiates the NAS signalling recovery (see </w:t>
      </w:r>
      <w:r w:rsidR="00972E70" w:rsidRPr="00873B6C">
        <w:t>TS 24.501 [</w:t>
      </w:r>
      <w:r w:rsidRPr="00873B6C">
        <w:t>47]) in the following cases:</w:t>
      </w:r>
    </w:p>
    <w:p w14:paraId="132640E1" w14:textId="77777777" w:rsidR="00D40151" w:rsidRPr="00873B6C" w:rsidRDefault="00D40151" w:rsidP="00D40151">
      <w:pPr>
        <w:pStyle w:val="B1"/>
      </w:pPr>
      <w:r w:rsidRPr="00873B6C">
        <w:t>-</w:t>
      </w:r>
      <w:r w:rsidRPr="00873B6C">
        <w:tab/>
        <w:t>If RRC resume procedure fails,</w:t>
      </w:r>
    </w:p>
    <w:p w14:paraId="3D93B3AE" w14:textId="77777777" w:rsidR="00D40151" w:rsidRPr="00873B6C" w:rsidRDefault="00D40151" w:rsidP="00D40151">
      <w:pPr>
        <w:pStyle w:val="B1"/>
      </w:pPr>
      <w:r w:rsidRPr="00873B6C">
        <w:tab/>
        <w:t>If the UE receives Core Network paging,</w:t>
      </w:r>
    </w:p>
    <w:p w14:paraId="66610009" w14:textId="77777777" w:rsidR="00D40151" w:rsidRPr="00873B6C" w:rsidRDefault="00D40151" w:rsidP="00D40151">
      <w:pPr>
        <w:pStyle w:val="B1"/>
      </w:pPr>
      <w:r w:rsidRPr="00873B6C">
        <w:t>-</w:t>
      </w:r>
      <w:r w:rsidRPr="00873B6C">
        <w:tab/>
        <w:t xml:space="preserve">If the periodic RAN Notification Area Update timer expires and the UE cannot successfully resume the RRC </w:t>
      </w:r>
      <w:r w:rsidRPr="00873B6C">
        <w:rPr>
          <w:noProof/>
        </w:rPr>
        <w:t>Connection,</w:t>
      </w:r>
    </w:p>
    <w:p w14:paraId="324B53B4" w14:textId="2FA4A0C9" w:rsidR="00D40151" w:rsidRPr="00873B6C" w:rsidRDefault="00D40151" w:rsidP="00D40151">
      <w:pPr>
        <w:pStyle w:val="B1"/>
      </w:pPr>
      <w:r w:rsidRPr="00873B6C">
        <w:t>-</w:t>
      </w:r>
      <w:r w:rsidRPr="00873B6C">
        <w:tab/>
        <w:t xml:space="preserve">In any other failure scenario that cannot be resolved in </w:t>
      </w:r>
      <w:r w:rsidR="009F2095" w:rsidRPr="00873B6C">
        <w:t xml:space="preserve">RRC_INACTIVE </w:t>
      </w:r>
      <w:r w:rsidRPr="00873B6C">
        <w:t>state and requires the UE to move to CM-IDLE state.</w:t>
      </w:r>
    </w:p>
    <w:p w14:paraId="0ED6F297" w14:textId="2FE477BB" w:rsidR="00D40151" w:rsidRPr="00873B6C" w:rsidRDefault="00D40151" w:rsidP="00D40151">
      <w:pPr>
        <w:rPr>
          <w:lang w:eastAsia="zh-CN"/>
        </w:rPr>
      </w:pPr>
      <w:r w:rsidRPr="00873B6C">
        <w:rPr>
          <w:lang w:eastAsia="zh-CN"/>
        </w:rPr>
        <w:t xml:space="preserve">When a UE is in CM-CONNECTED with </w:t>
      </w:r>
      <w:r w:rsidR="009F2095" w:rsidRPr="00873B6C">
        <w:rPr>
          <w:lang w:eastAsia="zh-CN"/>
        </w:rPr>
        <w:t xml:space="preserve">RRC_INACTIVE </w:t>
      </w:r>
      <w:r w:rsidRPr="00873B6C">
        <w:rPr>
          <w:lang w:eastAsia="zh-CN"/>
        </w:rPr>
        <w:t>state</w:t>
      </w:r>
      <w:r w:rsidR="00472CD7" w:rsidRPr="00873B6C">
        <w:rPr>
          <w:lang w:eastAsia="zh-CN"/>
        </w:rPr>
        <w:t xml:space="preserve"> and</w:t>
      </w:r>
      <w:r w:rsidRPr="00873B6C">
        <w:rPr>
          <w:lang w:eastAsia="zh-CN"/>
        </w:rPr>
        <w:t xml:space="preserve"> a trigger to change the UE's NG-RAN</w:t>
      </w:r>
      <w:r w:rsidR="008A60FE" w:rsidRPr="00873B6C">
        <w:rPr>
          <w:lang w:eastAsia="zh-CN"/>
        </w:rPr>
        <w:t xml:space="preserve"> or E</w:t>
      </w:r>
      <w:r w:rsidR="008A60FE" w:rsidRPr="00873B6C">
        <w:rPr>
          <w:lang w:eastAsia="zh-CN"/>
        </w:rPr>
        <w:noBreakHyphen/>
        <w:t>UTRAN</w:t>
      </w:r>
      <w:r w:rsidRPr="00873B6C">
        <w:rPr>
          <w:lang w:eastAsia="zh-CN"/>
        </w:rPr>
        <w:t xml:space="preserve"> UE Radio Capability information happens, the UE shall move to CM-IDLE state and initiate the procedure for updating UE Radio Capability defined in clause 5.4.4.1.</w:t>
      </w:r>
      <w:r w:rsidR="008A60FE" w:rsidRPr="00873B6C">
        <w:rPr>
          <w:lang w:eastAsia="zh-CN"/>
        </w:rPr>
        <w:t xml:space="preserve"> (For specific requirements for a UE operating in dual-registration mode see clause 5.17.2.1)</w:t>
      </w:r>
    </w:p>
    <w:p w14:paraId="6725484B" w14:textId="2E49251E" w:rsidR="00D40151" w:rsidRPr="00873B6C" w:rsidRDefault="00D40151" w:rsidP="00D40151">
      <w:pPr>
        <w:rPr>
          <w:rFonts w:eastAsia="SimSun"/>
          <w:lang w:eastAsia="zh-CN"/>
        </w:rPr>
      </w:pPr>
      <w:r w:rsidRPr="00873B6C">
        <w:rPr>
          <w:lang w:eastAsia="zh-CN"/>
        </w:rPr>
        <w:t xml:space="preserve">When UE </w:t>
      </w:r>
      <w:r w:rsidRPr="00873B6C">
        <w:rPr>
          <w:rFonts w:eastAsia="SimSun"/>
          <w:lang w:eastAsia="zh-CN"/>
        </w:rPr>
        <w:t xml:space="preserve">is in </w:t>
      </w:r>
      <w:r w:rsidRPr="00873B6C">
        <w:t xml:space="preserve">CM-CONNECTED with </w:t>
      </w:r>
      <w:r w:rsidR="009F2095" w:rsidRPr="00873B6C">
        <w:t xml:space="preserve">RRC_INACTIVE </w:t>
      </w:r>
      <w:r w:rsidRPr="00873B6C">
        <w:t>state</w:t>
      </w:r>
      <w:r w:rsidRPr="00873B6C">
        <w:rPr>
          <w:lang w:eastAsia="zh-CN"/>
        </w:rPr>
        <w:t>, if RAN has received Location Reporting Control message from AMF</w:t>
      </w:r>
      <w:r w:rsidRPr="00873B6C">
        <w:rPr>
          <w:rFonts w:eastAsia="SimSun"/>
          <w:lang w:eastAsia="zh-CN"/>
        </w:rPr>
        <w:t xml:space="preserve"> </w:t>
      </w:r>
      <w:r w:rsidRPr="00873B6C">
        <w:rPr>
          <w:lang w:eastAsia="zh-CN"/>
        </w:rPr>
        <w:t>with the Reporting Type indicating single stand-alone report</w:t>
      </w:r>
      <w:r w:rsidR="0053150F" w:rsidRPr="00873B6C">
        <w:rPr>
          <w:lang w:eastAsia="zh-CN"/>
        </w:rPr>
        <w:t xml:space="preserve"> or continuously reporting whenever the UE changes the cell</w:t>
      </w:r>
      <w:r w:rsidRPr="00873B6C">
        <w:rPr>
          <w:rFonts w:cs="Arial"/>
          <w:lang w:eastAsia="zh-CN"/>
        </w:rPr>
        <w:t>, the RAN</w:t>
      </w:r>
      <w:r w:rsidRPr="00873B6C">
        <w:rPr>
          <w:lang w:eastAsia="zh-CN"/>
        </w:rPr>
        <w:t xml:space="preserve"> shall </w:t>
      </w:r>
      <w:r w:rsidRPr="00873B6C">
        <w:rPr>
          <w:rFonts w:eastAsia="SimSun"/>
          <w:lang w:eastAsia="zh-CN"/>
        </w:rPr>
        <w:t>perform</w:t>
      </w:r>
      <w:r w:rsidR="005656CA" w:rsidRPr="00873B6C">
        <w:rPr>
          <w:rFonts w:eastAsia="SimSun"/>
          <w:lang w:eastAsia="zh-CN"/>
        </w:rPr>
        <w:t xml:space="preserve"> </w:t>
      </w:r>
      <w:r w:rsidR="0053150F" w:rsidRPr="00873B6C">
        <w:rPr>
          <w:rFonts w:eastAsia="SimSun"/>
          <w:lang w:eastAsia="zh-CN"/>
        </w:rPr>
        <w:t xml:space="preserve">location reporting as specified in clause 4.10 of </w:t>
      </w:r>
      <w:r w:rsidR="00972E70" w:rsidRPr="00873B6C">
        <w:rPr>
          <w:rFonts w:eastAsia="SimSun"/>
          <w:lang w:eastAsia="zh-CN"/>
        </w:rPr>
        <w:t>TS 23.502 [</w:t>
      </w:r>
      <w:r w:rsidR="0053150F" w:rsidRPr="00873B6C">
        <w:rPr>
          <w:rFonts w:eastAsia="SimSun"/>
          <w:lang w:eastAsia="zh-CN"/>
        </w:rPr>
        <w:t>3]</w:t>
      </w:r>
      <w:r w:rsidRPr="00873B6C">
        <w:rPr>
          <w:rFonts w:eastAsia="SimSun"/>
          <w:lang w:eastAsia="zh-CN"/>
        </w:rPr>
        <w:t>.</w:t>
      </w:r>
    </w:p>
    <w:p w14:paraId="46174212" w14:textId="3AE348DD" w:rsidR="00D40151" w:rsidRPr="00873B6C" w:rsidRDefault="00D40151" w:rsidP="00D40151">
      <w:r w:rsidRPr="00873B6C">
        <w:t xml:space="preserve">When the UE is CM-CONNECTED with </w:t>
      </w:r>
      <w:r w:rsidR="009F2095" w:rsidRPr="00873B6C">
        <w:t xml:space="preserve">RRC_INACTIVE </w:t>
      </w:r>
      <w:r w:rsidRPr="00873B6C">
        <w:t>state.</w:t>
      </w:r>
      <w:r w:rsidRPr="00873B6C">
        <w:rPr>
          <w:lang w:eastAsia="zh-CN"/>
        </w:rPr>
        <w:t xml:space="preserve"> </w:t>
      </w:r>
      <w:r w:rsidRPr="00873B6C">
        <w:t xml:space="preserve">If </w:t>
      </w:r>
      <w:r w:rsidRPr="00873B6C">
        <w:rPr>
          <w:lang w:eastAsia="zh-CN"/>
        </w:rPr>
        <w:t>the AMF receives Nudm_</w:t>
      </w:r>
      <w:r w:rsidRPr="00873B6C">
        <w:t>UEC</w:t>
      </w:r>
      <w:r w:rsidR="00CD64F1" w:rsidRPr="00873B6C">
        <w:t>M</w:t>
      </w:r>
      <w:r w:rsidRPr="00873B6C">
        <w:rPr>
          <w:lang w:eastAsia="zh-CN"/>
        </w:rPr>
        <w:t>_DeregistrationNotification</w:t>
      </w:r>
      <w:r w:rsidRPr="00873B6C">
        <w:t xml:space="preserve"> </w:t>
      </w:r>
      <w:r w:rsidRPr="00873B6C">
        <w:rPr>
          <w:lang w:eastAsia="zh-CN"/>
        </w:rPr>
        <w:t xml:space="preserve">from UDM, </w:t>
      </w:r>
      <w:r w:rsidRPr="00873B6C">
        <w:t xml:space="preserve">the </w:t>
      </w:r>
      <w:r w:rsidRPr="00873B6C">
        <w:rPr>
          <w:lang w:eastAsia="zh-CN"/>
        </w:rPr>
        <w:t>AMF</w:t>
      </w:r>
      <w:r w:rsidRPr="00873B6C">
        <w:t xml:space="preserve"> </w:t>
      </w:r>
      <w:r w:rsidRPr="00873B6C">
        <w:rPr>
          <w:lang w:eastAsia="zh-CN"/>
        </w:rPr>
        <w:t xml:space="preserve">shall </w:t>
      </w:r>
      <w:r w:rsidRPr="00873B6C">
        <w:t>initiate AN Release procedure</w:t>
      </w:r>
      <w:r w:rsidRPr="00873B6C">
        <w:rPr>
          <w:lang w:eastAsia="zh-CN"/>
        </w:rPr>
        <w:t xml:space="preserve"> as specified in</w:t>
      </w:r>
      <w:r w:rsidR="00960CDA" w:rsidRPr="00873B6C">
        <w:rPr>
          <w:lang w:eastAsia="zh-CN"/>
        </w:rPr>
        <w:t xml:space="preserve"> clause 4.2.6</w:t>
      </w:r>
      <w:r w:rsidRPr="00873B6C">
        <w:rPr>
          <w:lang w:eastAsia="zh-CN"/>
        </w:rPr>
        <w:t xml:space="preserve"> </w:t>
      </w:r>
      <w:r w:rsidR="00960CDA" w:rsidRPr="00873B6C">
        <w:rPr>
          <w:lang w:eastAsia="zh-CN"/>
        </w:rPr>
        <w:t xml:space="preserve">of </w:t>
      </w:r>
      <w:r w:rsidR="00972E70" w:rsidRPr="00873B6C">
        <w:rPr>
          <w:lang w:eastAsia="zh-CN"/>
        </w:rPr>
        <w:t>TS 23.502 [</w:t>
      </w:r>
      <w:r w:rsidRPr="00873B6C">
        <w:rPr>
          <w:lang w:eastAsia="zh-CN"/>
        </w:rPr>
        <w:t>3]</w:t>
      </w:r>
      <w:r w:rsidRPr="00873B6C">
        <w:t>.</w:t>
      </w:r>
    </w:p>
    <w:p w14:paraId="054E863B" w14:textId="3D1F5499" w:rsidR="00D40151" w:rsidRPr="00873B6C" w:rsidRDefault="00D40151" w:rsidP="00D40151">
      <w:pPr>
        <w:rPr>
          <w:lang w:eastAsia="zh-CN"/>
        </w:rPr>
      </w:pPr>
      <w:r w:rsidRPr="00873B6C">
        <w:rPr>
          <w:lang w:eastAsia="zh-CN"/>
        </w:rPr>
        <w:t xml:space="preserve">When UE is in CM-CONNECTED with </w:t>
      </w:r>
      <w:r w:rsidR="009F2095" w:rsidRPr="00873B6C">
        <w:rPr>
          <w:lang w:eastAsia="zh-CN"/>
        </w:rPr>
        <w:t xml:space="preserve">RRC_INACTIVE </w:t>
      </w:r>
      <w:r w:rsidRPr="00873B6C">
        <w:rPr>
          <w:lang w:eastAsia="zh-CN"/>
        </w:rPr>
        <w:t>state, if RAN has received Location Reporting Control message from AMF with the Reporting Type of the Area Of Interest based reporting, the RAN shall send a Location Report message to AMF including UE presence in the Area Of Interest (i.e</w:t>
      </w:r>
      <w:r w:rsidR="000E35F2" w:rsidRPr="00873B6C">
        <w:rPr>
          <w:lang w:eastAsia="zh-CN"/>
        </w:rPr>
        <w:t>.</w:t>
      </w:r>
      <w:r w:rsidRPr="00873B6C">
        <w:rPr>
          <w:lang w:eastAsia="zh-CN"/>
        </w:rPr>
        <w:t xml:space="preserve"> IN, OUT, or UNKNOWN) and the UE's last known location with time stamp.</w:t>
      </w:r>
    </w:p>
    <w:p w14:paraId="3080492C" w14:textId="25234A79" w:rsidR="00D40151" w:rsidRPr="00873B6C" w:rsidRDefault="00D40151" w:rsidP="00D40151">
      <w:pPr>
        <w:rPr>
          <w:lang w:eastAsia="zh-CN"/>
        </w:rPr>
      </w:pPr>
      <w:r w:rsidRPr="00873B6C">
        <w:rPr>
          <w:lang w:eastAsia="zh-CN"/>
        </w:rPr>
        <w:lastRenderedPageBreak/>
        <w:t xml:space="preserve">When the UE is in CM-CONNECTED with </w:t>
      </w:r>
      <w:r w:rsidR="00511811" w:rsidRPr="00873B6C">
        <w:rPr>
          <w:lang w:eastAsia="zh-CN"/>
        </w:rPr>
        <w:t xml:space="preserve">RRC_INACTIVE </w:t>
      </w:r>
      <w:r w:rsidRPr="00873B6C">
        <w:rPr>
          <w:lang w:eastAsia="zh-CN"/>
        </w:rPr>
        <w:t xml:space="preserve">state, if the old NG-RAN node that </w:t>
      </w:r>
      <w:r w:rsidR="00511811" w:rsidRPr="00873B6C">
        <w:rPr>
          <w:lang w:eastAsia="zh-CN"/>
        </w:rPr>
        <w:t>sends</w:t>
      </w:r>
      <w:r w:rsidRPr="00873B6C">
        <w:rPr>
          <w:lang w:eastAsia="zh-CN"/>
        </w:rPr>
        <w:t xml:space="preserve"> the UE into </w:t>
      </w:r>
      <w:r w:rsidR="00511811" w:rsidRPr="00873B6C">
        <w:rPr>
          <w:lang w:eastAsia="zh-CN"/>
        </w:rPr>
        <w:t xml:space="preserve">RRC_INACTIVE </w:t>
      </w:r>
      <w:r w:rsidRPr="00873B6C">
        <w:rPr>
          <w:lang w:eastAsia="zh-CN"/>
        </w:rPr>
        <w:t xml:space="preserve">state receives the downlink N2 signalling, it initiates the RAN paging as defined in </w:t>
      </w:r>
      <w:r w:rsidR="00972E70" w:rsidRPr="00873B6C">
        <w:rPr>
          <w:lang w:eastAsia="zh-CN"/>
        </w:rPr>
        <w:t>TS 38.300 [</w:t>
      </w:r>
      <w:r w:rsidRPr="00873B6C">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873B6C" w:rsidRDefault="00D40151" w:rsidP="00D40151">
      <w:pPr>
        <w:pStyle w:val="Heading4"/>
        <w:rPr>
          <w:lang w:eastAsia="zh-CN"/>
        </w:rPr>
      </w:pPr>
      <w:bookmarkStart w:id="881" w:name="_CR5_3_3_3"/>
      <w:bookmarkStart w:id="882" w:name="_Toc20149718"/>
      <w:bookmarkStart w:id="883" w:name="_Toc27846509"/>
      <w:bookmarkStart w:id="884" w:name="_Toc36187633"/>
      <w:bookmarkStart w:id="885" w:name="_Toc45183537"/>
      <w:bookmarkStart w:id="886" w:name="_Toc47342379"/>
      <w:bookmarkStart w:id="887" w:name="_Toc51769077"/>
      <w:bookmarkStart w:id="888" w:name="_Toc201157001"/>
      <w:bookmarkEnd w:id="881"/>
      <w:r w:rsidRPr="00873B6C">
        <w:rPr>
          <w:lang w:eastAsia="zh-CN"/>
        </w:rPr>
        <w:t>5.3.3.3</w:t>
      </w:r>
      <w:r w:rsidRPr="00873B6C">
        <w:rPr>
          <w:lang w:eastAsia="zh-CN"/>
        </w:rPr>
        <w:tab/>
        <w:t>NAS signalling connection management</w:t>
      </w:r>
      <w:bookmarkEnd w:id="882"/>
      <w:bookmarkEnd w:id="883"/>
      <w:bookmarkEnd w:id="884"/>
      <w:bookmarkEnd w:id="885"/>
      <w:bookmarkEnd w:id="886"/>
      <w:bookmarkEnd w:id="887"/>
      <w:bookmarkEnd w:id="888"/>
    </w:p>
    <w:p w14:paraId="110C0318" w14:textId="77777777" w:rsidR="00D40151" w:rsidRPr="00873B6C" w:rsidRDefault="00D40151" w:rsidP="00D40151">
      <w:pPr>
        <w:pStyle w:val="Heading5"/>
        <w:rPr>
          <w:lang w:eastAsia="zh-CN"/>
        </w:rPr>
      </w:pPr>
      <w:bookmarkStart w:id="889" w:name="_CR5_3_3_3_1"/>
      <w:bookmarkStart w:id="890" w:name="_Toc20149719"/>
      <w:bookmarkStart w:id="891" w:name="_Toc27846510"/>
      <w:bookmarkStart w:id="892" w:name="_Toc36187634"/>
      <w:bookmarkStart w:id="893" w:name="_Toc45183538"/>
      <w:bookmarkStart w:id="894" w:name="_Toc47342380"/>
      <w:bookmarkStart w:id="895" w:name="_Toc51769078"/>
      <w:bookmarkStart w:id="896" w:name="_Toc201157002"/>
      <w:bookmarkEnd w:id="889"/>
      <w:r w:rsidRPr="00873B6C">
        <w:rPr>
          <w:lang w:eastAsia="zh-CN"/>
        </w:rPr>
        <w:t>5.3.3.3.1</w:t>
      </w:r>
      <w:r w:rsidRPr="00873B6C">
        <w:rPr>
          <w:lang w:eastAsia="zh-CN"/>
        </w:rPr>
        <w:tab/>
        <w:t>General</w:t>
      </w:r>
      <w:bookmarkEnd w:id="890"/>
      <w:bookmarkEnd w:id="891"/>
      <w:bookmarkEnd w:id="892"/>
      <w:bookmarkEnd w:id="893"/>
      <w:bookmarkEnd w:id="894"/>
      <w:bookmarkEnd w:id="895"/>
      <w:bookmarkEnd w:id="896"/>
    </w:p>
    <w:p w14:paraId="14DF5C27" w14:textId="77777777" w:rsidR="00D40151" w:rsidRPr="00873B6C" w:rsidRDefault="00D40151" w:rsidP="00D40151">
      <w:pPr>
        <w:rPr>
          <w:lang w:eastAsia="zh-CN"/>
        </w:rPr>
      </w:pPr>
      <w:r w:rsidRPr="00873B6C">
        <w:t>NAS signalling connection management include</w:t>
      </w:r>
      <w:r w:rsidRPr="00873B6C">
        <w:rPr>
          <w:lang w:eastAsia="zh-CN"/>
        </w:rPr>
        <w:t>s</w:t>
      </w:r>
      <w:r w:rsidRPr="00873B6C">
        <w:t xml:space="preserve"> the functions of establishing </w:t>
      </w:r>
      <w:r w:rsidRPr="00873B6C">
        <w:rPr>
          <w:lang w:eastAsia="zh-CN"/>
        </w:rPr>
        <w:t xml:space="preserve">and releasing a </w:t>
      </w:r>
      <w:r w:rsidRPr="00873B6C">
        <w:t>NAS signalling connection</w:t>
      </w:r>
      <w:r w:rsidRPr="00873B6C">
        <w:rPr>
          <w:lang w:eastAsia="zh-CN"/>
        </w:rPr>
        <w:t>.</w:t>
      </w:r>
    </w:p>
    <w:p w14:paraId="57DF12FE" w14:textId="77777777" w:rsidR="00D40151" w:rsidRPr="00873B6C" w:rsidRDefault="00D40151" w:rsidP="00D40151">
      <w:pPr>
        <w:pStyle w:val="Heading5"/>
        <w:rPr>
          <w:lang w:eastAsia="zh-CN"/>
        </w:rPr>
      </w:pPr>
      <w:bookmarkStart w:id="897" w:name="_CR5_3_3_3_2"/>
      <w:bookmarkStart w:id="898" w:name="_Toc20149720"/>
      <w:bookmarkStart w:id="899" w:name="_Toc27846511"/>
      <w:bookmarkStart w:id="900" w:name="_Toc36187635"/>
      <w:bookmarkStart w:id="901" w:name="_Toc45183539"/>
      <w:bookmarkStart w:id="902" w:name="_Toc47342381"/>
      <w:bookmarkStart w:id="903" w:name="_Toc51769079"/>
      <w:bookmarkStart w:id="904" w:name="_Toc201157003"/>
      <w:bookmarkEnd w:id="897"/>
      <w:r w:rsidRPr="00873B6C">
        <w:rPr>
          <w:lang w:eastAsia="zh-CN"/>
        </w:rPr>
        <w:t>5.3.3.3.2</w:t>
      </w:r>
      <w:r w:rsidRPr="00873B6C">
        <w:rPr>
          <w:lang w:eastAsia="zh-CN"/>
        </w:rPr>
        <w:tab/>
        <w:t>NAS signalling connection establishment</w:t>
      </w:r>
      <w:bookmarkEnd w:id="898"/>
      <w:bookmarkEnd w:id="899"/>
      <w:bookmarkEnd w:id="900"/>
      <w:bookmarkEnd w:id="901"/>
      <w:bookmarkEnd w:id="902"/>
      <w:bookmarkEnd w:id="903"/>
      <w:bookmarkEnd w:id="904"/>
    </w:p>
    <w:p w14:paraId="23E87769" w14:textId="712BED79" w:rsidR="00D40151" w:rsidRPr="00873B6C" w:rsidRDefault="00D40151" w:rsidP="00D40151">
      <w:pPr>
        <w:rPr>
          <w:lang w:eastAsia="zh-CN"/>
        </w:rPr>
      </w:pPr>
      <w:r w:rsidRPr="00873B6C">
        <w:rPr>
          <w:lang w:eastAsia="zh-CN"/>
        </w:rPr>
        <w:t xml:space="preserve">NAS signalling connection establishment function is provided by the UE and the AMF to establish a NAS signalling connection for a UE in CM-IDLE state. </w:t>
      </w:r>
      <w:r w:rsidRPr="00873B6C">
        <w:rPr>
          <w:rFonts w:eastAsia="SimSun"/>
          <w:lang w:eastAsia="zh-CN"/>
        </w:rPr>
        <w:t xml:space="preserve">The AMF shall provide the </w:t>
      </w:r>
      <w:r w:rsidRPr="00873B6C">
        <w:t>list of recommended cells</w:t>
      </w:r>
      <w:r w:rsidRPr="00873B6C">
        <w:rPr>
          <w:rFonts w:eastAsia="SimSun"/>
          <w:lang w:eastAsia="zh-CN"/>
        </w:rPr>
        <w:t xml:space="preserve">/ </w:t>
      </w:r>
      <w:r w:rsidRPr="00873B6C">
        <w:t>TAs</w:t>
      </w:r>
      <w:r w:rsidRPr="00873B6C">
        <w:rPr>
          <w:rFonts w:eastAsia="SimSun"/>
          <w:lang w:eastAsia="zh-CN"/>
        </w:rPr>
        <w:t xml:space="preserve"> / NG-RAN node identifiers for paging, </w:t>
      </w:r>
      <w:r w:rsidRPr="00873B6C">
        <w:rPr>
          <w:lang w:eastAsia="zh-CN"/>
        </w:rPr>
        <w:t>if the NG-RAN had provided that information in an earlier AN Release Procedure in the AN (</w:t>
      </w:r>
      <w:r w:rsidRPr="00873B6C">
        <w:t>see clause 4.2.6 of</w:t>
      </w:r>
      <w:r w:rsidR="00704A9E" w:rsidRPr="00873B6C">
        <w:t xml:space="preserve"> </w:t>
      </w:r>
      <w:r w:rsidR="00972E70" w:rsidRPr="00873B6C">
        <w:t>TS 23.502 [</w:t>
      </w:r>
      <w:r w:rsidRPr="00873B6C">
        <w:t>3])</w:t>
      </w:r>
      <w:r w:rsidRPr="00873B6C">
        <w:rPr>
          <w:rFonts w:eastAsia="SimSun"/>
          <w:lang w:eastAsia="zh-CN"/>
        </w:rPr>
        <w:t>.</w:t>
      </w:r>
    </w:p>
    <w:p w14:paraId="2839C885" w14:textId="15E7BBFC" w:rsidR="00D40151" w:rsidRPr="00873B6C" w:rsidRDefault="00D40151" w:rsidP="00D40151">
      <w:pPr>
        <w:rPr>
          <w:rFonts w:eastAsia="Arial Unicode MS"/>
          <w:lang w:eastAsia="zh-CN"/>
        </w:rPr>
      </w:pPr>
      <w:r w:rsidRPr="00873B6C">
        <w:t xml:space="preserve">When the UE </w:t>
      </w:r>
      <w:r w:rsidRPr="00873B6C">
        <w:rPr>
          <w:lang w:eastAsia="zh-CN"/>
        </w:rPr>
        <w:t>in CM-IDLE state</w:t>
      </w:r>
      <w:r w:rsidRPr="00873B6C">
        <w:t xml:space="preserve"> needs to transmit an NAS message, the UE shall </w:t>
      </w:r>
      <w:r w:rsidRPr="00873B6C">
        <w:rPr>
          <w:lang w:eastAsia="zh-CN"/>
        </w:rPr>
        <w:t xml:space="preserve">initiate a Service Request, a Registration or a Deregistration procedure to establish a NAS signalling connection to the AMF as specified in </w:t>
      </w:r>
      <w:r w:rsidR="00960CDA" w:rsidRPr="00873B6C">
        <w:rPr>
          <w:lang w:eastAsia="zh-CN"/>
        </w:rPr>
        <w:t xml:space="preserve">clauses 4.2.2 and 4.2.3 of </w:t>
      </w:r>
      <w:r w:rsidR="00972E70" w:rsidRPr="00873B6C">
        <w:rPr>
          <w:lang w:eastAsia="zh-CN"/>
        </w:rPr>
        <w:t>TS 23.502 [</w:t>
      </w:r>
      <w:r w:rsidRPr="00873B6C">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873B6C" w:rsidRDefault="00D40151" w:rsidP="00D40151">
      <w:pPr>
        <w:rPr>
          <w:lang w:eastAsia="zh-CN"/>
        </w:rPr>
      </w:pPr>
      <w:r w:rsidRPr="00873B6C">
        <w:rPr>
          <w:rFonts w:eastAsia="Arial Unicode MS"/>
          <w:lang w:eastAsia="zh-CN"/>
        </w:rPr>
        <w:t>Based on UE preferences, UE subscription, Mobility Pattern and network configuration, t</w:t>
      </w:r>
      <w:r w:rsidRPr="00873B6C">
        <w:rPr>
          <w:rFonts w:eastAsia="Arial Unicode MS"/>
        </w:rPr>
        <w:t xml:space="preserve">he AMF </w:t>
      </w:r>
      <w:r w:rsidRPr="00873B6C">
        <w:rPr>
          <w:rFonts w:eastAsia="Arial Unicode MS"/>
          <w:lang w:eastAsia="zh-CN"/>
        </w:rPr>
        <w:t>may keep the NAS signalling connection until the UE de-registers from the network.</w:t>
      </w:r>
    </w:p>
    <w:p w14:paraId="4572F117" w14:textId="77777777" w:rsidR="00D40151" w:rsidRPr="00873B6C" w:rsidRDefault="00D40151" w:rsidP="00D40151">
      <w:pPr>
        <w:pStyle w:val="Heading5"/>
        <w:rPr>
          <w:lang w:eastAsia="zh-CN"/>
        </w:rPr>
      </w:pPr>
      <w:bookmarkStart w:id="905" w:name="_CR5_3_3_3_3"/>
      <w:bookmarkStart w:id="906" w:name="_Toc20149721"/>
      <w:bookmarkStart w:id="907" w:name="_Toc27846512"/>
      <w:bookmarkStart w:id="908" w:name="_Toc36187636"/>
      <w:bookmarkStart w:id="909" w:name="_Toc45183540"/>
      <w:bookmarkStart w:id="910" w:name="_Toc47342382"/>
      <w:bookmarkStart w:id="911" w:name="_Toc51769080"/>
      <w:bookmarkStart w:id="912" w:name="_Toc201157004"/>
      <w:bookmarkEnd w:id="905"/>
      <w:r w:rsidRPr="00873B6C">
        <w:rPr>
          <w:lang w:eastAsia="zh-CN"/>
        </w:rPr>
        <w:t>5.3.3.3.3</w:t>
      </w:r>
      <w:r w:rsidRPr="00873B6C">
        <w:rPr>
          <w:lang w:eastAsia="zh-CN"/>
        </w:rPr>
        <w:tab/>
        <w:t>NAS signalling connection Release</w:t>
      </w:r>
      <w:bookmarkEnd w:id="906"/>
      <w:bookmarkEnd w:id="907"/>
      <w:bookmarkEnd w:id="908"/>
      <w:bookmarkEnd w:id="909"/>
      <w:bookmarkEnd w:id="910"/>
      <w:bookmarkEnd w:id="911"/>
      <w:bookmarkEnd w:id="912"/>
    </w:p>
    <w:p w14:paraId="6597C99C" w14:textId="59CBA156" w:rsidR="00D40151" w:rsidRPr="00873B6C" w:rsidRDefault="00D40151" w:rsidP="00D40151">
      <w:pPr>
        <w:rPr>
          <w:lang w:eastAsia="zh-CN"/>
        </w:rPr>
      </w:pPr>
      <w:r w:rsidRPr="00873B6C">
        <w:t xml:space="preserve">The </w:t>
      </w:r>
      <w:r w:rsidRPr="00873B6C">
        <w:rPr>
          <w:lang w:eastAsia="zh-CN"/>
        </w:rPr>
        <w:t>procedure</w:t>
      </w:r>
      <w:r w:rsidRPr="00873B6C">
        <w:t xml:space="preserve"> of </w:t>
      </w:r>
      <w:r w:rsidRPr="00873B6C">
        <w:rPr>
          <w:lang w:eastAsia="zh-CN"/>
        </w:rPr>
        <w:t>releasing a</w:t>
      </w:r>
      <w:r w:rsidRPr="00873B6C">
        <w:t xml:space="preserve"> NAS signalling connection is initiated by the AN node (either </w:t>
      </w:r>
      <w:r w:rsidRPr="00873B6C">
        <w:rPr>
          <w:lang w:eastAsia="zh-CN"/>
        </w:rPr>
        <w:t>5G (R)AN node or N3IWF) or the AMF</w:t>
      </w:r>
      <w:r w:rsidRPr="00873B6C">
        <w:t xml:space="preserve">. </w:t>
      </w:r>
      <w:r w:rsidRPr="00873B6C">
        <w:rPr>
          <w:lang w:eastAsia="zh-CN"/>
        </w:rPr>
        <w:t xml:space="preserve">The NG-RAN node may include </w:t>
      </w:r>
      <w:r w:rsidRPr="00873B6C">
        <w:rPr>
          <w:rFonts w:eastAsia="SimSun"/>
          <w:lang w:eastAsia="zh-CN"/>
        </w:rPr>
        <w:t xml:space="preserve">the </w:t>
      </w:r>
      <w:r w:rsidRPr="00873B6C">
        <w:t>list of recommended cells</w:t>
      </w:r>
      <w:r w:rsidRPr="00873B6C">
        <w:rPr>
          <w:rFonts w:eastAsia="SimSun"/>
          <w:lang w:eastAsia="zh-CN"/>
        </w:rPr>
        <w:t xml:space="preserve">/ </w:t>
      </w:r>
      <w:r w:rsidRPr="00873B6C">
        <w:t>TAs</w:t>
      </w:r>
      <w:r w:rsidRPr="00873B6C">
        <w:rPr>
          <w:rFonts w:eastAsia="SimSun"/>
          <w:lang w:eastAsia="zh-CN"/>
        </w:rPr>
        <w:t xml:space="preserve"> / NG-RAN node identifiers for paging,</w:t>
      </w:r>
      <w:r w:rsidRPr="00873B6C">
        <w:t xml:space="preserve"> during the AN Release Procedure in the AN (see clause 4.2.6 of</w:t>
      </w:r>
      <w:r w:rsidR="00704A9E" w:rsidRPr="00873B6C">
        <w:t xml:space="preserve"> </w:t>
      </w:r>
      <w:r w:rsidR="00972E70" w:rsidRPr="00873B6C">
        <w:t>TS 23.502 [</w:t>
      </w:r>
      <w:r w:rsidRPr="00873B6C">
        <w:t xml:space="preserve">3]). </w:t>
      </w:r>
      <w:r w:rsidRPr="00873B6C">
        <w:rPr>
          <w:rFonts w:eastAsia="SimSun"/>
          <w:lang w:eastAsia="zh-CN"/>
        </w:rPr>
        <w:t xml:space="preserve">The AMF stores this information, </w:t>
      </w:r>
      <w:r w:rsidRPr="00873B6C">
        <w:rPr>
          <w:lang w:eastAsia="zh-CN"/>
        </w:rPr>
        <w:t>if provided by the NG-RAN</w:t>
      </w:r>
      <w:r w:rsidRPr="00873B6C">
        <w:rPr>
          <w:rFonts w:eastAsia="SimSun"/>
          <w:lang w:eastAsia="zh-CN"/>
        </w:rPr>
        <w:t>.</w:t>
      </w:r>
    </w:p>
    <w:p w14:paraId="0B1E3FBD" w14:textId="77777777" w:rsidR="00D40151" w:rsidRPr="00873B6C" w:rsidRDefault="00D40151" w:rsidP="00D40151">
      <w:r w:rsidRPr="00873B6C">
        <w:rPr>
          <w:lang w:eastAsia="zh-CN"/>
        </w:rPr>
        <w:t>T</w:t>
      </w:r>
      <w:r w:rsidRPr="00873B6C">
        <w:t>he UE consider</w:t>
      </w:r>
      <w:r w:rsidRPr="00873B6C">
        <w:rPr>
          <w:rFonts w:eastAsia="Malgun Gothic"/>
          <w:lang w:eastAsia="ko-KR"/>
        </w:rPr>
        <w:t>s</w:t>
      </w:r>
      <w:r w:rsidRPr="00873B6C">
        <w:t xml:space="preserve"> the NAS signalling connection </w:t>
      </w:r>
      <w:r w:rsidRPr="00873B6C">
        <w:rPr>
          <w:lang w:eastAsia="zh-CN"/>
        </w:rPr>
        <w:t xml:space="preserve">is </w:t>
      </w:r>
      <w:r w:rsidRPr="00873B6C">
        <w:t xml:space="preserve">released </w:t>
      </w:r>
      <w:r w:rsidRPr="00873B6C">
        <w:rPr>
          <w:lang w:eastAsia="zh-CN"/>
        </w:rPr>
        <w:t>if it detects the AN signalling connection is released.</w:t>
      </w:r>
      <w:r w:rsidRPr="00873B6C">
        <w:t xml:space="preserve"> </w:t>
      </w:r>
      <w:r w:rsidRPr="00873B6C">
        <w:rPr>
          <w:lang w:eastAsia="zh-CN"/>
        </w:rPr>
        <w:t>T</w:t>
      </w:r>
      <w:r w:rsidRPr="00873B6C">
        <w:t xml:space="preserve">he </w:t>
      </w:r>
      <w:r w:rsidRPr="00873B6C">
        <w:rPr>
          <w:lang w:eastAsia="zh-CN"/>
        </w:rPr>
        <w:t>AMF</w:t>
      </w:r>
      <w:r w:rsidRPr="00873B6C">
        <w:t xml:space="preserve"> consider</w:t>
      </w:r>
      <w:r w:rsidRPr="00873B6C">
        <w:rPr>
          <w:lang w:eastAsia="ko-KR"/>
        </w:rPr>
        <w:t>s</w:t>
      </w:r>
      <w:r w:rsidRPr="00873B6C">
        <w:t xml:space="preserve"> the NAS signalling connection </w:t>
      </w:r>
      <w:r w:rsidRPr="00873B6C">
        <w:rPr>
          <w:lang w:eastAsia="zh-CN"/>
        </w:rPr>
        <w:t xml:space="preserve">is </w:t>
      </w:r>
      <w:r w:rsidRPr="00873B6C">
        <w:t xml:space="preserve">released </w:t>
      </w:r>
      <w:r w:rsidRPr="00873B6C">
        <w:rPr>
          <w:lang w:eastAsia="zh-CN"/>
        </w:rPr>
        <w:t>if it detects the N2 context is released.</w:t>
      </w:r>
    </w:p>
    <w:p w14:paraId="227FF5E0" w14:textId="77777777" w:rsidR="00D40151" w:rsidRPr="00873B6C" w:rsidRDefault="00D40151" w:rsidP="00D40151">
      <w:pPr>
        <w:pStyle w:val="Heading4"/>
        <w:rPr>
          <w:lang w:eastAsia="zh-CN"/>
        </w:rPr>
      </w:pPr>
      <w:bookmarkStart w:id="913" w:name="_CR5_3_3_4"/>
      <w:bookmarkStart w:id="914" w:name="_Toc20149722"/>
      <w:bookmarkStart w:id="915" w:name="_Toc27846513"/>
      <w:bookmarkStart w:id="916" w:name="_Toc36187637"/>
      <w:bookmarkStart w:id="917" w:name="_Toc45183541"/>
      <w:bookmarkStart w:id="918" w:name="_Toc47342383"/>
      <w:bookmarkStart w:id="919" w:name="_Toc51769081"/>
      <w:bookmarkStart w:id="920" w:name="_Toc201157005"/>
      <w:bookmarkEnd w:id="913"/>
      <w:r w:rsidRPr="00873B6C">
        <w:rPr>
          <w:lang w:eastAsia="zh-CN"/>
        </w:rPr>
        <w:t>5.3.3.4</w:t>
      </w:r>
      <w:r w:rsidRPr="00873B6C">
        <w:rPr>
          <w:lang w:eastAsia="zh-CN"/>
        </w:rPr>
        <w:tab/>
        <w:t>Support of a UE connected over both 3GPP and Non-3GPP access</w:t>
      </w:r>
      <w:bookmarkEnd w:id="914"/>
      <w:bookmarkEnd w:id="915"/>
      <w:bookmarkEnd w:id="916"/>
      <w:bookmarkEnd w:id="917"/>
      <w:bookmarkEnd w:id="918"/>
      <w:bookmarkEnd w:id="919"/>
      <w:bookmarkEnd w:id="920"/>
    </w:p>
    <w:p w14:paraId="22085F67" w14:textId="77777777" w:rsidR="00D40151" w:rsidRPr="00873B6C" w:rsidRDefault="00D40151" w:rsidP="00D40151">
      <w:pPr>
        <w:rPr>
          <w:lang w:eastAsia="zh-CN"/>
        </w:rPr>
      </w:pPr>
      <w:r w:rsidRPr="00873B6C">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6BA6977C" w:rsidR="00D40151" w:rsidRPr="00873B6C" w:rsidRDefault="00D40151" w:rsidP="00D40151">
      <w:pPr>
        <w:rPr>
          <w:lang w:eastAsia="zh-CN"/>
        </w:rPr>
      </w:pPr>
      <w:r w:rsidRPr="00873B6C">
        <w:t>When the UE CM state in the AMF is CM-IDLE</w:t>
      </w:r>
      <w:r w:rsidRPr="00873B6C">
        <w:rPr>
          <w:rFonts w:eastAsia="Malgun Gothic"/>
          <w:lang w:eastAsia="ko-KR"/>
        </w:rPr>
        <w:t xml:space="preserve"> for </w:t>
      </w:r>
      <w:r w:rsidRPr="00873B6C">
        <w:rPr>
          <w:lang w:eastAsia="zh-CN"/>
        </w:rPr>
        <w:t>3GPP access</w:t>
      </w:r>
      <w:r w:rsidRPr="00873B6C">
        <w:rPr>
          <w:rFonts w:eastAsia="Malgun Gothic"/>
          <w:lang w:eastAsia="ko-KR"/>
        </w:rPr>
        <w:t xml:space="preserve"> and CM-CONNECTED for Non-3GPP access</w:t>
      </w:r>
      <w:r w:rsidRPr="00873B6C">
        <w:t>, the AMF</w:t>
      </w:r>
      <w:r w:rsidRPr="00873B6C">
        <w:rPr>
          <w:rFonts w:eastAsia="Malgun Gothic"/>
          <w:lang w:eastAsia="ko-KR"/>
        </w:rPr>
        <w:t xml:space="preserve"> shall p</w:t>
      </w:r>
      <w:r w:rsidRPr="00873B6C">
        <w:t>erform a network triggered Service Request procedure</w:t>
      </w:r>
      <w:r w:rsidRPr="00873B6C">
        <w:rPr>
          <w:rFonts w:eastAsia="Malgun Gothic"/>
          <w:lang w:eastAsia="ko-KR"/>
        </w:rPr>
        <w:t>,</w:t>
      </w:r>
      <w:r w:rsidRPr="00873B6C">
        <w:t xml:space="preserve"> when it has </w:t>
      </w:r>
      <w:r w:rsidRPr="00873B6C">
        <w:rPr>
          <w:rFonts w:eastAsia="Malgun Gothic"/>
          <w:lang w:eastAsia="ko-KR"/>
        </w:rPr>
        <w:t xml:space="preserve">downlink </w:t>
      </w:r>
      <w:r w:rsidRPr="00873B6C">
        <w:t>data to be sent to this UE</w:t>
      </w:r>
      <w:r w:rsidRPr="00873B6C">
        <w:rPr>
          <w:rFonts w:eastAsia="Malgun Gothic"/>
          <w:lang w:eastAsia="ko-KR"/>
        </w:rPr>
        <w:t xml:space="preserve"> for 3GPP access</w:t>
      </w:r>
      <w:r w:rsidRPr="00873B6C">
        <w:t xml:space="preserve">, by sending </w:t>
      </w:r>
      <w:r w:rsidRPr="00873B6C">
        <w:rPr>
          <w:rFonts w:eastAsia="Malgun Gothic"/>
          <w:lang w:eastAsia="ko-KR"/>
        </w:rPr>
        <w:t>either the Paging Request via 3GPP access or the</w:t>
      </w:r>
      <w:r w:rsidRPr="00873B6C">
        <w:t xml:space="preserve"> </w:t>
      </w:r>
      <w:r w:rsidRPr="00873B6C">
        <w:rPr>
          <w:rFonts w:eastAsia="Malgun Gothic"/>
          <w:lang w:eastAsia="ko-KR"/>
        </w:rPr>
        <w:t>NAS notification</w:t>
      </w:r>
      <w:r w:rsidRPr="00873B6C">
        <w:t xml:space="preserve"> </w:t>
      </w:r>
      <w:r w:rsidRPr="00873B6C">
        <w:rPr>
          <w:rFonts w:eastAsia="Malgun Gothic"/>
          <w:lang w:eastAsia="ko-KR"/>
        </w:rPr>
        <w:t xml:space="preserve">via Non-3GPP access </w:t>
      </w:r>
      <w:r w:rsidRPr="00873B6C">
        <w:t>to this UE (see</w:t>
      </w:r>
      <w:r w:rsidR="00D602DF" w:rsidRPr="00873B6C">
        <w:t xml:space="preserve"> clause 4.2.3.3</w:t>
      </w:r>
      <w:r w:rsidRPr="00873B6C">
        <w:t xml:space="preserve"> </w:t>
      </w:r>
      <w:r w:rsidR="00D602DF" w:rsidRPr="00873B6C">
        <w:t xml:space="preserve">of </w:t>
      </w:r>
      <w:r w:rsidR="00972E70" w:rsidRPr="00873B6C">
        <w:t>TS 23.502 [</w:t>
      </w:r>
      <w:r w:rsidRPr="00873B6C">
        <w:t>3])</w:t>
      </w:r>
      <w:r w:rsidRPr="00873B6C">
        <w:rPr>
          <w:rFonts w:eastAsia="Malgun Gothic"/>
          <w:lang w:eastAsia="ko-KR"/>
        </w:rPr>
        <w:t>.</w:t>
      </w:r>
    </w:p>
    <w:p w14:paraId="6D5663C0" w14:textId="77777777" w:rsidR="00D40151" w:rsidRPr="00873B6C" w:rsidRDefault="00D40151" w:rsidP="00D40151">
      <w:pPr>
        <w:rPr>
          <w:lang w:eastAsia="zh-CN"/>
        </w:rPr>
      </w:pPr>
      <w:r w:rsidRPr="00873B6C">
        <w:rPr>
          <w:lang w:eastAsia="zh-CN"/>
        </w:rPr>
        <w:t xml:space="preserve">Connection </w:t>
      </w:r>
      <w:r w:rsidRPr="00873B6C">
        <w:t>Management over Non-3GPP access is further defined in clause 5.5.2.</w:t>
      </w:r>
    </w:p>
    <w:p w14:paraId="263DBE01" w14:textId="77777777" w:rsidR="00D40151" w:rsidRPr="00873B6C" w:rsidRDefault="00D40151" w:rsidP="00D40151">
      <w:pPr>
        <w:pStyle w:val="Heading3"/>
        <w:rPr>
          <w:lang w:eastAsia="zh-CN"/>
        </w:rPr>
      </w:pPr>
      <w:bookmarkStart w:id="921" w:name="_CR5_3_4"/>
      <w:bookmarkStart w:id="922" w:name="_Toc20149723"/>
      <w:bookmarkStart w:id="923" w:name="_Toc27846514"/>
      <w:bookmarkStart w:id="924" w:name="_Toc36187638"/>
      <w:bookmarkStart w:id="925" w:name="_Toc45183542"/>
      <w:bookmarkStart w:id="926" w:name="_Toc47342384"/>
      <w:bookmarkStart w:id="927" w:name="_Toc51769082"/>
      <w:bookmarkStart w:id="928" w:name="_Toc201157006"/>
      <w:bookmarkEnd w:id="921"/>
      <w:r w:rsidRPr="00873B6C">
        <w:rPr>
          <w:lang w:eastAsia="zh-CN"/>
        </w:rPr>
        <w:lastRenderedPageBreak/>
        <w:t>5.3.4</w:t>
      </w:r>
      <w:r w:rsidRPr="00873B6C">
        <w:rPr>
          <w:lang w:eastAsia="zh-CN"/>
        </w:rPr>
        <w:tab/>
        <w:t>UE Mobility</w:t>
      </w:r>
      <w:bookmarkEnd w:id="922"/>
      <w:bookmarkEnd w:id="923"/>
      <w:bookmarkEnd w:id="924"/>
      <w:bookmarkEnd w:id="925"/>
      <w:bookmarkEnd w:id="926"/>
      <w:bookmarkEnd w:id="927"/>
      <w:bookmarkEnd w:id="928"/>
    </w:p>
    <w:p w14:paraId="29AEEC94" w14:textId="77777777" w:rsidR="00D40151" w:rsidRPr="00873B6C" w:rsidRDefault="00D40151" w:rsidP="00D40151">
      <w:pPr>
        <w:pStyle w:val="Heading4"/>
      </w:pPr>
      <w:bookmarkStart w:id="929" w:name="_CR5_3_4_1"/>
      <w:bookmarkStart w:id="930" w:name="_Toc20149724"/>
      <w:bookmarkStart w:id="931" w:name="_Toc27846515"/>
      <w:bookmarkStart w:id="932" w:name="_Toc36187639"/>
      <w:bookmarkStart w:id="933" w:name="_Toc45183543"/>
      <w:bookmarkStart w:id="934" w:name="_Toc47342385"/>
      <w:bookmarkStart w:id="935" w:name="_Toc51769083"/>
      <w:bookmarkStart w:id="936" w:name="_Toc201157007"/>
      <w:bookmarkEnd w:id="929"/>
      <w:r w:rsidRPr="00873B6C">
        <w:t>5.3.4.1</w:t>
      </w:r>
      <w:r w:rsidRPr="00873B6C">
        <w:tab/>
        <w:t>Mobility Restrictions</w:t>
      </w:r>
      <w:bookmarkEnd w:id="930"/>
      <w:bookmarkEnd w:id="931"/>
      <w:bookmarkEnd w:id="932"/>
      <w:bookmarkEnd w:id="933"/>
      <w:bookmarkEnd w:id="934"/>
      <w:bookmarkEnd w:id="935"/>
      <w:bookmarkEnd w:id="936"/>
    </w:p>
    <w:p w14:paraId="36B6B6CB" w14:textId="77777777" w:rsidR="00D40151" w:rsidRPr="00873B6C" w:rsidRDefault="00D40151" w:rsidP="00D40151">
      <w:pPr>
        <w:pStyle w:val="Heading5"/>
      </w:pPr>
      <w:bookmarkStart w:id="937" w:name="_CR5_3_4_1_1"/>
      <w:bookmarkStart w:id="938" w:name="_Toc20149725"/>
      <w:bookmarkStart w:id="939" w:name="_Toc27846516"/>
      <w:bookmarkStart w:id="940" w:name="_Toc36187640"/>
      <w:bookmarkStart w:id="941" w:name="_Toc45183544"/>
      <w:bookmarkStart w:id="942" w:name="_Toc47342386"/>
      <w:bookmarkStart w:id="943" w:name="_Toc51769084"/>
      <w:bookmarkStart w:id="944" w:name="_Toc201157008"/>
      <w:bookmarkEnd w:id="937"/>
      <w:r w:rsidRPr="00873B6C">
        <w:t>5.3.4.1.1</w:t>
      </w:r>
      <w:r w:rsidRPr="00873B6C">
        <w:tab/>
        <w:t>General</w:t>
      </w:r>
      <w:bookmarkEnd w:id="938"/>
      <w:bookmarkEnd w:id="939"/>
      <w:bookmarkEnd w:id="940"/>
      <w:bookmarkEnd w:id="941"/>
      <w:bookmarkEnd w:id="942"/>
      <w:bookmarkEnd w:id="943"/>
      <w:bookmarkEnd w:id="944"/>
    </w:p>
    <w:p w14:paraId="1A8F5919" w14:textId="77777777" w:rsidR="00D40151" w:rsidRPr="00873B6C" w:rsidRDefault="00D40151" w:rsidP="00D40151">
      <w:r w:rsidRPr="00873B6C">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873B6C" w:rsidRDefault="00D40151" w:rsidP="00D40151">
      <w:r w:rsidRPr="00873B6C">
        <w:t>Unless otherwise stated, Mobility Restrictions only apply to 3GPP access and wireline access, they do not apply to other non-3GPP accesses.</w:t>
      </w:r>
    </w:p>
    <w:p w14:paraId="795792F4" w14:textId="5535A7D7" w:rsidR="00D40151" w:rsidRPr="00873B6C" w:rsidRDefault="00D40151" w:rsidP="00D40151">
      <w:r w:rsidRPr="00873B6C">
        <w:t>The UE and the network shall override</w:t>
      </w:r>
      <w:r w:rsidR="00CD64F1" w:rsidRPr="00873B6C">
        <w:t xml:space="preserve"> Mobility</w:t>
      </w:r>
      <w:r w:rsidRPr="00873B6C">
        <w:t xml:space="preserve"> restriction</w:t>
      </w:r>
      <w:r w:rsidR="008A60FE" w:rsidRPr="00873B6C">
        <w:t xml:space="preserve"> as specified in clause 5.16.4.3</w:t>
      </w:r>
      <w:r w:rsidRPr="00873B6C">
        <w:t xml:space="preserve"> when accessing the network for Emergency </w:t>
      </w:r>
      <w:r w:rsidR="008A60FE" w:rsidRPr="00873B6C">
        <w:t>S</w:t>
      </w:r>
      <w:r w:rsidRPr="00873B6C">
        <w:t>ervices</w:t>
      </w:r>
      <w:r w:rsidR="008A60FE" w:rsidRPr="00873B6C">
        <w:t>. For</w:t>
      </w:r>
      <w:r w:rsidRPr="00873B6C">
        <w:t xml:space="preserve"> MPS</w:t>
      </w:r>
      <w:r w:rsidR="008A60FE" w:rsidRPr="00873B6C">
        <w:t xml:space="preserve"> and MCX,</w:t>
      </w:r>
      <w:r w:rsidR="00060FE0" w:rsidRPr="00873B6C">
        <w:t xml:space="preserve"> based on operator policy or regional/national regulations,</w:t>
      </w:r>
      <w:r w:rsidR="008A60FE" w:rsidRPr="00873B6C">
        <w:t xml:space="preserve"> service area restriction</w:t>
      </w:r>
      <w:r w:rsidR="00060FE0" w:rsidRPr="00873B6C">
        <w:t>s</w:t>
      </w:r>
      <w:r w:rsidR="008A60FE" w:rsidRPr="00873B6C">
        <w:t xml:space="preserve"> do not apply, as specified in </w:t>
      </w:r>
      <w:r w:rsidR="00972E70" w:rsidRPr="00873B6C">
        <w:t>TS 24.501 [</w:t>
      </w:r>
      <w:r w:rsidR="008A60FE" w:rsidRPr="00873B6C">
        <w:t>47]</w:t>
      </w:r>
      <w:r w:rsidRPr="00873B6C">
        <w:t>.</w:t>
      </w:r>
    </w:p>
    <w:p w14:paraId="71A2357A" w14:textId="0ECDEC6A" w:rsidR="00F8101C" w:rsidRPr="00873B6C" w:rsidRDefault="00F8101C" w:rsidP="00D40151">
      <w:r w:rsidRPr="00873B6C">
        <w:t>For UE requesting Disaster Roaming service, the UE is only allowed to receive services in the area with Disaster Condition as specified in clause 5.40.4. The other areas</w:t>
      </w:r>
      <w:r w:rsidR="00DA3BBC" w:rsidRPr="00873B6C">
        <w:t xml:space="preserve"> within the PLMN</w:t>
      </w:r>
      <w:r w:rsidRPr="00873B6C">
        <w:t xml:space="preserve"> shall be considered as forbidden area for the UE registered for Disaster Roaming service.</w:t>
      </w:r>
    </w:p>
    <w:p w14:paraId="2FAD8125" w14:textId="2B6055D3" w:rsidR="00D40151" w:rsidRPr="00873B6C" w:rsidRDefault="00D40151" w:rsidP="00D40151">
      <w:r w:rsidRPr="00873B6C">
        <w:t xml:space="preserve">Service Area restrictions and handling of Forbidden Areas for CM-IDLE state and, for CM-CONNECTED state when in </w:t>
      </w:r>
      <w:r w:rsidR="00511811" w:rsidRPr="00873B6C">
        <w:t xml:space="preserve">RRC_INACTIVE </w:t>
      </w:r>
      <w:r w:rsidRPr="00873B6C">
        <w:t xml:space="preserve">state are executed by the UE based on information received from the core network. Mobility Restrictions for CM-CONNECTED state when in </w:t>
      </w:r>
      <w:r w:rsidR="00511811" w:rsidRPr="00873B6C">
        <w:t xml:space="preserve">RRC_CONNECTED </w:t>
      </w:r>
      <w:r w:rsidRPr="00873B6C">
        <w:t>state are executed by the radio access network and the core network.</w:t>
      </w:r>
    </w:p>
    <w:p w14:paraId="2E402E80" w14:textId="77777777" w:rsidR="00D40151" w:rsidRPr="00873B6C" w:rsidRDefault="00D40151" w:rsidP="00D40151">
      <w:r w:rsidRPr="00873B6C">
        <w:t>In CM-CONNECTED state, the core network provides Mobility Restrictions to the radio access network within Mobility Restriction List.</w:t>
      </w:r>
    </w:p>
    <w:p w14:paraId="6F44B7F8" w14:textId="77777777" w:rsidR="00D40151" w:rsidRPr="00873B6C" w:rsidRDefault="00D40151" w:rsidP="00D40151">
      <w:r w:rsidRPr="00873B6C">
        <w:t>Mobility Restrictions consists of RAT restriction, Forbidden Area, Service Area Restrictions, Core Network type restriction and Closed Access Group information as follows:</w:t>
      </w:r>
    </w:p>
    <w:p w14:paraId="3A528C45" w14:textId="77777777" w:rsidR="00D40151" w:rsidRPr="00873B6C" w:rsidRDefault="00D40151" w:rsidP="00D40151">
      <w:pPr>
        <w:pStyle w:val="B1"/>
      </w:pPr>
      <w:r w:rsidRPr="00873B6C">
        <w:t>-</w:t>
      </w:r>
      <w:r w:rsidRPr="00873B6C">
        <w:tab/>
        <w:t>RAT restriction:</w:t>
      </w:r>
    </w:p>
    <w:p w14:paraId="0BDC118E" w14:textId="173D87EB" w:rsidR="00D40151" w:rsidRPr="00873B6C" w:rsidRDefault="00D40151" w:rsidP="00D40151">
      <w:pPr>
        <w:pStyle w:val="B1"/>
      </w:pPr>
      <w:r w:rsidRPr="00873B6C">
        <w:tab/>
        <w:t>Defines the 3GPP</w:t>
      </w:r>
      <w:r w:rsidR="00BC24B5" w:rsidRPr="00873B6C">
        <w:t xml:space="preserve"> and non-3GPP</w:t>
      </w:r>
      <w:r w:rsidRPr="00873B6C">
        <w:t xml:space="preserve"> Radio Access Technology(ies), a UE is not allowed to access in a PLMN. In a restricted RAT a UE based on subscription is not permitted access to the network for this PLMN. For</w:t>
      </w:r>
      <w:r w:rsidR="00BC24B5" w:rsidRPr="00873B6C">
        <w:t xml:space="preserve"> 3GPP access and</w:t>
      </w:r>
      <w:r w:rsidRPr="00873B6C">
        <w:t xml:space="preserve"> CM-CONNECTED state, when radio access network determines target RAT and target PLMN during Handover</w:t>
      </w:r>
      <w:r w:rsidR="003D49E0" w:rsidRPr="00873B6C">
        <w:t xml:space="preserve"> or redirection</w:t>
      </w:r>
      <w:r w:rsidRPr="00873B6C">
        <w:t xml:space="preserve"> procedure, it should take per PLMN RAT restriction into consideration. The RAT restriction is enforced in the network</w:t>
      </w:r>
      <w:r w:rsidR="00472CD7" w:rsidRPr="00873B6C">
        <w:t xml:space="preserve"> and</w:t>
      </w:r>
      <w:r w:rsidRPr="00873B6C">
        <w:t xml:space="preserve"> not provided to the UE.</w:t>
      </w:r>
    </w:p>
    <w:p w14:paraId="149A29F0" w14:textId="77777777" w:rsidR="00D40151" w:rsidRPr="00873B6C" w:rsidRDefault="00D40151" w:rsidP="00D40151">
      <w:pPr>
        <w:pStyle w:val="B1"/>
      </w:pPr>
      <w:r w:rsidRPr="00873B6C">
        <w:t>-</w:t>
      </w:r>
      <w:r w:rsidRPr="00873B6C">
        <w:tab/>
        <w:t>Forbidden Area:</w:t>
      </w:r>
    </w:p>
    <w:p w14:paraId="79479C3F" w14:textId="77777777" w:rsidR="00D40151" w:rsidRPr="00873B6C" w:rsidRDefault="00D40151" w:rsidP="00D40151">
      <w:pPr>
        <w:pStyle w:val="B1"/>
      </w:pPr>
      <w:r w:rsidRPr="00873B6C">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15DB4F41" w:rsidR="00D40151" w:rsidRPr="00873B6C" w:rsidRDefault="00D40151" w:rsidP="00D40151">
      <w:pPr>
        <w:pStyle w:val="B1"/>
      </w:pPr>
      <w:r w:rsidRPr="00873B6C">
        <w:tab/>
        <w:t xml:space="preserve">Further description on Forbidden Area when using wireline access is available in </w:t>
      </w:r>
      <w:r w:rsidR="00972E70" w:rsidRPr="00873B6C">
        <w:t>TS 23.316 [</w:t>
      </w:r>
      <w:r w:rsidRPr="00873B6C">
        <w:t>84].</w:t>
      </w:r>
    </w:p>
    <w:p w14:paraId="29E80FDE" w14:textId="3AA487BC" w:rsidR="00CB6EDC" w:rsidRPr="00873B6C" w:rsidRDefault="00CB6EDC" w:rsidP="00CB6EDC">
      <w:pPr>
        <w:pStyle w:val="B1"/>
      </w:pPr>
      <w:r w:rsidRPr="00873B6C">
        <w:tab/>
        <w:t>Support for Forbidden Area with NR satellite access is described in clause 5.4.11.8.</w:t>
      </w:r>
    </w:p>
    <w:p w14:paraId="7462449F" w14:textId="77777777" w:rsidR="006810D1" w:rsidRPr="00873B6C" w:rsidRDefault="006810D1" w:rsidP="001B7C50">
      <w:pPr>
        <w:pStyle w:val="B1"/>
      </w:pPr>
      <w:r w:rsidRPr="00873B6C">
        <w:tab/>
        <w:t>Forbidden Areas should not be used for Untrusted or Trusted non-3GPP access.</w:t>
      </w:r>
    </w:p>
    <w:p w14:paraId="3453ABA9" w14:textId="15317AB5" w:rsidR="006810D1" w:rsidRPr="00873B6C" w:rsidRDefault="006810D1" w:rsidP="00D40151">
      <w:pPr>
        <w:pStyle w:val="NO"/>
      </w:pPr>
      <w:r w:rsidRPr="00873B6C">
        <w:t>NOTE 1:</w:t>
      </w:r>
      <w:r w:rsidRPr="00873B6C">
        <w:tab/>
        <w:t xml:space="preserve">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w:t>
      </w:r>
      <w:r w:rsidR="00972E70" w:rsidRPr="00873B6C">
        <w:t>TS 24.501 [</w:t>
      </w:r>
      <w:r w:rsidRPr="00873B6C">
        <w:t>47].</w:t>
      </w:r>
    </w:p>
    <w:p w14:paraId="28083BBA" w14:textId="55424418" w:rsidR="00D40151" w:rsidRPr="00873B6C" w:rsidRDefault="00D40151" w:rsidP="00D40151">
      <w:pPr>
        <w:pStyle w:val="NO"/>
      </w:pPr>
      <w:r w:rsidRPr="00873B6C">
        <w:t>NOTE 2:</w:t>
      </w:r>
      <w:r w:rsidRPr="00873B6C">
        <w:tab/>
        <w:t xml:space="preserve">The UE reactions to specific network responses are described in </w:t>
      </w:r>
      <w:r w:rsidR="00972E70" w:rsidRPr="00873B6C">
        <w:t>TS 24.501 [</w:t>
      </w:r>
      <w:r w:rsidRPr="00873B6C">
        <w:t>47].</w:t>
      </w:r>
    </w:p>
    <w:p w14:paraId="5EE82842" w14:textId="77777777" w:rsidR="00D40151" w:rsidRPr="00873B6C" w:rsidRDefault="00D40151" w:rsidP="00D40151">
      <w:pPr>
        <w:pStyle w:val="B1"/>
      </w:pPr>
      <w:r w:rsidRPr="00873B6C">
        <w:t>-</w:t>
      </w:r>
      <w:r w:rsidRPr="00873B6C">
        <w:tab/>
        <w:t>Service Area Restriction:</w:t>
      </w:r>
    </w:p>
    <w:p w14:paraId="0B5D5614" w14:textId="77777777" w:rsidR="00D40151" w:rsidRPr="00873B6C" w:rsidRDefault="00D40151" w:rsidP="00D40151">
      <w:pPr>
        <w:pStyle w:val="B1"/>
      </w:pPr>
      <w:r w:rsidRPr="00873B6C">
        <w:tab/>
        <w:t>Defines areas in which the UE may or may not initiate communication with the network as follows:</w:t>
      </w:r>
    </w:p>
    <w:p w14:paraId="16BBF889" w14:textId="77777777" w:rsidR="00D40151" w:rsidRPr="00873B6C" w:rsidRDefault="00D40151" w:rsidP="00D40151">
      <w:pPr>
        <w:pStyle w:val="B2"/>
      </w:pPr>
      <w:r w:rsidRPr="00873B6C">
        <w:lastRenderedPageBreak/>
        <w:t>-</w:t>
      </w:r>
      <w:r w:rsidRPr="00873B6C">
        <w:tab/>
        <w:t>Allowed Area:</w:t>
      </w:r>
    </w:p>
    <w:p w14:paraId="443A6D3F" w14:textId="77777777" w:rsidR="00D40151" w:rsidRPr="00873B6C" w:rsidRDefault="00D40151" w:rsidP="00D40151">
      <w:pPr>
        <w:pStyle w:val="B2"/>
      </w:pPr>
      <w:r w:rsidRPr="00873B6C">
        <w:tab/>
        <w:t>In an Allowed Area, the UE is permitted to initiate communication with the network as allowed by the subscription.</w:t>
      </w:r>
    </w:p>
    <w:p w14:paraId="107DDCB0" w14:textId="77777777" w:rsidR="00D40151" w:rsidRPr="00873B6C" w:rsidRDefault="00D40151" w:rsidP="00D40151">
      <w:pPr>
        <w:pStyle w:val="B2"/>
      </w:pPr>
      <w:r w:rsidRPr="00873B6C">
        <w:t>-</w:t>
      </w:r>
      <w:r w:rsidRPr="00873B6C">
        <w:tab/>
        <w:t>Non-Allowed Area:</w:t>
      </w:r>
    </w:p>
    <w:p w14:paraId="4787F466" w14:textId="51E9ECC9" w:rsidR="00D40151" w:rsidRPr="00873B6C" w:rsidRDefault="00D40151" w:rsidP="00D40151">
      <w:pPr>
        <w:pStyle w:val="B2"/>
      </w:pPr>
      <w:r w:rsidRPr="00873B6C">
        <w:tab/>
        <w:t xml:space="preserve">In a Non-Allowed Area a UE is service area restricted based on subscription. The UE and the network are not allowed to initiate Service Request, or any connection requests for user plane data, control plane data, </w:t>
      </w:r>
      <w:r w:rsidR="000037BE" w:rsidRPr="00873B6C">
        <w:t xml:space="preserve">exception data reporting, </w:t>
      </w:r>
      <w:r w:rsidRPr="00873B6C">
        <w:t>or SM signalling (except for PS Data Off status change reporting) to obtain user services that are not related to mobility.</w:t>
      </w:r>
    </w:p>
    <w:p w14:paraId="74270CB2" w14:textId="7108BF70" w:rsidR="00060FE0" w:rsidRPr="00873B6C" w:rsidRDefault="00D40151" w:rsidP="00D40151">
      <w:pPr>
        <w:pStyle w:val="B2"/>
      </w:pPr>
      <w:r w:rsidRPr="00873B6C">
        <w:tab/>
        <w:t xml:space="preserve">The UE shall not use the entering of a Non-Allowed Area as a criterion for Cell Reselection, a trigger for PLMN Selection or Domain selection for UE originating sessions or calls. The RRC procedures while the UE is in CM-CONNECTED with </w:t>
      </w:r>
      <w:r w:rsidR="00511811" w:rsidRPr="00873B6C">
        <w:t xml:space="preserve">RRC_INACTIVE </w:t>
      </w:r>
      <w:r w:rsidRPr="00873B6C">
        <w:t>state are unchanged compared to when the UE is in an Allowed Area. The RM procedures are unchanged compared to when the UE is in an Allowed Area.</w:t>
      </w:r>
    </w:p>
    <w:p w14:paraId="45B7CA31" w14:textId="4CBE149C" w:rsidR="00D40151" w:rsidRPr="00873B6C" w:rsidRDefault="00060FE0" w:rsidP="00D40151">
      <w:pPr>
        <w:pStyle w:val="B2"/>
      </w:pPr>
      <w:r w:rsidRPr="00873B6C">
        <w:tab/>
      </w:r>
      <w:r w:rsidR="00D40151" w:rsidRPr="00873B6C">
        <w:t xml:space="preserve">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972E70" w:rsidRPr="00873B6C">
        <w:t>TS 23.316 [</w:t>
      </w:r>
      <w:r w:rsidR="00D40151" w:rsidRPr="00873B6C">
        <w:t>84].</w:t>
      </w:r>
    </w:p>
    <w:p w14:paraId="2AFD1F39" w14:textId="77777777" w:rsidR="00060FE0" w:rsidRPr="00873B6C" w:rsidRDefault="00060FE0" w:rsidP="00060FE0">
      <w:pPr>
        <w:pStyle w:val="B2"/>
      </w:pPr>
      <w:r w:rsidRPr="00873B6C">
        <w:tab/>
        <w:t>The UE in a Non-Allowed Area:</w:t>
      </w:r>
    </w:p>
    <w:p w14:paraId="2070BA7F" w14:textId="77777777" w:rsidR="00060FE0" w:rsidRPr="00873B6C" w:rsidRDefault="00060FE0" w:rsidP="00745A3E">
      <w:pPr>
        <w:pStyle w:val="B3"/>
      </w:pPr>
      <w:r w:rsidRPr="00873B6C">
        <w:t>-</w:t>
      </w:r>
      <w:r w:rsidRPr="00873B6C">
        <w:tab/>
        <w:t>shall respond with a Service Request to core network paging indicating 3GPP access type or to a NAS Notification message received over non-3GPP access indicating 3GPP access type or when RAN paging failed, but the UE shall not request User Plane resource establishment, except for emergency services or when the UE is MPS-subscribed or MCX-subscribed.</w:t>
      </w:r>
    </w:p>
    <w:p w14:paraId="23C2309D" w14:textId="77777777" w:rsidR="00060FE0" w:rsidRPr="00873B6C" w:rsidRDefault="00060FE0" w:rsidP="00745A3E">
      <w:pPr>
        <w:pStyle w:val="B3"/>
      </w:pPr>
      <w:r w:rsidRPr="00873B6C">
        <w:t>-</w:t>
      </w:r>
      <w:r w:rsidRPr="00873B6C">
        <w:tab/>
        <w:t>shall respond with Service Request to core network paging indicating non-3GPP access type or NAS Notification message received over 3GPP access indicating non-3GPP access type but the UE shall not request User Plane resource establishment, except when the UE is MPS-subscribed.</w:t>
      </w:r>
    </w:p>
    <w:p w14:paraId="36D48B2C" w14:textId="226F21B4" w:rsidR="00D40151" w:rsidRPr="00873B6C" w:rsidRDefault="00D40151" w:rsidP="00D40151">
      <w:pPr>
        <w:pStyle w:val="NO"/>
      </w:pPr>
      <w:r w:rsidRPr="00873B6C">
        <w:t>NOTE 3:</w:t>
      </w:r>
      <w:r w:rsidRPr="00873B6C">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63236C98" w:rsidR="00D40151" w:rsidRPr="00873B6C" w:rsidRDefault="00D40151" w:rsidP="00D40151">
      <w:pPr>
        <w:pStyle w:val="NO"/>
      </w:pPr>
      <w:r w:rsidRPr="00873B6C">
        <w:t>NOTE 4:</w:t>
      </w:r>
      <w:r w:rsidRPr="00873B6C">
        <w:tab/>
        <w:t xml:space="preserve">Delivery of SOR transparent container, UE policy container, UE parameters update transparent container as defined in </w:t>
      </w:r>
      <w:r w:rsidR="00972E70" w:rsidRPr="00873B6C">
        <w:t>TS 24.501 [</w:t>
      </w:r>
      <w:r w:rsidRPr="00873B6C">
        <w:t>47],</w:t>
      </w:r>
      <w:r w:rsidR="006648CD" w:rsidRPr="00873B6C">
        <w:t xml:space="preserve"> or removal of any stored Paging Restriction Information from network via Registration Request (see clause 5.38),</w:t>
      </w:r>
      <w:r w:rsidRPr="00873B6C">
        <w:t xml:space="preserve"> is part of the mobility related service and is allowed in an area with service restriction.</w:t>
      </w:r>
    </w:p>
    <w:p w14:paraId="0203CF00" w14:textId="77777777" w:rsidR="00D40151" w:rsidRPr="00873B6C" w:rsidRDefault="00D40151" w:rsidP="00D40151">
      <w:pPr>
        <w:pStyle w:val="NO"/>
      </w:pPr>
      <w:r w:rsidRPr="00873B6C">
        <w:t>NOTE 5:</w:t>
      </w:r>
      <w:r w:rsidRPr="00873B6C">
        <w:tab/>
        <w:t>For a UE in CM-CONNECTED state then neither control plane data transmission nor, if user plane resources are already established, user plane data transmission are restricted by a non-allowed area.</w:t>
      </w:r>
    </w:p>
    <w:p w14:paraId="6728D6E3" w14:textId="77777777" w:rsidR="00D40151" w:rsidRPr="00873B6C" w:rsidRDefault="00D40151" w:rsidP="00D40151">
      <w:pPr>
        <w:pStyle w:val="B1"/>
      </w:pPr>
      <w:r w:rsidRPr="00873B6C">
        <w:t>-</w:t>
      </w:r>
      <w:r w:rsidRPr="00873B6C">
        <w:tab/>
        <w:t>Core Network type restriction:</w:t>
      </w:r>
    </w:p>
    <w:p w14:paraId="24C8C2E5" w14:textId="77777777" w:rsidR="00D40151" w:rsidRPr="00873B6C" w:rsidRDefault="00D40151" w:rsidP="00D40151">
      <w:pPr>
        <w:pStyle w:val="B1"/>
      </w:pPr>
      <w:r w:rsidRPr="00873B6C">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873B6C" w:rsidRDefault="00D40151" w:rsidP="00D40151">
      <w:pPr>
        <w:pStyle w:val="NO"/>
      </w:pPr>
      <w:r w:rsidRPr="00873B6C">
        <w:t>NOTE 6:</w:t>
      </w:r>
      <w:r w:rsidRPr="00873B6C">
        <w:tab/>
        <w:t>The Core Network type restriction can be used e.g. in network deployments where the E-UTRAN connects to both EPC and 5GC as described in clause 5.17.</w:t>
      </w:r>
      <w:r w:rsidR="003B51EA" w:rsidRPr="00873B6C">
        <w:t xml:space="preserve"> When the Core Network type restriction applies to non-3GPP Access Type, the UE is restricted from using any connectivity to an N3IWF.</w:t>
      </w:r>
    </w:p>
    <w:p w14:paraId="52085A1B" w14:textId="77777777" w:rsidR="00D40151" w:rsidRPr="00873B6C" w:rsidRDefault="00D40151" w:rsidP="00D40151">
      <w:pPr>
        <w:pStyle w:val="B1"/>
      </w:pPr>
      <w:r w:rsidRPr="00873B6C">
        <w:t>-</w:t>
      </w:r>
      <w:r w:rsidRPr="00873B6C">
        <w:tab/>
        <w:t>Closed Access Group information:</w:t>
      </w:r>
    </w:p>
    <w:p w14:paraId="25758DFC" w14:textId="77777777" w:rsidR="00D40151" w:rsidRPr="00873B6C" w:rsidRDefault="00D40151" w:rsidP="00D40151">
      <w:pPr>
        <w:pStyle w:val="B2"/>
      </w:pPr>
      <w:r w:rsidRPr="00873B6C">
        <w:tab/>
        <w:t>As defined in clause 5.30.3.</w:t>
      </w:r>
    </w:p>
    <w:p w14:paraId="29D4BDA9" w14:textId="77777777" w:rsidR="00D40151" w:rsidRPr="00873B6C" w:rsidRDefault="00D40151" w:rsidP="00D40151">
      <w:r w:rsidRPr="00873B6C">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873B6C">
        <w:rPr>
          <w:lang w:eastAsia="zh-CN"/>
        </w:rPr>
        <w:t xml:space="preserve">, location change and local policy. </w:t>
      </w:r>
      <w:r w:rsidRPr="00873B6C">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0C5077B0" w14:textId="77777777" w:rsidR="00D40151" w:rsidRPr="00873B6C" w:rsidRDefault="00D40151" w:rsidP="00D40151">
      <w:r w:rsidRPr="00873B6C">
        <w:lastRenderedPageBreak/>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873B6C" w:rsidRDefault="00D40151" w:rsidP="00D40151">
      <w:pPr>
        <w:rPr>
          <w:rFonts w:eastAsia="SimSun"/>
          <w:lang w:eastAsia="zh-CN"/>
        </w:rPr>
      </w:pPr>
      <w:r w:rsidRPr="00873B6C">
        <w:t>If the UE has overlapping areas between Forbidden Areas, Service Area Restrictions, or any combination of them, the UE shall proceed in the following precedence order:</w:t>
      </w:r>
    </w:p>
    <w:p w14:paraId="23E38AC1" w14:textId="77777777" w:rsidR="00D40151" w:rsidRPr="00873B6C" w:rsidRDefault="00D40151" w:rsidP="00D40151">
      <w:pPr>
        <w:pStyle w:val="B1"/>
      </w:pPr>
      <w:r w:rsidRPr="00873B6C">
        <w:rPr>
          <w:rFonts w:eastAsia="SimSun"/>
        </w:rPr>
        <w:t>-</w:t>
      </w:r>
      <w:r w:rsidRPr="00873B6C">
        <w:rPr>
          <w:rFonts w:eastAsia="SimSun"/>
        </w:rPr>
        <w:tab/>
      </w:r>
      <w:r w:rsidRPr="00873B6C">
        <w:t>The evaluation of</w:t>
      </w:r>
      <w:r w:rsidRPr="00873B6C">
        <w:rPr>
          <w:rFonts w:eastAsia="SimSun"/>
        </w:rPr>
        <w:t xml:space="preserve"> F</w:t>
      </w:r>
      <w:r w:rsidRPr="00873B6C">
        <w:t>orbidden Areas shall take precedence over the evaluation of</w:t>
      </w:r>
      <w:r w:rsidRPr="00873B6C">
        <w:rPr>
          <w:rFonts w:eastAsia="SimSun"/>
        </w:rPr>
        <w:t xml:space="preserve"> </w:t>
      </w:r>
      <w:r w:rsidRPr="00873B6C">
        <w:t>Service Area Restrictions.</w:t>
      </w:r>
    </w:p>
    <w:p w14:paraId="6B4EE387" w14:textId="5527C3FF" w:rsidR="00D40151" w:rsidRPr="00873B6C" w:rsidRDefault="00D40151" w:rsidP="00D40151">
      <w:bookmarkStart w:id="945" w:name="_Toc20149726"/>
      <w:r w:rsidRPr="00873B6C">
        <w:t xml:space="preserve">The UDM shall provide to the AMF the information defined in </w:t>
      </w:r>
      <w:r w:rsidR="00972E70" w:rsidRPr="00873B6C">
        <w:t>TS 23.008 [</w:t>
      </w:r>
      <w:r w:rsidRPr="00873B6C">
        <w:t>119] about the subscriber's NR or E-UTRA access restriction set by the operator determined e.g. by subscription scenario and roaming scenario:</w:t>
      </w:r>
    </w:p>
    <w:p w14:paraId="4C7BB4F1" w14:textId="77777777" w:rsidR="00D40151" w:rsidRPr="00873B6C" w:rsidRDefault="00D40151" w:rsidP="00D40151">
      <w:pPr>
        <w:pStyle w:val="B1"/>
      </w:pPr>
      <w:r w:rsidRPr="00873B6C">
        <w:t>-</w:t>
      </w:r>
      <w:r w:rsidRPr="00873B6C">
        <w:tab/>
        <w:t>For NR:</w:t>
      </w:r>
    </w:p>
    <w:p w14:paraId="40D967FA" w14:textId="07A26A4D" w:rsidR="00D40151" w:rsidRPr="00873B6C" w:rsidRDefault="00D40151" w:rsidP="00D40151">
      <w:pPr>
        <w:pStyle w:val="B2"/>
      </w:pPr>
      <w:r w:rsidRPr="00873B6C">
        <w:t>-</w:t>
      </w:r>
      <w:r w:rsidRPr="00873B6C">
        <w:tab/>
        <w:t>NR not allowed as primary</w:t>
      </w:r>
      <w:r w:rsidR="004001F9" w:rsidRPr="00873B6C">
        <w:t xml:space="preserve"> RAT</w:t>
      </w:r>
      <w:r w:rsidR="003D49E0" w:rsidRPr="00873B6C">
        <w:t>, however any of the NR categories listed below may still be allowed</w:t>
      </w:r>
      <w:r w:rsidRPr="00873B6C">
        <w:t>.</w:t>
      </w:r>
    </w:p>
    <w:p w14:paraId="6F76C745" w14:textId="235D398C" w:rsidR="00D40151" w:rsidRPr="00873B6C" w:rsidRDefault="00D40151" w:rsidP="00D40151">
      <w:pPr>
        <w:pStyle w:val="B2"/>
      </w:pPr>
      <w:r w:rsidRPr="00873B6C">
        <w:t>-</w:t>
      </w:r>
      <w:r w:rsidRPr="00873B6C">
        <w:tab/>
        <w:t>NR not allowed as secondary</w:t>
      </w:r>
      <w:r w:rsidR="004001F9" w:rsidRPr="00873B6C">
        <w:t xml:space="preserve"> RAT</w:t>
      </w:r>
      <w:r w:rsidRPr="00873B6C">
        <w:t>.</w:t>
      </w:r>
    </w:p>
    <w:p w14:paraId="3AC7A006" w14:textId="4A757B16" w:rsidR="00D40151" w:rsidRPr="00873B6C" w:rsidRDefault="00D40151" w:rsidP="00D40151">
      <w:pPr>
        <w:pStyle w:val="B2"/>
      </w:pPr>
      <w:r w:rsidRPr="00873B6C">
        <w:t>-</w:t>
      </w:r>
      <w:r w:rsidRPr="00873B6C">
        <w:tab/>
        <w:t>NR in unlicensed bands not allowed as primary</w:t>
      </w:r>
      <w:r w:rsidR="004001F9" w:rsidRPr="00873B6C">
        <w:t xml:space="preserve"> RAT</w:t>
      </w:r>
      <w:r w:rsidRPr="00873B6C">
        <w:t>.</w:t>
      </w:r>
    </w:p>
    <w:p w14:paraId="1752C6B2" w14:textId="17FFE2EC" w:rsidR="00D40151" w:rsidRPr="00873B6C" w:rsidRDefault="00D40151" w:rsidP="00D40151">
      <w:pPr>
        <w:pStyle w:val="B2"/>
      </w:pPr>
      <w:r w:rsidRPr="00873B6C">
        <w:t>-</w:t>
      </w:r>
      <w:r w:rsidRPr="00873B6C">
        <w:tab/>
        <w:t>NR in unlicensed bands not allowed as secondary</w:t>
      </w:r>
      <w:r w:rsidR="004001F9" w:rsidRPr="00873B6C">
        <w:t xml:space="preserve"> RAT</w:t>
      </w:r>
      <w:r w:rsidRPr="00873B6C">
        <w:t>.</w:t>
      </w:r>
    </w:p>
    <w:p w14:paraId="6295D4B6" w14:textId="4EB128BD" w:rsidR="001C7C66" w:rsidRPr="00873B6C" w:rsidRDefault="001C7C66" w:rsidP="00323277">
      <w:pPr>
        <w:pStyle w:val="B2"/>
      </w:pPr>
      <w:r w:rsidRPr="00873B6C">
        <w:t>-</w:t>
      </w:r>
      <w:r w:rsidRPr="00873B6C">
        <w:tab/>
        <w:t>NR(LEO) satellite access not allowed as primary</w:t>
      </w:r>
      <w:r w:rsidR="004001F9" w:rsidRPr="00873B6C">
        <w:t xml:space="preserve"> RAT</w:t>
      </w:r>
      <w:r w:rsidRPr="00873B6C">
        <w:t>.</w:t>
      </w:r>
    </w:p>
    <w:p w14:paraId="23BC03AC" w14:textId="7D74AC8E" w:rsidR="001C7C66" w:rsidRPr="00873B6C" w:rsidRDefault="001C7C66" w:rsidP="00323277">
      <w:pPr>
        <w:pStyle w:val="B2"/>
      </w:pPr>
      <w:r w:rsidRPr="00873B6C">
        <w:t>-</w:t>
      </w:r>
      <w:r w:rsidRPr="00873B6C">
        <w:tab/>
        <w:t>NR(MEO) satellite access not allowed as primary</w:t>
      </w:r>
      <w:r w:rsidR="004001F9" w:rsidRPr="00873B6C">
        <w:t xml:space="preserve"> RAT</w:t>
      </w:r>
      <w:r w:rsidRPr="00873B6C">
        <w:t>.</w:t>
      </w:r>
    </w:p>
    <w:p w14:paraId="48CBB578" w14:textId="000CB1E2" w:rsidR="001C7C66" w:rsidRPr="00873B6C" w:rsidRDefault="001C7C66" w:rsidP="00323277">
      <w:pPr>
        <w:pStyle w:val="B2"/>
      </w:pPr>
      <w:r w:rsidRPr="00873B6C">
        <w:t>-</w:t>
      </w:r>
      <w:r w:rsidRPr="00873B6C">
        <w:tab/>
        <w:t>NR(GEO) satellite access not allowed as primary</w:t>
      </w:r>
      <w:r w:rsidR="004001F9" w:rsidRPr="00873B6C">
        <w:t xml:space="preserve"> RAT</w:t>
      </w:r>
      <w:r w:rsidRPr="00873B6C">
        <w:t>.</w:t>
      </w:r>
    </w:p>
    <w:p w14:paraId="20BA6F69" w14:textId="0210ECF8" w:rsidR="001C7C66" w:rsidRPr="00873B6C" w:rsidRDefault="001C7C66" w:rsidP="00323277">
      <w:pPr>
        <w:pStyle w:val="B2"/>
      </w:pPr>
      <w:r w:rsidRPr="00873B6C">
        <w:t>-</w:t>
      </w:r>
      <w:r w:rsidRPr="00873B6C">
        <w:tab/>
        <w:t>NR(OTHERSAT) satellite access not allowed as primary</w:t>
      </w:r>
      <w:r w:rsidR="004001F9" w:rsidRPr="00873B6C">
        <w:t xml:space="preserve"> RAT</w:t>
      </w:r>
      <w:r w:rsidRPr="00873B6C">
        <w:t>.</w:t>
      </w:r>
    </w:p>
    <w:p w14:paraId="60F92064" w14:textId="5E5F8C9B" w:rsidR="00CB6EDC" w:rsidRPr="00873B6C" w:rsidRDefault="00CB6EDC" w:rsidP="00CB6EDC">
      <w:pPr>
        <w:pStyle w:val="B2"/>
      </w:pPr>
      <w:r w:rsidRPr="00873B6C">
        <w:t>-</w:t>
      </w:r>
      <w:r w:rsidRPr="00873B6C">
        <w:tab/>
        <w:t>NR RedCap not allowed as primary</w:t>
      </w:r>
      <w:r w:rsidR="004001F9" w:rsidRPr="00873B6C">
        <w:t xml:space="preserve"> RAT</w:t>
      </w:r>
      <w:r w:rsidRPr="00873B6C">
        <w:t>.</w:t>
      </w:r>
    </w:p>
    <w:p w14:paraId="61EE6F76" w14:textId="69661206" w:rsidR="003D49E0" w:rsidRPr="00873B6C" w:rsidRDefault="003D49E0" w:rsidP="003D49E0">
      <w:pPr>
        <w:pStyle w:val="B2"/>
      </w:pPr>
      <w:r w:rsidRPr="00873B6C">
        <w:t>-</w:t>
      </w:r>
      <w:r w:rsidRPr="00873B6C">
        <w:tab/>
        <w:t>NR eRedCap not allowed as primary RAT.</w:t>
      </w:r>
    </w:p>
    <w:p w14:paraId="5D9D5D33" w14:textId="01D39BB4" w:rsidR="00D40151" w:rsidRPr="00873B6C" w:rsidRDefault="00D40151" w:rsidP="00D40151">
      <w:pPr>
        <w:pStyle w:val="B1"/>
      </w:pPr>
      <w:r w:rsidRPr="00873B6C">
        <w:t>-</w:t>
      </w:r>
      <w:r w:rsidRPr="00873B6C">
        <w:tab/>
        <w:t>For E-UTRA:</w:t>
      </w:r>
    </w:p>
    <w:p w14:paraId="790D52C1" w14:textId="6DA93BD5" w:rsidR="00D40151" w:rsidRPr="00873B6C" w:rsidRDefault="00D40151" w:rsidP="00D40151">
      <w:pPr>
        <w:pStyle w:val="B2"/>
      </w:pPr>
      <w:r w:rsidRPr="00873B6C">
        <w:t>-</w:t>
      </w:r>
      <w:r w:rsidRPr="00873B6C">
        <w:tab/>
        <w:t>E-UTRA not allowed as primary</w:t>
      </w:r>
      <w:r w:rsidR="004001F9" w:rsidRPr="00873B6C">
        <w:t xml:space="preserve"> RAT</w:t>
      </w:r>
      <w:r w:rsidRPr="00873B6C">
        <w:t>.</w:t>
      </w:r>
    </w:p>
    <w:p w14:paraId="0F2C9F2B" w14:textId="106942FB" w:rsidR="00D40151" w:rsidRPr="00873B6C" w:rsidRDefault="00D40151" w:rsidP="00D40151">
      <w:pPr>
        <w:pStyle w:val="B2"/>
      </w:pPr>
      <w:r w:rsidRPr="00873B6C">
        <w:t>-</w:t>
      </w:r>
      <w:r w:rsidRPr="00873B6C">
        <w:tab/>
        <w:t>E-UTRA not allowed as secondary</w:t>
      </w:r>
      <w:r w:rsidR="004001F9" w:rsidRPr="00873B6C">
        <w:t xml:space="preserve"> RAT</w:t>
      </w:r>
      <w:r w:rsidRPr="00873B6C">
        <w:t>.</w:t>
      </w:r>
    </w:p>
    <w:p w14:paraId="3DE2DB36" w14:textId="313B608A" w:rsidR="00D40151" w:rsidRPr="00873B6C" w:rsidRDefault="00D40151" w:rsidP="00D40151">
      <w:pPr>
        <w:pStyle w:val="B2"/>
      </w:pPr>
      <w:r w:rsidRPr="00873B6C">
        <w:t>-</w:t>
      </w:r>
      <w:r w:rsidRPr="00873B6C">
        <w:tab/>
        <w:t>E-UTRA in unlicensed bands not allowed as secondary</w:t>
      </w:r>
      <w:r w:rsidR="004001F9" w:rsidRPr="00873B6C">
        <w:t xml:space="preserve"> RAT</w:t>
      </w:r>
      <w:r w:rsidRPr="00873B6C">
        <w:t>.</w:t>
      </w:r>
    </w:p>
    <w:p w14:paraId="43006F00" w14:textId="4DF3614D" w:rsidR="00D40151" w:rsidRPr="00873B6C" w:rsidRDefault="00D40151" w:rsidP="00D40151">
      <w:pPr>
        <w:pStyle w:val="B2"/>
      </w:pPr>
      <w:r w:rsidRPr="00873B6C">
        <w:t>-</w:t>
      </w:r>
      <w:r w:rsidRPr="00873B6C">
        <w:tab/>
        <w:t>NB-IoT not allowed as primary</w:t>
      </w:r>
      <w:r w:rsidR="004001F9" w:rsidRPr="00873B6C">
        <w:t xml:space="preserve"> RAT</w:t>
      </w:r>
      <w:r w:rsidRPr="00873B6C">
        <w:t>.</w:t>
      </w:r>
    </w:p>
    <w:p w14:paraId="02AF1850" w14:textId="780995BB" w:rsidR="00D40151" w:rsidRPr="00873B6C" w:rsidRDefault="00D40151" w:rsidP="00D40151">
      <w:pPr>
        <w:pStyle w:val="B2"/>
      </w:pPr>
      <w:r w:rsidRPr="00873B6C">
        <w:t>-</w:t>
      </w:r>
      <w:r w:rsidRPr="00873B6C">
        <w:tab/>
        <w:t>LTE-M not allowed as primary</w:t>
      </w:r>
      <w:r w:rsidR="004001F9" w:rsidRPr="00873B6C">
        <w:t xml:space="preserve"> RAT</w:t>
      </w:r>
      <w:r w:rsidRPr="00873B6C">
        <w:t>.</w:t>
      </w:r>
    </w:p>
    <w:p w14:paraId="48874B56" w14:textId="77777777" w:rsidR="003D49E0" w:rsidRPr="00873B6C" w:rsidRDefault="003D49E0" w:rsidP="003D49E0">
      <w:pPr>
        <w:pStyle w:val="B2"/>
      </w:pPr>
      <w:r w:rsidRPr="00873B6C">
        <w:t>-</w:t>
      </w:r>
      <w:r w:rsidRPr="00873B6C">
        <w:tab/>
        <w:t>WB-E-UTRAN (LEO) satellite access not allowed as primary access.</w:t>
      </w:r>
    </w:p>
    <w:p w14:paraId="0961F0D8" w14:textId="77777777" w:rsidR="003D49E0" w:rsidRPr="00873B6C" w:rsidRDefault="003D49E0" w:rsidP="003D49E0">
      <w:pPr>
        <w:pStyle w:val="B2"/>
      </w:pPr>
      <w:r w:rsidRPr="00873B6C">
        <w:t>-</w:t>
      </w:r>
      <w:r w:rsidRPr="00873B6C">
        <w:tab/>
        <w:t>WB-E-UTRAN (MEO) satellite access not allowed as primary access.</w:t>
      </w:r>
    </w:p>
    <w:p w14:paraId="0D6156B4" w14:textId="77777777" w:rsidR="003D49E0" w:rsidRPr="00873B6C" w:rsidRDefault="003D49E0" w:rsidP="003D49E0">
      <w:pPr>
        <w:pStyle w:val="B2"/>
      </w:pPr>
      <w:r w:rsidRPr="00873B6C">
        <w:t>-</w:t>
      </w:r>
      <w:r w:rsidRPr="00873B6C">
        <w:tab/>
        <w:t>WB-E-UTRAN (GEO) satellite access not allowed as primary access.</w:t>
      </w:r>
    </w:p>
    <w:p w14:paraId="6A47EEC3" w14:textId="77777777" w:rsidR="003D49E0" w:rsidRPr="00873B6C" w:rsidRDefault="003D49E0" w:rsidP="003D49E0">
      <w:pPr>
        <w:pStyle w:val="B2"/>
      </w:pPr>
      <w:r w:rsidRPr="00873B6C">
        <w:t>-</w:t>
      </w:r>
      <w:r w:rsidRPr="00873B6C">
        <w:tab/>
        <w:t>WB-E-UTRAN (OTHERSAT) satellite access not allowed as primary access.</w:t>
      </w:r>
    </w:p>
    <w:p w14:paraId="481503AA" w14:textId="77777777" w:rsidR="003D49E0" w:rsidRPr="00873B6C" w:rsidRDefault="003D49E0" w:rsidP="003D49E0">
      <w:pPr>
        <w:pStyle w:val="B2"/>
      </w:pPr>
      <w:r w:rsidRPr="00873B6C">
        <w:t>-</w:t>
      </w:r>
      <w:r w:rsidRPr="00873B6C">
        <w:tab/>
        <w:t>LTE-M (LEO) satellite access not allowed as primary access.</w:t>
      </w:r>
    </w:p>
    <w:p w14:paraId="693A5FF4" w14:textId="77777777" w:rsidR="003D49E0" w:rsidRPr="00873B6C" w:rsidRDefault="003D49E0" w:rsidP="003D49E0">
      <w:pPr>
        <w:pStyle w:val="B2"/>
      </w:pPr>
      <w:r w:rsidRPr="00873B6C">
        <w:t>-</w:t>
      </w:r>
      <w:r w:rsidRPr="00873B6C">
        <w:tab/>
        <w:t>LTE-M (MEO) satellite access not allowed as primary access.</w:t>
      </w:r>
    </w:p>
    <w:p w14:paraId="7F80139D" w14:textId="77777777" w:rsidR="003D49E0" w:rsidRPr="00873B6C" w:rsidRDefault="003D49E0" w:rsidP="003D49E0">
      <w:pPr>
        <w:pStyle w:val="B2"/>
      </w:pPr>
      <w:r w:rsidRPr="00873B6C">
        <w:t>-</w:t>
      </w:r>
      <w:r w:rsidRPr="00873B6C">
        <w:tab/>
        <w:t>LTE-M (GEO) satellite access not allowed as primary access.</w:t>
      </w:r>
    </w:p>
    <w:p w14:paraId="6F7D7787" w14:textId="77777777" w:rsidR="003D49E0" w:rsidRPr="00873B6C" w:rsidRDefault="003D49E0" w:rsidP="003D49E0">
      <w:pPr>
        <w:pStyle w:val="B2"/>
      </w:pPr>
      <w:r w:rsidRPr="00873B6C">
        <w:t>-</w:t>
      </w:r>
      <w:r w:rsidRPr="00873B6C">
        <w:tab/>
        <w:t>LTE-M (OTHERSAT) satellite access not allowed as primary access.</w:t>
      </w:r>
    </w:p>
    <w:p w14:paraId="3B5F5BDF" w14:textId="75249D76" w:rsidR="003D49E0" w:rsidRPr="00873B6C" w:rsidRDefault="003D49E0" w:rsidP="00745A3E">
      <w:pPr>
        <w:pStyle w:val="NO"/>
      </w:pPr>
      <w:r w:rsidRPr="00873B6C">
        <w:t>NOTE 7:</w:t>
      </w:r>
      <w:r w:rsidRPr="00873B6C">
        <w:tab/>
        <w:t>The use of WB-E-UTRAN satellite accesses, NB-IoT satellite accesses or LTE-M satellite accesses to connect to 5GC is not supported in this Release of the specification.</w:t>
      </w:r>
      <w:r w:rsidR="00F1595A" w:rsidRPr="00873B6C">
        <w:t xml:space="preserve"> The access restriction data for LTE-M satellite accesses above is supported only to allow the AMF to provide it to MME in case of mobility from 5GS to EPS.</w:t>
      </w:r>
    </w:p>
    <w:p w14:paraId="12446937" w14:textId="38968025" w:rsidR="00D40151" w:rsidRPr="00873B6C" w:rsidRDefault="00D40151" w:rsidP="00D40151">
      <w:r w:rsidRPr="00873B6C">
        <w:lastRenderedPageBreak/>
        <w:t xml:space="preserve">In order to enforce all primary </w:t>
      </w:r>
      <w:r w:rsidR="004001F9" w:rsidRPr="00873B6C">
        <w:t xml:space="preserve">RAT </w:t>
      </w:r>
      <w:r w:rsidRPr="00873B6C">
        <w:t xml:space="preserve">restrictions, the related </w:t>
      </w:r>
      <w:r w:rsidR="004001F9" w:rsidRPr="00873B6C">
        <w:t xml:space="preserve">RAT </w:t>
      </w:r>
      <w:r w:rsidRPr="00873B6C">
        <w:t>has to be deployed in different Tracking Area Codes and the subscriber shall not be allowed to access the network in TAs using the particular</w:t>
      </w:r>
      <w:r w:rsidR="004001F9" w:rsidRPr="00873B6C">
        <w:t xml:space="preserve"> RAT</w:t>
      </w:r>
      <w:r w:rsidRPr="00873B6C">
        <w:t>.</w:t>
      </w:r>
    </w:p>
    <w:p w14:paraId="658526A4" w14:textId="210A6DAE" w:rsidR="00D40151" w:rsidRPr="00873B6C" w:rsidRDefault="00D40151" w:rsidP="00D40151">
      <w:r w:rsidRPr="00873B6C">
        <w:t xml:space="preserve">With all secondary </w:t>
      </w:r>
      <w:r w:rsidR="004001F9" w:rsidRPr="00873B6C">
        <w:t xml:space="preserve">RAT </w:t>
      </w:r>
      <w:r w:rsidRPr="00873B6C">
        <w:t xml:space="preserve">restrictions, the subscriber shall not be allowed to use this </w:t>
      </w:r>
      <w:r w:rsidR="004001F9" w:rsidRPr="00873B6C">
        <w:t xml:space="preserve">RAT </w:t>
      </w:r>
      <w:r w:rsidRPr="00873B6C">
        <w:t>as secondary</w:t>
      </w:r>
      <w:r w:rsidR="004001F9" w:rsidRPr="00873B6C">
        <w:t xml:space="preserve"> RAT</w:t>
      </w:r>
      <w:r w:rsidRPr="00873B6C">
        <w:t>.</w:t>
      </w:r>
    </w:p>
    <w:p w14:paraId="4028533F" w14:textId="77777777" w:rsidR="00D40151" w:rsidRPr="00873B6C" w:rsidRDefault="00D40151" w:rsidP="00D40151">
      <w:pPr>
        <w:pStyle w:val="Heading5"/>
      </w:pPr>
      <w:bookmarkStart w:id="946" w:name="_CR5_3_4_1_2"/>
      <w:bookmarkStart w:id="947" w:name="_Toc27846517"/>
      <w:bookmarkStart w:id="948" w:name="_Toc36187641"/>
      <w:bookmarkStart w:id="949" w:name="_Toc45183545"/>
      <w:bookmarkStart w:id="950" w:name="_Toc47342387"/>
      <w:bookmarkStart w:id="951" w:name="_Toc51769085"/>
      <w:bookmarkStart w:id="952" w:name="_Toc201157009"/>
      <w:bookmarkEnd w:id="946"/>
      <w:r w:rsidRPr="00873B6C">
        <w:t>5.3.4.1.2</w:t>
      </w:r>
      <w:r w:rsidRPr="00873B6C">
        <w:tab/>
        <w:t>Management of Service Area Restrictions</w:t>
      </w:r>
      <w:bookmarkEnd w:id="945"/>
      <w:bookmarkEnd w:id="947"/>
      <w:bookmarkEnd w:id="948"/>
      <w:bookmarkEnd w:id="949"/>
      <w:bookmarkEnd w:id="950"/>
      <w:bookmarkEnd w:id="951"/>
      <w:bookmarkEnd w:id="952"/>
    </w:p>
    <w:p w14:paraId="660E606A" w14:textId="763E217B" w:rsidR="00D40151" w:rsidRPr="00873B6C" w:rsidRDefault="00D40151" w:rsidP="00D40151">
      <w:r w:rsidRPr="00873B6C">
        <w:t xml:space="preserve">This clause describes Service Area Restrictions for 3GPP access. For Service Area Restrictions when using wireline access, see </w:t>
      </w:r>
      <w:r w:rsidR="00972E70" w:rsidRPr="00873B6C">
        <w:t>TS 23.316 [</w:t>
      </w:r>
      <w:r w:rsidRPr="00873B6C">
        <w:t>84].</w:t>
      </w:r>
    </w:p>
    <w:p w14:paraId="5095BC1E" w14:textId="7E5F4B16" w:rsidR="00D40151" w:rsidRPr="00873B6C" w:rsidRDefault="00D40151" w:rsidP="00D40151">
      <w:pPr>
        <w:rPr>
          <w:lang w:eastAsia="ko-KR"/>
        </w:rPr>
      </w:pPr>
      <w:r w:rsidRPr="00873B6C">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873B6C">
        <w:t>.</w:t>
      </w:r>
      <w:r w:rsidRPr="00873B6C">
        <w:t xml:space="preserve"> longitude/latitude, zip code, etc). </w:t>
      </w:r>
      <w:r w:rsidRPr="00873B6C">
        <w:rPr>
          <w:lang w:eastAsia="ko-KR"/>
        </w:rPr>
        <w:t>The geographical information used to specify Allowed or Non-Allowed Area is only managed in the network</w:t>
      </w:r>
      <w:r w:rsidR="00472CD7" w:rsidRPr="00873B6C">
        <w:rPr>
          <w:lang w:eastAsia="ko-KR"/>
        </w:rPr>
        <w:t xml:space="preserve"> and</w:t>
      </w:r>
      <w:r w:rsidRPr="00873B6C">
        <w:rPr>
          <w:lang w:eastAsia="ko-KR"/>
        </w:rPr>
        <w:t xml:space="preserve"> the network will map it to a list of TAs before sending Service Area Restriction information to the PCF, NG-RAN and UE.</w:t>
      </w:r>
    </w:p>
    <w:p w14:paraId="1B5E9D2C" w14:textId="77777777" w:rsidR="00D40151" w:rsidRPr="00873B6C" w:rsidRDefault="00D40151" w:rsidP="00D40151">
      <w:r w:rsidRPr="00873B6C">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873B6C" w:rsidRDefault="00D40151" w:rsidP="00D40151">
      <w:r w:rsidRPr="00873B6C">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873B6C">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873B6C" w:rsidRDefault="00D40151" w:rsidP="00D40151">
      <w:pPr>
        <w:pStyle w:val="NO"/>
      </w:pPr>
      <w:r w:rsidRPr="00873B6C">
        <w:t>NOTE:</w:t>
      </w:r>
      <w:r w:rsidRPr="00873B6C">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873B6C" w:rsidRDefault="00D40151" w:rsidP="00D40151">
      <w:r w:rsidRPr="00873B6C">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1135C15A" w:rsidR="00D40151" w:rsidRPr="00873B6C" w:rsidRDefault="00D40151" w:rsidP="00D40151">
      <w:r w:rsidRPr="00873B6C">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972E70" w:rsidRPr="00873B6C">
        <w:t>TS 23.288 [</w:t>
      </w:r>
      <w:r w:rsidRPr="00873B6C">
        <w:t xml:space="preserve">86]) to adjust Service Area Restrictions. The UDM and the PCF may update the Service Area Restrictions of a UE at any time. </w:t>
      </w:r>
      <w:r w:rsidRPr="00873B6C">
        <w:rPr>
          <w:lang w:eastAsia="zh-CN"/>
        </w:rPr>
        <w:t xml:space="preserve">For the UE in CM-CONNECTED state the AMF updates the UE and RAN immediately. For UE in CM-IDLE state the AMF may page the UE immediately or store the updated service area restriction and update the UE </w:t>
      </w:r>
      <w:r w:rsidRPr="00873B6C">
        <w:t xml:space="preserve">upon </w:t>
      </w:r>
      <w:r w:rsidRPr="00873B6C">
        <w:rPr>
          <w:lang w:eastAsia="zh-CN"/>
        </w:rPr>
        <w:t xml:space="preserve">next signalling interaction with the UE, as defined in </w:t>
      </w:r>
      <w:r w:rsidR="00972E70" w:rsidRPr="00873B6C">
        <w:rPr>
          <w:lang w:eastAsia="zh-CN"/>
        </w:rPr>
        <w:t>TS 24.501 [</w:t>
      </w:r>
      <w:r w:rsidRPr="00873B6C">
        <w:rPr>
          <w:lang w:eastAsia="zh-CN"/>
        </w:rPr>
        <w:t>47].</w:t>
      </w:r>
    </w:p>
    <w:p w14:paraId="1A12DE6E" w14:textId="77777777" w:rsidR="00D40151" w:rsidRPr="00873B6C" w:rsidRDefault="00D40151" w:rsidP="00D40151">
      <w:r w:rsidRPr="00873B6C">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873B6C" w:rsidRDefault="00D40151" w:rsidP="00D40151">
      <w:r w:rsidRPr="00873B6C">
        <w:t>For a UE in CM-CONNECTED state the AMF shall indicate the Service Area Restrictions of this UE to the RAN, using a Mobility Restriction List.</w:t>
      </w:r>
    </w:p>
    <w:p w14:paraId="53DACAAD" w14:textId="6A022C76" w:rsidR="00D40151" w:rsidRPr="00873B6C" w:rsidRDefault="00D40151" w:rsidP="00D40151">
      <w:r w:rsidRPr="00873B6C">
        <w:t xml:space="preserve">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w:t>
      </w:r>
      <w:r w:rsidRPr="00873B6C">
        <w:lastRenderedPageBreak/>
        <w:t>Area Restrictions included an unlimited allowed area, the received Service Area Restrictions are</w:t>
      </w:r>
      <w:r w:rsidR="003E5241" w:rsidRPr="00873B6C">
        <w:t xml:space="preserve"> either</w:t>
      </w:r>
      <w:r w:rsidRPr="00873B6C">
        <w:t xml:space="preserve"> applicable for the registered PLMN and its equivalent PLMN(s)</w:t>
      </w:r>
      <w:r w:rsidR="003E5241" w:rsidRPr="00873B6C">
        <w:t xml:space="preserve"> that are available in the Registration Area, or the registered SNPN</w:t>
      </w:r>
      <w:r w:rsidRPr="00873B6C">
        <w:t xml:space="preserve"> that </w:t>
      </w:r>
      <w:r w:rsidR="003E5241" w:rsidRPr="00873B6C">
        <w:t xml:space="preserve">is </w:t>
      </w:r>
      <w:r w:rsidRPr="00873B6C">
        <w:t>available in the Registration Area. The RAN uses the Service Area Restrictions for target cell selection in Xn and N2 based handover.</w:t>
      </w:r>
    </w:p>
    <w:p w14:paraId="0B9E2DB6" w14:textId="77777777" w:rsidR="00D40151" w:rsidRPr="00873B6C" w:rsidRDefault="00D40151" w:rsidP="00D40151">
      <w:r w:rsidRPr="00873B6C">
        <w:t>Upon change of serving AMF due to mobility, the old AMF may provide the new AMF with the Service Area Restrictions of the UE that may be further adjusted by the PCF.</w:t>
      </w:r>
    </w:p>
    <w:p w14:paraId="4E4C50F2" w14:textId="485FA0D5" w:rsidR="00D40151" w:rsidRPr="00873B6C" w:rsidRDefault="00D40151" w:rsidP="00D40151">
      <w:r w:rsidRPr="00873B6C">
        <w:t xml:space="preserve">The network may perform paging for a UE to update Service Area Restrictions with Generic UE Configuration Update procedure (see </w:t>
      </w:r>
      <w:r w:rsidR="00960CDA" w:rsidRPr="00873B6C">
        <w:t>clause 4.2.4 of</w:t>
      </w:r>
      <w:r w:rsidRPr="00873B6C">
        <w:t xml:space="preserve"> </w:t>
      </w:r>
      <w:r w:rsidR="00972E70" w:rsidRPr="00873B6C">
        <w:t>TS 23.502 [</w:t>
      </w:r>
      <w:r w:rsidRPr="00873B6C">
        <w:t>3]).</w:t>
      </w:r>
    </w:p>
    <w:p w14:paraId="60CA25BC" w14:textId="77777777" w:rsidR="00D40151" w:rsidRPr="00873B6C" w:rsidRDefault="00D40151" w:rsidP="00D40151">
      <w:r w:rsidRPr="00873B6C">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873B6C" w:rsidRDefault="00CB6EDC" w:rsidP="00CB6EDC">
      <w:bookmarkStart w:id="953" w:name="_Toc20149727"/>
      <w:bookmarkStart w:id="954" w:name="_Toc27846518"/>
      <w:bookmarkStart w:id="955" w:name="_Toc36187642"/>
      <w:bookmarkStart w:id="956" w:name="_Toc45183546"/>
      <w:bookmarkStart w:id="957" w:name="_Toc47342388"/>
      <w:bookmarkStart w:id="958" w:name="_Toc51769086"/>
      <w:r w:rsidRPr="00873B6C">
        <w:t>Support for Service Area Restrictions with NR satellite access is described in clause 5.4.11.8.</w:t>
      </w:r>
    </w:p>
    <w:p w14:paraId="4616849F" w14:textId="77777777" w:rsidR="00D40151" w:rsidRPr="00873B6C" w:rsidRDefault="00D40151" w:rsidP="00D40151">
      <w:pPr>
        <w:pStyle w:val="Heading4"/>
        <w:rPr>
          <w:lang w:eastAsia="ko-KR"/>
        </w:rPr>
      </w:pPr>
      <w:bookmarkStart w:id="959" w:name="_CR5_3_4_2"/>
      <w:bookmarkStart w:id="960" w:name="_Toc201157010"/>
      <w:bookmarkEnd w:id="959"/>
      <w:r w:rsidRPr="00873B6C">
        <w:rPr>
          <w:lang w:eastAsia="ko-KR"/>
        </w:rPr>
        <w:t>5.3.4.2</w:t>
      </w:r>
      <w:r w:rsidRPr="00873B6C">
        <w:rPr>
          <w:lang w:eastAsia="ko-KR"/>
        </w:rPr>
        <w:tab/>
        <w:t>Mobility Pattern</w:t>
      </w:r>
      <w:bookmarkEnd w:id="953"/>
      <w:bookmarkEnd w:id="954"/>
      <w:bookmarkEnd w:id="955"/>
      <w:bookmarkEnd w:id="956"/>
      <w:bookmarkEnd w:id="957"/>
      <w:bookmarkEnd w:id="958"/>
      <w:bookmarkEnd w:id="960"/>
    </w:p>
    <w:p w14:paraId="68EAB41B" w14:textId="619BA461" w:rsidR="00D40151" w:rsidRPr="00873B6C" w:rsidRDefault="00D40151" w:rsidP="00D40151">
      <w:r w:rsidRPr="00873B6C">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w:t>
      </w:r>
      <w:r w:rsidR="00472CD7" w:rsidRPr="00873B6C">
        <w:rPr>
          <w:lang w:eastAsia="ko-KR"/>
        </w:rPr>
        <w:t xml:space="preserve"> and</w:t>
      </w:r>
      <w:r w:rsidRPr="00873B6C">
        <w:rPr>
          <w:lang w:eastAsia="ko-KR"/>
        </w:rPr>
        <w:t xml:space="preserve"> the UE assisted information, or any combination of them. The s</w:t>
      </w:r>
      <w:r w:rsidRPr="00873B6C">
        <w:t xml:space="preserve">tatistics of the UE mobility can be historical or expected UE moving trajectory. If NWDAF is deployed, the statistics of the UE mobility can also be analytics (i.e. statistics or predictions) provided by the NWDAF (see </w:t>
      </w:r>
      <w:r w:rsidR="00972E70" w:rsidRPr="00873B6C">
        <w:t>TS 23.288 [</w:t>
      </w:r>
      <w:r w:rsidRPr="00873B6C">
        <w:t>86]).</w:t>
      </w:r>
    </w:p>
    <w:p w14:paraId="0F0C62AD" w14:textId="77777777" w:rsidR="00D40151" w:rsidRPr="00873B6C" w:rsidRDefault="00D40151" w:rsidP="00D40151">
      <w:pPr>
        <w:rPr>
          <w:lang w:eastAsia="zh-CN"/>
        </w:rPr>
      </w:pPr>
      <w:r w:rsidRPr="00873B6C">
        <w:t xml:space="preserve">The Mobility Pattern can be used by the </w:t>
      </w:r>
      <w:r w:rsidRPr="00873B6C">
        <w:rPr>
          <w:lang w:eastAsia="zh-CN"/>
        </w:rPr>
        <w:t>AMF</w:t>
      </w:r>
      <w:r w:rsidRPr="00873B6C">
        <w:t xml:space="preserve"> to optimize mobility support provided to the UE</w:t>
      </w:r>
      <w:r w:rsidRPr="00873B6C">
        <w:rPr>
          <w:lang w:eastAsia="zh-CN"/>
        </w:rPr>
        <w:t>, for example, Registration area allocation.</w:t>
      </w:r>
    </w:p>
    <w:p w14:paraId="69324BC8" w14:textId="77777777" w:rsidR="00D40151" w:rsidRPr="00873B6C" w:rsidRDefault="00D40151" w:rsidP="00D40151">
      <w:pPr>
        <w:pStyle w:val="Heading4"/>
      </w:pPr>
      <w:bookmarkStart w:id="961" w:name="_CR5_3_4_3"/>
      <w:bookmarkStart w:id="962" w:name="_Toc20149728"/>
      <w:bookmarkStart w:id="963" w:name="_Toc27846519"/>
      <w:bookmarkStart w:id="964" w:name="_Toc36187643"/>
      <w:bookmarkStart w:id="965" w:name="_Toc45183547"/>
      <w:bookmarkStart w:id="966" w:name="_Toc47342389"/>
      <w:bookmarkStart w:id="967" w:name="_Toc51769087"/>
      <w:bookmarkStart w:id="968" w:name="_Toc201157011"/>
      <w:bookmarkEnd w:id="961"/>
      <w:r w:rsidRPr="00873B6C">
        <w:t>5.3.4.3</w:t>
      </w:r>
      <w:r w:rsidRPr="00873B6C">
        <w:tab/>
        <w:t>Radio Resource Management functions</w:t>
      </w:r>
      <w:bookmarkEnd w:id="962"/>
      <w:bookmarkEnd w:id="963"/>
      <w:bookmarkEnd w:id="964"/>
      <w:bookmarkEnd w:id="965"/>
      <w:bookmarkEnd w:id="966"/>
      <w:bookmarkEnd w:id="967"/>
      <w:bookmarkEnd w:id="968"/>
    </w:p>
    <w:p w14:paraId="44F78EB7" w14:textId="5E66D861" w:rsidR="00BA212C" w:rsidRPr="00873B6C" w:rsidRDefault="00BA212C" w:rsidP="00562E84">
      <w:pPr>
        <w:pStyle w:val="Heading5"/>
      </w:pPr>
      <w:bookmarkStart w:id="969" w:name="_CR5_3_4_3_1"/>
      <w:bookmarkStart w:id="970" w:name="_Toc201157012"/>
      <w:bookmarkEnd w:id="969"/>
      <w:r w:rsidRPr="00873B6C">
        <w:t>5.3.4.3.1</w:t>
      </w:r>
      <w:r w:rsidRPr="00873B6C">
        <w:tab/>
        <w:t>General</w:t>
      </w:r>
      <w:bookmarkEnd w:id="970"/>
    </w:p>
    <w:p w14:paraId="499215B1" w14:textId="04FC287F" w:rsidR="00D40151" w:rsidRPr="00873B6C" w:rsidRDefault="00D40151" w:rsidP="00D40151">
      <w:r w:rsidRPr="00873B6C">
        <w:t xml:space="preserve">To support radio resource management in </w:t>
      </w:r>
      <w:r w:rsidR="00183D3D" w:rsidRPr="00873B6C">
        <w:t>NG-</w:t>
      </w:r>
      <w:r w:rsidRPr="00873B6C">
        <w:t xml:space="preserve">RAN the AMF provides the parameter 'Index to RAT/Frequency Selection Priority' (RFSP Index) to </w:t>
      </w:r>
      <w:r w:rsidR="00183D3D" w:rsidRPr="00873B6C">
        <w:t>NG-</w:t>
      </w:r>
      <w:r w:rsidRPr="00873B6C">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873B6C" w:rsidRDefault="00D40151" w:rsidP="00D40151">
      <w:pPr>
        <w:pStyle w:val="B1"/>
      </w:pPr>
      <w:r w:rsidRPr="00873B6C">
        <w:t>-</w:t>
      </w:r>
      <w:r w:rsidRPr="00873B6C">
        <w:tab/>
        <w:t>to derive UE specific cell reselection priorities to control idle mode camping.</w:t>
      </w:r>
    </w:p>
    <w:p w14:paraId="18973678" w14:textId="5EFF0AC5" w:rsidR="00D40151" w:rsidRPr="00873B6C" w:rsidRDefault="00D40151" w:rsidP="00D40151">
      <w:pPr>
        <w:pStyle w:val="B1"/>
      </w:pPr>
      <w:r w:rsidRPr="00873B6C">
        <w:t>-</w:t>
      </w:r>
      <w:r w:rsidRPr="00873B6C">
        <w:tab/>
        <w:t>to decide on redirecting active mode UEs to different frequency layers or RATs</w:t>
      </w:r>
      <w:r w:rsidR="00BA212C" w:rsidRPr="00873B6C">
        <w:t xml:space="preserve"> (e.g. see clause 5.3.4.3.2)</w:t>
      </w:r>
      <w:r w:rsidRPr="00873B6C">
        <w:t>.</w:t>
      </w:r>
    </w:p>
    <w:p w14:paraId="7C11566F" w14:textId="3656EB46" w:rsidR="00D40151" w:rsidRPr="00873B6C" w:rsidRDefault="00D40151" w:rsidP="00D40151">
      <w:r w:rsidRPr="00873B6C">
        <w:t xml:space="preserve">The HPLMN may set the RFSP Index taking into account the Subscribed S-NSSAIs. The AMF receives the subscribed RFSP Index </w:t>
      </w:r>
      <w:r w:rsidRPr="00873B6C">
        <w:rPr>
          <w:rFonts w:eastAsia="DengXian"/>
        </w:rPr>
        <w:t xml:space="preserve">from the UDM </w:t>
      </w:r>
      <w:r w:rsidRPr="00873B6C">
        <w:t>(e.g</w:t>
      </w:r>
      <w:r w:rsidR="000E35F2" w:rsidRPr="00873B6C">
        <w:t>.</w:t>
      </w:r>
      <w:r w:rsidRPr="00873B6C">
        <w:t xml:space="preserve"> during the Registration procedure). For non-roaming subscribers, the AMF chooses the RFSP Index in use according to one of the following procedures, depending on operator's configuration:</w:t>
      </w:r>
    </w:p>
    <w:p w14:paraId="402DCD0C" w14:textId="77777777" w:rsidR="00D40151" w:rsidRPr="00873B6C" w:rsidRDefault="00D40151" w:rsidP="00D40151">
      <w:pPr>
        <w:pStyle w:val="B1"/>
      </w:pPr>
      <w:r w:rsidRPr="00873B6C">
        <w:t>-</w:t>
      </w:r>
      <w:r w:rsidRPr="00873B6C">
        <w:tab/>
        <w:t>the RFSP Index in use is identical to the subscribed RFSP Index, or</w:t>
      </w:r>
    </w:p>
    <w:p w14:paraId="38200E6A" w14:textId="7D484F8D" w:rsidR="00D40151" w:rsidRPr="00873B6C" w:rsidRDefault="00D40151" w:rsidP="00D40151">
      <w:pPr>
        <w:pStyle w:val="B1"/>
      </w:pPr>
      <w:r w:rsidRPr="00873B6C">
        <w:t>-</w:t>
      </w:r>
      <w:r w:rsidRPr="00873B6C">
        <w:tab/>
        <w:t>the AMF chooses the RFSP Index in use based on the subscribed RFSP Index, the locally configured operator's policies, the Allowed NSSAI</w:t>
      </w:r>
      <w:r w:rsidR="00D01473" w:rsidRPr="00873B6C">
        <w:t xml:space="preserve"> and any Partially Allowed NSSAI</w:t>
      </w:r>
      <w:r w:rsidR="00BE0437" w:rsidRPr="00873B6C">
        <w:t>, S-NSSAI(s) rejected partially in the RA, Rejected S-NSSAI(s) for the RA, Pending NSSAI</w:t>
      </w:r>
      <w:r w:rsidRPr="00873B6C">
        <w:t xml:space="preserve"> and the UE related context information available at the AMF, including UE's usage setting, if received during Registration procedures (see clause </w:t>
      </w:r>
      <w:r w:rsidR="00972E70" w:rsidRPr="00873B6C">
        <w:t>TS 23.502 [</w:t>
      </w:r>
      <w:r w:rsidRPr="00873B6C">
        <w:t>3]).</w:t>
      </w:r>
    </w:p>
    <w:p w14:paraId="40D5D62B" w14:textId="3198E1C0" w:rsidR="00D40151" w:rsidRPr="00873B6C" w:rsidRDefault="00D40151" w:rsidP="00D40151">
      <w:pPr>
        <w:pStyle w:val="NO"/>
      </w:pPr>
      <w:r w:rsidRPr="00873B6C">
        <w:t>NOTE</w:t>
      </w:r>
      <w:r w:rsidR="007C5118" w:rsidRPr="00873B6C">
        <w:t> 1</w:t>
      </w:r>
      <w:r w:rsidRPr="00873B6C">
        <w:t>:</w:t>
      </w:r>
      <w:r w:rsidRPr="00873B6C">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61973FB" w14:textId="4721B4AF" w:rsidR="009B42A2" w:rsidRPr="00873B6C" w:rsidRDefault="00D40151" w:rsidP="00D40151">
      <w:r w:rsidRPr="00873B6C">
        <w:t xml:space="preserve">The AMF may report </w:t>
      </w:r>
      <w:r w:rsidRPr="00873B6C">
        <w:rPr>
          <w:rFonts w:eastAsia="DengXian"/>
        </w:rPr>
        <w:t>to the PCF</w:t>
      </w:r>
      <w:r w:rsidRPr="00873B6C">
        <w:t xml:space="preserve"> the subscribed </w:t>
      </w:r>
      <w:r w:rsidRPr="00873B6C">
        <w:rPr>
          <w:rFonts w:eastAsia="DengXian"/>
        </w:rPr>
        <w:t>RFSP Index</w:t>
      </w:r>
      <w:r w:rsidRPr="00873B6C">
        <w:t xml:space="preserve"> received from the UDM</w:t>
      </w:r>
      <w:r w:rsidRPr="00873B6C">
        <w:rPr>
          <w:rFonts w:eastAsia="DengXian"/>
        </w:rPr>
        <w:t xml:space="preserve"> for further evaluation as described in clause 6.1.2.1 </w:t>
      </w:r>
      <w:r w:rsidR="00960CDA" w:rsidRPr="00873B6C">
        <w:rPr>
          <w:rFonts w:eastAsia="DengXian"/>
        </w:rPr>
        <w:t>of</w:t>
      </w:r>
      <w:r w:rsidRPr="00873B6C">
        <w:rPr>
          <w:rFonts w:eastAsia="DengXian"/>
        </w:rPr>
        <w:t xml:space="preserve"> </w:t>
      </w:r>
      <w:r w:rsidR="00972E70" w:rsidRPr="00873B6C">
        <w:rPr>
          <w:rFonts w:eastAsia="DengXian"/>
        </w:rPr>
        <w:t>TS 23.503 [</w:t>
      </w:r>
      <w:r w:rsidRPr="00873B6C">
        <w:rPr>
          <w:rFonts w:eastAsia="DengXian"/>
        </w:rPr>
        <w:t xml:space="preserve">45]. When receiving the authorized RFSP Index from the PCF, the AMF shall </w:t>
      </w:r>
      <w:r w:rsidR="007C5118" w:rsidRPr="00873B6C">
        <w:rPr>
          <w:rFonts w:eastAsia="DengXian"/>
        </w:rPr>
        <w:t xml:space="preserve">apply </w:t>
      </w:r>
      <w:r w:rsidRPr="00873B6C">
        <w:rPr>
          <w:rFonts w:eastAsia="DengXian"/>
        </w:rPr>
        <w:t xml:space="preserve">the </w:t>
      </w:r>
      <w:r w:rsidR="007C5118" w:rsidRPr="00873B6C">
        <w:t xml:space="preserve">authorized </w:t>
      </w:r>
      <w:r w:rsidRPr="00873B6C">
        <w:rPr>
          <w:rFonts w:eastAsia="DengXian"/>
        </w:rPr>
        <w:t xml:space="preserve">RFSP Index </w:t>
      </w:r>
      <w:r w:rsidR="007C5118" w:rsidRPr="00873B6C">
        <w:rPr>
          <w:rFonts w:eastAsia="DengXian"/>
        </w:rPr>
        <w:t xml:space="preserve">instead of </w:t>
      </w:r>
      <w:r w:rsidRPr="00873B6C">
        <w:rPr>
          <w:rFonts w:eastAsia="DengXian"/>
        </w:rPr>
        <w:t xml:space="preserve">the </w:t>
      </w:r>
      <w:r w:rsidR="007C5118" w:rsidRPr="00873B6C">
        <w:rPr>
          <w:rFonts w:eastAsia="DengXian"/>
        </w:rPr>
        <w:t xml:space="preserve">subscribed </w:t>
      </w:r>
      <w:r w:rsidRPr="00873B6C">
        <w:rPr>
          <w:rFonts w:eastAsia="DengXian"/>
        </w:rPr>
        <w:t>RFSP Index</w:t>
      </w:r>
      <w:r w:rsidR="007C5118" w:rsidRPr="00873B6C">
        <w:rPr>
          <w:rFonts w:eastAsia="DengXian"/>
        </w:rPr>
        <w:t xml:space="preserve"> for choosing the RFSP index in use (as described above)</w:t>
      </w:r>
      <w:r w:rsidRPr="00873B6C">
        <w:rPr>
          <w:rFonts w:eastAsia="DengXian"/>
        </w:rPr>
        <w:t>.</w:t>
      </w:r>
    </w:p>
    <w:p w14:paraId="3F70822D" w14:textId="799FAA00" w:rsidR="00D40151" w:rsidRPr="00873B6C" w:rsidRDefault="00D40151" w:rsidP="00D40151">
      <w:r w:rsidRPr="00873B6C">
        <w:t>For roaming subscribers</w:t>
      </w:r>
      <w:r w:rsidR="00C20C6C" w:rsidRPr="00873B6C">
        <w:t>,</w:t>
      </w:r>
      <w:r w:rsidRPr="00873B6C">
        <w:t xml:space="preserve"> the AMF may choose the RFSP Index in use based on the visited network policy, but can take input from the HPLMN into account (e.g</w:t>
      </w:r>
      <w:r w:rsidR="000E35F2" w:rsidRPr="00873B6C">
        <w:t>.</w:t>
      </w:r>
      <w:r w:rsidRPr="00873B6C">
        <w:t xml:space="preserve"> an RFSP Index value pre-configured per HPLMN, or a single RFSP Index </w:t>
      </w:r>
      <w:r w:rsidRPr="00873B6C">
        <w:lastRenderedPageBreak/>
        <w:t>value to be used for all roamers independent of the HPLMN).</w:t>
      </w:r>
      <w:r w:rsidR="009B42A2" w:rsidRPr="00873B6C">
        <w:t xml:space="preserve"> If the AMF receives authorized RFSP Index value from the V-PCF, the AMF chooses the RFSP index in use based on the authorized RFSP Index value.</w:t>
      </w:r>
    </w:p>
    <w:p w14:paraId="3F8945E8" w14:textId="38B7A0D6" w:rsidR="001F5968" w:rsidRPr="00873B6C" w:rsidRDefault="001F5968" w:rsidP="00695DF1">
      <w:pPr>
        <w:pStyle w:val="NO"/>
      </w:pPr>
      <w:r w:rsidRPr="00873B6C">
        <w:t>NOTE 2:</w:t>
      </w:r>
      <w:r w:rsidRPr="00873B6C">
        <w:tab/>
        <w:t>The PCF can provide validity time together with the authorized RFSP Index indicating a change in priority from 5G access to E-UTRAN access as specified in clause 5.17.2.2.</w:t>
      </w:r>
    </w:p>
    <w:p w14:paraId="5A3ED9AE" w14:textId="20C4F8CB" w:rsidR="00D40151" w:rsidRPr="00873B6C" w:rsidRDefault="00D40151" w:rsidP="00D40151">
      <w:r w:rsidRPr="00873B6C">
        <w:t xml:space="preserve">The RFSP Index in use is also forwarded from source to target </w:t>
      </w:r>
      <w:r w:rsidR="00183D3D" w:rsidRPr="00873B6C">
        <w:t>NG-</w:t>
      </w:r>
      <w:r w:rsidRPr="00873B6C">
        <w:t>RAN node when Xn or N2 is used for intra-NG-RAN handover.</w:t>
      </w:r>
    </w:p>
    <w:p w14:paraId="3831C02D" w14:textId="77777777" w:rsidR="00D40151" w:rsidRPr="00873B6C" w:rsidRDefault="00D40151" w:rsidP="00D40151">
      <w:pPr>
        <w:rPr>
          <w:lang w:eastAsia="zh-CN"/>
        </w:rPr>
      </w:pPr>
      <w:r w:rsidRPr="00873B6C">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02E649F" w:rsidR="00D40151" w:rsidRPr="00873B6C" w:rsidRDefault="00D40151" w:rsidP="00D40151">
      <w:r w:rsidRPr="00873B6C">
        <w:t>In order to enable UE idle mode mobility control and priority-based reselection mechanism considering availability of Network Slices at the network and the Network Slices allowed for a UE, an RFSP is derived as described in clause 5.3.4.3, considering also the Allowed NSSAI</w:t>
      </w:r>
      <w:r w:rsidR="00D01473" w:rsidRPr="00873B6C">
        <w:t xml:space="preserve"> and any Partially Allowed NSSAI</w:t>
      </w:r>
      <w:r w:rsidRPr="00873B6C">
        <w:t xml:space="preserve"> for the UE.</w:t>
      </w:r>
    </w:p>
    <w:p w14:paraId="7BCCE69D" w14:textId="20821C7D" w:rsidR="00972BA6" w:rsidRPr="00873B6C" w:rsidRDefault="00972BA6" w:rsidP="00972BA6">
      <w:bookmarkStart w:id="971" w:name="_Toc20149729"/>
      <w:bookmarkStart w:id="972" w:name="_Toc27846520"/>
      <w:bookmarkStart w:id="973" w:name="_Toc36187644"/>
      <w:bookmarkStart w:id="974" w:name="_Toc45183548"/>
      <w:bookmarkStart w:id="975" w:name="_Toc47342390"/>
      <w:bookmarkStart w:id="976" w:name="_Toc51769088"/>
      <w:r w:rsidRPr="00873B6C">
        <w:t xml:space="preserve">A UE supporting NSAG (see clause 5.15.14) may be configured, for some of the S-NSSAIs in the configured NSSAI, with NSAGs it can use as described in </w:t>
      </w:r>
      <w:r w:rsidR="00972E70" w:rsidRPr="00873B6C">
        <w:t>TS 38.300 [</w:t>
      </w:r>
      <w:r w:rsidRPr="00873B6C">
        <w:t xml:space="preserve">27], </w:t>
      </w:r>
      <w:r w:rsidR="00972E70" w:rsidRPr="00873B6C">
        <w:t>TS 38.304 [</w:t>
      </w:r>
      <w:r w:rsidRPr="00873B6C">
        <w:t xml:space="preserve">50], </w:t>
      </w:r>
      <w:r w:rsidR="00972E70" w:rsidRPr="00873B6C">
        <w:t>TS 38.331 [</w:t>
      </w:r>
      <w:r w:rsidRPr="00873B6C">
        <w:t>28]</w:t>
      </w:r>
      <w:r w:rsidR="00183D3D" w:rsidRPr="00873B6C">
        <w:t xml:space="preserve">, </w:t>
      </w:r>
      <w:r w:rsidR="00972E70" w:rsidRPr="00873B6C">
        <w:t>TS 38.321 [</w:t>
      </w:r>
      <w:r w:rsidR="00183D3D" w:rsidRPr="00873B6C">
        <w:t>143],</w:t>
      </w:r>
      <w:r w:rsidRPr="00873B6C">
        <w:t xml:space="preserve"> </w:t>
      </w:r>
      <w:r w:rsidR="00972E70" w:rsidRPr="00873B6C">
        <w:t>TS 24.501 [</w:t>
      </w:r>
      <w:r w:rsidRPr="00873B6C">
        <w:t>47]</w:t>
      </w:r>
      <w:r w:rsidR="00183D3D" w:rsidRPr="00873B6C">
        <w:t xml:space="preserve"> and as described in clause 5.3.4.3.4</w:t>
      </w:r>
      <w:r w:rsidRPr="00873B6C">
        <w:t>.</w:t>
      </w:r>
    </w:p>
    <w:p w14:paraId="7B94DB87" w14:textId="3B6BEFB0" w:rsidR="00BA212C" w:rsidRPr="00873B6C" w:rsidRDefault="00BA212C" w:rsidP="00562E84">
      <w:pPr>
        <w:pStyle w:val="Heading5"/>
      </w:pPr>
      <w:bookmarkStart w:id="977" w:name="_CR5_3_4_3_2"/>
      <w:bookmarkStart w:id="978" w:name="_Toc201157013"/>
      <w:bookmarkEnd w:id="977"/>
      <w:r w:rsidRPr="00873B6C">
        <w:t>5.3.4.3.2</w:t>
      </w:r>
      <w:r w:rsidRPr="00873B6C">
        <w:tab/>
        <w:t>Preferred band(s) per data radio bearer(s)</w:t>
      </w:r>
      <w:bookmarkEnd w:id="978"/>
    </w:p>
    <w:p w14:paraId="2802FFBA" w14:textId="6BFF6BCE" w:rsidR="00BA212C" w:rsidRPr="00873B6C" w:rsidRDefault="00BA212C" w:rsidP="00BA212C">
      <w:r w:rsidRPr="00873B6C">
        <w:t>The NG-RAN may prefer to use specific radio resources per data radio bearer(s), e.g. depending on the Network Slices associated to the data radio bearer used by the UE. The UE idle mode mobility control and priority-based reselection mechanism operates as described in clause 5.3.4.3.1</w:t>
      </w:r>
      <w:r w:rsidR="00472CD7" w:rsidRPr="00873B6C">
        <w:t xml:space="preserve"> and</w:t>
      </w:r>
      <w:r w:rsidRPr="00873B6C">
        <w:t xml:space="preserve">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873B6C" w:rsidRDefault="00BA212C" w:rsidP="00562E84">
      <w:pPr>
        <w:pStyle w:val="Heading5"/>
      </w:pPr>
      <w:bookmarkStart w:id="979" w:name="_CR5_3_4_3_3"/>
      <w:bookmarkStart w:id="980" w:name="_Toc201157014"/>
      <w:bookmarkEnd w:id="979"/>
      <w:r w:rsidRPr="00873B6C">
        <w:t>5.3.4.3.3</w:t>
      </w:r>
      <w:r w:rsidRPr="00873B6C">
        <w:tab/>
        <w:t>Redirection to dedicated frequency band(s) for an S-NSSAI</w:t>
      </w:r>
      <w:bookmarkEnd w:id="980"/>
    </w:p>
    <w:p w14:paraId="3BD44A7A" w14:textId="54777935" w:rsidR="00BA212C" w:rsidRPr="00873B6C" w:rsidRDefault="00BA212C" w:rsidP="00BA212C">
      <w:r w:rsidRPr="00873B6C">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w:t>
      </w:r>
      <w:r w:rsidR="00472CD7" w:rsidRPr="00873B6C">
        <w:t xml:space="preserve"> and</w:t>
      </w:r>
      <w:r w:rsidRPr="00873B6C">
        <w:t xml:space="preserve"> optionally additional S-NSSAIs from the Requested NSSAI that are configured to be available within the same TAs as the S-NSSAIs not available in the current TA.</w:t>
      </w:r>
      <w:r w:rsidR="00DA3BBC" w:rsidRPr="00873B6C">
        <w:t xml:space="preserve"> If the serving PLMN supports the subscription-based restrictions to simultaneous registration of network slices (see clause 5.15.12)</w:t>
      </w:r>
      <w:r w:rsidR="00472CD7" w:rsidRPr="00873B6C">
        <w:t xml:space="preserve"> and</w:t>
      </w:r>
      <w:r w:rsidR="00DA3BBC" w:rsidRPr="00873B6C">
        <w:t xml:space="preserve"> if the UE has NSSRG as part of the subscription information received from the HPLMN, the Target NSSAI includes only S-NSSAIs sharing at least one NSSRG.</w:t>
      </w:r>
    </w:p>
    <w:p w14:paraId="188C281C" w14:textId="4B053FFE" w:rsidR="006E26ED" w:rsidRPr="00873B6C" w:rsidRDefault="00BA212C" w:rsidP="00BA212C">
      <w:r w:rsidRPr="00873B6C">
        <w:t>The Target NSSAI may be excluding some of the</w:t>
      </w:r>
      <w:r w:rsidR="006E26ED" w:rsidRPr="00873B6C">
        <w:t xml:space="preserve"> S-NSSAIs in the</w:t>
      </w:r>
      <w:r w:rsidRPr="00873B6C">
        <w:t xml:space="preserve"> Allowed NSSAI and include some of the rejected S-NSSAIs due to lack of support in the TA where the UE is located based on network policies that are in line with customer and operator agreements.</w:t>
      </w:r>
    </w:p>
    <w:p w14:paraId="217C13C8" w14:textId="2374CB51" w:rsidR="00BA212C" w:rsidRPr="00873B6C" w:rsidRDefault="00BA212C" w:rsidP="00BA212C">
      <w:r w:rsidRPr="00873B6C">
        <w:t>The Target NSSAI shall only include S-NSSAIs that can be provided in an Allowed NSSAI</w:t>
      </w:r>
      <w:r w:rsidR="006E26ED" w:rsidRPr="00873B6C">
        <w:t>, or in an Allowed NSSAI and Partially Allowed NSSAI,</w:t>
      </w:r>
      <w:r w:rsidRPr="00873B6C">
        <w:t xml:space="preserve"> for the UE. The Target NSSAI</w:t>
      </w:r>
      <w:r w:rsidR="006E26ED" w:rsidRPr="00873B6C">
        <w:t xml:space="preserve"> includes at least one Rejected S-NSSAI and</w:t>
      </w:r>
      <w:r w:rsidRPr="00873B6C">
        <w:t xml:space="preserve"> may include e.g.:</w:t>
      </w:r>
    </w:p>
    <w:p w14:paraId="5A8DFE02" w14:textId="24745499" w:rsidR="00BA212C" w:rsidRPr="00873B6C" w:rsidRDefault="00BA212C" w:rsidP="00562E84">
      <w:pPr>
        <w:pStyle w:val="B1"/>
      </w:pPr>
      <w:r w:rsidRPr="00873B6C">
        <w:t>-</w:t>
      </w:r>
      <w:r w:rsidRPr="00873B6C">
        <w:tab/>
        <w:t>all or a subset of the Rejected S-NSSAIs for RA</w:t>
      </w:r>
      <w:r w:rsidR="006E26ED" w:rsidRPr="00873B6C">
        <w:t>, all or a subset of the S-NSSAIs rejected partially in the RA, all or a subset of Partially Allowed NSSAI</w:t>
      </w:r>
      <w:r w:rsidRPr="00873B6C">
        <w:t xml:space="preserve"> when none of the S-NSSAIs in the Requested S-NSSAI were available in the TA where the UE is;</w:t>
      </w:r>
    </w:p>
    <w:p w14:paraId="54309598" w14:textId="2ECA13AB" w:rsidR="00BA212C" w:rsidRPr="00873B6C" w:rsidRDefault="00BA212C" w:rsidP="00562E84">
      <w:pPr>
        <w:pStyle w:val="B1"/>
      </w:pPr>
      <w:r w:rsidRPr="00873B6C">
        <w:lastRenderedPageBreak/>
        <w:t>-</w:t>
      </w:r>
      <w:r w:rsidRPr="00873B6C">
        <w:tab/>
        <w:t>all the S-NSSAIs of the Allowed NSSAI</w:t>
      </w:r>
      <w:r w:rsidR="006E26ED" w:rsidRPr="00873B6C">
        <w:t>, all the S-NSSAIs of the Partially Allowed NSSAI</w:t>
      </w:r>
      <w:r w:rsidRPr="00873B6C">
        <w:t xml:space="preserve"> and all or a subset of the Rejected S-NSSAIs for the RA</w:t>
      </w:r>
      <w:r w:rsidR="006E26ED" w:rsidRPr="00873B6C">
        <w:t xml:space="preserve"> and all or subset of S-NSSAIs rejected partially in the RA</w:t>
      </w:r>
      <w:r w:rsidRPr="00873B6C">
        <w:t>;</w:t>
      </w:r>
    </w:p>
    <w:p w14:paraId="344B4495" w14:textId="168C1F08" w:rsidR="00BA212C" w:rsidRPr="00873B6C" w:rsidRDefault="00BA212C" w:rsidP="00562E84">
      <w:pPr>
        <w:pStyle w:val="B1"/>
      </w:pPr>
      <w:r w:rsidRPr="00873B6C">
        <w:t>-</w:t>
      </w:r>
      <w:r w:rsidRPr="00873B6C">
        <w:tab/>
        <w:t>a subset of the S-NSSAIs in the Allowed NSSAI</w:t>
      </w:r>
      <w:r w:rsidR="006E26ED" w:rsidRPr="00873B6C">
        <w:t>, a subset of the S-NSSAIs in the Partially Allowed NSSAI</w:t>
      </w:r>
      <w:r w:rsidRPr="00873B6C">
        <w:t xml:space="preserve"> and all or a subset of the Rejected S-NSSAIs for the RA</w:t>
      </w:r>
      <w:r w:rsidR="006E26ED" w:rsidRPr="00873B6C">
        <w:t xml:space="preserve"> and all or subset of S-NSSAIs rejected partially in the RA,</w:t>
      </w:r>
      <w:r w:rsidRPr="00873B6C">
        <w:t xml:space="preserve"> if the operator policy is to prefer this Target S-NSSAI to the Allowed NSSAI.</w:t>
      </w:r>
    </w:p>
    <w:p w14:paraId="3E068C4D" w14:textId="52A8A64F" w:rsidR="00BA212C" w:rsidRPr="00873B6C" w:rsidRDefault="00BA212C" w:rsidP="00BA212C">
      <w:r w:rsidRPr="00873B6C">
        <w:t xml:space="preserve">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w:t>
      </w:r>
      <w:r w:rsidR="006E26ED" w:rsidRPr="00873B6C">
        <w:t>NG-</w:t>
      </w:r>
      <w:r w:rsidRPr="00873B6C">
        <w:t>RAN succeeds to redirect the UE to a new TA</w:t>
      </w:r>
      <w:r w:rsidR="006E26ED" w:rsidRPr="00873B6C">
        <w:t xml:space="preserve"> where the Target NSSAI, or some S-NSSAIs of the Target NSSAI are supported</w:t>
      </w:r>
      <w:r w:rsidRPr="00873B6C">
        <w:t>, otherwise the RFSP index of the Allowed NSSAI is considered.</w:t>
      </w:r>
    </w:p>
    <w:p w14:paraId="44FFE2EB" w14:textId="59D1AAF2" w:rsidR="00366291" w:rsidRPr="00873B6C" w:rsidRDefault="00366291" w:rsidP="00BA212C">
      <w:r w:rsidRPr="00873B6C">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w:t>
      </w:r>
      <w:r w:rsidR="00972E70" w:rsidRPr="00873B6C">
        <w:t>TS 23.502 [</w:t>
      </w:r>
      <w:r w:rsidRPr="00873B6C">
        <w:t>3]. If the AMF determines a new Allowed NSSAI</w:t>
      </w:r>
      <w:r w:rsidR="006E26ED" w:rsidRPr="00873B6C">
        <w:t xml:space="preserve"> and/or Partially Allowed NSSAI</w:t>
      </w:r>
      <w:r w:rsidRPr="00873B6C">
        <w:t xml:space="preserve">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w:t>
      </w:r>
      <w:r w:rsidR="00972E70" w:rsidRPr="00873B6C">
        <w:t>TS 23.502 [</w:t>
      </w:r>
      <w:r w:rsidRPr="00873B6C">
        <w:t>3].</w:t>
      </w:r>
    </w:p>
    <w:p w14:paraId="094CD277" w14:textId="5655F9B5" w:rsidR="00BA212C" w:rsidRPr="00873B6C" w:rsidRDefault="00BA212C" w:rsidP="00BA212C">
      <w:r w:rsidRPr="00873B6C">
        <w:t>The NG-RAN shall attempt to find cells of TAs that can support all the S-NSSAIs in the Target S-NSSAIs</w:t>
      </w:r>
      <w:r w:rsidR="00472CD7" w:rsidRPr="00873B6C">
        <w:t xml:space="preserve"> and</w:t>
      </w:r>
      <w:r w:rsidRPr="00873B6C">
        <w:t xml:space="preserve"> if no such cell of a TA is available the RAN can attempt to select cells of TAs that best match the Target S-NSSAI. The NG-RAN shall attempt to ensure continuity of the PDU Sessions with activated User Plane associated with the S-NSSAIs in the Allowed NSSAI</w:t>
      </w:r>
      <w:r w:rsidR="006E26ED" w:rsidRPr="00873B6C">
        <w:t xml:space="preserve"> and/or Partially Allowed NSSAI</w:t>
      </w:r>
      <w:r w:rsidRPr="00873B6C">
        <w:t xml:space="preserve"> which are in the Target NSSAI. Also, the NG-RAN should attempt to ensure continuity of service for the S-NSSAIs of the Allowed NSSAI</w:t>
      </w:r>
      <w:r w:rsidR="006E26ED" w:rsidRPr="00873B6C">
        <w:t xml:space="preserve"> and/or Partially Allowed NSSAI</w:t>
      </w:r>
      <w:r w:rsidRPr="00873B6C">
        <w:t xml:space="preserve"> also available in the Target NSSAI, before prioritizing cells that are not supporting one or more of the S-NSSAI of the Allowed NSSAI</w:t>
      </w:r>
      <w:r w:rsidR="006E26ED" w:rsidRPr="00873B6C">
        <w:t xml:space="preserve"> and/or Partially Allowed NSSAI</w:t>
      </w:r>
      <w:r w:rsidRPr="00873B6C">
        <w:t xml:space="preserve"> also available in the Target NSSAI.</w:t>
      </w:r>
    </w:p>
    <w:p w14:paraId="5E7900DA" w14:textId="77777777" w:rsidR="00BA212C" w:rsidRPr="00873B6C" w:rsidRDefault="00BA212C" w:rsidP="00BA212C">
      <w:r w:rsidRPr="00873B6C">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873B6C" w:rsidRDefault="00BA212C" w:rsidP="00BA212C">
      <w:r w:rsidRPr="00873B6C">
        <w:t>Once the target cells are determined, the NG-RAN initiates RRC redirection procedure towards the target cells,</w:t>
      </w:r>
      <w:r w:rsidR="00517B35" w:rsidRPr="00873B6C">
        <w:t xml:space="preserve"> or the NG-RAN initiates handover for the UE with active PDU Sessions associated with the S-NSSAIs which are in the Target NSSAI,</w:t>
      </w:r>
      <w:r w:rsidRPr="00873B6C">
        <w:t xml:space="preserve"> if possible.</w:t>
      </w:r>
    </w:p>
    <w:p w14:paraId="05841B11" w14:textId="71B52639" w:rsidR="006E26ED" w:rsidRPr="00873B6C" w:rsidRDefault="006E26ED" w:rsidP="00BA212C">
      <w:r w:rsidRPr="00873B6C">
        <w:t>After a successful redirection or handover of the UE to a new TA inside the current RA, the UE may request a PDU Session and activate UP resources for a PDU Session for S-NSSAIs of Partially Allowed NSSAI that are supported in the new TA</w:t>
      </w:r>
      <w:r w:rsidR="00472CD7" w:rsidRPr="00873B6C">
        <w:t xml:space="preserve"> and</w:t>
      </w:r>
      <w:r w:rsidRPr="00873B6C">
        <w:t xml:space="preserve"> the UE may request to register S-NSSAIs rejected partially in the RA that are not rejected in the new TA, as described in clause 5.15.17.</w:t>
      </w:r>
    </w:p>
    <w:p w14:paraId="063816F5" w14:textId="298614A5" w:rsidR="00BA212C" w:rsidRPr="00873B6C" w:rsidRDefault="00BA212C" w:rsidP="00BA212C">
      <w:r w:rsidRPr="00873B6C">
        <w:t>After a successful redirection</w:t>
      </w:r>
      <w:r w:rsidR="00517B35" w:rsidRPr="00873B6C">
        <w:t xml:space="preserve"> or handover</w:t>
      </w:r>
      <w:r w:rsidRPr="00873B6C">
        <w:t xml:space="preserve"> of the UE to a new TA outside the current RA, the UE shall perform a Mobility Registration Update procedure and the S-NSSAIs</w:t>
      </w:r>
      <w:r w:rsidR="006E26ED" w:rsidRPr="00873B6C">
        <w:t xml:space="preserve"> that</w:t>
      </w:r>
      <w:r w:rsidRPr="00873B6C">
        <w:t xml:space="preserve"> the new TA supports can be allowed if the UE requests them.</w:t>
      </w:r>
      <w:r w:rsidR="00FC0C60" w:rsidRPr="00873B6C">
        <w:t xml:space="preserve"> In order to ensure that the UE is redirected to a TA outside the current RA</w:t>
      </w:r>
      <w:r w:rsidR="006E26ED" w:rsidRPr="00873B6C">
        <w:t xml:space="preserve"> when there are S-NSSAIs Rejected for the RA</w:t>
      </w:r>
      <w:r w:rsidR="00FC0C60" w:rsidRPr="00873B6C">
        <w:t>,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Pr="00873B6C" w:rsidRDefault="0082686E" w:rsidP="0082686E">
      <w:pPr>
        <w:pStyle w:val="Heading5"/>
      </w:pPr>
      <w:bookmarkStart w:id="981" w:name="_CR5_3_4_3_4"/>
      <w:bookmarkStart w:id="982" w:name="_Toc201157015"/>
      <w:bookmarkEnd w:id="981"/>
      <w:r w:rsidRPr="00873B6C">
        <w:t>5.3.4.3.4</w:t>
      </w:r>
      <w:r w:rsidRPr="00873B6C">
        <w:tab/>
        <w:t>Network Slice based cell reselection</w:t>
      </w:r>
      <w:r w:rsidR="00183D3D" w:rsidRPr="00873B6C">
        <w:t xml:space="preserve"> and Random Access</w:t>
      </w:r>
      <w:bookmarkEnd w:id="982"/>
    </w:p>
    <w:p w14:paraId="258E7A54" w14:textId="1413692F" w:rsidR="0082686E" w:rsidRPr="00873B6C" w:rsidRDefault="0082686E" w:rsidP="0082686E">
      <w:r w:rsidRPr="00873B6C">
        <w:t>When one or more S-NSSAI(s) are associated with NSAG(s), the UE may perform Network Slice based cell reselection</w:t>
      </w:r>
      <w:r w:rsidR="00183D3D" w:rsidRPr="00873B6C">
        <w:t xml:space="preserve"> and Random Access</w:t>
      </w:r>
      <w:r w:rsidRPr="00873B6C">
        <w:t xml:space="preserve"> as described in </w:t>
      </w:r>
      <w:r w:rsidR="00972E70" w:rsidRPr="00873B6C">
        <w:t>TS 38.300 [</w:t>
      </w:r>
      <w:r w:rsidRPr="00873B6C">
        <w:t xml:space="preserve">27], </w:t>
      </w:r>
      <w:r w:rsidR="00972E70" w:rsidRPr="00873B6C">
        <w:t>TS 38.304 [</w:t>
      </w:r>
      <w:r w:rsidRPr="00873B6C">
        <w:t xml:space="preserve">50], </w:t>
      </w:r>
      <w:r w:rsidR="00972E70" w:rsidRPr="00873B6C">
        <w:t>TS 38.331 [</w:t>
      </w:r>
      <w:r w:rsidRPr="00873B6C">
        <w:t>28]</w:t>
      </w:r>
      <w:r w:rsidR="00183D3D" w:rsidRPr="00873B6C">
        <w:t xml:space="preserve">, </w:t>
      </w:r>
      <w:r w:rsidR="00972E70" w:rsidRPr="00873B6C">
        <w:t>TS 38.321 [</w:t>
      </w:r>
      <w:r w:rsidR="00183D3D" w:rsidRPr="00873B6C">
        <w:t>143]</w:t>
      </w:r>
      <w:r w:rsidRPr="00873B6C">
        <w:t xml:space="preserve"> and </w:t>
      </w:r>
      <w:r w:rsidR="00972E70" w:rsidRPr="00873B6C">
        <w:t>TS 24.501 [</w:t>
      </w:r>
      <w:r w:rsidRPr="00873B6C">
        <w:t>47].</w:t>
      </w:r>
    </w:p>
    <w:p w14:paraId="51A40C14" w14:textId="756BF076" w:rsidR="00183D3D" w:rsidRPr="00873B6C" w:rsidRDefault="0082686E" w:rsidP="0082686E">
      <w:r w:rsidRPr="00873B6C">
        <w:t xml:space="preserve">When providing NSAG Information to the UE, the AMF </w:t>
      </w:r>
      <w:r w:rsidR="00183D3D" w:rsidRPr="00873B6C">
        <w:t xml:space="preserve">shall </w:t>
      </w:r>
      <w:r w:rsidRPr="00873B6C">
        <w:t xml:space="preserve">also provide the NSAG priority information for the NSAGs provided in the NSAG Information. The AMF determines the NSAG priority information based on </w:t>
      </w:r>
      <w:r w:rsidR="00183D3D" w:rsidRPr="00873B6C">
        <w:t xml:space="preserve">configured local </w:t>
      </w:r>
      <w:r w:rsidRPr="00873B6C">
        <w:t>policy</w:t>
      </w:r>
      <w:r w:rsidR="00183D3D" w:rsidRPr="00873B6C">
        <w:t xml:space="preserve"> of the serving PLMN or SNPN</w:t>
      </w:r>
      <w:r w:rsidRPr="00873B6C">
        <w:t>.</w:t>
      </w:r>
    </w:p>
    <w:p w14:paraId="3D0851B7" w14:textId="264EE09B" w:rsidR="00183D3D" w:rsidRPr="00873B6C" w:rsidRDefault="00183D3D" w:rsidP="00183D3D">
      <w:pPr>
        <w:pStyle w:val="NO"/>
      </w:pPr>
      <w:r w:rsidRPr="00873B6C">
        <w:t>NOTE 1:</w:t>
      </w:r>
      <w:r w:rsidRPr="00873B6C">
        <w:tab/>
        <w:t>How the AMF assigns the NSAG priority information per UE is not specified but AMF can take into account information like e.g. UE MM capabilities, Subscribed S-NSSAIs and HPLMN.</w:t>
      </w:r>
    </w:p>
    <w:p w14:paraId="1837BE2F" w14:textId="5023D1C0" w:rsidR="00183D3D" w:rsidRPr="00873B6C" w:rsidRDefault="00183D3D" w:rsidP="00183D3D">
      <w:pPr>
        <w:pStyle w:val="NO"/>
      </w:pPr>
      <w:r w:rsidRPr="00873B6C">
        <w:lastRenderedPageBreak/>
        <w:t>NOTE 2:</w:t>
      </w:r>
      <w:r w:rsidRPr="00873B6C">
        <w:tab/>
        <w:t>The AMF can assign same priority value for NSAGs provided in the NSAG Information.</w:t>
      </w:r>
    </w:p>
    <w:p w14:paraId="49CA36D8" w14:textId="0E0CCAEB" w:rsidR="0082686E" w:rsidRPr="00873B6C" w:rsidRDefault="0082686E" w:rsidP="0082686E">
      <w:r w:rsidRPr="00873B6C">
        <w:t xml:space="preserve">If the UE has received NSAG </w:t>
      </w:r>
      <w:r w:rsidR="00183D3D" w:rsidRPr="00873B6C">
        <w:t>I</w:t>
      </w:r>
      <w:r w:rsidRPr="00873B6C">
        <w:t xml:space="preserve">nformation from the AMF, the UE shall use the NSAG </w:t>
      </w:r>
      <w:r w:rsidR="00D34376" w:rsidRPr="00873B6C">
        <w:t>I</w:t>
      </w:r>
      <w:r w:rsidRPr="00873B6C">
        <w:t>nformation provided by the AMF for cell reselection</w:t>
      </w:r>
      <w:r w:rsidR="00D34376" w:rsidRPr="00873B6C">
        <w:t xml:space="preserve"> and Random Access</w:t>
      </w:r>
      <w:r w:rsidRPr="00873B6C">
        <w:t xml:space="preserve"> as described below. If the UE has not received any NSAG </w:t>
      </w:r>
      <w:r w:rsidR="00D34376" w:rsidRPr="00873B6C">
        <w:t>I</w:t>
      </w:r>
      <w:r w:rsidRPr="00873B6C">
        <w:t>nformation from the AMF, the UE shall not use Network Slice based cell reselection</w:t>
      </w:r>
      <w:r w:rsidR="00D34376" w:rsidRPr="00873B6C">
        <w:t xml:space="preserve"> and Random Access</w:t>
      </w:r>
      <w:r w:rsidRPr="00873B6C">
        <w:t xml:space="preserve"> at all.</w:t>
      </w:r>
    </w:p>
    <w:p w14:paraId="10C0D545" w14:textId="01942229" w:rsidR="0082686E" w:rsidRPr="00873B6C" w:rsidRDefault="0082686E" w:rsidP="0082686E">
      <w:r w:rsidRPr="00873B6C">
        <w:t>The UE NAS provides to the UE AS the NSAG</w:t>
      </w:r>
      <w:r w:rsidR="00D34376" w:rsidRPr="00873B6C">
        <w:t xml:space="preserve"> Information </w:t>
      </w:r>
      <w:r w:rsidRPr="00873B6C">
        <w:t xml:space="preserve">as received from the AMF </w:t>
      </w:r>
      <w:r w:rsidR="00D34376" w:rsidRPr="00873B6C">
        <w:t xml:space="preserve">and </w:t>
      </w:r>
      <w:r w:rsidRPr="00873B6C">
        <w:t>the S-NSSAIs in the Allowed NSSAI</w:t>
      </w:r>
      <w:r w:rsidR="00D01473" w:rsidRPr="00873B6C">
        <w:t xml:space="preserve"> and any Partially Allowed NSSAI</w:t>
      </w:r>
      <w:r w:rsidRPr="00873B6C">
        <w:t xml:space="preserve"> as input to cell reselection</w:t>
      </w:r>
      <w:r w:rsidR="00D34376" w:rsidRPr="00873B6C">
        <w:t>, e</w:t>
      </w:r>
      <w:r w:rsidRPr="00873B6C">
        <w:t>xcept when the UE intends to register with a new</w:t>
      </w:r>
      <w:r w:rsidR="00D01473" w:rsidRPr="00873B6C">
        <w:t xml:space="preserve"> (including any S-NSSAIs rejected partially in the RA)</w:t>
      </w:r>
      <w:r w:rsidRPr="00873B6C">
        <w:t xml:space="preserve"> set of S-NSSAIs with a Requested NSSAI different from the current Allowed NSSAI</w:t>
      </w:r>
      <w:r w:rsidR="00D01473" w:rsidRPr="00873B6C">
        <w:t xml:space="preserve"> and any Partially Allowed NSSAI</w:t>
      </w:r>
      <w:r w:rsidRPr="00873B6C">
        <w:t>, in which case the UE NAS provides to the UE AS layer the NSAG</w:t>
      </w:r>
      <w:r w:rsidR="00D34376" w:rsidRPr="00873B6C">
        <w:t xml:space="preserve"> Information </w:t>
      </w:r>
      <w:r w:rsidRPr="00873B6C">
        <w:t>as received from the AMF</w:t>
      </w:r>
      <w:r w:rsidR="00D34376" w:rsidRPr="00873B6C">
        <w:t xml:space="preserve"> and</w:t>
      </w:r>
      <w:r w:rsidRPr="00873B6C">
        <w:t xml:space="preserve"> the S-NSSAIs in the Requested NSSAI</w:t>
      </w:r>
      <w:r w:rsidR="00472CD7" w:rsidRPr="00873B6C">
        <w:t xml:space="preserve"> and</w:t>
      </w:r>
      <w:r w:rsidRPr="00873B6C">
        <w:t xml:space="preserve"> this may trigger a cell reselection, before sending the Registration Request including the new Requested NSSAI.</w:t>
      </w:r>
    </w:p>
    <w:p w14:paraId="7B3317BD" w14:textId="32727A75" w:rsidR="00D34376" w:rsidRPr="00873B6C" w:rsidRDefault="00D34376" w:rsidP="00433EFC">
      <w:r w:rsidRPr="00873B6C">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w:t>
      </w:r>
      <w:r w:rsidR="00472CD7" w:rsidRPr="00873B6C">
        <w:t xml:space="preserve"> and</w:t>
      </w:r>
      <w:r w:rsidRPr="00873B6C">
        <w:t xml:space="preserve"> the S-NSSAIs of these network slices are associated with more than one NSAG for Random Access, the NSAG with the highest priority is selected.</w:t>
      </w:r>
    </w:p>
    <w:p w14:paraId="50DAA02E" w14:textId="1C3AA5E0" w:rsidR="0082686E" w:rsidRPr="00873B6C" w:rsidRDefault="0082686E" w:rsidP="0073598F">
      <w:pPr>
        <w:pStyle w:val="NO"/>
      </w:pPr>
      <w:r w:rsidRPr="00873B6C">
        <w:t>NOTE</w:t>
      </w:r>
      <w:r w:rsidR="00D34376" w:rsidRPr="00873B6C">
        <w:t> 3</w:t>
      </w:r>
      <w:r w:rsidRPr="00873B6C">
        <w:t>:</w:t>
      </w:r>
      <w:r w:rsidRPr="00873B6C">
        <w:tab/>
        <w:t>How the UE NAS provides the NSAGs priorities to UE AS is based internal UE interface</w:t>
      </w:r>
      <w:r w:rsidR="00472CD7" w:rsidRPr="00873B6C">
        <w:t xml:space="preserve"> and</w:t>
      </w:r>
      <w:r w:rsidRPr="00873B6C">
        <w:t xml:space="preserve"> not specified.</w:t>
      </w:r>
    </w:p>
    <w:p w14:paraId="2F8B18BB" w14:textId="668B35BB" w:rsidR="00357584" w:rsidRPr="00873B6C" w:rsidRDefault="00357584" w:rsidP="00357584">
      <w:pPr>
        <w:rPr>
          <w:lang w:eastAsia="x-none"/>
        </w:rPr>
      </w:pPr>
      <w:r w:rsidRPr="00873B6C">
        <w:rPr>
          <w:lang w:eastAsia="x-none"/>
        </w:rPr>
        <w:t>When a S-NSSAI is replaced by an Alternative S-NSSAI for a UE supporting the Network Slice Replacement feature (see clause 5.15.19) then the AMF provides updated NSAG information also including the Alternative S-NSSAI to the UE when the Alternative S-NSSAI was not part of the UE Configured NSSAI and is Added to the UE configured NSSAI. The NSAG priority may take into account the Alternative S-NSSAI is a replacement of the replaced NSSAI if the Alternative S-NSSAI is not part of the UE subscription.</w:t>
      </w:r>
    </w:p>
    <w:p w14:paraId="74FC2AD0" w14:textId="79E11758" w:rsidR="00D40151" w:rsidRPr="00873B6C" w:rsidRDefault="00D40151" w:rsidP="00D40151">
      <w:pPr>
        <w:pStyle w:val="Heading4"/>
      </w:pPr>
      <w:bookmarkStart w:id="983" w:name="_CR5_3_4_4"/>
      <w:bookmarkStart w:id="984" w:name="_Toc201157016"/>
      <w:bookmarkEnd w:id="983"/>
      <w:r w:rsidRPr="00873B6C">
        <w:t>5.3.4.4</w:t>
      </w:r>
      <w:r w:rsidRPr="00873B6C">
        <w:tab/>
        <w:t>UE mobility event notification</w:t>
      </w:r>
      <w:bookmarkEnd w:id="971"/>
      <w:bookmarkEnd w:id="972"/>
      <w:bookmarkEnd w:id="973"/>
      <w:bookmarkEnd w:id="974"/>
      <w:bookmarkEnd w:id="975"/>
      <w:bookmarkEnd w:id="976"/>
      <w:bookmarkEnd w:id="984"/>
    </w:p>
    <w:p w14:paraId="090358CA" w14:textId="77777777" w:rsidR="00D40151" w:rsidRPr="00873B6C" w:rsidRDefault="00D40151" w:rsidP="00D40151">
      <w:pPr>
        <w:rPr>
          <w:lang w:eastAsia="x-none"/>
        </w:rPr>
      </w:pPr>
      <w:r w:rsidRPr="00873B6C">
        <w:rPr>
          <w:lang w:eastAsia="x-none"/>
        </w:rPr>
        <w:t>5G System supports the functionality of tracking and reporting UE mobility events.</w:t>
      </w:r>
    </w:p>
    <w:p w14:paraId="6071EE29" w14:textId="556896D3" w:rsidR="00D40151" w:rsidRPr="00873B6C" w:rsidRDefault="00D40151" w:rsidP="00D40151">
      <w:pPr>
        <w:rPr>
          <w:lang w:eastAsia="x-none"/>
        </w:rPr>
      </w:pPr>
      <w:r w:rsidRPr="00873B6C">
        <w:rPr>
          <w:lang w:eastAsia="x-none"/>
        </w:rPr>
        <w:t>The AMF provides the UE mobility related event reporting to NF that has been authorized to subscribe to the UE mobility event reporting service. Any NF service consumer such as SMF, NEF</w:t>
      </w:r>
      <w:r w:rsidR="002C4A81" w:rsidRPr="00873B6C">
        <w:rPr>
          <w:lang w:eastAsia="x-none"/>
        </w:rPr>
        <w:t>, TSCTSF</w:t>
      </w:r>
      <w:r w:rsidRPr="00873B6C">
        <w:rPr>
          <w:lang w:eastAsia="x-none"/>
        </w:rPr>
        <w:t xml:space="preserve"> or NWDAF that wants to be reported on the UE location is able to subscribe to the UE mobility event notification service to the AMF with the following parameters:</w:t>
      </w:r>
    </w:p>
    <w:p w14:paraId="0DCA7E41" w14:textId="77777777" w:rsidR="00D40151" w:rsidRPr="00873B6C" w:rsidRDefault="00D40151" w:rsidP="00D40151">
      <w:pPr>
        <w:pStyle w:val="B1"/>
      </w:pPr>
      <w:r w:rsidRPr="00873B6C">
        <w:t>-</w:t>
      </w:r>
      <w:r w:rsidRPr="00873B6C">
        <w:tab/>
        <w:t>Event reporting type that specifies what to be reported on UE mobility (e.g. UE location, UE mobility on Area of Interest).</w:t>
      </w:r>
    </w:p>
    <w:p w14:paraId="2C5A318C" w14:textId="77777777" w:rsidR="00D40151" w:rsidRPr="00873B6C" w:rsidRDefault="00D40151" w:rsidP="00D40151">
      <w:pPr>
        <w:pStyle w:val="B1"/>
      </w:pPr>
      <w:r w:rsidRPr="00873B6C">
        <w:t>-</w:t>
      </w:r>
      <w:r w:rsidRPr="00873B6C">
        <w:tab/>
        <w:t>Event filters indicating the:</w:t>
      </w:r>
    </w:p>
    <w:p w14:paraId="1B2B889A" w14:textId="52F9ABA1" w:rsidR="00D40151" w:rsidRPr="00873B6C" w:rsidRDefault="00D40151" w:rsidP="00D40151">
      <w:pPr>
        <w:pStyle w:val="B2"/>
      </w:pPr>
      <w:r w:rsidRPr="00873B6C">
        <w:t>-</w:t>
      </w:r>
      <w:r w:rsidRPr="00873B6C">
        <w:tab/>
        <w:t xml:space="preserve">Area Of Interest that specifies a </w:t>
      </w:r>
      <w:r w:rsidR="00A1192D" w:rsidRPr="00873B6C">
        <w:t xml:space="preserve">location </w:t>
      </w:r>
      <w:r w:rsidRPr="00873B6C">
        <w:t xml:space="preserve">area within 3GPP system. The Area Of Interest is represented by a list of Tracking Areas, list of cells or list of (R)AN node identifiers. In the case of LADN, the event consumer (e.g. SMF) provides the </w:t>
      </w:r>
      <w:r w:rsidR="00424087" w:rsidRPr="00873B6C">
        <w:t>"</w:t>
      </w:r>
      <w:r w:rsidRPr="00873B6C">
        <w:t>LADN DNN</w:t>
      </w:r>
      <w:r w:rsidR="00424087" w:rsidRPr="00873B6C">
        <w:t>" or "LADN DNN and S-NSSAI"</w:t>
      </w:r>
      <w:r w:rsidRPr="00873B6C">
        <w:t xml:space="preserve"> to refer the LADN service area as the Area Of Interest. In the case of PRA, the event consumer (e.g. SMF or PCF) may provide an identifier for Area Of Interest to refer predefined area as the Area Of Interest.</w:t>
      </w:r>
      <w:r w:rsidR="0029208C" w:rsidRPr="00873B6C">
        <w:t xml:space="preserve"> In the case of Partial Network Slice Support and Support for Network Slices with Network Slice Area of Service not matching deployed Tracking Areas as described in clauses 5.15.17 and 5.15.18, the event consumer (e.g. SMF) provides the S-NSSAI to refer the slice restriction area (area restriction applies for the S-NSSAI) as the Area Of Interest.</w:t>
      </w:r>
    </w:p>
    <w:p w14:paraId="423EFA99" w14:textId="6FC0B35E" w:rsidR="002C4A81" w:rsidRPr="00873B6C" w:rsidRDefault="002C4A81" w:rsidP="00D40151">
      <w:pPr>
        <w:pStyle w:val="B2"/>
      </w:pPr>
      <w:r w:rsidRPr="00873B6C">
        <w:t>-</w:t>
      </w:r>
      <w:r w:rsidRPr="00873B6C">
        <w:tab/>
        <w:t>The Area Of Interest may include a "RAN timing synchronization status change event" indicator, indicating that the presence in Area of Interest can be determined based on the most recent N2 connection.</w:t>
      </w:r>
    </w:p>
    <w:p w14:paraId="207B8E8E" w14:textId="6A164972" w:rsidR="00022CB9" w:rsidRPr="00873B6C" w:rsidRDefault="00022CB9" w:rsidP="00D40151">
      <w:pPr>
        <w:pStyle w:val="B2"/>
      </w:pPr>
      <w:r w:rsidRPr="00873B6C">
        <w:t>-</w:t>
      </w:r>
      <w:r w:rsidRPr="00873B6C">
        <w:tab/>
        <w:t>The Area Of Interest may include an "Adjust AoI based on RA" indicator, indicating that the Area of Interest may be adjusted depending on UE's RA.</w:t>
      </w:r>
    </w:p>
    <w:p w14:paraId="3AA40724" w14:textId="69C87FAD" w:rsidR="00FB6BEB" w:rsidRPr="00873B6C" w:rsidRDefault="00FB6BEB" w:rsidP="00D40151">
      <w:pPr>
        <w:pStyle w:val="B2"/>
      </w:pPr>
      <w:r w:rsidRPr="00873B6C">
        <w:t>-</w:t>
      </w:r>
      <w:r w:rsidRPr="00873B6C">
        <w:tab/>
        <w:t>The Area Of Interest may include the "Notify the consumer considering UE identity" indicator, containing a list of UE identities or Internal Group ID</w:t>
      </w:r>
      <w:r w:rsidR="00472CD7" w:rsidRPr="00873B6C">
        <w:t xml:space="preserve"> and</w:t>
      </w:r>
      <w:r w:rsidRPr="00873B6C">
        <w:t xml:space="preserve"> informing the AMF to notify the NF consumer about Area of Interest events only if an event is for the UE belonging to the provided list UEs. The indicator may be included when the request is targeted to Any UE.</w:t>
      </w:r>
    </w:p>
    <w:p w14:paraId="23EDEA5E" w14:textId="77777777" w:rsidR="00FB6BEB" w:rsidRPr="00873B6C" w:rsidRDefault="00FB6BEB" w:rsidP="00D40151">
      <w:pPr>
        <w:pStyle w:val="B2"/>
      </w:pPr>
      <w:r w:rsidRPr="00873B6C">
        <w:t>-</w:t>
      </w:r>
      <w:r w:rsidRPr="00873B6C">
        <w:tab/>
        <w:t xml:space="preserve">The Area Of Interest may include the "Notify the consumer considering DNN/S-NSSAI" indicator, containing one or more DNN(s)/S-NSSAI(s) and informing the AMF to notify the NF consumer about Area </w:t>
      </w:r>
      <w:r w:rsidRPr="00873B6C">
        <w:lastRenderedPageBreak/>
        <w:t>of Interest events only if an event is for the UE having a PDU sessions established for the specified DNN(s)/S-NSSAI(s).</w:t>
      </w:r>
    </w:p>
    <w:p w14:paraId="70242D05" w14:textId="016F3FC4" w:rsidR="00D40151" w:rsidRPr="00873B6C" w:rsidRDefault="00D40151" w:rsidP="00D40151">
      <w:pPr>
        <w:pStyle w:val="B2"/>
      </w:pPr>
      <w:r w:rsidRPr="00873B6C">
        <w:t>-</w:t>
      </w:r>
      <w:r w:rsidRPr="00873B6C">
        <w:tab/>
        <w:t>S-NSSAI and optionally the NSI ID(s).</w:t>
      </w:r>
    </w:p>
    <w:p w14:paraId="36E0180C" w14:textId="77777777" w:rsidR="00D40151" w:rsidRPr="00873B6C" w:rsidRDefault="00D40151" w:rsidP="00D40151">
      <w:pPr>
        <w:pStyle w:val="B1"/>
      </w:pPr>
      <w:r w:rsidRPr="00873B6C">
        <w:t>-</w:t>
      </w:r>
      <w:r w:rsidRPr="00873B6C">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873B6C" w:rsidRDefault="00D40151" w:rsidP="00D40151">
      <w:pPr>
        <w:pStyle w:val="B1"/>
      </w:pPr>
      <w:r w:rsidRPr="00873B6C">
        <w:t>-</w:t>
      </w:r>
      <w:r w:rsidRPr="00873B6C">
        <w:tab/>
        <w:t>Notification Endpoint of NF service consumer to be notified.</w:t>
      </w:r>
    </w:p>
    <w:p w14:paraId="086E41F7" w14:textId="4EE83490" w:rsidR="00D40151" w:rsidRPr="00873B6C" w:rsidRDefault="00D40151" w:rsidP="00D40151">
      <w:pPr>
        <w:pStyle w:val="B1"/>
      </w:pPr>
      <w:r w:rsidRPr="00873B6C">
        <w:t>-</w:t>
      </w:r>
      <w:r w:rsidRPr="00873B6C">
        <w:tab/>
        <w:t>The target of event reporting that indicates a</w:t>
      </w:r>
      <w:r w:rsidR="00FB6BEB" w:rsidRPr="00873B6C">
        <w:t xml:space="preserve"> (list of)</w:t>
      </w:r>
      <w:r w:rsidRPr="00873B6C">
        <w:t xml:space="preserve"> specific UE</w:t>
      </w:r>
      <w:r w:rsidR="00FB6BEB" w:rsidRPr="00873B6C">
        <w:t>(s)</w:t>
      </w:r>
      <w:r w:rsidRPr="00873B6C">
        <w:t>, a group of UE(s) or any UE (i.e. all UEs</w:t>
      </w:r>
      <w:r w:rsidR="00FB6BEB" w:rsidRPr="00873B6C">
        <w:t xml:space="preserve"> served by the AMF</w:t>
      </w:r>
      <w:r w:rsidRPr="00873B6C">
        <w:t xml:space="preserve">). Further details on the information provided by the NF service consumer are provided in clause 4.15 of </w:t>
      </w:r>
      <w:r w:rsidR="00972E70" w:rsidRPr="00873B6C">
        <w:t>TS 23.502 [</w:t>
      </w:r>
      <w:r w:rsidRPr="00873B6C">
        <w:t>3].</w:t>
      </w:r>
    </w:p>
    <w:p w14:paraId="08E561D9" w14:textId="2C10B349" w:rsidR="00D40151" w:rsidRPr="00873B6C" w:rsidRDefault="00D40151" w:rsidP="00D40151">
      <w:r w:rsidRPr="00873B6C">
        <w:t xml:space="preserve">If an NF service consumer subscribes to the UE mobility event notification service provided by AMF for reporting of UE presence in Area Of Interest, the AMF tracks UE's location considering UE's CM state and using NG-RAN procedures (if </w:t>
      </w:r>
      <w:r w:rsidR="00511811" w:rsidRPr="00873B6C">
        <w:t xml:space="preserve">RRC_INACTIVE </w:t>
      </w:r>
      <w:r w:rsidRPr="00873B6C">
        <w:t xml:space="preserve">state applies to NG-RAN) in order to determine the UE presence in the Area Of Interest, as described in clause 4.15.4.2 of </w:t>
      </w:r>
      <w:r w:rsidR="00972E70" w:rsidRPr="00873B6C">
        <w:t>TS 23.502 [</w:t>
      </w:r>
      <w:r w:rsidRPr="00873B6C">
        <w:t>3]. Upon detecting the change of the UE presence in the Area Of Interest, the AMF notifies the UE presence in the Area Of Interest and the new UE location to the subscribed NF</w:t>
      </w:r>
      <w:r w:rsidR="002C4A81" w:rsidRPr="00873B6C">
        <w:t xml:space="preserve"> service</w:t>
      </w:r>
      <w:r w:rsidRPr="00873B6C">
        <w:t xml:space="preserve"> consumer.</w:t>
      </w:r>
    </w:p>
    <w:p w14:paraId="19FDF290" w14:textId="11A43606" w:rsidR="002C4A81" w:rsidRPr="00873B6C" w:rsidRDefault="002C4A81" w:rsidP="00D40151">
      <w:r w:rsidRPr="00873B6C">
        <w:t xml:space="preserve">If the Area Of Interest in the subscription to the UE mobility event notification includes "RAN timing synchronization status change event" indicator as described in Table 5.2.2.3.1-1 of </w:t>
      </w:r>
      <w:r w:rsidR="00972E70" w:rsidRPr="00873B6C">
        <w:t>TS 23.502 [</w:t>
      </w:r>
      <w:r w:rsidRPr="00873B6C">
        <w:t>3]</w:t>
      </w:r>
      <w:r w:rsidR="00472CD7" w:rsidRPr="00873B6C">
        <w:t xml:space="preserve"> and</w:t>
      </w:r>
      <w:r w:rsidRPr="00873B6C">
        <w:t xml:space="preserve"> the registration request from the UE includes a UE 5GMM Core Network Capability with an indication for "support for network reconnection due to RAN timing synchronization status change " as described in clause 5.4.4</w:t>
      </w:r>
      <w:r w:rsidR="00965644" w:rsidRPr="00873B6C">
        <w:t>a</w:t>
      </w:r>
      <w:r w:rsidRPr="00873B6C">
        <w:t xml:space="preserve">, the AMF reports the UE presence in Area of Interest based on the most recent N2 connection as described in Annex D of </w:t>
      </w:r>
      <w:r w:rsidR="00972E70" w:rsidRPr="00873B6C">
        <w:t>TS 23.502 [</w:t>
      </w:r>
      <w:r w:rsidRPr="00873B6C">
        <w:t>3].</w:t>
      </w:r>
    </w:p>
    <w:p w14:paraId="4AFE07D9" w14:textId="68C2E435" w:rsidR="00022CB9" w:rsidRPr="00873B6C" w:rsidRDefault="00022CB9" w:rsidP="00D40151">
      <w:r w:rsidRPr="00873B6C">
        <w:t xml:space="preserve">If the Area Of Interest in the subscription to the UE mobility event notification includes "Adjust AoI based on RA" indicator as described in Table 5.2.2.3.1-1 in </w:t>
      </w:r>
      <w:r w:rsidR="00972E70" w:rsidRPr="00873B6C">
        <w:t>TS 23.502 [</w:t>
      </w:r>
      <w:r w:rsidRPr="00873B6C">
        <w:t xml:space="preserve">3], the AMF reports the UE presence in Area of Interest based on the most recent N2 connection as described in Annex D in </w:t>
      </w:r>
      <w:r w:rsidR="00972E70" w:rsidRPr="00873B6C">
        <w:t>TS 23.502 [</w:t>
      </w:r>
      <w:r w:rsidRPr="00873B6C">
        <w:t>3].</w:t>
      </w:r>
    </w:p>
    <w:p w14:paraId="62E76F63" w14:textId="6C5C09B0" w:rsidR="00D40151" w:rsidRPr="00873B6C" w:rsidRDefault="00D40151" w:rsidP="00D40151">
      <w:r w:rsidRPr="00873B6C">
        <w:t>When the AMF is changed, the subscription of mobility event</w:t>
      </w:r>
      <w:r w:rsidR="002C4A81" w:rsidRPr="00873B6C">
        <w:t xml:space="preserve"> for a UE or group of UEs</w:t>
      </w:r>
      <w:r w:rsidRPr="00873B6C">
        <w:t xml:space="preserve"> is transferred from the old AMF.</w:t>
      </w:r>
      <w:r w:rsidR="00FB6BEB" w:rsidRPr="00873B6C">
        <w:t xml:space="preserve"> Subscriptions targeted to Any UE shall not be moved to another AMF due to UE mobility.</w:t>
      </w:r>
      <w:r w:rsidRPr="00873B6C">
        <w:t xml:space="preserve"> The new AMF may decide not to notify the SMF with the current status related to the subscription of mobility event if the new AMF determines that, based on MM Context of the UE, the event is reported by the old AMF.</w:t>
      </w:r>
    </w:p>
    <w:p w14:paraId="63A91396" w14:textId="47169814" w:rsidR="00D40151" w:rsidRPr="00873B6C" w:rsidRDefault="00D40151" w:rsidP="00D40151">
      <w:r w:rsidRPr="00873B6C">
        <w:t xml:space="preserve">In the network deployment where a UE may leave or enter the Area Of Interest without any notification to the 5GC in CM-CONNECTED state (i.e. in the case that </w:t>
      </w:r>
      <w:r w:rsidR="00511811" w:rsidRPr="00873B6C">
        <w:t xml:space="preserve">RRC_INACTIVE </w:t>
      </w:r>
      <w:r w:rsidRPr="00873B6C">
        <w:t xml:space="preserve">state applies to the NG-RAN), the AMF may initiate the NG-RAN location reporting as described in clause 5.4.7 or N2 Notification as described in </w:t>
      </w:r>
      <w:r w:rsidR="00960CDA" w:rsidRPr="00873B6C">
        <w:t xml:space="preserve">clause 4.8.3 of </w:t>
      </w:r>
      <w:r w:rsidR="00972E70" w:rsidRPr="00873B6C">
        <w:t>TS 23.502 [</w:t>
      </w:r>
      <w:r w:rsidRPr="00873B6C">
        <w:t>3] to track the UE presence in the Area Of Interest.</w:t>
      </w:r>
    </w:p>
    <w:p w14:paraId="68614D89" w14:textId="2A861482" w:rsidR="00D40151" w:rsidRPr="00873B6C" w:rsidRDefault="00D40151" w:rsidP="00D40151">
      <w:bookmarkStart w:id="985" w:name="_Toc20149730"/>
      <w:bookmarkStart w:id="986" w:name="_Toc27846521"/>
      <w:r w:rsidRPr="00873B6C">
        <w:t xml:space="preserve">The AMF may provide UE mobility event reporting to PCF, using Policy Control </w:t>
      </w:r>
      <w:r w:rsidR="00A2272A" w:rsidRPr="00873B6C">
        <w:t xml:space="preserve">Request </w:t>
      </w:r>
      <w:r w:rsidRPr="00873B6C">
        <w:t xml:space="preserve">Triggers defined in </w:t>
      </w:r>
      <w:r w:rsidR="00972E70" w:rsidRPr="00873B6C">
        <w:t>TS 23.503 [</w:t>
      </w:r>
      <w:r w:rsidRPr="00873B6C">
        <w:t>45].</w:t>
      </w:r>
    </w:p>
    <w:p w14:paraId="1F446F00" w14:textId="6AC75E84" w:rsidR="009D42BF" w:rsidRPr="00873B6C" w:rsidRDefault="009D42BF" w:rsidP="009D42BF">
      <w:pPr>
        <w:pStyle w:val="Heading3"/>
        <w:rPr>
          <w:lang w:eastAsia="zh-CN"/>
        </w:rPr>
      </w:pPr>
      <w:bookmarkStart w:id="987" w:name="_CR5_3_5"/>
      <w:bookmarkStart w:id="988" w:name="_Toc36187645"/>
      <w:bookmarkStart w:id="989" w:name="_Toc45183549"/>
      <w:bookmarkStart w:id="990" w:name="_Toc47342391"/>
      <w:bookmarkStart w:id="991" w:name="_Toc51769089"/>
      <w:bookmarkStart w:id="992" w:name="_Toc201157017"/>
      <w:bookmarkEnd w:id="987"/>
      <w:r w:rsidRPr="00873B6C">
        <w:rPr>
          <w:lang w:eastAsia="zh-CN"/>
        </w:rPr>
        <w:t>5.3.5</w:t>
      </w:r>
      <w:r w:rsidRPr="00873B6C">
        <w:rPr>
          <w:lang w:eastAsia="zh-CN"/>
        </w:rPr>
        <w:tab/>
        <w:t>Triggers for network analytics</w:t>
      </w:r>
      <w:bookmarkEnd w:id="992"/>
    </w:p>
    <w:p w14:paraId="22114A36" w14:textId="77777777" w:rsidR="009D42BF" w:rsidRPr="00873B6C" w:rsidRDefault="009D42BF" w:rsidP="009D42BF">
      <w:pPr>
        <w:rPr>
          <w:lang w:eastAsia="zh-CN"/>
        </w:rPr>
      </w:pPr>
      <w:r w:rsidRPr="00873B6C">
        <w:rPr>
          <w:lang w:eastAsia="zh-CN"/>
        </w:rPr>
        <w:t>Triggers for the AMF to request for or subscribe to the analytics information from the NWDAF are internal logic in the AMF and may include for example:</w:t>
      </w:r>
    </w:p>
    <w:p w14:paraId="45CF0B86" w14:textId="77777777" w:rsidR="009D42BF" w:rsidRPr="00873B6C" w:rsidRDefault="009D42BF" w:rsidP="00323277">
      <w:pPr>
        <w:pStyle w:val="B1"/>
        <w:rPr>
          <w:lang w:eastAsia="zh-CN"/>
        </w:rPr>
      </w:pPr>
      <w:r w:rsidRPr="00873B6C">
        <w:rPr>
          <w:lang w:eastAsia="zh-CN"/>
        </w:rPr>
        <w:t>-</w:t>
      </w:r>
      <w:r w:rsidRPr="00873B6C">
        <w:rPr>
          <w:lang w:eastAsia="zh-CN"/>
        </w:rPr>
        <w:tab/>
        <w:t>UE access and mobility related event subscription by other NFs (e.g. SMF, NEF);</w:t>
      </w:r>
    </w:p>
    <w:p w14:paraId="00C9B6B4" w14:textId="77777777" w:rsidR="009D42BF" w:rsidRPr="00873B6C" w:rsidRDefault="009D42BF" w:rsidP="00323277">
      <w:pPr>
        <w:pStyle w:val="B1"/>
        <w:rPr>
          <w:lang w:eastAsia="zh-CN"/>
        </w:rPr>
      </w:pPr>
      <w:r w:rsidRPr="00873B6C">
        <w:rPr>
          <w:lang w:eastAsia="zh-CN"/>
        </w:rPr>
        <w:t>-</w:t>
      </w:r>
      <w:r w:rsidRPr="00873B6C">
        <w:rPr>
          <w:lang w:eastAsia="zh-CN"/>
        </w:rPr>
        <w:tab/>
        <w:t>locally detected events;</w:t>
      </w:r>
    </w:p>
    <w:p w14:paraId="2D9BB251" w14:textId="77777777" w:rsidR="009D42BF" w:rsidRPr="00873B6C" w:rsidRDefault="009D42BF" w:rsidP="00323277">
      <w:pPr>
        <w:pStyle w:val="B1"/>
        <w:rPr>
          <w:lang w:eastAsia="zh-CN"/>
        </w:rPr>
      </w:pPr>
      <w:r w:rsidRPr="00873B6C">
        <w:rPr>
          <w:lang w:eastAsia="zh-CN"/>
        </w:rPr>
        <w:t>-</w:t>
      </w:r>
      <w:r w:rsidRPr="00873B6C">
        <w:rPr>
          <w:lang w:eastAsia="zh-CN"/>
        </w:rPr>
        <w:tab/>
        <w:t>analytics information received.</w:t>
      </w:r>
    </w:p>
    <w:p w14:paraId="6137700B" w14:textId="77777777" w:rsidR="009D42BF" w:rsidRPr="00873B6C" w:rsidRDefault="009D42BF" w:rsidP="009D42BF">
      <w:pPr>
        <w:rPr>
          <w:lang w:eastAsia="zh-CN"/>
        </w:rPr>
      </w:pPr>
      <w:r w:rsidRPr="00873B6C">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5A2430C4" w:rsidR="009D42BF" w:rsidRPr="00873B6C" w:rsidRDefault="009D42BF" w:rsidP="009D42BF">
      <w:pPr>
        <w:rPr>
          <w:lang w:eastAsia="zh-CN"/>
        </w:rPr>
      </w:pPr>
      <w:r w:rsidRPr="00873B6C">
        <w:rPr>
          <w:lang w:eastAsia="zh-CN"/>
        </w:rPr>
        <w:t xml:space="preserve">The AMF may, upon detection of certain local events, e.g. frequent mobility re-registration of one or more UEs, subscribe to mobility related abnormal behaviour analytics of the UE(s) as described in </w:t>
      </w:r>
      <w:r w:rsidR="00972E70" w:rsidRPr="00873B6C">
        <w:rPr>
          <w:lang w:eastAsia="zh-CN"/>
        </w:rPr>
        <w:t>TS 23.288 [</w:t>
      </w:r>
      <w:r w:rsidRPr="00873B6C">
        <w:rPr>
          <w:lang w:eastAsia="zh-CN"/>
        </w:rPr>
        <w:t>86] in order to trace UE mobility trend and take appropriate actions.</w:t>
      </w:r>
    </w:p>
    <w:p w14:paraId="77E87E1F" w14:textId="77777777" w:rsidR="00D40151" w:rsidRPr="00873B6C" w:rsidRDefault="00D40151" w:rsidP="00D40151">
      <w:pPr>
        <w:pStyle w:val="Heading2"/>
      </w:pPr>
      <w:bookmarkStart w:id="993" w:name="_CR5_4"/>
      <w:bookmarkStart w:id="994" w:name="_Toc201157018"/>
      <w:bookmarkEnd w:id="993"/>
      <w:r w:rsidRPr="00873B6C">
        <w:lastRenderedPageBreak/>
        <w:t>5.4</w:t>
      </w:r>
      <w:r w:rsidRPr="00873B6C">
        <w:tab/>
        <w:t>3GPP access specific aspects</w:t>
      </w:r>
      <w:bookmarkEnd w:id="985"/>
      <w:bookmarkEnd w:id="986"/>
      <w:bookmarkEnd w:id="988"/>
      <w:bookmarkEnd w:id="989"/>
      <w:bookmarkEnd w:id="990"/>
      <w:bookmarkEnd w:id="991"/>
      <w:bookmarkEnd w:id="994"/>
    </w:p>
    <w:p w14:paraId="2D3B670B" w14:textId="77777777" w:rsidR="00D40151" w:rsidRPr="00873B6C" w:rsidRDefault="00D40151" w:rsidP="00D40151">
      <w:pPr>
        <w:pStyle w:val="Heading3"/>
        <w:rPr>
          <w:lang w:eastAsia="zh-CN"/>
        </w:rPr>
      </w:pPr>
      <w:bookmarkStart w:id="995" w:name="_CR5_4_1"/>
      <w:bookmarkStart w:id="996" w:name="_Toc20149731"/>
      <w:bookmarkStart w:id="997" w:name="_Toc27846522"/>
      <w:bookmarkStart w:id="998" w:name="_Toc36187646"/>
      <w:bookmarkStart w:id="999" w:name="_Toc45183550"/>
      <w:bookmarkStart w:id="1000" w:name="_Toc47342392"/>
      <w:bookmarkStart w:id="1001" w:name="_Toc51769090"/>
      <w:bookmarkStart w:id="1002" w:name="_Toc201157019"/>
      <w:bookmarkEnd w:id="995"/>
      <w:r w:rsidRPr="00873B6C">
        <w:rPr>
          <w:lang w:eastAsia="zh-CN"/>
        </w:rPr>
        <w:t>5.4.1</w:t>
      </w:r>
      <w:r w:rsidRPr="00873B6C">
        <w:rPr>
          <w:lang w:eastAsia="zh-CN"/>
        </w:rPr>
        <w:tab/>
        <w:t>UE reachability in CM-IDLE</w:t>
      </w:r>
      <w:bookmarkEnd w:id="996"/>
      <w:bookmarkEnd w:id="997"/>
      <w:bookmarkEnd w:id="998"/>
      <w:bookmarkEnd w:id="999"/>
      <w:bookmarkEnd w:id="1000"/>
      <w:bookmarkEnd w:id="1001"/>
      <w:bookmarkEnd w:id="1002"/>
    </w:p>
    <w:p w14:paraId="5AECED88" w14:textId="77777777" w:rsidR="00D40151" w:rsidRPr="00873B6C" w:rsidRDefault="00D40151" w:rsidP="00D40151">
      <w:pPr>
        <w:pStyle w:val="Heading4"/>
        <w:rPr>
          <w:lang w:eastAsia="zh-CN"/>
        </w:rPr>
      </w:pPr>
      <w:bookmarkStart w:id="1003" w:name="_CR5_4_1_1"/>
      <w:bookmarkStart w:id="1004" w:name="_Toc20149732"/>
      <w:bookmarkStart w:id="1005" w:name="_Toc27846523"/>
      <w:bookmarkStart w:id="1006" w:name="_Toc36187647"/>
      <w:bookmarkStart w:id="1007" w:name="_Toc45183551"/>
      <w:bookmarkStart w:id="1008" w:name="_Toc47342393"/>
      <w:bookmarkStart w:id="1009" w:name="_Toc51769091"/>
      <w:bookmarkStart w:id="1010" w:name="_Toc201157020"/>
      <w:bookmarkEnd w:id="1003"/>
      <w:r w:rsidRPr="00873B6C">
        <w:rPr>
          <w:lang w:eastAsia="zh-CN"/>
        </w:rPr>
        <w:t>5.4.1.1</w:t>
      </w:r>
      <w:r w:rsidRPr="00873B6C">
        <w:rPr>
          <w:lang w:eastAsia="zh-CN"/>
        </w:rPr>
        <w:tab/>
        <w:t>General</w:t>
      </w:r>
      <w:bookmarkEnd w:id="1004"/>
      <w:bookmarkEnd w:id="1005"/>
      <w:bookmarkEnd w:id="1006"/>
      <w:bookmarkEnd w:id="1007"/>
      <w:bookmarkEnd w:id="1008"/>
      <w:bookmarkEnd w:id="1009"/>
      <w:bookmarkEnd w:id="1010"/>
    </w:p>
    <w:p w14:paraId="4E6160C2" w14:textId="77777777" w:rsidR="00D40151" w:rsidRPr="00873B6C" w:rsidRDefault="00D40151" w:rsidP="00D40151">
      <w:r w:rsidRPr="00873B6C">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873B6C" w:rsidRDefault="00D40151" w:rsidP="00D40151">
      <w:r w:rsidRPr="00873B6C">
        <w:t>The UE and the AMF negotiate UE reachability characteristics for CM-IDLE state during Registration procedures.</w:t>
      </w:r>
    </w:p>
    <w:p w14:paraId="41624914" w14:textId="7070AA05" w:rsidR="00D40151" w:rsidRPr="00873B6C" w:rsidRDefault="00872C86" w:rsidP="00D40151">
      <w:pPr>
        <w:rPr>
          <w:lang w:eastAsia="zh-CN"/>
        </w:rPr>
      </w:pPr>
      <w:r w:rsidRPr="00873B6C">
        <w:rPr>
          <w:lang w:eastAsia="zh-CN"/>
        </w:rPr>
        <w:t xml:space="preserve">Three </w:t>
      </w:r>
      <w:r w:rsidR="00D40151" w:rsidRPr="00873B6C">
        <w:rPr>
          <w:lang w:eastAsia="zh-CN"/>
        </w:rPr>
        <w:t>UE reachability categories are negotiated between UE and AMF for CM-IDLE state:</w:t>
      </w:r>
    </w:p>
    <w:p w14:paraId="729A6AB1" w14:textId="77777777" w:rsidR="00D40151" w:rsidRPr="00873B6C" w:rsidRDefault="00D40151" w:rsidP="00D40151">
      <w:pPr>
        <w:pStyle w:val="B1"/>
        <w:rPr>
          <w:lang w:eastAsia="zh-CN"/>
        </w:rPr>
      </w:pPr>
      <w:r w:rsidRPr="00873B6C">
        <w:rPr>
          <w:lang w:eastAsia="zh-CN"/>
        </w:rPr>
        <w:t>1.</w:t>
      </w:r>
      <w:r w:rsidRPr="00873B6C">
        <w:rPr>
          <w:lang w:eastAsia="zh-CN"/>
        </w:rPr>
        <w:tab/>
        <w:t>UE reachability allowing Mobile Terminated data while the UE is CM-IDLE state.</w:t>
      </w:r>
    </w:p>
    <w:p w14:paraId="28FBEDC1" w14:textId="77777777" w:rsidR="00D40151" w:rsidRPr="00873B6C" w:rsidRDefault="00D40151" w:rsidP="00D40151">
      <w:pPr>
        <w:pStyle w:val="B2"/>
        <w:rPr>
          <w:lang w:eastAsia="zh-CN"/>
        </w:rPr>
      </w:pPr>
      <w:r w:rsidRPr="00873B6C">
        <w:rPr>
          <w:lang w:eastAsia="zh-CN"/>
        </w:rPr>
        <w:t>-</w:t>
      </w:r>
      <w:r w:rsidRPr="00873B6C">
        <w:rPr>
          <w:lang w:eastAsia="zh-CN"/>
        </w:rPr>
        <w:tab/>
        <w:t>The UE location is known by the network on a Tracking Area List granularity</w:t>
      </w:r>
    </w:p>
    <w:p w14:paraId="63DCDCDA" w14:textId="77777777" w:rsidR="00D40151" w:rsidRPr="00873B6C" w:rsidRDefault="00D40151" w:rsidP="00D40151">
      <w:pPr>
        <w:pStyle w:val="B2"/>
        <w:rPr>
          <w:lang w:eastAsia="zh-CN"/>
        </w:rPr>
      </w:pPr>
      <w:r w:rsidRPr="00873B6C">
        <w:rPr>
          <w:lang w:eastAsia="zh-CN"/>
        </w:rPr>
        <w:t>-</w:t>
      </w:r>
      <w:r w:rsidRPr="00873B6C">
        <w:rPr>
          <w:lang w:eastAsia="zh-CN"/>
        </w:rPr>
        <w:tab/>
        <w:t>Paging procedures apply to this category.</w:t>
      </w:r>
    </w:p>
    <w:p w14:paraId="2B118BEF" w14:textId="77777777" w:rsidR="00D40151" w:rsidRPr="00873B6C" w:rsidRDefault="00D40151" w:rsidP="00D40151">
      <w:pPr>
        <w:pStyle w:val="B2"/>
        <w:rPr>
          <w:lang w:eastAsia="zh-CN"/>
        </w:rPr>
      </w:pPr>
      <w:r w:rsidRPr="00873B6C">
        <w:rPr>
          <w:lang w:eastAsia="zh-CN"/>
        </w:rPr>
        <w:t>-</w:t>
      </w:r>
      <w:r w:rsidRPr="00873B6C">
        <w:rPr>
          <w:lang w:eastAsia="zh-CN"/>
        </w:rPr>
        <w:tab/>
        <w:t>Mobile originating and mobile terminated data apply in this category for both CM-CONNECTED and CM-IDLE state.</w:t>
      </w:r>
    </w:p>
    <w:p w14:paraId="5B322983" w14:textId="77777777" w:rsidR="00D40151" w:rsidRPr="00873B6C" w:rsidRDefault="00D40151" w:rsidP="00D40151">
      <w:pPr>
        <w:pStyle w:val="B1"/>
        <w:rPr>
          <w:lang w:eastAsia="zh-CN"/>
        </w:rPr>
      </w:pPr>
      <w:r w:rsidRPr="00873B6C">
        <w:rPr>
          <w:lang w:eastAsia="zh-CN"/>
        </w:rPr>
        <w:t>2.</w:t>
      </w:r>
      <w:r w:rsidRPr="00873B6C">
        <w:rPr>
          <w:lang w:eastAsia="zh-CN"/>
        </w:rPr>
        <w:tab/>
        <w:t>Mobile Initiated Connection Only (MICO) mode:</w:t>
      </w:r>
    </w:p>
    <w:p w14:paraId="2E6F70B1" w14:textId="77777777" w:rsidR="00D40151" w:rsidRPr="00873B6C" w:rsidRDefault="00D40151" w:rsidP="00D40151">
      <w:pPr>
        <w:pStyle w:val="B2"/>
        <w:rPr>
          <w:lang w:eastAsia="zh-CN"/>
        </w:rPr>
      </w:pPr>
      <w:r w:rsidRPr="00873B6C">
        <w:rPr>
          <w:lang w:eastAsia="zh-CN"/>
        </w:rPr>
        <w:t>-</w:t>
      </w:r>
      <w:r w:rsidRPr="00873B6C">
        <w:rPr>
          <w:lang w:eastAsia="zh-CN"/>
        </w:rPr>
        <w:tab/>
        <w:t>Mobile originated data applies in this category for both CM-CONNECTED and CM-IDLE state.</w:t>
      </w:r>
    </w:p>
    <w:p w14:paraId="0442F193" w14:textId="77777777" w:rsidR="00D40151" w:rsidRPr="00873B6C" w:rsidRDefault="00D40151" w:rsidP="00D40151">
      <w:pPr>
        <w:pStyle w:val="B2"/>
        <w:rPr>
          <w:lang w:eastAsia="zh-CN"/>
        </w:rPr>
      </w:pPr>
      <w:r w:rsidRPr="00873B6C">
        <w:rPr>
          <w:lang w:eastAsia="zh-CN"/>
        </w:rPr>
        <w:t>-</w:t>
      </w:r>
      <w:r w:rsidRPr="00873B6C">
        <w:rPr>
          <w:lang w:eastAsia="zh-CN"/>
        </w:rPr>
        <w:tab/>
        <w:t>Mobile terminated data is only supported when the UE is in CM-CONNECTED state.</w:t>
      </w:r>
    </w:p>
    <w:p w14:paraId="778FE25F" w14:textId="77777777" w:rsidR="00872C86" w:rsidRPr="00873B6C" w:rsidRDefault="00872C86" w:rsidP="00695DF1">
      <w:pPr>
        <w:pStyle w:val="B1"/>
        <w:rPr>
          <w:lang w:eastAsia="zh-CN"/>
        </w:rPr>
      </w:pPr>
      <w:r w:rsidRPr="00873B6C">
        <w:rPr>
          <w:lang w:eastAsia="zh-CN"/>
        </w:rPr>
        <w:t>3.</w:t>
      </w:r>
      <w:r w:rsidRPr="00873B6C">
        <w:rPr>
          <w:lang w:eastAsia="zh-CN"/>
        </w:rPr>
        <w:tab/>
        <w:t>UE unreachability due to Unavailability Period:</w:t>
      </w:r>
    </w:p>
    <w:p w14:paraId="33E4BD8A" w14:textId="77777777" w:rsidR="00872C86" w:rsidRPr="00873B6C" w:rsidRDefault="00872C86" w:rsidP="00695DF1">
      <w:pPr>
        <w:pStyle w:val="B2"/>
        <w:rPr>
          <w:lang w:eastAsia="zh-CN"/>
        </w:rPr>
      </w:pPr>
      <w:r w:rsidRPr="00873B6C">
        <w:rPr>
          <w:lang w:eastAsia="zh-CN"/>
        </w:rPr>
        <w:t>-</w:t>
      </w:r>
      <w:r w:rsidRPr="00873B6C">
        <w:rPr>
          <w:lang w:eastAsia="zh-CN"/>
        </w:rPr>
        <w:tab/>
        <w:t>Mobile originated data and Mobile terminated data are not transmitted in this category (handling of data by extending buffering may apply).</w:t>
      </w:r>
    </w:p>
    <w:p w14:paraId="114F34D9" w14:textId="77777777" w:rsidR="00872C86" w:rsidRPr="00873B6C" w:rsidRDefault="00872C86" w:rsidP="00695DF1">
      <w:pPr>
        <w:pStyle w:val="B2"/>
        <w:rPr>
          <w:lang w:eastAsia="zh-CN"/>
        </w:rPr>
      </w:pPr>
      <w:r w:rsidRPr="00873B6C">
        <w:rPr>
          <w:lang w:eastAsia="zh-CN"/>
        </w:rPr>
        <w:t>-</w:t>
      </w:r>
      <w:r w:rsidRPr="00873B6C">
        <w:rPr>
          <w:lang w:eastAsia="zh-CN"/>
        </w:rPr>
        <w:tab/>
        <w:t>Paging procedure is not applicable to this category.</w:t>
      </w:r>
    </w:p>
    <w:p w14:paraId="173A3B85" w14:textId="69482F65" w:rsidR="00D40151" w:rsidRPr="00873B6C" w:rsidRDefault="00D40151" w:rsidP="00D40151">
      <w:pPr>
        <w:rPr>
          <w:lang w:eastAsia="zh-CN"/>
        </w:rPr>
      </w:pPr>
      <w:r w:rsidRPr="00873B6C">
        <w:rPr>
          <w:lang w:eastAsia="zh-CN"/>
        </w:rPr>
        <w:t>W</w:t>
      </w:r>
      <w:r w:rsidRPr="00873B6C">
        <w:t xml:space="preserve">henever </w:t>
      </w:r>
      <w:r w:rsidRPr="00873B6C">
        <w:rPr>
          <w:lang w:eastAsia="zh-CN"/>
        </w:rPr>
        <w:t>a UE</w:t>
      </w:r>
      <w:r w:rsidRPr="00873B6C">
        <w:t xml:space="preserve"> in RM-REGISTERED state enters CM-IDLE </w:t>
      </w:r>
      <w:r w:rsidRPr="00873B6C">
        <w:rPr>
          <w:lang w:eastAsia="zh-CN"/>
        </w:rPr>
        <w:t>state, it starts a</w:t>
      </w:r>
      <w:r w:rsidRPr="00873B6C">
        <w:t xml:space="preserve"> periodic </w:t>
      </w:r>
      <w:r w:rsidRPr="00873B6C">
        <w:rPr>
          <w:lang w:eastAsia="zh-CN"/>
        </w:rPr>
        <w:t>registration</w:t>
      </w:r>
      <w:r w:rsidRPr="00873B6C">
        <w:t xml:space="preserve"> timer </w:t>
      </w:r>
      <w:r w:rsidRPr="00873B6C">
        <w:rPr>
          <w:lang w:eastAsia="zh-CN"/>
        </w:rPr>
        <w:t>according to the periodic registration timer value received from the AMF during a Registration procedure.</w:t>
      </w:r>
    </w:p>
    <w:p w14:paraId="300A09C0" w14:textId="77777777" w:rsidR="00D40151" w:rsidRPr="00873B6C" w:rsidRDefault="00D40151" w:rsidP="00D40151">
      <w:pPr>
        <w:rPr>
          <w:rFonts w:eastAsia="SimSun"/>
          <w:lang w:eastAsia="zh-CN"/>
        </w:rPr>
      </w:pPr>
      <w:r w:rsidRPr="00873B6C">
        <w:rPr>
          <w:lang w:eastAsia="zh-CN"/>
        </w:rPr>
        <w:t xml:space="preserve">The AMF allocates a periodic registration timer value to the UE based on local policies, subscription information and information provided by the UE. After </w:t>
      </w:r>
      <w:r w:rsidRPr="00873B6C">
        <w:rPr>
          <w:rFonts w:eastAsia="Arial Unicode MS"/>
        </w:rPr>
        <w:t xml:space="preserve">the expiry of </w:t>
      </w:r>
      <w:r w:rsidRPr="00873B6C">
        <w:rPr>
          <w:rFonts w:eastAsia="Arial Unicode MS"/>
          <w:lang w:eastAsia="zh-CN"/>
        </w:rPr>
        <w:t>the</w:t>
      </w:r>
      <w:r w:rsidRPr="00873B6C">
        <w:rPr>
          <w:rFonts w:eastAsia="Arial Unicode MS"/>
        </w:rPr>
        <w:t xml:space="preserve"> periodic </w:t>
      </w:r>
      <w:r w:rsidRPr="00873B6C">
        <w:rPr>
          <w:rFonts w:eastAsia="Arial Unicode MS"/>
          <w:lang w:eastAsia="zh-CN"/>
        </w:rPr>
        <w:t>registration</w:t>
      </w:r>
      <w:r w:rsidRPr="00873B6C">
        <w:rPr>
          <w:rFonts w:eastAsia="Arial Unicode MS"/>
        </w:rPr>
        <w:t xml:space="preserve"> timer</w:t>
      </w:r>
      <w:r w:rsidRPr="00873B6C">
        <w:rPr>
          <w:rFonts w:eastAsia="Arial Unicode MS"/>
          <w:lang w:eastAsia="zh-CN"/>
        </w:rPr>
        <w:t xml:space="preserve">, the UE shall perform a </w:t>
      </w:r>
      <w:r w:rsidRPr="00873B6C">
        <w:rPr>
          <w:rFonts w:eastAsia="Arial Unicode MS"/>
        </w:rPr>
        <w:t xml:space="preserve">periodic </w:t>
      </w:r>
      <w:r w:rsidRPr="00873B6C">
        <w:rPr>
          <w:rFonts w:eastAsia="Arial Unicode MS"/>
          <w:lang w:eastAsia="zh-CN"/>
        </w:rPr>
        <w:t>registration</w:t>
      </w:r>
      <w:r w:rsidRPr="00873B6C">
        <w:rPr>
          <w:rFonts w:eastAsia="Arial Unicode MS"/>
        </w:rPr>
        <w:t>.</w:t>
      </w:r>
      <w:r w:rsidRPr="00873B6C">
        <w:rPr>
          <w:rFonts w:eastAsia="Arial Unicode MS"/>
          <w:lang w:eastAsia="zh-CN"/>
        </w:rPr>
        <w:t xml:space="preserve"> </w:t>
      </w:r>
      <w:r w:rsidRPr="00873B6C">
        <w:t xml:space="preserve">If the UE </w:t>
      </w:r>
      <w:r w:rsidRPr="00873B6C">
        <w:rPr>
          <w:lang w:eastAsia="zh-CN"/>
        </w:rPr>
        <w:t>moves</w:t>
      </w:r>
      <w:r w:rsidRPr="00873B6C">
        <w:t xml:space="preserve"> out of </w:t>
      </w:r>
      <w:r w:rsidRPr="00873B6C">
        <w:rPr>
          <w:lang w:eastAsia="zh-CN"/>
        </w:rPr>
        <w:t xml:space="preserve">network </w:t>
      </w:r>
      <w:r w:rsidRPr="00873B6C">
        <w:t xml:space="preserve">coverage when its periodic </w:t>
      </w:r>
      <w:r w:rsidRPr="00873B6C">
        <w:rPr>
          <w:lang w:eastAsia="zh-CN"/>
        </w:rPr>
        <w:t>registration</w:t>
      </w:r>
      <w:r w:rsidRPr="00873B6C">
        <w:t xml:space="preserve"> timer expires, the UE shall perform a </w:t>
      </w:r>
      <w:r w:rsidRPr="00873B6C">
        <w:rPr>
          <w:lang w:eastAsia="zh-CN"/>
        </w:rPr>
        <w:t>Registration procedure</w:t>
      </w:r>
      <w:r w:rsidRPr="00873B6C">
        <w:t xml:space="preserve"> when it next returns to </w:t>
      </w:r>
      <w:r w:rsidRPr="00873B6C">
        <w:rPr>
          <w:lang w:eastAsia="zh-CN"/>
        </w:rPr>
        <w:t>the</w:t>
      </w:r>
      <w:r w:rsidRPr="00873B6C">
        <w:t xml:space="preserve"> coverage.</w:t>
      </w:r>
    </w:p>
    <w:p w14:paraId="0C24D994" w14:textId="77777777" w:rsidR="00D40151" w:rsidRPr="00873B6C" w:rsidRDefault="00D40151" w:rsidP="00D40151">
      <w:r w:rsidRPr="00873B6C">
        <w:rPr>
          <w:lang w:eastAsia="zh-CN"/>
        </w:rPr>
        <w:t>T</w:t>
      </w:r>
      <w:r w:rsidRPr="00873B6C">
        <w:t xml:space="preserve">he </w:t>
      </w:r>
      <w:r w:rsidRPr="00873B6C">
        <w:rPr>
          <w:lang w:eastAsia="zh-CN"/>
        </w:rPr>
        <w:t>AMF</w:t>
      </w:r>
      <w:r w:rsidRPr="00873B6C">
        <w:t xml:space="preserve"> runs a Mobile Reachable timer</w:t>
      </w:r>
      <w:r w:rsidRPr="00873B6C">
        <w:rPr>
          <w:lang w:eastAsia="zh-CN"/>
        </w:rPr>
        <w:t xml:space="preserve"> for the UE</w:t>
      </w:r>
      <w:r w:rsidRPr="00873B6C">
        <w:t xml:space="preserve">. </w:t>
      </w:r>
      <w:r w:rsidRPr="00873B6C">
        <w:rPr>
          <w:lang w:eastAsia="zh-CN"/>
        </w:rPr>
        <w:t>T</w:t>
      </w:r>
      <w:r w:rsidRPr="00873B6C">
        <w:t>he timer is started</w:t>
      </w:r>
      <w:r w:rsidRPr="00873B6C">
        <w:rPr>
          <w:lang w:eastAsia="zh-CN"/>
        </w:rPr>
        <w:t xml:space="preserve"> </w:t>
      </w:r>
      <w:r w:rsidRPr="00873B6C">
        <w:t xml:space="preserve">with a value </w:t>
      </w:r>
      <w:r w:rsidRPr="00873B6C">
        <w:rPr>
          <w:lang w:eastAsia="zh-CN"/>
        </w:rPr>
        <w:t>longer than</w:t>
      </w:r>
      <w:r w:rsidRPr="00873B6C">
        <w:t xml:space="preserve"> the UE's periodic </w:t>
      </w:r>
      <w:r w:rsidRPr="00873B6C">
        <w:rPr>
          <w:lang w:eastAsia="zh-CN"/>
        </w:rPr>
        <w:t>registration</w:t>
      </w:r>
      <w:r w:rsidRPr="00873B6C">
        <w:t xml:space="preserve"> timer</w:t>
      </w:r>
      <w:r w:rsidRPr="00873B6C">
        <w:rPr>
          <w:lang w:eastAsia="zh-CN"/>
        </w:rPr>
        <w:t xml:space="preserve"> w</w:t>
      </w:r>
      <w:r w:rsidRPr="00873B6C">
        <w:t>henever the</w:t>
      </w:r>
      <w:r w:rsidRPr="00873B6C">
        <w:rPr>
          <w:lang w:eastAsia="zh-CN"/>
        </w:rPr>
        <w:t xml:space="preserve"> CM state for the UE in RM-REGISTERED state changes to</w:t>
      </w:r>
      <w:r w:rsidRPr="00873B6C">
        <w:t xml:space="preserve"> CM-IDLE. If the AMF receives an elapsed time from RAN when RAN initiate</w:t>
      </w:r>
      <w:r w:rsidRPr="00873B6C">
        <w:rPr>
          <w:rFonts w:eastAsia="Arial Unicode MS"/>
        </w:rPr>
        <w:t xml:space="preserve"> UE context</w:t>
      </w:r>
      <w:r w:rsidRPr="00873B6C">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873B6C">
        <w:rPr>
          <w:lang w:eastAsia="zh-CN"/>
        </w:rPr>
        <w:t>AMF</w:t>
      </w:r>
      <w:r w:rsidRPr="00873B6C">
        <w:t xml:space="preserve"> determines that the UE is not reachable.</w:t>
      </w:r>
    </w:p>
    <w:p w14:paraId="7CBBB989" w14:textId="77777777" w:rsidR="00D40151" w:rsidRPr="00873B6C" w:rsidRDefault="00D40151" w:rsidP="00D40151">
      <w:pPr>
        <w:rPr>
          <w:lang w:eastAsia="zh-CN"/>
        </w:rPr>
      </w:pPr>
      <w:r w:rsidRPr="00873B6C">
        <w:t xml:space="preserve">However, the </w:t>
      </w:r>
      <w:r w:rsidRPr="00873B6C">
        <w:rPr>
          <w:lang w:eastAsia="zh-CN"/>
        </w:rPr>
        <w:t>AMF</w:t>
      </w:r>
      <w:r w:rsidRPr="00873B6C">
        <w:t xml:space="preserve"> does not know for how long the UE remains not reachable, </w:t>
      </w:r>
      <w:r w:rsidRPr="00873B6C">
        <w:rPr>
          <w:lang w:eastAsia="zh-CN"/>
        </w:rPr>
        <w:t>thus</w:t>
      </w:r>
      <w:r w:rsidRPr="00873B6C">
        <w:t xml:space="preserve"> the </w:t>
      </w:r>
      <w:r w:rsidRPr="00873B6C">
        <w:rPr>
          <w:lang w:eastAsia="zh-CN"/>
        </w:rPr>
        <w:t>AMF</w:t>
      </w:r>
      <w:r w:rsidRPr="00873B6C">
        <w:t xml:space="preserve"> shall not immediately </w:t>
      </w:r>
      <w:r w:rsidRPr="00873B6C">
        <w:rPr>
          <w:lang w:eastAsia="zh-CN"/>
        </w:rPr>
        <w:t>de-register the UE</w:t>
      </w:r>
      <w:r w:rsidRPr="00873B6C">
        <w:t>. Instead</w:t>
      </w:r>
      <w:r w:rsidRPr="00873B6C">
        <w:rPr>
          <w:lang w:eastAsia="zh-CN"/>
        </w:rPr>
        <w:t>,</w:t>
      </w:r>
      <w:r w:rsidRPr="00873B6C">
        <w:t xml:space="preserve"> after the expiry of the Mobile Reachable timer, the </w:t>
      </w:r>
      <w:r w:rsidRPr="00873B6C">
        <w:rPr>
          <w:lang w:eastAsia="zh-CN"/>
        </w:rPr>
        <w:t>AMF</w:t>
      </w:r>
      <w:r w:rsidRPr="00873B6C">
        <w:t xml:space="preserve"> should clear the PPF and shall start an Implicit </w:t>
      </w:r>
      <w:r w:rsidRPr="00873B6C">
        <w:rPr>
          <w:lang w:eastAsia="zh-CN"/>
        </w:rPr>
        <w:t>De-registration</w:t>
      </w:r>
      <w:r w:rsidRPr="00873B6C">
        <w:t xml:space="preserve"> timer, with a relatively large value. The AMF shall stop the Implicit De-registration timer and set the PPF if the AMF moves the UE CM state in the AMF to CM-CONNECTED state.</w:t>
      </w:r>
    </w:p>
    <w:p w14:paraId="48C9B481" w14:textId="77777777" w:rsidR="00D40151" w:rsidRPr="00873B6C" w:rsidRDefault="00D40151" w:rsidP="00D40151">
      <w:pPr>
        <w:pStyle w:val="NO"/>
        <w:rPr>
          <w:lang w:eastAsia="zh-CN"/>
        </w:rPr>
      </w:pPr>
      <w:r w:rsidRPr="00873B6C">
        <w:rPr>
          <w:lang w:eastAsia="zh-CN"/>
        </w:rPr>
        <w:t>NOTE:</w:t>
      </w:r>
      <w:r w:rsidRPr="00873B6C">
        <w:rPr>
          <w:lang w:eastAsia="zh-CN"/>
        </w:rPr>
        <w:tab/>
        <w:t>If the UE CM state in the AMF is CM-IDLE, then AMF considers the UE always unreachable if the UE is in MICO mode (refer to clause 5.4.1.3).</w:t>
      </w:r>
    </w:p>
    <w:p w14:paraId="2FA98797" w14:textId="39CA2BF7" w:rsidR="00872C86" w:rsidRPr="00873B6C" w:rsidRDefault="00872C86" w:rsidP="00D40151">
      <w:pPr>
        <w:rPr>
          <w:lang w:eastAsia="zh-CN"/>
        </w:rPr>
      </w:pPr>
      <w:r w:rsidRPr="00873B6C">
        <w:rPr>
          <w:lang w:eastAsia="zh-CN"/>
        </w:rPr>
        <w:t>If the UE indicates an Unavailability Period Duration, then AMF shall consider the UE as unreachable</w:t>
      </w:r>
      <w:r w:rsidR="003D49E0" w:rsidRPr="00873B6C">
        <w:rPr>
          <w:lang w:eastAsia="zh-CN"/>
        </w:rPr>
        <w:t xml:space="preserve"> during the unreachability period as described in clause 5.4.1.4</w:t>
      </w:r>
      <w:r w:rsidRPr="00873B6C">
        <w:rPr>
          <w:lang w:eastAsia="zh-CN"/>
        </w:rPr>
        <w:t>.</w:t>
      </w:r>
    </w:p>
    <w:p w14:paraId="7D1E9CE4" w14:textId="6AD95AEF" w:rsidR="00D40151" w:rsidRPr="00873B6C" w:rsidRDefault="00D40151" w:rsidP="00D40151">
      <w:pPr>
        <w:rPr>
          <w:lang w:eastAsia="zh-CN"/>
        </w:rPr>
      </w:pPr>
      <w:r w:rsidRPr="00873B6C">
        <w:rPr>
          <w:lang w:eastAsia="zh-CN"/>
        </w:rPr>
        <w:lastRenderedPageBreak/>
        <w:t>If</w:t>
      </w:r>
      <w:r w:rsidR="003D49E0" w:rsidRPr="00873B6C">
        <w:rPr>
          <w:lang w:eastAsia="zh-CN"/>
        </w:rPr>
        <w:t xml:space="preserve"> the UE is unreachable (i.e.</w:t>
      </w:r>
      <w:r w:rsidRPr="00873B6C">
        <w:rPr>
          <w:lang w:eastAsia="zh-CN"/>
        </w:rPr>
        <w:t xml:space="preserve"> the PPF is not set</w:t>
      </w:r>
      <w:r w:rsidR="003D49E0" w:rsidRPr="00873B6C">
        <w:rPr>
          <w:lang w:eastAsia="zh-CN"/>
        </w:rPr>
        <w:t>)</w:t>
      </w:r>
      <w:r w:rsidRPr="00873B6C">
        <w:rPr>
          <w:lang w:eastAsia="zh-CN"/>
        </w:rPr>
        <w:t>, the AMF does not page the UE and shall reject any request for delivering DL signalling or data to this UE.</w:t>
      </w:r>
    </w:p>
    <w:p w14:paraId="1A75C37A" w14:textId="77777777" w:rsidR="00D40151" w:rsidRPr="00873B6C" w:rsidRDefault="00D40151" w:rsidP="00D40151">
      <w:pPr>
        <w:rPr>
          <w:lang w:eastAsia="zh-CN"/>
        </w:rPr>
      </w:pPr>
      <w:r w:rsidRPr="00873B6C">
        <w:rPr>
          <w:lang w:eastAsia="zh-CN"/>
        </w:rPr>
        <w:t>If the Implicit De-registration</w:t>
      </w:r>
      <w:r w:rsidRPr="00873B6C" w:rsidDel="00B116B8">
        <w:rPr>
          <w:lang w:eastAsia="zh-CN"/>
        </w:rPr>
        <w:t xml:space="preserve"> </w:t>
      </w:r>
      <w:r w:rsidRPr="00873B6C">
        <w:rPr>
          <w:lang w:eastAsia="zh-CN"/>
        </w:rPr>
        <w:t>timer expires before the UE contacts the network, the AMF implicitly de-register the UE.</w:t>
      </w:r>
    </w:p>
    <w:p w14:paraId="32D8E17C" w14:textId="77777777" w:rsidR="00D40151" w:rsidRPr="00873B6C" w:rsidRDefault="00D40151" w:rsidP="00D40151">
      <w:pPr>
        <w:rPr>
          <w:lang w:eastAsia="zh-CN"/>
        </w:rPr>
      </w:pPr>
      <w:r w:rsidRPr="00873B6C">
        <w:t>As part of deregistration for a particular access (3GPP or non-3GPP), the AMF shall request the UE's related SMF to release the PDU Sessions established on that access.</w:t>
      </w:r>
    </w:p>
    <w:p w14:paraId="454F146F" w14:textId="77777777" w:rsidR="00D40151" w:rsidRPr="00873B6C" w:rsidRDefault="00D40151" w:rsidP="00D40151">
      <w:pPr>
        <w:pStyle w:val="Heading4"/>
        <w:rPr>
          <w:lang w:eastAsia="zh-CN"/>
        </w:rPr>
      </w:pPr>
      <w:bookmarkStart w:id="1011" w:name="_CR5_4_1_2"/>
      <w:bookmarkStart w:id="1012" w:name="_Toc20149733"/>
      <w:bookmarkStart w:id="1013" w:name="_Toc27846524"/>
      <w:bookmarkStart w:id="1014" w:name="_Toc36187648"/>
      <w:bookmarkStart w:id="1015" w:name="_Toc45183552"/>
      <w:bookmarkStart w:id="1016" w:name="_Toc47342394"/>
      <w:bookmarkStart w:id="1017" w:name="_Toc51769092"/>
      <w:bookmarkStart w:id="1018" w:name="_Toc201157021"/>
      <w:bookmarkEnd w:id="1011"/>
      <w:r w:rsidRPr="00873B6C">
        <w:rPr>
          <w:lang w:eastAsia="zh-CN"/>
        </w:rPr>
        <w:t>5.4.1.2</w:t>
      </w:r>
      <w:r w:rsidRPr="00873B6C">
        <w:rPr>
          <w:lang w:eastAsia="zh-CN"/>
        </w:rPr>
        <w:tab/>
        <w:t>UE reachability allowing mobile terminated data while the UE is CM-IDLE</w:t>
      </w:r>
      <w:bookmarkEnd w:id="1012"/>
      <w:bookmarkEnd w:id="1013"/>
      <w:bookmarkEnd w:id="1014"/>
      <w:bookmarkEnd w:id="1015"/>
      <w:bookmarkEnd w:id="1016"/>
      <w:bookmarkEnd w:id="1017"/>
      <w:bookmarkEnd w:id="1018"/>
    </w:p>
    <w:p w14:paraId="05CFBD9F" w14:textId="4382368F" w:rsidR="00D40151" w:rsidRPr="00873B6C" w:rsidRDefault="00D40151" w:rsidP="00D40151">
      <w:pPr>
        <w:rPr>
          <w:lang w:eastAsia="zh-CN"/>
        </w:rPr>
      </w:pPr>
      <w:r w:rsidRPr="00873B6C">
        <w:rPr>
          <w:lang w:eastAsia="ko-KR"/>
        </w:rPr>
        <w:t>The AMF considers a UE in RM-REGISTERED state to be reachable by CN paging if the UE CM state in the AMF is CM-IDLE state unless the UE applies MICO mode</w:t>
      </w:r>
      <w:r w:rsidR="00872C86" w:rsidRPr="00873B6C">
        <w:rPr>
          <w:lang w:eastAsia="ko-KR"/>
        </w:rPr>
        <w:t xml:space="preserve"> or the UE has indicated Unavailability Period Duration.</w:t>
      </w:r>
    </w:p>
    <w:p w14:paraId="0DAA2155" w14:textId="77777777" w:rsidR="00D40151" w:rsidRPr="00873B6C" w:rsidRDefault="00D40151" w:rsidP="00D40151">
      <w:pPr>
        <w:pStyle w:val="Heading4"/>
        <w:rPr>
          <w:lang w:eastAsia="zh-CN"/>
        </w:rPr>
      </w:pPr>
      <w:bookmarkStart w:id="1019" w:name="_CR5_4_1_3"/>
      <w:bookmarkStart w:id="1020" w:name="_Toc20149734"/>
      <w:bookmarkStart w:id="1021" w:name="_Toc27846525"/>
      <w:bookmarkStart w:id="1022" w:name="_Toc36187649"/>
      <w:bookmarkStart w:id="1023" w:name="_Toc45183553"/>
      <w:bookmarkStart w:id="1024" w:name="_Toc47342395"/>
      <w:bookmarkStart w:id="1025" w:name="_Toc51769093"/>
      <w:bookmarkStart w:id="1026" w:name="_Toc201157022"/>
      <w:bookmarkEnd w:id="1019"/>
      <w:r w:rsidRPr="00873B6C">
        <w:rPr>
          <w:lang w:eastAsia="zh-CN"/>
        </w:rPr>
        <w:t>5.4.1.3</w:t>
      </w:r>
      <w:r w:rsidRPr="00873B6C">
        <w:rPr>
          <w:lang w:eastAsia="zh-CN"/>
        </w:rPr>
        <w:tab/>
        <w:t>Mobile Initiated Connection Only (MICO) mode</w:t>
      </w:r>
      <w:bookmarkEnd w:id="1020"/>
      <w:bookmarkEnd w:id="1021"/>
      <w:bookmarkEnd w:id="1022"/>
      <w:bookmarkEnd w:id="1023"/>
      <w:bookmarkEnd w:id="1024"/>
      <w:bookmarkEnd w:id="1025"/>
      <w:bookmarkEnd w:id="1026"/>
    </w:p>
    <w:p w14:paraId="52CD5F91" w14:textId="4DFA6DAA" w:rsidR="00D40151" w:rsidRPr="00873B6C" w:rsidRDefault="00D40151" w:rsidP="00D40151">
      <w:pPr>
        <w:rPr>
          <w:lang w:eastAsia="zh-CN"/>
        </w:rPr>
      </w:pPr>
      <w:r w:rsidRPr="00873B6C">
        <w:rPr>
          <w:lang w:eastAsia="zh-CN"/>
        </w:rPr>
        <w:t xml:space="preserve">A UE may indicate preference for MICO mode during Initial Registration or Mobility Registration Update procedure. The AMF, based on local configuration, </w:t>
      </w:r>
      <w:r w:rsidRPr="00873B6C">
        <w:rPr>
          <w:bCs/>
        </w:rPr>
        <w:t>Expected UE Behaviour and/or Network Configuration parameters</w:t>
      </w:r>
      <w:r w:rsidRPr="00873B6C">
        <w:rPr>
          <w:bCs/>
          <w:lang w:eastAsia="zh-CN"/>
        </w:rPr>
        <w:t xml:space="preserve"> if available from the UDM,</w:t>
      </w:r>
      <w:r w:rsidRPr="00873B6C">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972E70" w:rsidRPr="00873B6C">
        <w:rPr>
          <w:lang w:eastAsia="zh-CN"/>
        </w:rPr>
        <w:t>TS 23.288 [</w:t>
      </w:r>
      <w:r w:rsidRPr="00873B6C">
        <w:rPr>
          <w:lang w:eastAsia="zh-CN"/>
        </w:rPr>
        <w:t>86]) to decide MICO mode parameters. If the UE does not indicate preference for MICO mode during Registration procedure, the AMF shall not activate MICO mode for this UE.</w:t>
      </w:r>
    </w:p>
    <w:p w14:paraId="2BD82587" w14:textId="07C7EADA" w:rsidR="00D40151" w:rsidRPr="00873B6C" w:rsidRDefault="00D40151" w:rsidP="00D40151">
      <w:pPr>
        <w:rPr>
          <w:lang w:eastAsia="zh-CN"/>
        </w:rPr>
      </w:pPr>
      <w:r w:rsidRPr="00873B6C">
        <w:rPr>
          <w:lang w:eastAsia="zh-CN"/>
        </w:rPr>
        <w:t xml:space="preserve">The UE and the </w:t>
      </w:r>
      <w:r w:rsidRPr="00873B6C">
        <w:rPr>
          <w:lang w:eastAsia="ko-KR"/>
        </w:rPr>
        <w:t xml:space="preserve">AMF </w:t>
      </w:r>
      <w:r w:rsidRPr="00873B6C">
        <w:rPr>
          <w:lang w:eastAsia="zh-CN"/>
        </w:rPr>
        <w:t>re- negotiate the MICO mode at every subsequent Registration procedure. When the UE is in CM-CONNECTED, the AMF may deactivate MICO mode by triggering Mobility Registration Update procedure through UE Configuration Update procedure</w:t>
      </w:r>
      <w:r w:rsidRPr="00873B6C">
        <w:rPr>
          <w:lang w:eastAsia="ko-KR"/>
        </w:rPr>
        <w:t xml:space="preserve"> </w:t>
      </w:r>
      <w:r w:rsidRPr="00873B6C">
        <w:rPr>
          <w:lang w:eastAsia="zh-CN"/>
        </w:rPr>
        <w:t xml:space="preserve">as described in clause 4.2.4 </w:t>
      </w:r>
      <w:r w:rsidR="00960CDA" w:rsidRPr="00873B6C">
        <w:rPr>
          <w:lang w:eastAsia="zh-CN"/>
        </w:rPr>
        <w:t>of</w:t>
      </w:r>
      <w:r w:rsidRPr="00873B6C">
        <w:rPr>
          <w:lang w:eastAsia="zh-CN"/>
        </w:rPr>
        <w:t xml:space="preserve"> </w:t>
      </w:r>
      <w:r w:rsidR="00972E70" w:rsidRPr="00873B6C">
        <w:rPr>
          <w:lang w:eastAsia="zh-CN"/>
        </w:rPr>
        <w:t>TS 23.502 [</w:t>
      </w:r>
      <w:r w:rsidRPr="00873B6C">
        <w:rPr>
          <w:lang w:eastAsia="zh-CN"/>
        </w:rPr>
        <w:t>3].</w:t>
      </w:r>
    </w:p>
    <w:p w14:paraId="1E247C72" w14:textId="53203F22" w:rsidR="00D40151" w:rsidRPr="00873B6C" w:rsidRDefault="00D40151" w:rsidP="00D40151">
      <w:pPr>
        <w:rPr>
          <w:lang w:eastAsia="zh-CN"/>
        </w:rPr>
      </w:pPr>
      <w:r w:rsidRPr="00873B6C">
        <w:rPr>
          <w:lang w:eastAsia="zh-CN"/>
        </w:rPr>
        <w:t>The AMF assigns a registration area to the UE during the Registration procedure. When the AMF indicates MICO mode to a UE, the registration area is not constrained by paging area size. If the AMF serving area is the whole PLMN, based on local policy</w:t>
      </w:r>
      <w:r w:rsidR="00472CD7" w:rsidRPr="00873B6C">
        <w:rPr>
          <w:lang w:eastAsia="zh-CN"/>
        </w:rPr>
        <w:t xml:space="preserve"> and</w:t>
      </w:r>
      <w:r w:rsidRPr="00873B6C">
        <w:rPr>
          <w:lang w:eastAsia="zh-CN"/>
        </w:rPr>
        <w:t xml:space="preserve"> subscription information, may decide to provide an "all PLMN" registration area to the UE. In that case, re-registration to the same PLMN due to mobility does not apply.</w:t>
      </w:r>
    </w:p>
    <w:p w14:paraId="78C6D111" w14:textId="77777777" w:rsidR="00D40151" w:rsidRPr="00873B6C" w:rsidRDefault="00D40151" w:rsidP="00D40151">
      <w:pPr>
        <w:rPr>
          <w:lang w:eastAsia="zh-CN"/>
        </w:rPr>
      </w:pPr>
      <w:r w:rsidRPr="00873B6C">
        <w:t>If Mobility Restrictions are applied to a UE in MICO mode, the AMF needs to allocate an Allowed Area/Non-Allowed Area to the UE as specified in clause 5.3.4.1.</w:t>
      </w:r>
    </w:p>
    <w:p w14:paraId="7E4F6718" w14:textId="3E795D16" w:rsidR="00D40151" w:rsidRPr="00873B6C" w:rsidRDefault="00D40151" w:rsidP="00D40151">
      <w:pPr>
        <w:rPr>
          <w:lang w:eastAsia="zh-CN"/>
        </w:rPr>
      </w:pPr>
      <w:r w:rsidRPr="00873B6C">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873B6C">
        <w:rPr>
          <w:lang w:eastAsia="zh-CN"/>
        </w:rPr>
        <w:t>of</w:t>
      </w:r>
      <w:r w:rsidRPr="00873B6C">
        <w:rPr>
          <w:lang w:eastAsia="zh-CN"/>
        </w:rPr>
        <w:t xml:space="preserve"> </w:t>
      </w:r>
      <w:r w:rsidR="00972E70" w:rsidRPr="00873B6C">
        <w:rPr>
          <w:lang w:eastAsia="zh-CN"/>
        </w:rPr>
        <w:t>TS 23.502 [</w:t>
      </w:r>
      <w:r w:rsidRPr="00873B6C">
        <w:rPr>
          <w:lang w:eastAsia="zh-CN"/>
        </w:rPr>
        <w:t>3] is performed. The AMF also defers location services, etc. The UE in MICO mode is only reachable for mobile terminated data or signalling when the UE is in CM-CONNECTED.</w:t>
      </w:r>
    </w:p>
    <w:p w14:paraId="4732EF8A" w14:textId="77777777" w:rsidR="00D40151" w:rsidRPr="00873B6C" w:rsidRDefault="00D40151" w:rsidP="00D40151">
      <w:pPr>
        <w:rPr>
          <w:lang w:eastAsia="zh-CN"/>
        </w:rPr>
      </w:pPr>
      <w:r w:rsidRPr="00873B6C">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873B6C" w:rsidRDefault="00D40151" w:rsidP="00D40151">
      <w:pPr>
        <w:pStyle w:val="B1"/>
        <w:rPr>
          <w:lang w:eastAsia="zh-CN"/>
        </w:rPr>
      </w:pPr>
      <w:r w:rsidRPr="00873B6C">
        <w:rPr>
          <w:lang w:eastAsia="zh-CN"/>
        </w:rPr>
        <w:t>-</w:t>
      </w:r>
      <w:r w:rsidRPr="00873B6C">
        <w:rPr>
          <w:lang w:eastAsia="zh-CN"/>
        </w:rPr>
        <w:tab/>
        <w:t>A change in the UE (e.g. change in configuration) requires an update of its registration with the network.</w:t>
      </w:r>
    </w:p>
    <w:p w14:paraId="450E3AC8" w14:textId="77777777" w:rsidR="00D40151" w:rsidRPr="00873B6C" w:rsidRDefault="00D40151" w:rsidP="00D40151">
      <w:pPr>
        <w:pStyle w:val="B1"/>
        <w:rPr>
          <w:lang w:eastAsia="zh-CN"/>
        </w:rPr>
      </w:pPr>
      <w:r w:rsidRPr="00873B6C">
        <w:rPr>
          <w:lang w:eastAsia="zh-CN"/>
        </w:rPr>
        <w:t>-</w:t>
      </w:r>
      <w:r w:rsidRPr="00873B6C">
        <w:rPr>
          <w:lang w:eastAsia="zh-CN"/>
        </w:rPr>
        <w:tab/>
        <w:t>Periodic registration timer expires.</w:t>
      </w:r>
    </w:p>
    <w:p w14:paraId="4DF1E1F2" w14:textId="77777777" w:rsidR="00D40151" w:rsidRPr="00873B6C" w:rsidRDefault="00D40151" w:rsidP="00D40151">
      <w:pPr>
        <w:pStyle w:val="B1"/>
        <w:rPr>
          <w:lang w:eastAsia="zh-CN"/>
        </w:rPr>
      </w:pPr>
      <w:r w:rsidRPr="00873B6C">
        <w:rPr>
          <w:lang w:eastAsia="zh-CN"/>
        </w:rPr>
        <w:t>-</w:t>
      </w:r>
      <w:r w:rsidRPr="00873B6C">
        <w:rPr>
          <w:lang w:eastAsia="zh-CN"/>
        </w:rPr>
        <w:tab/>
        <w:t>MO data pending.</w:t>
      </w:r>
    </w:p>
    <w:p w14:paraId="5375F234" w14:textId="77777777" w:rsidR="00D40151" w:rsidRPr="00873B6C" w:rsidRDefault="00D40151" w:rsidP="00D40151">
      <w:pPr>
        <w:pStyle w:val="B1"/>
        <w:rPr>
          <w:lang w:eastAsia="zh-CN"/>
        </w:rPr>
      </w:pPr>
      <w:r w:rsidRPr="00873B6C">
        <w:rPr>
          <w:lang w:eastAsia="zh-CN"/>
        </w:rPr>
        <w:t>-</w:t>
      </w:r>
      <w:r w:rsidRPr="00873B6C">
        <w:rPr>
          <w:lang w:eastAsia="zh-CN"/>
        </w:rPr>
        <w:tab/>
        <w:t>MO signalling pending (e.g. SM procedure initiated).</w:t>
      </w:r>
    </w:p>
    <w:p w14:paraId="6ED9A74E" w14:textId="3139695E" w:rsidR="00D40151" w:rsidRPr="00873B6C" w:rsidRDefault="00D40151" w:rsidP="00D40151">
      <w:pPr>
        <w:rPr>
          <w:lang w:eastAsia="zh-CN"/>
        </w:rPr>
      </w:pPr>
      <w:r w:rsidRPr="00873B6C">
        <w:rPr>
          <w:lang w:eastAsia="zh-CN"/>
        </w:rPr>
        <w:t>If a registration area that is not the "all PLMN" registration area is allocated to a UE in MICO mode, then the UE determines if it is within the registration area or not when it has MO data or MO signalling</w:t>
      </w:r>
      <w:r w:rsidR="00472CD7" w:rsidRPr="00873B6C">
        <w:rPr>
          <w:lang w:eastAsia="zh-CN"/>
        </w:rPr>
        <w:t xml:space="preserve"> and</w:t>
      </w:r>
      <w:r w:rsidRPr="00873B6C">
        <w:rPr>
          <w:lang w:eastAsia="zh-CN"/>
        </w:rPr>
        <w:t xml:space="preserve"> the UE performs Mobility Registration Update before the UE initiates the MO data or MO signalling if it is not within the registration area.</w:t>
      </w:r>
    </w:p>
    <w:p w14:paraId="2EF44330" w14:textId="77777777" w:rsidR="00D40151" w:rsidRPr="00873B6C" w:rsidRDefault="00D40151" w:rsidP="00D40151">
      <w:pPr>
        <w:rPr>
          <w:lang w:eastAsia="zh-CN"/>
        </w:rPr>
      </w:pPr>
      <w:r w:rsidRPr="00873B6C">
        <w:t xml:space="preserve">A UE initiating emergency service shall not indicate MICO preference during Registration procedure. When the MICO mode is already activated in the UE, </w:t>
      </w:r>
      <w:r w:rsidRPr="00873B6C">
        <w:rPr>
          <w:lang w:eastAsia="zh-CN"/>
        </w:rPr>
        <w:t>t</w:t>
      </w:r>
      <w:r w:rsidRPr="00873B6C">
        <w:t xml:space="preserve">he UE and AMF </w:t>
      </w:r>
      <w:r w:rsidRPr="00873B6C">
        <w:rPr>
          <w:lang w:eastAsia="zh-CN"/>
        </w:rPr>
        <w:t>shall locally disable</w:t>
      </w:r>
      <w:r w:rsidRPr="00873B6C" w:rsidDel="00902802">
        <w:t xml:space="preserve"> </w:t>
      </w:r>
      <w:r w:rsidRPr="00873B6C">
        <w:t xml:space="preserve">MICO mode after PDU Session </w:t>
      </w:r>
      <w:r w:rsidRPr="00873B6C">
        <w:rPr>
          <w:lang w:eastAsia="zh-CN"/>
        </w:rPr>
        <w:t>Establishment procedure for Emergency S</w:t>
      </w:r>
      <w:r w:rsidRPr="00873B6C">
        <w:t xml:space="preserve">ervices is completed successfully. The UE and the AMF shall not enable MICO mode until the AMF accepts the use of MICO mode in the next registration procedure. To enable an emergency </w:t>
      </w:r>
      <w:r w:rsidRPr="00873B6C">
        <w:lastRenderedPageBreak/>
        <w:t>call back, the UE should wait for a UE implementation-specific duration of time before requesting the use of MICO mode after the release of the emergency PDU session.</w:t>
      </w:r>
    </w:p>
    <w:p w14:paraId="6BC258FC" w14:textId="77777777" w:rsidR="00D40151" w:rsidRPr="00873B6C" w:rsidRDefault="00D40151" w:rsidP="00D40151">
      <w:r w:rsidRPr="00873B6C">
        <w:t>In order to enable power saving for MT reachability e.g. for Cellular IoT, enhancements to MICO mode are specified in clause 5.31.7:</w:t>
      </w:r>
    </w:p>
    <w:p w14:paraId="19DC9F81" w14:textId="77777777" w:rsidR="00D40151" w:rsidRPr="00873B6C" w:rsidRDefault="00D40151" w:rsidP="00D40151">
      <w:pPr>
        <w:pStyle w:val="B1"/>
      </w:pPr>
      <w:r w:rsidRPr="00873B6C">
        <w:t>-</w:t>
      </w:r>
      <w:r w:rsidRPr="00873B6C">
        <w:tab/>
        <w:t>MICO mode with Extended Connected Time.</w:t>
      </w:r>
    </w:p>
    <w:p w14:paraId="3FDFD754" w14:textId="77777777" w:rsidR="00D40151" w:rsidRPr="00873B6C" w:rsidRDefault="00D40151" w:rsidP="00D40151">
      <w:pPr>
        <w:pStyle w:val="B1"/>
      </w:pPr>
      <w:r w:rsidRPr="00873B6C">
        <w:t>-</w:t>
      </w:r>
      <w:r w:rsidRPr="00873B6C">
        <w:tab/>
        <w:t>MICO mode with Active Time.</w:t>
      </w:r>
    </w:p>
    <w:p w14:paraId="09548597" w14:textId="77777777" w:rsidR="00D40151" w:rsidRPr="00873B6C" w:rsidRDefault="00D40151" w:rsidP="00D40151">
      <w:pPr>
        <w:pStyle w:val="B1"/>
      </w:pPr>
      <w:r w:rsidRPr="00873B6C">
        <w:t>-</w:t>
      </w:r>
      <w:r w:rsidRPr="00873B6C">
        <w:tab/>
        <w:t>MICO mode and Periodic Registration Timer Control.</w:t>
      </w:r>
    </w:p>
    <w:p w14:paraId="6F874FDC" w14:textId="381185EC" w:rsidR="00872C86" w:rsidRPr="00873B6C" w:rsidRDefault="00872C86" w:rsidP="00872C86">
      <w:pPr>
        <w:pStyle w:val="Heading4"/>
        <w:rPr>
          <w:lang w:eastAsia="zh-CN"/>
        </w:rPr>
      </w:pPr>
      <w:bookmarkStart w:id="1027" w:name="_CR5_4_1_4"/>
      <w:bookmarkStart w:id="1028" w:name="_Toc20149735"/>
      <w:bookmarkStart w:id="1029" w:name="_Toc27846526"/>
      <w:bookmarkStart w:id="1030" w:name="_Toc36187650"/>
      <w:bookmarkStart w:id="1031" w:name="_Toc45183554"/>
      <w:bookmarkStart w:id="1032" w:name="_Toc47342396"/>
      <w:bookmarkStart w:id="1033" w:name="_Toc51769094"/>
      <w:bookmarkStart w:id="1034" w:name="_Toc201157023"/>
      <w:bookmarkEnd w:id="1027"/>
      <w:r w:rsidRPr="00873B6C">
        <w:rPr>
          <w:lang w:eastAsia="zh-CN"/>
        </w:rPr>
        <w:t>5.4.1.4</w:t>
      </w:r>
      <w:r w:rsidRPr="00873B6C">
        <w:rPr>
          <w:lang w:eastAsia="zh-CN"/>
        </w:rPr>
        <w:tab/>
        <w:t>Support of Unavailability Period</w:t>
      </w:r>
      <w:bookmarkEnd w:id="1034"/>
    </w:p>
    <w:p w14:paraId="77B23072" w14:textId="11CE5EE8" w:rsidR="00872C86" w:rsidRPr="00873B6C" w:rsidRDefault="00872C86" w:rsidP="00872C86">
      <w:pPr>
        <w:rPr>
          <w:lang w:eastAsia="zh-CN"/>
        </w:rPr>
      </w:pPr>
      <w:r w:rsidRPr="00873B6C">
        <w:rPr>
          <w:lang w:eastAsia="zh-CN"/>
        </w:rPr>
        <w:t>During Registration procedure, the UE supporting the Unavailability Period feature provides "Unavailability Period Support" indication as part of 5GMM Core Network Capability in Registration Request message for initial registration and for every mobility registration. The AMF indicates whether the corresponding feature is supported in the AMF by providing the "Unavailability Period Support" indication in Registration Accept message.</w:t>
      </w:r>
    </w:p>
    <w:p w14:paraId="389FCE28" w14:textId="2B086BA4" w:rsidR="00252264" w:rsidRPr="00873B6C" w:rsidRDefault="00872C86" w:rsidP="00872C86">
      <w:pPr>
        <w:rPr>
          <w:lang w:eastAsia="zh-CN"/>
        </w:rPr>
      </w:pPr>
      <w:r w:rsidRPr="00873B6C">
        <w:rPr>
          <w:lang w:eastAsia="zh-CN"/>
        </w:rPr>
        <w:t>If the UE and network support Unavailability Period and an event is triggered in the UE that would make the UE unavailable</w:t>
      </w:r>
      <w:r w:rsidR="00252264" w:rsidRPr="00873B6C">
        <w:rPr>
          <w:lang w:eastAsia="zh-CN"/>
        </w:rPr>
        <w:t xml:space="preserve"> or lose coverage (see clause 5.4.13.1)</w:t>
      </w:r>
      <w:r w:rsidRPr="00873B6C">
        <w:rPr>
          <w:lang w:eastAsia="zh-CN"/>
        </w:rPr>
        <w:t xml:space="preserve"> for a certain period of time, </w:t>
      </w:r>
      <w:r w:rsidR="00252264" w:rsidRPr="00873B6C">
        <w:rPr>
          <w:lang w:eastAsia="zh-CN"/>
        </w:rPr>
        <w:t xml:space="preserve">the UE uses Support of Unavailability Period to inform the AMF of the </w:t>
      </w:r>
      <w:r w:rsidR="00F36287" w:rsidRPr="00873B6C">
        <w:rPr>
          <w:lang w:eastAsia="zh-CN"/>
        </w:rPr>
        <w:t xml:space="preserve">expected </w:t>
      </w:r>
      <w:r w:rsidR="00252264" w:rsidRPr="00873B6C">
        <w:rPr>
          <w:lang w:eastAsia="zh-CN"/>
        </w:rPr>
        <w:t>unavailability and whether it is due to NR satellite access discontinuous coverage. Use of Support of Unavailability Period for loss of coverage due to NR satellite access discontinuous coverage shall only be used if both UE and the AMF signalled "</w:t>
      </w:r>
      <w:r w:rsidR="00F36287" w:rsidRPr="00873B6C">
        <w:rPr>
          <w:lang w:eastAsia="zh-CN"/>
        </w:rPr>
        <w:t>Unavailab</w:t>
      </w:r>
      <w:r w:rsidR="004119E4" w:rsidRPr="00873B6C">
        <w:rPr>
          <w:lang w:eastAsia="zh-CN"/>
        </w:rPr>
        <w:t xml:space="preserve">ility </w:t>
      </w:r>
      <w:r w:rsidR="00F36287" w:rsidRPr="00873B6C">
        <w:rPr>
          <w:lang w:eastAsia="zh-CN"/>
        </w:rPr>
        <w:t>Period</w:t>
      </w:r>
      <w:r w:rsidR="00252264" w:rsidRPr="00873B6C">
        <w:rPr>
          <w:lang w:eastAsia="zh-CN"/>
        </w:rPr>
        <w:t xml:space="preserve"> </w:t>
      </w:r>
      <w:r w:rsidR="004119E4" w:rsidRPr="00873B6C">
        <w:rPr>
          <w:lang w:eastAsia="zh-CN"/>
        </w:rPr>
        <w:t>S</w:t>
      </w:r>
      <w:r w:rsidR="00252264" w:rsidRPr="00873B6C">
        <w:rPr>
          <w:lang w:eastAsia="zh-CN"/>
        </w:rPr>
        <w:t>upport", see clause 5.4.13</w:t>
      </w:r>
      <w:r w:rsidR="004119E4" w:rsidRPr="00873B6C">
        <w:rPr>
          <w:lang w:eastAsia="zh-CN"/>
        </w:rPr>
        <w:t>.1</w:t>
      </w:r>
      <w:r w:rsidR="00252264" w:rsidRPr="00873B6C">
        <w:rPr>
          <w:lang w:eastAsia="zh-CN"/>
        </w:rPr>
        <w:t>.</w:t>
      </w:r>
    </w:p>
    <w:p w14:paraId="33276573" w14:textId="667EFE58" w:rsidR="00872C86" w:rsidRPr="00873B6C" w:rsidRDefault="00252264" w:rsidP="00872C86">
      <w:pPr>
        <w:rPr>
          <w:lang w:eastAsia="zh-CN"/>
        </w:rPr>
      </w:pPr>
      <w:r w:rsidRPr="00873B6C">
        <w:rPr>
          <w:lang w:eastAsia="zh-CN"/>
        </w:rPr>
        <w:t>If the use of Support of Unavailability Period</w:t>
      </w:r>
      <w:r w:rsidR="004119E4" w:rsidRPr="00873B6C">
        <w:rPr>
          <w:lang w:eastAsia="zh-CN"/>
        </w:rPr>
        <w:t xml:space="preserve"> procedure</w:t>
      </w:r>
      <w:r w:rsidRPr="00873B6C">
        <w:rPr>
          <w:lang w:eastAsia="zh-CN"/>
        </w:rPr>
        <w:t xml:space="preserve"> is not due to NR satellite access discontinuous coverage, </w:t>
      </w:r>
      <w:r w:rsidR="00872C86" w:rsidRPr="00873B6C">
        <w:rPr>
          <w:lang w:eastAsia="zh-CN"/>
        </w:rPr>
        <w:t xml:space="preserve">the UE may store its MM and SM context in </w:t>
      </w:r>
      <w:r w:rsidRPr="00873B6C">
        <w:rPr>
          <w:lang w:eastAsia="zh-CN"/>
        </w:rPr>
        <w:t xml:space="preserve">the </w:t>
      </w:r>
      <w:r w:rsidR="00872C86" w:rsidRPr="00873B6C">
        <w:rPr>
          <w:lang w:eastAsia="zh-CN"/>
        </w:rPr>
        <w:t>USIM or</w:t>
      </w:r>
      <w:r w:rsidRPr="00873B6C">
        <w:rPr>
          <w:lang w:eastAsia="zh-CN"/>
        </w:rPr>
        <w:t xml:space="preserve"> Non-Volatile</w:t>
      </w:r>
      <w:r w:rsidR="00872C86" w:rsidRPr="00873B6C">
        <w:rPr>
          <w:lang w:eastAsia="zh-CN"/>
        </w:rPr>
        <w:t xml:space="preserve"> memory</w:t>
      </w:r>
      <w:r w:rsidRPr="00873B6C">
        <w:rPr>
          <w:lang w:eastAsia="zh-CN"/>
        </w:rPr>
        <w:t xml:space="preserve"> in the ME</w:t>
      </w:r>
      <w:r w:rsidR="00872C86" w:rsidRPr="00873B6C">
        <w:rPr>
          <w:lang w:eastAsia="zh-CN"/>
        </w:rPr>
        <w:t xml:space="preserve"> to be able to reuse it after its unavailability period. If the UE can store its contexts the UE may trigger Mobility Registration Update procedure otherwise the UE shall trigger UE-initiated Deregistration procedure.</w:t>
      </w:r>
    </w:p>
    <w:p w14:paraId="1B2F46B9" w14:textId="65CC5D90" w:rsidR="00872C86" w:rsidRPr="00873B6C" w:rsidRDefault="00872C86" w:rsidP="00695DF1">
      <w:pPr>
        <w:pStyle w:val="NO"/>
        <w:rPr>
          <w:lang w:eastAsia="zh-CN"/>
        </w:rPr>
      </w:pPr>
      <w:r w:rsidRPr="00873B6C">
        <w:rPr>
          <w:lang w:eastAsia="zh-CN"/>
        </w:rPr>
        <w:t>NOTE</w:t>
      </w:r>
      <w:r w:rsidR="00893B12" w:rsidRPr="00873B6C">
        <w:rPr>
          <w:lang w:eastAsia="zh-CN"/>
        </w:rPr>
        <w:t> 1</w:t>
      </w:r>
      <w:r w:rsidRPr="00873B6C">
        <w:rPr>
          <w:lang w:eastAsia="zh-CN"/>
        </w:rPr>
        <w:t>:</w:t>
      </w:r>
      <w:r w:rsidRPr="00873B6C">
        <w:rPr>
          <w:lang w:eastAsia="zh-CN"/>
        </w:rPr>
        <w:tab/>
        <w:t>How</w:t>
      </w:r>
      <w:r w:rsidR="00252264" w:rsidRPr="00873B6C">
        <w:rPr>
          <w:lang w:eastAsia="zh-CN"/>
        </w:rPr>
        <w:t xml:space="preserve"> and where</w:t>
      </w:r>
      <w:r w:rsidRPr="00873B6C">
        <w:rPr>
          <w:lang w:eastAsia="zh-CN"/>
        </w:rPr>
        <w:t xml:space="preserve"> the UE stores its contexts depends upon the UE implementation</w:t>
      </w:r>
      <w:r w:rsidR="00252264" w:rsidRPr="00873B6C">
        <w:rPr>
          <w:lang w:eastAsia="zh-CN"/>
        </w:rPr>
        <w:t xml:space="preserve"> and the</w:t>
      </w:r>
      <w:r w:rsidR="00F36287" w:rsidRPr="00873B6C">
        <w:rPr>
          <w:lang w:eastAsia="zh-CN"/>
        </w:rPr>
        <w:t xml:space="preserve"> Unavailability Type</w:t>
      </w:r>
      <w:r w:rsidRPr="00873B6C">
        <w:rPr>
          <w:lang w:eastAsia="zh-CN"/>
        </w:rPr>
        <w:t>. The UE can store some or all of its contexts in the</w:t>
      </w:r>
      <w:r w:rsidR="00252264" w:rsidRPr="00873B6C">
        <w:rPr>
          <w:lang w:eastAsia="zh-CN"/>
        </w:rPr>
        <w:t xml:space="preserve"> ME or</w:t>
      </w:r>
      <w:r w:rsidRPr="00873B6C">
        <w:rPr>
          <w:lang w:eastAsia="zh-CN"/>
        </w:rPr>
        <w:t xml:space="preserve"> USIM using existing</w:t>
      </w:r>
      <w:r w:rsidR="00252264" w:rsidRPr="00873B6C">
        <w:rPr>
          <w:lang w:eastAsia="zh-CN"/>
        </w:rPr>
        <w:t xml:space="preserve"> ME or</w:t>
      </w:r>
      <w:r w:rsidRPr="00873B6C">
        <w:rPr>
          <w:lang w:eastAsia="zh-CN"/>
        </w:rPr>
        <w:t xml:space="preserve"> USIM functionality.</w:t>
      </w:r>
    </w:p>
    <w:p w14:paraId="7142C1E6" w14:textId="769945E7" w:rsidR="00872C86" w:rsidRPr="00873B6C" w:rsidRDefault="00872C86" w:rsidP="00872C86">
      <w:pPr>
        <w:rPr>
          <w:lang w:eastAsia="zh-CN"/>
        </w:rPr>
      </w:pPr>
      <w:r w:rsidRPr="00873B6C">
        <w:rPr>
          <w:lang w:eastAsia="zh-CN"/>
        </w:rPr>
        <w:t>Before the start of an event that makes the UE unavailable, the UE triggers either Mobility Registration Update or UE initiated Deregistration procedure:</w:t>
      </w:r>
    </w:p>
    <w:p w14:paraId="498CAAF0" w14:textId="77777777" w:rsidR="00872C86" w:rsidRPr="00873B6C" w:rsidRDefault="00872C86" w:rsidP="00695DF1">
      <w:pPr>
        <w:pStyle w:val="B1"/>
        <w:rPr>
          <w:lang w:eastAsia="zh-CN"/>
        </w:rPr>
      </w:pPr>
      <w:r w:rsidRPr="00873B6C">
        <w:rPr>
          <w:lang w:eastAsia="zh-CN"/>
        </w:rPr>
        <w:t>a)</w:t>
      </w:r>
      <w:r w:rsidRPr="00873B6C">
        <w:rPr>
          <w:lang w:eastAsia="zh-CN"/>
        </w:rPr>
        <w:tab/>
        <w:t>If the UE initiates Mobility Registration Update procedure:</w:t>
      </w:r>
    </w:p>
    <w:p w14:paraId="7276B8BA" w14:textId="595E6C48" w:rsidR="004119E4" w:rsidRPr="00873B6C" w:rsidRDefault="004119E4" w:rsidP="00695DF1">
      <w:pPr>
        <w:pStyle w:val="B2"/>
        <w:rPr>
          <w:lang w:eastAsia="zh-CN"/>
        </w:rPr>
      </w:pPr>
      <w:r w:rsidRPr="00873B6C">
        <w:rPr>
          <w:lang w:eastAsia="zh-CN"/>
        </w:rPr>
        <w:t>0)</w:t>
      </w:r>
      <w:r w:rsidRPr="00873B6C">
        <w:rPr>
          <w:lang w:eastAsia="zh-CN"/>
        </w:rPr>
        <w:tab/>
        <w:t>The UE includes an Unavailability Type to describe the cause of unavailability (e.g. the unavailability caused by NR satellite access discontinuous coverage), the Start of the Unavailability Period if known and the Unavailability Period Duration (if known).</w:t>
      </w:r>
    </w:p>
    <w:p w14:paraId="33D80C4C" w14:textId="2F0BCAFB" w:rsidR="00252264" w:rsidRPr="00873B6C" w:rsidRDefault="00252264" w:rsidP="00695DF1">
      <w:pPr>
        <w:pStyle w:val="B2"/>
        <w:rPr>
          <w:lang w:eastAsia="zh-CN"/>
        </w:rPr>
      </w:pPr>
      <w:r w:rsidRPr="00873B6C">
        <w:rPr>
          <w:lang w:eastAsia="zh-CN"/>
        </w:rPr>
        <w:t>1)</w:t>
      </w:r>
      <w:r w:rsidRPr="00873B6C">
        <w:rPr>
          <w:lang w:eastAsia="zh-CN"/>
        </w:rPr>
        <w:tab/>
        <w:t>If the UE did not include a Start of Unavailability Period, the AMF considers implicitly the Start of Unavailability Period to be the time at which it has received the Registration Request message from the UE. If the UE included a Start of Unavailability Period, the Start of Unavailability Period indicates the time at which the UE determines it expects to be unavailable, i.e. time until which the UE determines it is available.</w:t>
      </w:r>
    </w:p>
    <w:p w14:paraId="46106141" w14:textId="5BAF7FD3" w:rsidR="00252264" w:rsidRPr="00873B6C" w:rsidRDefault="00252264" w:rsidP="00695DF1">
      <w:pPr>
        <w:pStyle w:val="B2"/>
        <w:rPr>
          <w:lang w:eastAsia="zh-CN"/>
        </w:rPr>
      </w:pPr>
      <w:r w:rsidRPr="00873B6C">
        <w:rPr>
          <w:lang w:eastAsia="zh-CN"/>
        </w:rPr>
        <w:t>2)</w:t>
      </w:r>
      <w:r w:rsidRPr="00873B6C">
        <w:rPr>
          <w:lang w:eastAsia="zh-CN"/>
        </w:rPr>
        <w:tab/>
        <w:t>The AMF may determine, if not provided by the UE, or update the Unavailability Period Duration</w:t>
      </w:r>
      <w:r w:rsidR="004119E4" w:rsidRPr="00873B6C">
        <w:rPr>
          <w:lang w:eastAsia="zh-CN"/>
        </w:rPr>
        <w:t xml:space="preserve"> and/or the Start of Unavailability Period</w:t>
      </w:r>
      <w:r w:rsidRPr="00873B6C">
        <w:rPr>
          <w:lang w:eastAsia="zh-CN"/>
        </w:rPr>
        <w:t>.</w:t>
      </w:r>
    </w:p>
    <w:p w14:paraId="6B1036DD" w14:textId="501CE177" w:rsidR="00252264" w:rsidRPr="00873B6C" w:rsidRDefault="00252264" w:rsidP="00695DF1">
      <w:pPr>
        <w:pStyle w:val="B2"/>
        <w:rPr>
          <w:lang w:eastAsia="zh-CN"/>
        </w:rPr>
      </w:pPr>
      <w:r w:rsidRPr="00873B6C">
        <w:rPr>
          <w:lang w:eastAsia="zh-CN"/>
        </w:rPr>
        <w:tab/>
        <w:t>If</w:t>
      </w:r>
      <w:r w:rsidR="00F04A40" w:rsidRPr="00873B6C">
        <w:rPr>
          <w:lang w:eastAsia="zh-CN"/>
        </w:rPr>
        <w:t xml:space="preserve"> unavailability is caused by NR satellite access discontinuous coverage and</w:t>
      </w:r>
      <w:r w:rsidRPr="00873B6C">
        <w:rPr>
          <w:lang w:eastAsia="zh-CN"/>
        </w:rPr>
        <w:t xml:space="preserve"> the AMF knows an Unavailability Period Duration</w:t>
      </w:r>
      <w:r w:rsidR="004119E4" w:rsidRPr="00873B6C">
        <w:rPr>
          <w:lang w:eastAsia="zh-CN"/>
        </w:rPr>
        <w:t xml:space="preserve"> and/or the Start of Unavailability Period</w:t>
      </w:r>
      <w:r w:rsidRPr="00873B6C">
        <w:rPr>
          <w:lang w:eastAsia="zh-CN"/>
        </w:rPr>
        <w:t xml:space="preserve"> (e.g. based on the</w:t>
      </w:r>
      <w:r w:rsidR="00F36287" w:rsidRPr="00873B6C">
        <w:rPr>
          <w:lang w:eastAsia="zh-CN"/>
        </w:rPr>
        <w:t xml:space="preserve"> U</w:t>
      </w:r>
      <w:r w:rsidRPr="00873B6C">
        <w:rPr>
          <w:lang w:eastAsia="zh-CN"/>
        </w:rPr>
        <w:t>navailability</w:t>
      </w:r>
      <w:r w:rsidR="00F36287" w:rsidRPr="00873B6C">
        <w:rPr>
          <w:lang w:eastAsia="zh-CN"/>
        </w:rPr>
        <w:t xml:space="preserve"> Type</w:t>
      </w:r>
      <w:r w:rsidRPr="00873B6C">
        <w:rPr>
          <w:lang w:eastAsia="zh-CN"/>
        </w:rPr>
        <w:t xml:space="preserve"> and other information available to the AMF as described in clause 5.4.13.3)</w:t>
      </w:r>
      <w:r w:rsidR="00472CD7" w:rsidRPr="00873B6C">
        <w:rPr>
          <w:lang w:eastAsia="zh-CN"/>
        </w:rPr>
        <w:t xml:space="preserve"> and</w:t>
      </w:r>
      <w:r w:rsidRPr="00873B6C">
        <w:rPr>
          <w:lang w:eastAsia="zh-CN"/>
        </w:rPr>
        <w:t xml:space="preserve"> the UE did not include an Unavailability Period Duration</w:t>
      </w:r>
      <w:r w:rsidR="004119E4" w:rsidRPr="00873B6C">
        <w:rPr>
          <w:lang w:eastAsia="zh-CN"/>
        </w:rPr>
        <w:t xml:space="preserve"> and/or the Start of Unavailability Period</w:t>
      </w:r>
      <w:r w:rsidRPr="00873B6C">
        <w:rPr>
          <w:lang w:eastAsia="zh-CN"/>
        </w:rPr>
        <w:t xml:space="preserve"> or the UE included an Unavailability Period Duration</w:t>
      </w:r>
      <w:r w:rsidR="004119E4" w:rsidRPr="00873B6C">
        <w:rPr>
          <w:lang w:eastAsia="zh-CN"/>
        </w:rPr>
        <w:t xml:space="preserve"> and/or the Start of Unavailability Period</w:t>
      </w:r>
      <w:r w:rsidRPr="00873B6C">
        <w:rPr>
          <w:lang w:eastAsia="zh-CN"/>
        </w:rPr>
        <w:t xml:space="preserve"> different to the Unavailability Period Duration</w:t>
      </w:r>
      <w:r w:rsidR="004119E4" w:rsidRPr="00873B6C">
        <w:rPr>
          <w:lang w:eastAsia="zh-CN"/>
        </w:rPr>
        <w:t xml:space="preserve"> and/or the Start of Unavailability Period</w:t>
      </w:r>
      <w:r w:rsidRPr="00873B6C">
        <w:rPr>
          <w:lang w:eastAsia="zh-CN"/>
        </w:rPr>
        <w:t xml:space="preserve"> known to the AMF, the AMF should include the Unavailability Period Duration</w:t>
      </w:r>
      <w:r w:rsidR="004119E4" w:rsidRPr="00873B6C">
        <w:rPr>
          <w:lang w:eastAsia="zh-CN"/>
        </w:rPr>
        <w:t xml:space="preserve"> and/or the Start of Unavailability Period</w:t>
      </w:r>
      <w:r w:rsidRPr="00873B6C">
        <w:rPr>
          <w:lang w:eastAsia="zh-CN"/>
        </w:rPr>
        <w:t xml:space="preserve"> known to the AMF in the Registration Accept</w:t>
      </w:r>
      <w:r w:rsidR="00F04A40" w:rsidRPr="00873B6C">
        <w:rPr>
          <w:lang w:eastAsia="zh-CN"/>
        </w:rPr>
        <w:t xml:space="preserve"> and use those values in subsequent steps of this procedure</w:t>
      </w:r>
      <w:r w:rsidRPr="00873B6C">
        <w:rPr>
          <w:lang w:eastAsia="zh-CN"/>
        </w:rPr>
        <w:t>. How the UE treats the AMF provided Unavailability Period Duration</w:t>
      </w:r>
      <w:r w:rsidR="004119E4" w:rsidRPr="00873B6C">
        <w:rPr>
          <w:lang w:eastAsia="zh-CN"/>
        </w:rPr>
        <w:t xml:space="preserve"> and/or the Start of Unavailability Period</w:t>
      </w:r>
      <w:r w:rsidRPr="00873B6C">
        <w:rPr>
          <w:lang w:eastAsia="zh-CN"/>
        </w:rP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NR satellite access in order to optimise power consumption until coverage returns, etc.</w:t>
      </w:r>
    </w:p>
    <w:p w14:paraId="0BB3CDB1" w14:textId="28885DE5" w:rsidR="00F04A40" w:rsidRPr="00873B6C" w:rsidRDefault="00F04A40" w:rsidP="00695DF1">
      <w:pPr>
        <w:pStyle w:val="B2"/>
        <w:rPr>
          <w:lang w:eastAsia="zh-CN"/>
        </w:rPr>
      </w:pPr>
      <w:r w:rsidRPr="00873B6C">
        <w:rPr>
          <w:lang w:eastAsia="zh-CN"/>
        </w:rPr>
        <w:lastRenderedPageBreak/>
        <w:tab/>
        <w:t>If unavailability is not caused due to NR satellite access discontinuous coverage then AMF uses the Unavailability Period Duration and/or the Start of Unavailability Period as indicated by the UE in the subsequent steps of this procedure.</w:t>
      </w:r>
    </w:p>
    <w:p w14:paraId="613523B0" w14:textId="2EFF1ACC" w:rsidR="00252264" w:rsidRPr="00873B6C" w:rsidRDefault="00252264" w:rsidP="00695DF1">
      <w:pPr>
        <w:pStyle w:val="B2"/>
        <w:rPr>
          <w:lang w:eastAsia="zh-CN"/>
        </w:rPr>
      </w:pPr>
      <w:r w:rsidRPr="00873B6C">
        <w:rPr>
          <w:lang w:eastAsia="zh-CN"/>
        </w:rPr>
        <w:t>3)</w:t>
      </w:r>
      <w:r w:rsidRPr="00873B6C">
        <w:rPr>
          <w:lang w:eastAsia="zh-CN"/>
        </w:rPr>
        <w:tab/>
        <w:t>The AMF indicates to the UE in the Registration Accept whether the UE is not required to perform a Registration procedure when the unavailability period has ended.</w:t>
      </w:r>
    </w:p>
    <w:p w14:paraId="474F2AB6" w14:textId="6B078ABA" w:rsidR="00872C86" w:rsidRPr="00873B6C" w:rsidRDefault="00252264" w:rsidP="00695DF1">
      <w:pPr>
        <w:pStyle w:val="B2"/>
        <w:rPr>
          <w:lang w:eastAsia="zh-CN"/>
        </w:rPr>
      </w:pPr>
      <w:r w:rsidRPr="00873B6C">
        <w:rPr>
          <w:lang w:eastAsia="zh-CN"/>
        </w:rPr>
        <w:t>4</w:t>
      </w:r>
      <w:r w:rsidR="00872C86" w:rsidRPr="00873B6C">
        <w:rPr>
          <w:lang w:eastAsia="zh-CN"/>
        </w:rPr>
        <w:t>)</w:t>
      </w:r>
      <w:r w:rsidR="00872C86" w:rsidRPr="00873B6C">
        <w:rPr>
          <w:lang w:eastAsia="zh-CN"/>
        </w:rPr>
        <w:tab/>
        <w:t>The AMF may take the Unavailability Period Duration</w:t>
      </w:r>
      <w:r w:rsidRPr="00873B6C">
        <w:rPr>
          <w:lang w:eastAsia="zh-CN"/>
        </w:rPr>
        <w:t xml:space="preserve"> (if available) and Start of Unavailability Period</w:t>
      </w:r>
      <w:r w:rsidR="00872C86" w:rsidRPr="00873B6C">
        <w:rPr>
          <w:lang w:eastAsia="zh-CN"/>
        </w:rPr>
        <w:t xml:space="preserve"> into account when determining Periodic Registration Update timer value. The AMF may provide a Periodic Registration Update</w:t>
      </w:r>
      <w:r w:rsidR="00F04A40" w:rsidRPr="00873B6C">
        <w:rPr>
          <w:lang w:eastAsia="zh-CN"/>
        </w:rPr>
        <w:t xml:space="preserve"> so the</w:t>
      </w:r>
      <w:r w:rsidR="00872C86" w:rsidRPr="00873B6C">
        <w:rPr>
          <w:lang w:eastAsia="zh-CN"/>
        </w:rPr>
        <w:t xml:space="preserve"> time</w:t>
      </w:r>
      <w:r w:rsidR="00F04A40" w:rsidRPr="00873B6C">
        <w:rPr>
          <w:lang w:eastAsia="zh-CN"/>
        </w:rPr>
        <w:t>r does not expire during</w:t>
      </w:r>
      <w:r w:rsidRPr="00873B6C">
        <w:rPr>
          <w:lang w:eastAsia="zh-CN"/>
        </w:rPr>
        <w:t xml:space="preserve"> the</w:t>
      </w:r>
      <w:r w:rsidR="00872C86" w:rsidRPr="00873B6C">
        <w:rPr>
          <w:lang w:eastAsia="zh-CN"/>
        </w:rPr>
        <w:t xml:space="preserve"> Unavailability Period to avoid interfering with the UE dealing with the event that causes the unavailability;</w:t>
      </w:r>
    </w:p>
    <w:p w14:paraId="20820DEA" w14:textId="1BBC4E6C" w:rsidR="00872C86" w:rsidRPr="00873B6C" w:rsidRDefault="00252264" w:rsidP="00695DF1">
      <w:pPr>
        <w:pStyle w:val="B2"/>
        <w:rPr>
          <w:lang w:eastAsia="zh-CN"/>
        </w:rPr>
      </w:pPr>
      <w:r w:rsidRPr="00873B6C">
        <w:rPr>
          <w:lang w:eastAsia="zh-CN"/>
        </w:rPr>
        <w:t>5</w:t>
      </w:r>
      <w:r w:rsidR="00872C86" w:rsidRPr="00873B6C">
        <w:rPr>
          <w:lang w:eastAsia="zh-CN"/>
        </w:rPr>
        <w:t>)</w:t>
      </w:r>
      <w:r w:rsidR="00872C86" w:rsidRPr="00873B6C">
        <w:rPr>
          <w:lang w:eastAsia="zh-CN"/>
        </w:rPr>
        <w:tab/>
        <w:t>The AMF stores the information that the UE is unavailable</w:t>
      </w:r>
      <w:r w:rsidRPr="00873B6C">
        <w:rPr>
          <w:lang w:eastAsia="zh-CN"/>
        </w:rPr>
        <w:t xml:space="preserve"> at the Start of Unavailability Period</w:t>
      </w:r>
      <w:r w:rsidR="00872C86" w:rsidRPr="00873B6C">
        <w:rPr>
          <w:lang w:eastAsia="zh-CN"/>
        </w:rPr>
        <w:t xml:space="preserve"> in UE context</w:t>
      </w:r>
      <w:r w:rsidR="00472CD7" w:rsidRPr="00873B6C">
        <w:rPr>
          <w:lang w:eastAsia="zh-CN"/>
        </w:rPr>
        <w:t xml:space="preserve"> and</w:t>
      </w:r>
      <w:r w:rsidR="00872C86" w:rsidRPr="00873B6C">
        <w:rPr>
          <w:lang w:eastAsia="zh-CN"/>
        </w:rPr>
        <w:t xml:space="preserve"> considers the UE is unreachable (i.e. clear the PPF in AMF)</w:t>
      </w:r>
      <w:r w:rsidRPr="00873B6C">
        <w:rPr>
          <w:lang w:eastAsia="zh-CN"/>
        </w:rPr>
        <w:t xml:space="preserve"> from then</w:t>
      </w:r>
      <w:r w:rsidR="00872C86" w:rsidRPr="00873B6C">
        <w:rPr>
          <w:lang w:eastAsia="zh-CN"/>
        </w:rPr>
        <w:t xml:space="preserve"> until the UE enters CM-CONNECTED state;</w:t>
      </w:r>
    </w:p>
    <w:p w14:paraId="514C3870" w14:textId="50F29062" w:rsidR="00872C86" w:rsidRPr="00873B6C" w:rsidRDefault="00252264" w:rsidP="00695DF1">
      <w:pPr>
        <w:pStyle w:val="B2"/>
        <w:rPr>
          <w:lang w:eastAsia="zh-CN"/>
        </w:rPr>
      </w:pPr>
      <w:r w:rsidRPr="00873B6C">
        <w:rPr>
          <w:lang w:eastAsia="zh-CN"/>
        </w:rPr>
        <w:t>6</w:t>
      </w:r>
      <w:r w:rsidR="00872C86" w:rsidRPr="00873B6C">
        <w:rPr>
          <w:lang w:eastAsia="zh-CN"/>
        </w:rPr>
        <w:t>)</w:t>
      </w:r>
      <w:r w:rsidR="00872C86" w:rsidRPr="00873B6C">
        <w:rPr>
          <w:lang w:eastAsia="zh-CN"/>
        </w:rPr>
        <w:tab/>
        <w:t>While the UE is unreachable, all high latency communication solutions (see clause 5.31.8) apply if supported in the network, e.g. extended data buffering, downlink data buffering status report, etc; and</w:t>
      </w:r>
    </w:p>
    <w:p w14:paraId="25523BF6" w14:textId="18CC5269" w:rsidR="00872C86" w:rsidRPr="00873B6C" w:rsidRDefault="00252264" w:rsidP="00695DF1">
      <w:pPr>
        <w:pStyle w:val="B2"/>
        <w:rPr>
          <w:lang w:eastAsia="zh-CN"/>
        </w:rPr>
      </w:pPr>
      <w:r w:rsidRPr="00873B6C">
        <w:rPr>
          <w:lang w:eastAsia="zh-CN"/>
        </w:rPr>
        <w:t>7</w:t>
      </w:r>
      <w:r w:rsidR="00872C86" w:rsidRPr="00873B6C">
        <w:rPr>
          <w:lang w:eastAsia="zh-CN"/>
        </w:rPr>
        <w:t>)</w:t>
      </w:r>
      <w:r w:rsidR="00872C86" w:rsidRPr="00873B6C">
        <w:rPr>
          <w:lang w:eastAsia="zh-CN"/>
        </w:rPr>
        <w:tab/>
        <w:t>If there is "Loss of Connectivity" event subscription for the UE by AF, the AMF</w:t>
      </w:r>
      <w:r w:rsidR="00F36287" w:rsidRPr="00873B6C">
        <w:rPr>
          <w:lang w:eastAsia="zh-CN"/>
        </w:rPr>
        <w:t xml:space="preserve"> at the start of Unavailability Period</w:t>
      </w:r>
      <w:r w:rsidR="00872C86" w:rsidRPr="00873B6C">
        <w:rPr>
          <w:lang w:eastAsia="zh-CN"/>
        </w:rPr>
        <w:t xml:space="preserve"> considers the remaining time in the Unavailability Period</w:t>
      </w:r>
      <w:r w:rsidRPr="00873B6C">
        <w:rPr>
          <w:lang w:eastAsia="zh-CN"/>
        </w:rPr>
        <w:t xml:space="preserve"> (if available)</w:t>
      </w:r>
      <w:r w:rsidR="00872C86" w:rsidRPr="00873B6C">
        <w:rPr>
          <w:lang w:eastAsia="zh-CN"/>
        </w:rPr>
        <w:t xml:space="preserve"> when constructing the "Loss of Connectivity" event report towards the NEF and the</w:t>
      </w:r>
      <w:r w:rsidR="00F36287" w:rsidRPr="00873B6C">
        <w:rPr>
          <w:lang w:eastAsia="zh-CN"/>
        </w:rPr>
        <w:t xml:space="preserve"> remaining time in the</w:t>
      </w:r>
      <w:r w:rsidR="00872C86" w:rsidRPr="00873B6C">
        <w:rPr>
          <w:lang w:eastAsia="zh-CN"/>
        </w:rPr>
        <w:t xml:space="preserve"> Unavailability Period is reported to the respective subscribed AF.</w:t>
      </w:r>
    </w:p>
    <w:p w14:paraId="654552BC" w14:textId="77777777" w:rsidR="00872C86" w:rsidRPr="00873B6C" w:rsidRDefault="00872C86" w:rsidP="00695DF1">
      <w:pPr>
        <w:pStyle w:val="B1"/>
        <w:rPr>
          <w:lang w:eastAsia="zh-CN"/>
        </w:rPr>
      </w:pPr>
      <w:r w:rsidRPr="00873B6C">
        <w:rPr>
          <w:lang w:eastAsia="zh-CN"/>
        </w:rPr>
        <w:t>b)</w:t>
      </w:r>
      <w:r w:rsidRPr="00873B6C">
        <w:rPr>
          <w:lang w:eastAsia="zh-CN"/>
        </w:rPr>
        <w:tab/>
        <w:t>If the UE initiates UE-initiated Deregistration procedure:</w:t>
      </w:r>
    </w:p>
    <w:p w14:paraId="59B2B6A0" w14:textId="6AFD1068" w:rsidR="004119E4" w:rsidRPr="00873B6C" w:rsidRDefault="004119E4" w:rsidP="00695DF1">
      <w:pPr>
        <w:pStyle w:val="B2"/>
        <w:rPr>
          <w:lang w:eastAsia="zh-CN"/>
        </w:rPr>
      </w:pPr>
      <w:r w:rsidRPr="00873B6C">
        <w:rPr>
          <w:lang w:eastAsia="zh-CN"/>
        </w:rPr>
        <w:t>0)</w:t>
      </w:r>
      <w:r w:rsidRPr="00873B6C">
        <w:rPr>
          <w:lang w:eastAsia="zh-CN"/>
        </w:rPr>
        <w:tab/>
        <w:t>The UE includes Unavailability Period Duration (if known).</w:t>
      </w:r>
    </w:p>
    <w:p w14:paraId="7B6A0BCC" w14:textId="493036CA" w:rsidR="00872C86" w:rsidRPr="00873B6C" w:rsidRDefault="00872C86" w:rsidP="00695DF1">
      <w:pPr>
        <w:pStyle w:val="B2"/>
        <w:rPr>
          <w:lang w:eastAsia="zh-CN"/>
        </w:rPr>
      </w:pPr>
      <w:r w:rsidRPr="00873B6C">
        <w:rPr>
          <w:lang w:eastAsia="zh-CN"/>
        </w:rPr>
        <w:t>1)</w:t>
      </w:r>
      <w:r w:rsidRPr="00873B6C">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40100F29" w14:textId="7FF5FA66" w:rsidR="00CD22D1" w:rsidRPr="00873B6C" w:rsidRDefault="00CD22D1" w:rsidP="00252264">
      <w:pPr>
        <w:rPr>
          <w:lang w:eastAsia="zh-CN"/>
        </w:rPr>
      </w:pPr>
      <w:r w:rsidRPr="00873B6C">
        <w:rPr>
          <w:lang w:eastAsia="zh-CN"/>
        </w:rPr>
        <w:t>Furthermore, if the UE initiates Initial Registration procedure and indicates supporting the Unavailability Period feature by providing "Unavailability Period Support" indication as part of 5GMM Core Network Capability, if the AMF is able to determine the Unavailability Period Duration and/or the Start of Unavailability Period of a UE during the UE's initial Registration procedure, the AMF should provide the Unavailability Period Duration and/or the Start of Unavailability Period to the UE in the Registration Accept message and follow the procedure described in bullet a), steps 2 to 7 above.</w:t>
      </w:r>
    </w:p>
    <w:p w14:paraId="5BA27818" w14:textId="0E6E63E4" w:rsidR="00CD22D1" w:rsidRPr="00873B6C" w:rsidRDefault="00CD22D1" w:rsidP="005163AE">
      <w:pPr>
        <w:pStyle w:val="NO"/>
        <w:rPr>
          <w:lang w:eastAsia="zh-CN"/>
        </w:rPr>
      </w:pPr>
      <w:r w:rsidRPr="00873B6C">
        <w:rPr>
          <w:lang w:eastAsia="zh-CN"/>
        </w:rPr>
        <w:t>NOTE 2:</w:t>
      </w:r>
      <w:r w:rsidRPr="00873B6C">
        <w:rPr>
          <w:lang w:eastAsia="zh-CN"/>
        </w:rPr>
        <w:tab/>
        <w:t>The Unavailability Period Duration and/or the Start of Unavailability Period when received in Registration Accept during the initial registration is for NR satellite access discontinuous coverage.</w:t>
      </w:r>
    </w:p>
    <w:p w14:paraId="4D3F9A95" w14:textId="1BCB26F6" w:rsidR="00252264" w:rsidRPr="00873B6C" w:rsidRDefault="00252264" w:rsidP="00252264">
      <w:pPr>
        <w:rPr>
          <w:lang w:eastAsia="zh-CN"/>
        </w:rPr>
      </w:pPr>
      <w:r w:rsidRPr="00873B6C">
        <w:rPr>
          <w:lang w:eastAsia="zh-CN"/>
        </w:rPr>
        <w:t>Unless the AMF indicated that the UE is not required to perform a Registration procedure when the unavailability period has ended, then once the event which makes the UE unavailable is completed in the UE, the UE triggers</w:t>
      </w:r>
      <w:r w:rsidR="00F36287" w:rsidRPr="00873B6C">
        <w:rPr>
          <w:lang w:eastAsia="zh-CN"/>
        </w:rPr>
        <w:t xml:space="preserve"> a</w:t>
      </w:r>
      <w:r w:rsidRPr="00873B6C">
        <w:rPr>
          <w:lang w:eastAsia="zh-CN"/>
        </w:rPr>
        <w:t xml:space="preserve"> Registration procedure.</w:t>
      </w:r>
      <w:r w:rsidR="00F36287" w:rsidRPr="00873B6C">
        <w:rPr>
          <w:lang w:eastAsia="zh-CN"/>
        </w:rPr>
        <w:t xml:space="preserve"> If the event which makes the UE unavailable is delayed to a future time or cancelled in the UE or unavailability period deviates from negotiated value, the UE triggers Registration procedure.</w:t>
      </w:r>
      <w:r w:rsidRPr="00873B6C">
        <w:rPr>
          <w:lang w:eastAsia="zh-CN"/>
        </w:rPr>
        <w:t xml:space="preserve"> The UE may also trigger a Registration procedure before the Unavailability Period has started for other reasons. Depending on the UE state, the Registration procedure can be Initial Registration procedure or Mobility Registration Update procedure.</w:t>
      </w:r>
    </w:p>
    <w:p w14:paraId="1C1A18B4" w14:textId="711BAE12" w:rsidR="00252264" w:rsidRPr="00873B6C" w:rsidRDefault="00893B12" w:rsidP="00252264">
      <w:pPr>
        <w:rPr>
          <w:lang w:eastAsia="zh-CN"/>
        </w:rPr>
      </w:pPr>
      <w:r w:rsidRPr="00873B6C">
        <w:rPr>
          <w:lang w:eastAsia="zh-CN"/>
        </w:rPr>
        <w:t xml:space="preserve">While the UE is in 5GS and if </w:t>
      </w:r>
      <w:r w:rsidR="00252264" w:rsidRPr="00873B6C">
        <w:rPr>
          <w:lang w:eastAsia="zh-CN"/>
        </w:rPr>
        <w:t>the UE determines</w:t>
      </w:r>
      <w:r w:rsidR="00F36287" w:rsidRPr="00873B6C">
        <w:rPr>
          <w:lang w:eastAsia="zh-CN"/>
        </w:rPr>
        <w:t xml:space="preserve"> that</w:t>
      </w:r>
      <w:r w:rsidR="00252264" w:rsidRPr="00873B6C">
        <w:rPr>
          <w:lang w:eastAsia="zh-CN"/>
        </w:rPr>
        <w:t xml:space="preserve"> an upcoming loss of coverage no longer applies or determines a new Start of Unavailability Period or Unavailability Period Duration related to the upcoming loss of coverage, the UE sends a new</w:t>
      </w:r>
      <w:r w:rsidR="00F36287" w:rsidRPr="00873B6C">
        <w:rPr>
          <w:lang w:eastAsia="zh-CN"/>
        </w:rPr>
        <w:t xml:space="preserve"> Mobility</w:t>
      </w:r>
      <w:r w:rsidR="00252264" w:rsidRPr="00873B6C">
        <w:rPr>
          <w:lang w:eastAsia="zh-CN"/>
        </w:rPr>
        <w:t xml:space="preserve"> Registration</w:t>
      </w:r>
      <w:r w:rsidR="00F36287" w:rsidRPr="00873B6C">
        <w:rPr>
          <w:lang w:eastAsia="zh-CN"/>
        </w:rPr>
        <w:t xml:space="preserve"> Update</w:t>
      </w:r>
      <w:r w:rsidR="00252264" w:rsidRPr="00873B6C">
        <w:rPr>
          <w:lang w:eastAsia="zh-CN"/>
        </w:rPr>
        <w:t xml:space="preserve"> Request</w:t>
      </w:r>
      <w:r w:rsidR="00F36287" w:rsidRPr="00873B6C">
        <w:rPr>
          <w:lang w:eastAsia="zh-CN"/>
        </w:rPr>
        <w:t xml:space="preserve"> to the AMF to update the Start of Unavailability Period and/or Unavailability Period Duration</w:t>
      </w:r>
      <w:r w:rsidR="00252264" w:rsidRPr="00873B6C">
        <w:rPr>
          <w:lang w:eastAsia="zh-CN"/>
        </w:rPr>
        <w:t>.</w:t>
      </w:r>
    </w:p>
    <w:p w14:paraId="30328251" w14:textId="39A0A634" w:rsidR="00252264" w:rsidRPr="00873B6C" w:rsidRDefault="00252264" w:rsidP="00252264">
      <w:pPr>
        <w:rPr>
          <w:lang w:eastAsia="zh-CN"/>
        </w:rPr>
      </w:pPr>
      <w:r w:rsidRPr="00873B6C">
        <w:rPr>
          <w:lang w:eastAsia="zh-CN"/>
        </w:rPr>
        <w:t>The UE and the AMF re-negotiate unavailability at every Registration procedure, if it is required. If Start of Unavailability Period and/or Unavailability Period Duration is not included in a Registration procedure any pending unavailability configuration stored in the UE context at AMF is discarded.</w:t>
      </w:r>
    </w:p>
    <w:p w14:paraId="36622F4B" w14:textId="77777777" w:rsidR="00893B12" w:rsidRPr="00873B6C" w:rsidRDefault="00893B12" w:rsidP="00893B12">
      <w:pPr>
        <w:rPr>
          <w:lang w:eastAsia="zh-CN"/>
        </w:rPr>
      </w:pPr>
      <w:r w:rsidRPr="00873B6C">
        <w:rPr>
          <w:lang w:eastAsia="zh-CN"/>
        </w:rPr>
        <w:t>If the UE moves to EPS, the UE performs Attach or Tracking Area update procedure depending on the interworking mechanisms defined in clause 5.17.2.</w:t>
      </w:r>
    </w:p>
    <w:p w14:paraId="6FBD128E" w14:textId="77777777" w:rsidR="00893B12" w:rsidRPr="00873B6C" w:rsidRDefault="00893B12" w:rsidP="00893B12">
      <w:pPr>
        <w:rPr>
          <w:lang w:eastAsia="zh-CN"/>
        </w:rPr>
      </w:pPr>
      <w:r w:rsidRPr="00873B6C">
        <w:rPr>
          <w:lang w:eastAsia="zh-CN"/>
        </w:rPr>
        <w:t>For discontinuous coverage in E-UTRAN satellite access in EPS, the "Unavailability Period" is also supported (see clause 4.13.8.2 of TS 23.401 [26]).</w:t>
      </w:r>
    </w:p>
    <w:p w14:paraId="437DC846" w14:textId="7573F333" w:rsidR="00893B12" w:rsidRPr="00873B6C" w:rsidRDefault="00893B12" w:rsidP="00893B12">
      <w:pPr>
        <w:pStyle w:val="NO"/>
        <w:rPr>
          <w:lang w:eastAsia="zh-CN"/>
        </w:rPr>
      </w:pPr>
      <w:r w:rsidRPr="00873B6C">
        <w:rPr>
          <w:lang w:eastAsia="zh-CN"/>
        </w:rPr>
        <w:t>NOTE </w:t>
      </w:r>
      <w:r w:rsidR="00CD22D1" w:rsidRPr="00873B6C">
        <w:rPr>
          <w:lang w:eastAsia="zh-CN"/>
        </w:rPr>
        <w:t>3</w:t>
      </w:r>
      <w:r w:rsidRPr="00873B6C">
        <w:rPr>
          <w:lang w:eastAsia="zh-CN"/>
        </w:rPr>
        <w:t>:</w:t>
      </w:r>
      <w:r w:rsidRPr="00873B6C">
        <w:rPr>
          <w:lang w:eastAsia="zh-CN"/>
        </w:rPr>
        <w:tab/>
        <w:t>In this release of specification there is no transfer of "unavailability period" between AMF and MME and vice versa.</w:t>
      </w:r>
    </w:p>
    <w:p w14:paraId="0A959DB1" w14:textId="31CBB90F" w:rsidR="00D40151" w:rsidRPr="00873B6C" w:rsidRDefault="00D40151" w:rsidP="00D40151">
      <w:pPr>
        <w:pStyle w:val="Heading3"/>
        <w:rPr>
          <w:lang w:eastAsia="zh-CN"/>
        </w:rPr>
      </w:pPr>
      <w:bookmarkStart w:id="1035" w:name="_CR5_4_2"/>
      <w:bookmarkStart w:id="1036" w:name="_Toc201157024"/>
      <w:bookmarkEnd w:id="1035"/>
      <w:r w:rsidRPr="00873B6C">
        <w:rPr>
          <w:lang w:eastAsia="zh-CN"/>
        </w:rPr>
        <w:lastRenderedPageBreak/>
        <w:t>5.4.2</w:t>
      </w:r>
      <w:r w:rsidRPr="00873B6C">
        <w:rPr>
          <w:lang w:eastAsia="zh-CN"/>
        </w:rPr>
        <w:tab/>
        <w:t>UE reachability in CM-CONNECTED</w:t>
      </w:r>
      <w:bookmarkEnd w:id="1028"/>
      <w:bookmarkEnd w:id="1029"/>
      <w:bookmarkEnd w:id="1030"/>
      <w:bookmarkEnd w:id="1031"/>
      <w:bookmarkEnd w:id="1032"/>
      <w:bookmarkEnd w:id="1033"/>
      <w:bookmarkEnd w:id="1036"/>
    </w:p>
    <w:p w14:paraId="28CF4CBE" w14:textId="77777777" w:rsidR="00D40151" w:rsidRPr="00873B6C" w:rsidRDefault="00D40151" w:rsidP="00D40151">
      <w:pPr>
        <w:rPr>
          <w:rFonts w:eastAsia="Arial Unicode MS"/>
        </w:rPr>
      </w:pPr>
      <w:r w:rsidRPr="00873B6C">
        <w:rPr>
          <w:rFonts w:eastAsia="Arial Unicode MS"/>
        </w:rPr>
        <w:t>For a UE in CM-CONNECTED state:</w:t>
      </w:r>
    </w:p>
    <w:p w14:paraId="33BFECC4" w14:textId="77777777" w:rsidR="00D40151" w:rsidRPr="00873B6C" w:rsidRDefault="00D40151" w:rsidP="00D40151">
      <w:pPr>
        <w:pStyle w:val="B1"/>
      </w:pPr>
      <w:r w:rsidRPr="00873B6C">
        <w:t>-</w:t>
      </w:r>
      <w:r w:rsidRPr="00873B6C">
        <w:tab/>
        <w:t>the AMF knows the UE location on a serving (R)AN node granularity.</w:t>
      </w:r>
    </w:p>
    <w:p w14:paraId="64EAE994" w14:textId="77777777" w:rsidR="00D40151" w:rsidRPr="00873B6C" w:rsidRDefault="00D40151" w:rsidP="00D40151">
      <w:pPr>
        <w:pStyle w:val="B1"/>
        <w:rPr>
          <w:lang w:eastAsia="zh-CN"/>
        </w:rPr>
      </w:pPr>
      <w:r w:rsidRPr="00873B6C">
        <w:rPr>
          <w:lang w:eastAsia="zh-CN"/>
        </w:rPr>
        <w:t>-</w:t>
      </w:r>
      <w:r w:rsidRPr="00873B6C">
        <w:rPr>
          <w:lang w:eastAsia="zh-CN"/>
        </w:rPr>
        <w:tab/>
        <w:t>the NG-RAN</w:t>
      </w:r>
      <w:r w:rsidRPr="00873B6C">
        <w:t xml:space="preserve"> notifies the AMF when UE becomes unreachable </w:t>
      </w:r>
      <w:r w:rsidRPr="00873B6C">
        <w:rPr>
          <w:lang w:eastAsia="zh-CN"/>
        </w:rPr>
        <w:t xml:space="preserve">from </w:t>
      </w:r>
      <w:r w:rsidRPr="00873B6C">
        <w:t>RAN</w:t>
      </w:r>
      <w:r w:rsidRPr="00873B6C">
        <w:rPr>
          <w:lang w:eastAsia="zh-CN"/>
        </w:rPr>
        <w:t xml:space="preserve"> point of view.</w:t>
      </w:r>
    </w:p>
    <w:p w14:paraId="230FAC75" w14:textId="03DC661C" w:rsidR="00D40151" w:rsidRPr="00873B6C" w:rsidRDefault="00D40151" w:rsidP="00D40151">
      <w:pPr>
        <w:rPr>
          <w:rFonts w:eastAsia="SimSun"/>
          <w:lang w:eastAsia="zh-CN"/>
        </w:rPr>
      </w:pPr>
      <w:r w:rsidRPr="00873B6C">
        <w:rPr>
          <w:rFonts w:eastAsia="Arial Unicode MS"/>
          <w:lang w:eastAsia="zh-CN"/>
        </w:rPr>
        <w:t xml:space="preserve">UE RAN reachability management is used by RAN for UEs in </w:t>
      </w:r>
      <w:r w:rsidR="00511811" w:rsidRPr="00873B6C">
        <w:rPr>
          <w:rFonts w:eastAsia="Arial Unicode MS"/>
          <w:lang w:eastAsia="zh-CN"/>
        </w:rPr>
        <w:t xml:space="preserve">RRC_INACTIVE </w:t>
      </w:r>
      <w:r w:rsidRPr="00873B6C">
        <w:rPr>
          <w:rFonts w:eastAsia="Arial Unicode MS"/>
          <w:lang w:eastAsia="zh-CN"/>
        </w:rPr>
        <w:t xml:space="preserve">state, see </w:t>
      </w:r>
      <w:r w:rsidR="00972E70" w:rsidRPr="00873B6C">
        <w:rPr>
          <w:rFonts w:eastAsia="Arial Unicode MS"/>
          <w:lang w:eastAsia="zh-CN"/>
        </w:rPr>
        <w:t>TS 38.300 [</w:t>
      </w:r>
      <w:r w:rsidRPr="00873B6C">
        <w:rPr>
          <w:rFonts w:eastAsia="Arial Unicode MS"/>
          <w:lang w:eastAsia="zh-CN"/>
        </w:rPr>
        <w:t xml:space="preserve">27]. </w:t>
      </w:r>
      <w:r w:rsidRPr="00873B6C">
        <w:rPr>
          <w:rFonts w:eastAsia="Arial Unicode MS"/>
        </w:rPr>
        <w:t xml:space="preserve">The location of a UE in </w:t>
      </w:r>
      <w:r w:rsidR="00511811" w:rsidRPr="00873B6C">
        <w:rPr>
          <w:rFonts w:eastAsia="Arial Unicode MS"/>
        </w:rPr>
        <w:t xml:space="preserve">RRC_INACTIVE </w:t>
      </w:r>
      <w:r w:rsidRPr="00873B6C">
        <w:rPr>
          <w:rFonts w:eastAsia="Arial Unicode MS"/>
        </w:rPr>
        <w:t xml:space="preserve">state is known by the RAN on a </w:t>
      </w:r>
      <w:r w:rsidRPr="00873B6C">
        <w:t xml:space="preserve">RAN </w:t>
      </w:r>
      <w:r w:rsidRPr="00873B6C">
        <w:rPr>
          <w:lang w:eastAsia="zh-CN"/>
        </w:rPr>
        <w:t>N</w:t>
      </w:r>
      <w:r w:rsidRPr="00873B6C">
        <w:t xml:space="preserve">otification area </w:t>
      </w:r>
      <w:r w:rsidRPr="00873B6C">
        <w:rPr>
          <w:rFonts w:eastAsia="Arial Unicode MS"/>
        </w:rPr>
        <w:t>granularity.</w:t>
      </w:r>
      <w:r w:rsidRPr="00873B6C">
        <w:t xml:space="preserve"> </w:t>
      </w:r>
      <w:r w:rsidRPr="00873B6C">
        <w:rPr>
          <w:rFonts w:eastAsia="Arial Unicode MS"/>
        </w:rPr>
        <w:t xml:space="preserve">A UE in </w:t>
      </w:r>
      <w:r w:rsidR="00511811" w:rsidRPr="00873B6C">
        <w:rPr>
          <w:rFonts w:eastAsia="Arial Unicode MS"/>
        </w:rPr>
        <w:t xml:space="preserve">RRC_INACTIVE </w:t>
      </w:r>
      <w:r w:rsidRPr="00873B6C">
        <w:rPr>
          <w:rFonts w:eastAsia="Arial Unicode MS"/>
        </w:rPr>
        <w:t xml:space="preserve">state is paged in cells of the </w:t>
      </w:r>
      <w:r w:rsidRPr="00873B6C">
        <w:t xml:space="preserve">RAN </w:t>
      </w:r>
      <w:r w:rsidRPr="00873B6C">
        <w:rPr>
          <w:lang w:eastAsia="zh-CN"/>
        </w:rPr>
        <w:t>N</w:t>
      </w:r>
      <w:r w:rsidRPr="00873B6C">
        <w:t xml:space="preserve">otification area </w:t>
      </w:r>
      <w:r w:rsidRPr="00873B6C">
        <w:rPr>
          <w:rFonts w:eastAsia="Arial Unicode MS"/>
        </w:rPr>
        <w:t xml:space="preserve">that is assigned to the UEs. The </w:t>
      </w:r>
      <w:r w:rsidRPr="00873B6C">
        <w:t xml:space="preserve">RAN </w:t>
      </w:r>
      <w:r w:rsidRPr="00873B6C">
        <w:rPr>
          <w:lang w:eastAsia="zh-CN"/>
        </w:rPr>
        <w:t>N</w:t>
      </w:r>
      <w:r w:rsidRPr="00873B6C">
        <w:t xml:space="preserve">otification area </w:t>
      </w:r>
      <w:r w:rsidRPr="00873B6C">
        <w:rPr>
          <w:rFonts w:eastAsia="Arial Unicode MS"/>
        </w:rPr>
        <w:t xml:space="preserve">can be a subset of cells configured in UE's Registration Area or all cells configured in the UE's Registration Area. UE in </w:t>
      </w:r>
      <w:r w:rsidR="00511811" w:rsidRPr="00873B6C">
        <w:rPr>
          <w:rFonts w:eastAsia="Arial Unicode MS"/>
        </w:rPr>
        <w:t xml:space="preserve">RRC_INACTIVE </w:t>
      </w:r>
      <w:r w:rsidRPr="00873B6C">
        <w:rPr>
          <w:rFonts w:eastAsia="Arial Unicode MS"/>
        </w:rPr>
        <w:t xml:space="preserve">state performs RAN Notification Area Update when entering a cell that is not part of the </w:t>
      </w:r>
      <w:r w:rsidRPr="00873B6C">
        <w:t xml:space="preserve">RAN </w:t>
      </w:r>
      <w:r w:rsidRPr="00873B6C">
        <w:rPr>
          <w:lang w:eastAsia="zh-CN"/>
        </w:rPr>
        <w:t>N</w:t>
      </w:r>
      <w:r w:rsidRPr="00873B6C">
        <w:t>otification area</w:t>
      </w:r>
      <w:r w:rsidRPr="00873B6C">
        <w:rPr>
          <w:rFonts w:eastAsia="Arial Unicode MS"/>
        </w:rPr>
        <w:t xml:space="preserve"> that is assigned to the UE.</w:t>
      </w:r>
    </w:p>
    <w:p w14:paraId="2B57C83E" w14:textId="5569B9AB" w:rsidR="00D40151" w:rsidRPr="00873B6C" w:rsidRDefault="00D40151" w:rsidP="00D40151">
      <w:pPr>
        <w:rPr>
          <w:rFonts w:eastAsia="Arial Unicode MS"/>
        </w:rPr>
      </w:pPr>
      <w:r w:rsidRPr="00873B6C">
        <w:rPr>
          <w:rFonts w:eastAsia="Arial Unicode MS"/>
        </w:rPr>
        <w:t xml:space="preserve">At transition into </w:t>
      </w:r>
      <w:r w:rsidR="00511811" w:rsidRPr="00873B6C">
        <w:rPr>
          <w:rFonts w:eastAsia="Arial Unicode MS"/>
        </w:rPr>
        <w:t xml:space="preserve">RRC_INACTIVE </w:t>
      </w:r>
      <w:r w:rsidRPr="00873B6C">
        <w:rPr>
          <w:rFonts w:eastAsia="Arial Unicode MS"/>
        </w:rPr>
        <w:t xml:space="preserve">state RAN configures the UE with a periodic </w:t>
      </w:r>
      <w:r w:rsidRPr="00873B6C">
        <w:t>RAN Notification Area Update</w:t>
      </w:r>
      <w:r w:rsidRPr="00873B6C">
        <w:rPr>
          <w:rFonts w:eastAsia="Arial Unicode MS"/>
        </w:rPr>
        <w:t xml:space="preserve"> timer value and the timer is restarted in the UE with this initial timer value. After the expiry of the periodic </w:t>
      </w:r>
      <w:r w:rsidRPr="00873B6C">
        <w:t>RAN Notification Area Update</w:t>
      </w:r>
      <w:r w:rsidRPr="00873B6C">
        <w:rPr>
          <w:rFonts w:eastAsia="Arial Unicode MS"/>
        </w:rPr>
        <w:t xml:space="preserve"> timer in the UE, the UE in </w:t>
      </w:r>
      <w:r w:rsidR="00511811" w:rsidRPr="00873B6C">
        <w:rPr>
          <w:rFonts w:eastAsia="Arial Unicode MS"/>
        </w:rPr>
        <w:t xml:space="preserve">RRC_INACTIVE </w:t>
      </w:r>
      <w:r w:rsidRPr="00873B6C">
        <w:rPr>
          <w:rFonts w:eastAsia="Arial Unicode MS"/>
        </w:rPr>
        <w:t xml:space="preserve">state performs periodic </w:t>
      </w:r>
      <w:r w:rsidRPr="00873B6C">
        <w:t>RAN Notification Area Update</w:t>
      </w:r>
      <w:r w:rsidRPr="00873B6C">
        <w:rPr>
          <w:rFonts w:eastAsia="Arial Unicode MS"/>
        </w:rPr>
        <w:t xml:space="preserve">, as specified in </w:t>
      </w:r>
      <w:r w:rsidR="00972E70" w:rsidRPr="00873B6C">
        <w:rPr>
          <w:rFonts w:eastAsia="Arial Unicode MS"/>
        </w:rPr>
        <w:t>TS 38.300 [</w:t>
      </w:r>
      <w:r w:rsidRPr="00873B6C">
        <w:rPr>
          <w:rFonts w:eastAsia="Arial Unicode MS"/>
        </w:rPr>
        <w:t>27].</w:t>
      </w:r>
    </w:p>
    <w:p w14:paraId="61A9ADCA" w14:textId="20F23616" w:rsidR="00D40151" w:rsidRPr="00873B6C" w:rsidRDefault="00D40151" w:rsidP="00D40151">
      <w:pPr>
        <w:rPr>
          <w:rFonts w:eastAsia="Arial Unicode MS"/>
        </w:rPr>
      </w:pPr>
      <w:r w:rsidRPr="00873B6C">
        <w:rPr>
          <w:rFonts w:eastAsia="Arial Unicode MS"/>
        </w:rPr>
        <w:t xml:space="preserve">To aid the UE reachability management in the AMF, </w:t>
      </w:r>
      <w:r w:rsidRPr="00873B6C">
        <w:rPr>
          <w:rFonts w:eastAsia="Arial Unicode MS"/>
          <w:lang w:eastAsia="zh-CN"/>
        </w:rPr>
        <w:t xml:space="preserve">RAN </w:t>
      </w:r>
      <w:r w:rsidRPr="00873B6C">
        <w:t>uses a guard timer with a value longer than the RAN Notification Area Update timer value provided to the UE</w:t>
      </w:r>
      <w:r w:rsidRPr="00873B6C">
        <w:rPr>
          <w:lang w:eastAsia="zh-CN"/>
        </w:rPr>
        <w:t>.</w:t>
      </w:r>
      <w:r w:rsidRPr="00873B6C">
        <w:rPr>
          <w:rFonts w:eastAsia="Arial Unicode MS"/>
        </w:rPr>
        <w:t xml:space="preserve"> Upon the expiry of the periodic </w:t>
      </w:r>
      <w:r w:rsidRPr="00873B6C">
        <w:t>RAN Notification Area Update</w:t>
      </w:r>
      <w:r w:rsidRPr="00873B6C" w:rsidDel="00C46712">
        <w:rPr>
          <w:rFonts w:eastAsia="Arial Unicode MS"/>
        </w:rPr>
        <w:t xml:space="preserve"> </w:t>
      </w:r>
      <w:r w:rsidRPr="00873B6C">
        <w:rPr>
          <w:rFonts w:eastAsia="Arial Unicode MS"/>
        </w:rPr>
        <w:t xml:space="preserve">guard timer in RAN, </w:t>
      </w:r>
      <w:r w:rsidRPr="00873B6C">
        <w:t xml:space="preserve">the RAN shall </w:t>
      </w:r>
      <w:r w:rsidRPr="00873B6C">
        <w:rPr>
          <w:lang w:eastAsia="zh-CN"/>
        </w:rPr>
        <w:t xml:space="preserve">initiate the AN Release procedure as specified in </w:t>
      </w:r>
      <w:r w:rsidR="00972E70" w:rsidRPr="00873B6C">
        <w:rPr>
          <w:lang w:eastAsia="zh-CN"/>
        </w:rPr>
        <w:t>TS 23.502 [</w:t>
      </w:r>
      <w:r w:rsidRPr="00873B6C">
        <w:rPr>
          <w:lang w:eastAsia="zh-CN"/>
        </w:rPr>
        <w:t>3].</w:t>
      </w:r>
      <w:r w:rsidRPr="00873B6C">
        <w:rPr>
          <w:rFonts w:eastAsia="Arial Unicode MS"/>
        </w:rPr>
        <w:t xml:space="preserve"> The RAN may provide the elapsed time since RAN's last contact with the UE to AMF.</w:t>
      </w:r>
    </w:p>
    <w:p w14:paraId="457D1239" w14:textId="77777777" w:rsidR="00D40151" w:rsidRPr="00873B6C" w:rsidRDefault="00D40151" w:rsidP="00D40151">
      <w:pPr>
        <w:pStyle w:val="Heading3"/>
      </w:pPr>
      <w:bookmarkStart w:id="1037" w:name="_CR5_4_3"/>
      <w:bookmarkStart w:id="1038" w:name="_Toc20149736"/>
      <w:bookmarkStart w:id="1039" w:name="_Toc27846527"/>
      <w:bookmarkStart w:id="1040" w:name="_Toc36187651"/>
      <w:bookmarkStart w:id="1041" w:name="_Toc45183555"/>
      <w:bookmarkStart w:id="1042" w:name="_Toc47342397"/>
      <w:bookmarkStart w:id="1043" w:name="_Toc51769095"/>
      <w:bookmarkStart w:id="1044" w:name="_Toc201157025"/>
      <w:bookmarkEnd w:id="1037"/>
      <w:r w:rsidRPr="00873B6C">
        <w:t>5.4.3</w:t>
      </w:r>
      <w:r w:rsidRPr="00873B6C">
        <w:tab/>
        <w:t>Paging strategy handling</w:t>
      </w:r>
      <w:bookmarkEnd w:id="1038"/>
      <w:bookmarkEnd w:id="1039"/>
      <w:bookmarkEnd w:id="1040"/>
      <w:bookmarkEnd w:id="1041"/>
      <w:bookmarkEnd w:id="1042"/>
      <w:bookmarkEnd w:id="1043"/>
      <w:bookmarkEnd w:id="1044"/>
    </w:p>
    <w:p w14:paraId="6A30E780" w14:textId="77777777" w:rsidR="00D40151" w:rsidRPr="00873B6C" w:rsidRDefault="00D40151" w:rsidP="00D40151">
      <w:pPr>
        <w:pStyle w:val="Heading4"/>
      </w:pPr>
      <w:bookmarkStart w:id="1045" w:name="_CR5_4_3_1"/>
      <w:bookmarkStart w:id="1046" w:name="_Toc20149737"/>
      <w:bookmarkStart w:id="1047" w:name="_Toc27846528"/>
      <w:bookmarkStart w:id="1048" w:name="_Toc36187652"/>
      <w:bookmarkStart w:id="1049" w:name="_Toc45183556"/>
      <w:bookmarkStart w:id="1050" w:name="_Toc47342398"/>
      <w:bookmarkStart w:id="1051" w:name="_Toc51769096"/>
      <w:bookmarkStart w:id="1052" w:name="_Toc201157026"/>
      <w:bookmarkEnd w:id="1045"/>
      <w:r w:rsidRPr="00873B6C">
        <w:t>5.4.3.1</w:t>
      </w:r>
      <w:r w:rsidRPr="00873B6C">
        <w:tab/>
        <w:t>General</w:t>
      </w:r>
      <w:bookmarkEnd w:id="1046"/>
      <w:bookmarkEnd w:id="1047"/>
      <w:bookmarkEnd w:id="1048"/>
      <w:bookmarkEnd w:id="1049"/>
      <w:bookmarkEnd w:id="1050"/>
      <w:bookmarkEnd w:id="1051"/>
      <w:bookmarkEnd w:id="1052"/>
    </w:p>
    <w:p w14:paraId="712E0EAF" w14:textId="77777777" w:rsidR="00D40151" w:rsidRPr="00873B6C" w:rsidRDefault="00D40151" w:rsidP="00D40151">
      <w:r w:rsidRPr="00873B6C">
        <w:t>Based on operator configuration, the 5GS supports the AMF and NG-RAN to apply different paging strategies for different types of traffic.</w:t>
      </w:r>
    </w:p>
    <w:p w14:paraId="0EF65314" w14:textId="439CF7CB" w:rsidR="00D40151" w:rsidRPr="00873B6C" w:rsidRDefault="00D40151" w:rsidP="00D40151">
      <w:r w:rsidRPr="00873B6C">
        <w:rPr>
          <w:rFonts w:eastAsia="SimSun"/>
          <w:lang w:eastAsia="zh-CN"/>
        </w:rPr>
        <w:t xml:space="preserve">In the case of UE in CM-IDLE state, </w:t>
      </w:r>
      <w:r w:rsidRPr="00873B6C">
        <w:t>the AMF</w:t>
      </w:r>
      <w:r w:rsidRPr="00873B6C">
        <w:rPr>
          <w:rFonts w:eastAsia="SimSun"/>
          <w:lang w:eastAsia="zh-CN"/>
        </w:rPr>
        <w:t xml:space="preserve"> performs paging and</w:t>
      </w:r>
      <w:r w:rsidRPr="00873B6C">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972E70" w:rsidRPr="00873B6C">
        <w:t>TS 23.288 [</w:t>
      </w:r>
      <w:r w:rsidRPr="00873B6C">
        <w:t>86]).</w:t>
      </w:r>
    </w:p>
    <w:p w14:paraId="1ADDD15A" w14:textId="3F36920B" w:rsidR="00D40151" w:rsidRPr="00873B6C" w:rsidRDefault="00D40151" w:rsidP="00D40151">
      <w:r w:rsidRPr="00873B6C">
        <w:rPr>
          <w:rFonts w:eastAsia="SimSun"/>
          <w:lang w:eastAsia="zh-CN"/>
        </w:rPr>
        <w:t xml:space="preserve">In the case of UE in CM-CONNECTED with </w:t>
      </w:r>
      <w:r w:rsidR="00511811" w:rsidRPr="00873B6C">
        <w:rPr>
          <w:rFonts w:eastAsia="SimSun"/>
          <w:lang w:eastAsia="zh-CN"/>
        </w:rPr>
        <w:t xml:space="preserve">RRC_INACTIVE </w:t>
      </w:r>
      <w:r w:rsidRPr="00873B6C">
        <w:rPr>
          <w:rFonts w:eastAsia="SimSun"/>
          <w:lang w:eastAsia="zh-CN"/>
        </w:rPr>
        <w:t>state, the NG-RAN performs paging and determines the paging strategy based on e.g. local configuration</w:t>
      </w:r>
      <w:r w:rsidR="00472CD7" w:rsidRPr="00873B6C">
        <w:rPr>
          <w:rFonts w:eastAsia="SimSun"/>
          <w:lang w:eastAsia="zh-CN"/>
        </w:rPr>
        <w:t xml:space="preserve"> and</w:t>
      </w:r>
      <w:r w:rsidRPr="00873B6C">
        <w:rPr>
          <w:rFonts w:eastAsia="SimSun"/>
          <w:lang w:eastAsia="zh-CN"/>
        </w:rPr>
        <w:t xml:space="preserve"> information received from AMF as described in clause 5.4.6.3 and SMF as described in clause 5.4.3.2.</w:t>
      </w:r>
    </w:p>
    <w:p w14:paraId="4AB52E2E" w14:textId="1C5C4703" w:rsidR="00D40151" w:rsidRPr="00873B6C" w:rsidRDefault="00D40151" w:rsidP="00D40151">
      <w:r w:rsidRPr="00873B6C">
        <w:t xml:space="preserve">In the case of Network Triggered Service Request from SMF, the SMF determines the 5QI and ARP based on the downlink </w:t>
      </w:r>
      <w:r w:rsidR="003A2901" w:rsidRPr="00873B6C">
        <w:t xml:space="preserve">packet (if the SMF performs buffering) </w:t>
      </w:r>
      <w:r w:rsidRPr="00873B6C">
        <w:t>or the</w:t>
      </w:r>
      <w:r w:rsidR="003A2901" w:rsidRPr="00873B6C">
        <w:t xml:space="preserve"> D</w:t>
      </w:r>
      <w:r w:rsidRPr="00873B6C">
        <w:t xml:space="preserve">ownlink </w:t>
      </w:r>
      <w:r w:rsidR="003A2901" w:rsidRPr="00873B6C">
        <w:t>D</w:t>
      </w:r>
      <w:r w:rsidRPr="00873B6C">
        <w:t xml:space="preserve">ata </w:t>
      </w:r>
      <w:r w:rsidR="003A2901" w:rsidRPr="00873B6C">
        <w:t xml:space="preserve">Report </w:t>
      </w:r>
      <w:r w:rsidRPr="00873B6C">
        <w:t>received from UPF</w:t>
      </w:r>
      <w:r w:rsidR="003A2901" w:rsidRPr="00873B6C">
        <w:t xml:space="preserve"> (if the UPF performs buffering)</w:t>
      </w:r>
      <w:r w:rsidRPr="00873B6C">
        <w:t>. The SMF includes the 5QI and ARP corresponding to the</w:t>
      </w:r>
      <w:r w:rsidR="003A2901" w:rsidRPr="00873B6C">
        <w:t xml:space="preserve"> QoS Flow of the</w:t>
      </w:r>
      <w:r w:rsidRPr="00873B6C">
        <w:t xml:space="preserve"> received downlink PDU in the request sent to the AMF. If the UE is in CM IDLE, the AMF uses e.g. the 5QI and ARP to derive different paging strategies as described in </w:t>
      </w:r>
      <w:r w:rsidR="00960CDA" w:rsidRPr="00873B6C">
        <w:t xml:space="preserve">clause 4.2.3.3 of </w:t>
      </w:r>
      <w:r w:rsidR="00972E70" w:rsidRPr="00873B6C">
        <w:t>TS 23.502 [</w:t>
      </w:r>
      <w:r w:rsidRPr="00873B6C">
        <w:t>3].</w:t>
      </w:r>
    </w:p>
    <w:p w14:paraId="23B9754D" w14:textId="77777777" w:rsidR="00D40151" w:rsidRPr="00873B6C" w:rsidRDefault="00D40151" w:rsidP="00D40151">
      <w:pPr>
        <w:pStyle w:val="NO"/>
      </w:pPr>
      <w:r w:rsidRPr="00873B6C">
        <w:t>NOTE:</w:t>
      </w:r>
      <w:r w:rsidRPr="00873B6C">
        <w:tab/>
        <w:t>The 5QI is used by AMF to determine suitable paging strategies.</w:t>
      </w:r>
    </w:p>
    <w:p w14:paraId="1CD5D59B" w14:textId="77777777" w:rsidR="00D40151" w:rsidRPr="00873B6C" w:rsidRDefault="00D40151" w:rsidP="00D40151">
      <w:pPr>
        <w:pStyle w:val="Heading4"/>
      </w:pPr>
      <w:bookmarkStart w:id="1053" w:name="_CR5_4_3_2"/>
      <w:bookmarkStart w:id="1054" w:name="_Toc20149738"/>
      <w:bookmarkStart w:id="1055" w:name="_Toc27846529"/>
      <w:bookmarkStart w:id="1056" w:name="_Toc36187653"/>
      <w:bookmarkStart w:id="1057" w:name="_Toc45183557"/>
      <w:bookmarkStart w:id="1058" w:name="_Toc47342399"/>
      <w:bookmarkStart w:id="1059" w:name="_Toc51769097"/>
      <w:bookmarkStart w:id="1060" w:name="_Toc201157027"/>
      <w:bookmarkEnd w:id="1053"/>
      <w:r w:rsidRPr="00873B6C">
        <w:t>5.4.3.2</w:t>
      </w:r>
      <w:r w:rsidRPr="00873B6C">
        <w:tab/>
        <w:t>Paging Policy Differentiation</w:t>
      </w:r>
      <w:bookmarkEnd w:id="1054"/>
      <w:bookmarkEnd w:id="1055"/>
      <w:bookmarkEnd w:id="1056"/>
      <w:bookmarkEnd w:id="1057"/>
      <w:bookmarkEnd w:id="1058"/>
      <w:bookmarkEnd w:id="1059"/>
      <w:bookmarkEnd w:id="1060"/>
    </w:p>
    <w:p w14:paraId="52704B7D" w14:textId="77777777" w:rsidR="00D40151" w:rsidRPr="00873B6C" w:rsidRDefault="00D40151" w:rsidP="00D40151">
      <w:r w:rsidRPr="00873B6C">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45EC9C82" w:rsidR="00D40151" w:rsidRPr="00873B6C" w:rsidRDefault="00D40151" w:rsidP="00D40151">
      <w:r w:rsidRPr="00873B6C">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972E70" w:rsidRPr="00873B6C">
        <w:t>TS 23.228 [</w:t>
      </w:r>
      <w:r w:rsidRPr="00873B6C">
        <w:t>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873B6C" w:rsidRDefault="001F3682" w:rsidP="00323277">
      <w:pPr>
        <w:pStyle w:val="NO"/>
      </w:pPr>
      <w:r w:rsidRPr="00873B6C">
        <w:t>NOTE 1:</w:t>
      </w:r>
      <w:r w:rsidRPr="00873B6C">
        <w:tab/>
        <w:t xml:space="preserve">This PPD feature may be used to determine the </w:t>
      </w:r>
      <w:r w:rsidR="008546A1" w:rsidRPr="00873B6C">
        <w:t>P</w:t>
      </w:r>
      <w:r w:rsidRPr="00873B6C">
        <w:t xml:space="preserve">aging </w:t>
      </w:r>
      <w:r w:rsidR="008546A1" w:rsidRPr="00873B6C">
        <w:t>C</w:t>
      </w:r>
      <w:r w:rsidRPr="00873B6C">
        <w:t>ause</w:t>
      </w:r>
      <w:r w:rsidR="008546A1" w:rsidRPr="00873B6C">
        <w:t xml:space="preserve"> Indication for Voice Service</w:t>
      </w:r>
      <w:r w:rsidRPr="00873B6C">
        <w:t>, as described in clause </w:t>
      </w:r>
      <w:r w:rsidR="008546A1" w:rsidRPr="00873B6C">
        <w:t>5.38.3</w:t>
      </w:r>
      <w:r w:rsidRPr="00873B6C">
        <w:t>.</w:t>
      </w:r>
    </w:p>
    <w:p w14:paraId="3B099A80" w14:textId="7108B304" w:rsidR="00D40151" w:rsidRPr="00873B6C" w:rsidRDefault="00D40151" w:rsidP="00D40151">
      <w:r w:rsidRPr="00873B6C">
        <w:lastRenderedPageBreak/>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873B6C" w:rsidRDefault="00D40151" w:rsidP="00D40151">
      <w:pPr>
        <w:pStyle w:val="NO"/>
      </w:pPr>
      <w:r w:rsidRPr="00873B6C">
        <w:t>NOTE </w:t>
      </w:r>
      <w:r w:rsidR="001F3682" w:rsidRPr="00873B6C">
        <w:t>2</w:t>
      </w:r>
      <w:r w:rsidRPr="00873B6C">
        <w:t>:</w:t>
      </w:r>
      <w:r w:rsidRPr="00873B6C">
        <w:tab/>
        <w:t>Support of Paging Policy Differentiation in the case of HR roaming requires inter operator agreements including on the DSCP value associated with this feature.</w:t>
      </w:r>
    </w:p>
    <w:p w14:paraId="0FB27B90" w14:textId="31E54368" w:rsidR="00D40151" w:rsidRPr="00873B6C" w:rsidRDefault="00D40151" w:rsidP="00D40151">
      <w:r w:rsidRPr="00873B6C">
        <w:t>In the case of Network Triggered Service Request and UPF buffering downlink packet</w:t>
      </w:r>
      <w:r w:rsidR="003A2901" w:rsidRPr="00873B6C">
        <w:t>s</w:t>
      </w:r>
      <w:r w:rsidRPr="00873B6C">
        <w:t xml:space="preserve">, the UPF shall include the DSCP in TOS (IPv4) / TC (IPv6) value from the IP header of the downlink packet and an indication of the corresponding QoS Flow in the </w:t>
      </w:r>
      <w:r w:rsidR="003A2901" w:rsidRPr="00873B6C">
        <w:t>Downlink D</w:t>
      </w:r>
      <w:r w:rsidRPr="00873B6C">
        <w:t xml:space="preserve">ata </w:t>
      </w:r>
      <w:r w:rsidR="003A2901" w:rsidRPr="00873B6C">
        <w:t xml:space="preserve">Report </w:t>
      </w:r>
      <w:r w:rsidRPr="00873B6C">
        <w:t>sent to the SMF. When PPD applies, the SMF determines the Paging Policy Indicator (PPI) based on the DSCP received from the UPF.</w:t>
      </w:r>
    </w:p>
    <w:p w14:paraId="4D3B0147" w14:textId="083CA763" w:rsidR="00D40151" w:rsidRPr="00873B6C" w:rsidRDefault="00D40151" w:rsidP="00D40151">
      <w:r w:rsidRPr="00873B6C">
        <w:t>In the case of Network Triggered Service Request</w:t>
      </w:r>
      <w:r w:rsidRPr="00873B6C">
        <w:rPr>
          <w:lang w:eastAsia="zh-CN"/>
        </w:rPr>
        <w:t xml:space="preserve"> and </w:t>
      </w:r>
      <w:r w:rsidRPr="00873B6C">
        <w:t>SMF buffering downlink packet</w:t>
      </w:r>
      <w:r w:rsidR="003A2901" w:rsidRPr="00873B6C">
        <w:t>s</w:t>
      </w:r>
      <w:r w:rsidRPr="00873B6C">
        <w:t>, when PPD applies, the SMF determines the PPI based on the DSCP in TOS (IPv4) / TC (IPv6) value from the IP header of the received downlink packet and identifies the corresponding QoS Flow from the QFI of the received downlink packet.</w:t>
      </w:r>
    </w:p>
    <w:p w14:paraId="6BACE2F2" w14:textId="718B95CA" w:rsidR="00D40151" w:rsidRPr="00873B6C" w:rsidRDefault="00D40151" w:rsidP="00D40151">
      <w:r w:rsidRPr="00873B6C">
        <w:t>The SMF includes the PPI, the ARP and the 5QI of the corresponding QoS Flow in the N11 message sent to the AMF. If the UE is in CM IDLE, the AMF uses this information to derive a paging strategy</w:t>
      </w:r>
      <w:r w:rsidR="00472CD7" w:rsidRPr="00873B6C">
        <w:t xml:space="preserve"> and</w:t>
      </w:r>
      <w:r w:rsidRPr="00873B6C">
        <w:t xml:space="preserve"> sends paging messages to NG-RAN over N2.</w:t>
      </w:r>
    </w:p>
    <w:p w14:paraId="628B5C2B" w14:textId="19EE3857" w:rsidR="00D40151" w:rsidRPr="00873B6C" w:rsidRDefault="00D40151" w:rsidP="00D40151">
      <w:pPr>
        <w:pStyle w:val="NO"/>
        <w:rPr>
          <w:lang w:eastAsia="ja-JP"/>
        </w:rPr>
      </w:pPr>
      <w:r w:rsidRPr="00873B6C">
        <w:rPr>
          <w:lang w:eastAsia="ja-JP"/>
        </w:rPr>
        <w:t>NOTE </w:t>
      </w:r>
      <w:r w:rsidR="001F3682" w:rsidRPr="00873B6C">
        <w:rPr>
          <w:lang w:eastAsia="ja-JP"/>
        </w:rPr>
        <w:t>3</w:t>
      </w:r>
      <w:r w:rsidRPr="00873B6C">
        <w:rPr>
          <w:lang w:eastAsia="ja-JP"/>
        </w:rPr>
        <w:t>:</w:t>
      </w:r>
      <w:r w:rsidRPr="00873B6C">
        <w:rPr>
          <w:lang w:eastAsia="ja-JP"/>
        </w:rPr>
        <w:tab/>
        <w:t>Network configuration needs to ensure that the information used as a trigger for Paging Policy Indication is not changed within the 5GS.</w:t>
      </w:r>
    </w:p>
    <w:p w14:paraId="175BBA03" w14:textId="62F41DFF" w:rsidR="00D40151" w:rsidRPr="00873B6C" w:rsidRDefault="00D40151" w:rsidP="00D40151">
      <w:pPr>
        <w:pStyle w:val="NO"/>
        <w:rPr>
          <w:lang w:eastAsia="ja-JP"/>
        </w:rPr>
      </w:pPr>
      <w:r w:rsidRPr="00873B6C">
        <w:rPr>
          <w:lang w:eastAsia="ja-JP"/>
        </w:rPr>
        <w:t>NOTE </w:t>
      </w:r>
      <w:r w:rsidR="001F3682" w:rsidRPr="00873B6C">
        <w:rPr>
          <w:lang w:eastAsia="ja-JP"/>
        </w:rPr>
        <w:t>4</w:t>
      </w:r>
      <w:r w:rsidRPr="00873B6C">
        <w:rPr>
          <w:lang w:eastAsia="ja-JP"/>
        </w:rPr>
        <w:t>:</w:t>
      </w:r>
      <w:r w:rsidRPr="00873B6C">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54E2DC7A" w:rsidR="00D40151" w:rsidRPr="00873B6C" w:rsidRDefault="00D40151" w:rsidP="00D40151">
      <w:r w:rsidRPr="00873B6C">
        <w:t xml:space="preserve">For a UE in </w:t>
      </w:r>
      <w:r w:rsidR="00511811" w:rsidRPr="00873B6C">
        <w:t xml:space="preserve">RRC_INACTIVE </w:t>
      </w:r>
      <w:r w:rsidRPr="00873B6C">
        <w:t xml:space="preserve">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w:t>
      </w:r>
      <w:r w:rsidR="00511811" w:rsidRPr="00873B6C">
        <w:t xml:space="preserve">RRC_INACTIVE </w:t>
      </w:r>
      <w:r w:rsidRPr="00873B6C">
        <w:t>state. In the case of Home-Routed roaming, the V-SMF is responsible of controlling UPF setting of the PPI. In the case of PDU Session with I-SMF, the I-SMF is responsible of controlling UPF setting of the PPI.</w:t>
      </w:r>
    </w:p>
    <w:p w14:paraId="37ADC6CE" w14:textId="77777777" w:rsidR="00D40151" w:rsidRPr="00873B6C" w:rsidRDefault="00D40151" w:rsidP="00D40151">
      <w:pPr>
        <w:pStyle w:val="Heading4"/>
      </w:pPr>
      <w:bookmarkStart w:id="1061" w:name="_CR5_4_3_3"/>
      <w:bookmarkStart w:id="1062" w:name="_Toc20149739"/>
      <w:bookmarkStart w:id="1063" w:name="_Toc27846530"/>
      <w:bookmarkStart w:id="1064" w:name="_Toc36187654"/>
      <w:bookmarkStart w:id="1065" w:name="_Toc45183558"/>
      <w:bookmarkStart w:id="1066" w:name="_Toc47342400"/>
      <w:bookmarkStart w:id="1067" w:name="_Toc51769098"/>
      <w:bookmarkStart w:id="1068" w:name="_Toc201157028"/>
      <w:bookmarkEnd w:id="1061"/>
      <w:r w:rsidRPr="00873B6C">
        <w:t>5.4.3.3</w:t>
      </w:r>
      <w:r w:rsidRPr="00873B6C">
        <w:tab/>
        <w:t>Paging Priority</w:t>
      </w:r>
      <w:bookmarkEnd w:id="1062"/>
      <w:bookmarkEnd w:id="1063"/>
      <w:bookmarkEnd w:id="1064"/>
      <w:bookmarkEnd w:id="1065"/>
      <w:bookmarkEnd w:id="1066"/>
      <w:bookmarkEnd w:id="1067"/>
      <w:bookmarkEnd w:id="1068"/>
    </w:p>
    <w:p w14:paraId="20B0A7CD" w14:textId="12288C18" w:rsidR="00D40151" w:rsidRPr="00873B6C" w:rsidRDefault="00D40151" w:rsidP="00D40151">
      <w:r w:rsidRPr="00873B6C">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873B6C">
        <w:t>.</w:t>
      </w:r>
      <w:r w:rsidRPr="00873B6C">
        <w:t xml:space="preserve"> MPS, MCS), the AMF includes Paging Priority in the Paging Message. When the NG-RAN receives a Paging Message with Paging Priority, it handles the page with priority.</w:t>
      </w:r>
    </w:p>
    <w:p w14:paraId="34222A95" w14:textId="01E9C749" w:rsidR="00D40151" w:rsidRPr="00873B6C" w:rsidRDefault="00D40151" w:rsidP="00D40151">
      <w:r w:rsidRPr="00873B6C">
        <w:t>The AMF while waiting for the UE to respond to a page sent without priority receives another message from the SMF with an ARP associated with select priority services (e.g</w:t>
      </w:r>
      <w:r w:rsidR="000E35F2" w:rsidRPr="00873B6C">
        <w:t>.</w:t>
      </w:r>
      <w:r w:rsidRPr="00873B6C">
        <w:t xml:space="preserve"> MPS, MCS), the AMF sends another Paging message to the (R)AN including the Paging Priority. For subsequent messages, the AMF may determine whether to send the Paging message with higher Paging Priority based on local policy.</w:t>
      </w:r>
    </w:p>
    <w:p w14:paraId="1DC85811" w14:textId="41EF3A0E" w:rsidR="00D40151" w:rsidRPr="00873B6C" w:rsidRDefault="00D40151" w:rsidP="00D40151">
      <w:r w:rsidRPr="00873B6C">
        <w:t xml:space="preserve">For a UE in </w:t>
      </w:r>
      <w:r w:rsidR="00511811" w:rsidRPr="00873B6C">
        <w:t xml:space="preserve">RRC_INACTIVE </w:t>
      </w:r>
      <w:r w:rsidRPr="00873B6C">
        <w:t>state, the NG-RAN determines Paging Priority based on the ARP associated with the QoS Flow as provisioned by the operator policy</w:t>
      </w:r>
      <w:r w:rsidR="00472CD7" w:rsidRPr="00873B6C">
        <w:t xml:space="preserve"> and</w:t>
      </w:r>
      <w:r w:rsidRPr="00873B6C">
        <w:t xml:space="preserve"> the Core Network Assisted RAN paging information from AMF as described in clause 5.4.6.3.</w:t>
      </w:r>
    </w:p>
    <w:p w14:paraId="29E75806" w14:textId="77777777" w:rsidR="00D40151" w:rsidRPr="00873B6C" w:rsidRDefault="00D40151" w:rsidP="00D40151">
      <w:pPr>
        <w:pStyle w:val="Heading3"/>
      </w:pPr>
      <w:bookmarkStart w:id="1069" w:name="_CR5_4_4"/>
      <w:bookmarkStart w:id="1070" w:name="_Toc20149740"/>
      <w:bookmarkStart w:id="1071" w:name="_Toc27846531"/>
      <w:bookmarkStart w:id="1072" w:name="_Toc36187655"/>
      <w:bookmarkStart w:id="1073" w:name="_Toc45183559"/>
      <w:bookmarkStart w:id="1074" w:name="_Toc47342401"/>
      <w:bookmarkStart w:id="1075" w:name="_Toc51769099"/>
      <w:bookmarkStart w:id="1076" w:name="_Toc201157029"/>
      <w:bookmarkEnd w:id="1069"/>
      <w:r w:rsidRPr="00873B6C">
        <w:t>5.4.4</w:t>
      </w:r>
      <w:r w:rsidRPr="00873B6C">
        <w:tab/>
        <w:t>UE Radio Capability handling</w:t>
      </w:r>
      <w:bookmarkEnd w:id="1070"/>
      <w:bookmarkEnd w:id="1071"/>
      <w:bookmarkEnd w:id="1072"/>
      <w:bookmarkEnd w:id="1073"/>
      <w:bookmarkEnd w:id="1074"/>
      <w:bookmarkEnd w:id="1075"/>
      <w:bookmarkEnd w:id="1076"/>
    </w:p>
    <w:p w14:paraId="2B289B79" w14:textId="77777777" w:rsidR="00D40151" w:rsidRPr="00873B6C" w:rsidRDefault="00D40151" w:rsidP="00D40151">
      <w:pPr>
        <w:pStyle w:val="Heading4"/>
      </w:pPr>
      <w:bookmarkStart w:id="1077" w:name="_CR5_4_4_1"/>
      <w:bookmarkStart w:id="1078" w:name="_Toc20149741"/>
      <w:bookmarkStart w:id="1079" w:name="_Toc27846532"/>
      <w:bookmarkStart w:id="1080" w:name="_Toc36187656"/>
      <w:bookmarkStart w:id="1081" w:name="_Toc45183560"/>
      <w:bookmarkStart w:id="1082" w:name="_Toc47342402"/>
      <w:bookmarkStart w:id="1083" w:name="_Toc51769100"/>
      <w:bookmarkStart w:id="1084" w:name="_Toc201157030"/>
      <w:bookmarkEnd w:id="1077"/>
      <w:r w:rsidRPr="00873B6C">
        <w:t>5.4.4.1</w:t>
      </w:r>
      <w:r w:rsidRPr="00873B6C">
        <w:tab/>
        <w:t>UE radio capability information storage in the AMF</w:t>
      </w:r>
      <w:bookmarkEnd w:id="1078"/>
      <w:bookmarkEnd w:id="1079"/>
      <w:bookmarkEnd w:id="1080"/>
      <w:bookmarkEnd w:id="1081"/>
      <w:bookmarkEnd w:id="1082"/>
      <w:bookmarkEnd w:id="1083"/>
      <w:bookmarkEnd w:id="1084"/>
    </w:p>
    <w:p w14:paraId="4FE13AC3" w14:textId="77777777" w:rsidR="00D40151" w:rsidRPr="00873B6C" w:rsidRDefault="00D40151" w:rsidP="00D40151">
      <w:r w:rsidRPr="00873B6C">
        <w:t>This clause applies when no radio capability signalling optimisation is used between a UE and the network.</w:t>
      </w:r>
    </w:p>
    <w:p w14:paraId="0E982176" w14:textId="2DC0A62A" w:rsidR="00D40151" w:rsidRPr="00873B6C" w:rsidRDefault="00D40151" w:rsidP="00D40151">
      <w:r w:rsidRPr="00873B6C">
        <w:t>The UE Radio Capability information</w:t>
      </w:r>
      <w:r w:rsidR="008A60FE" w:rsidRPr="00873B6C">
        <w:t xml:space="preserve"> is defined in </w:t>
      </w:r>
      <w:r w:rsidR="00972E70" w:rsidRPr="00873B6C">
        <w:t>TS 38.300 [</w:t>
      </w:r>
      <w:r w:rsidR="008A60FE" w:rsidRPr="00873B6C">
        <w:t>27] and</w:t>
      </w:r>
      <w:r w:rsidRPr="00873B6C">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873B6C">
        <w:noBreakHyphen/>
        <w:t>IDLE to CM</w:t>
      </w:r>
      <w:r w:rsidRPr="00873B6C">
        <w:noBreakHyphen/>
        <w:t>CONNECTED. To avoid this radio overhead, the AMF shall store the UE</w:t>
      </w:r>
      <w:r w:rsidR="008A60FE" w:rsidRPr="00873B6C">
        <w:t xml:space="preserve"> Radio</w:t>
      </w:r>
      <w:r w:rsidRPr="00873B6C">
        <w:t xml:space="preserve"> Capability information during </w:t>
      </w:r>
      <w:r w:rsidRPr="00873B6C">
        <w:lastRenderedPageBreak/>
        <w:t>CM</w:t>
      </w:r>
      <w:r w:rsidRPr="00873B6C">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2ABD1B65" w:rsidR="008A60FE" w:rsidRPr="00873B6C" w:rsidRDefault="008A60FE" w:rsidP="00323277">
      <w:pPr>
        <w:pStyle w:val="NO"/>
      </w:pPr>
      <w:r w:rsidRPr="00873B6C">
        <w:t>NOTE 1:</w:t>
      </w:r>
      <w:r w:rsidRPr="00873B6C">
        <w:tab/>
        <w:t xml:space="preserve">Due to issues with the handling of dynamic UMTS security parameters, the UTRA UE Radio Capability information is excluded from the information that is uploaded and stored in the AMF (see </w:t>
      </w:r>
      <w:r w:rsidR="00972E70" w:rsidRPr="00873B6C">
        <w:t>TS 38.300 [</w:t>
      </w:r>
      <w:r w:rsidRPr="00873B6C">
        <w:t>27]).</w:t>
      </w:r>
    </w:p>
    <w:p w14:paraId="7D485E71" w14:textId="52E03EDD" w:rsidR="00D40151" w:rsidRPr="00873B6C" w:rsidRDefault="00D40151" w:rsidP="00D40151">
      <w:r w:rsidRPr="00873B6C">
        <w:t>The AMF deletes the UE radio capability when the UE RM state in the AMF transitions to RM-DEREGISTERED.</w:t>
      </w:r>
      <w:r w:rsidR="00C84B6D" w:rsidRPr="00873B6C">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873B6C" w:rsidRDefault="00D40151" w:rsidP="00D40151">
      <w:r w:rsidRPr="00873B6C">
        <w:t>The UE Radio Capability is maintained in the core network, even during AMF reselection.</w:t>
      </w:r>
    </w:p>
    <w:p w14:paraId="51666A6E" w14:textId="09139731" w:rsidR="00D40151" w:rsidRPr="00873B6C" w:rsidRDefault="00D40151" w:rsidP="00D40151">
      <w:pPr>
        <w:pStyle w:val="NO"/>
      </w:pPr>
      <w:r w:rsidRPr="00873B6C">
        <w:t>NOTE</w:t>
      </w:r>
      <w:r w:rsidR="008A60FE" w:rsidRPr="00873B6C">
        <w:t> 2</w:t>
      </w:r>
      <w:r w:rsidRPr="00873B6C">
        <w:t>:</w:t>
      </w:r>
      <w:r w:rsidRPr="00873B6C">
        <w:tab/>
        <w:t>The UE Radio Capability is not transferred to EPC during the inter-system mobility.</w:t>
      </w:r>
    </w:p>
    <w:p w14:paraId="610DD5A0" w14:textId="0189B8BC" w:rsidR="00D40151" w:rsidRPr="00873B6C" w:rsidRDefault="00D40151" w:rsidP="00D40151">
      <w:r w:rsidRPr="00873B6C">
        <w:t>If the UE's NG-RAN</w:t>
      </w:r>
      <w:r w:rsidR="008A60FE" w:rsidRPr="00873B6C">
        <w:t xml:space="preserve"> or E</w:t>
      </w:r>
      <w:r w:rsidR="008A60FE" w:rsidRPr="00873B6C">
        <w:noBreakHyphen/>
        <w:t>UTRAN</w:t>
      </w:r>
      <w:r w:rsidRPr="00873B6C">
        <w:t xml:space="preserve"> UE Radio Capability information changes while in CM-IDLE state, the UE shall perform the Registration procedure with the Registration type set to Mobility Registration Update and it also includes "UE Radio Capability Update".</w:t>
      </w:r>
      <w:r w:rsidR="008A60FE" w:rsidRPr="00873B6C">
        <w:t xml:space="preserve"> (For specific requirements for a UE operating in dual-registration mode see clause 5.17.2.1).</w:t>
      </w:r>
      <w:r w:rsidRPr="00873B6C">
        <w:t xml:space="preserve"> When the AMF receives </w:t>
      </w:r>
      <w:r w:rsidRPr="00873B6C">
        <w:rPr>
          <w:lang w:eastAsia="zh-CN"/>
        </w:rPr>
        <w:t>Mobility</w:t>
      </w:r>
      <w:r w:rsidRPr="00873B6C">
        <w:t xml:space="preserve"> Registration Update Request with "UE Radio Capability Update" requested by the UE, it shall delete any UE Radio Capability information that it has stored for the UE.</w:t>
      </w:r>
      <w:r w:rsidR="008A60FE" w:rsidRPr="00873B6C">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972E70" w:rsidRPr="00873B6C">
        <w:t>TS 36.331 [</w:t>
      </w:r>
      <w:r w:rsidR="008A60FE" w:rsidRPr="00873B6C">
        <w:t>51].</w:t>
      </w:r>
    </w:p>
    <w:p w14:paraId="6AC948E5" w14:textId="497CE3E0" w:rsidR="00D40151" w:rsidRPr="00873B6C" w:rsidRDefault="00D40151" w:rsidP="00D40151">
      <w:r w:rsidRPr="00873B6C">
        <w:t>If the trigger to change the UE's NG-RAN</w:t>
      </w:r>
      <w:r w:rsidR="008A60FE" w:rsidRPr="00873B6C">
        <w:t xml:space="preserve"> or E</w:t>
      </w:r>
      <w:r w:rsidR="008A60FE" w:rsidRPr="00873B6C">
        <w:noBreakHyphen/>
        <w:t>UTRAN</w:t>
      </w:r>
      <w:r w:rsidRPr="00873B6C">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1320CBF0" w:rsidR="00D40151" w:rsidRPr="00873B6C" w:rsidRDefault="00D40151" w:rsidP="00D40151">
      <w:r w:rsidRPr="00873B6C">
        <w:t xml:space="preserve">The RAN stores the UE Radio Capability information, received in the N2 message or obtained from the UE, for the duration of the UE staying in </w:t>
      </w:r>
      <w:r w:rsidR="00511811" w:rsidRPr="00873B6C">
        <w:t xml:space="preserve">RRC_CONNECTED </w:t>
      </w:r>
      <w:r w:rsidRPr="00873B6C">
        <w:t xml:space="preserve">or </w:t>
      </w:r>
      <w:r w:rsidR="00511811" w:rsidRPr="00873B6C">
        <w:t xml:space="preserve">RRC_INACTIVE </w:t>
      </w:r>
      <w:r w:rsidRPr="00873B6C">
        <w:t>state.</w:t>
      </w:r>
      <w:r w:rsidR="008A60FE" w:rsidRPr="00873B6C">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873B6C" w:rsidRDefault="00D40151" w:rsidP="00D40151">
      <w:r w:rsidRPr="00873B6C">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873B6C" w:rsidRDefault="00D40151" w:rsidP="00D40151">
      <w:r w:rsidRPr="00873B6C">
        <w:t>If a UE supports both NB-IoT and other RATs the UE handles the UE Radio capability information as follows:</w:t>
      </w:r>
    </w:p>
    <w:p w14:paraId="6867B580" w14:textId="77777777" w:rsidR="00D40151" w:rsidRPr="00873B6C" w:rsidRDefault="00D40151" w:rsidP="00D40151">
      <w:pPr>
        <w:pStyle w:val="B1"/>
      </w:pPr>
      <w:r w:rsidRPr="00873B6C">
        <w:t>-</w:t>
      </w:r>
      <w:r w:rsidRPr="00873B6C">
        <w:tab/>
        <w:t>When the UE is camping on NB-IoT the UE provides only NB-IoT UE radio capabilities to the network.</w:t>
      </w:r>
    </w:p>
    <w:p w14:paraId="6DAAE6C9" w14:textId="77777777" w:rsidR="00D40151" w:rsidRPr="00873B6C" w:rsidRDefault="00D40151" w:rsidP="00D40151">
      <w:pPr>
        <w:pStyle w:val="B1"/>
      </w:pPr>
      <w:r w:rsidRPr="00873B6C">
        <w:t>-</w:t>
      </w:r>
      <w:r w:rsidRPr="00873B6C">
        <w:tab/>
        <w:t>When the UE is not camping on NB-IoT, the UE provides UE radio capabilities for the RAT but not NB-IoT UE radio capabilities to the network.</w:t>
      </w:r>
    </w:p>
    <w:p w14:paraId="50648D74" w14:textId="77777777" w:rsidR="00D40151" w:rsidRPr="00873B6C" w:rsidRDefault="00D40151" w:rsidP="00D40151">
      <w:r w:rsidRPr="00873B6C">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873B6C" w:rsidRDefault="00D40151" w:rsidP="00D40151">
      <w:r w:rsidRPr="00873B6C">
        <w:t>When the UE is camping on NB-IoT, the AMF sends, if available, the NB-IoT RAT specific UE Radio Capability information to the E-UTRAN.</w:t>
      </w:r>
    </w:p>
    <w:p w14:paraId="7EAE21DB" w14:textId="77777777" w:rsidR="00D40151" w:rsidRPr="00873B6C" w:rsidRDefault="00D40151" w:rsidP="00D40151">
      <w:r w:rsidRPr="00873B6C">
        <w:t>When the UE is not camping on NB-IoT, the AMF sends, if available, UE radio capabilities for the RAT but not NB-IoT radio capabilities.</w:t>
      </w:r>
    </w:p>
    <w:p w14:paraId="7955B9A1" w14:textId="77777777" w:rsidR="00D40151" w:rsidRPr="00873B6C" w:rsidRDefault="00D40151" w:rsidP="00D40151">
      <w:pPr>
        <w:pStyle w:val="Heading4"/>
      </w:pPr>
      <w:bookmarkStart w:id="1085" w:name="_CR5_4_4_1a"/>
      <w:bookmarkStart w:id="1086" w:name="_Toc20149742"/>
      <w:bookmarkStart w:id="1087" w:name="_Toc27846533"/>
      <w:bookmarkStart w:id="1088" w:name="_Toc36187657"/>
      <w:bookmarkStart w:id="1089" w:name="_Toc45183561"/>
      <w:bookmarkStart w:id="1090" w:name="_Toc47342403"/>
      <w:bookmarkStart w:id="1091" w:name="_Toc51769101"/>
      <w:bookmarkStart w:id="1092" w:name="_Toc201157031"/>
      <w:bookmarkEnd w:id="1085"/>
      <w:r w:rsidRPr="00873B6C">
        <w:t>5.4.4.1a</w:t>
      </w:r>
      <w:r w:rsidRPr="00873B6C">
        <w:tab/>
        <w:t>UE radio capability signalling optimisation (RACS)</w:t>
      </w:r>
      <w:bookmarkEnd w:id="1086"/>
      <w:bookmarkEnd w:id="1087"/>
      <w:bookmarkEnd w:id="1088"/>
      <w:bookmarkEnd w:id="1089"/>
      <w:bookmarkEnd w:id="1090"/>
      <w:bookmarkEnd w:id="1091"/>
      <w:bookmarkEnd w:id="1092"/>
    </w:p>
    <w:p w14:paraId="68BF450E" w14:textId="77777777" w:rsidR="00D40151" w:rsidRPr="00873B6C" w:rsidRDefault="00D40151" w:rsidP="00D40151">
      <w:pPr>
        <w:rPr>
          <w:lang w:eastAsia="x-none"/>
        </w:rPr>
      </w:pPr>
      <w:r w:rsidRPr="00873B6C">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873B6C" w:rsidRDefault="00D40151" w:rsidP="00D40151">
      <w:pPr>
        <w:rPr>
          <w:lang w:eastAsia="x-none"/>
        </w:rPr>
      </w:pPr>
      <w:r w:rsidRPr="00873B6C">
        <w:rPr>
          <w:lang w:eastAsia="x-none"/>
        </w:rPr>
        <w:t>In this Release of the specification, RACS does not apply to NB-IOT.</w:t>
      </w:r>
    </w:p>
    <w:p w14:paraId="19548DFE" w14:textId="77777777" w:rsidR="00D40151" w:rsidRPr="00873B6C" w:rsidRDefault="00D40151" w:rsidP="00D40151">
      <w:pPr>
        <w:rPr>
          <w:lang w:eastAsia="x-none"/>
        </w:rPr>
      </w:pPr>
      <w:r w:rsidRPr="00873B6C">
        <w:rPr>
          <w:lang w:eastAsia="x-none"/>
        </w:rPr>
        <w:lastRenderedPageBreak/>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1DC120C1" w:rsidR="00D40151" w:rsidRPr="00873B6C" w:rsidRDefault="00D40151" w:rsidP="00D40151">
      <w:pPr>
        <w:rPr>
          <w:lang w:eastAsia="x-none"/>
        </w:rPr>
      </w:pPr>
      <w:r w:rsidRPr="00873B6C">
        <w:rPr>
          <w:lang w:eastAsia="x-none"/>
        </w:rPr>
        <w:t xml:space="preserve">PLMN-assigned UE Radio Capability ID is assigned to the UE using the UE Configuration Update Command, or Registration Accept as defined in </w:t>
      </w:r>
      <w:r w:rsidR="00972E70" w:rsidRPr="00873B6C">
        <w:rPr>
          <w:lang w:eastAsia="x-none"/>
        </w:rPr>
        <w:t>TS 23.502 [</w:t>
      </w:r>
      <w:r w:rsidRPr="00873B6C">
        <w:rPr>
          <w:lang w:eastAsia="x-none"/>
        </w:rPr>
        <w:t>3]. The UCMF shall be configured with a Version ID for PLMN-assigned UE Radio Capability IDs, defined in clause 5.9.10.</w:t>
      </w:r>
    </w:p>
    <w:p w14:paraId="0A75077E" w14:textId="13246E39" w:rsidR="00D40151" w:rsidRPr="00873B6C" w:rsidRDefault="00D40151" w:rsidP="00D40151">
      <w:pPr>
        <w:rPr>
          <w:lang w:eastAsia="x-none"/>
        </w:rPr>
      </w:pPr>
      <w:r w:rsidRPr="00873B6C">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873B6C">
        <w:rPr>
          <w:lang w:eastAsia="x-none"/>
        </w:rPr>
        <w:t xml:space="preserve"> and the UE Radio Capability for Paging</w:t>
      </w:r>
      <w:r w:rsidRPr="00873B6C">
        <w:rPr>
          <w:lang w:eastAsia="x-none"/>
        </w:rPr>
        <w:t xml:space="preserve"> they map to. Each UE Radio Capability ID stored in the UCMF can be associated to one or both UE radio capabilities formats specified in </w:t>
      </w:r>
      <w:r w:rsidR="00972E70" w:rsidRPr="00873B6C">
        <w:rPr>
          <w:lang w:eastAsia="x-none"/>
        </w:rPr>
        <w:t>TS 36.331 [</w:t>
      </w:r>
      <w:r w:rsidRPr="00873B6C">
        <w:rPr>
          <w:lang w:eastAsia="x-none"/>
        </w:rPr>
        <w:t xml:space="preserve">51] and </w:t>
      </w:r>
      <w:r w:rsidR="00972E70" w:rsidRPr="00873B6C">
        <w:rPr>
          <w:lang w:eastAsia="x-none"/>
        </w:rPr>
        <w:t>TS 38.331 [</w:t>
      </w:r>
      <w:r w:rsidRPr="00873B6C">
        <w:rPr>
          <w:lang w:eastAsia="x-none"/>
        </w:rPr>
        <w:t xml:space="preserve">28]. The two UE radio capabilities formats shall be identifiable by the AMF and UCMF and the AMF shall store the </w:t>
      </w:r>
      <w:r w:rsidR="00972E70" w:rsidRPr="00873B6C">
        <w:rPr>
          <w:lang w:eastAsia="x-none"/>
        </w:rPr>
        <w:t>TS 38.331 [</w:t>
      </w:r>
      <w:r w:rsidRPr="00873B6C">
        <w:rPr>
          <w:lang w:eastAsia="x-none"/>
        </w:rPr>
        <w:t>28] format only.</w:t>
      </w:r>
    </w:p>
    <w:p w14:paraId="46AD1802" w14:textId="770EE5E2" w:rsidR="00D40151" w:rsidRPr="00873B6C" w:rsidRDefault="00D40151" w:rsidP="00D40151">
      <w:pPr>
        <w:rPr>
          <w:lang w:eastAsia="x-none"/>
        </w:rPr>
      </w:pPr>
      <w:r w:rsidRPr="00873B6C">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972E70" w:rsidRPr="00873B6C">
        <w:rPr>
          <w:lang w:eastAsia="x-none"/>
        </w:rPr>
        <w:t>TS 38.331 [</w:t>
      </w:r>
      <w:r w:rsidRPr="00873B6C">
        <w:rPr>
          <w:lang w:eastAsia="x-none"/>
        </w:rPr>
        <w:t>28]) to retrieve UE radio capabilities from the UE:</w:t>
      </w:r>
    </w:p>
    <w:p w14:paraId="797ED725" w14:textId="74064E55" w:rsidR="00D40151" w:rsidRPr="00873B6C" w:rsidRDefault="00D40151" w:rsidP="00D40151">
      <w:pPr>
        <w:pStyle w:val="B1"/>
      </w:pPr>
      <w:r w:rsidRPr="00873B6C">
        <w:t>-</w:t>
      </w:r>
      <w:r w:rsidRPr="00873B6C">
        <w:tab/>
        <w:t>Mode of operation A): The NG-RAN provides to the AMF both formats (i.e</w:t>
      </w:r>
      <w:r w:rsidR="00E83620" w:rsidRPr="00873B6C">
        <w:t>.</w:t>
      </w:r>
      <w:r w:rsidRPr="00873B6C">
        <w:t xml:space="preserve"> the </w:t>
      </w:r>
      <w:r w:rsidR="00972E70" w:rsidRPr="00873B6C">
        <w:t>TS 38.331 [</w:t>
      </w:r>
      <w:r w:rsidRPr="00873B6C">
        <w:t xml:space="preserve">28] format and </w:t>
      </w:r>
      <w:r w:rsidR="00972E70" w:rsidRPr="00873B6C">
        <w:t>TS 36.331 [</w:t>
      </w:r>
      <w:r w:rsidRPr="00873B6C">
        <w:t>51] format). The NG-RAN derives one of the</w:t>
      </w:r>
      <w:r w:rsidR="00E83620" w:rsidRPr="00873B6C">
        <w:t xml:space="preserve"> UE Radio Capability</w:t>
      </w:r>
      <w:r w:rsidRPr="00873B6C">
        <w:t xml:space="preserve"> formats using local transcoding of the other format it receives from the UE</w:t>
      </w:r>
      <w:r w:rsidR="00E83620" w:rsidRPr="00873B6C">
        <w:t xml:space="preserve"> and extracts the E-UTRAN UE Radio Capability for Paging and NR UE Radio Capability for Paging from the UE Radio capabilities</w:t>
      </w:r>
      <w:r w:rsidRPr="00873B6C">
        <w:t>.</w:t>
      </w:r>
    </w:p>
    <w:p w14:paraId="12109F27" w14:textId="376A0880" w:rsidR="00D40151" w:rsidRPr="00873B6C" w:rsidRDefault="00D40151" w:rsidP="00D40151">
      <w:pPr>
        <w:pStyle w:val="B1"/>
      </w:pPr>
      <w:r w:rsidRPr="00873B6C">
        <w:t>-</w:t>
      </w:r>
      <w:r w:rsidRPr="00873B6C">
        <w:tab/>
        <w:t xml:space="preserve">Mode of operation B): The NG-RAN provides to the AMF the </w:t>
      </w:r>
      <w:r w:rsidR="00972E70" w:rsidRPr="00873B6C">
        <w:t>TS 38.331 [</w:t>
      </w:r>
      <w:r w:rsidRPr="00873B6C">
        <w:t>28] format only.</w:t>
      </w:r>
    </w:p>
    <w:p w14:paraId="22B6669F" w14:textId="77777777" w:rsidR="00D40151" w:rsidRPr="00873B6C" w:rsidRDefault="00D40151" w:rsidP="00D40151">
      <w:pPr>
        <w:rPr>
          <w:lang w:eastAsia="x-none"/>
        </w:rPr>
      </w:pPr>
      <w:r w:rsidRPr="00873B6C">
        <w:rPr>
          <w:lang w:eastAsia="x-none"/>
        </w:rPr>
        <w:t>In a PLMN supporting RACS only in 5GS, Mode of Operation B shall be configured.</w:t>
      </w:r>
    </w:p>
    <w:p w14:paraId="4A8BB83B" w14:textId="77777777" w:rsidR="00D40151" w:rsidRPr="00873B6C" w:rsidRDefault="00D40151" w:rsidP="00D40151">
      <w:pPr>
        <w:rPr>
          <w:lang w:eastAsia="x-none"/>
        </w:rPr>
      </w:pPr>
      <w:r w:rsidRPr="00873B6C">
        <w:rPr>
          <w:lang w:eastAsia="x-none"/>
        </w:rPr>
        <w:t>If the PLMN supports RACS in both EPS and 5GS:</w:t>
      </w:r>
    </w:p>
    <w:p w14:paraId="6D277A6F" w14:textId="57970EEA" w:rsidR="00D40151" w:rsidRPr="00873B6C" w:rsidRDefault="00D40151" w:rsidP="00D40151">
      <w:pPr>
        <w:pStyle w:val="B1"/>
      </w:pPr>
      <w:r w:rsidRPr="00873B6C">
        <w:t>-</w:t>
      </w:r>
      <w:r w:rsidRPr="00873B6C">
        <w:tab/>
        <w:t xml:space="preserve">If RAN nodes in the EPS and 5GS are configured in Mode of operation B, then the UCMF shall be capable to transcode between </w:t>
      </w:r>
      <w:r w:rsidR="00972E70" w:rsidRPr="00873B6C">
        <w:t>TS 36.331 [</w:t>
      </w:r>
      <w:r w:rsidRPr="00873B6C">
        <w:t xml:space="preserve">51] and </w:t>
      </w:r>
      <w:r w:rsidR="00972E70" w:rsidRPr="00873B6C">
        <w:t>TS 38.331 [</w:t>
      </w:r>
      <w:r w:rsidRPr="00873B6C">
        <w:t>28] formats</w:t>
      </w:r>
      <w:r w:rsidR="00E83620" w:rsidRPr="00873B6C">
        <w:t xml:space="preserve"> and the UCMF shall be able to generate the RAT-specific UE Radio Capability for Paging information from the UE Radio Capability</w:t>
      </w:r>
      <w:r w:rsidRPr="00873B6C">
        <w:t>.</w:t>
      </w:r>
    </w:p>
    <w:p w14:paraId="1E90EDB6" w14:textId="67166FB4" w:rsidR="00D40151" w:rsidRPr="00873B6C" w:rsidRDefault="00D40151" w:rsidP="00D40151">
      <w:pPr>
        <w:pStyle w:val="B1"/>
      </w:pPr>
      <w:r w:rsidRPr="00873B6C">
        <w:t>-</w:t>
      </w:r>
      <w:r w:rsidRPr="00873B6C">
        <w:tab/>
        <w:t xml:space="preserve">If the NG-RAN is configured to operate according to Mode A, then also the E-UTRAN shall be configured to operate according to mode A and the UMCF is not required to transcode between </w:t>
      </w:r>
      <w:r w:rsidR="00972E70" w:rsidRPr="00873B6C">
        <w:t>TS 36.331 [</w:t>
      </w:r>
      <w:r w:rsidRPr="00873B6C">
        <w:t xml:space="preserve">51] and </w:t>
      </w:r>
      <w:r w:rsidR="00972E70" w:rsidRPr="00873B6C">
        <w:t>TS 38.331 [</w:t>
      </w:r>
      <w:r w:rsidRPr="00873B6C">
        <w:t>28] formats</w:t>
      </w:r>
      <w:r w:rsidR="00E83620" w:rsidRPr="00873B6C">
        <w:t xml:space="preserve"> and the AMF shall provide the UE Radio Capability for Paging information</w:t>
      </w:r>
      <w:r w:rsidRPr="00873B6C">
        <w:t>.</w:t>
      </w:r>
    </w:p>
    <w:p w14:paraId="38FC1C7C" w14:textId="77777777" w:rsidR="00D40151" w:rsidRPr="00873B6C" w:rsidRDefault="00D40151" w:rsidP="00D40151">
      <w:pPr>
        <w:rPr>
          <w:lang w:eastAsia="x-none"/>
        </w:rPr>
      </w:pPr>
      <w:r w:rsidRPr="00873B6C">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873B6C" w:rsidRDefault="00D40151" w:rsidP="00D40151">
      <w:pPr>
        <w:rPr>
          <w:lang w:eastAsia="x-none"/>
        </w:rPr>
      </w:pPr>
      <w:r w:rsidRPr="00873B6C">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873B6C" w:rsidRDefault="00D40151" w:rsidP="00D40151">
      <w:pPr>
        <w:pStyle w:val="B1"/>
      </w:pPr>
      <w:r w:rsidRPr="00873B6C">
        <w:t>-</w:t>
      </w:r>
      <w:r w:rsidRPr="00873B6C">
        <w:tab/>
        <w:t>An AMF which supports RACS shall store such UE Radio Capability ID mapping at least for all the UEs that it serves that have a UE Radio Capability ID assigned.</w:t>
      </w:r>
    </w:p>
    <w:p w14:paraId="0841B356" w14:textId="4DDDC48A" w:rsidR="00D40151" w:rsidRPr="00873B6C" w:rsidRDefault="00D40151" w:rsidP="00D40151">
      <w:pPr>
        <w:pStyle w:val="B1"/>
      </w:pPr>
      <w:r w:rsidRPr="00873B6C">
        <w:t>-</w:t>
      </w:r>
      <w:r w:rsidRPr="00873B6C">
        <w:tab/>
        <w:t>The NG-RAN performs local caching of the UE Radio Capability information for the UE Radio Capability IDs for the UEs it is serving</w:t>
      </w:r>
      <w:r w:rsidR="00472CD7" w:rsidRPr="00873B6C">
        <w:t xml:space="preserve"> and</w:t>
      </w:r>
      <w:r w:rsidRPr="00873B6C">
        <w:t xml:space="preserve"> potentially for other UE Radio Capability IDs according to suitable local policies.</w:t>
      </w:r>
    </w:p>
    <w:p w14:paraId="5B89B17F" w14:textId="3EB5C4B0" w:rsidR="00D40151" w:rsidRPr="00873B6C" w:rsidRDefault="00D40151" w:rsidP="00D40151">
      <w:pPr>
        <w:pStyle w:val="B1"/>
      </w:pPr>
      <w:r w:rsidRPr="00873B6C">
        <w:t>-</w:t>
      </w:r>
      <w:r w:rsidRPr="00873B6C">
        <w:tab/>
        <w:t xml:space="preserve">When the NG-RAN needs to retrieve the mapping of a UE Radio Capability ID to the corresponding UE Radio Capability information, it queries the AMF using N2 signalling defined in </w:t>
      </w:r>
      <w:r w:rsidR="00972E70" w:rsidRPr="00873B6C">
        <w:t>TS 38.413 [</w:t>
      </w:r>
      <w:r w:rsidRPr="00873B6C">
        <w:t>34].</w:t>
      </w:r>
    </w:p>
    <w:p w14:paraId="4C6B4B60" w14:textId="3DD96D64" w:rsidR="00D40151" w:rsidRPr="00873B6C" w:rsidRDefault="00D40151" w:rsidP="00D40151">
      <w:pPr>
        <w:pStyle w:val="B1"/>
      </w:pPr>
      <w:r w:rsidRPr="00873B6C">
        <w:t>-</w:t>
      </w:r>
      <w:r w:rsidRPr="00873B6C">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873B6C">
        <w:t xml:space="preserve"> (and at least in Mode A, the UE Radio Capability for Paging)</w:t>
      </w:r>
      <w:r w:rsidRPr="00873B6C">
        <w:t xml:space="preserve"> obtained from the NG-</w:t>
      </w:r>
      <w:r w:rsidRPr="00873B6C">
        <w:lastRenderedPageBreak/>
        <w:t xml:space="preserve">RAN in one or both the </w:t>
      </w:r>
      <w:r w:rsidR="00972E70" w:rsidRPr="00873B6C">
        <w:t>TS 36.331 [</w:t>
      </w:r>
      <w:r w:rsidRPr="00873B6C">
        <w:t xml:space="preserve">51] and </w:t>
      </w:r>
      <w:r w:rsidR="00972E70" w:rsidRPr="00873B6C">
        <w:t>TS 38.331 [</w:t>
      </w:r>
      <w:r w:rsidRPr="00873B6C">
        <w:t>28] formats depending on how the RAN is configured. The UCMF stores the association of this IMEI/TAC with this UE Radio Capability ID and the UE Radio Capability information</w:t>
      </w:r>
      <w:r w:rsidR="00E83620" w:rsidRPr="00873B6C">
        <w:t xml:space="preserve"> and the UE Radio Capability for Paging</w:t>
      </w:r>
      <w:r w:rsidRPr="00873B6C">
        <w:t xml:space="preserve"> in all the formats it receives. The UE Radio Capability information formats the AMF provides shall be identifiable at the UCMF.</w:t>
      </w:r>
    </w:p>
    <w:p w14:paraId="4B376D7A" w14:textId="395B414E" w:rsidR="00D40151" w:rsidRPr="00873B6C" w:rsidRDefault="00D40151" w:rsidP="00D40151">
      <w:pPr>
        <w:pStyle w:val="B1"/>
      </w:pPr>
      <w:r w:rsidRPr="00873B6C">
        <w:t>-</w:t>
      </w:r>
      <w:r w:rsidRPr="00873B6C">
        <w:tab/>
        <w:t>When the AMF needs to obtain the UE Radio Capability information</w:t>
      </w:r>
      <w:r w:rsidR="00E83620" w:rsidRPr="00873B6C">
        <w:t xml:space="preserve"> and the UE Radio Capability for Paging</w:t>
      </w:r>
      <w:r w:rsidRPr="00873B6C">
        <w:t xml:space="preserve"> associated to a UE Radio Capability ID it provides the UE Radio Capability ID to the UCMF with an indication that it is requesting the </w:t>
      </w:r>
      <w:r w:rsidR="00972E70" w:rsidRPr="00873B6C">
        <w:t>TS 38.331 [</w:t>
      </w:r>
      <w:r w:rsidRPr="00873B6C">
        <w:t xml:space="preserve">28] format and the UCMF returns a mapping of the UE Radio Capability ID to the corresponding UE Radio Capability information in </w:t>
      </w:r>
      <w:r w:rsidR="00972E70" w:rsidRPr="00873B6C">
        <w:t>TS 38.331 [</w:t>
      </w:r>
      <w:r w:rsidRPr="00873B6C">
        <w:t>28] format to the AMF.</w:t>
      </w:r>
    </w:p>
    <w:p w14:paraId="286FC5BA" w14:textId="77777777" w:rsidR="00D40151" w:rsidRPr="00873B6C" w:rsidRDefault="00D40151" w:rsidP="00D40151">
      <w:pPr>
        <w:pStyle w:val="B1"/>
      </w:pPr>
      <w:r w:rsidRPr="00873B6C">
        <w:t>-</w:t>
      </w:r>
      <w:r w:rsidRPr="00873B6C">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873B6C" w:rsidRDefault="00D40151" w:rsidP="00D40151">
      <w:pPr>
        <w:pStyle w:val="B1"/>
      </w:pPr>
      <w:r w:rsidRPr="00873B6C">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873B6C" w:rsidRDefault="00D40151" w:rsidP="00D40151">
      <w:pPr>
        <w:pStyle w:val="B1"/>
      </w:pPr>
      <w:r w:rsidRPr="00873B6C">
        <w:t>-</w:t>
      </w:r>
      <w:r w:rsidRPr="00873B6C">
        <w:tab/>
        <w:t>The RAN, in order to support MOCN network sharing scenarios, shall be capable to cache PLMN assigned UE Radio Capability IDs per PLMN ID.</w:t>
      </w:r>
    </w:p>
    <w:p w14:paraId="6A6717FD" w14:textId="77777777" w:rsidR="00D40151" w:rsidRPr="00873B6C" w:rsidRDefault="00D40151" w:rsidP="00D40151">
      <w:pPr>
        <w:rPr>
          <w:lang w:eastAsia="x-none"/>
        </w:rPr>
      </w:pPr>
      <w:r w:rsidRPr="00873B6C">
        <w:rPr>
          <w:lang w:eastAsia="x-none"/>
        </w:rPr>
        <w:t>A network may utilise the PLMN-assigned UE Radio Capability ID, without involving the UE, e.g. for use with legacy UEs.</w:t>
      </w:r>
    </w:p>
    <w:p w14:paraId="5DAC1974" w14:textId="19543E77" w:rsidR="00183D3D" w:rsidRPr="00873B6C" w:rsidRDefault="00183D3D" w:rsidP="00D40151">
      <w:pPr>
        <w:rPr>
          <w:lang w:eastAsia="x-none"/>
        </w:rPr>
      </w:pPr>
      <w:r w:rsidRPr="00873B6C">
        <w:rPr>
          <w:lang w:eastAsia="x-none"/>
        </w:rPr>
        <w:t xml:space="preserve">Mutual detection of the support of the RACS feature happens between directly connected NG-RAN nodes and between NG-RAN and AMF using protocol means as defined in </w:t>
      </w:r>
      <w:r w:rsidR="00972E70" w:rsidRPr="00873B6C">
        <w:rPr>
          <w:lang w:eastAsia="x-none"/>
        </w:rPr>
        <w:t>TS 38.413 [</w:t>
      </w:r>
      <w:r w:rsidRPr="00873B6C">
        <w:rPr>
          <w:lang w:eastAsia="x-none"/>
        </w:rPr>
        <w:t xml:space="preserve">34] and </w:t>
      </w:r>
      <w:r w:rsidR="00972E70" w:rsidRPr="00873B6C">
        <w:rPr>
          <w:lang w:eastAsia="x-none"/>
        </w:rPr>
        <w:t>TS 38.423 [</w:t>
      </w:r>
      <w:r w:rsidRPr="00873B6C">
        <w:rPr>
          <w:lang w:eastAsia="x-none"/>
        </w:rPr>
        <w:t xml:space="preserve">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w:t>
      </w:r>
      <w:r w:rsidR="00972E70" w:rsidRPr="00873B6C">
        <w:rPr>
          <w:lang w:eastAsia="x-none"/>
        </w:rPr>
        <w:t>TS 38.413 [</w:t>
      </w:r>
      <w:r w:rsidRPr="00873B6C">
        <w:rPr>
          <w:lang w:eastAsia="x-none"/>
        </w:rPr>
        <w:t>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873B6C" w:rsidRDefault="00D40151" w:rsidP="00D40151">
      <w:pPr>
        <w:rPr>
          <w:lang w:eastAsia="x-none"/>
        </w:rPr>
      </w:pPr>
      <w:r w:rsidRPr="00873B6C">
        <w:rPr>
          <w:lang w:eastAsia="x-none"/>
        </w:rPr>
        <w:t>A UE that supports WB-E-UTRA and/or NR indicates its support for RACS to AMF using UE MM Core Network Capability as defined in clause 5.4.4a.</w:t>
      </w:r>
    </w:p>
    <w:p w14:paraId="19887508" w14:textId="0A87A243" w:rsidR="00D40151" w:rsidRPr="00873B6C" w:rsidRDefault="00D40151" w:rsidP="00D40151">
      <w:pPr>
        <w:rPr>
          <w:lang w:eastAsia="x-none"/>
        </w:rPr>
      </w:pPr>
      <w:r w:rsidRPr="00873B6C">
        <w:rPr>
          <w:lang w:eastAsia="x-none"/>
        </w:rPr>
        <w:t>A UE that supports RACS and stores an applicable UE Radio Capability ID for the current UE Radio Configuration in the PLMN, shall signal the UE Radio Capability ID in the Initial</w:t>
      </w:r>
      <w:r w:rsidR="00472CD7" w:rsidRPr="00873B6C">
        <w:rPr>
          <w:lang w:eastAsia="x-none"/>
        </w:rPr>
        <w:t xml:space="preserve"> and</w:t>
      </w:r>
      <w:r w:rsidRPr="00873B6C">
        <w:rPr>
          <w:lang w:eastAsia="x-none"/>
        </w:rPr>
        <w:t xml:space="preserve"> Mobility Registration procedure as defined in </w:t>
      </w:r>
      <w:r w:rsidR="00972E70" w:rsidRPr="00873B6C">
        <w:rPr>
          <w:lang w:eastAsia="x-none"/>
        </w:rPr>
        <w:t>TS 23.502 [</w:t>
      </w:r>
      <w:r w:rsidRPr="00873B6C">
        <w:rPr>
          <w:lang w:eastAsia="x-none"/>
        </w:rPr>
        <w:t xml:space="preserve">3] and based on triggers defined in </w:t>
      </w:r>
      <w:r w:rsidR="00972E70" w:rsidRPr="00873B6C">
        <w:rPr>
          <w:lang w:eastAsia="x-none"/>
        </w:rPr>
        <w:t>TS 24.501 [</w:t>
      </w:r>
      <w:r w:rsidRPr="00873B6C">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873B6C" w:rsidRDefault="00D40151" w:rsidP="00D40151">
      <w:pPr>
        <w:rPr>
          <w:lang w:eastAsia="x-none"/>
        </w:rPr>
      </w:pPr>
      <w:r w:rsidRPr="00873B6C">
        <w:rPr>
          <w:lang w:eastAsia="x-none"/>
        </w:rPr>
        <w:t>When a PLMN decides to switch to request a particular type of UE to use UE manufacturer-assigned UE Radio Capability ID(s):</w:t>
      </w:r>
    </w:p>
    <w:p w14:paraId="15A5A2B5" w14:textId="77777777" w:rsidR="00D40151" w:rsidRPr="00873B6C" w:rsidRDefault="00D40151" w:rsidP="00D40151">
      <w:pPr>
        <w:pStyle w:val="B1"/>
      </w:pPr>
      <w:r w:rsidRPr="00873B6C">
        <w:t>-</w:t>
      </w:r>
      <w:r w:rsidRPr="00873B6C">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873B6C" w:rsidRDefault="00D40151" w:rsidP="00D40151">
      <w:pPr>
        <w:pStyle w:val="B1"/>
      </w:pPr>
      <w:r w:rsidRPr="00873B6C">
        <w:t>-</w:t>
      </w:r>
      <w:r w:rsidRPr="00873B6C">
        <w:tab/>
        <w:t xml:space="preserve">The AMF uses the Registration Accept message or the UE Configuration Update command message to request the UE to delete all the PLMN-assigned UE Radio Capability ID(s) for this PLMN if the UE is, respectively, </w:t>
      </w:r>
      <w:r w:rsidRPr="00873B6C">
        <w:lastRenderedPageBreak/>
        <w:t>registering or is registered with PLMN-assigned ID or IMEI/TAC values matching one value in the "UE Manufacturer Assigned operation requested list".</w:t>
      </w:r>
    </w:p>
    <w:p w14:paraId="07BEFF86" w14:textId="77777777" w:rsidR="00D40151" w:rsidRPr="00873B6C" w:rsidRDefault="00D40151" w:rsidP="00D40151">
      <w:pPr>
        <w:pStyle w:val="NO"/>
      </w:pPr>
      <w:r w:rsidRPr="00873B6C">
        <w:t>NOTE 1:</w:t>
      </w:r>
      <w:r w:rsidRPr="00873B6C">
        <w:tab/>
        <w:t>It is expected that in a given PLMN the UCMF and AMFs will be configured to either use a UE manufacturer-assigned operation requested list based on a list of PLMN-assigned UE Radio Capability IDs or a list of IMEI/TACs, but not both.</w:t>
      </w:r>
    </w:p>
    <w:p w14:paraId="455D6503" w14:textId="6C3C6ADC" w:rsidR="00D40151" w:rsidRPr="00873B6C" w:rsidRDefault="00D40151" w:rsidP="00D40151">
      <w:pPr>
        <w:pStyle w:val="NO"/>
      </w:pPr>
      <w:r w:rsidRPr="00873B6C">
        <w:t>NOTE 2:</w:t>
      </w:r>
      <w:r w:rsidRPr="00873B6C">
        <w:tab/>
        <w:t xml:space="preserve">The strategy for triggering of the deletion of PLMN-assigned UE Radio Capability ID(s) in the UE by the AMF is implementation-specific (e.g. can be used only towards UEs in </w:t>
      </w:r>
      <w:r w:rsidR="00511811" w:rsidRPr="00873B6C">
        <w:t xml:space="preserve">CM-CONNECTED </w:t>
      </w:r>
      <w:r w:rsidRPr="00873B6C">
        <w:t>state).</w:t>
      </w:r>
    </w:p>
    <w:p w14:paraId="2AF8F9CF" w14:textId="77777777" w:rsidR="00D40151" w:rsidRPr="00873B6C" w:rsidRDefault="00D40151" w:rsidP="00D40151">
      <w:pPr>
        <w:pStyle w:val="B1"/>
      </w:pPr>
      <w:r w:rsidRPr="00873B6C">
        <w:t>-</w:t>
      </w:r>
      <w:r w:rsidRPr="00873B6C">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873B6C" w:rsidRDefault="00D40151" w:rsidP="00D40151">
      <w:pPr>
        <w:pStyle w:val="B1"/>
      </w:pPr>
      <w:r w:rsidRPr="00873B6C">
        <w:t>-</w:t>
      </w:r>
      <w:r w:rsidRPr="00873B6C">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873B6C" w:rsidRDefault="00D40151" w:rsidP="00D40151">
      <w:pPr>
        <w:pStyle w:val="B1"/>
      </w:pPr>
      <w:r w:rsidRPr="00873B6C">
        <w:t>-</w:t>
      </w:r>
      <w:r w:rsidRPr="00873B6C">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873B6C" w:rsidRDefault="00D40151" w:rsidP="00D40151">
      <w:pPr>
        <w:pStyle w:val="B1"/>
      </w:pPr>
      <w:r w:rsidRPr="00873B6C">
        <w:t>-</w:t>
      </w:r>
      <w:r w:rsidRPr="00873B6C">
        <w:tab/>
        <w:t>The UCMF can request at any time the AMF to remove PLMN-assigned ID(s) or IMEI/TAC(s) values from the UE manufacturer-assigned operation requested list.</w:t>
      </w:r>
    </w:p>
    <w:p w14:paraId="7BF81AB4" w14:textId="157B76C9" w:rsidR="00D40151" w:rsidRPr="00873B6C" w:rsidRDefault="00D40151" w:rsidP="00D40151">
      <w:pPr>
        <w:pStyle w:val="NO"/>
      </w:pPr>
      <w:r w:rsidRPr="00873B6C">
        <w:t>NOTE 3:</w:t>
      </w:r>
      <w:r w:rsidRPr="00873B6C">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w:t>
      </w:r>
      <w:r w:rsidR="00472CD7" w:rsidRPr="00873B6C">
        <w:t xml:space="preserve"> and</w:t>
      </w:r>
      <w:r w:rsidRPr="00873B6C">
        <w:t xml:space="preserve"> at this point the UCMF can trigger again the deletion of the UE Radio Capability ID by including this in the "UE Manufacturer Assigned operation requested list" of the AMF.</w:t>
      </w:r>
    </w:p>
    <w:p w14:paraId="7825727C" w14:textId="77777777" w:rsidR="00D40151" w:rsidRPr="00873B6C" w:rsidRDefault="00D40151" w:rsidP="00D40151">
      <w:r w:rsidRPr="00873B6C">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873B6C" w:rsidRDefault="00D40151" w:rsidP="00D40151">
      <w:pPr>
        <w:pStyle w:val="NO"/>
      </w:pPr>
      <w:r w:rsidRPr="00873B6C">
        <w:t>NOTE 4:</w:t>
      </w:r>
      <w:r w:rsidRPr="00873B6C">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873B6C" w:rsidRDefault="00D40151" w:rsidP="00D40151">
      <w:r w:rsidRPr="00873B6C">
        <w:t>The UE stores the PLMN-assigned UE Radio Capability ID in non-volatile memory when in RM-DEREGISTERED state and can use it again when it registers in the same PLMN.</w:t>
      </w:r>
    </w:p>
    <w:p w14:paraId="56F531FC" w14:textId="70A9677F" w:rsidR="00D40151" w:rsidRPr="00873B6C" w:rsidRDefault="00D40151" w:rsidP="00D40151">
      <w:pPr>
        <w:pStyle w:val="NO"/>
      </w:pPr>
      <w:r w:rsidRPr="00873B6C">
        <w:t>NOTE 5:</w:t>
      </w:r>
      <w:r w:rsidRPr="00873B6C">
        <w:tab/>
        <w:t xml:space="preserve">It is assumed that UE does not need to store the access stratum information (i.e. UE-E-UTRA-Capability and UE-NR-Capability specified in </w:t>
      </w:r>
      <w:r w:rsidR="00972E70" w:rsidRPr="00873B6C">
        <w:t>TS 36.331 [</w:t>
      </w:r>
      <w:r w:rsidRPr="00873B6C">
        <w:t xml:space="preserve">51] and </w:t>
      </w:r>
      <w:r w:rsidR="00972E70" w:rsidRPr="00873B6C">
        <w:t>TS 38.331 [</w:t>
      </w:r>
      <w:r w:rsidRPr="00873B6C">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873B6C" w:rsidRDefault="00D40151" w:rsidP="00D40151">
      <w:r w:rsidRPr="00873B6C">
        <w:t>At any given time at most one UE Radio Capability ID is used from the UE context in CN and RAN which is related to the selected PLMN.</w:t>
      </w:r>
    </w:p>
    <w:p w14:paraId="5B0163B0" w14:textId="77777777" w:rsidR="00D40151" w:rsidRPr="00873B6C" w:rsidRDefault="00D40151" w:rsidP="00D40151">
      <w:r w:rsidRPr="00873B6C">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873B6C" w:rsidRDefault="00D40151" w:rsidP="00D40151">
      <w:r w:rsidRPr="00873B6C">
        <w:lastRenderedPageBreak/>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873B6C" w:rsidRDefault="00D40151" w:rsidP="00D40151">
      <w:r w:rsidRPr="00873B6C">
        <w:t>If the UE's Radio Capability Information changes and</w:t>
      </w:r>
      <w:r w:rsidR="00182EE7" w:rsidRPr="00873B6C">
        <w:t xml:space="preserve"> regardless of whether the UE has an</w:t>
      </w:r>
      <w:r w:rsidRPr="00873B6C">
        <w:t xml:space="preserve"> associated UE Radio Capability ID for the updated UE Radio Capability information, the UE shall perform</w:t>
      </w:r>
      <w:r w:rsidR="00182EE7" w:rsidRPr="00873B6C">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873B6C" w:rsidRDefault="00182EE7" w:rsidP="00562E84">
      <w:pPr>
        <w:pStyle w:val="B1"/>
      </w:pPr>
      <w:r w:rsidRPr="00873B6C">
        <w:t>-</w:t>
      </w:r>
      <w:r w:rsidRPr="00873B6C">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873B6C" w:rsidRDefault="00182EE7" w:rsidP="00562E84">
      <w:pPr>
        <w:pStyle w:val="B1"/>
      </w:pPr>
      <w:r w:rsidRPr="00873B6C">
        <w:t>-</w:t>
      </w:r>
      <w:r w:rsidRPr="00873B6C">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F18B708" w:rsidR="00D40151" w:rsidRPr="00873B6C" w:rsidRDefault="00D40151" w:rsidP="00D40151">
      <w:r w:rsidRPr="00873B6C">
        <w:t xml:space="preserve">The NG-RAN may apply RRC filtering of UE radio capabilities when it retrieves the UE Radio Capability Information from the UE as defined in </w:t>
      </w:r>
      <w:r w:rsidR="00972E70" w:rsidRPr="00873B6C">
        <w:t>TS 38.331 [</w:t>
      </w:r>
      <w:r w:rsidRPr="00873B6C">
        <w:t>28].</w:t>
      </w:r>
    </w:p>
    <w:p w14:paraId="00382C5C" w14:textId="77777777" w:rsidR="00D40151" w:rsidRPr="00873B6C" w:rsidRDefault="00D40151" w:rsidP="00D40151">
      <w:pPr>
        <w:pStyle w:val="NO"/>
      </w:pPr>
      <w:r w:rsidRPr="00873B6C">
        <w:t>NOTE 6:</w:t>
      </w:r>
      <w:r w:rsidRPr="00873B6C">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873B6C" w:rsidRDefault="00D40151" w:rsidP="00D40151">
      <w:pPr>
        <w:pStyle w:val="NO"/>
      </w:pPr>
      <w:r w:rsidRPr="00873B6C">
        <w:t>NOTE 7:</w:t>
      </w:r>
      <w:r w:rsidRPr="00873B6C">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873B6C" w:rsidRDefault="00D40151" w:rsidP="00D40151">
      <w:r w:rsidRPr="00873B6C">
        <w:t>If a UE supports both NB-IoT and other RATs that do support RACS (e.g. WB-E-UTRA and/or NR) then (since there is no support for RACS in NB-IoT) the UE handles the RACS procedures as follows:</w:t>
      </w:r>
    </w:p>
    <w:p w14:paraId="38988DC2" w14:textId="660C8049" w:rsidR="00D40151" w:rsidRPr="00873B6C" w:rsidRDefault="00D40151" w:rsidP="00D40151">
      <w:pPr>
        <w:pStyle w:val="B1"/>
      </w:pPr>
      <w:r w:rsidRPr="00873B6C">
        <w:t>-</w:t>
      </w:r>
      <w:r w:rsidRPr="00873B6C">
        <w:tab/>
        <w:t xml:space="preserve">NB-IoT specific UE Radio Capability Information is handled in UE, NG-RAN and AMF according to clause 5.4.4.1 and in EPS according to </w:t>
      </w:r>
      <w:r w:rsidR="00972E70" w:rsidRPr="00873B6C">
        <w:t>TS 23.401 [</w:t>
      </w:r>
      <w:r w:rsidRPr="00873B6C">
        <w:t>26].</w:t>
      </w:r>
    </w:p>
    <w:p w14:paraId="4F832A1C" w14:textId="712773C0" w:rsidR="00D40151" w:rsidRPr="00873B6C" w:rsidRDefault="00D40151" w:rsidP="00D40151">
      <w:pPr>
        <w:pStyle w:val="B1"/>
      </w:pPr>
      <w:r w:rsidRPr="00873B6C">
        <w:t>-</w:t>
      </w:r>
      <w:r w:rsidRPr="00873B6C">
        <w:tab/>
        <w:t xml:space="preserve">when the UE is not camping on NB-IoT, the RAN provides UE radio capabilities for other RATs but not NB-IoT UE radio capabilities, according to </w:t>
      </w:r>
      <w:r w:rsidR="00972E70" w:rsidRPr="00873B6C">
        <w:t>TS 38.300 [</w:t>
      </w:r>
      <w:r w:rsidRPr="00873B6C">
        <w:t xml:space="preserve">27] and </w:t>
      </w:r>
      <w:r w:rsidR="00972E70" w:rsidRPr="00873B6C">
        <w:t>TS 36.300 [</w:t>
      </w:r>
      <w:r w:rsidRPr="00873B6C">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E104EEB" w:rsidR="00D40151" w:rsidRPr="00873B6C" w:rsidRDefault="00D40151" w:rsidP="00D40151">
      <w:r w:rsidRPr="00873B6C">
        <w:t xml:space="preserve">Support for RACS in EPS is defined in </w:t>
      </w:r>
      <w:r w:rsidR="00972E70" w:rsidRPr="00873B6C">
        <w:t>TS 23.401 [</w:t>
      </w:r>
      <w:r w:rsidRPr="00873B6C">
        <w:t>26].</w:t>
      </w:r>
    </w:p>
    <w:p w14:paraId="14631F7A" w14:textId="77777777" w:rsidR="00D40151" w:rsidRPr="00873B6C" w:rsidRDefault="00D40151" w:rsidP="00D40151">
      <w:pPr>
        <w:pStyle w:val="Heading4"/>
      </w:pPr>
      <w:bookmarkStart w:id="1093" w:name="_CR5_4_4_2"/>
      <w:bookmarkStart w:id="1094" w:name="_Toc20149743"/>
      <w:bookmarkStart w:id="1095" w:name="_Toc27846534"/>
      <w:bookmarkStart w:id="1096" w:name="_Toc36187658"/>
      <w:bookmarkStart w:id="1097" w:name="_Toc45183562"/>
      <w:bookmarkStart w:id="1098" w:name="_Toc47342404"/>
      <w:bookmarkStart w:id="1099" w:name="_Toc51769102"/>
      <w:bookmarkStart w:id="1100" w:name="_Toc201157032"/>
      <w:bookmarkEnd w:id="1093"/>
      <w:r w:rsidRPr="00873B6C">
        <w:t>5.4.4.2</w:t>
      </w:r>
      <w:r w:rsidRPr="00873B6C">
        <w:tab/>
        <w:t>Void</w:t>
      </w:r>
      <w:bookmarkEnd w:id="1094"/>
      <w:bookmarkEnd w:id="1095"/>
      <w:bookmarkEnd w:id="1096"/>
      <w:bookmarkEnd w:id="1097"/>
      <w:bookmarkEnd w:id="1098"/>
      <w:bookmarkEnd w:id="1099"/>
      <w:bookmarkEnd w:id="1100"/>
    </w:p>
    <w:p w14:paraId="39BB4B3C" w14:textId="77777777" w:rsidR="00D40151" w:rsidRPr="00873B6C" w:rsidRDefault="00D40151" w:rsidP="00D40151"/>
    <w:p w14:paraId="61421450" w14:textId="77777777" w:rsidR="00D40151" w:rsidRPr="00873B6C" w:rsidRDefault="00D40151" w:rsidP="00D40151">
      <w:pPr>
        <w:pStyle w:val="Heading4"/>
        <w:rPr>
          <w:lang w:eastAsia="zh-CN"/>
        </w:rPr>
      </w:pPr>
      <w:bookmarkStart w:id="1101" w:name="_CR5_4_4_2a"/>
      <w:bookmarkStart w:id="1102" w:name="_Toc20149744"/>
      <w:bookmarkStart w:id="1103" w:name="_Toc27846535"/>
      <w:bookmarkStart w:id="1104" w:name="_Toc36187659"/>
      <w:bookmarkStart w:id="1105" w:name="_Toc45183563"/>
      <w:bookmarkStart w:id="1106" w:name="_Toc47342405"/>
      <w:bookmarkStart w:id="1107" w:name="_Toc51769103"/>
      <w:bookmarkStart w:id="1108" w:name="_Toc201157033"/>
      <w:bookmarkEnd w:id="1101"/>
      <w:r w:rsidRPr="00873B6C">
        <w:rPr>
          <w:lang w:eastAsia="zh-CN"/>
        </w:rPr>
        <w:t>5.4.4.2a</w:t>
      </w:r>
      <w:r w:rsidRPr="00873B6C">
        <w:rPr>
          <w:lang w:eastAsia="zh-CN"/>
        </w:rPr>
        <w:tab/>
        <w:t>UE Radio Capability Match Request</w:t>
      </w:r>
      <w:bookmarkEnd w:id="1102"/>
      <w:bookmarkEnd w:id="1103"/>
      <w:bookmarkEnd w:id="1104"/>
      <w:bookmarkEnd w:id="1105"/>
      <w:bookmarkEnd w:id="1106"/>
      <w:bookmarkEnd w:id="1107"/>
      <w:bookmarkEnd w:id="1108"/>
    </w:p>
    <w:p w14:paraId="3F1220E5" w14:textId="77777777" w:rsidR="00D40151" w:rsidRPr="00873B6C" w:rsidRDefault="00D40151" w:rsidP="00D40151">
      <w:pPr>
        <w:rPr>
          <w:lang w:eastAsia="zh-CN"/>
        </w:rPr>
      </w:pPr>
      <w:r w:rsidRPr="00873B6C">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6357E4C3" w:rsidR="00D40151" w:rsidRPr="00873B6C" w:rsidRDefault="00D40151" w:rsidP="00D40151">
      <w:pPr>
        <w:pStyle w:val="NO"/>
      </w:pPr>
      <w:bookmarkStart w:id="1109" w:name="_Toc20149745"/>
      <w:bookmarkStart w:id="1110" w:name="_Toc27846536"/>
      <w:r w:rsidRPr="00873B6C">
        <w:t>NOTE:</w:t>
      </w:r>
      <w:r w:rsidRPr="00873B6C">
        <w:tab/>
        <w:t>During the Registration Procedure, if the AMF does not already have the UEs radio capabilities</w:t>
      </w:r>
      <w:r w:rsidR="00472CD7" w:rsidRPr="00873B6C">
        <w:t xml:space="preserve"> and</w:t>
      </w:r>
      <w:r w:rsidRPr="00873B6C">
        <w:t xml:space="preserve"> if the RAT where the UE is requires the establishment of AN security context prior to retrieval of radio capabilities, the AMF needs to initiate "Initial Context Setup" procedure as defined in </w:t>
      </w:r>
      <w:r w:rsidR="00972E70" w:rsidRPr="00873B6C">
        <w:t>TS 38.413 [</w:t>
      </w:r>
      <w:r w:rsidRPr="00873B6C">
        <w:t>34] to provide the 5G-AN with security context, before sending a UE Radio Capability Match Request message.</w:t>
      </w:r>
    </w:p>
    <w:p w14:paraId="44424E7F" w14:textId="77777777" w:rsidR="00D40151" w:rsidRPr="00873B6C" w:rsidRDefault="00D40151" w:rsidP="00D40151">
      <w:pPr>
        <w:pStyle w:val="Heading4"/>
        <w:rPr>
          <w:lang w:eastAsia="zh-CN"/>
        </w:rPr>
      </w:pPr>
      <w:bookmarkStart w:id="1111" w:name="_CR5_4_4_3"/>
      <w:bookmarkStart w:id="1112" w:name="_Toc36187660"/>
      <w:bookmarkStart w:id="1113" w:name="_Toc45183564"/>
      <w:bookmarkStart w:id="1114" w:name="_Toc47342406"/>
      <w:bookmarkStart w:id="1115" w:name="_Toc51769104"/>
      <w:bookmarkStart w:id="1116" w:name="_Toc201157034"/>
      <w:bookmarkEnd w:id="1111"/>
      <w:r w:rsidRPr="00873B6C">
        <w:rPr>
          <w:lang w:eastAsia="zh-CN"/>
        </w:rPr>
        <w:lastRenderedPageBreak/>
        <w:t>5.4.4.3</w:t>
      </w:r>
      <w:r w:rsidRPr="00873B6C">
        <w:rPr>
          <w:lang w:eastAsia="zh-CN"/>
        </w:rPr>
        <w:tab/>
        <w:t>Paging assistance information</w:t>
      </w:r>
      <w:bookmarkEnd w:id="1109"/>
      <w:bookmarkEnd w:id="1110"/>
      <w:bookmarkEnd w:id="1112"/>
      <w:bookmarkEnd w:id="1113"/>
      <w:bookmarkEnd w:id="1114"/>
      <w:bookmarkEnd w:id="1115"/>
      <w:bookmarkEnd w:id="1116"/>
    </w:p>
    <w:p w14:paraId="3ECA4A55" w14:textId="77777777" w:rsidR="00D40151" w:rsidRPr="00873B6C" w:rsidRDefault="00D40151" w:rsidP="00D40151">
      <w:pPr>
        <w:rPr>
          <w:lang w:eastAsia="zh-CN"/>
        </w:rPr>
      </w:pPr>
      <w:r w:rsidRPr="00873B6C">
        <w:rPr>
          <w:lang w:eastAsia="zh-CN"/>
        </w:rPr>
        <w:t>The paging assistance information contains UE radio related information that assists the RAN for efficient paging. The Paging assistance information contains:</w:t>
      </w:r>
    </w:p>
    <w:p w14:paraId="719283CE" w14:textId="77777777" w:rsidR="00D40151" w:rsidRPr="00873B6C" w:rsidRDefault="00D40151" w:rsidP="00D40151">
      <w:pPr>
        <w:pStyle w:val="B1"/>
        <w:rPr>
          <w:lang w:eastAsia="zh-CN"/>
        </w:rPr>
      </w:pPr>
      <w:r w:rsidRPr="00873B6C">
        <w:rPr>
          <w:lang w:eastAsia="zh-CN"/>
        </w:rPr>
        <w:t>a)</w:t>
      </w:r>
      <w:r w:rsidRPr="00873B6C">
        <w:rPr>
          <w:lang w:eastAsia="zh-CN"/>
        </w:rPr>
        <w:tab/>
        <w:t>UE radio capability for paging information:</w:t>
      </w:r>
    </w:p>
    <w:p w14:paraId="1CD76961" w14:textId="77777777" w:rsidR="00D40151" w:rsidRPr="00873B6C" w:rsidRDefault="00D40151" w:rsidP="00D40151">
      <w:pPr>
        <w:pStyle w:val="B2"/>
      </w:pPr>
      <w:r w:rsidRPr="00873B6C">
        <w:rPr>
          <w:lang w:eastAsia="zh-CN"/>
        </w:rPr>
        <w:t>-</w:t>
      </w:r>
      <w:r w:rsidRPr="00873B6C">
        <w:rPr>
          <w:lang w:eastAsia="zh-CN"/>
        </w:rPr>
        <w:tab/>
      </w:r>
      <w:r w:rsidRPr="00873B6C">
        <w:t>The UE Radio Capability for Paging Information contains information derived by the NG-RAN node (e.g. band support information) from the UE Radio Capability information. The AMF stores this information without needing to understand its contents.</w:t>
      </w:r>
    </w:p>
    <w:p w14:paraId="0EF26550" w14:textId="3C091DFD" w:rsidR="00D40151" w:rsidRPr="00873B6C" w:rsidRDefault="00D40151" w:rsidP="00D40151">
      <w:pPr>
        <w:pStyle w:val="B2"/>
        <w:rPr>
          <w:lang w:eastAsia="zh-CN"/>
        </w:rPr>
      </w:pPr>
      <w:r w:rsidRPr="00873B6C">
        <w:tab/>
        <w:t xml:space="preserve">As the AMF only infrequently </w:t>
      </w:r>
      <w:r w:rsidR="00960CDA" w:rsidRPr="00873B6C">
        <w:t>(</w:t>
      </w:r>
      <w:r w:rsidRPr="00873B6C">
        <w:t>e.g. at Initial Registration) prompts the NG-RAN to retrieve and upload the UE radio capabilities i.e. UE Radio Capability information to the AMF</w:t>
      </w:r>
      <w:r w:rsidR="00472CD7" w:rsidRPr="00873B6C">
        <w:t xml:space="preserve"> and</w:t>
      </w:r>
      <w:r w:rsidRPr="00873B6C">
        <w:t xml:space="preserve"> the AMF may be connected to more than one NG-RAN RAT, it is the responsibility of the NG-RAN to ensure that UE Radio Capability for Paging Information </w:t>
      </w:r>
      <w:r w:rsidR="00960CDA" w:rsidRPr="00873B6C">
        <w:t>(</w:t>
      </w:r>
      <w:r w:rsidRPr="00873B6C">
        <w:t>which is derived by the NG-RAN node) contains information on all NG-RAN RATs that the UE supports in that PLMN. To assist the NG-RAN in this task</w:t>
      </w:r>
      <w:r w:rsidR="00960CDA" w:rsidRPr="00873B6C">
        <w:t>,</w:t>
      </w:r>
      <w:r w:rsidRPr="00873B6C">
        <w:t xml:space="preserve"> as specified in </w:t>
      </w:r>
      <w:r w:rsidR="00972E70" w:rsidRPr="00873B6C">
        <w:t>TS 38.413 [</w:t>
      </w:r>
      <w:r w:rsidRPr="00873B6C">
        <w:t>34]</w:t>
      </w:r>
      <w:r w:rsidR="00960CDA" w:rsidRPr="00873B6C">
        <w:t>,</w:t>
      </w:r>
      <w:r w:rsidRPr="00873B6C">
        <w:t xml:space="preserve"> the AMF provides its stored UE Radio Capability for Paging Information in every NG-AP INITIAL CONTEXT SETUP REQUEST message sent to the NG-RAN.</w:t>
      </w:r>
    </w:p>
    <w:p w14:paraId="042574F3" w14:textId="066ACFEF" w:rsidR="00D40151" w:rsidRPr="00873B6C" w:rsidRDefault="00D40151" w:rsidP="00D40151">
      <w:pPr>
        <w:pStyle w:val="B2"/>
        <w:rPr>
          <w:lang w:eastAsia="zh-CN"/>
        </w:rPr>
      </w:pPr>
      <w:r w:rsidRPr="00873B6C">
        <w:rPr>
          <w:lang w:eastAsia="zh-CN"/>
        </w:rPr>
        <w:t>-</w:t>
      </w:r>
      <w:r w:rsidRPr="00873B6C">
        <w:rPr>
          <w:lang w:eastAsia="zh-CN"/>
        </w:rPr>
        <w:tab/>
      </w:r>
      <w:r w:rsidRPr="00873B6C">
        <w:t>The UE Radio Capability for Paging Information is maintained in the core network, even during AMF reselection</w:t>
      </w:r>
      <w:r w:rsidR="00472CD7" w:rsidRPr="00873B6C">
        <w:t xml:space="preserve"> and</w:t>
      </w:r>
      <w:r w:rsidR="00E83620" w:rsidRPr="00873B6C">
        <w:t xml:space="preserve"> is stored in the UCMF alongside the UE Radio Capability information associated to a UE Radio Capability ID</w:t>
      </w:r>
      <w:r w:rsidRPr="00873B6C">
        <w:t>.</w:t>
      </w:r>
    </w:p>
    <w:p w14:paraId="2C043B50" w14:textId="77777777" w:rsidR="00D40151" w:rsidRPr="00873B6C" w:rsidRDefault="00D40151" w:rsidP="00D40151">
      <w:pPr>
        <w:pStyle w:val="B1"/>
      </w:pPr>
      <w:r w:rsidRPr="00873B6C">
        <w:rPr>
          <w:lang w:eastAsia="zh-CN"/>
        </w:rPr>
        <w:t>b)</w:t>
      </w:r>
      <w:r w:rsidRPr="00873B6C">
        <w:rPr>
          <w:lang w:eastAsia="zh-CN"/>
        </w:rPr>
        <w:tab/>
      </w:r>
      <w:r w:rsidRPr="00873B6C">
        <w:t>Information On Recommended Cells And RAN nodes For Paging:</w:t>
      </w:r>
    </w:p>
    <w:p w14:paraId="396425E8" w14:textId="058130D4" w:rsidR="00D40151" w:rsidRPr="00873B6C" w:rsidRDefault="00D40151" w:rsidP="00D40151">
      <w:pPr>
        <w:pStyle w:val="B2"/>
      </w:pPr>
      <w:r w:rsidRPr="00873B6C">
        <w:t>-</w:t>
      </w:r>
      <w:r w:rsidRPr="00873B6C">
        <w:tab/>
        <w:t>Information sent by the NG-RAN</w:t>
      </w:r>
      <w:r w:rsidR="00472CD7" w:rsidRPr="00873B6C">
        <w:t xml:space="preserve"> and</w:t>
      </w:r>
      <w:r w:rsidRPr="00873B6C">
        <w:t xml:space="preserve">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873B6C" w:rsidRDefault="00D40151" w:rsidP="00D40151">
      <w:pPr>
        <w:pStyle w:val="B2"/>
        <w:rPr>
          <w:lang w:eastAsia="zh-CN"/>
        </w:rPr>
      </w:pPr>
      <w:r w:rsidRPr="00873B6C">
        <w:rPr>
          <w:lang w:eastAsia="zh-CN"/>
        </w:rPr>
        <w:t>-</w:t>
      </w:r>
      <w:r w:rsidRPr="00873B6C">
        <w:rPr>
          <w:lang w:eastAsia="zh-CN"/>
        </w:rPr>
        <w:tab/>
        <w:t>The RAN provides this information during N2 release.</w:t>
      </w:r>
    </w:p>
    <w:p w14:paraId="28115AEF" w14:textId="77777777" w:rsidR="00D40151" w:rsidRPr="00873B6C" w:rsidRDefault="00D40151" w:rsidP="00D40151">
      <w:pPr>
        <w:pStyle w:val="Heading3"/>
        <w:rPr>
          <w:lang w:eastAsia="zh-CN"/>
        </w:rPr>
      </w:pPr>
      <w:bookmarkStart w:id="1117" w:name="_CR5_4_4a"/>
      <w:bookmarkStart w:id="1118" w:name="_Toc20149746"/>
      <w:bookmarkStart w:id="1119" w:name="_Toc27846537"/>
      <w:bookmarkStart w:id="1120" w:name="_Toc36187661"/>
      <w:bookmarkStart w:id="1121" w:name="_Toc45183565"/>
      <w:bookmarkStart w:id="1122" w:name="_Toc47342407"/>
      <w:bookmarkStart w:id="1123" w:name="_Toc51769105"/>
      <w:bookmarkStart w:id="1124" w:name="_Toc201157035"/>
      <w:bookmarkEnd w:id="1117"/>
      <w:r w:rsidRPr="00873B6C">
        <w:rPr>
          <w:lang w:eastAsia="zh-CN"/>
        </w:rPr>
        <w:t>5.4.4a</w:t>
      </w:r>
      <w:r w:rsidRPr="00873B6C">
        <w:rPr>
          <w:lang w:eastAsia="zh-CN"/>
        </w:rPr>
        <w:tab/>
        <w:t>UE MM Core Network Capability handling</w:t>
      </w:r>
      <w:bookmarkEnd w:id="1118"/>
      <w:bookmarkEnd w:id="1119"/>
      <w:bookmarkEnd w:id="1120"/>
      <w:bookmarkEnd w:id="1121"/>
      <w:bookmarkEnd w:id="1122"/>
      <w:bookmarkEnd w:id="1123"/>
      <w:bookmarkEnd w:id="1124"/>
    </w:p>
    <w:p w14:paraId="3CDA4A88" w14:textId="17D9113B" w:rsidR="00D40151" w:rsidRPr="00873B6C" w:rsidRDefault="00D40151" w:rsidP="00D40151">
      <w:r w:rsidRPr="00873B6C">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972E70" w:rsidRPr="00873B6C">
        <w:t>TS 24.501 [</w:t>
      </w:r>
      <w:r w:rsidRPr="00873B6C">
        <w:t>47] and contains non radio-related capabilities,</w:t>
      </w:r>
      <w:r w:rsidR="00960CDA" w:rsidRPr="00873B6C">
        <w:t xml:space="preserve"> </w:t>
      </w:r>
      <w:r w:rsidRPr="00873B6C">
        <w:t>e.g. the NAS security algorithms</w:t>
      </w:r>
      <w:r w:rsidR="00960CDA" w:rsidRPr="00873B6C">
        <w:t>,</w:t>
      </w:r>
      <w:r w:rsidRPr="00873B6C">
        <w:t xml:space="preserve"> etc. The S1 UE network capability is transferred between all CN nodes at AMF to AMF, AMF to MME, MME to MME</w:t>
      </w:r>
      <w:r w:rsidR="00472CD7" w:rsidRPr="00873B6C">
        <w:t xml:space="preserve"> and</w:t>
      </w:r>
      <w:r w:rsidRPr="00873B6C">
        <w:t xml:space="preserve"> MME to AMF changes. The UE 5GMM Core Network Capability is transferred only at AMF to AMF changes.</w:t>
      </w:r>
    </w:p>
    <w:p w14:paraId="1D6A16BB" w14:textId="515CF614" w:rsidR="00D40151" w:rsidRPr="00873B6C" w:rsidRDefault="00D40151" w:rsidP="00D40151">
      <w:pPr>
        <w:rPr>
          <w:lang w:eastAsia="zh-CN"/>
        </w:rPr>
      </w:pPr>
      <w:r w:rsidRPr="00873B6C">
        <w:rPr>
          <w:lang w:eastAsia="zh-CN"/>
        </w:rPr>
        <w:t>In order to ensure that the UE MM Core Network Capability information stored in the AMF is up to date (e.g. to handle the situation when the USIM is moved into a different device while out of coverage</w:t>
      </w:r>
      <w:r w:rsidR="00472CD7" w:rsidRPr="00873B6C">
        <w:rPr>
          <w:lang w:eastAsia="zh-CN"/>
        </w:rPr>
        <w:t xml:space="preserve"> and</w:t>
      </w:r>
      <w:r w:rsidRPr="00873B6C">
        <w:rPr>
          <w:lang w:eastAsia="zh-CN"/>
        </w:rPr>
        <w:t xml:space="preserve">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873B6C" w:rsidRDefault="00D40151" w:rsidP="00D40151">
      <w:pPr>
        <w:rPr>
          <w:lang w:eastAsia="zh-CN"/>
        </w:rPr>
      </w:pPr>
      <w:r w:rsidRPr="00873B6C">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62B3CAB" w:rsidR="00D40151" w:rsidRPr="00873B6C" w:rsidRDefault="00D40151" w:rsidP="00D40151">
      <w:pPr>
        <w:rPr>
          <w:lang w:eastAsia="zh-CN"/>
        </w:rPr>
      </w:pPr>
      <w:r w:rsidRPr="00873B6C">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972E70" w:rsidRPr="00873B6C">
        <w:rPr>
          <w:lang w:eastAsia="zh-CN"/>
        </w:rPr>
        <w:t>TS 23.502 [</w:t>
      </w:r>
      <w:r w:rsidRPr="00873B6C">
        <w:rPr>
          <w:lang w:eastAsia="zh-CN"/>
        </w:rPr>
        <w:t>3].</w:t>
      </w:r>
    </w:p>
    <w:p w14:paraId="4016C431" w14:textId="77777777" w:rsidR="00D40151" w:rsidRPr="00873B6C" w:rsidRDefault="00D40151" w:rsidP="00D40151">
      <w:pPr>
        <w:rPr>
          <w:lang w:eastAsia="zh-CN"/>
        </w:rPr>
      </w:pPr>
      <w:r w:rsidRPr="00873B6C">
        <w:rPr>
          <w:lang w:eastAsia="zh-CN"/>
        </w:rPr>
        <w:t>The UE shall indicate in the UE 5GMM Core Network Capability if the UE supports:</w:t>
      </w:r>
    </w:p>
    <w:p w14:paraId="44715707" w14:textId="407513F9" w:rsidR="00D40151" w:rsidRPr="00873B6C" w:rsidRDefault="00D40151" w:rsidP="00D40151">
      <w:pPr>
        <w:pStyle w:val="B1"/>
        <w:rPr>
          <w:lang w:eastAsia="zh-CN"/>
        </w:rPr>
      </w:pPr>
      <w:r w:rsidRPr="00873B6C">
        <w:rPr>
          <w:lang w:eastAsia="zh-CN"/>
        </w:rPr>
        <w:t>-</w:t>
      </w:r>
      <w:r w:rsidRPr="00873B6C">
        <w:rPr>
          <w:lang w:eastAsia="zh-CN"/>
        </w:rPr>
        <w:tab/>
        <w:t>Attach in EPC with Request type "Handover" in PDN CONNECTIVITY Request message (</w:t>
      </w:r>
      <w:r w:rsidR="00D602DF" w:rsidRPr="00873B6C">
        <w:rPr>
          <w:lang w:eastAsia="zh-CN"/>
        </w:rPr>
        <w:t xml:space="preserve">clause 5.3.2.1 </w:t>
      </w:r>
      <w:r w:rsidR="00D602DF" w:rsidRPr="00873B6C">
        <w:t>of</w:t>
      </w:r>
      <w:r w:rsidR="00D602DF" w:rsidRPr="00873B6C">
        <w:rPr>
          <w:lang w:eastAsia="zh-CN"/>
        </w:rPr>
        <w:t xml:space="preserve"> </w:t>
      </w:r>
      <w:r w:rsidR="00972E70" w:rsidRPr="00873B6C">
        <w:rPr>
          <w:lang w:eastAsia="zh-CN"/>
        </w:rPr>
        <w:t>TS 23.401 [</w:t>
      </w:r>
      <w:r w:rsidRPr="00873B6C">
        <w:rPr>
          <w:lang w:eastAsia="zh-CN"/>
        </w:rPr>
        <w:t>26]).</w:t>
      </w:r>
    </w:p>
    <w:p w14:paraId="4B248F78" w14:textId="77777777" w:rsidR="00D40151" w:rsidRPr="00873B6C" w:rsidRDefault="00D40151" w:rsidP="00D40151">
      <w:pPr>
        <w:pStyle w:val="B1"/>
        <w:rPr>
          <w:lang w:eastAsia="zh-CN"/>
        </w:rPr>
      </w:pPr>
      <w:r w:rsidRPr="00873B6C">
        <w:rPr>
          <w:lang w:eastAsia="zh-CN"/>
        </w:rPr>
        <w:t>-</w:t>
      </w:r>
      <w:r w:rsidRPr="00873B6C">
        <w:rPr>
          <w:lang w:eastAsia="zh-CN"/>
        </w:rPr>
        <w:tab/>
        <w:t>EPC NAS.</w:t>
      </w:r>
    </w:p>
    <w:p w14:paraId="54A0C5F6" w14:textId="77777777" w:rsidR="00D40151" w:rsidRPr="00873B6C" w:rsidRDefault="00D40151" w:rsidP="00D40151">
      <w:pPr>
        <w:pStyle w:val="B1"/>
        <w:rPr>
          <w:lang w:eastAsia="zh-CN"/>
        </w:rPr>
      </w:pPr>
      <w:r w:rsidRPr="00873B6C">
        <w:rPr>
          <w:lang w:eastAsia="zh-CN"/>
        </w:rPr>
        <w:t>-</w:t>
      </w:r>
      <w:r w:rsidRPr="00873B6C">
        <w:rPr>
          <w:lang w:eastAsia="zh-CN"/>
        </w:rPr>
        <w:tab/>
        <w:t>SMS over NAS.</w:t>
      </w:r>
    </w:p>
    <w:p w14:paraId="36D74044" w14:textId="77777777" w:rsidR="00D40151" w:rsidRPr="00873B6C" w:rsidRDefault="00D40151" w:rsidP="00D40151">
      <w:pPr>
        <w:pStyle w:val="B1"/>
        <w:rPr>
          <w:lang w:eastAsia="zh-CN"/>
        </w:rPr>
      </w:pPr>
      <w:r w:rsidRPr="00873B6C">
        <w:rPr>
          <w:lang w:eastAsia="zh-CN"/>
        </w:rPr>
        <w:lastRenderedPageBreak/>
        <w:t>-</w:t>
      </w:r>
      <w:r w:rsidRPr="00873B6C">
        <w:rPr>
          <w:lang w:eastAsia="zh-CN"/>
        </w:rPr>
        <w:tab/>
        <w:t>LCS.</w:t>
      </w:r>
    </w:p>
    <w:p w14:paraId="7AC938A2" w14:textId="3240978F" w:rsidR="00D40151" w:rsidRPr="00873B6C" w:rsidRDefault="00D40151" w:rsidP="00D40151">
      <w:pPr>
        <w:pStyle w:val="B1"/>
        <w:rPr>
          <w:lang w:eastAsia="zh-CN"/>
        </w:rPr>
      </w:pPr>
      <w:r w:rsidRPr="00873B6C">
        <w:rPr>
          <w:lang w:eastAsia="zh-CN"/>
        </w:rPr>
        <w:t>-</w:t>
      </w:r>
      <w:r w:rsidRPr="00873B6C">
        <w:rPr>
          <w:lang w:eastAsia="zh-CN"/>
        </w:rPr>
        <w:tab/>
        <w:t xml:space="preserve">5G SRVCC from NG-RAN to UTRAN, as specified in </w:t>
      </w:r>
      <w:r w:rsidR="00972E70" w:rsidRPr="00873B6C">
        <w:rPr>
          <w:lang w:eastAsia="zh-CN"/>
        </w:rPr>
        <w:t>TS 23.216 [</w:t>
      </w:r>
      <w:r w:rsidRPr="00873B6C">
        <w:rPr>
          <w:lang w:eastAsia="zh-CN"/>
        </w:rPr>
        <w:t>88].</w:t>
      </w:r>
    </w:p>
    <w:p w14:paraId="148E8714" w14:textId="77777777" w:rsidR="00D40151" w:rsidRPr="00873B6C" w:rsidRDefault="00D40151" w:rsidP="00D40151">
      <w:pPr>
        <w:pStyle w:val="B1"/>
        <w:rPr>
          <w:lang w:eastAsia="zh-CN"/>
        </w:rPr>
      </w:pPr>
      <w:r w:rsidRPr="00873B6C">
        <w:rPr>
          <w:lang w:eastAsia="zh-CN"/>
        </w:rPr>
        <w:t>-</w:t>
      </w:r>
      <w:r w:rsidRPr="00873B6C">
        <w:rPr>
          <w:lang w:eastAsia="zh-CN"/>
        </w:rPr>
        <w:tab/>
        <w:t>Radio Capabilities Signalling optimisation (RACS).</w:t>
      </w:r>
    </w:p>
    <w:p w14:paraId="3AE0D738" w14:textId="77777777" w:rsidR="00D40151" w:rsidRPr="00873B6C" w:rsidRDefault="00D40151" w:rsidP="00D40151">
      <w:pPr>
        <w:pStyle w:val="B1"/>
        <w:rPr>
          <w:lang w:eastAsia="zh-CN"/>
        </w:rPr>
      </w:pPr>
      <w:r w:rsidRPr="00873B6C">
        <w:rPr>
          <w:lang w:eastAsia="zh-CN"/>
        </w:rPr>
        <w:t>-</w:t>
      </w:r>
      <w:r w:rsidRPr="00873B6C">
        <w:rPr>
          <w:lang w:eastAsia="zh-CN"/>
        </w:rPr>
        <w:tab/>
        <w:t>Network Slice-Specific Authentication and Authorization.</w:t>
      </w:r>
    </w:p>
    <w:p w14:paraId="1FE13DDE" w14:textId="7DE9DB64" w:rsidR="003E03C2" w:rsidRPr="00873B6C" w:rsidRDefault="003E03C2" w:rsidP="00D40151">
      <w:pPr>
        <w:pStyle w:val="B1"/>
        <w:rPr>
          <w:lang w:eastAsia="zh-CN"/>
        </w:rPr>
      </w:pPr>
      <w:bookmarkStart w:id="1125" w:name="_Toc20149747"/>
      <w:bookmarkStart w:id="1126" w:name="_Toc27846538"/>
      <w:r w:rsidRPr="00873B6C">
        <w:rPr>
          <w:lang w:eastAsia="zh-CN"/>
        </w:rPr>
        <w:t>-</w:t>
      </w:r>
      <w:r w:rsidRPr="00873B6C">
        <w:rPr>
          <w:lang w:eastAsia="zh-CN"/>
        </w:rPr>
        <w:tab/>
        <w:t>Network Slice Replacement as described in clause 5.15.19.</w:t>
      </w:r>
    </w:p>
    <w:p w14:paraId="5EAD47B9" w14:textId="1259F38E" w:rsidR="00D40151" w:rsidRPr="00873B6C" w:rsidRDefault="00D40151" w:rsidP="00D40151">
      <w:pPr>
        <w:pStyle w:val="B1"/>
        <w:rPr>
          <w:lang w:eastAsia="zh-CN"/>
        </w:rPr>
      </w:pPr>
      <w:r w:rsidRPr="00873B6C">
        <w:rPr>
          <w:lang w:eastAsia="zh-CN"/>
        </w:rPr>
        <w:t>-</w:t>
      </w:r>
      <w:r w:rsidRPr="00873B6C">
        <w:rPr>
          <w:lang w:eastAsia="zh-CN"/>
        </w:rPr>
        <w:tab/>
        <w:t>Parameters in Supported Network Behaviour for 5G CIoT as described in clause 5.31.2.</w:t>
      </w:r>
    </w:p>
    <w:p w14:paraId="38A56FE1" w14:textId="64DC6E5C" w:rsidR="00D40151" w:rsidRPr="00873B6C" w:rsidRDefault="00D40151" w:rsidP="00D40151">
      <w:pPr>
        <w:pStyle w:val="B1"/>
        <w:rPr>
          <w:lang w:eastAsia="zh-CN"/>
        </w:rPr>
      </w:pPr>
      <w:r w:rsidRPr="00873B6C">
        <w:rPr>
          <w:lang w:eastAsia="zh-CN"/>
        </w:rPr>
        <w:t>-</w:t>
      </w:r>
      <w:r w:rsidRPr="00873B6C">
        <w:rPr>
          <w:lang w:eastAsia="zh-CN"/>
        </w:rPr>
        <w:tab/>
        <w:t>Receiving WUS Assistance Information</w:t>
      </w:r>
      <w:r w:rsidR="00283ED6" w:rsidRPr="00873B6C">
        <w:rPr>
          <w:lang w:eastAsia="zh-CN"/>
        </w:rPr>
        <w:t xml:space="preserve"> (E-UTRA) see clause 5.4.9.</w:t>
      </w:r>
    </w:p>
    <w:p w14:paraId="6A77B2E9" w14:textId="0D178F75" w:rsidR="00283ED6" w:rsidRPr="00873B6C" w:rsidRDefault="00283ED6" w:rsidP="00D40151">
      <w:pPr>
        <w:pStyle w:val="B1"/>
        <w:rPr>
          <w:lang w:eastAsia="zh-CN"/>
        </w:rPr>
      </w:pPr>
      <w:bookmarkStart w:id="1127" w:name="_Toc36187662"/>
      <w:r w:rsidRPr="00873B6C">
        <w:rPr>
          <w:lang w:eastAsia="zh-CN"/>
        </w:rPr>
        <w:t>-</w:t>
      </w:r>
      <w:r w:rsidRPr="00873B6C">
        <w:rPr>
          <w:lang w:eastAsia="zh-CN"/>
        </w:rPr>
        <w:tab/>
        <w:t>Paging Subgrouping Support Indication (NR) see clause 5.4.12.</w:t>
      </w:r>
    </w:p>
    <w:p w14:paraId="3DC1E541" w14:textId="4669F8B9" w:rsidR="00D40151" w:rsidRPr="00873B6C" w:rsidRDefault="00D40151" w:rsidP="00D40151">
      <w:pPr>
        <w:pStyle w:val="B1"/>
        <w:rPr>
          <w:lang w:eastAsia="zh-CN"/>
        </w:rPr>
      </w:pPr>
      <w:r w:rsidRPr="00873B6C">
        <w:rPr>
          <w:lang w:eastAsia="zh-CN"/>
        </w:rPr>
        <w:t>-</w:t>
      </w:r>
      <w:r w:rsidRPr="00873B6C">
        <w:rPr>
          <w:lang w:eastAsia="zh-CN"/>
        </w:rPr>
        <w:tab/>
        <w:t>CAG, see clause 5.30.3.3.</w:t>
      </w:r>
    </w:p>
    <w:p w14:paraId="1B797D32" w14:textId="02745246" w:rsidR="00022CB9" w:rsidRPr="00873B6C" w:rsidRDefault="00022CB9" w:rsidP="00E83620">
      <w:pPr>
        <w:pStyle w:val="B1"/>
        <w:rPr>
          <w:lang w:eastAsia="zh-CN"/>
        </w:rPr>
      </w:pPr>
      <w:bookmarkStart w:id="1128" w:name="_Toc45183566"/>
      <w:bookmarkStart w:id="1129" w:name="_Toc47342408"/>
      <w:bookmarkStart w:id="1130" w:name="_Toc51769106"/>
      <w:r w:rsidRPr="00873B6C">
        <w:rPr>
          <w:lang w:eastAsia="zh-CN"/>
        </w:rPr>
        <w:t>-</w:t>
      </w:r>
      <w:r w:rsidRPr="00873B6C">
        <w:rPr>
          <w:lang w:eastAsia="zh-CN"/>
        </w:rPr>
        <w:tab/>
        <w:t>CAG with validity information (if UE supports CAG), see clause 5.30.3.3.</w:t>
      </w:r>
    </w:p>
    <w:p w14:paraId="6D603990" w14:textId="753F6102" w:rsidR="00E83620" w:rsidRPr="00873B6C" w:rsidRDefault="00E83620" w:rsidP="00E83620">
      <w:pPr>
        <w:pStyle w:val="B1"/>
        <w:rPr>
          <w:lang w:eastAsia="zh-CN"/>
        </w:rPr>
      </w:pPr>
      <w:r w:rsidRPr="00873B6C">
        <w:rPr>
          <w:lang w:eastAsia="zh-CN"/>
        </w:rPr>
        <w:t>-</w:t>
      </w:r>
      <w:r w:rsidRPr="00873B6C">
        <w:rPr>
          <w:lang w:eastAsia="zh-CN"/>
        </w:rPr>
        <w:tab/>
        <w:t>Subscription-based restrictions to simultaneous registration of network slices (see clause 5.15.12).</w:t>
      </w:r>
    </w:p>
    <w:p w14:paraId="05A6DE5E" w14:textId="304FCDEE" w:rsidR="00972BA6" w:rsidRPr="00873B6C" w:rsidRDefault="00972BA6" w:rsidP="0073598F">
      <w:pPr>
        <w:pStyle w:val="B1"/>
        <w:rPr>
          <w:lang w:eastAsia="zh-CN"/>
        </w:rPr>
      </w:pPr>
      <w:r w:rsidRPr="00873B6C">
        <w:rPr>
          <w:lang w:eastAsia="zh-CN"/>
        </w:rPr>
        <w:t>-</w:t>
      </w:r>
      <w:r w:rsidRPr="00873B6C">
        <w:rPr>
          <w:lang w:eastAsia="zh-CN"/>
        </w:rPr>
        <w:tab/>
        <w:t>Support of NSAG (see clause 5.15.14).</w:t>
      </w:r>
    </w:p>
    <w:p w14:paraId="6EDFCDAA" w14:textId="0069429B" w:rsidR="00D01473" w:rsidRPr="00873B6C" w:rsidRDefault="00D01473" w:rsidP="005309E6">
      <w:pPr>
        <w:pStyle w:val="B1"/>
        <w:rPr>
          <w:lang w:eastAsia="zh-CN"/>
        </w:rPr>
      </w:pPr>
      <w:r w:rsidRPr="00873B6C">
        <w:rPr>
          <w:lang w:eastAsia="zh-CN"/>
        </w:rPr>
        <w:t>-</w:t>
      </w:r>
      <w:r w:rsidRPr="00873B6C">
        <w:rPr>
          <w:lang w:eastAsia="zh-CN"/>
        </w:rPr>
        <w:tab/>
        <w:t>Partial Network Slice support in a RA (see clause 5.15.17).</w:t>
      </w:r>
    </w:p>
    <w:p w14:paraId="0D17B5B9" w14:textId="1F6E8B39" w:rsidR="005309E6" w:rsidRPr="00873B6C" w:rsidRDefault="005309E6" w:rsidP="005309E6">
      <w:pPr>
        <w:pStyle w:val="B1"/>
        <w:rPr>
          <w:lang w:eastAsia="zh-CN"/>
        </w:rPr>
      </w:pPr>
      <w:r w:rsidRPr="00873B6C">
        <w:rPr>
          <w:lang w:eastAsia="zh-CN"/>
        </w:rPr>
        <w:t>-</w:t>
      </w:r>
      <w:r w:rsidRPr="00873B6C">
        <w:rPr>
          <w:lang w:eastAsia="zh-CN"/>
        </w:rPr>
        <w:tab/>
        <w:t>Minimization of Service Interruption (MINT), as described in clause 5.40.</w:t>
      </w:r>
    </w:p>
    <w:p w14:paraId="3CD94681" w14:textId="7BE72063" w:rsidR="003E5241" w:rsidRPr="00873B6C" w:rsidRDefault="003E5241" w:rsidP="003E5241">
      <w:pPr>
        <w:pStyle w:val="B1"/>
        <w:rPr>
          <w:lang w:eastAsia="zh-CN"/>
        </w:rPr>
      </w:pPr>
      <w:r w:rsidRPr="00873B6C">
        <w:rPr>
          <w:lang w:eastAsia="zh-CN"/>
        </w:rPr>
        <w:t>-</w:t>
      </w:r>
      <w:r w:rsidRPr="00873B6C">
        <w:rPr>
          <w:lang w:eastAsia="zh-CN"/>
        </w:rPr>
        <w:tab/>
        <w:t>Equivalent SNPNs (see clause 5.30.2.11).</w:t>
      </w:r>
    </w:p>
    <w:p w14:paraId="64702B3C" w14:textId="58BF2397" w:rsidR="00872C86" w:rsidRPr="00873B6C" w:rsidRDefault="00872C86" w:rsidP="00872C86">
      <w:pPr>
        <w:pStyle w:val="B1"/>
        <w:rPr>
          <w:lang w:eastAsia="zh-CN"/>
        </w:rPr>
      </w:pPr>
      <w:r w:rsidRPr="00873B6C">
        <w:rPr>
          <w:lang w:eastAsia="zh-CN"/>
        </w:rPr>
        <w:t>-</w:t>
      </w:r>
      <w:r w:rsidRPr="00873B6C">
        <w:rPr>
          <w:lang w:eastAsia="zh-CN"/>
        </w:rPr>
        <w:tab/>
        <w:t>Unavailability Period</w:t>
      </w:r>
      <w:r w:rsidR="004119E4" w:rsidRPr="00873B6C">
        <w:rPr>
          <w:lang w:eastAsia="zh-CN"/>
        </w:rPr>
        <w:t xml:space="preserve"> Support</w:t>
      </w:r>
      <w:r w:rsidRPr="00873B6C">
        <w:rPr>
          <w:lang w:eastAsia="zh-CN"/>
        </w:rPr>
        <w:t>, as described in clause 5.4.1.4.</w:t>
      </w:r>
    </w:p>
    <w:p w14:paraId="5A8FA7DA" w14:textId="1C057D3F" w:rsidR="002C4A81" w:rsidRPr="00873B6C" w:rsidRDefault="002C4A81" w:rsidP="002C4A81">
      <w:pPr>
        <w:pStyle w:val="B1"/>
        <w:rPr>
          <w:lang w:eastAsia="zh-CN"/>
        </w:rPr>
      </w:pPr>
      <w:r w:rsidRPr="00873B6C">
        <w:rPr>
          <w:lang w:eastAsia="zh-CN"/>
        </w:rPr>
        <w:t>-</w:t>
      </w:r>
      <w:r w:rsidRPr="00873B6C">
        <w:rPr>
          <w:lang w:eastAsia="zh-CN"/>
        </w:rPr>
        <w:tab/>
        <w:t>Support for network reconnection due to RAN timing synchronization status change, see clause</w:t>
      </w:r>
      <w:r w:rsidR="00965644" w:rsidRPr="00873B6C">
        <w:rPr>
          <w:lang w:eastAsia="zh-CN"/>
        </w:rPr>
        <w:t xml:space="preserve">s 5.27.1.12 and </w:t>
      </w:r>
      <w:r w:rsidRPr="00873B6C">
        <w:rPr>
          <w:lang w:eastAsia="zh-CN"/>
        </w:rPr>
        <w:t>5.3.4.4.</w:t>
      </w:r>
    </w:p>
    <w:p w14:paraId="27BDD2BE" w14:textId="004D44E0" w:rsidR="00B7520E" w:rsidRPr="00873B6C" w:rsidRDefault="00B7520E" w:rsidP="00B7520E">
      <w:pPr>
        <w:pStyle w:val="B1"/>
        <w:rPr>
          <w:lang w:eastAsia="zh-CN"/>
        </w:rPr>
      </w:pPr>
      <w:r w:rsidRPr="00873B6C">
        <w:rPr>
          <w:lang w:eastAsia="zh-CN"/>
        </w:rPr>
        <w:t>-</w:t>
      </w:r>
      <w:r w:rsidRPr="00873B6C">
        <w:rPr>
          <w:lang w:eastAsia="zh-CN"/>
        </w:rPr>
        <w:tab/>
        <w:t>UE Configuration of network-controlled Slice Usage Policy (see clause 5.15.15.2).</w:t>
      </w:r>
    </w:p>
    <w:p w14:paraId="5948319A" w14:textId="2DF9E5B8" w:rsidR="00985055" w:rsidRPr="00873B6C" w:rsidRDefault="00985055" w:rsidP="00985055">
      <w:pPr>
        <w:pStyle w:val="B1"/>
        <w:rPr>
          <w:lang w:eastAsia="zh-CN"/>
        </w:rPr>
      </w:pPr>
      <w:r w:rsidRPr="00873B6C">
        <w:rPr>
          <w:lang w:eastAsia="zh-CN"/>
        </w:rPr>
        <w:t>-</w:t>
      </w:r>
      <w:r w:rsidRPr="00873B6C">
        <w:rPr>
          <w:lang w:eastAsia="zh-CN"/>
        </w:rPr>
        <w:tab/>
        <w:t>Temporarily available network slices (see clause 5.15.16).</w:t>
      </w:r>
    </w:p>
    <w:p w14:paraId="0396E8C1" w14:textId="4B46382E" w:rsidR="00335A94" w:rsidRPr="00873B6C" w:rsidRDefault="00335A94" w:rsidP="00335A94">
      <w:pPr>
        <w:pStyle w:val="B1"/>
        <w:rPr>
          <w:lang w:eastAsia="zh-CN"/>
        </w:rPr>
      </w:pPr>
      <w:r w:rsidRPr="00873B6C">
        <w:rPr>
          <w:lang w:eastAsia="zh-CN"/>
        </w:rPr>
        <w:t>-</w:t>
      </w:r>
      <w:r w:rsidRPr="00873B6C">
        <w:rPr>
          <w:lang w:eastAsia="zh-CN"/>
        </w:rPr>
        <w:tab/>
        <w:t>Support of S-NSSAI location availability information, as described in clause 5.15.18.2.</w:t>
      </w:r>
    </w:p>
    <w:p w14:paraId="32E578D3" w14:textId="592BC61D" w:rsidR="00500903" w:rsidRPr="00873B6C" w:rsidRDefault="00500903" w:rsidP="00500903">
      <w:pPr>
        <w:pStyle w:val="B1"/>
        <w:rPr>
          <w:lang w:eastAsia="zh-CN"/>
        </w:rPr>
      </w:pPr>
      <w:r w:rsidRPr="00873B6C">
        <w:rPr>
          <w:lang w:eastAsia="zh-CN"/>
        </w:rPr>
        <w:t>-</w:t>
      </w:r>
      <w:r w:rsidRPr="00873B6C">
        <w:rPr>
          <w:lang w:eastAsia="zh-CN"/>
        </w:rPr>
        <w:tab/>
        <w:t>Support of network verified UE location over NR NTN (see clause 5.4.11.4).</w:t>
      </w:r>
    </w:p>
    <w:p w14:paraId="6007A4DA" w14:textId="4DC47AC6" w:rsidR="000F5D21" w:rsidRPr="00873B6C" w:rsidRDefault="000F5D21" w:rsidP="000F5D21">
      <w:pPr>
        <w:rPr>
          <w:lang w:eastAsia="zh-CN"/>
        </w:rPr>
      </w:pPr>
      <w:r w:rsidRPr="00873B6C">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873B6C" w:rsidRDefault="000F5D21" w:rsidP="00562E84">
      <w:pPr>
        <w:pStyle w:val="B1"/>
        <w:rPr>
          <w:lang w:eastAsia="zh-CN"/>
        </w:rPr>
      </w:pPr>
      <w:r w:rsidRPr="00873B6C">
        <w:rPr>
          <w:lang w:eastAsia="zh-CN"/>
        </w:rPr>
        <w:t>-</w:t>
      </w:r>
      <w:r w:rsidRPr="00873B6C">
        <w:rPr>
          <w:lang w:eastAsia="zh-CN"/>
        </w:rPr>
        <w:tab/>
        <w:t>Connection Release Supported.</w:t>
      </w:r>
    </w:p>
    <w:p w14:paraId="73F51EDB" w14:textId="431ADA61" w:rsidR="000F5D21" w:rsidRPr="00873B6C" w:rsidRDefault="000F5D21" w:rsidP="00562E84">
      <w:pPr>
        <w:pStyle w:val="B1"/>
        <w:rPr>
          <w:lang w:eastAsia="zh-CN"/>
        </w:rPr>
      </w:pPr>
      <w:r w:rsidRPr="00873B6C">
        <w:rPr>
          <w:lang w:eastAsia="zh-CN"/>
        </w:rPr>
        <w:t>-</w:t>
      </w:r>
      <w:r w:rsidRPr="00873B6C">
        <w:rPr>
          <w:lang w:eastAsia="zh-CN"/>
        </w:rPr>
        <w:tab/>
        <w:t>Paging Cause</w:t>
      </w:r>
      <w:r w:rsidR="008546A1" w:rsidRPr="00873B6C">
        <w:rPr>
          <w:lang w:eastAsia="zh-CN"/>
        </w:rPr>
        <w:t xml:space="preserve"> Indication for Voice Service</w:t>
      </w:r>
      <w:r w:rsidRPr="00873B6C">
        <w:rPr>
          <w:lang w:eastAsia="zh-CN"/>
        </w:rPr>
        <w:t xml:space="preserve"> Supported.</w:t>
      </w:r>
    </w:p>
    <w:p w14:paraId="6C17D85A" w14:textId="41F2914E" w:rsidR="000F5D21" w:rsidRPr="00873B6C" w:rsidRDefault="000F5D21" w:rsidP="00562E84">
      <w:pPr>
        <w:pStyle w:val="B1"/>
        <w:rPr>
          <w:lang w:eastAsia="zh-CN"/>
        </w:rPr>
      </w:pPr>
      <w:r w:rsidRPr="00873B6C">
        <w:rPr>
          <w:lang w:eastAsia="zh-CN"/>
        </w:rPr>
        <w:t>-</w:t>
      </w:r>
      <w:r w:rsidRPr="00873B6C">
        <w:rPr>
          <w:lang w:eastAsia="zh-CN"/>
        </w:rPr>
        <w:tab/>
        <w:t>Reject Paging</w:t>
      </w:r>
      <w:r w:rsidR="008546A1" w:rsidRPr="00873B6C">
        <w:rPr>
          <w:lang w:eastAsia="zh-CN"/>
        </w:rPr>
        <w:t xml:space="preserve"> Request</w:t>
      </w:r>
      <w:r w:rsidRPr="00873B6C">
        <w:rPr>
          <w:lang w:eastAsia="zh-CN"/>
        </w:rPr>
        <w:t xml:space="preserve"> Supported.</w:t>
      </w:r>
    </w:p>
    <w:p w14:paraId="3D2DA0CB" w14:textId="0D190588" w:rsidR="008546A1" w:rsidRPr="00873B6C" w:rsidRDefault="008546A1" w:rsidP="008546A1">
      <w:pPr>
        <w:pStyle w:val="B1"/>
        <w:rPr>
          <w:lang w:eastAsia="zh-CN"/>
        </w:rPr>
      </w:pPr>
      <w:r w:rsidRPr="00873B6C">
        <w:rPr>
          <w:lang w:eastAsia="zh-CN"/>
        </w:rPr>
        <w:t>-</w:t>
      </w:r>
      <w:r w:rsidRPr="00873B6C">
        <w:rPr>
          <w:lang w:eastAsia="zh-CN"/>
        </w:rPr>
        <w:tab/>
        <w:t>Paging Restriction Supported.</w:t>
      </w:r>
    </w:p>
    <w:p w14:paraId="67B5FA0B" w14:textId="2AF25590" w:rsidR="000F5D21" w:rsidRPr="00873B6C" w:rsidRDefault="000F5D21" w:rsidP="000F5D21">
      <w:pPr>
        <w:rPr>
          <w:lang w:eastAsia="zh-CN"/>
        </w:rPr>
      </w:pPr>
      <w:r w:rsidRPr="00873B6C">
        <w:rPr>
          <w:lang w:eastAsia="zh-CN"/>
        </w:rPr>
        <w:t>Otherwise, the UE with the capabilities of Multi-USIM features</w:t>
      </w:r>
      <w:r w:rsidR="008546A1" w:rsidRPr="00873B6C">
        <w:rPr>
          <w:lang w:eastAsia="zh-CN"/>
        </w:rPr>
        <w:t xml:space="preserve"> but does not intend to use them</w:t>
      </w:r>
      <w:r w:rsidRPr="00873B6C">
        <w:rPr>
          <w:lang w:eastAsia="zh-CN"/>
        </w:rPr>
        <w:t xml:space="preserve"> shall</w:t>
      </w:r>
      <w:r w:rsidR="008546A1" w:rsidRPr="00873B6C">
        <w:rPr>
          <w:lang w:eastAsia="zh-CN"/>
        </w:rPr>
        <w:t xml:space="preserve"> not</w:t>
      </w:r>
      <w:r w:rsidRPr="00873B6C">
        <w:rPr>
          <w:lang w:eastAsia="zh-CN"/>
        </w:rPr>
        <w:t xml:space="preserve"> indicate</w:t>
      </w:r>
      <w:r w:rsidR="008546A1" w:rsidRPr="00873B6C">
        <w:rPr>
          <w:lang w:eastAsia="zh-CN"/>
        </w:rPr>
        <w:t xml:space="preserve"> support of</w:t>
      </w:r>
      <w:r w:rsidRPr="00873B6C">
        <w:rPr>
          <w:lang w:eastAsia="zh-CN"/>
        </w:rPr>
        <w:t xml:space="preserve"> these one or more Multi-USIM features.</w:t>
      </w:r>
    </w:p>
    <w:p w14:paraId="6761BD83" w14:textId="77777777" w:rsidR="000F5D21" w:rsidRPr="00873B6C" w:rsidRDefault="000F5D21" w:rsidP="000F5D21">
      <w:pPr>
        <w:rPr>
          <w:lang w:eastAsia="zh-CN"/>
        </w:rPr>
      </w:pPr>
      <w:r w:rsidRPr="00873B6C">
        <w:rPr>
          <w:lang w:eastAsia="zh-CN"/>
        </w:rPr>
        <w:t>A UE not operating two or more USIMs shall indicate the Multi-USIM features are not supported.</w:t>
      </w:r>
    </w:p>
    <w:p w14:paraId="6D7EFA36" w14:textId="6CB12524" w:rsidR="000F5D21" w:rsidRPr="00873B6C" w:rsidRDefault="000F5D21" w:rsidP="00562E84">
      <w:pPr>
        <w:pStyle w:val="NO"/>
        <w:rPr>
          <w:lang w:eastAsia="zh-CN"/>
        </w:rPr>
      </w:pPr>
      <w:r w:rsidRPr="00873B6C">
        <w:rPr>
          <w:lang w:eastAsia="zh-CN"/>
        </w:rPr>
        <w:t>NOTE:</w:t>
      </w:r>
      <w:r w:rsidRPr="00873B6C">
        <w:rPr>
          <w:lang w:eastAsia="zh-CN"/>
        </w:rPr>
        <w:tab/>
        <w:t>It is not necessary for a UE operating two or more USIMs to use Multi-USIM features with all USIMs.</w:t>
      </w:r>
    </w:p>
    <w:p w14:paraId="5284B246" w14:textId="2AD388E2" w:rsidR="00D40151" w:rsidRPr="00873B6C" w:rsidRDefault="00D40151" w:rsidP="00D40151">
      <w:pPr>
        <w:pStyle w:val="Heading3"/>
        <w:rPr>
          <w:lang w:eastAsia="zh-CN"/>
        </w:rPr>
      </w:pPr>
      <w:bookmarkStart w:id="1131" w:name="_CR5_4_4b"/>
      <w:bookmarkStart w:id="1132" w:name="_Toc201157036"/>
      <w:bookmarkEnd w:id="1131"/>
      <w:r w:rsidRPr="00873B6C">
        <w:rPr>
          <w:lang w:eastAsia="zh-CN"/>
        </w:rPr>
        <w:t>5.4.4b</w:t>
      </w:r>
      <w:r w:rsidRPr="00873B6C">
        <w:rPr>
          <w:lang w:eastAsia="zh-CN"/>
        </w:rPr>
        <w:tab/>
        <w:t>UE 5GSM Core Network Capability handling</w:t>
      </w:r>
      <w:bookmarkEnd w:id="1125"/>
      <w:bookmarkEnd w:id="1126"/>
      <w:bookmarkEnd w:id="1127"/>
      <w:bookmarkEnd w:id="1128"/>
      <w:bookmarkEnd w:id="1129"/>
      <w:bookmarkEnd w:id="1130"/>
      <w:bookmarkEnd w:id="1132"/>
    </w:p>
    <w:p w14:paraId="47B80218" w14:textId="77777777" w:rsidR="00D40151" w:rsidRPr="00873B6C" w:rsidRDefault="00D40151" w:rsidP="00D40151">
      <w:pPr>
        <w:rPr>
          <w:lang w:eastAsia="zh-CN"/>
        </w:rPr>
      </w:pPr>
      <w:r w:rsidRPr="00873B6C">
        <w:rPr>
          <w:lang w:eastAsia="zh-CN"/>
        </w:rPr>
        <w:t>The UE 5GSM Core Network Capability is included in PDU Session Establishment/Modification Request.</w:t>
      </w:r>
    </w:p>
    <w:p w14:paraId="79352450" w14:textId="77777777" w:rsidR="00D40151" w:rsidRPr="00873B6C" w:rsidRDefault="00D40151" w:rsidP="00D40151">
      <w:pPr>
        <w:rPr>
          <w:lang w:eastAsia="zh-CN"/>
        </w:rPr>
      </w:pPr>
      <w:r w:rsidRPr="00873B6C">
        <w:rPr>
          <w:lang w:eastAsia="zh-CN"/>
        </w:rPr>
        <w:t>The UE shall indicate in the UE 5GSM Core Network Capability whether the UE supports:</w:t>
      </w:r>
    </w:p>
    <w:p w14:paraId="06BF09DA" w14:textId="77777777" w:rsidR="00D40151" w:rsidRPr="00873B6C" w:rsidRDefault="00D40151" w:rsidP="00D40151">
      <w:pPr>
        <w:pStyle w:val="B1"/>
        <w:rPr>
          <w:lang w:eastAsia="zh-CN"/>
        </w:rPr>
      </w:pPr>
      <w:r w:rsidRPr="00873B6C">
        <w:rPr>
          <w:lang w:eastAsia="zh-CN"/>
        </w:rPr>
        <w:lastRenderedPageBreak/>
        <w:t>-</w:t>
      </w:r>
      <w:r w:rsidRPr="00873B6C">
        <w:rPr>
          <w:lang w:eastAsia="zh-CN"/>
        </w:rPr>
        <w:tab/>
        <w:t>"Ethernet" PDU Session Type supported in EPC as PDN Type "Ethernet";</w:t>
      </w:r>
    </w:p>
    <w:p w14:paraId="69E99C2D" w14:textId="77777777" w:rsidR="00D40151" w:rsidRPr="00873B6C" w:rsidRDefault="00D40151" w:rsidP="00D40151">
      <w:pPr>
        <w:pStyle w:val="B1"/>
        <w:rPr>
          <w:lang w:eastAsia="zh-CN"/>
        </w:rPr>
      </w:pPr>
      <w:r w:rsidRPr="00873B6C">
        <w:rPr>
          <w:lang w:eastAsia="zh-CN"/>
        </w:rPr>
        <w:t>-</w:t>
      </w:r>
      <w:r w:rsidRPr="00873B6C">
        <w:rPr>
          <w:lang w:eastAsia="zh-CN"/>
        </w:rPr>
        <w:tab/>
        <w:t>Reflective QoS;</w:t>
      </w:r>
    </w:p>
    <w:p w14:paraId="42195C17" w14:textId="77777777" w:rsidR="00D40151" w:rsidRPr="00873B6C" w:rsidRDefault="00D40151" w:rsidP="00D40151">
      <w:pPr>
        <w:pStyle w:val="B1"/>
        <w:rPr>
          <w:lang w:eastAsia="zh-CN"/>
        </w:rPr>
      </w:pPr>
      <w:r w:rsidRPr="00873B6C">
        <w:rPr>
          <w:lang w:eastAsia="zh-CN"/>
        </w:rPr>
        <w:t>-</w:t>
      </w:r>
      <w:r w:rsidRPr="00873B6C">
        <w:rPr>
          <w:lang w:eastAsia="zh-CN"/>
        </w:rPr>
        <w:tab/>
        <w:t>Multi-homed IPv6 PDU Session (only if the Requested PDU Type was set to "IPv6" or "IPv4v6");</w:t>
      </w:r>
    </w:p>
    <w:p w14:paraId="61EEADDA" w14:textId="77777777" w:rsidR="00D40151" w:rsidRPr="00873B6C" w:rsidRDefault="00D40151" w:rsidP="00D40151">
      <w:pPr>
        <w:pStyle w:val="B1"/>
        <w:rPr>
          <w:lang w:eastAsia="zh-CN"/>
        </w:rPr>
      </w:pPr>
      <w:r w:rsidRPr="00873B6C">
        <w:rPr>
          <w:lang w:eastAsia="zh-CN"/>
        </w:rPr>
        <w:t>-</w:t>
      </w:r>
      <w:r w:rsidRPr="00873B6C">
        <w:rPr>
          <w:lang w:eastAsia="zh-CN"/>
        </w:rPr>
        <w:tab/>
        <w:t>ATSSS capability (as referred to clause 5.32.2);</w:t>
      </w:r>
    </w:p>
    <w:p w14:paraId="1C9079AF" w14:textId="0A99A2E2" w:rsidR="00D40151" w:rsidRPr="00873B6C" w:rsidRDefault="00D40151" w:rsidP="00D40151">
      <w:pPr>
        <w:pStyle w:val="B1"/>
        <w:rPr>
          <w:lang w:eastAsia="zh-CN"/>
        </w:rPr>
      </w:pPr>
      <w:r w:rsidRPr="00873B6C">
        <w:rPr>
          <w:lang w:eastAsia="zh-CN"/>
        </w:rPr>
        <w:t>-</w:t>
      </w:r>
      <w:r w:rsidRPr="00873B6C">
        <w:rPr>
          <w:lang w:eastAsia="zh-CN"/>
        </w:rPr>
        <w:tab/>
        <w:t>Transfer of Port Management Information containers</w:t>
      </w:r>
      <w:r w:rsidR="0014088C" w:rsidRPr="00873B6C">
        <w:rPr>
          <w:lang w:eastAsia="zh-CN"/>
        </w:rPr>
        <w:t>;</w:t>
      </w:r>
    </w:p>
    <w:p w14:paraId="47C4D172" w14:textId="0CFE85FE" w:rsidR="0014088C" w:rsidRPr="00873B6C" w:rsidRDefault="0014088C" w:rsidP="0014088C">
      <w:pPr>
        <w:pStyle w:val="B1"/>
        <w:rPr>
          <w:lang w:eastAsia="zh-CN"/>
        </w:rPr>
      </w:pPr>
      <w:r w:rsidRPr="00873B6C">
        <w:rPr>
          <w:lang w:eastAsia="zh-CN"/>
        </w:rPr>
        <w:t>-</w:t>
      </w:r>
      <w:r w:rsidRPr="00873B6C">
        <w:rPr>
          <w:lang w:eastAsia="zh-CN"/>
        </w:rPr>
        <w:tab/>
        <w:t>Support for secondary DN authentication and authorization over EPC (as referred to clause 5.17.2.5).</w:t>
      </w:r>
    </w:p>
    <w:p w14:paraId="6D990138" w14:textId="77777777" w:rsidR="00D40151" w:rsidRPr="00873B6C" w:rsidRDefault="00D40151" w:rsidP="00D40151">
      <w:pPr>
        <w:rPr>
          <w:lang w:eastAsia="zh-CN"/>
        </w:rPr>
      </w:pPr>
      <w:r w:rsidRPr="00873B6C">
        <w:rPr>
          <w:lang w:eastAsia="zh-CN"/>
        </w:rPr>
        <w:t>The 5GSM Core Network Capability is transferred, if needed, from V-SMF to H-SMF during PDU Session Establishment/Modification procedure.</w:t>
      </w:r>
    </w:p>
    <w:p w14:paraId="21D0A899" w14:textId="77777777" w:rsidR="00D40151" w:rsidRPr="00873B6C" w:rsidRDefault="00D40151" w:rsidP="00D40151">
      <w:pPr>
        <w:rPr>
          <w:lang w:eastAsia="zh-CN"/>
        </w:rPr>
      </w:pPr>
      <w:r w:rsidRPr="00873B6C">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873B6C" w:rsidRDefault="00D40151" w:rsidP="00D40151">
      <w:pPr>
        <w:pStyle w:val="Heading3"/>
        <w:rPr>
          <w:lang w:eastAsia="zh-CN"/>
        </w:rPr>
      </w:pPr>
      <w:bookmarkStart w:id="1133" w:name="_CR5_4_5"/>
      <w:bookmarkStart w:id="1134" w:name="_Toc20149748"/>
      <w:bookmarkStart w:id="1135" w:name="_Toc27846539"/>
      <w:bookmarkStart w:id="1136" w:name="_Toc36187663"/>
      <w:bookmarkStart w:id="1137" w:name="_Toc45183567"/>
      <w:bookmarkStart w:id="1138" w:name="_Toc47342409"/>
      <w:bookmarkStart w:id="1139" w:name="_Toc51769107"/>
      <w:bookmarkStart w:id="1140" w:name="_Toc201157037"/>
      <w:bookmarkEnd w:id="1133"/>
      <w:r w:rsidRPr="00873B6C">
        <w:rPr>
          <w:lang w:eastAsia="zh-CN"/>
        </w:rPr>
        <w:t>5.4.5</w:t>
      </w:r>
      <w:r w:rsidRPr="00873B6C">
        <w:rPr>
          <w:lang w:eastAsia="zh-CN"/>
        </w:rPr>
        <w:tab/>
        <w:t>DRX (</w:t>
      </w:r>
      <w:r w:rsidRPr="00873B6C">
        <w:t>Discontinuous Reception) framework</w:t>
      </w:r>
      <w:bookmarkEnd w:id="1134"/>
      <w:bookmarkEnd w:id="1135"/>
      <w:bookmarkEnd w:id="1136"/>
      <w:bookmarkEnd w:id="1137"/>
      <w:bookmarkEnd w:id="1138"/>
      <w:bookmarkEnd w:id="1139"/>
      <w:bookmarkEnd w:id="1140"/>
    </w:p>
    <w:p w14:paraId="3382E1F3" w14:textId="36E0436A" w:rsidR="00D40151" w:rsidRPr="00873B6C" w:rsidRDefault="00D40151" w:rsidP="00D40151">
      <w:pPr>
        <w:rPr>
          <w:lang w:eastAsia="ko-KR"/>
        </w:rPr>
      </w:pPr>
      <w:r w:rsidRPr="00873B6C">
        <w:rPr>
          <w:lang w:eastAsia="ko-KR"/>
        </w:rPr>
        <w:t xml:space="preserve">The 5G System supports DRX architecture which allows Idle mode DRX cycle is negotiated between UE and the AMF. The Idle mode DRX cycle applies in CM-IDLE state and in CM-CONNECTED with </w:t>
      </w:r>
      <w:r w:rsidR="00511811" w:rsidRPr="00873B6C">
        <w:rPr>
          <w:lang w:eastAsia="ko-KR"/>
        </w:rPr>
        <w:t xml:space="preserve">RRC_INACTIVE </w:t>
      </w:r>
      <w:r w:rsidRPr="00873B6C">
        <w:rPr>
          <w:lang w:eastAsia="ko-KR"/>
        </w:rPr>
        <w:t>state</w:t>
      </w:r>
      <w:r w:rsidRPr="00873B6C">
        <w:t>.</w:t>
      </w:r>
    </w:p>
    <w:p w14:paraId="3F22E398" w14:textId="59D73F22" w:rsidR="00D40151" w:rsidRPr="00873B6C" w:rsidRDefault="00D40151" w:rsidP="00D40151">
      <w:pPr>
        <w:rPr>
          <w:lang w:eastAsia="ko-KR"/>
        </w:rPr>
      </w:pPr>
      <w:r w:rsidRPr="00873B6C">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w:t>
      </w:r>
      <w:r w:rsidR="00472CD7" w:rsidRPr="00873B6C">
        <w:rPr>
          <w:lang w:eastAsia="ko-KR"/>
        </w:rPr>
        <w:t xml:space="preserve"> and</w:t>
      </w:r>
      <w:r w:rsidRPr="00873B6C">
        <w:rPr>
          <w:lang w:eastAsia="ko-KR"/>
        </w:rPr>
        <w:t xml:space="preserve"> the UE can request UE specific DRX for NB-IoT in the Registration procedure irrespective of whether the cell broadcasts that support indication.</w:t>
      </w:r>
    </w:p>
    <w:p w14:paraId="38822087" w14:textId="77777777" w:rsidR="00D40151" w:rsidRPr="00873B6C" w:rsidRDefault="00D40151" w:rsidP="00D40151">
      <w:pPr>
        <w:rPr>
          <w:lang w:eastAsia="ko-KR"/>
        </w:rPr>
      </w:pPr>
      <w:r w:rsidRPr="00873B6C">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873B6C" w:rsidRDefault="00D40151" w:rsidP="00D40151">
      <w:pPr>
        <w:rPr>
          <w:lang w:eastAsia="ko-KR"/>
        </w:rPr>
      </w:pPr>
      <w:r w:rsidRPr="00873B6C">
        <w:rPr>
          <w:lang w:eastAsia="ko-KR"/>
        </w:rPr>
        <w:t>The AMF shall respond to the UE with the Accepted DRX parameters separately for NR/WB-EUTRA and NB-IoT.</w:t>
      </w:r>
    </w:p>
    <w:p w14:paraId="2B02414C" w14:textId="4221C661" w:rsidR="00D40151" w:rsidRPr="00873B6C" w:rsidRDefault="00D40151" w:rsidP="00D40151">
      <w:pPr>
        <w:rPr>
          <w:lang w:eastAsia="ko-KR"/>
        </w:rPr>
      </w:pPr>
      <w:r w:rsidRPr="00873B6C">
        <w:rPr>
          <w:lang w:eastAsia="ko-KR"/>
        </w:rPr>
        <w:t xml:space="preserve">For details of DRX parameters, see </w:t>
      </w:r>
      <w:r w:rsidR="00972E70" w:rsidRPr="00873B6C">
        <w:rPr>
          <w:lang w:eastAsia="ko-KR"/>
        </w:rPr>
        <w:t>TS 38.331 [</w:t>
      </w:r>
      <w:r w:rsidRPr="00873B6C">
        <w:rPr>
          <w:lang w:eastAsia="ko-KR"/>
        </w:rPr>
        <w:t xml:space="preserve">28] and </w:t>
      </w:r>
      <w:r w:rsidR="00972E70" w:rsidRPr="00873B6C">
        <w:rPr>
          <w:lang w:eastAsia="ko-KR"/>
        </w:rPr>
        <w:t>TS 36.331 [</w:t>
      </w:r>
      <w:r w:rsidRPr="00873B6C">
        <w:rPr>
          <w:lang w:eastAsia="ko-KR"/>
        </w:rPr>
        <w:t>51].</w:t>
      </w:r>
    </w:p>
    <w:p w14:paraId="108FD2F5" w14:textId="14A0D019" w:rsidR="00D40151" w:rsidRPr="00873B6C" w:rsidRDefault="00D40151" w:rsidP="00D40151">
      <w:pPr>
        <w:rPr>
          <w:lang w:eastAsia="ko-KR"/>
        </w:rPr>
      </w:pPr>
      <w:r w:rsidRPr="00873B6C">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972E70" w:rsidRPr="00873B6C">
        <w:rPr>
          <w:lang w:eastAsia="ko-KR"/>
        </w:rPr>
        <w:t>TS 38.304 [</w:t>
      </w:r>
      <w:r w:rsidRPr="00873B6C">
        <w:rPr>
          <w:lang w:eastAsia="ko-KR"/>
        </w:rPr>
        <w:t xml:space="preserve">50] and </w:t>
      </w:r>
      <w:r w:rsidR="00972E70" w:rsidRPr="00873B6C">
        <w:rPr>
          <w:lang w:eastAsia="ko-KR"/>
        </w:rPr>
        <w:t>TS 36.304 [</w:t>
      </w:r>
      <w:r w:rsidRPr="00873B6C">
        <w:rPr>
          <w:lang w:eastAsia="ko-KR"/>
        </w:rPr>
        <w:t>52].</w:t>
      </w:r>
    </w:p>
    <w:p w14:paraId="789CCC61" w14:textId="77777777" w:rsidR="00D40151" w:rsidRPr="00873B6C" w:rsidRDefault="00D40151" w:rsidP="00D40151">
      <w:pPr>
        <w:rPr>
          <w:lang w:eastAsia="ko-KR"/>
        </w:rPr>
      </w:pPr>
      <w:r w:rsidRPr="00873B6C">
        <w:rPr>
          <w:lang w:eastAsia="ko-KR"/>
        </w:rPr>
        <w:t>The Periodic Registration procedure does not change the UE's DRX settings.</w:t>
      </w:r>
    </w:p>
    <w:p w14:paraId="32599B1A" w14:textId="043CB24E" w:rsidR="00D40151" w:rsidRPr="00873B6C" w:rsidRDefault="00D40151" w:rsidP="00D40151">
      <w:r w:rsidRPr="00873B6C">
        <w:t xml:space="preserve">In CM-CONNECTED with </w:t>
      </w:r>
      <w:r w:rsidR="00511811" w:rsidRPr="00873B6C">
        <w:t xml:space="preserve">RRC_INACTIVE </w:t>
      </w:r>
      <w:r w:rsidRPr="00873B6C">
        <w:t xml:space="preserve">state, the UE applies either the DRX cycle negotiated with AMF, or the DRX cycle broadcast by RAN or the UE specific DRX cycle configured by RAN, as defined in </w:t>
      </w:r>
      <w:r w:rsidR="00972E70" w:rsidRPr="00873B6C">
        <w:t>TS 38.300 [</w:t>
      </w:r>
      <w:r w:rsidRPr="00873B6C">
        <w:t xml:space="preserve">27] and </w:t>
      </w:r>
      <w:r w:rsidR="00972E70" w:rsidRPr="00873B6C">
        <w:t>TS 38.304 [</w:t>
      </w:r>
      <w:r w:rsidRPr="00873B6C">
        <w:t>50].</w:t>
      </w:r>
    </w:p>
    <w:p w14:paraId="32A003A5" w14:textId="77777777" w:rsidR="00D40151" w:rsidRPr="00873B6C" w:rsidRDefault="00D40151" w:rsidP="00D40151">
      <w:pPr>
        <w:pStyle w:val="Heading3"/>
        <w:rPr>
          <w:szCs w:val="28"/>
        </w:rPr>
      </w:pPr>
      <w:bookmarkStart w:id="1141" w:name="_CR5_4_6"/>
      <w:bookmarkStart w:id="1142" w:name="_Toc20149749"/>
      <w:bookmarkStart w:id="1143" w:name="_Toc27846540"/>
      <w:bookmarkStart w:id="1144" w:name="_Toc36187664"/>
      <w:bookmarkStart w:id="1145" w:name="_Toc45183568"/>
      <w:bookmarkStart w:id="1146" w:name="_Toc47342410"/>
      <w:bookmarkStart w:id="1147" w:name="_Toc51769108"/>
      <w:bookmarkStart w:id="1148" w:name="_Toc201157038"/>
      <w:bookmarkEnd w:id="1141"/>
      <w:r w:rsidRPr="00873B6C">
        <w:rPr>
          <w:szCs w:val="28"/>
        </w:rPr>
        <w:t>5.4.6</w:t>
      </w:r>
      <w:r w:rsidRPr="00873B6C">
        <w:rPr>
          <w:szCs w:val="28"/>
        </w:rPr>
        <w:tab/>
        <w:t>C</w:t>
      </w:r>
      <w:r w:rsidRPr="00873B6C">
        <w:rPr>
          <w:szCs w:val="28"/>
          <w:lang w:eastAsia="zh-CN"/>
        </w:rPr>
        <w:t xml:space="preserve">ore Network </w:t>
      </w:r>
      <w:r w:rsidRPr="00873B6C">
        <w:rPr>
          <w:szCs w:val="28"/>
        </w:rPr>
        <w:t>assistance information for RAN optimization</w:t>
      </w:r>
      <w:bookmarkEnd w:id="1142"/>
      <w:bookmarkEnd w:id="1143"/>
      <w:bookmarkEnd w:id="1144"/>
      <w:bookmarkEnd w:id="1145"/>
      <w:bookmarkEnd w:id="1146"/>
      <w:bookmarkEnd w:id="1147"/>
      <w:bookmarkEnd w:id="1148"/>
    </w:p>
    <w:p w14:paraId="3FB8AA8E" w14:textId="77777777" w:rsidR="00D40151" w:rsidRPr="00873B6C" w:rsidRDefault="00D40151" w:rsidP="00D40151">
      <w:pPr>
        <w:pStyle w:val="Heading4"/>
      </w:pPr>
      <w:bookmarkStart w:id="1149" w:name="_CR5_4_6_1"/>
      <w:bookmarkStart w:id="1150" w:name="_Toc20149750"/>
      <w:bookmarkStart w:id="1151" w:name="_Toc27846541"/>
      <w:bookmarkStart w:id="1152" w:name="_Toc36187665"/>
      <w:bookmarkStart w:id="1153" w:name="_Toc45183569"/>
      <w:bookmarkStart w:id="1154" w:name="_Toc47342411"/>
      <w:bookmarkStart w:id="1155" w:name="_Toc51769109"/>
      <w:bookmarkStart w:id="1156" w:name="_Toc201157039"/>
      <w:bookmarkEnd w:id="1149"/>
      <w:r w:rsidRPr="00873B6C">
        <w:t>5.4.6.1</w:t>
      </w:r>
      <w:r w:rsidRPr="00873B6C">
        <w:tab/>
        <w:t>General</w:t>
      </w:r>
      <w:bookmarkEnd w:id="1150"/>
      <w:bookmarkEnd w:id="1151"/>
      <w:bookmarkEnd w:id="1152"/>
      <w:bookmarkEnd w:id="1153"/>
      <w:bookmarkEnd w:id="1154"/>
      <w:bookmarkEnd w:id="1155"/>
      <w:bookmarkEnd w:id="1156"/>
    </w:p>
    <w:p w14:paraId="2A73ECB8" w14:textId="5D17EDD7" w:rsidR="00D40151" w:rsidRPr="00873B6C" w:rsidRDefault="00D40151" w:rsidP="00D40151">
      <w:r w:rsidRPr="00873B6C">
        <w:t xml:space="preserve">Core Network assistance information for RAN aids the RAN to optimize the UE state transition steering and the RAN paging strategy formulation in </w:t>
      </w:r>
      <w:r w:rsidR="00511811" w:rsidRPr="00873B6C">
        <w:t xml:space="preserve">RRC_INACTIVE </w:t>
      </w:r>
      <w:r w:rsidRPr="00873B6C">
        <w:t>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873B6C" w:rsidRDefault="00D40151" w:rsidP="00D40151">
      <w:pPr>
        <w:pStyle w:val="Heading4"/>
      </w:pPr>
      <w:bookmarkStart w:id="1157" w:name="_CR5_4_6_2"/>
      <w:bookmarkStart w:id="1158" w:name="_Toc20149751"/>
      <w:bookmarkStart w:id="1159" w:name="_Toc27846542"/>
      <w:bookmarkStart w:id="1160" w:name="_Toc36187666"/>
      <w:bookmarkStart w:id="1161" w:name="_Toc45183570"/>
      <w:bookmarkStart w:id="1162" w:name="_Toc47342412"/>
      <w:bookmarkStart w:id="1163" w:name="_Toc51769110"/>
      <w:bookmarkStart w:id="1164" w:name="_Toc201157040"/>
      <w:bookmarkEnd w:id="1157"/>
      <w:r w:rsidRPr="00873B6C">
        <w:t>5.4.6.2</w:t>
      </w:r>
      <w:r w:rsidRPr="00873B6C">
        <w:tab/>
        <w:t>Core Network assisted RAN parameters tuning</w:t>
      </w:r>
      <w:bookmarkEnd w:id="1158"/>
      <w:bookmarkEnd w:id="1159"/>
      <w:bookmarkEnd w:id="1160"/>
      <w:bookmarkEnd w:id="1161"/>
      <w:bookmarkEnd w:id="1162"/>
      <w:bookmarkEnd w:id="1163"/>
      <w:bookmarkEnd w:id="1164"/>
    </w:p>
    <w:p w14:paraId="7327E0E5" w14:textId="77777777" w:rsidR="00D40151" w:rsidRPr="00873B6C" w:rsidRDefault="00D40151" w:rsidP="00D40151">
      <w:r w:rsidRPr="00873B6C">
        <w:t>Core Network assisted RAN parameters tuning aids the RAN to minimize the UE state transitions and achieve optimum network behaviour. How the RAN uses the CN assistance information is not defined in this specification.</w:t>
      </w:r>
    </w:p>
    <w:p w14:paraId="5BEBADDF" w14:textId="0D619690" w:rsidR="00D40151" w:rsidRPr="00873B6C" w:rsidRDefault="00D40151" w:rsidP="00D40151">
      <w:r w:rsidRPr="00873B6C">
        <w:lastRenderedPageBreak/>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972E70" w:rsidRPr="00873B6C">
        <w:t>TS 23.502 [</w:t>
      </w:r>
      <w:r w:rsidRPr="00873B6C">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873B6C" w:rsidRDefault="00D40151" w:rsidP="00D40151">
      <w:r w:rsidRPr="00873B6C">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873B6C" w:rsidRDefault="00D40151" w:rsidP="00D40151">
      <w:r w:rsidRPr="00873B6C">
        <w:t>The Expected UE Behaviour parameters or the Network Configuration parameters can be provisioned by external party via the NEF to the AMF or SMF, as described in clause 5.20.</w:t>
      </w:r>
    </w:p>
    <w:p w14:paraId="1B9AE132" w14:textId="77777777" w:rsidR="00D40151" w:rsidRPr="00873B6C" w:rsidRDefault="00D40151" w:rsidP="00D40151">
      <w:r w:rsidRPr="00873B6C">
        <w:t>The CN assisted RAN parameters tuning provides the RAN with a way to understand the UE behaviour for these aspects:</w:t>
      </w:r>
    </w:p>
    <w:p w14:paraId="1FBDFA8E" w14:textId="77777777" w:rsidR="00D40151" w:rsidRPr="00873B6C" w:rsidRDefault="00D40151" w:rsidP="00D40151">
      <w:pPr>
        <w:pStyle w:val="B2"/>
      </w:pPr>
      <w:r w:rsidRPr="00873B6C">
        <w:t>-</w:t>
      </w:r>
      <w:r w:rsidRPr="00873B6C">
        <w:tab/>
        <w:t xml:space="preserve">"Expected UE activity </w:t>
      </w:r>
      <w:r w:rsidRPr="00873B6C">
        <w:rPr>
          <w:noProof/>
        </w:rPr>
        <w:t>behaviour</w:t>
      </w:r>
      <w:r w:rsidRPr="00873B6C">
        <w:t>", i.e. the expected pattern of the UE's changes between CM</w:t>
      </w:r>
      <w:r w:rsidRPr="00873B6C">
        <w:rPr>
          <w:lang w:eastAsia="zh-CN"/>
        </w:rPr>
        <w:t>-</w:t>
      </w:r>
      <w:r w:rsidRPr="00873B6C">
        <w:t>CONNECTED and CM</w:t>
      </w:r>
      <w:r w:rsidRPr="00873B6C">
        <w:rPr>
          <w:lang w:eastAsia="zh-CN"/>
        </w:rPr>
        <w:t>-</w:t>
      </w:r>
      <w:r w:rsidRPr="00873B6C">
        <w:t>IDLE states or the duration of CM-CONNECTED state. This may be derived e.g. from the statistical information</w:t>
      </w:r>
      <w:r w:rsidRPr="00873B6C">
        <w:rPr>
          <w:lang w:eastAsia="zh-CN"/>
        </w:rPr>
        <w:t xml:space="preserve">, or </w:t>
      </w:r>
      <w:r w:rsidRPr="00873B6C">
        <w:rPr>
          <w:bCs/>
        </w:rPr>
        <w:t>Expected UE Behaviour</w:t>
      </w:r>
      <w:r w:rsidRPr="00873B6C">
        <w:t xml:space="preserve"> or from subscription information. The AMF derives one or more sets of the "Expected UE activity behaviour" parameters for the UE as follows:</w:t>
      </w:r>
    </w:p>
    <w:p w14:paraId="5641E6B0" w14:textId="2A442C09" w:rsidR="00D40151" w:rsidRPr="00873B6C" w:rsidRDefault="00D40151" w:rsidP="00D40151">
      <w:pPr>
        <w:pStyle w:val="B3"/>
      </w:pPr>
      <w:r w:rsidRPr="00873B6C">
        <w:t>-</w:t>
      </w:r>
      <w:r w:rsidRPr="00873B6C">
        <w:tab/>
        <w:t xml:space="preserve">AMF may derive and provide to the RAN a UE level of "Expected UE activity behaviour" parameters set considering the Expected UE Behaviour parameters or Network Configuration parameters received from the UDM (see clauses 4.15.6.3 or 4.15.6.3a of </w:t>
      </w:r>
      <w:r w:rsidR="00972E70" w:rsidRPr="00873B6C">
        <w:t>TS 23.502 [</w:t>
      </w:r>
      <w:r w:rsidRPr="00873B6C">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873B6C" w:rsidRDefault="00D40151" w:rsidP="00D40151">
      <w:pPr>
        <w:pStyle w:val="B3"/>
      </w:pPr>
      <w:r w:rsidRPr="00873B6C">
        <w:t>-</w:t>
      </w:r>
      <w:r w:rsidRPr="00873B6C">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873B6C" w:rsidRDefault="00D40151" w:rsidP="00D40151">
      <w:pPr>
        <w:pStyle w:val="B2"/>
        <w:rPr>
          <w:lang w:eastAsia="zh-CN"/>
        </w:rPr>
      </w:pPr>
      <w:r w:rsidRPr="00873B6C">
        <w:t>-</w:t>
      </w:r>
      <w:r w:rsidRPr="00873B6C">
        <w:tab/>
        <w:t xml:space="preserve">"Expected HO </w:t>
      </w:r>
      <w:r w:rsidRPr="00873B6C">
        <w:rPr>
          <w:noProof/>
        </w:rPr>
        <w:t>behaviour</w:t>
      </w:r>
      <w:r w:rsidRPr="00873B6C">
        <w:t xml:space="preserve">", i.e. the expected interval between inter-RAN handovers. This may be derived </w:t>
      </w:r>
      <w:r w:rsidRPr="00873B6C">
        <w:rPr>
          <w:lang w:eastAsia="zh-CN"/>
        </w:rPr>
        <w:t xml:space="preserve">by the AMF </w:t>
      </w:r>
      <w:r w:rsidRPr="00873B6C">
        <w:t>e.g. from the Mobility Pattern information;</w:t>
      </w:r>
    </w:p>
    <w:p w14:paraId="19CDE243" w14:textId="77777777" w:rsidR="00D40151" w:rsidRPr="00873B6C" w:rsidRDefault="00D40151" w:rsidP="00D40151">
      <w:pPr>
        <w:pStyle w:val="B2"/>
      </w:pPr>
      <w:r w:rsidRPr="00873B6C">
        <w:t>-</w:t>
      </w:r>
      <w:r w:rsidRPr="00873B6C">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873B6C" w:rsidRDefault="00D40151" w:rsidP="00D40151">
      <w:pPr>
        <w:pStyle w:val="B2"/>
      </w:pPr>
      <w:r w:rsidRPr="00873B6C">
        <w:t>-</w:t>
      </w:r>
      <w:r w:rsidRPr="00873B6C">
        <w:tab/>
        <w:t>"Expected UE moving trajectory" which may be derived e.g. from the statistical information or Expected UE Behaviour parameters or from subscription information; or</w:t>
      </w:r>
    </w:p>
    <w:p w14:paraId="345BEED2" w14:textId="5AC79CE2" w:rsidR="00D40151" w:rsidRPr="00873B6C" w:rsidRDefault="00D40151" w:rsidP="00D40151">
      <w:pPr>
        <w:pStyle w:val="B2"/>
      </w:pPr>
      <w:r w:rsidRPr="00873B6C">
        <w:t>-</w:t>
      </w:r>
      <w:r w:rsidRPr="00873B6C">
        <w:tab/>
        <w:t xml:space="preserve">"UE Differentiation Information" including the Expected UE Behaviour parameters excluding the Expected UE moving trajectory (see clause 4.15.6.3 of </w:t>
      </w:r>
      <w:r w:rsidR="00972E70" w:rsidRPr="00873B6C">
        <w:t>TS 23.502 [</w:t>
      </w:r>
      <w:r w:rsidRPr="00873B6C">
        <w:t>3]) to support Uu operation optimisation for NB-IoT UE differentiation if the RAT type is NB-IoT.</w:t>
      </w:r>
    </w:p>
    <w:p w14:paraId="45E5C3A2" w14:textId="602EEBAD" w:rsidR="00D40151" w:rsidRPr="00873B6C" w:rsidRDefault="00D40151" w:rsidP="00D40151">
      <w:r w:rsidRPr="00873B6C">
        <w:t xml:space="preserve">The AMF decides when to send this information to the RAN as "Expected UE activity behaviour" carried in N2 request over the N2 interface (see </w:t>
      </w:r>
      <w:r w:rsidR="00972E70" w:rsidRPr="00873B6C">
        <w:t>TS 38.413 [</w:t>
      </w:r>
      <w:r w:rsidRPr="00873B6C">
        <w:t>34]).</w:t>
      </w:r>
    </w:p>
    <w:p w14:paraId="1A8EF36C" w14:textId="0EAC8E9D" w:rsidR="00D40151" w:rsidRPr="00873B6C" w:rsidRDefault="00D40151" w:rsidP="00D40151">
      <w:pPr>
        <w:pStyle w:val="NO"/>
      </w:pPr>
      <w:r w:rsidRPr="00873B6C">
        <w:rPr>
          <w:lang w:eastAsia="zh-CN"/>
        </w:rPr>
        <w:t>NOTE</w:t>
      </w:r>
      <w:r w:rsidRPr="00873B6C">
        <w:t>:</w:t>
      </w:r>
      <w:r w:rsidRPr="00873B6C">
        <w:tab/>
        <w:t>The calculation of the CN assistance information, i.e. the algorithms used and related criteria</w:t>
      </w:r>
      <w:r w:rsidR="00472CD7" w:rsidRPr="00873B6C">
        <w:t xml:space="preserve"> and</w:t>
      </w:r>
      <w:r w:rsidRPr="00873B6C">
        <w:t xml:space="preserve"> the decision when it is considered suitable and stable to send to the RAN are vendor specific.</w:t>
      </w:r>
    </w:p>
    <w:p w14:paraId="791D3A57" w14:textId="77777777" w:rsidR="00D40151" w:rsidRPr="00873B6C" w:rsidRDefault="00D40151" w:rsidP="00D40151">
      <w:pPr>
        <w:pStyle w:val="Heading4"/>
      </w:pPr>
      <w:bookmarkStart w:id="1165" w:name="_CR5_4_6_3"/>
      <w:bookmarkStart w:id="1166" w:name="_Toc20149752"/>
      <w:bookmarkStart w:id="1167" w:name="_Toc27846543"/>
      <w:bookmarkStart w:id="1168" w:name="_Toc36187667"/>
      <w:bookmarkStart w:id="1169" w:name="_Toc45183571"/>
      <w:bookmarkStart w:id="1170" w:name="_Toc47342413"/>
      <w:bookmarkStart w:id="1171" w:name="_Toc51769111"/>
      <w:bookmarkStart w:id="1172" w:name="_Toc201157041"/>
      <w:bookmarkEnd w:id="1165"/>
      <w:r w:rsidRPr="00873B6C">
        <w:t>5.4.6.3</w:t>
      </w:r>
      <w:r w:rsidRPr="00873B6C">
        <w:tab/>
        <w:t>Core Network assisted RAN paging information</w:t>
      </w:r>
      <w:bookmarkEnd w:id="1166"/>
      <w:bookmarkEnd w:id="1167"/>
      <w:bookmarkEnd w:id="1168"/>
      <w:bookmarkEnd w:id="1169"/>
      <w:bookmarkEnd w:id="1170"/>
      <w:bookmarkEnd w:id="1171"/>
      <w:bookmarkEnd w:id="1172"/>
    </w:p>
    <w:p w14:paraId="71542013" w14:textId="7A0C2BC4" w:rsidR="00D40151" w:rsidRPr="00873B6C" w:rsidRDefault="00D40151" w:rsidP="00D40151">
      <w:r w:rsidRPr="00873B6C">
        <w:t xml:space="preserve">Core Network assisted RAN paging information aids the RAN to formulate a RAN paging policy and strategy in </w:t>
      </w:r>
      <w:r w:rsidR="00511811" w:rsidRPr="00873B6C">
        <w:t xml:space="preserve">RRC_INACTIVE </w:t>
      </w:r>
      <w:r w:rsidRPr="00873B6C">
        <w:t xml:space="preserve">state, besides the </w:t>
      </w:r>
      <w:r w:rsidRPr="00873B6C">
        <w:rPr>
          <w:lang w:eastAsia="zh-CN"/>
        </w:rPr>
        <w:t xml:space="preserve">PPI and </w:t>
      </w:r>
      <w:r w:rsidRPr="00873B6C">
        <w:t>QoS information associated to the QoS Flows as indicated in clause 5.4.3.</w:t>
      </w:r>
    </w:p>
    <w:p w14:paraId="435F7E80" w14:textId="36A9A712" w:rsidR="00D40151" w:rsidRPr="00873B6C" w:rsidRDefault="00D40151" w:rsidP="00D40151">
      <w:r w:rsidRPr="00873B6C">
        <w:lastRenderedPageBreak/>
        <w:t>CN assisted RAN paging information may be derived by the AMF per UE and/or per PDU Session based on collection of UE behaviour statistics, Expected UE Behaviour and/or other available information about the UE (such as subscribed DNN, SUPI ranges, Multimedia priority service)</w:t>
      </w:r>
      <w:r w:rsidR="00472CD7" w:rsidRPr="00873B6C">
        <w:t xml:space="preserve"> and</w:t>
      </w:r>
      <w:r w:rsidRPr="00873B6C">
        <w:t>/or information received from other network functions when downlink signalling is triggered.</w:t>
      </w:r>
    </w:p>
    <w:p w14:paraId="4184C93E" w14:textId="77777777" w:rsidR="00D40151" w:rsidRPr="00873B6C" w:rsidRDefault="00D40151" w:rsidP="00D40151">
      <w:r w:rsidRPr="00873B6C">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873B6C" w:rsidRDefault="00D40151" w:rsidP="00D40151">
      <w:r w:rsidRPr="00873B6C">
        <w:t>The Core Network may provide the CN assisted RAN paging information to RAN in different occasions, e.g. during downlink N1 and N2 message delivery, etc.</w:t>
      </w:r>
    </w:p>
    <w:p w14:paraId="2EA5A99E" w14:textId="77777777" w:rsidR="00D40151" w:rsidRPr="00873B6C" w:rsidRDefault="00D40151" w:rsidP="00D40151">
      <w:pPr>
        <w:pStyle w:val="Heading3"/>
      </w:pPr>
      <w:bookmarkStart w:id="1173" w:name="_CR5_4_7"/>
      <w:bookmarkStart w:id="1174" w:name="_Toc20149753"/>
      <w:bookmarkStart w:id="1175" w:name="_Toc27846544"/>
      <w:bookmarkStart w:id="1176" w:name="_Toc36187668"/>
      <w:bookmarkStart w:id="1177" w:name="_Toc45183572"/>
      <w:bookmarkStart w:id="1178" w:name="_Toc47342414"/>
      <w:bookmarkStart w:id="1179" w:name="_Toc51769112"/>
      <w:bookmarkStart w:id="1180" w:name="_Toc201157042"/>
      <w:bookmarkEnd w:id="1173"/>
      <w:r w:rsidRPr="00873B6C">
        <w:t>5.4.7</w:t>
      </w:r>
      <w:r w:rsidRPr="00873B6C">
        <w:tab/>
        <w:t>NG-RAN location reporting</w:t>
      </w:r>
      <w:bookmarkEnd w:id="1174"/>
      <w:bookmarkEnd w:id="1175"/>
      <w:bookmarkEnd w:id="1176"/>
      <w:bookmarkEnd w:id="1177"/>
      <w:bookmarkEnd w:id="1178"/>
      <w:bookmarkEnd w:id="1179"/>
      <w:bookmarkEnd w:id="1180"/>
    </w:p>
    <w:p w14:paraId="2468ED83" w14:textId="571043E2" w:rsidR="00D40151" w:rsidRPr="00873B6C" w:rsidRDefault="00D40151" w:rsidP="00D40151">
      <w:r w:rsidRPr="00873B6C">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873B6C">
        <w:t xml:space="preserve"> The NG-RAN location reporting may be used by the AMF to determine the geographically located TAI in the case of NR satellite access.</w:t>
      </w:r>
    </w:p>
    <w:p w14:paraId="686C8FA2" w14:textId="77777777" w:rsidR="00D40151" w:rsidRPr="00873B6C" w:rsidRDefault="00D40151" w:rsidP="00D40151">
      <w:r w:rsidRPr="00873B6C">
        <w:t>The AMF may request the NG-RAN location reporting with event reporting type (e.g. UE location or UE presence in Area of Interest), reporting mode and its related parameters (e.g. number of reporting).</w:t>
      </w:r>
    </w:p>
    <w:p w14:paraId="27CF19E9" w14:textId="3FF7F62A" w:rsidR="00D40151" w:rsidRPr="00873B6C" w:rsidRDefault="00D40151" w:rsidP="00D40151">
      <w:r w:rsidRPr="00873B6C">
        <w:t xml:space="preserve">If the AMF requests UE location, the NG-RAN reports the current UE location (or last known UE location with time stamp if the UE is in </w:t>
      </w:r>
      <w:r w:rsidR="00511811" w:rsidRPr="00873B6C">
        <w:t xml:space="preserve">RRC_INACTIVE </w:t>
      </w:r>
      <w:r w:rsidRPr="00873B6C">
        <w:t>state) based on the requested reporting parameter (e.g. one-time reporting or continuous reporting).</w:t>
      </w:r>
    </w:p>
    <w:p w14:paraId="1305E29B" w14:textId="7C4BE802" w:rsidR="00283ED6" w:rsidRPr="00873B6C" w:rsidRDefault="00283ED6" w:rsidP="00D40151">
      <w:r w:rsidRPr="00873B6C">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873B6C" w:rsidRDefault="00D40151" w:rsidP="00D40151">
      <w:r w:rsidRPr="00873B6C">
        <w:t>If the AMF requests UE presence in the Area Of Interest, the NG-RAN reports the UE location and the indication (i.e. IN, OUT or UNKNOWN) when the NG-RAN determines the change of UE presence in Area Of Interest.</w:t>
      </w:r>
    </w:p>
    <w:p w14:paraId="5FD804C5" w14:textId="77777777" w:rsidR="00D40151" w:rsidRPr="00873B6C" w:rsidRDefault="00D40151" w:rsidP="00D40151">
      <w:r w:rsidRPr="00873B6C">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6385A1F" w:rsidR="00D40151" w:rsidRPr="00873B6C" w:rsidRDefault="00D40151" w:rsidP="00D40151">
      <w:r w:rsidRPr="00873B6C">
        <w:t xml:space="preserve">The AMF requests the location information of the UE either through independent N2 procedure (i.e. NG-RAN location reporting as specified in clause 4.10 of </w:t>
      </w:r>
      <w:r w:rsidR="00972E70" w:rsidRPr="00873B6C">
        <w:t>TS 23.502 [</w:t>
      </w:r>
      <w:r w:rsidRPr="00873B6C">
        <w:t xml:space="preserve">3]), or by including the request in some specific N2 messages as specified in </w:t>
      </w:r>
      <w:r w:rsidR="00972E70" w:rsidRPr="00873B6C">
        <w:t>TS 38.413 [</w:t>
      </w:r>
      <w:r w:rsidRPr="00873B6C">
        <w:t>34].</w:t>
      </w:r>
    </w:p>
    <w:p w14:paraId="7E156CD3" w14:textId="77777777" w:rsidR="00D40151" w:rsidRPr="00873B6C" w:rsidRDefault="00D40151" w:rsidP="00D40151">
      <w:pPr>
        <w:pStyle w:val="Heading3"/>
      </w:pPr>
      <w:bookmarkStart w:id="1181" w:name="_CR5_4_8"/>
      <w:bookmarkStart w:id="1182" w:name="_Toc27846545"/>
      <w:bookmarkStart w:id="1183" w:name="_Toc36187669"/>
      <w:bookmarkStart w:id="1184" w:name="_Toc45183573"/>
      <w:bookmarkStart w:id="1185" w:name="_Toc47342415"/>
      <w:bookmarkStart w:id="1186" w:name="_Toc51769113"/>
      <w:bookmarkStart w:id="1187" w:name="_Toc20149754"/>
      <w:bookmarkStart w:id="1188" w:name="_Toc201157043"/>
      <w:bookmarkEnd w:id="1181"/>
      <w:r w:rsidRPr="00873B6C">
        <w:t>5.4.8</w:t>
      </w:r>
      <w:r w:rsidRPr="00873B6C">
        <w:tab/>
        <w:t>Support for identification and restriction of using unlicensed spectrum</w:t>
      </w:r>
      <w:bookmarkEnd w:id="1182"/>
      <w:bookmarkEnd w:id="1183"/>
      <w:bookmarkEnd w:id="1184"/>
      <w:bookmarkEnd w:id="1185"/>
      <w:bookmarkEnd w:id="1186"/>
      <w:bookmarkEnd w:id="1188"/>
    </w:p>
    <w:p w14:paraId="16FCDD41" w14:textId="33B3B147" w:rsidR="00D40151" w:rsidRPr="00873B6C" w:rsidRDefault="00D40151" w:rsidP="00D40151">
      <w:r w:rsidRPr="00873B6C">
        <w:t xml:space="preserve">Support for NG-RAN using unlicensed spectrum is defined in </w:t>
      </w:r>
      <w:r w:rsidR="00972E70" w:rsidRPr="00873B6C">
        <w:t>TS 38.300 [</w:t>
      </w:r>
      <w:r w:rsidRPr="00873B6C">
        <w:t xml:space="preserve">27] and </w:t>
      </w:r>
      <w:r w:rsidR="00972E70" w:rsidRPr="00873B6C">
        <w:t>TS 36.300 [</w:t>
      </w:r>
      <w:r w:rsidRPr="00873B6C">
        <w:t>30].</w:t>
      </w:r>
    </w:p>
    <w:p w14:paraId="7DC0D12A" w14:textId="10C59971" w:rsidR="00D40151" w:rsidRPr="00873B6C" w:rsidRDefault="00D40151" w:rsidP="00D40151">
      <w:r w:rsidRPr="00873B6C">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972E70" w:rsidRPr="00873B6C">
        <w:t>TS 38.300 [</w:t>
      </w:r>
      <w:r w:rsidRPr="00873B6C">
        <w:t xml:space="preserve">27] and </w:t>
      </w:r>
      <w:r w:rsidR="00972E70" w:rsidRPr="00873B6C">
        <w:t>TS 36.300 [</w:t>
      </w:r>
      <w:r w:rsidRPr="00873B6C">
        <w:t>30].</w:t>
      </w:r>
    </w:p>
    <w:p w14:paraId="69252E31" w14:textId="77777777" w:rsidR="00D40151" w:rsidRPr="00873B6C" w:rsidRDefault="00D40151" w:rsidP="00D40151">
      <w:r w:rsidRPr="00873B6C">
        <w:t>For either case the serving PLMN can enforce Access Restriction for Unlicensed Spectrum (either signalled from the UDM, or, locally generated by VPLMN policy in the AMF) with the following:</w:t>
      </w:r>
    </w:p>
    <w:p w14:paraId="526A0A68" w14:textId="404604C9" w:rsidR="00D40151" w:rsidRPr="00873B6C" w:rsidRDefault="00D40151" w:rsidP="00D40151">
      <w:pPr>
        <w:pStyle w:val="B1"/>
      </w:pPr>
      <w:r w:rsidRPr="00873B6C">
        <w:t>-</w:t>
      </w:r>
      <w:r w:rsidRPr="00873B6C">
        <w:tab/>
        <w:t xml:space="preserve">To restrict the use of NR in unlicensed spectrum as primary RAT, the AMF rejects the UE Registration procedure with appropriate cause code defined in </w:t>
      </w:r>
      <w:r w:rsidR="00972E70" w:rsidRPr="00873B6C">
        <w:t>TS 24.501 [</w:t>
      </w:r>
      <w:r w:rsidRPr="00873B6C">
        <w:t>47] if the UE performs initial access from NR using unlicensed spectrum. If the UE is accessing through some other allowed RAT, the AMF signals this access restriction to NG-RAN as part of Mobility Restriction List.</w:t>
      </w:r>
    </w:p>
    <w:p w14:paraId="491E143E" w14:textId="2F612A03" w:rsidR="00D40151" w:rsidRPr="00873B6C" w:rsidRDefault="00D40151" w:rsidP="00D40151">
      <w:pPr>
        <w:pStyle w:val="B1"/>
      </w:pPr>
      <w:r w:rsidRPr="00873B6C">
        <w:lastRenderedPageBreak/>
        <w:t>-</w:t>
      </w:r>
      <w:r w:rsidRPr="00873B6C">
        <w:tab/>
        <w:t xml:space="preserve">To restrict the use of use of unlicensed spectrum with NR or E-UTRA as secondary RAT using Dual Connectivity or Carrier Aggregation Architecture (CA) defined in </w:t>
      </w:r>
      <w:r w:rsidR="00972E70" w:rsidRPr="00873B6C">
        <w:t>TS 38.300 [</w:t>
      </w:r>
      <w:r w:rsidRPr="00873B6C">
        <w:t xml:space="preserve">27] and </w:t>
      </w:r>
      <w:r w:rsidR="00972E70" w:rsidRPr="00873B6C">
        <w:t>TS 36.300 [</w:t>
      </w:r>
      <w:r w:rsidRPr="00873B6C">
        <w:t>30], the AMF signals this access restriction to NG-RAN as part of Mobility Restriction List.</w:t>
      </w:r>
    </w:p>
    <w:p w14:paraId="21FB6DE9" w14:textId="6837A6F7" w:rsidR="00D40151" w:rsidRPr="00873B6C" w:rsidRDefault="00D40151" w:rsidP="00D40151">
      <w:r w:rsidRPr="00873B6C">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972E70" w:rsidRPr="00873B6C">
        <w:t>TS 38.300 [</w:t>
      </w:r>
      <w:r w:rsidRPr="00873B6C">
        <w:t xml:space="preserve">27] and </w:t>
      </w:r>
      <w:r w:rsidR="00972E70" w:rsidRPr="00873B6C">
        <w:t>TS 36.300 [</w:t>
      </w:r>
      <w:r w:rsidRPr="00873B6C">
        <w:t>30].</w:t>
      </w:r>
    </w:p>
    <w:p w14:paraId="45B43FE3" w14:textId="77777777" w:rsidR="00D40151" w:rsidRPr="00873B6C" w:rsidRDefault="00D40151" w:rsidP="00D40151">
      <w:r w:rsidRPr="00873B6C">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873B6C" w:rsidRDefault="00D40151" w:rsidP="00D40151">
      <w:pPr>
        <w:pStyle w:val="NO"/>
      </w:pPr>
      <w:r w:rsidRPr="00873B6C">
        <w:t>NOTE:</w:t>
      </w:r>
      <w:r w:rsidRPr="00873B6C">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873B6C" w:rsidRDefault="00D40151" w:rsidP="00D40151">
      <w:r w:rsidRPr="00873B6C">
        <w:t>When the UE is accessing 5GS using unlicensed spectrum as primary RAT:</w:t>
      </w:r>
    </w:p>
    <w:p w14:paraId="62302EED" w14:textId="2915D89D" w:rsidR="00D40151" w:rsidRPr="00873B6C" w:rsidRDefault="00D40151" w:rsidP="00D40151">
      <w:pPr>
        <w:pStyle w:val="B1"/>
      </w:pPr>
      <w:r w:rsidRPr="00873B6C">
        <w:t>-</w:t>
      </w:r>
      <w:r w:rsidRPr="00873B6C">
        <w:tab/>
        <w:t xml:space="preserve">The NG-RAN node shall provide an indication to the AMF in N2 interface that NR access is using unlicensed spectrum as defined in </w:t>
      </w:r>
      <w:r w:rsidR="00972E70" w:rsidRPr="00873B6C">
        <w:t>TS 38.413 [</w:t>
      </w:r>
      <w:r w:rsidRPr="00873B6C">
        <w:t>34].</w:t>
      </w:r>
    </w:p>
    <w:p w14:paraId="6D85362D" w14:textId="77777777" w:rsidR="00D40151" w:rsidRPr="00873B6C" w:rsidRDefault="00D40151" w:rsidP="00D40151">
      <w:pPr>
        <w:pStyle w:val="B1"/>
      </w:pPr>
      <w:r w:rsidRPr="00873B6C">
        <w:t>-</w:t>
      </w:r>
      <w:r w:rsidRPr="00873B6C">
        <w:tab/>
        <w:t>In order to restrict access to NR in unlicensed spectrum, cells supporting NR in unlicensed spectrum have to be deployed in Tracking Area(s) different to cells supporting licensed spectrum.</w:t>
      </w:r>
    </w:p>
    <w:p w14:paraId="2A7C54C2" w14:textId="168FABEE" w:rsidR="00D40151" w:rsidRPr="00873B6C" w:rsidRDefault="00D40151" w:rsidP="00D40151">
      <w:pPr>
        <w:pStyle w:val="B1"/>
      </w:pPr>
      <w:r w:rsidRPr="00873B6C">
        <w:t>-</w:t>
      </w:r>
      <w:r w:rsidRPr="00873B6C">
        <w:tab/>
        <w:t xml:space="preserve">When the AMF receives an indication from NG-RAN over N2 whether NR in unlicensed spectrum is being used as defined in </w:t>
      </w:r>
      <w:r w:rsidR="00972E70" w:rsidRPr="00873B6C">
        <w:t>TS 38.413 [</w:t>
      </w:r>
      <w:r w:rsidRPr="00873B6C">
        <w:t>34], the AMF provides to the SMF an indication that the RAT type is NR with usage of unlicensed spectrum during PDU Session Establishment or as part of the UP activation and Handover procedures.</w:t>
      </w:r>
    </w:p>
    <w:p w14:paraId="34490145" w14:textId="008FF25E" w:rsidR="00CD22D1" w:rsidRPr="00873B6C" w:rsidRDefault="00CD22D1" w:rsidP="00D40151">
      <w:pPr>
        <w:pStyle w:val="B1"/>
      </w:pPr>
      <w:r w:rsidRPr="00873B6C">
        <w:t>-</w:t>
      </w:r>
      <w:r w:rsidRPr="00873B6C">
        <w:tab/>
        <w:t>The PCF can also receive the indication whether the UE is using NR in unlicensed spectrum, when applicable, from the AMF using the PCRT on Access Type change specified in clause 6.1.2.5 of TS 23.503 [45] during AM Policy Association Establishment or AM Policy Association Modification procedure</w:t>
      </w:r>
      <w:r w:rsidR="00472CD7" w:rsidRPr="00873B6C">
        <w:t xml:space="preserve"> and</w:t>
      </w:r>
      <w:r w:rsidRPr="00873B6C">
        <w:t xml:space="preserve"> from the SMF using the PCRT on Access Type change specified in clause 6.1.3.5 of TS 23.503 [45] during SM Policy Association Establishment or SM Policy Association Modification procedure.</w:t>
      </w:r>
    </w:p>
    <w:p w14:paraId="03682BD4" w14:textId="7B5984CF" w:rsidR="00D40151" w:rsidRPr="00873B6C" w:rsidRDefault="00D40151" w:rsidP="00D40151">
      <w:pPr>
        <w:pStyle w:val="B1"/>
      </w:pPr>
      <w:r w:rsidRPr="00873B6C">
        <w:t>-</w:t>
      </w:r>
      <w:r w:rsidRPr="00873B6C">
        <w:tab/>
        <w:t>The NFs generating CDRs shall include the indication that the UE is using NR in unlicensed spectrum in their CDRs.</w:t>
      </w:r>
    </w:p>
    <w:p w14:paraId="4E66074E" w14:textId="77777777" w:rsidR="00D40151" w:rsidRPr="00873B6C" w:rsidRDefault="00D40151" w:rsidP="00D40151">
      <w:r w:rsidRPr="00873B6C">
        <w:t>When the UE is accessing NR or E-UTRA using unlicensed spectrum as secondary RAT, procedures for Usage Data Reporting for Secondary RAT as defined in clause 5.12.2 can apply.</w:t>
      </w:r>
    </w:p>
    <w:p w14:paraId="3B332A61" w14:textId="77777777" w:rsidR="00D40151" w:rsidRPr="00873B6C" w:rsidRDefault="00D40151" w:rsidP="00D40151">
      <w:pPr>
        <w:pStyle w:val="Heading3"/>
      </w:pPr>
      <w:bookmarkStart w:id="1189" w:name="_CR5_4_9"/>
      <w:bookmarkStart w:id="1190" w:name="_Toc36187670"/>
      <w:bookmarkStart w:id="1191" w:name="_Toc45183574"/>
      <w:bookmarkStart w:id="1192" w:name="_Toc47342416"/>
      <w:bookmarkStart w:id="1193" w:name="_Toc51769114"/>
      <w:bookmarkStart w:id="1194" w:name="_Toc27846546"/>
      <w:bookmarkStart w:id="1195" w:name="_Toc201157044"/>
      <w:bookmarkEnd w:id="1189"/>
      <w:r w:rsidRPr="00873B6C">
        <w:t>5.4.9</w:t>
      </w:r>
      <w:r w:rsidRPr="00873B6C">
        <w:tab/>
        <w:t>Wake Up Signal Assistance</w:t>
      </w:r>
      <w:bookmarkEnd w:id="1190"/>
      <w:bookmarkEnd w:id="1191"/>
      <w:bookmarkEnd w:id="1192"/>
      <w:bookmarkEnd w:id="1193"/>
      <w:bookmarkEnd w:id="1195"/>
    </w:p>
    <w:p w14:paraId="34EDAC6C" w14:textId="77777777" w:rsidR="00D40151" w:rsidRPr="00873B6C" w:rsidRDefault="00D40151" w:rsidP="00D40151">
      <w:pPr>
        <w:pStyle w:val="Heading4"/>
      </w:pPr>
      <w:bookmarkStart w:id="1196" w:name="_CR5_4_9_1"/>
      <w:bookmarkStart w:id="1197" w:name="_Toc51769115"/>
      <w:bookmarkStart w:id="1198" w:name="_Toc201157045"/>
      <w:bookmarkEnd w:id="1196"/>
      <w:r w:rsidRPr="00873B6C">
        <w:t>5.4.9.1</w:t>
      </w:r>
      <w:r w:rsidRPr="00873B6C">
        <w:tab/>
        <w:t>General</w:t>
      </w:r>
      <w:bookmarkEnd w:id="1197"/>
      <w:bookmarkEnd w:id="1198"/>
    </w:p>
    <w:p w14:paraId="1CFC7544" w14:textId="588A47A0" w:rsidR="00D40151" w:rsidRPr="00873B6C" w:rsidRDefault="00D40151" w:rsidP="00D40151">
      <w:pPr>
        <w:rPr>
          <w:lang w:eastAsia="x-none"/>
        </w:rPr>
      </w:pPr>
      <w:r w:rsidRPr="00873B6C">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972E70" w:rsidRPr="00873B6C">
        <w:rPr>
          <w:lang w:eastAsia="x-none"/>
        </w:rPr>
        <w:t>TS 36.304 [</w:t>
      </w:r>
      <w:r w:rsidRPr="00873B6C">
        <w:rPr>
          <w:lang w:eastAsia="x-none"/>
        </w:rPr>
        <w:t>52]).</w:t>
      </w:r>
    </w:p>
    <w:p w14:paraId="1C2B76DD" w14:textId="77777777" w:rsidR="00D40151" w:rsidRPr="00873B6C" w:rsidRDefault="00D40151" w:rsidP="00D40151">
      <w:pPr>
        <w:rPr>
          <w:lang w:eastAsia="x-none"/>
        </w:rPr>
      </w:pPr>
      <w:r w:rsidRPr="00873B6C">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96E5D42" w:rsidR="00D40151" w:rsidRPr="00873B6C" w:rsidRDefault="00D40151" w:rsidP="00D40151">
      <w:pPr>
        <w:pStyle w:val="B1"/>
      </w:pPr>
      <w:r w:rsidRPr="00873B6C">
        <w:t>a)</w:t>
      </w:r>
      <w:r w:rsidRPr="00873B6C">
        <w:tab/>
        <w:t xml:space="preserve">ng-eNBs should provide the Recommended Cells for Paging IE in the </w:t>
      </w:r>
      <w:r w:rsidRPr="00873B6C">
        <w:rPr>
          <w:i/>
          <w:iCs/>
        </w:rPr>
        <w:t>Information on Recommended Cells and RAN Nodes for Paging IE</w:t>
      </w:r>
      <w:r w:rsidRPr="00873B6C">
        <w:t xml:space="preserve"> (see </w:t>
      </w:r>
      <w:r w:rsidR="00972E70" w:rsidRPr="00873B6C">
        <w:t>TS 38.413 [</w:t>
      </w:r>
      <w:r w:rsidRPr="00873B6C">
        <w:t>34]) to the AMF in the NGAP UE Context Release Complete</w:t>
      </w:r>
      <w:r w:rsidR="00E537C9" w:rsidRPr="00873B6C">
        <w:t>,</w:t>
      </w:r>
      <w:r w:rsidRPr="00873B6C">
        <w:t xml:space="preserve"> UE Context Suspend Request</w:t>
      </w:r>
      <w:r w:rsidR="00E537C9" w:rsidRPr="00873B6C">
        <w:t xml:space="preserve"> and UE Context Resume Request</w:t>
      </w:r>
      <w:r w:rsidRPr="00873B6C">
        <w:t xml:space="preserve"> messages;</w:t>
      </w:r>
    </w:p>
    <w:p w14:paraId="09D59231" w14:textId="6747C7C0" w:rsidR="00D40151" w:rsidRPr="00873B6C" w:rsidRDefault="00D40151" w:rsidP="00D40151">
      <w:pPr>
        <w:pStyle w:val="B1"/>
      </w:pPr>
      <w:r w:rsidRPr="00873B6C">
        <w:t>b)</w:t>
      </w:r>
      <w:r w:rsidRPr="00873B6C">
        <w:tab/>
        <w:t xml:space="preserve">if received during the last NGAP UE Context Release Complete or UE Context Suspend Request message, the AMF provides (without modification) the </w:t>
      </w:r>
      <w:r w:rsidRPr="00873B6C">
        <w:rPr>
          <w:i/>
          <w:iCs/>
        </w:rPr>
        <w:t xml:space="preserve">Recommended Cells for Paging as Assistance Data for Recommended </w:t>
      </w:r>
      <w:r w:rsidRPr="00873B6C">
        <w:rPr>
          <w:i/>
          <w:iCs/>
        </w:rPr>
        <w:lastRenderedPageBreak/>
        <w:t>Cells IE in the Assistance Data for Paging IE</w:t>
      </w:r>
      <w:r w:rsidRPr="00873B6C">
        <w:t xml:space="preserve"> within the NGAP Paging message to the RAN (see also </w:t>
      </w:r>
      <w:r w:rsidR="00972E70" w:rsidRPr="00873B6C">
        <w:t>TS 38.413 [</w:t>
      </w:r>
      <w:r w:rsidRPr="00873B6C">
        <w:t>34]); and</w:t>
      </w:r>
    </w:p>
    <w:p w14:paraId="6156155A" w14:textId="77777777" w:rsidR="00D40151" w:rsidRPr="00873B6C" w:rsidRDefault="00D40151" w:rsidP="00D40151">
      <w:pPr>
        <w:pStyle w:val="B1"/>
      </w:pPr>
      <w:r w:rsidRPr="00873B6C">
        <w:t>c)</w:t>
      </w:r>
      <w:r w:rsidRPr="00873B6C">
        <w:tab/>
        <w:t xml:space="preserve">the AMF shall delete (or mark as invalid) the </w:t>
      </w:r>
      <w:r w:rsidRPr="00873B6C">
        <w:rPr>
          <w:i/>
          <w:iCs/>
        </w:rPr>
        <w:t>Information On Recommended Cells And RAND nodes For Paging</w:t>
      </w:r>
      <w:r w:rsidRPr="00873B6C">
        <w:t xml:space="preserve"> when a new NGAP association is established for the UE.</w:t>
      </w:r>
    </w:p>
    <w:p w14:paraId="3E7DF656" w14:textId="78F85986" w:rsidR="00D40151" w:rsidRPr="00873B6C" w:rsidRDefault="00D40151" w:rsidP="00D40151">
      <w:pPr>
        <w:rPr>
          <w:lang w:eastAsia="x-none"/>
        </w:rPr>
      </w:pPr>
      <w:r w:rsidRPr="00873B6C">
        <w:rPr>
          <w:lang w:eastAsia="x-none"/>
        </w:rPr>
        <w:t xml:space="preserve">In the NGAP Paging message, the last used cell ID is sent in the </w:t>
      </w:r>
      <w:r w:rsidRPr="00873B6C">
        <w:rPr>
          <w:i/>
          <w:iCs/>
          <w:lang w:eastAsia="x-none"/>
        </w:rPr>
        <w:t>Assistance Data for Recommended Cells IE</w:t>
      </w:r>
      <w:r w:rsidRPr="00873B6C">
        <w:rPr>
          <w:lang w:eastAsia="x-none"/>
        </w:rPr>
        <w:t xml:space="preserve"> in the </w:t>
      </w:r>
      <w:r w:rsidRPr="00873B6C">
        <w:rPr>
          <w:i/>
          <w:iCs/>
          <w:lang w:eastAsia="x-none"/>
        </w:rPr>
        <w:t>Assistance Data for Paging IE</w:t>
      </w:r>
      <w:r w:rsidRPr="00873B6C">
        <w:rPr>
          <w:lang w:eastAsia="x-none"/>
        </w:rPr>
        <w:t xml:space="preserve"> (see </w:t>
      </w:r>
      <w:r w:rsidR="00972E70" w:rsidRPr="00873B6C">
        <w:rPr>
          <w:lang w:eastAsia="x-none"/>
        </w:rPr>
        <w:t>TS 38.413 [</w:t>
      </w:r>
      <w:r w:rsidRPr="00873B6C">
        <w:rPr>
          <w:lang w:eastAsia="x-none"/>
        </w:rPr>
        <w:t xml:space="preserve">34]). When receiving an NGAP Paging message for a WUS-capable UE that also includes the </w:t>
      </w:r>
      <w:r w:rsidRPr="00873B6C">
        <w:rPr>
          <w:i/>
          <w:iCs/>
          <w:lang w:eastAsia="x-none"/>
        </w:rPr>
        <w:t>Assistance Data for Recommended Cells IE</w:t>
      </w:r>
      <w:r w:rsidRPr="00873B6C">
        <w:rPr>
          <w:lang w:eastAsia="x-none"/>
        </w:rPr>
        <w:t xml:space="preserve"> then a WUS-capable ng-eNB shall only broadcast the WUS on the cell that matches the last used cell ID.</w:t>
      </w:r>
    </w:p>
    <w:p w14:paraId="01601684" w14:textId="77777777" w:rsidR="00D40151" w:rsidRPr="00873B6C" w:rsidRDefault="00D40151" w:rsidP="00D40151">
      <w:pPr>
        <w:pStyle w:val="Heading4"/>
      </w:pPr>
      <w:bookmarkStart w:id="1199" w:name="_CR5_4_9_2"/>
      <w:bookmarkStart w:id="1200" w:name="_Toc51769116"/>
      <w:bookmarkStart w:id="1201" w:name="_Toc201157046"/>
      <w:bookmarkEnd w:id="1199"/>
      <w:r w:rsidRPr="00873B6C">
        <w:t>5.4.9.2</w:t>
      </w:r>
      <w:r w:rsidRPr="00873B6C">
        <w:tab/>
        <w:t>Group Wake Up Signal</w:t>
      </w:r>
      <w:bookmarkEnd w:id="1200"/>
      <w:bookmarkEnd w:id="1201"/>
    </w:p>
    <w:p w14:paraId="5E4C6E30" w14:textId="1B10026A" w:rsidR="00D40151" w:rsidRPr="00873B6C" w:rsidRDefault="00D40151" w:rsidP="00D40151">
      <w:r w:rsidRPr="00873B6C">
        <w:t xml:space="preserve">To support the Wake Up Signal (WUS), the WUS Assistance Information is used by the ng-eNB to help determine the WUS group used when paging the UE (see </w:t>
      </w:r>
      <w:r w:rsidR="00972E70" w:rsidRPr="00873B6C">
        <w:t>TS 36.300 [</w:t>
      </w:r>
      <w:r w:rsidRPr="00873B6C">
        <w:t>30]).</w:t>
      </w:r>
    </w:p>
    <w:p w14:paraId="352C1609" w14:textId="07D22E89" w:rsidR="00D40151" w:rsidRPr="00873B6C" w:rsidRDefault="00D40151" w:rsidP="00D40151">
      <w:r w:rsidRPr="00873B6C">
        <w:t>The content of the WUS Assistance Information consists of the paging probability information. The paging probability information provides a metric on the probability of a UE receiving a paging message based on, e.g</w:t>
      </w:r>
      <w:r w:rsidR="000E35F2" w:rsidRPr="00873B6C">
        <w:t>.</w:t>
      </w:r>
      <w:r w:rsidRPr="00873B6C">
        <w:t xml:space="preserve"> statistical information.</w:t>
      </w:r>
    </w:p>
    <w:p w14:paraId="77561A1A" w14:textId="77777777" w:rsidR="00D40151" w:rsidRPr="00873B6C" w:rsidRDefault="00D40151" w:rsidP="00D40151">
      <w:r w:rsidRPr="00873B6C">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873B6C" w:rsidRDefault="00D40151" w:rsidP="00D40151">
      <w:r w:rsidRPr="00873B6C">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873B6C" w:rsidRDefault="00D40151" w:rsidP="00D40151">
      <w:r w:rsidRPr="00873B6C">
        <w:t>UE and AMF shall not signal WUS Assistance Information in Registration Request, Registration Accept messages when the UE has an active emergency PDU session.</w:t>
      </w:r>
    </w:p>
    <w:p w14:paraId="0DE0D005" w14:textId="037A4732" w:rsidR="001C7C66" w:rsidRPr="00873B6C" w:rsidRDefault="001C7C66" w:rsidP="001C7C66">
      <w:pPr>
        <w:pStyle w:val="Heading3"/>
      </w:pPr>
      <w:bookmarkStart w:id="1202" w:name="_CR5_4_10"/>
      <w:bookmarkStart w:id="1203" w:name="_Toc36187671"/>
      <w:bookmarkStart w:id="1204" w:name="_Toc45183575"/>
      <w:bookmarkStart w:id="1205" w:name="_Toc47342417"/>
      <w:bookmarkStart w:id="1206" w:name="_Toc51769117"/>
      <w:bookmarkStart w:id="1207" w:name="_Toc201157047"/>
      <w:bookmarkEnd w:id="1202"/>
      <w:r w:rsidRPr="00873B6C">
        <w:t>5.4.10</w:t>
      </w:r>
      <w:r w:rsidRPr="00873B6C">
        <w:tab/>
        <w:t>Support for identification and restriction of using NR satellite access</w:t>
      </w:r>
      <w:bookmarkEnd w:id="1207"/>
    </w:p>
    <w:p w14:paraId="2048D040" w14:textId="74ED4BA6" w:rsidR="001C7C66" w:rsidRPr="00873B6C" w:rsidRDefault="001C7C66" w:rsidP="001C7C66">
      <w:r w:rsidRPr="00873B6C">
        <w:t xml:space="preserve">Support for NR satellite access is specified in </w:t>
      </w:r>
      <w:r w:rsidR="00972E70" w:rsidRPr="00873B6C">
        <w:t>TS 38.300 [</w:t>
      </w:r>
      <w:r w:rsidRPr="00873B6C">
        <w:t>27].</w:t>
      </w:r>
    </w:p>
    <w:p w14:paraId="10DB4AFD" w14:textId="3D82886D" w:rsidR="001C7C66" w:rsidRPr="00873B6C" w:rsidRDefault="001C7C66" w:rsidP="00323277">
      <w:pPr>
        <w:pStyle w:val="EditorsNote"/>
      </w:pPr>
      <w:r w:rsidRPr="00873B6C">
        <w:t>Editor's note:</w:t>
      </w:r>
      <w:r w:rsidRPr="00873B6C">
        <w:tab/>
      </w:r>
      <w:r w:rsidR="00972E70" w:rsidRPr="00873B6C">
        <w:t>TS 38.300 [</w:t>
      </w:r>
      <w:r w:rsidRPr="00873B6C">
        <w:t>27] not yet updated by RAN groups.</w:t>
      </w:r>
    </w:p>
    <w:p w14:paraId="594EAC10" w14:textId="30372BE3" w:rsidR="001C7C66" w:rsidRPr="00873B6C" w:rsidRDefault="001C7C66" w:rsidP="001C7C66">
      <w:r w:rsidRPr="00873B6C">
        <w:t xml:space="preserve">The AMF determines the RAT Type for NR satellite access, i.e. NR(LEO), NR(MEO), NR(GEO) and NR(OTHERSAT). When the UE is accessing NR using satellite access, an indication is provided in N2 interface indicating the type of NR satellite access, as defined in </w:t>
      </w:r>
      <w:r w:rsidR="00972E70" w:rsidRPr="00873B6C">
        <w:t>TS 38.413 [</w:t>
      </w:r>
      <w:r w:rsidRPr="00873B6C">
        <w:t>34].</w:t>
      </w:r>
      <w:r w:rsidR="00CD22D1" w:rsidRPr="00873B6C">
        <w:t xml:space="preserve"> The PCF can receive the RAT Type for NR satellite access, when applicable, from the AMF using the PCRT on Access Type change specified in clause 6.1.2.5 of TS 23.503 [45] during AM Policy Association Establishment or AM Policy Association Modification procedure</w:t>
      </w:r>
      <w:r w:rsidR="00472CD7" w:rsidRPr="00873B6C">
        <w:t xml:space="preserve"> and</w:t>
      </w:r>
      <w:r w:rsidR="00CD22D1" w:rsidRPr="00873B6C">
        <w:t xml:space="preserve"> from the SMF using the PCRT on Access Type change specified in clause 6.1.3.5 of TS 23.503 [45] during SM Policy Association Establishment or SM Policy Association Modification procedure.</w:t>
      </w:r>
    </w:p>
    <w:p w14:paraId="33C15A37" w14:textId="4ED5E562" w:rsidR="001C7C66" w:rsidRPr="00873B6C" w:rsidRDefault="001C7C66" w:rsidP="00323277">
      <w:pPr>
        <w:pStyle w:val="EditorsNote"/>
      </w:pPr>
      <w:r w:rsidRPr="00873B6C">
        <w:t>Editor's note:</w:t>
      </w:r>
      <w:r w:rsidRPr="00873B6C">
        <w:tab/>
        <w:t>Further details on what type of satellite platforms OTHERSAT includes is FFS and to be aligned with RAN WG3.</w:t>
      </w:r>
    </w:p>
    <w:p w14:paraId="19A7044D" w14:textId="77777777" w:rsidR="001C7C66" w:rsidRPr="00873B6C" w:rsidRDefault="001C7C66" w:rsidP="001C7C66">
      <w:r w:rsidRPr="00873B6C">
        <w:t>The serving PLMN can enforce mobility restrictions for NR satellite access as specified in clause 5.3.4.1.</w:t>
      </w:r>
    </w:p>
    <w:p w14:paraId="1ACFC143" w14:textId="77777777" w:rsidR="001C7C66" w:rsidRPr="00873B6C" w:rsidRDefault="001C7C66" w:rsidP="001C7C66">
      <w:r w:rsidRPr="00873B6C">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7CCCB88B" w:rsidR="00D45059" w:rsidRPr="00873B6C" w:rsidRDefault="00D45059" w:rsidP="00D45059">
      <w:r w:rsidRPr="00873B6C">
        <w:t xml:space="preserve">The AMF may initiate deregistration of the UE when an N2 UE Context Release Request is received with cause value indicating that the UE is not in PLMN serving area, as specified in </w:t>
      </w:r>
      <w:r w:rsidR="00972E70" w:rsidRPr="00873B6C">
        <w:t>TS 38.413 [</w:t>
      </w:r>
      <w:r w:rsidRPr="00873B6C">
        <w:t>34].</w:t>
      </w:r>
    </w:p>
    <w:p w14:paraId="271C0312" w14:textId="3256D171" w:rsidR="00607A94" w:rsidRPr="00873B6C" w:rsidRDefault="00607A94" w:rsidP="00607A94">
      <w:pPr>
        <w:pStyle w:val="Heading3"/>
      </w:pPr>
      <w:bookmarkStart w:id="1208" w:name="_CR5_4_11"/>
      <w:bookmarkStart w:id="1209" w:name="_Toc201157048"/>
      <w:bookmarkEnd w:id="1208"/>
      <w:r w:rsidRPr="00873B6C">
        <w:lastRenderedPageBreak/>
        <w:t>5.4.11</w:t>
      </w:r>
      <w:r w:rsidRPr="00873B6C">
        <w:tab/>
        <w:t xml:space="preserve">Support for integrating </w:t>
      </w:r>
      <w:r w:rsidR="00B96062" w:rsidRPr="00873B6C">
        <w:t xml:space="preserve">NR </w:t>
      </w:r>
      <w:r w:rsidRPr="00873B6C">
        <w:t>satellite access into 5GS</w:t>
      </w:r>
      <w:bookmarkEnd w:id="1209"/>
    </w:p>
    <w:p w14:paraId="67E29A28" w14:textId="5DE94373" w:rsidR="00B96062" w:rsidRPr="00873B6C" w:rsidRDefault="00B96062" w:rsidP="00B96062">
      <w:pPr>
        <w:pStyle w:val="Heading4"/>
      </w:pPr>
      <w:bookmarkStart w:id="1210" w:name="_CR5_4_11_1"/>
      <w:bookmarkStart w:id="1211" w:name="_Toc201157049"/>
      <w:bookmarkEnd w:id="1210"/>
      <w:r w:rsidRPr="00873B6C">
        <w:t>5.4.11.1</w:t>
      </w:r>
      <w:r w:rsidRPr="00873B6C">
        <w:tab/>
        <w:t>General</w:t>
      </w:r>
      <w:bookmarkEnd w:id="1211"/>
    </w:p>
    <w:p w14:paraId="63B58305" w14:textId="70CA6638" w:rsidR="003B4D25" w:rsidRPr="00873B6C" w:rsidRDefault="003B4D25" w:rsidP="00C74FFE">
      <w:r w:rsidRPr="00873B6C">
        <w:t>This clause describes the specific aspects for NR satellite access.</w:t>
      </w:r>
    </w:p>
    <w:p w14:paraId="03087C54" w14:textId="60562425" w:rsidR="00B96062" w:rsidRPr="00873B6C" w:rsidRDefault="00B96062" w:rsidP="00B96062">
      <w:pPr>
        <w:pStyle w:val="Heading4"/>
      </w:pPr>
      <w:bookmarkStart w:id="1212" w:name="_CR5_4_11_2"/>
      <w:bookmarkStart w:id="1213" w:name="_Toc201157050"/>
      <w:bookmarkEnd w:id="1212"/>
      <w:r w:rsidRPr="00873B6C">
        <w:t>5.4.11.2</w:t>
      </w:r>
      <w:r w:rsidRPr="00873B6C">
        <w:tab/>
        <w:t>Support of RAT types defined in 5GC for satellite access</w:t>
      </w:r>
      <w:bookmarkEnd w:id="1213"/>
    </w:p>
    <w:p w14:paraId="0DDF0B95" w14:textId="74A15C1C" w:rsidR="00B96062" w:rsidRPr="00873B6C" w:rsidRDefault="00B96062" w:rsidP="00B96062">
      <w:r w:rsidRPr="00873B6C">
        <w:t>In case of NR satellite access, the RAT Types values "NR(LEO)", "NR(MEO)", "NR(GEO)" and "NR(OTHERSAT)" are used in 5GC to distinguish the different NR satellite access types (see clause 5.4.10).</w:t>
      </w:r>
    </w:p>
    <w:p w14:paraId="123349CD" w14:textId="146F6F7D" w:rsidR="00B96062" w:rsidRPr="00873B6C" w:rsidRDefault="00B96062" w:rsidP="00B96062">
      <w:r w:rsidRPr="00873B6C">
        <w:t>When a UE is accessing to the network via satellite access, the AMF determines the RAT type as specified in clause 5.4.10.</w:t>
      </w:r>
    </w:p>
    <w:p w14:paraId="57A4B838" w14:textId="4DA1B571" w:rsidR="003B4D25" w:rsidRPr="00873B6C" w:rsidRDefault="003B4D25" w:rsidP="00562E84">
      <w:pPr>
        <w:pStyle w:val="Heading4"/>
      </w:pPr>
      <w:bookmarkStart w:id="1214" w:name="_CR5_4_11_3"/>
      <w:bookmarkStart w:id="1215" w:name="_Toc201157051"/>
      <w:bookmarkEnd w:id="1214"/>
      <w:r w:rsidRPr="00873B6C">
        <w:t>5.4.11.3</w:t>
      </w:r>
      <w:r w:rsidRPr="00873B6C">
        <w:tab/>
        <w:t>Void</w:t>
      </w:r>
      <w:bookmarkEnd w:id="1215"/>
    </w:p>
    <w:p w14:paraId="4FBAA04B" w14:textId="77777777" w:rsidR="003B4D25" w:rsidRPr="00873B6C" w:rsidRDefault="003B4D25" w:rsidP="00C74FFE"/>
    <w:p w14:paraId="28B5BE8A" w14:textId="1925BBDC" w:rsidR="00607A94" w:rsidRPr="00873B6C" w:rsidRDefault="00607A94" w:rsidP="00562E84">
      <w:pPr>
        <w:pStyle w:val="Heading4"/>
      </w:pPr>
      <w:bookmarkStart w:id="1216" w:name="_CR5_4_11_4"/>
      <w:bookmarkStart w:id="1217" w:name="_Toc201157052"/>
      <w:bookmarkEnd w:id="1216"/>
      <w:r w:rsidRPr="00873B6C">
        <w:t>5.4.11.4</w:t>
      </w:r>
      <w:r w:rsidRPr="00873B6C">
        <w:tab/>
        <w:t>Verification of UE location</w:t>
      </w:r>
      <w:bookmarkEnd w:id="1217"/>
    </w:p>
    <w:p w14:paraId="0A831786" w14:textId="77777777" w:rsidR="00500903" w:rsidRPr="00873B6C" w:rsidRDefault="00607A94" w:rsidP="00607A94">
      <w:r w:rsidRPr="00873B6C">
        <w:t xml:space="preserve">In order to ensure that the regulatory requirements are met, the network may be configured to enforce that the selected PLMN is allowed to operate in the </w:t>
      </w:r>
      <w:r w:rsidR="005309E6" w:rsidRPr="00873B6C">
        <w:t xml:space="preserve">current </w:t>
      </w:r>
      <w:r w:rsidRPr="00873B6C">
        <w:t xml:space="preserve">UE location by verifying the UE location during Mobility Management and Session Management procedures. </w:t>
      </w:r>
      <w:r w:rsidR="00500903" w:rsidRPr="00873B6C">
        <w:t>The UE that supports network verified UE location over NTN NR shall indicate this capability in UE 5GMM Core Network Capability and LPP as defined in TS 37.355 [191].</w:t>
      </w:r>
    </w:p>
    <w:p w14:paraId="1E6C8D77" w14:textId="53F78DDD" w:rsidR="00607A94" w:rsidRPr="00873B6C" w:rsidRDefault="00607A94" w:rsidP="00607A94">
      <w:r w:rsidRPr="00873B6C">
        <w:t>In this case, when the AMF receives a NGAP message containing User Location Information for a UE using NR satellite access, the AMF</w:t>
      </w:r>
      <w:r w:rsidR="00500903" w:rsidRPr="00873B6C">
        <w:t xml:space="preserve"> takes into account the capability of the UE in UE 5GMM Core Network Capability for the support by the UE of network verified UE location over NR NTN and</w:t>
      </w:r>
      <w:r w:rsidRPr="00873B6C">
        <w:t xml:space="preserve"> may decide to verify the UE location. If the AMF determines based on the Selected PLMN ID and ULI (including Cell ID) received from the gNB that it is not allowed to operate at the present UE location the AMF should reject </w:t>
      </w:r>
      <w:r w:rsidR="00700DBF" w:rsidRPr="00873B6C">
        <w:t xml:space="preserve">any NAS </w:t>
      </w:r>
      <w:r w:rsidRPr="00873B6C">
        <w:t xml:space="preserve">request </w:t>
      </w:r>
      <w:r w:rsidR="00700DBF" w:rsidRPr="00873B6C">
        <w:t xml:space="preserve">with a suitable </w:t>
      </w:r>
      <w:r w:rsidR="005309E6" w:rsidRPr="00873B6C">
        <w:t>c</w:t>
      </w:r>
      <w:r w:rsidR="00700DBF" w:rsidRPr="00873B6C">
        <w:t>ause value</w:t>
      </w:r>
      <w:r w:rsidRPr="00873B6C">
        <w:t>.</w:t>
      </w:r>
      <w:r w:rsidR="00700DBF" w:rsidRPr="00873B6C">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rsidRPr="00873B6C">
        <w:t xml:space="preserve"> geographical area where</w:t>
      </w:r>
      <w:r w:rsidR="00700DBF" w:rsidRPr="00873B6C">
        <w:t xml:space="preserve"> the PLMN is not allowed to operate.</w:t>
      </w:r>
    </w:p>
    <w:p w14:paraId="35C60CA6" w14:textId="614D647F" w:rsidR="005309E6" w:rsidRPr="00873B6C" w:rsidRDefault="005309E6" w:rsidP="0073598F">
      <w:pPr>
        <w:pStyle w:val="NO"/>
      </w:pPr>
      <w:r w:rsidRPr="00873B6C">
        <w:t>NOTE</w:t>
      </w:r>
      <w:r w:rsidR="00883CA6" w:rsidRPr="00873B6C">
        <w:t> 1</w:t>
      </w:r>
      <w:r w:rsidRPr="00873B6C">
        <w:t>:</w:t>
      </w:r>
      <w:r w:rsidRPr="00873B6C">
        <w:tab/>
        <w:t>The area where the UE is allowed to operate can be determined based on the regulatory area where the PLMN is allowed to operate based on its licensing conditions.</w:t>
      </w:r>
    </w:p>
    <w:p w14:paraId="3B55F722" w14:textId="412793F8" w:rsidR="00883CA6" w:rsidRPr="00873B6C" w:rsidRDefault="00607A94" w:rsidP="00607A94">
      <w:r w:rsidRPr="00873B6C">
        <w:t>If the AMF, based on the ULI, is not</w:t>
      </w:r>
      <w:r w:rsidR="00700DBF" w:rsidRPr="00873B6C">
        <w:t xml:space="preserve"> able to determine</w:t>
      </w:r>
      <w:r w:rsidRPr="00873B6C">
        <w:t xml:space="preserve"> the UE</w:t>
      </w:r>
      <w:r w:rsidR="00700DBF" w:rsidRPr="00873B6C">
        <w:t>'s</w:t>
      </w:r>
      <w:r w:rsidRPr="00873B6C">
        <w:t xml:space="preserve"> location with sufficient accuracy to make a final decision</w:t>
      </w:r>
      <w:r w:rsidR="004817F2" w:rsidRPr="00873B6C">
        <w:t xml:space="preserve"> or if the received ULI is not sufficiently reliable</w:t>
      </w:r>
      <w:r w:rsidRPr="00873B6C">
        <w:t>, the AMF</w:t>
      </w:r>
      <w:r w:rsidR="00500903" w:rsidRPr="00873B6C">
        <w:t xml:space="preserve"> takes into account the UE 5GMM Core Network Capability related to the UE support of network verified UE location over NR NTN and may</w:t>
      </w:r>
      <w:r w:rsidRPr="00873B6C">
        <w:t xml:space="preserve"> proceed with the Mobility Management or Session Management procedure and may initiate UE location procedure</w:t>
      </w:r>
      <w:r w:rsidR="00700DBF" w:rsidRPr="00873B6C">
        <w:t xml:space="preserve"> after the Mobility Management or Session Management procedure is complete</w:t>
      </w:r>
      <w:r w:rsidR="00960CDA" w:rsidRPr="00873B6C">
        <w:t>,</w:t>
      </w:r>
      <w:r w:rsidRPr="00873B6C">
        <w:t xml:space="preserve"> as specified in</w:t>
      </w:r>
      <w:r w:rsidR="00960CDA" w:rsidRPr="00873B6C">
        <w:t xml:space="preserve"> clause 6.10.1 of </w:t>
      </w:r>
      <w:r w:rsidR="00972E70" w:rsidRPr="00873B6C">
        <w:t>TS 23.273 [</w:t>
      </w:r>
      <w:r w:rsidRPr="00873B6C">
        <w:t>87], to determine the UE location.</w:t>
      </w:r>
    </w:p>
    <w:p w14:paraId="7E7A4F41" w14:textId="4285B59C" w:rsidR="00883CA6" w:rsidRPr="00873B6C" w:rsidRDefault="00883CA6" w:rsidP="00745A3E">
      <w:pPr>
        <w:pStyle w:val="NO"/>
      </w:pPr>
      <w:r w:rsidRPr="00873B6C">
        <w:t>NOTE 2:</w:t>
      </w:r>
      <w:r w:rsidRPr="00873B6C">
        <w:tab/>
        <w:t>In order to ensure that the regulatory requirements are met, based on operator configuration, the AMF can prevent the UE from accessing certain services</w:t>
      </w:r>
      <w:r w:rsidR="00CD22D1" w:rsidRPr="00873B6C">
        <w:t xml:space="preserve"> (e.g. services related with NAS messages initiated by UE or network except services related with UE location procedures or NAS procedures required for location verification)</w:t>
      </w:r>
      <w:r w:rsidRPr="00873B6C">
        <w:t xml:space="preserve"> while location determination is ongoing. This can be done by, for example, </w:t>
      </w:r>
      <w:r w:rsidR="00CD22D1" w:rsidRPr="00873B6C">
        <w:t xml:space="preserve">the </w:t>
      </w:r>
      <w:r w:rsidRPr="00873B6C">
        <w:t>AMF providing a back-off time to the UE, such as described in clause </w:t>
      </w:r>
      <w:r w:rsidR="00CD22D1" w:rsidRPr="00873B6C">
        <w:t xml:space="preserve">5.19.7.2 </w:t>
      </w:r>
      <w:r w:rsidRPr="00873B6C">
        <w:t>NAS level congestion control.</w:t>
      </w:r>
    </w:p>
    <w:p w14:paraId="023B5BE6" w14:textId="3F7ECC8F" w:rsidR="00607A94" w:rsidRPr="00873B6C" w:rsidRDefault="00700DBF" w:rsidP="00607A94">
      <w:r w:rsidRPr="00873B6C">
        <w:t>The AMF shall be prepared to deregister the UE if the information received from LMF indicates that the UE is registered to a PLMN that is not allowed to operate in the UE location.</w:t>
      </w:r>
      <w:r w:rsidR="00607A94" w:rsidRPr="00873B6C">
        <w:t xml:space="preserve"> In </w:t>
      </w:r>
      <w:r w:rsidRPr="00873B6C">
        <w:t xml:space="preserve">the </w:t>
      </w:r>
      <w:r w:rsidR="00607A94" w:rsidRPr="00873B6C">
        <w:t>case of a NAS procedure, the AMF should either reject any NAS request targeted towards a PLMN that is not allowed to operate</w:t>
      </w:r>
      <w:r w:rsidRPr="00873B6C">
        <w:t xml:space="preserve"> in</w:t>
      </w:r>
      <w:r w:rsidR="00607A94" w:rsidRPr="00873B6C">
        <w:t xml:space="preserve"> the known UE location and indicate a suitable </w:t>
      </w:r>
      <w:r w:rsidR="005309E6" w:rsidRPr="00873B6C">
        <w:t>c</w:t>
      </w:r>
      <w:r w:rsidR="00607A94" w:rsidRPr="00873B6C">
        <w:t>ause value, or accept the NAS procedure and</w:t>
      </w:r>
      <w:r w:rsidRPr="00873B6C">
        <w:t xml:space="preserve"> initiate deregistration procedure</w:t>
      </w:r>
      <w:r w:rsidR="00607A94" w:rsidRPr="00873B6C">
        <w:t xml:space="preserve"> once the UE location is known.</w:t>
      </w:r>
      <w:r w:rsidRPr="00873B6C">
        <w:t xml:space="preserve"> In the deregistration message to the UE, the AMF shall include a suitable </w:t>
      </w:r>
      <w:r w:rsidR="005309E6" w:rsidRPr="00873B6C">
        <w:t>c</w:t>
      </w:r>
      <w:r w:rsidRPr="00873B6C">
        <w:t>ause value. For UE processing of the cause value indicating that the PLMN is not allowed to operate in the</w:t>
      </w:r>
      <w:r w:rsidR="005309E6" w:rsidRPr="00873B6C">
        <w:t xml:space="preserve"> current</w:t>
      </w:r>
      <w:r w:rsidRPr="00873B6C">
        <w:t xml:space="preserve"> UE location, see </w:t>
      </w:r>
      <w:r w:rsidR="00972E70" w:rsidRPr="00873B6C">
        <w:t>TS 23.122 [</w:t>
      </w:r>
      <w:r w:rsidRPr="00873B6C">
        <w:t xml:space="preserve">17] and </w:t>
      </w:r>
      <w:r w:rsidR="00972E70" w:rsidRPr="00873B6C">
        <w:t>TS 24.501 [</w:t>
      </w:r>
      <w:r w:rsidRPr="00873B6C">
        <w:t>47].</w:t>
      </w:r>
    </w:p>
    <w:p w14:paraId="0FB22C7F" w14:textId="3E9E81C6" w:rsidR="00607A94" w:rsidRPr="00873B6C" w:rsidRDefault="00607A94" w:rsidP="00607A94">
      <w:r w:rsidRPr="00873B6C">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873B6C" w:rsidRDefault="00607A94" w:rsidP="00607A94">
      <w:pPr>
        <w:pStyle w:val="Heading4"/>
      </w:pPr>
      <w:bookmarkStart w:id="1218" w:name="_CR5_4_11_5"/>
      <w:bookmarkStart w:id="1219" w:name="_Toc201157053"/>
      <w:bookmarkEnd w:id="1218"/>
      <w:r w:rsidRPr="00873B6C">
        <w:lastRenderedPageBreak/>
        <w:t>5.4.11.5</w:t>
      </w:r>
      <w:r w:rsidRPr="00873B6C">
        <w:tab/>
        <w:t>Network selection for NR satellite access</w:t>
      </w:r>
      <w:bookmarkEnd w:id="1219"/>
    </w:p>
    <w:p w14:paraId="1A3EDB3E" w14:textId="77777777" w:rsidR="00607A94" w:rsidRPr="00873B6C" w:rsidRDefault="00607A94" w:rsidP="00607A94">
      <w:r w:rsidRPr="00873B6C">
        <w:t>Network selection principles specified in clause 5.2.2 apply also for NR satellite access.</w:t>
      </w:r>
    </w:p>
    <w:p w14:paraId="51DC8319" w14:textId="498F9222" w:rsidR="00607A94" w:rsidRPr="00873B6C" w:rsidRDefault="00607A94" w:rsidP="00607A94">
      <w:r w:rsidRPr="00873B6C">
        <w:t xml:space="preserve">For NR satellite access, a UE with location capability should use its awareness of its location to select a PLMN that is allowed to operate in the UE location as specified in </w:t>
      </w:r>
      <w:r w:rsidR="00972E70" w:rsidRPr="00873B6C">
        <w:t>TS 23.122 [</w:t>
      </w:r>
      <w:r w:rsidRPr="00873B6C">
        <w:t>17].</w:t>
      </w:r>
    </w:p>
    <w:p w14:paraId="39B7BED8" w14:textId="77777777" w:rsidR="00607A94" w:rsidRPr="00873B6C" w:rsidRDefault="00607A94" w:rsidP="00607A94">
      <w:r w:rsidRPr="00873B6C">
        <w:t>In order to ensure that the regulatory requirements are met, the network may be configured to enforce this UE choice by verifying the UE location, as described in clause 5.4.11.4.</w:t>
      </w:r>
    </w:p>
    <w:p w14:paraId="784F8D3A" w14:textId="0E09D9F9" w:rsidR="00E83620" w:rsidRPr="00873B6C" w:rsidRDefault="00E83620" w:rsidP="00E83620">
      <w:pPr>
        <w:pStyle w:val="Heading4"/>
      </w:pPr>
      <w:bookmarkStart w:id="1220" w:name="_CR5_4_11_6"/>
      <w:bookmarkStart w:id="1221" w:name="_Toc201157054"/>
      <w:bookmarkEnd w:id="1220"/>
      <w:r w:rsidRPr="00873B6C">
        <w:t>5.4.11.6</w:t>
      </w:r>
      <w:r w:rsidRPr="00873B6C">
        <w:tab/>
        <w:t>Support of Mobility Registration Update</w:t>
      </w:r>
      <w:bookmarkEnd w:id="1221"/>
    </w:p>
    <w:p w14:paraId="2AFBEB24" w14:textId="7FFAD4A5" w:rsidR="00E83620" w:rsidRPr="00873B6C" w:rsidRDefault="00E83620" w:rsidP="00C74FFE">
      <w:r w:rsidRPr="00873B6C">
        <w:t>A</w:t>
      </w:r>
      <w:r w:rsidR="00CB6EDC" w:rsidRPr="00873B6C">
        <w:t xml:space="preserve"> moving</w:t>
      </w:r>
      <w:r w:rsidRPr="00873B6C">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873B6C" w:rsidRDefault="0053150F" w:rsidP="00461850">
      <w:r w:rsidRPr="00873B6C">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873B6C" w:rsidRDefault="00CB6EDC" w:rsidP="00CB6EDC">
      <w:pPr>
        <w:pStyle w:val="Heading4"/>
      </w:pPr>
      <w:bookmarkStart w:id="1222" w:name="_CR5_4_11_7"/>
      <w:bookmarkStart w:id="1223" w:name="_Toc201157055"/>
      <w:bookmarkEnd w:id="1222"/>
      <w:r w:rsidRPr="00873B6C">
        <w:t>5.4.11.7</w:t>
      </w:r>
      <w:r w:rsidRPr="00873B6C">
        <w:tab/>
        <w:t>Tracking Area handling for NR satellite access</w:t>
      </w:r>
      <w:bookmarkEnd w:id="1223"/>
    </w:p>
    <w:p w14:paraId="5A8235B3" w14:textId="26393E5B" w:rsidR="00CB6EDC" w:rsidRPr="00873B6C" w:rsidRDefault="00CB6EDC" w:rsidP="00CB6EDC">
      <w:r w:rsidRPr="00873B6C">
        <w:t xml:space="preserve">In the case of NR satellite access with moving cells, in order to ensure that each TA is </w:t>
      </w:r>
      <w:r w:rsidR="00DB3C92" w:rsidRPr="00873B6C">
        <w:t>E</w:t>
      </w:r>
      <w:r w:rsidRPr="00873B6C">
        <w:t xml:space="preserve">arth-stationary even if the radio cells are moving across the </w:t>
      </w:r>
      <w:r w:rsidR="00DB3C92" w:rsidRPr="00873B6C">
        <w:t>E</w:t>
      </w:r>
      <w:r w:rsidRPr="00873B6C">
        <w:t>arth's surface, the NG-RAN may change the TAC values that are broadcast in a cell's system information as the cell moves, as described in</w:t>
      </w:r>
      <w:r w:rsidR="00141A61" w:rsidRPr="00873B6C">
        <w:t xml:space="preserve"> TS 38.300 [27] and</w:t>
      </w:r>
      <w:r w:rsidRPr="00873B6C">
        <w:t xml:space="preserve"> </w:t>
      </w:r>
      <w:r w:rsidR="00972E70" w:rsidRPr="00873B6C">
        <w:t>TS 38.331 [</w:t>
      </w:r>
      <w:r w:rsidRPr="00873B6C">
        <w:t>28].</w:t>
      </w:r>
    </w:p>
    <w:p w14:paraId="75572D52" w14:textId="5E79303D" w:rsidR="00CB6EDC" w:rsidRPr="00873B6C" w:rsidRDefault="00CB6EDC" w:rsidP="00CB6EDC">
      <w:r w:rsidRPr="00873B6C">
        <w:t>NG-RAN may broadcast</w:t>
      </w:r>
      <w:r w:rsidR="00DB3C92" w:rsidRPr="00873B6C">
        <w:t xml:space="preserve"> in a cell</w:t>
      </w:r>
      <w:r w:rsidRPr="00873B6C">
        <w:t xml:space="preserve"> a single TAC per PLMN and change that TAC value as the cell moves. Alternatively, the NG-RAN may broadcast</w:t>
      </w:r>
      <w:r w:rsidR="00DB3C92" w:rsidRPr="00873B6C">
        <w:t xml:space="preserve"> in a cell</w:t>
      </w:r>
      <w:r w:rsidRPr="00873B6C">
        <w:t xml:space="preserve"> more than one TAC for a PLMN and add or remove TAC values as the cell moves. The NG-RAN provides either the single broadcast TAI or all broadcast TAIs</w:t>
      </w:r>
      <w:r w:rsidR="0010576F" w:rsidRPr="00873B6C">
        <w:t xml:space="preserve"> corresponding to the Selected PLMN as described in </w:t>
      </w:r>
      <w:r w:rsidR="00972E70" w:rsidRPr="00873B6C">
        <w:t>TS 38.413 [</w:t>
      </w:r>
      <w:r w:rsidR="0010576F" w:rsidRPr="00873B6C">
        <w:t>34]</w:t>
      </w:r>
      <w:r w:rsidRPr="00873B6C">
        <w:t xml:space="preserve"> to the AMF as part of the ULI, whenever the ULI is included in the NGAP message as described in </w:t>
      </w:r>
      <w:r w:rsidR="00972E70" w:rsidRPr="00873B6C">
        <w:t>TS 38.413 [</w:t>
      </w:r>
      <w:r w:rsidRPr="00873B6C">
        <w:t>34]. The NG-RAN indicates, if known, also the TAI where the UE is geographically located.</w:t>
      </w:r>
      <w:r w:rsidR="00500903" w:rsidRPr="00873B6C">
        <w:t xml:space="preserve"> When supplying location information to another NF (e.g. SMF, PCF), the AMF shall include the TAI where the UE is located (if known) and the broadcast TAI(s), excluding all forbidden TAI(s).</w:t>
      </w:r>
    </w:p>
    <w:p w14:paraId="30E2986C" w14:textId="77777777" w:rsidR="00CB6EDC" w:rsidRPr="00873B6C" w:rsidRDefault="00CB6EDC" w:rsidP="00461850">
      <w:pPr>
        <w:pStyle w:val="NO"/>
      </w:pPr>
      <w:r w:rsidRPr="00873B6C">
        <w:t>NOTE:</w:t>
      </w:r>
      <w:r w:rsidRPr="00873B6C">
        <w:tab/>
        <w:t>The AMF may take the TAI where the UE is geographically located into account to generate a suitable Registration Area for the UE.</w:t>
      </w:r>
    </w:p>
    <w:p w14:paraId="21E7D60D" w14:textId="16C460A8" w:rsidR="00CB6EDC" w:rsidRPr="00873B6C" w:rsidRDefault="00CB6EDC" w:rsidP="00CB6EDC">
      <w:pPr>
        <w:pStyle w:val="Heading4"/>
      </w:pPr>
      <w:bookmarkStart w:id="1224" w:name="_CR5_4_11_8"/>
      <w:bookmarkStart w:id="1225" w:name="_Toc201157056"/>
      <w:bookmarkEnd w:id="1224"/>
      <w:r w:rsidRPr="00873B6C">
        <w:t>5.4.11.8</w:t>
      </w:r>
      <w:r w:rsidRPr="00873B6C">
        <w:tab/>
        <w:t>Support for mobility Forbidden Area and Service Area Restrictions for NR satellite access</w:t>
      </w:r>
      <w:bookmarkEnd w:id="1225"/>
    </w:p>
    <w:p w14:paraId="3DD46931" w14:textId="77777777" w:rsidR="00CB6EDC" w:rsidRPr="00873B6C" w:rsidRDefault="00CB6EDC" w:rsidP="00CB6EDC">
      <w:r w:rsidRPr="00873B6C">
        <w:t>Forbidden Area functionality is supported as described in clause 5.3.4.1.1 with the modifications described below:</w:t>
      </w:r>
    </w:p>
    <w:p w14:paraId="3B906440" w14:textId="006780A8" w:rsidR="00CB6EDC" w:rsidRPr="00873B6C" w:rsidRDefault="00CB6EDC" w:rsidP="00461850">
      <w:pPr>
        <w:pStyle w:val="B1"/>
      </w:pPr>
      <w:r w:rsidRPr="00873B6C">
        <w:t>-</w:t>
      </w:r>
      <w:r w:rsidRPr="00873B6C">
        <w:tab/>
        <w:t>The AMF</w:t>
      </w:r>
      <w:r w:rsidR="0010576F" w:rsidRPr="00873B6C">
        <w:t xml:space="preserve"> and the UE</w:t>
      </w:r>
      <w:r w:rsidRPr="00873B6C">
        <w:t xml:space="preserve"> receive the broadcast TAI (if a single TAI is broadcast) or all broadcast TAIs (if multiple TAIs are broadcast) from the NG-RAN as described clause 5.4.11.7. The AMF </w:t>
      </w:r>
      <w:r w:rsidR="0010576F" w:rsidRPr="00873B6C">
        <w:t xml:space="preserve">considers </w:t>
      </w:r>
      <w:r w:rsidRPr="00873B6C">
        <w:t>the UE</w:t>
      </w:r>
      <w:r w:rsidR="0010576F" w:rsidRPr="00873B6C">
        <w:t xml:space="preserve"> to be in a Forbidden Area</w:t>
      </w:r>
      <w:r w:rsidRPr="00873B6C">
        <w:t xml:space="preserve"> if the only received TAI is forbidden or if all received TAIs are forbidden based on subscription data. The UE considers it is</w:t>
      </w:r>
      <w:r w:rsidR="0010576F" w:rsidRPr="00873B6C">
        <w:t xml:space="preserve"> in a Forbidden Area if the only received TAI is forbidden</w:t>
      </w:r>
      <w:r w:rsidR="006810D1" w:rsidRPr="00873B6C">
        <w:t>,</w:t>
      </w:r>
      <w:r w:rsidR="0010576F" w:rsidRPr="00873B6C">
        <w:t xml:space="preserve"> or if all received TAIs are forbidden and is</w:t>
      </w:r>
      <w:r w:rsidRPr="00873B6C">
        <w:t xml:space="preserve"> not within a Forbidden Area in </w:t>
      </w:r>
      <w:r w:rsidR="006810D1" w:rsidRPr="00873B6C">
        <w:t xml:space="preserve">the </w:t>
      </w:r>
      <w:r w:rsidRPr="00873B6C">
        <w:t>case</w:t>
      </w:r>
      <w:r w:rsidR="006810D1" w:rsidRPr="00873B6C">
        <w:t xml:space="preserve"> that</w:t>
      </w:r>
      <w:r w:rsidRPr="00873B6C">
        <w:t xml:space="preserve"> at least one broadcast TAI is not forbidden.</w:t>
      </w:r>
    </w:p>
    <w:p w14:paraId="2F07E545" w14:textId="750F6C8A" w:rsidR="006F101E" w:rsidRPr="00873B6C" w:rsidRDefault="006F101E" w:rsidP="00433EFC">
      <w:pPr>
        <w:pStyle w:val="B1"/>
      </w:pPr>
      <w:r w:rsidRPr="00873B6C">
        <w:t>-</w:t>
      </w:r>
      <w:r w:rsidRPr="00873B6C">
        <w:tab/>
        <w:t xml:space="preserve">If AMF receives multiple TAIs from the NG-RAN and determines that some, but not all of them are forbidden by subscription or by operator policy, the AMF shall send the forbidden TAI(s) to the UE as described in clauses 4.2.2.2 and 4.2.3 in </w:t>
      </w:r>
      <w:r w:rsidR="00972E70" w:rsidRPr="00873B6C">
        <w:t>TS 23.502 [</w:t>
      </w:r>
      <w:r w:rsidRPr="00873B6C">
        <w:t>3]. The UE stores the TAI(s) in the appropriate Forbidden Area list and removes the TAI(s) from Registration Area if present.</w:t>
      </w:r>
    </w:p>
    <w:p w14:paraId="29F29F5F" w14:textId="696050C8" w:rsidR="00CB6EDC" w:rsidRPr="00873B6C" w:rsidRDefault="00CB6EDC" w:rsidP="00CB6EDC">
      <w:r w:rsidRPr="00873B6C">
        <w:t>Service Area Restrictions functionality is supported as described in clause 5.3.4.1.2 with the modifications described below:</w:t>
      </w:r>
    </w:p>
    <w:p w14:paraId="273AF6E0" w14:textId="77777777" w:rsidR="00CB6EDC" w:rsidRPr="00873B6C" w:rsidRDefault="00CB6EDC" w:rsidP="00461850">
      <w:pPr>
        <w:pStyle w:val="B1"/>
      </w:pPr>
      <w:r w:rsidRPr="00873B6C">
        <w:t>-</w:t>
      </w:r>
      <w:r w:rsidRPr="00873B6C">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873B6C" w:rsidRDefault="00283ED6" w:rsidP="00283ED6">
      <w:pPr>
        <w:pStyle w:val="Heading3"/>
      </w:pPr>
      <w:bookmarkStart w:id="1226" w:name="_CR5_4_12"/>
      <w:bookmarkStart w:id="1227" w:name="_Toc201157057"/>
      <w:bookmarkEnd w:id="1226"/>
      <w:r w:rsidRPr="00873B6C">
        <w:lastRenderedPageBreak/>
        <w:t>5.4.12</w:t>
      </w:r>
      <w:r w:rsidRPr="00873B6C">
        <w:tab/>
        <w:t>Paging Early Indication with Paging Subgrouping Assistance</w:t>
      </w:r>
      <w:bookmarkEnd w:id="1227"/>
    </w:p>
    <w:p w14:paraId="02100A45" w14:textId="77777777" w:rsidR="00283ED6" w:rsidRPr="00873B6C" w:rsidRDefault="00283ED6" w:rsidP="00461850">
      <w:pPr>
        <w:pStyle w:val="Heading4"/>
      </w:pPr>
      <w:bookmarkStart w:id="1228" w:name="_CR5_4_12_1"/>
      <w:bookmarkStart w:id="1229" w:name="_Toc201157058"/>
      <w:bookmarkEnd w:id="1228"/>
      <w:r w:rsidRPr="00873B6C">
        <w:t>5.4.12.1</w:t>
      </w:r>
      <w:r w:rsidRPr="00873B6C">
        <w:tab/>
        <w:t>General</w:t>
      </w:r>
      <w:bookmarkEnd w:id="1229"/>
    </w:p>
    <w:p w14:paraId="0896C9E5" w14:textId="328812AD" w:rsidR="00AE12FC" w:rsidRPr="00873B6C" w:rsidRDefault="00AE12FC" w:rsidP="00283ED6">
      <w:r w:rsidRPr="00873B6C">
        <w:t xml:space="preserve">The RAN and UE may use a Paging Early Indication with Paging Subgrouping (PEIPS) to reduce the UE's power consumption in RRC_IDLE and RRC_INACTIVE over NR (see </w:t>
      </w:r>
      <w:r w:rsidR="00972E70" w:rsidRPr="00873B6C">
        <w:t>TS 38.304 [</w:t>
      </w:r>
      <w:r w:rsidRPr="00873B6C">
        <w:t>50]).</w:t>
      </w:r>
    </w:p>
    <w:p w14:paraId="2100C9B2" w14:textId="6C967A6C" w:rsidR="00AE12FC" w:rsidRPr="00873B6C" w:rsidRDefault="00AE12FC" w:rsidP="00283ED6">
      <w:r w:rsidRPr="00873B6C">
        <w:t xml:space="preserve">The </w:t>
      </w:r>
      <w:r w:rsidR="00133F31" w:rsidRPr="00873B6C">
        <w:t>p</w:t>
      </w:r>
      <w:r w:rsidRPr="00873B6C">
        <w:t xml:space="preserve">aging </w:t>
      </w:r>
      <w:r w:rsidR="00133F31" w:rsidRPr="00873B6C">
        <w:t>s</w:t>
      </w:r>
      <w:r w:rsidRPr="00873B6C">
        <w:t xml:space="preserve">ubgrouping can be based on either the UE's temporary ID or a </w:t>
      </w:r>
      <w:r w:rsidR="00133F31" w:rsidRPr="00873B6C">
        <w:t>P</w:t>
      </w:r>
      <w:r w:rsidRPr="00873B6C">
        <w:t xml:space="preserve">aging </w:t>
      </w:r>
      <w:r w:rsidR="00133F31" w:rsidRPr="00873B6C">
        <w:t>S</w:t>
      </w:r>
      <w:r w:rsidRPr="00873B6C">
        <w:t>ubgroup</w:t>
      </w:r>
      <w:r w:rsidR="00133F31" w:rsidRPr="00873B6C">
        <w:t xml:space="preserve"> ID</w:t>
      </w:r>
      <w:r w:rsidRPr="00873B6C">
        <w:t xml:space="preserve"> allocated by the AMF. Paging subgrouping based on the UE's temporary ID is implemented within the NG-RAN. For </w:t>
      </w:r>
      <w:r w:rsidR="00133F31" w:rsidRPr="00873B6C">
        <w:t>p</w:t>
      </w:r>
      <w:r w:rsidRPr="00873B6C">
        <w:t xml:space="preserve">aging </w:t>
      </w:r>
      <w:r w:rsidR="00133F31" w:rsidRPr="00873B6C">
        <w:t>s</w:t>
      </w:r>
      <w:r w:rsidRPr="00873B6C">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873B6C">
        <w:t xml:space="preserve"> </w:t>
      </w:r>
      <w:r w:rsidRPr="00873B6C">
        <w:t>(see clause 5.4.4.1a).</w:t>
      </w:r>
    </w:p>
    <w:p w14:paraId="0758681A" w14:textId="77777777" w:rsidR="00246EB9" w:rsidRPr="00873B6C" w:rsidRDefault="00246EB9" w:rsidP="00283ED6">
      <w:r w:rsidRPr="00873B6C">
        <w:t>The AMF, when determining its paging strategy (see clause 5.4.3), should take into consideration whether a gNB is using Paging subgrouping based on the UE's temporary ID.</w:t>
      </w:r>
    </w:p>
    <w:p w14:paraId="19FFD302" w14:textId="77777777" w:rsidR="00246EB9" w:rsidRPr="00873B6C" w:rsidRDefault="00246EB9" w:rsidP="001B7C50">
      <w:pPr>
        <w:pStyle w:val="NO"/>
      </w:pPr>
      <w:r w:rsidRPr="00873B6C">
        <w:t>NOTE:</w:t>
      </w:r>
      <w:r w:rsidRPr="00873B6C">
        <w:tab/>
        <w:t>Paging messages sent to that gNB can increase UE power consumption for other UEs that support Paging Subgrouping based on the UE's temporary ID.</w:t>
      </w:r>
    </w:p>
    <w:p w14:paraId="6DFC65F5" w14:textId="09BC5B1B" w:rsidR="00AE12FC" w:rsidRPr="00873B6C" w:rsidRDefault="00AE12FC" w:rsidP="00283ED6">
      <w:r w:rsidRPr="00873B6C">
        <w:t>If paging subgroups are being allocated by the AMF, then all AMFs connected to one gNB (including the AMFs in different PLMNs using 5G MOCN network sharing) shall use a consistent policy in allocating UEs to the paging subgroups.</w:t>
      </w:r>
      <w:r w:rsidR="00133F31" w:rsidRPr="00873B6C">
        <w:t xml:space="preserve"> The AMF may configure up to 8 different Paging Subgroup IDs.</w:t>
      </w:r>
    </w:p>
    <w:p w14:paraId="7CD5F153" w14:textId="1BDF328A" w:rsidR="00AE12FC" w:rsidRPr="00873B6C" w:rsidRDefault="00AE12FC" w:rsidP="00461850">
      <w:pPr>
        <w:pStyle w:val="NO"/>
      </w:pPr>
      <w:r w:rsidRPr="00873B6C">
        <w:t>NOTE:</w:t>
      </w:r>
      <w:r w:rsidRPr="00873B6C">
        <w:tab/>
        <w:t>Because the UE uses the AMF allocated paging subgroup across all cells in its TAI-list</w:t>
      </w:r>
      <w:r w:rsidR="00472CD7" w:rsidRPr="00873B6C">
        <w:t xml:space="preserve"> and</w:t>
      </w:r>
      <w:r w:rsidRPr="00873B6C">
        <w:t>,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3F4AA399" w:rsidR="00AE12FC" w:rsidRPr="00873B6C" w:rsidRDefault="00AE12FC" w:rsidP="00283ED6">
      <w:r w:rsidRPr="00873B6C">
        <w:t xml:space="preserve">The NG-RAN node and the UE determine per cell which paging subgrouping method to use as defined in </w:t>
      </w:r>
      <w:r w:rsidR="00972E70" w:rsidRPr="00873B6C">
        <w:t>TS 38.304 [</w:t>
      </w:r>
      <w:r w:rsidRPr="00873B6C">
        <w:t xml:space="preserve">50] and </w:t>
      </w:r>
      <w:r w:rsidR="00972E70" w:rsidRPr="00873B6C">
        <w:t>TS 38.331 [</w:t>
      </w:r>
      <w:r w:rsidRPr="00873B6C">
        <w:t>28].</w:t>
      </w:r>
    </w:p>
    <w:p w14:paraId="2CAA3FC3" w14:textId="77777777" w:rsidR="00283ED6" w:rsidRPr="00873B6C" w:rsidRDefault="00283ED6" w:rsidP="00461850">
      <w:pPr>
        <w:pStyle w:val="Heading4"/>
      </w:pPr>
      <w:bookmarkStart w:id="1230" w:name="_CR5_4_12_2"/>
      <w:bookmarkStart w:id="1231" w:name="_Toc201157059"/>
      <w:bookmarkEnd w:id="1230"/>
      <w:r w:rsidRPr="00873B6C">
        <w:t>5.4.12.2</w:t>
      </w:r>
      <w:r w:rsidRPr="00873B6C">
        <w:tab/>
        <w:t>Core Network Assistance for PEIPS</w:t>
      </w:r>
      <w:bookmarkEnd w:id="1231"/>
    </w:p>
    <w:p w14:paraId="7A6FA08A" w14:textId="4D0C4487" w:rsidR="00AE12FC" w:rsidRPr="00873B6C" w:rsidRDefault="00AE12FC" w:rsidP="00461850">
      <w:r w:rsidRPr="00873B6C">
        <w:t xml:space="preserve">To support the Paging Early Indication with Paging Subgrouping (PEIPS), Paging Subgrouping Support Indication and the PEIPS Assistance Information is used by the AMF and NG-RAN to help determine whether PEIPS applies to the UE and which paging subgroup used when paging the UE (see </w:t>
      </w:r>
      <w:r w:rsidR="00972E70" w:rsidRPr="00873B6C">
        <w:t>TS 38.300 [</w:t>
      </w:r>
      <w:r w:rsidRPr="00873B6C">
        <w:t>27]).</w:t>
      </w:r>
    </w:p>
    <w:p w14:paraId="2269DB96" w14:textId="656AB378" w:rsidR="00AE12FC" w:rsidRPr="00873B6C" w:rsidRDefault="00AE12FC" w:rsidP="00461850">
      <w:r w:rsidRPr="00873B6C">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873B6C">
        <w:t xml:space="preserve"> information provided by the RAN (e.g. any of the </w:t>
      </w:r>
      <w:r w:rsidR="00246EB9" w:rsidRPr="00873B6C">
        <w:rPr>
          <w:i/>
          <w:iCs/>
        </w:rPr>
        <w:t>Information On Recommended Cells And RAN nodes For Paging</w:t>
      </w:r>
      <w:r w:rsidR="00246EB9" w:rsidRPr="00873B6C">
        <w:t>)</w:t>
      </w:r>
      <w:r w:rsidR="00472CD7" w:rsidRPr="00873B6C">
        <w:t xml:space="preserve"> and</w:t>
      </w:r>
      <w:r w:rsidRPr="00873B6C">
        <w:t>/or previous statistical information for the UE to determine the AMF PEIPS Assistance Information. The AMF PEIPS Assistance Information includes the Paging Subgroup ID.</w:t>
      </w:r>
    </w:p>
    <w:p w14:paraId="1914D9C8" w14:textId="121513BC" w:rsidR="00AE12FC" w:rsidRPr="00873B6C" w:rsidRDefault="00AE12FC" w:rsidP="00461850">
      <w:pPr>
        <w:pStyle w:val="NO"/>
      </w:pPr>
      <w:r w:rsidRPr="00873B6C">
        <w:t>NOTE 1:</w:t>
      </w:r>
      <w:r w:rsidRPr="00873B6C">
        <w:tab/>
        <w:t>To minimise MT voice call setup latency, the AMF could allocate Paging Subgroup IDs taking into account whether or not the UE is likely to receive IMS voice over PS session calls.</w:t>
      </w:r>
    </w:p>
    <w:p w14:paraId="4BBF063F" w14:textId="78CA4A6F" w:rsidR="00AE12FC" w:rsidRPr="00873B6C" w:rsidRDefault="00AE12FC" w:rsidP="00461850">
      <w:pPr>
        <w:pStyle w:val="NO"/>
      </w:pPr>
      <w:r w:rsidRPr="00873B6C">
        <w:t>NOTE 2:</w:t>
      </w:r>
      <w:r w:rsidRPr="00873B6C">
        <w:tab/>
        <w:t>To avoid MT traffic for more mobile UEs causing more stationary UEs to be woken up, the AMF could allocate Paging Subgroup IDs taking into account the UE's mobility pattern.</w:t>
      </w:r>
    </w:p>
    <w:p w14:paraId="6C1A75D1" w14:textId="77777777" w:rsidR="00AE12FC" w:rsidRPr="00873B6C" w:rsidRDefault="00AE12FC" w:rsidP="00461850">
      <w:r w:rsidRPr="00873B6C">
        <w:t>If the AMF has determined AMF PEIPS Assistance Information for the UE, the AMF stores it in the UE context in AMF and provides it to the UE in every Registration Accept message.</w:t>
      </w:r>
    </w:p>
    <w:p w14:paraId="59BFB0E1" w14:textId="130BF4E4" w:rsidR="00AE12FC" w:rsidRPr="00873B6C" w:rsidRDefault="00AE12FC" w:rsidP="00461850">
      <w:r w:rsidRPr="00873B6C">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219A1B11" w:rsidR="00AE12FC" w:rsidRPr="00873B6C" w:rsidRDefault="00AE12FC" w:rsidP="00461850">
      <w:r w:rsidRPr="00873B6C">
        <w:t xml:space="preserve">The NG-RAN chooses on a per-cell basis whether to use PEIPS and which paging subgrouping mechanism to use. When using AMF allocated subgroups, both the UE and NG-RAN use the AMF PEIPS Assistance Information to determine the paging subgroup to apply as defined in </w:t>
      </w:r>
      <w:r w:rsidR="00972E70" w:rsidRPr="00873B6C">
        <w:t>TS 38.300 [</w:t>
      </w:r>
      <w:r w:rsidRPr="00873B6C">
        <w:t>27].</w:t>
      </w:r>
    </w:p>
    <w:p w14:paraId="11304EDF" w14:textId="4008A26F" w:rsidR="00AE12FC" w:rsidRPr="00873B6C" w:rsidRDefault="00AE12FC" w:rsidP="00461850">
      <w:r w:rsidRPr="00873B6C">
        <w:lastRenderedPageBreak/>
        <w:t xml:space="preserve">The AMF may use the UE Configuration Update procedure (as described in clause 4.2.4 of </w:t>
      </w:r>
      <w:r w:rsidR="00972E70" w:rsidRPr="00873B6C">
        <w:t>TS 23.502 [</w:t>
      </w:r>
      <w:r w:rsidRPr="00873B6C">
        <w:t>3])</w:t>
      </w:r>
      <w:r w:rsidR="00133F31" w:rsidRPr="00873B6C">
        <w:t xml:space="preserve"> and N2 UE Context Modification procedure (as described in clause 8.3.4 of </w:t>
      </w:r>
      <w:r w:rsidR="00972E70" w:rsidRPr="00873B6C">
        <w:t>TS 38.413 [</w:t>
      </w:r>
      <w:r w:rsidR="00133F31" w:rsidRPr="00873B6C">
        <w:t>34])</w:t>
      </w:r>
      <w:r w:rsidRPr="00873B6C">
        <w:t xml:space="preserve"> to update the AMF PEIPS Assistance Information in the UE and NG-RAN.</w:t>
      </w:r>
    </w:p>
    <w:p w14:paraId="319D85A1" w14:textId="77777777" w:rsidR="00AE12FC" w:rsidRPr="00873B6C" w:rsidRDefault="00AE12FC" w:rsidP="00461850">
      <w:r w:rsidRPr="00873B6C">
        <w:t>When the UE has an active emergency PDU Session:</w:t>
      </w:r>
    </w:p>
    <w:p w14:paraId="3F7A5FBC" w14:textId="77777777" w:rsidR="00AE12FC" w:rsidRPr="00873B6C" w:rsidRDefault="00AE12FC">
      <w:pPr>
        <w:pStyle w:val="B1"/>
      </w:pPr>
      <w:r w:rsidRPr="00873B6C">
        <w:t>-</w:t>
      </w:r>
      <w:r w:rsidRPr="00873B6C">
        <w:tab/>
        <w:t>The UE shall not signal Paging Subgrouping Support Indication in the Registration Request message.</w:t>
      </w:r>
    </w:p>
    <w:p w14:paraId="38997FAE" w14:textId="67BC487E" w:rsidR="00AD480D" w:rsidRPr="00873B6C" w:rsidRDefault="00AD480D" w:rsidP="00AD480D">
      <w:pPr>
        <w:pStyle w:val="Heading3"/>
      </w:pPr>
      <w:bookmarkStart w:id="1232" w:name="_CR5_4_13"/>
      <w:bookmarkStart w:id="1233" w:name="_Toc201157060"/>
      <w:bookmarkEnd w:id="1232"/>
      <w:r w:rsidRPr="00873B6C">
        <w:t>5.4.13</w:t>
      </w:r>
      <w:r w:rsidRPr="00873B6C">
        <w:tab/>
        <w:t>Support of discontinuous network coverage</w:t>
      </w:r>
      <w:r w:rsidR="00D01473" w:rsidRPr="00873B6C">
        <w:t xml:space="preserve"> for satellite access</w:t>
      </w:r>
      <w:bookmarkEnd w:id="1233"/>
    </w:p>
    <w:p w14:paraId="6C450A16" w14:textId="2CCC944F" w:rsidR="00252264" w:rsidRPr="00873B6C" w:rsidRDefault="00252264" w:rsidP="00AD480D">
      <w:pPr>
        <w:pStyle w:val="Heading4"/>
      </w:pPr>
      <w:bookmarkStart w:id="1234" w:name="_CR5_4_13_0"/>
      <w:bookmarkStart w:id="1235" w:name="_Toc201157061"/>
      <w:bookmarkEnd w:id="1234"/>
      <w:r w:rsidRPr="00873B6C">
        <w:t>5.4.13.0</w:t>
      </w:r>
      <w:r w:rsidRPr="00873B6C">
        <w:tab/>
        <w:t>General</w:t>
      </w:r>
      <w:bookmarkEnd w:id="1235"/>
    </w:p>
    <w:p w14:paraId="35BC1B6E" w14:textId="77777777" w:rsidR="00252264" w:rsidRPr="00873B6C" w:rsidRDefault="00252264" w:rsidP="00252264">
      <w:r w:rsidRPr="00873B6C">
        <w:t>The present clause 5.4.13 provides optional enhancements to support discontinuous coverage:</w:t>
      </w:r>
    </w:p>
    <w:p w14:paraId="03205486" w14:textId="77777777" w:rsidR="00252264" w:rsidRPr="00873B6C" w:rsidRDefault="00252264" w:rsidP="005A13C0">
      <w:pPr>
        <w:pStyle w:val="B1"/>
      </w:pPr>
      <w:r w:rsidRPr="00873B6C">
        <w:t>-</w:t>
      </w:r>
      <w:r w:rsidRPr="00873B6C">
        <w:tab/>
        <w:t>Mobility management and power saving optimization, see clause 5.4.13.1; and</w:t>
      </w:r>
    </w:p>
    <w:p w14:paraId="4F9BE887" w14:textId="77777777" w:rsidR="00252264" w:rsidRPr="00873B6C" w:rsidRDefault="00252264" w:rsidP="005A13C0">
      <w:pPr>
        <w:pStyle w:val="B1"/>
      </w:pPr>
      <w:r w:rsidRPr="00873B6C">
        <w:t>-</w:t>
      </w:r>
      <w:r w:rsidRPr="00873B6C">
        <w:tab/>
        <w:t>Coverage availability information provisioning to the UE, see clause 5.4.13.2; and</w:t>
      </w:r>
    </w:p>
    <w:p w14:paraId="13827843" w14:textId="77777777" w:rsidR="00252264" w:rsidRPr="00873B6C" w:rsidRDefault="00252264" w:rsidP="005A13C0">
      <w:pPr>
        <w:pStyle w:val="B1"/>
      </w:pPr>
      <w:r w:rsidRPr="00873B6C">
        <w:t>-</w:t>
      </w:r>
      <w:r w:rsidRPr="00873B6C">
        <w:tab/>
        <w:t>Coverage availability information provisioning to the AMF, see clause 5.4.13.3; and</w:t>
      </w:r>
    </w:p>
    <w:p w14:paraId="028FD60B" w14:textId="77777777" w:rsidR="00252264" w:rsidRPr="00873B6C" w:rsidRDefault="00252264" w:rsidP="005A13C0">
      <w:pPr>
        <w:pStyle w:val="B1"/>
      </w:pPr>
      <w:r w:rsidRPr="00873B6C">
        <w:t>-</w:t>
      </w:r>
      <w:r w:rsidRPr="00873B6C">
        <w:tab/>
        <w:t>Paging, see clause 5.4.13.4; and</w:t>
      </w:r>
    </w:p>
    <w:p w14:paraId="7049F9AE" w14:textId="77777777" w:rsidR="00252264" w:rsidRPr="00873B6C" w:rsidRDefault="00252264" w:rsidP="005A13C0">
      <w:pPr>
        <w:pStyle w:val="B1"/>
      </w:pPr>
      <w:r w:rsidRPr="00873B6C">
        <w:t>-</w:t>
      </w:r>
      <w:r w:rsidRPr="00873B6C">
        <w:tab/>
        <w:t>Overload control, see clause 5.4.13.5.</w:t>
      </w:r>
    </w:p>
    <w:p w14:paraId="253B2D70" w14:textId="7A392345" w:rsidR="00252264" w:rsidRPr="00873B6C" w:rsidRDefault="00252264" w:rsidP="005A13C0">
      <w:pPr>
        <w:pStyle w:val="NO"/>
      </w:pPr>
      <w:r w:rsidRPr="00873B6C">
        <w:t>NOTE:</w:t>
      </w:r>
      <w:r w:rsidRPr="00873B6C">
        <w:tab/>
        <w:t>In this Release, there is no specified support for discontinuous coverage over NR in RAN specifications.</w:t>
      </w:r>
    </w:p>
    <w:p w14:paraId="683E9A22" w14:textId="1A5FE79C" w:rsidR="00D01473" w:rsidRPr="00873B6C" w:rsidRDefault="00D01473" w:rsidP="00AD480D">
      <w:pPr>
        <w:pStyle w:val="Heading4"/>
      </w:pPr>
      <w:bookmarkStart w:id="1236" w:name="_CR5_4_13_1"/>
      <w:bookmarkStart w:id="1237" w:name="_Toc201157062"/>
      <w:bookmarkEnd w:id="1236"/>
      <w:r w:rsidRPr="00873B6C">
        <w:t>5.4.13.1</w:t>
      </w:r>
      <w:r w:rsidRPr="00873B6C">
        <w:tab/>
        <w:t>Mobility Management and Power Saving Optimization</w:t>
      </w:r>
      <w:bookmarkEnd w:id="1237"/>
    </w:p>
    <w:p w14:paraId="71CDCD2E" w14:textId="4B473094" w:rsidR="00D01473" w:rsidRPr="00873B6C" w:rsidRDefault="00D01473" w:rsidP="00D01473">
      <w:r w:rsidRPr="00873B6C">
        <w:t>For NR satellite access that provides discontinuous network coverage</w:t>
      </w:r>
      <w:r w:rsidR="00252264" w:rsidRPr="00873B6C">
        <w:t xml:space="preserve"> the Mobility Management and Power Saving Optimization functionality may be used</w:t>
      </w:r>
      <w:r w:rsidRPr="00873B6C">
        <w:t>.</w:t>
      </w:r>
    </w:p>
    <w:p w14:paraId="7FA70C13" w14:textId="52AC23F7" w:rsidR="00252264" w:rsidRPr="00873B6C" w:rsidRDefault="00252264" w:rsidP="00D01473">
      <w:r w:rsidRPr="00873B6C">
        <w:t>If both the UE and the network support "Unavailability Period Support"</w:t>
      </w:r>
      <w:r w:rsidR="00472CD7" w:rsidRPr="00873B6C">
        <w:t xml:space="preserve"> and</w:t>
      </w:r>
      <w:r w:rsidRPr="00873B6C">
        <w:t xml:space="preserve"> if the UE determines it will lose coverage and will become unavailable</w:t>
      </w:r>
      <w:r w:rsidR="00472CD7" w:rsidRPr="00873B6C">
        <w:t xml:space="preserve"> and</w:t>
      </w:r>
      <w:r w:rsidRPr="00873B6C">
        <w:t xml:space="preserve"> the UE decides to remain in no service during that time, then:</w:t>
      </w:r>
    </w:p>
    <w:p w14:paraId="32A44A80" w14:textId="77777777" w:rsidR="00252264" w:rsidRPr="00873B6C" w:rsidRDefault="00252264" w:rsidP="005A13C0">
      <w:pPr>
        <w:pStyle w:val="B1"/>
      </w:pPr>
      <w:r w:rsidRPr="00873B6C">
        <w:t>-</w:t>
      </w:r>
      <w:r w:rsidRPr="00873B6C">
        <w:tab/>
        <w:t>the UE triggers the Mobility Registration Update procedure to inform the network of its unavailability, as described in clause 5.4.1.4.</w:t>
      </w:r>
    </w:p>
    <w:p w14:paraId="4269A7F6" w14:textId="77777777" w:rsidR="00252264" w:rsidRPr="00873B6C" w:rsidRDefault="00252264" w:rsidP="005A13C0">
      <w:pPr>
        <w:pStyle w:val="B1"/>
      </w:pPr>
      <w:r w:rsidRPr="00873B6C">
        <w:t>-</w:t>
      </w:r>
      <w:r w:rsidRPr="00873B6C">
        <w:tab/>
        <w:t>The UE may be able to determine, including considering current and expected future locations of the UE, a Start of Unavailability Period and/or Unavailability Period Duration for when it expects to be out of coverage and include them in the Mobility Registration Update procedure, as described in clause 5.4.1.4.</w:t>
      </w:r>
    </w:p>
    <w:p w14:paraId="6E624739" w14:textId="77777777" w:rsidR="00252264" w:rsidRPr="00873B6C" w:rsidRDefault="00252264" w:rsidP="005A13C0">
      <w:pPr>
        <w:pStyle w:val="B1"/>
      </w:pPr>
      <w:r w:rsidRPr="00873B6C">
        <w:t>-</w:t>
      </w:r>
      <w:r w:rsidRPr="00873B6C">
        <w:tab/>
        <w:t>The UE should trigger the Mobility Registration Update procedure early enough such that the procedure, under normal conditions, is able to complete before the start of the unreachability period.</w:t>
      </w:r>
    </w:p>
    <w:p w14:paraId="324DB585" w14:textId="1A87E606" w:rsidR="00252264" w:rsidRPr="00873B6C" w:rsidRDefault="00252264" w:rsidP="005A13C0">
      <w:pPr>
        <w:pStyle w:val="NO"/>
      </w:pPr>
      <w:r w:rsidRPr="00873B6C">
        <w:t>NOTE 1:</w:t>
      </w:r>
      <w:r w:rsidRPr="00873B6C">
        <w:tab/>
        <w:t>A UE based on implementation can combine successive periods of no satellite coverage into a single continuous period that is notified to the network if the UE does not require network access during this period.</w:t>
      </w:r>
    </w:p>
    <w:p w14:paraId="3BBFDBAC" w14:textId="29CFA87F" w:rsidR="00252264" w:rsidRPr="00873B6C" w:rsidRDefault="00252264" w:rsidP="00252264">
      <w:pPr>
        <w:pStyle w:val="NO"/>
      </w:pPr>
      <w:r w:rsidRPr="00873B6C">
        <w:t>NOTE 2:</w:t>
      </w:r>
      <w:r w:rsidRPr="00873B6C">
        <w:tab/>
        <w:t>UE informing the network of coverage gaps would increase signalling and UE power consumption if coverage gaps are more frequent than UE's communication period.</w:t>
      </w:r>
    </w:p>
    <w:p w14:paraId="663B5065" w14:textId="45AC5068" w:rsidR="00252264" w:rsidRPr="00873B6C" w:rsidRDefault="00252264" w:rsidP="00252264">
      <w:r w:rsidRPr="00873B6C">
        <w:t>In case the UE requests power saving features the AMF uses the procedures defined in other clauses to provide the UE with timers (e.g. Periodic Registration Update timer), extended DRX in CM-IDLE configuration (see clause 5.31.7.2)</w:t>
      </w:r>
      <w:r w:rsidR="00472CD7" w:rsidRPr="00873B6C">
        <w:t xml:space="preserve"> and</w:t>
      </w:r>
      <w:r w:rsidRPr="00873B6C">
        <w:t xml:space="preserve"> MICO mode configuration (see clause 5.4.1.3)</w:t>
      </w:r>
      <w:r w:rsidR="00472CD7" w:rsidRPr="00873B6C">
        <w:t xml:space="preserve"> and</w:t>
      </w:r>
      <w:r w:rsidRPr="00873B6C">
        <w:t xml:space="preserve"> to</w:t>
      </w:r>
      <w:r w:rsidR="00F36287" w:rsidRPr="00873B6C">
        <w:t xml:space="preserve"> provide</w:t>
      </w:r>
      <w:r w:rsidRPr="00873B6C">
        <w:t xml:space="preserve"> the NG-RAN</w:t>
      </w:r>
      <w:r w:rsidR="00F36287" w:rsidRPr="00873B6C">
        <w:t xml:space="preserve"> with</w:t>
      </w:r>
      <w:r w:rsidRPr="00873B6C">
        <w:t xml:space="preserve"> Extended Connected Time (see clause 5.31.7.3) and may also consider the Unavailability Period Duration and Start of Unavailability Period (if available). This is to keep UE in power saving mode and avoid the network attempting to page the UE if it is out of satellite network coverage.</w:t>
      </w:r>
    </w:p>
    <w:p w14:paraId="66C72925" w14:textId="030A59CF" w:rsidR="00D01473" w:rsidRPr="00873B6C" w:rsidRDefault="00D01473" w:rsidP="00D01473">
      <w:r w:rsidRPr="00873B6C">
        <w:t>The AMF should adjust the mobile reachable timer or Implicit Deregistration timer or both such that the AMF does not implicitly deregister the UE while the UE is</w:t>
      </w:r>
      <w:r w:rsidR="00252264" w:rsidRPr="00873B6C">
        <w:t xml:space="preserve"> unavailable</w:t>
      </w:r>
      <w:r w:rsidRPr="00873B6C">
        <w:t>, see clause 5.4.1. Features described for High latency communication in clause 5.31.8 may be used to handle mobile terminated (MT) communication with UEs being unreachable due to</w:t>
      </w:r>
      <w:r w:rsidR="00F36287" w:rsidRPr="00873B6C">
        <w:t xml:space="preserve"> NR satellite access</w:t>
      </w:r>
      <w:r w:rsidRPr="00873B6C">
        <w:t xml:space="preserve"> discontinuous coverage</w:t>
      </w:r>
      <w:r w:rsidR="00252264" w:rsidRPr="00873B6C">
        <w:t xml:space="preserve"> and the Unavailability Period Duration</w:t>
      </w:r>
      <w:r w:rsidR="00F36287" w:rsidRPr="00873B6C">
        <w:t xml:space="preserve"> (if available)</w:t>
      </w:r>
      <w:r w:rsidR="00252264" w:rsidRPr="00873B6C">
        <w:t xml:space="preserve"> and Start of Unavailability Period (if available) may be used when determining</w:t>
      </w:r>
      <w:r w:rsidR="00F36287" w:rsidRPr="00873B6C">
        <w:t xml:space="preserve"> the Estimated Maximum Wait Time</w:t>
      </w:r>
      <w:r w:rsidRPr="00873B6C">
        <w:t>.</w:t>
      </w:r>
    </w:p>
    <w:p w14:paraId="0B1D07EA" w14:textId="77777777" w:rsidR="00252264" w:rsidRPr="00873B6C" w:rsidRDefault="00252264" w:rsidP="00252264">
      <w:r w:rsidRPr="00873B6C">
        <w:lastRenderedPageBreak/>
        <w:t>Tracking Area or RAT specific configuration in the AMF may be used to set timer values based on typical coverage periods of a satellite system.</w:t>
      </w:r>
    </w:p>
    <w:p w14:paraId="718A7F79" w14:textId="472B757F" w:rsidR="00252264" w:rsidRPr="00873B6C" w:rsidRDefault="00252264" w:rsidP="005A13C0">
      <w:pPr>
        <w:pStyle w:val="NO"/>
      </w:pPr>
      <w:r w:rsidRPr="00873B6C">
        <w:t>NOTE 3:</w:t>
      </w:r>
      <w:r w:rsidRPr="00873B6C">
        <w:tab/>
        <w:t>For example, if a satellite system only provides coverage to a UE for 20 minutes when a satellite passes</w:t>
      </w:r>
      <w:r w:rsidR="00472CD7" w:rsidRPr="00873B6C">
        <w:t xml:space="preserve"> and</w:t>
      </w:r>
      <w:r w:rsidRPr="00873B6C">
        <w:t xml:space="preserve">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t>
      </w:r>
    </w:p>
    <w:p w14:paraId="79A12D23" w14:textId="77777777" w:rsidR="00252264" w:rsidRPr="00873B6C" w:rsidRDefault="00252264" w:rsidP="00252264">
      <w:r w:rsidRPr="00873B6C">
        <w:t>The UE may send Mobility Registration Update procedure to inform the network of its UE unavailability period (see clause 5.4.1.4) even if Mobility Management back-off timer is running.</w:t>
      </w:r>
    </w:p>
    <w:p w14:paraId="7DBA5B99" w14:textId="243787DC" w:rsidR="00AD480D" w:rsidRPr="00873B6C" w:rsidRDefault="00AD480D" w:rsidP="00AD480D">
      <w:pPr>
        <w:pStyle w:val="Heading4"/>
      </w:pPr>
      <w:bookmarkStart w:id="1238" w:name="_CR5_4_13_2"/>
      <w:bookmarkStart w:id="1239" w:name="_Toc201157063"/>
      <w:bookmarkEnd w:id="1238"/>
      <w:r w:rsidRPr="00873B6C">
        <w:t>5.4.13.2</w:t>
      </w:r>
      <w:r w:rsidRPr="00873B6C">
        <w:tab/>
        <w:t>Coverage availability information provisioning to the UE</w:t>
      </w:r>
      <w:bookmarkEnd w:id="1239"/>
    </w:p>
    <w:p w14:paraId="19049DBB" w14:textId="1E6071C5" w:rsidR="00AD480D" w:rsidRPr="00873B6C" w:rsidRDefault="00AD480D" w:rsidP="00AD480D">
      <w:r w:rsidRPr="00873B6C">
        <w:t>A UE may use satellite coverage availability information for satellite access to support discontinuous coverage operations. Satellite coverage availability information can be provided to a UE by an external server via a PDU Session or SMS.</w:t>
      </w:r>
      <w:r w:rsidR="005656CA" w:rsidRPr="00873B6C">
        <w:t xml:space="preserve"> The protocol and format of satellite coverage availability information via PDU session or SMS is not defined in this release of the specification, but some examples on possible information that constitutes the satellite coverage availability information is defined in Annex Q.</w:t>
      </w:r>
    </w:p>
    <w:p w14:paraId="13F8CACA" w14:textId="48466F3C" w:rsidR="00CD22D1" w:rsidRPr="00873B6C" w:rsidRDefault="00CD22D1" w:rsidP="005163AE">
      <w:pPr>
        <w:pStyle w:val="NO"/>
      </w:pPr>
      <w:r w:rsidRPr="00873B6C">
        <w:t>NOTE:</w:t>
      </w:r>
      <w:r w:rsidRPr="00873B6C">
        <w:tab/>
        <w:t>The satellite coverage availability information provisioned to the UE describes when and where satellite coverage with both service link and feeder link connectivity is expected or not expected to be available in an area.</w:t>
      </w:r>
    </w:p>
    <w:p w14:paraId="6DA21C90" w14:textId="0B749EB2" w:rsidR="00AD480D" w:rsidRPr="00873B6C" w:rsidRDefault="00AD480D" w:rsidP="00972E70">
      <w:pPr>
        <w:pStyle w:val="Heading4"/>
      </w:pPr>
      <w:bookmarkStart w:id="1240" w:name="_CR5_4_13_3"/>
      <w:bookmarkStart w:id="1241" w:name="_Toc201157064"/>
      <w:bookmarkEnd w:id="1240"/>
      <w:r w:rsidRPr="00873B6C">
        <w:t>5.4.13.3</w:t>
      </w:r>
      <w:r w:rsidRPr="00873B6C">
        <w:tab/>
        <w:t>Coverage availability information provisioning to the AMF</w:t>
      </w:r>
      <w:bookmarkEnd w:id="1241"/>
    </w:p>
    <w:p w14:paraId="529987C0" w14:textId="754E4AD5" w:rsidR="00AD480D" w:rsidRPr="00873B6C" w:rsidRDefault="00AD480D" w:rsidP="00AD480D">
      <w:r w:rsidRPr="00873B6C">
        <w:t>The AMF may use satellite coverage availability information to support satellite access by UEs with discontinuous coverage operation. Satellite coverage availability information may be provisioned to the AMF by O&amp;M.</w:t>
      </w:r>
    </w:p>
    <w:p w14:paraId="46BC24FB" w14:textId="77777777" w:rsidR="00CD22D1" w:rsidRPr="00873B6C" w:rsidRDefault="00CD22D1" w:rsidP="005163AE">
      <w:pPr>
        <w:pStyle w:val="NO"/>
      </w:pPr>
      <w:r w:rsidRPr="00873B6C">
        <w:t>NOTE:</w:t>
      </w:r>
      <w:r w:rsidRPr="00873B6C">
        <w:tab/>
      </w:r>
      <w:r w:rsidR="00AD480D" w:rsidRPr="00873B6C">
        <w:t>The satellite coverage availability information provisioned to the AMF describes when and where satellite coverage</w:t>
      </w:r>
      <w:r w:rsidRPr="00873B6C">
        <w:t xml:space="preserve"> with both service link and feeder link connectivity</w:t>
      </w:r>
      <w:r w:rsidR="00AD480D" w:rsidRPr="00873B6C">
        <w:t xml:space="preserve"> is expected</w:t>
      </w:r>
      <w:r w:rsidRPr="00873B6C">
        <w:t xml:space="preserve"> or not expected</w:t>
      </w:r>
      <w:r w:rsidR="00AD480D" w:rsidRPr="00873B6C">
        <w:t xml:space="preserve"> to be available in an area.</w:t>
      </w:r>
    </w:p>
    <w:p w14:paraId="3219B85E" w14:textId="1E950448" w:rsidR="00AD480D" w:rsidRPr="00873B6C" w:rsidRDefault="00AD480D" w:rsidP="00CD22D1">
      <w:r w:rsidRPr="00873B6C">
        <w:t>The satellite coverage availability information is not UE specific and can be applied by the AMF for any UE in the affected area.</w:t>
      </w:r>
    </w:p>
    <w:p w14:paraId="67FC26DF" w14:textId="4ED38E2B" w:rsidR="007C2ADF" w:rsidRPr="00873B6C" w:rsidRDefault="007C2ADF" w:rsidP="007C2ADF">
      <w:pPr>
        <w:pStyle w:val="Heading4"/>
      </w:pPr>
      <w:bookmarkStart w:id="1242" w:name="_CR5_4_13_4"/>
      <w:bookmarkStart w:id="1243" w:name="_Toc201157065"/>
      <w:bookmarkEnd w:id="1242"/>
      <w:r w:rsidRPr="00873B6C">
        <w:t>5.4.13.4</w:t>
      </w:r>
      <w:r w:rsidRPr="00873B6C">
        <w:tab/>
        <w:t>Paging</w:t>
      </w:r>
      <w:bookmarkEnd w:id="1243"/>
    </w:p>
    <w:p w14:paraId="2AF5EB6E" w14:textId="0C69671A" w:rsidR="007C2ADF" w:rsidRPr="00873B6C" w:rsidRDefault="007C2ADF" w:rsidP="007C2ADF">
      <w:r w:rsidRPr="00873B6C">
        <w:t xml:space="preserve">In the case of NR satellite access that provides discontinuous network coverage, AMF may utilize sub-area paging as described in clause 4.2.3.3 of </w:t>
      </w:r>
      <w:r w:rsidR="00972E70" w:rsidRPr="00873B6C">
        <w:t>TS 23.502 [</w:t>
      </w:r>
      <w:r w:rsidRPr="00873B6C">
        <w:t>3] (e.g. first page in the last known cell-id or TA and retransmission in all registered TAs). The AMF may utilize the location information as received at or before the AN release due to the discontinuous coverage for paging optimisation.</w:t>
      </w:r>
    </w:p>
    <w:p w14:paraId="6518801B" w14:textId="77777777" w:rsidR="007C2ADF" w:rsidRPr="00873B6C" w:rsidRDefault="007C2ADF" w:rsidP="007C2ADF">
      <w:r w:rsidRPr="00873B6C">
        <w:t>The AMF may e.g. receive UE location from NG-RAN during the Registration procedure e.g. triggered for Mobility Management and Power Saving Optimization for discontinuous network coverage as described in clause 5.4.13.1, or the AMF may request NG-RAN location reporting when the UE is in CM-CONNECTED state as described in clause 5.4.7.</w:t>
      </w:r>
    </w:p>
    <w:p w14:paraId="4970A757" w14:textId="03636E16" w:rsidR="00D01473" w:rsidRPr="00873B6C" w:rsidRDefault="00D01473" w:rsidP="00D01473">
      <w:pPr>
        <w:pStyle w:val="Heading4"/>
      </w:pPr>
      <w:bookmarkStart w:id="1244" w:name="_CR5_4_13_5"/>
      <w:bookmarkStart w:id="1245" w:name="_Toc201157066"/>
      <w:bookmarkEnd w:id="1244"/>
      <w:r w:rsidRPr="00873B6C">
        <w:t>5.4.13.5</w:t>
      </w:r>
      <w:r w:rsidRPr="00873B6C">
        <w:tab/>
        <w:t>Overload control</w:t>
      </w:r>
      <w:bookmarkEnd w:id="1245"/>
    </w:p>
    <w:p w14:paraId="63395005" w14:textId="3F240C40" w:rsidR="00D01473" w:rsidRPr="00873B6C" w:rsidRDefault="00D01473" w:rsidP="00D01473">
      <w:r w:rsidRPr="00873B6C">
        <w:t>The AMF and UE may only use the procedure defined in this clause</w:t>
      </w:r>
      <w:r w:rsidR="00252264" w:rsidRPr="00873B6C">
        <w:t xml:space="preserve"> </w:t>
      </w:r>
      <w:r w:rsidRPr="00873B6C">
        <w:t>if both the UE and AMF indicate</w:t>
      </w:r>
      <w:r w:rsidR="00252264" w:rsidRPr="00873B6C">
        <w:t xml:space="preserve"> support for "Unavailability Period Support"</w:t>
      </w:r>
      <w:r w:rsidRPr="00873B6C">
        <w:t>, see clause 5.4.13.1.</w:t>
      </w:r>
      <w:r w:rsidR="00252264" w:rsidRPr="00873B6C">
        <w:t xml:space="preserve"> A UE indicating support for "Unavailability Period Support" shall support the procedures defined in this clause when leaving coverage and re-gaining coverage for an NR satellite</w:t>
      </w:r>
      <w:r w:rsidR="00F36287" w:rsidRPr="00873B6C">
        <w:t xml:space="preserve"> access</w:t>
      </w:r>
      <w:r w:rsidR="00252264" w:rsidRPr="00873B6C">
        <w:t>.</w:t>
      </w:r>
    </w:p>
    <w:p w14:paraId="10A8D428" w14:textId="29D8A355" w:rsidR="00D01473" w:rsidRPr="00873B6C" w:rsidRDefault="00D01473" w:rsidP="00D01473">
      <w:r w:rsidRPr="00873B6C">
        <w:t>In order to avoid a large number of UEs causing excessive signalling load on the network when</w:t>
      </w:r>
      <w:r w:rsidR="00252264" w:rsidRPr="00873B6C">
        <w:t xml:space="preserve"> leaving coverage or</w:t>
      </w:r>
      <w:r w:rsidRPr="00873B6C">
        <w:t xml:space="preserve"> re-gaining coverage after being out of coverage, the AMF may determine a</w:t>
      </w:r>
      <w:r w:rsidR="00252264" w:rsidRPr="00873B6C">
        <w:t xml:space="preserve"> Maximum Time Offset controlling when</w:t>
      </w:r>
      <w:r w:rsidRPr="00873B6C">
        <w:t xml:space="preserve"> UEs are allowed to initiate NAS signalling with the network, as described in this clause.</w:t>
      </w:r>
    </w:p>
    <w:p w14:paraId="26F5AD35" w14:textId="430A5FBD" w:rsidR="00D01473" w:rsidRPr="00873B6C" w:rsidRDefault="00D01473" w:rsidP="00D01473">
      <w:r w:rsidRPr="00873B6C">
        <w:t>In this case, the AMF determines this</w:t>
      </w:r>
      <w:r w:rsidR="00252264" w:rsidRPr="00873B6C">
        <w:t xml:space="preserve"> Maximum Time Offset</w:t>
      </w:r>
      <w:r w:rsidRPr="00873B6C">
        <w:t xml:space="preserve"> based on network configuration,</w:t>
      </w:r>
      <w:r w:rsidR="004119E4" w:rsidRPr="00873B6C">
        <w:t xml:space="preserve"> high priority access</w:t>
      </w:r>
      <w:r w:rsidRPr="00873B6C">
        <w:t xml:space="preserve"> and priority service as specified in </w:t>
      </w:r>
      <w:r w:rsidR="00972E70" w:rsidRPr="00873B6C">
        <w:t>TS 23.122 [</w:t>
      </w:r>
      <w:r w:rsidRPr="00873B6C">
        <w:t xml:space="preserve">17] and </w:t>
      </w:r>
      <w:r w:rsidR="00972E70" w:rsidRPr="00873B6C">
        <w:t>TS 24.501 [</w:t>
      </w:r>
      <w:r w:rsidRPr="00873B6C">
        <w:t>47]. The AMF sends this</w:t>
      </w:r>
      <w:r w:rsidR="00252264" w:rsidRPr="00873B6C">
        <w:t xml:space="preserve"> Maximum Time Offset</w:t>
      </w:r>
      <w:r w:rsidRPr="00873B6C">
        <w:t xml:space="preserve"> to individual UEs during the Registration procedure or UE Configuration Update procedure.</w:t>
      </w:r>
    </w:p>
    <w:p w14:paraId="14CAFE06" w14:textId="7F3CF113" w:rsidR="00252264" w:rsidRPr="00873B6C" w:rsidRDefault="00D01473" w:rsidP="00D01473">
      <w:r w:rsidRPr="00873B6C">
        <w:lastRenderedPageBreak/>
        <w:t>If the UE receives a</w:t>
      </w:r>
      <w:r w:rsidR="00252264" w:rsidRPr="00873B6C">
        <w:t xml:space="preserve"> Maximum Time Offset</w:t>
      </w:r>
      <w:r w:rsidRPr="00873B6C">
        <w:t xml:space="preserve"> from the network in a Registration Accept or UE Configuration Update Command message, the UE shall replace any previously received</w:t>
      </w:r>
      <w:r w:rsidR="00252264" w:rsidRPr="00873B6C">
        <w:t xml:space="preserve"> Maximum Time Offset</w:t>
      </w:r>
      <w:r w:rsidRPr="00873B6C">
        <w:t xml:space="preserve"> on the same RAT type and PLMN with this one.</w:t>
      </w:r>
    </w:p>
    <w:p w14:paraId="4F12471D" w14:textId="5CEFA00F" w:rsidR="00252264" w:rsidRPr="00873B6C" w:rsidRDefault="00252264" w:rsidP="00D01473">
      <w:r w:rsidRPr="00873B6C">
        <w:t>When the UE knows a later time at which coverage will be lost and when the UE does not send Mobility Registration Update to the AMF in advance (see clause 5.4.13.1), the UE determines a random value up to</w:t>
      </w:r>
      <w:r w:rsidR="004119E4" w:rsidRPr="00873B6C">
        <w:t xml:space="preserve"> the minimum of</w:t>
      </w:r>
      <w:r w:rsidRPr="00873B6C">
        <w:t xml:space="preserve"> the latest Maximum Time Offset for this PLMN and RAT type</w:t>
      </w:r>
      <w:r w:rsidR="004119E4" w:rsidRPr="00873B6C">
        <w:t xml:space="preserve"> and the time until coverage will be lost</w:t>
      </w:r>
      <w:r w:rsidRPr="00873B6C">
        <w:t>. The UE shall send the Mobility Registration Update at</w:t>
      </w:r>
      <w:r w:rsidR="004119E4" w:rsidRPr="00873B6C">
        <w:t xml:space="preserve"> the time when coverage will be lost less the random value</w:t>
      </w:r>
      <w:r w:rsidRPr="00873B6C">
        <w:t xml:space="preserve"> to the AMF indicating the loss of coverage.</w:t>
      </w:r>
    </w:p>
    <w:p w14:paraId="6E121231" w14:textId="71C12D18" w:rsidR="00D01473" w:rsidRPr="00873B6C" w:rsidRDefault="00D01473" w:rsidP="00D01473">
      <w:r w:rsidRPr="00873B6C">
        <w:t xml:space="preserve">Upon returning </w:t>
      </w:r>
      <w:r w:rsidR="004119E4" w:rsidRPr="00873B6C">
        <w:t xml:space="preserve">to </w:t>
      </w:r>
      <w:r w:rsidRPr="00873B6C">
        <w:t>coverage after being out of coverage due to discontinuous coverage, the UE sets the discontinuous coverage wait timer value to a random value up to and including the latest</w:t>
      </w:r>
      <w:r w:rsidR="00252264" w:rsidRPr="00873B6C">
        <w:t xml:space="preserve"> Maximum Time Offset</w:t>
      </w:r>
      <w:r w:rsidRPr="00873B6C">
        <w:t xml:space="preserve"> for this PLMN and RAT type</w:t>
      </w:r>
      <w:r w:rsidR="00472CD7" w:rsidRPr="00873B6C">
        <w:t xml:space="preserve"> and</w:t>
      </w:r>
      <w:r w:rsidRPr="00873B6C">
        <w:t xml:space="preserve"> starts this timer. The UE shall not initiate any NAS signalling on that RAT Type and PLMN while the discontinuous coverage wait timer is running.</w:t>
      </w:r>
    </w:p>
    <w:p w14:paraId="2D556965" w14:textId="77777777" w:rsidR="00D01473" w:rsidRPr="00873B6C" w:rsidRDefault="00D01473" w:rsidP="00D01473">
      <w:r w:rsidRPr="00873B6C">
        <w:t>The UE shall stop the discontinuous coverage wait timer and initiate NAS signalling if the UE receives paging message, has pending emergency services or when UE enters a TAI outside the registration area.</w:t>
      </w:r>
    </w:p>
    <w:p w14:paraId="56CCC2C4" w14:textId="0E4E98FB" w:rsidR="00D40151" w:rsidRPr="00873B6C" w:rsidRDefault="00D40151" w:rsidP="00D40151">
      <w:pPr>
        <w:pStyle w:val="Heading2"/>
      </w:pPr>
      <w:bookmarkStart w:id="1246" w:name="_CR5_5"/>
      <w:bookmarkStart w:id="1247" w:name="_Toc201157067"/>
      <w:bookmarkEnd w:id="1246"/>
      <w:r w:rsidRPr="00873B6C">
        <w:t>5.5</w:t>
      </w:r>
      <w:r w:rsidRPr="00873B6C">
        <w:tab/>
        <w:t>Non-3GPP access specific aspects</w:t>
      </w:r>
      <w:bookmarkEnd w:id="1187"/>
      <w:bookmarkEnd w:id="1194"/>
      <w:bookmarkEnd w:id="1203"/>
      <w:bookmarkEnd w:id="1204"/>
      <w:bookmarkEnd w:id="1205"/>
      <w:bookmarkEnd w:id="1206"/>
      <w:bookmarkEnd w:id="1247"/>
    </w:p>
    <w:p w14:paraId="0858CE2B" w14:textId="77777777" w:rsidR="00D40151" w:rsidRPr="00873B6C" w:rsidRDefault="00D40151" w:rsidP="00D40151">
      <w:pPr>
        <w:pStyle w:val="Heading3"/>
      </w:pPr>
      <w:bookmarkStart w:id="1248" w:name="_CR5_5_0"/>
      <w:bookmarkStart w:id="1249" w:name="_Toc20149755"/>
      <w:bookmarkStart w:id="1250" w:name="_Toc27846547"/>
      <w:bookmarkStart w:id="1251" w:name="_Toc36187672"/>
      <w:bookmarkStart w:id="1252" w:name="_Toc45183576"/>
      <w:bookmarkStart w:id="1253" w:name="_Toc47342418"/>
      <w:bookmarkStart w:id="1254" w:name="_Toc51769118"/>
      <w:bookmarkStart w:id="1255" w:name="_Toc201157068"/>
      <w:bookmarkEnd w:id="1248"/>
      <w:r w:rsidRPr="00873B6C">
        <w:t>5.5.0</w:t>
      </w:r>
      <w:r w:rsidRPr="00873B6C">
        <w:tab/>
        <w:t>General</w:t>
      </w:r>
      <w:bookmarkEnd w:id="1249"/>
      <w:bookmarkEnd w:id="1250"/>
      <w:bookmarkEnd w:id="1251"/>
      <w:bookmarkEnd w:id="1252"/>
      <w:bookmarkEnd w:id="1253"/>
      <w:bookmarkEnd w:id="1254"/>
      <w:bookmarkEnd w:id="1255"/>
    </w:p>
    <w:p w14:paraId="51EA0FDA" w14:textId="5D02055F" w:rsidR="00D40151" w:rsidRPr="00873B6C" w:rsidRDefault="00D40151" w:rsidP="00D40151">
      <w:r w:rsidRPr="00873B6C">
        <w:t>This clause describe the specific aspects for untrusted non-3GPP access</w:t>
      </w:r>
      <w:r w:rsidR="00182EE7" w:rsidRPr="00873B6C">
        <w:t>,</w:t>
      </w:r>
      <w:r w:rsidRPr="00873B6C">
        <w:t xml:space="preserve"> trusted non-3GPP access</w:t>
      </w:r>
      <w:r w:rsidR="00182EE7" w:rsidRPr="00873B6C">
        <w:t xml:space="preserve"> and W-5GAN access</w:t>
      </w:r>
      <w:r w:rsidRPr="00873B6C">
        <w:t>.</w:t>
      </w:r>
    </w:p>
    <w:p w14:paraId="1B6EFBEF" w14:textId="77777777" w:rsidR="00D40151" w:rsidRPr="00873B6C" w:rsidRDefault="00D40151" w:rsidP="00D40151">
      <w:pPr>
        <w:pStyle w:val="Heading3"/>
      </w:pPr>
      <w:bookmarkStart w:id="1256" w:name="_CR5_5_1"/>
      <w:bookmarkStart w:id="1257" w:name="_Toc20149756"/>
      <w:bookmarkStart w:id="1258" w:name="_Toc27846548"/>
      <w:bookmarkStart w:id="1259" w:name="_Toc36187673"/>
      <w:bookmarkStart w:id="1260" w:name="_Toc45183577"/>
      <w:bookmarkStart w:id="1261" w:name="_Toc47342419"/>
      <w:bookmarkStart w:id="1262" w:name="_Toc51769119"/>
      <w:bookmarkStart w:id="1263" w:name="_Toc201157069"/>
      <w:bookmarkEnd w:id="1256"/>
      <w:r w:rsidRPr="00873B6C">
        <w:t>5.5.1</w:t>
      </w:r>
      <w:r w:rsidRPr="00873B6C">
        <w:tab/>
        <w:t>Registration Management</w:t>
      </w:r>
      <w:bookmarkEnd w:id="1257"/>
      <w:bookmarkEnd w:id="1258"/>
      <w:bookmarkEnd w:id="1259"/>
      <w:bookmarkEnd w:id="1260"/>
      <w:bookmarkEnd w:id="1261"/>
      <w:bookmarkEnd w:id="1262"/>
      <w:bookmarkEnd w:id="1263"/>
    </w:p>
    <w:p w14:paraId="0BC3BC38" w14:textId="1798BBB9" w:rsidR="00D40151" w:rsidRPr="00873B6C" w:rsidRDefault="00D40151" w:rsidP="00D40151">
      <w:r w:rsidRPr="00873B6C">
        <w:t>This clause applies to Non-3GPP access network corresponding to the Untrusted Non-3GPP access network, to the Trusted Non-3GPP</w:t>
      </w:r>
      <w:r w:rsidR="00182EE7" w:rsidRPr="00873B6C">
        <w:t xml:space="preserve"> access network</w:t>
      </w:r>
      <w:r w:rsidRPr="00873B6C">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873B6C" w:rsidRDefault="00D40151" w:rsidP="00D40151">
      <w:r w:rsidRPr="00873B6C">
        <w:t>The UE shall enter RM-DEREGISTERED state and the AMF shall enter RM-DEREGISTERED state for the UE on non-3GPP access as follows:</w:t>
      </w:r>
    </w:p>
    <w:p w14:paraId="180A6653" w14:textId="77777777" w:rsidR="00D40151" w:rsidRPr="00873B6C" w:rsidRDefault="00D40151" w:rsidP="00D40151">
      <w:pPr>
        <w:pStyle w:val="B1"/>
      </w:pPr>
      <w:r w:rsidRPr="00873B6C">
        <w:t>-</w:t>
      </w:r>
      <w:r w:rsidRPr="00873B6C">
        <w:tab/>
        <w:t>at the UE and at the AMF, after performing an Explicit Deregistration procedure;</w:t>
      </w:r>
    </w:p>
    <w:p w14:paraId="62042C3B" w14:textId="77777777" w:rsidR="00D40151" w:rsidRPr="00873B6C" w:rsidRDefault="00D40151" w:rsidP="00D40151">
      <w:pPr>
        <w:pStyle w:val="B1"/>
      </w:pPr>
      <w:r w:rsidRPr="00873B6C">
        <w:t>-</w:t>
      </w:r>
      <w:r w:rsidRPr="00873B6C">
        <w:tab/>
        <w:t xml:space="preserve">at the AMF, after the Network non-3GPP Implicit </w:t>
      </w:r>
      <w:r w:rsidRPr="00873B6C">
        <w:rPr>
          <w:lang w:eastAsia="zh-CN"/>
        </w:rPr>
        <w:t>Deregistration</w:t>
      </w:r>
      <w:r w:rsidRPr="00873B6C">
        <w:t xml:space="preserve"> timer has expired.</w:t>
      </w:r>
    </w:p>
    <w:p w14:paraId="5521C878" w14:textId="77777777" w:rsidR="00D40151" w:rsidRPr="00873B6C" w:rsidRDefault="00D40151" w:rsidP="00D40151">
      <w:pPr>
        <w:pStyle w:val="B1"/>
      </w:pPr>
      <w:r w:rsidRPr="00873B6C">
        <w:t>-</w:t>
      </w:r>
      <w:r w:rsidRPr="00873B6C">
        <w:tab/>
        <w:t>at the UE, after the UE non-3GPP Deregistration timer has expired.</w:t>
      </w:r>
    </w:p>
    <w:p w14:paraId="0C149929" w14:textId="1A6F31D1" w:rsidR="00D40151" w:rsidRPr="00873B6C" w:rsidRDefault="00D40151" w:rsidP="00D40151">
      <w:pPr>
        <w:pStyle w:val="NO"/>
      </w:pPr>
      <w:r w:rsidRPr="00873B6C">
        <w:t>NOTE:</w:t>
      </w:r>
      <w:r w:rsidRPr="00873B6C">
        <w:tab/>
        <w:t>This is assumed to leave sufficient time to allow the UE to re-activate UP connections for the established PDU Sessions over 3GPP or non-3GPP access.</w:t>
      </w:r>
    </w:p>
    <w:p w14:paraId="0D446D26" w14:textId="77777777" w:rsidR="00D40151" w:rsidRPr="00873B6C" w:rsidRDefault="00D40151" w:rsidP="00D40151">
      <w:pPr>
        <w:rPr>
          <w:lang w:eastAsia="zh-CN"/>
        </w:rPr>
      </w:pPr>
      <w:r w:rsidRPr="00873B6C">
        <w:rPr>
          <w:lang w:eastAsia="zh-CN"/>
        </w:rPr>
        <w:t>W</w:t>
      </w:r>
      <w:r w:rsidRPr="00873B6C">
        <w:t xml:space="preserve">henever </w:t>
      </w:r>
      <w:r w:rsidRPr="00873B6C">
        <w:rPr>
          <w:lang w:eastAsia="zh-CN"/>
        </w:rPr>
        <w:t>a UE</w:t>
      </w:r>
      <w:r w:rsidRPr="00873B6C">
        <w:t xml:space="preserve"> registered over non-3GPP access enters CM-IDLE </w:t>
      </w:r>
      <w:r w:rsidRPr="00873B6C">
        <w:rPr>
          <w:lang w:eastAsia="zh-CN"/>
        </w:rPr>
        <w:t>state for the non-3GPP access, it starts the</w:t>
      </w:r>
      <w:r w:rsidRPr="00873B6C">
        <w:t xml:space="preserve"> UE </w:t>
      </w:r>
      <w:r w:rsidRPr="00873B6C">
        <w:rPr>
          <w:lang w:eastAsia="zh-CN"/>
        </w:rPr>
        <w:t xml:space="preserve">non-3GPP </w:t>
      </w:r>
      <w:r w:rsidRPr="00873B6C">
        <w:t>De</w:t>
      </w:r>
      <w:r w:rsidRPr="00873B6C">
        <w:rPr>
          <w:lang w:eastAsia="zh-CN"/>
        </w:rPr>
        <w:t>registration</w:t>
      </w:r>
      <w:r w:rsidRPr="00873B6C">
        <w:t xml:space="preserve"> timer </w:t>
      </w:r>
      <w:r w:rsidRPr="00873B6C">
        <w:rPr>
          <w:lang w:eastAsia="zh-CN"/>
        </w:rPr>
        <w:t>according to the value received from the AMF during a Registration procedure.</w:t>
      </w:r>
    </w:p>
    <w:p w14:paraId="151C0793" w14:textId="77777777" w:rsidR="00D40151" w:rsidRPr="00873B6C" w:rsidRDefault="00D40151" w:rsidP="00D40151">
      <w:r w:rsidRPr="00873B6C">
        <w:rPr>
          <w:lang w:eastAsia="zh-CN"/>
        </w:rPr>
        <w:t xml:space="preserve">Over non-3GPP access, the AMF runs the Network </w:t>
      </w:r>
      <w:r w:rsidRPr="00873B6C">
        <w:t xml:space="preserve">non-3GPP Implicit </w:t>
      </w:r>
      <w:r w:rsidRPr="00873B6C">
        <w:rPr>
          <w:lang w:eastAsia="zh-CN"/>
        </w:rPr>
        <w:t>Deregistration</w:t>
      </w:r>
      <w:r w:rsidRPr="00873B6C">
        <w:t xml:space="preserve"> timer. The Network non-3GPP Implicit Deregistration timer is started with a value longer than the UE's non-3GPP Deregistration timer, whenever the</w:t>
      </w:r>
      <w:r w:rsidRPr="00873B6C">
        <w:rPr>
          <w:lang w:eastAsia="zh-CN"/>
        </w:rPr>
        <w:t xml:space="preserve"> CM state for the UE registered over non-3GPP access changes to</w:t>
      </w:r>
      <w:r w:rsidRPr="00873B6C">
        <w:t xml:space="preserve"> CM-IDLE for the non-3GPP access.</w:t>
      </w:r>
    </w:p>
    <w:p w14:paraId="6F5B51CA" w14:textId="77777777" w:rsidR="00D40151" w:rsidRPr="00873B6C" w:rsidRDefault="00D40151" w:rsidP="00D40151">
      <w:r w:rsidRPr="00873B6C">
        <w:rPr>
          <w:noProof/>
        </w:rPr>
        <w:t xml:space="preserve">For a UE that is registered over Non-3GPP access, a change of the point of attachment </w:t>
      </w:r>
      <w:r w:rsidRPr="00873B6C">
        <w:t xml:space="preserve">(e.g. change of WLAN AP) </w:t>
      </w:r>
      <w:r w:rsidRPr="00873B6C">
        <w:rPr>
          <w:noProof/>
        </w:rPr>
        <w:t xml:space="preserve">shall not lead the UE </w:t>
      </w:r>
      <w:r w:rsidRPr="00873B6C">
        <w:t>to perform a Registration procedure.</w:t>
      </w:r>
    </w:p>
    <w:p w14:paraId="65026B99" w14:textId="77777777" w:rsidR="00BC24B5" w:rsidRPr="00873B6C" w:rsidRDefault="00BC24B5" w:rsidP="00D40151">
      <w:pPr>
        <w:rPr>
          <w:lang w:eastAsia="zh-CN"/>
        </w:rPr>
      </w:pPr>
      <w:r w:rsidRPr="00873B6C">
        <w:rPr>
          <w:lang w:eastAsia="zh-CN"/>
        </w:rPr>
        <w:t>A UE that is registered over non-3GPP access may trigger a Mobility Registration Update procedure via a new non-3GPP AN node (i.e. N3IWF or TNGF) to switch traffic from an old non-3GPP access to a new non-3GPP access.</w:t>
      </w:r>
    </w:p>
    <w:p w14:paraId="3312FFB5" w14:textId="0311FAF2" w:rsidR="00424087" w:rsidRPr="00873B6C" w:rsidRDefault="00424087" w:rsidP="00D40151">
      <w:pPr>
        <w:rPr>
          <w:lang w:eastAsia="zh-CN"/>
        </w:rPr>
      </w:pPr>
      <w:r w:rsidRPr="00873B6C">
        <w:rPr>
          <w:lang w:eastAsia="zh-CN"/>
        </w:rPr>
        <w:t>Traffic switching from an old non-3GPP access to and from a wireline access is not supported in this Release.</w:t>
      </w:r>
    </w:p>
    <w:p w14:paraId="47B01EBF" w14:textId="77777777" w:rsidR="00424087" w:rsidRPr="00873B6C" w:rsidRDefault="00424087" w:rsidP="00D40151">
      <w:pPr>
        <w:rPr>
          <w:lang w:eastAsia="zh-CN"/>
        </w:rPr>
      </w:pPr>
      <w:r w:rsidRPr="00873B6C">
        <w:rPr>
          <w:lang w:eastAsia="zh-CN"/>
        </w:rPr>
        <w:t>Traffic switching from an old non-3GPP access to new non-3GPP access is supported only when PLMN of the new non-3GPP access is the same PLMN of the old non-3GPP access.</w:t>
      </w:r>
    </w:p>
    <w:p w14:paraId="1D5DA5DA" w14:textId="49C93982" w:rsidR="00D40151" w:rsidRPr="00873B6C" w:rsidRDefault="00D40151" w:rsidP="00D40151">
      <w:pPr>
        <w:rPr>
          <w:noProof/>
        </w:rPr>
      </w:pPr>
      <w:r w:rsidRPr="00873B6C">
        <w:rPr>
          <w:lang w:eastAsia="zh-CN"/>
        </w:rPr>
        <w:t>A UE shall not provide 3GPP-specific parameters (e.g. indicate a preference for MICO mode) during registration over a non-3GPP access.</w:t>
      </w:r>
    </w:p>
    <w:p w14:paraId="7AA454D4" w14:textId="5B431251" w:rsidR="0069561D" w:rsidRPr="00873B6C" w:rsidRDefault="0069561D" w:rsidP="0069561D">
      <w:pPr>
        <w:rPr>
          <w:noProof/>
        </w:rPr>
      </w:pPr>
      <w:bookmarkStart w:id="1264" w:name="_Toc20149757"/>
      <w:bookmarkStart w:id="1265" w:name="_Toc27846549"/>
      <w:bookmarkStart w:id="1266" w:name="_Toc36187674"/>
      <w:bookmarkStart w:id="1267" w:name="_Toc45183578"/>
      <w:bookmarkStart w:id="1268" w:name="_Toc47342420"/>
      <w:bookmarkStart w:id="1269" w:name="_Toc51769120"/>
      <w:r w:rsidRPr="00873B6C">
        <w:rPr>
          <w:noProof/>
        </w:rPr>
        <w:lastRenderedPageBreak/>
        <w:t>During registration procedure the AMF may determine whether the serving N3IWF</w:t>
      </w:r>
      <w:r w:rsidR="00587044" w:rsidRPr="00873B6C">
        <w:rPr>
          <w:noProof/>
        </w:rPr>
        <w:t>/TNGF</w:t>
      </w:r>
      <w:r w:rsidRPr="00873B6C">
        <w:rPr>
          <w:noProof/>
        </w:rPr>
        <w:t xml:space="preserve"> is appropriate based on the slices supported by the N3IWFs</w:t>
      </w:r>
      <w:r w:rsidR="00587044" w:rsidRPr="00873B6C">
        <w:rPr>
          <w:noProof/>
        </w:rPr>
        <w:t>/TNGFs</w:t>
      </w:r>
      <w:r w:rsidRPr="00873B6C">
        <w:rPr>
          <w:noProof/>
        </w:rPr>
        <w:t xml:space="preserve"> as specified in clause 6.3.6</w:t>
      </w:r>
      <w:r w:rsidR="00587044" w:rsidRPr="00873B6C">
        <w:rPr>
          <w:noProof/>
        </w:rPr>
        <w:t xml:space="preserve"> and clause 6.3.12 respectively</w:t>
      </w:r>
      <w:r w:rsidRPr="00873B6C">
        <w:rPr>
          <w:noProof/>
        </w:rPr>
        <w:t>.</w:t>
      </w:r>
    </w:p>
    <w:p w14:paraId="2CB04C3A" w14:textId="77777777" w:rsidR="00D40151" w:rsidRPr="00873B6C" w:rsidRDefault="00D40151" w:rsidP="00D40151">
      <w:pPr>
        <w:pStyle w:val="Heading3"/>
      </w:pPr>
      <w:bookmarkStart w:id="1270" w:name="_CR5_5_2"/>
      <w:bookmarkStart w:id="1271" w:name="_Toc201157070"/>
      <w:bookmarkEnd w:id="1270"/>
      <w:r w:rsidRPr="00873B6C">
        <w:t>5.5.2</w:t>
      </w:r>
      <w:r w:rsidRPr="00873B6C">
        <w:tab/>
        <w:t>Connection Management</w:t>
      </w:r>
      <w:bookmarkEnd w:id="1264"/>
      <w:bookmarkEnd w:id="1265"/>
      <w:bookmarkEnd w:id="1266"/>
      <w:bookmarkEnd w:id="1267"/>
      <w:bookmarkEnd w:id="1268"/>
      <w:bookmarkEnd w:id="1269"/>
      <w:bookmarkEnd w:id="1271"/>
    </w:p>
    <w:p w14:paraId="0269111C" w14:textId="3243F9D0" w:rsidR="00D40151" w:rsidRPr="00873B6C" w:rsidRDefault="00D40151" w:rsidP="00D40151">
      <w:r w:rsidRPr="00873B6C">
        <w:t>This clause applies to Non-3GPP access network corresponding to the Untrusted Non-3GPP access network, to the Trusted Non-3GPP</w:t>
      </w:r>
      <w:r w:rsidR="00182EE7" w:rsidRPr="00873B6C">
        <w:t xml:space="preserve"> access network</w:t>
      </w:r>
      <w:r w:rsidRPr="00873B6C">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873B6C" w:rsidRDefault="00D40151" w:rsidP="00D40151">
      <w:r w:rsidRPr="00873B6C">
        <w:t>A UE that successfully establishes a Non-3GPP Access Connection to the 5GC over a Non-3GPP access transitions to CM-CONNECTED state for the Non-3GPP access.</w:t>
      </w:r>
    </w:p>
    <w:p w14:paraId="16EAC0A3" w14:textId="77777777" w:rsidR="00D40151" w:rsidRPr="00873B6C" w:rsidRDefault="00D40151" w:rsidP="00D40151">
      <w:r w:rsidRPr="00873B6C">
        <w:t>In the case of Untrusted Non-3GPP access to 5GC, the Non-3GPP Access Connection corresponds to an NWu connection.</w:t>
      </w:r>
    </w:p>
    <w:p w14:paraId="46ECF226" w14:textId="77777777" w:rsidR="00D40151" w:rsidRPr="00873B6C" w:rsidRDefault="00D40151" w:rsidP="00D40151">
      <w:r w:rsidRPr="00873B6C">
        <w:t>In the case of Trusted access to 5GC, the Non-3GPP Access Connection corresponds to an NWt connection.</w:t>
      </w:r>
    </w:p>
    <w:p w14:paraId="0B1279D8" w14:textId="77777777" w:rsidR="00D40151" w:rsidRPr="00873B6C" w:rsidRDefault="00D40151" w:rsidP="00D40151">
      <w:r w:rsidRPr="00873B6C">
        <w:t>In the case of N5CW devices access 5GC via trusted WLAN access networks, the Non-3GPP Access Connection corresponds to an Yt' connection.</w:t>
      </w:r>
    </w:p>
    <w:p w14:paraId="5ED9055F" w14:textId="77777777" w:rsidR="00D40151" w:rsidRPr="00873B6C" w:rsidRDefault="00D40151" w:rsidP="00D40151">
      <w:r w:rsidRPr="00873B6C">
        <w:t>In the case of Wireline access to 5GC, the Non-3GPP Access Connection corresponds to a Y4 connection and to Y5 connection.</w:t>
      </w:r>
    </w:p>
    <w:p w14:paraId="46AFE64D" w14:textId="77777777" w:rsidR="00D40151" w:rsidRPr="00873B6C" w:rsidRDefault="00D40151" w:rsidP="00D40151">
      <w:r w:rsidRPr="00873B6C">
        <w:t>A UE does not establish multiple simultaneous Non-3GPP Access Connection to the 5GC.</w:t>
      </w:r>
    </w:p>
    <w:p w14:paraId="6522FB2D" w14:textId="77777777" w:rsidR="00D40151" w:rsidRPr="00873B6C" w:rsidRDefault="00D40151" w:rsidP="00D40151">
      <w:r w:rsidRPr="00873B6C">
        <w:t>The Non-3GPP Access Connection is released either as a result of an Explicit Deregistration procedure or an AN Release procedure.</w:t>
      </w:r>
    </w:p>
    <w:p w14:paraId="0A0ADA12" w14:textId="77777777" w:rsidR="00D40151" w:rsidRPr="00873B6C" w:rsidRDefault="00D40151" w:rsidP="00D40151">
      <w:r w:rsidRPr="00873B6C">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873B6C">
        <w:rPr>
          <w:lang w:eastAsia="ko-KR"/>
        </w:rPr>
        <w:t>RFC 7296</w:t>
      </w:r>
      <w:r w:rsidRPr="00873B6C">
        <w:t> </w:t>
      </w:r>
      <w:r w:rsidRPr="00873B6C">
        <w:rPr>
          <w:lang w:eastAsia="ko-KR"/>
        </w:rPr>
        <w:t>[60]</w:t>
      </w:r>
      <w:r w:rsidRPr="00873B6C">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873B6C" w:rsidRDefault="00D40151" w:rsidP="00D40151">
      <w:r w:rsidRPr="00873B6C">
        <w:t>For W-5GCAN, the W-AGF explicitly releases the N2 connection due to Y4 or Y5 connection failure, as determined by the "dead peer detection" mechanism in DOCSIS MULPI [89].</w:t>
      </w:r>
    </w:p>
    <w:p w14:paraId="47799E02" w14:textId="77777777" w:rsidR="00D40151" w:rsidRPr="00873B6C" w:rsidRDefault="00D40151" w:rsidP="00D40151">
      <w:r w:rsidRPr="00873B6C">
        <w:t>The release of the Non-3GPP Access Connection between the UE and the N3IWF, TNGF, TWIF or W-AGF shall be interpreted as follows:</w:t>
      </w:r>
    </w:p>
    <w:p w14:paraId="1FAF92A3" w14:textId="77777777" w:rsidR="00D40151" w:rsidRPr="00873B6C" w:rsidRDefault="00D40151" w:rsidP="00D40151">
      <w:pPr>
        <w:pStyle w:val="B1"/>
      </w:pPr>
      <w:r w:rsidRPr="00873B6C">
        <w:t>-</w:t>
      </w:r>
      <w:r w:rsidRPr="00873B6C">
        <w:tab/>
        <w:t>By the N3IWF, TNGF, TWIF and W-AGF as a criterion to release the N2 connection.</w:t>
      </w:r>
    </w:p>
    <w:p w14:paraId="2D993DE0" w14:textId="77777777" w:rsidR="00D40151" w:rsidRPr="00873B6C" w:rsidRDefault="00D40151" w:rsidP="00D40151">
      <w:pPr>
        <w:pStyle w:val="B1"/>
      </w:pPr>
      <w:r w:rsidRPr="00873B6C">
        <w:t>-</w:t>
      </w:r>
      <w:r w:rsidRPr="00873B6C">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873B6C" w:rsidRDefault="00D40151" w:rsidP="00D40151">
      <w:pPr>
        <w:pStyle w:val="NO"/>
      </w:pPr>
      <w:r w:rsidRPr="00873B6C">
        <w:t>NOTE 1:</w:t>
      </w:r>
      <w:r w:rsidRPr="00873B6C">
        <w:tab/>
        <w:t>When moved to CM-IDLE state over one access, the UE can attempt to re-activate UP connections for the PDU Sessions over other access, per UE policies and depending on the availability of these accesses.</w:t>
      </w:r>
    </w:p>
    <w:p w14:paraId="4D14A2DB" w14:textId="77777777" w:rsidR="00D40151" w:rsidRPr="00873B6C" w:rsidRDefault="00D40151" w:rsidP="00D40151">
      <w:pPr>
        <w:pStyle w:val="NO"/>
      </w:pPr>
      <w:r w:rsidRPr="00873B6C">
        <w:t>NOTE 2:</w:t>
      </w:r>
      <w:r w:rsidRPr="00873B6C">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873B6C">
        <w:rPr>
          <w:lang w:eastAsia="ko-KR"/>
        </w:rPr>
        <w:t>RFC 7296</w:t>
      </w:r>
      <w:r w:rsidRPr="00873B6C">
        <w:t> </w:t>
      </w:r>
      <w:r w:rsidRPr="00873B6C">
        <w:rPr>
          <w:lang w:eastAsia="ko-KR"/>
        </w:rPr>
        <w:t>[60] for NWu, NWt and Yt' or W-5GAN access specific mechanism for Y4 and Y5</w:t>
      </w:r>
      <w:r w:rsidRPr="00873B6C">
        <w:t>. Further details on how the UE detects NWu, NWt, Yt', Y4 or Y5 connection failure is out of scope of 3GPP specifications.</w:t>
      </w:r>
    </w:p>
    <w:p w14:paraId="2BB88D0B" w14:textId="77777777" w:rsidR="00D40151" w:rsidRPr="00873B6C" w:rsidRDefault="00D40151" w:rsidP="00D40151">
      <w:r w:rsidRPr="00873B6C">
        <w:t xml:space="preserve">In the case of Non-3GPP access, when the AMF releases the N2 interface, the N3IWF, TNGF, TWIF and W-AGF shall release all the resources associated with the UE including the Non-3GPP Access Connection with the UE and its </w:t>
      </w:r>
      <w:r w:rsidRPr="00873B6C">
        <w:lastRenderedPageBreak/>
        <w:t>corresponding N3 resources.</w:t>
      </w:r>
      <w:r w:rsidRPr="00873B6C" w:rsidDel="001E62B8">
        <w:t xml:space="preserve"> </w:t>
      </w:r>
      <w:r w:rsidRPr="00873B6C">
        <w:t>A release of the N2 connection by the AMF shall set the CM state for the UE in the AMF to CM-IDLE.</w:t>
      </w:r>
    </w:p>
    <w:p w14:paraId="62079E89" w14:textId="77777777" w:rsidR="00D40151" w:rsidRPr="00873B6C" w:rsidRDefault="00D40151" w:rsidP="00D40151">
      <w:pPr>
        <w:pStyle w:val="NO"/>
        <w:rPr>
          <w:lang w:eastAsia="zh-CN"/>
        </w:rPr>
      </w:pPr>
      <w:r w:rsidRPr="00873B6C">
        <w:rPr>
          <w:lang w:eastAsia="zh-CN"/>
        </w:rPr>
        <w:t>NOTE 3:</w:t>
      </w:r>
      <w:r w:rsidRPr="00873B6C">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873B6C">
        <w:t xml:space="preserve"> unless prohibited by the network to make a N3GPP Access Connection (e.g. due to network congestion)</w:t>
      </w:r>
      <w:r w:rsidRPr="00873B6C">
        <w:rPr>
          <w:lang w:eastAsia="zh-CN"/>
        </w:rPr>
        <w:t>.</w:t>
      </w:r>
    </w:p>
    <w:p w14:paraId="5959C8CE" w14:textId="77777777" w:rsidR="00D40151" w:rsidRPr="00873B6C" w:rsidRDefault="00D40151" w:rsidP="00D40151">
      <w:pPr>
        <w:rPr>
          <w:lang w:eastAsia="zh-CN"/>
        </w:rPr>
      </w:pPr>
      <w:r w:rsidRPr="00873B6C">
        <w:rPr>
          <w:lang w:eastAsia="zh-CN"/>
        </w:rPr>
        <w:t>An UE cannot be paged on Non-3GPP access network.</w:t>
      </w:r>
    </w:p>
    <w:p w14:paraId="64797B46" w14:textId="77777777" w:rsidR="00D40151" w:rsidRPr="00873B6C" w:rsidRDefault="00D40151" w:rsidP="00D40151">
      <w:r w:rsidRPr="00873B6C">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873B6C" w:rsidRDefault="00D40151" w:rsidP="00D40151">
      <w:r w:rsidRPr="00873B6C">
        <w:t>Release of PDU Sessions over the non-3GPP access does not imply the release of N2 connection.</w:t>
      </w:r>
    </w:p>
    <w:p w14:paraId="433904E4" w14:textId="77777777" w:rsidR="00D40151" w:rsidRPr="00873B6C" w:rsidRDefault="00D40151" w:rsidP="00D40151">
      <w:r w:rsidRPr="00873B6C">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873B6C" w:rsidRDefault="00D40151" w:rsidP="00D40151">
      <w:pPr>
        <w:pStyle w:val="Heading3"/>
        <w:rPr>
          <w:lang w:eastAsia="zh-CN"/>
        </w:rPr>
      </w:pPr>
      <w:bookmarkStart w:id="1272" w:name="_CR5_5_3"/>
      <w:bookmarkStart w:id="1273" w:name="_Toc20149758"/>
      <w:bookmarkStart w:id="1274" w:name="_Toc27846550"/>
      <w:bookmarkStart w:id="1275" w:name="_Toc36187675"/>
      <w:bookmarkStart w:id="1276" w:name="_Toc45183579"/>
      <w:bookmarkStart w:id="1277" w:name="_Toc47342421"/>
      <w:bookmarkStart w:id="1278" w:name="_Toc51769121"/>
      <w:bookmarkStart w:id="1279" w:name="_Toc201157071"/>
      <w:bookmarkEnd w:id="1272"/>
      <w:r w:rsidRPr="00873B6C">
        <w:rPr>
          <w:lang w:eastAsia="zh-CN"/>
        </w:rPr>
        <w:t>5.5.3</w:t>
      </w:r>
      <w:r w:rsidRPr="00873B6C">
        <w:rPr>
          <w:lang w:eastAsia="zh-CN"/>
        </w:rPr>
        <w:tab/>
        <w:t>UE Reachability</w:t>
      </w:r>
      <w:bookmarkEnd w:id="1273"/>
      <w:bookmarkEnd w:id="1274"/>
      <w:bookmarkEnd w:id="1275"/>
      <w:bookmarkEnd w:id="1276"/>
      <w:bookmarkEnd w:id="1277"/>
      <w:bookmarkEnd w:id="1278"/>
      <w:bookmarkEnd w:id="1279"/>
    </w:p>
    <w:p w14:paraId="527C7EEE" w14:textId="77777777" w:rsidR="00D40151" w:rsidRPr="00873B6C" w:rsidRDefault="00D40151" w:rsidP="00D40151">
      <w:pPr>
        <w:pStyle w:val="Heading4"/>
        <w:rPr>
          <w:lang w:eastAsia="zh-CN"/>
        </w:rPr>
      </w:pPr>
      <w:bookmarkStart w:id="1280" w:name="_CR5_5_3_1"/>
      <w:bookmarkStart w:id="1281" w:name="_Toc20149759"/>
      <w:bookmarkStart w:id="1282" w:name="_Toc27846551"/>
      <w:bookmarkStart w:id="1283" w:name="_Toc36187676"/>
      <w:bookmarkStart w:id="1284" w:name="_Toc45183580"/>
      <w:bookmarkStart w:id="1285" w:name="_Toc47342422"/>
      <w:bookmarkStart w:id="1286" w:name="_Toc51769122"/>
      <w:bookmarkStart w:id="1287" w:name="_Toc201157072"/>
      <w:bookmarkEnd w:id="1280"/>
      <w:r w:rsidRPr="00873B6C">
        <w:rPr>
          <w:lang w:eastAsia="zh-CN"/>
        </w:rPr>
        <w:t>5.5.3.1</w:t>
      </w:r>
      <w:r w:rsidRPr="00873B6C">
        <w:rPr>
          <w:lang w:eastAsia="zh-CN"/>
        </w:rPr>
        <w:tab/>
        <w:t>UE reachability in CM-IDLE</w:t>
      </w:r>
      <w:bookmarkEnd w:id="1281"/>
      <w:bookmarkEnd w:id="1282"/>
      <w:bookmarkEnd w:id="1283"/>
      <w:bookmarkEnd w:id="1284"/>
      <w:bookmarkEnd w:id="1285"/>
      <w:bookmarkEnd w:id="1286"/>
      <w:bookmarkEnd w:id="1287"/>
    </w:p>
    <w:p w14:paraId="0D1E491B" w14:textId="6FFA53DD" w:rsidR="00D40151" w:rsidRPr="00873B6C" w:rsidRDefault="00D40151" w:rsidP="00D40151">
      <w:pPr>
        <w:rPr>
          <w:lang w:eastAsia="zh-CN"/>
        </w:rPr>
      </w:pPr>
      <w:r w:rsidRPr="00873B6C">
        <w:rPr>
          <w:lang w:eastAsia="zh-CN"/>
        </w:rPr>
        <w:t>This clause applies to Non-3GPP access network corresponding to the Untrusted Non-3GPP access network, to the Trusted Non-3GPP</w:t>
      </w:r>
      <w:r w:rsidR="00182EE7" w:rsidRPr="00873B6C">
        <w:rPr>
          <w:lang w:eastAsia="zh-CN"/>
        </w:rPr>
        <w:t xml:space="preserve"> access network</w:t>
      </w:r>
      <w:r w:rsidRPr="00873B6C">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873B6C" w:rsidRDefault="00D40151" w:rsidP="00D40151">
      <w:pPr>
        <w:rPr>
          <w:lang w:eastAsia="zh-CN"/>
        </w:rPr>
      </w:pPr>
      <w:r w:rsidRPr="00873B6C">
        <w:rPr>
          <w:lang w:eastAsia="zh-CN"/>
        </w:rPr>
        <w:t>An UE cannot be paged over Non-3GPP access network.</w:t>
      </w:r>
    </w:p>
    <w:p w14:paraId="0B841E15" w14:textId="6781C9EE" w:rsidR="00D40151" w:rsidRPr="00873B6C" w:rsidRDefault="00D40151" w:rsidP="00D40151">
      <w:r w:rsidRPr="00873B6C">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w:t>
      </w:r>
      <w:r w:rsidR="00472CD7" w:rsidRPr="00873B6C">
        <w:t xml:space="preserve"> and</w:t>
      </w:r>
      <w:r w:rsidRPr="00873B6C">
        <w:t xml:space="preserve">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873B6C" w:rsidRDefault="00D40151" w:rsidP="00D40151">
      <w:pPr>
        <w:pStyle w:val="NO"/>
      </w:pPr>
      <w:r w:rsidRPr="00873B6C">
        <w:t>NOTE:</w:t>
      </w:r>
      <w:r w:rsidRPr="00873B6C">
        <w:tab/>
        <w:t>The UE behaviour upon such network triggered Service Request is specified in clause 5.6.8.</w:t>
      </w:r>
    </w:p>
    <w:p w14:paraId="44067CA8" w14:textId="77777777" w:rsidR="00D40151" w:rsidRPr="00873B6C" w:rsidRDefault="00D40151" w:rsidP="00D40151">
      <w:pPr>
        <w:pStyle w:val="Heading4"/>
        <w:rPr>
          <w:lang w:eastAsia="zh-CN"/>
        </w:rPr>
      </w:pPr>
      <w:bookmarkStart w:id="1288" w:name="_CR5_5_3_2"/>
      <w:bookmarkStart w:id="1289" w:name="_Toc20149760"/>
      <w:bookmarkStart w:id="1290" w:name="_Toc27846552"/>
      <w:bookmarkStart w:id="1291" w:name="_Toc36187677"/>
      <w:bookmarkStart w:id="1292" w:name="_Toc45183581"/>
      <w:bookmarkStart w:id="1293" w:name="_Toc47342423"/>
      <w:bookmarkStart w:id="1294" w:name="_Toc51769123"/>
      <w:bookmarkStart w:id="1295" w:name="_Toc201157073"/>
      <w:bookmarkEnd w:id="1288"/>
      <w:r w:rsidRPr="00873B6C">
        <w:rPr>
          <w:lang w:eastAsia="zh-CN"/>
        </w:rPr>
        <w:t>5.5.3.2</w:t>
      </w:r>
      <w:r w:rsidRPr="00873B6C">
        <w:rPr>
          <w:lang w:eastAsia="zh-CN"/>
        </w:rPr>
        <w:tab/>
        <w:t>UE reachability in CM-CONNECTED</w:t>
      </w:r>
      <w:bookmarkEnd w:id="1289"/>
      <w:bookmarkEnd w:id="1290"/>
      <w:bookmarkEnd w:id="1291"/>
      <w:bookmarkEnd w:id="1292"/>
      <w:bookmarkEnd w:id="1293"/>
      <w:bookmarkEnd w:id="1294"/>
      <w:bookmarkEnd w:id="1295"/>
    </w:p>
    <w:p w14:paraId="47E91BC9" w14:textId="6E1E06CB" w:rsidR="00D40151" w:rsidRPr="00873B6C" w:rsidRDefault="00D40151" w:rsidP="00D40151">
      <w:pPr>
        <w:rPr>
          <w:rFonts w:eastAsia="Arial Unicode MS"/>
        </w:rPr>
      </w:pPr>
      <w:r w:rsidRPr="00873B6C">
        <w:rPr>
          <w:rFonts w:eastAsia="Arial Unicode MS"/>
        </w:rPr>
        <w:t>Thi</w:t>
      </w:r>
      <w:r w:rsidR="00323277" w:rsidRPr="00873B6C">
        <w:rPr>
          <w:rFonts w:eastAsia="Arial Unicode MS"/>
        </w:rPr>
        <w:t xml:space="preserve">s clause </w:t>
      </w:r>
      <w:r w:rsidRPr="00873B6C">
        <w:rPr>
          <w:rFonts w:eastAsia="Arial Unicode MS"/>
        </w:rPr>
        <w:t>applies to Non-3GPP access network corresponding to the Untrusted Non-3GPP access network, to the Trusted Non-3GPP</w:t>
      </w:r>
      <w:r w:rsidR="00182EE7" w:rsidRPr="00873B6C">
        <w:rPr>
          <w:rFonts w:eastAsia="Arial Unicode MS"/>
        </w:rPr>
        <w:t xml:space="preserve"> access network</w:t>
      </w:r>
      <w:r w:rsidRPr="00873B6C">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873B6C" w:rsidRDefault="00D40151" w:rsidP="00D40151">
      <w:pPr>
        <w:rPr>
          <w:rFonts w:eastAsia="Arial Unicode MS"/>
        </w:rPr>
      </w:pPr>
      <w:r w:rsidRPr="00873B6C">
        <w:rPr>
          <w:rFonts w:eastAsia="Arial Unicode MS"/>
        </w:rPr>
        <w:t>For a UE in CM-CONNECTED state:</w:t>
      </w:r>
    </w:p>
    <w:p w14:paraId="10DF39F5" w14:textId="77777777" w:rsidR="00D40151" w:rsidRPr="00873B6C" w:rsidRDefault="00D40151" w:rsidP="00D40151">
      <w:pPr>
        <w:pStyle w:val="B1"/>
      </w:pPr>
      <w:r w:rsidRPr="00873B6C">
        <w:t>-</w:t>
      </w:r>
      <w:r w:rsidRPr="00873B6C">
        <w:tab/>
        <w:t>the AMF knows the UE location on a N3IWF, TNGF, TWIF and W-AGF node granularity.</w:t>
      </w:r>
    </w:p>
    <w:p w14:paraId="5EBF1A15" w14:textId="77777777" w:rsidR="00D40151" w:rsidRPr="00873B6C" w:rsidRDefault="00D40151" w:rsidP="00D40151">
      <w:pPr>
        <w:pStyle w:val="B1"/>
      </w:pPr>
      <w:r w:rsidRPr="00873B6C">
        <w:t>-</w:t>
      </w:r>
      <w:r w:rsidRPr="00873B6C">
        <w:tab/>
      </w:r>
      <w:r w:rsidRPr="00873B6C">
        <w:rPr>
          <w:lang w:eastAsia="zh-CN"/>
        </w:rPr>
        <w:t xml:space="preserve">the N3IWF, TNGF, TWIF and W-AGF </w:t>
      </w:r>
      <w:r w:rsidRPr="00873B6C">
        <w:t xml:space="preserve">releases the N2 connection when UE becomes unreachable </w:t>
      </w:r>
      <w:r w:rsidRPr="00873B6C">
        <w:rPr>
          <w:lang w:eastAsia="zh-CN"/>
        </w:rPr>
        <w:t xml:space="preserve">from </w:t>
      </w:r>
      <w:r w:rsidRPr="00873B6C">
        <w:t xml:space="preserve">N3IWF, TNGF, TWIF and W-AGF </w:t>
      </w:r>
      <w:r w:rsidRPr="00873B6C">
        <w:rPr>
          <w:lang w:eastAsia="zh-CN"/>
        </w:rPr>
        <w:t>point of view, i.e. upon Non-3GPP Access Connection release.</w:t>
      </w:r>
    </w:p>
    <w:p w14:paraId="64588CAA" w14:textId="77777777" w:rsidR="00D40151" w:rsidRPr="00873B6C" w:rsidRDefault="00D40151" w:rsidP="00D40151">
      <w:pPr>
        <w:pStyle w:val="Heading2"/>
      </w:pPr>
      <w:bookmarkStart w:id="1296" w:name="_CR5_6"/>
      <w:bookmarkStart w:id="1297" w:name="_Toc20149761"/>
      <w:bookmarkStart w:id="1298" w:name="_Toc27846553"/>
      <w:bookmarkStart w:id="1299" w:name="_Toc36187678"/>
      <w:bookmarkStart w:id="1300" w:name="_Toc45183582"/>
      <w:bookmarkStart w:id="1301" w:name="_Toc47342424"/>
      <w:bookmarkStart w:id="1302" w:name="_Toc51769124"/>
      <w:bookmarkStart w:id="1303" w:name="_Toc201157074"/>
      <w:bookmarkEnd w:id="1296"/>
      <w:r w:rsidRPr="00873B6C">
        <w:lastRenderedPageBreak/>
        <w:t>5.6</w:t>
      </w:r>
      <w:r w:rsidRPr="00873B6C">
        <w:tab/>
        <w:t>Session Management</w:t>
      </w:r>
      <w:bookmarkEnd w:id="1297"/>
      <w:bookmarkEnd w:id="1298"/>
      <w:bookmarkEnd w:id="1299"/>
      <w:bookmarkEnd w:id="1300"/>
      <w:bookmarkEnd w:id="1301"/>
      <w:bookmarkEnd w:id="1302"/>
      <w:bookmarkEnd w:id="1303"/>
    </w:p>
    <w:p w14:paraId="34194B52" w14:textId="77777777" w:rsidR="00D40151" w:rsidRPr="00873B6C" w:rsidRDefault="00D40151" w:rsidP="00D40151">
      <w:pPr>
        <w:pStyle w:val="Heading3"/>
        <w:rPr>
          <w:lang w:eastAsia="zh-CN"/>
        </w:rPr>
      </w:pPr>
      <w:bookmarkStart w:id="1304" w:name="_CR5_6_1"/>
      <w:bookmarkStart w:id="1305" w:name="_Toc20149762"/>
      <w:bookmarkStart w:id="1306" w:name="_Toc27846554"/>
      <w:bookmarkStart w:id="1307" w:name="_Toc36187679"/>
      <w:bookmarkStart w:id="1308" w:name="_Toc45183583"/>
      <w:bookmarkStart w:id="1309" w:name="_Toc47342425"/>
      <w:bookmarkStart w:id="1310" w:name="_Toc51769125"/>
      <w:bookmarkStart w:id="1311" w:name="_Toc201157075"/>
      <w:bookmarkEnd w:id="1304"/>
      <w:r w:rsidRPr="00873B6C">
        <w:t>5.6.1</w:t>
      </w:r>
      <w:r w:rsidRPr="00873B6C">
        <w:tab/>
        <w:t>Overview</w:t>
      </w:r>
      <w:bookmarkEnd w:id="1305"/>
      <w:bookmarkEnd w:id="1306"/>
      <w:bookmarkEnd w:id="1307"/>
      <w:bookmarkEnd w:id="1308"/>
      <w:bookmarkEnd w:id="1309"/>
      <w:bookmarkEnd w:id="1310"/>
      <w:bookmarkEnd w:id="1311"/>
    </w:p>
    <w:p w14:paraId="496B6267" w14:textId="77777777" w:rsidR="00D40151" w:rsidRPr="00873B6C" w:rsidRDefault="00D40151" w:rsidP="00D40151">
      <w:r w:rsidRPr="00873B6C">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873B6C" w:rsidRDefault="00D40151" w:rsidP="00D40151">
      <w:r w:rsidRPr="00873B6C">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00AFEF70" w:rsidR="00D40151" w:rsidRPr="00873B6C" w:rsidRDefault="00D40151" w:rsidP="00D40151">
      <w:r w:rsidRPr="00873B6C">
        <w:t xml:space="preserve">The expectation is that the URSP in the UE is always up to date using the procedure defined in </w:t>
      </w:r>
      <w:r w:rsidR="00960CDA" w:rsidRPr="00873B6C">
        <w:t xml:space="preserve">clause 4.16.12.2 of </w:t>
      </w:r>
      <w:r w:rsidR="00972E70" w:rsidRPr="00873B6C">
        <w:t>TS 23.502 [</w:t>
      </w:r>
      <w:r w:rsidRPr="00873B6C">
        <w:t>3] and therefore the UE requested DNN will be up to date.</w:t>
      </w:r>
    </w:p>
    <w:p w14:paraId="77220022" w14:textId="3E932A03" w:rsidR="00D40151" w:rsidRPr="00873B6C" w:rsidRDefault="00D40151" w:rsidP="00D40151">
      <w:r w:rsidRPr="00873B6C">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w:t>
      </w:r>
      <w:r w:rsidR="00472CD7" w:rsidRPr="00873B6C">
        <w:t xml:space="preserve"> and</w:t>
      </w:r>
      <w:r w:rsidRPr="00873B6C">
        <w:t xml:space="preserve">/or indicate a list of UE requested DNNs per S-NSSAI valid for the serving network, that are subject for replacement (details are described in </w:t>
      </w:r>
      <w:r w:rsidR="00972E70" w:rsidRPr="00873B6C">
        <w:t>TS 23.503 [</w:t>
      </w:r>
      <w:r w:rsidRPr="00873B6C">
        <w:t>45]).</w:t>
      </w:r>
    </w:p>
    <w:p w14:paraId="6E6C1508" w14:textId="77777777" w:rsidR="00D40151" w:rsidRPr="00873B6C" w:rsidRDefault="00D40151" w:rsidP="00D40151">
      <w:r w:rsidRPr="00873B6C">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06F4C576" w:rsidR="00D40151" w:rsidRPr="00873B6C" w:rsidRDefault="00D40151" w:rsidP="00D40151">
      <w:r w:rsidRPr="00873B6C">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w:t>
      </w:r>
      <w:r w:rsidR="00472CD7" w:rsidRPr="00873B6C">
        <w:t xml:space="preserve"> and</w:t>
      </w:r>
      <w:r w:rsidRPr="00873B6C">
        <w:t xml:space="preserve"> provides both requested and selected DNN to the selected SMF. For PDU Session with Home-routed Roaming whether to perform DNN replacement is based on operator agreements.</w:t>
      </w:r>
    </w:p>
    <w:p w14:paraId="2FD93995" w14:textId="77777777" w:rsidR="00D40151" w:rsidRPr="00873B6C" w:rsidRDefault="00D40151" w:rsidP="00D40151">
      <w:pPr>
        <w:pStyle w:val="NO"/>
      </w:pPr>
      <w:r w:rsidRPr="00873B6C">
        <w:t>NOTE 1:</w:t>
      </w:r>
      <w:r w:rsidRPr="00873B6C">
        <w:tab/>
        <w:t>The selected DNN is determined based on operator preferences and can differ from subscribed DNNs. The matching of selected DNN to S-NSSAI is assumed to be based on network configuration.</w:t>
      </w:r>
    </w:p>
    <w:p w14:paraId="3B82CCB7" w14:textId="77777777" w:rsidR="00D40151" w:rsidRPr="00873B6C" w:rsidRDefault="00D40151" w:rsidP="00D40151">
      <w:r w:rsidRPr="00873B6C">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873B6C" w:rsidRDefault="00D40151" w:rsidP="00D40151">
      <w:r w:rsidRPr="00873B6C">
        <w:t xml:space="preserve">PDU Sessions are established (upon UE request), modified (upon UE and 5GC request) and released (upon UE and 5GC request) using NAS SM signalling exchanged over N1 between the UE and the SMF. Upon request from an Application Server, the </w:t>
      </w:r>
      <w:r w:rsidRPr="00873B6C">
        <w:rPr>
          <w:rFonts w:eastAsia="MS Mincho"/>
        </w:rPr>
        <w:t xml:space="preserve">5GC is able to trigger </w:t>
      </w:r>
      <w:r w:rsidRPr="00873B6C">
        <w:rPr>
          <w:lang w:eastAsia="zh-CN"/>
        </w:rPr>
        <w:t>a</w:t>
      </w:r>
      <w:r w:rsidRPr="00873B6C">
        <w:t xml:space="preserve"> specific application in the UE</w:t>
      </w:r>
      <w:r w:rsidRPr="00873B6C">
        <w:rPr>
          <w:lang w:eastAsia="zh-CN"/>
        </w:rPr>
        <w:t xml:space="preserve">. When receiving that trigger message, the UE shall pass it to the identified application in the UE. The identified application in the UE may </w:t>
      </w:r>
      <w:r w:rsidRPr="00873B6C">
        <w:t>establish a PDU Session</w:t>
      </w:r>
      <w:r w:rsidRPr="00873B6C">
        <w:rPr>
          <w:lang w:eastAsia="zh-CN"/>
        </w:rPr>
        <w:t xml:space="preserve"> to a specific DNN, s</w:t>
      </w:r>
      <w:r w:rsidRPr="00873B6C">
        <w:t>ee clause 4.4.5.</w:t>
      </w:r>
    </w:p>
    <w:p w14:paraId="70810010" w14:textId="77777777" w:rsidR="00D40151" w:rsidRPr="00873B6C" w:rsidRDefault="00D40151" w:rsidP="00D40151">
      <w:r w:rsidRPr="00873B6C">
        <w:t>SMF may support PDU Sessions for LADN where the access to a DN is only available in a specific LADN service area. This is further defined in clause 5.6.5.</w:t>
      </w:r>
    </w:p>
    <w:p w14:paraId="1FEC5E39" w14:textId="77777777" w:rsidR="00D40151" w:rsidRPr="00873B6C" w:rsidRDefault="00D40151" w:rsidP="00D40151">
      <w:r w:rsidRPr="00873B6C">
        <w:t>SMF may support PDU Sessions for a 5G VN group which offers a virtual data network capable of supporting 5G LAN-type service over the 5G system. This is further defined in clause 5.8.2.13.</w:t>
      </w:r>
    </w:p>
    <w:p w14:paraId="49E786A6" w14:textId="77777777" w:rsidR="00D40151" w:rsidRPr="00873B6C" w:rsidRDefault="00D40151" w:rsidP="00D40151">
      <w:r w:rsidRPr="00873B6C">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873B6C" w:rsidRDefault="00D40151" w:rsidP="00D40151">
      <w:pPr>
        <w:pStyle w:val="B1"/>
      </w:pPr>
      <w:r w:rsidRPr="00873B6C">
        <w:rPr>
          <w:rFonts w:eastAsia="SimSun"/>
        </w:rPr>
        <w:t>-</w:t>
      </w:r>
      <w:r w:rsidRPr="00873B6C">
        <w:rPr>
          <w:rFonts w:eastAsia="SimSun"/>
        </w:rPr>
        <w:tab/>
      </w:r>
      <w:r w:rsidRPr="00873B6C">
        <w:t>The allowed PDU Session Types and the default PDU Session Type.</w:t>
      </w:r>
    </w:p>
    <w:p w14:paraId="02102E7C" w14:textId="77777777" w:rsidR="00D40151" w:rsidRPr="00873B6C" w:rsidRDefault="00D40151" w:rsidP="00D40151">
      <w:pPr>
        <w:pStyle w:val="B1"/>
      </w:pPr>
      <w:r w:rsidRPr="00873B6C">
        <w:t>-</w:t>
      </w:r>
      <w:r w:rsidRPr="00873B6C">
        <w:tab/>
        <w:t>The allowed SSC modes and the default SSC mode.</w:t>
      </w:r>
    </w:p>
    <w:p w14:paraId="41D405CA" w14:textId="16E53A7F" w:rsidR="00D40151" w:rsidRPr="00873B6C" w:rsidRDefault="00D40151" w:rsidP="00D40151">
      <w:pPr>
        <w:pStyle w:val="B1"/>
      </w:pPr>
      <w:r w:rsidRPr="00873B6C">
        <w:lastRenderedPageBreak/>
        <w:t>-</w:t>
      </w:r>
      <w:r w:rsidRPr="00873B6C">
        <w:tab/>
        <w:t>QoS Information (refer to clause 5.7):</w:t>
      </w:r>
      <w:r w:rsidR="00704A9E" w:rsidRPr="00873B6C">
        <w:t xml:space="preserve"> </w:t>
      </w:r>
      <w:r w:rsidRPr="00873B6C">
        <w:t>the subscribed Session-AMBR, Default 5QI and Default ARP.</w:t>
      </w:r>
    </w:p>
    <w:p w14:paraId="18846984" w14:textId="77777777" w:rsidR="00BD3ADB" w:rsidRPr="00873B6C" w:rsidRDefault="00BD3ADB" w:rsidP="00D40151">
      <w:pPr>
        <w:pStyle w:val="B1"/>
      </w:pPr>
      <w:r w:rsidRPr="00873B6C">
        <w:t>-</w:t>
      </w:r>
      <w:r w:rsidRPr="00873B6C">
        <w:tab/>
        <w:t>The IP Index information.</w:t>
      </w:r>
    </w:p>
    <w:p w14:paraId="7DEEFFCE" w14:textId="52DB9C22" w:rsidR="00D40151" w:rsidRPr="00873B6C" w:rsidRDefault="00D40151" w:rsidP="00D40151">
      <w:pPr>
        <w:pStyle w:val="B1"/>
      </w:pPr>
      <w:r w:rsidRPr="00873B6C">
        <w:t>-</w:t>
      </w:r>
      <w:r w:rsidRPr="00873B6C">
        <w:tab/>
        <w:t>The static IP address/prefix.</w:t>
      </w:r>
    </w:p>
    <w:p w14:paraId="54D8887B" w14:textId="77777777" w:rsidR="00D40151" w:rsidRPr="00873B6C" w:rsidRDefault="00D40151" w:rsidP="00D40151">
      <w:pPr>
        <w:pStyle w:val="B1"/>
      </w:pPr>
      <w:r w:rsidRPr="00873B6C">
        <w:t>-</w:t>
      </w:r>
      <w:r w:rsidRPr="00873B6C">
        <w:tab/>
        <w:t>The subscribed User Plane Security Policy.</w:t>
      </w:r>
    </w:p>
    <w:p w14:paraId="11F8C043" w14:textId="77777777" w:rsidR="00D40151" w:rsidRPr="00873B6C" w:rsidRDefault="00D40151" w:rsidP="00D40151">
      <w:pPr>
        <w:pStyle w:val="B1"/>
      </w:pPr>
      <w:r w:rsidRPr="00873B6C">
        <w:t>-</w:t>
      </w:r>
      <w:r w:rsidRPr="00873B6C">
        <w:tab/>
        <w:t>the Charging Characteristics to be associated with the PDU Session. Whether this information is provided by the UDM to a SMF in another PLMN (for PDU Sessions in LBO mode) is defined by operator policies in the UDM/UDR.</w:t>
      </w:r>
    </w:p>
    <w:p w14:paraId="0EF47B32" w14:textId="423CF27B" w:rsidR="00D40151" w:rsidRPr="00873B6C" w:rsidRDefault="00D40151" w:rsidP="00D40151">
      <w:pPr>
        <w:pStyle w:val="NO"/>
      </w:pPr>
      <w:r w:rsidRPr="00873B6C">
        <w:t>NOTE 2:</w:t>
      </w:r>
      <w:r w:rsidRPr="00873B6C">
        <w:tab/>
        <w:t xml:space="preserve">The content of the Charging Characteristics as well as the usage of the Charging Characteristics by the SMF are defined in </w:t>
      </w:r>
      <w:r w:rsidR="00972E70" w:rsidRPr="00873B6C">
        <w:t>TS 32.255 [</w:t>
      </w:r>
      <w:r w:rsidR="00CD64F1" w:rsidRPr="00873B6C">
        <w:t>68</w:t>
      </w:r>
      <w:r w:rsidRPr="00873B6C">
        <w:t>].</w:t>
      </w:r>
    </w:p>
    <w:p w14:paraId="5426F120" w14:textId="77777777" w:rsidR="00D40151" w:rsidRPr="00873B6C" w:rsidRDefault="00D40151" w:rsidP="00D40151">
      <w:r w:rsidRPr="00873B6C">
        <w:t>A PDU Session may support:</w:t>
      </w:r>
    </w:p>
    <w:p w14:paraId="74FD28CC" w14:textId="77777777" w:rsidR="00D40151" w:rsidRPr="00873B6C" w:rsidRDefault="00D40151" w:rsidP="00D40151">
      <w:pPr>
        <w:pStyle w:val="B1"/>
      </w:pPr>
      <w:r w:rsidRPr="00873B6C">
        <w:t>(a)</w:t>
      </w:r>
      <w:r w:rsidRPr="00873B6C">
        <w:tab/>
        <w:t>a single-access PDU Connectivity Service, in which case the PDU Session is associated with a single access type at a given time, i.e. either 3GPP access or non-3GPP access; or</w:t>
      </w:r>
    </w:p>
    <w:p w14:paraId="2F130196" w14:textId="77777777" w:rsidR="00D40151" w:rsidRPr="00873B6C" w:rsidRDefault="00D40151" w:rsidP="00D40151">
      <w:pPr>
        <w:pStyle w:val="B1"/>
      </w:pPr>
      <w:r w:rsidRPr="00873B6C">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873B6C" w:rsidRDefault="00D40151" w:rsidP="00D40151">
      <w:r w:rsidRPr="00873B6C">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5C35CFEB" w:rsidR="00D40151" w:rsidRPr="00873B6C" w:rsidRDefault="00D40151" w:rsidP="00D40151">
      <w:pPr>
        <w:rPr>
          <w:lang w:eastAsia="zh-CN"/>
        </w:rPr>
      </w:pPr>
      <w:r w:rsidRPr="00873B6C">
        <w:t>A UE that is registered over multiple accesses chooses over which access to establish a PDU Session</w:t>
      </w:r>
      <w:r w:rsidRPr="00873B6C">
        <w:rPr>
          <w:lang w:eastAsia="zh-CN"/>
        </w:rPr>
        <w:t xml:space="preserve">. As defined in </w:t>
      </w:r>
      <w:r w:rsidR="00972E70" w:rsidRPr="00873B6C">
        <w:rPr>
          <w:lang w:eastAsia="zh-CN"/>
        </w:rPr>
        <w:t>TS 23.503 [</w:t>
      </w:r>
      <w:r w:rsidRPr="00873B6C">
        <w:rPr>
          <w:lang w:eastAsia="zh-CN"/>
        </w:rPr>
        <w:t xml:space="preserve">45], the HPLMN may send policies to the UE to guide the UE selection of the </w:t>
      </w:r>
      <w:r w:rsidRPr="00873B6C">
        <w:t>access over which to establish a PDU Session</w:t>
      </w:r>
      <w:r w:rsidRPr="00873B6C">
        <w:rPr>
          <w:lang w:eastAsia="zh-CN"/>
        </w:rPr>
        <w:t>.</w:t>
      </w:r>
    </w:p>
    <w:p w14:paraId="4BF24624" w14:textId="77777777" w:rsidR="00D40151" w:rsidRPr="00873B6C" w:rsidRDefault="00D40151" w:rsidP="00D40151">
      <w:pPr>
        <w:pStyle w:val="NO"/>
      </w:pPr>
      <w:r w:rsidRPr="00873B6C">
        <w:t>NOTE 3:</w:t>
      </w:r>
      <w:r w:rsidRPr="00873B6C">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873B6C" w:rsidRDefault="00D40151" w:rsidP="00D40151">
      <w:pPr>
        <w:rPr>
          <w:lang w:eastAsia="zh-CN"/>
        </w:rPr>
      </w:pPr>
      <w:r w:rsidRPr="00873B6C">
        <w:rPr>
          <w:lang w:eastAsia="zh-CN"/>
        </w:rPr>
        <w:t>A UE may request to move a single-access PDU Session between 3GPP and Non 3GPP accesses. The decision to move single-access PDU Sessions between 3GPP access and Non 3GPP access is made on a per PDU Session basis, i.e. the UE may</w:t>
      </w:r>
      <w:r w:rsidRPr="00873B6C">
        <w:t xml:space="preserve">, at a given time, </w:t>
      </w:r>
      <w:r w:rsidRPr="00873B6C">
        <w:rPr>
          <w:lang w:eastAsia="zh-CN"/>
        </w:rPr>
        <w:t>have some PDU Sessions using 3GPP access while other PDU Sessions are using Non 3GPP access.</w:t>
      </w:r>
    </w:p>
    <w:p w14:paraId="5E8F892E" w14:textId="495F2E96" w:rsidR="00D40151" w:rsidRPr="00873B6C" w:rsidRDefault="00D40151" w:rsidP="00D40151">
      <w:r w:rsidRPr="00873B6C">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972E70" w:rsidRPr="00873B6C">
        <w:t>TS 24.501 [</w:t>
      </w:r>
      <w:r w:rsidRPr="00873B6C">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972E70" w:rsidRPr="00873B6C">
        <w:t>TS 24.501 [</w:t>
      </w:r>
      <w:r w:rsidRPr="00873B6C">
        <w:t>47].</w:t>
      </w:r>
    </w:p>
    <w:p w14:paraId="438E93E2" w14:textId="45E0201B" w:rsidR="00D40151" w:rsidRPr="00873B6C" w:rsidRDefault="00D40151" w:rsidP="00D40151">
      <w:r w:rsidRPr="00873B6C">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972E70" w:rsidRPr="00873B6C">
        <w:t>TS 24.501 [</w:t>
      </w:r>
      <w:r w:rsidRPr="00873B6C">
        <w:t>47]:</w:t>
      </w:r>
    </w:p>
    <w:p w14:paraId="4FCC2DB3" w14:textId="77777777" w:rsidR="00D40151" w:rsidRPr="00873B6C" w:rsidRDefault="00D40151" w:rsidP="00D40151">
      <w:pPr>
        <w:pStyle w:val="B1"/>
      </w:pPr>
      <w:r w:rsidRPr="00873B6C">
        <w:t>(a)</w:t>
      </w:r>
      <w:r w:rsidRPr="00873B6C">
        <w:tab/>
        <w:t>PDU Session Type.</w:t>
      </w:r>
    </w:p>
    <w:p w14:paraId="67021BBE" w14:textId="36500C54" w:rsidR="00D40151" w:rsidRPr="00873B6C" w:rsidRDefault="00D40151" w:rsidP="00D40151">
      <w:pPr>
        <w:pStyle w:val="B1"/>
      </w:pPr>
      <w:r w:rsidRPr="00873B6C">
        <w:t>(b)</w:t>
      </w:r>
      <w:r w:rsidRPr="00873B6C">
        <w:tab/>
        <w:t xml:space="preserve">S-NSSAI of the HPLMN that matches the application (that is triggering the PDU Session Request) within the NSSP in the URSP rules or within the UE Local Configuration as defined in clause 6.1.2.2.1 of </w:t>
      </w:r>
      <w:r w:rsidR="00972E70" w:rsidRPr="00873B6C">
        <w:t>TS 23.503 [</w:t>
      </w:r>
      <w:r w:rsidRPr="00873B6C">
        <w:t>45].</w:t>
      </w:r>
    </w:p>
    <w:p w14:paraId="56EF418E" w14:textId="77777777" w:rsidR="00D40151" w:rsidRPr="00873B6C" w:rsidRDefault="00D40151" w:rsidP="00D40151">
      <w:pPr>
        <w:pStyle w:val="NO"/>
      </w:pPr>
      <w:r w:rsidRPr="00873B6C">
        <w:t>NOTE 4:</w:t>
      </w:r>
      <w:r w:rsidRPr="00873B6C">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873B6C" w:rsidRDefault="00D40151" w:rsidP="00D40151">
      <w:pPr>
        <w:pStyle w:val="B1"/>
      </w:pPr>
      <w:r w:rsidRPr="00873B6C">
        <w:t>(c)</w:t>
      </w:r>
      <w:r w:rsidRPr="00873B6C">
        <w:tab/>
        <w:t>S-NSSAI of the Serving PLMN from the Allowed NSSAI, corresponding to the S-NSSAI of the HPLMN (b).</w:t>
      </w:r>
    </w:p>
    <w:p w14:paraId="6ED24424" w14:textId="33D8C0E9" w:rsidR="00D40151" w:rsidRPr="00873B6C" w:rsidRDefault="00D40151" w:rsidP="00D40151">
      <w:pPr>
        <w:pStyle w:val="NO"/>
      </w:pPr>
      <w:r w:rsidRPr="00873B6C">
        <w:lastRenderedPageBreak/>
        <w:t>NOTE 5:</w:t>
      </w:r>
      <w:r w:rsidRPr="00873B6C">
        <w:tab/>
      </w:r>
      <w:r w:rsidR="005C1DEB" w:rsidRPr="00873B6C">
        <w:t xml:space="preserve">In </w:t>
      </w:r>
      <w:r w:rsidRPr="00873B6C">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873B6C" w:rsidRDefault="00D40151" w:rsidP="00D40151">
      <w:pPr>
        <w:pStyle w:val="NO"/>
      </w:pPr>
      <w:r w:rsidRPr="00873B6C">
        <w:t>NOTE 6:</w:t>
      </w:r>
      <w:r w:rsidRPr="00873B6C">
        <w:tab/>
        <w:t>In roaming scenarios the UE provides in the PDU Session Request both the S-NSSAI of the HPLMN (b) and the S-NSSAI of the VPLMN from the Allowed NSSAI (c) that maps to the S-NSSAI of the HPLMN.</w:t>
      </w:r>
    </w:p>
    <w:p w14:paraId="2612BC49" w14:textId="77777777" w:rsidR="00D40151" w:rsidRPr="00873B6C" w:rsidRDefault="00D40151" w:rsidP="00D40151">
      <w:pPr>
        <w:pStyle w:val="B1"/>
      </w:pPr>
      <w:r w:rsidRPr="00873B6C">
        <w:t>(d)</w:t>
      </w:r>
      <w:r w:rsidRPr="00873B6C">
        <w:tab/>
        <w:t>DNN (Data Network Name).</w:t>
      </w:r>
    </w:p>
    <w:p w14:paraId="37CE07E6" w14:textId="77777777" w:rsidR="00D40151" w:rsidRPr="00873B6C" w:rsidRDefault="00D40151" w:rsidP="00D40151">
      <w:pPr>
        <w:pStyle w:val="B1"/>
      </w:pPr>
      <w:r w:rsidRPr="00873B6C">
        <w:t>(e)</w:t>
      </w:r>
      <w:r w:rsidRPr="00873B6C">
        <w:tab/>
        <w:t>SSC mode (Service and Session Continuity mode defined in clause 5.6.9.2).</w:t>
      </w:r>
    </w:p>
    <w:p w14:paraId="7611D20D" w14:textId="77777777" w:rsidR="00D40151" w:rsidRPr="00873B6C" w:rsidRDefault="00D40151" w:rsidP="00D40151">
      <w:r w:rsidRPr="00873B6C">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873B6C" w:rsidRDefault="00D40151" w:rsidP="00D40151">
      <w:pPr>
        <w:pStyle w:val="TH"/>
      </w:pPr>
      <w:bookmarkStart w:id="1312" w:name="_CRTable5_6_11"/>
      <w:r w:rsidRPr="00873B6C">
        <w:t xml:space="preserve">Table </w:t>
      </w:r>
      <w:bookmarkEnd w:id="1312"/>
      <w:r w:rsidRPr="00873B6C">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873B6C" w14:paraId="3445196C" w14:textId="77777777" w:rsidTr="00FD5C4A">
        <w:trPr>
          <w:cantSplit/>
          <w:jc w:val="center"/>
        </w:trPr>
        <w:tc>
          <w:tcPr>
            <w:tcW w:w="2463" w:type="dxa"/>
          </w:tcPr>
          <w:p w14:paraId="2FF71444" w14:textId="77777777" w:rsidR="00D40151" w:rsidRPr="00873B6C" w:rsidRDefault="00D40151" w:rsidP="009D14FB">
            <w:pPr>
              <w:pStyle w:val="TAH"/>
            </w:pPr>
            <w:r w:rsidRPr="00873B6C">
              <w:t>PDU Session attribute</w:t>
            </w:r>
          </w:p>
        </w:tc>
        <w:tc>
          <w:tcPr>
            <w:tcW w:w="2890" w:type="dxa"/>
          </w:tcPr>
          <w:p w14:paraId="34D13598" w14:textId="77777777" w:rsidR="00D40151" w:rsidRPr="00873B6C" w:rsidRDefault="00D40151" w:rsidP="009D14FB">
            <w:pPr>
              <w:pStyle w:val="TAH"/>
            </w:pPr>
            <w:r w:rsidRPr="00873B6C">
              <w:t>May be modified later during the lifetime of the PDU Session</w:t>
            </w:r>
          </w:p>
        </w:tc>
        <w:tc>
          <w:tcPr>
            <w:tcW w:w="2887" w:type="dxa"/>
          </w:tcPr>
          <w:p w14:paraId="5901C73B" w14:textId="77777777" w:rsidR="00D40151" w:rsidRPr="00873B6C" w:rsidRDefault="00D40151" w:rsidP="009D14FB">
            <w:pPr>
              <w:pStyle w:val="TAH"/>
            </w:pPr>
            <w:r w:rsidRPr="00873B6C">
              <w:t>Notes</w:t>
            </w:r>
          </w:p>
        </w:tc>
      </w:tr>
      <w:tr w:rsidR="00D40151" w:rsidRPr="00873B6C" w14:paraId="5C4DB076" w14:textId="77777777" w:rsidTr="00FD5C4A">
        <w:trPr>
          <w:cantSplit/>
          <w:jc w:val="center"/>
        </w:trPr>
        <w:tc>
          <w:tcPr>
            <w:tcW w:w="2463" w:type="dxa"/>
          </w:tcPr>
          <w:p w14:paraId="59ED08CB" w14:textId="77777777" w:rsidR="00D40151" w:rsidRPr="00873B6C" w:rsidRDefault="00D40151" w:rsidP="009D14FB">
            <w:pPr>
              <w:pStyle w:val="TAL"/>
            </w:pPr>
            <w:r w:rsidRPr="00873B6C">
              <w:t>S-NSSAI of the HPLMN</w:t>
            </w:r>
          </w:p>
        </w:tc>
        <w:tc>
          <w:tcPr>
            <w:tcW w:w="2890" w:type="dxa"/>
          </w:tcPr>
          <w:p w14:paraId="7577354D" w14:textId="77777777" w:rsidR="00D40151" w:rsidRPr="00873B6C" w:rsidRDefault="00D40151" w:rsidP="009D14FB">
            <w:pPr>
              <w:pStyle w:val="TAL"/>
            </w:pPr>
            <w:r w:rsidRPr="00873B6C">
              <w:t>No</w:t>
            </w:r>
          </w:p>
        </w:tc>
        <w:tc>
          <w:tcPr>
            <w:tcW w:w="2887" w:type="dxa"/>
          </w:tcPr>
          <w:p w14:paraId="7944B7D7" w14:textId="77777777" w:rsidR="00D40151" w:rsidRPr="00873B6C" w:rsidRDefault="00D40151" w:rsidP="009D14FB">
            <w:pPr>
              <w:pStyle w:val="TAL"/>
            </w:pPr>
            <w:r w:rsidRPr="00873B6C">
              <w:t>(Note 1) (Note 2)</w:t>
            </w:r>
          </w:p>
        </w:tc>
      </w:tr>
      <w:tr w:rsidR="00D40151" w:rsidRPr="00873B6C" w14:paraId="3FB4D360" w14:textId="77777777" w:rsidTr="00FD5C4A">
        <w:trPr>
          <w:cantSplit/>
          <w:jc w:val="center"/>
        </w:trPr>
        <w:tc>
          <w:tcPr>
            <w:tcW w:w="2463" w:type="dxa"/>
          </w:tcPr>
          <w:p w14:paraId="2B77745D" w14:textId="77777777" w:rsidR="00D40151" w:rsidRPr="00873B6C" w:rsidRDefault="00D40151" w:rsidP="009D14FB">
            <w:pPr>
              <w:pStyle w:val="TAL"/>
            </w:pPr>
            <w:r w:rsidRPr="00873B6C">
              <w:t>S-NSSAI of the Serving PLMN</w:t>
            </w:r>
          </w:p>
        </w:tc>
        <w:tc>
          <w:tcPr>
            <w:tcW w:w="2890" w:type="dxa"/>
          </w:tcPr>
          <w:p w14:paraId="20B7D0EE" w14:textId="77777777" w:rsidR="00D40151" w:rsidRPr="00873B6C" w:rsidRDefault="00D40151" w:rsidP="009D14FB">
            <w:pPr>
              <w:pStyle w:val="TAL"/>
            </w:pPr>
            <w:r w:rsidRPr="00873B6C">
              <w:t>Yes</w:t>
            </w:r>
          </w:p>
        </w:tc>
        <w:tc>
          <w:tcPr>
            <w:tcW w:w="2887" w:type="dxa"/>
          </w:tcPr>
          <w:p w14:paraId="46D6F654" w14:textId="77777777" w:rsidR="00D40151" w:rsidRPr="00873B6C" w:rsidRDefault="00D40151" w:rsidP="009D14FB">
            <w:pPr>
              <w:pStyle w:val="TAL"/>
            </w:pPr>
            <w:r w:rsidRPr="00873B6C">
              <w:t>(Note 1) (Note 2) (Note 4)</w:t>
            </w:r>
          </w:p>
        </w:tc>
      </w:tr>
      <w:tr w:rsidR="00D40151" w:rsidRPr="00873B6C" w14:paraId="1EEFC1CA" w14:textId="77777777" w:rsidTr="00FD5C4A">
        <w:trPr>
          <w:cantSplit/>
          <w:jc w:val="center"/>
        </w:trPr>
        <w:tc>
          <w:tcPr>
            <w:tcW w:w="2463" w:type="dxa"/>
          </w:tcPr>
          <w:p w14:paraId="171DE212" w14:textId="77777777" w:rsidR="00D40151" w:rsidRPr="00873B6C" w:rsidRDefault="00D40151" w:rsidP="009D14FB">
            <w:pPr>
              <w:pStyle w:val="TAL"/>
            </w:pPr>
            <w:r w:rsidRPr="00873B6C">
              <w:t>DNN (Data Network Name)</w:t>
            </w:r>
          </w:p>
        </w:tc>
        <w:tc>
          <w:tcPr>
            <w:tcW w:w="2890" w:type="dxa"/>
          </w:tcPr>
          <w:p w14:paraId="707677FF" w14:textId="77777777" w:rsidR="00D40151" w:rsidRPr="00873B6C" w:rsidRDefault="00D40151" w:rsidP="009D14FB">
            <w:pPr>
              <w:pStyle w:val="TAL"/>
            </w:pPr>
            <w:r w:rsidRPr="00873B6C">
              <w:t>No</w:t>
            </w:r>
          </w:p>
        </w:tc>
        <w:tc>
          <w:tcPr>
            <w:tcW w:w="2887" w:type="dxa"/>
          </w:tcPr>
          <w:p w14:paraId="0BE658F7" w14:textId="77777777" w:rsidR="00D40151" w:rsidRPr="00873B6C" w:rsidRDefault="00D40151" w:rsidP="009D14FB">
            <w:pPr>
              <w:pStyle w:val="TAL"/>
            </w:pPr>
            <w:r w:rsidRPr="00873B6C">
              <w:t>(Note 1) (Note 2)</w:t>
            </w:r>
          </w:p>
        </w:tc>
      </w:tr>
      <w:tr w:rsidR="00D40151" w:rsidRPr="00873B6C" w14:paraId="36742F5A" w14:textId="77777777" w:rsidTr="00FD5C4A">
        <w:trPr>
          <w:cantSplit/>
          <w:jc w:val="center"/>
        </w:trPr>
        <w:tc>
          <w:tcPr>
            <w:tcW w:w="2463" w:type="dxa"/>
          </w:tcPr>
          <w:p w14:paraId="6EEA35DA" w14:textId="77777777" w:rsidR="00D40151" w:rsidRPr="00873B6C" w:rsidRDefault="00D40151" w:rsidP="009D14FB">
            <w:pPr>
              <w:pStyle w:val="TAL"/>
            </w:pPr>
            <w:r w:rsidRPr="00873B6C">
              <w:t>PDU Session Type</w:t>
            </w:r>
          </w:p>
        </w:tc>
        <w:tc>
          <w:tcPr>
            <w:tcW w:w="2890" w:type="dxa"/>
          </w:tcPr>
          <w:p w14:paraId="2A20D360" w14:textId="77777777" w:rsidR="00D40151" w:rsidRPr="00873B6C" w:rsidRDefault="00D40151" w:rsidP="009D14FB">
            <w:pPr>
              <w:pStyle w:val="TAL"/>
            </w:pPr>
            <w:r w:rsidRPr="00873B6C">
              <w:t>No</w:t>
            </w:r>
          </w:p>
        </w:tc>
        <w:tc>
          <w:tcPr>
            <w:tcW w:w="2887" w:type="dxa"/>
          </w:tcPr>
          <w:p w14:paraId="4859C1FF" w14:textId="77777777" w:rsidR="00D40151" w:rsidRPr="00873B6C" w:rsidRDefault="00D40151" w:rsidP="009D14FB">
            <w:pPr>
              <w:pStyle w:val="TAL"/>
            </w:pPr>
            <w:r w:rsidRPr="00873B6C">
              <w:t>(Note 1)</w:t>
            </w:r>
          </w:p>
        </w:tc>
      </w:tr>
      <w:tr w:rsidR="00D40151" w:rsidRPr="00873B6C" w14:paraId="0D3B0F7C" w14:textId="77777777" w:rsidTr="00FD5C4A">
        <w:trPr>
          <w:cantSplit/>
          <w:jc w:val="center"/>
        </w:trPr>
        <w:tc>
          <w:tcPr>
            <w:tcW w:w="2463" w:type="dxa"/>
          </w:tcPr>
          <w:p w14:paraId="22494FC3" w14:textId="77777777" w:rsidR="00D40151" w:rsidRPr="00873B6C" w:rsidRDefault="00D40151" w:rsidP="009D14FB">
            <w:pPr>
              <w:pStyle w:val="TAL"/>
            </w:pPr>
            <w:r w:rsidRPr="00873B6C">
              <w:t>SSC mode</w:t>
            </w:r>
          </w:p>
        </w:tc>
        <w:tc>
          <w:tcPr>
            <w:tcW w:w="2890" w:type="dxa"/>
          </w:tcPr>
          <w:p w14:paraId="7185AAED" w14:textId="77777777" w:rsidR="00D40151" w:rsidRPr="00873B6C" w:rsidRDefault="00D40151" w:rsidP="009D14FB">
            <w:pPr>
              <w:pStyle w:val="TAL"/>
            </w:pPr>
            <w:r w:rsidRPr="00873B6C">
              <w:t>No</w:t>
            </w:r>
          </w:p>
        </w:tc>
        <w:tc>
          <w:tcPr>
            <w:tcW w:w="2887" w:type="dxa"/>
          </w:tcPr>
          <w:p w14:paraId="2FFB440E" w14:textId="77777777" w:rsidR="00D40151" w:rsidRPr="00873B6C" w:rsidRDefault="00D40151" w:rsidP="009D14FB">
            <w:pPr>
              <w:pStyle w:val="TAL"/>
            </w:pPr>
            <w:r w:rsidRPr="00873B6C">
              <w:t>(Note 2)</w:t>
            </w:r>
          </w:p>
          <w:p w14:paraId="556E8D99" w14:textId="77777777" w:rsidR="00D40151" w:rsidRPr="00873B6C" w:rsidRDefault="00D40151" w:rsidP="009D14FB">
            <w:pPr>
              <w:pStyle w:val="TAL"/>
            </w:pPr>
            <w:r w:rsidRPr="00873B6C">
              <w:t>The semantics of Service and Session Continuity mode is defined in clause 5.6.9.2</w:t>
            </w:r>
          </w:p>
        </w:tc>
      </w:tr>
      <w:tr w:rsidR="00D40151" w:rsidRPr="00873B6C" w14:paraId="4274340A" w14:textId="77777777" w:rsidTr="00FD5C4A">
        <w:trPr>
          <w:cantSplit/>
          <w:jc w:val="center"/>
        </w:trPr>
        <w:tc>
          <w:tcPr>
            <w:tcW w:w="2463" w:type="dxa"/>
          </w:tcPr>
          <w:p w14:paraId="2DCDC6EA" w14:textId="77777777" w:rsidR="00D40151" w:rsidRPr="00873B6C" w:rsidRDefault="00D40151" w:rsidP="009D14FB">
            <w:pPr>
              <w:pStyle w:val="TAL"/>
            </w:pPr>
            <w:r w:rsidRPr="00873B6C">
              <w:t>PDU Session Id</w:t>
            </w:r>
          </w:p>
        </w:tc>
        <w:tc>
          <w:tcPr>
            <w:tcW w:w="2890" w:type="dxa"/>
          </w:tcPr>
          <w:p w14:paraId="4A54C1B2" w14:textId="77777777" w:rsidR="00D40151" w:rsidRPr="00873B6C" w:rsidRDefault="00D40151" w:rsidP="009D14FB">
            <w:pPr>
              <w:pStyle w:val="TAL"/>
            </w:pPr>
            <w:r w:rsidRPr="00873B6C">
              <w:t>No</w:t>
            </w:r>
          </w:p>
        </w:tc>
        <w:tc>
          <w:tcPr>
            <w:tcW w:w="2887" w:type="dxa"/>
          </w:tcPr>
          <w:p w14:paraId="30979678" w14:textId="77777777" w:rsidR="00D40151" w:rsidRPr="00873B6C" w:rsidRDefault="00D40151" w:rsidP="009D14FB">
            <w:pPr>
              <w:pStyle w:val="TAL"/>
            </w:pPr>
          </w:p>
        </w:tc>
      </w:tr>
      <w:tr w:rsidR="00D40151" w:rsidRPr="00873B6C" w14:paraId="63035573" w14:textId="77777777" w:rsidTr="00FD5C4A">
        <w:trPr>
          <w:cantSplit/>
          <w:jc w:val="center"/>
        </w:trPr>
        <w:tc>
          <w:tcPr>
            <w:tcW w:w="2463" w:type="dxa"/>
          </w:tcPr>
          <w:p w14:paraId="7EFD312E" w14:textId="77777777" w:rsidR="00D40151" w:rsidRPr="00873B6C" w:rsidRDefault="00D40151" w:rsidP="009D14FB">
            <w:pPr>
              <w:pStyle w:val="TAL"/>
            </w:pPr>
            <w:r w:rsidRPr="00873B6C">
              <w:t>User Plane Security Enforcement information</w:t>
            </w:r>
          </w:p>
        </w:tc>
        <w:tc>
          <w:tcPr>
            <w:tcW w:w="2890" w:type="dxa"/>
          </w:tcPr>
          <w:p w14:paraId="5254B1D6" w14:textId="77777777" w:rsidR="00D40151" w:rsidRPr="00873B6C" w:rsidRDefault="00D40151" w:rsidP="009D14FB">
            <w:pPr>
              <w:pStyle w:val="TAL"/>
            </w:pPr>
            <w:r w:rsidRPr="00873B6C">
              <w:t>No</w:t>
            </w:r>
          </w:p>
        </w:tc>
        <w:tc>
          <w:tcPr>
            <w:tcW w:w="2887" w:type="dxa"/>
          </w:tcPr>
          <w:p w14:paraId="16374FF6" w14:textId="77777777" w:rsidR="00D40151" w:rsidRPr="00873B6C" w:rsidRDefault="00D40151" w:rsidP="009D14FB">
            <w:pPr>
              <w:pStyle w:val="TAL"/>
            </w:pPr>
            <w:r w:rsidRPr="00873B6C">
              <w:t>(Note 3)</w:t>
            </w:r>
          </w:p>
        </w:tc>
      </w:tr>
      <w:tr w:rsidR="00D40151" w:rsidRPr="00873B6C" w14:paraId="02F04DC2" w14:textId="77777777" w:rsidTr="00FD5C4A">
        <w:trPr>
          <w:cantSplit/>
          <w:jc w:val="center"/>
        </w:trPr>
        <w:tc>
          <w:tcPr>
            <w:tcW w:w="2463" w:type="dxa"/>
          </w:tcPr>
          <w:p w14:paraId="11F208C1" w14:textId="77777777" w:rsidR="00D40151" w:rsidRPr="00873B6C" w:rsidRDefault="00D40151" w:rsidP="009D14FB">
            <w:pPr>
              <w:pStyle w:val="TAL"/>
            </w:pPr>
            <w:r w:rsidRPr="00873B6C">
              <w:t>Multi-access PDU Connectivity Service</w:t>
            </w:r>
          </w:p>
        </w:tc>
        <w:tc>
          <w:tcPr>
            <w:tcW w:w="2890" w:type="dxa"/>
          </w:tcPr>
          <w:p w14:paraId="0D467DC7" w14:textId="77777777" w:rsidR="00D40151" w:rsidRPr="00873B6C" w:rsidRDefault="00D40151" w:rsidP="009D14FB">
            <w:pPr>
              <w:pStyle w:val="TAL"/>
            </w:pPr>
            <w:r w:rsidRPr="00873B6C">
              <w:t>No</w:t>
            </w:r>
          </w:p>
        </w:tc>
        <w:tc>
          <w:tcPr>
            <w:tcW w:w="2887" w:type="dxa"/>
          </w:tcPr>
          <w:p w14:paraId="6453EE78" w14:textId="77777777" w:rsidR="00D40151" w:rsidRPr="00873B6C" w:rsidRDefault="00D40151" w:rsidP="009D14FB">
            <w:pPr>
              <w:pStyle w:val="TAL"/>
            </w:pPr>
            <w:r w:rsidRPr="00873B6C">
              <w:t>Indicates if the PDU Session provides multi-access PDU Connectivity Service or not.</w:t>
            </w:r>
          </w:p>
        </w:tc>
      </w:tr>
      <w:tr w:rsidR="00D40151" w:rsidRPr="00873B6C" w14:paraId="047C654E" w14:textId="77777777" w:rsidTr="00FD5C4A">
        <w:trPr>
          <w:cantSplit/>
          <w:jc w:val="center"/>
        </w:trPr>
        <w:tc>
          <w:tcPr>
            <w:tcW w:w="8240" w:type="dxa"/>
            <w:gridSpan w:val="3"/>
          </w:tcPr>
          <w:p w14:paraId="57E3CEFC" w14:textId="77777777" w:rsidR="00D40151" w:rsidRPr="00873B6C" w:rsidRDefault="00D40151" w:rsidP="009D14FB">
            <w:pPr>
              <w:pStyle w:val="TAN"/>
            </w:pPr>
            <w:r w:rsidRPr="00873B6C">
              <w:t>NOTE 1:</w:t>
            </w:r>
            <w:r w:rsidRPr="00873B6C">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873B6C" w:rsidRDefault="00D40151" w:rsidP="009D14FB">
            <w:pPr>
              <w:pStyle w:val="TAN"/>
            </w:pPr>
            <w:r w:rsidRPr="00873B6C">
              <w:t>NOTE 2:</w:t>
            </w:r>
            <w:r w:rsidRPr="00873B6C">
              <w:tab/>
              <w:t>S-NSSAI(s) and DNN are used by AMF to select the SMF(s) to handle a new session. Refer to clause 6.3.2.</w:t>
            </w:r>
          </w:p>
          <w:p w14:paraId="66883A0E" w14:textId="77777777" w:rsidR="00D40151" w:rsidRPr="00873B6C" w:rsidRDefault="00D40151" w:rsidP="009D14FB">
            <w:pPr>
              <w:pStyle w:val="TAN"/>
            </w:pPr>
            <w:r w:rsidRPr="00873B6C">
              <w:t>NOTE 3:</w:t>
            </w:r>
            <w:r w:rsidRPr="00873B6C">
              <w:tab/>
              <w:t>User Plane Security Enforcement information is defined in clause 5.10.3.</w:t>
            </w:r>
          </w:p>
          <w:p w14:paraId="13281A0F" w14:textId="77777777" w:rsidR="00D40151" w:rsidRPr="00873B6C" w:rsidRDefault="00D40151" w:rsidP="009D14FB">
            <w:pPr>
              <w:pStyle w:val="TAN"/>
            </w:pPr>
            <w:r w:rsidRPr="00873B6C">
              <w:t>NOTE 4:</w:t>
            </w:r>
            <w:r w:rsidRPr="00873B6C">
              <w:tab/>
              <w:t>The S-NSSAI value of the Serving PLMN associated to a PDU Session can change whenever the UE moves to a different PLMN, while keeping that PDU Session.</w:t>
            </w:r>
          </w:p>
        </w:tc>
      </w:tr>
    </w:tbl>
    <w:p w14:paraId="33470920" w14:textId="77777777" w:rsidR="00D40151" w:rsidRPr="00873B6C" w:rsidRDefault="00D40151" w:rsidP="00D40151">
      <w:pPr>
        <w:pStyle w:val="FP"/>
      </w:pPr>
    </w:p>
    <w:p w14:paraId="4735D569" w14:textId="77777777" w:rsidR="00D40151" w:rsidRPr="00873B6C" w:rsidRDefault="00D40151" w:rsidP="00D40151">
      <w:r w:rsidRPr="00873B6C">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873B6C" w:rsidRDefault="00D40151" w:rsidP="00D40151">
      <w:pPr>
        <w:pStyle w:val="NO"/>
      </w:pPr>
      <w:r w:rsidRPr="00873B6C">
        <w:t>NOTE 7:</w:t>
      </w:r>
      <w:r w:rsidRPr="00873B6C">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873B6C" w:rsidRDefault="00D40151" w:rsidP="00D40151">
      <w:r w:rsidRPr="00873B6C">
        <w:t>A UE may establish multiple PDU Sessions, to the same data network or to different data networks, via</w:t>
      </w:r>
      <w:r w:rsidRPr="00873B6C">
        <w:rPr>
          <w:rFonts w:eastAsia="SimSun"/>
          <w:lang w:eastAsia="zh-CN"/>
        </w:rPr>
        <w:t xml:space="preserve"> </w:t>
      </w:r>
      <w:r w:rsidRPr="00873B6C">
        <w:t>3GPP and via and Non-3GPP access networks at the same time.</w:t>
      </w:r>
    </w:p>
    <w:p w14:paraId="0EB8BEF3" w14:textId="77777777" w:rsidR="00D40151" w:rsidRPr="00873B6C" w:rsidRDefault="00D40151" w:rsidP="00D40151">
      <w:r w:rsidRPr="00873B6C">
        <w:t>A UE may establish multiple PDU Sessions to the same Data Network and served by different UPF terminating N6.</w:t>
      </w:r>
    </w:p>
    <w:p w14:paraId="60823429" w14:textId="77777777" w:rsidR="00D40151" w:rsidRPr="00873B6C" w:rsidRDefault="00D40151" w:rsidP="00D40151">
      <w:r w:rsidRPr="00873B6C">
        <w:t>A UE with multiple established PDU Sessions may be served by different SMF.</w:t>
      </w:r>
    </w:p>
    <w:p w14:paraId="7E17F876" w14:textId="77777777" w:rsidR="00D40151" w:rsidRPr="00873B6C" w:rsidRDefault="00D40151" w:rsidP="00D40151">
      <w:r w:rsidRPr="00873B6C">
        <w:t>The SMF shall be registered and deregistered on a per PDU Session granularity in the UDM.</w:t>
      </w:r>
    </w:p>
    <w:p w14:paraId="78A3B276" w14:textId="77777777" w:rsidR="00D40151" w:rsidRPr="00873B6C" w:rsidRDefault="00D40151" w:rsidP="00D40151">
      <w:r w:rsidRPr="00873B6C">
        <w:t>The user plane paths of different PDU Sessions (to the same or to different DNN) belonging to the same UE may be completely disjoint between the AN and the UPF interfacing with the DN.</w:t>
      </w:r>
    </w:p>
    <w:p w14:paraId="3B0252C7" w14:textId="77777777" w:rsidR="00D40151" w:rsidRPr="00873B6C" w:rsidRDefault="00D40151" w:rsidP="00D40151">
      <w:r w:rsidRPr="00873B6C">
        <w:lastRenderedPageBreak/>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873B6C" w:rsidRDefault="00D40151" w:rsidP="00D40151">
      <w:pPr>
        <w:pStyle w:val="NO"/>
      </w:pPr>
      <w:r w:rsidRPr="00873B6C">
        <w:t>NOTE 8:</w:t>
      </w:r>
      <w:r w:rsidRPr="00873B6C">
        <w:tab/>
      </w:r>
      <w:bookmarkStart w:id="1313" w:name="historyclause"/>
      <w:r w:rsidRPr="00873B6C">
        <w:t xml:space="preserve">User Plane resources for </w:t>
      </w:r>
      <w:bookmarkEnd w:id="1313"/>
      <w:r w:rsidRPr="00873B6C">
        <w:t xml:space="preserve">PDU Sessions of a UE, except for regulatory prioritized service like Emergency Services and MPS, can be deactivated by the </w:t>
      </w:r>
      <w:r w:rsidRPr="00873B6C">
        <w:rPr>
          <w:lang w:eastAsia="zh-CN"/>
        </w:rPr>
        <w:t>SMF</w:t>
      </w:r>
      <w:r w:rsidRPr="00873B6C">
        <w:t xml:space="preserve"> </w:t>
      </w:r>
      <w:r w:rsidRPr="00873B6C">
        <w:rPr>
          <w:lang w:eastAsia="zh-CN"/>
        </w:rPr>
        <w:t>if</w:t>
      </w:r>
      <w:r w:rsidRPr="00873B6C">
        <w:t xml:space="preserve"> </w:t>
      </w:r>
      <w:r w:rsidRPr="00873B6C">
        <w:rPr>
          <w:lang w:eastAsia="zh-CN"/>
        </w:rPr>
        <w:t>the</w:t>
      </w:r>
      <w:r w:rsidRPr="00873B6C">
        <w:t xml:space="preserve"> UE </w:t>
      </w:r>
      <w:r w:rsidRPr="00873B6C">
        <w:rPr>
          <w:lang w:eastAsia="zh-CN"/>
        </w:rPr>
        <w:t>is only reachable</w:t>
      </w:r>
      <w:r w:rsidRPr="00873B6C">
        <w:t xml:space="preserve"> for regulatory prioritized service</w:t>
      </w:r>
      <w:r w:rsidRPr="00873B6C">
        <w:rPr>
          <w:lang w:eastAsia="zh-CN"/>
        </w:rPr>
        <w:t>s</w:t>
      </w:r>
      <w:r w:rsidRPr="00873B6C">
        <w:t>.</w:t>
      </w:r>
    </w:p>
    <w:p w14:paraId="05C4E711" w14:textId="28C1847F" w:rsidR="00D40151" w:rsidRPr="00873B6C" w:rsidRDefault="00D40151" w:rsidP="00D40151">
      <w:bookmarkStart w:id="1314" w:name="_Toc20149763"/>
      <w:r w:rsidRPr="00873B6C">
        <w:t>The SMF serving a PDU session (i.e. Anchor)</w:t>
      </w:r>
      <w:r w:rsidR="003B51EA" w:rsidRPr="00873B6C">
        <w:t xml:space="preserve"> can be changed</w:t>
      </w:r>
      <w:r w:rsidRPr="00873B6C">
        <w:t xml:space="preserve"> during lifetime of the PDU session</w:t>
      </w:r>
      <w:r w:rsidR="003B51EA" w:rsidRPr="00873B6C">
        <w:t xml:space="preserve"> either within the same SMF set or, if the Context Transfer Procedures as specified in clause 4.26 of </w:t>
      </w:r>
      <w:r w:rsidR="00972E70" w:rsidRPr="00873B6C">
        <w:t>TS 23.502 [</w:t>
      </w:r>
      <w:r w:rsidR="003B51EA" w:rsidRPr="00873B6C">
        <w:t>3] are supported, between SMFs in different SMF sets</w:t>
      </w:r>
      <w:r w:rsidRPr="00873B6C">
        <w:t>.</w:t>
      </w:r>
    </w:p>
    <w:p w14:paraId="6DE121CF" w14:textId="77777777" w:rsidR="00D40151" w:rsidRPr="00873B6C" w:rsidRDefault="00D40151" w:rsidP="00D40151">
      <w:pPr>
        <w:pStyle w:val="Heading3"/>
        <w:rPr>
          <w:lang w:eastAsia="ko-KR"/>
        </w:rPr>
      </w:pPr>
      <w:bookmarkStart w:id="1315" w:name="_CR5_6_2"/>
      <w:bookmarkStart w:id="1316" w:name="_Toc27846555"/>
      <w:bookmarkStart w:id="1317" w:name="_Toc36187680"/>
      <w:bookmarkStart w:id="1318" w:name="_Toc45183584"/>
      <w:bookmarkStart w:id="1319" w:name="_Toc47342426"/>
      <w:bookmarkStart w:id="1320" w:name="_Toc51769126"/>
      <w:bookmarkStart w:id="1321" w:name="_Toc201157076"/>
      <w:bookmarkEnd w:id="1315"/>
      <w:r w:rsidRPr="00873B6C">
        <w:rPr>
          <w:lang w:eastAsia="ko-KR"/>
        </w:rPr>
        <w:t>5.6.2</w:t>
      </w:r>
      <w:r w:rsidRPr="00873B6C">
        <w:rPr>
          <w:lang w:eastAsia="ko-KR"/>
        </w:rPr>
        <w:tab/>
        <w:t>Interaction between AMF and SMF</w:t>
      </w:r>
      <w:bookmarkEnd w:id="1314"/>
      <w:bookmarkEnd w:id="1316"/>
      <w:bookmarkEnd w:id="1317"/>
      <w:bookmarkEnd w:id="1318"/>
      <w:bookmarkEnd w:id="1319"/>
      <w:bookmarkEnd w:id="1320"/>
      <w:bookmarkEnd w:id="1321"/>
    </w:p>
    <w:p w14:paraId="70DAE999" w14:textId="77777777" w:rsidR="00D40151" w:rsidRPr="00873B6C" w:rsidRDefault="00D40151" w:rsidP="00D40151">
      <w:r w:rsidRPr="00873B6C">
        <w:t>The AMF and SMF are separate Network Functions.</w:t>
      </w:r>
    </w:p>
    <w:p w14:paraId="194085E6" w14:textId="77777777" w:rsidR="00D40151" w:rsidRPr="00873B6C" w:rsidRDefault="00D40151" w:rsidP="00D40151">
      <w:pPr>
        <w:rPr>
          <w:lang w:eastAsia="ko-KR"/>
        </w:rPr>
      </w:pPr>
      <w:r w:rsidRPr="00873B6C">
        <w:rPr>
          <w:lang w:eastAsia="ko-KR"/>
        </w:rPr>
        <w:t>N1 related interaction with SMF is as follows:</w:t>
      </w:r>
    </w:p>
    <w:p w14:paraId="5B5D9102" w14:textId="77777777" w:rsidR="00D40151" w:rsidRPr="00873B6C" w:rsidRDefault="00D40151" w:rsidP="00D40151">
      <w:pPr>
        <w:pStyle w:val="B1"/>
      </w:pPr>
      <w:r w:rsidRPr="00873B6C">
        <w:t>-</w:t>
      </w:r>
      <w:r w:rsidRPr="00873B6C">
        <w:tab/>
        <w:t>The single N1 termination point is located in AMF. The AMF forwards SM related NAS information to the SMF</w:t>
      </w:r>
      <w:r w:rsidRPr="00873B6C">
        <w:rPr>
          <w:lang w:eastAsia="zh-CN"/>
        </w:rPr>
        <w:t xml:space="preserve"> based on the PDU Session ID in the NAS message</w:t>
      </w:r>
      <w:r w:rsidRPr="00873B6C">
        <w:t>. Further SM NAS exchanges (e.g. SM NAS message responses) for N1 NAS signalling received by the AMF over an access (e.g. 3GPP access or non-3GPP access) are transported over the same access.</w:t>
      </w:r>
    </w:p>
    <w:p w14:paraId="2F90EC5E" w14:textId="77777777" w:rsidR="00D40151" w:rsidRPr="00873B6C" w:rsidRDefault="00D40151" w:rsidP="00D40151">
      <w:pPr>
        <w:pStyle w:val="B1"/>
      </w:pPr>
      <w:r w:rsidRPr="00873B6C">
        <w:t>-</w:t>
      </w:r>
      <w:r w:rsidRPr="00873B6C">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873B6C" w:rsidRDefault="00D40151" w:rsidP="00D40151">
      <w:pPr>
        <w:pStyle w:val="B1"/>
      </w:pPr>
      <w:r w:rsidRPr="00873B6C">
        <w:t>-</w:t>
      </w:r>
      <w:r w:rsidRPr="00873B6C">
        <w:tab/>
        <w:t>SMF handles the Session management part of NAS signalling exchanged with the UE.</w:t>
      </w:r>
    </w:p>
    <w:p w14:paraId="5DF6A088" w14:textId="77777777" w:rsidR="00D40151" w:rsidRPr="00873B6C" w:rsidRDefault="00D40151" w:rsidP="00D40151">
      <w:pPr>
        <w:pStyle w:val="B1"/>
      </w:pPr>
      <w:r w:rsidRPr="00873B6C">
        <w:t>-</w:t>
      </w:r>
      <w:r w:rsidRPr="00873B6C">
        <w:tab/>
        <w:t>The UE shall only initiate PDU Session Establishment in RM-REGISTERED state.</w:t>
      </w:r>
    </w:p>
    <w:p w14:paraId="5979588C" w14:textId="77777777" w:rsidR="00D40151" w:rsidRPr="00873B6C" w:rsidRDefault="00D40151" w:rsidP="00D40151">
      <w:pPr>
        <w:pStyle w:val="B1"/>
      </w:pPr>
      <w:r w:rsidRPr="00873B6C">
        <w:t>-</w:t>
      </w:r>
      <w:r w:rsidRPr="00873B6C">
        <w:tab/>
        <w:t>When a SMF has been selected to serve a specific PDU Session, AMF has to ensure that all NAS signalling related with this PDU Session is handled by the same SMF instance.</w:t>
      </w:r>
    </w:p>
    <w:p w14:paraId="1F46D637" w14:textId="77777777" w:rsidR="00D40151" w:rsidRPr="00873B6C" w:rsidRDefault="00D40151" w:rsidP="00D40151">
      <w:pPr>
        <w:pStyle w:val="B1"/>
      </w:pPr>
      <w:r w:rsidRPr="00873B6C">
        <w:t>-</w:t>
      </w:r>
      <w:r w:rsidRPr="00873B6C">
        <w:tab/>
        <w:t xml:space="preserve">Upon successful PDU Session Establishment, </w:t>
      </w:r>
      <w:r w:rsidRPr="00873B6C">
        <w:rPr>
          <w:lang w:eastAsia="zh-CN"/>
        </w:rPr>
        <w:t xml:space="preserve">the </w:t>
      </w:r>
      <w:r w:rsidRPr="00873B6C">
        <w:rPr>
          <w:rFonts w:eastAsia="SimSun"/>
          <w:lang w:eastAsia="zh-CN"/>
        </w:rPr>
        <w:t xml:space="preserve">AMF and </w:t>
      </w:r>
      <w:r w:rsidRPr="00873B6C">
        <w:rPr>
          <w:lang w:eastAsia="zh-CN"/>
        </w:rPr>
        <w:t>SMF stores the Access Type that the PDU Session is associated</w:t>
      </w:r>
      <w:r w:rsidRPr="00873B6C">
        <w:t>.</w:t>
      </w:r>
    </w:p>
    <w:p w14:paraId="7B94D046" w14:textId="77777777" w:rsidR="00D40151" w:rsidRPr="00873B6C" w:rsidRDefault="00D40151" w:rsidP="00D40151">
      <w:r w:rsidRPr="00873B6C">
        <w:t>N11 related interaction with SMF is as follows:</w:t>
      </w:r>
    </w:p>
    <w:p w14:paraId="1706F489" w14:textId="77777777" w:rsidR="00D40151" w:rsidRPr="00873B6C" w:rsidRDefault="00D40151" w:rsidP="00D40151">
      <w:pPr>
        <w:pStyle w:val="B1"/>
      </w:pPr>
      <w:r w:rsidRPr="00873B6C">
        <w:t>-</w:t>
      </w:r>
      <w:r w:rsidRPr="00873B6C">
        <w:tab/>
        <w:t>The AMF reports the reachability of the UE based on a subscription from the SMF, including:</w:t>
      </w:r>
    </w:p>
    <w:p w14:paraId="00DFDCDA" w14:textId="77777777" w:rsidR="00D40151" w:rsidRPr="00873B6C" w:rsidRDefault="00D40151" w:rsidP="00D40151">
      <w:pPr>
        <w:pStyle w:val="B2"/>
      </w:pPr>
      <w:r w:rsidRPr="00873B6C">
        <w:t>-</w:t>
      </w:r>
      <w:r w:rsidRPr="00873B6C">
        <w:tab/>
        <w:t>The UE location information with respect to the area of interest indicated by the SMF.</w:t>
      </w:r>
    </w:p>
    <w:p w14:paraId="272849B3" w14:textId="77777777" w:rsidR="00D40151" w:rsidRPr="00873B6C" w:rsidRDefault="00D40151" w:rsidP="00D40151">
      <w:pPr>
        <w:pStyle w:val="B1"/>
      </w:pPr>
      <w:r w:rsidRPr="00873B6C">
        <w:t>-</w:t>
      </w:r>
      <w:r w:rsidRPr="00873B6C">
        <w:tab/>
        <w:t>The SMF indicates to AMF when a PDU Session has been released.</w:t>
      </w:r>
    </w:p>
    <w:p w14:paraId="4FA01BD7" w14:textId="77777777" w:rsidR="00D40151" w:rsidRPr="00873B6C" w:rsidRDefault="00D40151" w:rsidP="00D40151">
      <w:pPr>
        <w:pStyle w:val="B1"/>
      </w:pPr>
      <w:r w:rsidRPr="00873B6C">
        <w:t>-</w:t>
      </w:r>
      <w:r w:rsidRPr="00873B6C">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873B6C" w:rsidRDefault="00D40151" w:rsidP="00D40151">
      <w:pPr>
        <w:rPr>
          <w:lang w:eastAsia="ko-KR"/>
        </w:rPr>
      </w:pPr>
      <w:r w:rsidRPr="00873B6C">
        <w:rPr>
          <w:lang w:eastAsia="ko-KR"/>
        </w:rPr>
        <w:t>N2 related interaction with SMF is as follows:</w:t>
      </w:r>
    </w:p>
    <w:p w14:paraId="06EA3A70" w14:textId="77777777" w:rsidR="00D40151" w:rsidRPr="00873B6C" w:rsidRDefault="00D40151" w:rsidP="00D40151">
      <w:pPr>
        <w:pStyle w:val="B1"/>
        <w:rPr>
          <w:lang w:eastAsia="zh-CN"/>
        </w:rPr>
      </w:pPr>
      <w:r w:rsidRPr="00873B6C">
        <w:t>-</w:t>
      </w:r>
      <w:r w:rsidRPr="00873B6C">
        <w:tab/>
        <w:t>Some N2 signalling (such as handover related signalling) may require the action of both AMF and SMF. In such case, the AMF is responsible to ensure the coordination between AMF and SMF.</w:t>
      </w:r>
      <w:r w:rsidRPr="00873B6C">
        <w:rPr>
          <w:lang w:eastAsia="zh-CN"/>
        </w:rPr>
        <w:t xml:space="preserve"> The AMF may forward the SM N2 signalling towards the corresponding SMF based on the PDU Session ID in N2 signalling.</w:t>
      </w:r>
    </w:p>
    <w:p w14:paraId="62D0979A" w14:textId="5BF50F3F" w:rsidR="00D40151" w:rsidRPr="00873B6C" w:rsidRDefault="00D40151" w:rsidP="00D40151">
      <w:pPr>
        <w:pStyle w:val="B1"/>
      </w:pPr>
      <w:r w:rsidRPr="00873B6C">
        <w:t>-</w:t>
      </w:r>
      <w:r w:rsidRPr="00873B6C">
        <w:tab/>
        <w:t xml:space="preserve">SMF shall provide PDU Session Type together with PDU Session ID to NG-RAN, in order to facilitate NG-RAN to apply suitable header compression mechanism to packet of different PDU type. Details refer to </w:t>
      </w:r>
      <w:r w:rsidR="00972E70" w:rsidRPr="00873B6C">
        <w:t>TS 38.413 [</w:t>
      </w:r>
      <w:r w:rsidRPr="00873B6C">
        <w:t>34].</w:t>
      </w:r>
    </w:p>
    <w:p w14:paraId="7754E2A2" w14:textId="77777777" w:rsidR="00D40151" w:rsidRPr="00873B6C" w:rsidRDefault="00D40151" w:rsidP="00D40151">
      <w:r w:rsidRPr="00873B6C">
        <w:t>N3 related interaction with SMF is as follows:</w:t>
      </w:r>
    </w:p>
    <w:p w14:paraId="0E874C14" w14:textId="77777777" w:rsidR="00D40151" w:rsidRPr="00873B6C" w:rsidRDefault="00D40151" w:rsidP="00D40151">
      <w:pPr>
        <w:pStyle w:val="B1"/>
      </w:pPr>
      <w:r w:rsidRPr="00873B6C">
        <w:t>-</w:t>
      </w:r>
      <w:r w:rsidRPr="00873B6C">
        <w:tab/>
        <w:t>Selective activation and deactivation of UP connection of existing PDU Session is defined in clause 5.6.8.</w:t>
      </w:r>
    </w:p>
    <w:p w14:paraId="777E4C0A" w14:textId="77777777" w:rsidR="00D40151" w:rsidRPr="00873B6C" w:rsidRDefault="00D40151" w:rsidP="00D40151">
      <w:r w:rsidRPr="00873B6C">
        <w:t>N4 related interaction with SMF is as follows:</w:t>
      </w:r>
    </w:p>
    <w:p w14:paraId="4338255A" w14:textId="77777777" w:rsidR="00D40151" w:rsidRPr="00873B6C" w:rsidRDefault="00D40151" w:rsidP="00D40151">
      <w:pPr>
        <w:pStyle w:val="B1"/>
      </w:pPr>
      <w:r w:rsidRPr="00873B6C">
        <w:lastRenderedPageBreak/>
        <w:t>-</w:t>
      </w:r>
      <w:r w:rsidRPr="00873B6C">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1C996BEA" w:rsidR="00D40151" w:rsidRPr="00873B6C" w:rsidRDefault="00D40151" w:rsidP="00D40151">
      <w:r w:rsidRPr="00873B6C">
        <w:t>The AMF is responsible of selecting the SMF per procedures described in clause 6.3.2. For this purpose, it gets subscription data from the UDM that are defined in that clause. Furthermore, it retrieves the subscribed UE-AMBR from the UDM</w:t>
      </w:r>
      <w:r w:rsidR="00472CD7" w:rsidRPr="00873B6C">
        <w:t xml:space="preserve"> and</w:t>
      </w:r>
      <w:r w:rsidRPr="00873B6C">
        <w:t xml:space="preserve"> optionally dynamic serving network UE-AMBR from PCF based on operator local policy</w:t>
      </w:r>
      <w:r w:rsidR="00472CD7" w:rsidRPr="00873B6C">
        <w:t xml:space="preserve"> and</w:t>
      </w:r>
      <w:r w:rsidRPr="00873B6C">
        <w:t xml:space="preserve"> sends to the (R)AN as defined in clause 5.7.2</w:t>
      </w:r>
    </w:p>
    <w:p w14:paraId="310DADC1" w14:textId="20535C45" w:rsidR="00D40151" w:rsidRPr="00873B6C" w:rsidRDefault="00D40151" w:rsidP="00D40151">
      <w:r w:rsidRPr="00873B6C">
        <w:t>AMF-SMF interactions to support LADN</w:t>
      </w:r>
      <w:r w:rsidR="000C6BFB" w:rsidRPr="00873B6C">
        <w:t xml:space="preserve"> or LADN per DNN and S-NSSAI</w:t>
      </w:r>
      <w:r w:rsidRPr="00873B6C">
        <w:t xml:space="preserve"> are defined in clause 5.6.5</w:t>
      </w:r>
      <w:r w:rsidR="000C6BFB" w:rsidRPr="00873B6C">
        <w:t xml:space="preserve"> and in clause 5.6.5a</w:t>
      </w:r>
      <w:r w:rsidRPr="00873B6C">
        <w:t>.</w:t>
      </w:r>
    </w:p>
    <w:p w14:paraId="74CF944F" w14:textId="5497B9E9" w:rsidR="00D40151" w:rsidRPr="00873B6C" w:rsidRDefault="00D40151" w:rsidP="00D40151">
      <w:r w:rsidRPr="00873B6C">
        <w:t>In order to support charging and to fulfil regulatory requirement (in order to provide NPLI</w:t>
      </w:r>
      <w:r w:rsidR="00960CDA" w:rsidRPr="00873B6C">
        <w:t xml:space="preserve"> (</w:t>
      </w:r>
      <w:r w:rsidRPr="00873B6C">
        <w:t>Network Provided Location Information</w:t>
      </w:r>
      <w:r w:rsidR="00960CDA" w:rsidRPr="00873B6C">
        <w:t>)</w:t>
      </w:r>
      <w:r w:rsidRPr="00873B6C">
        <w:t xml:space="preserve"> as defined in </w:t>
      </w:r>
      <w:r w:rsidR="00972E70" w:rsidRPr="00873B6C">
        <w:t>TS 23.228 [</w:t>
      </w:r>
      <w:r w:rsidRPr="00873B6C">
        <w:t>15]) related with the set-up, modification and release of IMS Voice calls or with SMS transfer the following applies</w:t>
      </w:r>
    </w:p>
    <w:p w14:paraId="5A799AAD" w14:textId="77777777" w:rsidR="00D40151" w:rsidRPr="00873B6C" w:rsidRDefault="00D40151" w:rsidP="00D40151">
      <w:pPr>
        <w:pStyle w:val="B1"/>
      </w:pPr>
      <w:r w:rsidRPr="00873B6C">
        <w:t>-</w:t>
      </w:r>
      <w:r w:rsidRPr="00873B6C">
        <w:tab/>
        <w:t>At the time of the PDU Session Establishment, the AMF provides the SMF with the PEI of the UE if the PEI is available at the AMF.</w:t>
      </w:r>
    </w:p>
    <w:p w14:paraId="062FC1FB" w14:textId="60E764E5" w:rsidR="00D40151" w:rsidRPr="00873B6C" w:rsidRDefault="00D40151" w:rsidP="00D40151">
      <w:pPr>
        <w:pStyle w:val="B1"/>
      </w:pPr>
      <w:r w:rsidRPr="00873B6C">
        <w:t>-</w:t>
      </w:r>
      <w:r w:rsidRPr="00873B6C">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972E70" w:rsidRPr="00873B6C">
        <w:t>TS 23.228 [</w:t>
      </w:r>
      <w:r w:rsidRPr="00873B6C">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873B6C" w:rsidRDefault="00D40151" w:rsidP="00D40151">
      <w:r w:rsidRPr="00873B6C">
        <w:t>The User Location Information, the access type and the UE Time Zone may be further provided by SMF to PCF. The PCF</w:t>
      </w:r>
      <w:r w:rsidR="00704A9E" w:rsidRPr="00873B6C">
        <w:t xml:space="preserve"> </w:t>
      </w:r>
      <w:r w:rsidRPr="00873B6C">
        <w:t>may get this information from the SMF in order to provide NPLI to applications (such as IMS) that have requested it.</w:t>
      </w:r>
    </w:p>
    <w:p w14:paraId="1211C982" w14:textId="77777777" w:rsidR="00D40151" w:rsidRPr="00873B6C" w:rsidRDefault="00D40151" w:rsidP="00D40151">
      <w:r w:rsidRPr="00873B6C">
        <w:t>The User Location Information may correspond to:</w:t>
      </w:r>
    </w:p>
    <w:p w14:paraId="4F6C3041" w14:textId="39577406" w:rsidR="00D40151" w:rsidRPr="00873B6C" w:rsidRDefault="00D40151" w:rsidP="00D40151">
      <w:pPr>
        <w:pStyle w:val="B1"/>
      </w:pPr>
      <w:r w:rsidRPr="00873B6C">
        <w:t>-</w:t>
      </w:r>
      <w:r w:rsidRPr="00873B6C">
        <w:tab/>
        <w:t xml:space="preserve">In the case of 3GPP access: </w:t>
      </w:r>
      <w:r w:rsidR="0054498C" w:rsidRPr="00873B6C">
        <w:t xml:space="preserve">TAI, </w:t>
      </w:r>
      <w:r w:rsidRPr="00873B6C">
        <w:t>Cell-Id. The AMF includes only the Primary Cell-Id even if it had received also the Cell-Id of the Primary cell in the Secondary RAN node from NG-RAN.</w:t>
      </w:r>
    </w:p>
    <w:p w14:paraId="04841804" w14:textId="647FB267" w:rsidR="00D40151" w:rsidRPr="00873B6C" w:rsidRDefault="00D40151" w:rsidP="00D40151">
      <w:pPr>
        <w:pStyle w:val="B1"/>
      </w:pPr>
      <w:r w:rsidRPr="00873B6C">
        <w:t>-</w:t>
      </w:r>
      <w:r w:rsidRPr="00873B6C">
        <w:tab/>
        <w:t xml:space="preserve">In the case of Untrusted non-3GPP access: </w:t>
      </w:r>
      <w:r w:rsidR="0054498C" w:rsidRPr="00873B6C">
        <w:t xml:space="preserve">TAI, </w:t>
      </w:r>
      <w:r w:rsidR="0053150F" w:rsidRPr="00873B6C">
        <w:t xml:space="preserve">the </w:t>
      </w:r>
      <w:r w:rsidRPr="00873B6C">
        <w:t xml:space="preserve">UE local IP address used to reach the N3IWF and optionally </w:t>
      </w:r>
      <w:r w:rsidR="0053150F" w:rsidRPr="00873B6C">
        <w:t xml:space="preserve">the </w:t>
      </w:r>
      <w:r w:rsidRPr="00873B6C">
        <w:t>UDP source port number if NAT is detected.</w:t>
      </w:r>
    </w:p>
    <w:p w14:paraId="5A9A023B" w14:textId="7C24B804" w:rsidR="00D40151" w:rsidRPr="00873B6C" w:rsidRDefault="00D40151" w:rsidP="00D40151">
      <w:pPr>
        <w:pStyle w:val="B1"/>
      </w:pPr>
      <w:r w:rsidRPr="00873B6C">
        <w:t>-</w:t>
      </w:r>
      <w:r w:rsidRPr="00873B6C">
        <w:tab/>
        <w:t xml:space="preserve">In the case of Trusted non-3GPP access: </w:t>
      </w:r>
      <w:r w:rsidR="0054498C" w:rsidRPr="00873B6C">
        <w:t xml:space="preserve">TAI, </w:t>
      </w:r>
      <w:r w:rsidRPr="00873B6C">
        <w:t xml:space="preserve">TNAP/TWAP Identifier, </w:t>
      </w:r>
      <w:r w:rsidR="0053150F" w:rsidRPr="00873B6C">
        <w:t xml:space="preserve">the </w:t>
      </w:r>
      <w:r w:rsidRPr="00873B6C">
        <w:t xml:space="preserve">UE/N5CW device local IP address used to reach the TNGF/TWIF and optionally </w:t>
      </w:r>
      <w:r w:rsidR="0053150F" w:rsidRPr="00873B6C">
        <w:t xml:space="preserve">the </w:t>
      </w:r>
      <w:r w:rsidRPr="00873B6C">
        <w:t>UDP source port number if NAT is detected.</w:t>
      </w:r>
    </w:p>
    <w:p w14:paraId="615474C9" w14:textId="77777777" w:rsidR="00D40151" w:rsidRPr="00873B6C" w:rsidRDefault="00D40151" w:rsidP="00D40151">
      <w:pPr>
        <w:pStyle w:val="B1"/>
      </w:pPr>
      <w:r w:rsidRPr="00873B6C">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873B6C" w:rsidRDefault="00D40151" w:rsidP="00D40151">
      <w:pPr>
        <w:pStyle w:val="B2"/>
      </w:pPr>
      <w:r w:rsidRPr="00873B6C">
        <w:t>-</w:t>
      </w:r>
      <w:r w:rsidRPr="00873B6C">
        <w:tab/>
        <w:t>the BSSID (see IEEE Std 802.11-2012 [106]);</w:t>
      </w:r>
    </w:p>
    <w:p w14:paraId="3077FCF3" w14:textId="77777777" w:rsidR="00D40151" w:rsidRPr="00873B6C" w:rsidRDefault="00D40151" w:rsidP="00D40151">
      <w:pPr>
        <w:pStyle w:val="B2"/>
      </w:pPr>
      <w:r w:rsidRPr="00873B6C">
        <w:t>-</w:t>
      </w:r>
      <w:r w:rsidRPr="00873B6C">
        <w:tab/>
        <w:t>civic address information of the TNAP to which the UE is attached.</w:t>
      </w:r>
    </w:p>
    <w:p w14:paraId="062FCDB9" w14:textId="77777777" w:rsidR="00D40151" w:rsidRPr="00873B6C" w:rsidRDefault="00D40151" w:rsidP="00D40151">
      <w:pPr>
        <w:pStyle w:val="B1"/>
      </w:pPr>
      <w:r w:rsidRPr="00873B6C">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873B6C" w:rsidRDefault="00D40151" w:rsidP="00D40151">
      <w:pPr>
        <w:pStyle w:val="B2"/>
      </w:pPr>
      <w:r w:rsidRPr="00873B6C">
        <w:t>-</w:t>
      </w:r>
      <w:r w:rsidRPr="00873B6C">
        <w:tab/>
        <w:t>the BSSID (see IEEE Std 802.11-2012 [106]);</w:t>
      </w:r>
    </w:p>
    <w:p w14:paraId="13A50665" w14:textId="77777777" w:rsidR="00D40151" w:rsidRPr="00873B6C" w:rsidRDefault="00D40151" w:rsidP="00D40151">
      <w:pPr>
        <w:pStyle w:val="B2"/>
      </w:pPr>
      <w:r w:rsidRPr="00873B6C">
        <w:t>-</w:t>
      </w:r>
      <w:r w:rsidRPr="00873B6C">
        <w:tab/>
        <w:t>civic address information of the TWAP to which the UE is attached.</w:t>
      </w:r>
    </w:p>
    <w:p w14:paraId="3CF2FDE0" w14:textId="04165C31" w:rsidR="00D40151" w:rsidRPr="00873B6C" w:rsidRDefault="00D40151" w:rsidP="00D40151">
      <w:pPr>
        <w:pStyle w:val="NO"/>
      </w:pPr>
      <w:r w:rsidRPr="00873B6C">
        <w:t>NOTE 1:</w:t>
      </w:r>
      <w:r w:rsidRPr="00873B6C">
        <w:tab/>
        <w:t>The SSID can be the same for several TNAPs/TWAPs and SSID only cannot provide a location, but it might be sufficient for charging.</w:t>
      </w:r>
    </w:p>
    <w:p w14:paraId="51024228" w14:textId="77777777" w:rsidR="00D40151" w:rsidRPr="00873B6C" w:rsidRDefault="00D40151" w:rsidP="00D40151">
      <w:pPr>
        <w:pStyle w:val="NO"/>
      </w:pPr>
      <w:r w:rsidRPr="00873B6C">
        <w:t>NOTE 2:</w:t>
      </w:r>
      <w:r w:rsidRPr="00873B6C">
        <w:tab/>
        <w:t>the BSSID associated with a TNAP/TWAP is assumed to be static.</w:t>
      </w:r>
    </w:p>
    <w:p w14:paraId="5EB0D2D1" w14:textId="4829B801" w:rsidR="00D40151" w:rsidRPr="00873B6C" w:rsidRDefault="00D40151" w:rsidP="00D40151">
      <w:pPr>
        <w:pStyle w:val="B1"/>
      </w:pPr>
      <w:r w:rsidRPr="00873B6C">
        <w:t>-</w:t>
      </w:r>
      <w:r w:rsidRPr="00873B6C">
        <w:tab/>
        <w:t xml:space="preserve">In the case of W-5GAN access: The User Location Information for W-5GAN is defined in </w:t>
      </w:r>
      <w:r w:rsidR="00972E70" w:rsidRPr="00873B6C">
        <w:t>TS 23.316 [</w:t>
      </w:r>
      <w:r w:rsidRPr="00873B6C">
        <w:t>84].</w:t>
      </w:r>
    </w:p>
    <w:p w14:paraId="40949768" w14:textId="54BC70D9" w:rsidR="00D40151" w:rsidRPr="00873B6C" w:rsidRDefault="00D40151" w:rsidP="00D40151">
      <w:r w:rsidRPr="00873B6C">
        <w:lastRenderedPageBreak/>
        <w:t xml:space="preserve">When the SMF receives a request to provide Access Network Information reporting while there is no action to carry out towards the 5G-AN or the UE (e.g. no </w:t>
      </w:r>
      <w:r w:rsidR="00426DE4" w:rsidRPr="00873B6C">
        <w:t>QoS Flow</w:t>
      </w:r>
      <w:r w:rsidRPr="00873B6C">
        <w:t xml:space="preserve"> to create / Update / modify), the SMF may request User Location Information from the AMF.</w:t>
      </w:r>
    </w:p>
    <w:p w14:paraId="1F8157CF" w14:textId="77777777" w:rsidR="00D40151" w:rsidRPr="00873B6C" w:rsidRDefault="00D40151" w:rsidP="00D40151">
      <w:r w:rsidRPr="00873B6C">
        <w:t>The interaction between AMF and SMF(s) for the case of a I-SMF insertion, relocation or removal for a PDU session is described in clause 5.34.</w:t>
      </w:r>
    </w:p>
    <w:p w14:paraId="401270AC" w14:textId="77777777" w:rsidR="00D40151" w:rsidRPr="00873B6C" w:rsidRDefault="00D40151" w:rsidP="00D40151">
      <w:pPr>
        <w:pStyle w:val="Heading3"/>
      </w:pPr>
      <w:bookmarkStart w:id="1322" w:name="_CR5_6_3"/>
      <w:bookmarkStart w:id="1323" w:name="_Toc20149764"/>
      <w:bookmarkStart w:id="1324" w:name="_Toc27846556"/>
      <w:bookmarkStart w:id="1325" w:name="_Toc36187681"/>
      <w:bookmarkStart w:id="1326" w:name="_Toc45183585"/>
      <w:bookmarkStart w:id="1327" w:name="_Toc47342427"/>
      <w:bookmarkStart w:id="1328" w:name="_Toc51769127"/>
      <w:bookmarkStart w:id="1329" w:name="_Toc201157077"/>
      <w:bookmarkEnd w:id="1322"/>
      <w:r w:rsidRPr="00873B6C">
        <w:t>5.6.3</w:t>
      </w:r>
      <w:r w:rsidRPr="00873B6C">
        <w:tab/>
        <w:t>Roaming</w:t>
      </w:r>
      <w:bookmarkEnd w:id="1323"/>
      <w:bookmarkEnd w:id="1324"/>
      <w:bookmarkEnd w:id="1325"/>
      <w:bookmarkEnd w:id="1326"/>
      <w:bookmarkEnd w:id="1327"/>
      <w:bookmarkEnd w:id="1328"/>
      <w:bookmarkEnd w:id="1329"/>
    </w:p>
    <w:p w14:paraId="1E795379" w14:textId="77777777" w:rsidR="00D40151" w:rsidRPr="00873B6C" w:rsidRDefault="00D40151" w:rsidP="00D40151">
      <w:pPr>
        <w:rPr>
          <w:rFonts w:eastAsia="SimSun"/>
        </w:rPr>
      </w:pPr>
      <w:r w:rsidRPr="00873B6C">
        <w:rPr>
          <w:rFonts w:eastAsia="SimSun"/>
        </w:rPr>
        <w:t>In the case of roaming the 5GC supports following possible deployments scenarios for a PDU Session:</w:t>
      </w:r>
    </w:p>
    <w:p w14:paraId="2F840C65" w14:textId="77777777" w:rsidR="00D40151" w:rsidRPr="00873B6C" w:rsidRDefault="00D40151" w:rsidP="00D40151">
      <w:pPr>
        <w:pStyle w:val="B1"/>
        <w:rPr>
          <w:noProof/>
        </w:rPr>
      </w:pPr>
      <w:r w:rsidRPr="00873B6C">
        <w:rPr>
          <w:noProof/>
        </w:rPr>
        <w:t>-</w:t>
      </w:r>
      <w:r w:rsidRPr="00873B6C">
        <w:rPr>
          <w:noProof/>
        </w:rPr>
        <w:tab/>
        <w:t>"Local Break Out" (LBO) where the SMF and all UPF(s) involved by the PDU Session are under control of the VPLMN.</w:t>
      </w:r>
    </w:p>
    <w:p w14:paraId="77DC4472" w14:textId="766CA350" w:rsidR="00D40151" w:rsidRPr="00873B6C" w:rsidRDefault="00D40151" w:rsidP="00D40151">
      <w:pPr>
        <w:pStyle w:val="B1"/>
        <w:rPr>
          <w:lang w:eastAsia="zh-CN"/>
        </w:rPr>
      </w:pPr>
      <w:r w:rsidRPr="00873B6C">
        <w:rPr>
          <w:noProof/>
        </w:rPr>
        <w:t>-</w:t>
      </w:r>
      <w:r w:rsidRPr="00873B6C">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873B6C">
        <w:t>In this case the SMF in HPLMN selects the UPF(s) in the HPLMN and the SMF in VPLMN selects the UPF(s) in the VPLMN. This is further described in clause 6.3.</w:t>
      </w:r>
      <w:r w:rsidR="00D51D1B" w:rsidRPr="00873B6C">
        <w:t xml:space="preserve"> Home Routed with Session Breakout in VPLMN (HR-SBO) is described in clause 6.7 of </w:t>
      </w:r>
      <w:r w:rsidR="00972E70" w:rsidRPr="00873B6C">
        <w:t>TS 23.548 [</w:t>
      </w:r>
      <w:r w:rsidR="00D51D1B" w:rsidRPr="00873B6C">
        <w:t>130].</w:t>
      </w:r>
    </w:p>
    <w:p w14:paraId="583ACDBC" w14:textId="77777777" w:rsidR="00D40151" w:rsidRPr="00873B6C" w:rsidRDefault="00D40151" w:rsidP="00D40151">
      <w:pPr>
        <w:pStyle w:val="NO"/>
        <w:rPr>
          <w:rFonts w:eastAsia="SimSun"/>
          <w:lang w:eastAsia="zh-CN"/>
        </w:rPr>
      </w:pPr>
      <w:r w:rsidRPr="00873B6C">
        <w:t>NOTE 1:</w:t>
      </w:r>
      <w:r w:rsidRPr="00873B6C">
        <w:tab/>
        <w:t>The use of an UPF in the VPLMN e.g. enables VPLMN charging, VPLMN LI and minimizes the impact on the HPLMN of the UE mobility within the VPLMN (e.g. for scenarios where SSC mode 1 applies).</w:t>
      </w:r>
    </w:p>
    <w:p w14:paraId="62F39D1B" w14:textId="77777777" w:rsidR="00D40151" w:rsidRPr="00873B6C" w:rsidRDefault="00D40151" w:rsidP="00D40151">
      <w:pPr>
        <w:rPr>
          <w:rFonts w:eastAsia="SimSun"/>
          <w:lang w:eastAsia="zh-CN"/>
        </w:rPr>
      </w:pPr>
      <w:r w:rsidRPr="00873B6C">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873B6C" w:rsidRDefault="00D40151" w:rsidP="00D40151">
      <w:pPr>
        <w:rPr>
          <w:lang w:eastAsia="zh-CN"/>
        </w:rPr>
      </w:pPr>
      <w:r w:rsidRPr="00873B6C">
        <w:rPr>
          <w:lang w:eastAsia="zh-CN"/>
        </w:rPr>
        <w:t>In the case of PDU Sessions per Home Routed deployment:</w:t>
      </w:r>
    </w:p>
    <w:p w14:paraId="2402AA9F" w14:textId="77777777" w:rsidR="00D40151" w:rsidRPr="00873B6C" w:rsidRDefault="00D40151" w:rsidP="00D40151">
      <w:pPr>
        <w:pStyle w:val="B1"/>
      </w:pPr>
      <w:r w:rsidRPr="00873B6C">
        <w:t>-</w:t>
      </w:r>
      <w:r w:rsidRPr="00873B6C">
        <w:tab/>
        <w:t>NAS SM terminates in the SMF in VPLMN.</w:t>
      </w:r>
    </w:p>
    <w:p w14:paraId="15586065" w14:textId="77777777" w:rsidR="00D40151" w:rsidRPr="00873B6C" w:rsidRDefault="00D40151" w:rsidP="00D40151">
      <w:pPr>
        <w:pStyle w:val="B1"/>
      </w:pPr>
      <w:r w:rsidRPr="00873B6C">
        <w:t>-</w:t>
      </w:r>
      <w:r w:rsidRPr="00873B6C">
        <w:tab/>
        <w:t>The SMF in VPLMN forwards to the SMF in the HPLMN SM related information.</w:t>
      </w:r>
    </w:p>
    <w:p w14:paraId="7A76B2DE" w14:textId="77777777" w:rsidR="00D40151" w:rsidRPr="00873B6C" w:rsidRDefault="00D40151" w:rsidP="00D40151">
      <w:pPr>
        <w:pStyle w:val="B1"/>
      </w:pPr>
      <w:r w:rsidRPr="00873B6C">
        <w:t>-</w:t>
      </w:r>
      <w:r w:rsidRPr="00873B6C">
        <w:tab/>
        <w:t>The SMF in the HPLMN receives the SUPI of the UE from the SMF in the VPLMN during the PDU Session Establishment procedure.</w:t>
      </w:r>
    </w:p>
    <w:p w14:paraId="36B8E6FC" w14:textId="77777777" w:rsidR="00D40151" w:rsidRPr="00873B6C" w:rsidRDefault="00D40151" w:rsidP="00D40151">
      <w:pPr>
        <w:pStyle w:val="B1"/>
      </w:pPr>
      <w:r w:rsidRPr="00873B6C">
        <w:t>-</w:t>
      </w:r>
      <w:r w:rsidRPr="00873B6C">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873B6C" w:rsidRDefault="00D40151" w:rsidP="00D40151">
      <w:pPr>
        <w:pStyle w:val="B1"/>
      </w:pPr>
      <w:r w:rsidRPr="00873B6C">
        <w:t>-</w:t>
      </w:r>
      <w:r w:rsidRPr="00873B6C">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245B2BCD" w:rsidR="00D40151" w:rsidRPr="00873B6C" w:rsidRDefault="00D40151" w:rsidP="00D40151">
      <w:r w:rsidRPr="00873B6C">
        <w:t>In home routed roaming case, the AMF selects an SMF in the VPLMN and a SMF in the HPLMN as described in clause 6.3.2 and</w:t>
      </w:r>
      <w:r w:rsidR="00D602DF" w:rsidRPr="00873B6C">
        <w:t xml:space="preserve"> in clause 4.3.2.2.3.3</w:t>
      </w:r>
      <w:r w:rsidRPr="00873B6C">
        <w:t xml:space="preserve"> </w:t>
      </w:r>
      <w:r w:rsidR="00D602DF" w:rsidRPr="00873B6C">
        <w:t xml:space="preserve">of </w:t>
      </w:r>
      <w:r w:rsidR="00972E70" w:rsidRPr="00873B6C">
        <w:t>TS 23.502 [</w:t>
      </w:r>
      <w:r w:rsidRPr="00873B6C">
        <w:t>3]</w:t>
      </w:r>
      <w:r w:rsidR="00472CD7" w:rsidRPr="00873B6C">
        <w:t xml:space="preserve"> and</w:t>
      </w:r>
      <w:r w:rsidRPr="00873B6C">
        <w:t xml:space="preserve"> provides the identifier of the selected SMF in the HPLMN to the selected SMF in the VPLMN.</w:t>
      </w:r>
    </w:p>
    <w:p w14:paraId="7A52247F" w14:textId="4E6DEE1B" w:rsidR="00D40151" w:rsidRPr="00873B6C" w:rsidRDefault="00D40151" w:rsidP="00D40151">
      <w:r w:rsidRPr="00873B6C">
        <w:t xml:space="preserve">In roaming with LBO, the AMF selects a SMF in the VPLMN as described in clause 6.3.2 and </w:t>
      </w:r>
      <w:r w:rsidR="00D602DF" w:rsidRPr="00873B6C">
        <w:t xml:space="preserve">in clause 4.3.2.2.3.2 of </w:t>
      </w:r>
      <w:r w:rsidR="00972E70" w:rsidRPr="00873B6C">
        <w:t>TS 23.502 [</w:t>
      </w:r>
      <w:r w:rsidRPr="00873B6C">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873B6C" w:rsidRDefault="00D40151" w:rsidP="00D40151">
      <w:pPr>
        <w:pStyle w:val="Heading3"/>
        <w:rPr>
          <w:rFonts w:eastAsia="SimSun"/>
          <w:lang w:eastAsia="fr-FR"/>
        </w:rPr>
      </w:pPr>
      <w:bookmarkStart w:id="1330" w:name="_CR5_6_4"/>
      <w:bookmarkStart w:id="1331" w:name="_Toc20149765"/>
      <w:bookmarkStart w:id="1332" w:name="_Toc27846557"/>
      <w:bookmarkStart w:id="1333" w:name="_Toc36187682"/>
      <w:bookmarkStart w:id="1334" w:name="_Toc45183586"/>
      <w:bookmarkStart w:id="1335" w:name="_Toc47342428"/>
      <w:bookmarkStart w:id="1336" w:name="_Toc51769128"/>
      <w:bookmarkStart w:id="1337" w:name="_Toc201157078"/>
      <w:bookmarkEnd w:id="1330"/>
      <w:r w:rsidRPr="00873B6C">
        <w:rPr>
          <w:rFonts w:eastAsia="SimSun"/>
        </w:rPr>
        <w:t>5.6.4</w:t>
      </w:r>
      <w:r w:rsidRPr="00873B6C">
        <w:rPr>
          <w:rFonts w:eastAsia="SimSun"/>
        </w:rPr>
        <w:tab/>
        <w:t xml:space="preserve">Single PDU Session with </w:t>
      </w:r>
      <w:r w:rsidRPr="00873B6C">
        <w:rPr>
          <w:rFonts w:eastAsia="SimSun"/>
          <w:lang w:eastAsia="fr-FR"/>
        </w:rPr>
        <w:t>multiple PDU Session Anchors</w:t>
      </w:r>
      <w:bookmarkEnd w:id="1331"/>
      <w:bookmarkEnd w:id="1332"/>
      <w:bookmarkEnd w:id="1333"/>
      <w:bookmarkEnd w:id="1334"/>
      <w:bookmarkEnd w:id="1335"/>
      <w:bookmarkEnd w:id="1336"/>
      <w:bookmarkEnd w:id="1337"/>
    </w:p>
    <w:p w14:paraId="40023E51" w14:textId="77777777" w:rsidR="00D40151" w:rsidRPr="00873B6C" w:rsidRDefault="00D40151" w:rsidP="00D40151">
      <w:pPr>
        <w:pStyle w:val="Heading4"/>
        <w:rPr>
          <w:rFonts w:eastAsia="SimSun"/>
        </w:rPr>
      </w:pPr>
      <w:bookmarkStart w:id="1338" w:name="_CR5_6_4_1"/>
      <w:bookmarkStart w:id="1339" w:name="_Toc20149766"/>
      <w:bookmarkStart w:id="1340" w:name="_Toc27846558"/>
      <w:bookmarkStart w:id="1341" w:name="_Toc36187683"/>
      <w:bookmarkStart w:id="1342" w:name="_Toc45183587"/>
      <w:bookmarkStart w:id="1343" w:name="_Toc47342429"/>
      <w:bookmarkStart w:id="1344" w:name="_Toc51769129"/>
      <w:bookmarkStart w:id="1345" w:name="_Toc201157079"/>
      <w:bookmarkEnd w:id="1338"/>
      <w:r w:rsidRPr="00873B6C">
        <w:rPr>
          <w:rFonts w:eastAsia="SimSun"/>
        </w:rPr>
        <w:t>5.6.4.1</w:t>
      </w:r>
      <w:r w:rsidRPr="00873B6C">
        <w:rPr>
          <w:rFonts w:eastAsia="SimSun"/>
        </w:rPr>
        <w:tab/>
        <w:t>General</w:t>
      </w:r>
      <w:bookmarkEnd w:id="1339"/>
      <w:bookmarkEnd w:id="1340"/>
      <w:bookmarkEnd w:id="1341"/>
      <w:bookmarkEnd w:id="1342"/>
      <w:bookmarkEnd w:id="1343"/>
      <w:bookmarkEnd w:id="1344"/>
      <w:bookmarkEnd w:id="1345"/>
    </w:p>
    <w:p w14:paraId="311D9147" w14:textId="6EDBD6D7" w:rsidR="00D40151" w:rsidRPr="00873B6C" w:rsidRDefault="00D40151" w:rsidP="00D40151">
      <w:r w:rsidRPr="00873B6C">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w:t>
      </w:r>
      <w:r w:rsidRPr="00873B6C">
        <w:lastRenderedPageBreak/>
        <w:t>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w:t>
      </w:r>
      <w:r w:rsidR="000046DD" w:rsidRPr="00873B6C">
        <w:t xml:space="preserve"> Application Function influence on traffic routing</w:t>
      </w:r>
      <w:r w:rsidRPr="00873B6C">
        <w:t xml:space="preserve"> Enforcement Control information defined in clause 6.3.1 of </w:t>
      </w:r>
      <w:r w:rsidR="00972E70" w:rsidRPr="00873B6C">
        <w:t>TS 23.503 [</w:t>
      </w:r>
      <w:r w:rsidRPr="00873B6C">
        <w:t>45] is provided to the SMF, the SMF can decide whether to apply traffic routing (by using UL Classifier functionality or IPv6 multi-homing) based on DNAI(s) included in the PCC rule.</w:t>
      </w:r>
    </w:p>
    <w:p w14:paraId="565B2131" w14:textId="02CDE694" w:rsidR="00D40151" w:rsidRPr="00873B6C" w:rsidRDefault="00D40151" w:rsidP="00D40151">
      <w:pPr>
        <w:pStyle w:val="NO"/>
      </w:pPr>
      <w:r w:rsidRPr="00873B6C">
        <w:t>NOTE 1:</w:t>
      </w:r>
      <w:r w:rsidRPr="00873B6C">
        <w:tab/>
      </w:r>
      <w:r w:rsidR="000046DD" w:rsidRPr="00873B6C">
        <w:t xml:space="preserve">Application Function influence on traffic routing </w:t>
      </w:r>
      <w:r w:rsidRPr="00873B6C">
        <w:t>Enforcement Control information can be either determined by the PCF when requested by AF via NEF as described in clause 5.6.7.1 or statically pre-configured in the PCF.</w:t>
      </w:r>
    </w:p>
    <w:p w14:paraId="01152AD3" w14:textId="77777777" w:rsidR="00D40151" w:rsidRPr="00873B6C" w:rsidRDefault="00D40151" w:rsidP="00D40151">
      <w:pPr>
        <w:pStyle w:val="NO"/>
        <w:rPr>
          <w:rFonts w:eastAsia="SimSun"/>
        </w:rPr>
      </w:pPr>
      <w:r w:rsidRPr="00873B6C">
        <w:t>NOTE 2:</w:t>
      </w:r>
      <w:r w:rsidRPr="00873B6C">
        <w:tab/>
        <w:t>Selective traffic routing to the DN supports, for example, deployments where some selected traffic is forwarded on an N6 interface to the DN that is "close" to the AN serving the UE.</w:t>
      </w:r>
    </w:p>
    <w:p w14:paraId="241881D9" w14:textId="77777777" w:rsidR="00D40151" w:rsidRPr="00873B6C" w:rsidRDefault="00D40151" w:rsidP="00D40151">
      <w:r w:rsidRPr="00873B6C">
        <w:t>This may correspond to</w:t>
      </w:r>
    </w:p>
    <w:p w14:paraId="5B3A2737" w14:textId="77777777" w:rsidR="00D40151" w:rsidRPr="00873B6C" w:rsidRDefault="00D40151" w:rsidP="00D40151">
      <w:pPr>
        <w:pStyle w:val="B1"/>
      </w:pPr>
      <w:r w:rsidRPr="00873B6C">
        <w:t>-</w:t>
      </w:r>
      <w:r w:rsidRPr="00873B6C">
        <w:tab/>
        <w:t>The Usage of UL Classifier functionality for a PDU Session defined in clause 5.6.4.2.</w:t>
      </w:r>
    </w:p>
    <w:p w14:paraId="60FF55F6" w14:textId="77777777" w:rsidR="00D40151" w:rsidRPr="00873B6C" w:rsidRDefault="00D40151" w:rsidP="00D40151">
      <w:pPr>
        <w:pStyle w:val="B1"/>
      </w:pPr>
      <w:r w:rsidRPr="00873B6C">
        <w:t>-</w:t>
      </w:r>
      <w:r w:rsidRPr="00873B6C">
        <w:tab/>
        <w:t>The Usage of an IPv6 multi-homing for a PDU Session defined in clause 5.6.4.3.</w:t>
      </w:r>
    </w:p>
    <w:p w14:paraId="2E4FF04B" w14:textId="2B3AA02B" w:rsidR="005C1DEB" w:rsidRPr="00873B6C" w:rsidRDefault="005C1DEB" w:rsidP="00695DF1">
      <w:pPr>
        <w:rPr>
          <w:rFonts w:eastAsia="SimSun"/>
        </w:rPr>
      </w:pPr>
      <w:bookmarkStart w:id="1346" w:name="_Toc20149767"/>
      <w:bookmarkStart w:id="1347" w:name="_Toc27846559"/>
      <w:bookmarkStart w:id="1348" w:name="_Toc36187684"/>
      <w:bookmarkStart w:id="1349" w:name="_Toc45183588"/>
      <w:bookmarkStart w:id="1350" w:name="_Toc47342430"/>
      <w:bookmarkStart w:id="1351" w:name="_Toc51769130"/>
      <w:r w:rsidRPr="00873B6C">
        <w:rPr>
          <w:rFonts w:eastAsia="SimSun"/>
        </w:rPr>
        <w:t xml:space="preserve">SMF may also take decision to apply traffic routing (by using UL Classifier functionality or IPv6 multi-homing) in EAS Discovery with EASDF procedure described in </w:t>
      </w:r>
      <w:r w:rsidR="00972E70" w:rsidRPr="00873B6C">
        <w:rPr>
          <w:rFonts w:eastAsia="SimSun"/>
        </w:rPr>
        <w:t>TS 23.548 [</w:t>
      </w:r>
      <w:r w:rsidRPr="00873B6C">
        <w:rPr>
          <w:rFonts w:eastAsia="SimSun"/>
        </w:rPr>
        <w:t>130].</w:t>
      </w:r>
    </w:p>
    <w:p w14:paraId="3E91B2F5" w14:textId="1DED2923" w:rsidR="00D40151" w:rsidRPr="00873B6C" w:rsidRDefault="00D40151" w:rsidP="00D40151">
      <w:pPr>
        <w:pStyle w:val="Heading4"/>
        <w:rPr>
          <w:rFonts w:eastAsia="SimSun"/>
        </w:rPr>
      </w:pPr>
      <w:bookmarkStart w:id="1352" w:name="_CR5_6_4_2"/>
      <w:bookmarkStart w:id="1353" w:name="_Toc201157080"/>
      <w:bookmarkEnd w:id="1352"/>
      <w:r w:rsidRPr="00873B6C">
        <w:rPr>
          <w:rFonts w:eastAsia="SimSun"/>
        </w:rPr>
        <w:t>5.6.4.2</w:t>
      </w:r>
      <w:r w:rsidRPr="00873B6C">
        <w:rPr>
          <w:rFonts w:eastAsia="SimSun"/>
        </w:rPr>
        <w:tab/>
        <w:t>Usage of an UL Classifier for a PDU Session</w:t>
      </w:r>
      <w:bookmarkEnd w:id="1346"/>
      <w:bookmarkEnd w:id="1347"/>
      <w:bookmarkEnd w:id="1348"/>
      <w:bookmarkEnd w:id="1349"/>
      <w:bookmarkEnd w:id="1350"/>
      <w:bookmarkEnd w:id="1351"/>
      <w:bookmarkEnd w:id="1353"/>
    </w:p>
    <w:p w14:paraId="768B2CC1" w14:textId="77777777" w:rsidR="00D40151" w:rsidRPr="00873B6C" w:rsidRDefault="00D40151" w:rsidP="00D40151">
      <w:pPr>
        <w:rPr>
          <w:rFonts w:eastAsia="SimSun"/>
        </w:rPr>
      </w:pPr>
      <w:r w:rsidRPr="00873B6C">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873B6C">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873B6C">
        <w:t>The SMF may include more than one UPF supporting the UL CL functionality in the data path of a PDU Session.</w:t>
      </w:r>
    </w:p>
    <w:p w14:paraId="5440DA74" w14:textId="5E2F3B4A" w:rsidR="00D40151" w:rsidRPr="00873B6C" w:rsidRDefault="00D40151" w:rsidP="00D40151">
      <w:r w:rsidRPr="00873B6C">
        <w:t>The UE is unaware of the traffic diversion by the UL CL</w:t>
      </w:r>
      <w:r w:rsidR="00472CD7" w:rsidRPr="00873B6C">
        <w:t xml:space="preserve"> and</w:t>
      </w:r>
      <w:r w:rsidRPr="00873B6C">
        <w:t xml:space="preserve">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873B6C" w:rsidRDefault="00D40151" w:rsidP="00D40151">
      <w:r w:rsidRPr="00873B6C">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873B6C" w:rsidRDefault="00D40151" w:rsidP="00D40151">
      <w:pPr>
        <w:pStyle w:val="NO"/>
      </w:pPr>
      <w:r w:rsidRPr="00873B6C">
        <w:t>NOTE 0:</w:t>
      </w:r>
      <w:r w:rsidRPr="00873B6C">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873B6C" w:rsidRDefault="00D40151" w:rsidP="00D40151">
      <w:r w:rsidRPr="00873B6C">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873B6C" w:rsidRDefault="00D40151" w:rsidP="00D40151">
      <w:r w:rsidRPr="00873B6C">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873B6C" w:rsidRDefault="00D40151" w:rsidP="00D40151">
      <w:pPr>
        <w:pStyle w:val="NO"/>
      </w:pPr>
      <w:r w:rsidRPr="00873B6C">
        <w:t>NOTE 1:</w:t>
      </w:r>
      <w:r w:rsidRPr="00873B6C">
        <w:tab/>
        <w:t>When N9 forwarding tunnel exists between source ULCL and target ULCL, the Session-AMBR per PDU Session can be enforced by the source UL CL UPF.</w:t>
      </w:r>
    </w:p>
    <w:p w14:paraId="7FCE3164" w14:textId="77777777" w:rsidR="00D40151" w:rsidRPr="00873B6C" w:rsidRDefault="00D40151" w:rsidP="00D40151">
      <w:pPr>
        <w:pStyle w:val="NO"/>
      </w:pPr>
      <w:r w:rsidRPr="00873B6C">
        <w:t>NOTE 2:</w:t>
      </w:r>
      <w:r w:rsidRPr="00873B6C">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873B6C" w:rsidRDefault="00D40151" w:rsidP="00D40151">
      <w:r w:rsidRPr="00873B6C">
        <w:lastRenderedPageBreak/>
        <w:t>Additional UL CLs (and thus additional PDU Session Anchors) can be inserted in the data path of a PDU Session</w:t>
      </w:r>
      <w:r w:rsidRPr="00873B6C">
        <w:rPr>
          <w:lang w:eastAsia="zh-CN"/>
        </w:rPr>
        <w:t xml:space="preserve"> to create new data paths for the same PDU Session.</w:t>
      </w:r>
      <w:r w:rsidRPr="00873B6C">
        <w:t xml:space="preserve"> </w:t>
      </w:r>
      <w:r w:rsidRPr="00873B6C">
        <w:rPr>
          <w:lang w:eastAsia="zh-CN"/>
        </w:rPr>
        <w:t>T</w:t>
      </w:r>
      <w:r w:rsidRPr="00873B6C">
        <w:t xml:space="preserve">he way to organize the </w:t>
      </w:r>
      <w:r w:rsidRPr="00873B6C">
        <w:rPr>
          <w:lang w:eastAsia="zh-CN"/>
        </w:rPr>
        <w:t>data path</w:t>
      </w:r>
      <w:r w:rsidRPr="00873B6C">
        <w:t xml:space="preserve"> of all UL CLs in a PDU Session is up to operator configuration and SMF logic</w:t>
      </w:r>
      <w:r w:rsidRPr="00873B6C">
        <w:rPr>
          <w:lang w:eastAsia="zh-CN"/>
        </w:rPr>
        <w:t xml:space="preserve"> and there is only one UPF supporting UL CL connecting to the (R)AN via N3 interface, except when session continuity upon UL CL relocation is used.</w:t>
      </w:r>
    </w:p>
    <w:p w14:paraId="3D0780B0" w14:textId="77777777" w:rsidR="00D40151" w:rsidRPr="00873B6C" w:rsidRDefault="00D40151" w:rsidP="00D40151">
      <w:r w:rsidRPr="00873B6C">
        <w:t>The insertion of an ULCL in the data path of a PDU Session is depicted in Figure 5.6.4.2-1.</w:t>
      </w:r>
    </w:p>
    <w:bookmarkStart w:id="1354" w:name="_MON_1569397320"/>
    <w:bookmarkEnd w:id="1354"/>
    <w:p w14:paraId="63E0C3BD" w14:textId="77777777" w:rsidR="00D40151" w:rsidRPr="00873B6C" w:rsidRDefault="00D40151" w:rsidP="00D40151">
      <w:pPr>
        <w:pStyle w:val="TH"/>
      </w:pPr>
      <w:r w:rsidRPr="00873B6C">
        <w:object w:dxaOrig="7655" w:dyaOrig="3683" w14:anchorId="0FCB4065">
          <v:shape id="_x0000_i1092" type="#_x0000_t75" style="width:381.9pt;height:185.3pt" o:ole="">
            <v:imagedata r:id="rId143" o:title=""/>
          </v:shape>
          <o:OLEObject Type="Embed" ProgID="Word.Picture.8" ShapeID="_x0000_i1092" DrawAspect="Content" ObjectID="_1811772426" r:id="rId144"/>
        </w:object>
      </w:r>
    </w:p>
    <w:p w14:paraId="40C227C4" w14:textId="77777777" w:rsidR="00D40151" w:rsidRPr="00873B6C" w:rsidRDefault="00D40151" w:rsidP="00D40151">
      <w:pPr>
        <w:pStyle w:val="TF"/>
      </w:pPr>
      <w:bookmarkStart w:id="1355" w:name="_CRFigure5_6_4_21"/>
      <w:r w:rsidRPr="00873B6C">
        <w:t xml:space="preserve">Figure </w:t>
      </w:r>
      <w:bookmarkEnd w:id="1355"/>
      <w:r w:rsidRPr="00873B6C">
        <w:t>5.6.4.2-1: User plane Architecture for the Uplink Classifier</w:t>
      </w:r>
    </w:p>
    <w:p w14:paraId="737C5893" w14:textId="77777777" w:rsidR="00D40151" w:rsidRPr="00873B6C" w:rsidRDefault="00D40151" w:rsidP="00D40151">
      <w:pPr>
        <w:pStyle w:val="NO"/>
      </w:pPr>
      <w:r w:rsidRPr="00873B6C">
        <w:t>NOTE 3:</w:t>
      </w:r>
      <w:r w:rsidRPr="00873B6C">
        <w:tab/>
        <w:t>It is possible for a given UPF to support both the UL CL and the PDU Session Anchor functionalities.</w:t>
      </w:r>
    </w:p>
    <w:p w14:paraId="045EFF75" w14:textId="060068B1" w:rsidR="00D40151" w:rsidRPr="00873B6C" w:rsidRDefault="00D40151" w:rsidP="00D40151">
      <w:r w:rsidRPr="00873B6C">
        <w:t>Due to UE mobility the network may need to relocate the UPF acting as UL CL and establish a new PSA for</w:t>
      </w:r>
      <w:r w:rsidR="00D841E1" w:rsidRPr="00873B6C">
        <w:t xml:space="preserve"> local</w:t>
      </w:r>
      <w:r w:rsidRPr="00873B6C">
        <w:t xml:space="preserve"> access to the DN. To support session continuity during UL CL relocation the network may establish a temporary N9 forwarding tunnel between the source UL CL and target UL CL.</w:t>
      </w:r>
      <w:r w:rsidR="007C344D" w:rsidRPr="00873B6C">
        <w:t xml:space="preserve"> The AF may influence the creation of the N9 forwarding tunnel as described in clause 5.6.7.1.</w:t>
      </w:r>
    </w:p>
    <w:p w14:paraId="73EFE4CB" w14:textId="77777777" w:rsidR="007C344D" w:rsidRPr="00873B6C" w:rsidRDefault="00D40151" w:rsidP="00D40151">
      <w:r w:rsidRPr="00873B6C">
        <w:t>The N9 forwarding tunnel is maintained until</w:t>
      </w:r>
      <w:r w:rsidR="007C344D" w:rsidRPr="00873B6C">
        <w:t>:</w:t>
      </w:r>
    </w:p>
    <w:p w14:paraId="6D911605" w14:textId="68DB72A1" w:rsidR="007C344D" w:rsidRPr="00873B6C" w:rsidRDefault="007C344D" w:rsidP="00C74FFE">
      <w:pPr>
        <w:pStyle w:val="B1"/>
      </w:pPr>
      <w:r w:rsidRPr="00873B6C">
        <w:t>-</w:t>
      </w:r>
      <w:r w:rsidRPr="00873B6C">
        <w:tab/>
      </w:r>
      <w:r w:rsidR="00D40151" w:rsidRPr="00873B6C">
        <w:t>all active traffic flowing on it ceases to exist for</w:t>
      </w:r>
      <w:r w:rsidRPr="00873B6C">
        <w:t>:</w:t>
      </w:r>
    </w:p>
    <w:p w14:paraId="2230C97A" w14:textId="45C9787C" w:rsidR="007C344D" w:rsidRPr="00873B6C" w:rsidRDefault="007C344D" w:rsidP="007C344D">
      <w:pPr>
        <w:pStyle w:val="B2"/>
      </w:pPr>
      <w:r w:rsidRPr="00873B6C">
        <w:t>-</w:t>
      </w:r>
      <w:r w:rsidRPr="00873B6C">
        <w:tab/>
      </w:r>
      <w:r w:rsidR="00D40151" w:rsidRPr="00873B6C">
        <w:t>a configurable period of time</w:t>
      </w:r>
      <w:r w:rsidRPr="00873B6C">
        <w:t>;</w:t>
      </w:r>
      <w:r w:rsidR="00D40151" w:rsidRPr="00873B6C">
        <w:t xml:space="preserve"> or</w:t>
      </w:r>
    </w:p>
    <w:p w14:paraId="65C178EF" w14:textId="30DEA7D2" w:rsidR="007C344D" w:rsidRPr="00873B6C" w:rsidRDefault="007C344D" w:rsidP="007C344D">
      <w:pPr>
        <w:pStyle w:val="B2"/>
      </w:pPr>
      <w:r w:rsidRPr="00873B6C">
        <w:t>-</w:t>
      </w:r>
      <w:r w:rsidRPr="00873B6C">
        <w:tab/>
        <w:t>a period of time indicated by the AF;</w:t>
      </w:r>
    </w:p>
    <w:p w14:paraId="4B7AEF50" w14:textId="58BCEFDE" w:rsidR="00D40151" w:rsidRPr="00873B6C" w:rsidRDefault="007C344D" w:rsidP="00C74FFE">
      <w:pPr>
        <w:pStyle w:val="B1"/>
      </w:pPr>
      <w:r w:rsidRPr="00873B6C">
        <w:t>-</w:t>
      </w:r>
      <w:r w:rsidRPr="00873B6C">
        <w:tab/>
      </w:r>
      <w:r w:rsidR="00D40151" w:rsidRPr="00873B6C">
        <w:t>until the AF informs the SMF that it can release the source PSA providing</w:t>
      </w:r>
      <w:r w:rsidR="00D841E1" w:rsidRPr="00873B6C">
        <w:t xml:space="preserve"> local</w:t>
      </w:r>
      <w:r w:rsidR="00D40151" w:rsidRPr="00873B6C">
        <w:t xml:space="preserve"> access to the DN.</w:t>
      </w:r>
    </w:p>
    <w:p w14:paraId="463BB8AA" w14:textId="77777777" w:rsidR="00D40151" w:rsidRPr="00873B6C" w:rsidRDefault="00D40151" w:rsidP="00D40151">
      <w:r w:rsidRPr="00873B6C">
        <w:t>During the existence of the N9 forwarding tunnel the UPF acting as target UL CL is configured with packet filters that:</w:t>
      </w:r>
    </w:p>
    <w:p w14:paraId="7C281B1C" w14:textId="55153B8F" w:rsidR="00D40151" w:rsidRPr="00873B6C" w:rsidRDefault="00D40151" w:rsidP="00D40151">
      <w:pPr>
        <w:pStyle w:val="B1"/>
      </w:pPr>
      <w:r w:rsidRPr="00873B6C">
        <w:t>-</w:t>
      </w:r>
      <w:r w:rsidRPr="00873B6C">
        <w:tab/>
        <w:t>force uplink traffic from existing data sessions between UE and the application in the source local</w:t>
      </w:r>
      <w:r w:rsidR="00D841E1" w:rsidRPr="00873B6C">
        <w:t xml:space="preserve"> part of the</w:t>
      </w:r>
      <w:r w:rsidRPr="00873B6C">
        <w:t xml:space="preserve"> DN</w:t>
      </w:r>
      <w:r w:rsidR="00D841E1" w:rsidRPr="00873B6C">
        <w:t xml:space="preserve"> (as defined in </w:t>
      </w:r>
      <w:r w:rsidR="00972E70" w:rsidRPr="00873B6C">
        <w:t>TS 23.548 [</w:t>
      </w:r>
      <w:r w:rsidR="00D841E1" w:rsidRPr="00873B6C">
        <w:t>130])</w:t>
      </w:r>
      <w:r w:rsidRPr="00873B6C">
        <w:t xml:space="preserve"> into the N9 forwarding tunnel towards the source UL CL.</w:t>
      </w:r>
    </w:p>
    <w:p w14:paraId="29A4FAB5" w14:textId="242A168C" w:rsidR="00D40151" w:rsidRPr="00873B6C" w:rsidRDefault="00D40151" w:rsidP="00D40151">
      <w:pPr>
        <w:pStyle w:val="B1"/>
      </w:pPr>
      <w:r w:rsidRPr="00873B6C">
        <w:t>-</w:t>
      </w:r>
      <w:r w:rsidRPr="00873B6C">
        <w:tab/>
        <w:t>force any traffic related to the application in the target local</w:t>
      </w:r>
      <w:r w:rsidR="00D841E1" w:rsidRPr="00873B6C">
        <w:t xml:space="preserve"> part of the</w:t>
      </w:r>
      <w:r w:rsidRPr="00873B6C">
        <w:t xml:space="preserve"> DN to go to the new local</w:t>
      </w:r>
      <w:r w:rsidR="00D841E1" w:rsidRPr="00873B6C">
        <w:t xml:space="preserve"> part of the</w:t>
      </w:r>
      <w:r w:rsidRPr="00873B6C">
        <w:t xml:space="preserve"> DN via the target PSA.</w:t>
      </w:r>
    </w:p>
    <w:p w14:paraId="3932BD35" w14:textId="1B5D54F9" w:rsidR="00D40151" w:rsidRPr="00873B6C" w:rsidRDefault="00D40151" w:rsidP="00D40151">
      <w:r w:rsidRPr="00873B6C">
        <w:t xml:space="preserve">SMF may send a Late Notification to AF to inform it about the DNAI change as described in </w:t>
      </w:r>
      <w:r w:rsidR="00960CDA" w:rsidRPr="00873B6C">
        <w:t xml:space="preserve">clause 4.3.6.3 of </w:t>
      </w:r>
      <w:r w:rsidR="00972E70" w:rsidRPr="00873B6C">
        <w:t>TS 23.502 [</w:t>
      </w:r>
      <w:r w:rsidRPr="00873B6C">
        <w:t>3]. This notification can be used by the AF e.g. to trigger mechanisms in the source local</w:t>
      </w:r>
      <w:r w:rsidR="00D841E1" w:rsidRPr="00873B6C">
        <w:t xml:space="preserve"> part of the</w:t>
      </w:r>
      <w:r w:rsidRPr="00873B6C">
        <w:t xml:space="preserve"> DN to redirect the ongoing traffic sessions towards an application in the target local</w:t>
      </w:r>
      <w:r w:rsidR="00D841E1" w:rsidRPr="00873B6C">
        <w:t xml:space="preserve"> part of the</w:t>
      </w:r>
      <w:r w:rsidRPr="00873B6C">
        <w:t xml:space="preserve"> DN. SMF can also send late notification to the target AF instance if associated with this target local</w:t>
      </w:r>
      <w:r w:rsidR="00D841E1" w:rsidRPr="00873B6C">
        <w:t xml:space="preserve"> part of the</w:t>
      </w:r>
      <w:r w:rsidRPr="00873B6C">
        <w:t xml:space="preserve"> DN.</w:t>
      </w:r>
    </w:p>
    <w:p w14:paraId="6A9170B8" w14:textId="741838AC" w:rsidR="00D40151" w:rsidRPr="00873B6C" w:rsidRDefault="00D40151" w:rsidP="00D40151">
      <w:r w:rsidRPr="00873B6C">
        <w:t>The procedure for session continuity upon UL CL relocation is described in</w:t>
      </w:r>
      <w:r w:rsidR="00960CDA" w:rsidRPr="00873B6C">
        <w:t xml:space="preserve"> clause 4.3.5.7</w:t>
      </w:r>
      <w:r w:rsidRPr="00873B6C">
        <w:t xml:space="preserve"> </w:t>
      </w:r>
      <w:r w:rsidR="00960CDA" w:rsidRPr="00873B6C">
        <w:t xml:space="preserve">of </w:t>
      </w:r>
      <w:r w:rsidR="00972E70" w:rsidRPr="00873B6C">
        <w:t>TS 23.502 [</w:t>
      </w:r>
      <w:r w:rsidRPr="00873B6C">
        <w:t>3].</w:t>
      </w:r>
    </w:p>
    <w:p w14:paraId="689E3435" w14:textId="77777777" w:rsidR="00D40151" w:rsidRPr="00873B6C" w:rsidRDefault="00D40151" w:rsidP="00D40151">
      <w:r w:rsidRPr="00873B6C">
        <w:t>When an I-SMF is inserted for a PDU Session, the details of UL CL insertion which is controlled by an I-SMF is described in clause 5.34.4.</w:t>
      </w:r>
    </w:p>
    <w:p w14:paraId="1845CEA4" w14:textId="77777777" w:rsidR="00D40151" w:rsidRPr="00873B6C" w:rsidRDefault="00D40151" w:rsidP="00D40151">
      <w:pPr>
        <w:pStyle w:val="Heading4"/>
        <w:rPr>
          <w:rFonts w:eastAsia="SimSun"/>
        </w:rPr>
      </w:pPr>
      <w:bookmarkStart w:id="1356" w:name="_CR5_6_4_3"/>
      <w:bookmarkStart w:id="1357" w:name="_Toc20149768"/>
      <w:bookmarkStart w:id="1358" w:name="_Toc27846560"/>
      <w:bookmarkStart w:id="1359" w:name="_Toc36187685"/>
      <w:bookmarkStart w:id="1360" w:name="_Toc45183589"/>
      <w:bookmarkStart w:id="1361" w:name="_Toc47342431"/>
      <w:bookmarkStart w:id="1362" w:name="_Toc51769131"/>
      <w:bookmarkStart w:id="1363" w:name="_Toc201157081"/>
      <w:bookmarkEnd w:id="1356"/>
      <w:r w:rsidRPr="00873B6C">
        <w:rPr>
          <w:rFonts w:eastAsia="SimSun"/>
        </w:rPr>
        <w:lastRenderedPageBreak/>
        <w:t>5.6.4.3</w:t>
      </w:r>
      <w:r w:rsidRPr="00873B6C">
        <w:rPr>
          <w:rFonts w:eastAsia="SimSun"/>
        </w:rPr>
        <w:tab/>
        <w:t>Usage of IPv6 multi-homing for a PDU Session</w:t>
      </w:r>
      <w:bookmarkEnd w:id="1357"/>
      <w:bookmarkEnd w:id="1358"/>
      <w:bookmarkEnd w:id="1359"/>
      <w:bookmarkEnd w:id="1360"/>
      <w:bookmarkEnd w:id="1361"/>
      <w:bookmarkEnd w:id="1362"/>
      <w:bookmarkEnd w:id="1363"/>
    </w:p>
    <w:p w14:paraId="491526F2" w14:textId="77777777" w:rsidR="00D40151" w:rsidRPr="00873B6C" w:rsidRDefault="00D40151" w:rsidP="00D40151">
      <w:pPr>
        <w:rPr>
          <w:rFonts w:eastAsia="SimSun"/>
        </w:rPr>
      </w:pPr>
      <w:r w:rsidRPr="00873B6C">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873B6C" w:rsidRDefault="00D40151" w:rsidP="00D40151">
      <w:r w:rsidRPr="00873B6C">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873B6C">
        <w:rPr>
          <w:lang w:eastAsia="zh-CN"/>
        </w:rPr>
        <w:t xml:space="preserve">The SMF may decide to insert in the data path of a PDU Session a </w:t>
      </w:r>
      <w:r w:rsidRPr="00873B6C">
        <w:t xml:space="preserve">UPF supporting the Branching Point </w:t>
      </w:r>
      <w:r w:rsidRPr="00873B6C">
        <w:rPr>
          <w:lang w:eastAsia="zh-CN"/>
        </w:rPr>
        <w:t xml:space="preserve">functionality during or after the PDU Session Establishment, or to remove from the data path of a PDU Session a </w:t>
      </w:r>
      <w:r w:rsidRPr="00873B6C">
        <w:t xml:space="preserve">UPF supporting the Branching Point </w:t>
      </w:r>
      <w:r w:rsidRPr="00873B6C">
        <w:rPr>
          <w:lang w:eastAsia="zh-CN"/>
        </w:rPr>
        <w:t>functionality after the PDU Session Establishment.</w:t>
      </w:r>
    </w:p>
    <w:p w14:paraId="1D9C4C70" w14:textId="77777777" w:rsidR="00D40151" w:rsidRPr="00873B6C" w:rsidRDefault="00D40151" w:rsidP="00D40151">
      <w:pPr>
        <w:rPr>
          <w:lang w:eastAsia="zh-CN"/>
        </w:rPr>
      </w:pPr>
      <w:r w:rsidRPr="00873B6C">
        <w:t xml:space="preserve">Multi homing of a PDU Session applies only for PDU Sessions of IPv6 type. </w:t>
      </w:r>
      <w:r w:rsidRPr="00873B6C">
        <w:rPr>
          <w:lang w:eastAsia="zh-CN"/>
        </w:rPr>
        <w:t xml:space="preserve">When the UE requests a PDU Session of type </w:t>
      </w:r>
      <w:r w:rsidRPr="00873B6C">
        <w:t>"</w:t>
      </w:r>
      <w:r w:rsidRPr="00873B6C">
        <w:rPr>
          <w:lang w:eastAsia="zh-CN"/>
        </w:rPr>
        <w:t>IPv4v6</w:t>
      </w:r>
      <w:r w:rsidRPr="00873B6C">
        <w:t>"</w:t>
      </w:r>
      <w:r w:rsidRPr="00873B6C">
        <w:rPr>
          <w:lang w:eastAsia="zh-CN"/>
        </w:rPr>
        <w:t xml:space="preserve"> or </w:t>
      </w:r>
      <w:r w:rsidRPr="00873B6C">
        <w:t>"IPv6" the UE also provides an indication to the network whether it supports a Multi-homed IPv6 PDU Session</w:t>
      </w:r>
      <w:r w:rsidRPr="00873B6C">
        <w:rPr>
          <w:lang w:eastAsia="zh-CN"/>
        </w:rPr>
        <w:t>.</w:t>
      </w:r>
    </w:p>
    <w:p w14:paraId="102D17A4" w14:textId="77777777" w:rsidR="00D40151" w:rsidRPr="00873B6C" w:rsidRDefault="00D40151" w:rsidP="00D40151">
      <w:r w:rsidRPr="00873B6C">
        <w:t>The use of multiple IPv6 prefixes in a PDU Session is characterised by the following:</w:t>
      </w:r>
    </w:p>
    <w:p w14:paraId="2CF0B5D6" w14:textId="77777777" w:rsidR="00D40151" w:rsidRPr="00873B6C" w:rsidRDefault="00D40151" w:rsidP="00D40151">
      <w:pPr>
        <w:pStyle w:val="B1"/>
      </w:pPr>
      <w:r w:rsidRPr="00873B6C">
        <w:t>-</w:t>
      </w:r>
      <w:r w:rsidRPr="00873B6C">
        <w:rPr>
          <w:lang w:eastAsia="zh-CN"/>
        </w:rPr>
        <w:tab/>
      </w:r>
      <w:r w:rsidRPr="00873B6C">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873B6C" w:rsidRDefault="00D40151" w:rsidP="00D40151">
      <w:pPr>
        <w:pStyle w:val="B1"/>
      </w:pPr>
      <w:r w:rsidRPr="00873B6C">
        <w:t>-</w:t>
      </w:r>
      <w:r w:rsidRPr="00873B6C">
        <w:tab/>
        <w:t>IETF RFC 4191 [8] is used to configure routing information and preferences into the UE to influence the selection of the source Prefix.</w:t>
      </w:r>
    </w:p>
    <w:p w14:paraId="2D775301" w14:textId="77777777" w:rsidR="00D40151" w:rsidRPr="00873B6C" w:rsidRDefault="00D40151" w:rsidP="00D40151">
      <w:pPr>
        <w:pStyle w:val="NO"/>
        <w:rPr>
          <w:lang w:eastAsia="zh-CN"/>
        </w:rPr>
      </w:pPr>
      <w:r w:rsidRPr="00873B6C">
        <w:t>NOTE 1:</w:t>
      </w:r>
      <w:r w:rsidRPr="00873B6C">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873B6C" w:rsidRDefault="00D40151" w:rsidP="00D40151">
      <w:pPr>
        <w:pStyle w:val="B1"/>
      </w:pPr>
      <w:r w:rsidRPr="00873B6C">
        <w:t>-</w:t>
      </w:r>
      <w:r w:rsidRPr="00873B6C">
        <w:tab/>
        <w:t>The multi-homed PDU Session may be used to support make-before-break service continuity to support SSC mode 3. This is illustrated in Figure 5.6.4.3-1.</w:t>
      </w:r>
    </w:p>
    <w:p w14:paraId="109A578C" w14:textId="77777777" w:rsidR="00D40151" w:rsidRPr="00873B6C" w:rsidRDefault="00D40151" w:rsidP="00D40151">
      <w:pPr>
        <w:pStyle w:val="B1"/>
      </w:pPr>
      <w:r w:rsidRPr="00873B6C">
        <w:t>-</w:t>
      </w:r>
      <w:r w:rsidRPr="00873B6C">
        <w:tab/>
        <w:t>The multi-homed PDU Session may also be used to support cases where UE needs to access both a local service (e.g. local server) and a central service (e.g. the internet), illustrated in Figure 5.6.4.3-2.</w:t>
      </w:r>
    </w:p>
    <w:p w14:paraId="0C1D4345" w14:textId="15945A68" w:rsidR="00D40151" w:rsidRPr="00873B6C" w:rsidRDefault="00D40151" w:rsidP="00D40151">
      <w:pPr>
        <w:pStyle w:val="B1"/>
      </w:pPr>
      <w:r w:rsidRPr="00873B6C">
        <w:t>-</w:t>
      </w:r>
      <w:r w:rsidRPr="00873B6C">
        <w:tab/>
        <w:t>The UE shall use the method specified in</w:t>
      </w:r>
      <w:r w:rsidR="00960CDA" w:rsidRPr="00873B6C">
        <w:t xml:space="preserve"> clause 4.3.5.3</w:t>
      </w:r>
      <w:r w:rsidRPr="00873B6C">
        <w:t xml:space="preserve"> </w:t>
      </w:r>
      <w:r w:rsidR="00960CDA" w:rsidRPr="00873B6C">
        <w:t xml:space="preserve">of </w:t>
      </w:r>
      <w:r w:rsidR="00972E70" w:rsidRPr="00873B6C">
        <w:t>TS 23.502 [</w:t>
      </w:r>
      <w:r w:rsidRPr="00873B6C">
        <w:t>3] to determine if a multi-homed PDU Session is used to support the service continuity case shown in Figure 5.6.4.3-1, or if it is used to support the local access to DN case shown in Figure 5.6.4.3-2.</w:t>
      </w:r>
    </w:p>
    <w:bookmarkStart w:id="1364" w:name="_MON_1566805688"/>
    <w:bookmarkEnd w:id="1364"/>
    <w:p w14:paraId="59AA6463" w14:textId="77777777" w:rsidR="00D40151" w:rsidRPr="00873B6C" w:rsidRDefault="00D40151" w:rsidP="00D40151">
      <w:pPr>
        <w:pStyle w:val="TH"/>
      </w:pPr>
      <w:r w:rsidRPr="00873B6C">
        <w:object w:dxaOrig="7655" w:dyaOrig="3116" w14:anchorId="0372224F">
          <v:shape id="_x0000_i1093" type="#_x0000_t75" style="width:381.9pt;height:156.5pt" o:ole="">
            <v:imagedata r:id="rId145" o:title=""/>
          </v:shape>
          <o:OLEObject Type="Embed" ProgID="Word.Picture.8" ShapeID="_x0000_i1093" DrawAspect="Content" ObjectID="_1811772427" r:id="rId146"/>
        </w:object>
      </w:r>
    </w:p>
    <w:p w14:paraId="78DA1E40" w14:textId="77777777" w:rsidR="00D40151" w:rsidRPr="00873B6C" w:rsidRDefault="00D40151" w:rsidP="00D40151">
      <w:pPr>
        <w:pStyle w:val="TF"/>
      </w:pPr>
      <w:bookmarkStart w:id="1365" w:name="_CRFigure5_6_4_31"/>
      <w:r w:rsidRPr="00873B6C">
        <w:t xml:space="preserve">Figure </w:t>
      </w:r>
      <w:bookmarkEnd w:id="1365"/>
      <w:r w:rsidRPr="00873B6C">
        <w:t>5.6.4.3-1: Multi-homed PDU Session: service continuity case</w:t>
      </w:r>
    </w:p>
    <w:p w14:paraId="62C779DB" w14:textId="77777777" w:rsidR="00D40151" w:rsidRPr="00873B6C" w:rsidRDefault="00D40151" w:rsidP="00D40151">
      <w:pPr>
        <w:pStyle w:val="NO"/>
      </w:pPr>
      <w:r w:rsidRPr="00873B6C">
        <w:t>NOTE 2:</w:t>
      </w:r>
      <w:r w:rsidRPr="00873B6C">
        <w:tab/>
        <w:t>It is possible for a given UPF to support both the Branching Point and the PDU Session Anchor functionalities.</w:t>
      </w:r>
    </w:p>
    <w:bookmarkStart w:id="1366" w:name="_MON_1566805957"/>
    <w:bookmarkEnd w:id="1366"/>
    <w:p w14:paraId="199AA319" w14:textId="77777777" w:rsidR="00D40151" w:rsidRPr="00873B6C" w:rsidRDefault="00D40151" w:rsidP="00D40151">
      <w:pPr>
        <w:pStyle w:val="TH"/>
      </w:pPr>
      <w:r w:rsidRPr="00873B6C">
        <w:object w:dxaOrig="7655" w:dyaOrig="3683" w14:anchorId="4C9AEC57">
          <v:shape id="_x0000_i1094" type="#_x0000_t75" style="width:381.9pt;height:185.3pt" o:ole="">
            <v:imagedata r:id="rId147" o:title=""/>
          </v:shape>
          <o:OLEObject Type="Embed" ProgID="Word.Picture.8" ShapeID="_x0000_i1094" DrawAspect="Content" ObjectID="_1811772428" r:id="rId148"/>
        </w:object>
      </w:r>
    </w:p>
    <w:p w14:paraId="5C6FB612" w14:textId="77777777" w:rsidR="00D40151" w:rsidRPr="00873B6C" w:rsidRDefault="00D40151" w:rsidP="00D40151">
      <w:pPr>
        <w:pStyle w:val="TF"/>
      </w:pPr>
      <w:bookmarkStart w:id="1367" w:name="_CRFigure5_6_4_32"/>
      <w:r w:rsidRPr="00873B6C">
        <w:t xml:space="preserve">Figure </w:t>
      </w:r>
      <w:bookmarkEnd w:id="1367"/>
      <w:r w:rsidRPr="00873B6C">
        <w:t>5.6.4.3-2: Multi-homed PDU Session: local access to same DN</w:t>
      </w:r>
    </w:p>
    <w:p w14:paraId="44A8AF06" w14:textId="77777777" w:rsidR="00D40151" w:rsidRPr="00873B6C" w:rsidRDefault="00D40151" w:rsidP="00D40151">
      <w:pPr>
        <w:pStyle w:val="NO"/>
      </w:pPr>
      <w:r w:rsidRPr="00873B6C">
        <w:t>NOTE 3:</w:t>
      </w:r>
      <w:r w:rsidRPr="00873B6C">
        <w:tab/>
        <w:t>It is possible for a given UPF to support both the Branching Point and the PDU Session Anchor functionalities.</w:t>
      </w:r>
    </w:p>
    <w:p w14:paraId="164F54E5" w14:textId="77777777" w:rsidR="00D40151" w:rsidRPr="00873B6C" w:rsidRDefault="00D40151" w:rsidP="00D40151">
      <w:pPr>
        <w:pStyle w:val="Heading3"/>
        <w:rPr>
          <w:lang w:eastAsia="ko-KR"/>
        </w:rPr>
      </w:pPr>
      <w:bookmarkStart w:id="1368" w:name="_CR5_6_5"/>
      <w:bookmarkStart w:id="1369" w:name="_Toc20149769"/>
      <w:bookmarkStart w:id="1370" w:name="_Toc27846561"/>
      <w:bookmarkStart w:id="1371" w:name="_Toc36187686"/>
      <w:bookmarkStart w:id="1372" w:name="_Toc45183590"/>
      <w:bookmarkStart w:id="1373" w:name="_Toc47342432"/>
      <w:bookmarkStart w:id="1374" w:name="_Toc51769132"/>
      <w:bookmarkStart w:id="1375" w:name="_Toc201157082"/>
      <w:bookmarkEnd w:id="1368"/>
      <w:r w:rsidRPr="00873B6C">
        <w:rPr>
          <w:lang w:eastAsia="ko-KR"/>
        </w:rPr>
        <w:t>5.6.5</w:t>
      </w:r>
      <w:r w:rsidRPr="00873B6C">
        <w:rPr>
          <w:lang w:eastAsia="ko-KR"/>
        </w:rPr>
        <w:tab/>
        <w:t>Support for Local Area Data Network</w:t>
      </w:r>
      <w:bookmarkEnd w:id="1369"/>
      <w:bookmarkEnd w:id="1370"/>
      <w:bookmarkEnd w:id="1371"/>
      <w:bookmarkEnd w:id="1372"/>
      <w:bookmarkEnd w:id="1373"/>
      <w:bookmarkEnd w:id="1374"/>
      <w:bookmarkEnd w:id="1375"/>
    </w:p>
    <w:p w14:paraId="7C789540" w14:textId="299C25F8" w:rsidR="00D40151" w:rsidRPr="00873B6C" w:rsidRDefault="00D40151" w:rsidP="00D40151">
      <w:r w:rsidRPr="00873B6C">
        <w:t>The access to a DN via a PDU Session for a LADN</w:t>
      </w:r>
      <w:r w:rsidRPr="00873B6C">
        <w:rPr>
          <w:lang w:eastAsia="ko-KR"/>
        </w:rPr>
        <w:t xml:space="preserve"> is only available in a specific </w:t>
      </w:r>
      <w:r w:rsidRPr="00873B6C">
        <w:rPr>
          <w:lang w:eastAsia="zh-CN"/>
        </w:rPr>
        <w:t>LA</w:t>
      </w:r>
      <w:r w:rsidRPr="00873B6C">
        <w:rPr>
          <w:lang w:eastAsia="ko-KR"/>
        </w:rPr>
        <w:t xml:space="preserve">DN service area. </w:t>
      </w:r>
      <w:r w:rsidRPr="00873B6C">
        <w:t>A LADN service area is a set of Tracking Areas. LADN is a service provided by the serving PLMN</w:t>
      </w:r>
      <w:r w:rsidR="00FE24CE" w:rsidRPr="00873B6C">
        <w:t xml:space="preserve"> or the serving SNPN</w:t>
      </w:r>
      <w:r w:rsidRPr="00873B6C">
        <w:t>. It includes:</w:t>
      </w:r>
    </w:p>
    <w:p w14:paraId="3902C411" w14:textId="77777777"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t>LADN service applies only to 3GPP accesses and does not apply in Home Routed case.</w:t>
      </w:r>
    </w:p>
    <w:p w14:paraId="3A2897EB" w14:textId="77777777"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t>The usage of LADN DNN requires an explicit subscription to this DNN or subscription to a wildcard DNN.</w:t>
      </w:r>
    </w:p>
    <w:p w14:paraId="4258E0BF" w14:textId="16BDE842"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t>Whether a DNN corresponds to a LADN service is an attribute of a DNN and is per PLMN</w:t>
      </w:r>
      <w:r w:rsidR="00FE24CE" w:rsidRPr="00873B6C">
        <w:rPr>
          <w:rFonts w:eastAsia="SimSun"/>
          <w:lang w:eastAsia="zh-CN"/>
        </w:rPr>
        <w:t xml:space="preserve"> or per SNPN</w:t>
      </w:r>
      <w:r w:rsidRPr="00873B6C">
        <w:rPr>
          <w:rFonts w:eastAsia="SimSun"/>
          <w:lang w:eastAsia="zh-CN"/>
        </w:rPr>
        <w:t>.</w:t>
      </w:r>
    </w:p>
    <w:p w14:paraId="66B2D913" w14:textId="584440B0" w:rsidR="00D40151" w:rsidRPr="00873B6C" w:rsidRDefault="00D40151" w:rsidP="00D40151">
      <w:pPr>
        <w:rPr>
          <w:rFonts w:eastAsia="SimSun"/>
          <w:lang w:eastAsia="zh-CN"/>
        </w:rPr>
      </w:pPr>
      <w:r w:rsidRPr="00873B6C">
        <w:rPr>
          <w:rFonts w:eastAsia="SimSun"/>
          <w:lang w:eastAsia="zh-CN"/>
        </w:rPr>
        <w:t>The UE is configured to know whether a DNN is a LADN DNN on a per-PLMN</w:t>
      </w:r>
      <w:r w:rsidR="00FE24CE" w:rsidRPr="00873B6C">
        <w:rPr>
          <w:rFonts w:eastAsia="SimSun"/>
          <w:lang w:eastAsia="zh-CN"/>
        </w:rPr>
        <w:t xml:space="preserve"> or per SNPN</w:t>
      </w:r>
      <w:r w:rsidRPr="00873B6C">
        <w:rPr>
          <w:rFonts w:eastAsia="SimSun"/>
          <w:lang w:eastAsia="zh-CN"/>
        </w:rPr>
        <w:t xml:space="preserve"> basis</w:t>
      </w:r>
      <w:r w:rsidR="00472CD7" w:rsidRPr="00873B6C">
        <w:rPr>
          <w:rFonts w:eastAsia="SimSun"/>
          <w:lang w:eastAsia="zh-CN"/>
        </w:rPr>
        <w:t xml:space="preserve"> and</w:t>
      </w:r>
      <w:r w:rsidRPr="00873B6C">
        <w:rPr>
          <w:rFonts w:eastAsia="SimSun"/>
          <w:lang w:eastAsia="zh-CN"/>
        </w:rPr>
        <w:t xml:space="preserve"> an association between application and LADN DNN. The configured association is considered to be a UE local configuration defined in </w:t>
      </w:r>
      <w:r w:rsidR="00972E70" w:rsidRPr="00873B6C">
        <w:rPr>
          <w:rFonts w:eastAsia="SimSun"/>
          <w:lang w:eastAsia="zh-CN"/>
        </w:rPr>
        <w:t>TS 23.503 [</w:t>
      </w:r>
      <w:r w:rsidRPr="00873B6C">
        <w:rPr>
          <w:rFonts w:eastAsia="SimSun"/>
          <w:lang w:eastAsia="zh-CN"/>
        </w:rPr>
        <w:t>45]. Alternatively, the UE gets the information whether a DNN is a LADN DNN from LADN Information during (re</w:t>
      </w:r>
      <w:r w:rsidRPr="00873B6C">
        <w:rPr>
          <w:rFonts w:eastAsia="SimSun"/>
          <w:lang w:eastAsia="zh-CN"/>
        </w:rPr>
        <w:noBreakHyphen/>
        <w:t>)registration procedure as described in this clause.</w:t>
      </w:r>
    </w:p>
    <w:p w14:paraId="763E97FF" w14:textId="77777777" w:rsidR="00D40151" w:rsidRPr="00873B6C" w:rsidRDefault="00D40151" w:rsidP="00D40151">
      <w:pPr>
        <w:pStyle w:val="NO"/>
        <w:rPr>
          <w:rFonts w:eastAsia="SimSun"/>
          <w:lang w:eastAsia="zh-CN"/>
        </w:rPr>
      </w:pPr>
      <w:r w:rsidRPr="00873B6C">
        <w:rPr>
          <w:rFonts w:eastAsia="SimSun"/>
          <w:lang w:eastAsia="zh-CN"/>
        </w:rPr>
        <w:t>NOTE 1:</w:t>
      </w:r>
      <w:r w:rsidRPr="00873B6C">
        <w:rPr>
          <w:rFonts w:eastAsia="SimSun"/>
          <w:lang w:eastAsia="zh-CN"/>
        </w:rPr>
        <w:tab/>
        <w:t>No other procedure for configuring the UE to know whether a DNN is a LADN DNN is defined in this release of the specifications.</w:t>
      </w:r>
    </w:p>
    <w:p w14:paraId="5A5A19A1" w14:textId="77777777" w:rsidR="00D40151" w:rsidRPr="00873B6C" w:rsidRDefault="00D40151" w:rsidP="00D40151">
      <w:pPr>
        <w:pStyle w:val="NO"/>
        <w:rPr>
          <w:rFonts w:eastAsia="SimSun"/>
          <w:lang w:eastAsia="zh-CN"/>
        </w:rPr>
      </w:pPr>
      <w:r w:rsidRPr="00873B6C">
        <w:rPr>
          <w:rFonts w:eastAsia="SimSun"/>
          <w:lang w:eastAsia="zh-CN"/>
        </w:rPr>
        <w:t>NOTE 2:</w:t>
      </w:r>
      <w:r w:rsidRPr="00873B6C">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873B6C" w:rsidRDefault="00D40151" w:rsidP="00D40151">
      <w:pPr>
        <w:rPr>
          <w:rFonts w:eastAsia="SimSun"/>
          <w:lang w:eastAsia="zh-CN"/>
        </w:rPr>
      </w:pPr>
      <w:r w:rsidRPr="00873B6C">
        <w:rPr>
          <w:lang w:eastAsia="zh-CN"/>
        </w:rPr>
        <w:t>LADN service area and LADN DNN</w:t>
      </w:r>
      <w:r w:rsidRPr="00873B6C">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873B6C" w:rsidRDefault="00D40151" w:rsidP="00D40151">
      <w:pPr>
        <w:pStyle w:val="NO"/>
        <w:rPr>
          <w:lang w:eastAsia="zh-CN"/>
        </w:rPr>
      </w:pPr>
      <w:r w:rsidRPr="00873B6C">
        <w:rPr>
          <w:lang w:eastAsia="zh-CN"/>
        </w:rPr>
        <w:t>NOTE 3:</w:t>
      </w:r>
      <w:r w:rsidRPr="00873B6C">
        <w:rPr>
          <w:lang w:eastAsia="zh-CN"/>
        </w:rPr>
        <w:tab/>
        <w:t>If a LADN is not available in any TA of an AMF's service area, the AMF is not required to be configured with any LADN related information for that DNN.</w:t>
      </w:r>
    </w:p>
    <w:p w14:paraId="055B8BC8" w14:textId="77777777" w:rsidR="00D40151" w:rsidRPr="00873B6C" w:rsidRDefault="00D40151" w:rsidP="00D40151">
      <w:pPr>
        <w:rPr>
          <w:lang w:eastAsia="ko-KR"/>
        </w:rPr>
      </w:pPr>
      <w:r w:rsidRPr="00873B6C">
        <w:rPr>
          <w:lang w:eastAsia="ko-KR"/>
        </w:rPr>
        <w:t xml:space="preserve">LADN Information (i.e. LADN Service Area Information and LADN DNN) is provided by AMF to the UE during the Registration procedure or UE </w:t>
      </w:r>
      <w:r w:rsidRPr="00873B6C">
        <w:rPr>
          <w:lang w:eastAsia="zh-CN"/>
        </w:rPr>
        <w:t>C</w:t>
      </w:r>
      <w:r w:rsidRPr="00873B6C">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873B6C" w:rsidRDefault="00D40151" w:rsidP="00D40151">
      <w:pPr>
        <w:pStyle w:val="NO"/>
        <w:rPr>
          <w:lang w:eastAsia="ko-KR"/>
        </w:rPr>
      </w:pPr>
      <w:r w:rsidRPr="00873B6C">
        <w:rPr>
          <w:lang w:eastAsia="ko-KR"/>
        </w:rPr>
        <w:t>NOTE 4:</w:t>
      </w:r>
      <w:r w:rsidRPr="00873B6C">
        <w:rPr>
          <w:lang w:eastAsia="ko-KR"/>
        </w:rPr>
        <w:tab/>
        <w:t>It is thus po</w:t>
      </w:r>
      <w:r w:rsidRPr="00873B6C">
        <w:t xml:space="preserve">ssible that the LADN Service Area Information sent </w:t>
      </w:r>
      <w:r w:rsidRPr="00873B6C">
        <w:rPr>
          <w:lang w:eastAsia="ko-KR"/>
        </w:rPr>
        <w:t xml:space="preserve">by the AMF to the UE contains only a sub-set of the full </w:t>
      </w:r>
      <w:r w:rsidRPr="00873B6C">
        <w:t>LADN service area as the LADN service area can contain TA(s) outside of the registration area of the UE or outside of the area served by the AMF.</w:t>
      </w:r>
    </w:p>
    <w:p w14:paraId="4F2662B0" w14:textId="3BE496E5" w:rsidR="00D40151" w:rsidRPr="00873B6C" w:rsidRDefault="00D40151" w:rsidP="00D40151">
      <w:r w:rsidRPr="00873B6C">
        <w:t xml:space="preserve">When the UE performs a successful (re-)registration procedure, the AMF </w:t>
      </w:r>
      <w:r w:rsidRPr="00873B6C">
        <w:rPr>
          <w:lang w:eastAsia="zh-CN"/>
        </w:rPr>
        <w:t xml:space="preserve">may </w:t>
      </w:r>
      <w:r w:rsidRPr="00873B6C">
        <w:t>provide to the UE, based on local configuration (e.g. via OAM) about LADN</w:t>
      </w:r>
      <w:r w:rsidRPr="00873B6C">
        <w:rPr>
          <w:lang w:eastAsia="zh-CN"/>
        </w:rPr>
        <w:t>, on UE location</w:t>
      </w:r>
      <w:r w:rsidR="00472CD7" w:rsidRPr="00873B6C">
        <w:rPr>
          <w:lang w:eastAsia="zh-CN"/>
        </w:rPr>
        <w:t xml:space="preserve"> and</w:t>
      </w:r>
      <w:r w:rsidRPr="00873B6C">
        <w:rPr>
          <w:lang w:eastAsia="zh-CN"/>
        </w:rPr>
        <w:t xml:space="preserve"> on UE subscription information</w:t>
      </w:r>
      <w:r w:rsidRPr="00873B6C">
        <w:t xml:space="preserve"> received from </w:t>
      </w:r>
      <w:r w:rsidRPr="00873B6C">
        <w:rPr>
          <w:rFonts w:eastAsia="SimSun"/>
          <w:lang w:eastAsia="zh-CN"/>
        </w:rPr>
        <w:t xml:space="preserve">the </w:t>
      </w:r>
      <w:r w:rsidRPr="00873B6C">
        <w:lastRenderedPageBreak/>
        <w:t>UDM about subscribed DNN(s)</w:t>
      </w:r>
      <w:r w:rsidRPr="00873B6C">
        <w:rPr>
          <w:lang w:eastAsia="zh-CN"/>
        </w:rPr>
        <w:t>,</w:t>
      </w:r>
      <w:r w:rsidRPr="00873B6C">
        <w:t xml:space="preserve"> the LADN Information for the list of LADN available to the UE in that Registration Area in the Registration Accept message.</w:t>
      </w:r>
    </w:p>
    <w:p w14:paraId="0EA4C937" w14:textId="77777777" w:rsidR="00D40151" w:rsidRPr="00873B6C" w:rsidRDefault="00D40151" w:rsidP="00D40151">
      <w:r w:rsidRPr="00873B6C">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873B6C" w:rsidRDefault="00D40151" w:rsidP="00D40151">
      <w:r w:rsidRPr="00873B6C">
        <w:t>The list of LADN is determined as follows:</w:t>
      </w:r>
    </w:p>
    <w:p w14:paraId="2D496C8A" w14:textId="77777777" w:rsidR="00D40151" w:rsidRPr="00873B6C" w:rsidRDefault="00D40151" w:rsidP="00D40151">
      <w:pPr>
        <w:pStyle w:val="B1"/>
      </w:pPr>
      <w:r w:rsidRPr="00873B6C">
        <w:t>-</w:t>
      </w:r>
      <w:r w:rsidRPr="00873B6C">
        <w:tab/>
        <w:t>If neither LADN DNN nor an indication of requesting LADN Information is provided in the Registration Request message, the list of LADN is the LADN DNN(s) in subscribed DNN list except for wildcard DNN.</w:t>
      </w:r>
    </w:p>
    <w:p w14:paraId="74D5A9E5" w14:textId="77777777" w:rsidR="00D40151" w:rsidRPr="00873B6C" w:rsidRDefault="00D40151" w:rsidP="00D40151">
      <w:pPr>
        <w:pStyle w:val="B1"/>
      </w:pPr>
      <w:r w:rsidRPr="00873B6C">
        <w:t>-</w:t>
      </w:r>
      <w:r w:rsidRPr="00873B6C">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873B6C" w:rsidRDefault="00D40151" w:rsidP="00D40151">
      <w:pPr>
        <w:pStyle w:val="NO"/>
      </w:pPr>
      <w:r w:rsidRPr="00873B6C">
        <w:t>NOTE 5:</w:t>
      </w:r>
      <w:r w:rsidRPr="00873B6C">
        <w:tab/>
        <w:t>It is assumed that an application can use only one LADN DNN at a time.</w:t>
      </w:r>
    </w:p>
    <w:p w14:paraId="0F694E95" w14:textId="77777777" w:rsidR="00D40151" w:rsidRPr="00873B6C" w:rsidRDefault="00D40151" w:rsidP="00D40151">
      <w:pPr>
        <w:pStyle w:val="B1"/>
      </w:pPr>
      <w:r w:rsidRPr="00873B6C">
        <w:t>-</w:t>
      </w:r>
      <w:r w:rsidRPr="00873B6C">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873B6C" w:rsidRDefault="00D40151" w:rsidP="00D40151">
      <w:r w:rsidRPr="00873B6C">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873B6C" w:rsidRDefault="00D40151" w:rsidP="00D40151">
      <w:r w:rsidRPr="00873B6C">
        <w:t>During the subsequent Registration procedure, if the network does not provide LADN Information for a DNN, the UE deletes any LADN Information for that DNN.</w:t>
      </w:r>
    </w:p>
    <w:p w14:paraId="0B00EB7E" w14:textId="575091DC" w:rsidR="00D40151" w:rsidRPr="00873B6C" w:rsidRDefault="00D40151" w:rsidP="00D40151">
      <w:pPr>
        <w:rPr>
          <w:lang w:eastAsia="ko-KR"/>
        </w:rPr>
      </w:pPr>
      <w:r w:rsidRPr="00873B6C">
        <w:rPr>
          <w:lang w:eastAsia="ko-KR"/>
        </w:rPr>
        <w:t xml:space="preserve">When the LADN Information </w:t>
      </w:r>
      <w:r w:rsidRPr="00873B6C">
        <w:rPr>
          <w:lang w:eastAsia="zh-CN"/>
        </w:rPr>
        <w:t xml:space="preserve">for the UE </w:t>
      </w:r>
      <w:r w:rsidRPr="00873B6C">
        <w:rPr>
          <w:lang w:eastAsia="ko-KR"/>
        </w:rPr>
        <w:t xml:space="preserve">in the 5GC </w:t>
      </w:r>
      <w:r w:rsidRPr="00873B6C">
        <w:rPr>
          <w:lang w:eastAsia="zh-CN"/>
        </w:rPr>
        <w:t>is</w:t>
      </w:r>
      <w:r w:rsidRPr="00873B6C">
        <w:rPr>
          <w:lang w:eastAsia="ko-KR"/>
        </w:rPr>
        <w:t xml:space="preserve"> change</w:t>
      </w:r>
      <w:r w:rsidRPr="00873B6C">
        <w:rPr>
          <w:lang w:eastAsia="zh-CN"/>
        </w:rPr>
        <w:t>d</w:t>
      </w:r>
      <w:r w:rsidRPr="00873B6C">
        <w:rPr>
          <w:lang w:eastAsia="ko-KR"/>
        </w:rPr>
        <w:t xml:space="preserve">, the AMF </w:t>
      </w:r>
      <w:r w:rsidRPr="00873B6C">
        <w:rPr>
          <w:lang w:eastAsia="zh-CN"/>
        </w:rPr>
        <w:t xml:space="preserve">shall </w:t>
      </w:r>
      <w:r w:rsidRPr="00873B6C">
        <w:rPr>
          <w:lang w:eastAsia="ko-KR"/>
        </w:rPr>
        <w:t xml:space="preserve">update LADN Information to the UE through UE </w:t>
      </w:r>
      <w:r w:rsidRPr="00873B6C">
        <w:rPr>
          <w:lang w:eastAsia="zh-CN"/>
        </w:rPr>
        <w:t>C</w:t>
      </w:r>
      <w:r w:rsidRPr="00873B6C">
        <w:rPr>
          <w:lang w:eastAsia="ko-KR"/>
        </w:rPr>
        <w:t>onfiguration Update/Registration procedure</w:t>
      </w:r>
      <w:r w:rsidRPr="00873B6C">
        <w:t xml:space="preserve"> as described in clause</w:t>
      </w:r>
      <w:r w:rsidR="00960CDA" w:rsidRPr="00873B6C">
        <w:t xml:space="preserve">s </w:t>
      </w:r>
      <w:r w:rsidRPr="00873B6C">
        <w:t>4.2.4</w:t>
      </w:r>
      <w:r w:rsidR="00960CDA" w:rsidRPr="00873B6C">
        <w:t xml:space="preserve"> / </w:t>
      </w:r>
      <w:r w:rsidRPr="00873B6C">
        <w:t xml:space="preserve">4.2.2.2.2 </w:t>
      </w:r>
      <w:r w:rsidR="00960CDA" w:rsidRPr="00873B6C">
        <w:t>of</w:t>
      </w:r>
      <w:r w:rsidRPr="00873B6C">
        <w:t xml:space="preserve"> </w:t>
      </w:r>
      <w:r w:rsidR="00972E70" w:rsidRPr="00873B6C">
        <w:t>TS 23.502 [</w:t>
      </w:r>
      <w:r w:rsidRPr="00873B6C">
        <w:t>3]</w:t>
      </w:r>
      <w:r w:rsidRPr="00873B6C">
        <w:rPr>
          <w:lang w:eastAsia="ko-KR"/>
        </w:rPr>
        <w:t>.</w:t>
      </w:r>
    </w:p>
    <w:p w14:paraId="3D56F48D" w14:textId="77777777" w:rsidR="00D40151" w:rsidRPr="00873B6C" w:rsidRDefault="00D40151" w:rsidP="00D40151">
      <w:r w:rsidRPr="00873B6C">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873B6C" w:rsidRDefault="00D40151" w:rsidP="00D40151">
      <w:r w:rsidRPr="00873B6C">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873B6C" w:rsidRDefault="00D40151" w:rsidP="00D40151">
      <w:pPr>
        <w:rPr>
          <w:lang w:eastAsia="ko-KR"/>
        </w:rPr>
      </w:pPr>
      <w:r w:rsidRPr="00873B6C">
        <w:t>The UE takes actions as follows:</w:t>
      </w:r>
    </w:p>
    <w:p w14:paraId="55A341A9" w14:textId="77777777" w:rsidR="00D40151" w:rsidRPr="00873B6C" w:rsidRDefault="00D40151" w:rsidP="00D40151">
      <w:pPr>
        <w:pStyle w:val="B1"/>
        <w:rPr>
          <w:rFonts w:eastAsia="MS Mincho"/>
        </w:rPr>
      </w:pPr>
      <w:r w:rsidRPr="00873B6C">
        <w:rPr>
          <w:rFonts w:eastAsia="MS Mincho"/>
        </w:rPr>
        <w:t>a)</w:t>
      </w:r>
      <w:r w:rsidRPr="00873B6C">
        <w:rPr>
          <w:rFonts w:eastAsia="MS Mincho"/>
        </w:rPr>
        <w:tab/>
        <w:t>When the UE is out of a LADN service area, the UE:</w:t>
      </w:r>
    </w:p>
    <w:p w14:paraId="731AD46C" w14:textId="77777777" w:rsidR="00D40151" w:rsidRPr="00873B6C" w:rsidRDefault="00D40151" w:rsidP="00D40151">
      <w:pPr>
        <w:pStyle w:val="B2"/>
        <w:rPr>
          <w:rFonts w:eastAsia="MS Mincho"/>
        </w:rPr>
      </w:pPr>
      <w:r w:rsidRPr="00873B6C">
        <w:rPr>
          <w:rFonts w:eastAsia="MS Mincho"/>
        </w:rPr>
        <w:t>-</w:t>
      </w:r>
      <w:r w:rsidRPr="00873B6C">
        <w:rPr>
          <w:rFonts w:eastAsia="MS Mincho"/>
        </w:rPr>
        <w:tab/>
        <w:t>shall not request to activate UP connection of a PDU Session for this LADN DNN;</w:t>
      </w:r>
    </w:p>
    <w:p w14:paraId="3E8A48C3" w14:textId="394C1EA5" w:rsidR="00C86B51" w:rsidRPr="00873B6C" w:rsidRDefault="00C86B51" w:rsidP="00D40151">
      <w:pPr>
        <w:pStyle w:val="B2"/>
        <w:rPr>
          <w:rFonts w:eastAsia="MS Mincho"/>
        </w:rPr>
      </w:pPr>
      <w:r w:rsidRPr="00873B6C">
        <w:rPr>
          <w:rFonts w:eastAsia="MS Mincho"/>
        </w:rPr>
        <w:t>-</w:t>
      </w:r>
      <w:r w:rsidRPr="00873B6C">
        <w:rPr>
          <w:rFonts w:eastAsia="MS Mincho"/>
        </w:rPr>
        <w:tab/>
        <w:t>shall not attempt to send user data as payload of a NAS message (see clause 5.31.4.1) using a PDU Session for this LADN DNN;</w:t>
      </w:r>
    </w:p>
    <w:p w14:paraId="67541FE1" w14:textId="6A2C3F6E" w:rsidR="00D40151" w:rsidRPr="00873B6C" w:rsidRDefault="00D40151" w:rsidP="00D40151">
      <w:pPr>
        <w:pStyle w:val="B2"/>
        <w:rPr>
          <w:rFonts w:eastAsia="MS Mincho"/>
        </w:rPr>
      </w:pPr>
      <w:r w:rsidRPr="00873B6C">
        <w:rPr>
          <w:rFonts w:eastAsia="MS Mincho"/>
        </w:rPr>
        <w:t>-</w:t>
      </w:r>
      <w:r w:rsidRPr="00873B6C">
        <w:rPr>
          <w:rFonts w:eastAsia="MS Mincho"/>
        </w:rPr>
        <w:tab/>
        <w:t>shall not establish/modify a PDU Session for this LADN DNN (except for PS Data Off status change reporting for an established PDU Session);</w:t>
      </w:r>
    </w:p>
    <w:p w14:paraId="2157E344" w14:textId="77777777" w:rsidR="00D40151" w:rsidRPr="00873B6C" w:rsidRDefault="00D40151" w:rsidP="00D40151">
      <w:pPr>
        <w:pStyle w:val="B2"/>
        <w:rPr>
          <w:rFonts w:eastAsia="MS Mincho"/>
        </w:rPr>
      </w:pPr>
      <w:r w:rsidRPr="00873B6C">
        <w:rPr>
          <w:rFonts w:eastAsia="MS Mincho"/>
        </w:rPr>
        <w:t>-</w:t>
      </w:r>
      <w:r w:rsidRPr="00873B6C">
        <w:rPr>
          <w:rFonts w:eastAsia="MS Mincho"/>
        </w:rPr>
        <w:tab/>
        <w:t>need not release any existing PDU Session for this LADN DNN unless UE receives explicit SM PDU Session Release Request message from the network.</w:t>
      </w:r>
    </w:p>
    <w:p w14:paraId="43B66A17" w14:textId="77777777" w:rsidR="00D40151" w:rsidRPr="00873B6C" w:rsidRDefault="00D40151" w:rsidP="00D40151">
      <w:pPr>
        <w:pStyle w:val="B1"/>
        <w:rPr>
          <w:rFonts w:eastAsia="MS Mincho"/>
        </w:rPr>
      </w:pPr>
      <w:r w:rsidRPr="00873B6C">
        <w:rPr>
          <w:rFonts w:eastAsia="MS Mincho"/>
        </w:rPr>
        <w:t>b)</w:t>
      </w:r>
      <w:r w:rsidRPr="00873B6C">
        <w:rPr>
          <w:rFonts w:eastAsia="MS Mincho"/>
        </w:rPr>
        <w:tab/>
        <w:t>When the UE is in a LADN service area, the UE:</w:t>
      </w:r>
    </w:p>
    <w:p w14:paraId="4810CBA6" w14:textId="77777777" w:rsidR="00D40151" w:rsidRPr="00873B6C" w:rsidRDefault="00D40151" w:rsidP="00D40151">
      <w:pPr>
        <w:pStyle w:val="B2"/>
        <w:rPr>
          <w:rFonts w:eastAsia="MS Mincho"/>
        </w:rPr>
      </w:pPr>
      <w:r w:rsidRPr="00873B6C">
        <w:rPr>
          <w:rFonts w:eastAsia="MS Mincho"/>
        </w:rPr>
        <w:t>-</w:t>
      </w:r>
      <w:r w:rsidRPr="00873B6C">
        <w:rPr>
          <w:rFonts w:eastAsia="MS Mincho"/>
        </w:rPr>
        <w:tab/>
        <w:t>may request a PDU Session Establishment/Modification for this LADN DNN;</w:t>
      </w:r>
    </w:p>
    <w:p w14:paraId="47616A3C" w14:textId="3013619B" w:rsidR="00D40151" w:rsidRPr="00873B6C" w:rsidRDefault="00D40151" w:rsidP="00D40151">
      <w:pPr>
        <w:pStyle w:val="B2"/>
        <w:rPr>
          <w:rFonts w:eastAsia="MS Mincho"/>
        </w:rPr>
      </w:pPr>
      <w:r w:rsidRPr="00873B6C">
        <w:rPr>
          <w:rFonts w:eastAsia="MS Mincho"/>
        </w:rPr>
        <w:t>-</w:t>
      </w:r>
      <w:r w:rsidRPr="00873B6C">
        <w:rPr>
          <w:rFonts w:eastAsia="MS Mincho"/>
        </w:rPr>
        <w:tab/>
        <w:t>may request to activate UP connection of the existing PDU Session for this LADN DNN</w:t>
      </w:r>
      <w:r w:rsidR="00C86B51" w:rsidRPr="00873B6C">
        <w:rPr>
          <w:rFonts w:eastAsia="MS Mincho"/>
        </w:rPr>
        <w:t>;</w:t>
      </w:r>
    </w:p>
    <w:p w14:paraId="2AAE49EE" w14:textId="07A8EB8B" w:rsidR="00C86B51" w:rsidRPr="00873B6C" w:rsidRDefault="00C86B51" w:rsidP="00C86B51">
      <w:pPr>
        <w:pStyle w:val="B2"/>
        <w:rPr>
          <w:rFonts w:eastAsia="MS Mincho"/>
        </w:rPr>
      </w:pPr>
      <w:r w:rsidRPr="00873B6C">
        <w:rPr>
          <w:rFonts w:eastAsia="MS Mincho"/>
        </w:rPr>
        <w:t>-</w:t>
      </w:r>
      <w:r w:rsidRPr="00873B6C">
        <w:rPr>
          <w:rFonts w:eastAsia="MS Mincho"/>
        </w:rPr>
        <w:tab/>
        <w:t>may attempt to send user data as payload of a NAS message (see clause 5.31.4.1) using a PDU Session for this LADN DNN.</w:t>
      </w:r>
    </w:p>
    <w:p w14:paraId="645F6C65" w14:textId="3835EEE2" w:rsidR="00C60901" w:rsidRPr="00873B6C" w:rsidRDefault="00C60901" w:rsidP="00C74FFE">
      <w:pPr>
        <w:pStyle w:val="NO"/>
        <w:rPr>
          <w:rFonts w:eastAsia="MS Mincho"/>
        </w:rPr>
      </w:pPr>
      <w:r w:rsidRPr="00873B6C">
        <w:rPr>
          <w:rFonts w:eastAsia="MS Mincho"/>
        </w:rPr>
        <w:lastRenderedPageBreak/>
        <w:t>NOTE 6:</w:t>
      </w:r>
      <w:r w:rsidRPr="00873B6C">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873B6C" w:rsidRDefault="00D40151" w:rsidP="00D40151">
      <w:pPr>
        <w:rPr>
          <w:rFonts w:eastAsia="MS Mincho"/>
        </w:rPr>
      </w:pPr>
      <w:r w:rsidRPr="00873B6C">
        <w:rPr>
          <w:rFonts w:eastAsia="MS Mincho"/>
        </w:rPr>
        <w:t>The SMF supporting a DNN is configured with information about whether this DNN is a LADN DNN or not.</w:t>
      </w:r>
    </w:p>
    <w:p w14:paraId="3AABABAF" w14:textId="77777777" w:rsidR="00D40151" w:rsidRPr="00873B6C" w:rsidRDefault="00D40151" w:rsidP="00D40151">
      <w:pPr>
        <w:rPr>
          <w:rFonts w:eastAsia="MS Mincho"/>
        </w:rPr>
      </w:pPr>
      <w:r w:rsidRPr="00873B6C">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873B6C" w:rsidRDefault="00D40151" w:rsidP="00D40151">
      <w:pPr>
        <w:rPr>
          <w:rFonts w:eastAsia="MS Mincho"/>
        </w:rPr>
      </w:pPr>
      <w:r w:rsidRPr="00873B6C">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873B6C" w:rsidRDefault="00D40151" w:rsidP="00D40151">
      <w:r w:rsidRPr="00873B6C">
        <w:t xml:space="preserve">Based on the </w:t>
      </w:r>
      <w:r w:rsidRPr="00873B6C">
        <w:rPr>
          <w:rFonts w:eastAsia="SimSun"/>
          <w:lang w:eastAsia="zh-CN"/>
        </w:rPr>
        <w:t xml:space="preserve">notification </w:t>
      </w:r>
      <w:r w:rsidRPr="00873B6C">
        <w:t>about the UE presence in LADN service area notified by AMF (i.e. IN, OUT, or UNKNOWN), the SMF takes actions as follows based on operator's policy:</w:t>
      </w:r>
    </w:p>
    <w:p w14:paraId="58C519A8" w14:textId="77777777" w:rsidR="00D40151" w:rsidRPr="00873B6C" w:rsidRDefault="00D40151" w:rsidP="00D40151">
      <w:pPr>
        <w:pStyle w:val="B1"/>
      </w:pPr>
      <w:r w:rsidRPr="00873B6C">
        <w:t>a)</w:t>
      </w:r>
      <w:r w:rsidRPr="00873B6C">
        <w:tab/>
        <w:t>When SMF is informed that the UE presence in a LADN service area is OUT, the SMF shall:</w:t>
      </w:r>
    </w:p>
    <w:p w14:paraId="1C762E88" w14:textId="77777777" w:rsidR="00D40151" w:rsidRPr="00873B6C" w:rsidRDefault="00D40151" w:rsidP="00D40151">
      <w:pPr>
        <w:pStyle w:val="B2"/>
      </w:pPr>
      <w:r w:rsidRPr="00873B6C">
        <w:t>-</w:t>
      </w:r>
      <w:r w:rsidRPr="00873B6C">
        <w:tab/>
        <w:t>release the PDU Session immediately; or</w:t>
      </w:r>
    </w:p>
    <w:p w14:paraId="7CE3CB7A" w14:textId="729446BB" w:rsidR="00D40151" w:rsidRPr="00873B6C" w:rsidRDefault="00D40151" w:rsidP="00D40151">
      <w:pPr>
        <w:pStyle w:val="B2"/>
      </w:pPr>
      <w:r w:rsidRPr="00873B6C">
        <w:t>-</w:t>
      </w:r>
      <w:r w:rsidRPr="00873B6C">
        <w:tab/>
        <w:t xml:space="preserve">deactivate the user plane connection for the PDU Session </w:t>
      </w:r>
      <w:r w:rsidR="00C86B51" w:rsidRPr="00873B6C">
        <w:t xml:space="preserve">and it shall not attempt to send user data as payload of a NAS message (see clause 5.31.4.1) while </w:t>
      </w:r>
      <w:r w:rsidRPr="00873B6C">
        <w:t>maintaining the PDU Session and ensure the Data Notification is disabled and the SMF may release the PDU Session if the SMF is not informed that the UE moves into the LADN service area after a period.</w:t>
      </w:r>
    </w:p>
    <w:p w14:paraId="4A0210BD" w14:textId="77777777" w:rsidR="00D40151" w:rsidRPr="00873B6C" w:rsidRDefault="00D40151" w:rsidP="00D40151">
      <w:pPr>
        <w:pStyle w:val="B1"/>
      </w:pPr>
      <w:r w:rsidRPr="00873B6C">
        <w:t>b)</w:t>
      </w:r>
      <w:r w:rsidRPr="00873B6C">
        <w:tab/>
        <w:t>When SMF is informed that the UE presence a LADN service area is IN, the SMF shall:</w:t>
      </w:r>
    </w:p>
    <w:p w14:paraId="4C490198" w14:textId="77777777" w:rsidR="00D40151" w:rsidRPr="00873B6C" w:rsidRDefault="00D40151" w:rsidP="00D40151">
      <w:pPr>
        <w:pStyle w:val="B2"/>
      </w:pPr>
      <w:r w:rsidRPr="00873B6C">
        <w:t>-</w:t>
      </w:r>
      <w:r w:rsidRPr="00873B6C">
        <w:tab/>
        <w:t>ensure that Data Notification is enabled.</w:t>
      </w:r>
    </w:p>
    <w:p w14:paraId="27CF0361" w14:textId="51F42802" w:rsidR="00D40151" w:rsidRPr="00873B6C" w:rsidRDefault="00D40151" w:rsidP="00D40151">
      <w:pPr>
        <w:pStyle w:val="B2"/>
      </w:pPr>
      <w:r w:rsidRPr="00873B6C">
        <w:t>-</w:t>
      </w:r>
      <w:r w:rsidRPr="00873B6C">
        <w:tab/>
        <w:t>trigger the Network triggered Service Request procedure for a LADN PDU Session to active the UP connection</w:t>
      </w:r>
      <w:r w:rsidR="00C86B51" w:rsidRPr="00873B6C">
        <w:t xml:space="preserve"> or send user data as payload of a NAS message (see clause 5.31.4.1)</w:t>
      </w:r>
      <w:r w:rsidRPr="00873B6C">
        <w:t xml:space="preserve"> when the SMF receives downlink data or Data Notification from UPF.</w:t>
      </w:r>
    </w:p>
    <w:p w14:paraId="4BC16DF0" w14:textId="77777777" w:rsidR="00D40151" w:rsidRPr="00873B6C" w:rsidRDefault="00D40151" w:rsidP="00D40151">
      <w:pPr>
        <w:pStyle w:val="B1"/>
      </w:pPr>
      <w:r w:rsidRPr="00873B6C">
        <w:t>c)</w:t>
      </w:r>
      <w:r w:rsidRPr="00873B6C">
        <w:tab/>
        <w:t>When the SMF is informed that the UE presence in a LADN service area is UNKNOWN, the SMF may:</w:t>
      </w:r>
    </w:p>
    <w:p w14:paraId="56A377E3" w14:textId="77777777" w:rsidR="00D40151" w:rsidRPr="00873B6C" w:rsidRDefault="00D40151" w:rsidP="00D40151">
      <w:pPr>
        <w:pStyle w:val="B2"/>
      </w:pPr>
      <w:r w:rsidRPr="00873B6C">
        <w:t>-</w:t>
      </w:r>
      <w:r w:rsidRPr="00873B6C">
        <w:tab/>
        <w:t>ensure that Data Notification is enabled.</w:t>
      </w:r>
    </w:p>
    <w:p w14:paraId="583B284A" w14:textId="66C63356" w:rsidR="00D40151" w:rsidRPr="00873B6C" w:rsidRDefault="00D40151" w:rsidP="00D40151">
      <w:pPr>
        <w:pStyle w:val="B2"/>
      </w:pPr>
      <w:r w:rsidRPr="00873B6C">
        <w:t>-</w:t>
      </w:r>
      <w:r w:rsidRPr="00873B6C">
        <w:tab/>
        <w:t>trigger the Network triggered Service Request procedure for a LADN PDU Session to active the UP connection</w:t>
      </w:r>
      <w:r w:rsidR="00C86B51" w:rsidRPr="00873B6C">
        <w:t xml:space="preserve"> or send user data as payload of a NAS message (see clause 5.31.4.1)</w:t>
      </w:r>
      <w:r w:rsidRPr="00873B6C">
        <w:t xml:space="preserve"> when the SMF receives downlink data or Data Notification from UPF.</w:t>
      </w:r>
    </w:p>
    <w:p w14:paraId="7868014E" w14:textId="76E20924" w:rsidR="00405088" w:rsidRPr="00873B6C" w:rsidRDefault="00405088" w:rsidP="00323277">
      <w:bookmarkStart w:id="1376" w:name="_Toc20149770"/>
      <w:bookmarkStart w:id="1377" w:name="_Toc27846562"/>
      <w:bookmarkStart w:id="1378" w:name="_Toc36187687"/>
      <w:bookmarkStart w:id="1379" w:name="_Toc45183591"/>
      <w:bookmarkStart w:id="1380" w:name="_Toc47342433"/>
      <w:bookmarkStart w:id="1381" w:name="_Toc51769133"/>
      <w:r w:rsidRPr="00873B6C">
        <w:t xml:space="preserve">SMF may make use of UE mobility analytics provided by NWDAF, as described in clause 6.7.2 of </w:t>
      </w:r>
      <w:r w:rsidR="00972E70" w:rsidRPr="00873B6C">
        <w:t>TS 23.288 [</w:t>
      </w:r>
      <w:r w:rsidRPr="00873B6C">
        <w:t>86], to determine UE presence pattern in LADN service area and take a decision how to handle LADN PDN Session (e.g. release the PDU Session immediately, or deactivate the user plane connection for the PDU Session with maintaining the PDU Session).</w:t>
      </w:r>
    </w:p>
    <w:p w14:paraId="2C3E6272" w14:textId="464B7540" w:rsidR="004969CB" w:rsidRPr="00873B6C" w:rsidRDefault="004969CB" w:rsidP="00D40151">
      <w:pPr>
        <w:pStyle w:val="Heading3"/>
      </w:pPr>
      <w:bookmarkStart w:id="1382" w:name="_CR5_6_5a"/>
      <w:bookmarkStart w:id="1383" w:name="_Toc201157083"/>
      <w:bookmarkEnd w:id="1382"/>
      <w:r w:rsidRPr="00873B6C">
        <w:t>5.6.5a</w:t>
      </w:r>
      <w:r w:rsidRPr="00873B6C">
        <w:tab/>
        <w:t>Supporting LADN per DNN and S-NSSAI</w:t>
      </w:r>
      <w:bookmarkEnd w:id="1383"/>
    </w:p>
    <w:p w14:paraId="2A0AD219" w14:textId="305717BB" w:rsidR="004969CB" w:rsidRPr="00873B6C" w:rsidRDefault="004969CB" w:rsidP="004969CB">
      <w:r w:rsidRPr="00873B6C">
        <w:t>The 5GS may support LADN per DNN and S-NSSAI</w:t>
      </w:r>
      <w:r w:rsidR="00472CD7" w:rsidRPr="00873B6C">
        <w:t xml:space="preserve"> and</w:t>
      </w:r>
      <w:r w:rsidRPr="00873B6C">
        <w:t xml:space="preserve"> the functions specified in clause 5.6.5 are used (with the extension to apply per DNN and S-NSSAI whenever applicable) with the following enhancements:</w:t>
      </w:r>
    </w:p>
    <w:p w14:paraId="2E7FC130" w14:textId="77777777" w:rsidR="004969CB" w:rsidRPr="00873B6C" w:rsidRDefault="004969CB" w:rsidP="00972E70">
      <w:pPr>
        <w:pStyle w:val="B1"/>
      </w:pPr>
      <w:r w:rsidRPr="00873B6C">
        <w:t>-</w:t>
      </w:r>
      <w:r w:rsidRPr="00873B6C">
        <w:tab/>
        <w:t>The UE indicates the support of LADN per DNN and S-NSSAI in the UE MM Core Network Capability of the Registration Request message.</w:t>
      </w:r>
    </w:p>
    <w:p w14:paraId="5540FAAB" w14:textId="38C24B5B" w:rsidR="004969CB" w:rsidRPr="00873B6C" w:rsidRDefault="004969CB" w:rsidP="00972E70">
      <w:pPr>
        <w:pStyle w:val="B1"/>
      </w:pPr>
      <w:r w:rsidRPr="00873B6C">
        <w:t>-</w:t>
      </w:r>
      <w:r w:rsidRPr="00873B6C">
        <w:tab/>
        <w:t xml:space="preserve">The LADN </w:t>
      </w:r>
      <w:r w:rsidR="00424087" w:rsidRPr="00873B6C">
        <w:t>s</w:t>
      </w:r>
      <w:r w:rsidRPr="00873B6C">
        <w:t xml:space="preserve">ervice </w:t>
      </w:r>
      <w:r w:rsidR="00424087" w:rsidRPr="00873B6C">
        <w:t>a</w:t>
      </w:r>
      <w:r w:rsidRPr="00873B6C">
        <w:t xml:space="preserve">rea can be provisioned for a group (e.g. 5G VN group) or an individual subscriber using UDM/NEF parameter provisioning service triggered by AF request as described in clause 4.15.6 of </w:t>
      </w:r>
      <w:r w:rsidR="00972E70" w:rsidRPr="00873B6C">
        <w:t>TS 23.502 [</w:t>
      </w:r>
      <w:r w:rsidRPr="00873B6C">
        <w:t>3].</w:t>
      </w:r>
    </w:p>
    <w:p w14:paraId="31710467" w14:textId="77777777" w:rsidR="00424087" w:rsidRPr="00873B6C" w:rsidRDefault="00424087" w:rsidP="00972E70">
      <w:pPr>
        <w:pStyle w:val="B1"/>
      </w:pPr>
      <w:r w:rsidRPr="00873B6C">
        <w:t>-</w:t>
      </w:r>
      <w:r w:rsidRPr="00873B6C">
        <w:tab/>
        <w:t>LADN service area per DNN and S-NSSAI may be configured in the AMF. The LADN service area may also be provided to AMF as part of the subscription data from UDM.</w:t>
      </w:r>
    </w:p>
    <w:p w14:paraId="2818ACD2" w14:textId="77777777" w:rsidR="00424087" w:rsidRPr="00873B6C" w:rsidRDefault="00424087" w:rsidP="00972E70">
      <w:pPr>
        <w:pStyle w:val="B1"/>
      </w:pPr>
      <w:r w:rsidRPr="00873B6C">
        <w:t>-</w:t>
      </w:r>
      <w:r w:rsidRPr="00873B6C">
        <w:tab/>
        <w:t xml:space="preserve">The LADN Service Area Information provided to the UE is determined by AMF, based on the Registration Area that the AMF assigns to the UE and either the local configured LADN service area or the LADN service area </w:t>
      </w:r>
      <w:r w:rsidRPr="00873B6C">
        <w:lastRenderedPageBreak/>
        <w:t>received from UDM. In case there is both a configured LADN service area and a LADN service area received from UDM, the AMF decides based on operator configuration which one takes precedence.</w:t>
      </w:r>
    </w:p>
    <w:p w14:paraId="13D263C0" w14:textId="77777777" w:rsidR="00424087" w:rsidRPr="00873B6C" w:rsidRDefault="00424087" w:rsidP="00972E70">
      <w:pPr>
        <w:pStyle w:val="B1"/>
      </w:pPr>
      <w:r w:rsidRPr="00873B6C">
        <w:t>-</w:t>
      </w:r>
      <w:r w:rsidRPr="00873B6C">
        <w:tab/>
        <w:t>If the UE indicates support of LADN per DNN and S-NSSAI, the AMF may provide the LADN Service Area Information per LADN DNN and S-NSSAI to the UE.</w:t>
      </w:r>
    </w:p>
    <w:p w14:paraId="26AA011E" w14:textId="77777777" w:rsidR="00456BDF" w:rsidRPr="00873B6C" w:rsidRDefault="00456BDF" w:rsidP="00972E70">
      <w:pPr>
        <w:pStyle w:val="B1"/>
      </w:pPr>
      <w:r w:rsidRPr="00873B6C">
        <w:t>-</w:t>
      </w:r>
      <w:r w:rsidRPr="00873B6C">
        <w:tab/>
        <w:t>When the UE has an ongoing PDU session and there is no LADN service area for the DNN and S-NSSAI of the PDU session, the AMF will release the ongoing PDU session if the AMF determines to configure the LADN service area configured per LADN DNN and S-NSSAI for the associated DNN and S-NSSAI (e.g. due to notification from UDM or local configuration update).</w:t>
      </w:r>
    </w:p>
    <w:p w14:paraId="65DC1B21" w14:textId="77777777" w:rsidR="00456BDF" w:rsidRPr="00873B6C" w:rsidRDefault="00456BDF" w:rsidP="00972E70">
      <w:pPr>
        <w:pStyle w:val="B1"/>
      </w:pPr>
      <w:r w:rsidRPr="00873B6C">
        <w:t>-</w:t>
      </w:r>
      <w:r w:rsidRPr="00873B6C">
        <w:tab/>
        <w:t>When the UE has an ongoing PDU session subject to LADN per LADN DNN and S-NSSAI, the AMF will release the ongoing PDU session if the AMF determines the LADN service area for the DNN and S-NSSAI is removed (e.g. due to notification from UDM or local configuration update).</w:t>
      </w:r>
    </w:p>
    <w:p w14:paraId="207047AB" w14:textId="7F0345D1" w:rsidR="00456BDF" w:rsidRPr="00873B6C" w:rsidRDefault="00456BDF" w:rsidP="00745A3E">
      <w:pPr>
        <w:pStyle w:val="NO"/>
      </w:pPr>
      <w:r w:rsidRPr="00873B6C">
        <w:t>NOTE 1:</w:t>
      </w:r>
      <w:r w:rsidRPr="00873B6C">
        <w:tab/>
        <w:t>After the UE receives the LADN Information per LADN DNN and S-NSSAI, it is up to the UE implementation whether to re-establish the PDU session.</w:t>
      </w:r>
    </w:p>
    <w:p w14:paraId="0822A2DB" w14:textId="365CC7F8" w:rsidR="00424087" w:rsidRPr="00873B6C" w:rsidRDefault="00424087" w:rsidP="00972E70">
      <w:pPr>
        <w:pStyle w:val="B1"/>
      </w:pPr>
      <w:r w:rsidRPr="00873B6C">
        <w:t>-</w:t>
      </w:r>
      <w:r w:rsidRPr="00873B6C">
        <w:tab/>
        <w:t>If the UE does not indicate support of LADN per DNN and S-NSSAI and the AMF has a LADN service area for the DNN as well as a LADN service area for the DNN and S-NSSAI, the AMF may determine the LADN Service Area Information per LADN DNN sent to UE using the LADN service area for the DNN as described in clause 5.6.5.</w:t>
      </w:r>
    </w:p>
    <w:p w14:paraId="4D1B45B5" w14:textId="77777777" w:rsidR="00424087" w:rsidRPr="00873B6C" w:rsidRDefault="00424087" w:rsidP="00972E70">
      <w:pPr>
        <w:pStyle w:val="B1"/>
      </w:pPr>
      <w:r w:rsidRPr="00873B6C">
        <w:t>-</w:t>
      </w:r>
      <w:r w:rsidRPr="00873B6C">
        <w:tab/>
        <w:t>If the UE does not indicate support of LADN per DNN and S-NSSAI and the AMF has no LADN service area for the DNN but there is a LADN service area for the DNN and S-NSSAI, then the AMF may determine the LADN Service Area Information per LADN DNN sent to UE using this LADN service area for the DNN and S-NSSAI as the LADN service area for that DNN as described in clause 5.6.5 if the UE is not subscribed to the same DNN for multiple S-NSSAI(s) (i.e. the UE is subscribed to the DNN for a single S-NSSAI only).</w:t>
      </w:r>
    </w:p>
    <w:p w14:paraId="0F04BA60" w14:textId="726FE936" w:rsidR="00424087" w:rsidRPr="00873B6C" w:rsidRDefault="00424087" w:rsidP="005A13C0">
      <w:pPr>
        <w:pStyle w:val="NO"/>
      </w:pPr>
      <w:r w:rsidRPr="00873B6C">
        <w:t>NOTE</w:t>
      </w:r>
      <w:r w:rsidR="0054077B" w:rsidRPr="00873B6C">
        <w:t> </w:t>
      </w:r>
      <w:r w:rsidR="00456BDF" w:rsidRPr="00873B6C">
        <w:t>2</w:t>
      </w:r>
      <w:r w:rsidRPr="00873B6C">
        <w:t>:</w:t>
      </w:r>
      <w:r w:rsidRPr="00873B6C">
        <w:tab/>
        <w:t>In order to serve the UEs that do not support LADN per DNN and S-NSSAIs, the operator can avoid using the same DNN for multiple S-NSSAIs if LADN service area is configured per DNN and S-NSSAI.</w:t>
      </w:r>
    </w:p>
    <w:p w14:paraId="09D17A45" w14:textId="77777777" w:rsidR="00424087" w:rsidRPr="00873B6C" w:rsidRDefault="00424087" w:rsidP="00972E70">
      <w:pPr>
        <w:pStyle w:val="B1"/>
      </w:pPr>
      <w:r w:rsidRPr="00873B6C">
        <w:t>-</w:t>
      </w:r>
      <w:r w:rsidRPr="00873B6C">
        <w:tab/>
        <w:t>If the UE does not indicate support of LADN per DNN and S-NSSAI and the AMF neither has a LADN service area for the DNN nor has a LADN service area for the DNN and S-NSSAI, the AMF shall not provide any LADN Information to the UE.</w:t>
      </w:r>
    </w:p>
    <w:p w14:paraId="5FAAD7FF" w14:textId="77777777" w:rsidR="004969CB" w:rsidRPr="00873B6C" w:rsidRDefault="004969CB" w:rsidP="00972E70">
      <w:pPr>
        <w:pStyle w:val="B1"/>
      </w:pPr>
      <w:r w:rsidRPr="00873B6C">
        <w:t>-</w:t>
      </w:r>
      <w:r w:rsidRPr="00873B6C">
        <w:tab/>
        <w:t>The AMF enforces the LADN Service Area per LADN DNN and S-NSSAI in the same way as is described in clause 5.6.5 with the difference that the LADN service area is defined per DNN and S-NSSAI.</w:t>
      </w:r>
    </w:p>
    <w:p w14:paraId="3B92CED5" w14:textId="77777777" w:rsidR="004969CB" w:rsidRPr="00873B6C" w:rsidRDefault="004969CB" w:rsidP="00972E70">
      <w:pPr>
        <w:pStyle w:val="B1"/>
      </w:pPr>
      <w:r w:rsidRPr="00873B6C">
        <w:t>-</w:t>
      </w:r>
      <w:r w:rsidRPr="00873B6C">
        <w:tab/>
        <w:t>The UE enforces the LADN Service Area per LADN DNN and S-NSSAI, if received from the AMF, in the same way as is described in clause 5.6.5 with the difference that the LADN service area is defined per DNN and S-NSSAI.</w:t>
      </w:r>
    </w:p>
    <w:p w14:paraId="155BDA1C" w14:textId="4A706130" w:rsidR="000C6BFB" w:rsidRPr="00873B6C" w:rsidRDefault="00424087" w:rsidP="00424087">
      <w:pPr>
        <w:pStyle w:val="B1"/>
      </w:pPr>
      <w:r w:rsidRPr="00873B6C">
        <w:t>-</w:t>
      </w:r>
      <w:r w:rsidRPr="00873B6C">
        <w:tab/>
        <w:t>If the AMF enforces the LADN Service Area per LADN DNN and S-NSSAI for the UE, the AMF indicates to the SMF during PDU Session Establishment that the PDU Session is subject to LADN per LADN DNN and S-NSSAI.</w:t>
      </w:r>
    </w:p>
    <w:p w14:paraId="05F76E15" w14:textId="3236FBD0" w:rsidR="00424087" w:rsidRPr="00873B6C" w:rsidRDefault="000C6BFB" w:rsidP="00424087">
      <w:pPr>
        <w:pStyle w:val="B1"/>
      </w:pPr>
      <w:r w:rsidRPr="00873B6C">
        <w:t>-</w:t>
      </w:r>
      <w:r w:rsidRPr="00873B6C">
        <w:tab/>
      </w:r>
      <w:r w:rsidR="00424087" w:rsidRPr="00873B6C">
        <w:t>If indicated by AMF at PDU Session Establishment that PDU Session is subject to LADN per LADN DNN and S-NSSAI, the SMF configures the DNN of PDU Session as LADN DNN</w:t>
      </w:r>
      <w:r w:rsidRPr="00873B6C">
        <w:t>. The SMF shall</w:t>
      </w:r>
      <w:r w:rsidR="00424087" w:rsidRPr="00873B6C">
        <w:t xml:space="preserve"> subscribe to "UE mobility event notification" for reporting UE presence in Area of Interest by providing LADN DNN and S-NSSAI to the AMF as described in clauses 5.6.11 and 5.3.4.4.</w:t>
      </w:r>
      <w:r w:rsidRPr="00873B6C">
        <w:t xml:space="preserve"> The SMF handles the PDU session in the same way as described in clause 5.6.5.</w:t>
      </w:r>
    </w:p>
    <w:p w14:paraId="4FAA3841" w14:textId="4A52B57A" w:rsidR="0054077B" w:rsidRPr="00873B6C" w:rsidRDefault="0054077B" w:rsidP="0054077B">
      <w:pPr>
        <w:pStyle w:val="NO"/>
      </w:pPr>
      <w:r w:rsidRPr="00873B6C">
        <w:t>NOTE </w:t>
      </w:r>
      <w:r w:rsidR="00456BDF" w:rsidRPr="00873B6C">
        <w:t>3</w:t>
      </w:r>
      <w:r w:rsidRPr="00873B6C">
        <w:t>:</w:t>
      </w:r>
      <w:r w:rsidRPr="00873B6C">
        <w:tab/>
        <w:t>If the UE has overlapping areas between LADN service area configured per DNN &amp; S-NSSAI, Partial network slice support area, or any combination of them, then the evaluation of Partial network slice support area take precedence over the evaluation of LADN service area configured per DNN and S-NSSAI.</w:t>
      </w:r>
    </w:p>
    <w:p w14:paraId="70857D24" w14:textId="3890F61C" w:rsidR="00D40151" w:rsidRPr="00873B6C" w:rsidRDefault="00D40151" w:rsidP="00D40151">
      <w:pPr>
        <w:pStyle w:val="Heading3"/>
      </w:pPr>
      <w:bookmarkStart w:id="1384" w:name="_CR5_6_6"/>
      <w:bookmarkStart w:id="1385" w:name="_Toc201157084"/>
      <w:bookmarkEnd w:id="1384"/>
      <w:r w:rsidRPr="00873B6C">
        <w:t>5.6.6</w:t>
      </w:r>
      <w:r w:rsidRPr="00873B6C">
        <w:tab/>
        <w:t>Secondary authentication/authorization by a DN-AAA server during the establishment of a PDU Session</w:t>
      </w:r>
      <w:bookmarkEnd w:id="1376"/>
      <w:bookmarkEnd w:id="1377"/>
      <w:bookmarkEnd w:id="1378"/>
      <w:bookmarkEnd w:id="1379"/>
      <w:bookmarkEnd w:id="1380"/>
      <w:bookmarkEnd w:id="1381"/>
      <w:bookmarkEnd w:id="1385"/>
    </w:p>
    <w:p w14:paraId="4C1EBB40" w14:textId="77777777" w:rsidR="00D40151" w:rsidRPr="00873B6C" w:rsidRDefault="00D40151" w:rsidP="00D40151">
      <w:r w:rsidRPr="00873B6C">
        <w:t>At PDU Session Establishment to a DN:</w:t>
      </w:r>
    </w:p>
    <w:p w14:paraId="520252C0" w14:textId="547C999A" w:rsidR="00D40151" w:rsidRPr="00873B6C" w:rsidRDefault="00D40151" w:rsidP="00D40151">
      <w:pPr>
        <w:pStyle w:val="B1"/>
      </w:pPr>
      <w:r w:rsidRPr="00873B6C">
        <w:t>-</w:t>
      </w:r>
      <w:r w:rsidRPr="00873B6C">
        <w:tab/>
        <w:t xml:space="preserve">The </w:t>
      </w:r>
      <w:r w:rsidRPr="00873B6C">
        <w:rPr>
          <w:bCs/>
        </w:rPr>
        <w:t>DN-specific identity</w:t>
      </w:r>
      <w:r w:rsidRPr="00873B6C">
        <w:t xml:space="preserve"> (</w:t>
      </w:r>
      <w:r w:rsidR="00972E70" w:rsidRPr="00873B6C">
        <w:t>TS 33.501 [</w:t>
      </w:r>
      <w:r w:rsidRPr="00873B6C">
        <w:t>29]) of a UE may be authenticated/authorized by the DN.</w:t>
      </w:r>
    </w:p>
    <w:p w14:paraId="3E2D7B0C" w14:textId="77777777" w:rsidR="00D40151" w:rsidRPr="00873B6C" w:rsidRDefault="00D40151" w:rsidP="00D40151">
      <w:pPr>
        <w:pStyle w:val="NO"/>
      </w:pPr>
      <w:r w:rsidRPr="00873B6C">
        <w:lastRenderedPageBreak/>
        <w:t>NOTE 1: the DN-AAA server may belong to the 5GC or to the DN.</w:t>
      </w:r>
    </w:p>
    <w:p w14:paraId="71D65964" w14:textId="746B04BC" w:rsidR="00D40151" w:rsidRPr="00873B6C" w:rsidRDefault="00D40151" w:rsidP="00D40151">
      <w:pPr>
        <w:pStyle w:val="B1"/>
      </w:pPr>
      <w:r w:rsidRPr="00873B6C">
        <w:t>-</w:t>
      </w:r>
      <w:r w:rsidRPr="00873B6C">
        <w:tab/>
        <w:t>If the UE provides authentication/authorization information corresponding to a DN-specific identity during the Establishment of the PDU Session</w:t>
      </w:r>
      <w:r w:rsidR="00472CD7" w:rsidRPr="00873B6C">
        <w:t xml:space="preserve"> and</w:t>
      </w:r>
      <w:r w:rsidRPr="00873B6C">
        <w:t xml:space="preserve">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972E70" w:rsidRPr="00873B6C">
        <w:t>TS 33.501 [</w:t>
      </w:r>
      <w:r w:rsidRPr="00873B6C">
        <w:t>29]. If the Secondary authentication/authorization of the PDU Session Establishment fails, the SMF rejects the PDU Session Establishment.</w:t>
      </w:r>
    </w:p>
    <w:p w14:paraId="47304FF5" w14:textId="77777777" w:rsidR="00D40151" w:rsidRPr="00873B6C" w:rsidRDefault="00D40151" w:rsidP="00D40151">
      <w:pPr>
        <w:pStyle w:val="NO"/>
      </w:pPr>
      <w:r w:rsidRPr="00873B6C">
        <w:t>NOTE 2:</w:t>
      </w:r>
      <w:r w:rsidRPr="00873B6C">
        <w:tab/>
        <w:t>If the DN-AAA server is located in the 5GC and reachable directly, then the SMF may communicate with it directly without involving the UPF.</w:t>
      </w:r>
    </w:p>
    <w:p w14:paraId="237842F2" w14:textId="77777777" w:rsidR="00D40151" w:rsidRPr="00873B6C" w:rsidRDefault="00D40151" w:rsidP="00D40151">
      <w:pPr>
        <w:pStyle w:val="B1"/>
      </w:pPr>
      <w:r w:rsidRPr="00873B6C">
        <w:t>-</w:t>
      </w:r>
      <w:r w:rsidRPr="00873B6C">
        <w:tab/>
        <w:t>The DN-AAA server may authenticate/authorize the PDU Session Establishment.</w:t>
      </w:r>
    </w:p>
    <w:p w14:paraId="57AD08B1" w14:textId="77777777" w:rsidR="00D40151" w:rsidRPr="00873B6C" w:rsidRDefault="00D40151" w:rsidP="00D40151">
      <w:pPr>
        <w:pStyle w:val="B1"/>
      </w:pPr>
      <w:r w:rsidRPr="00873B6C">
        <w:t>-</w:t>
      </w:r>
      <w:r w:rsidRPr="00873B6C">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873B6C" w:rsidRDefault="00D40151" w:rsidP="00D40151">
      <w:pPr>
        <w:pStyle w:val="B2"/>
      </w:pPr>
      <w:r w:rsidRPr="00873B6C">
        <w:t>-</w:t>
      </w:r>
      <w:r w:rsidRPr="00873B6C">
        <w:tab/>
        <w:t>A DN Authorization Profile Index which is a reference to authorization data for policy and charging control locally configured in the SMF or PCF.</w:t>
      </w:r>
    </w:p>
    <w:p w14:paraId="5FFB8C62" w14:textId="77777777" w:rsidR="00D40151" w:rsidRPr="00873B6C" w:rsidRDefault="00D40151" w:rsidP="00D40151">
      <w:pPr>
        <w:pStyle w:val="B2"/>
      </w:pPr>
      <w:r w:rsidRPr="00873B6C">
        <w:t>-</w:t>
      </w:r>
      <w:r w:rsidRPr="00873B6C">
        <w:tab/>
        <w:t>a list of allowed MAC addresses for the PDU Session; this shall apply only for PDU Session of Ethernet PDU type and is further described in clause 5.6.10.2.</w:t>
      </w:r>
    </w:p>
    <w:p w14:paraId="5045819D" w14:textId="77777777" w:rsidR="00D40151" w:rsidRPr="00873B6C" w:rsidRDefault="00D40151" w:rsidP="00D40151">
      <w:pPr>
        <w:pStyle w:val="B2"/>
      </w:pPr>
      <w:r w:rsidRPr="00873B6C">
        <w:t>-</w:t>
      </w:r>
      <w:r w:rsidRPr="00873B6C">
        <w:tab/>
        <w:t>a list of allowed VLAN tags for the PDU Session; this shall apply only for PDU Session of Ethernet PDU type and is further described in clause 5.6.10.2.</w:t>
      </w:r>
    </w:p>
    <w:p w14:paraId="158A4119" w14:textId="77777777" w:rsidR="00D40151" w:rsidRPr="00873B6C" w:rsidRDefault="00D40151" w:rsidP="00D40151">
      <w:pPr>
        <w:pStyle w:val="B2"/>
      </w:pPr>
      <w:r w:rsidRPr="00873B6C">
        <w:t>-</w:t>
      </w:r>
      <w:r w:rsidRPr="00873B6C">
        <w:tab/>
        <w:t>DN authorized Session AMBR for the PDU Session. The DN Authorized Session AMBR for the PDU Session takes precedence over the subscribed Session-AMBR received from the UDM.</w:t>
      </w:r>
    </w:p>
    <w:p w14:paraId="73F0267C" w14:textId="77777777" w:rsidR="00D40151" w:rsidRPr="00873B6C" w:rsidRDefault="00D40151" w:rsidP="00D40151">
      <w:pPr>
        <w:pStyle w:val="B2"/>
      </w:pPr>
      <w:r w:rsidRPr="00873B6C">
        <w:t>-</w:t>
      </w:r>
      <w:r w:rsidRPr="00873B6C">
        <w:tab/>
        <w:t>Framed Route information (see clause 5.6.14) for the PDU Session.</w:t>
      </w:r>
    </w:p>
    <w:p w14:paraId="75B03313" w14:textId="4815828C" w:rsidR="00607A94" w:rsidRPr="00873B6C" w:rsidRDefault="00607A94" w:rsidP="00562E84">
      <w:pPr>
        <w:pStyle w:val="B2"/>
      </w:pPr>
      <w:r w:rsidRPr="00873B6C">
        <w:t>-</w:t>
      </w:r>
      <w:r w:rsidRPr="00873B6C">
        <w:tab/>
        <w:t xml:space="preserve">L2TP information, such as LNS IP address and/or LNS host name, as described in </w:t>
      </w:r>
      <w:r w:rsidR="00972E70" w:rsidRPr="00873B6C">
        <w:t>TS 29.561 [</w:t>
      </w:r>
      <w:r w:rsidRPr="00873B6C">
        <w:t>132].</w:t>
      </w:r>
    </w:p>
    <w:p w14:paraId="5F014B0C" w14:textId="52327B47" w:rsidR="00D40151" w:rsidRPr="00873B6C" w:rsidRDefault="00D40151" w:rsidP="00D40151">
      <w:r w:rsidRPr="00873B6C">
        <w:t xml:space="preserve">SMF policies may require DN authorization without Secondary authentication/authorization. In that case, when contacting the DN-AAA server for authorization, the SMF provides the </w:t>
      </w:r>
      <w:r w:rsidRPr="00873B6C">
        <w:rPr>
          <w:lang w:eastAsia="zh-CN"/>
        </w:rPr>
        <w:t>GPSI of the UE if available.</w:t>
      </w:r>
    </w:p>
    <w:p w14:paraId="4FA8E9B2" w14:textId="77777777" w:rsidR="00D40151" w:rsidRPr="00873B6C" w:rsidRDefault="00D40151" w:rsidP="00D40151">
      <w:r w:rsidRPr="00873B6C">
        <w:t>Such Secondary authentication/authorization takes place for the purpose of PDU Session authorization in addition to:</w:t>
      </w:r>
    </w:p>
    <w:p w14:paraId="1E1A1F71" w14:textId="77777777" w:rsidR="00D40151" w:rsidRPr="00873B6C" w:rsidRDefault="00D40151" w:rsidP="00D40151">
      <w:pPr>
        <w:pStyle w:val="B1"/>
      </w:pPr>
      <w:r w:rsidRPr="00873B6C">
        <w:t>-</w:t>
      </w:r>
      <w:r w:rsidRPr="00873B6C">
        <w:tab/>
        <w:t>The 5GC access authentication handled by AMF and described in clause 5.2.</w:t>
      </w:r>
    </w:p>
    <w:p w14:paraId="6B34FA5B" w14:textId="53BA1F8E" w:rsidR="00D40151" w:rsidRPr="00873B6C" w:rsidRDefault="00D40151" w:rsidP="00D40151">
      <w:pPr>
        <w:pStyle w:val="B1"/>
      </w:pPr>
      <w:r w:rsidRPr="00873B6C">
        <w:t>-</w:t>
      </w:r>
      <w:r w:rsidRPr="00873B6C">
        <w:tab/>
        <w:t>The PDU Session authorization enforced by SMF with regard</w:t>
      </w:r>
      <w:r w:rsidR="00426DE4" w:rsidRPr="00873B6C">
        <w:t>s</w:t>
      </w:r>
      <w:r w:rsidRPr="00873B6C">
        <w:t xml:space="preserve"> to subscription data retrieved from UDM.</w:t>
      </w:r>
    </w:p>
    <w:p w14:paraId="6A7559C3" w14:textId="77777777" w:rsidR="00D40151" w:rsidRPr="00873B6C" w:rsidRDefault="00D40151" w:rsidP="00D40151">
      <w:r w:rsidRPr="00873B6C">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873B6C" w:rsidRDefault="00D40151" w:rsidP="00D40151">
      <w:r w:rsidRPr="00873B6C">
        <w:t>After the successful Secondary authentication/authorization, a session is kept between the SMF and the DN-AAA.</w:t>
      </w:r>
    </w:p>
    <w:p w14:paraId="58AB479B" w14:textId="77777777" w:rsidR="00D40151" w:rsidRPr="00873B6C" w:rsidRDefault="00D40151" w:rsidP="00D40151">
      <w:r w:rsidRPr="00873B6C">
        <w:t>The UE provides the authentication/authorization information required to support Secondary authentication/authorization by the DN over NAS SM.</w:t>
      </w:r>
    </w:p>
    <w:p w14:paraId="4F4D90E2" w14:textId="77777777" w:rsidR="00426DE4" w:rsidRPr="00873B6C" w:rsidRDefault="00426DE4" w:rsidP="00562E84">
      <w:r w:rsidRPr="00873B6C">
        <w:t>If a UE is configured with DNNs, which are subject to secondary authentication/authorization, the UE stores an association between the DNN and corresponding credentials for the secondary authentication/authorization.</w:t>
      </w:r>
    </w:p>
    <w:p w14:paraId="5AD3910D" w14:textId="1E784914" w:rsidR="00426DE4" w:rsidRPr="00873B6C" w:rsidRDefault="00426DE4" w:rsidP="00461850">
      <w:pPr>
        <w:pStyle w:val="NO"/>
      </w:pPr>
      <w:r w:rsidRPr="00873B6C">
        <w:t>NOTE 3:</w:t>
      </w:r>
      <w:r w:rsidRPr="00873B6C">
        <w:tab/>
        <w:t>How the UE is aware that a DNN is subject to secondary authentication/authorization (e.g</w:t>
      </w:r>
      <w:r w:rsidR="006514B8" w:rsidRPr="00873B6C">
        <w:t>.</w:t>
      </w:r>
      <w:r w:rsidRPr="00873B6C">
        <w:t xml:space="preserve"> based on local configuration) is out of scope of this specification.</w:t>
      </w:r>
    </w:p>
    <w:p w14:paraId="7A8C1CB0" w14:textId="5F9B1077" w:rsidR="00BA212C" w:rsidRPr="00873B6C" w:rsidRDefault="00BA212C" w:rsidP="00562E84">
      <w:r w:rsidRPr="00873B6C">
        <w:t>The UE may support remote provisioning of credentials for secondary authentication/authorization, as specified in clause 5.39.</w:t>
      </w:r>
    </w:p>
    <w:p w14:paraId="6730021D" w14:textId="77777777" w:rsidR="00426DE4" w:rsidRPr="00873B6C" w:rsidRDefault="00426DE4" w:rsidP="00D40151">
      <w:r w:rsidRPr="00873B6C">
        <w:lastRenderedPageBreak/>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873B6C" w:rsidRDefault="00426DE4" w:rsidP="00461850">
      <w:pPr>
        <w:pStyle w:val="NO"/>
      </w:pPr>
      <w:r w:rsidRPr="00873B6C">
        <w:t>NOTE 4:</w:t>
      </w:r>
      <w:r w:rsidRPr="00873B6C">
        <w:tab/>
        <w:t>The credentials for secondary authentication/authorization are not specified.</w:t>
      </w:r>
    </w:p>
    <w:p w14:paraId="5DB23EF9" w14:textId="457C728A" w:rsidR="00D40151" w:rsidRPr="00873B6C" w:rsidRDefault="00D40151" w:rsidP="00D40151">
      <w:r w:rsidRPr="00873B6C">
        <w:t>SMF policies or subscription information (such as defined in</w:t>
      </w:r>
      <w:r w:rsidR="00960CDA" w:rsidRPr="00873B6C">
        <w:t xml:space="preserve"> Table 5.2.3.3.1</w:t>
      </w:r>
      <w:r w:rsidRPr="00873B6C">
        <w:t xml:space="preserve"> </w:t>
      </w:r>
      <w:r w:rsidR="00960CDA" w:rsidRPr="00873B6C">
        <w:t xml:space="preserve">of </w:t>
      </w:r>
      <w:r w:rsidR="00972E70" w:rsidRPr="00873B6C">
        <w:t>TS 23.502 [</w:t>
      </w:r>
      <w:r w:rsidRPr="00873B6C">
        <w:t>3]) may trigger the need for SMF to request the Secondary authentication/authorization and/or UE IP address / Prefix from the DN-AAA server.</w:t>
      </w:r>
    </w:p>
    <w:p w14:paraId="1A26CD5F" w14:textId="77777777" w:rsidR="00D40151" w:rsidRPr="00873B6C" w:rsidRDefault="00D40151" w:rsidP="00D40151">
      <w:r w:rsidRPr="00873B6C">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873B6C" w:rsidRDefault="00D40151" w:rsidP="00D40151">
      <w:r w:rsidRPr="00873B6C">
        <w:t>When SMF gets notified from UPF with the addition or removal of MAC addresses to/from a PDU Session, the SMF policies may require SMF to notify the DN-AAA server.</w:t>
      </w:r>
    </w:p>
    <w:p w14:paraId="15C99220" w14:textId="77777777" w:rsidR="00D40151" w:rsidRPr="00873B6C" w:rsidRDefault="00D40151" w:rsidP="00D40151">
      <w:r w:rsidRPr="00873B6C">
        <w:t>Indication of PDU Session Establishment rejection is transferred by SMF to the UE via NAS SM.</w:t>
      </w:r>
    </w:p>
    <w:p w14:paraId="70F79BC1" w14:textId="77777777" w:rsidR="00D40151" w:rsidRPr="00873B6C" w:rsidRDefault="00D40151" w:rsidP="00D40151">
      <w:r w:rsidRPr="00873B6C">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873B6C" w:rsidRDefault="00D40151" w:rsidP="00D40151">
      <w:r w:rsidRPr="00873B6C">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873B6C" w:rsidRDefault="00D40151" w:rsidP="00D40151">
      <w:pPr>
        <w:pStyle w:val="NO"/>
      </w:pPr>
      <w:r w:rsidRPr="00873B6C">
        <w:t>NOTE </w:t>
      </w:r>
      <w:r w:rsidR="00426DE4" w:rsidRPr="00873B6C">
        <w:t>5</w:t>
      </w:r>
      <w:r w:rsidRPr="00873B6C">
        <w:t>:</w:t>
      </w:r>
      <w:r w:rsidRPr="00873B6C">
        <w:tab/>
        <w:t>DN Authorization Profile Index is assumed to be pre-negotiated between the operator and the administrator of DN-AAA server.</w:t>
      </w:r>
    </w:p>
    <w:p w14:paraId="5BCA1B77" w14:textId="77777777" w:rsidR="00D40151" w:rsidRPr="00873B6C" w:rsidRDefault="00D40151" w:rsidP="00D40151">
      <w:r w:rsidRPr="00873B6C">
        <w:t>If the DN-AAA does not send DN Authorization Data for the established PDU Session, the SMF may use locally configured information.</w:t>
      </w:r>
    </w:p>
    <w:p w14:paraId="738C97B1" w14:textId="77777777" w:rsidR="00D40151" w:rsidRPr="00873B6C" w:rsidRDefault="00D40151" w:rsidP="00D40151">
      <w:r w:rsidRPr="00873B6C">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6DA8447F" w:rsidR="00D40151" w:rsidRPr="00873B6C" w:rsidRDefault="00D40151" w:rsidP="00D40151">
      <w:r w:rsidRPr="00873B6C">
        <w:t xml:space="preserve">At any time, a DN-AAA server or SMF may trigger Secondary Re-authentication procedure for a PDU Session established with Secondary Authentication as specified in clause 11.1.3 </w:t>
      </w:r>
      <w:r w:rsidR="00960CDA" w:rsidRPr="00873B6C">
        <w:t>of</w:t>
      </w:r>
      <w:r w:rsidRPr="00873B6C">
        <w:t xml:space="preserve"> </w:t>
      </w:r>
      <w:r w:rsidR="00972E70" w:rsidRPr="00873B6C">
        <w:t>TS 33.501 [</w:t>
      </w:r>
      <w:r w:rsidRPr="00873B6C">
        <w:t>29].</w:t>
      </w:r>
    </w:p>
    <w:p w14:paraId="03B6499E" w14:textId="77777777" w:rsidR="00D40151" w:rsidRPr="00873B6C" w:rsidRDefault="00D40151" w:rsidP="00D40151">
      <w:r w:rsidRPr="00873B6C">
        <w:t>During Secondary Re-authentication/Re-authorization, if the SMF receives from DN-AAA the DN authorized Session AMBR and/or DN Authorization Profile Index, the SMF shall report the received value(s) to the PCF.</w:t>
      </w:r>
    </w:p>
    <w:p w14:paraId="0332E760" w14:textId="63050D9F" w:rsidR="00D40151" w:rsidRPr="00873B6C" w:rsidRDefault="00D40151" w:rsidP="00D40151">
      <w:r w:rsidRPr="00873B6C">
        <w:t>The procedure for secondary authentication/authorization by a DN-AAA server during the establishment of a PDU Session is described in</w:t>
      </w:r>
      <w:r w:rsidR="00960CDA" w:rsidRPr="00873B6C">
        <w:t xml:space="preserve"> clause 4.3.2.3</w:t>
      </w:r>
      <w:r w:rsidRPr="00873B6C">
        <w:t xml:space="preserve"> </w:t>
      </w:r>
      <w:r w:rsidR="00960CDA" w:rsidRPr="00873B6C">
        <w:t xml:space="preserve">of </w:t>
      </w:r>
      <w:r w:rsidR="00972E70" w:rsidRPr="00873B6C">
        <w:t>TS 23.502 [</w:t>
      </w:r>
      <w:r w:rsidRPr="00873B6C">
        <w:t>3].</w:t>
      </w:r>
    </w:p>
    <w:p w14:paraId="77EE2F31" w14:textId="7B636292" w:rsidR="00182EE7" w:rsidRPr="00873B6C" w:rsidRDefault="00182EE7" w:rsidP="00182EE7">
      <w:bookmarkStart w:id="1386" w:name="_Toc20149771"/>
      <w:bookmarkStart w:id="1387" w:name="_Toc27846563"/>
      <w:bookmarkStart w:id="1388" w:name="_Toc36187688"/>
      <w:bookmarkStart w:id="1389" w:name="_Toc45183592"/>
      <w:bookmarkStart w:id="1390" w:name="_Toc47342434"/>
      <w:bookmarkStart w:id="1391" w:name="_Toc51769134"/>
      <w:r w:rsidRPr="00873B6C">
        <w:t>The support for L2TP on N6 is further specified in clause 5.8.2.16</w:t>
      </w:r>
      <w:r w:rsidR="00472CD7" w:rsidRPr="00873B6C">
        <w:t xml:space="preserve"> and</w:t>
      </w:r>
      <w:r w:rsidRPr="00873B6C">
        <w:t xml:space="preserve"> the procedure for establishment of L2TP tunnelling on N6 for a PDU Session is described in clause 4.3.2.4 of </w:t>
      </w:r>
      <w:r w:rsidR="00972E70" w:rsidRPr="00873B6C">
        <w:t>TS 23.502 [</w:t>
      </w:r>
      <w:r w:rsidRPr="00873B6C">
        <w:t>3].</w:t>
      </w:r>
    </w:p>
    <w:p w14:paraId="07955D98" w14:textId="7D66D407" w:rsidR="00182EE7" w:rsidRPr="00873B6C" w:rsidRDefault="00182EE7" w:rsidP="00562E84">
      <w:pPr>
        <w:pStyle w:val="NO"/>
      </w:pPr>
      <w:r w:rsidRPr="00873B6C">
        <w:t>NOTE </w:t>
      </w:r>
      <w:r w:rsidR="00426DE4" w:rsidRPr="00873B6C">
        <w:t>6</w:t>
      </w:r>
      <w:r w:rsidRPr="00873B6C">
        <w:t>:</w:t>
      </w:r>
      <w:r w:rsidRPr="00873B6C">
        <w:tab/>
        <w:t>The L2TP Tunnel information sent to the SMF can</w:t>
      </w:r>
      <w:r w:rsidR="00426DE4" w:rsidRPr="00873B6C">
        <w:t>, for example,</w:t>
      </w:r>
      <w:r w:rsidRPr="00873B6C">
        <w:t xml:space="preserve"> be provisioned in the DN-AAA server per DNN/S-NSSAI or per SUPI or GPSI.</w:t>
      </w:r>
    </w:p>
    <w:p w14:paraId="52E31176" w14:textId="77777777" w:rsidR="00D40151" w:rsidRPr="00873B6C" w:rsidRDefault="00D40151" w:rsidP="00D40151">
      <w:pPr>
        <w:pStyle w:val="Heading3"/>
      </w:pPr>
      <w:bookmarkStart w:id="1392" w:name="_CR5_6_7"/>
      <w:bookmarkStart w:id="1393" w:name="_Toc201157085"/>
      <w:bookmarkEnd w:id="1392"/>
      <w:r w:rsidRPr="00873B6C">
        <w:t>5.6.7</w:t>
      </w:r>
      <w:r w:rsidRPr="00873B6C">
        <w:tab/>
        <w:t>Application Function influence on traffic routing</w:t>
      </w:r>
      <w:bookmarkEnd w:id="1386"/>
      <w:bookmarkEnd w:id="1387"/>
      <w:bookmarkEnd w:id="1388"/>
      <w:bookmarkEnd w:id="1389"/>
      <w:bookmarkEnd w:id="1390"/>
      <w:bookmarkEnd w:id="1391"/>
      <w:bookmarkEnd w:id="1393"/>
    </w:p>
    <w:p w14:paraId="6C21AF90" w14:textId="77777777" w:rsidR="00D40151" w:rsidRPr="00873B6C" w:rsidRDefault="00D40151" w:rsidP="00D40151">
      <w:pPr>
        <w:pStyle w:val="Heading4"/>
      </w:pPr>
      <w:bookmarkStart w:id="1394" w:name="_CR5_6_7_1"/>
      <w:bookmarkStart w:id="1395" w:name="_Toc20149772"/>
      <w:bookmarkStart w:id="1396" w:name="_Toc27846564"/>
      <w:bookmarkStart w:id="1397" w:name="_Toc36187689"/>
      <w:bookmarkStart w:id="1398" w:name="_Toc45183593"/>
      <w:bookmarkStart w:id="1399" w:name="_Toc47342435"/>
      <w:bookmarkStart w:id="1400" w:name="_Toc51769135"/>
      <w:bookmarkStart w:id="1401" w:name="_Toc201157086"/>
      <w:bookmarkEnd w:id="1394"/>
      <w:r w:rsidRPr="00873B6C">
        <w:t>5.6.7.1</w:t>
      </w:r>
      <w:r w:rsidRPr="00873B6C">
        <w:tab/>
        <w:t>General</w:t>
      </w:r>
      <w:bookmarkEnd w:id="1395"/>
      <w:bookmarkEnd w:id="1396"/>
      <w:bookmarkEnd w:id="1397"/>
      <w:bookmarkEnd w:id="1398"/>
      <w:bookmarkEnd w:id="1399"/>
      <w:bookmarkEnd w:id="1400"/>
      <w:bookmarkEnd w:id="1401"/>
    </w:p>
    <w:p w14:paraId="4FB49BDD" w14:textId="697D3EFA" w:rsidR="00B975A9" w:rsidRPr="00873B6C" w:rsidRDefault="00D40151" w:rsidP="00D40151">
      <w:r w:rsidRPr="00873B6C">
        <w:t>The content of this clause applies to non-roaming and to LBO deployments i.e. to cases where the involved entities (AF, PCF, SMF, UPF) belong to the Serving PLMN or AF belongs to a third party with which the Serving PLMN has an</w:t>
      </w:r>
      <w:r w:rsidR="00B975A9" w:rsidRPr="00873B6C">
        <w:t xml:space="preserve"> SLA</w:t>
      </w:r>
      <w:r w:rsidRPr="00873B6C">
        <w:t xml:space="preserve"> agreement.</w:t>
      </w:r>
    </w:p>
    <w:p w14:paraId="532FCE7A" w14:textId="03504F59" w:rsidR="00B975A9" w:rsidRPr="00873B6C" w:rsidRDefault="00D40151" w:rsidP="00D40151">
      <w:pPr>
        <w:rPr>
          <w:rStyle w:val="NOZchn"/>
        </w:rPr>
      </w:pPr>
      <w:r w:rsidRPr="00873B6C">
        <w:t>AF influence on traffic routing</w:t>
      </w:r>
      <w:r w:rsidR="00B975A9" w:rsidRPr="00873B6C">
        <w:t xml:space="preserve"> may</w:t>
      </w:r>
      <w:r w:rsidRPr="00873B6C">
        <w:rPr>
          <w:rStyle w:val="NOZchn"/>
        </w:rPr>
        <w:t xml:space="preserve"> apply in the case of Home Routed deployments</w:t>
      </w:r>
      <w:r w:rsidR="00B975A9" w:rsidRPr="00873B6C">
        <w:rPr>
          <w:rStyle w:val="NOZchn"/>
        </w:rPr>
        <w:t xml:space="preserve"> with Session Breakout (HR SBO) as defined in </w:t>
      </w:r>
      <w:r w:rsidR="00972E70" w:rsidRPr="00873B6C">
        <w:rPr>
          <w:rStyle w:val="NOZchn"/>
        </w:rPr>
        <w:t>TS 23.548 [</w:t>
      </w:r>
      <w:r w:rsidR="00B975A9" w:rsidRPr="00873B6C">
        <w:rPr>
          <w:rStyle w:val="NOZchn"/>
        </w:rPr>
        <w:t xml:space="preserve">130]. In that case when an AF belonging to the V-PLMN (or with an offloading SLA with the V PLMN) desires to provide Traffic Influence policies it may invoke at the V-NEF the API defined in this clause and provide the information listed in Table 5.6.7-1 below but the corresponding Traffic Influence information is provided directly from V-NEF to V-SMF bypassing the PCF. This is further defined in </w:t>
      </w:r>
      <w:r w:rsidR="00972E70" w:rsidRPr="00873B6C">
        <w:rPr>
          <w:rStyle w:val="NOZchn"/>
        </w:rPr>
        <w:t>TS 23.548 [</w:t>
      </w:r>
      <w:r w:rsidR="00B975A9" w:rsidRPr="00873B6C">
        <w:rPr>
          <w:rStyle w:val="NOZchn"/>
        </w:rPr>
        <w:t xml:space="preserve">130] clause 6.7.2. and the rest </w:t>
      </w:r>
      <w:r w:rsidR="00B975A9" w:rsidRPr="00873B6C">
        <w:rPr>
          <w:rStyle w:val="NOZchn"/>
        </w:rPr>
        <w:lastRenderedPageBreak/>
        <w:t>of the clause 5.6.7.1 does not address how information related with AF influence on traffic routing may be provided to the SMF in the case of HR SBO</w:t>
      </w:r>
      <w:r w:rsidRPr="00873B6C">
        <w:rPr>
          <w:rStyle w:val="NOZchn"/>
        </w:rPr>
        <w:t>.</w:t>
      </w:r>
    </w:p>
    <w:p w14:paraId="63591408" w14:textId="293AE354" w:rsidR="00D40151" w:rsidRPr="00873B6C" w:rsidRDefault="00D40151" w:rsidP="00D40151">
      <w:pPr>
        <w:rPr>
          <w:rStyle w:val="NOZchn"/>
        </w:rPr>
      </w:pPr>
      <w:r w:rsidRPr="00873B6C">
        <w:rPr>
          <w:rStyle w:val="NOZchn"/>
        </w:rPr>
        <w:t>PCF shall not apply AF requests to influence traffic routing to PDU Sessions established in Home Routed mode.</w:t>
      </w:r>
    </w:p>
    <w:p w14:paraId="3E2EEB7C" w14:textId="03222458" w:rsidR="00846E0B" w:rsidRPr="00873B6C" w:rsidRDefault="00846E0B" w:rsidP="00D40151">
      <w:pPr>
        <w:rPr>
          <w:rFonts w:eastAsia="SimSun"/>
        </w:rPr>
      </w:pPr>
      <w:r w:rsidRPr="00873B6C">
        <w:rPr>
          <w:rFonts w:eastAsia="SimSun"/>
        </w:rPr>
        <w:t>The AF may determine the common EAS/DNAI for the UE set in order to indicate a common EAS or common local part of DN</w:t>
      </w:r>
      <w:r w:rsidR="00472CD7" w:rsidRPr="00873B6C">
        <w:rPr>
          <w:rFonts w:eastAsia="SimSun"/>
        </w:rPr>
        <w:t xml:space="preserve"> and</w:t>
      </w:r>
      <w:r w:rsidRPr="00873B6C">
        <w:rPr>
          <w:rFonts w:eastAsia="SimSun"/>
        </w:rPr>
        <w:t xml:space="preserve"> provide the common EAS/DNAI to the 5GS.</w:t>
      </w:r>
    </w:p>
    <w:p w14:paraId="6B626653" w14:textId="13BAF67C" w:rsidR="00D40151" w:rsidRPr="00873B6C" w:rsidRDefault="00D40151" w:rsidP="00D40151">
      <w:pPr>
        <w:rPr>
          <w:rFonts w:eastAsia="SimSun"/>
        </w:rPr>
      </w:pPr>
      <w:r w:rsidRPr="00873B6C">
        <w:rPr>
          <w:rFonts w:eastAsia="SimSun"/>
        </w:rPr>
        <w:t xml:space="preserve">An AF may send requests to influence SMF </w:t>
      </w:r>
      <w:r w:rsidR="0029208C" w:rsidRPr="00873B6C">
        <w:rPr>
          <w:rFonts w:eastAsia="SimSun"/>
        </w:rPr>
        <w:t>routing</w:t>
      </w:r>
      <w:r w:rsidRPr="00873B6C">
        <w:rPr>
          <w:rFonts w:eastAsia="SimSun"/>
        </w:rPr>
        <w:t xml:space="preserve"> decisions for traffic of PDU Session. </w:t>
      </w:r>
      <w:r w:rsidRPr="00873B6C">
        <w:t xml:space="preserve">The AF requests </w:t>
      </w:r>
      <w:r w:rsidRPr="00873B6C">
        <w:rPr>
          <w:rFonts w:eastAsia="SimSun"/>
        </w:rPr>
        <w:t xml:space="preserve">may </w:t>
      </w:r>
      <w:r w:rsidRPr="00873B6C">
        <w:rPr>
          <w:rFonts w:eastAsia="SimSun"/>
          <w:lang w:eastAsia="ja-JP"/>
        </w:rPr>
        <w:t>influence UPF (re)selection</w:t>
      </w:r>
      <w:r w:rsidR="006101B9" w:rsidRPr="00873B6C">
        <w:rPr>
          <w:rFonts w:eastAsia="SimSun"/>
          <w:lang w:eastAsia="ja-JP"/>
        </w:rPr>
        <w:t xml:space="preserve"> and (I-)SMF (re)selection</w:t>
      </w:r>
      <w:r w:rsidRPr="00873B6C">
        <w:rPr>
          <w:rFonts w:eastAsia="SimSun"/>
          <w:lang w:eastAsia="ja-JP"/>
        </w:rPr>
        <w:t xml:space="preserve"> and allow </w:t>
      </w:r>
      <w:r w:rsidR="0029208C" w:rsidRPr="00873B6C">
        <w:rPr>
          <w:rFonts w:eastAsia="SimSun"/>
          <w:lang w:eastAsia="ja-JP"/>
        </w:rPr>
        <w:t>routing</w:t>
      </w:r>
      <w:r w:rsidRPr="00873B6C">
        <w:rPr>
          <w:rFonts w:eastAsia="SimSun"/>
          <w:lang w:eastAsia="ja-JP"/>
        </w:rPr>
        <w:t xml:space="preserve"> user traffic to a local access to a Data Network </w:t>
      </w:r>
      <w:r w:rsidRPr="00873B6C">
        <w:t>(identified by a DNAI)</w:t>
      </w:r>
      <w:r w:rsidR="006101B9" w:rsidRPr="00873B6C">
        <w:t>.</w:t>
      </w:r>
    </w:p>
    <w:p w14:paraId="38FC5BD0" w14:textId="77777777" w:rsidR="00D40151" w:rsidRPr="00873B6C" w:rsidRDefault="00D40151" w:rsidP="00D40151">
      <w:pPr>
        <w:rPr>
          <w:lang w:eastAsia="zh-CN"/>
        </w:rPr>
      </w:pPr>
      <w:r w:rsidRPr="00873B6C">
        <w:rPr>
          <w:lang w:eastAsia="zh-CN"/>
        </w:rPr>
        <w:t>The AF may issue requests on behalf of applications not owned by the PLMN serving the UE.</w:t>
      </w:r>
    </w:p>
    <w:p w14:paraId="445B1680" w14:textId="77777777" w:rsidR="00D40151" w:rsidRPr="00873B6C" w:rsidRDefault="00D40151" w:rsidP="00D40151">
      <w:r w:rsidRPr="00873B6C">
        <w:t>If the operator does not allow an AF to access the network directly, the AF shall use the NEF to interact with the 5GC, as described in clause 6.2.10.</w:t>
      </w:r>
    </w:p>
    <w:p w14:paraId="757B0177" w14:textId="1FA5BA05" w:rsidR="00D40151" w:rsidRPr="00873B6C" w:rsidRDefault="00D40151" w:rsidP="00D40151">
      <w:r w:rsidRPr="00873B6C">
        <w:t>The AF may be in charge of the (re)selection or relocation of the applications within the local</w:t>
      </w:r>
      <w:r w:rsidR="00D841E1" w:rsidRPr="00873B6C">
        <w:t xml:space="preserve"> part of the</w:t>
      </w:r>
      <w:r w:rsidRPr="00873B6C">
        <w:t xml:space="preserve"> DN</w:t>
      </w:r>
      <w:r w:rsidR="00D841E1" w:rsidRPr="00873B6C">
        <w:t xml:space="preserve"> (as defined in </w:t>
      </w:r>
      <w:r w:rsidR="00972E70" w:rsidRPr="00873B6C">
        <w:t>TS 23.548 [</w:t>
      </w:r>
      <w:r w:rsidR="00D841E1" w:rsidRPr="00873B6C">
        <w:t>130])</w:t>
      </w:r>
      <w:r w:rsidRPr="00873B6C">
        <w:t>. Such functionality is not defined. For this purpose, the AF may request to get notified about events related with PDU Sessions.</w:t>
      </w:r>
    </w:p>
    <w:p w14:paraId="695932C5" w14:textId="0D853486" w:rsidR="00960CDA" w:rsidRPr="00873B6C" w:rsidRDefault="00960CDA" w:rsidP="00D40151">
      <w:r w:rsidRPr="00873B6C">
        <w:t>In the case of AF instance change, the AF may send request of AF relocation information.</w:t>
      </w:r>
    </w:p>
    <w:p w14:paraId="0AF431B0" w14:textId="5D74EA9B" w:rsidR="00D40151" w:rsidRPr="00873B6C" w:rsidRDefault="00D40151" w:rsidP="00D40151">
      <w:pPr>
        <w:rPr>
          <w:rFonts w:eastAsia="SimSun"/>
        </w:rPr>
      </w:pPr>
      <w:r w:rsidRPr="00873B6C">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873B6C">
        <w:rPr>
          <w:rFonts w:eastAsia="SimSun"/>
        </w:rPr>
        <w:t>For AF interacting with PCF directly or via NEF, the AF requests may contain the information as described in the Table 5.6.7-1:</w:t>
      </w:r>
    </w:p>
    <w:p w14:paraId="5522DF5D" w14:textId="77777777" w:rsidR="00D40151" w:rsidRPr="00873B6C" w:rsidRDefault="00D40151" w:rsidP="00D40151">
      <w:pPr>
        <w:pStyle w:val="TH"/>
      </w:pPr>
      <w:bookmarkStart w:id="1402" w:name="_CRTable5_6_71"/>
      <w:r w:rsidRPr="00873B6C">
        <w:lastRenderedPageBreak/>
        <w:t xml:space="preserve">Table </w:t>
      </w:r>
      <w:bookmarkEnd w:id="1402"/>
      <w:r w:rsidRPr="00873B6C">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873B6C" w14:paraId="47E7E673" w14:textId="77777777" w:rsidTr="00FD5C4A">
        <w:trPr>
          <w:cantSplit/>
          <w:jc w:val="center"/>
        </w:trPr>
        <w:tc>
          <w:tcPr>
            <w:tcW w:w="2329" w:type="dxa"/>
          </w:tcPr>
          <w:p w14:paraId="35DFD5FE" w14:textId="77777777" w:rsidR="00D40151" w:rsidRPr="00873B6C" w:rsidRDefault="00D40151" w:rsidP="009D14FB">
            <w:pPr>
              <w:pStyle w:val="TAH"/>
            </w:pPr>
            <w:r w:rsidRPr="00873B6C">
              <w:rPr>
                <w:lang w:eastAsia="zh-CN"/>
              </w:rPr>
              <w:lastRenderedPageBreak/>
              <w:t>Information Name</w:t>
            </w:r>
          </w:p>
        </w:tc>
        <w:tc>
          <w:tcPr>
            <w:tcW w:w="2766" w:type="dxa"/>
          </w:tcPr>
          <w:p w14:paraId="672137A1" w14:textId="77777777" w:rsidR="00D40151" w:rsidRPr="00873B6C" w:rsidRDefault="00D40151" w:rsidP="009D14FB">
            <w:pPr>
              <w:pStyle w:val="TAH"/>
            </w:pPr>
            <w:r w:rsidRPr="00873B6C">
              <w:rPr>
                <w:lang w:eastAsia="zh-CN"/>
              </w:rPr>
              <w:t>Applicable for PCF or NEF (NOTE 1)</w:t>
            </w:r>
          </w:p>
        </w:tc>
        <w:tc>
          <w:tcPr>
            <w:tcW w:w="2893" w:type="dxa"/>
          </w:tcPr>
          <w:p w14:paraId="00600AD6" w14:textId="77777777" w:rsidR="00D40151" w:rsidRPr="00873B6C" w:rsidRDefault="00D40151" w:rsidP="009D14FB">
            <w:pPr>
              <w:pStyle w:val="TAH"/>
            </w:pPr>
            <w:r w:rsidRPr="00873B6C">
              <w:rPr>
                <w:lang w:eastAsia="zh-CN"/>
              </w:rPr>
              <w:t>Applicable for NEF only</w:t>
            </w:r>
          </w:p>
        </w:tc>
        <w:tc>
          <w:tcPr>
            <w:tcW w:w="1643" w:type="dxa"/>
          </w:tcPr>
          <w:p w14:paraId="7F8C6411" w14:textId="77777777" w:rsidR="00D40151" w:rsidRPr="00873B6C" w:rsidRDefault="00D40151" w:rsidP="009D14FB">
            <w:pPr>
              <w:pStyle w:val="TAH"/>
            </w:pPr>
            <w:r w:rsidRPr="00873B6C">
              <w:t>Category</w:t>
            </w:r>
          </w:p>
        </w:tc>
      </w:tr>
      <w:tr w:rsidR="00D40151" w:rsidRPr="00873B6C" w14:paraId="3BB89D13" w14:textId="77777777" w:rsidTr="00FD5C4A">
        <w:trPr>
          <w:cantSplit/>
          <w:jc w:val="center"/>
        </w:trPr>
        <w:tc>
          <w:tcPr>
            <w:tcW w:w="2329" w:type="dxa"/>
          </w:tcPr>
          <w:p w14:paraId="26809ED3" w14:textId="77777777" w:rsidR="00D40151" w:rsidRPr="00873B6C" w:rsidRDefault="00D40151" w:rsidP="009D14FB">
            <w:pPr>
              <w:pStyle w:val="TAL"/>
            </w:pPr>
            <w:r w:rsidRPr="00873B6C">
              <w:t>Traffic Description</w:t>
            </w:r>
          </w:p>
        </w:tc>
        <w:tc>
          <w:tcPr>
            <w:tcW w:w="2766" w:type="dxa"/>
          </w:tcPr>
          <w:p w14:paraId="2F59BE59" w14:textId="69B6A59C" w:rsidR="00D40151" w:rsidRPr="00873B6C" w:rsidRDefault="00D40151" w:rsidP="009D14FB">
            <w:pPr>
              <w:pStyle w:val="TAL"/>
            </w:pPr>
            <w:r w:rsidRPr="00873B6C">
              <w:rPr>
                <w:lang w:eastAsia="zh-CN"/>
              </w:rPr>
              <w:t>Defines the target traffic to be influenced, represented by the combination of DNN and optionally S-NSSAI and</w:t>
            </w:r>
            <w:r w:rsidR="0014088C" w:rsidRPr="00873B6C">
              <w:rPr>
                <w:lang w:eastAsia="zh-CN"/>
              </w:rPr>
              <w:t xml:space="preserve"> optionally PLMN ID of the PLMN that the DNN/S-NSSAI belongs to and</w:t>
            </w:r>
            <w:r w:rsidRPr="00873B6C">
              <w:rPr>
                <w:lang w:eastAsia="zh-CN"/>
              </w:rPr>
              <w:t xml:space="preserve"> application identifier or </w:t>
            </w:r>
            <w:r w:rsidRPr="00873B6C">
              <w:t xml:space="preserve">traffic </w:t>
            </w:r>
            <w:r w:rsidRPr="00873B6C">
              <w:rPr>
                <w:lang w:eastAsia="zh-CN"/>
              </w:rPr>
              <w:t xml:space="preserve">filtering information. </w:t>
            </w:r>
            <w:r w:rsidR="00A2272A" w:rsidRPr="00873B6C">
              <w:rPr>
                <w:lang w:eastAsia="zh-CN"/>
              </w:rPr>
              <w:t>(NOTE 7)</w:t>
            </w:r>
            <w:r w:rsidR="0014088C" w:rsidRPr="00873B6C">
              <w:rPr>
                <w:lang w:eastAsia="zh-CN"/>
              </w:rPr>
              <w:t xml:space="preserve"> (NOTE 8)</w:t>
            </w:r>
          </w:p>
        </w:tc>
        <w:tc>
          <w:tcPr>
            <w:tcW w:w="2893" w:type="dxa"/>
          </w:tcPr>
          <w:p w14:paraId="20E830EE" w14:textId="77777777" w:rsidR="00D40151" w:rsidRPr="00873B6C" w:rsidRDefault="00D40151" w:rsidP="009D14FB">
            <w:pPr>
              <w:pStyle w:val="TAL"/>
            </w:pPr>
            <w:r w:rsidRPr="00873B6C">
              <w:rPr>
                <w:lang w:eastAsia="zh-CN"/>
              </w:rPr>
              <w:t xml:space="preserve">The target traffic can be represented by AF-Service-Identifier, instead of combination of DNN and optionally S-NSSAI. </w:t>
            </w:r>
          </w:p>
        </w:tc>
        <w:tc>
          <w:tcPr>
            <w:tcW w:w="1643" w:type="dxa"/>
          </w:tcPr>
          <w:p w14:paraId="06A9D0B6" w14:textId="77777777" w:rsidR="00D40151" w:rsidRPr="00873B6C" w:rsidRDefault="00D40151" w:rsidP="009D14FB">
            <w:pPr>
              <w:pStyle w:val="TAL"/>
            </w:pPr>
            <w:r w:rsidRPr="00873B6C">
              <w:t>Mandatory</w:t>
            </w:r>
          </w:p>
        </w:tc>
      </w:tr>
      <w:tr w:rsidR="00D40151" w:rsidRPr="00873B6C" w14:paraId="0DAF2040" w14:textId="77777777" w:rsidTr="00FD5C4A">
        <w:trPr>
          <w:cantSplit/>
          <w:jc w:val="center"/>
        </w:trPr>
        <w:tc>
          <w:tcPr>
            <w:tcW w:w="2329" w:type="dxa"/>
          </w:tcPr>
          <w:p w14:paraId="346EBC44" w14:textId="77777777" w:rsidR="00D40151" w:rsidRPr="00873B6C" w:rsidRDefault="00D40151" w:rsidP="009D14FB">
            <w:pPr>
              <w:pStyle w:val="TAL"/>
            </w:pPr>
            <w:r w:rsidRPr="00873B6C">
              <w:t>Potential Locations of Applications</w:t>
            </w:r>
          </w:p>
        </w:tc>
        <w:tc>
          <w:tcPr>
            <w:tcW w:w="2766" w:type="dxa"/>
          </w:tcPr>
          <w:p w14:paraId="173958CB" w14:textId="794DF765" w:rsidR="00D40151" w:rsidRPr="00873B6C" w:rsidRDefault="00D40151" w:rsidP="009D14FB">
            <w:pPr>
              <w:pStyle w:val="TAL"/>
              <w:rPr>
                <w:lang w:eastAsia="zh-CN"/>
              </w:rPr>
            </w:pPr>
            <w:r w:rsidRPr="00873B6C">
              <w:t>Indicates potential locations of applications, represented by a list of DNAI(s)</w:t>
            </w:r>
            <w:r w:rsidR="0014088C" w:rsidRPr="00873B6C">
              <w:t xml:space="preserve"> and optionally PLMN ID of the PLMN that the list of DNAI(s) belongs to</w:t>
            </w:r>
            <w:r w:rsidRPr="00873B6C">
              <w:t>.</w:t>
            </w:r>
            <w:r w:rsidR="0014088C" w:rsidRPr="00873B6C">
              <w:t xml:space="preserve"> (NOTE 8)</w:t>
            </w:r>
          </w:p>
        </w:tc>
        <w:tc>
          <w:tcPr>
            <w:tcW w:w="2893" w:type="dxa"/>
          </w:tcPr>
          <w:p w14:paraId="0E10204B" w14:textId="77777777" w:rsidR="00D40151" w:rsidRPr="00873B6C" w:rsidRDefault="00D40151" w:rsidP="009D14FB">
            <w:pPr>
              <w:pStyle w:val="TAL"/>
              <w:rPr>
                <w:lang w:eastAsia="zh-CN"/>
              </w:rPr>
            </w:pPr>
            <w:r w:rsidRPr="00873B6C">
              <w:t>The potential locations of applications can be represented by AF-Service-Identifier.</w:t>
            </w:r>
          </w:p>
        </w:tc>
        <w:tc>
          <w:tcPr>
            <w:tcW w:w="1643" w:type="dxa"/>
          </w:tcPr>
          <w:p w14:paraId="1BB387BC" w14:textId="77777777" w:rsidR="00D40151" w:rsidRPr="00873B6C" w:rsidRDefault="00D40151" w:rsidP="009D14FB">
            <w:pPr>
              <w:pStyle w:val="TAL"/>
            </w:pPr>
            <w:r w:rsidRPr="00873B6C">
              <w:t>Conditional</w:t>
            </w:r>
          </w:p>
          <w:p w14:paraId="516AEA66" w14:textId="77777777" w:rsidR="00D40151" w:rsidRPr="00873B6C" w:rsidRDefault="00D40151" w:rsidP="009D14FB">
            <w:pPr>
              <w:pStyle w:val="TAL"/>
            </w:pPr>
            <w:r w:rsidRPr="00873B6C">
              <w:t>(NOTE 2)</w:t>
            </w:r>
          </w:p>
        </w:tc>
      </w:tr>
      <w:tr w:rsidR="00D40151" w:rsidRPr="00873B6C" w14:paraId="577B14CF" w14:textId="77777777" w:rsidTr="00FD5C4A">
        <w:trPr>
          <w:cantSplit/>
          <w:jc w:val="center"/>
        </w:trPr>
        <w:tc>
          <w:tcPr>
            <w:tcW w:w="2329" w:type="dxa"/>
          </w:tcPr>
          <w:p w14:paraId="1274FEE2" w14:textId="77777777" w:rsidR="00D40151" w:rsidRPr="00873B6C" w:rsidRDefault="00D40151" w:rsidP="009D14FB">
            <w:pPr>
              <w:pStyle w:val="TAL"/>
            </w:pPr>
            <w:r w:rsidRPr="00873B6C">
              <w:rPr>
                <w:lang w:eastAsia="zh-CN"/>
              </w:rPr>
              <w:t>Target UE Identifier(s)</w:t>
            </w:r>
          </w:p>
        </w:tc>
        <w:tc>
          <w:tcPr>
            <w:tcW w:w="2766" w:type="dxa"/>
          </w:tcPr>
          <w:p w14:paraId="2D62F074" w14:textId="14FB9BA7" w:rsidR="00D40151" w:rsidRPr="00873B6C" w:rsidRDefault="00D40151" w:rsidP="009D14FB">
            <w:pPr>
              <w:pStyle w:val="TAL"/>
            </w:pPr>
            <w:r w:rsidRPr="00873B6C">
              <w:rPr>
                <w:lang w:eastAsia="zh-CN"/>
              </w:rPr>
              <w:t xml:space="preserve">Indicates the UE(s) that the request is targeting, i.e. </w:t>
            </w:r>
            <w:r w:rsidR="004817F2" w:rsidRPr="00873B6C">
              <w:rPr>
                <w:lang w:eastAsia="zh-CN"/>
              </w:rPr>
              <w:t xml:space="preserve">one or a list of </w:t>
            </w:r>
            <w:r w:rsidRPr="00873B6C">
              <w:rPr>
                <w:lang w:eastAsia="zh-CN"/>
              </w:rPr>
              <w:t>individual UE</w:t>
            </w:r>
            <w:r w:rsidR="004817F2" w:rsidRPr="00873B6C">
              <w:rPr>
                <w:lang w:eastAsia="zh-CN"/>
              </w:rPr>
              <w:t>(s)</w:t>
            </w:r>
            <w:r w:rsidRPr="00873B6C">
              <w:rPr>
                <w:lang w:eastAsia="zh-CN"/>
              </w:rPr>
              <w:t>, a group of UE represented by Internal Group Identifier</w:t>
            </w:r>
            <w:r w:rsidR="002C4A81" w:rsidRPr="00873B6C">
              <w:rPr>
                <w:lang w:eastAsia="zh-CN"/>
              </w:rPr>
              <w:t>(s)</w:t>
            </w:r>
            <w:r w:rsidRPr="00873B6C">
              <w:rPr>
                <w:lang w:eastAsia="zh-CN"/>
              </w:rPr>
              <w:t xml:space="preserve"> (NOTE 3), or any UE accessing the combination of DNN, S-NSSAI and DNAI(s).</w:t>
            </w:r>
          </w:p>
        </w:tc>
        <w:tc>
          <w:tcPr>
            <w:tcW w:w="2893" w:type="dxa"/>
          </w:tcPr>
          <w:p w14:paraId="47AF6F80" w14:textId="62E37392" w:rsidR="00D40151" w:rsidRPr="00873B6C" w:rsidRDefault="00D40151" w:rsidP="009D14FB">
            <w:pPr>
              <w:pStyle w:val="TAL"/>
            </w:pPr>
            <w:r w:rsidRPr="00873B6C">
              <w:rPr>
                <w:lang w:eastAsia="zh-CN"/>
              </w:rPr>
              <w:t>GPSI can be applied to identify the individual UE, or External Group Identifier</w:t>
            </w:r>
            <w:r w:rsidR="002C4A81" w:rsidRPr="00873B6C">
              <w:rPr>
                <w:lang w:eastAsia="zh-CN"/>
              </w:rPr>
              <w:t>(s)</w:t>
            </w:r>
            <w:r w:rsidRPr="00873B6C">
              <w:rPr>
                <w:lang w:eastAsia="zh-CN"/>
              </w:rPr>
              <w:t xml:space="preserve"> can be applied to identify a group of UE</w:t>
            </w:r>
            <w:r w:rsidR="002C4A81" w:rsidRPr="00873B6C">
              <w:rPr>
                <w:lang w:eastAsia="zh-CN"/>
              </w:rPr>
              <w:t xml:space="preserve"> (NOTE 3). External Subscriber Category(s) (NOTE 5)</w:t>
            </w:r>
            <w:r w:rsidRPr="00873B6C">
              <w:rPr>
                <w:lang w:eastAsia="zh-CN"/>
              </w:rPr>
              <w:t>.</w:t>
            </w:r>
          </w:p>
        </w:tc>
        <w:tc>
          <w:tcPr>
            <w:tcW w:w="1643" w:type="dxa"/>
          </w:tcPr>
          <w:p w14:paraId="305567C7" w14:textId="77777777" w:rsidR="00D40151" w:rsidRPr="00873B6C" w:rsidRDefault="00D40151" w:rsidP="009D14FB">
            <w:pPr>
              <w:pStyle w:val="TAL"/>
            </w:pPr>
            <w:r w:rsidRPr="00873B6C">
              <w:t>Mandatory</w:t>
            </w:r>
          </w:p>
        </w:tc>
      </w:tr>
      <w:tr w:rsidR="00D40151" w:rsidRPr="00873B6C" w14:paraId="560A1D53" w14:textId="77777777" w:rsidTr="00FD5C4A">
        <w:trPr>
          <w:cantSplit/>
          <w:jc w:val="center"/>
        </w:trPr>
        <w:tc>
          <w:tcPr>
            <w:tcW w:w="2329" w:type="dxa"/>
          </w:tcPr>
          <w:p w14:paraId="27DA2909" w14:textId="77777777" w:rsidR="00D40151" w:rsidRPr="00873B6C" w:rsidRDefault="00D40151" w:rsidP="009D14FB">
            <w:pPr>
              <w:pStyle w:val="TAL"/>
              <w:rPr>
                <w:lang w:eastAsia="zh-CN"/>
              </w:rPr>
            </w:pPr>
            <w:r w:rsidRPr="00873B6C">
              <w:t>Spatial Validity Condition</w:t>
            </w:r>
          </w:p>
        </w:tc>
        <w:tc>
          <w:tcPr>
            <w:tcW w:w="2766" w:type="dxa"/>
          </w:tcPr>
          <w:p w14:paraId="7764FDF5" w14:textId="77777777" w:rsidR="00D40151" w:rsidRPr="00873B6C" w:rsidRDefault="00D40151" w:rsidP="009D14FB">
            <w:pPr>
              <w:pStyle w:val="TAL"/>
              <w:rPr>
                <w:lang w:eastAsia="zh-CN"/>
              </w:rPr>
            </w:pPr>
            <w:r w:rsidRPr="00873B6C">
              <w:t>Indicates that the request applies only to the traffic of UE(s) located in the specified location, represented by areas of validity.</w:t>
            </w:r>
          </w:p>
        </w:tc>
        <w:tc>
          <w:tcPr>
            <w:tcW w:w="2893" w:type="dxa"/>
          </w:tcPr>
          <w:p w14:paraId="786F88FA" w14:textId="2EAF9B6B" w:rsidR="00D40151" w:rsidRPr="00873B6C" w:rsidRDefault="00D40151" w:rsidP="009D14FB">
            <w:pPr>
              <w:pStyle w:val="TAL"/>
              <w:rPr>
                <w:lang w:eastAsia="zh-CN"/>
              </w:rPr>
            </w:pPr>
            <w:r w:rsidRPr="00873B6C">
              <w:rPr>
                <w:lang w:eastAsia="zh-CN"/>
              </w:rPr>
              <w:t>The specified location can be represented by</w:t>
            </w:r>
            <w:r w:rsidR="00A1192D" w:rsidRPr="00873B6C">
              <w:rPr>
                <w:lang w:eastAsia="zh-CN"/>
              </w:rPr>
              <w:t xml:space="preserve"> geographical area.</w:t>
            </w:r>
          </w:p>
        </w:tc>
        <w:tc>
          <w:tcPr>
            <w:tcW w:w="1643" w:type="dxa"/>
          </w:tcPr>
          <w:p w14:paraId="69E6CB17" w14:textId="77777777" w:rsidR="00D40151" w:rsidRPr="00873B6C" w:rsidRDefault="00D40151" w:rsidP="009D14FB">
            <w:pPr>
              <w:pStyle w:val="TAL"/>
            </w:pPr>
            <w:r w:rsidRPr="00873B6C">
              <w:t>Optional</w:t>
            </w:r>
          </w:p>
        </w:tc>
      </w:tr>
      <w:tr w:rsidR="00D40151" w:rsidRPr="00873B6C" w14:paraId="238849A8" w14:textId="77777777" w:rsidTr="00FD5C4A">
        <w:trPr>
          <w:cantSplit/>
          <w:jc w:val="center"/>
        </w:trPr>
        <w:tc>
          <w:tcPr>
            <w:tcW w:w="2329" w:type="dxa"/>
          </w:tcPr>
          <w:p w14:paraId="5D13EF8A" w14:textId="77777777" w:rsidR="00D40151" w:rsidRPr="00873B6C" w:rsidRDefault="00D40151" w:rsidP="009D14FB">
            <w:pPr>
              <w:pStyle w:val="TAL"/>
            </w:pPr>
            <w:r w:rsidRPr="00873B6C">
              <w:t>AF transaction identifier</w:t>
            </w:r>
          </w:p>
        </w:tc>
        <w:tc>
          <w:tcPr>
            <w:tcW w:w="2766" w:type="dxa"/>
          </w:tcPr>
          <w:p w14:paraId="60D95AAC" w14:textId="77777777" w:rsidR="00D40151" w:rsidRPr="00873B6C" w:rsidRDefault="00D40151" w:rsidP="009D14FB">
            <w:pPr>
              <w:pStyle w:val="TAL"/>
            </w:pPr>
            <w:r w:rsidRPr="00873B6C">
              <w:rPr>
                <w:lang w:eastAsia="zh-CN"/>
              </w:rPr>
              <w:t>The AF transaction identifier refers to the AF request.</w:t>
            </w:r>
          </w:p>
        </w:tc>
        <w:tc>
          <w:tcPr>
            <w:tcW w:w="2893" w:type="dxa"/>
          </w:tcPr>
          <w:p w14:paraId="0D7854A6" w14:textId="77777777" w:rsidR="00D40151" w:rsidRPr="00873B6C" w:rsidRDefault="00D40151" w:rsidP="009D14FB">
            <w:pPr>
              <w:pStyle w:val="TAL"/>
              <w:rPr>
                <w:lang w:eastAsia="zh-CN"/>
              </w:rPr>
            </w:pPr>
            <w:r w:rsidRPr="00873B6C">
              <w:rPr>
                <w:lang w:eastAsia="zh-CN"/>
              </w:rPr>
              <w:t>N/A</w:t>
            </w:r>
          </w:p>
        </w:tc>
        <w:tc>
          <w:tcPr>
            <w:tcW w:w="1643" w:type="dxa"/>
          </w:tcPr>
          <w:p w14:paraId="5C5427D0" w14:textId="77777777" w:rsidR="00D40151" w:rsidRPr="00873B6C" w:rsidRDefault="00D40151" w:rsidP="009D14FB">
            <w:pPr>
              <w:pStyle w:val="TAL"/>
            </w:pPr>
            <w:r w:rsidRPr="00873B6C">
              <w:t>Mandatory</w:t>
            </w:r>
          </w:p>
        </w:tc>
      </w:tr>
      <w:tr w:rsidR="00D40151" w:rsidRPr="00873B6C" w14:paraId="0B47665C" w14:textId="77777777" w:rsidTr="00FD5C4A">
        <w:trPr>
          <w:cantSplit/>
          <w:jc w:val="center"/>
        </w:trPr>
        <w:tc>
          <w:tcPr>
            <w:tcW w:w="2329" w:type="dxa"/>
          </w:tcPr>
          <w:p w14:paraId="3E7E6582" w14:textId="77777777" w:rsidR="00D40151" w:rsidRPr="00873B6C" w:rsidRDefault="00D40151" w:rsidP="009D14FB">
            <w:pPr>
              <w:pStyle w:val="TAL"/>
            </w:pPr>
            <w:r w:rsidRPr="00873B6C">
              <w:rPr>
                <w:lang w:eastAsia="zh-CN"/>
              </w:rPr>
              <w:t>N6 Traffic Routing requirements</w:t>
            </w:r>
          </w:p>
        </w:tc>
        <w:tc>
          <w:tcPr>
            <w:tcW w:w="2766" w:type="dxa"/>
          </w:tcPr>
          <w:p w14:paraId="1208FDE7" w14:textId="2031F39D" w:rsidR="00D40151" w:rsidRPr="00873B6C" w:rsidRDefault="00D40151" w:rsidP="009D14FB">
            <w:pPr>
              <w:pStyle w:val="TAL"/>
              <w:rPr>
                <w:lang w:eastAsia="zh-CN"/>
              </w:rPr>
            </w:pPr>
            <w:r w:rsidRPr="00873B6C">
              <w:rPr>
                <w:lang w:eastAsia="zh-CN"/>
              </w:rPr>
              <w:t>Routing profile ID and/or N6 traffic routing information corresponding to each DNAI and an optional indication of traffic correlation</w:t>
            </w:r>
            <w:r w:rsidR="005C1DEB" w:rsidRPr="00873B6C">
              <w:rPr>
                <w:lang w:eastAsia="zh-CN"/>
              </w:rPr>
              <w:t xml:space="preserve"> (NOTE 4)</w:t>
            </w:r>
            <w:r w:rsidRPr="00873B6C">
              <w:rPr>
                <w:lang w:eastAsia="zh-CN"/>
              </w:rPr>
              <w:t>.</w:t>
            </w:r>
          </w:p>
        </w:tc>
        <w:tc>
          <w:tcPr>
            <w:tcW w:w="2893" w:type="dxa"/>
          </w:tcPr>
          <w:p w14:paraId="7E0139F1" w14:textId="77777777" w:rsidR="00D40151" w:rsidRPr="00873B6C" w:rsidRDefault="00D40151" w:rsidP="009D14FB">
            <w:pPr>
              <w:pStyle w:val="TAL"/>
              <w:rPr>
                <w:lang w:eastAsia="zh-CN"/>
              </w:rPr>
            </w:pPr>
            <w:r w:rsidRPr="00873B6C">
              <w:rPr>
                <w:lang w:eastAsia="zh-CN"/>
              </w:rPr>
              <w:t>N/A</w:t>
            </w:r>
          </w:p>
        </w:tc>
        <w:tc>
          <w:tcPr>
            <w:tcW w:w="1643" w:type="dxa"/>
          </w:tcPr>
          <w:p w14:paraId="1018C724" w14:textId="77777777" w:rsidR="00D40151" w:rsidRPr="00873B6C" w:rsidRDefault="00D40151" w:rsidP="009D14FB">
            <w:pPr>
              <w:pStyle w:val="TAL"/>
            </w:pPr>
            <w:r w:rsidRPr="00873B6C">
              <w:t>Optional</w:t>
            </w:r>
          </w:p>
          <w:p w14:paraId="219C7BD5" w14:textId="77777777" w:rsidR="00D40151" w:rsidRPr="00873B6C" w:rsidRDefault="00D40151" w:rsidP="009D14FB">
            <w:pPr>
              <w:pStyle w:val="TAL"/>
            </w:pPr>
            <w:r w:rsidRPr="00873B6C">
              <w:t>(NOTE 2)</w:t>
            </w:r>
          </w:p>
        </w:tc>
      </w:tr>
      <w:tr w:rsidR="00D40151" w:rsidRPr="00873B6C" w14:paraId="2C055329" w14:textId="77777777" w:rsidTr="00FD5C4A">
        <w:trPr>
          <w:cantSplit/>
          <w:jc w:val="center"/>
        </w:trPr>
        <w:tc>
          <w:tcPr>
            <w:tcW w:w="2329" w:type="dxa"/>
          </w:tcPr>
          <w:p w14:paraId="4D2E91F1" w14:textId="77777777" w:rsidR="00D40151" w:rsidRPr="00873B6C" w:rsidRDefault="00D40151" w:rsidP="009D14FB">
            <w:pPr>
              <w:pStyle w:val="TAL"/>
              <w:rPr>
                <w:lang w:eastAsia="zh-CN"/>
              </w:rPr>
            </w:pPr>
            <w:r w:rsidRPr="00873B6C">
              <w:t>Application Relocation Possibility</w:t>
            </w:r>
          </w:p>
        </w:tc>
        <w:tc>
          <w:tcPr>
            <w:tcW w:w="2766" w:type="dxa"/>
          </w:tcPr>
          <w:p w14:paraId="0EA19F13" w14:textId="77777777" w:rsidR="00D40151" w:rsidRPr="00873B6C" w:rsidRDefault="00D40151" w:rsidP="009D14FB">
            <w:pPr>
              <w:pStyle w:val="TAL"/>
              <w:rPr>
                <w:lang w:eastAsia="zh-CN"/>
              </w:rPr>
            </w:pPr>
            <w:r w:rsidRPr="00873B6C">
              <w:rPr>
                <w:lang w:eastAsia="zh-CN"/>
              </w:rPr>
              <w:t>Indicates whether an application can be relocated once a location of the application is selected by the 5GC.</w:t>
            </w:r>
          </w:p>
        </w:tc>
        <w:tc>
          <w:tcPr>
            <w:tcW w:w="2893" w:type="dxa"/>
          </w:tcPr>
          <w:p w14:paraId="69604B2E" w14:textId="77777777" w:rsidR="00D40151" w:rsidRPr="00873B6C" w:rsidRDefault="00D40151" w:rsidP="009D14FB">
            <w:pPr>
              <w:pStyle w:val="TAL"/>
              <w:rPr>
                <w:lang w:eastAsia="zh-CN"/>
              </w:rPr>
            </w:pPr>
            <w:r w:rsidRPr="00873B6C">
              <w:rPr>
                <w:lang w:eastAsia="zh-CN"/>
              </w:rPr>
              <w:t>N/A</w:t>
            </w:r>
          </w:p>
        </w:tc>
        <w:tc>
          <w:tcPr>
            <w:tcW w:w="1643" w:type="dxa"/>
          </w:tcPr>
          <w:p w14:paraId="2E311527" w14:textId="77777777" w:rsidR="00D40151" w:rsidRPr="00873B6C" w:rsidRDefault="00D40151" w:rsidP="009D14FB">
            <w:pPr>
              <w:pStyle w:val="TAL"/>
            </w:pPr>
            <w:r w:rsidRPr="00873B6C">
              <w:t>Optional</w:t>
            </w:r>
          </w:p>
        </w:tc>
      </w:tr>
      <w:tr w:rsidR="00D40151" w:rsidRPr="00873B6C" w14:paraId="0567CBAC" w14:textId="77777777" w:rsidTr="00FD5C4A">
        <w:trPr>
          <w:cantSplit/>
          <w:jc w:val="center"/>
        </w:trPr>
        <w:tc>
          <w:tcPr>
            <w:tcW w:w="2329" w:type="dxa"/>
          </w:tcPr>
          <w:p w14:paraId="63540523" w14:textId="77777777" w:rsidR="00D40151" w:rsidRPr="00873B6C" w:rsidRDefault="00D40151" w:rsidP="009D14FB">
            <w:pPr>
              <w:pStyle w:val="TAL"/>
              <w:rPr>
                <w:lang w:eastAsia="zh-CN"/>
              </w:rPr>
            </w:pPr>
            <w:r w:rsidRPr="00873B6C">
              <w:rPr>
                <w:lang w:eastAsia="zh-CN"/>
              </w:rPr>
              <w:t>UE IP address preservation indication</w:t>
            </w:r>
          </w:p>
        </w:tc>
        <w:tc>
          <w:tcPr>
            <w:tcW w:w="2766" w:type="dxa"/>
          </w:tcPr>
          <w:p w14:paraId="2956073A" w14:textId="77777777" w:rsidR="00D40151" w:rsidRPr="00873B6C" w:rsidRDefault="00D40151" w:rsidP="009D14FB">
            <w:pPr>
              <w:pStyle w:val="TAL"/>
              <w:rPr>
                <w:lang w:eastAsia="zh-CN"/>
              </w:rPr>
            </w:pPr>
            <w:r w:rsidRPr="00873B6C">
              <w:rPr>
                <w:lang w:eastAsia="zh-CN"/>
              </w:rPr>
              <w:t>Indicates UE IP address should be preserved.</w:t>
            </w:r>
          </w:p>
        </w:tc>
        <w:tc>
          <w:tcPr>
            <w:tcW w:w="2893" w:type="dxa"/>
          </w:tcPr>
          <w:p w14:paraId="64600B0B" w14:textId="77777777" w:rsidR="00D40151" w:rsidRPr="00873B6C" w:rsidRDefault="00D40151" w:rsidP="009D14FB">
            <w:pPr>
              <w:pStyle w:val="TAL"/>
              <w:rPr>
                <w:lang w:eastAsia="zh-CN"/>
              </w:rPr>
            </w:pPr>
            <w:r w:rsidRPr="00873B6C">
              <w:rPr>
                <w:lang w:eastAsia="zh-CN"/>
              </w:rPr>
              <w:t>N/A</w:t>
            </w:r>
          </w:p>
        </w:tc>
        <w:tc>
          <w:tcPr>
            <w:tcW w:w="1643" w:type="dxa"/>
          </w:tcPr>
          <w:p w14:paraId="53949011" w14:textId="77777777" w:rsidR="00D40151" w:rsidRPr="00873B6C" w:rsidRDefault="00D40151" w:rsidP="009D14FB">
            <w:pPr>
              <w:pStyle w:val="TAL"/>
            </w:pPr>
            <w:r w:rsidRPr="00873B6C">
              <w:t>Optional</w:t>
            </w:r>
          </w:p>
        </w:tc>
      </w:tr>
      <w:tr w:rsidR="00D40151" w:rsidRPr="00873B6C" w14:paraId="5AC0C273" w14:textId="77777777" w:rsidTr="00FD5C4A">
        <w:trPr>
          <w:cantSplit/>
          <w:jc w:val="center"/>
        </w:trPr>
        <w:tc>
          <w:tcPr>
            <w:tcW w:w="2329" w:type="dxa"/>
          </w:tcPr>
          <w:p w14:paraId="79FD43BF" w14:textId="77777777" w:rsidR="00D40151" w:rsidRPr="00873B6C" w:rsidRDefault="00D40151" w:rsidP="009D14FB">
            <w:pPr>
              <w:pStyle w:val="TAL"/>
            </w:pPr>
            <w:r w:rsidRPr="00873B6C">
              <w:t>Temporal Validity Condition</w:t>
            </w:r>
          </w:p>
        </w:tc>
        <w:tc>
          <w:tcPr>
            <w:tcW w:w="2766" w:type="dxa"/>
          </w:tcPr>
          <w:p w14:paraId="041CF46C" w14:textId="77777777" w:rsidR="00D40151" w:rsidRPr="00873B6C" w:rsidRDefault="00D40151" w:rsidP="009D14FB">
            <w:pPr>
              <w:pStyle w:val="TAL"/>
              <w:rPr>
                <w:lang w:eastAsia="zh-CN"/>
              </w:rPr>
            </w:pPr>
            <w:r w:rsidRPr="00873B6C">
              <w:t>Time interval(s) or duration(s).</w:t>
            </w:r>
          </w:p>
        </w:tc>
        <w:tc>
          <w:tcPr>
            <w:tcW w:w="2893" w:type="dxa"/>
          </w:tcPr>
          <w:p w14:paraId="65D9746D" w14:textId="77777777" w:rsidR="00D40151" w:rsidRPr="00873B6C" w:rsidRDefault="00D40151" w:rsidP="009D14FB">
            <w:pPr>
              <w:pStyle w:val="TAL"/>
              <w:rPr>
                <w:lang w:eastAsia="zh-CN"/>
              </w:rPr>
            </w:pPr>
            <w:r w:rsidRPr="00873B6C">
              <w:rPr>
                <w:lang w:eastAsia="zh-CN"/>
              </w:rPr>
              <w:t>N/A</w:t>
            </w:r>
          </w:p>
        </w:tc>
        <w:tc>
          <w:tcPr>
            <w:tcW w:w="1643" w:type="dxa"/>
          </w:tcPr>
          <w:p w14:paraId="62546558" w14:textId="77777777" w:rsidR="00D40151" w:rsidRPr="00873B6C" w:rsidRDefault="00D40151" w:rsidP="009D14FB">
            <w:pPr>
              <w:pStyle w:val="TAL"/>
            </w:pPr>
            <w:r w:rsidRPr="00873B6C">
              <w:t>Optional</w:t>
            </w:r>
          </w:p>
        </w:tc>
      </w:tr>
      <w:tr w:rsidR="00D40151" w:rsidRPr="00873B6C" w14:paraId="4B699319" w14:textId="77777777" w:rsidTr="00FD5C4A">
        <w:trPr>
          <w:cantSplit/>
          <w:jc w:val="center"/>
        </w:trPr>
        <w:tc>
          <w:tcPr>
            <w:tcW w:w="2329" w:type="dxa"/>
          </w:tcPr>
          <w:p w14:paraId="2FF09BAE" w14:textId="77777777" w:rsidR="00D40151" w:rsidRPr="00873B6C" w:rsidRDefault="00D40151" w:rsidP="009D14FB">
            <w:pPr>
              <w:pStyle w:val="TAL"/>
            </w:pPr>
            <w:r w:rsidRPr="00873B6C">
              <w:t>Information on AF subscription to corresponding SMF events</w:t>
            </w:r>
          </w:p>
        </w:tc>
        <w:tc>
          <w:tcPr>
            <w:tcW w:w="2766" w:type="dxa"/>
          </w:tcPr>
          <w:p w14:paraId="3C913D40" w14:textId="77777777" w:rsidR="00D40151" w:rsidRPr="00873B6C" w:rsidRDefault="00D40151" w:rsidP="009D14FB">
            <w:pPr>
              <w:pStyle w:val="TAL"/>
            </w:pPr>
            <w:r w:rsidRPr="00873B6C">
              <w:rPr>
                <w:lang w:eastAsia="zh-CN"/>
              </w:rPr>
              <w:t>Indicates whether the AF subscribes to change of UP path of the PDU Session and the parameters of this subscription.</w:t>
            </w:r>
          </w:p>
        </w:tc>
        <w:tc>
          <w:tcPr>
            <w:tcW w:w="2893" w:type="dxa"/>
          </w:tcPr>
          <w:p w14:paraId="2AE78E54" w14:textId="77777777" w:rsidR="00D40151" w:rsidRPr="00873B6C" w:rsidRDefault="00D40151" w:rsidP="009D14FB">
            <w:pPr>
              <w:pStyle w:val="TAL"/>
              <w:rPr>
                <w:lang w:eastAsia="zh-CN"/>
              </w:rPr>
            </w:pPr>
            <w:r w:rsidRPr="00873B6C">
              <w:rPr>
                <w:lang w:eastAsia="zh-CN"/>
              </w:rPr>
              <w:t>N/A</w:t>
            </w:r>
          </w:p>
        </w:tc>
        <w:tc>
          <w:tcPr>
            <w:tcW w:w="1643" w:type="dxa"/>
          </w:tcPr>
          <w:p w14:paraId="104BEA56" w14:textId="77777777" w:rsidR="00D40151" w:rsidRPr="00873B6C" w:rsidRDefault="00D40151" w:rsidP="009D14FB">
            <w:pPr>
              <w:pStyle w:val="TAL"/>
            </w:pPr>
            <w:r w:rsidRPr="00873B6C">
              <w:t>Optional</w:t>
            </w:r>
          </w:p>
        </w:tc>
      </w:tr>
      <w:tr w:rsidR="00B04F2B" w:rsidRPr="00873B6C" w14:paraId="47D66208" w14:textId="77777777" w:rsidTr="00B96062">
        <w:trPr>
          <w:cantSplit/>
          <w:jc w:val="center"/>
        </w:trPr>
        <w:tc>
          <w:tcPr>
            <w:tcW w:w="2329" w:type="dxa"/>
          </w:tcPr>
          <w:p w14:paraId="55C30E87" w14:textId="0A8757DD" w:rsidR="00B04F2B" w:rsidRPr="00873B6C" w:rsidRDefault="00B04F2B" w:rsidP="00B04F2B">
            <w:pPr>
              <w:pStyle w:val="TAL"/>
            </w:pPr>
            <w:r w:rsidRPr="00873B6C">
              <w:t>Information for EAS IP Replacement in 5GC</w:t>
            </w:r>
          </w:p>
        </w:tc>
        <w:tc>
          <w:tcPr>
            <w:tcW w:w="2766" w:type="dxa"/>
          </w:tcPr>
          <w:p w14:paraId="371130CD" w14:textId="5BF34E2F" w:rsidR="00B04F2B" w:rsidRPr="00873B6C" w:rsidRDefault="00B04F2B" w:rsidP="00B04F2B">
            <w:pPr>
              <w:pStyle w:val="TAL"/>
            </w:pPr>
            <w:r w:rsidRPr="00873B6C">
              <w:t>Indicates the Source EAS identifier and Target EAS identifier, (i.e. IP addresses and port numbers of the source and target EAS).</w:t>
            </w:r>
          </w:p>
        </w:tc>
        <w:tc>
          <w:tcPr>
            <w:tcW w:w="2893" w:type="dxa"/>
          </w:tcPr>
          <w:p w14:paraId="298A078F" w14:textId="27E7F7E2" w:rsidR="00B04F2B" w:rsidRPr="00873B6C" w:rsidRDefault="00B04F2B" w:rsidP="00B04F2B">
            <w:pPr>
              <w:pStyle w:val="TAL"/>
              <w:rPr>
                <w:lang w:eastAsia="zh-CN"/>
              </w:rPr>
            </w:pPr>
            <w:r w:rsidRPr="00873B6C">
              <w:rPr>
                <w:lang w:eastAsia="zh-CN"/>
              </w:rPr>
              <w:t>N/A</w:t>
            </w:r>
          </w:p>
        </w:tc>
        <w:tc>
          <w:tcPr>
            <w:tcW w:w="1643" w:type="dxa"/>
          </w:tcPr>
          <w:p w14:paraId="2F50BFAF" w14:textId="091D4E61" w:rsidR="00B04F2B" w:rsidRPr="00873B6C" w:rsidRDefault="00B04F2B" w:rsidP="00B04F2B">
            <w:pPr>
              <w:pStyle w:val="TAL"/>
            </w:pPr>
            <w:r w:rsidRPr="00873B6C">
              <w:t>Optional</w:t>
            </w:r>
          </w:p>
        </w:tc>
      </w:tr>
      <w:tr w:rsidR="00681FC7" w:rsidRPr="00873B6C" w14:paraId="6CC0AFBA" w14:textId="77777777" w:rsidTr="00055D0B">
        <w:trPr>
          <w:cantSplit/>
          <w:jc w:val="center"/>
        </w:trPr>
        <w:tc>
          <w:tcPr>
            <w:tcW w:w="2329" w:type="dxa"/>
          </w:tcPr>
          <w:p w14:paraId="5272F1DB" w14:textId="5083A3A0" w:rsidR="00681FC7" w:rsidRPr="00873B6C" w:rsidRDefault="00681FC7" w:rsidP="00055D0B">
            <w:pPr>
              <w:pStyle w:val="TAL"/>
            </w:pPr>
            <w:r w:rsidRPr="00873B6C">
              <w:t>User Plane Latency Requirement</w:t>
            </w:r>
          </w:p>
        </w:tc>
        <w:tc>
          <w:tcPr>
            <w:tcW w:w="2766" w:type="dxa"/>
          </w:tcPr>
          <w:p w14:paraId="1EB53C25" w14:textId="619A1659" w:rsidR="00681FC7" w:rsidRPr="00873B6C" w:rsidRDefault="00681FC7" w:rsidP="00055D0B">
            <w:pPr>
              <w:pStyle w:val="TAL"/>
            </w:pPr>
            <w:r w:rsidRPr="00873B6C">
              <w:t>Indicates the user plane latency requirements</w:t>
            </w:r>
          </w:p>
        </w:tc>
        <w:tc>
          <w:tcPr>
            <w:tcW w:w="2893" w:type="dxa"/>
          </w:tcPr>
          <w:p w14:paraId="29D12C43" w14:textId="4BCCE315" w:rsidR="00681FC7" w:rsidRPr="00873B6C" w:rsidRDefault="00681FC7" w:rsidP="00055D0B">
            <w:pPr>
              <w:pStyle w:val="TAL"/>
              <w:rPr>
                <w:lang w:eastAsia="zh-CN"/>
              </w:rPr>
            </w:pPr>
            <w:r w:rsidRPr="00873B6C">
              <w:rPr>
                <w:lang w:eastAsia="zh-CN"/>
              </w:rPr>
              <w:t>N/A</w:t>
            </w:r>
          </w:p>
        </w:tc>
        <w:tc>
          <w:tcPr>
            <w:tcW w:w="1643" w:type="dxa"/>
          </w:tcPr>
          <w:p w14:paraId="589BD17E" w14:textId="5503A336" w:rsidR="00681FC7" w:rsidRPr="00873B6C" w:rsidRDefault="00681FC7" w:rsidP="00055D0B">
            <w:pPr>
              <w:pStyle w:val="TAL"/>
            </w:pPr>
            <w:r w:rsidRPr="00873B6C">
              <w:t>Optional</w:t>
            </w:r>
          </w:p>
        </w:tc>
      </w:tr>
      <w:tr w:rsidR="00960CDA" w:rsidRPr="00873B6C" w14:paraId="6576E7D4" w14:textId="77777777" w:rsidTr="00960CDA">
        <w:trPr>
          <w:cantSplit/>
          <w:jc w:val="center"/>
        </w:trPr>
        <w:tc>
          <w:tcPr>
            <w:tcW w:w="2329" w:type="dxa"/>
          </w:tcPr>
          <w:p w14:paraId="2EC50A4B" w14:textId="005418B8" w:rsidR="00960CDA" w:rsidRPr="00873B6C" w:rsidRDefault="00960CDA" w:rsidP="00960CDA">
            <w:pPr>
              <w:pStyle w:val="TAL"/>
            </w:pPr>
            <w:r w:rsidRPr="00873B6C">
              <w:t>Information on AF change</w:t>
            </w:r>
          </w:p>
        </w:tc>
        <w:tc>
          <w:tcPr>
            <w:tcW w:w="2766" w:type="dxa"/>
          </w:tcPr>
          <w:p w14:paraId="5828BE8E" w14:textId="572CCD30" w:rsidR="00960CDA" w:rsidRPr="00873B6C" w:rsidRDefault="00960CDA" w:rsidP="00960CDA">
            <w:pPr>
              <w:pStyle w:val="TAL"/>
            </w:pPr>
            <w:r w:rsidRPr="00873B6C">
              <w:rPr>
                <w:lang w:eastAsia="zh-CN"/>
              </w:rPr>
              <w:t>N/A</w:t>
            </w:r>
          </w:p>
        </w:tc>
        <w:tc>
          <w:tcPr>
            <w:tcW w:w="2893" w:type="dxa"/>
          </w:tcPr>
          <w:p w14:paraId="2E23293A" w14:textId="537104BF" w:rsidR="00960CDA" w:rsidRPr="00873B6C" w:rsidRDefault="00960CDA" w:rsidP="00960CDA">
            <w:pPr>
              <w:pStyle w:val="TAL"/>
              <w:rPr>
                <w:lang w:eastAsia="zh-CN"/>
              </w:rPr>
            </w:pPr>
            <w:r w:rsidRPr="00873B6C">
              <w:t>Indicates the AF instance relocation and relocation information.</w:t>
            </w:r>
          </w:p>
        </w:tc>
        <w:tc>
          <w:tcPr>
            <w:tcW w:w="1643" w:type="dxa"/>
          </w:tcPr>
          <w:p w14:paraId="15F14F2B" w14:textId="2F358497" w:rsidR="00960CDA" w:rsidRPr="00873B6C" w:rsidRDefault="00960CDA" w:rsidP="00960CDA">
            <w:pPr>
              <w:pStyle w:val="TAL"/>
            </w:pPr>
            <w:r w:rsidRPr="00873B6C">
              <w:t>Optional</w:t>
            </w:r>
          </w:p>
        </w:tc>
      </w:tr>
      <w:tr w:rsidR="000F5D21" w:rsidRPr="00873B6C" w14:paraId="466C1E27" w14:textId="77777777" w:rsidTr="00182EE7">
        <w:trPr>
          <w:cantSplit/>
          <w:jc w:val="center"/>
        </w:trPr>
        <w:tc>
          <w:tcPr>
            <w:tcW w:w="2329" w:type="dxa"/>
          </w:tcPr>
          <w:p w14:paraId="1EEDC4A3" w14:textId="4D32A7FB" w:rsidR="000F5D21" w:rsidRPr="00873B6C" w:rsidRDefault="000F5D21" w:rsidP="000F5D21">
            <w:pPr>
              <w:pStyle w:val="TAL"/>
            </w:pPr>
            <w:r w:rsidRPr="00873B6C">
              <w:t>Indication for EAS Relocation</w:t>
            </w:r>
          </w:p>
        </w:tc>
        <w:tc>
          <w:tcPr>
            <w:tcW w:w="2766" w:type="dxa"/>
          </w:tcPr>
          <w:p w14:paraId="229D6793" w14:textId="4825375B" w:rsidR="000F5D21" w:rsidRPr="00873B6C" w:rsidRDefault="000F5D21" w:rsidP="000F5D21">
            <w:pPr>
              <w:pStyle w:val="TAL"/>
            </w:pPr>
            <w:r w:rsidRPr="00873B6C">
              <w:t>Indicates the EAS relocation of the application(s)</w:t>
            </w:r>
          </w:p>
        </w:tc>
        <w:tc>
          <w:tcPr>
            <w:tcW w:w="2893" w:type="dxa"/>
          </w:tcPr>
          <w:p w14:paraId="0B9B3B63" w14:textId="0FFBC8F8" w:rsidR="000F5D21" w:rsidRPr="00873B6C" w:rsidRDefault="000F5D21" w:rsidP="000F5D21">
            <w:pPr>
              <w:pStyle w:val="TAL"/>
              <w:rPr>
                <w:lang w:eastAsia="zh-CN"/>
              </w:rPr>
            </w:pPr>
            <w:r w:rsidRPr="00873B6C">
              <w:rPr>
                <w:lang w:eastAsia="zh-CN"/>
              </w:rPr>
              <w:t>N/A</w:t>
            </w:r>
          </w:p>
        </w:tc>
        <w:tc>
          <w:tcPr>
            <w:tcW w:w="1643" w:type="dxa"/>
          </w:tcPr>
          <w:p w14:paraId="5D41F54B" w14:textId="49598246" w:rsidR="000F5D21" w:rsidRPr="00873B6C" w:rsidRDefault="000F5D21" w:rsidP="000F5D21">
            <w:pPr>
              <w:pStyle w:val="TAL"/>
            </w:pPr>
            <w:r w:rsidRPr="00873B6C">
              <w:t>Optional</w:t>
            </w:r>
          </w:p>
        </w:tc>
      </w:tr>
      <w:tr w:rsidR="007C344D" w:rsidRPr="00873B6C" w14:paraId="3BB89171" w14:textId="77777777" w:rsidTr="008546A1">
        <w:trPr>
          <w:cantSplit/>
          <w:jc w:val="center"/>
        </w:trPr>
        <w:tc>
          <w:tcPr>
            <w:tcW w:w="2329" w:type="dxa"/>
          </w:tcPr>
          <w:p w14:paraId="1EB0B4AC" w14:textId="4F627EA3" w:rsidR="007C344D" w:rsidRPr="00873B6C" w:rsidRDefault="007C344D" w:rsidP="007C344D">
            <w:pPr>
              <w:pStyle w:val="TAL"/>
            </w:pPr>
            <w:r w:rsidRPr="00873B6C">
              <w:lastRenderedPageBreak/>
              <w:t>Indication for Simultaneous Connectivity over the source and target PSA at Edge Relocation</w:t>
            </w:r>
          </w:p>
        </w:tc>
        <w:tc>
          <w:tcPr>
            <w:tcW w:w="2766" w:type="dxa"/>
          </w:tcPr>
          <w:p w14:paraId="7C0FFBA1" w14:textId="0F3177CB" w:rsidR="007C344D" w:rsidRPr="00873B6C" w:rsidRDefault="007C344D" w:rsidP="007C344D">
            <w:pPr>
              <w:pStyle w:val="TAL"/>
            </w:pPr>
            <w:r w:rsidRPr="00873B6C">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873B6C" w:rsidRDefault="007C344D" w:rsidP="007C344D">
            <w:pPr>
              <w:pStyle w:val="TAL"/>
              <w:rPr>
                <w:lang w:eastAsia="zh-CN"/>
              </w:rPr>
            </w:pPr>
            <w:r w:rsidRPr="00873B6C">
              <w:rPr>
                <w:lang w:eastAsia="zh-CN"/>
              </w:rPr>
              <w:t>N/A</w:t>
            </w:r>
          </w:p>
        </w:tc>
        <w:tc>
          <w:tcPr>
            <w:tcW w:w="1643" w:type="dxa"/>
          </w:tcPr>
          <w:p w14:paraId="729E3DDF" w14:textId="3BDE735A" w:rsidR="007C344D" w:rsidRPr="00873B6C" w:rsidRDefault="007C344D" w:rsidP="007C344D">
            <w:pPr>
              <w:pStyle w:val="TAL"/>
            </w:pPr>
            <w:r w:rsidRPr="00873B6C">
              <w:t>Optional</w:t>
            </w:r>
          </w:p>
        </w:tc>
      </w:tr>
      <w:tr w:rsidR="004817F2" w:rsidRPr="00873B6C" w14:paraId="5DDB681B" w14:textId="77777777" w:rsidTr="00C9561D">
        <w:trPr>
          <w:cantSplit/>
          <w:jc w:val="center"/>
        </w:trPr>
        <w:tc>
          <w:tcPr>
            <w:tcW w:w="2329" w:type="dxa"/>
          </w:tcPr>
          <w:p w14:paraId="453B6C58" w14:textId="02EEFAEA" w:rsidR="004817F2" w:rsidRPr="00873B6C" w:rsidRDefault="004817F2" w:rsidP="004817F2">
            <w:pPr>
              <w:pStyle w:val="TAL"/>
            </w:pPr>
            <w:r w:rsidRPr="00873B6C">
              <w:t>EAS Correlation indication</w:t>
            </w:r>
          </w:p>
        </w:tc>
        <w:tc>
          <w:tcPr>
            <w:tcW w:w="2766" w:type="dxa"/>
          </w:tcPr>
          <w:p w14:paraId="13B83CBF" w14:textId="6A32F753" w:rsidR="004817F2" w:rsidRPr="00873B6C" w:rsidRDefault="004817F2" w:rsidP="004817F2">
            <w:pPr>
              <w:pStyle w:val="TAL"/>
            </w:pPr>
            <w:r w:rsidRPr="00873B6C">
              <w:t>Indicates selecting a common EAS for the application identified by the Traffic Description for the set of UEs.</w:t>
            </w:r>
          </w:p>
        </w:tc>
        <w:tc>
          <w:tcPr>
            <w:tcW w:w="2893" w:type="dxa"/>
          </w:tcPr>
          <w:p w14:paraId="1DFF1786" w14:textId="500A88F1" w:rsidR="004817F2" w:rsidRPr="00873B6C" w:rsidRDefault="004817F2" w:rsidP="004817F2">
            <w:pPr>
              <w:pStyle w:val="TAL"/>
              <w:rPr>
                <w:lang w:eastAsia="zh-CN"/>
              </w:rPr>
            </w:pPr>
          </w:p>
        </w:tc>
        <w:tc>
          <w:tcPr>
            <w:tcW w:w="1643" w:type="dxa"/>
          </w:tcPr>
          <w:p w14:paraId="5E3622A1" w14:textId="3BB11931" w:rsidR="004817F2" w:rsidRPr="00873B6C" w:rsidRDefault="004817F2" w:rsidP="004817F2">
            <w:pPr>
              <w:pStyle w:val="TAL"/>
            </w:pPr>
            <w:r w:rsidRPr="00873B6C">
              <w:t>Optional</w:t>
            </w:r>
          </w:p>
        </w:tc>
      </w:tr>
      <w:tr w:rsidR="00846E0B" w:rsidRPr="00873B6C" w14:paraId="163846AB" w14:textId="77777777" w:rsidTr="00C9561D">
        <w:trPr>
          <w:cantSplit/>
          <w:jc w:val="center"/>
        </w:trPr>
        <w:tc>
          <w:tcPr>
            <w:tcW w:w="2329" w:type="dxa"/>
          </w:tcPr>
          <w:p w14:paraId="62E11EF3" w14:textId="68E945A5" w:rsidR="00846E0B" w:rsidRPr="00873B6C" w:rsidRDefault="00846E0B" w:rsidP="00846E0B">
            <w:pPr>
              <w:pStyle w:val="TAL"/>
            </w:pPr>
            <w:r w:rsidRPr="00873B6C">
              <w:t>Common EAS IP address</w:t>
            </w:r>
          </w:p>
        </w:tc>
        <w:tc>
          <w:tcPr>
            <w:tcW w:w="2766" w:type="dxa"/>
          </w:tcPr>
          <w:p w14:paraId="716D4ADB" w14:textId="38F3B6A4" w:rsidR="00846E0B" w:rsidRPr="00873B6C" w:rsidRDefault="00846E0B" w:rsidP="00846E0B">
            <w:pPr>
              <w:pStyle w:val="TAL"/>
            </w:pPr>
            <w:r w:rsidRPr="00873B6C">
              <w:t>the common EAS for the application identified by the Traffic Description for a set of UEs the AF request aims at.</w:t>
            </w:r>
          </w:p>
        </w:tc>
        <w:tc>
          <w:tcPr>
            <w:tcW w:w="2893" w:type="dxa"/>
          </w:tcPr>
          <w:p w14:paraId="08DDBA0F" w14:textId="77777777" w:rsidR="00846E0B" w:rsidRPr="00873B6C" w:rsidRDefault="00846E0B" w:rsidP="00846E0B">
            <w:pPr>
              <w:pStyle w:val="TAL"/>
              <w:rPr>
                <w:lang w:eastAsia="zh-CN"/>
              </w:rPr>
            </w:pPr>
          </w:p>
        </w:tc>
        <w:tc>
          <w:tcPr>
            <w:tcW w:w="1643" w:type="dxa"/>
          </w:tcPr>
          <w:p w14:paraId="3D3786B9" w14:textId="72A04947" w:rsidR="00846E0B" w:rsidRPr="00873B6C" w:rsidRDefault="00846E0B" w:rsidP="00846E0B">
            <w:pPr>
              <w:pStyle w:val="TAL"/>
            </w:pPr>
            <w:r w:rsidRPr="00873B6C">
              <w:t>Optional</w:t>
            </w:r>
          </w:p>
        </w:tc>
      </w:tr>
      <w:tr w:rsidR="00846E0B" w:rsidRPr="00873B6C" w14:paraId="04B2BFD2" w14:textId="77777777" w:rsidTr="00C9561D">
        <w:trPr>
          <w:cantSplit/>
          <w:jc w:val="center"/>
        </w:trPr>
        <w:tc>
          <w:tcPr>
            <w:tcW w:w="2329" w:type="dxa"/>
          </w:tcPr>
          <w:p w14:paraId="13888925" w14:textId="5DFBF747" w:rsidR="00846E0B" w:rsidRPr="00873B6C" w:rsidRDefault="00846E0B" w:rsidP="00846E0B">
            <w:pPr>
              <w:pStyle w:val="TAL"/>
            </w:pPr>
            <w:r w:rsidRPr="00873B6C">
              <w:t>Traffic Correlation ID</w:t>
            </w:r>
          </w:p>
        </w:tc>
        <w:tc>
          <w:tcPr>
            <w:tcW w:w="2766" w:type="dxa"/>
          </w:tcPr>
          <w:p w14:paraId="7801FB4C" w14:textId="534BAE8F" w:rsidR="00846E0B" w:rsidRPr="00873B6C" w:rsidRDefault="00846E0B" w:rsidP="00846E0B">
            <w:pPr>
              <w:pStyle w:val="TAL"/>
            </w:pPr>
            <w:r w:rsidRPr="00873B6C">
              <w:t>Identification of a set of UEs targeted at by the AF request</w:t>
            </w:r>
            <w:r w:rsidR="00472CD7" w:rsidRPr="00873B6C">
              <w:t xml:space="preserve"> and</w:t>
            </w:r>
            <w:r w:rsidRPr="00873B6C">
              <w:t xml:space="preserve"> accessing the application identified by the Traffic Description.</w:t>
            </w:r>
          </w:p>
        </w:tc>
        <w:tc>
          <w:tcPr>
            <w:tcW w:w="2893" w:type="dxa"/>
          </w:tcPr>
          <w:p w14:paraId="7F128EE9" w14:textId="77777777" w:rsidR="00846E0B" w:rsidRPr="00873B6C" w:rsidRDefault="00846E0B" w:rsidP="00846E0B">
            <w:pPr>
              <w:pStyle w:val="TAL"/>
              <w:rPr>
                <w:lang w:eastAsia="zh-CN"/>
              </w:rPr>
            </w:pPr>
          </w:p>
        </w:tc>
        <w:tc>
          <w:tcPr>
            <w:tcW w:w="1643" w:type="dxa"/>
          </w:tcPr>
          <w:p w14:paraId="06018E0A" w14:textId="0A280ABA" w:rsidR="00846E0B" w:rsidRPr="00873B6C" w:rsidRDefault="00846E0B" w:rsidP="00846E0B">
            <w:pPr>
              <w:pStyle w:val="TAL"/>
            </w:pPr>
            <w:r w:rsidRPr="00873B6C">
              <w:t>Optional</w:t>
            </w:r>
          </w:p>
        </w:tc>
      </w:tr>
      <w:tr w:rsidR="00846E0B" w:rsidRPr="00873B6C" w14:paraId="64824200" w14:textId="77777777" w:rsidTr="00C9561D">
        <w:trPr>
          <w:cantSplit/>
          <w:jc w:val="center"/>
        </w:trPr>
        <w:tc>
          <w:tcPr>
            <w:tcW w:w="2329" w:type="dxa"/>
          </w:tcPr>
          <w:p w14:paraId="48CB962D" w14:textId="79538616" w:rsidR="00846E0B" w:rsidRPr="00873B6C" w:rsidRDefault="00846E0B" w:rsidP="00846E0B">
            <w:pPr>
              <w:pStyle w:val="TAL"/>
            </w:pPr>
            <w:r w:rsidRPr="00873B6C">
              <w:t>FQDN(s)</w:t>
            </w:r>
          </w:p>
        </w:tc>
        <w:tc>
          <w:tcPr>
            <w:tcW w:w="2766" w:type="dxa"/>
          </w:tcPr>
          <w:p w14:paraId="454D0D1F" w14:textId="2D20EA3C" w:rsidR="00846E0B" w:rsidRPr="00873B6C" w:rsidRDefault="00846E0B" w:rsidP="00846E0B">
            <w:pPr>
              <w:pStyle w:val="TAL"/>
            </w:pPr>
            <w:r w:rsidRPr="00873B6C">
              <w:t>FQDN(s) used for influencing EASDF-based DNS query procedure as defined in TS 23.548 [130]</w:t>
            </w:r>
            <w:r w:rsidR="007D1AB8" w:rsidRPr="00873B6C">
              <w:t xml:space="preserve"> (NOTE 6).</w:t>
            </w:r>
          </w:p>
        </w:tc>
        <w:tc>
          <w:tcPr>
            <w:tcW w:w="2893" w:type="dxa"/>
          </w:tcPr>
          <w:p w14:paraId="37FD30C2" w14:textId="77777777" w:rsidR="00846E0B" w:rsidRPr="00873B6C" w:rsidRDefault="00846E0B" w:rsidP="00846E0B">
            <w:pPr>
              <w:pStyle w:val="TAL"/>
              <w:rPr>
                <w:lang w:eastAsia="zh-CN"/>
              </w:rPr>
            </w:pPr>
          </w:p>
        </w:tc>
        <w:tc>
          <w:tcPr>
            <w:tcW w:w="1643" w:type="dxa"/>
          </w:tcPr>
          <w:p w14:paraId="07445BCB" w14:textId="3D3044A2" w:rsidR="00846E0B" w:rsidRPr="00873B6C" w:rsidRDefault="00846E0B" w:rsidP="00846E0B">
            <w:pPr>
              <w:pStyle w:val="TAL"/>
            </w:pPr>
            <w:r w:rsidRPr="00873B6C">
              <w:t>Optional</w:t>
            </w:r>
          </w:p>
        </w:tc>
      </w:tr>
      <w:tr w:rsidR="00846E0B" w:rsidRPr="00873B6C" w14:paraId="6FDCEC3D" w14:textId="77777777" w:rsidTr="00FD5C4A">
        <w:trPr>
          <w:cantSplit/>
          <w:jc w:val="center"/>
        </w:trPr>
        <w:tc>
          <w:tcPr>
            <w:tcW w:w="9631" w:type="dxa"/>
            <w:gridSpan w:val="4"/>
          </w:tcPr>
          <w:p w14:paraId="2C3D0637" w14:textId="77777777" w:rsidR="00846E0B" w:rsidRPr="00873B6C" w:rsidRDefault="00846E0B" w:rsidP="00846E0B">
            <w:pPr>
              <w:pStyle w:val="TAN"/>
              <w:rPr>
                <w:lang w:eastAsia="zh-CN"/>
              </w:rPr>
            </w:pPr>
            <w:r w:rsidRPr="00873B6C">
              <w:rPr>
                <w:lang w:eastAsia="zh-CN"/>
              </w:rPr>
              <w:t>NOTE 1:</w:t>
            </w:r>
            <w:r w:rsidRPr="00873B6C">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2A496C56" w:rsidR="00846E0B" w:rsidRPr="00873B6C" w:rsidRDefault="00846E0B" w:rsidP="00846E0B">
            <w:pPr>
              <w:pStyle w:val="TAN"/>
              <w:rPr>
                <w:lang w:eastAsia="zh-CN"/>
              </w:rPr>
            </w:pPr>
            <w:r w:rsidRPr="00873B6C">
              <w:rPr>
                <w:lang w:eastAsia="zh-CN"/>
              </w:rPr>
              <w:t>NOTE 2:</w:t>
            </w:r>
            <w:r w:rsidRPr="00873B6C">
              <w:rPr>
                <w:lang w:eastAsia="zh-CN"/>
              </w:rPr>
              <w:tab/>
              <w:t>The potential locations of applications and N6 traffic routing requirements may be absent only if the request is for subscription to notifications about UP path management events or</w:t>
            </w:r>
            <w:r w:rsidR="0029208C" w:rsidRPr="00873B6C">
              <w:rPr>
                <w:lang w:eastAsia="zh-CN"/>
              </w:rPr>
              <w:t xml:space="preserve"> the</w:t>
            </w:r>
            <w:r w:rsidRPr="00873B6C">
              <w:rPr>
                <w:lang w:eastAsia="zh-CN"/>
              </w:rPr>
              <w:t xml:space="preserve"> request is for indication of sele</w:t>
            </w:r>
            <w:r w:rsidR="00A2272A" w:rsidRPr="00873B6C">
              <w:rPr>
                <w:lang w:eastAsia="zh-CN"/>
              </w:rPr>
              <w:t>c</w:t>
            </w:r>
            <w:r w:rsidRPr="00873B6C">
              <w:rPr>
                <w:lang w:eastAsia="zh-CN"/>
              </w:rPr>
              <w:t>ting Common EAS for a set of UEs.</w:t>
            </w:r>
          </w:p>
          <w:p w14:paraId="59A38E04" w14:textId="135FE4A9" w:rsidR="00846E0B" w:rsidRPr="00873B6C" w:rsidRDefault="00846E0B" w:rsidP="00846E0B">
            <w:pPr>
              <w:pStyle w:val="TAN"/>
              <w:rPr>
                <w:lang w:eastAsia="zh-CN"/>
              </w:rPr>
            </w:pPr>
            <w:r w:rsidRPr="00873B6C">
              <w:rPr>
                <w:lang w:eastAsia="zh-CN"/>
              </w:rPr>
              <w:t>NOTE 3:</w:t>
            </w:r>
            <w:r w:rsidRPr="00873B6C">
              <w:rPr>
                <w:lang w:eastAsia="zh-CN"/>
              </w:rPr>
              <w:tab/>
              <w:t>Internal Group ID can only be used by an AF controlled by the operator and only towards PCF. If a list of Internal/External Group IDs is provided by the AF, the AF request applies to the UEs that belong to every one of these groups, i.e. a single UE needs to be a member of every group in the list of Internal/External Group IDs.</w:t>
            </w:r>
          </w:p>
          <w:p w14:paraId="79B9FE95" w14:textId="77777777" w:rsidR="00846E0B" w:rsidRPr="00873B6C" w:rsidRDefault="00846E0B" w:rsidP="00846E0B">
            <w:pPr>
              <w:pStyle w:val="TAN"/>
              <w:rPr>
                <w:lang w:eastAsia="zh-CN"/>
              </w:rPr>
            </w:pPr>
            <w:r w:rsidRPr="00873B6C">
              <w:rPr>
                <w:lang w:eastAsia="zh-CN"/>
              </w:rPr>
              <w:t>NOTE 4:</w:t>
            </w:r>
            <w:r w:rsidRPr="00873B6C">
              <w:rPr>
                <w:lang w:eastAsia="zh-CN"/>
              </w:rPr>
              <w:tab/>
              <w:t>The indication of traffic correlation can be used for 5G VN groups as described in clause 5.29.</w:t>
            </w:r>
          </w:p>
          <w:p w14:paraId="1D36CC03" w14:textId="5DCDDF4E" w:rsidR="00846E0B" w:rsidRPr="00873B6C" w:rsidRDefault="00846E0B" w:rsidP="00846E0B">
            <w:pPr>
              <w:pStyle w:val="TAN"/>
              <w:rPr>
                <w:lang w:eastAsia="zh-CN"/>
              </w:rPr>
            </w:pPr>
            <w:r w:rsidRPr="00873B6C">
              <w:rPr>
                <w:lang w:eastAsia="zh-CN"/>
              </w:rPr>
              <w:t>NOTE 5:</w:t>
            </w:r>
            <w:r w:rsidRPr="00873B6C">
              <w:rPr>
                <w:lang w:eastAsia="zh-CN"/>
              </w:rPr>
              <w:tab/>
              <w:t xml:space="preserve">External Subscriber category(s) can be combined with External Group ID(s) or any UE. If a list of External Subscriber categories </w:t>
            </w:r>
            <w:r w:rsidR="00A2272A" w:rsidRPr="00873B6C">
              <w:rPr>
                <w:lang w:eastAsia="zh-CN"/>
              </w:rPr>
              <w:t xml:space="preserve">is </w:t>
            </w:r>
            <w:r w:rsidRPr="00873B6C">
              <w:rPr>
                <w:lang w:eastAsia="zh-CN"/>
              </w:rPr>
              <w:t>provided by the AF, the AF request applies to the UEs that belong to every one of these Subscriber categories</w:t>
            </w:r>
            <w:r w:rsidR="00141A61" w:rsidRPr="00873B6C">
              <w:rPr>
                <w:lang w:eastAsia="zh-CN"/>
              </w:rPr>
              <w:t>, i.e. the UE has all these Subscriber categories in its subscription data</w:t>
            </w:r>
            <w:r w:rsidRPr="00873B6C">
              <w:rPr>
                <w:lang w:eastAsia="zh-CN"/>
              </w:rPr>
              <w:t>.</w:t>
            </w:r>
          </w:p>
          <w:p w14:paraId="6556E371" w14:textId="77777777" w:rsidR="007D1AB8" w:rsidRPr="00873B6C" w:rsidRDefault="007D1AB8" w:rsidP="00846E0B">
            <w:pPr>
              <w:pStyle w:val="TAN"/>
              <w:rPr>
                <w:lang w:eastAsia="zh-CN"/>
              </w:rPr>
            </w:pPr>
            <w:r w:rsidRPr="00873B6C">
              <w:rPr>
                <w:lang w:eastAsia="zh-CN"/>
              </w:rPr>
              <w:t>NOTE 6:</w:t>
            </w:r>
            <w:r w:rsidRPr="00873B6C">
              <w:rPr>
                <w:lang w:eastAsia="zh-CN"/>
              </w:rPr>
              <w:tab/>
              <w:t>FQDN(s) is used for influencing EASDF-based DNS query procedure as defined in clause 6.2.3.2.2 of TS 23.548 [130].</w:t>
            </w:r>
          </w:p>
          <w:p w14:paraId="47585D32" w14:textId="2726E7BE" w:rsidR="00A2272A" w:rsidRPr="00873B6C" w:rsidRDefault="00A2272A" w:rsidP="00846E0B">
            <w:pPr>
              <w:pStyle w:val="TAN"/>
              <w:rPr>
                <w:lang w:eastAsia="zh-CN"/>
              </w:rPr>
            </w:pPr>
            <w:r w:rsidRPr="00873B6C">
              <w:rPr>
                <w:lang w:eastAsia="zh-CN"/>
              </w:rPr>
              <w:t>NOTE 7:</w:t>
            </w:r>
            <w:r w:rsidRPr="00873B6C">
              <w:rPr>
                <w:lang w:eastAsia="zh-CN"/>
              </w:rPr>
              <w:tab/>
              <w:t>If the FQDN is included in the AF request, the EASDF-based EAS discovery procedure will be followed as defined in TS 23.548 [130] using this FQDN for the purpose of setting traffic route and finding DNAI</w:t>
            </w:r>
            <w:r w:rsidR="00472CD7" w:rsidRPr="00873B6C">
              <w:rPr>
                <w:lang w:eastAsia="zh-CN"/>
              </w:rPr>
              <w:t xml:space="preserve"> and</w:t>
            </w:r>
            <w:r w:rsidRPr="00873B6C">
              <w:rPr>
                <w:lang w:eastAsia="zh-CN"/>
              </w:rPr>
              <w:t xml:space="preserve"> Traffic Description will be ignored.</w:t>
            </w:r>
          </w:p>
          <w:p w14:paraId="56D977FC" w14:textId="255C8FA3" w:rsidR="0014088C" w:rsidRPr="00873B6C" w:rsidRDefault="0014088C" w:rsidP="00846E0B">
            <w:pPr>
              <w:pStyle w:val="TAN"/>
              <w:rPr>
                <w:lang w:eastAsia="zh-CN"/>
              </w:rPr>
            </w:pPr>
            <w:r w:rsidRPr="00873B6C">
              <w:rPr>
                <w:lang w:eastAsia="zh-CN"/>
              </w:rPr>
              <w:t>NOTE 8:</w:t>
            </w:r>
            <w:r w:rsidRPr="00873B6C">
              <w:rPr>
                <w:lang w:eastAsia="zh-CN"/>
              </w:rPr>
              <w:tab/>
              <w:t>PLMN ID is used for HR-SBO case as defined in clause 4.3.6.1 of TS 23.502 [3]. In this case, DNN and S-NSSAI are the ones of the HPLMN.</w:t>
            </w:r>
          </w:p>
        </w:tc>
      </w:tr>
    </w:tbl>
    <w:p w14:paraId="095FDD5E" w14:textId="77777777" w:rsidR="00D40151" w:rsidRPr="00873B6C" w:rsidRDefault="00D40151" w:rsidP="00D40151"/>
    <w:p w14:paraId="3DBC26B5" w14:textId="77777777" w:rsidR="00D40151" w:rsidRPr="00873B6C" w:rsidRDefault="00D40151" w:rsidP="00D40151">
      <w:r w:rsidRPr="00873B6C">
        <w:t>For each information element mentioned above in the AF request, the detailed description is as follows:</w:t>
      </w:r>
    </w:p>
    <w:p w14:paraId="7625B322" w14:textId="77777777" w:rsidR="00D40151" w:rsidRPr="00873B6C" w:rsidRDefault="00D40151" w:rsidP="00D40151">
      <w:pPr>
        <w:pStyle w:val="B1"/>
      </w:pPr>
      <w:r w:rsidRPr="00873B6C">
        <w:t>1)</w:t>
      </w:r>
      <w:r w:rsidRPr="00873B6C">
        <w:tab/>
        <w:t>Information to identify the traffic. The traffic can be identified in the AF request by</w:t>
      </w:r>
    </w:p>
    <w:p w14:paraId="1F562733" w14:textId="77777777" w:rsidR="00D40151" w:rsidRPr="00873B6C" w:rsidRDefault="00D40151" w:rsidP="00D40151">
      <w:pPr>
        <w:pStyle w:val="B2"/>
      </w:pPr>
      <w:r w:rsidRPr="00873B6C">
        <w:t>-</w:t>
      </w:r>
      <w:r w:rsidRPr="00873B6C">
        <w:tab/>
        <w:t>Either a DNN and possibly slicing information (S-NSSAI) or an AF-Service-Identifier</w:t>
      </w:r>
    </w:p>
    <w:p w14:paraId="472A8F24" w14:textId="77777777" w:rsidR="00D40151" w:rsidRPr="00873B6C" w:rsidRDefault="00D40151" w:rsidP="00D40151">
      <w:pPr>
        <w:pStyle w:val="B3"/>
      </w:pPr>
      <w:r w:rsidRPr="00873B6C">
        <w:t>-</w:t>
      </w:r>
      <w:r w:rsidRPr="00873B6C">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873B6C" w:rsidRDefault="00D40151" w:rsidP="00D40151">
      <w:pPr>
        <w:pStyle w:val="B3"/>
      </w:pPr>
      <w:r w:rsidRPr="00873B6C">
        <w:t>-</w:t>
      </w:r>
      <w:r w:rsidRPr="00873B6C">
        <w:tab/>
        <w:t>When the NEF processes the AF request the AF-Service-Identifier may be used to authorize the AF request.</w:t>
      </w:r>
    </w:p>
    <w:p w14:paraId="243B27F3" w14:textId="5BA85797" w:rsidR="00D40151" w:rsidRPr="00873B6C" w:rsidRDefault="00D40151" w:rsidP="00D40151">
      <w:pPr>
        <w:pStyle w:val="B2"/>
      </w:pPr>
      <w:r w:rsidRPr="00873B6C">
        <w:t>-</w:t>
      </w:r>
      <w:r w:rsidRPr="00873B6C">
        <w:tab/>
        <w:t xml:space="preserve">An application identifier or traffic filtering information (e.g. </w:t>
      </w:r>
      <w:r w:rsidR="005C1DEB" w:rsidRPr="00873B6C">
        <w:t xml:space="preserve">IP </w:t>
      </w:r>
      <w:r w:rsidRPr="00873B6C">
        <w:t>5 Tuple). The application identifier refers to an application handling UP traffic and is used by the UPF to detect the traffic of the application</w:t>
      </w:r>
      <w:r w:rsidR="007D1AB8" w:rsidRPr="00873B6C">
        <w:t>.</w:t>
      </w:r>
    </w:p>
    <w:p w14:paraId="0C785379" w14:textId="77777777" w:rsidR="00D40151" w:rsidRPr="00873B6C" w:rsidRDefault="00D40151" w:rsidP="00D40151">
      <w:pPr>
        <w:pStyle w:val="B2"/>
      </w:pPr>
      <w:r w:rsidRPr="00873B6C">
        <w:tab/>
        <w:t>When the AF request is for influencing SMF routing decisions, the information is to identify the traffic to be routed.</w:t>
      </w:r>
    </w:p>
    <w:p w14:paraId="7F26F34A" w14:textId="3BB5A06F" w:rsidR="00D40151" w:rsidRPr="00873B6C" w:rsidRDefault="00D40151" w:rsidP="00D40151">
      <w:pPr>
        <w:pStyle w:val="B2"/>
      </w:pPr>
      <w:r w:rsidRPr="00873B6C">
        <w:lastRenderedPageBreak/>
        <w:tab/>
        <w:t>When the AF request is for subscription to notifications about UP path management events, the information is to identify the traffic that the events relate to.</w:t>
      </w:r>
      <w:r w:rsidR="0014088C" w:rsidRPr="00873B6C">
        <w:t xml:space="preserve"> The AF request may include a PLMN ID of the PLMN that the DNN and S-NSSAI belong to, as described in clause 4.3.6.1 of TS 23.502 [3].</w:t>
      </w:r>
    </w:p>
    <w:p w14:paraId="14504FC7" w14:textId="77777777" w:rsidR="00D40151" w:rsidRPr="00873B6C" w:rsidRDefault="00D40151" w:rsidP="00D40151">
      <w:pPr>
        <w:pStyle w:val="B1"/>
        <w:rPr>
          <w:lang w:eastAsia="zh-CN"/>
        </w:rPr>
      </w:pPr>
      <w:r w:rsidRPr="00873B6C">
        <w:t>2)</w:t>
      </w:r>
      <w:r w:rsidRPr="00873B6C">
        <w:tab/>
        <w:t xml:space="preserve">Information </w:t>
      </w:r>
      <w:r w:rsidRPr="00873B6C">
        <w:rPr>
          <w:lang w:eastAsia="zh-CN"/>
        </w:rPr>
        <w:t>about the N6 traffic routing requirements for traffic identified as defined in 1)</w:t>
      </w:r>
      <w:r w:rsidRPr="00873B6C">
        <w:t xml:space="preserve">. </w:t>
      </w:r>
      <w:r w:rsidRPr="00873B6C">
        <w:rPr>
          <w:lang w:eastAsia="zh-CN"/>
        </w:rPr>
        <w:t>This includes:</w:t>
      </w:r>
    </w:p>
    <w:p w14:paraId="68113C5D" w14:textId="77777777" w:rsidR="00D40151" w:rsidRPr="00873B6C" w:rsidRDefault="00D40151" w:rsidP="00D40151">
      <w:pPr>
        <w:pStyle w:val="B2"/>
      </w:pPr>
      <w:r w:rsidRPr="00873B6C">
        <w:rPr>
          <w:lang w:eastAsia="zh-CN"/>
        </w:rPr>
        <w:t>-</w:t>
      </w:r>
      <w:r w:rsidRPr="00873B6C">
        <w:rPr>
          <w:lang w:eastAsia="zh-CN"/>
        </w:rPr>
        <w:tab/>
        <w:t xml:space="preserve">Information about the N6 traffic routing requirements that is provided </w:t>
      </w:r>
      <w:r w:rsidRPr="00873B6C">
        <w:t>per DNAI: for</w:t>
      </w:r>
      <w:r w:rsidRPr="00873B6C">
        <w:rPr>
          <w:lang w:eastAsia="zh-CN"/>
        </w:rPr>
        <w:t xml:space="preserve"> each DNAI, the N6 </w:t>
      </w:r>
      <w:r w:rsidRPr="00873B6C">
        <w:t xml:space="preserve">traffic </w:t>
      </w:r>
      <w:r w:rsidRPr="00873B6C">
        <w:rPr>
          <w:lang w:eastAsia="zh-CN"/>
        </w:rPr>
        <w:t xml:space="preserve">routing requirements </w:t>
      </w:r>
      <w:r w:rsidRPr="00873B6C">
        <w:t>may contain a routing profile ID</w:t>
      </w:r>
      <w:r w:rsidRPr="00873B6C">
        <w:rPr>
          <w:lang w:eastAsia="zh-CN"/>
        </w:rPr>
        <w:t xml:space="preserve"> and</w:t>
      </w:r>
      <w:r w:rsidRPr="00873B6C">
        <w:t>/or</w:t>
      </w:r>
      <w:r w:rsidRPr="00873B6C">
        <w:rPr>
          <w:lang w:eastAsia="zh-CN"/>
        </w:rPr>
        <w:t xml:space="preserve"> N6 traffic routing information.</w:t>
      </w:r>
    </w:p>
    <w:p w14:paraId="7845A907" w14:textId="77777777" w:rsidR="00D40151" w:rsidRPr="00873B6C" w:rsidRDefault="00D40151" w:rsidP="00D40151">
      <w:pPr>
        <w:pStyle w:val="B2"/>
      </w:pPr>
      <w:r w:rsidRPr="00873B6C">
        <w:t>-</w:t>
      </w:r>
      <w:r w:rsidRPr="00873B6C">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49CF1F06" w:rsidR="00D40151" w:rsidRPr="00873B6C" w:rsidRDefault="00D40151" w:rsidP="00D40151">
      <w:pPr>
        <w:pStyle w:val="NO"/>
      </w:pPr>
      <w:r w:rsidRPr="00873B6C">
        <w:t>NOTE </w:t>
      </w:r>
      <w:r w:rsidR="005C1DEB" w:rsidRPr="00873B6C">
        <w:t>1</w:t>
      </w:r>
      <w:r w:rsidRPr="00873B6C">
        <w:t>:</w:t>
      </w:r>
      <w:r w:rsidRPr="00873B6C">
        <w:tab/>
        <w:t xml:space="preserve">The N6 traffic routing </w:t>
      </w:r>
      <w:r w:rsidRPr="00873B6C">
        <w:rPr>
          <w:lang w:eastAsia="zh-CN"/>
        </w:rPr>
        <w:t xml:space="preserve">requirements </w:t>
      </w:r>
      <w:r w:rsidRPr="00873B6C">
        <w:t xml:space="preserve">are related to the mechanism enabling traffic steering in the local access to the DN. The </w:t>
      </w:r>
      <w:r w:rsidRPr="00873B6C">
        <w:rPr>
          <w:lang w:eastAsia="zh-CN"/>
        </w:rPr>
        <w:t>routing profile ID refers to a pre-agreed policy between the AF and the 5GC. This policy may refer to different steering policy ID(s) sent to SMF and e.g. based on time of the day etc.</w:t>
      </w:r>
    </w:p>
    <w:p w14:paraId="778B4941" w14:textId="29E60737" w:rsidR="00D40151" w:rsidRPr="00873B6C" w:rsidRDefault="00D40151" w:rsidP="00D40151">
      <w:pPr>
        <w:pStyle w:val="NO"/>
      </w:pPr>
      <w:r w:rsidRPr="00873B6C">
        <w:t>NOTE </w:t>
      </w:r>
      <w:r w:rsidR="005C1DEB" w:rsidRPr="00873B6C">
        <w:t>2</w:t>
      </w:r>
      <w:r w:rsidRPr="00873B6C">
        <w:t>:</w:t>
      </w:r>
      <w:r w:rsidRPr="00873B6C">
        <w:tab/>
        <w:t>The mechanisms enabling traffic steering in the local access to the DN are not defined.</w:t>
      </w:r>
    </w:p>
    <w:p w14:paraId="35862C1D" w14:textId="694266AA" w:rsidR="00D40151" w:rsidRPr="00873B6C" w:rsidRDefault="00D40151" w:rsidP="00D40151">
      <w:pPr>
        <w:pStyle w:val="B1"/>
      </w:pPr>
      <w:r w:rsidRPr="00873B6C">
        <w:t>3)</w:t>
      </w:r>
      <w:r w:rsidRPr="00873B6C">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873B6C">
        <w:t xml:space="preserve"> and (I</w:t>
      </w:r>
      <w:r w:rsidR="006101B9" w:rsidRPr="00873B6C">
        <w:noBreakHyphen/>
        <w:t>)SMF (re)selection</w:t>
      </w:r>
      <w:r w:rsidRPr="00873B6C">
        <w:t>.</w:t>
      </w:r>
      <w:r w:rsidR="00846E0B" w:rsidRPr="00873B6C">
        <w:t xml:space="preserve"> When only one DNAI is included</w:t>
      </w:r>
      <w:r w:rsidR="00472CD7" w:rsidRPr="00873B6C">
        <w:t xml:space="preserve"> and</w:t>
      </w:r>
      <w:r w:rsidR="00846E0B" w:rsidRPr="00873B6C">
        <w:t xml:space="preserve"> the Indication of traffic correlation is available, the DNAI is used as common DNAI for UEs identified by AF request.</w:t>
      </w:r>
      <w:r w:rsidR="0014088C" w:rsidRPr="00873B6C">
        <w:t xml:space="preserve"> The AF request may include a PLMN ID of the PLMN that the list of DNAI(s) belongs to, as described in clause 4.3.6.1 of TS 23.502 [3].</w:t>
      </w:r>
    </w:p>
    <w:p w14:paraId="775724C8" w14:textId="215711AA" w:rsidR="00D40151" w:rsidRPr="00873B6C" w:rsidRDefault="00D40151" w:rsidP="00D40151">
      <w:pPr>
        <w:pStyle w:val="B1"/>
      </w:pPr>
      <w:r w:rsidRPr="00873B6C">
        <w:t>4)</w:t>
      </w:r>
      <w:r w:rsidRPr="00873B6C">
        <w:tab/>
        <w:t>Information on the</w:t>
      </w:r>
      <w:r w:rsidR="004817F2" w:rsidRPr="00873B6C">
        <w:t xml:space="preserve"> set of target</w:t>
      </w:r>
      <w:r w:rsidRPr="00873B6C">
        <w:t xml:space="preserve"> UE(s). This may correspond to:</w:t>
      </w:r>
    </w:p>
    <w:p w14:paraId="652AFB19" w14:textId="65656EA7" w:rsidR="00D40151" w:rsidRPr="00873B6C" w:rsidRDefault="00D40151" w:rsidP="00D40151">
      <w:pPr>
        <w:pStyle w:val="B2"/>
      </w:pPr>
      <w:r w:rsidRPr="00873B6C">
        <w:t>-</w:t>
      </w:r>
      <w:r w:rsidRPr="00873B6C">
        <w:tab/>
        <w:t>Individual UEs</w:t>
      </w:r>
      <w:r w:rsidR="004817F2" w:rsidRPr="00873B6C">
        <w:t xml:space="preserve"> (i.e. one or a list of UEs)</w:t>
      </w:r>
      <w:r w:rsidRPr="00873B6C">
        <w:t xml:space="preserve"> identified using GPSI, or an IP address/Prefix or a MAC address.</w:t>
      </w:r>
    </w:p>
    <w:p w14:paraId="3CEFE465" w14:textId="0541CB12" w:rsidR="00D40151" w:rsidRPr="00873B6C" w:rsidRDefault="00D40151" w:rsidP="00D40151">
      <w:pPr>
        <w:pStyle w:val="B2"/>
        <w:rPr>
          <w:lang w:eastAsia="zh-CN"/>
        </w:rPr>
      </w:pPr>
      <w:r w:rsidRPr="00873B6C">
        <w:t>-</w:t>
      </w:r>
      <w:r w:rsidRPr="00873B6C">
        <w:tab/>
        <w:t>Group</w:t>
      </w:r>
      <w:r w:rsidR="002C4A81" w:rsidRPr="00873B6C">
        <w:t>(</w:t>
      </w:r>
      <w:r w:rsidRPr="00873B6C">
        <w:t>s</w:t>
      </w:r>
      <w:r w:rsidR="002C4A81" w:rsidRPr="00873B6C">
        <w:t>)</w:t>
      </w:r>
      <w:r w:rsidRPr="00873B6C">
        <w:t xml:space="preserve"> of UEs</w:t>
      </w:r>
      <w:r w:rsidRPr="00873B6C">
        <w:rPr>
          <w:lang w:eastAsia="zh-CN"/>
        </w:rPr>
        <w:t xml:space="preserve"> identified by External Group Identifier</w:t>
      </w:r>
      <w:r w:rsidR="002C4A81" w:rsidRPr="00873B6C">
        <w:rPr>
          <w:lang w:eastAsia="zh-CN"/>
        </w:rPr>
        <w:t>(s)</w:t>
      </w:r>
      <w:r w:rsidRPr="00873B6C">
        <w:rPr>
          <w:lang w:eastAsia="zh-CN"/>
        </w:rPr>
        <w:t xml:space="preserve"> as defined in </w:t>
      </w:r>
      <w:r w:rsidR="00972E70" w:rsidRPr="00873B6C">
        <w:rPr>
          <w:lang w:eastAsia="zh-CN"/>
        </w:rPr>
        <w:t>TS 23.682 [</w:t>
      </w:r>
      <w:r w:rsidRPr="00873B6C">
        <w:rPr>
          <w:lang w:eastAsia="zh-CN"/>
        </w:rPr>
        <w:t>36] when the AF interacts via the NEF, or Internal-Group Identifier (see clause 5.9.7) when the AF interacts directly with the PCF.</w:t>
      </w:r>
    </w:p>
    <w:p w14:paraId="5A19C943" w14:textId="77777777" w:rsidR="00D40151" w:rsidRPr="00873B6C" w:rsidRDefault="00D40151" w:rsidP="00D40151">
      <w:pPr>
        <w:pStyle w:val="B2"/>
      </w:pPr>
      <w:r w:rsidRPr="00873B6C">
        <w:t>-</w:t>
      </w:r>
      <w:r w:rsidRPr="00873B6C">
        <w:rPr>
          <w:lang w:eastAsia="zh-CN"/>
        </w:rPr>
        <w:tab/>
        <w:t>Any UE accessing the combination of DNN, S-NSSAI and DNAI(s)</w:t>
      </w:r>
      <w:r w:rsidRPr="00873B6C">
        <w:t>.</w:t>
      </w:r>
    </w:p>
    <w:p w14:paraId="35EA677E" w14:textId="58252CF8" w:rsidR="002C4A81" w:rsidRPr="00873B6C" w:rsidRDefault="002C4A81" w:rsidP="00D40151">
      <w:pPr>
        <w:pStyle w:val="B2"/>
      </w:pPr>
      <w:r w:rsidRPr="00873B6C">
        <w:t>-</w:t>
      </w:r>
      <w:r w:rsidRPr="00873B6C">
        <w:tab/>
        <w:t xml:space="preserve">External Group ID(s) or any UE can both be complemented with External Subscriber Category(s) for a more granular selection of UEs. NEF may map this to Internal Group ID(s) or a combination of Internal Group ID(s) and Subscriber Category(s), defined in </w:t>
      </w:r>
      <w:r w:rsidR="00972E70" w:rsidRPr="00873B6C">
        <w:t>TS 23.503 [</w:t>
      </w:r>
      <w:r w:rsidRPr="00873B6C">
        <w:t>45].</w:t>
      </w:r>
    </w:p>
    <w:p w14:paraId="17AB2EC5" w14:textId="7A7DC323" w:rsidR="002C4A81" w:rsidRPr="00873B6C" w:rsidRDefault="002C4A81" w:rsidP="00972E70">
      <w:pPr>
        <w:pStyle w:val="NO"/>
      </w:pPr>
      <w:r w:rsidRPr="00873B6C">
        <w:t>NOTE 3:</w:t>
      </w:r>
      <w:r w:rsidRPr="00873B6C">
        <w:tab/>
        <w:t>Only NEF is aware of the External Subscriber Category. 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p>
    <w:p w14:paraId="2A4AEFA0" w14:textId="6EF9E36C" w:rsidR="00D40151" w:rsidRPr="00873B6C" w:rsidRDefault="00D40151" w:rsidP="00D40151">
      <w:pPr>
        <w:pStyle w:val="B2"/>
      </w:pPr>
      <w:r w:rsidRPr="00873B6C">
        <w:tab/>
        <w:t>When the PDU Session type is IPv4 or IPv6 or IPv4v6</w:t>
      </w:r>
      <w:r w:rsidR="00472CD7" w:rsidRPr="00873B6C">
        <w:t xml:space="preserve"> and</w:t>
      </w:r>
      <w:r w:rsidRPr="00873B6C">
        <w:t xml:space="preserve">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09F1C134" w:rsidR="00D40151" w:rsidRPr="00873B6C" w:rsidRDefault="00D40151" w:rsidP="00D40151">
      <w:pPr>
        <w:pStyle w:val="B2"/>
      </w:pPr>
      <w:r w:rsidRPr="00873B6C">
        <w:tab/>
        <w:t>Otherwise</w:t>
      </w:r>
      <w:r w:rsidR="002C4A81" w:rsidRPr="00873B6C">
        <w:t>,</w:t>
      </w:r>
      <w:r w:rsidRPr="00873B6C">
        <w:t xml:space="preserve"> the request targets multiple UE(s) and shall apply to any existing or future PDU Sessions that match the parameters in the AF request.</w:t>
      </w:r>
    </w:p>
    <w:p w14:paraId="43C62A97" w14:textId="3C81FC41" w:rsidR="00D40151" w:rsidRPr="00873B6C" w:rsidRDefault="00D40151" w:rsidP="00D40151">
      <w:pPr>
        <w:pStyle w:val="B2"/>
      </w:pPr>
      <w:r w:rsidRPr="00873B6C">
        <w:tab/>
        <w:t>When the AF request targets an individual</w:t>
      </w:r>
      <w:r w:rsidR="004817F2" w:rsidRPr="00873B6C">
        <w:t xml:space="preserve"> or a list of</w:t>
      </w:r>
      <w:r w:rsidRPr="00873B6C">
        <w:t xml:space="preserve"> UE</w:t>
      </w:r>
      <w:r w:rsidR="004817F2" w:rsidRPr="00873B6C">
        <w:t>(s)</w:t>
      </w:r>
      <w:r w:rsidRPr="00873B6C">
        <w:t xml:space="preserve"> and GPSI is provided within the AF request, the GPSI is mapped to SUPI according to the subscription information received from UDM.</w:t>
      </w:r>
    </w:p>
    <w:p w14:paraId="245CAAF0" w14:textId="77777777" w:rsidR="00D40151" w:rsidRPr="00873B6C" w:rsidRDefault="00D40151" w:rsidP="00D40151">
      <w:pPr>
        <w:pStyle w:val="B2"/>
      </w:pPr>
      <w:r w:rsidRPr="00873B6C">
        <w:tab/>
        <w:t>When the AF request targets any UE or a group of UE, the AF request is likely to influence multiple PDU Sessions possibly served by multiple SMFs and PCFs.</w:t>
      </w:r>
    </w:p>
    <w:p w14:paraId="121688FD" w14:textId="3DFC98CA" w:rsidR="00D40151" w:rsidRPr="00873B6C" w:rsidRDefault="00D40151" w:rsidP="00D40151">
      <w:pPr>
        <w:pStyle w:val="B2"/>
      </w:pPr>
      <w:r w:rsidRPr="00873B6C">
        <w:tab/>
        <w:t>When the AF request targets a group of UE it provides one or several group identifiers in its request. The group identifiers provided by the AF are mapped to Internal-Group identifiers. Members of the group have Group Identifier</w:t>
      </w:r>
      <w:r w:rsidR="002C4A81" w:rsidRPr="00873B6C">
        <w:t>(s)</w:t>
      </w:r>
      <w:r w:rsidRPr="00873B6C">
        <w:t xml:space="preserve"> in their subscription. The Internal-Group Identifier</w:t>
      </w:r>
      <w:r w:rsidR="002C4A81" w:rsidRPr="00873B6C">
        <w:t>(s)</w:t>
      </w:r>
      <w:r w:rsidRPr="00873B6C">
        <w:t xml:space="preserve"> is</w:t>
      </w:r>
      <w:r w:rsidR="002C4A81" w:rsidRPr="00873B6C">
        <w:t>(are)</w:t>
      </w:r>
      <w:r w:rsidRPr="00873B6C">
        <w:t xml:space="preserve"> stored in UDM, retrieved by SMF from UDM and passed by SMF to PCF at PDU Session set-up. The PCF can then map the AF request </w:t>
      </w:r>
      <w:r w:rsidRPr="00873B6C">
        <w:lastRenderedPageBreak/>
        <w:t>with user subscription and determine whether an AF request targeting a Group of users applies to a PDU Session.</w:t>
      </w:r>
      <w:r w:rsidR="002C4A81" w:rsidRPr="00873B6C">
        <w:t xml:space="preserve"> When External Subscriber Category(s) is provided, the NEF maps External Subscriber Category(s) into Subscriber Category(s), the PCF can map the AF request with user subscription and then creates PCC rules for UEs that have the Subscriber Category(s) in their subscription.</w:t>
      </w:r>
    </w:p>
    <w:p w14:paraId="0592168C" w14:textId="77777777" w:rsidR="00D40151" w:rsidRPr="00873B6C" w:rsidRDefault="00D40151" w:rsidP="00D40151">
      <w:pPr>
        <w:pStyle w:val="B2"/>
      </w:pPr>
      <w:r w:rsidRPr="00873B6C">
        <w:tab/>
        <w:t>When the AF request is for influencing SMF routing decisions, the information is to identify UE(s) whose traffic is to be routed.</w:t>
      </w:r>
    </w:p>
    <w:p w14:paraId="5077BB05" w14:textId="77777777" w:rsidR="00D40151" w:rsidRPr="00873B6C" w:rsidRDefault="00D40151" w:rsidP="00D40151">
      <w:pPr>
        <w:pStyle w:val="B2"/>
      </w:pPr>
      <w:r w:rsidRPr="00873B6C">
        <w:tab/>
        <w:t>When the AF request is for subscription to notifications about UP path management events, the information is to identify UE(s) whose traffic the events relate to.</w:t>
      </w:r>
    </w:p>
    <w:p w14:paraId="1C4E9792" w14:textId="77777777" w:rsidR="00D40151" w:rsidRPr="00873B6C" w:rsidRDefault="00D40151" w:rsidP="00D40151">
      <w:pPr>
        <w:pStyle w:val="B2"/>
      </w:pPr>
      <w:r w:rsidRPr="00873B6C">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873B6C" w:rsidRDefault="00D40151" w:rsidP="00D40151">
      <w:pPr>
        <w:pStyle w:val="B1"/>
      </w:pPr>
      <w:r w:rsidRPr="00873B6C">
        <w:t>5)</w:t>
      </w:r>
      <w:r w:rsidRPr="00873B6C">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873B6C" w:rsidRDefault="00D40151" w:rsidP="00D40151">
      <w:pPr>
        <w:pStyle w:val="B1"/>
      </w:pPr>
      <w:r w:rsidRPr="00873B6C">
        <w:t>6)</w:t>
      </w:r>
      <w:r w:rsidRPr="00873B6C">
        <w:tab/>
        <w:t>Temporal validity condition. This is provided in the form of time interval(s) or duration(s)</w:t>
      </w:r>
      <w:r w:rsidRPr="00873B6C" w:rsidDel="008D2BEA">
        <w:t xml:space="preserve"> </w:t>
      </w:r>
      <w:r w:rsidRPr="00873B6C">
        <w:t>during which the AF request is to be applied.</w:t>
      </w:r>
    </w:p>
    <w:p w14:paraId="51437F3B" w14:textId="77777777" w:rsidR="00D40151" w:rsidRPr="00873B6C" w:rsidRDefault="00D40151" w:rsidP="00D40151">
      <w:pPr>
        <w:pStyle w:val="B1"/>
      </w:pPr>
      <w:r w:rsidRPr="00873B6C">
        <w:tab/>
        <w:t>When the AF request is for influencing SMF routing decisions, the temporal validity condition indicates when the traffic routing is to apply.</w:t>
      </w:r>
    </w:p>
    <w:p w14:paraId="2574E24A" w14:textId="77777777" w:rsidR="00D40151" w:rsidRPr="00873B6C" w:rsidRDefault="00D40151" w:rsidP="00D40151">
      <w:pPr>
        <w:pStyle w:val="B1"/>
        <w:rPr>
          <w:rFonts w:eastAsia="SimSun"/>
        </w:rPr>
      </w:pPr>
      <w:r w:rsidRPr="00873B6C">
        <w:tab/>
        <w:t>When the AF request is for subscription to notifications about UP path management events, the temporal validity condition indicates when the notifications are to be generated.</w:t>
      </w:r>
    </w:p>
    <w:p w14:paraId="1019E663" w14:textId="21EA17C9" w:rsidR="00D40151" w:rsidRPr="00873B6C" w:rsidRDefault="00D40151" w:rsidP="00D40151">
      <w:pPr>
        <w:pStyle w:val="B1"/>
      </w:pPr>
      <w:r w:rsidRPr="00873B6C">
        <w:t>7)</w:t>
      </w:r>
      <w:r w:rsidRPr="00873B6C">
        <w:tab/>
        <w:t>Spatial validity condition on the UE(s) location. This is provided in the form of validity area(s). If the AF interacts with the PCF via the NEF, it may provide</w:t>
      </w:r>
      <w:r w:rsidR="00A1192D" w:rsidRPr="00873B6C">
        <w:t xml:space="preserve"> geographical area (e.g. a civic address or shapes)</w:t>
      </w:r>
      <w:r w:rsidRPr="00873B6C">
        <w:t xml:space="preserve"> and the NEF maps the information to areas of validity based on pre-configuration. The PCF in turn determines area(s) of interest based on validity area(s).</w:t>
      </w:r>
    </w:p>
    <w:p w14:paraId="4CA80B9A" w14:textId="77777777" w:rsidR="00D40151" w:rsidRPr="00873B6C" w:rsidRDefault="00D40151" w:rsidP="00D40151">
      <w:pPr>
        <w:pStyle w:val="B1"/>
      </w:pPr>
      <w:r w:rsidRPr="00873B6C">
        <w:tab/>
        <w:t>When the AF request is for influencing SMF routing decisions, the spatial validity condition indicates that the request applies only to the traffic of UE(s) located in the specified location.</w:t>
      </w:r>
    </w:p>
    <w:p w14:paraId="65D1F027" w14:textId="77777777" w:rsidR="00D40151" w:rsidRPr="00873B6C" w:rsidRDefault="00D40151" w:rsidP="00D40151">
      <w:pPr>
        <w:pStyle w:val="B1"/>
      </w:pPr>
      <w:r w:rsidRPr="00873B6C">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873B6C" w:rsidRDefault="00D40151" w:rsidP="00D40151">
      <w:pPr>
        <w:pStyle w:val="B1"/>
      </w:pPr>
      <w:r w:rsidRPr="00873B6C">
        <w:t>8)</w:t>
      </w:r>
      <w:r w:rsidRPr="00873B6C">
        <w:tab/>
        <w:t>Information on AF subscription to corresponding SMF events.</w:t>
      </w:r>
    </w:p>
    <w:p w14:paraId="3CCF78C5" w14:textId="77777777" w:rsidR="00D40151" w:rsidRPr="00873B6C" w:rsidRDefault="00D40151" w:rsidP="00D40151">
      <w:pPr>
        <w:pStyle w:val="B1"/>
      </w:pPr>
      <w:r w:rsidRPr="00873B6C">
        <w:tab/>
        <w:t>The AF may request to be subscribed to change of UP path associated with traffic identified in the bullet 1) above. The AF request contains:</w:t>
      </w:r>
    </w:p>
    <w:p w14:paraId="7E58FCA6" w14:textId="77777777" w:rsidR="00D40151" w:rsidRPr="00873B6C" w:rsidRDefault="00D40151" w:rsidP="00D40151">
      <w:pPr>
        <w:pStyle w:val="B2"/>
      </w:pPr>
      <w:r w:rsidRPr="00873B6C">
        <w:t>-</w:t>
      </w:r>
      <w:r w:rsidRPr="00873B6C">
        <w:tab/>
        <w:t>A type of subscription (subscription for Early and/or Late notifications).</w:t>
      </w:r>
    </w:p>
    <w:p w14:paraId="36E15967" w14:textId="77777777" w:rsidR="00D40151" w:rsidRPr="00873B6C" w:rsidRDefault="00D40151" w:rsidP="00D40151">
      <w:pPr>
        <w:pStyle w:val="B2"/>
      </w:pPr>
      <w:r w:rsidRPr="00873B6C">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873B6C" w:rsidRDefault="00960CDA" w:rsidP="00D40151">
      <w:pPr>
        <w:pStyle w:val="B2"/>
      </w:pPr>
      <w:r w:rsidRPr="00873B6C">
        <w:t>-</w:t>
      </w:r>
      <w:r w:rsidRPr="00873B6C">
        <w:tab/>
        <w:t>Notification target address for receiving event notification.</w:t>
      </w:r>
    </w:p>
    <w:p w14:paraId="7E2F89DF" w14:textId="3EAC974E" w:rsidR="00D40151" w:rsidRPr="00873B6C" w:rsidRDefault="00D40151" w:rsidP="00D40151">
      <w:pPr>
        <w:pStyle w:val="B2"/>
      </w:pPr>
      <w:r w:rsidRPr="00873B6C">
        <w:t>-</w:t>
      </w:r>
      <w:r w:rsidRPr="00873B6C">
        <w:tab/>
        <w:t>Optionally, an indication of "AF acknowledgment to be expected".</w:t>
      </w:r>
    </w:p>
    <w:p w14:paraId="00C93ED4" w14:textId="77777777" w:rsidR="00D40151" w:rsidRPr="00873B6C" w:rsidRDefault="00D40151" w:rsidP="00D40151">
      <w:pPr>
        <w:pStyle w:val="B2"/>
      </w:pPr>
      <w:r w:rsidRPr="00873B6C">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5A898C79" w14:textId="77777777" w:rsidR="002C4A81" w:rsidRPr="00873B6C" w:rsidRDefault="002C4A81" w:rsidP="00972E70">
      <w:pPr>
        <w:pStyle w:val="B2"/>
      </w:pPr>
      <w:r w:rsidRPr="00873B6C">
        <w:t>-</w:t>
      </w:r>
      <w:r w:rsidRPr="00873B6C">
        <w:tab/>
        <w:t>Optionally, an immediate reporting flag.</w:t>
      </w:r>
    </w:p>
    <w:p w14:paraId="3EF9B645" w14:textId="083C1BD0" w:rsidR="002C4A81" w:rsidRPr="00873B6C" w:rsidRDefault="002C4A81" w:rsidP="00972E70">
      <w:pPr>
        <w:pStyle w:val="B2"/>
      </w:pPr>
      <w:r w:rsidRPr="00873B6C">
        <w:tab/>
        <w:t xml:space="preserve">The immediate reporting flag is included when AF subscribe for candidate DNAI(s) of UE for common EAS/DNAI selection. With this flag, SMF should immediately response AF with the candidate DNAI(s) using Notification of user plane management event as described in clause 4.3.6.3 in </w:t>
      </w:r>
      <w:r w:rsidR="00972E70" w:rsidRPr="00873B6C">
        <w:t>TS 23.502 [</w:t>
      </w:r>
      <w:r w:rsidRPr="00873B6C">
        <w:t>3].</w:t>
      </w:r>
    </w:p>
    <w:p w14:paraId="437C0695" w14:textId="2673AE7D" w:rsidR="00D40151" w:rsidRPr="00873B6C" w:rsidRDefault="00D40151" w:rsidP="00D40151">
      <w:pPr>
        <w:pStyle w:val="B1"/>
      </w:pPr>
      <w:r w:rsidRPr="00873B6C">
        <w:lastRenderedPageBreak/>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873B6C" w:rsidRDefault="00D40151" w:rsidP="00D40151">
      <w:pPr>
        <w:pStyle w:val="B1"/>
      </w:pPr>
      <w:r w:rsidRPr="00873B6C">
        <w:t>9)</w:t>
      </w:r>
      <w:r w:rsidRPr="00873B6C">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873B6C" w:rsidRDefault="00D40151" w:rsidP="00D40151">
      <w:pPr>
        <w:pStyle w:val="B1"/>
      </w:pPr>
      <w:r w:rsidRPr="00873B6C">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873B6C" w:rsidRDefault="00D40151" w:rsidP="00D40151">
      <w:pPr>
        <w:pStyle w:val="B1"/>
      </w:pPr>
      <w:r w:rsidRPr="00873B6C">
        <w:tab/>
        <w:t>When the AF interacts with the PCF directly, the AF transaction identifier provided by the AF is used as AF transaction internal identifier within the 5GC.</w:t>
      </w:r>
    </w:p>
    <w:p w14:paraId="2EA3EAB0" w14:textId="56FD3A6C" w:rsidR="00D40151" w:rsidRPr="00873B6C" w:rsidRDefault="00D40151" w:rsidP="00D40151">
      <w:pPr>
        <w:pStyle w:val="B1"/>
      </w:pPr>
      <w:r w:rsidRPr="00873B6C">
        <w:t>10)</w:t>
      </w:r>
      <w:r w:rsidRPr="00873B6C">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873B6C" w:rsidRDefault="006D2D57" w:rsidP="006D2D57">
      <w:pPr>
        <w:pStyle w:val="B1"/>
      </w:pPr>
      <w:r w:rsidRPr="00873B6C">
        <w:t>11)</w:t>
      </w:r>
      <w:r w:rsidRPr="00873B6C">
        <w:tab/>
      </w:r>
      <w:r w:rsidR="00B04F2B" w:rsidRPr="00873B6C">
        <w:t xml:space="preserve">Information for EAS IP Replacement in 5GC. </w:t>
      </w:r>
      <w:r w:rsidRPr="00873B6C">
        <w:t xml:space="preserve">This indicates the </w:t>
      </w:r>
      <w:r w:rsidR="00B04F2B" w:rsidRPr="00873B6C">
        <w:t xml:space="preserve">Source EAS identifier and Target EAS identifier (i.e. </w:t>
      </w:r>
      <w:r w:rsidRPr="00873B6C">
        <w:t>IP address</w:t>
      </w:r>
      <w:r w:rsidR="00B04F2B" w:rsidRPr="00873B6C">
        <w:t>es</w:t>
      </w:r>
      <w:r w:rsidRPr="00873B6C">
        <w:t xml:space="preserve"> and port number</w:t>
      </w:r>
      <w:r w:rsidR="00B04F2B" w:rsidRPr="00873B6C">
        <w:t>s</w:t>
      </w:r>
      <w:r w:rsidRPr="00873B6C">
        <w:t xml:space="preserve"> of the source</w:t>
      </w:r>
      <w:r w:rsidR="00B04F2B" w:rsidRPr="00873B6C">
        <w:t xml:space="preserve"> and target</w:t>
      </w:r>
      <w:r w:rsidRPr="00873B6C">
        <w:t xml:space="preserve"> EAS</w:t>
      </w:r>
      <w:r w:rsidR="00B04F2B" w:rsidRPr="00873B6C">
        <w:t>)</w:t>
      </w:r>
      <w:r w:rsidRPr="00873B6C">
        <w:t xml:space="preserve"> for a service subject to Edge Computing.</w:t>
      </w:r>
    </w:p>
    <w:p w14:paraId="7842B686" w14:textId="17758B33" w:rsidR="00681FC7" w:rsidRPr="00873B6C" w:rsidRDefault="00681FC7" w:rsidP="006D2D57">
      <w:pPr>
        <w:pStyle w:val="B1"/>
      </w:pPr>
      <w:r w:rsidRPr="00873B6C">
        <w:t>12)</w:t>
      </w:r>
      <w:r w:rsidRPr="00873B6C">
        <w:tab/>
        <w:t>User Plane Latency Requirement. This includes AF requirements for User Plane latency. (see</w:t>
      </w:r>
      <w:r w:rsidR="00D602DF" w:rsidRPr="00873B6C">
        <w:t xml:space="preserve"> clause 6.3.6</w:t>
      </w:r>
      <w:r w:rsidRPr="00873B6C">
        <w:t xml:space="preserve"> </w:t>
      </w:r>
      <w:r w:rsidR="00D602DF" w:rsidRPr="00873B6C">
        <w:t xml:space="preserve">of </w:t>
      </w:r>
      <w:r w:rsidR="00972E70" w:rsidRPr="00873B6C">
        <w:t>TS 23.548 [</w:t>
      </w:r>
      <w:r w:rsidRPr="00873B6C">
        <w:t>130]).</w:t>
      </w:r>
    </w:p>
    <w:p w14:paraId="2E3045BE" w14:textId="6754B7EB" w:rsidR="00960CDA" w:rsidRPr="00873B6C" w:rsidRDefault="00960CDA" w:rsidP="006D2D57">
      <w:pPr>
        <w:pStyle w:val="B1"/>
      </w:pPr>
      <w:r w:rsidRPr="00873B6C">
        <w:t>13)</w:t>
      </w:r>
      <w:r w:rsidRPr="00873B6C">
        <w:tab/>
        <w:t>Information on AF change. The AF relocation information includes:</w:t>
      </w:r>
    </w:p>
    <w:p w14:paraId="7C2B72DA" w14:textId="2C9F518A" w:rsidR="00960CDA" w:rsidRPr="00873B6C" w:rsidRDefault="00960CDA" w:rsidP="00562E84">
      <w:pPr>
        <w:pStyle w:val="B2"/>
      </w:pPr>
      <w:r w:rsidRPr="00873B6C">
        <w:t>-</w:t>
      </w:r>
      <w:r w:rsidRPr="00873B6C">
        <w:tab/>
        <w:t>AF</w:t>
      </w:r>
      <w:r w:rsidR="00A1192D" w:rsidRPr="00873B6C">
        <w:t xml:space="preserve"> Identifier</w:t>
      </w:r>
      <w:r w:rsidRPr="00873B6C">
        <w:t>: the identifier of the target AF instance.</w:t>
      </w:r>
    </w:p>
    <w:p w14:paraId="29193B0C" w14:textId="3E333BB5" w:rsidR="00960CDA" w:rsidRPr="00873B6C" w:rsidRDefault="00960CDA" w:rsidP="00562E84">
      <w:pPr>
        <w:pStyle w:val="NO"/>
      </w:pPr>
      <w:r w:rsidRPr="00873B6C">
        <w:t>NOTE </w:t>
      </w:r>
      <w:r w:rsidR="002C4A81" w:rsidRPr="00873B6C">
        <w:t>4</w:t>
      </w:r>
      <w:r w:rsidRPr="00873B6C">
        <w:t>:</w:t>
      </w:r>
      <w:r w:rsidRPr="00873B6C">
        <w:tab/>
        <w:t>The AF relocation information is applicable for interaction with NEF only and it is not stored in UDR or transferred to PCF, even for the case AF directly interacts with PCF.</w:t>
      </w:r>
    </w:p>
    <w:p w14:paraId="0EC314A9" w14:textId="42CE77D7" w:rsidR="000F5D21" w:rsidRPr="00873B6C" w:rsidRDefault="000F5D21" w:rsidP="006D2D57">
      <w:pPr>
        <w:pStyle w:val="B1"/>
      </w:pPr>
      <w:r w:rsidRPr="00873B6C">
        <w:t>14)</w:t>
      </w:r>
      <w:r w:rsidRPr="00873B6C">
        <w:tab/>
        <w:t>Indication for EAS relocation. This indicates the application(s) are to be relocated.</w:t>
      </w:r>
    </w:p>
    <w:p w14:paraId="1A3B91E6" w14:textId="41D2D298" w:rsidR="00C25C3D" w:rsidRPr="00873B6C" w:rsidRDefault="00C25C3D" w:rsidP="00C25C3D">
      <w:pPr>
        <w:pStyle w:val="B1"/>
      </w:pPr>
      <w:r w:rsidRPr="00873B6C">
        <w:t>15)</w:t>
      </w:r>
      <w:r w:rsidRPr="00873B6C">
        <w:tab/>
        <w:t xml:space="preserve">Indication for Simultaneous Connectivity over source and target PSA at Edge Relocation (see clause 6.3.4 of </w:t>
      </w:r>
      <w:r w:rsidR="00972E70" w:rsidRPr="00873B6C">
        <w:t>TS 23.548 [</w:t>
      </w:r>
      <w:r w:rsidRPr="00873B6C">
        <w:t>130]). Indicates that source and target PSA should coexist for some time at PSA relocation</w:t>
      </w:r>
      <w:r w:rsidR="00472CD7" w:rsidRPr="00873B6C">
        <w:t xml:space="preserve"> and</w:t>
      </w:r>
      <w:r w:rsidRPr="00873B6C">
        <w:t xml:space="preserve"> may influence the establishment of a temporary N9 forwarding tunnel between the source UL CL and target UL CL. It may also provide guidance for the time interval after the described traffic ceases when the connectivity over the source PSA may be removed.</w:t>
      </w:r>
    </w:p>
    <w:p w14:paraId="4C6C090D" w14:textId="52E7D189" w:rsidR="00846E0B" w:rsidRPr="00873B6C" w:rsidRDefault="00846E0B" w:rsidP="00695DF1">
      <w:pPr>
        <w:pStyle w:val="B1"/>
      </w:pPr>
      <w:r w:rsidRPr="00873B6C">
        <w:t>16)</w:t>
      </w:r>
      <w:r w:rsidR="007D1AB8" w:rsidRPr="00873B6C">
        <w:tab/>
      </w:r>
      <w:r w:rsidRPr="00873B6C">
        <w:t>Traffic Correlation ID. Identification of a set of UEs subjecting to the AF request and accessing the application identified by the Traffic Description. UEs associated with the same Traffic Correlation ID and accessing the application identified by the Traffic Description should connect to a common EAS or EAS(es) corresponding to a common DNAI.</w:t>
      </w:r>
    </w:p>
    <w:p w14:paraId="1BDDF783" w14:textId="77777777" w:rsidR="00846E0B" w:rsidRPr="00873B6C" w:rsidRDefault="00846E0B" w:rsidP="00695DF1">
      <w:pPr>
        <w:pStyle w:val="B1"/>
      </w:pPr>
      <w:r w:rsidRPr="00873B6C">
        <w:tab/>
        <w:t>The following attributes may be provided with the Traffic Correlation ID:</w:t>
      </w:r>
    </w:p>
    <w:p w14:paraId="14161B33" w14:textId="73930034" w:rsidR="004817F2" w:rsidRPr="00873B6C" w:rsidRDefault="00846E0B" w:rsidP="00972E70">
      <w:pPr>
        <w:pStyle w:val="B2"/>
      </w:pPr>
      <w:r w:rsidRPr="00873B6C">
        <w:t>-</w:t>
      </w:r>
      <w:r w:rsidR="004817F2" w:rsidRPr="00873B6C">
        <w:tab/>
        <w:t>EAS Correlation indication. Indicates selecting a common EAS for</w:t>
      </w:r>
      <w:r w:rsidR="009A4851" w:rsidRPr="00873B6C">
        <w:t xml:space="preserve"> a set of UEs identified by Traffic Correlation ID and accessing</w:t>
      </w:r>
      <w:r w:rsidR="004817F2" w:rsidRPr="00873B6C">
        <w:t xml:space="preserve"> the application identified by the Traffic Description.</w:t>
      </w:r>
    </w:p>
    <w:p w14:paraId="05DE4A0B" w14:textId="35377D8E" w:rsidR="00846E0B" w:rsidRPr="00873B6C" w:rsidRDefault="00846E0B" w:rsidP="00972E70">
      <w:pPr>
        <w:pStyle w:val="B2"/>
      </w:pPr>
      <w:r w:rsidRPr="00873B6C">
        <w:t>-</w:t>
      </w:r>
      <w:r w:rsidRPr="00873B6C">
        <w:tab/>
        <w:t>Common EAS IP address. IP address of the common EAS to be accessed by the UEs in the set of UE</w:t>
      </w:r>
      <w:r w:rsidR="0029208C" w:rsidRPr="00873B6C">
        <w:t>s</w:t>
      </w:r>
      <w:r w:rsidRPr="00873B6C">
        <w:t xml:space="preserve"> subject to AF request, for the application identified by the Traffic Description.</w:t>
      </w:r>
    </w:p>
    <w:p w14:paraId="5AC628DE" w14:textId="183F297D" w:rsidR="00846E0B" w:rsidRPr="00873B6C" w:rsidRDefault="00846E0B" w:rsidP="00972E70">
      <w:pPr>
        <w:pStyle w:val="NO"/>
      </w:pPr>
      <w:r w:rsidRPr="00873B6C">
        <w:t>NOTE 5:</w:t>
      </w:r>
      <w:r w:rsidRPr="00873B6C">
        <w:tab/>
        <w:t>In the case of common EAS selection, if Traffic Correlation ID is provided, either EAS Correlation indication or Common EAS will be included in AF request.</w:t>
      </w:r>
    </w:p>
    <w:p w14:paraId="3F011BE1" w14:textId="55096BED" w:rsidR="00846E0B" w:rsidRPr="00873B6C" w:rsidRDefault="00846E0B" w:rsidP="00972E70">
      <w:pPr>
        <w:pStyle w:val="B2"/>
      </w:pPr>
      <w:r w:rsidRPr="00873B6C">
        <w:t>-</w:t>
      </w:r>
      <w:r w:rsidRPr="00873B6C">
        <w:tab/>
        <w:t>FQDN(s). FQDN(s) corresponding to the application</w:t>
      </w:r>
      <w:r w:rsidR="007D1AB8" w:rsidRPr="00873B6C">
        <w:t xml:space="preserve"> to be accessed by a set of UEs</w:t>
      </w:r>
      <w:r w:rsidRPr="00873B6C">
        <w:t xml:space="preserve">. When FQDN(s) is included, it is used for influencing EAS discovery procedure as defined in </w:t>
      </w:r>
      <w:r w:rsidR="00972E70" w:rsidRPr="00873B6C">
        <w:t>TS 23.548 [</w:t>
      </w:r>
      <w:r w:rsidRPr="00873B6C">
        <w:t>130].</w:t>
      </w:r>
    </w:p>
    <w:p w14:paraId="5AF221DE" w14:textId="4F6EDCC8" w:rsidR="007D1AB8" w:rsidRPr="00873B6C" w:rsidRDefault="007D1AB8" w:rsidP="005A13C0">
      <w:pPr>
        <w:pStyle w:val="B2"/>
      </w:pPr>
      <w:r w:rsidRPr="00873B6C">
        <w:t>-</w:t>
      </w:r>
      <w:r w:rsidRPr="00873B6C">
        <w:tab/>
        <w:t>Indication of traffic correlation as described in 2).</w:t>
      </w:r>
    </w:p>
    <w:p w14:paraId="7D339860" w14:textId="7B76AD5F" w:rsidR="003D49E0" w:rsidRPr="00873B6C" w:rsidRDefault="003D49E0" w:rsidP="003D49E0">
      <w:pPr>
        <w:pStyle w:val="NO"/>
      </w:pPr>
      <w:r w:rsidRPr="00873B6C">
        <w:t>NOTE 6:</w:t>
      </w:r>
      <w:r w:rsidRPr="00873B6C">
        <w:tab/>
        <w:t>If both EAS Correlation indication and Indication of traffic correlation are included, the set of UEs access the common EAS via the common DNAI.</w:t>
      </w:r>
    </w:p>
    <w:p w14:paraId="616F4092" w14:textId="1E7E54FA" w:rsidR="00D40151" w:rsidRPr="00873B6C" w:rsidRDefault="00D40151" w:rsidP="00D40151">
      <w:r w:rsidRPr="00873B6C">
        <w:lastRenderedPageBreak/>
        <w:t xml:space="preserve">An AF may send requests to influence SMF </w:t>
      </w:r>
      <w:r w:rsidR="0029208C" w:rsidRPr="00873B6C">
        <w:t>routing</w:t>
      </w:r>
      <w:r w:rsidRPr="00873B6C">
        <w:t xml:space="preserve"> decisions, for event subscription or for both.</w:t>
      </w:r>
    </w:p>
    <w:p w14:paraId="040D0AB1" w14:textId="74E5F5D5" w:rsidR="00D40151" w:rsidRPr="00873B6C" w:rsidRDefault="00D40151" w:rsidP="00D40151">
      <w:r w:rsidRPr="00873B6C">
        <w:t>The AF may request to be subscribed to notifications about UP path management events, i.e. a UP path change occurs for the PDU Session. The corresponding notification about a UP path change sent by the SMF to the AF may indicate the DNAI and /or the N6 traffic routing information</w:t>
      </w:r>
      <w:r w:rsidR="00022CB9" w:rsidRPr="00873B6C">
        <w:t xml:space="preserve"> and/or common EAS</w:t>
      </w:r>
      <w:r w:rsidRPr="00873B6C">
        <w:t xml:space="preserve"> that has changed as described in clause 4.3.6.3 of </w:t>
      </w:r>
      <w:r w:rsidR="00972E70" w:rsidRPr="00873B6C">
        <w:t>TS 23.502 [</w:t>
      </w:r>
      <w:r w:rsidRPr="00873B6C">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r w:rsidR="002C4A81" w:rsidRPr="00873B6C">
        <w:t xml:space="preserve"> The AF may subscribe for notifications of candidate DNAI(s) for UE if AF selection of common EAS/DNAI for a set of UEs is used.</w:t>
      </w:r>
    </w:p>
    <w:p w14:paraId="035FE020" w14:textId="66D635F4" w:rsidR="00D40151" w:rsidRPr="00873B6C" w:rsidRDefault="00D40151" w:rsidP="00D40151">
      <w:pPr>
        <w:pStyle w:val="NO"/>
      </w:pPr>
      <w:r w:rsidRPr="00873B6C">
        <w:t>NOTE </w:t>
      </w:r>
      <w:r w:rsidR="003D49E0" w:rsidRPr="00873B6C">
        <w:t>7</w:t>
      </w:r>
      <w:r w:rsidRPr="00873B6C">
        <w:t>:</w:t>
      </w:r>
      <w:r w:rsidRPr="00873B6C">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873B6C" w:rsidRDefault="00D40151" w:rsidP="00D40151">
      <w:pPr>
        <w:pStyle w:val="B1"/>
      </w:pPr>
      <w:r w:rsidRPr="00873B6C">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42E0CC86" w:rsidR="00D40151" w:rsidRPr="00873B6C" w:rsidRDefault="00D40151" w:rsidP="00D40151">
      <w:pPr>
        <w:pStyle w:val="NO"/>
      </w:pPr>
      <w:r w:rsidRPr="00873B6C">
        <w:t>NOTE </w:t>
      </w:r>
      <w:r w:rsidR="003D49E0" w:rsidRPr="00873B6C">
        <w:t>8</w:t>
      </w:r>
      <w:r w:rsidRPr="00873B6C">
        <w:t>:</w:t>
      </w:r>
      <w:r w:rsidRPr="00873B6C">
        <w:tab/>
        <w:t>N6 traffic routing information can e.g. correspond to the identifier of a VPN or to explicit tunnelling information such as a tunnelling protocol identifier together with a Tunnel identifier.</w:t>
      </w:r>
    </w:p>
    <w:p w14:paraId="030F2A40" w14:textId="45130653" w:rsidR="00D40151" w:rsidRPr="00873B6C" w:rsidRDefault="00D40151" w:rsidP="00D40151">
      <w:pPr>
        <w:pStyle w:val="NO"/>
      </w:pPr>
      <w:r w:rsidRPr="00873B6C">
        <w:rPr>
          <w:lang w:eastAsia="zh-CN"/>
        </w:rPr>
        <w:t>NOTE </w:t>
      </w:r>
      <w:r w:rsidR="003D49E0" w:rsidRPr="00873B6C">
        <w:rPr>
          <w:lang w:eastAsia="zh-CN"/>
        </w:rPr>
        <w:t>9</w:t>
      </w:r>
      <w:r w:rsidRPr="00873B6C">
        <w:rPr>
          <w:lang w:eastAsia="zh-CN"/>
        </w:rPr>
        <w:t>:</w:t>
      </w:r>
      <w:r w:rsidRPr="00873B6C">
        <w:rPr>
          <w:lang w:eastAsia="zh-CN"/>
        </w:rPr>
        <w:tab/>
        <w:t>In the case of Unstructured PDU Session type the nature of the N6 traffic routing information related to the 5GC UP i</w:t>
      </w:r>
      <w:r w:rsidRPr="00873B6C">
        <w:t xml:space="preserve">s </w:t>
      </w:r>
      <w:r w:rsidRPr="00873B6C">
        <w:rPr>
          <w:lang w:eastAsia="zh-CN"/>
        </w:rPr>
        <w:t>described in clause</w:t>
      </w:r>
      <w:r w:rsidRPr="00873B6C">
        <w:t> </w:t>
      </w:r>
      <w:r w:rsidRPr="00873B6C">
        <w:rPr>
          <w:lang w:eastAsia="zh-CN"/>
        </w:rPr>
        <w:t>5.6.10.3</w:t>
      </w:r>
      <w:r w:rsidRPr="00873B6C">
        <w:t>.</w:t>
      </w:r>
    </w:p>
    <w:p w14:paraId="77D49890" w14:textId="77777777" w:rsidR="00D40151" w:rsidRPr="00873B6C" w:rsidRDefault="00D40151" w:rsidP="00D40151">
      <w:pPr>
        <w:pStyle w:val="B1"/>
      </w:pPr>
      <w:r w:rsidRPr="00873B6C">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873B6C" w:rsidRDefault="00D40151" w:rsidP="00D40151">
      <w:r w:rsidRPr="00873B6C">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31525C70" w:rsidR="00D40151" w:rsidRPr="00873B6C" w:rsidRDefault="00D40151" w:rsidP="00D40151">
      <w:r w:rsidRPr="00873B6C">
        <w:rPr>
          <w:lang w:eastAsia="zh-CN"/>
        </w:rPr>
        <w:t>The PCF</w:t>
      </w:r>
      <w:r w:rsidR="00405088" w:rsidRPr="00873B6C">
        <w:rPr>
          <w:lang w:eastAsia="zh-CN"/>
        </w:rPr>
        <w:t>,</w:t>
      </w:r>
      <w:r w:rsidRPr="00873B6C">
        <w:rPr>
          <w:lang w:eastAsia="zh-CN"/>
        </w:rPr>
        <w:t xml:space="preserve"> based on information received from the AF, operator's policy,</w:t>
      </w:r>
      <w:r w:rsidR="00405088" w:rsidRPr="00873B6C">
        <w:rPr>
          <w:lang w:eastAsia="zh-CN"/>
        </w:rPr>
        <w:t xml:space="preserve"> optionally service experience analytics per UP path received from NWDAF,</w:t>
      </w:r>
      <w:r w:rsidRPr="00873B6C">
        <w:rPr>
          <w:lang w:eastAsia="zh-CN"/>
        </w:rPr>
        <w:t xml:space="preserve"> etc.</w:t>
      </w:r>
      <w:r w:rsidR="00405088" w:rsidRPr="00873B6C">
        <w:rPr>
          <w:lang w:eastAsia="zh-CN"/>
        </w:rPr>
        <w:t xml:space="preserve"> authorizes the request received from the AF</w:t>
      </w:r>
      <w:r w:rsidRPr="00873B6C">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873B6C">
        <w:t>traffic steering policy IDs are related to the mechanism enabling traffic steering to the DN.</w:t>
      </w:r>
    </w:p>
    <w:p w14:paraId="21B65B2D" w14:textId="2474636A" w:rsidR="00D40151" w:rsidRPr="00873B6C" w:rsidRDefault="00D40151" w:rsidP="00D40151">
      <w:pPr>
        <w:rPr>
          <w:lang w:eastAsia="zh-CN"/>
        </w:rPr>
      </w:pPr>
      <w:r w:rsidRPr="00873B6C">
        <w:t>The DNAIs are related to the information considered by the SMF for UPF selection</w:t>
      </w:r>
      <w:r w:rsidR="006101B9" w:rsidRPr="00873B6C">
        <w:t xml:space="preserve"> and (I</w:t>
      </w:r>
      <w:r w:rsidR="006101B9" w:rsidRPr="00873B6C">
        <w:noBreakHyphen/>
        <w:t>)SMF (re)selection</w:t>
      </w:r>
      <w:r w:rsidRPr="00873B6C">
        <w:t>, e.g. for diverting (locally) some traffic matching traffic filters provided by the PCF.</w:t>
      </w:r>
    </w:p>
    <w:p w14:paraId="6BD49EF1" w14:textId="77777777" w:rsidR="00D40151" w:rsidRPr="00873B6C" w:rsidRDefault="00D40151" w:rsidP="00D40151">
      <w:pPr>
        <w:rPr>
          <w:lang w:eastAsia="zh-CN"/>
        </w:rPr>
      </w:pPr>
      <w:r w:rsidRPr="00873B6C">
        <w:rPr>
          <w:lang w:eastAsia="zh-CN"/>
        </w:rPr>
        <w:t>The PCF acknowledges a request targeting an individual PDU Session to the AF or to the NEF.</w:t>
      </w:r>
    </w:p>
    <w:p w14:paraId="083DCC8C" w14:textId="58406819" w:rsidR="00846E0B" w:rsidRPr="00873B6C" w:rsidRDefault="00D40151" w:rsidP="00D40151">
      <w:pPr>
        <w:rPr>
          <w:lang w:eastAsia="zh-CN"/>
        </w:rPr>
      </w:pPr>
      <w:r w:rsidRPr="00873B6C">
        <w:rPr>
          <w:lang w:eastAsia="zh-CN"/>
        </w:rPr>
        <w:t xml:space="preserve">For PDU Session that corresponds to the AF request, the PCF provides the SMF with a PCC rule that </w:t>
      </w:r>
      <w:r w:rsidRPr="00873B6C">
        <w:t>is generated based on the AF request, Local routing indication from the PDU Session policy control subscription information and taking into account UE location presence in area of interest (i.e. Presence Reporting Area). The PCC rule</w:t>
      </w:r>
      <w:r w:rsidRPr="00873B6C">
        <w:rPr>
          <w:lang w:eastAsia="zh-CN"/>
        </w:rPr>
        <w:t xml:space="preserve"> contains the information to identify the traffic, information about the DNAI(s) </w:t>
      </w:r>
      <w:r w:rsidRPr="00873B6C">
        <w:t>towards which the traffic routing should apply and optionally, an indication of traffic correlation and/or an indication of application relocation possibility and/or indication of UE IP address preservation</w:t>
      </w:r>
      <w:r w:rsidRPr="00873B6C">
        <w:rPr>
          <w:lang w:eastAsia="zh-CN"/>
        </w:rPr>
        <w:t>. The PCC rule also contains per DNAI a traffic steering policy ID and/or N6 traffic routing information, if the N6 traffic routing information is explicitly provided in the AF request.</w:t>
      </w:r>
    </w:p>
    <w:p w14:paraId="5C95CF1D" w14:textId="3695EE90" w:rsidR="00846E0B" w:rsidRPr="00873B6C" w:rsidRDefault="00846E0B" w:rsidP="00D40151">
      <w:pPr>
        <w:rPr>
          <w:lang w:eastAsia="zh-CN"/>
        </w:rPr>
      </w:pPr>
      <w:r w:rsidRPr="00873B6C">
        <w:rPr>
          <w:lang w:eastAsia="zh-CN"/>
        </w:rPr>
        <w:t>If Traffic Correlation ID is included in the AF request, with EAS Correlation Indication or Common EAS</w:t>
      </w:r>
      <w:r w:rsidR="00472CD7" w:rsidRPr="00873B6C">
        <w:rPr>
          <w:lang w:eastAsia="zh-CN"/>
        </w:rPr>
        <w:t xml:space="preserve"> and</w:t>
      </w:r>
      <w:r w:rsidRPr="00873B6C">
        <w:rPr>
          <w:lang w:eastAsia="zh-CN"/>
        </w:rPr>
        <w:t xml:space="preserve"> FQDN(s) parameters, the Traffic Correlation ID and the EAS Correlation Indication or Common EAS</w:t>
      </w:r>
      <w:r w:rsidR="00472CD7" w:rsidRPr="00873B6C">
        <w:rPr>
          <w:lang w:eastAsia="zh-CN"/>
        </w:rPr>
        <w:t xml:space="preserve"> and</w:t>
      </w:r>
      <w:r w:rsidRPr="00873B6C">
        <w:rPr>
          <w:lang w:eastAsia="zh-CN"/>
        </w:rPr>
        <w:t xml:space="preserve"> FQDN(s) will be included in the PCC rule sent to SMF. The SMF can use the Traffic Correlation ID to determine that the UE belongs to a set of UEs identified by Traffic Correlation ID and a common EAS should be selected for the set of UE for the traffic identified by Traffic Descriptor as described in clause 6.2.3.2.5 of </w:t>
      </w:r>
      <w:r w:rsidR="00972E70" w:rsidRPr="00873B6C">
        <w:rPr>
          <w:lang w:eastAsia="zh-CN"/>
        </w:rPr>
        <w:t>TS 23.548 [</w:t>
      </w:r>
      <w:r w:rsidRPr="00873B6C">
        <w:rPr>
          <w:lang w:eastAsia="zh-CN"/>
        </w:rPr>
        <w:t>130]</w:t>
      </w:r>
      <w:r w:rsidR="00252264" w:rsidRPr="00873B6C">
        <w:rPr>
          <w:lang w:eastAsia="zh-CN"/>
        </w:rPr>
        <w:t>.</w:t>
      </w:r>
    </w:p>
    <w:p w14:paraId="04091E12" w14:textId="77777777" w:rsidR="00252264" w:rsidRPr="00873B6C" w:rsidRDefault="00252264" w:rsidP="00D40151">
      <w:pPr>
        <w:rPr>
          <w:lang w:eastAsia="zh-CN"/>
        </w:rPr>
      </w:pPr>
      <w:r w:rsidRPr="00873B6C">
        <w:rPr>
          <w:lang w:eastAsia="zh-CN"/>
        </w:rPr>
        <w:t>If Traffic Correlation ID is included in the AF request, NEF updates the AF influence data in the UDR with the NEF Notification Endpoint to indicate it as responsible of the set of UEs associated with the Traffic correlation ID and to be notified with 5GC determined information as described in clause 6.2.3.2.7 of TS 23.548 [130].</w:t>
      </w:r>
    </w:p>
    <w:p w14:paraId="76B942D7" w14:textId="43B29647" w:rsidR="00252264" w:rsidRPr="00873B6C" w:rsidRDefault="00252264" w:rsidP="00D40151">
      <w:pPr>
        <w:rPr>
          <w:lang w:eastAsia="zh-CN"/>
        </w:rPr>
      </w:pPr>
      <w:r w:rsidRPr="00873B6C">
        <w:rPr>
          <w:lang w:eastAsia="zh-CN"/>
        </w:rPr>
        <w:lastRenderedPageBreak/>
        <w:t>The PCF provides in the PCC rule with information</w:t>
      </w:r>
      <w:r w:rsidR="0029208C" w:rsidRPr="00873B6C">
        <w:rPr>
          <w:lang w:eastAsia="zh-CN"/>
        </w:rPr>
        <w:t xml:space="preserve"> including the NEF Notification Endpoint for the SMF</w:t>
      </w:r>
      <w:r w:rsidRPr="00873B6C">
        <w:rPr>
          <w:lang w:eastAsia="zh-CN"/>
        </w:rPr>
        <w:t xml:space="preserve"> to notify to the NEF with 5GC determined information related to the UE members of the set of UEs identified by traffic correlation ID.</w:t>
      </w:r>
    </w:p>
    <w:p w14:paraId="0DF7DE71" w14:textId="2FC6EFD1" w:rsidR="00846E0B" w:rsidRPr="00873B6C" w:rsidRDefault="00846E0B" w:rsidP="00D40151">
      <w:pPr>
        <w:rPr>
          <w:lang w:eastAsia="zh-CN"/>
        </w:rPr>
      </w:pPr>
      <w:r w:rsidRPr="00873B6C">
        <w:rPr>
          <w:lang w:eastAsia="zh-CN"/>
        </w:rPr>
        <w:t>If Traffic Correlation ID</w:t>
      </w:r>
      <w:r w:rsidR="00472CD7" w:rsidRPr="00873B6C">
        <w:rPr>
          <w:lang w:eastAsia="zh-CN"/>
        </w:rPr>
        <w:t xml:space="preserve"> and</w:t>
      </w:r>
      <w:r w:rsidRPr="00873B6C">
        <w:rPr>
          <w:lang w:eastAsia="zh-CN"/>
        </w:rPr>
        <w:t xml:space="preserve"> traffic correlation indication and FQDN(s) is included in the AF request, the Traffic Correlation ID and the traffic correlation indication will be included in the PCC rule sent to SMF. The SMF can use the Traffic Correlation ID to determine that the UE belongs to a set of UEs identified by Traffic Correlation ID and the UE needs to connect to EAS(s) corresponding to a common DNAI selected for the set of UE for the traffic identified by Traffic Descriptor, as described in clause 6.2.3.2.6 of </w:t>
      </w:r>
      <w:r w:rsidR="00972E70" w:rsidRPr="00873B6C">
        <w:rPr>
          <w:lang w:eastAsia="zh-CN"/>
        </w:rPr>
        <w:t>TS 23.548 [</w:t>
      </w:r>
      <w:r w:rsidRPr="00873B6C">
        <w:rPr>
          <w:lang w:eastAsia="zh-CN"/>
        </w:rPr>
        <w:t>130].</w:t>
      </w:r>
    </w:p>
    <w:p w14:paraId="56E27C56" w14:textId="7304938C" w:rsidR="00D40151" w:rsidRPr="00873B6C" w:rsidRDefault="00D40151" w:rsidP="00D40151">
      <w:r w:rsidRPr="00873B6C">
        <w:rPr>
          <w:lang w:eastAsia="zh-CN"/>
        </w:rPr>
        <w:t xml:space="preserve">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873B6C">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873B6C">
        <w:t xml:space="preserve"> The PCF authorizes the AF request of User Plane Latency Requirements. If the PCF determines that the requirements can't be authorized, the PCF rejects the AF request.</w:t>
      </w:r>
    </w:p>
    <w:p w14:paraId="49C8C197" w14:textId="77777777" w:rsidR="00D40151" w:rsidRPr="00873B6C" w:rsidRDefault="00D40151" w:rsidP="00D40151">
      <w:r w:rsidRPr="00873B6C">
        <w:t xml:space="preserve">The spatial validity condition is resolved at the PCF. In order to do that, the PCF subscribes to the SMF to receive notifications about change of UE location in an area of interest (i.e. Presence Reporting Area). </w:t>
      </w:r>
      <w:r w:rsidRPr="00873B6C">
        <w:rPr>
          <w:lang w:eastAsia="ko-KR"/>
        </w:rPr>
        <w:t>The subscribed area of interest may be the same as spatial validity condition, or may be a subset of the spatial validity condition (e.g. a list of TAs) based on the latest known UE location.</w:t>
      </w:r>
      <w:r w:rsidRPr="00873B6C">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873B6C">
        <w:rPr>
          <w:lang w:eastAsia="ko-KR"/>
        </w:rPr>
        <w:t>of</w:t>
      </w:r>
      <w:r w:rsidRPr="00873B6C">
        <w:t xml:space="preserve"> the subscribed area of interest are triggered by UE location change notifications received from the AMF or by UE location information received during a Service Request or Handover procedure.</w:t>
      </w:r>
    </w:p>
    <w:p w14:paraId="35B7893C" w14:textId="008D9F63" w:rsidR="00D40151" w:rsidRPr="00873B6C" w:rsidRDefault="00D40151" w:rsidP="00D40151">
      <w:r w:rsidRPr="00873B6C">
        <w:t>When the PCC rules are activated, the SMF may, based on local policies, take the information in the PCC rules</w:t>
      </w:r>
      <w:r w:rsidR="00405088" w:rsidRPr="00873B6C">
        <w:t xml:space="preserve"> and, optionally, the Service Experience analytics</w:t>
      </w:r>
      <w:r w:rsidR="000F5D21" w:rsidRPr="00873B6C">
        <w:t xml:space="preserve"> and/or DN Performance analytics</w:t>
      </w:r>
      <w:r w:rsidR="00405088" w:rsidRPr="00873B6C">
        <w:t xml:space="preserve"> per UP path (including UPF and/or DNAI and/or AS instance) as defined in clause 6.4.3</w:t>
      </w:r>
      <w:r w:rsidR="000F5D21" w:rsidRPr="00873B6C">
        <w:t xml:space="preserve"> and clause 6.14.3, respectively</w:t>
      </w:r>
      <w:r w:rsidR="00405088" w:rsidRPr="00873B6C">
        <w:t xml:space="preserve">, </w:t>
      </w:r>
      <w:r w:rsidR="000F5D21" w:rsidRPr="00873B6C">
        <w:t xml:space="preserve">of </w:t>
      </w:r>
      <w:r w:rsidR="00972E70" w:rsidRPr="00873B6C">
        <w:t>TS 23.288 [</w:t>
      </w:r>
      <w:r w:rsidR="00405088" w:rsidRPr="00873B6C">
        <w:t>86]</w:t>
      </w:r>
      <w:r w:rsidRPr="00873B6C">
        <w:t xml:space="preserve"> into account to:</w:t>
      </w:r>
    </w:p>
    <w:p w14:paraId="5D18924B" w14:textId="232CBC97" w:rsidR="00D40151" w:rsidRPr="00873B6C" w:rsidRDefault="00D40151" w:rsidP="00D40151">
      <w:pPr>
        <w:pStyle w:val="B1"/>
      </w:pPr>
      <w:r w:rsidRPr="00873B6C">
        <w:t>-</w:t>
      </w:r>
      <w:r w:rsidRPr="00873B6C">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873B6C">
        <w:t xml:space="preserve"> If the user plane latency requirement is included in the PCC rules, the SMF chooses the PSA UPF that satisfies the user plane latency requirement.</w:t>
      </w:r>
      <w:r w:rsidRPr="00873B6C">
        <w:t xml:space="preserve"> If the PCC rules are related to a 5G VN group served by the SMF and if the</w:t>
      </w:r>
      <w:r w:rsidR="005C1DEB" w:rsidRPr="00873B6C">
        <w:t xml:space="preserve"> PCC rule</w:t>
      </w:r>
      <w:r w:rsidRPr="00873B6C">
        <w:t xml:space="preserve"> includes an indication of traffic correlation, the SMF should select a common DNAI for the PDU Sessions of the 5G VN group</w:t>
      </w:r>
      <w:r w:rsidR="005C1DEB" w:rsidRPr="00873B6C">
        <w:t>, see clause 5.29</w:t>
      </w:r>
      <w:r w:rsidRPr="00873B6C">
        <w:t>.</w:t>
      </w:r>
    </w:p>
    <w:p w14:paraId="12B13CBD" w14:textId="77777777" w:rsidR="00D40151" w:rsidRPr="00873B6C" w:rsidRDefault="00D40151" w:rsidP="00D40151">
      <w:pPr>
        <w:pStyle w:val="B1"/>
      </w:pPr>
      <w:r w:rsidRPr="00873B6C">
        <w:t>-</w:t>
      </w:r>
      <w:r w:rsidRPr="00873B6C">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873B6C" w:rsidRDefault="00D40151" w:rsidP="00D40151">
      <w:pPr>
        <w:pStyle w:val="B1"/>
      </w:pPr>
      <w:r w:rsidRPr="00873B6C">
        <w:t>-</w:t>
      </w:r>
      <w:r w:rsidRPr="00873B6C">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571687D0" w:rsidR="00D40151" w:rsidRPr="00873B6C" w:rsidRDefault="00D40151" w:rsidP="00D40151">
      <w:r w:rsidRPr="00873B6C">
        <w:t>When an I-SMF is inserted for a PDU Session, the I-SMF insertion, relocation or removal to a PDU session shall be transparent (i.e. not aware) to the PCF and to the AF. The processing of the AF influence on traffic routing is described in clause 5.34 and detail</w:t>
      </w:r>
      <w:r w:rsidR="007D1AB8" w:rsidRPr="00873B6C">
        <w:t>ed</w:t>
      </w:r>
      <w:r w:rsidRPr="00873B6C">
        <w:t xml:space="preserve"> procedure is described in clause 4.23.6 of </w:t>
      </w:r>
      <w:r w:rsidR="00972E70" w:rsidRPr="00873B6C">
        <w:t>TS 23.502 [</w:t>
      </w:r>
      <w:r w:rsidRPr="00873B6C">
        <w:t>3].</w:t>
      </w:r>
    </w:p>
    <w:p w14:paraId="239DABDA" w14:textId="77777777" w:rsidR="00D40151" w:rsidRPr="00873B6C" w:rsidRDefault="00D40151" w:rsidP="00D40151">
      <w:pPr>
        <w:pStyle w:val="Heading4"/>
      </w:pPr>
      <w:bookmarkStart w:id="1403" w:name="_CR5_6_7_2"/>
      <w:bookmarkStart w:id="1404" w:name="_Toc20149773"/>
      <w:bookmarkStart w:id="1405" w:name="_Toc27846565"/>
      <w:bookmarkStart w:id="1406" w:name="_Toc36187690"/>
      <w:bookmarkStart w:id="1407" w:name="_Toc45183594"/>
      <w:bookmarkStart w:id="1408" w:name="_Toc47342436"/>
      <w:bookmarkStart w:id="1409" w:name="_Toc51769136"/>
      <w:bookmarkStart w:id="1410" w:name="_Toc201157087"/>
      <w:bookmarkEnd w:id="1403"/>
      <w:r w:rsidRPr="00873B6C">
        <w:lastRenderedPageBreak/>
        <w:t>5.6.7.2</w:t>
      </w:r>
      <w:r w:rsidRPr="00873B6C">
        <w:tab/>
        <w:t>Enhancement of UP path management based on the coordination with AFs</w:t>
      </w:r>
      <w:bookmarkEnd w:id="1404"/>
      <w:bookmarkEnd w:id="1405"/>
      <w:bookmarkEnd w:id="1406"/>
      <w:bookmarkEnd w:id="1407"/>
      <w:bookmarkEnd w:id="1408"/>
      <w:bookmarkEnd w:id="1409"/>
      <w:bookmarkEnd w:id="1410"/>
    </w:p>
    <w:p w14:paraId="72D69AD1" w14:textId="297F57E7" w:rsidR="00D40151" w:rsidRPr="00873B6C" w:rsidRDefault="00D40151" w:rsidP="00D40151">
      <w:pPr>
        <w:rPr>
          <w:lang w:eastAsia="x-none"/>
        </w:rPr>
      </w:pPr>
      <w:r w:rsidRPr="00873B6C">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w:t>
      </w:r>
      <w:r w:rsidR="00B975A9" w:rsidRPr="00873B6C">
        <w:rPr>
          <w:lang w:eastAsia="x-none"/>
        </w:rPr>
        <w:t xml:space="preserve"> (that may be provided</w:t>
      </w:r>
      <w:r w:rsidRPr="00873B6C">
        <w:rPr>
          <w:lang w:eastAsia="x-none"/>
        </w:rPr>
        <w:t xml:space="preserve"> in PCC rules received from the PCF </w:t>
      </w:r>
      <w:r w:rsidR="00B975A9" w:rsidRPr="00873B6C">
        <w:rPr>
          <w:lang w:eastAsia="x-none"/>
        </w:rPr>
        <w:t xml:space="preserve">as defined in clause 5.6.7.1 except in HR-SBO case or that may be provided directly by V-NEF to V-SMF as defined in </w:t>
      </w:r>
      <w:r w:rsidR="00972E70" w:rsidRPr="00873B6C">
        <w:rPr>
          <w:lang w:eastAsia="x-none"/>
        </w:rPr>
        <w:t>TS 23.548 [</w:t>
      </w:r>
      <w:r w:rsidR="00B975A9" w:rsidRPr="00873B6C">
        <w:rPr>
          <w:lang w:eastAsia="x-none"/>
        </w:rPr>
        <w:t xml:space="preserve">130] clause 6.7.2 in case of HR-SBO) or according to </w:t>
      </w:r>
      <w:r w:rsidRPr="00873B6C">
        <w:rPr>
          <w:lang w:eastAsia="x-none"/>
        </w:rPr>
        <w:t>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873B6C" w:rsidRDefault="00D40151" w:rsidP="00D40151">
      <w:pPr>
        <w:pStyle w:val="NO"/>
      </w:pPr>
      <w:r w:rsidRPr="00873B6C">
        <w:t>NOTE 1:</w:t>
      </w:r>
      <w:r w:rsidRPr="00873B6C">
        <w:tab/>
        <w:t>Before the UP path toward the new DNAI is activated, application traffic data (if any exists) is still routed toward the old DNAI.</w:t>
      </w:r>
    </w:p>
    <w:p w14:paraId="0B581C78" w14:textId="77777777" w:rsidR="00D40151" w:rsidRPr="00873B6C" w:rsidRDefault="00D40151" w:rsidP="00D40151">
      <w:pPr>
        <w:rPr>
          <w:lang w:eastAsia="x-none"/>
        </w:rPr>
      </w:pPr>
      <w:r w:rsidRPr="00873B6C">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3AC69C2E" w:rsidR="00D40151" w:rsidRPr="00873B6C" w:rsidRDefault="00D40151" w:rsidP="00D40151">
      <w:pPr>
        <w:pStyle w:val="NO"/>
      </w:pPr>
      <w:r w:rsidRPr="00873B6C">
        <w:t>NOTE 2:</w:t>
      </w:r>
      <w:r w:rsidRPr="00873B6C">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w:t>
      </w:r>
      <w:r w:rsidR="00472CD7" w:rsidRPr="00873B6C">
        <w:t xml:space="preserve"> and</w:t>
      </w:r>
      <w:r w:rsidRPr="00873B6C">
        <w:t xml:space="preserve"> the new AF subscribes to receive UP path management event notifications from the SMF.</w:t>
      </w:r>
    </w:p>
    <w:p w14:paraId="5A2EC88C" w14:textId="77777777" w:rsidR="00D40151" w:rsidRPr="00873B6C" w:rsidRDefault="00D40151" w:rsidP="00D40151">
      <w:pPr>
        <w:rPr>
          <w:lang w:eastAsia="x-none"/>
        </w:rPr>
      </w:pPr>
      <w:r w:rsidRPr="00873B6C">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873B6C" w:rsidRDefault="000F5D21" w:rsidP="00D40151">
      <w:pPr>
        <w:rPr>
          <w:lang w:eastAsia="x-none"/>
        </w:rPr>
      </w:pPr>
      <w:r w:rsidRPr="00873B6C">
        <w:rPr>
          <w:lang w:eastAsia="x-none"/>
        </w:rPr>
        <w:t>The AF can include the EAS relocation Indication to indicate the application(s) to be relocated.</w:t>
      </w:r>
    </w:p>
    <w:p w14:paraId="4FD0980C" w14:textId="75191B7F" w:rsidR="00D40151" w:rsidRPr="00873B6C" w:rsidRDefault="00D40151" w:rsidP="00D40151">
      <w:pPr>
        <w:rPr>
          <w:lang w:eastAsia="x-none"/>
        </w:rPr>
      </w:pPr>
      <w:r w:rsidRPr="00873B6C">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972E70" w:rsidRPr="00873B6C">
        <w:rPr>
          <w:lang w:eastAsia="x-none"/>
        </w:rPr>
        <w:t>TS 23.502 [</w:t>
      </w:r>
      <w:r w:rsidRPr="00873B6C">
        <w:rPr>
          <w:lang w:eastAsia="x-none"/>
        </w:rPr>
        <w:t>3].</w:t>
      </w:r>
    </w:p>
    <w:p w14:paraId="1065E180" w14:textId="55436915" w:rsidR="00D40151" w:rsidRPr="00873B6C" w:rsidRDefault="00D40151" w:rsidP="00D40151">
      <w:pPr>
        <w:rPr>
          <w:lang w:eastAsia="x-none"/>
        </w:rPr>
      </w:pPr>
      <w:r w:rsidRPr="00873B6C">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972E70" w:rsidRPr="00873B6C">
        <w:rPr>
          <w:lang w:eastAsia="x-none"/>
        </w:rPr>
        <w:t>TS 23.502 [</w:t>
      </w:r>
      <w:r w:rsidRPr="00873B6C">
        <w:rPr>
          <w:lang w:eastAsia="x-none"/>
        </w:rPr>
        <w:t>3].</w:t>
      </w:r>
    </w:p>
    <w:p w14:paraId="2F889683" w14:textId="77777777" w:rsidR="00D40151" w:rsidRPr="00873B6C" w:rsidRDefault="00D40151" w:rsidP="00D40151">
      <w:pPr>
        <w:pStyle w:val="NO"/>
      </w:pPr>
      <w:r w:rsidRPr="00873B6C">
        <w:t>NOTE 3:</w:t>
      </w:r>
      <w:r w:rsidRPr="00873B6C">
        <w:tab/>
        <w:t>After the UP path toward the new DNAI is activated, data is routed toward the new DNAI.</w:t>
      </w:r>
    </w:p>
    <w:p w14:paraId="2602DD1C" w14:textId="77777777" w:rsidR="00D40151" w:rsidRPr="00873B6C" w:rsidRDefault="00D40151" w:rsidP="00D40151">
      <w:pPr>
        <w:rPr>
          <w:lang w:eastAsia="x-none"/>
        </w:rPr>
      </w:pPr>
      <w:r w:rsidRPr="00873B6C">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873B6C" w:rsidRDefault="00D40151" w:rsidP="00D40151">
      <w:pPr>
        <w:rPr>
          <w:lang w:eastAsia="x-none"/>
        </w:rPr>
      </w:pPr>
      <w:r w:rsidRPr="00873B6C">
        <w:rPr>
          <w:lang w:eastAsia="x-none"/>
        </w:rPr>
        <w:t>The SMF can assume according to local policy a negative response if a response is expected and but not received from the AF within a certain time window.</w:t>
      </w:r>
    </w:p>
    <w:p w14:paraId="499B537B" w14:textId="102F6F33" w:rsidR="00B04F2B" w:rsidRPr="00873B6C" w:rsidRDefault="00B04F2B" w:rsidP="00B04F2B">
      <w:pPr>
        <w:rPr>
          <w:lang w:eastAsia="x-none"/>
        </w:rPr>
      </w:pPr>
      <w:bookmarkStart w:id="1411" w:name="_Toc20149774"/>
      <w:bookmarkStart w:id="1412" w:name="_Toc27846566"/>
      <w:bookmarkStart w:id="1413" w:name="_Toc36187691"/>
      <w:bookmarkStart w:id="1414" w:name="_Toc45183595"/>
      <w:bookmarkStart w:id="1415" w:name="_Toc47342437"/>
      <w:bookmarkStart w:id="1416" w:name="_Toc51769137"/>
      <w:r w:rsidRPr="00873B6C">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w:t>
      </w:r>
      <w:r w:rsidR="00DD4756" w:rsidRPr="00873B6C">
        <w:rPr>
          <w:lang w:eastAsia="x-none"/>
        </w:rPr>
        <w:t xml:space="preserve"> to use the FAR that contains Information elements of "IP Address and Port Number Replacement" as described in clause 6.3.3 of TS 23.548 [130]</w:t>
      </w:r>
      <w:r w:rsidRPr="00873B6C">
        <w:rPr>
          <w:lang w:eastAsia="x-none"/>
        </w:rPr>
        <w:t>. If local PSA relocation is required, the SMF may request the target local PSA to buffer uplink traffic as described in</w:t>
      </w:r>
      <w:r w:rsidR="00960CDA" w:rsidRPr="00873B6C">
        <w:rPr>
          <w:lang w:eastAsia="x-none"/>
        </w:rPr>
        <w:t xml:space="preserve"> clause 6.3.5</w:t>
      </w:r>
      <w:r w:rsidRPr="00873B6C">
        <w:rPr>
          <w:lang w:eastAsia="x-none"/>
        </w:rPr>
        <w:t xml:space="preserve"> </w:t>
      </w:r>
      <w:r w:rsidR="00960CDA" w:rsidRPr="00873B6C">
        <w:rPr>
          <w:lang w:eastAsia="x-none"/>
        </w:rPr>
        <w:t xml:space="preserve">of </w:t>
      </w:r>
      <w:r w:rsidR="00972E70" w:rsidRPr="00873B6C">
        <w:rPr>
          <w:lang w:eastAsia="x-none"/>
        </w:rPr>
        <w:t>TS 23.548 [</w:t>
      </w:r>
      <w:r w:rsidRPr="00873B6C">
        <w:rPr>
          <w:lang w:eastAsia="x-none"/>
        </w:rPr>
        <w:t>130].</w:t>
      </w:r>
    </w:p>
    <w:p w14:paraId="0A34ADF9" w14:textId="7F012067" w:rsidR="002C4A81" w:rsidRPr="00873B6C" w:rsidRDefault="002C4A81" w:rsidP="002C4A81">
      <w:pPr>
        <w:rPr>
          <w:rFonts w:eastAsia="MS Mincho"/>
        </w:rPr>
      </w:pPr>
      <w:r w:rsidRPr="00873B6C">
        <w:rPr>
          <w:rFonts w:eastAsia="MS Mincho"/>
        </w:rPr>
        <w:t>AF relocation may be triggered by SMF e.g. in relationship with DNAI change due to UE mobility. In the case of AF relocation involving different DNAI(s), it is possible that the source EHE is unaware of other/target EHE specific deployment details. In such cases, when SMF selects a target DNAI</w:t>
      </w:r>
      <w:r w:rsidR="00252264" w:rsidRPr="00873B6C">
        <w:rPr>
          <w:rFonts w:eastAsia="MS Mincho"/>
        </w:rPr>
        <w:t xml:space="preserve"> (e.g. based on current UE location)</w:t>
      </w:r>
      <w:r w:rsidRPr="00873B6C">
        <w:rPr>
          <w:rFonts w:eastAsia="MS Mincho"/>
        </w:rPr>
        <w:t>, the SMF may determine based on the EDI that the target DNAI is not supported by the source AF.</w:t>
      </w:r>
      <w:r w:rsidR="00252264" w:rsidRPr="00873B6C">
        <w:rPr>
          <w:rFonts w:eastAsia="MS Mincho"/>
        </w:rPr>
        <w:t xml:space="preserve"> The SMF determines the target AF ID based on the target DNAI and the EDI.</w:t>
      </w:r>
      <w:r w:rsidRPr="00873B6C">
        <w:rPr>
          <w:rFonts w:eastAsia="MS Mincho"/>
        </w:rPr>
        <w:t xml:space="preserve"> Accordingly, as part of Early/Late Notification, the SMF provides the target AF ID to the source AF as described in clause 4.3.6.3 of </w:t>
      </w:r>
      <w:r w:rsidR="00972E70" w:rsidRPr="00873B6C">
        <w:rPr>
          <w:rFonts w:eastAsia="MS Mincho"/>
        </w:rPr>
        <w:t>TS 23.502 [</w:t>
      </w:r>
      <w:r w:rsidRPr="00873B6C">
        <w:rPr>
          <w:rFonts w:eastAsia="MS Mincho"/>
        </w:rPr>
        <w:t>3].</w:t>
      </w:r>
    </w:p>
    <w:p w14:paraId="4B6A3F92" w14:textId="77777777" w:rsidR="00D40151" w:rsidRPr="00873B6C" w:rsidRDefault="00D40151" w:rsidP="00D40151">
      <w:pPr>
        <w:pStyle w:val="Heading3"/>
        <w:rPr>
          <w:lang w:eastAsia="ko-KR"/>
        </w:rPr>
      </w:pPr>
      <w:bookmarkStart w:id="1417" w:name="_CR5_6_8"/>
      <w:bookmarkStart w:id="1418" w:name="_Toc201157088"/>
      <w:bookmarkEnd w:id="1417"/>
      <w:r w:rsidRPr="00873B6C">
        <w:rPr>
          <w:lang w:eastAsia="ko-KR"/>
        </w:rPr>
        <w:lastRenderedPageBreak/>
        <w:t>5.6.8</w:t>
      </w:r>
      <w:r w:rsidRPr="00873B6C">
        <w:rPr>
          <w:lang w:eastAsia="ko-KR"/>
        </w:rPr>
        <w:tab/>
        <w:t>Selective activation and deactivation of UP connection of existing PDU Session</w:t>
      </w:r>
      <w:bookmarkEnd w:id="1411"/>
      <w:bookmarkEnd w:id="1412"/>
      <w:bookmarkEnd w:id="1413"/>
      <w:bookmarkEnd w:id="1414"/>
      <w:bookmarkEnd w:id="1415"/>
      <w:bookmarkEnd w:id="1416"/>
      <w:bookmarkEnd w:id="1418"/>
    </w:p>
    <w:p w14:paraId="46159E1A" w14:textId="77777777" w:rsidR="00D40151" w:rsidRPr="00873B6C" w:rsidRDefault="00D40151" w:rsidP="00D40151">
      <w:pPr>
        <w:rPr>
          <w:rFonts w:eastAsia="MS Mincho"/>
        </w:rPr>
      </w:pPr>
      <w:r w:rsidRPr="00873B6C">
        <w:t>This clause applies to the case when a UE has established multiple PDU Sessions. The activation of a UP connection of an existing PDU Session causes the activation of its UE-CN User Plane connection (i.e. data radio bearer and N3 tunnel).</w:t>
      </w:r>
    </w:p>
    <w:p w14:paraId="02FD350F" w14:textId="36FA67FC" w:rsidR="009E78C1" w:rsidRPr="00873B6C" w:rsidRDefault="009E78C1" w:rsidP="00D40151">
      <w:r w:rsidRPr="00873B6C">
        <w:t>For the activation of a UP connection the service area restrictions as specified in clause 5.3.4.1.1 apply.</w:t>
      </w:r>
    </w:p>
    <w:p w14:paraId="465F3206" w14:textId="07235CFD" w:rsidR="00D40151" w:rsidRPr="00873B6C" w:rsidRDefault="00D40151" w:rsidP="00D40151">
      <w:r w:rsidRPr="00873B6C">
        <w:t>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w:t>
      </w:r>
      <w:r w:rsidR="00472CD7" w:rsidRPr="00873B6C">
        <w:t xml:space="preserve"> and</w:t>
      </w:r>
      <w:r w:rsidRPr="00873B6C">
        <w:rPr>
          <w:rFonts w:eastAsia="SimSun"/>
          <w:lang w:eastAsia="zh-CN"/>
        </w:rPr>
        <w:t xml:space="preserve"> </w:t>
      </w:r>
      <w:r w:rsidRPr="00873B6C">
        <w:t>may support independent activation of UP connection of existing PDU Session.</w:t>
      </w:r>
    </w:p>
    <w:p w14:paraId="4D0EDD35" w14:textId="41AC49FC" w:rsidR="00D40151" w:rsidRPr="00873B6C" w:rsidRDefault="00D40151" w:rsidP="00D40151">
      <w:r w:rsidRPr="00873B6C">
        <w:t xml:space="preserve">A UE in the CM-CONNECTED state invokes a </w:t>
      </w:r>
      <w:r w:rsidRPr="00873B6C">
        <w:rPr>
          <w:lang w:eastAsia="zh-CN"/>
        </w:rPr>
        <w:t>Service Request (see</w:t>
      </w:r>
      <w:r w:rsidR="00D602DF" w:rsidRPr="00873B6C">
        <w:t xml:space="preserve"> clause 4.2.3.2</w:t>
      </w:r>
      <w:r w:rsidRPr="00873B6C">
        <w:rPr>
          <w:lang w:eastAsia="zh-CN"/>
        </w:rPr>
        <w:t xml:space="preserve"> </w:t>
      </w:r>
      <w:r w:rsidR="00D602DF" w:rsidRPr="00873B6C">
        <w:t>of</w:t>
      </w:r>
      <w:r w:rsidR="00D602DF" w:rsidRPr="00873B6C">
        <w:rPr>
          <w:lang w:eastAsia="zh-CN"/>
        </w:rPr>
        <w:t xml:space="preserve"> </w:t>
      </w:r>
      <w:r w:rsidR="00972E70" w:rsidRPr="00873B6C">
        <w:rPr>
          <w:lang w:eastAsia="zh-CN"/>
        </w:rPr>
        <w:t>TS </w:t>
      </w:r>
      <w:r w:rsidR="00972E70" w:rsidRPr="00873B6C">
        <w:t>23.502</w:t>
      </w:r>
      <w:r w:rsidR="00972E70" w:rsidRPr="00873B6C">
        <w:rPr>
          <w:lang w:eastAsia="zh-CN"/>
        </w:rPr>
        <w:t> </w:t>
      </w:r>
      <w:r w:rsidR="00972E70" w:rsidRPr="00873B6C">
        <w:t>[</w:t>
      </w:r>
      <w:r w:rsidRPr="00873B6C">
        <w:t>3]</w:t>
      </w:r>
      <w:r w:rsidRPr="00873B6C">
        <w:rPr>
          <w:lang w:eastAsia="zh-CN"/>
        </w:rPr>
        <w:t>)</w:t>
      </w:r>
      <w:r w:rsidRPr="00873B6C">
        <w:t xml:space="preserve"> procedure to request the independent activation of the UP connection of existing PDU Sessions.</w:t>
      </w:r>
    </w:p>
    <w:p w14:paraId="4E49099A" w14:textId="77777777" w:rsidR="00D40151" w:rsidRPr="00873B6C" w:rsidRDefault="00D40151" w:rsidP="00D40151">
      <w:r w:rsidRPr="00873B6C">
        <w:t>Network Triggered re-activation of UP connection of existing PDU Sessions is handled as follows:</w:t>
      </w:r>
    </w:p>
    <w:p w14:paraId="6302407F" w14:textId="77777777" w:rsidR="00D40151" w:rsidRPr="00873B6C" w:rsidRDefault="00D40151" w:rsidP="00D40151">
      <w:pPr>
        <w:pStyle w:val="B1"/>
        <w:rPr>
          <w:lang w:eastAsia="ko-KR"/>
        </w:rPr>
      </w:pPr>
      <w:r w:rsidRPr="00873B6C">
        <w:rPr>
          <w:lang w:eastAsia="ko-KR"/>
        </w:rPr>
        <w:t>-</w:t>
      </w:r>
      <w:r w:rsidRPr="00873B6C">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873B6C" w:rsidRDefault="00D40151" w:rsidP="00D40151">
      <w:pPr>
        <w:pStyle w:val="B1"/>
        <w:rPr>
          <w:lang w:eastAsia="ko-KR"/>
        </w:rPr>
      </w:pPr>
      <w:r w:rsidRPr="00873B6C">
        <w:rPr>
          <w:lang w:eastAsia="ko-KR"/>
        </w:rPr>
        <w:t>Otherwise:</w:t>
      </w:r>
    </w:p>
    <w:p w14:paraId="575983AE" w14:textId="77777777" w:rsidR="00D40151" w:rsidRPr="00873B6C" w:rsidRDefault="00D40151" w:rsidP="00D40151">
      <w:pPr>
        <w:pStyle w:val="B1"/>
        <w:rPr>
          <w:lang w:eastAsia="ko-KR"/>
        </w:rPr>
      </w:pPr>
      <w:r w:rsidRPr="00873B6C">
        <w:rPr>
          <w:lang w:eastAsia="ko-KR"/>
        </w:rPr>
        <w:t>-</w:t>
      </w:r>
      <w:r w:rsidRPr="00873B6C">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873B6C" w:rsidRDefault="00D40151" w:rsidP="00D40151">
      <w:pPr>
        <w:pStyle w:val="B2"/>
      </w:pPr>
      <w:r w:rsidRPr="00873B6C">
        <w:t>-</w:t>
      </w:r>
      <w:r w:rsidRPr="00873B6C">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873B6C" w:rsidRDefault="00D40151" w:rsidP="00D40151">
      <w:pPr>
        <w:pStyle w:val="B2"/>
      </w:pPr>
      <w:r w:rsidRPr="00873B6C">
        <w:t>-</w:t>
      </w:r>
      <w:r w:rsidRPr="00873B6C">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873B6C" w:rsidRDefault="00D40151" w:rsidP="00D40151">
      <w:pPr>
        <w:pStyle w:val="NO"/>
      </w:pPr>
      <w:r w:rsidRPr="00873B6C">
        <w:t>NOTE:</w:t>
      </w:r>
      <w:r w:rsidRPr="00873B6C">
        <w:tab/>
        <w:t>A UE that is in a coverage of a non-3GPP access and has PDU Session(s) that are associated in the UE (i.e. last routed) to non-3GPP access, is assumed to attempt to connect to it without the need to be paged.</w:t>
      </w:r>
    </w:p>
    <w:p w14:paraId="2A8FAA24" w14:textId="77777777" w:rsidR="00D40151" w:rsidRPr="00873B6C" w:rsidRDefault="00D40151" w:rsidP="00D40151">
      <w:pPr>
        <w:pStyle w:val="B1"/>
      </w:pPr>
      <w:r w:rsidRPr="00873B6C">
        <w:rPr>
          <w:lang w:eastAsia="ko-KR"/>
        </w:rPr>
        <w:t>-</w:t>
      </w:r>
      <w:r w:rsidRPr="00873B6C">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873B6C">
        <w:rPr>
          <w:lang w:eastAsia="zh-CN"/>
        </w:rPr>
        <w:t xml:space="preserve"> include </w:t>
      </w:r>
      <w:r w:rsidRPr="00873B6C">
        <w:rPr>
          <w:lang w:eastAsia="ko-KR"/>
        </w:rPr>
        <w:t>the 3GPP Access Type</w:t>
      </w:r>
      <w:r w:rsidRPr="00873B6C">
        <w:rPr>
          <w:lang w:eastAsia="zh-CN"/>
        </w:rPr>
        <w:t>. U</w:t>
      </w:r>
      <w:r w:rsidRPr="00873B6C">
        <w:rPr>
          <w:lang w:eastAsia="ko-KR"/>
        </w:rPr>
        <w:t xml:space="preserve">pon reception of the notification message, </w:t>
      </w:r>
      <w:r w:rsidRPr="00873B6C">
        <w:rPr>
          <w:lang w:eastAsia="zh-CN"/>
        </w:rPr>
        <w:t xml:space="preserve">when </w:t>
      </w:r>
      <w:r w:rsidRPr="00873B6C">
        <w:rPr>
          <w:lang w:eastAsia="ko-KR"/>
        </w:rPr>
        <w:t xml:space="preserve">3GPP access is available, </w:t>
      </w:r>
      <w:r w:rsidRPr="00873B6C">
        <w:rPr>
          <w:lang w:eastAsia="zh-CN"/>
        </w:rPr>
        <w:t xml:space="preserve">the UE </w:t>
      </w:r>
      <w:r w:rsidRPr="00873B6C">
        <w:rPr>
          <w:lang w:eastAsia="ko-KR"/>
        </w:rPr>
        <w:t>shall reply to the 5GC via the 3GPP access using the NAS Service Request message.</w:t>
      </w:r>
    </w:p>
    <w:p w14:paraId="647EFBD2" w14:textId="77777777" w:rsidR="00D40151" w:rsidRPr="00873B6C" w:rsidRDefault="00D40151" w:rsidP="00D40151">
      <w:pPr>
        <w:rPr>
          <w:lang w:eastAsia="zh-CN"/>
        </w:rPr>
      </w:pPr>
      <w:r w:rsidRPr="00873B6C">
        <w:rPr>
          <w:lang w:eastAsia="zh-CN"/>
        </w:rPr>
        <w:t>In addition to the above, a PDU Session may be established as an always-on PDU Session as described in clause 5.6.13.</w:t>
      </w:r>
    </w:p>
    <w:p w14:paraId="768F91D6" w14:textId="77777777" w:rsidR="00D40151" w:rsidRPr="00873B6C" w:rsidRDefault="00D40151" w:rsidP="00D40151">
      <w:r w:rsidRPr="00873B6C">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873B6C" w:rsidRDefault="00D40151" w:rsidP="00D40151">
      <w:pPr>
        <w:pStyle w:val="Heading3"/>
      </w:pPr>
      <w:bookmarkStart w:id="1419" w:name="_CR5_6_9"/>
      <w:bookmarkStart w:id="1420" w:name="_Toc20149775"/>
      <w:bookmarkStart w:id="1421" w:name="_Toc27846567"/>
      <w:bookmarkStart w:id="1422" w:name="_Toc36187692"/>
      <w:bookmarkStart w:id="1423" w:name="_Toc45183596"/>
      <w:bookmarkStart w:id="1424" w:name="_Toc47342438"/>
      <w:bookmarkStart w:id="1425" w:name="_Toc51769138"/>
      <w:bookmarkStart w:id="1426" w:name="_Toc201157089"/>
      <w:bookmarkEnd w:id="1419"/>
      <w:r w:rsidRPr="00873B6C">
        <w:lastRenderedPageBreak/>
        <w:t>5.6.9</w:t>
      </w:r>
      <w:r w:rsidRPr="00873B6C">
        <w:tab/>
        <w:t>Session and Service Continuity</w:t>
      </w:r>
      <w:bookmarkEnd w:id="1420"/>
      <w:bookmarkEnd w:id="1421"/>
      <w:bookmarkEnd w:id="1422"/>
      <w:bookmarkEnd w:id="1423"/>
      <w:bookmarkEnd w:id="1424"/>
      <w:bookmarkEnd w:id="1425"/>
      <w:bookmarkEnd w:id="1426"/>
    </w:p>
    <w:p w14:paraId="6ACB8A79" w14:textId="77777777" w:rsidR="00D40151" w:rsidRPr="00873B6C" w:rsidRDefault="00D40151" w:rsidP="00D40151">
      <w:pPr>
        <w:pStyle w:val="Heading4"/>
      </w:pPr>
      <w:bookmarkStart w:id="1427" w:name="_CR5_6_9_1"/>
      <w:bookmarkStart w:id="1428" w:name="_Toc20149776"/>
      <w:bookmarkStart w:id="1429" w:name="_Toc27846568"/>
      <w:bookmarkStart w:id="1430" w:name="_Toc36187693"/>
      <w:bookmarkStart w:id="1431" w:name="_Toc45183597"/>
      <w:bookmarkStart w:id="1432" w:name="_Toc47342439"/>
      <w:bookmarkStart w:id="1433" w:name="_Toc51769139"/>
      <w:bookmarkStart w:id="1434" w:name="_Toc201157090"/>
      <w:bookmarkEnd w:id="1427"/>
      <w:r w:rsidRPr="00873B6C">
        <w:t>5.6.9.1</w:t>
      </w:r>
      <w:r w:rsidRPr="00873B6C">
        <w:tab/>
        <w:t>General</w:t>
      </w:r>
      <w:bookmarkEnd w:id="1428"/>
      <w:bookmarkEnd w:id="1429"/>
      <w:bookmarkEnd w:id="1430"/>
      <w:bookmarkEnd w:id="1431"/>
      <w:bookmarkEnd w:id="1432"/>
      <w:bookmarkEnd w:id="1433"/>
      <w:bookmarkEnd w:id="1434"/>
    </w:p>
    <w:p w14:paraId="1D8C4669" w14:textId="77777777" w:rsidR="00D40151" w:rsidRPr="00873B6C" w:rsidRDefault="00D40151" w:rsidP="00D40151">
      <w:r w:rsidRPr="00873B6C">
        <w:t xml:space="preserve">The support for session and service continuity in 5G System architecture enables to address the various continuity requirements of different applications/services for the UE. </w:t>
      </w:r>
      <w:r w:rsidRPr="00873B6C">
        <w:rPr>
          <w:rFonts w:eastAsia="MS Mincho"/>
        </w:rPr>
        <w:t xml:space="preserve">The 5G System supports different </w:t>
      </w:r>
      <w:r w:rsidRPr="00873B6C">
        <w:t xml:space="preserve">session and service continuity (SSC) modes </w:t>
      </w:r>
      <w:r w:rsidRPr="00873B6C">
        <w:rPr>
          <w:rFonts w:eastAsia="MS Mincho"/>
        </w:rPr>
        <w:t>defined in this clause.</w:t>
      </w:r>
      <w:r w:rsidRPr="00873B6C">
        <w:t xml:space="preserve"> The SSC mode associated with a PDU Session does not change during the lifetime of a PDU Session. The following three modes are specified with further details provided in the next clause:</w:t>
      </w:r>
    </w:p>
    <w:p w14:paraId="2975E6C3" w14:textId="77777777" w:rsidR="00D40151" w:rsidRPr="00873B6C" w:rsidRDefault="00D40151" w:rsidP="00D40151">
      <w:pPr>
        <w:pStyle w:val="B1"/>
      </w:pPr>
      <w:r w:rsidRPr="00873B6C">
        <w:t>-</w:t>
      </w:r>
      <w:r w:rsidRPr="00873B6C">
        <w:tab/>
        <w:t>With SSC mode 1, the network preserves the connectivity service provided to the UE. For the case of PDU Session of IPv4 or IPv6 or IPv4v6 type, the IP address is preserved.</w:t>
      </w:r>
    </w:p>
    <w:p w14:paraId="2B229EA8" w14:textId="77777777" w:rsidR="00D40151" w:rsidRPr="00873B6C" w:rsidRDefault="00D40151" w:rsidP="00D40151">
      <w:pPr>
        <w:pStyle w:val="B1"/>
      </w:pPr>
      <w:r w:rsidRPr="00873B6C">
        <w:t>-</w:t>
      </w:r>
      <w:r w:rsidRPr="00873B6C">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873B6C" w:rsidRDefault="00D40151" w:rsidP="00D40151">
      <w:pPr>
        <w:pStyle w:val="B1"/>
      </w:pPr>
      <w:r w:rsidRPr="00873B6C">
        <w:t>-</w:t>
      </w:r>
      <w:r w:rsidRPr="00873B6C">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873B6C" w:rsidRDefault="00D40151" w:rsidP="00D40151">
      <w:pPr>
        <w:pStyle w:val="NO"/>
      </w:pPr>
      <w:r w:rsidRPr="00873B6C">
        <w:t>NOTE:</w:t>
      </w:r>
      <w:r w:rsidRPr="00873B6C">
        <w:tab/>
        <w:t>In this Release of the specification, the addition/removal procedure of additional PDU Session Anchor in a PDU Session for local access to a DN is independent from the SSC mode of the PDU Session.</w:t>
      </w:r>
    </w:p>
    <w:p w14:paraId="79BFD985" w14:textId="77777777" w:rsidR="00D40151" w:rsidRPr="00873B6C" w:rsidRDefault="00D40151" w:rsidP="00D40151">
      <w:pPr>
        <w:pStyle w:val="Heading4"/>
      </w:pPr>
      <w:bookmarkStart w:id="1435" w:name="_CR5_6_9_2"/>
      <w:bookmarkStart w:id="1436" w:name="_Toc20149777"/>
      <w:bookmarkStart w:id="1437" w:name="_Toc27846569"/>
      <w:bookmarkStart w:id="1438" w:name="_Toc36187694"/>
      <w:bookmarkStart w:id="1439" w:name="_Toc45183598"/>
      <w:bookmarkStart w:id="1440" w:name="_Toc47342440"/>
      <w:bookmarkStart w:id="1441" w:name="_Toc51769140"/>
      <w:bookmarkStart w:id="1442" w:name="_Toc201157091"/>
      <w:bookmarkEnd w:id="1435"/>
      <w:r w:rsidRPr="00873B6C">
        <w:t>5.6.9.2</w:t>
      </w:r>
      <w:r w:rsidRPr="00873B6C">
        <w:tab/>
        <w:t>SSC mode</w:t>
      </w:r>
      <w:bookmarkEnd w:id="1436"/>
      <w:bookmarkEnd w:id="1437"/>
      <w:bookmarkEnd w:id="1438"/>
      <w:bookmarkEnd w:id="1439"/>
      <w:bookmarkEnd w:id="1440"/>
      <w:bookmarkEnd w:id="1441"/>
      <w:bookmarkEnd w:id="1442"/>
    </w:p>
    <w:p w14:paraId="5008C7DD" w14:textId="77777777" w:rsidR="00D40151" w:rsidRPr="00873B6C" w:rsidRDefault="00D40151" w:rsidP="00D40151">
      <w:pPr>
        <w:pStyle w:val="Heading5"/>
      </w:pPr>
      <w:bookmarkStart w:id="1443" w:name="_CR5_6_9_2_1"/>
      <w:bookmarkStart w:id="1444" w:name="_Toc20149778"/>
      <w:bookmarkStart w:id="1445" w:name="_Toc27846570"/>
      <w:bookmarkStart w:id="1446" w:name="_Toc36187695"/>
      <w:bookmarkStart w:id="1447" w:name="_Toc45183599"/>
      <w:bookmarkStart w:id="1448" w:name="_Toc47342441"/>
      <w:bookmarkStart w:id="1449" w:name="_Toc51769141"/>
      <w:bookmarkStart w:id="1450" w:name="_Toc201157092"/>
      <w:bookmarkEnd w:id="1443"/>
      <w:r w:rsidRPr="00873B6C">
        <w:t>5.6.9.2.1</w:t>
      </w:r>
      <w:r w:rsidRPr="00873B6C">
        <w:tab/>
        <w:t>SSC Mode 1</w:t>
      </w:r>
      <w:bookmarkEnd w:id="1444"/>
      <w:bookmarkEnd w:id="1445"/>
      <w:bookmarkEnd w:id="1446"/>
      <w:bookmarkEnd w:id="1447"/>
      <w:bookmarkEnd w:id="1448"/>
      <w:bookmarkEnd w:id="1449"/>
      <w:bookmarkEnd w:id="1450"/>
    </w:p>
    <w:p w14:paraId="7BE84F8F" w14:textId="77777777" w:rsidR="00D40151" w:rsidRPr="00873B6C" w:rsidRDefault="00D40151" w:rsidP="00D40151">
      <w:r w:rsidRPr="00873B6C">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873B6C" w:rsidRDefault="00D40151" w:rsidP="00D40151">
      <w:r w:rsidRPr="00873B6C">
        <w:t>In the case of a PDU Session of IPv4 or IPv6 or IPv4v6 type, IP continuity is supported regardless of UE mobility events.</w:t>
      </w:r>
    </w:p>
    <w:p w14:paraId="4F488AD9" w14:textId="3BBEE049" w:rsidR="00D40151" w:rsidRPr="00873B6C" w:rsidRDefault="00D40151" w:rsidP="00D40151">
      <w:r w:rsidRPr="00873B6C">
        <w:t>In this Release of the specification, when IPv6 multihoming or UL CL applies to a PDU Session of in SSC mode 1</w:t>
      </w:r>
      <w:r w:rsidR="00472CD7" w:rsidRPr="00873B6C">
        <w:t xml:space="preserve"> and</w:t>
      </w:r>
      <w:r w:rsidRPr="00873B6C">
        <w:t xml:space="preserve"> the network allocates (based on local policies) additional PDU Session Anchors to such a PDU Session, these additional PDU Session Anchors may be released or allocated</w:t>
      </w:r>
      <w:r w:rsidR="00472CD7" w:rsidRPr="00873B6C">
        <w:t xml:space="preserve"> and</w:t>
      </w:r>
      <w:r w:rsidRPr="00873B6C">
        <w:t xml:space="preserve"> the UE does not expect that the additional IPv6 prefix is maintained during the lifetime of PDU Session.</w:t>
      </w:r>
    </w:p>
    <w:p w14:paraId="2D038CE3" w14:textId="77777777" w:rsidR="00D40151" w:rsidRPr="00873B6C" w:rsidRDefault="00D40151" w:rsidP="00D40151">
      <w:r w:rsidRPr="00873B6C">
        <w:t>SSC mode 1 may apply to any PDU Session type and to any access type.</w:t>
      </w:r>
    </w:p>
    <w:p w14:paraId="2919BBBB" w14:textId="204DEF5F" w:rsidR="00FC0C60" w:rsidRPr="00873B6C" w:rsidRDefault="00FC0C60" w:rsidP="00FC0C60">
      <w:bookmarkStart w:id="1451" w:name="_Toc20149779"/>
      <w:bookmarkStart w:id="1452" w:name="_Toc27846571"/>
      <w:bookmarkStart w:id="1453" w:name="_Toc36187696"/>
      <w:bookmarkStart w:id="1454" w:name="_Toc45183600"/>
      <w:bookmarkStart w:id="1455" w:name="_Toc47342442"/>
      <w:bookmarkStart w:id="1456" w:name="_Toc51769142"/>
      <w:r w:rsidRPr="00873B6C">
        <w:t>A UE supporting PDU Connectivity shall support SSC mode 1.</w:t>
      </w:r>
    </w:p>
    <w:p w14:paraId="7C40A313" w14:textId="77777777" w:rsidR="00D40151" w:rsidRPr="00873B6C" w:rsidRDefault="00D40151" w:rsidP="00D40151">
      <w:pPr>
        <w:pStyle w:val="Heading5"/>
      </w:pPr>
      <w:bookmarkStart w:id="1457" w:name="_CR5_6_9_2_2"/>
      <w:bookmarkStart w:id="1458" w:name="_Toc201157093"/>
      <w:bookmarkEnd w:id="1457"/>
      <w:r w:rsidRPr="00873B6C">
        <w:t>5.6.9.2</w:t>
      </w:r>
      <w:r w:rsidRPr="00873B6C">
        <w:rPr>
          <w:lang w:eastAsia="zh-CN"/>
        </w:rPr>
        <w:t>.2</w:t>
      </w:r>
      <w:r w:rsidRPr="00873B6C">
        <w:tab/>
        <w:t>SSC Mode 2</w:t>
      </w:r>
      <w:bookmarkEnd w:id="1451"/>
      <w:bookmarkEnd w:id="1452"/>
      <w:bookmarkEnd w:id="1453"/>
      <w:bookmarkEnd w:id="1454"/>
      <w:bookmarkEnd w:id="1455"/>
      <w:bookmarkEnd w:id="1456"/>
      <w:bookmarkEnd w:id="1458"/>
    </w:p>
    <w:p w14:paraId="56BCFC19" w14:textId="77777777" w:rsidR="00D40151" w:rsidRPr="00873B6C" w:rsidRDefault="00D40151" w:rsidP="00D40151">
      <w:r w:rsidRPr="00873B6C">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873B6C" w:rsidRDefault="00D40151" w:rsidP="00D40151">
      <w:r w:rsidRPr="00873B6C">
        <w:t>Otherwise, if a PDU Session of SSC mode 2 has multiple PDU Session Anchors (i.e. in the case of multi-homed PDU Sessions or in the case that UL CL applies to a PDU Session of</w:t>
      </w:r>
      <w:r w:rsidRPr="00873B6C" w:rsidDel="00DB0A2A">
        <w:t xml:space="preserve"> </w:t>
      </w:r>
      <w:r w:rsidRPr="00873B6C">
        <w:t>SSC mode 2), the additional PDU Session Anchors may be released or allocated.</w:t>
      </w:r>
    </w:p>
    <w:p w14:paraId="0CDEB045" w14:textId="77777777" w:rsidR="00D40151" w:rsidRPr="00873B6C" w:rsidRDefault="00D40151" w:rsidP="00D40151">
      <w:r w:rsidRPr="00873B6C">
        <w:t>SSC mode 2 may apply to any PDU Session type and to any access type.</w:t>
      </w:r>
    </w:p>
    <w:p w14:paraId="73FC4786" w14:textId="77777777" w:rsidR="00FC0C60" w:rsidRPr="00873B6C" w:rsidRDefault="00FC0C60" w:rsidP="001B7C50">
      <w:r w:rsidRPr="00873B6C">
        <w:t>SSC mode 2 is optional to be supported in the UE.</w:t>
      </w:r>
    </w:p>
    <w:p w14:paraId="2756AD8C" w14:textId="0C309AC9" w:rsidR="00FC0C60" w:rsidRPr="00873B6C" w:rsidRDefault="00FC0C60" w:rsidP="00D40151">
      <w:pPr>
        <w:pStyle w:val="NO"/>
      </w:pPr>
      <w:r w:rsidRPr="00873B6C">
        <w:t>NOTE 1:</w:t>
      </w:r>
      <w:r w:rsidRPr="00873B6C">
        <w:tab/>
        <w:t>Features depending on SSC mode 2 will not work with the lack of support for SSC mode 2 in the UE.</w:t>
      </w:r>
    </w:p>
    <w:p w14:paraId="561CFDFD" w14:textId="1EF5C064" w:rsidR="00D40151" w:rsidRPr="00873B6C" w:rsidRDefault="00D40151" w:rsidP="00D40151">
      <w:pPr>
        <w:pStyle w:val="NO"/>
      </w:pPr>
      <w:r w:rsidRPr="00873B6C">
        <w:t>NOTE</w:t>
      </w:r>
      <w:r w:rsidR="00FC0C60" w:rsidRPr="00873B6C">
        <w:t> 2</w:t>
      </w:r>
      <w:r w:rsidRPr="00873B6C">
        <w:t>:</w:t>
      </w:r>
      <w:r w:rsidRPr="00873B6C">
        <w:tab/>
        <w:t>In UL CL mode, the UE is not involved in PDU Session Anchor re-allocation, so that the existence of multiple PDU Session Anchors is not visible to the UE.</w:t>
      </w:r>
    </w:p>
    <w:p w14:paraId="3148B238" w14:textId="77777777" w:rsidR="00D40151" w:rsidRPr="00873B6C" w:rsidRDefault="00D40151" w:rsidP="00D40151">
      <w:pPr>
        <w:pStyle w:val="Heading5"/>
      </w:pPr>
      <w:bookmarkStart w:id="1459" w:name="_CR5_6_9_2_3"/>
      <w:bookmarkStart w:id="1460" w:name="_Toc20149780"/>
      <w:bookmarkStart w:id="1461" w:name="_Toc27846572"/>
      <w:bookmarkStart w:id="1462" w:name="_Toc36187697"/>
      <w:bookmarkStart w:id="1463" w:name="_Toc45183601"/>
      <w:bookmarkStart w:id="1464" w:name="_Toc47342443"/>
      <w:bookmarkStart w:id="1465" w:name="_Toc51769143"/>
      <w:bookmarkStart w:id="1466" w:name="_Toc201157094"/>
      <w:bookmarkEnd w:id="1459"/>
      <w:r w:rsidRPr="00873B6C">
        <w:lastRenderedPageBreak/>
        <w:t>5.6.9.</w:t>
      </w:r>
      <w:r w:rsidRPr="00873B6C">
        <w:rPr>
          <w:lang w:eastAsia="zh-CN"/>
        </w:rPr>
        <w:t>2.</w:t>
      </w:r>
      <w:r w:rsidRPr="00873B6C">
        <w:t>3</w:t>
      </w:r>
      <w:r w:rsidRPr="00873B6C">
        <w:tab/>
        <w:t>SSC Mode 3</w:t>
      </w:r>
      <w:bookmarkEnd w:id="1460"/>
      <w:bookmarkEnd w:id="1461"/>
      <w:bookmarkEnd w:id="1462"/>
      <w:bookmarkEnd w:id="1463"/>
      <w:bookmarkEnd w:id="1464"/>
      <w:bookmarkEnd w:id="1465"/>
      <w:bookmarkEnd w:id="1466"/>
    </w:p>
    <w:p w14:paraId="4CE9E9FB" w14:textId="77777777" w:rsidR="00D40151" w:rsidRPr="00873B6C" w:rsidRDefault="00D40151" w:rsidP="00D40151">
      <w:r w:rsidRPr="00873B6C">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873B6C" w:rsidRDefault="00D40151" w:rsidP="00D40151">
      <w:r w:rsidRPr="00873B6C">
        <w:t>In this Release of specification, SSC mode 3 only applies to IP PDU Session type and to any access type.</w:t>
      </w:r>
    </w:p>
    <w:p w14:paraId="66917A26" w14:textId="77777777" w:rsidR="00D40151" w:rsidRPr="00873B6C" w:rsidRDefault="00D40151" w:rsidP="00D40151">
      <w:r w:rsidRPr="00873B6C">
        <w:t xml:space="preserve">In the case of a PDU Session of IPv4 or IPv6 or IPv4v6 type, during the procedure of change of PDU Session Anchor, </w:t>
      </w:r>
      <w:r w:rsidRPr="00873B6C">
        <w:rPr>
          <w:lang w:eastAsia="ko-KR"/>
        </w:rPr>
        <w:t>the following applies:</w:t>
      </w:r>
    </w:p>
    <w:p w14:paraId="76080162" w14:textId="77777777" w:rsidR="00D40151" w:rsidRPr="00873B6C" w:rsidRDefault="00D40151" w:rsidP="00D40151">
      <w:pPr>
        <w:pStyle w:val="B1"/>
      </w:pPr>
      <w:r w:rsidRPr="00873B6C">
        <w:t>a.</w:t>
      </w:r>
      <w:r w:rsidRPr="00873B6C">
        <w:tab/>
        <w:t>For a PDU Session of IPv6 type, the new IP prefix anchored on the new PDU Session Anchor may be allocated within the same PDU Session (relying on IPv6 multi-homing specified in clause 5.6.4.3), or</w:t>
      </w:r>
    </w:p>
    <w:p w14:paraId="2C29F6ED" w14:textId="77777777" w:rsidR="00D40151" w:rsidRPr="00873B6C" w:rsidRDefault="00D40151" w:rsidP="00D40151">
      <w:pPr>
        <w:pStyle w:val="B1"/>
      </w:pPr>
      <w:r w:rsidRPr="00873B6C">
        <w:t>b.</w:t>
      </w:r>
      <w:r w:rsidRPr="00873B6C">
        <w:tab/>
        <w:t>The new IP address and/or IP prefix may be allocated within a new PDU Session that the UE is triggered to establish.</w:t>
      </w:r>
    </w:p>
    <w:p w14:paraId="60F2B258" w14:textId="3C07111B" w:rsidR="00D40151" w:rsidRPr="00873B6C" w:rsidRDefault="00D40151" w:rsidP="00D40151">
      <w:r w:rsidRPr="00873B6C">
        <w:t>After the new IP address/prefix has been allocated, the old IP address/prefix is maintained during some time indicated to the UE via NAS signalling (as described in</w:t>
      </w:r>
      <w:r w:rsidR="00960CDA" w:rsidRPr="00873B6C">
        <w:t xml:space="preserve"> clause 4.3.5.2</w:t>
      </w:r>
      <w:r w:rsidRPr="00873B6C">
        <w:t xml:space="preserve"> </w:t>
      </w:r>
      <w:r w:rsidR="00960CDA" w:rsidRPr="00873B6C">
        <w:t xml:space="preserve">of </w:t>
      </w:r>
      <w:r w:rsidR="00972E70" w:rsidRPr="00873B6C">
        <w:t>TS 23.502 [</w:t>
      </w:r>
      <w:r w:rsidRPr="00873B6C">
        <w:t xml:space="preserve">3]) or via Router Advertisement (as described in </w:t>
      </w:r>
      <w:r w:rsidR="00960CDA" w:rsidRPr="00873B6C">
        <w:t xml:space="preserve">clause 4.3.5.3 of </w:t>
      </w:r>
      <w:r w:rsidR="00972E70" w:rsidRPr="00873B6C">
        <w:t>TS 23.502 [</w:t>
      </w:r>
      <w:r w:rsidRPr="00873B6C">
        <w:t>3]) and then released.</w:t>
      </w:r>
    </w:p>
    <w:p w14:paraId="59B0C869" w14:textId="09AC9621" w:rsidR="00D40151" w:rsidRPr="00873B6C" w:rsidRDefault="00D40151" w:rsidP="00D40151">
      <w:r w:rsidRPr="00873B6C">
        <w:rPr>
          <w:rFonts w:eastAsia="MS Mincho"/>
        </w:rPr>
        <w:t>If a PDU Session of SSC mode 3 has multiple PDU Session Anchors (i.e</w:t>
      </w:r>
      <w:r w:rsidR="000E35F2" w:rsidRPr="00873B6C">
        <w:rPr>
          <w:rFonts w:eastAsia="MS Mincho"/>
        </w:rPr>
        <w:t>.</w:t>
      </w:r>
      <w:r w:rsidRPr="00873B6C">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873B6C" w:rsidRDefault="00FC0C60" w:rsidP="00FC0C60">
      <w:bookmarkStart w:id="1467" w:name="_Toc20149781"/>
      <w:bookmarkStart w:id="1468" w:name="_Toc27846573"/>
      <w:bookmarkStart w:id="1469" w:name="_Toc36187698"/>
      <w:bookmarkStart w:id="1470" w:name="_Toc45183602"/>
      <w:bookmarkStart w:id="1471" w:name="_Toc47342444"/>
      <w:bookmarkStart w:id="1472" w:name="_Toc51769144"/>
      <w:r w:rsidRPr="00873B6C">
        <w:t>SSC mode 3 is optional to be supported in the UE.</w:t>
      </w:r>
    </w:p>
    <w:p w14:paraId="738F4C64" w14:textId="77777777" w:rsidR="00FC0C60" w:rsidRPr="00873B6C" w:rsidRDefault="00FC0C60" w:rsidP="001B7C50">
      <w:pPr>
        <w:pStyle w:val="NO"/>
      </w:pPr>
      <w:r w:rsidRPr="00873B6C">
        <w:t>NOTE:</w:t>
      </w:r>
      <w:r w:rsidRPr="00873B6C">
        <w:tab/>
        <w:t>Features depending on SSC mode 3 will not work with the lack of support for SSC mode 3 in the UE.</w:t>
      </w:r>
    </w:p>
    <w:p w14:paraId="6E055A4E" w14:textId="245A8C5D" w:rsidR="00D40151" w:rsidRPr="00873B6C" w:rsidRDefault="00D40151" w:rsidP="00D40151">
      <w:pPr>
        <w:pStyle w:val="Heading4"/>
      </w:pPr>
      <w:bookmarkStart w:id="1473" w:name="_CR5_6_9_3"/>
      <w:bookmarkStart w:id="1474" w:name="_Toc201157095"/>
      <w:bookmarkEnd w:id="1473"/>
      <w:r w:rsidRPr="00873B6C">
        <w:t>5.</w:t>
      </w:r>
      <w:r w:rsidRPr="00873B6C">
        <w:rPr>
          <w:lang w:eastAsia="zh-CN"/>
        </w:rPr>
        <w:t>6.9.3</w:t>
      </w:r>
      <w:r w:rsidRPr="00873B6C">
        <w:tab/>
        <w:t>SSC mode selection</w:t>
      </w:r>
      <w:bookmarkEnd w:id="1467"/>
      <w:bookmarkEnd w:id="1468"/>
      <w:bookmarkEnd w:id="1469"/>
      <w:bookmarkEnd w:id="1470"/>
      <w:bookmarkEnd w:id="1471"/>
      <w:bookmarkEnd w:id="1472"/>
      <w:bookmarkEnd w:id="1474"/>
    </w:p>
    <w:p w14:paraId="5E664D55" w14:textId="77777777" w:rsidR="00D40151" w:rsidRPr="00873B6C" w:rsidRDefault="00D40151" w:rsidP="00D40151">
      <w:r w:rsidRPr="00873B6C">
        <w:t>SSC mode selection is done by the SMF based on the allowed SSC modes -including the default SSC mode) in the user subscription as well as the PDU Session type and if present, the SSC mode requested by the UE.</w:t>
      </w:r>
    </w:p>
    <w:p w14:paraId="15B19E68" w14:textId="466357AB" w:rsidR="00D40151" w:rsidRPr="00873B6C" w:rsidRDefault="00D40151" w:rsidP="00D40151">
      <w:r w:rsidRPr="00873B6C">
        <w:t xml:space="preserve">The operator may provision </w:t>
      </w:r>
      <w:r w:rsidRPr="00873B6C">
        <w:rPr>
          <w:lang w:eastAsia="zh-CN"/>
        </w:rPr>
        <w:t xml:space="preserve">a </w:t>
      </w:r>
      <w:r w:rsidRPr="00873B6C">
        <w:t xml:space="preserve">SSC mode selection policy (SSCMSP) to the UE as part of the URSP rule </w:t>
      </w:r>
      <w:r w:rsidRPr="00873B6C">
        <w:rPr>
          <w:lang w:eastAsia="zh-CN"/>
        </w:rPr>
        <w:t xml:space="preserve">-see </w:t>
      </w:r>
      <w:r w:rsidR="00960CDA" w:rsidRPr="00873B6C">
        <w:rPr>
          <w:lang w:eastAsia="zh-CN"/>
        </w:rPr>
        <w:t xml:space="preserve">clause 6.6.2 of </w:t>
      </w:r>
      <w:r w:rsidR="00972E70" w:rsidRPr="00873B6C">
        <w:rPr>
          <w:lang w:eastAsia="zh-CN"/>
        </w:rPr>
        <w:t>TS 23.503 [</w:t>
      </w:r>
      <w:r w:rsidRPr="00873B6C">
        <w:rPr>
          <w:lang w:eastAsia="zh-CN"/>
        </w:rPr>
        <w:t>45]). The UE</w:t>
      </w:r>
      <w:r w:rsidRPr="00873B6C">
        <w:t xml:space="preserve"> shall use the SSCMSP to determine the type of session and service continuity mode associated with an application or group of applications for the UE as described in </w:t>
      </w:r>
      <w:r w:rsidR="00960CDA" w:rsidRPr="00873B6C">
        <w:rPr>
          <w:lang w:eastAsia="zh-CN"/>
        </w:rPr>
        <w:t>clause </w:t>
      </w:r>
      <w:r w:rsidR="00960CDA" w:rsidRPr="00873B6C">
        <w:t xml:space="preserve">6.6.2.3 of </w:t>
      </w:r>
      <w:r w:rsidR="00972E70" w:rsidRPr="00873B6C">
        <w:rPr>
          <w:lang w:eastAsia="zh-CN"/>
        </w:rPr>
        <w:t>TS 23.503 [</w:t>
      </w:r>
      <w:r w:rsidRPr="00873B6C">
        <w:rPr>
          <w:lang w:eastAsia="zh-CN"/>
        </w:rPr>
        <w:t>45]</w:t>
      </w:r>
      <w:r w:rsidRPr="00873B6C">
        <w:t xml:space="preserve">. If the UE does not have SSCMSP, the UE can select a SSC mode based on UE Local Configuration as described in </w:t>
      </w:r>
      <w:r w:rsidR="00972E70" w:rsidRPr="00873B6C">
        <w:rPr>
          <w:lang w:eastAsia="zh-CN"/>
        </w:rPr>
        <w:t>TS 23.503 [</w:t>
      </w:r>
      <w:r w:rsidRPr="00873B6C">
        <w:rPr>
          <w:lang w:eastAsia="zh-CN"/>
        </w:rPr>
        <w:t xml:space="preserve">45], </w:t>
      </w:r>
      <w:r w:rsidRPr="00873B6C">
        <w:t>if applicable. If the UE cannot select a SSC mode, the UE requests the PDU Session without providing the SSC mode.</w:t>
      </w:r>
    </w:p>
    <w:p w14:paraId="5A16BE2B" w14:textId="0DA3171D" w:rsidR="00D40151" w:rsidRPr="00873B6C" w:rsidRDefault="00D40151" w:rsidP="00D40151">
      <w:pPr>
        <w:pStyle w:val="NO"/>
      </w:pPr>
      <w:r w:rsidRPr="00873B6C">
        <w:t>NOTE</w:t>
      </w:r>
      <w:r w:rsidR="00FC0C60" w:rsidRPr="00873B6C">
        <w:t> 1</w:t>
      </w:r>
      <w:r w:rsidRPr="00873B6C">
        <w:t>:</w:t>
      </w:r>
      <w:r w:rsidRPr="00873B6C">
        <w:tab/>
        <w:t>The UE can use the SSC Mode Selection component of the URSP rule with match-all traffic descriptor if there is no SSC mode in the UE local configuration.</w:t>
      </w:r>
    </w:p>
    <w:p w14:paraId="358A4EEA" w14:textId="77777777" w:rsidR="00D40151" w:rsidRPr="00873B6C" w:rsidRDefault="00D40151" w:rsidP="00D40151">
      <w:r w:rsidRPr="00873B6C">
        <w:t>The SSC mode selection policy rules provided to the UE can be updated by the operator by updating the URSP rule.</w:t>
      </w:r>
    </w:p>
    <w:p w14:paraId="160231F0" w14:textId="77777777" w:rsidR="00D40151" w:rsidRPr="00873B6C" w:rsidRDefault="00D40151" w:rsidP="00D40151">
      <w:r w:rsidRPr="00873B6C">
        <w:t>The SMF receives from the UDM the list of allowed SSC modes and the default SSC mode per DNN</w:t>
      </w:r>
      <w:r w:rsidRPr="00873B6C">
        <w:rPr>
          <w:lang w:eastAsia="zh-CN"/>
        </w:rPr>
        <w:t xml:space="preserve"> per S-NSSAI</w:t>
      </w:r>
      <w:r w:rsidRPr="00873B6C">
        <w:t xml:space="preserve"> as part of the subscription information.</w:t>
      </w:r>
    </w:p>
    <w:p w14:paraId="6D42903D" w14:textId="77777777" w:rsidR="00D40151" w:rsidRPr="00873B6C" w:rsidRDefault="00D40151" w:rsidP="00D40151">
      <w:r w:rsidRPr="00873B6C">
        <w:rPr>
          <w:lang w:eastAsia="zh-CN"/>
        </w:rPr>
        <w:t>If a UE provides an SSC mode when requesting a new PDU Session, t</w:t>
      </w:r>
      <w:r w:rsidRPr="00873B6C">
        <w:t>he SMF selects the SSC mode by either accepting the requested SSC mode or</w:t>
      </w:r>
      <w:r w:rsidRPr="00873B6C">
        <w:rPr>
          <w:lang w:eastAsia="zh-CN"/>
        </w:rPr>
        <w:t xml:space="preserve"> rejecting the PDU Session Establishment Request message with the cause value and the SSC mode(s) allowed to be used back to UE</w:t>
      </w:r>
      <w:r w:rsidRPr="00873B6C">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873B6C" w:rsidRDefault="00D40151" w:rsidP="00D40151">
      <w:r w:rsidRPr="00873B6C">
        <w:t xml:space="preserve">If a UE does not provide an SSC mode when requesting a new PDU Session, then the SMF selects the default SSC mode </w:t>
      </w:r>
      <w:r w:rsidRPr="00873B6C">
        <w:rPr>
          <w:lang w:eastAsia="zh-CN"/>
        </w:rPr>
        <w:t xml:space="preserve">for the data network </w:t>
      </w:r>
      <w:r w:rsidRPr="00873B6C">
        <w:t>listed in the subscription or applies local configuration to select the SSC mode.</w:t>
      </w:r>
    </w:p>
    <w:p w14:paraId="156AAFA4" w14:textId="77777777" w:rsidR="00D40151" w:rsidRPr="00873B6C" w:rsidRDefault="00D40151" w:rsidP="00D40151">
      <w:r w:rsidRPr="00873B6C">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873B6C" w:rsidRDefault="00D40151" w:rsidP="00D40151">
      <w:r w:rsidRPr="00873B6C">
        <w:t>The UE shall not request and the network shall not assign SSC mode 3 for the PDU Session of Unstructured type or Ethernet type.</w:t>
      </w:r>
    </w:p>
    <w:p w14:paraId="269679BA" w14:textId="6E01A837" w:rsidR="00FC0C60" w:rsidRPr="00873B6C" w:rsidRDefault="00FC0C60" w:rsidP="00FC0C60">
      <w:pPr>
        <w:pStyle w:val="NO"/>
      </w:pPr>
      <w:bookmarkStart w:id="1475" w:name="_Toc20149782"/>
      <w:bookmarkStart w:id="1476" w:name="_Toc27846574"/>
      <w:bookmarkStart w:id="1477" w:name="_Toc36187699"/>
      <w:bookmarkStart w:id="1478" w:name="_Toc45183603"/>
      <w:bookmarkStart w:id="1479" w:name="_Toc47342445"/>
      <w:bookmarkStart w:id="1480" w:name="_Toc51769145"/>
      <w:r w:rsidRPr="00873B6C">
        <w:lastRenderedPageBreak/>
        <w:t>NOTE 2:</w:t>
      </w:r>
      <w:r w:rsidRPr="00873B6C">
        <w:tab/>
        <w:t>To avoid issues for UEs not supporting all SSC modes, the operator can, in the subscription data and local configuration, include at least SSC mode 1 in the allowed SSC modes</w:t>
      </w:r>
      <w:r w:rsidR="00472CD7" w:rsidRPr="00873B6C">
        <w:t xml:space="preserve"> and</w:t>
      </w:r>
      <w:r w:rsidRPr="00873B6C">
        <w:t xml:space="preserve">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873B6C" w:rsidRDefault="00D40151" w:rsidP="00D40151">
      <w:pPr>
        <w:pStyle w:val="Heading3"/>
      </w:pPr>
      <w:bookmarkStart w:id="1481" w:name="_CR5_6_10"/>
      <w:bookmarkStart w:id="1482" w:name="_Toc201157096"/>
      <w:bookmarkEnd w:id="1481"/>
      <w:r w:rsidRPr="00873B6C">
        <w:t>5.6.10</w:t>
      </w:r>
      <w:r w:rsidRPr="00873B6C">
        <w:tab/>
        <w:t>Specific aspects of different PDU Session types</w:t>
      </w:r>
      <w:bookmarkEnd w:id="1475"/>
      <w:bookmarkEnd w:id="1476"/>
      <w:bookmarkEnd w:id="1477"/>
      <w:bookmarkEnd w:id="1478"/>
      <w:bookmarkEnd w:id="1479"/>
      <w:bookmarkEnd w:id="1480"/>
      <w:bookmarkEnd w:id="1482"/>
    </w:p>
    <w:p w14:paraId="1CEFEF1C" w14:textId="77777777" w:rsidR="00D40151" w:rsidRPr="00873B6C" w:rsidRDefault="00D40151" w:rsidP="00D40151">
      <w:pPr>
        <w:pStyle w:val="Heading4"/>
      </w:pPr>
      <w:bookmarkStart w:id="1483" w:name="_CR5_6_10_1"/>
      <w:bookmarkStart w:id="1484" w:name="_Toc20149783"/>
      <w:bookmarkStart w:id="1485" w:name="_Toc27846575"/>
      <w:bookmarkStart w:id="1486" w:name="_Toc36187700"/>
      <w:bookmarkStart w:id="1487" w:name="_Toc45183604"/>
      <w:bookmarkStart w:id="1488" w:name="_Toc47342446"/>
      <w:bookmarkStart w:id="1489" w:name="_Toc51769146"/>
      <w:bookmarkStart w:id="1490" w:name="_Toc201157097"/>
      <w:bookmarkEnd w:id="1483"/>
      <w:r w:rsidRPr="00873B6C">
        <w:t>5.6.10.1</w:t>
      </w:r>
      <w:r w:rsidRPr="00873B6C">
        <w:tab/>
        <w:t>Support of IP PDU Session type</w:t>
      </w:r>
      <w:bookmarkEnd w:id="1484"/>
      <w:bookmarkEnd w:id="1485"/>
      <w:bookmarkEnd w:id="1486"/>
      <w:bookmarkEnd w:id="1487"/>
      <w:bookmarkEnd w:id="1488"/>
      <w:bookmarkEnd w:id="1489"/>
      <w:bookmarkEnd w:id="1490"/>
    </w:p>
    <w:p w14:paraId="3BB4B93F" w14:textId="77777777" w:rsidR="00D40151" w:rsidRPr="00873B6C" w:rsidRDefault="00D40151" w:rsidP="00D40151">
      <w:r w:rsidRPr="00873B6C">
        <w:t>The IP address allocation is defined in clause 5.8.1</w:t>
      </w:r>
    </w:p>
    <w:p w14:paraId="1F3388F2" w14:textId="77777777" w:rsidR="00D40151" w:rsidRPr="00873B6C" w:rsidRDefault="00D40151" w:rsidP="00D40151">
      <w:r w:rsidRPr="00873B6C">
        <w:t>The UE may acquire following configuration information from the SMF, during the lifetime of a PDU Session:</w:t>
      </w:r>
    </w:p>
    <w:p w14:paraId="17196457" w14:textId="77777777" w:rsidR="00D40151" w:rsidRPr="00873B6C" w:rsidRDefault="00D40151" w:rsidP="00D40151">
      <w:pPr>
        <w:pStyle w:val="B1"/>
      </w:pPr>
      <w:r w:rsidRPr="00873B6C">
        <w:t>-</w:t>
      </w:r>
      <w:r w:rsidRPr="00873B6C">
        <w:tab/>
        <w:t>Address(es) of P-CSCF(s);</w:t>
      </w:r>
    </w:p>
    <w:p w14:paraId="442B0877" w14:textId="77777777" w:rsidR="00D40151" w:rsidRPr="00873B6C" w:rsidRDefault="00D40151" w:rsidP="00D40151">
      <w:pPr>
        <w:pStyle w:val="B1"/>
      </w:pPr>
      <w:r w:rsidRPr="00873B6C">
        <w:t>-</w:t>
      </w:r>
      <w:r w:rsidRPr="00873B6C">
        <w:tab/>
        <w:t>Address(es) of DNS server(s).</w:t>
      </w:r>
    </w:p>
    <w:p w14:paraId="41F0932C" w14:textId="4FD311B4" w:rsidR="00D40151" w:rsidRPr="00873B6C" w:rsidRDefault="00D40151" w:rsidP="00D40151">
      <w:pPr>
        <w:pStyle w:val="B1"/>
      </w:pPr>
      <w:r w:rsidRPr="00873B6C">
        <w:t>-</w:t>
      </w:r>
      <w:r w:rsidRPr="00873B6C">
        <w:tab/>
        <w:t>If the UE indicates support of DNS</w:t>
      </w:r>
      <w:r w:rsidR="00591B52" w:rsidRPr="00873B6C">
        <w:t xml:space="preserve"> with security as defined in TS 33.501 [29]</w:t>
      </w:r>
      <w:r w:rsidRPr="00873B6C">
        <w:t xml:space="preserve"> to the network</w:t>
      </w:r>
      <w:r w:rsidR="00591B52" w:rsidRPr="00873B6C">
        <w:t xml:space="preserve"> in PCO</w:t>
      </w:r>
      <w:r w:rsidRPr="00873B6C">
        <w:t xml:space="preserve"> and the network wants to enforce the use of DNS</w:t>
      </w:r>
      <w:r w:rsidR="00591B52" w:rsidRPr="00873B6C">
        <w:t xml:space="preserve"> with security</w:t>
      </w:r>
      <w:r w:rsidRPr="00873B6C">
        <w:t xml:space="preserve">, the configuration information sent by the SMF via PCO may also include the corresponding DNS server security information as specified in </w:t>
      </w:r>
      <w:r w:rsidR="00972E70" w:rsidRPr="00873B6C">
        <w:t>TS 24.501 [</w:t>
      </w:r>
      <w:r w:rsidRPr="00873B6C">
        <w:t xml:space="preserve">47] and </w:t>
      </w:r>
      <w:r w:rsidR="00972E70" w:rsidRPr="00873B6C">
        <w:t>TS 33.501 [</w:t>
      </w:r>
      <w:r w:rsidRPr="00873B6C">
        <w:t>29].</w:t>
      </w:r>
    </w:p>
    <w:p w14:paraId="454AE5F0" w14:textId="77777777" w:rsidR="00D40151" w:rsidRPr="00873B6C" w:rsidRDefault="00D40151" w:rsidP="00D40151">
      <w:pPr>
        <w:pStyle w:val="B1"/>
      </w:pPr>
      <w:r w:rsidRPr="00873B6C">
        <w:t>-</w:t>
      </w:r>
      <w:r w:rsidRPr="00873B6C">
        <w:tab/>
        <w:t>the GPSI of the UE.</w:t>
      </w:r>
    </w:p>
    <w:p w14:paraId="6563F1B1" w14:textId="77777777" w:rsidR="00D40151" w:rsidRPr="00873B6C" w:rsidRDefault="00D40151" w:rsidP="00D40151">
      <w:r w:rsidRPr="00873B6C">
        <w:t>The UE may acquire from the SMF, at PDU Session Establishment, the MTU that the UE shall consider, see clause 5.6.10.4.</w:t>
      </w:r>
    </w:p>
    <w:p w14:paraId="463BF468" w14:textId="77777777" w:rsidR="00D40151" w:rsidRPr="00873B6C" w:rsidRDefault="00D40151" w:rsidP="00D40151">
      <w:r w:rsidRPr="00873B6C">
        <w:t>The UE may provide following information to the SMF during the lifetime of a PDU Session:</w:t>
      </w:r>
    </w:p>
    <w:p w14:paraId="051C2336" w14:textId="50CB5DCE" w:rsidR="00D40151" w:rsidRPr="00873B6C" w:rsidRDefault="00D40151" w:rsidP="00D40151">
      <w:pPr>
        <w:pStyle w:val="B1"/>
      </w:pPr>
      <w:r w:rsidRPr="00873B6C">
        <w:t>-</w:t>
      </w:r>
      <w:r w:rsidRPr="00873B6C">
        <w:tab/>
        <w:t xml:space="preserve">an indication of the support of P-CSCF re-selection based on procedures specified in </w:t>
      </w:r>
      <w:r w:rsidR="00972E70" w:rsidRPr="00873B6C">
        <w:t>TS 24.229 [</w:t>
      </w:r>
      <w:r w:rsidRPr="00873B6C">
        <w:t>62] (clauses B.2.2.1C and L.2.2.1C).</w:t>
      </w:r>
    </w:p>
    <w:p w14:paraId="237F7189" w14:textId="77777777" w:rsidR="00D40151" w:rsidRPr="00873B6C" w:rsidRDefault="00D40151" w:rsidP="00D40151">
      <w:pPr>
        <w:pStyle w:val="B1"/>
      </w:pPr>
      <w:r w:rsidRPr="00873B6C">
        <w:t>-</w:t>
      </w:r>
      <w:r w:rsidRPr="00873B6C">
        <w:tab/>
        <w:t>PS data off status of the UE.</w:t>
      </w:r>
    </w:p>
    <w:p w14:paraId="6B3360F8" w14:textId="13BCAFAD" w:rsidR="00D40151" w:rsidRPr="00873B6C" w:rsidRDefault="00D40151" w:rsidP="00D40151">
      <w:pPr>
        <w:pStyle w:val="NO"/>
      </w:pPr>
      <w:bookmarkStart w:id="1491" w:name="_Toc20149784"/>
      <w:r w:rsidRPr="00873B6C">
        <w:t>NOTE 2:</w:t>
      </w:r>
      <w:r w:rsidRPr="00873B6C">
        <w:tab/>
        <w:t>An operator can deploy NAT functionality in the network; the support of NAT is not specified in this release of the specification</w:t>
      </w:r>
      <w:r w:rsidR="002C4A81" w:rsidRPr="00873B6C">
        <w:t>, though UPF can expose mapping between public and private IP addresses</w:t>
      </w:r>
      <w:r w:rsidRPr="00873B6C">
        <w:t>.</w:t>
      </w:r>
    </w:p>
    <w:p w14:paraId="2D1BFFE2" w14:textId="77777777" w:rsidR="00D40151" w:rsidRPr="00873B6C" w:rsidRDefault="00D40151" w:rsidP="00D40151">
      <w:pPr>
        <w:pStyle w:val="Heading4"/>
      </w:pPr>
      <w:bookmarkStart w:id="1492" w:name="_CR5_6_10_2"/>
      <w:bookmarkStart w:id="1493" w:name="_Toc27846576"/>
      <w:bookmarkStart w:id="1494" w:name="_Toc36187701"/>
      <w:bookmarkStart w:id="1495" w:name="_Toc45183605"/>
      <w:bookmarkStart w:id="1496" w:name="_Toc47342447"/>
      <w:bookmarkStart w:id="1497" w:name="_Toc51769147"/>
      <w:bookmarkStart w:id="1498" w:name="_Toc201157098"/>
      <w:bookmarkEnd w:id="1492"/>
      <w:r w:rsidRPr="00873B6C">
        <w:t>5.6.10.2</w:t>
      </w:r>
      <w:r w:rsidRPr="00873B6C">
        <w:tab/>
        <w:t>Support of Ethernet PDU Session type</w:t>
      </w:r>
      <w:bookmarkEnd w:id="1491"/>
      <w:bookmarkEnd w:id="1493"/>
      <w:bookmarkEnd w:id="1494"/>
      <w:bookmarkEnd w:id="1495"/>
      <w:bookmarkEnd w:id="1496"/>
      <w:bookmarkEnd w:id="1497"/>
      <w:bookmarkEnd w:id="1498"/>
    </w:p>
    <w:p w14:paraId="26344942" w14:textId="77777777" w:rsidR="00D40151" w:rsidRPr="00873B6C" w:rsidRDefault="00D40151" w:rsidP="00D40151">
      <w:r w:rsidRPr="00873B6C">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873B6C" w:rsidRDefault="00D40151" w:rsidP="00D40151">
      <w:r w:rsidRPr="00873B6C">
        <w:t>Depending on operator configuration related with the DNN, different configurations for how Ethernet traffic is handled on N6 may apply, for example:</w:t>
      </w:r>
    </w:p>
    <w:p w14:paraId="61F942E6" w14:textId="04E1FE0A" w:rsidR="00D40151" w:rsidRPr="00873B6C" w:rsidRDefault="00D40151" w:rsidP="00D40151">
      <w:pPr>
        <w:pStyle w:val="B1"/>
      </w:pPr>
      <w:r w:rsidRPr="00873B6C">
        <w:t>-</w:t>
      </w:r>
      <w:r w:rsidRPr="00873B6C">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w:t>
      </w:r>
      <w:r w:rsidR="00472CD7" w:rsidRPr="00873B6C">
        <w:t xml:space="preserve"> and</w:t>
      </w:r>
      <w:r w:rsidRPr="00873B6C">
        <w:t xml:space="preserve"> it does not need to be aware of MAC addresses used by the UE in order to route down-link traffic.</w:t>
      </w:r>
    </w:p>
    <w:p w14:paraId="32885A75" w14:textId="77777777" w:rsidR="00D40151" w:rsidRPr="00873B6C" w:rsidRDefault="00D40151" w:rsidP="00D40151">
      <w:pPr>
        <w:pStyle w:val="B1"/>
      </w:pPr>
      <w:r w:rsidRPr="00873B6C">
        <w:t>-</w:t>
      </w:r>
      <w:r w:rsidRPr="00873B6C">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873B6C" w:rsidRDefault="00D40151" w:rsidP="00D40151">
      <w:pPr>
        <w:pStyle w:val="NO"/>
      </w:pPr>
      <w:r w:rsidRPr="00873B6C">
        <w:t>NOTE 1:</w:t>
      </w:r>
      <w:r w:rsidRPr="00873B6C">
        <w:tab/>
        <w:t>The "MAC addresses used by the UE" correspond to any MAC address used by the UE or any device locally connected to the UE and using the PDU Session to communicate with the DN.</w:t>
      </w:r>
    </w:p>
    <w:p w14:paraId="71257432" w14:textId="3915AC1D" w:rsidR="00D40151" w:rsidRPr="00873B6C" w:rsidRDefault="00D40151" w:rsidP="00D40151">
      <w:r w:rsidRPr="00873B6C">
        <w:t>Based on operator configuration, the SMF may request the UPF acting as the PDU Session Anchor to respond to ARP/IPv6 Neighbour Solicitation requests based on local cache information, i.e. the mapping between the UE MAC address to the UE IP address</w:t>
      </w:r>
      <w:r w:rsidR="00472CD7" w:rsidRPr="00873B6C">
        <w:t xml:space="preserve"> and</w:t>
      </w:r>
      <w:r w:rsidRPr="00873B6C">
        <w:t xml:space="preserve">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873B6C" w:rsidRDefault="00D40151" w:rsidP="00D40151">
      <w:pPr>
        <w:pStyle w:val="NO"/>
      </w:pPr>
      <w:r w:rsidRPr="00873B6C">
        <w:lastRenderedPageBreak/>
        <w:t>NOTE 2:</w:t>
      </w:r>
      <w:r w:rsidRPr="00873B6C">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873B6C" w:rsidRDefault="00D40151" w:rsidP="00D40151">
      <w:pPr>
        <w:pStyle w:val="NO"/>
      </w:pPr>
      <w:r w:rsidRPr="00873B6C">
        <w:t>NOTE 3:</w:t>
      </w:r>
      <w:r w:rsidRPr="00873B6C">
        <w:tab/>
        <w:t>This mechanism is intended to avoid broadcasting or multicasting the ARP/IPv6 ND to every UE.</w:t>
      </w:r>
    </w:p>
    <w:p w14:paraId="78DB5592" w14:textId="77777777" w:rsidR="00D40151" w:rsidRPr="00873B6C" w:rsidRDefault="00D40151" w:rsidP="00D40151">
      <w:r w:rsidRPr="00873B6C">
        <w:t>Ethernet Preamble and Start of Frame delimiter are not sent over 5GS:</w:t>
      </w:r>
    </w:p>
    <w:p w14:paraId="116EBE0C" w14:textId="77777777" w:rsidR="00D40151" w:rsidRPr="00873B6C" w:rsidRDefault="00D40151" w:rsidP="00D40151">
      <w:pPr>
        <w:pStyle w:val="B1"/>
      </w:pPr>
      <w:r w:rsidRPr="00873B6C">
        <w:t>-</w:t>
      </w:r>
      <w:r w:rsidRPr="00873B6C">
        <w:tab/>
        <w:t>For UL traffic the UE strips the preamble and frame check sequence (FCS) from the Ethernet frame.</w:t>
      </w:r>
    </w:p>
    <w:p w14:paraId="607D9D83" w14:textId="77777777" w:rsidR="00D40151" w:rsidRPr="00873B6C" w:rsidRDefault="00D40151" w:rsidP="00D40151">
      <w:pPr>
        <w:pStyle w:val="B1"/>
      </w:pPr>
      <w:r w:rsidRPr="00873B6C">
        <w:t>-</w:t>
      </w:r>
      <w:r w:rsidRPr="00873B6C">
        <w:tab/>
        <w:t>For DL traffic the PDU Session Anchor strips the preamble and frame check sequence (FCS) from the Ethernet frame.</w:t>
      </w:r>
    </w:p>
    <w:p w14:paraId="4E108B8C" w14:textId="77777777" w:rsidR="00D40151" w:rsidRPr="00873B6C" w:rsidRDefault="00D40151" w:rsidP="00D40151">
      <w:r w:rsidRPr="00873B6C">
        <w:t>Neither a MAC nor an IP address is allocated by the 5GC to the UE for a PDU Session.</w:t>
      </w:r>
    </w:p>
    <w:p w14:paraId="6BC65558" w14:textId="23C0AACF" w:rsidR="00D40151" w:rsidRPr="00873B6C" w:rsidRDefault="00D40151" w:rsidP="00D40151">
      <w:r w:rsidRPr="00873B6C">
        <w:t>The PSA shall store the MAC addresses received from the UE</w:t>
      </w:r>
      <w:r w:rsidR="00472CD7" w:rsidRPr="00873B6C">
        <w:t xml:space="preserve"> and</w:t>
      </w:r>
      <w:r w:rsidRPr="00873B6C">
        <w:t xml:space="preserve"> associate those with the appropriate PDU Session.</w:t>
      </w:r>
    </w:p>
    <w:p w14:paraId="32C508DB" w14:textId="1E4B0312" w:rsidR="00D40151" w:rsidRPr="00873B6C" w:rsidRDefault="00D40151" w:rsidP="00D40151">
      <w:r w:rsidRPr="00873B6C">
        <w:t>The SMF may receive a list of allowed VLAN tags from DN-AAA (for a maximum of 16 VLAN tags) or may be locally configured with allowed VLAN tags values. The SMF may also be configured with instructions on VLAN handling (e.g</w:t>
      </w:r>
      <w:r w:rsidR="000E35F2" w:rsidRPr="00873B6C">
        <w:t>.</w:t>
      </w:r>
      <w:r w:rsidRPr="00873B6C">
        <w:t xml:space="preserve"> the VLAN tag to be inserted or removed, S-TAG to be inserted or removed). Taking this into account, the SMF determines the VLAN handling for the PDU Session</w:t>
      </w:r>
      <w:r w:rsidR="00472CD7" w:rsidRPr="00873B6C">
        <w:t xml:space="preserve"> and</w:t>
      </w:r>
      <w:r w:rsidRPr="00873B6C">
        <w:t xml:space="preserve">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873B6C" w:rsidRDefault="00D40151" w:rsidP="00D40151">
      <w:pPr>
        <w:pStyle w:val="B1"/>
      </w:pPr>
      <w:r w:rsidRPr="00873B6C">
        <w:t>-</w:t>
      </w:r>
      <w:r w:rsidRPr="00873B6C">
        <w:tab/>
        <w:t>The UPF may insert (for uplink traffic) and remove (for downlink traffic) a S-TAG on N6 or N19 or internal interface ("5G VN internal") for the traffic from and to the UE.</w:t>
      </w:r>
    </w:p>
    <w:p w14:paraId="0B889A90" w14:textId="77777777" w:rsidR="00D40151" w:rsidRPr="00873B6C" w:rsidRDefault="00D40151" w:rsidP="00D40151">
      <w:pPr>
        <w:pStyle w:val="B1"/>
      </w:pPr>
      <w:r w:rsidRPr="00873B6C">
        <w:t>-</w:t>
      </w:r>
      <w:r w:rsidRPr="00873B6C">
        <w:tab/>
        <w:t>The UPF may insert (for uplink traffic) and remove (for downlink traffic) a VLAN tag on the N6 interface while there is no VLAN in the traffic to and from the UE.</w:t>
      </w:r>
    </w:p>
    <w:p w14:paraId="129E2AF5" w14:textId="77777777" w:rsidR="00D40151" w:rsidRPr="00873B6C" w:rsidRDefault="00D40151" w:rsidP="00D40151">
      <w:pPr>
        <w:pStyle w:val="B1"/>
      </w:pPr>
      <w:r w:rsidRPr="00873B6C">
        <w:t>-</w:t>
      </w:r>
      <w:r w:rsidRPr="00873B6C">
        <w:tab/>
        <w:t>The UPF may discard any UE traffic that does not contain any allowed VLAN tag when the UPF handles the UE uplink or downlink traffic.</w:t>
      </w:r>
    </w:p>
    <w:p w14:paraId="58E2A5A9" w14:textId="69B790E3" w:rsidR="00D40151" w:rsidRPr="00873B6C" w:rsidRDefault="00D40151" w:rsidP="00D40151">
      <w:pPr>
        <w:pStyle w:val="NO"/>
      </w:pPr>
      <w:r w:rsidRPr="00873B6C">
        <w:t>NOTE</w:t>
      </w:r>
      <w:r w:rsidR="00704A9E" w:rsidRPr="00873B6C">
        <w:t> </w:t>
      </w:r>
      <w:r w:rsidRPr="00873B6C">
        <w:t>4:</w:t>
      </w:r>
      <w:r w:rsidRPr="00873B6C">
        <w:tab/>
        <w:t>This can be used for traffic steering to N6-LAN but also for N6-based traffic forwarding related with 5G-VN service described in clause 5.29.4</w:t>
      </w:r>
    </w:p>
    <w:p w14:paraId="09FA2821" w14:textId="340D911C" w:rsidR="00D40151" w:rsidRPr="00873B6C" w:rsidRDefault="00D40151" w:rsidP="00D40151">
      <w:r w:rsidRPr="00873B6C">
        <w:t xml:space="preserve">Apart from specific conditions related to the support of PDU sessions over W-5GAN defined in </w:t>
      </w:r>
      <w:r w:rsidR="00972E70" w:rsidRPr="00873B6C">
        <w:t>TS 23.316 [</w:t>
      </w:r>
      <w:r w:rsidRPr="00873B6C">
        <w:t>84], the UPF shall not remove VLAN tags sent by the UE and the UPF shall not insert VLAN tags for the traffic sent to the UE.</w:t>
      </w:r>
    </w:p>
    <w:p w14:paraId="5CE22465" w14:textId="77777777" w:rsidR="00D40151" w:rsidRPr="00873B6C" w:rsidRDefault="00D40151" w:rsidP="00D40151">
      <w:r w:rsidRPr="00873B6C">
        <w:t>PDU(s) containing a VLAN tag shall be switched only within the same VLAN by a PDU Session Anchor.</w:t>
      </w:r>
    </w:p>
    <w:p w14:paraId="6A9B2F8C" w14:textId="77777777" w:rsidR="00D40151" w:rsidRPr="00873B6C" w:rsidRDefault="00D40151" w:rsidP="00D40151">
      <w:r w:rsidRPr="00873B6C">
        <w:t>The UE may acquire from the SMF, at PDU Session Establishment, the MTU of the Ethernet frames' payload that the UE shall consider, see clause 5.6.10.4.</w:t>
      </w:r>
    </w:p>
    <w:p w14:paraId="5E7C0D89" w14:textId="77777777" w:rsidR="00D40151" w:rsidRPr="00873B6C" w:rsidRDefault="00D40151" w:rsidP="00D40151">
      <w:pPr>
        <w:pStyle w:val="NO"/>
      </w:pPr>
      <w:r w:rsidRPr="00873B6C">
        <w:t>NOTE 5:</w:t>
      </w:r>
      <w:r w:rsidRPr="00873B6C">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873B6C" w:rsidRDefault="00D40151" w:rsidP="00D40151">
      <w:pPr>
        <w:pStyle w:val="NO"/>
      </w:pPr>
      <w:r w:rsidRPr="00873B6C">
        <w:t>NOTE 6:</w:t>
      </w:r>
      <w:r w:rsidRPr="00873B6C">
        <w:tab/>
        <w:t xml:space="preserve">Entities on the LAN connected to the 5GS by the UE may </w:t>
      </w:r>
      <w:r w:rsidRPr="00873B6C">
        <w:rPr>
          <w:rFonts w:eastAsia="SimSun"/>
          <w:lang w:eastAsia="zh-CN"/>
        </w:rPr>
        <w:t xml:space="preserve">have an IP address </w:t>
      </w:r>
      <w:r w:rsidRPr="00873B6C">
        <w:t xml:space="preserve">allocated by the DN but </w:t>
      </w:r>
      <w:r w:rsidRPr="00873B6C">
        <w:rPr>
          <w:rFonts w:eastAsia="SimSun"/>
          <w:lang w:eastAsia="zh-CN"/>
        </w:rPr>
        <w:t>the IP layer is considered as an application layer which is not part of the Ethernet PDU Session.</w:t>
      </w:r>
    </w:p>
    <w:p w14:paraId="65A08233" w14:textId="77777777" w:rsidR="00D40151" w:rsidRPr="00873B6C" w:rsidRDefault="00D40151" w:rsidP="00D40151">
      <w:pPr>
        <w:pStyle w:val="NO"/>
      </w:pPr>
      <w:r w:rsidRPr="00873B6C">
        <w:t>NOTE 7:</w:t>
      </w:r>
      <w:r w:rsidRPr="00873B6C">
        <w:tab/>
        <w:t>In this Release of the specification, only the UE connected to the 5GS is authenticated, not the devices behind such UE.</w:t>
      </w:r>
    </w:p>
    <w:p w14:paraId="59AFD07E" w14:textId="77777777" w:rsidR="00D40151" w:rsidRPr="00873B6C" w:rsidRDefault="00D40151" w:rsidP="00D40151">
      <w:pPr>
        <w:pStyle w:val="NO"/>
      </w:pPr>
      <w:r w:rsidRPr="00873B6C">
        <w:t>NOTE 8:</w:t>
      </w:r>
      <w:r w:rsidRPr="00873B6C">
        <w:tab/>
        <w:t>5GS does not support the scenario where a MAC address or if VLAN applies a (MAC address, VLAN) combination is used on more than one PDU Session for the same DNN and S-NSSAI.</w:t>
      </w:r>
    </w:p>
    <w:p w14:paraId="48DE562D" w14:textId="77777777" w:rsidR="00D40151" w:rsidRPr="00873B6C" w:rsidRDefault="00D40151" w:rsidP="00D40151">
      <w:pPr>
        <w:pStyle w:val="NO"/>
      </w:pPr>
      <w:r w:rsidRPr="00873B6C">
        <w:t>NOTE 9:</w:t>
      </w:r>
      <w:r w:rsidRPr="00873B6C">
        <w:tab/>
        <w:t>This Release of the specification does not guarantee that the Ethernet network remains loop-free. Deployments need to be verified on an individual basis that loops in the Ethernet network are avoided.</w:t>
      </w:r>
    </w:p>
    <w:p w14:paraId="149CE57A" w14:textId="77777777" w:rsidR="00D40151" w:rsidRPr="00873B6C" w:rsidRDefault="00D40151" w:rsidP="00D40151">
      <w:pPr>
        <w:pStyle w:val="NO"/>
      </w:pPr>
      <w:r w:rsidRPr="00873B6C">
        <w:t>NOTE 10:</w:t>
      </w:r>
      <w:r w:rsidRPr="00873B6C">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873B6C" w:rsidRDefault="00D40151" w:rsidP="00D40151">
      <w:r w:rsidRPr="00873B6C">
        <w:t xml:space="preserve">Different Frames exchanged on a PDU Session of Ethernet type may be served with different QoS over the 5GS. Thus, the SMF may provide to the UPF </w:t>
      </w:r>
      <w:r w:rsidRPr="00873B6C">
        <w:rPr>
          <w:rFonts w:eastAsia="SimSun"/>
          <w:lang w:eastAsia="zh-CN"/>
        </w:rPr>
        <w:t>Ethernet Packet Filter Set and forwarding rule(s)</w:t>
      </w:r>
      <w:r w:rsidRPr="00873B6C">
        <w:t xml:space="preserve"> based on the Ethernet frame </w:t>
      </w:r>
      <w:r w:rsidRPr="00873B6C">
        <w:lastRenderedPageBreak/>
        <w:t>structure</w:t>
      </w:r>
      <w:r w:rsidRPr="00873B6C">
        <w:rPr>
          <w:rFonts w:eastAsia="SimSun"/>
          <w:lang w:eastAsia="zh-CN"/>
        </w:rPr>
        <w:t xml:space="preserve"> and UE MAC address(es)</w:t>
      </w:r>
      <w:r w:rsidRPr="00873B6C">
        <w:t xml:space="preserve">. </w:t>
      </w:r>
      <w:r w:rsidRPr="00873B6C">
        <w:rPr>
          <w:rFonts w:eastAsia="SimSun"/>
          <w:lang w:eastAsia="zh-CN"/>
        </w:rPr>
        <w:t xml:space="preserve">The </w:t>
      </w:r>
      <w:r w:rsidRPr="00873B6C">
        <w:t xml:space="preserve">UPF </w:t>
      </w:r>
      <w:r w:rsidRPr="00873B6C">
        <w:rPr>
          <w:rFonts w:eastAsia="SimSun"/>
          <w:lang w:eastAsia="zh-CN"/>
        </w:rPr>
        <w:t>detects and forwards Ethernet frames based on the Ethernet Packet Filter Set and forwarding rule(s) received from the SMF</w:t>
      </w:r>
      <w:r w:rsidRPr="00873B6C">
        <w:t>. This is further defined in clauses 5.7 and 5.8.2.</w:t>
      </w:r>
    </w:p>
    <w:p w14:paraId="6D068A41" w14:textId="77777777" w:rsidR="00D40151" w:rsidRPr="00873B6C" w:rsidRDefault="00D40151" w:rsidP="00D40151">
      <w:r w:rsidRPr="00873B6C">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873B6C" w:rsidRDefault="00D40151" w:rsidP="00D40151">
      <w:r w:rsidRPr="00873B6C">
        <w:t>In this Release of specification, the PDU Session of Ethernet PDU Session type is restricted to SSC mode 1 and SSC mode 2.</w:t>
      </w:r>
    </w:p>
    <w:p w14:paraId="34B81B29" w14:textId="77777777" w:rsidR="00D40151" w:rsidRPr="00873B6C" w:rsidRDefault="00D40151" w:rsidP="00D40151">
      <w:r w:rsidRPr="00873B6C">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3F7BDD5D" w:rsidR="00D40151" w:rsidRPr="00873B6C" w:rsidRDefault="00D40151" w:rsidP="00D40151">
      <w:pPr>
        <w:pStyle w:val="NO"/>
      </w:pPr>
      <w:r w:rsidRPr="00873B6C">
        <w:t>NOTE 11:</w:t>
      </w:r>
      <w:r w:rsidRPr="00873B6C">
        <w:tab/>
        <w:t>This relates to whether AF control on a per MAC address is allowed on the PDU Session as defined in</w:t>
      </w:r>
      <w:r w:rsidR="00960CDA" w:rsidRPr="00873B6C">
        <w:t xml:space="preserve"> clause 6.1.1.2</w:t>
      </w:r>
      <w:r w:rsidRPr="00873B6C">
        <w:t xml:space="preserve"> </w:t>
      </w:r>
      <w:r w:rsidR="00960CDA" w:rsidRPr="00873B6C">
        <w:t xml:space="preserve">of </w:t>
      </w:r>
      <w:r w:rsidR="00972E70" w:rsidRPr="00873B6C">
        <w:t>TS 23.503 [</w:t>
      </w:r>
      <w:r w:rsidRPr="00873B6C">
        <w:t>45].</w:t>
      </w:r>
    </w:p>
    <w:p w14:paraId="38A41271" w14:textId="7541E45F" w:rsidR="00D40151" w:rsidRPr="00873B6C" w:rsidRDefault="00D40151" w:rsidP="00D40151">
      <w:r w:rsidRPr="00873B6C">
        <w:t xml:space="preserve">The PCF may activate or deactivate the reporting of the UE MAC address using the "UE MAC address change" Policy Control Request Trigger as defined in Table 6.1.3.5-1 of </w:t>
      </w:r>
      <w:r w:rsidR="00972E70" w:rsidRPr="00873B6C">
        <w:t>TS 23.503 [</w:t>
      </w:r>
      <w:r w:rsidRPr="00873B6C">
        <w:t>45].</w:t>
      </w:r>
    </w:p>
    <w:p w14:paraId="09645BA9" w14:textId="3CC5D5D7" w:rsidR="00D40151" w:rsidRPr="00873B6C" w:rsidRDefault="00D40151" w:rsidP="00D40151">
      <w:r w:rsidRPr="00873B6C">
        <w:t xml:space="preserve">The SMF may relocate the UPF acting as the PDU Session Anchor for an Ethernet PDU Session as defined in clause 4.3.5.8 of </w:t>
      </w:r>
      <w:r w:rsidR="00972E70" w:rsidRPr="00873B6C">
        <w:t>TS 23.502 [</w:t>
      </w:r>
      <w:r w:rsidRPr="00873B6C">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873B6C" w:rsidRDefault="00D40151" w:rsidP="00D40151">
      <w:pPr>
        <w:pStyle w:val="Heading4"/>
      </w:pPr>
      <w:bookmarkStart w:id="1499" w:name="_CR5_6_10_3"/>
      <w:bookmarkStart w:id="1500" w:name="_Toc20149785"/>
      <w:bookmarkStart w:id="1501" w:name="_Toc27846577"/>
      <w:bookmarkStart w:id="1502" w:name="_Toc36187702"/>
      <w:bookmarkStart w:id="1503" w:name="_Toc45183606"/>
      <w:bookmarkStart w:id="1504" w:name="_Toc47342448"/>
      <w:bookmarkStart w:id="1505" w:name="_Toc51769148"/>
      <w:bookmarkStart w:id="1506" w:name="_Toc201157099"/>
      <w:bookmarkEnd w:id="1499"/>
      <w:r w:rsidRPr="00873B6C">
        <w:t>5.6.10.3</w:t>
      </w:r>
      <w:r w:rsidRPr="00873B6C">
        <w:tab/>
        <w:t>Support of Unstructured PDU Session type</w:t>
      </w:r>
      <w:bookmarkEnd w:id="1500"/>
      <w:bookmarkEnd w:id="1501"/>
      <w:bookmarkEnd w:id="1502"/>
      <w:bookmarkEnd w:id="1503"/>
      <w:bookmarkEnd w:id="1504"/>
      <w:bookmarkEnd w:id="1505"/>
      <w:bookmarkEnd w:id="1506"/>
    </w:p>
    <w:p w14:paraId="79165B18" w14:textId="77777777" w:rsidR="00D40151" w:rsidRPr="00873B6C" w:rsidRDefault="00D40151" w:rsidP="00D40151">
      <w:r w:rsidRPr="00873B6C">
        <w:t>Different Point-to-Point (PtP) tunnelling techniques may be used to deliver Unstructured PDU Session type data to the destination (e.g. application server) in the Data Network via N6.</w:t>
      </w:r>
    </w:p>
    <w:p w14:paraId="69B1A1C6" w14:textId="77777777" w:rsidR="00D40151" w:rsidRPr="00873B6C" w:rsidRDefault="00D40151" w:rsidP="00D40151">
      <w:r w:rsidRPr="00873B6C">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873B6C" w:rsidRDefault="00D40151" w:rsidP="00D40151">
      <w:r w:rsidRPr="00873B6C">
        <w:t>When Point-to-Point tunnelling based on UDP/IPv6 is used, the following considerations apply:</w:t>
      </w:r>
    </w:p>
    <w:p w14:paraId="0DD39603" w14:textId="77777777" w:rsidR="00D40151" w:rsidRPr="00873B6C" w:rsidRDefault="00D40151" w:rsidP="00D40151">
      <w:pPr>
        <w:pStyle w:val="B1"/>
      </w:pPr>
      <w:r w:rsidRPr="00873B6C">
        <w:t>-</w:t>
      </w:r>
      <w:r w:rsidRPr="00873B6C">
        <w:tab/>
        <w:t>IPv6 prefix allocation for PDU Sessions are performed locally by the (H-)SMF without involving the UE.</w:t>
      </w:r>
    </w:p>
    <w:p w14:paraId="092E9C7A" w14:textId="77777777" w:rsidR="00D40151" w:rsidRPr="00873B6C" w:rsidRDefault="00D40151" w:rsidP="00D40151">
      <w:pPr>
        <w:pStyle w:val="B1"/>
      </w:pPr>
      <w:r w:rsidRPr="00873B6C">
        <w:t>-</w:t>
      </w:r>
      <w:r w:rsidRPr="00873B6C">
        <w:tab/>
        <w:t>The UPF(s) acts as a transparent forwarding node for the payload between the UE and the destination in the DN.</w:t>
      </w:r>
    </w:p>
    <w:p w14:paraId="5C35AE50" w14:textId="77777777" w:rsidR="00D40151" w:rsidRPr="00873B6C" w:rsidRDefault="00D40151" w:rsidP="00D40151">
      <w:pPr>
        <w:pStyle w:val="B1"/>
      </w:pPr>
      <w:r w:rsidRPr="00873B6C">
        <w:t>-</w:t>
      </w:r>
      <w:r w:rsidRPr="00873B6C">
        <w:tab/>
        <w:t>For uplink, the UPF forwards the received Unstructured PDU Session type data to the destination in the data network over the N6 PtP tunnel using UDP/IPv6 encapsulation.</w:t>
      </w:r>
    </w:p>
    <w:p w14:paraId="126D2388" w14:textId="77777777" w:rsidR="00D40151" w:rsidRPr="00873B6C" w:rsidRDefault="00D40151" w:rsidP="00D40151">
      <w:pPr>
        <w:pStyle w:val="B1"/>
      </w:pPr>
      <w:r w:rsidRPr="00873B6C">
        <w:t>-</w:t>
      </w:r>
      <w:r w:rsidRPr="00873B6C">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873B6C" w:rsidRDefault="00D40151" w:rsidP="00D40151">
      <w:pPr>
        <w:pStyle w:val="B1"/>
      </w:pPr>
      <w:r w:rsidRPr="00873B6C">
        <w:t>-</w:t>
      </w:r>
      <w:r w:rsidRPr="00873B6C">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873B6C" w:rsidRDefault="00D40151" w:rsidP="00D40151">
      <w:pPr>
        <w:pStyle w:val="B1"/>
      </w:pPr>
      <w:r w:rsidRPr="00873B6C">
        <w:t>-</w:t>
      </w:r>
      <w:r w:rsidRPr="00873B6C">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873B6C" w:rsidRDefault="00D40151" w:rsidP="00D40151">
      <w:r w:rsidRPr="00873B6C">
        <w:lastRenderedPageBreak/>
        <w:t>In this Release of the specification there is support for maximum one 5G QoS Flow per PDU Session of Type Unstructured.</w:t>
      </w:r>
    </w:p>
    <w:p w14:paraId="15ADB999" w14:textId="77777777" w:rsidR="00D40151" w:rsidRPr="00873B6C" w:rsidRDefault="00D40151" w:rsidP="00D40151">
      <w:r w:rsidRPr="00873B6C">
        <w:t>In this Release of specification, the PDU Session of Unstructured PDU Session type is restricted to SSC mode 1 and SSC mode 2.</w:t>
      </w:r>
    </w:p>
    <w:p w14:paraId="44B5E27F" w14:textId="77777777" w:rsidR="00D40151" w:rsidRPr="00873B6C" w:rsidRDefault="00D40151" w:rsidP="00D40151">
      <w:r w:rsidRPr="00873B6C">
        <w:t>The UE may acquire from the SMF, at PDU Session Establishment, the MTU that the UE shall consider, see clause 5.6.10.4.</w:t>
      </w:r>
    </w:p>
    <w:p w14:paraId="10BEF9A8" w14:textId="77777777" w:rsidR="00D40151" w:rsidRPr="00873B6C" w:rsidRDefault="00D40151" w:rsidP="00D40151">
      <w:pPr>
        <w:pStyle w:val="Heading4"/>
      </w:pPr>
      <w:bookmarkStart w:id="1507" w:name="_CR5_6_10_4"/>
      <w:bookmarkStart w:id="1508" w:name="_Toc36187703"/>
      <w:bookmarkStart w:id="1509" w:name="_Toc45183607"/>
      <w:bookmarkStart w:id="1510" w:name="_Toc47342449"/>
      <w:bookmarkStart w:id="1511" w:name="_Toc51769149"/>
      <w:bookmarkStart w:id="1512" w:name="_Toc20149786"/>
      <w:bookmarkStart w:id="1513" w:name="_Toc27846578"/>
      <w:bookmarkStart w:id="1514" w:name="_Toc201157100"/>
      <w:bookmarkEnd w:id="1507"/>
      <w:r w:rsidRPr="00873B6C">
        <w:t>5.6.10.4</w:t>
      </w:r>
      <w:r w:rsidRPr="00873B6C">
        <w:tab/>
        <w:t>Maximum Transfer Unit size considerations</w:t>
      </w:r>
      <w:bookmarkEnd w:id="1508"/>
      <w:bookmarkEnd w:id="1509"/>
      <w:bookmarkEnd w:id="1510"/>
      <w:bookmarkEnd w:id="1511"/>
      <w:bookmarkEnd w:id="1514"/>
    </w:p>
    <w:p w14:paraId="097C5B81" w14:textId="3D02F8F3" w:rsidR="00D40151" w:rsidRPr="00873B6C" w:rsidRDefault="00D40151" w:rsidP="00D40151">
      <w:r w:rsidRPr="00873B6C">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972E70" w:rsidRPr="00873B6C">
        <w:t>TS 24.501 [</w:t>
      </w:r>
      <w:r w:rsidRPr="00873B6C">
        <w:t>47]). The link MTU size for IPv6 is sent to the UE by including it in the IPv6 Router Advertisement message (see RFC 4861 [54]).</w:t>
      </w:r>
    </w:p>
    <w:p w14:paraId="02CF238E" w14:textId="77777777" w:rsidR="00D40151" w:rsidRPr="00873B6C" w:rsidRDefault="00D40151" w:rsidP="00D40151">
      <w:pPr>
        <w:pStyle w:val="NO"/>
      </w:pPr>
      <w:r w:rsidRPr="00873B6C">
        <w:t>NOTE 1:</w:t>
      </w:r>
      <w:r w:rsidRPr="00873B6C">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24975E12" w:rsidR="00D40151" w:rsidRPr="00873B6C" w:rsidRDefault="00D40151" w:rsidP="00D40151">
      <w:r w:rsidRPr="00873B6C">
        <w:t>When using a PDU Session type Unstructured, the maximum uplink packet size</w:t>
      </w:r>
      <w:r w:rsidR="00472CD7" w:rsidRPr="00873B6C">
        <w:t xml:space="preserve"> and</w:t>
      </w:r>
      <w:r w:rsidRPr="00873B6C">
        <w:t xml:space="preserve"> when using Ethernet, the Ethernet frames' payload, that the UE should use may be provided by the network as a part of the session management configuration by encoding it within the PCO (see </w:t>
      </w:r>
      <w:r w:rsidR="00972E70" w:rsidRPr="00873B6C">
        <w:t>TS 24.501 [</w:t>
      </w:r>
      <w:r w:rsidRPr="00873B6C">
        <w:t>47]).</w:t>
      </w:r>
    </w:p>
    <w:p w14:paraId="4267875D" w14:textId="77777777" w:rsidR="00D40151" w:rsidRPr="00873B6C" w:rsidRDefault="00D40151" w:rsidP="00D40151">
      <w:r w:rsidRPr="00873B6C">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873B6C" w:rsidRDefault="00D40151" w:rsidP="00D40151">
      <w:r w:rsidRPr="00873B6C">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873B6C" w:rsidRDefault="00D40151" w:rsidP="00D40151">
      <w:pPr>
        <w:pStyle w:val="NO"/>
      </w:pPr>
      <w:r w:rsidRPr="00873B6C">
        <w:t>NOTE 2:</w:t>
      </w:r>
      <w:r w:rsidRPr="00873B6C">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873B6C" w:rsidRDefault="00D40151" w:rsidP="00D40151">
      <w:pPr>
        <w:pStyle w:val="NO"/>
      </w:pPr>
      <w:r w:rsidRPr="00873B6C">
        <w:t>NOTE 3:</w:t>
      </w:r>
      <w:r w:rsidRPr="00873B6C">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873B6C" w:rsidRDefault="00D40151" w:rsidP="00D40151">
      <w:pPr>
        <w:pStyle w:val="Heading3"/>
        <w:rPr>
          <w:lang w:eastAsia="zh-CN"/>
        </w:rPr>
      </w:pPr>
      <w:bookmarkStart w:id="1515" w:name="_CR5_6_11"/>
      <w:bookmarkStart w:id="1516" w:name="_Toc36187704"/>
      <w:bookmarkStart w:id="1517" w:name="_Toc45183608"/>
      <w:bookmarkStart w:id="1518" w:name="_Toc47342450"/>
      <w:bookmarkStart w:id="1519" w:name="_Toc51769150"/>
      <w:bookmarkStart w:id="1520" w:name="_Toc201157101"/>
      <w:bookmarkEnd w:id="1515"/>
      <w:r w:rsidRPr="00873B6C">
        <w:t>5.6.11</w:t>
      </w:r>
      <w:r w:rsidRPr="00873B6C">
        <w:tab/>
        <w:t>UE presence in Area of Interest reporting usage by SMF</w:t>
      </w:r>
      <w:bookmarkEnd w:id="1512"/>
      <w:bookmarkEnd w:id="1513"/>
      <w:bookmarkEnd w:id="1516"/>
      <w:bookmarkEnd w:id="1517"/>
      <w:bookmarkEnd w:id="1518"/>
      <w:bookmarkEnd w:id="1519"/>
      <w:bookmarkEnd w:id="1520"/>
    </w:p>
    <w:p w14:paraId="557E514A" w14:textId="77777777" w:rsidR="00D40151" w:rsidRPr="00873B6C" w:rsidRDefault="00D40151" w:rsidP="00D40151">
      <w:pPr>
        <w:tabs>
          <w:tab w:val="num" w:pos="1440"/>
        </w:tabs>
        <w:rPr>
          <w:lang w:eastAsia="zh-CN"/>
        </w:rPr>
      </w:pPr>
      <w:r w:rsidRPr="00873B6C">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873B6C" w:rsidRDefault="00D40151" w:rsidP="00D40151">
      <w:pPr>
        <w:tabs>
          <w:tab w:val="num" w:pos="1440"/>
        </w:tabs>
        <w:rPr>
          <w:lang w:eastAsia="zh-CN"/>
        </w:rPr>
      </w:pPr>
      <w:r w:rsidRPr="00873B6C">
        <w:rPr>
          <w:lang w:eastAsia="zh-CN"/>
        </w:rPr>
        <w:t>For 3GPP access, the Area of Interest corresponds:</w:t>
      </w:r>
    </w:p>
    <w:p w14:paraId="52F0C2CF" w14:textId="77777777" w:rsidR="00D40151" w:rsidRPr="00873B6C" w:rsidRDefault="00D40151" w:rsidP="00D40151">
      <w:pPr>
        <w:pStyle w:val="B1"/>
        <w:rPr>
          <w:lang w:eastAsia="zh-CN"/>
        </w:rPr>
      </w:pPr>
      <w:r w:rsidRPr="00873B6C">
        <w:rPr>
          <w:lang w:eastAsia="zh-CN"/>
        </w:rPr>
        <w:t>-</w:t>
      </w:r>
      <w:r w:rsidRPr="00873B6C">
        <w:rPr>
          <w:lang w:eastAsia="zh-CN"/>
        </w:rPr>
        <w:tab/>
        <w:t>either to Presence Information that may correspond to:</w:t>
      </w:r>
    </w:p>
    <w:p w14:paraId="796E51B1" w14:textId="77777777" w:rsidR="00D40151" w:rsidRPr="00873B6C" w:rsidRDefault="00D40151" w:rsidP="00D40151">
      <w:pPr>
        <w:pStyle w:val="B2"/>
        <w:rPr>
          <w:lang w:eastAsia="zh-CN"/>
        </w:rPr>
      </w:pPr>
      <w:r w:rsidRPr="00873B6C">
        <w:rPr>
          <w:lang w:eastAsia="zh-CN"/>
        </w:rPr>
        <w:t>-</w:t>
      </w:r>
      <w:r w:rsidRPr="00873B6C">
        <w:rPr>
          <w:lang w:eastAsia="zh-CN"/>
        </w:rPr>
        <w:tab/>
        <w:t>a list of Tracking Areas; or</w:t>
      </w:r>
    </w:p>
    <w:p w14:paraId="1840F2FB" w14:textId="77777777" w:rsidR="00D40151" w:rsidRPr="00873B6C" w:rsidRDefault="00D40151" w:rsidP="00D40151">
      <w:pPr>
        <w:pStyle w:val="B2"/>
        <w:rPr>
          <w:lang w:eastAsia="zh-CN"/>
        </w:rPr>
      </w:pPr>
      <w:r w:rsidRPr="00873B6C">
        <w:rPr>
          <w:lang w:eastAsia="zh-CN"/>
        </w:rPr>
        <w:t>-</w:t>
      </w:r>
      <w:r w:rsidRPr="00873B6C">
        <w:rPr>
          <w:lang w:eastAsia="zh-CN"/>
        </w:rPr>
        <w:tab/>
        <w:t>a list of Presence Reporting Area ID(s) and optionally the elements comprising TAs and/or NG-RAN nodes and/or cells identifiers corresponding to the PRA ID(s); or</w:t>
      </w:r>
    </w:p>
    <w:p w14:paraId="0EB64E72" w14:textId="1957FB80" w:rsidR="00D40151" w:rsidRPr="00873B6C" w:rsidRDefault="00D40151" w:rsidP="00D40151">
      <w:pPr>
        <w:pStyle w:val="B2"/>
        <w:rPr>
          <w:lang w:eastAsia="zh-CN"/>
        </w:rPr>
      </w:pPr>
      <w:r w:rsidRPr="00873B6C">
        <w:rPr>
          <w:lang w:eastAsia="zh-CN"/>
        </w:rPr>
        <w:t>-</w:t>
      </w:r>
      <w:r w:rsidRPr="00873B6C">
        <w:rPr>
          <w:lang w:eastAsia="zh-CN"/>
        </w:rPr>
        <w:tab/>
        <w:t>a LADN DNN</w:t>
      </w:r>
      <w:r w:rsidR="00424087" w:rsidRPr="00873B6C">
        <w:rPr>
          <w:lang w:eastAsia="zh-CN"/>
        </w:rPr>
        <w:t>; or</w:t>
      </w:r>
    </w:p>
    <w:p w14:paraId="3CE7729F" w14:textId="6F5B1608" w:rsidR="00424087" w:rsidRPr="00873B6C" w:rsidRDefault="00424087" w:rsidP="00424087">
      <w:pPr>
        <w:pStyle w:val="B2"/>
        <w:rPr>
          <w:lang w:eastAsia="zh-CN"/>
        </w:rPr>
      </w:pPr>
      <w:r w:rsidRPr="00873B6C">
        <w:rPr>
          <w:lang w:eastAsia="zh-CN"/>
        </w:rPr>
        <w:t>-</w:t>
      </w:r>
      <w:r w:rsidRPr="00873B6C">
        <w:rPr>
          <w:lang w:eastAsia="zh-CN"/>
        </w:rPr>
        <w:tab/>
        <w:t>a LADN DNN and a S-NSSAI</w:t>
      </w:r>
      <w:r w:rsidR="0029208C" w:rsidRPr="00873B6C">
        <w:rPr>
          <w:lang w:eastAsia="zh-CN"/>
        </w:rPr>
        <w:t>; or</w:t>
      </w:r>
    </w:p>
    <w:p w14:paraId="6288262A" w14:textId="51834B39" w:rsidR="0029208C" w:rsidRPr="00873B6C" w:rsidRDefault="0029208C" w:rsidP="0029208C">
      <w:pPr>
        <w:pStyle w:val="B2"/>
        <w:rPr>
          <w:lang w:eastAsia="zh-CN"/>
        </w:rPr>
      </w:pPr>
      <w:r w:rsidRPr="00873B6C">
        <w:rPr>
          <w:lang w:eastAsia="zh-CN"/>
        </w:rPr>
        <w:t>-</w:t>
      </w:r>
      <w:r w:rsidRPr="00873B6C">
        <w:rPr>
          <w:lang w:eastAsia="zh-CN"/>
        </w:rPr>
        <w:tab/>
        <w:t>a S-NSSAI.</w:t>
      </w:r>
    </w:p>
    <w:p w14:paraId="02EC14EE" w14:textId="77777777" w:rsidR="00D40151" w:rsidRPr="00873B6C" w:rsidRDefault="00D40151" w:rsidP="00D40151">
      <w:pPr>
        <w:tabs>
          <w:tab w:val="num" w:pos="1440"/>
        </w:tabs>
        <w:rPr>
          <w:lang w:eastAsia="zh-CN"/>
        </w:rPr>
      </w:pPr>
      <w:r w:rsidRPr="00873B6C">
        <w:rPr>
          <w:lang w:eastAsia="zh-CN"/>
        </w:rPr>
        <w:lastRenderedPageBreak/>
        <w:t>For Non-3GPP access, the Area of Interest corresponds to:</w:t>
      </w:r>
    </w:p>
    <w:p w14:paraId="35EB93B4" w14:textId="77777777" w:rsidR="00D40151" w:rsidRPr="00873B6C" w:rsidRDefault="00D40151" w:rsidP="00D40151">
      <w:pPr>
        <w:pStyle w:val="B1"/>
        <w:rPr>
          <w:lang w:eastAsia="zh-CN"/>
        </w:rPr>
      </w:pPr>
      <w:r w:rsidRPr="00873B6C">
        <w:rPr>
          <w:lang w:eastAsia="zh-CN"/>
        </w:rPr>
        <w:t>-</w:t>
      </w:r>
      <w:r w:rsidRPr="00873B6C">
        <w:rPr>
          <w:lang w:eastAsia="zh-CN"/>
        </w:rPr>
        <w:tab/>
        <w:t>N3GPP TAI (see clause 5.3.2.3).</w:t>
      </w:r>
    </w:p>
    <w:p w14:paraId="298E1E6F" w14:textId="77777777" w:rsidR="00D40151" w:rsidRPr="00873B6C" w:rsidRDefault="00D40151" w:rsidP="00D40151">
      <w:pPr>
        <w:tabs>
          <w:tab w:val="num" w:pos="1440"/>
        </w:tabs>
        <w:rPr>
          <w:lang w:eastAsia="zh-CN"/>
        </w:rPr>
      </w:pPr>
      <w:r w:rsidRPr="00873B6C">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873B6C" w:rsidRDefault="00D40151" w:rsidP="00D40151">
      <w:pPr>
        <w:tabs>
          <w:tab w:val="num" w:pos="1440"/>
        </w:tabs>
      </w:pPr>
      <w:r w:rsidRPr="00873B6C">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17418C4C" w14:textId="366284D5" w:rsidR="0029208C" w:rsidRPr="00873B6C" w:rsidRDefault="0029208C" w:rsidP="00D40151">
      <w:pPr>
        <w:tabs>
          <w:tab w:val="num" w:pos="1440"/>
        </w:tabs>
        <w:rPr>
          <w:lang w:eastAsia="ko-KR"/>
        </w:rPr>
      </w:pPr>
      <w:r w:rsidRPr="00873B6C">
        <w:rPr>
          <w:lang w:eastAsia="ko-KR"/>
        </w:rPr>
        <w:t>In the case of Partial Network Slice Support and Support for Network Slices with Network Slice Area of Service not matching deployed Tracking Areas as described in clauses 5.15.17 and 5.15.18, the SMF provides the S-NSSAI to the AMF to "UE mobility event notification" for reporting UE presence in slice restriction area. Upon reception of a notification from the AMF, the SMF determines how to deal with the PDU Session as described in clauses 5.15.17 and 5.15.18.</w:t>
      </w:r>
    </w:p>
    <w:p w14:paraId="43E9D70F" w14:textId="66AD0910" w:rsidR="00D40151" w:rsidRPr="00873B6C" w:rsidRDefault="00D40151" w:rsidP="00D40151">
      <w:pPr>
        <w:tabs>
          <w:tab w:val="num" w:pos="1440"/>
        </w:tabs>
        <w:rPr>
          <w:lang w:eastAsia="ko-KR"/>
        </w:rPr>
      </w:pPr>
      <w:r w:rsidRPr="00873B6C">
        <w:rPr>
          <w:lang w:eastAsia="ko-KR"/>
        </w:rPr>
        <w:t>For use cases related to policy control and charging decisions, the PCF may subscribe to event reporting from the SMF or the AMF, for UE presence in a Presence Reporting Area.</w:t>
      </w:r>
    </w:p>
    <w:p w14:paraId="7CEC37F5" w14:textId="77777777" w:rsidR="00D40151" w:rsidRPr="00873B6C" w:rsidRDefault="00D40151" w:rsidP="00D40151">
      <w:pPr>
        <w:tabs>
          <w:tab w:val="num" w:pos="1440"/>
        </w:tabs>
        <w:rPr>
          <w:lang w:eastAsia="ko-KR"/>
        </w:rPr>
      </w:pPr>
      <w:r w:rsidRPr="00873B6C">
        <w:rPr>
          <w:lang w:eastAsia="ko-KR"/>
        </w:rPr>
        <w:t>A Presence Reporting Area can be:</w:t>
      </w:r>
    </w:p>
    <w:p w14:paraId="0D2BA639" w14:textId="77777777" w:rsidR="00D40151" w:rsidRPr="00873B6C" w:rsidRDefault="00D40151" w:rsidP="00D40151">
      <w:pPr>
        <w:pStyle w:val="B1"/>
        <w:rPr>
          <w:lang w:eastAsia="ko-KR"/>
        </w:rPr>
      </w:pPr>
      <w:r w:rsidRPr="00873B6C">
        <w:rPr>
          <w:lang w:eastAsia="ko-KR"/>
        </w:rPr>
        <w:t>-</w:t>
      </w:r>
      <w:r w:rsidRPr="00873B6C">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873B6C" w:rsidRDefault="00D40151" w:rsidP="00D40151">
      <w:pPr>
        <w:pStyle w:val="B1"/>
        <w:rPr>
          <w:lang w:eastAsia="ko-KR"/>
        </w:rPr>
      </w:pPr>
      <w:r w:rsidRPr="00873B6C">
        <w:rPr>
          <w:lang w:eastAsia="ko-KR"/>
        </w:rPr>
        <w:t>-</w:t>
      </w:r>
      <w:r w:rsidRPr="00873B6C">
        <w:rPr>
          <w:lang w:eastAsia="ko-KR"/>
        </w:rPr>
        <w:tab/>
        <w:t>A "Core Network predefined Presence Reporting Area", predefined in the AMF and composed of a short list of TAs and/or NG-RAN nodes and/or cells identifiers in a PLMN.</w:t>
      </w:r>
    </w:p>
    <w:p w14:paraId="02404ADB" w14:textId="77777777" w:rsidR="00D40151" w:rsidRPr="00873B6C" w:rsidRDefault="00D40151" w:rsidP="00D40151">
      <w:pPr>
        <w:tabs>
          <w:tab w:val="num" w:pos="1440"/>
        </w:tabs>
        <w:rPr>
          <w:lang w:eastAsia="ko-KR"/>
        </w:rPr>
      </w:pPr>
      <w:r w:rsidRPr="00873B6C">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41E07C71" w:rsidR="00D40151" w:rsidRPr="00873B6C" w:rsidRDefault="00D40151" w:rsidP="00D40151">
      <w:pPr>
        <w:pStyle w:val="NO"/>
        <w:rPr>
          <w:lang w:eastAsia="ko-KR"/>
        </w:rPr>
      </w:pPr>
      <w:r w:rsidRPr="00873B6C">
        <w:rPr>
          <w:lang w:eastAsia="ko-KR"/>
        </w:rPr>
        <w:t>NOTE 1:</w:t>
      </w:r>
      <w:r w:rsidRPr="00873B6C">
        <w:rPr>
          <w:lang w:eastAsia="ko-KR"/>
        </w:rPr>
        <w:tab/>
        <w:t xml:space="preserve">If the Presence Reporting Area (PRA) and RAN Notification Area (RNA) are partially overlapping, the PCF will not get notified for the change of PRA when UE enters or leaves the PRA but remains in the RNA in CM-CONNECTED with </w:t>
      </w:r>
      <w:r w:rsidR="00511811" w:rsidRPr="00873B6C">
        <w:rPr>
          <w:lang w:eastAsia="ko-KR"/>
        </w:rPr>
        <w:t xml:space="preserve">RRC_INACTIVE </w:t>
      </w:r>
      <w:r w:rsidRPr="00873B6C">
        <w:rPr>
          <w:lang w:eastAsia="ko-KR"/>
        </w:rPr>
        <w:t>state, because AMF is not informed.</w:t>
      </w:r>
    </w:p>
    <w:p w14:paraId="2D99D422" w14:textId="77777777" w:rsidR="00D40151" w:rsidRPr="00873B6C" w:rsidRDefault="00D40151" w:rsidP="00D40151">
      <w:pPr>
        <w:tabs>
          <w:tab w:val="num" w:pos="1440"/>
        </w:tabs>
        <w:rPr>
          <w:lang w:eastAsia="ko-KR"/>
        </w:rPr>
      </w:pPr>
      <w:r w:rsidRPr="00873B6C">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873B6C" w:rsidRDefault="00D40151" w:rsidP="00D40151">
      <w:pPr>
        <w:pStyle w:val="NO"/>
        <w:rPr>
          <w:lang w:eastAsia="ko-KR"/>
        </w:rPr>
      </w:pPr>
      <w:r w:rsidRPr="00873B6C">
        <w:rPr>
          <w:lang w:eastAsia="ko-KR"/>
        </w:rPr>
        <w:t>NOTE 2:</w:t>
      </w:r>
      <w:r w:rsidRPr="00873B6C">
        <w:rPr>
          <w:lang w:eastAsia="ko-KR"/>
        </w:rPr>
        <w:tab/>
        <w:t>Change of UE presence in Presence Reporting Area reporting does not apply to home routed roaming.</w:t>
      </w:r>
    </w:p>
    <w:p w14:paraId="264F01C9" w14:textId="77777777" w:rsidR="00D40151" w:rsidRPr="00873B6C" w:rsidRDefault="00D40151" w:rsidP="00D40151">
      <w:pPr>
        <w:tabs>
          <w:tab w:val="num" w:pos="1440"/>
        </w:tabs>
        <w:rPr>
          <w:lang w:eastAsia="ko-KR"/>
        </w:rPr>
      </w:pPr>
      <w:r w:rsidRPr="00873B6C">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873B6C" w:rsidRDefault="00D40151" w:rsidP="00D40151">
      <w:pPr>
        <w:tabs>
          <w:tab w:val="num" w:pos="1440"/>
        </w:tabs>
        <w:rPr>
          <w:lang w:eastAsia="ko-KR"/>
        </w:rPr>
      </w:pPr>
      <w:r w:rsidRPr="00873B6C">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873B6C" w:rsidRDefault="00D40151" w:rsidP="00D40151">
      <w:pPr>
        <w:pStyle w:val="NO"/>
        <w:rPr>
          <w:lang w:eastAsia="ko-KR"/>
        </w:rPr>
      </w:pPr>
      <w:r w:rsidRPr="00873B6C">
        <w:rPr>
          <w:lang w:eastAsia="ko-KR"/>
        </w:rPr>
        <w:lastRenderedPageBreak/>
        <w:t>NOTE 3:</w:t>
      </w:r>
      <w:r w:rsidRPr="00873B6C">
        <w:rPr>
          <w:lang w:eastAsia="ko-KR"/>
        </w:rPr>
        <w:tab/>
        <w:t>The target AMF cannot set the Presence Reporting Area(s) received from the source serving node to inactive.</w:t>
      </w:r>
    </w:p>
    <w:p w14:paraId="5584440C" w14:textId="77777777" w:rsidR="00D40151" w:rsidRPr="00873B6C" w:rsidRDefault="00D40151" w:rsidP="00D40151">
      <w:pPr>
        <w:tabs>
          <w:tab w:val="num" w:pos="1440"/>
        </w:tabs>
        <w:rPr>
          <w:lang w:eastAsia="zh-CN"/>
        </w:rPr>
      </w:pPr>
      <w:r w:rsidRPr="00873B6C">
        <w:rPr>
          <w:lang w:eastAsia="ko-KR"/>
        </w:rPr>
        <w:t xml:space="preserve">The subscription may be maintained during the life of PDU Session, </w:t>
      </w:r>
      <w:r w:rsidRPr="00873B6C">
        <w:rPr>
          <w:lang w:eastAsia="zh-CN"/>
        </w:rPr>
        <w:t>regardless of the UP activation state of PDU Session (i.e. whether UP connection of the PDU Session is activated or not).</w:t>
      </w:r>
    </w:p>
    <w:p w14:paraId="4E336AAF" w14:textId="5686C16F" w:rsidR="00D40151" w:rsidRPr="00873B6C" w:rsidRDefault="00D40151" w:rsidP="00D40151">
      <w:pPr>
        <w:tabs>
          <w:tab w:val="num" w:pos="1440"/>
        </w:tabs>
        <w:rPr>
          <w:lang w:eastAsia="zh-CN"/>
        </w:rPr>
      </w:pPr>
      <w:r w:rsidRPr="00873B6C">
        <w:rPr>
          <w:lang w:eastAsia="zh-CN"/>
        </w:rPr>
        <w:t>SMF may determine a new area of interest</w:t>
      </w:r>
      <w:r w:rsidR="00472CD7" w:rsidRPr="00873B6C">
        <w:rPr>
          <w:lang w:eastAsia="zh-CN"/>
        </w:rPr>
        <w:t xml:space="preserve"> and</w:t>
      </w:r>
      <w:r w:rsidRPr="00873B6C">
        <w:rPr>
          <w:lang w:eastAsia="zh-CN"/>
        </w:rPr>
        <w:t xml:space="preserve"> send a new subscription to the AMF with the new area of interest.</w:t>
      </w:r>
    </w:p>
    <w:p w14:paraId="25908BC0" w14:textId="77777777" w:rsidR="00D40151" w:rsidRPr="00873B6C" w:rsidRDefault="00D40151" w:rsidP="00D40151">
      <w:pPr>
        <w:rPr>
          <w:lang w:eastAsia="zh-CN"/>
        </w:rPr>
      </w:pPr>
      <w:r w:rsidRPr="00873B6C">
        <w:rPr>
          <w:lang w:eastAsia="zh-CN"/>
        </w:rPr>
        <w:t>SMF un-subscribes to "UE mobility event notification" service when PDU Session is released.</w:t>
      </w:r>
    </w:p>
    <w:p w14:paraId="354E05DD" w14:textId="77777777" w:rsidR="00D40151" w:rsidRPr="00873B6C" w:rsidRDefault="00D40151" w:rsidP="00D40151">
      <w:pPr>
        <w:pStyle w:val="Heading3"/>
      </w:pPr>
      <w:bookmarkStart w:id="1521" w:name="_CR5_6_12"/>
      <w:bookmarkStart w:id="1522" w:name="_Toc20149787"/>
      <w:bookmarkStart w:id="1523" w:name="_Toc27846579"/>
      <w:bookmarkStart w:id="1524" w:name="_Toc36187705"/>
      <w:bookmarkStart w:id="1525" w:name="_Toc45183609"/>
      <w:bookmarkStart w:id="1526" w:name="_Toc47342451"/>
      <w:bookmarkStart w:id="1527" w:name="_Toc51769151"/>
      <w:bookmarkStart w:id="1528" w:name="_Toc201157102"/>
      <w:bookmarkEnd w:id="1521"/>
      <w:r w:rsidRPr="00873B6C">
        <w:t>5.6.12</w:t>
      </w:r>
      <w:r w:rsidRPr="00873B6C">
        <w:tab/>
        <w:t>Use of Network Instance</w:t>
      </w:r>
      <w:bookmarkEnd w:id="1522"/>
      <w:bookmarkEnd w:id="1523"/>
      <w:bookmarkEnd w:id="1524"/>
      <w:bookmarkEnd w:id="1525"/>
      <w:bookmarkEnd w:id="1526"/>
      <w:bookmarkEnd w:id="1527"/>
      <w:bookmarkEnd w:id="1528"/>
    </w:p>
    <w:p w14:paraId="0D43C335" w14:textId="77777777" w:rsidR="00D40151" w:rsidRPr="00873B6C" w:rsidRDefault="00D40151" w:rsidP="00D40151">
      <w:r w:rsidRPr="00873B6C">
        <w:t>The SMF may provide a Network Instance to the UPF in FAR and/or PDR via N4 Session Establishment or N4 Modification procedures.</w:t>
      </w:r>
    </w:p>
    <w:p w14:paraId="7BA48C83" w14:textId="77777777" w:rsidR="00D40151" w:rsidRPr="00873B6C" w:rsidRDefault="00D40151" w:rsidP="00D40151">
      <w:pPr>
        <w:pStyle w:val="NO"/>
      </w:pPr>
      <w:r w:rsidRPr="00873B6C">
        <w:t>NOTE 1:</w:t>
      </w:r>
      <w:r w:rsidRPr="00873B6C">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873B6C" w:rsidRDefault="00D40151" w:rsidP="00D40151">
      <w:pPr>
        <w:pStyle w:val="NO"/>
      </w:pPr>
      <w:r w:rsidRPr="00873B6C">
        <w:t>NOTE 2:</w:t>
      </w:r>
      <w:r w:rsidRPr="00873B6C">
        <w:tab/>
        <w:t>As the SMF can provide over N2 the Network Instance it has selected for the N3 CN Tunnel Info, the 5G AN does not need to provide Network Instance to the 5GC.</w:t>
      </w:r>
    </w:p>
    <w:p w14:paraId="4E74695B" w14:textId="77777777" w:rsidR="00D40151" w:rsidRPr="00873B6C" w:rsidRDefault="00D40151" w:rsidP="00D40151">
      <w:r w:rsidRPr="00873B6C">
        <w:t>The SMF determines the Network Instance based on local configuration.</w:t>
      </w:r>
    </w:p>
    <w:p w14:paraId="62FAAB7D" w14:textId="77777777" w:rsidR="00D40151" w:rsidRPr="00873B6C" w:rsidRDefault="00D40151" w:rsidP="00D40151">
      <w:r w:rsidRPr="00873B6C">
        <w:t>The SMF may determine the Network Instance for N3 and N9 interfaces, taking into account e.g. UE location, registered PLMN ID of UE, S-NSSAI of the PDU Session.</w:t>
      </w:r>
    </w:p>
    <w:p w14:paraId="4591B5AC" w14:textId="77777777" w:rsidR="00D40151" w:rsidRPr="00873B6C" w:rsidRDefault="00D40151" w:rsidP="00D40151">
      <w:r w:rsidRPr="00873B6C">
        <w:t>The SMF may determine the Network Instance for N6 interface taking into account e.g. (DNN, S-NSSAI) of the PDU Session.</w:t>
      </w:r>
    </w:p>
    <w:p w14:paraId="01F36A78" w14:textId="77777777" w:rsidR="00D40151" w:rsidRPr="00873B6C" w:rsidRDefault="00D40151" w:rsidP="00D40151">
      <w:r w:rsidRPr="00873B6C">
        <w:t>The SMF may determine the Network Instance for N19 interface taking into account e.g. the (DNN, S-NSSAI) identifying a 5G VN group.</w:t>
      </w:r>
    </w:p>
    <w:p w14:paraId="72482F0B" w14:textId="77777777" w:rsidR="00D40151" w:rsidRPr="00873B6C" w:rsidRDefault="00D40151" w:rsidP="00D40151">
      <w:pPr>
        <w:pStyle w:val="NO"/>
      </w:pPr>
      <w:r w:rsidRPr="00873B6C">
        <w:t>NOTE 3:</w:t>
      </w:r>
      <w:r w:rsidRPr="00873B6C">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873B6C" w:rsidRDefault="00D40151" w:rsidP="00D40151">
      <w:pPr>
        <w:pStyle w:val="Heading3"/>
        <w:rPr>
          <w:lang w:eastAsia="zh-CN"/>
        </w:rPr>
      </w:pPr>
      <w:bookmarkStart w:id="1529" w:name="_CR5_6_13"/>
      <w:bookmarkStart w:id="1530" w:name="_Toc20149788"/>
      <w:bookmarkStart w:id="1531" w:name="_Toc27846580"/>
      <w:bookmarkStart w:id="1532" w:name="_Toc36187706"/>
      <w:bookmarkStart w:id="1533" w:name="_Toc45183610"/>
      <w:bookmarkStart w:id="1534" w:name="_Toc47342452"/>
      <w:bookmarkStart w:id="1535" w:name="_Toc51769152"/>
      <w:bookmarkStart w:id="1536" w:name="_Toc201157103"/>
      <w:bookmarkEnd w:id="1529"/>
      <w:r w:rsidRPr="00873B6C">
        <w:rPr>
          <w:lang w:eastAsia="ko-KR"/>
        </w:rPr>
        <w:t>5.6.</w:t>
      </w:r>
      <w:r w:rsidRPr="00873B6C">
        <w:rPr>
          <w:lang w:eastAsia="zh-CN"/>
        </w:rPr>
        <w:t>13</w:t>
      </w:r>
      <w:r w:rsidRPr="00873B6C">
        <w:rPr>
          <w:lang w:eastAsia="ko-KR"/>
        </w:rPr>
        <w:tab/>
      </w:r>
      <w:r w:rsidRPr="00873B6C">
        <w:rPr>
          <w:lang w:eastAsia="zh-CN"/>
        </w:rPr>
        <w:t>Always-on PDU session</w:t>
      </w:r>
      <w:bookmarkEnd w:id="1530"/>
      <w:bookmarkEnd w:id="1531"/>
      <w:bookmarkEnd w:id="1532"/>
      <w:bookmarkEnd w:id="1533"/>
      <w:bookmarkEnd w:id="1534"/>
      <w:bookmarkEnd w:id="1535"/>
      <w:bookmarkEnd w:id="1536"/>
    </w:p>
    <w:p w14:paraId="31BE49F7" w14:textId="77777777" w:rsidR="00D40151" w:rsidRPr="00873B6C" w:rsidRDefault="00D40151" w:rsidP="00D40151">
      <w:pPr>
        <w:rPr>
          <w:noProof/>
          <w:lang w:eastAsia="zh-CN"/>
        </w:rPr>
      </w:pPr>
      <w:r w:rsidRPr="00873B6C">
        <w:rPr>
          <w:noProof/>
        </w:rPr>
        <w:t>A</w:t>
      </w:r>
      <w:r w:rsidRPr="00873B6C">
        <w:rPr>
          <w:noProof/>
          <w:lang w:eastAsia="zh-CN"/>
        </w:rPr>
        <w:t>n a</w:t>
      </w:r>
      <w:r w:rsidRPr="00873B6C">
        <w:rPr>
          <w:noProof/>
        </w:rPr>
        <w:t>lways-on PDU Session</w:t>
      </w:r>
      <w:r w:rsidRPr="00873B6C">
        <w:rPr>
          <w:noProof/>
          <w:lang w:eastAsia="zh-CN"/>
        </w:rPr>
        <w:t xml:space="preserve"> is a</w:t>
      </w:r>
      <w:r w:rsidRPr="00873B6C">
        <w:rPr>
          <w:noProof/>
        </w:rPr>
        <w:t xml:space="preserve"> PDU Session for which User Plane resources have to be </w:t>
      </w:r>
      <w:r w:rsidRPr="00873B6C">
        <w:rPr>
          <w:noProof/>
          <w:lang w:eastAsia="zh-CN"/>
        </w:rPr>
        <w:t>activated</w:t>
      </w:r>
      <w:r w:rsidRPr="00873B6C">
        <w:rPr>
          <w:noProof/>
        </w:rPr>
        <w:t xml:space="preserve"> during every transition from CM-IDLE mode to CM-CONNECTED state.</w:t>
      </w:r>
    </w:p>
    <w:p w14:paraId="6C2843C6" w14:textId="48B5FC7E" w:rsidR="00D40151" w:rsidRPr="00873B6C" w:rsidRDefault="00D40151" w:rsidP="00D40151">
      <w:pPr>
        <w:rPr>
          <w:noProof/>
          <w:lang w:eastAsia="zh-CN"/>
        </w:rPr>
      </w:pPr>
      <w:r w:rsidRPr="00873B6C">
        <w:rPr>
          <w:noProof/>
          <w:lang w:eastAsia="zh-CN"/>
        </w:rPr>
        <w:t>B</w:t>
      </w:r>
      <w:r w:rsidRPr="00873B6C">
        <w:rPr>
          <w:noProof/>
        </w:rPr>
        <w:t xml:space="preserve">ased on </w:t>
      </w:r>
      <w:r w:rsidRPr="00873B6C">
        <w:rPr>
          <w:noProof/>
          <w:lang w:eastAsia="zh-CN"/>
        </w:rPr>
        <w:t xml:space="preserve">an </w:t>
      </w:r>
      <w:r w:rsidRPr="00873B6C">
        <w:rPr>
          <w:noProof/>
        </w:rPr>
        <w:t>indication from upper layers</w:t>
      </w:r>
      <w:r w:rsidRPr="00873B6C">
        <w:rPr>
          <w:noProof/>
          <w:lang w:eastAsia="zh-CN"/>
        </w:rPr>
        <w:t>,</w:t>
      </w:r>
      <w:r w:rsidRPr="00873B6C">
        <w:rPr>
          <w:noProof/>
        </w:rPr>
        <w:t xml:space="preserve"> </w:t>
      </w:r>
      <w:r w:rsidRPr="00873B6C">
        <w:rPr>
          <w:noProof/>
          <w:lang w:eastAsia="zh-CN"/>
        </w:rPr>
        <w:t>a</w:t>
      </w:r>
      <w:r w:rsidRPr="00873B6C">
        <w:rPr>
          <w:noProof/>
        </w:rPr>
        <w:t xml:space="preserve"> UE may request</w:t>
      </w:r>
      <w:r w:rsidRPr="00873B6C">
        <w:rPr>
          <w:noProof/>
          <w:lang w:eastAsia="zh-CN"/>
        </w:rPr>
        <w:t xml:space="preserve"> to establish</w:t>
      </w:r>
      <w:r w:rsidRPr="00873B6C">
        <w:rPr>
          <w:noProof/>
        </w:rPr>
        <w:t xml:space="preserve"> a PDU Session as an always-on PDU Session</w:t>
      </w:r>
      <w:r w:rsidRPr="00873B6C">
        <w:rPr>
          <w:noProof/>
          <w:lang w:eastAsia="zh-CN"/>
        </w:rPr>
        <w:t>.</w:t>
      </w:r>
      <w:r w:rsidRPr="00873B6C">
        <w:rPr>
          <w:noProof/>
        </w:rPr>
        <w:t xml:space="preserve"> </w:t>
      </w:r>
      <w:r w:rsidRPr="00873B6C">
        <w:rPr>
          <w:noProof/>
          <w:lang w:eastAsia="zh-CN"/>
        </w:rPr>
        <w:t>T</w:t>
      </w:r>
      <w:r w:rsidRPr="00873B6C">
        <w:rPr>
          <w:noProof/>
        </w:rPr>
        <w:t xml:space="preserve">he </w:t>
      </w:r>
      <w:r w:rsidRPr="00873B6C">
        <w:rPr>
          <w:noProof/>
          <w:lang w:eastAsia="zh-CN"/>
        </w:rPr>
        <w:t>SMF</w:t>
      </w:r>
      <w:r w:rsidRPr="00873B6C">
        <w:rPr>
          <w:noProof/>
        </w:rPr>
        <w:t xml:space="preserve"> decides whether </w:t>
      </w:r>
      <w:r w:rsidRPr="00873B6C">
        <w:rPr>
          <w:noProof/>
          <w:lang w:eastAsia="zh-CN"/>
        </w:rPr>
        <w:t>the</w:t>
      </w:r>
      <w:r w:rsidRPr="00873B6C">
        <w:rPr>
          <w:noProof/>
        </w:rPr>
        <w:t xml:space="preserve"> PDU Session </w:t>
      </w:r>
      <w:r w:rsidRPr="00873B6C">
        <w:rPr>
          <w:noProof/>
          <w:lang w:eastAsia="zh-CN"/>
        </w:rPr>
        <w:t>can be</w:t>
      </w:r>
      <w:r w:rsidRPr="00873B6C">
        <w:rPr>
          <w:noProof/>
        </w:rPr>
        <w:t xml:space="preserve"> established as an always-on PDU Session.</w:t>
      </w:r>
      <w:r w:rsidRPr="00873B6C">
        <w:rPr>
          <w:noProof/>
          <w:lang w:eastAsia="zh-CN"/>
        </w:rPr>
        <w:t xml:space="preserve"> In Home Routed roaming case, based on local policies, the V-SMF shall be involved to determine whether the PDU Session can be established as an always-on PDU Session.</w:t>
      </w:r>
      <w:r w:rsidR="0036079D">
        <w:rPr>
          <w:noProof/>
          <w:lang w:eastAsia="zh-CN"/>
        </w:rPr>
        <w:t xml:space="preserve"> If the S-NSSAI of an always-on PDU session is subject to area restrictions (as defined in clause 5.15.17 and clause 5.15.18), the SMF, upon detecting that the UE enters the NS-AoS of the S-NSSAI, shall reactivate the always-on PDU session by executing the Network Triggered Service Request procedure for the case of UE in CM-CONNECTED mode (steps 3a to 4a only) in clause 4.2.3.3 of TS 23.502 [3].</w:t>
      </w:r>
    </w:p>
    <w:p w14:paraId="5FBCE1DD" w14:textId="77777777" w:rsidR="00D40151" w:rsidRPr="00873B6C" w:rsidRDefault="00D40151" w:rsidP="00D40151">
      <w:pPr>
        <w:rPr>
          <w:noProof/>
          <w:lang w:eastAsia="zh-CN"/>
        </w:rPr>
      </w:pPr>
      <w:r w:rsidRPr="00873B6C">
        <w:rPr>
          <w:noProof/>
          <w:lang w:eastAsia="zh-CN"/>
        </w:rPr>
        <w:t xml:space="preserve">If the UE requests the 5GC to modify a PDU Session, which was established in EPS, to an always-on PDU Session </w:t>
      </w:r>
      <w:r w:rsidRPr="00873B6C">
        <w:t xml:space="preserve">after the first inter-system change from </w:t>
      </w:r>
      <w:r w:rsidRPr="00873B6C">
        <w:rPr>
          <w:lang w:eastAsia="zh-CN"/>
        </w:rPr>
        <w:t>EPS</w:t>
      </w:r>
      <w:r w:rsidRPr="00873B6C">
        <w:t xml:space="preserve"> to </w:t>
      </w:r>
      <w:r w:rsidRPr="00873B6C">
        <w:rPr>
          <w:lang w:eastAsia="zh-CN"/>
        </w:rPr>
        <w:t>5GS,</w:t>
      </w:r>
      <w:r w:rsidRPr="00873B6C">
        <w:rPr>
          <w:noProof/>
          <w:lang w:eastAsia="zh-CN"/>
        </w:rPr>
        <w:t xml:space="preserve"> t</w:t>
      </w:r>
      <w:r w:rsidRPr="00873B6C">
        <w:rPr>
          <w:noProof/>
        </w:rPr>
        <w:t xml:space="preserve">he </w:t>
      </w:r>
      <w:r w:rsidRPr="00873B6C">
        <w:rPr>
          <w:noProof/>
          <w:lang w:eastAsia="zh-CN"/>
        </w:rPr>
        <w:t>SMF</w:t>
      </w:r>
      <w:r w:rsidRPr="00873B6C">
        <w:rPr>
          <w:noProof/>
        </w:rPr>
        <w:t xml:space="preserve"> decides whether </w:t>
      </w:r>
      <w:r w:rsidRPr="00873B6C">
        <w:rPr>
          <w:noProof/>
          <w:lang w:eastAsia="zh-CN"/>
        </w:rPr>
        <w:t>the</w:t>
      </w:r>
      <w:r w:rsidRPr="00873B6C">
        <w:rPr>
          <w:noProof/>
        </w:rPr>
        <w:t xml:space="preserve"> PDU Session </w:t>
      </w:r>
      <w:r w:rsidRPr="00873B6C">
        <w:rPr>
          <w:noProof/>
          <w:lang w:eastAsia="zh-CN"/>
        </w:rPr>
        <w:t>can be</w:t>
      </w:r>
      <w:r w:rsidRPr="00873B6C">
        <w:rPr>
          <w:noProof/>
        </w:rPr>
        <w:t xml:space="preserve"> established as an always-on PDU Session based on the procedure described above</w:t>
      </w:r>
      <w:r w:rsidRPr="00873B6C">
        <w:rPr>
          <w:noProof/>
          <w:lang w:eastAsia="zh-CN"/>
        </w:rPr>
        <w:t>.</w:t>
      </w:r>
    </w:p>
    <w:p w14:paraId="6C31BA84" w14:textId="77777777" w:rsidR="00D40151" w:rsidRPr="00873B6C" w:rsidRDefault="00D40151" w:rsidP="00D40151">
      <w:pPr>
        <w:rPr>
          <w:noProof/>
          <w:lang w:eastAsia="zh-CN"/>
        </w:rPr>
      </w:pPr>
      <w:r w:rsidRPr="00873B6C">
        <w:rPr>
          <w:noProof/>
          <w:lang w:eastAsia="zh-CN"/>
        </w:rPr>
        <w:t xml:space="preserve">The UE shall request activation of User Plane resources for always-on PDU Sessions </w:t>
      </w:r>
      <w:r w:rsidRPr="00873B6C">
        <w:rPr>
          <w:lang w:eastAsia="zh-CN"/>
        </w:rPr>
        <w:t>even if there are no pending uplink data for this PDU Session or when the Service Request is triggered for signalling only or when the Service Request is triggered for paging response only</w:t>
      </w:r>
      <w:r w:rsidRPr="00873B6C">
        <w:rPr>
          <w:noProof/>
          <w:lang w:eastAsia="zh-CN"/>
        </w:rPr>
        <w:t>.</w:t>
      </w:r>
    </w:p>
    <w:p w14:paraId="4ACD54FC" w14:textId="77777777" w:rsidR="00D40151" w:rsidRPr="00873B6C" w:rsidRDefault="00D40151" w:rsidP="00D40151">
      <w:r w:rsidRPr="00873B6C">
        <w:t>If the UE has one or more established PDU Sessions which are not accepted by the network as always-on PDU Sessions and</w:t>
      </w:r>
      <w:r w:rsidRPr="00873B6C">
        <w:rPr>
          <w:lang w:eastAsia="ko-KR"/>
        </w:rPr>
        <w:t xml:space="preserve"> the UE has no uplink user data pending to be sent for those PDU Sessions</w:t>
      </w:r>
      <w:r w:rsidRPr="00873B6C">
        <w:t>, the UE shall not request for activating User Plane resources for those PDU sessions.</w:t>
      </w:r>
    </w:p>
    <w:p w14:paraId="42422B47" w14:textId="77777777" w:rsidR="00D40151" w:rsidRPr="00873B6C" w:rsidRDefault="00D40151" w:rsidP="00D40151">
      <w:pPr>
        <w:pStyle w:val="Heading3"/>
        <w:rPr>
          <w:lang w:eastAsia="zh-CN"/>
        </w:rPr>
      </w:pPr>
      <w:bookmarkStart w:id="1537" w:name="_CR5_6_14"/>
      <w:bookmarkStart w:id="1538" w:name="_Toc20149789"/>
      <w:bookmarkStart w:id="1539" w:name="_Toc27846581"/>
      <w:bookmarkStart w:id="1540" w:name="_Toc36187707"/>
      <w:bookmarkStart w:id="1541" w:name="_Toc45183611"/>
      <w:bookmarkStart w:id="1542" w:name="_Toc47342453"/>
      <w:bookmarkStart w:id="1543" w:name="_Toc51769153"/>
      <w:bookmarkStart w:id="1544" w:name="_Toc201157104"/>
      <w:bookmarkEnd w:id="1537"/>
      <w:r w:rsidRPr="00873B6C">
        <w:rPr>
          <w:lang w:eastAsia="zh-CN"/>
        </w:rPr>
        <w:lastRenderedPageBreak/>
        <w:t>5.6.14</w:t>
      </w:r>
      <w:r w:rsidRPr="00873B6C">
        <w:rPr>
          <w:lang w:eastAsia="zh-CN"/>
        </w:rPr>
        <w:tab/>
        <w:t>Support of Framed Routing</w:t>
      </w:r>
      <w:bookmarkEnd w:id="1538"/>
      <w:bookmarkEnd w:id="1539"/>
      <w:bookmarkEnd w:id="1540"/>
      <w:bookmarkEnd w:id="1541"/>
      <w:bookmarkEnd w:id="1542"/>
      <w:bookmarkEnd w:id="1543"/>
      <w:bookmarkEnd w:id="1544"/>
    </w:p>
    <w:p w14:paraId="7F831390" w14:textId="77777777" w:rsidR="00D40151" w:rsidRPr="00873B6C" w:rsidRDefault="00D40151" w:rsidP="00D40151">
      <w:pPr>
        <w:rPr>
          <w:lang w:eastAsia="zh-CN"/>
        </w:rPr>
      </w:pPr>
      <w:r w:rsidRPr="00873B6C">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873B6C" w:rsidRDefault="00D40151" w:rsidP="00D40151">
      <w:pPr>
        <w:rPr>
          <w:lang w:eastAsia="zh-CN"/>
        </w:rPr>
      </w:pPr>
      <w:r w:rsidRPr="00873B6C">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5C12E034" w:rsidR="00D40151" w:rsidRPr="00873B6C" w:rsidRDefault="00D40151" w:rsidP="00D40151">
      <w:pPr>
        <w:rPr>
          <w:lang w:eastAsia="zh-CN"/>
        </w:rPr>
      </w:pPr>
      <w:r w:rsidRPr="00873B6C">
        <w:rPr>
          <w:lang w:eastAsia="zh-CN"/>
        </w:rPr>
        <w:t>Framed Route information is provided by the SMF to the UPF (acting as PSA) as part of Packet Detection Rule (PDR, see clause </w:t>
      </w:r>
      <w:r w:rsidR="003D4653" w:rsidRPr="00873B6C">
        <w:rPr>
          <w:lang w:eastAsia="zh-CN"/>
        </w:rPr>
        <w:t>5.8.5</w:t>
      </w:r>
      <w:r w:rsidRPr="00873B6C">
        <w:rPr>
          <w:lang w:eastAsia="zh-CN"/>
        </w:rPr>
        <w:t>.3) related with the network side (N6) of the UPF.</w:t>
      </w:r>
    </w:p>
    <w:p w14:paraId="104F589A" w14:textId="54685BAF" w:rsidR="005309E6" w:rsidRPr="00873B6C" w:rsidRDefault="005309E6" w:rsidP="0073598F">
      <w:pPr>
        <w:pStyle w:val="NO"/>
        <w:rPr>
          <w:lang w:eastAsia="zh-CN"/>
        </w:rPr>
      </w:pPr>
      <w:r w:rsidRPr="00873B6C">
        <w:rPr>
          <w:lang w:eastAsia="zh-CN"/>
        </w:rPr>
        <w:t>NOTE:</w:t>
      </w:r>
      <w:r w:rsidRPr="00873B6C">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873B6C" w:rsidRDefault="00D40151" w:rsidP="00D40151">
      <w:pPr>
        <w:rPr>
          <w:lang w:eastAsia="zh-CN"/>
        </w:rPr>
      </w:pPr>
      <w:r w:rsidRPr="00873B6C">
        <w:rPr>
          <w:lang w:eastAsia="zh-CN"/>
        </w:rPr>
        <w:t>The Framed Route information may be provided to the SMF by:</w:t>
      </w:r>
    </w:p>
    <w:p w14:paraId="5C647B32" w14:textId="77777777" w:rsidR="00D40151" w:rsidRPr="00873B6C" w:rsidRDefault="00D40151" w:rsidP="00D40151">
      <w:pPr>
        <w:pStyle w:val="B1"/>
        <w:rPr>
          <w:lang w:eastAsia="zh-CN"/>
        </w:rPr>
      </w:pPr>
      <w:r w:rsidRPr="00873B6C">
        <w:rPr>
          <w:lang w:eastAsia="zh-CN"/>
        </w:rPr>
        <w:t>-</w:t>
      </w:r>
      <w:r w:rsidRPr="00873B6C">
        <w:rPr>
          <w:lang w:eastAsia="zh-CN"/>
        </w:rPr>
        <w:tab/>
        <w:t>the DN-AAA server as part of PDU Session Establishment authentication/authorization by a DN-AAA server (as defined in clause 5.6.6); or by</w:t>
      </w:r>
    </w:p>
    <w:p w14:paraId="15D71F82" w14:textId="5FC85D9C" w:rsidR="00D40151" w:rsidRPr="00873B6C" w:rsidRDefault="00D40151" w:rsidP="00D40151">
      <w:pPr>
        <w:pStyle w:val="B1"/>
        <w:rPr>
          <w:lang w:eastAsia="zh-CN"/>
        </w:rPr>
      </w:pPr>
      <w:r w:rsidRPr="00873B6C">
        <w:rPr>
          <w:lang w:eastAsia="zh-CN"/>
        </w:rPr>
        <w:t>-</w:t>
      </w:r>
      <w:r w:rsidRPr="00873B6C">
        <w:rPr>
          <w:lang w:eastAsia="zh-CN"/>
        </w:rPr>
        <w:tab/>
        <w:t>Session Management Subscription data associated with DNN and S-NSSAI sent by UDM (as defined in</w:t>
      </w:r>
      <w:r w:rsidR="00960CDA" w:rsidRPr="00873B6C">
        <w:rPr>
          <w:lang w:eastAsia="zh-CN"/>
        </w:rPr>
        <w:t xml:space="preserve"> clause 5.2.3.3.1</w:t>
      </w:r>
      <w:r w:rsidRPr="00873B6C">
        <w:rPr>
          <w:lang w:eastAsia="zh-CN"/>
        </w:rPr>
        <w:t xml:space="preserve"> </w:t>
      </w:r>
      <w:r w:rsidR="00960CDA" w:rsidRPr="00873B6C">
        <w:rPr>
          <w:lang w:eastAsia="zh-CN"/>
        </w:rPr>
        <w:t xml:space="preserve">of </w:t>
      </w:r>
      <w:r w:rsidR="00972E70" w:rsidRPr="00873B6C">
        <w:rPr>
          <w:lang w:eastAsia="zh-CN"/>
        </w:rPr>
        <w:t>TS 23.502 [</w:t>
      </w:r>
      <w:r w:rsidRPr="00873B6C">
        <w:rPr>
          <w:lang w:eastAsia="zh-CN"/>
        </w:rPr>
        <w:t>3]).</w:t>
      </w:r>
    </w:p>
    <w:p w14:paraId="78E078BE" w14:textId="77777777" w:rsidR="00D40151" w:rsidRPr="00873B6C" w:rsidRDefault="00D40151" w:rsidP="00D40151">
      <w:pPr>
        <w:pStyle w:val="B1"/>
        <w:rPr>
          <w:lang w:eastAsia="zh-CN"/>
        </w:rPr>
      </w:pPr>
      <w:r w:rsidRPr="00873B6C">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873B6C" w:rsidRDefault="00D40151" w:rsidP="00D40151">
      <w:pPr>
        <w:rPr>
          <w:lang w:eastAsia="zh-CN"/>
        </w:rPr>
      </w:pPr>
      <w:r w:rsidRPr="00873B6C">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6C29A18B" w:rsidR="00D40151" w:rsidRPr="00873B6C" w:rsidRDefault="00D40151" w:rsidP="00D40151">
      <w:pPr>
        <w:rPr>
          <w:lang w:eastAsia="zh-CN"/>
        </w:rPr>
      </w:pPr>
      <w:r w:rsidRPr="00873B6C">
        <w:rPr>
          <w:lang w:eastAsia="zh-CN"/>
        </w:rPr>
        <w:t xml:space="preserve">If PCC applies to the PDU Session, at PDU Session establishment the SMF reports to the PCF the Framed Route information corresponding to the PDU Session (as described in clause 6.1.3.5 of </w:t>
      </w:r>
      <w:r w:rsidR="00972E70" w:rsidRPr="00873B6C">
        <w:rPr>
          <w:lang w:eastAsia="zh-CN"/>
        </w:rPr>
        <w:t>TS 23.503 [</w:t>
      </w:r>
      <w:r w:rsidRPr="00873B6C">
        <w:rPr>
          <w:lang w:eastAsia="zh-CN"/>
        </w:rPr>
        <w:t xml:space="preserve">45]). In this case, in order to support session binding, the PCF may further report to the BSF the Framed Route information corresponding to the PDU Session (as described in clause 6.1.2.2 of </w:t>
      </w:r>
      <w:r w:rsidR="00972E70" w:rsidRPr="00873B6C">
        <w:rPr>
          <w:lang w:eastAsia="zh-CN"/>
        </w:rPr>
        <w:t>TS 23.503 [</w:t>
      </w:r>
      <w:r w:rsidRPr="00873B6C">
        <w:rPr>
          <w:lang w:eastAsia="zh-CN"/>
        </w:rPr>
        <w:t>45]).</w:t>
      </w:r>
    </w:p>
    <w:p w14:paraId="68C5872C" w14:textId="77777777" w:rsidR="00D40151" w:rsidRPr="00873B6C" w:rsidRDefault="00D40151" w:rsidP="00D40151">
      <w:bookmarkStart w:id="1545" w:name="_Toc20149790"/>
      <w:bookmarkStart w:id="1546" w:name="_Toc27846582"/>
      <w:bookmarkStart w:id="1547" w:name="_Toc36187708"/>
      <w:r w:rsidRPr="00873B6C">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873B6C" w:rsidRDefault="009D42BF" w:rsidP="009D42BF">
      <w:pPr>
        <w:pStyle w:val="Heading3"/>
      </w:pPr>
      <w:bookmarkStart w:id="1548" w:name="_CR5_6_15"/>
      <w:bookmarkStart w:id="1549" w:name="_Toc45183612"/>
      <w:bookmarkStart w:id="1550" w:name="_Toc47342454"/>
      <w:bookmarkStart w:id="1551" w:name="_Toc51769154"/>
      <w:bookmarkStart w:id="1552" w:name="_Toc201157105"/>
      <w:bookmarkEnd w:id="1548"/>
      <w:r w:rsidRPr="00873B6C">
        <w:t>5.6.15</w:t>
      </w:r>
      <w:r w:rsidRPr="00873B6C">
        <w:tab/>
        <w:t>Triggers for network analytics</w:t>
      </w:r>
      <w:bookmarkEnd w:id="1552"/>
    </w:p>
    <w:p w14:paraId="543BC4AA" w14:textId="77777777" w:rsidR="009D42BF" w:rsidRPr="00873B6C" w:rsidRDefault="009D42BF" w:rsidP="009D42BF">
      <w:r w:rsidRPr="00873B6C">
        <w:t>Triggers for the SMF to request for or subscribe to the analytics information from the NWDAF are internal logic may include for example:</w:t>
      </w:r>
    </w:p>
    <w:p w14:paraId="2AF0DCFE" w14:textId="77777777" w:rsidR="009D42BF" w:rsidRPr="00873B6C" w:rsidRDefault="009D42BF" w:rsidP="00323277">
      <w:pPr>
        <w:pStyle w:val="B1"/>
      </w:pPr>
      <w:r w:rsidRPr="00873B6C">
        <w:t>-</w:t>
      </w:r>
      <w:r w:rsidRPr="00873B6C">
        <w:tab/>
        <w:t>UE PDU Session related event subscription by other NFs (e.g. AMF, NEF);</w:t>
      </w:r>
    </w:p>
    <w:p w14:paraId="750C04E7" w14:textId="77777777" w:rsidR="009D42BF" w:rsidRPr="00873B6C" w:rsidRDefault="009D42BF" w:rsidP="00323277">
      <w:pPr>
        <w:pStyle w:val="B1"/>
      </w:pPr>
      <w:r w:rsidRPr="00873B6C">
        <w:t>-</w:t>
      </w:r>
      <w:r w:rsidRPr="00873B6C">
        <w:tab/>
        <w:t>UE access and mobility event reports from the AMF;</w:t>
      </w:r>
    </w:p>
    <w:p w14:paraId="4E49202D" w14:textId="77777777" w:rsidR="009D42BF" w:rsidRPr="00873B6C" w:rsidRDefault="009D42BF" w:rsidP="00323277">
      <w:pPr>
        <w:pStyle w:val="B1"/>
      </w:pPr>
      <w:r w:rsidRPr="00873B6C">
        <w:t>-</w:t>
      </w:r>
      <w:r w:rsidRPr="00873B6C">
        <w:tab/>
        <w:t>locally detected events;</w:t>
      </w:r>
    </w:p>
    <w:p w14:paraId="313ED368" w14:textId="77777777" w:rsidR="009D42BF" w:rsidRPr="00873B6C" w:rsidRDefault="009D42BF" w:rsidP="00323277">
      <w:pPr>
        <w:pStyle w:val="B1"/>
      </w:pPr>
      <w:r w:rsidRPr="00873B6C">
        <w:t>-</w:t>
      </w:r>
      <w:r w:rsidRPr="00873B6C">
        <w:tab/>
        <w:t>analytics information received.</w:t>
      </w:r>
    </w:p>
    <w:p w14:paraId="1BA3C42B" w14:textId="77777777" w:rsidR="009D42BF" w:rsidRPr="00873B6C" w:rsidRDefault="009D42BF" w:rsidP="009D42BF">
      <w:r w:rsidRPr="00873B6C">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132701DF" w:rsidR="009D42BF" w:rsidRPr="00873B6C" w:rsidRDefault="009D42BF" w:rsidP="009D42BF">
      <w:r w:rsidRPr="00873B6C">
        <w:t xml:space="preserve">The SMF may, upon detection of certain local events, e.g. number of PDU sessions establishment or released reaches a threshold in a specific area, request for or subscribe to network analytics related to "Abnormal behaviour" as described in </w:t>
      </w:r>
      <w:r w:rsidR="00972E70" w:rsidRPr="00873B6C">
        <w:t>TS 23.288 [</w:t>
      </w:r>
      <w:r w:rsidRPr="00873B6C">
        <w:t>86] to detect whether there are any exceptional UE behaviours in this area.</w:t>
      </w:r>
    </w:p>
    <w:p w14:paraId="68702F4D" w14:textId="60B18E15" w:rsidR="00335A94" w:rsidRPr="00873B6C" w:rsidRDefault="00335A94" w:rsidP="00335A94">
      <w:pPr>
        <w:pStyle w:val="Heading3"/>
      </w:pPr>
      <w:bookmarkStart w:id="1553" w:name="_CR5_6_16"/>
      <w:bookmarkStart w:id="1554" w:name="_Toc201157106"/>
      <w:bookmarkEnd w:id="1553"/>
      <w:r w:rsidRPr="00873B6C">
        <w:lastRenderedPageBreak/>
        <w:t>5.6.16</w:t>
      </w:r>
      <w:r w:rsidRPr="00873B6C">
        <w:tab/>
        <w:t>Support for Service Function Chaining</w:t>
      </w:r>
      <w:bookmarkEnd w:id="1554"/>
    </w:p>
    <w:p w14:paraId="200281D3" w14:textId="2A84BC7A" w:rsidR="00335A94" w:rsidRPr="00873B6C" w:rsidRDefault="00335A94" w:rsidP="00972E70">
      <w:pPr>
        <w:pStyle w:val="Heading4"/>
      </w:pPr>
      <w:bookmarkStart w:id="1555" w:name="_CR5_6_16_1"/>
      <w:bookmarkStart w:id="1556" w:name="_Toc201157107"/>
      <w:bookmarkEnd w:id="1555"/>
      <w:r w:rsidRPr="00873B6C">
        <w:t>5.6.16.1</w:t>
      </w:r>
      <w:r w:rsidRPr="00873B6C">
        <w:tab/>
        <w:t>General</w:t>
      </w:r>
      <w:bookmarkEnd w:id="1556"/>
    </w:p>
    <w:p w14:paraId="05BC5F0E" w14:textId="30B34B85" w:rsidR="00335A94" w:rsidRPr="00873B6C" w:rsidRDefault="000046DD" w:rsidP="00335A94">
      <w:r w:rsidRPr="00873B6C">
        <w:t xml:space="preserve">Service Function Chaining, also called N6-LAN Traffic Steering, refers to the steering of </w:t>
      </w:r>
      <w:r w:rsidR="00335A94" w:rsidRPr="00873B6C">
        <w:t xml:space="preserve">subscriber's traffic flows to appropriate operator or 3rd party </w:t>
      </w:r>
      <w:r w:rsidRPr="00873B6C">
        <w:t>S</w:t>
      </w:r>
      <w:r w:rsidR="00335A94" w:rsidRPr="00873B6C">
        <w:t xml:space="preserve">ervice </w:t>
      </w:r>
      <w:r w:rsidRPr="00873B6C">
        <w:t>F</w:t>
      </w:r>
      <w:r w:rsidR="00335A94" w:rsidRPr="00873B6C">
        <w:t>unctions (e.g. NAT, antimalware, parental control, DDoS protection) in the N6-LAN.</w:t>
      </w:r>
    </w:p>
    <w:p w14:paraId="12F95D23" w14:textId="77777777" w:rsidR="00335A94" w:rsidRPr="00873B6C" w:rsidRDefault="00335A94" w:rsidP="00335A94">
      <w:r w:rsidRPr="00873B6C">
        <w:t>The content of this clause applies to non-roaming and to Home Routed roaming scenario, i.e. to cases where the involved entities (AF, PCF, SMF, UPF) belong to the Home PLMN and the AF has an agreement with the Home PLMN.</w:t>
      </w:r>
    </w:p>
    <w:p w14:paraId="70A74F4F" w14:textId="048077F4" w:rsidR="00335A94" w:rsidRPr="00873B6C" w:rsidRDefault="00335A94" w:rsidP="00335A94">
      <w:r w:rsidRPr="00873B6C">
        <w:t>The PCF controls</w:t>
      </w:r>
      <w:r w:rsidR="000046DD" w:rsidRPr="00873B6C">
        <w:t xml:space="preserve"> Service Function Chaining</w:t>
      </w:r>
      <w:r w:rsidRPr="00873B6C">
        <w:t xml:space="preserve"> by provisioning and modifying traffic steering control information</w:t>
      </w:r>
      <w:r w:rsidR="000046DD" w:rsidRPr="00873B6C">
        <w:t xml:space="preserve"> for N6-LAN Traffic Steering</w:t>
      </w:r>
      <w:r w:rsidRPr="00873B6C">
        <w:t xml:space="preserve"> as described in </w:t>
      </w:r>
      <w:r w:rsidR="00972E70" w:rsidRPr="00873B6C">
        <w:t>TS 23.503 [</w:t>
      </w:r>
      <w:r w:rsidRPr="00873B6C">
        <w:t xml:space="preserve">45], e.g. clause 6.1.3.14. </w:t>
      </w:r>
      <w:r w:rsidR="000046DD" w:rsidRPr="00873B6C">
        <w:t xml:space="preserve">The </w:t>
      </w:r>
      <w:r w:rsidRPr="00873B6C">
        <w:t>traffic steering control information</w:t>
      </w:r>
      <w:r w:rsidR="000046DD" w:rsidRPr="00873B6C">
        <w:t xml:space="preserve"> for N6-LAN Traffic Steering</w:t>
      </w:r>
      <w:r w:rsidRPr="00873B6C">
        <w:t xml:space="preserve"> consists of a traffic description and a reference to a traffic steering policy that is configured in the SMF/UPF.</w:t>
      </w:r>
    </w:p>
    <w:p w14:paraId="33010090" w14:textId="77777777" w:rsidR="000046DD" w:rsidRPr="00873B6C" w:rsidRDefault="000046DD" w:rsidP="00335A94">
      <w:r w:rsidRPr="00873B6C">
        <w:t>The PCF derives the TSP ID(s) (that can be different for uplink and downlink directions) based on operator configuration and sends the TSP ID(s) to the SMF as part of the N6-LAN Traffic Steering Enforcement Control information in the PCC rule as described in clause 6.3.1 of TS 23.503 [45].</w:t>
      </w:r>
    </w:p>
    <w:p w14:paraId="45A5EDB0" w14:textId="77777777" w:rsidR="000046DD" w:rsidRPr="00873B6C" w:rsidRDefault="000046DD" w:rsidP="00335A94">
      <w:r w:rsidRPr="00873B6C">
        <w:t>When the PCC rule is activated or updated with N6-LAN Traffic Steering Enforcement Control information, the SMF sets the Forwarding Policy (uplink and/or downlink) within the FAR(s) based on the authorized TSP ID(s) in the PCC rule and under consideration of the direction. In case that Application Function influence on traffic routing Enforcement Control information and N6-LAN Traffic Steering Enforcement Control information are both provided for the uplink direction, the SMF shall derive N4 rules which instruct the UPF to pass the traffic through the relevant Service Function(s) deployed in the N6-LAN before steering the traffic to the local data network. The SMF provides instructions to UPF for N6-LAN traffic steering as further detailed in clause 5.8.5.6.</w:t>
      </w:r>
    </w:p>
    <w:p w14:paraId="3CC63621" w14:textId="024B2B24" w:rsidR="000046DD" w:rsidRPr="00873B6C" w:rsidRDefault="000046DD" w:rsidP="00335A94">
      <w:r w:rsidRPr="00873B6C">
        <w:t>The UPF applies traffic steering mechanism based on Forwarding Policy, i.e. the UPF performs deployment specific actions as configured for the Forwarding Policy.</w:t>
      </w:r>
    </w:p>
    <w:p w14:paraId="07383955" w14:textId="45B5C740" w:rsidR="00335A94" w:rsidRPr="00873B6C" w:rsidRDefault="00335A94" w:rsidP="00972E70">
      <w:pPr>
        <w:pStyle w:val="NO"/>
      </w:pPr>
      <w:r w:rsidRPr="00873B6C">
        <w:t>NOTE 1:</w:t>
      </w:r>
      <w:r w:rsidRPr="00873B6C">
        <w:tab/>
        <w:t>It is assumed that all UPFs in the operator network serving as PSA for the DNN/S-NSSAI/DNAI subject to</w:t>
      </w:r>
      <w:r w:rsidR="000046DD" w:rsidRPr="00873B6C">
        <w:t xml:space="preserve"> N6-LAN traffic steering</w:t>
      </w:r>
      <w:r w:rsidRPr="00873B6C">
        <w:t xml:space="preserve"> need to be configured with the same traffic steering information for</w:t>
      </w:r>
      <w:r w:rsidR="000046DD" w:rsidRPr="00873B6C">
        <w:t xml:space="preserve"> N6-LAN traffic steering</w:t>
      </w:r>
      <w:r w:rsidRPr="00873B6C">
        <w:t>.</w:t>
      </w:r>
    </w:p>
    <w:p w14:paraId="6D3D90B8" w14:textId="0402D43E" w:rsidR="00335A94" w:rsidRPr="00873B6C" w:rsidRDefault="000046DD" w:rsidP="00335A94">
      <w:r w:rsidRPr="00873B6C">
        <w:t xml:space="preserve">When performing deployment specific actions configured for the Forwarding Policy, </w:t>
      </w:r>
      <w:r w:rsidR="00335A94" w:rsidRPr="00873B6C">
        <w:t>the UPF may support traffic steering related function</w:t>
      </w:r>
      <w:r w:rsidRPr="00873B6C">
        <w:t xml:space="preserve">ality </w:t>
      </w:r>
      <w:r w:rsidR="00335A94" w:rsidRPr="00873B6C">
        <w:t>and user plane encapsulation protocols that are out of 3GPP scope (e.g. as defined by other standards organizations).</w:t>
      </w:r>
    </w:p>
    <w:p w14:paraId="40AEE8B4" w14:textId="7B94F6AF" w:rsidR="00335A94" w:rsidRPr="00873B6C" w:rsidRDefault="00335A94" w:rsidP="00972E70">
      <w:pPr>
        <w:pStyle w:val="NO"/>
      </w:pPr>
      <w:r w:rsidRPr="00873B6C">
        <w:t>NOTE 2:</w:t>
      </w:r>
      <w:r w:rsidRPr="00873B6C">
        <w:tab/>
        <w:t>The existing user plane mechanisms (e.g. VXLAN, NSH, GENEVE, GRE, VLAN, etc.) defined at IETF are reused as applicable by the PSA UPF to support</w:t>
      </w:r>
      <w:r w:rsidR="000046DD" w:rsidRPr="00873B6C">
        <w:t xml:space="preserve"> N6-LAN traffic steering</w:t>
      </w:r>
      <w:r w:rsidRPr="00873B6C">
        <w:t>.</w:t>
      </w:r>
    </w:p>
    <w:p w14:paraId="61763AE4" w14:textId="52C4A975" w:rsidR="00335A94" w:rsidRPr="00873B6C" w:rsidRDefault="00335A94" w:rsidP="00335A94">
      <w:r w:rsidRPr="00873B6C">
        <w:t xml:space="preserve">The mechanism used for forwarding the traffic between the </w:t>
      </w:r>
      <w:r w:rsidR="000046DD" w:rsidRPr="00873B6C">
        <w:t>S</w:t>
      </w:r>
      <w:r w:rsidRPr="00873B6C">
        <w:t xml:space="preserve">ervice </w:t>
      </w:r>
      <w:r w:rsidR="000046DD" w:rsidRPr="00873B6C">
        <w:t>F</w:t>
      </w:r>
      <w:r w:rsidRPr="00873B6C">
        <w:t>unctions within the N6-LAN is out of 3GPP scope.</w:t>
      </w:r>
    </w:p>
    <w:p w14:paraId="0992160B" w14:textId="77777777" w:rsidR="00335A94" w:rsidRPr="00873B6C" w:rsidRDefault="00335A94" w:rsidP="00972E70">
      <w:pPr>
        <w:pStyle w:val="Heading4"/>
      </w:pPr>
      <w:bookmarkStart w:id="1557" w:name="_CR5_6_16_2"/>
      <w:bookmarkStart w:id="1558" w:name="_Toc201157108"/>
      <w:bookmarkEnd w:id="1557"/>
      <w:r w:rsidRPr="00873B6C">
        <w:t>5.6.16.2</w:t>
      </w:r>
      <w:r w:rsidRPr="00873B6C">
        <w:tab/>
        <w:t>Application Function influence on Service Function Chaining</w:t>
      </w:r>
      <w:bookmarkEnd w:id="1558"/>
    </w:p>
    <w:p w14:paraId="5845F116" w14:textId="5EC1A855" w:rsidR="00335A94" w:rsidRPr="00873B6C" w:rsidRDefault="00335A94" w:rsidP="00335A94">
      <w:r w:rsidRPr="00873B6C">
        <w:t xml:space="preserve">An AF may request the steering of user plane traffic to a pre-configured chain of </w:t>
      </w:r>
      <w:r w:rsidR="000046DD" w:rsidRPr="00873B6C">
        <w:t>S</w:t>
      </w:r>
      <w:r w:rsidRPr="00873B6C">
        <w:t xml:space="preserve">ervice </w:t>
      </w:r>
      <w:r w:rsidR="000046DD" w:rsidRPr="00873B6C">
        <w:t>F</w:t>
      </w:r>
      <w:r w:rsidRPr="00873B6C">
        <w:t>unctions on N6-LAN.</w:t>
      </w:r>
    </w:p>
    <w:p w14:paraId="5B216B79" w14:textId="11E3546E" w:rsidR="00335A94" w:rsidRPr="00873B6C" w:rsidRDefault="00335A94" w:rsidP="00335A94">
      <w:r w:rsidRPr="00873B6C">
        <w:t>In the non-roaming scenario, Application Function influence on Service Function Chain</w:t>
      </w:r>
      <w:r w:rsidR="000046DD" w:rsidRPr="00873B6C">
        <w:t>ing</w:t>
      </w:r>
      <w:r w:rsidRPr="00873B6C">
        <w:t xml:space="preserve"> and Application Function influence on traffic routing (as defined in clause 5.6.7) can be applicable to the same traffic simultaneously.</w:t>
      </w:r>
    </w:p>
    <w:p w14:paraId="5C1FD15D" w14:textId="7AEE9AEC" w:rsidR="00335A94" w:rsidRPr="00873B6C" w:rsidRDefault="00335A94" w:rsidP="00335A94">
      <w:r w:rsidRPr="00873B6C">
        <w:t xml:space="preserve">It is assumed that a service level agreement exists between the operator and a third party that includes a list of authorized predefined Service Function Chains (SFCs), each SFC being identified based on </w:t>
      </w:r>
      <w:r w:rsidR="000046DD" w:rsidRPr="00873B6C">
        <w:t xml:space="preserve">a </w:t>
      </w:r>
      <w:r w:rsidRPr="00873B6C">
        <w:t>Service Function Chaining identifier (SFC ID). The AF may request the selected traffic flows to be steered towards a specific SFC, either at PDU Session establishment or any time after PDU Session establishment.</w:t>
      </w:r>
    </w:p>
    <w:p w14:paraId="2EDB6B5A" w14:textId="77777777" w:rsidR="00335A94" w:rsidRPr="00873B6C" w:rsidRDefault="00335A94" w:rsidP="00335A94">
      <w:r w:rsidRPr="00873B6C">
        <w:t>The AF requests may be sent to the PCF via the NEF. When SFC ID is included in the AF request, the parameters listed in Table 5.6.16.2-1 may be included in the AF request.</w:t>
      </w:r>
    </w:p>
    <w:p w14:paraId="71B8AEE4" w14:textId="77777777" w:rsidR="00335A94" w:rsidRPr="00873B6C" w:rsidRDefault="00335A94" w:rsidP="00972E70">
      <w:pPr>
        <w:pStyle w:val="TH"/>
      </w:pPr>
      <w:bookmarkStart w:id="1559" w:name="_CRTable5_6_16_21"/>
      <w:r w:rsidRPr="00873B6C">
        <w:lastRenderedPageBreak/>
        <w:t xml:space="preserve">Table </w:t>
      </w:r>
      <w:bookmarkEnd w:id="1559"/>
      <w:r w:rsidRPr="00873B6C">
        <w:t>5.6.16.2-1: Information element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335A94" w:rsidRPr="00873B6C" w14:paraId="25CA3C92" w14:textId="77777777" w:rsidTr="00972E70">
        <w:trPr>
          <w:cantSplit/>
          <w:jc w:val="center"/>
        </w:trPr>
        <w:tc>
          <w:tcPr>
            <w:tcW w:w="2407" w:type="dxa"/>
          </w:tcPr>
          <w:p w14:paraId="741375F0" w14:textId="7838C576" w:rsidR="00335A94" w:rsidRPr="00873B6C" w:rsidRDefault="00335A94" w:rsidP="00972E70">
            <w:pPr>
              <w:pStyle w:val="TAH"/>
            </w:pPr>
            <w:r w:rsidRPr="00873B6C">
              <w:t>Information Name</w:t>
            </w:r>
          </w:p>
        </w:tc>
        <w:tc>
          <w:tcPr>
            <w:tcW w:w="2691" w:type="dxa"/>
          </w:tcPr>
          <w:p w14:paraId="29A06B81" w14:textId="7AD7D0BF" w:rsidR="00335A94" w:rsidRPr="00873B6C" w:rsidRDefault="00335A94" w:rsidP="00972E70">
            <w:pPr>
              <w:pStyle w:val="TAH"/>
            </w:pPr>
            <w:r w:rsidRPr="00873B6C">
              <w:t>Applicable for PCF or NEF (NOTE 1)</w:t>
            </w:r>
          </w:p>
        </w:tc>
        <w:tc>
          <w:tcPr>
            <w:tcW w:w="2694" w:type="dxa"/>
          </w:tcPr>
          <w:p w14:paraId="0A48FC53" w14:textId="3E967F48" w:rsidR="00335A94" w:rsidRPr="00873B6C" w:rsidRDefault="00335A94" w:rsidP="00972E70">
            <w:pPr>
              <w:pStyle w:val="TAH"/>
            </w:pPr>
            <w:r w:rsidRPr="00873B6C">
              <w:t>Applicable for NEF only</w:t>
            </w:r>
          </w:p>
        </w:tc>
        <w:tc>
          <w:tcPr>
            <w:tcW w:w="1839" w:type="dxa"/>
          </w:tcPr>
          <w:p w14:paraId="2D04A211" w14:textId="41048DA2" w:rsidR="00335A94" w:rsidRPr="00873B6C" w:rsidRDefault="00335A94" w:rsidP="00972E70">
            <w:pPr>
              <w:pStyle w:val="TAH"/>
            </w:pPr>
            <w:r w:rsidRPr="00873B6C">
              <w:t>Category</w:t>
            </w:r>
          </w:p>
        </w:tc>
      </w:tr>
      <w:tr w:rsidR="00335A94" w:rsidRPr="00873B6C" w14:paraId="64F42316" w14:textId="77777777" w:rsidTr="00972E70">
        <w:trPr>
          <w:cantSplit/>
          <w:jc w:val="center"/>
        </w:trPr>
        <w:tc>
          <w:tcPr>
            <w:tcW w:w="2407" w:type="dxa"/>
          </w:tcPr>
          <w:p w14:paraId="5A827113" w14:textId="0FE0BEAB" w:rsidR="00335A94" w:rsidRPr="00873B6C" w:rsidRDefault="00335A94" w:rsidP="00972E70">
            <w:pPr>
              <w:pStyle w:val="TAL"/>
            </w:pPr>
            <w:r w:rsidRPr="00873B6C">
              <w:t>Traffic Description</w:t>
            </w:r>
          </w:p>
        </w:tc>
        <w:tc>
          <w:tcPr>
            <w:tcW w:w="2691" w:type="dxa"/>
          </w:tcPr>
          <w:p w14:paraId="5938BD0B" w14:textId="41FCE09A" w:rsidR="00335A94" w:rsidRPr="00873B6C" w:rsidRDefault="00335A94" w:rsidP="00972E70">
            <w:pPr>
              <w:pStyle w:val="TAL"/>
            </w:pPr>
            <w:r w:rsidRPr="00873B6C">
              <w:t>Defines the target traffic to be influenced, represented by the combination of DNN and optionally S-NSSAI</w:t>
            </w:r>
            <w:r w:rsidR="00472CD7" w:rsidRPr="00873B6C">
              <w:t xml:space="preserve"> and</w:t>
            </w:r>
            <w:r w:rsidRPr="00873B6C">
              <w:t xml:space="preserve"> application identifier or traffic filtering information.</w:t>
            </w:r>
          </w:p>
        </w:tc>
        <w:tc>
          <w:tcPr>
            <w:tcW w:w="2694" w:type="dxa"/>
          </w:tcPr>
          <w:p w14:paraId="70B93259" w14:textId="7F43777A" w:rsidR="00335A94" w:rsidRPr="00873B6C" w:rsidRDefault="00335A94" w:rsidP="00972E70">
            <w:pPr>
              <w:pStyle w:val="TAL"/>
            </w:pPr>
            <w:r w:rsidRPr="00873B6C">
              <w:t>The target traffic can be represented by AF-Service-Identifier, instead of combination of DNN and optionally S-NSSAI.</w:t>
            </w:r>
          </w:p>
        </w:tc>
        <w:tc>
          <w:tcPr>
            <w:tcW w:w="1839" w:type="dxa"/>
          </w:tcPr>
          <w:p w14:paraId="0BCD7AFE" w14:textId="5E20B8B0" w:rsidR="00335A94" w:rsidRPr="00873B6C" w:rsidRDefault="00335A94" w:rsidP="00972E70">
            <w:pPr>
              <w:pStyle w:val="TAL"/>
            </w:pPr>
            <w:r w:rsidRPr="00873B6C">
              <w:t>Mandatory</w:t>
            </w:r>
          </w:p>
        </w:tc>
      </w:tr>
      <w:tr w:rsidR="00335A94" w:rsidRPr="00873B6C" w14:paraId="3B1CC431" w14:textId="77777777" w:rsidTr="00335A94">
        <w:trPr>
          <w:cantSplit/>
          <w:jc w:val="center"/>
        </w:trPr>
        <w:tc>
          <w:tcPr>
            <w:tcW w:w="2407" w:type="dxa"/>
          </w:tcPr>
          <w:p w14:paraId="33CC44C3" w14:textId="633747C1" w:rsidR="00335A94" w:rsidRPr="00873B6C" w:rsidRDefault="00335A94" w:rsidP="00335A94">
            <w:pPr>
              <w:pStyle w:val="TAL"/>
            </w:pPr>
            <w:r w:rsidRPr="00873B6C">
              <w:t>Target UE Identifier(s)</w:t>
            </w:r>
          </w:p>
        </w:tc>
        <w:tc>
          <w:tcPr>
            <w:tcW w:w="2691" w:type="dxa"/>
          </w:tcPr>
          <w:p w14:paraId="3E76CF39" w14:textId="084C025A" w:rsidR="00335A94" w:rsidRPr="00873B6C" w:rsidRDefault="00335A94" w:rsidP="00335A94">
            <w:pPr>
              <w:pStyle w:val="TAL"/>
            </w:pPr>
            <w:r w:rsidRPr="00873B6C">
              <w:t>Indicates the UE(s) that the request is targeting, i.e. an individual UE, a group of UE represented by Internal Group Identifier (NOTE 2), or any UE accessing the combination of DNN and S-NSSAI.</w:t>
            </w:r>
          </w:p>
        </w:tc>
        <w:tc>
          <w:tcPr>
            <w:tcW w:w="2694" w:type="dxa"/>
          </w:tcPr>
          <w:p w14:paraId="6EF88423" w14:textId="5562F860" w:rsidR="00335A94" w:rsidRPr="00873B6C" w:rsidRDefault="00335A94" w:rsidP="00335A94">
            <w:pPr>
              <w:pStyle w:val="TAL"/>
            </w:pPr>
            <w:r w:rsidRPr="00873B6C">
              <w:t>GPSI can be applied to identify the individual UE, or External Group Identifier can be applied to identify a group of UE.</w:t>
            </w:r>
          </w:p>
        </w:tc>
        <w:tc>
          <w:tcPr>
            <w:tcW w:w="1839" w:type="dxa"/>
          </w:tcPr>
          <w:p w14:paraId="4EF22907" w14:textId="604CB63B" w:rsidR="00335A94" w:rsidRPr="00873B6C" w:rsidRDefault="00335A94" w:rsidP="00335A94">
            <w:pPr>
              <w:pStyle w:val="TAL"/>
            </w:pPr>
            <w:r w:rsidRPr="00873B6C">
              <w:t>Mandatory</w:t>
            </w:r>
          </w:p>
        </w:tc>
      </w:tr>
      <w:tr w:rsidR="00335A94" w:rsidRPr="00873B6C" w14:paraId="1ADE44E9" w14:textId="77777777" w:rsidTr="00335A94">
        <w:trPr>
          <w:cantSplit/>
          <w:jc w:val="center"/>
        </w:trPr>
        <w:tc>
          <w:tcPr>
            <w:tcW w:w="2407" w:type="dxa"/>
          </w:tcPr>
          <w:p w14:paraId="0475C544" w14:textId="084106B3" w:rsidR="00335A94" w:rsidRPr="00873B6C" w:rsidRDefault="00335A94" w:rsidP="00335A94">
            <w:pPr>
              <w:pStyle w:val="TAL"/>
            </w:pPr>
            <w:r w:rsidRPr="00873B6C">
              <w:t>Spatial Validity Condition</w:t>
            </w:r>
          </w:p>
        </w:tc>
        <w:tc>
          <w:tcPr>
            <w:tcW w:w="2691" w:type="dxa"/>
          </w:tcPr>
          <w:p w14:paraId="351D7AE0" w14:textId="1EA4F447" w:rsidR="00335A94" w:rsidRPr="00873B6C" w:rsidRDefault="00335A94" w:rsidP="00335A94">
            <w:pPr>
              <w:pStyle w:val="TAL"/>
            </w:pPr>
            <w:r w:rsidRPr="00873B6C">
              <w:t>Indicates that the request applies only to the traffic of UE(s) located in the specified location, represented by areas of validity.</w:t>
            </w:r>
          </w:p>
        </w:tc>
        <w:tc>
          <w:tcPr>
            <w:tcW w:w="2694" w:type="dxa"/>
          </w:tcPr>
          <w:p w14:paraId="46FFAD8E" w14:textId="36293C18" w:rsidR="00335A94" w:rsidRPr="00873B6C" w:rsidRDefault="00335A94" w:rsidP="00335A94">
            <w:pPr>
              <w:pStyle w:val="TAL"/>
            </w:pPr>
            <w:r w:rsidRPr="00873B6C">
              <w:t>The specified location can be represented by geographical area.</w:t>
            </w:r>
          </w:p>
        </w:tc>
        <w:tc>
          <w:tcPr>
            <w:tcW w:w="1839" w:type="dxa"/>
          </w:tcPr>
          <w:p w14:paraId="59B1F3AE" w14:textId="7390288F" w:rsidR="00335A94" w:rsidRPr="00873B6C" w:rsidRDefault="00335A94" w:rsidP="00335A94">
            <w:pPr>
              <w:pStyle w:val="TAL"/>
            </w:pPr>
            <w:r w:rsidRPr="00873B6C">
              <w:t>Optional</w:t>
            </w:r>
          </w:p>
        </w:tc>
      </w:tr>
      <w:tr w:rsidR="00335A94" w:rsidRPr="00873B6C" w14:paraId="2906DDBF" w14:textId="77777777" w:rsidTr="00335A94">
        <w:trPr>
          <w:cantSplit/>
          <w:jc w:val="center"/>
        </w:trPr>
        <w:tc>
          <w:tcPr>
            <w:tcW w:w="2407" w:type="dxa"/>
          </w:tcPr>
          <w:p w14:paraId="0B73DEC8" w14:textId="14DE2AA4" w:rsidR="00335A94" w:rsidRPr="00873B6C" w:rsidRDefault="00335A94" w:rsidP="00335A94">
            <w:pPr>
              <w:pStyle w:val="TAL"/>
            </w:pPr>
            <w:r w:rsidRPr="00873B6C">
              <w:t>AF transaction identifier</w:t>
            </w:r>
          </w:p>
        </w:tc>
        <w:tc>
          <w:tcPr>
            <w:tcW w:w="2691" w:type="dxa"/>
          </w:tcPr>
          <w:p w14:paraId="77366756" w14:textId="4A48DEB1" w:rsidR="00335A94" w:rsidRPr="00873B6C" w:rsidRDefault="00335A94" w:rsidP="00335A94">
            <w:pPr>
              <w:pStyle w:val="TAL"/>
            </w:pPr>
            <w:r w:rsidRPr="00873B6C">
              <w:t>The AF transaction identifier refers to the AF request.</w:t>
            </w:r>
          </w:p>
        </w:tc>
        <w:tc>
          <w:tcPr>
            <w:tcW w:w="2694" w:type="dxa"/>
          </w:tcPr>
          <w:p w14:paraId="7D273AEC" w14:textId="09373DF2" w:rsidR="00335A94" w:rsidRPr="00873B6C" w:rsidRDefault="00335A94" w:rsidP="00335A94">
            <w:pPr>
              <w:pStyle w:val="TAL"/>
            </w:pPr>
            <w:r w:rsidRPr="00873B6C">
              <w:t>N/A</w:t>
            </w:r>
          </w:p>
        </w:tc>
        <w:tc>
          <w:tcPr>
            <w:tcW w:w="1839" w:type="dxa"/>
          </w:tcPr>
          <w:p w14:paraId="650C6EE3" w14:textId="268C4178" w:rsidR="00335A94" w:rsidRPr="00873B6C" w:rsidRDefault="00335A94" w:rsidP="00335A94">
            <w:pPr>
              <w:pStyle w:val="TAL"/>
            </w:pPr>
            <w:r w:rsidRPr="00873B6C">
              <w:t>Mandatory</w:t>
            </w:r>
          </w:p>
        </w:tc>
      </w:tr>
      <w:tr w:rsidR="00335A94" w:rsidRPr="00873B6C" w14:paraId="7616F629" w14:textId="77777777" w:rsidTr="00335A94">
        <w:trPr>
          <w:cantSplit/>
          <w:jc w:val="center"/>
        </w:trPr>
        <w:tc>
          <w:tcPr>
            <w:tcW w:w="2407" w:type="dxa"/>
          </w:tcPr>
          <w:p w14:paraId="6E85CCD9" w14:textId="4D83E945" w:rsidR="00335A94" w:rsidRPr="00873B6C" w:rsidRDefault="00335A94" w:rsidP="00335A94">
            <w:pPr>
              <w:pStyle w:val="TAL"/>
            </w:pPr>
            <w:r w:rsidRPr="00873B6C">
              <w:t>SFC identifier(s)</w:t>
            </w:r>
          </w:p>
        </w:tc>
        <w:tc>
          <w:tcPr>
            <w:tcW w:w="2691" w:type="dxa"/>
          </w:tcPr>
          <w:p w14:paraId="1E108CE2" w14:textId="2EBA3B1C" w:rsidR="00335A94" w:rsidRPr="00873B6C" w:rsidRDefault="00335A94" w:rsidP="00335A94">
            <w:pPr>
              <w:pStyle w:val="TAL"/>
            </w:pPr>
            <w:r w:rsidRPr="00873B6C">
              <w:t>Indicates the pre-defined Service Function Chain in downlink and/or uplink.</w:t>
            </w:r>
          </w:p>
        </w:tc>
        <w:tc>
          <w:tcPr>
            <w:tcW w:w="2694" w:type="dxa"/>
          </w:tcPr>
          <w:p w14:paraId="7BF96AE0" w14:textId="6536E5E3" w:rsidR="00335A94" w:rsidRPr="00873B6C" w:rsidRDefault="00335A94" w:rsidP="00335A94">
            <w:pPr>
              <w:pStyle w:val="TAL"/>
            </w:pPr>
            <w:r w:rsidRPr="00873B6C">
              <w:t>N/A</w:t>
            </w:r>
          </w:p>
        </w:tc>
        <w:tc>
          <w:tcPr>
            <w:tcW w:w="1839" w:type="dxa"/>
          </w:tcPr>
          <w:p w14:paraId="2A861D18" w14:textId="6DB86E9C" w:rsidR="00335A94" w:rsidRPr="00873B6C" w:rsidRDefault="00335A94" w:rsidP="00335A94">
            <w:pPr>
              <w:pStyle w:val="TAL"/>
            </w:pPr>
            <w:r w:rsidRPr="00873B6C">
              <w:t>Mandatory</w:t>
            </w:r>
          </w:p>
        </w:tc>
      </w:tr>
      <w:tr w:rsidR="00335A94" w:rsidRPr="00873B6C" w14:paraId="1AC39A2B" w14:textId="77777777" w:rsidTr="00335A94">
        <w:trPr>
          <w:cantSplit/>
          <w:jc w:val="center"/>
        </w:trPr>
        <w:tc>
          <w:tcPr>
            <w:tcW w:w="2407" w:type="dxa"/>
          </w:tcPr>
          <w:p w14:paraId="366EC4FB" w14:textId="69BF8170" w:rsidR="00335A94" w:rsidRPr="00873B6C" w:rsidRDefault="00335A94" w:rsidP="00335A94">
            <w:pPr>
              <w:pStyle w:val="TAL"/>
            </w:pPr>
            <w:r w:rsidRPr="00873B6C">
              <w:t>Metadata</w:t>
            </w:r>
          </w:p>
        </w:tc>
        <w:tc>
          <w:tcPr>
            <w:tcW w:w="2691" w:type="dxa"/>
          </w:tcPr>
          <w:p w14:paraId="52879C09" w14:textId="26BD6294" w:rsidR="00335A94" w:rsidRPr="00873B6C" w:rsidRDefault="00335A94" w:rsidP="00335A94">
            <w:pPr>
              <w:pStyle w:val="TAL"/>
            </w:pPr>
            <w:r w:rsidRPr="00873B6C">
              <w:t xml:space="preserve">Contains information that is transparently passed to UPF (NOTE 3) and provided by UPF to the </w:t>
            </w:r>
            <w:r w:rsidR="000046DD" w:rsidRPr="00873B6C">
              <w:t>S</w:t>
            </w:r>
            <w:r w:rsidRPr="00873B6C">
              <w:t xml:space="preserve">ervice </w:t>
            </w:r>
            <w:r w:rsidR="000046DD" w:rsidRPr="00873B6C">
              <w:t>F</w:t>
            </w:r>
            <w:r w:rsidRPr="00873B6C">
              <w:t>unctions in N6-LAN.</w:t>
            </w:r>
          </w:p>
        </w:tc>
        <w:tc>
          <w:tcPr>
            <w:tcW w:w="2694" w:type="dxa"/>
          </w:tcPr>
          <w:p w14:paraId="3779F0B8" w14:textId="78D59A06" w:rsidR="00335A94" w:rsidRPr="00873B6C" w:rsidRDefault="00335A94" w:rsidP="00335A94">
            <w:pPr>
              <w:pStyle w:val="TAL"/>
            </w:pPr>
            <w:r w:rsidRPr="00873B6C">
              <w:t>N/A</w:t>
            </w:r>
          </w:p>
        </w:tc>
        <w:tc>
          <w:tcPr>
            <w:tcW w:w="1839" w:type="dxa"/>
          </w:tcPr>
          <w:p w14:paraId="5C148873" w14:textId="16BC5DE9" w:rsidR="00335A94" w:rsidRPr="00873B6C" w:rsidRDefault="00335A94" w:rsidP="00335A94">
            <w:pPr>
              <w:pStyle w:val="TAL"/>
            </w:pPr>
            <w:r w:rsidRPr="00873B6C">
              <w:t>Optional</w:t>
            </w:r>
          </w:p>
        </w:tc>
      </w:tr>
      <w:tr w:rsidR="00335A94" w:rsidRPr="00873B6C" w14:paraId="6C6A1ED9" w14:textId="77777777" w:rsidTr="00C9561D">
        <w:trPr>
          <w:cantSplit/>
          <w:jc w:val="center"/>
        </w:trPr>
        <w:tc>
          <w:tcPr>
            <w:tcW w:w="9631" w:type="dxa"/>
            <w:gridSpan w:val="4"/>
          </w:tcPr>
          <w:p w14:paraId="1FE2D94A" w14:textId="57A13807" w:rsidR="00335A94" w:rsidRPr="00873B6C" w:rsidRDefault="00335A94" w:rsidP="00335A94">
            <w:pPr>
              <w:pStyle w:val="TAN"/>
            </w:pPr>
            <w:r w:rsidRPr="00873B6C">
              <w:t>NOTE 1:</w:t>
            </w:r>
            <w:r w:rsidRPr="00873B6C">
              <w:tab/>
              <w:t>When the AF request targets existing or future PDU Sessions of multiple UE(s) or of any UE and is sent via the NEF, as described in clause 6.3.7.2, the information is stored in the UDR by the NEF and notified to the PCF by the UDR.</w:t>
            </w:r>
          </w:p>
          <w:p w14:paraId="0AAAFC26" w14:textId="0F4F3DD5" w:rsidR="00335A94" w:rsidRPr="00873B6C" w:rsidRDefault="00335A94" w:rsidP="00335A94">
            <w:pPr>
              <w:pStyle w:val="TAN"/>
            </w:pPr>
            <w:r w:rsidRPr="00873B6C">
              <w:t>NOTE 2:</w:t>
            </w:r>
            <w:r w:rsidRPr="00873B6C">
              <w:tab/>
              <w:t>Internal Group ID can only be used by an AF controlled by the operator and only towards PCF.</w:t>
            </w:r>
          </w:p>
          <w:p w14:paraId="4E0D39AA" w14:textId="033B9143" w:rsidR="00335A94" w:rsidRPr="00873B6C" w:rsidRDefault="00335A94" w:rsidP="00972E70">
            <w:pPr>
              <w:pStyle w:val="TAN"/>
            </w:pPr>
            <w:r w:rsidRPr="00873B6C">
              <w:t>NOTE 3:</w:t>
            </w:r>
            <w:r w:rsidRPr="00873B6C">
              <w:tab/>
              <w:t xml:space="preserve">The NEF, PCF and SMF do not need to understand the </w:t>
            </w:r>
            <w:r w:rsidR="000046DD" w:rsidRPr="00873B6C">
              <w:t>M</w:t>
            </w:r>
            <w:r w:rsidRPr="00873B6C">
              <w:t>etadata.</w:t>
            </w:r>
          </w:p>
        </w:tc>
      </w:tr>
    </w:tbl>
    <w:p w14:paraId="16A4953F" w14:textId="508D8748" w:rsidR="00335A94" w:rsidRPr="00873B6C" w:rsidRDefault="00335A94" w:rsidP="00335A94"/>
    <w:p w14:paraId="33F3009C" w14:textId="38BA23C9" w:rsidR="00335A94" w:rsidRPr="00873B6C" w:rsidRDefault="00335A94" w:rsidP="00335A94">
      <w:r w:rsidRPr="00873B6C">
        <w:t>The PCF</w:t>
      </w:r>
      <w:r w:rsidR="000046DD" w:rsidRPr="00873B6C">
        <w:t xml:space="preserve"> checks</w:t>
      </w:r>
      <w:r w:rsidRPr="00873B6C">
        <w:t xml:space="preserve"> whether the SFC ID</w:t>
      </w:r>
      <w:r w:rsidR="000046DD" w:rsidRPr="00873B6C">
        <w:t xml:space="preserve"> received from the AF</w:t>
      </w:r>
      <w:r w:rsidRPr="00873B6C">
        <w:t xml:space="preserve"> corresponds to an authorized</w:t>
      </w:r>
      <w:r w:rsidR="000046DD" w:rsidRPr="00873B6C">
        <w:t xml:space="preserve"> predefined</w:t>
      </w:r>
      <w:r w:rsidRPr="00873B6C">
        <w:t xml:space="preserve"> SFC</w:t>
      </w:r>
      <w:r w:rsidR="000046DD" w:rsidRPr="00873B6C">
        <w:t xml:space="preserve"> according to the service level agreement with this AF</w:t>
      </w:r>
      <w:r w:rsidRPr="00873B6C">
        <w:t>. Based on the SFC ID received from the AF, the PCF derives the TSP ID</w:t>
      </w:r>
      <w:r w:rsidR="000046DD" w:rsidRPr="00873B6C">
        <w:t>(</w:t>
      </w:r>
      <w:r w:rsidRPr="00873B6C">
        <w:t>s</w:t>
      </w:r>
      <w:r w:rsidR="000046DD" w:rsidRPr="00873B6C">
        <w:t>)</w:t>
      </w:r>
      <w:r w:rsidRPr="00873B6C">
        <w:t xml:space="preserve"> </w:t>
      </w:r>
      <w:r w:rsidR="000046DD" w:rsidRPr="00873B6C">
        <w:t>(</w:t>
      </w:r>
      <w:r w:rsidRPr="00873B6C">
        <w:t>that can be different for uplink and downlink directions</w:t>
      </w:r>
      <w:r w:rsidR="000046DD" w:rsidRPr="00873B6C">
        <w:t>)</w:t>
      </w:r>
      <w:r w:rsidRPr="00873B6C">
        <w:t xml:space="preserve"> and sends the TSP ID</w:t>
      </w:r>
      <w:r w:rsidR="000046DD" w:rsidRPr="00873B6C">
        <w:t>(</w:t>
      </w:r>
      <w:r w:rsidRPr="00873B6C">
        <w:t>s</w:t>
      </w:r>
      <w:r w:rsidR="000046DD" w:rsidRPr="00873B6C">
        <w:t>)</w:t>
      </w:r>
      <w:r w:rsidRPr="00873B6C">
        <w:t xml:space="preserve"> and optionally Metadata (as provided by the AF) to the SMF as part of the PCC rule</w:t>
      </w:r>
      <w:r w:rsidR="000046DD" w:rsidRPr="00873B6C">
        <w:t>(</w:t>
      </w:r>
      <w:r w:rsidRPr="00873B6C">
        <w:t>s</w:t>
      </w:r>
      <w:r w:rsidR="000046DD" w:rsidRPr="00873B6C">
        <w:t>) as described in clause 6.3.1 of TS 23.503 [45]</w:t>
      </w:r>
      <w:r w:rsidRPr="00873B6C">
        <w:t>.</w:t>
      </w:r>
    </w:p>
    <w:p w14:paraId="2AD9B1CF" w14:textId="30E35097" w:rsidR="000046DD" w:rsidRPr="00873B6C" w:rsidRDefault="000046DD" w:rsidP="00335A94">
      <w:r w:rsidRPr="00873B6C">
        <w:t>The SMF behaves in the same way it is described in clause 5.6.16.1. If the SMF has received Metadata in the N6-LAN Traffic Steering Enforcement Control information of the PCC rule, the SMF forwards the Metadata to the UPF via N4 in the corresponding FAR as described in clause 5.8.5.6.</w:t>
      </w:r>
    </w:p>
    <w:p w14:paraId="7CDFA355" w14:textId="77777777" w:rsidR="00D40151" w:rsidRPr="00873B6C" w:rsidRDefault="00D40151" w:rsidP="00D40151">
      <w:pPr>
        <w:pStyle w:val="Heading2"/>
      </w:pPr>
      <w:bookmarkStart w:id="1560" w:name="_CR5_7"/>
      <w:bookmarkStart w:id="1561" w:name="_Toc201157109"/>
      <w:bookmarkEnd w:id="1560"/>
      <w:r w:rsidRPr="00873B6C">
        <w:t>5.7</w:t>
      </w:r>
      <w:r w:rsidRPr="00873B6C">
        <w:tab/>
        <w:t>QoS model</w:t>
      </w:r>
      <w:bookmarkEnd w:id="1545"/>
      <w:bookmarkEnd w:id="1546"/>
      <w:bookmarkEnd w:id="1547"/>
      <w:bookmarkEnd w:id="1549"/>
      <w:bookmarkEnd w:id="1550"/>
      <w:bookmarkEnd w:id="1551"/>
      <w:bookmarkEnd w:id="1561"/>
    </w:p>
    <w:p w14:paraId="2A89F9DA" w14:textId="77777777" w:rsidR="00D40151" w:rsidRPr="00873B6C" w:rsidRDefault="00D40151" w:rsidP="00D40151">
      <w:pPr>
        <w:pStyle w:val="Heading3"/>
      </w:pPr>
      <w:bookmarkStart w:id="1562" w:name="_CR5_7_1"/>
      <w:bookmarkStart w:id="1563" w:name="_Toc20149791"/>
      <w:bookmarkStart w:id="1564" w:name="_Toc27846583"/>
      <w:bookmarkStart w:id="1565" w:name="_Toc36187709"/>
      <w:bookmarkStart w:id="1566" w:name="_Toc45183613"/>
      <w:bookmarkStart w:id="1567" w:name="_Toc47342455"/>
      <w:bookmarkStart w:id="1568" w:name="_Toc51769155"/>
      <w:bookmarkStart w:id="1569" w:name="_Toc201157110"/>
      <w:bookmarkEnd w:id="1562"/>
      <w:r w:rsidRPr="00873B6C">
        <w:t>5.7.1</w:t>
      </w:r>
      <w:r w:rsidRPr="00873B6C">
        <w:tab/>
        <w:t>General Overview</w:t>
      </w:r>
      <w:bookmarkEnd w:id="1563"/>
      <w:bookmarkEnd w:id="1564"/>
      <w:bookmarkEnd w:id="1565"/>
      <w:bookmarkEnd w:id="1566"/>
      <w:bookmarkEnd w:id="1567"/>
      <w:bookmarkEnd w:id="1568"/>
      <w:bookmarkEnd w:id="1569"/>
    </w:p>
    <w:p w14:paraId="0A42F159" w14:textId="77777777" w:rsidR="00D40151" w:rsidRPr="00873B6C" w:rsidRDefault="00D40151" w:rsidP="00D40151">
      <w:pPr>
        <w:pStyle w:val="Heading4"/>
      </w:pPr>
      <w:bookmarkStart w:id="1570" w:name="_CR5_7_1_1"/>
      <w:bookmarkStart w:id="1571" w:name="_Toc20149792"/>
      <w:bookmarkStart w:id="1572" w:name="_Toc27846584"/>
      <w:bookmarkStart w:id="1573" w:name="_Toc36187710"/>
      <w:bookmarkStart w:id="1574" w:name="_Toc45183614"/>
      <w:bookmarkStart w:id="1575" w:name="_Toc47342456"/>
      <w:bookmarkStart w:id="1576" w:name="_Toc51769156"/>
      <w:bookmarkStart w:id="1577" w:name="_Toc201157111"/>
      <w:bookmarkEnd w:id="1570"/>
      <w:r w:rsidRPr="00873B6C">
        <w:t>5.7.1.1</w:t>
      </w:r>
      <w:r w:rsidRPr="00873B6C">
        <w:tab/>
        <w:t>QoS Flow</w:t>
      </w:r>
      <w:bookmarkEnd w:id="1571"/>
      <w:bookmarkEnd w:id="1572"/>
      <w:bookmarkEnd w:id="1573"/>
      <w:bookmarkEnd w:id="1574"/>
      <w:bookmarkEnd w:id="1575"/>
      <w:bookmarkEnd w:id="1576"/>
      <w:bookmarkEnd w:id="1577"/>
    </w:p>
    <w:p w14:paraId="45318BF1" w14:textId="77777777" w:rsidR="00D40151" w:rsidRPr="00873B6C" w:rsidRDefault="00D40151" w:rsidP="00D40151">
      <w:r w:rsidRPr="00873B6C">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873B6C" w:rsidRDefault="00D40151" w:rsidP="00D40151">
      <w:r w:rsidRPr="00873B6C">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873B6C">
        <w:rPr>
          <w:bCs/>
          <w:iCs/>
        </w:rPr>
        <w:t>(e.g.</w:t>
      </w:r>
      <w:r w:rsidRPr="00873B6C">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57EBDFCD" w:rsidR="00D40151" w:rsidRPr="00873B6C" w:rsidRDefault="00D40151" w:rsidP="00D40151">
      <w:r w:rsidRPr="00873B6C">
        <w:lastRenderedPageBreak/>
        <w:t>Within the 5GS, a QoS Flow is controlled by the SMF and may be preconfigured, or established via the PDU Session Establishment procedure (see</w:t>
      </w:r>
      <w:r w:rsidR="00D602DF" w:rsidRPr="00873B6C">
        <w:t xml:space="preserve"> clause 4.3.2</w:t>
      </w:r>
      <w:r w:rsidRPr="00873B6C">
        <w:t xml:space="preserve"> </w:t>
      </w:r>
      <w:r w:rsidR="00D602DF" w:rsidRPr="00873B6C">
        <w:t xml:space="preserve">of </w:t>
      </w:r>
      <w:r w:rsidR="00972E70" w:rsidRPr="00873B6C">
        <w:t>TS 23.502 [</w:t>
      </w:r>
      <w:r w:rsidRPr="00873B6C">
        <w:t>3]), or the PDU Session Modification procedure (see</w:t>
      </w:r>
      <w:r w:rsidR="00D602DF" w:rsidRPr="00873B6C">
        <w:t xml:space="preserve"> clause 4.3.3</w:t>
      </w:r>
      <w:r w:rsidRPr="00873B6C">
        <w:t xml:space="preserve"> </w:t>
      </w:r>
      <w:r w:rsidR="00D602DF" w:rsidRPr="00873B6C">
        <w:t xml:space="preserve">of </w:t>
      </w:r>
      <w:r w:rsidR="00972E70" w:rsidRPr="00873B6C">
        <w:t>TS 23.502 [</w:t>
      </w:r>
      <w:r w:rsidRPr="00873B6C">
        <w:t>3].</w:t>
      </w:r>
    </w:p>
    <w:p w14:paraId="105A783F" w14:textId="77777777" w:rsidR="00D40151" w:rsidRPr="00873B6C" w:rsidRDefault="00D40151" w:rsidP="00D40151">
      <w:r w:rsidRPr="00873B6C">
        <w:t>Any QoS Flow is characterised by:</w:t>
      </w:r>
    </w:p>
    <w:p w14:paraId="79C3BA30" w14:textId="77777777" w:rsidR="00D40151" w:rsidRPr="00873B6C" w:rsidRDefault="00D40151" w:rsidP="00D40151">
      <w:pPr>
        <w:pStyle w:val="B1"/>
      </w:pPr>
      <w:r w:rsidRPr="00873B6C">
        <w:t>-</w:t>
      </w:r>
      <w:r w:rsidRPr="00873B6C">
        <w:tab/>
        <w:t>A QoS profile provided by the SMF to the AN via the AMF over the N2 reference point or preconfigured in the AN;</w:t>
      </w:r>
    </w:p>
    <w:p w14:paraId="64CAB135" w14:textId="27250C86" w:rsidR="00D40151" w:rsidRPr="00873B6C" w:rsidRDefault="00D40151" w:rsidP="00D40151">
      <w:pPr>
        <w:pStyle w:val="B1"/>
      </w:pPr>
      <w:r w:rsidRPr="00873B6C">
        <w:t>-</w:t>
      </w:r>
      <w:r w:rsidRPr="00873B6C">
        <w:tab/>
        <w:t xml:space="preserve">One or more QoS rule(s) and optionally QoS Flow level QoS parameters (as specified in </w:t>
      </w:r>
      <w:r w:rsidR="00972E70" w:rsidRPr="00873B6C">
        <w:t>TS 24.501 [</w:t>
      </w:r>
      <w:r w:rsidRPr="00873B6C">
        <w:t>47]) associated with these QoS rule(s) which can be provided by the SMF to the UE via the AMF over the N1 reference point and/or derived by the UE by applying Reflective QoS control; and</w:t>
      </w:r>
    </w:p>
    <w:p w14:paraId="4EFD1C23" w14:textId="77777777" w:rsidR="00D40151" w:rsidRPr="00873B6C" w:rsidRDefault="00D40151" w:rsidP="00D40151">
      <w:pPr>
        <w:pStyle w:val="B1"/>
      </w:pPr>
      <w:r w:rsidRPr="00873B6C">
        <w:t>-</w:t>
      </w:r>
      <w:r w:rsidRPr="00873B6C">
        <w:tab/>
        <w:t>One or more UL and DL PDR(s) provided by the SMF to the UPF.</w:t>
      </w:r>
    </w:p>
    <w:p w14:paraId="5F2D5B68" w14:textId="77777777" w:rsidR="00D40151" w:rsidRPr="00873B6C" w:rsidRDefault="00D40151" w:rsidP="00D40151">
      <w:r w:rsidRPr="00873B6C">
        <w:t xml:space="preserve">Within the 5GS, a QoS Flow associated with the default QoS rule is required </w:t>
      </w:r>
      <w:r w:rsidRPr="00873B6C">
        <w:rPr>
          <w:noProof/>
        </w:rPr>
        <w:t>to be established for a PDU Session</w:t>
      </w:r>
      <w:r w:rsidRPr="00873B6C">
        <w:t xml:space="preserve"> and remains established throughout the lifetime of the PDU Session. This QoS Flow should be a Non-GBR QoS Flow (further details are described in clause 5.7.2.7).</w:t>
      </w:r>
    </w:p>
    <w:p w14:paraId="6A1885D0" w14:textId="77777777" w:rsidR="00D40151" w:rsidRPr="00873B6C" w:rsidRDefault="00D40151" w:rsidP="00D40151">
      <w:r w:rsidRPr="00873B6C">
        <w:t>A QoS Flow is associated with QoS requirements as specified by QoS parameters and QoS characteristics.</w:t>
      </w:r>
    </w:p>
    <w:p w14:paraId="49D25F05" w14:textId="14C139A1" w:rsidR="00D40151" w:rsidRPr="00873B6C" w:rsidRDefault="00D40151" w:rsidP="00D40151">
      <w:pPr>
        <w:pStyle w:val="NO"/>
      </w:pPr>
      <w:r w:rsidRPr="00873B6C">
        <w:t>NOTE:</w:t>
      </w:r>
      <w:r w:rsidRPr="00873B6C">
        <w:tab/>
        <w:t>The QoS Flow</w:t>
      </w:r>
      <w:r w:rsidR="00704A9E" w:rsidRPr="00873B6C">
        <w:t xml:space="preserve"> associated with the default QoS rule</w:t>
      </w:r>
      <w:r w:rsidRPr="00873B6C">
        <w:t xml:space="preserve"> provides the UE with connectivity throughout the lifetime of the PDU Session. Possible interworking with EPS motivates the recommendation for this QoS Flow to be of type Non-GBR.</w:t>
      </w:r>
    </w:p>
    <w:p w14:paraId="51B2850C" w14:textId="11850E78" w:rsidR="00AB1E8D" w:rsidRPr="00873B6C" w:rsidRDefault="00AB1E8D" w:rsidP="00AB1E8D">
      <w:bookmarkStart w:id="1578" w:name="_Toc20149793"/>
      <w:bookmarkStart w:id="1579" w:name="_Toc27846585"/>
      <w:bookmarkStart w:id="1580" w:name="_Toc36187711"/>
      <w:bookmarkStart w:id="1581" w:name="_Toc45183615"/>
      <w:bookmarkStart w:id="1582" w:name="_Toc47342457"/>
      <w:bookmarkStart w:id="1583" w:name="_Toc51769157"/>
      <w:r w:rsidRPr="00873B6C">
        <w:t>A QoS Flow may be enabled with PDU Set based QoS handling as described in clause 5.37.</w:t>
      </w:r>
      <w:r w:rsidR="00C92133" w:rsidRPr="00873B6C">
        <w:t>5</w:t>
      </w:r>
      <w:r w:rsidRPr="00873B6C">
        <w:t>. For such QoS Flows, PDU Set QoS Parameters (see clause 5.7.7) are determined by the PCF and provided by SMF to the NG-RAN as part of the QoS profile.</w:t>
      </w:r>
    </w:p>
    <w:p w14:paraId="26941038" w14:textId="77777777" w:rsidR="00D40151" w:rsidRPr="00873B6C" w:rsidRDefault="00D40151" w:rsidP="00D40151">
      <w:pPr>
        <w:pStyle w:val="Heading4"/>
      </w:pPr>
      <w:bookmarkStart w:id="1584" w:name="_CR5_7_1_2"/>
      <w:bookmarkStart w:id="1585" w:name="_Toc201157112"/>
      <w:bookmarkEnd w:id="1584"/>
      <w:r w:rsidRPr="00873B6C">
        <w:t>5.7.1.2</w:t>
      </w:r>
      <w:r w:rsidRPr="00873B6C">
        <w:tab/>
        <w:t>QoS Profile</w:t>
      </w:r>
      <w:bookmarkEnd w:id="1578"/>
      <w:bookmarkEnd w:id="1579"/>
      <w:bookmarkEnd w:id="1580"/>
      <w:bookmarkEnd w:id="1581"/>
      <w:bookmarkEnd w:id="1582"/>
      <w:bookmarkEnd w:id="1583"/>
      <w:bookmarkEnd w:id="1585"/>
    </w:p>
    <w:p w14:paraId="193F002D" w14:textId="77777777" w:rsidR="00D40151" w:rsidRPr="00873B6C" w:rsidRDefault="00D40151" w:rsidP="00D40151">
      <w:r w:rsidRPr="00873B6C">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873B6C" w:rsidRDefault="00D40151" w:rsidP="00D40151">
      <w:pPr>
        <w:pStyle w:val="B1"/>
      </w:pPr>
      <w:r w:rsidRPr="00873B6C">
        <w:t>-</w:t>
      </w:r>
      <w:r w:rsidRPr="00873B6C">
        <w:tab/>
        <w:t>For each QoS Flow, the QoS profile shall include the QoS parameters:</w:t>
      </w:r>
    </w:p>
    <w:p w14:paraId="28710939" w14:textId="77777777" w:rsidR="00D40151" w:rsidRPr="00873B6C" w:rsidRDefault="00D40151" w:rsidP="00D40151">
      <w:pPr>
        <w:pStyle w:val="B2"/>
      </w:pPr>
      <w:r w:rsidRPr="00873B6C">
        <w:t>-</w:t>
      </w:r>
      <w:r w:rsidRPr="00873B6C">
        <w:tab/>
        <w:t>5G QoS Identifier (5QI); and</w:t>
      </w:r>
    </w:p>
    <w:p w14:paraId="137BA49B" w14:textId="77777777" w:rsidR="00D40151" w:rsidRPr="00873B6C" w:rsidRDefault="00D40151" w:rsidP="00D40151">
      <w:pPr>
        <w:pStyle w:val="B2"/>
      </w:pPr>
      <w:r w:rsidRPr="00873B6C">
        <w:t>-</w:t>
      </w:r>
      <w:r w:rsidRPr="00873B6C">
        <w:tab/>
        <w:t>Allocation and Retention Priority (ARP).</w:t>
      </w:r>
    </w:p>
    <w:p w14:paraId="7623AB7C" w14:textId="77777777" w:rsidR="00114986" w:rsidRPr="00873B6C" w:rsidRDefault="00114986" w:rsidP="00D40151">
      <w:pPr>
        <w:pStyle w:val="B1"/>
      </w:pPr>
      <w:r w:rsidRPr="00873B6C">
        <w:t>-</w:t>
      </w:r>
      <w:r w:rsidRPr="00873B6C">
        <w:tab/>
        <w:t>For each QoS Flow, the QoS profile may also include the QoS parameters:</w:t>
      </w:r>
    </w:p>
    <w:p w14:paraId="4F9DA7A3" w14:textId="77777777" w:rsidR="00114986" w:rsidRPr="00873B6C" w:rsidRDefault="00114986" w:rsidP="005A13C0">
      <w:pPr>
        <w:pStyle w:val="B2"/>
      </w:pPr>
      <w:r w:rsidRPr="00873B6C">
        <w:t>-</w:t>
      </w:r>
      <w:r w:rsidRPr="00873B6C">
        <w:tab/>
        <w:t>PDU Set QoS Parameters (described in clause 5.7.7).</w:t>
      </w:r>
    </w:p>
    <w:p w14:paraId="09667A12" w14:textId="5176A4D0" w:rsidR="00D40151" w:rsidRPr="00873B6C" w:rsidRDefault="00D40151" w:rsidP="00D40151">
      <w:pPr>
        <w:pStyle w:val="B1"/>
      </w:pPr>
      <w:r w:rsidRPr="00873B6C">
        <w:t>-</w:t>
      </w:r>
      <w:r w:rsidRPr="00873B6C">
        <w:tab/>
        <w:t>For each Non-GBR QoS Flow only, the QoS profile may also include the QoS parameter:</w:t>
      </w:r>
    </w:p>
    <w:p w14:paraId="3B65BB03" w14:textId="77777777" w:rsidR="00D40151" w:rsidRPr="00873B6C" w:rsidRDefault="00D40151" w:rsidP="00D40151">
      <w:pPr>
        <w:pStyle w:val="B2"/>
      </w:pPr>
      <w:r w:rsidRPr="00873B6C">
        <w:t>-</w:t>
      </w:r>
      <w:r w:rsidRPr="00873B6C">
        <w:tab/>
        <w:t>Reflective QoS Attribute (RQA).</w:t>
      </w:r>
    </w:p>
    <w:p w14:paraId="48C43DF4" w14:textId="77777777" w:rsidR="00D40151" w:rsidRPr="00873B6C" w:rsidRDefault="00D40151" w:rsidP="00D40151">
      <w:pPr>
        <w:pStyle w:val="B1"/>
      </w:pPr>
      <w:r w:rsidRPr="00873B6C">
        <w:t>-</w:t>
      </w:r>
      <w:r w:rsidRPr="00873B6C">
        <w:tab/>
        <w:t>For each GBR QoS Flow only, the QoS profile shall also include the QoS parameters:</w:t>
      </w:r>
    </w:p>
    <w:p w14:paraId="2B8987A4" w14:textId="77777777" w:rsidR="00D40151" w:rsidRPr="00873B6C" w:rsidRDefault="00D40151" w:rsidP="00D40151">
      <w:pPr>
        <w:pStyle w:val="B2"/>
      </w:pPr>
      <w:r w:rsidRPr="00873B6C">
        <w:t>-</w:t>
      </w:r>
      <w:r w:rsidRPr="00873B6C">
        <w:tab/>
        <w:t>Guaranteed Flow Bit Rate (GFBR) - UL and DL; and</w:t>
      </w:r>
    </w:p>
    <w:p w14:paraId="56257BCA" w14:textId="77777777" w:rsidR="00D40151" w:rsidRPr="00873B6C" w:rsidRDefault="00D40151" w:rsidP="00D40151">
      <w:pPr>
        <w:pStyle w:val="B2"/>
      </w:pPr>
      <w:r w:rsidRPr="00873B6C">
        <w:t>-</w:t>
      </w:r>
      <w:r w:rsidRPr="00873B6C">
        <w:tab/>
        <w:t>Maximum Flow Bit Rate (MFBR) - UL and DL; and</w:t>
      </w:r>
    </w:p>
    <w:p w14:paraId="770ACCB8" w14:textId="77777777" w:rsidR="00D40151" w:rsidRPr="00873B6C" w:rsidRDefault="00D40151" w:rsidP="00D40151">
      <w:pPr>
        <w:pStyle w:val="B1"/>
      </w:pPr>
      <w:r w:rsidRPr="00873B6C">
        <w:t>-</w:t>
      </w:r>
      <w:r w:rsidRPr="00873B6C">
        <w:tab/>
        <w:t>In the case of a GBR QoS Flow only, the QoS profile may also include one or more of the QoS parameters:</w:t>
      </w:r>
    </w:p>
    <w:p w14:paraId="745CB4F6" w14:textId="77777777" w:rsidR="00D40151" w:rsidRPr="00873B6C" w:rsidRDefault="00D40151" w:rsidP="00D40151">
      <w:pPr>
        <w:pStyle w:val="B2"/>
      </w:pPr>
      <w:r w:rsidRPr="00873B6C">
        <w:t>-</w:t>
      </w:r>
      <w:r w:rsidRPr="00873B6C">
        <w:tab/>
        <w:t>Notification control;</w:t>
      </w:r>
    </w:p>
    <w:p w14:paraId="239746F7" w14:textId="77777777" w:rsidR="00D40151" w:rsidRPr="00873B6C" w:rsidRDefault="00D40151" w:rsidP="00D40151">
      <w:pPr>
        <w:pStyle w:val="B2"/>
        <w:rPr>
          <w:lang w:eastAsia="zh-CN"/>
        </w:rPr>
      </w:pPr>
      <w:r w:rsidRPr="00873B6C">
        <w:rPr>
          <w:lang w:eastAsia="zh-CN"/>
        </w:rPr>
        <w:t>-</w:t>
      </w:r>
      <w:r w:rsidRPr="00873B6C">
        <w:rPr>
          <w:lang w:eastAsia="zh-CN"/>
        </w:rPr>
        <w:tab/>
        <w:t xml:space="preserve">Maximum Packet Loss Rate - </w:t>
      </w:r>
      <w:r w:rsidRPr="00873B6C">
        <w:t>UL and DL</w:t>
      </w:r>
      <w:r w:rsidRPr="00873B6C">
        <w:rPr>
          <w:lang w:eastAsia="zh-CN"/>
        </w:rPr>
        <w:t>.</w:t>
      </w:r>
    </w:p>
    <w:p w14:paraId="7D8A4679" w14:textId="6F61A0C9" w:rsidR="00D40151" w:rsidRPr="00873B6C" w:rsidRDefault="00D40151" w:rsidP="00D40151">
      <w:pPr>
        <w:pStyle w:val="NO"/>
      </w:pPr>
      <w:r w:rsidRPr="00873B6C">
        <w:t>NOTE:</w:t>
      </w:r>
      <w:r w:rsidRPr="00873B6C">
        <w:tab/>
        <w:t>In this Release of the specification,</w:t>
      </w:r>
      <w:r w:rsidRPr="00873B6C">
        <w:rPr>
          <w:lang w:eastAsia="zh-CN"/>
        </w:rPr>
        <w:t xml:space="preserve"> the </w:t>
      </w:r>
      <w:r w:rsidRPr="00873B6C">
        <w:t>Maximum Packet Loss Rate (UL, DL)</w:t>
      </w:r>
      <w:r w:rsidRPr="00873B6C">
        <w:rPr>
          <w:lang w:eastAsia="zh-CN"/>
        </w:rPr>
        <w:t xml:space="preserve"> is only provided for a GBR </w:t>
      </w:r>
      <w:r w:rsidR="00426DE4" w:rsidRPr="00873B6C">
        <w:rPr>
          <w:lang w:eastAsia="zh-CN"/>
        </w:rPr>
        <w:t>QoS Flow</w:t>
      </w:r>
      <w:r w:rsidRPr="00873B6C">
        <w:rPr>
          <w:lang w:eastAsia="zh-CN"/>
        </w:rPr>
        <w:t xml:space="preserve"> belonging to voice media</w:t>
      </w:r>
      <w:r w:rsidRPr="00873B6C">
        <w:t>.</w:t>
      </w:r>
    </w:p>
    <w:p w14:paraId="3CBE7A81" w14:textId="77777777" w:rsidR="00D40151" w:rsidRPr="00873B6C" w:rsidRDefault="00D40151" w:rsidP="00D40151">
      <w:pPr>
        <w:rPr>
          <w:rFonts w:eastAsia="SimSun"/>
          <w:lang w:eastAsia="zh-CN"/>
        </w:rPr>
      </w:pPr>
      <w:r w:rsidRPr="00873B6C">
        <w:rPr>
          <w:rFonts w:eastAsia="SimSun"/>
          <w:lang w:eastAsia="zh-CN"/>
        </w:rPr>
        <w:t>Each QoS profile has one corresponding QoS Flow identifier (QFI) which is not included in the QoS profile itself.</w:t>
      </w:r>
    </w:p>
    <w:p w14:paraId="726E8C17" w14:textId="77777777" w:rsidR="00D40151" w:rsidRPr="00873B6C" w:rsidRDefault="00D40151" w:rsidP="00D40151">
      <w:r w:rsidRPr="00873B6C">
        <w:t>The usage of a dynamically assigned 5QI for a QoS Flow requires in addition the signalling of the complete 5G QoS characteristics (described in clause 5.7.3) as part of the QoS profile.</w:t>
      </w:r>
    </w:p>
    <w:p w14:paraId="16013768" w14:textId="77777777" w:rsidR="00D40151" w:rsidRPr="00873B6C" w:rsidRDefault="00D40151" w:rsidP="00D40151">
      <w:r w:rsidRPr="00873B6C">
        <w:lastRenderedPageBreak/>
        <w:t>When a standardized or pre-configured 5QI is used for a QoS Flow, some of the 5G QoS characteristics may be signalled as part of the QoS profile (as described in clause 5.7.3).</w:t>
      </w:r>
    </w:p>
    <w:p w14:paraId="47B75DBC" w14:textId="77777777" w:rsidR="00D40151" w:rsidRPr="00873B6C" w:rsidRDefault="00D40151" w:rsidP="00D40151">
      <w:pPr>
        <w:pStyle w:val="Heading4"/>
      </w:pPr>
      <w:bookmarkStart w:id="1586" w:name="_CR5_7_1_2a"/>
      <w:bookmarkStart w:id="1587" w:name="_Toc20149794"/>
      <w:bookmarkStart w:id="1588" w:name="_Toc27846586"/>
      <w:bookmarkStart w:id="1589" w:name="_Toc36187712"/>
      <w:bookmarkStart w:id="1590" w:name="_Toc45183616"/>
      <w:bookmarkStart w:id="1591" w:name="_Toc47342458"/>
      <w:bookmarkStart w:id="1592" w:name="_Toc51769158"/>
      <w:bookmarkStart w:id="1593" w:name="_Toc201157113"/>
      <w:bookmarkEnd w:id="1586"/>
      <w:r w:rsidRPr="00873B6C">
        <w:t>5.7.1.2a</w:t>
      </w:r>
      <w:r w:rsidRPr="00873B6C">
        <w:tab/>
        <w:t>Alternative QoS Profile</w:t>
      </w:r>
      <w:bookmarkEnd w:id="1587"/>
      <w:bookmarkEnd w:id="1588"/>
      <w:bookmarkEnd w:id="1589"/>
      <w:bookmarkEnd w:id="1590"/>
      <w:bookmarkEnd w:id="1591"/>
      <w:bookmarkEnd w:id="1592"/>
      <w:bookmarkEnd w:id="1593"/>
    </w:p>
    <w:p w14:paraId="6093BDAD" w14:textId="2332EAE0" w:rsidR="00D40151" w:rsidRPr="00873B6C" w:rsidRDefault="00D40151" w:rsidP="00D40151">
      <w:pPr>
        <w:rPr>
          <w:lang w:eastAsia="x-none"/>
        </w:rPr>
      </w:pPr>
      <w:r w:rsidRPr="00873B6C">
        <w:rPr>
          <w:lang w:eastAsia="x-none"/>
        </w:rPr>
        <w:t xml:space="preserve">The Alternative QoS Profile(s) can be optionally provided for a GBR QoS Flow with Notification control enabled. If the corresponding PCC rule contains the related information (as described in </w:t>
      </w:r>
      <w:r w:rsidR="00972E70" w:rsidRPr="00873B6C">
        <w:rPr>
          <w:lang w:eastAsia="x-none"/>
        </w:rPr>
        <w:t>TS 23.503 [</w:t>
      </w:r>
      <w:r w:rsidRPr="00873B6C">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05E6693C" w:rsidR="00D40151" w:rsidRPr="00873B6C" w:rsidRDefault="00D40151" w:rsidP="00D40151">
      <w:pPr>
        <w:rPr>
          <w:lang w:eastAsia="x-none"/>
        </w:rPr>
      </w:pPr>
      <w:r w:rsidRPr="00873B6C">
        <w:rPr>
          <w:lang w:eastAsia="x-none"/>
        </w:rPr>
        <w:t>An Alternative QoS Profile represents a combination of QoS parameters PDB, PER</w:t>
      </w:r>
      <w:r w:rsidR="002B09F2" w:rsidRPr="00873B6C">
        <w:rPr>
          <w:lang w:eastAsia="x-none"/>
        </w:rPr>
        <w:t>, Averaging Window</w:t>
      </w:r>
      <w:r w:rsidRPr="00873B6C">
        <w:rPr>
          <w:lang w:eastAsia="x-none"/>
        </w:rPr>
        <w:t xml:space="preserve"> and GFBR to which the application traffic is able to adapt.</w:t>
      </w:r>
    </w:p>
    <w:p w14:paraId="25D5A5D5" w14:textId="7C8C4AA8" w:rsidR="00D40151" w:rsidRPr="00873B6C" w:rsidRDefault="00D40151" w:rsidP="00D40151">
      <w:pPr>
        <w:pStyle w:val="NO"/>
      </w:pPr>
      <w:r w:rsidRPr="00873B6C">
        <w:t>NOTE</w:t>
      </w:r>
      <w:r w:rsidR="00E537C9" w:rsidRPr="00873B6C">
        <w:t> 1</w:t>
      </w:r>
      <w:r w:rsidRPr="00873B6C">
        <w:t>:</w:t>
      </w:r>
      <w:r w:rsidRPr="00873B6C">
        <w:tab/>
        <w:t>There is no requirement that the GFBR monotonically decreases, nor that the PDB or PER monotonically increase as the Alternative QoS Profiles become less preferred.</w:t>
      </w:r>
    </w:p>
    <w:p w14:paraId="7589408A" w14:textId="77777777" w:rsidR="00060FE0" w:rsidRPr="00873B6C" w:rsidRDefault="00060FE0" w:rsidP="00D40151">
      <w:pPr>
        <w:rPr>
          <w:lang w:eastAsia="x-none"/>
        </w:rPr>
      </w:pPr>
      <w:r w:rsidRPr="00873B6C">
        <w:rPr>
          <w:lang w:eastAsia="x-none"/>
        </w:rPr>
        <w:t>For a GBR QoS Flow using the Delay-critical resource type, an Alternative QoS Profile may also include the QoS parameter MDBV.</w:t>
      </w:r>
    </w:p>
    <w:p w14:paraId="54FD52FE" w14:textId="77777777" w:rsidR="00060FE0" w:rsidRPr="00873B6C" w:rsidRDefault="00060FE0" w:rsidP="00D40151">
      <w:pPr>
        <w:rPr>
          <w:lang w:eastAsia="x-none"/>
        </w:rPr>
      </w:pPr>
      <w:r w:rsidRPr="00873B6C">
        <w:rPr>
          <w:lang w:eastAsia="x-none"/>
        </w:rPr>
        <w:t>For the NG-RAN determination whether the GFBR, the PDB and the PER can be fulfilled (i.e. for all Notification control scenarios described in clause 5.7.2.4), the NG-RAN shall also apply the value of the optional QoS parameter present in an Alternative QoS Profile instead of the corresponding QoS parameter's value in the QoS Profile (which is either provided explicitly or implicitly via the standardized 5QI QoS characteristics defined in clause 5.7.4) for every optional QoS parameter present in an Alternative QoS Profile (e.g. MDBV).</w:t>
      </w:r>
    </w:p>
    <w:p w14:paraId="7F43BB4F" w14:textId="26D9C704" w:rsidR="00060FE0" w:rsidRPr="00873B6C" w:rsidRDefault="00060FE0" w:rsidP="00745A3E">
      <w:pPr>
        <w:pStyle w:val="NO"/>
      </w:pPr>
      <w:r w:rsidRPr="00873B6C">
        <w:t>NOTE 2:</w:t>
      </w:r>
      <w:r w:rsidRPr="00873B6C">
        <w:tab/>
        <w:t>For the NG-RAN behaviour related to the mandatory QoS parameters in the Alternative QoS Profile (i.e. GFBR, PDB, PER), see clause 5.7.2.4.</w:t>
      </w:r>
    </w:p>
    <w:p w14:paraId="1047A00B" w14:textId="0F9765BA" w:rsidR="00D40151" w:rsidRPr="00873B6C" w:rsidRDefault="00D40151" w:rsidP="00D40151">
      <w:pPr>
        <w:rPr>
          <w:lang w:eastAsia="x-none"/>
        </w:rPr>
      </w:pPr>
      <w:r w:rsidRPr="00873B6C">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w:t>
      </w:r>
      <w:r w:rsidR="00060FE0" w:rsidRPr="00873B6C">
        <w:rPr>
          <w:lang w:eastAsia="x-none"/>
        </w:rPr>
        <w:t xml:space="preserve"> Profile</w:t>
      </w:r>
      <w:r w:rsidRPr="00873B6C">
        <w:rPr>
          <w:lang w:eastAsia="x-none"/>
        </w:rPr>
        <w:t xml:space="preserve"> feature but cannot fulfil even the least preferred Alternative QoS Profile.</w:t>
      </w:r>
    </w:p>
    <w:p w14:paraId="5EBD620D" w14:textId="735FD66B" w:rsidR="00E537C9" w:rsidRPr="00873B6C" w:rsidRDefault="00E537C9" w:rsidP="00E537C9">
      <w:pPr>
        <w:pStyle w:val="NO"/>
      </w:pPr>
      <w:bookmarkStart w:id="1594" w:name="_Toc20149795"/>
      <w:bookmarkStart w:id="1595" w:name="_Toc27846587"/>
      <w:bookmarkStart w:id="1596" w:name="_Toc36187713"/>
      <w:bookmarkStart w:id="1597" w:name="_Toc45183617"/>
      <w:bookmarkStart w:id="1598" w:name="_Toc47342459"/>
      <w:bookmarkStart w:id="1599" w:name="_Toc51769159"/>
      <w:r w:rsidRPr="00873B6C">
        <w:t>NOTE </w:t>
      </w:r>
      <w:r w:rsidR="00060FE0" w:rsidRPr="00873B6C">
        <w:t>3</w:t>
      </w:r>
      <w:r w:rsidRPr="00873B6C">
        <w:t>:</w:t>
      </w:r>
      <w:r w:rsidRPr="00873B6C">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873B6C" w:rsidRDefault="00D40151" w:rsidP="00D40151">
      <w:pPr>
        <w:pStyle w:val="Heading4"/>
      </w:pPr>
      <w:bookmarkStart w:id="1600" w:name="_CR5_7_1_3"/>
      <w:bookmarkStart w:id="1601" w:name="_Toc201157114"/>
      <w:bookmarkEnd w:id="1600"/>
      <w:r w:rsidRPr="00873B6C">
        <w:t>5.7.1.3</w:t>
      </w:r>
      <w:r w:rsidRPr="00873B6C">
        <w:tab/>
        <w:t>Control of QoS Flows</w:t>
      </w:r>
      <w:bookmarkEnd w:id="1594"/>
      <w:bookmarkEnd w:id="1595"/>
      <w:bookmarkEnd w:id="1596"/>
      <w:bookmarkEnd w:id="1597"/>
      <w:bookmarkEnd w:id="1598"/>
      <w:bookmarkEnd w:id="1599"/>
      <w:bookmarkEnd w:id="1601"/>
    </w:p>
    <w:p w14:paraId="1A078735" w14:textId="77777777" w:rsidR="00D40151" w:rsidRPr="00873B6C" w:rsidRDefault="00D40151" w:rsidP="00D40151">
      <w:r w:rsidRPr="00873B6C">
        <w:t>The following options are supported to control QoS Flows:</w:t>
      </w:r>
    </w:p>
    <w:p w14:paraId="2DDACEAD" w14:textId="6AFC0497" w:rsidR="00D40151" w:rsidRPr="00873B6C" w:rsidRDefault="00D40151" w:rsidP="00D40151">
      <w:pPr>
        <w:pStyle w:val="B1"/>
      </w:pPr>
      <w:r w:rsidRPr="00873B6C">
        <w:t>1)</w:t>
      </w:r>
      <w:r w:rsidRPr="00873B6C">
        <w:tab/>
        <w:t>For Non-GBR QoS Flows</w:t>
      </w:r>
      <w:r w:rsidR="00472CD7" w:rsidRPr="00873B6C">
        <w:t xml:space="preserve"> and</w:t>
      </w:r>
      <w:r w:rsidRPr="00873B6C">
        <w:t xml:space="preserve"> when standardized 5QIs or pre-configured 5QIs are used and when the 5QI is within the range of the QFI (i.e. a value less than 64), the 5QI value </w:t>
      </w:r>
      <w:r w:rsidRPr="00873B6C">
        <w:rPr>
          <w:rFonts w:eastAsia="Malgun Gothic"/>
        </w:rPr>
        <w:t>may be</w:t>
      </w:r>
      <w:r w:rsidRPr="00873B6C">
        <w:t xml:space="preserve"> used as </w:t>
      </w:r>
      <w:r w:rsidRPr="00873B6C">
        <w:rPr>
          <w:rFonts w:eastAsia="Malgun Gothic"/>
        </w:rPr>
        <w:t xml:space="preserve">the </w:t>
      </w:r>
      <w:r w:rsidRPr="00873B6C">
        <w:t>QFI</w:t>
      </w:r>
      <w:r w:rsidRPr="00873B6C">
        <w:rPr>
          <w:rFonts w:eastAsia="Malgun Gothic"/>
        </w:rPr>
        <w:t xml:space="preserve"> of the QoS Flow</w:t>
      </w:r>
      <w:r w:rsidRPr="00873B6C">
        <w:t>.</w:t>
      </w:r>
    </w:p>
    <w:p w14:paraId="3E379532" w14:textId="77777777" w:rsidR="00D40151" w:rsidRPr="00873B6C" w:rsidRDefault="00D40151" w:rsidP="00D40151">
      <w:pPr>
        <w:pStyle w:val="B2"/>
      </w:pPr>
      <w:r w:rsidRPr="00873B6C">
        <w:t>(a)</w:t>
      </w:r>
      <w:r w:rsidRPr="00873B6C">
        <w:tab/>
        <w:t>A default ARP shall be pre-configured in the AN; or</w:t>
      </w:r>
    </w:p>
    <w:p w14:paraId="75636A8A" w14:textId="77777777" w:rsidR="00D40151" w:rsidRPr="00873B6C" w:rsidRDefault="00D40151" w:rsidP="00D40151">
      <w:pPr>
        <w:pStyle w:val="B2"/>
      </w:pPr>
      <w:r w:rsidRPr="00873B6C" w:rsidDel="003316C3">
        <w:t xml:space="preserve"> </w:t>
      </w:r>
      <w:r w:rsidRPr="00873B6C">
        <w:t>(b)</w:t>
      </w:r>
      <w:r w:rsidRPr="00873B6C">
        <w:tab/>
        <w:t>The ARP and the QFI shall be sent to RAN over N2 at PDU Session Establishment or at PDU Session Modification and when NG-RAN is used every time the User Plane of the PDU Session is activated; and</w:t>
      </w:r>
    </w:p>
    <w:p w14:paraId="01FB2600" w14:textId="77777777" w:rsidR="00D40151" w:rsidRPr="00873B6C" w:rsidRDefault="00D40151" w:rsidP="00D40151">
      <w:pPr>
        <w:pStyle w:val="B1"/>
      </w:pPr>
      <w:r w:rsidRPr="00873B6C">
        <w:t>2)</w:t>
      </w:r>
      <w:r w:rsidRPr="00873B6C">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873B6C" w:rsidRDefault="00D40151" w:rsidP="00D40151">
      <w:r w:rsidRPr="00873B6C">
        <w:t>Only options 1b and 2 may apply to 3GPP ANs. Options 1a, 1b and 2 may apply to Non-3GPP access.</w:t>
      </w:r>
    </w:p>
    <w:p w14:paraId="22F4C95C" w14:textId="728B43FF" w:rsidR="00D40151" w:rsidRPr="00873B6C" w:rsidRDefault="00D40151" w:rsidP="00D40151">
      <w:pPr>
        <w:pStyle w:val="NO"/>
      </w:pPr>
      <w:r w:rsidRPr="00873B6C">
        <w:t>NOTE:</w:t>
      </w:r>
      <w:r w:rsidRPr="00873B6C">
        <w:tab/>
        <w:t>Pre-configured 5QI values can be used when the UE is roaming</w:t>
      </w:r>
      <w:r w:rsidR="00153C7D" w:rsidRPr="00873B6C">
        <w:t xml:space="preserve"> if allowed by SLA between the operators</w:t>
      </w:r>
      <w:r w:rsidRPr="00873B6C">
        <w:t>.</w:t>
      </w:r>
    </w:p>
    <w:p w14:paraId="23DDA232" w14:textId="77777777" w:rsidR="00D40151" w:rsidRPr="00873B6C" w:rsidRDefault="00D40151" w:rsidP="00D40151">
      <w:pPr>
        <w:pStyle w:val="Heading4"/>
      </w:pPr>
      <w:bookmarkStart w:id="1602" w:name="_CR5_7_1_4"/>
      <w:bookmarkStart w:id="1603" w:name="_Toc20149796"/>
      <w:bookmarkStart w:id="1604" w:name="_Toc27846588"/>
      <w:bookmarkStart w:id="1605" w:name="_Toc36187714"/>
      <w:bookmarkStart w:id="1606" w:name="_Toc45183618"/>
      <w:bookmarkStart w:id="1607" w:name="_Toc47342460"/>
      <w:bookmarkStart w:id="1608" w:name="_Toc51769160"/>
      <w:bookmarkStart w:id="1609" w:name="_Toc201157115"/>
      <w:bookmarkEnd w:id="1602"/>
      <w:r w:rsidRPr="00873B6C">
        <w:t>5.7.1.4</w:t>
      </w:r>
      <w:r w:rsidRPr="00873B6C">
        <w:tab/>
        <w:t>QoS Rules</w:t>
      </w:r>
      <w:bookmarkEnd w:id="1603"/>
      <w:bookmarkEnd w:id="1604"/>
      <w:bookmarkEnd w:id="1605"/>
      <w:bookmarkEnd w:id="1606"/>
      <w:bookmarkEnd w:id="1607"/>
      <w:bookmarkEnd w:id="1608"/>
      <w:bookmarkEnd w:id="1609"/>
    </w:p>
    <w:p w14:paraId="08A40E7E" w14:textId="77777777" w:rsidR="00D40151" w:rsidRPr="00873B6C" w:rsidRDefault="00D40151" w:rsidP="00D40151">
      <w:r w:rsidRPr="00873B6C">
        <w:t>The UE performs the classification and marking of UL User plane traffic, i.e. the association of UL traffic to QoS Flows, based on QoS rules. These QoS rules may be explicitly provided to the UE</w:t>
      </w:r>
      <w:r w:rsidRPr="00873B6C" w:rsidDel="00D17D7E">
        <w:t xml:space="preserve"> </w:t>
      </w:r>
      <w:r w:rsidRPr="00873B6C">
        <w:t xml:space="preserve">(i.e. explicitly signalled QoS rules </w:t>
      </w:r>
      <w:r w:rsidRPr="00873B6C">
        <w:lastRenderedPageBreak/>
        <w:t>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873B6C" w:rsidRDefault="00D40151" w:rsidP="00D40151">
      <w:r w:rsidRPr="00873B6C">
        <w:t>There can be more than one QoS rule associated with the same QoS Flow (i.e. with the same QFI).</w:t>
      </w:r>
    </w:p>
    <w:p w14:paraId="7D097C7B" w14:textId="77777777" w:rsidR="00D40151" w:rsidRPr="00873B6C" w:rsidRDefault="00D40151" w:rsidP="00D40151">
      <w:r w:rsidRPr="00873B6C">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47E29E6D" w:rsidR="00D40151" w:rsidRPr="00873B6C" w:rsidRDefault="00D40151" w:rsidP="00D40151">
      <w:r w:rsidRPr="00873B6C">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873B6C" w:rsidDel="004662AA">
        <w:t xml:space="preserve"> </w:t>
      </w:r>
      <w:r w:rsidRPr="00873B6C">
        <w:t>Set that allows all UL packets</w:t>
      </w:r>
      <w:r w:rsidR="00472CD7" w:rsidRPr="00873B6C">
        <w:t xml:space="preserve"> and</w:t>
      </w:r>
      <w:r w:rsidRPr="00873B6C">
        <w:t xml:space="preserve"> in this case, the highest precedence value shall be used for the QoS rule.</w:t>
      </w:r>
    </w:p>
    <w:p w14:paraId="5150C3C2" w14:textId="77777777" w:rsidR="00D40151" w:rsidRPr="00873B6C" w:rsidRDefault="00D40151" w:rsidP="00D40151">
      <w:pPr>
        <w:pStyle w:val="NO"/>
      </w:pPr>
      <w:r w:rsidRPr="00873B6C">
        <w:t>NOTE 2:</w:t>
      </w:r>
      <w:r w:rsidRPr="00873B6C">
        <w:tab/>
        <w:t>How the UE evaluates UL packets against the Packet Filter Set in a QoS rule is described in clause 5.7.1.5.</w:t>
      </w:r>
    </w:p>
    <w:p w14:paraId="2272DA19" w14:textId="77777777" w:rsidR="00D40151" w:rsidRPr="00873B6C" w:rsidRDefault="00D40151" w:rsidP="00D40151">
      <w:pPr>
        <w:pStyle w:val="NO"/>
      </w:pPr>
      <w:r w:rsidRPr="00873B6C">
        <w:t>NOTE 3:</w:t>
      </w:r>
      <w:r w:rsidRPr="00873B6C">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6ABEA16F" w:rsidR="00D40151" w:rsidRPr="00873B6C" w:rsidRDefault="00D40151" w:rsidP="00D40151">
      <w:r w:rsidRPr="00873B6C">
        <w:t>For Unstructured type PDU Session, the default QoS rule does not contain a Packet Filter Set</w:t>
      </w:r>
      <w:r w:rsidR="00472CD7" w:rsidRPr="00873B6C">
        <w:t xml:space="preserve"> and</w:t>
      </w:r>
      <w:r w:rsidRPr="00873B6C">
        <w:t xml:space="preserve"> in this case the default QoS rule defines the treatment of all packets in the PDU Session.</w:t>
      </w:r>
    </w:p>
    <w:p w14:paraId="5E2F733B" w14:textId="77777777" w:rsidR="00D40151" w:rsidRPr="00873B6C" w:rsidRDefault="00D40151" w:rsidP="00D40151">
      <w:r w:rsidRPr="00873B6C">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873B6C" w:rsidRDefault="00D40151" w:rsidP="00D40151">
      <w:pPr>
        <w:pStyle w:val="Heading4"/>
      </w:pPr>
      <w:bookmarkStart w:id="1610" w:name="_CR5_7_1_5"/>
      <w:bookmarkStart w:id="1611" w:name="_Toc20149797"/>
      <w:bookmarkStart w:id="1612" w:name="_Toc27846589"/>
      <w:bookmarkStart w:id="1613" w:name="_Toc36187715"/>
      <w:bookmarkStart w:id="1614" w:name="_Toc45183619"/>
      <w:bookmarkStart w:id="1615" w:name="_Toc47342461"/>
      <w:bookmarkStart w:id="1616" w:name="_Toc51769161"/>
      <w:bookmarkStart w:id="1617" w:name="_Toc201157116"/>
      <w:bookmarkEnd w:id="1610"/>
      <w:r w:rsidRPr="00873B6C">
        <w:t>5.7.1.5</w:t>
      </w:r>
      <w:r w:rsidRPr="00873B6C">
        <w:tab/>
        <w:t>QoS Flow mapping</w:t>
      </w:r>
      <w:bookmarkEnd w:id="1611"/>
      <w:bookmarkEnd w:id="1612"/>
      <w:bookmarkEnd w:id="1613"/>
      <w:bookmarkEnd w:id="1614"/>
      <w:bookmarkEnd w:id="1615"/>
      <w:bookmarkEnd w:id="1616"/>
      <w:bookmarkEnd w:id="1617"/>
    </w:p>
    <w:p w14:paraId="763B1B00" w14:textId="02E897A1" w:rsidR="00D40151" w:rsidRPr="00873B6C" w:rsidRDefault="00D40151" w:rsidP="00D40151">
      <w:pPr>
        <w:rPr>
          <w:lang w:eastAsia="zh-CN"/>
        </w:rPr>
      </w:pPr>
      <w:r w:rsidRPr="00873B6C">
        <w:t xml:space="preserve">The SMF performs the binding of PCC rules to QoS Flows based on the QoS and service requirements (as defined in </w:t>
      </w:r>
      <w:r w:rsidR="00972E70" w:rsidRPr="00873B6C">
        <w:t>TS 23.503 [</w:t>
      </w:r>
      <w:r w:rsidRPr="00873B6C">
        <w:t>45])</w:t>
      </w:r>
      <w:r w:rsidRPr="00873B6C">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873B6C" w:rsidRDefault="00D40151" w:rsidP="00D40151">
      <w:r w:rsidRPr="00873B6C">
        <w:t>When applicable, the SMF provides the following information for the QoS Flow to the (R)AN:</w:t>
      </w:r>
    </w:p>
    <w:p w14:paraId="75731A42" w14:textId="77777777" w:rsidR="00D40151" w:rsidRPr="00873B6C" w:rsidRDefault="00D40151" w:rsidP="00D40151">
      <w:pPr>
        <w:pStyle w:val="B1"/>
      </w:pPr>
      <w:r w:rsidRPr="00873B6C">
        <w:t>-</w:t>
      </w:r>
      <w:r w:rsidRPr="00873B6C">
        <w:tab/>
        <w:t>QFI;</w:t>
      </w:r>
    </w:p>
    <w:p w14:paraId="5BC34A6A" w14:textId="77777777" w:rsidR="00D40151" w:rsidRPr="00873B6C" w:rsidRDefault="00D40151" w:rsidP="00D40151">
      <w:pPr>
        <w:pStyle w:val="B1"/>
      </w:pPr>
      <w:r w:rsidRPr="00873B6C">
        <w:t>-</w:t>
      </w:r>
      <w:r w:rsidRPr="00873B6C">
        <w:tab/>
        <w:t>QoS profile as described in clause 5.7.1.2.</w:t>
      </w:r>
    </w:p>
    <w:p w14:paraId="6E0AA8D6" w14:textId="77777777" w:rsidR="00D40151" w:rsidRPr="00873B6C" w:rsidRDefault="00D40151" w:rsidP="00D40151">
      <w:pPr>
        <w:pStyle w:val="B1"/>
      </w:pPr>
      <w:r w:rsidRPr="00873B6C">
        <w:t>-</w:t>
      </w:r>
      <w:r w:rsidRPr="00873B6C">
        <w:tab/>
        <w:t>optionally, Alternative QoS Profile(s) as described in clause 5.7.1.2a;</w:t>
      </w:r>
    </w:p>
    <w:p w14:paraId="29FBFBE6" w14:textId="77777777" w:rsidR="00D40151" w:rsidRPr="00873B6C" w:rsidRDefault="00D40151" w:rsidP="00D40151">
      <w:r w:rsidRPr="00873B6C">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873B6C" w:rsidRDefault="00D40151" w:rsidP="00D40151">
      <w:pPr>
        <w:pStyle w:val="B1"/>
      </w:pPr>
      <w:r w:rsidRPr="00873B6C">
        <w:t>-</w:t>
      </w:r>
      <w:r w:rsidRPr="00873B6C">
        <w:tab/>
        <w:t>a DL PDR containing the DL part of the SDF template;</w:t>
      </w:r>
    </w:p>
    <w:p w14:paraId="45347778" w14:textId="77777777" w:rsidR="00D40151" w:rsidRPr="00873B6C" w:rsidRDefault="00D40151" w:rsidP="00D40151">
      <w:pPr>
        <w:pStyle w:val="B1"/>
      </w:pPr>
      <w:r w:rsidRPr="00873B6C">
        <w:t>-</w:t>
      </w:r>
      <w:r w:rsidRPr="00873B6C">
        <w:tab/>
        <w:t>an UL PDR containing the UL part of the SDF template;</w:t>
      </w:r>
    </w:p>
    <w:p w14:paraId="08D7FFCD" w14:textId="77777777" w:rsidR="00D40151" w:rsidRPr="00873B6C" w:rsidRDefault="00D40151" w:rsidP="00D40151">
      <w:pPr>
        <w:pStyle w:val="NO"/>
      </w:pPr>
      <w:r w:rsidRPr="00873B6C">
        <w:t>NOTE 1:</w:t>
      </w:r>
      <w:r w:rsidRPr="00873B6C">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873B6C" w:rsidRDefault="00D40151" w:rsidP="00D40151">
      <w:pPr>
        <w:pStyle w:val="B1"/>
      </w:pPr>
      <w:r w:rsidRPr="00873B6C">
        <w:t>-</w:t>
      </w:r>
      <w:r w:rsidRPr="00873B6C">
        <w:tab/>
        <w:t>the PDR precedence value (see clause 5.7.1.9) for both PDRs is set to the precedence value of the PCC rule;</w:t>
      </w:r>
    </w:p>
    <w:p w14:paraId="185C934D" w14:textId="77777777" w:rsidR="00D40151" w:rsidRPr="00873B6C" w:rsidRDefault="00D40151" w:rsidP="00D40151">
      <w:pPr>
        <w:pStyle w:val="B1"/>
      </w:pPr>
      <w:r w:rsidRPr="00873B6C">
        <w:t>-</w:t>
      </w:r>
      <w:r w:rsidRPr="00873B6C">
        <w:tab/>
        <w:t>QoS related information (e.g. MBR for an SDF, GFBR and MFBR for a GBR QoS Flow) as described in clause 5.8.2;</w:t>
      </w:r>
    </w:p>
    <w:p w14:paraId="328BB8C1" w14:textId="77777777" w:rsidR="00D40151" w:rsidRPr="00873B6C" w:rsidRDefault="00D40151" w:rsidP="00D40151">
      <w:pPr>
        <w:pStyle w:val="B1"/>
      </w:pPr>
      <w:r w:rsidRPr="00873B6C">
        <w:lastRenderedPageBreak/>
        <w:t>-</w:t>
      </w:r>
      <w:r w:rsidRPr="00873B6C">
        <w:tab/>
        <w:t>the corresponding packet marking information (e.g. the QFI, the transport level packet marking value (e.g. the DSCP value of the outer IP header);</w:t>
      </w:r>
    </w:p>
    <w:p w14:paraId="353B9E67" w14:textId="77777777" w:rsidR="00D40151" w:rsidRPr="00873B6C" w:rsidRDefault="00D40151" w:rsidP="00D40151">
      <w:pPr>
        <w:pStyle w:val="B1"/>
      </w:pPr>
      <w:r w:rsidRPr="00873B6C">
        <w:t>-</w:t>
      </w:r>
      <w:r w:rsidRPr="00873B6C">
        <w:tab/>
        <w:t>optionally, the Reflective QoS Indication is included in the QER associated with the DL PDR (as described in clause 5.7.5.3).</w:t>
      </w:r>
    </w:p>
    <w:p w14:paraId="4B38AA89" w14:textId="77777777" w:rsidR="00D40151" w:rsidRPr="00873B6C" w:rsidRDefault="00D40151" w:rsidP="00D40151">
      <w:r w:rsidRPr="00873B6C">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873B6C" w:rsidRDefault="00D40151" w:rsidP="00D40151">
      <w:pPr>
        <w:pStyle w:val="B1"/>
      </w:pPr>
      <w:r w:rsidRPr="00873B6C">
        <w:t>-</w:t>
      </w:r>
      <w:r w:rsidRPr="00873B6C">
        <w:tab/>
        <w:t>A unique (for the PDU Session) QoS rule identifier is assigned;</w:t>
      </w:r>
    </w:p>
    <w:p w14:paraId="27A3D296" w14:textId="77777777" w:rsidR="00D40151" w:rsidRPr="00873B6C" w:rsidRDefault="00D40151" w:rsidP="00D40151">
      <w:pPr>
        <w:pStyle w:val="B1"/>
      </w:pPr>
      <w:r w:rsidRPr="00873B6C">
        <w:t>-</w:t>
      </w:r>
      <w:r w:rsidRPr="00873B6C">
        <w:tab/>
        <w:t>The QFI in the QoS rule is set to the QFI of the QoS Flow to which the PCC rule is bound;</w:t>
      </w:r>
    </w:p>
    <w:p w14:paraId="52D27B1D" w14:textId="4027AFE2" w:rsidR="00D40151" w:rsidRPr="00873B6C" w:rsidRDefault="00D40151" w:rsidP="00D40151">
      <w:pPr>
        <w:pStyle w:val="B1"/>
      </w:pPr>
      <w:r w:rsidRPr="00873B6C">
        <w:t>-</w:t>
      </w:r>
      <w:r w:rsidRPr="00873B6C">
        <w:tab/>
        <w:t xml:space="preserve">The Packet Filter Set of the QoS rule is generated from the UL SDF filters and optionally the DL SDF filters of the PCC rule (but only from those SDF filters that have an indication for being signalled to the UE, as defined in </w:t>
      </w:r>
      <w:r w:rsidR="00972E70" w:rsidRPr="00873B6C">
        <w:t>TS 23.503 [</w:t>
      </w:r>
      <w:r w:rsidRPr="00873B6C">
        <w:t>45]);</w:t>
      </w:r>
    </w:p>
    <w:p w14:paraId="6FC9F155" w14:textId="77777777" w:rsidR="00D40151" w:rsidRPr="00873B6C" w:rsidRDefault="00D40151" w:rsidP="00D40151">
      <w:pPr>
        <w:pStyle w:val="B1"/>
      </w:pPr>
      <w:r w:rsidRPr="00873B6C">
        <w:t>-</w:t>
      </w:r>
      <w:r w:rsidRPr="00873B6C">
        <w:tab/>
        <w:t>The QoS rule precedence value is set to the precedence value of the PCC rule for which the QoS rule is generated;</w:t>
      </w:r>
    </w:p>
    <w:p w14:paraId="313C3600" w14:textId="1D856C1A" w:rsidR="00D40151" w:rsidRPr="00873B6C" w:rsidRDefault="00D40151" w:rsidP="00D40151">
      <w:pPr>
        <w:pStyle w:val="B1"/>
      </w:pPr>
      <w:r w:rsidRPr="00873B6C">
        <w:t>-</w:t>
      </w:r>
      <w:r w:rsidRPr="00873B6C">
        <w:tab/>
        <w:t xml:space="preserve">for a dynamically assigned QFI, the QoS Flow level QoS parameters (e.g. 5QI, GFBR, MFBR, Averaging Window, see </w:t>
      </w:r>
      <w:r w:rsidR="00972E70" w:rsidRPr="00873B6C">
        <w:t>TS 24.501 [</w:t>
      </w:r>
      <w:r w:rsidRPr="00873B6C">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873B6C">
        <w:t xml:space="preserve">however </w:t>
      </w:r>
      <w:r w:rsidRPr="00873B6C">
        <w:t>not provided to UE over N1</w:t>
      </w:r>
      <w:r w:rsidR="009D14FB" w:rsidRPr="00873B6C">
        <w:t xml:space="preserve"> in the case of more than one SDF</w:t>
      </w:r>
      <w:r w:rsidRPr="00873B6C">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873B6C" w:rsidRDefault="00D40151" w:rsidP="00D40151">
      <w:r w:rsidRPr="00873B6C">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873B6C" w:rsidRDefault="00D40151" w:rsidP="00D40151">
      <w:pPr>
        <w:pStyle w:val="NO"/>
      </w:pPr>
      <w:r w:rsidRPr="00873B6C">
        <w:t>NOTE 2:</w:t>
      </w:r>
      <w:r w:rsidRPr="00873B6C">
        <w:tab/>
        <w:t>The SMF cannot provide, update or remove pre-configured QoS rules or UE derived QoS rules.</w:t>
      </w:r>
    </w:p>
    <w:p w14:paraId="6BEC89B5" w14:textId="77777777" w:rsidR="00D40151" w:rsidRPr="00873B6C" w:rsidRDefault="00D40151" w:rsidP="00D40151">
      <w:r w:rsidRPr="00873B6C">
        <w:t>The principle for classification and marking of User Plane traffic and mapping of QoS Flows to AN resources is illustrated in Figure 5.7.1.5-1.</w:t>
      </w:r>
    </w:p>
    <w:p w14:paraId="6C6BD5E5" w14:textId="77777777" w:rsidR="00D40151" w:rsidRPr="00873B6C" w:rsidRDefault="00D40151" w:rsidP="00D40151">
      <w:pPr>
        <w:pStyle w:val="TH"/>
      </w:pPr>
      <w:r w:rsidRPr="00873B6C">
        <w:object w:dxaOrig="9111" w:dyaOrig="4344" w14:anchorId="6E69B5EC">
          <v:shape id="_x0000_i1095" type="#_x0000_t75" style="width:455.15pt;height:217.25pt" o:ole="">
            <v:imagedata r:id="rId149" o:title=""/>
          </v:shape>
          <o:OLEObject Type="Embed" ProgID="Word.Picture.8" ShapeID="_x0000_i1095" DrawAspect="Content" ObjectID="_1811772429" r:id="rId150"/>
        </w:object>
      </w:r>
    </w:p>
    <w:p w14:paraId="7FF996D1" w14:textId="77777777" w:rsidR="00D40151" w:rsidRPr="00873B6C" w:rsidRDefault="00D40151" w:rsidP="00D40151">
      <w:pPr>
        <w:pStyle w:val="TF"/>
      </w:pPr>
      <w:bookmarkStart w:id="1618" w:name="_CRFigure5_7_1_51"/>
      <w:r w:rsidRPr="00873B6C">
        <w:t xml:space="preserve">Figure </w:t>
      </w:r>
      <w:bookmarkEnd w:id="1618"/>
      <w:r w:rsidRPr="00873B6C">
        <w:t>5.7.1.5-1: The principle for classification and User Plane marking for QoS Flows and mapping to AN Resources</w:t>
      </w:r>
    </w:p>
    <w:p w14:paraId="251BCE08" w14:textId="06B0ED43" w:rsidR="00D40151" w:rsidRPr="00873B6C" w:rsidRDefault="00D40151" w:rsidP="00D40151">
      <w:r w:rsidRPr="00873B6C">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w:t>
      </w:r>
      <w:r w:rsidRPr="00873B6C">
        <w:lastRenderedPageBreak/>
        <w:t>AN resources (i.e. Data Radio Bearers of in the case of 3GPP RAN). There is no strict 1:1 relation between QoS Flows and AN resources. It is up to the AN to establish the necessary AN resources that QoS Flows can be mapped to</w:t>
      </w:r>
      <w:r w:rsidR="00472CD7" w:rsidRPr="00873B6C">
        <w:t xml:space="preserve"> and</w:t>
      </w:r>
      <w:r w:rsidRPr="00873B6C">
        <w:t xml:space="preserve"> to release them. The AN shall indicate to the SMF when the AN resources onto which a QoS Flow is mapped are released.</w:t>
      </w:r>
    </w:p>
    <w:p w14:paraId="36BBD75B" w14:textId="77777777" w:rsidR="00D40151" w:rsidRPr="00873B6C" w:rsidRDefault="00D40151" w:rsidP="00D40151">
      <w:pPr>
        <w:rPr>
          <w:lang w:eastAsia="zh-CN"/>
        </w:rPr>
      </w:pPr>
      <w:r w:rsidRPr="00873B6C">
        <w:t xml:space="preserve">If no matching DL PDR is found, the </w:t>
      </w:r>
      <w:r w:rsidRPr="00873B6C">
        <w:rPr>
          <w:lang w:eastAsia="zh-CN"/>
        </w:rPr>
        <w:t>UPF</w:t>
      </w:r>
      <w:r w:rsidRPr="00873B6C">
        <w:t xml:space="preserve"> shall discard the </w:t>
      </w:r>
      <w:r w:rsidRPr="00873B6C">
        <w:rPr>
          <w:lang w:eastAsia="zh-CN"/>
        </w:rPr>
        <w:t>DL</w:t>
      </w:r>
      <w:r w:rsidRPr="00873B6C">
        <w:t xml:space="preserve"> data packet.</w:t>
      </w:r>
    </w:p>
    <w:p w14:paraId="5F419EB7" w14:textId="77777777" w:rsidR="00D40151" w:rsidRPr="00873B6C" w:rsidRDefault="00D40151" w:rsidP="00D40151">
      <w:r w:rsidRPr="00873B6C">
        <w:t>In UL:</w:t>
      </w:r>
    </w:p>
    <w:p w14:paraId="7372B874" w14:textId="77777777" w:rsidR="00D40151" w:rsidRPr="00873B6C" w:rsidRDefault="00D40151" w:rsidP="00D40151">
      <w:pPr>
        <w:pStyle w:val="B1"/>
      </w:pPr>
      <w:r w:rsidRPr="00873B6C">
        <w:t>-</w:t>
      </w:r>
      <w:r w:rsidRPr="00873B6C">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873B6C" w:rsidRDefault="00D40151" w:rsidP="00D40151">
      <w:pPr>
        <w:pStyle w:val="B1"/>
      </w:pPr>
      <w:r w:rsidRPr="00873B6C">
        <w:t>-</w:t>
      </w:r>
      <w:r w:rsidRPr="00873B6C">
        <w:tab/>
        <w:t>If no matching QoS rule is found, the UE shall discard the UL data packet.</w:t>
      </w:r>
    </w:p>
    <w:p w14:paraId="17D3658C" w14:textId="77777777" w:rsidR="00D40151" w:rsidRPr="00873B6C" w:rsidRDefault="00D40151" w:rsidP="00D40151">
      <w:pPr>
        <w:pStyle w:val="B1"/>
      </w:pPr>
      <w:r w:rsidRPr="00873B6C">
        <w:t>-</w:t>
      </w:r>
      <w:r w:rsidRPr="00873B6C">
        <w:tab/>
        <w:t>For a PDU Session of Type Unstructured, the default QoS rule does not contain a Packet Filter Set and allows all UL packets.</w:t>
      </w:r>
    </w:p>
    <w:p w14:paraId="23EB6A0D" w14:textId="77777777" w:rsidR="00D40151" w:rsidRPr="00873B6C" w:rsidRDefault="00D40151" w:rsidP="00D40151">
      <w:pPr>
        <w:pStyle w:val="NO"/>
      </w:pPr>
      <w:r w:rsidRPr="00873B6C">
        <w:t>NOTE 3:</w:t>
      </w:r>
      <w:r w:rsidRPr="00873B6C">
        <w:tab/>
        <w:t>Only the default QoS rule exist for a PDU Session of Type Unstructured.</w:t>
      </w:r>
    </w:p>
    <w:p w14:paraId="1950456C" w14:textId="77777777" w:rsidR="00D40151" w:rsidRPr="00873B6C" w:rsidRDefault="00D40151" w:rsidP="00D40151">
      <w:pPr>
        <w:pStyle w:val="B1"/>
      </w:pPr>
      <w:r w:rsidRPr="00873B6C">
        <w:tab/>
        <w:t>The UE uses the QFI in the corresponding matching QoS rule to bind the UL packet to a QoS Flow. The UE then binds QoS Flows to AN resources.</w:t>
      </w:r>
    </w:p>
    <w:p w14:paraId="37840BC3" w14:textId="77777777" w:rsidR="00D40151" w:rsidRPr="00873B6C" w:rsidRDefault="00D40151" w:rsidP="00D40151">
      <w:pPr>
        <w:pStyle w:val="Heading4"/>
      </w:pPr>
      <w:bookmarkStart w:id="1619" w:name="_CR5_7_1_6"/>
      <w:bookmarkStart w:id="1620" w:name="_Toc20149798"/>
      <w:bookmarkStart w:id="1621" w:name="_Toc27846590"/>
      <w:bookmarkStart w:id="1622" w:name="_Toc36187716"/>
      <w:bookmarkStart w:id="1623" w:name="_Toc45183620"/>
      <w:bookmarkStart w:id="1624" w:name="_Toc47342462"/>
      <w:bookmarkStart w:id="1625" w:name="_Toc51769162"/>
      <w:bookmarkStart w:id="1626" w:name="_Toc201157117"/>
      <w:bookmarkEnd w:id="1619"/>
      <w:r w:rsidRPr="00873B6C">
        <w:t>5.7.1.6</w:t>
      </w:r>
      <w:r w:rsidRPr="00873B6C">
        <w:tab/>
        <w:t>DL traffic</w:t>
      </w:r>
      <w:bookmarkEnd w:id="1620"/>
      <w:bookmarkEnd w:id="1621"/>
      <w:bookmarkEnd w:id="1622"/>
      <w:bookmarkEnd w:id="1623"/>
      <w:bookmarkEnd w:id="1624"/>
      <w:bookmarkEnd w:id="1625"/>
      <w:bookmarkEnd w:id="1626"/>
    </w:p>
    <w:p w14:paraId="5FC41546" w14:textId="77777777" w:rsidR="00D40151" w:rsidRPr="00873B6C" w:rsidRDefault="00D40151" w:rsidP="00D40151">
      <w:r w:rsidRPr="00873B6C">
        <w:t>The following characteristics apply for processing of DL traffic:</w:t>
      </w:r>
    </w:p>
    <w:p w14:paraId="00710BAE" w14:textId="77777777" w:rsidR="00D40151" w:rsidRPr="00873B6C" w:rsidRDefault="00D40151" w:rsidP="00D40151">
      <w:pPr>
        <w:pStyle w:val="B1"/>
      </w:pPr>
      <w:r w:rsidRPr="00873B6C">
        <w:t>-</w:t>
      </w:r>
      <w:r w:rsidRPr="00873B6C">
        <w:tab/>
        <w:t>UPF maps User Plane traffic to QoS Flows based on the PDRs.</w:t>
      </w:r>
    </w:p>
    <w:p w14:paraId="0BD9BF3F" w14:textId="77777777" w:rsidR="00D40151" w:rsidRPr="00873B6C" w:rsidRDefault="00D40151" w:rsidP="00D40151">
      <w:pPr>
        <w:pStyle w:val="B1"/>
      </w:pPr>
      <w:r w:rsidRPr="00873B6C">
        <w:t>-</w:t>
      </w:r>
      <w:r w:rsidRPr="00873B6C">
        <w:tab/>
        <w:t>UPF performs Session-AMBR enforcement as specified in clause 5.7.1.8 and performs counting of packets for charging.</w:t>
      </w:r>
    </w:p>
    <w:p w14:paraId="3B8A8DBC" w14:textId="77777777" w:rsidR="00D40151" w:rsidRPr="00873B6C" w:rsidRDefault="00D40151" w:rsidP="00D40151">
      <w:pPr>
        <w:pStyle w:val="B1"/>
      </w:pPr>
      <w:r w:rsidRPr="00873B6C">
        <w:t>-</w:t>
      </w:r>
      <w:r w:rsidRPr="00873B6C">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873B6C" w:rsidRDefault="00D40151" w:rsidP="00D40151">
      <w:pPr>
        <w:pStyle w:val="B1"/>
      </w:pPr>
      <w:r w:rsidRPr="00873B6C">
        <w:t>-</w:t>
      </w:r>
      <w:r w:rsidRPr="00873B6C">
        <w:tab/>
        <w:t>UPF performs transport level packet marking in DL on a per QoS Flow basis. The UPF uses the transport level packet marking value provided by the SMF (as described in clause 5.8.2.7).</w:t>
      </w:r>
    </w:p>
    <w:p w14:paraId="4A05E2C9" w14:textId="77777777" w:rsidR="00D40151" w:rsidRPr="00873B6C" w:rsidRDefault="00D40151" w:rsidP="00D40151">
      <w:pPr>
        <w:pStyle w:val="B1"/>
      </w:pPr>
      <w:r w:rsidRPr="00873B6C">
        <w:t>-</w:t>
      </w:r>
      <w:r w:rsidRPr="00873B6C">
        <w:tab/>
        <w:t>(R)AN maps PDUs from QoS Flows to access-specific resources based on the QFI and the associated 5G QoS profile, also taking into account the N3 tunnel associated with the DL packet.</w:t>
      </w:r>
    </w:p>
    <w:p w14:paraId="5EDA17CD" w14:textId="77777777" w:rsidR="00D40151" w:rsidRPr="00873B6C" w:rsidRDefault="00D40151" w:rsidP="00D40151">
      <w:pPr>
        <w:pStyle w:val="NO"/>
      </w:pPr>
      <w:r w:rsidRPr="00873B6C">
        <w:t>NOTE:</w:t>
      </w:r>
      <w:r w:rsidRPr="00873B6C">
        <w:tab/>
        <w:t>Packet Filters are not used for the mapping of QoS Flows onto access-specific resources in (R)AN.</w:t>
      </w:r>
    </w:p>
    <w:p w14:paraId="6FD00B0E" w14:textId="77777777" w:rsidR="00D40151" w:rsidRPr="00873B6C" w:rsidRDefault="00D40151" w:rsidP="00D40151">
      <w:pPr>
        <w:pStyle w:val="B1"/>
      </w:pPr>
      <w:r w:rsidRPr="00873B6C">
        <w:t>-</w:t>
      </w:r>
      <w:r w:rsidRPr="00873B6C">
        <w:tab/>
        <w:t>If Reflective QoS applies, the UE creates a new derived QoS rule as defined in clause 5.7.5.2.</w:t>
      </w:r>
    </w:p>
    <w:p w14:paraId="1B451465" w14:textId="77777777" w:rsidR="00D40151" w:rsidRPr="00873B6C" w:rsidRDefault="00D40151" w:rsidP="00D40151">
      <w:pPr>
        <w:pStyle w:val="Heading4"/>
      </w:pPr>
      <w:bookmarkStart w:id="1627" w:name="_CR5_7_1_7"/>
      <w:bookmarkStart w:id="1628" w:name="_Toc20149799"/>
      <w:bookmarkStart w:id="1629" w:name="_Toc27846591"/>
      <w:bookmarkStart w:id="1630" w:name="_Toc36187717"/>
      <w:bookmarkStart w:id="1631" w:name="_Toc45183621"/>
      <w:bookmarkStart w:id="1632" w:name="_Toc47342463"/>
      <w:bookmarkStart w:id="1633" w:name="_Toc51769163"/>
      <w:bookmarkStart w:id="1634" w:name="_Toc201157118"/>
      <w:bookmarkEnd w:id="1627"/>
      <w:r w:rsidRPr="00873B6C">
        <w:t>5.7.1.7</w:t>
      </w:r>
      <w:r w:rsidRPr="00873B6C">
        <w:tab/>
        <w:t>UL Traffic</w:t>
      </w:r>
      <w:bookmarkEnd w:id="1628"/>
      <w:bookmarkEnd w:id="1629"/>
      <w:bookmarkEnd w:id="1630"/>
      <w:bookmarkEnd w:id="1631"/>
      <w:bookmarkEnd w:id="1632"/>
      <w:bookmarkEnd w:id="1633"/>
      <w:bookmarkEnd w:id="1634"/>
    </w:p>
    <w:p w14:paraId="442C275B" w14:textId="77777777" w:rsidR="00D40151" w:rsidRPr="00873B6C" w:rsidRDefault="00D40151" w:rsidP="00D40151">
      <w:r w:rsidRPr="00873B6C">
        <w:t>Following characteristics apply for processing of UL traffic:</w:t>
      </w:r>
    </w:p>
    <w:p w14:paraId="6CEE9E87" w14:textId="229A9172" w:rsidR="00D40151" w:rsidRPr="00873B6C" w:rsidRDefault="00D40151" w:rsidP="00D40151">
      <w:pPr>
        <w:pStyle w:val="B1"/>
      </w:pPr>
      <w:r w:rsidRPr="00873B6C">
        <w:t>-</w:t>
      </w:r>
      <w:r w:rsidRPr="00873B6C">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873B6C">
        <w:t xml:space="preserve"> clause 10.5.2</w:t>
      </w:r>
      <w:r w:rsidRPr="00873B6C">
        <w:t xml:space="preserve"> </w:t>
      </w:r>
      <w:r w:rsidR="00960CDA" w:rsidRPr="00873B6C">
        <w:t xml:space="preserve">of </w:t>
      </w:r>
      <w:r w:rsidR="00972E70" w:rsidRPr="00873B6C">
        <w:t>TS 38.300 [</w:t>
      </w:r>
      <w:r w:rsidRPr="00873B6C">
        <w:t>27].</w:t>
      </w:r>
    </w:p>
    <w:p w14:paraId="1944A465" w14:textId="05124518" w:rsidR="00D40151" w:rsidRPr="00873B6C" w:rsidRDefault="00D40151" w:rsidP="00D40151">
      <w:pPr>
        <w:pStyle w:val="B1"/>
      </w:pPr>
      <w:r w:rsidRPr="00873B6C">
        <w:t>-</w:t>
      </w:r>
      <w:r w:rsidRPr="00873B6C">
        <w:tab/>
        <w:t>(R)AN transmits the PDUs over N3 tunnel towards UPF. When passing an UL packet from (R)AN to CN, the (R)AN includes the QFI value, in the encapsulation header of the UL PDU</w:t>
      </w:r>
      <w:r w:rsidR="00472CD7" w:rsidRPr="00873B6C">
        <w:t xml:space="preserve"> and</w:t>
      </w:r>
      <w:r w:rsidRPr="00873B6C">
        <w:t xml:space="preserve"> selects the N3 tunnel.</w:t>
      </w:r>
    </w:p>
    <w:p w14:paraId="79637A33" w14:textId="77777777" w:rsidR="00D40151" w:rsidRPr="00873B6C" w:rsidRDefault="00D40151" w:rsidP="00D40151">
      <w:pPr>
        <w:pStyle w:val="B1"/>
      </w:pPr>
      <w:r w:rsidRPr="00873B6C">
        <w:t>-</w:t>
      </w:r>
      <w:r w:rsidRPr="00873B6C">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873B6C" w:rsidRDefault="00D40151" w:rsidP="00D40151">
      <w:pPr>
        <w:pStyle w:val="B1"/>
      </w:pPr>
      <w:r w:rsidRPr="00873B6C">
        <w:rPr>
          <w:lang w:eastAsia="zh-CN"/>
        </w:rPr>
        <w:t>-</w:t>
      </w:r>
      <w:r w:rsidRPr="00873B6C">
        <w:rPr>
          <w:lang w:eastAsia="zh-CN"/>
        </w:rPr>
        <w:tab/>
        <w:t>UPF verifies whether QFIs in the UL PDUs are aligned with the QoS Rules provided to the UE or implicitly derived by the UE in the case of Reflective QoS).</w:t>
      </w:r>
    </w:p>
    <w:p w14:paraId="46362C3D" w14:textId="77777777" w:rsidR="00D40151" w:rsidRPr="00873B6C" w:rsidRDefault="00D40151" w:rsidP="00D40151">
      <w:pPr>
        <w:pStyle w:val="B1"/>
      </w:pPr>
      <w:r w:rsidRPr="00873B6C">
        <w:lastRenderedPageBreak/>
        <w:t>-</w:t>
      </w:r>
      <w:r w:rsidRPr="00873B6C">
        <w:tab/>
        <w:t>UPF and UE perform Session-AMBR enforcement as specified in clause 5.7.1.8 and the UPF performs counting of packets for charging.</w:t>
      </w:r>
    </w:p>
    <w:p w14:paraId="274BF1E9" w14:textId="77777777" w:rsidR="00D40151" w:rsidRPr="00873B6C" w:rsidRDefault="00D40151" w:rsidP="00D40151">
      <w:pPr>
        <w:pStyle w:val="Heading4"/>
      </w:pPr>
      <w:bookmarkStart w:id="1635" w:name="_CR5_7_1_8"/>
      <w:bookmarkStart w:id="1636" w:name="_Toc20149800"/>
      <w:bookmarkStart w:id="1637" w:name="_Toc27846592"/>
      <w:bookmarkStart w:id="1638" w:name="_Toc36187718"/>
      <w:bookmarkStart w:id="1639" w:name="_Toc45183622"/>
      <w:bookmarkStart w:id="1640" w:name="_Toc47342464"/>
      <w:bookmarkStart w:id="1641" w:name="_Toc51769164"/>
      <w:bookmarkStart w:id="1642" w:name="_Toc201157119"/>
      <w:bookmarkEnd w:id="1635"/>
      <w:r w:rsidRPr="00873B6C">
        <w:t>5.7.1.8</w:t>
      </w:r>
      <w:r w:rsidRPr="00873B6C">
        <w:tab/>
        <w:t>AMBR/MFBR enforcement and rate limitation</w:t>
      </w:r>
      <w:bookmarkEnd w:id="1636"/>
      <w:bookmarkEnd w:id="1637"/>
      <w:bookmarkEnd w:id="1638"/>
      <w:bookmarkEnd w:id="1639"/>
      <w:bookmarkEnd w:id="1640"/>
      <w:bookmarkEnd w:id="1641"/>
      <w:bookmarkEnd w:id="1642"/>
    </w:p>
    <w:p w14:paraId="278C31A4" w14:textId="22147B86" w:rsidR="00D40151" w:rsidRPr="00873B6C" w:rsidRDefault="00D40151" w:rsidP="00D40151">
      <w:r w:rsidRPr="00873B6C">
        <w:t>UL and DL Session-AMBR (see clause 5.7.2.6) shall be enforced by the UPF, if the UPF receives the Session-AMBR values from the SMF as described in clause 5.8.2.7 and clause </w:t>
      </w:r>
      <w:r w:rsidR="003D4653" w:rsidRPr="00873B6C">
        <w:t>5.8.5</w:t>
      </w:r>
      <w:r w:rsidRPr="00873B6C">
        <w:t>.4.</w:t>
      </w:r>
    </w:p>
    <w:p w14:paraId="48592AAF" w14:textId="77777777" w:rsidR="00D40151" w:rsidRPr="00873B6C" w:rsidRDefault="00D40151" w:rsidP="00D40151">
      <w:r w:rsidRPr="00873B6C">
        <w:t xml:space="preserve">For UL Classifier PDU Sessions, UL and DL Session-AMBR (see clause 5.7.2.6) shall be enforced in the </w:t>
      </w:r>
      <w:r w:rsidRPr="00873B6C">
        <w:rPr>
          <w:lang w:eastAsia="zh-CN"/>
        </w:rPr>
        <w:t xml:space="preserve">SMF selected </w:t>
      </w:r>
      <w:r w:rsidRPr="00873B6C">
        <w:t>UPF that supports the UL Classifier functionality. In addition, the DL Session</w:t>
      </w:r>
      <w:r w:rsidRPr="00873B6C">
        <w:rPr>
          <w:lang w:eastAsia="zh-CN"/>
        </w:rPr>
        <w:t>-</w:t>
      </w:r>
      <w:r w:rsidRPr="00873B6C">
        <w:t>AMBR shall be enforced</w:t>
      </w:r>
      <w:r w:rsidRPr="00873B6C">
        <w:rPr>
          <w:lang w:eastAsia="zh-CN"/>
        </w:rPr>
        <w:t xml:space="preserve"> separately</w:t>
      </w:r>
      <w:r w:rsidRPr="00873B6C">
        <w:t xml:space="preserve"> in every UPF that terminates the N6 interface</w:t>
      </w:r>
      <w:r w:rsidRPr="00873B6C">
        <w:rPr>
          <w:lang w:eastAsia="zh-CN"/>
        </w:rPr>
        <w:t xml:space="preserve"> (i.e. without requiring interaction between the UPFs)</w:t>
      </w:r>
      <w:r w:rsidRPr="00873B6C">
        <w:t xml:space="preserve"> (see clause 5.6.4).</w:t>
      </w:r>
    </w:p>
    <w:p w14:paraId="1FC747B4" w14:textId="77777777" w:rsidR="00D40151" w:rsidRPr="00873B6C" w:rsidRDefault="00D40151" w:rsidP="00D40151">
      <w:r w:rsidRPr="00873B6C">
        <w:t>For multi-homed PDU Sessions, UL and DL Session</w:t>
      </w:r>
      <w:r w:rsidRPr="00873B6C">
        <w:rPr>
          <w:lang w:eastAsia="zh-CN"/>
        </w:rPr>
        <w:t>-</w:t>
      </w:r>
      <w:r w:rsidRPr="00873B6C">
        <w:t xml:space="preserve">AMBR shall be enforced </w:t>
      </w:r>
      <w:r w:rsidRPr="00873B6C">
        <w:rPr>
          <w:lang w:eastAsia="zh-CN"/>
        </w:rPr>
        <w:t xml:space="preserve">in the </w:t>
      </w:r>
      <w:r w:rsidRPr="00873B6C">
        <w:t xml:space="preserve">UPF that supports the </w:t>
      </w:r>
      <w:r w:rsidRPr="00873B6C">
        <w:rPr>
          <w:lang w:eastAsia="zh-CN"/>
        </w:rPr>
        <w:t>Branching Point functionality</w:t>
      </w:r>
      <w:r w:rsidRPr="00873B6C">
        <w:t>.</w:t>
      </w:r>
      <w:r w:rsidRPr="00873B6C">
        <w:rPr>
          <w:lang w:eastAsia="zh-CN"/>
        </w:rPr>
        <w:t xml:space="preserve"> </w:t>
      </w:r>
      <w:r w:rsidRPr="00873B6C">
        <w:t xml:space="preserve">In addition, </w:t>
      </w:r>
      <w:r w:rsidRPr="00873B6C">
        <w:rPr>
          <w:lang w:eastAsia="zh-CN"/>
        </w:rPr>
        <w:t xml:space="preserve">the </w:t>
      </w:r>
      <w:r w:rsidRPr="00873B6C">
        <w:t xml:space="preserve">DL </w:t>
      </w:r>
      <w:r w:rsidRPr="00873B6C">
        <w:rPr>
          <w:lang w:eastAsia="zh-CN"/>
        </w:rPr>
        <w:t>Session-AMBR shall be enforced separately in every UPF that terminates the N6 interface (i.e. without requiring interaction between the UPFs)</w:t>
      </w:r>
      <w:r w:rsidRPr="00873B6C">
        <w:t xml:space="preserve"> (see clause 5.6.4).</w:t>
      </w:r>
    </w:p>
    <w:p w14:paraId="3B168CD9" w14:textId="77777777" w:rsidR="00D40151" w:rsidRPr="00873B6C" w:rsidRDefault="00D40151" w:rsidP="00D40151">
      <w:pPr>
        <w:pStyle w:val="NO"/>
      </w:pPr>
      <w:r w:rsidRPr="00873B6C">
        <w:t>NOTE:</w:t>
      </w:r>
      <w:r w:rsidRPr="00873B6C">
        <w:tab/>
        <w:t>The DL Session</w:t>
      </w:r>
      <w:r w:rsidRPr="00873B6C">
        <w:rPr>
          <w:rFonts w:eastAsia="SimSun"/>
          <w:lang w:eastAsia="zh-CN"/>
        </w:rPr>
        <w:t>-</w:t>
      </w:r>
      <w:r w:rsidRPr="00873B6C">
        <w:t xml:space="preserve">AMBR is enforced in every UPF terminating the N6 interface to </w:t>
      </w:r>
      <w:r w:rsidRPr="00873B6C">
        <w:rPr>
          <w:rFonts w:eastAsia="SimSun"/>
          <w:lang w:eastAsia="zh-CN"/>
        </w:rPr>
        <w:t>reduce</w:t>
      </w:r>
      <w:r w:rsidRPr="00873B6C">
        <w:t xml:space="preserve"> unnecessary transport of traffic which </w:t>
      </w:r>
      <w:r w:rsidRPr="00873B6C">
        <w:rPr>
          <w:rFonts w:eastAsia="SimSun"/>
          <w:lang w:eastAsia="zh-CN"/>
        </w:rPr>
        <w:t>may</w:t>
      </w:r>
      <w:r w:rsidRPr="00873B6C">
        <w:t xml:space="preserve"> be discarded by the UPF performing the UL Classifier/Branching Point functionality</w:t>
      </w:r>
      <w:r w:rsidRPr="00873B6C">
        <w:rPr>
          <w:rFonts w:eastAsia="SimSun"/>
          <w:lang w:eastAsia="zh-CN"/>
        </w:rPr>
        <w:t xml:space="preserve"> due to the amount of the DL traffic for the PDU Session exceeding the DL Session-AMBR</w:t>
      </w:r>
      <w:r w:rsidRPr="00873B6C">
        <w:t>. Discarding DL packets in the UL Classifier/Branching Point could cause erroneous PDU counting for support of charging</w:t>
      </w:r>
    </w:p>
    <w:p w14:paraId="03A11D2C" w14:textId="59D47A79" w:rsidR="00D72F02" w:rsidRPr="00873B6C" w:rsidRDefault="00D72F02" w:rsidP="00D40151">
      <w:r w:rsidRPr="00873B6C">
        <w:t>For HR-SBO PDU Sessions, if the DL Session AMBR for Offloading is provided as described (see clause 6.7 of TS 23.548 [130]), the DL Session AMBR for Offloading is enforced by UPF that supports the UL Classifier/Branching Point functionality in the VPLMN and additionally separately in every PSA UPF that terminates the N6 interface toward the local part of DN in the VPLMN.</w:t>
      </w:r>
    </w:p>
    <w:p w14:paraId="6B262D1B" w14:textId="056EB84D" w:rsidR="00D40151" w:rsidRPr="00873B6C" w:rsidRDefault="00D40151" w:rsidP="00D40151">
      <w:r w:rsidRPr="00873B6C">
        <w:t>The (R)AN shall enforce UE-AMBR (see clause 5.7.2.6) in UL and DL per UE for Non-GBR QoS Flows.</w:t>
      </w:r>
    </w:p>
    <w:p w14:paraId="329D6191" w14:textId="77777777" w:rsidR="00D40151" w:rsidRPr="00873B6C" w:rsidRDefault="00D40151" w:rsidP="00D40151">
      <w:r w:rsidRPr="00873B6C">
        <w:t>The UE shall perform UL rate limitation on PDU Session basis for Non-GBR traffic using Session-AMBR, if the UE receives a Session-AMBR.</w:t>
      </w:r>
    </w:p>
    <w:p w14:paraId="5AB4BBC9" w14:textId="77777777" w:rsidR="00D40151" w:rsidRPr="00873B6C" w:rsidRDefault="00D40151" w:rsidP="00D40151">
      <w:r w:rsidRPr="00873B6C">
        <w:t>MBR per SDF is mandatory for GBR QoS Flows but optional for Non-GBR QoS Flows. The MBR is enforced in the UPF.</w:t>
      </w:r>
    </w:p>
    <w:p w14:paraId="6294EC21" w14:textId="77777777" w:rsidR="00D40151" w:rsidRPr="00873B6C" w:rsidRDefault="00D40151" w:rsidP="00D40151">
      <w:pPr>
        <w:rPr>
          <w:lang w:eastAsia="zh-CN"/>
        </w:rPr>
      </w:pPr>
      <w:r w:rsidRPr="00873B6C">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873B6C" w:rsidRDefault="00D40151" w:rsidP="00D40151">
      <w:pPr>
        <w:rPr>
          <w:lang w:eastAsia="zh-CN"/>
        </w:rPr>
      </w:pPr>
      <w:r w:rsidRPr="00873B6C">
        <w:rPr>
          <w:lang w:eastAsia="zh-CN"/>
        </w:rPr>
        <w:t xml:space="preserve">The QoS control for </w:t>
      </w:r>
      <w:r w:rsidRPr="00873B6C">
        <w:t>Unstructured PDUs</w:t>
      </w:r>
      <w:r w:rsidRPr="00873B6C">
        <w:rPr>
          <w:lang w:eastAsia="zh-CN"/>
        </w:rPr>
        <w:t xml:space="preserve"> is performed at the PDU Session level and in this Release of the specification t</w:t>
      </w:r>
      <w:r w:rsidRPr="00873B6C">
        <w:t>here is only support for maximum of one 5G QoS Flow per PDU Session of Type Unstructured.</w:t>
      </w:r>
    </w:p>
    <w:p w14:paraId="02BD9861" w14:textId="77777777" w:rsidR="00D40151" w:rsidRPr="00873B6C" w:rsidRDefault="00D40151" w:rsidP="00D40151">
      <w:r w:rsidRPr="00873B6C">
        <w:t>When a PDU Session is set up for transferring unstructured PDUs, SMF provides the QFI which will be applied to any packet of the PDU Session to the UPF and UE.</w:t>
      </w:r>
    </w:p>
    <w:p w14:paraId="3E8B7E75" w14:textId="77777777" w:rsidR="00D40151" w:rsidRPr="00873B6C" w:rsidRDefault="00D40151" w:rsidP="00D40151">
      <w:pPr>
        <w:pStyle w:val="Heading4"/>
      </w:pPr>
      <w:bookmarkStart w:id="1643" w:name="_CR5_7_1_9"/>
      <w:bookmarkStart w:id="1644" w:name="_Toc20149801"/>
      <w:bookmarkStart w:id="1645" w:name="_Toc27846593"/>
      <w:bookmarkStart w:id="1646" w:name="_Toc36187719"/>
      <w:bookmarkStart w:id="1647" w:name="_Toc45183623"/>
      <w:bookmarkStart w:id="1648" w:name="_Toc47342465"/>
      <w:bookmarkStart w:id="1649" w:name="_Toc51769165"/>
      <w:bookmarkStart w:id="1650" w:name="_Toc201157120"/>
      <w:bookmarkEnd w:id="1643"/>
      <w:r w:rsidRPr="00873B6C">
        <w:t>5.7.1.9</w:t>
      </w:r>
      <w:r w:rsidRPr="00873B6C">
        <w:tab/>
        <w:t>Precedence Value</w:t>
      </w:r>
      <w:bookmarkEnd w:id="1644"/>
      <w:bookmarkEnd w:id="1645"/>
      <w:bookmarkEnd w:id="1646"/>
      <w:bookmarkEnd w:id="1647"/>
      <w:bookmarkEnd w:id="1648"/>
      <w:bookmarkEnd w:id="1649"/>
      <w:bookmarkEnd w:id="1650"/>
    </w:p>
    <w:p w14:paraId="087F1159" w14:textId="77777777" w:rsidR="00D40151" w:rsidRPr="00873B6C" w:rsidRDefault="00D40151" w:rsidP="00D40151">
      <w:pPr>
        <w:rPr>
          <w:lang w:eastAsia="zh-CN"/>
        </w:rPr>
      </w:pPr>
      <w:r w:rsidRPr="00873B6C">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873B6C" w:rsidRDefault="00BA212C" w:rsidP="00BA212C">
      <w:pPr>
        <w:pStyle w:val="Heading4"/>
      </w:pPr>
      <w:bookmarkStart w:id="1651" w:name="_CR5_7_1_10"/>
      <w:bookmarkStart w:id="1652" w:name="_Toc20149802"/>
      <w:bookmarkStart w:id="1653" w:name="_Toc27846594"/>
      <w:bookmarkStart w:id="1654" w:name="_Toc36187720"/>
      <w:bookmarkStart w:id="1655" w:name="_Toc45183624"/>
      <w:bookmarkStart w:id="1656" w:name="_Toc47342466"/>
      <w:bookmarkStart w:id="1657" w:name="_Toc51769166"/>
      <w:bookmarkStart w:id="1658" w:name="_Toc201157121"/>
      <w:bookmarkEnd w:id="1651"/>
      <w:r w:rsidRPr="00873B6C">
        <w:t>5.7.1.10</w:t>
      </w:r>
      <w:r w:rsidRPr="00873B6C">
        <w:tab/>
        <w:t>UE-Slice-MBR enforcement and rate limitation</w:t>
      </w:r>
      <w:bookmarkEnd w:id="1658"/>
    </w:p>
    <w:p w14:paraId="1B079C32" w14:textId="2C6D84D0" w:rsidR="00BA212C" w:rsidRPr="00873B6C" w:rsidRDefault="00BA212C" w:rsidP="00BA212C">
      <w:r w:rsidRPr="00873B6C">
        <w:t xml:space="preserve">If a supporting </w:t>
      </w:r>
      <w:r w:rsidR="00022CB9" w:rsidRPr="00873B6C">
        <w:t>NG-</w:t>
      </w:r>
      <w:r w:rsidRPr="00873B6C">
        <w:t xml:space="preserve">RAN receives for a UE a UE-Slice-MBR (see clause 5.7.2.6) for an S-NSSAI from the AMF, the </w:t>
      </w:r>
      <w:r w:rsidR="00022CB9" w:rsidRPr="00873B6C">
        <w:t>NG-</w:t>
      </w:r>
      <w:r w:rsidRPr="00873B6C">
        <w:t xml:space="preserve">RAN shall apply this UE-Slice-MBR for all PDU Sessions of that UE corresponding to the S-NSSAI which have an active user plane if feasible. In particular, the </w:t>
      </w:r>
      <w:r w:rsidR="00022CB9" w:rsidRPr="00873B6C">
        <w:t>NG-</w:t>
      </w:r>
      <w:r w:rsidRPr="00873B6C">
        <w:t>RAN shall enforce this UE-Slice-MBR as follows:</w:t>
      </w:r>
    </w:p>
    <w:p w14:paraId="21B6027C" w14:textId="4D0EC398" w:rsidR="00BA212C" w:rsidRPr="00873B6C" w:rsidRDefault="00BA212C" w:rsidP="00562E84">
      <w:pPr>
        <w:pStyle w:val="B1"/>
      </w:pPr>
      <w:r w:rsidRPr="00873B6C">
        <w:t>1)</w:t>
      </w:r>
      <w:r w:rsidRPr="00873B6C">
        <w:tab/>
        <w:t xml:space="preserve">Whenever a request for a GBR QoS Flow establishment or modification is received, the </w:t>
      </w:r>
      <w:r w:rsidR="00022CB9" w:rsidRPr="00873B6C">
        <w:t>NG-</w:t>
      </w:r>
      <w:r w:rsidRPr="00873B6C">
        <w:t xml:space="preserve">RAN admission control shall ensure that the sum of the GFBR values of the admitted GBR QoS Flows is not exceeding the UE-Slice-MBR and, if the </w:t>
      </w:r>
      <w:r w:rsidR="00426DE4" w:rsidRPr="00873B6C">
        <w:t>QoS Flow</w:t>
      </w:r>
      <w:r w:rsidRPr="00873B6C">
        <w:t xml:space="preserve"> cannot be admitted, the </w:t>
      </w:r>
      <w:r w:rsidR="00022CB9" w:rsidRPr="00873B6C">
        <w:t>NG-</w:t>
      </w:r>
      <w:r w:rsidRPr="00873B6C">
        <w:t>RAN shall reject the establishment/modification of the QoS Flow.</w:t>
      </w:r>
    </w:p>
    <w:p w14:paraId="3939DC21" w14:textId="1F6CAF4D" w:rsidR="00022CB9" w:rsidRPr="00873B6C" w:rsidRDefault="00022CB9" w:rsidP="00972E70">
      <w:pPr>
        <w:pStyle w:val="NO"/>
      </w:pPr>
      <w:r w:rsidRPr="00873B6C">
        <w:lastRenderedPageBreak/>
        <w:t>NOTE:</w:t>
      </w:r>
      <w:r w:rsidRPr="00873B6C">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9D6319B" w:rsidR="00BA212C" w:rsidRPr="00873B6C" w:rsidRDefault="00BA212C" w:rsidP="00562E84">
      <w:pPr>
        <w:pStyle w:val="B1"/>
      </w:pPr>
      <w:r w:rsidRPr="00873B6C">
        <w:t>2)</w:t>
      </w:r>
      <w:r w:rsidRPr="00873B6C">
        <w:tab/>
        <w:t xml:space="preserve">The </w:t>
      </w:r>
      <w:r w:rsidR="00022CB9" w:rsidRPr="00873B6C">
        <w:t>NG-</w:t>
      </w:r>
      <w:r w:rsidRPr="00873B6C">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873B6C" w:rsidRDefault="00FC0C60" w:rsidP="00FC0C60">
      <w:pPr>
        <w:pStyle w:val="Heading4"/>
      </w:pPr>
      <w:bookmarkStart w:id="1659" w:name="_CR5_7_1_11"/>
      <w:bookmarkStart w:id="1660" w:name="_Toc201157122"/>
      <w:bookmarkEnd w:id="1659"/>
      <w:r w:rsidRPr="00873B6C">
        <w:t>5.7.1.11</w:t>
      </w:r>
      <w:r w:rsidRPr="00873B6C">
        <w:tab/>
        <w:t>QoS aspects of home-routed roaming</w:t>
      </w:r>
      <w:bookmarkEnd w:id="1660"/>
    </w:p>
    <w:p w14:paraId="1A53B1A0" w14:textId="7E4DFAEB" w:rsidR="00FC0C60" w:rsidRPr="00873B6C" w:rsidRDefault="00FC0C60" w:rsidP="00FC0C60">
      <w:r w:rsidRPr="00873B6C">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227A39FA" w:rsidR="00FC0C60" w:rsidRPr="00873B6C" w:rsidRDefault="00FC0C60" w:rsidP="00FC0C60">
      <w:r w:rsidRPr="00873B6C">
        <w:t>QoS constraints represent the QoS that the VPLMN can accept for the QoS Flow associated with the default QoS rule and the PDU Session based on SLA or based on QoS values supported by the VPLMN. The QoS constraints may contain 5QI</w:t>
      </w:r>
      <w:r w:rsidR="00857A0D" w:rsidRPr="00873B6C">
        <w:t>(s)</w:t>
      </w:r>
      <w:r w:rsidR="009B42A2" w:rsidRPr="00873B6C">
        <w:t>, 5QI Priority Level</w:t>
      </w:r>
      <w:r w:rsidRPr="00873B6C">
        <w:t xml:space="preserve"> and ARP for the QoS Flow associated with the default QoS rule and highest Session-AMBR accepted by the VPLMN.</w:t>
      </w:r>
    </w:p>
    <w:p w14:paraId="24C4B1B8" w14:textId="1EC5EAA7" w:rsidR="009B42A2" w:rsidRPr="00873B6C" w:rsidRDefault="009B42A2" w:rsidP="005A13C0">
      <w:pPr>
        <w:pStyle w:val="NO"/>
      </w:pPr>
      <w:r w:rsidRPr="00873B6C">
        <w:t>NOTE</w:t>
      </w:r>
      <w:r w:rsidR="00153C7D" w:rsidRPr="00873B6C">
        <w:t> 1</w:t>
      </w:r>
      <w:r w:rsidRPr="00873B6C">
        <w:t>:</w:t>
      </w:r>
      <w:r w:rsidRPr="00873B6C">
        <w:tab/>
        <w:t>For this Release of the specification, QoS constraints apply only to the non-GBR default QoS Flow.</w:t>
      </w:r>
    </w:p>
    <w:p w14:paraId="7F13E002" w14:textId="68F402E0" w:rsidR="00153C7D" w:rsidRPr="00873B6C" w:rsidRDefault="00153C7D" w:rsidP="00153C7D">
      <w:pPr>
        <w:pStyle w:val="NO"/>
      </w:pPr>
      <w:r w:rsidRPr="00873B6C">
        <w:t>NOTE 2:</w:t>
      </w:r>
      <w:r w:rsidRPr="00873B6C">
        <w:tab/>
        <w:t>Additionally, at inter-PLMN scenarios, the VPLMN policies can result in re-mapping of QoS values of non-default QoS Flows e.g. in case the V-SMF receives an operator-specific 5QI value, whether/how the remapping is done is implementation specific according to the local policy and according to an inter-PLMN agreement between the involved operators.</w:t>
      </w:r>
    </w:p>
    <w:p w14:paraId="238041C6" w14:textId="2A7B330C" w:rsidR="00153C7D" w:rsidRPr="00873B6C" w:rsidRDefault="00153C7D" w:rsidP="00153C7D">
      <w:pPr>
        <w:pStyle w:val="NO"/>
      </w:pPr>
      <w:r w:rsidRPr="00873B6C">
        <w:t>NOTE 3:</w:t>
      </w:r>
      <w:r w:rsidRPr="00873B6C">
        <w:tab/>
        <w:t>If remapping at inter-PLMN mobility between HPLMN and VPLMN is to be performed, the V-SMF chooses a 5QI value based on inter-PLMN agreement between the VPLMN and the HPLMN and updates the QoS Flows accordingly. The remapping can result in service degradation. At inter-PLMN mobility between two VPLMNs, the source V-SMF provides the 5QI values used in the source VPLMN to the target VPLMN. If the source VPLMN provides a 5QI value which is not part of the inter-PLMN agreement between the target VPLMN and the HPLMN, the target VPLMN can choose a 5QI value based on local policy and updates the QoS Flows accordingly using the procedure in clause 4.3.3.3 of TS 23.502 [3].</w:t>
      </w:r>
    </w:p>
    <w:p w14:paraId="7504DD24" w14:textId="5E79310B" w:rsidR="00153C7D" w:rsidRPr="00873B6C" w:rsidRDefault="00153C7D" w:rsidP="00153C7D">
      <w:pPr>
        <w:pStyle w:val="NO"/>
      </w:pPr>
      <w:r w:rsidRPr="00873B6C">
        <w:t>NOTE 4:</w:t>
      </w:r>
      <w:r w:rsidRPr="00873B6C">
        <w:tab/>
        <w:t>If remapping at session management procedure in roaming case is to be performed, the V-SMF chooses a 5QI value based on inter-PLMN agreement between the VPLMN and the HPLMN and updates the QoS Flows accordingly. The remapping can result in service degradation.</w:t>
      </w:r>
    </w:p>
    <w:p w14:paraId="1C835C9E" w14:textId="4D618F5B" w:rsidR="00857A0D" w:rsidRPr="00873B6C" w:rsidRDefault="00857A0D" w:rsidP="00857A0D">
      <w:pPr>
        <w:pStyle w:val="NO"/>
      </w:pPr>
      <w:r w:rsidRPr="00873B6C">
        <w:t>NOTE 5:</w:t>
      </w:r>
      <w:r w:rsidRPr="00873B6C">
        <w:tab/>
        <w:t>The VPLMN can provide multiple 5QI values, as constraints for the default QoS rule to HPLMN that can be accepted by VPLMN, based on inter-PLMN agreement. For other parameters (e.g. 5QI Priority level, ARP), the VPLMN provides the highest limit as constraint.</w:t>
      </w:r>
    </w:p>
    <w:p w14:paraId="672EBB65" w14:textId="37F09D06" w:rsidR="00FC0C60" w:rsidRPr="00873B6C" w:rsidRDefault="00FC0C60" w:rsidP="00FC0C60">
      <w:r w:rsidRPr="00873B6C">
        <w:t xml:space="preserve">At PDU Session Establishment for home-routed roaming, to reduce the risk of PDU Session establishment failure due to QoS from the HPLMN not being compliant with SLA, the V-SMF may provide the VPLMN local policy in QoS constraints to the H-SMF as specified in clause 4.3.2.2.2 of </w:t>
      </w:r>
      <w:r w:rsidR="00972E70" w:rsidRPr="00873B6C">
        <w:t>TS 23.502 [</w:t>
      </w:r>
      <w:r w:rsidRPr="00873B6C">
        <w:t>3].</w:t>
      </w:r>
    </w:p>
    <w:p w14:paraId="0E74E08B" w14:textId="0B8BFC42" w:rsidR="00FC0C60" w:rsidRPr="00873B6C" w:rsidRDefault="00FC0C60" w:rsidP="00FC0C60">
      <w:r w:rsidRPr="00873B6C">
        <w:t xml:space="preserve">For intra-5GS mobility with V-SMF insertion or V-SMF change (e.g. inter-PLMN mobility), as specified in clause 4.23 of </w:t>
      </w:r>
      <w:r w:rsidR="00972E70" w:rsidRPr="00873B6C">
        <w:t>TS 23.502 [</w:t>
      </w:r>
      <w:r w:rsidRPr="00873B6C">
        <w:t>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7864F6EE" w:rsidR="005309E6" w:rsidRPr="00873B6C" w:rsidRDefault="005309E6" w:rsidP="0073598F">
      <w:r w:rsidRPr="00873B6C">
        <w:t>For IMS voice service (e.g</w:t>
      </w:r>
      <w:r w:rsidR="006514B8" w:rsidRPr="00873B6C">
        <w:t>.</w:t>
      </w:r>
      <w:r w:rsidRPr="00873B6C">
        <w:t xml:space="preserve">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w:t>
      </w:r>
      <w:r w:rsidR="006514B8" w:rsidRPr="00873B6C">
        <w:t>.</w:t>
      </w:r>
      <w:r w:rsidRPr="00873B6C">
        <w:t xml:space="preserv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873B6C" w:rsidRDefault="00D40151" w:rsidP="00D40151">
      <w:pPr>
        <w:pStyle w:val="Heading3"/>
      </w:pPr>
      <w:bookmarkStart w:id="1661" w:name="_CR5_7_2"/>
      <w:bookmarkStart w:id="1662" w:name="_Toc201157123"/>
      <w:bookmarkEnd w:id="1661"/>
      <w:r w:rsidRPr="00873B6C">
        <w:lastRenderedPageBreak/>
        <w:t>5.7.2</w:t>
      </w:r>
      <w:r w:rsidRPr="00873B6C">
        <w:tab/>
        <w:t>5G QoS Parameters</w:t>
      </w:r>
      <w:bookmarkEnd w:id="1652"/>
      <w:bookmarkEnd w:id="1653"/>
      <w:bookmarkEnd w:id="1654"/>
      <w:bookmarkEnd w:id="1655"/>
      <w:bookmarkEnd w:id="1656"/>
      <w:bookmarkEnd w:id="1657"/>
      <w:bookmarkEnd w:id="1662"/>
    </w:p>
    <w:p w14:paraId="791DADD4" w14:textId="77777777" w:rsidR="00D40151" w:rsidRPr="00873B6C" w:rsidRDefault="00D40151" w:rsidP="00D40151">
      <w:pPr>
        <w:pStyle w:val="Heading4"/>
      </w:pPr>
      <w:bookmarkStart w:id="1663" w:name="_CR5_7_2_1"/>
      <w:bookmarkStart w:id="1664" w:name="_Toc20149803"/>
      <w:bookmarkStart w:id="1665" w:name="_Toc27846595"/>
      <w:bookmarkStart w:id="1666" w:name="_Toc36187721"/>
      <w:bookmarkStart w:id="1667" w:name="_Toc45183625"/>
      <w:bookmarkStart w:id="1668" w:name="_Toc47342467"/>
      <w:bookmarkStart w:id="1669" w:name="_Toc51769167"/>
      <w:bookmarkStart w:id="1670" w:name="_Toc201157124"/>
      <w:bookmarkEnd w:id="1663"/>
      <w:r w:rsidRPr="00873B6C">
        <w:t>5.7.2.1</w:t>
      </w:r>
      <w:r w:rsidRPr="00873B6C">
        <w:tab/>
        <w:t>5QI</w:t>
      </w:r>
      <w:bookmarkEnd w:id="1664"/>
      <w:bookmarkEnd w:id="1665"/>
      <w:bookmarkEnd w:id="1666"/>
      <w:bookmarkEnd w:id="1667"/>
      <w:bookmarkEnd w:id="1668"/>
      <w:bookmarkEnd w:id="1669"/>
      <w:bookmarkEnd w:id="1670"/>
    </w:p>
    <w:p w14:paraId="02A29382" w14:textId="77777777" w:rsidR="00D40151" w:rsidRPr="00873B6C" w:rsidRDefault="00D40151" w:rsidP="00D40151">
      <w:r w:rsidRPr="00873B6C">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873B6C" w:rsidRDefault="00D40151" w:rsidP="00D40151">
      <w:r w:rsidRPr="00873B6C">
        <w:t>Standardized 5QI values have one-to-one mapping to a standardized combination of 5G QoS characteristics as specified in Table 5.7.4-1.</w:t>
      </w:r>
    </w:p>
    <w:p w14:paraId="00C4F87C" w14:textId="77777777" w:rsidR="00D40151" w:rsidRPr="00873B6C" w:rsidRDefault="00D40151" w:rsidP="00D40151">
      <w:r w:rsidRPr="00873B6C">
        <w:t>The 5G QoS characteristics for pre-configured 5QI values are pre-configured in the AN.</w:t>
      </w:r>
    </w:p>
    <w:p w14:paraId="1F7D5CB4" w14:textId="1FEB4205" w:rsidR="00D40151" w:rsidRPr="00873B6C" w:rsidRDefault="00D40151" w:rsidP="00D40151">
      <w:r w:rsidRPr="00873B6C">
        <w:t>Standardized or pre-configured 5G QoS characteristics, are indicated through the 5QI value</w:t>
      </w:r>
      <w:r w:rsidR="00472CD7" w:rsidRPr="00873B6C">
        <w:t xml:space="preserve"> and</w:t>
      </w:r>
      <w:r w:rsidRPr="00873B6C">
        <w:t xml:space="preserve"> are not signalled on any interface, unless certain 5G QoS characteristics are modified as specified in clauses 5.7.3.3, 5.7.3.4, 5.7.3.6</w:t>
      </w:r>
      <w:r w:rsidR="00472CD7" w:rsidRPr="00873B6C">
        <w:t xml:space="preserve"> and</w:t>
      </w:r>
      <w:r w:rsidRPr="00873B6C">
        <w:t xml:space="preserve"> 5.7.3.7.</w:t>
      </w:r>
    </w:p>
    <w:p w14:paraId="275A2CF3" w14:textId="77777777" w:rsidR="00D40151" w:rsidRPr="00873B6C" w:rsidRDefault="00D40151" w:rsidP="00D40151">
      <w:r w:rsidRPr="00873B6C">
        <w:t>The 5G QoS characteristics for QoS Flows with dynamically assigned 5QI are signalled as part of the QoS profile.</w:t>
      </w:r>
    </w:p>
    <w:p w14:paraId="497B372A" w14:textId="77777777" w:rsidR="00D40151" w:rsidRPr="00873B6C" w:rsidRDefault="00D40151" w:rsidP="00D40151">
      <w:pPr>
        <w:pStyle w:val="NO"/>
      </w:pPr>
      <w:r w:rsidRPr="00873B6C">
        <w:t>NOTE:</w:t>
      </w:r>
      <w:r w:rsidRPr="00873B6C">
        <w:tab/>
        <w:t>On N3, each PDU (i.e. in the tunnel used for the PDU Session) is associated with one 5QI via the QFI carried in the encapsulation header.</w:t>
      </w:r>
    </w:p>
    <w:p w14:paraId="17001007" w14:textId="77777777" w:rsidR="00D40151" w:rsidRPr="00873B6C" w:rsidRDefault="00D40151" w:rsidP="00D40151">
      <w:pPr>
        <w:pStyle w:val="Heading4"/>
      </w:pPr>
      <w:bookmarkStart w:id="1671" w:name="_CR5_7_2_2"/>
      <w:bookmarkStart w:id="1672" w:name="_Toc20149804"/>
      <w:bookmarkStart w:id="1673" w:name="_Toc27846596"/>
      <w:bookmarkStart w:id="1674" w:name="_Toc36187722"/>
      <w:bookmarkStart w:id="1675" w:name="_Toc45183626"/>
      <w:bookmarkStart w:id="1676" w:name="_Toc47342468"/>
      <w:bookmarkStart w:id="1677" w:name="_Toc51769168"/>
      <w:bookmarkStart w:id="1678" w:name="_Toc201157125"/>
      <w:bookmarkEnd w:id="1671"/>
      <w:r w:rsidRPr="00873B6C">
        <w:t>5.7.2.2</w:t>
      </w:r>
      <w:r w:rsidRPr="00873B6C">
        <w:tab/>
        <w:t>ARP</w:t>
      </w:r>
      <w:bookmarkEnd w:id="1672"/>
      <w:bookmarkEnd w:id="1673"/>
      <w:bookmarkEnd w:id="1674"/>
      <w:bookmarkEnd w:id="1675"/>
      <w:bookmarkEnd w:id="1676"/>
      <w:bookmarkEnd w:id="1677"/>
      <w:bookmarkEnd w:id="1678"/>
    </w:p>
    <w:p w14:paraId="78739C87" w14:textId="77777777" w:rsidR="00D40151" w:rsidRPr="00873B6C" w:rsidRDefault="00D40151" w:rsidP="00D40151">
      <w:r w:rsidRPr="00873B6C">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873B6C" w:rsidRDefault="00D40151" w:rsidP="00D40151">
      <w:r w:rsidRPr="00873B6C">
        <w:t>The ARP priority level defines the relative importance of a QoS Flow. The range of the ARP priority level is 1 to 15 with 1 as the highest priority.</w:t>
      </w:r>
    </w:p>
    <w:p w14:paraId="368E659E" w14:textId="77777777" w:rsidR="00D40151" w:rsidRPr="00873B6C" w:rsidRDefault="00D40151" w:rsidP="00D40151">
      <w:r w:rsidRPr="00873B6C">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873B6C" w:rsidRDefault="00D40151" w:rsidP="00D40151">
      <w:pPr>
        <w:pStyle w:val="NO"/>
      </w:pPr>
      <w:r w:rsidRPr="00873B6C">
        <w:t>NOTE:</w:t>
      </w:r>
      <w:r w:rsidRPr="00873B6C">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873B6C" w:rsidRDefault="00D40151" w:rsidP="00D40151">
      <w:r w:rsidRPr="00873B6C">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873B6C" w:rsidRDefault="00D40151" w:rsidP="00D40151">
      <w:r w:rsidRPr="00873B6C">
        <w:t>The ARP pre-emption vulnerability of the QoS Flow which the default QoS rule is associated with should be set appropriately to minimize the risk of a release of this QoS Flow.</w:t>
      </w:r>
    </w:p>
    <w:p w14:paraId="73E359E5" w14:textId="77777777" w:rsidR="00D40151" w:rsidRPr="00873B6C" w:rsidRDefault="00D40151" w:rsidP="00D40151">
      <w:r w:rsidRPr="00873B6C">
        <w:t>The details of how the SMF sets the ARP for a QoS Flow are further described in clause 5.7.2.7.</w:t>
      </w:r>
    </w:p>
    <w:p w14:paraId="73FC99E1" w14:textId="77777777" w:rsidR="00D40151" w:rsidRPr="00873B6C" w:rsidRDefault="00D40151" w:rsidP="00D40151">
      <w:pPr>
        <w:pStyle w:val="Heading4"/>
      </w:pPr>
      <w:bookmarkStart w:id="1679" w:name="_CR5_7_2_3"/>
      <w:bookmarkStart w:id="1680" w:name="_Toc20149805"/>
      <w:bookmarkStart w:id="1681" w:name="_Toc27846597"/>
      <w:bookmarkStart w:id="1682" w:name="_Toc36187723"/>
      <w:bookmarkStart w:id="1683" w:name="_Toc45183627"/>
      <w:bookmarkStart w:id="1684" w:name="_Toc47342469"/>
      <w:bookmarkStart w:id="1685" w:name="_Toc51769169"/>
      <w:bookmarkStart w:id="1686" w:name="_Toc201157126"/>
      <w:bookmarkEnd w:id="1679"/>
      <w:r w:rsidRPr="00873B6C">
        <w:t>5.7.2.3</w:t>
      </w:r>
      <w:r w:rsidRPr="00873B6C">
        <w:tab/>
        <w:t>RQA</w:t>
      </w:r>
      <w:bookmarkEnd w:id="1680"/>
      <w:bookmarkEnd w:id="1681"/>
      <w:bookmarkEnd w:id="1682"/>
      <w:bookmarkEnd w:id="1683"/>
      <w:bookmarkEnd w:id="1684"/>
      <w:bookmarkEnd w:id="1685"/>
      <w:bookmarkEnd w:id="1686"/>
    </w:p>
    <w:p w14:paraId="3CA837F6" w14:textId="77777777" w:rsidR="00D40151" w:rsidRPr="00873B6C" w:rsidRDefault="00D40151" w:rsidP="00D40151">
      <w:r w:rsidRPr="00873B6C">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873B6C" w:rsidRDefault="00D40151" w:rsidP="00D40151">
      <w:pPr>
        <w:pStyle w:val="Heading4"/>
      </w:pPr>
      <w:bookmarkStart w:id="1687" w:name="_CR5_7_2_4"/>
      <w:bookmarkStart w:id="1688" w:name="_Toc20149806"/>
      <w:bookmarkStart w:id="1689" w:name="_Toc27846598"/>
      <w:bookmarkStart w:id="1690" w:name="_Toc36187724"/>
      <w:bookmarkStart w:id="1691" w:name="_Toc45183628"/>
      <w:bookmarkStart w:id="1692" w:name="_Toc47342470"/>
      <w:bookmarkStart w:id="1693" w:name="_Toc51769170"/>
      <w:bookmarkStart w:id="1694" w:name="_Toc201157127"/>
      <w:bookmarkEnd w:id="1687"/>
      <w:r w:rsidRPr="00873B6C">
        <w:lastRenderedPageBreak/>
        <w:t>5.7.2.4</w:t>
      </w:r>
      <w:r w:rsidRPr="00873B6C">
        <w:tab/>
        <w:t>Notification control</w:t>
      </w:r>
      <w:bookmarkEnd w:id="1688"/>
      <w:bookmarkEnd w:id="1689"/>
      <w:bookmarkEnd w:id="1690"/>
      <w:bookmarkEnd w:id="1691"/>
      <w:bookmarkEnd w:id="1692"/>
      <w:bookmarkEnd w:id="1693"/>
      <w:bookmarkEnd w:id="1694"/>
    </w:p>
    <w:p w14:paraId="3694F195" w14:textId="77777777" w:rsidR="00D40151" w:rsidRPr="00873B6C" w:rsidRDefault="00D40151" w:rsidP="00D40151">
      <w:pPr>
        <w:pStyle w:val="Heading5"/>
      </w:pPr>
      <w:bookmarkStart w:id="1695" w:name="_CR5_7_2_4_1"/>
      <w:bookmarkStart w:id="1696" w:name="_Toc27846599"/>
      <w:bookmarkStart w:id="1697" w:name="_Toc36187725"/>
      <w:bookmarkStart w:id="1698" w:name="_Toc45183629"/>
      <w:bookmarkStart w:id="1699" w:name="_Toc47342471"/>
      <w:bookmarkStart w:id="1700" w:name="_Toc51769171"/>
      <w:bookmarkStart w:id="1701" w:name="_Toc201157128"/>
      <w:bookmarkEnd w:id="1695"/>
      <w:r w:rsidRPr="00873B6C">
        <w:t>5.7.2.4.1</w:t>
      </w:r>
      <w:r w:rsidRPr="00873B6C">
        <w:tab/>
        <w:t>General</w:t>
      </w:r>
      <w:bookmarkEnd w:id="1696"/>
      <w:bookmarkEnd w:id="1697"/>
      <w:bookmarkEnd w:id="1698"/>
      <w:bookmarkEnd w:id="1699"/>
      <w:bookmarkEnd w:id="1700"/>
      <w:bookmarkEnd w:id="1701"/>
    </w:p>
    <w:p w14:paraId="0B04B56D" w14:textId="5ECF5564" w:rsidR="00D40151" w:rsidRPr="00873B6C" w:rsidRDefault="00D40151" w:rsidP="00D40151">
      <w:r w:rsidRPr="00873B6C">
        <w:t>The QoS Parameter Notification control indicates</w:t>
      </w:r>
      <w:r w:rsidR="00060FE0" w:rsidRPr="00873B6C">
        <w:t xml:space="preserve"> to</w:t>
      </w:r>
      <w:r w:rsidRPr="00873B6C">
        <w:t xml:space="preserve"> the NG-RAN</w:t>
      </w:r>
      <w:r w:rsidR="00060FE0" w:rsidRPr="00873B6C">
        <w:t xml:space="preserve"> that notifications of "GFBR can no longer (or can again) be guaranteed" are requested</w:t>
      </w:r>
      <w:r w:rsidRPr="00873B6C">
        <w:t xml:space="preserve"> when the</w:t>
      </w:r>
      <w:r w:rsidR="00060FE0" w:rsidRPr="00873B6C">
        <w:t xml:space="preserve"> NG-RAN determines that the GFBR, the PDB or the PER of the QoS profile cannot be fulfilled (or can be fulfilled again)</w:t>
      </w:r>
      <w:r w:rsidRPr="00873B6C">
        <w:t xml:space="preserve"> for a QoS Flow </w:t>
      </w:r>
      <w:r w:rsidR="00060FE0" w:rsidRPr="00873B6C">
        <w:t>(</w:t>
      </w:r>
      <w:r w:rsidRPr="00873B6C">
        <w:t>during the lifetime of the QoS Flow</w:t>
      </w:r>
      <w:r w:rsidR="00060FE0" w:rsidRPr="00873B6C">
        <w:t>) and that the QoS Flow should be kept while the NG-RAN is not fulfilling the requested QoS profile</w:t>
      </w:r>
      <w:r w:rsidRPr="00873B6C">
        <w:t>. Notification control may be used for a GBR QoS Flow if the application traffic is able to adapt to the change in the QoS (e.g</w:t>
      </w:r>
      <w:r w:rsidR="000E35F2" w:rsidRPr="00873B6C">
        <w:t>.</w:t>
      </w:r>
      <w:r w:rsidRPr="00873B6C">
        <w:t xml:space="preserve"> if the AF is capable to trigger rate adaptation).</w:t>
      </w:r>
    </w:p>
    <w:p w14:paraId="156CBDB2" w14:textId="6C4AC7D8" w:rsidR="00060FE0" w:rsidRPr="00873B6C" w:rsidRDefault="00060FE0" w:rsidP="00D40151">
      <w:r w:rsidRPr="00873B6C">
        <w:t>The NG-RAN determination whether the GFBR, the PDB and the PER can be fulfilled or not, is done under consideration of the QoS parameters Averaging Window and MDBV (for a GBR QoS Flow using the Delay-critical resource type), which are either provided explicitly as part of the QoS profile or implicitly via the standardized 5QI QoS characteristics defined in clause 5.7.4.</w:t>
      </w:r>
    </w:p>
    <w:p w14:paraId="4EB0D756" w14:textId="3175F60A" w:rsidR="00D40151" w:rsidRPr="00873B6C" w:rsidRDefault="00D40151" w:rsidP="00D40151">
      <w:r w:rsidRPr="00873B6C">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0B7417A5" w:rsidR="00D40151" w:rsidRPr="00873B6C" w:rsidRDefault="00D40151" w:rsidP="00D40151">
      <w:pPr>
        <w:pStyle w:val="Heading5"/>
      </w:pPr>
      <w:bookmarkStart w:id="1702" w:name="_CR5_7_2_4_1a"/>
      <w:bookmarkStart w:id="1703" w:name="_Toc36187726"/>
      <w:bookmarkStart w:id="1704" w:name="_Toc45183630"/>
      <w:bookmarkStart w:id="1705" w:name="_Toc47342472"/>
      <w:bookmarkStart w:id="1706" w:name="_Toc51769172"/>
      <w:bookmarkStart w:id="1707" w:name="_Toc201157129"/>
      <w:bookmarkEnd w:id="1702"/>
      <w:r w:rsidRPr="00873B6C">
        <w:t>5.7.2.4.1a</w:t>
      </w:r>
      <w:r w:rsidRPr="00873B6C">
        <w:tab/>
        <w:t>Notification Control without Alternative QoS Profiles</w:t>
      </w:r>
      <w:bookmarkEnd w:id="1703"/>
      <w:bookmarkEnd w:id="1704"/>
      <w:bookmarkEnd w:id="1705"/>
      <w:bookmarkEnd w:id="1706"/>
      <w:bookmarkEnd w:id="1707"/>
    </w:p>
    <w:p w14:paraId="05AF7371" w14:textId="77777777" w:rsidR="00D40151" w:rsidRPr="00873B6C" w:rsidRDefault="00D40151" w:rsidP="00D40151">
      <w:r w:rsidRPr="00873B6C">
        <w:t xml:space="preserve">If, for a given GBR QoS Flow, Notification control is enabled and the NG-RAN determines that </w:t>
      </w:r>
      <w:r w:rsidRPr="00873B6C">
        <w:rPr>
          <w:lang w:eastAsia="zh-CN"/>
        </w:rPr>
        <w:t>the GFBR, the PDB or the PER of the QoS profile cannot be fulfilled</w:t>
      </w:r>
      <w:r w:rsidRPr="00873B6C">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873B6C">
        <w:rPr>
          <w:lang w:eastAsia="zh-CN"/>
        </w:rPr>
        <w:t>GFBR, the PDB and the PER of the QoS profile again</w:t>
      </w:r>
      <w:r w:rsidRPr="00873B6C">
        <w:t>.</w:t>
      </w:r>
    </w:p>
    <w:p w14:paraId="36EC7A03" w14:textId="77777777" w:rsidR="00D40151" w:rsidRPr="00873B6C" w:rsidRDefault="00D40151" w:rsidP="00D40151">
      <w:pPr>
        <w:pStyle w:val="NO"/>
      </w:pPr>
      <w:r w:rsidRPr="00873B6C">
        <w:t>NOTE 1:</w:t>
      </w:r>
      <w:r w:rsidRPr="00873B6C">
        <w:tab/>
        <w:t>NG-RAN can decide that the "GFBR can no longer be guaranteed" based on, e.g. measurements like queuing delay or system load.</w:t>
      </w:r>
    </w:p>
    <w:p w14:paraId="29119544" w14:textId="1658B88C" w:rsidR="00D40151" w:rsidRPr="00873B6C" w:rsidRDefault="00D40151" w:rsidP="00D40151">
      <w:r w:rsidRPr="00873B6C">
        <w:t xml:space="preserve">Upon receiving a notification from the NG-RAN that the "GFBR can no longer be guaranteed", the SMF may forward the notification to the PCF, see </w:t>
      </w:r>
      <w:r w:rsidR="00972E70" w:rsidRPr="00873B6C">
        <w:t>TS 23.503 [</w:t>
      </w:r>
      <w:r w:rsidRPr="00873B6C">
        <w:t>45].</w:t>
      </w:r>
    </w:p>
    <w:p w14:paraId="229812D1" w14:textId="530BB4FE" w:rsidR="00D40151" w:rsidRPr="00873B6C" w:rsidRDefault="00D40151" w:rsidP="00D40151">
      <w:r w:rsidRPr="00873B6C">
        <w:t xml:space="preserve">When the NG-RAN determines that </w:t>
      </w:r>
      <w:r w:rsidRPr="00873B6C">
        <w:rPr>
          <w:lang w:eastAsia="zh-CN"/>
        </w:rPr>
        <w:t>the GFBR, the PDB and the PER of the QoS profile</w:t>
      </w:r>
      <w:r w:rsidRPr="00873B6C">
        <w:t xml:space="preserve"> can be fulfilled again for a QoS Flow (for which a notification that the "GFBR can no longer</w:t>
      </w:r>
      <w:r w:rsidRPr="00873B6C" w:rsidDel="006D0ECC">
        <w:t xml:space="preserve"> </w:t>
      </w:r>
      <w:r w:rsidRPr="00873B6C">
        <w:t>be guaranteed" has been sent), the NG-RAN shall send a notification, informing the SMF that the "</w:t>
      </w:r>
      <w:r w:rsidRPr="00873B6C">
        <w:rPr>
          <w:lang w:eastAsia="zh-CN"/>
        </w:rPr>
        <w:t>GFBR</w:t>
      </w:r>
      <w:r w:rsidRPr="00873B6C">
        <w:t xml:space="preserve"> can</w:t>
      </w:r>
      <w:r w:rsidR="00060FE0" w:rsidRPr="00873B6C">
        <w:t xml:space="preserve"> again</w:t>
      </w:r>
      <w:r w:rsidRPr="00873B6C">
        <w:t xml:space="preserve"> be guaranteed" and the SMF may forward the notification to the PCF, see </w:t>
      </w:r>
      <w:r w:rsidR="00972E70" w:rsidRPr="00873B6C">
        <w:t>TS 23.503 [</w:t>
      </w:r>
      <w:r w:rsidRPr="00873B6C">
        <w:t>45]. The NG-RAN shall send a subsequent notification that the "GFBR can no longer be guaranteed" whenever necessary.</w:t>
      </w:r>
    </w:p>
    <w:p w14:paraId="3F16AFD9" w14:textId="325D1DCF" w:rsidR="00D40151" w:rsidRPr="00873B6C" w:rsidRDefault="00D40151" w:rsidP="00D40151">
      <w:pPr>
        <w:pStyle w:val="NO"/>
      </w:pPr>
      <w:r w:rsidRPr="00873B6C">
        <w:t>NOTE 2:</w:t>
      </w:r>
      <w:r w:rsidRPr="00873B6C">
        <w:tab/>
        <w:t>It is assumed that NG-RAN implementation will apply some hysteresis before determining that the "GFBR can</w:t>
      </w:r>
      <w:r w:rsidR="00060FE0" w:rsidRPr="00873B6C">
        <w:t xml:space="preserve"> again</w:t>
      </w:r>
      <w:r w:rsidRPr="00873B6C">
        <w:t xml:space="preserve"> be guaranteed" and therefore a frequent signalling of "GFBR can</w:t>
      </w:r>
      <w:r w:rsidR="00060FE0" w:rsidRPr="00873B6C">
        <w:t xml:space="preserve"> again</w:t>
      </w:r>
      <w:r w:rsidRPr="00873B6C">
        <w:t xml:space="preserve"> be guaranteed" followed by "GFBR can no longer be guaranteed" is not expected.</w:t>
      </w:r>
    </w:p>
    <w:p w14:paraId="6464DC17" w14:textId="77777777" w:rsidR="00D40151" w:rsidRPr="00873B6C" w:rsidRDefault="00D40151" w:rsidP="00D40151">
      <w:pPr>
        <w:pStyle w:val="NO"/>
      </w:pPr>
      <w:r w:rsidRPr="00873B6C">
        <w:t>NOTE 3:</w:t>
      </w:r>
      <w:r w:rsidRPr="00873B6C">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663ED71A" w:rsidR="00D40151" w:rsidRPr="00873B6C" w:rsidRDefault="00D40151" w:rsidP="00D40151">
      <w:bookmarkStart w:id="1708" w:name="_Toc27846600"/>
      <w:r w:rsidRPr="00873B6C">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w:t>
      </w:r>
      <w:r w:rsidR="00060FE0" w:rsidRPr="00873B6C">
        <w:t xml:space="preserve"> again</w:t>
      </w:r>
      <w:r w:rsidRPr="00873B6C">
        <w:t xml:space="preserve"> be guaranteed"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rsidRPr="00873B6C">
        <w:t xml:space="preserve"> again</w:t>
      </w:r>
      <w:r w:rsidRPr="00873B6C">
        <w:t xml:space="preserve"> be guaranteed".</w:t>
      </w:r>
    </w:p>
    <w:p w14:paraId="4B9F2869" w14:textId="77777777" w:rsidR="00D40151" w:rsidRPr="00873B6C" w:rsidRDefault="00D40151" w:rsidP="00D40151">
      <w:pPr>
        <w:pStyle w:val="Heading5"/>
      </w:pPr>
      <w:bookmarkStart w:id="1709" w:name="_CR5_7_2_4_1b"/>
      <w:bookmarkStart w:id="1710" w:name="_Toc36187727"/>
      <w:bookmarkStart w:id="1711" w:name="_Toc45183631"/>
      <w:bookmarkStart w:id="1712" w:name="_Toc47342473"/>
      <w:bookmarkStart w:id="1713" w:name="_Toc51769173"/>
      <w:bookmarkStart w:id="1714" w:name="_Toc201157130"/>
      <w:bookmarkEnd w:id="1709"/>
      <w:r w:rsidRPr="00873B6C">
        <w:lastRenderedPageBreak/>
        <w:t>5.7.2.4.1b</w:t>
      </w:r>
      <w:r w:rsidRPr="00873B6C">
        <w:tab/>
        <w:t>Notification control with Alternative QoS Profiles</w:t>
      </w:r>
      <w:bookmarkEnd w:id="1710"/>
      <w:bookmarkEnd w:id="1711"/>
      <w:bookmarkEnd w:id="1712"/>
      <w:bookmarkEnd w:id="1713"/>
      <w:bookmarkEnd w:id="1714"/>
    </w:p>
    <w:p w14:paraId="33DE1990" w14:textId="77777777" w:rsidR="00D40151" w:rsidRPr="00873B6C" w:rsidRDefault="00D40151" w:rsidP="00D40151">
      <w:r w:rsidRPr="00873B6C">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873B6C" w:rsidRDefault="00D40151" w:rsidP="00D40151">
      <w:pPr>
        <w:pStyle w:val="B1"/>
      </w:pPr>
      <w:r w:rsidRPr="00873B6C">
        <w:t>1)</w:t>
      </w:r>
      <w:r w:rsidRPr="00873B6C">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873B6C" w:rsidRDefault="00D40151" w:rsidP="00D40151">
      <w:pPr>
        <w:pStyle w:val="B1"/>
      </w:pPr>
      <w:r w:rsidRPr="00873B6C">
        <w:tab/>
        <w:t>If there is no match, the NG-RAN shall send a notification that the "GFBR can no longer be guaranteed" towards the SMF</w:t>
      </w:r>
      <w:r w:rsidR="009D14FB" w:rsidRPr="00873B6C">
        <w:t xml:space="preserve"> indicating that</w:t>
      </w:r>
      <w:r w:rsidRPr="00873B6C">
        <w:t xml:space="preserve"> the </w:t>
      </w:r>
      <w:r w:rsidR="009D14FB" w:rsidRPr="00873B6C">
        <w:t xml:space="preserve">lowest </w:t>
      </w:r>
      <w:r w:rsidRPr="00873B6C">
        <w:t>Alternative QoS Profile</w:t>
      </w:r>
      <w:r w:rsidR="009D14FB" w:rsidRPr="00873B6C">
        <w:t xml:space="preserve"> cannot be fulfilled</w:t>
      </w:r>
      <w:r w:rsidRPr="00873B6C">
        <w:t xml:space="preserve"> (unless specific conditions at the NG-RAN require the release of the NG-RAN resources for this GBR QoS Flow, e.g. due to Radio link failure or RAN internal congestion).</w:t>
      </w:r>
    </w:p>
    <w:p w14:paraId="250E3590" w14:textId="13CEFFD4" w:rsidR="00D40151" w:rsidRPr="00873B6C" w:rsidRDefault="00D40151" w:rsidP="00D40151">
      <w:pPr>
        <w:pStyle w:val="B1"/>
      </w:pPr>
      <w:r w:rsidRPr="00873B6C">
        <w:t>2)</w:t>
      </w:r>
      <w:r w:rsidRPr="00873B6C">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873B6C">
        <w:t xml:space="preserve"> (i.e. "GFBR can no longer be guaranteed" or "GFBR can</w:t>
      </w:r>
      <w:r w:rsidR="00060FE0" w:rsidRPr="00873B6C">
        <w:t xml:space="preserve"> again</w:t>
      </w:r>
      <w:r w:rsidR="009D14FB" w:rsidRPr="00873B6C">
        <w:t xml:space="preserve"> be guaranteed")</w:t>
      </w:r>
      <w:r w:rsidRPr="00873B6C">
        <w:t xml:space="preserve"> to the SMF and indicate the current situation</w:t>
      </w:r>
      <w:r w:rsidR="009D14FB" w:rsidRPr="00873B6C">
        <w:t xml:space="preserve"> (unless specific conditions at the NG-RAN require the release of the NG-RAN resources for this GBR QoS Flow, e.g. due to Radio link failure or RAN internal congestion)</w:t>
      </w:r>
      <w:r w:rsidRPr="00873B6C">
        <w:t>.</w:t>
      </w:r>
    </w:p>
    <w:p w14:paraId="2D298ABD" w14:textId="07391367" w:rsidR="00D40151" w:rsidRPr="00873B6C" w:rsidRDefault="00D40151" w:rsidP="00D40151">
      <w:pPr>
        <w:pStyle w:val="NO"/>
      </w:pPr>
      <w:r w:rsidRPr="00873B6C">
        <w:t>NOTE 1:</w:t>
      </w:r>
      <w:r w:rsidRPr="00873B6C">
        <w:tab/>
        <w:t xml:space="preserve">The </w:t>
      </w:r>
      <w:r w:rsidR="009D14FB" w:rsidRPr="00873B6C">
        <w:t xml:space="preserve">current </w:t>
      </w:r>
      <w:r w:rsidRPr="00873B6C">
        <w:t xml:space="preserve">situation is either </w:t>
      </w:r>
      <w:r w:rsidR="009D14FB" w:rsidRPr="00873B6C">
        <w:t xml:space="preserve">that </w:t>
      </w:r>
      <w:r w:rsidRPr="00873B6C">
        <w:t>the QoS Profile</w:t>
      </w:r>
      <w:r w:rsidR="009D14FB" w:rsidRPr="00873B6C">
        <w:t xml:space="preserve"> can be fulfilled (which is implicitly indicated by the "GFBR can</w:t>
      </w:r>
      <w:r w:rsidR="00060FE0" w:rsidRPr="00873B6C">
        <w:t xml:space="preserve"> again</w:t>
      </w:r>
      <w:r w:rsidR="009D14FB" w:rsidRPr="00873B6C">
        <w:t xml:space="preserve"> be guaranteed" notification itself), that a different</w:t>
      </w:r>
      <w:r w:rsidRPr="00873B6C">
        <w:t xml:space="preserve"> Alternative QoS Profile</w:t>
      </w:r>
      <w:r w:rsidR="009D14FB" w:rsidRPr="00873B6C">
        <w:t xml:space="preserve"> can be fulfilled</w:t>
      </w:r>
      <w:r w:rsidRPr="00873B6C">
        <w:t>, or that the lowest priority Alternative QoS Profile cannot be fulfilled.</w:t>
      </w:r>
    </w:p>
    <w:p w14:paraId="2DBC3BB2" w14:textId="6293F8EA" w:rsidR="00D40151" w:rsidRPr="00873B6C" w:rsidRDefault="00D40151" w:rsidP="00D40151">
      <w:pPr>
        <w:pStyle w:val="B1"/>
      </w:pPr>
      <w:r w:rsidRPr="00873B6C">
        <w:t>3)-</w:t>
      </w:r>
      <w:r w:rsidRPr="00873B6C">
        <w:tab/>
        <w:t>The NG-RAN should always try to fulfil the QoS profile and</w:t>
      </w:r>
      <w:r w:rsidR="009D14FB" w:rsidRPr="00873B6C">
        <w:t>, if this is not possible,</w:t>
      </w:r>
      <w:r w:rsidRPr="00873B6C">
        <w:t xml:space="preserve"> any Alternative QoS Profile that has higher priority.</w:t>
      </w:r>
    </w:p>
    <w:p w14:paraId="294AD6A2" w14:textId="27BCCABF" w:rsidR="00D40151" w:rsidRPr="00873B6C" w:rsidRDefault="00D40151" w:rsidP="00D40151">
      <w:pPr>
        <w:pStyle w:val="NO"/>
      </w:pPr>
      <w:r w:rsidRPr="00873B6C">
        <w:t>NOTE 2:</w:t>
      </w:r>
      <w:r w:rsidRPr="00873B6C">
        <w:tab/>
        <w:t>In order to avoid a too frequent signalling to the SMF, it is assumed that NG-RAN implementation can apply hysteresis (e.g</w:t>
      </w:r>
      <w:r w:rsidR="000E35F2" w:rsidRPr="00873B6C">
        <w:t>.</w:t>
      </w:r>
      <w:r w:rsidRPr="00873B6C">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00C3C747" w:rsidR="00D40151" w:rsidRPr="00873B6C" w:rsidRDefault="00D40151" w:rsidP="00D40151">
      <w:pPr>
        <w:pStyle w:val="B1"/>
      </w:pPr>
      <w:r w:rsidRPr="00873B6C">
        <w:t>4)</w:t>
      </w:r>
      <w:r w:rsidRPr="00873B6C">
        <w:tab/>
        <w:t xml:space="preserve">Upon receiving a notification from the NG-RAN, the SMF may inform the PCF. If it does so, the SMF shall indicate the currently fulfilled situation to the PCF. See </w:t>
      </w:r>
      <w:r w:rsidR="00972E70" w:rsidRPr="00873B6C">
        <w:t>TS 23.503 [</w:t>
      </w:r>
      <w:r w:rsidRPr="00873B6C">
        <w:t>45].</w:t>
      </w:r>
    </w:p>
    <w:p w14:paraId="4FDC2135" w14:textId="6A56BECD" w:rsidR="00D40151" w:rsidRPr="00873B6C" w:rsidRDefault="00D40151" w:rsidP="00D40151">
      <w:pPr>
        <w:pStyle w:val="B1"/>
      </w:pPr>
      <w:r w:rsidRPr="00873B6C">
        <w:t>5)</w:t>
      </w:r>
      <w:r w:rsidR="009D14FB" w:rsidRPr="00873B6C">
        <w:tab/>
      </w:r>
      <w:r w:rsidRPr="00873B6C">
        <w:t>If the PCF has not indicated differently, the SMF uses NAS signalling (that is sent transparently through the RAN) to inform the UE about changes in the QoS parameters (i.e</w:t>
      </w:r>
      <w:r w:rsidR="000E35F2" w:rsidRPr="00873B6C">
        <w:t>.</w:t>
      </w:r>
      <w:r w:rsidRPr="00873B6C">
        <w:t xml:space="preserve"> 5QI, GFBR, MFBR) that the NG-RAN is currently fulfilling for the QoS Flow after Notification control has occurred.</w:t>
      </w:r>
    </w:p>
    <w:p w14:paraId="4AF2BB94" w14:textId="77777777" w:rsidR="00D40151" w:rsidRPr="00873B6C" w:rsidRDefault="00D40151" w:rsidP="00D40151">
      <w:pPr>
        <w:pStyle w:val="Heading5"/>
      </w:pPr>
      <w:bookmarkStart w:id="1715" w:name="_CR5_7_2_4_2"/>
      <w:bookmarkStart w:id="1716" w:name="_Toc36187728"/>
      <w:bookmarkStart w:id="1717" w:name="_Toc45183632"/>
      <w:bookmarkStart w:id="1718" w:name="_Toc47342474"/>
      <w:bookmarkStart w:id="1719" w:name="_Toc51769174"/>
      <w:bookmarkStart w:id="1720" w:name="_Toc201157131"/>
      <w:bookmarkEnd w:id="1715"/>
      <w:r w:rsidRPr="00873B6C">
        <w:t>5.7.2.4.2</w:t>
      </w:r>
      <w:r w:rsidRPr="00873B6C">
        <w:tab/>
        <w:t>Usage of Notification control with Alternative QoS Profiles at handover</w:t>
      </w:r>
      <w:bookmarkEnd w:id="1708"/>
      <w:bookmarkEnd w:id="1716"/>
      <w:bookmarkEnd w:id="1717"/>
      <w:bookmarkEnd w:id="1718"/>
      <w:bookmarkEnd w:id="1719"/>
      <w:bookmarkEnd w:id="1720"/>
    </w:p>
    <w:p w14:paraId="5D1307FD" w14:textId="77777777" w:rsidR="00D40151" w:rsidRPr="00873B6C" w:rsidRDefault="00D40151" w:rsidP="00D40151">
      <w:bookmarkStart w:id="1721" w:name="_Toc20149807"/>
      <w:r w:rsidRPr="00873B6C">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537E5D0C" w:rsidR="00D40151" w:rsidRPr="00873B6C" w:rsidRDefault="00D40151" w:rsidP="00D40151">
      <w:r w:rsidRPr="00873B6C">
        <w:t>If there is no match to any Alternative QoS Profile, the Target NG-RAN rejects QoS Flows for which the Target NG-RAN is not able to guarantee the GFBR, the PDB</w:t>
      </w:r>
      <w:r w:rsidR="00060FE0" w:rsidRPr="00873B6C">
        <w:t xml:space="preserve"> and</w:t>
      </w:r>
      <w:r w:rsidRPr="00873B6C">
        <w:t xml:space="preserve"> the PER included in the QoS profile.</w:t>
      </w:r>
    </w:p>
    <w:p w14:paraId="5E3D9235" w14:textId="77777777" w:rsidR="00D40151" w:rsidRPr="00873B6C" w:rsidRDefault="00D40151" w:rsidP="00D40151">
      <w:r w:rsidRPr="00873B6C">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265DDE1D" w:rsidR="00D40151" w:rsidRPr="00873B6C" w:rsidRDefault="00D40151" w:rsidP="00D40151">
      <w:r w:rsidRPr="00873B6C">
        <w:lastRenderedPageBreak/>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972E70" w:rsidRPr="00873B6C">
        <w:t>TS 23.502 [</w:t>
      </w:r>
      <w:r w:rsidRPr="00873B6C">
        <w:t xml:space="preserve">3]. After the handover is completed successfully, the SMF shall send a notification to the PCF that the "GFBR can no longer be guaranteed" for a QoS Flow (see </w:t>
      </w:r>
      <w:r w:rsidR="00972E70" w:rsidRPr="00873B6C">
        <w:t>TS 23.503 [</w:t>
      </w:r>
      <w:r w:rsidRPr="00873B6C">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873B6C" w:rsidRDefault="00D40151" w:rsidP="00D40151">
      <w:pPr>
        <w:pStyle w:val="NO"/>
      </w:pPr>
      <w:r w:rsidRPr="00873B6C">
        <w:t>NOTE:</w:t>
      </w:r>
      <w:r w:rsidRPr="00873B6C">
        <w:tab/>
        <w:t>A state change for the QoS Flow comprises a change from QoS profile fulfilled to Alternative QoS Profile fulfilled as well as the state change between fulfilled Alternative QoS Profiles.</w:t>
      </w:r>
    </w:p>
    <w:p w14:paraId="0A0AB8E0" w14:textId="57834DDB" w:rsidR="00D40151" w:rsidRPr="00873B6C" w:rsidRDefault="00D40151" w:rsidP="00D40151">
      <w:bookmarkStart w:id="1722" w:name="_Toc27846601"/>
      <w:r w:rsidRPr="00873B6C">
        <w:t>If a QoS Flow has been accepted by the Target NG-RAN based on the QoS Profile, the SMF shall interpret the fact that a QoS Flow is listed as transferred QoS Flow in the message received from the AMF as a notification that "GFBR can</w:t>
      </w:r>
      <w:r w:rsidR="00060FE0" w:rsidRPr="00873B6C">
        <w:t xml:space="preserve"> again</w:t>
      </w:r>
      <w:r w:rsidRPr="00873B6C">
        <w:t xml:space="preserve"> be guaranteed"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rsidRPr="00873B6C">
        <w:t xml:space="preserve"> again</w:t>
      </w:r>
      <w:r w:rsidRPr="00873B6C">
        <w:t xml:space="preserve"> be guaranteed".</w:t>
      </w:r>
    </w:p>
    <w:p w14:paraId="58631116" w14:textId="77777777" w:rsidR="00D40151" w:rsidRPr="00873B6C" w:rsidRDefault="00D40151" w:rsidP="00D40151">
      <w:r w:rsidRPr="00873B6C">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873B6C" w:rsidRDefault="009D14FB" w:rsidP="009D14FB">
      <w:pPr>
        <w:pStyle w:val="Heading5"/>
      </w:pPr>
      <w:bookmarkStart w:id="1723" w:name="_CR5_7_2_4_3"/>
      <w:bookmarkStart w:id="1724" w:name="_Toc36187729"/>
      <w:bookmarkStart w:id="1725" w:name="_Toc45183633"/>
      <w:bookmarkStart w:id="1726" w:name="_Toc47342475"/>
      <w:bookmarkStart w:id="1727" w:name="_Toc51769175"/>
      <w:bookmarkStart w:id="1728" w:name="_Toc201157132"/>
      <w:bookmarkEnd w:id="1723"/>
      <w:r w:rsidRPr="00873B6C">
        <w:t>5.7.2.4.3</w:t>
      </w:r>
      <w:r w:rsidRPr="00873B6C">
        <w:tab/>
        <w:t>Usage of Notification control with Alternative QoS Profiles during QoS Flow establishment and modification</w:t>
      </w:r>
      <w:bookmarkEnd w:id="1728"/>
    </w:p>
    <w:p w14:paraId="3B7A3750" w14:textId="634E9EDA" w:rsidR="009D14FB" w:rsidRPr="00873B6C" w:rsidRDefault="009D14FB" w:rsidP="009D14FB">
      <w:r w:rsidRPr="00873B6C">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873B6C" w:rsidRDefault="009D14FB" w:rsidP="009D14FB">
      <w:r w:rsidRPr="00873B6C">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459E9EE7" w:rsidR="009D14FB" w:rsidRPr="00873B6C" w:rsidRDefault="009D14FB" w:rsidP="009D14FB">
      <w:r w:rsidRPr="00873B6C">
        <w:t xml:space="preserve">If the SMF has received a reference to an Alternative QoS Profile during QoS Flow establishment and modification the SMF may inform the PCF about it (as described in </w:t>
      </w:r>
      <w:r w:rsidR="00972E70" w:rsidRPr="00873B6C">
        <w:t>TS 23.503 [</w:t>
      </w:r>
      <w:r w:rsidRPr="00873B6C">
        <w:t>45]).</w:t>
      </w:r>
    </w:p>
    <w:p w14:paraId="67F35E5A" w14:textId="77777777" w:rsidR="009D14FB" w:rsidRPr="00873B6C" w:rsidRDefault="009D14FB" w:rsidP="009D14FB">
      <w:r w:rsidRPr="00873B6C">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873B6C" w:rsidRDefault="00D40151" w:rsidP="00D40151">
      <w:pPr>
        <w:pStyle w:val="Heading4"/>
      </w:pPr>
      <w:bookmarkStart w:id="1729" w:name="_CR5_7_2_5"/>
      <w:bookmarkStart w:id="1730" w:name="_Toc201157133"/>
      <w:bookmarkEnd w:id="1729"/>
      <w:r w:rsidRPr="00873B6C">
        <w:t>5.7.2.5</w:t>
      </w:r>
      <w:r w:rsidRPr="00873B6C">
        <w:tab/>
        <w:t>Flow Bit Rates</w:t>
      </w:r>
      <w:bookmarkEnd w:id="1721"/>
      <w:bookmarkEnd w:id="1722"/>
      <w:bookmarkEnd w:id="1724"/>
      <w:bookmarkEnd w:id="1725"/>
      <w:bookmarkEnd w:id="1726"/>
      <w:bookmarkEnd w:id="1727"/>
      <w:bookmarkEnd w:id="1730"/>
    </w:p>
    <w:p w14:paraId="0F6A3535" w14:textId="77777777" w:rsidR="00D40151" w:rsidRPr="00873B6C" w:rsidRDefault="00D40151" w:rsidP="00D40151">
      <w:r w:rsidRPr="00873B6C">
        <w:t>For GBR QoS Flows only, the following additional QoS parameters exist:</w:t>
      </w:r>
    </w:p>
    <w:p w14:paraId="7887EC05" w14:textId="77777777" w:rsidR="00D40151" w:rsidRPr="00873B6C" w:rsidRDefault="00D40151" w:rsidP="00D40151">
      <w:pPr>
        <w:pStyle w:val="B1"/>
      </w:pPr>
      <w:r w:rsidRPr="00873B6C">
        <w:t>-</w:t>
      </w:r>
      <w:r w:rsidRPr="00873B6C">
        <w:tab/>
        <w:t>Guaranteed Flow Bit Rate (GFBR) - UL and DL;</w:t>
      </w:r>
    </w:p>
    <w:p w14:paraId="11767DBF" w14:textId="77777777" w:rsidR="00D40151" w:rsidRPr="00873B6C" w:rsidRDefault="00D40151" w:rsidP="00D40151">
      <w:pPr>
        <w:pStyle w:val="B1"/>
      </w:pPr>
      <w:r w:rsidRPr="00873B6C">
        <w:t>-</w:t>
      </w:r>
      <w:r w:rsidRPr="00873B6C">
        <w:tab/>
        <w:t>Maximum Flow Bit Rate (MFBR) -- UL and DL.</w:t>
      </w:r>
    </w:p>
    <w:p w14:paraId="09C2BAAB" w14:textId="77777777" w:rsidR="00D40151" w:rsidRPr="00873B6C" w:rsidRDefault="00D40151" w:rsidP="00D40151">
      <w:r w:rsidRPr="00873B6C">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61072F76" w:rsidR="00D40151" w:rsidRPr="00873B6C" w:rsidRDefault="00D40151" w:rsidP="00D40151">
      <w:r w:rsidRPr="00873B6C">
        <w:lastRenderedPageBreak/>
        <w:t xml:space="preserve">GFBR and MFBR are signalled to the (R)AN in the QoS Profile and signalled to the UE as QoS Flow level QoS parameter (as specified in </w:t>
      </w:r>
      <w:r w:rsidR="00972E70" w:rsidRPr="00873B6C">
        <w:t>TS 24.501 [</w:t>
      </w:r>
      <w:r w:rsidRPr="00873B6C">
        <w:t>47]) for each individual QoS Flow.</w:t>
      </w:r>
    </w:p>
    <w:p w14:paraId="5AE89824" w14:textId="77777777" w:rsidR="00D40151" w:rsidRPr="00873B6C" w:rsidRDefault="00D40151" w:rsidP="00D40151">
      <w:pPr>
        <w:pStyle w:val="NO"/>
      </w:pPr>
      <w:r w:rsidRPr="00873B6C">
        <w:t>NOTE 1:</w:t>
      </w:r>
      <w:r w:rsidRPr="00873B6C">
        <w:tab/>
        <w:t>The GFBR is recommended as the lowest acceptable service bitrate where the service will survive.</w:t>
      </w:r>
    </w:p>
    <w:p w14:paraId="28218BAD" w14:textId="1C6A8444" w:rsidR="00D40151" w:rsidRPr="00873B6C" w:rsidRDefault="00D40151" w:rsidP="00D40151">
      <w:pPr>
        <w:pStyle w:val="NO"/>
      </w:pPr>
      <w:r w:rsidRPr="00873B6C">
        <w:t>NOTE 2:</w:t>
      </w:r>
      <w:r w:rsidRPr="00873B6C">
        <w:tab/>
        <w:t>For each QoS Flow of Delay</w:t>
      </w:r>
      <w:r w:rsidR="00704A9E" w:rsidRPr="00873B6C">
        <w:t>-c</w:t>
      </w:r>
      <w:r w:rsidRPr="00873B6C">
        <w:t xml:space="preserve">ritical GBR resource type, the SMF can ensure that the GFBR of the QoS Flow can be achieved with the MDBV of the QoS Flow using the QoS Flow binding functionality described in clause 6.1.3.2.4 </w:t>
      </w:r>
      <w:r w:rsidR="00960CDA" w:rsidRPr="00873B6C">
        <w:t>of</w:t>
      </w:r>
      <w:r w:rsidRPr="00873B6C">
        <w:t xml:space="preserve"> </w:t>
      </w:r>
      <w:r w:rsidR="00972E70" w:rsidRPr="00873B6C">
        <w:t>TS 23.503 [</w:t>
      </w:r>
      <w:r w:rsidRPr="00873B6C">
        <w:t>45].</w:t>
      </w:r>
    </w:p>
    <w:p w14:paraId="29F82339" w14:textId="77777777" w:rsidR="00D40151" w:rsidRPr="00873B6C" w:rsidRDefault="00D40151" w:rsidP="00D40151">
      <w:pPr>
        <w:pStyle w:val="NO"/>
      </w:pPr>
      <w:r w:rsidRPr="00873B6C">
        <w:t>NOTE 3:</w:t>
      </w:r>
      <w:r w:rsidRPr="00873B6C">
        <w:tab/>
        <w:t>The network can set MFBR larger than GFBR for a particular QoS Flow based on operator policy and the knowledge of the end point capability, i.e. support of rate adaptation at application / service level.</w:t>
      </w:r>
    </w:p>
    <w:p w14:paraId="2F6BFE1A" w14:textId="77777777" w:rsidR="00D40151" w:rsidRPr="00873B6C" w:rsidRDefault="00D40151" w:rsidP="00D40151">
      <w:pPr>
        <w:pStyle w:val="Heading4"/>
      </w:pPr>
      <w:bookmarkStart w:id="1731" w:name="_CR5_7_2_6"/>
      <w:bookmarkStart w:id="1732" w:name="_Toc20149808"/>
      <w:bookmarkStart w:id="1733" w:name="_Toc27846602"/>
      <w:bookmarkStart w:id="1734" w:name="_Toc36187730"/>
      <w:bookmarkStart w:id="1735" w:name="_Toc45183634"/>
      <w:bookmarkStart w:id="1736" w:name="_Toc47342476"/>
      <w:bookmarkStart w:id="1737" w:name="_Toc51769176"/>
      <w:bookmarkStart w:id="1738" w:name="_Toc201157134"/>
      <w:bookmarkEnd w:id="1731"/>
      <w:r w:rsidRPr="00873B6C">
        <w:t>5.7.2.6</w:t>
      </w:r>
      <w:r w:rsidRPr="00873B6C">
        <w:tab/>
        <w:t>Aggregate Bit Rates</w:t>
      </w:r>
      <w:bookmarkEnd w:id="1732"/>
      <w:bookmarkEnd w:id="1733"/>
      <w:bookmarkEnd w:id="1734"/>
      <w:bookmarkEnd w:id="1735"/>
      <w:bookmarkEnd w:id="1736"/>
      <w:bookmarkEnd w:id="1737"/>
      <w:bookmarkEnd w:id="1738"/>
    </w:p>
    <w:p w14:paraId="5CFFEE5B" w14:textId="77777777" w:rsidR="00D40151" w:rsidRPr="00873B6C" w:rsidRDefault="00D40151" w:rsidP="00D40151">
      <w:r w:rsidRPr="00873B6C">
        <w:t xml:space="preserve">Each </w:t>
      </w:r>
      <w:r w:rsidRPr="00873B6C">
        <w:rPr>
          <w:lang w:eastAsia="zh-CN"/>
        </w:rPr>
        <w:t xml:space="preserve">PDU Session of </w:t>
      </w:r>
      <w:r w:rsidRPr="00873B6C">
        <w:t xml:space="preserve">a UE is associated with the following aggregate </w:t>
      </w:r>
      <w:r w:rsidRPr="00873B6C">
        <w:rPr>
          <w:lang w:eastAsia="zh-CN"/>
        </w:rPr>
        <w:t xml:space="preserve">rate limit </w:t>
      </w:r>
      <w:r w:rsidRPr="00873B6C">
        <w:t>QoS parameter:</w:t>
      </w:r>
    </w:p>
    <w:p w14:paraId="6167FAC3" w14:textId="77777777" w:rsidR="00D40151" w:rsidRPr="00873B6C" w:rsidRDefault="00D40151" w:rsidP="00D40151">
      <w:pPr>
        <w:pStyle w:val="B1"/>
      </w:pPr>
      <w:r w:rsidRPr="00873B6C">
        <w:t>-</w:t>
      </w:r>
      <w:r w:rsidRPr="00873B6C">
        <w:tab/>
        <w:t xml:space="preserve">per </w:t>
      </w:r>
      <w:r w:rsidRPr="00873B6C">
        <w:rPr>
          <w:lang w:eastAsia="zh-CN"/>
        </w:rPr>
        <w:t>Session</w:t>
      </w:r>
      <w:r w:rsidRPr="00873B6C">
        <w:t xml:space="preserve"> Aggregate Maximum Bit Rate (</w:t>
      </w:r>
      <w:r w:rsidRPr="00873B6C">
        <w:rPr>
          <w:lang w:eastAsia="zh-CN"/>
        </w:rPr>
        <w:t>Session</w:t>
      </w:r>
      <w:r w:rsidRPr="00873B6C">
        <w:t>-AMBR).</w:t>
      </w:r>
    </w:p>
    <w:p w14:paraId="6D0C05A5" w14:textId="77777777" w:rsidR="00D40151" w:rsidRPr="00873B6C" w:rsidRDefault="00D40151" w:rsidP="00D40151">
      <w:pPr>
        <w:rPr>
          <w:lang w:eastAsia="zh-CN"/>
        </w:rPr>
      </w:pPr>
      <w:r w:rsidRPr="00873B6C">
        <w:t>The</w:t>
      </w:r>
      <w:r w:rsidRPr="00873B6C">
        <w:rPr>
          <w:lang w:eastAsia="zh-CN"/>
        </w:rPr>
        <w:t xml:space="preserve"> Session-AMBR is signalled to the appropriate UPF entity/ies to the UE and to the (R)AN (to enable the calculation of the </w:t>
      </w:r>
      <w:r w:rsidRPr="00873B6C">
        <w:t>UE-AMBR)</w:t>
      </w:r>
      <w:r w:rsidRPr="00873B6C">
        <w:rPr>
          <w:lang w:eastAsia="zh-CN"/>
        </w:rPr>
        <w:t xml:space="preserve">. The Session-AMBR </w:t>
      </w:r>
      <w:r w:rsidRPr="00873B6C">
        <w:t xml:space="preserve">limits the aggregate bit rate that can be expected to be provided across all Non-GBR </w:t>
      </w:r>
      <w:r w:rsidRPr="00873B6C">
        <w:rPr>
          <w:lang w:eastAsia="zh-CN"/>
        </w:rPr>
        <w:t xml:space="preserve">QoS Flows for a specific PDU Session. The Session-AMBR is measured over an AMBR averaging window which is a standardized value. </w:t>
      </w:r>
      <w:r w:rsidRPr="00873B6C">
        <w:t>The Session-AMBR is not applicable to GBR QoS Flows.</w:t>
      </w:r>
    </w:p>
    <w:p w14:paraId="01417FFC" w14:textId="77777777" w:rsidR="00D40151" w:rsidRPr="00873B6C" w:rsidRDefault="00D40151" w:rsidP="00D40151">
      <w:r w:rsidRPr="00873B6C">
        <w:t xml:space="preserve">Each UE is associated with the following aggregate </w:t>
      </w:r>
      <w:r w:rsidRPr="00873B6C">
        <w:rPr>
          <w:lang w:eastAsia="zh-CN"/>
        </w:rPr>
        <w:t xml:space="preserve">rate limit </w:t>
      </w:r>
      <w:r w:rsidRPr="00873B6C">
        <w:t>QoS parameter:</w:t>
      </w:r>
    </w:p>
    <w:p w14:paraId="48D78F88" w14:textId="77777777" w:rsidR="00D40151" w:rsidRPr="00873B6C" w:rsidRDefault="00D40151" w:rsidP="00D40151">
      <w:pPr>
        <w:pStyle w:val="B1"/>
      </w:pPr>
      <w:r w:rsidRPr="00873B6C">
        <w:t>-</w:t>
      </w:r>
      <w:r w:rsidRPr="00873B6C">
        <w:tab/>
        <w:t>per UE Aggregate Maximum Bit Rate (UE-AMBR).</w:t>
      </w:r>
    </w:p>
    <w:p w14:paraId="10AA3BF6" w14:textId="20731D60" w:rsidR="00D40151" w:rsidRPr="00873B6C" w:rsidRDefault="00D40151" w:rsidP="00D40151">
      <w:pPr>
        <w:rPr>
          <w:lang w:eastAsia="zh-CN"/>
        </w:rPr>
      </w:pPr>
      <w:r w:rsidRPr="00873B6C">
        <w:t xml:space="preserve">The UE-AMBR limits the aggregate bit rate that can be expected to be provided across all Non-GBR QoS Flows of a UE. </w:t>
      </w:r>
      <w:r w:rsidRPr="00873B6C">
        <w:rPr>
          <w:lang w:eastAsia="zh-CN"/>
        </w:rPr>
        <w:t>Each</w:t>
      </w:r>
      <w:r w:rsidRPr="00873B6C">
        <w:t xml:space="preserve"> (R)AN shall set its UE-AMBR</w:t>
      </w:r>
      <w:r w:rsidRPr="00873B6C">
        <w:rPr>
          <w:lang w:eastAsia="zh-CN"/>
        </w:rPr>
        <w:t xml:space="preserve"> </w:t>
      </w:r>
      <w:r w:rsidRPr="00873B6C">
        <w:t xml:space="preserve">to the sum of the </w:t>
      </w:r>
      <w:r w:rsidRPr="00873B6C">
        <w:rPr>
          <w:lang w:eastAsia="zh-CN"/>
        </w:rPr>
        <w:t>Session</w:t>
      </w:r>
      <w:r w:rsidRPr="00873B6C">
        <w:t xml:space="preserve">-AMBR of all </w:t>
      </w:r>
      <w:r w:rsidRPr="00873B6C">
        <w:rPr>
          <w:lang w:eastAsia="zh-CN"/>
        </w:rPr>
        <w:t>PDU Session</w:t>
      </w:r>
      <w:r w:rsidRPr="00873B6C">
        <w:t xml:space="preserve">s </w:t>
      </w:r>
      <w:r w:rsidRPr="00873B6C">
        <w:rPr>
          <w:lang w:eastAsia="zh-CN"/>
        </w:rPr>
        <w:t xml:space="preserve">with active user plane to this (R)AN </w:t>
      </w:r>
      <w:r w:rsidRPr="00873B6C">
        <w:t>up to the value of the UE-AMBR</w:t>
      </w:r>
      <w:r w:rsidR="00BA212C" w:rsidRPr="00873B6C">
        <w:t xml:space="preserve"> received</w:t>
      </w:r>
      <w:r w:rsidRPr="00873B6C">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873B6C">
        <w:rPr>
          <w:lang w:eastAsia="zh-CN"/>
        </w:rPr>
        <w:t>The UE-AMBR is measured over an AMBR averaging window which is a standardized value.</w:t>
      </w:r>
      <w:r w:rsidRPr="00873B6C">
        <w:t xml:space="preserve"> The UE-AMBR is not applicable to GBR QoS Flows.</w:t>
      </w:r>
    </w:p>
    <w:p w14:paraId="4D7C14DD" w14:textId="77777777" w:rsidR="00BA212C" w:rsidRPr="00873B6C" w:rsidRDefault="00BA212C" w:rsidP="00562E84">
      <w:r w:rsidRPr="00873B6C">
        <w:t>Each group of PDU Sessions of the UE for the same slice (S-NSSAI) may be associated with the following aggregate rate limit QoS parameter:</w:t>
      </w:r>
    </w:p>
    <w:p w14:paraId="2C14BA2B" w14:textId="77777777" w:rsidR="00BA212C" w:rsidRPr="00873B6C" w:rsidRDefault="00BA212C" w:rsidP="00562E84">
      <w:pPr>
        <w:pStyle w:val="B1"/>
      </w:pPr>
      <w:r w:rsidRPr="00873B6C">
        <w:t>-</w:t>
      </w:r>
      <w:r w:rsidRPr="00873B6C">
        <w:tab/>
        <w:t>per UE per Slice-Maximum Bit Rate (UE-Slice-MBR).</w:t>
      </w:r>
    </w:p>
    <w:p w14:paraId="7B5FB970" w14:textId="67907C88" w:rsidR="00BA212C" w:rsidRPr="00873B6C" w:rsidRDefault="00BA212C" w:rsidP="00562E84">
      <w:r w:rsidRPr="00873B6C">
        <w:t xml:space="preserve">The UE-Slice-MBR limits the aggregate bit rate that can be expected to be provided across all GBR and Non-GBR QoS Flows corresponding to PDU Sessions of the UE for the same slice (S-NSSAI) which have an active user plane. Each supporting </w:t>
      </w:r>
      <w:r w:rsidR="00022CB9" w:rsidRPr="00873B6C">
        <w:t>NG-</w:t>
      </w:r>
      <w:r w:rsidRPr="00873B6C">
        <w:t xml:space="preserve">RAN shall set its UE-Slice-MBR to the sum of the Session-AMBR and MFBR for GBR QoS Flows of all PDU Sessions corresponding to the slice (S-NSSAI) with active user plane to this </w:t>
      </w:r>
      <w:r w:rsidR="00022CB9" w:rsidRPr="00873B6C">
        <w:t>NG-</w:t>
      </w:r>
      <w:r w:rsidRPr="00873B6C">
        <w:t xml:space="preserve">RAN up to the value of the UE-Slice-MBR corresponding to the slice (S-NSSAI) received from AMF. The UE-Slice-MBR is measured over an AMBR averaging window which is a standardized value. The UE-Slice-MBR is an optional parameter provided to the </w:t>
      </w:r>
      <w:r w:rsidR="00022CB9" w:rsidRPr="00873B6C">
        <w:t>NG-</w:t>
      </w:r>
      <w:r w:rsidRPr="00873B6C">
        <w:t>RAN by the AMF as described in clause 5.15.13.</w:t>
      </w:r>
    </w:p>
    <w:p w14:paraId="6DCB0C5A" w14:textId="7B3AB59A" w:rsidR="00D40151" w:rsidRPr="00873B6C" w:rsidRDefault="00D40151" w:rsidP="00D40151">
      <w:pPr>
        <w:pStyle w:val="NO"/>
      </w:pPr>
      <w:r w:rsidRPr="00873B6C">
        <w:t>NOTE:</w:t>
      </w:r>
      <w:r w:rsidRPr="00873B6C">
        <w:tab/>
      </w:r>
      <w:r w:rsidRPr="00873B6C">
        <w:rPr>
          <w:lang w:eastAsia="zh-CN"/>
        </w:rPr>
        <w:t>The AMBR averaging window is only applied to Session-AMBR</w:t>
      </w:r>
      <w:r w:rsidR="00BA212C" w:rsidRPr="00873B6C">
        <w:rPr>
          <w:lang w:eastAsia="zh-CN"/>
        </w:rPr>
        <w:t>,</w:t>
      </w:r>
      <w:r w:rsidRPr="00873B6C">
        <w:rPr>
          <w:lang w:eastAsia="zh-CN"/>
        </w:rPr>
        <w:t xml:space="preserve"> UE-AMBR</w:t>
      </w:r>
      <w:r w:rsidR="00BA212C" w:rsidRPr="00873B6C">
        <w:rPr>
          <w:lang w:eastAsia="zh-CN"/>
        </w:rPr>
        <w:t xml:space="preserve"> and UE-Slice-MBR</w:t>
      </w:r>
      <w:r w:rsidRPr="00873B6C">
        <w:rPr>
          <w:lang w:eastAsia="zh-CN"/>
        </w:rPr>
        <w:t xml:space="preserve"> measurement and</w:t>
      </w:r>
      <w:r w:rsidRPr="00873B6C">
        <w:rPr>
          <w:b/>
          <w:lang w:eastAsia="zh-CN"/>
        </w:rPr>
        <w:t xml:space="preserve"> </w:t>
      </w:r>
      <w:r w:rsidRPr="00873B6C">
        <w:t>the AMBR averaging windows for Session-AMBR and UE-AMBR are standardised to the same value.</w:t>
      </w:r>
    </w:p>
    <w:p w14:paraId="21A5DD8C" w14:textId="77777777" w:rsidR="00D40151" w:rsidRPr="00873B6C" w:rsidRDefault="00D40151" w:rsidP="00D40151">
      <w:pPr>
        <w:pStyle w:val="Heading4"/>
      </w:pPr>
      <w:bookmarkStart w:id="1739" w:name="_CR5_7_2_7"/>
      <w:bookmarkStart w:id="1740" w:name="_Toc20149809"/>
      <w:bookmarkStart w:id="1741" w:name="_Toc27846603"/>
      <w:bookmarkStart w:id="1742" w:name="_Toc36187731"/>
      <w:bookmarkStart w:id="1743" w:name="_Toc45183635"/>
      <w:bookmarkStart w:id="1744" w:name="_Toc47342477"/>
      <w:bookmarkStart w:id="1745" w:name="_Toc51769177"/>
      <w:bookmarkStart w:id="1746" w:name="_Toc201157135"/>
      <w:bookmarkEnd w:id="1739"/>
      <w:r w:rsidRPr="00873B6C">
        <w:t>5.7.2.7</w:t>
      </w:r>
      <w:r w:rsidRPr="00873B6C">
        <w:tab/>
        <w:t>Default values</w:t>
      </w:r>
      <w:bookmarkEnd w:id="1740"/>
      <w:bookmarkEnd w:id="1741"/>
      <w:bookmarkEnd w:id="1742"/>
      <w:bookmarkEnd w:id="1743"/>
      <w:bookmarkEnd w:id="1744"/>
      <w:bookmarkEnd w:id="1745"/>
      <w:bookmarkEnd w:id="1746"/>
    </w:p>
    <w:p w14:paraId="7330F948" w14:textId="77777777" w:rsidR="00D40151" w:rsidRPr="00873B6C" w:rsidRDefault="00D40151" w:rsidP="00D40151">
      <w:r w:rsidRPr="00873B6C">
        <w:t xml:space="preserve">For each PDU Session Setup, the SMF retrieves the subscribed Session-AMBR values as well as the </w:t>
      </w:r>
      <w:r w:rsidRPr="00873B6C">
        <w:rPr>
          <w:lang w:eastAsia="zh-CN"/>
        </w:rPr>
        <w:t xml:space="preserve">subscribed </w:t>
      </w:r>
      <w:r w:rsidRPr="00873B6C">
        <w:t xml:space="preserve">default values for the 5QI and the ARP </w:t>
      </w:r>
      <w:r w:rsidRPr="00873B6C">
        <w:rPr>
          <w:lang w:eastAsia="zh-CN"/>
        </w:rPr>
        <w:t xml:space="preserve">and optionally, the 5QI Priority Level, </w:t>
      </w:r>
      <w:r w:rsidRPr="00873B6C">
        <w:t>from the UDM. The subscribed default 5QI value shall be a Non-GBR 5QI from the standardized value range.</w:t>
      </w:r>
    </w:p>
    <w:p w14:paraId="38D82C8D" w14:textId="59394634" w:rsidR="00D40151" w:rsidRPr="00873B6C" w:rsidRDefault="00D40151" w:rsidP="00D40151">
      <w:pPr>
        <w:pStyle w:val="NO"/>
      </w:pPr>
      <w:r w:rsidRPr="00873B6C">
        <w:t>NOTE 1:</w:t>
      </w:r>
      <w:r w:rsidRPr="00873B6C">
        <w:tab/>
        <w:t>The 5QI Priority Level can be added to the subscription information to achieve an overwriting of the standardized or pre</w:t>
      </w:r>
      <w:r w:rsidR="00153C7D" w:rsidRPr="00873B6C">
        <w:t>-</w:t>
      </w:r>
      <w:r w:rsidRPr="00873B6C">
        <w:t>configured 5QI Priority Level e.g. in scenarios where dynamic PCC is not deployed or the PCF is unavailable or unreachable.</w:t>
      </w:r>
    </w:p>
    <w:p w14:paraId="5831FE8E" w14:textId="39E05D9B" w:rsidR="00D40151" w:rsidRPr="00873B6C" w:rsidRDefault="00D40151" w:rsidP="00D40151">
      <w:r w:rsidRPr="00873B6C">
        <w:lastRenderedPageBreak/>
        <w:t xml:space="preserve">The SMF may change the </w:t>
      </w:r>
      <w:r w:rsidRPr="00873B6C">
        <w:rPr>
          <w:lang w:eastAsia="zh-CN"/>
        </w:rPr>
        <w:t xml:space="preserve">subscribed values for the </w:t>
      </w:r>
      <w:r w:rsidRPr="00873B6C">
        <w:t>default 5QI and the ARP</w:t>
      </w:r>
      <w:r w:rsidRPr="00873B6C">
        <w:rPr>
          <w:lang w:eastAsia="zh-CN"/>
        </w:rPr>
        <w:t xml:space="preserve"> and if received, the 5QI Priority Level, </w:t>
      </w:r>
      <w:r w:rsidRPr="00873B6C">
        <w:t xml:space="preserve">based on interaction with the PCF as described in </w:t>
      </w:r>
      <w:r w:rsidR="00972E70" w:rsidRPr="00873B6C">
        <w:t>TS 23.503 [</w:t>
      </w:r>
      <w:r w:rsidRPr="00873B6C">
        <w:t>45] or, if dynamic PCC is not deployed, based on local configuration,</w:t>
      </w:r>
      <w:r w:rsidRPr="00873B6C">
        <w:rPr>
          <w:lang w:eastAsia="zh-CN"/>
        </w:rPr>
        <w:t xml:space="preserve"> to set QoS parameters for the QoS Flow associated with the default QoS rule.</w:t>
      </w:r>
    </w:p>
    <w:p w14:paraId="10FF658E" w14:textId="3A862D39" w:rsidR="00D40151" w:rsidRPr="00873B6C" w:rsidRDefault="00D40151" w:rsidP="00D40151">
      <w:r w:rsidRPr="00873B6C">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972E70" w:rsidRPr="00873B6C">
        <w:t>TS 23.503 [</w:t>
      </w:r>
      <w:r w:rsidRPr="00873B6C">
        <w:t>45]). If dynamic PCC is not deployed, the SMF shall set the ARP priority level, the ARP pre-emption capability and the ARP pre-emption vulnerability based on local configuration.</w:t>
      </w:r>
    </w:p>
    <w:p w14:paraId="30E7B581" w14:textId="77777777" w:rsidR="00D40151" w:rsidRPr="00873B6C" w:rsidRDefault="00D40151" w:rsidP="00D40151">
      <w:pPr>
        <w:pStyle w:val="NO"/>
      </w:pPr>
      <w:r w:rsidRPr="00873B6C">
        <w:t>NOTE 2:</w:t>
      </w:r>
      <w:r w:rsidRPr="00873B6C">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873B6C" w:rsidRDefault="00D40151" w:rsidP="00D40151">
      <w:r w:rsidRPr="00873B6C">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873B6C" w:rsidRDefault="00D40151" w:rsidP="00D40151">
      <w:pPr>
        <w:pStyle w:val="NO"/>
      </w:pPr>
      <w:r w:rsidRPr="00873B6C">
        <w:t>NOTE 3:</w:t>
      </w:r>
      <w:r w:rsidRPr="00873B6C">
        <w:tab/>
        <w:t>Interworking with EPS is not possible for a PDU Session with a GBR QoS Flow as the QoS Flow that is associated with the default QoS rule.</w:t>
      </w:r>
    </w:p>
    <w:p w14:paraId="79DF9175" w14:textId="6AAA9544" w:rsidR="00D40151" w:rsidRPr="00873B6C" w:rsidRDefault="00D40151" w:rsidP="00D40151">
      <w:bookmarkStart w:id="1747" w:name="_Toc20149810"/>
      <w:r w:rsidRPr="00873B6C">
        <w:t xml:space="preserve">The SMF may change the subscribed Session-AMBR values (for UL and/or DL), based on interaction with the PCF as described in </w:t>
      </w:r>
      <w:r w:rsidR="00972E70" w:rsidRPr="00873B6C">
        <w:t>TS 23.503 [</w:t>
      </w:r>
      <w:r w:rsidRPr="00873B6C">
        <w:t>45] or, if dynamic PCC is not deployed, based on local configuration, to set the Session-AMBR values for the PDU Session.</w:t>
      </w:r>
    </w:p>
    <w:p w14:paraId="10DC3842" w14:textId="77777777" w:rsidR="00D40151" w:rsidRPr="00873B6C" w:rsidRDefault="00D40151" w:rsidP="00D40151">
      <w:pPr>
        <w:pStyle w:val="Heading4"/>
      </w:pPr>
      <w:bookmarkStart w:id="1748" w:name="_CR5_7_2_8"/>
      <w:bookmarkStart w:id="1749" w:name="_Toc27846604"/>
      <w:bookmarkStart w:id="1750" w:name="_Toc36187732"/>
      <w:bookmarkStart w:id="1751" w:name="_Toc45183636"/>
      <w:bookmarkStart w:id="1752" w:name="_Toc47342478"/>
      <w:bookmarkStart w:id="1753" w:name="_Toc51769178"/>
      <w:bookmarkStart w:id="1754" w:name="_Toc201157136"/>
      <w:bookmarkEnd w:id="1748"/>
      <w:r w:rsidRPr="00873B6C">
        <w:t>5.7.2.8</w:t>
      </w:r>
      <w:r w:rsidRPr="00873B6C">
        <w:tab/>
        <w:t>Maximum Packet Loss Rate</w:t>
      </w:r>
      <w:bookmarkEnd w:id="1747"/>
      <w:bookmarkEnd w:id="1749"/>
      <w:bookmarkEnd w:id="1750"/>
      <w:bookmarkEnd w:id="1751"/>
      <w:bookmarkEnd w:id="1752"/>
      <w:bookmarkEnd w:id="1753"/>
      <w:bookmarkEnd w:id="1754"/>
    </w:p>
    <w:p w14:paraId="6B66EE1A" w14:textId="184CAD20" w:rsidR="00D40151" w:rsidRPr="00873B6C" w:rsidRDefault="00D40151" w:rsidP="00D40151">
      <w:r w:rsidRPr="00873B6C">
        <w:t xml:space="preserve">The Maximum Packet Loss Rate (UL, DL) indicates the maximum rate for lost packets of the </w:t>
      </w:r>
      <w:r w:rsidR="00426DE4" w:rsidRPr="00873B6C">
        <w:t>QoS Flow</w:t>
      </w:r>
      <w:r w:rsidRPr="00873B6C">
        <w:t xml:space="preserve"> that can be tolerated in the uplink and downlink direction. This is provided to the </w:t>
      </w:r>
      <w:r w:rsidR="00426DE4" w:rsidRPr="00873B6C">
        <w:t>QoS Flow</w:t>
      </w:r>
      <w:r w:rsidRPr="00873B6C">
        <w:t xml:space="preserve"> if it is compliant to the GFBR</w:t>
      </w:r>
    </w:p>
    <w:p w14:paraId="66C94923" w14:textId="4C01D151" w:rsidR="00D40151" w:rsidRPr="00873B6C" w:rsidRDefault="00D40151" w:rsidP="00D40151">
      <w:pPr>
        <w:pStyle w:val="NO"/>
      </w:pPr>
      <w:r w:rsidRPr="00873B6C">
        <w:t>NOTE:</w:t>
      </w:r>
      <w:r w:rsidRPr="00873B6C">
        <w:tab/>
        <w:t>In this Release of the specification,</w:t>
      </w:r>
      <w:r w:rsidRPr="00873B6C">
        <w:rPr>
          <w:lang w:eastAsia="zh-CN"/>
        </w:rPr>
        <w:t xml:space="preserve"> the </w:t>
      </w:r>
      <w:r w:rsidRPr="00873B6C">
        <w:t>Maximum Packet Loss Rate (UL, DL)</w:t>
      </w:r>
      <w:r w:rsidRPr="00873B6C">
        <w:rPr>
          <w:lang w:eastAsia="zh-CN"/>
        </w:rPr>
        <w:t xml:space="preserve"> can only be provided for a GBR </w:t>
      </w:r>
      <w:r w:rsidR="00426DE4" w:rsidRPr="00873B6C">
        <w:rPr>
          <w:lang w:eastAsia="zh-CN"/>
        </w:rPr>
        <w:t>QoS Flow</w:t>
      </w:r>
      <w:r w:rsidRPr="00873B6C">
        <w:rPr>
          <w:lang w:eastAsia="zh-CN"/>
        </w:rPr>
        <w:t xml:space="preserve"> belonging to voice media</w:t>
      </w:r>
      <w:r w:rsidRPr="00873B6C">
        <w:t>.</w:t>
      </w:r>
    </w:p>
    <w:p w14:paraId="5307C0EB" w14:textId="77777777" w:rsidR="00D40151" w:rsidRPr="00873B6C" w:rsidRDefault="00D40151" w:rsidP="00D40151">
      <w:pPr>
        <w:pStyle w:val="Heading4"/>
      </w:pPr>
      <w:bookmarkStart w:id="1755" w:name="_CR5_7_2_9"/>
      <w:bookmarkStart w:id="1756" w:name="_Toc20149811"/>
      <w:bookmarkStart w:id="1757" w:name="_Toc27846605"/>
      <w:bookmarkStart w:id="1758" w:name="_Toc36187733"/>
      <w:bookmarkStart w:id="1759" w:name="_Toc45183637"/>
      <w:bookmarkStart w:id="1760" w:name="_Toc47342479"/>
      <w:bookmarkStart w:id="1761" w:name="_Toc51769179"/>
      <w:bookmarkStart w:id="1762" w:name="_Toc201157137"/>
      <w:bookmarkEnd w:id="1755"/>
      <w:r w:rsidRPr="00873B6C">
        <w:t>5.7.2.9</w:t>
      </w:r>
      <w:r w:rsidRPr="00873B6C">
        <w:tab/>
        <w:t>Wireline access network specific 5G QoS parameters</w:t>
      </w:r>
      <w:bookmarkEnd w:id="1756"/>
      <w:bookmarkEnd w:id="1757"/>
      <w:bookmarkEnd w:id="1758"/>
      <w:bookmarkEnd w:id="1759"/>
      <w:bookmarkEnd w:id="1760"/>
      <w:bookmarkEnd w:id="1761"/>
      <w:bookmarkEnd w:id="1762"/>
    </w:p>
    <w:p w14:paraId="6B80E537" w14:textId="0F457011" w:rsidR="00D40151" w:rsidRPr="00873B6C" w:rsidRDefault="00D40151" w:rsidP="00D40151">
      <w:pPr>
        <w:rPr>
          <w:lang w:eastAsia="x-none"/>
        </w:rPr>
      </w:pPr>
      <w:r w:rsidRPr="00873B6C">
        <w:rPr>
          <w:lang w:eastAsia="x-none"/>
        </w:rPr>
        <w:t xml:space="preserve">QoS parameters that are applicable only for or wireline access networks (W-5GAN) are specified in </w:t>
      </w:r>
      <w:r w:rsidR="00972E70" w:rsidRPr="00873B6C">
        <w:rPr>
          <w:lang w:eastAsia="x-none"/>
        </w:rPr>
        <w:t>TS 23.316 [</w:t>
      </w:r>
      <w:r w:rsidRPr="00873B6C">
        <w:rPr>
          <w:lang w:eastAsia="x-none"/>
        </w:rPr>
        <w:t>84].</w:t>
      </w:r>
    </w:p>
    <w:p w14:paraId="4AE653C2" w14:textId="77777777" w:rsidR="00D40151" w:rsidRPr="00873B6C" w:rsidRDefault="00D40151" w:rsidP="00D40151">
      <w:pPr>
        <w:pStyle w:val="Heading3"/>
      </w:pPr>
      <w:bookmarkStart w:id="1763" w:name="_CR5_7_3"/>
      <w:bookmarkStart w:id="1764" w:name="_Toc20149812"/>
      <w:bookmarkStart w:id="1765" w:name="_Toc27846606"/>
      <w:bookmarkStart w:id="1766" w:name="_Toc36187734"/>
      <w:bookmarkStart w:id="1767" w:name="_Toc45183638"/>
      <w:bookmarkStart w:id="1768" w:name="_Toc47342480"/>
      <w:bookmarkStart w:id="1769" w:name="_Toc51769180"/>
      <w:bookmarkStart w:id="1770" w:name="_Toc201157138"/>
      <w:bookmarkEnd w:id="1763"/>
      <w:r w:rsidRPr="00873B6C">
        <w:t>5.7.3</w:t>
      </w:r>
      <w:r w:rsidRPr="00873B6C">
        <w:tab/>
        <w:t>5G QoS characteristics</w:t>
      </w:r>
      <w:bookmarkEnd w:id="1764"/>
      <w:bookmarkEnd w:id="1765"/>
      <w:bookmarkEnd w:id="1766"/>
      <w:bookmarkEnd w:id="1767"/>
      <w:bookmarkEnd w:id="1768"/>
      <w:bookmarkEnd w:id="1769"/>
      <w:bookmarkEnd w:id="1770"/>
    </w:p>
    <w:p w14:paraId="01281F29" w14:textId="77777777" w:rsidR="00D40151" w:rsidRPr="00873B6C" w:rsidRDefault="00D40151" w:rsidP="00D40151">
      <w:pPr>
        <w:pStyle w:val="Heading4"/>
      </w:pPr>
      <w:bookmarkStart w:id="1771" w:name="_CR5_7_3_1"/>
      <w:bookmarkStart w:id="1772" w:name="_Toc20149813"/>
      <w:bookmarkStart w:id="1773" w:name="_Toc27846607"/>
      <w:bookmarkStart w:id="1774" w:name="_Toc36187735"/>
      <w:bookmarkStart w:id="1775" w:name="_Toc45183639"/>
      <w:bookmarkStart w:id="1776" w:name="_Toc47342481"/>
      <w:bookmarkStart w:id="1777" w:name="_Toc51769181"/>
      <w:bookmarkStart w:id="1778" w:name="_Toc201157139"/>
      <w:bookmarkEnd w:id="1771"/>
      <w:r w:rsidRPr="00873B6C">
        <w:t>5.7.3.1</w:t>
      </w:r>
      <w:r w:rsidRPr="00873B6C">
        <w:tab/>
        <w:t>General</w:t>
      </w:r>
      <w:bookmarkEnd w:id="1772"/>
      <w:bookmarkEnd w:id="1773"/>
      <w:bookmarkEnd w:id="1774"/>
      <w:bookmarkEnd w:id="1775"/>
      <w:bookmarkEnd w:id="1776"/>
      <w:bookmarkEnd w:id="1777"/>
      <w:bookmarkEnd w:id="1778"/>
    </w:p>
    <w:p w14:paraId="7B4007A9" w14:textId="77777777" w:rsidR="00D40151" w:rsidRPr="00873B6C" w:rsidRDefault="00D40151" w:rsidP="00D40151">
      <w:r w:rsidRPr="00873B6C">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873B6C" w:rsidRDefault="00D40151" w:rsidP="00D40151">
      <w:pPr>
        <w:pStyle w:val="B1"/>
      </w:pPr>
      <w:r w:rsidRPr="00873B6C">
        <w:t>1</w:t>
      </w:r>
      <w:r w:rsidRPr="00873B6C">
        <w:tab/>
        <w:t xml:space="preserve">Resource </w:t>
      </w:r>
      <w:r w:rsidR="00704A9E" w:rsidRPr="00873B6C">
        <w:t>t</w:t>
      </w:r>
      <w:r w:rsidRPr="00873B6C">
        <w:t>ype (</w:t>
      </w:r>
      <w:r w:rsidR="00704A9E" w:rsidRPr="00873B6C">
        <w:t xml:space="preserve">Non-GBR, </w:t>
      </w:r>
      <w:r w:rsidRPr="00873B6C">
        <w:t>GBR, Delay</w:t>
      </w:r>
      <w:r w:rsidR="00704A9E" w:rsidRPr="00873B6C">
        <w:t>-</w:t>
      </w:r>
      <w:r w:rsidRPr="00873B6C">
        <w:t>critical GBR);</w:t>
      </w:r>
    </w:p>
    <w:p w14:paraId="6BE96FD5" w14:textId="77777777" w:rsidR="00D40151" w:rsidRPr="00873B6C" w:rsidRDefault="00D40151" w:rsidP="00D40151">
      <w:pPr>
        <w:pStyle w:val="B1"/>
      </w:pPr>
      <w:r w:rsidRPr="00873B6C">
        <w:t>2</w:t>
      </w:r>
      <w:r w:rsidRPr="00873B6C">
        <w:tab/>
        <w:t>Priority Level;</w:t>
      </w:r>
    </w:p>
    <w:p w14:paraId="75742314" w14:textId="77777777" w:rsidR="00D40151" w:rsidRPr="00873B6C" w:rsidRDefault="00D40151" w:rsidP="00D40151">
      <w:pPr>
        <w:pStyle w:val="B1"/>
      </w:pPr>
      <w:r w:rsidRPr="00873B6C">
        <w:t>3</w:t>
      </w:r>
      <w:r w:rsidRPr="00873B6C">
        <w:tab/>
        <w:t>Packet Delay Budget (including Core Network Packet Delay Budget);</w:t>
      </w:r>
    </w:p>
    <w:p w14:paraId="0372BB44" w14:textId="77777777" w:rsidR="00D40151" w:rsidRPr="00873B6C" w:rsidRDefault="00D40151" w:rsidP="00D40151">
      <w:pPr>
        <w:pStyle w:val="B1"/>
      </w:pPr>
      <w:r w:rsidRPr="00873B6C">
        <w:t>4</w:t>
      </w:r>
      <w:r w:rsidRPr="00873B6C">
        <w:tab/>
        <w:t>Packet Error Rate;</w:t>
      </w:r>
    </w:p>
    <w:p w14:paraId="6386E310" w14:textId="77777777" w:rsidR="00D40151" w:rsidRPr="00873B6C" w:rsidRDefault="00D40151" w:rsidP="00D40151">
      <w:pPr>
        <w:pStyle w:val="B1"/>
      </w:pPr>
      <w:r w:rsidRPr="00873B6C">
        <w:t>5</w:t>
      </w:r>
      <w:r w:rsidRPr="00873B6C">
        <w:tab/>
        <w:t>A</w:t>
      </w:r>
      <w:r w:rsidRPr="00873B6C">
        <w:rPr>
          <w:lang w:eastAsia="zh-CN"/>
        </w:rPr>
        <w:t>veraging window (for GBR and Delay-critical GBR resource type only);</w:t>
      </w:r>
    </w:p>
    <w:p w14:paraId="48C1C1F7" w14:textId="77777777" w:rsidR="00D40151" w:rsidRPr="00873B6C" w:rsidRDefault="00D40151" w:rsidP="00D40151">
      <w:pPr>
        <w:pStyle w:val="B1"/>
      </w:pPr>
      <w:r w:rsidRPr="00873B6C">
        <w:t>6</w:t>
      </w:r>
      <w:r w:rsidRPr="00873B6C">
        <w:tab/>
        <w:t>Maximum Data Burst Volume (for Delay-critical GBR resource type only).</w:t>
      </w:r>
    </w:p>
    <w:p w14:paraId="4C3B02D0" w14:textId="77777777" w:rsidR="00D40151" w:rsidRPr="00873B6C" w:rsidRDefault="00D40151" w:rsidP="00D40151">
      <w:r w:rsidRPr="00873B6C">
        <w:t>The 5G QoS characteristics should be understood as guidelines for setting node specific parameters for each QoS Flow e.g. for 3GPP radio access link layer protocol configurations.</w:t>
      </w:r>
    </w:p>
    <w:p w14:paraId="0EE7B67D" w14:textId="1601BFE5" w:rsidR="00D40151" w:rsidRPr="00873B6C" w:rsidRDefault="00D40151" w:rsidP="00D40151">
      <w:r w:rsidRPr="00873B6C">
        <w:t>Standardized or pre-configured 5G QoS characteristics, are indicated through the 5QI value</w:t>
      </w:r>
      <w:r w:rsidR="00472CD7" w:rsidRPr="00873B6C">
        <w:t xml:space="preserve"> and</w:t>
      </w:r>
      <w:r w:rsidRPr="00873B6C">
        <w:t xml:space="preserve"> are not signalled on any interface, unless certain 5G QoS characteristics are modified as specified in clauses 5.7.3.3, 5.7.3.4, 5.7.3.6</w:t>
      </w:r>
      <w:r w:rsidR="00472CD7" w:rsidRPr="00873B6C">
        <w:t xml:space="preserve"> and</w:t>
      </w:r>
      <w:r w:rsidRPr="00873B6C">
        <w:t xml:space="preserve"> 5.7.3.7.</w:t>
      </w:r>
    </w:p>
    <w:p w14:paraId="6A50937A" w14:textId="77777777" w:rsidR="00D40151" w:rsidRPr="00873B6C" w:rsidRDefault="00D40151" w:rsidP="00D40151">
      <w:pPr>
        <w:pStyle w:val="NO"/>
      </w:pPr>
      <w:r w:rsidRPr="00873B6C">
        <w:lastRenderedPageBreak/>
        <w:t>NOTE:</w:t>
      </w:r>
      <w:r w:rsidRPr="00873B6C">
        <w:tab/>
        <w:t>As there are no default values specified, pre-configured 5G QoS characteristics have to include all of the characteristics listed above.</w:t>
      </w:r>
    </w:p>
    <w:p w14:paraId="3036A6C2" w14:textId="77777777" w:rsidR="00D40151" w:rsidRPr="00873B6C" w:rsidRDefault="00D40151" w:rsidP="00D40151">
      <w:r w:rsidRPr="00873B6C">
        <w:t>Signalled 5G QoS characteristics are provided as part of the QoS profile and shall include all of the characteristics listed above.</w:t>
      </w:r>
    </w:p>
    <w:p w14:paraId="3BA8287C" w14:textId="77777777" w:rsidR="00D40151" w:rsidRPr="00873B6C" w:rsidRDefault="00D40151" w:rsidP="00D40151">
      <w:pPr>
        <w:pStyle w:val="Heading4"/>
      </w:pPr>
      <w:bookmarkStart w:id="1779" w:name="_CR5_7_3_2"/>
      <w:bookmarkStart w:id="1780" w:name="_Toc20149814"/>
      <w:bookmarkStart w:id="1781" w:name="_Toc27846608"/>
      <w:bookmarkStart w:id="1782" w:name="_Toc36187736"/>
      <w:bookmarkStart w:id="1783" w:name="_Toc45183640"/>
      <w:bookmarkStart w:id="1784" w:name="_Toc47342482"/>
      <w:bookmarkStart w:id="1785" w:name="_Toc51769182"/>
      <w:bookmarkStart w:id="1786" w:name="_Toc201157140"/>
      <w:bookmarkEnd w:id="1779"/>
      <w:r w:rsidRPr="00873B6C">
        <w:t>5.7.3.2</w:t>
      </w:r>
      <w:r w:rsidRPr="00873B6C">
        <w:tab/>
        <w:t>Resource Type</w:t>
      </w:r>
      <w:bookmarkEnd w:id="1780"/>
      <w:bookmarkEnd w:id="1781"/>
      <w:bookmarkEnd w:id="1782"/>
      <w:bookmarkEnd w:id="1783"/>
      <w:bookmarkEnd w:id="1784"/>
      <w:bookmarkEnd w:id="1785"/>
      <w:bookmarkEnd w:id="1786"/>
    </w:p>
    <w:p w14:paraId="3D25E5E1" w14:textId="3A94EC78" w:rsidR="00D40151" w:rsidRPr="00873B6C" w:rsidRDefault="00D40151" w:rsidP="00D40151">
      <w:r w:rsidRPr="00873B6C">
        <w:t xml:space="preserve">The </w:t>
      </w:r>
      <w:r w:rsidR="00704A9E" w:rsidRPr="00873B6C">
        <w:t>r</w:t>
      </w:r>
      <w:r w:rsidRPr="00873B6C">
        <w:t xml:space="preserve">esource </w:t>
      </w:r>
      <w:r w:rsidR="00704A9E" w:rsidRPr="00873B6C">
        <w:t>t</w:t>
      </w:r>
      <w:r w:rsidRPr="00873B6C">
        <w:t>ype determines if dedicated network resources related to a QoS Flow-level Guaranteed Flow Bit Rate (GFBR) value are permanently allocated (e.g. by an admission control function in a radio base station).</w:t>
      </w:r>
    </w:p>
    <w:p w14:paraId="71F0B17E" w14:textId="0803FEFF" w:rsidR="00D40151" w:rsidRPr="00873B6C" w:rsidRDefault="00D40151" w:rsidP="00D40151">
      <w:r w:rsidRPr="00873B6C">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w:t>
      </w:r>
      <w:r w:rsidR="00472CD7" w:rsidRPr="00873B6C">
        <w:t xml:space="preserve"> and</w:t>
      </w:r>
      <w:r w:rsidRPr="00873B6C">
        <w:t xml:space="preserve"> the MDBV parameter applies only to the Delay-critical GBR resource type.</w:t>
      </w:r>
    </w:p>
    <w:p w14:paraId="39D616ED" w14:textId="77777777" w:rsidR="00D40151" w:rsidRPr="00873B6C" w:rsidRDefault="00D40151" w:rsidP="00D40151">
      <w:r w:rsidRPr="00873B6C">
        <w:t>A Non-GBR QoS Flow may be pre-authorized through static policy and charging control. A Non-GBR QoS Flow uses only the Non-GBR resource type.</w:t>
      </w:r>
    </w:p>
    <w:p w14:paraId="653A4827" w14:textId="77777777" w:rsidR="00D40151" w:rsidRPr="00873B6C" w:rsidRDefault="00D40151" w:rsidP="00D40151">
      <w:pPr>
        <w:pStyle w:val="Heading4"/>
      </w:pPr>
      <w:bookmarkStart w:id="1787" w:name="_CR5_7_3_3"/>
      <w:bookmarkStart w:id="1788" w:name="_Toc20149815"/>
      <w:bookmarkStart w:id="1789" w:name="_Toc27846609"/>
      <w:bookmarkStart w:id="1790" w:name="_Toc36187737"/>
      <w:bookmarkStart w:id="1791" w:name="_Toc45183641"/>
      <w:bookmarkStart w:id="1792" w:name="_Toc47342483"/>
      <w:bookmarkStart w:id="1793" w:name="_Toc51769183"/>
      <w:bookmarkStart w:id="1794" w:name="_Toc201157141"/>
      <w:bookmarkEnd w:id="1787"/>
      <w:r w:rsidRPr="00873B6C">
        <w:t>5.7.3.3</w:t>
      </w:r>
      <w:r w:rsidRPr="00873B6C">
        <w:tab/>
        <w:t>Priority Level</w:t>
      </w:r>
      <w:bookmarkEnd w:id="1788"/>
      <w:bookmarkEnd w:id="1789"/>
      <w:bookmarkEnd w:id="1790"/>
      <w:bookmarkEnd w:id="1791"/>
      <w:bookmarkEnd w:id="1792"/>
      <w:bookmarkEnd w:id="1793"/>
      <w:bookmarkEnd w:id="1794"/>
    </w:p>
    <w:p w14:paraId="07EEFA01" w14:textId="77777777" w:rsidR="00D40151" w:rsidRPr="00873B6C" w:rsidRDefault="00D40151" w:rsidP="00D40151">
      <w:pPr>
        <w:tabs>
          <w:tab w:val="left" w:pos="5529"/>
        </w:tabs>
      </w:pPr>
      <w:r w:rsidRPr="00873B6C">
        <w:t>The Priority Level associated with 5G QoS characteristics indicates a priority in scheduling resources among QoS Flows. The lowest Priority Level value corresponds to the highest priority.</w:t>
      </w:r>
    </w:p>
    <w:p w14:paraId="75F9B92C" w14:textId="49E3867E" w:rsidR="00D40151" w:rsidRPr="00873B6C" w:rsidRDefault="00D40151" w:rsidP="00D40151">
      <w:pPr>
        <w:tabs>
          <w:tab w:val="left" w:pos="5529"/>
        </w:tabs>
      </w:pPr>
      <w:r w:rsidRPr="00873B6C">
        <w:t>The Priority Level shall be used to differentiate between QoS Flows of the same UE</w:t>
      </w:r>
      <w:r w:rsidR="00472CD7" w:rsidRPr="00873B6C">
        <w:t xml:space="preserve"> and</w:t>
      </w:r>
      <w:r w:rsidRPr="00873B6C">
        <w:t xml:space="preserve"> it shall also be used to differentiate between QoS Flows from different UEs.</w:t>
      </w:r>
    </w:p>
    <w:p w14:paraId="0841D1C3" w14:textId="77777777" w:rsidR="00D40151" w:rsidRPr="00873B6C" w:rsidRDefault="00D40151" w:rsidP="00D40151">
      <w:r w:rsidRPr="00873B6C">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241C10E8" w:rsidR="00D40151" w:rsidRPr="00873B6C" w:rsidRDefault="00D40151" w:rsidP="00D40151">
      <w:r w:rsidRPr="00873B6C">
        <w:t>Every standardized 5QI is associated with a default value for the Priority Level -specified in QoS characteristics Table 5.7.4.1). Priority Level may also be signalled together with a standardized 5QI to the -R)AN</w:t>
      </w:r>
      <w:r w:rsidR="00472CD7" w:rsidRPr="00873B6C">
        <w:t xml:space="preserve"> and</w:t>
      </w:r>
      <w:r w:rsidRPr="00873B6C">
        <w:t xml:space="preserve"> if it is received, it shall be used instead of the default value.</w:t>
      </w:r>
    </w:p>
    <w:p w14:paraId="339252E5" w14:textId="0AF2F7BE" w:rsidR="00D40151" w:rsidRPr="00873B6C" w:rsidRDefault="00D40151" w:rsidP="00D40151">
      <w:pPr>
        <w:tabs>
          <w:tab w:val="left" w:pos="5529"/>
        </w:tabs>
      </w:pPr>
      <w:r w:rsidRPr="00873B6C">
        <w:t>Priority Level may also be signalled together with a pre-configured 5QI to the (R)AN</w:t>
      </w:r>
      <w:r w:rsidR="00472CD7" w:rsidRPr="00873B6C">
        <w:t xml:space="preserve"> and</w:t>
      </w:r>
      <w:r w:rsidRPr="00873B6C">
        <w:t xml:space="preserve"> if it is received, it shall be used instead of the pre-configured value.</w:t>
      </w:r>
    </w:p>
    <w:p w14:paraId="0F82D9E9" w14:textId="77777777" w:rsidR="00D40151" w:rsidRPr="00873B6C" w:rsidRDefault="00D40151" w:rsidP="00D40151">
      <w:pPr>
        <w:pStyle w:val="Heading4"/>
      </w:pPr>
      <w:bookmarkStart w:id="1795" w:name="_CR5_7_3_4"/>
      <w:bookmarkStart w:id="1796" w:name="_Toc20149816"/>
      <w:bookmarkStart w:id="1797" w:name="_Toc27846610"/>
      <w:bookmarkStart w:id="1798" w:name="_Toc36187738"/>
      <w:bookmarkStart w:id="1799" w:name="_Toc45183642"/>
      <w:bookmarkStart w:id="1800" w:name="_Toc47342484"/>
      <w:bookmarkStart w:id="1801" w:name="_Toc51769184"/>
      <w:bookmarkStart w:id="1802" w:name="_Toc201157142"/>
      <w:bookmarkEnd w:id="1795"/>
      <w:r w:rsidRPr="00873B6C">
        <w:t>5.7.3.4</w:t>
      </w:r>
      <w:r w:rsidRPr="00873B6C">
        <w:tab/>
        <w:t>Packet Delay Budget</w:t>
      </w:r>
      <w:bookmarkEnd w:id="1796"/>
      <w:bookmarkEnd w:id="1797"/>
      <w:bookmarkEnd w:id="1798"/>
      <w:bookmarkEnd w:id="1799"/>
      <w:bookmarkEnd w:id="1800"/>
      <w:bookmarkEnd w:id="1801"/>
      <w:bookmarkEnd w:id="1802"/>
    </w:p>
    <w:p w14:paraId="29EE7465" w14:textId="5ADDE717" w:rsidR="00D40151" w:rsidRPr="00873B6C" w:rsidRDefault="00D40151" w:rsidP="00D40151">
      <w:r w:rsidRPr="00873B6C">
        <w:t xml:space="preserve">The Packet Delay Budget (PDB) defines an upper bound for the time that a packet may be delayed between the UE and the N6 termination point at the </w:t>
      </w:r>
      <w:r w:rsidRPr="00873B6C">
        <w:rPr>
          <w:lang w:eastAsia="zh-CN"/>
        </w:rPr>
        <w:t>UPF</w:t>
      </w:r>
      <w:r w:rsidRPr="00873B6C">
        <w:t>.</w:t>
      </w:r>
      <w:r w:rsidR="00681FC7" w:rsidRPr="00873B6C">
        <w:t xml:space="preserve"> The PDB applies to the DL packet received by the UPF over the N6 interface</w:t>
      </w:r>
      <w:r w:rsidR="00472CD7" w:rsidRPr="00873B6C">
        <w:t xml:space="preserve"> and</w:t>
      </w:r>
      <w:r w:rsidR="00681FC7" w:rsidRPr="00873B6C">
        <w:t xml:space="preserve"> to the UL packet sent by the UE.</w:t>
      </w:r>
      <w:r w:rsidRPr="00873B6C">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873B6C" w:rsidRDefault="00D40151" w:rsidP="00D40151">
      <w:r w:rsidRPr="00873B6C">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873B6C" w:rsidRDefault="00D40151" w:rsidP="00D40151">
      <w:pPr>
        <w:pStyle w:val="NO"/>
      </w:pPr>
      <w:r w:rsidRPr="00873B6C">
        <w:t>NOTE 1:</w:t>
      </w:r>
      <w:r w:rsidRPr="00873B6C">
        <w:tab/>
        <w:t>For a standardized 5QI, the static value for the CN PDB is specified in the QoS characteristics Table 5.7.4-1.</w:t>
      </w:r>
    </w:p>
    <w:p w14:paraId="006406A8" w14:textId="77777777" w:rsidR="00D40151" w:rsidRPr="00873B6C" w:rsidRDefault="00D40151" w:rsidP="00D40151">
      <w:pPr>
        <w:pStyle w:val="NO"/>
      </w:pPr>
      <w:r w:rsidRPr="00873B6C">
        <w:t>NOTE 2:</w:t>
      </w:r>
      <w:r w:rsidRPr="00873B6C">
        <w:tab/>
        <w:t>For a non-standardized 5QI, the static value for the CN PDB is homogeneously configured in the network.</w:t>
      </w:r>
    </w:p>
    <w:p w14:paraId="18601148" w14:textId="77777777" w:rsidR="00D40151" w:rsidRPr="00873B6C" w:rsidRDefault="00D40151" w:rsidP="00D40151">
      <w:r w:rsidRPr="00873B6C">
        <w:lastRenderedPageBreak/>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873B6C" w:rsidRDefault="00D40151" w:rsidP="00D40151">
      <w:pPr>
        <w:pStyle w:val="NO"/>
      </w:pPr>
      <w:r w:rsidRPr="00873B6C">
        <w:t>NOTE 3:</w:t>
      </w:r>
      <w:r w:rsidRPr="00873B6C">
        <w:tab/>
        <w:t>The configuration of transport network on CN tunnel can be different per UL and DL, which can be different value for CN PDB per UL and DL.</w:t>
      </w:r>
    </w:p>
    <w:p w14:paraId="31214744" w14:textId="77777777" w:rsidR="00D40151" w:rsidRPr="00873B6C" w:rsidRDefault="00D40151" w:rsidP="00D40151">
      <w:pPr>
        <w:pStyle w:val="NO"/>
      </w:pPr>
      <w:r w:rsidRPr="00873B6C">
        <w:t>NOTE 4:</w:t>
      </w:r>
      <w:r w:rsidRPr="00873B6C">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873B6C" w:rsidRDefault="00D40151" w:rsidP="00D40151">
      <w:r w:rsidRPr="00873B6C">
        <w:t>The dynamic value for the CN PDB of a Delay-critical GBR 5QI may be configured in the network in two ways:</w:t>
      </w:r>
    </w:p>
    <w:p w14:paraId="7C541DFC" w14:textId="77777777" w:rsidR="00D40151" w:rsidRPr="00873B6C" w:rsidRDefault="00D40151" w:rsidP="00D40151">
      <w:pPr>
        <w:pStyle w:val="B1"/>
      </w:pPr>
      <w:r w:rsidRPr="00873B6C">
        <w:t>-</w:t>
      </w:r>
      <w:r w:rsidRPr="00873B6C">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873B6C" w:rsidRDefault="00D40151" w:rsidP="00D40151">
      <w:pPr>
        <w:pStyle w:val="B1"/>
      </w:pPr>
      <w:r w:rsidRPr="00873B6C">
        <w:t>-</w:t>
      </w:r>
      <w:r w:rsidRPr="00873B6C">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602729AC" w:rsidR="00D40151" w:rsidRPr="00873B6C" w:rsidRDefault="00D40151" w:rsidP="00D40151">
      <w:r w:rsidRPr="00873B6C">
        <w:t>If the NG-RAN node is configured locally with a dynamic value for the CN PDB for a Delay-critical GBR 5QI</w:t>
      </w:r>
      <w:r w:rsidR="00472CD7" w:rsidRPr="00873B6C">
        <w:t xml:space="preserve"> and</w:t>
      </w:r>
      <w:r w:rsidRPr="00873B6C">
        <w:t xml:space="preserve"> receives a different value via N2 signalling for a QoS Flow with the same 5QI, local configuration in RAN node determines which value takes precedence.</w:t>
      </w:r>
    </w:p>
    <w:p w14:paraId="26D04D61" w14:textId="77777777" w:rsidR="00D40151" w:rsidRPr="00873B6C" w:rsidRDefault="00D40151" w:rsidP="00D40151">
      <w:r w:rsidRPr="00873B6C">
        <w:t>Services using a GBR QoS Flow and sending at a rate smaller than or equal to the GFBR can in general assume that congestion related packet drops will not occur.</w:t>
      </w:r>
    </w:p>
    <w:p w14:paraId="2035490C" w14:textId="77777777" w:rsidR="00D40151" w:rsidRPr="00873B6C" w:rsidRDefault="00D40151" w:rsidP="00D40151">
      <w:pPr>
        <w:pStyle w:val="NO"/>
      </w:pPr>
      <w:r w:rsidRPr="00873B6C">
        <w:t>NOTE 5:</w:t>
      </w:r>
      <w:r w:rsidRPr="00873B6C">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873B6C" w:rsidRDefault="00D40151" w:rsidP="00D40151">
      <w:r w:rsidRPr="00873B6C">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873B6C" w:rsidRDefault="00D40151" w:rsidP="00D40151">
      <w:r w:rsidRPr="00873B6C">
        <w:t>The PDB for Non-GBR and GBR resource types denotes a "soft upper bound" in the sense that an "expired" packet, e.g. a link layer SDU that has exceeded the PDB, does not need to be discarded and is not added to the PER. However, for a Delay</w:t>
      </w:r>
      <w:r w:rsidR="00704A9E" w:rsidRPr="00873B6C">
        <w:t>-</w:t>
      </w:r>
      <w:r w:rsidRPr="00873B6C">
        <w:t>critical GBR resource type, packets delayed more than the PDB are added to the PER and can be discarded or delivered depending on local decision.</w:t>
      </w:r>
    </w:p>
    <w:p w14:paraId="35EC147D" w14:textId="77777777" w:rsidR="00D40151" w:rsidRPr="00873B6C" w:rsidRDefault="00D40151" w:rsidP="00D40151">
      <w:pPr>
        <w:pStyle w:val="Heading4"/>
      </w:pPr>
      <w:bookmarkStart w:id="1803" w:name="_CR5_7_3_5"/>
      <w:bookmarkStart w:id="1804" w:name="_Toc20149817"/>
      <w:bookmarkStart w:id="1805" w:name="_Toc27846611"/>
      <w:bookmarkStart w:id="1806" w:name="_Toc36187739"/>
      <w:bookmarkStart w:id="1807" w:name="_Toc45183643"/>
      <w:bookmarkStart w:id="1808" w:name="_Toc47342485"/>
      <w:bookmarkStart w:id="1809" w:name="_Toc51769185"/>
      <w:bookmarkStart w:id="1810" w:name="_Toc201157143"/>
      <w:bookmarkEnd w:id="1803"/>
      <w:r w:rsidRPr="00873B6C">
        <w:t>5.7.3.5</w:t>
      </w:r>
      <w:r w:rsidRPr="00873B6C">
        <w:tab/>
        <w:t>Packet Error Rate</w:t>
      </w:r>
      <w:bookmarkEnd w:id="1804"/>
      <w:bookmarkEnd w:id="1805"/>
      <w:bookmarkEnd w:id="1806"/>
      <w:bookmarkEnd w:id="1807"/>
      <w:bookmarkEnd w:id="1808"/>
      <w:bookmarkEnd w:id="1809"/>
      <w:bookmarkEnd w:id="1810"/>
    </w:p>
    <w:p w14:paraId="3CDAD74D" w14:textId="33053167" w:rsidR="00D40151" w:rsidRPr="00873B6C" w:rsidRDefault="00D40151" w:rsidP="00D40151">
      <w:r w:rsidRPr="00873B6C">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873B6C">
        <w:t>-</w:t>
      </w:r>
      <w:r w:rsidRPr="00873B6C">
        <w:t>critical GBR resource type, a packet which is delayed more than PDB is counted as lost</w:t>
      </w:r>
      <w:r w:rsidR="00472CD7" w:rsidRPr="00873B6C">
        <w:t xml:space="preserve"> and</w:t>
      </w:r>
      <w:r w:rsidRPr="00873B6C">
        <w:t xml:space="preserve"> included in the PER unless the data burst is exceeding the MDBV within the period of PDB or the QoS Flow is exceeding the GFBR.</w:t>
      </w:r>
    </w:p>
    <w:p w14:paraId="32828149" w14:textId="77777777" w:rsidR="00D40151" w:rsidRPr="00873B6C" w:rsidRDefault="00D40151" w:rsidP="00D40151">
      <w:pPr>
        <w:pStyle w:val="Heading4"/>
      </w:pPr>
      <w:bookmarkStart w:id="1811" w:name="_CR5_7_3_6"/>
      <w:bookmarkStart w:id="1812" w:name="_Toc20149818"/>
      <w:bookmarkStart w:id="1813" w:name="_Toc27846612"/>
      <w:bookmarkStart w:id="1814" w:name="_Toc36187740"/>
      <w:bookmarkStart w:id="1815" w:name="_Toc45183644"/>
      <w:bookmarkStart w:id="1816" w:name="_Toc47342486"/>
      <w:bookmarkStart w:id="1817" w:name="_Toc51769186"/>
      <w:bookmarkStart w:id="1818" w:name="_Toc201157144"/>
      <w:bookmarkEnd w:id="1811"/>
      <w:r w:rsidRPr="00873B6C">
        <w:t>5.7.3.6</w:t>
      </w:r>
      <w:r w:rsidRPr="00873B6C">
        <w:tab/>
        <w:t>Averaging Window</w:t>
      </w:r>
      <w:bookmarkEnd w:id="1812"/>
      <w:bookmarkEnd w:id="1813"/>
      <w:bookmarkEnd w:id="1814"/>
      <w:bookmarkEnd w:id="1815"/>
      <w:bookmarkEnd w:id="1816"/>
      <w:bookmarkEnd w:id="1817"/>
      <w:bookmarkEnd w:id="1818"/>
    </w:p>
    <w:p w14:paraId="53A69EF7" w14:textId="77777777" w:rsidR="00D40151" w:rsidRPr="00873B6C" w:rsidRDefault="00D40151" w:rsidP="00D40151">
      <w:r w:rsidRPr="00873B6C">
        <w:t>Each GBR QoS Flow shall be associated with an Averaging window. The Averaging window represents the duration over which the GFBR and MFBR shall be calculated (e.g. in the (R)AN, UPF, UE).</w:t>
      </w:r>
    </w:p>
    <w:p w14:paraId="3A2D5494" w14:textId="19572074" w:rsidR="00D40151" w:rsidRPr="00873B6C" w:rsidRDefault="00D40151" w:rsidP="00D40151">
      <w:r w:rsidRPr="00873B6C">
        <w:t>Every standardized 5QI (of GBR and Delay-critical GBR resource type) is associated with a default value for the Averaging window (specified in QoS characteristics Table 5.7.4.1). The averaging window may also be signalled together with a standardized 5QI to the (R)AN and UPF</w:t>
      </w:r>
      <w:r w:rsidR="00472CD7" w:rsidRPr="00873B6C">
        <w:t xml:space="preserve"> and</w:t>
      </w:r>
      <w:r w:rsidRPr="00873B6C">
        <w:t xml:space="preserve"> if it is received, it shall be used instead of the default value.</w:t>
      </w:r>
    </w:p>
    <w:p w14:paraId="78128C5A" w14:textId="07CD36D2" w:rsidR="00D40151" w:rsidRPr="00873B6C" w:rsidRDefault="00D40151" w:rsidP="00D40151">
      <w:r w:rsidRPr="00873B6C">
        <w:lastRenderedPageBreak/>
        <w:t>The Averaging window may also be signalled together with a pre-configured 5QI to the (R)AN</w:t>
      </w:r>
      <w:r w:rsidR="00472CD7" w:rsidRPr="00873B6C">
        <w:t xml:space="preserve"> and</w:t>
      </w:r>
      <w:r w:rsidRPr="00873B6C">
        <w:t xml:space="preserve"> if it is received, it shall be used instead of the pre-configured value.</w:t>
      </w:r>
    </w:p>
    <w:p w14:paraId="7A9F49AF" w14:textId="77777777" w:rsidR="00D40151" w:rsidRPr="00873B6C" w:rsidRDefault="00D40151" w:rsidP="00D40151">
      <w:pPr>
        <w:pStyle w:val="Heading4"/>
      </w:pPr>
      <w:bookmarkStart w:id="1819" w:name="_CR5_7_3_7"/>
      <w:bookmarkStart w:id="1820" w:name="_Toc20149819"/>
      <w:bookmarkStart w:id="1821" w:name="_Toc27846613"/>
      <w:bookmarkStart w:id="1822" w:name="_Toc36187741"/>
      <w:bookmarkStart w:id="1823" w:name="_Toc45183645"/>
      <w:bookmarkStart w:id="1824" w:name="_Toc47342487"/>
      <w:bookmarkStart w:id="1825" w:name="_Toc51769187"/>
      <w:bookmarkStart w:id="1826" w:name="_Toc201157145"/>
      <w:bookmarkEnd w:id="1819"/>
      <w:r w:rsidRPr="00873B6C">
        <w:t>5.7.3.7</w:t>
      </w:r>
      <w:r w:rsidRPr="00873B6C">
        <w:tab/>
        <w:t>Maximum Data Burst Volume</w:t>
      </w:r>
      <w:bookmarkEnd w:id="1820"/>
      <w:bookmarkEnd w:id="1821"/>
      <w:bookmarkEnd w:id="1822"/>
      <w:bookmarkEnd w:id="1823"/>
      <w:bookmarkEnd w:id="1824"/>
      <w:bookmarkEnd w:id="1825"/>
      <w:bookmarkEnd w:id="1826"/>
    </w:p>
    <w:p w14:paraId="4BDABB7B" w14:textId="77777777" w:rsidR="00D40151" w:rsidRPr="00873B6C" w:rsidRDefault="00D40151" w:rsidP="00D40151">
      <w:r w:rsidRPr="00873B6C">
        <w:t>Each GBR QoS Flow with Delay-critical resource type shall be associated with a Maximum Data Burst Volume (MDBV).</w:t>
      </w:r>
    </w:p>
    <w:p w14:paraId="21572FBB" w14:textId="77777777" w:rsidR="00D40151" w:rsidRPr="00873B6C" w:rsidRDefault="00D40151" w:rsidP="00D40151">
      <w:r w:rsidRPr="00873B6C">
        <w:t>MDBV denotes the largest amount of data that the 5G-AN is required to serve within a period of 5G-AN PDB.</w:t>
      </w:r>
    </w:p>
    <w:p w14:paraId="28CEEECE" w14:textId="71FA285E" w:rsidR="00D40151" w:rsidRPr="00873B6C" w:rsidRDefault="00D40151" w:rsidP="00D40151">
      <w:r w:rsidRPr="00873B6C">
        <w:t>Every standardized 5QI (of Delay-critical GBR resource type) is associated with a default value for the MDBV (specified in QoS characteristics Table 5.7.4.1). The MDBV may also be signalled together with a standardized 5QI to the (R)AN</w:t>
      </w:r>
      <w:r w:rsidR="00472CD7" w:rsidRPr="00873B6C">
        <w:t xml:space="preserve"> and</w:t>
      </w:r>
      <w:r w:rsidRPr="00873B6C">
        <w:t xml:space="preserve"> if it is received, it shall be used instead of the default value.</w:t>
      </w:r>
    </w:p>
    <w:p w14:paraId="25AC0E75" w14:textId="7A697F94" w:rsidR="00D40151" w:rsidRPr="00873B6C" w:rsidRDefault="00D40151" w:rsidP="00D40151">
      <w:r w:rsidRPr="00873B6C">
        <w:t>The MDBV may also be signalled together with a pre-configured 5QI to the (R)AN</w:t>
      </w:r>
      <w:r w:rsidR="00472CD7" w:rsidRPr="00873B6C">
        <w:t xml:space="preserve"> and</w:t>
      </w:r>
      <w:r w:rsidRPr="00873B6C">
        <w:t xml:space="preserve"> if it is received, it shall be used instead of the pre-configured value.</w:t>
      </w:r>
    </w:p>
    <w:p w14:paraId="54B36C21" w14:textId="77777777" w:rsidR="00D40151" w:rsidRPr="00873B6C" w:rsidRDefault="00D40151" w:rsidP="00D40151">
      <w:pPr>
        <w:pStyle w:val="Heading3"/>
      </w:pPr>
      <w:bookmarkStart w:id="1827" w:name="_CR5_7_4"/>
      <w:bookmarkStart w:id="1828" w:name="_Toc20149820"/>
      <w:bookmarkStart w:id="1829" w:name="_Toc27846614"/>
      <w:bookmarkStart w:id="1830" w:name="_Toc36187742"/>
      <w:bookmarkStart w:id="1831" w:name="_Toc45183646"/>
      <w:bookmarkStart w:id="1832" w:name="_Toc47342488"/>
      <w:bookmarkStart w:id="1833" w:name="_Toc51769188"/>
      <w:bookmarkStart w:id="1834" w:name="_Toc201157146"/>
      <w:bookmarkEnd w:id="1827"/>
      <w:r w:rsidRPr="00873B6C">
        <w:t>5.7.4</w:t>
      </w:r>
      <w:r w:rsidRPr="00873B6C">
        <w:tab/>
        <w:t>Standardized 5QI to QoS characteristics mapping</w:t>
      </w:r>
      <w:bookmarkEnd w:id="1828"/>
      <w:bookmarkEnd w:id="1829"/>
      <w:bookmarkEnd w:id="1830"/>
      <w:bookmarkEnd w:id="1831"/>
      <w:bookmarkEnd w:id="1832"/>
      <w:bookmarkEnd w:id="1833"/>
      <w:bookmarkEnd w:id="1834"/>
    </w:p>
    <w:p w14:paraId="02480EBA" w14:textId="77777777" w:rsidR="00D40151" w:rsidRPr="00873B6C" w:rsidRDefault="00D40151" w:rsidP="00D40151">
      <w:r w:rsidRPr="00873B6C">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873B6C" w:rsidRDefault="00D40151" w:rsidP="00D40151">
      <w:pPr>
        <w:pStyle w:val="TH"/>
      </w:pPr>
      <w:bookmarkStart w:id="1835" w:name="_CRTable5_7_41"/>
      <w:r w:rsidRPr="00873B6C">
        <w:lastRenderedPageBreak/>
        <w:t xml:space="preserve">Table </w:t>
      </w:r>
      <w:bookmarkEnd w:id="1835"/>
      <w:r w:rsidRPr="00873B6C">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873B6C"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873B6C" w:rsidRDefault="00D40151" w:rsidP="009D14FB">
            <w:pPr>
              <w:pStyle w:val="TAH"/>
            </w:pPr>
            <w:r w:rsidRPr="00873B6C">
              <w:lastRenderedPageBreak/>
              <w:t>5QI</w:t>
            </w:r>
          </w:p>
          <w:p w14:paraId="3ADBEC66" w14:textId="77777777" w:rsidR="00D40151" w:rsidRPr="00873B6C" w:rsidRDefault="00D40151" w:rsidP="009D14FB">
            <w:pPr>
              <w:pStyle w:val="TAH"/>
            </w:pPr>
            <w:r w:rsidRPr="00873B6C">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873B6C" w:rsidRDefault="00D40151" w:rsidP="009D14FB">
            <w:pPr>
              <w:pStyle w:val="TAH"/>
            </w:pPr>
            <w:r w:rsidRPr="00873B6C">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873B6C" w:rsidRDefault="00D40151" w:rsidP="009D14FB">
            <w:pPr>
              <w:pStyle w:val="TAH"/>
            </w:pPr>
            <w:r w:rsidRPr="00873B6C">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873B6C" w:rsidRDefault="00D40151" w:rsidP="009D14FB">
            <w:pPr>
              <w:pStyle w:val="TAH"/>
            </w:pPr>
            <w:r w:rsidRPr="00873B6C">
              <w:t>Packet Delay Budget</w:t>
            </w:r>
          </w:p>
          <w:p w14:paraId="0EC7A902" w14:textId="77777777" w:rsidR="00D40151" w:rsidRPr="00873B6C" w:rsidRDefault="00D40151" w:rsidP="009D14FB">
            <w:pPr>
              <w:pStyle w:val="TAH"/>
            </w:pPr>
            <w:r w:rsidRPr="00873B6C">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873B6C" w:rsidRDefault="00D40151" w:rsidP="009D14FB">
            <w:pPr>
              <w:pStyle w:val="TAH"/>
            </w:pPr>
            <w:r w:rsidRPr="00873B6C">
              <w:t>Packet Error</w:t>
            </w:r>
          </w:p>
          <w:p w14:paraId="75EBF258" w14:textId="77777777" w:rsidR="00D40151" w:rsidRPr="00873B6C" w:rsidRDefault="00D40151" w:rsidP="009D14FB">
            <w:pPr>
              <w:pStyle w:val="TAH"/>
            </w:pPr>
            <w:r w:rsidRPr="00873B6C">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873B6C" w:rsidRDefault="00D40151" w:rsidP="009D14FB">
            <w:pPr>
              <w:pStyle w:val="TAH"/>
            </w:pPr>
            <w:r w:rsidRPr="00873B6C">
              <w:t>Default Maximum Data Burst Volume</w:t>
            </w:r>
          </w:p>
          <w:p w14:paraId="2C6B3E1D" w14:textId="77777777" w:rsidR="00D40151" w:rsidRPr="00873B6C" w:rsidRDefault="00D40151" w:rsidP="009D14FB">
            <w:pPr>
              <w:pStyle w:val="TAH"/>
            </w:pPr>
            <w:r w:rsidRPr="00873B6C">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873B6C" w:rsidRDefault="00D40151" w:rsidP="009D14FB">
            <w:pPr>
              <w:pStyle w:val="TAH"/>
            </w:pPr>
            <w:r w:rsidRPr="00873B6C">
              <w:t>Default</w:t>
            </w:r>
          </w:p>
          <w:p w14:paraId="4CEE0A7A" w14:textId="77777777" w:rsidR="00D40151" w:rsidRPr="00873B6C" w:rsidRDefault="00D40151" w:rsidP="009D14FB">
            <w:pPr>
              <w:pStyle w:val="TAH"/>
            </w:pPr>
            <w:r w:rsidRPr="00873B6C">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873B6C" w:rsidRDefault="00D40151" w:rsidP="009D14FB">
            <w:pPr>
              <w:pStyle w:val="TAH"/>
            </w:pPr>
            <w:r w:rsidRPr="00873B6C">
              <w:t>Example Services</w:t>
            </w:r>
          </w:p>
        </w:tc>
      </w:tr>
      <w:tr w:rsidR="00D40151" w:rsidRPr="00873B6C"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873B6C" w:rsidRDefault="00D40151" w:rsidP="009D14FB">
            <w:pPr>
              <w:pStyle w:val="TAC"/>
            </w:pPr>
            <w:r w:rsidRPr="00873B6C">
              <w:t>1</w:t>
            </w:r>
            <w:r w:rsidRPr="00873B6C">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873B6C" w:rsidRDefault="00D40151" w:rsidP="009D14FB">
            <w:pPr>
              <w:pStyle w:val="TAC"/>
            </w:pPr>
            <w:r w:rsidRPr="00873B6C">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873B6C" w:rsidRDefault="00D40151" w:rsidP="009D14FB">
            <w:pPr>
              <w:pStyle w:val="TAC"/>
            </w:pPr>
            <w:r w:rsidRPr="00873B6C">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873B6C" w:rsidRDefault="00D40151" w:rsidP="009D14FB">
            <w:pPr>
              <w:pStyle w:val="TAC"/>
            </w:pPr>
            <w:r w:rsidRPr="00873B6C">
              <w:t>100 ms</w:t>
            </w:r>
          </w:p>
          <w:p w14:paraId="26B81591" w14:textId="77777777" w:rsidR="00D40151" w:rsidRPr="00873B6C" w:rsidRDefault="00D40151" w:rsidP="009D14FB">
            <w:pPr>
              <w:pStyle w:val="TAC"/>
            </w:pPr>
            <w:r w:rsidRPr="00873B6C">
              <w:t>(NOTE 11,</w:t>
            </w:r>
          </w:p>
          <w:p w14:paraId="7F202327"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873B6C" w:rsidRDefault="00D40151" w:rsidP="009D14FB">
            <w:pPr>
              <w:pStyle w:val="TAC"/>
            </w:pPr>
            <w:r w:rsidRPr="00873B6C">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873B6C" w:rsidRDefault="00D40151" w:rsidP="009D14FB">
            <w:pPr>
              <w:pStyle w:val="TAL"/>
            </w:pPr>
            <w:r w:rsidRPr="00873B6C">
              <w:t>Conversational Voice</w:t>
            </w:r>
          </w:p>
        </w:tc>
      </w:tr>
      <w:tr w:rsidR="00D40151" w:rsidRPr="00873B6C"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873B6C" w:rsidRDefault="00D40151" w:rsidP="009D14FB">
            <w:pPr>
              <w:pStyle w:val="TAC"/>
            </w:pPr>
            <w:r w:rsidRPr="00873B6C">
              <w:t>2</w:t>
            </w:r>
            <w:r w:rsidRPr="00873B6C">
              <w:br/>
            </w:r>
          </w:p>
        </w:tc>
        <w:tc>
          <w:tcPr>
            <w:tcW w:w="1056" w:type="dxa"/>
            <w:tcBorders>
              <w:top w:val="nil"/>
              <w:left w:val="single" w:sz="12" w:space="0" w:color="auto"/>
              <w:bottom w:val="nil"/>
              <w:right w:val="single" w:sz="12" w:space="0" w:color="auto"/>
            </w:tcBorders>
          </w:tcPr>
          <w:p w14:paraId="107E11FC" w14:textId="77777777" w:rsidR="00D40151" w:rsidRPr="00873B6C" w:rsidRDefault="00D40151" w:rsidP="009D14FB">
            <w:pPr>
              <w:pStyle w:val="TAC"/>
            </w:pPr>
            <w:r w:rsidRPr="00873B6C">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873B6C" w:rsidRDefault="00D40151" w:rsidP="009D14FB">
            <w:pPr>
              <w:pStyle w:val="TAC"/>
            </w:pPr>
            <w:r w:rsidRPr="00873B6C">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873B6C" w:rsidRDefault="00D40151" w:rsidP="009D14FB">
            <w:pPr>
              <w:pStyle w:val="TAC"/>
            </w:pPr>
            <w:r w:rsidRPr="00873B6C">
              <w:t>150 ms</w:t>
            </w:r>
          </w:p>
          <w:p w14:paraId="4A3E4145" w14:textId="77777777" w:rsidR="00D40151" w:rsidRPr="00873B6C" w:rsidRDefault="00D40151" w:rsidP="009D14FB">
            <w:pPr>
              <w:pStyle w:val="TAC"/>
            </w:pPr>
            <w:r w:rsidRPr="00873B6C">
              <w:t>(NOTE 11,</w:t>
            </w:r>
          </w:p>
          <w:p w14:paraId="515AD52C"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873B6C" w:rsidRDefault="00D40151" w:rsidP="009D14FB">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873B6C" w:rsidRDefault="00D40151" w:rsidP="009D14FB">
            <w:pPr>
              <w:pStyle w:val="TAL"/>
            </w:pPr>
            <w:r w:rsidRPr="00873B6C">
              <w:t>Conversational Video (Live Streaming)</w:t>
            </w:r>
          </w:p>
        </w:tc>
      </w:tr>
      <w:tr w:rsidR="00D40151" w:rsidRPr="00873B6C"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873B6C" w:rsidRDefault="00D40151" w:rsidP="009D14FB">
            <w:pPr>
              <w:pStyle w:val="TAC"/>
            </w:pPr>
            <w:r w:rsidRPr="00873B6C">
              <w:t>3</w:t>
            </w:r>
          </w:p>
        </w:tc>
        <w:tc>
          <w:tcPr>
            <w:tcW w:w="1056" w:type="dxa"/>
            <w:tcBorders>
              <w:top w:val="nil"/>
              <w:left w:val="single" w:sz="12" w:space="0" w:color="auto"/>
              <w:bottom w:val="nil"/>
              <w:right w:val="single" w:sz="12" w:space="0" w:color="auto"/>
            </w:tcBorders>
          </w:tcPr>
          <w:p w14:paraId="18DE2EFB"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873B6C" w:rsidRDefault="00D40151" w:rsidP="009D14FB">
            <w:pPr>
              <w:pStyle w:val="TAC"/>
            </w:pPr>
            <w:r w:rsidRPr="00873B6C">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873B6C" w:rsidRDefault="00D40151" w:rsidP="009D14FB">
            <w:pPr>
              <w:pStyle w:val="TAC"/>
            </w:pPr>
            <w:r w:rsidRPr="00873B6C">
              <w:t>50 ms</w:t>
            </w:r>
          </w:p>
          <w:p w14:paraId="6089B096" w14:textId="77777777" w:rsidR="00D40151" w:rsidRPr="00873B6C" w:rsidRDefault="00D40151" w:rsidP="009D14FB">
            <w:pPr>
              <w:pStyle w:val="TAC"/>
            </w:pPr>
            <w:r w:rsidRPr="00873B6C">
              <w:t>(NOTE 11,</w:t>
            </w:r>
          </w:p>
          <w:p w14:paraId="1D485DA9"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873B6C" w:rsidRDefault="00D40151" w:rsidP="009D14FB">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873B6C" w:rsidRDefault="00D40151" w:rsidP="009D14FB">
            <w:pPr>
              <w:pStyle w:val="TAL"/>
            </w:pPr>
            <w:r w:rsidRPr="00873B6C">
              <w:t>Real Time Gaming, V2X messages (see TS 23.287 [121]).</w:t>
            </w:r>
          </w:p>
          <w:p w14:paraId="178543D6" w14:textId="77777777" w:rsidR="00D40151" w:rsidRPr="00873B6C" w:rsidRDefault="00D40151" w:rsidP="009D14FB">
            <w:pPr>
              <w:pStyle w:val="TAL"/>
            </w:pPr>
            <w:r w:rsidRPr="00873B6C">
              <w:t>Electricity distribution – medium voltage, Process automation monitoring</w:t>
            </w:r>
          </w:p>
        </w:tc>
      </w:tr>
      <w:tr w:rsidR="00D40151" w:rsidRPr="00873B6C"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873B6C" w:rsidRDefault="00D40151" w:rsidP="009D14FB">
            <w:pPr>
              <w:pStyle w:val="TAC"/>
            </w:pPr>
            <w:r w:rsidRPr="00873B6C">
              <w:t>4</w:t>
            </w:r>
            <w:r w:rsidRPr="00873B6C">
              <w:br/>
            </w:r>
          </w:p>
        </w:tc>
        <w:tc>
          <w:tcPr>
            <w:tcW w:w="1056" w:type="dxa"/>
            <w:tcBorders>
              <w:top w:val="nil"/>
              <w:left w:val="single" w:sz="12" w:space="0" w:color="auto"/>
              <w:bottom w:val="nil"/>
              <w:right w:val="single" w:sz="12" w:space="0" w:color="auto"/>
            </w:tcBorders>
          </w:tcPr>
          <w:p w14:paraId="5860F7D2"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873B6C" w:rsidRDefault="00D40151" w:rsidP="009D14FB">
            <w:pPr>
              <w:pStyle w:val="TAC"/>
            </w:pPr>
            <w:r w:rsidRPr="00873B6C">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873B6C" w:rsidRDefault="00D40151" w:rsidP="009D14FB">
            <w:pPr>
              <w:pStyle w:val="TAC"/>
            </w:pPr>
            <w:r w:rsidRPr="00873B6C">
              <w:t>300 ms</w:t>
            </w:r>
          </w:p>
          <w:p w14:paraId="63108C7B" w14:textId="77777777" w:rsidR="00D40151" w:rsidRPr="00873B6C" w:rsidRDefault="00D40151" w:rsidP="009D14FB">
            <w:pPr>
              <w:pStyle w:val="TAC"/>
            </w:pPr>
            <w:r w:rsidRPr="00873B6C">
              <w:t>(NOTE 11,</w:t>
            </w:r>
          </w:p>
          <w:p w14:paraId="0CEA4891"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873B6C" w:rsidRDefault="00D40151" w:rsidP="009D14FB">
            <w:pPr>
              <w:pStyle w:val="TAC"/>
            </w:pPr>
            <w:r w:rsidRPr="00873B6C">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873B6C" w:rsidRDefault="00D40151" w:rsidP="009D14FB">
            <w:pPr>
              <w:pStyle w:val="TAL"/>
            </w:pPr>
            <w:r w:rsidRPr="00873B6C">
              <w:t>Non-Conversational Video (Buffered Streaming)</w:t>
            </w:r>
          </w:p>
        </w:tc>
      </w:tr>
      <w:tr w:rsidR="00D40151" w:rsidRPr="00873B6C"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873B6C" w:rsidRDefault="00D40151" w:rsidP="009D14FB">
            <w:pPr>
              <w:pStyle w:val="TAC"/>
            </w:pPr>
            <w:r w:rsidRPr="00873B6C">
              <w:t>65</w:t>
            </w:r>
          </w:p>
          <w:p w14:paraId="6BDE6E69" w14:textId="77777777" w:rsidR="00D40151" w:rsidRPr="00873B6C" w:rsidRDefault="00D40151" w:rsidP="009D14FB">
            <w:pPr>
              <w:pStyle w:val="TAC"/>
            </w:pPr>
            <w:r w:rsidRPr="00873B6C">
              <w:t>(NOTE 9,</w:t>
            </w:r>
          </w:p>
          <w:p w14:paraId="4F3E9174" w14:textId="77777777" w:rsidR="00D40151" w:rsidRPr="00873B6C" w:rsidRDefault="00D40151" w:rsidP="009D14FB">
            <w:pPr>
              <w:pStyle w:val="TAC"/>
            </w:pPr>
            <w:r w:rsidRPr="00873B6C">
              <w:t>NOTE 12)</w:t>
            </w:r>
          </w:p>
        </w:tc>
        <w:tc>
          <w:tcPr>
            <w:tcW w:w="1056" w:type="dxa"/>
            <w:tcBorders>
              <w:top w:val="nil"/>
              <w:left w:val="single" w:sz="12" w:space="0" w:color="auto"/>
              <w:bottom w:val="nil"/>
              <w:right w:val="single" w:sz="12" w:space="0" w:color="auto"/>
            </w:tcBorders>
          </w:tcPr>
          <w:p w14:paraId="2E5EEAC8"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873B6C" w:rsidRDefault="00D40151" w:rsidP="009D14FB">
            <w:pPr>
              <w:pStyle w:val="TAC"/>
            </w:pPr>
            <w:r w:rsidRPr="00873B6C">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873B6C" w:rsidRDefault="00D40151" w:rsidP="009D14FB">
            <w:pPr>
              <w:pStyle w:val="TAC"/>
            </w:pPr>
            <w:r w:rsidRPr="00873B6C">
              <w:t>75 ms</w:t>
            </w:r>
          </w:p>
          <w:p w14:paraId="7E14655E" w14:textId="77777777" w:rsidR="00D40151" w:rsidRPr="00873B6C" w:rsidRDefault="00D40151" w:rsidP="009D14FB">
            <w:pPr>
              <w:pStyle w:val="TAC"/>
            </w:pPr>
            <w:r w:rsidRPr="00873B6C">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873B6C" w:rsidRDefault="00D40151" w:rsidP="009D14FB">
            <w:pPr>
              <w:pStyle w:val="TAC"/>
            </w:pPr>
            <w:r w:rsidRPr="00873B6C">
              <w:br/>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873B6C" w:rsidRDefault="00D40151" w:rsidP="009D14FB">
            <w:pPr>
              <w:pStyle w:val="TAL"/>
            </w:pPr>
            <w:r w:rsidRPr="00873B6C">
              <w:t>Mission Critical user plane Push To Talk voice (e.g</w:t>
            </w:r>
            <w:r w:rsidR="000E35F2" w:rsidRPr="00873B6C">
              <w:t>.</w:t>
            </w:r>
            <w:r w:rsidRPr="00873B6C">
              <w:t xml:space="preserve"> MCPTT)</w:t>
            </w:r>
          </w:p>
        </w:tc>
      </w:tr>
      <w:tr w:rsidR="00D40151" w:rsidRPr="00873B6C"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873B6C" w:rsidRDefault="00D40151" w:rsidP="009D14FB">
            <w:pPr>
              <w:pStyle w:val="TAC"/>
            </w:pPr>
            <w:r w:rsidRPr="00873B6C">
              <w:t>66</w:t>
            </w:r>
          </w:p>
          <w:p w14:paraId="36968D36" w14:textId="77777777" w:rsidR="00D40151" w:rsidRPr="00873B6C" w:rsidRDefault="00D40151" w:rsidP="009D14FB">
            <w:pPr>
              <w:pStyle w:val="TAC"/>
            </w:pPr>
            <w:r w:rsidRPr="00873B6C">
              <w:t>(NOTE 12)</w:t>
            </w:r>
            <w:r w:rsidRPr="00873B6C">
              <w:br/>
            </w:r>
          </w:p>
        </w:tc>
        <w:tc>
          <w:tcPr>
            <w:tcW w:w="1056" w:type="dxa"/>
            <w:tcBorders>
              <w:top w:val="nil"/>
              <w:left w:val="single" w:sz="12" w:space="0" w:color="auto"/>
              <w:bottom w:val="nil"/>
              <w:right w:val="single" w:sz="12" w:space="0" w:color="auto"/>
            </w:tcBorders>
          </w:tcPr>
          <w:p w14:paraId="48B4134E"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873B6C" w:rsidRDefault="00D40151" w:rsidP="009D14FB">
            <w:pPr>
              <w:pStyle w:val="TAC"/>
            </w:pPr>
            <w:r w:rsidRPr="00873B6C">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873B6C" w:rsidRDefault="00D40151" w:rsidP="009D14FB">
            <w:pPr>
              <w:pStyle w:val="TAC"/>
            </w:pPr>
            <w:r w:rsidRPr="00873B6C">
              <w:t>100 ms</w:t>
            </w:r>
          </w:p>
          <w:p w14:paraId="022FA93C" w14:textId="77777777" w:rsidR="00D40151" w:rsidRPr="00873B6C" w:rsidRDefault="00D40151" w:rsidP="009D14FB">
            <w:pPr>
              <w:pStyle w:val="TAC"/>
            </w:pPr>
            <w:r w:rsidRPr="00873B6C">
              <w:t>(NOTE 10,</w:t>
            </w:r>
          </w:p>
          <w:p w14:paraId="797C1632"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873B6C" w:rsidRDefault="00D40151" w:rsidP="009D14FB">
            <w:pPr>
              <w:pStyle w:val="TAC"/>
            </w:pPr>
            <w:r w:rsidRPr="00873B6C">
              <w:br/>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873B6C" w:rsidRDefault="00D40151" w:rsidP="009D14FB">
            <w:pPr>
              <w:pStyle w:val="TAL"/>
            </w:pPr>
            <w:r w:rsidRPr="00873B6C">
              <w:t>Non-Mission-Critical user plane Push To Talk voice</w:t>
            </w:r>
          </w:p>
        </w:tc>
      </w:tr>
      <w:tr w:rsidR="00D40151" w:rsidRPr="00873B6C"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873B6C" w:rsidRDefault="00D40151" w:rsidP="009D14FB">
            <w:pPr>
              <w:pStyle w:val="TAC"/>
            </w:pPr>
            <w:r w:rsidRPr="00873B6C">
              <w:t>67</w:t>
            </w:r>
          </w:p>
          <w:p w14:paraId="7C902A80" w14:textId="77777777" w:rsidR="00D40151" w:rsidRPr="00873B6C" w:rsidRDefault="00D40151" w:rsidP="009D14FB">
            <w:pPr>
              <w:pStyle w:val="TAC"/>
            </w:pPr>
            <w:r w:rsidRPr="00873B6C">
              <w:t>(NOTE 12)</w:t>
            </w:r>
            <w:r w:rsidRPr="00873B6C">
              <w:br/>
            </w:r>
          </w:p>
        </w:tc>
        <w:tc>
          <w:tcPr>
            <w:tcW w:w="1056" w:type="dxa"/>
            <w:tcBorders>
              <w:top w:val="nil"/>
              <w:left w:val="single" w:sz="12" w:space="0" w:color="auto"/>
              <w:bottom w:val="nil"/>
              <w:right w:val="single" w:sz="12" w:space="0" w:color="auto"/>
            </w:tcBorders>
          </w:tcPr>
          <w:p w14:paraId="41BB6012"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873B6C" w:rsidRDefault="00D40151" w:rsidP="009D14FB">
            <w:pPr>
              <w:pStyle w:val="TAC"/>
            </w:pPr>
            <w:r w:rsidRPr="00873B6C">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873B6C" w:rsidRDefault="00D40151" w:rsidP="009D14FB">
            <w:pPr>
              <w:pStyle w:val="TAC"/>
            </w:pPr>
            <w:r w:rsidRPr="00873B6C">
              <w:t>100 ms</w:t>
            </w:r>
          </w:p>
          <w:p w14:paraId="7557EBFD" w14:textId="77777777" w:rsidR="00D40151" w:rsidRPr="00873B6C" w:rsidRDefault="00D40151" w:rsidP="009D14FB">
            <w:pPr>
              <w:pStyle w:val="TAC"/>
            </w:pPr>
            <w:r w:rsidRPr="00873B6C">
              <w:t>(NOTE 10,</w:t>
            </w:r>
          </w:p>
          <w:p w14:paraId="490549F0"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873B6C" w:rsidRDefault="00D40151" w:rsidP="009D14FB">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873B6C" w:rsidRDefault="00D40151" w:rsidP="009D14FB">
            <w:pPr>
              <w:pStyle w:val="TAL"/>
            </w:pPr>
            <w:r w:rsidRPr="00873B6C">
              <w:t>Mission Critical Video user plane</w:t>
            </w:r>
          </w:p>
        </w:tc>
      </w:tr>
      <w:tr w:rsidR="00BC24B5" w:rsidRPr="00873B6C"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BC24B5" w:rsidRPr="00873B6C" w:rsidRDefault="00BC24B5" w:rsidP="00BC24B5">
            <w:pPr>
              <w:pStyle w:val="TAC"/>
            </w:pPr>
            <w:r w:rsidRPr="00873B6C">
              <w:t>75</w:t>
            </w:r>
          </w:p>
          <w:p w14:paraId="6CD30D43" w14:textId="77777777" w:rsidR="00BC24B5" w:rsidRPr="00873B6C" w:rsidRDefault="00BC24B5" w:rsidP="00BC24B5">
            <w:pPr>
              <w:pStyle w:val="TAC"/>
            </w:pPr>
            <w:r w:rsidRPr="00873B6C">
              <w:t>(NOTE 14)</w:t>
            </w:r>
          </w:p>
        </w:tc>
        <w:tc>
          <w:tcPr>
            <w:tcW w:w="1056" w:type="dxa"/>
            <w:tcBorders>
              <w:top w:val="nil"/>
              <w:left w:val="single" w:sz="12" w:space="0" w:color="auto"/>
              <w:bottom w:val="nil"/>
              <w:right w:val="single" w:sz="12" w:space="0" w:color="auto"/>
            </w:tcBorders>
          </w:tcPr>
          <w:p w14:paraId="77B0AE56"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377B7A1C"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71096E0E" w14:textId="77777777" w:rsidR="00BC24B5" w:rsidRPr="00873B6C" w:rsidRDefault="00BC24B5" w:rsidP="00BC24B5">
            <w:pPr>
              <w:pStyle w:val="TAC"/>
            </w:pPr>
            <w:r w:rsidRPr="00873B6C">
              <w:t>50 ms</w:t>
            </w:r>
          </w:p>
          <w:p w14:paraId="06018C33" w14:textId="67127FAC"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046C46D0" w14:textId="0CD1A782" w:rsidR="00BC24B5" w:rsidRPr="00873B6C" w:rsidRDefault="00BC24B5" w:rsidP="00BC24B5">
            <w:pPr>
              <w:pStyle w:val="TAC"/>
            </w:pPr>
            <w:r w:rsidRPr="00873B6C">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48E55B93" w14:textId="58DE0C32"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21F6F138" w14:textId="4E516BAF"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0C7128BE" w14:textId="77777777" w:rsidR="005656CA" w:rsidRPr="00873B6C" w:rsidRDefault="00BC24B5" w:rsidP="00BC24B5">
            <w:pPr>
              <w:pStyle w:val="TAL"/>
            </w:pPr>
            <w:r w:rsidRPr="00873B6C">
              <w:t>V2X messages (see TS 23.287 [121])</w:t>
            </w:r>
            <w:r w:rsidR="005656CA" w:rsidRPr="00873B6C">
              <w:t>.</w:t>
            </w:r>
          </w:p>
          <w:p w14:paraId="1990AA84" w14:textId="59239588" w:rsidR="00BC24B5" w:rsidRPr="00873B6C" w:rsidRDefault="005656CA" w:rsidP="00BC24B5">
            <w:pPr>
              <w:pStyle w:val="TAL"/>
            </w:pPr>
            <w:r w:rsidRPr="00873B6C">
              <w:t>A2X messages (see TS 23.256 [136])</w:t>
            </w:r>
          </w:p>
        </w:tc>
      </w:tr>
      <w:tr w:rsidR="00BC24B5" w:rsidRPr="00873B6C"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BC24B5" w:rsidRPr="00873B6C" w:rsidRDefault="00BC24B5" w:rsidP="00BC24B5">
            <w:pPr>
              <w:pStyle w:val="TAC"/>
            </w:pPr>
            <w:r w:rsidRPr="00873B6C">
              <w:t>71</w:t>
            </w:r>
          </w:p>
        </w:tc>
        <w:tc>
          <w:tcPr>
            <w:tcW w:w="1056" w:type="dxa"/>
            <w:tcBorders>
              <w:top w:val="nil"/>
              <w:left w:val="single" w:sz="12" w:space="0" w:color="auto"/>
              <w:bottom w:val="nil"/>
              <w:right w:val="single" w:sz="12" w:space="0" w:color="auto"/>
            </w:tcBorders>
          </w:tcPr>
          <w:p w14:paraId="0282531E"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BC24B5" w:rsidRPr="00873B6C" w:rsidRDefault="00BC24B5" w:rsidP="00BC24B5">
            <w:pPr>
              <w:pStyle w:val="TAC"/>
            </w:pPr>
            <w:r w:rsidRPr="00873B6C">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BC24B5" w:rsidRPr="00873B6C" w:rsidRDefault="00BC24B5" w:rsidP="00BC24B5">
            <w:pPr>
              <w:pStyle w:val="TAC"/>
            </w:pPr>
            <w:r w:rsidRPr="00873B6C">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BC24B5" w:rsidRPr="00873B6C" w:rsidRDefault="00BC24B5" w:rsidP="00BC24B5">
            <w:pPr>
              <w:pStyle w:val="TAL"/>
            </w:pPr>
            <w:r w:rsidRPr="00873B6C">
              <w:t>"Live" Uplink Streaming (e.g. TS 26.238 [76])</w:t>
            </w:r>
          </w:p>
        </w:tc>
      </w:tr>
      <w:tr w:rsidR="00BC24B5" w:rsidRPr="00873B6C"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BC24B5" w:rsidRPr="00873B6C" w:rsidRDefault="00BC24B5" w:rsidP="00BC24B5">
            <w:pPr>
              <w:pStyle w:val="TAC"/>
            </w:pPr>
            <w:r w:rsidRPr="00873B6C">
              <w:t>72</w:t>
            </w:r>
          </w:p>
        </w:tc>
        <w:tc>
          <w:tcPr>
            <w:tcW w:w="1056" w:type="dxa"/>
            <w:tcBorders>
              <w:top w:val="nil"/>
              <w:left w:val="single" w:sz="12" w:space="0" w:color="auto"/>
              <w:bottom w:val="nil"/>
              <w:right w:val="single" w:sz="12" w:space="0" w:color="auto"/>
            </w:tcBorders>
          </w:tcPr>
          <w:p w14:paraId="0416E7D5"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BC24B5" w:rsidRPr="00873B6C" w:rsidRDefault="00BC24B5" w:rsidP="00BC24B5">
            <w:pPr>
              <w:pStyle w:val="TAC"/>
            </w:pPr>
            <w:r w:rsidRPr="00873B6C">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BC24B5" w:rsidRPr="00873B6C" w:rsidRDefault="00BC24B5" w:rsidP="00BC24B5">
            <w:pPr>
              <w:pStyle w:val="TAL"/>
            </w:pPr>
            <w:r w:rsidRPr="00873B6C">
              <w:t>"Live" Uplink Streaming (e.g. TS 26.238 [76])</w:t>
            </w:r>
          </w:p>
        </w:tc>
      </w:tr>
      <w:tr w:rsidR="00BC24B5" w:rsidRPr="00873B6C"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BC24B5" w:rsidRPr="00873B6C" w:rsidRDefault="00BC24B5" w:rsidP="00BC24B5">
            <w:pPr>
              <w:pStyle w:val="TAC"/>
            </w:pPr>
            <w:r w:rsidRPr="00873B6C">
              <w:t>73</w:t>
            </w:r>
          </w:p>
        </w:tc>
        <w:tc>
          <w:tcPr>
            <w:tcW w:w="1056" w:type="dxa"/>
            <w:tcBorders>
              <w:top w:val="nil"/>
              <w:left w:val="single" w:sz="12" w:space="0" w:color="auto"/>
              <w:bottom w:val="nil"/>
              <w:right w:val="single" w:sz="12" w:space="0" w:color="auto"/>
            </w:tcBorders>
          </w:tcPr>
          <w:p w14:paraId="35107B3D"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BC24B5" w:rsidRPr="00873B6C" w:rsidRDefault="00BC24B5" w:rsidP="00BC24B5">
            <w:pPr>
              <w:pStyle w:val="TAC"/>
            </w:pPr>
            <w:r w:rsidRPr="00873B6C">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BC24B5" w:rsidRPr="00873B6C" w:rsidRDefault="00BC24B5" w:rsidP="00BC24B5">
            <w:pPr>
              <w:pStyle w:val="TAC"/>
            </w:pPr>
            <w:r w:rsidRPr="00873B6C">
              <w:t>10</w:t>
            </w:r>
            <w:r w:rsidRPr="00873B6C">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BC24B5" w:rsidRPr="00873B6C" w:rsidRDefault="00BC24B5" w:rsidP="00BC24B5">
            <w:pPr>
              <w:pStyle w:val="TAL"/>
            </w:pPr>
            <w:r w:rsidRPr="00873B6C">
              <w:t>"Live" Uplink Streaming (e.g. TS 26.238 [76])</w:t>
            </w:r>
          </w:p>
        </w:tc>
      </w:tr>
      <w:tr w:rsidR="00BC24B5" w:rsidRPr="00873B6C"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BC24B5" w:rsidRPr="00873B6C" w:rsidRDefault="00BC24B5" w:rsidP="00BC24B5">
            <w:pPr>
              <w:pStyle w:val="TAC"/>
            </w:pPr>
            <w:r w:rsidRPr="00873B6C">
              <w:t>74</w:t>
            </w:r>
          </w:p>
        </w:tc>
        <w:tc>
          <w:tcPr>
            <w:tcW w:w="1056" w:type="dxa"/>
            <w:tcBorders>
              <w:top w:val="nil"/>
              <w:left w:val="single" w:sz="12" w:space="0" w:color="auto"/>
              <w:bottom w:val="nil"/>
              <w:right w:val="single" w:sz="12" w:space="0" w:color="auto"/>
            </w:tcBorders>
          </w:tcPr>
          <w:p w14:paraId="32015760"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BC24B5" w:rsidRPr="00873B6C" w:rsidRDefault="00BC24B5" w:rsidP="00BC24B5">
            <w:pPr>
              <w:pStyle w:val="TAC"/>
            </w:pPr>
            <w:r w:rsidRPr="00873B6C">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BC24B5" w:rsidRPr="00873B6C" w:rsidRDefault="00BC24B5" w:rsidP="00BC24B5">
            <w:pPr>
              <w:pStyle w:val="TAC"/>
            </w:pPr>
            <w:r w:rsidRPr="00873B6C">
              <w:t>10</w:t>
            </w:r>
            <w:r w:rsidRPr="00873B6C">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BC24B5" w:rsidRPr="00873B6C" w:rsidRDefault="00BC24B5" w:rsidP="00BC24B5">
            <w:pPr>
              <w:pStyle w:val="TAL"/>
            </w:pPr>
            <w:r w:rsidRPr="00873B6C">
              <w:t>"Live" Uplink Streaming (e.g. TS 26.238 [76])</w:t>
            </w:r>
          </w:p>
        </w:tc>
      </w:tr>
      <w:tr w:rsidR="00BC24B5" w:rsidRPr="00873B6C"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BC24B5" w:rsidRPr="00873B6C" w:rsidRDefault="00BC24B5" w:rsidP="00BC24B5">
            <w:pPr>
              <w:pStyle w:val="TAC"/>
            </w:pPr>
            <w:r w:rsidRPr="00873B6C">
              <w:t>76</w:t>
            </w:r>
          </w:p>
        </w:tc>
        <w:tc>
          <w:tcPr>
            <w:tcW w:w="1056" w:type="dxa"/>
            <w:tcBorders>
              <w:top w:val="nil"/>
              <w:left w:val="single" w:sz="12" w:space="0" w:color="auto"/>
              <w:bottom w:val="single" w:sz="4" w:space="0" w:color="auto"/>
              <w:right w:val="single" w:sz="12" w:space="0" w:color="auto"/>
            </w:tcBorders>
          </w:tcPr>
          <w:p w14:paraId="06B8E6CF"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BC24B5" w:rsidRPr="00873B6C" w:rsidRDefault="00BC24B5" w:rsidP="00BC24B5">
            <w:pPr>
              <w:pStyle w:val="TAC"/>
            </w:pPr>
            <w:r w:rsidRPr="00873B6C">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BC24B5" w:rsidRPr="00873B6C" w:rsidRDefault="00BC24B5" w:rsidP="00BC24B5">
            <w:pPr>
              <w:pStyle w:val="TAL"/>
            </w:pPr>
            <w:r w:rsidRPr="00873B6C">
              <w:t>"Live" Uplink Streaming (e.g. TS 26.238 [76])</w:t>
            </w:r>
          </w:p>
        </w:tc>
      </w:tr>
      <w:tr w:rsidR="00BC24B5" w:rsidRPr="00873B6C"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BC24B5" w:rsidRPr="00873B6C" w:rsidRDefault="00BC24B5" w:rsidP="00BC24B5">
            <w:pPr>
              <w:pStyle w:val="TAC"/>
            </w:pPr>
            <w:r w:rsidRPr="00873B6C">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BC24B5" w:rsidRPr="00873B6C" w:rsidRDefault="00BC24B5" w:rsidP="00BC24B5">
            <w:pPr>
              <w:pStyle w:val="TAC"/>
            </w:pPr>
            <w:r w:rsidRPr="00873B6C">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BC24B5" w:rsidRPr="00873B6C" w:rsidRDefault="00BC24B5" w:rsidP="00BC24B5">
            <w:pPr>
              <w:pStyle w:val="TAC"/>
            </w:pPr>
            <w:r w:rsidRPr="00873B6C">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BC24B5" w:rsidRPr="00873B6C" w:rsidRDefault="00BC24B5" w:rsidP="00BC24B5">
            <w:pPr>
              <w:pStyle w:val="TAC"/>
            </w:pPr>
            <w:r w:rsidRPr="00873B6C">
              <w:t>100 ms</w:t>
            </w:r>
          </w:p>
          <w:p w14:paraId="32C81366" w14:textId="1D0C0A9E" w:rsidR="00BC24B5" w:rsidRPr="00873B6C" w:rsidRDefault="00FE24CE" w:rsidP="00BC24B5">
            <w:pPr>
              <w:pStyle w:val="TAC"/>
            </w:pPr>
            <w:r w:rsidRPr="00873B6C">
              <w:t>(</w:t>
            </w:r>
            <w:r w:rsidR="00BC24B5" w:rsidRPr="00873B6C">
              <w:t>NOTE 10,</w:t>
            </w:r>
          </w:p>
          <w:p w14:paraId="409D0F10" w14:textId="77777777"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BC24B5" w:rsidRPr="00873B6C" w:rsidRDefault="00BC24B5" w:rsidP="00BC24B5">
            <w:pPr>
              <w:pStyle w:val="TAC"/>
            </w:pPr>
            <w:r w:rsidRPr="00873B6C">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BC24B5" w:rsidRPr="00873B6C" w:rsidRDefault="00BC24B5" w:rsidP="00BC24B5">
            <w:pPr>
              <w:pStyle w:val="TAL"/>
            </w:pPr>
            <w:r w:rsidRPr="00873B6C">
              <w:t>IMS Signalling</w:t>
            </w:r>
          </w:p>
        </w:tc>
      </w:tr>
      <w:tr w:rsidR="00BC24B5" w:rsidRPr="00873B6C"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BC24B5" w:rsidRPr="00873B6C" w:rsidRDefault="00BC24B5" w:rsidP="00BC24B5">
            <w:pPr>
              <w:pStyle w:val="TAC"/>
            </w:pPr>
            <w:r w:rsidRPr="00873B6C">
              <w:lastRenderedPageBreak/>
              <w:t>6</w:t>
            </w:r>
          </w:p>
        </w:tc>
        <w:tc>
          <w:tcPr>
            <w:tcW w:w="1056" w:type="dxa"/>
            <w:tcBorders>
              <w:top w:val="nil"/>
              <w:left w:val="single" w:sz="4" w:space="0" w:color="auto"/>
              <w:bottom w:val="nil"/>
              <w:right w:val="single" w:sz="4" w:space="0" w:color="auto"/>
            </w:tcBorders>
            <w:shd w:val="clear" w:color="auto" w:fill="auto"/>
          </w:tcPr>
          <w:p w14:paraId="779C23C1" w14:textId="77777777" w:rsidR="00BC24B5" w:rsidRPr="00873B6C" w:rsidRDefault="00BC24B5" w:rsidP="00BC24B5">
            <w:pPr>
              <w:pStyle w:val="TAC"/>
            </w:pPr>
            <w:r w:rsidRPr="00873B6C">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BC24B5" w:rsidRPr="00873B6C" w:rsidRDefault="00BC24B5" w:rsidP="00BC24B5">
            <w:pPr>
              <w:pStyle w:val="TAC"/>
            </w:pPr>
            <w:r w:rsidRPr="00873B6C">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BC24B5" w:rsidRPr="00873B6C" w:rsidRDefault="00BC24B5" w:rsidP="00BC24B5">
            <w:pPr>
              <w:pStyle w:val="TAC"/>
            </w:pPr>
            <w:r w:rsidRPr="00873B6C">
              <w:br/>
              <w:t>300 ms</w:t>
            </w:r>
          </w:p>
          <w:p w14:paraId="17E36D6E" w14:textId="77777777" w:rsidR="00BC24B5" w:rsidRPr="00873B6C" w:rsidRDefault="00BC24B5" w:rsidP="00BC24B5">
            <w:pPr>
              <w:pStyle w:val="TAC"/>
            </w:pPr>
            <w:r w:rsidRPr="00873B6C">
              <w:t>(NOTE 10,</w:t>
            </w:r>
          </w:p>
          <w:p w14:paraId="0AE9C824" w14:textId="77777777"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BC24B5" w:rsidRPr="00873B6C" w:rsidRDefault="00BC24B5" w:rsidP="00BC24B5">
            <w:pPr>
              <w:pStyle w:val="TAC"/>
            </w:pPr>
            <w:r w:rsidRPr="00873B6C">
              <w:br/>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BC24B5" w:rsidRPr="00873B6C" w:rsidRDefault="00BC24B5" w:rsidP="00BC24B5">
            <w:pPr>
              <w:pStyle w:val="TAL"/>
            </w:pPr>
            <w:r w:rsidRPr="00873B6C">
              <w:t>Video (Buffered Streaming)</w:t>
            </w:r>
          </w:p>
          <w:p w14:paraId="4452A4A9" w14:textId="1CB26BEA" w:rsidR="00BC24B5" w:rsidRPr="00873B6C" w:rsidRDefault="00BC24B5" w:rsidP="00BC24B5">
            <w:pPr>
              <w:pStyle w:val="TAL"/>
            </w:pPr>
            <w:r w:rsidRPr="00873B6C">
              <w:t>TCP-based (e.g. www, e-mail, chat, ftp, p2p file sharing, progressive video, etc.)</w:t>
            </w:r>
            <w:r w:rsidR="00C86B51" w:rsidRPr="00873B6C">
              <w:t>, AI/ML model download for image recognition (e.g. for model topology) (see TS 22.261 [2])</w:t>
            </w:r>
          </w:p>
        </w:tc>
      </w:tr>
      <w:tr w:rsidR="00BC24B5" w:rsidRPr="00873B6C"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BC24B5" w:rsidRPr="00873B6C" w:rsidRDefault="00BC24B5" w:rsidP="00BC24B5">
            <w:pPr>
              <w:pStyle w:val="TAC"/>
            </w:pPr>
            <w:r w:rsidRPr="00873B6C">
              <w:t>7</w:t>
            </w:r>
          </w:p>
        </w:tc>
        <w:tc>
          <w:tcPr>
            <w:tcW w:w="1056" w:type="dxa"/>
            <w:tcBorders>
              <w:top w:val="nil"/>
              <w:left w:val="single" w:sz="4" w:space="0" w:color="auto"/>
              <w:bottom w:val="nil"/>
              <w:right w:val="single" w:sz="4" w:space="0" w:color="auto"/>
            </w:tcBorders>
            <w:shd w:val="clear" w:color="auto" w:fill="auto"/>
          </w:tcPr>
          <w:p w14:paraId="1E2A7756"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BC24B5" w:rsidRPr="00873B6C" w:rsidRDefault="00BC24B5" w:rsidP="00BC24B5">
            <w:pPr>
              <w:pStyle w:val="TAC"/>
            </w:pPr>
            <w:r w:rsidRPr="00873B6C">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BC24B5" w:rsidRPr="00873B6C" w:rsidRDefault="00BC24B5" w:rsidP="00BC24B5">
            <w:pPr>
              <w:pStyle w:val="TAC"/>
            </w:pPr>
            <w:r w:rsidRPr="00873B6C">
              <w:br/>
              <w:t>100 ms</w:t>
            </w:r>
          </w:p>
          <w:p w14:paraId="081DA908" w14:textId="77777777" w:rsidR="00BC24B5" w:rsidRPr="00873B6C" w:rsidRDefault="00BC24B5" w:rsidP="00BC24B5">
            <w:pPr>
              <w:pStyle w:val="TAC"/>
            </w:pPr>
            <w:r w:rsidRPr="00873B6C">
              <w:t>(NOTE 10,</w:t>
            </w:r>
          </w:p>
          <w:p w14:paraId="74EA45AF" w14:textId="77777777"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BC24B5" w:rsidRPr="00873B6C" w:rsidRDefault="00BC24B5" w:rsidP="00BC24B5">
            <w:pPr>
              <w:pStyle w:val="TAC"/>
            </w:pPr>
            <w:r w:rsidRPr="00873B6C">
              <w:br/>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BC24B5" w:rsidRPr="00873B6C" w:rsidRDefault="00BC24B5" w:rsidP="00BC24B5">
            <w:pPr>
              <w:pStyle w:val="TAL"/>
            </w:pPr>
            <w:r w:rsidRPr="00873B6C">
              <w:t>Voice,</w:t>
            </w:r>
          </w:p>
          <w:p w14:paraId="1ADAA92B" w14:textId="34DBBB8F" w:rsidR="00BC24B5" w:rsidRPr="00873B6C" w:rsidRDefault="00BC24B5" w:rsidP="00BC24B5">
            <w:pPr>
              <w:pStyle w:val="TAL"/>
            </w:pPr>
            <w:r w:rsidRPr="00873B6C">
              <w:t>Video (Live Streaming)</w:t>
            </w:r>
          </w:p>
          <w:p w14:paraId="09FD2B72" w14:textId="7F400EB5" w:rsidR="00BC24B5" w:rsidRPr="00873B6C" w:rsidRDefault="00BC24B5" w:rsidP="00BC24B5">
            <w:pPr>
              <w:pStyle w:val="TAL"/>
            </w:pPr>
            <w:r w:rsidRPr="00873B6C">
              <w:t>Interactive Gaming</w:t>
            </w:r>
            <w:r w:rsidR="00C86B51" w:rsidRPr="00873B6C">
              <w:t>, AI/ML model download for image recognition (e.g. for model weight factors) (see TS 22.261 [2])</w:t>
            </w:r>
          </w:p>
        </w:tc>
      </w:tr>
      <w:tr w:rsidR="00BC24B5" w:rsidRPr="00873B6C"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BC24B5" w:rsidRPr="00873B6C" w:rsidRDefault="00BC24B5" w:rsidP="00BC24B5">
            <w:pPr>
              <w:pStyle w:val="TAC"/>
            </w:pPr>
            <w:r w:rsidRPr="00873B6C">
              <w:t>8</w:t>
            </w:r>
          </w:p>
        </w:tc>
        <w:tc>
          <w:tcPr>
            <w:tcW w:w="1056" w:type="dxa"/>
            <w:tcBorders>
              <w:top w:val="nil"/>
              <w:left w:val="single" w:sz="4" w:space="0" w:color="auto"/>
              <w:bottom w:val="nil"/>
              <w:right w:val="single" w:sz="4" w:space="0" w:color="auto"/>
            </w:tcBorders>
            <w:shd w:val="clear" w:color="auto" w:fill="auto"/>
          </w:tcPr>
          <w:p w14:paraId="6990CA1A"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BC24B5" w:rsidRPr="00873B6C" w:rsidRDefault="00BC24B5" w:rsidP="00BC24B5">
            <w:pPr>
              <w:pStyle w:val="TAC"/>
            </w:pPr>
            <w:r w:rsidRPr="00873B6C">
              <w:br/>
              <w:t>80</w:t>
            </w:r>
          </w:p>
        </w:tc>
        <w:tc>
          <w:tcPr>
            <w:tcW w:w="1138" w:type="dxa"/>
            <w:tcBorders>
              <w:top w:val="single" w:sz="12" w:space="0" w:color="auto"/>
              <w:left w:val="single" w:sz="12" w:space="0" w:color="auto"/>
              <w:bottom w:val="nil"/>
              <w:right w:val="single" w:sz="12" w:space="0" w:color="auto"/>
            </w:tcBorders>
          </w:tcPr>
          <w:p w14:paraId="6ADBF93D" w14:textId="77777777" w:rsidR="00BC24B5" w:rsidRPr="00873B6C" w:rsidRDefault="00BC24B5" w:rsidP="00BC24B5">
            <w:pPr>
              <w:pStyle w:val="TAC"/>
            </w:pPr>
            <w:r w:rsidRPr="00873B6C">
              <w:br/>
            </w:r>
            <w:r w:rsidRPr="00873B6C">
              <w:br/>
            </w:r>
            <w:r w:rsidRPr="00873B6C">
              <w:br/>
              <w:t>300 ms</w:t>
            </w:r>
          </w:p>
          <w:p w14:paraId="13F59B2A" w14:textId="2FE3BD4D" w:rsidR="00BC24B5" w:rsidRPr="00873B6C" w:rsidRDefault="00BC24B5" w:rsidP="00BC24B5">
            <w:pPr>
              <w:pStyle w:val="TAC"/>
            </w:pPr>
            <w:r w:rsidRPr="00873B6C">
              <w:t>(</w:t>
            </w:r>
            <w:r w:rsidR="00FE24CE" w:rsidRPr="00873B6C">
              <w:t xml:space="preserve">NOTE 10, </w:t>
            </w:r>
            <w:r w:rsidRPr="00873B6C">
              <w:t>NOTE 13)</w:t>
            </w:r>
          </w:p>
        </w:tc>
        <w:tc>
          <w:tcPr>
            <w:tcW w:w="851" w:type="dxa"/>
            <w:tcBorders>
              <w:top w:val="single" w:sz="12" w:space="0" w:color="auto"/>
              <w:left w:val="single" w:sz="12" w:space="0" w:color="auto"/>
              <w:bottom w:val="nil"/>
              <w:right w:val="single" w:sz="12" w:space="0" w:color="auto"/>
            </w:tcBorders>
          </w:tcPr>
          <w:p w14:paraId="504E536D" w14:textId="77777777" w:rsidR="00BC24B5" w:rsidRPr="00873B6C" w:rsidRDefault="00BC24B5" w:rsidP="00BC24B5">
            <w:pPr>
              <w:pStyle w:val="TAC"/>
            </w:pPr>
            <w:r w:rsidRPr="00873B6C">
              <w:br/>
            </w:r>
            <w:r w:rsidRPr="00873B6C">
              <w:br/>
            </w:r>
            <w:r w:rsidRPr="00873B6C">
              <w:br/>
              <w:t>10</w:t>
            </w:r>
            <w:r w:rsidRPr="00873B6C">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BC24B5" w:rsidRPr="00873B6C" w:rsidRDefault="00BC24B5" w:rsidP="00BC24B5">
            <w:pPr>
              <w:pStyle w:val="TAL"/>
            </w:pPr>
            <w:r w:rsidRPr="00873B6C">
              <w:br/>
            </w:r>
            <w:r w:rsidRPr="00873B6C">
              <w:br/>
            </w:r>
            <w:r w:rsidRPr="00873B6C">
              <w:br/>
              <w:t>N/A</w:t>
            </w:r>
          </w:p>
        </w:tc>
        <w:tc>
          <w:tcPr>
            <w:tcW w:w="1554" w:type="dxa"/>
            <w:tcBorders>
              <w:top w:val="single" w:sz="12" w:space="0" w:color="auto"/>
              <w:left w:val="single" w:sz="12" w:space="0" w:color="auto"/>
              <w:bottom w:val="nil"/>
              <w:right w:val="single" w:sz="12" w:space="0" w:color="auto"/>
            </w:tcBorders>
          </w:tcPr>
          <w:p w14:paraId="1ADED12D" w14:textId="77777777" w:rsidR="00BC24B5" w:rsidRPr="00873B6C" w:rsidRDefault="00BC24B5" w:rsidP="00BC24B5">
            <w:pPr>
              <w:pStyle w:val="TAL"/>
            </w:pPr>
            <w:r w:rsidRPr="00873B6C">
              <w:br/>
            </w:r>
            <w:r w:rsidRPr="00873B6C">
              <w:br/>
            </w:r>
            <w:r w:rsidRPr="00873B6C">
              <w:br/>
              <w:t>N/A</w:t>
            </w:r>
          </w:p>
        </w:tc>
        <w:tc>
          <w:tcPr>
            <w:tcW w:w="2034" w:type="dxa"/>
            <w:tcBorders>
              <w:top w:val="single" w:sz="12" w:space="0" w:color="auto"/>
              <w:left w:val="single" w:sz="12" w:space="0" w:color="auto"/>
              <w:bottom w:val="nil"/>
              <w:right w:val="single" w:sz="12" w:space="0" w:color="auto"/>
            </w:tcBorders>
          </w:tcPr>
          <w:p w14:paraId="047F0A3E" w14:textId="77777777" w:rsidR="00BC24B5" w:rsidRPr="00873B6C" w:rsidRDefault="00BC24B5" w:rsidP="00BC24B5">
            <w:pPr>
              <w:pStyle w:val="TAL"/>
            </w:pPr>
            <w:r w:rsidRPr="00873B6C">
              <w:br/>
              <w:t>Video (Buffered Streaming)</w:t>
            </w:r>
          </w:p>
          <w:p w14:paraId="710B6FAE" w14:textId="18B8AA1E" w:rsidR="00BC24B5" w:rsidRPr="00873B6C" w:rsidRDefault="00BC24B5" w:rsidP="00BC24B5">
            <w:pPr>
              <w:pStyle w:val="TAL"/>
            </w:pPr>
            <w:r w:rsidRPr="00873B6C">
              <w:t>TCP-based (e.g. www, e-mail, chat, ftp, p2p file sharing, progressive</w:t>
            </w:r>
          </w:p>
        </w:tc>
      </w:tr>
      <w:tr w:rsidR="00BC24B5" w:rsidRPr="00873B6C"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BC24B5" w:rsidRPr="00873B6C" w:rsidRDefault="00BC24B5" w:rsidP="00BC24B5">
            <w:pPr>
              <w:pStyle w:val="TAC"/>
            </w:pPr>
            <w:r w:rsidRPr="00873B6C">
              <w:t>9</w:t>
            </w:r>
          </w:p>
        </w:tc>
        <w:tc>
          <w:tcPr>
            <w:tcW w:w="1056" w:type="dxa"/>
            <w:tcBorders>
              <w:top w:val="nil"/>
              <w:left w:val="single" w:sz="4" w:space="0" w:color="auto"/>
              <w:bottom w:val="nil"/>
              <w:right w:val="single" w:sz="4" w:space="0" w:color="auto"/>
            </w:tcBorders>
            <w:shd w:val="clear" w:color="auto" w:fill="auto"/>
          </w:tcPr>
          <w:p w14:paraId="5F794B36"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BC24B5" w:rsidRPr="00873B6C" w:rsidRDefault="00BC24B5" w:rsidP="00BC24B5">
            <w:pPr>
              <w:pStyle w:val="TAC"/>
            </w:pPr>
            <w:r w:rsidRPr="00873B6C">
              <w:t>90</w:t>
            </w:r>
          </w:p>
        </w:tc>
        <w:tc>
          <w:tcPr>
            <w:tcW w:w="1138" w:type="dxa"/>
            <w:tcBorders>
              <w:top w:val="nil"/>
              <w:left w:val="single" w:sz="12" w:space="0" w:color="auto"/>
              <w:bottom w:val="single" w:sz="12" w:space="0" w:color="auto"/>
              <w:right w:val="single" w:sz="12" w:space="0" w:color="auto"/>
            </w:tcBorders>
          </w:tcPr>
          <w:p w14:paraId="0A1CD080" w14:textId="77777777" w:rsidR="00BC24B5" w:rsidRPr="00873B6C"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BC24B5" w:rsidRPr="00873B6C" w:rsidRDefault="00BC24B5" w:rsidP="00BC24B5">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BC24B5" w:rsidRPr="00873B6C" w:rsidRDefault="00BC24B5" w:rsidP="00BC24B5">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BC24B5" w:rsidRPr="00873B6C" w:rsidRDefault="00BC24B5" w:rsidP="00BC24B5">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BC24B5" w:rsidRPr="00873B6C" w:rsidRDefault="00BC24B5" w:rsidP="00BC24B5">
            <w:pPr>
              <w:pStyle w:val="TAL"/>
            </w:pPr>
            <w:r w:rsidRPr="00873B6C">
              <w:t>video, etc.)</w:t>
            </w:r>
          </w:p>
        </w:tc>
      </w:tr>
      <w:tr w:rsidR="00BC24B5" w:rsidRPr="00873B6C"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BC24B5" w:rsidRPr="00873B6C" w:rsidRDefault="00BC24B5" w:rsidP="00BC24B5">
            <w:pPr>
              <w:pStyle w:val="TAC"/>
            </w:pPr>
            <w:r w:rsidRPr="00873B6C">
              <w:t>10</w:t>
            </w:r>
          </w:p>
        </w:tc>
        <w:tc>
          <w:tcPr>
            <w:tcW w:w="1056" w:type="dxa"/>
            <w:tcBorders>
              <w:top w:val="nil"/>
              <w:left w:val="single" w:sz="4" w:space="0" w:color="auto"/>
              <w:bottom w:val="nil"/>
              <w:right w:val="single" w:sz="4" w:space="0" w:color="auto"/>
            </w:tcBorders>
            <w:shd w:val="clear" w:color="auto" w:fill="auto"/>
          </w:tcPr>
          <w:p w14:paraId="1F0A23EA"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BC24B5" w:rsidRPr="00873B6C" w:rsidRDefault="00BC24B5" w:rsidP="00BC24B5">
            <w:pPr>
              <w:pStyle w:val="TAC"/>
            </w:pPr>
            <w:r w:rsidRPr="00873B6C">
              <w:t>90</w:t>
            </w:r>
          </w:p>
        </w:tc>
        <w:tc>
          <w:tcPr>
            <w:tcW w:w="1138" w:type="dxa"/>
            <w:tcBorders>
              <w:top w:val="nil"/>
              <w:left w:val="single" w:sz="12" w:space="0" w:color="auto"/>
              <w:bottom w:val="single" w:sz="12" w:space="0" w:color="auto"/>
              <w:right w:val="single" w:sz="12" w:space="0" w:color="auto"/>
            </w:tcBorders>
          </w:tcPr>
          <w:p w14:paraId="59B4345A" w14:textId="77777777" w:rsidR="00BC24B5" w:rsidRPr="00873B6C" w:rsidRDefault="00BC24B5" w:rsidP="00BC24B5">
            <w:pPr>
              <w:pStyle w:val="TAC"/>
            </w:pPr>
            <w:r w:rsidRPr="00873B6C">
              <w:t>1100ms</w:t>
            </w:r>
          </w:p>
          <w:p w14:paraId="5381FE6E" w14:textId="5765312C" w:rsidR="00BC24B5" w:rsidRPr="00873B6C" w:rsidRDefault="00BC24B5" w:rsidP="00BC24B5">
            <w:pPr>
              <w:pStyle w:val="TAC"/>
            </w:pPr>
            <w:r w:rsidRPr="00873B6C">
              <w:t>(</w:t>
            </w:r>
            <w:r w:rsidR="00FE24CE" w:rsidRPr="00873B6C">
              <w:t>NOTE 10,</w:t>
            </w:r>
            <w:r w:rsidRPr="00873B6C">
              <w:t>NOTE 13</w:t>
            </w:r>
            <w:r w:rsidR="00FE24CE" w:rsidRPr="00873B6C">
              <w:t xml:space="preserve">, </w:t>
            </w:r>
            <w:r w:rsidRPr="00873B6C">
              <w:t>NOTE 17)</w:t>
            </w:r>
          </w:p>
          <w:p w14:paraId="0F65DBC9" w14:textId="0C487A21" w:rsidR="00BC24B5" w:rsidRPr="00873B6C"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BC24B5" w:rsidRPr="00873B6C" w:rsidRDefault="00BC24B5" w:rsidP="00BC24B5">
            <w:pPr>
              <w:pStyle w:val="TAC"/>
            </w:pPr>
            <w:r w:rsidRPr="00873B6C">
              <w:t>10</w:t>
            </w:r>
            <w:r w:rsidRPr="00873B6C">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BC24B5" w:rsidRPr="00873B6C" w:rsidRDefault="00BC24B5" w:rsidP="00BC24B5">
            <w:pPr>
              <w:pStyle w:val="TAL"/>
            </w:pPr>
            <w:r w:rsidRPr="00873B6C">
              <w:t>N/A</w:t>
            </w:r>
          </w:p>
        </w:tc>
        <w:tc>
          <w:tcPr>
            <w:tcW w:w="1554" w:type="dxa"/>
            <w:tcBorders>
              <w:top w:val="nil"/>
              <w:left w:val="single" w:sz="12" w:space="0" w:color="auto"/>
              <w:bottom w:val="single" w:sz="12" w:space="0" w:color="auto"/>
              <w:right w:val="single" w:sz="12" w:space="0" w:color="auto"/>
            </w:tcBorders>
          </w:tcPr>
          <w:p w14:paraId="0970E83F" w14:textId="3E655ED9" w:rsidR="00BC24B5" w:rsidRPr="00873B6C" w:rsidRDefault="00BC24B5" w:rsidP="00BC24B5">
            <w:pPr>
              <w:pStyle w:val="TAL"/>
            </w:pPr>
            <w:r w:rsidRPr="00873B6C">
              <w:t>N/A</w:t>
            </w:r>
          </w:p>
        </w:tc>
        <w:tc>
          <w:tcPr>
            <w:tcW w:w="2034" w:type="dxa"/>
            <w:tcBorders>
              <w:top w:val="nil"/>
              <w:left w:val="single" w:sz="12" w:space="0" w:color="auto"/>
              <w:bottom w:val="single" w:sz="12" w:space="0" w:color="auto"/>
              <w:right w:val="single" w:sz="12" w:space="0" w:color="auto"/>
            </w:tcBorders>
          </w:tcPr>
          <w:p w14:paraId="7355AAEE" w14:textId="77777777" w:rsidR="00BC24B5" w:rsidRPr="00873B6C" w:rsidRDefault="00BC24B5" w:rsidP="00BC24B5">
            <w:pPr>
              <w:pStyle w:val="TAL"/>
            </w:pPr>
            <w:r w:rsidRPr="00873B6C">
              <w:t>Video (Buffered Streaming)</w:t>
            </w:r>
          </w:p>
          <w:p w14:paraId="4B8A6CE4" w14:textId="2543F5C8" w:rsidR="00BC24B5" w:rsidRPr="00873B6C" w:rsidRDefault="00BC24B5" w:rsidP="00BC24B5">
            <w:pPr>
              <w:pStyle w:val="TAL"/>
            </w:pPr>
            <w:r w:rsidRPr="00873B6C">
              <w:t>TCP-based (e.g. www, e-mail, chat, ftp, p2p file sharing, progressive video, etc.) and any service that can be used over satellite access type with these characteristics</w:t>
            </w:r>
          </w:p>
        </w:tc>
      </w:tr>
      <w:tr w:rsidR="00BC24B5" w:rsidRPr="00873B6C"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BC24B5" w:rsidRPr="00873B6C" w:rsidRDefault="00BC24B5" w:rsidP="00BC24B5">
            <w:pPr>
              <w:pStyle w:val="TAC"/>
            </w:pPr>
            <w:r w:rsidRPr="00873B6C">
              <w:t>69</w:t>
            </w:r>
          </w:p>
          <w:p w14:paraId="4C384FD6" w14:textId="77777777" w:rsidR="00BC24B5" w:rsidRPr="00873B6C" w:rsidDel="00CA5FEE" w:rsidRDefault="00BC24B5" w:rsidP="00BC24B5">
            <w:pPr>
              <w:pStyle w:val="TAC"/>
            </w:pPr>
            <w:r w:rsidRPr="00873B6C">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BC24B5" w:rsidRPr="00873B6C" w:rsidDel="00CA5FEE" w:rsidRDefault="00BC24B5" w:rsidP="00BC24B5">
            <w:pPr>
              <w:pStyle w:val="TAC"/>
            </w:pPr>
            <w:r w:rsidRPr="00873B6C">
              <w:t>5</w:t>
            </w:r>
          </w:p>
        </w:tc>
        <w:tc>
          <w:tcPr>
            <w:tcW w:w="1138" w:type="dxa"/>
            <w:tcBorders>
              <w:top w:val="nil"/>
              <w:left w:val="single" w:sz="12" w:space="0" w:color="auto"/>
              <w:bottom w:val="single" w:sz="12" w:space="0" w:color="auto"/>
              <w:right w:val="single" w:sz="12" w:space="0" w:color="auto"/>
            </w:tcBorders>
          </w:tcPr>
          <w:p w14:paraId="4FB35EC3" w14:textId="77777777" w:rsidR="00BC24B5" w:rsidRPr="00873B6C" w:rsidRDefault="00BC24B5" w:rsidP="00BC24B5">
            <w:pPr>
              <w:pStyle w:val="TAC"/>
            </w:pPr>
            <w:r w:rsidRPr="00873B6C">
              <w:t>60 ms</w:t>
            </w:r>
          </w:p>
          <w:p w14:paraId="2F47409F" w14:textId="77777777" w:rsidR="00BC24B5" w:rsidRPr="00873B6C" w:rsidDel="00CA5FEE" w:rsidRDefault="00BC24B5" w:rsidP="00BC24B5">
            <w:pPr>
              <w:pStyle w:val="TAC"/>
            </w:pPr>
            <w:r w:rsidRPr="00873B6C">
              <w:t>(NOTE 7, NOTE 8)</w:t>
            </w:r>
          </w:p>
        </w:tc>
        <w:tc>
          <w:tcPr>
            <w:tcW w:w="851" w:type="dxa"/>
            <w:tcBorders>
              <w:top w:val="nil"/>
              <w:left w:val="single" w:sz="12" w:space="0" w:color="auto"/>
              <w:bottom w:val="single" w:sz="12" w:space="0" w:color="auto"/>
              <w:right w:val="single" w:sz="12" w:space="0" w:color="auto"/>
            </w:tcBorders>
          </w:tcPr>
          <w:p w14:paraId="5B86EF2C" w14:textId="77777777" w:rsidR="00BC24B5" w:rsidRPr="00873B6C" w:rsidDel="00CA5FEE" w:rsidRDefault="00BC24B5" w:rsidP="00BC24B5">
            <w:pPr>
              <w:pStyle w:val="TAC"/>
            </w:pPr>
            <w:r w:rsidRPr="00873B6C">
              <w:t>10</w:t>
            </w:r>
            <w:r w:rsidRPr="00873B6C">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BC24B5" w:rsidRPr="00873B6C" w:rsidRDefault="00BC24B5" w:rsidP="00BC24B5">
            <w:pPr>
              <w:pStyle w:val="TAL"/>
            </w:pPr>
            <w:r w:rsidRPr="00873B6C">
              <w:t>N/A</w:t>
            </w:r>
          </w:p>
        </w:tc>
        <w:tc>
          <w:tcPr>
            <w:tcW w:w="1554" w:type="dxa"/>
            <w:tcBorders>
              <w:top w:val="nil"/>
              <w:left w:val="single" w:sz="12" w:space="0" w:color="auto"/>
              <w:bottom w:val="single" w:sz="12" w:space="0" w:color="auto"/>
              <w:right w:val="single" w:sz="12" w:space="0" w:color="auto"/>
            </w:tcBorders>
          </w:tcPr>
          <w:p w14:paraId="23DC7C7E" w14:textId="77777777" w:rsidR="00BC24B5" w:rsidRPr="00873B6C" w:rsidRDefault="00BC24B5" w:rsidP="00BC24B5">
            <w:pPr>
              <w:pStyle w:val="TAL"/>
            </w:pPr>
            <w:r w:rsidRPr="00873B6C">
              <w:t>N/A</w:t>
            </w:r>
          </w:p>
        </w:tc>
        <w:tc>
          <w:tcPr>
            <w:tcW w:w="2034" w:type="dxa"/>
            <w:tcBorders>
              <w:top w:val="nil"/>
              <w:left w:val="single" w:sz="12" w:space="0" w:color="auto"/>
              <w:bottom w:val="single" w:sz="12" w:space="0" w:color="auto"/>
              <w:right w:val="single" w:sz="12" w:space="0" w:color="auto"/>
            </w:tcBorders>
          </w:tcPr>
          <w:p w14:paraId="5CA0C3DD" w14:textId="66CC23FA" w:rsidR="00BC24B5" w:rsidRPr="00873B6C" w:rsidDel="00CA5FEE" w:rsidRDefault="00BC24B5" w:rsidP="00BC24B5">
            <w:pPr>
              <w:pStyle w:val="TAL"/>
            </w:pPr>
            <w:r w:rsidRPr="00873B6C">
              <w:t>Mission Critical delay sensitive signalling (e.g. MC-PTT signalling)</w:t>
            </w:r>
          </w:p>
        </w:tc>
      </w:tr>
      <w:tr w:rsidR="00BC24B5" w:rsidRPr="00873B6C"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BC24B5" w:rsidRPr="00873B6C" w:rsidRDefault="00BC24B5" w:rsidP="00BC24B5">
            <w:pPr>
              <w:pStyle w:val="TAC"/>
            </w:pPr>
            <w:r w:rsidRPr="00873B6C">
              <w:t>70</w:t>
            </w:r>
          </w:p>
          <w:p w14:paraId="7EC31F86" w14:textId="77777777" w:rsidR="00BC24B5" w:rsidRPr="00873B6C" w:rsidRDefault="00BC24B5" w:rsidP="00BC24B5">
            <w:pPr>
              <w:pStyle w:val="TAC"/>
            </w:pPr>
            <w:r w:rsidRPr="00873B6C">
              <w:t>(NOTE 12)</w:t>
            </w:r>
            <w:r w:rsidRPr="00873B6C">
              <w:br/>
            </w:r>
          </w:p>
        </w:tc>
        <w:tc>
          <w:tcPr>
            <w:tcW w:w="1056" w:type="dxa"/>
            <w:tcBorders>
              <w:top w:val="nil"/>
              <w:left w:val="single" w:sz="4" w:space="0" w:color="auto"/>
              <w:bottom w:val="nil"/>
              <w:right w:val="single" w:sz="4" w:space="0" w:color="auto"/>
            </w:tcBorders>
            <w:shd w:val="clear" w:color="auto" w:fill="auto"/>
          </w:tcPr>
          <w:p w14:paraId="1E9D606D"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BC24B5" w:rsidRPr="00873B6C" w:rsidRDefault="00BC24B5" w:rsidP="00BC24B5">
            <w:pPr>
              <w:pStyle w:val="TAC"/>
            </w:pPr>
            <w:r w:rsidRPr="00873B6C">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BC24B5" w:rsidRPr="00873B6C" w:rsidRDefault="00BC24B5" w:rsidP="00BC24B5">
            <w:pPr>
              <w:pStyle w:val="TAC"/>
            </w:pPr>
            <w:r w:rsidRPr="00873B6C">
              <w:t>200 ms</w:t>
            </w:r>
          </w:p>
          <w:p w14:paraId="4970A405" w14:textId="77777777" w:rsidR="00BC24B5" w:rsidRPr="00873B6C" w:rsidRDefault="00BC24B5" w:rsidP="00BC24B5">
            <w:pPr>
              <w:pStyle w:val="TAC"/>
            </w:pPr>
            <w:r w:rsidRPr="00873B6C">
              <w:t>(NOTE 7,</w:t>
            </w:r>
          </w:p>
          <w:p w14:paraId="0151347A" w14:textId="77777777" w:rsidR="00BC24B5" w:rsidRPr="00873B6C" w:rsidRDefault="00BC24B5" w:rsidP="00BC24B5">
            <w:pPr>
              <w:pStyle w:val="TAC"/>
            </w:pPr>
            <w:r w:rsidRPr="00873B6C">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BC24B5" w:rsidRPr="00873B6C" w:rsidRDefault="00BC24B5" w:rsidP="00BC24B5">
            <w:pPr>
              <w:pStyle w:val="TAC"/>
            </w:pPr>
            <w:r w:rsidRPr="00873B6C">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BC24B5" w:rsidRPr="00873B6C" w:rsidRDefault="00BC24B5" w:rsidP="00BC24B5">
            <w:pPr>
              <w:pStyle w:val="TAL"/>
            </w:pPr>
            <w:r w:rsidRPr="00873B6C">
              <w:t>Mission Critical Data (e.g. example services are the same as 5QI 6/8/9)</w:t>
            </w:r>
          </w:p>
        </w:tc>
      </w:tr>
      <w:tr w:rsidR="00BC24B5" w:rsidRPr="00873B6C"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BC24B5" w:rsidRPr="00873B6C" w:rsidRDefault="00BC24B5" w:rsidP="00BC24B5">
            <w:pPr>
              <w:pStyle w:val="TAC"/>
            </w:pPr>
            <w:r w:rsidRPr="00873B6C">
              <w:t>79</w:t>
            </w:r>
          </w:p>
        </w:tc>
        <w:tc>
          <w:tcPr>
            <w:tcW w:w="1056" w:type="dxa"/>
            <w:tcBorders>
              <w:top w:val="nil"/>
              <w:left w:val="single" w:sz="4" w:space="0" w:color="auto"/>
              <w:bottom w:val="nil"/>
              <w:right w:val="single" w:sz="4" w:space="0" w:color="auto"/>
            </w:tcBorders>
            <w:shd w:val="clear" w:color="auto" w:fill="auto"/>
          </w:tcPr>
          <w:p w14:paraId="04E67238"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BC24B5" w:rsidRPr="00873B6C" w:rsidRDefault="00BC24B5" w:rsidP="00BC24B5">
            <w:pPr>
              <w:pStyle w:val="TAC"/>
            </w:pPr>
            <w:r w:rsidRPr="00873B6C">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BC24B5" w:rsidRPr="00873B6C" w:rsidRDefault="00BC24B5" w:rsidP="00BC24B5">
            <w:pPr>
              <w:pStyle w:val="TAC"/>
            </w:pPr>
            <w:r w:rsidRPr="00873B6C">
              <w:t>50 ms</w:t>
            </w:r>
          </w:p>
          <w:p w14:paraId="1D076424" w14:textId="77777777" w:rsidR="00BC24B5" w:rsidRPr="00873B6C" w:rsidRDefault="00BC24B5" w:rsidP="00BC24B5">
            <w:pPr>
              <w:pStyle w:val="TAC"/>
            </w:pPr>
            <w:r w:rsidRPr="00873B6C">
              <w:t>(NOTE 10,</w:t>
            </w:r>
          </w:p>
          <w:p w14:paraId="3F997386" w14:textId="77777777"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BC24B5" w:rsidRPr="00873B6C" w:rsidRDefault="00BC24B5" w:rsidP="00BC24B5">
            <w:pPr>
              <w:pStyle w:val="TAC"/>
            </w:pPr>
            <w:r w:rsidRPr="00873B6C">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BC24B5" w:rsidRPr="00873B6C" w:rsidRDefault="00BC24B5" w:rsidP="00BC24B5">
            <w:pPr>
              <w:pStyle w:val="TAL"/>
            </w:pPr>
            <w:r w:rsidRPr="00873B6C">
              <w:t>V2X messages (see TS 23.287 [121])</w:t>
            </w:r>
          </w:p>
        </w:tc>
      </w:tr>
      <w:tr w:rsidR="00BC24B5" w:rsidRPr="00873B6C"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BC24B5" w:rsidRPr="00873B6C" w:rsidRDefault="00BC24B5" w:rsidP="00BC24B5">
            <w:pPr>
              <w:pStyle w:val="TAC"/>
            </w:pPr>
            <w:r w:rsidRPr="00873B6C">
              <w:t>80</w:t>
            </w:r>
          </w:p>
        </w:tc>
        <w:tc>
          <w:tcPr>
            <w:tcW w:w="1056" w:type="dxa"/>
            <w:tcBorders>
              <w:top w:val="nil"/>
              <w:left w:val="single" w:sz="4" w:space="0" w:color="auto"/>
              <w:bottom w:val="nil"/>
              <w:right w:val="single" w:sz="4" w:space="0" w:color="auto"/>
            </w:tcBorders>
            <w:shd w:val="clear" w:color="auto" w:fill="auto"/>
          </w:tcPr>
          <w:p w14:paraId="40F967A4"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BC24B5" w:rsidRPr="00873B6C" w:rsidRDefault="00BC24B5" w:rsidP="00BC24B5">
            <w:pPr>
              <w:pStyle w:val="TAC"/>
            </w:pPr>
            <w:r w:rsidRPr="00873B6C">
              <w:t>68</w:t>
            </w:r>
          </w:p>
        </w:tc>
        <w:tc>
          <w:tcPr>
            <w:tcW w:w="1138" w:type="dxa"/>
            <w:tcBorders>
              <w:top w:val="single" w:sz="12" w:space="0" w:color="auto"/>
              <w:left w:val="single" w:sz="12" w:space="0" w:color="auto"/>
              <w:bottom w:val="nil"/>
              <w:right w:val="single" w:sz="12" w:space="0" w:color="auto"/>
            </w:tcBorders>
          </w:tcPr>
          <w:p w14:paraId="04196E8A" w14:textId="77777777" w:rsidR="00BC24B5" w:rsidRPr="00873B6C" w:rsidRDefault="00BC24B5" w:rsidP="00BC24B5">
            <w:pPr>
              <w:pStyle w:val="TAC"/>
            </w:pPr>
            <w:r w:rsidRPr="00873B6C">
              <w:t>10 ms</w:t>
            </w:r>
          </w:p>
          <w:p w14:paraId="5EB24A7F" w14:textId="77777777" w:rsidR="00BC24B5" w:rsidRPr="00873B6C" w:rsidRDefault="00BC24B5" w:rsidP="00BC24B5">
            <w:pPr>
              <w:pStyle w:val="TAC"/>
            </w:pPr>
            <w:r w:rsidRPr="00873B6C">
              <w:t>(NOTE 5,</w:t>
            </w:r>
          </w:p>
          <w:p w14:paraId="78E0C3F9" w14:textId="77777777" w:rsidR="00BC24B5" w:rsidRPr="00873B6C" w:rsidRDefault="00BC24B5" w:rsidP="00BC24B5">
            <w:pPr>
              <w:pStyle w:val="TAC"/>
            </w:pPr>
            <w:r w:rsidRPr="00873B6C">
              <w:t>NOTE 10)</w:t>
            </w:r>
          </w:p>
        </w:tc>
        <w:tc>
          <w:tcPr>
            <w:tcW w:w="851" w:type="dxa"/>
            <w:tcBorders>
              <w:top w:val="single" w:sz="12" w:space="0" w:color="auto"/>
              <w:left w:val="single" w:sz="12" w:space="0" w:color="auto"/>
              <w:bottom w:val="nil"/>
              <w:right w:val="single" w:sz="12" w:space="0" w:color="auto"/>
            </w:tcBorders>
          </w:tcPr>
          <w:p w14:paraId="61CB1F7E" w14:textId="77777777" w:rsidR="00BC24B5" w:rsidRPr="00873B6C" w:rsidRDefault="00BC24B5" w:rsidP="00BC24B5">
            <w:pPr>
              <w:pStyle w:val="TAC"/>
            </w:pPr>
            <w:r w:rsidRPr="00873B6C">
              <w:t>10</w:t>
            </w:r>
            <w:r w:rsidRPr="00873B6C">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nil"/>
              <w:right w:val="single" w:sz="12" w:space="0" w:color="auto"/>
            </w:tcBorders>
          </w:tcPr>
          <w:p w14:paraId="0AC01F3A"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nil"/>
              <w:right w:val="single" w:sz="12" w:space="0" w:color="auto"/>
            </w:tcBorders>
          </w:tcPr>
          <w:p w14:paraId="077AB796" w14:textId="77777777" w:rsidR="00BC24B5" w:rsidRPr="00873B6C" w:rsidRDefault="00BC24B5" w:rsidP="00BC24B5">
            <w:pPr>
              <w:pStyle w:val="TAL"/>
            </w:pPr>
            <w:r w:rsidRPr="00873B6C">
              <w:t>Low Latency eMBB applications Augmented Reality</w:t>
            </w:r>
          </w:p>
        </w:tc>
      </w:tr>
      <w:tr w:rsidR="00BC24B5" w:rsidRPr="00873B6C"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BC24B5" w:rsidRPr="00873B6C" w:rsidRDefault="00BC24B5" w:rsidP="00BC24B5">
            <w:pPr>
              <w:pStyle w:val="TAC"/>
            </w:pPr>
            <w:r w:rsidRPr="00873B6C">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BC24B5" w:rsidRPr="00873B6C" w:rsidRDefault="00BC24B5" w:rsidP="00BC24B5">
            <w:pPr>
              <w:pStyle w:val="TAC"/>
            </w:pPr>
            <w:r w:rsidRPr="00873B6C">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BC24B5" w:rsidRPr="00873B6C" w:rsidRDefault="00BC24B5" w:rsidP="00BC24B5">
            <w:pPr>
              <w:pStyle w:val="TAC"/>
            </w:pPr>
            <w:r w:rsidRPr="00873B6C">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BC24B5" w:rsidRPr="00873B6C" w:rsidRDefault="00BC24B5" w:rsidP="00BC24B5">
            <w:pPr>
              <w:pStyle w:val="TAC"/>
            </w:pPr>
            <w:r w:rsidRPr="00873B6C">
              <w:t>10 ms</w:t>
            </w:r>
            <w:r w:rsidRPr="00873B6C">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BC24B5" w:rsidRPr="00873B6C" w:rsidRDefault="00BC24B5" w:rsidP="00BC24B5">
            <w:pPr>
              <w:pStyle w:val="TAL"/>
            </w:pPr>
            <w:r w:rsidRPr="00873B6C">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BC24B5" w:rsidRPr="00873B6C" w:rsidRDefault="00BC24B5" w:rsidP="00BC24B5">
            <w:pPr>
              <w:pStyle w:val="TAL"/>
            </w:pPr>
            <w:r w:rsidRPr="00873B6C">
              <w:t>Discrete Automation (see TS 22.261 [2])</w:t>
            </w:r>
          </w:p>
        </w:tc>
      </w:tr>
      <w:tr w:rsidR="00BC24B5" w:rsidRPr="00873B6C"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BC24B5" w:rsidRPr="00873B6C" w:rsidRDefault="00BC24B5" w:rsidP="00BC24B5">
            <w:pPr>
              <w:pStyle w:val="TAC"/>
            </w:pPr>
            <w:r w:rsidRPr="00873B6C">
              <w:t>83</w:t>
            </w:r>
          </w:p>
        </w:tc>
        <w:tc>
          <w:tcPr>
            <w:tcW w:w="1056" w:type="dxa"/>
            <w:tcBorders>
              <w:top w:val="nil"/>
              <w:left w:val="single" w:sz="4" w:space="0" w:color="auto"/>
              <w:bottom w:val="nil"/>
              <w:right w:val="single" w:sz="4" w:space="0" w:color="auto"/>
            </w:tcBorders>
            <w:shd w:val="clear" w:color="auto" w:fill="auto"/>
          </w:tcPr>
          <w:p w14:paraId="630CD0AC"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BC24B5" w:rsidRPr="00873B6C" w:rsidRDefault="00BC24B5" w:rsidP="00BC24B5">
            <w:pPr>
              <w:pStyle w:val="TAC"/>
            </w:pPr>
            <w:r w:rsidRPr="00873B6C">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BC24B5" w:rsidRPr="00873B6C" w:rsidRDefault="00BC24B5" w:rsidP="00BC24B5">
            <w:pPr>
              <w:pStyle w:val="TAC"/>
            </w:pPr>
            <w:r w:rsidRPr="00873B6C">
              <w:t>10 ms</w:t>
            </w:r>
            <w:r w:rsidRPr="00873B6C">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BC24B5" w:rsidRPr="00873B6C" w:rsidRDefault="00BC24B5" w:rsidP="00BC24B5">
            <w:pPr>
              <w:pStyle w:val="TAL"/>
            </w:pPr>
            <w:r w:rsidRPr="00873B6C">
              <w:t>1354 bytes</w:t>
            </w:r>
          </w:p>
          <w:p w14:paraId="51DCC63E" w14:textId="77777777" w:rsidR="00BC24B5" w:rsidRPr="00873B6C" w:rsidRDefault="00BC24B5" w:rsidP="00BC24B5">
            <w:pPr>
              <w:pStyle w:val="TAL"/>
            </w:pPr>
            <w:r w:rsidRPr="00873B6C">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BC24B5" w:rsidRPr="00873B6C" w:rsidRDefault="00BC24B5" w:rsidP="00BC24B5">
            <w:pPr>
              <w:pStyle w:val="TAL"/>
            </w:pPr>
            <w:r w:rsidRPr="00873B6C">
              <w:t>Discrete Automation (see TS 22.261 [2]);</w:t>
            </w:r>
          </w:p>
          <w:p w14:paraId="3D6A7138" w14:textId="77777777" w:rsidR="00BC24B5" w:rsidRPr="00873B6C" w:rsidRDefault="00BC24B5" w:rsidP="00BC24B5">
            <w:pPr>
              <w:pStyle w:val="TAL"/>
            </w:pPr>
            <w:r w:rsidRPr="00873B6C">
              <w:t>V2X messages (UE - RSU Platooning, Advanced Driving: Cooperative Lane Change with low LoA. See TS 22.186 [111], TS 23.287 [121])</w:t>
            </w:r>
          </w:p>
        </w:tc>
      </w:tr>
      <w:tr w:rsidR="00BC24B5" w:rsidRPr="00873B6C"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BC24B5" w:rsidRPr="00873B6C" w:rsidRDefault="00BC24B5" w:rsidP="00BC24B5">
            <w:pPr>
              <w:pStyle w:val="TAC"/>
            </w:pPr>
            <w:r w:rsidRPr="00873B6C">
              <w:lastRenderedPageBreak/>
              <w:t>84</w:t>
            </w:r>
          </w:p>
        </w:tc>
        <w:tc>
          <w:tcPr>
            <w:tcW w:w="1056" w:type="dxa"/>
            <w:tcBorders>
              <w:top w:val="nil"/>
              <w:left w:val="single" w:sz="4" w:space="0" w:color="auto"/>
              <w:bottom w:val="nil"/>
              <w:right w:val="single" w:sz="4" w:space="0" w:color="auto"/>
            </w:tcBorders>
            <w:shd w:val="clear" w:color="auto" w:fill="auto"/>
          </w:tcPr>
          <w:p w14:paraId="38E1045C"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BC24B5" w:rsidRPr="00873B6C" w:rsidRDefault="00BC24B5" w:rsidP="00BC24B5">
            <w:pPr>
              <w:pStyle w:val="TAC"/>
            </w:pPr>
            <w:r w:rsidRPr="00873B6C">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BC24B5" w:rsidRPr="00873B6C" w:rsidRDefault="00BC24B5" w:rsidP="00BC24B5">
            <w:pPr>
              <w:pStyle w:val="TAC"/>
            </w:pPr>
            <w:r w:rsidRPr="00873B6C">
              <w:t>30 ms</w:t>
            </w:r>
          </w:p>
          <w:p w14:paraId="25CE3166" w14:textId="77777777" w:rsidR="00BC24B5" w:rsidRPr="00873B6C" w:rsidRDefault="00BC24B5" w:rsidP="00BC24B5">
            <w:pPr>
              <w:pStyle w:val="TAC"/>
            </w:pPr>
            <w:r w:rsidRPr="00873B6C">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BC24B5" w:rsidRPr="00873B6C" w:rsidRDefault="00BC24B5" w:rsidP="00BC24B5">
            <w:pPr>
              <w:pStyle w:val="TAC"/>
            </w:pPr>
            <w:r w:rsidRPr="00873B6C">
              <w:t>10</w:t>
            </w:r>
            <w:r w:rsidRPr="00873B6C">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BC24B5" w:rsidRPr="00873B6C" w:rsidRDefault="00BC24B5" w:rsidP="00BC24B5">
            <w:pPr>
              <w:pStyle w:val="TAL"/>
            </w:pPr>
            <w:r w:rsidRPr="00873B6C">
              <w:t>1354 bytes</w:t>
            </w:r>
          </w:p>
          <w:p w14:paraId="21233562" w14:textId="77777777" w:rsidR="00BC24B5" w:rsidRPr="00873B6C" w:rsidRDefault="00BC24B5" w:rsidP="00BC24B5">
            <w:pPr>
              <w:pStyle w:val="TAL"/>
            </w:pPr>
            <w:r w:rsidRPr="00873B6C">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BC24B5" w:rsidRPr="00873B6C" w:rsidRDefault="00BC24B5" w:rsidP="00BC24B5">
            <w:pPr>
              <w:pStyle w:val="TAL"/>
            </w:pPr>
            <w:r w:rsidRPr="00873B6C">
              <w:t>Intelligent transport systems (see TS 22.261 [2])</w:t>
            </w:r>
          </w:p>
        </w:tc>
      </w:tr>
      <w:tr w:rsidR="00BC24B5" w:rsidRPr="00873B6C"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BC24B5" w:rsidRPr="00873B6C" w:rsidRDefault="00BC24B5" w:rsidP="00BC24B5">
            <w:pPr>
              <w:pStyle w:val="TAC"/>
            </w:pPr>
            <w:r w:rsidRPr="00873B6C">
              <w:t>85</w:t>
            </w:r>
          </w:p>
        </w:tc>
        <w:tc>
          <w:tcPr>
            <w:tcW w:w="1056" w:type="dxa"/>
            <w:tcBorders>
              <w:top w:val="nil"/>
              <w:left w:val="single" w:sz="4" w:space="0" w:color="auto"/>
              <w:bottom w:val="nil"/>
              <w:right w:val="single" w:sz="4" w:space="0" w:color="auto"/>
            </w:tcBorders>
            <w:shd w:val="clear" w:color="auto" w:fill="auto"/>
          </w:tcPr>
          <w:p w14:paraId="1BD20E77"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BC24B5" w:rsidRPr="00873B6C" w:rsidRDefault="00BC24B5" w:rsidP="00BC24B5">
            <w:pPr>
              <w:pStyle w:val="TAC"/>
            </w:pPr>
            <w:r w:rsidRPr="00873B6C">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BC24B5" w:rsidRPr="00873B6C" w:rsidRDefault="00BC24B5" w:rsidP="00BC24B5">
            <w:pPr>
              <w:pStyle w:val="TAC"/>
            </w:pPr>
            <w:r w:rsidRPr="00873B6C">
              <w:t>5 ms</w:t>
            </w:r>
          </w:p>
          <w:p w14:paraId="75A97D33" w14:textId="77777777" w:rsidR="00BC24B5" w:rsidRPr="00873B6C" w:rsidRDefault="00BC24B5" w:rsidP="00BC24B5">
            <w:pPr>
              <w:pStyle w:val="TAC"/>
            </w:pPr>
            <w:r w:rsidRPr="00873B6C">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BC24B5" w:rsidRPr="00873B6C" w:rsidRDefault="00BC24B5" w:rsidP="00BC24B5">
            <w:pPr>
              <w:pStyle w:val="TAC"/>
            </w:pPr>
            <w:r w:rsidRPr="00873B6C">
              <w:t>10</w:t>
            </w:r>
            <w:r w:rsidRPr="00873B6C">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BC24B5" w:rsidRPr="00873B6C" w:rsidRDefault="00BC24B5" w:rsidP="00BC24B5">
            <w:pPr>
              <w:pStyle w:val="TAL"/>
            </w:pPr>
            <w:r w:rsidRPr="00873B6C">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BC24B5" w:rsidRPr="00873B6C" w:rsidRDefault="00BC24B5" w:rsidP="00BC24B5">
            <w:pPr>
              <w:pStyle w:val="TAL"/>
            </w:pPr>
            <w:r w:rsidRPr="00873B6C">
              <w:t>Electricity Distribution- high voltage</w:t>
            </w:r>
            <w:r w:rsidRPr="00873B6C" w:rsidDel="00975135">
              <w:t xml:space="preserve"> </w:t>
            </w:r>
            <w:r w:rsidRPr="00873B6C">
              <w:t>(see TS 22.261 [2]).</w:t>
            </w:r>
          </w:p>
          <w:p w14:paraId="4B9984AB" w14:textId="77777777" w:rsidR="00BC24B5" w:rsidRPr="00873B6C" w:rsidRDefault="00BC24B5" w:rsidP="00BC24B5">
            <w:pPr>
              <w:pStyle w:val="TAL"/>
            </w:pPr>
            <w:r w:rsidRPr="00873B6C">
              <w:t>V2X messages (Remote Driving. See TS 22.186 [111], NOTE 16, see TS 23.287 [121])</w:t>
            </w:r>
            <w:r w:rsidR="00C86B51" w:rsidRPr="00873B6C">
              <w:t>.</w:t>
            </w:r>
          </w:p>
          <w:p w14:paraId="200C9109" w14:textId="17A449B8" w:rsidR="00C86B51" w:rsidRPr="00873B6C" w:rsidRDefault="00C86B51" w:rsidP="00BC24B5">
            <w:pPr>
              <w:pStyle w:val="TAL"/>
            </w:pPr>
            <w:r w:rsidRPr="00873B6C">
              <w:t>Split AI/ML inference - DL Split AI/ML image recognition, (see TS 22.261 [2])</w:t>
            </w:r>
          </w:p>
        </w:tc>
      </w:tr>
      <w:tr w:rsidR="00BC24B5" w:rsidRPr="00873B6C"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BC24B5" w:rsidRPr="00873B6C" w:rsidRDefault="00BC24B5" w:rsidP="00BC24B5">
            <w:pPr>
              <w:pStyle w:val="TAC"/>
            </w:pPr>
            <w:r w:rsidRPr="00873B6C">
              <w:t>86</w:t>
            </w:r>
          </w:p>
        </w:tc>
        <w:tc>
          <w:tcPr>
            <w:tcW w:w="1056" w:type="dxa"/>
            <w:tcBorders>
              <w:top w:val="nil"/>
              <w:left w:val="single" w:sz="4" w:space="0" w:color="auto"/>
              <w:bottom w:val="nil"/>
              <w:right w:val="single" w:sz="4" w:space="0" w:color="auto"/>
            </w:tcBorders>
            <w:shd w:val="clear" w:color="auto" w:fill="auto"/>
          </w:tcPr>
          <w:p w14:paraId="0BBA0643"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BC24B5" w:rsidRPr="00873B6C" w:rsidRDefault="00BC24B5" w:rsidP="00BC24B5">
            <w:pPr>
              <w:pStyle w:val="TAC"/>
            </w:pPr>
            <w:r w:rsidRPr="00873B6C">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BC24B5" w:rsidRPr="00873B6C" w:rsidRDefault="00BC24B5" w:rsidP="00BC24B5">
            <w:pPr>
              <w:pStyle w:val="TAC"/>
            </w:pPr>
            <w:r w:rsidRPr="00873B6C">
              <w:t>5 ms</w:t>
            </w:r>
          </w:p>
          <w:p w14:paraId="6264C931" w14:textId="77777777" w:rsidR="00BC24B5" w:rsidRPr="00873B6C" w:rsidRDefault="00BC24B5" w:rsidP="00BC24B5">
            <w:pPr>
              <w:pStyle w:val="TAC"/>
            </w:pPr>
            <w:r w:rsidRPr="00873B6C">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BC24B5" w:rsidRPr="00873B6C" w:rsidRDefault="00BC24B5" w:rsidP="00BC24B5">
            <w:pPr>
              <w:pStyle w:val="TAL"/>
            </w:pPr>
            <w:r w:rsidRPr="00873B6C">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BC24B5" w:rsidRPr="00873B6C" w:rsidRDefault="00BC24B5" w:rsidP="00BC24B5">
            <w:pPr>
              <w:pStyle w:val="TAL"/>
            </w:pPr>
            <w:r w:rsidRPr="00873B6C">
              <w:t>V2X messages (Advanced Driving: Collision Avoidance, Platooning with high LoA. See TS 22.186 [111], TS 23.287 [121])</w:t>
            </w:r>
          </w:p>
        </w:tc>
      </w:tr>
      <w:tr w:rsidR="00BC24B5" w:rsidRPr="00873B6C"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C24B5" w:rsidRPr="00873B6C" w:rsidRDefault="00BC24B5" w:rsidP="00BC24B5">
            <w:pPr>
              <w:pStyle w:val="TAC"/>
            </w:pPr>
            <w:r w:rsidRPr="00873B6C">
              <w:t>87</w:t>
            </w:r>
          </w:p>
        </w:tc>
        <w:tc>
          <w:tcPr>
            <w:tcW w:w="1056" w:type="dxa"/>
            <w:tcBorders>
              <w:top w:val="nil"/>
              <w:left w:val="single" w:sz="4" w:space="0" w:color="auto"/>
              <w:bottom w:val="nil"/>
              <w:right w:val="single" w:sz="4" w:space="0" w:color="auto"/>
            </w:tcBorders>
            <w:shd w:val="clear" w:color="auto" w:fill="auto"/>
          </w:tcPr>
          <w:p w14:paraId="0C5A180A"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BC24B5" w:rsidRPr="00873B6C" w:rsidRDefault="00BC24B5" w:rsidP="00BC24B5">
            <w:pPr>
              <w:pStyle w:val="TAC"/>
            </w:pPr>
            <w:r w:rsidRPr="00873B6C">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BC24B5" w:rsidRPr="00873B6C" w:rsidRDefault="00BC24B5" w:rsidP="00BC24B5">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BC24B5" w:rsidRPr="00873B6C" w:rsidRDefault="00BC24B5" w:rsidP="00BC24B5">
            <w:pPr>
              <w:pStyle w:val="TAL"/>
            </w:pPr>
            <w:r w:rsidRPr="00873B6C">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C24B5" w:rsidRPr="00873B6C" w:rsidRDefault="00BC24B5" w:rsidP="00BC24B5">
            <w:pPr>
              <w:pStyle w:val="TAL"/>
            </w:pPr>
            <w:r w:rsidRPr="00873B6C">
              <w:t>Interactive Service - Motion tracking data, (see TS 22.261 [2])</w:t>
            </w:r>
          </w:p>
        </w:tc>
      </w:tr>
      <w:tr w:rsidR="00BC24B5" w:rsidRPr="00873B6C"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C24B5" w:rsidRPr="00873B6C" w:rsidRDefault="00BC24B5" w:rsidP="00BC24B5">
            <w:pPr>
              <w:pStyle w:val="TAC"/>
            </w:pPr>
            <w:r w:rsidRPr="00873B6C">
              <w:t>88</w:t>
            </w:r>
          </w:p>
        </w:tc>
        <w:tc>
          <w:tcPr>
            <w:tcW w:w="1056" w:type="dxa"/>
            <w:tcBorders>
              <w:top w:val="nil"/>
              <w:left w:val="single" w:sz="4" w:space="0" w:color="auto"/>
              <w:bottom w:val="nil"/>
              <w:right w:val="single" w:sz="4" w:space="0" w:color="auto"/>
            </w:tcBorders>
            <w:shd w:val="clear" w:color="auto" w:fill="auto"/>
          </w:tcPr>
          <w:p w14:paraId="22E36F1D"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BC24B5" w:rsidRPr="00873B6C" w:rsidRDefault="00BC24B5" w:rsidP="00BC24B5">
            <w:pPr>
              <w:pStyle w:val="TAC"/>
            </w:pPr>
            <w:r w:rsidRPr="00873B6C">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BC24B5" w:rsidRPr="00873B6C" w:rsidRDefault="00BC24B5" w:rsidP="00BC24B5">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BC24B5" w:rsidRPr="00873B6C" w:rsidRDefault="00BC24B5" w:rsidP="00BC24B5">
            <w:pPr>
              <w:pStyle w:val="TAL"/>
            </w:pPr>
            <w:r w:rsidRPr="00873B6C">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3D643F6D" w:rsidR="00BC24B5" w:rsidRPr="00873B6C" w:rsidRDefault="00BC24B5" w:rsidP="00BC24B5">
            <w:pPr>
              <w:pStyle w:val="TAL"/>
            </w:pPr>
            <w:r w:rsidRPr="00873B6C">
              <w:t>Interactive Service - Motion tracking data, (see TS 22.261 [2])</w:t>
            </w:r>
            <w:r w:rsidR="00C86B51" w:rsidRPr="00873B6C">
              <w:t>, split AI/ML inference - UL Split AI/ML image recognition, (see TS 22.261 [2])</w:t>
            </w:r>
          </w:p>
        </w:tc>
      </w:tr>
      <w:tr w:rsidR="00BC24B5" w:rsidRPr="00873B6C"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C24B5" w:rsidRPr="00873B6C" w:rsidRDefault="00BC24B5" w:rsidP="00BC24B5">
            <w:pPr>
              <w:pStyle w:val="TAC"/>
            </w:pPr>
            <w:r w:rsidRPr="00873B6C">
              <w:t>89</w:t>
            </w:r>
          </w:p>
        </w:tc>
        <w:tc>
          <w:tcPr>
            <w:tcW w:w="1056" w:type="dxa"/>
            <w:tcBorders>
              <w:top w:val="nil"/>
              <w:left w:val="single" w:sz="4" w:space="0" w:color="auto"/>
              <w:bottom w:val="nil"/>
              <w:right w:val="single" w:sz="4" w:space="0" w:color="auto"/>
            </w:tcBorders>
            <w:shd w:val="clear" w:color="auto" w:fill="auto"/>
          </w:tcPr>
          <w:p w14:paraId="3FAF7130"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BC24B5" w:rsidRPr="00873B6C" w:rsidRDefault="00BC24B5" w:rsidP="00BC24B5">
            <w:pPr>
              <w:pStyle w:val="TAC"/>
            </w:pPr>
            <w:r w:rsidRPr="00873B6C">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BC24B5" w:rsidRPr="00873B6C" w:rsidRDefault="00BC24B5" w:rsidP="00BC24B5">
            <w:pPr>
              <w:pStyle w:val="TAL"/>
            </w:pPr>
            <w:r w:rsidRPr="00873B6C">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C24B5" w:rsidRPr="00873B6C" w:rsidRDefault="00BC24B5" w:rsidP="00BC24B5">
            <w:pPr>
              <w:pStyle w:val="TAL"/>
            </w:pPr>
            <w:r w:rsidRPr="00873B6C">
              <w:t>Visual content for cloud/edge/split rendering (see TS 22.261 [2])</w:t>
            </w:r>
          </w:p>
        </w:tc>
      </w:tr>
      <w:tr w:rsidR="00BC24B5" w:rsidRPr="00873B6C"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C24B5" w:rsidRPr="00873B6C" w:rsidRDefault="00BC24B5" w:rsidP="00BC24B5">
            <w:pPr>
              <w:pStyle w:val="TAC"/>
            </w:pPr>
            <w:r w:rsidRPr="00873B6C">
              <w:t>90</w:t>
            </w:r>
          </w:p>
        </w:tc>
        <w:tc>
          <w:tcPr>
            <w:tcW w:w="1056" w:type="dxa"/>
            <w:tcBorders>
              <w:top w:val="nil"/>
              <w:left w:val="single" w:sz="4" w:space="0" w:color="auto"/>
              <w:right w:val="single" w:sz="4" w:space="0" w:color="auto"/>
            </w:tcBorders>
            <w:shd w:val="clear" w:color="auto" w:fill="auto"/>
          </w:tcPr>
          <w:p w14:paraId="405AF6A4"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BC24B5" w:rsidRPr="00873B6C" w:rsidRDefault="00BC24B5" w:rsidP="00BC24B5">
            <w:pPr>
              <w:pStyle w:val="TAC"/>
            </w:pPr>
            <w:r w:rsidRPr="00873B6C">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BC24B5" w:rsidRPr="00873B6C" w:rsidRDefault="00BC24B5" w:rsidP="00BC24B5">
            <w:pPr>
              <w:pStyle w:val="TAL"/>
            </w:pPr>
            <w:r w:rsidRPr="00873B6C">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C24B5" w:rsidRPr="00873B6C" w:rsidRDefault="00BC24B5" w:rsidP="00BC24B5">
            <w:pPr>
              <w:pStyle w:val="TAL"/>
            </w:pPr>
            <w:r w:rsidRPr="00873B6C">
              <w:t>Visual content for cloud/edge/split rendering (see TS 22.261 [2])</w:t>
            </w:r>
          </w:p>
        </w:tc>
      </w:tr>
      <w:tr w:rsidR="00BC24B5" w:rsidRPr="00873B6C"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C24B5" w:rsidRPr="00873B6C" w:rsidRDefault="00BC24B5" w:rsidP="00BC24B5">
            <w:pPr>
              <w:pStyle w:val="TAN"/>
            </w:pPr>
            <w:r w:rsidRPr="00873B6C">
              <w:lastRenderedPageBreak/>
              <w:t>NOTE 1:</w:t>
            </w:r>
            <w:r w:rsidRPr="00873B6C">
              <w:tab/>
              <w:t>A packet which is delayed more than PDB is not counted as lost, thus not included in the PER.</w:t>
            </w:r>
          </w:p>
          <w:p w14:paraId="667B2664" w14:textId="77777777" w:rsidR="00BC24B5" w:rsidRPr="00873B6C" w:rsidRDefault="00BC24B5" w:rsidP="00BC24B5">
            <w:pPr>
              <w:pStyle w:val="TAN"/>
            </w:pPr>
            <w:r w:rsidRPr="00873B6C">
              <w:t>NOTE 2:</w:t>
            </w:r>
            <w:r w:rsidRPr="00873B6C">
              <w:tab/>
              <w:t>It is required that default MDBV is supported by a PLMN supporting the related 5QIs.</w:t>
            </w:r>
          </w:p>
          <w:p w14:paraId="1D7CB7F3" w14:textId="70F423C4" w:rsidR="00BC24B5" w:rsidRPr="00873B6C" w:rsidRDefault="00BC24B5" w:rsidP="00BC24B5">
            <w:pPr>
              <w:pStyle w:val="TAN"/>
            </w:pPr>
            <w:r w:rsidRPr="00873B6C">
              <w:t>NOTE 3:</w:t>
            </w:r>
            <w:r w:rsidRPr="00873B6C">
              <w:tab/>
              <w:t>The Maximum Transfer Unit (MTU) size considerations in clause 9.3 and Annex</w:t>
            </w:r>
            <w:r w:rsidR="00AF2D89" w:rsidRPr="00873B6C">
              <w:t> J</w:t>
            </w:r>
            <w:r w:rsidRPr="00873B6C">
              <w:t xml:space="preserve"> are also applicable. IP fragmentation may have impacts to CN PDB</w:t>
            </w:r>
            <w:r w:rsidR="00472CD7" w:rsidRPr="00873B6C">
              <w:t xml:space="preserve"> and</w:t>
            </w:r>
            <w:r w:rsidRPr="00873B6C">
              <w:t xml:space="preserve"> details are provided in clause 5.6.10.</w:t>
            </w:r>
          </w:p>
          <w:p w14:paraId="54A9B526" w14:textId="77777777" w:rsidR="00BC24B5" w:rsidRPr="00873B6C" w:rsidRDefault="00BC24B5" w:rsidP="00BC24B5">
            <w:pPr>
              <w:pStyle w:val="TAN"/>
            </w:pPr>
            <w:r w:rsidRPr="00873B6C">
              <w:t>NOTE 4:</w:t>
            </w:r>
            <w:r w:rsidRPr="00873B6C">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BC24B5" w:rsidRPr="00873B6C" w:rsidRDefault="00BC24B5" w:rsidP="00BC24B5">
            <w:pPr>
              <w:pStyle w:val="TAN"/>
            </w:pPr>
            <w:r w:rsidRPr="00873B6C">
              <w:t>NOTE 5:</w:t>
            </w:r>
            <w:r w:rsidRPr="00873B6C">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C24B5" w:rsidRPr="00873B6C" w:rsidRDefault="00BC24B5" w:rsidP="00BC24B5">
            <w:pPr>
              <w:pStyle w:val="TAN"/>
            </w:pPr>
            <w:r w:rsidRPr="00873B6C">
              <w:t>NOTE 6:</w:t>
            </w:r>
            <w:r w:rsidRPr="00873B6C">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C24B5" w:rsidRPr="00873B6C" w:rsidRDefault="00BC24B5" w:rsidP="00BC24B5">
            <w:pPr>
              <w:pStyle w:val="TAN"/>
            </w:pPr>
            <w:r w:rsidRPr="00873B6C">
              <w:t>NOTE 7:</w:t>
            </w:r>
            <w:r w:rsidRPr="00873B6C">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14692379" w:rsidR="00BC24B5" w:rsidRPr="00873B6C" w:rsidRDefault="00BC24B5" w:rsidP="00BC24B5">
            <w:pPr>
              <w:pStyle w:val="TAN"/>
            </w:pPr>
            <w:r w:rsidRPr="00873B6C">
              <w:t>NOTE 8:</w:t>
            </w:r>
            <w:r w:rsidRPr="00873B6C">
              <w:tab/>
              <w:t>In RRC_IDLE</w:t>
            </w:r>
            <w:r w:rsidR="00357584" w:rsidRPr="00873B6C">
              <w:t>, RRC_INACTIVE</w:t>
            </w:r>
            <w:r w:rsidRPr="00873B6C">
              <w:t xml:space="preserve"> and RRC_CONNECTED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BC24B5" w:rsidRPr="00873B6C" w:rsidRDefault="00BC24B5" w:rsidP="00BC24B5">
            <w:pPr>
              <w:pStyle w:val="TAN"/>
            </w:pPr>
            <w:r w:rsidRPr="00873B6C">
              <w:t>NOTE 9:</w:t>
            </w:r>
            <w:r w:rsidRPr="00873B6C">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2082A875" w:rsidR="00BC24B5" w:rsidRPr="00873B6C" w:rsidRDefault="00BC24B5" w:rsidP="00BC24B5">
            <w:pPr>
              <w:pStyle w:val="TAN"/>
            </w:pPr>
            <w:r w:rsidRPr="00873B6C">
              <w:t>NOTE 10:</w:t>
            </w:r>
            <w:r w:rsidRPr="00873B6C">
              <w:tab/>
              <w:t>In RRC_IDLE</w:t>
            </w:r>
            <w:r w:rsidR="00357584" w:rsidRPr="00873B6C">
              <w:t>, RRC_INACTIVE</w:t>
            </w:r>
            <w:r w:rsidRPr="00873B6C">
              <w:t xml:space="preserve"> and RRC_CONNECTED mode, the PDB requirement for these 5QIs can be relaxed for the first packet(s) in a downlink data or signalling burst in order to permit battery saving (DRX) techniques.</w:t>
            </w:r>
          </w:p>
          <w:p w14:paraId="0BB24619" w14:textId="78A7164E" w:rsidR="00BC24B5" w:rsidRPr="00873B6C" w:rsidRDefault="00BC24B5" w:rsidP="00BC24B5">
            <w:pPr>
              <w:pStyle w:val="TAN"/>
            </w:pPr>
            <w:r w:rsidRPr="00873B6C">
              <w:t>NOTE 11:</w:t>
            </w:r>
            <w:r w:rsidRPr="00873B6C">
              <w:tab/>
              <w:t>In RRC_IDLE</w:t>
            </w:r>
            <w:r w:rsidR="00FE24CE" w:rsidRPr="00873B6C">
              <w:t xml:space="preserve"> and RRC_INACTIVE</w:t>
            </w:r>
            <w:r w:rsidRPr="00873B6C">
              <w:t xml:space="preserve"> mode, the PDB requirement for these 5QIs can be relaxed for the first packet(s) in a downlink data or signalling burst in order to permit battery saving (DRX) techniques.</w:t>
            </w:r>
          </w:p>
          <w:p w14:paraId="5137E32E" w14:textId="77777777" w:rsidR="00BC24B5" w:rsidRPr="00873B6C" w:rsidRDefault="00BC24B5" w:rsidP="00BC24B5">
            <w:pPr>
              <w:pStyle w:val="TAN"/>
            </w:pPr>
            <w:r w:rsidRPr="00873B6C">
              <w:t>NOTE 12:</w:t>
            </w:r>
            <w:r w:rsidRPr="00873B6C">
              <w:tab/>
              <w:t>This 5QI value can only be assigned upon request from the network side. The UE and any application running on the UE is not allowed to request this 5QI value.</w:t>
            </w:r>
          </w:p>
          <w:p w14:paraId="68133B18" w14:textId="77777777" w:rsidR="00BC24B5" w:rsidRPr="00873B6C" w:rsidRDefault="00BC24B5" w:rsidP="00BC24B5">
            <w:pPr>
              <w:pStyle w:val="TAN"/>
            </w:pPr>
            <w:r w:rsidRPr="00873B6C">
              <w:t>NOTE 13:</w:t>
            </w:r>
            <w:r w:rsidRPr="00873B6C">
              <w:tab/>
              <w:t>A static value for the CN PDB of 20 ms for the delay between a UPF terminating N6 and a 5G-AN should be subtracted from a given PDB to derive the packet delay budget that applies to the radio interface.</w:t>
            </w:r>
          </w:p>
          <w:p w14:paraId="44CEEA53" w14:textId="578E588D" w:rsidR="00BC24B5" w:rsidRPr="00873B6C" w:rsidRDefault="00BC24B5" w:rsidP="00BC24B5">
            <w:pPr>
              <w:pStyle w:val="TAN"/>
            </w:pPr>
            <w:r w:rsidRPr="00873B6C">
              <w:t>NOTE 14:</w:t>
            </w:r>
            <w:r w:rsidRPr="00873B6C">
              <w:tab/>
              <w:t>This 5QI is only used for transmission of V2X messages as defined in TS 23.287 [121]</w:t>
            </w:r>
            <w:r w:rsidR="005656CA" w:rsidRPr="00873B6C">
              <w:t xml:space="preserve"> and transmission of A2X messages as defined in TS 23.256 [136]</w:t>
            </w:r>
            <w:r w:rsidRPr="00873B6C">
              <w:t>.</w:t>
            </w:r>
          </w:p>
          <w:p w14:paraId="51004D7D" w14:textId="77777777" w:rsidR="00BC24B5" w:rsidRPr="00873B6C" w:rsidRDefault="00BC24B5" w:rsidP="00BC24B5">
            <w:pPr>
              <w:pStyle w:val="TAN"/>
            </w:pPr>
            <w:r w:rsidRPr="00873B6C">
              <w:t>NOTE 15:</w:t>
            </w:r>
            <w:r w:rsidRPr="00873B6C">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C24B5" w:rsidRPr="00873B6C" w:rsidRDefault="00BC24B5" w:rsidP="00BC24B5">
            <w:pPr>
              <w:pStyle w:val="TAN"/>
            </w:pPr>
            <w:r w:rsidRPr="00873B6C">
              <w:t>NOTE 16:</w:t>
            </w:r>
            <w:r w:rsidRPr="00873B6C">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6AB60439" w:rsidR="00BC24B5" w:rsidRPr="00873B6C" w:rsidRDefault="00BC24B5" w:rsidP="00BC24B5">
            <w:pPr>
              <w:pStyle w:val="TAN"/>
            </w:pPr>
            <w:r w:rsidRPr="00873B6C">
              <w:t>NOTE 17:</w:t>
            </w:r>
            <w:r w:rsidRPr="00873B6C">
              <w:tab/>
              <w:t>The worst case one way propagation delay for GEO satellite is expected to be ~270ms,~21 ms for LEO at 1200km</w:t>
            </w:r>
            <w:r w:rsidR="00472CD7" w:rsidRPr="00873B6C">
              <w:t xml:space="preserve"> and</w:t>
            </w:r>
            <w:r w:rsidRPr="00873B6C">
              <w:t xml:space="preserve"> 13 ms for LEO at 600km. The UL scheduling delay that needs to be added is also typically two way propagation delay e.g. ~540ms for GEO, ~42ms for LEO at 1200km</w:t>
            </w:r>
            <w:r w:rsidR="00472CD7" w:rsidRPr="00873B6C">
              <w:t xml:space="preserve"> and</w:t>
            </w:r>
            <w:r w:rsidRPr="00873B6C">
              <w:t xml:space="preserve">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873B6C" w:rsidRDefault="00D40151" w:rsidP="00D40151">
      <w:pPr>
        <w:pStyle w:val="FP"/>
      </w:pPr>
    </w:p>
    <w:p w14:paraId="33765E72" w14:textId="4D57AE03" w:rsidR="00D40151" w:rsidRPr="00873B6C" w:rsidRDefault="00D40151" w:rsidP="00D40151">
      <w:pPr>
        <w:pStyle w:val="NO"/>
      </w:pPr>
      <w:r w:rsidRPr="00873B6C">
        <w:t>NOTE:</w:t>
      </w:r>
      <w:r w:rsidRPr="00873B6C">
        <w:tab/>
        <w:t xml:space="preserve">It is preferred that a value less than 64 is allocated for any new standardised 5QI of </w:t>
      </w:r>
      <w:r w:rsidR="00704A9E" w:rsidRPr="00873B6C">
        <w:t>N</w:t>
      </w:r>
      <w:r w:rsidRPr="00873B6C">
        <w:t xml:space="preserve">on-GBR </w:t>
      </w:r>
      <w:r w:rsidR="00704A9E" w:rsidRPr="00873B6C">
        <w:t>r</w:t>
      </w:r>
      <w:r w:rsidRPr="00873B6C">
        <w:t xml:space="preserve">esource </w:t>
      </w:r>
      <w:r w:rsidR="00704A9E" w:rsidRPr="00873B6C">
        <w:t>t</w:t>
      </w:r>
      <w:r w:rsidRPr="00873B6C">
        <w:t>ype. This is to allow for option 1 to be used as described in clause 5.7.1.3 (as the QFI is limited to less than 64).</w:t>
      </w:r>
    </w:p>
    <w:p w14:paraId="5F12115B" w14:textId="77777777" w:rsidR="00D40151" w:rsidRPr="00873B6C" w:rsidRDefault="00D40151" w:rsidP="00D40151">
      <w:pPr>
        <w:pStyle w:val="Heading3"/>
      </w:pPr>
      <w:bookmarkStart w:id="1836" w:name="_CR5_7_5"/>
      <w:bookmarkStart w:id="1837" w:name="_Toc20149821"/>
      <w:bookmarkStart w:id="1838" w:name="_Toc27846615"/>
      <w:bookmarkStart w:id="1839" w:name="_Toc36187743"/>
      <w:bookmarkStart w:id="1840" w:name="_Toc45183647"/>
      <w:bookmarkStart w:id="1841" w:name="_Toc47342489"/>
      <w:bookmarkStart w:id="1842" w:name="_Toc51769189"/>
      <w:bookmarkStart w:id="1843" w:name="_Toc201157147"/>
      <w:bookmarkEnd w:id="1836"/>
      <w:r w:rsidRPr="00873B6C">
        <w:t>5.7.5</w:t>
      </w:r>
      <w:r w:rsidRPr="00873B6C">
        <w:tab/>
        <w:t>Reflective QoS</w:t>
      </w:r>
      <w:bookmarkEnd w:id="1837"/>
      <w:bookmarkEnd w:id="1838"/>
      <w:bookmarkEnd w:id="1839"/>
      <w:bookmarkEnd w:id="1840"/>
      <w:bookmarkEnd w:id="1841"/>
      <w:bookmarkEnd w:id="1842"/>
      <w:bookmarkEnd w:id="1843"/>
    </w:p>
    <w:p w14:paraId="5330B702" w14:textId="77777777" w:rsidR="00D40151" w:rsidRPr="00873B6C" w:rsidRDefault="00D40151" w:rsidP="00D40151">
      <w:pPr>
        <w:pStyle w:val="Heading4"/>
      </w:pPr>
      <w:bookmarkStart w:id="1844" w:name="_CR5_7_5_1"/>
      <w:bookmarkStart w:id="1845" w:name="_Toc20149822"/>
      <w:bookmarkStart w:id="1846" w:name="_Toc27846616"/>
      <w:bookmarkStart w:id="1847" w:name="_Toc36187744"/>
      <w:bookmarkStart w:id="1848" w:name="_Toc45183648"/>
      <w:bookmarkStart w:id="1849" w:name="_Toc47342490"/>
      <w:bookmarkStart w:id="1850" w:name="_Toc51769190"/>
      <w:bookmarkStart w:id="1851" w:name="_Toc201157148"/>
      <w:bookmarkEnd w:id="1844"/>
      <w:r w:rsidRPr="00873B6C">
        <w:t>5.7.5.1</w:t>
      </w:r>
      <w:r w:rsidRPr="00873B6C">
        <w:tab/>
        <w:t>General</w:t>
      </w:r>
      <w:bookmarkEnd w:id="1845"/>
      <w:bookmarkEnd w:id="1846"/>
      <w:bookmarkEnd w:id="1847"/>
      <w:bookmarkEnd w:id="1848"/>
      <w:bookmarkEnd w:id="1849"/>
      <w:bookmarkEnd w:id="1850"/>
      <w:bookmarkEnd w:id="1851"/>
    </w:p>
    <w:p w14:paraId="0EE9B799" w14:textId="77777777" w:rsidR="00D40151" w:rsidRPr="00873B6C" w:rsidRDefault="00D40151" w:rsidP="00D40151">
      <w:pPr>
        <w:rPr>
          <w:lang w:eastAsia="zh-CN"/>
        </w:rPr>
      </w:pPr>
      <w:r w:rsidRPr="00873B6C">
        <w:rPr>
          <w:lang w:eastAsia="zh-CN"/>
        </w:rPr>
        <w:t xml:space="preserve">Reflective QoS enables the UE to map </w:t>
      </w:r>
      <w:r w:rsidRPr="00873B6C">
        <w:t>UL User Plane traffic to QoS Flows</w:t>
      </w:r>
      <w:r w:rsidRPr="00873B6C">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873B6C" w:rsidRDefault="00D40151" w:rsidP="00D40151">
      <w:pPr>
        <w:rPr>
          <w:lang w:eastAsia="zh-CN"/>
        </w:rPr>
      </w:pPr>
      <w:r w:rsidRPr="00873B6C">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873B6C" w:rsidRDefault="00D40151" w:rsidP="00D40151">
      <w:pPr>
        <w:rPr>
          <w:lang w:eastAsia="zh-CN"/>
        </w:rPr>
      </w:pPr>
      <w:r w:rsidRPr="00873B6C">
        <w:lastRenderedPageBreak/>
        <w:t xml:space="preserve">If the 3GPP UE supports Reflective QoS functionality, the UE should indicate support of Reflective QoS to the network (i.e. SMF) for every PDU Session. For PDU Sessions established in </w:t>
      </w:r>
      <w:r w:rsidRPr="00873B6C">
        <w:rPr>
          <w:lang w:eastAsia="zh-CN"/>
        </w:rPr>
        <w:t>EPS</w:t>
      </w:r>
      <w:r w:rsidRPr="00873B6C">
        <w:t xml:space="preserve"> and PDU Sessions transferred from EPS without N26 interface, the UE indicates Reflective QoS support using the PDU Session Establishment procedure. After the first inter-system change from EPS to 5GS </w:t>
      </w:r>
      <w:r w:rsidRPr="00873B6C">
        <w:rPr>
          <w:lang w:eastAsia="zh-CN"/>
        </w:rPr>
        <w:t>f</w:t>
      </w:r>
      <w:r w:rsidRPr="00873B6C">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873B6C" w:rsidRDefault="00D40151" w:rsidP="00D40151">
      <w:pPr>
        <w:pStyle w:val="NO"/>
      </w:pPr>
      <w:r w:rsidRPr="00873B6C">
        <w:t>NOTE:</w:t>
      </w:r>
      <w:r w:rsidRPr="00873B6C">
        <w:tab/>
        <w:t>The logic driving a supporting UE under exceptional circumstances to not indicate support of Reflective QoS for a PDU Session is implementation dependent.</w:t>
      </w:r>
    </w:p>
    <w:p w14:paraId="7C69E38F" w14:textId="77777777" w:rsidR="00D40151" w:rsidRPr="00873B6C" w:rsidRDefault="00D40151" w:rsidP="00D40151">
      <w:r w:rsidRPr="00873B6C">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873B6C" w:rsidRDefault="00D40151" w:rsidP="00D40151">
      <w:r w:rsidRPr="00873B6C">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873B6C" w:rsidRDefault="00D40151" w:rsidP="001B7C50">
      <w:pPr>
        <w:pStyle w:val="Heading4"/>
      </w:pPr>
      <w:bookmarkStart w:id="1852" w:name="_CR5_7_5_2"/>
      <w:bookmarkStart w:id="1853" w:name="_Toc20149823"/>
      <w:bookmarkStart w:id="1854" w:name="_Toc27846617"/>
      <w:bookmarkStart w:id="1855" w:name="_Toc36187745"/>
      <w:bookmarkStart w:id="1856" w:name="_Toc45183649"/>
      <w:bookmarkStart w:id="1857" w:name="_Toc47342491"/>
      <w:bookmarkStart w:id="1858" w:name="_Toc51769191"/>
      <w:bookmarkStart w:id="1859" w:name="_Toc201157149"/>
      <w:bookmarkEnd w:id="1852"/>
      <w:r w:rsidRPr="00873B6C">
        <w:t>5.7.5.2</w:t>
      </w:r>
      <w:r w:rsidRPr="00873B6C">
        <w:tab/>
        <w:t xml:space="preserve">UE Derived QoS </w:t>
      </w:r>
      <w:r w:rsidRPr="00873B6C">
        <w:rPr>
          <w:lang w:eastAsia="zh-CN"/>
        </w:rPr>
        <w:t>R</w:t>
      </w:r>
      <w:r w:rsidRPr="00873B6C">
        <w:t>ule</w:t>
      </w:r>
      <w:bookmarkEnd w:id="1853"/>
      <w:bookmarkEnd w:id="1854"/>
      <w:bookmarkEnd w:id="1855"/>
      <w:bookmarkEnd w:id="1856"/>
      <w:bookmarkEnd w:id="1857"/>
      <w:bookmarkEnd w:id="1858"/>
      <w:bookmarkEnd w:id="1859"/>
    </w:p>
    <w:p w14:paraId="6176C4B1" w14:textId="77777777" w:rsidR="00D40151" w:rsidRPr="00873B6C" w:rsidRDefault="00D40151" w:rsidP="00D40151">
      <w:pPr>
        <w:rPr>
          <w:lang w:eastAsia="zh-CN"/>
        </w:rPr>
      </w:pPr>
      <w:r w:rsidRPr="00873B6C">
        <w:rPr>
          <w:lang w:eastAsia="zh-CN"/>
        </w:rPr>
        <w:t>The UE derived QoS rule contains following parameters:</w:t>
      </w:r>
    </w:p>
    <w:p w14:paraId="2464A12E" w14:textId="77777777" w:rsidR="00D40151" w:rsidRPr="00873B6C" w:rsidRDefault="00D40151" w:rsidP="00D40151">
      <w:pPr>
        <w:pStyle w:val="B1"/>
      </w:pPr>
      <w:r w:rsidRPr="00873B6C">
        <w:t>-</w:t>
      </w:r>
      <w:r w:rsidRPr="00873B6C">
        <w:tab/>
        <w:t>One UL Packet Filter (in the Packet Filter Set as defined in clause 5.7.6);</w:t>
      </w:r>
    </w:p>
    <w:p w14:paraId="4388243F" w14:textId="77777777" w:rsidR="00D40151" w:rsidRPr="00873B6C" w:rsidRDefault="00D40151" w:rsidP="00D40151">
      <w:pPr>
        <w:pStyle w:val="B1"/>
      </w:pPr>
      <w:r w:rsidRPr="00873B6C">
        <w:t>-</w:t>
      </w:r>
      <w:r w:rsidRPr="00873B6C">
        <w:tab/>
        <w:t>QFI;</w:t>
      </w:r>
    </w:p>
    <w:p w14:paraId="58E36A1D" w14:textId="77777777" w:rsidR="00D40151" w:rsidRPr="00873B6C" w:rsidRDefault="00D40151" w:rsidP="00D40151">
      <w:pPr>
        <w:pStyle w:val="B1"/>
      </w:pPr>
      <w:r w:rsidRPr="00873B6C">
        <w:t>-</w:t>
      </w:r>
      <w:r w:rsidRPr="00873B6C">
        <w:tab/>
        <w:t>Precedence value (see clause 5.7.1.9).</w:t>
      </w:r>
    </w:p>
    <w:p w14:paraId="276AC396" w14:textId="4E85C87F" w:rsidR="00D40151" w:rsidRPr="00873B6C" w:rsidRDefault="00D40151" w:rsidP="00D40151">
      <w:pPr>
        <w:rPr>
          <w:lang w:eastAsia="zh-CN"/>
        </w:rPr>
      </w:pPr>
      <w:r w:rsidRPr="00873B6C">
        <w:rPr>
          <w:lang w:eastAsia="zh-CN"/>
        </w:rPr>
        <w:t>Upon receiving DL packet, one UL Packet Filter derived from the received DL packet as described in thi</w:t>
      </w:r>
      <w:r w:rsidR="00323277" w:rsidRPr="00873B6C">
        <w:rPr>
          <w:lang w:eastAsia="zh-CN"/>
        </w:rPr>
        <w:t xml:space="preserve">s clause </w:t>
      </w:r>
      <w:r w:rsidRPr="00873B6C">
        <w:rPr>
          <w:lang w:eastAsia="zh-CN"/>
        </w:rPr>
        <w:t>is used to identify a UE derived QoS rule within a PDU Session.</w:t>
      </w:r>
    </w:p>
    <w:p w14:paraId="45DE1E4B" w14:textId="09613297" w:rsidR="00D40151" w:rsidRPr="00873B6C" w:rsidRDefault="00D40151" w:rsidP="00D40151">
      <w:pPr>
        <w:rPr>
          <w:lang w:eastAsia="zh-CN"/>
        </w:rPr>
      </w:pPr>
      <w:r w:rsidRPr="00873B6C">
        <w:rPr>
          <w:lang w:eastAsia="zh-CN"/>
        </w:rPr>
        <w:t>For PDU Session of IP type</w:t>
      </w:r>
      <w:r w:rsidR="00A1192D" w:rsidRPr="00873B6C">
        <w:rPr>
          <w:lang w:eastAsia="zh-CN"/>
        </w:rPr>
        <w:t>,</w:t>
      </w:r>
      <w:r w:rsidRPr="00873B6C">
        <w:rPr>
          <w:lang w:eastAsia="zh-CN"/>
        </w:rPr>
        <w:t xml:space="preserve"> the UL Packet Filter is derived based on the received </w:t>
      </w:r>
      <w:r w:rsidRPr="00873B6C">
        <w:t xml:space="preserve">DL </w:t>
      </w:r>
      <w:r w:rsidRPr="00873B6C">
        <w:rPr>
          <w:lang w:eastAsia="zh-CN"/>
        </w:rPr>
        <w:t>packet as follows:</w:t>
      </w:r>
    </w:p>
    <w:p w14:paraId="753D040D" w14:textId="45CA16F4" w:rsidR="00D40151" w:rsidRPr="00873B6C" w:rsidRDefault="00D40151" w:rsidP="00D40151">
      <w:pPr>
        <w:pStyle w:val="B1"/>
        <w:rPr>
          <w:lang w:eastAsia="zh-CN"/>
        </w:rPr>
      </w:pPr>
      <w:r w:rsidRPr="00873B6C">
        <w:rPr>
          <w:lang w:eastAsia="zh-CN"/>
        </w:rPr>
        <w:t>-</w:t>
      </w:r>
      <w:r w:rsidRPr="00873B6C">
        <w:rPr>
          <w:lang w:eastAsia="zh-CN"/>
        </w:rPr>
        <w:tab/>
        <w:t>When Protocol ID / Next Header is set to TCP or UDP, by using the source and destination IP addresses, source and destination port numbers</w:t>
      </w:r>
      <w:r w:rsidR="00472CD7" w:rsidRPr="00873B6C">
        <w:rPr>
          <w:lang w:eastAsia="zh-CN"/>
        </w:rPr>
        <w:t xml:space="preserve"> and</w:t>
      </w:r>
      <w:r w:rsidRPr="00873B6C">
        <w:rPr>
          <w:lang w:eastAsia="zh-CN"/>
        </w:rPr>
        <w:t xml:space="preserve"> the Protocol ID / Next Header field itself.</w:t>
      </w:r>
    </w:p>
    <w:p w14:paraId="18E36AE4" w14:textId="380BBBA0" w:rsidR="00A1192D" w:rsidRPr="00873B6C" w:rsidRDefault="00A1192D" w:rsidP="00D40151">
      <w:pPr>
        <w:pStyle w:val="B1"/>
        <w:rPr>
          <w:lang w:eastAsia="zh-CN"/>
        </w:rPr>
      </w:pPr>
      <w:r w:rsidRPr="00873B6C">
        <w:rPr>
          <w:lang w:eastAsia="zh-CN"/>
        </w:rPr>
        <w:t>-</w:t>
      </w:r>
      <w:r w:rsidRPr="00873B6C">
        <w:rPr>
          <w:lang w:eastAsia="zh-CN"/>
        </w:rPr>
        <w:tab/>
        <w:t>When Protocol ID / Next Header is set to UDP, if the received DL packet is UDP-encapsulated IPSec protected packet, by using the source and destination IP addresses, source and destination port numbers, the Security Parameter Index</w:t>
      </w:r>
      <w:r w:rsidR="00472CD7" w:rsidRPr="00873B6C">
        <w:rPr>
          <w:lang w:eastAsia="zh-CN"/>
        </w:rPr>
        <w:t xml:space="preserve"> and</w:t>
      </w:r>
      <w:r w:rsidRPr="00873B6C">
        <w:rPr>
          <w:lang w:eastAsia="zh-CN"/>
        </w:rPr>
        <w:t xml:space="preserve"> the Protocol ID / Next Header field itself. In this case, if an uplink IPSec SA corresponding to a downlink IPSec SA of the SPI in the DL packet</w:t>
      </w:r>
      <w:r w:rsidR="0054498C" w:rsidRPr="00873B6C">
        <w:rPr>
          <w:lang w:eastAsia="zh-CN"/>
        </w:rPr>
        <w:t xml:space="preserve"> exists and the SPI of the uplink IPSec SA is known to the NAS layer</w:t>
      </w:r>
      <w:r w:rsidRPr="00873B6C">
        <w:rPr>
          <w:lang w:eastAsia="zh-CN"/>
        </w:rPr>
        <w:t>, then the UL Packet Filter contains an SPI of the uplink IPSec SA.</w:t>
      </w:r>
    </w:p>
    <w:p w14:paraId="40D15AA3" w14:textId="3F4B6205" w:rsidR="00D40151" w:rsidRPr="00873B6C" w:rsidRDefault="00D40151" w:rsidP="00D40151">
      <w:pPr>
        <w:pStyle w:val="B1"/>
        <w:rPr>
          <w:lang w:eastAsia="zh-CN"/>
        </w:rPr>
      </w:pPr>
      <w:r w:rsidRPr="00873B6C">
        <w:rPr>
          <w:lang w:eastAsia="zh-CN"/>
        </w:rPr>
        <w:t>-</w:t>
      </w:r>
      <w:r w:rsidRPr="00873B6C">
        <w:rPr>
          <w:lang w:eastAsia="zh-CN"/>
        </w:rPr>
        <w:tab/>
        <w:t>When Protocol ID / Next Header is set to ESP, by using the source and destination IP addresses, the Security Parameter Index</w:t>
      </w:r>
      <w:r w:rsidR="00472CD7" w:rsidRPr="00873B6C">
        <w:rPr>
          <w:lang w:eastAsia="zh-CN"/>
        </w:rPr>
        <w:t xml:space="preserve"> and</w:t>
      </w:r>
      <w:r w:rsidRPr="00873B6C">
        <w:rPr>
          <w:lang w:eastAsia="zh-CN"/>
        </w:rPr>
        <w:t xml:space="preserve"> the Protocol ID / Next Header field itself. If the received DL packet is an IPSec protected packet</w:t>
      </w:r>
      <w:r w:rsidR="00472CD7" w:rsidRPr="00873B6C">
        <w:rPr>
          <w:lang w:eastAsia="zh-CN"/>
        </w:rPr>
        <w:t xml:space="preserve"> and</w:t>
      </w:r>
      <w:r w:rsidRPr="00873B6C">
        <w:rPr>
          <w:lang w:eastAsia="zh-CN"/>
        </w:rPr>
        <w:t xml:space="preserve"> an uplink IPSec SA corresponding to a downlink IPSec SA of the SPI in the DL packet</w:t>
      </w:r>
      <w:r w:rsidR="0054498C" w:rsidRPr="00873B6C">
        <w:rPr>
          <w:lang w:eastAsia="zh-CN"/>
        </w:rPr>
        <w:t xml:space="preserve"> exists and the SPI of the uplink IPSec SA is known to the NAS layer</w:t>
      </w:r>
      <w:r w:rsidRPr="00873B6C">
        <w:rPr>
          <w:lang w:eastAsia="zh-CN"/>
        </w:rPr>
        <w:t>, then the UL Packet Filter contains an SPI of the uplink IPSec SA.</w:t>
      </w:r>
    </w:p>
    <w:p w14:paraId="3A8EF90E" w14:textId="73F267DF" w:rsidR="00D40151" w:rsidRPr="00873B6C" w:rsidRDefault="00D40151" w:rsidP="00D40151">
      <w:pPr>
        <w:pStyle w:val="NO"/>
        <w:rPr>
          <w:lang w:eastAsia="zh-CN"/>
        </w:rPr>
      </w:pPr>
      <w:r w:rsidRPr="00873B6C">
        <w:rPr>
          <w:lang w:eastAsia="zh-CN"/>
        </w:rPr>
        <w:t>NOTE</w:t>
      </w:r>
      <w:r w:rsidR="00A1192D" w:rsidRPr="00873B6C">
        <w:rPr>
          <w:lang w:eastAsia="zh-CN"/>
        </w:rPr>
        <w:t> </w:t>
      </w:r>
      <w:r w:rsidRPr="00873B6C">
        <w:rPr>
          <w:lang w:eastAsia="zh-CN"/>
        </w:rPr>
        <w:t>1:</w:t>
      </w:r>
      <w:r w:rsidRPr="00873B6C">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873B6C" w:rsidRDefault="00D40151" w:rsidP="00D40151">
      <w:pPr>
        <w:pStyle w:val="NO"/>
        <w:rPr>
          <w:lang w:eastAsia="zh-CN"/>
        </w:rPr>
      </w:pPr>
      <w:r w:rsidRPr="00873B6C">
        <w:rPr>
          <w:lang w:eastAsia="zh-CN"/>
        </w:rPr>
        <w:t>NOTE</w:t>
      </w:r>
      <w:r w:rsidR="00A1192D" w:rsidRPr="00873B6C">
        <w:rPr>
          <w:lang w:eastAsia="zh-CN"/>
        </w:rPr>
        <w:t> </w:t>
      </w:r>
      <w:r w:rsidRPr="00873B6C">
        <w:rPr>
          <w:lang w:eastAsia="zh-CN"/>
        </w:rPr>
        <w:t>2:</w:t>
      </w:r>
      <w:r w:rsidRPr="00873B6C">
        <w:rPr>
          <w:lang w:eastAsia="zh-CN"/>
        </w:rPr>
        <w:tab/>
        <w:t>The UE does not verify whether the downlink packets with RQI indication match the restrictions on Reflective QoS.</w:t>
      </w:r>
    </w:p>
    <w:p w14:paraId="37949C94" w14:textId="6A4851DC" w:rsidR="00A1192D" w:rsidRPr="00873B6C" w:rsidRDefault="00A1192D" w:rsidP="00C74FFE">
      <w:pPr>
        <w:pStyle w:val="NO"/>
        <w:rPr>
          <w:lang w:eastAsia="zh-CN"/>
        </w:rPr>
      </w:pPr>
      <w:r w:rsidRPr="00873B6C">
        <w:rPr>
          <w:lang w:eastAsia="zh-CN"/>
        </w:rPr>
        <w:t>NOTE 3:</w:t>
      </w:r>
      <w:r w:rsidRPr="00873B6C">
        <w:rPr>
          <w:lang w:eastAsia="zh-CN"/>
        </w:rPr>
        <w:tab/>
        <w:t>How to determine the received DL packet is UDP-encapsulated IPSec protected packet is defined in RFC 3948 [138]. UDP encapsulation for ESP is used when a NAT is detected</w:t>
      </w:r>
      <w:r w:rsidR="00472CD7" w:rsidRPr="00873B6C">
        <w:rPr>
          <w:lang w:eastAsia="zh-CN"/>
        </w:rPr>
        <w:t xml:space="preserve"> and</w:t>
      </w:r>
      <w:r w:rsidRPr="00873B6C">
        <w:rPr>
          <w:lang w:eastAsia="zh-CN"/>
        </w:rPr>
        <w:t xml:space="preserve"> there can be different Security Parameter Indexes within the same IP-tuples.</w:t>
      </w:r>
    </w:p>
    <w:p w14:paraId="00E09484" w14:textId="2A86F1B8" w:rsidR="0004047F" w:rsidRPr="00873B6C" w:rsidRDefault="0004047F" w:rsidP="0004047F">
      <w:pPr>
        <w:pStyle w:val="NO"/>
        <w:rPr>
          <w:lang w:eastAsia="zh-CN"/>
        </w:rPr>
      </w:pPr>
      <w:r w:rsidRPr="00873B6C">
        <w:rPr>
          <w:lang w:eastAsia="zh-CN"/>
        </w:rPr>
        <w:lastRenderedPageBreak/>
        <w:t>NOTE 4:</w:t>
      </w:r>
      <w:r w:rsidRPr="00873B6C">
        <w:rPr>
          <w:lang w:eastAsia="zh-CN"/>
        </w:rPr>
        <w:tab/>
        <w:t>Despite the indication of support for Reflective QoS, the UE might not be able to derive QoS Rules for ESP IPSec packets and UDP-encapsulated IPSec packets, if uplink IPSec SA corresponding to a downlink IPSec SA of the SPI in the DL packet exists and the SPI of the uplink IPSec SA is not known to the NAS layer.</w:t>
      </w:r>
    </w:p>
    <w:p w14:paraId="75676EDD" w14:textId="5665A5FD" w:rsidR="00D40151" w:rsidRPr="00873B6C" w:rsidRDefault="00D40151" w:rsidP="00D40151">
      <w:pPr>
        <w:rPr>
          <w:lang w:eastAsia="zh-CN"/>
        </w:rPr>
      </w:pPr>
      <w:r w:rsidRPr="00873B6C">
        <w:rPr>
          <w:lang w:eastAsia="zh-CN"/>
        </w:rPr>
        <w:t xml:space="preserve">For PDU Session of Ethernet type the UL Packet Filter is derived based on the received DL packet by using the source and destination MAC addresses, the Ethertype on received DL packet is used as Ethertype for UL packet. In the case of presence of </w:t>
      </w:r>
      <w:r w:rsidR="007C1B83" w:rsidRPr="00873B6C">
        <w:rPr>
          <w:lang w:eastAsia="zh-CN"/>
        </w:rPr>
        <w:t>IEEE Std </w:t>
      </w:r>
      <w:r w:rsidRPr="00873B6C">
        <w:rPr>
          <w:lang w:eastAsia="zh-CN"/>
        </w:rPr>
        <w:t xml:space="preserve">802.1Q [98], the VID and PCP in IEEE Std 802.1Q [98] header(s) of the received DL packet is also used as the VID and PCP field for the UL Packet Filter. When double </w:t>
      </w:r>
      <w:r w:rsidR="007C1B83" w:rsidRPr="00873B6C">
        <w:rPr>
          <w:lang w:eastAsia="zh-CN"/>
        </w:rPr>
        <w:t>IEEE Std </w:t>
      </w:r>
      <w:r w:rsidRPr="00873B6C">
        <w:rPr>
          <w:lang w:eastAsia="zh-CN"/>
        </w:rPr>
        <w:t>802.1Q [98] tagging is used, only the outer (S-TAG) is taken into account for the UL Packet Filter derivation.</w:t>
      </w:r>
    </w:p>
    <w:p w14:paraId="1C1508E0" w14:textId="4F855FA1" w:rsidR="00D40151" w:rsidRPr="00873B6C" w:rsidRDefault="00D40151" w:rsidP="00D40151">
      <w:pPr>
        <w:pStyle w:val="NO"/>
        <w:rPr>
          <w:lang w:eastAsia="zh-CN"/>
        </w:rPr>
      </w:pPr>
      <w:r w:rsidRPr="00873B6C">
        <w:rPr>
          <w:lang w:eastAsia="zh-CN"/>
        </w:rPr>
        <w:t>NOTE</w:t>
      </w:r>
      <w:r w:rsidR="00A1192D" w:rsidRPr="00873B6C">
        <w:rPr>
          <w:lang w:eastAsia="zh-CN"/>
        </w:rPr>
        <w:t> </w:t>
      </w:r>
      <w:r w:rsidR="0004047F" w:rsidRPr="00873B6C">
        <w:rPr>
          <w:lang w:eastAsia="zh-CN"/>
        </w:rPr>
        <w:t>5</w:t>
      </w:r>
      <w:r w:rsidRPr="00873B6C">
        <w:rPr>
          <w:lang w:eastAsia="zh-CN"/>
        </w:rPr>
        <w:t>:</w:t>
      </w:r>
      <w:r w:rsidRPr="00873B6C">
        <w:rPr>
          <w:lang w:eastAsia="zh-CN"/>
        </w:rPr>
        <w:tab/>
        <w:t>In this Release of the specification for PDU Sessions of Ethernet type the use of Reflective QoS is restricted to service data flows for which 802.1Q [98] tagging is used.</w:t>
      </w:r>
    </w:p>
    <w:p w14:paraId="6E024520" w14:textId="77777777" w:rsidR="00D40151" w:rsidRPr="00873B6C" w:rsidRDefault="00D40151" w:rsidP="00D40151">
      <w:r w:rsidRPr="00873B6C">
        <w:t>The QFI of the UE derived QoS rule is set to the value received in the DL packet.</w:t>
      </w:r>
    </w:p>
    <w:p w14:paraId="6822CEF7" w14:textId="77777777" w:rsidR="00D40151" w:rsidRPr="00873B6C" w:rsidRDefault="00D40151" w:rsidP="00D40151">
      <w:r w:rsidRPr="00873B6C">
        <w:t>When Reflective QoS is activated the precedence value for all UE derived QoS rules is set to a standardised value.</w:t>
      </w:r>
    </w:p>
    <w:p w14:paraId="1A6ABAC4" w14:textId="77777777" w:rsidR="00D40151" w:rsidRPr="00873B6C" w:rsidRDefault="00D40151" w:rsidP="00D40151">
      <w:pPr>
        <w:pStyle w:val="Heading4"/>
      </w:pPr>
      <w:bookmarkStart w:id="1860" w:name="_CR5_7_5_3"/>
      <w:bookmarkStart w:id="1861" w:name="_Toc20149824"/>
      <w:bookmarkStart w:id="1862" w:name="_Toc27846618"/>
      <w:bookmarkStart w:id="1863" w:name="_Toc36187746"/>
      <w:bookmarkStart w:id="1864" w:name="_Toc45183650"/>
      <w:bookmarkStart w:id="1865" w:name="_Toc47342492"/>
      <w:bookmarkStart w:id="1866" w:name="_Toc51769192"/>
      <w:bookmarkStart w:id="1867" w:name="_Toc201157150"/>
      <w:bookmarkEnd w:id="1860"/>
      <w:r w:rsidRPr="00873B6C">
        <w:t>5.7.5.3</w:t>
      </w:r>
      <w:r w:rsidRPr="00873B6C">
        <w:tab/>
        <w:t>Reflective QoS Control</w:t>
      </w:r>
      <w:bookmarkEnd w:id="1861"/>
      <w:bookmarkEnd w:id="1862"/>
      <w:bookmarkEnd w:id="1863"/>
      <w:bookmarkEnd w:id="1864"/>
      <w:bookmarkEnd w:id="1865"/>
      <w:bookmarkEnd w:id="1866"/>
      <w:bookmarkEnd w:id="1867"/>
    </w:p>
    <w:p w14:paraId="0B8BAD4D" w14:textId="25C7A6A9" w:rsidR="00D40151" w:rsidRPr="00873B6C" w:rsidRDefault="00D40151" w:rsidP="00D40151">
      <w:pPr>
        <w:rPr>
          <w:lang w:eastAsia="zh-CN"/>
        </w:rPr>
      </w:pPr>
      <w:r w:rsidRPr="00873B6C">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873B6C">
        <w:t xml:space="preserve"> (the details are specified in </w:t>
      </w:r>
      <w:r w:rsidR="00972E70" w:rsidRPr="00873B6C">
        <w:t>TS 24.501 [</w:t>
      </w:r>
      <w:r w:rsidRPr="00873B6C">
        <w:t>47]).</w:t>
      </w:r>
    </w:p>
    <w:p w14:paraId="08840A04" w14:textId="77777777" w:rsidR="00D40151" w:rsidRPr="00873B6C" w:rsidRDefault="00D40151" w:rsidP="00D40151">
      <w:r w:rsidRPr="00873B6C">
        <w:rPr>
          <w:lang w:eastAsia="zh-CN"/>
        </w:rPr>
        <w:t xml:space="preserve">When the </w:t>
      </w:r>
      <w:r w:rsidRPr="00873B6C">
        <w:t xml:space="preserve">5GC </w:t>
      </w:r>
      <w:r w:rsidRPr="00873B6C">
        <w:rPr>
          <w:lang w:eastAsia="zh-CN"/>
        </w:rPr>
        <w:t xml:space="preserve">determines that Reflective QoS has to be used for a specific SDF belonging to a QoS Flow, </w:t>
      </w:r>
      <w:r w:rsidRPr="00873B6C">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873B6C">
        <w:rPr>
          <w:lang w:eastAsia="zh-CN"/>
        </w:rPr>
        <w:t xml:space="preserve">Reflective QoS has to be used, the SMF should </w:t>
      </w:r>
      <w:r w:rsidRPr="00873B6C">
        <w:t>signal the removal of the RQA (Reflective QoS Attribute) from the QoS Flow's QoS profile to the NG-RAN on N2 reference point.</w:t>
      </w:r>
    </w:p>
    <w:p w14:paraId="4C80E0EB" w14:textId="77777777" w:rsidR="00D40151" w:rsidRPr="00873B6C" w:rsidRDefault="00D40151" w:rsidP="00D40151">
      <w:pPr>
        <w:pStyle w:val="NO"/>
      </w:pPr>
      <w:r w:rsidRPr="00873B6C">
        <w:rPr>
          <w:lang w:eastAsia="zh-CN"/>
        </w:rPr>
        <w:t>NOTE 1:</w:t>
      </w:r>
      <w:r w:rsidRPr="00873B6C">
        <w:rPr>
          <w:lang w:eastAsia="zh-CN"/>
        </w:rPr>
        <w:tab/>
        <w:t xml:space="preserve">The </w:t>
      </w:r>
      <w:r w:rsidRPr="00873B6C">
        <w:t>SMF could have a timer to delay the sending of the removal of the RQA. This would avoid signalling to the RAN in the case of new SDFs subject to Reflective QoS are bound to this QoS Flow in the meantime</w:t>
      </w:r>
      <w:r w:rsidRPr="00873B6C">
        <w:rPr>
          <w:lang w:eastAsia="zh-CN"/>
        </w:rPr>
        <w:t>.</w:t>
      </w:r>
    </w:p>
    <w:p w14:paraId="07416A52" w14:textId="5E40D48C" w:rsidR="00D40151" w:rsidRPr="00873B6C" w:rsidRDefault="00D40151" w:rsidP="00D40151">
      <w:pPr>
        <w:rPr>
          <w:lang w:eastAsia="zh-CN"/>
        </w:rPr>
      </w:pPr>
      <w:r w:rsidRPr="00873B6C">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972E70" w:rsidRPr="00873B6C">
        <w:rPr>
          <w:lang w:eastAsia="zh-CN"/>
        </w:rPr>
        <w:t>TS 29.244 [</w:t>
      </w:r>
      <w:r w:rsidRPr="00873B6C">
        <w:rPr>
          <w:lang w:eastAsia="zh-CN"/>
        </w:rPr>
        <w:t>65], e.g. by generating a new UL PDR for this SDF for that QoS Flow and providing it to the UPF.</w:t>
      </w:r>
    </w:p>
    <w:p w14:paraId="7398822F" w14:textId="77777777" w:rsidR="00D40151" w:rsidRPr="00873B6C" w:rsidRDefault="00D40151" w:rsidP="00D40151">
      <w:pPr>
        <w:rPr>
          <w:lang w:eastAsia="zh-CN"/>
        </w:rPr>
      </w:pPr>
      <w:r w:rsidRPr="00873B6C">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873B6C" w:rsidRDefault="00D40151" w:rsidP="00D40151">
      <w:pPr>
        <w:rPr>
          <w:lang w:eastAsia="zh-CN"/>
        </w:rPr>
      </w:pPr>
      <w:r w:rsidRPr="00873B6C">
        <w:rPr>
          <w:lang w:eastAsia="zh-CN"/>
        </w:rPr>
        <w:t>When an RQI is received by (R)AN in a DL packet on N3 reference point, the (R)AN shall indicate to the UE the QFI and the RQI of that DL packet.</w:t>
      </w:r>
    </w:p>
    <w:p w14:paraId="42FBCF13" w14:textId="77777777" w:rsidR="00D40151" w:rsidRPr="00873B6C" w:rsidRDefault="00D40151" w:rsidP="00D40151">
      <w:pPr>
        <w:rPr>
          <w:lang w:eastAsia="zh-CN"/>
        </w:rPr>
      </w:pPr>
      <w:r w:rsidRPr="00873B6C">
        <w:rPr>
          <w:lang w:eastAsia="zh-CN"/>
        </w:rPr>
        <w:t>Upon reception of a DL packet with RQI:</w:t>
      </w:r>
    </w:p>
    <w:p w14:paraId="5143EFB5" w14:textId="77777777" w:rsidR="00D40151" w:rsidRPr="00873B6C" w:rsidRDefault="00D40151" w:rsidP="00D40151">
      <w:pPr>
        <w:pStyle w:val="B1"/>
        <w:rPr>
          <w:lang w:eastAsia="zh-CN"/>
        </w:rPr>
      </w:pPr>
      <w:r w:rsidRPr="00873B6C">
        <w:rPr>
          <w:lang w:eastAsia="zh-CN"/>
        </w:rPr>
        <w:t>-</w:t>
      </w:r>
      <w:r w:rsidRPr="00873B6C">
        <w:rPr>
          <w:lang w:eastAsia="zh-CN"/>
        </w:rPr>
        <w:tab/>
        <w:t>if a UE derived QoS rule with a Packet Filter corresponding to the DL packet does not already exist,</w:t>
      </w:r>
    </w:p>
    <w:p w14:paraId="364FCA7F" w14:textId="77777777" w:rsidR="00D40151" w:rsidRPr="00873B6C" w:rsidRDefault="00D40151" w:rsidP="00D40151">
      <w:pPr>
        <w:pStyle w:val="B2"/>
      </w:pPr>
      <w:r w:rsidRPr="00873B6C">
        <w:t>-</w:t>
      </w:r>
      <w:r w:rsidRPr="00873B6C">
        <w:tab/>
        <w:t>the UE shall create a new UE derived QoS rule with a Packet Filter corresponding to the DL packet (as described in clause 5.7.5.2); and</w:t>
      </w:r>
    </w:p>
    <w:p w14:paraId="2E183883" w14:textId="77777777" w:rsidR="00D40151" w:rsidRPr="00873B6C" w:rsidRDefault="00D40151" w:rsidP="00D40151">
      <w:pPr>
        <w:pStyle w:val="B2"/>
      </w:pPr>
      <w:r w:rsidRPr="00873B6C">
        <w:t>-</w:t>
      </w:r>
      <w:r w:rsidRPr="00873B6C">
        <w:tab/>
        <w:t>the UE shall start, for this UE derived QoS rule, a timer set to the RQ Timer value.</w:t>
      </w:r>
    </w:p>
    <w:p w14:paraId="723CD347" w14:textId="77777777" w:rsidR="00D40151" w:rsidRPr="00873B6C" w:rsidRDefault="00D40151" w:rsidP="00D40151">
      <w:pPr>
        <w:pStyle w:val="B1"/>
      </w:pPr>
      <w:r w:rsidRPr="00873B6C">
        <w:t>-</w:t>
      </w:r>
      <w:r w:rsidRPr="00873B6C">
        <w:tab/>
        <w:t>otherwise,</w:t>
      </w:r>
    </w:p>
    <w:p w14:paraId="228234E5" w14:textId="77777777" w:rsidR="00D40151" w:rsidRPr="00873B6C" w:rsidRDefault="00D40151" w:rsidP="00D40151">
      <w:pPr>
        <w:pStyle w:val="B2"/>
      </w:pPr>
      <w:r w:rsidRPr="00873B6C">
        <w:t>-</w:t>
      </w:r>
      <w:r w:rsidRPr="00873B6C">
        <w:tab/>
        <w:t>the UE shall restart the timer associated to this UE derived QoS rule; and</w:t>
      </w:r>
    </w:p>
    <w:p w14:paraId="7833F075" w14:textId="77777777" w:rsidR="00D40151" w:rsidRPr="00873B6C" w:rsidRDefault="00D40151" w:rsidP="00D40151">
      <w:pPr>
        <w:pStyle w:val="B2"/>
        <w:rPr>
          <w:lang w:eastAsia="zh-CN"/>
        </w:rPr>
      </w:pPr>
      <w:r w:rsidRPr="00873B6C">
        <w:t>-</w:t>
      </w:r>
      <w:r w:rsidRPr="00873B6C">
        <w:tab/>
        <w:t>if the QFI associated with the downlink packet is different from the QFI associated with the UE derived QoS rule, the UE shall update this UE derived QoS rule with the new QFI.</w:t>
      </w:r>
    </w:p>
    <w:p w14:paraId="7B9CAC57" w14:textId="77777777" w:rsidR="00D40151" w:rsidRPr="00873B6C" w:rsidRDefault="00D40151" w:rsidP="00D40151">
      <w:pPr>
        <w:pStyle w:val="NO"/>
        <w:rPr>
          <w:lang w:eastAsia="zh-CN"/>
        </w:rPr>
      </w:pPr>
      <w:r w:rsidRPr="00873B6C">
        <w:rPr>
          <w:lang w:eastAsia="zh-CN"/>
        </w:rPr>
        <w:lastRenderedPageBreak/>
        <w:t>NOTE 2:</w:t>
      </w:r>
      <w:r w:rsidRPr="00873B6C">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873B6C" w:rsidRDefault="00D40151" w:rsidP="00D40151">
      <w:pPr>
        <w:rPr>
          <w:lang w:eastAsia="zh-CN"/>
        </w:rPr>
      </w:pPr>
      <w:r w:rsidRPr="00873B6C">
        <w:rPr>
          <w:lang w:eastAsia="zh-CN"/>
        </w:rPr>
        <w:t>Upon timer expiry associated with a UE derived QoS rule the UE deletes the corresponding UE derived QoS rule.</w:t>
      </w:r>
    </w:p>
    <w:p w14:paraId="5CEDB3D8" w14:textId="77777777" w:rsidR="00D40151" w:rsidRPr="00873B6C" w:rsidRDefault="00D40151" w:rsidP="00D40151">
      <w:r w:rsidRPr="00873B6C">
        <w:t>When the 5GC determines not to use Reflective QoS for a specific SDF any longer:</w:t>
      </w:r>
    </w:p>
    <w:p w14:paraId="26194155" w14:textId="78706342" w:rsidR="00D40151" w:rsidRPr="00873B6C" w:rsidRDefault="00D40151" w:rsidP="00D40151">
      <w:pPr>
        <w:pStyle w:val="B1"/>
        <w:rPr>
          <w:lang w:eastAsia="zh-CN"/>
        </w:rPr>
      </w:pPr>
      <w:r w:rsidRPr="00873B6C">
        <w:rPr>
          <w:lang w:eastAsia="zh-CN"/>
        </w:rPr>
        <w:t>-</w:t>
      </w:r>
      <w:r w:rsidRPr="00873B6C">
        <w:rPr>
          <w:lang w:eastAsia="zh-CN"/>
        </w:rPr>
        <w:tab/>
      </w:r>
      <w:r w:rsidR="00960CDA" w:rsidRPr="00873B6C">
        <w:rPr>
          <w:lang w:eastAsia="zh-CN"/>
        </w:rPr>
        <w:t xml:space="preserve">The SMF shall ensure that the UPF stops applying RQI marking as specified in </w:t>
      </w:r>
      <w:r w:rsidR="00972E70" w:rsidRPr="00873B6C">
        <w:rPr>
          <w:lang w:eastAsia="zh-CN"/>
        </w:rPr>
        <w:t>TS 29.244 [</w:t>
      </w:r>
      <w:r w:rsidR="00960CDA" w:rsidRPr="00873B6C">
        <w:rPr>
          <w:lang w:eastAsia="zh-CN"/>
        </w:rPr>
        <w:t>65] (e.g. by removing the indication to use Reflective QoS from the QER associated with the DL PDR) for this SDF.</w:t>
      </w:r>
    </w:p>
    <w:p w14:paraId="31EC27E1" w14:textId="77777777" w:rsidR="00D40151" w:rsidRPr="00873B6C" w:rsidRDefault="00D40151" w:rsidP="00D40151">
      <w:pPr>
        <w:pStyle w:val="B1"/>
        <w:rPr>
          <w:lang w:eastAsia="zh-CN"/>
        </w:rPr>
      </w:pPr>
      <w:r w:rsidRPr="00873B6C">
        <w:rPr>
          <w:lang w:eastAsia="zh-CN"/>
        </w:rPr>
        <w:t>-</w:t>
      </w:r>
      <w:r w:rsidRPr="00873B6C">
        <w:rPr>
          <w:lang w:eastAsia="zh-CN"/>
        </w:rPr>
        <w:tab/>
        <w:t>When the UPF receives this instruction to stop applying RQI marking, the UPF shall no longer set the RQI in the encapsulation header on the N3 (or N9) reference point DL packets corresponding to this SDF.</w:t>
      </w:r>
    </w:p>
    <w:p w14:paraId="4BC2BFF3" w14:textId="08D09741" w:rsidR="00D40151" w:rsidRPr="00873B6C" w:rsidRDefault="00D40151" w:rsidP="00D40151">
      <w:pPr>
        <w:pStyle w:val="B1"/>
        <w:rPr>
          <w:lang w:eastAsia="zh-CN"/>
        </w:rPr>
      </w:pPr>
      <w:r w:rsidRPr="00873B6C">
        <w:rPr>
          <w:lang w:eastAsia="zh-CN"/>
        </w:rPr>
        <w:t>-</w:t>
      </w:r>
      <w:r w:rsidRPr="00873B6C">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972E70" w:rsidRPr="00873B6C">
        <w:rPr>
          <w:lang w:eastAsia="zh-CN"/>
        </w:rPr>
        <w:t>TS 29.244 [</w:t>
      </w:r>
      <w:r w:rsidRPr="00873B6C">
        <w:rPr>
          <w:lang w:eastAsia="zh-CN"/>
        </w:rPr>
        <w:t>65], e.g. by removing the UL PDR for this SDF from that QoS Flow.</w:t>
      </w:r>
    </w:p>
    <w:p w14:paraId="094AA59F" w14:textId="77777777" w:rsidR="00D40151" w:rsidRPr="00873B6C" w:rsidRDefault="00D40151" w:rsidP="00D40151">
      <w:pPr>
        <w:pStyle w:val="NO"/>
        <w:rPr>
          <w:lang w:eastAsia="zh-CN"/>
        </w:rPr>
      </w:pPr>
      <w:r w:rsidRPr="00873B6C">
        <w:rPr>
          <w:lang w:eastAsia="zh-CN"/>
        </w:rPr>
        <w:t>NOTE 3:</w:t>
      </w:r>
      <w:r w:rsidRPr="00873B6C">
        <w:rPr>
          <w:lang w:eastAsia="zh-CN"/>
        </w:rPr>
        <w:tab/>
        <w:t xml:space="preserve">The </w:t>
      </w:r>
      <w:r w:rsidRPr="00873B6C">
        <w:t>operator configurable time</w:t>
      </w:r>
      <w:r w:rsidRPr="00873B6C">
        <w:rPr>
          <w:lang w:eastAsia="zh-CN"/>
        </w:rPr>
        <w:t xml:space="preserve"> has to be at least as long as the RQ Timer value to ensure that no UL packet would be dropped until the UE derived QoS rule is deleted by the UE.</w:t>
      </w:r>
    </w:p>
    <w:p w14:paraId="0FC07E29" w14:textId="77777777" w:rsidR="00D40151" w:rsidRPr="00873B6C" w:rsidRDefault="00D40151" w:rsidP="00D40151">
      <w:bookmarkStart w:id="1868" w:name="_Toc20149825"/>
      <w:bookmarkStart w:id="1869" w:name="_Toc27846619"/>
      <w:bookmarkStart w:id="1870" w:name="_Toc36187747"/>
      <w:r w:rsidRPr="00873B6C">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873B6C" w:rsidRDefault="00D40151" w:rsidP="00D40151">
      <w:pPr>
        <w:pStyle w:val="Heading3"/>
      </w:pPr>
      <w:bookmarkStart w:id="1871" w:name="_CR5_7_6"/>
      <w:bookmarkStart w:id="1872" w:name="_Toc45183651"/>
      <w:bookmarkStart w:id="1873" w:name="_Toc47342493"/>
      <w:bookmarkStart w:id="1874" w:name="_Toc51769193"/>
      <w:bookmarkStart w:id="1875" w:name="_Toc201157151"/>
      <w:bookmarkEnd w:id="1871"/>
      <w:r w:rsidRPr="00873B6C">
        <w:t>5.7.6</w:t>
      </w:r>
      <w:r w:rsidRPr="00873B6C">
        <w:tab/>
        <w:t>Packet Filter Set</w:t>
      </w:r>
      <w:bookmarkEnd w:id="1868"/>
      <w:bookmarkEnd w:id="1869"/>
      <w:bookmarkEnd w:id="1870"/>
      <w:bookmarkEnd w:id="1872"/>
      <w:bookmarkEnd w:id="1873"/>
      <w:bookmarkEnd w:id="1874"/>
      <w:bookmarkEnd w:id="1875"/>
    </w:p>
    <w:p w14:paraId="3AF5AB22" w14:textId="77777777" w:rsidR="00D40151" w:rsidRPr="00873B6C" w:rsidRDefault="00D40151" w:rsidP="00D40151">
      <w:pPr>
        <w:pStyle w:val="Heading4"/>
      </w:pPr>
      <w:bookmarkStart w:id="1876" w:name="_CR5_7_6_1"/>
      <w:bookmarkStart w:id="1877" w:name="_Toc20149826"/>
      <w:bookmarkStart w:id="1878" w:name="_Toc27846620"/>
      <w:bookmarkStart w:id="1879" w:name="_Toc36187748"/>
      <w:bookmarkStart w:id="1880" w:name="_Toc45183652"/>
      <w:bookmarkStart w:id="1881" w:name="_Toc47342494"/>
      <w:bookmarkStart w:id="1882" w:name="_Toc51769194"/>
      <w:bookmarkStart w:id="1883" w:name="_Toc201157152"/>
      <w:bookmarkEnd w:id="1876"/>
      <w:r w:rsidRPr="00873B6C">
        <w:t>5.7.6.1</w:t>
      </w:r>
      <w:r w:rsidRPr="00873B6C">
        <w:tab/>
        <w:t>General</w:t>
      </w:r>
      <w:bookmarkEnd w:id="1877"/>
      <w:bookmarkEnd w:id="1878"/>
      <w:bookmarkEnd w:id="1879"/>
      <w:bookmarkEnd w:id="1880"/>
      <w:bookmarkEnd w:id="1881"/>
      <w:bookmarkEnd w:id="1882"/>
      <w:bookmarkEnd w:id="1883"/>
    </w:p>
    <w:p w14:paraId="7DB2FCCF" w14:textId="77777777" w:rsidR="00D40151" w:rsidRPr="00873B6C" w:rsidRDefault="00D40151" w:rsidP="00D40151">
      <w:r w:rsidRPr="00873B6C">
        <w:t>The Packet Filter Set is used in the QoS rule and the PDR to identify one or more packet (IP or Ethernet) flow(s).</w:t>
      </w:r>
    </w:p>
    <w:p w14:paraId="569979A6" w14:textId="77777777" w:rsidR="00D40151" w:rsidRPr="00873B6C" w:rsidRDefault="00D40151" w:rsidP="00D40151">
      <w:pPr>
        <w:pStyle w:val="NO"/>
      </w:pPr>
      <w:r w:rsidRPr="00873B6C">
        <w:t>NOTE 1:</w:t>
      </w:r>
      <w:r w:rsidRPr="00873B6C">
        <w:tab/>
        <w:t>A QoS Flow is characterised by PDR(s) and QoS rule(s) as described in clause 5.7.1.1.</w:t>
      </w:r>
    </w:p>
    <w:p w14:paraId="58DCB73C" w14:textId="77777777" w:rsidR="00D40151" w:rsidRPr="00873B6C" w:rsidRDefault="00D40151" w:rsidP="00D40151">
      <w:pPr>
        <w:pStyle w:val="NO"/>
      </w:pPr>
      <w:r w:rsidRPr="00873B6C">
        <w:t>NOTE 2:</w:t>
      </w:r>
      <w:r w:rsidRPr="00873B6C">
        <w:tab/>
        <w:t>DL Packet Filter in a Packet Filter Set of a QoS rule may be needed by the UE e.g. for the purpose of IMS precondition.</w:t>
      </w:r>
    </w:p>
    <w:p w14:paraId="266E6226" w14:textId="77777777" w:rsidR="00D40151" w:rsidRPr="00873B6C" w:rsidRDefault="00D40151" w:rsidP="00D40151">
      <w:r w:rsidRPr="00873B6C">
        <w:t>The Packet Filter Set may contain one or more Packet Filter(s). Every Packet Filter is applicable for the DL direction, the UL direction or both directions.</w:t>
      </w:r>
    </w:p>
    <w:p w14:paraId="73B80E1D" w14:textId="35B70ECE" w:rsidR="00D40151" w:rsidRPr="00873B6C" w:rsidRDefault="00D40151" w:rsidP="00D40151">
      <w:pPr>
        <w:pStyle w:val="NO"/>
      </w:pPr>
      <w:r w:rsidRPr="00873B6C">
        <w:t>NOTE 3:</w:t>
      </w:r>
      <w:r w:rsidRPr="00873B6C">
        <w:tab/>
        <w:t xml:space="preserve">The Packet Filter in the Packet Filter Set of the default QoS rule that allows all UL traffic (also known as match-all Packet Filter) is described in </w:t>
      </w:r>
      <w:r w:rsidR="00972E70" w:rsidRPr="00873B6C">
        <w:t>TS 24.501 [</w:t>
      </w:r>
      <w:r w:rsidRPr="00873B6C">
        <w:t>47].</w:t>
      </w:r>
    </w:p>
    <w:p w14:paraId="77026538" w14:textId="0DE80AD3" w:rsidR="00D40151" w:rsidRPr="00873B6C" w:rsidRDefault="00D40151" w:rsidP="00D40151">
      <w:pPr>
        <w:rPr>
          <w:lang w:eastAsia="zh-CN"/>
        </w:rPr>
      </w:pPr>
      <w:r w:rsidRPr="00873B6C">
        <w:rPr>
          <w:lang w:eastAsia="zh-CN"/>
        </w:rPr>
        <w:t>There are two types of Packet Filter Set, i.e. IP Packet Filter Set</w:t>
      </w:r>
      <w:r w:rsidR="00472CD7" w:rsidRPr="00873B6C">
        <w:rPr>
          <w:lang w:eastAsia="zh-CN"/>
        </w:rPr>
        <w:t xml:space="preserve"> and</w:t>
      </w:r>
      <w:r w:rsidRPr="00873B6C">
        <w:rPr>
          <w:lang w:eastAsia="zh-CN"/>
        </w:rPr>
        <w:t xml:space="preserve"> Ethernet Packet Filter Set, corresponding to those PDU Session Types.</w:t>
      </w:r>
    </w:p>
    <w:p w14:paraId="31F20AC2" w14:textId="77777777" w:rsidR="00D40151" w:rsidRPr="00873B6C" w:rsidRDefault="00D40151" w:rsidP="00D40151">
      <w:pPr>
        <w:pStyle w:val="Heading4"/>
      </w:pPr>
      <w:bookmarkStart w:id="1884" w:name="_CR5_7_6_2"/>
      <w:bookmarkStart w:id="1885" w:name="_Toc20149827"/>
      <w:bookmarkStart w:id="1886" w:name="_Toc27846621"/>
      <w:bookmarkStart w:id="1887" w:name="_Toc36187749"/>
      <w:bookmarkStart w:id="1888" w:name="_Toc45183653"/>
      <w:bookmarkStart w:id="1889" w:name="_Toc47342495"/>
      <w:bookmarkStart w:id="1890" w:name="_Toc51769195"/>
      <w:bookmarkStart w:id="1891" w:name="_Toc201157153"/>
      <w:bookmarkEnd w:id="1884"/>
      <w:r w:rsidRPr="00873B6C">
        <w:t>5.7.6.2</w:t>
      </w:r>
      <w:r w:rsidRPr="00873B6C">
        <w:tab/>
        <w:t>IP Packet Filter Set</w:t>
      </w:r>
      <w:bookmarkEnd w:id="1885"/>
      <w:bookmarkEnd w:id="1886"/>
      <w:bookmarkEnd w:id="1887"/>
      <w:bookmarkEnd w:id="1888"/>
      <w:bookmarkEnd w:id="1889"/>
      <w:bookmarkEnd w:id="1890"/>
      <w:bookmarkEnd w:id="1891"/>
    </w:p>
    <w:p w14:paraId="2D93803B" w14:textId="77777777" w:rsidR="00D40151" w:rsidRPr="00873B6C" w:rsidRDefault="00D40151" w:rsidP="00D40151">
      <w:r w:rsidRPr="00873B6C">
        <w:t>For IP PDU Session Type, the Packet Filter Set shall support Packet Filters based on at least any combination of:</w:t>
      </w:r>
    </w:p>
    <w:p w14:paraId="0EAB236A" w14:textId="77777777" w:rsidR="00D40151" w:rsidRPr="00873B6C" w:rsidRDefault="00D40151" w:rsidP="00D40151">
      <w:pPr>
        <w:pStyle w:val="B1"/>
      </w:pPr>
      <w:r w:rsidRPr="00873B6C">
        <w:t>-</w:t>
      </w:r>
      <w:r w:rsidRPr="00873B6C">
        <w:tab/>
        <w:t>Source/destination IP address or IPv6 prefix.</w:t>
      </w:r>
    </w:p>
    <w:p w14:paraId="567A5407" w14:textId="77777777" w:rsidR="00D40151" w:rsidRPr="00873B6C" w:rsidRDefault="00D40151" w:rsidP="00D40151">
      <w:pPr>
        <w:pStyle w:val="B1"/>
      </w:pPr>
      <w:r w:rsidRPr="00873B6C">
        <w:t>-</w:t>
      </w:r>
      <w:r w:rsidRPr="00873B6C">
        <w:tab/>
        <w:t>Source / destination port number.</w:t>
      </w:r>
    </w:p>
    <w:p w14:paraId="2DF66510" w14:textId="77777777" w:rsidR="00D40151" w:rsidRPr="00873B6C" w:rsidRDefault="00D40151" w:rsidP="00D40151">
      <w:pPr>
        <w:pStyle w:val="B1"/>
      </w:pPr>
      <w:r w:rsidRPr="00873B6C">
        <w:t>-</w:t>
      </w:r>
      <w:r w:rsidRPr="00873B6C">
        <w:tab/>
        <w:t>Protocol ID of the protocol above IP/Next header type.</w:t>
      </w:r>
    </w:p>
    <w:p w14:paraId="608FEC74" w14:textId="77777777" w:rsidR="00D40151" w:rsidRPr="00873B6C" w:rsidRDefault="00D40151" w:rsidP="00D40151">
      <w:pPr>
        <w:pStyle w:val="B1"/>
      </w:pPr>
      <w:r w:rsidRPr="00873B6C">
        <w:t>-</w:t>
      </w:r>
      <w:r w:rsidRPr="00873B6C">
        <w:tab/>
        <w:t>Type of Service (TOS) (IPv4) / Traffic class (IPv6) and Mask.</w:t>
      </w:r>
    </w:p>
    <w:p w14:paraId="0C6F0F96" w14:textId="77777777" w:rsidR="00D40151" w:rsidRPr="00873B6C" w:rsidRDefault="00D40151" w:rsidP="00D40151">
      <w:pPr>
        <w:pStyle w:val="B1"/>
      </w:pPr>
      <w:r w:rsidRPr="00873B6C">
        <w:t>-</w:t>
      </w:r>
      <w:r w:rsidRPr="00873B6C">
        <w:tab/>
        <w:t>Flow Label (IPv6).</w:t>
      </w:r>
    </w:p>
    <w:p w14:paraId="1BB5A11F" w14:textId="77777777" w:rsidR="00D40151" w:rsidRPr="00873B6C" w:rsidRDefault="00D40151" w:rsidP="00D40151">
      <w:pPr>
        <w:pStyle w:val="B1"/>
      </w:pPr>
      <w:r w:rsidRPr="00873B6C">
        <w:t>-</w:t>
      </w:r>
      <w:r w:rsidRPr="00873B6C">
        <w:tab/>
        <w:t>Security parameter index.</w:t>
      </w:r>
    </w:p>
    <w:p w14:paraId="21F2DB82" w14:textId="77777777" w:rsidR="00D40151" w:rsidRPr="00873B6C" w:rsidRDefault="00D40151" w:rsidP="00D40151">
      <w:pPr>
        <w:pStyle w:val="B1"/>
      </w:pPr>
      <w:r w:rsidRPr="00873B6C">
        <w:t>-</w:t>
      </w:r>
      <w:r w:rsidRPr="00873B6C">
        <w:tab/>
        <w:t>Packet Filter direction.</w:t>
      </w:r>
    </w:p>
    <w:p w14:paraId="7CDBDB5F" w14:textId="77777777" w:rsidR="00D40151" w:rsidRPr="00873B6C" w:rsidRDefault="00D40151" w:rsidP="00D40151">
      <w:pPr>
        <w:pStyle w:val="NO"/>
      </w:pPr>
      <w:r w:rsidRPr="00873B6C">
        <w:lastRenderedPageBreak/>
        <w:t>NOTE 1:</w:t>
      </w:r>
      <w:r w:rsidRPr="00873B6C">
        <w:tab/>
        <w:t>A value left unspecified in a Packet Filter matches any value of the corresponding information in a packet.</w:t>
      </w:r>
    </w:p>
    <w:p w14:paraId="197BC0DA" w14:textId="1A972777" w:rsidR="00D40151" w:rsidRPr="00873B6C" w:rsidRDefault="00D40151" w:rsidP="00D40151">
      <w:pPr>
        <w:pStyle w:val="NO"/>
      </w:pPr>
      <w:r w:rsidRPr="00873B6C">
        <w:t>NOTE 2:</w:t>
      </w:r>
      <w:r w:rsidRPr="00873B6C">
        <w:tab/>
        <w:t xml:space="preserve">An IP address or Prefix </w:t>
      </w:r>
      <w:r w:rsidR="00500903" w:rsidRPr="00873B6C">
        <w:t xml:space="preserve">can </w:t>
      </w:r>
      <w:r w:rsidRPr="00873B6C">
        <w:t>be combined with a prefix mask.</w:t>
      </w:r>
    </w:p>
    <w:p w14:paraId="3BA2300E" w14:textId="33D1CB89" w:rsidR="00D40151" w:rsidRPr="00873B6C" w:rsidRDefault="00D40151" w:rsidP="00D40151">
      <w:pPr>
        <w:pStyle w:val="NO"/>
      </w:pPr>
      <w:r w:rsidRPr="00873B6C">
        <w:t>NOTE 3:</w:t>
      </w:r>
      <w:r w:rsidRPr="00873B6C">
        <w:tab/>
        <w:t xml:space="preserve">Port numbers </w:t>
      </w:r>
      <w:r w:rsidR="00500903" w:rsidRPr="00873B6C">
        <w:t xml:space="preserve">can </w:t>
      </w:r>
      <w:r w:rsidRPr="00873B6C">
        <w:t>be specified as port ranges.</w:t>
      </w:r>
    </w:p>
    <w:p w14:paraId="33930529" w14:textId="33D1CE6A" w:rsidR="00AF2D89" w:rsidRPr="00873B6C" w:rsidRDefault="00AF2D89" w:rsidP="00AF2D89">
      <w:pPr>
        <w:pStyle w:val="NO"/>
      </w:pPr>
      <w:bookmarkStart w:id="1892" w:name="_Toc20149828"/>
      <w:bookmarkStart w:id="1893" w:name="_Toc27846622"/>
      <w:bookmarkStart w:id="1894" w:name="_Toc36187750"/>
      <w:bookmarkStart w:id="1895" w:name="_Toc45183654"/>
      <w:bookmarkStart w:id="1896" w:name="_Toc47342496"/>
      <w:bookmarkStart w:id="1897" w:name="_Toc51769196"/>
      <w:r w:rsidRPr="00873B6C">
        <w:t>NOTE 4:</w:t>
      </w:r>
      <w:r w:rsidRPr="00873B6C">
        <w:tab/>
        <w:t>Type of Service (IPv4)/Traffic class (IPv6) can be used to define packet filters for DSCP and ECN as described in RFC 3168 [193].</w:t>
      </w:r>
    </w:p>
    <w:p w14:paraId="581A6027" w14:textId="77777777" w:rsidR="00D40151" w:rsidRPr="00873B6C" w:rsidRDefault="00D40151" w:rsidP="00D40151">
      <w:pPr>
        <w:pStyle w:val="Heading4"/>
      </w:pPr>
      <w:bookmarkStart w:id="1898" w:name="_CR5_7_6_3"/>
      <w:bookmarkStart w:id="1899" w:name="_Toc201157154"/>
      <w:bookmarkEnd w:id="1898"/>
      <w:r w:rsidRPr="00873B6C">
        <w:t>5.7.6.3</w:t>
      </w:r>
      <w:r w:rsidRPr="00873B6C">
        <w:tab/>
        <w:t>Ethernet Packet Filter Set</w:t>
      </w:r>
      <w:bookmarkEnd w:id="1892"/>
      <w:bookmarkEnd w:id="1893"/>
      <w:bookmarkEnd w:id="1894"/>
      <w:bookmarkEnd w:id="1895"/>
      <w:bookmarkEnd w:id="1896"/>
      <w:bookmarkEnd w:id="1897"/>
      <w:bookmarkEnd w:id="1899"/>
    </w:p>
    <w:p w14:paraId="06E7948F" w14:textId="77777777" w:rsidR="00D40151" w:rsidRPr="00873B6C" w:rsidRDefault="00D40151" w:rsidP="00D40151">
      <w:r w:rsidRPr="00873B6C">
        <w:t>For Ethernet PDU Session Type, the Packet Filter Set shall support Packet Filters based on at least any combination of:</w:t>
      </w:r>
    </w:p>
    <w:p w14:paraId="7D3AE3FF" w14:textId="77777777" w:rsidR="00D40151" w:rsidRPr="00873B6C" w:rsidRDefault="00D40151" w:rsidP="00D40151">
      <w:pPr>
        <w:pStyle w:val="B1"/>
      </w:pPr>
      <w:r w:rsidRPr="00873B6C">
        <w:t>-</w:t>
      </w:r>
      <w:r w:rsidRPr="00873B6C">
        <w:tab/>
        <w:t>Source/destination MAC address.</w:t>
      </w:r>
    </w:p>
    <w:p w14:paraId="5749BABA" w14:textId="42423668" w:rsidR="00D40151" w:rsidRPr="00873B6C" w:rsidRDefault="00D40151" w:rsidP="00D40151">
      <w:pPr>
        <w:pStyle w:val="B1"/>
      </w:pPr>
      <w:r w:rsidRPr="00873B6C">
        <w:t>-</w:t>
      </w:r>
      <w:r w:rsidRPr="00873B6C">
        <w:tab/>
        <w:t>Ethertype as defined in IEEE 802.3</w:t>
      </w:r>
      <w:r w:rsidR="00607A94" w:rsidRPr="00873B6C">
        <w:t> [131]</w:t>
      </w:r>
      <w:r w:rsidRPr="00873B6C">
        <w:t>.</w:t>
      </w:r>
    </w:p>
    <w:p w14:paraId="428D4C9C" w14:textId="77777777" w:rsidR="00D40151" w:rsidRPr="00873B6C" w:rsidRDefault="00D40151" w:rsidP="00D40151">
      <w:pPr>
        <w:pStyle w:val="B1"/>
      </w:pPr>
      <w:r w:rsidRPr="00873B6C">
        <w:t>-</w:t>
      </w:r>
      <w:r w:rsidRPr="00873B6C">
        <w:tab/>
        <w:t>Customer-VLAN tag (C-TAG) and/or Service-VLAN tag (S-TAG) VID fields as defined in IEEE Std 802.1Q</w:t>
      </w:r>
      <w:r w:rsidRPr="00873B6C">
        <w:rPr>
          <w:lang w:eastAsia="zh-CN"/>
        </w:rPr>
        <w:t> [98]</w:t>
      </w:r>
      <w:r w:rsidRPr="00873B6C">
        <w:t>.</w:t>
      </w:r>
    </w:p>
    <w:p w14:paraId="41C0CABF" w14:textId="77777777" w:rsidR="00D40151" w:rsidRPr="00873B6C" w:rsidRDefault="00D40151" w:rsidP="00D40151">
      <w:pPr>
        <w:pStyle w:val="B1"/>
      </w:pPr>
      <w:r w:rsidRPr="00873B6C">
        <w:t>-</w:t>
      </w:r>
      <w:r w:rsidRPr="00873B6C">
        <w:tab/>
        <w:t>Customer-VLAN tag (C-TAG) and/or Service-VLAN tag (S-TAG) PCP/DEI fields as defined in IEEE Std 802.1Q</w:t>
      </w:r>
      <w:r w:rsidRPr="00873B6C">
        <w:rPr>
          <w:lang w:eastAsia="zh-CN"/>
        </w:rPr>
        <w:t> [98]</w:t>
      </w:r>
      <w:r w:rsidRPr="00873B6C">
        <w:t>.</w:t>
      </w:r>
    </w:p>
    <w:p w14:paraId="1C2EE591" w14:textId="77777777" w:rsidR="00D40151" w:rsidRPr="00873B6C" w:rsidRDefault="00D40151" w:rsidP="00D40151">
      <w:pPr>
        <w:pStyle w:val="B1"/>
      </w:pPr>
      <w:r w:rsidRPr="00873B6C">
        <w:t>-</w:t>
      </w:r>
      <w:r w:rsidRPr="00873B6C">
        <w:tab/>
        <w:t>IP Packet Filter Set, in the case that Ethertype indicates IPv4/IPv6 payload.</w:t>
      </w:r>
    </w:p>
    <w:p w14:paraId="4E29BFE5" w14:textId="77777777" w:rsidR="00D40151" w:rsidRPr="00873B6C" w:rsidRDefault="00D40151" w:rsidP="00D40151">
      <w:pPr>
        <w:pStyle w:val="B1"/>
      </w:pPr>
      <w:r w:rsidRPr="00873B6C">
        <w:t>-</w:t>
      </w:r>
      <w:r w:rsidRPr="00873B6C">
        <w:tab/>
        <w:t>Packet Filter direction.</w:t>
      </w:r>
    </w:p>
    <w:p w14:paraId="32B39453" w14:textId="5F8B1B8F" w:rsidR="00D40151" w:rsidRPr="00873B6C" w:rsidRDefault="00D40151" w:rsidP="00D40151">
      <w:pPr>
        <w:pStyle w:val="NO"/>
      </w:pPr>
      <w:r w:rsidRPr="00873B6C">
        <w:t>NOTE 1:</w:t>
      </w:r>
      <w:r w:rsidRPr="00873B6C">
        <w:tab/>
        <w:t xml:space="preserve">The MAC address </w:t>
      </w:r>
      <w:r w:rsidR="00500903" w:rsidRPr="00873B6C">
        <w:t xml:space="preserve">can </w:t>
      </w:r>
      <w:r w:rsidRPr="00873B6C">
        <w:t>be specified as address ranges.</w:t>
      </w:r>
    </w:p>
    <w:p w14:paraId="2E4E0FB7" w14:textId="77777777" w:rsidR="00D40151" w:rsidRPr="00873B6C" w:rsidRDefault="00D40151" w:rsidP="00D40151">
      <w:pPr>
        <w:pStyle w:val="NO"/>
        <w:rPr>
          <w:lang w:eastAsia="zh-CN"/>
        </w:rPr>
      </w:pPr>
      <w:r w:rsidRPr="00873B6C">
        <w:t>NOTE 2:</w:t>
      </w:r>
      <w:r w:rsidRPr="00873B6C">
        <w:tab/>
        <w:t>A value left unspecified in a Packet Filter matches any value of the corresponding information in a packet.</w:t>
      </w:r>
    </w:p>
    <w:p w14:paraId="5D13ED3B" w14:textId="7521C0FD" w:rsidR="00AB1E8D" w:rsidRPr="00873B6C" w:rsidRDefault="00AB1E8D" w:rsidP="00AB1E8D">
      <w:pPr>
        <w:pStyle w:val="Heading3"/>
        <w:rPr>
          <w:lang w:eastAsia="ko-KR"/>
        </w:rPr>
      </w:pPr>
      <w:bookmarkStart w:id="1900" w:name="_CR5_7_7"/>
      <w:bookmarkStart w:id="1901" w:name="_Toc20149829"/>
      <w:bookmarkStart w:id="1902" w:name="_Toc27846623"/>
      <w:bookmarkStart w:id="1903" w:name="_Toc36187751"/>
      <w:bookmarkStart w:id="1904" w:name="_Toc45183655"/>
      <w:bookmarkStart w:id="1905" w:name="_Toc47342497"/>
      <w:bookmarkStart w:id="1906" w:name="_Toc51769197"/>
      <w:bookmarkStart w:id="1907" w:name="_Toc201157155"/>
      <w:bookmarkEnd w:id="1900"/>
      <w:r w:rsidRPr="00873B6C">
        <w:rPr>
          <w:lang w:eastAsia="ko-KR"/>
        </w:rPr>
        <w:t>5.7.7</w:t>
      </w:r>
      <w:r w:rsidRPr="00873B6C">
        <w:rPr>
          <w:lang w:eastAsia="ko-KR"/>
        </w:rPr>
        <w:tab/>
        <w:t>PDU Set QoS Parameters</w:t>
      </w:r>
      <w:bookmarkEnd w:id="1907"/>
    </w:p>
    <w:p w14:paraId="2AF59FED" w14:textId="352FCB28" w:rsidR="00AB1E8D" w:rsidRPr="00873B6C" w:rsidRDefault="00AB1E8D" w:rsidP="00AB1E8D">
      <w:pPr>
        <w:pStyle w:val="Heading4"/>
        <w:rPr>
          <w:lang w:eastAsia="ko-KR"/>
        </w:rPr>
      </w:pPr>
      <w:bookmarkStart w:id="1908" w:name="_CR5_7_7_1"/>
      <w:bookmarkStart w:id="1909" w:name="_Toc201157156"/>
      <w:bookmarkEnd w:id="1908"/>
      <w:r w:rsidRPr="00873B6C">
        <w:rPr>
          <w:lang w:eastAsia="ko-KR"/>
        </w:rPr>
        <w:t>5.7.7.1</w:t>
      </w:r>
      <w:r w:rsidRPr="00873B6C">
        <w:rPr>
          <w:lang w:eastAsia="ko-KR"/>
        </w:rPr>
        <w:tab/>
        <w:t>General</w:t>
      </w:r>
      <w:bookmarkEnd w:id="1909"/>
    </w:p>
    <w:p w14:paraId="30AA9683" w14:textId="6C2A3434" w:rsidR="003D25E4" w:rsidRPr="00873B6C" w:rsidRDefault="00AB1E8D" w:rsidP="00AB1E8D">
      <w:pPr>
        <w:rPr>
          <w:lang w:eastAsia="ko-KR"/>
        </w:rPr>
      </w:pPr>
      <w:r w:rsidRPr="00873B6C">
        <w:rPr>
          <w:lang w:eastAsia="ko-KR"/>
        </w:rPr>
        <w:t>PDU Set QoS Parameters are used to support PDU Set based QoS handling in the NG-RAN.</w:t>
      </w:r>
    </w:p>
    <w:p w14:paraId="40C5FDAB" w14:textId="31D8EA81" w:rsidR="00AB1E8D" w:rsidRPr="00873B6C" w:rsidRDefault="00AB1E8D" w:rsidP="00AB1E8D">
      <w:pPr>
        <w:rPr>
          <w:lang w:eastAsia="ko-KR"/>
        </w:rPr>
      </w:pPr>
      <w:r w:rsidRPr="00873B6C">
        <w:rPr>
          <w:lang w:eastAsia="ko-KR"/>
        </w:rPr>
        <w:t>The following PDU Set QoS</w:t>
      </w:r>
      <w:r w:rsidR="00114986" w:rsidRPr="00873B6C">
        <w:rPr>
          <w:lang w:eastAsia="ko-KR"/>
        </w:rPr>
        <w:t xml:space="preserve"> Parameters are specified</w:t>
      </w:r>
      <w:r w:rsidRPr="00873B6C">
        <w:rPr>
          <w:lang w:eastAsia="ko-KR"/>
        </w:rPr>
        <w:t>:</w:t>
      </w:r>
    </w:p>
    <w:p w14:paraId="75590BD3" w14:textId="3539830B" w:rsidR="00AB1E8D" w:rsidRPr="00873B6C" w:rsidRDefault="00AB1E8D" w:rsidP="00972E70">
      <w:pPr>
        <w:pStyle w:val="B1"/>
      </w:pPr>
      <w:r w:rsidRPr="00873B6C">
        <w:t>1.</w:t>
      </w:r>
      <w:r w:rsidRPr="00873B6C">
        <w:tab/>
        <w:t>PDU Set Delay Budget (PSDB).</w:t>
      </w:r>
    </w:p>
    <w:p w14:paraId="2E3613DD" w14:textId="3B94370C" w:rsidR="00AB1E8D" w:rsidRPr="00873B6C" w:rsidRDefault="00AB1E8D" w:rsidP="00972E70">
      <w:pPr>
        <w:pStyle w:val="B1"/>
      </w:pPr>
      <w:r w:rsidRPr="00873B6C">
        <w:t>2.</w:t>
      </w:r>
      <w:r w:rsidRPr="00873B6C">
        <w:tab/>
        <w:t>PDU Set Error Rate (PSER).</w:t>
      </w:r>
    </w:p>
    <w:p w14:paraId="7D4412C2" w14:textId="7E60AB86" w:rsidR="00AB1E8D" w:rsidRPr="00873B6C" w:rsidRDefault="00AB1E8D" w:rsidP="00972E70">
      <w:pPr>
        <w:pStyle w:val="B1"/>
      </w:pPr>
      <w:r w:rsidRPr="00873B6C">
        <w:t>3.</w:t>
      </w:r>
      <w:r w:rsidRPr="00873B6C">
        <w:tab/>
        <w:t>PDU Set Integrated Handling Information (PSIHI).</w:t>
      </w:r>
    </w:p>
    <w:p w14:paraId="7892996B" w14:textId="569A19D3" w:rsidR="003B4BD9" w:rsidRPr="00873B6C" w:rsidRDefault="00AF2D89" w:rsidP="00AB1E8D">
      <w:pPr>
        <w:rPr>
          <w:lang w:eastAsia="ko-KR"/>
        </w:rPr>
      </w:pPr>
      <w:r w:rsidRPr="00873B6C">
        <w:rPr>
          <w:lang w:eastAsia="ko-KR"/>
        </w:rPr>
        <w:t xml:space="preserve">At least one of the following shall be sent to the NG-RAN to enable PDU Set based handling: 1) a PSIHI and/or 2) both PSDB and PSER. </w:t>
      </w:r>
      <w:r w:rsidR="003B4BD9" w:rsidRPr="00873B6C">
        <w:rPr>
          <w:lang w:eastAsia="ko-KR"/>
        </w:rPr>
        <w:t>For a given QoS Flow, the values of PSDB, PSER and PSIHI can be different for UL and DL.</w:t>
      </w:r>
    </w:p>
    <w:p w14:paraId="79A623B3" w14:textId="598AC692" w:rsidR="00AB1E8D" w:rsidRPr="00873B6C" w:rsidRDefault="00114986" w:rsidP="00AB1E8D">
      <w:pPr>
        <w:rPr>
          <w:lang w:eastAsia="ko-KR"/>
        </w:rPr>
      </w:pPr>
      <w:r w:rsidRPr="00873B6C">
        <w:rPr>
          <w:lang w:eastAsia="ko-KR"/>
        </w:rPr>
        <w:t xml:space="preserve">The </w:t>
      </w:r>
      <w:r w:rsidR="00AB1E8D" w:rsidRPr="00873B6C">
        <w:rPr>
          <w:lang w:eastAsia="ko-KR"/>
        </w:rPr>
        <w:t xml:space="preserve">QoS Profile </w:t>
      </w:r>
      <w:r w:rsidRPr="00873B6C">
        <w:rPr>
          <w:lang w:eastAsia="ko-KR"/>
        </w:rPr>
        <w:t xml:space="preserve">may </w:t>
      </w:r>
      <w:r w:rsidR="00AB1E8D" w:rsidRPr="00873B6C">
        <w:rPr>
          <w:lang w:eastAsia="ko-KR"/>
        </w:rPr>
        <w:t>include the PDU Set QoS Parameters described in this clause (see clause 5.7.1.2)</w:t>
      </w:r>
      <w:r w:rsidR="003B4BD9" w:rsidRPr="00873B6C">
        <w:rPr>
          <w:lang w:eastAsia="ko-KR"/>
        </w:rPr>
        <w:t xml:space="preserve"> for UL and/or DL direction</w:t>
      </w:r>
      <w:r w:rsidR="00AB1E8D" w:rsidRPr="00873B6C">
        <w:rPr>
          <w:lang w:eastAsia="ko-KR"/>
        </w:rPr>
        <w:t>. The PCF determines the PDU Set QoS Parameters based on information provided by AF and/or local configuration. The PDU Set QoS parameters are sent to the SMF as part of PCC rule. The SMF sends them to NG-RAN as part of the QoS Profile.</w:t>
      </w:r>
    </w:p>
    <w:p w14:paraId="57F4C0B3" w14:textId="7819D513" w:rsidR="00AB1E8D" w:rsidRPr="00873B6C" w:rsidRDefault="00AB1E8D" w:rsidP="00AB1E8D">
      <w:pPr>
        <w:rPr>
          <w:lang w:eastAsia="ko-KR"/>
        </w:rPr>
      </w:pPr>
      <w:r w:rsidRPr="00873B6C">
        <w:rPr>
          <w:lang w:eastAsia="ko-KR"/>
        </w:rPr>
        <w:t>If the NG-RAN receives PDU Set QoS Parameters, it</w:t>
      </w:r>
      <w:r w:rsidR="00114986" w:rsidRPr="00873B6C">
        <w:rPr>
          <w:lang w:eastAsia="ko-KR"/>
        </w:rPr>
        <w:t xml:space="preserve"> enables the PDU Set based QoS handling and</w:t>
      </w:r>
      <w:r w:rsidRPr="00873B6C">
        <w:rPr>
          <w:lang w:eastAsia="ko-KR"/>
        </w:rPr>
        <w:t xml:space="preserve"> applies PDU Set QoS Parameters</w:t>
      </w:r>
      <w:r w:rsidR="00893B12" w:rsidRPr="00873B6C">
        <w:rPr>
          <w:lang w:eastAsia="ko-KR"/>
        </w:rPr>
        <w:t xml:space="preserve"> as described in TS 38.300 [27], TS 38.413 [34] and TS 38.331 [51]</w:t>
      </w:r>
      <w:r w:rsidRPr="00873B6C">
        <w:rPr>
          <w:lang w:eastAsia="ko-KR"/>
        </w:rPr>
        <w:t>.</w:t>
      </w:r>
    </w:p>
    <w:p w14:paraId="6DA15A77" w14:textId="77777777" w:rsidR="00AB1E8D" w:rsidRPr="00873B6C" w:rsidRDefault="00AB1E8D" w:rsidP="00972E70">
      <w:pPr>
        <w:pStyle w:val="Heading4"/>
        <w:rPr>
          <w:lang w:eastAsia="ko-KR"/>
        </w:rPr>
      </w:pPr>
      <w:bookmarkStart w:id="1910" w:name="_CR5_7_7_2"/>
      <w:bookmarkStart w:id="1911" w:name="_Toc201157157"/>
      <w:bookmarkEnd w:id="1910"/>
      <w:r w:rsidRPr="00873B6C">
        <w:rPr>
          <w:lang w:eastAsia="ko-KR"/>
        </w:rPr>
        <w:t>5.7.7.2</w:t>
      </w:r>
      <w:r w:rsidRPr="00873B6C">
        <w:rPr>
          <w:lang w:eastAsia="ko-KR"/>
        </w:rPr>
        <w:tab/>
        <w:t>PDU Set Delay Budget</w:t>
      </w:r>
      <w:bookmarkEnd w:id="1911"/>
    </w:p>
    <w:p w14:paraId="22B4DA25" w14:textId="40705612" w:rsidR="00AB1E8D" w:rsidRPr="00873B6C" w:rsidRDefault="00AB1E8D" w:rsidP="00AB1E8D">
      <w:pPr>
        <w:rPr>
          <w:lang w:eastAsia="ko-KR"/>
        </w:rPr>
      </w:pPr>
      <w:r w:rsidRPr="00873B6C">
        <w:rPr>
          <w:lang w:eastAsia="ko-KR"/>
        </w:rPr>
        <w:t xml:space="preserve">The PDU Set Delay Budget (PSDB) defines an upper bound for the delay that a PDU Set may experience for the transfer between the UE and the N6 termination point at the UPF, i.e. the duration between the reception time of the first PDU (at the N6 termination point for DL or the UE for UL) and the time when all PDUs of a PDU Set have been </w:t>
      </w:r>
      <w:r w:rsidRPr="00873B6C">
        <w:rPr>
          <w:lang w:eastAsia="ko-KR"/>
        </w:rPr>
        <w:lastRenderedPageBreak/>
        <w:t xml:space="preserve">successfully received (at the UE for DL or N6 termination point for UL). </w:t>
      </w:r>
      <w:r w:rsidR="0028472D" w:rsidRPr="00873B6C">
        <w:rPr>
          <w:lang w:eastAsia="ko-KR"/>
        </w:rPr>
        <w:t xml:space="preserve">The DL </w:t>
      </w:r>
      <w:r w:rsidRPr="00873B6C">
        <w:rPr>
          <w:lang w:eastAsia="ko-KR"/>
        </w:rPr>
        <w:t>PSDB applies to the DL PDU Set received by the PSA UPF over the N6 interface</w:t>
      </w:r>
      <w:r w:rsidR="00472CD7" w:rsidRPr="00873B6C">
        <w:rPr>
          <w:lang w:eastAsia="ko-KR"/>
        </w:rPr>
        <w:t xml:space="preserve"> and</w:t>
      </w:r>
      <w:r w:rsidR="0028472D" w:rsidRPr="00873B6C">
        <w:rPr>
          <w:lang w:eastAsia="ko-KR"/>
        </w:rPr>
        <w:t xml:space="preserve"> the UL PSDB applies</w:t>
      </w:r>
      <w:r w:rsidRPr="00873B6C">
        <w:rPr>
          <w:lang w:eastAsia="ko-KR"/>
        </w:rPr>
        <w:t xml:space="preserve"> to the UL PDU Set sent by the UE.</w:t>
      </w:r>
    </w:p>
    <w:p w14:paraId="15EC2E82" w14:textId="429DE367" w:rsidR="00AB1E8D" w:rsidRPr="00873B6C" w:rsidRDefault="00AB1E8D" w:rsidP="00972E70">
      <w:pPr>
        <w:pStyle w:val="NO"/>
      </w:pPr>
      <w:r w:rsidRPr="00873B6C">
        <w:t>NOTE</w:t>
      </w:r>
      <w:r w:rsidR="00AF2D89" w:rsidRPr="00873B6C">
        <w:t> 1</w:t>
      </w:r>
      <w:r w:rsidRPr="00873B6C">
        <w:t>:</w:t>
      </w:r>
      <w:r w:rsidRPr="00873B6C">
        <w:tab/>
        <w:t>To enable support for PSDB, it is required that a maximum inter arrival time between the first received PDU and the last received PDU of a PDU Set complies with SLA. This maximum inter arrival time does not exceed PSDB. NG-RAN behaviour when the SLA is not fulfilled is out of scope of this specification.</w:t>
      </w:r>
    </w:p>
    <w:p w14:paraId="76D4B7B4" w14:textId="2A21A3B5" w:rsidR="00AB1E8D" w:rsidRPr="00873B6C" w:rsidRDefault="00AB1E8D" w:rsidP="00AB1E8D">
      <w:pPr>
        <w:rPr>
          <w:lang w:eastAsia="ko-KR"/>
        </w:rPr>
      </w:pPr>
      <w:r w:rsidRPr="00873B6C">
        <w:rPr>
          <w:lang w:eastAsia="ko-KR"/>
        </w:rPr>
        <w:t xml:space="preserve">A QoS Flow is associated with </w:t>
      </w:r>
      <w:r w:rsidR="003B4BD9" w:rsidRPr="00873B6C">
        <w:rPr>
          <w:lang w:eastAsia="ko-KR"/>
        </w:rPr>
        <w:t xml:space="preserve">at most </w:t>
      </w:r>
      <w:r w:rsidRPr="00873B6C">
        <w:rPr>
          <w:lang w:eastAsia="ko-KR"/>
        </w:rPr>
        <w:t>one</w:t>
      </w:r>
      <w:r w:rsidR="0028472D" w:rsidRPr="00873B6C">
        <w:rPr>
          <w:lang w:eastAsia="ko-KR"/>
        </w:rPr>
        <w:t xml:space="preserve"> PSDB</w:t>
      </w:r>
      <w:r w:rsidR="003B4BD9" w:rsidRPr="00873B6C">
        <w:rPr>
          <w:lang w:eastAsia="ko-KR"/>
        </w:rPr>
        <w:t xml:space="preserve"> value per direction</w:t>
      </w:r>
      <w:r w:rsidRPr="00873B6C">
        <w:rPr>
          <w:lang w:eastAsia="ko-KR"/>
        </w:rPr>
        <w:t>. PSDB is an optional parameter that may be provided by the PCF. The provided PSDB can be used by the NG-RAN to support the configuration of scheduling and link layer functions.</w:t>
      </w:r>
    </w:p>
    <w:p w14:paraId="46A43513" w14:textId="4E712CDE" w:rsidR="00AB1E8D" w:rsidRPr="00873B6C" w:rsidRDefault="00AB1E8D" w:rsidP="00AB1E8D">
      <w:pPr>
        <w:rPr>
          <w:lang w:eastAsia="ko-KR"/>
        </w:rPr>
      </w:pPr>
      <w:r w:rsidRPr="00873B6C">
        <w:rPr>
          <w:lang w:eastAsia="ko-KR"/>
        </w:rPr>
        <w:t>When the PSDB is available, the</w:t>
      </w:r>
      <w:r w:rsidR="0028472D" w:rsidRPr="00873B6C">
        <w:rPr>
          <w:lang w:eastAsia="ko-KR"/>
        </w:rPr>
        <w:t xml:space="preserve"> UL and/or DL</w:t>
      </w:r>
      <w:r w:rsidRPr="00873B6C">
        <w:rPr>
          <w:lang w:eastAsia="ko-KR"/>
        </w:rPr>
        <w:t xml:space="preserve"> PSDB supersedes the PDB</w:t>
      </w:r>
      <w:r w:rsidR="0028472D" w:rsidRPr="00873B6C">
        <w:rPr>
          <w:lang w:eastAsia="ko-KR"/>
        </w:rPr>
        <w:t xml:space="preserve"> in the respective direction</w:t>
      </w:r>
      <w:r w:rsidR="00114986" w:rsidRPr="00873B6C">
        <w:rPr>
          <w:lang w:eastAsia="ko-KR"/>
        </w:rPr>
        <w:t xml:space="preserve"> for the given QoS Flow</w:t>
      </w:r>
      <w:r w:rsidR="0028472D" w:rsidRPr="00873B6C">
        <w:rPr>
          <w:lang w:eastAsia="ko-KR"/>
        </w:rPr>
        <w:t xml:space="preserve"> in the NG-RAN</w:t>
      </w:r>
      <w:r w:rsidRPr="00873B6C">
        <w:rPr>
          <w:lang w:eastAsia="ko-KR"/>
        </w:rPr>
        <w:t>.</w:t>
      </w:r>
    </w:p>
    <w:p w14:paraId="7F8F1388" w14:textId="2E75B8E5" w:rsidR="00AF2D89" w:rsidRPr="00873B6C" w:rsidRDefault="00AF2D89" w:rsidP="00AF2D89">
      <w:pPr>
        <w:pStyle w:val="NO"/>
      </w:pPr>
      <w:r w:rsidRPr="00873B6C">
        <w:t>NOTE 2:</w:t>
      </w:r>
      <w:r w:rsidRPr="00873B6C">
        <w:tab/>
        <w:t>See clause 5.7.7.1 for dependency between PDU Set QoS parameters.</w:t>
      </w:r>
    </w:p>
    <w:p w14:paraId="2DE8762B" w14:textId="5669B78B" w:rsidR="00114986" w:rsidRPr="00873B6C" w:rsidRDefault="00114986" w:rsidP="00114986">
      <w:pPr>
        <w:rPr>
          <w:lang w:eastAsia="ko-KR"/>
        </w:rPr>
      </w:pPr>
      <w:r w:rsidRPr="00873B6C">
        <w:rPr>
          <w:lang w:eastAsia="ko-KR"/>
        </w:rPr>
        <w:t>The AN PSDB is derived at NG-RAN by subtracting CN PDB (as described in clause 5.7.3.4) from the PSDB.</w:t>
      </w:r>
    </w:p>
    <w:p w14:paraId="1541A536" w14:textId="77777777" w:rsidR="00AB1E8D" w:rsidRPr="00873B6C" w:rsidRDefault="00AB1E8D" w:rsidP="00972E70">
      <w:pPr>
        <w:pStyle w:val="Heading4"/>
        <w:rPr>
          <w:lang w:eastAsia="ko-KR"/>
        </w:rPr>
      </w:pPr>
      <w:bookmarkStart w:id="1912" w:name="_CR5_7_7_3"/>
      <w:bookmarkStart w:id="1913" w:name="_Toc201157158"/>
      <w:bookmarkEnd w:id="1912"/>
      <w:r w:rsidRPr="00873B6C">
        <w:rPr>
          <w:lang w:eastAsia="ko-KR"/>
        </w:rPr>
        <w:t>5.7.7.3</w:t>
      </w:r>
      <w:r w:rsidRPr="00873B6C">
        <w:rPr>
          <w:lang w:eastAsia="ko-KR"/>
        </w:rPr>
        <w:tab/>
        <w:t>PDU Set Error Rate</w:t>
      </w:r>
      <w:bookmarkEnd w:id="1913"/>
    </w:p>
    <w:p w14:paraId="0577A751" w14:textId="77777777" w:rsidR="00AB1E8D" w:rsidRPr="00873B6C" w:rsidRDefault="00AB1E8D" w:rsidP="00AB1E8D">
      <w:pPr>
        <w:rPr>
          <w:lang w:eastAsia="ko-KR"/>
        </w:rPr>
      </w:pPr>
      <w:r w:rsidRPr="00873B6C">
        <w:rPr>
          <w:lang w:eastAsia="ko-KR"/>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PDU Set losses. The purpose of the PSER is to allow for appropriate link layer protocol configurations (e.g. RLC and HARQ in RAN of a 3GPP access).</w:t>
      </w:r>
    </w:p>
    <w:p w14:paraId="5E9DB36B" w14:textId="232B455A" w:rsidR="00AB1E8D" w:rsidRPr="00873B6C" w:rsidRDefault="00AB1E8D" w:rsidP="00972E70">
      <w:pPr>
        <w:pStyle w:val="NO"/>
      </w:pPr>
      <w:r w:rsidRPr="00873B6C">
        <w:t>NOTE</w:t>
      </w:r>
      <w:r w:rsidR="00114986" w:rsidRPr="00873B6C">
        <w:t> 1</w:t>
      </w:r>
      <w:r w:rsidRPr="00873B6C">
        <w:t>:</w:t>
      </w:r>
      <w:r w:rsidRPr="00873B6C">
        <w:tab/>
        <w:t>In this Release, a PDU Set is considered as successfully delivered only when all PDUs of a PDU Set are delivered successfully.</w:t>
      </w:r>
    </w:p>
    <w:p w14:paraId="06E44352" w14:textId="4D478F03" w:rsidR="00114986" w:rsidRPr="00873B6C" w:rsidRDefault="00114986" w:rsidP="00114986">
      <w:pPr>
        <w:pStyle w:val="NO"/>
      </w:pPr>
      <w:r w:rsidRPr="00873B6C">
        <w:t>NOTE 2:</w:t>
      </w:r>
      <w:r w:rsidRPr="00873B6C">
        <w:tab/>
        <w:t>How RAN enforces PSER is up to RAN implementation.</w:t>
      </w:r>
    </w:p>
    <w:p w14:paraId="5E25B2ED" w14:textId="6792111F" w:rsidR="00AB1E8D" w:rsidRPr="00873B6C" w:rsidRDefault="00AB1E8D" w:rsidP="00AB1E8D">
      <w:pPr>
        <w:rPr>
          <w:lang w:eastAsia="ko-KR"/>
        </w:rPr>
      </w:pPr>
      <w:r w:rsidRPr="00873B6C">
        <w:rPr>
          <w:lang w:eastAsia="ko-KR"/>
        </w:rPr>
        <w:t xml:space="preserve">A QoS Flow is associated with </w:t>
      </w:r>
      <w:r w:rsidR="003B4BD9" w:rsidRPr="00873B6C">
        <w:rPr>
          <w:lang w:eastAsia="ko-KR"/>
        </w:rPr>
        <w:t xml:space="preserve">at most </w:t>
      </w:r>
      <w:r w:rsidRPr="00873B6C">
        <w:rPr>
          <w:lang w:eastAsia="ko-KR"/>
        </w:rPr>
        <w:t>one</w:t>
      </w:r>
      <w:r w:rsidR="0028472D" w:rsidRPr="00873B6C">
        <w:rPr>
          <w:lang w:eastAsia="ko-KR"/>
        </w:rPr>
        <w:t xml:space="preserve"> PSER</w:t>
      </w:r>
      <w:r w:rsidR="003B4BD9" w:rsidRPr="00873B6C">
        <w:rPr>
          <w:lang w:eastAsia="ko-KR"/>
        </w:rPr>
        <w:t xml:space="preserve"> value per direction</w:t>
      </w:r>
      <w:r w:rsidRPr="00873B6C">
        <w:rPr>
          <w:lang w:eastAsia="ko-KR"/>
        </w:rPr>
        <w:t>.</w:t>
      </w:r>
      <w:r w:rsidR="00114986" w:rsidRPr="00873B6C">
        <w:rPr>
          <w:lang w:eastAsia="ko-KR"/>
        </w:rPr>
        <w:t xml:space="preserve"> PSER is an optional parameter.</w:t>
      </w:r>
      <w:r w:rsidRPr="00873B6C">
        <w:rPr>
          <w:lang w:eastAsia="ko-KR"/>
        </w:rPr>
        <w:t xml:space="preserve"> If the PSER is available, the</w:t>
      </w:r>
      <w:r w:rsidR="0028472D" w:rsidRPr="00873B6C">
        <w:rPr>
          <w:lang w:eastAsia="ko-KR"/>
        </w:rPr>
        <w:t xml:space="preserve"> UL and/or DL</w:t>
      </w:r>
      <w:r w:rsidRPr="00873B6C">
        <w:rPr>
          <w:lang w:eastAsia="ko-KR"/>
        </w:rPr>
        <w:t xml:space="preserve"> PSER supersedes the PER</w:t>
      </w:r>
      <w:r w:rsidR="0028472D" w:rsidRPr="00873B6C">
        <w:rPr>
          <w:lang w:eastAsia="ko-KR"/>
        </w:rPr>
        <w:t xml:space="preserve"> in the respective direction in the NG-RAN</w:t>
      </w:r>
      <w:r w:rsidRPr="00873B6C">
        <w:rPr>
          <w:lang w:eastAsia="ko-KR"/>
        </w:rPr>
        <w:t>.</w:t>
      </w:r>
    </w:p>
    <w:p w14:paraId="26135CFC" w14:textId="6BEA0D5D" w:rsidR="00AF2D89" w:rsidRPr="00873B6C" w:rsidRDefault="00AF2D89" w:rsidP="00AF2D89">
      <w:pPr>
        <w:pStyle w:val="NO"/>
      </w:pPr>
      <w:r w:rsidRPr="00873B6C">
        <w:t>NOTE 3:</w:t>
      </w:r>
      <w:r w:rsidRPr="00873B6C">
        <w:tab/>
        <w:t>See clause 5.7.7.1 for dependency between PDU Set QoS parameters.</w:t>
      </w:r>
    </w:p>
    <w:p w14:paraId="19AB0682" w14:textId="77777777" w:rsidR="00AB1E8D" w:rsidRPr="00873B6C" w:rsidRDefault="00AB1E8D" w:rsidP="00972E70">
      <w:pPr>
        <w:pStyle w:val="Heading4"/>
        <w:rPr>
          <w:lang w:eastAsia="ko-KR"/>
        </w:rPr>
      </w:pPr>
      <w:bookmarkStart w:id="1914" w:name="_CR5_7_7_4"/>
      <w:bookmarkStart w:id="1915" w:name="_Toc201157159"/>
      <w:bookmarkEnd w:id="1914"/>
      <w:r w:rsidRPr="00873B6C">
        <w:rPr>
          <w:lang w:eastAsia="ko-KR"/>
        </w:rPr>
        <w:t>5.7.7.4</w:t>
      </w:r>
      <w:r w:rsidRPr="00873B6C">
        <w:rPr>
          <w:lang w:eastAsia="ko-KR"/>
        </w:rPr>
        <w:tab/>
        <w:t>PDU Set Integrated Handling Information</w:t>
      </w:r>
      <w:bookmarkEnd w:id="1915"/>
    </w:p>
    <w:p w14:paraId="25C07042" w14:textId="0D00F5C3" w:rsidR="00AB1E8D" w:rsidRPr="00873B6C" w:rsidRDefault="00AB1E8D" w:rsidP="00AB1E8D">
      <w:pPr>
        <w:rPr>
          <w:lang w:eastAsia="ko-KR"/>
        </w:rPr>
      </w:pPr>
      <w:r w:rsidRPr="00873B6C">
        <w:rPr>
          <w:lang w:eastAsia="ko-KR"/>
        </w:rPr>
        <w:t>The PDU Set Integrated Handling Information (PSIHI) indicates whether all PDUs of the PDU Set are needed for the usage of the PDU Set by the application layer in the receiver side.</w:t>
      </w:r>
      <w:r w:rsidR="00114986" w:rsidRPr="00873B6C">
        <w:rPr>
          <w:lang w:eastAsia="ko-KR"/>
        </w:rPr>
        <w:t xml:space="preserve"> PSIHI is an optional parameter.</w:t>
      </w:r>
      <w:r w:rsidR="003B4BD9" w:rsidRPr="00873B6C">
        <w:rPr>
          <w:lang w:eastAsia="ko-KR"/>
        </w:rPr>
        <w:t xml:space="preserve"> A QoS Flow is associated with at most one PSIHI value per direction.</w:t>
      </w:r>
    </w:p>
    <w:p w14:paraId="03BDB7FA" w14:textId="77777777" w:rsidR="00D40151" w:rsidRPr="00873B6C" w:rsidRDefault="00D40151" w:rsidP="00D40151">
      <w:pPr>
        <w:pStyle w:val="Heading2"/>
      </w:pPr>
      <w:bookmarkStart w:id="1916" w:name="_CR5_8"/>
      <w:bookmarkStart w:id="1917" w:name="_Toc201157160"/>
      <w:bookmarkEnd w:id="1916"/>
      <w:r w:rsidRPr="00873B6C">
        <w:t>5.8</w:t>
      </w:r>
      <w:r w:rsidRPr="00873B6C">
        <w:tab/>
        <w:t>User Plane Management</w:t>
      </w:r>
      <w:bookmarkEnd w:id="1901"/>
      <w:bookmarkEnd w:id="1902"/>
      <w:bookmarkEnd w:id="1903"/>
      <w:bookmarkEnd w:id="1904"/>
      <w:bookmarkEnd w:id="1905"/>
      <w:bookmarkEnd w:id="1906"/>
      <w:bookmarkEnd w:id="1917"/>
    </w:p>
    <w:p w14:paraId="204792CB" w14:textId="77777777" w:rsidR="00D40151" w:rsidRPr="00873B6C" w:rsidRDefault="00D40151" w:rsidP="00D40151">
      <w:pPr>
        <w:pStyle w:val="Heading3"/>
        <w:rPr>
          <w:lang w:eastAsia="ko-KR"/>
        </w:rPr>
      </w:pPr>
      <w:bookmarkStart w:id="1918" w:name="_CR5_8_1"/>
      <w:bookmarkStart w:id="1919" w:name="_Toc20149830"/>
      <w:bookmarkStart w:id="1920" w:name="_Toc27846624"/>
      <w:bookmarkStart w:id="1921" w:name="_Toc36187752"/>
      <w:bookmarkStart w:id="1922" w:name="_Toc45183656"/>
      <w:bookmarkStart w:id="1923" w:name="_Toc47342498"/>
      <w:bookmarkStart w:id="1924" w:name="_Toc51769198"/>
      <w:bookmarkStart w:id="1925" w:name="_Toc201157161"/>
      <w:bookmarkEnd w:id="1918"/>
      <w:r w:rsidRPr="00873B6C">
        <w:rPr>
          <w:lang w:eastAsia="ko-KR"/>
        </w:rPr>
        <w:t>5.8.1</w:t>
      </w:r>
      <w:r w:rsidRPr="00873B6C">
        <w:rPr>
          <w:lang w:eastAsia="ko-KR"/>
        </w:rPr>
        <w:tab/>
        <w:t>General</w:t>
      </w:r>
      <w:bookmarkEnd w:id="1919"/>
      <w:bookmarkEnd w:id="1920"/>
      <w:bookmarkEnd w:id="1921"/>
      <w:bookmarkEnd w:id="1922"/>
      <w:bookmarkEnd w:id="1923"/>
      <w:bookmarkEnd w:id="1924"/>
      <w:bookmarkEnd w:id="1925"/>
    </w:p>
    <w:p w14:paraId="74D72639" w14:textId="77777777" w:rsidR="00D40151" w:rsidRPr="00873B6C" w:rsidRDefault="00D40151" w:rsidP="00D40151">
      <w:r w:rsidRPr="00873B6C">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873B6C" w:rsidRDefault="00D40151" w:rsidP="00D40151">
      <w:r w:rsidRPr="00873B6C">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873B6C" w:rsidRDefault="00D40151" w:rsidP="00D40151">
      <w:r w:rsidRPr="00873B6C">
        <w:t>If the SMF had requested the UPF to proxy ARP or IPv6 Neighbour Solicitation for an Ethernet DNN, the UPF should respond to the ARP or IPv6 Neighbour Solicitation Request, itself.</w:t>
      </w:r>
    </w:p>
    <w:p w14:paraId="58A9C96B" w14:textId="77777777" w:rsidR="00D40151" w:rsidRPr="00873B6C" w:rsidRDefault="00D40151" w:rsidP="00D40151">
      <w:r w:rsidRPr="00873B6C">
        <w:t>Deployments with one single UPF used to serve a PDU Session do not apply to the Home Routed case and may not apply to the cases described in clause 5.6.4.</w:t>
      </w:r>
    </w:p>
    <w:p w14:paraId="04A0F221" w14:textId="77777777" w:rsidR="00D40151" w:rsidRPr="00873B6C" w:rsidRDefault="00D40151" w:rsidP="00D40151">
      <w:r w:rsidRPr="00873B6C">
        <w:rPr>
          <w:lang w:eastAsia="fr-FR"/>
        </w:rPr>
        <w:lastRenderedPageBreak/>
        <w:t>Deployments where a UPF is controlled either by a single SMF or multiple SMFs (for different PDU Sessions) are supported.</w:t>
      </w:r>
    </w:p>
    <w:p w14:paraId="2D7590D0" w14:textId="77777777" w:rsidR="00D40151" w:rsidRPr="00873B6C" w:rsidRDefault="00D40151" w:rsidP="00D40151">
      <w:r w:rsidRPr="00873B6C">
        <w:t>UPF traffic detection capabilities may be used by the SMF in order to control at least following features of the UPF:</w:t>
      </w:r>
    </w:p>
    <w:p w14:paraId="12415794" w14:textId="77777777" w:rsidR="00D40151" w:rsidRPr="00873B6C" w:rsidRDefault="00D40151" w:rsidP="00D40151">
      <w:pPr>
        <w:pStyle w:val="B1"/>
        <w:rPr>
          <w:lang w:eastAsia="zh-CN"/>
        </w:rPr>
      </w:pPr>
      <w:r w:rsidRPr="00873B6C">
        <w:rPr>
          <w:lang w:eastAsia="zh-CN"/>
        </w:rPr>
        <w:t>-</w:t>
      </w:r>
      <w:r w:rsidRPr="00873B6C">
        <w:rPr>
          <w:lang w:eastAsia="zh-CN"/>
        </w:rPr>
        <w:tab/>
        <w:t>Traffic detection (e.g. classifying traffic of IP type, Ethernet type, or unstructured type)</w:t>
      </w:r>
    </w:p>
    <w:p w14:paraId="6FC97E56" w14:textId="77777777" w:rsidR="00D40151" w:rsidRPr="00873B6C" w:rsidRDefault="00D40151" w:rsidP="00D40151">
      <w:pPr>
        <w:pStyle w:val="B1"/>
      </w:pPr>
      <w:r w:rsidRPr="00873B6C">
        <w:t>-</w:t>
      </w:r>
      <w:r w:rsidRPr="00873B6C">
        <w:tab/>
        <w:t>Traffic reporting (e.g. allowing SMF support for charging).</w:t>
      </w:r>
    </w:p>
    <w:p w14:paraId="2000A494" w14:textId="77777777" w:rsidR="00D40151" w:rsidRPr="00873B6C" w:rsidRDefault="00D40151" w:rsidP="00D40151">
      <w:pPr>
        <w:pStyle w:val="B1"/>
      </w:pPr>
      <w:r w:rsidRPr="00873B6C">
        <w:t>-</w:t>
      </w:r>
      <w:r w:rsidRPr="00873B6C">
        <w:tab/>
        <w:t>QoS enforcement (The corresponding requirements are defined in clause 5.7).</w:t>
      </w:r>
    </w:p>
    <w:p w14:paraId="53B674A4" w14:textId="77777777" w:rsidR="00D40151" w:rsidRPr="00873B6C" w:rsidRDefault="00D40151" w:rsidP="00D40151">
      <w:pPr>
        <w:pStyle w:val="B1"/>
      </w:pPr>
      <w:r w:rsidRPr="00873B6C">
        <w:t>-</w:t>
      </w:r>
      <w:r w:rsidRPr="00873B6C">
        <w:tab/>
        <w:t>Traffic routing (e.g. as defined in clause 5.6.4. for UL CL or IPv6 multi-homing).</w:t>
      </w:r>
    </w:p>
    <w:p w14:paraId="19A59E3C" w14:textId="77777777" w:rsidR="00D40151" w:rsidRPr="00873B6C" w:rsidRDefault="00D40151" w:rsidP="00D40151">
      <w:pPr>
        <w:pStyle w:val="Heading3"/>
        <w:rPr>
          <w:lang w:eastAsia="ko-KR"/>
        </w:rPr>
      </w:pPr>
      <w:bookmarkStart w:id="1926" w:name="_CR5_8_2"/>
      <w:bookmarkStart w:id="1927" w:name="_Toc20149831"/>
      <w:bookmarkStart w:id="1928" w:name="_Toc27846625"/>
      <w:bookmarkStart w:id="1929" w:name="_Toc36187753"/>
      <w:bookmarkStart w:id="1930" w:name="_Toc45183657"/>
      <w:bookmarkStart w:id="1931" w:name="_Toc47342499"/>
      <w:bookmarkStart w:id="1932" w:name="_Toc51769199"/>
      <w:bookmarkStart w:id="1933" w:name="_Toc201157162"/>
      <w:bookmarkEnd w:id="1926"/>
      <w:r w:rsidRPr="00873B6C">
        <w:rPr>
          <w:lang w:eastAsia="ko-KR"/>
        </w:rPr>
        <w:t>5.8.2</w:t>
      </w:r>
      <w:r w:rsidRPr="00873B6C">
        <w:rPr>
          <w:lang w:eastAsia="ko-KR"/>
        </w:rPr>
        <w:tab/>
        <w:t>Functional Description</w:t>
      </w:r>
      <w:bookmarkEnd w:id="1927"/>
      <w:bookmarkEnd w:id="1928"/>
      <w:bookmarkEnd w:id="1929"/>
      <w:bookmarkEnd w:id="1930"/>
      <w:bookmarkEnd w:id="1931"/>
      <w:bookmarkEnd w:id="1932"/>
      <w:bookmarkEnd w:id="1933"/>
    </w:p>
    <w:p w14:paraId="01B4116F" w14:textId="77777777" w:rsidR="00D40151" w:rsidRPr="00873B6C" w:rsidRDefault="00D40151" w:rsidP="00D40151">
      <w:pPr>
        <w:pStyle w:val="Heading4"/>
        <w:rPr>
          <w:lang w:eastAsia="ko-KR"/>
        </w:rPr>
      </w:pPr>
      <w:bookmarkStart w:id="1934" w:name="_CR5_8_2_1"/>
      <w:bookmarkStart w:id="1935" w:name="_Toc20149832"/>
      <w:bookmarkStart w:id="1936" w:name="_Toc27846626"/>
      <w:bookmarkStart w:id="1937" w:name="_Toc36187754"/>
      <w:bookmarkStart w:id="1938" w:name="_Toc45183658"/>
      <w:bookmarkStart w:id="1939" w:name="_Toc47342500"/>
      <w:bookmarkStart w:id="1940" w:name="_Toc51769200"/>
      <w:bookmarkStart w:id="1941" w:name="_Toc201157163"/>
      <w:bookmarkEnd w:id="1934"/>
      <w:r w:rsidRPr="00873B6C">
        <w:rPr>
          <w:lang w:eastAsia="ko-KR"/>
        </w:rPr>
        <w:t>5.8.2.1</w:t>
      </w:r>
      <w:r w:rsidRPr="00873B6C">
        <w:rPr>
          <w:lang w:eastAsia="ko-KR"/>
        </w:rPr>
        <w:tab/>
        <w:t>General</w:t>
      </w:r>
      <w:bookmarkEnd w:id="1935"/>
      <w:bookmarkEnd w:id="1936"/>
      <w:bookmarkEnd w:id="1937"/>
      <w:bookmarkEnd w:id="1938"/>
      <w:bookmarkEnd w:id="1939"/>
      <w:bookmarkEnd w:id="1940"/>
      <w:bookmarkEnd w:id="1941"/>
    </w:p>
    <w:p w14:paraId="740D7430" w14:textId="77777777" w:rsidR="00D40151" w:rsidRPr="00873B6C" w:rsidRDefault="00D40151" w:rsidP="00D40151">
      <w:r w:rsidRPr="00873B6C">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873B6C" w:rsidRDefault="00D40151" w:rsidP="00D40151">
      <w:pPr>
        <w:pStyle w:val="Heading4"/>
        <w:rPr>
          <w:lang w:eastAsia="ko-KR"/>
        </w:rPr>
      </w:pPr>
      <w:bookmarkStart w:id="1942" w:name="_CR5_8_2_2"/>
      <w:bookmarkStart w:id="1943" w:name="_Toc20149833"/>
      <w:bookmarkStart w:id="1944" w:name="_Toc27846627"/>
      <w:bookmarkStart w:id="1945" w:name="_Toc36187755"/>
      <w:bookmarkStart w:id="1946" w:name="_Toc45183659"/>
      <w:bookmarkStart w:id="1947" w:name="_Toc47342501"/>
      <w:bookmarkStart w:id="1948" w:name="_Toc51769201"/>
      <w:bookmarkStart w:id="1949" w:name="_Toc201157164"/>
      <w:bookmarkEnd w:id="1942"/>
      <w:r w:rsidRPr="00873B6C">
        <w:rPr>
          <w:lang w:eastAsia="ko-KR"/>
        </w:rPr>
        <w:t>5.8.2.2</w:t>
      </w:r>
      <w:r w:rsidRPr="00873B6C">
        <w:rPr>
          <w:lang w:eastAsia="ko-KR"/>
        </w:rPr>
        <w:tab/>
        <w:t>UE IP Address Management</w:t>
      </w:r>
      <w:bookmarkEnd w:id="1943"/>
      <w:bookmarkEnd w:id="1944"/>
      <w:bookmarkEnd w:id="1945"/>
      <w:bookmarkEnd w:id="1946"/>
      <w:bookmarkEnd w:id="1947"/>
      <w:bookmarkEnd w:id="1948"/>
      <w:bookmarkEnd w:id="1949"/>
    </w:p>
    <w:p w14:paraId="06520729" w14:textId="77777777" w:rsidR="00D40151" w:rsidRPr="00873B6C" w:rsidRDefault="00D40151" w:rsidP="00D40151">
      <w:pPr>
        <w:pStyle w:val="Heading5"/>
        <w:rPr>
          <w:lang w:eastAsia="ko-KR"/>
        </w:rPr>
      </w:pPr>
      <w:bookmarkStart w:id="1950" w:name="_CR5_8_2_2_1"/>
      <w:bookmarkStart w:id="1951" w:name="_Toc20149834"/>
      <w:bookmarkStart w:id="1952" w:name="_Toc27846628"/>
      <w:bookmarkStart w:id="1953" w:name="_Toc36187756"/>
      <w:bookmarkStart w:id="1954" w:name="_Toc45183660"/>
      <w:bookmarkStart w:id="1955" w:name="_Toc47342502"/>
      <w:bookmarkStart w:id="1956" w:name="_Toc51769202"/>
      <w:bookmarkStart w:id="1957" w:name="_Toc201157165"/>
      <w:bookmarkEnd w:id="1950"/>
      <w:r w:rsidRPr="00873B6C">
        <w:rPr>
          <w:lang w:eastAsia="ko-KR"/>
        </w:rPr>
        <w:t>5.8.2.2.1</w:t>
      </w:r>
      <w:r w:rsidRPr="00873B6C">
        <w:rPr>
          <w:lang w:eastAsia="ko-KR"/>
        </w:rPr>
        <w:tab/>
        <w:t>General</w:t>
      </w:r>
      <w:bookmarkEnd w:id="1951"/>
      <w:bookmarkEnd w:id="1952"/>
      <w:bookmarkEnd w:id="1953"/>
      <w:bookmarkEnd w:id="1954"/>
      <w:bookmarkEnd w:id="1955"/>
      <w:bookmarkEnd w:id="1956"/>
      <w:bookmarkEnd w:id="1957"/>
    </w:p>
    <w:p w14:paraId="13E9525D" w14:textId="77777777" w:rsidR="00D40151" w:rsidRPr="00873B6C" w:rsidRDefault="00D40151" w:rsidP="00D40151">
      <w:pPr>
        <w:rPr>
          <w:lang w:eastAsia="ko-KR"/>
        </w:rPr>
      </w:pPr>
      <w:r w:rsidRPr="00873B6C">
        <w:t>The UE IP address management includes allocation and release of the UE IP address as well as renewal of the allocated IP address, where applicable</w:t>
      </w:r>
      <w:r w:rsidRPr="00873B6C">
        <w:rPr>
          <w:lang w:eastAsia="ko-KR"/>
        </w:rPr>
        <w:t>.</w:t>
      </w:r>
    </w:p>
    <w:p w14:paraId="0C5AFBBF" w14:textId="01C51911" w:rsidR="00D51D1B" w:rsidRPr="00873B6C" w:rsidRDefault="00D51D1B" w:rsidP="00D51D1B">
      <w:pPr>
        <w:rPr>
          <w:lang w:eastAsia="ko-KR"/>
        </w:rPr>
      </w:pPr>
      <w:r w:rsidRPr="00873B6C">
        <w:rPr>
          <w:lang w:eastAsia="ko-KR"/>
        </w:rPr>
        <w:t xml:space="preserve">The UE shall perform the association of the application to a new PDU Session described in clause 6.1.2.2.1 of </w:t>
      </w:r>
      <w:r w:rsidR="00972E70" w:rsidRPr="00873B6C">
        <w:rPr>
          <w:lang w:eastAsia="ko-KR"/>
        </w:rPr>
        <w:t>TS 23.503 [</w:t>
      </w:r>
      <w:r w:rsidRPr="00873B6C">
        <w:rPr>
          <w:lang w:eastAsia="ko-KR"/>
        </w:rPr>
        <w:t>4</w:t>
      </w:r>
      <w:r w:rsidR="00972E70" w:rsidRPr="00873B6C">
        <w:rPr>
          <w:lang w:eastAsia="ko-KR"/>
        </w:rPr>
        <w:t>5</w:t>
      </w:r>
      <w:r w:rsidRPr="00873B6C">
        <w:rPr>
          <w:lang w:eastAsia="ko-KR"/>
        </w:rPr>
        <w:t>], with the following considerations:</w:t>
      </w:r>
    </w:p>
    <w:p w14:paraId="7909828A" w14:textId="447332D5" w:rsidR="00D40151" w:rsidRPr="00873B6C" w:rsidRDefault="00D40151" w:rsidP="00D40151">
      <w:pPr>
        <w:pStyle w:val="B1"/>
      </w:pPr>
      <w:r w:rsidRPr="00873B6C">
        <w:t>-</w:t>
      </w:r>
      <w:r w:rsidRPr="00873B6C">
        <w:tab/>
        <w:t>If there is a matching URSP rule</w:t>
      </w:r>
      <w:r w:rsidR="00D51D1B" w:rsidRPr="00873B6C">
        <w:t>, except the URSP rule with the "match all" Traffic descriptor,</w:t>
      </w:r>
      <w:r w:rsidRPr="00873B6C">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D51D1B" w:rsidRPr="00873B6C">
        <w:t xml:space="preserve"> Detailed operation is described in </w:t>
      </w:r>
      <w:r w:rsidR="00972E70" w:rsidRPr="00873B6C">
        <w:t>TS 24.526 [</w:t>
      </w:r>
      <w:r w:rsidR="00D51D1B" w:rsidRPr="00873B6C">
        <w:t>110].</w:t>
      </w:r>
    </w:p>
    <w:p w14:paraId="618C460C" w14:textId="3DD6BA91" w:rsidR="00D51D1B" w:rsidRPr="00873B6C" w:rsidRDefault="00D51D1B" w:rsidP="00D40151">
      <w:pPr>
        <w:pStyle w:val="B1"/>
      </w:pPr>
      <w:r w:rsidRPr="00873B6C">
        <w:t>-</w:t>
      </w:r>
      <w:r w:rsidRPr="00873B6C">
        <w:tab/>
        <w:t xml:space="preserve">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w:t>
      </w:r>
      <w:r w:rsidR="00972E70" w:rsidRPr="00873B6C">
        <w:t>TS 24.526 [</w:t>
      </w:r>
      <w:r w:rsidRPr="00873B6C">
        <w:t>110].</w:t>
      </w:r>
    </w:p>
    <w:p w14:paraId="7CE1D048" w14:textId="55BF9B5B" w:rsidR="00D40151" w:rsidRPr="00873B6C" w:rsidRDefault="00D40151" w:rsidP="00D40151">
      <w:pPr>
        <w:pStyle w:val="B1"/>
      </w:pPr>
      <w:r w:rsidRPr="00873B6C">
        <w:t>-</w:t>
      </w:r>
      <w:r w:rsidRPr="00873B6C">
        <w:tab/>
        <w:t>Otherwise, the UE shall set the requested PDU Session Type during the PDU Session Establishment procedure based on its IP stack capabilities as follows:</w:t>
      </w:r>
    </w:p>
    <w:p w14:paraId="7E004693" w14:textId="77777777" w:rsidR="00D40151" w:rsidRPr="00873B6C" w:rsidRDefault="00D40151" w:rsidP="00972E70">
      <w:pPr>
        <w:pStyle w:val="B2"/>
      </w:pPr>
      <w:r w:rsidRPr="00873B6C">
        <w:t>-</w:t>
      </w:r>
      <w:r w:rsidRPr="00873B6C">
        <w:tab/>
        <w:t>A UE which supports IPv6 and IPv4 shall set the requested PDU Session Type "IPv4v6".</w:t>
      </w:r>
    </w:p>
    <w:p w14:paraId="6BA06F4F" w14:textId="77777777" w:rsidR="00D40151" w:rsidRPr="00873B6C" w:rsidRDefault="00D40151" w:rsidP="00972E70">
      <w:pPr>
        <w:pStyle w:val="B2"/>
      </w:pPr>
      <w:r w:rsidRPr="00873B6C">
        <w:t>-</w:t>
      </w:r>
      <w:r w:rsidRPr="00873B6C">
        <w:tab/>
        <w:t>A UE which supports only IPv4 shall request for PDU Session Type "IPv4".</w:t>
      </w:r>
    </w:p>
    <w:p w14:paraId="04DB17EC" w14:textId="77777777" w:rsidR="00D40151" w:rsidRPr="00873B6C" w:rsidRDefault="00D40151" w:rsidP="00972E70">
      <w:pPr>
        <w:pStyle w:val="B2"/>
      </w:pPr>
      <w:r w:rsidRPr="00873B6C">
        <w:t>-</w:t>
      </w:r>
      <w:r w:rsidRPr="00873B6C">
        <w:tab/>
        <w:t>A UE which supports only IPv6 shall request for PDU Session Type "IPv6".</w:t>
      </w:r>
    </w:p>
    <w:p w14:paraId="643173B3" w14:textId="77777777" w:rsidR="00D40151" w:rsidRPr="00873B6C" w:rsidRDefault="00D40151" w:rsidP="00972E70">
      <w:pPr>
        <w:pStyle w:val="B2"/>
      </w:pPr>
      <w:r w:rsidRPr="00873B6C">
        <w:t>-</w:t>
      </w:r>
      <w:r w:rsidRPr="00873B6C">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873B6C" w:rsidRDefault="00D40151" w:rsidP="00D40151">
      <w:r w:rsidRPr="00873B6C">
        <w:t>The SMF selects PDU Session Type of the PDU Session as follows:</w:t>
      </w:r>
    </w:p>
    <w:p w14:paraId="5B51BE56" w14:textId="77777777" w:rsidR="00D40151" w:rsidRPr="00873B6C" w:rsidRDefault="00D40151" w:rsidP="00D40151">
      <w:pPr>
        <w:pStyle w:val="B1"/>
      </w:pPr>
      <w:r w:rsidRPr="00873B6C">
        <w:t>-</w:t>
      </w:r>
      <w:r w:rsidRPr="00873B6C">
        <w:tab/>
        <w:t>If the SMF receives a request with PDU Session Type set to "IPv4v6", the SMF selects either PDU Session Type "IPv4" or "IPv6" or "IPv4v6" based on DNN configuration, subscription data and operator policies.</w:t>
      </w:r>
    </w:p>
    <w:p w14:paraId="69FFDCEE" w14:textId="77777777" w:rsidR="00D40151" w:rsidRPr="00873B6C" w:rsidRDefault="00D40151" w:rsidP="00D40151">
      <w:pPr>
        <w:pStyle w:val="B1"/>
      </w:pPr>
      <w:r w:rsidRPr="00873B6C">
        <w:t>-</w:t>
      </w:r>
      <w:r w:rsidRPr="00873B6C">
        <w:tab/>
        <w:t>If the SMF receives a request for PDU Session Type "IPv4" or "IPv6" and the requested IP version is supported by the DNN the SMF selects the requested PDU Session type.</w:t>
      </w:r>
    </w:p>
    <w:p w14:paraId="17CB81B0" w14:textId="77777777" w:rsidR="00D40151" w:rsidRPr="00873B6C" w:rsidRDefault="00D40151" w:rsidP="00D40151">
      <w:pPr>
        <w:rPr>
          <w:lang w:eastAsia="ko-KR"/>
        </w:rPr>
      </w:pPr>
      <w:r w:rsidRPr="00873B6C">
        <w:rPr>
          <w:lang w:eastAsia="ko-KR"/>
        </w:rPr>
        <w:t xml:space="preserve">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w:t>
      </w:r>
      <w:r w:rsidRPr="00873B6C">
        <w:rPr>
          <w:lang w:eastAsia="ko-KR"/>
        </w:rPr>
        <w:lastRenderedPageBreak/>
        <w:t>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873B6C" w:rsidRDefault="00D40151" w:rsidP="00D40151">
      <w:r w:rsidRPr="00873B6C">
        <w:rPr>
          <w:lang w:eastAsia="ko-KR"/>
        </w:rPr>
        <w:t xml:space="preserve">An SMF shall ensure that the IP address management procedure is based on the selected </w:t>
      </w:r>
      <w:r w:rsidRPr="00873B6C">
        <w:t>PDU Session T</w:t>
      </w:r>
      <w:r w:rsidRPr="00873B6C">
        <w:rPr>
          <w:lang w:eastAsia="ko-KR"/>
        </w:rPr>
        <w:t xml:space="preserve">ype. If IPv4 </w:t>
      </w:r>
      <w:r w:rsidRPr="00873B6C">
        <w:t>PDU Session T</w:t>
      </w:r>
      <w:r w:rsidRPr="00873B6C">
        <w:rPr>
          <w:lang w:eastAsia="ko-KR"/>
        </w:rPr>
        <w:t xml:space="preserve">ype is selected, an IPv4 address is allocated to the UE. Similarly, if IPv6 </w:t>
      </w:r>
      <w:r w:rsidRPr="00873B6C">
        <w:t xml:space="preserve">PDU Session </w:t>
      </w:r>
      <w:r w:rsidRPr="00873B6C">
        <w:rPr>
          <w:lang w:eastAsia="ko-KR"/>
        </w:rPr>
        <w:t>type is selected, an IPv6 prefix is allocated. If IPv4v6 PDU Session Type is selected, both an IPv4 address and an IPv6 prefix are allocated.</w:t>
      </w:r>
      <w:r w:rsidRPr="00873B6C">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873B6C">
        <w:t>The SMF shall process the UE IP address management related messages, maintain the corresponding state information and provide the response messages to the UE.</w:t>
      </w:r>
    </w:p>
    <w:p w14:paraId="70BB88F6" w14:textId="77777777" w:rsidR="00D40151" w:rsidRPr="00873B6C" w:rsidRDefault="00D40151" w:rsidP="00D40151">
      <w:pPr>
        <w:rPr>
          <w:lang w:eastAsia="zh-CN"/>
        </w:rPr>
      </w:pPr>
      <w:r w:rsidRPr="00873B6C">
        <w:rPr>
          <w:lang w:eastAsia="zh-CN"/>
        </w:rPr>
        <w:t>The 5GC and UE support the following mechanisms:</w:t>
      </w:r>
    </w:p>
    <w:p w14:paraId="65824438" w14:textId="77777777" w:rsidR="00D40151" w:rsidRPr="00873B6C" w:rsidRDefault="00D40151" w:rsidP="00D40151">
      <w:pPr>
        <w:pStyle w:val="B1"/>
        <w:rPr>
          <w:lang w:eastAsia="ko-KR"/>
        </w:rPr>
      </w:pPr>
      <w:r w:rsidRPr="00873B6C">
        <w:rPr>
          <w:lang w:eastAsia="ko-KR"/>
        </w:rPr>
        <w:t>a.</w:t>
      </w:r>
      <w:r w:rsidRPr="00873B6C">
        <w:rPr>
          <w:lang w:eastAsia="ko-KR"/>
        </w:rPr>
        <w:tab/>
        <w:t xml:space="preserve">During </w:t>
      </w:r>
      <w:r w:rsidRPr="00873B6C">
        <w:t>PDU Session</w:t>
      </w:r>
      <w:r w:rsidRPr="00873B6C">
        <w:rPr>
          <w:lang w:eastAsia="ko-KR"/>
        </w:rPr>
        <w:t xml:space="preserve"> Establishment procedure, the SMF sends the IP address to the UE via SM NAS signalling. The IPv4 address allocation and/or IPv4 parameter configuration via DHCPv4 (according to RFC 2131 [9]) can also be used once </w:t>
      </w:r>
      <w:r w:rsidRPr="00873B6C">
        <w:t>PDU Session</w:t>
      </w:r>
      <w:r w:rsidRPr="00873B6C">
        <w:rPr>
          <w:lang w:eastAsia="ko-KR"/>
        </w:rPr>
        <w:t xml:space="preserve"> is established.</w:t>
      </w:r>
    </w:p>
    <w:p w14:paraId="5180061D" w14:textId="4AB27622" w:rsidR="00D40151" w:rsidRPr="00873B6C" w:rsidRDefault="00D40151" w:rsidP="00D40151">
      <w:pPr>
        <w:pStyle w:val="B1"/>
        <w:rPr>
          <w:lang w:eastAsia="ko-KR"/>
        </w:rPr>
      </w:pPr>
      <w:r w:rsidRPr="00873B6C">
        <w:rPr>
          <w:lang w:eastAsia="ko-KR"/>
        </w:rPr>
        <w:t>b.</w:t>
      </w:r>
      <w:r w:rsidRPr="00873B6C">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357584" w:rsidRPr="00873B6C">
        <w:rPr>
          <w:lang w:eastAsia="ko-KR"/>
        </w:rPr>
        <w:t>8415 [182]</w:t>
      </w:r>
      <w:r w:rsidRPr="00873B6C">
        <w:rPr>
          <w:lang w:eastAsia="ko-KR"/>
        </w:rPr>
        <w:t>) may also be supported.</w:t>
      </w:r>
      <w:r w:rsidR="00D409DD" w:rsidRPr="00873B6C">
        <w:rPr>
          <w:lang w:eastAsia="ko-KR"/>
        </w:rPr>
        <w:t xml:space="preserve"> IPv6 Prefix Delegation using DHCPv6 may be supported for allocating additional IPv6 prefixes for a PDU Session. The details of Prefix Delegation are described in clause 5.8.2.2.4.</w:t>
      </w:r>
    </w:p>
    <w:p w14:paraId="37776459" w14:textId="6DEC8C80" w:rsidR="00D40151" w:rsidRPr="00873B6C" w:rsidRDefault="00D40151" w:rsidP="00D40151">
      <w:pPr>
        <w:rPr>
          <w:lang w:eastAsia="zh-CN"/>
        </w:rPr>
      </w:pPr>
      <w:r w:rsidRPr="00873B6C">
        <w:rPr>
          <w:lang w:eastAsia="zh-CN"/>
        </w:rPr>
        <w:t xml:space="preserve">For scenarios with RG connecting to 5GC, additional features for IPv6 address allocation and IPv6 prefix delegation are supported, as described in </w:t>
      </w:r>
      <w:r w:rsidR="00972E70" w:rsidRPr="00873B6C">
        <w:rPr>
          <w:lang w:eastAsia="zh-CN"/>
        </w:rPr>
        <w:t>TS 23.316 [</w:t>
      </w:r>
      <w:r w:rsidRPr="00873B6C">
        <w:rPr>
          <w:lang w:eastAsia="zh-CN"/>
        </w:rPr>
        <w:t>84].</w:t>
      </w:r>
    </w:p>
    <w:p w14:paraId="7A516DB0" w14:textId="77777777" w:rsidR="00D40151" w:rsidRPr="00873B6C" w:rsidRDefault="00D40151" w:rsidP="00D40151">
      <w:pPr>
        <w:rPr>
          <w:lang w:eastAsia="zh-CN"/>
        </w:rPr>
      </w:pPr>
      <w:r w:rsidRPr="00873B6C">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r>
      <w:r w:rsidRPr="00873B6C">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873B6C" w:rsidRDefault="00D40151" w:rsidP="00D40151">
      <w:pPr>
        <w:pStyle w:val="B1"/>
      </w:pPr>
      <w:r w:rsidRPr="00873B6C">
        <w:t>-</w:t>
      </w:r>
      <w:r w:rsidRPr="00873B6C">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873B6C" w:rsidRDefault="00D40151" w:rsidP="00D40151">
      <w:pPr>
        <w:pStyle w:val="B1"/>
      </w:pPr>
      <w:r w:rsidRPr="00873B6C">
        <w:rPr>
          <w:rFonts w:eastAsia="SimSun"/>
          <w:lang w:eastAsia="zh-CN"/>
        </w:rPr>
        <w:t>-</w:t>
      </w:r>
      <w:r w:rsidRPr="00873B6C">
        <w:rPr>
          <w:rFonts w:eastAsia="SimSun"/>
          <w:lang w:eastAsia="zh-CN"/>
        </w:rPr>
        <w:tab/>
      </w:r>
      <w:r w:rsidRPr="00873B6C">
        <w:t>If the UE sends no IP Address Allocation request, the SMF determines whether DHCPv4 is used between the UE and the SMF or not, based on per DNN configuration.</w:t>
      </w:r>
    </w:p>
    <w:p w14:paraId="1C9F5BB4" w14:textId="726863D1" w:rsidR="00D40151" w:rsidRPr="00873B6C" w:rsidRDefault="00D40151" w:rsidP="00D40151">
      <w:pPr>
        <w:rPr>
          <w:lang w:eastAsia="ko-KR"/>
        </w:rPr>
      </w:pPr>
      <w:r w:rsidRPr="00873B6C">
        <w:rPr>
          <w:rFonts w:eastAsia="SimSun"/>
          <w:lang w:eastAsia="zh-CN"/>
        </w:rPr>
        <w:t>If dynamic policy provisioning is deployed</w:t>
      </w:r>
      <w:r w:rsidR="00472CD7" w:rsidRPr="00873B6C">
        <w:rPr>
          <w:rFonts w:eastAsia="SimSun"/>
          <w:lang w:eastAsia="zh-CN"/>
        </w:rPr>
        <w:t xml:space="preserve"> and</w:t>
      </w:r>
      <w:r w:rsidRPr="00873B6C">
        <w:rPr>
          <w:rFonts w:eastAsia="SimSun"/>
          <w:lang w:eastAsia="zh-CN"/>
        </w:rPr>
        <w:t xml:space="preserve">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873B6C" w:rsidRDefault="00D40151" w:rsidP="00D40151">
      <w:pPr>
        <w:rPr>
          <w:lang w:eastAsia="ko-KR"/>
        </w:rPr>
      </w:pPr>
      <w:r w:rsidRPr="00873B6C">
        <w:rPr>
          <w:lang w:eastAsia="ko-KR"/>
        </w:rPr>
        <w:t xml:space="preserve">In order to support DHCP based IP address configuration, the SMF shall act as the DHCP server towards the UE. The </w:t>
      </w:r>
      <w:r w:rsidRPr="00873B6C">
        <w:t>PDU Session</w:t>
      </w:r>
      <w:r w:rsidRPr="00873B6C">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873B6C" w:rsidRDefault="00D40151" w:rsidP="00D40151">
      <w:r w:rsidRPr="00873B6C">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873B6C" w:rsidRDefault="00D40151" w:rsidP="00D40151">
      <w:r w:rsidRPr="00873B6C">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873B6C" w:rsidRDefault="00D40151" w:rsidP="00D40151">
      <w:pPr>
        <w:rPr>
          <w:lang w:eastAsia="ko-KR"/>
        </w:rPr>
      </w:pPr>
      <w:r w:rsidRPr="00873B6C">
        <w:t>If the static IP address/prefix is stored in the UDM, during PDU Session</w:t>
      </w:r>
      <w:r w:rsidRPr="00873B6C">
        <w:rPr>
          <w:lang w:eastAsia="ko-KR"/>
        </w:rPr>
        <w:t xml:space="preserve"> Establishment procedure, the SMF retrieves this static IP address/prefix from the UDM. </w:t>
      </w:r>
      <w:r w:rsidRPr="00873B6C">
        <w:rPr>
          <w:rFonts w:cs="Arial"/>
        </w:rPr>
        <w:t xml:space="preserve">If the static IP address/prefix is not stored in the UDM subscription record, </w:t>
      </w:r>
      <w:r w:rsidRPr="00873B6C">
        <w:rPr>
          <w:rFonts w:cs="Arial"/>
        </w:rPr>
        <w:lastRenderedPageBreak/>
        <w:t xml:space="preserve">it may be configured on a per-subscriber, per-DNN </w:t>
      </w:r>
      <w:r w:rsidRPr="00873B6C">
        <w:t>and per-S-NSSAI</w:t>
      </w:r>
      <w:r w:rsidRPr="00873B6C">
        <w:rPr>
          <w:rFonts w:cs="Arial"/>
        </w:rPr>
        <w:t xml:space="preserve"> basis in the DHCP/DN-AAA server and the SMF retrieves the IP address/prefix for the UE from the DHCP/DN-AAA server. </w:t>
      </w:r>
      <w:r w:rsidRPr="00873B6C">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873B6C" w:rsidRDefault="00D40151" w:rsidP="00D40151">
      <w:r w:rsidRPr="00873B6C">
        <w:t>For IPv4 or IPv6 or IPv4v6 PDU Session Type, during PDU Session Establishment procedure,</w:t>
      </w:r>
      <w:r w:rsidR="00BD3ADB" w:rsidRPr="00873B6C">
        <w:t xml:space="preserve"> the SMF may receive a Subscriber's IP Index from the UDM. If the </w:t>
      </w:r>
      <w:r w:rsidRPr="00873B6C">
        <w:t>UE IP address/prefix was not already allocated and provided to PCF</w:t>
      </w:r>
      <w:r w:rsidR="00BD3ADB" w:rsidRPr="00873B6C">
        <w:t xml:space="preserve"> when SMF initiates the SM policy association</w:t>
      </w:r>
      <w:r w:rsidRPr="00873B6C">
        <w:t>, the SMF may receive a Subscribers IP Index from the PCF</w:t>
      </w:r>
      <w:r w:rsidR="00BD3ADB" w:rsidRPr="00873B6C">
        <w:t xml:space="preserve">. If the SMF received a Subscriber's IP index from both UDM and PCF, the SMF shall apply the Subscriber's IP Index received from the PCF. The </w:t>
      </w:r>
      <w:r w:rsidRPr="00873B6C">
        <w:t xml:space="preserve">SMF may use </w:t>
      </w:r>
      <w:r w:rsidR="00BD3ADB" w:rsidRPr="00873B6C">
        <w:t xml:space="preserve">the Subscriber's IP Index </w:t>
      </w:r>
      <w:r w:rsidRPr="00873B6C">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873B6C" w:rsidRDefault="00BD3ADB" w:rsidP="00323277">
      <w:pPr>
        <w:pStyle w:val="NO"/>
      </w:pPr>
      <w:r w:rsidRPr="00873B6C">
        <w:t>NOTE:</w:t>
      </w:r>
      <w:r w:rsidRPr="00873B6C">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873B6C" w:rsidRDefault="00D40151" w:rsidP="00D40151">
      <w:r w:rsidRPr="00873B6C">
        <w:t>When Static IP addresses for a PDU session are not used, the actual allocation of the IP Address(es) for a PDU Session may use any of the following mechanisms:</w:t>
      </w:r>
    </w:p>
    <w:p w14:paraId="0478BF8F" w14:textId="77777777" w:rsidR="00D40151" w:rsidRPr="00873B6C" w:rsidRDefault="00D40151" w:rsidP="00D40151">
      <w:pPr>
        <w:pStyle w:val="B1"/>
      </w:pPr>
      <w:r w:rsidRPr="00873B6C">
        <w:t>-</w:t>
      </w:r>
      <w:r w:rsidRPr="00873B6C">
        <w:tab/>
        <w:t>The SMF allocates the IP address from a pool that corresponds to the PDU Session Anchor (UPF) that has been selected</w:t>
      </w:r>
    </w:p>
    <w:p w14:paraId="27598A59" w14:textId="77777777" w:rsidR="00D40151" w:rsidRPr="00873B6C" w:rsidRDefault="00D40151" w:rsidP="00D40151">
      <w:pPr>
        <w:pStyle w:val="B1"/>
      </w:pPr>
      <w:r w:rsidRPr="00873B6C">
        <w:t>-</w:t>
      </w:r>
      <w:r w:rsidRPr="00873B6C">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6B63AA8B" w:rsidR="00D40151" w:rsidRPr="00873B6C" w:rsidRDefault="00D40151" w:rsidP="00D40151">
      <w:pPr>
        <w:pStyle w:val="B1"/>
      </w:pPr>
      <w:r w:rsidRPr="00873B6C">
        <w:t>-</w:t>
      </w:r>
      <w:r w:rsidRPr="00873B6C">
        <w:tab/>
        <w:t>In the case that the UE IP address is obtained from the external data network, additionally, the SMF shall also send the allocation, renewal and release related request messages to the external data network, i.e. DHCP/DN-AAA server</w:t>
      </w:r>
      <w:r w:rsidR="00472CD7" w:rsidRPr="00873B6C">
        <w:t xml:space="preserve"> and</w:t>
      </w:r>
      <w:r w:rsidRPr="00873B6C">
        <w:t xml:space="preserve"> maintain the corresponding state information. The IP address allocation request sent to DHCP/DN-AAA server may include the IP address pool ID to identify which range of IP address is to be allocated. In this case the SMF is provisioned with separate IP address pool ID(s)</w:t>
      </w:r>
      <w:r w:rsidR="00472CD7" w:rsidRPr="00873B6C">
        <w:t xml:space="preserve"> and</w:t>
      </w:r>
      <w:r w:rsidRPr="00873B6C">
        <w:t xml:space="preserve"> the mapping between IP address pool ID and UPF Id, DNN, S-NSSAI, IP version. The provision is done by OAM or during the N4 Association Setup procedure.</w:t>
      </w:r>
    </w:p>
    <w:p w14:paraId="47EFACD1" w14:textId="77777777" w:rsidR="00D40151" w:rsidRPr="00873B6C" w:rsidRDefault="00D40151" w:rsidP="00D40151">
      <w:r w:rsidRPr="00873B6C">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873B6C" w:rsidRDefault="00D40151" w:rsidP="00D40151">
      <w:r w:rsidRPr="00873B6C">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873B6C" w:rsidRDefault="00D40151" w:rsidP="00D40151">
      <w:r w:rsidRPr="00873B6C">
        <w:t>The IP address/prefix is released by the SMF (e.g. upon release of the PDU Session), likewise the UPF considers that any IP address it has allocated within a N4 session are released when this N4 session is released.</w:t>
      </w:r>
    </w:p>
    <w:p w14:paraId="3E338BFF" w14:textId="35C378C3" w:rsidR="002C4A81" w:rsidRPr="00873B6C" w:rsidRDefault="002C4A81" w:rsidP="002C4A81">
      <w:bookmarkStart w:id="1958" w:name="_Toc20149835"/>
      <w:bookmarkStart w:id="1959" w:name="_Toc27846629"/>
      <w:bookmarkStart w:id="1960" w:name="_Toc36187757"/>
      <w:bookmarkStart w:id="1961" w:name="_Toc45183661"/>
      <w:bookmarkStart w:id="1962" w:name="_Toc47342503"/>
      <w:bookmarkStart w:id="1963" w:name="_Toc51769203"/>
      <w:r w:rsidRPr="00873B6C">
        <w:t>UPF may use NAT between the UE and the Data Network</w:t>
      </w:r>
      <w:r w:rsidR="00472CD7" w:rsidRPr="00873B6C">
        <w:t xml:space="preserve"> and</w:t>
      </w:r>
      <w:r w:rsidRPr="00873B6C">
        <w:t xml:space="preserve"> thus the 5GC allocated (private) UE IP address may not be visible on the N6 reference point.</w:t>
      </w:r>
    </w:p>
    <w:p w14:paraId="0F203F87" w14:textId="77777777" w:rsidR="00D40151" w:rsidRPr="00873B6C" w:rsidRDefault="00D40151" w:rsidP="00D40151">
      <w:pPr>
        <w:pStyle w:val="Heading5"/>
        <w:rPr>
          <w:lang w:eastAsia="ko-KR"/>
        </w:rPr>
      </w:pPr>
      <w:bookmarkStart w:id="1964" w:name="_CR5_8_2_2_2"/>
      <w:bookmarkStart w:id="1965" w:name="_Toc201157166"/>
      <w:bookmarkEnd w:id="1964"/>
      <w:r w:rsidRPr="00873B6C">
        <w:rPr>
          <w:lang w:eastAsia="ko-KR"/>
        </w:rPr>
        <w:t>5.8.2.2.2</w:t>
      </w:r>
      <w:r w:rsidRPr="00873B6C">
        <w:rPr>
          <w:lang w:eastAsia="ko-KR"/>
        </w:rPr>
        <w:tab/>
        <w:t>Routing rules configuration</w:t>
      </w:r>
      <w:bookmarkEnd w:id="1958"/>
      <w:bookmarkEnd w:id="1959"/>
      <w:bookmarkEnd w:id="1960"/>
      <w:bookmarkEnd w:id="1961"/>
      <w:bookmarkEnd w:id="1962"/>
      <w:bookmarkEnd w:id="1963"/>
      <w:bookmarkEnd w:id="1965"/>
    </w:p>
    <w:p w14:paraId="6331D317" w14:textId="77777777" w:rsidR="00D40151" w:rsidRPr="00873B6C" w:rsidRDefault="00D40151" w:rsidP="00D40151">
      <w:pPr>
        <w:rPr>
          <w:lang w:eastAsia="ko-KR"/>
        </w:rPr>
      </w:pPr>
      <w:r w:rsidRPr="00873B6C">
        <w:rPr>
          <w:lang w:eastAsia="ko-KR"/>
        </w:rPr>
        <w:t xml:space="preserve">When the UE has an IPv6 multi-homed PDU Session </w:t>
      </w:r>
      <w:r w:rsidRPr="00873B6C">
        <w:rPr>
          <w:lang w:eastAsia="zh-CN"/>
        </w:rPr>
        <w:t>the UE selects the source IPv6 prefix according to IPv6 multi-homed routing rules pre-configured in the UE or received from network</w:t>
      </w:r>
      <w:r w:rsidRPr="00873B6C">
        <w:rPr>
          <w:lang w:eastAsia="ko-KR"/>
        </w:rPr>
        <w:t xml:space="preserve">. IPv6 multi-homed </w:t>
      </w:r>
      <w:r w:rsidRPr="00873B6C">
        <w:rPr>
          <w:lang w:eastAsia="zh-CN"/>
        </w:rPr>
        <w:t>routing rules received from the network have a higher priority than IPv6 multi-homed routing rules pre-configured in the UE</w:t>
      </w:r>
    </w:p>
    <w:p w14:paraId="097C0A47" w14:textId="05410E95" w:rsidR="00D40151" w:rsidRPr="00873B6C" w:rsidRDefault="00D40151" w:rsidP="00D40151">
      <w:r w:rsidRPr="00873B6C">
        <w:rPr>
          <w:rFonts w:eastAsia="SimSun"/>
          <w:lang w:eastAsia="ko-KR"/>
        </w:rPr>
        <w:t xml:space="preserve">The SMF can generate the IPv6 multi-homed routing rules for a UE based on local configuration or dynamic PCC rules received from the PCF as defined in </w:t>
      </w:r>
      <w:r w:rsidR="00972E70" w:rsidRPr="00873B6C">
        <w:rPr>
          <w:rFonts w:eastAsia="SimSun"/>
          <w:lang w:eastAsia="ko-KR"/>
        </w:rPr>
        <w:t>TS 23.503 [</w:t>
      </w:r>
      <w:r w:rsidRPr="00873B6C">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873B6C">
        <w:t xml:space="preserve">he SMF can send IPv6 multi-homed routing rules to the UE </w:t>
      </w:r>
      <w:r w:rsidRPr="00873B6C">
        <w:rPr>
          <w:lang w:eastAsia="zh-CN"/>
        </w:rPr>
        <w:t>to influence the source IPv6 prefix selection</w:t>
      </w:r>
      <w:r w:rsidRPr="00873B6C">
        <w:t xml:space="preserve"> in IPv6 Router Advertisement (RA) messages according to RFC 4191 [8] at any time during the lifetime of the </w:t>
      </w:r>
      <w:r w:rsidRPr="00873B6C">
        <w:rPr>
          <w:lang w:eastAsia="ko-KR"/>
        </w:rPr>
        <w:t>IPv6 multi-homed</w:t>
      </w:r>
      <w:r w:rsidRPr="00873B6C">
        <w:t xml:space="preserve"> PDU Session.</w:t>
      </w:r>
      <w:r w:rsidRPr="00873B6C">
        <w:rPr>
          <w:lang w:eastAsia="ko-KR"/>
        </w:rPr>
        <w:t xml:space="preserve"> Such messages are sent via the UPF.</w:t>
      </w:r>
    </w:p>
    <w:p w14:paraId="76A2EF00" w14:textId="77777777" w:rsidR="00D40151" w:rsidRPr="00873B6C" w:rsidRDefault="00D40151" w:rsidP="00D40151">
      <w:pPr>
        <w:pStyle w:val="NO"/>
        <w:rPr>
          <w:lang w:eastAsia="ko-KR"/>
        </w:rPr>
      </w:pPr>
      <w:r w:rsidRPr="00873B6C">
        <w:rPr>
          <w:lang w:eastAsia="ko-KR"/>
        </w:rPr>
        <w:lastRenderedPageBreak/>
        <w:t>NOTE:</w:t>
      </w:r>
      <w:r w:rsidRPr="00873B6C">
        <w:rPr>
          <w:lang w:eastAsia="ko-KR"/>
        </w:rPr>
        <w:tab/>
        <w:t>For multiple IPv4 PDU Session and multiple IPv6 PDU Session cases, routing rule based PDU Session selection is not specified in this Release of the specification.</w:t>
      </w:r>
    </w:p>
    <w:p w14:paraId="63B7CF74" w14:textId="77777777" w:rsidR="00D40151" w:rsidRPr="00873B6C" w:rsidRDefault="00D40151" w:rsidP="00D40151">
      <w:pPr>
        <w:pStyle w:val="Heading5"/>
        <w:rPr>
          <w:rFonts w:eastAsia="SimSun"/>
          <w:lang w:eastAsia="zh-CN"/>
        </w:rPr>
      </w:pPr>
      <w:bookmarkStart w:id="1966" w:name="_CR5_8_2_2_3"/>
      <w:bookmarkStart w:id="1967" w:name="_Toc20149836"/>
      <w:bookmarkStart w:id="1968" w:name="_Toc27846630"/>
      <w:bookmarkStart w:id="1969" w:name="_Toc36187758"/>
      <w:bookmarkStart w:id="1970" w:name="_Toc45183662"/>
      <w:bookmarkStart w:id="1971" w:name="_Toc47342504"/>
      <w:bookmarkStart w:id="1972" w:name="_Toc51769204"/>
      <w:bookmarkStart w:id="1973" w:name="_Toc201157167"/>
      <w:bookmarkEnd w:id="1966"/>
      <w:r w:rsidRPr="00873B6C">
        <w:rPr>
          <w:rFonts w:eastAsia="SimSun"/>
          <w:lang w:eastAsia="zh-CN"/>
        </w:rPr>
        <w:t>5.8.2.2.3</w:t>
      </w:r>
      <w:r w:rsidRPr="00873B6C">
        <w:rPr>
          <w:rFonts w:eastAsia="SimSun"/>
          <w:lang w:eastAsia="zh-CN"/>
        </w:rPr>
        <w:tab/>
        <w:t>The procedure of Stateless IPv6 Address Autoconfiguration</w:t>
      </w:r>
      <w:bookmarkEnd w:id="1967"/>
      <w:bookmarkEnd w:id="1968"/>
      <w:bookmarkEnd w:id="1969"/>
      <w:bookmarkEnd w:id="1970"/>
      <w:bookmarkEnd w:id="1971"/>
      <w:bookmarkEnd w:id="1972"/>
      <w:bookmarkEnd w:id="1973"/>
    </w:p>
    <w:p w14:paraId="1D9E8A1B" w14:textId="77777777" w:rsidR="00D40151" w:rsidRPr="00873B6C" w:rsidRDefault="00D40151" w:rsidP="00D40151">
      <w:pPr>
        <w:rPr>
          <w:rFonts w:eastAsia="SimSun"/>
          <w:lang w:eastAsia="zh-CN"/>
        </w:rPr>
      </w:pPr>
      <w:r w:rsidRPr="00873B6C">
        <w:t xml:space="preserve">If Stateless IPv6 Address Autoconfiguration is used for IPv6 address allocation to the UE, after </w:t>
      </w:r>
      <w:r w:rsidRPr="00873B6C">
        <w:rPr>
          <w:rFonts w:eastAsia="SimSun"/>
          <w:lang w:eastAsia="zh-CN"/>
        </w:rPr>
        <w:t xml:space="preserve">PDU Session </w:t>
      </w:r>
      <w:r w:rsidRPr="00873B6C">
        <w:t>Establishment the UE may send a Router Solicitation message to the</w:t>
      </w:r>
      <w:r w:rsidRPr="00873B6C">
        <w:rPr>
          <w:rFonts w:eastAsia="SimSun"/>
          <w:lang w:eastAsia="zh-CN"/>
        </w:rPr>
        <w:t xml:space="preserve"> SMF</w:t>
      </w:r>
      <w:r w:rsidRPr="00873B6C">
        <w:t xml:space="preserve"> to solicit a Router Advertisement message. The </w:t>
      </w:r>
      <w:r w:rsidRPr="00873B6C">
        <w:rPr>
          <w:rFonts w:eastAsia="SimSun"/>
          <w:lang w:eastAsia="zh-CN"/>
        </w:rPr>
        <w:t>SMF</w:t>
      </w:r>
      <w:r w:rsidRPr="00873B6C">
        <w:t xml:space="preserve"> sends a Router Advertisement message (solicited or unsolicited) to the UE. The Router Advertisement messages shall contain the</w:t>
      </w:r>
      <w:r w:rsidRPr="00873B6C">
        <w:rPr>
          <w:rFonts w:eastAsia="SimSun"/>
          <w:lang w:eastAsia="zh-CN"/>
        </w:rPr>
        <w:t xml:space="preserve"> </w:t>
      </w:r>
      <w:r w:rsidRPr="00873B6C">
        <w:t>IPv6 prefix</w:t>
      </w:r>
      <w:r w:rsidRPr="00873B6C">
        <w:rPr>
          <w:rFonts w:eastAsia="SimSun"/>
          <w:lang w:eastAsia="zh-CN"/>
        </w:rPr>
        <w:t>.</w:t>
      </w:r>
    </w:p>
    <w:p w14:paraId="6624F60A" w14:textId="05129555" w:rsidR="00D40151" w:rsidRPr="00873B6C" w:rsidRDefault="00D40151" w:rsidP="00D40151">
      <w:r w:rsidRPr="00873B6C">
        <w:t>After the UE has received the Router Advertisement message, it constructs a full IPv6 address via IPv6 Stateless Address Autoconfiguration in accordance with RFC 4862 [</w:t>
      </w:r>
      <w:r w:rsidRPr="00873B6C">
        <w:rPr>
          <w:rFonts w:eastAsia="SimSun"/>
          <w:lang w:eastAsia="zh-CN"/>
        </w:rPr>
        <w:t>10</w:t>
      </w:r>
      <w:r w:rsidRPr="00873B6C">
        <w:t>]. To ensure that the link-local address generated by the UE does not collide with the link-local address of the</w:t>
      </w:r>
      <w:r w:rsidRPr="00873B6C">
        <w:rPr>
          <w:rFonts w:eastAsia="SimSun"/>
          <w:lang w:eastAsia="zh-CN"/>
        </w:rPr>
        <w:t xml:space="preserve"> UPF and the SMF,</w:t>
      </w:r>
      <w:r w:rsidRPr="00873B6C">
        <w:t xml:space="preserve"> the</w:t>
      </w:r>
      <w:r w:rsidRPr="00873B6C">
        <w:rPr>
          <w:rFonts w:eastAsia="SimSun"/>
          <w:lang w:eastAsia="zh-CN"/>
        </w:rPr>
        <w:t xml:space="preserve"> SMF</w:t>
      </w:r>
      <w:r w:rsidRPr="00873B6C">
        <w:t xml:space="preserve"> shall provide an interface identifier (see RFC 4862 [1</w:t>
      </w:r>
      <w:r w:rsidRPr="00873B6C">
        <w:rPr>
          <w:rFonts w:eastAsia="SimSun"/>
          <w:lang w:eastAsia="zh-CN"/>
        </w:rPr>
        <w:t>0</w:t>
      </w:r>
      <w:r w:rsidRPr="00873B6C">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972E70" w:rsidRPr="00873B6C">
        <w:t>TS 23.003 [</w:t>
      </w:r>
      <w:r w:rsidRPr="00873B6C">
        <w:rPr>
          <w:rFonts w:eastAsia="SimSun"/>
          <w:lang w:eastAsia="zh-CN"/>
        </w:rPr>
        <w:t>1</w:t>
      </w:r>
      <w:r w:rsidRPr="00873B6C">
        <w:t xml:space="preserve">9] as the basis for generating the interface identifier. For privacy, the UE may change the interface identifier used to generate full IPv6 address, as defined in </w:t>
      </w:r>
      <w:r w:rsidR="00972E70" w:rsidRPr="00873B6C">
        <w:t>TS 23.221 [</w:t>
      </w:r>
      <w:r w:rsidRPr="00873B6C">
        <w:t>2</w:t>
      </w:r>
      <w:r w:rsidRPr="00873B6C">
        <w:rPr>
          <w:rFonts w:eastAsia="SimSun"/>
          <w:lang w:eastAsia="zh-CN"/>
        </w:rPr>
        <w:t>3</w:t>
      </w:r>
      <w:r w:rsidRPr="00873B6C">
        <w:t xml:space="preserve">] without involving the network. Any prefix that the </w:t>
      </w:r>
      <w:r w:rsidRPr="00873B6C">
        <w:rPr>
          <w:rFonts w:eastAsia="SimSun"/>
          <w:lang w:eastAsia="zh-CN"/>
        </w:rPr>
        <w:t>SMF</w:t>
      </w:r>
      <w:r w:rsidRPr="00873B6C">
        <w:t xml:space="preserve"> advertises to the UE is globally unique. The </w:t>
      </w:r>
      <w:r w:rsidRPr="00873B6C">
        <w:rPr>
          <w:rFonts w:eastAsia="SimSun"/>
          <w:lang w:eastAsia="zh-CN"/>
        </w:rPr>
        <w:t>SMF</w:t>
      </w:r>
      <w:r w:rsidRPr="00873B6C">
        <w:t xml:space="preserve"> shall also record the relationship between the UE's identity (SUPI) and the allocated IPv6 prefix. Because any prefix that the </w:t>
      </w:r>
      <w:r w:rsidRPr="00873B6C">
        <w:rPr>
          <w:rFonts w:eastAsia="SimSun"/>
          <w:lang w:eastAsia="zh-CN"/>
        </w:rPr>
        <w:t>SMF</w:t>
      </w:r>
      <w:r w:rsidRPr="00873B6C">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873B6C">
        <w:rPr>
          <w:rFonts w:eastAsia="SimSun"/>
          <w:lang w:eastAsia="zh-CN"/>
        </w:rPr>
        <w:t>SMF</w:t>
      </w:r>
      <w:r w:rsidRPr="00873B6C">
        <w:t>, as defined in RFC 4861 [</w:t>
      </w:r>
      <w:r w:rsidRPr="00873B6C">
        <w:rPr>
          <w:rFonts w:eastAsia="SimSun"/>
          <w:lang w:eastAsia="zh-CN"/>
        </w:rPr>
        <w:t>54</w:t>
      </w:r>
      <w:r w:rsidRPr="00873B6C">
        <w:t xml:space="preserve">]. Therefore, the </w:t>
      </w:r>
      <w:r w:rsidRPr="00873B6C">
        <w:rPr>
          <w:rFonts w:eastAsia="SimSun"/>
          <w:lang w:eastAsia="zh-CN"/>
        </w:rPr>
        <w:t xml:space="preserve">SMF </w:t>
      </w:r>
      <w:r w:rsidRPr="00873B6C">
        <w:t>shall respond with a Neighbor Advertisement upon receiving a Neighbor Solicitation message from the UE.</w:t>
      </w:r>
    </w:p>
    <w:p w14:paraId="32FFBB5F" w14:textId="77777777" w:rsidR="00D40151" w:rsidRPr="00873B6C" w:rsidRDefault="00D40151" w:rsidP="00D40151">
      <w:r w:rsidRPr="00873B6C">
        <w:t>In IPv6 multi-homing PDU session, SMF shall not allocate an interface identifier when a new IPv6 prefix allocated corresponding to the new PDU Session Anchor.</w:t>
      </w:r>
    </w:p>
    <w:p w14:paraId="17C3E7E8" w14:textId="46536820" w:rsidR="00D40151" w:rsidRPr="00873B6C" w:rsidRDefault="00D40151" w:rsidP="00D40151">
      <w:pPr>
        <w:rPr>
          <w:lang w:eastAsia="ko-KR"/>
        </w:rPr>
      </w:pPr>
      <w:r w:rsidRPr="00873B6C">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873B6C">
        <w:t xml:space="preserve"> clauses 4.3.2.2.1 and 4.3.2.2.2</w:t>
      </w:r>
      <w:r w:rsidRPr="00873B6C">
        <w:t xml:space="preserve"> </w:t>
      </w:r>
      <w:r w:rsidR="00D602DF" w:rsidRPr="00873B6C">
        <w:t xml:space="preserve">of </w:t>
      </w:r>
      <w:r w:rsidR="00972E70" w:rsidRPr="00873B6C">
        <w:t>TS 23.502 [</w:t>
      </w:r>
      <w:r w:rsidRPr="00873B6C">
        <w:t>3], using the Mobile Terminated Data Transport in Control Plane CIoT 5GS Optimisation procedures.</w:t>
      </w:r>
    </w:p>
    <w:p w14:paraId="12376DF2" w14:textId="1C83102B" w:rsidR="00D409DD" w:rsidRPr="00873B6C" w:rsidRDefault="00D409DD" w:rsidP="00D409DD">
      <w:pPr>
        <w:pStyle w:val="Heading5"/>
        <w:rPr>
          <w:rFonts w:eastAsia="SimSun"/>
          <w:lang w:eastAsia="zh-CN"/>
        </w:rPr>
      </w:pPr>
      <w:bookmarkStart w:id="1974" w:name="_CR5_8_2_2_4"/>
      <w:bookmarkStart w:id="1975" w:name="_Toc20149837"/>
      <w:bookmarkStart w:id="1976" w:name="_Toc27846631"/>
      <w:bookmarkStart w:id="1977" w:name="_Toc36187759"/>
      <w:bookmarkStart w:id="1978" w:name="_Toc45183663"/>
      <w:bookmarkStart w:id="1979" w:name="_Toc47342505"/>
      <w:bookmarkStart w:id="1980" w:name="_Toc51769205"/>
      <w:bookmarkStart w:id="1981" w:name="_Toc201157168"/>
      <w:bookmarkEnd w:id="1974"/>
      <w:r w:rsidRPr="00873B6C">
        <w:rPr>
          <w:rFonts w:eastAsia="SimSun"/>
          <w:lang w:eastAsia="zh-CN"/>
        </w:rPr>
        <w:t>5.8.2.2.4</w:t>
      </w:r>
      <w:r w:rsidRPr="00873B6C">
        <w:rPr>
          <w:rFonts w:eastAsia="SimSun"/>
          <w:lang w:eastAsia="zh-CN"/>
        </w:rPr>
        <w:tab/>
        <w:t>IPv6 Prefix Delegation via DHCPv6</w:t>
      </w:r>
      <w:bookmarkEnd w:id="1981"/>
    </w:p>
    <w:p w14:paraId="2D3904EE" w14:textId="77777777" w:rsidR="00D409DD" w:rsidRPr="00873B6C" w:rsidRDefault="00D409DD" w:rsidP="00D409DD">
      <w:pPr>
        <w:rPr>
          <w:rFonts w:eastAsia="SimSun"/>
          <w:lang w:eastAsia="zh-CN"/>
        </w:rPr>
      </w:pPr>
      <w:r w:rsidRPr="00873B6C">
        <w:rPr>
          <w:rFonts w:eastAsia="SimSun"/>
          <w:lang w:eastAsia="zh-CN"/>
        </w:rPr>
        <w:t>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w:t>
      </w:r>
    </w:p>
    <w:p w14:paraId="1E18C6B2" w14:textId="77777777" w:rsidR="00D409DD" w:rsidRPr="00873B6C" w:rsidRDefault="00D409DD" w:rsidP="00D409DD">
      <w:pPr>
        <w:rPr>
          <w:rFonts w:eastAsia="SimSun"/>
          <w:lang w:eastAsia="zh-CN"/>
        </w:rPr>
      </w:pPr>
      <w:r w:rsidRPr="00873B6C">
        <w:rPr>
          <w:rFonts w:eastAsia="SimSun"/>
          <w:lang w:eastAsia="zh-CN"/>
        </w:rPr>
        <w:t>Depending on configuration, the SMF may obtain the prefix from a locally provisioned pool, from the PSA UPF or from the external DN.</w:t>
      </w:r>
    </w:p>
    <w:p w14:paraId="7E25C47F" w14:textId="77777777" w:rsidR="00D409DD" w:rsidRPr="00873B6C" w:rsidRDefault="00D409DD" w:rsidP="00D409DD">
      <w:pPr>
        <w:rPr>
          <w:rFonts w:eastAsia="SimSun"/>
          <w:lang w:eastAsia="zh-CN"/>
        </w:rPr>
      </w:pPr>
      <w:r w:rsidRPr="00873B6C">
        <w:rPr>
          <w:rFonts w:eastAsia="SimSun"/>
          <w:lang w:eastAsia="zh-CN"/>
        </w:rPr>
        <w:t>The address space provided is maintained as an IPv6 address space pool available to the PDU Session for DHCPv6 IPv6 prefix requests with the exclusion of the IPv6 prefix that is allocated to the PDU Session during PDU Session establishment as defined in clause 5.8.2.2.3. The total IPv6 address space available for the PDU Session (UE PDU Session prefix and UE PDU Session IPv6 address space pool) shall be possible to aggregate into one IPv6 prefix that will represent all IPv6 addresses that the UE may use.</w:t>
      </w:r>
    </w:p>
    <w:p w14:paraId="617417A7" w14:textId="2DB3602C" w:rsidR="00D409DD" w:rsidRPr="00873B6C" w:rsidRDefault="00D409DD" w:rsidP="00D409DD">
      <w:pPr>
        <w:rPr>
          <w:rFonts w:eastAsia="SimSun"/>
          <w:lang w:eastAsia="zh-CN"/>
        </w:rPr>
      </w:pPr>
      <w:r w:rsidRPr="00873B6C">
        <w:rPr>
          <w:rFonts w:eastAsia="SimSun"/>
          <w:lang w:eastAsia="zh-CN"/>
        </w:rPr>
        <w:t>If the UE had indicated that it supports prefix exclusion and the prefix to be delegated to the UE includes the /64 prefix that was allocated to the PDU Session, the SMF shall utilise the prefix exclusion feature as specified for DHCPv6 Prefix Delegation in IETF RFC 6603 [162].</w:t>
      </w:r>
    </w:p>
    <w:p w14:paraId="78EA219C" w14:textId="1589C3C7" w:rsidR="00D409DD" w:rsidRPr="00873B6C" w:rsidRDefault="00D409DD" w:rsidP="00972E70">
      <w:pPr>
        <w:pStyle w:val="NO"/>
        <w:rPr>
          <w:rFonts w:eastAsia="SimSun"/>
        </w:rPr>
      </w:pPr>
      <w:r w:rsidRPr="00873B6C">
        <w:rPr>
          <w:rFonts w:eastAsia="SimSun"/>
        </w:rPr>
        <w:t>NOTE:</w:t>
      </w:r>
      <w:r w:rsidRPr="00873B6C">
        <w:rPr>
          <w:rFonts w:eastAsia="SimSun"/>
        </w:rPr>
        <w:tab/>
        <w:t>Support of the IPv6 prefix delegation in the SMF is assumed to be ensured by the operator e.g. by configuring specific DNN/S-NSSAI for PDU Sessions that are used by UEs that utilize IPv6 prefix delegation.</w:t>
      </w:r>
    </w:p>
    <w:p w14:paraId="32CFB7D9" w14:textId="17464D75" w:rsidR="00D409DD" w:rsidRPr="00873B6C" w:rsidRDefault="00D409DD" w:rsidP="00D409DD">
      <w:pPr>
        <w:rPr>
          <w:rFonts w:eastAsia="SimSun"/>
          <w:lang w:eastAsia="zh-CN"/>
        </w:rPr>
      </w:pPr>
      <w:r w:rsidRPr="00873B6C">
        <w:rPr>
          <w:rFonts w:eastAsia="SimSun"/>
          <w:lang w:eastAsia="zh-CN"/>
        </w:rPr>
        <w:t xml:space="preserve">The UE uses DHCPv6 to request additional IPv6 prefixes (i.e. prefixes in addition to the default prefix) from the SMF after completing stateless IPv6 address autoconfiguration procedures. The UE acts as a "Requesting Router" as described in IETF RFC 8415 [163] and inserts one or more IA_PD option(s) into a DHCPv6 Solicit message sent from </w:t>
      </w:r>
      <w:r w:rsidRPr="00873B6C">
        <w:rPr>
          <w:rFonts w:eastAsia="SimSun"/>
          <w:lang w:eastAsia="zh-CN"/>
        </w:rPr>
        <w:lastRenderedPageBreak/>
        <w:t>the UE to the SMF via the user plane and the UPF. The SMF acts as the DHCP server and fulfils the role of a "Delegating Router" according to IETF RFC 8415 [163].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 IETF RFC 6603 [162].</w:t>
      </w:r>
    </w:p>
    <w:p w14:paraId="1E979ADB" w14:textId="27E9AB7B" w:rsidR="00D409DD" w:rsidRPr="00873B6C" w:rsidRDefault="00D409DD" w:rsidP="00D409DD">
      <w:pPr>
        <w:rPr>
          <w:rFonts w:eastAsia="SimSun"/>
          <w:lang w:eastAsia="zh-CN"/>
        </w:rPr>
      </w:pPr>
      <w:r w:rsidRPr="00873B6C">
        <w:rPr>
          <w:rFonts w:eastAsia="SimSun"/>
          <w:lang w:eastAsia="zh-CN"/>
        </w:rPr>
        <w:t xml:space="preserve">For scenarios with RG connecting to 5GC, additional feature for IPv6 Prefix Delegation via DHCPv6 is defined in </w:t>
      </w:r>
      <w:r w:rsidR="00972E70" w:rsidRPr="00873B6C">
        <w:rPr>
          <w:rFonts w:eastAsia="SimSun"/>
          <w:lang w:eastAsia="zh-CN"/>
        </w:rPr>
        <w:t>TS 23.316 [</w:t>
      </w:r>
      <w:r w:rsidRPr="00873B6C">
        <w:rPr>
          <w:rFonts w:eastAsia="SimSun"/>
          <w:lang w:eastAsia="zh-CN"/>
        </w:rPr>
        <w:t>84].</w:t>
      </w:r>
    </w:p>
    <w:p w14:paraId="51A47231" w14:textId="77777777" w:rsidR="00D40151" w:rsidRPr="00873B6C" w:rsidRDefault="00D40151" w:rsidP="00D40151">
      <w:pPr>
        <w:pStyle w:val="Heading4"/>
        <w:rPr>
          <w:lang w:eastAsia="ko-KR"/>
        </w:rPr>
      </w:pPr>
      <w:bookmarkStart w:id="1982" w:name="_CR5_8_2_3"/>
      <w:bookmarkStart w:id="1983" w:name="_Toc201157169"/>
      <w:bookmarkEnd w:id="1982"/>
      <w:r w:rsidRPr="00873B6C">
        <w:rPr>
          <w:lang w:eastAsia="ko-KR"/>
        </w:rPr>
        <w:t>5.8.2.3</w:t>
      </w:r>
      <w:r w:rsidRPr="00873B6C">
        <w:rPr>
          <w:lang w:eastAsia="ko-KR"/>
        </w:rPr>
        <w:tab/>
        <w:t>Management of CN Tunnel Info</w:t>
      </w:r>
      <w:bookmarkEnd w:id="1975"/>
      <w:bookmarkEnd w:id="1976"/>
      <w:bookmarkEnd w:id="1977"/>
      <w:bookmarkEnd w:id="1978"/>
      <w:bookmarkEnd w:id="1979"/>
      <w:bookmarkEnd w:id="1980"/>
      <w:bookmarkEnd w:id="1983"/>
    </w:p>
    <w:p w14:paraId="2CBDA382" w14:textId="77777777" w:rsidR="00D40151" w:rsidRPr="00873B6C" w:rsidRDefault="00D40151" w:rsidP="00D40151">
      <w:pPr>
        <w:pStyle w:val="Heading5"/>
      </w:pPr>
      <w:bookmarkStart w:id="1984" w:name="_CR5_8_2_3_1"/>
      <w:bookmarkStart w:id="1985" w:name="_Toc20149838"/>
      <w:bookmarkStart w:id="1986" w:name="_Toc27846632"/>
      <w:bookmarkStart w:id="1987" w:name="_Toc36187760"/>
      <w:bookmarkStart w:id="1988" w:name="_Toc45183664"/>
      <w:bookmarkStart w:id="1989" w:name="_Toc47342506"/>
      <w:bookmarkStart w:id="1990" w:name="_Toc51769206"/>
      <w:bookmarkStart w:id="1991" w:name="_Toc201157170"/>
      <w:bookmarkEnd w:id="1984"/>
      <w:r w:rsidRPr="00873B6C">
        <w:t>5.8.2.3.1</w:t>
      </w:r>
      <w:r w:rsidRPr="00873B6C">
        <w:tab/>
        <w:t>General</w:t>
      </w:r>
      <w:bookmarkEnd w:id="1985"/>
      <w:bookmarkEnd w:id="1986"/>
      <w:bookmarkEnd w:id="1987"/>
      <w:bookmarkEnd w:id="1988"/>
      <w:bookmarkEnd w:id="1989"/>
      <w:bookmarkEnd w:id="1990"/>
      <w:bookmarkEnd w:id="1991"/>
    </w:p>
    <w:p w14:paraId="023686AD" w14:textId="77777777" w:rsidR="00D40151" w:rsidRPr="00873B6C" w:rsidRDefault="00D40151" w:rsidP="00D40151">
      <w:r w:rsidRPr="00873B6C">
        <w:t>CN Tunnel Info is the Core Network address of a N3/N9 tunnel corresponding to the PDU Session. It comprises the TEID and the IP address which is used by the UPF on the N3/N9 tunnel for the PDU Session.</w:t>
      </w:r>
    </w:p>
    <w:p w14:paraId="00D9432A" w14:textId="77777777" w:rsidR="00D40151" w:rsidRPr="00873B6C" w:rsidRDefault="00D40151" w:rsidP="00D40151">
      <w:r w:rsidRPr="00873B6C">
        <w:t>The CN Tunnel Info allocation and release is performed by the UPF. The SMF shall indicate to the UPF when the UPF is required to allocate/release CN Tunnel Info.</w:t>
      </w:r>
    </w:p>
    <w:p w14:paraId="29F24B19" w14:textId="77777777" w:rsidR="00D40151" w:rsidRPr="00873B6C" w:rsidRDefault="00D40151" w:rsidP="00D40151">
      <w:pPr>
        <w:pStyle w:val="Heading5"/>
      </w:pPr>
      <w:bookmarkStart w:id="1992" w:name="_CR5_8_2_3_2"/>
      <w:bookmarkStart w:id="1993" w:name="_Toc20149839"/>
      <w:bookmarkStart w:id="1994" w:name="_Toc27846633"/>
      <w:bookmarkStart w:id="1995" w:name="_Toc36187761"/>
      <w:bookmarkStart w:id="1996" w:name="_Toc45183665"/>
      <w:bookmarkStart w:id="1997" w:name="_Toc47342507"/>
      <w:bookmarkStart w:id="1998" w:name="_Toc51769207"/>
      <w:bookmarkStart w:id="1999" w:name="_Toc201157171"/>
      <w:bookmarkEnd w:id="1992"/>
      <w:r w:rsidRPr="00873B6C">
        <w:t>5.8.2.3.2</w:t>
      </w:r>
      <w:r w:rsidRPr="00873B6C">
        <w:tab/>
        <w:t>Void</w:t>
      </w:r>
      <w:bookmarkEnd w:id="1993"/>
      <w:bookmarkEnd w:id="1994"/>
      <w:bookmarkEnd w:id="1995"/>
      <w:bookmarkEnd w:id="1996"/>
      <w:bookmarkEnd w:id="1997"/>
      <w:bookmarkEnd w:id="1998"/>
      <w:bookmarkEnd w:id="1999"/>
    </w:p>
    <w:p w14:paraId="4F37C854" w14:textId="77777777" w:rsidR="00D40151" w:rsidRPr="00873B6C" w:rsidRDefault="00D40151" w:rsidP="00D40151"/>
    <w:p w14:paraId="2A0D2BCD" w14:textId="77777777" w:rsidR="00D40151" w:rsidRPr="00873B6C" w:rsidRDefault="00D40151" w:rsidP="00D40151">
      <w:pPr>
        <w:pStyle w:val="Heading5"/>
      </w:pPr>
      <w:bookmarkStart w:id="2000" w:name="_CR5_8_2_3_3"/>
      <w:bookmarkStart w:id="2001" w:name="_Toc20149840"/>
      <w:bookmarkStart w:id="2002" w:name="_Toc27846634"/>
      <w:bookmarkStart w:id="2003" w:name="_Toc36187762"/>
      <w:bookmarkStart w:id="2004" w:name="_Toc45183666"/>
      <w:bookmarkStart w:id="2005" w:name="_Toc47342508"/>
      <w:bookmarkStart w:id="2006" w:name="_Toc51769208"/>
      <w:bookmarkStart w:id="2007" w:name="_Toc201157172"/>
      <w:bookmarkEnd w:id="2000"/>
      <w:r w:rsidRPr="00873B6C">
        <w:t>5.8.2.3.3</w:t>
      </w:r>
      <w:r w:rsidRPr="00873B6C">
        <w:tab/>
        <w:t>Management of CN Tunnel Info in the UPF</w:t>
      </w:r>
      <w:bookmarkEnd w:id="2001"/>
      <w:bookmarkEnd w:id="2002"/>
      <w:bookmarkEnd w:id="2003"/>
      <w:bookmarkEnd w:id="2004"/>
      <w:bookmarkEnd w:id="2005"/>
      <w:bookmarkEnd w:id="2006"/>
      <w:bookmarkEnd w:id="2007"/>
    </w:p>
    <w:p w14:paraId="56561B35" w14:textId="77777777" w:rsidR="00D40151" w:rsidRPr="00873B6C" w:rsidRDefault="00D40151" w:rsidP="00D40151">
      <w:r w:rsidRPr="00873B6C">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873B6C" w:rsidRDefault="00D40151" w:rsidP="00D40151">
      <w:pPr>
        <w:pStyle w:val="Heading4"/>
        <w:rPr>
          <w:lang w:eastAsia="ko-KR"/>
        </w:rPr>
      </w:pPr>
      <w:bookmarkStart w:id="2008" w:name="_CR5_8_2_4"/>
      <w:bookmarkStart w:id="2009" w:name="_Toc20149841"/>
      <w:bookmarkStart w:id="2010" w:name="_Toc27846635"/>
      <w:bookmarkStart w:id="2011" w:name="_Toc36187763"/>
      <w:bookmarkStart w:id="2012" w:name="_Toc45183667"/>
      <w:bookmarkStart w:id="2013" w:name="_Toc47342509"/>
      <w:bookmarkStart w:id="2014" w:name="_Toc51769209"/>
      <w:bookmarkStart w:id="2015" w:name="_Toc201157173"/>
      <w:bookmarkEnd w:id="2008"/>
      <w:r w:rsidRPr="00873B6C">
        <w:rPr>
          <w:lang w:eastAsia="ko-KR"/>
        </w:rPr>
        <w:t>5.8.2.4</w:t>
      </w:r>
      <w:r w:rsidRPr="00873B6C">
        <w:rPr>
          <w:lang w:eastAsia="ko-KR"/>
        </w:rPr>
        <w:tab/>
        <w:t>Traffic Detection</w:t>
      </w:r>
      <w:bookmarkEnd w:id="2009"/>
      <w:bookmarkEnd w:id="2010"/>
      <w:bookmarkEnd w:id="2011"/>
      <w:bookmarkEnd w:id="2012"/>
      <w:bookmarkEnd w:id="2013"/>
      <w:bookmarkEnd w:id="2014"/>
      <w:bookmarkEnd w:id="2015"/>
    </w:p>
    <w:p w14:paraId="09754EF2" w14:textId="77777777" w:rsidR="00D40151" w:rsidRPr="00873B6C" w:rsidRDefault="00D40151" w:rsidP="00D40151">
      <w:pPr>
        <w:pStyle w:val="Heading5"/>
        <w:rPr>
          <w:lang w:eastAsia="zh-CN"/>
        </w:rPr>
      </w:pPr>
      <w:bookmarkStart w:id="2016" w:name="_CR5_8_2_4_1"/>
      <w:bookmarkStart w:id="2017" w:name="_Toc20149842"/>
      <w:bookmarkStart w:id="2018" w:name="_Toc27846636"/>
      <w:bookmarkStart w:id="2019" w:name="_Toc36187764"/>
      <w:bookmarkStart w:id="2020" w:name="_Toc45183668"/>
      <w:bookmarkStart w:id="2021" w:name="_Toc47342510"/>
      <w:bookmarkStart w:id="2022" w:name="_Toc51769210"/>
      <w:bookmarkStart w:id="2023" w:name="_Toc201157174"/>
      <w:bookmarkEnd w:id="2016"/>
      <w:r w:rsidRPr="00873B6C">
        <w:rPr>
          <w:lang w:eastAsia="zh-CN"/>
        </w:rPr>
        <w:t>5.8.2.4.1</w:t>
      </w:r>
      <w:r w:rsidRPr="00873B6C">
        <w:rPr>
          <w:lang w:eastAsia="zh-CN"/>
        </w:rPr>
        <w:tab/>
        <w:t>General</w:t>
      </w:r>
      <w:bookmarkEnd w:id="2017"/>
      <w:bookmarkEnd w:id="2018"/>
      <w:bookmarkEnd w:id="2019"/>
      <w:bookmarkEnd w:id="2020"/>
      <w:bookmarkEnd w:id="2021"/>
      <w:bookmarkEnd w:id="2022"/>
      <w:bookmarkEnd w:id="2023"/>
    </w:p>
    <w:p w14:paraId="74624658" w14:textId="77777777" w:rsidR="00D40151" w:rsidRPr="00873B6C" w:rsidRDefault="00D40151" w:rsidP="00D40151">
      <w:r w:rsidRPr="00873B6C">
        <w:t>This clause describes the detection process at the UPF that identifies the packets belonging to a session, or a service data flow.</w:t>
      </w:r>
    </w:p>
    <w:p w14:paraId="79319327" w14:textId="77777777" w:rsidR="00D40151" w:rsidRPr="00873B6C" w:rsidRDefault="00D40151" w:rsidP="00D40151">
      <w:r w:rsidRPr="00873B6C">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873B6C" w:rsidRDefault="00D40151" w:rsidP="00D40151">
      <w:pPr>
        <w:pStyle w:val="Heading5"/>
      </w:pPr>
      <w:bookmarkStart w:id="2024" w:name="_CR5_8_2_4_2"/>
      <w:bookmarkStart w:id="2025" w:name="_Toc20149843"/>
      <w:bookmarkStart w:id="2026" w:name="_Toc27846637"/>
      <w:bookmarkStart w:id="2027" w:name="_Toc36187765"/>
      <w:bookmarkStart w:id="2028" w:name="_Toc45183669"/>
      <w:bookmarkStart w:id="2029" w:name="_Toc47342511"/>
      <w:bookmarkStart w:id="2030" w:name="_Toc51769211"/>
      <w:bookmarkStart w:id="2031" w:name="_Toc201157175"/>
      <w:bookmarkEnd w:id="2024"/>
      <w:r w:rsidRPr="00873B6C">
        <w:t>5.8.2.4.2</w:t>
      </w:r>
      <w:r w:rsidRPr="00873B6C">
        <w:tab/>
        <w:t>Traffic Detection Information</w:t>
      </w:r>
      <w:bookmarkEnd w:id="2025"/>
      <w:bookmarkEnd w:id="2026"/>
      <w:bookmarkEnd w:id="2027"/>
      <w:bookmarkEnd w:id="2028"/>
      <w:bookmarkEnd w:id="2029"/>
      <w:bookmarkEnd w:id="2030"/>
      <w:bookmarkEnd w:id="2031"/>
    </w:p>
    <w:p w14:paraId="2BF56B92" w14:textId="77777777" w:rsidR="00D40151" w:rsidRPr="00873B6C" w:rsidRDefault="00D40151" w:rsidP="00D40151">
      <w:r w:rsidRPr="00873B6C">
        <w:t>The SMF controls the traffic detection at the UP function by providing detection information for every PDR.</w:t>
      </w:r>
    </w:p>
    <w:p w14:paraId="012C849A" w14:textId="77777777" w:rsidR="00D40151" w:rsidRPr="00873B6C" w:rsidRDefault="00D40151" w:rsidP="00D40151">
      <w:r w:rsidRPr="00873B6C">
        <w:t>For IPv4 or IPv6 or IPv4v6 PDU Session type, detection information is a combination of:</w:t>
      </w:r>
    </w:p>
    <w:p w14:paraId="23E7C324" w14:textId="77777777" w:rsidR="00D40151" w:rsidRPr="00873B6C" w:rsidRDefault="00D40151" w:rsidP="00D40151">
      <w:pPr>
        <w:pStyle w:val="B1"/>
      </w:pPr>
      <w:r w:rsidRPr="00873B6C">
        <w:t>-</w:t>
      </w:r>
      <w:r w:rsidRPr="00873B6C">
        <w:tab/>
        <w:t>CN tunnel info.</w:t>
      </w:r>
    </w:p>
    <w:p w14:paraId="0D360297" w14:textId="77777777" w:rsidR="00D40151" w:rsidRPr="00873B6C" w:rsidRDefault="00D40151" w:rsidP="00D40151">
      <w:pPr>
        <w:pStyle w:val="B1"/>
      </w:pPr>
      <w:r w:rsidRPr="00873B6C">
        <w:t>-</w:t>
      </w:r>
      <w:r w:rsidRPr="00873B6C">
        <w:tab/>
        <w:t>Network instance.</w:t>
      </w:r>
    </w:p>
    <w:p w14:paraId="6C0E16E8" w14:textId="77777777" w:rsidR="00D40151" w:rsidRPr="00873B6C" w:rsidRDefault="00D40151" w:rsidP="00D40151">
      <w:pPr>
        <w:pStyle w:val="B1"/>
      </w:pPr>
      <w:r w:rsidRPr="00873B6C">
        <w:t>-</w:t>
      </w:r>
      <w:r w:rsidRPr="00873B6C">
        <w:tab/>
        <w:t>QFI.</w:t>
      </w:r>
    </w:p>
    <w:p w14:paraId="7391C5BD" w14:textId="77777777" w:rsidR="00D40151" w:rsidRPr="00873B6C" w:rsidRDefault="00D40151" w:rsidP="00D40151">
      <w:pPr>
        <w:pStyle w:val="B1"/>
      </w:pPr>
      <w:r w:rsidRPr="00873B6C">
        <w:t>-</w:t>
      </w:r>
      <w:r w:rsidRPr="00873B6C">
        <w:tab/>
        <w:t>IP Packet Filter Set as defined in clause 5.7.6.2.</w:t>
      </w:r>
    </w:p>
    <w:p w14:paraId="3A5BEB35" w14:textId="4BD914A4" w:rsidR="00D40151" w:rsidRPr="00873B6C" w:rsidRDefault="00D40151" w:rsidP="00D40151">
      <w:pPr>
        <w:pStyle w:val="B1"/>
      </w:pPr>
      <w:r w:rsidRPr="00873B6C">
        <w:t>-</w:t>
      </w:r>
      <w:r w:rsidRPr="00873B6C">
        <w:tab/>
        <w:t xml:space="preserve">Application Identifier: The Application </w:t>
      </w:r>
      <w:r w:rsidR="00704A9E" w:rsidRPr="00873B6C">
        <w:t xml:space="preserve">Identifier </w:t>
      </w:r>
      <w:r w:rsidRPr="00873B6C">
        <w:t>is an index to a set of application detection rules configured in UPF.</w:t>
      </w:r>
    </w:p>
    <w:p w14:paraId="27EDAF74" w14:textId="12D71523" w:rsidR="00114986" w:rsidRPr="00873B6C" w:rsidRDefault="00114986" w:rsidP="00114986">
      <w:pPr>
        <w:pStyle w:val="B1"/>
      </w:pPr>
      <w:r w:rsidRPr="00873B6C">
        <w:lastRenderedPageBreak/>
        <w:t>-</w:t>
      </w:r>
      <w:r w:rsidRPr="00873B6C">
        <w:tab/>
        <w:t>FQDN Filter for DNS Query message.</w:t>
      </w:r>
    </w:p>
    <w:p w14:paraId="735B1A5B" w14:textId="77777777" w:rsidR="00D40151" w:rsidRPr="00873B6C" w:rsidRDefault="00D40151" w:rsidP="00D40151">
      <w:r w:rsidRPr="00873B6C">
        <w:t>For Ethernet PDU Session type, detection information is a combination of:</w:t>
      </w:r>
    </w:p>
    <w:p w14:paraId="090F078D" w14:textId="77777777" w:rsidR="00D40151" w:rsidRPr="00873B6C" w:rsidRDefault="00D40151" w:rsidP="00D40151">
      <w:pPr>
        <w:pStyle w:val="B1"/>
      </w:pPr>
      <w:r w:rsidRPr="00873B6C">
        <w:t>-</w:t>
      </w:r>
      <w:r w:rsidRPr="00873B6C">
        <w:tab/>
        <w:t>CN tunnel info.</w:t>
      </w:r>
    </w:p>
    <w:p w14:paraId="20A174AE" w14:textId="77777777" w:rsidR="00D40151" w:rsidRPr="00873B6C" w:rsidRDefault="00D40151" w:rsidP="00D40151">
      <w:pPr>
        <w:pStyle w:val="B1"/>
      </w:pPr>
      <w:r w:rsidRPr="00873B6C">
        <w:t>-</w:t>
      </w:r>
      <w:r w:rsidRPr="00873B6C">
        <w:tab/>
        <w:t>Network instance.</w:t>
      </w:r>
    </w:p>
    <w:p w14:paraId="6D06037C" w14:textId="77777777" w:rsidR="00D40151" w:rsidRPr="00873B6C" w:rsidRDefault="00D40151" w:rsidP="00D40151">
      <w:pPr>
        <w:pStyle w:val="B1"/>
      </w:pPr>
      <w:r w:rsidRPr="00873B6C">
        <w:t>-</w:t>
      </w:r>
      <w:r w:rsidRPr="00873B6C">
        <w:tab/>
        <w:t>QFI.</w:t>
      </w:r>
    </w:p>
    <w:p w14:paraId="1AC0A8CE" w14:textId="77777777" w:rsidR="00D40151" w:rsidRPr="00873B6C" w:rsidRDefault="00D40151" w:rsidP="00D40151">
      <w:pPr>
        <w:pStyle w:val="B1"/>
      </w:pPr>
      <w:r w:rsidRPr="00873B6C">
        <w:t>-</w:t>
      </w:r>
      <w:r w:rsidRPr="00873B6C">
        <w:tab/>
        <w:t>Ethernet Packet Filter Set as defined in clause 5.7.6.3.</w:t>
      </w:r>
    </w:p>
    <w:p w14:paraId="6C18AAF2" w14:textId="77777777" w:rsidR="00D40151" w:rsidRPr="00873B6C" w:rsidRDefault="00D40151" w:rsidP="00D40151">
      <w:pPr>
        <w:rPr>
          <w:rFonts w:eastAsia="MS Mincho"/>
        </w:rPr>
      </w:pPr>
      <w:r w:rsidRPr="00873B6C">
        <w:t>In this Release of the specification for Unstructured PDU Session Type, the UPF does not perform-QoS Flow level traffic detection for QoS enforcement.</w:t>
      </w:r>
    </w:p>
    <w:p w14:paraId="0962E407" w14:textId="4FDEF875" w:rsidR="00D40151" w:rsidRPr="00873B6C" w:rsidRDefault="00D40151" w:rsidP="00D40151">
      <w:r w:rsidRPr="00873B6C">
        <w:t>Traffic detection information sent by the SMF to the UPF for a PDU Session may be associated with Network instance for detection and routing of traffic over N6. In the case of IP PDU Session Type, Network Instances can</w:t>
      </w:r>
      <w:r w:rsidR="00114986" w:rsidRPr="00873B6C">
        <w:t>,</w:t>
      </w:r>
      <w:r w:rsidRPr="00873B6C">
        <w:t xml:space="preserve">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2E84102A" w:rsidR="00D40151" w:rsidRPr="00873B6C" w:rsidRDefault="00D40151" w:rsidP="00D40151">
      <w:pPr>
        <w:pStyle w:val="Heading4"/>
        <w:rPr>
          <w:lang w:eastAsia="ko-KR"/>
        </w:rPr>
      </w:pPr>
      <w:bookmarkStart w:id="2032" w:name="_CR5_8_2_5"/>
      <w:bookmarkStart w:id="2033" w:name="_Toc20149844"/>
      <w:bookmarkStart w:id="2034" w:name="_Toc27846638"/>
      <w:bookmarkStart w:id="2035" w:name="_Toc36187766"/>
      <w:bookmarkStart w:id="2036" w:name="_Toc45183670"/>
      <w:bookmarkStart w:id="2037" w:name="_Toc47342512"/>
      <w:bookmarkStart w:id="2038" w:name="_Toc51769212"/>
      <w:bookmarkStart w:id="2039" w:name="_Toc201157176"/>
      <w:bookmarkEnd w:id="2032"/>
      <w:r w:rsidRPr="00873B6C">
        <w:rPr>
          <w:lang w:eastAsia="ko-KR"/>
        </w:rPr>
        <w:t>5.8.2.5</w:t>
      </w:r>
      <w:r w:rsidRPr="00873B6C">
        <w:rPr>
          <w:lang w:eastAsia="ko-KR"/>
        </w:rPr>
        <w:tab/>
        <w:t>Control of User Plane Forwarding</w:t>
      </w:r>
      <w:bookmarkEnd w:id="2033"/>
      <w:bookmarkEnd w:id="2034"/>
      <w:bookmarkEnd w:id="2035"/>
      <w:bookmarkEnd w:id="2036"/>
      <w:bookmarkEnd w:id="2037"/>
      <w:bookmarkEnd w:id="2038"/>
      <w:bookmarkEnd w:id="2039"/>
    </w:p>
    <w:p w14:paraId="77544C2C" w14:textId="77777777" w:rsidR="00D40151" w:rsidRPr="00873B6C" w:rsidRDefault="00D40151" w:rsidP="00D40151">
      <w:pPr>
        <w:pStyle w:val="Heading5"/>
      </w:pPr>
      <w:bookmarkStart w:id="2040" w:name="_CR5_8_2_5_1"/>
      <w:bookmarkStart w:id="2041" w:name="_Toc27846639"/>
      <w:bookmarkStart w:id="2042" w:name="_Toc36187767"/>
      <w:bookmarkStart w:id="2043" w:name="_Toc45183671"/>
      <w:bookmarkStart w:id="2044" w:name="_Toc47342513"/>
      <w:bookmarkStart w:id="2045" w:name="_Toc51769213"/>
      <w:bookmarkStart w:id="2046" w:name="_Toc201157177"/>
      <w:bookmarkEnd w:id="2040"/>
      <w:r w:rsidRPr="00873B6C">
        <w:t>5.8.2.5.1</w:t>
      </w:r>
      <w:r w:rsidRPr="00873B6C">
        <w:tab/>
        <w:t>General</w:t>
      </w:r>
      <w:bookmarkEnd w:id="2041"/>
      <w:bookmarkEnd w:id="2042"/>
      <w:bookmarkEnd w:id="2043"/>
      <w:bookmarkEnd w:id="2044"/>
      <w:bookmarkEnd w:id="2045"/>
      <w:bookmarkEnd w:id="2046"/>
    </w:p>
    <w:p w14:paraId="77FB3DED" w14:textId="77777777" w:rsidR="00D40151" w:rsidRPr="00873B6C" w:rsidRDefault="00D40151" w:rsidP="00D40151">
      <w:r w:rsidRPr="00873B6C">
        <w:t>The SMF controls user-plane packet forwarding for traffic detected by a PDR by providing a FAR with instructions to the UPF, including:</w:t>
      </w:r>
    </w:p>
    <w:p w14:paraId="7C83965E" w14:textId="77777777" w:rsidR="00D40151" w:rsidRPr="00873B6C" w:rsidRDefault="00D40151" w:rsidP="00D40151">
      <w:pPr>
        <w:pStyle w:val="B1"/>
      </w:pPr>
      <w:r w:rsidRPr="00873B6C">
        <w:t>-</w:t>
      </w:r>
      <w:r w:rsidRPr="00873B6C">
        <w:tab/>
        <w:t>Forwarding operation information;</w:t>
      </w:r>
    </w:p>
    <w:p w14:paraId="5F2C9C4B" w14:textId="77777777" w:rsidR="00D40151" w:rsidRPr="00873B6C" w:rsidRDefault="00D40151" w:rsidP="00D40151">
      <w:pPr>
        <w:pStyle w:val="B1"/>
      </w:pPr>
      <w:r w:rsidRPr="00873B6C">
        <w:t>-</w:t>
      </w:r>
      <w:r w:rsidRPr="00873B6C">
        <w:tab/>
        <w:t>Forwarding target information.</w:t>
      </w:r>
    </w:p>
    <w:p w14:paraId="4D74C4BC" w14:textId="77777777" w:rsidR="00D40151" w:rsidRPr="00873B6C" w:rsidRDefault="00D40151" w:rsidP="00D40151">
      <w:r w:rsidRPr="00873B6C">
        <w:t>The details of the forwarding target and operation will depend on the scenario and is described below. The following forwarding functionality is required by the UPF:</w:t>
      </w:r>
    </w:p>
    <w:p w14:paraId="13AC31D2" w14:textId="77777777" w:rsidR="00D40151" w:rsidRPr="00873B6C" w:rsidRDefault="00D40151" w:rsidP="00D40151">
      <w:pPr>
        <w:pStyle w:val="B1"/>
      </w:pPr>
      <w:r w:rsidRPr="00873B6C">
        <w:t>-</w:t>
      </w:r>
      <w:r w:rsidRPr="00873B6C">
        <w:tab/>
        <w:t>Apply N3 /N9 tunnel related handling, i.e. encapsulation.</w:t>
      </w:r>
    </w:p>
    <w:p w14:paraId="500010BE" w14:textId="77777777" w:rsidR="00D40151" w:rsidRPr="00873B6C" w:rsidRDefault="00D40151" w:rsidP="00D40151">
      <w:pPr>
        <w:pStyle w:val="B1"/>
      </w:pPr>
      <w:r w:rsidRPr="00873B6C">
        <w:t>-</w:t>
      </w:r>
      <w:r w:rsidRPr="00873B6C">
        <w:tab/>
        <w:t>Forward the traffic to/from the SMF, e.g. as described in Table 5.8.2.5.2-1.</w:t>
      </w:r>
    </w:p>
    <w:p w14:paraId="2D8F1F7E" w14:textId="77777777" w:rsidR="00D40151" w:rsidRPr="00873B6C" w:rsidRDefault="00D40151" w:rsidP="00D40151">
      <w:pPr>
        <w:pStyle w:val="B1"/>
      </w:pPr>
      <w:r w:rsidRPr="00873B6C">
        <w:t>-</w:t>
      </w:r>
      <w:r w:rsidRPr="00873B6C">
        <w:tab/>
        <w:t>Forward the SM PDU DN Request Container from SMF to DN-AAA server</w:t>
      </w:r>
    </w:p>
    <w:p w14:paraId="66B7EFC6" w14:textId="77777777" w:rsidR="00D40151" w:rsidRPr="00873B6C" w:rsidRDefault="00D40151" w:rsidP="00D40151">
      <w:pPr>
        <w:pStyle w:val="B1"/>
      </w:pPr>
      <w:r w:rsidRPr="00873B6C">
        <w:t>-</w:t>
      </w:r>
      <w:r w:rsidRPr="00873B6C">
        <w:tab/>
        <w:t>Forward the traffic according to locally configured policy for traffic steering.</w:t>
      </w:r>
    </w:p>
    <w:p w14:paraId="39767850" w14:textId="77777777" w:rsidR="00D40151" w:rsidRPr="00873B6C" w:rsidRDefault="00D40151" w:rsidP="00D40151">
      <w:pPr>
        <w:pStyle w:val="B1"/>
        <w:rPr>
          <w:lang w:eastAsia="ko-KR"/>
        </w:rPr>
      </w:pPr>
      <w:r w:rsidRPr="00873B6C">
        <w:rPr>
          <w:lang w:eastAsia="ko-KR"/>
        </w:rPr>
        <w:t>-</w:t>
      </w:r>
      <w:r w:rsidRPr="00873B6C">
        <w:rPr>
          <w:lang w:eastAsia="ko-KR"/>
        </w:rPr>
        <w:tab/>
        <w:t>Forward the traffic according to N4 rules of a 5G VN group for 5G VN group communication.</w:t>
      </w:r>
    </w:p>
    <w:p w14:paraId="6A3A4D69" w14:textId="59B8ACE1" w:rsidR="00616F73" w:rsidRPr="00873B6C" w:rsidRDefault="00616F73" w:rsidP="00C74FFE">
      <w:pPr>
        <w:pStyle w:val="B1"/>
        <w:rPr>
          <w:lang w:eastAsia="ko-KR"/>
        </w:rPr>
      </w:pPr>
      <w:r w:rsidRPr="00873B6C">
        <w:rPr>
          <w:lang w:eastAsia="ko-KR"/>
        </w:rPr>
        <w:t>-</w:t>
      </w:r>
      <w:r w:rsidRPr="00873B6C">
        <w:rPr>
          <w:lang w:eastAsia="ko-KR"/>
        </w:rPr>
        <w:tab/>
        <w:t>Forward the traffic to/from the EASDF.</w:t>
      </w:r>
    </w:p>
    <w:p w14:paraId="10F278CC" w14:textId="0D8FF278" w:rsidR="00D40151" w:rsidRPr="00873B6C" w:rsidRDefault="00D40151" w:rsidP="00D40151">
      <w:pPr>
        <w:rPr>
          <w:lang w:eastAsia="ko-KR"/>
        </w:rPr>
      </w:pPr>
      <w:r w:rsidRPr="00873B6C">
        <w:rPr>
          <w:lang w:eastAsia="ko-KR"/>
        </w:rPr>
        <w:t xml:space="preserve">Data forwarding between the SMF and UPF is transmitted on the user plane tunnel established on N4 interface, defined in </w:t>
      </w:r>
      <w:r w:rsidR="00972E70" w:rsidRPr="00873B6C">
        <w:rPr>
          <w:lang w:eastAsia="ko-KR"/>
        </w:rPr>
        <w:t>TS 29.244 [</w:t>
      </w:r>
      <w:r w:rsidRPr="00873B6C">
        <w:rPr>
          <w:lang w:eastAsia="ko-KR"/>
        </w:rPr>
        <w:t>65].</w:t>
      </w:r>
    </w:p>
    <w:p w14:paraId="4110D485" w14:textId="77777777" w:rsidR="00D40151" w:rsidRPr="00873B6C" w:rsidRDefault="00D40151" w:rsidP="00D40151">
      <w:pPr>
        <w:pStyle w:val="Heading5"/>
      </w:pPr>
      <w:bookmarkStart w:id="2047" w:name="_CR5_8_2_5_2"/>
      <w:bookmarkStart w:id="2048" w:name="_Toc27846640"/>
      <w:bookmarkStart w:id="2049" w:name="_Toc36187768"/>
      <w:bookmarkStart w:id="2050" w:name="_Toc45183672"/>
      <w:bookmarkStart w:id="2051" w:name="_Toc47342514"/>
      <w:bookmarkStart w:id="2052" w:name="_Toc51769214"/>
      <w:bookmarkStart w:id="2053" w:name="_Toc201157178"/>
      <w:bookmarkEnd w:id="2047"/>
      <w:r w:rsidRPr="00873B6C">
        <w:t>5.8.2.5.2</w:t>
      </w:r>
      <w:r w:rsidRPr="00873B6C">
        <w:tab/>
        <w:t>Data forwarding between the SMF and UPF</w:t>
      </w:r>
      <w:bookmarkEnd w:id="2048"/>
      <w:bookmarkEnd w:id="2049"/>
      <w:bookmarkEnd w:id="2050"/>
      <w:bookmarkEnd w:id="2051"/>
      <w:bookmarkEnd w:id="2052"/>
      <w:bookmarkEnd w:id="2053"/>
    </w:p>
    <w:p w14:paraId="3DB5C4D0" w14:textId="77777777" w:rsidR="00D40151" w:rsidRPr="00873B6C" w:rsidRDefault="00D40151" w:rsidP="00D40151">
      <w:pPr>
        <w:rPr>
          <w:lang w:eastAsia="ko-KR"/>
        </w:rPr>
      </w:pPr>
      <w:r w:rsidRPr="00873B6C">
        <w:rPr>
          <w:lang w:eastAsia="ko-KR"/>
        </w:rPr>
        <w:t>Scenarios for data forwarding between the SMF and UPF are defined as below:</w:t>
      </w:r>
    </w:p>
    <w:p w14:paraId="014C38E2" w14:textId="2224F85D" w:rsidR="00D40151" w:rsidRPr="00873B6C" w:rsidRDefault="00D40151" w:rsidP="00D40151">
      <w:pPr>
        <w:pStyle w:val="TH"/>
        <w:rPr>
          <w:lang w:eastAsia="ko-KR"/>
        </w:rPr>
      </w:pPr>
      <w:bookmarkStart w:id="2054" w:name="_CRTable5_8_2_5_21"/>
      <w:r w:rsidRPr="00873B6C">
        <w:rPr>
          <w:lang w:eastAsia="ko-KR"/>
        </w:rPr>
        <w:lastRenderedPageBreak/>
        <w:t xml:space="preserve">Table </w:t>
      </w:r>
      <w:bookmarkEnd w:id="2054"/>
      <w:r w:rsidRPr="00873B6C">
        <w:rPr>
          <w:lang w:eastAsia="ko-KR"/>
        </w:rPr>
        <w:t>5.8.2.5.</w:t>
      </w:r>
      <w:r w:rsidR="00616F73" w:rsidRPr="00873B6C">
        <w:rPr>
          <w:lang w:eastAsia="ko-KR"/>
        </w:rPr>
        <w:t>2</w:t>
      </w:r>
      <w:r w:rsidRPr="00873B6C">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873B6C" w14:paraId="36598592" w14:textId="77777777" w:rsidTr="00FD5C4A">
        <w:trPr>
          <w:cantSplit/>
          <w:jc w:val="center"/>
        </w:trPr>
        <w:tc>
          <w:tcPr>
            <w:tcW w:w="802" w:type="dxa"/>
          </w:tcPr>
          <w:p w14:paraId="642ED6FE" w14:textId="77777777" w:rsidR="00D40151" w:rsidRPr="00873B6C" w:rsidRDefault="00D40151" w:rsidP="009D14FB">
            <w:pPr>
              <w:pStyle w:val="TAH"/>
              <w:rPr>
                <w:lang w:eastAsia="ko-KR"/>
              </w:rPr>
            </w:pPr>
          </w:p>
        </w:tc>
        <w:tc>
          <w:tcPr>
            <w:tcW w:w="4157" w:type="dxa"/>
          </w:tcPr>
          <w:p w14:paraId="73FAC482" w14:textId="77777777" w:rsidR="00D40151" w:rsidRPr="00873B6C" w:rsidRDefault="00D40151" w:rsidP="009D14FB">
            <w:pPr>
              <w:pStyle w:val="TAH"/>
              <w:rPr>
                <w:lang w:eastAsia="ko-KR"/>
              </w:rPr>
            </w:pPr>
            <w:r w:rsidRPr="00873B6C">
              <w:rPr>
                <w:lang w:eastAsia="ko-KR"/>
              </w:rPr>
              <w:t>Scenario description</w:t>
            </w:r>
          </w:p>
        </w:tc>
        <w:tc>
          <w:tcPr>
            <w:tcW w:w="4672" w:type="dxa"/>
          </w:tcPr>
          <w:p w14:paraId="7651ACA7" w14:textId="77777777" w:rsidR="00D40151" w:rsidRPr="00873B6C" w:rsidRDefault="00D40151" w:rsidP="009D14FB">
            <w:pPr>
              <w:pStyle w:val="TAH"/>
              <w:rPr>
                <w:lang w:eastAsia="ko-KR"/>
              </w:rPr>
            </w:pPr>
            <w:r w:rsidRPr="00873B6C">
              <w:rPr>
                <w:lang w:eastAsia="ko-KR"/>
              </w:rPr>
              <w:t>Data forwarding direction</w:t>
            </w:r>
          </w:p>
        </w:tc>
      </w:tr>
      <w:tr w:rsidR="00D40151" w:rsidRPr="00873B6C" w14:paraId="31EA2175" w14:textId="77777777" w:rsidTr="00FD5C4A">
        <w:trPr>
          <w:cantSplit/>
          <w:jc w:val="center"/>
        </w:trPr>
        <w:tc>
          <w:tcPr>
            <w:tcW w:w="802" w:type="dxa"/>
          </w:tcPr>
          <w:p w14:paraId="2365F21B" w14:textId="77777777" w:rsidR="00D40151" w:rsidRPr="00873B6C" w:rsidRDefault="00D40151" w:rsidP="009D14FB">
            <w:pPr>
              <w:pStyle w:val="TAC"/>
              <w:rPr>
                <w:lang w:eastAsia="ko-KR"/>
              </w:rPr>
            </w:pPr>
            <w:r w:rsidRPr="00873B6C">
              <w:rPr>
                <w:lang w:eastAsia="ko-KR"/>
              </w:rPr>
              <w:t>1</w:t>
            </w:r>
          </w:p>
        </w:tc>
        <w:tc>
          <w:tcPr>
            <w:tcW w:w="4157" w:type="dxa"/>
          </w:tcPr>
          <w:p w14:paraId="1905B4E7" w14:textId="77777777" w:rsidR="00D40151" w:rsidRPr="00873B6C" w:rsidRDefault="00D40151" w:rsidP="009D14FB">
            <w:pPr>
              <w:pStyle w:val="TAL"/>
              <w:rPr>
                <w:lang w:eastAsia="ko-KR"/>
              </w:rPr>
            </w:pPr>
            <w:r w:rsidRPr="00873B6C">
              <w:rPr>
                <w:lang w:eastAsia="ko-KR"/>
              </w:rPr>
              <w:t>Forwarding of user-plane packets between the UE and the SMF e.g. DHCP signalling.</w:t>
            </w:r>
          </w:p>
        </w:tc>
        <w:tc>
          <w:tcPr>
            <w:tcW w:w="4672" w:type="dxa"/>
          </w:tcPr>
          <w:p w14:paraId="0AF9B326" w14:textId="77777777" w:rsidR="00D40151" w:rsidRPr="00873B6C" w:rsidRDefault="00D40151" w:rsidP="009D14FB">
            <w:pPr>
              <w:pStyle w:val="TAC"/>
              <w:rPr>
                <w:lang w:eastAsia="ko-KR"/>
              </w:rPr>
            </w:pPr>
            <w:r w:rsidRPr="00873B6C">
              <w:rPr>
                <w:lang w:eastAsia="ko-KR"/>
              </w:rPr>
              <w:t>UPF to SMF</w:t>
            </w:r>
          </w:p>
          <w:p w14:paraId="285A793F" w14:textId="77777777" w:rsidR="00D40151" w:rsidRPr="00873B6C" w:rsidRDefault="00D40151" w:rsidP="009D14FB">
            <w:pPr>
              <w:pStyle w:val="TAC"/>
              <w:rPr>
                <w:lang w:eastAsia="ko-KR"/>
              </w:rPr>
            </w:pPr>
            <w:r w:rsidRPr="00873B6C">
              <w:rPr>
                <w:lang w:eastAsia="ko-KR"/>
              </w:rPr>
              <w:t>SMF to UPF</w:t>
            </w:r>
          </w:p>
        </w:tc>
      </w:tr>
      <w:tr w:rsidR="00D40151" w:rsidRPr="00873B6C" w14:paraId="51565FE3" w14:textId="77777777" w:rsidTr="00FD5C4A">
        <w:trPr>
          <w:cantSplit/>
          <w:jc w:val="center"/>
        </w:trPr>
        <w:tc>
          <w:tcPr>
            <w:tcW w:w="802" w:type="dxa"/>
          </w:tcPr>
          <w:p w14:paraId="7E12487D" w14:textId="77777777" w:rsidR="00D40151" w:rsidRPr="00873B6C" w:rsidRDefault="00D40151" w:rsidP="009D14FB">
            <w:pPr>
              <w:pStyle w:val="TAC"/>
              <w:rPr>
                <w:lang w:eastAsia="ko-KR"/>
              </w:rPr>
            </w:pPr>
            <w:r w:rsidRPr="00873B6C">
              <w:rPr>
                <w:lang w:eastAsia="ko-KR"/>
              </w:rPr>
              <w:t>2</w:t>
            </w:r>
          </w:p>
        </w:tc>
        <w:tc>
          <w:tcPr>
            <w:tcW w:w="4157" w:type="dxa"/>
          </w:tcPr>
          <w:p w14:paraId="1E73CC16" w14:textId="77777777" w:rsidR="00D40151" w:rsidRPr="00873B6C" w:rsidRDefault="00D40151" w:rsidP="009D14FB">
            <w:pPr>
              <w:pStyle w:val="TAL"/>
              <w:rPr>
                <w:lang w:eastAsia="ko-KR"/>
              </w:rPr>
            </w:pPr>
            <w:r w:rsidRPr="00873B6C">
              <w:rPr>
                <w:lang w:eastAsia="ko-KR"/>
              </w:rPr>
              <w:t>Forwarding of packets between the SMF and the external DN e.g. with DN-AAA server</w:t>
            </w:r>
          </w:p>
        </w:tc>
        <w:tc>
          <w:tcPr>
            <w:tcW w:w="4672" w:type="dxa"/>
          </w:tcPr>
          <w:p w14:paraId="5B693864" w14:textId="77777777" w:rsidR="00D40151" w:rsidRPr="00873B6C" w:rsidRDefault="00D40151" w:rsidP="009D14FB">
            <w:pPr>
              <w:pStyle w:val="TAC"/>
              <w:rPr>
                <w:lang w:eastAsia="ko-KR"/>
              </w:rPr>
            </w:pPr>
            <w:r w:rsidRPr="00873B6C">
              <w:rPr>
                <w:lang w:eastAsia="ko-KR"/>
              </w:rPr>
              <w:t>UPF to SMF</w:t>
            </w:r>
          </w:p>
          <w:p w14:paraId="6EA52A58" w14:textId="77777777" w:rsidR="00D40151" w:rsidRPr="00873B6C" w:rsidRDefault="00D40151" w:rsidP="009D14FB">
            <w:pPr>
              <w:pStyle w:val="TAC"/>
              <w:rPr>
                <w:lang w:eastAsia="ko-KR"/>
              </w:rPr>
            </w:pPr>
            <w:r w:rsidRPr="00873B6C">
              <w:rPr>
                <w:lang w:eastAsia="ko-KR"/>
              </w:rPr>
              <w:t>SMF to UPF</w:t>
            </w:r>
          </w:p>
        </w:tc>
      </w:tr>
      <w:tr w:rsidR="00D40151" w:rsidRPr="00873B6C" w14:paraId="4DDCBD97" w14:textId="77777777" w:rsidTr="00FD5C4A">
        <w:trPr>
          <w:cantSplit/>
          <w:jc w:val="center"/>
        </w:trPr>
        <w:tc>
          <w:tcPr>
            <w:tcW w:w="802" w:type="dxa"/>
          </w:tcPr>
          <w:p w14:paraId="79A97349" w14:textId="77777777" w:rsidR="00D40151" w:rsidRPr="00873B6C" w:rsidRDefault="00D40151" w:rsidP="009D14FB">
            <w:pPr>
              <w:pStyle w:val="TAC"/>
              <w:rPr>
                <w:lang w:eastAsia="ko-KR"/>
              </w:rPr>
            </w:pPr>
            <w:r w:rsidRPr="00873B6C">
              <w:rPr>
                <w:lang w:eastAsia="ko-KR"/>
              </w:rPr>
              <w:t>3</w:t>
            </w:r>
          </w:p>
        </w:tc>
        <w:tc>
          <w:tcPr>
            <w:tcW w:w="4157" w:type="dxa"/>
          </w:tcPr>
          <w:p w14:paraId="74B89FF7" w14:textId="77777777" w:rsidR="00D40151" w:rsidRPr="00873B6C" w:rsidRDefault="00D40151" w:rsidP="009D14FB">
            <w:pPr>
              <w:pStyle w:val="TAL"/>
              <w:rPr>
                <w:lang w:eastAsia="ko-KR"/>
              </w:rPr>
            </w:pPr>
            <w:r w:rsidRPr="00873B6C">
              <w:rPr>
                <w:lang w:eastAsia="ko-KR"/>
              </w:rPr>
              <w:t>Forwarding of packets subject to buffering in the SMF.</w:t>
            </w:r>
          </w:p>
        </w:tc>
        <w:tc>
          <w:tcPr>
            <w:tcW w:w="4672" w:type="dxa"/>
          </w:tcPr>
          <w:p w14:paraId="69DDCF06" w14:textId="77777777" w:rsidR="00D40151" w:rsidRPr="00873B6C" w:rsidRDefault="00D40151" w:rsidP="009D14FB">
            <w:pPr>
              <w:pStyle w:val="TAC"/>
              <w:rPr>
                <w:lang w:eastAsia="ko-KR"/>
              </w:rPr>
            </w:pPr>
            <w:r w:rsidRPr="00873B6C">
              <w:rPr>
                <w:lang w:eastAsia="ko-KR"/>
              </w:rPr>
              <w:t>UPF to SMF</w:t>
            </w:r>
          </w:p>
          <w:p w14:paraId="7D5C029A" w14:textId="77777777" w:rsidR="00D40151" w:rsidRPr="00873B6C" w:rsidRDefault="00D40151" w:rsidP="009D14FB">
            <w:pPr>
              <w:pStyle w:val="TAC"/>
              <w:rPr>
                <w:lang w:eastAsia="ko-KR"/>
              </w:rPr>
            </w:pPr>
            <w:r w:rsidRPr="00873B6C">
              <w:rPr>
                <w:lang w:eastAsia="ko-KR"/>
              </w:rPr>
              <w:t>SMF to UPF</w:t>
            </w:r>
          </w:p>
        </w:tc>
      </w:tr>
      <w:tr w:rsidR="00D40151" w:rsidRPr="00873B6C" w14:paraId="3E089994" w14:textId="77777777" w:rsidTr="00FD5C4A">
        <w:trPr>
          <w:cantSplit/>
          <w:jc w:val="center"/>
        </w:trPr>
        <w:tc>
          <w:tcPr>
            <w:tcW w:w="802" w:type="dxa"/>
          </w:tcPr>
          <w:p w14:paraId="28621636" w14:textId="77777777" w:rsidR="00D40151" w:rsidRPr="00873B6C" w:rsidRDefault="00D40151" w:rsidP="009D14FB">
            <w:pPr>
              <w:pStyle w:val="TAC"/>
              <w:rPr>
                <w:lang w:eastAsia="ko-KR"/>
              </w:rPr>
            </w:pPr>
            <w:r w:rsidRPr="00873B6C">
              <w:rPr>
                <w:lang w:eastAsia="ko-KR"/>
              </w:rPr>
              <w:t>4</w:t>
            </w:r>
          </w:p>
        </w:tc>
        <w:tc>
          <w:tcPr>
            <w:tcW w:w="4157" w:type="dxa"/>
          </w:tcPr>
          <w:p w14:paraId="55FACC9D" w14:textId="77777777" w:rsidR="00D40151" w:rsidRPr="00873B6C" w:rsidRDefault="00D40151" w:rsidP="009D14FB">
            <w:pPr>
              <w:pStyle w:val="TAL"/>
              <w:rPr>
                <w:lang w:eastAsia="ko-KR"/>
              </w:rPr>
            </w:pPr>
            <w:r w:rsidRPr="00873B6C">
              <w:rPr>
                <w:lang w:eastAsia="ko-KR"/>
              </w:rPr>
              <w:t>Forwarding of End Marker Packets constructed by the SMF to a downstream node.</w:t>
            </w:r>
          </w:p>
        </w:tc>
        <w:tc>
          <w:tcPr>
            <w:tcW w:w="4672" w:type="dxa"/>
          </w:tcPr>
          <w:p w14:paraId="11888951" w14:textId="77777777" w:rsidR="00D40151" w:rsidRPr="00873B6C" w:rsidRDefault="00D40151" w:rsidP="009D14FB">
            <w:pPr>
              <w:pStyle w:val="TAC"/>
              <w:rPr>
                <w:lang w:eastAsia="ko-KR"/>
              </w:rPr>
            </w:pPr>
            <w:r w:rsidRPr="00873B6C">
              <w:rPr>
                <w:lang w:eastAsia="ko-KR"/>
              </w:rPr>
              <w:t>SMF to UPF</w:t>
            </w:r>
          </w:p>
        </w:tc>
      </w:tr>
      <w:tr w:rsidR="00D40151" w:rsidRPr="00873B6C" w14:paraId="53FEA78A" w14:textId="77777777" w:rsidTr="00FD5C4A">
        <w:trPr>
          <w:cantSplit/>
          <w:jc w:val="center"/>
        </w:trPr>
        <w:tc>
          <w:tcPr>
            <w:tcW w:w="802" w:type="dxa"/>
          </w:tcPr>
          <w:p w14:paraId="6AF8A299" w14:textId="77777777" w:rsidR="00D40151" w:rsidRPr="00873B6C" w:rsidRDefault="00D40151" w:rsidP="009D14FB">
            <w:pPr>
              <w:pStyle w:val="TAC"/>
              <w:rPr>
                <w:lang w:eastAsia="ko-KR"/>
              </w:rPr>
            </w:pPr>
            <w:r w:rsidRPr="00873B6C">
              <w:rPr>
                <w:lang w:eastAsia="ko-KR"/>
              </w:rPr>
              <w:t>5</w:t>
            </w:r>
          </w:p>
        </w:tc>
        <w:tc>
          <w:tcPr>
            <w:tcW w:w="4157" w:type="dxa"/>
          </w:tcPr>
          <w:p w14:paraId="5F82ADA2" w14:textId="77777777" w:rsidR="00D40151" w:rsidRPr="00873B6C" w:rsidRDefault="00D40151" w:rsidP="009D14FB">
            <w:pPr>
              <w:pStyle w:val="TAL"/>
              <w:rPr>
                <w:lang w:eastAsia="ko-KR"/>
              </w:rPr>
            </w:pPr>
            <w:r w:rsidRPr="00873B6C">
              <w:rPr>
                <w:lang w:eastAsia="ko-KR"/>
              </w:rPr>
              <w:t>Forwarding of user data using Control Plane CIoT 5GS Optimisation</w:t>
            </w:r>
          </w:p>
        </w:tc>
        <w:tc>
          <w:tcPr>
            <w:tcW w:w="4672" w:type="dxa"/>
          </w:tcPr>
          <w:p w14:paraId="334C08FA" w14:textId="77777777" w:rsidR="00D40151" w:rsidRPr="00873B6C" w:rsidRDefault="00D40151" w:rsidP="009D14FB">
            <w:pPr>
              <w:pStyle w:val="TAC"/>
              <w:rPr>
                <w:lang w:eastAsia="ko-KR"/>
              </w:rPr>
            </w:pPr>
            <w:r w:rsidRPr="00873B6C">
              <w:rPr>
                <w:lang w:eastAsia="ko-KR"/>
              </w:rPr>
              <w:t>UPF to SMF</w:t>
            </w:r>
          </w:p>
          <w:p w14:paraId="07013298" w14:textId="77777777" w:rsidR="00D40151" w:rsidRPr="00873B6C" w:rsidRDefault="00D40151" w:rsidP="009D14FB">
            <w:pPr>
              <w:pStyle w:val="TAC"/>
              <w:rPr>
                <w:lang w:eastAsia="ko-KR"/>
              </w:rPr>
            </w:pPr>
            <w:r w:rsidRPr="00873B6C">
              <w:rPr>
                <w:lang w:eastAsia="ko-KR"/>
              </w:rPr>
              <w:t>SMF to UPF</w:t>
            </w:r>
          </w:p>
        </w:tc>
      </w:tr>
    </w:tbl>
    <w:p w14:paraId="6B6E4D6B" w14:textId="77777777" w:rsidR="00D40151" w:rsidRPr="00873B6C" w:rsidRDefault="00D40151" w:rsidP="00D40151">
      <w:pPr>
        <w:pStyle w:val="FP"/>
        <w:rPr>
          <w:lang w:eastAsia="ko-KR"/>
        </w:rPr>
      </w:pPr>
    </w:p>
    <w:p w14:paraId="019CFE7B" w14:textId="77777777" w:rsidR="00D40151" w:rsidRPr="00873B6C" w:rsidRDefault="00D40151" w:rsidP="00D40151">
      <w:pPr>
        <w:pStyle w:val="Heading5"/>
      </w:pPr>
      <w:bookmarkStart w:id="2055" w:name="_CR5_8_2_5_3"/>
      <w:bookmarkStart w:id="2056" w:name="_Toc27846641"/>
      <w:bookmarkStart w:id="2057" w:name="_Toc36187769"/>
      <w:bookmarkStart w:id="2058" w:name="_Toc45183673"/>
      <w:bookmarkStart w:id="2059" w:name="_Toc47342515"/>
      <w:bookmarkStart w:id="2060" w:name="_Toc51769215"/>
      <w:bookmarkStart w:id="2061" w:name="_Toc201157179"/>
      <w:bookmarkEnd w:id="2055"/>
      <w:r w:rsidRPr="00873B6C">
        <w:t>5.8.2.5.3</w:t>
      </w:r>
      <w:r w:rsidRPr="00873B6C">
        <w:tab/>
        <w:t>Support of Ethernet PDU Session type</w:t>
      </w:r>
      <w:bookmarkEnd w:id="2056"/>
      <w:bookmarkEnd w:id="2057"/>
      <w:bookmarkEnd w:id="2058"/>
      <w:bookmarkEnd w:id="2059"/>
      <w:bookmarkEnd w:id="2060"/>
      <w:bookmarkEnd w:id="2061"/>
    </w:p>
    <w:p w14:paraId="7EDB6ADA" w14:textId="77777777" w:rsidR="00D40151" w:rsidRPr="00873B6C" w:rsidRDefault="00D40151" w:rsidP="00D40151">
      <w:pPr>
        <w:rPr>
          <w:lang w:eastAsia="ko-KR"/>
        </w:rPr>
      </w:pPr>
      <w:r w:rsidRPr="00873B6C">
        <w:rPr>
          <w:lang w:eastAsia="ko-KR"/>
        </w:rPr>
        <w:t>When configuring an UPF acting as PSA for an Ethernet PDU Session Type, the SMF may instruct the UPF to route the traffic based on detected MAC addresses as follows.</w:t>
      </w:r>
    </w:p>
    <w:p w14:paraId="429F39E9" w14:textId="77777777" w:rsidR="00D40151" w:rsidRPr="00873B6C" w:rsidRDefault="00D40151" w:rsidP="00D40151">
      <w:pPr>
        <w:pStyle w:val="B1"/>
        <w:rPr>
          <w:lang w:eastAsia="ko-KR"/>
        </w:rPr>
      </w:pPr>
      <w:r w:rsidRPr="00873B6C">
        <w:rPr>
          <w:lang w:eastAsia="ko-KR"/>
        </w:rPr>
        <w:t>-</w:t>
      </w:r>
      <w:r w:rsidRPr="00873B6C">
        <w:rPr>
          <w:lang w:eastAsia="ko-KR"/>
        </w:rPr>
        <w:tab/>
        <w:t>The UPF learns the MAC address(es) connected via N6 based on the source MAC addresses of the DL traffic received on a N6 Network Instance.</w:t>
      </w:r>
    </w:p>
    <w:p w14:paraId="717D89AA" w14:textId="5418732D" w:rsidR="00D40151" w:rsidRPr="00873B6C" w:rsidRDefault="00D40151" w:rsidP="00D40151">
      <w:pPr>
        <w:pStyle w:val="B1"/>
        <w:rPr>
          <w:lang w:eastAsia="ko-KR"/>
        </w:rPr>
      </w:pPr>
      <w:r w:rsidRPr="00873B6C">
        <w:rPr>
          <w:lang w:eastAsia="ko-KR"/>
        </w:rPr>
        <w:t>-</w:t>
      </w:r>
      <w:r w:rsidRPr="00873B6C">
        <w:rPr>
          <w:lang w:eastAsia="ko-KR"/>
        </w:rPr>
        <w:tab/>
        <w:t>The UPF learns the MAC address(es) of UE(s) and devices conn</w:t>
      </w:r>
      <w:r w:rsidR="00704A9E" w:rsidRPr="00873B6C">
        <w:rPr>
          <w:lang w:eastAsia="ko-KR"/>
        </w:rPr>
        <w:t>e</w:t>
      </w:r>
      <w:r w:rsidRPr="00873B6C">
        <w:rPr>
          <w:lang w:eastAsia="ko-KR"/>
        </w:rPr>
        <w:t>cted behind, if any, based on the source MAC address contained within the UL traffic received on a PDU Session (N3/N9 interface).</w:t>
      </w:r>
    </w:p>
    <w:p w14:paraId="78173FC8" w14:textId="77777777" w:rsidR="00D40151" w:rsidRPr="00873B6C" w:rsidRDefault="00D40151" w:rsidP="00D40151">
      <w:pPr>
        <w:pStyle w:val="B1"/>
        <w:rPr>
          <w:lang w:eastAsia="ko-KR"/>
        </w:rPr>
      </w:pPr>
      <w:r w:rsidRPr="00873B6C">
        <w:rPr>
          <w:lang w:eastAsia="ko-KR"/>
        </w:rPr>
        <w:t>-</w:t>
      </w:r>
      <w:r w:rsidRPr="00873B6C">
        <w:rPr>
          <w:lang w:eastAsia="ko-KR"/>
        </w:rPr>
        <w:tab/>
        <w:t>The UPF forwards DL unicast traffic (with a known destination address) on a PDU Session determined based on the source MAC address(es) used by the UE for the UL traffic.</w:t>
      </w:r>
    </w:p>
    <w:p w14:paraId="2EF6D3C5" w14:textId="77777777" w:rsidR="00D40151" w:rsidRPr="00873B6C" w:rsidRDefault="00D40151" w:rsidP="00D40151">
      <w:pPr>
        <w:pStyle w:val="B1"/>
        <w:rPr>
          <w:lang w:eastAsia="ko-KR"/>
        </w:rPr>
      </w:pPr>
      <w:r w:rsidRPr="00873B6C">
        <w:rPr>
          <w:lang w:eastAsia="ko-KR"/>
        </w:rPr>
        <w:t>-</w:t>
      </w:r>
      <w:r w:rsidRPr="00873B6C">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873B6C" w:rsidRDefault="00D40151" w:rsidP="00733F50">
      <w:pPr>
        <w:pStyle w:val="B1"/>
        <w:rPr>
          <w:lang w:eastAsia="ko-KR"/>
        </w:rPr>
      </w:pPr>
      <w:r w:rsidRPr="00873B6C">
        <w:rPr>
          <w:lang w:eastAsia="ko-KR"/>
        </w:rPr>
        <w:t>-</w:t>
      </w:r>
      <w:r w:rsidRPr="00873B6C">
        <w:rPr>
          <w:lang w:eastAsia="ko-KR"/>
        </w:rPr>
        <w:tab/>
        <w:t>In the case of multicast and broadcast traffic (if the destination MAC address is a broadcast or multicast address):</w:t>
      </w:r>
    </w:p>
    <w:p w14:paraId="4E26E6A3" w14:textId="383321C1" w:rsidR="00D40151" w:rsidRPr="00873B6C" w:rsidRDefault="00D40151" w:rsidP="00D40151">
      <w:pPr>
        <w:pStyle w:val="B2"/>
        <w:rPr>
          <w:lang w:eastAsia="ko-KR"/>
        </w:rPr>
      </w:pPr>
      <w:r w:rsidRPr="00873B6C">
        <w:rPr>
          <w:lang w:eastAsia="ko-KR"/>
        </w:rPr>
        <w:t>-</w:t>
      </w:r>
      <w:r w:rsidRPr="00873B6C">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873B6C" w:rsidRDefault="00D40151" w:rsidP="00D40151">
      <w:pPr>
        <w:pStyle w:val="B2"/>
        <w:rPr>
          <w:lang w:eastAsia="ko-KR"/>
        </w:rPr>
      </w:pPr>
      <w:r w:rsidRPr="00873B6C">
        <w:rPr>
          <w:lang w:eastAsia="ko-KR"/>
        </w:rPr>
        <w:t>-</w:t>
      </w:r>
      <w:r w:rsidRPr="00873B6C">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873B6C" w:rsidRDefault="00D40151" w:rsidP="00D40151">
      <w:pPr>
        <w:pStyle w:val="B1"/>
        <w:rPr>
          <w:lang w:eastAsia="ko-KR"/>
        </w:rPr>
      </w:pPr>
      <w:r w:rsidRPr="00873B6C">
        <w:rPr>
          <w:lang w:eastAsia="ko-KR"/>
        </w:rPr>
        <w:t>-</w:t>
      </w:r>
      <w:r w:rsidRPr="00873B6C">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873B6C" w:rsidRDefault="00D40151" w:rsidP="00D40151">
      <w:pPr>
        <w:pStyle w:val="NO"/>
        <w:rPr>
          <w:lang w:eastAsia="ko-KR"/>
        </w:rPr>
      </w:pPr>
      <w:r w:rsidRPr="00873B6C">
        <w:rPr>
          <w:lang w:eastAsia="ko-KR"/>
        </w:rPr>
        <w:t>NOTE 1:</w:t>
      </w:r>
      <w:r w:rsidRPr="00873B6C">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873B6C" w:rsidRDefault="00D40151" w:rsidP="00D40151">
      <w:pPr>
        <w:pStyle w:val="NO"/>
        <w:rPr>
          <w:lang w:eastAsia="ko-KR"/>
        </w:rPr>
      </w:pPr>
      <w:r w:rsidRPr="00873B6C">
        <w:rPr>
          <w:lang w:eastAsia="ko-KR"/>
        </w:rPr>
        <w:t>NOTE 2:</w:t>
      </w:r>
      <w:r w:rsidRPr="00873B6C">
        <w:rPr>
          <w:lang w:eastAsia="ko-KR"/>
        </w:rPr>
        <w:tab/>
        <w:t>This release of the specification supports only a single N6 interface in a UPF associated with the N6 Network Instance.</w:t>
      </w:r>
    </w:p>
    <w:p w14:paraId="398272F5" w14:textId="77777777" w:rsidR="00D40151" w:rsidRPr="00873B6C" w:rsidRDefault="00D40151" w:rsidP="00D40151">
      <w:pPr>
        <w:pStyle w:val="B1"/>
        <w:rPr>
          <w:lang w:eastAsia="ko-KR"/>
        </w:rPr>
      </w:pPr>
      <w:r w:rsidRPr="00873B6C">
        <w:rPr>
          <w:lang w:eastAsia="ko-KR"/>
        </w:rPr>
        <w:t>-</w:t>
      </w:r>
      <w:r w:rsidRPr="00873B6C">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1C1058F4" w:rsidR="00D40151" w:rsidRPr="00873B6C" w:rsidRDefault="00D40151" w:rsidP="00D40151">
      <w:pPr>
        <w:pStyle w:val="NO"/>
      </w:pPr>
      <w:r w:rsidRPr="00873B6C">
        <w:t>NOTE 3:</w:t>
      </w:r>
      <w:r w:rsidRPr="00873B6C">
        <w:tab/>
        <w:t>This release of the specification supports Independent VLAN Learning (IVL) and does not support Shared VLAN Learning (SVL), as described in IEEE Std</w:t>
      </w:r>
      <w:r w:rsidR="007C1B83" w:rsidRPr="00873B6C">
        <w:t> </w:t>
      </w:r>
      <w:r w:rsidRPr="00873B6C">
        <w:t>802.1Q [98].</w:t>
      </w:r>
    </w:p>
    <w:p w14:paraId="5827648A" w14:textId="77777777" w:rsidR="00D40151" w:rsidRPr="00873B6C" w:rsidRDefault="00D40151" w:rsidP="00D40151">
      <w:pPr>
        <w:pStyle w:val="B1"/>
      </w:pPr>
      <w:r w:rsidRPr="00873B6C">
        <w:t>-</w:t>
      </w:r>
      <w:r w:rsidRPr="00873B6C">
        <w:tab/>
        <w:t>if the destination MAC address of traffic refers to the same N6 interface or PDU session on which the traffic has been received, the frame shall be dropped.</w:t>
      </w:r>
    </w:p>
    <w:p w14:paraId="7A48F18C" w14:textId="34551374" w:rsidR="00D40151" w:rsidRPr="00873B6C" w:rsidRDefault="00D40151" w:rsidP="00D40151">
      <w:pPr>
        <w:rPr>
          <w:lang w:eastAsia="ko-KR"/>
        </w:rPr>
      </w:pPr>
      <w:r w:rsidRPr="00873B6C">
        <w:rPr>
          <w:lang w:eastAsia="ko-KR"/>
        </w:rPr>
        <w:t xml:space="preserve">In order to handle scenarios where a device behind a UE is moved from </w:t>
      </w:r>
      <w:r w:rsidR="008A60FE" w:rsidRPr="00873B6C">
        <w:rPr>
          <w:lang w:eastAsia="ko-KR"/>
        </w:rPr>
        <w:t xml:space="preserve">a source </w:t>
      </w:r>
      <w:r w:rsidRPr="00873B6C">
        <w:rPr>
          <w:lang w:eastAsia="ko-KR"/>
        </w:rPr>
        <w:t xml:space="preserve">UE to </w:t>
      </w:r>
      <w:r w:rsidR="008A60FE" w:rsidRPr="00873B6C">
        <w:rPr>
          <w:lang w:eastAsia="ko-KR"/>
        </w:rPr>
        <w:t xml:space="preserve">a target </w:t>
      </w:r>
      <w:r w:rsidRPr="00873B6C">
        <w:rPr>
          <w:lang w:eastAsia="ko-KR"/>
        </w:rPr>
        <w:t>UE, a MAC address is considered as no longer associated with a UPF interface</w:t>
      </w:r>
      <w:r w:rsidR="008A60FE" w:rsidRPr="00873B6C">
        <w:rPr>
          <w:lang w:eastAsia="ko-KR"/>
        </w:rPr>
        <w:t xml:space="preserve"> (source UE's PDU session)</w:t>
      </w:r>
      <w:r w:rsidRPr="00873B6C">
        <w:rPr>
          <w:lang w:eastAsia="ko-KR"/>
        </w:rPr>
        <w:t xml:space="preserve"> when the MAC address has not </w:t>
      </w:r>
      <w:r w:rsidRPr="00873B6C">
        <w:rPr>
          <w:lang w:eastAsia="ko-KR"/>
        </w:rPr>
        <w:lastRenderedPageBreak/>
        <w:t>been detected as Source MAC address in UL traffic for a pre-defined period of time or</w:t>
      </w:r>
      <w:r w:rsidR="008A60FE" w:rsidRPr="00873B6C">
        <w:rPr>
          <w:lang w:eastAsia="ko-KR"/>
        </w:rPr>
        <w:t xml:space="preserve"> the MAC address</w:t>
      </w:r>
      <w:r w:rsidRPr="00873B6C">
        <w:rPr>
          <w:lang w:eastAsia="ko-KR"/>
        </w:rPr>
        <w:t xml:space="preserve"> has been detected under a different interface (</w:t>
      </w:r>
      <w:r w:rsidR="008A60FE" w:rsidRPr="00873B6C">
        <w:rPr>
          <w:lang w:eastAsia="ko-KR"/>
        </w:rPr>
        <w:t xml:space="preserve">target UE's </w:t>
      </w:r>
      <w:r w:rsidRPr="00873B6C">
        <w:rPr>
          <w:lang w:eastAsia="ko-KR"/>
        </w:rPr>
        <w:t>PDU Session or N6).</w:t>
      </w:r>
    </w:p>
    <w:p w14:paraId="7A4437BA" w14:textId="2C172E3D" w:rsidR="001C7C66" w:rsidRPr="00873B6C" w:rsidRDefault="001C7C66" w:rsidP="00323277">
      <w:pPr>
        <w:pStyle w:val="NO"/>
        <w:rPr>
          <w:lang w:eastAsia="ko-KR"/>
        </w:rPr>
      </w:pPr>
      <w:r w:rsidRPr="00873B6C">
        <w:rPr>
          <w:lang w:eastAsia="ko-KR"/>
        </w:rPr>
        <w:t>NOTE 4:</w:t>
      </w:r>
      <w:r w:rsidRPr="00873B6C">
        <w:rPr>
          <w:lang w:eastAsia="ko-KR"/>
        </w:rPr>
        <w:tab/>
        <w:t>The UPF/NW-TT may also be provided with static filtering entries as described in clause 5.28.3. How the UPF uses the static filtering entry to achieve</w:t>
      </w:r>
      <w:r w:rsidR="00CB6EDC" w:rsidRPr="00873B6C">
        <w:rPr>
          <w:lang w:eastAsia="ko-KR"/>
        </w:rPr>
        <w:t xml:space="preserve"> forwarding of Ethernet frames to one or more egress ports</w:t>
      </w:r>
      <w:r w:rsidRPr="00873B6C">
        <w:rPr>
          <w:lang w:eastAsia="ko-KR"/>
        </w:rPr>
        <w:t xml:space="preserve"> is up to UPF implementation. The externally observable behaviour of 5GS Bridge needs to comply with IEEE Std 802.1Q [98].</w:t>
      </w:r>
    </w:p>
    <w:p w14:paraId="5B678BE2" w14:textId="3BB718EE" w:rsidR="00D40151" w:rsidRPr="00873B6C" w:rsidRDefault="00D40151" w:rsidP="00D40151">
      <w:pPr>
        <w:rPr>
          <w:lang w:eastAsia="ko-KR"/>
        </w:rPr>
      </w:pPr>
      <w:r w:rsidRPr="00873B6C">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873B6C" w:rsidRDefault="00D40151" w:rsidP="00D40151">
      <w:pPr>
        <w:pStyle w:val="NO"/>
        <w:rPr>
          <w:lang w:eastAsia="ko-KR"/>
        </w:rPr>
      </w:pPr>
      <w:r w:rsidRPr="00873B6C">
        <w:rPr>
          <w:lang w:eastAsia="ko-KR"/>
        </w:rPr>
        <w:t>NOTE </w:t>
      </w:r>
      <w:r w:rsidR="001C7C66" w:rsidRPr="00873B6C">
        <w:rPr>
          <w:lang w:eastAsia="ko-KR"/>
        </w:rPr>
        <w:t>5</w:t>
      </w:r>
      <w:r w:rsidRPr="00873B6C">
        <w:rPr>
          <w:lang w:eastAsia="ko-KR"/>
        </w:rPr>
        <w:t>:</w:t>
      </w:r>
      <w:r w:rsidRPr="00873B6C">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0D1107EC" w:rsidR="00D40151" w:rsidRPr="00873B6C" w:rsidRDefault="00D40151" w:rsidP="00D40151">
      <w:pPr>
        <w:rPr>
          <w:lang w:eastAsia="ko-KR"/>
        </w:rPr>
      </w:pPr>
      <w:r w:rsidRPr="00873B6C">
        <w:rPr>
          <w:lang w:eastAsia="ko-KR"/>
        </w:rPr>
        <w:t>The SMF may ask to get notified with the source MAC addresses used by the UE</w:t>
      </w:r>
      <w:r w:rsidR="008A60FE" w:rsidRPr="00873B6C">
        <w:rPr>
          <w:lang w:eastAsia="ko-KR"/>
        </w:rPr>
        <w:t xml:space="preserve">, e.g. if the PCF has subscribed to UE MAC address change notifications, as described in </w:t>
      </w:r>
      <w:r w:rsidR="00972E70" w:rsidRPr="00873B6C">
        <w:rPr>
          <w:lang w:eastAsia="ko-KR"/>
        </w:rPr>
        <w:t>TS 23.503 [</w:t>
      </w:r>
      <w:r w:rsidR="008A60FE" w:rsidRPr="00873B6C">
        <w:rPr>
          <w:lang w:eastAsia="ko-KR"/>
        </w:rPr>
        <w:t>45]</w:t>
      </w:r>
      <w:r w:rsidRPr="00873B6C">
        <w:rPr>
          <w:lang w:eastAsia="ko-KR"/>
        </w:rPr>
        <w:t>.</w:t>
      </w:r>
    </w:p>
    <w:p w14:paraId="6B703208" w14:textId="77777777" w:rsidR="00D40151" w:rsidRPr="00873B6C" w:rsidRDefault="00D40151" w:rsidP="00D40151">
      <w:pPr>
        <w:rPr>
          <w:lang w:eastAsia="ko-KR"/>
        </w:rPr>
      </w:pPr>
      <w:bookmarkStart w:id="2062" w:name="_Toc20149845"/>
      <w:r w:rsidRPr="00873B6C">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873B6C" w:rsidRDefault="00D40151" w:rsidP="00D40151">
      <w:pPr>
        <w:pStyle w:val="Heading4"/>
        <w:rPr>
          <w:lang w:eastAsia="ko-KR"/>
        </w:rPr>
      </w:pPr>
      <w:bookmarkStart w:id="2063" w:name="_CR5_8_2_6"/>
      <w:bookmarkStart w:id="2064" w:name="_Toc27846642"/>
      <w:bookmarkStart w:id="2065" w:name="_Toc36187770"/>
      <w:bookmarkStart w:id="2066" w:name="_Toc45183674"/>
      <w:bookmarkStart w:id="2067" w:name="_Toc47342516"/>
      <w:bookmarkStart w:id="2068" w:name="_Toc51769216"/>
      <w:bookmarkStart w:id="2069" w:name="_Toc201157180"/>
      <w:bookmarkEnd w:id="2063"/>
      <w:r w:rsidRPr="00873B6C">
        <w:rPr>
          <w:lang w:eastAsia="ko-KR"/>
        </w:rPr>
        <w:t>5.8.2.6</w:t>
      </w:r>
      <w:r w:rsidRPr="00873B6C">
        <w:rPr>
          <w:lang w:eastAsia="ko-KR"/>
        </w:rPr>
        <w:tab/>
      </w:r>
      <w:r w:rsidRPr="00873B6C">
        <w:t>Charging and Usage Monitoring Handling</w:t>
      </w:r>
      <w:bookmarkEnd w:id="2062"/>
      <w:bookmarkEnd w:id="2064"/>
      <w:bookmarkEnd w:id="2065"/>
      <w:bookmarkEnd w:id="2066"/>
      <w:bookmarkEnd w:id="2067"/>
      <w:bookmarkEnd w:id="2068"/>
      <w:bookmarkEnd w:id="2069"/>
    </w:p>
    <w:p w14:paraId="08A1AECA" w14:textId="77777777" w:rsidR="00D40151" w:rsidRPr="00873B6C" w:rsidRDefault="00D40151" w:rsidP="00D40151">
      <w:pPr>
        <w:pStyle w:val="Heading5"/>
      </w:pPr>
      <w:bookmarkStart w:id="2070" w:name="_CR5_8_2_6_1"/>
      <w:bookmarkStart w:id="2071" w:name="_Toc20149846"/>
      <w:bookmarkStart w:id="2072" w:name="_Toc27846643"/>
      <w:bookmarkStart w:id="2073" w:name="_Toc36187771"/>
      <w:bookmarkStart w:id="2074" w:name="_Toc45183675"/>
      <w:bookmarkStart w:id="2075" w:name="_Toc47342517"/>
      <w:bookmarkStart w:id="2076" w:name="_Toc51769217"/>
      <w:bookmarkStart w:id="2077" w:name="_Toc201157181"/>
      <w:bookmarkEnd w:id="2070"/>
      <w:r w:rsidRPr="00873B6C">
        <w:t>5.8.2.6.1</w:t>
      </w:r>
      <w:r w:rsidRPr="00873B6C">
        <w:tab/>
        <w:t>General</w:t>
      </w:r>
      <w:bookmarkEnd w:id="2071"/>
      <w:bookmarkEnd w:id="2072"/>
      <w:bookmarkEnd w:id="2073"/>
      <w:bookmarkEnd w:id="2074"/>
      <w:bookmarkEnd w:id="2075"/>
      <w:bookmarkEnd w:id="2076"/>
      <w:bookmarkEnd w:id="2077"/>
    </w:p>
    <w:p w14:paraId="3DBB1F80" w14:textId="77777777" w:rsidR="00D40151" w:rsidRPr="00873B6C" w:rsidRDefault="00D40151" w:rsidP="00D40151">
      <w:pPr>
        <w:rPr>
          <w:lang w:eastAsia="zh-CN"/>
        </w:rPr>
      </w:pPr>
      <w:r w:rsidRPr="00873B6C">
        <w:rPr>
          <w:lang w:eastAsia="zh-CN"/>
        </w:rPr>
        <w:t>The SMF shall support interfaces towards CHF and PCF. The SMF interacts with CHF and PCF based on information received from other control plane NFs and user plane related information received from the UPF.</w:t>
      </w:r>
    </w:p>
    <w:p w14:paraId="4EB43A1B" w14:textId="42E82C84" w:rsidR="00D40151" w:rsidRPr="00873B6C" w:rsidRDefault="00D40151" w:rsidP="00D40151">
      <w:pPr>
        <w:rPr>
          <w:lang w:eastAsia="zh-CN"/>
        </w:rPr>
      </w:pPr>
      <w:r w:rsidRPr="00873B6C">
        <w:rPr>
          <w:lang w:eastAsia="zh-CN"/>
        </w:rPr>
        <w:t>QoS Flow level, PDU Session level and subscriber related information remain at the SMF</w:t>
      </w:r>
      <w:r w:rsidR="00472CD7" w:rsidRPr="00873B6C">
        <w:rPr>
          <w:lang w:eastAsia="zh-CN"/>
        </w:rPr>
        <w:t xml:space="preserve"> and</w:t>
      </w:r>
      <w:r w:rsidRPr="00873B6C">
        <w:rPr>
          <w:lang w:eastAsia="zh-CN"/>
        </w:rPr>
        <w:t xml:space="preserve"> only usage information is requested from the UPF.</w:t>
      </w:r>
    </w:p>
    <w:p w14:paraId="7325F805" w14:textId="77777777" w:rsidR="00D40151" w:rsidRPr="00873B6C" w:rsidRDefault="00D40151" w:rsidP="00D40151">
      <w:pPr>
        <w:pStyle w:val="Heading5"/>
      </w:pPr>
      <w:bookmarkStart w:id="2078" w:name="_CR5_8_2_6_2"/>
      <w:bookmarkStart w:id="2079" w:name="_Toc20149847"/>
      <w:bookmarkStart w:id="2080" w:name="_Toc27846644"/>
      <w:bookmarkStart w:id="2081" w:name="_Toc36187772"/>
      <w:bookmarkStart w:id="2082" w:name="_Toc45183676"/>
      <w:bookmarkStart w:id="2083" w:name="_Toc47342518"/>
      <w:bookmarkStart w:id="2084" w:name="_Toc51769218"/>
      <w:bookmarkStart w:id="2085" w:name="_Toc201157182"/>
      <w:bookmarkEnd w:id="2078"/>
      <w:r w:rsidRPr="00873B6C">
        <w:t>5.8.2.6.2</w:t>
      </w:r>
      <w:r w:rsidRPr="00873B6C">
        <w:tab/>
        <w:t>Activation of Usage Reporting in UPF</w:t>
      </w:r>
      <w:bookmarkEnd w:id="2079"/>
      <w:bookmarkEnd w:id="2080"/>
      <w:bookmarkEnd w:id="2081"/>
      <w:bookmarkEnd w:id="2082"/>
      <w:bookmarkEnd w:id="2083"/>
      <w:bookmarkEnd w:id="2084"/>
      <w:bookmarkEnd w:id="2085"/>
    </w:p>
    <w:p w14:paraId="12A8CC55" w14:textId="61F9C74B" w:rsidR="00D40151" w:rsidRPr="00873B6C" w:rsidRDefault="00D40151" w:rsidP="00D40151">
      <w:r w:rsidRPr="00873B6C">
        <w:t>Triggered by the PCC rules received from the PCF or preconfigured information available at SMF, as well as from the CHF for online charging</w:t>
      </w:r>
      <w:r w:rsidR="00704A9E" w:rsidRPr="00873B6C">
        <w:t xml:space="preserve"> method</w:t>
      </w:r>
      <w:r w:rsidRPr="00873B6C">
        <w:t xml:space="preserve"> via</w:t>
      </w:r>
      <w:r w:rsidR="00704A9E" w:rsidRPr="00873B6C">
        <w:t xml:space="preserve"> quota management</w:t>
      </w:r>
      <w:r w:rsidRPr="00873B6C">
        <w:t xml:space="preserve"> mechanisms, the SMF shall provide Usage Reporting Rules to the UPF for controlling how usage reporting is performed.</w:t>
      </w:r>
    </w:p>
    <w:p w14:paraId="70B39DBC" w14:textId="42DD5136" w:rsidR="00D40151" w:rsidRPr="00873B6C" w:rsidRDefault="00D40151" w:rsidP="00D40151">
      <w:r w:rsidRPr="00873B6C">
        <w:t xml:space="preserve">The SMF shall request the report of the relevant usage information for Usage Monitoring, based on Monitoring Keys and triggers which are specified in </w:t>
      </w:r>
      <w:r w:rsidR="00972E70" w:rsidRPr="00873B6C">
        <w:t>TS 23.503 [</w:t>
      </w:r>
      <w:r w:rsidRPr="00873B6C">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141F55FF" w:rsidR="00D40151" w:rsidRPr="00873B6C" w:rsidRDefault="00D40151" w:rsidP="00D40151">
      <w:r w:rsidRPr="00873B6C">
        <w:t xml:space="preserve">The SMF shall request the report of the relevant usage information for offline and online charging, based on Charging keys and additional triggers which are specified in </w:t>
      </w:r>
      <w:r w:rsidR="00972E70" w:rsidRPr="00873B6C">
        <w:t>TS 32.255 [</w:t>
      </w:r>
      <w:r w:rsidR="00704A9E" w:rsidRPr="00873B6C">
        <w:t>68</w:t>
      </w:r>
      <w:r w:rsidRPr="00873B6C">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w:t>
      </w:r>
      <w:r w:rsidR="00472CD7" w:rsidRPr="00873B6C">
        <w:t xml:space="preserve"> and</w:t>
      </w:r>
      <w:r w:rsidRPr="00873B6C">
        <w:t xml:space="preserve"> also shall keep the mapping between them. Multiple Usage Reporting Rules may be associated with the same PDR.</w:t>
      </w:r>
    </w:p>
    <w:p w14:paraId="5021E61B" w14:textId="61666986" w:rsidR="00D40151" w:rsidRPr="00873B6C" w:rsidRDefault="00D40151" w:rsidP="00D40151">
      <w:r w:rsidRPr="00873B6C">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972E70" w:rsidRPr="00873B6C">
        <w:t>TS 23.503 [</w:t>
      </w:r>
      <w:r w:rsidRPr="00873B6C">
        <w:t xml:space="preserve">45] for usage monitoring and by </w:t>
      </w:r>
      <w:r w:rsidR="00972E70" w:rsidRPr="00873B6C">
        <w:t>TS 32.255 [</w:t>
      </w:r>
      <w:r w:rsidR="00704A9E" w:rsidRPr="00873B6C">
        <w:t>68</w:t>
      </w:r>
      <w:r w:rsidRPr="00873B6C">
        <w:t xml:space="preserve">] for </w:t>
      </w:r>
      <w:r w:rsidR="00704A9E" w:rsidRPr="00873B6C">
        <w:t xml:space="preserve">converged </w:t>
      </w:r>
      <w:r w:rsidRPr="00873B6C">
        <w:t xml:space="preserve">offline and online charging. The SMF shall decide on the thresholds value(s) based on allowance received from PCF, CHF or based on local configuration. Other parameters for instructing the UPF to report usage information are defined in </w:t>
      </w:r>
      <w:r w:rsidR="00972E70" w:rsidRPr="00873B6C">
        <w:t>TS 29.244 [</w:t>
      </w:r>
      <w:r w:rsidRPr="00873B6C">
        <w:t>65].</w:t>
      </w:r>
    </w:p>
    <w:p w14:paraId="3F858029" w14:textId="57ED0A45" w:rsidR="00D40151" w:rsidRPr="00873B6C" w:rsidRDefault="00D40151" w:rsidP="00D40151">
      <w:r w:rsidRPr="00873B6C">
        <w:lastRenderedPageBreak/>
        <w:t xml:space="preserve">When the PCC Rule attribute Service Data flow handling while requesting credit (specified in </w:t>
      </w:r>
      <w:r w:rsidR="00972E70" w:rsidRPr="00873B6C">
        <w:t>TS 23.503 [</w:t>
      </w:r>
      <w:r w:rsidRPr="00873B6C">
        <w:t xml:space="preserve">45]) indicates "non-blocking", the SMF shall request the report of the relevant usage information for the Charging key and Sponsor Identity (if applicable) and provide a default threshold value to the UPF while waiting for the </w:t>
      </w:r>
      <w:r w:rsidR="00704A9E" w:rsidRPr="00873B6C">
        <w:t xml:space="preserve">quota </w:t>
      </w:r>
      <w:r w:rsidRPr="00873B6C">
        <w:t>from the CHF.</w:t>
      </w:r>
    </w:p>
    <w:p w14:paraId="7F928360" w14:textId="77777777" w:rsidR="00D40151" w:rsidRPr="00873B6C" w:rsidRDefault="00D40151" w:rsidP="00D40151">
      <w:r w:rsidRPr="00873B6C">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873B6C" w:rsidRDefault="00D40151" w:rsidP="00D40151">
      <w:pPr>
        <w:pStyle w:val="Heading5"/>
      </w:pPr>
      <w:bookmarkStart w:id="2086" w:name="_CR5_8_2_6_3"/>
      <w:bookmarkStart w:id="2087" w:name="_Toc20149848"/>
      <w:bookmarkStart w:id="2088" w:name="_Toc27846645"/>
      <w:bookmarkStart w:id="2089" w:name="_Toc36187773"/>
      <w:bookmarkStart w:id="2090" w:name="_Toc45183677"/>
      <w:bookmarkStart w:id="2091" w:name="_Toc47342519"/>
      <w:bookmarkStart w:id="2092" w:name="_Toc51769219"/>
      <w:bookmarkStart w:id="2093" w:name="_Toc201157183"/>
      <w:bookmarkEnd w:id="2086"/>
      <w:r w:rsidRPr="00873B6C">
        <w:t>5.8.2.6.3</w:t>
      </w:r>
      <w:r w:rsidRPr="00873B6C">
        <w:tab/>
        <w:t>Reporting of Usage Information towards SMF</w:t>
      </w:r>
      <w:bookmarkEnd w:id="2087"/>
      <w:bookmarkEnd w:id="2088"/>
      <w:bookmarkEnd w:id="2089"/>
      <w:bookmarkEnd w:id="2090"/>
      <w:bookmarkEnd w:id="2091"/>
      <w:bookmarkEnd w:id="2092"/>
      <w:bookmarkEnd w:id="2093"/>
    </w:p>
    <w:p w14:paraId="16BC7FB5" w14:textId="77777777" w:rsidR="00D40151" w:rsidRPr="00873B6C" w:rsidRDefault="00D40151" w:rsidP="00D40151">
      <w:r w:rsidRPr="00873B6C">
        <w:t>The UPF shall support reporting of usage information to the SMF. The UPF shall be capable to support reporting based on different triggers, including:</w:t>
      </w:r>
    </w:p>
    <w:p w14:paraId="587C01D8" w14:textId="77777777" w:rsidR="00D40151" w:rsidRPr="00873B6C" w:rsidRDefault="00D40151" w:rsidP="00D40151">
      <w:pPr>
        <w:pStyle w:val="B1"/>
      </w:pPr>
      <w:r w:rsidRPr="00873B6C">
        <w:t>-</w:t>
      </w:r>
      <w:r w:rsidRPr="00873B6C">
        <w:tab/>
        <w:t>Periodic reporting with period defined by the SMF.</w:t>
      </w:r>
    </w:p>
    <w:p w14:paraId="285F9310" w14:textId="77777777" w:rsidR="00D40151" w:rsidRPr="00873B6C" w:rsidRDefault="00D40151" w:rsidP="00D40151">
      <w:pPr>
        <w:pStyle w:val="B1"/>
      </w:pPr>
      <w:r w:rsidRPr="00873B6C">
        <w:t>-</w:t>
      </w:r>
      <w:r w:rsidRPr="00873B6C">
        <w:tab/>
        <w:t>Usage thresholds provided by the SMF.</w:t>
      </w:r>
    </w:p>
    <w:p w14:paraId="75998D3F" w14:textId="77777777" w:rsidR="00D40151" w:rsidRPr="00873B6C" w:rsidRDefault="00D40151" w:rsidP="00D40151">
      <w:pPr>
        <w:pStyle w:val="B1"/>
      </w:pPr>
      <w:r w:rsidRPr="00873B6C">
        <w:t>-</w:t>
      </w:r>
      <w:r w:rsidRPr="00873B6C">
        <w:tab/>
        <w:t>Report on demand received from the SMF.</w:t>
      </w:r>
    </w:p>
    <w:p w14:paraId="1ECCB22F" w14:textId="77777777" w:rsidR="00D40151" w:rsidRPr="00873B6C" w:rsidRDefault="00D40151" w:rsidP="00D40151">
      <w:r w:rsidRPr="00873B6C">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873B6C" w:rsidRDefault="00D40151" w:rsidP="00D40151">
      <w:pPr>
        <w:pStyle w:val="B1"/>
      </w:pPr>
      <w:r w:rsidRPr="00873B6C">
        <w:t>-</w:t>
      </w:r>
      <w:r w:rsidRPr="00873B6C">
        <w:tab/>
        <w:t>PDU Session level reporting;</w:t>
      </w:r>
    </w:p>
    <w:p w14:paraId="7DF99FFE" w14:textId="77777777" w:rsidR="00D40151" w:rsidRPr="00873B6C" w:rsidRDefault="00D40151" w:rsidP="00D40151">
      <w:pPr>
        <w:pStyle w:val="B1"/>
      </w:pPr>
      <w:r w:rsidRPr="00873B6C">
        <w:t>-</w:t>
      </w:r>
      <w:r w:rsidRPr="00873B6C">
        <w:tab/>
        <w:t>Traffic flow (for both charging and usage monitoring) level reporting as defined by the reporting keys in the Usage Reporting Rule (see the description above).</w:t>
      </w:r>
    </w:p>
    <w:p w14:paraId="6C7BC5D6" w14:textId="77777777" w:rsidR="00D40151" w:rsidRPr="00873B6C" w:rsidRDefault="00D40151" w:rsidP="00D40151">
      <w:r w:rsidRPr="00873B6C">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873B6C" w:rsidRDefault="00D40151" w:rsidP="00D40151">
      <w:r w:rsidRPr="00873B6C">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43BA152A" w:rsidR="00D40151" w:rsidRPr="00873B6C" w:rsidRDefault="00D40151" w:rsidP="00D40151">
      <w:r w:rsidRPr="00873B6C">
        <w:t xml:space="preserve">This functionality is specified in </w:t>
      </w:r>
      <w:r w:rsidR="00972E70" w:rsidRPr="00873B6C">
        <w:t>TS 32.255 [</w:t>
      </w:r>
      <w:r w:rsidR="00704A9E" w:rsidRPr="00873B6C">
        <w:t>68</w:t>
      </w:r>
      <w:r w:rsidRPr="00873B6C">
        <w:t>].</w:t>
      </w:r>
    </w:p>
    <w:p w14:paraId="4D65F1D7" w14:textId="2B6D0C4D" w:rsidR="00D40151" w:rsidRPr="00873B6C" w:rsidRDefault="00D40151" w:rsidP="00D40151">
      <w:r w:rsidRPr="00873B6C">
        <w:t xml:space="preserve">The usage information shall be collected in the UPF and reported to the SMF as defined in 5.8.2.6, based on Monitoring Keys and triggers which are specified in </w:t>
      </w:r>
      <w:r w:rsidR="00972E70" w:rsidRPr="00873B6C">
        <w:t>TS 23.503 [</w:t>
      </w:r>
      <w:r w:rsidRPr="00873B6C">
        <w:t>45].</w:t>
      </w:r>
    </w:p>
    <w:p w14:paraId="5AFBA83C" w14:textId="77777777" w:rsidR="00D40151" w:rsidRPr="00873B6C" w:rsidRDefault="00D40151" w:rsidP="00D40151">
      <w:pPr>
        <w:pStyle w:val="Heading4"/>
        <w:rPr>
          <w:lang w:eastAsia="ko-KR"/>
        </w:rPr>
      </w:pPr>
      <w:bookmarkStart w:id="2094" w:name="_CR5_8_2_7"/>
      <w:bookmarkStart w:id="2095" w:name="_Toc20149849"/>
      <w:bookmarkStart w:id="2096" w:name="_Toc27846646"/>
      <w:bookmarkStart w:id="2097" w:name="_Toc36187774"/>
      <w:bookmarkStart w:id="2098" w:name="_Toc45183678"/>
      <w:bookmarkStart w:id="2099" w:name="_Toc47342520"/>
      <w:bookmarkStart w:id="2100" w:name="_Toc51769220"/>
      <w:bookmarkStart w:id="2101" w:name="_Toc201157184"/>
      <w:bookmarkEnd w:id="2094"/>
      <w:r w:rsidRPr="00873B6C">
        <w:rPr>
          <w:lang w:eastAsia="ko-KR"/>
        </w:rPr>
        <w:t>5.8.2.7</w:t>
      </w:r>
      <w:r w:rsidRPr="00873B6C">
        <w:rPr>
          <w:lang w:eastAsia="ko-KR"/>
        </w:rPr>
        <w:tab/>
        <w:t>PDU Session and QoS Flow Policing</w:t>
      </w:r>
      <w:bookmarkEnd w:id="2095"/>
      <w:bookmarkEnd w:id="2096"/>
      <w:bookmarkEnd w:id="2097"/>
      <w:bookmarkEnd w:id="2098"/>
      <w:bookmarkEnd w:id="2099"/>
      <w:bookmarkEnd w:id="2100"/>
      <w:bookmarkEnd w:id="2101"/>
    </w:p>
    <w:p w14:paraId="0371EB8E" w14:textId="77777777" w:rsidR="00D40151" w:rsidRPr="00873B6C" w:rsidRDefault="00D40151" w:rsidP="00D40151">
      <w:pPr>
        <w:rPr>
          <w:lang w:eastAsia="zh-CN"/>
        </w:rPr>
      </w:pPr>
      <w:r w:rsidRPr="00873B6C">
        <w:rPr>
          <w:lang w:eastAsia="zh-CN"/>
        </w:rPr>
        <w:t>ARP is used for admission control (i.e. retention and pre-emption of the new QoS Flow). The value of ARP is not required to be provided to the UPF.</w:t>
      </w:r>
    </w:p>
    <w:p w14:paraId="44664D53" w14:textId="77777777" w:rsidR="00D40151" w:rsidRPr="00873B6C" w:rsidRDefault="00D40151" w:rsidP="00D40151">
      <w:pPr>
        <w:rPr>
          <w:lang w:eastAsia="zh-CN"/>
        </w:rPr>
      </w:pPr>
      <w:r w:rsidRPr="00873B6C">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873B6C" w:rsidRDefault="00D40151" w:rsidP="00D40151">
      <w:pPr>
        <w:rPr>
          <w:lang w:eastAsia="zh-CN"/>
        </w:rPr>
      </w:pPr>
      <w:r w:rsidRPr="00873B6C">
        <w:rPr>
          <w:lang w:eastAsia="zh-CN"/>
        </w:rPr>
        <w:t>The SMF shall provide the Session-AMBR values of the PDU Session to the UPF so that the UPF</w:t>
      </w:r>
      <w:r w:rsidRPr="00873B6C">
        <w:rPr>
          <w:rFonts w:eastAsia="DengXian"/>
          <w:lang w:eastAsia="zh-CN"/>
        </w:rPr>
        <w:t xml:space="preserve"> </w:t>
      </w:r>
      <w:r w:rsidRPr="00873B6C">
        <w:rPr>
          <w:lang w:eastAsia="zh-CN"/>
        </w:rPr>
        <w:t>can enforce the Session-AMBR of the PDU Session across all Non-GBR QoS Flows of the PDU Session.</w:t>
      </w:r>
    </w:p>
    <w:p w14:paraId="61DCC206" w14:textId="77777777" w:rsidR="00D40151" w:rsidRPr="00873B6C" w:rsidRDefault="00D40151" w:rsidP="00D40151">
      <w:pPr>
        <w:rPr>
          <w:lang w:eastAsia="zh-CN"/>
        </w:rPr>
      </w:pPr>
      <w:r w:rsidRPr="00873B6C">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5FD39743" w14:textId="36B526C9" w:rsidR="00D409DD" w:rsidRPr="00873B6C" w:rsidRDefault="00D409DD" w:rsidP="00D409DD">
      <w:pPr>
        <w:rPr>
          <w:lang w:eastAsia="zh-CN"/>
        </w:rPr>
      </w:pPr>
      <w:bookmarkStart w:id="2102" w:name="_Toc20149850"/>
      <w:bookmarkStart w:id="2103" w:name="_Toc27846647"/>
      <w:bookmarkStart w:id="2104" w:name="_Toc36187775"/>
      <w:bookmarkStart w:id="2105" w:name="_Toc45183679"/>
      <w:bookmarkStart w:id="2106" w:name="_Toc47342521"/>
      <w:bookmarkStart w:id="2107" w:name="_Toc51769221"/>
      <w:r w:rsidRPr="00873B6C">
        <w:rPr>
          <w:lang w:eastAsia="zh-CN"/>
        </w:rPr>
        <w:t>SMF may decide to activate ECN marking for L4S by PSA UPF for the QoS Flow (see clause 5.37). In this case, the SMF shall send an ECN marking for L4S indicator to</w:t>
      </w:r>
      <w:r w:rsidR="00AF2D89" w:rsidRPr="00873B6C">
        <w:rPr>
          <w:lang w:eastAsia="zh-CN"/>
        </w:rPr>
        <w:t xml:space="preserve"> PSA</w:t>
      </w:r>
      <w:r w:rsidRPr="00873B6C">
        <w:rPr>
          <w:lang w:eastAsia="zh-CN"/>
        </w:rPr>
        <w:t xml:space="preserve"> UPF.</w:t>
      </w:r>
    </w:p>
    <w:p w14:paraId="6D0C3B71" w14:textId="77777777" w:rsidR="00D40151" w:rsidRPr="00873B6C" w:rsidRDefault="00D40151" w:rsidP="00D40151">
      <w:pPr>
        <w:pStyle w:val="Heading4"/>
        <w:rPr>
          <w:lang w:eastAsia="ko-KR"/>
        </w:rPr>
      </w:pPr>
      <w:bookmarkStart w:id="2108" w:name="_CR5_8_2_8"/>
      <w:bookmarkStart w:id="2109" w:name="_Toc201157185"/>
      <w:bookmarkEnd w:id="2108"/>
      <w:r w:rsidRPr="00873B6C">
        <w:rPr>
          <w:lang w:eastAsia="ko-KR"/>
        </w:rPr>
        <w:t>5.8.2.8</w:t>
      </w:r>
      <w:r w:rsidRPr="00873B6C">
        <w:rPr>
          <w:lang w:eastAsia="ko-KR"/>
        </w:rPr>
        <w:tab/>
      </w:r>
      <w:r w:rsidRPr="00873B6C">
        <w:t>PCC Related Functions</w:t>
      </w:r>
      <w:bookmarkEnd w:id="2102"/>
      <w:bookmarkEnd w:id="2103"/>
      <w:bookmarkEnd w:id="2104"/>
      <w:bookmarkEnd w:id="2105"/>
      <w:bookmarkEnd w:id="2106"/>
      <w:bookmarkEnd w:id="2107"/>
      <w:bookmarkEnd w:id="2109"/>
    </w:p>
    <w:p w14:paraId="09514109" w14:textId="77777777" w:rsidR="00D40151" w:rsidRPr="00873B6C" w:rsidRDefault="00D40151" w:rsidP="00D40151">
      <w:pPr>
        <w:pStyle w:val="Heading5"/>
        <w:rPr>
          <w:lang w:eastAsia="zh-CN"/>
        </w:rPr>
      </w:pPr>
      <w:bookmarkStart w:id="2110" w:name="_CR5_8_2_8_1"/>
      <w:bookmarkStart w:id="2111" w:name="_Toc20149851"/>
      <w:bookmarkStart w:id="2112" w:name="_Toc27846648"/>
      <w:bookmarkStart w:id="2113" w:name="_Toc36187776"/>
      <w:bookmarkStart w:id="2114" w:name="_Toc45183680"/>
      <w:bookmarkStart w:id="2115" w:name="_Toc47342522"/>
      <w:bookmarkStart w:id="2116" w:name="_Toc51769222"/>
      <w:bookmarkStart w:id="2117" w:name="_Toc201157186"/>
      <w:bookmarkEnd w:id="2110"/>
      <w:r w:rsidRPr="00873B6C">
        <w:rPr>
          <w:lang w:eastAsia="zh-CN"/>
        </w:rPr>
        <w:t>5.8.2.8.1</w:t>
      </w:r>
      <w:r w:rsidRPr="00873B6C">
        <w:rPr>
          <w:lang w:eastAsia="zh-CN"/>
        </w:rPr>
        <w:tab/>
        <w:t>Activation/Deactivation of predefined PCC rules</w:t>
      </w:r>
      <w:bookmarkEnd w:id="2111"/>
      <w:bookmarkEnd w:id="2112"/>
      <w:bookmarkEnd w:id="2113"/>
      <w:bookmarkEnd w:id="2114"/>
      <w:bookmarkEnd w:id="2115"/>
      <w:bookmarkEnd w:id="2116"/>
      <w:bookmarkEnd w:id="2117"/>
    </w:p>
    <w:p w14:paraId="0D38A7CD" w14:textId="77777777" w:rsidR="00D40151" w:rsidRPr="00873B6C" w:rsidRDefault="00D40151" w:rsidP="00D40151">
      <w:pPr>
        <w:rPr>
          <w:lang w:eastAsia="zh-CN"/>
        </w:rPr>
      </w:pPr>
      <w:r w:rsidRPr="00873B6C">
        <w:rPr>
          <w:lang w:eastAsia="zh-CN"/>
        </w:rPr>
        <w:t>A predefined PCC rule is configured in the SMF.</w:t>
      </w:r>
    </w:p>
    <w:p w14:paraId="518A196C" w14:textId="77777777" w:rsidR="00D40151" w:rsidRPr="00873B6C" w:rsidRDefault="00D40151" w:rsidP="00D40151">
      <w:pPr>
        <w:rPr>
          <w:lang w:eastAsia="zh-CN"/>
        </w:rPr>
      </w:pPr>
      <w:r w:rsidRPr="00873B6C">
        <w:rPr>
          <w:lang w:eastAsia="zh-CN"/>
        </w:rPr>
        <w:lastRenderedPageBreak/>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873B6C" w:rsidRDefault="00D40151" w:rsidP="00D40151">
      <w:pPr>
        <w:rPr>
          <w:lang w:eastAsia="zh-CN"/>
        </w:rPr>
      </w:pPr>
      <w:r w:rsidRPr="00873B6C">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873B6C" w:rsidRDefault="00D40151" w:rsidP="00D40151">
      <w:pPr>
        <w:rPr>
          <w:lang w:eastAsia="zh-CN"/>
        </w:rPr>
      </w:pPr>
      <w:r w:rsidRPr="00873B6C">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873B6C" w:rsidRDefault="00D40151" w:rsidP="00D40151">
      <w:pPr>
        <w:rPr>
          <w:lang w:eastAsia="zh-CN"/>
        </w:rPr>
      </w:pPr>
      <w:r w:rsidRPr="00873B6C">
        <w:rPr>
          <w:lang w:eastAsia="zh-CN"/>
        </w:rPr>
        <w:t xml:space="preserve">When a predefined PCC rule is activated/deactivated by the PCF, SMF shall decide what information has to be provided to the UPF to enforce the rule based on where the traffic detection filters (i.e. </w:t>
      </w:r>
      <w:r w:rsidRPr="00873B6C">
        <w:t xml:space="preserve">service data flow filter(s) or </w:t>
      </w:r>
      <w:r w:rsidRPr="00873B6C">
        <w:rPr>
          <w:szCs w:val="18"/>
        </w:rPr>
        <w:t xml:space="preserve">application detection filter), </w:t>
      </w:r>
      <w:r w:rsidRPr="00873B6C">
        <w:rPr>
          <w:lang w:eastAsia="zh-CN"/>
        </w:rPr>
        <w:t>traffic steering policy</w:t>
      </w:r>
      <w:r w:rsidRPr="00873B6C">
        <w:t xml:space="preserve"> information</w:t>
      </w:r>
      <w:r w:rsidRPr="00873B6C">
        <w:rPr>
          <w:lang w:eastAsia="zh-CN"/>
        </w:rPr>
        <w:t xml:space="preserve"> and the policies used for the traffic handling in the UPF are configured and where they are enforced:</w:t>
      </w:r>
    </w:p>
    <w:p w14:paraId="3BE89343" w14:textId="77777777" w:rsidR="00D40151" w:rsidRPr="00873B6C" w:rsidRDefault="00D40151" w:rsidP="00D40151">
      <w:pPr>
        <w:pStyle w:val="B1"/>
      </w:pPr>
      <w:r w:rsidRPr="00873B6C">
        <w:t>-</w:t>
      </w:r>
      <w:r w:rsidRPr="00873B6C">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873B6C" w:rsidRDefault="00D40151" w:rsidP="00D40151">
      <w:pPr>
        <w:pStyle w:val="B1"/>
      </w:pPr>
      <w:r w:rsidRPr="00873B6C">
        <w:t>-</w:t>
      </w:r>
      <w:r w:rsidRPr="00873B6C">
        <w:tab/>
        <w:t>If the predefined PCC rule contains traffic steering policy identifier(s), the SMF shall provide a corresponding traffic steering policy identifier(s) to the UPF;</w:t>
      </w:r>
    </w:p>
    <w:p w14:paraId="42E07B13" w14:textId="77777777" w:rsidR="00D40151" w:rsidRPr="00873B6C" w:rsidRDefault="00D40151" w:rsidP="00D40151">
      <w:pPr>
        <w:pStyle w:val="B1"/>
      </w:pPr>
      <w:r w:rsidRPr="00873B6C">
        <w:t>-</w:t>
      </w:r>
      <w:r w:rsidRPr="00873B6C">
        <w:tab/>
        <w:t>If the predefined PCC rule contains service data flow filter(s), the SMF shall provide them to the UPF;</w:t>
      </w:r>
    </w:p>
    <w:p w14:paraId="38DE56CD" w14:textId="77777777" w:rsidR="00D40151" w:rsidRPr="00873B6C" w:rsidRDefault="00D40151" w:rsidP="00D40151">
      <w:pPr>
        <w:pStyle w:val="B1"/>
      </w:pPr>
      <w:r w:rsidRPr="00873B6C">
        <w:t>-</w:t>
      </w:r>
      <w:r w:rsidRPr="00873B6C">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873B6C" w:rsidRDefault="00D40151" w:rsidP="00D40151">
      <w:r w:rsidRPr="00873B6C">
        <w:t>The SMF shall maintain the mapping between a PCC rule received over Npcf and the flow level PDR rule(s) used on N4 interface.</w:t>
      </w:r>
    </w:p>
    <w:p w14:paraId="69322D04" w14:textId="77777777" w:rsidR="00D40151" w:rsidRPr="00873B6C" w:rsidRDefault="00D40151" w:rsidP="00D40151">
      <w:pPr>
        <w:pStyle w:val="Heading5"/>
        <w:rPr>
          <w:lang w:eastAsia="zh-CN"/>
        </w:rPr>
      </w:pPr>
      <w:bookmarkStart w:id="2118" w:name="_CR5_8_2_8_2"/>
      <w:bookmarkStart w:id="2119" w:name="_Toc20149852"/>
      <w:bookmarkStart w:id="2120" w:name="_Toc27846649"/>
      <w:bookmarkStart w:id="2121" w:name="_Toc36187777"/>
      <w:bookmarkStart w:id="2122" w:name="_Toc45183681"/>
      <w:bookmarkStart w:id="2123" w:name="_Toc47342523"/>
      <w:bookmarkStart w:id="2124" w:name="_Toc51769223"/>
      <w:bookmarkStart w:id="2125" w:name="_Toc201157187"/>
      <w:bookmarkEnd w:id="2118"/>
      <w:r w:rsidRPr="00873B6C">
        <w:rPr>
          <w:lang w:eastAsia="zh-CN"/>
        </w:rPr>
        <w:t>5.8.2.8.2</w:t>
      </w:r>
      <w:r w:rsidRPr="00873B6C">
        <w:rPr>
          <w:lang w:eastAsia="zh-CN"/>
        </w:rPr>
        <w:tab/>
        <w:t>Enforcement of Dynamic PCC Rules</w:t>
      </w:r>
      <w:bookmarkEnd w:id="2119"/>
      <w:bookmarkEnd w:id="2120"/>
      <w:bookmarkEnd w:id="2121"/>
      <w:bookmarkEnd w:id="2122"/>
      <w:bookmarkEnd w:id="2123"/>
      <w:bookmarkEnd w:id="2124"/>
      <w:bookmarkEnd w:id="2125"/>
    </w:p>
    <w:p w14:paraId="44F5D6B5" w14:textId="77777777" w:rsidR="00D40151" w:rsidRPr="00873B6C" w:rsidRDefault="00D40151" w:rsidP="00D40151">
      <w:pPr>
        <w:rPr>
          <w:lang w:eastAsia="zh-CN"/>
        </w:rPr>
      </w:pPr>
      <w:r w:rsidRPr="00873B6C">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873B6C" w:rsidRDefault="00D40151" w:rsidP="00D40151">
      <w:pPr>
        <w:rPr>
          <w:lang w:eastAsia="zh-CN"/>
        </w:rPr>
      </w:pPr>
      <w:r w:rsidRPr="00873B6C">
        <w:rPr>
          <w:lang w:eastAsia="zh-CN"/>
        </w:rPr>
        <w:t>When receiving a dynamic PCC rule from the PCF which contains an application identifier and/or parameters for traffic handling in the UPF:</w:t>
      </w:r>
    </w:p>
    <w:p w14:paraId="35D5D190" w14:textId="77777777" w:rsidR="00D40151" w:rsidRPr="00873B6C" w:rsidRDefault="00D40151" w:rsidP="00D40151">
      <w:pPr>
        <w:pStyle w:val="B1"/>
      </w:pPr>
      <w:r w:rsidRPr="00873B6C">
        <w:t>-</w:t>
      </w:r>
      <w:r w:rsidRPr="00873B6C">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873B6C" w:rsidRDefault="00D40151" w:rsidP="00D40151">
      <w:pPr>
        <w:pStyle w:val="B1"/>
      </w:pPr>
      <w:r w:rsidRPr="00873B6C">
        <w:t>-</w:t>
      </w:r>
      <w:r w:rsidRPr="00873B6C">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873B6C" w:rsidRDefault="00D40151" w:rsidP="00D40151">
      <w:pPr>
        <w:rPr>
          <w:lang w:eastAsia="zh-CN"/>
        </w:rPr>
      </w:pPr>
      <w:r w:rsidRPr="00873B6C">
        <w:rPr>
          <w:lang w:eastAsia="zh-CN"/>
        </w:rPr>
        <w:t>The SMF shall maintain the mapping between a PCC rule received over Npcf and the flow level PDR(s) used on N4 interface.</w:t>
      </w:r>
    </w:p>
    <w:p w14:paraId="6C717E6E" w14:textId="77777777" w:rsidR="00D40151" w:rsidRPr="00873B6C" w:rsidRDefault="00D40151" w:rsidP="00D40151">
      <w:pPr>
        <w:pStyle w:val="Heading5"/>
        <w:rPr>
          <w:lang w:eastAsia="zh-CN"/>
        </w:rPr>
      </w:pPr>
      <w:bookmarkStart w:id="2126" w:name="_CR5_8_2_8_3"/>
      <w:bookmarkStart w:id="2127" w:name="_Toc20149853"/>
      <w:bookmarkStart w:id="2128" w:name="_Toc27846650"/>
      <w:bookmarkStart w:id="2129" w:name="_Toc36187778"/>
      <w:bookmarkStart w:id="2130" w:name="_Toc45183682"/>
      <w:bookmarkStart w:id="2131" w:name="_Toc47342524"/>
      <w:bookmarkStart w:id="2132" w:name="_Toc51769224"/>
      <w:bookmarkStart w:id="2133" w:name="_Toc201157188"/>
      <w:bookmarkEnd w:id="2126"/>
      <w:r w:rsidRPr="00873B6C">
        <w:rPr>
          <w:lang w:eastAsia="zh-CN"/>
        </w:rPr>
        <w:t>5.8.2.8.3</w:t>
      </w:r>
      <w:r w:rsidRPr="00873B6C">
        <w:rPr>
          <w:lang w:eastAsia="zh-CN"/>
        </w:rPr>
        <w:tab/>
        <w:t>Redirection</w:t>
      </w:r>
      <w:bookmarkEnd w:id="2127"/>
      <w:bookmarkEnd w:id="2128"/>
      <w:bookmarkEnd w:id="2129"/>
      <w:bookmarkEnd w:id="2130"/>
      <w:bookmarkEnd w:id="2131"/>
      <w:bookmarkEnd w:id="2132"/>
      <w:bookmarkEnd w:id="2133"/>
    </w:p>
    <w:p w14:paraId="590C410A" w14:textId="77777777" w:rsidR="00D40151" w:rsidRPr="00873B6C" w:rsidRDefault="00D40151" w:rsidP="00D40151">
      <w:r w:rsidRPr="00873B6C">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873B6C" w:rsidRDefault="00D40151" w:rsidP="00D40151">
      <w:r w:rsidRPr="00873B6C">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873B6C" w:rsidRDefault="00D40151" w:rsidP="00D40151">
      <w:pPr>
        <w:pStyle w:val="Heading5"/>
      </w:pPr>
      <w:bookmarkStart w:id="2134" w:name="_CR5_8_2_8_4"/>
      <w:bookmarkStart w:id="2135" w:name="_Toc20149854"/>
      <w:bookmarkStart w:id="2136" w:name="_Toc27846651"/>
      <w:bookmarkStart w:id="2137" w:name="_Toc36187779"/>
      <w:bookmarkStart w:id="2138" w:name="_Toc45183683"/>
      <w:bookmarkStart w:id="2139" w:name="_Toc47342525"/>
      <w:bookmarkStart w:id="2140" w:name="_Toc51769225"/>
      <w:bookmarkStart w:id="2141" w:name="_Toc201157189"/>
      <w:bookmarkEnd w:id="2134"/>
      <w:r w:rsidRPr="00873B6C">
        <w:lastRenderedPageBreak/>
        <w:t>5.8.2.8.4</w:t>
      </w:r>
      <w:r w:rsidRPr="00873B6C">
        <w:tab/>
        <w:t>Support of PFD Management</w:t>
      </w:r>
      <w:bookmarkEnd w:id="2135"/>
      <w:bookmarkEnd w:id="2136"/>
      <w:bookmarkEnd w:id="2137"/>
      <w:bookmarkEnd w:id="2138"/>
      <w:bookmarkEnd w:id="2139"/>
      <w:bookmarkEnd w:id="2140"/>
      <w:bookmarkEnd w:id="2141"/>
    </w:p>
    <w:p w14:paraId="7640A360" w14:textId="076088C2" w:rsidR="00D40151" w:rsidRPr="00873B6C" w:rsidRDefault="00D40151" w:rsidP="00D40151">
      <w:r w:rsidRPr="00873B6C">
        <w:t>The NEF (PFDF)</w:t>
      </w:r>
      <w:r w:rsidR="00704A9E" w:rsidRPr="00873B6C">
        <w:t xml:space="preserve"> </w:t>
      </w:r>
      <w:r w:rsidRPr="00873B6C">
        <w:t xml:space="preserve">shall provide PFD(s) to the SMF on the request of SMF (pull mode) or on the request of PFD management from NEF (push mode), as described in </w:t>
      </w:r>
      <w:r w:rsidR="00972E70" w:rsidRPr="00873B6C">
        <w:t>TS 23.503 [</w:t>
      </w:r>
      <w:r w:rsidRPr="00873B6C">
        <w:t>45].</w:t>
      </w:r>
      <w:r w:rsidR="0022127D" w:rsidRPr="00873B6C">
        <w:t xml:space="preserve"> </w:t>
      </w:r>
      <w:r w:rsidR="00357584" w:rsidRPr="00873B6C">
        <w:t xml:space="preserve">In addition, the </w:t>
      </w:r>
      <w:r w:rsidR="0022127D" w:rsidRPr="00873B6C">
        <w:t>NEF</w:t>
      </w:r>
      <w:r w:rsidR="00357584" w:rsidRPr="00873B6C">
        <w:t xml:space="preserve"> (PFDF)</w:t>
      </w:r>
      <w:r w:rsidR="0022127D" w:rsidRPr="00873B6C">
        <w:t xml:space="preserve"> may subscribe to NWDAF to</w:t>
      </w:r>
      <w:r w:rsidR="00357584" w:rsidRPr="00873B6C">
        <w:t xml:space="preserve"> be notified or request to get PFD</w:t>
      </w:r>
      <w:r w:rsidR="0022127D" w:rsidRPr="00873B6C">
        <w:t xml:space="preserve"> </w:t>
      </w:r>
      <w:r w:rsidR="00357584" w:rsidRPr="00873B6C">
        <w:t>"D</w:t>
      </w:r>
      <w:r w:rsidR="0022127D" w:rsidRPr="00873B6C">
        <w:t>etermination analytics</w:t>
      </w:r>
      <w:r w:rsidR="00357584" w:rsidRPr="00873B6C">
        <w:t>"</w:t>
      </w:r>
      <w:r w:rsidR="0022127D" w:rsidRPr="00873B6C">
        <w:t xml:space="preserve"> for known applications</w:t>
      </w:r>
      <w:r w:rsidR="00357584" w:rsidRPr="00873B6C">
        <w:t xml:space="preserve"> (as specified in TS 23.288 [86])</w:t>
      </w:r>
      <w:r w:rsidR="0022127D" w:rsidRPr="00873B6C">
        <w:t xml:space="preserve"> and may</w:t>
      </w:r>
      <w:r w:rsidR="00357584" w:rsidRPr="00873B6C">
        <w:t xml:space="preserve"> decide whether to</w:t>
      </w:r>
      <w:r w:rsidR="0022127D" w:rsidRPr="00873B6C">
        <w:t xml:space="preserve"> create, update, or delete PFD(s) based on the</w:t>
      </w:r>
      <w:r w:rsidR="00357584" w:rsidRPr="00873B6C">
        <w:t xml:space="preserve"> NWDAF</w:t>
      </w:r>
      <w:r w:rsidR="0022127D" w:rsidRPr="00873B6C">
        <w:t xml:space="preserve"> analytics as specified in</w:t>
      </w:r>
      <w:r w:rsidR="00357584" w:rsidRPr="00873B6C">
        <w:t xml:space="preserve"> TS 23.503 [45]</w:t>
      </w:r>
      <w:r w:rsidR="0022127D" w:rsidRPr="00873B6C">
        <w:t>.</w:t>
      </w:r>
      <w:r w:rsidRPr="00873B6C">
        <w:t xml:space="preserve"> The SMF shall provide the PFD(s) to the UPF, which have active PDR(s) with the </w:t>
      </w:r>
      <w:r w:rsidR="00704A9E" w:rsidRPr="00873B6C">
        <w:t>a</w:t>
      </w:r>
      <w:r w:rsidRPr="00873B6C">
        <w:t>pplication identifier corresponding to the PFD(s).</w:t>
      </w:r>
    </w:p>
    <w:p w14:paraId="28C89A74" w14:textId="66A3B250" w:rsidR="00D40151" w:rsidRPr="00873B6C" w:rsidRDefault="00D40151" w:rsidP="00D40151">
      <w:r w:rsidRPr="00873B6C">
        <w:t xml:space="preserve">The SMF supports the procedures in clause 4.4.3.5 of </w:t>
      </w:r>
      <w:r w:rsidR="00972E70" w:rsidRPr="00873B6C">
        <w:t>TS 23.502 [</w:t>
      </w:r>
      <w:r w:rsidRPr="00873B6C">
        <w:t>3], for management of PFDs. PFD(s) is cached in the SMF</w:t>
      </w:r>
      <w:r w:rsidR="00472CD7" w:rsidRPr="00873B6C">
        <w:t xml:space="preserve"> and</w:t>
      </w:r>
      <w:r w:rsidRPr="00873B6C">
        <w:t xml:space="preserve"> the SMF maintains a caching timer associated to the PFD(s). When the caching timer expires and there's no active PCC rule that refers to the corresponding </w:t>
      </w:r>
      <w:r w:rsidR="00704A9E" w:rsidRPr="00873B6C">
        <w:t>a</w:t>
      </w:r>
      <w:r w:rsidRPr="00873B6C">
        <w:t xml:space="preserve">pplication identifier, the SMF informs the UPF to remove the PFD(s) identified by the </w:t>
      </w:r>
      <w:r w:rsidR="00704A9E" w:rsidRPr="00873B6C">
        <w:t>a</w:t>
      </w:r>
      <w:r w:rsidRPr="00873B6C">
        <w:t>pplication identifier using the PFD management message.</w:t>
      </w:r>
    </w:p>
    <w:p w14:paraId="32DA224B" w14:textId="67844F0E" w:rsidR="00D40151" w:rsidRPr="00873B6C" w:rsidRDefault="00D40151" w:rsidP="00D40151">
      <w:r w:rsidRPr="00873B6C">
        <w:t xml:space="preserve">When a PDR is provided for an </w:t>
      </w:r>
      <w:r w:rsidR="00704A9E" w:rsidRPr="00873B6C">
        <w:t>a</w:t>
      </w:r>
      <w:r w:rsidRPr="00873B6C">
        <w:t xml:space="preserve">pplication identifier corresponding to the PFD(s) that are not already provided to the UPF, the SMF shall provide the PFD(s) to the UPF (if there are no PFD(s) cached, the SMF retrieves them from the NEF (PFDF) as specified in </w:t>
      </w:r>
      <w:r w:rsidR="00972E70" w:rsidRPr="00873B6C">
        <w:t>TS 23.503 [</w:t>
      </w:r>
      <w:r w:rsidRPr="00873B6C">
        <w:t>45]). When any update of the PFD(s) is received from NEF (PFDF) by SMF (using "push" or "pull" mode)</w:t>
      </w:r>
      <w:r w:rsidR="00472CD7" w:rsidRPr="00873B6C">
        <w:t xml:space="preserve"> and</w:t>
      </w:r>
      <w:r w:rsidRPr="00873B6C">
        <w:t xml:space="preserve"> there are still active PDRs in UPF for the </w:t>
      </w:r>
      <w:r w:rsidR="00704A9E" w:rsidRPr="00873B6C">
        <w:t>a</w:t>
      </w:r>
      <w:r w:rsidRPr="00873B6C">
        <w:t>pplication</w:t>
      </w:r>
      <w:r w:rsidR="00704A9E" w:rsidRPr="00873B6C">
        <w:t xml:space="preserve"> identifier</w:t>
      </w:r>
      <w:r w:rsidRPr="00873B6C">
        <w:t xml:space="preserve">, the SMF shall provision the updated PFD set corresponding to the </w:t>
      </w:r>
      <w:r w:rsidR="00704A9E" w:rsidRPr="00873B6C">
        <w:t>a</w:t>
      </w:r>
      <w:r w:rsidRPr="00873B6C">
        <w:t>pplication identifier to the UPF using the PFD management message.</w:t>
      </w:r>
    </w:p>
    <w:p w14:paraId="75625C07" w14:textId="77777777" w:rsidR="00D40151" w:rsidRPr="00873B6C" w:rsidRDefault="00D40151" w:rsidP="00D40151">
      <w:pPr>
        <w:pStyle w:val="NO"/>
      </w:pPr>
      <w:r w:rsidRPr="00873B6C">
        <w:t>NOTE 1:</w:t>
      </w:r>
      <w:r w:rsidRPr="00873B6C">
        <w:tab/>
        <w:t xml:space="preserve">SMF can assure not to overload </w:t>
      </w:r>
      <w:r w:rsidRPr="00873B6C">
        <w:rPr>
          <w:rFonts w:eastAsia="SimSun"/>
        </w:rPr>
        <w:t>N4</w:t>
      </w:r>
      <w:r w:rsidRPr="00873B6C">
        <w:t xml:space="preserve"> signalling while managing PFD(s) to the UPF, e.g. forwarding the PFD(s) to the right UPF where the PFD(s) is enforced.</w:t>
      </w:r>
    </w:p>
    <w:p w14:paraId="59716F01" w14:textId="7125032D" w:rsidR="00D40151" w:rsidRPr="00873B6C" w:rsidRDefault="00D40151" w:rsidP="00D40151">
      <w:r w:rsidRPr="00873B6C">
        <w:t xml:space="preserve">When the UPF receives the updated PFD(s) from either the same or different SMF for the same </w:t>
      </w:r>
      <w:r w:rsidR="00704A9E" w:rsidRPr="00873B6C">
        <w:t>a</w:t>
      </w:r>
      <w:r w:rsidRPr="00873B6C">
        <w:t>pplication identifier, the latest received PFD(s) shall overwrite any existing PFD(s) stored in the UPF.</w:t>
      </w:r>
    </w:p>
    <w:p w14:paraId="6FBC59F1" w14:textId="77777777" w:rsidR="00D40151" w:rsidRPr="00873B6C" w:rsidRDefault="00D40151" w:rsidP="00D40151">
      <w:pPr>
        <w:pStyle w:val="NO"/>
      </w:pPr>
      <w:r w:rsidRPr="00873B6C">
        <w:t>NOTE 2:</w:t>
      </w:r>
      <w:r w:rsidRPr="00873B6C">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3C17FE28" w:rsidR="00D40151" w:rsidRPr="00873B6C" w:rsidRDefault="00D40151" w:rsidP="00D40151">
      <w:pPr>
        <w:rPr>
          <w:lang w:eastAsia="ko-KR"/>
        </w:rPr>
      </w:pPr>
      <w:r w:rsidRPr="00873B6C">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972E70" w:rsidRPr="00873B6C">
        <w:rPr>
          <w:lang w:eastAsia="ko-KR"/>
        </w:rPr>
        <w:t>TS 23.502 [</w:t>
      </w:r>
      <w:r w:rsidRPr="00873B6C">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873B6C" w:rsidRDefault="00D40151" w:rsidP="00D40151">
      <w:pPr>
        <w:rPr>
          <w:lang w:eastAsia="ko-KR"/>
        </w:rPr>
      </w:pPr>
      <w:r w:rsidRPr="00873B6C">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873B6C" w:rsidRDefault="00D40151" w:rsidP="00D40151">
      <w:pPr>
        <w:pStyle w:val="Heading4"/>
        <w:rPr>
          <w:lang w:eastAsia="ko-KR"/>
        </w:rPr>
      </w:pPr>
      <w:bookmarkStart w:id="2142" w:name="_CR5_8_2_9"/>
      <w:bookmarkStart w:id="2143" w:name="_Toc20149855"/>
      <w:bookmarkStart w:id="2144" w:name="_Toc27846652"/>
      <w:bookmarkStart w:id="2145" w:name="_Toc36187780"/>
      <w:bookmarkStart w:id="2146" w:name="_Toc45183684"/>
      <w:bookmarkStart w:id="2147" w:name="_Toc47342526"/>
      <w:bookmarkStart w:id="2148" w:name="_Toc51769226"/>
      <w:bookmarkStart w:id="2149" w:name="_Toc201157190"/>
      <w:bookmarkEnd w:id="2142"/>
      <w:r w:rsidRPr="00873B6C">
        <w:rPr>
          <w:lang w:eastAsia="ko-KR"/>
        </w:rPr>
        <w:t>5.8.2.9</w:t>
      </w:r>
      <w:r w:rsidRPr="00873B6C">
        <w:rPr>
          <w:lang w:eastAsia="ko-KR"/>
        </w:rPr>
        <w:tab/>
        <w:t>Functionality of Sending of "</w:t>
      </w:r>
      <w:r w:rsidRPr="00873B6C">
        <w:rPr>
          <w:lang w:eastAsia="zh-CN"/>
        </w:rPr>
        <w:t>E</w:t>
      </w:r>
      <w:r w:rsidRPr="00873B6C">
        <w:rPr>
          <w:lang w:eastAsia="ko-KR"/>
        </w:rPr>
        <w:t>nd marker"</w:t>
      </w:r>
      <w:bookmarkEnd w:id="2143"/>
      <w:bookmarkEnd w:id="2144"/>
      <w:bookmarkEnd w:id="2145"/>
      <w:bookmarkEnd w:id="2146"/>
      <w:bookmarkEnd w:id="2147"/>
      <w:bookmarkEnd w:id="2148"/>
      <w:bookmarkEnd w:id="2149"/>
    </w:p>
    <w:p w14:paraId="5399DF82" w14:textId="77777777" w:rsidR="00D40151" w:rsidRPr="00873B6C" w:rsidRDefault="00D40151" w:rsidP="00D40151">
      <w:pPr>
        <w:pStyle w:val="Heading5"/>
        <w:rPr>
          <w:lang w:eastAsia="zh-CN"/>
        </w:rPr>
      </w:pPr>
      <w:bookmarkStart w:id="2150" w:name="_CR5_8_2_9_0"/>
      <w:bookmarkStart w:id="2151" w:name="_Toc20149856"/>
      <w:bookmarkStart w:id="2152" w:name="_Toc27846653"/>
      <w:bookmarkStart w:id="2153" w:name="_Toc36187781"/>
      <w:bookmarkStart w:id="2154" w:name="_Toc45183685"/>
      <w:bookmarkStart w:id="2155" w:name="_Toc47342527"/>
      <w:bookmarkStart w:id="2156" w:name="_Toc51769227"/>
      <w:bookmarkStart w:id="2157" w:name="_Toc201157191"/>
      <w:bookmarkEnd w:id="2150"/>
      <w:r w:rsidRPr="00873B6C">
        <w:rPr>
          <w:lang w:eastAsia="zh-CN"/>
        </w:rPr>
        <w:t>5.8.2.9.0</w:t>
      </w:r>
      <w:r w:rsidRPr="00873B6C">
        <w:rPr>
          <w:lang w:eastAsia="zh-CN"/>
        </w:rPr>
        <w:tab/>
        <w:t>Introduction</w:t>
      </w:r>
      <w:bookmarkEnd w:id="2151"/>
      <w:bookmarkEnd w:id="2152"/>
      <w:bookmarkEnd w:id="2153"/>
      <w:bookmarkEnd w:id="2154"/>
      <w:bookmarkEnd w:id="2155"/>
      <w:bookmarkEnd w:id="2156"/>
      <w:bookmarkEnd w:id="2157"/>
    </w:p>
    <w:p w14:paraId="51207177" w14:textId="77777777" w:rsidR="00D40151" w:rsidRPr="00873B6C" w:rsidRDefault="00D40151" w:rsidP="00D40151">
      <w:pPr>
        <w:rPr>
          <w:lang w:eastAsia="zh-CN"/>
        </w:rPr>
      </w:pPr>
      <w:r w:rsidRPr="00873B6C">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873B6C" w:rsidRDefault="00D40151" w:rsidP="00D40151">
      <w:pPr>
        <w:pStyle w:val="Heading5"/>
        <w:rPr>
          <w:lang w:eastAsia="zh-CN"/>
        </w:rPr>
      </w:pPr>
      <w:bookmarkStart w:id="2158" w:name="_CR5_8_2_9_1"/>
      <w:bookmarkStart w:id="2159" w:name="_Toc20149857"/>
      <w:bookmarkStart w:id="2160" w:name="_Toc27846654"/>
      <w:bookmarkStart w:id="2161" w:name="_Toc36187782"/>
      <w:bookmarkStart w:id="2162" w:name="_Toc45183686"/>
      <w:bookmarkStart w:id="2163" w:name="_Toc47342528"/>
      <w:bookmarkStart w:id="2164" w:name="_Toc51769228"/>
      <w:bookmarkStart w:id="2165" w:name="_Toc201157192"/>
      <w:bookmarkEnd w:id="2158"/>
      <w:r w:rsidRPr="00873B6C">
        <w:rPr>
          <w:lang w:eastAsia="zh-CN"/>
        </w:rPr>
        <w:t>5.8.2.9.1</w:t>
      </w:r>
      <w:r w:rsidRPr="00873B6C">
        <w:rPr>
          <w:lang w:eastAsia="zh-CN"/>
        </w:rPr>
        <w:tab/>
        <w:t>UPF Constructing the "End marker" Packets</w:t>
      </w:r>
      <w:bookmarkEnd w:id="2159"/>
      <w:bookmarkEnd w:id="2160"/>
      <w:bookmarkEnd w:id="2161"/>
      <w:bookmarkEnd w:id="2162"/>
      <w:bookmarkEnd w:id="2163"/>
      <w:bookmarkEnd w:id="2164"/>
      <w:bookmarkEnd w:id="2165"/>
    </w:p>
    <w:p w14:paraId="7A2B7827" w14:textId="77777777" w:rsidR="00D40151" w:rsidRPr="00873B6C" w:rsidRDefault="00D40151" w:rsidP="00D40151">
      <w:pPr>
        <w:rPr>
          <w:lang w:eastAsia="zh-CN"/>
        </w:rPr>
      </w:pPr>
      <w:r w:rsidRPr="00873B6C">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873B6C" w:rsidRDefault="00D40151" w:rsidP="00D40151">
      <w:pPr>
        <w:rPr>
          <w:lang w:eastAsia="zh-CN"/>
        </w:rPr>
      </w:pPr>
      <w:r w:rsidRPr="00873B6C">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873B6C" w:rsidRDefault="00D40151" w:rsidP="00D40151">
      <w:pPr>
        <w:rPr>
          <w:lang w:eastAsia="zh-CN"/>
        </w:rPr>
      </w:pPr>
      <w:r w:rsidRPr="00873B6C">
        <w:rPr>
          <w:lang w:eastAsia="zh-CN"/>
        </w:rPr>
        <w:t xml:space="preserve">In the case of inter NG-RAN Handover procedure with change of the UPF terminating N3, the SMF shall request the UPF with N9 reference point to the UPF terminating N3 to switch the N9 user plane path(s) by sending an N4 Session </w:t>
      </w:r>
      <w:r w:rsidRPr="00873B6C">
        <w:rPr>
          <w:lang w:eastAsia="zh-CN"/>
        </w:rPr>
        <w:lastRenderedPageBreak/>
        <w:t>Modification Request message (N4 session ID, new CN Tunnel Info of the UPF terminating N3) and in addition, provide an indication to this UPF to send the end marker packet(s) on the old path.</w:t>
      </w:r>
    </w:p>
    <w:p w14:paraId="44F571F9" w14:textId="77777777" w:rsidR="00D40151" w:rsidRPr="00873B6C" w:rsidRDefault="00D40151" w:rsidP="00D40151">
      <w:pPr>
        <w:rPr>
          <w:lang w:eastAsia="zh-CN"/>
        </w:rPr>
      </w:pPr>
      <w:r w:rsidRPr="00873B6C">
        <w:rPr>
          <w:lang w:eastAsia="zh-CN"/>
        </w:rPr>
        <w:t>On receiving this indication, the UPF shall construct end marker packet(s) and send it for each N9 GTP-U tunnel towards the source UPF after sending the last PDU on the old path.</w:t>
      </w:r>
    </w:p>
    <w:p w14:paraId="17223008" w14:textId="77777777" w:rsidR="00D40151" w:rsidRPr="00873B6C" w:rsidRDefault="00D40151" w:rsidP="00D40151">
      <w:pPr>
        <w:rPr>
          <w:lang w:eastAsia="zh-CN"/>
        </w:rPr>
      </w:pPr>
      <w:r w:rsidRPr="00873B6C">
        <w:rPr>
          <w:lang w:eastAsia="zh-CN"/>
        </w:rPr>
        <w:t>On receiving the end marker packet(s) on N9 GTP-U tunnel, source UPF shall forward the end marker packet(s) and send it for each N3 GTP-U tunnel towards the source NG RAN.</w:t>
      </w:r>
    </w:p>
    <w:p w14:paraId="15995CD4" w14:textId="77777777" w:rsidR="00D40151" w:rsidRPr="00873B6C" w:rsidRDefault="00D40151" w:rsidP="00D40151">
      <w:pPr>
        <w:pStyle w:val="Heading5"/>
        <w:rPr>
          <w:lang w:eastAsia="zh-CN"/>
        </w:rPr>
      </w:pPr>
      <w:bookmarkStart w:id="2166" w:name="_CR5_8_2_9_2"/>
      <w:bookmarkStart w:id="2167" w:name="_Toc20149858"/>
      <w:bookmarkStart w:id="2168" w:name="_Toc27846655"/>
      <w:bookmarkStart w:id="2169" w:name="_Toc36187783"/>
      <w:bookmarkStart w:id="2170" w:name="_Toc45183687"/>
      <w:bookmarkStart w:id="2171" w:name="_Toc47342529"/>
      <w:bookmarkStart w:id="2172" w:name="_Toc51769229"/>
      <w:bookmarkStart w:id="2173" w:name="_Toc201157193"/>
      <w:bookmarkEnd w:id="2166"/>
      <w:r w:rsidRPr="00873B6C">
        <w:rPr>
          <w:lang w:eastAsia="zh-CN"/>
        </w:rPr>
        <w:t>5.8.2.9.2</w:t>
      </w:r>
      <w:r w:rsidRPr="00873B6C">
        <w:rPr>
          <w:lang w:eastAsia="zh-CN"/>
        </w:rPr>
        <w:tab/>
        <w:t>SMF Constructing the "End marker" Packets</w:t>
      </w:r>
      <w:bookmarkEnd w:id="2167"/>
      <w:bookmarkEnd w:id="2168"/>
      <w:bookmarkEnd w:id="2169"/>
      <w:bookmarkEnd w:id="2170"/>
      <w:bookmarkEnd w:id="2171"/>
      <w:bookmarkEnd w:id="2172"/>
      <w:bookmarkEnd w:id="2173"/>
    </w:p>
    <w:p w14:paraId="378AF427" w14:textId="77777777" w:rsidR="00D40151" w:rsidRPr="00873B6C" w:rsidRDefault="00D40151" w:rsidP="00D40151">
      <w:pPr>
        <w:rPr>
          <w:lang w:eastAsia="zh-CN"/>
        </w:rPr>
      </w:pPr>
      <w:r w:rsidRPr="00873B6C">
        <w:rPr>
          <w:lang w:eastAsia="zh-CN"/>
        </w:rPr>
        <w:t>UPF referred in this clause is the UPF terminates N3 reference point.</w:t>
      </w:r>
    </w:p>
    <w:p w14:paraId="68C54C6A" w14:textId="77777777" w:rsidR="00D40151" w:rsidRPr="00873B6C" w:rsidRDefault="00D40151" w:rsidP="00D40151">
      <w:pPr>
        <w:rPr>
          <w:lang w:eastAsia="zh-CN"/>
        </w:rPr>
      </w:pPr>
      <w:r w:rsidRPr="00873B6C">
        <w:t>It is assumed that the PDU Session for the UE comprises of an UPF that acts as a PDU Session Anchor and an intermediate UPF terminating N3 reference point at the time of this Handover procedure.</w:t>
      </w:r>
    </w:p>
    <w:p w14:paraId="74116CF3" w14:textId="77777777" w:rsidR="00D40151" w:rsidRPr="00873B6C" w:rsidRDefault="00D40151" w:rsidP="00D40151">
      <w:pPr>
        <w:rPr>
          <w:lang w:eastAsia="zh-CN"/>
        </w:rPr>
      </w:pPr>
      <w:r w:rsidRPr="00873B6C">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873B6C" w:rsidRDefault="00D40151" w:rsidP="00D40151">
      <w:pPr>
        <w:rPr>
          <w:lang w:eastAsia="zh-CN"/>
        </w:rPr>
      </w:pPr>
      <w:r w:rsidRPr="00873B6C">
        <w:rPr>
          <w:lang w:eastAsia="zh-CN"/>
        </w:rPr>
        <w:t>When the path switch is finished, SMF constructs the end marker packet(s) and sends it to the UPF. UPF then forwards the packet(s) to the source NG RAN.</w:t>
      </w:r>
    </w:p>
    <w:p w14:paraId="62B75FC2" w14:textId="77777777" w:rsidR="00D40151" w:rsidRPr="00873B6C" w:rsidRDefault="00D40151" w:rsidP="00D40151">
      <w:pPr>
        <w:rPr>
          <w:lang w:eastAsia="zh-CN"/>
        </w:rPr>
      </w:pPr>
      <w:r w:rsidRPr="00873B6C">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873B6C" w:rsidRDefault="00D40151" w:rsidP="00D40151">
      <w:pPr>
        <w:rPr>
          <w:lang w:eastAsia="zh-CN"/>
        </w:rPr>
      </w:pPr>
      <w:r w:rsidRPr="00873B6C">
        <w:rPr>
          <w:lang w:eastAsia="zh-CN"/>
        </w:rPr>
        <w:t>When the path switch is finished, SMF constructs the end marker packet(s) and sends it to PSA UPF. PSA UPF then forwards the packet(s) to the source UPF.</w:t>
      </w:r>
    </w:p>
    <w:p w14:paraId="79B702B8" w14:textId="77777777" w:rsidR="00D40151" w:rsidRPr="00873B6C" w:rsidRDefault="00D40151" w:rsidP="00D40151">
      <w:pPr>
        <w:pStyle w:val="Heading4"/>
        <w:rPr>
          <w:lang w:eastAsia="ko-KR"/>
        </w:rPr>
      </w:pPr>
      <w:bookmarkStart w:id="2174" w:name="_CR5_8_2_10"/>
      <w:bookmarkStart w:id="2175" w:name="_Toc20149859"/>
      <w:bookmarkStart w:id="2176" w:name="_Toc27846656"/>
      <w:bookmarkStart w:id="2177" w:name="_Toc36187784"/>
      <w:bookmarkStart w:id="2178" w:name="_Toc45183688"/>
      <w:bookmarkStart w:id="2179" w:name="_Toc47342530"/>
      <w:bookmarkStart w:id="2180" w:name="_Toc51769230"/>
      <w:bookmarkStart w:id="2181" w:name="_Toc201157194"/>
      <w:bookmarkEnd w:id="2174"/>
      <w:r w:rsidRPr="00873B6C">
        <w:rPr>
          <w:lang w:eastAsia="ko-KR"/>
        </w:rPr>
        <w:t>5.8.2.10</w:t>
      </w:r>
      <w:r w:rsidRPr="00873B6C">
        <w:rPr>
          <w:lang w:eastAsia="ko-KR"/>
        </w:rPr>
        <w:tab/>
        <w:t>UP Tunnel Management</w:t>
      </w:r>
      <w:bookmarkEnd w:id="2175"/>
      <w:bookmarkEnd w:id="2176"/>
      <w:bookmarkEnd w:id="2177"/>
      <w:bookmarkEnd w:id="2178"/>
      <w:bookmarkEnd w:id="2179"/>
      <w:bookmarkEnd w:id="2180"/>
      <w:bookmarkEnd w:id="2181"/>
    </w:p>
    <w:p w14:paraId="7CF04ADF" w14:textId="77777777" w:rsidR="00D40151" w:rsidRPr="00873B6C" w:rsidRDefault="00D40151" w:rsidP="00D40151">
      <w:pPr>
        <w:rPr>
          <w:lang w:eastAsia="zh-CN"/>
        </w:rPr>
      </w:pPr>
      <w:r w:rsidRPr="00873B6C">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873B6C">
        <w:rPr>
          <w:lang w:eastAsia="zh-CN"/>
        </w:rPr>
        <w:t>.</w:t>
      </w:r>
    </w:p>
    <w:p w14:paraId="29753AEF" w14:textId="77777777" w:rsidR="00D40151" w:rsidRPr="00873B6C" w:rsidRDefault="00D40151" w:rsidP="00D40151">
      <w:r w:rsidRPr="00873B6C">
        <w:rPr>
          <w:lang w:eastAsia="zh-CN"/>
        </w:rPr>
        <w:t xml:space="preserve">When the UP connection of the </w:t>
      </w:r>
      <w:r w:rsidRPr="00873B6C">
        <w:rPr>
          <w:lang w:eastAsia="ko-KR"/>
        </w:rPr>
        <w:t>PDU Session</w:t>
      </w:r>
      <w:r w:rsidRPr="00873B6C">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873B6C" w:rsidRDefault="00D40151" w:rsidP="00D40151">
      <w:pPr>
        <w:rPr>
          <w:lang w:eastAsia="ko-KR"/>
        </w:rPr>
      </w:pPr>
      <w:r w:rsidRPr="00873B6C">
        <w:rPr>
          <w:lang w:eastAsia="zh-CN"/>
        </w:rPr>
        <w:t>When the UP connection of the PDU Session is activated</w:t>
      </w:r>
      <w:r w:rsidRPr="00873B6C">
        <w:t xml:space="preserve"> </w:t>
      </w:r>
      <w:r w:rsidRPr="00873B6C">
        <w:rPr>
          <w:lang w:eastAsia="zh-CN"/>
        </w:rPr>
        <w:t xml:space="preserve">due to a down-link data arrived and a new UPF is allocated to terminate the N3 connection, a data forwarding tunnel between the UPF that has buffered packets and the newly allocated UPF is established, so that </w:t>
      </w:r>
      <w:r w:rsidRPr="00873B6C">
        <w:rPr>
          <w:szCs w:val="22"/>
        </w:rPr>
        <w:t>the buffered data packets are transferred from the old UPF that has buffered packets to the newly allocated UPF via the data forwarding tunnel</w:t>
      </w:r>
      <w:r w:rsidRPr="00873B6C">
        <w:rPr>
          <w:lang w:eastAsia="zh-CN"/>
        </w:rPr>
        <w:t>.</w:t>
      </w:r>
    </w:p>
    <w:p w14:paraId="10DEBA9C" w14:textId="77777777" w:rsidR="00D40151" w:rsidRPr="00873B6C" w:rsidRDefault="00D40151" w:rsidP="00D40151">
      <w:r w:rsidRPr="00873B6C">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561DAC6A" w:rsidR="00D40151" w:rsidRPr="00873B6C" w:rsidRDefault="00D40151" w:rsidP="00D40151">
      <w:pPr>
        <w:pStyle w:val="Heading4"/>
        <w:rPr>
          <w:lang w:eastAsia="ko-KR"/>
        </w:rPr>
      </w:pPr>
      <w:bookmarkStart w:id="2182" w:name="_CR5_8_2_11"/>
      <w:bookmarkStart w:id="2183" w:name="_Toc20149860"/>
      <w:bookmarkStart w:id="2184" w:name="_Toc27846657"/>
      <w:bookmarkStart w:id="2185" w:name="_Toc36187785"/>
      <w:bookmarkStart w:id="2186" w:name="_Toc45183689"/>
      <w:bookmarkStart w:id="2187" w:name="_Toc47342531"/>
      <w:bookmarkStart w:id="2188" w:name="_Toc51769231"/>
      <w:bookmarkStart w:id="2189" w:name="_Toc201157195"/>
      <w:bookmarkEnd w:id="2182"/>
      <w:r w:rsidRPr="00873B6C">
        <w:rPr>
          <w:lang w:eastAsia="ko-KR"/>
        </w:rPr>
        <w:t>5.8.2.11</w:t>
      </w:r>
      <w:r w:rsidRPr="00873B6C">
        <w:rPr>
          <w:lang w:eastAsia="ko-KR"/>
        </w:rPr>
        <w:tab/>
        <w:t>Parameters for N4 session management</w:t>
      </w:r>
      <w:bookmarkEnd w:id="2183"/>
      <w:bookmarkEnd w:id="2184"/>
      <w:bookmarkEnd w:id="2185"/>
      <w:bookmarkEnd w:id="2186"/>
      <w:bookmarkEnd w:id="2187"/>
      <w:bookmarkEnd w:id="2188"/>
      <w:r w:rsidR="003D4653" w:rsidRPr="00873B6C">
        <w:rPr>
          <w:lang w:eastAsia="ko-KR"/>
        </w:rPr>
        <w:t xml:space="preserve"> (moved)</w:t>
      </w:r>
      <w:bookmarkEnd w:id="2189"/>
    </w:p>
    <w:p w14:paraId="2AB7E262" w14:textId="68E846F1" w:rsidR="003D4653" w:rsidRPr="00873B6C" w:rsidRDefault="003D4653" w:rsidP="003D4653">
      <w:bookmarkStart w:id="2190" w:name="_Toc20149861"/>
      <w:bookmarkStart w:id="2191" w:name="_Toc27846658"/>
      <w:bookmarkStart w:id="2192" w:name="_Toc36187786"/>
      <w:bookmarkStart w:id="2193" w:name="_Toc45183690"/>
      <w:bookmarkStart w:id="2194" w:name="_Toc47342532"/>
      <w:bookmarkStart w:id="2195" w:name="_Toc51769232"/>
      <w:r w:rsidRPr="00873B6C">
        <w:t>The parameters used by SMF to control the functionality of the UPF as well as to inform SMF about events occurring at the UPF are described in clause 5.8.5.</w:t>
      </w:r>
    </w:p>
    <w:p w14:paraId="0A07CF3A" w14:textId="5FD42CC0" w:rsidR="00D40151" w:rsidRPr="00873B6C" w:rsidRDefault="00D40151" w:rsidP="00D40151">
      <w:pPr>
        <w:pStyle w:val="Heading4"/>
      </w:pPr>
      <w:bookmarkStart w:id="2196" w:name="_CR5_8_2_12"/>
      <w:bookmarkStart w:id="2197" w:name="_Toc20149869"/>
      <w:bookmarkStart w:id="2198" w:name="_Toc27846668"/>
      <w:bookmarkStart w:id="2199" w:name="_Toc36187798"/>
      <w:bookmarkStart w:id="2200" w:name="_Toc45183702"/>
      <w:bookmarkStart w:id="2201" w:name="_Toc47342544"/>
      <w:bookmarkStart w:id="2202" w:name="_Toc51769245"/>
      <w:bookmarkStart w:id="2203" w:name="_Toc201157196"/>
      <w:bookmarkEnd w:id="2190"/>
      <w:bookmarkEnd w:id="2191"/>
      <w:bookmarkEnd w:id="2192"/>
      <w:bookmarkEnd w:id="2193"/>
      <w:bookmarkEnd w:id="2194"/>
      <w:bookmarkEnd w:id="2195"/>
      <w:bookmarkEnd w:id="2196"/>
      <w:r w:rsidRPr="00873B6C">
        <w:lastRenderedPageBreak/>
        <w:t>5.8.2.12</w:t>
      </w:r>
      <w:r w:rsidRPr="00873B6C">
        <w:tab/>
        <w:t>Reporting of the UE MAC addresses used in a PDU Session</w:t>
      </w:r>
      <w:bookmarkEnd w:id="2197"/>
      <w:bookmarkEnd w:id="2198"/>
      <w:bookmarkEnd w:id="2199"/>
      <w:bookmarkEnd w:id="2200"/>
      <w:bookmarkEnd w:id="2201"/>
      <w:bookmarkEnd w:id="2202"/>
      <w:bookmarkEnd w:id="2203"/>
    </w:p>
    <w:p w14:paraId="68A5A375" w14:textId="77777777" w:rsidR="00D40151" w:rsidRPr="00873B6C" w:rsidRDefault="00D40151" w:rsidP="00D40151">
      <w:pPr>
        <w:rPr>
          <w:lang w:eastAsia="x-none"/>
        </w:rPr>
      </w:pPr>
      <w:r w:rsidRPr="00873B6C">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873B6C" w:rsidRDefault="00D40151" w:rsidP="00D40151">
      <w:pPr>
        <w:rPr>
          <w:lang w:eastAsia="x-none"/>
        </w:rPr>
      </w:pPr>
      <w:r w:rsidRPr="00873B6C">
        <w:rPr>
          <w:lang w:eastAsia="x-none"/>
        </w:rPr>
        <w:t>This control and the corresponding reporting takes place over N4.</w:t>
      </w:r>
    </w:p>
    <w:p w14:paraId="0BEAAA6A" w14:textId="77777777" w:rsidR="00D40151" w:rsidRPr="00873B6C" w:rsidRDefault="00D40151" w:rsidP="00D40151">
      <w:pPr>
        <w:pStyle w:val="NO"/>
      </w:pPr>
      <w:r w:rsidRPr="00873B6C">
        <w:t>NOTE:</w:t>
      </w:r>
      <w:r w:rsidRPr="00873B6C">
        <w:tab/>
        <w:t>This is e.g. used to support reporting of all UE MAC addresses in a PDU Session to the PCF as described in clause 5.6.10.2.</w:t>
      </w:r>
    </w:p>
    <w:p w14:paraId="44986193" w14:textId="77777777" w:rsidR="00D40151" w:rsidRPr="00873B6C" w:rsidRDefault="00D40151" w:rsidP="00D40151">
      <w:pPr>
        <w:rPr>
          <w:lang w:eastAsia="x-none"/>
        </w:rPr>
      </w:pPr>
      <w:r w:rsidRPr="00873B6C">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873B6C" w:rsidRDefault="00D40151" w:rsidP="00D40151">
      <w:pPr>
        <w:pStyle w:val="Heading4"/>
      </w:pPr>
      <w:bookmarkStart w:id="2204" w:name="_CR5_8_2_13"/>
      <w:bookmarkStart w:id="2205" w:name="_Toc20149870"/>
      <w:bookmarkStart w:id="2206" w:name="_Toc27846669"/>
      <w:bookmarkStart w:id="2207" w:name="_Toc36187799"/>
      <w:bookmarkStart w:id="2208" w:name="_Toc45183703"/>
      <w:bookmarkStart w:id="2209" w:name="_Toc47342545"/>
      <w:bookmarkStart w:id="2210" w:name="_Toc51769246"/>
      <w:bookmarkStart w:id="2211" w:name="_Toc201157197"/>
      <w:bookmarkEnd w:id="2204"/>
      <w:r w:rsidRPr="00873B6C">
        <w:t>5.8.2.13</w:t>
      </w:r>
      <w:r w:rsidRPr="00873B6C">
        <w:tab/>
        <w:t>Support for 5G VN group communication</w:t>
      </w:r>
      <w:bookmarkEnd w:id="2205"/>
      <w:bookmarkEnd w:id="2206"/>
      <w:bookmarkEnd w:id="2207"/>
      <w:bookmarkEnd w:id="2208"/>
      <w:bookmarkEnd w:id="2209"/>
      <w:bookmarkEnd w:id="2210"/>
      <w:bookmarkEnd w:id="2211"/>
    </w:p>
    <w:p w14:paraId="5E9F9FBD" w14:textId="77777777" w:rsidR="00D40151" w:rsidRPr="00873B6C" w:rsidRDefault="00D40151" w:rsidP="00D40151">
      <w:pPr>
        <w:pStyle w:val="Heading5"/>
      </w:pPr>
      <w:bookmarkStart w:id="2212" w:name="_CR5_8_2_13_0"/>
      <w:bookmarkStart w:id="2213" w:name="_Toc20149871"/>
      <w:bookmarkStart w:id="2214" w:name="_Toc27846670"/>
      <w:bookmarkStart w:id="2215" w:name="_Toc36187800"/>
      <w:bookmarkStart w:id="2216" w:name="_Toc45183704"/>
      <w:bookmarkStart w:id="2217" w:name="_Toc47342546"/>
      <w:bookmarkStart w:id="2218" w:name="_Toc51769247"/>
      <w:bookmarkStart w:id="2219" w:name="_Toc201157198"/>
      <w:bookmarkEnd w:id="2212"/>
      <w:r w:rsidRPr="00873B6C">
        <w:t>5.8.2.13.0</w:t>
      </w:r>
      <w:r w:rsidRPr="00873B6C">
        <w:tab/>
        <w:t>General</w:t>
      </w:r>
      <w:bookmarkEnd w:id="2213"/>
      <w:bookmarkEnd w:id="2214"/>
      <w:bookmarkEnd w:id="2215"/>
      <w:bookmarkEnd w:id="2216"/>
      <w:bookmarkEnd w:id="2217"/>
      <w:bookmarkEnd w:id="2218"/>
      <w:bookmarkEnd w:id="2219"/>
    </w:p>
    <w:p w14:paraId="2CBFED7A" w14:textId="77777777" w:rsidR="00D40151" w:rsidRPr="00873B6C" w:rsidRDefault="00D40151" w:rsidP="00D40151">
      <w:pPr>
        <w:rPr>
          <w:lang w:eastAsia="x-none"/>
        </w:rPr>
      </w:pPr>
      <w:r w:rsidRPr="00873B6C">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0F26ADB3" w:rsidR="00D40151" w:rsidRPr="00873B6C" w:rsidRDefault="00FB1520" w:rsidP="00D40151">
      <w:pPr>
        <w:rPr>
          <w:lang w:eastAsia="x-none"/>
        </w:rPr>
      </w:pPr>
      <w:r w:rsidRPr="00873B6C">
        <w:rPr>
          <w:lang w:eastAsia="x-none"/>
        </w:rPr>
        <w:t xml:space="preserve">If a single SMF serves the DNN/S-NSSAI of the 5G VN group, the </w:t>
      </w:r>
      <w:r w:rsidR="00D40151" w:rsidRPr="00873B6C">
        <w:rPr>
          <w:lang w:eastAsia="x-none"/>
        </w:rPr>
        <w:t>UPF local switching, N6-based forwarding and N19-based forwarding methods</w:t>
      </w:r>
      <w:r w:rsidRPr="00873B6C">
        <w:rPr>
          <w:lang w:eastAsia="x-none"/>
        </w:rPr>
        <w:t xml:space="preserve"> described in clause 5.29.4 are coordinated by the SMF. If an SMF set serves the DNN/S-NSSAI of the 5G VN group, implementation based mechanisms can be used between SMF(s) that are part of the SMF set for controlling the connectivity between the PSA UPFs of the UE members of the 5G VN group</w:t>
      </w:r>
      <w:r w:rsidR="00D40151" w:rsidRPr="00873B6C">
        <w:rPr>
          <w:lang w:eastAsia="x-none"/>
        </w:rPr>
        <w:t>.</w:t>
      </w:r>
    </w:p>
    <w:p w14:paraId="54DEC0DD" w14:textId="76FBC76E" w:rsidR="00FB1520" w:rsidRPr="00873B6C" w:rsidRDefault="00FB1520" w:rsidP="00D40151">
      <w:pPr>
        <w:rPr>
          <w:lang w:eastAsia="x-none"/>
        </w:rPr>
      </w:pPr>
      <w:r w:rsidRPr="00873B6C">
        <w:rPr>
          <w:lang w:eastAsia="x-none"/>
        </w:rPr>
        <w:t>When a 5G VN group communication is extended in a wide area, bigger than the service area of any SMF set serving the DNN/S-NSSAI of the 5G VN group, multiple SMF sets might control the PDU Sessions of the UE members of the 5G VN group. In this case, N6/N19 connectivity between PSA UPFs of the UE members of the 5G VN group controlled by different SMF sets, is achieved via OAM configuration. As a deployment option, a subset of the UPFs controlled by an SMF Set may be configured with the N6/N19 connectivity to enable 5G VN group communication across SMF Sets. N6 connectivity between PSA UPFs via a DN may also exist.</w:t>
      </w:r>
    </w:p>
    <w:p w14:paraId="3B6BED54" w14:textId="6939437B" w:rsidR="00D40151" w:rsidRPr="00873B6C" w:rsidRDefault="00D40151" w:rsidP="00D40151">
      <w:pPr>
        <w:rPr>
          <w:lang w:eastAsia="x-none"/>
        </w:rPr>
      </w:pPr>
      <w:r w:rsidRPr="00873B6C">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873B6C" w:rsidRDefault="00D40151" w:rsidP="00D40151">
      <w:pPr>
        <w:rPr>
          <w:lang w:eastAsia="x-none"/>
        </w:rPr>
      </w:pPr>
      <w:r w:rsidRPr="00873B6C">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873B6C" w:rsidRDefault="00D40151" w:rsidP="00D40151">
      <w:pPr>
        <w:rPr>
          <w:lang w:eastAsia="x-none"/>
        </w:rPr>
      </w:pPr>
      <w:r w:rsidRPr="00873B6C">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873B6C" w:rsidRDefault="00D40151" w:rsidP="00D40151">
      <w:pPr>
        <w:rPr>
          <w:lang w:eastAsia="x-none"/>
        </w:rPr>
      </w:pPr>
      <w:r w:rsidRPr="00873B6C">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873B6C" w:rsidRDefault="00D40151" w:rsidP="00D40151">
      <w:pPr>
        <w:rPr>
          <w:lang w:eastAsia="x-none"/>
        </w:rPr>
      </w:pPr>
      <w:r w:rsidRPr="00873B6C">
        <w:rPr>
          <w:lang w:eastAsia="x-none"/>
        </w:rPr>
        <w:t>In the case of N19-based forwarding is not applied for a 5G VN group, group level N4 session is not required.</w:t>
      </w:r>
    </w:p>
    <w:p w14:paraId="15F015FC" w14:textId="77777777" w:rsidR="00D40151" w:rsidRPr="00873B6C" w:rsidRDefault="00D40151" w:rsidP="00D40151">
      <w:pPr>
        <w:rPr>
          <w:lang w:eastAsia="x-none"/>
        </w:rPr>
      </w:pPr>
      <w:r w:rsidRPr="00873B6C">
        <w:rPr>
          <w:lang w:eastAsia="x-none"/>
        </w:rPr>
        <w:lastRenderedPageBreak/>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873B6C" w:rsidRDefault="00D40151" w:rsidP="00D40151">
      <w:pPr>
        <w:pStyle w:val="B1"/>
      </w:pPr>
      <w:r w:rsidRPr="00873B6C">
        <w:t>-</w:t>
      </w:r>
      <w:r w:rsidRPr="00873B6C">
        <w:tab/>
        <w:t>The FAR with Destination Interface set to "5G VN internal" shall also contain the Network Instance set to the value representing the 5G VN group.</w:t>
      </w:r>
    </w:p>
    <w:p w14:paraId="205E9536" w14:textId="77777777" w:rsidR="00D40151" w:rsidRPr="00873B6C" w:rsidRDefault="00D40151" w:rsidP="00D40151">
      <w:pPr>
        <w:pStyle w:val="B1"/>
      </w:pPr>
      <w:r w:rsidRPr="00873B6C">
        <w:t>-</w:t>
      </w:r>
      <w:r w:rsidRPr="00873B6C">
        <w:tab/>
        <w:t>The PDR with Source Interface set to "5G VN internal" shall also contain the Network Instance set to the value representing the 5G VN group.</w:t>
      </w:r>
    </w:p>
    <w:p w14:paraId="678F0D0F" w14:textId="77777777" w:rsidR="00D40151" w:rsidRPr="00873B6C" w:rsidRDefault="00D40151" w:rsidP="00D40151">
      <w:r w:rsidRPr="00873B6C">
        <w:t>Forwarding Ethernet unicast traffic towards the PDU Session corresponding to the Destination MAC address of an Ethernet frame may correspond:</w:t>
      </w:r>
    </w:p>
    <w:p w14:paraId="75F4ED7C" w14:textId="77777777" w:rsidR="00D40151" w:rsidRPr="00873B6C" w:rsidRDefault="00D40151" w:rsidP="00D40151">
      <w:pPr>
        <w:pStyle w:val="B1"/>
      </w:pPr>
      <w:r w:rsidRPr="00873B6C">
        <w:t>-</w:t>
      </w:r>
      <w:r w:rsidRPr="00873B6C">
        <w:tab/>
        <w:t>either to the SMF explicitly configuring DL PDR(s) with the MAC addresses detected by the UPF on PDU Sessions and reported to the SMF; this is further described in clause 5.8.2.13.1;</w:t>
      </w:r>
    </w:p>
    <w:p w14:paraId="5047A39C" w14:textId="77777777" w:rsidR="00D40151" w:rsidRPr="00873B6C" w:rsidRDefault="00D40151" w:rsidP="00D40151">
      <w:pPr>
        <w:pStyle w:val="B1"/>
      </w:pPr>
      <w:r w:rsidRPr="00873B6C">
        <w:t>-</w:t>
      </w:r>
      <w:r w:rsidRPr="00873B6C">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873B6C" w:rsidRDefault="00D40151" w:rsidP="00D40151">
      <w:r w:rsidRPr="00873B6C">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873B6C" w:rsidRDefault="00D40151" w:rsidP="00D40151">
      <w:pPr>
        <w:pStyle w:val="NO"/>
      </w:pPr>
      <w:r w:rsidRPr="00873B6C">
        <w:t>NOTE:</w:t>
      </w:r>
      <w:r w:rsidRPr="00873B6C">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873B6C" w:rsidRDefault="00D40151" w:rsidP="00D40151">
      <w:pPr>
        <w:pStyle w:val="Heading5"/>
      </w:pPr>
      <w:bookmarkStart w:id="2220" w:name="_CR5_8_2_13_1"/>
      <w:bookmarkStart w:id="2221" w:name="_Toc20149872"/>
      <w:bookmarkStart w:id="2222" w:name="_Toc27846671"/>
      <w:bookmarkStart w:id="2223" w:name="_Toc36187801"/>
      <w:bookmarkStart w:id="2224" w:name="_Toc45183705"/>
      <w:bookmarkStart w:id="2225" w:name="_Toc47342547"/>
      <w:bookmarkStart w:id="2226" w:name="_Toc51769248"/>
      <w:bookmarkStart w:id="2227" w:name="_Toc201157199"/>
      <w:bookmarkEnd w:id="2220"/>
      <w:r w:rsidRPr="00873B6C">
        <w:t>5.8.2.13.1</w:t>
      </w:r>
      <w:r w:rsidRPr="00873B6C">
        <w:tab/>
        <w:t>Support for unicast traffic forwarding of a 5G VN</w:t>
      </w:r>
      <w:bookmarkEnd w:id="2221"/>
      <w:bookmarkEnd w:id="2222"/>
      <w:bookmarkEnd w:id="2223"/>
      <w:bookmarkEnd w:id="2224"/>
      <w:bookmarkEnd w:id="2225"/>
      <w:bookmarkEnd w:id="2226"/>
      <w:bookmarkEnd w:id="2227"/>
    </w:p>
    <w:p w14:paraId="400A2AC1" w14:textId="77777777" w:rsidR="00D40151" w:rsidRPr="00873B6C" w:rsidRDefault="00D40151" w:rsidP="00D40151">
      <w:pPr>
        <w:rPr>
          <w:lang w:eastAsia="x-none"/>
        </w:rPr>
      </w:pPr>
      <w:r w:rsidRPr="00873B6C">
        <w:rPr>
          <w:lang w:eastAsia="x-none"/>
        </w:rPr>
        <w:t>To enable unicast traffic forwarding in a UPF, the following applies:</w:t>
      </w:r>
    </w:p>
    <w:p w14:paraId="611700E8" w14:textId="77777777" w:rsidR="00D40151" w:rsidRPr="00873B6C" w:rsidRDefault="00D40151" w:rsidP="00D40151">
      <w:pPr>
        <w:pStyle w:val="B1"/>
      </w:pPr>
      <w:r w:rsidRPr="00873B6C">
        <w:t>-</w:t>
      </w:r>
      <w:r w:rsidRPr="00873B6C">
        <w:tab/>
        <w:t>The SMF provides for each 5G VN group member's N4 Session (i.e. N4 Session corresponding to PDU Session) the following N4 rules that enable the processing of packets received from this UE.</w:t>
      </w:r>
    </w:p>
    <w:p w14:paraId="4A8AB978" w14:textId="0FF58D4C" w:rsidR="00D40151" w:rsidRPr="00873B6C" w:rsidRDefault="00D40151" w:rsidP="00D40151">
      <w:pPr>
        <w:pStyle w:val="B2"/>
      </w:pPr>
      <w:r w:rsidRPr="00873B6C">
        <w:t>-</w:t>
      </w:r>
      <w:r w:rsidRPr="00873B6C">
        <w:tab/>
        <w:t>in order to detect the traffic, a PDR containing Source Interface set to "access side"</w:t>
      </w:r>
      <w:r w:rsidR="00472CD7" w:rsidRPr="00873B6C">
        <w:t xml:space="preserve"> and</w:t>
      </w:r>
      <w:r w:rsidRPr="00873B6C">
        <w:t xml:space="preserve"> CN Tunnel Information set to PDU Session tunnel header (i.</w:t>
      </w:r>
      <w:r w:rsidR="000E35F2" w:rsidRPr="00873B6C">
        <w:t>e.</w:t>
      </w:r>
      <w:r w:rsidRPr="00873B6C">
        <w:t xml:space="preserve"> N3 or N9 GTP-U F-TEID); and</w:t>
      </w:r>
    </w:p>
    <w:p w14:paraId="46FA0DBB" w14:textId="77777777" w:rsidR="00D40151" w:rsidRPr="00873B6C" w:rsidRDefault="00D40151" w:rsidP="00D40151">
      <w:pPr>
        <w:pStyle w:val="B2"/>
      </w:pPr>
      <w:r w:rsidRPr="00873B6C">
        <w:t>-</w:t>
      </w:r>
      <w:r w:rsidRPr="00873B6C">
        <w:tab/>
        <w:t>in order to forward the traffic, a FAR containing Destination Interface set to "5G VN internal".</w:t>
      </w:r>
    </w:p>
    <w:p w14:paraId="01ED904F" w14:textId="77777777" w:rsidR="00D40151" w:rsidRPr="00873B6C" w:rsidRDefault="00D40151" w:rsidP="00D40151">
      <w:pPr>
        <w:pStyle w:val="B1"/>
      </w:pPr>
      <w:r w:rsidRPr="00873B6C">
        <w:t>-</w:t>
      </w:r>
      <w:r w:rsidRPr="00873B6C">
        <w:tab/>
        <w:t>The SMF provides for each 5G VN group member's N4 Session (i.e. N4 session corresponding to PDU Session) the following N4 rules that enable the processing of packets towards this UE.</w:t>
      </w:r>
    </w:p>
    <w:p w14:paraId="11C5E438" w14:textId="091F592D" w:rsidR="00D40151" w:rsidRPr="00873B6C" w:rsidRDefault="00D40151" w:rsidP="00D40151">
      <w:pPr>
        <w:pStyle w:val="B2"/>
      </w:pPr>
      <w:r w:rsidRPr="00873B6C">
        <w:t>-</w:t>
      </w:r>
      <w:r w:rsidRPr="00873B6C">
        <w:tab/>
        <w:t>in order to detect the traffic, a PDR containing Source Interface set to "5G VN internal"</w:t>
      </w:r>
      <w:r w:rsidR="00472CD7" w:rsidRPr="00873B6C">
        <w:t xml:space="preserve"> and</w:t>
      </w:r>
      <w:r w:rsidRPr="00873B6C">
        <w:t xml:space="preserve"> Destination Address set to the IP/MAC address (es) of this 5G VN group member; and</w:t>
      </w:r>
    </w:p>
    <w:p w14:paraId="6FD0F0B1" w14:textId="0C7C19FD" w:rsidR="00D40151" w:rsidRPr="00873B6C" w:rsidRDefault="00D40151" w:rsidP="00D40151">
      <w:pPr>
        <w:pStyle w:val="B2"/>
      </w:pPr>
      <w:r w:rsidRPr="00873B6C">
        <w:t>-</w:t>
      </w:r>
      <w:r w:rsidRPr="00873B6C">
        <w:tab/>
        <w:t>in order to forward the traffic, a FAR containing Outer Header Creation indicating the N3/N9 tunnel information</w:t>
      </w:r>
      <w:r w:rsidR="00472CD7" w:rsidRPr="00873B6C">
        <w:t xml:space="preserve"> and</w:t>
      </w:r>
      <w:r w:rsidRPr="00873B6C">
        <w:t xml:space="preserve"> Destination Interface set "access side".</w:t>
      </w:r>
    </w:p>
    <w:p w14:paraId="3DAE978F" w14:textId="77777777" w:rsidR="00D40151" w:rsidRPr="00873B6C" w:rsidRDefault="00D40151" w:rsidP="00D40151">
      <w:pPr>
        <w:pStyle w:val="B1"/>
      </w:pPr>
      <w:r w:rsidRPr="00873B6C">
        <w:t>-</w:t>
      </w:r>
      <w:r w:rsidRPr="00873B6C">
        <w:tab/>
        <w:t>If N19-based forwarding is applied, the SMF configures the group-level N4 Session for processing packets received from a N19 tunnel with the following N4 rules for each N19 tunnel.</w:t>
      </w:r>
    </w:p>
    <w:p w14:paraId="6DF91A18" w14:textId="118EFEB4" w:rsidR="00D40151" w:rsidRPr="00873B6C" w:rsidRDefault="00D40151" w:rsidP="00D40151">
      <w:pPr>
        <w:pStyle w:val="B2"/>
      </w:pPr>
      <w:r w:rsidRPr="00873B6C">
        <w:t>-</w:t>
      </w:r>
      <w:r w:rsidRPr="00873B6C">
        <w:tab/>
        <w:t>in order to detect the traffic, a PDR containing Source Interface set to "core side"</w:t>
      </w:r>
      <w:r w:rsidR="00472CD7" w:rsidRPr="00873B6C">
        <w:t xml:space="preserve"> and</w:t>
      </w:r>
      <w:r w:rsidRPr="00873B6C">
        <w:t xml:space="preserve"> CN Tunnel Information set to N19 tunnel header (i.</w:t>
      </w:r>
      <w:r w:rsidR="000E35F2" w:rsidRPr="00873B6C">
        <w:t>e.</w:t>
      </w:r>
      <w:r w:rsidRPr="00873B6C">
        <w:t xml:space="preserve"> N19 GTP-U F-TEID); and</w:t>
      </w:r>
    </w:p>
    <w:p w14:paraId="086B000F" w14:textId="77777777" w:rsidR="00D40151" w:rsidRPr="00873B6C" w:rsidRDefault="00D40151" w:rsidP="00D40151">
      <w:pPr>
        <w:pStyle w:val="B2"/>
      </w:pPr>
      <w:r w:rsidRPr="00873B6C">
        <w:t>-</w:t>
      </w:r>
      <w:r w:rsidRPr="00873B6C">
        <w:tab/>
        <w:t>in order to forward the traffic, a FAR containing Destination Interface set to "5G VN internal".</w:t>
      </w:r>
    </w:p>
    <w:p w14:paraId="0BEE0450" w14:textId="77777777" w:rsidR="00D40151" w:rsidRPr="00873B6C" w:rsidRDefault="00D40151" w:rsidP="00D40151">
      <w:pPr>
        <w:pStyle w:val="B1"/>
      </w:pPr>
      <w:r w:rsidRPr="00873B6C">
        <w:lastRenderedPageBreak/>
        <w:t>-</w:t>
      </w:r>
      <w:r w:rsidRPr="00873B6C">
        <w:tab/>
        <w:t>If N19-based forwarding is applied, the SMF configures the group-level N4 Session for processing packets towards 5G VN group members anchored at other UPFs with the following N4 rules for each N19 tunnel.</w:t>
      </w:r>
    </w:p>
    <w:p w14:paraId="452821C4" w14:textId="37FC6B0E" w:rsidR="00D40151" w:rsidRPr="00873B6C" w:rsidRDefault="00D40151" w:rsidP="00D40151">
      <w:pPr>
        <w:pStyle w:val="B2"/>
      </w:pPr>
      <w:r w:rsidRPr="00873B6C">
        <w:t>-</w:t>
      </w:r>
      <w:r w:rsidRPr="00873B6C">
        <w:tab/>
        <w:t>in order to detect the traffic, a PDR containing Source Interface set to "5G VN internal"</w:t>
      </w:r>
      <w:r w:rsidR="00472CD7" w:rsidRPr="00873B6C">
        <w:t xml:space="preserve"> and</w:t>
      </w:r>
      <w:r w:rsidRPr="00873B6C">
        <w:t xml:space="preserve"> Destination Address set to the IP/MAC address (es) of UEs anchored at the peer UPF of this N19 tunnel</w:t>
      </w:r>
      <w:r w:rsidR="00985055" w:rsidRPr="00873B6C">
        <w:t xml:space="preserve"> (e.g. based on the IP address range supported by the peer UPF)</w:t>
      </w:r>
      <w:r w:rsidRPr="00873B6C">
        <w:t>; and</w:t>
      </w:r>
    </w:p>
    <w:p w14:paraId="2FA43897" w14:textId="77777777" w:rsidR="00D40151" w:rsidRPr="00873B6C" w:rsidRDefault="00D40151" w:rsidP="00D40151">
      <w:pPr>
        <w:pStyle w:val="B2"/>
      </w:pPr>
      <w:r w:rsidRPr="00873B6C">
        <w:t>-</w:t>
      </w:r>
      <w:r w:rsidRPr="00873B6C">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873B6C" w:rsidRDefault="00D40151" w:rsidP="00D40151">
      <w:pPr>
        <w:pStyle w:val="B1"/>
      </w:pPr>
      <w:r w:rsidRPr="00873B6C">
        <w:t>-</w:t>
      </w:r>
      <w:r w:rsidRPr="00873B6C">
        <w:tab/>
        <w:t>The SMF configures the group-level N4 Session for processing packets received from a 5G VN group member connected via N6 with the following N4 rules.</w:t>
      </w:r>
    </w:p>
    <w:p w14:paraId="28382ACB" w14:textId="4C2C691B" w:rsidR="00D40151" w:rsidRPr="00873B6C" w:rsidRDefault="00D40151" w:rsidP="00D40151">
      <w:pPr>
        <w:pStyle w:val="B2"/>
      </w:pPr>
      <w:r w:rsidRPr="00873B6C">
        <w:t>-</w:t>
      </w:r>
      <w:r w:rsidRPr="00873B6C">
        <w:tab/>
        <w:t>in order to detect the traffic, a PDR containing Source Interface set to "core side"</w:t>
      </w:r>
      <w:r w:rsidR="00472CD7" w:rsidRPr="00873B6C">
        <w:t xml:space="preserve"> and</w:t>
      </w:r>
      <w:r w:rsidRPr="00873B6C">
        <w:t xml:space="preserve"> Source Address set to the IP/MAC address (es) of this 5G VN group member; and</w:t>
      </w:r>
    </w:p>
    <w:p w14:paraId="0DCE88B6" w14:textId="77777777" w:rsidR="00D40151" w:rsidRPr="00873B6C" w:rsidRDefault="00D40151" w:rsidP="00D40151">
      <w:pPr>
        <w:pStyle w:val="B2"/>
      </w:pPr>
      <w:r w:rsidRPr="00873B6C">
        <w:t>-</w:t>
      </w:r>
      <w:r w:rsidRPr="00873B6C">
        <w:tab/>
        <w:t>in order to forward the traffic, a FAR containing Destination Interface set to "5G VN internal".</w:t>
      </w:r>
    </w:p>
    <w:p w14:paraId="475F7539" w14:textId="77777777" w:rsidR="00D40151" w:rsidRPr="00873B6C" w:rsidRDefault="00D40151" w:rsidP="00D40151">
      <w:pPr>
        <w:pStyle w:val="B1"/>
      </w:pPr>
      <w:r w:rsidRPr="00873B6C">
        <w:t>-</w:t>
      </w:r>
      <w:r w:rsidRPr="00873B6C">
        <w:tab/>
        <w:t>The SMF configures the group-level N4 Session for processing packets towards a 5G VN group member connected via N6 or packets towards a device residing in DN with the following N4 rules.</w:t>
      </w:r>
    </w:p>
    <w:p w14:paraId="3420F402" w14:textId="631D234B" w:rsidR="00D40151" w:rsidRPr="00873B6C" w:rsidRDefault="00D40151" w:rsidP="00D40151">
      <w:pPr>
        <w:pStyle w:val="B2"/>
      </w:pPr>
      <w:r w:rsidRPr="00873B6C">
        <w:t>-</w:t>
      </w:r>
      <w:r w:rsidRPr="00873B6C">
        <w:tab/>
        <w:t>in order to detect the traffic, a PDR containing Source Interface set to "5G VN internal"</w:t>
      </w:r>
      <w:r w:rsidR="00472CD7" w:rsidRPr="00873B6C">
        <w:t xml:space="preserve"> and</w:t>
      </w:r>
      <w:r w:rsidRPr="00873B6C">
        <w:t xml:space="preserve"> Destination Address set to the IP/MAC address (es) of this 5G VN group member; and</w:t>
      </w:r>
    </w:p>
    <w:p w14:paraId="6F3DC492" w14:textId="77777777" w:rsidR="00D40151" w:rsidRPr="00873B6C" w:rsidRDefault="00D40151" w:rsidP="00D40151">
      <w:pPr>
        <w:pStyle w:val="B2"/>
      </w:pPr>
      <w:r w:rsidRPr="00873B6C">
        <w:t>-</w:t>
      </w:r>
      <w:r w:rsidRPr="00873B6C">
        <w:tab/>
        <w:t>in order to forward the traffic to the 5G VN group member or device via N6, a FAR containing Destination Interface set to "core side".</w:t>
      </w:r>
    </w:p>
    <w:p w14:paraId="2FAAF8B2" w14:textId="77777777" w:rsidR="00D40151" w:rsidRPr="00873B6C" w:rsidRDefault="00D40151" w:rsidP="00D40151">
      <w:pPr>
        <w:pStyle w:val="B1"/>
      </w:pPr>
      <w:r w:rsidRPr="00873B6C">
        <w:t>-</w:t>
      </w:r>
      <w:r w:rsidRPr="00873B6C">
        <w:tab/>
        <w:t>The SMF shall update N4 rules for group-level N4 Session to enable correct forwarding of packets towards UE who's PSA UPF has been reallocated and address is unchanged.</w:t>
      </w:r>
    </w:p>
    <w:p w14:paraId="4D138E9E" w14:textId="77777777" w:rsidR="00D40151" w:rsidRPr="00873B6C" w:rsidRDefault="00D40151" w:rsidP="00D40151">
      <w:pPr>
        <w:pStyle w:val="B1"/>
      </w:pPr>
      <w:bookmarkStart w:id="2228" w:name="_Toc20149873"/>
      <w:r w:rsidRPr="00873B6C">
        <w:t>-</w:t>
      </w:r>
      <w:r w:rsidRPr="00873B6C">
        <w:tab/>
        <w:t>The SMF may also configure the following N4 rules for the group-level N4 Session to process packets with an unknown destination address:</w:t>
      </w:r>
    </w:p>
    <w:p w14:paraId="025327F5" w14:textId="78B28AFF" w:rsidR="00D40151" w:rsidRPr="00873B6C" w:rsidRDefault="00D40151" w:rsidP="00D40151">
      <w:pPr>
        <w:pStyle w:val="B2"/>
      </w:pPr>
      <w:r w:rsidRPr="00873B6C">
        <w:t>-</w:t>
      </w:r>
      <w:r w:rsidRPr="00873B6C">
        <w:tab/>
        <w:t>in order to detect the traffic, a PDR containing Source Interface set to "5G VN internal", a match-all Packet Filter</w:t>
      </w:r>
      <w:r w:rsidR="00472CD7" w:rsidRPr="00873B6C">
        <w:t xml:space="preserve"> and</w:t>
      </w:r>
      <w:r w:rsidRPr="00873B6C">
        <w:t xml:space="preserve"> a Precedence set to the lowest precedence value; and</w:t>
      </w:r>
    </w:p>
    <w:p w14:paraId="4B308C57" w14:textId="77777777" w:rsidR="00D40151" w:rsidRPr="00873B6C" w:rsidRDefault="00D40151" w:rsidP="00D40151">
      <w:pPr>
        <w:pStyle w:val="B2"/>
      </w:pPr>
      <w:r w:rsidRPr="00873B6C">
        <w:t>-</w:t>
      </w:r>
      <w:r w:rsidRPr="00873B6C">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873B6C" w:rsidRDefault="00D40151" w:rsidP="00D40151">
      <w:pPr>
        <w:pStyle w:val="Heading5"/>
      </w:pPr>
      <w:bookmarkStart w:id="2229" w:name="_CR5_8_2_13_2"/>
      <w:bookmarkStart w:id="2230" w:name="_Toc27846672"/>
      <w:bookmarkStart w:id="2231" w:name="_Toc36187802"/>
      <w:bookmarkStart w:id="2232" w:name="_Toc45183706"/>
      <w:bookmarkStart w:id="2233" w:name="_Toc47342548"/>
      <w:bookmarkStart w:id="2234" w:name="_Toc51769249"/>
      <w:bookmarkStart w:id="2235" w:name="_Toc201157200"/>
      <w:bookmarkEnd w:id="2229"/>
      <w:r w:rsidRPr="00873B6C">
        <w:t>5.8.2.13.2</w:t>
      </w:r>
      <w:r w:rsidRPr="00873B6C">
        <w:tab/>
        <w:t>Support for unicast traffic forwarding update due to UE mobility</w:t>
      </w:r>
      <w:bookmarkEnd w:id="2228"/>
      <w:bookmarkEnd w:id="2230"/>
      <w:bookmarkEnd w:id="2231"/>
      <w:bookmarkEnd w:id="2232"/>
      <w:bookmarkEnd w:id="2233"/>
      <w:bookmarkEnd w:id="2234"/>
      <w:bookmarkEnd w:id="2235"/>
    </w:p>
    <w:p w14:paraId="1D8C59CB" w14:textId="77777777" w:rsidR="00D40151" w:rsidRPr="00873B6C" w:rsidRDefault="00D40151" w:rsidP="00D40151">
      <w:pPr>
        <w:rPr>
          <w:lang w:eastAsia="x-none"/>
        </w:rPr>
      </w:pPr>
      <w:r w:rsidRPr="00873B6C">
        <w:rPr>
          <w:lang w:eastAsia="x-none"/>
        </w:rPr>
        <w:t>To enable the service continuity when the PSA UPF serving the UE changed, the following applies:</w:t>
      </w:r>
    </w:p>
    <w:p w14:paraId="2C5D7E90" w14:textId="77777777" w:rsidR="00D40151" w:rsidRPr="00873B6C" w:rsidRDefault="00D40151" w:rsidP="00D40151">
      <w:pPr>
        <w:pStyle w:val="B1"/>
      </w:pPr>
      <w:r w:rsidRPr="00873B6C">
        <w:t>-</w:t>
      </w:r>
      <w:r w:rsidRPr="00873B6C">
        <w:tab/>
        <w:t>Keep the UE address unchanged if N6-based forwarding is not used.</w:t>
      </w:r>
    </w:p>
    <w:p w14:paraId="19CD2E89" w14:textId="5BD7ED9D" w:rsidR="00D40151" w:rsidRPr="00873B6C" w:rsidRDefault="00D40151" w:rsidP="00D40151">
      <w:pPr>
        <w:pStyle w:val="B1"/>
      </w:pPr>
      <w:r w:rsidRPr="00873B6C">
        <w:t>-</w:t>
      </w:r>
      <w:r w:rsidRPr="00873B6C">
        <w:tab/>
        <w:t>Configure the UE's N4 Session with N4 rules (PDR, FAR) to detect and forward the traffic to this UE via its PDU Session tunnel(i.</w:t>
      </w:r>
      <w:r w:rsidR="000E35F2" w:rsidRPr="00873B6C">
        <w:t xml:space="preserve">e. </w:t>
      </w:r>
      <w:r w:rsidRPr="00873B6C">
        <w:t>N3 tunnel) on the target PSA UPF.</w:t>
      </w:r>
    </w:p>
    <w:p w14:paraId="6F7EF789" w14:textId="77777777" w:rsidR="00D40151" w:rsidRPr="00873B6C" w:rsidRDefault="00D40151" w:rsidP="00D40151">
      <w:pPr>
        <w:pStyle w:val="B1"/>
      </w:pPr>
      <w:r w:rsidRPr="00873B6C">
        <w:t>-</w:t>
      </w:r>
      <w:r w:rsidRPr="00873B6C">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873B6C" w:rsidRDefault="00D40151" w:rsidP="00D40151">
      <w:pPr>
        <w:pStyle w:val="Heading5"/>
      </w:pPr>
      <w:bookmarkStart w:id="2236" w:name="_CR5_8_2_13_3"/>
      <w:bookmarkStart w:id="2237" w:name="_Toc27846673"/>
      <w:bookmarkStart w:id="2238" w:name="_Toc36187803"/>
      <w:bookmarkStart w:id="2239" w:name="_Toc45183707"/>
      <w:bookmarkStart w:id="2240" w:name="_Toc47342549"/>
      <w:bookmarkStart w:id="2241" w:name="_Toc51769250"/>
      <w:bookmarkStart w:id="2242" w:name="_Toc201157201"/>
      <w:bookmarkEnd w:id="2236"/>
      <w:r w:rsidRPr="00873B6C">
        <w:t>5.8.2.13.3</w:t>
      </w:r>
      <w:r w:rsidRPr="00873B6C">
        <w:tab/>
        <w:t>Support for user plane traffic replication in a 5G VN</w:t>
      </w:r>
      <w:bookmarkEnd w:id="2237"/>
      <w:bookmarkEnd w:id="2238"/>
      <w:bookmarkEnd w:id="2239"/>
      <w:bookmarkEnd w:id="2240"/>
      <w:bookmarkEnd w:id="2241"/>
      <w:bookmarkEnd w:id="2242"/>
    </w:p>
    <w:p w14:paraId="00B7394F" w14:textId="77777777" w:rsidR="00D40151" w:rsidRPr="00873B6C" w:rsidRDefault="00D40151" w:rsidP="00D40151">
      <w:pPr>
        <w:pStyle w:val="H6"/>
      </w:pPr>
      <w:bookmarkStart w:id="2243" w:name="_CR5_8_2_13_3_1"/>
      <w:r w:rsidRPr="00873B6C">
        <w:t>5.8.2.13.3.1</w:t>
      </w:r>
      <w:r w:rsidRPr="00873B6C">
        <w:tab/>
        <w:t>User plane traffic replication based on UPF internal functionality</w:t>
      </w:r>
    </w:p>
    <w:bookmarkEnd w:id="2243"/>
    <w:p w14:paraId="101E3AAF" w14:textId="77777777" w:rsidR="00D40151" w:rsidRPr="00873B6C" w:rsidRDefault="00D40151" w:rsidP="00D40151">
      <w:pPr>
        <w:rPr>
          <w:lang w:eastAsia="x-none"/>
        </w:rPr>
      </w:pPr>
      <w:r w:rsidRPr="00873B6C">
        <w:rPr>
          <w:lang w:eastAsia="x-none"/>
        </w:rPr>
        <w:t>For Ethernet PDU Sessions, the SMF may instruct the UPF to route traffic to be replicated as described in clause 5.8.2.5.</w:t>
      </w:r>
    </w:p>
    <w:p w14:paraId="72BDFAC7" w14:textId="50725946" w:rsidR="00D40151" w:rsidRPr="00873B6C" w:rsidRDefault="00D40151" w:rsidP="00D40151">
      <w:pPr>
        <w:rPr>
          <w:lang w:eastAsia="x-none"/>
        </w:rPr>
      </w:pPr>
      <w:r w:rsidRPr="00873B6C">
        <w:rPr>
          <w:lang w:eastAsia="x-none"/>
        </w:rPr>
        <w:lastRenderedPageBreak/>
        <w:t>For IP PDU Session types, the SMF may instruct the UPF to manage IP multicast traffic as described in</w:t>
      </w:r>
      <w:r w:rsidR="00960CDA" w:rsidRPr="00873B6C">
        <w:rPr>
          <w:lang w:eastAsia="x-none"/>
        </w:rPr>
        <w:t xml:space="preserve"> clauses 4.6.6 and 7.7.1</w:t>
      </w:r>
      <w:r w:rsidRPr="00873B6C">
        <w:rPr>
          <w:lang w:eastAsia="x-none"/>
        </w:rPr>
        <w:t xml:space="preserve"> </w:t>
      </w:r>
      <w:r w:rsidR="00960CDA" w:rsidRPr="00873B6C">
        <w:rPr>
          <w:lang w:eastAsia="x-none"/>
        </w:rPr>
        <w:t xml:space="preserve">of </w:t>
      </w:r>
      <w:r w:rsidR="00972E70" w:rsidRPr="00873B6C">
        <w:rPr>
          <w:lang w:eastAsia="x-none"/>
        </w:rPr>
        <w:t>TS 23.316 [</w:t>
      </w:r>
      <w:r w:rsidRPr="00873B6C">
        <w:rPr>
          <w:lang w:eastAsia="x-none"/>
        </w:rPr>
        <w:t>84]. The UPF replicates the IP multicast traffic received from PDU Sessions or N6 interface and sends the packets over other PDU Sessions and other N6 interface subscribed to the IP Multicast groups.</w:t>
      </w:r>
    </w:p>
    <w:p w14:paraId="7D4A9A44" w14:textId="3C182799" w:rsidR="00D40151" w:rsidRPr="00873B6C" w:rsidRDefault="00D40151" w:rsidP="00D40151">
      <w:pPr>
        <w:rPr>
          <w:lang w:eastAsia="x-none"/>
        </w:rPr>
      </w:pPr>
      <w:r w:rsidRPr="00873B6C">
        <w:rPr>
          <w:lang w:eastAsia="x-none"/>
        </w:rPr>
        <w:t>Mechanisms described in</w:t>
      </w:r>
      <w:r w:rsidR="00960CDA" w:rsidRPr="00873B6C">
        <w:rPr>
          <w:lang w:eastAsia="x-none"/>
        </w:rPr>
        <w:t xml:space="preserve"> clauses 4.6.6 and 7.7.1 of</w:t>
      </w:r>
      <w:r w:rsidRPr="00873B6C">
        <w:rPr>
          <w:lang w:eastAsia="x-none"/>
        </w:rPr>
        <w:t xml:space="preserve"> </w:t>
      </w:r>
      <w:r w:rsidR="00972E70" w:rsidRPr="00873B6C">
        <w:rPr>
          <w:lang w:eastAsia="x-none"/>
        </w:rPr>
        <w:t>TS 23.316 [</w:t>
      </w:r>
      <w:r w:rsidRPr="00873B6C">
        <w:rPr>
          <w:lang w:eastAsia="x-none"/>
        </w:rPr>
        <w:t>84] apply to support 5G VN group communication with following clarifications:</w:t>
      </w:r>
    </w:p>
    <w:p w14:paraId="320D0F93" w14:textId="77777777" w:rsidR="00D40151" w:rsidRPr="00873B6C" w:rsidRDefault="00D40151" w:rsidP="00D40151">
      <w:pPr>
        <w:pStyle w:val="B1"/>
      </w:pPr>
      <w:r w:rsidRPr="00873B6C">
        <w:t>-</w:t>
      </w:r>
      <w:r w:rsidRPr="00873B6C">
        <w:tab/>
        <w:t>These mechanisms are not limited to Wireline access and can apply on any access,</w:t>
      </w:r>
    </w:p>
    <w:p w14:paraId="3A1B5165" w14:textId="77777777" w:rsidR="00D40151" w:rsidRPr="00873B6C" w:rsidRDefault="00D40151" w:rsidP="00D40151">
      <w:pPr>
        <w:pStyle w:val="B1"/>
      </w:pPr>
      <w:r w:rsidRPr="00873B6C">
        <w:t>-</w:t>
      </w:r>
      <w:r w:rsidRPr="00873B6C">
        <w:tab/>
        <w:t>IP Multicast traffic allowed for a PDU Session is not meant for IPTV services reachable over N6,</w:t>
      </w:r>
    </w:p>
    <w:p w14:paraId="450E651C" w14:textId="1FAB4F90" w:rsidR="00D40151" w:rsidRPr="00873B6C" w:rsidRDefault="00D40151" w:rsidP="00D40151">
      <w:pPr>
        <w:pStyle w:val="B1"/>
      </w:pPr>
      <w:r w:rsidRPr="00873B6C">
        <w:t>-</w:t>
      </w:r>
      <w:r w:rsidRPr="00873B6C">
        <w:tab/>
        <w:t xml:space="preserve">IGMP /MLD signalling does not relate with STB or 5G-RG: </w:t>
      </w:r>
      <w:r w:rsidR="00D602DF" w:rsidRPr="00873B6C">
        <w:t xml:space="preserve">Clauses 4.6.6 and 7.7.1 of </w:t>
      </w:r>
      <w:r w:rsidR="00972E70" w:rsidRPr="00873B6C">
        <w:t>TS 23.316 [</w:t>
      </w:r>
      <w:r w:rsidRPr="00873B6C">
        <w:t>84], apply to UE members of a 5G VN group instead of 5G-RG</w:t>
      </w:r>
      <w:r w:rsidR="00472CD7" w:rsidRPr="00873B6C">
        <w:t xml:space="preserve"> and</w:t>
      </w:r>
    </w:p>
    <w:p w14:paraId="5449BFB5" w14:textId="01AA32C2" w:rsidR="00D40151" w:rsidRPr="00873B6C" w:rsidRDefault="00D40151" w:rsidP="00D40151">
      <w:pPr>
        <w:pStyle w:val="B1"/>
      </w:pPr>
      <w:r w:rsidRPr="00873B6C">
        <w:t>-</w:t>
      </w:r>
      <w:r w:rsidRPr="00873B6C">
        <w:tab/>
      </w:r>
      <w:r w:rsidR="00D602DF" w:rsidRPr="00873B6C">
        <w:t xml:space="preserve">Clauses 7.7.1.1.2 and 7.7.1.1.4 of </w:t>
      </w:r>
      <w:r w:rsidR="00972E70" w:rsidRPr="00873B6C">
        <w:t>TS 23.316 [</w:t>
      </w:r>
      <w:r w:rsidRPr="00873B6C">
        <w:t>84] are not applicable to 5G VN groups: members of the 5G VN groups may receive any multicast traffic associated with the (DNN, S-NSSAI) of the 5G VN group.</w:t>
      </w:r>
    </w:p>
    <w:p w14:paraId="2C4C691C" w14:textId="77777777" w:rsidR="00D40151" w:rsidRPr="00873B6C" w:rsidRDefault="00D40151" w:rsidP="00D40151">
      <w:pPr>
        <w:pStyle w:val="B1"/>
      </w:pPr>
      <w:r w:rsidRPr="00873B6C">
        <w:t>-</w:t>
      </w:r>
      <w:r w:rsidRPr="00873B6C">
        <w:tab/>
        <w:t>UPF exchange of signalling such as PIM (Protocol-Independent Multicast) may apply as defined in TS 23.316, with following clarification:</w:t>
      </w:r>
    </w:p>
    <w:p w14:paraId="0A690F4C" w14:textId="77777777" w:rsidR="00D40151" w:rsidRPr="00873B6C" w:rsidRDefault="00D40151" w:rsidP="00D40151">
      <w:pPr>
        <w:pStyle w:val="B2"/>
      </w:pPr>
      <w:r w:rsidRPr="00873B6C">
        <w:t>-</w:t>
      </w:r>
      <w:r w:rsidRPr="00873B6C">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873B6C" w:rsidRDefault="00D40151" w:rsidP="00D40151">
      <w:pPr>
        <w:pStyle w:val="H6"/>
      </w:pPr>
      <w:bookmarkStart w:id="2244" w:name="_CR5_8_2_13_3_2"/>
      <w:r w:rsidRPr="00873B6C">
        <w:t>5.8.2.13.3.2</w:t>
      </w:r>
      <w:r w:rsidRPr="00873B6C">
        <w:tab/>
        <w:t>User plane traffic replication based on PDRs with replication instructions</w:t>
      </w:r>
    </w:p>
    <w:bookmarkEnd w:id="2244"/>
    <w:p w14:paraId="74121C6E" w14:textId="77777777" w:rsidR="00D40151" w:rsidRPr="00873B6C" w:rsidRDefault="00D40151" w:rsidP="00D40151">
      <w:pPr>
        <w:rPr>
          <w:lang w:eastAsia="x-none"/>
        </w:rPr>
      </w:pPr>
      <w:r w:rsidRPr="00873B6C">
        <w:rPr>
          <w:lang w:eastAsia="x-none"/>
        </w:rPr>
        <w:t>Alternatively, for IP or Ethernet type data communication, the SMF instructs the UPF via PDRs and FARs how to replicate user plane traffic.</w:t>
      </w:r>
    </w:p>
    <w:p w14:paraId="75D98D7C" w14:textId="77777777" w:rsidR="00D40151" w:rsidRPr="00873B6C" w:rsidRDefault="00D40151" w:rsidP="00D40151">
      <w:pPr>
        <w:rPr>
          <w:lang w:eastAsia="x-none"/>
        </w:rPr>
      </w:pPr>
      <w:r w:rsidRPr="00873B6C">
        <w:rPr>
          <w:lang w:eastAsia="x-none"/>
        </w:rPr>
        <w:t>The mechanism is supported in the following conditions:</w:t>
      </w:r>
    </w:p>
    <w:p w14:paraId="3615D30C" w14:textId="3C0BB7FB" w:rsidR="00D40151" w:rsidRPr="00873B6C" w:rsidRDefault="00D40151" w:rsidP="00D40151">
      <w:pPr>
        <w:pStyle w:val="B1"/>
      </w:pPr>
      <w:r w:rsidRPr="00873B6C">
        <w:t>-</w:t>
      </w:r>
      <w:r w:rsidRPr="00873B6C">
        <w:tab/>
        <w:t>When N19 is used, there is a full mesh of N19 tunnels between UPFs</w:t>
      </w:r>
      <w:r w:rsidR="00FB1520" w:rsidRPr="00873B6C">
        <w:t xml:space="preserve"> controlled by each SMF Set</w:t>
      </w:r>
      <w:r w:rsidRPr="00873B6C">
        <w:t xml:space="preserve"> serving the 5G VN group;</w:t>
      </w:r>
    </w:p>
    <w:p w14:paraId="19961600" w14:textId="77777777" w:rsidR="00D40151" w:rsidRPr="00873B6C" w:rsidRDefault="00D40151" w:rsidP="00D40151">
      <w:pPr>
        <w:pStyle w:val="B1"/>
      </w:pPr>
      <w:r w:rsidRPr="00873B6C">
        <w:t>-</w:t>
      </w:r>
      <w:r w:rsidRPr="00873B6C">
        <w:tab/>
        <w:t>There is no support for forwarding a broadcast/multicast packet with source address not known to SMF/UPF.</w:t>
      </w:r>
    </w:p>
    <w:p w14:paraId="2DD6B9DF" w14:textId="77777777" w:rsidR="00D40151" w:rsidRPr="00873B6C" w:rsidRDefault="00D40151" w:rsidP="00D40151">
      <w:pPr>
        <w:pStyle w:val="B1"/>
      </w:pPr>
      <w:r w:rsidRPr="00873B6C">
        <w:t>-</w:t>
      </w:r>
      <w:r w:rsidRPr="00873B6C">
        <w:tab/>
        <w:t>Each UPF supports one N6 interface instance towards the data network, or only supports N19-based forwarding without N6;</w:t>
      </w:r>
    </w:p>
    <w:p w14:paraId="21A55883" w14:textId="77777777" w:rsidR="00D40151" w:rsidRPr="00873B6C" w:rsidRDefault="00D40151" w:rsidP="00D40151">
      <w:pPr>
        <w:pStyle w:val="B1"/>
      </w:pPr>
      <w:r w:rsidRPr="00873B6C">
        <w:t>-</w:t>
      </w:r>
      <w:r w:rsidRPr="00873B6C">
        <w:tab/>
        <w:t>Multicast group formation of selected members of a 5G VN for Ethernet type data communication is not described in this release of the specification.</w:t>
      </w:r>
    </w:p>
    <w:p w14:paraId="5F414B6A" w14:textId="77777777" w:rsidR="00D40151" w:rsidRPr="00873B6C" w:rsidRDefault="00D40151" w:rsidP="00D40151">
      <w:pPr>
        <w:rPr>
          <w:lang w:eastAsia="x-none"/>
        </w:rPr>
      </w:pPr>
      <w:r w:rsidRPr="00873B6C">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4EB734A0" w:rsidR="00D40151" w:rsidRPr="00873B6C" w:rsidRDefault="00D40151" w:rsidP="00D40151">
      <w:pPr>
        <w:pStyle w:val="B1"/>
      </w:pPr>
      <w:r w:rsidRPr="00873B6C">
        <w:t>-</w:t>
      </w:r>
      <w:r w:rsidRPr="00873B6C">
        <w:tab/>
        <w:t>All 5G VN group members (except the source UE) connected to this UPF via local switch</w:t>
      </w:r>
      <w:r w:rsidR="00FB1520" w:rsidRPr="00873B6C">
        <w:t>;</w:t>
      </w:r>
      <w:r w:rsidRPr="00873B6C">
        <w:t xml:space="preserve"> and</w:t>
      </w:r>
    </w:p>
    <w:p w14:paraId="30A182A1" w14:textId="656AB304" w:rsidR="00D40151" w:rsidRPr="00873B6C" w:rsidRDefault="00D40151" w:rsidP="00D40151">
      <w:pPr>
        <w:pStyle w:val="B1"/>
      </w:pPr>
      <w:r w:rsidRPr="00873B6C">
        <w:t>-</w:t>
      </w:r>
      <w:r w:rsidRPr="00873B6C">
        <w:tab/>
        <w:t>All 5G VN group members connected to other UPFs via N19-based forwarding</w:t>
      </w:r>
      <w:r w:rsidR="00FB1520" w:rsidRPr="00873B6C">
        <w:t xml:space="preserve"> or N6-based forwarding;</w:t>
      </w:r>
      <w:r w:rsidRPr="00873B6C">
        <w:t xml:space="preserve"> and</w:t>
      </w:r>
    </w:p>
    <w:p w14:paraId="3F1D2079" w14:textId="77777777" w:rsidR="00D40151" w:rsidRPr="00873B6C" w:rsidRDefault="00D40151" w:rsidP="00D40151">
      <w:pPr>
        <w:pStyle w:val="B1"/>
      </w:pPr>
      <w:r w:rsidRPr="00873B6C">
        <w:t>-</w:t>
      </w:r>
      <w:r w:rsidRPr="00873B6C">
        <w:tab/>
        <w:t>The devices on the DN via N6-based forwarding.</w:t>
      </w:r>
    </w:p>
    <w:p w14:paraId="5B738E75" w14:textId="77777777" w:rsidR="00D40151" w:rsidRPr="00873B6C" w:rsidRDefault="00D40151" w:rsidP="00D40151">
      <w:pPr>
        <w:rPr>
          <w:lang w:eastAsia="x-none"/>
        </w:rPr>
      </w:pPr>
      <w:r w:rsidRPr="00873B6C">
        <w:rPr>
          <w:lang w:eastAsia="x-none"/>
        </w:rPr>
        <w:t>To enable broadcast traffic forwarding of a 5G VN group in a UPF, the following applies:</w:t>
      </w:r>
    </w:p>
    <w:p w14:paraId="7B2D09CC" w14:textId="77777777" w:rsidR="00D40151" w:rsidRPr="00873B6C" w:rsidRDefault="00D40151" w:rsidP="00D40151">
      <w:pPr>
        <w:pStyle w:val="B1"/>
      </w:pPr>
      <w:r w:rsidRPr="00873B6C">
        <w:t>-</w:t>
      </w:r>
      <w:r w:rsidRPr="00873B6C">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873B6C" w:rsidRDefault="00D40151" w:rsidP="00D40151">
      <w:pPr>
        <w:pStyle w:val="B1"/>
      </w:pPr>
      <w:r w:rsidRPr="00873B6C">
        <w:t>-</w:t>
      </w:r>
      <w:r w:rsidRPr="00873B6C">
        <w:tab/>
        <w:t>The broadcast packets received from N19 or N6 are forwarded to the UPF internal interface together with a N19 or N6 indication.</w:t>
      </w:r>
    </w:p>
    <w:p w14:paraId="1F3AE292" w14:textId="77777777" w:rsidR="00D40151" w:rsidRPr="00873B6C" w:rsidRDefault="00D40151" w:rsidP="00D40151">
      <w:pPr>
        <w:pStyle w:val="B1"/>
      </w:pPr>
      <w:r w:rsidRPr="00873B6C">
        <w:lastRenderedPageBreak/>
        <w:t>-</w:t>
      </w:r>
      <w:r w:rsidRPr="00873B6C">
        <w:tab/>
        <w:t>The SMF provides for each 5G VN group member' N4 Session (i.e. N4 session corresponding to PDU Session) the following N4 rules that enable the processing of broadcast packets towards this UE.</w:t>
      </w:r>
    </w:p>
    <w:p w14:paraId="3112B46F" w14:textId="58330411" w:rsidR="00D40151" w:rsidRPr="00873B6C" w:rsidRDefault="00D40151" w:rsidP="00D40151">
      <w:pPr>
        <w:pStyle w:val="B2"/>
      </w:pPr>
      <w:r w:rsidRPr="00873B6C">
        <w:t>-</w:t>
      </w:r>
      <w:r w:rsidRPr="00873B6C">
        <w:tab/>
        <w:t>in order to detect the traffic, a PDR containing Source Interface set to "5G VN internal", Destination Address set to the broadcast address, the Packet replication skip information set to the IP/MAC address (es) of this 5G VN group member</w:t>
      </w:r>
      <w:r w:rsidR="00472CD7" w:rsidRPr="00873B6C">
        <w:t xml:space="preserve"> and</w:t>
      </w:r>
      <w:r w:rsidRPr="00873B6C">
        <w:t xml:space="preserve"> the indication to carry on matching; and</w:t>
      </w:r>
    </w:p>
    <w:p w14:paraId="35A0E569" w14:textId="20528B8A" w:rsidR="00D40151" w:rsidRPr="00873B6C" w:rsidRDefault="00D40151" w:rsidP="00D40151">
      <w:pPr>
        <w:pStyle w:val="B2"/>
      </w:pPr>
      <w:r w:rsidRPr="00873B6C">
        <w:t>-</w:t>
      </w:r>
      <w:r w:rsidRPr="00873B6C">
        <w:tab/>
        <w:t>in order to forward the traffic, a FAR containing Outer Header Creation indicating the PDU Session tunnel information</w:t>
      </w:r>
      <w:r w:rsidR="00472CD7" w:rsidRPr="00873B6C">
        <w:t xml:space="preserve"> and</w:t>
      </w:r>
      <w:r w:rsidRPr="00873B6C">
        <w:t xml:space="preserve"> Destination Interface set "access side".</w:t>
      </w:r>
    </w:p>
    <w:p w14:paraId="788DB3E0" w14:textId="77777777" w:rsidR="00D40151" w:rsidRPr="00873B6C" w:rsidRDefault="00D40151" w:rsidP="00D40151">
      <w:pPr>
        <w:pStyle w:val="B1"/>
      </w:pPr>
      <w:r w:rsidRPr="00873B6C">
        <w:t>-</w:t>
      </w:r>
      <w:r w:rsidRPr="00873B6C">
        <w:tab/>
        <w:t>The SMF configures the group-level N4 Session for processing packets received from a N19 tunnel with the following N4 rules for each N19 tunnel.</w:t>
      </w:r>
    </w:p>
    <w:p w14:paraId="6F3A8432" w14:textId="73463940" w:rsidR="00D40151" w:rsidRPr="00873B6C" w:rsidRDefault="00D40151" w:rsidP="00D40151">
      <w:pPr>
        <w:pStyle w:val="B2"/>
      </w:pPr>
      <w:r w:rsidRPr="00873B6C">
        <w:t>-</w:t>
      </w:r>
      <w:r w:rsidRPr="00873B6C">
        <w:tab/>
        <w:t>in order to detect the traffic, a PDR containing Source Interface set to "core side", Destination Address set to the broadcast address</w:t>
      </w:r>
      <w:r w:rsidR="00472CD7" w:rsidRPr="00873B6C">
        <w:t xml:space="preserve"> and</w:t>
      </w:r>
      <w:r w:rsidRPr="00873B6C">
        <w:t xml:space="preserve"> CN Tunnel Information set to N19 tunnel header (i.</w:t>
      </w:r>
      <w:r w:rsidR="000E35F2" w:rsidRPr="00873B6C">
        <w:t>e.</w:t>
      </w:r>
      <w:r w:rsidRPr="00873B6C">
        <w:t xml:space="preserve"> N19 GTP-U TEID); and</w:t>
      </w:r>
    </w:p>
    <w:p w14:paraId="32EE5AB1" w14:textId="77777777" w:rsidR="00D40151" w:rsidRPr="00873B6C" w:rsidRDefault="00D40151" w:rsidP="00D40151">
      <w:pPr>
        <w:pStyle w:val="B2"/>
      </w:pPr>
      <w:r w:rsidRPr="00873B6C">
        <w:t>-</w:t>
      </w:r>
      <w:r w:rsidRPr="00873B6C">
        <w:tab/>
        <w:t>in order to forward the traffic, a FAR containing Destination Interface set to "5G VN internal", Outer Header Creation with the N19 indication.</w:t>
      </w:r>
    </w:p>
    <w:p w14:paraId="7D19FAC2" w14:textId="77777777" w:rsidR="00D40151" w:rsidRPr="00873B6C" w:rsidRDefault="00D40151" w:rsidP="00D40151">
      <w:pPr>
        <w:pStyle w:val="B1"/>
      </w:pPr>
      <w:r w:rsidRPr="00873B6C">
        <w:t>-</w:t>
      </w:r>
      <w:r w:rsidRPr="00873B6C">
        <w:tab/>
        <w:t>The SMF provides for the group-level N4 Session the following N4 rules that enable the processing of broadcast packets towards the other UPFs.</w:t>
      </w:r>
    </w:p>
    <w:p w14:paraId="68B5E919" w14:textId="2ECF460F" w:rsidR="00D40151" w:rsidRPr="00873B6C" w:rsidRDefault="00D40151" w:rsidP="00D40151">
      <w:pPr>
        <w:pStyle w:val="B2"/>
      </w:pPr>
      <w:r w:rsidRPr="00873B6C">
        <w:t>-</w:t>
      </w:r>
      <w:r w:rsidRPr="00873B6C">
        <w:tab/>
        <w:t>in order to detect the traffic, a PDR containing Source Interface set to "5G VN internal", Destination Address set to the broadcast address, the Packet replication skip information set to the N19 indication</w:t>
      </w:r>
      <w:r w:rsidR="00472CD7" w:rsidRPr="00873B6C">
        <w:t xml:space="preserve"> and</w:t>
      </w:r>
      <w:r w:rsidRPr="00873B6C">
        <w:t xml:space="preserve"> the indication to carry on matching; and</w:t>
      </w:r>
    </w:p>
    <w:p w14:paraId="25BC5168" w14:textId="77777777" w:rsidR="00D40151" w:rsidRPr="00873B6C" w:rsidRDefault="00D40151" w:rsidP="00D40151">
      <w:pPr>
        <w:pStyle w:val="B2"/>
      </w:pPr>
      <w:r w:rsidRPr="00873B6C">
        <w:t>-</w:t>
      </w:r>
      <w:r w:rsidRPr="00873B6C">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873B6C" w:rsidRDefault="00D40151" w:rsidP="00D40151">
      <w:pPr>
        <w:pStyle w:val="B1"/>
      </w:pPr>
      <w:r w:rsidRPr="00873B6C">
        <w:t>-</w:t>
      </w:r>
      <w:r w:rsidRPr="00873B6C">
        <w:tab/>
        <w:t>The SMF configures the group-level N4 Session for processing packets received from N6 with the following N4 rules.</w:t>
      </w:r>
    </w:p>
    <w:p w14:paraId="3EEFF2BE" w14:textId="2EBE932B" w:rsidR="00D40151" w:rsidRPr="00873B6C" w:rsidRDefault="00D40151" w:rsidP="00D40151">
      <w:pPr>
        <w:pStyle w:val="B2"/>
      </w:pPr>
      <w:r w:rsidRPr="00873B6C">
        <w:t>-</w:t>
      </w:r>
      <w:r w:rsidRPr="00873B6C">
        <w:tab/>
        <w:t>in order to detect the traffic, a PDR containing Source Interface set to "core side"</w:t>
      </w:r>
      <w:r w:rsidR="00472CD7" w:rsidRPr="00873B6C">
        <w:t xml:space="preserve"> and</w:t>
      </w:r>
      <w:r w:rsidRPr="00873B6C">
        <w:t xml:space="preserve"> Destination Address set to the broadcast address; and</w:t>
      </w:r>
    </w:p>
    <w:p w14:paraId="164045EF" w14:textId="77777777" w:rsidR="00D40151" w:rsidRPr="00873B6C" w:rsidRDefault="00D40151" w:rsidP="00D40151">
      <w:pPr>
        <w:pStyle w:val="B2"/>
      </w:pPr>
      <w:r w:rsidRPr="00873B6C">
        <w:t>-</w:t>
      </w:r>
      <w:r w:rsidRPr="00873B6C">
        <w:tab/>
        <w:t>in order to forward the traffic, a FAR containing Destination Interface set to "5G VN internal", Outer Header Creation with the N6 indication.</w:t>
      </w:r>
    </w:p>
    <w:p w14:paraId="3AC78C4F" w14:textId="77777777" w:rsidR="00D40151" w:rsidRPr="00873B6C" w:rsidRDefault="00D40151" w:rsidP="00D40151">
      <w:pPr>
        <w:pStyle w:val="B1"/>
      </w:pPr>
      <w:r w:rsidRPr="00873B6C">
        <w:t>-</w:t>
      </w:r>
      <w:r w:rsidRPr="00873B6C">
        <w:tab/>
        <w:t>The SMF provides for the group-level N4 Session the following N4 rules that enable the processing of broadcast packets towards N6.</w:t>
      </w:r>
    </w:p>
    <w:p w14:paraId="145E8C2B" w14:textId="496298F0" w:rsidR="00D40151" w:rsidRPr="00873B6C" w:rsidRDefault="00D40151" w:rsidP="00D40151">
      <w:pPr>
        <w:pStyle w:val="B2"/>
      </w:pPr>
      <w:r w:rsidRPr="00873B6C">
        <w:t>-</w:t>
      </w:r>
      <w:r w:rsidRPr="00873B6C">
        <w:tab/>
        <w:t>in order to detect the traffic, a PDR containing Source Interface set to "5G VN internal"</w:t>
      </w:r>
      <w:r w:rsidR="00FB1520" w:rsidRPr="00873B6C">
        <w:t xml:space="preserve"> and Destination Address set to the broadcast address</w:t>
      </w:r>
      <w:r w:rsidRPr="00873B6C">
        <w:t xml:space="preserve"> and the Packet replication skip information set to the N6 indication; and</w:t>
      </w:r>
    </w:p>
    <w:p w14:paraId="0A33FC74" w14:textId="77777777" w:rsidR="00D40151" w:rsidRPr="00873B6C" w:rsidRDefault="00D40151" w:rsidP="00D40151">
      <w:pPr>
        <w:pStyle w:val="B2"/>
      </w:pPr>
      <w:r w:rsidRPr="00873B6C">
        <w:t>-</w:t>
      </w:r>
      <w:r w:rsidRPr="00873B6C">
        <w:tab/>
        <w:t>in order to forward the traffic to N6, a FAR containing Destination Interface set to "core side".</w:t>
      </w:r>
    </w:p>
    <w:p w14:paraId="0768B5C7" w14:textId="77777777" w:rsidR="00D40151" w:rsidRPr="00873B6C" w:rsidRDefault="00D40151" w:rsidP="00D40151">
      <w:bookmarkStart w:id="2245" w:name="_Toc20149875"/>
      <w:r w:rsidRPr="00873B6C">
        <w:t>In this case, to enable multicast traffic forwarding of a 5G VN group in a UPF, broadcast traffic forwarding of a 5G VN applies to multicast traffic forwarding of a 5G VN with the following modifications:</w:t>
      </w:r>
    </w:p>
    <w:p w14:paraId="57123948" w14:textId="77777777" w:rsidR="00D40151" w:rsidRPr="00873B6C" w:rsidRDefault="00D40151" w:rsidP="00D40151">
      <w:pPr>
        <w:pStyle w:val="B1"/>
      </w:pPr>
      <w:r w:rsidRPr="00873B6C">
        <w:t>-</w:t>
      </w:r>
      <w:r w:rsidRPr="00873B6C">
        <w:tab/>
        <w:t>The SMF installs PDRs for the multicast address instead of the broadcast address.</w:t>
      </w:r>
    </w:p>
    <w:p w14:paraId="712C5C84" w14:textId="77777777" w:rsidR="00D40151" w:rsidRPr="00873B6C" w:rsidRDefault="00D40151" w:rsidP="00D40151">
      <w:pPr>
        <w:pStyle w:val="B1"/>
      </w:pPr>
      <w:r w:rsidRPr="00873B6C">
        <w:t>-</w:t>
      </w:r>
      <w:r w:rsidRPr="00873B6C">
        <w:tab/>
        <w:t>The PDRs and FARs are installed for PDU Sessions corresponding to the members of the multicast group.</w:t>
      </w:r>
    </w:p>
    <w:p w14:paraId="4DE61A3B" w14:textId="5F7FA0A7" w:rsidR="00D40151" w:rsidRPr="00873B6C" w:rsidRDefault="00D40151" w:rsidP="00D40151">
      <w:pPr>
        <w:pStyle w:val="B1"/>
      </w:pPr>
      <w:bookmarkStart w:id="2246" w:name="_Toc36187804"/>
      <w:bookmarkStart w:id="2247" w:name="_Toc45183708"/>
      <w:bookmarkStart w:id="2248" w:name="_Toc47342550"/>
      <w:bookmarkStart w:id="2249" w:name="_Toc27846674"/>
      <w:r w:rsidRPr="00873B6C">
        <w:t>-</w:t>
      </w:r>
      <w:r w:rsidRPr="00873B6C">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w:t>
      </w:r>
      <w:r w:rsidR="00472CD7" w:rsidRPr="00873B6C">
        <w:t xml:space="preserve"> and</w:t>
      </w:r>
      <w:r w:rsidRPr="00873B6C">
        <w:t xml:space="preserve"> if required at the group-level N4 Session at the UPF(s) of the 5G VN group.</w:t>
      </w:r>
    </w:p>
    <w:p w14:paraId="0F892107" w14:textId="77777777" w:rsidR="00D40151" w:rsidRPr="00873B6C" w:rsidRDefault="00D40151" w:rsidP="00D40151">
      <w:pPr>
        <w:pStyle w:val="Heading4"/>
      </w:pPr>
      <w:bookmarkStart w:id="2250" w:name="_CR5_8_2_14"/>
      <w:bookmarkStart w:id="2251" w:name="_Toc51769251"/>
      <w:bookmarkStart w:id="2252" w:name="_Toc201157202"/>
      <w:bookmarkEnd w:id="2250"/>
      <w:r w:rsidRPr="00873B6C">
        <w:t>5.8.2.14</w:t>
      </w:r>
      <w:r w:rsidRPr="00873B6C">
        <w:tab/>
        <w:t>Inter PLMN User Plane Security functionality</w:t>
      </w:r>
      <w:bookmarkEnd w:id="2246"/>
      <w:bookmarkEnd w:id="2247"/>
      <w:bookmarkEnd w:id="2248"/>
      <w:bookmarkEnd w:id="2251"/>
      <w:bookmarkEnd w:id="2252"/>
    </w:p>
    <w:p w14:paraId="1AC4C9FC" w14:textId="77777777" w:rsidR="00D40151" w:rsidRPr="00873B6C" w:rsidRDefault="00D40151" w:rsidP="00D40151">
      <w:pPr>
        <w:rPr>
          <w:lang w:eastAsia="x-none"/>
        </w:rPr>
      </w:pPr>
      <w:r w:rsidRPr="00873B6C">
        <w:rPr>
          <w:lang w:eastAsia="x-none"/>
        </w:rPr>
        <w:t>Operators can deploy UPF(s) supporting the Inter PLMN User Plane Security (IPUPS) functionality at the border of their network to protect their networks from invalid inter PLMN N9 traffic.</w:t>
      </w:r>
    </w:p>
    <w:p w14:paraId="0A85841E" w14:textId="207D9EC1" w:rsidR="00D40151" w:rsidRPr="00873B6C" w:rsidRDefault="00D40151" w:rsidP="00D40151">
      <w:pPr>
        <w:rPr>
          <w:lang w:eastAsia="x-none"/>
        </w:rPr>
      </w:pPr>
      <w:r w:rsidRPr="00873B6C">
        <w:rPr>
          <w:lang w:eastAsia="x-none"/>
        </w:rPr>
        <w:lastRenderedPageBreak/>
        <w:t xml:space="preserve">The IPUPS functionality forwards GTP-U packets (received via the N9 interface) only if they belong to an active PDU Session and are not malformed, as described in </w:t>
      </w:r>
      <w:r w:rsidR="00972E70" w:rsidRPr="00873B6C">
        <w:rPr>
          <w:lang w:eastAsia="x-none"/>
        </w:rPr>
        <w:t>TS 33.501 [</w:t>
      </w:r>
      <w:r w:rsidRPr="00873B6C">
        <w:rPr>
          <w:lang w:eastAsia="x-none"/>
        </w:rPr>
        <w:t>29].</w:t>
      </w:r>
    </w:p>
    <w:p w14:paraId="3F2A35E2" w14:textId="77777777" w:rsidR="00D40151" w:rsidRPr="00873B6C" w:rsidRDefault="00D40151" w:rsidP="00D40151">
      <w:pPr>
        <w:rPr>
          <w:lang w:eastAsia="x-none"/>
        </w:rPr>
      </w:pPr>
      <w:r w:rsidRPr="00873B6C">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0A5940E6" w:rsidR="006D2D57" w:rsidRPr="00873B6C" w:rsidRDefault="006D2D57" w:rsidP="006D2D57">
      <w:pPr>
        <w:pStyle w:val="Heading4"/>
      </w:pPr>
      <w:bookmarkStart w:id="2253" w:name="_CR5_8_2_15"/>
      <w:bookmarkStart w:id="2254" w:name="_Toc36187805"/>
      <w:bookmarkStart w:id="2255" w:name="_Toc45183709"/>
      <w:bookmarkStart w:id="2256" w:name="_Toc47342551"/>
      <w:bookmarkStart w:id="2257" w:name="_Toc51769252"/>
      <w:bookmarkStart w:id="2258" w:name="_Toc201157203"/>
      <w:bookmarkEnd w:id="2253"/>
      <w:r w:rsidRPr="00873B6C">
        <w:t>5.8.2.15</w:t>
      </w:r>
      <w:r w:rsidR="00A92B4B" w:rsidRPr="00873B6C">
        <w:tab/>
        <w:t>Void</w:t>
      </w:r>
      <w:bookmarkEnd w:id="2258"/>
    </w:p>
    <w:p w14:paraId="586E585D" w14:textId="12F9D332" w:rsidR="006D2D57" w:rsidRPr="00873B6C" w:rsidRDefault="006D2D57" w:rsidP="00323277"/>
    <w:p w14:paraId="19FF0CD9" w14:textId="62515232" w:rsidR="00607A94" w:rsidRPr="00873B6C" w:rsidRDefault="00607A94" w:rsidP="00607A94">
      <w:pPr>
        <w:pStyle w:val="Heading4"/>
      </w:pPr>
      <w:bookmarkStart w:id="2259" w:name="_CR5_8_2_16"/>
      <w:bookmarkStart w:id="2260" w:name="_Toc201157204"/>
      <w:bookmarkEnd w:id="2259"/>
      <w:r w:rsidRPr="00873B6C">
        <w:t>5.8.2.16</w:t>
      </w:r>
      <w:r w:rsidRPr="00873B6C">
        <w:tab/>
        <w:t>Support for L2TP tunnelling on N6</w:t>
      </w:r>
      <w:bookmarkEnd w:id="2260"/>
    </w:p>
    <w:p w14:paraId="472130EE" w14:textId="77777777" w:rsidR="00607A94" w:rsidRPr="00873B6C" w:rsidRDefault="00607A94" w:rsidP="00607A94">
      <w:r w:rsidRPr="00873B6C">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6A0F376C" w:rsidR="00607A94" w:rsidRPr="00873B6C" w:rsidRDefault="00607A94" w:rsidP="00607A94">
      <w:r w:rsidRPr="00873B6C">
        <w:t xml:space="preserve">To enable this, the SMF may provide L2TP information to the UPF, such as LNS IP address and/or LNS host name, as described in </w:t>
      </w:r>
      <w:r w:rsidR="00972E70" w:rsidRPr="00873B6C">
        <w:t>TS 29.244 [</w:t>
      </w:r>
      <w:r w:rsidRPr="00873B6C">
        <w:t>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873B6C" w:rsidRDefault="00607A94" w:rsidP="00607A94">
      <w:r w:rsidRPr="00873B6C">
        <w:t>In addition, the SMF may provide PAP/CHAP authentication information to the UPF, for use in L2TP session establishment, in case it was received from the UE in the PDU Session Establishment Request.</w:t>
      </w:r>
    </w:p>
    <w:p w14:paraId="1FC6938F" w14:textId="77777777" w:rsidR="00607A94" w:rsidRPr="00873B6C" w:rsidRDefault="00607A94" w:rsidP="00607A94">
      <w:r w:rsidRPr="00873B6C">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873B6C" w:rsidRDefault="00607A94" w:rsidP="00607A94">
      <w:r w:rsidRPr="00873B6C">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792F9248" w14:textId="1524009C" w:rsidR="00872C86" w:rsidRPr="00873B6C" w:rsidRDefault="00872C86" w:rsidP="00872C86">
      <w:pPr>
        <w:pStyle w:val="Heading4"/>
      </w:pPr>
      <w:bookmarkStart w:id="2261" w:name="_CR5_8_2_17"/>
      <w:bookmarkStart w:id="2262" w:name="_Toc201157205"/>
      <w:bookmarkEnd w:id="2261"/>
      <w:r w:rsidRPr="00873B6C">
        <w:t>5.8.2.17</w:t>
      </w:r>
      <w:r w:rsidRPr="00873B6C">
        <w:tab/>
        <w:t>Data exposure via</w:t>
      </w:r>
      <w:r w:rsidR="00587044" w:rsidRPr="00873B6C">
        <w:t xml:space="preserve"> Service Based</w:t>
      </w:r>
      <w:r w:rsidRPr="00873B6C">
        <w:t xml:space="preserve"> interface</w:t>
      </w:r>
      <w:bookmarkEnd w:id="2262"/>
    </w:p>
    <w:p w14:paraId="1290312C" w14:textId="59B09498" w:rsidR="00872C86" w:rsidRPr="00873B6C" w:rsidRDefault="00872C86" w:rsidP="00872C86">
      <w:r w:rsidRPr="00873B6C">
        <w:t>The UPF may expose information</w:t>
      </w:r>
      <w:r w:rsidR="00A51A83" w:rsidRPr="00873B6C">
        <w:t xml:space="preserve"> by means of UPF </w:t>
      </w:r>
      <w:r w:rsidR="00517FBD" w:rsidRPr="00873B6C">
        <w:t>E</w:t>
      </w:r>
      <w:r w:rsidR="00A51A83" w:rsidRPr="00873B6C">
        <w:t xml:space="preserve">vent </w:t>
      </w:r>
      <w:r w:rsidR="00517FBD" w:rsidRPr="00873B6C">
        <w:t>E</w:t>
      </w:r>
      <w:r w:rsidR="00A51A83" w:rsidRPr="00873B6C">
        <w:t>xposure service as</w:t>
      </w:r>
      <w:r w:rsidRPr="00873B6C">
        <w:t xml:space="preserve"> described in </w:t>
      </w:r>
      <w:r w:rsidR="00972E70" w:rsidRPr="00873B6C">
        <w:t>TS 23.502 [</w:t>
      </w:r>
      <w:r w:rsidR="00695DF1" w:rsidRPr="00873B6C">
        <w:t>3</w:t>
      </w:r>
      <w:r w:rsidRPr="00873B6C">
        <w:t>] clause 5.2.26.2, via a service-based interface directly. The NF consumer</w:t>
      </w:r>
      <w:r w:rsidR="00517FBD" w:rsidRPr="00873B6C">
        <w:t>s</w:t>
      </w:r>
      <w:r w:rsidRPr="00873B6C">
        <w:t>, which may receive UPF event notifications, are AF/NEF, TSNAF/TSCTSF and NWDAF</w:t>
      </w:r>
      <w:r w:rsidR="00A51A83" w:rsidRPr="00873B6C">
        <w:t>/DCCF/MFAF</w:t>
      </w:r>
      <w:r w:rsidRPr="00873B6C">
        <w:t>.</w:t>
      </w:r>
    </w:p>
    <w:p w14:paraId="3BBE0959" w14:textId="754857E4" w:rsidR="00872C86" w:rsidRPr="00873B6C" w:rsidRDefault="00872C86" w:rsidP="00872C86">
      <w:r w:rsidRPr="00873B6C">
        <w:t>When the UPF support</w:t>
      </w:r>
      <w:r w:rsidR="00587044" w:rsidRPr="00873B6C">
        <w:t>s</w:t>
      </w:r>
      <w:r w:rsidRPr="00873B6C">
        <w:t xml:space="preserve"> the data exposure via the </w:t>
      </w:r>
      <w:r w:rsidR="00517FBD" w:rsidRPr="00873B6C">
        <w:t xml:space="preserve">service based </w:t>
      </w:r>
      <w:r w:rsidRPr="00873B6C">
        <w:t>interface, it may register its NF profile to the NRF</w:t>
      </w:r>
      <w:r w:rsidR="00587044" w:rsidRPr="00873B6C">
        <w:t xml:space="preserve"> including the UPF Event Exposure service</w:t>
      </w:r>
      <w:r w:rsidR="000C6BFB" w:rsidRPr="00873B6C">
        <w:t>s</w:t>
      </w:r>
      <w:r w:rsidR="00517FBD" w:rsidRPr="00873B6C">
        <w:t xml:space="preserve"> and the related Event ID(s)</w:t>
      </w:r>
      <w:r w:rsidRPr="00873B6C">
        <w:t>.</w:t>
      </w:r>
    </w:p>
    <w:p w14:paraId="15347189" w14:textId="6D05C068" w:rsidR="00A51A83" w:rsidRPr="00873B6C" w:rsidRDefault="00A51A83" w:rsidP="00872C86">
      <w:r w:rsidRPr="00873B6C">
        <w:t xml:space="preserve">For data collection from UPF (see clause 4.15.4.5 of TS 23.502 [3]), </w:t>
      </w:r>
      <w:r w:rsidR="00872C86" w:rsidRPr="00873B6C">
        <w:t>NF consumer</w:t>
      </w:r>
      <w:r w:rsidR="00517FBD" w:rsidRPr="00873B6C">
        <w:t>s</w:t>
      </w:r>
      <w:r w:rsidR="00CD22D1" w:rsidRPr="00873B6C">
        <w:t xml:space="preserve"> can</w:t>
      </w:r>
      <w:r w:rsidR="00872C86" w:rsidRPr="00873B6C">
        <w:t xml:space="preserve"> do the subscription to the UPF</w:t>
      </w:r>
      <w:r w:rsidR="00CD22D1" w:rsidRPr="00873B6C">
        <w:t xml:space="preserve"> either</w:t>
      </w:r>
      <w:r w:rsidR="00872C86" w:rsidRPr="00873B6C">
        <w:t xml:space="preserve"> directly or indirectly via SMF. </w:t>
      </w:r>
      <w:r w:rsidRPr="00873B6C">
        <w:t>A</w:t>
      </w:r>
      <w:r w:rsidR="00CD22D1" w:rsidRPr="00873B6C">
        <w:t>n</w:t>
      </w:r>
      <w:r w:rsidR="00517FBD" w:rsidRPr="00873B6C">
        <w:t xml:space="preserve"> NF</w:t>
      </w:r>
      <w:r w:rsidRPr="00873B6C">
        <w:t xml:space="preserve"> consumer </w:t>
      </w:r>
      <w:r w:rsidR="008056BA" w:rsidRPr="00873B6C">
        <w:t xml:space="preserve">should </w:t>
      </w:r>
      <w:r w:rsidRPr="00873B6C">
        <w:t xml:space="preserve">subscribe to the UPF </w:t>
      </w:r>
      <w:r w:rsidR="00517FBD" w:rsidRPr="00873B6C">
        <w:t>E</w:t>
      </w:r>
      <w:r w:rsidRPr="00873B6C">
        <w:t xml:space="preserve">vent </w:t>
      </w:r>
      <w:r w:rsidR="00517FBD" w:rsidRPr="00873B6C">
        <w:t>E</w:t>
      </w:r>
      <w:r w:rsidRPr="00873B6C">
        <w:t>xposure service directly only for data collected for "any UE"</w:t>
      </w:r>
      <w:r w:rsidR="00CD22D1" w:rsidRPr="00873B6C">
        <w:t>,</w:t>
      </w:r>
      <w:r w:rsidRPr="00873B6C">
        <w:t xml:space="preserve"> e.g. to collect user data usage information for NWDAF NF Load analytic</w:t>
      </w:r>
      <w:r w:rsidR="00CD22D1" w:rsidRPr="00873B6C">
        <w:t>s</w:t>
      </w:r>
      <w:r w:rsidRPr="00873B6C">
        <w:t xml:space="preserve"> (see clause 6.5 of TS 23.288 [86]) and if the subscription is not including any of the following parameters: AoI, BSSID/SSID</w:t>
      </w:r>
      <w:r w:rsidR="00517FBD" w:rsidRPr="00873B6C">
        <w:t xml:space="preserve"> and</w:t>
      </w:r>
      <w:r w:rsidR="00CD22D1" w:rsidRPr="00873B6C">
        <w:t xml:space="preserve"> DNAI</w:t>
      </w:r>
      <w:r w:rsidRPr="00873B6C">
        <w:t>.</w:t>
      </w:r>
      <w:r w:rsidR="00CD22D1" w:rsidRPr="00873B6C">
        <w:t xml:space="preserve"> Otherwise</w:t>
      </w:r>
      <w:r w:rsidR="008056BA" w:rsidRPr="00873B6C">
        <w:t>,</w:t>
      </w:r>
      <w:r w:rsidR="00CD22D1" w:rsidRPr="00873B6C">
        <w:t xml:space="preserve"> the NF consumer shall subscribe indirectly via SMF.</w:t>
      </w:r>
    </w:p>
    <w:p w14:paraId="22F88363" w14:textId="67A6AA5B" w:rsidR="008056BA" w:rsidRPr="00873B6C" w:rsidRDefault="008056BA" w:rsidP="00A4240B">
      <w:pPr>
        <w:pStyle w:val="NO"/>
      </w:pPr>
      <w:r w:rsidRPr="00873B6C">
        <w:t>NOTE:</w:t>
      </w:r>
      <w:r w:rsidRPr="00873B6C">
        <w:tab/>
        <w:t>Direct subscription to UPF is more efficient, therefore it is recommended that NF consumer subscribes directly to UPF whenever possible.</w:t>
      </w:r>
    </w:p>
    <w:p w14:paraId="55F2B1A1" w14:textId="47FBD3C8" w:rsidR="00872C86" w:rsidRPr="00873B6C" w:rsidRDefault="00517FBD" w:rsidP="00872C86">
      <w:r w:rsidRPr="00873B6C">
        <w:t>To alleviate the load of UPF due to frequent event notification</w:t>
      </w:r>
      <w:r w:rsidR="00CD22D1" w:rsidRPr="00873B6C">
        <w:t xml:space="preserve"> for data collection related events</w:t>
      </w:r>
      <w:r w:rsidRPr="00873B6C">
        <w:t xml:space="preserve">, </w:t>
      </w:r>
      <w:r w:rsidR="00872C86" w:rsidRPr="00873B6C">
        <w:t>the event subscription may include Reporting suggestion information. The Reporting suggestion information includes Report urgency and Reporting window information. Reporting urgency information represents whether this event report can be delay tolerant, i.e. the event report can be delayed.</w:t>
      </w:r>
      <w:r w:rsidR="00A51A83" w:rsidRPr="00873B6C">
        <w:t xml:space="preserve"> If the Reporting urgency information indicates "delay tolerant", the Reporting </w:t>
      </w:r>
      <w:r w:rsidRPr="00873B6C">
        <w:t xml:space="preserve">window </w:t>
      </w:r>
      <w:r w:rsidR="00A51A83" w:rsidRPr="00873B6C">
        <w:t>is also provided, which defines the last valid reporting time</w:t>
      </w:r>
      <w:r w:rsidR="00472CD7" w:rsidRPr="00873B6C">
        <w:t xml:space="preserve"> and</w:t>
      </w:r>
      <w:r w:rsidR="00A51A83" w:rsidRPr="00873B6C">
        <w:t xml:space="preserve"> UPF shall report the event before</w:t>
      </w:r>
      <w:r w:rsidR="00CD22D1" w:rsidRPr="00873B6C">
        <w:t xml:space="preserve"> that</w:t>
      </w:r>
      <w:r w:rsidR="00A51A83" w:rsidRPr="00873B6C">
        <w:t xml:space="preserve"> time.</w:t>
      </w:r>
      <w:r w:rsidR="00872C86" w:rsidRPr="00873B6C">
        <w:t xml:space="preserve"> </w:t>
      </w:r>
      <w:r w:rsidR="00CD22D1" w:rsidRPr="00873B6C">
        <w:t xml:space="preserve">If the </w:t>
      </w:r>
      <w:r w:rsidR="00872C86" w:rsidRPr="00873B6C">
        <w:t>Reporting suggestion information</w:t>
      </w:r>
      <w:r w:rsidR="00CD22D1" w:rsidRPr="00873B6C">
        <w:t xml:space="preserve"> allows this, the</w:t>
      </w:r>
      <w:r w:rsidR="00872C86" w:rsidRPr="00873B6C">
        <w:t xml:space="preserve"> UPF can concatenate several</w:t>
      </w:r>
      <w:r w:rsidR="00CD22D1" w:rsidRPr="00873B6C">
        <w:t xml:space="preserve"> event reports (of the same event)</w:t>
      </w:r>
      <w:r w:rsidR="00872C86" w:rsidRPr="00873B6C">
        <w:t xml:space="preserve"> to the same notification endpoint in</w:t>
      </w:r>
      <w:r w:rsidR="00CD22D1" w:rsidRPr="00873B6C">
        <w:t>to</w:t>
      </w:r>
      <w:r w:rsidR="00872C86" w:rsidRPr="00873B6C">
        <w:t xml:space="preserve"> one notification message.</w:t>
      </w:r>
    </w:p>
    <w:p w14:paraId="0EACF13E" w14:textId="58EE3055" w:rsidR="002C4A81" w:rsidRPr="00873B6C" w:rsidRDefault="000C6BFB" w:rsidP="002C4A81">
      <w:r w:rsidRPr="00873B6C">
        <w:t xml:space="preserve">The UPF may also expose UE information by means of the Nupf_GetUEPrivateIPaddrAndIdentifiers service as described in TS 23.502 [3] clause 5.2.26.3. </w:t>
      </w:r>
      <w:r w:rsidR="00A51A83" w:rsidRPr="00873B6C">
        <w:t xml:space="preserve">An UPF which is deployed </w:t>
      </w:r>
      <w:r w:rsidR="002C4A81" w:rsidRPr="00873B6C">
        <w:t>with NA</w:t>
      </w:r>
      <w:r w:rsidRPr="00873B6C">
        <w:t>P</w:t>
      </w:r>
      <w:r w:rsidR="002C4A81" w:rsidRPr="00873B6C">
        <w:t>T (Network Address</w:t>
      </w:r>
      <w:r w:rsidRPr="00873B6C">
        <w:t xml:space="preserve"> Port</w:t>
      </w:r>
      <w:r w:rsidR="002C4A81" w:rsidRPr="00873B6C">
        <w:t xml:space="preserve"> Translation) functionality may support to provide the 5GC UE IP address to NEF based on NEF request containing public IP address </w:t>
      </w:r>
      <w:r w:rsidR="002C4A81" w:rsidRPr="00873B6C">
        <w:lastRenderedPageBreak/>
        <w:t>and port number</w:t>
      </w:r>
      <w:r w:rsidR="00A51A83" w:rsidRPr="00873B6C">
        <w:t xml:space="preserve"> using the Nupf_Get</w:t>
      </w:r>
      <w:r w:rsidRPr="00873B6C">
        <w:t xml:space="preserve">UEPrivateIPaddrAndIdentifiers </w:t>
      </w:r>
      <w:r w:rsidR="00A51A83" w:rsidRPr="00873B6C">
        <w:t>service as described in clause 4.15.10 of TS 23.502 [3] for AF specific UE ID retrieval</w:t>
      </w:r>
      <w:r w:rsidR="002C4A81" w:rsidRPr="00873B6C">
        <w:t>.</w:t>
      </w:r>
    </w:p>
    <w:p w14:paraId="2A4D717A" w14:textId="760BA37B" w:rsidR="003D4653" w:rsidRPr="00873B6C" w:rsidRDefault="003D4653" w:rsidP="003D4653">
      <w:pPr>
        <w:pStyle w:val="Heading4"/>
      </w:pPr>
      <w:bookmarkStart w:id="2263" w:name="_CR5_8_2_18"/>
      <w:bookmarkStart w:id="2264" w:name="_Toc201157206"/>
      <w:bookmarkEnd w:id="2263"/>
      <w:r w:rsidRPr="00873B6C">
        <w:t>5.8.2.18</w:t>
      </w:r>
      <w:r w:rsidRPr="00873B6C">
        <w:tab/>
        <w:t>QoS Flow related QoS monitoring and reporting</w:t>
      </w:r>
      <w:bookmarkEnd w:id="2264"/>
    </w:p>
    <w:p w14:paraId="5A2EBA48" w14:textId="6821E225" w:rsidR="003D4653" w:rsidRPr="00873B6C" w:rsidRDefault="003D4653" w:rsidP="003D4653">
      <w:r w:rsidRPr="00873B6C">
        <w:t>The SMF may configure the UPF to perform QoS monitoring for a QoS Flow and to report the monitoring results with the help of the following parameters provided in the Session Reporting Rule (SRR) described in clause 5.8.5.11:</w:t>
      </w:r>
    </w:p>
    <w:p w14:paraId="721E6BCA" w14:textId="44C10B5D" w:rsidR="003D4653" w:rsidRPr="00873B6C" w:rsidRDefault="003D4653" w:rsidP="00972E70">
      <w:pPr>
        <w:pStyle w:val="B1"/>
      </w:pPr>
      <w:r w:rsidRPr="00873B6C">
        <w:t>-</w:t>
      </w:r>
      <w:r w:rsidRPr="00873B6C">
        <w:tab/>
      </w:r>
      <w:r w:rsidRPr="00873B6C">
        <w:rPr>
          <w:i/>
          <w:iCs/>
        </w:rPr>
        <w:t>QoS</w:t>
      </w:r>
      <w:r w:rsidR="00644F65" w:rsidRPr="00873B6C">
        <w:rPr>
          <w:i/>
          <w:iCs/>
        </w:rPr>
        <w:t xml:space="preserve"> monitoring</w:t>
      </w:r>
      <w:r w:rsidRPr="00873B6C">
        <w:rPr>
          <w:i/>
          <w:iCs/>
        </w:rPr>
        <w:t xml:space="preserve"> parameter(s)</w:t>
      </w:r>
      <w:r w:rsidRPr="00873B6C">
        <w:t xml:space="preserve"> indicating the subject of the QoS monitoring as defined in clause 5.4</w:t>
      </w:r>
      <w:r w:rsidR="00A51A83" w:rsidRPr="00873B6C">
        <w:t>5;</w:t>
      </w:r>
    </w:p>
    <w:p w14:paraId="4385D8F9" w14:textId="3CDDCA7F" w:rsidR="003D4653" w:rsidRPr="00873B6C" w:rsidRDefault="003D4653" w:rsidP="00972E70">
      <w:pPr>
        <w:pStyle w:val="B1"/>
      </w:pPr>
      <w:r w:rsidRPr="00873B6C">
        <w:t>-</w:t>
      </w:r>
      <w:r w:rsidRPr="00873B6C">
        <w:tab/>
      </w:r>
      <w:r w:rsidRPr="00873B6C">
        <w:rPr>
          <w:i/>
          <w:iCs/>
        </w:rPr>
        <w:t>Reporting period</w:t>
      </w:r>
      <w:r w:rsidRPr="00873B6C">
        <w:t xml:space="preserve"> indicating the time interval in which a new measurement result and a potential report has to be available. </w:t>
      </w:r>
      <w:r w:rsidR="00644F65" w:rsidRPr="00873B6C">
        <w:t xml:space="preserve">Generally, if </w:t>
      </w:r>
      <w:r w:rsidRPr="00873B6C">
        <w:t xml:space="preserve">no measurement result is available to the UPF within the </w:t>
      </w:r>
      <w:r w:rsidRPr="00873B6C">
        <w:rPr>
          <w:i/>
          <w:iCs/>
        </w:rPr>
        <w:t>Reporting period</w:t>
      </w:r>
      <w:r w:rsidRPr="00873B6C">
        <w:t>, the UPF shall report a measurement failure;</w:t>
      </w:r>
      <w:r w:rsidR="00644F65" w:rsidRPr="00873B6C">
        <w:t xml:space="preserve"> however, for some QoS monitoring parameters (e.g. congestion information, PDV and data rate), the measurement failure report is not applicable.</w:t>
      </w:r>
    </w:p>
    <w:p w14:paraId="6AF990D5" w14:textId="77777777" w:rsidR="003D4653" w:rsidRPr="00873B6C" w:rsidRDefault="003D4653" w:rsidP="00972E70">
      <w:pPr>
        <w:pStyle w:val="B1"/>
      </w:pPr>
      <w:r w:rsidRPr="00873B6C">
        <w:t>-</w:t>
      </w:r>
      <w:r w:rsidRPr="00873B6C">
        <w:tab/>
      </w:r>
      <w:r w:rsidRPr="00873B6C">
        <w:rPr>
          <w:i/>
          <w:iCs/>
        </w:rPr>
        <w:t>Reporting frequency</w:t>
      </w:r>
      <w:r w:rsidRPr="00873B6C">
        <w:t xml:space="preserve"> indicating the type of the reporting as "periodic" or "event triggered":</w:t>
      </w:r>
    </w:p>
    <w:p w14:paraId="6289D646" w14:textId="77777777" w:rsidR="003D4653" w:rsidRPr="00873B6C" w:rsidRDefault="003D4653" w:rsidP="00972E70">
      <w:pPr>
        <w:pStyle w:val="B2"/>
      </w:pPr>
      <w:r w:rsidRPr="00873B6C">
        <w:t>-</w:t>
      </w:r>
      <w:r w:rsidRPr="00873B6C">
        <w:tab/>
        <w:t xml:space="preserve">If the </w:t>
      </w:r>
      <w:r w:rsidRPr="00873B6C">
        <w:rPr>
          <w:i/>
          <w:iCs/>
        </w:rPr>
        <w:t>Reporting frequency</w:t>
      </w:r>
      <w:r w:rsidRPr="00873B6C">
        <w:t xml:space="preserve"> indicates "periodic", the UPF shall send a report each time the reporting period is over.</w:t>
      </w:r>
    </w:p>
    <w:p w14:paraId="2361E166" w14:textId="5BA83260" w:rsidR="003D4653" w:rsidRPr="00873B6C" w:rsidRDefault="003D4653" w:rsidP="00972E70">
      <w:pPr>
        <w:pStyle w:val="B2"/>
      </w:pPr>
      <w:r w:rsidRPr="00873B6C">
        <w:t>-</w:t>
      </w:r>
      <w:r w:rsidRPr="00873B6C">
        <w:tab/>
        <w:t xml:space="preserve">If the </w:t>
      </w:r>
      <w:r w:rsidRPr="00873B6C">
        <w:rPr>
          <w:i/>
          <w:iCs/>
        </w:rPr>
        <w:t>Reporting frequency</w:t>
      </w:r>
      <w:r w:rsidRPr="00873B6C">
        <w:t xml:space="preserve"> indicates "event triggered", a </w:t>
      </w:r>
      <w:r w:rsidRPr="00873B6C">
        <w:rPr>
          <w:i/>
          <w:iCs/>
        </w:rPr>
        <w:t>Reporting threshold</w:t>
      </w:r>
      <w:r w:rsidRPr="00873B6C">
        <w:t xml:space="preserve"> for each parameter in the </w:t>
      </w:r>
      <w:r w:rsidRPr="00873B6C">
        <w:rPr>
          <w:i/>
          <w:iCs/>
        </w:rPr>
        <w:t>QoS</w:t>
      </w:r>
      <w:r w:rsidR="00644F65" w:rsidRPr="00873B6C">
        <w:rPr>
          <w:i/>
          <w:iCs/>
        </w:rPr>
        <w:t xml:space="preserve"> monitoring</w:t>
      </w:r>
      <w:r w:rsidRPr="00873B6C">
        <w:rPr>
          <w:i/>
          <w:iCs/>
        </w:rPr>
        <w:t xml:space="preserve"> parameter(s)</w:t>
      </w:r>
      <w:r w:rsidRPr="00873B6C">
        <w:t xml:space="preserve"> and a </w:t>
      </w:r>
      <w:r w:rsidRPr="00873B6C">
        <w:rPr>
          <w:i/>
          <w:iCs/>
        </w:rPr>
        <w:t>Minimum waiting time</w:t>
      </w:r>
      <w:r w:rsidRPr="00873B6C">
        <w:t xml:space="preserve"> are provided as well. The UPF shall send a report when the measurement result matches or exceeds the indicated </w:t>
      </w:r>
      <w:r w:rsidRPr="00873B6C">
        <w:rPr>
          <w:i/>
          <w:iCs/>
        </w:rPr>
        <w:t>Reporting threshold</w:t>
      </w:r>
      <w:r w:rsidRPr="00873B6C">
        <w:t xml:space="preserve">. Subsequent reports </w:t>
      </w:r>
      <w:r w:rsidR="00883CA6" w:rsidRPr="00873B6C">
        <w:t xml:space="preserve">should </w:t>
      </w:r>
      <w:r w:rsidRPr="00873B6C">
        <w:t xml:space="preserve">not be sent by the UPF during the </w:t>
      </w:r>
      <w:r w:rsidRPr="00873B6C">
        <w:rPr>
          <w:i/>
          <w:iCs/>
        </w:rPr>
        <w:t>Minimum waiting time</w:t>
      </w:r>
      <w:r w:rsidRPr="00873B6C">
        <w:t>.</w:t>
      </w:r>
      <w:r w:rsidR="00883CA6" w:rsidRPr="00873B6C">
        <w:t xml:space="preserve"> The</w:t>
      </w:r>
      <w:r w:rsidRPr="00873B6C">
        <w:t xml:space="preserve"> UPF shall</w:t>
      </w:r>
      <w:r w:rsidR="00883CA6" w:rsidRPr="00873B6C">
        <w:t xml:space="preserve"> continue t</w:t>
      </w:r>
      <w:r w:rsidR="00F04A40" w:rsidRPr="00873B6C">
        <w:t>o</w:t>
      </w:r>
      <w:r w:rsidRPr="00873B6C">
        <w:t xml:space="preserve"> report</w:t>
      </w:r>
      <w:r w:rsidR="00883CA6" w:rsidRPr="00873B6C">
        <w:t xml:space="preserve"> a</w:t>
      </w:r>
      <w:r w:rsidRPr="00873B6C">
        <w:t xml:space="preserve"> measurement result</w:t>
      </w:r>
      <w:r w:rsidR="00883CA6" w:rsidRPr="00873B6C">
        <w:t xml:space="preserve"> that matches or exceeds the indicated </w:t>
      </w:r>
      <w:r w:rsidR="00883CA6" w:rsidRPr="00873B6C">
        <w:rPr>
          <w:i/>
          <w:iCs/>
        </w:rPr>
        <w:t>Reporting Threshold</w:t>
      </w:r>
      <w:r w:rsidRPr="00873B6C">
        <w:t xml:space="preserve"> when the </w:t>
      </w:r>
      <w:r w:rsidRPr="00873B6C">
        <w:rPr>
          <w:i/>
          <w:iCs/>
        </w:rPr>
        <w:t>Minimum waiting time</w:t>
      </w:r>
      <w:r w:rsidRPr="00873B6C">
        <w:t xml:space="preserve"> is over.</w:t>
      </w:r>
    </w:p>
    <w:p w14:paraId="0C09BB34" w14:textId="1F3B754E" w:rsidR="00883CA6" w:rsidRPr="00873B6C" w:rsidRDefault="00883CA6" w:rsidP="00745A3E">
      <w:pPr>
        <w:pStyle w:val="NO"/>
      </w:pPr>
      <w:r w:rsidRPr="00873B6C">
        <w:t>NOTE:</w:t>
      </w:r>
      <w:r w:rsidRPr="00873B6C">
        <w:tab/>
        <w:t xml:space="preserve">As an implementation option, the UPF can be configured to send subsequent report(s) during the </w:t>
      </w:r>
      <w:r w:rsidRPr="00873B6C">
        <w:rPr>
          <w:i/>
          <w:iCs/>
        </w:rPr>
        <w:t>Minimum waiting time</w:t>
      </w:r>
      <w:r w:rsidRPr="00873B6C">
        <w:t>, e.g. if the UPF determines that this report is considerably different from the previous report.</w:t>
      </w:r>
    </w:p>
    <w:p w14:paraId="1D9592A2" w14:textId="65E1370C" w:rsidR="003D4653" w:rsidRPr="00873B6C" w:rsidRDefault="003D4653" w:rsidP="00972E70">
      <w:pPr>
        <w:pStyle w:val="B1"/>
      </w:pPr>
      <w:r w:rsidRPr="00873B6C">
        <w:t>-</w:t>
      </w:r>
      <w:r w:rsidRPr="00873B6C">
        <w:tab/>
        <w:t xml:space="preserve">(Optional) </w:t>
      </w:r>
      <w:r w:rsidRPr="00873B6C">
        <w:rPr>
          <w:i/>
          <w:iCs/>
        </w:rPr>
        <w:t>Target of the reporting and Indication of direct event notification</w:t>
      </w:r>
      <w:r w:rsidRPr="00873B6C">
        <w:t xml:space="preserve"> indicating that the UPF shall send the reports to a different NF than the SMF (e.</w:t>
      </w:r>
      <w:r w:rsidR="004001F9" w:rsidRPr="00873B6C">
        <w:t>g.</w:t>
      </w:r>
      <w:r w:rsidRPr="00873B6C">
        <w:t xml:space="preserve"> to the NEF</w:t>
      </w:r>
      <w:r w:rsidR="004001F9" w:rsidRPr="00873B6C">
        <w:t>/AF</w:t>
      </w:r>
      <w:r w:rsidRPr="00873B6C">
        <w:t xml:space="preserve"> or the </w:t>
      </w:r>
      <w:r w:rsidR="004001F9" w:rsidRPr="00873B6C">
        <w:t>NWDAF/DCCF/MF</w:t>
      </w:r>
      <w:r w:rsidRPr="00873B6C">
        <w:t xml:space="preserve">AF). The NF is </w:t>
      </w:r>
      <w:r w:rsidR="004001F9" w:rsidRPr="00873B6C">
        <w:t xml:space="preserve">identified </w:t>
      </w:r>
      <w:r w:rsidRPr="00873B6C">
        <w:t xml:space="preserve">by a Notification Target Address and a Notification Correlation ID. The SMF can also indicate that the UPF shall send the reports to both, the NF indicated by the </w:t>
      </w:r>
      <w:r w:rsidRPr="00873B6C">
        <w:rPr>
          <w:i/>
          <w:iCs/>
        </w:rPr>
        <w:t>Target of reporting</w:t>
      </w:r>
      <w:r w:rsidRPr="00873B6C">
        <w:t xml:space="preserve"> and to the SMF. If so, the UPF shall send the reports to the SMF as well. If the </w:t>
      </w:r>
      <w:r w:rsidRPr="00873B6C">
        <w:rPr>
          <w:i/>
          <w:iCs/>
        </w:rPr>
        <w:t>Indication of direct event notification</w:t>
      </w:r>
      <w:r w:rsidRPr="00873B6C">
        <w:t xml:space="preserve"> is not provided, the UPF shall send the reports to the SMF.</w:t>
      </w:r>
    </w:p>
    <w:p w14:paraId="08B0EC3F" w14:textId="5B4F6158" w:rsidR="00A51A83" w:rsidRPr="00873B6C" w:rsidRDefault="00A51A83" w:rsidP="005A13C0">
      <w:pPr>
        <w:pStyle w:val="B1"/>
      </w:pPr>
      <w:r w:rsidRPr="00873B6C">
        <w:t>-</w:t>
      </w:r>
      <w:r w:rsidRPr="00873B6C">
        <w:tab/>
        <w:t xml:space="preserve">(Optional) </w:t>
      </w:r>
      <w:r w:rsidRPr="00873B6C">
        <w:rPr>
          <w:i/>
          <w:iCs/>
        </w:rPr>
        <w:t>Reporting suggestion information</w:t>
      </w:r>
      <w:r w:rsidRPr="00873B6C">
        <w:t xml:space="preserve"> as defined in clause 5.8.2.17 applicable to </w:t>
      </w:r>
      <w:r w:rsidRPr="00873B6C">
        <w:rPr>
          <w:i/>
          <w:iCs/>
        </w:rPr>
        <w:t>Target of the reporting</w:t>
      </w:r>
      <w:r w:rsidRPr="00873B6C">
        <w:t xml:space="preserve"> to reduce the UPF performance impacts.</w:t>
      </w:r>
      <w:r w:rsidR="008056BA" w:rsidRPr="00873B6C">
        <w:t xml:space="preserve"> The SMF includes Reporting Suggestion information if received in a subscription to UPF QoS Monitoring event sent by the consumer via SMF for UPF Data Collection (see clause 4.15.4.5 of TS 23.502 [3]).</w:t>
      </w:r>
    </w:p>
    <w:p w14:paraId="7998F086" w14:textId="126BAD94" w:rsidR="00FB6BEB" w:rsidRPr="00873B6C" w:rsidRDefault="00FB6BEB" w:rsidP="00FB6BEB">
      <w:pPr>
        <w:pStyle w:val="B1"/>
      </w:pPr>
      <w:r w:rsidRPr="00873B6C">
        <w:t>-</w:t>
      </w:r>
      <w:r w:rsidRPr="00873B6C">
        <w:tab/>
        <w:t xml:space="preserve">(Optional) </w:t>
      </w:r>
      <w:r w:rsidRPr="00873B6C">
        <w:rPr>
          <w:i/>
          <w:iCs/>
        </w:rPr>
        <w:t>Indication of QoS Flow associated with the default QoS Rule</w:t>
      </w:r>
      <w:r w:rsidRPr="00873B6C">
        <w:t xml:space="preserve"> (see clause 4.15.4.5.1 of TS 23.502 [3]). The UPF shall forward this indication, that the QoS monitoring report is for the QoS Flow associated with the default QoS Rule, in the Nupf_EventExposure_Notify service operation when sending reports.</w:t>
      </w:r>
    </w:p>
    <w:p w14:paraId="3B98CBAB" w14:textId="77B0496E" w:rsidR="004001F9" w:rsidRPr="00873B6C" w:rsidRDefault="004001F9" w:rsidP="003D4653">
      <w:r w:rsidRPr="00873B6C">
        <w:t>The UPF shall send the QoS Monitoring Report as follows:</w:t>
      </w:r>
    </w:p>
    <w:p w14:paraId="5C5C6C49" w14:textId="7F259FB3" w:rsidR="004001F9" w:rsidRPr="00873B6C" w:rsidRDefault="004001F9" w:rsidP="004001F9">
      <w:pPr>
        <w:pStyle w:val="B1"/>
      </w:pPr>
      <w:r w:rsidRPr="00873B6C">
        <w:t>-</w:t>
      </w:r>
      <w:r w:rsidRPr="00873B6C">
        <w:tab/>
        <w:t xml:space="preserve">when the </w:t>
      </w:r>
      <w:r w:rsidR="003D4653" w:rsidRPr="00873B6C">
        <w:t>UPF sends reports to the SMF</w:t>
      </w:r>
      <w:r w:rsidRPr="00873B6C">
        <w:t>, the UPF shall use</w:t>
      </w:r>
      <w:r w:rsidR="003D4653" w:rsidRPr="00873B6C">
        <w:t xml:space="preserve"> QoS Monitoring Report</w:t>
      </w:r>
      <w:r w:rsidRPr="00873B6C">
        <w:t>s</w:t>
      </w:r>
      <w:r w:rsidR="003D4653" w:rsidRPr="00873B6C">
        <w:t xml:space="preserve"> as described in clause 5.8.5.12</w:t>
      </w:r>
      <w:r w:rsidRPr="00873B6C">
        <w:t>;</w:t>
      </w:r>
      <w:r w:rsidR="003D4653" w:rsidRPr="00873B6C">
        <w:t xml:space="preserve"> and</w:t>
      </w:r>
      <w:r w:rsidRPr="00873B6C">
        <w:t>/or</w:t>
      </w:r>
    </w:p>
    <w:p w14:paraId="13AAB830" w14:textId="23219660" w:rsidR="004001F9" w:rsidRPr="00873B6C" w:rsidRDefault="004001F9" w:rsidP="004001F9">
      <w:pPr>
        <w:pStyle w:val="B1"/>
      </w:pPr>
      <w:r w:rsidRPr="00873B6C">
        <w:t>-</w:t>
      </w:r>
      <w:r w:rsidRPr="00873B6C">
        <w:tab/>
        <w:t>When the UPF sends reports to a different NF than the SMF (e.g. the NEF/AF or the NWDAF/DCCF/MFAF), the UPF shall use the Nupf_EventExposure_Notify service operation described in clause 5.2.26.2.2 of TS 23.502 [3].</w:t>
      </w:r>
    </w:p>
    <w:p w14:paraId="3B610121" w14:textId="5840F362" w:rsidR="003D4653" w:rsidRPr="00873B6C" w:rsidRDefault="003D4653" w:rsidP="003D4653">
      <w:pPr>
        <w:pStyle w:val="Heading4"/>
      </w:pPr>
      <w:bookmarkStart w:id="2265" w:name="_CR5_8_2_19"/>
      <w:bookmarkStart w:id="2266" w:name="_Toc201157207"/>
      <w:bookmarkEnd w:id="2265"/>
      <w:r w:rsidRPr="00873B6C">
        <w:t>5.8.2.19</w:t>
      </w:r>
      <w:r w:rsidRPr="00873B6C">
        <w:tab/>
        <w:t>Explicit Buffer Management</w:t>
      </w:r>
      <w:bookmarkEnd w:id="2266"/>
    </w:p>
    <w:p w14:paraId="2075267E" w14:textId="77777777" w:rsidR="003D4653" w:rsidRPr="00873B6C" w:rsidRDefault="003D4653" w:rsidP="00972E70">
      <w:pPr>
        <w:pStyle w:val="Heading5"/>
      </w:pPr>
      <w:bookmarkStart w:id="2267" w:name="_CR5_8_2_19_1"/>
      <w:bookmarkStart w:id="2268" w:name="_Toc201157208"/>
      <w:bookmarkEnd w:id="2267"/>
      <w:r w:rsidRPr="00873B6C">
        <w:t>5.8.2.19.1</w:t>
      </w:r>
      <w:r w:rsidRPr="00873B6C">
        <w:tab/>
        <w:t>General</w:t>
      </w:r>
      <w:bookmarkEnd w:id="2268"/>
    </w:p>
    <w:p w14:paraId="49527FCC" w14:textId="77777777" w:rsidR="003D4653" w:rsidRPr="00873B6C" w:rsidRDefault="003D4653" w:rsidP="003D4653">
      <w:pPr>
        <w:rPr>
          <w:szCs w:val="22"/>
        </w:rPr>
      </w:pPr>
      <w:r w:rsidRPr="00873B6C">
        <w:rPr>
          <w:szCs w:val="22"/>
        </w:rPr>
        <w:t>5GC supports buffering of UE's downlink packets for deactivated PDU Sessions.</w:t>
      </w:r>
    </w:p>
    <w:p w14:paraId="7CFD8EA5" w14:textId="77777777" w:rsidR="003D4653" w:rsidRPr="00873B6C" w:rsidRDefault="003D4653" w:rsidP="003D4653">
      <w:pPr>
        <w:rPr>
          <w:szCs w:val="22"/>
        </w:rPr>
      </w:pPr>
      <w:r w:rsidRPr="00873B6C">
        <w:rPr>
          <w:szCs w:val="22"/>
        </w:rPr>
        <w:t>Support for buffering in the UPF is mandatory and optional in the SMF.</w:t>
      </w:r>
    </w:p>
    <w:p w14:paraId="26565278" w14:textId="77777777" w:rsidR="003D4653" w:rsidRPr="00873B6C" w:rsidRDefault="003D4653" w:rsidP="003D4653">
      <w:pPr>
        <w:rPr>
          <w:szCs w:val="22"/>
        </w:rPr>
      </w:pPr>
      <w:r w:rsidRPr="00873B6C">
        <w:rPr>
          <w:szCs w:val="22"/>
        </w:rPr>
        <w:lastRenderedPageBreak/>
        <w:t>When the UP connection of a PDU Session is deactivated, buffering in UPF can be activated by the SMF. If the SMF supports buffering capability, the SMF can decide to activate buffering in SMF instead of buffering in UPF.</w:t>
      </w:r>
    </w:p>
    <w:p w14:paraId="58A68941" w14:textId="77777777" w:rsidR="003D4653" w:rsidRPr="00873B6C" w:rsidRDefault="003D4653" w:rsidP="00972E70">
      <w:pPr>
        <w:pStyle w:val="Heading5"/>
      </w:pPr>
      <w:bookmarkStart w:id="2269" w:name="_CR5_8_2_19_2"/>
      <w:bookmarkStart w:id="2270" w:name="_Toc201157209"/>
      <w:bookmarkEnd w:id="2269"/>
      <w:r w:rsidRPr="00873B6C">
        <w:t>5.8.2.19.2</w:t>
      </w:r>
      <w:r w:rsidRPr="00873B6C">
        <w:tab/>
        <w:t>Buffering at UPF</w:t>
      </w:r>
      <w:bookmarkEnd w:id="2270"/>
    </w:p>
    <w:p w14:paraId="07EC5D48" w14:textId="77777777" w:rsidR="003D4653" w:rsidRPr="00873B6C" w:rsidRDefault="003D4653" w:rsidP="003D4653">
      <w:pPr>
        <w:rPr>
          <w:szCs w:val="22"/>
        </w:rPr>
      </w:pPr>
      <w:r w:rsidRPr="00873B6C">
        <w:rPr>
          <w:szCs w:val="22"/>
        </w:rPr>
        <w:t>When the SMF decided to activate buffering in UPF, the SMF shall inform the UPF to start buffering packets for this PDU Session.</w:t>
      </w:r>
    </w:p>
    <w:p w14:paraId="11C33E65" w14:textId="77777777" w:rsidR="003D4653" w:rsidRPr="00873B6C" w:rsidRDefault="003D4653" w:rsidP="003D4653">
      <w:pPr>
        <w:rPr>
          <w:szCs w:val="22"/>
        </w:rPr>
      </w:pPr>
      <w:r w:rsidRPr="00873B6C">
        <w:rPr>
          <w:szCs w:val="22"/>
        </w:rPr>
        <w:t>The SMF provides instructions to the UPF for at least the following behaviour:</w:t>
      </w:r>
    </w:p>
    <w:p w14:paraId="0A3D54C1" w14:textId="77777777" w:rsidR="003D4653" w:rsidRPr="00873B6C" w:rsidRDefault="003D4653" w:rsidP="003D4653">
      <w:pPr>
        <w:pStyle w:val="B1"/>
      </w:pPr>
      <w:r w:rsidRPr="00873B6C">
        <w:t>-</w:t>
      </w:r>
      <w:r w:rsidRPr="00873B6C">
        <w:tab/>
        <w:t>buffer downlink packets with the following additional options:</w:t>
      </w:r>
    </w:p>
    <w:p w14:paraId="6DE91C18" w14:textId="4495233F" w:rsidR="003D4653" w:rsidRPr="00873B6C" w:rsidRDefault="003D4653" w:rsidP="003D4653">
      <w:pPr>
        <w:pStyle w:val="B2"/>
      </w:pPr>
      <w:r w:rsidRPr="00873B6C">
        <w:t>-</w:t>
      </w:r>
      <w:r w:rsidRPr="00873B6C">
        <w:tab/>
        <w:t>reporting the arrival of first downlink packet (for a QoS Flow or a service data flow)</w:t>
      </w:r>
      <w:r w:rsidR="00472CD7" w:rsidRPr="00873B6C">
        <w:t xml:space="preserve"> and</w:t>
      </w:r>
      <w:r w:rsidRPr="00873B6C">
        <w:t>/or</w:t>
      </w:r>
    </w:p>
    <w:p w14:paraId="22E7B676" w14:textId="77777777" w:rsidR="003D4653" w:rsidRPr="00873B6C" w:rsidRDefault="003D4653" w:rsidP="003D4653">
      <w:pPr>
        <w:pStyle w:val="B2"/>
      </w:pPr>
      <w:r w:rsidRPr="00873B6C">
        <w:t>-</w:t>
      </w:r>
      <w:r w:rsidRPr="00873B6C">
        <w:tab/>
        <w:t>reporting the first discarded downlink packet (for a service data flow), or</w:t>
      </w:r>
    </w:p>
    <w:p w14:paraId="2E4F9C84" w14:textId="77777777" w:rsidR="003D4653" w:rsidRPr="00873B6C" w:rsidRDefault="003D4653" w:rsidP="003D4653">
      <w:pPr>
        <w:pStyle w:val="B1"/>
      </w:pPr>
      <w:r w:rsidRPr="00873B6C">
        <w:t>-</w:t>
      </w:r>
      <w:r w:rsidRPr="00873B6C">
        <w:tab/>
        <w:t>drop downlink packets with the following additional options:</w:t>
      </w:r>
    </w:p>
    <w:p w14:paraId="3F345104" w14:textId="77777777" w:rsidR="003D4653" w:rsidRPr="00873B6C" w:rsidRDefault="003D4653" w:rsidP="003D4653">
      <w:pPr>
        <w:pStyle w:val="B2"/>
      </w:pPr>
      <w:r w:rsidRPr="00873B6C">
        <w:t>-</w:t>
      </w:r>
      <w:r w:rsidRPr="00873B6C">
        <w:tab/>
        <w:t>reporting the first discarded downlink packet (for a service data flow).</w:t>
      </w:r>
    </w:p>
    <w:p w14:paraId="5514D0DB" w14:textId="77777777" w:rsidR="003D4653" w:rsidRPr="00873B6C" w:rsidRDefault="003D4653" w:rsidP="003D4653">
      <w:pPr>
        <w:pStyle w:val="B1"/>
      </w:pPr>
      <w:r w:rsidRPr="00873B6C">
        <w:t>-</w:t>
      </w:r>
      <w:r w:rsidRPr="00873B6C">
        <w:tab/>
        <w:t>buffer uplink packets.</w:t>
      </w:r>
    </w:p>
    <w:p w14:paraId="1A9D4990" w14:textId="3EEE358D" w:rsidR="003D4653" w:rsidRPr="00873B6C" w:rsidRDefault="003D4653" w:rsidP="003D4653">
      <w:pPr>
        <w:rPr>
          <w:szCs w:val="22"/>
        </w:rPr>
      </w:pPr>
      <w:r w:rsidRPr="00873B6C">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r w:rsidR="00CA290C" w:rsidRPr="00873B6C">
        <w:rPr>
          <w:szCs w:val="22"/>
        </w:rPr>
        <w:t xml:space="preserve"> Based on local policy and/or an indication from the AMF, e.g. the RAT type of REDCAP or the CN based MT handling indication, the SMF may also instruct the UPF to report the DL data size in case of arrival of the first downlink packet.</w:t>
      </w:r>
    </w:p>
    <w:p w14:paraId="1F1BD149" w14:textId="77777777" w:rsidR="003D4653" w:rsidRPr="00873B6C" w:rsidRDefault="003D4653" w:rsidP="003D4653">
      <w:pPr>
        <w:rPr>
          <w:szCs w:val="22"/>
        </w:rPr>
      </w:pPr>
      <w:r w:rsidRPr="00873B6C">
        <w:rPr>
          <w:szCs w:val="22"/>
        </w:rPr>
        <w:t>Buffering in the UPF may be configured based on timers or the amount of downlink data to be buffered. The SMF decides whether buffering timers or amount of downlink data are handled by the UPF or SMF.</w:t>
      </w:r>
    </w:p>
    <w:p w14:paraId="0938AB4C" w14:textId="77777777" w:rsidR="003D4653" w:rsidRPr="00873B6C" w:rsidRDefault="003D4653" w:rsidP="003D4653">
      <w:pPr>
        <w:rPr>
          <w:szCs w:val="22"/>
        </w:rPr>
      </w:pPr>
      <w:r w:rsidRPr="00873B6C">
        <w:rPr>
          <w:szCs w:val="22"/>
        </w:rPr>
        <w:t>After starting buffering, when the first downlink packet (of a QoS Flow or a service data flow) arrives, UPF shall inform the SMF if it is setup to report. UPF sends a Downlink Data Report to the SMF via N4 unless specified otherwise and indicates the PDR by which the downlink packet was received. If the SMF receives a Downlink Data Report for a service data flow, the SMF shall also check if this is the first report for the QoS Flow corresponding to the PDR. If so, the SMF shall also proceed as described in clause 5.4.3.1.</w:t>
      </w:r>
    </w:p>
    <w:p w14:paraId="5E104AEA" w14:textId="77777777" w:rsidR="003D4653" w:rsidRPr="00873B6C" w:rsidRDefault="003D4653" w:rsidP="003D4653">
      <w:pPr>
        <w:rPr>
          <w:szCs w:val="22"/>
        </w:rPr>
      </w:pPr>
      <w:r w:rsidRPr="00873B6C">
        <w:rPr>
          <w:szCs w:val="22"/>
        </w:rPr>
        <w:t>After starting buffering, when the first downlink packet (of a service data flow) in a configured period of time that has been buffered is discarded by the UPF because the configured buffering time or amount of downlink data to be buffered is exceeded, the UPF shall inform the SMF if it is setup to report. UPF sends a Downlink Data Report to the SMF via N4 and indicates the PDR by which the discarded downlink packet was received.</w:t>
      </w:r>
    </w:p>
    <w:p w14:paraId="3216D7B6" w14:textId="77777777" w:rsidR="003D4653" w:rsidRPr="00873B6C" w:rsidRDefault="003D4653" w:rsidP="003D4653">
      <w:pPr>
        <w:rPr>
          <w:szCs w:val="22"/>
        </w:rPr>
      </w:pPr>
      <w:r w:rsidRPr="00873B6C">
        <w:rPr>
          <w:szCs w:val="22"/>
        </w:rPr>
        <w:t>A new report is sent if the SMF terminates and subsequently re-activates the buffering action at the UPF and the UPF again receives downlink packets.</w:t>
      </w:r>
    </w:p>
    <w:p w14:paraId="315E3FC1" w14:textId="77777777" w:rsidR="003D4653" w:rsidRPr="00873B6C" w:rsidRDefault="003D4653" w:rsidP="003D4653">
      <w:pPr>
        <w:pStyle w:val="NO"/>
      </w:pPr>
      <w:r w:rsidRPr="00873B6C">
        <w:t>NOTE:</w:t>
      </w:r>
      <w:r w:rsidRPr="00873B6C">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7C09267" w14:textId="77777777" w:rsidR="003D4653" w:rsidRPr="00873B6C" w:rsidRDefault="003D4653" w:rsidP="003D4653">
      <w:pPr>
        <w:rPr>
          <w:szCs w:val="22"/>
        </w:rPr>
      </w:pPr>
      <w:r w:rsidRPr="00873B6C">
        <w:rPr>
          <w:szCs w:val="22"/>
        </w:rPr>
        <w:t>When the UP connection of the PDU Session is activated, the SMF updates the UPF of the change in buffering state. The buffered downlink packets, if any, are then forwarded to the (R)AN by the UPF.</w:t>
      </w:r>
    </w:p>
    <w:p w14:paraId="01BD313E" w14:textId="77777777" w:rsidR="003D4653" w:rsidRPr="00873B6C" w:rsidRDefault="003D4653" w:rsidP="003D4653">
      <w:pPr>
        <w:rPr>
          <w:szCs w:val="22"/>
        </w:rPr>
      </w:pPr>
      <w:r w:rsidRPr="00873B6C">
        <w:rPr>
          <w:szCs w:val="22"/>
        </w:rPr>
        <w:t>If the UP connection of the PDU Session has been deactivated for a long time, the SMF may indicate the UPF to stop buffering for this PDU Session.</w:t>
      </w:r>
    </w:p>
    <w:p w14:paraId="5216D75D" w14:textId="721F0EF7" w:rsidR="003D4653" w:rsidRPr="00873B6C" w:rsidRDefault="003D4653" w:rsidP="003D4653">
      <w:pPr>
        <w:rPr>
          <w:rFonts w:eastAsia="SimSun"/>
          <w:lang w:eastAsia="zh-CN"/>
        </w:rPr>
      </w:pPr>
      <w:r w:rsidRPr="00873B6C">
        <w:rPr>
          <w:rFonts w:eastAsia="SimSun"/>
          <w:lang w:eastAsia="zh-CN"/>
        </w:rPr>
        <w:t xml:space="preserve">The SMF may indicate to the UPF to start or stop the buffering of uplink packets of an application associated to the PCC rule as described in clause 6.3.5 of </w:t>
      </w:r>
      <w:r w:rsidR="00972E70" w:rsidRPr="00873B6C">
        <w:rPr>
          <w:rFonts w:eastAsia="SimSun"/>
          <w:lang w:eastAsia="zh-CN"/>
        </w:rPr>
        <w:t>TS 23.548 [</w:t>
      </w:r>
      <w:r w:rsidRPr="00873B6C">
        <w:rPr>
          <w:rFonts w:eastAsia="SimSun"/>
          <w:lang w:eastAsia="zh-CN"/>
        </w:rPr>
        <w:t>130]. When the buffering of uplink packets is stopped the UPF shall forward all buffered uplink packets before it forwards any new uplink packets.</w:t>
      </w:r>
    </w:p>
    <w:p w14:paraId="5150DB56" w14:textId="77777777" w:rsidR="003D4653" w:rsidRPr="00873B6C" w:rsidRDefault="003D4653" w:rsidP="00972E70">
      <w:pPr>
        <w:pStyle w:val="Heading5"/>
        <w:rPr>
          <w:rFonts w:eastAsia="SimSun"/>
          <w:lang w:eastAsia="zh-CN"/>
        </w:rPr>
      </w:pPr>
      <w:bookmarkStart w:id="2271" w:name="_CR5_8_2_19_3"/>
      <w:bookmarkStart w:id="2272" w:name="_Toc201157210"/>
      <w:bookmarkEnd w:id="2271"/>
      <w:r w:rsidRPr="00873B6C">
        <w:rPr>
          <w:rFonts w:eastAsia="SimSun"/>
          <w:lang w:eastAsia="zh-CN"/>
        </w:rPr>
        <w:t>5.8.2.19.3</w:t>
      </w:r>
      <w:r w:rsidRPr="00873B6C">
        <w:rPr>
          <w:rFonts w:eastAsia="SimSun"/>
          <w:lang w:eastAsia="zh-CN"/>
        </w:rPr>
        <w:tab/>
        <w:t>Buffering at SMF</w:t>
      </w:r>
      <w:bookmarkEnd w:id="2272"/>
    </w:p>
    <w:p w14:paraId="25FB46D7" w14:textId="77777777" w:rsidR="003D4653" w:rsidRPr="00873B6C" w:rsidRDefault="003D4653" w:rsidP="003D4653">
      <w:r w:rsidRPr="00873B6C">
        <w:t>When the SMF supports buffering capability and the SMF decided to activate buffering in SMF for the PDU Session, the SMF shall inform the UPF to start forwarding the downlink packets towards the SMF.</w:t>
      </w:r>
    </w:p>
    <w:p w14:paraId="33D95C5B" w14:textId="77777777" w:rsidR="003D4653" w:rsidRPr="00873B6C" w:rsidRDefault="003D4653" w:rsidP="003D4653">
      <w:r w:rsidRPr="00873B6C">
        <w:rPr>
          <w:szCs w:val="22"/>
        </w:rPr>
        <w:lastRenderedPageBreak/>
        <w:t>When the UP connection of the PDU Session is activated</w:t>
      </w:r>
      <w:r w:rsidRPr="00873B6C">
        <w:t>, if there are buffered downlink packets available and their buffering duration has not expired, the SMF shall forward those packets to the UPF to relay them to the UE. These packets are then forwarded by the UPF to the (R)AN.</w:t>
      </w:r>
    </w:p>
    <w:p w14:paraId="7E318923" w14:textId="7759169F" w:rsidR="003D4653" w:rsidRPr="00873B6C" w:rsidRDefault="003D4653" w:rsidP="003D4653">
      <w:pPr>
        <w:pStyle w:val="Heading4"/>
      </w:pPr>
      <w:bookmarkStart w:id="2273" w:name="_CR5_8_2_20"/>
      <w:bookmarkStart w:id="2274" w:name="_Toc201157211"/>
      <w:bookmarkEnd w:id="2273"/>
      <w:r w:rsidRPr="00873B6C">
        <w:t>5.8.2.20</w:t>
      </w:r>
      <w:r w:rsidRPr="00873B6C">
        <w:tab/>
        <w:t>SMF Pause of Charging</w:t>
      </w:r>
      <w:bookmarkEnd w:id="2274"/>
    </w:p>
    <w:p w14:paraId="790D20B7" w14:textId="77777777" w:rsidR="003D4653" w:rsidRPr="00873B6C" w:rsidRDefault="003D4653" w:rsidP="003D4653">
      <w:r w:rsidRPr="00873B6C">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7E9BB41A" w14:textId="12EF0870" w:rsidR="003D4653" w:rsidRPr="00873B6C" w:rsidRDefault="003D4653" w:rsidP="003D4653">
      <w:r w:rsidRPr="00873B6C">
        <w:t xml:space="preserve">The procedures for SMF Pause of Charging are described in </w:t>
      </w:r>
      <w:r w:rsidR="00972E70" w:rsidRPr="00873B6C">
        <w:t>TS 23.502 [</w:t>
      </w:r>
      <w:r w:rsidRPr="00873B6C">
        <w:t>3].</w:t>
      </w:r>
    </w:p>
    <w:p w14:paraId="516207C7" w14:textId="5D713CE9" w:rsidR="00D40151" w:rsidRPr="00873B6C" w:rsidRDefault="00D40151" w:rsidP="00D40151">
      <w:pPr>
        <w:pStyle w:val="Heading3"/>
      </w:pPr>
      <w:bookmarkStart w:id="2275" w:name="_CR5_8_3"/>
      <w:bookmarkStart w:id="2276" w:name="_Toc201157212"/>
      <w:bookmarkEnd w:id="2275"/>
      <w:r w:rsidRPr="00873B6C">
        <w:t>5.8.3</w:t>
      </w:r>
      <w:r w:rsidRPr="00873B6C">
        <w:tab/>
        <w:t>Explicit Buffer Management</w:t>
      </w:r>
      <w:bookmarkEnd w:id="2245"/>
      <w:bookmarkEnd w:id="2249"/>
      <w:bookmarkEnd w:id="2254"/>
      <w:bookmarkEnd w:id="2255"/>
      <w:bookmarkEnd w:id="2256"/>
      <w:bookmarkEnd w:id="2257"/>
      <w:r w:rsidR="003D4653" w:rsidRPr="00873B6C">
        <w:t xml:space="preserve"> (moved)</w:t>
      </w:r>
      <w:bookmarkEnd w:id="2276"/>
    </w:p>
    <w:p w14:paraId="5958BDDE" w14:textId="77777777" w:rsidR="003D4653" w:rsidRPr="00873B6C" w:rsidRDefault="003D4653" w:rsidP="003D4653">
      <w:bookmarkStart w:id="2277" w:name="_Toc20149876"/>
      <w:bookmarkStart w:id="2278" w:name="_Toc27846675"/>
      <w:bookmarkStart w:id="2279" w:name="_Toc36187806"/>
      <w:bookmarkStart w:id="2280" w:name="_Toc45183710"/>
      <w:bookmarkStart w:id="2281" w:name="_Toc47342552"/>
      <w:bookmarkStart w:id="2282" w:name="_Toc51769253"/>
      <w:r w:rsidRPr="00873B6C">
        <w:t>The Explicit Buffer Management is described in clause 5.8.2.19.</w:t>
      </w:r>
    </w:p>
    <w:p w14:paraId="70A0BD05" w14:textId="5C9B8714" w:rsidR="00D40151" w:rsidRPr="00873B6C" w:rsidRDefault="00D40151" w:rsidP="00D40151">
      <w:pPr>
        <w:pStyle w:val="Heading3"/>
      </w:pPr>
      <w:bookmarkStart w:id="2283" w:name="_CR5_8_4"/>
      <w:bookmarkStart w:id="2284" w:name="_Toc20149879"/>
      <w:bookmarkStart w:id="2285" w:name="_Toc27846678"/>
      <w:bookmarkStart w:id="2286" w:name="_Toc36187809"/>
      <w:bookmarkStart w:id="2287" w:name="_Toc45183713"/>
      <w:bookmarkStart w:id="2288" w:name="_Toc47342555"/>
      <w:bookmarkStart w:id="2289" w:name="_Toc51769256"/>
      <w:bookmarkStart w:id="2290" w:name="_Toc201157213"/>
      <w:bookmarkEnd w:id="2277"/>
      <w:bookmarkEnd w:id="2278"/>
      <w:bookmarkEnd w:id="2279"/>
      <w:bookmarkEnd w:id="2280"/>
      <w:bookmarkEnd w:id="2281"/>
      <w:bookmarkEnd w:id="2282"/>
      <w:bookmarkEnd w:id="2283"/>
      <w:r w:rsidRPr="00873B6C">
        <w:t>5.8.4</w:t>
      </w:r>
      <w:r w:rsidRPr="00873B6C">
        <w:tab/>
        <w:t>SMF Pause of Charging</w:t>
      </w:r>
      <w:bookmarkEnd w:id="2284"/>
      <w:bookmarkEnd w:id="2285"/>
      <w:bookmarkEnd w:id="2286"/>
      <w:bookmarkEnd w:id="2287"/>
      <w:bookmarkEnd w:id="2288"/>
      <w:bookmarkEnd w:id="2289"/>
      <w:r w:rsidR="003D4653" w:rsidRPr="00873B6C">
        <w:t xml:space="preserve"> (moved)</w:t>
      </w:r>
      <w:bookmarkEnd w:id="2290"/>
    </w:p>
    <w:p w14:paraId="272FA63F" w14:textId="33415E02" w:rsidR="003D4653" w:rsidRPr="00873B6C" w:rsidRDefault="003D4653" w:rsidP="00D40151">
      <w:r w:rsidRPr="00873B6C">
        <w:t>The SMF Pause of Charging is described in clause 5.8.2.20.</w:t>
      </w:r>
    </w:p>
    <w:p w14:paraId="1D2B3D66" w14:textId="1A92E4E1" w:rsidR="003D4653" w:rsidRPr="00873B6C" w:rsidRDefault="003D4653" w:rsidP="003D4653">
      <w:pPr>
        <w:pStyle w:val="Heading3"/>
      </w:pPr>
      <w:bookmarkStart w:id="2291" w:name="_CR5_8_5"/>
      <w:bookmarkStart w:id="2292" w:name="_Toc20149880"/>
      <w:bookmarkStart w:id="2293" w:name="_Toc27846679"/>
      <w:bookmarkStart w:id="2294" w:name="_Toc36187810"/>
      <w:bookmarkStart w:id="2295" w:name="_Toc45183714"/>
      <w:bookmarkStart w:id="2296" w:name="_Toc47342556"/>
      <w:bookmarkStart w:id="2297" w:name="_Toc51769257"/>
      <w:bookmarkStart w:id="2298" w:name="_Toc201157214"/>
      <w:bookmarkEnd w:id="2291"/>
      <w:r w:rsidRPr="00873B6C">
        <w:t>5.8.5</w:t>
      </w:r>
      <w:r w:rsidRPr="00873B6C">
        <w:tab/>
        <w:t>Parameters for N4 session management</w:t>
      </w:r>
      <w:bookmarkEnd w:id="2298"/>
    </w:p>
    <w:p w14:paraId="4F353C10" w14:textId="77777777" w:rsidR="003D4653" w:rsidRPr="00873B6C" w:rsidRDefault="003D4653" w:rsidP="00972E70">
      <w:pPr>
        <w:pStyle w:val="Heading4"/>
      </w:pPr>
      <w:bookmarkStart w:id="2299" w:name="_CR5_8_5_1"/>
      <w:bookmarkStart w:id="2300" w:name="_Toc201157215"/>
      <w:bookmarkEnd w:id="2299"/>
      <w:r w:rsidRPr="00873B6C">
        <w:t>5.8.5.1</w:t>
      </w:r>
      <w:r w:rsidRPr="00873B6C">
        <w:tab/>
        <w:t>General</w:t>
      </w:r>
      <w:bookmarkEnd w:id="2300"/>
    </w:p>
    <w:p w14:paraId="484E19BD" w14:textId="77777777" w:rsidR="003D4653" w:rsidRPr="00873B6C" w:rsidRDefault="003D4653" w:rsidP="003D4653">
      <w:r w:rsidRPr="00873B6C">
        <w:t>These parameters are used by SMF to control the functionality of the UPF as well as to inform SMF about events occurring at the UPF.</w:t>
      </w:r>
    </w:p>
    <w:p w14:paraId="773E3F06" w14:textId="513B991B" w:rsidR="003D4653" w:rsidRPr="00873B6C" w:rsidRDefault="003D4653" w:rsidP="003D4653">
      <w:r w:rsidRPr="00873B6C">
        <w:t xml:space="preserve">The N4 session management procedures defined in clause 4.4.1 of </w:t>
      </w:r>
      <w:r w:rsidR="00972E70" w:rsidRPr="00873B6C">
        <w:t>TS 23.502 [</w:t>
      </w:r>
      <w:r w:rsidRPr="00873B6C">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w:t>
      </w:r>
      <w:r w:rsidR="00472CD7" w:rsidRPr="00873B6C">
        <w:t xml:space="preserve"> and</w:t>
      </w:r>
      <w:r w:rsidRPr="00873B6C">
        <w:t xml:space="preserve"> the N4 Session Level Reporting procedure informs the SMF about events related to the PDU Session that are detected by the UPF.</w:t>
      </w:r>
    </w:p>
    <w:p w14:paraId="2A04C171" w14:textId="77777777" w:rsidR="003D4653" w:rsidRPr="00873B6C" w:rsidRDefault="003D4653" w:rsidP="003D4653">
      <w:r w:rsidRPr="00873B6C">
        <w:t>The parameters over N4 reference point provided from SMF to UPF comprises an N4 Session ID and may also contain:</w:t>
      </w:r>
    </w:p>
    <w:p w14:paraId="137DD40F" w14:textId="77777777" w:rsidR="003D4653" w:rsidRPr="00873B6C" w:rsidRDefault="003D4653" w:rsidP="003D4653">
      <w:pPr>
        <w:pStyle w:val="B1"/>
      </w:pPr>
      <w:r w:rsidRPr="00873B6C">
        <w:t>-</w:t>
      </w:r>
      <w:r w:rsidRPr="00873B6C">
        <w:tab/>
        <w:t>Packet Detection Rules (PDR) that contain information to classify traffic (PDU(s)) arriving at the UPF;</w:t>
      </w:r>
    </w:p>
    <w:p w14:paraId="5D3D0C47" w14:textId="77777777" w:rsidR="003D4653" w:rsidRPr="00873B6C" w:rsidRDefault="003D4653" w:rsidP="003D4653">
      <w:pPr>
        <w:pStyle w:val="B1"/>
      </w:pPr>
      <w:r w:rsidRPr="00873B6C">
        <w:t>-</w:t>
      </w:r>
      <w:r w:rsidRPr="00873B6C">
        <w:tab/>
        <w:t>Forwarding Action Rules (FAR) that contain information on whether forwarding, dropping or buffering is to be applied to a traffic identified by PDR(s);</w:t>
      </w:r>
    </w:p>
    <w:p w14:paraId="0A0CEEEA" w14:textId="77777777" w:rsidR="003D4653" w:rsidRPr="00873B6C" w:rsidRDefault="003D4653" w:rsidP="003D4653">
      <w:pPr>
        <w:pStyle w:val="B1"/>
      </w:pPr>
      <w:r w:rsidRPr="00873B6C">
        <w:t>-</w:t>
      </w:r>
      <w:r w:rsidRPr="00873B6C">
        <w:tab/>
        <w:t>Multi-Access Rules (MAR) that contain information on how to handle traffic steering, switching and splitting for a MA PDU Session;</w:t>
      </w:r>
    </w:p>
    <w:p w14:paraId="2D3648CC" w14:textId="77777777" w:rsidR="003D4653" w:rsidRPr="00873B6C" w:rsidRDefault="003D4653" w:rsidP="003D4653">
      <w:pPr>
        <w:pStyle w:val="B1"/>
      </w:pPr>
      <w:r w:rsidRPr="00873B6C">
        <w:t>-</w:t>
      </w:r>
      <w:r w:rsidRPr="00873B6C">
        <w:tab/>
        <w:t>Usage Reporting Rules (URR) contains information that defines how traffic identified by PDR(s) shall be accounted as well as how a certain measurement shall be reported;</w:t>
      </w:r>
    </w:p>
    <w:p w14:paraId="16938005" w14:textId="77777777" w:rsidR="003D4653" w:rsidRPr="00873B6C" w:rsidRDefault="003D4653" w:rsidP="003D4653">
      <w:pPr>
        <w:pStyle w:val="B1"/>
      </w:pPr>
      <w:r w:rsidRPr="00873B6C">
        <w:t>-</w:t>
      </w:r>
      <w:r w:rsidRPr="00873B6C">
        <w:tab/>
        <w:t>QoS Enforcement Rules (QER), that contain information related to QoS enforcement of traffic identified by PDR(s);</w:t>
      </w:r>
    </w:p>
    <w:p w14:paraId="33A3055A" w14:textId="77777777" w:rsidR="003D4653" w:rsidRPr="00873B6C" w:rsidRDefault="003D4653" w:rsidP="003D4653">
      <w:pPr>
        <w:pStyle w:val="B1"/>
      </w:pPr>
      <w:r w:rsidRPr="00873B6C">
        <w:t>-</w:t>
      </w:r>
      <w:r w:rsidRPr="00873B6C">
        <w:tab/>
        <w:t>Session Reporting Rules (SRR) that contain information to request the UP function to detect and report events for a PDU session that are not related to specific PDRs of the PDU session or that are not related to traffic usage measurement.</w:t>
      </w:r>
    </w:p>
    <w:p w14:paraId="101116C1" w14:textId="77777777" w:rsidR="003D4653" w:rsidRPr="00873B6C" w:rsidRDefault="003D4653" w:rsidP="003D4653">
      <w:pPr>
        <w:pStyle w:val="B1"/>
      </w:pPr>
      <w:r w:rsidRPr="00873B6C">
        <w:t>-</w:t>
      </w:r>
      <w:r w:rsidRPr="00873B6C">
        <w:tab/>
        <w:t>Trace Requirements;</w:t>
      </w:r>
    </w:p>
    <w:p w14:paraId="7AA2A168" w14:textId="77777777" w:rsidR="003D4653" w:rsidRPr="00873B6C" w:rsidRDefault="003D4653" w:rsidP="003D4653">
      <w:pPr>
        <w:pStyle w:val="B1"/>
      </w:pPr>
      <w:r w:rsidRPr="00873B6C">
        <w:t>-</w:t>
      </w:r>
      <w:r w:rsidRPr="00873B6C">
        <w:tab/>
        <w:t>Port Management Information Container in 5GS;</w:t>
      </w:r>
    </w:p>
    <w:p w14:paraId="4C1714EE" w14:textId="77777777" w:rsidR="003D4653" w:rsidRPr="00873B6C" w:rsidRDefault="003D4653" w:rsidP="003D4653">
      <w:pPr>
        <w:pStyle w:val="B1"/>
      </w:pPr>
      <w:r w:rsidRPr="00873B6C">
        <w:t>-</w:t>
      </w:r>
      <w:r w:rsidRPr="00873B6C">
        <w:tab/>
        <w:t>Bridge/Router Information.</w:t>
      </w:r>
    </w:p>
    <w:p w14:paraId="2C8ADBEF" w14:textId="77777777" w:rsidR="003D4653" w:rsidRPr="00873B6C" w:rsidRDefault="003D4653" w:rsidP="003D4653">
      <w:r w:rsidRPr="00873B6C">
        <w:t>The N4 Session ID is assigned by the SMF and uniquely identifies an N4 session.</w:t>
      </w:r>
    </w:p>
    <w:p w14:paraId="662421C2" w14:textId="77777777" w:rsidR="003D4653" w:rsidRPr="00873B6C" w:rsidRDefault="003D4653" w:rsidP="003D4653">
      <w:r w:rsidRPr="00873B6C">
        <w:lastRenderedPageBreak/>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133009B0" w14:textId="77777777" w:rsidR="003D4653" w:rsidRPr="00873B6C" w:rsidRDefault="003D4653" w:rsidP="003D4653">
      <w:r w:rsidRPr="00873B6C">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34F0623B" w14:textId="6289ACD0" w:rsidR="003D4653" w:rsidRPr="00873B6C" w:rsidRDefault="003D4653" w:rsidP="003D4653">
      <w:r w:rsidRPr="00873B6C">
        <w:t>A N4 Session may be used to control both UPF and NW-TT behaviour in the UPF. A N4 session support and enable exchange of bridge/router configuration between the SMF and the UPF:</w:t>
      </w:r>
    </w:p>
    <w:p w14:paraId="04F53B3E" w14:textId="77777777" w:rsidR="003D4653" w:rsidRPr="00873B6C" w:rsidRDefault="003D4653" w:rsidP="003D4653">
      <w:pPr>
        <w:pStyle w:val="B1"/>
      </w:pPr>
      <w:r w:rsidRPr="00873B6C">
        <w:t>-</w:t>
      </w:r>
      <w:r w:rsidRPr="00873B6C">
        <w:tab/>
        <w:t>Information that the SMF needs for bridge/router management (clause 5.8.5.9);</w:t>
      </w:r>
    </w:p>
    <w:p w14:paraId="4EEE69C7" w14:textId="56B79F12" w:rsidR="003D4653" w:rsidRPr="00873B6C" w:rsidRDefault="003D4653" w:rsidP="003D4653">
      <w:pPr>
        <w:pStyle w:val="B1"/>
      </w:pPr>
      <w:r w:rsidRPr="00873B6C">
        <w:t>-</w:t>
      </w:r>
      <w:r w:rsidRPr="00873B6C">
        <w:tab/>
        <w:t xml:space="preserve">Information that 5GS transparently relays between the TSN AF or </w:t>
      </w:r>
      <w:r w:rsidR="002A3DAF" w:rsidRPr="00873B6C">
        <w:t xml:space="preserve">TSCTSF </w:t>
      </w:r>
      <w:r w:rsidRPr="00873B6C">
        <w:t>and the NW-TT: transparent Port Management Information Container along with the associated NW-TT port number.</w:t>
      </w:r>
    </w:p>
    <w:p w14:paraId="2B5CD03C" w14:textId="5D5E6AE0" w:rsidR="003D4653" w:rsidRPr="00873B6C" w:rsidRDefault="003D4653" w:rsidP="003D4653">
      <w:pPr>
        <w:pStyle w:val="B1"/>
      </w:pPr>
      <w:r w:rsidRPr="00873B6C">
        <w:t>-</w:t>
      </w:r>
      <w:r w:rsidRPr="00873B6C">
        <w:tab/>
        <w:t xml:space="preserve">Information that 5GS transparently relays between the TSN AF or </w:t>
      </w:r>
      <w:r w:rsidR="002A3DAF" w:rsidRPr="00873B6C">
        <w:t xml:space="preserve">TSCTSF </w:t>
      </w:r>
      <w:r w:rsidRPr="00873B6C">
        <w:t>and the NW-TT: transparent user plane node Management Information Container (clause 5.8.5.14).</w:t>
      </w:r>
    </w:p>
    <w:p w14:paraId="22AD5894" w14:textId="2382DA31" w:rsidR="003D4653" w:rsidRPr="00873B6C" w:rsidRDefault="003D4653" w:rsidP="003D4653">
      <w:r w:rsidRPr="00873B6C">
        <w:t>When a N4 Session related with bridge/router management is established, the UPF allocates a dedicated port number for the PDU Session. The UPF then provides to the SMF following configuration parameters for the N4 Session:</w:t>
      </w:r>
    </w:p>
    <w:p w14:paraId="6F2BE3E1" w14:textId="0A628AEA" w:rsidR="003D4653" w:rsidRPr="00873B6C" w:rsidRDefault="003D4653" w:rsidP="003D4653">
      <w:pPr>
        <w:pStyle w:val="B1"/>
      </w:pPr>
      <w:r w:rsidRPr="00873B6C">
        <w:t>-</w:t>
      </w:r>
      <w:r w:rsidRPr="00873B6C">
        <w:tab/>
        <w:t>port number.</w:t>
      </w:r>
    </w:p>
    <w:p w14:paraId="01D21ED6" w14:textId="77777777" w:rsidR="003D4653" w:rsidRPr="00873B6C" w:rsidRDefault="003D4653" w:rsidP="003D4653">
      <w:pPr>
        <w:pStyle w:val="B1"/>
      </w:pPr>
      <w:r w:rsidRPr="00873B6C">
        <w:t>-</w:t>
      </w:r>
      <w:r w:rsidRPr="00873B6C">
        <w:tab/>
        <w:t>user-plane node ID.</w:t>
      </w:r>
    </w:p>
    <w:p w14:paraId="74F5A106" w14:textId="6DF95075" w:rsidR="003D4653" w:rsidRPr="00873B6C" w:rsidRDefault="003D4653" w:rsidP="003D4653">
      <w:r w:rsidRPr="00873B6C">
        <w:t>To support TSN, the user-plane node ID is Bridge ID.</w:t>
      </w:r>
      <w:r w:rsidR="00FB6BEB" w:rsidRPr="00873B6C">
        <w:t xml:space="preserve"> To support integration with IETF DetNet, the user-plane node ID can be Router ID.</w:t>
      </w:r>
      <w:r w:rsidRPr="00873B6C">
        <w:t xml:space="preserve"> The User Plane Node ID may be pre-configured in the UPF based on deployment.</w:t>
      </w:r>
    </w:p>
    <w:p w14:paraId="0E2F669C" w14:textId="77777777" w:rsidR="003D4653" w:rsidRPr="00873B6C" w:rsidRDefault="003D4653" w:rsidP="003D4653">
      <w:r w:rsidRPr="00873B6C">
        <w:t>After the N4 session has been established, the SMF and UPF may at any time exchange transparent user plane node and Port Management Information Container over a N4 session.</w:t>
      </w:r>
    </w:p>
    <w:p w14:paraId="4B8029CA" w14:textId="77777777" w:rsidR="003D4653" w:rsidRPr="00873B6C" w:rsidRDefault="003D4653" w:rsidP="00972E70">
      <w:pPr>
        <w:pStyle w:val="Heading4"/>
      </w:pPr>
      <w:bookmarkStart w:id="2301" w:name="_CR5_8_5_2"/>
      <w:bookmarkStart w:id="2302" w:name="_Toc201157216"/>
      <w:bookmarkEnd w:id="2301"/>
      <w:r w:rsidRPr="00873B6C">
        <w:t>5.8.5.2</w:t>
      </w:r>
      <w:r w:rsidRPr="00873B6C">
        <w:tab/>
        <w:t>N4 Session Context</w:t>
      </w:r>
      <w:bookmarkEnd w:id="2302"/>
    </w:p>
    <w:p w14:paraId="0ED0104A" w14:textId="077DFA0E" w:rsidR="003D4653" w:rsidRPr="00873B6C" w:rsidRDefault="003D4653" w:rsidP="003D4653">
      <w:pPr>
        <w:rPr>
          <w:lang w:eastAsia="x-none"/>
        </w:rPr>
      </w:pPr>
      <w:r w:rsidRPr="00873B6C">
        <w:rPr>
          <w:lang w:eastAsia="x-none"/>
        </w:rPr>
        <w:t xml:space="preserve">N4 Session Context is identified by an N4 Session ID. An N4 Session Context is generated by SMF and UPF respectively to store the parameters related to an N4 session, including the N4 session ID and following information (see </w:t>
      </w:r>
      <w:r w:rsidR="00972E70" w:rsidRPr="00873B6C">
        <w:rPr>
          <w:lang w:eastAsia="x-none"/>
        </w:rPr>
        <w:t>TS 29.244 [</w:t>
      </w:r>
      <w:r w:rsidRPr="00873B6C">
        <w:rPr>
          <w:lang w:eastAsia="x-none"/>
        </w:rPr>
        <w:t>65] for an exhaustive list):</w:t>
      </w:r>
    </w:p>
    <w:p w14:paraId="5F0D9B8E" w14:textId="77777777" w:rsidR="003D4653" w:rsidRPr="00873B6C" w:rsidRDefault="003D4653" w:rsidP="003D4653">
      <w:pPr>
        <w:pStyle w:val="B1"/>
      </w:pPr>
      <w:r w:rsidRPr="00873B6C">
        <w:t>1)</w:t>
      </w:r>
      <w:r w:rsidRPr="00873B6C">
        <w:tab/>
        <w:t>general session related parameters such as S-NSSAI, PDU Session Type, Trace Information, APN/DNN, ATSSS Control Information;</w:t>
      </w:r>
    </w:p>
    <w:p w14:paraId="28158B07" w14:textId="77777777" w:rsidR="003D4653" w:rsidRPr="00873B6C" w:rsidRDefault="003D4653" w:rsidP="003D4653">
      <w:pPr>
        <w:pStyle w:val="B1"/>
      </w:pPr>
      <w:r w:rsidRPr="00873B6C">
        <w:t>2)</w:t>
      </w:r>
      <w:r w:rsidRPr="00873B6C">
        <w:tab/>
        <w:t>the PDRs, URRs, QERs, BAR(s), FARs, MARs used for this N4 session;</w:t>
      </w:r>
    </w:p>
    <w:p w14:paraId="5D83495B" w14:textId="77777777" w:rsidR="003D4653" w:rsidRPr="00873B6C" w:rsidRDefault="003D4653" w:rsidP="003D4653">
      <w:pPr>
        <w:pStyle w:val="B1"/>
      </w:pPr>
      <w:r w:rsidRPr="00873B6C">
        <w:t>3)</w:t>
      </w:r>
      <w:r w:rsidRPr="00873B6C">
        <w:tab/>
        <w:t>parameters sent to support UPF statistics.</w:t>
      </w:r>
    </w:p>
    <w:p w14:paraId="10A222A5" w14:textId="77777777" w:rsidR="003D4653" w:rsidRPr="00873B6C" w:rsidRDefault="003D4653" w:rsidP="003D4653">
      <w:pPr>
        <w:rPr>
          <w:lang w:eastAsia="x-none"/>
        </w:rPr>
      </w:pPr>
      <w:r w:rsidRPr="00873B6C">
        <w:rPr>
          <w:lang w:eastAsia="x-none"/>
        </w:rPr>
        <w:t>The UPF may use parameters listed above in bullets 1) (e.g. S-NSSAI) and 2) (e.g. Network Instance in PDR/FAR(s)) for determining internal UPF resources.</w:t>
      </w:r>
    </w:p>
    <w:p w14:paraId="3717CDB6" w14:textId="77777777" w:rsidR="003D4653" w:rsidRPr="00873B6C" w:rsidRDefault="003D4653" w:rsidP="00972E70">
      <w:pPr>
        <w:pStyle w:val="Heading4"/>
      </w:pPr>
      <w:bookmarkStart w:id="2303" w:name="_CR5_8_5_3"/>
      <w:bookmarkStart w:id="2304" w:name="_Toc201157217"/>
      <w:bookmarkEnd w:id="2303"/>
      <w:r w:rsidRPr="00873B6C">
        <w:t>5.8.5.3</w:t>
      </w:r>
      <w:r w:rsidRPr="00873B6C">
        <w:tab/>
        <w:t>Packet Detection Rule</w:t>
      </w:r>
      <w:bookmarkEnd w:id="2304"/>
    </w:p>
    <w:p w14:paraId="273B9AAE" w14:textId="77777777" w:rsidR="003D4653" w:rsidRPr="00873B6C" w:rsidRDefault="003D4653" w:rsidP="003D4653">
      <w:pPr>
        <w:rPr>
          <w:lang w:eastAsia="x-none"/>
        </w:rPr>
      </w:pPr>
      <w:r w:rsidRPr="00873B6C">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34A9DDB4" w14:textId="77777777" w:rsidR="003D4653" w:rsidRPr="00873B6C" w:rsidRDefault="003D4653" w:rsidP="003D4653">
      <w:pPr>
        <w:pStyle w:val="TH"/>
      </w:pPr>
      <w:bookmarkStart w:id="2305" w:name="_CRTable5_8_5_31"/>
      <w:r w:rsidRPr="00873B6C">
        <w:lastRenderedPageBreak/>
        <w:t xml:space="preserve">Table </w:t>
      </w:r>
      <w:bookmarkEnd w:id="2305"/>
      <w:r w:rsidRPr="00873B6C">
        <w:t>5.8.5.3-1: Attributes within Packet Detection Rule</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3D4653" w:rsidRPr="00873B6C" w14:paraId="20955E8B" w14:textId="77777777" w:rsidTr="00C9561D">
        <w:trPr>
          <w:cantSplit/>
          <w:jc w:val="center"/>
        </w:trPr>
        <w:tc>
          <w:tcPr>
            <w:tcW w:w="2665" w:type="dxa"/>
            <w:gridSpan w:val="2"/>
          </w:tcPr>
          <w:p w14:paraId="73AB09B8" w14:textId="77777777" w:rsidR="003D4653" w:rsidRPr="00873B6C" w:rsidRDefault="003D4653" w:rsidP="00C9561D">
            <w:pPr>
              <w:pStyle w:val="TAH"/>
            </w:pPr>
            <w:r w:rsidRPr="00873B6C">
              <w:lastRenderedPageBreak/>
              <w:t>Attribute</w:t>
            </w:r>
          </w:p>
        </w:tc>
        <w:tc>
          <w:tcPr>
            <w:tcW w:w="4389" w:type="dxa"/>
          </w:tcPr>
          <w:p w14:paraId="03A0D50E" w14:textId="77777777" w:rsidR="003D4653" w:rsidRPr="00873B6C" w:rsidRDefault="003D4653" w:rsidP="00C9561D">
            <w:pPr>
              <w:pStyle w:val="TAH"/>
            </w:pPr>
            <w:r w:rsidRPr="00873B6C">
              <w:t>Description</w:t>
            </w:r>
          </w:p>
        </w:tc>
        <w:tc>
          <w:tcPr>
            <w:tcW w:w="2977" w:type="dxa"/>
          </w:tcPr>
          <w:p w14:paraId="4C1A1B47" w14:textId="77777777" w:rsidR="003D4653" w:rsidRPr="00873B6C" w:rsidRDefault="003D4653" w:rsidP="00C9561D">
            <w:pPr>
              <w:pStyle w:val="TAH"/>
            </w:pPr>
            <w:r w:rsidRPr="00873B6C">
              <w:t>Comment</w:t>
            </w:r>
          </w:p>
        </w:tc>
      </w:tr>
      <w:tr w:rsidR="003D4653" w:rsidRPr="00873B6C" w14:paraId="11761E39" w14:textId="77777777" w:rsidTr="00C9561D">
        <w:trPr>
          <w:cantSplit/>
          <w:jc w:val="center"/>
        </w:trPr>
        <w:tc>
          <w:tcPr>
            <w:tcW w:w="2665" w:type="dxa"/>
            <w:gridSpan w:val="2"/>
          </w:tcPr>
          <w:p w14:paraId="1D58B59E" w14:textId="77777777" w:rsidR="003D4653" w:rsidRPr="00873B6C" w:rsidRDefault="003D4653" w:rsidP="00C9561D">
            <w:pPr>
              <w:pStyle w:val="TAL"/>
            </w:pPr>
            <w:r w:rsidRPr="00873B6C">
              <w:t>N4 Session ID</w:t>
            </w:r>
          </w:p>
        </w:tc>
        <w:tc>
          <w:tcPr>
            <w:tcW w:w="4389" w:type="dxa"/>
          </w:tcPr>
          <w:p w14:paraId="6F3C2DEF" w14:textId="77777777" w:rsidR="003D4653" w:rsidRPr="00873B6C" w:rsidRDefault="003D4653" w:rsidP="00C9561D">
            <w:pPr>
              <w:pStyle w:val="TAL"/>
            </w:pPr>
            <w:r w:rsidRPr="00873B6C">
              <w:t>Identifies the N4 session associated to this PDR. NOTE 5.</w:t>
            </w:r>
          </w:p>
        </w:tc>
        <w:tc>
          <w:tcPr>
            <w:tcW w:w="2977" w:type="dxa"/>
          </w:tcPr>
          <w:p w14:paraId="72BB2B39" w14:textId="77777777" w:rsidR="003D4653" w:rsidRPr="00873B6C" w:rsidRDefault="003D4653" w:rsidP="00C9561D">
            <w:pPr>
              <w:pStyle w:val="TAL"/>
            </w:pPr>
          </w:p>
        </w:tc>
      </w:tr>
      <w:tr w:rsidR="003D4653" w:rsidRPr="00873B6C" w14:paraId="6F98174C" w14:textId="77777777" w:rsidTr="00C9561D">
        <w:trPr>
          <w:cantSplit/>
          <w:jc w:val="center"/>
        </w:trPr>
        <w:tc>
          <w:tcPr>
            <w:tcW w:w="2665" w:type="dxa"/>
            <w:gridSpan w:val="2"/>
          </w:tcPr>
          <w:p w14:paraId="7B723590" w14:textId="77777777" w:rsidR="003D4653" w:rsidRPr="00873B6C" w:rsidRDefault="003D4653" w:rsidP="00C9561D">
            <w:pPr>
              <w:pStyle w:val="TAL"/>
            </w:pPr>
            <w:r w:rsidRPr="00873B6C">
              <w:t>Rule ID</w:t>
            </w:r>
          </w:p>
        </w:tc>
        <w:tc>
          <w:tcPr>
            <w:tcW w:w="4389" w:type="dxa"/>
          </w:tcPr>
          <w:p w14:paraId="677DD2BE" w14:textId="77777777" w:rsidR="003D4653" w:rsidRPr="00873B6C" w:rsidRDefault="003D4653" w:rsidP="00C9561D">
            <w:pPr>
              <w:pStyle w:val="TAL"/>
            </w:pPr>
            <w:r w:rsidRPr="00873B6C">
              <w:t>Unique identifier to identify this rule.</w:t>
            </w:r>
          </w:p>
        </w:tc>
        <w:tc>
          <w:tcPr>
            <w:tcW w:w="2977" w:type="dxa"/>
          </w:tcPr>
          <w:p w14:paraId="610A9F8F" w14:textId="77777777" w:rsidR="003D4653" w:rsidRPr="00873B6C" w:rsidRDefault="003D4653" w:rsidP="00C9561D">
            <w:pPr>
              <w:pStyle w:val="TAL"/>
            </w:pPr>
          </w:p>
        </w:tc>
      </w:tr>
      <w:tr w:rsidR="003D4653" w:rsidRPr="00873B6C" w14:paraId="573F4C20" w14:textId="77777777" w:rsidTr="00C9561D">
        <w:trPr>
          <w:cantSplit/>
          <w:jc w:val="center"/>
        </w:trPr>
        <w:tc>
          <w:tcPr>
            <w:tcW w:w="2665" w:type="dxa"/>
            <w:gridSpan w:val="2"/>
          </w:tcPr>
          <w:p w14:paraId="38C2C375" w14:textId="77777777" w:rsidR="003D4653" w:rsidRPr="00873B6C" w:rsidRDefault="003D4653" w:rsidP="00C9561D">
            <w:pPr>
              <w:pStyle w:val="TAL"/>
            </w:pPr>
            <w:r w:rsidRPr="00873B6C">
              <w:t>Precedence</w:t>
            </w:r>
          </w:p>
        </w:tc>
        <w:tc>
          <w:tcPr>
            <w:tcW w:w="4389" w:type="dxa"/>
          </w:tcPr>
          <w:p w14:paraId="22D13B4B" w14:textId="77777777" w:rsidR="003D4653" w:rsidRPr="00873B6C" w:rsidRDefault="003D4653" w:rsidP="00C9561D">
            <w:pPr>
              <w:pStyle w:val="TAL"/>
            </w:pPr>
            <w:r w:rsidRPr="00873B6C">
              <w:rPr>
                <w:rFonts w:cs="Arial"/>
                <w:szCs w:val="18"/>
                <w:lang w:eastAsia="zh-CN"/>
              </w:rPr>
              <w:t>Determines the order, in which the detection information of all rules is applied.</w:t>
            </w:r>
          </w:p>
        </w:tc>
        <w:tc>
          <w:tcPr>
            <w:tcW w:w="2977" w:type="dxa"/>
            <w:tcBorders>
              <w:bottom w:val="single" w:sz="4" w:space="0" w:color="auto"/>
            </w:tcBorders>
          </w:tcPr>
          <w:p w14:paraId="4FDC7347" w14:textId="77777777" w:rsidR="003D4653" w:rsidRPr="00873B6C" w:rsidRDefault="003D4653" w:rsidP="00C9561D">
            <w:pPr>
              <w:pStyle w:val="TAL"/>
            </w:pPr>
          </w:p>
        </w:tc>
      </w:tr>
      <w:tr w:rsidR="003D4653" w:rsidRPr="00873B6C" w14:paraId="296399B4" w14:textId="77777777" w:rsidTr="00C9561D">
        <w:trPr>
          <w:cantSplit/>
          <w:jc w:val="center"/>
        </w:trPr>
        <w:tc>
          <w:tcPr>
            <w:tcW w:w="1242" w:type="dxa"/>
            <w:tcBorders>
              <w:bottom w:val="nil"/>
            </w:tcBorders>
          </w:tcPr>
          <w:p w14:paraId="32583F98" w14:textId="77777777" w:rsidR="003D4653" w:rsidRPr="00873B6C" w:rsidRDefault="003D4653" w:rsidP="00C9561D">
            <w:pPr>
              <w:pStyle w:val="TAL"/>
            </w:pPr>
            <w:r w:rsidRPr="00873B6C">
              <w:t xml:space="preserve">Packet </w:t>
            </w:r>
          </w:p>
        </w:tc>
        <w:tc>
          <w:tcPr>
            <w:tcW w:w="1423" w:type="dxa"/>
          </w:tcPr>
          <w:p w14:paraId="7E8C6722" w14:textId="77777777" w:rsidR="003D4653" w:rsidRPr="00873B6C" w:rsidRDefault="003D4653" w:rsidP="00C9561D">
            <w:pPr>
              <w:pStyle w:val="TAL"/>
            </w:pPr>
            <w:r w:rsidRPr="00873B6C">
              <w:t>Source interface</w:t>
            </w:r>
          </w:p>
        </w:tc>
        <w:tc>
          <w:tcPr>
            <w:tcW w:w="4389" w:type="dxa"/>
          </w:tcPr>
          <w:p w14:paraId="6B5D770A" w14:textId="77777777" w:rsidR="003D4653" w:rsidRPr="00873B6C" w:rsidRDefault="003D4653" w:rsidP="00C9561D">
            <w:pPr>
              <w:pStyle w:val="TAL"/>
            </w:pPr>
            <w:r w:rsidRPr="00873B6C">
              <w:t>Contains the values "access side", "core side", "SMF", "N6-LAN", "5G VN internal".</w:t>
            </w:r>
          </w:p>
        </w:tc>
        <w:tc>
          <w:tcPr>
            <w:tcW w:w="2977" w:type="dxa"/>
            <w:tcBorders>
              <w:bottom w:val="nil"/>
            </w:tcBorders>
          </w:tcPr>
          <w:p w14:paraId="7BACA5DA" w14:textId="77777777" w:rsidR="003D4653" w:rsidRPr="00873B6C" w:rsidRDefault="003D4653" w:rsidP="00C9561D">
            <w:pPr>
              <w:pStyle w:val="TAL"/>
            </w:pPr>
            <w:r w:rsidRPr="00873B6C">
              <w:t>Combination of UE IP address (together with Network instance, if necessary), CN tunnel info,</w:t>
            </w:r>
          </w:p>
        </w:tc>
      </w:tr>
      <w:tr w:rsidR="003D4653" w:rsidRPr="00873B6C" w14:paraId="3D8EE9F4" w14:textId="77777777" w:rsidTr="00C9561D">
        <w:trPr>
          <w:cantSplit/>
          <w:jc w:val="center"/>
        </w:trPr>
        <w:tc>
          <w:tcPr>
            <w:tcW w:w="1242" w:type="dxa"/>
            <w:tcBorders>
              <w:top w:val="nil"/>
              <w:bottom w:val="nil"/>
            </w:tcBorders>
          </w:tcPr>
          <w:p w14:paraId="6D0C4B74" w14:textId="77777777" w:rsidR="003D4653" w:rsidRPr="00873B6C" w:rsidRDefault="003D4653" w:rsidP="00C9561D">
            <w:pPr>
              <w:pStyle w:val="TAL"/>
            </w:pPr>
            <w:r w:rsidRPr="00873B6C">
              <w:t>Detection</w:t>
            </w:r>
          </w:p>
        </w:tc>
        <w:tc>
          <w:tcPr>
            <w:tcW w:w="1423" w:type="dxa"/>
          </w:tcPr>
          <w:p w14:paraId="0BB7A2C5" w14:textId="77777777" w:rsidR="003D4653" w:rsidRPr="00873B6C" w:rsidRDefault="003D4653" w:rsidP="00C9561D">
            <w:pPr>
              <w:pStyle w:val="TAL"/>
            </w:pPr>
            <w:r w:rsidRPr="00873B6C">
              <w:t xml:space="preserve">UE IP address </w:t>
            </w:r>
          </w:p>
        </w:tc>
        <w:tc>
          <w:tcPr>
            <w:tcW w:w="4389" w:type="dxa"/>
          </w:tcPr>
          <w:p w14:paraId="1EEC1C56" w14:textId="77777777" w:rsidR="003D4653" w:rsidRPr="00873B6C" w:rsidRDefault="003D4653" w:rsidP="00C9561D">
            <w:pPr>
              <w:pStyle w:val="TAL"/>
            </w:pPr>
            <w:r w:rsidRPr="00873B6C">
              <w:t>One IPv4 address and/or one IPv6 prefix with prefix length (NOTE 3).</w:t>
            </w:r>
          </w:p>
        </w:tc>
        <w:tc>
          <w:tcPr>
            <w:tcW w:w="2977" w:type="dxa"/>
            <w:tcBorders>
              <w:top w:val="nil"/>
              <w:bottom w:val="nil"/>
            </w:tcBorders>
          </w:tcPr>
          <w:p w14:paraId="6307CEA1" w14:textId="77777777" w:rsidR="003D4653" w:rsidRPr="00873B6C" w:rsidRDefault="003D4653" w:rsidP="00C9561D">
            <w:pPr>
              <w:pStyle w:val="TAL"/>
            </w:pPr>
            <w:r w:rsidRPr="00873B6C">
              <w:t>packet filter set, application identifier, Ethernet PDU Session</w:t>
            </w:r>
          </w:p>
        </w:tc>
      </w:tr>
      <w:tr w:rsidR="003D4653" w:rsidRPr="00873B6C" w14:paraId="647AD467" w14:textId="77777777" w:rsidTr="00C9561D">
        <w:trPr>
          <w:cantSplit/>
          <w:jc w:val="center"/>
        </w:trPr>
        <w:tc>
          <w:tcPr>
            <w:tcW w:w="1242" w:type="dxa"/>
            <w:tcBorders>
              <w:top w:val="nil"/>
              <w:bottom w:val="nil"/>
            </w:tcBorders>
          </w:tcPr>
          <w:p w14:paraId="2EB20BF6" w14:textId="77777777" w:rsidR="003D4653" w:rsidRPr="00873B6C" w:rsidRDefault="003D4653" w:rsidP="00C9561D">
            <w:pPr>
              <w:pStyle w:val="TAL"/>
            </w:pPr>
            <w:r w:rsidRPr="00873B6C">
              <w:t>Information.</w:t>
            </w:r>
          </w:p>
          <w:p w14:paraId="7F81996E" w14:textId="77777777" w:rsidR="003D4653" w:rsidRPr="00873B6C" w:rsidRDefault="003D4653" w:rsidP="00C9561D">
            <w:pPr>
              <w:pStyle w:val="TAL"/>
            </w:pPr>
            <w:r w:rsidRPr="00873B6C">
              <w:t>NOTE 4.</w:t>
            </w:r>
          </w:p>
        </w:tc>
        <w:tc>
          <w:tcPr>
            <w:tcW w:w="1423" w:type="dxa"/>
          </w:tcPr>
          <w:p w14:paraId="29E81297" w14:textId="77777777" w:rsidR="003D4653" w:rsidRPr="00873B6C" w:rsidRDefault="003D4653" w:rsidP="00C9561D">
            <w:pPr>
              <w:pStyle w:val="TAL"/>
            </w:pPr>
            <w:r w:rsidRPr="00873B6C">
              <w:t>Network instance (NOTE 1)</w:t>
            </w:r>
          </w:p>
        </w:tc>
        <w:tc>
          <w:tcPr>
            <w:tcW w:w="4389" w:type="dxa"/>
          </w:tcPr>
          <w:p w14:paraId="471DE79F" w14:textId="77777777" w:rsidR="003D4653" w:rsidRPr="00873B6C" w:rsidRDefault="003D4653" w:rsidP="00C9561D">
            <w:pPr>
              <w:pStyle w:val="TAL"/>
            </w:pPr>
            <w:r w:rsidRPr="00873B6C">
              <w:t>Identifies the Network instance associated with the incoming packet.</w:t>
            </w:r>
          </w:p>
        </w:tc>
        <w:tc>
          <w:tcPr>
            <w:tcW w:w="2977" w:type="dxa"/>
            <w:tcBorders>
              <w:top w:val="nil"/>
              <w:bottom w:val="nil"/>
            </w:tcBorders>
          </w:tcPr>
          <w:p w14:paraId="614BA483" w14:textId="77777777" w:rsidR="003D4653" w:rsidRPr="00873B6C" w:rsidRDefault="003D4653" w:rsidP="00C9561D">
            <w:pPr>
              <w:pStyle w:val="TAL"/>
            </w:pPr>
            <w:r w:rsidRPr="00873B6C">
              <w:t>Information and QFI are used for traffic detection.</w:t>
            </w:r>
          </w:p>
          <w:p w14:paraId="2DF3290E" w14:textId="77777777" w:rsidR="003D4653" w:rsidRPr="00873B6C" w:rsidRDefault="003D4653" w:rsidP="00C9561D">
            <w:pPr>
              <w:pStyle w:val="TAL"/>
            </w:pPr>
            <w:r w:rsidRPr="00873B6C">
              <w:t>Source interface identifies the</w:t>
            </w:r>
          </w:p>
        </w:tc>
      </w:tr>
      <w:tr w:rsidR="003D4653" w:rsidRPr="00873B6C" w14:paraId="3EF79ED0" w14:textId="77777777" w:rsidTr="00C9561D">
        <w:trPr>
          <w:cantSplit/>
          <w:jc w:val="center"/>
        </w:trPr>
        <w:tc>
          <w:tcPr>
            <w:tcW w:w="1242" w:type="dxa"/>
            <w:tcBorders>
              <w:top w:val="nil"/>
              <w:bottom w:val="nil"/>
            </w:tcBorders>
          </w:tcPr>
          <w:p w14:paraId="573356D9" w14:textId="77777777" w:rsidR="003D4653" w:rsidRPr="00873B6C" w:rsidRDefault="003D4653" w:rsidP="00C9561D">
            <w:pPr>
              <w:pStyle w:val="TAL"/>
            </w:pPr>
          </w:p>
        </w:tc>
        <w:tc>
          <w:tcPr>
            <w:tcW w:w="1423" w:type="dxa"/>
          </w:tcPr>
          <w:p w14:paraId="67979E18" w14:textId="77777777" w:rsidR="003D4653" w:rsidRPr="00873B6C" w:rsidRDefault="003D4653" w:rsidP="00C9561D">
            <w:pPr>
              <w:pStyle w:val="TAL"/>
            </w:pPr>
            <w:r w:rsidRPr="00873B6C">
              <w:t>CN tunnel info</w:t>
            </w:r>
          </w:p>
        </w:tc>
        <w:tc>
          <w:tcPr>
            <w:tcW w:w="4389" w:type="dxa"/>
          </w:tcPr>
          <w:p w14:paraId="3E98E1B3" w14:textId="77777777" w:rsidR="003D4653" w:rsidRPr="00873B6C" w:rsidRDefault="003D4653" w:rsidP="00C9561D">
            <w:pPr>
              <w:pStyle w:val="TAL"/>
            </w:pPr>
            <w:r w:rsidRPr="00873B6C">
              <w:t>CN tunnel info on N3, N9 interfaces, i.e. F-TEID.</w:t>
            </w:r>
          </w:p>
        </w:tc>
        <w:tc>
          <w:tcPr>
            <w:tcW w:w="2977" w:type="dxa"/>
            <w:tcBorders>
              <w:top w:val="nil"/>
              <w:bottom w:val="nil"/>
            </w:tcBorders>
          </w:tcPr>
          <w:p w14:paraId="0A1767D9" w14:textId="77777777" w:rsidR="003D4653" w:rsidRPr="00873B6C" w:rsidRDefault="003D4653" w:rsidP="00C9561D">
            <w:pPr>
              <w:pStyle w:val="TAL"/>
            </w:pPr>
            <w:r w:rsidRPr="00873B6C">
              <w:t>interface for incoming packets</w:t>
            </w:r>
          </w:p>
        </w:tc>
      </w:tr>
      <w:tr w:rsidR="003D4653" w:rsidRPr="00873B6C" w14:paraId="1B467AC2" w14:textId="77777777" w:rsidTr="00C9561D">
        <w:trPr>
          <w:cantSplit/>
          <w:jc w:val="center"/>
        </w:trPr>
        <w:tc>
          <w:tcPr>
            <w:tcW w:w="1242" w:type="dxa"/>
            <w:tcBorders>
              <w:top w:val="nil"/>
              <w:bottom w:val="nil"/>
            </w:tcBorders>
          </w:tcPr>
          <w:p w14:paraId="3C946722" w14:textId="77777777" w:rsidR="003D4653" w:rsidRPr="00873B6C" w:rsidRDefault="003D4653" w:rsidP="00C9561D">
            <w:pPr>
              <w:pStyle w:val="TAL"/>
            </w:pPr>
          </w:p>
        </w:tc>
        <w:tc>
          <w:tcPr>
            <w:tcW w:w="1423" w:type="dxa"/>
          </w:tcPr>
          <w:p w14:paraId="24454777" w14:textId="77777777" w:rsidR="003D4653" w:rsidRPr="00873B6C" w:rsidRDefault="003D4653" w:rsidP="00C9561D">
            <w:pPr>
              <w:pStyle w:val="TAL"/>
            </w:pPr>
            <w:r w:rsidRPr="00873B6C">
              <w:t>Packet Filter Set</w:t>
            </w:r>
          </w:p>
        </w:tc>
        <w:tc>
          <w:tcPr>
            <w:tcW w:w="4389" w:type="dxa"/>
          </w:tcPr>
          <w:p w14:paraId="10D357FB" w14:textId="77777777" w:rsidR="003D4653" w:rsidRPr="00873B6C" w:rsidRDefault="003D4653" w:rsidP="00C9561D">
            <w:pPr>
              <w:pStyle w:val="TAL"/>
            </w:pPr>
            <w:r w:rsidRPr="00873B6C">
              <w:t>Details see clause 5.7.6.</w:t>
            </w:r>
          </w:p>
        </w:tc>
        <w:tc>
          <w:tcPr>
            <w:tcW w:w="2977" w:type="dxa"/>
            <w:tcBorders>
              <w:top w:val="nil"/>
              <w:bottom w:val="nil"/>
            </w:tcBorders>
          </w:tcPr>
          <w:p w14:paraId="16E2F10F" w14:textId="77777777" w:rsidR="003D4653" w:rsidRPr="00873B6C" w:rsidRDefault="003D4653" w:rsidP="00C9561D">
            <w:pPr>
              <w:pStyle w:val="TAL"/>
            </w:pPr>
            <w:r w:rsidRPr="00873B6C">
              <w:t>where the PDR applies, e.g. from access side (i.e. up-link),</w:t>
            </w:r>
          </w:p>
        </w:tc>
      </w:tr>
      <w:tr w:rsidR="003D4653" w:rsidRPr="00873B6C" w14:paraId="001866E0" w14:textId="77777777" w:rsidTr="00C9561D">
        <w:trPr>
          <w:cantSplit/>
          <w:jc w:val="center"/>
        </w:trPr>
        <w:tc>
          <w:tcPr>
            <w:tcW w:w="1242" w:type="dxa"/>
            <w:tcBorders>
              <w:top w:val="nil"/>
              <w:bottom w:val="nil"/>
            </w:tcBorders>
          </w:tcPr>
          <w:p w14:paraId="79E021B1" w14:textId="77777777" w:rsidR="003D4653" w:rsidRPr="00873B6C" w:rsidRDefault="003D4653" w:rsidP="00C9561D">
            <w:pPr>
              <w:pStyle w:val="TAL"/>
            </w:pPr>
          </w:p>
        </w:tc>
        <w:tc>
          <w:tcPr>
            <w:tcW w:w="1423" w:type="dxa"/>
          </w:tcPr>
          <w:p w14:paraId="26796C81" w14:textId="77777777" w:rsidR="003D4653" w:rsidRPr="00873B6C" w:rsidRDefault="003D4653" w:rsidP="00C9561D">
            <w:pPr>
              <w:pStyle w:val="TAL"/>
            </w:pPr>
            <w:r w:rsidRPr="00873B6C">
              <w:t>Application identifier</w:t>
            </w:r>
          </w:p>
        </w:tc>
        <w:tc>
          <w:tcPr>
            <w:tcW w:w="4389" w:type="dxa"/>
          </w:tcPr>
          <w:p w14:paraId="1B44453E" w14:textId="77777777" w:rsidR="003D4653" w:rsidRPr="00873B6C" w:rsidRDefault="003D4653" w:rsidP="00C9561D">
            <w:pPr>
              <w:pStyle w:val="TAL"/>
            </w:pPr>
          </w:p>
        </w:tc>
        <w:tc>
          <w:tcPr>
            <w:tcW w:w="2977" w:type="dxa"/>
            <w:tcBorders>
              <w:top w:val="nil"/>
              <w:bottom w:val="nil"/>
            </w:tcBorders>
          </w:tcPr>
          <w:p w14:paraId="25210DBA" w14:textId="77777777" w:rsidR="003D4653" w:rsidRPr="00873B6C" w:rsidRDefault="003D4653" w:rsidP="00C9561D">
            <w:pPr>
              <w:pStyle w:val="TAL"/>
            </w:pPr>
            <w:r w:rsidRPr="00873B6C">
              <w:t>from core side (i.e. down-link),</w:t>
            </w:r>
          </w:p>
        </w:tc>
      </w:tr>
      <w:tr w:rsidR="003D4653" w:rsidRPr="00873B6C" w14:paraId="2CEC04B9" w14:textId="77777777" w:rsidTr="00C9561D">
        <w:trPr>
          <w:cantSplit/>
          <w:jc w:val="center"/>
        </w:trPr>
        <w:tc>
          <w:tcPr>
            <w:tcW w:w="1242" w:type="dxa"/>
            <w:tcBorders>
              <w:top w:val="nil"/>
              <w:bottom w:val="nil"/>
            </w:tcBorders>
          </w:tcPr>
          <w:p w14:paraId="432F4BBC" w14:textId="77777777" w:rsidR="003D4653" w:rsidRPr="00873B6C" w:rsidRDefault="003D4653" w:rsidP="00C9561D">
            <w:pPr>
              <w:pStyle w:val="TAL"/>
            </w:pPr>
          </w:p>
        </w:tc>
        <w:tc>
          <w:tcPr>
            <w:tcW w:w="1423" w:type="dxa"/>
          </w:tcPr>
          <w:p w14:paraId="08793329" w14:textId="77777777" w:rsidR="003D4653" w:rsidRPr="00873B6C" w:rsidRDefault="003D4653" w:rsidP="00C9561D">
            <w:pPr>
              <w:pStyle w:val="TAL"/>
            </w:pPr>
            <w:r w:rsidRPr="00873B6C">
              <w:t>QoS Flow ID</w:t>
            </w:r>
          </w:p>
        </w:tc>
        <w:tc>
          <w:tcPr>
            <w:tcW w:w="4389" w:type="dxa"/>
          </w:tcPr>
          <w:p w14:paraId="2CAC4E10" w14:textId="77777777" w:rsidR="003D4653" w:rsidRPr="00873B6C" w:rsidRDefault="003D4653" w:rsidP="00C9561D">
            <w:pPr>
              <w:pStyle w:val="TAL"/>
            </w:pPr>
            <w:r w:rsidRPr="00873B6C">
              <w:t>Contains the value of 5QI or non-standardized QFI.</w:t>
            </w:r>
          </w:p>
        </w:tc>
        <w:tc>
          <w:tcPr>
            <w:tcW w:w="2977" w:type="dxa"/>
            <w:tcBorders>
              <w:top w:val="nil"/>
              <w:bottom w:val="nil"/>
            </w:tcBorders>
          </w:tcPr>
          <w:p w14:paraId="693B8F0E" w14:textId="77777777" w:rsidR="003D4653" w:rsidRPr="00873B6C" w:rsidRDefault="003D4653" w:rsidP="00C9561D">
            <w:pPr>
              <w:pStyle w:val="TAL"/>
            </w:pPr>
            <w:r w:rsidRPr="00873B6C">
              <w:t>from SMF, from N6-LAN (i.e. the</w:t>
            </w:r>
          </w:p>
        </w:tc>
      </w:tr>
      <w:tr w:rsidR="003D4653" w:rsidRPr="00873B6C" w14:paraId="60E027E8" w14:textId="77777777" w:rsidTr="00C9561D">
        <w:trPr>
          <w:cantSplit/>
          <w:jc w:val="center"/>
        </w:trPr>
        <w:tc>
          <w:tcPr>
            <w:tcW w:w="1242" w:type="dxa"/>
            <w:tcBorders>
              <w:top w:val="nil"/>
              <w:bottom w:val="nil"/>
            </w:tcBorders>
          </w:tcPr>
          <w:p w14:paraId="757DF19D" w14:textId="77777777" w:rsidR="003D4653" w:rsidRPr="00873B6C" w:rsidRDefault="003D4653" w:rsidP="00C9561D">
            <w:pPr>
              <w:pStyle w:val="TAL"/>
            </w:pPr>
          </w:p>
        </w:tc>
        <w:tc>
          <w:tcPr>
            <w:tcW w:w="1423" w:type="dxa"/>
          </w:tcPr>
          <w:p w14:paraId="7BAB0E04" w14:textId="77777777" w:rsidR="003D4653" w:rsidRPr="00873B6C" w:rsidRDefault="003D4653" w:rsidP="00C9561D">
            <w:pPr>
              <w:pStyle w:val="TAL"/>
            </w:pPr>
            <w:r w:rsidRPr="00873B6C">
              <w:t>Ethernet PDU Session Information</w:t>
            </w:r>
          </w:p>
        </w:tc>
        <w:tc>
          <w:tcPr>
            <w:tcW w:w="4389" w:type="dxa"/>
          </w:tcPr>
          <w:p w14:paraId="6C45A490" w14:textId="77777777" w:rsidR="003D4653" w:rsidRPr="00873B6C" w:rsidRDefault="003D4653" w:rsidP="00C9561D">
            <w:pPr>
              <w:pStyle w:val="TAL"/>
            </w:pPr>
            <w:r w:rsidRPr="00873B6C">
              <w:t>Refers to all the (DL) Ethernet packets matching an Ethernet PDU session, as further described in clause 5.6.10.2 and in TS 29.244 [65].</w:t>
            </w:r>
          </w:p>
        </w:tc>
        <w:tc>
          <w:tcPr>
            <w:tcW w:w="2977" w:type="dxa"/>
            <w:tcBorders>
              <w:top w:val="nil"/>
              <w:bottom w:val="nil"/>
            </w:tcBorders>
          </w:tcPr>
          <w:p w14:paraId="46C724EB" w14:textId="77777777" w:rsidR="003D4653" w:rsidRPr="00873B6C" w:rsidRDefault="003D4653" w:rsidP="00C9561D">
            <w:pPr>
              <w:pStyle w:val="TAL"/>
            </w:pPr>
            <w:r w:rsidRPr="00873B6C">
              <w:t>DN), or from "5G VN internal" (i.e. local switch).</w:t>
            </w:r>
          </w:p>
        </w:tc>
      </w:tr>
      <w:tr w:rsidR="003D4653" w:rsidRPr="00873B6C" w14:paraId="574778A1" w14:textId="77777777" w:rsidTr="00C9561D">
        <w:trPr>
          <w:cantSplit/>
          <w:jc w:val="center"/>
        </w:trPr>
        <w:tc>
          <w:tcPr>
            <w:tcW w:w="1242" w:type="dxa"/>
            <w:tcBorders>
              <w:top w:val="nil"/>
              <w:bottom w:val="nil"/>
            </w:tcBorders>
          </w:tcPr>
          <w:p w14:paraId="1267D5A3" w14:textId="77777777" w:rsidR="003D4653" w:rsidRPr="00873B6C" w:rsidRDefault="003D4653" w:rsidP="00C9561D">
            <w:pPr>
              <w:pStyle w:val="TAL"/>
            </w:pPr>
          </w:p>
        </w:tc>
        <w:tc>
          <w:tcPr>
            <w:tcW w:w="1423" w:type="dxa"/>
            <w:tcBorders>
              <w:bottom w:val="nil"/>
            </w:tcBorders>
          </w:tcPr>
          <w:p w14:paraId="347B8656" w14:textId="77777777" w:rsidR="003D4653" w:rsidRPr="00873B6C" w:rsidRDefault="003D4653" w:rsidP="00C9561D">
            <w:pPr>
              <w:pStyle w:val="TAL"/>
            </w:pPr>
            <w:r w:rsidRPr="00873B6C">
              <w:t>Framed Route Information</w:t>
            </w:r>
          </w:p>
        </w:tc>
        <w:tc>
          <w:tcPr>
            <w:tcW w:w="4389" w:type="dxa"/>
            <w:tcBorders>
              <w:bottom w:val="nil"/>
            </w:tcBorders>
          </w:tcPr>
          <w:p w14:paraId="01DD6CF5" w14:textId="77777777" w:rsidR="003D4653" w:rsidRPr="00873B6C" w:rsidRDefault="003D4653" w:rsidP="00C9561D">
            <w:pPr>
              <w:pStyle w:val="TAL"/>
            </w:pPr>
            <w:r w:rsidRPr="00873B6C">
              <w:t>Refers to Framed Routes defined in clause 5.6.14.</w:t>
            </w:r>
          </w:p>
        </w:tc>
        <w:tc>
          <w:tcPr>
            <w:tcW w:w="2977" w:type="dxa"/>
            <w:tcBorders>
              <w:top w:val="nil"/>
              <w:bottom w:val="nil"/>
            </w:tcBorders>
          </w:tcPr>
          <w:p w14:paraId="26A9B312" w14:textId="77777777" w:rsidR="003D4653" w:rsidRPr="00873B6C" w:rsidRDefault="003D4653" w:rsidP="00C9561D">
            <w:pPr>
              <w:pStyle w:val="TAL"/>
            </w:pPr>
            <w:r w:rsidRPr="00873B6C">
              <w:t>Details like all the combination possibilities on N3, N9 interfaces are left for stage 3 decision.</w:t>
            </w:r>
          </w:p>
        </w:tc>
      </w:tr>
      <w:tr w:rsidR="00114986" w:rsidRPr="00873B6C" w14:paraId="1BEFB80F" w14:textId="77777777" w:rsidTr="00C9561D">
        <w:trPr>
          <w:cantSplit/>
          <w:jc w:val="center"/>
        </w:trPr>
        <w:tc>
          <w:tcPr>
            <w:tcW w:w="1242" w:type="dxa"/>
            <w:tcBorders>
              <w:top w:val="nil"/>
              <w:bottom w:val="nil"/>
            </w:tcBorders>
          </w:tcPr>
          <w:p w14:paraId="39837125" w14:textId="77777777" w:rsidR="00114986" w:rsidRPr="00873B6C" w:rsidRDefault="00114986" w:rsidP="00C9561D">
            <w:pPr>
              <w:pStyle w:val="TAL"/>
            </w:pPr>
          </w:p>
        </w:tc>
        <w:tc>
          <w:tcPr>
            <w:tcW w:w="1423" w:type="dxa"/>
            <w:tcBorders>
              <w:bottom w:val="nil"/>
            </w:tcBorders>
          </w:tcPr>
          <w:p w14:paraId="0298586F" w14:textId="2A331DE0" w:rsidR="00114986" w:rsidRPr="00873B6C" w:rsidRDefault="00114986" w:rsidP="00C9561D">
            <w:pPr>
              <w:pStyle w:val="TAL"/>
            </w:pPr>
            <w:r w:rsidRPr="00873B6C">
              <w:t>FQDN Filter for DNS Query</w:t>
            </w:r>
          </w:p>
        </w:tc>
        <w:tc>
          <w:tcPr>
            <w:tcW w:w="4389" w:type="dxa"/>
            <w:tcBorders>
              <w:bottom w:val="nil"/>
            </w:tcBorders>
          </w:tcPr>
          <w:p w14:paraId="29855272" w14:textId="61184333" w:rsidR="00114986" w:rsidRPr="00873B6C" w:rsidRDefault="00114986" w:rsidP="00C9561D">
            <w:pPr>
              <w:pStyle w:val="TAL"/>
            </w:pPr>
            <w:r w:rsidRPr="00873B6C">
              <w:t>Contains one or more FQDN, FQDN range</w:t>
            </w:r>
            <w:r w:rsidR="00472CD7" w:rsidRPr="00873B6C">
              <w:t xml:space="preserve"> and</w:t>
            </w:r>
            <w:r w:rsidRPr="00873B6C">
              <w:t>/or any FQDN.</w:t>
            </w:r>
          </w:p>
        </w:tc>
        <w:tc>
          <w:tcPr>
            <w:tcW w:w="2977" w:type="dxa"/>
            <w:tcBorders>
              <w:top w:val="nil"/>
              <w:bottom w:val="nil"/>
            </w:tcBorders>
          </w:tcPr>
          <w:p w14:paraId="7AB8BB20" w14:textId="66608399" w:rsidR="00114986" w:rsidRPr="00873B6C" w:rsidRDefault="00114986" w:rsidP="00C9561D">
            <w:pPr>
              <w:pStyle w:val="TAL"/>
            </w:pPr>
            <w:r w:rsidRPr="00873B6C">
              <w:t>The FQDN or FQDN range only used for detection of plain DNS Query message (i.e. not subject to ciphering). The usage is described in TS 23.548 [130].</w:t>
            </w:r>
          </w:p>
        </w:tc>
      </w:tr>
      <w:tr w:rsidR="00114986" w:rsidRPr="00873B6C" w14:paraId="12150C25" w14:textId="77777777" w:rsidTr="00C9561D">
        <w:trPr>
          <w:cantSplit/>
          <w:jc w:val="center"/>
        </w:trPr>
        <w:tc>
          <w:tcPr>
            <w:tcW w:w="1242" w:type="dxa"/>
            <w:tcBorders>
              <w:top w:val="nil"/>
              <w:bottom w:val="nil"/>
            </w:tcBorders>
          </w:tcPr>
          <w:p w14:paraId="6CEDB8DB" w14:textId="77777777" w:rsidR="00114986" w:rsidRPr="00873B6C" w:rsidRDefault="00114986" w:rsidP="00C9561D">
            <w:pPr>
              <w:pStyle w:val="TAL"/>
            </w:pPr>
          </w:p>
        </w:tc>
        <w:tc>
          <w:tcPr>
            <w:tcW w:w="1423" w:type="dxa"/>
            <w:tcBorders>
              <w:bottom w:val="nil"/>
            </w:tcBorders>
          </w:tcPr>
          <w:p w14:paraId="76D9A902" w14:textId="1BA2F10A" w:rsidR="00114986" w:rsidRPr="00873B6C" w:rsidRDefault="00114986" w:rsidP="00C9561D">
            <w:pPr>
              <w:pStyle w:val="TAL"/>
            </w:pPr>
            <w:r w:rsidRPr="00873B6C">
              <w:t>Protocol Description</w:t>
            </w:r>
          </w:p>
        </w:tc>
        <w:tc>
          <w:tcPr>
            <w:tcW w:w="4389" w:type="dxa"/>
            <w:tcBorders>
              <w:bottom w:val="nil"/>
            </w:tcBorders>
          </w:tcPr>
          <w:p w14:paraId="1735B0E2" w14:textId="246D47C7" w:rsidR="00114986" w:rsidRPr="00873B6C" w:rsidRDefault="00114986" w:rsidP="00C9561D">
            <w:pPr>
              <w:pStyle w:val="TAL"/>
            </w:pPr>
            <w:r w:rsidRPr="00873B6C">
              <w:t>Indicates service protocol used by the flow (NOTE 8).</w:t>
            </w:r>
          </w:p>
        </w:tc>
        <w:tc>
          <w:tcPr>
            <w:tcW w:w="2977" w:type="dxa"/>
            <w:tcBorders>
              <w:top w:val="nil"/>
              <w:bottom w:val="nil"/>
            </w:tcBorders>
          </w:tcPr>
          <w:p w14:paraId="01CF8B06" w14:textId="7062C244" w:rsidR="00114986" w:rsidRPr="00873B6C" w:rsidRDefault="00114986" w:rsidP="00C9561D">
            <w:pPr>
              <w:pStyle w:val="TAL"/>
            </w:pPr>
          </w:p>
        </w:tc>
      </w:tr>
      <w:tr w:rsidR="003D4653" w:rsidRPr="00873B6C" w14:paraId="72560460" w14:textId="77777777" w:rsidTr="00C9561D">
        <w:trPr>
          <w:cantSplit/>
          <w:jc w:val="center"/>
        </w:trPr>
        <w:tc>
          <w:tcPr>
            <w:tcW w:w="1242" w:type="dxa"/>
            <w:tcBorders>
              <w:top w:val="single" w:sz="4" w:space="0" w:color="auto"/>
              <w:bottom w:val="nil"/>
            </w:tcBorders>
          </w:tcPr>
          <w:p w14:paraId="6BEBA715" w14:textId="77777777" w:rsidR="003D4653" w:rsidRPr="00873B6C" w:rsidRDefault="003D4653" w:rsidP="00C9561D">
            <w:pPr>
              <w:pStyle w:val="TAL"/>
            </w:pPr>
            <w:r w:rsidRPr="00873B6C">
              <w:t>Packet replication and detection carry on information</w:t>
            </w:r>
          </w:p>
        </w:tc>
        <w:tc>
          <w:tcPr>
            <w:tcW w:w="1423" w:type="dxa"/>
            <w:tcBorders>
              <w:top w:val="single" w:sz="4" w:space="0" w:color="auto"/>
            </w:tcBorders>
          </w:tcPr>
          <w:p w14:paraId="4A75AE5D" w14:textId="77777777" w:rsidR="003D4653" w:rsidRPr="00873B6C" w:rsidRDefault="003D4653" w:rsidP="00C9561D">
            <w:pPr>
              <w:pStyle w:val="TAL"/>
            </w:pPr>
            <w:r w:rsidRPr="00873B6C">
              <w:t>Packet replication skip information NOTE 7</w:t>
            </w:r>
          </w:p>
        </w:tc>
        <w:tc>
          <w:tcPr>
            <w:tcW w:w="4389" w:type="dxa"/>
            <w:tcBorders>
              <w:top w:val="single" w:sz="4" w:space="0" w:color="auto"/>
            </w:tcBorders>
          </w:tcPr>
          <w:p w14:paraId="1FAF089E" w14:textId="77777777" w:rsidR="003D4653" w:rsidRPr="00873B6C" w:rsidRDefault="003D4653" w:rsidP="00C9561D">
            <w:pPr>
              <w:pStyle w:val="TAL"/>
            </w:pPr>
            <w:r w:rsidRPr="00873B6C">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18EA5F48" w14:textId="77777777" w:rsidR="003D4653" w:rsidRPr="00873B6C" w:rsidRDefault="003D4653" w:rsidP="00C9561D">
            <w:pPr>
              <w:pStyle w:val="TAL"/>
            </w:pPr>
          </w:p>
        </w:tc>
      </w:tr>
      <w:tr w:rsidR="003D4653" w:rsidRPr="00873B6C" w14:paraId="1386944E" w14:textId="77777777" w:rsidTr="00C9561D">
        <w:trPr>
          <w:cantSplit/>
          <w:jc w:val="center"/>
        </w:trPr>
        <w:tc>
          <w:tcPr>
            <w:tcW w:w="1242" w:type="dxa"/>
            <w:tcBorders>
              <w:top w:val="nil"/>
              <w:bottom w:val="nil"/>
            </w:tcBorders>
          </w:tcPr>
          <w:p w14:paraId="68F2D20E" w14:textId="77777777" w:rsidR="003D4653" w:rsidRPr="00873B6C" w:rsidRDefault="003D4653" w:rsidP="00C9561D">
            <w:pPr>
              <w:pStyle w:val="TAL"/>
            </w:pPr>
            <w:r w:rsidRPr="00873B6C">
              <w:t>NOTE 6</w:t>
            </w:r>
          </w:p>
        </w:tc>
        <w:tc>
          <w:tcPr>
            <w:tcW w:w="1423" w:type="dxa"/>
          </w:tcPr>
          <w:p w14:paraId="4671549A" w14:textId="77777777" w:rsidR="003D4653" w:rsidRPr="00873B6C" w:rsidRDefault="003D4653" w:rsidP="00C9561D">
            <w:pPr>
              <w:pStyle w:val="TAL"/>
            </w:pPr>
            <w:r w:rsidRPr="00873B6C">
              <w:t>Carry on indication</w:t>
            </w:r>
          </w:p>
        </w:tc>
        <w:tc>
          <w:tcPr>
            <w:tcW w:w="4389" w:type="dxa"/>
          </w:tcPr>
          <w:p w14:paraId="04C778E8" w14:textId="77777777" w:rsidR="003D4653" w:rsidRPr="00873B6C" w:rsidRDefault="003D4653" w:rsidP="00C9561D">
            <w:pPr>
              <w:pStyle w:val="TAL"/>
            </w:pPr>
            <w:r w:rsidRPr="00873B6C">
              <w:t>Instructs the UP function to continue the packet detection process, i.e. lookup of the other PDRs.</w:t>
            </w:r>
          </w:p>
        </w:tc>
        <w:tc>
          <w:tcPr>
            <w:tcW w:w="2977" w:type="dxa"/>
            <w:tcBorders>
              <w:top w:val="nil"/>
            </w:tcBorders>
          </w:tcPr>
          <w:p w14:paraId="73761167" w14:textId="77777777" w:rsidR="003D4653" w:rsidRPr="00873B6C" w:rsidRDefault="003D4653" w:rsidP="00C9561D">
            <w:pPr>
              <w:pStyle w:val="TAL"/>
            </w:pPr>
          </w:p>
        </w:tc>
      </w:tr>
      <w:tr w:rsidR="003D4653" w:rsidRPr="00873B6C" w14:paraId="25E0C38D" w14:textId="77777777" w:rsidTr="00C9561D">
        <w:trPr>
          <w:cantSplit/>
          <w:jc w:val="center"/>
        </w:trPr>
        <w:tc>
          <w:tcPr>
            <w:tcW w:w="2665" w:type="dxa"/>
            <w:gridSpan w:val="2"/>
          </w:tcPr>
          <w:p w14:paraId="2CF43FCA" w14:textId="77777777" w:rsidR="003D4653" w:rsidRPr="00873B6C" w:rsidRDefault="003D4653" w:rsidP="00C9561D">
            <w:pPr>
              <w:pStyle w:val="TAL"/>
            </w:pPr>
            <w:r w:rsidRPr="00873B6C">
              <w:t>Outer header removal</w:t>
            </w:r>
          </w:p>
        </w:tc>
        <w:tc>
          <w:tcPr>
            <w:tcW w:w="4389" w:type="dxa"/>
          </w:tcPr>
          <w:p w14:paraId="313FFEDA" w14:textId="77777777" w:rsidR="003D4653" w:rsidRPr="00873B6C" w:rsidRDefault="003D4653" w:rsidP="00C9561D">
            <w:pPr>
              <w:pStyle w:val="TAL"/>
            </w:pPr>
            <w:r w:rsidRPr="00873B6C">
              <w:t>Instructs the UP function to remove one or more outer header(s) (e.g. IP+UDP+GTP, IP + possibly UDP, VLAN tag), from the incoming packet.</w:t>
            </w:r>
          </w:p>
        </w:tc>
        <w:tc>
          <w:tcPr>
            <w:tcW w:w="2977" w:type="dxa"/>
          </w:tcPr>
          <w:p w14:paraId="7F20BC32" w14:textId="77777777" w:rsidR="003D4653" w:rsidRPr="00873B6C" w:rsidRDefault="003D4653" w:rsidP="00C9561D">
            <w:pPr>
              <w:pStyle w:val="TAL"/>
            </w:pPr>
            <w:r w:rsidRPr="00873B6C">
              <w:t xml:space="preserve">Any extension header shall be stored for this packet. </w:t>
            </w:r>
          </w:p>
        </w:tc>
      </w:tr>
      <w:tr w:rsidR="003D4653" w:rsidRPr="00873B6C" w14:paraId="6DD8C8DC" w14:textId="77777777" w:rsidTr="00C9561D">
        <w:trPr>
          <w:cantSplit/>
          <w:jc w:val="center"/>
        </w:trPr>
        <w:tc>
          <w:tcPr>
            <w:tcW w:w="2665" w:type="dxa"/>
            <w:gridSpan w:val="2"/>
          </w:tcPr>
          <w:p w14:paraId="3ABAB597" w14:textId="77777777" w:rsidR="003D4653" w:rsidRPr="00873B6C" w:rsidRDefault="003D4653" w:rsidP="00C9561D">
            <w:pPr>
              <w:pStyle w:val="TAL"/>
            </w:pPr>
            <w:r w:rsidRPr="00873B6C">
              <w:t>Forwarding Action Rule ID (NOTE 2)</w:t>
            </w:r>
          </w:p>
        </w:tc>
        <w:tc>
          <w:tcPr>
            <w:tcW w:w="4389" w:type="dxa"/>
          </w:tcPr>
          <w:p w14:paraId="27D532A1" w14:textId="77777777" w:rsidR="003D4653" w:rsidRPr="00873B6C" w:rsidRDefault="003D4653" w:rsidP="00C9561D">
            <w:pPr>
              <w:pStyle w:val="TAL"/>
            </w:pPr>
            <w:r w:rsidRPr="00873B6C">
              <w:t>The Forwarding Action Rule ID identifies a forwarding action that has to be applied.</w:t>
            </w:r>
          </w:p>
        </w:tc>
        <w:tc>
          <w:tcPr>
            <w:tcW w:w="2977" w:type="dxa"/>
          </w:tcPr>
          <w:p w14:paraId="39041CFC" w14:textId="77777777" w:rsidR="003D4653" w:rsidRPr="00873B6C" w:rsidRDefault="003D4653" w:rsidP="00C9561D">
            <w:pPr>
              <w:pStyle w:val="TAL"/>
            </w:pPr>
          </w:p>
        </w:tc>
      </w:tr>
      <w:tr w:rsidR="003D4653" w:rsidRPr="00873B6C" w14:paraId="6D1813D4" w14:textId="77777777" w:rsidTr="00C9561D">
        <w:trPr>
          <w:cantSplit/>
          <w:jc w:val="center"/>
        </w:trPr>
        <w:tc>
          <w:tcPr>
            <w:tcW w:w="2665" w:type="dxa"/>
            <w:gridSpan w:val="2"/>
          </w:tcPr>
          <w:p w14:paraId="309E8D8B" w14:textId="77777777" w:rsidR="003D4653" w:rsidRPr="00873B6C" w:rsidRDefault="003D4653" w:rsidP="00C9561D">
            <w:pPr>
              <w:pStyle w:val="TAL"/>
            </w:pPr>
            <w:r w:rsidRPr="00873B6C">
              <w:t>Multi-Access Rule ID (NOTE 2)</w:t>
            </w:r>
          </w:p>
        </w:tc>
        <w:tc>
          <w:tcPr>
            <w:tcW w:w="4389" w:type="dxa"/>
          </w:tcPr>
          <w:p w14:paraId="4DA8DD72" w14:textId="77777777" w:rsidR="003D4653" w:rsidRPr="00873B6C" w:rsidRDefault="003D4653" w:rsidP="00C9561D">
            <w:pPr>
              <w:pStyle w:val="TAL"/>
            </w:pPr>
            <w:r w:rsidRPr="00873B6C">
              <w:t>The Multi-Access Rule ID identifies an action to be applied for handling forwarding for a MA PDU Session.</w:t>
            </w:r>
          </w:p>
        </w:tc>
        <w:tc>
          <w:tcPr>
            <w:tcW w:w="2977" w:type="dxa"/>
          </w:tcPr>
          <w:p w14:paraId="624430FC" w14:textId="77777777" w:rsidR="003D4653" w:rsidRPr="00873B6C" w:rsidRDefault="003D4653" w:rsidP="00C9561D">
            <w:pPr>
              <w:pStyle w:val="TAL"/>
            </w:pPr>
          </w:p>
        </w:tc>
      </w:tr>
      <w:tr w:rsidR="003D4653" w:rsidRPr="00873B6C" w14:paraId="3E426B42" w14:textId="77777777" w:rsidTr="00C9561D">
        <w:trPr>
          <w:cantSplit/>
          <w:jc w:val="center"/>
        </w:trPr>
        <w:tc>
          <w:tcPr>
            <w:tcW w:w="2665" w:type="dxa"/>
            <w:gridSpan w:val="2"/>
          </w:tcPr>
          <w:p w14:paraId="4FBD9584" w14:textId="77777777" w:rsidR="003D4653" w:rsidRPr="00873B6C" w:rsidRDefault="003D4653" w:rsidP="00C9561D">
            <w:pPr>
              <w:pStyle w:val="TAL"/>
            </w:pPr>
            <w:r w:rsidRPr="00873B6C">
              <w:t>List of Usage Reporting Rule ID(s)</w:t>
            </w:r>
          </w:p>
        </w:tc>
        <w:tc>
          <w:tcPr>
            <w:tcW w:w="4389" w:type="dxa"/>
          </w:tcPr>
          <w:p w14:paraId="371DB934" w14:textId="77777777" w:rsidR="003D4653" w:rsidRPr="00873B6C" w:rsidRDefault="003D4653" w:rsidP="00C9561D">
            <w:pPr>
              <w:pStyle w:val="TAL"/>
            </w:pPr>
            <w:r w:rsidRPr="00873B6C">
              <w:t>Every Usage Reporting Rule ID identifies a measurement action that has to be applied.</w:t>
            </w:r>
          </w:p>
        </w:tc>
        <w:tc>
          <w:tcPr>
            <w:tcW w:w="2977" w:type="dxa"/>
          </w:tcPr>
          <w:p w14:paraId="0A56C7FA" w14:textId="77777777" w:rsidR="003D4653" w:rsidRPr="00873B6C" w:rsidRDefault="003D4653" w:rsidP="00C9561D">
            <w:pPr>
              <w:pStyle w:val="TAL"/>
            </w:pPr>
          </w:p>
        </w:tc>
      </w:tr>
      <w:tr w:rsidR="003D4653" w:rsidRPr="00873B6C" w14:paraId="2916EA4D" w14:textId="77777777" w:rsidTr="00C9561D">
        <w:trPr>
          <w:cantSplit/>
          <w:jc w:val="center"/>
        </w:trPr>
        <w:tc>
          <w:tcPr>
            <w:tcW w:w="2665" w:type="dxa"/>
            <w:gridSpan w:val="2"/>
          </w:tcPr>
          <w:p w14:paraId="1519879D" w14:textId="77777777" w:rsidR="003D4653" w:rsidRPr="00873B6C" w:rsidRDefault="003D4653" w:rsidP="00C9561D">
            <w:pPr>
              <w:pStyle w:val="TAL"/>
            </w:pPr>
            <w:r w:rsidRPr="00873B6C">
              <w:t>List of QoS Enforcement Rule ID(s)</w:t>
            </w:r>
          </w:p>
        </w:tc>
        <w:tc>
          <w:tcPr>
            <w:tcW w:w="4389" w:type="dxa"/>
          </w:tcPr>
          <w:p w14:paraId="0F745433" w14:textId="77777777" w:rsidR="003D4653" w:rsidRPr="00873B6C" w:rsidRDefault="003D4653" w:rsidP="00C9561D">
            <w:pPr>
              <w:pStyle w:val="TAL"/>
            </w:pPr>
            <w:r w:rsidRPr="00873B6C">
              <w:t>Every QoS Enforcement Rule ID identifies a QoS enforcement action that has to be applied.</w:t>
            </w:r>
          </w:p>
        </w:tc>
        <w:tc>
          <w:tcPr>
            <w:tcW w:w="2977" w:type="dxa"/>
          </w:tcPr>
          <w:p w14:paraId="7CCEEAE9" w14:textId="77777777" w:rsidR="003D4653" w:rsidRPr="00873B6C" w:rsidRDefault="003D4653" w:rsidP="00C9561D">
            <w:pPr>
              <w:pStyle w:val="TAL"/>
            </w:pPr>
          </w:p>
        </w:tc>
      </w:tr>
      <w:tr w:rsidR="003D4653" w:rsidRPr="00873B6C" w14:paraId="10A411FF" w14:textId="77777777" w:rsidTr="00C9561D">
        <w:trPr>
          <w:cantSplit/>
          <w:jc w:val="center"/>
        </w:trPr>
        <w:tc>
          <w:tcPr>
            <w:tcW w:w="10031" w:type="dxa"/>
            <w:gridSpan w:val="4"/>
          </w:tcPr>
          <w:p w14:paraId="3B0E8A9A" w14:textId="77777777" w:rsidR="003D4653" w:rsidRPr="00873B6C" w:rsidRDefault="003D4653" w:rsidP="00C9561D">
            <w:pPr>
              <w:pStyle w:val="TAN"/>
            </w:pPr>
            <w:r w:rsidRPr="00873B6C">
              <w:lastRenderedPageBreak/>
              <w:t>NOTE 1:</w:t>
            </w:r>
            <w:r w:rsidRPr="00873B6C">
              <w:tab/>
              <w:t>Needed e.g. if:</w:t>
            </w:r>
          </w:p>
          <w:p w14:paraId="37E7F6D6" w14:textId="77777777" w:rsidR="003D4653" w:rsidRPr="00873B6C" w:rsidRDefault="003D4653" w:rsidP="00C9561D">
            <w:pPr>
              <w:pStyle w:val="TAN"/>
            </w:pPr>
            <w:r w:rsidRPr="00873B6C">
              <w:tab/>
              <w:t>-</w:t>
            </w:r>
            <w:r w:rsidRPr="00873B6C">
              <w:tab/>
              <w:t>UPF supports multiple DNN with overlapping IP addresses;</w:t>
            </w:r>
          </w:p>
          <w:p w14:paraId="58F52EC1" w14:textId="77777777" w:rsidR="003D4653" w:rsidRPr="00873B6C" w:rsidRDefault="003D4653" w:rsidP="00C9561D">
            <w:pPr>
              <w:pStyle w:val="TAN"/>
            </w:pPr>
            <w:r w:rsidRPr="00873B6C">
              <w:tab/>
              <w:t>-</w:t>
            </w:r>
            <w:r w:rsidRPr="00873B6C">
              <w:tab/>
              <w:t>UPF is connected to other UPF or AN node in different IP domains.</w:t>
            </w:r>
          </w:p>
          <w:p w14:paraId="510F9919" w14:textId="77777777" w:rsidR="003D4653" w:rsidRPr="00873B6C" w:rsidRDefault="003D4653" w:rsidP="00C9561D">
            <w:pPr>
              <w:pStyle w:val="TAN"/>
            </w:pPr>
            <w:r w:rsidRPr="00873B6C">
              <w:tab/>
              <w:t>-</w:t>
            </w:r>
            <w:r w:rsidRPr="00873B6C">
              <w:tab/>
              <w:t>UPF "local switch", N6-based forwarding and N19 forwarding is used for different 5G LAN groups.</w:t>
            </w:r>
          </w:p>
          <w:p w14:paraId="3EA962BE" w14:textId="44273C7D" w:rsidR="00A13197" w:rsidRPr="00873B6C" w:rsidRDefault="00A13197" w:rsidP="00C9561D">
            <w:pPr>
              <w:pStyle w:val="TAN"/>
            </w:pPr>
            <w:r w:rsidRPr="00873B6C">
              <w:tab/>
              <w:t>-</w:t>
            </w:r>
            <w:r w:rsidRPr="00873B6C">
              <w:tab/>
              <w:t>UPF "local switch" may be used for DNN/S-NSSAI dedicated for PIN.</w:t>
            </w:r>
          </w:p>
          <w:p w14:paraId="5E713F01" w14:textId="77777777" w:rsidR="003D4653" w:rsidRPr="00873B6C" w:rsidRDefault="003D4653" w:rsidP="00C9561D">
            <w:pPr>
              <w:pStyle w:val="TAN"/>
            </w:pPr>
            <w:r w:rsidRPr="00873B6C">
              <w:t>NOTE 2:</w:t>
            </w:r>
            <w:r w:rsidRPr="00873B6C">
              <w:tab/>
              <w:t>Either a FAR ID or a MAR ID is included, not both.</w:t>
            </w:r>
          </w:p>
          <w:p w14:paraId="398AEAEC" w14:textId="77777777" w:rsidR="003D4653" w:rsidRPr="00873B6C" w:rsidRDefault="003D4653" w:rsidP="00C9561D">
            <w:pPr>
              <w:pStyle w:val="TAN"/>
            </w:pPr>
            <w:r w:rsidRPr="00873B6C">
              <w:t>NOTE 3:</w:t>
            </w:r>
            <w:r w:rsidRPr="00873B6C">
              <w:tab/>
              <w:t>The SMF may provide an indication asking the UPF to allocate one IPv4 address and/or IPv6 prefix. When asking to provide an IPv6 Prefix the SMF provides also an IPv6 prefix length.</w:t>
            </w:r>
          </w:p>
          <w:p w14:paraId="2163263E" w14:textId="77777777" w:rsidR="003D4653" w:rsidRPr="00873B6C" w:rsidRDefault="003D4653" w:rsidP="00C9561D">
            <w:pPr>
              <w:pStyle w:val="TAN"/>
            </w:pPr>
            <w:r w:rsidRPr="00873B6C">
              <w:t>NOTE 4:</w:t>
            </w:r>
            <w:r w:rsidRPr="00873B6C">
              <w:tab/>
              <w:t>When in the architecture defined in clause 5.34, a PDR is sent over N16a from SMF to I-SMF, the Packet Detection Information may indicate that CN tunnel info is to be locally determined. This is further defined in clause 5.34.6.</w:t>
            </w:r>
          </w:p>
          <w:p w14:paraId="73BEEF70" w14:textId="77777777" w:rsidR="003D4653" w:rsidRPr="00873B6C" w:rsidRDefault="003D4653" w:rsidP="00C9561D">
            <w:pPr>
              <w:pStyle w:val="TAN"/>
            </w:pPr>
            <w:r w:rsidRPr="00873B6C">
              <w:t>NOTE 5:</w:t>
            </w:r>
            <w:r w:rsidRPr="00873B6C">
              <w:tab/>
              <w:t>In the architecture defined in clause 5.34, the rules exchanged between I-SMF and SMF are not associated with a N4 Session ID but are associated with a N16a association.</w:t>
            </w:r>
          </w:p>
          <w:p w14:paraId="7EF4907F" w14:textId="77777777" w:rsidR="003D4653" w:rsidRPr="00873B6C" w:rsidRDefault="003D4653" w:rsidP="00C9561D">
            <w:pPr>
              <w:pStyle w:val="TAN"/>
            </w:pPr>
            <w:r w:rsidRPr="00873B6C">
              <w:t>NOTE 6:</w:t>
            </w:r>
            <w:r w:rsidRPr="00873B6C">
              <w:tab/>
              <w:t>Needed in the case of support for broadcast/multicast traffic forwarding using packet replication with SMF-provided PDRs and FARs as described in clause 5.8.2.13.3.2.</w:t>
            </w:r>
          </w:p>
          <w:p w14:paraId="07585F3C" w14:textId="77777777" w:rsidR="003D4653" w:rsidRPr="00873B6C" w:rsidRDefault="003D4653" w:rsidP="00C9561D">
            <w:pPr>
              <w:pStyle w:val="TAN"/>
            </w:pPr>
            <w:r w:rsidRPr="00873B6C">
              <w:t>NOTE 7:</w:t>
            </w:r>
            <w:r w:rsidRPr="00873B6C">
              <w:tab/>
              <w:t>Needed in the case of packet replication with SMF-provided PDRs and FARs as described in clause 5.8.2.13.3.2, to prevent UPF from sending the broadcast/multicast packets back to the source UE or source N19/N6.</w:t>
            </w:r>
          </w:p>
          <w:p w14:paraId="644A4774" w14:textId="68F50A21" w:rsidR="003D4653" w:rsidRPr="00873B6C" w:rsidRDefault="003D4653" w:rsidP="00C9561D">
            <w:pPr>
              <w:pStyle w:val="TAN"/>
            </w:pPr>
            <w:r w:rsidRPr="00873B6C">
              <w:t>NOTE 8:</w:t>
            </w:r>
            <w:r w:rsidRPr="00873B6C">
              <w:tab/>
            </w:r>
            <w:r w:rsidR="00114986" w:rsidRPr="00873B6C">
              <w:t xml:space="preserve">Not for PDR matching. It may </w:t>
            </w:r>
            <w:r w:rsidRPr="00873B6C">
              <w:t>be provided</w:t>
            </w:r>
            <w:r w:rsidR="00114986" w:rsidRPr="00873B6C">
              <w:t xml:space="preserve"> to assist PDU Set identification</w:t>
            </w:r>
            <w:r w:rsidRPr="00873B6C">
              <w:t xml:space="preserve"> when PDU Set Identification</w:t>
            </w:r>
            <w:r w:rsidR="00114986" w:rsidRPr="00873B6C">
              <w:t xml:space="preserve"> and</w:t>
            </w:r>
            <w:r w:rsidRPr="00873B6C">
              <w:t xml:space="preserve"> marking applies to the PDR</w:t>
            </w:r>
            <w:r w:rsidR="003D49E0" w:rsidRPr="00873B6C">
              <w:t xml:space="preserve"> and/or to assist identification of the last packet of the Data burst in downlink when End of Data Burst identification and marking in downlink applies to the PDR</w:t>
            </w:r>
            <w:r w:rsidRPr="00873B6C">
              <w:t>.</w:t>
            </w:r>
            <w:r w:rsidR="00114986" w:rsidRPr="00873B6C">
              <w:t xml:space="preserve"> See</w:t>
            </w:r>
            <w:r w:rsidR="003D49E0" w:rsidRPr="00873B6C">
              <w:t xml:space="preserve"> clause 5.8.2.4.2 and</w:t>
            </w:r>
            <w:r w:rsidR="00114986" w:rsidRPr="00873B6C">
              <w:t xml:space="preserve"> TS 26.522 [179].</w:t>
            </w:r>
          </w:p>
        </w:tc>
      </w:tr>
    </w:tbl>
    <w:p w14:paraId="015329D9" w14:textId="77777777" w:rsidR="003D4653" w:rsidRPr="00873B6C" w:rsidRDefault="003D4653" w:rsidP="003D4653">
      <w:pPr>
        <w:pStyle w:val="FP"/>
      </w:pPr>
    </w:p>
    <w:p w14:paraId="6E7924DF" w14:textId="77777777" w:rsidR="003D4653" w:rsidRPr="00873B6C" w:rsidRDefault="003D4653" w:rsidP="00972E70">
      <w:pPr>
        <w:pStyle w:val="Heading4"/>
      </w:pPr>
      <w:bookmarkStart w:id="2306" w:name="_CR5_8_5_4"/>
      <w:bookmarkStart w:id="2307" w:name="_Toc201157218"/>
      <w:bookmarkEnd w:id="2306"/>
      <w:r w:rsidRPr="00873B6C">
        <w:t>5.8.5.4</w:t>
      </w:r>
      <w:r w:rsidRPr="00873B6C">
        <w:tab/>
        <w:t>QoS Enforcement Rule</w:t>
      </w:r>
      <w:bookmarkEnd w:id="2307"/>
    </w:p>
    <w:p w14:paraId="38888450" w14:textId="77777777" w:rsidR="003D4653" w:rsidRPr="00873B6C" w:rsidRDefault="003D4653" w:rsidP="003D4653">
      <w:pPr>
        <w:rPr>
          <w:lang w:eastAsia="x-none"/>
        </w:rPr>
      </w:pPr>
      <w:r w:rsidRPr="00873B6C">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6848B578" w14:textId="77777777" w:rsidR="003D4653" w:rsidRPr="00873B6C" w:rsidRDefault="003D4653" w:rsidP="003D4653">
      <w:pPr>
        <w:pStyle w:val="TH"/>
      </w:pPr>
      <w:bookmarkStart w:id="2308" w:name="_CRTable5_8_5_41"/>
      <w:r w:rsidRPr="00873B6C">
        <w:lastRenderedPageBreak/>
        <w:t xml:space="preserve">Table </w:t>
      </w:r>
      <w:bookmarkEnd w:id="2308"/>
      <w:r w:rsidRPr="00873B6C">
        <w:t>5.8.5.4-1: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3D4653" w:rsidRPr="00873B6C" w14:paraId="1E144AC2" w14:textId="77777777" w:rsidTr="00C9561D">
        <w:trPr>
          <w:cantSplit/>
          <w:jc w:val="center"/>
        </w:trPr>
        <w:tc>
          <w:tcPr>
            <w:tcW w:w="2603" w:type="dxa"/>
          </w:tcPr>
          <w:p w14:paraId="4866B694" w14:textId="77777777" w:rsidR="003D4653" w:rsidRPr="00873B6C" w:rsidRDefault="003D4653" w:rsidP="00C9561D">
            <w:pPr>
              <w:pStyle w:val="TAH"/>
            </w:pPr>
            <w:r w:rsidRPr="00873B6C">
              <w:lastRenderedPageBreak/>
              <w:t>Attribute</w:t>
            </w:r>
          </w:p>
        </w:tc>
        <w:tc>
          <w:tcPr>
            <w:tcW w:w="4126" w:type="dxa"/>
          </w:tcPr>
          <w:p w14:paraId="27771A84" w14:textId="77777777" w:rsidR="003D4653" w:rsidRPr="00873B6C" w:rsidRDefault="003D4653" w:rsidP="00C9561D">
            <w:pPr>
              <w:pStyle w:val="TAH"/>
            </w:pPr>
            <w:r w:rsidRPr="00873B6C">
              <w:t>Description</w:t>
            </w:r>
          </w:p>
        </w:tc>
        <w:tc>
          <w:tcPr>
            <w:tcW w:w="2902" w:type="dxa"/>
          </w:tcPr>
          <w:p w14:paraId="1F41101F" w14:textId="77777777" w:rsidR="003D4653" w:rsidRPr="00873B6C" w:rsidRDefault="003D4653" w:rsidP="00C9561D">
            <w:pPr>
              <w:pStyle w:val="TAH"/>
            </w:pPr>
            <w:r w:rsidRPr="00873B6C">
              <w:t>Comment</w:t>
            </w:r>
          </w:p>
        </w:tc>
      </w:tr>
      <w:tr w:rsidR="003D4653" w:rsidRPr="00873B6C" w14:paraId="3A8B8DAC" w14:textId="77777777" w:rsidTr="00C9561D">
        <w:trPr>
          <w:cantSplit/>
          <w:jc w:val="center"/>
        </w:trPr>
        <w:tc>
          <w:tcPr>
            <w:tcW w:w="2603" w:type="dxa"/>
          </w:tcPr>
          <w:p w14:paraId="0B84B19F" w14:textId="77777777" w:rsidR="003D4653" w:rsidRPr="00873B6C" w:rsidRDefault="003D4653" w:rsidP="00C9561D">
            <w:pPr>
              <w:pStyle w:val="TAL"/>
            </w:pPr>
            <w:r w:rsidRPr="00873B6C">
              <w:t>N4 Session ID</w:t>
            </w:r>
          </w:p>
        </w:tc>
        <w:tc>
          <w:tcPr>
            <w:tcW w:w="4126" w:type="dxa"/>
          </w:tcPr>
          <w:p w14:paraId="7C9EDCA0" w14:textId="77777777" w:rsidR="003D4653" w:rsidRPr="00873B6C" w:rsidRDefault="003D4653" w:rsidP="00C9561D">
            <w:pPr>
              <w:pStyle w:val="TAL"/>
            </w:pPr>
            <w:r w:rsidRPr="00873B6C">
              <w:t>Identifies the N4 session associated to this QER</w:t>
            </w:r>
          </w:p>
        </w:tc>
        <w:tc>
          <w:tcPr>
            <w:tcW w:w="2902" w:type="dxa"/>
          </w:tcPr>
          <w:p w14:paraId="7582EB58" w14:textId="77777777" w:rsidR="003D4653" w:rsidRPr="00873B6C" w:rsidRDefault="003D4653" w:rsidP="00C9561D">
            <w:pPr>
              <w:pStyle w:val="TAL"/>
            </w:pPr>
          </w:p>
        </w:tc>
      </w:tr>
      <w:tr w:rsidR="003D4653" w:rsidRPr="00873B6C" w14:paraId="2D1A6272" w14:textId="77777777" w:rsidTr="00C9561D">
        <w:trPr>
          <w:cantSplit/>
          <w:jc w:val="center"/>
        </w:trPr>
        <w:tc>
          <w:tcPr>
            <w:tcW w:w="2603" w:type="dxa"/>
          </w:tcPr>
          <w:p w14:paraId="16C6DF52" w14:textId="77777777" w:rsidR="003D4653" w:rsidRPr="00873B6C" w:rsidRDefault="003D4653" w:rsidP="00C9561D">
            <w:pPr>
              <w:pStyle w:val="TAL"/>
            </w:pPr>
            <w:r w:rsidRPr="00873B6C">
              <w:t>Rule ID</w:t>
            </w:r>
          </w:p>
        </w:tc>
        <w:tc>
          <w:tcPr>
            <w:tcW w:w="4126" w:type="dxa"/>
          </w:tcPr>
          <w:p w14:paraId="66720C7A" w14:textId="77777777" w:rsidR="003D4653" w:rsidRPr="00873B6C" w:rsidRDefault="003D4653" w:rsidP="00C9561D">
            <w:pPr>
              <w:pStyle w:val="TAL"/>
            </w:pPr>
            <w:r w:rsidRPr="00873B6C">
              <w:t>Unique identifier to identify this information.</w:t>
            </w:r>
          </w:p>
        </w:tc>
        <w:tc>
          <w:tcPr>
            <w:tcW w:w="2902" w:type="dxa"/>
          </w:tcPr>
          <w:p w14:paraId="40558D4C" w14:textId="77777777" w:rsidR="003D4653" w:rsidRPr="00873B6C" w:rsidRDefault="003D4653" w:rsidP="00C9561D">
            <w:pPr>
              <w:pStyle w:val="TAL"/>
            </w:pPr>
          </w:p>
        </w:tc>
      </w:tr>
      <w:tr w:rsidR="003D4653" w:rsidRPr="00873B6C" w14:paraId="7EB6A80F" w14:textId="77777777" w:rsidTr="00C9561D">
        <w:trPr>
          <w:cantSplit/>
          <w:jc w:val="center"/>
        </w:trPr>
        <w:tc>
          <w:tcPr>
            <w:tcW w:w="2603" w:type="dxa"/>
          </w:tcPr>
          <w:p w14:paraId="683F6DFA" w14:textId="77777777" w:rsidR="003D4653" w:rsidRPr="00873B6C" w:rsidRDefault="003D4653" w:rsidP="00C9561D">
            <w:pPr>
              <w:pStyle w:val="TAL"/>
            </w:pPr>
            <w:r w:rsidRPr="00873B6C">
              <w:t>QoS Enforcement Rule correlation ID (NOTE 1)</w:t>
            </w:r>
          </w:p>
        </w:tc>
        <w:tc>
          <w:tcPr>
            <w:tcW w:w="4126" w:type="dxa"/>
          </w:tcPr>
          <w:p w14:paraId="646B035C" w14:textId="77777777" w:rsidR="003D4653" w:rsidRPr="00873B6C" w:rsidRDefault="003D4653" w:rsidP="00C9561D">
            <w:pPr>
              <w:pStyle w:val="TAL"/>
            </w:pPr>
            <w:r w:rsidRPr="00873B6C">
              <w:t>An identity allowing the UP function to correlate multiple Sessions for the same UE and APN.</w:t>
            </w:r>
          </w:p>
        </w:tc>
        <w:tc>
          <w:tcPr>
            <w:tcW w:w="2902" w:type="dxa"/>
          </w:tcPr>
          <w:p w14:paraId="786CBDB4" w14:textId="77777777" w:rsidR="003D4653" w:rsidRPr="00873B6C" w:rsidRDefault="003D4653" w:rsidP="00C9561D">
            <w:pPr>
              <w:pStyle w:val="TAL"/>
            </w:pPr>
            <w:r w:rsidRPr="00873B6C">
              <w:t>Is used to correlate QoS Enforcement Rules for APN-AMBR enforcement.</w:t>
            </w:r>
          </w:p>
        </w:tc>
      </w:tr>
      <w:tr w:rsidR="003D4653" w:rsidRPr="00873B6C" w14:paraId="3FFE089F" w14:textId="77777777" w:rsidTr="00C9561D">
        <w:trPr>
          <w:cantSplit/>
          <w:jc w:val="center"/>
        </w:trPr>
        <w:tc>
          <w:tcPr>
            <w:tcW w:w="2603" w:type="dxa"/>
          </w:tcPr>
          <w:p w14:paraId="405A4973" w14:textId="77777777" w:rsidR="003D4653" w:rsidRPr="00873B6C" w:rsidRDefault="003D4653" w:rsidP="00C9561D">
            <w:pPr>
              <w:pStyle w:val="TAL"/>
            </w:pPr>
            <w:r w:rsidRPr="00873B6C">
              <w:t>Gate status UL/DL</w:t>
            </w:r>
          </w:p>
        </w:tc>
        <w:tc>
          <w:tcPr>
            <w:tcW w:w="4126" w:type="dxa"/>
          </w:tcPr>
          <w:p w14:paraId="62C0A04F" w14:textId="77777777" w:rsidR="003D4653" w:rsidRPr="00873B6C" w:rsidRDefault="003D4653" w:rsidP="00C9561D">
            <w:pPr>
              <w:pStyle w:val="TAL"/>
            </w:pPr>
            <w:r w:rsidRPr="00873B6C">
              <w:t>Instructs the UP function to let the flow pass or to block the flow.</w:t>
            </w:r>
          </w:p>
        </w:tc>
        <w:tc>
          <w:tcPr>
            <w:tcW w:w="2902" w:type="dxa"/>
          </w:tcPr>
          <w:p w14:paraId="12D2E73F" w14:textId="77777777" w:rsidR="003D4653" w:rsidRPr="00873B6C" w:rsidRDefault="003D4653" w:rsidP="00C9561D">
            <w:pPr>
              <w:pStyle w:val="TAL"/>
            </w:pPr>
            <w:r w:rsidRPr="00873B6C">
              <w:t>Values are: open, close, close after measurement report (for termination action "discard").</w:t>
            </w:r>
          </w:p>
        </w:tc>
      </w:tr>
      <w:tr w:rsidR="003D4653" w:rsidRPr="00873B6C" w14:paraId="156501AC" w14:textId="77777777" w:rsidTr="00C9561D">
        <w:trPr>
          <w:cantSplit/>
          <w:jc w:val="center"/>
        </w:trPr>
        <w:tc>
          <w:tcPr>
            <w:tcW w:w="2603" w:type="dxa"/>
          </w:tcPr>
          <w:p w14:paraId="0F9D8019" w14:textId="77777777" w:rsidR="003D4653" w:rsidRPr="00873B6C" w:rsidRDefault="003D4653" w:rsidP="00C9561D">
            <w:pPr>
              <w:pStyle w:val="TAL"/>
            </w:pPr>
            <w:bookmarkStart w:id="2309" w:name="_PERM_MCCTEMPBM_CRPT38860003___2" w:colFirst="2" w:colLast="2"/>
            <w:bookmarkStart w:id="2310" w:name="_PERM_MCCTEMPBM_CRPT75020000___2" w:colFirst="2" w:colLast="2"/>
            <w:bookmarkStart w:id="2311" w:name="_PERM_MCCTEMPBM_CRPT37790000___2" w:colFirst="2" w:colLast="2"/>
            <w:bookmarkStart w:id="2312" w:name="_PERM_MCCTEMPBM_CRPT73640000___2" w:colFirst="2" w:colLast="2"/>
            <w:r w:rsidRPr="00873B6C">
              <w:t>Maximum bitrate</w:t>
            </w:r>
          </w:p>
        </w:tc>
        <w:tc>
          <w:tcPr>
            <w:tcW w:w="4126" w:type="dxa"/>
          </w:tcPr>
          <w:p w14:paraId="28480BBC" w14:textId="77777777" w:rsidR="003D4653" w:rsidRPr="00873B6C" w:rsidRDefault="003D4653" w:rsidP="00C9561D">
            <w:pPr>
              <w:pStyle w:val="TAL"/>
            </w:pPr>
            <w:r w:rsidRPr="00873B6C">
              <w:t>The uplink/downlink maximum bitrate to be enforced for the packets.</w:t>
            </w:r>
          </w:p>
        </w:tc>
        <w:tc>
          <w:tcPr>
            <w:tcW w:w="2902" w:type="dxa"/>
          </w:tcPr>
          <w:p w14:paraId="6EF6FE2A" w14:textId="77777777" w:rsidR="003D4653" w:rsidRPr="00873B6C" w:rsidRDefault="003D4653" w:rsidP="00C9561D">
            <w:pPr>
              <w:pStyle w:val="TAL"/>
            </w:pPr>
            <w:r w:rsidRPr="00873B6C">
              <w:t>This field may e.g. contain any one of:</w:t>
            </w:r>
          </w:p>
          <w:p w14:paraId="14818D6B" w14:textId="77777777" w:rsidR="003D4653" w:rsidRPr="00873B6C" w:rsidRDefault="003D4653" w:rsidP="00C9561D">
            <w:pPr>
              <w:pStyle w:val="TAL"/>
              <w:ind w:left="316" w:hanging="316"/>
            </w:pPr>
            <w:r w:rsidRPr="00873B6C">
              <w:t>-</w:t>
            </w:r>
            <w:r w:rsidRPr="00873B6C">
              <w:tab/>
              <w:t>APN-AMBR (for a QER that is referenced by all relevant Packet Detection Rules of all PDN Connections to an APN) (NOTE 1).</w:t>
            </w:r>
          </w:p>
          <w:p w14:paraId="491AF499" w14:textId="77777777" w:rsidR="003D4653" w:rsidRPr="00873B6C" w:rsidRDefault="003D4653" w:rsidP="00C9561D">
            <w:pPr>
              <w:pStyle w:val="TAL"/>
              <w:ind w:left="316" w:hanging="316"/>
            </w:pPr>
            <w:r w:rsidRPr="00873B6C">
              <w:t>-</w:t>
            </w:r>
            <w:r w:rsidRPr="00873B6C">
              <w:tab/>
              <w:t>Session-AMBR (for a QER that is referenced by all relevant Packet Detection Rules of the PDU Session)</w:t>
            </w:r>
          </w:p>
          <w:p w14:paraId="2A266A4C" w14:textId="77777777" w:rsidR="003D4653" w:rsidRPr="00873B6C" w:rsidRDefault="003D4653" w:rsidP="00C9561D">
            <w:pPr>
              <w:pStyle w:val="TAL"/>
              <w:ind w:left="316" w:hanging="316"/>
            </w:pPr>
            <w:r w:rsidRPr="00873B6C">
              <w:t>-</w:t>
            </w:r>
            <w:r w:rsidRPr="00873B6C">
              <w:tab/>
              <w:t>QoS Flow MBR (for a QER that is referenced by all Packet Detection Rules of a QoS Flow)</w:t>
            </w:r>
          </w:p>
          <w:p w14:paraId="1EC8C1D9" w14:textId="77777777" w:rsidR="003D4653" w:rsidRPr="00873B6C" w:rsidRDefault="003D4653" w:rsidP="00C9561D">
            <w:pPr>
              <w:pStyle w:val="TAL"/>
              <w:ind w:left="316" w:hanging="316"/>
            </w:pPr>
            <w:r w:rsidRPr="00873B6C">
              <w:t>-</w:t>
            </w:r>
            <w:r w:rsidRPr="00873B6C">
              <w:tab/>
              <w:t>SDF MBR (for a QER that is referenced by the uplink/downlink Packet Detection Rule of a SDF)</w:t>
            </w:r>
          </w:p>
          <w:p w14:paraId="16C16C50" w14:textId="77777777" w:rsidR="003D4653" w:rsidRPr="00873B6C" w:rsidRDefault="003D4653" w:rsidP="00C9561D">
            <w:pPr>
              <w:pStyle w:val="TAL"/>
              <w:ind w:left="316" w:hanging="316"/>
            </w:pPr>
            <w:r w:rsidRPr="00873B6C">
              <w:t>-</w:t>
            </w:r>
            <w:r w:rsidRPr="00873B6C">
              <w:tab/>
              <w:t>Bearer MBR (for a QER that is referenced by all relevant Packet Detection Rules of a bearer) (NOTE 1).</w:t>
            </w:r>
          </w:p>
        </w:tc>
      </w:tr>
      <w:tr w:rsidR="003D4653" w:rsidRPr="00873B6C" w14:paraId="336BED48" w14:textId="77777777" w:rsidTr="00C9561D">
        <w:trPr>
          <w:cantSplit/>
          <w:jc w:val="center"/>
        </w:trPr>
        <w:tc>
          <w:tcPr>
            <w:tcW w:w="2603" w:type="dxa"/>
          </w:tcPr>
          <w:p w14:paraId="5EFDD755" w14:textId="77777777" w:rsidR="003D4653" w:rsidRPr="00873B6C" w:rsidRDefault="003D4653" w:rsidP="00C9561D">
            <w:pPr>
              <w:pStyle w:val="TAL"/>
            </w:pPr>
            <w:bookmarkStart w:id="2313" w:name="_PERM_MCCTEMPBM_CRPT38860004___2" w:colFirst="2" w:colLast="2"/>
            <w:bookmarkStart w:id="2314" w:name="_PERM_MCCTEMPBM_CRPT75020001___2" w:colFirst="2" w:colLast="2"/>
            <w:bookmarkStart w:id="2315" w:name="_PERM_MCCTEMPBM_CRPT37790001___2" w:colFirst="2" w:colLast="2"/>
            <w:bookmarkStart w:id="2316" w:name="_PERM_MCCTEMPBM_CRPT73640001___2" w:colFirst="2" w:colLast="2"/>
            <w:bookmarkEnd w:id="2309"/>
            <w:bookmarkEnd w:id="2310"/>
            <w:bookmarkEnd w:id="2311"/>
            <w:bookmarkEnd w:id="2312"/>
            <w:r w:rsidRPr="00873B6C">
              <w:t>Guaranteed bitrate</w:t>
            </w:r>
          </w:p>
        </w:tc>
        <w:tc>
          <w:tcPr>
            <w:tcW w:w="4126" w:type="dxa"/>
          </w:tcPr>
          <w:p w14:paraId="4B3ACC64" w14:textId="77777777" w:rsidR="003D4653" w:rsidRPr="00873B6C" w:rsidRDefault="003D4653" w:rsidP="00C9561D">
            <w:pPr>
              <w:pStyle w:val="TAL"/>
            </w:pPr>
            <w:r w:rsidRPr="00873B6C">
              <w:t>The uplink/downlink guaranteed bitrate authorized for the packets.</w:t>
            </w:r>
          </w:p>
        </w:tc>
        <w:tc>
          <w:tcPr>
            <w:tcW w:w="2902" w:type="dxa"/>
          </w:tcPr>
          <w:p w14:paraId="29C0037A" w14:textId="77777777" w:rsidR="003D4653" w:rsidRPr="00873B6C" w:rsidRDefault="003D4653" w:rsidP="00C9561D">
            <w:pPr>
              <w:pStyle w:val="TAL"/>
            </w:pPr>
            <w:r w:rsidRPr="00873B6C">
              <w:t>This field contains:</w:t>
            </w:r>
          </w:p>
          <w:p w14:paraId="46522F6B" w14:textId="77777777" w:rsidR="003D4653" w:rsidRPr="00873B6C" w:rsidRDefault="003D4653" w:rsidP="00C9561D">
            <w:pPr>
              <w:pStyle w:val="TAL"/>
              <w:ind w:left="316" w:hanging="316"/>
            </w:pPr>
            <w:r w:rsidRPr="00873B6C">
              <w:t>-</w:t>
            </w:r>
            <w:r w:rsidRPr="00873B6C">
              <w:tab/>
              <w:t>QoS Flow GBR (for a QER that is referenced by all Packet Detection Rules of a QoS Flow)</w:t>
            </w:r>
          </w:p>
          <w:p w14:paraId="59F1FC61" w14:textId="77777777" w:rsidR="003D4653" w:rsidRPr="00873B6C" w:rsidRDefault="003D4653" w:rsidP="00C9561D">
            <w:pPr>
              <w:pStyle w:val="TAL"/>
              <w:ind w:left="316" w:hanging="316"/>
            </w:pPr>
            <w:r w:rsidRPr="00873B6C">
              <w:t>-</w:t>
            </w:r>
            <w:r w:rsidRPr="00873B6C">
              <w:tab/>
              <w:t>Bearer GBR (for a QER that is referenced by all relevant Packet Detection Rules of a bearer) (NOTE 1).</w:t>
            </w:r>
          </w:p>
        </w:tc>
      </w:tr>
      <w:bookmarkEnd w:id="2313"/>
      <w:bookmarkEnd w:id="2314"/>
      <w:bookmarkEnd w:id="2315"/>
      <w:bookmarkEnd w:id="2316"/>
      <w:tr w:rsidR="003D4653" w:rsidRPr="00873B6C" w14:paraId="360F592C" w14:textId="77777777" w:rsidTr="00C9561D">
        <w:trPr>
          <w:cantSplit/>
          <w:jc w:val="center"/>
        </w:trPr>
        <w:tc>
          <w:tcPr>
            <w:tcW w:w="2603" w:type="dxa"/>
          </w:tcPr>
          <w:p w14:paraId="4E7AA70A" w14:textId="77777777" w:rsidR="003D4653" w:rsidRPr="00873B6C" w:rsidRDefault="003D4653" w:rsidP="00C9561D">
            <w:pPr>
              <w:pStyle w:val="TAL"/>
            </w:pPr>
            <w:r w:rsidRPr="00873B6C">
              <w:t>Averaging window</w:t>
            </w:r>
          </w:p>
        </w:tc>
        <w:tc>
          <w:tcPr>
            <w:tcW w:w="4126" w:type="dxa"/>
          </w:tcPr>
          <w:p w14:paraId="52671A33" w14:textId="77777777" w:rsidR="003D4653" w:rsidRPr="00873B6C" w:rsidRDefault="003D4653" w:rsidP="00C9561D">
            <w:pPr>
              <w:pStyle w:val="TAL"/>
            </w:pPr>
            <w:r w:rsidRPr="00873B6C">
              <w:t>The time duration over which the Maximum and Guaranteed bitrate shall be calculated.</w:t>
            </w:r>
          </w:p>
        </w:tc>
        <w:tc>
          <w:tcPr>
            <w:tcW w:w="2902" w:type="dxa"/>
          </w:tcPr>
          <w:p w14:paraId="58650220" w14:textId="77777777" w:rsidR="003D4653" w:rsidRPr="00873B6C" w:rsidRDefault="003D4653" w:rsidP="00C9561D">
            <w:pPr>
              <w:pStyle w:val="TAL"/>
            </w:pPr>
            <w:r w:rsidRPr="00873B6C">
              <w:t>This is for counting the packets received during the time duration.</w:t>
            </w:r>
          </w:p>
        </w:tc>
      </w:tr>
      <w:tr w:rsidR="003D4653" w:rsidRPr="00873B6C" w14:paraId="17E374DB" w14:textId="77777777" w:rsidTr="00C9561D">
        <w:trPr>
          <w:cantSplit/>
          <w:jc w:val="center"/>
        </w:trPr>
        <w:tc>
          <w:tcPr>
            <w:tcW w:w="2603" w:type="dxa"/>
          </w:tcPr>
          <w:p w14:paraId="05DCB4C5" w14:textId="77777777" w:rsidR="003D4653" w:rsidRPr="00873B6C" w:rsidRDefault="003D4653" w:rsidP="00C9561D">
            <w:pPr>
              <w:pStyle w:val="TAL"/>
            </w:pPr>
            <w:r w:rsidRPr="00873B6C">
              <w:t>Down-link flow level marking</w:t>
            </w:r>
          </w:p>
        </w:tc>
        <w:tc>
          <w:tcPr>
            <w:tcW w:w="4126" w:type="dxa"/>
          </w:tcPr>
          <w:p w14:paraId="7F0F9D7D" w14:textId="77777777" w:rsidR="003D4653" w:rsidRPr="00873B6C" w:rsidRDefault="003D4653" w:rsidP="00C9561D">
            <w:pPr>
              <w:pStyle w:val="TAL"/>
            </w:pPr>
            <w:r w:rsidRPr="00873B6C">
              <w:t>Flow level packet marking in the downlink.</w:t>
            </w:r>
          </w:p>
        </w:tc>
        <w:tc>
          <w:tcPr>
            <w:tcW w:w="2902" w:type="dxa"/>
          </w:tcPr>
          <w:p w14:paraId="1519BFE5" w14:textId="77777777" w:rsidR="003D4653" w:rsidRPr="00873B6C" w:rsidRDefault="003D4653" w:rsidP="00C9561D">
            <w:pPr>
              <w:pStyle w:val="TAL"/>
            </w:pPr>
            <w:r w:rsidRPr="00873B6C">
              <w:t>For UPF, this is for controlling the setting of the RQI in the encapsulation header as described in clause 5.7.5.3.</w:t>
            </w:r>
          </w:p>
        </w:tc>
      </w:tr>
      <w:tr w:rsidR="003D4653" w:rsidRPr="00873B6C" w14:paraId="0125CF40" w14:textId="77777777" w:rsidTr="00C9561D">
        <w:trPr>
          <w:cantSplit/>
          <w:jc w:val="center"/>
        </w:trPr>
        <w:tc>
          <w:tcPr>
            <w:tcW w:w="2603" w:type="dxa"/>
          </w:tcPr>
          <w:p w14:paraId="0C06C609" w14:textId="77777777" w:rsidR="003D4653" w:rsidRPr="00873B6C" w:rsidRDefault="003D4653" w:rsidP="00C9561D">
            <w:pPr>
              <w:pStyle w:val="TAL"/>
            </w:pPr>
            <w:r w:rsidRPr="00873B6C">
              <w:t>QoS Flow ID</w:t>
            </w:r>
          </w:p>
        </w:tc>
        <w:tc>
          <w:tcPr>
            <w:tcW w:w="4126" w:type="dxa"/>
          </w:tcPr>
          <w:p w14:paraId="7AE7FDE4" w14:textId="77777777" w:rsidR="003D4653" w:rsidRPr="00873B6C" w:rsidRDefault="003D4653" w:rsidP="00C9561D">
            <w:pPr>
              <w:pStyle w:val="TAL"/>
            </w:pPr>
            <w:r w:rsidRPr="00873B6C">
              <w:t>QoS Flow ID to be inserted by the UPF.</w:t>
            </w:r>
          </w:p>
        </w:tc>
        <w:tc>
          <w:tcPr>
            <w:tcW w:w="2902" w:type="dxa"/>
          </w:tcPr>
          <w:p w14:paraId="3103FDA1" w14:textId="77777777" w:rsidR="003D4653" w:rsidRPr="00873B6C" w:rsidRDefault="003D4653" w:rsidP="00C9561D">
            <w:pPr>
              <w:pStyle w:val="TAL"/>
            </w:pPr>
            <w:r w:rsidRPr="00873B6C">
              <w:t>The UPF inserts the QFI value in the tunnel header of outgoing packets.</w:t>
            </w:r>
          </w:p>
        </w:tc>
      </w:tr>
      <w:tr w:rsidR="003D4653" w:rsidRPr="00873B6C" w14:paraId="54917788" w14:textId="77777777" w:rsidTr="00C9561D">
        <w:trPr>
          <w:cantSplit/>
          <w:jc w:val="center"/>
        </w:trPr>
        <w:tc>
          <w:tcPr>
            <w:tcW w:w="2603" w:type="dxa"/>
          </w:tcPr>
          <w:p w14:paraId="228C81D9" w14:textId="77777777" w:rsidR="003D4653" w:rsidRPr="00873B6C" w:rsidRDefault="003D4653" w:rsidP="00C9561D">
            <w:pPr>
              <w:pStyle w:val="TAL"/>
            </w:pPr>
            <w:r w:rsidRPr="00873B6C">
              <w:t>Paging Policy Indicator</w:t>
            </w:r>
          </w:p>
        </w:tc>
        <w:tc>
          <w:tcPr>
            <w:tcW w:w="4126" w:type="dxa"/>
          </w:tcPr>
          <w:p w14:paraId="035E3322" w14:textId="77777777" w:rsidR="003D4653" w:rsidRPr="00873B6C" w:rsidRDefault="003D4653" w:rsidP="00C9561D">
            <w:pPr>
              <w:pStyle w:val="TAL"/>
            </w:pPr>
            <w:r w:rsidRPr="00873B6C">
              <w:t>Indicates the PPI value the UPF is required to insert in outgoing packets (see clause 5.4.3.2).</w:t>
            </w:r>
          </w:p>
        </w:tc>
        <w:tc>
          <w:tcPr>
            <w:tcW w:w="2902" w:type="dxa"/>
          </w:tcPr>
          <w:p w14:paraId="4FDC6166" w14:textId="77777777" w:rsidR="003D4653" w:rsidRPr="00873B6C" w:rsidRDefault="003D4653" w:rsidP="00C9561D">
            <w:pPr>
              <w:pStyle w:val="TAL"/>
            </w:pPr>
            <w:r w:rsidRPr="00873B6C">
              <w:t>PPI applies only for DL traffic. The UPF inserts the PPI in the outer header of outgoing PDU.</w:t>
            </w:r>
          </w:p>
        </w:tc>
      </w:tr>
      <w:tr w:rsidR="003D4653" w:rsidRPr="00873B6C" w14:paraId="1FC1220A" w14:textId="77777777" w:rsidTr="00C9561D">
        <w:trPr>
          <w:cantSplit/>
          <w:jc w:val="center"/>
        </w:trPr>
        <w:tc>
          <w:tcPr>
            <w:tcW w:w="2603" w:type="dxa"/>
          </w:tcPr>
          <w:p w14:paraId="6BA38D19" w14:textId="77777777" w:rsidR="003D4653" w:rsidRPr="00873B6C" w:rsidRDefault="003D4653" w:rsidP="00C9561D">
            <w:pPr>
              <w:pStyle w:val="TAL"/>
            </w:pPr>
            <w:bookmarkStart w:id="2317" w:name="_PERM_MCCTEMPBM_CRPT38860005___2" w:colFirst="2" w:colLast="2"/>
            <w:bookmarkStart w:id="2318" w:name="_PERM_MCCTEMPBM_CRPT75020002___2" w:colFirst="2" w:colLast="2"/>
            <w:bookmarkStart w:id="2319" w:name="_PERM_MCCTEMPBM_CRPT37790002___2" w:colFirst="2" w:colLast="2"/>
            <w:bookmarkStart w:id="2320" w:name="_PERM_MCCTEMPBM_CRPT73640002___2" w:colFirst="2" w:colLast="2"/>
            <w:r w:rsidRPr="00873B6C">
              <w:lastRenderedPageBreak/>
              <w:t>Packet rate (NOTE 1)</w:t>
            </w:r>
          </w:p>
        </w:tc>
        <w:tc>
          <w:tcPr>
            <w:tcW w:w="4126" w:type="dxa"/>
          </w:tcPr>
          <w:p w14:paraId="7C68D91C" w14:textId="77777777" w:rsidR="003D4653" w:rsidRPr="00873B6C" w:rsidRDefault="003D4653" w:rsidP="00C9561D">
            <w:pPr>
              <w:pStyle w:val="TAL"/>
            </w:pPr>
            <w:r w:rsidRPr="00873B6C">
              <w:t>Number of packets per time interval to be enforced.</w:t>
            </w:r>
          </w:p>
        </w:tc>
        <w:tc>
          <w:tcPr>
            <w:tcW w:w="2902" w:type="dxa"/>
          </w:tcPr>
          <w:p w14:paraId="5D5E1010" w14:textId="77777777" w:rsidR="003D4653" w:rsidRPr="00873B6C" w:rsidRDefault="003D4653" w:rsidP="00C9561D">
            <w:pPr>
              <w:pStyle w:val="TAL"/>
            </w:pPr>
            <w:r w:rsidRPr="00873B6C">
              <w:t>This field contains any one of:</w:t>
            </w:r>
          </w:p>
          <w:p w14:paraId="7C9B309E" w14:textId="77777777" w:rsidR="003D4653" w:rsidRPr="00873B6C" w:rsidRDefault="003D4653" w:rsidP="00C9561D">
            <w:pPr>
              <w:pStyle w:val="TAL"/>
              <w:ind w:left="316" w:hanging="316"/>
            </w:pPr>
            <w:r w:rsidRPr="00873B6C">
              <w:t>-</w:t>
            </w:r>
            <w:r w:rsidRPr="00873B6C">
              <w:tab/>
              <w:t>downlink packet rate for Serving PLMN Rate Control (the QER is referenced by all PDRs of the UE belonging to PDN connections using CIoT EPS Optimisations as described in TS 23.401 [26]).</w:t>
            </w:r>
          </w:p>
          <w:p w14:paraId="68A5126F" w14:textId="77777777" w:rsidR="003D4653" w:rsidRPr="00873B6C" w:rsidRDefault="003D4653" w:rsidP="00C9561D">
            <w:pPr>
              <w:pStyle w:val="TAL"/>
              <w:ind w:left="316" w:hanging="316"/>
            </w:pPr>
            <w:r w:rsidRPr="00873B6C">
              <w:t>-</w:t>
            </w:r>
            <w:r w:rsidRPr="00873B6C">
              <w:tab/>
              <w:t>uplink/downlink packet rate for APN Rate Control (the QER is referenced by all PDRs of the UE belonging to PDN connections to the same APN using CIoT EPS Optimisations as described in TS 23.401 [26]).</w:t>
            </w:r>
          </w:p>
        </w:tc>
      </w:tr>
      <w:bookmarkEnd w:id="2317"/>
      <w:bookmarkEnd w:id="2318"/>
      <w:bookmarkEnd w:id="2319"/>
      <w:bookmarkEnd w:id="2320"/>
      <w:tr w:rsidR="00354C8E" w:rsidRPr="00873B6C" w14:paraId="4EB7D3B6" w14:textId="77777777" w:rsidTr="00C9561D">
        <w:trPr>
          <w:cantSplit/>
          <w:jc w:val="center"/>
        </w:trPr>
        <w:tc>
          <w:tcPr>
            <w:tcW w:w="2603" w:type="dxa"/>
          </w:tcPr>
          <w:p w14:paraId="391FEEBC" w14:textId="11EFD703" w:rsidR="00354C8E" w:rsidRPr="00873B6C" w:rsidRDefault="00354C8E" w:rsidP="00C9561D">
            <w:pPr>
              <w:pStyle w:val="TAL"/>
            </w:pPr>
            <w:r w:rsidRPr="00873B6C">
              <w:t>End of Data Burst Marking Indication</w:t>
            </w:r>
          </w:p>
        </w:tc>
        <w:tc>
          <w:tcPr>
            <w:tcW w:w="4126" w:type="dxa"/>
          </w:tcPr>
          <w:p w14:paraId="19166A28" w14:textId="70FDB42C" w:rsidR="00354C8E" w:rsidRPr="00873B6C" w:rsidRDefault="00354C8E" w:rsidP="00C9561D">
            <w:pPr>
              <w:pStyle w:val="TAL"/>
            </w:pPr>
            <w:r w:rsidRPr="00873B6C">
              <w:t>Indicates to the UPF to provide an End of Data Burst indication of the last PDU of a Data burst to the NG-RAN over GTP-U</w:t>
            </w:r>
          </w:p>
        </w:tc>
        <w:tc>
          <w:tcPr>
            <w:tcW w:w="2902" w:type="dxa"/>
          </w:tcPr>
          <w:p w14:paraId="41E6CF9F" w14:textId="3BAC08D1" w:rsidR="00354C8E" w:rsidRPr="00873B6C" w:rsidRDefault="00354C8E" w:rsidP="005A13C0">
            <w:pPr>
              <w:pStyle w:val="TAL"/>
            </w:pPr>
            <w:r w:rsidRPr="00873B6C">
              <w:t>NG-RAN can configure UE power management schemes like connected mode DRX when UPF provides an indication of the End of Data Burst, see clause 5.37.8.3.</w:t>
            </w:r>
          </w:p>
        </w:tc>
      </w:tr>
      <w:tr w:rsidR="00114986" w:rsidRPr="00873B6C" w14:paraId="0D8C5F04" w14:textId="77777777" w:rsidTr="00C9561D">
        <w:trPr>
          <w:cantSplit/>
          <w:jc w:val="center"/>
        </w:trPr>
        <w:tc>
          <w:tcPr>
            <w:tcW w:w="2603" w:type="dxa"/>
          </w:tcPr>
          <w:p w14:paraId="6BD03435" w14:textId="30E5C667" w:rsidR="00114986" w:rsidRPr="00873B6C" w:rsidRDefault="00114986" w:rsidP="00C9561D">
            <w:pPr>
              <w:pStyle w:val="TAL"/>
            </w:pPr>
            <w:r w:rsidRPr="00873B6C">
              <w:t>PDU Set Information marking Indicator</w:t>
            </w:r>
          </w:p>
        </w:tc>
        <w:tc>
          <w:tcPr>
            <w:tcW w:w="4126" w:type="dxa"/>
          </w:tcPr>
          <w:p w14:paraId="2D6FB850" w14:textId="592399C3" w:rsidR="00114986" w:rsidRPr="00873B6C" w:rsidRDefault="00114986" w:rsidP="00C9561D">
            <w:pPr>
              <w:pStyle w:val="TAL"/>
            </w:pPr>
            <w:r w:rsidRPr="00873B6C">
              <w:t>Indicates the UPF to insert PDU Set Information related to packets belonging to a PDU Set into GTP-U header.</w:t>
            </w:r>
          </w:p>
        </w:tc>
        <w:tc>
          <w:tcPr>
            <w:tcW w:w="2902" w:type="dxa"/>
          </w:tcPr>
          <w:p w14:paraId="31FE8DA2" w14:textId="6602005E" w:rsidR="00114986" w:rsidRPr="00873B6C" w:rsidRDefault="00114986" w:rsidP="00C9561D">
            <w:pPr>
              <w:pStyle w:val="TAL"/>
            </w:pPr>
            <w:r w:rsidRPr="00873B6C">
              <w:t>UPF identifies PDU Sets in DL traffic and forwards PDU Set related information of each PDU to the NG-RAN over GTP-U, as described in clause 5.37.5.</w:t>
            </w:r>
          </w:p>
        </w:tc>
      </w:tr>
      <w:tr w:rsidR="0054077B" w:rsidRPr="00873B6C" w14:paraId="21B18A3B" w14:textId="77777777" w:rsidTr="00C9561D">
        <w:trPr>
          <w:cantSplit/>
          <w:jc w:val="center"/>
        </w:trPr>
        <w:tc>
          <w:tcPr>
            <w:tcW w:w="2603" w:type="dxa"/>
          </w:tcPr>
          <w:p w14:paraId="0EFE0406" w14:textId="4C0F1918" w:rsidR="0054077B" w:rsidRPr="00873B6C" w:rsidRDefault="0054077B" w:rsidP="00C9561D">
            <w:pPr>
              <w:pStyle w:val="TAL"/>
            </w:pPr>
            <w:r w:rsidRPr="00873B6C">
              <w:t>ECN marking for L4S indicator</w:t>
            </w:r>
          </w:p>
        </w:tc>
        <w:tc>
          <w:tcPr>
            <w:tcW w:w="4126" w:type="dxa"/>
          </w:tcPr>
          <w:p w14:paraId="41ED208A" w14:textId="067567C2" w:rsidR="0054077B" w:rsidRPr="00873B6C" w:rsidRDefault="0054077B" w:rsidP="00C9561D">
            <w:pPr>
              <w:pStyle w:val="TAL"/>
            </w:pPr>
            <w:r w:rsidRPr="00873B6C">
              <w:t>Indicates the UPF to perform ECN marking for L4S for the corresponding QoS Flow.</w:t>
            </w:r>
          </w:p>
        </w:tc>
        <w:tc>
          <w:tcPr>
            <w:tcW w:w="2902" w:type="dxa"/>
          </w:tcPr>
          <w:p w14:paraId="4106171D" w14:textId="33993F31" w:rsidR="0054077B" w:rsidRPr="00873B6C" w:rsidRDefault="0054077B" w:rsidP="00C9561D">
            <w:pPr>
              <w:pStyle w:val="TAL"/>
            </w:pPr>
            <w:r w:rsidRPr="00873B6C">
              <w:t>UPF uses information sent by NG-RAN in GTP-U header extension to perform ECN marking for L4S for the corresponding direction.</w:t>
            </w:r>
          </w:p>
        </w:tc>
      </w:tr>
      <w:tr w:rsidR="003D4653" w:rsidRPr="00873B6C" w14:paraId="6F97452D" w14:textId="77777777" w:rsidTr="00C9561D">
        <w:trPr>
          <w:cantSplit/>
          <w:jc w:val="center"/>
        </w:trPr>
        <w:tc>
          <w:tcPr>
            <w:tcW w:w="9631" w:type="dxa"/>
            <w:gridSpan w:val="3"/>
          </w:tcPr>
          <w:p w14:paraId="4F439AD2" w14:textId="77777777" w:rsidR="003D4653" w:rsidRPr="00873B6C" w:rsidRDefault="003D4653" w:rsidP="00C9561D">
            <w:pPr>
              <w:pStyle w:val="TAN"/>
            </w:pPr>
            <w:r w:rsidRPr="00873B6C">
              <w:t>NOTE 1:</w:t>
            </w:r>
            <w:r w:rsidRPr="00873B6C">
              <w:tab/>
              <w:t>This parameter is only used for interworking with EPC.</w:t>
            </w:r>
          </w:p>
        </w:tc>
      </w:tr>
    </w:tbl>
    <w:p w14:paraId="1945B5DA" w14:textId="77777777" w:rsidR="003D4653" w:rsidRPr="00873B6C" w:rsidRDefault="003D4653" w:rsidP="003D4653">
      <w:pPr>
        <w:pStyle w:val="FP"/>
      </w:pPr>
    </w:p>
    <w:p w14:paraId="225E3241" w14:textId="77777777" w:rsidR="003D4653" w:rsidRPr="00873B6C" w:rsidRDefault="003D4653" w:rsidP="00972E70">
      <w:pPr>
        <w:pStyle w:val="Heading4"/>
      </w:pPr>
      <w:bookmarkStart w:id="2321" w:name="_CR5_8_5_5"/>
      <w:bookmarkStart w:id="2322" w:name="_Toc201157219"/>
      <w:bookmarkEnd w:id="2321"/>
      <w:r w:rsidRPr="00873B6C">
        <w:t>5.8.5.5</w:t>
      </w:r>
      <w:r w:rsidRPr="00873B6C">
        <w:tab/>
        <w:t>Usage Reporting Rule</w:t>
      </w:r>
      <w:bookmarkEnd w:id="2322"/>
    </w:p>
    <w:p w14:paraId="12BABB16" w14:textId="77777777" w:rsidR="003D4653" w:rsidRPr="00873B6C" w:rsidRDefault="003D4653" w:rsidP="003D4653">
      <w:pPr>
        <w:rPr>
          <w:lang w:eastAsia="x-none"/>
        </w:rPr>
      </w:pPr>
      <w:r w:rsidRPr="00873B6C">
        <w:rPr>
          <w:lang w:eastAsia="x-none"/>
        </w:rPr>
        <w:t>The following table describes the Usage Reporting Rule (URR) that defines how a packet shall be accounted as well as when and how to report the measurements.</w:t>
      </w:r>
    </w:p>
    <w:p w14:paraId="20A7FBCF" w14:textId="77777777" w:rsidR="003D4653" w:rsidRPr="00873B6C" w:rsidRDefault="003D4653" w:rsidP="003D4653">
      <w:pPr>
        <w:pStyle w:val="TH"/>
      </w:pPr>
      <w:bookmarkStart w:id="2323" w:name="_CRTable5_8_5_51"/>
      <w:r w:rsidRPr="00873B6C">
        <w:lastRenderedPageBreak/>
        <w:t xml:space="preserve">Table </w:t>
      </w:r>
      <w:bookmarkEnd w:id="2323"/>
      <w:r w:rsidRPr="00873B6C">
        <w:t>5.8.5.5-1: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3D4653" w:rsidRPr="00873B6C" w14:paraId="41360659" w14:textId="77777777" w:rsidTr="00C9561D">
        <w:trPr>
          <w:cantSplit/>
          <w:jc w:val="center"/>
        </w:trPr>
        <w:tc>
          <w:tcPr>
            <w:tcW w:w="2603" w:type="dxa"/>
          </w:tcPr>
          <w:p w14:paraId="6773EC3E" w14:textId="77777777" w:rsidR="003D4653" w:rsidRPr="00873B6C" w:rsidRDefault="003D4653" w:rsidP="00C9561D">
            <w:pPr>
              <w:pStyle w:val="TAH"/>
            </w:pPr>
            <w:r w:rsidRPr="00873B6C">
              <w:lastRenderedPageBreak/>
              <w:t>Attribute</w:t>
            </w:r>
          </w:p>
        </w:tc>
        <w:tc>
          <w:tcPr>
            <w:tcW w:w="4124" w:type="dxa"/>
          </w:tcPr>
          <w:p w14:paraId="653B01A1" w14:textId="77777777" w:rsidR="003D4653" w:rsidRPr="00873B6C" w:rsidRDefault="003D4653" w:rsidP="00C9561D">
            <w:pPr>
              <w:pStyle w:val="TAH"/>
            </w:pPr>
            <w:r w:rsidRPr="00873B6C">
              <w:t>Description</w:t>
            </w:r>
          </w:p>
        </w:tc>
        <w:tc>
          <w:tcPr>
            <w:tcW w:w="2904" w:type="dxa"/>
          </w:tcPr>
          <w:p w14:paraId="23BA680A" w14:textId="77777777" w:rsidR="003D4653" w:rsidRPr="00873B6C" w:rsidRDefault="003D4653" w:rsidP="00C9561D">
            <w:pPr>
              <w:pStyle w:val="TAH"/>
            </w:pPr>
            <w:r w:rsidRPr="00873B6C">
              <w:t>Comment</w:t>
            </w:r>
          </w:p>
        </w:tc>
      </w:tr>
      <w:tr w:rsidR="003D4653" w:rsidRPr="00873B6C" w14:paraId="092CC5E9" w14:textId="77777777" w:rsidTr="00C9561D">
        <w:trPr>
          <w:cantSplit/>
          <w:jc w:val="center"/>
        </w:trPr>
        <w:tc>
          <w:tcPr>
            <w:tcW w:w="2603" w:type="dxa"/>
          </w:tcPr>
          <w:p w14:paraId="509E5F72" w14:textId="77777777" w:rsidR="003D4653" w:rsidRPr="00873B6C" w:rsidRDefault="003D4653" w:rsidP="00C9561D">
            <w:pPr>
              <w:pStyle w:val="TAL"/>
            </w:pPr>
            <w:r w:rsidRPr="00873B6C">
              <w:t>N4 Session ID</w:t>
            </w:r>
          </w:p>
        </w:tc>
        <w:tc>
          <w:tcPr>
            <w:tcW w:w="4124" w:type="dxa"/>
          </w:tcPr>
          <w:p w14:paraId="66C06D75" w14:textId="77777777" w:rsidR="003D4653" w:rsidRPr="00873B6C" w:rsidRDefault="003D4653" w:rsidP="00C9561D">
            <w:pPr>
              <w:pStyle w:val="TAL"/>
            </w:pPr>
            <w:r w:rsidRPr="00873B6C">
              <w:t>Identifies the N4 session associated to this URR</w:t>
            </w:r>
          </w:p>
        </w:tc>
        <w:tc>
          <w:tcPr>
            <w:tcW w:w="2904" w:type="dxa"/>
          </w:tcPr>
          <w:p w14:paraId="7F34018F" w14:textId="77777777" w:rsidR="003D4653" w:rsidRPr="00873B6C" w:rsidRDefault="003D4653" w:rsidP="00C9561D">
            <w:pPr>
              <w:pStyle w:val="TAL"/>
            </w:pPr>
          </w:p>
        </w:tc>
      </w:tr>
      <w:tr w:rsidR="003D4653" w:rsidRPr="00873B6C" w14:paraId="775446E8" w14:textId="77777777" w:rsidTr="00C9561D">
        <w:trPr>
          <w:cantSplit/>
          <w:jc w:val="center"/>
        </w:trPr>
        <w:tc>
          <w:tcPr>
            <w:tcW w:w="2603" w:type="dxa"/>
          </w:tcPr>
          <w:p w14:paraId="15B131F8" w14:textId="77777777" w:rsidR="003D4653" w:rsidRPr="00873B6C" w:rsidRDefault="003D4653" w:rsidP="00C9561D">
            <w:pPr>
              <w:pStyle w:val="TAL"/>
            </w:pPr>
            <w:r w:rsidRPr="00873B6C">
              <w:t>Rule ID</w:t>
            </w:r>
          </w:p>
        </w:tc>
        <w:tc>
          <w:tcPr>
            <w:tcW w:w="4124" w:type="dxa"/>
          </w:tcPr>
          <w:p w14:paraId="49D6C505" w14:textId="77777777" w:rsidR="003D4653" w:rsidRPr="00873B6C" w:rsidRDefault="003D4653" w:rsidP="00C9561D">
            <w:pPr>
              <w:pStyle w:val="TAL"/>
            </w:pPr>
            <w:r w:rsidRPr="00873B6C">
              <w:t>Unique identifier to identify this information.</w:t>
            </w:r>
          </w:p>
        </w:tc>
        <w:tc>
          <w:tcPr>
            <w:tcW w:w="2904" w:type="dxa"/>
          </w:tcPr>
          <w:p w14:paraId="4F51270F" w14:textId="77777777" w:rsidR="003D4653" w:rsidRPr="00873B6C" w:rsidRDefault="003D4653" w:rsidP="00C9561D">
            <w:pPr>
              <w:pStyle w:val="TAL"/>
            </w:pPr>
            <w:r w:rsidRPr="00873B6C">
              <w:t>Used by UPF when reporting usage.</w:t>
            </w:r>
          </w:p>
        </w:tc>
      </w:tr>
      <w:tr w:rsidR="003D4653" w:rsidRPr="00873B6C" w14:paraId="445F6555" w14:textId="77777777" w:rsidTr="00C9561D">
        <w:trPr>
          <w:cantSplit/>
          <w:jc w:val="center"/>
        </w:trPr>
        <w:tc>
          <w:tcPr>
            <w:tcW w:w="2603" w:type="dxa"/>
          </w:tcPr>
          <w:p w14:paraId="77313806" w14:textId="77777777" w:rsidR="003D4653" w:rsidRPr="00873B6C" w:rsidRDefault="003D4653" w:rsidP="00C9561D">
            <w:pPr>
              <w:pStyle w:val="TAL"/>
            </w:pPr>
            <w:r w:rsidRPr="00873B6C">
              <w:t>Reporting triggers</w:t>
            </w:r>
          </w:p>
        </w:tc>
        <w:tc>
          <w:tcPr>
            <w:tcW w:w="4124" w:type="dxa"/>
          </w:tcPr>
          <w:p w14:paraId="363F4739" w14:textId="77777777" w:rsidR="003D4653" w:rsidRPr="00873B6C" w:rsidRDefault="003D4653" w:rsidP="00C9561D">
            <w:pPr>
              <w:pStyle w:val="TAL"/>
            </w:pPr>
            <w:r w:rsidRPr="00873B6C">
              <w:t>One or multiple of the events can be activated for the generation and reporting of the usage report.</w:t>
            </w:r>
          </w:p>
        </w:tc>
        <w:tc>
          <w:tcPr>
            <w:tcW w:w="2904" w:type="dxa"/>
          </w:tcPr>
          <w:p w14:paraId="349C3817" w14:textId="77777777" w:rsidR="003D4653" w:rsidRPr="00873B6C" w:rsidRDefault="003D4653" w:rsidP="00C9561D">
            <w:pPr>
              <w:pStyle w:val="TAL"/>
            </w:pPr>
            <w:r w:rsidRPr="00873B6C">
              <w:t>Applicable events include:</w:t>
            </w:r>
          </w:p>
          <w:p w14:paraId="682090C9" w14:textId="77777777" w:rsidR="003D4653" w:rsidRPr="00873B6C" w:rsidRDefault="003D4653" w:rsidP="00C9561D">
            <w:pPr>
              <w:pStyle w:val="TAL"/>
              <w:ind w:left="316" w:hanging="316"/>
            </w:pPr>
            <w:bookmarkStart w:id="2324" w:name="_PERM_MCCTEMPBM_CRPT38860006___2"/>
            <w:r w:rsidRPr="00873B6C">
              <w:t>-</w:t>
            </w:r>
            <w:r w:rsidRPr="00873B6C">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324"/>
          </w:p>
        </w:tc>
      </w:tr>
      <w:tr w:rsidR="003D4653" w:rsidRPr="00873B6C" w14:paraId="216D206D" w14:textId="77777777" w:rsidTr="00C9561D">
        <w:trPr>
          <w:cantSplit/>
          <w:jc w:val="center"/>
        </w:trPr>
        <w:tc>
          <w:tcPr>
            <w:tcW w:w="2603" w:type="dxa"/>
          </w:tcPr>
          <w:p w14:paraId="1ABF4074" w14:textId="77777777" w:rsidR="003D4653" w:rsidRPr="00873B6C" w:rsidRDefault="003D4653" w:rsidP="00C9561D">
            <w:pPr>
              <w:pStyle w:val="TAL"/>
            </w:pPr>
            <w:r w:rsidRPr="00873B6C">
              <w:t xml:space="preserve">Periodic measurement threshold </w:t>
            </w:r>
          </w:p>
        </w:tc>
        <w:tc>
          <w:tcPr>
            <w:tcW w:w="4124" w:type="dxa"/>
          </w:tcPr>
          <w:p w14:paraId="36185C10" w14:textId="77777777" w:rsidR="003D4653" w:rsidRPr="00873B6C" w:rsidRDefault="003D4653" w:rsidP="00C9561D">
            <w:pPr>
              <w:pStyle w:val="TAL"/>
            </w:pPr>
            <w:r w:rsidRPr="00873B6C">
              <w:t>Defines the point in time for sending a periodic report for this URR (e.g. timeofday).</w:t>
            </w:r>
          </w:p>
        </w:tc>
        <w:tc>
          <w:tcPr>
            <w:tcW w:w="2904" w:type="dxa"/>
          </w:tcPr>
          <w:p w14:paraId="5F9094F2" w14:textId="77777777" w:rsidR="003D4653" w:rsidRPr="00873B6C" w:rsidRDefault="003D4653" w:rsidP="00C9561D">
            <w:pPr>
              <w:pStyle w:val="TAL"/>
            </w:pPr>
            <w:r w:rsidRPr="00873B6C">
              <w:t>This allows generation of periodic usage report for e.g. offline charging.</w:t>
            </w:r>
          </w:p>
          <w:p w14:paraId="48AEFE86" w14:textId="77777777" w:rsidR="003D4653" w:rsidRPr="00873B6C" w:rsidRDefault="003D4653" w:rsidP="00C9561D">
            <w:pPr>
              <w:pStyle w:val="TAL"/>
            </w:pPr>
            <w:r w:rsidRPr="00873B6C">
              <w:t>It can also be used for realizing the Monitoring time of the usage monitoring feature.</w:t>
            </w:r>
          </w:p>
          <w:p w14:paraId="7C67491F" w14:textId="77777777" w:rsidR="003D4653" w:rsidRPr="00873B6C" w:rsidRDefault="003D4653" w:rsidP="00C9561D">
            <w:pPr>
              <w:pStyle w:val="TAL"/>
            </w:pPr>
            <w:r w:rsidRPr="00873B6C">
              <w:t>It can also be used for realizing the Quota-Idle-Timeout, i.e. to enable the CP function to check whether any traffic has passed during this time.</w:t>
            </w:r>
          </w:p>
        </w:tc>
      </w:tr>
      <w:tr w:rsidR="003D4653" w:rsidRPr="00873B6C" w14:paraId="14056FAF" w14:textId="77777777" w:rsidTr="00C9561D">
        <w:trPr>
          <w:cantSplit/>
          <w:jc w:val="center"/>
        </w:trPr>
        <w:tc>
          <w:tcPr>
            <w:tcW w:w="2603" w:type="dxa"/>
          </w:tcPr>
          <w:p w14:paraId="7281BA4E" w14:textId="77777777" w:rsidR="003D4653" w:rsidRPr="00873B6C" w:rsidRDefault="003D4653" w:rsidP="00C9561D">
            <w:pPr>
              <w:pStyle w:val="TAL"/>
            </w:pPr>
            <w:r w:rsidRPr="00873B6C">
              <w:t>Volume measurement threshold</w:t>
            </w:r>
          </w:p>
        </w:tc>
        <w:tc>
          <w:tcPr>
            <w:tcW w:w="4124" w:type="dxa"/>
          </w:tcPr>
          <w:p w14:paraId="75D531D4" w14:textId="77777777" w:rsidR="003D4653" w:rsidRPr="00873B6C" w:rsidRDefault="003D4653" w:rsidP="00C9561D">
            <w:pPr>
              <w:pStyle w:val="TAL"/>
            </w:pPr>
            <w:r w:rsidRPr="00873B6C">
              <w:t>Value in terms of uplink and/or downlink and/or total byte-count when the measurement report is to be generated.</w:t>
            </w:r>
          </w:p>
        </w:tc>
        <w:tc>
          <w:tcPr>
            <w:tcW w:w="2904" w:type="dxa"/>
          </w:tcPr>
          <w:p w14:paraId="0EE576A6" w14:textId="77777777" w:rsidR="003D4653" w:rsidRPr="00873B6C" w:rsidRDefault="003D4653" w:rsidP="00C9561D">
            <w:pPr>
              <w:pStyle w:val="TAL"/>
            </w:pPr>
          </w:p>
        </w:tc>
      </w:tr>
      <w:tr w:rsidR="003D4653" w:rsidRPr="00873B6C" w14:paraId="4CF61CA6" w14:textId="77777777" w:rsidTr="00C9561D">
        <w:trPr>
          <w:cantSplit/>
          <w:jc w:val="center"/>
        </w:trPr>
        <w:tc>
          <w:tcPr>
            <w:tcW w:w="2603" w:type="dxa"/>
          </w:tcPr>
          <w:p w14:paraId="2F9A5AF3" w14:textId="77777777" w:rsidR="003D4653" w:rsidRPr="00873B6C" w:rsidRDefault="003D4653" w:rsidP="00C9561D">
            <w:pPr>
              <w:pStyle w:val="TAL"/>
            </w:pPr>
            <w:r w:rsidRPr="00873B6C">
              <w:t>Time measurement threshold</w:t>
            </w:r>
          </w:p>
        </w:tc>
        <w:tc>
          <w:tcPr>
            <w:tcW w:w="4124" w:type="dxa"/>
          </w:tcPr>
          <w:p w14:paraId="4F9FF5F7" w14:textId="77777777" w:rsidR="003D4653" w:rsidRPr="00873B6C" w:rsidRDefault="003D4653" w:rsidP="00C9561D">
            <w:pPr>
              <w:pStyle w:val="TAL"/>
            </w:pPr>
            <w:r w:rsidRPr="00873B6C">
              <w:t>Value in terms of the time duration (e.g. in seconds) when the measurement report is to be generated.</w:t>
            </w:r>
          </w:p>
        </w:tc>
        <w:tc>
          <w:tcPr>
            <w:tcW w:w="2904" w:type="dxa"/>
          </w:tcPr>
          <w:p w14:paraId="46ABEED4" w14:textId="77777777" w:rsidR="003D4653" w:rsidRPr="00873B6C" w:rsidRDefault="003D4653" w:rsidP="00C9561D">
            <w:pPr>
              <w:pStyle w:val="TAL"/>
            </w:pPr>
          </w:p>
        </w:tc>
      </w:tr>
      <w:tr w:rsidR="003D4653" w:rsidRPr="00873B6C" w14:paraId="39D6F0DE" w14:textId="77777777" w:rsidTr="00C9561D">
        <w:trPr>
          <w:cantSplit/>
          <w:jc w:val="center"/>
        </w:trPr>
        <w:tc>
          <w:tcPr>
            <w:tcW w:w="2603" w:type="dxa"/>
          </w:tcPr>
          <w:p w14:paraId="18B5D9C9" w14:textId="77777777" w:rsidR="003D4653" w:rsidRPr="00873B6C" w:rsidRDefault="003D4653" w:rsidP="00C9561D">
            <w:pPr>
              <w:pStyle w:val="TAL"/>
            </w:pPr>
            <w:r w:rsidRPr="00873B6C">
              <w:t>Event measurement threshold</w:t>
            </w:r>
          </w:p>
        </w:tc>
        <w:tc>
          <w:tcPr>
            <w:tcW w:w="4124" w:type="dxa"/>
          </w:tcPr>
          <w:p w14:paraId="1370A074" w14:textId="77777777" w:rsidR="003D4653" w:rsidRPr="00873B6C" w:rsidRDefault="003D4653" w:rsidP="00C9561D">
            <w:pPr>
              <w:pStyle w:val="TAL"/>
            </w:pPr>
            <w:r w:rsidRPr="00873B6C">
              <w:t>Number of events (identified according to a locally configured policy) after which the measurement report is to be generated.</w:t>
            </w:r>
          </w:p>
        </w:tc>
        <w:tc>
          <w:tcPr>
            <w:tcW w:w="2904" w:type="dxa"/>
          </w:tcPr>
          <w:p w14:paraId="62C850F7" w14:textId="77777777" w:rsidR="003D4653" w:rsidRPr="00873B6C" w:rsidRDefault="003D4653" w:rsidP="00C9561D">
            <w:pPr>
              <w:pStyle w:val="TAL"/>
            </w:pPr>
          </w:p>
        </w:tc>
      </w:tr>
      <w:tr w:rsidR="003D4653" w:rsidRPr="00873B6C" w14:paraId="3C9C9D0D" w14:textId="77777777" w:rsidTr="00C9561D">
        <w:trPr>
          <w:cantSplit/>
          <w:jc w:val="center"/>
        </w:trPr>
        <w:tc>
          <w:tcPr>
            <w:tcW w:w="2603" w:type="dxa"/>
          </w:tcPr>
          <w:p w14:paraId="7B0211B1" w14:textId="0CE2C3B4" w:rsidR="003D4653" w:rsidRPr="00873B6C" w:rsidRDefault="003D4653" w:rsidP="003D4653">
            <w:pPr>
              <w:pStyle w:val="TAL"/>
            </w:pPr>
            <w:r w:rsidRPr="00873B6C">
              <w:t>Inactivity detection time</w:t>
            </w:r>
          </w:p>
        </w:tc>
        <w:tc>
          <w:tcPr>
            <w:tcW w:w="4124" w:type="dxa"/>
          </w:tcPr>
          <w:p w14:paraId="196DB860" w14:textId="77777777" w:rsidR="003D4653" w:rsidRPr="00873B6C" w:rsidRDefault="003D4653" w:rsidP="00C9561D">
            <w:pPr>
              <w:pStyle w:val="TAL"/>
            </w:pPr>
            <w:r w:rsidRPr="00873B6C">
              <w:t>Defines the period of time after which the time measurement shall stop, if no packets are received.</w:t>
            </w:r>
          </w:p>
        </w:tc>
        <w:tc>
          <w:tcPr>
            <w:tcW w:w="2904" w:type="dxa"/>
          </w:tcPr>
          <w:p w14:paraId="21470522" w14:textId="77777777" w:rsidR="003D4653" w:rsidRPr="00873B6C" w:rsidRDefault="003D4653" w:rsidP="00C9561D">
            <w:pPr>
              <w:pStyle w:val="TAL"/>
            </w:pPr>
            <w:r w:rsidRPr="00873B6C">
              <w:t>Timer corresponding to this duration is restarted at the end of each transmitted packet.</w:t>
            </w:r>
          </w:p>
        </w:tc>
      </w:tr>
      <w:tr w:rsidR="003D4653" w:rsidRPr="00873B6C" w14:paraId="17AC29F6" w14:textId="77777777" w:rsidTr="00C9561D">
        <w:trPr>
          <w:cantSplit/>
          <w:jc w:val="center"/>
        </w:trPr>
        <w:tc>
          <w:tcPr>
            <w:tcW w:w="2603" w:type="dxa"/>
          </w:tcPr>
          <w:p w14:paraId="5F41E24C" w14:textId="77777777" w:rsidR="003D4653" w:rsidRPr="00873B6C" w:rsidRDefault="003D4653" w:rsidP="00C9561D">
            <w:pPr>
              <w:pStyle w:val="TAL"/>
            </w:pPr>
            <w:r w:rsidRPr="00873B6C">
              <w:t>Event based reporting</w:t>
            </w:r>
          </w:p>
        </w:tc>
        <w:tc>
          <w:tcPr>
            <w:tcW w:w="4124" w:type="dxa"/>
          </w:tcPr>
          <w:p w14:paraId="7D9370FF" w14:textId="77777777" w:rsidR="003D4653" w:rsidRPr="00873B6C" w:rsidRDefault="003D4653" w:rsidP="00C9561D">
            <w:pPr>
              <w:pStyle w:val="TAL"/>
            </w:pPr>
            <w:r w:rsidRPr="00873B6C">
              <w:t>Points to a locally configured policy which is identifies event(s) trigger for generating usage report.</w:t>
            </w:r>
          </w:p>
        </w:tc>
        <w:tc>
          <w:tcPr>
            <w:tcW w:w="2904" w:type="dxa"/>
          </w:tcPr>
          <w:p w14:paraId="1C62DC5A" w14:textId="77777777" w:rsidR="003D4653" w:rsidRPr="00873B6C" w:rsidRDefault="003D4653" w:rsidP="00C9561D">
            <w:pPr>
              <w:pStyle w:val="TAL"/>
            </w:pPr>
          </w:p>
        </w:tc>
      </w:tr>
      <w:tr w:rsidR="003D4653" w:rsidRPr="00873B6C" w14:paraId="3247CE84" w14:textId="77777777" w:rsidTr="00C9561D">
        <w:trPr>
          <w:cantSplit/>
          <w:jc w:val="center"/>
        </w:trPr>
        <w:tc>
          <w:tcPr>
            <w:tcW w:w="2603" w:type="dxa"/>
          </w:tcPr>
          <w:p w14:paraId="42D27DDC" w14:textId="77777777" w:rsidR="003D4653" w:rsidRPr="00873B6C" w:rsidRDefault="003D4653" w:rsidP="00C9561D">
            <w:pPr>
              <w:pStyle w:val="TAL"/>
            </w:pPr>
            <w:r w:rsidRPr="00873B6C">
              <w:t>Linked URR ID(s)</w:t>
            </w:r>
          </w:p>
        </w:tc>
        <w:tc>
          <w:tcPr>
            <w:tcW w:w="4124" w:type="dxa"/>
          </w:tcPr>
          <w:p w14:paraId="2033434E" w14:textId="77777777" w:rsidR="003D4653" w:rsidRPr="00873B6C" w:rsidRDefault="003D4653" w:rsidP="00C9561D">
            <w:pPr>
              <w:pStyle w:val="TAL"/>
            </w:pPr>
            <w:r w:rsidRPr="00873B6C">
              <w:rPr>
                <w:lang w:eastAsia="zh-CN"/>
              </w:rPr>
              <w:t>Points to one or more other URR ID.</w:t>
            </w:r>
          </w:p>
        </w:tc>
        <w:tc>
          <w:tcPr>
            <w:tcW w:w="2904" w:type="dxa"/>
          </w:tcPr>
          <w:p w14:paraId="69A9CDC4" w14:textId="77777777" w:rsidR="003D4653" w:rsidRPr="00873B6C" w:rsidRDefault="003D4653" w:rsidP="00C9561D">
            <w:pPr>
              <w:pStyle w:val="TAL"/>
            </w:pPr>
            <w:r w:rsidRPr="00873B6C">
              <w:t>This enables the generation of a combined Usage Report for this and other URRs by triggering their reporting. See clause 5.2.2.4, TS 29.244 [65].</w:t>
            </w:r>
          </w:p>
        </w:tc>
      </w:tr>
      <w:tr w:rsidR="003D4653" w:rsidRPr="00873B6C" w14:paraId="2B1EC6E6" w14:textId="77777777" w:rsidTr="00C9561D">
        <w:trPr>
          <w:cantSplit/>
          <w:jc w:val="center"/>
        </w:trPr>
        <w:tc>
          <w:tcPr>
            <w:tcW w:w="2603" w:type="dxa"/>
          </w:tcPr>
          <w:p w14:paraId="07CA7087" w14:textId="77777777" w:rsidR="003D4653" w:rsidRPr="00873B6C" w:rsidRDefault="003D4653" w:rsidP="00C9561D">
            <w:pPr>
              <w:pStyle w:val="TAL"/>
            </w:pPr>
            <w:r w:rsidRPr="00873B6C">
              <w:t>Measurement Method</w:t>
            </w:r>
          </w:p>
        </w:tc>
        <w:tc>
          <w:tcPr>
            <w:tcW w:w="4124" w:type="dxa"/>
          </w:tcPr>
          <w:p w14:paraId="7C4BA4F6" w14:textId="77777777" w:rsidR="003D4653" w:rsidRPr="00873B6C" w:rsidRDefault="003D4653" w:rsidP="00C9561D">
            <w:pPr>
              <w:pStyle w:val="TAL"/>
            </w:pPr>
            <w:r w:rsidRPr="00873B6C">
              <w:t xml:space="preserve">Indicates the method for measuring the network resources usage, i.e. the </w:t>
            </w:r>
            <w:r w:rsidRPr="00873B6C">
              <w:rPr>
                <w:szCs w:val="18"/>
              </w:rPr>
              <w:t>data volume, duration, combined volume/duration, or event.</w:t>
            </w:r>
          </w:p>
        </w:tc>
        <w:tc>
          <w:tcPr>
            <w:tcW w:w="2904" w:type="dxa"/>
          </w:tcPr>
          <w:p w14:paraId="7D045ADD" w14:textId="77777777" w:rsidR="003D4653" w:rsidRPr="00873B6C" w:rsidRDefault="003D4653" w:rsidP="00C9561D">
            <w:pPr>
              <w:pStyle w:val="TAL"/>
            </w:pPr>
          </w:p>
        </w:tc>
      </w:tr>
      <w:tr w:rsidR="003D4653" w:rsidRPr="00873B6C" w14:paraId="1C8F0488" w14:textId="77777777" w:rsidTr="00C9561D">
        <w:trPr>
          <w:cantSplit/>
          <w:jc w:val="center"/>
        </w:trPr>
        <w:tc>
          <w:tcPr>
            <w:tcW w:w="2603" w:type="dxa"/>
          </w:tcPr>
          <w:p w14:paraId="56C12DB6" w14:textId="77777777" w:rsidR="003D4653" w:rsidRPr="00873B6C" w:rsidRDefault="003D4653" w:rsidP="00C9561D">
            <w:pPr>
              <w:pStyle w:val="TAL"/>
            </w:pPr>
            <w:r w:rsidRPr="00873B6C">
              <w:lastRenderedPageBreak/>
              <w:t>Measurement information</w:t>
            </w:r>
          </w:p>
        </w:tc>
        <w:tc>
          <w:tcPr>
            <w:tcW w:w="4124" w:type="dxa"/>
          </w:tcPr>
          <w:p w14:paraId="4C0375E2" w14:textId="77777777" w:rsidR="003D4653" w:rsidRPr="00873B6C" w:rsidRDefault="003D4653" w:rsidP="00C9561D">
            <w:pPr>
              <w:pStyle w:val="TAL"/>
            </w:pPr>
            <w:r w:rsidRPr="00873B6C">
              <w:t>Indicates specific conditions to be applied for measurements</w:t>
            </w:r>
          </w:p>
        </w:tc>
        <w:tc>
          <w:tcPr>
            <w:tcW w:w="2904" w:type="dxa"/>
          </w:tcPr>
          <w:p w14:paraId="3BCE45FB" w14:textId="77777777" w:rsidR="003D4653" w:rsidRPr="00873B6C" w:rsidRDefault="003D4653" w:rsidP="00C9561D">
            <w:pPr>
              <w:pStyle w:val="FP"/>
            </w:pPr>
            <w:r w:rsidRPr="00873B6C">
              <w:t>It is used to request:</w:t>
            </w:r>
          </w:p>
          <w:p w14:paraId="735F70B8" w14:textId="20BE3210" w:rsidR="003D4653" w:rsidRPr="00873B6C" w:rsidRDefault="003D4653" w:rsidP="00C9561D">
            <w:pPr>
              <w:pStyle w:val="FP"/>
              <w:ind w:left="316" w:hanging="316"/>
            </w:pPr>
            <w:r w:rsidRPr="00873B6C">
              <w:t>-</w:t>
            </w:r>
            <w:r w:rsidRPr="00873B6C">
              <w:tab/>
              <w:t>measurement before QoS enforcement</w:t>
            </w:r>
            <w:r w:rsidR="00472CD7" w:rsidRPr="00873B6C">
              <w:t xml:space="preserve"> and</w:t>
            </w:r>
            <w:r w:rsidRPr="00873B6C">
              <w:t>/or</w:t>
            </w:r>
          </w:p>
          <w:p w14:paraId="2F742813" w14:textId="1C07B9DE" w:rsidR="003D4653" w:rsidRPr="00873B6C" w:rsidRDefault="003D4653" w:rsidP="00C9561D">
            <w:pPr>
              <w:pStyle w:val="FP"/>
              <w:ind w:left="316" w:hanging="316"/>
            </w:pPr>
            <w:r w:rsidRPr="00873B6C">
              <w:t>-</w:t>
            </w:r>
            <w:r w:rsidRPr="00873B6C">
              <w:tab/>
              <w:t xml:space="preserve">to pause or set to active a measurement as for the Pause of charging described in clause 4.4.4 and clause 4.23.14 of </w:t>
            </w:r>
            <w:r w:rsidR="00972E70" w:rsidRPr="00873B6C">
              <w:t>TS 23.502 [</w:t>
            </w:r>
            <w:r w:rsidRPr="00873B6C">
              <w:t>3]</w:t>
            </w:r>
            <w:r w:rsidR="00472CD7" w:rsidRPr="00873B6C">
              <w:t xml:space="preserve"> and</w:t>
            </w:r>
            <w:r w:rsidRPr="00873B6C">
              <w:t>/or</w:t>
            </w:r>
          </w:p>
          <w:p w14:paraId="163223AB" w14:textId="77777777" w:rsidR="003D4653" w:rsidRPr="00873B6C" w:rsidRDefault="003D4653" w:rsidP="00C9561D">
            <w:pPr>
              <w:pStyle w:val="FP"/>
              <w:ind w:left="316" w:hanging="316"/>
            </w:pPr>
            <w:r w:rsidRPr="00873B6C">
              <w:t>-</w:t>
            </w:r>
            <w:r w:rsidRPr="00873B6C">
              <w:tab/>
              <w:t>to request reduced reporting for application start/stop events.</w:t>
            </w:r>
          </w:p>
        </w:tc>
      </w:tr>
    </w:tbl>
    <w:p w14:paraId="35AD8BBB" w14:textId="77777777" w:rsidR="003D4653" w:rsidRPr="00873B6C" w:rsidRDefault="003D4653" w:rsidP="003D4653">
      <w:pPr>
        <w:pStyle w:val="FP"/>
      </w:pPr>
    </w:p>
    <w:p w14:paraId="5DD652DC" w14:textId="77777777" w:rsidR="003D4653" w:rsidRPr="00873B6C" w:rsidRDefault="003D4653" w:rsidP="00972E70">
      <w:pPr>
        <w:pStyle w:val="Heading4"/>
      </w:pPr>
      <w:bookmarkStart w:id="2325" w:name="_CR5_8_5_6"/>
      <w:bookmarkStart w:id="2326" w:name="_Toc201157220"/>
      <w:bookmarkEnd w:id="2325"/>
      <w:r w:rsidRPr="00873B6C">
        <w:t>5.8.5.6</w:t>
      </w:r>
      <w:r w:rsidRPr="00873B6C">
        <w:tab/>
        <w:t>Forwarding Action Rule</w:t>
      </w:r>
      <w:bookmarkEnd w:id="2326"/>
    </w:p>
    <w:p w14:paraId="0235982B" w14:textId="77777777" w:rsidR="003D4653" w:rsidRPr="00873B6C" w:rsidRDefault="003D4653" w:rsidP="003D4653">
      <w:pPr>
        <w:rPr>
          <w:lang w:eastAsia="x-none"/>
        </w:rPr>
      </w:pPr>
      <w:r w:rsidRPr="00873B6C">
        <w:rPr>
          <w:lang w:eastAsia="x-none"/>
        </w:rPr>
        <w:t>The following table describes the Forwarding Action Rule (FAR) that defines how a packet shall be buffered, dropped or forwarded, including packet encapsulation/decapsulation and forwarding destination.</w:t>
      </w:r>
    </w:p>
    <w:p w14:paraId="5D1B5FB8" w14:textId="77777777" w:rsidR="003D4653" w:rsidRPr="00873B6C" w:rsidRDefault="003D4653" w:rsidP="003D4653">
      <w:pPr>
        <w:pStyle w:val="TH"/>
      </w:pPr>
      <w:bookmarkStart w:id="2327" w:name="_CRTable5_8_5_61"/>
      <w:r w:rsidRPr="00873B6C">
        <w:lastRenderedPageBreak/>
        <w:t xml:space="preserve">Table </w:t>
      </w:r>
      <w:bookmarkEnd w:id="2327"/>
      <w:r w:rsidRPr="00873B6C">
        <w:t>5.8.5.6-1: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3D4653" w:rsidRPr="00873B6C" w14:paraId="5431AD54" w14:textId="77777777" w:rsidTr="00C9561D">
        <w:trPr>
          <w:cantSplit/>
          <w:jc w:val="center"/>
        </w:trPr>
        <w:tc>
          <w:tcPr>
            <w:tcW w:w="2605" w:type="dxa"/>
          </w:tcPr>
          <w:p w14:paraId="7E33F53A" w14:textId="77777777" w:rsidR="003D4653" w:rsidRPr="00873B6C" w:rsidRDefault="003D4653" w:rsidP="00C9561D">
            <w:pPr>
              <w:pStyle w:val="TAH"/>
            </w:pPr>
            <w:r w:rsidRPr="00873B6C">
              <w:lastRenderedPageBreak/>
              <w:t>Attribute</w:t>
            </w:r>
          </w:p>
        </w:tc>
        <w:tc>
          <w:tcPr>
            <w:tcW w:w="4141" w:type="dxa"/>
          </w:tcPr>
          <w:p w14:paraId="2A53ABAE" w14:textId="77777777" w:rsidR="003D4653" w:rsidRPr="00873B6C" w:rsidRDefault="003D4653" w:rsidP="00C9561D">
            <w:pPr>
              <w:pStyle w:val="TAH"/>
            </w:pPr>
            <w:r w:rsidRPr="00873B6C">
              <w:t>Description</w:t>
            </w:r>
          </w:p>
        </w:tc>
        <w:tc>
          <w:tcPr>
            <w:tcW w:w="2885" w:type="dxa"/>
          </w:tcPr>
          <w:p w14:paraId="66EE048E" w14:textId="77777777" w:rsidR="003D4653" w:rsidRPr="00873B6C" w:rsidRDefault="003D4653" w:rsidP="00C9561D">
            <w:pPr>
              <w:pStyle w:val="TAH"/>
            </w:pPr>
            <w:r w:rsidRPr="00873B6C">
              <w:t>Comment</w:t>
            </w:r>
          </w:p>
        </w:tc>
      </w:tr>
      <w:tr w:rsidR="003D4653" w:rsidRPr="00873B6C" w14:paraId="2E7A8666" w14:textId="77777777" w:rsidTr="00C9561D">
        <w:trPr>
          <w:cantSplit/>
          <w:jc w:val="center"/>
        </w:trPr>
        <w:tc>
          <w:tcPr>
            <w:tcW w:w="2605" w:type="dxa"/>
          </w:tcPr>
          <w:p w14:paraId="10D33F05" w14:textId="77777777" w:rsidR="003D4653" w:rsidRPr="00873B6C" w:rsidRDefault="003D4653" w:rsidP="00C9561D">
            <w:pPr>
              <w:pStyle w:val="TAL"/>
            </w:pPr>
            <w:r w:rsidRPr="00873B6C">
              <w:t>N4 Session ID</w:t>
            </w:r>
          </w:p>
        </w:tc>
        <w:tc>
          <w:tcPr>
            <w:tcW w:w="4141" w:type="dxa"/>
          </w:tcPr>
          <w:p w14:paraId="13254B95" w14:textId="77777777" w:rsidR="003D4653" w:rsidRPr="00873B6C" w:rsidRDefault="003D4653" w:rsidP="00C9561D">
            <w:pPr>
              <w:pStyle w:val="TAL"/>
            </w:pPr>
            <w:r w:rsidRPr="00873B6C">
              <w:t>Identifies the N4 session associated to this FAR.</w:t>
            </w:r>
          </w:p>
        </w:tc>
        <w:tc>
          <w:tcPr>
            <w:tcW w:w="2885" w:type="dxa"/>
          </w:tcPr>
          <w:p w14:paraId="18D13F6A" w14:textId="77777777" w:rsidR="003D4653" w:rsidRPr="00873B6C" w:rsidRDefault="003D4653" w:rsidP="00C9561D">
            <w:pPr>
              <w:pStyle w:val="TAL"/>
            </w:pPr>
            <w:r w:rsidRPr="00873B6C">
              <w:t>NOTE 9.</w:t>
            </w:r>
          </w:p>
        </w:tc>
      </w:tr>
      <w:tr w:rsidR="003D4653" w:rsidRPr="00873B6C" w14:paraId="38F50F7C" w14:textId="77777777" w:rsidTr="00C9561D">
        <w:trPr>
          <w:cantSplit/>
          <w:jc w:val="center"/>
        </w:trPr>
        <w:tc>
          <w:tcPr>
            <w:tcW w:w="2605" w:type="dxa"/>
          </w:tcPr>
          <w:p w14:paraId="2D82B612" w14:textId="77777777" w:rsidR="003D4653" w:rsidRPr="00873B6C" w:rsidRDefault="003D4653" w:rsidP="00C9561D">
            <w:pPr>
              <w:pStyle w:val="TAL"/>
            </w:pPr>
            <w:r w:rsidRPr="00873B6C">
              <w:t>Rule ID</w:t>
            </w:r>
          </w:p>
        </w:tc>
        <w:tc>
          <w:tcPr>
            <w:tcW w:w="4141" w:type="dxa"/>
          </w:tcPr>
          <w:p w14:paraId="0A8FA12A" w14:textId="77777777" w:rsidR="003D4653" w:rsidRPr="00873B6C" w:rsidRDefault="003D4653" w:rsidP="00C9561D">
            <w:pPr>
              <w:pStyle w:val="TAL"/>
            </w:pPr>
            <w:r w:rsidRPr="00873B6C">
              <w:t>Unique identifier to identify this information.</w:t>
            </w:r>
          </w:p>
        </w:tc>
        <w:tc>
          <w:tcPr>
            <w:tcW w:w="2885" w:type="dxa"/>
          </w:tcPr>
          <w:p w14:paraId="43268CD1" w14:textId="77777777" w:rsidR="003D4653" w:rsidRPr="00873B6C" w:rsidRDefault="003D4653" w:rsidP="00C9561D">
            <w:pPr>
              <w:pStyle w:val="TAL"/>
            </w:pPr>
          </w:p>
        </w:tc>
      </w:tr>
      <w:tr w:rsidR="003D4653" w:rsidRPr="00873B6C" w14:paraId="200A2FC5" w14:textId="77777777" w:rsidTr="00C9561D">
        <w:trPr>
          <w:cantSplit/>
          <w:jc w:val="center"/>
        </w:trPr>
        <w:tc>
          <w:tcPr>
            <w:tcW w:w="2605" w:type="dxa"/>
          </w:tcPr>
          <w:p w14:paraId="2C5FCE8E" w14:textId="77777777" w:rsidR="003D4653" w:rsidRPr="00873B6C" w:rsidRDefault="003D4653" w:rsidP="00C9561D">
            <w:pPr>
              <w:pStyle w:val="TAL"/>
            </w:pPr>
            <w:r w:rsidRPr="00873B6C">
              <w:t>Action</w:t>
            </w:r>
          </w:p>
        </w:tc>
        <w:tc>
          <w:tcPr>
            <w:tcW w:w="4141" w:type="dxa"/>
          </w:tcPr>
          <w:p w14:paraId="7283F480" w14:textId="77777777" w:rsidR="003D4653" w:rsidRPr="00873B6C" w:rsidRDefault="003D4653" w:rsidP="00C9561D">
            <w:pPr>
              <w:pStyle w:val="TAL"/>
            </w:pPr>
            <w:r w:rsidRPr="00873B6C">
              <w:t>Identifies the action to apply to the packet</w:t>
            </w:r>
          </w:p>
        </w:tc>
        <w:tc>
          <w:tcPr>
            <w:tcW w:w="2885" w:type="dxa"/>
          </w:tcPr>
          <w:p w14:paraId="4B47C750" w14:textId="77777777" w:rsidR="003D4653" w:rsidRPr="00873B6C" w:rsidRDefault="003D4653" w:rsidP="00C9561D">
            <w:pPr>
              <w:pStyle w:val="TAL"/>
            </w:pPr>
            <w:r w:rsidRPr="00873B6C">
              <w:t>Indicates whether the packet is to be forwarded, duplicated, dropped or buffered.</w:t>
            </w:r>
          </w:p>
          <w:p w14:paraId="1BB628CC" w14:textId="77777777" w:rsidR="003D4653" w:rsidRPr="00873B6C" w:rsidRDefault="003D4653" w:rsidP="00C9561D">
            <w:pPr>
              <w:pStyle w:val="TAL"/>
            </w:pPr>
            <w:r w:rsidRPr="00873B6C">
              <w:t>When action indicates forwarding or duplicating, a number of additional attributes are included in the FAR.</w:t>
            </w:r>
          </w:p>
          <w:p w14:paraId="3647E0B1" w14:textId="77777777" w:rsidR="003D4653" w:rsidRPr="00873B6C" w:rsidRDefault="003D4653" w:rsidP="00C9561D">
            <w:pPr>
              <w:pStyle w:val="TAL"/>
            </w:pPr>
            <w:r w:rsidRPr="00873B6C">
              <w:t>For buffering action, a Buffer Action Rule is also included and the action can also indicate that a notification of the first buffered and/or a notification of first discarded packet is requested (see clause 5.8.3.2).</w:t>
            </w:r>
          </w:p>
          <w:p w14:paraId="7E83C42F" w14:textId="77777777" w:rsidR="003D4653" w:rsidRPr="00873B6C" w:rsidRDefault="003D4653" w:rsidP="00C9561D">
            <w:pPr>
              <w:pStyle w:val="TAL"/>
            </w:pPr>
            <w:r w:rsidRPr="00873B6C">
              <w:t>For drop action, a notification of the discarded packet may be requested (see clause 5.8.3.2).</w:t>
            </w:r>
          </w:p>
        </w:tc>
      </w:tr>
      <w:tr w:rsidR="003D4653" w:rsidRPr="00873B6C" w14:paraId="0BE573FA" w14:textId="77777777" w:rsidTr="00C9561D">
        <w:trPr>
          <w:cantSplit/>
          <w:jc w:val="center"/>
        </w:trPr>
        <w:tc>
          <w:tcPr>
            <w:tcW w:w="2605" w:type="dxa"/>
          </w:tcPr>
          <w:p w14:paraId="41D7533C" w14:textId="77777777" w:rsidR="003D4653" w:rsidRPr="00873B6C" w:rsidRDefault="003D4653" w:rsidP="00C9561D">
            <w:pPr>
              <w:pStyle w:val="TAL"/>
            </w:pPr>
            <w:r w:rsidRPr="00873B6C">
              <w:t>Network instance</w:t>
            </w:r>
          </w:p>
          <w:p w14:paraId="7CA10740" w14:textId="7D31803D" w:rsidR="003D4653" w:rsidRPr="00873B6C" w:rsidRDefault="003D4653" w:rsidP="00C9561D">
            <w:pPr>
              <w:pStyle w:val="TAL"/>
            </w:pPr>
            <w:r w:rsidRPr="00873B6C">
              <w:t>(NOTE</w:t>
            </w:r>
            <w:r w:rsidR="00411DE4" w:rsidRPr="00873B6C">
              <w:t> </w:t>
            </w:r>
            <w:r w:rsidRPr="00873B6C">
              <w:t>2)</w:t>
            </w:r>
          </w:p>
        </w:tc>
        <w:tc>
          <w:tcPr>
            <w:tcW w:w="4141" w:type="dxa"/>
          </w:tcPr>
          <w:p w14:paraId="48A01604" w14:textId="77777777" w:rsidR="003D4653" w:rsidRPr="00873B6C" w:rsidRDefault="003D4653" w:rsidP="00C9561D">
            <w:pPr>
              <w:pStyle w:val="TAL"/>
            </w:pPr>
            <w:r w:rsidRPr="00873B6C">
              <w:t>Identifies the Network instance associated with the outgoing packet (NOTE 1).</w:t>
            </w:r>
          </w:p>
        </w:tc>
        <w:tc>
          <w:tcPr>
            <w:tcW w:w="2885" w:type="dxa"/>
          </w:tcPr>
          <w:p w14:paraId="4079635B" w14:textId="77777777" w:rsidR="003D4653" w:rsidRPr="00873B6C" w:rsidRDefault="003D4653" w:rsidP="00C9561D">
            <w:pPr>
              <w:pStyle w:val="TAL"/>
            </w:pPr>
            <w:r w:rsidRPr="00873B6C">
              <w:t>NOTE 8.</w:t>
            </w:r>
          </w:p>
        </w:tc>
      </w:tr>
      <w:tr w:rsidR="003D4653" w:rsidRPr="00873B6C" w14:paraId="31D80429" w14:textId="77777777" w:rsidTr="00C9561D">
        <w:trPr>
          <w:cantSplit/>
          <w:jc w:val="center"/>
        </w:trPr>
        <w:tc>
          <w:tcPr>
            <w:tcW w:w="2605" w:type="dxa"/>
          </w:tcPr>
          <w:p w14:paraId="7C9EF018" w14:textId="77777777" w:rsidR="003D4653" w:rsidRPr="00873B6C" w:rsidRDefault="003D4653" w:rsidP="00C9561D">
            <w:pPr>
              <w:pStyle w:val="TAL"/>
            </w:pPr>
            <w:r w:rsidRPr="00873B6C">
              <w:t>Destination interface</w:t>
            </w:r>
          </w:p>
          <w:p w14:paraId="786DC459" w14:textId="6F119D8B" w:rsidR="003D4653" w:rsidRPr="00873B6C" w:rsidRDefault="003D4653" w:rsidP="00C9561D">
            <w:pPr>
              <w:pStyle w:val="TAL"/>
            </w:pPr>
            <w:r w:rsidRPr="00873B6C">
              <w:t>(NOTE</w:t>
            </w:r>
            <w:r w:rsidR="00411DE4" w:rsidRPr="00873B6C">
              <w:t> </w:t>
            </w:r>
            <w:r w:rsidRPr="00873B6C">
              <w:t>3)</w:t>
            </w:r>
          </w:p>
          <w:p w14:paraId="26127F72" w14:textId="11D5C13B" w:rsidR="003D4653" w:rsidRPr="00873B6C" w:rsidRDefault="003D4653" w:rsidP="00C9561D">
            <w:pPr>
              <w:pStyle w:val="TAL"/>
            </w:pPr>
            <w:r w:rsidRPr="00873B6C">
              <w:t>(NOTE</w:t>
            </w:r>
            <w:r w:rsidR="00411DE4" w:rsidRPr="00873B6C">
              <w:t> </w:t>
            </w:r>
            <w:r w:rsidRPr="00873B6C">
              <w:t>7)</w:t>
            </w:r>
          </w:p>
        </w:tc>
        <w:tc>
          <w:tcPr>
            <w:tcW w:w="4141" w:type="dxa"/>
          </w:tcPr>
          <w:p w14:paraId="2EB00EA8" w14:textId="77777777" w:rsidR="003D4653" w:rsidRPr="00873B6C" w:rsidRDefault="003D4653" w:rsidP="00C9561D">
            <w:pPr>
              <w:pStyle w:val="TAL"/>
            </w:pPr>
            <w:r w:rsidRPr="00873B6C">
              <w:t>Contains the values "access side", "core side", "SMF", "N6-LAN", "5G VN internal".</w:t>
            </w:r>
          </w:p>
        </w:tc>
        <w:tc>
          <w:tcPr>
            <w:tcW w:w="2885" w:type="dxa"/>
          </w:tcPr>
          <w:p w14:paraId="332F1F7E" w14:textId="77777777" w:rsidR="003D4653" w:rsidRPr="00873B6C" w:rsidRDefault="003D4653" w:rsidP="00C9561D">
            <w:pPr>
              <w:pStyle w:val="TAL"/>
            </w:pPr>
            <w:r w:rsidRPr="00873B6C">
              <w:t>Identifies the interface for outgoing packets towards the access side (i.e. down-link), the core side (i.e. up-link), the SMF, the N6-LAN (i.e. the DN), or to 5G VN internal (i.e. local switch).</w:t>
            </w:r>
          </w:p>
        </w:tc>
      </w:tr>
      <w:tr w:rsidR="003D4653" w:rsidRPr="00873B6C" w14:paraId="6B1172CA" w14:textId="77777777" w:rsidTr="00C9561D">
        <w:trPr>
          <w:cantSplit/>
          <w:jc w:val="center"/>
        </w:trPr>
        <w:tc>
          <w:tcPr>
            <w:tcW w:w="2605" w:type="dxa"/>
          </w:tcPr>
          <w:p w14:paraId="47245523" w14:textId="77777777" w:rsidR="003D4653" w:rsidRPr="00873B6C" w:rsidRDefault="003D4653" w:rsidP="00C9561D">
            <w:pPr>
              <w:pStyle w:val="TAL"/>
            </w:pPr>
            <w:r w:rsidRPr="00873B6C">
              <w:t>Outer header creation</w:t>
            </w:r>
          </w:p>
          <w:p w14:paraId="57E2FB0D" w14:textId="50629EEB" w:rsidR="003D4653" w:rsidRPr="00873B6C" w:rsidRDefault="003D4653" w:rsidP="00C9561D">
            <w:pPr>
              <w:pStyle w:val="TAL"/>
            </w:pPr>
            <w:r w:rsidRPr="00873B6C">
              <w:t>(NOTE</w:t>
            </w:r>
            <w:r w:rsidR="00411DE4" w:rsidRPr="00873B6C">
              <w:t> </w:t>
            </w:r>
            <w:r w:rsidRPr="00873B6C">
              <w:t>3)</w:t>
            </w:r>
          </w:p>
        </w:tc>
        <w:tc>
          <w:tcPr>
            <w:tcW w:w="4141" w:type="dxa"/>
          </w:tcPr>
          <w:p w14:paraId="39C60BAC" w14:textId="77777777" w:rsidR="003D4653" w:rsidRPr="00873B6C" w:rsidRDefault="003D4653" w:rsidP="00C9561D">
            <w:pPr>
              <w:pStyle w:val="TAL"/>
            </w:pPr>
            <w:r w:rsidRPr="00873B6C">
              <w:t>Instructs the UP function to add an outer header (e.g. IP+UDP+GTP, VLAN tag), IP + possibly UDP to the outgoing packet.</w:t>
            </w:r>
          </w:p>
        </w:tc>
        <w:tc>
          <w:tcPr>
            <w:tcW w:w="2885" w:type="dxa"/>
          </w:tcPr>
          <w:p w14:paraId="7DBA992D" w14:textId="77777777" w:rsidR="003D4653" w:rsidRPr="00873B6C" w:rsidRDefault="003D4653" w:rsidP="00C9561D">
            <w:pPr>
              <w:pStyle w:val="TAL"/>
            </w:pPr>
            <w:r w:rsidRPr="00873B6C">
              <w:t>Contains the CN tunnel info, N6 tunnel info or AN tunnel info of peer entity (e.g. NG-RAN, another UPF, SMF, local access to a DN represented by a DNAI) (NOTE 8).</w:t>
            </w:r>
          </w:p>
          <w:p w14:paraId="7A934F6D" w14:textId="77777777" w:rsidR="003D4653" w:rsidRPr="00873B6C" w:rsidRDefault="003D4653" w:rsidP="00C9561D">
            <w:pPr>
              <w:pStyle w:val="TAL"/>
            </w:pPr>
            <w:r w:rsidRPr="00873B6C">
              <w:t>Any extension header stored for this packet shall be added.</w:t>
            </w:r>
          </w:p>
          <w:p w14:paraId="1828AA14" w14:textId="26C29832" w:rsidR="003D4653" w:rsidRPr="00873B6C" w:rsidRDefault="003D4653" w:rsidP="00114986">
            <w:pPr>
              <w:pStyle w:val="TAL"/>
            </w:pPr>
            <w:r w:rsidRPr="00873B6C">
              <w:t>The time stamps should be added in the GTP-U header if QoS Monitoring for packet delay is enabled for the traffic corresponding to the PDR(s).</w:t>
            </w:r>
          </w:p>
        </w:tc>
      </w:tr>
      <w:tr w:rsidR="003D4653" w:rsidRPr="00873B6C" w14:paraId="0B01C557" w14:textId="77777777" w:rsidTr="00C9561D">
        <w:trPr>
          <w:cantSplit/>
          <w:jc w:val="center"/>
        </w:trPr>
        <w:tc>
          <w:tcPr>
            <w:tcW w:w="2605" w:type="dxa"/>
          </w:tcPr>
          <w:p w14:paraId="176DB210" w14:textId="77777777" w:rsidR="003D4653" w:rsidRPr="00873B6C" w:rsidRDefault="003D4653" w:rsidP="00C9561D">
            <w:pPr>
              <w:pStyle w:val="TAL"/>
            </w:pPr>
            <w:r w:rsidRPr="00873B6C">
              <w:t>Send end marker packet(s)</w:t>
            </w:r>
          </w:p>
          <w:p w14:paraId="6654BAE5" w14:textId="49690D8B" w:rsidR="003D4653" w:rsidRPr="00873B6C" w:rsidRDefault="003D4653" w:rsidP="00C9561D">
            <w:pPr>
              <w:pStyle w:val="TAL"/>
            </w:pPr>
            <w:r w:rsidRPr="00873B6C">
              <w:t>(NOTE</w:t>
            </w:r>
            <w:r w:rsidR="00411DE4" w:rsidRPr="00873B6C">
              <w:t> </w:t>
            </w:r>
            <w:r w:rsidRPr="00873B6C">
              <w:t>2)</w:t>
            </w:r>
          </w:p>
        </w:tc>
        <w:tc>
          <w:tcPr>
            <w:tcW w:w="4141" w:type="dxa"/>
          </w:tcPr>
          <w:p w14:paraId="5B92CE0A" w14:textId="77777777" w:rsidR="003D4653" w:rsidRPr="00873B6C" w:rsidRDefault="003D4653" w:rsidP="00C9561D">
            <w:pPr>
              <w:pStyle w:val="TAL"/>
            </w:pPr>
            <w:r w:rsidRPr="00873B6C">
              <w:t>Instructs the UPF to construct end marker packet(s) and send them out as described in clause 5.8.1.</w:t>
            </w:r>
          </w:p>
        </w:tc>
        <w:tc>
          <w:tcPr>
            <w:tcW w:w="2885" w:type="dxa"/>
          </w:tcPr>
          <w:p w14:paraId="29F73039" w14:textId="77777777" w:rsidR="003D4653" w:rsidRPr="00873B6C" w:rsidRDefault="003D4653" w:rsidP="00C9561D">
            <w:pPr>
              <w:pStyle w:val="TAL"/>
            </w:pPr>
            <w:r w:rsidRPr="00873B6C">
              <w:t>This parameter should be sent together with the "outer header creation" parameter of the new CN tunnel info.</w:t>
            </w:r>
          </w:p>
        </w:tc>
      </w:tr>
      <w:tr w:rsidR="003D4653" w:rsidRPr="00873B6C" w14:paraId="00357C9C" w14:textId="77777777" w:rsidTr="00C9561D">
        <w:trPr>
          <w:cantSplit/>
          <w:jc w:val="center"/>
        </w:trPr>
        <w:tc>
          <w:tcPr>
            <w:tcW w:w="2605" w:type="dxa"/>
          </w:tcPr>
          <w:p w14:paraId="5DFC4AC8" w14:textId="77777777" w:rsidR="003D4653" w:rsidRPr="00873B6C" w:rsidRDefault="003D4653" w:rsidP="00C9561D">
            <w:pPr>
              <w:pStyle w:val="TAL"/>
            </w:pPr>
            <w:r w:rsidRPr="00873B6C">
              <w:t>Transport level marking</w:t>
            </w:r>
          </w:p>
          <w:p w14:paraId="32CDD2FE" w14:textId="5E395F8B" w:rsidR="003D4653" w:rsidRPr="00873B6C" w:rsidRDefault="003D4653" w:rsidP="00C9561D">
            <w:pPr>
              <w:pStyle w:val="TAL"/>
            </w:pPr>
            <w:r w:rsidRPr="00873B6C">
              <w:t>(NOTE</w:t>
            </w:r>
            <w:r w:rsidR="00411DE4" w:rsidRPr="00873B6C">
              <w:t> </w:t>
            </w:r>
            <w:r w:rsidRPr="00873B6C">
              <w:t>3)</w:t>
            </w:r>
          </w:p>
        </w:tc>
        <w:tc>
          <w:tcPr>
            <w:tcW w:w="4141" w:type="dxa"/>
          </w:tcPr>
          <w:p w14:paraId="1D24292D" w14:textId="77777777" w:rsidR="003D4653" w:rsidRPr="00873B6C" w:rsidRDefault="003D4653" w:rsidP="00C9561D">
            <w:pPr>
              <w:pStyle w:val="TAL"/>
            </w:pPr>
            <w:r w:rsidRPr="00873B6C">
              <w:t>Transport level packet marking in the uplink and downlink, e.g. setting the DiffServ Code Point.</w:t>
            </w:r>
          </w:p>
        </w:tc>
        <w:tc>
          <w:tcPr>
            <w:tcW w:w="2885" w:type="dxa"/>
          </w:tcPr>
          <w:p w14:paraId="0F4C6118" w14:textId="77777777" w:rsidR="003D4653" w:rsidRPr="00873B6C" w:rsidRDefault="003D4653" w:rsidP="00C9561D">
            <w:pPr>
              <w:pStyle w:val="TAL"/>
            </w:pPr>
            <w:r w:rsidRPr="00873B6C">
              <w:t>NOTE 8.</w:t>
            </w:r>
          </w:p>
        </w:tc>
      </w:tr>
      <w:tr w:rsidR="003D4653" w:rsidRPr="00873B6C" w14:paraId="3D2856F8" w14:textId="77777777" w:rsidTr="00C9561D">
        <w:trPr>
          <w:cantSplit/>
          <w:jc w:val="center"/>
        </w:trPr>
        <w:tc>
          <w:tcPr>
            <w:tcW w:w="2605" w:type="dxa"/>
          </w:tcPr>
          <w:p w14:paraId="1EFA2A91" w14:textId="77777777" w:rsidR="003D4653" w:rsidRPr="00873B6C" w:rsidRDefault="003D4653" w:rsidP="00C9561D">
            <w:pPr>
              <w:pStyle w:val="TAL"/>
            </w:pPr>
            <w:bookmarkStart w:id="2328" w:name="_PERM_MCCTEMPBM_CRPT38860007___2" w:colFirst="2" w:colLast="2"/>
            <w:bookmarkStart w:id="2329" w:name="_PERM_MCCTEMPBM_CRPT75020004___2" w:colFirst="2" w:colLast="2"/>
            <w:bookmarkStart w:id="2330" w:name="_PERM_MCCTEMPBM_CRPT37790004___2" w:colFirst="2" w:colLast="2"/>
            <w:bookmarkStart w:id="2331" w:name="_PERM_MCCTEMPBM_CRPT73640004___2" w:colFirst="2" w:colLast="2"/>
            <w:r w:rsidRPr="00873B6C">
              <w:t>Forwarding policy</w:t>
            </w:r>
          </w:p>
          <w:p w14:paraId="7E3FB180" w14:textId="5A132D5D" w:rsidR="003D4653" w:rsidRPr="00873B6C" w:rsidRDefault="003D4653" w:rsidP="00C9561D">
            <w:pPr>
              <w:pStyle w:val="TAL"/>
            </w:pPr>
            <w:r w:rsidRPr="00873B6C">
              <w:t>(NOTE</w:t>
            </w:r>
            <w:r w:rsidR="00411DE4" w:rsidRPr="00873B6C">
              <w:t> </w:t>
            </w:r>
            <w:r w:rsidRPr="00873B6C">
              <w:t>3)</w:t>
            </w:r>
          </w:p>
        </w:tc>
        <w:tc>
          <w:tcPr>
            <w:tcW w:w="4141" w:type="dxa"/>
          </w:tcPr>
          <w:p w14:paraId="6C8965E5" w14:textId="77777777" w:rsidR="003D4653" w:rsidRPr="00873B6C" w:rsidRDefault="003D4653" w:rsidP="00C9561D">
            <w:pPr>
              <w:pStyle w:val="TAL"/>
            </w:pPr>
            <w:r w:rsidRPr="00873B6C">
              <w:t>Reference to a preconfigured traffic steering policy or http redirection (NOTE 4).</w:t>
            </w:r>
          </w:p>
        </w:tc>
        <w:tc>
          <w:tcPr>
            <w:tcW w:w="2885" w:type="dxa"/>
          </w:tcPr>
          <w:p w14:paraId="6E16FFB2" w14:textId="640BEF85" w:rsidR="003D4653" w:rsidRPr="00873B6C" w:rsidRDefault="000046DD" w:rsidP="00C9561D">
            <w:pPr>
              <w:pStyle w:val="TAL"/>
            </w:pPr>
            <w:r w:rsidRPr="00873B6C">
              <w:t xml:space="preserve">The </w:t>
            </w:r>
            <w:r w:rsidR="003D4653" w:rsidRPr="00873B6C">
              <w:t>Forwarding policy refers to a preconfigured forwarding behaviour in UPF, which may be related to:</w:t>
            </w:r>
          </w:p>
          <w:p w14:paraId="035C3319" w14:textId="0445FF22" w:rsidR="003D4653" w:rsidRPr="00873B6C" w:rsidRDefault="003D4653" w:rsidP="00C9561D">
            <w:pPr>
              <w:pStyle w:val="TAL"/>
              <w:ind w:left="174" w:hanging="174"/>
            </w:pPr>
            <w:r w:rsidRPr="00873B6C">
              <w:t>-</w:t>
            </w:r>
            <w:r w:rsidRPr="00873B6C">
              <w:tab/>
              <w:t xml:space="preserve">N6-LAN steering to steer the subscriber's traffic to the appropriate N6 </w:t>
            </w:r>
            <w:r w:rsidR="000046DD" w:rsidRPr="00873B6C">
              <w:t>S</w:t>
            </w:r>
            <w:r w:rsidRPr="00873B6C">
              <w:t xml:space="preserve">ervice </w:t>
            </w:r>
            <w:r w:rsidR="000046DD" w:rsidRPr="00873B6C">
              <w:t>F</w:t>
            </w:r>
            <w:r w:rsidRPr="00873B6C">
              <w:t>unctions deployed by the operator;</w:t>
            </w:r>
          </w:p>
          <w:p w14:paraId="0320FB0F" w14:textId="350DA9E0" w:rsidR="003D4653" w:rsidRPr="00873B6C" w:rsidRDefault="003D4653" w:rsidP="00C9561D">
            <w:pPr>
              <w:pStyle w:val="TAL"/>
              <w:ind w:left="174" w:hanging="174"/>
            </w:pPr>
            <w:r w:rsidRPr="00873B6C">
              <w:t>-</w:t>
            </w:r>
            <w:r w:rsidRPr="00873B6C">
              <w:tab/>
              <w:t>local N6 steering to enable traffic steering in the local access to the DN according to the routing information provided by an AF as described in clause 5.6.7;</w:t>
            </w:r>
          </w:p>
          <w:p w14:paraId="234C3209" w14:textId="367E56BB" w:rsidR="003D4653" w:rsidRPr="00873B6C" w:rsidRDefault="003D4653" w:rsidP="00C9561D">
            <w:pPr>
              <w:pStyle w:val="TAL"/>
              <w:ind w:left="174" w:hanging="174"/>
            </w:pPr>
            <w:r w:rsidRPr="00873B6C">
              <w:t>-</w:t>
            </w:r>
            <w:r w:rsidRPr="00873B6C">
              <w:tab/>
              <w:t>a Redirect Destination and values for the forwarding behaviour (always, after measurement report (for termination action "redirect")).</w:t>
            </w:r>
          </w:p>
        </w:tc>
      </w:tr>
      <w:bookmarkEnd w:id="2328"/>
      <w:bookmarkEnd w:id="2329"/>
      <w:bookmarkEnd w:id="2330"/>
      <w:bookmarkEnd w:id="2331"/>
      <w:tr w:rsidR="003D4653" w:rsidRPr="00873B6C" w14:paraId="47438FE1" w14:textId="77777777" w:rsidTr="00C9561D">
        <w:trPr>
          <w:cantSplit/>
          <w:jc w:val="center"/>
        </w:trPr>
        <w:tc>
          <w:tcPr>
            <w:tcW w:w="2605" w:type="dxa"/>
          </w:tcPr>
          <w:p w14:paraId="4F9D2E73" w14:textId="77777777" w:rsidR="003D4653" w:rsidRPr="00873B6C" w:rsidRDefault="003D4653" w:rsidP="00C9561D">
            <w:pPr>
              <w:pStyle w:val="TAL"/>
            </w:pPr>
            <w:r w:rsidRPr="00873B6C">
              <w:lastRenderedPageBreak/>
              <w:t>Metadata</w:t>
            </w:r>
          </w:p>
          <w:p w14:paraId="5C0BE11F" w14:textId="77777777" w:rsidR="003D4653" w:rsidRPr="00873B6C" w:rsidRDefault="003D4653" w:rsidP="00C9561D">
            <w:pPr>
              <w:pStyle w:val="TAL"/>
            </w:pPr>
            <w:r w:rsidRPr="00873B6C">
              <w:t>(NOTE 10)</w:t>
            </w:r>
          </w:p>
        </w:tc>
        <w:tc>
          <w:tcPr>
            <w:tcW w:w="4141" w:type="dxa"/>
          </w:tcPr>
          <w:p w14:paraId="4EC838F4" w14:textId="77777777" w:rsidR="003D4653" w:rsidRPr="00873B6C" w:rsidRDefault="003D4653" w:rsidP="00C9561D">
            <w:pPr>
              <w:pStyle w:val="TAL"/>
            </w:pPr>
            <w:r w:rsidRPr="00873B6C">
              <w:t>Metadata the UPF needs to add to traffic sent over a SFC.</w:t>
            </w:r>
          </w:p>
        </w:tc>
        <w:tc>
          <w:tcPr>
            <w:tcW w:w="2885" w:type="dxa"/>
          </w:tcPr>
          <w:p w14:paraId="723DC88C" w14:textId="5FFD35AA" w:rsidR="003D4653" w:rsidRPr="00873B6C" w:rsidRDefault="003D4653" w:rsidP="00C9561D">
            <w:pPr>
              <w:pStyle w:val="TAL"/>
            </w:pPr>
            <w:r w:rsidRPr="00873B6C">
              <w:t>The metadata information is associated with a TSP ID related to N6-LAN steering.</w:t>
            </w:r>
          </w:p>
        </w:tc>
      </w:tr>
      <w:tr w:rsidR="003D4653" w:rsidRPr="00873B6C" w14:paraId="519CD093" w14:textId="77777777" w:rsidTr="00C9561D">
        <w:trPr>
          <w:cantSplit/>
          <w:jc w:val="center"/>
        </w:trPr>
        <w:tc>
          <w:tcPr>
            <w:tcW w:w="2605" w:type="dxa"/>
          </w:tcPr>
          <w:p w14:paraId="05F38FAC" w14:textId="77777777" w:rsidR="003D4653" w:rsidRPr="00873B6C" w:rsidRDefault="003D4653" w:rsidP="00C9561D">
            <w:pPr>
              <w:pStyle w:val="TAL"/>
            </w:pPr>
            <w:r w:rsidRPr="00873B6C">
              <w:t>Request for Proxying in UPF</w:t>
            </w:r>
          </w:p>
        </w:tc>
        <w:tc>
          <w:tcPr>
            <w:tcW w:w="4141" w:type="dxa"/>
          </w:tcPr>
          <w:p w14:paraId="6BDB604B" w14:textId="77777777" w:rsidR="003D4653" w:rsidRPr="00873B6C" w:rsidRDefault="003D4653" w:rsidP="00C9561D">
            <w:pPr>
              <w:pStyle w:val="TAL"/>
            </w:pPr>
            <w:r w:rsidRPr="00873B6C">
              <w:t>Indicates that the UPF shall perform ARP proxying and / or IPv6 Neighbour Solicitation Proxying as specified in clause 5.6.10.2.</w:t>
            </w:r>
          </w:p>
        </w:tc>
        <w:tc>
          <w:tcPr>
            <w:tcW w:w="2885" w:type="dxa"/>
          </w:tcPr>
          <w:p w14:paraId="5A0A20E5" w14:textId="77777777" w:rsidR="003D4653" w:rsidRPr="00873B6C" w:rsidRDefault="003D4653" w:rsidP="00C9561D">
            <w:pPr>
              <w:pStyle w:val="TAL"/>
            </w:pPr>
            <w:r w:rsidRPr="00873B6C">
              <w:t>Applies to the Ethernet PDU Session type.</w:t>
            </w:r>
          </w:p>
        </w:tc>
      </w:tr>
      <w:tr w:rsidR="003D4653" w:rsidRPr="00873B6C" w14:paraId="059D227E" w14:textId="77777777" w:rsidTr="00C9561D">
        <w:trPr>
          <w:cantSplit/>
          <w:jc w:val="center"/>
        </w:trPr>
        <w:tc>
          <w:tcPr>
            <w:tcW w:w="2605" w:type="dxa"/>
          </w:tcPr>
          <w:p w14:paraId="07FA7A03" w14:textId="77777777" w:rsidR="003D4653" w:rsidRPr="00873B6C" w:rsidRDefault="003D4653" w:rsidP="00C9561D">
            <w:pPr>
              <w:pStyle w:val="TAL"/>
            </w:pPr>
            <w:r w:rsidRPr="00873B6C">
              <w:t>Container for header enrichment</w:t>
            </w:r>
          </w:p>
          <w:p w14:paraId="2F277A11" w14:textId="5443BBBD" w:rsidR="003D4653" w:rsidRPr="00873B6C" w:rsidRDefault="003D4653" w:rsidP="00C9561D">
            <w:pPr>
              <w:pStyle w:val="TAL"/>
            </w:pPr>
            <w:r w:rsidRPr="00873B6C">
              <w:t>(NOTE</w:t>
            </w:r>
            <w:r w:rsidR="00411DE4" w:rsidRPr="00873B6C">
              <w:t> </w:t>
            </w:r>
            <w:r w:rsidRPr="00873B6C">
              <w:t>2)</w:t>
            </w:r>
          </w:p>
        </w:tc>
        <w:tc>
          <w:tcPr>
            <w:tcW w:w="4141" w:type="dxa"/>
          </w:tcPr>
          <w:p w14:paraId="1882A1C4" w14:textId="77777777" w:rsidR="003D4653" w:rsidRPr="00873B6C" w:rsidRDefault="003D4653" w:rsidP="00C9561D">
            <w:pPr>
              <w:pStyle w:val="TAL"/>
            </w:pPr>
            <w:r w:rsidRPr="00873B6C">
              <w:t>Contains information to be used by the UPF for header enrichment.</w:t>
            </w:r>
          </w:p>
        </w:tc>
        <w:tc>
          <w:tcPr>
            <w:tcW w:w="2885" w:type="dxa"/>
          </w:tcPr>
          <w:p w14:paraId="66848988" w14:textId="77777777" w:rsidR="003D4653" w:rsidRPr="00873B6C" w:rsidRDefault="003D4653" w:rsidP="00C9561D">
            <w:pPr>
              <w:pStyle w:val="TAL"/>
            </w:pPr>
            <w:r w:rsidRPr="00873B6C">
              <w:t>Only relevant for the uplink direction.</w:t>
            </w:r>
          </w:p>
        </w:tc>
      </w:tr>
      <w:tr w:rsidR="003D4653" w:rsidRPr="00873B6C" w14:paraId="4A004F48" w14:textId="77777777" w:rsidTr="00C9561D">
        <w:trPr>
          <w:cantSplit/>
          <w:jc w:val="center"/>
        </w:trPr>
        <w:tc>
          <w:tcPr>
            <w:tcW w:w="2605" w:type="dxa"/>
          </w:tcPr>
          <w:p w14:paraId="7840E774" w14:textId="77777777" w:rsidR="003D4653" w:rsidRPr="00873B6C" w:rsidRDefault="003D4653" w:rsidP="00C9561D">
            <w:pPr>
              <w:pStyle w:val="TAL"/>
            </w:pPr>
            <w:r w:rsidRPr="00873B6C">
              <w:t>Buffering Action Rule</w:t>
            </w:r>
          </w:p>
          <w:p w14:paraId="6CFC495F" w14:textId="5B6F34A6" w:rsidR="003D4653" w:rsidRPr="00873B6C" w:rsidRDefault="003D4653" w:rsidP="00C9561D">
            <w:pPr>
              <w:pStyle w:val="TAL"/>
            </w:pPr>
            <w:r w:rsidRPr="00873B6C">
              <w:t>(NOTE</w:t>
            </w:r>
            <w:r w:rsidR="00411DE4" w:rsidRPr="00873B6C">
              <w:t> </w:t>
            </w:r>
            <w:r w:rsidRPr="00873B6C">
              <w:t>5)</w:t>
            </w:r>
          </w:p>
        </w:tc>
        <w:tc>
          <w:tcPr>
            <w:tcW w:w="4141" w:type="dxa"/>
          </w:tcPr>
          <w:p w14:paraId="2597A1A6" w14:textId="77777777" w:rsidR="003D4653" w:rsidRPr="00873B6C" w:rsidRDefault="003D4653" w:rsidP="00C9561D">
            <w:pPr>
              <w:pStyle w:val="TAL"/>
            </w:pPr>
            <w:r w:rsidRPr="00873B6C">
              <w:t>Reference to a Buffering Action Rule ID defining the buffering instructions to be applied by the UPF</w:t>
            </w:r>
          </w:p>
          <w:p w14:paraId="45211294" w14:textId="515CE087" w:rsidR="003D4653" w:rsidRPr="00873B6C" w:rsidRDefault="003D4653" w:rsidP="00C9561D">
            <w:pPr>
              <w:pStyle w:val="TAL"/>
            </w:pPr>
            <w:r w:rsidRPr="00873B6C">
              <w:t>(NOTE</w:t>
            </w:r>
            <w:r w:rsidR="00411DE4" w:rsidRPr="00873B6C">
              <w:t> </w:t>
            </w:r>
            <w:r w:rsidRPr="00873B6C">
              <w:t>6)</w:t>
            </w:r>
          </w:p>
        </w:tc>
        <w:tc>
          <w:tcPr>
            <w:tcW w:w="2885" w:type="dxa"/>
          </w:tcPr>
          <w:p w14:paraId="20D2973A" w14:textId="77777777" w:rsidR="003D4653" w:rsidRPr="00873B6C" w:rsidRDefault="003D4653" w:rsidP="00C9561D">
            <w:pPr>
              <w:pStyle w:val="TAL"/>
            </w:pPr>
          </w:p>
        </w:tc>
      </w:tr>
      <w:tr w:rsidR="003D4653" w:rsidRPr="00873B6C" w14:paraId="3011BF3D" w14:textId="77777777" w:rsidTr="00C9561D">
        <w:trPr>
          <w:cantSplit/>
          <w:jc w:val="center"/>
        </w:trPr>
        <w:tc>
          <w:tcPr>
            <w:tcW w:w="9631" w:type="dxa"/>
            <w:gridSpan w:val="3"/>
          </w:tcPr>
          <w:p w14:paraId="08EE5460" w14:textId="77777777" w:rsidR="003D4653" w:rsidRPr="00873B6C" w:rsidRDefault="003D4653" w:rsidP="00C9561D">
            <w:pPr>
              <w:pStyle w:val="TAN"/>
            </w:pPr>
            <w:r w:rsidRPr="00873B6C">
              <w:t>NOTE 1:</w:t>
            </w:r>
            <w:r w:rsidRPr="00873B6C">
              <w:tab/>
              <w:t>Needed e.g. if:</w:t>
            </w:r>
          </w:p>
          <w:p w14:paraId="3A27AAD6" w14:textId="77777777" w:rsidR="003D4653" w:rsidRPr="00873B6C" w:rsidRDefault="003D4653" w:rsidP="00C9561D">
            <w:pPr>
              <w:pStyle w:val="TAN"/>
            </w:pPr>
            <w:r w:rsidRPr="00873B6C">
              <w:tab/>
              <w:t>-</w:t>
            </w:r>
            <w:r w:rsidRPr="00873B6C">
              <w:tab/>
              <w:t>UPF supports multiple DNN with overlapping IP addresses;</w:t>
            </w:r>
          </w:p>
          <w:p w14:paraId="1ED1A3EB" w14:textId="77777777" w:rsidR="003D4653" w:rsidRPr="00873B6C" w:rsidRDefault="003D4653" w:rsidP="00C9561D">
            <w:pPr>
              <w:pStyle w:val="TAN"/>
            </w:pPr>
            <w:r w:rsidRPr="00873B6C">
              <w:tab/>
              <w:t>-</w:t>
            </w:r>
            <w:r w:rsidRPr="00873B6C">
              <w:tab/>
              <w:t>UPF is connected to other UPF or NG-RAN node in different IP domains;</w:t>
            </w:r>
          </w:p>
          <w:p w14:paraId="6B8A2F7B" w14:textId="77777777" w:rsidR="003D4653" w:rsidRPr="00873B6C" w:rsidRDefault="003D4653" w:rsidP="00C9561D">
            <w:pPr>
              <w:pStyle w:val="TAN"/>
            </w:pPr>
            <w:r w:rsidRPr="00873B6C">
              <w:tab/>
              <w:t>-</w:t>
            </w:r>
            <w:r w:rsidRPr="00873B6C">
              <w:tab/>
              <w:t>UPF "local switch" and N19 forwarding is used for different 5G LAN groups.</w:t>
            </w:r>
          </w:p>
          <w:p w14:paraId="2F4C7BF8" w14:textId="77777777" w:rsidR="003D4653" w:rsidRPr="00873B6C" w:rsidRDefault="003D4653" w:rsidP="00C9561D">
            <w:pPr>
              <w:pStyle w:val="TAN"/>
            </w:pPr>
            <w:r w:rsidRPr="00873B6C">
              <w:t>NOTE 2:</w:t>
            </w:r>
            <w:r w:rsidRPr="00873B6C">
              <w:tab/>
              <w:t>These attributes are required for FAR action set to forwarding.</w:t>
            </w:r>
          </w:p>
          <w:p w14:paraId="243C9D5B" w14:textId="77777777" w:rsidR="003D4653" w:rsidRPr="00873B6C" w:rsidRDefault="003D4653" w:rsidP="00C9561D">
            <w:pPr>
              <w:pStyle w:val="TAN"/>
            </w:pPr>
            <w:r w:rsidRPr="00873B6C">
              <w:t>NOTE 3:</w:t>
            </w:r>
            <w:r w:rsidRPr="00873B6C">
              <w:tab/>
              <w:t>These attributes are required for FAR action set to forwarding or duplicating.</w:t>
            </w:r>
          </w:p>
          <w:p w14:paraId="446D71BE" w14:textId="6880065C" w:rsidR="003D4653" w:rsidRPr="00873B6C" w:rsidRDefault="003D4653" w:rsidP="00C9561D">
            <w:pPr>
              <w:pStyle w:val="TAN"/>
            </w:pPr>
            <w:r w:rsidRPr="00873B6C">
              <w:t>NOTE 4:</w:t>
            </w:r>
            <w:r w:rsidRPr="00873B6C">
              <w:tab/>
              <w:t>The TSP ID is preconfigured in the SMF and used to determine the Forwarding Policy included in the FAR according to the description in clause</w:t>
            </w:r>
            <w:r w:rsidR="00124D8F" w:rsidRPr="00873B6C">
              <w:t> </w:t>
            </w:r>
            <w:r w:rsidRPr="00873B6C">
              <w:t xml:space="preserve">5.6.7 and </w:t>
            </w:r>
            <w:r w:rsidR="00124D8F" w:rsidRPr="00873B6C">
              <w:t>clause </w:t>
            </w:r>
            <w:r w:rsidRPr="00873B6C">
              <w:t xml:space="preserve">6.1.3.14 of </w:t>
            </w:r>
            <w:r w:rsidR="00124D8F" w:rsidRPr="00873B6C">
              <w:t>TS </w:t>
            </w:r>
            <w:r w:rsidRPr="00873B6C">
              <w:t>23.503 [45] for local N6 steering and</w:t>
            </w:r>
            <w:r w:rsidR="00124D8F" w:rsidRPr="00873B6C">
              <w:t xml:space="preserve"> in clause 5.6.16 and clause </w:t>
            </w:r>
            <w:r w:rsidRPr="00873B6C">
              <w:t xml:space="preserve">6.1.3.14 of </w:t>
            </w:r>
            <w:r w:rsidR="00124D8F" w:rsidRPr="00873B6C">
              <w:t>TS </w:t>
            </w:r>
            <w:r w:rsidRPr="00873B6C">
              <w:t>23.503 [45] for N6-LAN steering. The</w:t>
            </w:r>
            <w:r w:rsidR="00270EDE" w:rsidRPr="00873B6C">
              <w:t xml:space="preserve"> Forwarding Policy</w:t>
            </w:r>
            <w:r w:rsidRPr="00873B6C">
              <w:t xml:space="preserve"> action is enforced before the Outer header creation actions.</w:t>
            </w:r>
          </w:p>
          <w:p w14:paraId="35B15D04" w14:textId="77777777" w:rsidR="003D4653" w:rsidRPr="00873B6C" w:rsidRDefault="003D4653" w:rsidP="00C9561D">
            <w:pPr>
              <w:pStyle w:val="TAN"/>
            </w:pPr>
            <w:r w:rsidRPr="00873B6C">
              <w:t>NOTE 5:</w:t>
            </w:r>
            <w:r w:rsidRPr="00873B6C">
              <w:tab/>
              <w:t>This attribute is present for FAR action set to buffering.</w:t>
            </w:r>
          </w:p>
          <w:p w14:paraId="704A37DE" w14:textId="77777777" w:rsidR="003D4653" w:rsidRPr="00873B6C" w:rsidRDefault="003D4653" w:rsidP="00C9561D">
            <w:pPr>
              <w:pStyle w:val="TAN"/>
            </w:pPr>
            <w:r w:rsidRPr="00873B6C">
              <w:t>NOTE 6:</w:t>
            </w:r>
            <w:r w:rsidRPr="00873B6C">
              <w:tab/>
              <w:t>The buffering action rule is created by the SMF and associated with the FAR in order to apply a specific buffering behaviour for UL/DL packets requested to be buffered, as described in clause 5.8.3 and clause 5.2.4 of TS 29.244 [65].</w:t>
            </w:r>
          </w:p>
          <w:p w14:paraId="6A4E428C" w14:textId="77777777" w:rsidR="003D4653" w:rsidRPr="00873B6C" w:rsidRDefault="003D4653" w:rsidP="00C9561D">
            <w:pPr>
              <w:pStyle w:val="TAN"/>
            </w:pPr>
            <w:r w:rsidRPr="00873B6C">
              <w:t>NOTE 7:</w:t>
            </w:r>
            <w:r w:rsidRPr="00873B6C">
              <w:tab/>
              <w:t>The use of "5G VN internal" instructs the UPF to send the packet back for another round of ingress processing using the active PDRs pertaining to another N4 session of the same 5G VN group.</w:t>
            </w:r>
          </w:p>
          <w:p w14:paraId="575BDB49" w14:textId="77777777" w:rsidR="003D4653" w:rsidRPr="00873B6C" w:rsidRDefault="003D4653" w:rsidP="00C9561D">
            <w:pPr>
              <w:pStyle w:val="TAN"/>
            </w:pPr>
            <w:r w:rsidRPr="00873B6C">
              <w:t>NOTE 8:</w:t>
            </w:r>
            <w:r w:rsidRPr="00873B6C">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9F864F8" w14:textId="77777777" w:rsidR="003D4653" w:rsidRPr="00873B6C" w:rsidRDefault="003D4653" w:rsidP="00C9561D">
            <w:pPr>
              <w:pStyle w:val="TAN"/>
            </w:pPr>
            <w:r w:rsidRPr="00873B6C">
              <w:t>NOTE 9:</w:t>
            </w:r>
            <w:r w:rsidRPr="00873B6C">
              <w:tab/>
              <w:t>In the architecture defined in clause 5.34, the rules exchanged between I-SMF and SMF are not associated with a N4 Session ID but are associated with a N16a association.</w:t>
            </w:r>
          </w:p>
          <w:p w14:paraId="49467C0C" w14:textId="1000B5DE" w:rsidR="003D4653" w:rsidRPr="00873B6C" w:rsidRDefault="003D4653" w:rsidP="00C9561D">
            <w:pPr>
              <w:pStyle w:val="TAN"/>
            </w:pPr>
            <w:r w:rsidRPr="00873B6C">
              <w:t>NOTE 10:</w:t>
            </w:r>
            <w:r w:rsidRPr="00873B6C">
              <w:tab/>
              <w:t xml:space="preserve">The use of Metadata is described in clause 5.6.16. How the UPF transforms the </w:t>
            </w:r>
            <w:r w:rsidR="000046DD" w:rsidRPr="00873B6C">
              <w:t>M</w:t>
            </w:r>
            <w:r w:rsidRPr="00873B6C">
              <w:t>etadata into actual information sent with the traffic (e.g. in the encapsulation header) is based on local policies related with the Forwarding Policy and not specified.</w:t>
            </w:r>
          </w:p>
        </w:tc>
      </w:tr>
    </w:tbl>
    <w:p w14:paraId="33E249B3" w14:textId="77777777" w:rsidR="003D4653" w:rsidRPr="00873B6C" w:rsidRDefault="003D4653" w:rsidP="003D4653">
      <w:pPr>
        <w:pStyle w:val="FP"/>
      </w:pPr>
    </w:p>
    <w:p w14:paraId="0B3216E5" w14:textId="77777777" w:rsidR="003D4653" w:rsidRPr="00873B6C" w:rsidRDefault="003D4653" w:rsidP="00972E70">
      <w:pPr>
        <w:pStyle w:val="Heading4"/>
      </w:pPr>
      <w:bookmarkStart w:id="2332" w:name="_CR5_8_5_7"/>
      <w:bookmarkStart w:id="2333" w:name="_Toc201157221"/>
      <w:bookmarkEnd w:id="2332"/>
      <w:r w:rsidRPr="00873B6C">
        <w:t>5.8.5.7</w:t>
      </w:r>
      <w:r w:rsidRPr="00873B6C">
        <w:tab/>
        <w:t>Usage Report generated by UPF</w:t>
      </w:r>
      <w:bookmarkEnd w:id="2333"/>
    </w:p>
    <w:p w14:paraId="1BA511E1" w14:textId="77777777" w:rsidR="003D4653" w:rsidRPr="00873B6C" w:rsidRDefault="003D4653" w:rsidP="003D4653">
      <w:pPr>
        <w:rPr>
          <w:lang w:eastAsia="x-none"/>
        </w:rPr>
      </w:pPr>
      <w:r w:rsidRPr="00873B6C">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26ABB18B" w14:textId="77777777" w:rsidR="003D4653" w:rsidRPr="00873B6C" w:rsidRDefault="003D4653" w:rsidP="003D4653">
      <w:pPr>
        <w:rPr>
          <w:lang w:eastAsia="x-none"/>
        </w:rPr>
      </w:pPr>
      <w:r w:rsidRPr="00873B6C">
        <w:rPr>
          <w:lang w:eastAsia="x-none"/>
        </w:rPr>
        <w:t>The following attributes can be included:</w:t>
      </w:r>
    </w:p>
    <w:p w14:paraId="23C6DBF1" w14:textId="77777777" w:rsidR="003D4653" w:rsidRPr="00873B6C" w:rsidRDefault="003D4653" w:rsidP="003D4653">
      <w:pPr>
        <w:pStyle w:val="TH"/>
      </w:pPr>
      <w:bookmarkStart w:id="2334" w:name="_CRTable5_8_5_71"/>
      <w:r w:rsidRPr="00873B6C">
        <w:lastRenderedPageBreak/>
        <w:t xml:space="preserve">Table </w:t>
      </w:r>
      <w:bookmarkEnd w:id="2334"/>
      <w:r w:rsidRPr="00873B6C">
        <w:t>5.8.5.7-1: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3D4653" w:rsidRPr="00873B6C" w14:paraId="31669A4D" w14:textId="77777777" w:rsidTr="00C9561D">
        <w:trPr>
          <w:cantSplit/>
          <w:jc w:val="center"/>
        </w:trPr>
        <w:tc>
          <w:tcPr>
            <w:tcW w:w="2604" w:type="dxa"/>
          </w:tcPr>
          <w:p w14:paraId="1EF07A1B" w14:textId="77777777" w:rsidR="003D4653" w:rsidRPr="00873B6C" w:rsidRDefault="003D4653" w:rsidP="00C9561D">
            <w:pPr>
              <w:pStyle w:val="TAH"/>
            </w:pPr>
            <w:r w:rsidRPr="00873B6C">
              <w:t>Attribute</w:t>
            </w:r>
          </w:p>
        </w:tc>
        <w:tc>
          <w:tcPr>
            <w:tcW w:w="4136" w:type="dxa"/>
          </w:tcPr>
          <w:p w14:paraId="0A891137" w14:textId="77777777" w:rsidR="003D4653" w:rsidRPr="00873B6C" w:rsidRDefault="003D4653" w:rsidP="00C9561D">
            <w:pPr>
              <w:pStyle w:val="TAH"/>
            </w:pPr>
            <w:r w:rsidRPr="00873B6C">
              <w:t>Description</w:t>
            </w:r>
          </w:p>
        </w:tc>
        <w:tc>
          <w:tcPr>
            <w:tcW w:w="2891" w:type="dxa"/>
          </w:tcPr>
          <w:p w14:paraId="47660F52" w14:textId="77777777" w:rsidR="003D4653" w:rsidRPr="00873B6C" w:rsidRDefault="003D4653" w:rsidP="00C9561D">
            <w:pPr>
              <w:pStyle w:val="TAH"/>
            </w:pPr>
            <w:r w:rsidRPr="00873B6C">
              <w:t>Comment</w:t>
            </w:r>
          </w:p>
        </w:tc>
      </w:tr>
      <w:tr w:rsidR="003D4653" w:rsidRPr="00873B6C" w14:paraId="3D19484C" w14:textId="77777777" w:rsidTr="00C9561D">
        <w:trPr>
          <w:cantSplit/>
          <w:jc w:val="center"/>
        </w:trPr>
        <w:tc>
          <w:tcPr>
            <w:tcW w:w="2604" w:type="dxa"/>
          </w:tcPr>
          <w:p w14:paraId="483A49D3" w14:textId="77777777" w:rsidR="003D4653" w:rsidRPr="00873B6C" w:rsidRDefault="003D4653" w:rsidP="00C9561D">
            <w:pPr>
              <w:pStyle w:val="TAL"/>
            </w:pPr>
            <w:r w:rsidRPr="00873B6C">
              <w:t>N4 Session ID</w:t>
            </w:r>
          </w:p>
        </w:tc>
        <w:tc>
          <w:tcPr>
            <w:tcW w:w="4136" w:type="dxa"/>
          </w:tcPr>
          <w:p w14:paraId="7F2EF2EC" w14:textId="77777777" w:rsidR="003D4653" w:rsidRPr="00873B6C" w:rsidRDefault="003D4653" w:rsidP="00C9561D">
            <w:pPr>
              <w:pStyle w:val="TAL"/>
            </w:pPr>
            <w:r w:rsidRPr="00873B6C">
              <w:t>Uniquely identifies a session.</w:t>
            </w:r>
          </w:p>
        </w:tc>
        <w:tc>
          <w:tcPr>
            <w:tcW w:w="2891" w:type="dxa"/>
          </w:tcPr>
          <w:p w14:paraId="472A4EAE" w14:textId="77777777" w:rsidR="003D4653" w:rsidRPr="00873B6C" w:rsidRDefault="003D4653" w:rsidP="00C9561D">
            <w:pPr>
              <w:pStyle w:val="TAL"/>
            </w:pPr>
            <w:r w:rsidRPr="00873B6C">
              <w:t>Identifies the N4 session associated to this Usage Report</w:t>
            </w:r>
          </w:p>
        </w:tc>
      </w:tr>
      <w:tr w:rsidR="003D4653" w:rsidRPr="00873B6C" w14:paraId="26C8DF7E" w14:textId="77777777" w:rsidTr="00C9561D">
        <w:trPr>
          <w:cantSplit/>
          <w:jc w:val="center"/>
        </w:trPr>
        <w:tc>
          <w:tcPr>
            <w:tcW w:w="2604" w:type="dxa"/>
          </w:tcPr>
          <w:p w14:paraId="0DF75258" w14:textId="77777777" w:rsidR="003D4653" w:rsidRPr="00873B6C" w:rsidRDefault="003D4653" w:rsidP="00C9561D">
            <w:pPr>
              <w:pStyle w:val="TAL"/>
            </w:pPr>
            <w:r w:rsidRPr="00873B6C">
              <w:t>Rule ID</w:t>
            </w:r>
          </w:p>
        </w:tc>
        <w:tc>
          <w:tcPr>
            <w:tcW w:w="4136" w:type="dxa"/>
          </w:tcPr>
          <w:p w14:paraId="641EBF6D" w14:textId="77777777" w:rsidR="003D4653" w:rsidRPr="00873B6C" w:rsidRDefault="003D4653" w:rsidP="00C9561D">
            <w:pPr>
              <w:pStyle w:val="TAL"/>
            </w:pPr>
            <w:r w:rsidRPr="00873B6C">
              <w:t>Uniquely identifies the Packet Detection Rule or Usage Reporting Rule within a session which triggered the report.</w:t>
            </w:r>
          </w:p>
        </w:tc>
        <w:tc>
          <w:tcPr>
            <w:tcW w:w="2891" w:type="dxa"/>
          </w:tcPr>
          <w:p w14:paraId="0AA2A10D" w14:textId="77777777" w:rsidR="003D4653" w:rsidRPr="00873B6C" w:rsidRDefault="003D4653" w:rsidP="00C9561D">
            <w:pPr>
              <w:pStyle w:val="TAL"/>
            </w:pPr>
            <w:r w:rsidRPr="00873B6C">
              <w:t>Packet Detection Rule is only indicated when Reporting trigger is Start/stop of traffic detection.</w:t>
            </w:r>
          </w:p>
          <w:p w14:paraId="1C092B25" w14:textId="77777777" w:rsidR="003D4653" w:rsidRPr="00873B6C" w:rsidRDefault="003D4653" w:rsidP="00C9561D">
            <w:pPr>
              <w:pStyle w:val="TAL"/>
            </w:pPr>
            <w:r w:rsidRPr="00873B6C">
              <w:t>Usage Reporting Rule is indicated for all other Reporting triggers.</w:t>
            </w:r>
          </w:p>
        </w:tc>
      </w:tr>
      <w:tr w:rsidR="003D4653" w:rsidRPr="00873B6C" w14:paraId="3CD9F0E5" w14:textId="77777777" w:rsidTr="00C9561D">
        <w:trPr>
          <w:cantSplit/>
          <w:jc w:val="center"/>
        </w:trPr>
        <w:tc>
          <w:tcPr>
            <w:tcW w:w="2604" w:type="dxa"/>
          </w:tcPr>
          <w:p w14:paraId="0332AF55" w14:textId="77777777" w:rsidR="003D4653" w:rsidRPr="00873B6C" w:rsidRDefault="003D4653" w:rsidP="00C9561D">
            <w:pPr>
              <w:pStyle w:val="TAL"/>
            </w:pPr>
            <w:r w:rsidRPr="00873B6C">
              <w:t>Reporting trigger</w:t>
            </w:r>
          </w:p>
        </w:tc>
        <w:tc>
          <w:tcPr>
            <w:tcW w:w="4136" w:type="dxa"/>
          </w:tcPr>
          <w:p w14:paraId="4A7CF917" w14:textId="77777777" w:rsidR="003D4653" w:rsidRPr="00873B6C" w:rsidRDefault="003D4653" w:rsidP="00C9561D">
            <w:pPr>
              <w:pStyle w:val="TAL"/>
            </w:pPr>
            <w:r w:rsidRPr="00873B6C">
              <w:t>Identifies the trigger for the usage report.</w:t>
            </w:r>
          </w:p>
        </w:tc>
        <w:tc>
          <w:tcPr>
            <w:tcW w:w="2891" w:type="dxa"/>
          </w:tcPr>
          <w:p w14:paraId="376CBD74" w14:textId="77777777" w:rsidR="003D4653" w:rsidRPr="00873B6C" w:rsidRDefault="003D4653" w:rsidP="00C9561D">
            <w:pPr>
              <w:pStyle w:val="TAL"/>
            </w:pPr>
            <w:r w:rsidRPr="00873B6C">
              <w:t>Applicable values are:</w:t>
            </w:r>
          </w:p>
          <w:p w14:paraId="61ACCA4E" w14:textId="77777777" w:rsidR="003D4653" w:rsidRPr="00873B6C" w:rsidRDefault="003D4653" w:rsidP="00C9561D">
            <w:pPr>
              <w:pStyle w:val="TAL"/>
            </w:pPr>
            <w:r w:rsidRPr="00873B6C">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3D4653" w:rsidRPr="00873B6C" w14:paraId="71F93AAE" w14:textId="77777777" w:rsidTr="00C9561D">
        <w:trPr>
          <w:cantSplit/>
          <w:jc w:val="center"/>
        </w:trPr>
        <w:tc>
          <w:tcPr>
            <w:tcW w:w="2604" w:type="dxa"/>
          </w:tcPr>
          <w:p w14:paraId="0FFB63E0" w14:textId="77777777" w:rsidR="003D4653" w:rsidRPr="00873B6C" w:rsidRDefault="003D4653" w:rsidP="00C9561D">
            <w:pPr>
              <w:pStyle w:val="TAL"/>
            </w:pPr>
            <w:r w:rsidRPr="00873B6C">
              <w:t>Start time</w:t>
            </w:r>
          </w:p>
        </w:tc>
        <w:tc>
          <w:tcPr>
            <w:tcW w:w="4136" w:type="dxa"/>
          </w:tcPr>
          <w:p w14:paraId="3A334451" w14:textId="77777777" w:rsidR="003D4653" w:rsidRPr="00873B6C" w:rsidRDefault="003D4653" w:rsidP="00C9561D">
            <w:pPr>
              <w:pStyle w:val="TAL"/>
            </w:pPr>
            <w:r w:rsidRPr="00873B6C">
              <w:t>Provides the timestamp, in terms of absolute time, when the collection of the information provided within Usage-Information is started.</w:t>
            </w:r>
          </w:p>
        </w:tc>
        <w:tc>
          <w:tcPr>
            <w:tcW w:w="2891" w:type="dxa"/>
          </w:tcPr>
          <w:p w14:paraId="5BD0BD41" w14:textId="77777777" w:rsidR="003D4653" w:rsidRPr="00873B6C" w:rsidRDefault="003D4653" w:rsidP="00C9561D">
            <w:pPr>
              <w:pStyle w:val="TAL"/>
            </w:pPr>
            <w:r w:rsidRPr="00873B6C">
              <w:t>Not sent when Reporting trigger is Start/stop of traffic detection.</w:t>
            </w:r>
          </w:p>
        </w:tc>
      </w:tr>
      <w:tr w:rsidR="003D4653" w:rsidRPr="00873B6C" w14:paraId="0E264761" w14:textId="77777777" w:rsidTr="00C9561D">
        <w:trPr>
          <w:cantSplit/>
          <w:jc w:val="center"/>
        </w:trPr>
        <w:tc>
          <w:tcPr>
            <w:tcW w:w="2604" w:type="dxa"/>
          </w:tcPr>
          <w:p w14:paraId="014D1DC6" w14:textId="77777777" w:rsidR="003D4653" w:rsidRPr="00873B6C" w:rsidRDefault="003D4653" w:rsidP="00C9561D">
            <w:pPr>
              <w:pStyle w:val="TAL"/>
            </w:pPr>
            <w:r w:rsidRPr="00873B6C">
              <w:t>End time</w:t>
            </w:r>
          </w:p>
        </w:tc>
        <w:tc>
          <w:tcPr>
            <w:tcW w:w="4136" w:type="dxa"/>
          </w:tcPr>
          <w:p w14:paraId="067BF273" w14:textId="77777777" w:rsidR="003D4653" w:rsidRPr="00873B6C" w:rsidRDefault="003D4653" w:rsidP="00C9561D">
            <w:pPr>
              <w:pStyle w:val="TAL"/>
            </w:pPr>
            <w:r w:rsidRPr="00873B6C">
              <w:t>Provides the timestamp, in terms of absolute time, when the information provided within Usage-Information is generated.</w:t>
            </w:r>
          </w:p>
        </w:tc>
        <w:tc>
          <w:tcPr>
            <w:tcW w:w="2891" w:type="dxa"/>
          </w:tcPr>
          <w:p w14:paraId="5C10DE20" w14:textId="77777777" w:rsidR="003D4653" w:rsidRPr="00873B6C" w:rsidRDefault="003D4653" w:rsidP="00C9561D">
            <w:pPr>
              <w:pStyle w:val="TAL"/>
            </w:pPr>
            <w:r w:rsidRPr="00873B6C">
              <w:t>Not sent when Reporting trigger is Start/stop of traffic detection.</w:t>
            </w:r>
          </w:p>
        </w:tc>
      </w:tr>
      <w:tr w:rsidR="003D4653" w:rsidRPr="00873B6C" w14:paraId="57B79DB6" w14:textId="77777777" w:rsidTr="00C9561D">
        <w:trPr>
          <w:cantSplit/>
          <w:jc w:val="center"/>
        </w:trPr>
        <w:tc>
          <w:tcPr>
            <w:tcW w:w="2604" w:type="dxa"/>
          </w:tcPr>
          <w:p w14:paraId="6D8D0EFB" w14:textId="77777777" w:rsidR="003D4653" w:rsidRPr="00873B6C" w:rsidRDefault="003D4653" w:rsidP="00C9561D">
            <w:pPr>
              <w:pStyle w:val="TAL"/>
            </w:pPr>
            <w:r w:rsidRPr="00873B6C">
              <w:t>Measurement information</w:t>
            </w:r>
          </w:p>
        </w:tc>
        <w:tc>
          <w:tcPr>
            <w:tcW w:w="4136" w:type="dxa"/>
          </w:tcPr>
          <w:p w14:paraId="57849C9B" w14:textId="77777777" w:rsidR="003D4653" w:rsidRPr="00873B6C" w:rsidRDefault="003D4653" w:rsidP="00C9561D">
            <w:pPr>
              <w:pStyle w:val="TAL"/>
            </w:pPr>
            <w:r w:rsidRPr="00873B6C">
              <w:t>Defines the measured volume/time/events for this URR.</w:t>
            </w:r>
          </w:p>
        </w:tc>
        <w:tc>
          <w:tcPr>
            <w:tcW w:w="2891" w:type="dxa"/>
          </w:tcPr>
          <w:p w14:paraId="1578D608" w14:textId="77777777" w:rsidR="003D4653" w:rsidRPr="00873B6C" w:rsidRDefault="003D4653" w:rsidP="00C9561D">
            <w:pPr>
              <w:pStyle w:val="TAL"/>
            </w:pPr>
            <w:r w:rsidRPr="00873B6C">
              <w:t>For details refer to clause 7.5.8.3 of TS 29.244 [65].</w:t>
            </w:r>
          </w:p>
        </w:tc>
      </w:tr>
      <w:tr w:rsidR="003D4653" w:rsidRPr="00873B6C" w14:paraId="3FBA10DE" w14:textId="77777777" w:rsidTr="00C9561D">
        <w:trPr>
          <w:cantSplit/>
          <w:jc w:val="center"/>
        </w:trPr>
        <w:tc>
          <w:tcPr>
            <w:tcW w:w="2604" w:type="dxa"/>
          </w:tcPr>
          <w:p w14:paraId="3A2A40C9" w14:textId="77777777" w:rsidR="003D4653" w:rsidRPr="00873B6C" w:rsidRDefault="003D4653" w:rsidP="00C9561D">
            <w:pPr>
              <w:pStyle w:val="TAL"/>
            </w:pPr>
            <w:r w:rsidRPr="00873B6C">
              <w:t>Other information</w:t>
            </w:r>
          </w:p>
        </w:tc>
        <w:tc>
          <w:tcPr>
            <w:tcW w:w="4136" w:type="dxa"/>
          </w:tcPr>
          <w:p w14:paraId="0204278E" w14:textId="77777777" w:rsidR="003D4653" w:rsidRPr="00873B6C" w:rsidRDefault="003D4653" w:rsidP="00C9561D">
            <w:pPr>
              <w:pStyle w:val="TAL"/>
            </w:pPr>
            <w:r w:rsidRPr="00873B6C">
              <w:t>Other events/information, e.g. related to reporting of UE MAC addresses.</w:t>
            </w:r>
          </w:p>
        </w:tc>
        <w:tc>
          <w:tcPr>
            <w:tcW w:w="2891" w:type="dxa"/>
          </w:tcPr>
          <w:p w14:paraId="746E1F77" w14:textId="77777777" w:rsidR="003D4653" w:rsidRPr="00873B6C" w:rsidRDefault="003D4653" w:rsidP="00C9561D">
            <w:pPr>
              <w:pStyle w:val="TAL"/>
            </w:pPr>
            <w:r w:rsidRPr="00873B6C">
              <w:t>For details refer to clause 7.5.8.3 of TS 29.244 [65].</w:t>
            </w:r>
          </w:p>
        </w:tc>
      </w:tr>
    </w:tbl>
    <w:p w14:paraId="6025F022" w14:textId="77777777" w:rsidR="003D4653" w:rsidRPr="00873B6C" w:rsidRDefault="003D4653" w:rsidP="003D4653">
      <w:pPr>
        <w:pStyle w:val="FP"/>
      </w:pPr>
    </w:p>
    <w:p w14:paraId="2A7A403D" w14:textId="77777777" w:rsidR="003D4653" w:rsidRPr="00873B6C" w:rsidRDefault="003D4653" w:rsidP="00972E70">
      <w:pPr>
        <w:pStyle w:val="Heading4"/>
      </w:pPr>
      <w:bookmarkStart w:id="2335" w:name="_CR5_8_5_8"/>
      <w:bookmarkStart w:id="2336" w:name="_Toc201157222"/>
      <w:bookmarkEnd w:id="2335"/>
      <w:r w:rsidRPr="00873B6C">
        <w:t>5.8.5.8</w:t>
      </w:r>
      <w:r w:rsidRPr="00873B6C">
        <w:tab/>
        <w:t>Multi-Access Rule</w:t>
      </w:r>
      <w:bookmarkEnd w:id="2336"/>
    </w:p>
    <w:p w14:paraId="2EFF2F9D" w14:textId="77777777" w:rsidR="003D4653" w:rsidRPr="00873B6C" w:rsidRDefault="003D4653" w:rsidP="003D4653">
      <w:pPr>
        <w:rPr>
          <w:lang w:eastAsia="x-none"/>
        </w:rPr>
      </w:pPr>
      <w:r w:rsidRPr="00873B6C">
        <w:rPr>
          <w:lang w:eastAsia="x-none"/>
        </w:rPr>
        <w:t>The following table describes the Multi-Access Rule (MAR) that includes the association to the two FARs for both 3GPP access and non-3GPP access in the case of supporting ATSSS.</w:t>
      </w:r>
    </w:p>
    <w:p w14:paraId="0ED27081" w14:textId="77777777" w:rsidR="003D4653" w:rsidRPr="00873B6C" w:rsidRDefault="003D4653" w:rsidP="003D4653">
      <w:pPr>
        <w:pStyle w:val="TH"/>
      </w:pPr>
      <w:bookmarkStart w:id="2337" w:name="_CRTable5_8_5_81"/>
      <w:r w:rsidRPr="00873B6C">
        <w:lastRenderedPageBreak/>
        <w:t xml:space="preserve">Table </w:t>
      </w:r>
      <w:bookmarkEnd w:id="2337"/>
      <w:r w:rsidRPr="00873B6C">
        <w:t>5.8.5.8-1: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3D4653" w:rsidRPr="00873B6C" w14:paraId="287E2CF8" w14:textId="77777777" w:rsidTr="00C9561D">
        <w:trPr>
          <w:cantSplit/>
          <w:jc w:val="center"/>
        </w:trPr>
        <w:tc>
          <w:tcPr>
            <w:tcW w:w="2876" w:type="dxa"/>
            <w:gridSpan w:val="2"/>
            <w:shd w:val="clear" w:color="auto" w:fill="auto"/>
          </w:tcPr>
          <w:p w14:paraId="3A32CFDE" w14:textId="77777777" w:rsidR="003D4653" w:rsidRPr="00873B6C" w:rsidRDefault="003D4653" w:rsidP="00C9561D">
            <w:pPr>
              <w:pStyle w:val="TAH"/>
            </w:pPr>
            <w:r w:rsidRPr="00873B6C">
              <w:t>Attribute</w:t>
            </w:r>
          </w:p>
        </w:tc>
        <w:tc>
          <w:tcPr>
            <w:tcW w:w="4149" w:type="dxa"/>
            <w:shd w:val="clear" w:color="auto" w:fill="auto"/>
          </w:tcPr>
          <w:p w14:paraId="4A5D4AAB" w14:textId="77777777" w:rsidR="003D4653" w:rsidRPr="00873B6C" w:rsidRDefault="003D4653" w:rsidP="00C9561D">
            <w:pPr>
              <w:pStyle w:val="TAH"/>
            </w:pPr>
            <w:r w:rsidRPr="00873B6C">
              <w:t>Description</w:t>
            </w:r>
          </w:p>
        </w:tc>
        <w:tc>
          <w:tcPr>
            <w:tcW w:w="2606" w:type="dxa"/>
            <w:shd w:val="clear" w:color="auto" w:fill="auto"/>
          </w:tcPr>
          <w:p w14:paraId="780665D9" w14:textId="77777777" w:rsidR="003D4653" w:rsidRPr="00873B6C" w:rsidRDefault="003D4653" w:rsidP="00C9561D">
            <w:pPr>
              <w:pStyle w:val="TAH"/>
            </w:pPr>
            <w:r w:rsidRPr="00873B6C">
              <w:t>Comment</w:t>
            </w:r>
          </w:p>
        </w:tc>
      </w:tr>
      <w:tr w:rsidR="003D4653" w:rsidRPr="00873B6C" w14:paraId="794EDFCD" w14:textId="77777777" w:rsidTr="00C9561D">
        <w:trPr>
          <w:cantSplit/>
          <w:jc w:val="center"/>
        </w:trPr>
        <w:tc>
          <w:tcPr>
            <w:tcW w:w="2876" w:type="dxa"/>
            <w:gridSpan w:val="2"/>
            <w:shd w:val="clear" w:color="auto" w:fill="auto"/>
          </w:tcPr>
          <w:p w14:paraId="0B8FF8BE" w14:textId="77777777" w:rsidR="003D4653" w:rsidRPr="00873B6C" w:rsidRDefault="003D4653" w:rsidP="00C9561D">
            <w:pPr>
              <w:pStyle w:val="TAL"/>
            </w:pPr>
            <w:r w:rsidRPr="00873B6C">
              <w:t>N4 Session ID</w:t>
            </w:r>
          </w:p>
        </w:tc>
        <w:tc>
          <w:tcPr>
            <w:tcW w:w="4149" w:type="dxa"/>
            <w:shd w:val="clear" w:color="auto" w:fill="auto"/>
          </w:tcPr>
          <w:p w14:paraId="2D4651EA" w14:textId="77777777" w:rsidR="003D4653" w:rsidRPr="00873B6C" w:rsidRDefault="003D4653" w:rsidP="00C9561D">
            <w:pPr>
              <w:pStyle w:val="TAL"/>
            </w:pPr>
            <w:r w:rsidRPr="00873B6C">
              <w:t>Identifies the N4 session associated to this MAR.</w:t>
            </w:r>
          </w:p>
        </w:tc>
        <w:tc>
          <w:tcPr>
            <w:tcW w:w="2606" w:type="dxa"/>
            <w:shd w:val="clear" w:color="auto" w:fill="auto"/>
          </w:tcPr>
          <w:p w14:paraId="7DC13D05" w14:textId="77777777" w:rsidR="003D4653" w:rsidRPr="00873B6C" w:rsidRDefault="003D4653" w:rsidP="00C9561D">
            <w:pPr>
              <w:pStyle w:val="TAL"/>
            </w:pPr>
          </w:p>
        </w:tc>
      </w:tr>
      <w:tr w:rsidR="003D4653" w:rsidRPr="00873B6C" w14:paraId="43A07E49" w14:textId="77777777" w:rsidTr="00C9561D">
        <w:trPr>
          <w:cantSplit/>
          <w:jc w:val="center"/>
        </w:trPr>
        <w:tc>
          <w:tcPr>
            <w:tcW w:w="2876" w:type="dxa"/>
            <w:gridSpan w:val="2"/>
            <w:shd w:val="clear" w:color="auto" w:fill="auto"/>
          </w:tcPr>
          <w:p w14:paraId="61ECA665" w14:textId="77777777" w:rsidR="003D4653" w:rsidRPr="00873B6C" w:rsidRDefault="003D4653" w:rsidP="00C9561D">
            <w:pPr>
              <w:pStyle w:val="TAL"/>
            </w:pPr>
            <w:r w:rsidRPr="00873B6C">
              <w:t>Rule ID</w:t>
            </w:r>
          </w:p>
        </w:tc>
        <w:tc>
          <w:tcPr>
            <w:tcW w:w="4149" w:type="dxa"/>
            <w:shd w:val="clear" w:color="auto" w:fill="auto"/>
          </w:tcPr>
          <w:p w14:paraId="4EB85253" w14:textId="77777777" w:rsidR="003D4653" w:rsidRPr="00873B6C" w:rsidRDefault="003D4653" w:rsidP="00C9561D">
            <w:pPr>
              <w:pStyle w:val="TAL"/>
            </w:pPr>
            <w:r w:rsidRPr="00873B6C">
              <w:t>Unique identifier to identify this rule.</w:t>
            </w:r>
          </w:p>
        </w:tc>
        <w:tc>
          <w:tcPr>
            <w:tcW w:w="2606" w:type="dxa"/>
            <w:shd w:val="clear" w:color="auto" w:fill="auto"/>
          </w:tcPr>
          <w:p w14:paraId="103B07A2" w14:textId="77777777" w:rsidR="003D4653" w:rsidRPr="00873B6C" w:rsidRDefault="003D4653" w:rsidP="00C9561D">
            <w:pPr>
              <w:pStyle w:val="TAL"/>
            </w:pPr>
          </w:p>
        </w:tc>
      </w:tr>
      <w:tr w:rsidR="003D4653" w:rsidRPr="00873B6C" w14:paraId="39260F22" w14:textId="77777777" w:rsidTr="00C9561D">
        <w:trPr>
          <w:cantSplit/>
          <w:jc w:val="center"/>
        </w:trPr>
        <w:tc>
          <w:tcPr>
            <w:tcW w:w="2876" w:type="dxa"/>
            <w:gridSpan w:val="2"/>
            <w:shd w:val="clear" w:color="auto" w:fill="auto"/>
          </w:tcPr>
          <w:p w14:paraId="7F198557" w14:textId="77777777" w:rsidR="003D4653" w:rsidRPr="00873B6C" w:rsidRDefault="003D4653" w:rsidP="00C9561D">
            <w:pPr>
              <w:pStyle w:val="TAL"/>
            </w:pPr>
            <w:r w:rsidRPr="00873B6C">
              <w:t>Steering functionality</w:t>
            </w:r>
          </w:p>
          <w:p w14:paraId="111D5E1C" w14:textId="77777777" w:rsidR="003D4653" w:rsidRPr="00873B6C" w:rsidRDefault="003D4653" w:rsidP="00C9561D">
            <w:pPr>
              <w:pStyle w:val="TAL"/>
            </w:pPr>
            <w:r w:rsidRPr="00873B6C">
              <w:t>(NOTE 5)</w:t>
            </w:r>
          </w:p>
        </w:tc>
        <w:tc>
          <w:tcPr>
            <w:tcW w:w="4149" w:type="dxa"/>
            <w:shd w:val="clear" w:color="auto" w:fill="auto"/>
          </w:tcPr>
          <w:p w14:paraId="2EB00342" w14:textId="77777777" w:rsidR="003D4653" w:rsidRPr="00873B6C" w:rsidRDefault="003D4653" w:rsidP="00C9561D">
            <w:pPr>
              <w:pStyle w:val="TAL"/>
            </w:pPr>
            <w:r w:rsidRPr="00873B6C">
              <w:t>Indicates the applicable traffic steering functionality:</w:t>
            </w:r>
          </w:p>
          <w:p w14:paraId="3179BF76" w14:textId="77777777" w:rsidR="003D4653" w:rsidRPr="00873B6C" w:rsidRDefault="003D4653" w:rsidP="00C9561D">
            <w:pPr>
              <w:pStyle w:val="TAL"/>
            </w:pPr>
            <w:r w:rsidRPr="00873B6C">
              <w:t>Values "MPTCP functionality", "ATSSS-LL functionality", "MPQUIC functionality".</w:t>
            </w:r>
          </w:p>
        </w:tc>
        <w:tc>
          <w:tcPr>
            <w:tcW w:w="2606" w:type="dxa"/>
            <w:shd w:val="clear" w:color="auto" w:fill="auto"/>
          </w:tcPr>
          <w:p w14:paraId="26B2EC75" w14:textId="77777777" w:rsidR="003D4653" w:rsidRPr="00873B6C" w:rsidRDefault="003D4653" w:rsidP="00C9561D">
            <w:pPr>
              <w:pStyle w:val="TAL"/>
            </w:pPr>
          </w:p>
        </w:tc>
      </w:tr>
      <w:tr w:rsidR="003D4653" w:rsidRPr="00873B6C" w14:paraId="141DB4A3" w14:textId="77777777" w:rsidTr="00C9561D">
        <w:trPr>
          <w:cantSplit/>
          <w:jc w:val="center"/>
        </w:trPr>
        <w:tc>
          <w:tcPr>
            <w:tcW w:w="2876" w:type="dxa"/>
            <w:gridSpan w:val="2"/>
            <w:shd w:val="clear" w:color="auto" w:fill="auto"/>
          </w:tcPr>
          <w:p w14:paraId="041F61E6" w14:textId="77777777" w:rsidR="003D4653" w:rsidRPr="00873B6C" w:rsidRDefault="003D4653" w:rsidP="00C9561D">
            <w:pPr>
              <w:pStyle w:val="TAL"/>
            </w:pPr>
            <w:r w:rsidRPr="00873B6C">
              <w:t>Transport Mode</w:t>
            </w:r>
          </w:p>
        </w:tc>
        <w:tc>
          <w:tcPr>
            <w:tcW w:w="4149" w:type="dxa"/>
            <w:shd w:val="clear" w:color="auto" w:fill="auto"/>
          </w:tcPr>
          <w:p w14:paraId="42FB602A" w14:textId="77777777" w:rsidR="003D4653" w:rsidRPr="00873B6C" w:rsidRDefault="003D4653" w:rsidP="00C9561D">
            <w:pPr>
              <w:pStyle w:val="TAL"/>
            </w:pPr>
            <w:r w:rsidRPr="00873B6C">
              <w:t>Identifies the transport mode (see clause 5.32.6.2.2.1) that should be used for the matching traffic, when the Steering functionality is the MPQUIC functionality.</w:t>
            </w:r>
          </w:p>
        </w:tc>
        <w:tc>
          <w:tcPr>
            <w:tcW w:w="2606" w:type="dxa"/>
            <w:shd w:val="clear" w:color="auto" w:fill="auto"/>
          </w:tcPr>
          <w:p w14:paraId="40A4FA28" w14:textId="77777777" w:rsidR="003D4653" w:rsidRPr="00873B6C" w:rsidRDefault="003D4653" w:rsidP="00C9561D">
            <w:pPr>
              <w:pStyle w:val="TAL"/>
            </w:pPr>
            <w:r w:rsidRPr="00873B6C">
              <w:t>The Transport Mode shall be included only when the Steering Functionality is the MPQUIC functionality. In all other cases, the Transport Mode shall not be included.</w:t>
            </w:r>
          </w:p>
        </w:tc>
      </w:tr>
      <w:tr w:rsidR="003D4653" w:rsidRPr="00873B6C" w14:paraId="703C4122" w14:textId="77777777" w:rsidTr="00C9561D">
        <w:trPr>
          <w:cantSplit/>
          <w:jc w:val="center"/>
        </w:trPr>
        <w:tc>
          <w:tcPr>
            <w:tcW w:w="2876" w:type="dxa"/>
            <w:gridSpan w:val="2"/>
            <w:shd w:val="clear" w:color="auto" w:fill="auto"/>
          </w:tcPr>
          <w:p w14:paraId="52A79E77" w14:textId="77777777" w:rsidR="003D4653" w:rsidRPr="00873B6C" w:rsidRDefault="003D4653" w:rsidP="00C9561D">
            <w:pPr>
              <w:pStyle w:val="TAL"/>
            </w:pPr>
            <w:r w:rsidRPr="00873B6C">
              <w:t>Steering mode</w:t>
            </w:r>
          </w:p>
          <w:p w14:paraId="03771F7D" w14:textId="77777777" w:rsidR="003D4653" w:rsidRPr="00873B6C" w:rsidRDefault="003D4653" w:rsidP="00C9561D">
            <w:pPr>
              <w:pStyle w:val="TAL"/>
            </w:pPr>
            <w:r w:rsidRPr="00873B6C">
              <w:t>(NOTE 5)</w:t>
            </w:r>
          </w:p>
        </w:tc>
        <w:tc>
          <w:tcPr>
            <w:tcW w:w="4149" w:type="dxa"/>
            <w:shd w:val="clear" w:color="auto" w:fill="auto"/>
          </w:tcPr>
          <w:p w14:paraId="0BFFB33D" w14:textId="77777777" w:rsidR="003D4653" w:rsidRPr="00873B6C" w:rsidRDefault="003D4653" w:rsidP="00C9561D">
            <w:pPr>
              <w:pStyle w:val="TAL"/>
            </w:pPr>
            <w:r w:rsidRPr="00873B6C">
              <w:t>Values "Active-Standby", "Smallest Delay", "Load Balancing", or "Priority-based" or "Redundant".</w:t>
            </w:r>
          </w:p>
        </w:tc>
        <w:tc>
          <w:tcPr>
            <w:tcW w:w="2606" w:type="dxa"/>
            <w:shd w:val="clear" w:color="auto" w:fill="auto"/>
          </w:tcPr>
          <w:p w14:paraId="6B8BE0CE" w14:textId="77777777" w:rsidR="003D4653" w:rsidRPr="00873B6C" w:rsidRDefault="003D4653" w:rsidP="00C9561D">
            <w:pPr>
              <w:pStyle w:val="TAL"/>
            </w:pPr>
          </w:p>
        </w:tc>
      </w:tr>
      <w:tr w:rsidR="003D4653" w:rsidRPr="00873B6C" w14:paraId="5B562237" w14:textId="77777777" w:rsidTr="00C9561D">
        <w:trPr>
          <w:cantSplit/>
          <w:jc w:val="center"/>
        </w:trPr>
        <w:tc>
          <w:tcPr>
            <w:tcW w:w="2876" w:type="dxa"/>
            <w:gridSpan w:val="2"/>
            <w:shd w:val="clear" w:color="auto" w:fill="auto"/>
          </w:tcPr>
          <w:p w14:paraId="529BB0C2" w14:textId="77777777" w:rsidR="003D4653" w:rsidRPr="00873B6C" w:rsidRDefault="003D4653" w:rsidP="00C9561D">
            <w:pPr>
              <w:pStyle w:val="TAL"/>
            </w:pPr>
            <w:r w:rsidRPr="00873B6C">
              <w:t>Steering Mode Indicator</w:t>
            </w:r>
          </w:p>
          <w:p w14:paraId="39D8E29C" w14:textId="77777777" w:rsidR="003D4653" w:rsidRPr="00873B6C" w:rsidRDefault="003D4653" w:rsidP="00C9561D">
            <w:pPr>
              <w:pStyle w:val="TAL"/>
            </w:pPr>
            <w:r w:rsidRPr="00873B6C">
              <w:t>(NOTE 4)</w:t>
            </w:r>
          </w:p>
        </w:tc>
        <w:tc>
          <w:tcPr>
            <w:tcW w:w="4149" w:type="dxa"/>
            <w:shd w:val="clear" w:color="auto" w:fill="auto"/>
          </w:tcPr>
          <w:p w14:paraId="507A563C" w14:textId="77777777" w:rsidR="003D4653" w:rsidRPr="00873B6C" w:rsidRDefault="003D4653" w:rsidP="00C9561D">
            <w:pPr>
              <w:pStyle w:val="TAL"/>
            </w:pPr>
            <w:r w:rsidRPr="00873B6C">
              <w:t>Indicates either autonomous load-balance operation or UE-assistance operation if steering mode is set to "Load Balancing".</w:t>
            </w:r>
          </w:p>
        </w:tc>
        <w:tc>
          <w:tcPr>
            <w:tcW w:w="2606" w:type="dxa"/>
            <w:shd w:val="clear" w:color="auto" w:fill="auto"/>
          </w:tcPr>
          <w:p w14:paraId="004B144B" w14:textId="77777777" w:rsidR="003D4653" w:rsidRPr="00873B6C" w:rsidRDefault="003D4653" w:rsidP="00C9561D">
            <w:pPr>
              <w:pStyle w:val="TAL"/>
            </w:pPr>
          </w:p>
        </w:tc>
      </w:tr>
      <w:tr w:rsidR="003D4653" w:rsidRPr="00873B6C" w14:paraId="28323951" w14:textId="77777777" w:rsidTr="00C9561D">
        <w:trPr>
          <w:cantSplit/>
          <w:jc w:val="center"/>
        </w:trPr>
        <w:tc>
          <w:tcPr>
            <w:tcW w:w="2876" w:type="dxa"/>
            <w:gridSpan w:val="2"/>
            <w:shd w:val="clear" w:color="auto" w:fill="auto"/>
          </w:tcPr>
          <w:p w14:paraId="126B6ED4" w14:textId="77777777" w:rsidR="003D4653" w:rsidRPr="00873B6C" w:rsidRDefault="003D4653" w:rsidP="00C9561D">
            <w:pPr>
              <w:pStyle w:val="TAL"/>
            </w:pPr>
            <w:r w:rsidRPr="00873B6C">
              <w:t>Threshold values</w:t>
            </w:r>
          </w:p>
          <w:p w14:paraId="3E876A85" w14:textId="77777777" w:rsidR="003D4653" w:rsidRPr="00873B6C" w:rsidRDefault="003D4653" w:rsidP="00C9561D">
            <w:pPr>
              <w:pStyle w:val="TAL"/>
            </w:pPr>
            <w:r w:rsidRPr="00873B6C">
              <w:t>(NOTE 3, NOTE 4)</w:t>
            </w:r>
          </w:p>
        </w:tc>
        <w:tc>
          <w:tcPr>
            <w:tcW w:w="4149" w:type="dxa"/>
            <w:shd w:val="clear" w:color="auto" w:fill="auto"/>
          </w:tcPr>
          <w:p w14:paraId="6C0E504C" w14:textId="77777777" w:rsidR="003D4653" w:rsidRPr="00873B6C" w:rsidRDefault="003D4653" w:rsidP="00C9561D">
            <w:pPr>
              <w:pStyle w:val="TAL"/>
            </w:pPr>
            <w:r w:rsidRPr="00873B6C">
              <w:t>A Maximum RTT and/or a Maximum Packet Loss Rate</w:t>
            </w:r>
          </w:p>
        </w:tc>
        <w:tc>
          <w:tcPr>
            <w:tcW w:w="2606" w:type="dxa"/>
            <w:shd w:val="clear" w:color="auto" w:fill="auto"/>
          </w:tcPr>
          <w:p w14:paraId="7C2B6798" w14:textId="77777777" w:rsidR="003D4653" w:rsidRPr="00873B6C" w:rsidRDefault="003D4653" w:rsidP="00C9561D">
            <w:pPr>
              <w:pStyle w:val="TAL"/>
            </w:pPr>
            <w:r w:rsidRPr="00873B6C">
              <w:t>The Threshold Values are applied by UPF as described in clause 5.32.8.</w:t>
            </w:r>
          </w:p>
        </w:tc>
      </w:tr>
      <w:tr w:rsidR="003D4653" w:rsidRPr="00873B6C" w14:paraId="2DA4D5C1" w14:textId="77777777" w:rsidTr="00C9561D">
        <w:trPr>
          <w:cantSplit/>
          <w:jc w:val="center"/>
        </w:trPr>
        <w:tc>
          <w:tcPr>
            <w:tcW w:w="1438" w:type="dxa"/>
            <w:tcBorders>
              <w:bottom w:val="nil"/>
            </w:tcBorders>
            <w:shd w:val="clear" w:color="auto" w:fill="auto"/>
          </w:tcPr>
          <w:p w14:paraId="29CD9F16" w14:textId="77777777" w:rsidR="003D4653" w:rsidRPr="00873B6C" w:rsidRDefault="003D4653" w:rsidP="00C9561D">
            <w:pPr>
              <w:pStyle w:val="TAL"/>
            </w:pPr>
            <w:r w:rsidRPr="00873B6C">
              <w:t>Per-Access Forwarding</w:t>
            </w:r>
          </w:p>
        </w:tc>
        <w:tc>
          <w:tcPr>
            <w:tcW w:w="1438" w:type="dxa"/>
            <w:shd w:val="clear" w:color="auto" w:fill="auto"/>
          </w:tcPr>
          <w:p w14:paraId="505CCD7B" w14:textId="77777777" w:rsidR="003D4653" w:rsidRPr="00873B6C" w:rsidRDefault="003D4653" w:rsidP="00C9561D">
            <w:pPr>
              <w:pStyle w:val="TAL"/>
            </w:pPr>
            <w:r w:rsidRPr="00873B6C">
              <w:t>Forwarding Action Rule ID</w:t>
            </w:r>
          </w:p>
        </w:tc>
        <w:tc>
          <w:tcPr>
            <w:tcW w:w="4149" w:type="dxa"/>
            <w:shd w:val="clear" w:color="auto" w:fill="auto"/>
          </w:tcPr>
          <w:p w14:paraId="1343D442" w14:textId="77777777" w:rsidR="003D4653" w:rsidRPr="00873B6C" w:rsidRDefault="003D4653" w:rsidP="00C9561D">
            <w:pPr>
              <w:pStyle w:val="TAL"/>
            </w:pPr>
            <w:r w:rsidRPr="00873B6C">
              <w:t>The Forwarding Action Rule ID identifies a forwarding action that has to be applied.</w:t>
            </w:r>
          </w:p>
        </w:tc>
        <w:tc>
          <w:tcPr>
            <w:tcW w:w="2606" w:type="dxa"/>
            <w:shd w:val="clear" w:color="auto" w:fill="auto"/>
          </w:tcPr>
          <w:p w14:paraId="2C32A306" w14:textId="77777777" w:rsidR="003D4653" w:rsidRPr="00873B6C" w:rsidRDefault="003D4653" w:rsidP="00C9561D">
            <w:pPr>
              <w:pStyle w:val="TAL"/>
            </w:pPr>
          </w:p>
        </w:tc>
      </w:tr>
      <w:tr w:rsidR="003D4653" w:rsidRPr="00873B6C" w14:paraId="5D86462C" w14:textId="77777777" w:rsidTr="00C9561D">
        <w:trPr>
          <w:cantSplit/>
          <w:jc w:val="center"/>
        </w:trPr>
        <w:tc>
          <w:tcPr>
            <w:tcW w:w="1438" w:type="dxa"/>
            <w:tcBorders>
              <w:top w:val="nil"/>
              <w:bottom w:val="nil"/>
            </w:tcBorders>
            <w:shd w:val="clear" w:color="auto" w:fill="auto"/>
          </w:tcPr>
          <w:p w14:paraId="27A905E9" w14:textId="77777777" w:rsidR="003D4653" w:rsidRPr="00873B6C" w:rsidRDefault="003D4653" w:rsidP="00C9561D">
            <w:pPr>
              <w:pStyle w:val="TAL"/>
            </w:pPr>
            <w:r w:rsidRPr="00873B6C">
              <w:t>Action information</w:t>
            </w:r>
          </w:p>
        </w:tc>
        <w:tc>
          <w:tcPr>
            <w:tcW w:w="1438" w:type="dxa"/>
            <w:shd w:val="clear" w:color="auto" w:fill="auto"/>
          </w:tcPr>
          <w:p w14:paraId="1A548959" w14:textId="77777777" w:rsidR="003D4653" w:rsidRPr="00873B6C" w:rsidRDefault="003D4653" w:rsidP="00C9561D">
            <w:pPr>
              <w:pStyle w:val="TAL"/>
            </w:pPr>
            <w:r w:rsidRPr="00873B6C">
              <w:t>Weight</w:t>
            </w:r>
          </w:p>
        </w:tc>
        <w:tc>
          <w:tcPr>
            <w:tcW w:w="4149" w:type="dxa"/>
            <w:shd w:val="clear" w:color="auto" w:fill="auto"/>
          </w:tcPr>
          <w:p w14:paraId="3825DCAC" w14:textId="77777777" w:rsidR="003D4653" w:rsidRPr="00873B6C" w:rsidRDefault="003D4653" w:rsidP="00C9561D">
            <w:pPr>
              <w:pStyle w:val="TAL"/>
            </w:pPr>
            <w:r w:rsidRPr="00873B6C">
              <w:t>Identifies the weight for the FAR if steering mode is "Load Balancing"</w:t>
            </w:r>
          </w:p>
        </w:tc>
        <w:tc>
          <w:tcPr>
            <w:tcW w:w="2606" w:type="dxa"/>
            <w:shd w:val="clear" w:color="auto" w:fill="auto"/>
          </w:tcPr>
          <w:p w14:paraId="1F8F74F3" w14:textId="77777777" w:rsidR="003D4653" w:rsidRPr="00873B6C" w:rsidRDefault="003D4653" w:rsidP="00C9561D">
            <w:pPr>
              <w:pStyle w:val="TAL"/>
            </w:pPr>
            <w:r w:rsidRPr="00873B6C">
              <w:t>The weights for all FARs need to sum up to 100</w:t>
            </w:r>
          </w:p>
        </w:tc>
      </w:tr>
      <w:tr w:rsidR="003D4653" w:rsidRPr="00873B6C" w14:paraId="74DA89A3" w14:textId="77777777" w:rsidTr="00C9561D">
        <w:trPr>
          <w:cantSplit/>
          <w:jc w:val="center"/>
        </w:trPr>
        <w:tc>
          <w:tcPr>
            <w:tcW w:w="1438" w:type="dxa"/>
            <w:tcBorders>
              <w:top w:val="nil"/>
              <w:bottom w:val="nil"/>
            </w:tcBorders>
            <w:shd w:val="clear" w:color="auto" w:fill="auto"/>
          </w:tcPr>
          <w:p w14:paraId="033EF329" w14:textId="77777777" w:rsidR="003D4653" w:rsidRPr="00873B6C" w:rsidRDefault="003D4653" w:rsidP="00C9561D">
            <w:pPr>
              <w:pStyle w:val="TAL"/>
            </w:pPr>
            <w:r w:rsidRPr="00873B6C">
              <w:t>(NOTE 1)</w:t>
            </w:r>
          </w:p>
          <w:p w14:paraId="210311F6" w14:textId="77777777" w:rsidR="003D4653" w:rsidRPr="00873B6C" w:rsidRDefault="003D4653" w:rsidP="00C9561D">
            <w:pPr>
              <w:pStyle w:val="TAL"/>
            </w:pPr>
            <w:r w:rsidRPr="00873B6C">
              <w:t>(NOTE 2)</w:t>
            </w:r>
          </w:p>
        </w:tc>
        <w:tc>
          <w:tcPr>
            <w:tcW w:w="1438" w:type="dxa"/>
            <w:shd w:val="clear" w:color="auto" w:fill="auto"/>
          </w:tcPr>
          <w:p w14:paraId="0DD4C857" w14:textId="77777777" w:rsidR="003D4653" w:rsidRPr="00873B6C" w:rsidRDefault="003D4653" w:rsidP="00C9561D">
            <w:pPr>
              <w:pStyle w:val="TAL"/>
            </w:pPr>
            <w:r w:rsidRPr="00873B6C">
              <w:t>Priority</w:t>
            </w:r>
          </w:p>
        </w:tc>
        <w:tc>
          <w:tcPr>
            <w:tcW w:w="4149" w:type="dxa"/>
            <w:shd w:val="clear" w:color="auto" w:fill="auto"/>
          </w:tcPr>
          <w:p w14:paraId="37165E0A" w14:textId="77777777" w:rsidR="003D4653" w:rsidRPr="00873B6C" w:rsidRDefault="003D4653" w:rsidP="00C9561D">
            <w:pPr>
              <w:pStyle w:val="TAL"/>
            </w:pPr>
            <w:r w:rsidRPr="00873B6C">
              <w:t>Values "Active or Standby" or "High or Low" for the FAR</w:t>
            </w:r>
          </w:p>
        </w:tc>
        <w:tc>
          <w:tcPr>
            <w:tcW w:w="2606" w:type="dxa"/>
            <w:shd w:val="clear" w:color="auto" w:fill="auto"/>
          </w:tcPr>
          <w:p w14:paraId="70227474" w14:textId="77777777" w:rsidR="003D4653" w:rsidRPr="00873B6C" w:rsidRDefault="003D4653" w:rsidP="00C9561D">
            <w:pPr>
              <w:pStyle w:val="TAL"/>
            </w:pPr>
            <w:r w:rsidRPr="00873B6C">
              <w:t>"Active or Standby" for "Active-Standby" steering mode and "High or Low" for "Priority-based" steering mode</w:t>
            </w:r>
          </w:p>
        </w:tc>
      </w:tr>
      <w:tr w:rsidR="003D4653" w:rsidRPr="00873B6C" w14:paraId="17EA05D2" w14:textId="77777777" w:rsidTr="00C9561D">
        <w:trPr>
          <w:cantSplit/>
          <w:jc w:val="center"/>
        </w:trPr>
        <w:tc>
          <w:tcPr>
            <w:tcW w:w="1438" w:type="dxa"/>
            <w:tcBorders>
              <w:top w:val="nil"/>
              <w:bottom w:val="nil"/>
            </w:tcBorders>
            <w:shd w:val="clear" w:color="auto" w:fill="auto"/>
          </w:tcPr>
          <w:p w14:paraId="7EDF2A06" w14:textId="77777777" w:rsidR="003D4653" w:rsidRPr="00873B6C" w:rsidRDefault="003D4653" w:rsidP="00C9561D">
            <w:pPr>
              <w:pStyle w:val="TAL"/>
            </w:pPr>
          </w:p>
        </w:tc>
        <w:tc>
          <w:tcPr>
            <w:tcW w:w="1438" w:type="dxa"/>
            <w:shd w:val="clear" w:color="auto" w:fill="auto"/>
          </w:tcPr>
          <w:p w14:paraId="525C131A" w14:textId="77777777" w:rsidR="003D4653" w:rsidRPr="00873B6C" w:rsidRDefault="003D4653" w:rsidP="00C9561D">
            <w:pPr>
              <w:pStyle w:val="TAL"/>
            </w:pPr>
            <w:r w:rsidRPr="00873B6C">
              <w:t>List of Usage Reporting Rule ID(s)</w:t>
            </w:r>
          </w:p>
        </w:tc>
        <w:tc>
          <w:tcPr>
            <w:tcW w:w="4149" w:type="dxa"/>
            <w:shd w:val="clear" w:color="auto" w:fill="auto"/>
          </w:tcPr>
          <w:p w14:paraId="3155AE14" w14:textId="77777777" w:rsidR="003D4653" w:rsidRPr="00873B6C" w:rsidRDefault="003D4653" w:rsidP="00C9561D">
            <w:pPr>
              <w:pStyle w:val="TAL"/>
            </w:pPr>
            <w:r w:rsidRPr="00873B6C">
              <w:t>Every Usage Reporting Rule ID identifies a measurement action that has to be applied.</w:t>
            </w:r>
          </w:p>
        </w:tc>
        <w:tc>
          <w:tcPr>
            <w:tcW w:w="2606" w:type="dxa"/>
            <w:shd w:val="clear" w:color="auto" w:fill="auto"/>
          </w:tcPr>
          <w:p w14:paraId="3F0402BE" w14:textId="77777777" w:rsidR="003D4653" w:rsidRPr="00873B6C" w:rsidRDefault="003D4653" w:rsidP="00C9561D">
            <w:pPr>
              <w:pStyle w:val="TAL"/>
            </w:pPr>
            <w:r w:rsidRPr="00873B6C">
              <w:t>This enables the SMF to request separate usage reports for different FARs (i.e. different accesses)</w:t>
            </w:r>
          </w:p>
        </w:tc>
      </w:tr>
      <w:tr w:rsidR="003D4653" w:rsidRPr="00873B6C" w14:paraId="45544B4F" w14:textId="77777777" w:rsidTr="00C9561D">
        <w:trPr>
          <w:cantSplit/>
          <w:jc w:val="center"/>
        </w:trPr>
        <w:tc>
          <w:tcPr>
            <w:tcW w:w="9631" w:type="dxa"/>
            <w:gridSpan w:val="4"/>
            <w:shd w:val="clear" w:color="auto" w:fill="auto"/>
          </w:tcPr>
          <w:p w14:paraId="07EE181E" w14:textId="77777777" w:rsidR="003D4653" w:rsidRPr="00873B6C" w:rsidRDefault="003D4653" w:rsidP="00C9561D">
            <w:pPr>
              <w:pStyle w:val="TAN"/>
              <w:rPr>
                <w:lang w:eastAsia="ko-KR"/>
              </w:rPr>
            </w:pPr>
            <w:r w:rsidRPr="00873B6C">
              <w:rPr>
                <w:lang w:eastAsia="ko-KR"/>
              </w:rPr>
              <w:t>NOTE 1:</w:t>
            </w:r>
            <w:r w:rsidRPr="00873B6C">
              <w:rPr>
                <w:lang w:eastAsia="ko-KR"/>
              </w:rPr>
              <w:tab/>
              <w:t>The Per-Access Forwarding Action information is provided per access type (i.e. 3GPP access or Non-3GPP access).</w:t>
            </w:r>
          </w:p>
          <w:p w14:paraId="541FEDAC" w14:textId="77777777" w:rsidR="003D4653" w:rsidRPr="00873B6C" w:rsidRDefault="003D4653" w:rsidP="00C9561D">
            <w:pPr>
              <w:pStyle w:val="TAN"/>
            </w:pPr>
            <w:r w:rsidRPr="00873B6C">
              <w:t>NOTE 2:</w:t>
            </w:r>
            <w:r w:rsidRPr="00873B6C">
              <w:tab/>
              <w:t>The Weight is treated as the default percentages if the Autonomous operation is allowed for the "Load Balancing" steering mode.</w:t>
            </w:r>
          </w:p>
          <w:p w14:paraId="67EDB0DB" w14:textId="700764A2" w:rsidR="003D4653" w:rsidRPr="00873B6C" w:rsidRDefault="003D4653" w:rsidP="00C9561D">
            <w:pPr>
              <w:pStyle w:val="TAN"/>
            </w:pPr>
            <w:r w:rsidRPr="00873B6C">
              <w:t>NOTE 3:</w:t>
            </w:r>
            <w:r w:rsidRPr="00873B6C">
              <w:tab/>
              <w:t>The Threshold Values may be provided when the Steering Mode is Priority-based, or when the Steering Mode is Load-Balancing with fixed split percentages or when the Steering Mode is "Redundant". If the Steering Mode is "Redundant", either a Maximum RTT or a Maximum Packet Loss Rate may be provided, but not both.</w:t>
            </w:r>
          </w:p>
          <w:p w14:paraId="24A6A571" w14:textId="77777777" w:rsidR="003D4653" w:rsidRPr="00873B6C" w:rsidRDefault="003D4653" w:rsidP="00C9561D">
            <w:pPr>
              <w:pStyle w:val="TAN"/>
            </w:pPr>
            <w:r w:rsidRPr="00873B6C">
              <w:t>NOTE 4:</w:t>
            </w:r>
            <w:r w:rsidRPr="00873B6C">
              <w:tab/>
              <w:t>The Steering Mode Indicator and the Threshold Values shall not be provided together.</w:t>
            </w:r>
          </w:p>
          <w:p w14:paraId="28259866" w14:textId="77777777" w:rsidR="003D4653" w:rsidRPr="00873B6C" w:rsidRDefault="003D4653" w:rsidP="00C9561D">
            <w:pPr>
              <w:pStyle w:val="TAN"/>
            </w:pPr>
            <w:r w:rsidRPr="00873B6C">
              <w:t>NOTE 5:</w:t>
            </w:r>
            <w:r w:rsidRPr="00873B6C">
              <w:tab/>
              <w:t>The Steering functionality "ATSSS-LL functionality" shall not be provided together with Steering Mode "Redundant".</w:t>
            </w:r>
          </w:p>
        </w:tc>
      </w:tr>
    </w:tbl>
    <w:p w14:paraId="4DD9EFC3" w14:textId="77777777" w:rsidR="003D4653" w:rsidRPr="00873B6C" w:rsidRDefault="003D4653" w:rsidP="003D4653"/>
    <w:p w14:paraId="3CCFF26B" w14:textId="77777777" w:rsidR="003D4653" w:rsidRPr="00873B6C" w:rsidRDefault="003D4653" w:rsidP="00972E70">
      <w:pPr>
        <w:pStyle w:val="Heading4"/>
      </w:pPr>
      <w:bookmarkStart w:id="2338" w:name="_CR5_8_5_9"/>
      <w:bookmarkStart w:id="2339" w:name="_Toc201157223"/>
      <w:bookmarkEnd w:id="2338"/>
      <w:r w:rsidRPr="00873B6C">
        <w:t>5.8.5.9</w:t>
      </w:r>
      <w:r w:rsidRPr="00873B6C">
        <w:tab/>
        <w:t>Bridge/Router Information</w:t>
      </w:r>
      <w:bookmarkEnd w:id="2339"/>
    </w:p>
    <w:p w14:paraId="1093BFE7" w14:textId="77777777" w:rsidR="003D4653" w:rsidRPr="00873B6C" w:rsidRDefault="003D4653" w:rsidP="003D4653">
      <w:pPr>
        <w:rPr>
          <w:lang w:eastAsia="x-none"/>
        </w:rPr>
      </w:pPr>
      <w:r w:rsidRPr="00873B6C">
        <w:rPr>
          <w:lang w:eastAsia="x-none"/>
        </w:rPr>
        <w:t>The following table describes the User plane node Information (UI) that includes the information required to configure a 5GS logical bridge/router for TSC or Deterministic Networking PDU Sessions.</w:t>
      </w:r>
    </w:p>
    <w:p w14:paraId="0F35A9E8" w14:textId="77777777" w:rsidR="003D4653" w:rsidRPr="00873B6C" w:rsidRDefault="003D4653" w:rsidP="003D4653">
      <w:pPr>
        <w:pStyle w:val="TH"/>
      </w:pPr>
      <w:bookmarkStart w:id="2340" w:name="_CRTable5_8_5_91"/>
      <w:r w:rsidRPr="00873B6C">
        <w:t xml:space="preserve">Table </w:t>
      </w:r>
      <w:bookmarkEnd w:id="2340"/>
      <w:r w:rsidRPr="00873B6C">
        <w:t>5.8.5.9-1: User plane node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873B6C" w14:paraId="3DEB707F" w14:textId="77777777" w:rsidTr="00C9561D">
        <w:trPr>
          <w:cantSplit/>
          <w:jc w:val="center"/>
        </w:trPr>
        <w:tc>
          <w:tcPr>
            <w:tcW w:w="2876" w:type="dxa"/>
            <w:shd w:val="clear" w:color="auto" w:fill="auto"/>
          </w:tcPr>
          <w:p w14:paraId="18C3EA79" w14:textId="77777777" w:rsidR="003D4653" w:rsidRPr="00873B6C" w:rsidRDefault="003D4653" w:rsidP="00C9561D">
            <w:pPr>
              <w:pStyle w:val="TAH"/>
            </w:pPr>
            <w:r w:rsidRPr="00873B6C">
              <w:t>Attribute</w:t>
            </w:r>
          </w:p>
        </w:tc>
        <w:tc>
          <w:tcPr>
            <w:tcW w:w="4149" w:type="dxa"/>
            <w:shd w:val="clear" w:color="auto" w:fill="auto"/>
          </w:tcPr>
          <w:p w14:paraId="2F06D87C" w14:textId="77777777" w:rsidR="003D4653" w:rsidRPr="00873B6C" w:rsidRDefault="003D4653" w:rsidP="00C9561D">
            <w:pPr>
              <w:pStyle w:val="TAH"/>
            </w:pPr>
            <w:r w:rsidRPr="00873B6C">
              <w:t>Description</w:t>
            </w:r>
          </w:p>
        </w:tc>
        <w:tc>
          <w:tcPr>
            <w:tcW w:w="2606" w:type="dxa"/>
            <w:shd w:val="clear" w:color="auto" w:fill="auto"/>
          </w:tcPr>
          <w:p w14:paraId="34ABCD30" w14:textId="77777777" w:rsidR="003D4653" w:rsidRPr="00873B6C" w:rsidRDefault="003D4653" w:rsidP="00C9561D">
            <w:pPr>
              <w:pStyle w:val="TAH"/>
            </w:pPr>
            <w:r w:rsidRPr="00873B6C">
              <w:t>Comment</w:t>
            </w:r>
          </w:p>
        </w:tc>
      </w:tr>
      <w:tr w:rsidR="003D4653" w:rsidRPr="00873B6C" w14:paraId="6E55C43F" w14:textId="77777777" w:rsidTr="00C9561D">
        <w:trPr>
          <w:cantSplit/>
          <w:jc w:val="center"/>
        </w:trPr>
        <w:tc>
          <w:tcPr>
            <w:tcW w:w="2876" w:type="dxa"/>
            <w:shd w:val="clear" w:color="auto" w:fill="auto"/>
          </w:tcPr>
          <w:p w14:paraId="0C478B9C" w14:textId="064DC9D6" w:rsidR="003D4653" w:rsidRPr="00873B6C" w:rsidRDefault="003D4653" w:rsidP="00C9561D">
            <w:pPr>
              <w:pStyle w:val="TAL"/>
            </w:pPr>
            <w:r w:rsidRPr="00873B6C">
              <w:t>Port Number</w:t>
            </w:r>
          </w:p>
        </w:tc>
        <w:tc>
          <w:tcPr>
            <w:tcW w:w="4149" w:type="dxa"/>
            <w:shd w:val="clear" w:color="auto" w:fill="auto"/>
          </w:tcPr>
          <w:p w14:paraId="2FC3A07C" w14:textId="7144D574" w:rsidR="003D4653" w:rsidRPr="00873B6C" w:rsidRDefault="003D4653" w:rsidP="00C9561D">
            <w:pPr>
              <w:pStyle w:val="TAL"/>
            </w:pPr>
            <w:r w:rsidRPr="00873B6C">
              <w:t>Port Number allocated by the node for a given PDU Session</w:t>
            </w:r>
          </w:p>
        </w:tc>
        <w:tc>
          <w:tcPr>
            <w:tcW w:w="2606" w:type="dxa"/>
            <w:shd w:val="clear" w:color="auto" w:fill="auto"/>
          </w:tcPr>
          <w:p w14:paraId="7EF09374" w14:textId="77777777" w:rsidR="003D4653" w:rsidRPr="00873B6C" w:rsidRDefault="003D4653" w:rsidP="00C9561D">
            <w:pPr>
              <w:pStyle w:val="TAL"/>
            </w:pPr>
          </w:p>
        </w:tc>
      </w:tr>
      <w:tr w:rsidR="003D4653" w:rsidRPr="00873B6C" w14:paraId="7E3C7C7C" w14:textId="77777777" w:rsidTr="00C9561D">
        <w:trPr>
          <w:cantSplit/>
          <w:jc w:val="center"/>
        </w:trPr>
        <w:tc>
          <w:tcPr>
            <w:tcW w:w="2876" w:type="dxa"/>
            <w:shd w:val="clear" w:color="auto" w:fill="auto"/>
          </w:tcPr>
          <w:p w14:paraId="6B568F82" w14:textId="77777777" w:rsidR="003D4653" w:rsidRPr="00873B6C" w:rsidRDefault="003D4653" w:rsidP="00C9561D">
            <w:pPr>
              <w:pStyle w:val="TAL"/>
            </w:pPr>
            <w:r w:rsidRPr="00873B6C">
              <w:t>User plane node ID</w:t>
            </w:r>
          </w:p>
        </w:tc>
        <w:tc>
          <w:tcPr>
            <w:tcW w:w="4149" w:type="dxa"/>
            <w:shd w:val="clear" w:color="auto" w:fill="auto"/>
          </w:tcPr>
          <w:p w14:paraId="72CC5A58" w14:textId="77777777" w:rsidR="003D4653" w:rsidRPr="00873B6C" w:rsidRDefault="003D4653" w:rsidP="00C9561D">
            <w:pPr>
              <w:pStyle w:val="TAL"/>
            </w:pPr>
            <w:r w:rsidRPr="00873B6C">
              <w:t>Bridge identifier of the 5GS TSN bridge, or user-plane node ID.</w:t>
            </w:r>
          </w:p>
        </w:tc>
        <w:tc>
          <w:tcPr>
            <w:tcW w:w="2606" w:type="dxa"/>
            <w:shd w:val="clear" w:color="auto" w:fill="auto"/>
          </w:tcPr>
          <w:p w14:paraId="24B2E65E" w14:textId="77777777" w:rsidR="003D4653" w:rsidRPr="00873B6C" w:rsidRDefault="003D4653" w:rsidP="00C9561D">
            <w:pPr>
              <w:pStyle w:val="TAL"/>
            </w:pPr>
          </w:p>
        </w:tc>
      </w:tr>
    </w:tbl>
    <w:p w14:paraId="7180A72A" w14:textId="77777777" w:rsidR="003D4653" w:rsidRPr="00873B6C" w:rsidRDefault="003D4653" w:rsidP="003D4653">
      <w:pPr>
        <w:rPr>
          <w:lang w:eastAsia="x-none"/>
        </w:rPr>
      </w:pPr>
    </w:p>
    <w:p w14:paraId="6F99FBDA" w14:textId="77777777" w:rsidR="003D4653" w:rsidRPr="00873B6C" w:rsidRDefault="003D4653" w:rsidP="00972E70">
      <w:pPr>
        <w:pStyle w:val="Heading4"/>
      </w:pPr>
      <w:bookmarkStart w:id="2341" w:name="_CR5_8_5_10"/>
      <w:bookmarkStart w:id="2342" w:name="_Toc201157224"/>
      <w:bookmarkEnd w:id="2341"/>
      <w:r w:rsidRPr="00873B6C">
        <w:t>5.8.5.10</w:t>
      </w:r>
      <w:r w:rsidRPr="00873B6C">
        <w:tab/>
        <w:t>Void</w:t>
      </w:r>
      <w:bookmarkEnd w:id="2342"/>
    </w:p>
    <w:p w14:paraId="015FD54F" w14:textId="77777777" w:rsidR="003D4653" w:rsidRPr="00873B6C" w:rsidRDefault="003D4653" w:rsidP="003D4653">
      <w:pPr>
        <w:rPr>
          <w:lang w:eastAsia="x-none"/>
        </w:rPr>
      </w:pPr>
    </w:p>
    <w:p w14:paraId="5486D598" w14:textId="77777777" w:rsidR="003D4653" w:rsidRPr="00873B6C" w:rsidRDefault="003D4653" w:rsidP="00972E70">
      <w:pPr>
        <w:pStyle w:val="Heading4"/>
      </w:pPr>
      <w:bookmarkStart w:id="2343" w:name="_CR5_8_5_11"/>
      <w:bookmarkStart w:id="2344" w:name="_Toc201157225"/>
      <w:bookmarkEnd w:id="2343"/>
      <w:r w:rsidRPr="00873B6C">
        <w:lastRenderedPageBreak/>
        <w:t>5.8.5.11</w:t>
      </w:r>
      <w:r w:rsidRPr="00873B6C">
        <w:tab/>
        <w:t>Session Reporting Rule</w:t>
      </w:r>
      <w:bookmarkEnd w:id="2344"/>
    </w:p>
    <w:p w14:paraId="53BD1444" w14:textId="77777777" w:rsidR="003D4653" w:rsidRPr="00873B6C" w:rsidRDefault="003D4653" w:rsidP="003D4653">
      <w:pPr>
        <w:rPr>
          <w:lang w:eastAsia="x-none"/>
        </w:rPr>
      </w:pPr>
      <w:r w:rsidRPr="00873B6C">
        <w:rPr>
          <w:lang w:eastAsia="x-none"/>
        </w:rPr>
        <w:t>The following table describes the Session Reporting Rule (SRR) that defines the detection and reporting events that the UPF shall report, that are not related to specific PDRs of the PDU Session, as follows:</w:t>
      </w:r>
    </w:p>
    <w:p w14:paraId="17BF5729" w14:textId="528CFBBD" w:rsidR="003D4653" w:rsidRPr="00873B6C" w:rsidRDefault="003D4653" w:rsidP="003D4653">
      <w:pPr>
        <w:pStyle w:val="B1"/>
      </w:pPr>
      <w:r w:rsidRPr="00873B6C">
        <w:t>-</w:t>
      </w:r>
      <w:r w:rsidRPr="00873B6C">
        <w:tab/>
        <w:t>Per QoS Flow per UE QoS Monitoring Report, as specified in clause 5.33.3.2.</w:t>
      </w:r>
    </w:p>
    <w:p w14:paraId="227F8D4C" w14:textId="77777777" w:rsidR="003D4653" w:rsidRPr="00873B6C" w:rsidRDefault="003D4653" w:rsidP="003D4653">
      <w:pPr>
        <w:pStyle w:val="B1"/>
      </w:pPr>
      <w:r w:rsidRPr="00873B6C">
        <w:t>-</w:t>
      </w:r>
      <w:r w:rsidRPr="00873B6C">
        <w:tab/>
        <w:t>Change of 3GPP or non-3GPP access availability, for an MA PDU session.</w:t>
      </w:r>
    </w:p>
    <w:p w14:paraId="125C6871" w14:textId="78BDC49D" w:rsidR="003D4653" w:rsidRPr="00873B6C" w:rsidRDefault="003D4653" w:rsidP="003D4653">
      <w:pPr>
        <w:pStyle w:val="B1"/>
      </w:pPr>
      <w:r w:rsidRPr="00873B6C">
        <w:t>-</w:t>
      </w:r>
      <w:r w:rsidRPr="00873B6C">
        <w:tab/>
        <w:t>Per QoS Flow N6</w:t>
      </w:r>
      <w:r w:rsidR="00354C8E" w:rsidRPr="00873B6C">
        <w:t xml:space="preserve"> Traffic Parameter</w:t>
      </w:r>
      <w:r w:rsidRPr="00873B6C">
        <w:t xml:space="preserve"> Measurement Report.</w:t>
      </w:r>
    </w:p>
    <w:p w14:paraId="7E1F63A1" w14:textId="77777777" w:rsidR="003D4653" w:rsidRPr="00873B6C" w:rsidRDefault="003D4653" w:rsidP="003D4653">
      <w:pPr>
        <w:pStyle w:val="TH"/>
      </w:pPr>
      <w:bookmarkStart w:id="2345" w:name="_CRTable5_8_5_111"/>
      <w:r w:rsidRPr="00873B6C">
        <w:t xml:space="preserve">Table </w:t>
      </w:r>
      <w:bookmarkEnd w:id="2345"/>
      <w:r w:rsidRPr="00873B6C">
        <w:t>5.8.5.11-1: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3D4653" w:rsidRPr="00873B6C" w14:paraId="72F605BE" w14:textId="77777777" w:rsidTr="00C9561D">
        <w:trPr>
          <w:cantSplit/>
          <w:jc w:val="center"/>
        </w:trPr>
        <w:tc>
          <w:tcPr>
            <w:tcW w:w="2875" w:type="dxa"/>
            <w:shd w:val="clear" w:color="auto" w:fill="auto"/>
          </w:tcPr>
          <w:p w14:paraId="153E1A9E" w14:textId="77777777" w:rsidR="003D4653" w:rsidRPr="00873B6C" w:rsidRDefault="003D4653" w:rsidP="00C9561D">
            <w:pPr>
              <w:pStyle w:val="TAH"/>
            </w:pPr>
            <w:r w:rsidRPr="00873B6C">
              <w:t>Attribute</w:t>
            </w:r>
          </w:p>
        </w:tc>
        <w:tc>
          <w:tcPr>
            <w:tcW w:w="4140" w:type="dxa"/>
            <w:shd w:val="clear" w:color="auto" w:fill="auto"/>
          </w:tcPr>
          <w:p w14:paraId="0A8FCE15" w14:textId="77777777" w:rsidR="003D4653" w:rsidRPr="00873B6C" w:rsidRDefault="003D4653" w:rsidP="00C9561D">
            <w:pPr>
              <w:pStyle w:val="TAH"/>
            </w:pPr>
            <w:r w:rsidRPr="00873B6C">
              <w:t>Description</w:t>
            </w:r>
          </w:p>
        </w:tc>
        <w:tc>
          <w:tcPr>
            <w:tcW w:w="2616" w:type="dxa"/>
            <w:shd w:val="clear" w:color="auto" w:fill="auto"/>
          </w:tcPr>
          <w:p w14:paraId="49E1B553" w14:textId="77777777" w:rsidR="003D4653" w:rsidRPr="00873B6C" w:rsidRDefault="003D4653" w:rsidP="00C9561D">
            <w:pPr>
              <w:pStyle w:val="TAH"/>
            </w:pPr>
            <w:r w:rsidRPr="00873B6C">
              <w:t>Comment</w:t>
            </w:r>
          </w:p>
        </w:tc>
      </w:tr>
      <w:tr w:rsidR="003D4653" w:rsidRPr="00873B6C" w14:paraId="5864963C" w14:textId="77777777" w:rsidTr="00C9561D">
        <w:trPr>
          <w:cantSplit/>
          <w:jc w:val="center"/>
        </w:trPr>
        <w:tc>
          <w:tcPr>
            <w:tcW w:w="2875" w:type="dxa"/>
            <w:shd w:val="clear" w:color="auto" w:fill="auto"/>
          </w:tcPr>
          <w:p w14:paraId="63474CFF" w14:textId="77777777" w:rsidR="003D4653" w:rsidRPr="00873B6C" w:rsidRDefault="003D4653" w:rsidP="00C9561D">
            <w:pPr>
              <w:pStyle w:val="TAL"/>
            </w:pPr>
            <w:r w:rsidRPr="00873B6C">
              <w:t>N4 Session ID</w:t>
            </w:r>
          </w:p>
        </w:tc>
        <w:tc>
          <w:tcPr>
            <w:tcW w:w="4140" w:type="dxa"/>
            <w:shd w:val="clear" w:color="auto" w:fill="auto"/>
          </w:tcPr>
          <w:p w14:paraId="4161BFF5" w14:textId="77777777" w:rsidR="003D4653" w:rsidRPr="00873B6C" w:rsidRDefault="003D4653" w:rsidP="00C9561D">
            <w:pPr>
              <w:pStyle w:val="TAL"/>
            </w:pPr>
            <w:r w:rsidRPr="00873B6C">
              <w:t>Identifies the N4 session associated to this SRR.</w:t>
            </w:r>
          </w:p>
        </w:tc>
        <w:tc>
          <w:tcPr>
            <w:tcW w:w="2616" w:type="dxa"/>
            <w:shd w:val="clear" w:color="auto" w:fill="auto"/>
          </w:tcPr>
          <w:p w14:paraId="5E0DF45E" w14:textId="77777777" w:rsidR="003D4653" w:rsidRPr="00873B6C" w:rsidRDefault="003D4653" w:rsidP="00C9561D">
            <w:pPr>
              <w:pStyle w:val="TAL"/>
            </w:pPr>
          </w:p>
        </w:tc>
      </w:tr>
      <w:tr w:rsidR="003D4653" w:rsidRPr="00873B6C" w14:paraId="3EF52852" w14:textId="77777777" w:rsidTr="00C9561D">
        <w:trPr>
          <w:cantSplit/>
          <w:jc w:val="center"/>
        </w:trPr>
        <w:tc>
          <w:tcPr>
            <w:tcW w:w="2875" w:type="dxa"/>
            <w:shd w:val="clear" w:color="auto" w:fill="auto"/>
          </w:tcPr>
          <w:p w14:paraId="25E45EB4" w14:textId="77777777" w:rsidR="003D4653" w:rsidRPr="00873B6C" w:rsidRDefault="003D4653" w:rsidP="00C9561D">
            <w:pPr>
              <w:pStyle w:val="TAL"/>
            </w:pPr>
            <w:r w:rsidRPr="00873B6C">
              <w:t>Rule ID</w:t>
            </w:r>
          </w:p>
        </w:tc>
        <w:tc>
          <w:tcPr>
            <w:tcW w:w="4140" w:type="dxa"/>
            <w:shd w:val="clear" w:color="auto" w:fill="auto"/>
          </w:tcPr>
          <w:p w14:paraId="4511F03D" w14:textId="77777777" w:rsidR="003D4653" w:rsidRPr="00873B6C" w:rsidRDefault="003D4653" w:rsidP="00C9561D">
            <w:pPr>
              <w:pStyle w:val="TAL"/>
            </w:pPr>
            <w:r w:rsidRPr="00873B6C">
              <w:t>Unique identifier to identify this information.</w:t>
            </w:r>
          </w:p>
        </w:tc>
        <w:tc>
          <w:tcPr>
            <w:tcW w:w="2616" w:type="dxa"/>
            <w:shd w:val="clear" w:color="auto" w:fill="auto"/>
          </w:tcPr>
          <w:p w14:paraId="5C3A2DA0" w14:textId="77777777" w:rsidR="003D4653" w:rsidRPr="00873B6C" w:rsidRDefault="003D4653" w:rsidP="00C9561D">
            <w:pPr>
              <w:pStyle w:val="TAL"/>
            </w:pPr>
            <w:r w:rsidRPr="00873B6C">
              <w:t>Used by UPF when reporting.</w:t>
            </w:r>
          </w:p>
        </w:tc>
      </w:tr>
      <w:tr w:rsidR="003D4653" w:rsidRPr="00873B6C" w14:paraId="717F8549" w14:textId="77777777" w:rsidTr="00C9561D">
        <w:trPr>
          <w:cantSplit/>
          <w:jc w:val="center"/>
        </w:trPr>
        <w:tc>
          <w:tcPr>
            <w:tcW w:w="2875" w:type="dxa"/>
            <w:shd w:val="clear" w:color="auto" w:fill="auto"/>
          </w:tcPr>
          <w:p w14:paraId="5E18996B" w14:textId="77777777" w:rsidR="003D4653" w:rsidRPr="00873B6C" w:rsidRDefault="003D4653" w:rsidP="00C9561D">
            <w:pPr>
              <w:pStyle w:val="TAL"/>
            </w:pPr>
            <w:r w:rsidRPr="00873B6C">
              <w:t>QoS Monitoring per QoS Flow Control Information</w:t>
            </w:r>
          </w:p>
        </w:tc>
        <w:tc>
          <w:tcPr>
            <w:tcW w:w="4140" w:type="dxa"/>
            <w:shd w:val="clear" w:color="auto" w:fill="auto"/>
          </w:tcPr>
          <w:p w14:paraId="70C29095" w14:textId="77777777" w:rsidR="003D4653" w:rsidRPr="00873B6C" w:rsidRDefault="003D4653" w:rsidP="00C9561D">
            <w:pPr>
              <w:pStyle w:val="TAL"/>
            </w:pPr>
            <w:r w:rsidRPr="00873B6C">
              <w:t>Indicates the UPF to apply perform the QoS Monitoring report for one or more QoS Flows.</w:t>
            </w:r>
          </w:p>
        </w:tc>
        <w:tc>
          <w:tcPr>
            <w:tcW w:w="2616" w:type="dxa"/>
            <w:shd w:val="clear" w:color="auto" w:fill="auto"/>
          </w:tcPr>
          <w:p w14:paraId="7331A7DA" w14:textId="77777777" w:rsidR="003D4653" w:rsidRPr="00873B6C" w:rsidRDefault="003D4653" w:rsidP="00C9561D">
            <w:pPr>
              <w:pStyle w:val="TAL"/>
            </w:pPr>
            <w:r w:rsidRPr="00873B6C">
              <w:t>The IE is defined in clause 7.5.2.9 of the TS 29.244 [65].</w:t>
            </w:r>
          </w:p>
          <w:p w14:paraId="53013C9F" w14:textId="77777777" w:rsidR="003D4653" w:rsidRPr="00873B6C" w:rsidRDefault="003D4653" w:rsidP="00C9561D">
            <w:pPr>
              <w:pStyle w:val="TAL"/>
            </w:pPr>
            <w:r w:rsidRPr="00873B6C">
              <w:t>See NOTE 1.</w:t>
            </w:r>
          </w:p>
        </w:tc>
      </w:tr>
      <w:tr w:rsidR="003D4653" w:rsidRPr="00873B6C" w14:paraId="6A239CEB" w14:textId="77777777" w:rsidTr="00C9561D">
        <w:trPr>
          <w:cantSplit/>
          <w:jc w:val="center"/>
        </w:trPr>
        <w:tc>
          <w:tcPr>
            <w:tcW w:w="2875" w:type="dxa"/>
            <w:shd w:val="clear" w:color="auto" w:fill="auto"/>
          </w:tcPr>
          <w:p w14:paraId="44294671" w14:textId="77777777" w:rsidR="003D4653" w:rsidRPr="00873B6C" w:rsidRDefault="003D4653" w:rsidP="00C9561D">
            <w:pPr>
              <w:pStyle w:val="TAL"/>
            </w:pPr>
            <w:r w:rsidRPr="00873B6C">
              <w:t>Access Availability Control Information</w:t>
            </w:r>
          </w:p>
        </w:tc>
        <w:tc>
          <w:tcPr>
            <w:tcW w:w="4140" w:type="dxa"/>
            <w:shd w:val="clear" w:color="auto" w:fill="auto"/>
          </w:tcPr>
          <w:p w14:paraId="7E803FE1" w14:textId="77777777" w:rsidR="003D4653" w:rsidRPr="00873B6C" w:rsidRDefault="003D4653" w:rsidP="00C9561D">
            <w:pPr>
              <w:pStyle w:val="TAL"/>
            </w:pPr>
            <w:r w:rsidRPr="00873B6C">
              <w:t>Indicates the UPF to report when an access type becomes available or unavailable for an MA PDU Session.</w:t>
            </w:r>
          </w:p>
        </w:tc>
        <w:tc>
          <w:tcPr>
            <w:tcW w:w="2616" w:type="dxa"/>
            <w:shd w:val="clear" w:color="auto" w:fill="auto"/>
          </w:tcPr>
          <w:p w14:paraId="191F8AFC" w14:textId="77777777" w:rsidR="003D4653" w:rsidRPr="00873B6C" w:rsidRDefault="003D4653" w:rsidP="00C9561D">
            <w:pPr>
              <w:pStyle w:val="TAL"/>
            </w:pPr>
            <w:r w:rsidRPr="00873B6C">
              <w:t>The IE is defined in clause 7.5.2.9 of TS 29.244 [65].</w:t>
            </w:r>
          </w:p>
        </w:tc>
      </w:tr>
      <w:tr w:rsidR="003D4653" w:rsidRPr="00873B6C" w14:paraId="266445A8" w14:textId="77777777" w:rsidTr="00C9561D">
        <w:trPr>
          <w:cantSplit/>
          <w:jc w:val="center"/>
        </w:trPr>
        <w:tc>
          <w:tcPr>
            <w:tcW w:w="2875" w:type="dxa"/>
            <w:shd w:val="clear" w:color="auto" w:fill="auto"/>
          </w:tcPr>
          <w:p w14:paraId="7347C620" w14:textId="232CB672" w:rsidR="003D4653" w:rsidRPr="00873B6C" w:rsidRDefault="003D4653" w:rsidP="00C9561D">
            <w:pPr>
              <w:pStyle w:val="TAL"/>
            </w:pPr>
            <w:r w:rsidRPr="00873B6C">
              <w:t>N6</w:t>
            </w:r>
            <w:r w:rsidR="00354C8E" w:rsidRPr="00873B6C">
              <w:t xml:space="preserve"> Traffic Parameter</w:t>
            </w:r>
            <w:r w:rsidRPr="00873B6C">
              <w:t xml:space="preserve"> Measurement Control Information</w:t>
            </w:r>
          </w:p>
        </w:tc>
        <w:tc>
          <w:tcPr>
            <w:tcW w:w="4140" w:type="dxa"/>
            <w:shd w:val="clear" w:color="auto" w:fill="auto"/>
          </w:tcPr>
          <w:p w14:paraId="088FD583" w14:textId="77777777" w:rsidR="003D4653" w:rsidRPr="00873B6C" w:rsidRDefault="00354C8E" w:rsidP="00C9561D">
            <w:pPr>
              <w:pStyle w:val="TAL"/>
            </w:pPr>
            <w:r w:rsidRPr="00873B6C">
              <w:t>Indicates the UPF to report N6 Traffic parameter measurements for one QoS Flow, e.g.</w:t>
            </w:r>
            <w:r w:rsidR="00E26BE3" w:rsidRPr="00873B6C">
              <w:t xml:space="preserve"> a measurement of</w:t>
            </w:r>
            <w:r w:rsidRPr="00873B6C">
              <w:t xml:space="preserve"> N6 jitter</w:t>
            </w:r>
            <w:r w:rsidR="00E26BE3" w:rsidRPr="00873B6C">
              <w:t xml:space="preserve"> range</w:t>
            </w:r>
            <w:r w:rsidRPr="00873B6C">
              <w:t xml:space="preserve"> for a DL Periodicity and</w:t>
            </w:r>
            <w:r w:rsidR="00E26BE3" w:rsidRPr="00873B6C">
              <w:t xml:space="preserve"> conditionally, a measurement of</w:t>
            </w:r>
            <w:r w:rsidRPr="00873B6C">
              <w:t xml:space="preserve"> the UL/DL periodicity.</w:t>
            </w:r>
          </w:p>
          <w:p w14:paraId="2388A2E7" w14:textId="251FB24B" w:rsidR="00E26BE3" w:rsidRPr="00873B6C" w:rsidRDefault="00E26BE3" w:rsidP="00C9561D">
            <w:pPr>
              <w:pStyle w:val="TAL"/>
            </w:pPr>
            <w:r w:rsidRPr="00873B6C">
              <w:t>May indicate the DL Periodicity (See NOTE 2).</w:t>
            </w:r>
          </w:p>
        </w:tc>
        <w:tc>
          <w:tcPr>
            <w:tcW w:w="2616" w:type="dxa"/>
            <w:shd w:val="clear" w:color="auto" w:fill="auto"/>
          </w:tcPr>
          <w:p w14:paraId="526624DA" w14:textId="77777777" w:rsidR="00354C8E" w:rsidRPr="00873B6C" w:rsidRDefault="003D4653" w:rsidP="00C9561D">
            <w:pPr>
              <w:pStyle w:val="TAL"/>
            </w:pPr>
            <w:r w:rsidRPr="00873B6C">
              <w:t>The IE is defined in clause 7.5.2.9 of TS 29.244 [65].</w:t>
            </w:r>
          </w:p>
          <w:p w14:paraId="4BDE3356" w14:textId="3D97F568" w:rsidR="003D4653" w:rsidRPr="00873B6C" w:rsidRDefault="00354C8E" w:rsidP="00C9561D">
            <w:pPr>
              <w:pStyle w:val="TAL"/>
            </w:pPr>
            <w:r w:rsidRPr="00873B6C">
              <w:t>See NOTE 2.</w:t>
            </w:r>
          </w:p>
        </w:tc>
      </w:tr>
      <w:tr w:rsidR="003D4653" w:rsidRPr="00873B6C" w14:paraId="41433211" w14:textId="77777777" w:rsidTr="00C9561D">
        <w:trPr>
          <w:cantSplit/>
          <w:jc w:val="center"/>
        </w:trPr>
        <w:tc>
          <w:tcPr>
            <w:tcW w:w="9631" w:type="dxa"/>
            <w:gridSpan w:val="3"/>
            <w:shd w:val="clear" w:color="auto" w:fill="auto"/>
          </w:tcPr>
          <w:p w14:paraId="010CBFE8" w14:textId="77777777" w:rsidR="003D4653" w:rsidRPr="00873B6C" w:rsidRDefault="003D4653" w:rsidP="00C9561D">
            <w:pPr>
              <w:pStyle w:val="TAN"/>
            </w:pPr>
            <w:r w:rsidRPr="00873B6C">
              <w:t>NOTE 1:</w:t>
            </w:r>
            <w:r w:rsidRPr="00873B6C">
              <w:tab/>
              <w:t>The QoS Monitoring per QoS Flow Control Information may contain an Indication of local direct event notification and. The Indication of local event notification includes a Notification Target Address (the details are described in clause 5.8.2.18) that identifies the recipient of the information being notified by the UPF (Local NEF/AF). The Indication of local direct event notification also indicates that the UPF reports the information to the NF indicated by the Target of reporting via Nupf_EventExposure_Notify service operation.</w:t>
            </w:r>
          </w:p>
          <w:p w14:paraId="6FD10895" w14:textId="3F73C61E" w:rsidR="00354C8E" w:rsidRPr="00873B6C" w:rsidRDefault="00354C8E" w:rsidP="00C9561D">
            <w:pPr>
              <w:pStyle w:val="TAN"/>
            </w:pPr>
            <w:r w:rsidRPr="00873B6C">
              <w:t>NOTE 2:</w:t>
            </w:r>
            <w:r w:rsidRPr="00873B6C">
              <w:tab/>
              <w:t>The DL Periodicity is provided by the SMF in the N6 Traffic Parameters Measurement Control Information when the DL Periodicity is received from the PCF.</w:t>
            </w:r>
          </w:p>
        </w:tc>
      </w:tr>
    </w:tbl>
    <w:p w14:paraId="49E48C6B" w14:textId="77777777" w:rsidR="003D4653" w:rsidRPr="00873B6C" w:rsidRDefault="003D4653" w:rsidP="003D4653">
      <w:pPr>
        <w:rPr>
          <w:lang w:eastAsia="x-none"/>
        </w:rPr>
      </w:pPr>
    </w:p>
    <w:p w14:paraId="5FEBC155" w14:textId="42E32399" w:rsidR="003D4653" w:rsidRPr="00873B6C" w:rsidRDefault="003D4653" w:rsidP="00972E70">
      <w:pPr>
        <w:pStyle w:val="Heading4"/>
      </w:pPr>
      <w:bookmarkStart w:id="2346" w:name="_CR5_8_5_12"/>
      <w:bookmarkStart w:id="2347" w:name="_Toc201157226"/>
      <w:bookmarkEnd w:id="2346"/>
      <w:r w:rsidRPr="00873B6C">
        <w:t>5.8.5.12</w:t>
      </w:r>
      <w:r w:rsidRPr="00873B6C">
        <w:tab/>
        <w:t>Session reporting generated by UPF</w:t>
      </w:r>
      <w:bookmarkEnd w:id="2347"/>
    </w:p>
    <w:p w14:paraId="7264B943" w14:textId="4CE7BE7D" w:rsidR="003D4653" w:rsidRPr="00873B6C" w:rsidRDefault="003D4653" w:rsidP="003D4653">
      <w:pPr>
        <w:rPr>
          <w:lang w:eastAsia="x-none"/>
        </w:rPr>
      </w:pPr>
      <w:r w:rsidRPr="00873B6C">
        <w:rPr>
          <w:lang w:eastAsia="x-none"/>
        </w:rPr>
        <w:t xml:space="preserve">The UPF sends the session report to inform the SMF the detected events for a PDU Session that are related to an SRR. The UPF may support notification to the AF possibly via local NEF as described in clause 6.4 of </w:t>
      </w:r>
      <w:r w:rsidR="00972E70" w:rsidRPr="00873B6C">
        <w:rPr>
          <w:lang w:eastAsia="x-none"/>
        </w:rPr>
        <w:t>TS 23.548 [</w:t>
      </w:r>
      <w:r w:rsidRPr="00873B6C">
        <w:rPr>
          <w:lang w:eastAsia="x-none"/>
        </w:rPr>
        <w:t>130].</w:t>
      </w:r>
    </w:p>
    <w:p w14:paraId="1D2421F3" w14:textId="77777777" w:rsidR="003D4653" w:rsidRPr="00873B6C" w:rsidRDefault="003D4653" w:rsidP="003D4653">
      <w:pPr>
        <w:pStyle w:val="TH"/>
      </w:pPr>
      <w:bookmarkStart w:id="2348" w:name="_CRTable5_8_5_121"/>
      <w:r w:rsidRPr="00873B6C">
        <w:t xml:space="preserve">Table </w:t>
      </w:r>
      <w:bookmarkEnd w:id="2348"/>
      <w:r w:rsidRPr="00873B6C">
        <w:t>5.8.5.12-1: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3D4653" w:rsidRPr="00873B6C" w14:paraId="0530CD81" w14:textId="77777777" w:rsidTr="00C9561D">
        <w:trPr>
          <w:cantSplit/>
          <w:jc w:val="center"/>
        </w:trPr>
        <w:tc>
          <w:tcPr>
            <w:tcW w:w="2874" w:type="dxa"/>
            <w:shd w:val="clear" w:color="auto" w:fill="auto"/>
          </w:tcPr>
          <w:p w14:paraId="0E371C41" w14:textId="77777777" w:rsidR="003D4653" w:rsidRPr="00873B6C" w:rsidRDefault="003D4653" w:rsidP="00C9561D">
            <w:pPr>
              <w:pStyle w:val="TAH"/>
            </w:pPr>
            <w:r w:rsidRPr="00873B6C">
              <w:t>Attribute</w:t>
            </w:r>
          </w:p>
        </w:tc>
        <w:tc>
          <w:tcPr>
            <w:tcW w:w="4141" w:type="dxa"/>
            <w:shd w:val="clear" w:color="auto" w:fill="auto"/>
          </w:tcPr>
          <w:p w14:paraId="7343AD32" w14:textId="77777777" w:rsidR="003D4653" w:rsidRPr="00873B6C" w:rsidRDefault="003D4653" w:rsidP="00C9561D">
            <w:pPr>
              <w:pStyle w:val="TAH"/>
            </w:pPr>
            <w:r w:rsidRPr="00873B6C">
              <w:t>Description</w:t>
            </w:r>
          </w:p>
        </w:tc>
        <w:tc>
          <w:tcPr>
            <w:tcW w:w="2616" w:type="dxa"/>
            <w:shd w:val="clear" w:color="auto" w:fill="auto"/>
          </w:tcPr>
          <w:p w14:paraId="0658513A" w14:textId="77777777" w:rsidR="003D4653" w:rsidRPr="00873B6C" w:rsidRDefault="003D4653" w:rsidP="00C9561D">
            <w:pPr>
              <w:pStyle w:val="TAH"/>
            </w:pPr>
            <w:r w:rsidRPr="00873B6C">
              <w:t>Comment</w:t>
            </w:r>
          </w:p>
        </w:tc>
      </w:tr>
      <w:tr w:rsidR="003D4653" w:rsidRPr="00873B6C" w14:paraId="33114812" w14:textId="77777777" w:rsidTr="00C9561D">
        <w:trPr>
          <w:cantSplit/>
          <w:jc w:val="center"/>
        </w:trPr>
        <w:tc>
          <w:tcPr>
            <w:tcW w:w="2874" w:type="dxa"/>
            <w:shd w:val="clear" w:color="auto" w:fill="auto"/>
          </w:tcPr>
          <w:p w14:paraId="3C488084" w14:textId="77777777" w:rsidR="003D4653" w:rsidRPr="00873B6C" w:rsidRDefault="003D4653" w:rsidP="00C9561D">
            <w:pPr>
              <w:pStyle w:val="TAL"/>
            </w:pPr>
            <w:r w:rsidRPr="00873B6C">
              <w:t>N4 Session ID</w:t>
            </w:r>
          </w:p>
        </w:tc>
        <w:tc>
          <w:tcPr>
            <w:tcW w:w="4141" w:type="dxa"/>
            <w:shd w:val="clear" w:color="auto" w:fill="auto"/>
          </w:tcPr>
          <w:p w14:paraId="447719B3" w14:textId="77777777" w:rsidR="003D4653" w:rsidRPr="00873B6C" w:rsidRDefault="003D4653" w:rsidP="00C9561D">
            <w:pPr>
              <w:pStyle w:val="TAL"/>
            </w:pPr>
            <w:r w:rsidRPr="00873B6C">
              <w:t>Identifies the N4 session associated to the SRR which triggered the report.</w:t>
            </w:r>
          </w:p>
        </w:tc>
        <w:tc>
          <w:tcPr>
            <w:tcW w:w="2616" w:type="dxa"/>
            <w:shd w:val="clear" w:color="auto" w:fill="auto"/>
          </w:tcPr>
          <w:p w14:paraId="2821C863" w14:textId="77777777" w:rsidR="003D4653" w:rsidRPr="00873B6C" w:rsidRDefault="003D4653" w:rsidP="00C9561D">
            <w:pPr>
              <w:pStyle w:val="TAL"/>
            </w:pPr>
          </w:p>
        </w:tc>
      </w:tr>
      <w:tr w:rsidR="003D4653" w:rsidRPr="00873B6C" w14:paraId="0CA03464" w14:textId="77777777" w:rsidTr="00C9561D">
        <w:trPr>
          <w:cantSplit/>
          <w:jc w:val="center"/>
        </w:trPr>
        <w:tc>
          <w:tcPr>
            <w:tcW w:w="2874" w:type="dxa"/>
            <w:shd w:val="clear" w:color="auto" w:fill="auto"/>
          </w:tcPr>
          <w:p w14:paraId="3906A6AB" w14:textId="77777777" w:rsidR="003D4653" w:rsidRPr="00873B6C" w:rsidRDefault="003D4653" w:rsidP="00C9561D">
            <w:pPr>
              <w:pStyle w:val="TAL"/>
            </w:pPr>
            <w:r w:rsidRPr="00873B6C">
              <w:t>Rule ID</w:t>
            </w:r>
          </w:p>
        </w:tc>
        <w:tc>
          <w:tcPr>
            <w:tcW w:w="4141" w:type="dxa"/>
            <w:shd w:val="clear" w:color="auto" w:fill="auto"/>
          </w:tcPr>
          <w:p w14:paraId="4F34B693" w14:textId="77777777" w:rsidR="003D4653" w:rsidRPr="00873B6C" w:rsidRDefault="003D4653" w:rsidP="00C9561D">
            <w:pPr>
              <w:pStyle w:val="TAL"/>
            </w:pPr>
            <w:r w:rsidRPr="00873B6C">
              <w:t>Unique identifier to identify the Session Reporting Rule within a session which triggered the report.</w:t>
            </w:r>
          </w:p>
        </w:tc>
        <w:tc>
          <w:tcPr>
            <w:tcW w:w="2616" w:type="dxa"/>
            <w:shd w:val="clear" w:color="auto" w:fill="auto"/>
          </w:tcPr>
          <w:p w14:paraId="344D180B" w14:textId="77777777" w:rsidR="003D4653" w:rsidRPr="00873B6C" w:rsidRDefault="003D4653" w:rsidP="00C9561D">
            <w:pPr>
              <w:pStyle w:val="TAL"/>
            </w:pPr>
            <w:r w:rsidRPr="00873B6C">
              <w:t>Used by UPF when reporting.</w:t>
            </w:r>
          </w:p>
        </w:tc>
      </w:tr>
      <w:tr w:rsidR="003D4653" w:rsidRPr="00873B6C" w14:paraId="2A752B4F" w14:textId="77777777" w:rsidTr="00C9561D">
        <w:trPr>
          <w:cantSplit/>
          <w:jc w:val="center"/>
        </w:trPr>
        <w:tc>
          <w:tcPr>
            <w:tcW w:w="2874" w:type="dxa"/>
            <w:shd w:val="clear" w:color="auto" w:fill="auto"/>
          </w:tcPr>
          <w:p w14:paraId="7906A45C" w14:textId="77777777" w:rsidR="003D4653" w:rsidRPr="00873B6C" w:rsidRDefault="003D4653" w:rsidP="00C9561D">
            <w:pPr>
              <w:pStyle w:val="TAL"/>
            </w:pPr>
            <w:r w:rsidRPr="00873B6C">
              <w:t>QoS Monitoring Report</w:t>
            </w:r>
          </w:p>
        </w:tc>
        <w:tc>
          <w:tcPr>
            <w:tcW w:w="4141" w:type="dxa"/>
            <w:shd w:val="clear" w:color="auto" w:fill="auto"/>
          </w:tcPr>
          <w:p w14:paraId="0EDC5AEE" w14:textId="77777777" w:rsidR="003D4653" w:rsidRPr="00873B6C" w:rsidRDefault="003D4653" w:rsidP="00C9561D">
            <w:pPr>
              <w:pStyle w:val="TAL"/>
            </w:pPr>
            <w:r w:rsidRPr="00873B6C">
              <w:t>Indicates the QoS Monitoring result for one or more QoS Flows.</w:t>
            </w:r>
          </w:p>
        </w:tc>
        <w:tc>
          <w:tcPr>
            <w:tcW w:w="2616" w:type="dxa"/>
            <w:shd w:val="clear" w:color="auto" w:fill="auto"/>
          </w:tcPr>
          <w:p w14:paraId="36991987" w14:textId="77777777" w:rsidR="003D4653" w:rsidRPr="00873B6C" w:rsidRDefault="003D4653" w:rsidP="00C9561D">
            <w:pPr>
              <w:pStyle w:val="TAL"/>
            </w:pPr>
            <w:r w:rsidRPr="00873B6C">
              <w:t>The IE is defined in clause 7.5.8.6 of TS 29.244 [65].</w:t>
            </w:r>
          </w:p>
        </w:tc>
      </w:tr>
      <w:tr w:rsidR="003D4653" w:rsidRPr="00873B6C" w14:paraId="49056A37" w14:textId="77777777" w:rsidTr="00C9561D">
        <w:trPr>
          <w:cantSplit/>
          <w:jc w:val="center"/>
        </w:trPr>
        <w:tc>
          <w:tcPr>
            <w:tcW w:w="2874" w:type="dxa"/>
            <w:shd w:val="clear" w:color="auto" w:fill="auto"/>
          </w:tcPr>
          <w:p w14:paraId="6C0B3250" w14:textId="77777777" w:rsidR="003D4653" w:rsidRPr="00873B6C" w:rsidRDefault="003D4653" w:rsidP="00C9561D">
            <w:pPr>
              <w:pStyle w:val="TAL"/>
            </w:pPr>
            <w:r w:rsidRPr="00873B6C">
              <w:t>Access Availability Report</w:t>
            </w:r>
          </w:p>
        </w:tc>
        <w:tc>
          <w:tcPr>
            <w:tcW w:w="4141" w:type="dxa"/>
            <w:shd w:val="clear" w:color="auto" w:fill="auto"/>
          </w:tcPr>
          <w:p w14:paraId="0496253F" w14:textId="77777777" w:rsidR="003D4653" w:rsidRPr="00873B6C" w:rsidRDefault="003D4653" w:rsidP="00C9561D">
            <w:pPr>
              <w:pStyle w:val="TAL"/>
            </w:pPr>
            <w:r w:rsidRPr="00873B6C">
              <w:t>Indicates the change of 3GPP or non-3GPP access availability, for an MA PDU session.</w:t>
            </w:r>
          </w:p>
        </w:tc>
        <w:tc>
          <w:tcPr>
            <w:tcW w:w="2616" w:type="dxa"/>
            <w:shd w:val="clear" w:color="auto" w:fill="auto"/>
          </w:tcPr>
          <w:p w14:paraId="0F1F90DF" w14:textId="77777777" w:rsidR="003D4653" w:rsidRPr="00873B6C" w:rsidRDefault="003D4653" w:rsidP="00C9561D">
            <w:pPr>
              <w:pStyle w:val="TAL"/>
            </w:pPr>
            <w:r w:rsidRPr="00873B6C">
              <w:t>The IE is defined in clause 7.5.8.6 of TS 29.244 [65].</w:t>
            </w:r>
          </w:p>
        </w:tc>
      </w:tr>
      <w:tr w:rsidR="003D4653" w:rsidRPr="00873B6C" w14:paraId="3987D9B8" w14:textId="77777777" w:rsidTr="00C9561D">
        <w:trPr>
          <w:cantSplit/>
          <w:jc w:val="center"/>
        </w:trPr>
        <w:tc>
          <w:tcPr>
            <w:tcW w:w="2874" w:type="dxa"/>
            <w:shd w:val="clear" w:color="auto" w:fill="auto"/>
          </w:tcPr>
          <w:p w14:paraId="6FC8AA73" w14:textId="4C1AFFA3" w:rsidR="003D4653" w:rsidRPr="00873B6C" w:rsidRDefault="003D4653" w:rsidP="00C9561D">
            <w:pPr>
              <w:pStyle w:val="TAL"/>
            </w:pPr>
            <w:r w:rsidRPr="00873B6C">
              <w:t>N6</w:t>
            </w:r>
            <w:r w:rsidR="00354C8E" w:rsidRPr="00873B6C">
              <w:t xml:space="preserve"> Traffic Parameter</w:t>
            </w:r>
            <w:r w:rsidRPr="00873B6C">
              <w:t xml:space="preserve"> Measurement Report</w:t>
            </w:r>
          </w:p>
        </w:tc>
        <w:tc>
          <w:tcPr>
            <w:tcW w:w="4141" w:type="dxa"/>
            <w:shd w:val="clear" w:color="auto" w:fill="auto"/>
          </w:tcPr>
          <w:p w14:paraId="00400241" w14:textId="10907D5C" w:rsidR="003D4653" w:rsidRPr="00873B6C" w:rsidRDefault="00354C8E" w:rsidP="00C9561D">
            <w:pPr>
              <w:pStyle w:val="TAL"/>
            </w:pPr>
            <w:r w:rsidRPr="00873B6C">
              <w:t>Indicates the N6 Traffic Parameter measurement result for one QoS Flow, e.g.</w:t>
            </w:r>
            <w:r w:rsidR="00E26BE3" w:rsidRPr="00873B6C">
              <w:t xml:space="preserve"> a measurement of</w:t>
            </w:r>
            <w:r w:rsidRPr="00873B6C">
              <w:t xml:space="preserve"> N6 jitter </w:t>
            </w:r>
            <w:r w:rsidR="00E26BE3" w:rsidRPr="00873B6C">
              <w:t xml:space="preserve">range associated with </w:t>
            </w:r>
            <w:r w:rsidRPr="00873B6C">
              <w:t>a DL Periodicity and</w:t>
            </w:r>
            <w:r w:rsidR="00E26BE3" w:rsidRPr="00873B6C">
              <w:t xml:space="preserve"> conditionally, a measurement of</w:t>
            </w:r>
            <w:r w:rsidRPr="00873B6C">
              <w:t xml:space="preserve"> the UL/DL periodicity.</w:t>
            </w:r>
          </w:p>
        </w:tc>
        <w:tc>
          <w:tcPr>
            <w:tcW w:w="2616" w:type="dxa"/>
            <w:shd w:val="clear" w:color="auto" w:fill="auto"/>
          </w:tcPr>
          <w:p w14:paraId="32A3307C" w14:textId="77777777" w:rsidR="003D4653" w:rsidRPr="00873B6C" w:rsidRDefault="003D4653" w:rsidP="00C9561D">
            <w:pPr>
              <w:pStyle w:val="TAL"/>
            </w:pPr>
            <w:r w:rsidRPr="00873B6C">
              <w:t>The IE is defined in clause 7.5.8.6 of TS 29.244 [65].</w:t>
            </w:r>
          </w:p>
        </w:tc>
      </w:tr>
    </w:tbl>
    <w:p w14:paraId="2BB83373" w14:textId="77777777" w:rsidR="003D4653" w:rsidRPr="00873B6C" w:rsidRDefault="003D4653" w:rsidP="003D4653"/>
    <w:p w14:paraId="549A80D1" w14:textId="77777777" w:rsidR="003D4653" w:rsidRPr="00873B6C" w:rsidRDefault="003D4653" w:rsidP="00972E70">
      <w:pPr>
        <w:pStyle w:val="Heading4"/>
      </w:pPr>
      <w:bookmarkStart w:id="2349" w:name="_CR5_8_5_13"/>
      <w:bookmarkStart w:id="2350" w:name="_Toc201157227"/>
      <w:bookmarkEnd w:id="2349"/>
      <w:r w:rsidRPr="00873B6C">
        <w:lastRenderedPageBreak/>
        <w:t>5.8.5.13</w:t>
      </w:r>
      <w:r w:rsidRPr="00873B6C">
        <w:tab/>
        <w:t>Void</w:t>
      </w:r>
      <w:bookmarkEnd w:id="2350"/>
    </w:p>
    <w:p w14:paraId="464CBB0D" w14:textId="77777777" w:rsidR="003D4653" w:rsidRPr="00873B6C" w:rsidRDefault="003D4653" w:rsidP="003D4653"/>
    <w:p w14:paraId="08B0B57F" w14:textId="77777777" w:rsidR="003D4653" w:rsidRPr="00873B6C" w:rsidRDefault="003D4653" w:rsidP="00972E70">
      <w:pPr>
        <w:pStyle w:val="Heading4"/>
      </w:pPr>
      <w:bookmarkStart w:id="2351" w:name="_CR5_8_5_14"/>
      <w:bookmarkStart w:id="2352" w:name="_Toc201157228"/>
      <w:bookmarkEnd w:id="2351"/>
      <w:r w:rsidRPr="00873B6C">
        <w:t>5.8.5.14</w:t>
      </w:r>
      <w:r w:rsidRPr="00873B6C">
        <w:tab/>
        <w:t>TSC Management Information</w:t>
      </w:r>
      <w:bookmarkEnd w:id="2352"/>
    </w:p>
    <w:p w14:paraId="7E2F7F75" w14:textId="77777777" w:rsidR="003D4653" w:rsidRPr="00873B6C" w:rsidRDefault="003D4653" w:rsidP="003D4653">
      <w:r w:rsidRPr="00873B6C">
        <w:t>The following table describes the TSC Management Information Container (TSC MIC) that includes UMIC, PMIC and the associated NW-TT port number.</w:t>
      </w:r>
    </w:p>
    <w:p w14:paraId="6C19088F" w14:textId="6B7BE489" w:rsidR="002A3DAF" w:rsidRPr="00873B6C" w:rsidRDefault="002A3DAF" w:rsidP="003D4653">
      <w:r w:rsidRPr="00873B6C">
        <w:t>The SMF may include the notification target address for PMIC/UMIC UPF event provided by the PCF in the TSC Management Information sent to UPF if the UPF supports the related redirect reporting via Nupf. If the notification target address for PMIC/UMIC UPF event is provided by the SMF, the UPF may directly report TSC management information to the TSNAF or TSCTSF using Nupf_EventExposure_Notify service operation described in clause 7.2.29.</w:t>
      </w:r>
    </w:p>
    <w:p w14:paraId="60B404FD" w14:textId="77777777" w:rsidR="003D4653" w:rsidRPr="00873B6C" w:rsidRDefault="003D4653" w:rsidP="003D4653">
      <w:pPr>
        <w:pStyle w:val="TH"/>
      </w:pPr>
      <w:bookmarkStart w:id="2353" w:name="_CRTable5_8_5_141"/>
      <w:r w:rsidRPr="00873B6C">
        <w:t xml:space="preserve">Table </w:t>
      </w:r>
      <w:bookmarkEnd w:id="2353"/>
      <w:r w:rsidRPr="00873B6C">
        <w:t>5.8.5.14-1: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3D4653" w:rsidRPr="00873B6C" w14:paraId="35AD5964" w14:textId="77777777" w:rsidTr="00C9561D">
        <w:trPr>
          <w:cantSplit/>
          <w:jc w:val="center"/>
        </w:trPr>
        <w:tc>
          <w:tcPr>
            <w:tcW w:w="2882" w:type="dxa"/>
            <w:shd w:val="clear" w:color="auto" w:fill="auto"/>
          </w:tcPr>
          <w:p w14:paraId="75303A72" w14:textId="77777777" w:rsidR="003D4653" w:rsidRPr="00873B6C" w:rsidRDefault="003D4653" w:rsidP="00C9561D">
            <w:pPr>
              <w:pStyle w:val="TAH"/>
            </w:pPr>
            <w:r w:rsidRPr="00873B6C">
              <w:t>Attribute</w:t>
            </w:r>
          </w:p>
        </w:tc>
        <w:tc>
          <w:tcPr>
            <w:tcW w:w="4144" w:type="dxa"/>
            <w:shd w:val="clear" w:color="auto" w:fill="auto"/>
          </w:tcPr>
          <w:p w14:paraId="563F0DC4" w14:textId="77777777" w:rsidR="003D4653" w:rsidRPr="00873B6C" w:rsidRDefault="003D4653" w:rsidP="00C9561D">
            <w:pPr>
              <w:pStyle w:val="TAH"/>
            </w:pPr>
            <w:r w:rsidRPr="00873B6C">
              <w:t>Description</w:t>
            </w:r>
          </w:p>
        </w:tc>
        <w:tc>
          <w:tcPr>
            <w:tcW w:w="2605" w:type="dxa"/>
            <w:shd w:val="clear" w:color="auto" w:fill="auto"/>
          </w:tcPr>
          <w:p w14:paraId="4BFFF6D6" w14:textId="77777777" w:rsidR="003D4653" w:rsidRPr="00873B6C" w:rsidRDefault="003D4653" w:rsidP="00C9561D">
            <w:pPr>
              <w:pStyle w:val="TAH"/>
            </w:pPr>
            <w:r w:rsidRPr="00873B6C">
              <w:t>Comment</w:t>
            </w:r>
          </w:p>
        </w:tc>
      </w:tr>
      <w:tr w:rsidR="003D4653" w:rsidRPr="00873B6C" w14:paraId="1719D734" w14:textId="77777777" w:rsidTr="00C9561D">
        <w:trPr>
          <w:cantSplit/>
          <w:jc w:val="center"/>
        </w:trPr>
        <w:tc>
          <w:tcPr>
            <w:tcW w:w="2882" w:type="dxa"/>
            <w:shd w:val="clear" w:color="auto" w:fill="auto"/>
          </w:tcPr>
          <w:p w14:paraId="564B2F83" w14:textId="77777777" w:rsidR="003D4653" w:rsidRPr="00873B6C" w:rsidRDefault="003D4653" w:rsidP="00C9561D">
            <w:pPr>
              <w:pStyle w:val="TAL"/>
              <w:rPr>
                <w:lang w:val="fr-FR"/>
              </w:rPr>
            </w:pPr>
            <w:r w:rsidRPr="00873B6C">
              <w:rPr>
                <w:lang w:val="fr-FR"/>
              </w:rPr>
              <w:t>User plane node Management Information Container</w:t>
            </w:r>
          </w:p>
        </w:tc>
        <w:tc>
          <w:tcPr>
            <w:tcW w:w="4144" w:type="dxa"/>
            <w:shd w:val="clear" w:color="auto" w:fill="auto"/>
          </w:tcPr>
          <w:p w14:paraId="1D6A9ACB" w14:textId="1D6B2989" w:rsidR="003D4653" w:rsidRPr="00873B6C" w:rsidRDefault="003D4653" w:rsidP="00C9561D">
            <w:pPr>
              <w:pStyle w:val="TAL"/>
            </w:pPr>
            <w:r w:rsidRPr="00873B6C">
              <w:t>5GS TSN Bridge or Router information exchanged transparently between NW-TT and TSN AF or TSCTSF via 5GS (as in Table</w:t>
            </w:r>
            <w:r w:rsidR="00A10084" w:rsidRPr="00873B6C">
              <w:t xml:space="preserve"> K</w:t>
            </w:r>
            <w:r w:rsidRPr="00873B6C">
              <w:t>.1-2).</w:t>
            </w:r>
          </w:p>
        </w:tc>
        <w:tc>
          <w:tcPr>
            <w:tcW w:w="2605" w:type="dxa"/>
            <w:shd w:val="clear" w:color="auto" w:fill="auto"/>
          </w:tcPr>
          <w:p w14:paraId="1DC12E4C" w14:textId="77777777" w:rsidR="003D4653" w:rsidRPr="00873B6C" w:rsidRDefault="003D4653" w:rsidP="00C9561D">
            <w:pPr>
              <w:pStyle w:val="TAL"/>
            </w:pPr>
          </w:p>
        </w:tc>
      </w:tr>
      <w:tr w:rsidR="003D4653" w:rsidRPr="00873B6C" w14:paraId="1A7A2A7A" w14:textId="77777777" w:rsidTr="00C9561D">
        <w:trPr>
          <w:cantSplit/>
          <w:jc w:val="center"/>
        </w:trPr>
        <w:tc>
          <w:tcPr>
            <w:tcW w:w="2882" w:type="dxa"/>
            <w:shd w:val="clear" w:color="auto" w:fill="auto"/>
          </w:tcPr>
          <w:p w14:paraId="5561A534" w14:textId="77777777" w:rsidR="003D4653" w:rsidRPr="00873B6C" w:rsidRDefault="003D4653" w:rsidP="00C9561D">
            <w:pPr>
              <w:pStyle w:val="TAL"/>
            </w:pPr>
            <w:r w:rsidRPr="00873B6C">
              <w:t>Port Management Information Container</w:t>
            </w:r>
          </w:p>
        </w:tc>
        <w:tc>
          <w:tcPr>
            <w:tcW w:w="4144" w:type="dxa"/>
            <w:shd w:val="clear" w:color="auto" w:fill="auto"/>
          </w:tcPr>
          <w:p w14:paraId="1E0BA864" w14:textId="332522F2" w:rsidR="003D4653" w:rsidRPr="00873B6C" w:rsidRDefault="003D4653" w:rsidP="00C9561D">
            <w:pPr>
              <w:pStyle w:val="TAL"/>
            </w:pPr>
            <w:r w:rsidRPr="00873B6C">
              <w:t>Information exchanged transparently between NW-TT and TSN AF or TSCTSF via 5GS (as in Table</w:t>
            </w:r>
            <w:r w:rsidR="00A10084" w:rsidRPr="00873B6C">
              <w:t xml:space="preserve"> K</w:t>
            </w:r>
            <w:r w:rsidRPr="00873B6C">
              <w:t>.1-1).</w:t>
            </w:r>
          </w:p>
        </w:tc>
        <w:tc>
          <w:tcPr>
            <w:tcW w:w="2605" w:type="dxa"/>
            <w:shd w:val="clear" w:color="auto" w:fill="auto"/>
          </w:tcPr>
          <w:p w14:paraId="4047B867" w14:textId="77777777" w:rsidR="003D4653" w:rsidRPr="00873B6C" w:rsidRDefault="003D4653" w:rsidP="00C9561D">
            <w:pPr>
              <w:pStyle w:val="TAL"/>
            </w:pPr>
          </w:p>
        </w:tc>
      </w:tr>
      <w:tr w:rsidR="003D4653" w:rsidRPr="00873B6C" w14:paraId="09F27DF9" w14:textId="77777777" w:rsidTr="00C9561D">
        <w:trPr>
          <w:cantSplit/>
          <w:jc w:val="center"/>
        </w:trPr>
        <w:tc>
          <w:tcPr>
            <w:tcW w:w="2882" w:type="dxa"/>
            <w:shd w:val="clear" w:color="auto" w:fill="auto"/>
          </w:tcPr>
          <w:p w14:paraId="5BBC42BD" w14:textId="77777777" w:rsidR="003D4653" w:rsidRPr="00873B6C" w:rsidRDefault="003D4653" w:rsidP="00C9561D">
            <w:pPr>
              <w:pStyle w:val="TAL"/>
            </w:pPr>
            <w:r w:rsidRPr="00873B6C">
              <w:t>NW-TT Port Number</w:t>
            </w:r>
          </w:p>
        </w:tc>
        <w:tc>
          <w:tcPr>
            <w:tcW w:w="4144" w:type="dxa"/>
            <w:shd w:val="clear" w:color="auto" w:fill="auto"/>
          </w:tcPr>
          <w:p w14:paraId="6059443E" w14:textId="77777777" w:rsidR="003D4653" w:rsidRPr="00873B6C" w:rsidRDefault="003D4653" w:rsidP="00C9561D">
            <w:pPr>
              <w:pStyle w:val="TAL"/>
            </w:pPr>
            <w:r w:rsidRPr="00873B6C">
              <w:t>NW-TT Port Number related to the PMIC.</w:t>
            </w:r>
          </w:p>
        </w:tc>
        <w:tc>
          <w:tcPr>
            <w:tcW w:w="2605" w:type="dxa"/>
            <w:shd w:val="clear" w:color="auto" w:fill="auto"/>
          </w:tcPr>
          <w:p w14:paraId="5B9BFAD4" w14:textId="77777777" w:rsidR="003D4653" w:rsidRPr="00873B6C" w:rsidRDefault="003D4653" w:rsidP="00C9561D">
            <w:pPr>
              <w:pStyle w:val="TAL"/>
            </w:pPr>
            <w:r w:rsidRPr="00873B6C">
              <w:t>Included when the PMIC information is present.</w:t>
            </w:r>
          </w:p>
        </w:tc>
      </w:tr>
      <w:tr w:rsidR="002A3DAF" w:rsidRPr="00873B6C" w14:paraId="73A777FE" w14:textId="77777777" w:rsidTr="00C9561D">
        <w:trPr>
          <w:cantSplit/>
          <w:jc w:val="center"/>
        </w:trPr>
        <w:tc>
          <w:tcPr>
            <w:tcW w:w="2882" w:type="dxa"/>
            <w:shd w:val="clear" w:color="auto" w:fill="auto"/>
          </w:tcPr>
          <w:p w14:paraId="71829A79" w14:textId="1519AA15" w:rsidR="002A3DAF" w:rsidRPr="00873B6C" w:rsidRDefault="002A3DAF" w:rsidP="00C9561D">
            <w:pPr>
              <w:pStyle w:val="TAL"/>
            </w:pPr>
            <w:r w:rsidRPr="00873B6C">
              <w:t>Notification Target Address for PMIC/UMIC UPF event (+ Notification Correlation ID) for PMIC/UMIC UPF event</w:t>
            </w:r>
          </w:p>
        </w:tc>
        <w:tc>
          <w:tcPr>
            <w:tcW w:w="4144" w:type="dxa"/>
            <w:shd w:val="clear" w:color="auto" w:fill="auto"/>
          </w:tcPr>
          <w:p w14:paraId="3A6D0D44" w14:textId="55F7454D" w:rsidR="002A3DAF" w:rsidRPr="00873B6C" w:rsidRDefault="002A3DAF" w:rsidP="00C9561D">
            <w:pPr>
              <w:pStyle w:val="TAL"/>
            </w:pPr>
            <w:r w:rsidRPr="00873B6C">
              <w:t>Identifies the recipient of the information being notified by the UPF (TSNAF/TSCTSF).</w:t>
            </w:r>
          </w:p>
        </w:tc>
        <w:tc>
          <w:tcPr>
            <w:tcW w:w="2605" w:type="dxa"/>
            <w:shd w:val="clear" w:color="auto" w:fill="auto"/>
          </w:tcPr>
          <w:p w14:paraId="04A2C68B" w14:textId="77777777" w:rsidR="002A3DAF" w:rsidRPr="00873B6C" w:rsidRDefault="002A3DAF" w:rsidP="00C9561D">
            <w:pPr>
              <w:pStyle w:val="TAL"/>
            </w:pPr>
          </w:p>
        </w:tc>
      </w:tr>
    </w:tbl>
    <w:p w14:paraId="36D75C99" w14:textId="77777777" w:rsidR="003D4653" w:rsidRPr="00873B6C" w:rsidRDefault="003D4653" w:rsidP="003D4653"/>
    <w:p w14:paraId="7F083AB0" w14:textId="77777777" w:rsidR="003D4653" w:rsidRPr="00873B6C" w:rsidRDefault="003D4653" w:rsidP="00972E70">
      <w:pPr>
        <w:pStyle w:val="Heading4"/>
      </w:pPr>
      <w:bookmarkStart w:id="2354" w:name="_CR5_8_5_15"/>
      <w:bookmarkStart w:id="2355" w:name="_Toc201157229"/>
      <w:bookmarkEnd w:id="2354"/>
      <w:r w:rsidRPr="00873B6C">
        <w:t>5.8.5.15</w:t>
      </w:r>
      <w:r w:rsidRPr="00873B6C">
        <w:tab/>
        <w:t>Downlink Data Report generated by UPF</w:t>
      </w:r>
      <w:bookmarkEnd w:id="2355"/>
    </w:p>
    <w:p w14:paraId="79C05B5C" w14:textId="77777777" w:rsidR="003D4653" w:rsidRPr="00873B6C" w:rsidRDefault="003D4653" w:rsidP="003D4653">
      <w:r w:rsidRPr="00873B6C">
        <w:t>The UPF sends the Downlink Data Report to inform the SMF about the events related to receiving or discarding of downlink packets. The SMF controls this type of UPF report by providing instructions in the Buffer Action Rule of a FAR.</w:t>
      </w:r>
    </w:p>
    <w:p w14:paraId="637DC823" w14:textId="77777777" w:rsidR="003D4653" w:rsidRPr="00873B6C" w:rsidRDefault="003D4653" w:rsidP="003D4653">
      <w:r w:rsidRPr="00873B6C">
        <w:t>Following attributes can be included:</w:t>
      </w:r>
    </w:p>
    <w:p w14:paraId="6B73E052" w14:textId="77777777" w:rsidR="003D4653" w:rsidRPr="00873B6C" w:rsidRDefault="003D4653" w:rsidP="003D4653">
      <w:pPr>
        <w:pStyle w:val="TH"/>
      </w:pPr>
      <w:bookmarkStart w:id="2356" w:name="_CRTable5_8_5_151"/>
      <w:r w:rsidRPr="00873B6C">
        <w:t xml:space="preserve">Table </w:t>
      </w:r>
      <w:bookmarkEnd w:id="2356"/>
      <w:r w:rsidRPr="00873B6C">
        <w:t>5.8.5.15-1: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873B6C" w14:paraId="6BFF2CDC" w14:textId="77777777" w:rsidTr="00C9561D">
        <w:trPr>
          <w:cantSplit/>
          <w:jc w:val="center"/>
        </w:trPr>
        <w:tc>
          <w:tcPr>
            <w:tcW w:w="2876" w:type="dxa"/>
            <w:shd w:val="clear" w:color="auto" w:fill="auto"/>
          </w:tcPr>
          <w:p w14:paraId="5771A26C" w14:textId="77777777" w:rsidR="003D4653" w:rsidRPr="00873B6C" w:rsidRDefault="003D4653" w:rsidP="00C9561D">
            <w:pPr>
              <w:pStyle w:val="TAH"/>
            </w:pPr>
            <w:r w:rsidRPr="00873B6C">
              <w:t>Attribute</w:t>
            </w:r>
          </w:p>
        </w:tc>
        <w:tc>
          <w:tcPr>
            <w:tcW w:w="4149" w:type="dxa"/>
            <w:shd w:val="clear" w:color="auto" w:fill="auto"/>
          </w:tcPr>
          <w:p w14:paraId="3D70F428" w14:textId="77777777" w:rsidR="003D4653" w:rsidRPr="00873B6C" w:rsidRDefault="003D4653" w:rsidP="00C9561D">
            <w:pPr>
              <w:pStyle w:val="TAH"/>
            </w:pPr>
            <w:r w:rsidRPr="00873B6C">
              <w:t>Description</w:t>
            </w:r>
          </w:p>
        </w:tc>
        <w:tc>
          <w:tcPr>
            <w:tcW w:w="2606" w:type="dxa"/>
            <w:shd w:val="clear" w:color="auto" w:fill="auto"/>
          </w:tcPr>
          <w:p w14:paraId="31538417" w14:textId="77777777" w:rsidR="003D4653" w:rsidRPr="00873B6C" w:rsidRDefault="003D4653" w:rsidP="00C9561D">
            <w:pPr>
              <w:pStyle w:val="TAH"/>
            </w:pPr>
            <w:r w:rsidRPr="00873B6C">
              <w:t>Comment</w:t>
            </w:r>
          </w:p>
        </w:tc>
      </w:tr>
      <w:tr w:rsidR="003D4653" w:rsidRPr="00873B6C" w14:paraId="1FB2C852" w14:textId="77777777" w:rsidTr="00C9561D">
        <w:trPr>
          <w:cantSplit/>
          <w:jc w:val="center"/>
        </w:trPr>
        <w:tc>
          <w:tcPr>
            <w:tcW w:w="2876" w:type="dxa"/>
            <w:shd w:val="clear" w:color="auto" w:fill="auto"/>
          </w:tcPr>
          <w:p w14:paraId="3768F134" w14:textId="77777777" w:rsidR="003D4653" w:rsidRPr="00873B6C" w:rsidRDefault="003D4653" w:rsidP="00C9561D">
            <w:pPr>
              <w:pStyle w:val="TAL"/>
            </w:pPr>
            <w:r w:rsidRPr="00873B6C">
              <w:t>N4 Session ID</w:t>
            </w:r>
          </w:p>
        </w:tc>
        <w:tc>
          <w:tcPr>
            <w:tcW w:w="4149" w:type="dxa"/>
            <w:shd w:val="clear" w:color="auto" w:fill="auto"/>
          </w:tcPr>
          <w:p w14:paraId="4FFA2657" w14:textId="77777777" w:rsidR="003D4653" w:rsidRPr="00873B6C" w:rsidRDefault="003D4653" w:rsidP="00C9561D">
            <w:pPr>
              <w:pStyle w:val="TAL"/>
            </w:pPr>
            <w:r w:rsidRPr="00873B6C">
              <w:t>Uniquely identifies a session.</w:t>
            </w:r>
          </w:p>
        </w:tc>
        <w:tc>
          <w:tcPr>
            <w:tcW w:w="2606" w:type="dxa"/>
            <w:shd w:val="clear" w:color="auto" w:fill="auto"/>
          </w:tcPr>
          <w:p w14:paraId="4A9DB843" w14:textId="77777777" w:rsidR="003D4653" w:rsidRPr="00873B6C" w:rsidRDefault="003D4653" w:rsidP="00C9561D">
            <w:pPr>
              <w:pStyle w:val="TAL"/>
            </w:pPr>
            <w:r w:rsidRPr="00873B6C">
              <w:t>Identifies the N4 Session associated to this Usage Report</w:t>
            </w:r>
          </w:p>
        </w:tc>
      </w:tr>
      <w:tr w:rsidR="003D4653" w:rsidRPr="00873B6C" w14:paraId="097EBC09" w14:textId="77777777" w:rsidTr="00C9561D">
        <w:trPr>
          <w:cantSplit/>
          <w:jc w:val="center"/>
        </w:trPr>
        <w:tc>
          <w:tcPr>
            <w:tcW w:w="2876" w:type="dxa"/>
            <w:shd w:val="clear" w:color="auto" w:fill="auto"/>
          </w:tcPr>
          <w:p w14:paraId="28BBAD6F" w14:textId="77777777" w:rsidR="003D4653" w:rsidRPr="00873B6C" w:rsidRDefault="003D4653" w:rsidP="00C9561D">
            <w:pPr>
              <w:pStyle w:val="TAL"/>
            </w:pPr>
            <w:r w:rsidRPr="00873B6C">
              <w:t>Rule ID</w:t>
            </w:r>
          </w:p>
        </w:tc>
        <w:tc>
          <w:tcPr>
            <w:tcW w:w="4149" w:type="dxa"/>
            <w:shd w:val="clear" w:color="auto" w:fill="auto"/>
          </w:tcPr>
          <w:p w14:paraId="42F94547" w14:textId="77777777" w:rsidR="003D4653" w:rsidRPr="00873B6C" w:rsidRDefault="003D4653" w:rsidP="00C9561D">
            <w:pPr>
              <w:pStyle w:val="TAL"/>
            </w:pPr>
            <w:r w:rsidRPr="00873B6C">
              <w:t>Uniquely identifies the Packet Detection Rule which triggered the report.</w:t>
            </w:r>
          </w:p>
        </w:tc>
        <w:tc>
          <w:tcPr>
            <w:tcW w:w="2606" w:type="dxa"/>
            <w:shd w:val="clear" w:color="auto" w:fill="auto"/>
          </w:tcPr>
          <w:p w14:paraId="6FE39958" w14:textId="77777777" w:rsidR="003D4653" w:rsidRPr="00873B6C" w:rsidRDefault="003D4653" w:rsidP="00C9561D">
            <w:pPr>
              <w:pStyle w:val="TAL"/>
            </w:pPr>
          </w:p>
        </w:tc>
      </w:tr>
      <w:tr w:rsidR="003D4653" w:rsidRPr="00873B6C" w14:paraId="184DA8CF" w14:textId="77777777" w:rsidTr="00C9561D">
        <w:trPr>
          <w:cantSplit/>
          <w:jc w:val="center"/>
        </w:trPr>
        <w:tc>
          <w:tcPr>
            <w:tcW w:w="2876" w:type="dxa"/>
            <w:shd w:val="clear" w:color="auto" w:fill="auto"/>
          </w:tcPr>
          <w:p w14:paraId="5E004A82" w14:textId="77777777" w:rsidR="003D4653" w:rsidRPr="00873B6C" w:rsidRDefault="003D4653" w:rsidP="00C9561D">
            <w:pPr>
              <w:pStyle w:val="TAL"/>
            </w:pPr>
            <w:r w:rsidRPr="00873B6C">
              <w:t>Downlink Data Service Information</w:t>
            </w:r>
          </w:p>
        </w:tc>
        <w:tc>
          <w:tcPr>
            <w:tcW w:w="4149" w:type="dxa"/>
            <w:shd w:val="clear" w:color="auto" w:fill="auto"/>
          </w:tcPr>
          <w:p w14:paraId="4C3741A1" w14:textId="77777777" w:rsidR="003D4653" w:rsidRPr="00873B6C" w:rsidRDefault="003D4653" w:rsidP="00C9561D">
            <w:pPr>
              <w:pStyle w:val="TAL"/>
            </w:pPr>
            <w:r w:rsidRPr="00873B6C">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7EDDA69C" w14:textId="77777777" w:rsidR="003D4653" w:rsidRPr="00873B6C" w:rsidRDefault="003D4653" w:rsidP="00C9561D">
            <w:pPr>
              <w:pStyle w:val="TAL"/>
            </w:pPr>
            <w:r w:rsidRPr="00873B6C">
              <w:t>This is used for downlink data notification related to QoS Flows.</w:t>
            </w:r>
          </w:p>
        </w:tc>
      </w:tr>
      <w:tr w:rsidR="003D4653" w:rsidRPr="00873B6C" w14:paraId="72D66ED4" w14:textId="77777777" w:rsidTr="00C9561D">
        <w:trPr>
          <w:cantSplit/>
          <w:jc w:val="center"/>
        </w:trPr>
        <w:tc>
          <w:tcPr>
            <w:tcW w:w="2876" w:type="dxa"/>
            <w:shd w:val="clear" w:color="auto" w:fill="auto"/>
          </w:tcPr>
          <w:p w14:paraId="7651C3AB" w14:textId="77777777" w:rsidR="003D4653" w:rsidRPr="00873B6C" w:rsidRDefault="003D4653" w:rsidP="00C9561D">
            <w:pPr>
              <w:pStyle w:val="TAL"/>
            </w:pPr>
            <w:r w:rsidRPr="00873B6C">
              <w:t>Downlink Data Status</w:t>
            </w:r>
          </w:p>
        </w:tc>
        <w:tc>
          <w:tcPr>
            <w:tcW w:w="4149" w:type="dxa"/>
            <w:shd w:val="clear" w:color="auto" w:fill="auto"/>
          </w:tcPr>
          <w:p w14:paraId="39CC7959" w14:textId="77777777" w:rsidR="003D4653" w:rsidRPr="00873B6C" w:rsidRDefault="003D4653" w:rsidP="00C9561D">
            <w:pPr>
              <w:pStyle w:val="TAL"/>
            </w:pPr>
            <w:r w:rsidRPr="00873B6C">
              <w:t>Indicates that the first downlink packet has been buffered or discarded for a service data flow at the UPF.</w:t>
            </w:r>
          </w:p>
        </w:tc>
        <w:tc>
          <w:tcPr>
            <w:tcW w:w="2606" w:type="dxa"/>
            <w:shd w:val="clear" w:color="auto" w:fill="auto"/>
          </w:tcPr>
          <w:p w14:paraId="7458197B" w14:textId="77777777" w:rsidR="003D4653" w:rsidRPr="00873B6C" w:rsidRDefault="003D4653" w:rsidP="00C9561D">
            <w:pPr>
              <w:pStyle w:val="TAL"/>
            </w:pPr>
            <w:r w:rsidRPr="00873B6C">
              <w:t>This is used for downlink data delivery status notification related to individual services.</w:t>
            </w:r>
          </w:p>
        </w:tc>
      </w:tr>
    </w:tbl>
    <w:p w14:paraId="10635399" w14:textId="77777777" w:rsidR="003D4653" w:rsidRPr="00873B6C" w:rsidRDefault="003D4653" w:rsidP="00972E70"/>
    <w:p w14:paraId="043DF623" w14:textId="77777777" w:rsidR="00D40151" w:rsidRPr="00873B6C" w:rsidRDefault="00D40151" w:rsidP="00D40151">
      <w:pPr>
        <w:pStyle w:val="Heading2"/>
      </w:pPr>
      <w:bookmarkStart w:id="2357" w:name="_CR5_9"/>
      <w:bookmarkStart w:id="2358" w:name="_Toc201157230"/>
      <w:bookmarkEnd w:id="2357"/>
      <w:r w:rsidRPr="00873B6C">
        <w:lastRenderedPageBreak/>
        <w:t>5.9</w:t>
      </w:r>
      <w:r w:rsidRPr="00873B6C">
        <w:tab/>
        <w:t>Identifiers</w:t>
      </w:r>
      <w:bookmarkEnd w:id="2292"/>
      <w:bookmarkEnd w:id="2293"/>
      <w:bookmarkEnd w:id="2294"/>
      <w:bookmarkEnd w:id="2295"/>
      <w:bookmarkEnd w:id="2296"/>
      <w:bookmarkEnd w:id="2297"/>
      <w:bookmarkEnd w:id="2358"/>
    </w:p>
    <w:p w14:paraId="58185FED" w14:textId="77777777" w:rsidR="00D40151" w:rsidRPr="00873B6C" w:rsidRDefault="00D40151" w:rsidP="00D40151">
      <w:pPr>
        <w:pStyle w:val="Heading3"/>
      </w:pPr>
      <w:bookmarkStart w:id="2359" w:name="_CR5_9_1"/>
      <w:bookmarkStart w:id="2360" w:name="_Toc20149881"/>
      <w:bookmarkStart w:id="2361" w:name="_Toc27846680"/>
      <w:bookmarkStart w:id="2362" w:name="_Toc36187811"/>
      <w:bookmarkStart w:id="2363" w:name="_Toc45183715"/>
      <w:bookmarkStart w:id="2364" w:name="_Toc47342557"/>
      <w:bookmarkStart w:id="2365" w:name="_Toc51769258"/>
      <w:bookmarkStart w:id="2366" w:name="_Toc201157231"/>
      <w:bookmarkEnd w:id="2359"/>
      <w:r w:rsidRPr="00873B6C">
        <w:t>5.9.1</w:t>
      </w:r>
      <w:r w:rsidRPr="00873B6C">
        <w:tab/>
        <w:t>General</w:t>
      </w:r>
      <w:bookmarkEnd w:id="2360"/>
      <w:bookmarkEnd w:id="2361"/>
      <w:bookmarkEnd w:id="2362"/>
      <w:bookmarkEnd w:id="2363"/>
      <w:bookmarkEnd w:id="2364"/>
      <w:bookmarkEnd w:id="2365"/>
      <w:bookmarkEnd w:id="2366"/>
    </w:p>
    <w:p w14:paraId="3A24DE51" w14:textId="77777777" w:rsidR="00D40151" w:rsidRPr="00873B6C" w:rsidRDefault="00D40151" w:rsidP="00D40151">
      <w:r w:rsidRPr="00873B6C">
        <w:t>Each subscriber in the 5G System shall be allocated one 5G Subscription Permanent Identifier (SUPI) for use within the 3GPP system.</w:t>
      </w:r>
      <w:r w:rsidRPr="00873B6C" w:rsidDel="00E779DF">
        <w:t xml:space="preserve"> </w:t>
      </w:r>
      <w:r w:rsidRPr="00873B6C">
        <w:rPr>
          <w:lang w:eastAsia="zh-CN"/>
        </w:rPr>
        <w:t>The 5G System supports identification of subscriptions independently of identification of the user equipment. Each UE accessing the 5G System shall be assigned a</w:t>
      </w:r>
      <w:r w:rsidRPr="00873B6C">
        <w:t xml:space="preserve"> Permanent Equipment Identifier (PEI).</w:t>
      </w:r>
    </w:p>
    <w:p w14:paraId="33718D63" w14:textId="77777777" w:rsidR="00D40151" w:rsidRPr="00873B6C" w:rsidRDefault="00D40151" w:rsidP="00D40151">
      <w:r w:rsidRPr="00873B6C">
        <w:t>The 5G System supports allocation of a temporary identifier (5G-GUTI) in order to support user confidentiality protection.</w:t>
      </w:r>
    </w:p>
    <w:p w14:paraId="2649DF24" w14:textId="77777777" w:rsidR="00D40151" w:rsidRPr="00873B6C" w:rsidRDefault="00D40151" w:rsidP="00D40151">
      <w:pPr>
        <w:pStyle w:val="Heading3"/>
      </w:pPr>
      <w:bookmarkStart w:id="2367" w:name="_CR5_9_2"/>
      <w:bookmarkStart w:id="2368" w:name="_Toc20149882"/>
      <w:bookmarkStart w:id="2369" w:name="_Toc27846681"/>
      <w:bookmarkStart w:id="2370" w:name="_Toc36187812"/>
      <w:bookmarkStart w:id="2371" w:name="_Toc45183716"/>
      <w:bookmarkStart w:id="2372" w:name="_Toc47342558"/>
      <w:bookmarkStart w:id="2373" w:name="_Toc51769259"/>
      <w:bookmarkStart w:id="2374" w:name="_Toc201157232"/>
      <w:bookmarkEnd w:id="2367"/>
      <w:r w:rsidRPr="00873B6C">
        <w:t>5.9.2</w:t>
      </w:r>
      <w:r w:rsidRPr="00873B6C">
        <w:tab/>
        <w:t>Subscription Permanent Identifier</w:t>
      </w:r>
      <w:bookmarkEnd w:id="2368"/>
      <w:bookmarkEnd w:id="2369"/>
      <w:bookmarkEnd w:id="2370"/>
      <w:bookmarkEnd w:id="2371"/>
      <w:bookmarkEnd w:id="2372"/>
      <w:bookmarkEnd w:id="2373"/>
      <w:bookmarkEnd w:id="2374"/>
    </w:p>
    <w:p w14:paraId="7B022930" w14:textId="0BBB24F8" w:rsidR="00D40151" w:rsidRPr="00873B6C" w:rsidRDefault="00D40151" w:rsidP="00D40151">
      <w:r w:rsidRPr="00873B6C">
        <w:t>A globally unique 5G Subscription Permanent Identifier (SUPI) shall be allocated to each subscriber in the 5G System and provisioned in the UDM/UDR. The SUPI is used only inside 3GPP system</w:t>
      </w:r>
      <w:r w:rsidR="00472CD7" w:rsidRPr="00873B6C">
        <w:t xml:space="preserve"> and</w:t>
      </w:r>
      <w:r w:rsidRPr="00873B6C">
        <w:t xml:space="preserve"> its privacy is</w:t>
      </w:r>
      <w:r w:rsidRPr="00873B6C">
        <w:rPr>
          <w:iCs/>
        </w:rPr>
        <w:t xml:space="preserve"> specified in </w:t>
      </w:r>
      <w:r w:rsidR="00972E70" w:rsidRPr="00873B6C">
        <w:rPr>
          <w:iCs/>
        </w:rPr>
        <w:t>TS 33.501 [</w:t>
      </w:r>
      <w:r w:rsidRPr="00873B6C">
        <w:rPr>
          <w:iCs/>
        </w:rPr>
        <w:t>29].</w:t>
      </w:r>
    </w:p>
    <w:p w14:paraId="1CF310B9" w14:textId="77777777" w:rsidR="00D40151" w:rsidRPr="00873B6C" w:rsidRDefault="00D40151" w:rsidP="00D40151">
      <w:r w:rsidRPr="00873B6C">
        <w:t>The SUPI may contain:</w:t>
      </w:r>
    </w:p>
    <w:p w14:paraId="33D54D78" w14:textId="7FAAEFC8" w:rsidR="00D40151" w:rsidRPr="00873B6C" w:rsidRDefault="00D40151" w:rsidP="00D40151">
      <w:pPr>
        <w:pStyle w:val="B1"/>
      </w:pPr>
      <w:r w:rsidRPr="00873B6C">
        <w:t>-</w:t>
      </w:r>
      <w:r w:rsidRPr="00873B6C">
        <w:tab/>
        <w:t xml:space="preserve">an IMSI as defined in </w:t>
      </w:r>
      <w:r w:rsidR="00972E70" w:rsidRPr="00873B6C">
        <w:t>TS 23.003 [</w:t>
      </w:r>
      <w:r w:rsidRPr="00873B6C">
        <w:t>19], or</w:t>
      </w:r>
    </w:p>
    <w:p w14:paraId="1909BA48" w14:textId="6B81D2F7" w:rsidR="00D40151" w:rsidRPr="00873B6C" w:rsidRDefault="00D40151" w:rsidP="00D40151">
      <w:pPr>
        <w:pStyle w:val="B1"/>
      </w:pPr>
      <w:r w:rsidRPr="00873B6C">
        <w:t>-</w:t>
      </w:r>
      <w:r w:rsidRPr="00873B6C">
        <w:tab/>
        <w:t xml:space="preserve">a network-specific identifier, used for private networks as defined in </w:t>
      </w:r>
      <w:r w:rsidR="00972E70" w:rsidRPr="00873B6C">
        <w:t>TS 22.261 [</w:t>
      </w:r>
      <w:r w:rsidRPr="00873B6C">
        <w:t>2].</w:t>
      </w:r>
    </w:p>
    <w:p w14:paraId="253C0CC9" w14:textId="5EE8420A" w:rsidR="00D40151" w:rsidRPr="00873B6C" w:rsidRDefault="00D40151" w:rsidP="00D40151">
      <w:pPr>
        <w:pStyle w:val="B1"/>
      </w:pPr>
      <w:r w:rsidRPr="00873B6C">
        <w:t>-</w:t>
      </w:r>
      <w:r w:rsidRPr="00873B6C">
        <w:tab/>
        <w:t xml:space="preserve">a GLI and an operator identifier of the 5GC operator, used for supporting FN-BRGs, as further described in </w:t>
      </w:r>
      <w:r w:rsidR="00972E70" w:rsidRPr="00873B6C">
        <w:t>TS 23.316 [</w:t>
      </w:r>
      <w:r w:rsidRPr="00873B6C">
        <w:t>84].</w:t>
      </w:r>
    </w:p>
    <w:p w14:paraId="0BC35071" w14:textId="657FD2AD" w:rsidR="00D40151" w:rsidRPr="00873B6C" w:rsidRDefault="00D40151" w:rsidP="00D40151">
      <w:pPr>
        <w:pStyle w:val="B1"/>
      </w:pPr>
      <w:r w:rsidRPr="00873B6C">
        <w:t>-</w:t>
      </w:r>
      <w:r w:rsidRPr="00873B6C">
        <w:tab/>
        <w:t xml:space="preserve">a GCI and an operator identifier of the 5GC operator, used for supporting FN-CRGs and 5G-CRG, as further described in </w:t>
      </w:r>
      <w:r w:rsidR="00972E70" w:rsidRPr="00873B6C">
        <w:t>TS 23.316 [</w:t>
      </w:r>
      <w:r w:rsidRPr="00873B6C">
        <w:t>84].</w:t>
      </w:r>
    </w:p>
    <w:p w14:paraId="5EF1B539" w14:textId="07049538" w:rsidR="00D40151" w:rsidRPr="00873B6C" w:rsidRDefault="00D40151" w:rsidP="00D40151">
      <w:r w:rsidRPr="00873B6C">
        <w:t xml:space="preserve">A SUPI containing a network-specific identifier shall take the form of a Network Access Identifier (NAI) using the NAI RFC 7542 [20] based user identification as defined in </w:t>
      </w:r>
      <w:r w:rsidR="00972E70" w:rsidRPr="00873B6C">
        <w:t>TS 23.003 [</w:t>
      </w:r>
      <w:r w:rsidRPr="00873B6C">
        <w:t>19].</w:t>
      </w:r>
    </w:p>
    <w:p w14:paraId="79C2320E" w14:textId="2AA9D8E6" w:rsidR="00D40151" w:rsidRPr="00873B6C" w:rsidRDefault="00D40151" w:rsidP="00D40151">
      <w:r w:rsidRPr="00873B6C">
        <w:t xml:space="preserve">When UE needs to indicate its SUPI to the network (e.g. as part of the Registration procedure), the UE provides the SUPI in concealed form as defined in </w:t>
      </w:r>
      <w:r w:rsidR="00972E70" w:rsidRPr="00873B6C">
        <w:t>TS 23.003 [</w:t>
      </w:r>
      <w:r w:rsidRPr="00873B6C">
        <w:t>19].</w:t>
      </w:r>
    </w:p>
    <w:p w14:paraId="2A0747EF" w14:textId="77777777" w:rsidR="00D40151" w:rsidRPr="00873B6C" w:rsidRDefault="00D40151" w:rsidP="00D40151">
      <w:r w:rsidRPr="00873B6C">
        <w:t>In order to enable roaming scenarios, the SUPI shall contain the address of the home network (e.g. the MCC and MNC in the case of an IMSI based SUPI).</w:t>
      </w:r>
    </w:p>
    <w:p w14:paraId="745F779C" w14:textId="77777777" w:rsidR="00D40151" w:rsidRPr="00873B6C" w:rsidRDefault="00D40151" w:rsidP="00D40151">
      <w:r w:rsidRPr="00873B6C">
        <w:t>For interworking with the EPC, the SUPI allocated to the 3GPP UE shall always be based on an IMSI to enable the UE to present an IMSI to the EPC.</w:t>
      </w:r>
    </w:p>
    <w:p w14:paraId="0D7C8912" w14:textId="4244987B" w:rsidR="00D40151" w:rsidRPr="00873B6C" w:rsidRDefault="00D40151" w:rsidP="00D40151">
      <w:r w:rsidRPr="00873B6C">
        <w:t xml:space="preserve">The usage of SUPI for W-5GAN is further specified in </w:t>
      </w:r>
      <w:r w:rsidR="00972E70" w:rsidRPr="00873B6C">
        <w:t>TS 23.316 [</w:t>
      </w:r>
      <w:r w:rsidRPr="00873B6C">
        <w:t>84].</w:t>
      </w:r>
    </w:p>
    <w:p w14:paraId="7DA33281" w14:textId="77777777" w:rsidR="00D40151" w:rsidRPr="00873B6C" w:rsidRDefault="00D40151" w:rsidP="00D40151">
      <w:pPr>
        <w:pStyle w:val="Heading3"/>
      </w:pPr>
      <w:bookmarkStart w:id="2375" w:name="_CR5_9_2a"/>
      <w:bookmarkStart w:id="2376" w:name="_Toc20149883"/>
      <w:bookmarkStart w:id="2377" w:name="_Toc27846682"/>
      <w:bookmarkStart w:id="2378" w:name="_Toc36187813"/>
      <w:bookmarkStart w:id="2379" w:name="_Toc45183717"/>
      <w:bookmarkStart w:id="2380" w:name="_Toc47342559"/>
      <w:bookmarkStart w:id="2381" w:name="_Toc51769260"/>
      <w:bookmarkStart w:id="2382" w:name="_Toc201157233"/>
      <w:bookmarkEnd w:id="2375"/>
      <w:r w:rsidRPr="00873B6C">
        <w:t>5.9.2a</w:t>
      </w:r>
      <w:r w:rsidRPr="00873B6C">
        <w:tab/>
        <w:t>Subscription Concealed Identifier</w:t>
      </w:r>
      <w:bookmarkEnd w:id="2376"/>
      <w:bookmarkEnd w:id="2377"/>
      <w:bookmarkEnd w:id="2378"/>
      <w:bookmarkEnd w:id="2379"/>
      <w:bookmarkEnd w:id="2380"/>
      <w:bookmarkEnd w:id="2381"/>
      <w:bookmarkEnd w:id="2382"/>
    </w:p>
    <w:p w14:paraId="78D57D30" w14:textId="50E81109" w:rsidR="00D40151" w:rsidRPr="00873B6C" w:rsidRDefault="00D40151" w:rsidP="00D40151">
      <w:r w:rsidRPr="00873B6C">
        <w:t xml:space="preserve">The Subscription Concealed Identifier (SUCI) is a privacy preserving identifier containing the concealed SUPI. It is specified in </w:t>
      </w:r>
      <w:r w:rsidR="00972E70" w:rsidRPr="00873B6C">
        <w:t>TS 33.501 [</w:t>
      </w:r>
      <w:r w:rsidRPr="00873B6C">
        <w:t>29].</w:t>
      </w:r>
    </w:p>
    <w:p w14:paraId="3130A43B" w14:textId="3579C418" w:rsidR="00D40151" w:rsidRPr="00873B6C" w:rsidRDefault="00D40151" w:rsidP="00D40151">
      <w:r w:rsidRPr="00873B6C">
        <w:t xml:space="preserve">The usage of SUCI for W-5GAN access is further specified in </w:t>
      </w:r>
      <w:r w:rsidR="00972E70" w:rsidRPr="00873B6C">
        <w:t>TS 23.316 [</w:t>
      </w:r>
      <w:r w:rsidRPr="00873B6C">
        <w:t>84].</w:t>
      </w:r>
    </w:p>
    <w:p w14:paraId="321946C6" w14:textId="77777777" w:rsidR="00D40151" w:rsidRPr="00873B6C" w:rsidRDefault="00D40151" w:rsidP="00D40151">
      <w:pPr>
        <w:pStyle w:val="Heading3"/>
      </w:pPr>
      <w:bookmarkStart w:id="2383" w:name="_CR5_9_3"/>
      <w:bookmarkStart w:id="2384" w:name="_Toc20149884"/>
      <w:bookmarkStart w:id="2385" w:name="_Toc27846683"/>
      <w:bookmarkStart w:id="2386" w:name="_Toc36187814"/>
      <w:bookmarkStart w:id="2387" w:name="_Toc45183718"/>
      <w:bookmarkStart w:id="2388" w:name="_Toc47342560"/>
      <w:bookmarkStart w:id="2389" w:name="_Toc51769261"/>
      <w:bookmarkStart w:id="2390" w:name="_Toc201157234"/>
      <w:bookmarkEnd w:id="2383"/>
      <w:r w:rsidRPr="00873B6C">
        <w:t>5.9.3</w:t>
      </w:r>
      <w:r w:rsidRPr="00873B6C">
        <w:tab/>
        <w:t>Permanent Equipment Identifier</w:t>
      </w:r>
      <w:bookmarkEnd w:id="2384"/>
      <w:bookmarkEnd w:id="2385"/>
      <w:bookmarkEnd w:id="2386"/>
      <w:bookmarkEnd w:id="2387"/>
      <w:bookmarkEnd w:id="2388"/>
      <w:bookmarkEnd w:id="2389"/>
      <w:bookmarkEnd w:id="2390"/>
    </w:p>
    <w:p w14:paraId="0EBCDD85" w14:textId="77777777" w:rsidR="00D40151" w:rsidRPr="00873B6C" w:rsidRDefault="00D40151" w:rsidP="00D40151">
      <w:r w:rsidRPr="00873B6C">
        <w:t>A Permanent Equipment Identifier (PEI) is defined for the 3GPP UE accessing the 5G System.</w:t>
      </w:r>
    </w:p>
    <w:p w14:paraId="7E8AE4A5" w14:textId="77777777" w:rsidR="00D40151" w:rsidRPr="00873B6C" w:rsidRDefault="00D40151" w:rsidP="00D40151">
      <w:r w:rsidRPr="00873B6C">
        <w:t>The PEI can assume different formats for different UE types and use cases. The UE shall present the PEI to the network together with an indication of the PEI format being used.</w:t>
      </w:r>
    </w:p>
    <w:p w14:paraId="31728A06" w14:textId="77777777" w:rsidR="00D40151" w:rsidRPr="00873B6C" w:rsidRDefault="00D40151" w:rsidP="00D40151">
      <w:r w:rsidRPr="00873B6C">
        <w:t>If the UE supports at least one 3GPP access technology (i.e. NG-RAN, E-UTRAN, UTRAN or GERAN), the UE must be allocated a PEI in the IMEI or IMEISV format.</w:t>
      </w:r>
    </w:p>
    <w:p w14:paraId="7BF7AFFE" w14:textId="50BD936A" w:rsidR="005551CC" w:rsidRPr="00873B6C" w:rsidRDefault="005551CC" w:rsidP="00D40151">
      <w:r w:rsidRPr="00873B6C">
        <w:lastRenderedPageBreak/>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873B6C" w:rsidRDefault="00D40151" w:rsidP="00D40151">
      <w:r w:rsidRPr="00873B6C">
        <w:t>In the scope of this release, the PEI may be one of the following:</w:t>
      </w:r>
    </w:p>
    <w:p w14:paraId="5131B8F0" w14:textId="2B23BFC4" w:rsidR="00D40151" w:rsidRPr="00873B6C" w:rsidRDefault="00D40151" w:rsidP="00D40151">
      <w:pPr>
        <w:pStyle w:val="B1"/>
      </w:pPr>
      <w:r w:rsidRPr="00873B6C">
        <w:t>-</w:t>
      </w:r>
      <w:r w:rsidRPr="00873B6C">
        <w:tab/>
        <w:t xml:space="preserve">for UEs that support at least one 3GPP access technology, an IMEI or IMEISV, as defined in </w:t>
      </w:r>
      <w:r w:rsidR="00972E70" w:rsidRPr="00873B6C">
        <w:t>TS 23.003 [</w:t>
      </w:r>
      <w:r w:rsidRPr="00873B6C">
        <w:t>19];</w:t>
      </w:r>
    </w:p>
    <w:p w14:paraId="7B90AF2B" w14:textId="6299B86D" w:rsidR="00D40151" w:rsidRPr="00873B6C" w:rsidRDefault="00D40151" w:rsidP="00D40151">
      <w:pPr>
        <w:pStyle w:val="B1"/>
      </w:pPr>
      <w:r w:rsidRPr="00873B6C">
        <w:t>-</w:t>
      </w:r>
      <w:r w:rsidRPr="00873B6C">
        <w:tab/>
        <w:t xml:space="preserve">PEI used in the case of W-5GAN access as further specified in </w:t>
      </w:r>
      <w:r w:rsidR="00972E70" w:rsidRPr="00873B6C">
        <w:t>TS 23.316 [</w:t>
      </w:r>
      <w:r w:rsidRPr="00873B6C">
        <w:t>84].</w:t>
      </w:r>
    </w:p>
    <w:p w14:paraId="789CF89B" w14:textId="77777777" w:rsidR="00D40151" w:rsidRPr="00873B6C" w:rsidRDefault="00D40151" w:rsidP="00D40151">
      <w:pPr>
        <w:pStyle w:val="B1"/>
      </w:pPr>
      <w:r w:rsidRPr="00873B6C">
        <w:t>-</w:t>
      </w:r>
      <w:r w:rsidRPr="00873B6C">
        <w:tab/>
        <w:t>for UEs not supporting any 3GPP access technologies, the IEEE Extended Unique Identifier EUI-64 [113] of the access technology the UE uses to connect to the 5GC.</w:t>
      </w:r>
    </w:p>
    <w:p w14:paraId="38FA5968" w14:textId="77777777" w:rsidR="00D40151" w:rsidRPr="00873B6C" w:rsidRDefault="00D40151" w:rsidP="00D40151">
      <w:pPr>
        <w:pStyle w:val="Heading3"/>
        <w:rPr>
          <w:rFonts w:eastAsia="DengXian"/>
          <w:bCs/>
        </w:rPr>
      </w:pPr>
      <w:bookmarkStart w:id="2391" w:name="_CR5_9_4"/>
      <w:bookmarkStart w:id="2392" w:name="_Toc20149885"/>
      <w:bookmarkStart w:id="2393" w:name="_Toc27846684"/>
      <w:bookmarkStart w:id="2394" w:name="_Toc36187815"/>
      <w:bookmarkStart w:id="2395" w:name="_Toc45183719"/>
      <w:bookmarkStart w:id="2396" w:name="_Toc47342561"/>
      <w:bookmarkStart w:id="2397" w:name="_Toc51769262"/>
      <w:bookmarkStart w:id="2398" w:name="_Toc201157235"/>
      <w:bookmarkEnd w:id="2391"/>
      <w:r w:rsidRPr="00873B6C">
        <w:t>5.9.4</w:t>
      </w:r>
      <w:r w:rsidRPr="00873B6C">
        <w:tab/>
        <w:t xml:space="preserve">5G </w:t>
      </w:r>
      <w:r w:rsidRPr="00873B6C">
        <w:rPr>
          <w:rFonts w:eastAsia="DengXian"/>
          <w:bCs/>
        </w:rPr>
        <w:t xml:space="preserve">Globally Unique </w:t>
      </w:r>
      <w:r w:rsidRPr="00873B6C">
        <w:t>Temporary Identifier</w:t>
      </w:r>
      <w:bookmarkEnd w:id="2392"/>
      <w:bookmarkEnd w:id="2393"/>
      <w:bookmarkEnd w:id="2394"/>
      <w:bookmarkEnd w:id="2395"/>
      <w:bookmarkEnd w:id="2396"/>
      <w:bookmarkEnd w:id="2397"/>
      <w:bookmarkEnd w:id="2398"/>
    </w:p>
    <w:p w14:paraId="7744B170" w14:textId="342C103D" w:rsidR="00D40151" w:rsidRPr="00873B6C" w:rsidRDefault="00D40151" w:rsidP="00D40151">
      <w:r w:rsidRPr="00873B6C">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873B6C">
        <w:t>of</w:t>
      </w:r>
      <w:r w:rsidRPr="00873B6C">
        <w:t xml:space="preserve"> </w:t>
      </w:r>
      <w:r w:rsidR="00972E70" w:rsidRPr="00873B6C">
        <w:t>TS 33.501 [</w:t>
      </w:r>
      <w:r w:rsidRPr="00873B6C">
        <w:t>29]. When the UE is in CM-IDLE, the AMF may delay providing the UE with a new 5G-GUTI until the next NAS transaction.</w:t>
      </w:r>
    </w:p>
    <w:p w14:paraId="2157FA8B" w14:textId="77777777" w:rsidR="00D40151" w:rsidRPr="00873B6C" w:rsidRDefault="00D40151" w:rsidP="00D40151">
      <w:r w:rsidRPr="00873B6C">
        <w:t>The 5G-GUTI shall be structured as:</w:t>
      </w:r>
    </w:p>
    <w:p w14:paraId="47336CDB" w14:textId="77777777" w:rsidR="00D40151" w:rsidRPr="00873B6C" w:rsidRDefault="00D40151" w:rsidP="00D40151">
      <w:pPr>
        <w:pStyle w:val="B1"/>
        <w:rPr>
          <w:rFonts w:eastAsia="DengXian"/>
        </w:rPr>
      </w:pPr>
      <w:r w:rsidRPr="00873B6C">
        <w:rPr>
          <w:rFonts w:eastAsia="DengXian"/>
        </w:rPr>
        <w:tab/>
        <w:t>&lt;5G-GUTI&gt; := &lt;GUAMI&gt; &lt;5G-TMSI&gt;</w:t>
      </w:r>
    </w:p>
    <w:p w14:paraId="1AE3D68B" w14:textId="77777777" w:rsidR="00D40151" w:rsidRPr="00873B6C" w:rsidRDefault="00D40151" w:rsidP="00D40151">
      <w:pPr>
        <w:pStyle w:val="B1"/>
        <w:rPr>
          <w:rFonts w:eastAsia="DengXian"/>
        </w:rPr>
      </w:pPr>
      <w:r w:rsidRPr="00873B6C">
        <w:rPr>
          <w:rFonts w:eastAsia="DengXian"/>
        </w:rPr>
        <w:tab/>
        <w:t>where GUAMI identifies one or more AMF(s).</w:t>
      </w:r>
    </w:p>
    <w:p w14:paraId="31AA42D3" w14:textId="77777777" w:rsidR="00D40151" w:rsidRPr="00873B6C" w:rsidRDefault="00D40151" w:rsidP="00D40151">
      <w:pPr>
        <w:rPr>
          <w:rFonts w:eastAsia="DengXian"/>
        </w:rPr>
      </w:pPr>
      <w:r w:rsidRPr="00873B6C">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873B6C" w:rsidRDefault="00D40151" w:rsidP="00D40151">
      <w:pPr>
        <w:rPr>
          <w:rFonts w:eastAsia="DengXian"/>
        </w:rPr>
      </w:pPr>
      <w:r w:rsidRPr="00873B6C">
        <w:rPr>
          <w:rFonts w:eastAsia="DengXian"/>
        </w:rPr>
        <w:t>The Globally Unique AMF ID (GUAMI) shall be structured as:</w:t>
      </w:r>
    </w:p>
    <w:p w14:paraId="0467F2F9" w14:textId="77777777" w:rsidR="00D40151" w:rsidRPr="00873B6C" w:rsidRDefault="00D40151" w:rsidP="00D40151">
      <w:pPr>
        <w:pStyle w:val="B1"/>
        <w:rPr>
          <w:rFonts w:eastAsia="DengXian"/>
        </w:rPr>
      </w:pPr>
      <w:r w:rsidRPr="00873B6C">
        <w:rPr>
          <w:rFonts w:eastAsia="DengXian"/>
        </w:rPr>
        <w:tab/>
        <w:t>&lt;GUAMI&gt; := &lt;MCC&gt; &lt;MNC&gt; &lt;AMF Region ID&gt; &lt;AMF Set ID&gt; &lt;AMF Pointer&gt;</w:t>
      </w:r>
    </w:p>
    <w:p w14:paraId="22E0F906" w14:textId="77777777" w:rsidR="00D40151" w:rsidRPr="00873B6C" w:rsidRDefault="00D40151" w:rsidP="00D40151">
      <w:pPr>
        <w:pStyle w:val="B1"/>
        <w:rPr>
          <w:rFonts w:eastAsia="DengXian"/>
        </w:rPr>
      </w:pPr>
      <w:r w:rsidRPr="00873B6C">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873B6C" w:rsidRDefault="00D40151" w:rsidP="00D40151">
      <w:pPr>
        <w:pStyle w:val="NO"/>
        <w:rPr>
          <w:rFonts w:eastAsia="DengXian"/>
        </w:rPr>
      </w:pPr>
      <w:r w:rsidRPr="00873B6C">
        <w:rPr>
          <w:rFonts w:eastAsia="DengXian"/>
        </w:rPr>
        <w:t>NOTE 1:</w:t>
      </w:r>
      <w:r w:rsidRPr="00873B6C">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873B6C" w:rsidRDefault="00D40151" w:rsidP="00D40151">
      <w:pPr>
        <w:pStyle w:val="NO"/>
        <w:rPr>
          <w:rFonts w:eastAsia="DengXian"/>
        </w:rPr>
      </w:pPr>
      <w:r w:rsidRPr="00873B6C">
        <w:rPr>
          <w:rFonts w:eastAsia="DengXian"/>
        </w:rPr>
        <w:t>NOTE 2:</w:t>
      </w:r>
      <w:r w:rsidRPr="00873B6C">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19CA2DAA" w:rsidR="00D40151" w:rsidRPr="00873B6C" w:rsidRDefault="00D40151" w:rsidP="00D40151">
      <w:pPr>
        <w:pStyle w:val="NO"/>
        <w:rPr>
          <w:rFonts w:eastAsia="DengXian"/>
        </w:rPr>
      </w:pPr>
      <w:r w:rsidRPr="00873B6C">
        <w:rPr>
          <w:rFonts w:eastAsia="DengXian"/>
        </w:rPr>
        <w:t xml:space="preserve">NOTE 3: See </w:t>
      </w:r>
      <w:r w:rsidR="00972E70" w:rsidRPr="00873B6C">
        <w:rPr>
          <w:rFonts w:eastAsia="DengXian"/>
        </w:rPr>
        <w:t>TS 23.003 [</w:t>
      </w:r>
      <w:r w:rsidRPr="00873B6C">
        <w:rPr>
          <w:rFonts w:eastAsia="DengXian"/>
        </w:rPr>
        <w:t>19] for details on the structure of the fields of GUAMI.</w:t>
      </w:r>
    </w:p>
    <w:p w14:paraId="0C0E3A6F" w14:textId="77777777" w:rsidR="00D40151" w:rsidRPr="00873B6C" w:rsidRDefault="00D40151" w:rsidP="00D40151">
      <w:r w:rsidRPr="00873B6C">
        <w:t>The 5G-S-TMSI is the shortened form of the GUTI to enable more efficient radio signalling procedures (e.g. during Paging and Service Request) and is defined as:</w:t>
      </w:r>
    </w:p>
    <w:p w14:paraId="18E46D7F" w14:textId="77777777" w:rsidR="00D40151" w:rsidRPr="00873B6C" w:rsidRDefault="00D40151" w:rsidP="00D40151">
      <w:pPr>
        <w:pStyle w:val="B1"/>
        <w:rPr>
          <w:rFonts w:eastAsia="DengXian"/>
        </w:rPr>
      </w:pPr>
      <w:r w:rsidRPr="00873B6C">
        <w:rPr>
          <w:rFonts w:eastAsia="DengXian"/>
        </w:rPr>
        <w:tab/>
        <w:t xml:space="preserve">&lt;5G-S-TMSI&gt; := &lt;AMF Set ID&gt; &lt;AMF Pointer&gt; </w:t>
      </w:r>
      <w:r w:rsidRPr="00873B6C">
        <w:t>&lt;5G-TMSI&gt;</w:t>
      </w:r>
    </w:p>
    <w:p w14:paraId="0E496B52" w14:textId="30E02037" w:rsidR="00D40151" w:rsidRPr="00873B6C" w:rsidRDefault="00D40151" w:rsidP="00D40151">
      <w:r w:rsidRPr="00873B6C">
        <w:t xml:space="preserve">As specified in </w:t>
      </w:r>
      <w:r w:rsidR="00972E70" w:rsidRPr="00873B6C">
        <w:t>TS 38.304 [</w:t>
      </w:r>
      <w:r w:rsidRPr="00873B6C">
        <w:t xml:space="preserve">50] and </w:t>
      </w:r>
      <w:r w:rsidR="00972E70" w:rsidRPr="00873B6C">
        <w:t>TS 36.304 [</w:t>
      </w:r>
      <w:r w:rsidRPr="00873B6C">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5E30D65E" w:rsidR="00D40151" w:rsidRPr="00873B6C" w:rsidRDefault="00D40151" w:rsidP="00D40151">
      <w:r w:rsidRPr="00873B6C">
        <w:t xml:space="preserve">As specified in </w:t>
      </w:r>
      <w:r w:rsidR="00972E70" w:rsidRPr="00873B6C">
        <w:t>TS 38.331 [</w:t>
      </w:r>
      <w:r w:rsidRPr="00873B6C">
        <w:t xml:space="preserve">28] and </w:t>
      </w:r>
      <w:r w:rsidR="00972E70" w:rsidRPr="00873B6C">
        <w:t>TS 36.331 [</w:t>
      </w:r>
      <w:r w:rsidRPr="00873B6C">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873B6C" w:rsidRDefault="00D40151" w:rsidP="00D40151">
      <w:pPr>
        <w:pStyle w:val="NO"/>
        <w:rPr>
          <w:rFonts w:eastAsia="DengXian"/>
        </w:rPr>
      </w:pPr>
      <w:r w:rsidRPr="00873B6C">
        <w:t>NOTE 4:</w:t>
      </w:r>
      <w:r w:rsidRPr="00873B6C">
        <w:tab/>
        <w:t>To achieve this, the AMF could, for example, use a random seed number for any process it uses when choosing the UE's 5G-TMSI.</w:t>
      </w:r>
    </w:p>
    <w:p w14:paraId="6870781A" w14:textId="77777777" w:rsidR="00D40151" w:rsidRPr="00873B6C" w:rsidRDefault="00D40151" w:rsidP="00D40151">
      <w:pPr>
        <w:pStyle w:val="Heading3"/>
        <w:rPr>
          <w:lang w:eastAsia="zh-CN"/>
        </w:rPr>
      </w:pPr>
      <w:bookmarkStart w:id="2399" w:name="_CR5_9_5"/>
      <w:bookmarkStart w:id="2400" w:name="_Toc20149886"/>
      <w:bookmarkStart w:id="2401" w:name="_Toc27846685"/>
      <w:bookmarkStart w:id="2402" w:name="_Toc36187816"/>
      <w:bookmarkStart w:id="2403" w:name="_Toc45183720"/>
      <w:bookmarkStart w:id="2404" w:name="_Toc47342562"/>
      <w:bookmarkStart w:id="2405" w:name="_Toc51769263"/>
      <w:bookmarkStart w:id="2406" w:name="_Toc201157236"/>
      <w:bookmarkEnd w:id="2399"/>
      <w:r w:rsidRPr="00873B6C">
        <w:rPr>
          <w:lang w:eastAsia="zh-CN"/>
        </w:rPr>
        <w:lastRenderedPageBreak/>
        <w:t>5.9.5</w:t>
      </w:r>
      <w:r w:rsidRPr="00873B6C">
        <w:rPr>
          <w:lang w:eastAsia="zh-CN"/>
        </w:rPr>
        <w:tab/>
        <w:t>AMF Name</w:t>
      </w:r>
      <w:bookmarkEnd w:id="2400"/>
      <w:bookmarkEnd w:id="2401"/>
      <w:bookmarkEnd w:id="2402"/>
      <w:bookmarkEnd w:id="2403"/>
      <w:bookmarkEnd w:id="2404"/>
      <w:bookmarkEnd w:id="2405"/>
      <w:bookmarkEnd w:id="2406"/>
    </w:p>
    <w:p w14:paraId="3DBC76AE" w14:textId="4AB78E12" w:rsidR="00D40151" w:rsidRPr="00873B6C" w:rsidRDefault="00D40151" w:rsidP="00D40151">
      <w:pPr>
        <w:rPr>
          <w:lang w:eastAsia="zh-CN"/>
        </w:rPr>
      </w:pPr>
      <w:r w:rsidRPr="00873B6C">
        <w:rPr>
          <w:lang w:eastAsia="zh-CN"/>
        </w:rPr>
        <w:t xml:space="preserve">An AMF is identified by an AMF Name. AMF Name is a globally unique FQDN, the structure of AMF Name FQDN is defined in </w:t>
      </w:r>
      <w:r w:rsidR="00972E70" w:rsidRPr="00873B6C">
        <w:rPr>
          <w:lang w:eastAsia="zh-CN"/>
        </w:rPr>
        <w:t>TS 23.003 [</w:t>
      </w:r>
      <w:r w:rsidRPr="00873B6C">
        <w:rPr>
          <w:lang w:eastAsia="zh-CN"/>
        </w:rPr>
        <w:t>19]. An AMF can be configured with one or more GUAMIs. At a given time, GUAMI with distinct AMF Pointer value is associated to one AMF name only.</w:t>
      </w:r>
    </w:p>
    <w:p w14:paraId="0221C702" w14:textId="77777777" w:rsidR="00D40151" w:rsidRPr="00873B6C" w:rsidRDefault="00D40151" w:rsidP="00D40151">
      <w:pPr>
        <w:pStyle w:val="Heading3"/>
      </w:pPr>
      <w:bookmarkStart w:id="2407" w:name="_CR5_9_6"/>
      <w:bookmarkStart w:id="2408" w:name="_Toc20149887"/>
      <w:bookmarkStart w:id="2409" w:name="_Toc27846686"/>
      <w:bookmarkStart w:id="2410" w:name="_Toc36187817"/>
      <w:bookmarkStart w:id="2411" w:name="_Toc45183721"/>
      <w:bookmarkStart w:id="2412" w:name="_Toc47342563"/>
      <w:bookmarkStart w:id="2413" w:name="_Toc51769264"/>
      <w:bookmarkStart w:id="2414" w:name="_Toc201157237"/>
      <w:bookmarkEnd w:id="2407"/>
      <w:r w:rsidRPr="00873B6C">
        <w:t>5.9.6</w:t>
      </w:r>
      <w:r w:rsidRPr="00873B6C">
        <w:tab/>
        <w:t>Data Network Name (DNN)</w:t>
      </w:r>
      <w:bookmarkEnd w:id="2408"/>
      <w:bookmarkEnd w:id="2409"/>
      <w:bookmarkEnd w:id="2410"/>
      <w:bookmarkEnd w:id="2411"/>
      <w:bookmarkEnd w:id="2412"/>
      <w:bookmarkEnd w:id="2413"/>
      <w:bookmarkEnd w:id="2414"/>
    </w:p>
    <w:p w14:paraId="64DC4A60" w14:textId="13D4C9BE" w:rsidR="00D40151" w:rsidRPr="00873B6C" w:rsidRDefault="00D40151" w:rsidP="00D40151">
      <w:r w:rsidRPr="00873B6C">
        <w:t xml:space="preserve">A DNN is equivalent to an APN as defined in </w:t>
      </w:r>
      <w:r w:rsidR="00972E70" w:rsidRPr="00873B6C">
        <w:t>TS 23.003 [</w:t>
      </w:r>
      <w:r w:rsidRPr="00873B6C">
        <w:t>19]. Both identifiers have an equivalent meaning and carry the same information.</w:t>
      </w:r>
    </w:p>
    <w:p w14:paraId="721E3CFC" w14:textId="77777777" w:rsidR="00D40151" w:rsidRPr="00873B6C" w:rsidRDefault="00D40151" w:rsidP="00D40151">
      <w:r w:rsidRPr="00873B6C">
        <w:t>The DNN may be used e.g. to:</w:t>
      </w:r>
    </w:p>
    <w:p w14:paraId="0D1686E9" w14:textId="77777777" w:rsidR="00D40151" w:rsidRPr="00873B6C" w:rsidRDefault="00D40151" w:rsidP="00D40151">
      <w:pPr>
        <w:pStyle w:val="B1"/>
      </w:pPr>
      <w:r w:rsidRPr="00873B6C">
        <w:t>-</w:t>
      </w:r>
      <w:r w:rsidRPr="00873B6C">
        <w:tab/>
        <w:t>Select a SMF and UPF(s) for a PDU Session.</w:t>
      </w:r>
    </w:p>
    <w:p w14:paraId="344259C2" w14:textId="77777777" w:rsidR="00D40151" w:rsidRPr="00873B6C" w:rsidRDefault="00D40151" w:rsidP="00D40151">
      <w:pPr>
        <w:pStyle w:val="B1"/>
      </w:pPr>
      <w:r w:rsidRPr="00873B6C">
        <w:t>-</w:t>
      </w:r>
      <w:r w:rsidRPr="00873B6C">
        <w:tab/>
        <w:t>Select N6 interface(s) for a PDU Session.</w:t>
      </w:r>
    </w:p>
    <w:p w14:paraId="707A3B65" w14:textId="77777777" w:rsidR="00D40151" w:rsidRPr="00873B6C" w:rsidRDefault="00D40151" w:rsidP="00D40151">
      <w:pPr>
        <w:pStyle w:val="B1"/>
      </w:pPr>
      <w:r w:rsidRPr="00873B6C">
        <w:t>-</w:t>
      </w:r>
      <w:r w:rsidRPr="00873B6C">
        <w:tab/>
        <w:t>Determine policies to apply to this PDU Session.</w:t>
      </w:r>
    </w:p>
    <w:p w14:paraId="1C457C51" w14:textId="4EE7F0E5" w:rsidR="00D40151" w:rsidRPr="00873B6C" w:rsidRDefault="00D40151" w:rsidP="00D40151">
      <w:r w:rsidRPr="00873B6C">
        <w:t xml:space="preserve">The wildcard DNN is a value that can be used for the DNN field of Subscribed DNN list of Session Management Subscription data defined in clause 5.2.3.3 of </w:t>
      </w:r>
      <w:r w:rsidR="00972E70" w:rsidRPr="00873B6C">
        <w:t>TS 23.502 [</w:t>
      </w:r>
      <w:r w:rsidRPr="00873B6C">
        <w:t>3].</w:t>
      </w:r>
    </w:p>
    <w:p w14:paraId="30BEF52F" w14:textId="77777777" w:rsidR="00D40151" w:rsidRPr="00873B6C" w:rsidRDefault="00D40151" w:rsidP="00D40151">
      <w:r w:rsidRPr="00873B6C">
        <w:t>The wildcard DNN can be used with an S-NSSAI for operator to allow the subscriber to access any Data Network supported within the Network Slice associated with the S-NSSAI.</w:t>
      </w:r>
    </w:p>
    <w:p w14:paraId="28D0EA09" w14:textId="77777777" w:rsidR="00D40151" w:rsidRPr="00873B6C" w:rsidRDefault="00D40151" w:rsidP="00D40151">
      <w:pPr>
        <w:pStyle w:val="Heading3"/>
      </w:pPr>
      <w:bookmarkStart w:id="2415" w:name="_CR5_9_7"/>
      <w:bookmarkStart w:id="2416" w:name="_Toc20149888"/>
      <w:bookmarkStart w:id="2417" w:name="_Toc27846687"/>
      <w:bookmarkStart w:id="2418" w:name="_Toc36187818"/>
      <w:bookmarkStart w:id="2419" w:name="_Toc45183722"/>
      <w:bookmarkStart w:id="2420" w:name="_Toc47342564"/>
      <w:bookmarkStart w:id="2421" w:name="_Toc51769265"/>
      <w:bookmarkStart w:id="2422" w:name="_Toc201157238"/>
      <w:bookmarkEnd w:id="2415"/>
      <w:r w:rsidRPr="00873B6C">
        <w:t>5.9.7</w:t>
      </w:r>
      <w:r w:rsidRPr="00873B6C">
        <w:tab/>
        <w:t>Internal-Group Identifier</w:t>
      </w:r>
      <w:bookmarkEnd w:id="2416"/>
      <w:bookmarkEnd w:id="2417"/>
      <w:bookmarkEnd w:id="2418"/>
      <w:bookmarkEnd w:id="2419"/>
      <w:bookmarkEnd w:id="2420"/>
      <w:bookmarkEnd w:id="2421"/>
      <w:bookmarkEnd w:id="2422"/>
    </w:p>
    <w:p w14:paraId="71AF2C90" w14:textId="77777777" w:rsidR="00D40151" w:rsidRPr="00873B6C" w:rsidRDefault="00D40151" w:rsidP="00D40151">
      <w:r w:rsidRPr="00873B6C">
        <w:t>The subscription data for an UE in UDR may associate the subscriber with groups. A group is identified by an Internal-Group Identifier.</w:t>
      </w:r>
    </w:p>
    <w:p w14:paraId="684D9396" w14:textId="77777777" w:rsidR="00D40151" w:rsidRPr="00873B6C" w:rsidRDefault="00D40151" w:rsidP="00D40151">
      <w:pPr>
        <w:pStyle w:val="NO"/>
      </w:pPr>
      <w:r w:rsidRPr="00873B6C">
        <w:t>NOTE 1:</w:t>
      </w:r>
      <w:r w:rsidRPr="00873B6C">
        <w:tab/>
        <w:t>A UE can belong to a limited number of groups, the exact number is defined in stage 3 specifications.</w:t>
      </w:r>
    </w:p>
    <w:p w14:paraId="0323C454" w14:textId="77777777" w:rsidR="00D40151" w:rsidRPr="00873B6C" w:rsidRDefault="00D40151" w:rsidP="00D40151">
      <w:pPr>
        <w:pStyle w:val="NO"/>
      </w:pPr>
      <w:r w:rsidRPr="00873B6C">
        <w:t>NOTE 2:</w:t>
      </w:r>
      <w:r w:rsidRPr="00873B6C">
        <w:tab/>
        <w:t>In this Release of the specification, the support of groups is only defined in non-roaming case.</w:t>
      </w:r>
    </w:p>
    <w:p w14:paraId="0E2F6E09" w14:textId="77777777" w:rsidR="00D40151" w:rsidRPr="00873B6C" w:rsidRDefault="00D40151" w:rsidP="00D40151">
      <w:r w:rsidRPr="00873B6C">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873B6C" w:rsidRDefault="00D40151" w:rsidP="00D40151">
      <w:r w:rsidRPr="00873B6C">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873B6C" w:rsidRDefault="00D40151" w:rsidP="00D40151">
      <w:pPr>
        <w:pStyle w:val="Heading3"/>
      </w:pPr>
      <w:bookmarkStart w:id="2423" w:name="_CR5_9_8"/>
      <w:bookmarkStart w:id="2424" w:name="_Toc20149889"/>
      <w:bookmarkStart w:id="2425" w:name="_Toc27846688"/>
      <w:bookmarkStart w:id="2426" w:name="_Toc36187819"/>
      <w:bookmarkStart w:id="2427" w:name="_Toc45183723"/>
      <w:bookmarkStart w:id="2428" w:name="_Toc47342565"/>
      <w:bookmarkStart w:id="2429" w:name="_Toc51769266"/>
      <w:bookmarkStart w:id="2430" w:name="_Toc201157239"/>
      <w:bookmarkEnd w:id="2423"/>
      <w:r w:rsidRPr="00873B6C">
        <w:t>5.9.8</w:t>
      </w:r>
      <w:r w:rsidRPr="00873B6C">
        <w:tab/>
        <w:t>Generic Public Subscription Identifier</w:t>
      </w:r>
      <w:bookmarkEnd w:id="2424"/>
      <w:bookmarkEnd w:id="2425"/>
      <w:bookmarkEnd w:id="2426"/>
      <w:bookmarkEnd w:id="2427"/>
      <w:bookmarkEnd w:id="2428"/>
      <w:bookmarkEnd w:id="2429"/>
      <w:bookmarkEnd w:id="2430"/>
    </w:p>
    <w:p w14:paraId="3CD6DEAB" w14:textId="77777777" w:rsidR="00D40151" w:rsidRPr="00873B6C" w:rsidRDefault="00D40151" w:rsidP="00D40151">
      <w:r w:rsidRPr="00873B6C">
        <w:t>Generic Public Subscription Identifier (GPSI) is needed</w:t>
      </w:r>
      <w:r w:rsidRPr="00873B6C">
        <w:rPr>
          <w:lang w:eastAsia="zh-CN"/>
        </w:rPr>
        <w:t xml:space="preserve"> for a</w:t>
      </w:r>
      <w:r w:rsidRPr="00873B6C">
        <w:t xml:space="preserve">ddressing a 3GPP subscription </w:t>
      </w:r>
      <w:r w:rsidRPr="00873B6C">
        <w:rPr>
          <w:lang w:eastAsia="zh-CN"/>
        </w:rPr>
        <w:t xml:space="preserve">in different data networks </w:t>
      </w:r>
      <w:r w:rsidRPr="00873B6C">
        <w:t>outside of the 3GPP system. The 3GPP system stores within the subscription data the association between the GPSI and the corresponding SUPI.</w:t>
      </w:r>
    </w:p>
    <w:p w14:paraId="1A2927E8" w14:textId="77777777" w:rsidR="00D40151" w:rsidRPr="00873B6C" w:rsidRDefault="00D40151" w:rsidP="00D40151">
      <w:r w:rsidRPr="00873B6C">
        <w:rPr>
          <w:iCs/>
        </w:rPr>
        <w:t xml:space="preserve">GPSIs are </w:t>
      </w:r>
      <w:r w:rsidRPr="00873B6C">
        <w:rPr>
          <w:iCs/>
          <w:lang w:eastAsia="zh-CN"/>
        </w:rPr>
        <w:t xml:space="preserve">public </w:t>
      </w:r>
      <w:r w:rsidRPr="00873B6C">
        <w:rPr>
          <w:iCs/>
        </w:rPr>
        <w:t>identifiers used both inside and outside of the 3GPP system.</w:t>
      </w:r>
    </w:p>
    <w:p w14:paraId="37ECA455" w14:textId="470A0960" w:rsidR="00D40151" w:rsidRPr="00873B6C" w:rsidRDefault="00D40151" w:rsidP="00D40151">
      <w:pPr>
        <w:rPr>
          <w:lang w:eastAsia="zh-CN"/>
        </w:rPr>
      </w:pPr>
      <w:r w:rsidRPr="00873B6C">
        <w:t xml:space="preserve">The GPSI is either an MSISDN or an External Identifier, see </w:t>
      </w:r>
      <w:r w:rsidR="00972E70" w:rsidRPr="00873B6C">
        <w:t>TS 23.003 [</w:t>
      </w:r>
      <w:r w:rsidRPr="00873B6C">
        <w:t xml:space="preserve">19]. If MSISDN is included in the subscription data, </w:t>
      </w:r>
      <w:r w:rsidRPr="00873B6C">
        <w:rPr>
          <w:lang w:eastAsia="zh-CN"/>
        </w:rPr>
        <w:t xml:space="preserve">it shall be possible that </w:t>
      </w:r>
      <w:r w:rsidRPr="00873B6C">
        <w:t xml:space="preserve">the same MSISDN value </w:t>
      </w:r>
      <w:r w:rsidRPr="00873B6C">
        <w:rPr>
          <w:lang w:eastAsia="zh-CN"/>
        </w:rPr>
        <w:t xml:space="preserve">is </w:t>
      </w:r>
      <w:r w:rsidRPr="00873B6C">
        <w:t xml:space="preserve">supported in </w:t>
      </w:r>
      <w:r w:rsidRPr="00873B6C">
        <w:rPr>
          <w:lang w:eastAsia="zh-CN"/>
        </w:rPr>
        <w:t xml:space="preserve">both </w:t>
      </w:r>
      <w:r w:rsidRPr="00873B6C">
        <w:t>5GS and EPS</w:t>
      </w:r>
      <w:r w:rsidRPr="00873B6C">
        <w:rPr>
          <w:lang w:eastAsia="zh-CN"/>
        </w:rPr>
        <w:t>.</w:t>
      </w:r>
    </w:p>
    <w:p w14:paraId="0C691B70" w14:textId="77777777" w:rsidR="00D40151" w:rsidRPr="00873B6C" w:rsidRDefault="00D40151" w:rsidP="00D40151">
      <w:pPr>
        <w:pStyle w:val="NO"/>
        <w:rPr>
          <w:lang w:eastAsia="zh-CN"/>
        </w:rPr>
      </w:pPr>
      <w:r w:rsidRPr="00873B6C">
        <w:rPr>
          <w:lang w:eastAsia="zh-CN"/>
        </w:rPr>
        <w:t>NOTE:</w:t>
      </w:r>
      <w:r w:rsidRPr="00873B6C">
        <w:rPr>
          <w:lang w:eastAsia="zh-CN"/>
        </w:rPr>
        <w:tab/>
        <w:t>There is no implied 1-to-1 relationship between GPSI and SUPI.</w:t>
      </w:r>
    </w:p>
    <w:p w14:paraId="374E40E6" w14:textId="77777777" w:rsidR="00D40151" w:rsidRPr="00873B6C" w:rsidRDefault="00D40151" w:rsidP="00D40151">
      <w:pPr>
        <w:pStyle w:val="Heading3"/>
      </w:pPr>
      <w:bookmarkStart w:id="2431" w:name="_CR5_9_9"/>
      <w:bookmarkStart w:id="2432" w:name="_Toc20149890"/>
      <w:bookmarkStart w:id="2433" w:name="_Toc27846689"/>
      <w:bookmarkStart w:id="2434" w:name="_Toc36187820"/>
      <w:bookmarkStart w:id="2435" w:name="_Toc45183724"/>
      <w:bookmarkStart w:id="2436" w:name="_Toc47342566"/>
      <w:bookmarkStart w:id="2437" w:name="_Toc51769267"/>
      <w:bookmarkStart w:id="2438" w:name="_Toc201157240"/>
      <w:bookmarkEnd w:id="2431"/>
      <w:r w:rsidRPr="00873B6C">
        <w:t>5.9.9</w:t>
      </w:r>
      <w:r w:rsidRPr="00873B6C">
        <w:tab/>
        <w:t>AMF UE NGAP ID</w:t>
      </w:r>
      <w:bookmarkEnd w:id="2432"/>
      <w:bookmarkEnd w:id="2433"/>
      <w:bookmarkEnd w:id="2434"/>
      <w:bookmarkEnd w:id="2435"/>
      <w:bookmarkEnd w:id="2436"/>
      <w:bookmarkEnd w:id="2437"/>
      <w:bookmarkEnd w:id="2438"/>
    </w:p>
    <w:p w14:paraId="501C8DA6" w14:textId="77777777" w:rsidR="00D40151" w:rsidRPr="00873B6C" w:rsidRDefault="00D40151" w:rsidP="00D40151">
      <w:r w:rsidRPr="00873B6C">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873B6C" w:rsidRDefault="00D40151" w:rsidP="00D40151">
      <w:pPr>
        <w:pStyle w:val="Heading3"/>
      </w:pPr>
      <w:bookmarkStart w:id="2439" w:name="_CR5_9_10"/>
      <w:bookmarkStart w:id="2440" w:name="_Toc20149891"/>
      <w:bookmarkStart w:id="2441" w:name="_Toc27846690"/>
      <w:bookmarkStart w:id="2442" w:name="_Toc36187821"/>
      <w:bookmarkStart w:id="2443" w:name="_Toc45183725"/>
      <w:bookmarkStart w:id="2444" w:name="_Toc47342567"/>
      <w:bookmarkStart w:id="2445" w:name="_Toc51769268"/>
      <w:bookmarkStart w:id="2446" w:name="_Toc201157241"/>
      <w:bookmarkEnd w:id="2439"/>
      <w:r w:rsidRPr="00873B6C">
        <w:lastRenderedPageBreak/>
        <w:t>5.9.10</w:t>
      </w:r>
      <w:r w:rsidRPr="00873B6C">
        <w:tab/>
        <w:t>UE Radio Capability ID</w:t>
      </w:r>
      <w:bookmarkEnd w:id="2440"/>
      <w:bookmarkEnd w:id="2441"/>
      <w:bookmarkEnd w:id="2442"/>
      <w:bookmarkEnd w:id="2443"/>
      <w:bookmarkEnd w:id="2444"/>
      <w:bookmarkEnd w:id="2445"/>
      <w:bookmarkEnd w:id="2446"/>
    </w:p>
    <w:p w14:paraId="3D3497A4" w14:textId="274C6F06" w:rsidR="00D40151" w:rsidRPr="00873B6C" w:rsidRDefault="00D40151" w:rsidP="00D40151">
      <w:r w:rsidRPr="00873B6C">
        <w:t xml:space="preserve">The UE Radio Capability ID is a short pointer with format defined in </w:t>
      </w:r>
      <w:r w:rsidR="00972E70" w:rsidRPr="00873B6C">
        <w:t>TS 23.003 [</w:t>
      </w:r>
      <w:r w:rsidRPr="00873B6C">
        <w:t xml:space="preserve">19] that is used to uniquely identify a set of UE </w:t>
      </w:r>
      <w:r w:rsidR="008A60FE" w:rsidRPr="00873B6C">
        <w:t>R</w:t>
      </w:r>
      <w:r w:rsidRPr="00873B6C">
        <w:t xml:space="preserve">adio </w:t>
      </w:r>
      <w:r w:rsidR="008A60FE" w:rsidRPr="00873B6C">
        <w:t>C</w:t>
      </w:r>
      <w:r w:rsidRPr="00873B6C">
        <w:t>apabilities</w:t>
      </w:r>
      <w:r w:rsidR="008A60FE" w:rsidRPr="00873B6C">
        <w:t xml:space="preserve"> (excluding UTRAN and NB-IoT capabilities)</w:t>
      </w:r>
      <w:r w:rsidRPr="00873B6C">
        <w:t>. The UE Radio Capability ID is assigned either by the serving PLMN or by the UE manufacturer, as follows:</w:t>
      </w:r>
    </w:p>
    <w:p w14:paraId="25AA5083" w14:textId="4349D5D9" w:rsidR="00D40151" w:rsidRPr="00873B6C" w:rsidRDefault="00D40151" w:rsidP="00D40151">
      <w:pPr>
        <w:pStyle w:val="B1"/>
      </w:pPr>
      <w:r w:rsidRPr="00873B6C">
        <w:t>-</w:t>
      </w:r>
      <w:r w:rsidRPr="00873B6C">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873B6C">
        <w:t xml:space="preserve"> and the UE Radio Capability for Paging</w:t>
      </w:r>
      <w:r w:rsidRPr="00873B6C">
        <w:t xml:space="preserve"> for a UE by this manufacturer in any PLMN.</w:t>
      </w:r>
    </w:p>
    <w:p w14:paraId="11DF7494" w14:textId="721A5191" w:rsidR="00D40151" w:rsidRPr="00873B6C" w:rsidRDefault="00D40151" w:rsidP="00D40151">
      <w:pPr>
        <w:pStyle w:val="B1"/>
      </w:pPr>
      <w:r w:rsidRPr="00873B6C">
        <w:t>-</w:t>
      </w:r>
      <w:r w:rsidRPr="00873B6C">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873B6C">
        <w:t xml:space="preserve"> and and the UE Radio Capability for Paging(s)</w:t>
      </w:r>
      <w:r w:rsidRPr="00873B6C">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873B6C" w:rsidRDefault="00D40151" w:rsidP="00D40151">
      <w:pPr>
        <w:pStyle w:val="NO"/>
      </w:pPr>
      <w:r w:rsidRPr="00873B6C">
        <w:t>NOTE:</w:t>
      </w:r>
      <w:r w:rsidRPr="00873B6C">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873B6C" w:rsidRDefault="00D40151" w:rsidP="00D40151">
      <w:r w:rsidRPr="00873B6C">
        <w:t>The type of UE Radio Capability ID (UE manufacturer-assigned or PLMN-assigned) is distinguished when a UE Radio Capability ID is signalled.</w:t>
      </w:r>
    </w:p>
    <w:p w14:paraId="7A3756E7" w14:textId="77777777" w:rsidR="00D40151" w:rsidRPr="00873B6C" w:rsidRDefault="00D40151" w:rsidP="00D40151">
      <w:pPr>
        <w:pStyle w:val="Heading2"/>
      </w:pPr>
      <w:bookmarkStart w:id="2447" w:name="_CR5_10"/>
      <w:bookmarkStart w:id="2448" w:name="_Toc20149892"/>
      <w:bookmarkStart w:id="2449" w:name="_Toc27846691"/>
      <w:bookmarkStart w:id="2450" w:name="_Toc36187822"/>
      <w:bookmarkStart w:id="2451" w:name="_Toc45183726"/>
      <w:bookmarkStart w:id="2452" w:name="_Toc47342568"/>
      <w:bookmarkStart w:id="2453" w:name="_Toc51769269"/>
      <w:bookmarkStart w:id="2454" w:name="_Toc201157242"/>
      <w:bookmarkEnd w:id="2447"/>
      <w:r w:rsidRPr="00873B6C">
        <w:t>5.10</w:t>
      </w:r>
      <w:r w:rsidRPr="00873B6C">
        <w:tab/>
        <w:t>Security aspects</w:t>
      </w:r>
      <w:bookmarkEnd w:id="2448"/>
      <w:bookmarkEnd w:id="2449"/>
      <w:bookmarkEnd w:id="2450"/>
      <w:bookmarkEnd w:id="2451"/>
      <w:bookmarkEnd w:id="2452"/>
      <w:bookmarkEnd w:id="2453"/>
      <w:bookmarkEnd w:id="2454"/>
    </w:p>
    <w:p w14:paraId="380DCDF6" w14:textId="77777777" w:rsidR="00D40151" w:rsidRPr="00873B6C" w:rsidRDefault="00D40151" w:rsidP="00D40151">
      <w:pPr>
        <w:pStyle w:val="Heading3"/>
        <w:rPr>
          <w:lang w:eastAsia="zh-CN"/>
        </w:rPr>
      </w:pPr>
      <w:bookmarkStart w:id="2455" w:name="_CR5_10_1"/>
      <w:bookmarkStart w:id="2456" w:name="_Toc20149893"/>
      <w:bookmarkStart w:id="2457" w:name="_Toc27846692"/>
      <w:bookmarkStart w:id="2458" w:name="_Toc36187823"/>
      <w:bookmarkStart w:id="2459" w:name="_Toc45183727"/>
      <w:bookmarkStart w:id="2460" w:name="_Toc47342569"/>
      <w:bookmarkStart w:id="2461" w:name="_Toc51769270"/>
      <w:bookmarkStart w:id="2462" w:name="_Toc201157243"/>
      <w:bookmarkEnd w:id="2455"/>
      <w:r w:rsidRPr="00873B6C">
        <w:rPr>
          <w:lang w:eastAsia="zh-CN"/>
        </w:rPr>
        <w:t>5.10.1</w:t>
      </w:r>
      <w:r w:rsidRPr="00873B6C">
        <w:rPr>
          <w:lang w:eastAsia="zh-CN"/>
        </w:rPr>
        <w:tab/>
        <w:t>General</w:t>
      </w:r>
      <w:bookmarkEnd w:id="2456"/>
      <w:bookmarkEnd w:id="2457"/>
      <w:bookmarkEnd w:id="2458"/>
      <w:bookmarkEnd w:id="2459"/>
      <w:bookmarkEnd w:id="2460"/>
      <w:bookmarkEnd w:id="2461"/>
      <w:bookmarkEnd w:id="2462"/>
    </w:p>
    <w:p w14:paraId="04A31B88" w14:textId="77777777" w:rsidR="00D40151" w:rsidRPr="00873B6C" w:rsidRDefault="00D40151" w:rsidP="00D40151">
      <w:r w:rsidRPr="00873B6C">
        <w:t>The security features in the 5G System include:</w:t>
      </w:r>
    </w:p>
    <w:p w14:paraId="0063D6A0" w14:textId="77777777" w:rsidR="00D40151" w:rsidRPr="00873B6C" w:rsidRDefault="00D40151" w:rsidP="00D40151">
      <w:pPr>
        <w:pStyle w:val="B1"/>
      </w:pPr>
      <w:r w:rsidRPr="00873B6C">
        <w:t>-</w:t>
      </w:r>
      <w:r w:rsidRPr="00873B6C">
        <w:tab/>
        <w:t>Authentication of the UE by the network and vice versa (mutual authentication between UE and network).</w:t>
      </w:r>
    </w:p>
    <w:p w14:paraId="112D5DAB" w14:textId="77777777" w:rsidR="00D40151" w:rsidRPr="00873B6C" w:rsidRDefault="00D40151" w:rsidP="00D40151">
      <w:pPr>
        <w:pStyle w:val="B1"/>
      </w:pPr>
      <w:r w:rsidRPr="00873B6C">
        <w:t>-</w:t>
      </w:r>
      <w:r w:rsidRPr="00873B6C">
        <w:tab/>
        <w:t>Security context generation and distribution.</w:t>
      </w:r>
    </w:p>
    <w:p w14:paraId="146F1CAD" w14:textId="77777777" w:rsidR="00D40151" w:rsidRPr="00873B6C" w:rsidRDefault="00D40151" w:rsidP="00D40151">
      <w:pPr>
        <w:pStyle w:val="B1"/>
      </w:pPr>
      <w:r w:rsidRPr="00873B6C">
        <w:t>-</w:t>
      </w:r>
      <w:r w:rsidRPr="00873B6C">
        <w:tab/>
        <w:t>User Plane data confidentiality and integrity protection.</w:t>
      </w:r>
    </w:p>
    <w:p w14:paraId="05ABD97F" w14:textId="77777777" w:rsidR="00D40151" w:rsidRPr="00873B6C" w:rsidRDefault="00D40151" w:rsidP="00D40151">
      <w:pPr>
        <w:pStyle w:val="B1"/>
      </w:pPr>
      <w:r w:rsidRPr="00873B6C">
        <w:t>-</w:t>
      </w:r>
      <w:r w:rsidRPr="00873B6C">
        <w:tab/>
        <w:t>Control Plane signalling confidentiality and integrity protection.</w:t>
      </w:r>
    </w:p>
    <w:p w14:paraId="2CC38F19" w14:textId="77777777" w:rsidR="00D40151" w:rsidRPr="00873B6C" w:rsidRDefault="00D40151" w:rsidP="00D40151">
      <w:pPr>
        <w:pStyle w:val="B1"/>
      </w:pPr>
      <w:r w:rsidRPr="00873B6C">
        <w:t>-</w:t>
      </w:r>
      <w:r w:rsidRPr="00873B6C">
        <w:tab/>
        <w:t>User identity confidentiality.</w:t>
      </w:r>
    </w:p>
    <w:p w14:paraId="65557353" w14:textId="671E98B4" w:rsidR="00D40151" w:rsidRPr="00873B6C" w:rsidRDefault="00D40151" w:rsidP="00D40151">
      <w:pPr>
        <w:pStyle w:val="B1"/>
      </w:pPr>
      <w:r w:rsidRPr="00873B6C">
        <w:t>-</w:t>
      </w:r>
      <w:r w:rsidRPr="00873B6C">
        <w:tab/>
        <w:t xml:space="preserve">Support of LI requirements as specified in </w:t>
      </w:r>
      <w:r w:rsidR="00972E70" w:rsidRPr="00873B6C">
        <w:t>TS 33.126 [</w:t>
      </w:r>
      <w:r w:rsidRPr="00873B6C">
        <w:t>35] subject to regional/national regulatory requirements, including protection of LI data (e.</w:t>
      </w:r>
      <w:r w:rsidR="000E35F2" w:rsidRPr="00873B6C">
        <w:t>g.</w:t>
      </w:r>
      <w:r w:rsidRPr="00873B6C">
        <w:t xml:space="preserve"> target list) that may be stored or transferred by an NF.</w:t>
      </w:r>
    </w:p>
    <w:p w14:paraId="1A3620E1" w14:textId="6493734E" w:rsidR="00D40151" w:rsidRPr="00873B6C" w:rsidRDefault="00D40151" w:rsidP="00D40151">
      <w:pPr>
        <w:rPr>
          <w:lang w:eastAsia="zh-CN"/>
        </w:rPr>
      </w:pPr>
      <w:r w:rsidRPr="00873B6C">
        <w:t xml:space="preserve">Detailed security related network functions for 5G are described in </w:t>
      </w:r>
      <w:r w:rsidR="00972E70" w:rsidRPr="00873B6C">
        <w:t>TS 33.501 [</w:t>
      </w:r>
      <w:r w:rsidRPr="00873B6C">
        <w:t>29].</w:t>
      </w:r>
    </w:p>
    <w:p w14:paraId="29981688" w14:textId="77777777" w:rsidR="00D40151" w:rsidRPr="00873B6C" w:rsidRDefault="00D40151" w:rsidP="00D40151">
      <w:pPr>
        <w:pStyle w:val="Heading3"/>
        <w:rPr>
          <w:lang w:eastAsia="zh-CN"/>
        </w:rPr>
      </w:pPr>
      <w:bookmarkStart w:id="2463" w:name="_CR5_10_2"/>
      <w:bookmarkStart w:id="2464" w:name="_Toc20149894"/>
      <w:bookmarkStart w:id="2465" w:name="_Toc27846693"/>
      <w:bookmarkStart w:id="2466" w:name="_Toc36187824"/>
      <w:bookmarkStart w:id="2467" w:name="_Toc45183728"/>
      <w:bookmarkStart w:id="2468" w:name="_Toc47342570"/>
      <w:bookmarkStart w:id="2469" w:name="_Toc51769271"/>
      <w:bookmarkStart w:id="2470" w:name="_Toc201157244"/>
      <w:bookmarkEnd w:id="2463"/>
      <w:r w:rsidRPr="00873B6C">
        <w:rPr>
          <w:lang w:eastAsia="zh-CN"/>
        </w:rPr>
        <w:t>5.10.2</w:t>
      </w:r>
      <w:r w:rsidRPr="00873B6C">
        <w:rPr>
          <w:lang w:eastAsia="zh-CN"/>
        </w:rPr>
        <w:tab/>
        <w:t>Security Model for non-3GPP access</w:t>
      </w:r>
      <w:bookmarkEnd w:id="2464"/>
      <w:bookmarkEnd w:id="2465"/>
      <w:bookmarkEnd w:id="2466"/>
      <w:bookmarkEnd w:id="2467"/>
      <w:bookmarkEnd w:id="2468"/>
      <w:bookmarkEnd w:id="2469"/>
      <w:bookmarkEnd w:id="2470"/>
    </w:p>
    <w:p w14:paraId="4AA51B20" w14:textId="77777777" w:rsidR="00D40151" w:rsidRPr="00873B6C" w:rsidRDefault="00D40151" w:rsidP="00D40151">
      <w:pPr>
        <w:pStyle w:val="Heading4"/>
      </w:pPr>
      <w:bookmarkStart w:id="2471" w:name="_CR5_10_2_1"/>
      <w:bookmarkStart w:id="2472" w:name="_Toc20149895"/>
      <w:bookmarkStart w:id="2473" w:name="_Toc27846694"/>
      <w:bookmarkStart w:id="2474" w:name="_Toc36187825"/>
      <w:bookmarkStart w:id="2475" w:name="_Toc45183729"/>
      <w:bookmarkStart w:id="2476" w:name="_Toc47342571"/>
      <w:bookmarkStart w:id="2477" w:name="_Toc51769272"/>
      <w:bookmarkStart w:id="2478" w:name="_Toc201157245"/>
      <w:bookmarkEnd w:id="2471"/>
      <w:r w:rsidRPr="00873B6C">
        <w:t>5.10.2.1</w:t>
      </w:r>
      <w:r w:rsidRPr="00873B6C">
        <w:tab/>
        <w:t>Signalling Security</w:t>
      </w:r>
      <w:bookmarkEnd w:id="2472"/>
      <w:bookmarkEnd w:id="2473"/>
      <w:bookmarkEnd w:id="2474"/>
      <w:bookmarkEnd w:id="2475"/>
      <w:bookmarkEnd w:id="2476"/>
      <w:bookmarkEnd w:id="2477"/>
      <w:bookmarkEnd w:id="2478"/>
    </w:p>
    <w:p w14:paraId="3B0E6B8C" w14:textId="77777777" w:rsidR="00D40151" w:rsidRPr="00873B6C" w:rsidRDefault="00D40151" w:rsidP="00D40151">
      <w:pPr>
        <w:rPr>
          <w:lang w:eastAsia="ko-KR"/>
        </w:rPr>
      </w:pPr>
      <w:r w:rsidRPr="00873B6C">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873B6C" w:rsidRDefault="00D40151" w:rsidP="00D40151">
      <w:pPr>
        <w:pStyle w:val="Heading3"/>
      </w:pPr>
      <w:bookmarkStart w:id="2479" w:name="_CR5_10_3"/>
      <w:bookmarkStart w:id="2480" w:name="_Toc20149896"/>
      <w:bookmarkStart w:id="2481" w:name="_Toc27846695"/>
      <w:bookmarkStart w:id="2482" w:name="_Toc36187826"/>
      <w:bookmarkStart w:id="2483" w:name="_Toc45183730"/>
      <w:bookmarkStart w:id="2484" w:name="_Toc47342572"/>
      <w:bookmarkStart w:id="2485" w:name="_Toc51769273"/>
      <w:bookmarkStart w:id="2486" w:name="_Toc201157246"/>
      <w:bookmarkEnd w:id="2479"/>
      <w:r w:rsidRPr="00873B6C">
        <w:lastRenderedPageBreak/>
        <w:t>5.10.3</w:t>
      </w:r>
      <w:r w:rsidRPr="00873B6C">
        <w:tab/>
        <w:t>PDU Session User Plane Security</w:t>
      </w:r>
      <w:bookmarkEnd w:id="2480"/>
      <w:bookmarkEnd w:id="2481"/>
      <w:bookmarkEnd w:id="2482"/>
      <w:bookmarkEnd w:id="2483"/>
      <w:bookmarkEnd w:id="2484"/>
      <w:bookmarkEnd w:id="2485"/>
      <w:bookmarkEnd w:id="2486"/>
    </w:p>
    <w:p w14:paraId="5537A051" w14:textId="77777777" w:rsidR="00D40151" w:rsidRPr="00873B6C" w:rsidRDefault="00D40151" w:rsidP="00D40151">
      <w:r w:rsidRPr="00873B6C">
        <w:t>The User Plane Security Enforcement information provides the NG-RAN with User Plane security policies for a PDU session. It indicates:</w:t>
      </w:r>
    </w:p>
    <w:p w14:paraId="520E31CB" w14:textId="77777777" w:rsidR="00D40151" w:rsidRPr="00873B6C" w:rsidRDefault="00D40151" w:rsidP="00D40151">
      <w:pPr>
        <w:pStyle w:val="B1"/>
      </w:pPr>
      <w:r w:rsidRPr="00873B6C">
        <w:t>-</w:t>
      </w:r>
      <w:r w:rsidRPr="00873B6C">
        <w:tab/>
        <w:t>whether UP integrity protection is:</w:t>
      </w:r>
    </w:p>
    <w:p w14:paraId="059927F2" w14:textId="77777777" w:rsidR="00D40151" w:rsidRPr="00873B6C" w:rsidRDefault="00D40151" w:rsidP="00D40151">
      <w:pPr>
        <w:pStyle w:val="B2"/>
      </w:pPr>
      <w:r w:rsidRPr="00873B6C">
        <w:t>-</w:t>
      </w:r>
      <w:r w:rsidRPr="00873B6C">
        <w:tab/>
        <w:t>Required: for all the traffic on the PDU Session UP integrity protection shall apply.</w:t>
      </w:r>
    </w:p>
    <w:p w14:paraId="5F9E114E" w14:textId="77777777" w:rsidR="00D40151" w:rsidRPr="00873B6C" w:rsidRDefault="00D40151" w:rsidP="00D40151">
      <w:pPr>
        <w:pStyle w:val="B2"/>
      </w:pPr>
      <w:r w:rsidRPr="00873B6C">
        <w:t>-</w:t>
      </w:r>
      <w:r w:rsidRPr="00873B6C">
        <w:tab/>
        <w:t>Preferred: for all the traffic on the PDU Session UP integrity protection should apply.</w:t>
      </w:r>
    </w:p>
    <w:p w14:paraId="4E0AC57C" w14:textId="77777777" w:rsidR="00D40151" w:rsidRPr="00873B6C" w:rsidRDefault="00D40151" w:rsidP="00D40151">
      <w:pPr>
        <w:pStyle w:val="B2"/>
      </w:pPr>
      <w:r w:rsidRPr="00873B6C">
        <w:t>-</w:t>
      </w:r>
      <w:r w:rsidRPr="00873B6C">
        <w:tab/>
        <w:t>Not Needed: UP integrity protection shall not apply on the PDU Session.</w:t>
      </w:r>
    </w:p>
    <w:p w14:paraId="0E471252" w14:textId="77777777" w:rsidR="00D40151" w:rsidRPr="00873B6C" w:rsidRDefault="00D40151" w:rsidP="00D40151">
      <w:pPr>
        <w:pStyle w:val="B1"/>
      </w:pPr>
      <w:r w:rsidRPr="00873B6C">
        <w:t>-</w:t>
      </w:r>
      <w:r w:rsidRPr="00873B6C">
        <w:tab/>
        <w:t>whether UP confidentiality protection is:</w:t>
      </w:r>
    </w:p>
    <w:p w14:paraId="57969952" w14:textId="77777777" w:rsidR="00D40151" w:rsidRPr="00873B6C" w:rsidRDefault="00D40151" w:rsidP="00D40151">
      <w:pPr>
        <w:pStyle w:val="B2"/>
      </w:pPr>
      <w:r w:rsidRPr="00873B6C">
        <w:t>-</w:t>
      </w:r>
      <w:r w:rsidRPr="00873B6C">
        <w:tab/>
        <w:t>Required: for all the traffic on the PDU Session UP confidentiality protection shall apply.</w:t>
      </w:r>
    </w:p>
    <w:p w14:paraId="4784CE35" w14:textId="77777777" w:rsidR="00D40151" w:rsidRPr="00873B6C" w:rsidRDefault="00D40151" w:rsidP="00D40151">
      <w:pPr>
        <w:pStyle w:val="B2"/>
      </w:pPr>
      <w:r w:rsidRPr="00873B6C">
        <w:t>-</w:t>
      </w:r>
      <w:r w:rsidRPr="00873B6C">
        <w:tab/>
        <w:t>Preferred: for all the traffic on the PDU Session UP confidentiality protection should apply.</w:t>
      </w:r>
    </w:p>
    <w:p w14:paraId="4CE7A4EA" w14:textId="77777777" w:rsidR="00D40151" w:rsidRPr="00873B6C" w:rsidRDefault="00D40151" w:rsidP="00D40151">
      <w:pPr>
        <w:pStyle w:val="B2"/>
      </w:pPr>
      <w:r w:rsidRPr="00873B6C">
        <w:t>-</w:t>
      </w:r>
      <w:r w:rsidRPr="00873B6C">
        <w:tab/>
        <w:t>Not Needed: UP confidentiality shall not apply on the PDU Session.</w:t>
      </w:r>
    </w:p>
    <w:p w14:paraId="6DAE80CB" w14:textId="77777777" w:rsidR="00D40151" w:rsidRPr="00873B6C" w:rsidRDefault="00D40151" w:rsidP="00D40151">
      <w:r w:rsidRPr="00873B6C">
        <w:t>User Plane Security Enforcement information applies only over 3GPP access. Once determined at the establishment of the PDU Session the User Plane Security Enforcement information applies for the life time of the PDU Session.</w:t>
      </w:r>
    </w:p>
    <w:p w14:paraId="5A8FD924" w14:textId="05A79E95" w:rsidR="00D40151" w:rsidRPr="00873B6C" w:rsidRDefault="00D40151" w:rsidP="00D40151">
      <w:pPr>
        <w:pStyle w:val="NO"/>
      </w:pPr>
      <w:r w:rsidRPr="00873B6C">
        <w:t>NOTE</w:t>
      </w:r>
      <w:r w:rsidR="006E1B0F" w:rsidRPr="00873B6C">
        <w:t> 1</w:t>
      </w:r>
      <w:r w:rsidRPr="00873B6C">
        <w:t>:</w:t>
      </w:r>
      <w:r w:rsidRPr="00873B6C">
        <w:tab/>
        <w:t xml:space="preserve">Applicability of UP integrity protection of UP Security Enforcement is defined in </w:t>
      </w:r>
      <w:r w:rsidR="00972E70" w:rsidRPr="00873B6C">
        <w:t>TS 33.501 [</w:t>
      </w:r>
      <w:r w:rsidRPr="00873B6C">
        <w:t xml:space="preserve">29] and </w:t>
      </w:r>
      <w:r w:rsidR="00972E70" w:rsidRPr="00873B6C">
        <w:t>TS 38.300 [</w:t>
      </w:r>
      <w:r w:rsidRPr="00873B6C">
        <w:t>27].</w:t>
      </w:r>
    </w:p>
    <w:p w14:paraId="5B8A1B69" w14:textId="77777777" w:rsidR="00D40151" w:rsidRPr="00873B6C" w:rsidRDefault="00D40151" w:rsidP="00D40151">
      <w:r w:rsidRPr="00873B6C">
        <w:t>The SMF determines at PDU session establishment a User Plane Security Enforcement information for the user plane of a PDU session based on:</w:t>
      </w:r>
    </w:p>
    <w:p w14:paraId="5C4A631C" w14:textId="77777777" w:rsidR="00D40151" w:rsidRPr="00873B6C" w:rsidRDefault="00D40151" w:rsidP="00D40151">
      <w:pPr>
        <w:pStyle w:val="B1"/>
      </w:pPr>
      <w:r w:rsidRPr="00873B6C">
        <w:t>-</w:t>
      </w:r>
      <w:r w:rsidRPr="00873B6C">
        <w:tab/>
        <w:t>subscribed User Plane Security Policy which is part of SM subscription information received from UDM; and</w:t>
      </w:r>
    </w:p>
    <w:p w14:paraId="2CC90C74" w14:textId="77777777" w:rsidR="00D40151" w:rsidRPr="00873B6C" w:rsidRDefault="00D40151" w:rsidP="00D40151">
      <w:pPr>
        <w:pStyle w:val="B1"/>
      </w:pPr>
      <w:r w:rsidRPr="00873B6C">
        <w:t>-</w:t>
      </w:r>
      <w:r w:rsidRPr="00873B6C">
        <w:tab/>
        <w:t>User Plane Security Policy locally configured per (DNN, S-NSSAI) in the SMF that is used when the UDM does not provide User Plane Security Policy information.</w:t>
      </w:r>
    </w:p>
    <w:p w14:paraId="37EF8B78" w14:textId="05D7E506" w:rsidR="00D40151" w:rsidRPr="00873B6C" w:rsidRDefault="00D40151" w:rsidP="00D40151">
      <w:pPr>
        <w:pStyle w:val="B1"/>
      </w:pPr>
      <w:r w:rsidRPr="00873B6C">
        <w:t>-</w:t>
      </w:r>
      <w:r w:rsidRPr="00873B6C">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972E70" w:rsidRPr="00873B6C">
        <w:t>TS 24.501 [</w:t>
      </w:r>
      <w:r w:rsidRPr="00873B6C">
        <w:t>47].</w:t>
      </w:r>
      <w:r w:rsidR="000F5D21" w:rsidRPr="00873B6C">
        <w:t xml:space="preserve"> A UE not supporting NR as primary RAT and supporting E-UTRA</w:t>
      </w:r>
      <w:r w:rsidR="00F84AAF" w:rsidRPr="00873B6C">
        <w:t xml:space="preserve"> connected to 5GC</w:t>
      </w:r>
      <w:r w:rsidR="000F5D21" w:rsidRPr="00873B6C">
        <w:t xml:space="preserve">, shall set the Integrity protection maximum data rate IE for Uplink and Downlink to NULL at PDU Session Establishment as defined in </w:t>
      </w:r>
      <w:r w:rsidR="00972E70" w:rsidRPr="00873B6C">
        <w:t>TS 24.501 [</w:t>
      </w:r>
      <w:r w:rsidR="000F5D21" w:rsidRPr="00873B6C">
        <w:t>47].</w:t>
      </w:r>
    </w:p>
    <w:p w14:paraId="54FD640C" w14:textId="47894247" w:rsidR="00F84AAF" w:rsidRPr="00873B6C" w:rsidRDefault="00F84AAF" w:rsidP="00D40151">
      <w:r w:rsidRPr="00873B6C">
        <w:t>The User Plane Security Enforcement information provides the MME with User Plane integrity protection policies for the PDU session</w:t>
      </w:r>
      <w:r w:rsidR="009D1A77" w:rsidRPr="00873B6C">
        <w:t xml:space="preserve"> (PDN Connection)</w:t>
      </w:r>
      <w:r w:rsidRPr="00873B6C">
        <w:t xml:space="preserve">. </w:t>
      </w:r>
      <w:r w:rsidR="009D1A77" w:rsidRPr="00873B6C">
        <w:t xml:space="preserve">The </w:t>
      </w:r>
      <w:r w:rsidRPr="00873B6C">
        <w:t>information indicates whether UP integrity protection is:</w:t>
      </w:r>
    </w:p>
    <w:p w14:paraId="07C95192" w14:textId="5ACCE81D" w:rsidR="00F84AAF" w:rsidRPr="00873B6C" w:rsidRDefault="00F84AAF" w:rsidP="00461850">
      <w:pPr>
        <w:pStyle w:val="B1"/>
      </w:pPr>
      <w:r w:rsidRPr="00873B6C">
        <w:t>-</w:t>
      </w:r>
      <w:r w:rsidRPr="00873B6C">
        <w:tab/>
        <w:t>Required: for all the traffic on the PDU Session</w:t>
      </w:r>
      <w:r w:rsidR="009D1A77" w:rsidRPr="00873B6C">
        <w:t xml:space="preserve"> (PDN Connection)</w:t>
      </w:r>
      <w:r w:rsidRPr="00873B6C">
        <w:t xml:space="preserve"> UP integrity protection shall apply.</w:t>
      </w:r>
    </w:p>
    <w:p w14:paraId="469CCA15" w14:textId="285801E5" w:rsidR="00F84AAF" w:rsidRPr="00873B6C" w:rsidRDefault="00F84AAF" w:rsidP="00461850">
      <w:pPr>
        <w:pStyle w:val="B1"/>
      </w:pPr>
      <w:r w:rsidRPr="00873B6C">
        <w:t>-</w:t>
      </w:r>
      <w:r w:rsidRPr="00873B6C">
        <w:tab/>
        <w:t>Preferred: for all the traffic on the PDU Session</w:t>
      </w:r>
      <w:r w:rsidR="009D1A77" w:rsidRPr="00873B6C">
        <w:t xml:space="preserve"> (PDN Connection)</w:t>
      </w:r>
      <w:r w:rsidRPr="00873B6C">
        <w:t xml:space="preserve"> UP integrity protection should apply.</w:t>
      </w:r>
    </w:p>
    <w:p w14:paraId="019E4243" w14:textId="18996ECC" w:rsidR="00F84AAF" w:rsidRPr="00873B6C" w:rsidRDefault="00F84AAF" w:rsidP="00461850">
      <w:pPr>
        <w:pStyle w:val="B1"/>
      </w:pPr>
      <w:r w:rsidRPr="00873B6C">
        <w:t>-</w:t>
      </w:r>
      <w:r w:rsidRPr="00873B6C">
        <w:tab/>
        <w:t>Not Needed: UP integrity protection shall not apply on the PDU Session</w:t>
      </w:r>
      <w:r w:rsidR="009D1A77" w:rsidRPr="00873B6C">
        <w:t xml:space="preserve"> (PDN Connection)</w:t>
      </w:r>
      <w:r w:rsidRPr="00873B6C">
        <w:t>.</w:t>
      </w:r>
    </w:p>
    <w:p w14:paraId="788F9C9B" w14:textId="3877E709" w:rsidR="009D1A77" w:rsidRPr="00873B6C" w:rsidRDefault="009D1A77" w:rsidP="00D40151">
      <w:r w:rsidRPr="00873B6C">
        <w:t>In turn, the MME provides per EPS bearer User Plane Security Enforcement information to the E-UTRAN. All the bearers within a PDN Connection share the same User Plane integrity protection policies.</w:t>
      </w:r>
    </w:p>
    <w:p w14:paraId="483F22B3" w14:textId="21FB1866" w:rsidR="006E1B0F" w:rsidRPr="00873B6C" w:rsidRDefault="006E1B0F" w:rsidP="00D40151">
      <w:r w:rsidRPr="00873B6C">
        <w:t>The UE capability to support user plane integrity protection with EPS is indicated to AMF in the S1 UE network capability information. If the UE supports user plane integrity protection with EPS</w:t>
      </w:r>
      <w:r w:rsidR="00472CD7" w:rsidRPr="00873B6C">
        <w:t xml:space="preserve"> and</w:t>
      </w:r>
      <w:r w:rsidRPr="00873B6C">
        <w:t xml:space="preserve">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rsidR="00972E70" w:rsidRPr="00873B6C">
        <w:t>TS 23.502 [</w:t>
      </w:r>
      <w:r w:rsidRPr="00873B6C">
        <w:t xml:space="preserve">3] clause 4.11.1.4. If the UE does not support user plane integrity protection with EPS or the AMF does not support the associated functionality, the SMF shall not trigger the EPS bearer ID allocation procedure in clause 4.11.1.4 of </w:t>
      </w:r>
      <w:r w:rsidR="00972E70" w:rsidRPr="00873B6C">
        <w:t>TS 23.502 [</w:t>
      </w:r>
      <w:r w:rsidRPr="00873B6C">
        <w:t>3].</w:t>
      </w:r>
    </w:p>
    <w:p w14:paraId="4B4C86F0" w14:textId="623DCA5C" w:rsidR="006E1B0F" w:rsidRPr="00873B6C" w:rsidRDefault="006E1B0F" w:rsidP="00D40151">
      <w:r w:rsidRPr="00873B6C">
        <w:lastRenderedPageBreak/>
        <w:t>Unless the UE</w:t>
      </w:r>
      <w:r w:rsidR="00F84AAF" w:rsidRPr="00873B6C">
        <w:t>, the serving eNB</w:t>
      </w:r>
      <w:r w:rsidRPr="00873B6C">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873B6C" w:rsidRDefault="006E1B0F" w:rsidP="00D40151">
      <w:r w:rsidRPr="00873B6C">
        <w:t>The SMF+PGW-C shall (e.g. based on the received RAT Type) reject a PDN Connection Establishment using GERAN/UTRAN if the UP Security Enforcement Information has UP integrity protection set to Required.</w:t>
      </w:r>
    </w:p>
    <w:p w14:paraId="7CBED3EA" w14:textId="5BAD4C04" w:rsidR="006E1B0F" w:rsidRPr="00873B6C" w:rsidRDefault="006E1B0F" w:rsidP="00C74FFE">
      <w:pPr>
        <w:pStyle w:val="NO"/>
      </w:pPr>
      <w:r w:rsidRPr="00873B6C">
        <w:t>NOTE 2:</w:t>
      </w:r>
      <w:r w:rsidRPr="00873B6C">
        <w:tab/>
        <w:t>This assumes that the optional user plane integrity protection for GPRS specified in Release 13 has not been deployed.</w:t>
      </w:r>
    </w:p>
    <w:p w14:paraId="7F7D1C34" w14:textId="0207B531" w:rsidR="00D40151" w:rsidRPr="00873B6C" w:rsidRDefault="00D40151" w:rsidP="00D40151">
      <w:r w:rsidRPr="00873B6C">
        <w:t>The SMF may, based on local configuration, reject the PDU Session Establishment request depending on the value of the maximum supported data rate per UE for integrity protection.</w:t>
      </w:r>
    </w:p>
    <w:p w14:paraId="7DAFF9C9" w14:textId="41EF1A6C" w:rsidR="00D40151" w:rsidRPr="00873B6C" w:rsidRDefault="00D40151" w:rsidP="00D40151">
      <w:pPr>
        <w:pStyle w:val="NO"/>
      </w:pPr>
      <w:r w:rsidRPr="00873B6C">
        <w:t>NOTE </w:t>
      </w:r>
      <w:r w:rsidR="006E1B0F" w:rsidRPr="00873B6C">
        <w:t>3</w:t>
      </w:r>
      <w:r w:rsidRPr="00873B6C">
        <w:t>:</w:t>
      </w:r>
      <w:r w:rsidRPr="00873B6C">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873B6C" w:rsidRDefault="00D40151" w:rsidP="00D40151">
      <w:pPr>
        <w:pStyle w:val="NO"/>
      </w:pPr>
      <w:r w:rsidRPr="00873B6C">
        <w:t>NOTE </w:t>
      </w:r>
      <w:r w:rsidR="006E1B0F" w:rsidRPr="00873B6C">
        <w:t>4</w:t>
      </w:r>
      <w:r w:rsidRPr="00873B6C">
        <w:t>:</w:t>
      </w:r>
      <w:r w:rsidRPr="00873B6C">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873B6C" w:rsidRDefault="00D40151" w:rsidP="00D40151">
      <w:r w:rsidRPr="00873B6C">
        <w:t>The User Plane Security Policy provide the same level of information than User Plane Security Enforcement information.</w:t>
      </w:r>
    </w:p>
    <w:p w14:paraId="71746021" w14:textId="77777777" w:rsidR="00D40151" w:rsidRPr="00873B6C" w:rsidRDefault="00D40151" w:rsidP="00D40151">
      <w:r w:rsidRPr="00873B6C">
        <w:t>User Plane Security Policy from UDM takes precedence over locally configured User Plane Security Policy.</w:t>
      </w:r>
    </w:p>
    <w:p w14:paraId="1898B4AC" w14:textId="3F4515F5" w:rsidR="00D40151" w:rsidRPr="00873B6C" w:rsidRDefault="00D40151" w:rsidP="00D40151">
      <w:r w:rsidRPr="00873B6C">
        <w:t>The User Plane Security Enforcement information</w:t>
      </w:r>
      <w:r w:rsidR="000F5D21" w:rsidRPr="00873B6C">
        <w:t xml:space="preserve"> may include</w:t>
      </w:r>
      <w:r w:rsidRPr="00873B6C">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873B6C" w:rsidRDefault="00D40151" w:rsidP="00D40151">
      <w:pPr>
        <w:pStyle w:val="NO"/>
      </w:pPr>
      <w:r w:rsidRPr="00873B6C">
        <w:t>NOTE </w:t>
      </w:r>
      <w:r w:rsidR="006E1B0F" w:rsidRPr="00873B6C">
        <w:t>5</w:t>
      </w:r>
      <w:r w:rsidRPr="00873B6C">
        <w:t>:</w:t>
      </w:r>
      <w:r w:rsidRPr="00873B6C">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873B6C" w:rsidRDefault="00D40151" w:rsidP="00D40151">
      <w:r w:rsidRPr="00873B6C">
        <w:t>It is responsibility of the NG-RAN to enforce that the maximum UP integrity protection data rate delivered to the UE in downlink is not exceeding the maximum supported data rate for integrity protection.</w:t>
      </w:r>
    </w:p>
    <w:p w14:paraId="1A95988F" w14:textId="77777777" w:rsidR="00D40151" w:rsidRPr="00873B6C" w:rsidRDefault="00D40151" w:rsidP="00D40151">
      <w:r w:rsidRPr="00873B6C">
        <w:t>It is expected that generally the UP integrity protection data rate applied by the UE in uplink will not exceed the indicated maximum supported data rate, but the UE is not required to perform strict rate enforcement.</w:t>
      </w:r>
    </w:p>
    <w:p w14:paraId="780A7884" w14:textId="2C190BA8" w:rsidR="00D40151" w:rsidRPr="00873B6C" w:rsidRDefault="00D40151" w:rsidP="00D40151">
      <w:r w:rsidRPr="00873B6C">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w:t>
      </w:r>
      <w:r w:rsidR="00A13197" w:rsidRPr="00873B6C">
        <w:t xml:space="preserve"> </w:t>
      </w:r>
      <w:r w:rsidRPr="00873B6C">
        <w:t>up resources for the PDU Session. In this case the PDU Session is not handed over to the target RAN node and the PDU Session is released.</w:t>
      </w:r>
    </w:p>
    <w:p w14:paraId="44BE6699" w14:textId="4FFC8DA9" w:rsidR="00D40151" w:rsidRPr="00873B6C" w:rsidRDefault="006E1B0F" w:rsidP="00D40151">
      <w:r w:rsidRPr="00873B6C">
        <w:t>If the UE</w:t>
      </w:r>
      <w:r w:rsidR="00F84AAF" w:rsidRPr="00873B6C">
        <w:t xml:space="preserve"> or the new eNB</w:t>
      </w:r>
      <w:r w:rsidRPr="00873B6C">
        <w:t xml:space="preserve"> or the MME does not indicate support of user plane integrity protection with EPS, </w:t>
      </w:r>
      <w:r w:rsidR="00D40151" w:rsidRPr="00873B6C">
        <w:t>PDU Sessions with UP integrity protection of the User Plane Security Enforcement information set to Required are not</w:t>
      </w:r>
      <w:r w:rsidRPr="00873B6C">
        <w:t xml:space="preserve"> transferred</w:t>
      </w:r>
      <w:r w:rsidR="00D40151" w:rsidRPr="00873B6C">
        <w:t xml:space="preserve"> to EPS</w:t>
      </w:r>
      <w:r w:rsidRPr="00873B6C">
        <w:t xml:space="preserve"> as follows</w:t>
      </w:r>
      <w:r w:rsidR="00D40151" w:rsidRPr="00873B6C">
        <w:t>:</w:t>
      </w:r>
    </w:p>
    <w:p w14:paraId="5772E528" w14:textId="76B09BB2" w:rsidR="00D40151" w:rsidRPr="00873B6C" w:rsidRDefault="00D40151" w:rsidP="00D40151">
      <w:pPr>
        <w:pStyle w:val="B1"/>
      </w:pPr>
      <w:r w:rsidRPr="00873B6C">
        <w:t>-</w:t>
      </w:r>
      <w:r w:rsidRPr="00873B6C">
        <w:tab/>
        <w:t>In the case of mobility without N26, the SMF</w:t>
      </w:r>
      <w:r w:rsidR="00704A9E" w:rsidRPr="00873B6C">
        <w:t>+PGW-C</w:t>
      </w:r>
      <w:r w:rsidRPr="00873B6C">
        <w:t xml:space="preserve"> shall reject a PDN connectivity request in EPS with handover indication if the UP integrity protection of the User Plane Security Enforcement is set to Required.</w:t>
      </w:r>
    </w:p>
    <w:p w14:paraId="6DCE06BF" w14:textId="78B57D61" w:rsidR="00D40151" w:rsidRPr="00873B6C" w:rsidRDefault="00D40151" w:rsidP="00D40151">
      <w:pPr>
        <w:pStyle w:val="NO"/>
      </w:pPr>
      <w:r w:rsidRPr="00873B6C">
        <w:t>NOTE </w:t>
      </w:r>
      <w:r w:rsidR="006E1B0F" w:rsidRPr="00873B6C">
        <w:t>6</w:t>
      </w:r>
      <w:r w:rsidRPr="00873B6C">
        <w:t>:</w:t>
      </w:r>
      <w:r w:rsidRPr="00873B6C">
        <w:tab/>
        <w:t>As described in clause 5.17.2.3.3, the UE does not know before trying to move a given PDU Session to EPC, whether that PDU session can be transferred to EPC.</w:t>
      </w:r>
    </w:p>
    <w:p w14:paraId="27F066E5" w14:textId="77777777" w:rsidR="006E1B0F" w:rsidRPr="00873B6C" w:rsidRDefault="006E1B0F" w:rsidP="00C74FFE">
      <w:pPr>
        <w:pStyle w:val="B1"/>
      </w:pPr>
      <w:r w:rsidRPr="00873B6C">
        <w:t>-</w:t>
      </w:r>
      <w:r w:rsidRPr="00873B6C">
        <w:tab/>
        <w:t>In the case of idle mode and connected mode mobility with N26 to EPS, or mobility without N26, the SMF+PGW-C ensures that the PDU session is released.</w:t>
      </w:r>
    </w:p>
    <w:p w14:paraId="0EE5DBA2" w14:textId="5EE7E873" w:rsidR="006E1B0F" w:rsidRPr="00873B6C" w:rsidRDefault="006E1B0F" w:rsidP="00D40151">
      <w:r w:rsidRPr="00873B6C">
        <w:lastRenderedPageBreak/>
        <w:t>If the UE</w:t>
      </w:r>
      <w:r w:rsidR="00F84AAF" w:rsidRPr="00873B6C">
        <w:t>, target eNB</w:t>
      </w:r>
      <w:r w:rsidRPr="00873B6C">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873B6C" w:rsidRDefault="00F84AAF" w:rsidP="00D40151">
      <w:r w:rsidRPr="00873B6C">
        <w:t xml:space="preserve">For the bearers of PDN Connections with UP integrity protection set to Required, at (both idle mode and connected mode) mobility (including intra-TA mobility) to an eNB </w:t>
      </w:r>
      <w:r w:rsidR="006E1B0F" w:rsidRPr="00873B6C">
        <w:t>that does not support User Plane Integrity Protection with EPS</w:t>
      </w:r>
      <w:r w:rsidRPr="00873B6C">
        <w:t>,</w:t>
      </w:r>
      <w:r w:rsidR="006E1B0F" w:rsidRPr="00873B6C">
        <w:t xml:space="preserve"> the MME shall</w:t>
      </w:r>
      <w:r w:rsidRPr="00873B6C">
        <w:t xml:space="preserve"> inform</w:t>
      </w:r>
      <w:r w:rsidR="006E1B0F" w:rsidRPr="00873B6C">
        <w:t xml:space="preserve"> the SMF+PGW-C</w:t>
      </w:r>
      <w:r w:rsidRPr="00873B6C">
        <w:t xml:space="preserve"> and the SMF+PGW-C ensures that the PDU session is released</w:t>
      </w:r>
      <w:r w:rsidR="006E1B0F" w:rsidRPr="00873B6C">
        <w:t>.</w:t>
      </w:r>
    </w:p>
    <w:p w14:paraId="33303B90" w14:textId="77777777" w:rsidR="006E1B0F" w:rsidRPr="00873B6C" w:rsidRDefault="006E1B0F" w:rsidP="00D40151">
      <w:r w:rsidRPr="00873B6C">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873B6C" w:rsidRDefault="006E1B0F" w:rsidP="00D40151">
      <w:r w:rsidRPr="00873B6C">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873B6C" w:rsidRDefault="006E1B0F" w:rsidP="00D40151">
      <w:r w:rsidRPr="00873B6C">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873B6C" w:rsidRDefault="00D40151" w:rsidP="00D40151">
      <w:pPr>
        <w:rPr>
          <w:noProof/>
        </w:rPr>
      </w:pPr>
      <w:r w:rsidRPr="00873B6C">
        <w:t xml:space="preserve">PDU Sessions with UP confidentiality protection of the User Plane Security Enforcement information set to Required and </w:t>
      </w:r>
      <w:r w:rsidRPr="00873B6C">
        <w:rPr>
          <w:rFonts w:eastAsia="DengXian"/>
          <w:lang w:eastAsia="zh-CN"/>
        </w:rPr>
        <w:t xml:space="preserve">UP integrity protection </w:t>
      </w:r>
      <w:r w:rsidRPr="00873B6C">
        <w:t>of the User Plane Security Enforcement information</w:t>
      </w:r>
      <w:r w:rsidRPr="00873B6C">
        <w:rPr>
          <w:rFonts w:eastAsia="DengXian"/>
          <w:lang w:eastAsia="zh-CN"/>
        </w:rPr>
        <w:t xml:space="preserve"> not set to Required,</w:t>
      </w:r>
      <w:r w:rsidRPr="00873B6C">
        <w:t xml:space="preserve"> are allowed to be handed over to EPS regardless of how UP confidentiality protection applies in EPS.</w:t>
      </w:r>
    </w:p>
    <w:p w14:paraId="2C668B3B" w14:textId="76D88A75" w:rsidR="00D40151" w:rsidRPr="00873B6C" w:rsidRDefault="00D40151" w:rsidP="00D40151">
      <w:r w:rsidRPr="00873B6C">
        <w:t>In the case of dual connectivity, the Integrity Protection is set to "Preferred", the Master 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873B6C" w:rsidRDefault="00D40151" w:rsidP="00D40151">
      <w:pPr>
        <w:pStyle w:val="Heading2"/>
      </w:pPr>
      <w:bookmarkStart w:id="2487" w:name="_CR5_11"/>
      <w:bookmarkStart w:id="2488" w:name="_Toc20149897"/>
      <w:bookmarkStart w:id="2489" w:name="_Toc27846696"/>
      <w:bookmarkStart w:id="2490" w:name="_Toc36187827"/>
      <w:bookmarkStart w:id="2491" w:name="_Toc45183731"/>
      <w:bookmarkStart w:id="2492" w:name="_Toc47342573"/>
      <w:bookmarkStart w:id="2493" w:name="_Toc51769274"/>
      <w:bookmarkStart w:id="2494" w:name="_Toc201157247"/>
      <w:bookmarkEnd w:id="2487"/>
      <w:r w:rsidRPr="00873B6C">
        <w:t>5.11</w:t>
      </w:r>
      <w:r w:rsidRPr="00873B6C">
        <w:tab/>
        <w:t>Support for Dual Connectivity, Multi-Connectivity</w:t>
      </w:r>
      <w:bookmarkEnd w:id="2488"/>
      <w:bookmarkEnd w:id="2489"/>
      <w:bookmarkEnd w:id="2490"/>
      <w:bookmarkEnd w:id="2491"/>
      <w:bookmarkEnd w:id="2492"/>
      <w:bookmarkEnd w:id="2493"/>
      <w:bookmarkEnd w:id="2494"/>
    </w:p>
    <w:p w14:paraId="6EE5502C" w14:textId="77777777" w:rsidR="00D40151" w:rsidRPr="00873B6C" w:rsidRDefault="00D40151" w:rsidP="00D40151">
      <w:pPr>
        <w:pStyle w:val="Heading3"/>
      </w:pPr>
      <w:bookmarkStart w:id="2495" w:name="_CR5_11_1"/>
      <w:bookmarkStart w:id="2496" w:name="_Toc20149898"/>
      <w:bookmarkStart w:id="2497" w:name="_Toc27846697"/>
      <w:bookmarkStart w:id="2498" w:name="_Toc36187828"/>
      <w:bookmarkStart w:id="2499" w:name="_Toc45183732"/>
      <w:bookmarkStart w:id="2500" w:name="_Toc47342574"/>
      <w:bookmarkStart w:id="2501" w:name="_Toc51769275"/>
      <w:bookmarkStart w:id="2502" w:name="_Toc201157248"/>
      <w:bookmarkEnd w:id="2495"/>
      <w:r w:rsidRPr="00873B6C">
        <w:t>5.11.1</w:t>
      </w:r>
      <w:r w:rsidRPr="00873B6C">
        <w:tab/>
        <w:t>Support for Dual Connectivity</w:t>
      </w:r>
      <w:bookmarkEnd w:id="2496"/>
      <w:bookmarkEnd w:id="2497"/>
      <w:bookmarkEnd w:id="2498"/>
      <w:bookmarkEnd w:id="2499"/>
      <w:bookmarkEnd w:id="2500"/>
      <w:bookmarkEnd w:id="2501"/>
      <w:bookmarkEnd w:id="2502"/>
    </w:p>
    <w:p w14:paraId="6E41886A" w14:textId="378A27DD" w:rsidR="00D40151" w:rsidRPr="00873B6C" w:rsidRDefault="00D40151" w:rsidP="00D40151">
      <w:r w:rsidRPr="00873B6C">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972E70" w:rsidRPr="00873B6C">
        <w:t>TS 37.340 [</w:t>
      </w:r>
      <w:r w:rsidRPr="00873B6C">
        <w:t>31]).</w:t>
      </w:r>
    </w:p>
    <w:p w14:paraId="49490CDF" w14:textId="127FA9B2" w:rsidR="00283ED6" w:rsidRPr="00873B6C" w:rsidRDefault="00283ED6" w:rsidP="00D40151">
      <w:r w:rsidRPr="00873B6C">
        <w:t>In this Release of the specification, the Dual Connectivity function does not apply to the NR RedCap UE.</w:t>
      </w:r>
    </w:p>
    <w:p w14:paraId="631B4204" w14:textId="57E36290" w:rsidR="00D40151" w:rsidRPr="00873B6C" w:rsidRDefault="00D40151" w:rsidP="00D40151">
      <w:r w:rsidRPr="00873B6C">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873B6C">
        <w:t xml:space="preserve"> and/or PDU Session Pair ID</w:t>
      </w:r>
      <w:r w:rsidRPr="00873B6C">
        <w:t xml:space="preserve"> to determine if dual connectivity shall be set up and ensure appropriate PDU session handling ensures fully redundant user plane path as described in clause 5.33.2.1.</w:t>
      </w:r>
    </w:p>
    <w:p w14:paraId="27C088DE" w14:textId="77777777" w:rsidR="00D40151" w:rsidRPr="00873B6C" w:rsidRDefault="00D40151" w:rsidP="00D40151">
      <w:r w:rsidRPr="00873B6C">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873B6C" w:rsidRDefault="00D40151" w:rsidP="00D40151">
      <w:pPr>
        <w:pStyle w:val="NO"/>
      </w:pPr>
      <w:r w:rsidRPr="00873B6C">
        <w:t>NOTE 1:</w:t>
      </w:r>
      <w:r w:rsidRPr="00873B6C">
        <w:tab/>
        <w:t>Subject to policies in the NG-RAN, configuration of Dual Connectivity for a Data Radio Bearer can also be based on the Network Slice that the PDU Session belongs to.</w:t>
      </w:r>
    </w:p>
    <w:p w14:paraId="23C7F387" w14:textId="6C448F5B" w:rsidR="00D40151" w:rsidRPr="00873B6C" w:rsidRDefault="00D40151" w:rsidP="00D40151">
      <w:r w:rsidRPr="00873B6C">
        <w:t>Dual Connectivity provides the possibility for the Master RAN</w:t>
      </w:r>
      <w:r w:rsidR="004001F9" w:rsidRPr="00873B6C">
        <w:t xml:space="preserve"> node</w:t>
      </w:r>
      <w:r w:rsidRPr="00873B6C">
        <w:t xml:space="preserve"> to request SMF:</w:t>
      </w:r>
    </w:p>
    <w:p w14:paraId="48D640AF" w14:textId="77777777" w:rsidR="00D40151" w:rsidRPr="00873B6C" w:rsidRDefault="00D40151" w:rsidP="00D40151">
      <w:pPr>
        <w:pStyle w:val="B1"/>
      </w:pPr>
      <w:r w:rsidRPr="00873B6C">
        <w:t>-</w:t>
      </w:r>
      <w:r w:rsidRPr="00873B6C">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873B6C" w:rsidRDefault="00D40151" w:rsidP="00D40151">
      <w:pPr>
        <w:pStyle w:val="NO"/>
      </w:pPr>
      <w:r w:rsidRPr="00873B6C">
        <w:t>NOTE 2:</w:t>
      </w:r>
      <w:r w:rsidRPr="00873B6C">
        <w:tab/>
        <w:t>The terminating RAN Node, can decide to keep traffic for specific QFI(s) in a PDU Session for a UE on a single RAT, or split them across the two RATs.</w:t>
      </w:r>
    </w:p>
    <w:p w14:paraId="61BE6502" w14:textId="77777777" w:rsidR="00D40151" w:rsidRPr="00873B6C" w:rsidRDefault="00D40151" w:rsidP="00D40151">
      <w:pPr>
        <w:pStyle w:val="B1"/>
      </w:pPr>
      <w:r w:rsidRPr="00873B6C">
        <w:t>-</w:t>
      </w:r>
      <w:r w:rsidRPr="00873B6C">
        <w:tab/>
        <w:t xml:space="preserve">For some other PDU Sessions of an UE: Direct the DL User Plane traffic of some QoS Flows of the PDU Session to the Secondary (respectively Master) RAN Node while the remaining QoS Flows of the PDU Session </w:t>
      </w:r>
      <w:r w:rsidRPr="00873B6C">
        <w:lastRenderedPageBreak/>
        <w:t>are directed to the Master (respectively Secondary) RAN Node. In this case there are, irrespective of the number of QoS Flows, two N3 tunnel terminations at the RAN for such PDU Session.</w:t>
      </w:r>
    </w:p>
    <w:p w14:paraId="6035DD69" w14:textId="3DE70A84" w:rsidR="00D40151" w:rsidRPr="00873B6C" w:rsidRDefault="00D40151" w:rsidP="00D40151">
      <w:pPr>
        <w:rPr>
          <w:i/>
        </w:rPr>
      </w:pPr>
      <w:r w:rsidRPr="00873B6C">
        <w:t>The Master RAN</w:t>
      </w:r>
      <w:r w:rsidR="004001F9" w:rsidRPr="00873B6C">
        <w:t xml:space="preserve"> node</w:t>
      </w:r>
      <w:r w:rsidRPr="00873B6C">
        <w:t xml:space="preserve"> may create and change this assignment for the user plane of a PDU Session at any time during the life time of the PDU Session;</w:t>
      </w:r>
    </w:p>
    <w:p w14:paraId="0D7BDD43" w14:textId="77777777" w:rsidR="00D40151" w:rsidRPr="00873B6C" w:rsidRDefault="00D40151" w:rsidP="00D40151">
      <w:r w:rsidRPr="00873B6C">
        <w:t>In both cases, a single PDU Session Id is used to identify the PDU Session.</w:t>
      </w:r>
    </w:p>
    <w:p w14:paraId="63E41E31" w14:textId="77777777" w:rsidR="00D40151" w:rsidRPr="00873B6C" w:rsidRDefault="00D40151" w:rsidP="00D40151">
      <w:r w:rsidRPr="00873B6C">
        <w:t>Additional functional characteristics are:</w:t>
      </w:r>
    </w:p>
    <w:p w14:paraId="41672940" w14:textId="72F6EF8C" w:rsidR="00D40151" w:rsidRPr="00873B6C" w:rsidRDefault="00D40151" w:rsidP="00D40151">
      <w:pPr>
        <w:pStyle w:val="B1"/>
      </w:pPr>
      <w:r w:rsidRPr="00873B6C">
        <w:t>-</w:t>
      </w:r>
      <w:r w:rsidRPr="00873B6C">
        <w:tab/>
        <w:t>User location information is based on the identity of the cell that is serving the UE in the Master RAN node.</w:t>
      </w:r>
      <w:r w:rsidR="00183D3D" w:rsidRPr="00873B6C">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873B6C" w:rsidRDefault="00D40151" w:rsidP="00D40151">
      <w:pPr>
        <w:pStyle w:val="B1"/>
      </w:pPr>
      <w:r w:rsidRPr="00873B6C">
        <w:t>-</w:t>
      </w:r>
      <w:r w:rsidRPr="00873B6C">
        <w:tab/>
        <w:t>Path update signalling related with Dual Connectivity and UPF re-allocation cannot occur at the same time.</w:t>
      </w:r>
    </w:p>
    <w:p w14:paraId="5E3964F2" w14:textId="77777777" w:rsidR="00D40151" w:rsidRPr="00873B6C" w:rsidRDefault="00D40151" w:rsidP="00D40151">
      <w:pPr>
        <w:pStyle w:val="Heading2"/>
      </w:pPr>
      <w:bookmarkStart w:id="2503" w:name="_CR5_12"/>
      <w:bookmarkStart w:id="2504" w:name="_Toc20149899"/>
      <w:bookmarkStart w:id="2505" w:name="_Toc27846698"/>
      <w:bookmarkStart w:id="2506" w:name="_Toc36187829"/>
      <w:bookmarkStart w:id="2507" w:name="_Toc45183733"/>
      <w:bookmarkStart w:id="2508" w:name="_Toc47342575"/>
      <w:bookmarkStart w:id="2509" w:name="_Toc51769276"/>
      <w:bookmarkStart w:id="2510" w:name="_Toc201157249"/>
      <w:bookmarkEnd w:id="2503"/>
      <w:r w:rsidRPr="00873B6C">
        <w:t>5.12</w:t>
      </w:r>
      <w:r w:rsidRPr="00873B6C">
        <w:tab/>
        <w:t>Charging</w:t>
      </w:r>
      <w:bookmarkEnd w:id="2504"/>
      <w:bookmarkEnd w:id="2505"/>
      <w:bookmarkEnd w:id="2506"/>
      <w:bookmarkEnd w:id="2507"/>
      <w:bookmarkEnd w:id="2508"/>
      <w:bookmarkEnd w:id="2509"/>
      <w:bookmarkEnd w:id="2510"/>
    </w:p>
    <w:p w14:paraId="5AE27174" w14:textId="77777777" w:rsidR="00D40151" w:rsidRPr="00873B6C" w:rsidRDefault="00D40151" w:rsidP="00D40151">
      <w:pPr>
        <w:pStyle w:val="Heading3"/>
      </w:pPr>
      <w:bookmarkStart w:id="2511" w:name="_CR5_12_1"/>
      <w:bookmarkStart w:id="2512" w:name="_Toc20149900"/>
      <w:bookmarkStart w:id="2513" w:name="_Toc27846699"/>
      <w:bookmarkStart w:id="2514" w:name="_Toc36187830"/>
      <w:bookmarkStart w:id="2515" w:name="_Toc45183734"/>
      <w:bookmarkStart w:id="2516" w:name="_Toc47342576"/>
      <w:bookmarkStart w:id="2517" w:name="_Toc51769277"/>
      <w:bookmarkStart w:id="2518" w:name="_Toc201157250"/>
      <w:bookmarkEnd w:id="2511"/>
      <w:r w:rsidRPr="00873B6C">
        <w:t>5.12.1</w:t>
      </w:r>
      <w:r w:rsidRPr="00873B6C">
        <w:tab/>
        <w:t>General</w:t>
      </w:r>
      <w:bookmarkEnd w:id="2512"/>
      <w:bookmarkEnd w:id="2513"/>
      <w:bookmarkEnd w:id="2514"/>
      <w:bookmarkEnd w:id="2515"/>
      <w:bookmarkEnd w:id="2516"/>
      <w:bookmarkEnd w:id="2517"/>
      <w:bookmarkEnd w:id="2518"/>
    </w:p>
    <w:p w14:paraId="3C274B4E" w14:textId="71C91BA7" w:rsidR="00D40151" w:rsidRPr="00873B6C" w:rsidRDefault="00D40151" w:rsidP="00D40151">
      <w:r w:rsidRPr="00873B6C">
        <w:t>5GC supports</w:t>
      </w:r>
      <w:r w:rsidR="00A346EF" w:rsidRPr="00873B6C">
        <w:t xml:space="preserve"> interactions towards CHF</w:t>
      </w:r>
      <w:r w:rsidRPr="00873B6C">
        <w:t xml:space="preserve"> for network resource usage, as defined in </w:t>
      </w:r>
      <w:r w:rsidR="00972E70" w:rsidRPr="00873B6C">
        <w:t>TS 32.240 [</w:t>
      </w:r>
      <w:r w:rsidRPr="00873B6C">
        <w:t>41].</w:t>
      </w:r>
      <w:r w:rsidR="008A60FE" w:rsidRPr="00873B6C">
        <w:t xml:space="preserve"> The CHF and the Nchf service are defined in </w:t>
      </w:r>
      <w:r w:rsidR="00972E70" w:rsidRPr="00873B6C">
        <w:t>TS 32.290 [</w:t>
      </w:r>
      <w:r w:rsidR="008A60FE" w:rsidRPr="00873B6C">
        <w:t>67].</w:t>
      </w:r>
    </w:p>
    <w:p w14:paraId="5C00B6A3" w14:textId="1092EF1E" w:rsidR="008A60FE" w:rsidRPr="00873B6C" w:rsidRDefault="00D40151" w:rsidP="00D40151">
      <w:r w:rsidRPr="00873B6C">
        <w:t>The SMF supports the interactions towards the</w:t>
      </w:r>
      <w:r w:rsidR="008A60FE" w:rsidRPr="00873B6C">
        <w:t xml:space="preserve"> CHF</w:t>
      </w:r>
      <w:r w:rsidRPr="00873B6C">
        <w:t xml:space="preserve">, as defined in </w:t>
      </w:r>
      <w:r w:rsidR="00972E70" w:rsidRPr="00873B6C">
        <w:t>TS 32.255 [</w:t>
      </w:r>
      <w:r w:rsidR="00704A9E" w:rsidRPr="00873B6C">
        <w:t>68</w:t>
      </w:r>
      <w:r w:rsidRPr="00873B6C">
        <w:t>]. The UPF supports functionality to collect and report usage data to SMF. The N4 reference point supports the SMF control of the UPF collection and reporting of usage data.</w:t>
      </w:r>
    </w:p>
    <w:p w14:paraId="21FF73A8" w14:textId="199C5A66" w:rsidR="008A60FE" w:rsidRPr="00873B6C" w:rsidRDefault="00D40151" w:rsidP="00D40151">
      <w:r w:rsidRPr="00873B6C">
        <w:t>The AMF supports interactions towards the</w:t>
      </w:r>
      <w:r w:rsidR="00A346EF" w:rsidRPr="00873B6C">
        <w:t xml:space="preserve"> CHF</w:t>
      </w:r>
      <w:r w:rsidRPr="00873B6C">
        <w:t xml:space="preserve">, as defined in </w:t>
      </w:r>
      <w:r w:rsidR="00972E70" w:rsidRPr="00873B6C">
        <w:t>TS 32.256 [</w:t>
      </w:r>
      <w:r w:rsidRPr="00873B6C">
        <w:t>114].</w:t>
      </w:r>
    </w:p>
    <w:p w14:paraId="4A80B2D9" w14:textId="14A9FAEB" w:rsidR="00D40151" w:rsidRPr="00873B6C" w:rsidRDefault="00D40151" w:rsidP="00D40151">
      <w:r w:rsidRPr="00873B6C">
        <w:t>The SMSF supports interactions towards the</w:t>
      </w:r>
      <w:r w:rsidR="00A346EF" w:rsidRPr="00873B6C">
        <w:t xml:space="preserve"> CHF</w:t>
      </w:r>
      <w:r w:rsidRPr="00873B6C">
        <w:t xml:space="preserve">, as defined in </w:t>
      </w:r>
      <w:r w:rsidR="00972E70" w:rsidRPr="00873B6C">
        <w:t>TS 32.274 [</w:t>
      </w:r>
      <w:r w:rsidRPr="00873B6C">
        <w:t>118].</w:t>
      </w:r>
    </w:p>
    <w:p w14:paraId="09DF6CCA" w14:textId="1BB0BB3B" w:rsidR="008A60FE" w:rsidRPr="00873B6C" w:rsidRDefault="008A60FE" w:rsidP="008A60FE">
      <w:bookmarkStart w:id="2519" w:name="_Toc20149901"/>
      <w:bookmarkStart w:id="2520" w:name="_Toc27846700"/>
      <w:bookmarkStart w:id="2521" w:name="_Toc36187831"/>
      <w:bookmarkStart w:id="2522" w:name="_Toc45183735"/>
      <w:bookmarkStart w:id="2523" w:name="_Toc47342577"/>
      <w:bookmarkStart w:id="2524" w:name="_Toc51769278"/>
      <w:r w:rsidRPr="00873B6C">
        <w:t xml:space="preserve">The NEF supports interactions towards the CHF, as defined in </w:t>
      </w:r>
      <w:r w:rsidR="00972E70" w:rsidRPr="00873B6C">
        <w:t>TS 32.254 [</w:t>
      </w:r>
      <w:r w:rsidRPr="00873B6C">
        <w:t>123].</w:t>
      </w:r>
    </w:p>
    <w:p w14:paraId="4659FB8F" w14:textId="77777777" w:rsidR="00D40151" w:rsidRPr="00873B6C" w:rsidRDefault="00D40151" w:rsidP="00D40151">
      <w:pPr>
        <w:pStyle w:val="Heading3"/>
      </w:pPr>
      <w:bookmarkStart w:id="2525" w:name="_CR5_12_2"/>
      <w:bookmarkStart w:id="2526" w:name="_Toc201157251"/>
      <w:bookmarkEnd w:id="2525"/>
      <w:r w:rsidRPr="00873B6C">
        <w:t>5.12.2</w:t>
      </w:r>
      <w:r w:rsidRPr="00873B6C">
        <w:tab/>
        <w:t>Usage Data Reporting for Secondary RAT</w:t>
      </w:r>
      <w:bookmarkEnd w:id="2519"/>
      <w:bookmarkEnd w:id="2520"/>
      <w:bookmarkEnd w:id="2521"/>
      <w:bookmarkEnd w:id="2522"/>
      <w:bookmarkEnd w:id="2523"/>
      <w:bookmarkEnd w:id="2524"/>
      <w:bookmarkEnd w:id="2526"/>
    </w:p>
    <w:p w14:paraId="051476CB" w14:textId="77777777" w:rsidR="00D40151" w:rsidRPr="00873B6C" w:rsidRDefault="00D40151" w:rsidP="00D40151">
      <w:r w:rsidRPr="00873B6C">
        <w:t>When NG-RAN is deployed in dual connectivity configuration, the HPLMN or VPLMN operator may wish to record the data volume sent and received on the Secondary RAT.</w:t>
      </w:r>
    </w:p>
    <w:p w14:paraId="7D1DF50D" w14:textId="77777777" w:rsidR="00D40151" w:rsidRPr="00873B6C" w:rsidRDefault="00D40151" w:rsidP="00D40151">
      <w:r w:rsidRPr="00873B6C">
        <w:t>In order to reduce the complexity of this procedure, the following principles are used in this release:</w:t>
      </w:r>
    </w:p>
    <w:p w14:paraId="014EF37B" w14:textId="18A274B0" w:rsidR="00D40151" w:rsidRPr="00873B6C" w:rsidRDefault="00D40151" w:rsidP="00D40151">
      <w:pPr>
        <w:pStyle w:val="B1"/>
      </w:pPr>
      <w:r w:rsidRPr="00873B6C">
        <w:t>a)</w:t>
      </w:r>
      <w:r w:rsidRPr="00873B6C">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873B6C">
        <w:t>QoS Flow</w:t>
      </w:r>
      <w:r w:rsidRPr="00873B6C">
        <w:t xml:space="preserve">s or both as described in </w:t>
      </w:r>
      <w:r w:rsidR="00972E70" w:rsidRPr="00873B6C">
        <w:t>TS 38.413 [</w:t>
      </w:r>
      <w:r w:rsidRPr="00873B6C">
        <w:t>34].</w:t>
      </w:r>
    </w:p>
    <w:p w14:paraId="4CDF5D9F" w14:textId="77777777" w:rsidR="00D40151" w:rsidRPr="00873B6C" w:rsidRDefault="00D40151" w:rsidP="00D40151">
      <w:pPr>
        <w:pStyle w:val="B1"/>
      </w:pPr>
      <w:r w:rsidRPr="00873B6C">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873B6C" w:rsidRDefault="00D40151" w:rsidP="00D40151">
      <w:pPr>
        <w:pStyle w:val="B1"/>
      </w:pPr>
      <w:r w:rsidRPr="00873B6C">
        <w:t>b)</w:t>
      </w:r>
      <w:r w:rsidRPr="00873B6C">
        <w:tab/>
        <w:t xml:space="preserve">Depending on its configuration the NG-RAN reports uplink and downlink data volumes to the 5GC for the Secondary RAT (including the using of unlicensed spectrum for NR or E-UTRA) for the PDU Session or for selected </w:t>
      </w:r>
      <w:r w:rsidR="00426DE4" w:rsidRPr="00873B6C">
        <w:t>QoS Flow</w:t>
      </w:r>
      <w:r w:rsidRPr="00873B6C">
        <w:t>s or both and per time interval.</w:t>
      </w:r>
    </w:p>
    <w:p w14:paraId="0E1CBB5F" w14:textId="77777777" w:rsidR="00D40151" w:rsidRPr="00873B6C" w:rsidRDefault="00D40151" w:rsidP="00D40151">
      <w:pPr>
        <w:pStyle w:val="B1"/>
      </w:pPr>
      <w:r w:rsidRPr="00873B6C">
        <w:t>c)</w:t>
      </w:r>
      <w:r w:rsidRPr="00873B6C">
        <w:tab/>
        <w:t>During Xn handover and N2 handover, the source NG-RAN node reports the data volume to the 5GC. The reported data volume excludes data forwarded to the target RAN node.</w:t>
      </w:r>
    </w:p>
    <w:p w14:paraId="7F4CDE62" w14:textId="713AD044" w:rsidR="00D40151" w:rsidRPr="00873B6C" w:rsidRDefault="00D40151" w:rsidP="00D40151">
      <w:pPr>
        <w:pStyle w:val="B1"/>
      </w:pPr>
      <w:r w:rsidRPr="00873B6C">
        <w:t>d)</w:t>
      </w:r>
      <w:r w:rsidRPr="00873B6C">
        <w:tab/>
        <w:t>At the time of NG connection release, Secondary</w:t>
      </w:r>
      <w:r w:rsidR="004001F9" w:rsidRPr="00873B6C">
        <w:t xml:space="preserve"> RAN</w:t>
      </w:r>
      <w:r w:rsidRPr="00873B6C">
        <w:t xml:space="preserve"> Node change/release, deactivation of UP connection for a PDU Session, the NG-RAN node reports the data volumes to the 5GC.</w:t>
      </w:r>
    </w:p>
    <w:p w14:paraId="42FC629E" w14:textId="77777777" w:rsidR="00D40151" w:rsidRPr="00873B6C" w:rsidRDefault="00D40151" w:rsidP="00D40151">
      <w:pPr>
        <w:pStyle w:val="B1"/>
      </w:pPr>
      <w:r w:rsidRPr="00873B6C">
        <w:t>e)</w:t>
      </w:r>
      <w:r w:rsidRPr="00873B6C">
        <w:tab/>
        <w:t>To assist "partial CDR" generation, NG-RAN OAM can instruct the NG-RAN to also make periodic reports (as described in clause 5.12.3) if no event has triggered a report before the period expires.</w:t>
      </w:r>
    </w:p>
    <w:p w14:paraId="67601B8A" w14:textId="77777777" w:rsidR="00D40151" w:rsidRPr="00873B6C" w:rsidRDefault="00D40151" w:rsidP="00D40151">
      <w:pPr>
        <w:pStyle w:val="NO"/>
      </w:pPr>
      <w:r w:rsidRPr="00873B6C">
        <w:lastRenderedPageBreak/>
        <w:t>NOTE 2:</w:t>
      </w:r>
      <w:r w:rsidRPr="00873B6C">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873B6C" w:rsidRDefault="00D40151" w:rsidP="00D40151">
      <w:pPr>
        <w:pStyle w:val="NO"/>
      </w:pPr>
      <w:r w:rsidRPr="00873B6C">
        <w:t>NOTE 3:</w:t>
      </w:r>
      <w:r w:rsidRPr="00873B6C">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873B6C" w:rsidRDefault="00D40151" w:rsidP="00D40151">
      <w:pPr>
        <w:pStyle w:val="Heading3"/>
      </w:pPr>
      <w:bookmarkStart w:id="2527" w:name="_CR5_12_3"/>
      <w:bookmarkStart w:id="2528" w:name="_Toc20149902"/>
      <w:bookmarkStart w:id="2529" w:name="_Toc27846701"/>
      <w:bookmarkStart w:id="2530" w:name="_Toc36187832"/>
      <w:bookmarkStart w:id="2531" w:name="_Toc45183736"/>
      <w:bookmarkStart w:id="2532" w:name="_Toc47342578"/>
      <w:bookmarkStart w:id="2533" w:name="_Toc51769279"/>
      <w:bookmarkStart w:id="2534" w:name="_Toc201157252"/>
      <w:bookmarkEnd w:id="2527"/>
      <w:r w:rsidRPr="00873B6C">
        <w:t>5.12.3</w:t>
      </w:r>
      <w:r w:rsidRPr="00873B6C">
        <w:tab/>
        <w:t>Secondary RAT Periodic Usage Data Reporting Procedure</w:t>
      </w:r>
      <w:bookmarkEnd w:id="2528"/>
      <w:bookmarkEnd w:id="2529"/>
      <w:bookmarkEnd w:id="2530"/>
      <w:bookmarkEnd w:id="2531"/>
      <w:bookmarkEnd w:id="2532"/>
      <w:bookmarkEnd w:id="2533"/>
      <w:bookmarkEnd w:id="2534"/>
    </w:p>
    <w:p w14:paraId="3BA4BA75" w14:textId="77777777" w:rsidR="00D40151" w:rsidRPr="00873B6C" w:rsidRDefault="00D40151" w:rsidP="00D40151">
      <w:r w:rsidRPr="00873B6C">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873B6C" w:rsidRDefault="00D40151" w:rsidP="00D40151">
      <w:pPr>
        <w:pStyle w:val="Heading2"/>
      </w:pPr>
      <w:bookmarkStart w:id="2535" w:name="_CR5_13"/>
      <w:bookmarkStart w:id="2536" w:name="_Toc20149903"/>
      <w:bookmarkStart w:id="2537" w:name="_Toc27846702"/>
      <w:bookmarkStart w:id="2538" w:name="_Toc36187833"/>
      <w:bookmarkStart w:id="2539" w:name="_Toc45183737"/>
      <w:bookmarkStart w:id="2540" w:name="_Toc47342579"/>
      <w:bookmarkStart w:id="2541" w:name="_Toc51769280"/>
      <w:bookmarkStart w:id="2542" w:name="_Toc201157253"/>
      <w:bookmarkEnd w:id="2535"/>
      <w:r w:rsidRPr="00873B6C">
        <w:t>5.13</w:t>
      </w:r>
      <w:r w:rsidRPr="00873B6C">
        <w:tab/>
        <w:t>Support for Edge Computing</w:t>
      </w:r>
      <w:bookmarkEnd w:id="2536"/>
      <w:bookmarkEnd w:id="2537"/>
      <w:bookmarkEnd w:id="2538"/>
      <w:bookmarkEnd w:id="2539"/>
      <w:bookmarkEnd w:id="2540"/>
      <w:bookmarkEnd w:id="2541"/>
      <w:bookmarkEnd w:id="2542"/>
    </w:p>
    <w:p w14:paraId="2E24137B" w14:textId="1C53B6E0" w:rsidR="00D40151" w:rsidRPr="00873B6C" w:rsidRDefault="00D40151" w:rsidP="00D40151">
      <w:r w:rsidRPr="00873B6C">
        <w:t>Edge computing enables operator and 3rd party services to be hosted close to the UE's access point of attachment, so as to achieve an efficient service delivery through the reduced end-to-end latency and load on the transport network.</w:t>
      </w:r>
      <w:r w:rsidR="00B96062" w:rsidRPr="00873B6C">
        <w:t xml:space="preserve"> Edge Computing support by 5GC is specified in this specification and in </w:t>
      </w:r>
      <w:r w:rsidR="00972E70" w:rsidRPr="00873B6C">
        <w:t>TS 23.548 [</w:t>
      </w:r>
      <w:r w:rsidR="00B96062" w:rsidRPr="00873B6C">
        <w:t>130].</w:t>
      </w:r>
    </w:p>
    <w:p w14:paraId="390C1BAB" w14:textId="7346587E" w:rsidR="00D40151" w:rsidRPr="00873B6C" w:rsidRDefault="00D40151" w:rsidP="00D40151">
      <w:pPr>
        <w:pStyle w:val="NO"/>
      </w:pPr>
      <w:r w:rsidRPr="00873B6C">
        <w:t>NOTE: Edge Computing typically applies to non-roaming and LBO roaming scenarios.</w:t>
      </w:r>
      <w:r w:rsidR="00D51D1B" w:rsidRPr="00873B6C">
        <w:t xml:space="preserve"> For HR roaming scenarios, Edge Computing applies only for "Home Routed with Session Breakout in VPLMN (HR-SBO)" which is described in clause 6.7 of </w:t>
      </w:r>
      <w:r w:rsidR="00972E70" w:rsidRPr="00873B6C">
        <w:t>TS 23.548 [</w:t>
      </w:r>
      <w:r w:rsidR="00D51D1B" w:rsidRPr="00873B6C">
        <w:t>130].</w:t>
      </w:r>
    </w:p>
    <w:p w14:paraId="208E3BA0" w14:textId="133FE9C4" w:rsidR="00D40151" w:rsidRPr="00873B6C" w:rsidRDefault="00D40151" w:rsidP="00D40151">
      <w:r w:rsidRPr="00873B6C">
        <w:t>The 5G Core Network selects a UPF close to the UE and</w:t>
      </w:r>
      <w:r w:rsidR="00B96062" w:rsidRPr="00873B6C">
        <w:t xml:space="preserve"> forwards traffic</w:t>
      </w:r>
      <w:r w:rsidRPr="00873B6C">
        <w:t xml:space="preserve"> to</w:t>
      </w:r>
      <w:r w:rsidR="00D841E1" w:rsidRPr="00873B6C">
        <w:t xml:space="preserve"> enable</w:t>
      </w:r>
      <w:r w:rsidRPr="00873B6C">
        <w:t xml:space="preserve"> the local</w:t>
      </w:r>
      <w:r w:rsidR="00D841E1" w:rsidRPr="00873B6C">
        <w:t xml:space="preserve"> access to the DN</w:t>
      </w:r>
      <w:r w:rsidRPr="00873B6C">
        <w:t xml:space="preserve"> via a N6 interface</w:t>
      </w:r>
      <w:r w:rsidR="00B96062" w:rsidRPr="00873B6C">
        <w:t xml:space="preserve"> according to the provided traffic steering rules to the UPF</w:t>
      </w:r>
      <w:r w:rsidRPr="00873B6C">
        <w:t>.</w:t>
      </w:r>
      <w:r w:rsidRPr="00873B6C" w:rsidDel="002827CE">
        <w:t xml:space="preserve"> </w:t>
      </w:r>
      <w:r w:rsidRPr="00873B6C">
        <w:t xml:space="preserve">This may be based on the UE's subscription data, </w:t>
      </w:r>
      <w:r w:rsidRPr="00873B6C">
        <w:rPr>
          <w:rFonts w:eastAsia="PMingLiU"/>
        </w:rPr>
        <w:t xml:space="preserve">UE </w:t>
      </w:r>
      <w:r w:rsidRPr="00873B6C">
        <w:t>location</w:t>
      </w:r>
      <w:r w:rsidRPr="00873B6C">
        <w:rPr>
          <w:rFonts w:eastAsia="PMingLiU"/>
        </w:rPr>
        <w:t>, the information from Application Function (AF) as defined in clause 5.6.7</w:t>
      </w:r>
      <w:r w:rsidR="00B96062" w:rsidRPr="00873B6C">
        <w:rPr>
          <w:rFonts w:eastAsia="PMingLiU"/>
        </w:rPr>
        <w:t>, the EAS information reported from EASDF</w:t>
      </w:r>
      <w:r w:rsidR="00D841E1" w:rsidRPr="00873B6C">
        <w:rPr>
          <w:rFonts w:eastAsia="PMingLiU"/>
        </w:rPr>
        <w:t xml:space="preserve"> (as defined in </w:t>
      </w:r>
      <w:r w:rsidR="00972E70" w:rsidRPr="00873B6C">
        <w:rPr>
          <w:rFonts w:eastAsia="PMingLiU"/>
        </w:rPr>
        <w:t>TS 23.548 [</w:t>
      </w:r>
      <w:r w:rsidR="00D841E1" w:rsidRPr="00873B6C">
        <w:rPr>
          <w:rFonts w:eastAsia="PMingLiU"/>
        </w:rPr>
        <w:t>130])</w:t>
      </w:r>
      <w:r w:rsidRPr="00873B6C">
        <w:t>, policy or other related traffic rules.</w:t>
      </w:r>
    </w:p>
    <w:p w14:paraId="0B922E10" w14:textId="77777777" w:rsidR="00D40151" w:rsidRPr="00873B6C" w:rsidRDefault="00D40151" w:rsidP="00D40151">
      <w:r w:rsidRPr="00873B6C">
        <w:t>Due to user or Application Function mobility, the service or session continuity may be required based on the requirements of the service or the 5G network.</w:t>
      </w:r>
    </w:p>
    <w:p w14:paraId="01FDD37D" w14:textId="77777777" w:rsidR="00D40151" w:rsidRPr="00873B6C" w:rsidRDefault="00D40151" w:rsidP="00D40151">
      <w:r w:rsidRPr="00873B6C">
        <w:t>The 5G Core Network may expose network information and capabilities to an Edge Computing Application Function.</w:t>
      </w:r>
    </w:p>
    <w:p w14:paraId="01A71451" w14:textId="77777777" w:rsidR="00D40151" w:rsidRPr="00873B6C" w:rsidRDefault="00D40151" w:rsidP="00D40151">
      <w:pPr>
        <w:pStyle w:val="NO"/>
      </w:pPr>
      <w:r w:rsidRPr="00873B6C">
        <w:t>NOTE:</w:t>
      </w:r>
      <w:r w:rsidRPr="00873B6C">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873B6C" w:rsidRDefault="00D40151" w:rsidP="00D40151">
      <w:r w:rsidRPr="00873B6C">
        <w:t>Edge computing can be supported by one or a combination of the following enablers:</w:t>
      </w:r>
    </w:p>
    <w:p w14:paraId="34C3BA66" w14:textId="2C9520B7" w:rsidR="00D40151" w:rsidRPr="00873B6C" w:rsidRDefault="00D40151" w:rsidP="00D40151">
      <w:pPr>
        <w:pStyle w:val="B1"/>
      </w:pPr>
      <w:r w:rsidRPr="00873B6C">
        <w:t>-</w:t>
      </w:r>
      <w:r w:rsidRPr="00873B6C">
        <w:tab/>
        <w:t>User plane (re)selection: the 5G Core Network (re)selects UPF to route the user traffic to the local</w:t>
      </w:r>
      <w:r w:rsidR="00D841E1" w:rsidRPr="00873B6C">
        <w:t xml:space="preserve"> part of the DN</w:t>
      </w:r>
      <w:r w:rsidRPr="00873B6C">
        <w:t xml:space="preserve"> as described in clause 6.3.3;</w:t>
      </w:r>
    </w:p>
    <w:p w14:paraId="53D2AB96" w14:textId="7014E438" w:rsidR="00D40151" w:rsidRPr="00873B6C" w:rsidRDefault="00D40151" w:rsidP="00D40151">
      <w:pPr>
        <w:pStyle w:val="B1"/>
      </w:pPr>
      <w:r w:rsidRPr="00873B6C">
        <w:t>-</w:t>
      </w:r>
      <w:r w:rsidRPr="00873B6C">
        <w:tab/>
        <w:t>Local Routing and Traffic Steering: the 5G Core Network selects the traffic to be routed to the applications in the local</w:t>
      </w:r>
      <w:r w:rsidR="00D841E1" w:rsidRPr="00873B6C">
        <w:t xml:space="preserve"> part of the DN</w:t>
      </w:r>
      <w:r w:rsidRPr="00873B6C">
        <w:t>;</w:t>
      </w:r>
    </w:p>
    <w:p w14:paraId="540D75EA" w14:textId="44A042B5" w:rsidR="00D40151" w:rsidRPr="00873B6C" w:rsidRDefault="00D40151" w:rsidP="00D40151">
      <w:pPr>
        <w:pStyle w:val="B2"/>
        <w:rPr>
          <w:rFonts w:eastAsia="MS Mincho"/>
        </w:rPr>
      </w:pPr>
      <w:r w:rsidRPr="00873B6C">
        <w:t>-</w:t>
      </w:r>
      <w:r w:rsidRPr="00873B6C">
        <w:tab/>
        <w:t xml:space="preserve">this includes the use of a single PDU Session with </w:t>
      </w:r>
      <w:r w:rsidRPr="00873B6C">
        <w:rPr>
          <w:lang w:eastAsia="fr-FR"/>
        </w:rPr>
        <w:t>multiple PDU Session Anchor(s) (</w:t>
      </w:r>
      <w:r w:rsidRPr="00873B6C">
        <w:t>UL CL / IP v6 multi-homing) as</w:t>
      </w:r>
      <w:r w:rsidRPr="00873B6C">
        <w:rPr>
          <w:lang w:eastAsia="fr-FR"/>
        </w:rPr>
        <w:t xml:space="preserve"> described in clause 5.6.4</w:t>
      </w:r>
      <w:r w:rsidR="00B96062" w:rsidRPr="00873B6C">
        <w:rPr>
          <w:lang w:eastAsia="fr-FR"/>
        </w:rPr>
        <w:t xml:space="preserve"> and the use of a PDU Session with Distributed Anchor Point using SSC mode 2/3</w:t>
      </w:r>
      <w:r w:rsidRPr="00873B6C">
        <w:rPr>
          <w:lang w:eastAsia="fr-FR"/>
        </w:rPr>
        <w:t>.</w:t>
      </w:r>
    </w:p>
    <w:p w14:paraId="2371810E" w14:textId="77777777" w:rsidR="00D40151" w:rsidRPr="00873B6C" w:rsidRDefault="00D40151" w:rsidP="00D40151">
      <w:pPr>
        <w:pStyle w:val="B1"/>
      </w:pPr>
      <w:r w:rsidRPr="00873B6C">
        <w:t>-</w:t>
      </w:r>
      <w:r w:rsidRPr="00873B6C">
        <w:tab/>
        <w:t>Session and service continuity to enable UE and application mobility as described in clause 5.6.9;</w:t>
      </w:r>
    </w:p>
    <w:p w14:paraId="5470B0E7" w14:textId="77777777" w:rsidR="00D40151" w:rsidRPr="00873B6C" w:rsidRDefault="00D40151" w:rsidP="00D40151">
      <w:pPr>
        <w:pStyle w:val="B1"/>
      </w:pPr>
      <w:r w:rsidRPr="00873B6C">
        <w:t>-</w:t>
      </w:r>
      <w:r w:rsidRPr="00873B6C">
        <w:tab/>
        <w:t xml:space="preserve">An Application Function may influence UPF (re)selection and traffic routing </w:t>
      </w:r>
      <w:r w:rsidRPr="00873B6C">
        <w:rPr>
          <w:rFonts w:eastAsia="PMingLiU"/>
          <w:lang w:eastAsia="zh-TW"/>
        </w:rPr>
        <w:t xml:space="preserve">via PCF or NEF </w:t>
      </w:r>
      <w:r w:rsidRPr="00873B6C">
        <w:t>as described in clause 5.6.7;</w:t>
      </w:r>
    </w:p>
    <w:p w14:paraId="023F7E51" w14:textId="09D0B877" w:rsidR="00D40151" w:rsidRPr="00873B6C" w:rsidRDefault="00D40151" w:rsidP="00D40151">
      <w:pPr>
        <w:pStyle w:val="B1"/>
      </w:pPr>
      <w:r w:rsidRPr="00873B6C">
        <w:t>-</w:t>
      </w:r>
      <w:r w:rsidRPr="00873B6C">
        <w:tab/>
        <w:t>Network capability exposure: 5G Core Network and Application Function to provide information to each other via NEF as described in clause 5.20 or directly as described in</w:t>
      </w:r>
      <w:r w:rsidR="00960CDA" w:rsidRPr="00873B6C">
        <w:t xml:space="preserve"> clause 4.15 of</w:t>
      </w:r>
      <w:r w:rsidRPr="00873B6C">
        <w:t xml:space="preserve"> </w:t>
      </w:r>
      <w:r w:rsidR="00972E70" w:rsidRPr="00873B6C">
        <w:t>TS 23.502 [</w:t>
      </w:r>
      <w:r w:rsidRPr="00873B6C">
        <w:t>3]</w:t>
      </w:r>
      <w:r w:rsidR="00B96062" w:rsidRPr="00873B6C">
        <w:t xml:space="preserve"> or from the UPF as described in</w:t>
      </w:r>
      <w:r w:rsidR="00960CDA" w:rsidRPr="00873B6C">
        <w:t xml:space="preserve"> clause 6.4 of</w:t>
      </w:r>
      <w:r w:rsidR="00B96062" w:rsidRPr="00873B6C">
        <w:t xml:space="preserve"> </w:t>
      </w:r>
      <w:r w:rsidR="00972E70" w:rsidRPr="00873B6C">
        <w:t>TS 23.548 [</w:t>
      </w:r>
      <w:r w:rsidR="00B96062" w:rsidRPr="00873B6C">
        <w:t>130]</w:t>
      </w:r>
      <w:r w:rsidRPr="00873B6C">
        <w:t>;</w:t>
      </w:r>
    </w:p>
    <w:p w14:paraId="58DD8838" w14:textId="6C842D14" w:rsidR="00D40151" w:rsidRPr="00873B6C" w:rsidRDefault="00D40151" w:rsidP="00D40151">
      <w:pPr>
        <w:pStyle w:val="B1"/>
      </w:pPr>
      <w:r w:rsidRPr="00873B6C">
        <w:t>-</w:t>
      </w:r>
      <w:r w:rsidRPr="00873B6C">
        <w:tab/>
        <w:t>QoS and Charging: PCF provides rules for QoS Control and Charging for the traffic routed to the local</w:t>
      </w:r>
      <w:r w:rsidR="00D841E1" w:rsidRPr="00873B6C">
        <w:t xml:space="preserve"> part of the DN</w:t>
      </w:r>
      <w:r w:rsidRPr="00873B6C">
        <w:t>;</w:t>
      </w:r>
    </w:p>
    <w:p w14:paraId="45BFBF49" w14:textId="77777777" w:rsidR="00D40151" w:rsidRPr="00873B6C" w:rsidRDefault="00D40151" w:rsidP="00D40151">
      <w:pPr>
        <w:pStyle w:val="B1"/>
      </w:pPr>
      <w:r w:rsidRPr="00873B6C">
        <w:lastRenderedPageBreak/>
        <w:t>-</w:t>
      </w:r>
      <w:r w:rsidRPr="00873B6C">
        <w:tab/>
        <w:t xml:space="preserve">Support of Local Area Data Network: 5G </w:t>
      </w:r>
      <w:r w:rsidRPr="00873B6C">
        <w:rPr>
          <w:lang w:eastAsia="zh-CN"/>
        </w:rPr>
        <w:t>Core Network</w:t>
      </w:r>
      <w:r w:rsidRPr="00873B6C">
        <w:t xml:space="preserve"> provides support to connect to the LADN in a certain area where the applications are</w:t>
      </w:r>
      <w:r w:rsidRPr="00873B6C">
        <w:rPr>
          <w:lang w:eastAsia="zh-CN"/>
        </w:rPr>
        <w:t xml:space="preserve"> </w:t>
      </w:r>
      <w:r w:rsidRPr="00873B6C">
        <w:t>deployed as described in clause 5.6.5.</w:t>
      </w:r>
    </w:p>
    <w:p w14:paraId="1161D02D" w14:textId="76EE6380" w:rsidR="00B96062" w:rsidRPr="00873B6C" w:rsidRDefault="00B96062" w:rsidP="00B96062">
      <w:pPr>
        <w:pStyle w:val="B1"/>
      </w:pPr>
      <w:bookmarkStart w:id="2543" w:name="_Toc20149904"/>
      <w:bookmarkStart w:id="2544" w:name="_Toc27846703"/>
      <w:bookmarkStart w:id="2545" w:name="_Toc36187834"/>
      <w:bookmarkStart w:id="2546" w:name="_Toc45183738"/>
      <w:bookmarkStart w:id="2547" w:name="_Toc47342580"/>
      <w:bookmarkStart w:id="2548" w:name="_Toc51769281"/>
      <w:r w:rsidRPr="00873B6C">
        <w:t>-</w:t>
      </w:r>
      <w:r w:rsidRPr="00873B6C">
        <w:tab/>
        <w:t xml:space="preserve">Discovery and re-discovery of Edge Applications Servers as described in </w:t>
      </w:r>
      <w:r w:rsidR="00972E70" w:rsidRPr="00873B6C">
        <w:t>TS 23.548 [</w:t>
      </w:r>
      <w:r w:rsidRPr="00873B6C">
        <w:t>130].</w:t>
      </w:r>
    </w:p>
    <w:p w14:paraId="62E2B05A" w14:textId="11069507" w:rsidR="00B96062" w:rsidRPr="00873B6C" w:rsidRDefault="00B96062" w:rsidP="00B96062">
      <w:pPr>
        <w:pStyle w:val="B1"/>
      </w:pPr>
      <w:r w:rsidRPr="00873B6C">
        <w:t>-</w:t>
      </w:r>
      <w:r w:rsidRPr="00873B6C">
        <w:tab/>
        <w:t>Support of Edge Relocation as described</w:t>
      </w:r>
      <w:r w:rsidR="00A46717" w:rsidRPr="00873B6C">
        <w:t xml:space="preserve"> in</w:t>
      </w:r>
      <w:r w:rsidRPr="00873B6C">
        <w:t xml:space="preserve"> </w:t>
      </w:r>
      <w:r w:rsidR="00972E70" w:rsidRPr="00873B6C">
        <w:t>TS 23.548 [</w:t>
      </w:r>
      <w:r w:rsidRPr="00873B6C">
        <w:t>130]</w:t>
      </w:r>
      <w:r w:rsidR="00A46717" w:rsidRPr="00873B6C">
        <w:t xml:space="preserve"> and the case of involving AF change as described in clauses 4.3.6.2, 4.3.6.3 and 4.3.6.4 of </w:t>
      </w:r>
      <w:r w:rsidR="00972E70" w:rsidRPr="00873B6C">
        <w:t>TS 23.502 [</w:t>
      </w:r>
      <w:r w:rsidR="00A46717" w:rsidRPr="00873B6C">
        <w:t>3]</w:t>
      </w:r>
      <w:r w:rsidRPr="00873B6C">
        <w:t>.</w:t>
      </w:r>
      <w:r w:rsidR="00114986" w:rsidRPr="00873B6C">
        <w:t xml:space="preserve"> Support of 5GC triggered Edge relocation within the same hosting PLMN's EHEs.</w:t>
      </w:r>
    </w:p>
    <w:p w14:paraId="6F76F765" w14:textId="0FDCB480" w:rsidR="00B96062" w:rsidRPr="00873B6C" w:rsidRDefault="00B96062" w:rsidP="00B96062">
      <w:pPr>
        <w:pStyle w:val="B1"/>
      </w:pPr>
      <w:r w:rsidRPr="00873B6C">
        <w:t>-</w:t>
      </w:r>
      <w:r w:rsidRPr="00873B6C">
        <w:tab/>
        <w:t>Support of (I-)SMF (re)selection based on DNAI as described in</w:t>
      </w:r>
      <w:r w:rsidR="00960CDA" w:rsidRPr="00873B6C">
        <w:t xml:space="preserve"> clauses 4.3.5.1</w:t>
      </w:r>
      <w:r w:rsidR="00A46717" w:rsidRPr="00873B6C">
        <w:t>,</w:t>
      </w:r>
      <w:r w:rsidR="00960CDA" w:rsidRPr="00873B6C">
        <w:t xml:space="preserve"> 4.3.5.2</w:t>
      </w:r>
      <w:r w:rsidR="00A46717" w:rsidRPr="00873B6C">
        <w:t xml:space="preserve"> and 4.23.5.1</w:t>
      </w:r>
      <w:r w:rsidR="00960CDA" w:rsidRPr="00873B6C">
        <w:t xml:space="preserve"> of</w:t>
      </w:r>
      <w:r w:rsidRPr="00873B6C">
        <w:t xml:space="preserve"> </w:t>
      </w:r>
      <w:r w:rsidR="00972E70" w:rsidRPr="00873B6C">
        <w:t>TS 23.502 [</w:t>
      </w:r>
      <w:r w:rsidRPr="00873B6C">
        <w:t>3].</w:t>
      </w:r>
    </w:p>
    <w:p w14:paraId="69F333CA" w14:textId="77777777" w:rsidR="00114986" w:rsidRPr="00873B6C" w:rsidRDefault="00114986" w:rsidP="00114986">
      <w:pPr>
        <w:pStyle w:val="B1"/>
      </w:pPr>
      <w:r w:rsidRPr="00873B6C">
        <w:t>-</w:t>
      </w:r>
      <w:r w:rsidRPr="00873B6C">
        <w:tab/>
        <w:t>Support of finer sets of UEs.</w:t>
      </w:r>
    </w:p>
    <w:p w14:paraId="3216B343" w14:textId="77777777" w:rsidR="00114986" w:rsidRPr="00873B6C" w:rsidRDefault="00114986" w:rsidP="00114986">
      <w:pPr>
        <w:pStyle w:val="B1"/>
      </w:pPr>
      <w:r w:rsidRPr="00873B6C">
        <w:t>-</w:t>
      </w:r>
      <w:r w:rsidRPr="00873B6C">
        <w:tab/>
        <w:t>Support of common EAS discovery and common DNAI determination for set of UEs as described in clause 6.2 of TS 23.548 [130].</w:t>
      </w:r>
    </w:p>
    <w:p w14:paraId="2BE7D3E1" w14:textId="77777777" w:rsidR="00114986" w:rsidRPr="00873B6C" w:rsidRDefault="00114986" w:rsidP="00114986">
      <w:pPr>
        <w:pStyle w:val="B1"/>
      </w:pPr>
      <w:r w:rsidRPr="00873B6C">
        <w:t>-</w:t>
      </w:r>
      <w:r w:rsidRPr="00873B6C">
        <w:tab/>
        <w:t>Support of mapping information between EAS IP/IP range and DNAI as described in clause 6.8 of TS 23.548 [130].</w:t>
      </w:r>
    </w:p>
    <w:p w14:paraId="6EF54872" w14:textId="15F98967" w:rsidR="00C86B51" w:rsidRPr="00873B6C" w:rsidRDefault="00C86B51" w:rsidP="00C86B51">
      <w:pPr>
        <w:pStyle w:val="B1"/>
      </w:pPr>
      <w:r w:rsidRPr="00873B6C">
        <w:t>-</w:t>
      </w:r>
      <w:r w:rsidRPr="00873B6C">
        <w:tab/>
        <w:t>Support of AF request for DNAI as described in clause 6.8 of TS 23.548 [130].</w:t>
      </w:r>
    </w:p>
    <w:p w14:paraId="681A366C" w14:textId="0729AD48" w:rsidR="00D40151" w:rsidRPr="00873B6C" w:rsidRDefault="00D40151" w:rsidP="00D40151">
      <w:pPr>
        <w:pStyle w:val="Heading2"/>
      </w:pPr>
      <w:bookmarkStart w:id="2549" w:name="_CR5_14"/>
      <w:bookmarkStart w:id="2550" w:name="_Toc201157254"/>
      <w:bookmarkEnd w:id="2549"/>
      <w:r w:rsidRPr="00873B6C">
        <w:t>5.14</w:t>
      </w:r>
      <w:r w:rsidRPr="00873B6C">
        <w:tab/>
        <w:t>Policy Control</w:t>
      </w:r>
      <w:bookmarkEnd w:id="2543"/>
      <w:bookmarkEnd w:id="2544"/>
      <w:bookmarkEnd w:id="2545"/>
      <w:bookmarkEnd w:id="2546"/>
      <w:bookmarkEnd w:id="2547"/>
      <w:bookmarkEnd w:id="2548"/>
      <w:bookmarkEnd w:id="2550"/>
    </w:p>
    <w:p w14:paraId="50A6C472" w14:textId="5FD6EE0A" w:rsidR="00D40151" w:rsidRPr="00873B6C" w:rsidRDefault="00D40151" w:rsidP="00D40151">
      <w:r w:rsidRPr="00873B6C">
        <w:t xml:space="preserve">The policy and charging control framework for the 5G System is defined in </w:t>
      </w:r>
      <w:r w:rsidR="00972E70" w:rsidRPr="00873B6C">
        <w:t>TS 23.503 [</w:t>
      </w:r>
      <w:r w:rsidRPr="00873B6C">
        <w:t>45].</w:t>
      </w:r>
    </w:p>
    <w:p w14:paraId="28CB22E1" w14:textId="77777777" w:rsidR="00D40151" w:rsidRPr="00873B6C" w:rsidRDefault="00D40151" w:rsidP="00D40151">
      <w:pPr>
        <w:pStyle w:val="Heading2"/>
      </w:pPr>
      <w:bookmarkStart w:id="2551" w:name="_CR5_15"/>
      <w:bookmarkStart w:id="2552" w:name="_Toc20149905"/>
      <w:bookmarkStart w:id="2553" w:name="_Toc27846704"/>
      <w:bookmarkStart w:id="2554" w:name="_Toc36187835"/>
      <w:bookmarkStart w:id="2555" w:name="_Toc45183739"/>
      <w:bookmarkStart w:id="2556" w:name="_Toc47342581"/>
      <w:bookmarkStart w:id="2557" w:name="_Toc51769282"/>
      <w:bookmarkStart w:id="2558" w:name="_Toc201157255"/>
      <w:bookmarkEnd w:id="2551"/>
      <w:r w:rsidRPr="00873B6C">
        <w:t>5.15</w:t>
      </w:r>
      <w:r w:rsidRPr="00873B6C">
        <w:tab/>
        <w:t>Network slicing</w:t>
      </w:r>
      <w:bookmarkEnd w:id="2552"/>
      <w:bookmarkEnd w:id="2553"/>
      <w:bookmarkEnd w:id="2554"/>
      <w:bookmarkEnd w:id="2555"/>
      <w:bookmarkEnd w:id="2556"/>
      <w:bookmarkEnd w:id="2557"/>
      <w:bookmarkEnd w:id="2558"/>
    </w:p>
    <w:p w14:paraId="1405E6EF" w14:textId="77777777" w:rsidR="00D40151" w:rsidRPr="00873B6C" w:rsidRDefault="00D40151" w:rsidP="00D40151">
      <w:pPr>
        <w:pStyle w:val="Heading3"/>
      </w:pPr>
      <w:bookmarkStart w:id="2559" w:name="_CR5_15_1"/>
      <w:bookmarkStart w:id="2560" w:name="_Toc20149906"/>
      <w:bookmarkStart w:id="2561" w:name="_Toc27846705"/>
      <w:bookmarkStart w:id="2562" w:name="_Toc36187836"/>
      <w:bookmarkStart w:id="2563" w:name="_Toc45183740"/>
      <w:bookmarkStart w:id="2564" w:name="_Toc47342582"/>
      <w:bookmarkStart w:id="2565" w:name="_Toc51769283"/>
      <w:bookmarkStart w:id="2566" w:name="_Toc201157256"/>
      <w:bookmarkEnd w:id="2559"/>
      <w:r w:rsidRPr="00873B6C">
        <w:t>5.15.1</w:t>
      </w:r>
      <w:r w:rsidRPr="00873B6C">
        <w:tab/>
        <w:t>General</w:t>
      </w:r>
      <w:bookmarkEnd w:id="2560"/>
      <w:bookmarkEnd w:id="2561"/>
      <w:bookmarkEnd w:id="2562"/>
      <w:bookmarkEnd w:id="2563"/>
      <w:bookmarkEnd w:id="2564"/>
      <w:bookmarkEnd w:id="2565"/>
      <w:bookmarkEnd w:id="2566"/>
    </w:p>
    <w:p w14:paraId="41792675" w14:textId="7E4C54EA" w:rsidR="00D40151" w:rsidRPr="00873B6C" w:rsidRDefault="00D40151" w:rsidP="00D40151">
      <w:r w:rsidRPr="00873B6C">
        <w:t>A Network Slice instance is defined within a PLMN</w:t>
      </w:r>
      <w:r w:rsidR="006648CD" w:rsidRPr="00873B6C">
        <w:t xml:space="preserve"> or within an SNPN</w:t>
      </w:r>
      <w:r w:rsidRPr="00873B6C">
        <w:t xml:space="preserve"> and shall include:</w:t>
      </w:r>
    </w:p>
    <w:p w14:paraId="5FC522DB" w14:textId="77777777" w:rsidR="00D40151" w:rsidRPr="00873B6C" w:rsidRDefault="00D40151" w:rsidP="00D40151">
      <w:pPr>
        <w:pStyle w:val="B1"/>
      </w:pPr>
      <w:r w:rsidRPr="00873B6C">
        <w:t>-</w:t>
      </w:r>
      <w:r w:rsidRPr="00873B6C">
        <w:tab/>
        <w:t>the Core Network Control Plane and User Plane Network Functions, as described in clause 4.2,</w:t>
      </w:r>
    </w:p>
    <w:p w14:paraId="28D708EC" w14:textId="77777777" w:rsidR="00D40151" w:rsidRPr="00873B6C" w:rsidRDefault="00D40151" w:rsidP="00D40151">
      <w:r w:rsidRPr="00873B6C">
        <w:t>and, in the serving PLMN, at least one of the following:</w:t>
      </w:r>
    </w:p>
    <w:p w14:paraId="5C7E05A6" w14:textId="567AB529" w:rsidR="00D40151" w:rsidRPr="00873B6C" w:rsidRDefault="00D40151" w:rsidP="00D40151">
      <w:pPr>
        <w:pStyle w:val="B1"/>
      </w:pPr>
      <w:r w:rsidRPr="00873B6C">
        <w:t>-</w:t>
      </w:r>
      <w:r w:rsidRPr="00873B6C">
        <w:tab/>
        <w:t>the NG-RAN described in</w:t>
      </w:r>
      <w:r w:rsidR="00704A9E" w:rsidRPr="00873B6C">
        <w:t xml:space="preserve"> </w:t>
      </w:r>
      <w:r w:rsidR="00972E70" w:rsidRPr="00873B6C">
        <w:t>TS 38.300 [</w:t>
      </w:r>
      <w:r w:rsidRPr="00873B6C">
        <w:t>27];</w:t>
      </w:r>
    </w:p>
    <w:p w14:paraId="69AB88D2" w14:textId="77777777" w:rsidR="00D40151" w:rsidRPr="00873B6C" w:rsidRDefault="00D40151" w:rsidP="00D40151">
      <w:pPr>
        <w:pStyle w:val="B1"/>
      </w:pPr>
      <w:r w:rsidRPr="00873B6C">
        <w:t>-</w:t>
      </w:r>
      <w:r w:rsidRPr="00873B6C">
        <w:tab/>
        <w:t>the N3IWF or TNGF functions to the non-3GPP Access Network described in clause 4.2.8.2 or the TWIF functions to the trusted WLAN in the case of support of N5CW devices described in clause 4.2.8.5;</w:t>
      </w:r>
    </w:p>
    <w:p w14:paraId="74ACC01F" w14:textId="77777777" w:rsidR="00D40151" w:rsidRPr="00873B6C" w:rsidRDefault="00D40151" w:rsidP="00D40151">
      <w:pPr>
        <w:pStyle w:val="B1"/>
      </w:pPr>
      <w:r w:rsidRPr="00873B6C">
        <w:t>-</w:t>
      </w:r>
      <w:r w:rsidRPr="00873B6C">
        <w:tab/>
        <w:t>the W-AGF function to the Wireline Access Network described in clause 4.2.8.4.</w:t>
      </w:r>
    </w:p>
    <w:p w14:paraId="22534B51" w14:textId="66D03C19" w:rsidR="00D40151" w:rsidRPr="00873B6C" w:rsidRDefault="00D40151" w:rsidP="00D40151">
      <w:r w:rsidRPr="00873B6C">
        <w:t xml:space="preserve">The 5G System deployed in a PLMN shall always support the procedures, information and configurations specified to support Network Slice instance selection in the present document, </w:t>
      </w:r>
      <w:r w:rsidR="00972E70" w:rsidRPr="00873B6C">
        <w:t>TS 23.502 [</w:t>
      </w:r>
      <w:r w:rsidRPr="00873B6C">
        <w:t xml:space="preserve">3] and </w:t>
      </w:r>
      <w:r w:rsidR="00972E70" w:rsidRPr="00873B6C">
        <w:t>TS 23.503 [</w:t>
      </w:r>
      <w:r w:rsidRPr="00873B6C">
        <w:t>45].</w:t>
      </w:r>
    </w:p>
    <w:p w14:paraId="19F8AD74" w14:textId="31854F4A" w:rsidR="003E03C2" w:rsidRPr="00873B6C" w:rsidRDefault="003E03C2" w:rsidP="003E03C2">
      <w:pPr>
        <w:pStyle w:val="NO"/>
      </w:pPr>
      <w:r w:rsidRPr="00873B6C">
        <w:t>NOTE 1:</w:t>
      </w:r>
      <w:r w:rsidRPr="00873B6C">
        <w:tab/>
        <w:t xml:space="preserve">Management of network slices are described in </w:t>
      </w:r>
      <w:r w:rsidR="00972E70" w:rsidRPr="00873B6C">
        <w:t>TS 28.530 [</w:t>
      </w:r>
      <w:r w:rsidRPr="00873B6C">
        <w:t xml:space="preserve">175], the procedures for provisioning of networks and network slices are described in </w:t>
      </w:r>
      <w:r w:rsidR="00972E70" w:rsidRPr="00873B6C">
        <w:t>TS 28.531 [</w:t>
      </w:r>
      <w:r w:rsidRPr="00873B6C">
        <w:t xml:space="preserve">176] and </w:t>
      </w:r>
      <w:r w:rsidR="00972E70" w:rsidRPr="00873B6C">
        <w:t>TS 28.541 [</w:t>
      </w:r>
      <w:r w:rsidRPr="00873B6C">
        <w:t>149] describes the resource model for managing the resources.</w:t>
      </w:r>
    </w:p>
    <w:p w14:paraId="707D252F" w14:textId="77777777" w:rsidR="00D40151" w:rsidRPr="00873B6C" w:rsidRDefault="00D40151" w:rsidP="00D40151">
      <w:r w:rsidRPr="00873B6C">
        <w:t>Network slicing support for roaming is described in clause 5.15.6.</w:t>
      </w:r>
    </w:p>
    <w:p w14:paraId="0C087636" w14:textId="77777777" w:rsidR="00D40151" w:rsidRPr="00873B6C" w:rsidRDefault="00D40151" w:rsidP="00D40151">
      <w:r w:rsidRPr="00873B6C">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873B6C" w:rsidRDefault="00D40151" w:rsidP="00D40151">
      <w:r w:rsidRPr="00873B6C">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FDA6A11" w:rsidR="00D40151" w:rsidRPr="00873B6C" w:rsidRDefault="00D40151" w:rsidP="00D40151">
      <w:pPr>
        <w:pStyle w:val="NO"/>
      </w:pPr>
      <w:r w:rsidRPr="00873B6C">
        <w:lastRenderedPageBreak/>
        <w:t>NOTE </w:t>
      </w:r>
      <w:r w:rsidR="003E03C2" w:rsidRPr="00873B6C">
        <w:t>2</w:t>
      </w:r>
      <w:r w:rsidRPr="00873B6C">
        <w:t>:</w:t>
      </w:r>
      <w:r w:rsidRPr="00873B6C">
        <w:tab/>
        <w:t>Number of simultaneous connection of Network Slice instances per UE is limited by the number of S-NSSAIs in the Requested/Allowed NSSAI as described in clause 5.15.2.1.</w:t>
      </w:r>
    </w:p>
    <w:p w14:paraId="475B9458" w14:textId="79240502" w:rsidR="00D40151" w:rsidRPr="00873B6C" w:rsidRDefault="00D40151" w:rsidP="00D40151">
      <w:pPr>
        <w:pStyle w:val="NO"/>
      </w:pPr>
      <w:r w:rsidRPr="00873B6C">
        <w:t>NOTE </w:t>
      </w:r>
      <w:r w:rsidR="003E03C2" w:rsidRPr="00873B6C">
        <w:t>3</w:t>
      </w:r>
      <w:r w:rsidRPr="00873B6C">
        <w:t>:</w:t>
      </w:r>
      <w:r w:rsidRPr="00873B6C">
        <w:tab/>
        <w:t>In this Release of the specification it is assumed that in any (home or visited) PLMN it is always possible to select an AMF that can serve any combination of S-NSSAIs that will be provided as an Allowed NSSAI.</w:t>
      </w:r>
    </w:p>
    <w:p w14:paraId="1F56D12F" w14:textId="147A4118" w:rsidR="00D40151" w:rsidRPr="00873B6C" w:rsidRDefault="00D40151" w:rsidP="00D40151">
      <w:r w:rsidRPr="00873B6C">
        <w:t>The selection of the set of Network Slice instances for a UE is triggered by the first contacted AMF in a Registration procedure normally by interacting with the NSSF</w:t>
      </w:r>
      <w:r w:rsidR="00472CD7" w:rsidRPr="00873B6C">
        <w:t xml:space="preserve"> and</w:t>
      </w:r>
      <w:r w:rsidRPr="00873B6C">
        <w:t xml:space="preserve"> can lead to a change of AMF. This is further described in clause 5.15.5.</w:t>
      </w:r>
    </w:p>
    <w:p w14:paraId="60A3AA0D" w14:textId="77777777" w:rsidR="00D40151" w:rsidRPr="00873B6C" w:rsidRDefault="00D40151" w:rsidP="00D40151">
      <w:pPr>
        <w:rPr>
          <w:lang w:eastAsia="zh-CN"/>
        </w:rPr>
      </w:pPr>
      <w:r w:rsidRPr="00873B6C">
        <w:rPr>
          <w:lang w:eastAsia="zh-CN"/>
        </w:rPr>
        <w:t>A PDU Session belongs to one and only one</w:t>
      </w:r>
      <w:r w:rsidRPr="00873B6C" w:rsidDel="00C46771">
        <w:rPr>
          <w:lang w:eastAsia="zh-CN"/>
        </w:rPr>
        <w:t xml:space="preserve"> </w:t>
      </w:r>
      <w:r w:rsidRPr="00873B6C">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873B6C" w:rsidRDefault="00D40151" w:rsidP="00D40151">
      <w:pPr>
        <w:rPr>
          <w:lang w:eastAsia="zh-CN"/>
        </w:rPr>
      </w:pPr>
      <w:r w:rsidRPr="00873B6C">
        <w:rPr>
          <w:lang w:eastAsia="zh-CN"/>
        </w:rPr>
        <w:t>During the Handover procedure the source AMF selects a target AMF by interacting with the NRF as specified in clause 6.3.5.</w:t>
      </w:r>
    </w:p>
    <w:p w14:paraId="02FDE227" w14:textId="77777777" w:rsidR="006648CD" w:rsidRPr="00873B6C" w:rsidRDefault="006648CD" w:rsidP="006648CD">
      <w:pPr>
        <w:rPr>
          <w:lang w:eastAsia="zh-CN"/>
        </w:rPr>
      </w:pPr>
      <w:bookmarkStart w:id="2567" w:name="_Toc20149907"/>
      <w:bookmarkStart w:id="2568" w:name="_Toc27846706"/>
      <w:bookmarkStart w:id="2569" w:name="_Toc36187837"/>
      <w:bookmarkStart w:id="2570" w:name="_Toc45183741"/>
      <w:bookmarkStart w:id="2571" w:name="_Toc47342583"/>
      <w:bookmarkStart w:id="2572" w:name="_Toc51769284"/>
      <w:r w:rsidRPr="00873B6C">
        <w:rPr>
          <w:lang w:eastAsia="zh-CN"/>
        </w:rPr>
        <w:t>Network Slice-Specific Authentication and Authorization (NSSAA) enables Network Slice specific authentication as described in clause 5.15.10.</w:t>
      </w:r>
    </w:p>
    <w:p w14:paraId="60D9A57E" w14:textId="403CDF73" w:rsidR="006648CD" w:rsidRPr="00873B6C" w:rsidRDefault="006648CD" w:rsidP="006648CD">
      <w:pPr>
        <w:rPr>
          <w:lang w:eastAsia="zh-CN"/>
        </w:rPr>
      </w:pPr>
      <w:r w:rsidRPr="00873B6C">
        <w:rPr>
          <w:lang w:eastAsia="zh-CN"/>
        </w:rPr>
        <w:t>Network Slice Admission Control (NSAC) controls the number of registered UEs per network slice</w:t>
      </w:r>
      <w:r w:rsidR="002506F3" w:rsidRPr="00873B6C">
        <w:rPr>
          <w:lang w:eastAsia="zh-CN"/>
        </w:rPr>
        <w:t>, the number of UEs with at least one PDU Session/PDN Connection per network slice in the case of EPC interworking</w:t>
      </w:r>
      <w:r w:rsidRPr="00873B6C">
        <w:rPr>
          <w:lang w:eastAsia="zh-CN"/>
        </w:rPr>
        <w:t xml:space="preserve"> and the number of PDU Sessions per network slice as described in clause 5.15.11.</w:t>
      </w:r>
    </w:p>
    <w:p w14:paraId="18AEBCE1" w14:textId="77777777" w:rsidR="006648CD" w:rsidRPr="00873B6C" w:rsidRDefault="006648CD" w:rsidP="006648CD">
      <w:pPr>
        <w:rPr>
          <w:lang w:eastAsia="zh-CN"/>
        </w:rPr>
      </w:pPr>
      <w:r w:rsidRPr="00873B6C">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873B6C" w:rsidRDefault="006648CD" w:rsidP="006648CD">
      <w:pPr>
        <w:rPr>
          <w:lang w:eastAsia="zh-CN"/>
        </w:rPr>
      </w:pPr>
      <w:r w:rsidRPr="00873B6C">
        <w:rPr>
          <w:lang w:eastAsia="zh-CN"/>
        </w:rPr>
        <w:t>Support of data rate limitation per Network Slice for a UE enables enforcement of Maximum Bit Rate per Network Slice for a UE as described in clause 5.15.13.</w:t>
      </w:r>
    </w:p>
    <w:p w14:paraId="2A733D67" w14:textId="10409A2C" w:rsidR="0069561D" w:rsidRPr="00873B6C" w:rsidRDefault="0069561D" w:rsidP="0069561D">
      <w:pPr>
        <w:rPr>
          <w:lang w:eastAsia="zh-CN"/>
        </w:rPr>
      </w:pPr>
      <w:r w:rsidRPr="00873B6C">
        <w:rPr>
          <w:lang w:eastAsia="zh-CN"/>
        </w:rPr>
        <w:t>The selection of N3IWF</w:t>
      </w:r>
      <w:r w:rsidR="00587044" w:rsidRPr="00873B6C">
        <w:rPr>
          <w:lang w:eastAsia="zh-CN"/>
        </w:rPr>
        <w:t>/TNGF</w:t>
      </w:r>
      <w:r w:rsidRPr="00873B6C">
        <w:rPr>
          <w:lang w:eastAsia="zh-CN"/>
        </w:rPr>
        <w:t xml:space="preserve"> supporting a set of slice(s) is described in clause 6.3.6</w:t>
      </w:r>
      <w:r w:rsidR="00587044" w:rsidRPr="00873B6C">
        <w:rPr>
          <w:lang w:eastAsia="zh-CN"/>
        </w:rPr>
        <w:t xml:space="preserve"> and clause 6.3.12 respectively</w:t>
      </w:r>
      <w:r w:rsidRPr="00873B6C">
        <w:rPr>
          <w:lang w:eastAsia="zh-CN"/>
        </w:rPr>
        <w:t>.</w:t>
      </w:r>
    </w:p>
    <w:p w14:paraId="34769F45" w14:textId="0D43C7FA" w:rsidR="00B7520E" w:rsidRPr="00873B6C" w:rsidRDefault="00B7520E" w:rsidP="00B7520E">
      <w:pPr>
        <w:rPr>
          <w:lang w:eastAsia="zh-CN"/>
        </w:rPr>
      </w:pPr>
      <w:r w:rsidRPr="00873B6C">
        <w:rPr>
          <w:lang w:eastAsia="zh-CN"/>
        </w:rPr>
        <w:t>The support of Network Slice usage control is described in clause 5.15.15.</w:t>
      </w:r>
    </w:p>
    <w:p w14:paraId="39C59394" w14:textId="69350F80" w:rsidR="00985055" w:rsidRPr="00873B6C" w:rsidRDefault="00985055" w:rsidP="00985055">
      <w:pPr>
        <w:rPr>
          <w:lang w:eastAsia="zh-CN"/>
        </w:rPr>
      </w:pPr>
      <w:r w:rsidRPr="00873B6C">
        <w:rPr>
          <w:lang w:eastAsia="zh-CN"/>
        </w:rPr>
        <w:t>Support of Optimized handling of temporarily available network slices is described in clause 5.15.16. It also covers aspects related to graceful release of network slices connectivity during slice decommissioning.</w:t>
      </w:r>
    </w:p>
    <w:p w14:paraId="438C683E" w14:textId="391D5119" w:rsidR="00D01473" w:rsidRPr="00873B6C" w:rsidRDefault="00D01473" w:rsidP="00D01473">
      <w:pPr>
        <w:rPr>
          <w:lang w:eastAsia="zh-CN"/>
        </w:rPr>
      </w:pPr>
      <w:r w:rsidRPr="00873B6C">
        <w:rPr>
          <w:lang w:eastAsia="zh-CN"/>
        </w:rPr>
        <w:t>The Partial Network Slice support in a Registration Area is described in clause 5.15.17.</w:t>
      </w:r>
    </w:p>
    <w:p w14:paraId="593F48A8" w14:textId="3557C5BC" w:rsidR="00335A94" w:rsidRPr="00873B6C" w:rsidRDefault="00335A94" w:rsidP="00335A94">
      <w:pPr>
        <w:rPr>
          <w:lang w:eastAsia="zh-CN"/>
        </w:rPr>
      </w:pPr>
      <w:r w:rsidRPr="00873B6C">
        <w:rPr>
          <w:lang w:eastAsia="zh-CN"/>
        </w:rPr>
        <w:t>Support for Network Slices with Network Slice Area of Service not matching deployed Tracking Areas is described in clause 5.15.18.</w:t>
      </w:r>
    </w:p>
    <w:p w14:paraId="2104A04F" w14:textId="5F7C88A9" w:rsidR="003E03C2" w:rsidRPr="00873B6C" w:rsidRDefault="003E03C2" w:rsidP="003E03C2">
      <w:pPr>
        <w:rPr>
          <w:lang w:eastAsia="zh-CN"/>
        </w:rPr>
      </w:pPr>
      <w:r w:rsidRPr="00873B6C">
        <w:rPr>
          <w:lang w:eastAsia="zh-CN"/>
        </w:rPr>
        <w:t>Support of Network Slice Replacement is described in clause 5.15.19.</w:t>
      </w:r>
    </w:p>
    <w:p w14:paraId="2DB011C5" w14:textId="77777777" w:rsidR="00D40151" w:rsidRPr="00873B6C" w:rsidRDefault="00D40151" w:rsidP="00D40151">
      <w:pPr>
        <w:pStyle w:val="Heading3"/>
      </w:pPr>
      <w:bookmarkStart w:id="2573" w:name="_CR5_15_2"/>
      <w:bookmarkStart w:id="2574" w:name="_Toc201157257"/>
      <w:bookmarkEnd w:id="2573"/>
      <w:r w:rsidRPr="00873B6C">
        <w:t>5.15.2</w:t>
      </w:r>
      <w:r w:rsidRPr="00873B6C">
        <w:tab/>
        <w:t>Identification and selection of a Network Slice: the S-NSSAI and the NSSAI</w:t>
      </w:r>
      <w:bookmarkEnd w:id="2567"/>
      <w:bookmarkEnd w:id="2568"/>
      <w:bookmarkEnd w:id="2569"/>
      <w:bookmarkEnd w:id="2570"/>
      <w:bookmarkEnd w:id="2571"/>
      <w:bookmarkEnd w:id="2572"/>
      <w:bookmarkEnd w:id="2574"/>
    </w:p>
    <w:p w14:paraId="56A6794D" w14:textId="77777777" w:rsidR="00D40151" w:rsidRPr="00873B6C" w:rsidRDefault="00D40151" w:rsidP="00D40151">
      <w:pPr>
        <w:pStyle w:val="Heading4"/>
      </w:pPr>
      <w:bookmarkStart w:id="2575" w:name="_CR5_15_2_1"/>
      <w:bookmarkStart w:id="2576" w:name="_Toc20149908"/>
      <w:bookmarkStart w:id="2577" w:name="_Toc27846707"/>
      <w:bookmarkStart w:id="2578" w:name="_Toc36187838"/>
      <w:bookmarkStart w:id="2579" w:name="_Toc45183742"/>
      <w:bookmarkStart w:id="2580" w:name="_Toc47342584"/>
      <w:bookmarkStart w:id="2581" w:name="_Toc51769285"/>
      <w:bookmarkStart w:id="2582" w:name="_Toc201157258"/>
      <w:bookmarkEnd w:id="2575"/>
      <w:r w:rsidRPr="00873B6C">
        <w:t>5.15.2.1</w:t>
      </w:r>
      <w:r w:rsidRPr="00873B6C">
        <w:tab/>
        <w:t>General</w:t>
      </w:r>
      <w:bookmarkEnd w:id="2576"/>
      <w:bookmarkEnd w:id="2577"/>
      <w:bookmarkEnd w:id="2578"/>
      <w:bookmarkEnd w:id="2579"/>
      <w:bookmarkEnd w:id="2580"/>
      <w:bookmarkEnd w:id="2581"/>
      <w:bookmarkEnd w:id="2582"/>
    </w:p>
    <w:p w14:paraId="4B885B6F" w14:textId="77777777" w:rsidR="00D40151" w:rsidRPr="00873B6C" w:rsidRDefault="00D40151" w:rsidP="00D40151">
      <w:r w:rsidRPr="00873B6C">
        <w:t>An S-NSSAI identifies a Network Slice.</w:t>
      </w:r>
    </w:p>
    <w:p w14:paraId="492890B5" w14:textId="77777777" w:rsidR="00D40151" w:rsidRPr="00873B6C" w:rsidRDefault="00D40151" w:rsidP="00D40151">
      <w:r w:rsidRPr="00873B6C">
        <w:t>An S-NSSAI is comprised of:</w:t>
      </w:r>
    </w:p>
    <w:p w14:paraId="3444525C" w14:textId="77777777" w:rsidR="00D40151" w:rsidRPr="00873B6C" w:rsidRDefault="00D40151" w:rsidP="00D40151">
      <w:pPr>
        <w:pStyle w:val="B1"/>
      </w:pPr>
      <w:r w:rsidRPr="00873B6C">
        <w:t>-</w:t>
      </w:r>
      <w:r w:rsidRPr="00873B6C">
        <w:tab/>
        <w:t>A Slice/Service type (SST), which refers to the expected Network Slice behaviour in terms of features and services;</w:t>
      </w:r>
    </w:p>
    <w:p w14:paraId="3C186EC3" w14:textId="77777777" w:rsidR="00D40151" w:rsidRPr="00873B6C" w:rsidRDefault="00D40151" w:rsidP="00D40151">
      <w:pPr>
        <w:pStyle w:val="B1"/>
      </w:pPr>
      <w:r w:rsidRPr="00873B6C">
        <w:t>-</w:t>
      </w:r>
      <w:r w:rsidRPr="00873B6C">
        <w:tab/>
        <w:t>A Slice Differentiator (SD), which is optional information that complements the Slice/Service type(s) to differentiate amongst multiple Network Slices of the same Slice/Service type.</w:t>
      </w:r>
    </w:p>
    <w:p w14:paraId="105DF26E" w14:textId="346F44BA" w:rsidR="00D40151" w:rsidRPr="00873B6C" w:rsidRDefault="00D40151" w:rsidP="00D40151">
      <w:pPr>
        <w:rPr>
          <w:lang w:eastAsia="zh-CN"/>
        </w:rPr>
      </w:pPr>
      <w:r w:rsidRPr="00873B6C">
        <w:rPr>
          <w:lang w:eastAsia="zh-CN"/>
        </w:rPr>
        <w:t>An S-NSSAI can have standard values (i.e. such S-NSSAI is only comprised of an SST with a standardised SST value, see clause 5.15.2.2</w:t>
      </w:r>
      <w:r w:rsidR="00472CD7" w:rsidRPr="00873B6C">
        <w:rPr>
          <w:lang w:eastAsia="zh-CN"/>
        </w:rPr>
        <w:t xml:space="preserve"> and</w:t>
      </w:r>
      <w:r w:rsidRPr="00873B6C">
        <w:rPr>
          <w:lang w:eastAsia="zh-CN"/>
        </w:rPr>
        <w:t xml:space="preserve"> no SD) or non-standard values (i.e. such S-NSSAI is comprised of either both an SST and an SD or only an SST without a standardised SST value and no SD). An S-NSSAI with a non-standard value identifies a single </w:t>
      </w:r>
      <w:r w:rsidRPr="00873B6C">
        <w:rPr>
          <w:lang w:eastAsia="zh-CN"/>
        </w:rPr>
        <w:lastRenderedPageBreak/>
        <w:t>Network Slice within the PLMN with which it is associated. An S-NSSAI with a non-standard value shall not be used by the UE in access stratum procedures in any PLMN other than the one to which the S-NSSAI is associated.</w:t>
      </w:r>
    </w:p>
    <w:p w14:paraId="7F2A134A" w14:textId="19ED77B6" w:rsidR="00D40151" w:rsidRPr="00873B6C" w:rsidRDefault="00D40151" w:rsidP="00D40151">
      <w:pPr>
        <w:rPr>
          <w:lang w:eastAsia="zh-CN"/>
        </w:rPr>
      </w:pPr>
      <w:r w:rsidRPr="00873B6C">
        <w:rPr>
          <w:lang w:eastAsia="zh-CN"/>
        </w:rPr>
        <w:t>The S-NSSAIs in the NSSP of the URSP rules (see</w:t>
      </w:r>
      <w:r w:rsidR="00D602DF" w:rsidRPr="00873B6C">
        <w:rPr>
          <w:lang w:eastAsia="zh-CN"/>
        </w:rPr>
        <w:t xml:space="preserve"> clause 6.6.2</w:t>
      </w:r>
      <w:r w:rsidRPr="00873B6C">
        <w:rPr>
          <w:lang w:eastAsia="zh-CN"/>
        </w:rPr>
        <w:t xml:space="preserve"> </w:t>
      </w:r>
      <w:r w:rsidR="00D602DF" w:rsidRPr="00873B6C">
        <w:t>of</w:t>
      </w:r>
      <w:r w:rsidR="00D602DF" w:rsidRPr="00873B6C">
        <w:rPr>
          <w:lang w:eastAsia="zh-CN"/>
        </w:rPr>
        <w:t xml:space="preserve"> </w:t>
      </w:r>
      <w:r w:rsidR="00972E70" w:rsidRPr="00873B6C">
        <w:rPr>
          <w:lang w:eastAsia="zh-CN"/>
        </w:rPr>
        <w:t>TS 23.503 [</w:t>
      </w:r>
      <w:r w:rsidRPr="00873B6C">
        <w:rPr>
          <w:lang w:eastAsia="zh-CN"/>
        </w:rPr>
        <w:t>45]) and in the Subscribed S-NSSAIs (see clause 5.15.3) contain only HPLMN S-NSSAI values.</w:t>
      </w:r>
    </w:p>
    <w:p w14:paraId="0C32F9F8" w14:textId="77777777" w:rsidR="00D40151" w:rsidRPr="00873B6C" w:rsidRDefault="00D40151" w:rsidP="00D40151">
      <w:pPr>
        <w:rPr>
          <w:lang w:eastAsia="zh-CN"/>
        </w:rPr>
      </w:pPr>
      <w:r w:rsidRPr="00873B6C">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54FF7464" w:rsidR="00D40151" w:rsidRPr="00873B6C" w:rsidRDefault="00D40151" w:rsidP="00D40151">
      <w:pPr>
        <w:rPr>
          <w:lang w:eastAsia="zh-CN"/>
        </w:rPr>
      </w:pPr>
      <w:r w:rsidRPr="00873B6C">
        <w:rPr>
          <w:lang w:eastAsia="zh-CN"/>
        </w:rPr>
        <w:t>The S-NSSAI(s) in the PDU Session Establishment contain one Serving PLMN S-NSSAI value and in addition may contain a corresponding HPLMN S-NSSAI value to which this first value is mapped (see clause 5.15.5.3).</w:t>
      </w:r>
      <w:r w:rsidR="003E03C2" w:rsidRPr="00873B6C">
        <w:rPr>
          <w:lang w:eastAsia="zh-CN"/>
        </w:rPr>
        <w:t xml:space="preserve"> Further information for slice replacement is described in clause 5.15.19.</w:t>
      </w:r>
    </w:p>
    <w:p w14:paraId="5EBD8A29" w14:textId="77777777" w:rsidR="00D40151" w:rsidRPr="00873B6C" w:rsidRDefault="00D40151" w:rsidP="00D40151">
      <w:pPr>
        <w:rPr>
          <w:lang w:eastAsia="zh-CN"/>
        </w:rPr>
      </w:pPr>
      <w:r w:rsidRPr="00873B6C">
        <w:rPr>
          <w:lang w:eastAsia="zh-CN"/>
        </w:rPr>
        <w:t>The optional mapping of Serving PLMN S-NSSAIs to HPLMN S-NSSAIs contains Serving PLMN S-NSSAI values and corresponding mapped HPLMN S-NSSAI values.</w:t>
      </w:r>
    </w:p>
    <w:p w14:paraId="286A26E1" w14:textId="2DBCC97E" w:rsidR="00D40151" w:rsidRPr="00873B6C" w:rsidRDefault="00D40151" w:rsidP="00D40151">
      <w:pPr>
        <w:rPr>
          <w:lang w:eastAsia="zh-CN"/>
        </w:rPr>
      </w:pPr>
      <w:r w:rsidRPr="00873B6C">
        <w:t xml:space="preserve">The NSSAI </w:t>
      </w:r>
      <w:r w:rsidRPr="00873B6C">
        <w:rPr>
          <w:lang w:eastAsia="zh-CN"/>
        </w:rPr>
        <w:t>is a collection of S-NSSAIs. An NSSAI may be a Configured NSSAI, a Requested NSSAI</w:t>
      </w:r>
      <w:r w:rsidR="006E26ED" w:rsidRPr="00873B6C">
        <w:rPr>
          <w:lang w:eastAsia="zh-CN"/>
        </w:rPr>
        <w:t>, Allowed NSSAI</w:t>
      </w:r>
      <w:r w:rsidRPr="00873B6C">
        <w:rPr>
          <w:lang w:eastAsia="zh-CN"/>
        </w:rPr>
        <w:t xml:space="preserve"> or a</w:t>
      </w:r>
      <w:r w:rsidR="006E26ED" w:rsidRPr="00873B6C">
        <w:rPr>
          <w:lang w:eastAsia="zh-CN"/>
        </w:rPr>
        <w:t xml:space="preserve"> Partially</w:t>
      </w:r>
      <w:r w:rsidRPr="00873B6C">
        <w:rPr>
          <w:lang w:eastAsia="zh-CN"/>
        </w:rPr>
        <w:t xml:space="preserve"> Allowed NSSAI. There can be at most eight S-NSSAIs in Allowed</w:t>
      </w:r>
      <w:r w:rsidR="006E26ED" w:rsidRPr="00873B6C">
        <w:rPr>
          <w:lang w:eastAsia="zh-CN"/>
        </w:rPr>
        <w:t xml:space="preserve"> NSSAI</w:t>
      </w:r>
      <w:r w:rsidRPr="00873B6C">
        <w:rPr>
          <w:lang w:eastAsia="zh-CN"/>
        </w:rPr>
        <w:t xml:space="preserve"> and Requested NSSAI sent in signalling messages between the UE and the Network.</w:t>
      </w:r>
      <w:r w:rsidR="006E26ED" w:rsidRPr="00873B6C">
        <w:rPr>
          <w:lang w:eastAsia="zh-CN"/>
        </w:rPr>
        <w:t xml:space="preserve"> There can be at most seven S-NSSAIs in the Partially Allowed NSSAI and at most seven S-NSSAIs rejected partially in the RA</w:t>
      </w:r>
      <w:r w:rsidR="00472CD7" w:rsidRPr="00873B6C">
        <w:rPr>
          <w:lang w:eastAsia="zh-CN"/>
        </w:rPr>
        <w:t xml:space="preserve"> and</w:t>
      </w:r>
      <w:r w:rsidR="006E26ED" w:rsidRPr="00873B6C">
        <w:rPr>
          <w:lang w:eastAsia="zh-CN"/>
        </w:rPr>
        <w:t xml:space="preserve"> the sum of S-NSSAIs in the Allowed NSSAI</w:t>
      </w:r>
      <w:r w:rsidR="00472CD7" w:rsidRPr="00873B6C">
        <w:rPr>
          <w:lang w:eastAsia="zh-CN"/>
        </w:rPr>
        <w:t xml:space="preserve"> and</w:t>
      </w:r>
      <w:r w:rsidR="006E26ED" w:rsidRPr="00873B6C">
        <w:rPr>
          <w:lang w:eastAsia="zh-CN"/>
        </w:rPr>
        <w:t xml:space="preserve"> the Partially Allowed NSSAI shall be at most eight.</w:t>
      </w:r>
      <w:r w:rsidRPr="00873B6C">
        <w:rPr>
          <w:lang w:eastAsia="zh-CN"/>
        </w:rPr>
        <w:t xml:space="preserve"> The Requested NSSAI signalled by the UE to the network allows the network to select the Serving AMF, Network Slice(s) and Network Slice instance(s) for this UE, as specified in clause 5.15.5.</w:t>
      </w:r>
    </w:p>
    <w:p w14:paraId="3FE05A95" w14:textId="585E952A" w:rsidR="006E26ED" w:rsidRPr="00873B6C" w:rsidRDefault="006E26ED" w:rsidP="005A13C0">
      <w:pPr>
        <w:pStyle w:val="NO"/>
      </w:pPr>
      <w:r w:rsidRPr="00873B6C">
        <w:t>NOTE 1:</w:t>
      </w:r>
      <w:r w:rsidRPr="00873B6C">
        <w:tab/>
        <w:t>There can be at most a maximum of seven S-NSSAIs in the Partially Allowed NSSAI since there will always be an Allowed NSSAI allocated.</w:t>
      </w:r>
    </w:p>
    <w:p w14:paraId="0B62535E" w14:textId="684C03E6" w:rsidR="00D40151" w:rsidRPr="00873B6C" w:rsidRDefault="00D40151" w:rsidP="00D40151">
      <w:r w:rsidRPr="00873B6C">
        <w:rPr>
          <w:lang w:eastAsia="zh-CN"/>
        </w:rPr>
        <w:t xml:space="preserve">Based on the operator's operational or deployment needs, </w:t>
      </w:r>
      <w:r w:rsidRPr="00873B6C">
        <w:t>a Network Slice instance can be associated with one or more S-NSSAIs</w:t>
      </w:r>
      <w:r w:rsidR="00472CD7" w:rsidRPr="00873B6C">
        <w:t xml:space="preserve"> and</w:t>
      </w:r>
      <w:r w:rsidRPr="00873B6C">
        <w:t xml:space="preserve"> an S-NSSAI can be associated with one or more Network Slice instances. </w:t>
      </w:r>
      <w:r w:rsidRPr="00873B6C">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873B6C">
        <w:t>the AMF instance serving the UE may logically belong to (i.e. be common to) more than one Network Slice instance associated with this S-NSSAI.</w:t>
      </w:r>
    </w:p>
    <w:p w14:paraId="5624F784" w14:textId="77777777" w:rsidR="00D40151" w:rsidRPr="00873B6C" w:rsidRDefault="00D40151" w:rsidP="00D40151">
      <w:pPr>
        <w:rPr>
          <w:lang w:eastAsia="zh-CN"/>
        </w:rPr>
      </w:pPr>
      <w:r w:rsidRPr="00873B6C">
        <w:t xml:space="preserve">In a PLMN, </w:t>
      </w:r>
      <w:r w:rsidRPr="00873B6C">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873B6C" w:rsidRDefault="00D40151" w:rsidP="00D40151">
      <w:r w:rsidRPr="00873B6C">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873B6C">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120419CD" w:rsidR="00D40151" w:rsidRPr="00873B6C" w:rsidRDefault="00D40151" w:rsidP="00D40151">
      <w:r w:rsidRPr="00873B6C">
        <w:t xml:space="preserve">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w:t>
      </w:r>
      <w:r w:rsidR="00511811" w:rsidRPr="00873B6C">
        <w:t xml:space="preserve">RRC_INACTIVE </w:t>
      </w:r>
      <w:r w:rsidRPr="00873B6C">
        <w:t>state.</w:t>
      </w:r>
    </w:p>
    <w:p w14:paraId="642FC161" w14:textId="77777777" w:rsidR="00D40151" w:rsidRPr="00873B6C" w:rsidRDefault="00D40151" w:rsidP="00D40151">
      <w:r w:rsidRPr="00873B6C">
        <w:t>When a UE is successfully registered over an Access Type, the CN informs the (R)AN by providing the Allowed NSSAI for the corresponding Access Type.</w:t>
      </w:r>
    </w:p>
    <w:p w14:paraId="171A8746" w14:textId="62959BEB" w:rsidR="00D40151" w:rsidRPr="00873B6C" w:rsidRDefault="00D40151" w:rsidP="00D40151">
      <w:pPr>
        <w:pStyle w:val="NO"/>
      </w:pPr>
      <w:r w:rsidRPr="00873B6C">
        <w:t>NOTE</w:t>
      </w:r>
      <w:r w:rsidR="006E26ED" w:rsidRPr="00873B6C">
        <w:t> 2</w:t>
      </w:r>
      <w:r w:rsidRPr="00873B6C">
        <w:t>:</w:t>
      </w:r>
      <w:r w:rsidRPr="00873B6C">
        <w:tab/>
        <w:t xml:space="preserve">The details of how the RAN uses NSSAI information are described in </w:t>
      </w:r>
      <w:r w:rsidR="00972E70" w:rsidRPr="00873B6C">
        <w:t>TS 38.300 [</w:t>
      </w:r>
      <w:r w:rsidRPr="00873B6C">
        <w:t>27].</w:t>
      </w:r>
    </w:p>
    <w:p w14:paraId="6FC44485" w14:textId="77777777" w:rsidR="00D40151" w:rsidRPr="00873B6C" w:rsidRDefault="00D40151" w:rsidP="00D40151">
      <w:pPr>
        <w:pStyle w:val="Heading4"/>
      </w:pPr>
      <w:bookmarkStart w:id="2583" w:name="_CR5_15_2_2"/>
      <w:bookmarkStart w:id="2584" w:name="_Toc20149909"/>
      <w:bookmarkStart w:id="2585" w:name="_Toc27846708"/>
      <w:bookmarkStart w:id="2586" w:name="_Toc36187839"/>
      <w:bookmarkStart w:id="2587" w:name="_Toc45183743"/>
      <w:bookmarkStart w:id="2588" w:name="_Toc47342585"/>
      <w:bookmarkStart w:id="2589" w:name="_Toc51769286"/>
      <w:bookmarkStart w:id="2590" w:name="_Toc201157259"/>
      <w:bookmarkEnd w:id="2583"/>
      <w:r w:rsidRPr="00873B6C">
        <w:t>5.15.2.2</w:t>
      </w:r>
      <w:r w:rsidRPr="00873B6C">
        <w:tab/>
        <w:t>Standardised SST values</w:t>
      </w:r>
      <w:bookmarkEnd w:id="2584"/>
      <w:bookmarkEnd w:id="2585"/>
      <w:bookmarkEnd w:id="2586"/>
      <w:bookmarkEnd w:id="2587"/>
      <w:bookmarkEnd w:id="2588"/>
      <w:bookmarkEnd w:id="2589"/>
      <w:bookmarkEnd w:id="2590"/>
    </w:p>
    <w:p w14:paraId="57859614" w14:textId="77777777" w:rsidR="00D40151" w:rsidRPr="00873B6C" w:rsidRDefault="00D40151" w:rsidP="00D40151">
      <w:r w:rsidRPr="00873B6C">
        <w:t>Standardized SST values provide a way for establishing global interoperability for slicing so that PLMNs can support the roaming use case more efficiently for the most commonly used Slice/Service Types.</w:t>
      </w:r>
    </w:p>
    <w:p w14:paraId="3ADB6F88" w14:textId="77777777" w:rsidR="00D40151" w:rsidRPr="00873B6C" w:rsidRDefault="00D40151" w:rsidP="00D40151">
      <w:r w:rsidRPr="00873B6C">
        <w:t>The SSTs which are standardised are in the following Table 5.15.2.2-1.</w:t>
      </w:r>
    </w:p>
    <w:p w14:paraId="0F528E53" w14:textId="40A68553" w:rsidR="00D40151" w:rsidRPr="00873B6C" w:rsidRDefault="00D40151" w:rsidP="00D40151">
      <w:pPr>
        <w:pStyle w:val="TH"/>
      </w:pPr>
      <w:bookmarkStart w:id="2591" w:name="_CRTable5_15_2_21"/>
      <w:r w:rsidRPr="00873B6C">
        <w:lastRenderedPageBreak/>
        <w:t xml:space="preserve">Table </w:t>
      </w:r>
      <w:bookmarkEnd w:id="2591"/>
      <w:r w:rsidRPr="00873B6C">
        <w:t>5.15.2.2-1</w:t>
      </w:r>
      <w:r w:rsidR="001F3682" w:rsidRPr="00873B6C">
        <w:t>:</w:t>
      </w:r>
      <w:r w:rsidRPr="00873B6C">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873B6C" w14:paraId="2FFC603E" w14:textId="77777777" w:rsidTr="00FD5C4A">
        <w:trPr>
          <w:cantSplit/>
          <w:jc w:val="center"/>
        </w:trPr>
        <w:tc>
          <w:tcPr>
            <w:tcW w:w="3023" w:type="dxa"/>
            <w:shd w:val="clear" w:color="auto" w:fill="auto"/>
          </w:tcPr>
          <w:p w14:paraId="6D2AB86D" w14:textId="77777777" w:rsidR="00D40151" w:rsidRPr="00873B6C" w:rsidRDefault="00D40151" w:rsidP="009D14FB">
            <w:pPr>
              <w:pStyle w:val="TAH"/>
            </w:pPr>
            <w:r w:rsidRPr="00873B6C">
              <w:t>Slice/Service type</w:t>
            </w:r>
          </w:p>
        </w:tc>
        <w:tc>
          <w:tcPr>
            <w:tcW w:w="980" w:type="dxa"/>
            <w:shd w:val="clear" w:color="auto" w:fill="auto"/>
          </w:tcPr>
          <w:p w14:paraId="1AF2293B" w14:textId="77777777" w:rsidR="00D40151" w:rsidRPr="00873B6C" w:rsidRDefault="00D40151" w:rsidP="009D14FB">
            <w:pPr>
              <w:pStyle w:val="TAH"/>
            </w:pPr>
            <w:r w:rsidRPr="00873B6C">
              <w:t>SST value</w:t>
            </w:r>
          </w:p>
        </w:tc>
        <w:tc>
          <w:tcPr>
            <w:tcW w:w="5628" w:type="dxa"/>
            <w:shd w:val="clear" w:color="auto" w:fill="auto"/>
          </w:tcPr>
          <w:p w14:paraId="57248B2F" w14:textId="77777777" w:rsidR="00D40151" w:rsidRPr="00873B6C" w:rsidRDefault="00D40151" w:rsidP="009D14FB">
            <w:pPr>
              <w:pStyle w:val="TAH"/>
            </w:pPr>
            <w:r w:rsidRPr="00873B6C">
              <w:t>Characteristics</w:t>
            </w:r>
          </w:p>
        </w:tc>
      </w:tr>
      <w:tr w:rsidR="00D40151" w:rsidRPr="00873B6C" w14:paraId="1CF1464D" w14:textId="77777777" w:rsidTr="00FD5C4A">
        <w:trPr>
          <w:cantSplit/>
          <w:jc w:val="center"/>
        </w:trPr>
        <w:tc>
          <w:tcPr>
            <w:tcW w:w="3023" w:type="dxa"/>
            <w:shd w:val="clear" w:color="auto" w:fill="auto"/>
          </w:tcPr>
          <w:p w14:paraId="00050005" w14:textId="77777777" w:rsidR="00D40151" w:rsidRPr="00873B6C" w:rsidRDefault="00D40151" w:rsidP="009D14FB">
            <w:pPr>
              <w:pStyle w:val="TAL"/>
            </w:pPr>
            <w:r w:rsidRPr="00873B6C">
              <w:t>eMBB</w:t>
            </w:r>
          </w:p>
          <w:p w14:paraId="5ADE7CF5" w14:textId="77777777" w:rsidR="00D40151" w:rsidRPr="00873B6C"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873B6C" w:rsidRDefault="00D40151" w:rsidP="009D14FB">
            <w:pPr>
              <w:pStyle w:val="TAC"/>
            </w:pPr>
            <w:r w:rsidRPr="00873B6C">
              <w:t>1</w:t>
            </w:r>
          </w:p>
        </w:tc>
        <w:tc>
          <w:tcPr>
            <w:tcW w:w="5628" w:type="dxa"/>
            <w:shd w:val="clear" w:color="auto" w:fill="auto"/>
          </w:tcPr>
          <w:p w14:paraId="770BDB84" w14:textId="77777777" w:rsidR="00D40151" w:rsidRPr="00873B6C" w:rsidRDefault="00D40151" w:rsidP="009D14FB">
            <w:pPr>
              <w:pStyle w:val="TAL"/>
            </w:pPr>
            <w:r w:rsidRPr="00873B6C">
              <w:t>Slice suitable for the handling of 5G enhanced Mobile Broadband.</w:t>
            </w:r>
          </w:p>
        </w:tc>
      </w:tr>
      <w:tr w:rsidR="00D40151" w:rsidRPr="00873B6C" w14:paraId="47AEA47A" w14:textId="77777777" w:rsidTr="00FD5C4A">
        <w:trPr>
          <w:cantSplit/>
          <w:jc w:val="center"/>
        </w:trPr>
        <w:tc>
          <w:tcPr>
            <w:tcW w:w="3023" w:type="dxa"/>
            <w:shd w:val="clear" w:color="auto" w:fill="auto"/>
          </w:tcPr>
          <w:p w14:paraId="6F22A873" w14:textId="77777777" w:rsidR="00D40151" w:rsidRPr="00873B6C" w:rsidRDefault="00D40151" w:rsidP="009D14FB">
            <w:pPr>
              <w:pStyle w:val="TAL"/>
            </w:pPr>
            <w:r w:rsidRPr="00873B6C">
              <w:t>URLLC</w:t>
            </w:r>
          </w:p>
        </w:tc>
        <w:tc>
          <w:tcPr>
            <w:tcW w:w="980" w:type="dxa"/>
            <w:shd w:val="clear" w:color="auto" w:fill="auto"/>
          </w:tcPr>
          <w:p w14:paraId="1FA531A0" w14:textId="77777777" w:rsidR="00D40151" w:rsidRPr="00873B6C" w:rsidRDefault="00D40151" w:rsidP="009D14FB">
            <w:pPr>
              <w:pStyle w:val="TAC"/>
            </w:pPr>
            <w:r w:rsidRPr="00873B6C">
              <w:t>2</w:t>
            </w:r>
          </w:p>
        </w:tc>
        <w:tc>
          <w:tcPr>
            <w:tcW w:w="5628" w:type="dxa"/>
            <w:shd w:val="clear" w:color="auto" w:fill="auto"/>
          </w:tcPr>
          <w:p w14:paraId="1F6D85B1" w14:textId="77777777" w:rsidR="00D40151" w:rsidRPr="00873B6C" w:rsidRDefault="00D40151" w:rsidP="009D14FB">
            <w:pPr>
              <w:pStyle w:val="TAL"/>
            </w:pPr>
            <w:r w:rsidRPr="00873B6C">
              <w:t>Slice suitable for the handling of ultra- reliable low latency communications.</w:t>
            </w:r>
          </w:p>
        </w:tc>
      </w:tr>
      <w:tr w:rsidR="00D40151" w:rsidRPr="00873B6C" w14:paraId="258A3BBB" w14:textId="77777777" w:rsidTr="00FD5C4A">
        <w:trPr>
          <w:cantSplit/>
          <w:jc w:val="center"/>
        </w:trPr>
        <w:tc>
          <w:tcPr>
            <w:tcW w:w="3023" w:type="dxa"/>
            <w:shd w:val="clear" w:color="auto" w:fill="auto"/>
          </w:tcPr>
          <w:p w14:paraId="11E8B99C" w14:textId="77777777" w:rsidR="00D40151" w:rsidRPr="00873B6C" w:rsidRDefault="00D40151" w:rsidP="009D14FB">
            <w:pPr>
              <w:pStyle w:val="TAL"/>
            </w:pPr>
            <w:r w:rsidRPr="00873B6C">
              <w:t>MIoT</w:t>
            </w:r>
          </w:p>
        </w:tc>
        <w:tc>
          <w:tcPr>
            <w:tcW w:w="980" w:type="dxa"/>
            <w:shd w:val="clear" w:color="auto" w:fill="auto"/>
          </w:tcPr>
          <w:p w14:paraId="28254E9F" w14:textId="77777777" w:rsidR="00D40151" w:rsidRPr="00873B6C" w:rsidRDefault="00D40151" w:rsidP="009D14FB">
            <w:pPr>
              <w:pStyle w:val="TAC"/>
            </w:pPr>
            <w:r w:rsidRPr="00873B6C">
              <w:t>3</w:t>
            </w:r>
          </w:p>
        </w:tc>
        <w:tc>
          <w:tcPr>
            <w:tcW w:w="5628" w:type="dxa"/>
            <w:shd w:val="clear" w:color="auto" w:fill="auto"/>
          </w:tcPr>
          <w:p w14:paraId="3A45DF09" w14:textId="77777777" w:rsidR="00D40151" w:rsidRPr="00873B6C" w:rsidRDefault="00D40151" w:rsidP="009D14FB">
            <w:pPr>
              <w:pStyle w:val="TAL"/>
            </w:pPr>
            <w:r w:rsidRPr="00873B6C">
              <w:t>Slice suitable for the handling of massive IoT.</w:t>
            </w:r>
          </w:p>
        </w:tc>
      </w:tr>
      <w:tr w:rsidR="00D40151" w:rsidRPr="00873B6C" w14:paraId="448ED83B" w14:textId="77777777" w:rsidTr="00FD5C4A">
        <w:trPr>
          <w:cantSplit/>
          <w:jc w:val="center"/>
        </w:trPr>
        <w:tc>
          <w:tcPr>
            <w:tcW w:w="3023" w:type="dxa"/>
            <w:shd w:val="clear" w:color="auto" w:fill="auto"/>
          </w:tcPr>
          <w:p w14:paraId="43223825" w14:textId="77777777" w:rsidR="00D40151" w:rsidRPr="00873B6C" w:rsidRDefault="00D40151" w:rsidP="009D14FB">
            <w:pPr>
              <w:pStyle w:val="TAL"/>
            </w:pPr>
            <w:r w:rsidRPr="00873B6C">
              <w:t>V2X</w:t>
            </w:r>
          </w:p>
        </w:tc>
        <w:tc>
          <w:tcPr>
            <w:tcW w:w="980" w:type="dxa"/>
            <w:shd w:val="clear" w:color="auto" w:fill="auto"/>
          </w:tcPr>
          <w:p w14:paraId="12D0BAA9" w14:textId="77777777" w:rsidR="00D40151" w:rsidRPr="00873B6C" w:rsidRDefault="00D40151" w:rsidP="009D14FB">
            <w:pPr>
              <w:pStyle w:val="TAC"/>
            </w:pPr>
            <w:r w:rsidRPr="00873B6C">
              <w:t>4</w:t>
            </w:r>
          </w:p>
        </w:tc>
        <w:tc>
          <w:tcPr>
            <w:tcW w:w="5628" w:type="dxa"/>
            <w:shd w:val="clear" w:color="auto" w:fill="auto"/>
          </w:tcPr>
          <w:p w14:paraId="6C95A95A" w14:textId="77777777" w:rsidR="00D40151" w:rsidRPr="00873B6C" w:rsidRDefault="00D40151" w:rsidP="009D14FB">
            <w:pPr>
              <w:pStyle w:val="TAL"/>
            </w:pPr>
            <w:r w:rsidRPr="00873B6C">
              <w:t>Slice suitable for the handling of V2X services.</w:t>
            </w:r>
          </w:p>
        </w:tc>
      </w:tr>
      <w:tr w:rsidR="001F3682" w:rsidRPr="00873B6C" w14:paraId="341174A7" w14:textId="77777777" w:rsidTr="00FD5C4A">
        <w:trPr>
          <w:cantSplit/>
          <w:jc w:val="center"/>
        </w:trPr>
        <w:tc>
          <w:tcPr>
            <w:tcW w:w="3023" w:type="dxa"/>
            <w:shd w:val="clear" w:color="auto" w:fill="auto"/>
          </w:tcPr>
          <w:p w14:paraId="1FA3E12E" w14:textId="63A68CFF" w:rsidR="001F3682" w:rsidRPr="00873B6C" w:rsidRDefault="001F3682" w:rsidP="009D14FB">
            <w:pPr>
              <w:pStyle w:val="TAL"/>
            </w:pPr>
            <w:r w:rsidRPr="00873B6C">
              <w:t>HMTC</w:t>
            </w:r>
          </w:p>
        </w:tc>
        <w:tc>
          <w:tcPr>
            <w:tcW w:w="980" w:type="dxa"/>
            <w:shd w:val="clear" w:color="auto" w:fill="auto"/>
          </w:tcPr>
          <w:p w14:paraId="6D025748" w14:textId="11EE6A02" w:rsidR="001F3682" w:rsidRPr="00873B6C" w:rsidRDefault="001F3682" w:rsidP="009D14FB">
            <w:pPr>
              <w:pStyle w:val="TAC"/>
            </w:pPr>
            <w:r w:rsidRPr="00873B6C">
              <w:t>5</w:t>
            </w:r>
          </w:p>
        </w:tc>
        <w:tc>
          <w:tcPr>
            <w:tcW w:w="5628" w:type="dxa"/>
            <w:shd w:val="clear" w:color="auto" w:fill="auto"/>
          </w:tcPr>
          <w:p w14:paraId="0DDB607E" w14:textId="02657A44" w:rsidR="001F3682" w:rsidRPr="00873B6C" w:rsidRDefault="001F3682" w:rsidP="009D14FB">
            <w:pPr>
              <w:pStyle w:val="TAL"/>
            </w:pPr>
            <w:r w:rsidRPr="00873B6C">
              <w:t>Slice suitable for the handling of High-Performance Machine-Type Communications.</w:t>
            </w:r>
          </w:p>
        </w:tc>
      </w:tr>
      <w:tr w:rsidR="00A51A83" w:rsidRPr="00873B6C" w14:paraId="547CB964" w14:textId="77777777" w:rsidTr="00FD5C4A">
        <w:trPr>
          <w:cantSplit/>
          <w:jc w:val="center"/>
        </w:trPr>
        <w:tc>
          <w:tcPr>
            <w:tcW w:w="3023" w:type="dxa"/>
            <w:shd w:val="clear" w:color="auto" w:fill="auto"/>
          </w:tcPr>
          <w:p w14:paraId="5161BF21" w14:textId="31575776" w:rsidR="00A51A83" w:rsidRPr="00873B6C" w:rsidRDefault="00A51A83" w:rsidP="009D14FB">
            <w:pPr>
              <w:pStyle w:val="TAL"/>
            </w:pPr>
            <w:r w:rsidRPr="00873B6C">
              <w:t>HDLLC</w:t>
            </w:r>
          </w:p>
        </w:tc>
        <w:tc>
          <w:tcPr>
            <w:tcW w:w="980" w:type="dxa"/>
            <w:shd w:val="clear" w:color="auto" w:fill="auto"/>
          </w:tcPr>
          <w:p w14:paraId="2DEE3187" w14:textId="14B74BBB" w:rsidR="00A51A83" w:rsidRPr="00873B6C" w:rsidRDefault="00A51A83" w:rsidP="009D14FB">
            <w:pPr>
              <w:pStyle w:val="TAC"/>
            </w:pPr>
            <w:r w:rsidRPr="00873B6C">
              <w:t>6</w:t>
            </w:r>
          </w:p>
        </w:tc>
        <w:tc>
          <w:tcPr>
            <w:tcW w:w="5628" w:type="dxa"/>
            <w:shd w:val="clear" w:color="auto" w:fill="auto"/>
          </w:tcPr>
          <w:p w14:paraId="25EEC809" w14:textId="100328AA" w:rsidR="00A51A83" w:rsidRPr="00873B6C" w:rsidRDefault="00A51A83" w:rsidP="009D14FB">
            <w:pPr>
              <w:pStyle w:val="TAL"/>
            </w:pPr>
            <w:r w:rsidRPr="00873B6C">
              <w:t>Slice suitable for the handling of High Data rate and Low Latency Communications.</w:t>
            </w:r>
          </w:p>
        </w:tc>
      </w:tr>
    </w:tbl>
    <w:p w14:paraId="370A370F" w14:textId="77777777" w:rsidR="00D40151" w:rsidRPr="00873B6C" w:rsidRDefault="00D40151" w:rsidP="00D40151">
      <w:pPr>
        <w:pStyle w:val="FP"/>
      </w:pPr>
    </w:p>
    <w:p w14:paraId="1DEF1C4F" w14:textId="7FD53770" w:rsidR="00D40151" w:rsidRPr="00873B6C" w:rsidRDefault="00D40151" w:rsidP="00D40151">
      <w:pPr>
        <w:pStyle w:val="NO"/>
      </w:pPr>
      <w:r w:rsidRPr="00873B6C">
        <w:t>NOTE</w:t>
      </w:r>
      <w:r w:rsidR="00182EE7" w:rsidRPr="00873B6C">
        <w:t> 1</w:t>
      </w:r>
      <w:r w:rsidRPr="00873B6C">
        <w:t>:</w:t>
      </w:r>
      <w:r w:rsidRPr="00873B6C">
        <w:tab/>
        <w:t>The support of all standardised SST values is not required in a PLMN. Services indicated in this table for each SST value can also be supported by means of other SSTs.</w:t>
      </w:r>
    </w:p>
    <w:p w14:paraId="32CB05FB" w14:textId="46E3C6B7" w:rsidR="00182EE7" w:rsidRPr="00873B6C" w:rsidRDefault="00182EE7" w:rsidP="00562E84">
      <w:pPr>
        <w:pStyle w:val="NO"/>
      </w:pPr>
      <w:bookmarkStart w:id="2592" w:name="_Toc20149910"/>
      <w:bookmarkStart w:id="2593" w:name="_Toc27846709"/>
      <w:bookmarkStart w:id="2594" w:name="_Toc36187840"/>
      <w:bookmarkStart w:id="2595" w:name="_Toc45183744"/>
      <w:bookmarkStart w:id="2596" w:name="_Toc47342586"/>
      <w:bookmarkStart w:id="2597" w:name="_Toc51769287"/>
      <w:r w:rsidRPr="00873B6C">
        <w:t>NOTE 2:</w:t>
      </w:r>
      <w:r w:rsidRPr="00873B6C">
        <w:tab/>
        <w:t>A mapping of GSMA defined Network Slice Types (NEST) to standard SST values is defined in GSMA NG.116 [137].</w:t>
      </w:r>
    </w:p>
    <w:p w14:paraId="791DBEB7" w14:textId="653EBC4F" w:rsidR="00D40151" w:rsidRPr="00873B6C" w:rsidRDefault="00D40151" w:rsidP="00D40151">
      <w:pPr>
        <w:pStyle w:val="Heading3"/>
      </w:pPr>
      <w:bookmarkStart w:id="2598" w:name="_CR5_15_3"/>
      <w:bookmarkStart w:id="2599" w:name="_Toc201157260"/>
      <w:bookmarkEnd w:id="2598"/>
      <w:r w:rsidRPr="00873B6C">
        <w:t>5.15.3</w:t>
      </w:r>
      <w:r w:rsidRPr="00873B6C">
        <w:tab/>
        <w:t>Subscription aspects</w:t>
      </w:r>
      <w:bookmarkEnd w:id="2592"/>
      <w:bookmarkEnd w:id="2593"/>
      <w:bookmarkEnd w:id="2594"/>
      <w:bookmarkEnd w:id="2595"/>
      <w:bookmarkEnd w:id="2596"/>
      <w:bookmarkEnd w:id="2597"/>
      <w:bookmarkEnd w:id="2599"/>
    </w:p>
    <w:p w14:paraId="74D16F56" w14:textId="65C994E7" w:rsidR="00E83620" w:rsidRPr="00873B6C" w:rsidRDefault="00D40151" w:rsidP="00D40151">
      <w:r w:rsidRPr="00873B6C">
        <w:t>The Subscription Information shall contain one or more S-NSSAIs i.e. Subscribed S-NSSAIs.</w:t>
      </w:r>
      <w:r w:rsidR="00E83620" w:rsidRPr="00873B6C">
        <w:t xml:space="preserve"> The subscription information shall include at least one default S-NSSAI.</w:t>
      </w:r>
      <w:r w:rsidR="000F5D21" w:rsidRPr="00873B6C">
        <w:t xml:space="preserve"> The UDM sends at the most 16 Subscribed S-NSSAIs to AMF, i.e. the number that can fit in a Configured NSSAI.</w:t>
      </w:r>
      <w:r w:rsidR="00E83620" w:rsidRPr="00873B6C">
        <w:t xml:space="preserve"> The subscription information the UDM sends to the AMF shall include at least one default S-NSSAI.</w:t>
      </w:r>
    </w:p>
    <w:p w14:paraId="052A5F48" w14:textId="677E56B6" w:rsidR="00D40151" w:rsidRPr="00873B6C" w:rsidRDefault="00D40151" w:rsidP="00D40151">
      <w:r w:rsidRPr="00873B6C">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873B6C" w:rsidRDefault="00D40151" w:rsidP="00D40151">
      <w:r w:rsidRPr="00873B6C">
        <w:t>The Subscription Information for each S-NSSAI may contain:</w:t>
      </w:r>
    </w:p>
    <w:p w14:paraId="2527A999" w14:textId="77777777" w:rsidR="00D40151" w:rsidRPr="00873B6C" w:rsidRDefault="00D40151" w:rsidP="00D40151">
      <w:pPr>
        <w:pStyle w:val="B1"/>
      </w:pPr>
      <w:r w:rsidRPr="00873B6C">
        <w:t>-</w:t>
      </w:r>
      <w:r w:rsidRPr="00873B6C">
        <w:tab/>
        <w:t>a Subscribed DNN list and one default DNN; and</w:t>
      </w:r>
    </w:p>
    <w:p w14:paraId="7DA20C80" w14:textId="77777777" w:rsidR="00D40151" w:rsidRPr="00873B6C" w:rsidRDefault="00D40151" w:rsidP="00D40151">
      <w:pPr>
        <w:pStyle w:val="B1"/>
      </w:pPr>
      <w:r w:rsidRPr="00873B6C">
        <w:t>-</w:t>
      </w:r>
      <w:r w:rsidRPr="00873B6C">
        <w:tab/>
        <w:t>the indication whether the S-NSSAI is marked as default Subscribed S-NSSAI; and</w:t>
      </w:r>
    </w:p>
    <w:p w14:paraId="4CC67400" w14:textId="02B1F2FE" w:rsidR="00D40151" w:rsidRPr="00873B6C" w:rsidRDefault="00D40151" w:rsidP="00D40151">
      <w:pPr>
        <w:pStyle w:val="B1"/>
      </w:pPr>
      <w:r w:rsidRPr="00873B6C">
        <w:t>-</w:t>
      </w:r>
      <w:r w:rsidRPr="00873B6C">
        <w:tab/>
        <w:t>the indication whether the S-NSSAI is subject to Network Slice-Specific Authentication and Authorization</w:t>
      </w:r>
      <w:r w:rsidR="00681FC7" w:rsidRPr="00873B6C">
        <w:t>; and</w:t>
      </w:r>
    </w:p>
    <w:p w14:paraId="52D51A57" w14:textId="63F13958" w:rsidR="00681FC7" w:rsidRPr="00873B6C" w:rsidRDefault="00681FC7" w:rsidP="00681FC7">
      <w:pPr>
        <w:pStyle w:val="B1"/>
      </w:pPr>
      <w:r w:rsidRPr="00873B6C">
        <w:t>-</w:t>
      </w:r>
      <w:r w:rsidRPr="00873B6C">
        <w:tab/>
        <w:t>Network Slice Simultaneous Usage Group (NSSRG) information (see clause 5.15.12).</w:t>
      </w:r>
    </w:p>
    <w:p w14:paraId="745CF43F" w14:textId="77777777" w:rsidR="00D40151" w:rsidRPr="00873B6C" w:rsidRDefault="00D40151" w:rsidP="00D40151">
      <w:r w:rsidRPr="00873B6C">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873B6C" w:rsidRDefault="00D40151" w:rsidP="00D40151">
      <w:pPr>
        <w:pStyle w:val="NO"/>
      </w:pPr>
      <w:r w:rsidRPr="00873B6C">
        <w:t>NOTE 1:</w:t>
      </w:r>
      <w:r w:rsidRPr="00873B6C">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873B6C" w:rsidRDefault="00D40151" w:rsidP="00D40151">
      <w:pPr>
        <w:pStyle w:val="NO"/>
      </w:pPr>
      <w:r w:rsidRPr="00873B6C">
        <w:t>NOTE 2:</w:t>
      </w:r>
      <w:r w:rsidRPr="00873B6C">
        <w:tab/>
        <w:t>It is recommended to minimize the number of Subscribed S-NSSAIs in subscriptions for NB-IoT</w:t>
      </w:r>
      <w:r w:rsidR="00283ED6" w:rsidRPr="00873B6C">
        <w:t xml:space="preserve"> or NR RedCap</w:t>
      </w:r>
      <w:r w:rsidRPr="00873B6C">
        <w:t xml:space="preserve"> capable UEs to minimize overhead for signalling a large number of S-NSSAIs in Requested NSSAI in RRC and NAS via NB-IoT</w:t>
      </w:r>
      <w:r w:rsidR="00283ED6" w:rsidRPr="00873B6C">
        <w:t xml:space="preserve"> or NR RedCap</w:t>
      </w:r>
      <w:r w:rsidRPr="00873B6C">
        <w:t>.</w:t>
      </w:r>
    </w:p>
    <w:p w14:paraId="6860CE96" w14:textId="3B573647" w:rsidR="00D40151" w:rsidRPr="00873B6C" w:rsidRDefault="00D40151" w:rsidP="00D40151">
      <w:r w:rsidRPr="00873B6C">
        <w:t>In roaming case, the UDM shall provide to the VPLMN only the S-NSSAIs from the Subscribed S-NSSAIs the HPLMN allows for the UE in the VPLMN.</w:t>
      </w:r>
      <w:r w:rsidR="00681FC7" w:rsidRPr="00873B6C">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873B6C" w:rsidRDefault="00D40151" w:rsidP="00D40151">
      <w:pPr>
        <w:pStyle w:val="NO"/>
        <w:rPr>
          <w:lang w:eastAsia="zh-CN"/>
        </w:rPr>
      </w:pPr>
      <w:r w:rsidRPr="00873B6C">
        <w:rPr>
          <w:lang w:eastAsia="zh-CN"/>
        </w:rPr>
        <w:t>NOTE 3:</w:t>
      </w:r>
      <w:r w:rsidRPr="00873B6C">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3D45B4CD" w:rsidR="00B93E3D" w:rsidRPr="00873B6C" w:rsidRDefault="00B93E3D" w:rsidP="00562E84">
      <w:pPr>
        <w:pStyle w:val="NO"/>
        <w:rPr>
          <w:lang w:eastAsia="zh-CN"/>
        </w:rPr>
      </w:pPr>
      <w:r w:rsidRPr="00873B6C">
        <w:rPr>
          <w:lang w:eastAsia="zh-CN"/>
        </w:rPr>
        <w:lastRenderedPageBreak/>
        <w:t>NOTE 4:</w:t>
      </w:r>
      <w:r w:rsidRPr="00873B6C">
        <w:rPr>
          <w:lang w:eastAsia="zh-CN"/>
        </w:rPr>
        <w:tab/>
        <w:t>Network slice instances supporting an S-NSSAI subject to Network Slice Admission Control</w:t>
      </w:r>
      <w:r w:rsidR="00AF6F28" w:rsidRPr="00873B6C">
        <w:rPr>
          <w:lang w:eastAsia="zh-CN"/>
        </w:rPr>
        <w:t xml:space="preserve"> (NSAC)</w:t>
      </w:r>
      <w:r w:rsidR="002506F3" w:rsidRPr="00873B6C">
        <w:rPr>
          <w:lang w:eastAsia="zh-CN"/>
        </w:rPr>
        <w:t xml:space="preserve"> for number of registered UE per network slice</w:t>
      </w:r>
      <w:r w:rsidRPr="00873B6C">
        <w:rPr>
          <w:lang w:eastAsia="zh-CN"/>
        </w:rPr>
        <w:t xml:space="preserve"> need to be deployed with AMFs supporting</w:t>
      </w:r>
      <w:r w:rsidR="00AF6F28" w:rsidRPr="00873B6C">
        <w:rPr>
          <w:lang w:eastAsia="zh-CN"/>
        </w:rPr>
        <w:t xml:space="preserve"> NSAC</w:t>
      </w:r>
      <w:r w:rsidRPr="00873B6C">
        <w:rPr>
          <w:lang w:eastAsia="zh-CN"/>
        </w:rPr>
        <w:t>, otherwise S-NSSAIs requiring</w:t>
      </w:r>
      <w:r w:rsidR="00AF6F28" w:rsidRPr="00873B6C">
        <w:rPr>
          <w:lang w:eastAsia="zh-CN"/>
        </w:rPr>
        <w:t xml:space="preserve"> NSAC</w:t>
      </w:r>
      <w:r w:rsidRPr="00873B6C">
        <w:rPr>
          <w:lang w:eastAsia="zh-CN"/>
        </w:rPr>
        <w:t xml:space="preserve"> would be incorrectly allowed without execution of</w:t>
      </w:r>
      <w:r w:rsidR="00AF6F28" w:rsidRPr="00873B6C">
        <w:rPr>
          <w:lang w:eastAsia="zh-CN"/>
        </w:rPr>
        <w:t xml:space="preserve"> NSAC</w:t>
      </w:r>
      <w:r w:rsidRPr="00873B6C">
        <w:rPr>
          <w:lang w:eastAsia="zh-CN"/>
        </w:rPr>
        <w:t>.</w:t>
      </w:r>
    </w:p>
    <w:p w14:paraId="5476056E" w14:textId="1A33E7F7" w:rsidR="00D40151" w:rsidRPr="00873B6C" w:rsidRDefault="00D40151" w:rsidP="00D40151">
      <w:pPr>
        <w:rPr>
          <w:lang w:eastAsia="zh-CN"/>
        </w:rPr>
      </w:pPr>
      <w:r w:rsidRPr="00873B6C">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873B6C" w:rsidRDefault="00D40151" w:rsidP="00D40151">
      <w:pPr>
        <w:pStyle w:val="Heading3"/>
        <w:rPr>
          <w:lang w:eastAsia="zh-CN"/>
        </w:rPr>
      </w:pPr>
      <w:bookmarkStart w:id="2600" w:name="_CR5_15_4"/>
      <w:bookmarkStart w:id="2601" w:name="_Toc20149911"/>
      <w:bookmarkStart w:id="2602" w:name="_Toc27846710"/>
      <w:bookmarkStart w:id="2603" w:name="_Toc36187841"/>
      <w:bookmarkStart w:id="2604" w:name="_Toc45183745"/>
      <w:bookmarkStart w:id="2605" w:name="_Toc47342587"/>
      <w:bookmarkStart w:id="2606" w:name="_Toc51769288"/>
      <w:bookmarkStart w:id="2607" w:name="_Toc201157261"/>
      <w:bookmarkEnd w:id="2600"/>
      <w:r w:rsidRPr="00873B6C">
        <w:rPr>
          <w:lang w:eastAsia="zh-CN"/>
        </w:rPr>
        <w:t>5.15.4</w:t>
      </w:r>
      <w:r w:rsidRPr="00873B6C">
        <w:rPr>
          <w:lang w:eastAsia="zh-CN"/>
        </w:rPr>
        <w:tab/>
        <w:t>UE NSSAI configuration and NSSAI storage aspects</w:t>
      </w:r>
      <w:bookmarkEnd w:id="2601"/>
      <w:bookmarkEnd w:id="2602"/>
      <w:bookmarkEnd w:id="2603"/>
      <w:bookmarkEnd w:id="2604"/>
      <w:bookmarkEnd w:id="2605"/>
      <w:bookmarkEnd w:id="2606"/>
      <w:bookmarkEnd w:id="2607"/>
    </w:p>
    <w:p w14:paraId="7B5C68B2" w14:textId="77777777" w:rsidR="00D40151" w:rsidRPr="00873B6C" w:rsidRDefault="00D40151" w:rsidP="00D40151">
      <w:pPr>
        <w:pStyle w:val="Heading4"/>
        <w:rPr>
          <w:lang w:eastAsia="zh-CN"/>
        </w:rPr>
      </w:pPr>
      <w:bookmarkStart w:id="2608" w:name="_CR5_15_4_1"/>
      <w:bookmarkStart w:id="2609" w:name="_Toc20149912"/>
      <w:bookmarkStart w:id="2610" w:name="_Toc27846711"/>
      <w:bookmarkStart w:id="2611" w:name="_Toc36187842"/>
      <w:bookmarkStart w:id="2612" w:name="_Toc45183746"/>
      <w:bookmarkStart w:id="2613" w:name="_Toc47342588"/>
      <w:bookmarkStart w:id="2614" w:name="_Toc51769289"/>
      <w:bookmarkStart w:id="2615" w:name="_Toc201157262"/>
      <w:bookmarkEnd w:id="2608"/>
      <w:r w:rsidRPr="00873B6C">
        <w:rPr>
          <w:lang w:eastAsia="zh-CN"/>
        </w:rPr>
        <w:t>5.15.4.1</w:t>
      </w:r>
      <w:r w:rsidRPr="00873B6C">
        <w:rPr>
          <w:lang w:eastAsia="zh-CN"/>
        </w:rPr>
        <w:tab/>
        <w:t>General</w:t>
      </w:r>
      <w:bookmarkEnd w:id="2609"/>
      <w:bookmarkEnd w:id="2610"/>
      <w:bookmarkEnd w:id="2611"/>
      <w:bookmarkEnd w:id="2612"/>
      <w:bookmarkEnd w:id="2613"/>
      <w:bookmarkEnd w:id="2614"/>
      <w:bookmarkEnd w:id="2615"/>
    </w:p>
    <w:p w14:paraId="23296AD4" w14:textId="77777777" w:rsidR="00D40151" w:rsidRPr="00873B6C" w:rsidRDefault="00D40151" w:rsidP="00D40151">
      <w:pPr>
        <w:pStyle w:val="Heading5"/>
      </w:pPr>
      <w:bookmarkStart w:id="2616" w:name="_CR5_15_4_1_1"/>
      <w:bookmarkStart w:id="2617" w:name="_Toc20149913"/>
      <w:bookmarkStart w:id="2618" w:name="_Toc27846712"/>
      <w:bookmarkStart w:id="2619" w:name="_Toc36187843"/>
      <w:bookmarkStart w:id="2620" w:name="_Toc45183747"/>
      <w:bookmarkStart w:id="2621" w:name="_Toc47342589"/>
      <w:bookmarkStart w:id="2622" w:name="_Toc51769290"/>
      <w:bookmarkStart w:id="2623" w:name="_Toc201157263"/>
      <w:bookmarkEnd w:id="2616"/>
      <w:r w:rsidRPr="00873B6C">
        <w:t>5.15.4.1.1</w:t>
      </w:r>
      <w:r w:rsidRPr="00873B6C">
        <w:tab/>
        <w:t>UE Network Slice configuration</w:t>
      </w:r>
      <w:bookmarkEnd w:id="2617"/>
      <w:bookmarkEnd w:id="2618"/>
      <w:bookmarkEnd w:id="2619"/>
      <w:bookmarkEnd w:id="2620"/>
      <w:bookmarkEnd w:id="2621"/>
      <w:bookmarkEnd w:id="2622"/>
      <w:bookmarkEnd w:id="2623"/>
    </w:p>
    <w:p w14:paraId="06F40BBB" w14:textId="77777777" w:rsidR="00D40151" w:rsidRPr="00873B6C" w:rsidRDefault="00D40151" w:rsidP="00D40151">
      <w:pPr>
        <w:rPr>
          <w:lang w:eastAsia="zh-CN"/>
        </w:rPr>
      </w:pPr>
      <w:r w:rsidRPr="00873B6C">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873B6C" w:rsidRDefault="00D40151" w:rsidP="00D40151">
      <w:pPr>
        <w:pStyle w:val="NO"/>
        <w:rPr>
          <w:lang w:eastAsia="zh-CN"/>
        </w:rPr>
      </w:pPr>
      <w:r w:rsidRPr="00873B6C">
        <w:rPr>
          <w:lang w:eastAsia="zh-CN"/>
        </w:rPr>
        <w:t>NOTE 1:</w:t>
      </w:r>
      <w:r w:rsidRPr="00873B6C">
        <w:rPr>
          <w:lang w:eastAsia="zh-CN"/>
        </w:rPr>
        <w:tab/>
        <w:t>The value(s) used in the Default Configured NSSAI are expected to be commonly decided by all roaming partners, e.g. by the use of values standardized by 3GPP or other bodies.</w:t>
      </w:r>
    </w:p>
    <w:p w14:paraId="589862A8" w14:textId="77777777" w:rsidR="00D40151" w:rsidRPr="00873B6C" w:rsidRDefault="00D40151" w:rsidP="00D40151">
      <w:pPr>
        <w:rPr>
          <w:lang w:eastAsia="zh-CN"/>
        </w:rPr>
      </w:pPr>
      <w:r w:rsidRPr="00873B6C">
        <w:rPr>
          <w:lang w:eastAsia="zh-CN"/>
        </w:rPr>
        <w:t>The Default Configured NSSAI, if it is configured in the UE, is used by the UE in a Serving PLMN only if the UE has no Configured NSSAI for the Serving PLMN.</w:t>
      </w:r>
    </w:p>
    <w:p w14:paraId="690D9EB2" w14:textId="77777777" w:rsidR="00D40151" w:rsidRPr="00873B6C" w:rsidRDefault="00D40151" w:rsidP="00D40151">
      <w:pPr>
        <w:rPr>
          <w:lang w:eastAsia="zh-CN"/>
        </w:rPr>
      </w:pPr>
      <w:r w:rsidRPr="00873B6C">
        <w:rPr>
          <w:lang w:eastAsia="zh-CN"/>
        </w:rPr>
        <w:t>The Configured NSSAI of a PLMN may include S-NSSAIs that have standard values or PLMN-specific values.</w:t>
      </w:r>
    </w:p>
    <w:p w14:paraId="7AFD743F" w14:textId="77777777" w:rsidR="00472CD7" w:rsidRPr="00873B6C" w:rsidRDefault="00D40151" w:rsidP="00D40151">
      <w:pPr>
        <w:rPr>
          <w:lang w:eastAsia="zh-CN"/>
        </w:rPr>
      </w:pPr>
      <w:r w:rsidRPr="00873B6C">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sidRPr="00873B6C">
        <w:rPr>
          <w:lang w:eastAsia="zh-CN"/>
        </w:rPr>
        <w:t xml:space="preserve"> </w:t>
      </w:r>
      <w:r w:rsidR="00472CD7" w:rsidRPr="00873B6C">
        <w:rPr>
          <w:lang w:eastAsia="zh-CN"/>
        </w:rPr>
        <w:t>The following applies:</w:t>
      </w:r>
    </w:p>
    <w:p w14:paraId="2FD1992C" w14:textId="218B03B8" w:rsidR="00472CD7" w:rsidRPr="00873B6C" w:rsidRDefault="00472CD7" w:rsidP="00472CD7">
      <w:pPr>
        <w:pStyle w:val="B1"/>
        <w:rPr>
          <w:lang w:eastAsia="zh-CN"/>
        </w:rPr>
      </w:pPr>
      <w:r w:rsidRPr="00873B6C">
        <w:rPr>
          <w:lang w:eastAsia="zh-CN"/>
        </w:rPr>
        <w:t>-</w:t>
      </w:r>
      <w:r w:rsidRPr="00873B6C">
        <w:rPr>
          <w:lang w:eastAsia="zh-CN"/>
        </w:rPr>
        <w:tab/>
      </w:r>
      <w:r w:rsidR="0054498C" w:rsidRPr="00873B6C">
        <w:rPr>
          <w:lang w:eastAsia="zh-CN"/>
        </w:rPr>
        <w:t>In the non-roaming case</w:t>
      </w:r>
      <w:r w:rsidR="00F1595A" w:rsidRPr="00873B6C">
        <w:rPr>
          <w:lang w:eastAsia="zh-CN"/>
        </w:rPr>
        <w:t xml:space="preserve"> and if the Serving PLMN ID is the same as the PLMN ID of the SUPI</w:t>
      </w:r>
      <w:r w:rsidR="0054498C" w:rsidRPr="00873B6C">
        <w:rPr>
          <w:lang w:eastAsia="zh-CN"/>
        </w:rPr>
        <w:t>, the network shall not provide any mapped S-NSSAI to the UE with the Configured NSSAI.</w:t>
      </w:r>
    </w:p>
    <w:p w14:paraId="3FA0A582" w14:textId="77777777" w:rsidR="00472CD7" w:rsidRPr="00873B6C" w:rsidRDefault="00472CD7" w:rsidP="00472CD7">
      <w:pPr>
        <w:pStyle w:val="B1"/>
        <w:rPr>
          <w:lang w:eastAsia="zh-CN"/>
        </w:rPr>
      </w:pPr>
      <w:r w:rsidRPr="00873B6C">
        <w:rPr>
          <w:lang w:eastAsia="zh-CN"/>
        </w:rPr>
        <w:t>-</w:t>
      </w:r>
      <w:r w:rsidRPr="00873B6C">
        <w:rPr>
          <w:lang w:eastAsia="zh-CN"/>
        </w:rPr>
        <w:tab/>
        <w:t>In the non-roaming case and if the Serving PLMN ID is not the same as the PLMN ID of the SUPI, when the Configured NSSAI of Serving PLMN is provided to the UE the network shall provide the mapped S-NSSAI(s) of the HPLMN to the UE if different values are used for S-NSSAI in Serving PLMN and mapped S-NSSAI in HPLMN.</w:t>
      </w:r>
    </w:p>
    <w:p w14:paraId="6D0E23F5" w14:textId="404A9967" w:rsidR="00472CD7" w:rsidRPr="00873B6C" w:rsidRDefault="00472CD7" w:rsidP="00D52AA2">
      <w:pPr>
        <w:pStyle w:val="NO"/>
        <w:rPr>
          <w:lang w:eastAsia="zh-CN"/>
        </w:rPr>
      </w:pPr>
      <w:r w:rsidRPr="00873B6C">
        <w:rPr>
          <w:lang w:eastAsia="zh-CN"/>
        </w:rPr>
        <w:t>NOTE 2:</w:t>
      </w:r>
      <w:r w:rsidRPr="00873B6C">
        <w:rPr>
          <w:lang w:eastAsia="zh-CN"/>
        </w:rPr>
        <w:tab/>
        <w:t>It is recommended that the Serving PLMN and the HPLMN use the same S-NSSAI values in this case.</w:t>
      </w:r>
    </w:p>
    <w:p w14:paraId="4A8E006F" w14:textId="5E6958C9" w:rsidR="00D40151" w:rsidRPr="00873B6C" w:rsidRDefault="00472CD7" w:rsidP="00D52AA2">
      <w:pPr>
        <w:pStyle w:val="B1"/>
        <w:rPr>
          <w:lang w:eastAsia="zh-CN"/>
        </w:rPr>
      </w:pPr>
      <w:r w:rsidRPr="00873B6C">
        <w:rPr>
          <w:lang w:eastAsia="zh-CN"/>
        </w:rPr>
        <w:t>-</w:t>
      </w:r>
      <w:r w:rsidRPr="00873B6C">
        <w:rPr>
          <w:lang w:eastAsia="zh-CN"/>
        </w:rPr>
        <w:tab/>
      </w:r>
      <w:r w:rsidR="00335A94" w:rsidRPr="00873B6C">
        <w:rPr>
          <w:lang w:eastAsia="zh-CN"/>
        </w:rPr>
        <w:t xml:space="preserve">In the roaming case, the AMF shall provide to the UE the mapping of each S-NSSAI of the Configured NSSAI for the Serving PLMN to the corresponding S-NSSAI values of the HPLMN when providing NSSAI information, as described in </w:t>
      </w:r>
      <w:r w:rsidR="00972E70" w:rsidRPr="00873B6C">
        <w:rPr>
          <w:lang w:eastAsia="zh-CN"/>
        </w:rPr>
        <w:t>TS 24.501 [</w:t>
      </w:r>
      <w:r w:rsidR="00335A94" w:rsidRPr="00873B6C">
        <w:rPr>
          <w:lang w:eastAsia="zh-CN"/>
        </w:rPr>
        <w:t>47].</w:t>
      </w:r>
    </w:p>
    <w:p w14:paraId="5B01864A" w14:textId="6489BBB8" w:rsidR="00681FC7" w:rsidRPr="00873B6C" w:rsidRDefault="00681FC7" w:rsidP="00D40151">
      <w:r w:rsidRPr="00873B6C">
        <w:t>A UE subscription may contain Network Slice Simultaneous Registration Group (NSSRG) information. If so, the UE configuration is performed as described in clause 5.15.12.2.</w:t>
      </w:r>
    </w:p>
    <w:p w14:paraId="44B38022" w14:textId="2058E0CD" w:rsidR="00D40151" w:rsidRPr="00873B6C" w:rsidRDefault="00D40151" w:rsidP="00D40151">
      <w:pPr>
        <w:rPr>
          <w:lang w:eastAsia="zh-CN"/>
        </w:rPr>
      </w:pPr>
      <w:r w:rsidRPr="00873B6C">
        <w:t xml:space="preserve">The UE may be pre-configured with </w:t>
      </w:r>
      <w:r w:rsidRPr="00873B6C">
        <w:rPr>
          <w:lang w:eastAsia="zh-CN"/>
        </w:rPr>
        <w:t xml:space="preserve">the Default Configured NSSAI. The UE </w:t>
      </w:r>
      <w:r w:rsidRPr="00873B6C">
        <w:t>may be provisioned/updated with the Default Configured NSSAI, determined by the UDM in the HPLMN,</w:t>
      </w:r>
      <w:r w:rsidRPr="00873B6C">
        <w:rPr>
          <w:lang w:eastAsia="zh-CN"/>
        </w:rPr>
        <w:t xml:space="preserve"> using the UE Parameters Update via UDM Control Plane procedure</w:t>
      </w:r>
      <w:r w:rsidRPr="00873B6C">
        <w:t xml:space="preserve"> defined in clause 4.20 of </w:t>
      </w:r>
      <w:r w:rsidR="00972E70" w:rsidRPr="00873B6C">
        <w:t>TS 23.502 [</w:t>
      </w:r>
      <w:r w:rsidRPr="00873B6C">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71C3108" w14:textId="6FA41DA6" w:rsidR="00335A94" w:rsidRPr="00873B6C" w:rsidRDefault="00D40151" w:rsidP="00D40151">
      <w:pPr>
        <w:rPr>
          <w:lang w:eastAsia="zh-CN"/>
        </w:rPr>
      </w:pPr>
      <w:r w:rsidRPr="00873B6C">
        <w:rPr>
          <w:lang w:eastAsia="zh-CN"/>
        </w:rPr>
        <w:t>In the HPLMN, the S-NSSAIs in the Configured NSSAI provided as described in clause 5.15.4.2, at the time when they are provided to the UE, shall match the Subscribed S-NSSAIs for the UE</w:t>
      </w:r>
      <w:r w:rsidR="00500903" w:rsidRPr="00873B6C">
        <w:rPr>
          <w:lang w:eastAsia="zh-CN"/>
        </w:rPr>
        <w:t xml:space="preserve"> except a case when Alternative S-NSSAI(s) that are not subscribed S-NSSAI(s) are temporarily used and provided to the UE in the Configured NSSAI as described in clause 5.15.19</w:t>
      </w:r>
      <w:r w:rsidRPr="00873B6C">
        <w:rPr>
          <w:lang w:eastAsia="zh-CN"/>
        </w:rPr>
        <w:t>.</w:t>
      </w:r>
    </w:p>
    <w:p w14:paraId="35478214" w14:textId="1A607DB2" w:rsidR="00D40151" w:rsidRPr="00873B6C" w:rsidRDefault="00D40151" w:rsidP="00D40151">
      <w:pPr>
        <w:rPr>
          <w:lang w:eastAsia="zh-CN"/>
        </w:rPr>
      </w:pPr>
      <w:r w:rsidRPr="00873B6C">
        <w:rPr>
          <w:lang w:eastAsia="zh-CN"/>
        </w:rPr>
        <w:t xml:space="preserve">When the Subscribed S-NSSAI(s) are updated (i.e. some existing S-NSSAIs are removed and/or some new S-NSSAIs are added) and one or more are applicable to the Serving PLMN the UE is registered in, as described in clause 5.15.3, or </w:t>
      </w:r>
      <w:r w:rsidRPr="00873B6C">
        <w:rPr>
          <w:lang w:eastAsia="zh-CN"/>
        </w:rPr>
        <w:lastRenderedPageBreak/>
        <w:t>when the associated mapping is updated the AMF shall update the UE with the Configured NSSAI for the Serving PLMN and/or Allowed NSSAI</w:t>
      </w:r>
      <w:r w:rsidR="00D01473" w:rsidRPr="00873B6C">
        <w:rPr>
          <w:lang w:eastAsia="zh-CN"/>
        </w:rPr>
        <w:t xml:space="preserve"> and Partially Allowed NSSAI</w:t>
      </w:r>
      <w:r w:rsidRPr="00873B6C">
        <w:rPr>
          <w:lang w:eastAsia="zh-CN"/>
        </w:rPr>
        <w:t xml:space="preserve"> and/or the associated mapping to HPLMN S-NSSAIs (see clause 5.15.4.2). When there is the need to update the Allowed NSSAI</w:t>
      </w:r>
      <w:r w:rsidR="00D01473" w:rsidRPr="00873B6C">
        <w:rPr>
          <w:lang w:eastAsia="zh-CN"/>
        </w:rPr>
        <w:t xml:space="preserve"> or Partially Allowed NSSAI</w:t>
      </w:r>
      <w:r w:rsidRPr="00873B6C">
        <w:rPr>
          <w:lang w:eastAsia="zh-CN"/>
        </w:rPr>
        <w:t>, the AMF shall provide the UE with the new Allowed NSSAI</w:t>
      </w:r>
      <w:r w:rsidR="00D01473" w:rsidRPr="00873B6C">
        <w:rPr>
          <w:lang w:eastAsia="zh-CN"/>
        </w:rPr>
        <w:t xml:space="preserve"> or Partially Allowed NSSAI</w:t>
      </w:r>
      <w:r w:rsidRPr="00873B6C">
        <w:rPr>
          <w:lang w:eastAsia="zh-CN"/>
        </w:rPr>
        <w:t xml:space="preserve">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972E70" w:rsidRPr="00873B6C">
        <w:rPr>
          <w:lang w:eastAsia="zh-CN"/>
        </w:rPr>
        <w:t>TS 23.502 [</w:t>
      </w:r>
      <w:r w:rsidRPr="00873B6C">
        <w:rPr>
          <w:lang w:eastAsia="zh-CN"/>
        </w:rPr>
        <w:t>3].</w:t>
      </w:r>
    </w:p>
    <w:p w14:paraId="1355F80F" w14:textId="3E6D1172" w:rsidR="00D40151" w:rsidRPr="00873B6C" w:rsidRDefault="00D40151" w:rsidP="00D40151">
      <w:r w:rsidRPr="00873B6C">
        <w:t xml:space="preserve">When providing a Requested NSSAI to the network upon registration, </w:t>
      </w:r>
      <w:r w:rsidRPr="00873B6C">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873B6C">
        <w:rPr>
          <w:lang w:eastAsia="zh-CN"/>
        </w:rPr>
        <w:t xml:space="preserve"> If the UE has received NSSRG information together with the Configured NSSAI, it only includes in the Requested NSSAI S-NSSAIs that all share a common NSSRG.</w:t>
      </w:r>
      <w:r w:rsidR="0054498C" w:rsidRPr="00873B6C">
        <w:rPr>
          <w:lang w:eastAsia="zh-CN"/>
        </w:rPr>
        <w:t xml:space="preserve"> If the UE has stored Pending NSSAI and the UE is still interested in the Pending NSSAI then all the S-NSSAIs in the Requested NSSAI and the Pending S-NSSAI shall share a common NSSRG.</w:t>
      </w:r>
      <w:r w:rsidRPr="00873B6C">
        <w:rPr>
          <w:lang w:eastAsia="zh-CN"/>
        </w:rPr>
        <w:t xml:space="preserve"> If no Configured NSSAI and Allowed NSSAI for the PLMN are available, the S-NSSAIs in the Requested NSSAI correspond to the Default Configured NSSAI, if configured in the UE. </w:t>
      </w:r>
      <w:r w:rsidRPr="00873B6C">
        <w:t>Upon successful completion of a UE's Registration procedure over an Access Type, the UE obtains from the AMF an Allowed NSSAI</w:t>
      </w:r>
      <w:r w:rsidR="00D01473" w:rsidRPr="00873B6C">
        <w:t xml:space="preserve"> or Partially Allowed NSSAI</w:t>
      </w:r>
      <w:r w:rsidRPr="00873B6C">
        <w:t xml:space="preserve">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033F9ED" w:rsidR="00D40151" w:rsidRPr="00873B6C" w:rsidRDefault="00D40151" w:rsidP="00D40151">
      <w:r w:rsidRPr="00873B6C">
        <w:t>The UE might also obtain</w:t>
      </w:r>
      <w:r w:rsidR="00A13197" w:rsidRPr="00873B6C">
        <w:t xml:space="preserve"> from the AMF,</w:t>
      </w:r>
      <w:r w:rsidRPr="00873B6C">
        <w:t xml:space="preserve"> one or more rejected S-NSSAIs with cause and validity of rejection. An S-NSSAI may be rejected:</w:t>
      </w:r>
    </w:p>
    <w:p w14:paraId="575E298B" w14:textId="3CD0CF9B" w:rsidR="00D40151" w:rsidRPr="00873B6C" w:rsidRDefault="00D40151" w:rsidP="00D40151">
      <w:pPr>
        <w:pStyle w:val="B1"/>
      </w:pPr>
      <w:r w:rsidRPr="00873B6C">
        <w:t>-</w:t>
      </w:r>
      <w:r w:rsidRPr="00873B6C">
        <w:tab/>
        <w:t>for the entire PLMN;</w:t>
      </w:r>
    </w:p>
    <w:p w14:paraId="526C99EE" w14:textId="31B9534A" w:rsidR="00D40151" w:rsidRPr="00873B6C" w:rsidRDefault="00D40151" w:rsidP="00D40151">
      <w:pPr>
        <w:pStyle w:val="B1"/>
      </w:pPr>
      <w:r w:rsidRPr="00873B6C">
        <w:t>-</w:t>
      </w:r>
      <w:r w:rsidRPr="00873B6C">
        <w:tab/>
        <w:t>for the current Registration Area</w:t>
      </w:r>
      <w:r w:rsidR="00D01473" w:rsidRPr="00873B6C">
        <w:t>; or</w:t>
      </w:r>
    </w:p>
    <w:p w14:paraId="7044D7EE" w14:textId="1892362F" w:rsidR="00D01473" w:rsidRPr="00873B6C" w:rsidRDefault="00D01473" w:rsidP="00D01473">
      <w:pPr>
        <w:pStyle w:val="B1"/>
      </w:pPr>
      <w:r w:rsidRPr="00873B6C">
        <w:t>-</w:t>
      </w:r>
      <w:r w:rsidRPr="00873B6C">
        <w:tab/>
        <w:t>partially in the current Registration Area. Such S-NSSAI rejected partially in the current Registration area is associated with a list of TAs where the S-NSSAI is</w:t>
      </w:r>
      <w:r w:rsidR="002E6C8C" w:rsidRPr="00873B6C">
        <w:t xml:space="preserve"> not</w:t>
      </w:r>
      <w:r w:rsidRPr="00873B6C">
        <w:t xml:space="preserve"> supported.</w:t>
      </w:r>
    </w:p>
    <w:p w14:paraId="342524FD" w14:textId="4796A2C8" w:rsidR="00A13197" w:rsidRPr="00873B6C" w:rsidRDefault="00A13197" w:rsidP="00D40151">
      <w:r w:rsidRPr="00873B6C">
        <w:t>The AMF may also reject the use of an S-NSSAI due to congestion as described in clause 5.19.7.4.</w:t>
      </w:r>
    </w:p>
    <w:p w14:paraId="2B5A1089" w14:textId="2D551576" w:rsidR="00D40151" w:rsidRPr="00873B6C" w:rsidRDefault="00D40151" w:rsidP="00D40151">
      <w:r w:rsidRPr="00873B6C">
        <w:t xml:space="preserve">While </w:t>
      </w:r>
      <w:r w:rsidR="00D01473" w:rsidRPr="00873B6C">
        <w:t xml:space="preserve">the UE </w:t>
      </w:r>
      <w:r w:rsidRPr="00873B6C">
        <w:t>remains RM-REGISTERED in the PLMN and regardless of the Access Type, the UE shall not re-attempt to register to an S-NSSAI rejected for the entire PLMN until this rejected S-NSSAI is deleted as specified below.</w:t>
      </w:r>
    </w:p>
    <w:p w14:paraId="39391FC7" w14:textId="45BD79FF" w:rsidR="00D40151" w:rsidRPr="00873B6C" w:rsidRDefault="00D40151" w:rsidP="00D40151">
      <w:r w:rsidRPr="00873B6C">
        <w:t xml:space="preserve">While </w:t>
      </w:r>
      <w:r w:rsidR="00D01473" w:rsidRPr="00873B6C">
        <w:t xml:space="preserve">the UE </w:t>
      </w:r>
      <w:r w:rsidRPr="00873B6C">
        <w:t>remains RM-REGISTERED in the PLMN, the UE shall not re-attempt to register to an S-NSSAI rejected in the current Registration Area until it moves out of the current Registration Area.</w:t>
      </w:r>
    </w:p>
    <w:p w14:paraId="6004196B" w14:textId="70D252C6" w:rsidR="00D01473" w:rsidRPr="00873B6C" w:rsidRDefault="00D01473" w:rsidP="00D01473">
      <w:r w:rsidRPr="00873B6C">
        <w:t xml:space="preserve">While the UE remains RM-REGISTERED in the PLMN, the UE shall not re-attempt to register to an S-NSSAI rejected partially in the RA until the UE moves into a TA which is </w:t>
      </w:r>
      <w:r w:rsidR="002E6C8C" w:rsidRPr="00873B6C">
        <w:t xml:space="preserve">not part of </w:t>
      </w:r>
      <w:r w:rsidRPr="00873B6C">
        <w:t>the list of TAs</w:t>
      </w:r>
      <w:r w:rsidR="002E6C8C" w:rsidRPr="00873B6C">
        <w:t xml:space="preserve"> associated with</w:t>
      </w:r>
      <w:r w:rsidRPr="00873B6C">
        <w:t xml:space="preserve"> the S-NSSAI.</w:t>
      </w:r>
    </w:p>
    <w:p w14:paraId="5F84DE1F" w14:textId="6D1A5FF1" w:rsidR="00D40151" w:rsidRPr="00873B6C" w:rsidRDefault="00D40151" w:rsidP="00D40151">
      <w:pPr>
        <w:pStyle w:val="NO"/>
      </w:pPr>
      <w:r w:rsidRPr="00873B6C">
        <w:t>NOTE</w:t>
      </w:r>
      <w:r w:rsidRPr="00873B6C">
        <w:rPr>
          <w:lang w:eastAsia="zh-CN"/>
        </w:rPr>
        <w:t> </w:t>
      </w:r>
      <w:r w:rsidR="00472CD7" w:rsidRPr="00873B6C">
        <w:rPr>
          <w:lang w:eastAsia="zh-CN"/>
        </w:rPr>
        <w:t>3</w:t>
      </w:r>
      <w:r w:rsidRPr="00873B6C">
        <w:t>:</w:t>
      </w:r>
      <w:r w:rsidRPr="00873B6C">
        <w:tab/>
        <w:t xml:space="preserve">The details and more cases of S-NSSAI rejection are described in </w:t>
      </w:r>
      <w:r w:rsidR="00972E70" w:rsidRPr="00873B6C">
        <w:t>TS 24.501 [</w:t>
      </w:r>
      <w:r w:rsidRPr="00873B6C">
        <w:t>47].</w:t>
      </w:r>
    </w:p>
    <w:p w14:paraId="074A3A62" w14:textId="2B362D94" w:rsidR="00D40151" w:rsidRPr="00873B6C" w:rsidRDefault="002E6C8C" w:rsidP="00D40151">
      <w:r w:rsidRPr="00873B6C">
        <w:t xml:space="preserve">The </w:t>
      </w:r>
      <w:r w:rsidR="00D40151" w:rsidRPr="00873B6C">
        <w:t>S-NSSAIs that the UE provides in the Requested NSSAI which are neither in the Allowed NSSAI</w:t>
      </w:r>
      <w:r w:rsidR="00D01473" w:rsidRPr="00873B6C">
        <w:t xml:space="preserve"> nor in the Partially Allowed NSSAI,</w:t>
      </w:r>
      <w:r w:rsidR="00D40151" w:rsidRPr="00873B6C">
        <w:t xml:space="preserve"> nor provided as a rejected S-NSSAI, shall, by the UE, not be regarded as rejected, i.e. the UE may request to register these S-NSSAIs again next time the UE sends a Requested NSSAI.</w:t>
      </w:r>
    </w:p>
    <w:p w14:paraId="45AE8363" w14:textId="77777777" w:rsidR="00D40151" w:rsidRPr="00873B6C" w:rsidRDefault="00D40151" w:rsidP="00D40151">
      <w:r w:rsidRPr="00873B6C">
        <w:t>The UE stores (S-)NSSAIs as follows:</w:t>
      </w:r>
    </w:p>
    <w:p w14:paraId="52F3593C" w14:textId="2BB36F22" w:rsidR="00D40151" w:rsidRPr="00873B6C" w:rsidRDefault="00D40151" w:rsidP="00D40151">
      <w:pPr>
        <w:pStyle w:val="B2"/>
      </w:pPr>
      <w:r w:rsidRPr="00873B6C">
        <w:t>-</w:t>
      </w:r>
      <w:r w:rsidRPr="00873B6C">
        <w:tab/>
        <w:t>When provisioned with a Configured NSSAI for a PLMN and/or a mapping of Configured NSSAI to HPLMN S-NSSAIs</w:t>
      </w:r>
      <w:r w:rsidR="00681FC7" w:rsidRPr="00873B6C">
        <w:t xml:space="preserve"> and possibly NSSRG information for each S-NSSAI in the Configured NSSAI (if applicable and supported by the UE)</w:t>
      </w:r>
      <w:r w:rsidRPr="00873B6C">
        <w:t>, or when requested to remove the configuration due to network slicing subscription change, the UE shall:</w:t>
      </w:r>
    </w:p>
    <w:p w14:paraId="5CB33EB1" w14:textId="77777777" w:rsidR="00D40151" w:rsidRPr="00873B6C" w:rsidRDefault="00D40151" w:rsidP="00D40151">
      <w:pPr>
        <w:pStyle w:val="B3"/>
      </w:pPr>
      <w:r w:rsidRPr="00873B6C">
        <w:t>-</w:t>
      </w:r>
      <w:r w:rsidRPr="00873B6C">
        <w:tab/>
        <w:t>replace any stored (old) Configured NSSAI for this PLMN with the new Configured NSSAI for this PLMN (if applicable); and</w:t>
      </w:r>
    </w:p>
    <w:p w14:paraId="6378FBB8" w14:textId="12751BEB" w:rsidR="00D40151" w:rsidRPr="00873B6C" w:rsidRDefault="00D40151" w:rsidP="00D40151">
      <w:pPr>
        <w:pStyle w:val="B3"/>
      </w:pPr>
      <w:r w:rsidRPr="00873B6C">
        <w:t>-</w:t>
      </w:r>
      <w:r w:rsidRPr="00873B6C">
        <w:tab/>
        <w:t>delete any stored associated mapping of this old Configured NSSAI for this PLMN to HPLMN S-NSSAIs and, if present and applicable, store the</w:t>
      </w:r>
      <w:r w:rsidR="00704A9E" w:rsidRPr="00873B6C">
        <w:t xml:space="preserve"> </w:t>
      </w:r>
      <w:r w:rsidRPr="00873B6C">
        <w:t>mapping of Configured NSSAI to HPLMN S-NSSAIs; and</w:t>
      </w:r>
    </w:p>
    <w:p w14:paraId="3511F6B2" w14:textId="78CF202D" w:rsidR="00681FC7" w:rsidRPr="00873B6C" w:rsidRDefault="00681FC7" w:rsidP="00D40151">
      <w:pPr>
        <w:pStyle w:val="B3"/>
      </w:pPr>
      <w:r w:rsidRPr="00873B6C">
        <w:lastRenderedPageBreak/>
        <w:t>-</w:t>
      </w:r>
      <w:r w:rsidRPr="00873B6C">
        <w:tab/>
        <w:t>delete any stored associated NSSRG information for each S-NSSAI of the Configured NSSAI and, if present, store the associated NSSRG information for each S-NSSAI of the Configured NSSAI; and</w:t>
      </w:r>
    </w:p>
    <w:p w14:paraId="335D9F81" w14:textId="2D1C6315" w:rsidR="00D40151" w:rsidRPr="00873B6C" w:rsidRDefault="00D40151" w:rsidP="00D40151">
      <w:pPr>
        <w:pStyle w:val="B3"/>
      </w:pPr>
      <w:r w:rsidRPr="00873B6C">
        <w:t>-</w:t>
      </w:r>
      <w:r w:rsidRPr="00873B6C">
        <w:tab/>
        <w:t>delete any stored rejected S-NSSAI for this PLMN;</w:t>
      </w:r>
    </w:p>
    <w:p w14:paraId="29BCF3A7" w14:textId="5BC8C507" w:rsidR="00D40151" w:rsidRPr="00873B6C" w:rsidRDefault="00D40151" w:rsidP="00D40151">
      <w:pPr>
        <w:pStyle w:val="B3"/>
      </w:pPr>
      <w:r w:rsidRPr="00873B6C">
        <w:t>-</w:t>
      </w:r>
      <w:r w:rsidRPr="00873B6C">
        <w:tab/>
        <w:t>keep the received Configured NSSAI for a PLMN (if applicable) and associated mapping to HPLMN S-NSSAIs (if applicable)</w:t>
      </w:r>
      <w:r w:rsidR="00681FC7" w:rsidRPr="00873B6C">
        <w:t xml:space="preserve"> and associated NSSRG information for each S-NSSAI of the Configured NSSAI (if applicable and supported by the UE)</w:t>
      </w:r>
      <w:r w:rsidRPr="00873B6C">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873B6C" w:rsidRDefault="00D40151" w:rsidP="00D40151">
      <w:pPr>
        <w:pStyle w:val="B1"/>
      </w:pPr>
      <w:r w:rsidRPr="00873B6C">
        <w:t>-</w:t>
      </w:r>
      <w:r w:rsidRPr="00873B6C">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27DF7FF0" w:rsidR="00D40151" w:rsidRPr="00873B6C" w:rsidRDefault="00D40151" w:rsidP="00745A3E">
      <w:pPr>
        <w:pStyle w:val="NO"/>
      </w:pPr>
      <w:r w:rsidRPr="00873B6C">
        <w:t>NOTE </w:t>
      </w:r>
      <w:r w:rsidR="00472CD7" w:rsidRPr="00873B6C">
        <w:t>4</w:t>
      </w:r>
      <w:r w:rsidRPr="00873B6C">
        <w:t>:</w:t>
      </w:r>
      <w:r w:rsidRPr="00873B6C">
        <w:tab/>
        <w:t>Whether the UE stores the Allowed NSSAI and any associated mapping of the Allowed NSSAI to HPLMN S-NSSAIs also when the UE is turned off is left to UE implementation.</w:t>
      </w:r>
    </w:p>
    <w:p w14:paraId="40CEB963" w14:textId="77777777" w:rsidR="00D40151" w:rsidRPr="00873B6C" w:rsidRDefault="00D40151" w:rsidP="00D40151">
      <w:pPr>
        <w:pStyle w:val="B2"/>
      </w:pPr>
      <w:r w:rsidRPr="00873B6C">
        <w:t>-</w:t>
      </w:r>
      <w:r w:rsidRPr="00873B6C">
        <w:tab/>
        <w:t>When a new Allowed NSSAI for a PLMN and any associated mapping of the Allowed NSSAI to HPLMN S-NSSAIs are received over an Access Type, the UE shall:</w:t>
      </w:r>
    </w:p>
    <w:p w14:paraId="55AAEE3E" w14:textId="77777777" w:rsidR="00D40151" w:rsidRPr="00873B6C" w:rsidRDefault="00D40151" w:rsidP="00D40151">
      <w:pPr>
        <w:pStyle w:val="B3"/>
      </w:pPr>
      <w:r w:rsidRPr="00873B6C">
        <w:t>-</w:t>
      </w:r>
      <w:r w:rsidRPr="00873B6C">
        <w:tab/>
        <w:t>replace any stored (old) Allowed NSSAI and any associated mapping for these PLMN and Access Type with this new Allowed NSSAI; and</w:t>
      </w:r>
    </w:p>
    <w:p w14:paraId="1982B437" w14:textId="77777777" w:rsidR="00D40151" w:rsidRPr="00873B6C" w:rsidRDefault="00D40151" w:rsidP="00D40151">
      <w:pPr>
        <w:pStyle w:val="B3"/>
      </w:pPr>
      <w:r w:rsidRPr="00873B6C">
        <w:t>-</w:t>
      </w:r>
      <w:r w:rsidRPr="00873B6C">
        <w:tab/>
        <w:t>delete any stored associated mapping of this old Allowed NSSAI for this PLMN to HPLMN S-NSSAIs and, if present, store the associated mapping of this new Allowed NSSAI to HPLMN S-NSSAIs;</w:t>
      </w:r>
    </w:p>
    <w:p w14:paraId="08455BE4" w14:textId="224920B0" w:rsidR="00D01473" w:rsidRPr="00873B6C" w:rsidRDefault="00D01473" w:rsidP="00D40151">
      <w:pPr>
        <w:pStyle w:val="B1"/>
      </w:pPr>
      <w:r w:rsidRPr="00873B6C">
        <w:t>-</w:t>
      </w:r>
      <w:r w:rsidRPr="00873B6C">
        <w:tab/>
        <w:t>If received, a Partially Allowed NSSAI received in a Registration Accept message or a UE Configuration Update Command message applies to the current Registration Area. The UE stores the Partially Allowed NSSAI in the same way as described for the Allowed NSSAI (see also clause 5.15.17).</w:t>
      </w:r>
    </w:p>
    <w:p w14:paraId="464866D7" w14:textId="48127CAA" w:rsidR="00D40151" w:rsidRPr="00873B6C" w:rsidRDefault="00D40151" w:rsidP="00D40151">
      <w:pPr>
        <w:pStyle w:val="B1"/>
      </w:pPr>
      <w:r w:rsidRPr="00873B6C">
        <w:t>-</w:t>
      </w:r>
      <w:r w:rsidRPr="00873B6C">
        <w:tab/>
        <w:t>If received, an S-NSSAI rejected for the entire PLMN shall be stored in the UE while RM-REGISTERED in this PLMN regardless of the Access Type or until it is deleted.</w:t>
      </w:r>
    </w:p>
    <w:p w14:paraId="629E1D2C" w14:textId="77777777" w:rsidR="00D40151" w:rsidRPr="00873B6C" w:rsidRDefault="00D40151" w:rsidP="00D40151">
      <w:pPr>
        <w:pStyle w:val="B1"/>
      </w:pPr>
      <w:r w:rsidRPr="00873B6C">
        <w:t>-</w:t>
      </w:r>
      <w:r w:rsidRPr="00873B6C">
        <w:tab/>
        <w:t>If received, an S-NSSAI rejected for the current Registration Area</w:t>
      </w:r>
      <w:r w:rsidRPr="00873B6C" w:rsidDel="004D0129">
        <w:t xml:space="preserve"> </w:t>
      </w:r>
      <w:r w:rsidRPr="00873B6C">
        <w:t>shall be stored in the UE while RM-REGISTERED until the UE moves out of the current Registration Area or until the S-NSSAI is deleted.</w:t>
      </w:r>
    </w:p>
    <w:p w14:paraId="234D3491" w14:textId="4AB0B8BF" w:rsidR="00D01473" w:rsidRPr="00873B6C" w:rsidRDefault="00D01473" w:rsidP="00D01473">
      <w:pPr>
        <w:pStyle w:val="B1"/>
      </w:pPr>
      <w:r w:rsidRPr="00873B6C">
        <w:t>-</w:t>
      </w:r>
      <w:r w:rsidRPr="00873B6C">
        <w:tab/>
        <w:t>If received, an S-NSSAI rejected partially in the RA shall be stored in the UE while RM-REGISTERED until the UE moves out of the current Registration Area or until the S-NSSAI is deleted (see also clause 5.15.17).</w:t>
      </w:r>
    </w:p>
    <w:p w14:paraId="66D1FD5E" w14:textId="443BD681" w:rsidR="00D40151" w:rsidRPr="00873B6C" w:rsidRDefault="00D40151" w:rsidP="00D40151">
      <w:pPr>
        <w:pStyle w:val="NO"/>
      </w:pPr>
      <w:r w:rsidRPr="00873B6C">
        <w:t>NOTE</w:t>
      </w:r>
      <w:r w:rsidRPr="00873B6C">
        <w:rPr>
          <w:lang w:eastAsia="zh-CN"/>
        </w:rPr>
        <w:t> </w:t>
      </w:r>
      <w:r w:rsidR="00472CD7" w:rsidRPr="00873B6C">
        <w:rPr>
          <w:lang w:eastAsia="zh-CN"/>
        </w:rPr>
        <w:t>5</w:t>
      </w:r>
      <w:r w:rsidRPr="00873B6C">
        <w:t>:</w:t>
      </w:r>
      <w:r w:rsidRPr="00873B6C">
        <w:tab/>
        <w:t xml:space="preserve">The storage aspects of rejected S-NSSAIs are described in </w:t>
      </w:r>
      <w:r w:rsidR="00972E70" w:rsidRPr="00873B6C">
        <w:t>TS 24.501 [</w:t>
      </w:r>
      <w:r w:rsidRPr="00873B6C">
        <w:t>47].</w:t>
      </w:r>
    </w:p>
    <w:p w14:paraId="20F1FDEE" w14:textId="0FA3B3D6" w:rsidR="00D40151" w:rsidRPr="00873B6C" w:rsidRDefault="00D40151" w:rsidP="00D40151">
      <w:pPr>
        <w:pStyle w:val="B1"/>
      </w:pPr>
      <w:bookmarkStart w:id="2624" w:name="_Toc20149914"/>
      <w:bookmarkStart w:id="2625" w:name="_Toc27846713"/>
      <w:bookmarkStart w:id="2626" w:name="_Toc36187844"/>
      <w:r w:rsidRPr="00873B6C">
        <w:t>-</w:t>
      </w:r>
      <w:r w:rsidRPr="00873B6C">
        <w:tab/>
        <w:t xml:space="preserve">If received, the Pending NSSAI shall be stored in the UE as described in </w:t>
      </w:r>
      <w:r w:rsidR="00972E70" w:rsidRPr="00873B6C">
        <w:t>TS 24.501 [</w:t>
      </w:r>
      <w:r w:rsidRPr="00873B6C">
        <w:t>47].</w:t>
      </w:r>
    </w:p>
    <w:p w14:paraId="3986EA93" w14:textId="1FCA334E" w:rsidR="00A51A83" w:rsidRPr="00873B6C" w:rsidRDefault="00A51A83" w:rsidP="00335A94">
      <w:pPr>
        <w:pStyle w:val="B1"/>
      </w:pPr>
      <w:bookmarkStart w:id="2627" w:name="_Toc45183748"/>
      <w:bookmarkStart w:id="2628" w:name="_Toc47342590"/>
      <w:bookmarkStart w:id="2629" w:name="_Toc51769291"/>
      <w:r w:rsidRPr="00873B6C">
        <w:t>-</w:t>
      </w:r>
      <w:r w:rsidRPr="00873B6C">
        <w:tab/>
        <w:t>If received, the S-NSSAI validity time information shall be stored in the UE in the UE as described in TS 24.501 [47].</w:t>
      </w:r>
    </w:p>
    <w:p w14:paraId="67827514" w14:textId="15C4CA05" w:rsidR="00335A94" w:rsidRPr="00873B6C" w:rsidRDefault="00335A94" w:rsidP="00335A94">
      <w:pPr>
        <w:pStyle w:val="B1"/>
      </w:pPr>
      <w:r w:rsidRPr="00873B6C">
        <w:t>-</w:t>
      </w:r>
      <w:r w:rsidRPr="00873B6C">
        <w:tab/>
        <w:t xml:space="preserve">If received, the S-NSSAI location availability information shall be stored in the UE as described in </w:t>
      </w:r>
      <w:r w:rsidR="00972E70" w:rsidRPr="00873B6C">
        <w:t>TS 24.501 [</w:t>
      </w:r>
      <w:r w:rsidRPr="00873B6C">
        <w:t>47].</w:t>
      </w:r>
    </w:p>
    <w:p w14:paraId="25AFA323" w14:textId="7D311C88" w:rsidR="003E03C2" w:rsidRPr="00873B6C" w:rsidRDefault="003E03C2" w:rsidP="003E03C2">
      <w:pPr>
        <w:pStyle w:val="B1"/>
      </w:pPr>
      <w:r w:rsidRPr="00873B6C">
        <w:t>-</w:t>
      </w:r>
      <w:r w:rsidRPr="00873B6C">
        <w:tab/>
        <w:t>If received, the mapping of old S-NSSAI to the Alternative S-NSSAI</w:t>
      </w:r>
      <w:r w:rsidR="00153C7D" w:rsidRPr="00873B6C">
        <w:t xml:space="preserve"> and associated Access Type</w:t>
      </w:r>
      <w:r w:rsidRPr="00873B6C">
        <w:t xml:space="preserve"> shall be stored in the UE as described in </w:t>
      </w:r>
      <w:r w:rsidR="00972E70" w:rsidRPr="00873B6C">
        <w:t>TS 24.501 [</w:t>
      </w:r>
      <w:r w:rsidRPr="00873B6C">
        <w:t>47].</w:t>
      </w:r>
    </w:p>
    <w:p w14:paraId="02D392AD" w14:textId="64594C30" w:rsidR="001F5968" w:rsidRPr="00873B6C" w:rsidRDefault="001F5968" w:rsidP="00695DF1">
      <w:r w:rsidRPr="00873B6C">
        <w:t>UE configuration to guide UE selection of a N3IWF</w:t>
      </w:r>
      <w:r w:rsidR="00587044" w:rsidRPr="00873B6C">
        <w:t>/TNGF</w:t>
      </w:r>
      <w:r w:rsidRPr="00873B6C">
        <w:t xml:space="preserve"> that supports the S-NSSAIs needed by the UE is defined in clause 6.3.6</w:t>
      </w:r>
      <w:r w:rsidR="00587044" w:rsidRPr="00873B6C">
        <w:t xml:space="preserve"> and clause 6.3.12 respectively</w:t>
      </w:r>
      <w:r w:rsidRPr="00873B6C">
        <w:t>.</w:t>
      </w:r>
    </w:p>
    <w:p w14:paraId="7EA753D2" w14:textId="351BB3F5" w:rsidR="00D40151" w:rsidRPr="00873B6C" w:rsidRDefault="00D40151" w:rsidP="00D40151">
      <w:pPr>
        <w:pStyle w:val="Heading5"/>
      </w:pPr>
      <w:bookmarkStart w:id="2630" w:name="_CR5_15_4_1_2"/>
      <w:bookmarkStart w:id="2631" w:name="_Toc201157264"/>
      <w:bookmarkEnd w:id="2630"/>
      <w:r w:rsidRPr="00873B6C">
        <w:lastRenderedPageBreak/>
        <w:t>5.15.4.1.2</w:t>
      </w:r>
      <w:r w:rsidRPr="00873B6C">
        <w:tab/>
        <w:t>Mapping of S-NSSAIs values in the Allowed NSSAI and in the Requested NSSAI to the S-NSSAIs values used in the HPLMN</w:t>
      </w:r>
      <w:bookmarkEnd w:id="2624"/>
      <w:bookmarkEnd w:id="2625"/>
      <w:bookmarkEnd w:id="2626"/>
      <w:bookmarkEnd w:id="2627"/>
      <w:bookmarkEnd w:id="2628"/>
      <w:bookmarkEnd w:id="2629"/>
      <w:bookmarkEnd w:id="2631"/>
    </w:p>
    <w:p w14:paraId="7447A09D" w14:textId="175B7C61" w:rsidR="00D40151" w:rsidRPr="00873B6C" w:rsidRDefault="00335A94" w:rsidP="00D40151">
      <w:pPr>
        <w:rPr>
          <w:lang w:eastAsia="ko-KR"/>
        </w:rPr>
      </w:pPr>
      <w:r w:rsidRPr="00873B6C">
        <w:t xml:space="preserve">For the roaming case, one </w:t>
      </w:r>
      <w:r w:rsidR="00D40151" w:rsidRPr="00873B6C">
        <w:t>or more S-NSSAIs in an Allowed NSSAI provided to the UE can have values which are not part of the UE's current Network S</w:t>
      </w:r>
      <w:r w:rsidR="00D40151" w:rsidRPr="00873B6C">
        <w:rPr>
          <w:lang w:eastAsia="zh-CN"/>
        </w:rPr>
        <w:t>lice configuration information for the Serving PLMN</w:t>
      </w:r>
      <w:r w:rsidR="00D40151" w:rsidRPr="00873B6C">
        <w:t xml:space="preserve">. </w:t>
      </w:r>
      <w:r w:rsidR="00D40151" w:rsidRPr="00873B6C">
        <w:rPr>
          <w:lang w:eastAsia="ko-KR"/>
        </w:rPr>
        <w:t xml:space="preserve">In this case, the network provides the Allowed NSSAI together with the mapping of each </w:t>
      </w:r>
      <w:r w:rsidR="00D40151" w:rsidRPr="00873B6C">
        <w:t>S-NSSAI of the Allowed NSSAI to the corresponding S-NSSAI of the HPLMN.</w:t>
      </w:r>
      <w:r w:rsidR="00D40151" w:rsidRPr="00873B6C">
        <w:rPr>
          <w:lang w:eastAsia="ko-KR"/>
        </w:rPr>
        <w:t xml:space="preserve"> This mapping information allows the UE to associate Applications to S-NSSAIs of the HPLMN as per NSSP of the URSP rules or as per the UE Local Configuration, as defined in clause 6.1.2.2.1 of </w:t>
      </w:r>
      <w:r w:rsidR="00972E70" w:rsidRPr="00873B6C">
        <w:rPr>
          <w:lang w:eastAsia="ko-KR"/>
        </w:rPr>
        <w:t>TS 23.503 [</w:t>
      </w:r>
      <w:r w:rsidR="00D40151" w:rsidRPr="00873B6C">
        <w:rPr>
          <w:lang w:eastAsia="ko-KR"/>
        </w:rPr>
        <w:t>45] and to the corresponding S-NSSAI from the Allowed NSSAI.</w:t>
      </w:r>
    </w:p>
    <w:p w14:paraId="4A2CBFED" w14:textId="1744696E" w:rsidR="0054498C" w:rsidRPr="00873B6C" w:rsidRDefault="0054498C" w:rsidP="00D40151">
      <w:pPr>
        <w:rPr>
          <w:lang w:eastAsia="ko-KR"/>
        </w:rPr>
      </w:pPr>
      <w:r w:rsidRPr="00873B6C">
        <w:rPr>
          <w:lang w:eastAsia="ko-KR"/>
        </w:rPr>
        <w:t>In the non-roaming case</w:t>
      </w:r>
      <w:r w:rsidR="00F1595A" w:rsidRPr="00873B6C">
        <w:rPr>
          <w:lang w:eastAsia="ko-KR"/>
        </w:rPr>
        <w:t xml:space="preserve"> and if the Serving PLMN ID is the same as the PLMN ID of the SUPI</w:t>
      </w:r>
      <w:r w:rsidRPr="00873B6C">
        <w:rPr>
          <w:lang w:eastAsia="ko-KR"/>
        </w:rPr>
        <w:t>, the network shall not provide any mapped S-NSSAI to the UE with the Allowed NSSAI.</w:t>
      </w:r>
      <w:r w:rsidR="00472CD7" w:rsidRPr="00873B6C">
        <w:rPr>
          <w:lang w:eastAsia="ko-KR"/>
        </w:rPr>
        <w:t xml:space="preserve"> In the non-roaming case and if the Serving PLMN ID is not the same as the PLMN ID of the SUPI, the network shall provide the mapped S-NSSAI of the HPLMN to the UE with the Allowed NSSAI if different values are used for S-NSSAI in Serving PLMN and mapped S-NSSAI in HPLMN.</w:t>
      </w:r>
    </w:p>
    <w:p w14:paraId="51AD0CD5" w14:textId="71CF8EF9" w:rsidR="00472CD7" w:rsidRPr="00873B6C" w:rsidRDefault="00472CD7" w:rsidP="00D52AA2">
      <w:pPr>
        <w:pStyle w:val="NO"/>
        <w:rPr>
          <w:lang w:eastAsia="ko-KR"/>
        </w:rPr>
      </w:pPr>
      <w:r w:rsidRPr="00873B6C">
        <w:rPr>
          <w:lang w:eastAsia="ko-KR"/>
        </w:rPr>
        <w:t>NOTE:</w:t>
      </w:r>
      <w:r w:rsidRPr="00873B6C">
        <w:rPr>
          <w:lang w:eastAsia="ko-KR"/>
        </w:rPr>
        <w:tab/>
        <w:t>It is recommended that the Serving PLMN and the HPLMN use the same S-NSSAI values in this case.</w:t>
      </w:r>
    </w:p>
    <w:p w14:paraId="7AE994A7" w14:textId="155AA65D" w:rsidR="00D40151" w:rsidRPr="00873B6C" w:rsidRDefault="00F1595A" w:rsidP="00D40151">
      <w:pPr>
        <w:rPr>
          <w:lang w:eastAsia="ko-KR"/>
        </w:rPr>
      </w:pPr>
      <w:r w:rsidRPr="00873B6C">
        <w:rPr>
          <w:lang w:eastAsia="ko-KR"/>
        </w:rPr>
        <w:t xml:space="preserve">The </w:t>
      </w:r>
      <w:r w:rsidR="00D40151" w:rsidRPr="00873B6C">
        <w:rPr>
          <w:lang w:eastAsia="ko-KR"/>
        </w:rPr>
        <w:t>UE</w:t>
      </w:r>
      <w:r w:rsidR="005C1DEB" w:rsidRPr="00873B6C">
        <w:rPr>
          <w:lang w:eastAsia="ko-KR"/>
        </w:rPr>
        <w:t xml:space="preserve"> shall</w:t>
      </w:r>
      <w:r w:rsidR="00D40151" w:rsidRPr="00873B6C">
        <w:rPr>
          <w:lang w:eastAsia="ko-KR"/>
        </w:rPr>
        <w:t xml:space="preserve"> provide</w:t>
      </w:r>
      <w:r w:rsidR="005C1DEB" w:rsidRPr="00873B6C">
        <w:rPr>
          <w:lang w:eastAsia="ko-KR"/>
        </w:rPr>
        <w:t xml:space="preserve"> in the Requested NSSAI</w:t>
      </w:r>
      <w:r w:rsidR="00D40151" w:rsidRPr="00873B6C">
        <w:rPr>
          <w:lang w:eastAsia="ko-KR"/>
        </w:rPr>
        <w:t xml:space="preserve"> the mapping of S-NSSAIs</w:t>
      </w:r>
      <w:r w:rsidR="005C1DEB" w:rsidRPr="00873B6C">
        <w:rPr>
          <w:lang w:eastAsia="ko-KR"/>
        </w:rPr>
        <w:t xml:space="preserve"> of the Serving PLMN</w:t>
      </w:r>
      <w:r w:rsidR="00D40151" w:rsidRPr="00873B6C">
        <w:rPr>
          <w:lang w:eastAsia="ko-KR"/>
        </w:rPr>
        <w:t xml:space="preserve"> values to the corresponding S-NSSAI values</w:t>
      </w:r>
      <w:r w:rsidR="005C1DEB" w:rsidRPr="00873B6C">
        <w:rPr>
          <w:lang w:eastAsia="ko-KR"/>
        </w:rPr>
        <w:t xml:space="preserve"> of </w:t>
      </w:r>
      <w:r w:rsidR="00D40151" w:rsidRPr="00873B6C">
        <w:rPr>
          <w:lang w:eastAsia="ko-KR"/>
        </w:rPr>
        <w:t>the HPLMN</w:t>
      </w:r>
      <w:r w:rsidR="005C1DEB" w:rsidRPr="00873B6C">
        <w:rPr>
          <w:lang w:eastAsia="ko-KR"/>
        </w:rPr>
        <w:t>, for each S-NSSAI in the Requested NSSAI for which a mapping is available</w:t>
      </w:r>
      <w:r w:rsidR="00D40151" w:rsidRPr="00873B6C">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44D07CAB" w14:textId="158FC92C" w:rsidR="00D01473" w:rsidRPr="00873B6C" w:rsidRDefault="00D01473" w:rsidP="00D01473">
      <w:pPr>
        <w:rPr>
          <w:lang w:eastAsia="ko-KR"/>
        </w:rPr>
      </w:pPr>
      <w:bookmarkStart w:id="2632" w:name="_Toc20149915"/>
      <w:bookmarkStart w:id="2633" w:name="_Toc27846714"/>
      <w:bookmarkStart w:id="2634" w:name="_Toc36187845"/>
      <w:bookmarkStart w:id="2635" w:name="_Toc45183749"/>
      <w:bookmarkStart w:id="2636" w:name="_Toc47342591"/>
      <w:bookmarkStart w:id="2637" w:name="_Toc51769292"/>
      <w:r w:rsidRPr="00873B6C">
        <w:rPr>
          <w:lang w:eastAsia="ko-KR"/>
        </w:rPr>
        <w:t>If the AMF provides Partially Allowed NSSAI to the UE, in roaming case the AMF may provide the mapping information of each S-NSSAI of the Partially Allowed NSSAI to the corresponding HPLMN S-NSSAI as described in clause 5.15.17.</w:t>
      </w:r>
    </w:p>
    <w:p w14:paraId="6DF8C0FA" w14:textId="77777777" w:rsidR="00D40151" w:rsidRPr="00873B6C" w:rsidRDefault="00D40151" w:rsidP="00D40151">
      <w:pPr>
        <w:pStyle w:val="Heading4"/>
        <w:rPr>
          <w:lang w:eastAsia="ko-KR"/>
        </w:rPr>
      </w:pPr>
      <w:bookmarkStart w:id="2638" w:name="_CR5_15_4_2"/>
      <w:bookmarkStart w:id="2639" w:name="_Toc201157265"/>
      <w:bookmarkEnd w:id="2638"/>
      <w:r w:rsidRPr="00873B6C">
        <w:rPr>
          <w:lang w:eastAsia="ko-KR"/>
        </w:rPr>
        <w:t>5.15.4.2</w:t>
      </w:r>
      <w:r w:rsidRPr="00873B6C">
        <w:rPr>
          <w:lang w:eastAsia="ko-KR"/>
        </w:rPr>
        <w:tab/>
        <w:t>Update of UE Network Slice configuration</w:t>
      </w:r>
      <w:bookmarkEnd w:id="2632"/>
      <w:bookmarkEnd w:id="2633"/>
      <w:bookmarkEnd w:id="2634"/>
      <w:bookmarkEnd w:id="2635"/>
      <w:bookmarkEnd w:id="2636"/>
      <w:bookmarkEnd w:id="2637"/>
      <w:bookmarkEnd w:id="2639"/>
    </w:p>
    <w:p w14:paraId="7B102FD4" w14:textId="16087152" w:rsidR="00D40151" w:rsidRPr="00873B6C" w:rsidRDefault="00D40151" w:rsidP="00D40151">
      <w:r w:rsidRPr="00873B6C">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873B6C">
        <w:t xml:space="preserve"> clause 4.2.4 of</w:t>
      </w:r>
      <w:r w:rsidRPr="00873B6C">
        <w:t xml:space="preserve"> </w:t>
      </w:r>
      <w:r w:rsidR="00972E70" w:rsidRPr="00873B6C">
        <w:t>TS 23.502 [</w:t>
      </w:r>
      <w:r w:rsidRPr="00873B6C">
        <w:t>3], UE Configuration Update procedure.</w:t>
      </w:r>
    </w:p>
    <w:p w14:paraId="42A96B37" w14:textId="453402F1" w:rsidR="003E03C2" w:rsidRPr="00873B6C" w:rsidRDefault="003E03C2" w:rsidP="00D40151">
      <w:r w:rsidRPr="00873B6C">
        <w:t xml:space="preserve">If an S-NSSAI is to be stopped to be used, e.g. due to the network slice is to be deleted as described in </w:t>
      </w:r>
      <w:r w:rsidR="00972E70" w:rsidRPr="00873B6C">
        <w:t>TS 28.541 [</w:t>
      </w:r>
      <w:r w:rsidRPr="00873B6C">
        <w:t>149], the AMFs may reject UE requests for the S-NSSAI based on the OAM state before the network slice becomes unavailable. The AMF may based on operator policies (e.g. when there is no timing information related to the termination or the AMF or UE does not support the timing information as described in in clause 5.15.16), release PDU Sessions associated with the S-NSSAI</w:t>
      </w:r>
      <w:r w:rsidR="00472CD7" w:rsidRPr="00873B6C">
        <w:t xml:space="preserve"> and</w:t>
      </w:r>
      <w:r w:rsidRPr="00873B6C">
        <w:t xml:space="preserve"> remove the S-NSSAI from e.g. the Allowed NSSAI and the Configured NSSAI before the Network Slice becomes unavailable. The AMF may use the timing information as described in clause 5.15.16 if it supports this feature and set validity time of the S-NSSAI accordingly.</w:t>
      </w:r>
    </w:p>
    <w:p w14:paraId="1B46E409" w14:textId="6EF185DD" w:rsidR="00681FC7" w:rsidRPr="00873B6C" w:rsidRDefault="00681FC7" w:rsidP="00D40151">
      <w:r w:rsidRPr="00873B6C">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C9103FB" w14:textId="55DEB545" w:rsidR="003E03C2" w:rsidRPr="00873B6C" w:rsidRDefault="003E03C2" w:rsidP="00D40151">
      <w:r w:rsidRPr="00873B6C">
        <w:t>The AMF may provide the UE with the mapping of old S-NSSAI to the Alternative S-NSSAI if the UE has indicated support for the feature as part of the registration request, see clause 5.15.19.</w:t>
      </w:r>
    </w:p>
    <w:p w14:paraId="3707BF58" w14:textId="0BA10D89" w:rsidR="00D40151" w:rsidRPr="00873B6C" w:rsidRDefault="00D40151" w:rsidP="00D40151">
      <w:r w:rsidRPr="00873B6C">
        <w:t>If the HPLMN performs the configuration update of a UE registered in the HPLMN (e.g. due to a change in the Subscribed S-NSSAI(s)</w:t>
      </w:r>
      <w:r w:rsidR="00681FC7" w:rsidRPr="00873B6C">
        <w:t xml:space="preserve"> or due to a change of NSSRG information</w:t>
      </w:r>
      <w:r w:rsidRPr="00873B6C">
        <w:t>), this results in updates to the Configured NSSAI for the HPLMN</w:t>
      </w:r>
      <w:r w:rsidR="00681FC7" w:rsidRPr="00873B6C">
        <w:t xml:space="preserve"> and, if applicable, NSSRG information for each S-NSSAI of the Configured NSSAI</w:t>
      </w:r>
      <w:r w:rsidRPr="00873B6C">
        <w:t>. Updates to the Allowed NSSAI and/or, if present, to the associated mapping of the Allowed NSSAI to HPLMN S-NSSAIs are also possible if the configuration update affects S-NSSAI(s) in the current Allowed NSSAI.</w:t>
      </w:r>
    </w:p>
    <w:p w14:paraId="3F445907" w14:textId="0F97BF9C" w:rsidR="00D40151" w:rsidRPr="00873B6C" w:rsidRDefault="00D40151" w:rsidP="00D40151">
      <w:r w:rsidRPr="00873B6C">
        <w:t>If the VPLMN performs the configuration update of a UE registered in the VPLMN (e.g. due to a change in the Subscribed S-NSSAI(s), the associated mapping is updated</w:t>
      </w:r>
      <w:r w:rsidR="00681FC7" w:rsidRPr="00873B6C">
        <w:t>, or due to a change of NSSRG information</w:t>
      </w:r>
      <w:r w:rsidRPr="00873B6C">
        <w:t>), this results in updates to the Configured NSSAI for the Serving PLMN and/or to the associated mapping of the Configured NSSAI for the Serving PLMN to HPLMN S-NSSAIs</w:t>
      </w:r>
      <w:r w:rsidR="00681FC7" w:rsidRPr="00873B6C">
        <w:t xml:space="preserve"> and, if applicable, NSSRG information for each S-NSSAI of the Configured NSSAI</w:t>
      </w:r>
      <w:r w:rsidRPr="00873B6C">
        <w:t>. Updates to the Allowed NSSAI and/or to the associated mapping of the Allowed NSSAI to HPLMN S-NSSAIs are also possible if the configuration update affects S-NSSAI(s) in the current Allowed NSSAI.</w:t>
      </w:r>
    </w:p>
    <w:p w14:paraId="3C183503" w14:textId="77777777" w:rsidR="00D40151" w:rsidRPr="00873B6C" w:rsidRDefault="00D40151" w:rsidP="00D40151">
      <w:r w:rsidRPr="00873B6C">
        <w:lastRenderedPageBreak/>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D678B6B" w:rsidR="00D40151" w:rsidRPr="00873B6C" w:rsidRDefault="00D40151" w:rsidP="00D40151">
      <w:r w:rsidRPr="00873B6C">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972E70" w:rsidRPr="00873B6C">
        <w:t>TS 23.502 [</w:t>
      </w:r>
      <w:r w:rsidRPr="00873B6C">
        <w:t>3].</w:t>
      </w:r>
    </w:p>
    <w:p w14:paraId="036F5E1E" w14:textId="77777777" w:rsidR="00D40151" w:rsidRPr="00873B6C" w:rsidRDefault="00D40151" w:rsidP="00D40151">
      <w:r w:rsidRPr="00873B6C">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049C7F24" w:rsidR="00D40151" w:rsidRPr="00873B6C" w:rsidRDefault="00D40151" w:rsidP="00D40151">
      <w:r w:rsidRPr="00873B6C">
        <w:t xml:space="preserve">The update of URSP rules (which include the NSSP), if necessary at any time, is described in </w:t>
      </w:r>
      <w:r w:rsidR="00972E70" w:rsidRPr="00873B6C">
        <w:t>TS 23.503 [</w:t>
      </w:r>
      <w:r w:rsidRPr="00873B6C">
        <w:t>45].</w:t>
      </w:r>
    </w:p>
    <w:p w14:paraId="09D9B558" w14:textId="77777777" w:rsidR="00D40151" w:rsidRPr="00873B6C" w:rsidRDefault="00D40151" w:rsidP="00D40151">
      <w:pPr>
        <w:pStyle w:val="Heading3"/>
      </w:pPr>
      <w:bookmarkStart w:id="2640" w:name="_CR5_15_5"/>
      <w:bookmarkStart w:id="2641" w:name="_Toc20149916"/>
      <w:bookmarkStart w:id="2642" w:name="_Toc27846715"/>
      <w:bookmarkStart w:id="2643" w:name="_Toc36187846"/>
      <w:bookmarkStart w:id="2644" w:name="_Toc45183750"/>
      <w:bookmarkStart w:id="2645" w:name="_Toc47342592"/>
      <w:bookmarkStart w:id="2646" w:name="_Toc51769293"/>
      <w:bookmarkStart w:id="2647" w:name="_Toc201157266"/>
      <w:bookmarkEnd w:id="2640"/>
      <w:r w:rsidRPr="00873B6C">
        <w:t>5.15.5</w:t>
      </w:r>
      <w:r w:rsidRPr="00873B6C">
        <w:tab/>
        <w:t>Detailed Operation Overview</w:t>
      </w:r>
      <w:bookmarkEnd w:id="2641"/>
      <w:bookmarkEnd w:id="2642"/>
      <w:bookmarkEnd w:id="2643"/>
      <w:bookmarkEnd w:id="2644"/>
      <w:bookmarkEnd w:id="2645"/>
      <w:bookmarkEnd w:id="2646"/>
      <w:bookmarkEnd w:id="2647"/>
    </w:p>
    <w:p w14:paraId="000EAFB0" w14:textId="77777777" w:rsidR="00D40151" w:rsidRPr="00873B6C" w:rsidRDefault="00D40151" w:rsidP="00D40151">
      <w:pPr>
        <w:pStyle w:val="Heading4"/>
      </w:pPr>
      <w:bookmarkStart w:id="2648" w:name="_CR5_15_5_1"/>
      <w:bookmarkStart w:id="2649" w:name="_Toc20149917"/>
      <w:bookmarkStart w:id="2650" w:name="_Toc27846716"/>
      <w:bookmarkStart w:id="2651" w:name="_Toc36187847"/>
      <w:bookmarkStart w:id="2652" w:name="_Toc45183751"/>
      <w:bookmarkStart w:id="2653" w:name="_Toc47342593"/>
      <w:bookmarkStart w:id="2654" w:name="_Toc51769294"/>
      <w:bookmarkStart w:id="2655" w:name="_Toc201157267"/>
      <w:bookmarkEnd w:id="2648"/>
      <w:r w:rsidRPr="00873B6C">
        <w:t>5.15.5.1</w:t>
      </w:r>
      <w:r w:rsidRPr="00873B6C">
        <w:tab/>
        <w:t>General</w:t>
      </w:r>
      <w:bookmarkEnd w:id="2649"/>
      <w:bookmarkEnd w:id="2650"/>
      <w:bookmarkEnd w:id="2651"/>
      <w:bookmarkEnd w:id="2652"/>
      <w:bookmarkEnd w:id="2653"/>
      <w:bookmarkEnd w:id="2654"/>
      <w:bookmarkEnd w:id="2655"/>
    </w:p>
    <w:p w14:paraId="4E76A7B0" w14:textId="77777777" w:rsidR="00D40151" w:rsidRPr="00873B6C" w:rsidRDefault="00D40151" w:rsidP="00D40151">
      <w:r w:rsidRPr="00873B6C">
        <w:t>The establishment of User Plane connectivity to a Data Network via a Network Slice instance(s) comprises two steps:</w:t>
      </w:r>
    </w:p>
    <w:p w14:paraId="390BDFFC" w14:textId="77777777" w:rsidR="00D40151" w:rsidRPr="00873B6C" w:rsidRDefault="00D40151" w:rsidP="00D40151">
      <w:pPr>
        <w:pStyle w:val="B1"/>
      </w:pPr>
      <w:r w:rsidRPr="00873B6C">
        <w:t>-</w:t>
      </w:r>
      <w:r w:rsidRPr="00873B6C">
        <w:tab/>
        <w:t>performing a RM procedure to select an AMF that supports the required Network Slices.</w:t>
      </w:r>
    </w:p>
    <w:p w14:paraId="179C8DE2" w14:textId="77777777" w:rsidR="00D40151" w:rsidRPr="00873B6C" w:rsidRDefault="00D40151" w:rsidP="00D40151">
      <w:pPr>
        <w:pStyle w:val="B1"/>
      </w:pPr>
      <w:r w:rsidRPr="00873B6C">
        <w:t>-</w:t>
      </w:r>
      <w:r w:rsidRPr="00873B6C">
        <w:tab/>
        <w:t>establishing one or more PDU Session to the required Data network via the Network Slice instance(s).</w:t>
      </w:r>
    </w:p>
    <w:p w14:paraId="6BFBC794" w14:textId="77777777" w:rsidR="00D40151" w:rsidRPr="00873B6C" w:rsidRDefault="00D40151" w:rsidP="00D40151">
      <w:pPr>
        <w:pStyle w:val="Heading4"/>
      </w:pPr>
      <w:bookmarkStart w:id="2656" w:name="_CR5_15_5_2"/>
      <w:bookmarkStart w:id="2657" w:name="_Toc20149918"/>
      <w:bookmarkStart w:id="2658" w:name="_Toc27846717"/>
      <w:bookmarkStart w:id="2659" w:name="_Toc36187848"/>
      <w:bookmarkStart w:id="2660" w:name="_Toc45183752"/>
      <w:bookmarkStart w:id="2661" w:name="_Toc47342594"/>
      <w:bookmarkStart w:id="2662" w:name="_Toc51769295"/>
      <w:bookmarkStart w:id="2663" w:name="_Toc201157268"/>
      <w:bookmarkEnd w:id="2656"/>
      <w:r w:rsidRPr="00873B6C">
        <w:t>5.15.5.2</w:t>
      </w:r>
      <w:r w:rsidRPr="00873B6C">
        <w:tab/>
        <w:t>Selection of a Serving AMF supporting the Network Slices</w:t>
      </w:r>
      <w:bookmarkEnd w:id="2657"/>
      <w:bookmarkEnd w:id="2658"/>
      <w:bookmarkEnd w:id="2659"/>
      <w:bookmarkEnd w:id="2660"/>
      <w:bookmarkEnd w:id="2661"/>
      <w:bookmarkEnd w:id="2662"/>
      <w:bookmarkEnd w:id="2663"/>
    </w:p>
    <w:p w14:paraId="3524669D" w14:textId="77777777" w:rsidR="00D40151" w:rsidRPr="00873B6C" w:rsidRDefault="00D40151" w:rsidP="00D40151">
      <w:pPr>
        <w:pStyle w:val="Heading5"/>
      </w:pPr>
      <w:bookmarkStart w:id="2664" w:name="_CR5_15_5_2_1"/>
      <w:bookmarkStart w:id="2665" w:name="_Toc20149919"/>
      <w:bookmarkStart w:id="2666" w:name="_Toc27846718"/>
      <w:bookmarkStart w:id="2667" w:name="_Toc36187849"/>
      <w:bookmarkStart w:id="2668" w:name="_Toc45183753"/>
      <w:bookmarkStart w:id="2669" w:name="_Toc47342595"/>
      <w:bookmarkStart w:id="2670" w:name="_Toc51769296"/>
      <w:bookmarkStart w:id="2671" w:name="_Toc201157269"/>
      <w:bookmarkEnd w:id="2664"/>
      <w:r w:rsidRPr="00873B6C">
        <w:t>5.15.5.2.1</w:t>
      </w:r>
      <w:r w:rsidRPr="00873B6C">
        <w:tab/>
        <w:t>Registration to a set of Network Slices</w:t>
      </w:r>
      <w:bookmarkEnd w:id="2665"/>
      <w:bookmarkEnd w:id="2666"/>
      <w:bookmarkEnd w:id="2667"/>
      <w:bookmarkEnd w:id="2668"/>
      <w:bookmarkEnd w:id="2669"/>
      <w:bookmarkEnd w:id="2670"/>
      <w:bookmarkEnd w:id="2671"/>
    </w:p>
    <w:p w14:paraId="50815399" w14:textId="77777777" w:rsidR="00D40151" w:rsidRPr="00873B6C" w:rsidRDefault="00D40151" w:rsidP="00D40151">
      <w:r w:rsidRPr="00873B6C">
        <w:t>When a UE registers over an Access Type with a PLMN, if the UE has either or both of:</w:t>
      </w:r>
    </w:p>
    <w:p w14:paraId="0C710820" w14:textId="77777777" w:rsidR="00D40151" w:rsidRPr="00873B6C" w:rsidRDefault="00D40151" w:rsidP="00D40151">
      <w:pPr>
        <w:pStyle w:val="B1"/>
      </w:pPr>
      <w:r w:rsidRPr="00873B6C">
        <w:t>-</w:t>
      </w:r>
      <w:r w:rsidRPr="00873B6C">
        <w:tab/>
        <w:t>a Configured NSSAI for this PLMN;</w:t>
      </w:r>
    </w:p>
    <w:p w14:paraId="67516A8C" w14:textId="77777777" w:rsidR="00D40151" w:rsidRPr="00873B6C" w:rsidRDefault="00D40151" w:rsidP="00D40151">
      <w:pPr>
        <w:pStyle w:val="B1"/>
      </w:pPr>
      <w:r w:rsidRPr="00873B6C">
        <w:t>-</w:t>
      </w:r>
      <w:r w:rsidRPr="00873B6C">
        <w:tab/>
        <w:t>an Allowed NSSAI for this PLMN and Access Type;</w:t>
      </w:r>
    </w:p>
    <w:p w14:paraId="39715C2B" w14:textId="77777777" w:rsidR="00D40151" w:rsidRPr="00873B6C" w:rsidRDefault="00D40151" w:rsidP="00D40151">
      <w:r w:rsidRPr="00873B6C">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873B6C" w:rsidRDefault="00D40151" w:rsidP="00D40151">
      <w:r w:rsidRPr="00873B6C">
        <w:t>The Requested NSSAI shall be one of:</w:t>
      </w:r>
    </w:p>
    <w:p w14:paraId="3D74F870" w14:textId="77777777" w:rsidR="00D40151" w:rsidRPr="00873B6C" w:rsidRDefault="00D40151" w:rsidP="00D40151">
      <w:pPr>
        <w:pStyle w:val="B1"/>
      </w:pPr>
      <w:r w:rsidRPr="00873B6C">
        <w:t>-</w:t>
      </w:r>
      <w:r w:rsidRPr="00873B6C">
        <w:tab/>
        <w:t>the Default Configured NSSAI, i.e. if the UE has no Configured NSSAI nor an Allowed NSSAI for the serving PLMN;</w:t>
      </w:r>
    </w:p>
    <w:p w14:paraId="4B6BA3E6" w14:textId="77777777" w:rsidR="00D40151" w:rsidRPr="00873B6C" w:rsidRDefault="00D40151" w:rsidP="00D40151">
      <w:pPr>
        <w:pStyle w:val="B1"/>
      </w:pPr>
      <w:r w:rsidRPr="00873B6C">
        <w:t>-</w:t>
      </w:r>
      <w:r w:rsidRPr="00873B6C">
        <w:tab/>
        <w:t>the Configured-NSSAI, or a subset thereof as described below, e.g. if the UE has no Allowed NSSAI for the Access Type for the serving PLMN;</w:t>
      </w:r>
    </w:p>
    <w:p w14:paraId="7B7B85C5" w14:textId="77777777" w:rsidR="00D40151" w:rsidRPr="00873B6C" w:rsidRDefault="00D40151" w:rsidP="00D40151">
      <w:pPr>
        <w:pStyle w:val="B1"/>
      </w:pPr>
      <w:r w:rsidRPr="00873B6C">
        <w:t>-</w:t>
      </w:r>
      <w:r w:rsidRPr="00873B6C">
        <w:tab/>
        <w:t>the Allowed-NSSAI for the Access Type over which the Requested NSSAI is sent, or a subset thereof; or</w:t>
      </w:r>
    </w:p>
    <w:p w14:paraId="4CC7C0E4" w14:textId="77777777" w:rsidR="00D40151" w:rsidRPr="00873B6C" w:rsidRDefault="00D40151" w:rsidP="00D40151">
      <w:pPr>
        <w:pStyle w:val="B1"/>
      </w:pPr>
      <w:r w:rsidRPr="00873B6C">
        <w:t>-</w:t>
      </w:r>
      <w:r w:rsidRPr="00873B6C">
        <w:tab/>
        <w:t>the Allowed-NSSAI for the Access Type over which the Requested NSSAI is sent, or a subset thereof, plus one or more S-NSSAIs from the Configured-NSSAI not yet in the Allowed NSSAI for the Access Type as described below.</w:t>
      </w:r>
    </w:p>
    <w:p w14:paraId="263FBB14" w14:textId="7B8E4799" w:rsidR="00D40151" w:rsidRPr="00873B6C" w:rsidRDefault="00D40151" w:rsidP="00D40151">
      <w:pPr>
        <w:pStyle w:val="NO"/>
      </w:pPr>
      <w:r w:rsidRPr="00873B6C">
        <w:t>NOTE 1:</w:t>
      </w:r>
      <w:r w:rsidRPr="00873B6C">
        <w:tab/>
        <w:t>If the UE wishes to register only a subset of the S-NSSAIs from the Configured NSSAI or the Allowed NSSAI, to be able to register with some Network Slices e.g. to establish PDU Sessions for some application(s)</w:t>
      </w:r>
      <w:r w:rsidR="00472CD7" w:rsidRPr="00873B6C">
        <w:t xml:space="preserve"> and</w:t>
      </w:r>
      <w:r w:rsidRPr="00873B6C">
        <w:t xml:space="preserve"> the UE uses the URSP rules (which includes the NSSP) or the UE Local Configuration as defined in clause 6.1.2.2.1 of </w:t>
      </w:r>
      <w:r w:rsidR="00972E70" w:rsidRPr="00873B6C">
        <w:t>TS 23.503 [</w:t>
      </w:r>
      <w:r w:rsidRPr="00873B6C">
        <w:t>45], then the UE uses applicable the URSP rules or the UE Local Configuration to ensure that the S-NSSAIs included in the Requested NSSAI are not in conflict with the URSP rules or with the UE Local Configuration.</w:t>
      </w:r>
    </w:p>
    <w:p w14:paraId="75F8B658" w14:textId="51CED10B" w:rsidR="00D40151" w:rsidRPr="00873B6C" w:rsidRDefault="00D40151" w:rsidP="00D40151">
      <w:r w:rsidRPr="00873B6C">
        <w:lastRenderedPageBreak/>
        <w:t>The subset of S-NSSAIs in the Configured-NSSAI provided in the Requested NSSAI consists of one or more S-NSSAI(s) in the Configured NSSAI applicable to this PLMN, if one is present</w:t>
      </w:r>
      <w:r w:rsidR="00472CD7" w:rsidRPr="00873B6C">
        <w:t xml:space="preserve"> and</w:t>
      </w:r>
      <w:r w:rsidRPr="00873B6C">
        <w:t xml:space="preserve">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873B6C">
        <w:t xml:space="preserve"> If the UE has been provided with NSSRG information together with the Configured NSSAI, the UE only includes in the Requested NSSAI S-NSSAIs that share a common NSSRG, see clause 5.15.12.2.</w:t>
      </w:r>
      <w:r w:rsidR="0054498C" w:rsidRPr="00873B6C">
        <w:t xml:space="preserve"> If the UE has stored Pending NSSAI and the UE is still interested in the Pending NSSAI then all the S-NSSAIs in the Requested NSSAI and the Pending S-NSSAI shall share a common NSSRG.</w:t>
      </w:r>
    </w:p>
    <w:p w14:paraId="5DDA910F" w14:textId="77777777" w:rsidR="00D40151" w:rsidRPr="00873B6C" w:rsidRDefault="00D40151" w:rsidP="00D40151">
      <w:pPr>
        <w:rPr>
          <w:lang w:eastAsia="zh-CN"/>
        </w:rPr>
      </w:pPr>
      <w:r w:rsidRPr="00873B6C">
        <w:rPr>
          <w:lang w:eastAsia="zh-CN"/>
        </w:rPr>
        <w:t>When a UE registers over an Access Type with a PLMN, the UE shall also indicate in the Registration Request message when the Requested NSSAI is based on the Default Configured NSSAI.</w:t>
      </w:r>
    </w:p>
    <w:p w14:paraId="24FBDBF2" w14:textId="26B0BB59" w:rsidR="00D40151" w:rsidRPr="00873B6C" w:rsidRDefault="00D40151" w:rsidP="00D40151">
      <w:r w:rsidRPr="00873B6C">
        <w:rPr>
          <w:lang w:eastAsia="zh-CN"/>
        </w:rPr>
        <w:t xml:space="preserve">The UE shall include the Requested NSSAI in the RRC </w:t>
      </w:r>
      <w:r w:rsidRPr="00873B6C">
        <w:t xml:space="preserve">Connection Establishment and in the establishment of the connection to the N3IWF/TNGF (as applicable) </w:t>
      </w:r>
      <w:r w:rsidRPr="00873B6C">
        <w:rPr>
          <w:lang w:eastAsia="zh-CN"/>
        </w:rPr>
        <w:t>and in the NAS Registration procedure messages subject to conditions set out in clause 5.15.9. However,</w:t>
      </w:r>
      <w:r w:rsidRPr="00873B6C">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873B6C" w:rsidDel="00F24BBC">
        <w:t xml:space="preserve"> </w:t>
      </w:r>
      <w:r w:rsidRPr="00873B6C">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335A94" w:rsidRPr="00873B6C">
        <w:t xml:space="preserve"> if the UE is roaming</w:t>
      </w:r>
      <w:r w:rsidRPr="00873B6C">
        <w:t>, the UE provides the mapping of each S-NSSAI of the Requested NSSAI to a corresponding HPLMN S-NSSAI.</w:t>
      </w:r>
    </w:p>
    <w:p w14:paraId="6D31912D" w14:textId="77777777" w:rsidR="00D40151" w:rsidRPr="00873B6C" w:rsidRDefault="00D40151" w:rsidP="00D40151">
      <w:pPr>
        <w:rPr>
          <w:lang w:eastAsia="ko-KR"/>
        </w:rPr>
      </w:pPr>
      <w:r w:rsidRPr="00873B6C">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873B6C">
        <w:rPr>
          <w:lang w:eastAsia="ko-KR"/>
        </w:rPr>
        <w:t xml:space="preserve"> the 5G-AN can reach an AMF corresponding to the </w:t>
      </w:r>
      <w:r w:rsidRPr="00873B6C">
        <w:t>5G-S-TMSI or GUAMI</w:t>
      </w:r>
      <w:r w:rsidRPr="00873B6C">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873B6C" w:rsidRDefault="00D40151" w:rsidP="00D40151">
      <w:pPr>
        <w:rPr>
          <w:lang w:eastAsia="zh-CN"/>
        </w:rPr>
      </w:pPr>
      <w:r w:rsidRPr="00873B6C">
        <w:rPr>
          <w:lang w:eastAsia="zh-CN"/>
        </w:rPr>
        <w:t>When the AMF selected by the AN during Registration Procedure receives the UE Registration request, or after an AMF selection by MME (i.e. during EPS to 5GS handover) the AMF receives S-NSSAI(s) from SMF</w:t>
      </w:r>
      <w:r w:rsidR="00704A9E" w:rsidRPr="00873B6C">
        <w:rPr>
          <w:lang w:eastAsia="zh-CN"/>
        </w:rPr>
        <w:t>+PGW-C</w:t>
      </w:r>
      <w:r w:rsidRPr="00873B6C">
        <w:rPr>
          <w:lang w:eastAsia="zh-CN"/>
        </w:rPr>
        <w:t xml:space="preserve"> in 5GC:</w:t>
      </w:r>
    </w:p>
    <w:p w14:paraId="622675CB" w14:textId="064C0123" w:rsidR="00D40151" w:rsidRPr="00873B6C" w:rsidRDefault="00D40151" w:rsidP="00D40151">
      <w:pPr>
        <w:pStyle w:val="B1"/>
      </w:pPr>
      <w:r w:rsidRPr="00873B6C">
        <w:t>-</w:t>
      </w:r>
      <w:r w:rsidRPr="00873B6C">
        <w:tab/>
        <w:t>As part of the Registration procedure described in</w:t>
      </w:r>
      <w:r w:rsidR="00960CDA" w:rsidRPr="00873B6C">
        <w:t xml:space="preserve"> clause 4.2.2.2.2</w:t>
      </w:r>
      <w:r w:rsidRPr="00873B6C">
        <w:t xml:space="preserve"> </w:t>
      </w:r>
      <w:r w:rsidR="00960CDA" w:rsidRPr="00873B6C">
        <w:t xml:space="preserve">of </w:t>
      </w:r>
      <w:r w:rsidR="00972E70" w:rsidRPr="00873B6C">
        <w:t>TS 23.502 [</w:t>
      </w:r>
      <w:r w:rsidRPr="00873B6C">
        <w:t xml:space="preserve">3], or as part of the EPS to 5GS handover using N26 interface procedure described in clause 4.11.1.2.2 </w:t>
      </w:r>
      <w:r w:rsidR="00960CDA" w:rsidRPr="00873B6C">
        <w:t>of</w:t>
      </w:r>
      <w:r w:rsidRPr="00873B6C">
        <w:t xml:space="preserve"> </w:t>
      </w:r>
      <w:r w:rsidR="00972E70" w:rsidRPr="00873B6C">
        <w:t>TS 23.502 [</w:t>
      </w:r>
      <w:r w:rsidRPr="00873B6C">
        <w:t>3], the AMF may query the UDM to retrieve UE subscription information including the Subscribed S-NSSAIs.</w:t>
      </w:r>
    </w:p>
    <w:p w14:paraId="7881D87D" w14:textId="069AE04F" w:rsidR="00D40151" w:rsidRPr="00873B6C" w:rsidRDefault="00D40151" w:rsidP="00D40151">
      <w:pPr>
        <w:pStyle w:val="B1"/>
      </w:pPr>
      <w:r w:rsidRPr="00873B6C">
        <w:t>-</w:t>
      </w:r>
      <w:r w:rsidRPr="00873B6C">
        <w:tab/>
        <w:t>The AMF verifies whether the S-NSSAI(s) in the Requested NSSAI or the S-NSSAI(s) received from SMF</w:t>
      </w:r>
      <w:r w:rsidR="00704A9E" w:rsidRPr="00873B6C">
        <w:t>+PGW-C</w:t>
      </w:r>
      <w:r w:rsidRPr="00873B6C">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873B6C" w:rsidRDefault="00D40151" w:rsidP="00D40151">
      <w:pPr>
        <w:pStyle w:val="B1"/>
      </w:pPr>
      <w:r w:rsidRPr="00873B6C">
        <w:t>-</w:t>
      </w:r>
      <w:r w:rsidRPr="00873B6C">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873B6C" w:rsidRDefault="00D40151" w:rsidP="00D40151">
      <w:pPr>
        <w:pStyle w:val="NO"/>
      </w:pPr>
      <w:r w:rsidRPr="00873B6C">
        <w:rPr>
          <w:lang w:eastAsia="zh-CN"/>
        </w:rPr>
        <w:t>NOTE </w:t>
      </w:r>
      <w:r w:rsidR="00CD64F1" w:rsidRPr="00873B6C">
        <w:rPr>
          <w:lang w:eastAsia="zh-CN"/>
        </w:rPr>
        <w:t>2</w:t>
      </w:r>
      <w:r w:rsidRPr="00873B6C">
        <w:rPr>
          <w:lang w:eastAsia="zh-CN"/>
        </w:rPr>
        <w:t>:</w:t>
      </w:r>
      <w:r w:rsidRPr="00873B6C">
        <w:rPr>
          <w:lang w:eastAsia="zh-CN"/>
        </w:rPr>
        <w:tab/>
        <w:t>The configuration in the AMF depends on operator's policy.</w:t>
      </w:r>
    </w:p>
    <w:p w14:paraId="5DBF0CDC" w14:textId="77777777" w:rsidR="00D40151" w:rsidRPr="00873B6C" w:rsidRDefault="00D40151" w:rsidP="00D40151">
      <w:pPr>
        <w:pStyle w:val="B1"/>
      </w:pPr>
      <w:r w:rsidRPr="00873B6C">
        <w:t>-</w:t>
      </w:r>
      <w:r w:rsidRPr="00873B6C">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873B6C" w:rsidRDefault="00967FB9" w:rsidP="00323277">
      <w:pPr>
        <w:pStyle w:val="B1"/>
      </w:pPr>
      <w:r w:rsidRPr="00873B6C">
        <w:t>-</w:t>
      </w:r>
      <w:r w:rsidRPr="00873B6C">
        <w:tab/>
        <w:t>AMF or NSSF may have previously subscribed to slice load level and/or Observed Service Experience and/or Dispersion Analytics related network data analytics for a Network Slice from NWDAF</w:t>
      </w:r>
      <w:r w:rsidR="00681FC7" w:rsidRPr="00873B6C">
        <w:t>, optionally for an Area of Interest composed of one or several TAIs</w:t>
      </w:r>
      <w:r w:rsidRPr="00873B6C">
        <w:t xml:space="preserve">. If AMF subscribes to analytics, AMF may determine that it cannot </w:t>
      </w:r>
      <w:r w:rsidRPr="00873B6C">
        <w:lastRenderedPageBreak/>
        <w:t>serve the UE based on received analytics (see (A) below). If AMF subscribes to</w:t>
      </w:r>
      <w:r w:rsidR="00681FC7" w:rsidRPr="00873B6C">
        <w:t xml:space="preserve"> notifications on changes on the Network Slice or Network Slice instance availability information</w:t>
      </w:r>
      <w:r w:rsidRPr="00873B6C">
        <w:t xml:space="preserve"> from NSSF</w:t>
      </w:r>
      <w:r w:rsidR="00681FC7" w:rsidRPr="00873B6C">
        <w:t xml:space="preserve"> optionally indicating a list of supported TAIs</w:t>
      </w:r>
      <w:r w:rsidRPr="00873B6C">
        <w:t>, it may determine that it cannot serve the UE after the restriction notification is received (see (A) below). If AMF does not subscribe to</w:t>
      </w:r>
      <w:r w:rsidR="00681FC7" w:rsidRPr="00873B6C">
        <w:t xml:space="preserve"> notifications on changes on the availability information</w:t>
      </w:r>
      <w:r w:rsidRPr="00873B6C">
        <w:t xml:space="preserve"> from NSSF, NSSF may take the analytics information into account when AMF queries NSSF (see (B) below).</w:t>
      </w:r>
    </w:p>
    <w:p w14:paraId="055D443E" w14:textId="20D95932" w:rsidR="00D40151" w:rsidRPr="00873B6C" w:rsidRDefault="00D40151" w:rsidP="00D40151">
      <w:pPr>
        <w:pStyle w:val="NO"/>
      </w:pPr>
      <w:r w:rsidRPr="00873B6C">
        <w:t>NOTE</w:t>
      </w:r>
      <w:r w:rsidRPr="00873B6C">
        <w:rPr>
          <w:lang w:eastAsia="zh-CN"/>
        </w:rPr>
        <w:t> </w:t>
      </w:r>
      <w:r w:rsidR="00CD64F1" w:rsidRPr="00873B6C">
        <w:rPr>
          <w:lang w:eastAsia="zh-CN"/>
        </w:rPr>
        <w:t>3</w:t>
      </w:r>
      <w:r w:rsidRPr="00873B6C">
        <w:t>:</w:t>
      </w:r>
      <w:r w:rsidRPr="00873B6C">
        <w:tab/>
      </w:r>
      <w:r w:rsidRPr="00873B6C">
        <w:rPr>
          <w:lang w:eastAsia="zh-CN"/>
        </w:rPr>
        <w:t>The configuration in the AMF depends on the operator's policy.</w:t>
      </w:r>
    </w:p>
    <w:p w14:paraId="660FBCB6" w14:textId="713C3C70" w:rsidR="00D40151" w:rsidRPr="00873B6C" w:rsidRDefault="00D40151" w:rsidP="00D40151">
      <w:r w:rsidRPr="00873B6C">
        <w:rPr>
          <w:b/>
          <w:lang w:eastAsia="zh-CN"/>
        </w:rPr>
        <w:t>(A)</w:t>
      </w:r>
      <w:r w:rsidRPr="00873B6C">
        <w:rPr>
          <w:lang w:eastAsia="zh-CN"/>
        </w:rPr>
        <w:t xml:space="preserve"> Depending on fulfilling the configuration as described above, the AMF may be allowed to determine whether it can serve the UE</w:t>
      </w:r>
      <w:r w:rsidR="00472CD7" w:rsidRPr="00873B6C">
        <w:rPr>
          <w:lang w:eastAsia="zh-CN"/>
        </w:rPr>
        <w:t xml:space="preserve"> and</w:t>
      </w:r>
      <w:r w:rsidRPr="00873B6C">
        <w:rPr>
          <w:lang w:eastAsia="zh-CN"/>
        </w:rPr>
        <w:t xml:space="preserve"> </w:t>
      </w:r>
      <w:r w:rsidRPr="00873B6C">
        <w:t>the following is performed:</w:t>
      </w:r>
    </w:p>
    <w:p w14:paraId="04C7892F" w14:textId="64DA39A1" w:rsidR="00D40151" w:rsidRPr="00873B6C" w:rsidRDefault="00D40151" w:rsidP="00D40151">
      <w:pPr>
        <w:pStyle w:val="B1"/>
      </w:pPr>
      <w:r w:rsidRPr="00873B6C">
        <w:t>-</w:t>
      </w:r>
      <w:r w:rsidRPr="00873B6C">
        <w:tab/>
        <w:t>For the mobility from EPS to 5GS, the AMF first derives the serving PLMN value(s) of S-NSSAI(s) based on the HPLMN S-NSSAI(s) in the mapping of Requested NSSAI (in CM-IDLE state) or the HPLMN S-NSSAI(s) received from SMF</w:t>
      </w:r>
      <w:r w:rsidR="00704A9E" w:rsidRPr="00873B6C">
        <w:t>+PGW-C</w:t>
      </w:r>
      <w:r w:rsidRPr="00873B6C">
        <w:t xml:space="preserve"> (in CM-CONNECTED state). After that the AMF regards the derived value(s) as the Requested NSSAI.</w:t>
      </w:r>
    </w:p>
    <w:p w14:paraId="41D73E68" w14:textId="7981F3E5" w:rsidR="00CD64F1" w:rsidRPr="00873B6C" w:rsidRDefault="00CD64F1" w:rsidP="00D40151">
      <w:pPr>
        <w:pStyle w:val="B1"/>
      </w:pPr>
      <w:r w:rsidRPr="00873B6C">
        <w:t>-</w:t>
      </w:r>
      <w:r w:rsidRPr="00873B6C">
        <w:tab/>
        <w:t>For the inter PLMN within 5GC mobility, the new AMF derives the serving PLMN value(s) of S-NSSAI(s) based on the HPLMN S-NSSAI(s) in the mapping of Requested NSSAI. After that the AMF regards the derived value(s) as the Requested NSSAI.</w:t>
      </w:r>
    </w:p>
    <w:p w14:paraId="75E6753C" w14:textId="26AFDA11" w:rsidR="00D40151" w:rsidRPr="00873B6C" w:rsidRDefault="00D40151" w:rsidP="00D40151">
      <w:pPr>
        <w:pStyle w:val="B1"/>
      </w:pPr>
      <w:r w:rsidRPr="00873B6C">
        <w:t>-</w:t>
      </w:r>
      <w:r w:rsidRPr="00873B6C">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w:t>
      </w:r>
      <w:r w:rsidR="002A4DF8" w:rsidRPr="00873B6C">
        <w:t xml:space="preserve"> (see clause 5.15.3)</w:t>
      </w:r>
      <w:r w:rsidRPr="00873B6C">
        <w:t xml:space="preserve"> or not available at the current UE's Tracking Area (see clause 5.15.</w:t>
      </w:r>
      <w:r w:rsidR="002A4DF8" w:rsidRPr="00873B6C">
        <w:t>8</w:t>
      </w:r>
      <w:r w:rsidRPr="00873B6C">
        <w:t>).</w:t>
      </w:r>
      <w:r w:rsidR="0059213C" w:rsidRPr="00873B6C">
        <w:t xml:space="preserve"> If the AMF is configured with a local policy to include in the Allowed NSSAI subscribed S-NSSAIs that are not in the Requested NSSAI and some of the Subscribed S-NSSAIs are not supported by the AMF, the AMF queries the NSSF (see (B) below).</w:t>
      </w:r>
    </w:p>
    <w:p w14:paraId="535C8887" w14:textId="47ED01A6" w:rsidR="00967FB9" w:rsidRPr="00873B6C" w:rsidRDefault="00967FB9" w:rsidP="00D40151">
      <w:pPr>
        <w:pStyle w:val="B2"/>
      </w:pPr>
      <w:r w:rsidRPr="00873B6C">
        <w:t>-</w:t>
      </w:r>
      <w:r w:rsidRPr="00873B6C">
        <w:tab/>
        <w:t>If AMF has subscribed to slice load level and/or Observed Service Experience and/or Dispersion Analytics related network data analytics for a Network Slice from NWDAF, or if AMF had received a Network Slice restriction from NSSF</w:t>
      </w:r>
      <w:r w:rsidR="00681FC7" w:rsidRPr="00873B6C">
        <w:t xml:space="preserve"> that applies to the list of TAIs supported by the AMF</w:t>
      </w:r>
      <w:r w:rsidRPr="00873B6C">
        <w:t>, it may use that information to determine whether the AMF can serve the UE on the S-NSSAI(s) in the Requested NSSAI.</w:t>
      </w:r>
    </w:p>
    <w:p w14:paraId="252C8299" w14:textId="4FBE7814" w:rsidR="00D40151" w:rsidRPr="00873B6C" w:rsidRDefault="00D40151" w:rsidP="00D40151">
      <w:pPr>
        <w:pStyle w:val="B2"/>
      </w:pPr>
      <w:r w:rsidRPr="00873B6C">
        <w:t>-</w:t>
      </w:r>
      <w:r w:rsidRPr="00873B6C">
        <w:tab/>
        <w:t>If the AMF can serve the S-NSSAIs in the Requested NSSAI</w:t>
      </w:r>
      <w:r w:rsidR="0059213C" w:rsidRPr="00873B6C">
        <w:t xml:space="preserve"> and any additional S-NSSAI added due to local policy as described below</w:t>
      </w:r>
      <w:r w:rsidRPr="00873B6C">
        <w:t>, the AMF remains the serving AMF for the UE. The Allowed NSSAI is then</w:t>
      </w:r>
      <w:r w:rsidR="0059213C" w:rsidRPr="00873B6C">
        <w:t xml:space="preserve"> determined by taking into account</w:t>
      </w:r>
      <w:r w:rsidRPr="00873B6C">
        <w:t xml:space="preserve"> the list of S-NSSAI(s)</w:t>
      </w:r>
      <w:r w:rsidR="0059213C" w:rsidRPr="00873B6C">
        <w:t xml:space="preserve"> in the Requested NSSAI</w:t>
      </w:r>
      <w:r w:rsidRPr="00873B6C">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873B6C">
        <w:t xml:space="preserve"> in addition to any Network Slice instance restriction for the S-NSSAI(s) in the Allowed NSSAI provided by the NSSF</w:t>
      </w:r>
      <w:r w:rsidRPr="00873B6C">
        <w:t>.</w:t>
      </w:r>
      <w:r w:rsidR="0059213C" w:rsidRPr="00873B6C">
        <w:t xml:space="preserve"> The AMF based on local policy may determine to include in the Allowed NSSAI additional Subscribed S-NSSAIs e.g. Subscribed S-NSSAIs not marked as default and/or Subscribed S-NSSAIs that were not provided in the Requested NSSAI (See NOTE 4).</w:t>
      </w:r>
      <w:r w:rsidR="00681FC7" w:rsidRPr="00873B6C">
        <w:t xml:space="preserve"> If the AMF has received NSSRG Information for the Subscribed S-NSSAIs as part of the UE subscription information, it shall only include in the Allowed NSSAI S-NSSAIs that all share a common NSSRG (see clause 5.15.12).</w:t>
      </w:r>
      <w:r w:rsidRPr="00873B6C">
        <w:rPr>
          <w:lang w:eastAsia="ko-KR"/>
        </w:rPr>
        <w:t xml:space="preserve"> </w:t>
      </w:r>
      <w:r w:rsidR="00BA212C" w:rsidRPr="00873B6C">
        <w:t xml:space="preserve">If at least one S-NSSAI in the Requested NSSAI is not available in the current UE's Tracking Area, then either the AMF may determine a Target NSSAI or step (B) is executed. The AMF </w:t>
      </w:r>
      <w:r w:rsidRPr="00873B6C">
        <w:t xml:space="preserve">also determines the mapping if the S-NSSAI(s) included in the </w:t>
      </w:r>
      <w:r w:rsidRPr="00873B6C">
        <w:rPr>
          <w:lang w:eastAsia="ja-JP"/>
        </w:rPr>
        <w:t xml:space="preserve">Allowed </w:t>
      </w:r>
      <w:r w:rsidRPr="00873B6C">
        <w:t xml:space="preserve">NSSAI </w:t>
      </w:r>
      <w:r w:rsidRPr="00873B6C">
        <w:rPr>
          <w:lang w:eastAsia="ja-JP"/>
        </w:rPr>
        <w:t>need</w:t>
      </w:r>
      <w:r w:rsidRPr="00873B6C">
        <w:t>s</w:t>
      </w:r>
      <w:r w:rsidRPr="00873B6C">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873B6C">
        <w:t>or the UE indicated that the Requested NSSAI is based on the Default Configured NSSAI</w:t>
      </w:r>
      <w:r w:rsidRPr="00873B6C">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CACFBDD" w14:textId="38D5C39B" w:rsidR="0004047F" w:rsidRPr="00873B6C" w:rsidRDefault="0004047F" w:rsidP="0004047F">
      <w:pPr>
        <w:pStyle w:val="NO"/>
      </w:pPr>
      <w:r w:rsidRPr="00873B6C">
        <w:t>NOTE</w:t>
      </w:r>
      <w:r w:rsidRPr="00873B6C">
        <w:rPr>
          <w:lang w:eastAsia="zh-CN"/>
        </w:rPr>
        <w:t> 4</w:t>
      </w:r>
      <w:r w:rsidRPr="00873B6C">
        <w:t>:</w:t>
      </w:r>
      <w:r w:rsidRPr="00873B6C">
        <w:tab/>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873B6C" w:rsidRDefault="00D40151" w:rsidP="00D40151">
      <w:pPr>
        <w:pStyle w:val="B2"/>
      </w:pPr>
      <w:r w:rsidRPr="00873B6C">
        <w:t>-</w:t>
      </w:r>
      <w:r w:rsidRPr="00873B6C">
        <w:tab/>
        <w:t>Else, the AMF queries the NSSF (see (B) below).</w:t>
      </w:r>
    </w:p>
    <w:p w14:paraId="4DBDFE7F" w14:textId="0281C073" w:rsidR="00D40151" w:rsidRPr="00873B6C" w:rsidRDefault="00D40151" w:rsidP="00D40151">
      <w:pPr>
        <w:rPr>
          <w:lang w:eastAsia="zh-CN"/>
        </w:rPr>
      </w:pPr>
      <w:r w:rsidRPr="00873B6C">
        <w:rPr>
          <w:b/>
          <w:lang w:eastAsia="zh-CN"/>
        </w:rPr>
        <w:lastRenderedPageBreak/>
        <w:t>(B)</w:t>
      </w:r>
      <w:r w:rsidRPr="00873B6C">
        <w:rPr>
          <w:lang w:eastAsia="zh-CN"/>
        </w:rPr>
        <w:t xml:space="preserve"> When required as described above, the AMF needs to query the NSSF</w:t>
      </w:r>
      <w:r w:rsidR="00472CD7" w:rsidRPr="00873B6C">
        <w:rPr>
          <w:lang w:eastAsia="zh-CN"/>
        </w:rPr>
        <w:t xml:space="preserve"> and</w:t>
      </w:r>
      <w:r w:rsidRPr="00873B6C">
        <w:rPr>
          <w:lang w:eastAsia="zh-CN"/>
        </w:rPr>
        <w:t xml:space="preserve"> the following is performed:</w:t>
      </w:r>
    </w:p>
    <w:p w14:paraId="0CD92A3A" w14:textId="2F766620" w:rsidR="00D40151" w:rsidRPr="00873B6C" w:rsidRDefault="00D40151" w:rsidP="00D40151">
      <w:pPr>
        <w:pStyle w:val="B1"/>
      </w:pPr>
      <w:r w:rsidRPr="00873B6C">
        <w:t>-</w:t>
      </w:r>
      <w:r w:rsidRPr="00873B6C">
        <w:tab/>
        <w:t xml:space="preserve">The AMF queries the NSSF, with Requested NSSAI, Default Configured NSSAI Indication, mapping of Requested NSSAI to HPLMN S-NSSAIs, the Subscribed S-NSSAIs (with an indication if marked as default S-NSSAI), </w:t>
      </w:r>
      <w:r w:rsidR="00681FC7" w:rsidRPr="00873B6C">
        <w:t xml:space="preserve">NSSRG Information (if provided by the UDM, see clause 5.15.12), </w:t>
      </w:r>
      <w:r w:rsidRPr="00873B6C">
        <w:t>any Allowed NSSAI it might have for the other Access Type (including its mapping to HPLMN S-NSSAIs), PLMN ID of the SUPI and UE's current Tracking Area.</w:t>
      </w:r>
      <w:r w:rsidR="00985055" w:rsidRPr="00873B6C">
        <w:t xml:space="preserve"> If the AMF has pending NSSAI for the UE then the AMF includes pending NSSAI in the Requested NSSAI.</w:t>
      </w:r>
    </w:p>
    <w:p w14:paraId="1C48720F" w14:textId="02805242" w:rsidR="004119E4" w:rsidRPr="00873B6C" w:rsidRDefault="004119E4" w:rsidP="004119E4">
      <w:pPr>
        <w:pStyle w:val="NO"/>
      </w:pPr>
      <w:r w:rsidRPr="00873B6C">
        <w:t>NOTE</w:t>
      </w:r>
      <w:r w:rsidRPr="00873B6C">
        <w:rPr>
          <w:lang w:eastAsia="zh-CN"/>
        </w:rPr>
        <w:t> 5</w:t>
      </w:r>
      <w:r w:rsidRPr="00873B6C">
        <w:t>:</w:t>
      </w:r>
      <w:r w:rsidRPr="00873B6C">
        <w:tab/>
        <w:t>The Default Configured NSSAI Indication is provided when received from the UE or when the AMF indicates to the NSSF to return Configured NSSAI in case of the Network Slicing Subscription Change Indication is received from UDM.</w:t>
      </w:r>
    </w:p>
    <w:p w14:paraId="0235AF9E" w14:textId="664FE1F8" w:rsidR="00D40151" w:rsidRPr="00873B6C" w:rsidRDefault="00D40151" w:rsidP="00D40151">
      <w:pPr>
        <w:pStyle w:val="B1"/>
      </w:pPr>
      <w:r w:rsidRPr="00873B6C">
        <w:t>-</w:t>
      </w:r>
      <w:r w:rsidRPr="00873B6C">
        <w:tab/>
        <w:t>Based on this information, local configuration</w:t>
      </w:r>
      <w:r w:rsidR="00472CD7" w:rsidRPr="00873B6C">
        <w:t xml:space="preserve"> and</w:t>
      </w:r>
      <w:r w:rsidRPr="00873B6C">
        <w:t xml:space="preserve">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873B6C" w:rsidRDefault="00D40151" w:rsidP="00D40151">
      <w:pPr>
        <w:pStyle w:val="B2"/>
      </w:pPr>
      <w:r w:rsidRPr="00873B6C">
        <w:t>-</w:t>
      </w:r>
      <w:r w:rsidRPr="00873B6C">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873B6C">
        <w:t xml:space="preserve"> If NSSRG information is provided, the NSSF only selects S-NSSAIs that share a common NSSRG (see clause 5.15.12).</w:t>
      </w:r>
    </w:p>
    <w:p w14:paraId="382A7956" w14:textId="2BC8C558" w:rsidR="00967FB9" w:rsidRPr="00873B6C" w:rsidRDefault="00967FB9" w:rsidP="00D40151">
      <w:pPr>
        <w:pStyle w:val="B2"/>
      </w:pPr>
      <w:r w:rsidRPr="00873B6C">
        <w:t>-</w:t>
      </w:r>
      <w:r w:rsidRPr="00873B6C">
        <w:tab/>
        <w:t>If AMF has not subscribed to</w:t>
      </w:r>
      <w:r w:rsidR="0010576F" w:rsidRPr="00873B6C">
        <w:t xml:space="preserve"> notifications on changes on the Network Slice or Network Slice instance availability information</w:t>
      </w:r>
      <w:r w:rsidRPr="00873B6C">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873B6C" w:rsidRDefault="00D40151" w:rsidP="00D40151">
      <w:pPr>
        <w:pStyle w:val="B2"/>
      </w:pPr>
      <w:r w:rsidRPr="00873B6C">
        <w:t>-</w:t>
      </w:r>
      <w:r w:rsidRPr="00873B6C">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873B6C" w:rsidRDefault="00D40151" w:rsidP="00D40151">
      <w:pPr>
        <w:pStyle w:val="B2"/>
      </w:pPr>
      <w:r w:rsidRPr="00873B6C">
        <w:t>-</w:t>
      </w:r>
      <w:r w:rsidRPr="00873B6C">
        <w:tab/>
        <w:t>It determines the target AMF Set to be used to serve the UE, or, based on configuration, the list of candidate AMF(s), possibly after querying the NRF.</w:t>
      </w:r>
    </w:p>
    <w:p w14:paraId="611BDEF0" w14:textId="591184BC" w:rsidR="00D40151" w:rsidRPr="00873B6C" w:rsidRDefault="00D40151" w:rsidP="00D40151">
      <w:pPr>
        <w:pStyle w:val="NO"/>
      </w:pPr>
      <w:r w:rsidRPr="00873B6C">
        <w:t>NOTE </w:t>
      </w:r>
      <w:r w:rsidR="004119E4" w:rsidRPr="00873B6C">
        <w:t>6</w:t>
      </w:r>
      <w:r w:rsidRPr="00873B6C">
        <w:t>:</w:t>
      </w:r>
      <w:r w:rsidRPr="00873B6C">
        <w:tab/>
        <w:t>If the target AMF(s) returned from the NSSF is the list of candidate AMF(s), the Registration Request message can only be redirected via the direct signalling between the initial AMF and the selected target AMF as described in clause 5.15.5.2.3.</w:t>
      </w:r>
      <w:r w:rsidR="00517B35" w:rsidRPr="00873B6C">
        <w:t xml:space="preserve"> The NSSF does not provide the target AMF(s), when it provides a Target NSSAI in order to redirect or handover the UE to a cell of another TA as described in clause 5.3.4.3.3.</w:t>
      </w:r>
    </w:p>
    <w:p w14:paraId="054490BB" w14:textId="1AD8267E" w:rsidR="00D40151" w:rsidRPr="00873B6C" w:rsidRDefault="00D40151" w:rsidP="00D40151">
      <w:pPr>
        <w:pStyle w:val="B2"/>
      </w:pPr>
      <w:r w:rsidRPr="00873B6C">
        <w:t>-</w:t>
      </w:r>
      <w:r w:rsidRPr="00873B6C">
        <w:tab/>
        <w:t>It determines the Allowed NSSAI(s) for the applicable Access Type,</w:t>
      </w:r>
      <w:r w:rsidR="0059213C" w:rsidRPr="00873B6C">
        <w:t xml:space="preserve"> by taking into account</w:t>
      </w:r>
      <w:r w:rsidRPr="00873B6C">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w:t>
      </w:r>
      <w:r w:rsidR="00472CD7" w:rsidRPr="00873B6C">
        <w:t xml:space="preserve"> and</w:t>
      </w:r>
      <w:r w:rsidRPr="00873B6C">
        <w:t xml:space="preserve"> taking also into account the availability of the Network Slice instances as described in clause 5.15.8 that are able to serve the S-NSSAI(s) in the Allowed NSSAI in the current UE's Tracking Areas</w:t>
      </w:r>
      <w:r w:rsidR="0059213C" w:rsidRPr="00873B6C">
        <w:t xml:space="preserve"> and taking also into account local policy in the NSSF that may determine to include in the Allowed NSSAI additional Subscribed S-NSSAIs e.g. Subscribed S-NSSAIs not marked as default and/or Subscribed S-NSSAIs that were not provided in the Requested NSSAI (see NOTE </w:t>
      </w:r>
      <w:r w:rsidR="004119E4" w:rsidRPr="00873B6C">
        <w:t>7</w:t>
      </w:r>
      <w:r w:rsidR="0059213C" w:rsidRPr="00873B6C">
        <w:t>)</w:t>
      </w:r>
      <w:r w:rsidRPr="00873B6C">
        <w:t>.</w:t>
      </w:r>
      <w:r w:rsidR="00681FC7" w:rsidRPr="00873B6C">
        <w:t xml:space="preserve"> If NSSRG information applies, the NSSF only selects S-NSSAIs that share a common NSSRG (see clause 5.15.12).</w:t>
      </w:r>
    </w:p>
    <w:p w14:paraId="03CC9E6D" w14:textId="5AFA2E96" w:rsidR="0059213C" w:rsidRPr="00873B6C" w:rsidRDefault="0059213C" w:rsidP="0059213C">
      <w:pPr>
        <w:pStyle w:val="NO"/>
      </w:pPr>
      <w:r w:rsidRPr="00873B6C">
        <w:t>NOTE </w:t>
      </w:r>
      <w:r w:rsidR="004119E4" w:rsidRPr="00873B6C">
        <w:t>7</w:t>
      </w:r>
      <w:r w:rsidRPr="00873B6C">
        <w:t>:</w:t>
      </w:r>
      <w:r w:rsidRPr="00873B6C">
        <w:tab/>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873B6C" w:rsidRDefault="00D40151" w:rsidP="00D40151">
      <w:pPr>
        <w:pStyle w:val="B2"/>
      </w:pPr>
      <w:r w:rsidRPr="00873B6C">
        <w:rPr>
          <w:lang w:eastAsia="ko-KR"/>
        </w:rPr>
        <w:t>-</w:t>
      </w:r>
      <w:r w:rsidRPr="00873B6C">
        <w:rPr>
          <w:lang w:eastAsia="ko-KR"/>
        </w:rPr>
        <w:tab/>
      </w:r>
      <w:r w:rsidRPr="00873B6C">
        <w:t>It also determines the mapping of each S-NSSAI of the Allowed NSSAI(s) to the Subscribed S-NSSAIs if necessary</w:t>
      </w:r>
      <w:r w:rsidRPr="00873B6C">
        <w:rPr>
          <w:lang w:eastAsia="ja-JP"/>
        </w:rPr>
        <w:t>.</w:t>
      </w:r>
    </w:p>
    <w:p w14:paraId="36070CDE" w14:textId="77777777" w:rsidR="00D40151" w:rsidRPr="00873B6C" w:rsidRDefault="00D40151" w:rsidP="00D40151">
      <w:pPr>
        <w:pStyle w:val="B2"/>
      </w:pPr>
      <w:r w:rsidRPr="00873B6C">
        <w:lastRenderedPageBreak/>
        <w:t>-</w:t>
      </w:r>
      <w:r w:rsidRPr="00873B6C">
        <w:tab/>
        <w:t>Based on operator configuration, the NSSF may determine the NRF(s) to be used to select NFs/services within the selected Network Slice instance(s).</w:t>
      </w:r>
    </w:p>
    <w:p w14:paraId="47857C49" w14:textId="77777777" w:rsidR="00D40151" w:rsidRPr="00873B6C" w:rsidRDefault="00D40151" w:rsidP="00D40151">
      <w:pPr>
        <w:pStyle w:val="B2"/>
      </w:pPr>
      <w:r w:rsidRPr="00873B6C">
        <w:t>-</w:t>
      </w:r>
      <w:r w:rsidRPr="00873B6C">
        <w:tab/>
        <w:t>Additional processing to determine the Allowed NSSAI(s) in roaming scenarios</w:t>
      </w:r>
      <w:r w:rsidRPr="00873B6C">
        <w:rPr>
          <w:lang w:eastAsia="ko-KR"/>
        </w:rPr>
        <w:t xml:space="preserve"> and the mapping to the Subscribed S-NSSAIs</w:t>
      </w:r>
      <w:r w:rsidRPr="00873B6C">
        <w:t>, as described in clause 5.15.6.</w:t>
      </w:r>
    </w:p>
    <w:p w14:paraId="66FDDBFA" w14:textId="6B3CA96D" w:rsidR="00D40151" w:rsidRPr="00873B6C" w:rsidRDefault="00D40151" w:rsidP="00D40151">
      <w:pPr>
        <w:pStyle w:val="B2"/>
      </w:pPr>
      <w:r w:rsidRPr="00873B6C">
        <w:t>-</w:t>
      </w:r>
      <w:r w:rsidRPr="00873B6C">
        <w:tab/>
        <w:t>If no Requested NSSAI is provided or the Requested NSSAI includes an S-NSSAI that is not valid in the Serving PLMN, or the mapping of the S-NSSAIs in Requested NSSAI to HPLMN S-NSSAIs is incorrect, the NSSF based on the Subscribed S-NSSAI(s) and operator configuration may also determine the Configured NSSAI for the Serving PLMN and, if applicable, the associated mapping of the Configured NSSAI to HPLMN S-NSSAIs, so these can be configured in the UE.</w:t>
      </w:r>
      <w:r w:rsidR="004119E4" w:rsidRPr="00873B6C">
        <w:t xml:space="preserve"> The NSSF shall return a Configured NSSAI when receiving Default Configured NSSAI Indication from the AMF.</w:t>
      </w:r>
    </w:p>
    <w:p w14:paraId="1795C961" w14:textId="5E14FF1D" w:rsidR="00BA212C" w:rsidRPr="00873B6C" w:rsidRDefault="00BA212C" w:rsidP="00562E84">
      <w:pPr>
        <w:pStyle w:val="B2"/>
      </w:pPr>
      <w:r w:rsidRPr="00873B6C">
        <w:t>-</w:t>
      </w:r>
      <w:r w:rsidRPr="00873B6C">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2846165A" w:rsidR="00D40151" w:rsidRPr="00873B6C" w:rsidRDefault="00D40151" w:rsidP="00D40151">
      <w:pPr>
        <w:pStyle w:val="B1"/>
      </w:pPr>
      <w:r w:rsidRPr="00873B6C">
        <w:t>-</w:t>
      </w:r>
      <w:r w:rsidRPr="00873B6C">
        <w:tab/>
        <w:t>The NSSF returns to the current AMF the Allowed NSSAI for the applicable Access Type</w:t>
      </w:r>
      <w:r w:rsidRPr="00873B6C">
        <w:rPr>
          <w:lang w:eastAsia="ko-KR"/>
        </w:rPr>
        <w:t>, the mapping of each S-NSSAI of the Allowed NSSAI to the Subscribed S-NSSAIs if determined</w:t>
      </w:r>
      <w:r w:rsidRPr="00873B6C">
        <w:t xml:space="preserve"> and the target AMF Set, or, based on configuration, the list of candidate AMF(s). The NSSF may return the NRF(s) to be used to select NFs/services within the selected Network Slice instance(s)</w:t>
      </w:r>
      <w:r w:rsidR="00472CD7" w:rsidRPr="00873B6C">
        <w:t xml:space="preserve"> and</w:t>
      </w:r>
      <w:r w:rsidRPr="00873B6C">
        <w:t xml:space="preserve"> the NRF to be used to determine the list of candidate AMF(s) from the AMF Set. The NSSF may return NSI ID(s) to be associated to the Network Slice instance(s) corresponding to certain S-NSSAIs. NSSF may return the rejected S-NSSAI(s) as described in clause </w:t>
      </w:r>
      <w:r w:rsidRPr="00873B6C">
        <w:rPr>
          <w:lang w:eastAsia="zh-CN"/>
        </w:rPr>
        <w:t>5.15.4.1</w:t>
      </w:r>
      <w:r w:rsidRPr="00873B6C">
        <w:t>. The NSSF may return the Configured NSSAI for the Serving PLMN and the associated mapping of the Configured NSSAI to HPLMN S-NSSAIs.</w:t>
      </w:r>
      <w:r w:rsidR="00BA212C" w:rsidRPr="00873B6C">
        <w:t xml:space="preserve"> The NSSF may return Target NSSAI as described in clause 5.3.4.3.3.</w:t>
      </w:r>
    </w:p>
    <w:p w14:paraId="23A8CCE9" w14:textId="5868A77C" w:rsidR="00D40151" w:rsidRPr="00873B6C" w:rsidRDefault="00D40151" w:rsidP="00D40151">
      <w:pPr>
        <w:pStyle w:val="B1"/>
      </w:pPr>
      <w:r w:rsidRPr="00873B6C">
        <w:t>-</w:t>
      </w:r>
      <w:r w:rsidRPr="00873B6C">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873B6C" w:rsidRDefault="00D40151" w:rsidP="00D40151">
      <w:pPr>
        <w:pStyle w:val="B1"/>
      </w:pPr>
      <w:r w:rsidRPr="00873B6C">
        <w:t>-</w:t>
      </w:r>
      <w:r w:rsidRPr="00873B6C">
        <w:tab/>
        <w:t>If AMF Re-allocation is necessary, the current AMF reroutes the Registration Request or forwards the UE context to a target serving AMF as described in clause 5.15.5.2.3.</w:t>
      </w:r>
    </w:p>
    <w:p w14:paraId="616E6C7B" w14:textId="77777777" w:rsidR="00D40151" w:rsidRPr="00873B6C" w:rsidRDefault="00D40151" w:rsidP="00D40151">
      <w:pPr>
        <w:pStyle w:val="B1"/>
      </w:pPr>
      <w:r w:rsidRPr="00873B6C">
        <w:t>-</w:t>
      </w:r>
      <w:r w:rsidRPr="00873B6C">
        <w:tab/>
        <w:t>Step (C) is executed.</w:t>
      </w:r>
    </w:p>
    <w:p w14:paraId="64449228" w14:textId="221F9CD6" w:rsidR="00D40151" w:rsidRPr="00873B6C" w:rsidRDefault="00D40151" w:rsidP="00D40151">
      <w:r w:rsidRPr="00873B6C">
        <w:rPr>
          <w:b/>
          <w:bCs/>
        </w:rPr>
        <w:t xml:space="preserve">(C) </w:t>
      </w:r>
      <w:r w:rsidRPr="00873B6C">
        <w:t>The serving AMF shall determine a Registration Area such that all S-NSSAIs of the Allowed NSSAI for this Registration Area are available in all Tracking Areas of the Registration Area (and also considering other aspects as described in clause 5.3.2.3</w:t>
      </w:r>
      <w:r w:rsidR="005309E6" w:rsidRPr="00873B6C">
        <w:t xml:space="preserve"> and clause 5.3.4.3.3</w:t>
      </w:r>
      <w:r w:rsidRPr="00873B6C">
        <w:t>) and then return to the UE this Allowed NSSAI</w:t>
      </w:r>
      <w:r w:rsidRPr="00873B6C">
        <w:rPr>
          <w:lang w:eastAsia="ko-KR"/>
        </w:rPr>
        <w:t xml:space="preserve"> and the mapping of the Allowed NSSAI to the Subscribed S-NSSAIs if provided</w:t>
      </w:r>
      <w:r w:rsidRPr="00873B6C">
        <w:t>. The AMF may return the rejected S-NSSAI(s) as described in clause </w:t>
      </w:r>
      <w:r w:rsidRPr="00873B6C">
        <w:rPr>
          <w:lang w:eastAsia="zh-CN"/>
        </w:rPr>
        <w:t>5.15.4.1</w:t>
      </w:r>
      <w:r w:rsidRPr="00873B6C">
        <w:t>.</w:t>
      </w:r>
    </w:p>
    <w:p w14:paraId="37CD2420" w14:textId="113C9E41" w:rsidR="00C05113" w:rsidRPr="00873B6C" w:rsidRDefault="00C05113" w:rsidP="00323277">
      <w:pPr>
        <w:pStyle w:val="NO"/>
      </w:pPr>
      <w:r w:rsidRPr="00873B6C">
        <w:t>NOTE </w:t>
      </w:r>
      <w:r w:rsidR="004119E4" w:rsidRPr="00873B6C">
        <w:t>8</w:t>
      </w:r>
      <w:r w:rsidRPr="00873B6C">
        <w:t>:</w:t>
      </w:r>
      <w:r w:rsidRPr="00873B6C">
        <w:tab/>
        <w:t xml:space="preserve">The S-NSSAIs in the Allowed NSSAI for Non-3GPP access are available homogeneously </w:t>
      </w:r>
      <w:r w:rsidR="001F5968" w:rsidRPr="00873B6C">
        <w:t>"</w:t>
      </w:r>
      <w:r w:rsidRPr="00873B6C">
        <w:t>in the PLMN</w:t>
      </w:r>
      <w:r w:rsidR="001F5968" w:rsidRPr="00873B6C">
        <w:t>"</w:t>
      </w:r>
      <w:r w:rsidRPr="00873B6C">
        <w:t xml:space="preserve"> for the N3IWF case</w:t>
      </w:r>
      <w:r w:rsidR="001F5968" w:rsidRPr="00873B6C">
        <w:t xml:space="preserve"> since a N3IWF providing access to a 5GC can be reached from any IP location</w:t>
      </w:r>
      <w:r w:rsidRPr="00873B6C">
        <w:t>. For other types of Non</w:t>
      </w:r>
      <w:r w:rsidR="001F5968" w:rsidRPr="00873B6C">
        <w:t>-</w:t>
      </w:r>
      <w:r w:rsidRPr="00873B6C">
        <w:t>3GPP access the S-NSSAIs in the Allowed NSSAI for Non-3GPP access can be not available homogeneously, for example different W-AGFs</w:t>
      </w:r>
      <w:r w:rsidR="001F5968" w:rsidRPr="00873B6C">
        <w:t>/TNGF(s)</w:t>
      </w:r>
      <w:r w:rsidRPr="00873B6C">
        <w:t xml:space="preserve"> can</w:t>
      </w:r>
      <w:r w:rsidR="001F5968" w:rsidRPr="00873B6C">
        <w:t xml:space="preserve"> be deployed in different locations and</w:t>
      </w:r>
      <w:r w:rsidRPr="00873B6C">
        <w:t xml:space="preserve"> support different TAIs that support different network slices.</w:t>
      </w:r>
    </w:p>
    <w:p w14:paraId="0980D030" w14:textId="70A2FCE7" w:rsidR="00D40151" w:rsidRPr="00873B6C" w:rsidRDefault="00D40151" w:rsidP="00D40151">
      <w:r w:rsidRPr="00873B6C">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873B6C" w:rsidRDefault="00D40151" w:rsidP="00D40151">
      <w:r w:rsidRPr="00873B6C">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873B6C" w:rsidRDefault="00D40151" w:rsidP="00D40151">
      <w:r w:rsidRPr="00873B6C">
        <w:t xml:space="preserve">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w:t>
      </w:r>
      <w:r w:rsidRPr="00873B6C">
        <w:lastRenderedPageBreak/>
        <w:t>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873B6C" w:rsidRDefault="00D40151" w:rsidP="00D40151">
      <w:r w:rsidRPr="00873B6C">
        <w:t>The AMF shall also provide the list of Rejected S-NSSAIs, each of them with the appropriate rejection cause value.</w:t>
      </w:r>
    </w:p>
    <w:p w14:paraId="448F7571" w14:textId="6C8BE967" w:rsidR="00D40151" w:rsidRPr="00873B6C" w:rsidRDefault="00BA212C" w:rsidP="00D40151">
      <w:r w:rsidRPr="00873B6C">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873B6C">
        <w:t>The S-NSSAIs which map to S-NSSAIs of the HPLMN subject to</w:t>
      </w:r>
      <w:r w:rsidR="000342C3" w:rsidRPr="00873B6C">
        <w:t xml:space="preserve"> an ongoing</w:t>
      </w:r>
      <w:r w:rsidR="00D40151" w:rsidRPr="00873B6C">
        <w:t xml:space="preserve"> Network Slice-Specific Authentication and Authorization shall be included in the Pending NSSAI</w:t>
      </w:r>
      <w:r w:rsidR="000342C3" w:rsidRPr="00873B6C">
        <w:t xml:space="preserve"> and removed from Allowed NSSAI</w:t>
      </w:r>
      <w:r w:rsidR="00D40151" w:rsidRPr="00873B6C">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873B6C" w:rsidRDefault="00D40151" w:rsidP="00D40151">
      <w:r w:rsidRPr="00873B6C">
        <w:t>If:</w:t>
      </w:r>
    </w:p>
    <w:p w14:paraId="6B948BE6" w14:textId="77777777" w:rsidR="00D40151" w:rsidRPr="00873B6C" w:rsidRDefault="00D40151" w:rsidP="00D40151">
      <w:pPr>
        <w:pStyle w:val="B1"/>
      </w:pPr>
      <w:r w:rsidRPr="00873B6C">
        <w:t>-</w:t>
      </w:r>
      <w:r w:rsidRPr="00873B6C">
        <w:tab/>
        <w:t>all the S-NSSAI(s) in the Requested NSSAI are still to be subject to Network Slice-Specific Authentication and Authorization; or</w:t>
      </w:r>
    </w:p>
    <w:p w14:paraId="3CC7F8A1" w14:textId="23F55ADB" w:rsidR="00D40151" w:rsidRPr="00873B6C" w:rsidRDefault="00D40151" w:rsidP="00D40151">
      <w:pPr>
        <w:pStyle w:val="B1"/>
      </w:pPr>
      <w:r w:rsidRPr="00873B6C">
        <w:t>-</w:t>
      </w:r>
      <w:r w:rsidRPr="00873B6C">
        <w:tab/>
        <w:t>no Requested NSSAI was provided or none of the S-NSSAIs in the Requested NSSAI matches any of the Subscribed S-NSSAIs</w:t>
      </w:r>
      <w:r w:rsidR="00472CD7" w:rsidRPr="00873B6C">
        <w:t xml:space="preserve"> and</w:t>
      </w:r>
      <w:r w:rsidRPr="00873B6C">
        <w:t xml:space="preserve"> all the S-NSSAI(s) marked as default in the Subscribed S-NSSAIs are to be subject to Network Slice-Specific Authentication and Authorization;</w:t>
      </w:r>
    </w:p>
    <w:p w14:paraId="5E9A1EEA" w14:textId="11F2758D" w:rsidR="00D40151" w:rsidRPr="00873B6C" w:rsidRDefault="00D40151" w:rsidP="00D40151">
      <w:r w:rsidRPr="00873B6C">
        <w:t>the AMF shall provide</w:t>
      </w:r>
      <w:r w:rsidR="008546A1" w:rsidRPr="00873B6C">
        <w:t xml:space="preserve"> a "NSSAA to be performed" indicator and no Allowed NSSAI</w:t>
      </w:r>
      <w:r w:rsidRPr="00873B6C">
        <w:t xml:space="preserve"> to the UE in the Registration Accept message. Upon receiving</w:t>
      </w:r>
      <w:r w:rsidR="008546A1" w:rsidRPr="00873B6C">
        <w:t xml:space="preserve"> the Registration Accept message</w:t>
      </w:r>
      <w:r w:rsidRPr="00873B6C">
        <w:t xml:space="preserve">, the UE is registered in the PLMN but shall wait for the completion of the Network Slice-Specific Authentication and Authorization without attempting to use any service provided by the PLMN on any access, except e.g. emergency services (see </w:t>
      </w:r>
      <w:r w:rsidR="00972E70" w:rsidRPr="00873B6C">
        <w:t>TS 24.501 [</w:t>
      </w:r>
      <w:r w:rsidRPr="00873B6C">
        <w:t>47]), until the UE receives an allowed NSSAI.</w:t>
      </w:r>
    </w:p>
    <w:p w14:paraId="0B367276" w14:textId="4E86131F" w:rsidR="00D40151" w:rsidRPr="00873B6C" w:rsidRDefault="00D40151" w:rsidP="00D40151">
      <w:r w:rsidRPr="00873B6C">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rsidRPr="00873B6C">
        <w:t xml:space="preserve"> NSSAA</w:t>
      </w:r>
      <w:r w:rsidRPr="00873B6C">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463F2E55" w:rsidR="00D40151" w:rsidRPr="00873B6C" w:rsidRDefault="00D40151" w:rsidP="00D40151">
      <w:r w:rsidRPr="00873B6C">
        <w:t xml:space="preserve">Once completed the Network Slice-Specific </w:t>
      </w:r>
      <w:r w:rsidR="00570265" w:rsidRPr="00873B6C">
        <w:t>(re-)</w:t>
      </w:r>
      <w:r w:rsidRPr="00873B6C">
        <w:t xml:space="preserve">Authentication and </w:t>
      </w:r>
      <w:r w:rsidR="00570265" w:rsidRPr="00873B6C">
        <w:t>(re-)</w:t>
      </w:r>
      <w:r w:rsidRPr="00873B6C">
        <w:t>Authorization procedure, if the AMF determines that no S-NSSAI can be provided in the Allowed NSSAI for the UE, which is already authenticated and authorized successfully by a PLMN</w:t>
      </w:r>
      <w:r w:rsidR="00472CD7" w:rsidRPr="00873B6C">
        <w:t xml:space="preserve"> and</w:t>
      </w:r>
      <w:r w:rsidRPr="00873B6C">
        <w:t xml:space="preserve"> if no default S-NSSAI(s) could be added as described in step (A), the AMF shall execute the Network-initiated Deregistration procedure described in</w:t>
      </w:r>
      <w:r w:rsidR="00960CDA" w:rsidRPr="00873B6C">
        <w:t xml:space="preserve"> clause 4.2.2.3.3</w:t>
      </w:r>
      <w:r w:rsidRPr="00873B6C">
        <w:t xml:space="preserve"> </w:t>
      </w:r>
      <w:r w:rsidR="00960CDA" w:rsidRPr="00873B6C">
        <w:t xml:space="preserve">of </w:t>
      </w:r>
      <w:r w:rsidR="00972E70" w:rsidRPr="00873B6C">
        <w:t>TS 23.502 [</w:t>
      </w:r>
      <w:r w:rsidRPr="00873B6C">
        <w:t>3] and shall include in the explicit De-Registration Request message the list of Rejected S-NSSAIs, each of them with the appropriate rejection cause value.</w:t>
      </w:r>
    </w:p>
    <w:p w14:paraId="078A6745" w14:textId="77777777" w:rsidR="00D40151" w:rsidRPr="00873B6C" w:rsidRDefault="00D40151" w:rsidP="00D40151">
      <w:r w:rsidRPr="00873B6C">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873B6C" w:rsidRDefault="00D40151" w:rsidP="00D40151">
      <w:pPr>
        <w:pStyle w:val="Heading5"/>
      </w:pPr>
      <w:bookmarkStart w:id="2672" w:name="_CR5_15_5_2_2"/>
      <w:bookmarkStart w:id="2673" w:name="_Toc20149920"/>
      <w:bookmarkStart w:id="2674" w:name="_Toc27846719"/>
      <w:bookmarkStart w:id="2675" w:name="_Toc36187850"/>
      <w:bookmarkStart w:id="2676" w:name="_Toc45183754"/>
      <w:bookmarkStart w:id="2677" w:name="_Toc47342596"/>
      <w:bookmarkStart w:id="2678" w:name="_Toc51769297"/>
      <w:bookmarkStart w:id="2679" w:name="_Toc201157270"/>
      <w:bookmarkEnd w:id="2672"/>
      <w:r w:rsidRPr="00873B6C">
        <w:t>5.15.5.2.2</w:t>
      </w:r>
      <w:r w:rsidRPr="00873B6C">
        <w:tab/>
        <w:t>Modification of the Set of Network Slice(s) for a UE</w:t>
      </w:r>
      <w:bookmarkEnd w:id="2673"/>
      <w:bookmarkEnd w:id="2674"/>
      <w:bookmarkEnd w:id="2675"/>
      <w:bookmarkEnd w:id="2676"/>
      <w:bookmarkEnd w:id="2677"/>
      <w:bookmarkEnd w:id="2678"/>
      <w:bookmarkEnd w:id="2679"/>
    </w:p>
    <w:p w14:paraId="53052C66" w14:textId="5D1E0DF7" w:rsidR="00D40151" w:rsidRPr="00873B6C" w:rsidRDefault="00D40151" w:rsidP="00D40151">
      <w:pPr>
        <w:rPr>
          <w:lang w:eastAsia="ko-KR"/>
        </w:rPr>
      </w:pPr>
      <w:r w:rsidRPr="00873B6C">
        <w:rPr>
          <w:lang w:eastAsia="ko-KR"/>
        </w:rPr>
        <w:t>The set of Network Slices for a UE can be changed at any time while the UE is registered with a network</w:t>
      </w:r>
      <w:r w:rsidR="00472CD7" w:rsidRPr="00873B6C">
        <w:rPr>
          <w:lang w:eastAsia="ko-KR"/>
        </w:rPr>
        <w:t xml:space="preserve"> and</w:t>
      </w:r>
      <w:r w:rsidRPr="00873B6C">
        <w:rPr>
          <w:lang w:eastAsia="ko-KR"/>
        </w:rPr>
        <w:t xml:space="preserve"> may be initiated by the network, or by the UE, under certain conditions as described below.</w:t>
      </w:r>
    </w:p>
    <w:p w14:paraId="08851562" w14:textId="632AF192" w:rsidR="00D40151" w:rsidRPr="00873B6C" w:rsidRDefault="00D40151" w:rsidP="00D40151">
      <w:r w:rsidRPr="00873B6C">
        <w:t>The network, based on local policies, subscription changes and/or UE mobility</w:t>
      </w:r>
      <w:r w:rsidR="00967FB9" w:rsidRPr="00873B6C">
        <w:t xml:space="preserve"> and/or UE Dispersion data classification</w:t>
      </w:r>
      <w:r w:rsidRPr="00873B6C">
        <w:t>, operational reasons (e.g. a Network Slice instance is no longer available or load level information</w:t>
      </w:r>
      <w:r w:rsidR="00967FB9" w:rsidRPr="00873B6C">
        <w:t xml:space="preserve"> or service experience</w:t>
      </w:r>
      <w:r w:rsidRPr="00873B6C">
        <w:t xml:space="preserve"> for a</w:t>
      </w:r>
      <w:r w:rsidR="00967FB9" w:rsidRPr="00873B6C">
        <w:t xml:space="preserve"> Network Slice or</w:t>
      </w:r>
      <w:r w:rsidRPr="00873B6C">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w:t>
      </w:r>
      <w:r w:rsidR="00472CD7" w:rsidRPr="00873B6C">
        <w:t xml:space="preserve"> and</w:t>
      </w:r>
      <w:r w:rsidRPr="00873B6C">
        <w:t xml:space="preserve"> the rejected S-NSSAIs. The network may perform such a change over each Access Type during a </w:t>
      </w:r>
      <w:r w:rsidRPr="00873B6C">
        <w:lastRenderedPageBreak/>
        <w:t>Registration procedure or trigger a notification towards the UE of the change of the Network Slices using a UE Configuration Update procedure as specified in</w:t>
      </w:r>
      <w:r w:rsidR="00960CDA" w:rsidRPr="00873B6C">
        <w:t xml:space="preserve"> clause 4.2.4 of</w:t>
      </w:r>
      <w:r w:rsidRPr="00873B6C">
        <w:t xml:space="preserve"> </w:t>
      </w:r>
      <w:r w:rsidR="00972E70" w:rsidRPr="00873B6C">
        <w:t>TS 23.502 [</w:t>
      </w:r>
      <w:r w:rsidRPr="00873B6C">
        <w:t>3]. The new Allowed NSSAI(s) and the mapping to HPLMN S-NSSAIs are determined as described in clause 5.15.5.2.1 (an AMF Re-allocation may be needed). The AMF provides the UE with:</w:t>
      </w:r>
    </w:p>
    <w:p w14:paraId="7491F949" w14:textId="77777777" w:rsidR="00D40151" w:rsidRPr="00873B6C" w:rsidRDefault="00D40151" w:rsidP="00D40151">
      <w:pPr>
        <w:pStyle w:val="B1"/>
      </w:pPr>
      <w:r w:rsidRPr="00873B6C">
        <w:t>-</w:t>
      </w:r>
      <w:r w:rsidRPr="00873B6C">
        <w:tab/>
        <w:t>an indication that the acknowledgement from UE is required;</w:t>
      </w:r>
    </w:p>
    <w:p w14:paraId="1F155790" w14:textId="7DE13659" w:rsidR="00D40151" w:rsidRPr="00873B6C" w:rsidRDefault="00D40151" w:rsidP="00D40151">
      <w:pPr>
        <w:pStyle w:val="B1"/>
      </w:pPr>
      <w:r w:rsidRPr="00873B6C">
        <w:t>-</w:t>
      </w:r>
      <w:r w:rsidRPr="00873B6C">
        <w:tab/>
        <w:t>Configured NSSAI for the Serving PLMN (if required), rejected S-NSSAI(s) (if required) and TAI list</w:t>
      </w:r>
      <w:r w:rsidR="00472CD7" w:rsidRPr="00873B6C">
        <w:t xml:space="preserve"> and</w:t>
      </w:r>
    </w:p>
    <w:p w14:paraId="10CCF479" w14:textId="77777777" w:rsidR="00D40151" w:rsidRPr="00873B6C" w:rsidRDefault="00D40151" w:rsidP="00D40151">
      <w:pPr>
        <w:pStyle w:val="B1"/>
      </w:pPr>
      <w:r w:rsidRPr="00873B6C">
        <w:t>-</w:t>
      </w:r>
      <w:r w:rsidRPr="00873B6C">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873B6C" w:rsidRDefault="00D40151" w:rsidP="00D40151">
      <w:pPr>
        <w:pStyle w:val="B2"/>
      </w:pPr>
      <w:r w:rsidRPr="00873B6C">
        <w:tab/>
        <w:t>Furthermore:</w:t>
      </w:r>
    </w:p>
    <w:p w14:paraId="19C15DAD" w14:textId="5A77BAC5" w:rsidR="00D40151" w:rsidRPr="00873B6C" w:rsidRDefault="00D40151" w:rsidP="00D40151">
      <w:pPr>
        <w:pStyle w:val="B1"/>
      </w:pPr>
      <w:r w:rsidRPr="00873B6C">
        <w:t>-</w:t>
      </w:r>
      <w:r w:rsidRPr="00873B6C">
        <w:tab/>
        <w:t xml:space="preserve">If the changes to the Allowed NSSAI require the UE to perform immediately a Registration procedure because they affect the existing connectivity to </w:t>
      </w:r>
      <w:r w:rsidR="000342C3" w:rsidRPr="00873B6C">
        <w:t xml:space="preserve">AMF </w:t>
      </w:r>
      <w:r w:rsidRPr="00873B6C">
        <w:t>(e.g. the new S-NSSAIs require a separate AMF that cannot be determined by the current serving AMF, or the AMF cannot determine the Allowed NSSAI) or due to AMF local policies also when the changes does not affect the existing connectivity to</w:t>
      </w:r>
      <w:r w:rsidR="000342C3" w:rsidRPr="00873B6C">
        <w:t xml:space="preserve"> AMF</w:t>
      </w:r>
      <w:r w:rsidRPr="00873B6C">
        <w:t>:</w:t>
      </w:r>
    </w:p>
    <w:p w14:paraId="2A336966" w14:textId="77777777" w:rsidR="00D40151" w:rsidRPr="00873B6C" w:rsidRDefault="00D40151" w:rsidP="00D40151">
      <w:pPr>
        <w:pStyle w:val="B2"/>
      </w:pPr>
      <w:r w:rsidRPr="00873B6C">
        <w:t>-</w:t>
      </w:r>
      <w:r w:rsidRPr="00873B6C">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873B6C" w:rsidRDefault="00D40151" w:rsidP="00D40151">
      <w:pPr>
        <w:pStyle w:val="B2"/>
      </w:pPr>
      <w:r w:rsidRPr="00873B6C">
        <w:t>-</w:t>
      </w:r>
      <w:r w:rsidRPr="00873B6C">
        <w:tab/>
        <w:t>When the UE receives indications to perform a Registration procedure without including the GUAMI or 5G-S-TMSI in the access stratum signalling after entering CM-IDLE state, then:</w:t>
      </w:r>
    </w:p>
    <w:p w14:paraId="0F27EFF0" w14:textId="77777777" w:rsidR="00D40151" w:rsidRPr="00873B6C" w:rsidRDefault="00D40151" w:rsidP="00D40151">
      <w:pPr>
        <w:pStyle w:val="B3"/>
      </w:pPr>
      <w:r w:rsidRPr="00873B6C">
        <w:t>-</w:t>
      </w:r>
      <w:r w:rsidRPr="00873B6C">
        <w:tab/>
        <w:t>The UE deletes any stored (old) Allowed NSSAI and associated mapping as well as any (old) rejected S-NSSAI.</w:t>
      </w:r>
    </w:p>
    <w:p w14:paraId="0A2C726D" w14:textId="389A6EC6" w:rsidR="00D40151" w:rsidRPr="00873B6C" w:rsidRDefault="00D40151" w:rsidP="00D40151">
      <w:pPr>
        <w:pStyle w:val="B3"/>
      </w:pPr>
      <w:r w:rsidRPr="00873B6C">
        <w:t>-</w:t>
      </w:r>
      <w:r w:rsidRPr="00873B6C">
        <w:tab/>
        <w:t xml:space="preserve">The UE shall initiate a Registration procedure with the registration type Mobility Registration Update after the UE enters CM-IDLE state as specified in as described in </w:t>
      </w:r>
      <w:r w:rsidR="00960CDA" w:rsidRPr="00873B6C">
        <w:t xml:space="preserve">step 4 of clause 4.2.4.2 of </w:t>
      </w:r>
      <w:r w:rsidR="00972E70" w:rsidRPr="00873B6C">
        <w:t>TS 23.502 [</w:t>
      </w:r>
      <w:r w:rsidRPr="00873B6C">
        <w:t>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1B2AF256" w14:textId="3124ACC7" w:rsidR="003E03C2" w:rsidRPr="00873B6C" w:rsidRDefault="003E03C2" w:rsidP="00972E70">
      <w:pPr>
        <w:pStyle w:val="B1"/>
      </w:pPr>
      <w:r w:rsidRPr="00873B6C">
        <w:t>-</w:t>
      </w:r>
      <w:r w:rsidRPr="00873B6C">
        <w:tab/>
        <w:t>If the AMF determines that the S-NSSAI in the Allowed NSSAI is replaced with Alternative S-NSSAI</w:t>
      </w:r>
      <w:r w:rsidR="00153C7D" w:rsidRPr="00873B6C">
        <w:t xml:space="preserve"> over an Access Type</w:t>
      </w:r>
      <w:r w:rsidRPr="00873B6C">
        <w:t>, the AMF provides the mapping of old S-NSSAI to the Alternative S-NSSAI to the UE</w:t>
      </w:r>
      <w:r w:rsidR="00153C7D" w:rsidRPr="00873B6C">
        <w:t xml:space="preserve"> over the same Access Type</w:t>
      </w:r>
      <w:r w:rsidRPr="00873B6C">
        <w:t xml:space="preserve"> (as described in clause 5.15.19).</w:t>
      </w:r>
    </w:p>
    <w:p w14:paraId="662E87D4" w14:textId="7E04D9F8" w:rsidR="00D40151" w:rsidRPr="00873B6C" w:rsidRDefault="00D40151" w:rsidP="00D40151">
      <w:pPr>
        <w:rPr>
          <w:lang w:eastAsia="zh-CN"/>
        </w:rPr>
      </w:pPr>
      <w:r w:rsidRPr="00873B6C">
        <w:rPr>
          <w:lang w:eastAsia="zh-CN"/>
        </w:rPr>
        <w:t xml:space="preserve">If there </w:t>
      </w:r>
      <w:r w:rsidR="00183D3D" w:rsidRPr="00873B6C">
        <w:rPr>
          <w:lang w:eastAsia="zh-CN"/>
        </w:rPr>
        <w:t xml:space="preserve">is an </w:t>
      </w:r>
      <w:r w:rsidRPr="00873B6C">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873B6C" w:rsidRDefault="00D40151" w:rsidP="00D40151">
      <w:pPr>
        <w:rPr>
          <w:lang w:eastAsia="zh-CN"/>
        </w:rPr>
      </w:pPr>
      <w:r w:rsidRPr="00873B6C">
        <w:rPr>
          <w:lang w:eastAsia="zh-CN"/>
        </w:rPr>
        <w:t>In addition to sending the new Allowed NSSAI to the UE, when a Network Slice used for a one or multiple PDU Sessions is no longer available for a UE, the following applies:</w:t>
      </w:r>
    </w:p>
    <w:p w14:paraId="679F8181" w14:textId="67245C69" w:rsidR="00D40151" w:rsidRPr="00873B6C" w:rsidRDefault="00D40151" w:rsidP="00D40151">
      <w:pPr>
        <w:pStyle w:val="B1"/>
        <w:rPr>
          <w:lang w:eastAsia="zh-CN"/>
        </w:rPr>
      </w:pPr>
      <w:r w:rsidRPr="00873B6C">
        <w:rPr>
          <w:lang w:eastAsia="zh-CN"/>
        </w:rPr>
        <w:t>-</w:t>
      </w:r>
      <w:r w:rsidRPr="00873B6C">
        <w:rPr>
          <w:lang w:eastAsia="zh-CN"/>
        </w:rPr>
        <w:tab/>
        <w:t>If the Network Slice becomes no longer available under the same AMF</w:t>
      </w:r>
      <w:r w:rsidR="003E03C2" w:rsidRPr="00873B6C">
        <w:rPr>
          <w:lang w:eastAsia="zh-CN"/>
        </w:rPr>
        <w:t xml:space="preserve"> and the Network Slice Replacement is not used</w:t>
      </w:r>
      <w:r w:rsidRPr="00873B6C">
        <w:rPr>
          <w:lang w:eastAsia="zh-CN"/>
        </w:rPr>
        <w:t xml:space="preserve"> (e.g. due to UE subscription change), the AMF indicates to the SMF(s) which PDU Session ID(s) corresponding to the relevant S-NSSAI shall be released. SMF releases the PDU Session according to clause 4.3.4.2 </w:t>
      </w:r>
      <w:r w:rsidR="00960CDA" w:rsidRPr="00873B6C">
        <w:rPr>
          <w:lang w:eastAsia="zh-CN"/>
        </w:rPr>
        <w:t>of</w:t>
      </w:r>
      <w:r w:rsidRPr="00873B6C">
        <w:rPr>
          <w:lang w:eastAsia="zh-CN"/>
        </w:rPr>
        <w:t xml:space="preserve"> </w:t>
      </w:r>
      <w:r w:rsidR="00972E70" w:rsidRPr="00873B6C">
        <w:rPr>
          <w:lang w:eastAsia="zh-CN"/>
        </w:rPr>
        <w:t>TS 23.502 [</w:t>
      </w:r>
      <w:r w:rsidRPr="00873B6C">
        <w:rPr>
          <w:lang w:eastAsia="zh-CN"/>
        </w:rPr>
        <w:t>3].</w:t>
      </w:r>
      <w:r w:rsidR="003E03C2" w:rsidRPr="00873B6C">
        <w:rPr>
          <w:lang w:eastAsia="zh-CN"/>
        </w:rPr>
        <w:t xml:space="preserve"> If the Network Slice Replacement is used, the AMF performs Network Slice Replacement as described in clause 5.15.19.</w:t>
      </w:r>
    </w:p>
    <w:p w14:paraId="6D381B23" w14:textId="7A5FD513" w:rsidR="00D40151" w:rsidRPr="00873B6C" w:rsidRDefault="00D40151" w:rsidP="00D40151">
      <w:pPr>
        <w:pStyle w:val="B1"/>
        <w:rPr>
          <w:lang w:eastAsia="zh-CN"/>
        </w:rPr>
      </w:pPr>
      <w:r w:rsidRPr="00873B6C">
        <w:rPr>
          <w:lang w:eastAsia="zh-CN"/>
        </w:rPr>
        <w:t>-</w:t>
      </w:r>
      <w:r w:rsidRPr="00873B6C">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972E70" w:rsidRPr="00873B6C">
        <w:rPr>
          <w:lang w:eastAsia="zh-CN"/>
        </w:rPr>
        <w:t>TS 23.502 [</w:t>
      </w:r>
      <w:r w:rsidRPr="00873B6C">
        <w:rPr>
          <w:lang w:eastAsia="zh-CN"/>
        </w:rPr>
        <w:t>3]. Then the new AMF modifies the PDU Session Status correspondingly. The PDU Session(s) context is locally released in the UE after receiving the PDU Session Status in the Registration Accept message.</w:t>
      </w:r>
    </w:p>
    <w:p w14:paraId="1C75EF6D" w14:textId="1D924B1C" w:rsidR="00D40151" w:rsidRPr="00873B6C" w:rsidRDefault="00D40151" w:rsidP="00D40151">
      <w:r w:rsidRPr="00873B6C">
        <w:t xml:space="preserve">The UE uses either the URSP rules (which includes the NSSP) or the UE Local Configuration as defined in clause 6.1.2.2.1 of </w:t>
      </w:r>
      <w:r w:rsidR="00972E70" w:rsidRPr="00873B6C">
        <w:t>TS 23.503 [</w:t>
      </w:r>
      <w:r w:rsidRPr="00873B6C">
        <w:t>45] to determine whether ongoing traffic can be routed over existing PDU Sessions belonging to other Network Slices or establish new PDU Session(s) associated with same/other Network Slice.</w:t>
      </w:r>
    </w:p>
    <w:p w14:paraId="736ED6AD" w14:textId="77777777" w:rsidR="00D40151" w:rsidRPr="00873B6C" w:rsidRDefault="00D40151" w:rsidP="00D40151">
      <w:r w:rsidRPr="00873B6C">
        <w:lastRenderedPageBreak/>
        <w:t>In order to change the set of S-NSSAIs the UE is registered to over an Access Type, the UE shall initiate a Registration procedure over this Access Type as specified in clause 5.15.5.2.1.</w:t>
      </w:r>
    </w:p>
    <w:p w14:paraId="7E2E9FE2" w14:textId="77777777" w:rsidR="00D40151" w:rsidRPr="00873B6C" w:rsidRDefault="00D40151" w:rsidP="00D40151">
      <w:r w:rsidRPr="00873B6C">
        <w:t>If, for an established PDU Session:</w:t>
      </w:r>
    </w:p>
    <w:p w14:paraId="5DB896D0" w14:textId="77777777" w:rsidR="00D40151" w:rsidRPr="00873B6C" w:rsidRDefault="00D40151" w:rsidP="00D40151">
      <w:pPr>
        <w:pStyle w:val="B1"/>
      </w:pPr>
      <w:r w:rsidRPr="00873B6C">
        <w:t>-</w:t>
      </w:r>
      <w:r w:rsidRPr="00873B6C">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873B6C" w:rsidRDefault="00D40151" w:rsidP="00D40151">
      <w:pPr>
        <w:pStyle w:val="B1"/>
      </w:pPr>
      <w:r w:rsidRPr="00873B6C">
        <w:t>-</w:t>
      </w:r>
      <w:r w:rsidRPr="00873B6C">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873B6C" w:rsidRDefault="00D40151" w:rsidP="00D40151">
      <w:r w:rsidRPr="00873B6C">
        <w:t>the network shall release this PDU Session as follows.</w:t>
      </w:r>
    </w:p>
    <w:p w14:paraId="24A1DFA1" w14:textId="6B18CEE9" w:rsidR="00D40151" w:rsidRPr="00873B6C" w:rsidRDefault="00D40151" w:rsidP="00D40151">
      <w:pPr>
        <w:pStyle w:val="B1"/>
      </w:pPr>
      <w:r w:rsidRPr="00873B6C">
        <w:t>-</w:t>
      </w:r>
      <w:r w:rsidRPr="00873B6C">
        <w:tab/>
        <w:t xml:space="preserve">the AMF informs the corresponding SMF(s) to release the indicated PDU Session(s). The SMF(s) release the PDU Session(s) as described in clause 4.3.4 of </w:t>
      </w:r>
      <w:r w:rsidR="00972E70" w:rsidRPr="00873B6C">
        <w:t>TS 23.502 [</w:t>
      </w:r>
      <w:r w:rsidRPr="00873B6C">
        <w:t>3]. Then the AMF modifies the PDU Session Status correspondingly. The PDU Session(s) context is locally released in the UE after receiving the PDU Session Status from the AMF.</w:t>
      </w:r>
    </w:p>
    <w:p w14:paraId="710CE9EB" w14:textId="77777777" w:rsidR="00D40151" w:rsidRPr="00873B6C" w:rsidRDefault="00D40151" w:rsidP="00D40151">
      <w:r w:rsidRPr="00873B6C">
        <w:t>A change of the set of S-NSSAIs (whether UE or Network initiated) to which the UE is registered may, subject to operator policy, lead to AMF change, as described in clause 5.15.5.2.1.</w:t>
      </w:r>
    </w:p>
    <w:p w14:paraId="2CE7140A" w14:textId="6C3D115C" w:rsidR="00AB1E8D" w:rsidRPr="00873B6C" w:rsidRDefault="00AB1E8D" w:rsidP="00AB1E8D">
      <w:bookmarkStart w:id="2680" w:name="_Toc20149921"/>
      <w:bookmarkStart w:id="2681" w:name="_Toc27846720"/>
      <w:bookmarkStart w:id="2682" w:name="_Toc36187851"/>
      <w:bookmarkStart w:id="2683" w:name="_Toc45183755"/>
      <w:bookmarkStart w:id="2684" w:name="_Toc47342597"/>
      <w:bookmarkStart w:id="2685" w:name="_Toc51769298"/>
      <w:r w:rsidRPr="00873B6C">
        <w:t>If the AMF supports the Network Slice Replacement feature and is configured to use the NSSF to trigger the Network Slice Replacement, the AMF subscribes with the NSSF for notifications when any of the S-NSSAIs served by the AMF (e.g. the S-NSSAI in the Serving PLMN and the HPLMN S-NSSAI in roaming case) has to be replaced as described in clause 5.15.19.</w:t>
      </w:r>
    </w:p>
    <w:p w14:paraId="563C08C9" w14:textId="45C110CD" w:rsidR="00114986" w:rsidRPr="00873B6C" w:rsidRDefault="00114986" w:rsidP="00972E70">
      <w:r w:rsidRPr="00873B6C">
        <w:t>If the AMF supports the Network Slice Instance Replacement and configured to use Network Slice Instance Replacement, the AMF subscribes with the NSSF for notifications when a Network Slice instances served by the AMF is congested or no longer available as described in clause 5.15.20.</w:t>
      </w:r>
    </w:p>
    <w:p w14:paraId="1A83F481" w14:textId="2A8BF4D3" w:rsidR="003E03C2" w:rsidRPr="00873B6C" w:rsidRDefault="003E03C2" w:rsidP="00972E70">
      <w:r w:rsidRPr="00873B6C">
        <w:t>The AMF may perform Network Slice Replacement for the PDU Session as described in clause 5.15.19.</w:t>
      </w:r>
    </w:p>
    <w:p w14:paraId="1776D2B0" w14:textId="3291B2C5" w:rsidR="00D40151" w:rsidRPr="00873B6C" w:rsidRDefault="00D40151" w:rsidP="00D40151">
      <w:pPr>
        <w:pStyle w:val="Heading5"/>
      </w:pPr>
      <w:bookmarkStart w:id="2686" w:name="_CR5_15_5_2_3"/>
      <w:bookmarkStart w:id="2687" w:name="_Toc201157271"/>
      <w:bookmarkEnd w:id="2686"/>
      <w:r w:rsidRPr="00873B6C">
        <w:t>5.15.5.2.3</w:t>
      </w:r>
      <w:r w:rsidRPr="00873B6C">
        <w:tab/>
        <w:t>AMF Re-allocation due to Network Slice(s) Support</w:t>
      </w:r>
      <w:bookmarkEnd w:id="2680"/>
      <w:bookmarkEnd w:id="2681"/>
      <w:bookmarkEnd w:id="2682"/>
      <w:bookmarkEnd w:id="2683"/>
      <w:bookmarkEnd w:id="2684"/>
      <w:bookmarkEnd w:id="2685"/>
      <w:bookmarkEnd w:id="2687"/>
    </w:p>
    <w:p w14:paraId="447D5638" w14:textId="77777777" w:rsidR="00D40151" w:rsidRPr="00873B6C" w:rsidRDefault="00D40151" w:rsidP="00D40151">
      <w:pPr>
        <w:rPr>
          <w:lang w:eastAsia="zh-CN"/>
        </w:rPr>
      </w:pPr>
      <w:r w:rsidRPr="00873B6C">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873B6C" w:rsidRDefault="00517B35" w:rsidP="00D40151">
      <w:r w:rsidRPr="00873B6C">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103AC2F0" w:rsidR="00D40151" w:rsidRPr="00873B6C" w:rsidRDefault="00D40151" w:rsidP="00D40151">
      <w:r w:rsidRPr="00873B6C">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873B6C">
        <w:t>of</w:t>
      </w:r>
      <w:r w:rsidRPr="00873B6C">
        <w:t xml:space="preserve"> </w:t>
      </w:r>
      <w:r w:rsidR="00972E70" w:rsidRPr="00873B6C">
        <w:t>TS 23.502 [</w:t>
      </w:r>
      <w:r w:rsidRPr="00873B6C">
        <w:t>3].</w:t>
      </w:r>
    </w:p>
    <w:p w14:paraId="13E8719A" w14:textId="77777777" w:rsidR="00D40151" w:rsidRPr="00873B6C" w:rsidRDefault="00D40151" w:rsidP="00D40151">
      <w:pPr>
        <w:rPr>
          <w:lang w:eastAsia="ko-KR"/>
        </w:rPr>
      </w:pPr>
      <w:r w:rsidRPr="00873B6C">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873B6C">
        <w:rPr>
          <w:lang w:eastAsia="zh-CN"/>
        </w:rPr>
        <w:t>Operator policy determines whether redirection between AMFs is allowed.</w:t>
      </w:r>
    </w:p>
    <w:p w14:paraId="575ACB34" w14:textId="77777777" w:rsidR="00D40151" w:rsidRPr="00873B6C" w:rsidRDefault="00D40151" w:rsidP="00D40151">
      <w:pPr>
        <w:pStyle w:val="Heading4"/>
      </w:pPr>
      <w:bookmarkStart w:id="2688" w:name="_CR5_15_5_3"/>
      <w:bookmarkStart w:id="2689" w:name="_Toc20149922"/>
      <w:bookmarkStart w:id="2690" w:name="_Toc27846721"/>
      <w:bookmarkStart w:id="2691" w:name="_Toc36187852"/>
      <w:bookmarkStart w:id="2692" w:name="_Toc45183756"/>
      <w:bookmarkStart w:id="2693" w:name="_Toc47342598"/>
      <w:bookmarkStart w:id="2694" w:name="_Toc51769299"/>
      <w:bookmarkStart w:id="2695" w:name="_Toc201157272"/>
      <w:bookmarkEnd w:id="2688"/>
      <w:r w:rsidRPr="00873B6C">
        <w:t>5.15.5.3</w:t>
      </w:r>
      <w:r w:rsidRPr="00873B6C">
        <w:tab/>
        <w:t>Establishing a PDU Session in a Network Slice</w:t>
      </w:r>
      <w:bookmarkEnd w:id="2689"/>
      <w:bookmarkEnd w:id="2690"/>
      <w:bookmarkEnd w:id="2691"/>
      <w:bookmarkEnd w:id="2692"/>
      <w:bookmarkEnd w:id="2693"/>
      <w:bookmarkEnd w:id="2694"/>
      <w:bookmarkEnd w:id="2695"/>
    </w:p>
    <w:p w14:paraId="513274D0" w14:textId="3EDAC37E" w:rsidR="00D40151" w:rsidRPr="00873B6C" w:rsidRDefault="00D40151" w:rsidP="00D40151">
      <w:r w:rsidRPr="00873B6C">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w:t>
      </w:r>
      <w:r w:rsidRPr="00873B6C">
        <w:lastRenderedPageBreak/>
        <w:t xml:space="preserve">clause 6.1.2.2.1 of </w:t>
      </w:r>
      <w:r w:rsidR="00972E70" w:rsidRPr="00873B6C">
        <w:t>TS 23.503 [</w:t>
      </w:r>
      <w:r w:rsidRPr="00873B6C">
        <w:t>45]</w:t>
      </w:r>
      <w:r w:rsidR="00472CD7" w:rsidRPr="00873B6C">
        <w:t xml:space="preserve"> and</w:t>
      </w:r>
      <w:r w:rsidRPr="00873B6C">
        <w:t>, if available, the DNN the PDU Session is related to. The UE includes the appropriate S-NSSAI from this Allowed NSSAI and, if mapping of the Allowed NSSAI to HPLMN S-NSSAIs was provided, an S-NSSAI with the corresponding value from this mapping.</w:t>
      </w:r>
    </w:p>
    <w:p w14:paraId="17B8311F" w14:textId="03FF81C5" w:rsidR="00D40151" w:rsidRPr="00873B6C" w:rsidRDefault="00D40151" w:rsidP="00D40151">
      <w:pPr>
        <w:rPr>
          <w:lang w:eastAsia="zh-CN"/>
        </w:rPr>
      </w:pPr>
      <w:r w:rsidRPr="00873B6C">
        <w:rPr>
          <w:lang w:eastAsia="zh-CN"/>
        </w:rPr>
        <w:t xml:space="preserve">If the UE cannot determine any S-NSSAI after performing the association of the application to a PDU Session according to clause 6.1.2.2.1 of </w:t>
      </w:r>
      <w:r w:rsidR="00972E70" w:rsidRPr="00873B6C">
        <w:rPr>
          <w:lang w:eastAsia="zh-CN"/>
        </w:rPr>
        <w:t>TS 23.503 [</w:t>
      </w:r>
      <w:r w:rsidRPr="00873B6C">
        <w:rPr>
          <w:lang w:eastAsia="zh-CN"/>
        </w:rPr>
        <w:t>45], the UE shall not indicate any S-NSSAI in the PDU Session Establishment procedure.</w:t>
      </w:r>
    </w:p>
    <w:p w14:paraId="104138C6" w14:textId="488FA2B8" w:rsidR="00D40151" w:rsidRPr="00873B6C" w:rsidRDefault="00D40151" w:rsidP="00D40151">
      <w:pPr>
        <w:rPr>
          <w:lang w:eastAsia="zh-CN"/>
        </w:rPr>
      </w:pPr>
      <w:r w:rsidRPr="00873B6C">
        <w:rPr>
          <w:lang w:eastAsia="zh-CN"/>
        </w:rPr>
        <w:t>The network (HPLMN) may provision the UE with Network Slice selection policy (NSSP) as part of the URSP rules, see</w:t>
      </w:r>
      <w:r w:rsidR="00D602DF" w:rsidRPr="00873B6C">
        <w:rPr>
          <w:lang w:eastAsia="zh-CN"/>
        </w:rPr>
        <w:t xml:space="preserve"> clause 6.6.2</w:t>
      </w:r>
      <w:r w:rsidRPr="00873B6C">
        <w:rPr>
          <w:lang w:eastAsia="zh-CN"/>
        </w:rPr>
        <w:t xml:space="preserve"> </w:t>
      </w:r>
      <w:r w:rsidR="00D602DF" w:rsidRPr="00873B6C">
        <w:t>of</w:t>
      </w:r>
      <w:r w:rsidR="00D602DF" w:rsidRPr="00873B6C">
        <w:rPr>
          <w:lang w:eastAsia="zh-CN"/>
        </w:rPr>
        <w:t xml:space="preserve"> </w:t>
      </w:r>
      <w:r w:rsidR="00972E70" w:rsidRPr="00873B6C">
        <w:rPr>
          <w:lang w:eastAsia="zh-CN"/>
        </w:rPr>
        <w:t>TS 23.503 [</w:t>
      </w:r>
      <w:r w:rsidRPr="00873B6C">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2FFC0C64" w:rsidR="00D40151" w:rsidRPr="00873B6C" w:rsidRDefault="00D40151" w:rsidP="00D40151">
      <w:pPr>
        <w:rPr>
          <w:lang w:eastAsia="zh-CN"/>
        </w:rPr>
      </w:pPr>
      <w:r w:rsidRPr="00873B6C">
        <w:rPr>
          <w:lang w:eastAsia="zh-CN"/>
        </w:rPr>
        <w:t xml:space="preserve">The UE shall store and use the URSP rules, including the NSSP, as described in </w:t>
      </w:r>
      <w:r w:rsidR="00972E70" w:rsidRPr="00873B6C">
        <w:rPr>
          <w:lang w:eastAsia="zh-CN"/>
        </w:rPr>
        <w:t>TS 23.503 [</w:t>
      </w:r>
      <w:r w:rsidRPr="00873B6C">
        <w:rPr>
          <w:lang w:eastAsia="zh-CN"/>
        </w:rPr>
        <w:t>45]. When a UE application associated with a specific S-NSSAI requests data transmission:</w:t>
      </w:r>
    </w:p>
    <w:p w14:paraId="74B7C77E" w14:textId="13F0F1AB" w:rsidR="00D40151" w:rsidRPr="00873B6C" w:rsidRDefault="00D40151" w:rsidP="00D40151">
      <w:pPr>
        <w:pStyle w:val="B1"/>
      </w:pPr>
      <w:r w:rsidRPr="00873B6C">
        <w:t>-</w:t>
      </w:r>
      <w:r w:rsidRPr="00873B6C">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873B6C">
        <w:t xml:space="preserve"> clause 6.6.2</w:t>
      </w:r>
      <w:r w:rsidRPr="00873B6C">
        <w:t xml:space="preserve"> </w:t>
      </w:r>
      <w:r w:rsidR="00D602DF" w:rsidRPr="00873B6C">
        <w:t xml:space="preserve">of </w:t>
      </w:r>
      <w:r w:rsidR="00972E70" w:rsidRPr="00873B6C">
        <w:t>TS 23.503 [</w:t>
      </w:r>
      <w:r w:rsidRPr="00873B6C">
        <w:t>45].</w:t>
      </w:r>
    </w:p>
    <w:p w14:paraId="496D33CB" w14:textId="6CCA527B" w:rsidR="00D40151" w:rsidRPr="00873B6C" w:rsidRDefault="00D40151" w:rsidP="00D40151">
      <w:pPr>
        <w:pStyle w:val="B1"/>
      </w:pPr>
      <w:r w:rsidRPr="00873B6C">
        <w:t>-</w:t>
      </w:r>
      <w:r w:rsidRPr="00873B6C">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873B6C">
        <w:rPr>
          <w:lang w:eastAsia="ko-KR"/>
        </w:rPr>
        <w:t xml:space="preserve">supporting network slicing in the </w:t>
      </w:r>
      <w:r w:rsidRPr="00873B6C">
        <w:t xml:space="preserve">RAN, RAN needs to </w:t>
      </w:r>
      <w:r w:rsidRPr="00873B6C">
        <w:rPr>
          <w:lang w:eastAsia="ko-KR"/>
        </w:rPr>
        <w:t xml:space="preserve">be aware of </w:t>
      </w:r>
      <w:r w:rsidRPr="00873B6C">
        <w:t>the N</w:t>
      </w:r>
      <w:r w:rsidRPr="00873B6C">
        <w:rPr>
          <w:lang w:eastAsia="ko-KR"/>
        </w:rPr>
        <w:t>etwork Slices used by the UE</w:t>
      </w:r>
      <w:r w:rsidRPr="00873B6C">
        <w:t>. This is further described in</w:t>
      </w:r>
      <w:r w:rsidR="00D602DF" w:rsidRPr="00873B6C">
        <w:t xml:space="preserve"> clause 6.6.2</w:t>
      </w:r>
      <w:r w:rsidRPr="00873B6C">
        <w:t xml:space="preserve"> </w:t>
      </w:r>
      <w:r w:rsidR="00D602DF" w:rsidRPr="00873B6C">
        <w:t xml:space="preserve">of </w:t>
      </w:r>
      <w:r w:rsidR="00972E70" w:rsidRPr="00873B6C">
        <w:t>TS 23.503 [</w:t>
      </w:r>
      <w:r w:rsidRPr="00873B6C">
        <w:t>45].</w:t>
      </w:r>
    </w:p>
    <w:p w14:paraId="4B1E11CF" w14:textId="77777777" w:rsidR="00967FB9" w:rsidRPr="00873B6C" w:rsidRDefault="00D40151" w:rsidP="00D40151">
      <w:r w:rsidRPr="00873B6C">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26649BFD" w:rsidR="00967FB9" w:rsidRPr="00873B6C" w:rsidRDefault="00967FB9" w:rsidP="00D40151">
      <w:r w:rsidRPr="00873B6C">
        <w:t>The AMF or NSSF may select</w:t>
      </w:r>
      <w:r w:rsidR="003E03C2" w:rsidRPr="00873B6C">
        <w:t xml:space="preserve"> an S-NSSAI (if the UE does not provide an S-NSSAI for the PDU session establishment) and</w:t>
      </w:r>
      <w:r w:rsidRPr="00873B6C">
        <w:t xml:space="preserve"> a Network Slice instance</w:t>
      </w:r>
      <w:r w:rsidR="003E03C2" w:rsidRPr="00873B6C">
        <w:t>,</w:t>
      </w:r>
      <w:r w:rsidRPr="00873B6C">
        <w:t xml:space="preserve"> based on load level and/or Observe Service Experience and/or Dispersion analytics from NWDAF</w:t>
      </w:r>
      <w:r w:rsidR="003E03C2" w:rsidRPr="00873B6C">
        <w:t xml:space="preserve">, as described in </w:t>
      </w:r>
      <w:r w:rsidR="00972E70" w:rsidRPr="00873B6C">
        <w:t>TS 23.288 [</w:t>
      </w:r>
      <w:r w:rsidR="003E03C2" w:rsidRPr="00873B6C">
        <w:t>86]</w:t>
      </w:r>
      <w:r w:rsidRPr="00873B6C">
        <w:t>.</w:t>
      </w:r>
    </w:p>
    <w:p w14:paraId="7D68D8DF" w14:textId="3CDCBA18" w:rsidR="00D40151" w:rsidRPr="00873B6C" w:rsidRDefault="00D40151" w:rsidP="00D40151">
      <w:r w:rsidRPr="00873B6C">
        <w:t>The IP address or FQDN of the NSSF is locally configured in the AMF.</w:t>
      </w:r>
    </w:p>
    <w:p w14:paraId="3A54D2F5" w14:textId="77777777" w:rsidR="00D40151" w:rsidRPr="00873B6C" w:rsidRDefault="00D40151" w:rsidP="00D40151">
      <w:r w:rsidRPr="00873B6C" w:rsidDel="007A77D9">
        <w:t xml:space="preserve">SMF discovery and selection within the selected Network Slice instance is initiated by the AMF when a SM message to establish a </w:t>
      </w:r>
      <w:r w:rsidRPr="00873B6C">
        <w:t>PDU Session</w:t>
      </w:r>
      <w:r w:rsidRPr="00873B6C" w:rsidDel="007A77D9">
        <w:t xml:space="preserve"> is received from the UE. The </w:t>
      </w:r>
      <w:r w:rsidRPr="00873B6C">
        <w:t xml:space="preserve">appropriate </w:t>
      </w:r>
      <w:r w:rsidRPr="00873B6C" w:rsidDel="007A77D9">
        <w:t>NRF is used to assist the discovery and selection tasks of the required network functions for the selected Network Slice instance.</w:t>
      </w:r>
    </w:p>
    <w:p w14:paraId="632DC2DD" w14:textId="012B27EA" w:rsidR="00D40151" w:rsidRPr="00873B6C" w:rsidRDefault="00D40151" w:rsidP="00D40151">
      <w:r w:rsidRPr="00873B6C">
        <w:t>The AMF queries the appropriate NRF to select an SMF in a Network Slice instance based on S-NSSAI, DNN, NSI-ID (if available) and other information e.g. UE subscription and local operator policies, when the UE triggers PDU Session Establishment.</w:t>
      </w:r>
      <w:r w:rsidR="003E03C2" w:rsidRPr="00873B6C">
        <w:t xml:space="preserve"> The AMF may select the SMF among the set of the SMF instance(s) returned by the NRF or locally configured in the AMF, based on network data analytics (NF load, etc.) from the NWDAF as described in </w:t>
      </w:r>
      <w:r w:rsidR="00972E70" w:rsidRPr="00873B6C">
        <w:t>TS 23.288 [</w:t>
      </w:r>
      <w:r w:rsidR="003E03C2" w:rsidRPr="00873B6C">
        <w:t>86].</w:t>
      </w:r>
      <w:r w:rsidRPr="00873B6C">
        <w:t xml:space="preserve"> The selected SMF establishes a PDU Session based on S-NSSAI and DNN.</w:t>
      </w:r>
    </w:p>
    <w:p w14:paraId="6D998B86" w14:textId="77777777" w:rsidR="00D40151" w:rsidRPr="00873B6C" w:rsidRDefault="00D40151" w:rsidP="00D40151">
      <w:r w:rsidRPr="00873B6C">
        <w:t>When the AMF belongs to multiple Network Slice instances, based on configuration, the AMF may use an NRF at the appropriate level for the SMF selection.</w:t>
      </w:r>
    </w:p>
    <w:p w14:paraId="368A7B75" w14:textId="2CF9BBA7" w:rsidR="00D40151" w:rsidRPr="00873B6C" w:rsidRDefault="00D40151" w:rsidP="00D40151">
      <w:r w:rsidRPr="00873B6C">
        <w:t xml:space="preserve">For further details on the SMF selection, refer to clause 4.3.2.2.3 </w:t>
      </w:r>
      <w:r w:rsidR="00960CDA" w:rsidRPr="00873B6C">
        <w:t>of</w:t>
      </w:r>
      <w:r w:rsidRPr="00873B6C">
        <w:t xml:space="preserve"> </w:t>
      </w:r>
      <w:r w:rsidR="00972E70" w:rsidRPr="00873B6C">
        <w:t>TS 23.502 [</w:t>
      </w:r>
      <w:r w:rsidRPr="00873B6C">
        <w:t>3].</w:t>
      </w:r>
    </w:p>
    <w:p w14:paraId="79AF0101" w14:textId="77777777" w:rsidR="00D40151" w:rsidRPr="00873B6C" w:rsidRDefault="00D40151" w:rsidP="00D40151">
      <w:r w:rsidRPr="00873B6C">
        <w:t>When a PDU Session for a given S-NSSAI is established using a specific Network Slice instance, the CN provides to the (R)AN the S-NSSAI corresponding to this Network Slice instance to enable the RAN to perform access specific functions.</w:t>
      </w:r>
    </w:p>
    <w:p w14:paraId="49C68AD5" w14:textId="3D1346B4" w:rsidR="00D40151" w:rsidRPr="00873B6C" w:rsidRDefault="00D40151" w:rsidP="00D40151">
      <w:r w:rsidRPr="00873B6C">
        <w:t>The UE shall not perform PDU Session handover from one Access Type to another if the S-NSSAI of the PDU Session is not included in the Allowed NSSAI of the target Access Type.</w:t>
      </w:r>
    </w:p>
    <w:p w14:paraId="0BEDC742" w14:textId="77777777" w:rsidR="00472CD7" w:rsidRPr="00873B6C" w:rsidRDefault="00472CD7" w:rsidP="00472CD7">
      <w:bookmarkStart w:id="2696" w:name="_Toc20149923"/>
      <w:bookmarkStart w:id="2697" w:name="_Toc27846722"/>
      <w:bookmarkStart w:id="2698" w:name="_Toc36187853"/>
      <w:bookmarkStart w:id="2699" w:name="_Toc45183757"/>
      <w:bookmarkStart w:id="2700" w:name="_Toc47342599"/>
      <w:bookmarkStart w:id="2701" w:name="_Toc51769300"/>
      <w:r w:rsidRPr="00873B6C">
        <w:t>In non-roaming case, if the Serving PLMN ID is not the same as the PLMN ID of the SUPI and a mapped S-NSSAI value of the HPLMN is present in the Allowed NSSAI, the procedures as defined in clause 4.23.5 of TS 23.502 [3] is used for PDU Session Management, with the following differences:</w:t>
      </w:r>
    </w:p>
    <w:p w14:paraId="3C01D364" w14:textId="77777777" w:rsidR="00472CD7" w:rsidRPr="00873B6C" w:rsidRDefault="00472CD7" w:rsidP="00D52AA2">
      <w:pPr>
        <w:pStyle w:val="B1"/>
      </w:pPr>
      <w:r w:rsidRPr="00873B6C">
        <w:lastRenderedPageBreak/>
        <w:t>-</w:t>
      </w:r>
      <w:r w:rsidRPr="00873B6C">
        <w:tab/>
        <w:t>In PDU Session Establishment procedure the AMF selects the SMF according to the S-NSSAI of the mapped S-NSSAI value of the HPLMN, and selects I-SMF according to the S-NSSAI of the S-NSSAI value of the Serving PLMN, and provides the S-NSSAI of the Serving PLMN and the mapped S-NSSAI of the HPLMN as received from the UE to the selected (I-)SMF.</w:t>
      </w:r>
    </w:p>
    <w:p w14:paraId="60C8F6CD" w14:textId="77777777" w:rsidR="00D40151" w:rsidRPr="00873B6C" w:rsidRDefault="00D40151" w:rsidP="00D40151">
      <w:pPr>
        <w:pStyle w:val="Heading3"/>
      </w:pPr>
      <w:bookmarkStart w:id="2702" w:name="_CR5_15_6"/>
      <w:bookmarkStart w:id="2703" w:name="_Toc201157273"/>
      <w:bookmarkEnd w:id="2702"/>
      <w:r w:rsidRPr="00873B6C">
        <w:t>5.15.6</w:t>
      </w:r>
      <w:r w:rsidRPr="00873B6C">
        <w:tab/>
        <w:t>Network Slicing Support for Roaming</w:t>
      </w:r>
      <w:bookmarkEnd w:id="2696"/>
      <w:bookmarkEnd w:id="2697"/>
      <w:bookmarkEnd w:id="2698"/>
      <w:bookmarkEnd w:id="2699"/>
      <w:bookmarkEnd w:id="2700"/>
      <w:bookmarkEnd w:id="2701"/>
      <w:bookmarkEnd w:id="2703"/>
    </w:p>
    <w:p w14:paraId="18B1061E" w14:textId="77777777" w:rsidR="00D40151" w:rsidRPr="00873B6C" w:rsidRDefault="00D40151" w:rsidP="00D40151">
      <w:r w:rsidRPr="00873B6C">
        <w:t>For roaming scenarios:</w:t>
      </w:r>
    </w:p>
    <w:p w14:paraId="5A447919" w14:textId="77777777" w:rsidR="00D40151" w:rsidRPr="00873B6C" w:rsidRDefault="00D40151" w:rsidP="00D40151">
      <w:pPr>
        <w:pStyle w:val="B1"/>
      </w:pPr>
      <w:r w:rsidRPr="00873B6C">
        <w:t>-</w:t>
      </w:r>
      <w:r w:rsidRPr="00873B6C">
        <w:tab/>
        <w:t>If the UE only uses standard S-NSSAI values, then the same S-NSSAI values can be used in VPLMN as in the HPLMN.</w:t>
      </w:r>
    </w:p>
    <w:p w14:paraId="0FE6A9DF" w14:textId="77777777" w:rsidR="00D40151" w:rsidRPr="00873B6C" w:rsidRDefault="00D40151" w:rsidP="00D40151">
      <w:pPr>
        <w:pStyle w:val="B1"/>
      </w:pPr>
      <w:r w:rsidRPr="00873B6C">
        <w:t>-</w:t>
      </w:r>
      <w:r w:rsidRPr="00873B6C">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873B6C" w:rsidRDefault="00D40151" w:rsidP="00D40151">
      <w:pPr>
        <w:pStyle w:val="B1"/>
      </w:pPr>
      <w:r w:rsidRPr="00873B6C">
        <w:tab/>
        <w:t>Depending on operator's policy and the configuration in the AMF, the AMF may decide the S-NSSAI values to be used in the VPLMN and the mapping to the Subscribed S-NSSAIs.</w:t>
      </w:r>
    </w:p>
    <w:p w14:paraId="2446FF86" w14:textId="5E012C42" w:rsidR="003E03C2" w:rsidRPr="00873B6C" w:rsidRDefault="003E03C2" w:rsidP="00D40151">
      <w:pPr>
        <w:pStyle w:val="B1"/>
      </w:pPr>
      <w:r w:rsidRPr="00873B6C">
        <w:tab/>
        <w:t xml:space="preserve">For the home routed case, the AMF or NSSF may select an S-NSSAI (if the UE does not provide an S-NSSAI for the PDU session establishment) and a Network Slice instance, based on load level and/or Observe Service Experience and/or Dispersion analytics of the VPLMN and/or that of the HPLMN from NWDAF as described in </w:t>
      </w:r>
      <w:r w:rsidR="00972E70" w:rsidRPr="00873B6C">
        <w:t>TS 23.288 [</w:t>
      </w:r>
      <w:r w:rsidRPr="00873B6C">
        <w:t>86].</w:t>
      </w:r>
    </w:p>
    <w:p w14:paraId="344D8064" w14:textId="26E11748" w:rsidR="00D40151" w:rsidRPr="00873B6C" w:rsidRDefault="00D40151" w:rsidP="00D40151">
      <w:pPr>
        <w:pStyle w:val="B1"/>
      </w:pPr>
      <w:r w:rsidRPr="00873B6C">
        <w:t>-</w:t>
      </w:r>
      <w:r w:rsidRPr="00873B6C">
        <w:tab/>
        <w:t>The UE constructs Requested NSSAI and provides the mapping of S-NSSAIs of the Requested NSSAI to HPLMN S-NSSAIs if the mapping is stored in the UE, as described in clause 5.15.5.2.1.</w:t>
      </w:r>
    </w:p>
    <w:p w14:paraId="1C433CD8" w14:textId="77777777" w:rsidR="00D40151" w:rsidRPr="00873B6C" w:rsidRDefault="00D40151" w:rsidP="00D40151">
      <w:pPr>
        <w:pStyle w:val="B1"/>
      </w:pPr>
      <w:r w:rsidRPr="00873B6C">
        <w:t>-</w:t>
      </w:r>
      <w:r w:rsidRPr="00873B6C">
        <w:tab/>
        <w:t>The NSSF in the VPLMN determines the Allowed NSSAI without interacting with the HPLMN.</w:t>
      </w:r>
    </w:p>
    <w:p w14:paraId="30878281" w14:textId="13D70993" w:rsidR="00681FC7" w:rsidRPr="00873B6C" w:rsidRDefault="00681FC7" w:rsidP="00D40151">
      <w:pPr>
        <w:pStyle w:val="B1"/>
      </w:pPr>
      <w:r w:rsidRPr="00873B6C">
        <w:t>-</w:t>
      </w:r>
      <w:r w:rsidRPr="00873B6C">
        <w:tab/>
        <w:t>the HPLMN may provide NSSRG Information as part of the Subscription information as described in clause 5.15.12.</w:t>
      </w:r>
    </w:p>
    <w:p w14:paraId="5A81ED01" w14:textId="014AE032" w:rsidR="00D40151" w:rsidRPr="00873B6C" w:rsidRDefault="00D40151" w:rsidP="00D40151">
      <w:pPr>
        <w:pStyle w:val="B1"/>
      </w:pPr>
      <w:r w:rsidRPr="00873B6C">
        <w:t>-</w:t>
      </w:r>
      <w:r w:rsidRPr="00873B6C">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873B6C" w:rsidRDefault="00B96062" w:rsidP="00D40151">
      <w:pPr>
        <w:pStyle w:val="B1"/>
      </w:pPr>
      <w:r w:rsidRPr="00873B6C">
        <w:t>-</w:t>
      </w:r>
      <w:r w:rsidRPr="00873B6C">
        <w:tab/>
        <w:t xml:space="preserve">If the S-NSSAI values are subject to NSAC, depending on operator's policy, a roaming agreement or an SLA between VPLMN and HPLMN, the AMF or SMF in VPLMN triggers a request for </w:t>
      </w:r>
      <w:r w:rsidR="00AF6F28" w:rsidRPr="00873B6C">
        <w:t>NSAC</w:t>
      </w:r>
      <w:r w:rsidRPr="00873B6C">
        <w:t xml:space="preserve"> for these S-NSSAI values as described in clause 5.15.11.3.</w:t>
      </w:r>
    </w:p>
    <w:p w14:paraId="456E2497" w14:textId="77B39A2F" w:rsidR="00D40151" w:rsidRPr="00873B6C" w:rsidRDefault="00D40151" w:rsidP="00D40151">
      <w:pPr>
        <w:pStyle w:val="B1"/>
      </w:pPr>
      <w:r w:rsidRPr="00873B6C">
        <w:t>-</w:t>
      </w:r>
      <w:r w:rsidRPr="00873B6C">
        <w:tab/>
        <w:t>In PDU Session Establishment procedure, the UE includes both:</w:t>
      </w:r>
    </w:p>
    <w:p w14:paraId="2D7E9DE8" w14:textId="0ABDCD68" w:rsidR="00D40151" w:rsidRPr="00873B6C" w:rsidRDefault="00D40151" w:rsidP="00D40151">
      <w:pPr>
        <w:pStyle w:val="B2"/>
      </w:pPr>
      <w:r w:rsidRPr="00873B6C">
        <w:t>(a)</w:t>
      </w:r>
      <w:r w:rsidRPr="00873B6C">
        <w:tab/>
        <w:t xml:space="preserve">the S-NSSAI that matches the application (that is triggering the PDU Session Request) within the NSSP in the URSP rules or within the UE Local Configuration as defined in clause 6.1.2.2.1 of </w:t>
      </w:r>
      <w:r w:rsidR="00972E70" w:rsidRPr="00873B6C">
        <w:t>TS 23.503 [</w:t>
      </w:r>
      <w:r w:rsidRPr="00873B6C">
        <w:t>45]; the value of this S NSSAI is used in the HPLMN; and</w:t>
      </w:r>
    </w:p>
    <w:p w14:paraId="6D7C9A15" w14:textId="77777777" w:rsidR="00D40151" w:rsidRPr="00873B6C" w:rsidRDefault="00D40151" w:rsidP="00D40151">
      <w:pPr>
        <w:pStyle w:val="B2"/>
      </w:pPr>
      <w:r w:rsidRPr="00873B6C">
        <w:t>(b)</w:t>
      </w:r>
      <w:r w:rsidRPr="00873B6C">
        <w:tab/>
        <w:t>an S-NSSAI belonging to the Allowed NSSAI that maps to (a) using the mapping of the Allowed NSSAI to HPLMN S-NSSAIs; the value of this S-NSSAI is used in the VPLMN.</w:t>
      </w:r>
    </w:p>
    <w:p w14:paraId="602FF86F" w14:textId="67CC90A0" w:rsidR="00D40151" w:rsidRPr="00873B6C" w:rsidRDefault="00D40151" w:rsidP="00D40151">
      <w:pPr>
        <w:pStyle w:val="B1"/>
      </w:pPr>
      <w:r w:rsidRPr="00873B6C">
        <w:tab/>
        <w:t>For the home routed case,</w:t>
      </w:r>
      <w:r w:rsidR="003E03C2" w:rsidRPr="00873B6C">
        <w:t xml:space="preserve"> the AMF may select the V-SMF and the H-SMF based on network data analytics (NF load, etc.) of the VPLMN and that of the HPLMN from the NWDAF as described in </w:t>
      </w:r>
      <w:r w:rsidR="00972E70" w:rsidRPr="00873B6C">
        <w:t>TS 23.288 [</w:t>
      </w:r>
      <w:r w:rsidR="003E03C2" w:rsidRPr="00873B6C">
        <w:t>86]. The</w:t>
      </w:r>
      <w:r w:rsidRPr="00873B6C">
        <w:t xml:space="preserve"> V-SMF sends the PDU Session Establishment Request message to the H-SMF along with the S-NSSAI with the value used in the HPLMN (a).</w:t>
      </w:r>
      <w:r w:rsidR="00B96062" w:rsidRPr="00873B6C">
        <w:t xml:space="preserve"> If the S-NSSAI values are subject to NSAC, the V-SMF or H-SMF triggers a request for</w:t>
      </w:r>
      <w:r w:rsidR="00AF6F28" w:rsidRPr="00873B6C">
        <w:t xml:space="preserve"> NSAC</w:t>
      </w:r>
      <w:r w:rsidR="00B96062" w:rsidRPr="00873B6C">
        <w:t xml:space="preserve"> for these S-NSSAI values as described in clause 5.15.11.3.</w:t>
      </w:r>
    </w:p>
    <w:p w14:paraId="2B5AAE3D" w14:textId="77777777" w:rsidR="00D40151" w:rsidRPr="00873B6C" w:rsidRDefault="00D40151" w:rsidP="00D40151">
      <w:pPr>
        <w:pStyle w:val="B1"/>
      </w:pPr>
      <w:r w:rsidRPr="00873B6C">
        <w:t>-</w:t>
      </w:r>
      <w:r w:rsidRPr="00873B6C">
        <w:tab/>
        <w:t>When a PDU Session is established, the CN provides to the AN the S-NSSAI with the value from the VPLMN corresponding to this PDU Session, as described in clause 5.15.5.3.</w:t>
      </w:r>
    </w:p>
    <w:p w14:paraId="50DB33EC" w14:textId="3AF9D8F6" w:rsidR="00D40151" w:rsidRPr="00873B6C" w:rsidRDefault="00D40151" w:rsidP="00D40151">
      <w:pPr>
        <w:pStyle w:val="B1"/>
      </w:pPr>
      <w:r w:rsidRPr="00873B6C">
        <w:t>-</w:t>
      </w:r>
      <w:r w:rsidRPr="00873B6C">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972E70" w:rsidRPr="00873B6C">
        <w:t>TS 23.502 [</w:t>
      </w:r>
      <w:r w:rsidRPr="00873B6C">
        <w:t xml:space="preserve">3] and, for SMF in clause 4.3.2.2.3.3 of </w:t>
      </w:r>
      <w:r w:rsidR="00972E70" w:rsidRPr="00873B6C">
        <w:t>TS 23.502 [</w:t>
      </w:r>
      <w:r w:rsidRPr="00873B6C">
        <w:t>3].</w:t>
      </w:r>
    </w:p>
    <w:p w14:paraId="04D6C63A" w14:textId="25094C4A" w:rsidR="00AB1E8D" w:rsidRPr="00873B6C" w:rsidRDefault="00AB1E8D" w:rsidP="00AB1E8D">
      <w:pPr>
        <w:pStyle w:val="B1"/>
      </w:pPr>
      <w:bookmarkStart w:id="2704" w:name="_Toc20149924"/>
      <w:bookmarkStart w:id="2705" w:name="_Toc27846723"/>
      <w:bookmarkStart w:id="2706" w:name="_Toc36187854"/>
      <w:bookmarkStart w:id="2707" w:name="_Toc45183758"/>
      <w:bookmarkStart w:id="2708" w:name="_Toc47342600"/>
      <w:bookmarkStart w:id="2709" w:name="_Toc51769301"/>
      <w:r w:rsidRPr="00873B6C">
        <w:lastRenderedPageBreak/>
        <w:t>-</w:t>
      </w:r>
      <w:r w:rsidRPr="00873B6C">
        <w:tab/>
        <w:t>If the serving AMF supports the Network Slice Replacement feature and is configured to use the NSSF for Network Slice Replacement triggering, the AMF subscribes with the NSSF of the VPLMN for notifications when an HPLMN S-NSSAI needs to be replaced with an Alternative S-NSSAI, in addition to notifications for the Serving PLMN S-NSSAIs. The NSSF of the VPLMN shall subscribe with the NSSF of the HPLMN for notifications when an HPLMN S-NSSAI needs to be replaced with an Alternative S-NSSAI.</w:t>
      </w:r>
    </w:p>
    <w:p w14:paraId="6A6E0ED5" w14:textId="0F9B6BE8" w:rsidR="00114986" w:rsidRPr="00873B6C" w:rsidRDefault="00114986" w:rsidP="00114986">
      <w:pPr>
        <w:pStyle w:val="B1"/>
      </w:pPr>
      <w:r w:rsidRPr="00873B6C">
        <w:t>-</w:t>
      </w:r>
      <w:r w:rsidRPr="00873B6C">
        <w:tab/>
        <w:t>If the serving AMF support the Network Slice Instance Replacement and configured to use Network Slice Instance Replacement, the AMF subscribes with the NSSF of the VPLMN for notifications when a Network Slice instance is congested or no longer available as described in clause 5.15.</w:t>
      </w:r>
      <w:r w:rsidR="00060FE0" w:rsidRPr="00873B6C">
        <w:t>20</w:t>
      </w:r>
      <w:r w:rsidRPr="00873B6C">
        <w:t>. The NSSF of the VPLMN shall subscribe with the NSSF of the HPLMN for notifications when the Network Slice instance is congested or no longer available.</w:t>
      </w:r>
    </w:p>
    <w:p w14:paraId="0463D5CE" w14:textId="77777777" w:rsidR="00D40151" w:rsidRPr="00873B6C" w:rsidRDefault="00D40151" w:rsidP="00D40151">
      <w:pPr>
        <w:pStyle w:val="Heading3"/>
        <w:rPr>
          <w:lang w:eastAsia="ko-KR"/>
        </w:rPr>
      </w:pPr>
      <w:bookmarkStart w:id="2710" w:name="_CR5_15_7"/>
      <w:bookmarkStart w:id="2711" w:name="_Toc201157274"/>
      <w:bookmarkEnd w:id="2710"/>
      <w:r w:rsidRPr="00873B6C">
        <w:rPr>
          <w:lang w:eastAsia="ko-KR"/>
        </w:rPr>
        <w:t>5.15.7</w:t>
      </w:r>
      <w:r w:rsidRPr="00873B6C">
        <w:rPr>
          <w:lang w:eastAsia="ko-KR"/>
        </w:rPr>
        <w:tab/>
        <w:t>Network slicing and Interworking with EPS</w:t>
      </w:r>
      <w:bookmarkEnd w:id="2704"/>
      <w:bookmarkEnd w:id="2705"/>
      <w:bookmarkEnd w:id="2706"/>
      <w:bookmarkEnd w:id="2707"/>
      <w:bookmarkEnd w:id="2708"/>
      <w:bookmarkEnd w:id="2709"/>
      <w:bookmarkEnd w:id="2711"/>
    </w:p>
    <w:p w14:paraId="050DF6FD" w14:textId="77777777" w:rsidR="00D40151" w:rsidRPr="00873B6C" w:rsidRDefault="00D40151" w:rsidP="00D40151">
      <w:pPr>
        <w:pStyle w:val="Heading4"/>
        <w:rPr>
          <w:lang w:eastAsia="ko-KR"/>
        </w:rPr>
      </w:pPr>
      <w:bookmarkStart w:id="2712" w:name="_CR5_15_7_1"/>
      <w:bookmarkStart w:id="2713" w:name="_Toc20149925"/>
      <w:bookmarkStart w:id="2714" w:name="_Toc27846724"/>
      <w:bookmarkStart w:id="2715" w:name="_Toc36187855"/>
      <w:bookmarkStart w:id="2716" w:name="_Toc45183759"/>
      <w:bookmarkStart w:id="2717" w:name="_Toc47342601"/>
      <w:bookmarkStart w:id="2718" w:name="_Toc51769302"/>
      <w:bookmarkStart w:id="2719" w:name="_Toc201157275"/>
      <w:bookmarkEnd w:id="2712"/>
      <w:r w:rsidRPr="00873B6C">
        <w:t>5.15.7.1</w:t>
      </w:r>
      <w:r w:rsidRPr="00873B6C">
        <w:tab/>
        <w:t>General</w:t>
      </w:r>
      <w:bookmarkEnd w:id="2713"/>
      <w:bookmarkEnd w:id="2714"/>
      <w:bookmarkEnd w:id="2715"/>
      <w:bookmarkEnd w:id="2716"/>
      <w:bookmarkEnd w:id="2717"/>
      <w:bookmarkEnd w:id="2718"/>
      <w:bookmarkEnd w:id="2719"/>
    </w:p>
    <w:p w14:paraId="03C8EF67" w14:textId="13A6C47D" w:rsidR="00D40151" w:rsidRPr="00873B6C" w:rsidRDefault="00D40151" w:rsidP="00D40151">
      <w:r w:rsidRPr="00873B6C">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972E70" w:rsidRPr="00873B6C">
        <w:t>TS 23.401 [</w:t>
      </w:r>
      <w:r w:rsidRPr="00873B6C">
        <w:t>26]).</w:t>
      </w:r>
    </w:p>
    <w:p w14:paraId="4E94EB54" w14:textId="77777777" w:rsidR="00D40151" w:rsidRPr="00873B6C" w:rsidRDefault="00D40151" w:rsidP="00D40151">
      <w:pPr>
        <w:rPr>
          <w:lang w:eastAsia="zh-CN"/>
        </w:rPr>
      </w:pPr>
      <w:r w:rsidRPr="00873B6C">
        <w:rPr>
          <w:lang w:eastAsia="zh-CN"/>
        </w:rPr>
        <w:t>Mobility between 5GC to EPC does not guarantee all active PDU Session(s) can be transferred to the EPC.</w:t>
      </w:r>
    </w:p>
    <w:p w14:paraId="4214D619" w14:textId="040D83E0" w:rsidR="00D40151" w:rsidRPr="00873B6C" w:rsidRDefault="00D40151" w:rsidP="00D40151">
      <w:pPr>
        <w:rPr>
          <w:lang w:eastAsia="zh-CN"/>
        </w:rPr>
      </w:pPr>
      <w:r w:rsidRPr="00873B6C">
        <w:t>During PDN connection establishment in the EPC, the UE allocates the PDU Session ID and sends it to the SMF</w:t>
      </w:r>
      <w:r w:rsidR="00704A9E" w:rsidRPr="00873B6C">
        <w:t>+PGW-C</w:t>
      </w:r>
      <w:r w:rsidRPr="00873B6C">
        <w:t xml:space="preserve"> via PCO. </w:t>
      </w:r>
      <w:r w:rsidR="008A60FE" w:rsidRPr="00873B6C">
        <w:t xml:space="preserve">As described in </w:t>
      </w:r>
      <w:r w:rsidR="00960CDA" w:rsidRPr="00873B6C">
        <w:t xml:space="preserve">clause 4.11.0a.5 of </w:t>
      </w:r>
      <w:r w:rsidR="00972E70" w:rsidRPr="00873B6C">
        <w:t>TS 23.502 [</w:t>
      </w:r>
      <w:r w:rsidR="008A60FE" w:rsidRPr="00873B6C">
        <w:t xml:space="preserve">3], an </w:t>
      </w:r>
      <w:r w:rsidRPr="00873B6C">
        <w:t>S-NSSAI associated with the PDN connection is determined based on</w:t>
      </w:r>
      <w:r w:rsidR="008A60FE" w:rsidRPr="00873B6C">
        <w:t xml:space="preserve"> the S-NSSAI(s) supported by the SMF+PGW-C, the Subscribed S-NSSAI from UDM</w:t>
      </w:r>
      <w:r w:rsidR="00BE0437" w:rsidRPr="00873B6C">
        <w:t>, whether interworking with EPS is supported for the DNN and S-NSSAI in the Session Management Subscription data</w:t>
      </w:r>
      <w:r w:rsidR="008A60FE" w:rsidRPr="00873B6C">
        <w:t xml:space="preserve"> and</w:t>
      </w:r>
      <w:r w:rsidRPr="00873B6C">
        <w:t xml:space="preserve"> the operator policy by the SMF</w:t>
      </w:r>
      <w:r w:rsidR="00704A9E" w:rsidRPr="00873B6C">
        <w:t>+PGW-C</w:t>
      </w:r>
      <w:r w:rsidRPr="00873B6C">
        <w:t>, e.g. based on a combination of SMF</w:t>
      </w:r>
      <w:r w:rsidR="00704A9E" w:rsidRPr="00873B6C">
        <w:t>+PGW-C</w:t>
      </w:r>
      <w:r w:rsidRPr="00873B6C">
        <w:t xml:space="preserve"> address and APN</w:t>
      </w:r>
      <w:r w:rsidR="00472CD7" w:rsidRPr="00873B6C">
        <w:t xml:space="preserve"> and</w:t>
      </w:r>
      <w:r w:rsidRPr="00873B6C">
        <w:t xml:space="preserve"> is sent to the UE in PCO together with a PLMN ID that the S-NSSAI relates to. In Home Routed roaming case, the UE receives a HPLMN S-NSSAI value from the SMF</w:t>
      </w:r>
      <w:r w:rsidR="00704A9E" w:rsidRPr="00873B6C">
        <w:t>+PGW-C</w:t>
      </w:r>
      <w:r w:rsidRPr="00873B6C">
        <w:t>. If the SMF</w:t>
      </w:r>
      <w:r w:rsidR="00704A9E" w:rsidRPr="00873B6C">
        <w:t>+PGW-C</w:t>
      </w:r>
      <w:r w:rsidRPr="00873B6C">
        <w:t xml:space="preserve"> supports more than one S-NSSAI and the APN is valid for more than one S-NSSAI, the SMF</w:t>
      </w:r>
      <w:r w:rsidR="00704A9E" w:rsidRPr="00873B6C">
        <w:t>+PGW-C</w:t>
      </w:r>
      <w:r w:rsidRPr="00873B6C">
        <w:t xml:space="preserve"> should only select an S-NSSAI that is mapped to the subscribed S-NSSAI of the UE</w:t>
      </w:r>
      <w:r w:rsidR="008A60FE" w:rsidRPr="00873B6C">
        <w:t xml:space="preserve"> and this subscribed S-NSSAI is not subject to Network Slice-Specific Authentication and Authorization</w:t>
      </w:r>
      <w:r w:rsidRPr="00873B6C">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873B6C" w:rsidRDefault="003A2901" w:rsidP="003A2901">
      <w:bookmarkStart w:id="2720" w:name="_Toc20149926"/>
      <w:bookmarkStart w:id="2721" w:name="_Toc27846725"/>
      <w:bookmarkStart w:id="2722" w:name="_Toc36187856"/>
      <w:bookmarkStart w:id="2723" w:name="_Toc45183760"/>
      <w:bookmarkStart w:id="2724" w:name="_Toc47342602"/>
      <w:bookmarkStart w:id="2725" w:name="_Toc51769303"/>
      <w:r w:rsidRPr="00873B6C">
        <w:t>When UE moves from EPS to 5GS, AMF reallocation may happen as described in clause 5.15.7.2 and clause 5.15.7.3.</w:t>
      </w:r>
    </w:p>
    <w:p w14:paraId="3D852E50" w14:textId="77777777" w:rsidR="003A2901" w:rsidRPr="00873B6C" w:rsidRDefault="003A2901" w:rsidP="00323277">
      <w:pPr>
        <w:pStyle w:val="NO"/>
      </w:pPr>
      <w:r w:rsidRPr="00873B6C">
        <w:t>NOTE:</w:t>
      </w:r>
      <w:r w:rsidRPr="00873B6C">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873B6C" w:rsidRDefault="00D40151" w:rsidP="00D40151">
      <w:pPr>
        <w:pStyle w:val="Heading4"/>
      </w:pPr>
      <w:bookmarkStart w:id="2726" w:name="_CR5_15_7_2"/>
      <w:bookmarkStart w:id="2727" w:name="_Toc201157276"/>
      <w:bookmarkEnd w:id="2726"/>
      <w:r w:rsidRPr="00873B6C">
        <w:t>5.15.7.2</w:t>
      </w:r>
      <w:r w:rsidRPr="00873B6C">
        <w:tab/>
        <w:t>Idle mode aspects</w:t>
      </w:r>
      <w:bookmarkEnd w:id="2720"/>
      <w:bookmarkEnd w:id="2721"/>
      <w:bookmarkEnd w:id="2722"/>
      <w:bookmarkEnd w:id="2723"/>
      <w:bookmarkEnd w:id="2724"/>
      <w:bookmarkEnd w:id="2725"/>
      <w:bookmarkEnd w:id="2727"/>
    </w:p>
    <w:p w14:paraId="55E7C47B" w14:textId="77777777" w:rsidR="00D40151" w:rsidRPr="00873B6C" w:rsidRDefault="00D40151" w:rsidP="00D40151">
      <w:r w:rsidRPr="00873B6C">
        <w:t>In addition to the interworking principles documented in clause 5.17.2 the following applies for interworking with N26:</w:t>
      </w:r>
    </w:p>
    <w:p w14:paraId="376992A1" w14:textId="77777777" w:rsidR="00D40151" w:rsidRPr="00873B6C" w:rsidRDefault="00D40151" w:rsidP="00D40151">
      <w:pPr>
        <w:pStyle w:val="B1"/>
      </w:pPr>
      <w:r w:rsidRPr="00873B6C">
        <w:t>-</w:t>
      </w:r>
      <w:r w:rsidRPr="00873B6C">
        <w:tab/>
        <w:t>When UE moves from 5GS to EPS, the UE context information sent by AMF to MME includes the UE Usage type, which is retrieved from UDM by AMF as part of subscription data.</w:t>
      </w:r>
    </w:p>
    <w:p w14:paraId="682AEC33" w14:textId="67CD64D9" w:rsidR="00D40151" w:rsidRPr="00873B6C" w:rsidRDefault="00D40151" w:rsidP="00D40151">
      <w:pPr>
        <w:pStyle w:val="B1"/>
      </w:pPr>
      <w:r w:rsidRPr="00873B6C">
        <w:t>-</w:t>
      </w:r>
      <w:r w:rsidRPr="00873B6C">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873B6C">
        <w:t>+PGW-C</w:t>
      </w:r>
      <w:r w:rsidRPr="00873B6C">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w:t>
      </w:r>
      <w:r w:rsidRPr="00873B6C">
        <w:lastRenderedPageBreak/>
        <w:t>V-SMF to another V-SMF, the AMF trigger the V-SMF reallocation as described in</w:t>
      </w:r>
      <w:r w:rsidR="00960CDA" w:rsidRPr="00873B6C">
        <w:t xml:space="preserve"> clause 4.23.3</w:t>
      </w:r>
      <w:r w:rsidRPr="00873B6C">
        <w:t xml:space="preserve"> </w:t>
      </w:r>
      <w:r w:rsidR="00960CDA" w:rsidRPr="00873B6C">
        <w:t xml:space="preserve">of </w:t>
      </w:r>
      <w:r w:rsidR="00972E70" w:rsidRPr="00873B6C">
        <w:t>TS 23.502 [</w:t>
      </w:r>
      <w:r w:rsidRPr="00873B6C">
        <w:t>3].</w:t>
      </w:r>
    </w:p>
    <w:p w14:paraId="51B445D4" w14:textId="77777777" w:rsidR="00D40151" w:rsidRPr="00873B6C" w:rsidRDefault="00D40151" w:rsidP="00D40151">
      <w:r w:rsidRPr="00873B6C">
        <w:t>In addition to the interworking principles documented in clause 5.17.2 the following applies for interworking without N26:</w:t>
      </w:r>
    </w:p>
    <w:p w14:paraId="0BE7C609" w14:textId="3E24EED8" w:rsidR="00D40151" w:rsidRPr="00873B6C" w:rsidRDefault="00D40151" w:rsidP="00D40151">
      <w:pPr>
        <w:pStyle w:val="B1"/>
        <w:rPr>
          <w:lang w:eastAsia="zh-CN"/>
        </w:rPr>
      </w:pPr>
      <w:r w:rsidRPr="00873B6C">
        <w:rPr>
          <w:lang w:eastAsia="zh-CN"/>
        </w:rPr>
        <w:t>-</w:t>
      </w:r>
      <w:r w:rsidRPr="00873B6C">
        <w:rPr>
          <w:lang w:eastAsia="zh-CN"/>
        </w:rPr>
        <w:tab/>
        <w:t>When the UE initiates the Registration procedure</w:t>
      </w:r>
      <w:r w:rsidR="00472CD7" w:rsidRPr="00873B6C">
        <w:rPr>
          <w:lang w:eastAsia="zh-CN"/>
        </w:rPr>
        <w:t xml:space="preserve"> and</w:t>
      </w:r>
      <w:r w:rsidRPr="00873B6C">
        <w:rPr>
          <w:lang w:eastAsia="zh-CN"/>
        </w:rPr>
        <w:t xml:space="preserve">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873B6C" w:rsidRDefault="00D40151" w:rsidP="00D40151">
      <w:pPr>
        <w:pStyle w:val="B1"/>
        <w:rPr>
          <w:lang w:eastAsia="zh-CN"/>
        </w:rPr>
      </w:pPr>
      <w:r w:rsidRPr="00873B6C">
        <w:rPr>
          <w:lang w:eastAsia="zh-CN"/>
        </w:rPr>
        <w:t>-</w:t>
      </w:r>
      <w:r w:rsidRPr="00873B6C">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873B6C" w:rsidRDefault="00D40151" w:rsidP="00D40151">
      <w:pPr>
        <w:pStyle w:val="Heading4"/>
      </w:pPr>
      <w:bookmarkStart w:id="2728" w:name="_CR5_15_7_3"/>
      <w:bookmarkStart w:id="2729" w:name="_Toc20149927"/>
      <w:bookmarkStart w:id="2730" w:name="_Toc27846726"/>
      <w:bookmarkStart w:id="2731" w:name="_Toc36187857"/>
      <w:bookmarkStart w:id="2732" w:name="_Toc45183761"/>
      <w:bookmarkStart w:id="2733" w:name="_Toc47342603"/>
      <w:bookmarkStart w:id="2734" w:name="_Toc51769304"/>
      <w:bookmarkStart w:id="2735" w:name="_Toc201157277"/>
      <w:bookmarkEnd w:id="2728"/>
      <w:r w:rsidRPr="00873B6C">
        <w:t>5.15.7.3</w:t>
      </w:r>
      <w:r w:rsidRPr="00873B6C">
        <w:tab/>
        <w:t>Connected mode aspects</w:t>
      </w:r>
      <w:bookmarkEnd w:id="2729"/>
      <w:bookmarkEnd w:id="2730"/>
      <w:bookmarkEnd w:id="2731"/>
      <w:bookmarkEnd w:id="2732"/>
      <w:bookmarkEnd w:id="2733"/>
      <w:bookmarkEnd w:id="2734"/>
      <w:bookmarkEnd w:id="2735"/>
    </w:p>
    <w:p w14:paraId="18D47EE6" w14:textId="77777777" w:rsidR="00D40151" w:rsidRPr="00873B6C" w:rsidRDefault="00D40151" w:rsidP="00D40151">
      <w:r w:rsidRPr="00873B6C">
        <w:t>In addition to the interworking principles documented in clause 5.17.2 the following applies for interworking with N26:</w:t>
      </w:r>
    </w:p>
    <w:p w14:paraId="2B1502B7" w14:textId="6FC5C28E" w:rsidR="00D40151" w:rsidRPr="00873B6C" w:rsidRDefault="00D40151" w:rsidP="00D40151">
      <w:pPr>
        <w:pStyle w:val="B1"/>
      </w:pPr>
      <w:r w:rsidRPr="00873B6C">
        <w:t>-</w:t>
      </w:r>
      <w:r w:rsidRPr="00873B6C">
        <w:tab/>
        <w:t xml:space="preserve">When a UE is CM-CONNECTED in 5GC and a handover to EPS occur, the AMF selects the target MME based on </w:t>
      </w:r>
      <w:r w:rsidRPr="00873B6C">
        <w:rPr>
          <w:lang w:eastAsia="zh-CN"/>
        </w:rPr>
        <w:t xml:space="preserve">the source AMF Region ID, AMF Set ID </w:t>
      </w:r>
      <w:r w:rsidRPr="00873B6C">
        <w:t>and target location information</w:t>
      </w:r>
      <w:r w:rsidRPr="00873B6C">
        <w:rPr>
          <w:lang w:eastAsia="zh-CN"/>
        </w:rPr>
        <w:t xml:space="preserve">. The AMF </w:t>
      </w:r>
      <w:r w:rsidRPr="00873B6C">
        <w:t xml:space="preserve">forwards the UE context to the selected MME over the N26 Interface. In the UE context, the AMF also includes the UE Usage type, if it is received as part of subscription data. The Handover procedure is executed as documented in </w:t>
      </w:r>
      <w:r w:rsidR="00972E70" w:rsidRPr="00873B6C">
        <w:t>TS 23.502 [</w:t>
      </w:r>
      <w:r w:rsidRPr="00873B6C">
        <w:t>3]. When the Handover procedure completes successfully the UE performs a Tracking Area Update. This completes the UE registration in the target EPS. As part of this the UE obtains a DCN-ID if the target EPS uses it.</w:t>
      </w:r>
    </w:p>
    <w:p w14:paraId="6015F30E" w14:textId="4E6EA232" w:rsidR="00D40151" w:rsidRPr="00873B6C" w:rsidRDefault="00D40151" w:rsidP="00D40151">
      <w:pPr>
        <w:pStyle w:val="B1"/>
        <w:rPr>
          <w:lang w:eastAsia="zh-CN"/>
        </w:rPr>
      </w:pPr>
      <w:r w:rsidRPr="00873B6C">
        <w:rPr>
          <w:lang w:eastAsia="zh-CN"/>
        </w:rPr>
        <w:t>-</w:t>
      </w:r>
      <w:r w:rsidRPr="00873B6C">
        <w:rPr>
          <w:lang w:eastAsia="zh-CN"/>
        </w:rPr>
        <w:tab/>
        <w:t>When a UE is ECM-CONNECTED in EPC</w:t>
      </w:r>
      <w:r w:rsidR="00472CD7" w:rsidRPr="00873B6C">
        <w:rPr>
          <w:lang w:eastAsia="zh-CN"/>
        </w:rPr>
        <w:t xml:space="preserve"> and</w:t>
      </w:r>
      <w:r w:rsidRPr="00873B6C">
        <w:rPr>
          <w:lang w:eastAsia="zh-CN"/>
        </w:rPr>
        <w:t xml:space="preserve">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972E70" w:rsidRPr="00873B6C">
        <w:rPr>
          <w:lang w:eastAsia="zh-CN"/>
        </w:rPr>
        <w:t>TS 23.502 [</w:t>
      </w:r>
      <w:r w:rsidRPr="00873B6C">
        <w:rPr>
          <w:lang w:eastAsia="zh-CN"/>
        </w:rPr>
        <w:t>3]. The SMF</w:t>
      </w:r>
      <w:r w:rsidR="00704A9E" w:rsidRPr="00873B6C">
        <w:rPr>
          <w:lang w:eastAsia="zh-CN"/>
        </w:rPr>
        <w:t>+PGW-C</w:t>
      </w:r>
      <w:r w:rsidRPr="00873B6C">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873B6C">
        <w:rPr>
          <w:lang w:eastAsia="zh-CN"/>
        </w:rPr>
        <w:t xml:space="preserve">clause 4.23.2 of </w:t>
      </w:r>
      <w:r w:rsidR="00972E70" w:rsidRPr="00873B6C">
        <w:rPr>
          <w:lang w:eastAsia="zh-CN"/>
        </w:rPr>
        <w:t>TS 23.502 [</w:t>
      </w:r>
      <w:r w:rsidRPr="00873B6C">
        <w:rPr>
          <w:lang w:eastAsia="zh-CN"/>
        </w:rPr>
        <w:t>3]. When the Handover procedure completes successfully the UE performs a Registration procedure. This completes the UE registration in the target 5GS and as part of this the UE obtains an Allowed NSSAI.</w:t>
      </w:r>
    </w:p>
    <w:p w14:paraId="533EDF3C" w14:textId="142DC012" w:rsidR="00B7520E" w:rsidRPr="00873B6C" w:rsidRDefault="00B7520E" w:rsidP="00B7520E">
      <w:pPr>
        <w:pStyle w:val="Heading4"/>
      </w:pPr>
      <w:bookmarkStart w:id="2736" w:name="_CR5_15_7_4"/>
      <w:bookmarkStart w:id="2737" w:name="_Toc20149928"/>
      <w:bookmarkStart w:id="2738" w:name="_Toc27846727"/>
      <w:bookmarkStart w:id="2739" w:name="_Toc36187858"/>
      <w:bookmarkStart w:id="2740" w:name="_Toc45183762"/>
      <w:bookmarkStart w:id="2741" w:name="_Toc47342604"/>
      <w:bookmarkStart w:id="2742" w:name="_Toc51769305"/>
      <w:bookmarkStart w:id="2743" w:name="_Toc201157278"/>
      <w:bookmarkEnd w:id="2736"/>
      <w:r w:rsidRPr="00873B6C">
        <w:t>5.15.7.4</w:t>
      </w:r>
      <w:r w:rsidRPr="00873B6C">
        <w:tab/>
        <w:t>Support of Network Slice usage control and Interworking with EPC</w:t>
      </w:r>
      <w:bookmarkEnd w:id="2743"/>
    </w:p>
    <w:p w14:paraId="3A2E3095" w14:textId="24C61617" w:rsidR="00B7520E" w:rsidRPr="00873B6C" w:rsidRDefault="00B7520E" w:rsidP="00972E70">
      <w:r w:rsidRPr="00873B6C">
        <w:t>As described in clause 5.15.15, if Network Slice usage control is required for a PDN Connection, the SMF+PGW-C configures PDU Session inactivity timer to the UPF+PGW-U. When the SMF+PGW-C receives inactivity report of the PDN Connection from the UPF+PGW-U, the SMF+PGW-C releases the PDN Connection.</w:t>
      </w:r>
    </w:p>
    <w:p w14:paraId="451A525A" w14:textId="3A20BDF4" w:rsidR="00D40151" w:rsidRPr="00873B6C" w:rsidRDefault="00D40151" w:rsidP="00D40151">
      <w:pPr>
        <w:pStyle w:val="Heading3"/>
      </w:pPr>
      <w:bookmarkStart w:id="2744" w:name="_CR5_15_8"/>
      <w:bookmarkStart w:id="2745" w:name="_Toc201157279"/>
      <w:bookmarkEnd w:id="2744"/>
      <w:r w:rsidRPr="00873B6C">
        <w:t>5.15.8</w:t>
      </w:r>
      <w:r w:rsidRPr="00873B6C">
        <w:tab/>
        <w:t>Configuration of Network Slice</w:t>
      </w:r>
      <w:r w:rsidR="002A4DF8" w:rsidRPr="00873B6C">
        <w:t xml:space="preserve"> support and</w:t>
      </w:r>
      <w:r w:rsidRPr="00873B6C">
        <w:t xml:space="preserve"> availability in a PLMN</w:t>
      </w:r>
      <w:bookmarkEnd w:id="2737"/>
      <w:bookmarkEnd w:id="2738"/>
      <w:bookmarkEnd w:id="2739"/>
      <w:bookmarkEnd w:id="2740"/>
      <w:bookmarkEnd w:id="2741"/>
      <w:bookmarkEnd w:id="2742"/>
      <w:bookmarkEnd w:id="2745"/>
    </w:p>
    <w:p w14:paraId="1DD6209D" w14:textId="40EB563D" w:rsidR="00D40151" w:rsidRPr="00873B6C" w:rsidRDefault="00D40151" w:rsidP="00D40151">
      <w:r w:rsidRPr="00873B6C">
        <w:t xml:space="preserve">A Network Slice may be </w:t>
      </w:r>
      <w:r w:rsidR="00335A94" w:rsidRPr="00873B6C">
        <w:t xml:space="preserve">supported </w:t>
      </w:r>
      <w:r w:rsidRPr="00873B6C">
        <w:t>in the whole PLMN or in one or more Tracking Areas of the PLMN.</w:t>
      </w:r>
      <w:r w:rsidR="00335A94" w:rsidRPr="00873B6C">
        <w:t xml:space="preserve"> </w:t>
      </w:r>
      <w:r w:rsidR="002A4DF8" w:rsidRPr="00873B6C">
        <w:t>A Network Slice is supported within a TA if the 5G-AN has been configured to support the S-NSSAI in the TA</w:t>
      </w:r>
      <w:r w:rsidR="00335A94" w:rsidRPr="00873B6C">
        <w:t>.</w:t>
      </w:r>
    </w:p>
    <w:p w14:paraId="4D3E000A" w14:textId="2FDDF142" w:rsidR="002A4DF8" w:rsidRPr="00873B6C" w:rsidRDefault="002A4DF8" w:rsidP="00D40151">
      <w:r w:rsidRPr="00873B6C">
        <w:t>Network Slices are defined to be available within an NS-AoS when the Network Slice is supported in the set of TAs which the NS-AoS comprises and more than zero resources are allocated to the Network Slice in the NG-RAN cells of the NS-AoS. An NS-AoS can be defined on a per cell level granularity when the NS-AoS is not matching deployed Tracking Areas as defined in clause 5.15.18.</w:t>
      </w:r>
    </w:p>
    <w:p w14:paraId="3AADD950" w14:textId="1F584B49" w:rsidR="00D40151" w:rsidRPr="00873B6C" w:rsidRDefault="002A4DF8" w:rsidP="00D40151">
      <w:r w:rsidRPr="00873B6C">
        <w:t xml:space="preserve">The availability of a Network Slice S-NSSAI in an NS-AoS requires the support of the S-NSSAI in the involved NFs and in the NG-RAN in the TAs which the NS-AoS comprises. Hence, the cells of a TA need to be configured to support a S-NSSAI if the S-NSSAI needs to be available in at least a cell of the TA. A Network Slice is considered available in a TA if the Network Slice is supported within the TA and available in all cells of the TA. </w:t>
      </w:r>
      <w:r w:rsidR="00D40151" w:rsidRPr="00873B6C">
        <w:t xml:space="preserve">In addition, policies in the NSSF may further restrict from using certain Network Slices in a particular TA, e.g. depending on the HPLMN of the </w:t>
      </w:r>
      <w:r w:rsidR="00D40151" w:rsidRPr="00873B6C">
        <w:lastRenderedPageBreak/>
        <w:t>UE.</w:t>
      </w:r>
      <w:r w:rsidR="00335A94" w:rsidRPr="00873B6C">
        <w:t xml:space="preserve"> The UE can receive, for a Network Slice where the NS-AoS does not match the whole set of cells in one or more TAs, S-NSSAI location availability information as described in clause 5.15.18.</w:t>
      </w:r>
    </w:p>
    <w:p w14:paraId="3A76A755" w14:textId="08C2D022" w:rsidR="00D40151" w:rsidRPr="00873B6C" w:rsidRDefault="00D40151" w:rsidP="00D40151">
      <w:r w:rsidRPr="00873B6C">
        <w:t xml:space="preserve">The </w:t>
      </w:r>
      <w:r w:rsidR="00335A94" w:rsidRPr="00873B6C">
        <w:t xml:space="preserve">support </w:t>
      </w:r>
      <w:r w:rsidRPr="00873B6C">
        <w:t>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19E3DB49" w:rsidR="00D40151" w:rsidRPr="00873B6C" w:rsidRDefault="00D40151" w:rsidP="00D40151">
      <w:r w:rsidRPr="00873B6C">
        <w:t xml:space="preserve">The AMF learns the S-NSSAIs supported per TA by the 5G-AN when the 5G-AN nodes establish or update the N2 connection with the AMF (see </w:t>
      </w:r>
      <w:r w:rsidR="00972E70" w:rsidRPr="00873B6C">
        <w:t>TS 38.413 [</w:t>
      </w:r>
      <w:r w:rsidRPr="00873B6C">
        <w:t xml:space="preserve">34]) and </w:t>
      </w:r>
      <w:r w:rsidR="00972E70" w:rsidRPr="00873B6C">
        <w:t>TS 38.300 [</w:t>
      </w:r>
      <w:r w:rsidRPr="00873B6C">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972E70" w:rsidRPr="00873B6C">
        <w:t>TS 38.413 [</w:t>
      </w:r>
      <w:r w:rsidRPr="00873B6C">
        <w:t xml:space="preserve">34] and </w:t>
      </w:r>
      <w:r w:rsidR="00972E70" w:rsidRPr="00873B6C">
        <w:t>TS 38.300 [</w:t>
      </w:r>
      <w:r w:rsidRPr="00873B6C">
        <w:t>27]).</w:t>
      </w:r>
    </w:p>
    <w:p w14:paraId="577CD4EA" w14:textId="77777777" w:rsidR="00D40151" w:rsidRPr="00873B6C" w:rsidRDefault="00D40151" w:rsidP="00D40151">
      <w:r w:rsidRPr="00873B6C">
        <w:t>The NSSF may be configured with operator policies specifying under what conditions the S-NSSAIs can be restricted per TA and per HPLMN of the UE.</w:t>
      </w:r>
    </w:p>
    <w:p w14:paraId="6B00F2BE" w14:textId="77777777" w:rsidR="00D40151" w:rsidRPr="00873B6C" w:rsidRDefault="00D40151" w:rsidP="00D40151">
      <w:r w:rsidRPr="00873B6C">
        <w:t>The per TA restricted S-NSSAIs may be provided to the AMFs of the AMF Sets at setup of the network and whenever changed.</w:t>
      </w:r>
    </w:p>
    <w:p w14:paraId="1E6D45C8" w14:textId="77777777" w:rsidR="00D40151" w:rsidRPr="00873B6C" w:rsidRDefault="00D40151" w:rsidP="00D40151">
      <w:r w:rsidRPr="00873B6C">
        <w:t>The AMF may be configured for the S-NSSAIs it supports with operator policies specifying any restriction per TA and per HPLMN of the UE.</w:t>
      </w:r>
    </w:p>
    <w:p w14:paraId="611ACCB7" w14:textId="77777777" w:rsidR="00D40151" w:rsidRPr="00873B6C" w:rsidRDefault="00D40151" w:rsidP="00D40151">
      <w:pPr>
        <w:pStyle w:val="Heading3"/>
      </w:pPr>
      <w:bookmarkStart w:id="2746" w:name="_CR5_15_9"/>
      <w:bookmarkStart w:id="2747" w:name="_Toc20149929"/>
      <w:bookmarkStart w:id="2748" w:name="_Toc27846728"/>
      <w:bookmarkStart w:id="2749" w:name="_Toc36187859"/>
      <w:bookmarkStart w:id="2750" w:name="_Toc45183763"/>
      <w:bookmarkStart w:id="2751" w:name="_Toc47342605"/>
      <w:bookmarkStart w:id="2752" w:name="_Toc51769306"/>
      <w:bookmarkStart w:id="2753" w:name="_Toc201157280"/>
      <w:bookmarkEnd w:id="2746"/>
      <w:r w:rsidRPr="00873B6C">
        <w:t>5.15.9</w:t>
      </w:r>
      <w:r w:rsidRPr="00873B6C">
        <w:tab/>
        <w:t>Operator-controlled inclusion of NSSAI in Access Stratum Connection Establishment</w:t>
      </w:r>
      <w:bookmarkEnd w:id="2747"/>
      <w:bookmarkEnd w:id="2748"/>
      <w:bookmarkEnd w:id="2749"/>
      <w:bookmarkEnd w:id="2750"/>
      <w:bookmarkEnd w:id="2751"/>
      <w:bookmarkEnd w:id="2752"/>
      <w:bookmarkEnd w:id="2753"/>
    </w:p>
    <w:p w14:paraId="5C2C781F" w14:textId="77777777" w:rsidR="00D40151" w:rsidRPr="00873B6C" w:rsidRDefault="00D40151" w:rsidP="00D40151">
      <w:r w:rsidRPr="00873B6C">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59583710" w:rsidR="00D40151" w:rsidRPr="00873B6C" w:rsidRDefault="00D40151" w:rsidP="00D40151">
      <w:r w:rsidRPr="00873B6C">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873B6C">
        <w:t>(</w:t>
      </w:r>
      <w:r w:rsidRPr="00873B6C">
        <w:t xml:space="preserve">e.g. an RRC connection Establishment defined in </w:t>
      </w:r>
      <w:r w:rsidR="00972E70" w:rsidRPr="00873B6C">
        <w:t>TS 38.331 [</w:t>
      </w:r>
      <w:r w:rsidRPr="00873B6C">
        <w:t>28]) according to one of these modes:</w:t>
      </w:r>
    </w:p>
    <w:p w14:paraId="487CA770" w14:textId="77777777" w:rsidR="00D40151" w:rsidRPr="00873B6C" w:rsidRDefault="00D40151" w:rsidP="00D40151">
      <w:pPr>
        <w:pStyle w:val="B1"/>
      </w:pPr>
      <w:r w:rsidRPr="00873B6C">
        <w:t>a)</w:t>
      </w:r>
      <w:r w:rsidRPr="00873B6C">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873B6C" w:rsidRDefault="00D40151" w:rsidP="00D40151">
      <w:pPr>
        <w:pStyle w:val="B1"/>
      </w:pPr>
      <w:r w:rsidRPr="00873B6C">
        <w:t>b)</w:t>
      </w:r>
      <w:r w:rsidRPr="00873B6C">
        <w:tab/>
        <w:t>The UE shall include a NSSAI with the following content:</w:t>
      </w:r>
    </w:p>
    <w:p w14:paraId="68346205" w14:textId="77777777" w:rsidR="00D40151" w:rsidRPr="00873B6C" w:rsidRDefault="00D40151" w:rsidP="00D40151">
      <w:pPr>
        <w:pStyle w:val="B2"/>
      </w:pPr>
      <w:r w:rsidRPr="00873B6C">
        <w:t>-</w:t>
      </w:r>
      <w:r w:rsidRPr="00873B6C">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873B6C" w:rsidRDefault="00D40151" w:rsidP="00D40151">
      <w:pPr>
        <w:pStyle w:val="B2"/>
      </w:pPr>
      <w:r w:rsidRPr="00873B6C">
        <w:t>-</w:t>
      </w:r>
      <w:r w:rsidRPr="00873B6C">
        <w:tab/>
        <w:t>for the case of Access Stratum Connection Establishment caused by a Periodic Registration Update or Registration procedure used to update the UE capabilities, an NSSAI set to the Allowed NSSAI;</w:t>
      </w:r>
    </w:p>
    <w:p w14:paraId="11416EF2" w14:textId="77777777" w:rsidR="00D40151" w:rsidRPr="00873B6C" w:rsidRDefault="00D40151" w:rsidP="00D40151">
      <w:pPr>
        <w:pStyle w:val="B1"/>
      </w:pPr>
      <w:r w:rsidRPr="00873B6C">
        <w:t>c)</w:t>
      </w:r>
      <w:r w:rsidRPr="00873B6C">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873B6C" w:rsidRDefault="00D40151" w:rsidP="00D40151">
      <w:pPr>
        <w:pStyle w:val="B1"/>
      </w:pPr>
      <w:r w:rsidRPr="00873B6C">
        <w:t>d)</w:t>
      </w:r>
      <w:r w:rsidRPr="00873B6C">
        <w:tab/>
        <w:t>The UE shall not provide NSSAI in the Access stratum.</w:t>
      </w:r>
    </w:p>
    <w:p w14:paraId="2D9DA192" w14:textId="77777777" w:rsidR="00D40151" w:rsidRPr="00873B6C" w:rsidRDefault="00D40151" w:rsidP="00D40151">
      <w:r w:rsidRPr="00873B6C">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873B6C" w:rsidRDefault="00D40151" w:rsidP="00D40151">
      <w:r w:rsidRPr="00873B6C">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w:t>
      </w:r>
      <w:r w:rsidRPr="00873B6C">
        <w:lastRenderedPageBreak/>
        <w:t xml:space="preserve">allowed to do so </w:t>
      </w:r>
      <w:r w:rsidR="008546A1" w:rsidRPr="00873B6C">
        <w:t>(</w:t>
      </w:r>
      <w:r w:rsidRPr="00873B6C">
        <w:t>i.e. if a PLMN allows behaviours a,b,c, then its UDM sends to the serving AMF an explicit indication that the NSSAI can be included in RRC as part of the subscription data).</w:t>
      </w:r>
    </w:p>
    <w:p w14:paraId="6B062711" w14:textId="77777777" w:rsidR="00D40151" w:rsidRPr="00873B6C" w:rsidRDefault="00D40151" w:rsidP="00D40151">
      <w:r w:rsidRPr="00873B6C">
        <w:t>The UE default mode of operation is the following:</w:t>
      </w:r>
    </w:p>
    <w:p w14:paraId="6615AED6" w14:textId="77777777" w:rsidR="00D40151" w:rsidRPr="00873B6C" w:rsidRDefault="00D40151" w:rsidP="00D40151">
      <w:pPr>
        <w:pStyle w:val="B1"/>
      </w:pPr>
      <w:r w:rsidRPr="00873B6C">
        <w:t>-</w:t>
      </w:r>
      <w:r w:rsidRPr="00873B6C">
        <w:tab/>
        <w:t>For 3GPP access the UE shall by default operate in mode d) unless it has been provided with an indication to operate in mode a), b) or c).</w:t>
      </w:r>
    </w:p>
    <w:p w14:paraId="68E124BA" w14:textId="77777777" w:rsidR="00D40151" w:rsidRPr="00873B6C" w:rsidRDefault="00D40151" w:rsidP="00D40151">
      <w:pPr>
        <w:pStyle w:val="B1"/>
      </w:pPr>
      <w:r w:rsidRPr="00873B6C">
        <w:t>-</w:t>
      </w:r>
      <w:r w:rsidRPr="00873B6C">
        <w:tab/>
        <w:t>For untrusted non-3GPP access the UE shall operate by default in mode b) unless it has been provided with an indication to operate in mode a), c) or d).</w:t>
      </w:r>
    </w:p>
    <w:p w14:paraId="204ADD5F" w14:textId="77777777" w:rsidR="00D40151" w:rsidRPr="00873B6C" w:rsidRDefault="00D40151" w:rsidP="00D40151">
      <w:pPr>
        <w:pStyle w:val="B1"/>
      </w:pPr>
      <w:bookmarkStart w:id="2754" w:name="_Toc20149930"/>
      <w:r w:rsidRPr="00873B6C">
        <w:t>-</w:t>
      </w:r>
      <w:r w:rsidRPr="00873B6C">
        <w:tab/>
        <w:t>For trusted non-3GPP access the UE shall operate by default in mode d) unless it has been provided with an indication to operate in mode a), b) or c).</w:t>
      </w:r>
    </w:p>
    <w:p w14:paraId="731B4B44" w14:textId="41EE23C7" w:rsidR="00D40151" w:rsidRPr="00873B6C" w:rsidRDefault="00D40151" w:rsidP="00D40151">
      <w:pPr>
        <w:pStyle w:val="B1"/>
      </w:pPr>
      <w:r w:rsidRPr="00873B6C">
        <w:t>-</w:t>
      </w:r>
      <w:r w:rsidRPr="00873B6C">
        <w:tab/>
        <w:t>For W-</w:t>
      </w:r>
      <w:r w:rsidR="00182EE7" w:rsidRPr="00873B6C">
        <w:t>5GAN</w:t>
      </w:r>
      <w:r w:rsidRPr="00873B6C">
        <w:t xml:space="preserve"> access the 5G-RG shall operate by default in mode b) unless it has been provided with an indication to operate in mode a), c) or d).</w:t>
      </w:r>
    </w:p>
    <w:p w14:paraId="79237406" w14:textId="77777777" w:rsidR="00D40151" w:rsidRPr="00873B6C" w:rsidRDefault="00D40151" w:rsidP="00D40151">
      <w:r w:rsidRPr="00873B6C">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873B6C" w:rsidRDefault="00D40151" w:rsidP="00D40151">
      <w:pPr>
        <w:pStyle w:val="Heading3"/>
      </w:pPr>
      <w:bookmarkStart w:id="2755" w:name="_CR5_15_10"/>
      <w:bookmarkStart w:id="2756" w:name="_Toc27846729"/>
      <w:bookmarkStart w:id="2757" w:name="_Toc36187860"/>
      <w:bookmarkStart w:id="2758" w:name="_Toc45183764"/>
      <w:bookmarkStart w:id="2759" w:name="_Toc47342606"/>
      <w:bookmarkStart w:id="2760" w:name="_Toc51769307"/>
      <w:bookmarkStart w:id="2761" w:name="_Toc201157281"/>
      <w:bookmarkEnd w:id="2755"/>
      <w:r w:rsidRPr="00873B6C">
        <w:t>5.15.10</w:t>
      </w:r>
      <w:r w:rsidRPr="00873B6C">
        <w:tab/>
        <w:t>Network Slice-Specific Authentication and Authorization</w:t>
      </w:r>
      <w:bookmarkEnd w:id="2754"/>
      <w:bookmarkEnd w:id="2756"/>
      <w:bookmarkEnd w:id="2757"/>
      <w:bookmarkEnd w:id="2758"/>
      <w:bookmarkEnd w:id="2759"/>
      <w:bookmarkEnd w:id="2760"/>
      <w:bookmarkEnd w:id="2761"/>
    </w:p>
    <w:p w14:paraId="538431D5" w14:textId="5C0CC712" w:rsidR="00D40151" w:rsidRPr="00873B6C" w:rsidRDefault="00D40151" w:rsidP="00D40151">
      <w:r w:rsidRPr="00873B6C">
        <w:t>A serving PLMN</w:t>
      </w:r>
      <w:r w:rsidR="006648CD" w:rsidRPr="00873B6C">
        <w:t xml:space="preserve"> or SNPN</w:t>
      </w:r>
      <w:r w:rsidRPr="00873B6C">
        <w:t xml:space="preserve"> shall perform Network Slice-Specific Authentication and Authorization for the S-NSSAIs of the HPLMN</w:t>
      </w:r>
      <w:r w:rsidR="006648CD" w:rsidRPr="00873B6C">
        <w:t xml:space="preserve"> or SNPN</w:t>
      </w:r>
      <w:r w:rsidRPr="00873B6C">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873B6C">
        <w:t xml:space="preserve"> or SNPN</w:t>
      </w:r>
      <w:r w:rsidRPr="00873B6C">
        <w:t>. If the UE supports NSSAA feature and if the UE requests any of these S-NSSAIs that are subject to Network Slice-Specific Authentication and Authorization, they are included in the list of Pending NSSAI for the PLMN</w:t>
      </w:r>
      <w:r w:rsidR="006648CD" w:rsidRPr="00873B6C">
        <w:t xml:space="preserve"> or SNPN</w:t>
      </w:r>
      <w:r w:rsidRPr="00873B6C">
        <w:t>, as described in clause 5.15.5.2.1.</w:t>
      </w:r>
    </w:p>
    <w:p w14:paraId="117899F0" w14:textId="77777777" w:rsidR="00D40151" w:rsidRPr="00873B6C" w:rsidRDefault="00D40151" w:rsidP="00D40151">
      <w:r w:rsidRPr="00873B6C">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08F6E6C0" w:rsidR="00426DE4" w:rsidRPr="00873B6C" w:rsidRDefault="00426DE4" w:rsidP="00426DE4">
      <w:pPr>
        <w:pStyle w:val="NO"/>
      </w:pPr>
      <w:r w:rsidRPr="00873B6C">
        <w:t>NOTE 1:</w:t>
      </w:r>
      <w:r w:rsidRPr="00873B6C">
        <w:tab/>
        <w:t>How the UE is aware that an S-NSSAI is subject to Network Slice-Specific Authentication and Authorization (e.g</w:t>
      </w:r>
      <w:r w:rsidR="006514B8" w:rsidRPr="00873B6C">
        <w:t>.</w:t>
      </w:r>
      <w:r w:rsidRPr="00873B6C">
        <w:t xml:space="preserve"> based on local configuration) is out of scope of this specification.</w:t>
      </w:r>
    </w:p>
    <w:p w14:paraId="159D1844" w14:textId="46B8A578" w:rsidR="00BA212C" w:rsidRPr="00873B6C" w:rsidRDefault="00BA212C" w:rsidP="00562E84">
      <w:r w:rsidRPr="00873B6C">
        <w:t>The UE may support remote provisioning of credentials for NSSAA, specified in clause 5.39.</w:t>
      </w:r>
    </w:p>
    <w:p w14:paraId="6037100B" w14:textId="251515B7" w:rsidR="00426DE4" w:rsidRPr="00873B6C" w:rsidRDefault="00426DE4" w:rsidP="00426DE4">
      <w:r w:rsidRPr="00873B6C">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873B6C" w:rsidRDefault="00D40151" w:rsidP="00D40151">
      <w:pPr>
        <w:pStyle w:val="NO"/>
      </w:pPr>
      <w:r w:rsidRPr="00873B6C">
        <w:t>NOTE</w:t>
      </w:r>
      <w:r w:rsidR="00426DE4" w:rsidRPr="00873B6C">
        <w:t> 2</w:t>
      </w:r>
      <w:r w:rsidRPr="00873B6C">
        <w:t>:</w:t>
      </w:r>
      <w:r w:rsidRPr="00873B6C">
        <w:tab/>
        <w:t>The credentials for Network Slice-Specific Authentication and Authorization are not specified.</w:t>
      </w:r>
    </w:p>
    <w:p w14:paraId="1F8F4D95" w14:textId="2CDDEEFB" w:rsidR="00D40151" w:rsidRPr="00873B6C" w:rsidRDefault="00D40151" w:rsidP="00D40151">
      <w:r w:rsidRPr="00873B6C">
        <w:t xml:space="preserve">To perform the Network Slice-Specific Authentication and Authorization for an S-NSSAI, the AMF invokes an EAP- based Network Slice-Specific authorization procedure documented in </w:t>
      </w:r>
      <w:r w:rsidR="00960CDA" w:rsidRPr="00873B6C">
        <w:t xml:space="preserve">clause 4.2.9 of </w:t>
      </w:r>
      <w:r w:rsidR="00972E70" w:rsidRPr="00873B6C">
        <w:t>TS 23.502 [</w:t>
      </w:r>
      <w:r w:rsidRPr="00873B6C">
        <w:t xml:space="preserve">3] (see also </w:t>
      </w:r>
      <w:r w:rsidR="00972E70" w:rsidRPr="00873B6C">
        <w:t>TS 33.501 [</w:t>
      </w:r>
      <w:r w:rsidRPr="00873B6C">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873B6C" w:rsidRDefault="00D40151" w:rsidP="00D40151">
      <w:r w:rsidRPr="00873B6C">
        <w:t>This procedure can be invoked for a supporting UE by an AMF at any time, e.g. when:</w:t>
      </w:r>
    </w:p>
    <w:p w14:paraId="344EDD6D" w14:textId="157F92FB" w:rsidR="00D40151" w:rsidRPr="00873B6C" w:rsidRDefault="00D40151" w:rsidP="00D40151">
      <w:pPr>
        <w:pStyle w:val="B1"/>
      </w:pPr>
      <w:r w:rsidRPr="00873B6C">
        <w:t>a.</w:t>
      </w:r>
      <w:r w:rsidRPr="00873B6C">
        <w:tab/>
        <w:t>The UE registers with the AMF and one of the S-NSSAIs of the HPLMN</w:t>
      </w:r>
      <w:r w:rsidR="006648CD" w:rsidRPr="00873B6C">
        <w:t xml:space="preserve"> or SNPN</w:t>
      </w:r>
      <w:r w:rsidRPr="00873B6C">
        <w:t xml:space="preserve"> which maps to an S-NSSAI in the Requested NSSAI is requiring Network Slice-Specific Authentication and Authorization (see clause 5.15.5.2.1 for details)</w:t>
      </w:r>
      <w:r w:rsidR="00472CD7" w:rsidRPr="00873B6C">
        <w:t xml:space="preserve"> and</w:t>
      </w:r>
      <w:r w:rsidRPr="00873B6C">
        <w:t xml:space="preserve"> the S-NSSAI in the Requested NSSAI can be added to the Allowed NSSAI by the AMF once the Network Slice-Specific Authentication and Authorization for the HPLMN</w:t>
      </w:r>
      <w:r w:rsidR="006648CD" w:rsidRPr="00873B6C">
        <w:t xml:space="preserve"> or SNPN</w:t>
      </w:r>
      <w:r w:rsidRPr="00873B6C">
        <w:t xml:space="preserve"> S-NSSAI succeeds; or</w:t>
      </w:r>
    </w:p>
    <w:p w14:paraId="50915E36" w14:textId="77777777" w:rsidR="00D40151" w:rsidRPr="00873B6C" w:rsidRDefault="00D40151" w:rsidP="00D40151">
      <w:pPr>
        <w:pStyle w:val="B1"/>
      </w:pPr>
      <w:r w:rsidRPr="00873B6C">
        <w:t>b.</w:t>
      </w:r>
      <w:r w:rsidRPr="00873B6C">
        <w:tab/>
        <w:t>The Network Slice-Specific AAA Server triggers a UE re-authentication and re-authorization for an S-NSSAI; or</w:t>
      </w:r>
    </w:p>
    <w:p w14:paraId="73D81F9F" w14:textId="77777777" w:rsidR="00D40151" w:rsidRPr="00873B6C" w:rsidRDefault="00D40151" w:rsidP="00D40151">
      <w:pPr>
        <w:pStyle w:val="B1"/>
      </w:pPr>
      <w:r w:rsidRPr="00873B6C">
        <w:lastRenderedPageBreak/>
        <w:t>c.</w:t>
      </w:r>
      <w:r w:rsidRPr="00873B6C">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873B6C" w:rsidRDefault="00D40151" w:rsidP="00D40151">
      <w:pPr>
        <w:pStyle w:val="B1"/>
      </w:pPr>
      <w:r w:rsidRPr="00873B6C">
        <w:tab/>
        <w:t>In the case of re-authentication and re-authorization (b. and c. above) the following applies:</w:t>
      </w:r>
    </w:p>
    <w:p w14:paraId="11166EE6" w14:textId="77777777" w:rsidR="00D40151" w:rsidRPr="00873B6C" w:rsidRDefault="00D40151" w:rsidP="00D40151">
      <w:pPr>
        <w:pStyle w:val="B2"/>
      </w:pPr>
      <w:r w:rsidRPr="00873B6C">
        <w:t>-</w:t>
      </w:r>
      <w:r w:rsidRPr="00873B6C">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873B6C" w:rsidRDefault="00D40151" w:rsidP="00D40151">
      <w:pPr>
        <w:pStyle w:val="B2"/>
      </w:pPr>
      <w:r w:rsidRPr="00873B6C">
        <w:t>-</w:t>
      </w:r>
      <w:r w:rsidRPr="00873B6C">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3681D1" w:rsidR="00D40151" w:rsidRPr="00873B6C" w:rsidRDefault="00D40151" w:rsidP="00D40151">
      <w:pPr>
        <w:pStyle w:val="B2"/>
      </w:pPr>
      <w:r w:rsidRPr="00873B6C">
        <w:t>-</w:t>
      </w:r>
      <w:r w:rsidRPr="00873B6C">
        <w:tab/>
        <w:t>If the Network Slice-Specific Authentication and Authorization fails for all S-NSSAIs mapped to all S-NSSAIs in the Allowed NSSAI,</w:t>
      </w:r>
      <w:r w:rsidR="00570265" w:rsidRPr="00873B6C">
        <w:t xml:space="preserve"> the AMF determines a new Allowed NSSAI including default S-NSSAI(s). If no default S-NSSAI(s) could be added,</w:t>
      </w:r>
      <w:r w:rsidRPr="00873B6C">
        <w:t xml:space="preserve"> the AMF shall execute the Network-initiated Deregistration procedure described in</w:t>
      </w:r>
      <w:r w:rsidR="00960CDA" w:rsidRPr="00873B6C">
        <w:t xml:space="preserve"> clause 4.2.2.3.3</w:t>
      </w:r>
      <w:r w:rsidRPr="00873B6C">
        <w:t xml:space="preserve"> </w:t>
      </w:r>
      <w:r w:rsidR="00960CDA" w:rsidRPr="00873B6C">
        <w:t xml:space="preserve">of </w:t>
      </w:r>
      <w:r w:rsidR="00972E70" w:rsidRPr="00873B6C">
        <w:t>TS 23.502 [</w:t>
      </w:r>
      <w:r w:rsidRPr="00873B6C">
        <w:t>3] and shall include in the explicit De-Registration Request message the list of Rejected S-NSSAIs, each of them with the appropriate rejection cause value.</w:t>
      </w:r>
    </w:p>
    <w:p w14:paraId="4B006553" w14:textId="533F2DF8" w:rsidR="00D40151" w:rsidRPr="00873B6C" w:rsidRDefault="00D40151" w:rsidP="00D40151">
      <w:r w:rsidRPr="00873B6C">
        <w:t>After a successful or unsuccessful UE Network Slice-Specific Authentication and Authorization, the UE context in the AMF shall retain the authentication and authorization status for the UE for the related specific S-NSSAI of the HPLMN</w:t>
      </w:r>
      <w:r w:rsidR="006648CD" w:rsidRPr="00873B6C">
        <w:t xml:space="preserve"> or SNPN</w:t>
      </w:r>
      <w:r w:rsidRPr="00873B6C">
        <w:t xml:space="preserve"> while the UE remains RM-REGISTERED in the PLMN</w:t>
      </w:r>
      <w:r w:rsidR="006648CD" w:rsidRPr="00873B6C">
        <w:t xml:space="preserve"> or SNPN</w:t>
      </w:r>
      <w:r w:rsidRPr="00873B6C">
        <w:t>, so that the AMF is not required to execute a Network Slice-Specific Authentication and Authorization for a UE at every Periodic Registration Update or Mobility Registration procedure with the PLMN</w:t>
      </w:r>
      <w:r w:rsidR="006648CD" w:rsidRPr="00873B6C">
        <w:t xml:space="preserve"> or SNPN</w:t>
      </w:r>
      <w:r w:rsidRPr="00873B6C">
        <w:t>.</w:t>
      </w:r>
    </w:p>
    <w:p w14:paraId="693C0AE0" w14:textId="77777777" w:rsidR="00D40151" w:rsidRPr="00873B6C" w:rsidRDefault="00D40151" w:rsidP="00D40151">
      <w:r w:rsidRPr="00873B6C">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873B6C" w:rsidRDefault="00D40151" w:rsidP="00D40151">
      <w:r w:rsidRPr="00873B6C">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873B6C" w:rsidRDefault="00D40151" w:rsidP="00D40151">
      <w:r w:rsidRPr="00873B6C">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873B6C" w:rsidRDefault="00757CAF" w:rsidP="00757CAF">
      <w:pPr>
        <w:pStyle w:val="Heading3"/>
      </w:pPr>
      <w:bookmarkStart w:id="2762" w:name="_CR5_15_11"/>
      <w:bookmarkStart w:id="2763" w:name="_Toc20149931"/>
      <w:bookmarkStart w:id="2764" w:name="_Toc27846730"/>
      <w:bookmarkStart w:id="2765" w:name="_Toc36187861"/>
      <w:bookmarkStart w:id="2766" w:name="_Toc45183765"/>
      <w:bookmarkStart w:id="2767" w:name="_Toc47342607"/>
      <w:bookmarkStart w:id="2768" w:name="_Toc51769308"/>
      <w:bookmarkStart w:id="2769" w:name="_Toc201157282"/>
      <w:bookmarkEnd w:id="2762"/>
      <w:r w:rsidRPr="00873B6C">
        <w:t>5.15.11</w:t>
      </w:r>
      <w:r w:rsidRPr="00873B6C">
        <w:tab/>
        <w:t>Network Slice Admission Control</w:t>
      </w:r>
      <w:bookmarkEnd w:id="2769"/>
    </w:p>
    <w:p w14:paraId="7263D715" w14:textId="55279814" w:rsidR="005E258C" w:rsidRPr="00873B6C" w:rsidRDefault="005E258C" w:rsidP="005E258C">
      <w:pPr>
        <w:pStyle w:val="Heading4"/>
      </w:pPr>
      <w:bookmarkStart w:id="2770" w:name="_CR5_15_11_0"/>
      <w:bookmarkStart w:id="2771" w:name="_Toc201157283"/>
      <w:bookmarkEnd w:id="2770"/>
      <w:r w:rsidRPr="00873B6C">
        <w:t>5.15.11.0</w:t>
      </w:r>
      <w:r w:rsidRPr="00873B6C">
        <w:tab/>
        <w:t>General</w:t>
      </w:r>
      <w:bookmarkEnd w:id="2771"/>
    </w:p>
    <w:p w14:paraId="544A4065" w14:textId="141F499E" w:rsidR="00757CAF" w:rsidRPr="00873B6C" w:rsidRDefault="00757CAF" w:rsidP="00757CAF">
      <w:r w:rsidRPr="00873B6C">
        <w:t>The Network Slice Admission Control Function (NSACF) monitors and controls the number of registered UEs per network slice</w:t>
      </w:r>
      <w:r w:rsidR="008E69B3" w:rsidRPr="00873B6C">
        <w:t xml:space="preserve"> and</w:t>
      </w:r>
      <w:r w:rsidR="0053150F" w:rsidRPr="00873B6C">
        <w:t>/or</w:t>
      </w:r>
      <w:r w:rsidR="008E69B3" w:rsidRPr="00873B6C">
        <w:t xml:space="preserve"> the number of PDU Sessions per network slice</w:t>
      </w:r>
      <w:r w:rsidRPr="00873B6C">
        <w:t xml:space="preserve"> for the network slices that are subject to Network Slice Admission Control (NSAC).</w:t>
      </w:r>
      <w:r w:rsidR="0053150F" w:rsidRPr="00873B6C">
        <w:t xml:space="preserve"> The NSACF is configured with the maximum number of UEs and/or the maximum number of PDU Sessions allowed to be served per S-NSSAI subject to NSAC.</w:t>
      </w:r>
      <w:r w:rsidR="000F5D21" w:rsidRPr="00873B6C">
        <w:t xml:space="preserve"> The NSACF is also configured with information indicating </w:t>
      </w:r>
      <w:r w:rsidR="0053150F" w:rsidRPr="00873B6C">
        <w:t xml:space="preserve">applicable </w:t>
      </w:r>
      <w:r w:rsidR="000F5D21" w:rsidRPr="00873B6C">
        <w:t>access type</w:t>
      </w:r>
      <w:r w:rsidR="0053150F" w:rsidRPr="00873B6C">
        <w:t>(s) for the S-NSSAI</w:t>
      </w:r>
      <w:r w:rsidR="000F5D21" w:rsidRPr="00873B6C">
        <w:t xml:space="preserve"> (i.e. 3GPP Access Type, Non-3GPP Access Type, or both).</w:t>
      </w:r>
    </w:p>
    <w:p w14:paraId="46B8937A" w14:textId="0F57F2C4" w:rsidR="005E258C" w:rsidRPr="00873B6C" w:rsidRDefault="005E258C" w:rsidP="00757CAF">
      <w:r w:rsidRPr="00873B6C">
        <w:t>The NSACF also provides event</w:t>
      </w:r>
      <w:r w:rsidR="00CB6EDC" w:rsidRPr="00873B6C">
        <w:t>-</w:t>
      </w:r>
      <w:r w:rsidRPr="00873B6C">
        <w:t>based Network Slice status notifications and reports to the consumer NF</w:t>
      </w:r>
      <w:r w:rsidR="0053150F" w:rsidRPr="00873B6C">
        <w:t>s</w:t>
      </w:r>
      <w:r w:rsidRPr="00873B6C">
        <w:t xml:space="preserve"> (e.g. AF).</w:t>
      </w:r>
    </w:p>
    <w:p w14:paraId="7E272EC9" w14:textId="46113012" w:rsidR="004119E4" w:rsidRPr="00873B6C" w:rsidRDefault="004119E4" w:rsidP="00757CAF">
      <w:r w:rsidRPr="00873B6C">
        <w:t>A NSACF can be configured with the NSAC Service Area(s) it serves. The NSAC Service Area Identifier is a unique identifier in a PLMN or SNPN. The consumer NFs which use the NSAC services are configured with a single and network slice independent value of the NSAC Service Area Identifier so they can discover the correct NSACF (see clause 6.3.22).</w:t>
      </w:r>
    </w:p>
    <w:p w14:paraId="1D2F2968" w14:textId="68757C1C" w:rsidR="0053150F" w:rsidRPr="00873B6C" w:rsidRDefault="0053150F" w:rsidP="00757CAF">
      <w:r w:rsidRPr="00873B6C">
        <w:t xml:space="preserve">The NSACF may be responsible for one or more S-NSSAIs. </w:t>
      </w:r>
      <w:r w:rsidR="001151EB" w:rsidRPr="00873B6C">
        <w:t xml:space="preserve">For one S-NSSAI there </w:t>
      </w:r>
      <w:r w:rsidRPr="00873B6C">
        <w:t>may be one or multiple NSACFs deployed in a network</w:t>
      </w:r>
      <w:r w:rsidR="001151EB" w:rsidRPr="00873B6C">
        <w:t xml:space="preserve"> (a PLMN or a SNPN)</w:t>
      </w:r>
      <w:r w:rsidRPr="00873B6C">
        <w:t xml:space="preserve"> as follows:</w:t>
      </w:r>
    </w:p>
    <w:p w14:paraId="0CD7540E" w14:textId="5D8FED91" w:rsidR="0053150F" w:rsidRPr="00873B6C" w:rsidRDefault="0053150F" w:rsidP="00461850">
      <w:pPr>
        <w:pStyle w:val="B1"/>
      </w:pPr>
      <w:r w:rsidRPr="00873B6C">
        <w:t>-</w:t>
      </w:r>
      <w:r w:rsidRPr="00873B6C">
        <w:tab/>
        <w:t>If</w:t>
      </w:r>
      <w:r w:rsidR="004119E4" w:rsidRPr="00873B6C">
        <w:t xml:space="preserve"> a PLMN or SNPN</w:t>
      </w:r>
      <w:r w:rsidRPr="00873B6C">
        <w:t xml:space="preserve"> is configured with a single</w:t>
      </w:r>
      <w:r w:rsidR="002C4A81" w:rsidRPr="00873B6C">
        <w:t xml:space="preserve"> NSAC</w:t>
      </w:r>
      <w:r w:rsidRPr="00873B6C">
        <w:t xml:space="preserve"> service area, there is a single NSACF configured with the maximum number of UEs per network slice and/or the maximum number of PDU Sessions per network slice, </w:t>
      </w:r>
      <w:r w:rsidRPr="00873B6C">
        <w:lastRenderedPageBreak/>
        <w:t>which are valid in the network.</w:t>
      </w:r>
      <w:r w:rsidR="004119E4" w:rsidRPr="00873B6C">
        <w:t xml:space="preserve"> In this case there is no need to provision any NSAC Service Area Identifier value in the PLMN or SNPN.</w:t>
      </w:r>
    </w:p>
    <w:p w14:paraId="248D4794" w14:textId="436963F4" w:rsidR="004817F2" w:rsidRPr="00873B6C" w:rsidRDefault="0053150F" w:rsidP="00461850">
      <w:pPr>
        <w:pStyle w:val="B1"/>
      </w:pPr>
      <w:r w:rsidRPr="00873B6C">
        <w:t>-</w:t>
      </w:r>
      <w:r w:rsidRPr="00873B6C">
        <w:tab/>
        <w:t>If</w:t>
      </w:r>
      <w:r w:rsidR="004119E4" w:rsidRPr="00873B6C">
        <w:t xml:space="preserve"> a PLMN or SNPN</w:t>
      </w:r>
      <w:r w:rsidRPr="00873B6C">
        <w:t xml:space="preserve"> is configured with multiple</w:t>
      </w:r>
      <w:r w:rsidR="002C4A81" w:rsidRPr="00873B6C">
        <w:t xml:space="preserve"> NSAC</w:t>
      </w:r>
      <w:r w:rsidRPr="00873B6C">
        <w:t xml:space="preserve"> service areas, an NSACF may be deployed on a</w:t>
      </w:r>
      <w:r w:rsidR="002C4A81" w:rsidRPr="00873B6C">
        <w:t xml:space="preserve"> NSAC</w:t>
      </w:r>
      <w:r w:rsidRPr="00873B6C">
        <w:t xml:space="preserve"> service area basis, which can be one NSACF instance or one NSACF Set. </w:t>
      </w:r>
      <w:r w:rsidR="004817F2" w:rsidRPr="00873B6C">
        <w:t>There are</w:t>
      </w:r>
      <w:r w:rsidR="00AD480D" w:rsidRPr="00873B6C">
        <w:t xml:space="preserve"> three</w:t>
      </w:r>
      <w:r w:rsidR="004817F2" w:rsidRPr="00873B6C">
        <w:t xml:space="preserve"> </w:t>
      </w:r>
      <w:r w:rsidR="00A37F57" w:rsidRPr="00873B6C">
        <w:t>NSAC architecture</w:t>
      </w:r>
      <w:r w:rsidR="004817F2" w:rsidRPr="00873B6C">
        <w:t xml:space="preserve"> options:</w:t>
      </w:r>
    </w:p>
    <w:p w14:paraId="658C71B0" w14:textId="3D2C6C0C" w:rsidR="0053150F" w:rsidRPr="00873B6C" w:rsidRDefault="004817F2" w:rsidP="00695DF1">
      <w:pPr>
        <w:pStyle w:val="B2"/>
      </w:pPr>
      <w:r w:rsidRPr="00873B6C">
        <w:t>-</w:t>
      </w:r>
      <w:r w:rsidRPr="00873B6C">
        <w:tab/>
        <w:t>Option 1: non-</w:t>
      </w:r>
      <w:r w:rsidR="00AD480D" w:rsidRPr="00873B6C">
        <w:t>Hierarch</w:t>
      </w:r>
      <w:r w:rsidR="002E6C8C" w:rsidRPr="00873B6C">
        <w:t>ic</w:t>
      </w:r>
      <w:r w:rsidR="00AD480D" w:rsidRPr="00873B6C">
        <w:t xml:space="preserve">al </w:t>
      </w:r>
      <w:r w:rsidR="00A37F57" w:rsidRPr="00873B6C">
        <w:t>NSAC architecture</w:t>
      </w:r>
      <w:r w:rsidRPr="00873B6C">
        <w:t>. In this architecture, independent NSACFs are deployed in every</w:t>
      </w:r>
      <w:r w:rsidR="002C4A81" w:rsidRPr="00873B6C">
        <w:t xml:space="preserve"> NSAC</w:t>
      </w:r>
      <w:r w:rsidRPr="00873B6C">
        <w:t xml:space="preserve"> service area. There is no interaction between the NSACFs deployed in different</w:t>
      </w:r>
      <w:r w:rsidR="002C4A81" w:rsidRPr="00873B6C">
        <w:t xml:space="preserve"> NSAC</w:t>
      </w:r>
      <w:r w:rsidRPr="00873B6C">
        <w:t xml:space="preserve"> service area</w:t>
      </w:r>
      <w:r w:rsidR="002C4A81" w:rsidRPr="00873B6C">
        <w:t>s</w:t>
      </w:r>
      <w:r w:rsidRPr="00873B6C">
        <w:t xml:space="preserve">. </w:t>
      </w:r>
      <w:r w:rsidR="0053150F" w:rsidRPr="00873B6C">
        <w:t>Each NSACF is configured with the maximum number of UEs per network slice and/or the maximum number of PDU Sessions which are valid in the</w:t>
      </w:r>
      <w:r w:rsidR="002C4A81" w:rsidRPr="00873B6C">
        <w:t xml:space="preserve"> NSAC</w:t>
      </w:r>
      <w:r w:rsidR="0053150F" w:rsidRPr="00873B6C">
        <w:t xml:space="preserve"> service area</w:t>
      </w:r>
      <w:r w:rsidRPr="00873B6C">
        <w:t xml:space="preserve"> (see clause</w:t>
      </w:r>
      <w:r w:rsidR="002E6C8C" w:rsidRPr="00873B6C">
        <w:t xml:space="preserve">s </w:t>
      </w:r>
      <w:r w:rsidRPr="00873B6C">
        <w:t>5.15.11.1</w:t>
      </w:r>
      <w:r w:rsidR="002E6C8C" w:rsidRPr="00873B6C">
        <w:t>.1 and 5.15.11.2.1</w:t>
      </w:r>
      <w:r w:rsidRPr="00873B6C">
        <w:t xml:space="preserve"> for more details)</w:t>
      </w:r>
      <w:r w:rsidR="0053150F" w:rsidRPr="00873B6C">
        <w:t>.</w:t>
      </w:r>
    </w:p>
    <w:p w14:paraId="74B84E81" w14:textId="204D52B5" w:rsidR="004817F2" w:rsidRPr="00873B6C" w:rsidRDefault="004817F2" w:rsidP="00695DF1">
      <w:pPr>
        <w:pStyle w:val="B2"/>
      </w:pPr>
      <w:r w:rsidRPr="00873B6C">
        <w:t>-</w:t>
      </w:r>
      <w:r w:rsidRPr="00873B6C">
        <w:tab/>
        <w:t>Option 2: Centralized</w:t>
      </w:r>
      <w:r w:rsidR="00AD480D" w:rsidRPr="00873B6C">
        <w:t xml:space="preserve"> NSAC</w:t>
      </w:r>
      <w:r w:rsidRPr="00873B6C">
        <w:t xml:space="preserve"> architecture. In this architecture, a single centralized NSACF is deployed in the network to handle admissions in all</w:t>
      </w:r>
      <w:r w:rsidR="002C4A81" w:rsidRPr="00873B6C">
        <w:t xml:space="preserve"> NSAC</w:t>
      </w:r>
      <w:r w:rsidRPr="00873B6C">
        <w:t xml:space="preserve"> service areas. The centralized NSACF is configured with the total number of UEs per network slice and the maximum number of PDU Sessions for the entire PLMN. NSAC Requests from AMF or SMF to the single centralized NSCAF in this case includes the</w:t>
      </w:r>
      <w:r w:rsidR="002C4A81" w:rsidRPr="00873B6C">
        <w:t xml:space="preserve"> NSAC</w:t>
      </w:r>
      <w:r w:rsidRPr="00873B6C">
        <w:t xml:space="preserve"> service area of the NF consumer</w:t>
      </w:r>
      <w:r w:rsidR="002C4A81" w:rsidRPr="00873B6C">
        <w:t xml:space="preserve"> if multiple NSAC service areas are deployed in PLMN</w:t>
      </w:r>
      <w:r w:rsidRPr="00873B6C">
        <w:t>.</w:t>
      </w:r>
    </w:p>
    <w:p w14:paraId="6DFCC012" w14:textId="6C39CB1E" w:rsidR="004817F2" w:rsidRPr="00873B6C" w:rsidRDefault="004817F2" w:rsidP="00695DF1">
      <w:pPr>
        <w:pStyle w:val="NO"/>
      </w:pPr>
      <w:r w:rsidRPr="00873B6C">
        <w:t>NOTE 1:</w:t>
      </w:r>
      <w:r w:rsidRPr="00873B6C">
        <w:tab/>
        <w:t>It is possible to configure in the centralized architecture the maximum number of registered UEs and/or the</w:t>
      </w:r>
      <w:r w:rsidR="002E6C8C" w:rsidRPr="00873B6C">
        <w:t xml:space="preserve"> maximum</w:t>
      </w:r>
      <w:r w:rsidRPr="00873B6C">
        <w:t xml:space="preserve"> number of PDU sessions per</w:t>
      </w:r>
      <w:r w:rsidR="004119E4" w:rsidRPr="00873B6C">
        <w:t xml:space="preserve"> NSAC</w:t>
      </w:r>
      <w:r w:rsidRPr="00873B6C">
        <w:t xml:space="preserve"> service area if required by the operator.</w:t>
      </w:r>
      <w:r w:rsidR="002C4A81" w:rsidRPr="00873B6C">
        <w:t xml:space="preserve"> In this case, NSAC can be performed on a per NSAC service area.</w:t>
      </w:r>
    </w:p>
    <w:p w14:paraId="4B8F1B72" w14:textId="219C67BF" w:rsidR="004817F2" w:rsidRPr="00873B6C" w:rsidRDefault="004817F2" w:rsidP="00695DF1">
      <w:pPr>
        <w:pStyle w:val="B2"/>
      </w:pPr>
      <w:r w:rsidRPr="00873B6C">
        <w:t>-</w:t>
      </w:r>
      <w:r w:rsidRPr="00873B6C">
        <w:tab/>
        <w:t>Option 3: Hierarchical</w:t>
      </w:r>
      <w:r w:rsidR="00A37F57" w:rsidRPr="00873B6C">
        <w:t xml:space="preserve"> NSAC architecture</w:t>
      </w:r>
      <w:r w:rsidRPr="00873B6C">
        <w:t xml:space="preserve"> is deployed in the network. There are two roles of NSACF and interaction between them may be required (see clause</w:t>
      </w:r>
      <w:r w:rsidR="00A25791" w:rsidRPr="00873B6C">
        <w:t xml:space="preserve">s </w:t>
      </w:r>
      <w:r w:rsidRPr="00873B6C">
        <w:t>5.15.11.1</w:t>
      </w:r>
      <w:r w:rsidR="00A25791" w:rsidRPr="00873B6C">
        <w:t xml:space="preserve">.2 and 5.15.11.2.2 </w:t>
      </w:r>
      <w:r w:rsidRPr="00873B6C">
        <w:t>for more details):</w:t>
      </w:r>
    </w:p>
    <w:p w14:paraId="31C0FD89" w14:textId="7E1B83C8" w:rsidR="004817F2" w:rsidRPr="00873B6C" w:rsidRDefault="004817F2" w:rsidP="00695DF1">
      <w:pPr>
        <w:pStyle w:val="B3"/>
      </w:pPr>
      <w:r w:rsidRPr="00873B6C">
        <w:t>-</w:t>
      </w:r>
      <w:r w:rsidRPr="00873B6C">
        <w:tab/>
        <w:t>Primary NSACF, controls and distributes of the maximum number of UEs and/or the maximum number of PDU Sessions for other NSACF(s) deployed in different</w:t>
      </w:r>
      <w:r w:rsidR="002C4A81" w:rsidRPr="00873B6C">
        <w:t xml:space="preserve"> NSAC</w:t>
      </w:r>
      <w:r w:rsidRPr="00873B6C">
        <w:t xml:space="preserve"> service Area. The Primary NSACF handles overall NSAC for an S-NSSAI at the global level (i.e. it is ultimately responsible for the NSAC for an S-NSSAI).</w:t>
      </w:r>
    </w:p>
    <w:p w14:paraId="35E397E9" w14:textId="7C12FDB4" w:rsidR="004817F2" w:rsidRPr="00873B6C" w:rsidRDefault="004817F2" w:rsidP="00695DF1">
      <w:pPr>
        <w:pStyle w:val="B3"/>
      </w:pPr>
      <w:r w:rsidRPr="00873B6C">
        <w:t>‐</w:t>
      </w:r>
      <w:r w:rsidRPr="00873B6C">
        <w:tab/>
        <w:t>NSACF is responsible for one or multiple</w:t>
      </w:r>
      <w:r w:rsidR="002C4A81" w:rsidRPr="00873B6C">
        <w:t xml:space="preserve"> NSAC</w:t>
      </w:r>
      <w:r w:rsidRPr="00873B6C">
        <w:t xml:space="preserve"> </w:t>
      </w:r>
      <w:r w:rsidR="002C4A81" w:rsidRPr="00873B6C">
        <w:t>s</w:t>
      </w:r>
      <w:r w:rsidRPr="00873B6C">
        <w:t>ervice Area. And one</w:t>
      </w:r>
      <w:r w:rsidR="002C4A81" w:rsidRPr="00873B6C">
        <w:t xml:space="preserve"> NSAC</w:t>
      </w:r>
      <w:r w:rsidRPr="00873B6C">
        <w:t xml:space="preserve"> </w:t>
      </w:r>
      <w:r w:rsidR="002C4A81" w:rsidRPr="00873B6C">
        <w:t>s</w:t>
      </w:r>
      <w:r w:rsidRPr="00873B6C">
        <w:t>ervice area is only associated with one NSACF instance or one NSACF Set.</w:t>
      </w:r>
    </w:p>
    <w:p w14:paraId="540A6B73" w14:textId="636F9EA6" w:rsidR="0053150F" w:rsidRPr="00873B6C" w:rsidRDefault="0053150F" w:rsidP="00461850">
      <w:pPr>
        <w:pStyle w:val="NO"/>
      </w:pPr>
      <w:r w:rsidRPr="00873B6C">
        <w:t>NOTE</w:t>
      </w:r>
      <w:r w:rsidR="00A84CD4" w:rsidRPr="00873B6C">
        <w:t> </w:t>
      </w:r>
      <w:r w:rsidR="004817F2" w:rsidRPr="00873B6C">
        <w:t>2</w:t>
      </w:r>
      <w:r w:rsidRPr="00873B6C">
        <w:t>:</w:t>
      </w:r>
      <w:r w:rsidRPr="00873B6C">
        <w:tab/>
        <w:t>When multiple NSACFs are deployed, how the maximum number of UEs per network slice and the maximum number of PDU Sessions per network slice is distributed</w:t>
      </w:r>
      <w:r w:rsidR="004817F2" w:rsidRPr="00873B6C">
        <w:t xml:space="preserve"> (by OAM for Option 1 and by the primary NSA</w:t>
      </w:r>
      <w:r w:rsidR="00A25791" w:rsidRPr="00873B6C">
        <w:t>C</w:t>
      </w:r>
      <w:r w:rsidR="004817F2" w:rsidRPr="00873B6C">
        <w:t>F for Option 3)</w:t>
      </w:r>
      <w:r w:rsidRPr="00873B6C">
        <w:t xml:space="preserve"> among multiple NSACFs</w:t>
      </w:r>
      <w:r w:rsidR="00AD480D" w:rsidRPr="00873B6C">
        <w:t>, i.e. the algorithm of the maximum number distribution</w:t>
      </w:r>
      <w:r w:rsidRPr="00873B6C">
        <w:t>, is implementation specific.</w:t>
      </w:r>
    </w:p>
    <w:p w14:paraId="5785439F" w14:textId="7299F30E" w:rsidR="00A84CD4" w:rsidRPr="00873B6C" w:rsidRDefault="00A84CD4" w:rsidP="001B7C50">
      <w:pPr>
        <w:pStyle w:val="NO"/>
      </w:pPr>
      <w:r w:rsidRPr="00873B6C">
        <w:t>NOTE </w:t>
      </w:r>
      <w:r w:rsidR="004817F2" w:rsidRPr="00873B6C">
        <w:t>3</w:t>
      </w:r>
      <w:r w:rsidRPr="00873B6C">
        <w:t>:</w:t>
      </w:r>
      <w:r w:rsidRPr="00873B6C">
        <w:tab/>
        <w:t>When multiple NSACFs are deployed</w:t>
      </w:r>
      <w:r w:rsidR="004817F2" w:rsidRPr="00873B6C">
        <w:t xml:space="preserve"> based on option 1</w:t>
      </w:r>
      <w:r w:rsidRPr="00873B6C">
        <w:t>, the UE moves to new</w:t>
      </w:r>
      <w:r w:rsidR="002C4A81" w:rsidRPr="00873B6C">
        <w:t xml:space="preserve"> NSAC</w:t>
      </w:r>
      <w:r w:rsidRPr="00873B6C">
        <w:t xml:space="preserve"> service area with a different NSACF</w:t>
      </w:r>
      <w:r w:rsidR="00472CD7" w:rsidRPr="00873B6C">
        <w:t xml:space="preserve"> and</w:t>
      </w:r>
      <w:r w:rsidRPr="00873B6C">
        <w:t xml:space="preserve"> if the number of UE or PDU Sessions in the target NSACF has reached the maximum number, whether the session continuity can be guaranteed is left to implementation.</w:t>
      </w:r>
    </w:p>
    <w:p w14:paraId="5143621E" w14:textId="7D2856D7" w:rsidR="00A25791" w:rsidRPr="00873B6C" w:rsidRDefault="00A25791" w:rsidP="00A25791">
      <w:pPr>
        <w:pStyle w:val="NO"/>
      </w:pPr>
      <w:r w:rsidRPr="00873B6C">
        <w:t>NOTE 4:</w:t>
      </w:r>
      <w:r w:rsidRPr="00873B6C">
        <w:tab/>
        <w:t>When multiple NSACFs are deployed based on Hierarchical NSAC architecture, it is possible that the role of Primary NSACF and the role of NSACF are co-located at the same NSACF instance.</w:t>
      </w:r>
    </w:p>
    <w:p w14:paraId="6E37B47C" w14:textId="2B70D378" w:rsidR="00CB6EDC" w:rsidRPr="00873B6C" w:rsidRDefault="005E258C" w:rsidP="00562E84">
      <w:r w:rsidRPr="00873B6C">
        <w:t>Subject to operator policy and national/regional regulations,</w:t>
      </w:r>
      <w:r w:rsidR="003D306B" w:rsidRPr="00873B6C">
        <w:t xml:space="preserve"> the AMF may exempt UEs and the SMF may exempt PDU sessions from NSAC when the UE and/or PDU Session is</w:t>
      </w:r>
      <w:r w:rsidR="00CB6EDC" w:rsidRPr="00873B6C">
        <w:t xml:space="preserve"> used for Emergency service or for</w:t>
      </w:r>
      <w:r w:rsidRPr="00873B6C">
        <w:t xml:space="preserve"> Critical and Priority services (e.g.</w:t>
      </w:r>
      <w:r w:rsidR="003D306B" w:rsidRPr="00873B6C">
        <w:t xml:space="preserve"> MCX</w:t>
      </w:r>
      <w:r w:rsidRPr="00873B6C">
        <w:t>, MPS).</w:t>
      </w:r>
    </w:p>
    <w:p w14:paraId="080A3466" w14:textId="3D515583" w:rsidR="00CB6EDC" w:rsidRPr="00873B6C" w:rsidRDefault="005E258C" w:rsidP="00562E84">
      <w:r w:rsidRPr="00873B6C">
        <w:t>When the</w:t>
      </w:r>
      <w:r w:rsidR="00CB6EDC" w:rsidRPr="00873B6C">
        <w:t xml:space="preserve"> AMF receives a Registration Request for an</w:t>
      </w:r>
      <w:r w:rsidRPr="00873B6C">
        <w:t xml:space="preserve"> Emergency Registration</w:t>
      </w:r>
      <w:r w:rsidR="003D306B" w:rsidRPr="00873B6C">
        <w:t>,</w:t>
      </w:r>
      <w:r w:rsidRPr="00873B6C">
        <w:t xml:space="preserve"> or</w:t>
      </w:r>
      <w:r w:rsidR="00CB6EDC" w:rsidRPr="00873B6C">
        <w:t xml:space="preserve"> with a Registration Request with an E</w:t>
      </w:r>
      <w:r w:rsidRPr="00873B6C">
        <w:t xml:space="preserve">stablishment </w:t>
      </w:r>
      <w:r w:rsidR="00CB6EDC" w:rsidRPr="00873B6C">
        <w:t>C</w:t>
      </w:r>
      <w:r w:rsidRPr="00873B6C">
        <w:t>ause</w:t>
      </w:r>
      <w:r w:rsidR="00CB6EDC" w:rsidRPr="00873B6C">
        <w:t xml:space="preserve"> indicating a</w:t>
      </w:r>
      <w:r w:rsidRPr="00873B6C">
        <w:t xml:space="preserve"> priority service</w:t>
      </w:r>
      <w:r w:rsidR="003D306B" w:rsidRPr="00873B6C">
        <w:t xml:space="preserve"> (e.g. MCX, MPS) or when the AMF determines that there is a priority subscription (e.g</w:t>
      </w:r>
      <w:r w:rsidR="006514B8" w:rsidRPr="00873B6C">
        <w:t>.</w:t>
      </w:r>
      <w:r w:rsidR="003D306B" w:rsidRPr="00873B6C">
        <w:t xml:space="preserve"> MPS, MCX) in the UDM</w:t>
      </w:r>
      <w:r w:rsidRPr="00873B6C">
        <w:t>, the AMF</w:t>
      </w:r>
      <w:r w:rsidR="00CB6EDC" w:rsidRPr="00873B6C">
        <w:t xml:space="preserve"> may accept the registration request without applying</w:t>
      </w:r>
      <w:r w:rsidRPr="00873B6C">
        <w:t xml:space="preserve"> NSAC</w:t>
      </w:r>
      <w:r w:rsidR="00CB6EDC" w:rsidRPr="00873B6C">
        <w:t>, i.e. the AMF triggers</w:t>
      </w:r>
      <w:r w:rsidR="003D306B" w:rsidRPr="00873B6C">
        <w:t xml:space="preserve"> the</w:t>
      </w:r>
      <w:r w:rsidR="00CB6EDC" w:rsidRPr="00873B6C">
        <w:t xml:space="preserve"> NSAC procedure, but the response from the NSACF is ignored at the AMF</w:t>
      </w:r>
      <w:r w:rsidRPr="00873B6C">
        <w:t>.</w:t>
      </w:r>
    </w:p>
    <w:p w14:paraId="3F308C3E" w14:textId="3CB154D1" w:rsidR="00CB6EDC" w:rsidRPr="00873B6C" w:rsidRDefault="005E258C" w:rsidP="00562E84">
      <w:r w:rsidRPr="00873B6C">
        <w:t>When the</w:t>
      </w:r>
      <w:r w:rsidR="00CB6EDC" w:rsidRPr="00873B6C">
        <w:t xml:space="preserve"> SMF receives a PDU Session Establishment Request for an</w:t>
      </w:r>
      <w:r w:rsidRPr="00873B6C">
        <w:t xml:space="preserve"> emergency PDU Session</w:t>
      </w:r>
      <w:r w:rsidR="00CB6EDC" w:rsidRPr="00873B6C">
        <w:t xml:space="preserve"> or a</w:t>
      </w:r>
      <w:r w:rsidRPr="00873B6C">
        <w:t xml:space="preserve"> PDU Session </w:t>
      </w:r>
      <w:r w:rsidR="00CB6EDC" w:rsidRPr="00873B6C">
        <w:t>E</w:t>
      </w:r>
      <w:r w:rsidRPr="00873B6C">
        <w:t>stablishment</w:t>
      </w:r>
      <w:r w:rsidR="00CB6EDC" w:rsidRPr="00873B6C">
        <w:t xml:space="preserve"> Request with a priority header</w:t>
      </w:r>
      <w:r w:rsidRPr="00873B6C">
        <w:t>, the SMF</w:t>
      </w:r>
      <w:r w:rsidR="00CB6EDC" w:rsidRPr="00873B6C">
        <w:t xml:space="preserve"> may accept the PDU Session Establishment Request without applying NSAC, i.e. the SMF triggers</w:t>
      </w:r>
      <w:r w:rsidR="003D306B" w:rsidRPr="00873B6C">
        <w:t xml:space="preserve"> the</w:t>
      </w:r>
      <w:r w:rsidR="00CB6EDC" w:rsidRPr="00873B6C">
        <w:t xml:space="preserve"> NSAC procedure, but the response from the NSACF is ignored at the SMF</w:t>
      </w:r>
      <w:r w:rsidRPr="00873B6C">
        <w:t>.</w:t>
      </w:r>
    </w:p>
    <w:p w14:paraId="32AE2364" w14:textId="466F4888" w:rsidR="005E258C" w:rsidRPr="00873B6C" w:rsidRDefault="00CB6EDC" w:rsidP="00562E84">
      <w:r w:rsidRPr="00873B6C">
        <w:t>Alternatively, w</w:t>
      </w:r>
      <w:r w:rsidR="005E258C" w:rsidRPr="00873B6C">
        <w:t>hen NSAC is exempted for the</w:t>
      </w:r>
      <w:r w:rsidR="003D306B" w:rsidRPr="00873B6C">
        <w:t xml:space="preserve"> UE and/or PDU Session</w:t>
      </w:r>
      <w:r w:rsidR="005E258C" w:rsidRPr="00873B6C">
        <w:t>, the AMF and the SMF skip the corresponding NSAC procedure, i.e. this UE (respectively PDU Session) is not counted towards the maximum number of UEs (respectively PDU Sessions).</w:t>
      </w:r>
    </w:p>
    <w:p w14:paraId="7FCBBCE6" w14:textId="363E5DDA" w:rsidR="00611C81" w:rsidRPr="00873B6C" w:rsidRDefault="00611C81" w:rsidP="00611C81">
      <w:r w:rsidRPr="00873B6C">
        <w:lastRenderedPageBreak/>
        <w:t xml:space="preserve">The support of NSAC for the S-NSSAI used for </w:t>
      </w:r>
      <w:r w:rsidR="003F2E5D" w:rsidRPr="00873B6C">
        <w:t>o</w:t>
      </w:r>
      <w:r w:rsidRPr="00873B6C">
        <w:t>nboarding as described in clause 5.30.2.10 is optional and subject to Onboarding Network operator policies.</w:t>
      </w:r>
      <w:r w:rsidR="003F2E5D" w:rsidRPr="00873B6C">
        <w:t xml:space="preserve"> However, NSAC for S-NSSAI used for onboarding is not applicable to UEs that registered in ON-SNPN with Registration Type "SNPN Onboarding".</w:t>
      </w:r>
    </w:p>
    <w:p w14:paraId="4605A98A" w14:textId="0844BFE4" w:rsidR="00591B52" w:rsidRPr="00873B6C" w:rsidRDefault="00591B52" w:rsidP="00591B52">
      <w:r w:rsidRPr="00873B6C">
        <w:t xml:space="preserve">In the case of NSAC for maximum number of PDU Sessions, </w:t>
      </w:r>
      <w:r w:rsidR="00FE24CE" w:rsidRPr="00873B6C">
        <w:t xml:space="preserve">when the NSACF rejects the request from the SMF to increase the number of PDU Sessions, the SMF may provide to the UE a back-off timer associated with reject cause set to 'Maximum number of PDU Sessions per S-NSSAI reached' for an Access Type as described in clause 4.2.11.4 of TS 23.502 [3]. If </w:t>
      </w:r>
      <w:r w:rsidRPr="00873B6C">
        <w:t>the UE receives from the SMF a back-off timer associated with the reject cause set to 'Maximum number of PDU Sessions per S-NSSAI reached' for an Access Type, the UE shall not request the establishment of a PDU Session for this S-NSSAI on the indicated Access Type until the back-off timer expires.</w:t>
      </w:r>
    </w:p>
    <w:p w14:paraId="42E2F40C" w14:textId="7DF7B10F" w:rsidR="00757CAF" w:rsidRPr="00873B6C" w:rsidRDefault="00757CAF" w:rsidP="00323277">
      <w:pPr>
        <w:pStyle w:val="Heading4"/>
      </w:pPr>
      <w:bookmarkStart w:id="2772" w:name="_CR5_15_11_1"/>
      <w:bookmarkStart w:id="2773" w:name="_Toc201157284"/>
      <w:bookmarkEnd w:id="2772"/>
      <w:r w:rsidRPr="00873B6C">
        <w:t>5.15.11.1</w:t>
      </w:r>
      <w:r w:rsidR="00AF6F28" w:rsidRPr="00873B6C">
        <w:tab/>
        <w:t>Network Slice Admission Control for maximum number of UEs</w:t>
      </w:r>
      <w:bookmarkEnd w:id="2773"/>
    </w:p>
    <w:p w14:paraId="39A9B4E2" w14:textId="1ADFF0E1" w:rsidR="002C4A81" w:rsidRPr="00873B6C" w:rsidRDefault="002C4A81" w:rsidP="00972E70">
      <w:pPr>
        <w:pStyle w:val="Heading5"/>
      </w:pPr>
      <w:bookmarkStart w:id="2774" w:name="_CR5_15_11_1_1"/>
      <w:bookmarkStart w:id="2775" w:name="_Toc201157285"/>
      <w:bookmarkEnd w:id="2774"/>
      <w:r w:rsidRPr="00873B6C">
        <w:t>5.15.11.1.1</w:t>
      </w:r>
      <w:r w:rsidRPr="00873B6C">
        <w:tab/>
        <w:t>Non-Hierarchical</w:t>
      </w:r>
      <w:r w:rsidR="00A37F57" w:rsidRPr="00873B6C">
        <w:t xml:space="preserve"> NSAC architecture</w:t>
      </w:r>
      <w:bookmarkEnd w:id="2775"/>
    </w:p>
    <w:p w14:paraId="7363FCD3" w14:textId="2940E54E" w:rsidR="00757CAF" w:rsidRPr="00873B6C" w:rsidRDefault="00757CAF" w:rsidP="00757CAF">
      <w:r w:rsidRPr="00873B6C">
        <w:t>The NSACF</w:t>
      </w:r>
      <w:r w:rsidR="00CB6EDC" w:rsidRPr="00873B6C">
        <w:t xml:space="preserve"> keeps track of</w:t>
      </w:r>
      <w:r w:rsidRPr="00873B6C">
        <w:t xml:space="preserve"> the current number of UEs registered for a network slice so that it</w:t>
      </w:r>
      <w:r w:rsidR="00CB6EDC" w:rsidRPr="00873B6C">
        <w:t xml:space="preserve"> can ensure it</w:t>
      </w:r>
      <w:r w:rsidRPr="00873B6C">
        <w:t xml:space="preserve"> does not exceed the maximum number of UEs allowed to register with </w:t>
      </w:r>
      <w:r w:rsidR="00CB6EDC" w:rsidRPr="00873B6C">
        <w:t xml:space="preserve">the </w:t>
      </w:r>
      <w:r w:rsidRPr="00873B6C">
        <w:t>network slice. The NSACF also maintains a list of UE IDs registered with a network slice that is subject to NSAC. When</w:t>
      </w:r>
      <w:r w:rsidR="00CB6EDC" w:rsidRPr="00873B6C">
        <w:t xml:space="preserve"> an event related to a UE causes</w:t>
      </w:r>
      <w:r w:rsidRPr="00873B6C">
        <w:t xml:space="preserve"> the current number of UEs registered with a network slice to increase, the NSACF first checks whether the UE Identity is already in the list of UEs registered with that network slice</w:t>
      </w:r>
      <w:r w:rsidR="00CB6EDC" w:rsidRPr="00873B6C">
        <w:t>. If not, the NSACF</w:t>
      </w:r>
      <w:r w:rsidRPr="00873B6C">
        <w:t xml:space="preserve"> checks whether the maximum number of UEs per network slice for that network slice has already been reached</w:t>
      </w:r>
      <w:r w:rsidR="00CB6EDC" w:rsidRPr="00873B6C">
        <w:t xml:space="preserve"> and if it has, the NSACF applies admission control policies</w:t>
      </w:r>
      <w:r w:rsidRPr="00873B6C">
        <w:t>.</w:t>
      </w:r>
    </w:p>
    <w:p w14:paraId="1173DC5A" w14:textId="645B8CA4" w:rsidR="00757CAF" w:rsidRPr="00873B6C" w:rsidRDefault="00757CAF" w:rsidP="00757CAF">
      <w:r w:rsidRPr="00873B6C">
        <w:t>The AMF triggers a request to NSACF for</w:t>
      </w:r>
      <w:r w:rsidR="00AF6F28" w:rsidRPr="00873B6C">
        <w:t xml:space="preserve"> NSAC for</w:t>
      </w:r>
      <w:r w:rsidRPr="00873B6C">
        <w:t xml:space="preserve"> maximum number of UEs when the UE's registration status for a network slice subject to NSAC</w:t>
      </w:r>
      <w:r w:rsidR="00CB6EDC" w:rsidRPr="00873B6C">
        <w:t xml:space="preserve"> is changing</w:t>
      </w:r>
      <w:r w:rsidRPr="00873B6C">
        <w:t xml:space="preserve">, i.e. during the UE Registration procedure in clause 4.2.2.2.2 </w:t>
      </w:r>
      <w:r w:rsidR="00960CDA" w:rsidRPr="00873B6C">
        <w:t>of</w:t>
      </w:r>
      <w:r w:rsidRPr="00873B6C">
        <w:t xml:space="preserve"> </w:t>
      </w:r>
      <w:r w:rsidR="00972E70" w:rsidRPr="00873B6C">
        <w:t>TS 23.502 [</w:t>
      </w:r>
      <w:r w:rsidRPr="00873B6C">
        <w:t xml:space="preserve">3], UE Deregistration procedure in clause 4.2.2.3 </w:t>
      </w:r>
      <w:r w:rsidR="00960CDA" w:rsidRPr="00873B6C">
        <w:t>of</w:t>
      </w:r>
      <w:r w:rsidRPr="00873B6C">
        <w:t xml:space="preserve"> </w:t>
      </w:r>
      <w:r w:rsidR="00972E70" w:rsidRPr="00873B6C">
        <w:t>TS 23.502 [</w:t>
      </w:r>
      <w:r w:rsidRPr="00873B6C">
        <w:t xml:space="preserve">3], Network Slice-Specific Authentication and Authorisation procedure in clause 4.2.9.2 </w:t>
      </w:r>
      <w:r w:rsidR="00960CDA" w:rsidRPr="00873B6C">
        <w:t>of</w:t>
      </w:r>
      <w:r w:rsidRPr="00873B6C">
        <w:t xml:space="preserve"> </w:t>
      </w:r>
      <w:r w:rsidR="00972E70" w:rsidRPr="00873B6C">
        <w:t>TS 23.502 [</w:t>
      </w:r>
      <w:r w:rsidRPr="00873B6C">
        <w:t xml:space="preserve">3], AAA Server triggered Network Slice-Specific Re-authentication and Re-authorization procedure in clause 4.2.9.3 </w:t>
      </w:r>
      <w:r w:rsidR="00960CDA" w:rsidRPr="00873B6C">
        <w:t>of</w:t>
      </w:r>
      <w:r w:rsidRPr="00873B6C">
        <w:t xml:space="preserve"> </w:t>
      </w:r>
      <w:r w:rsidR="00972E70" w:rsidRPr="00873B6C">
        <w:t>TS 23.502 [</w:t>
      </w:r>
      <w:r w:rsidRPr="00873B6C">
        <w:t xml:space="preserve">3], AAA Server triggered Slice-Specific Authorization Revocation in clause 4.2.9.4 </w:t>
      </w:r>
      <w:r w:rsidR="00960CDA" w:rsidRPr="00873B6C">
        <w:t>of</w:t>
      </w:r>
      <w:r w:rsidRPr="00873B6C">
        <w:t xml:space="preserve"> </w:t>
      </w:r>
      <w:r w:rsidR="00972E70" w:rsidRPr="00873B6C">
        <w:t>TS 23.502 [</w:t>
      </w:r>
      <w:r w:rsidRPr="00873B6C">
        <w:t>3]</w:t>
      </w:r>
      <w:r w:rsidR="00627C2F" w:rsidRPr="00873B6C">
        <w:t xml:space="preserve"> and UE Configuration Update procedure in clause 4.2.4.2 of </w:t>
      </w:r>
      <w:r w:rsidR="00972E70" w:rsidRPr="00873B6C">
        <w:t>TS 23.502 [</w:t>
      </w:r>
      <w:r w:rsidR="00627C2F" w:rsidRPr="00873B6C">
        <w:t>3]</w:t>
      </w:r>
      <w:r w:rsidRPr="00873B6C">
        <w:t>.</w:t>
      </w:r>
    </w:p>
    <w:p w14:paraId="4B5C14E7" w14:textId="4130D07D" w:rsidR="00DA3BBC" w:rsidRPr="00873B6C" w:rsidRDefault="00DA3BBC" w:rsidP="00461850">
      <w:pPr>
        <w:pStyle w:val="NO"/>
      </w:pPr>
      <w:r w:rsidRPr="00873B6C">
        <w:t>NOTE 1:</w:t>
      </w:r>
      <w:r w:rsidRPr="00873B6C">
        <w:tab/>
        <w:t xml:space="preserve">Early Admission Control (EAC) mode is applicable for Number of UEs per network slice admission control. The use of EAC in relation to the number of registered UEs is described in clauses 4.2.11.2 and 4.2.11.3 of </w:t>
      </w:r>
      <w:r w:rsidR="00972E70" w:rsidRPr="00873B6C">
        <w:t>TS 23.502 [</w:t>
      </w:r>
      <w:r w:rsidRPr="00873B6C">
        <w:t>3].</w:t>
      </w:r>
    </w:p>
    <w:p w14:paraId="7794A9E3" w14:textId="5BE58B72" w:rsidR="000F5D21" w:rsidRPr="00873B6C" w:rsidRDefault="00CB6EDC" w:rsidP="000F5D21">
      <w:r w:rsidRPr="00873B6C">
        <w:t xml:space="preserve">Since the </w:t>
      </w:r>
      <w:r w:rsidR="000F5D21" w:rsidRPr="00873B6C">
        <w:t>UE may register or deregister for an S-NSSAI via 3GPP access and/or non-3GPP access as described in clause 5.15.5.2.1.</w:t>
      </w:r>
      <w:r w:rsidR="00627C2F" w:rsidRPr="00873B6C">
        <w:t xml:space="preserve"> The Allowed NSSAI for the access type may change while the UE is registering to a network.</w:t>
      </w:r>
      <w:r w:rsidR="000F5D21" w:rsidRPr="00873B6C">
        <w:t xml:space="preserve"> The AMF provides the </w:t>
      </w:r>
      <w:r w:rsidR="008546A1" w:rsidRPr="00873B6C">
        <w:t>A</w:t>
      </w:r>
      <w:r w:rsidR="000F5D21" w:rsidRPr="00873B6C">
        <w:t xml:space="preserve">ccess </w:t>
      </w:r>
      <w:r w:rsidR="008546A1" w:rsidRPr="00873B6C">
        <w:t>T</w:t>
      </w:r>
      <w:r w:rsidR="000F5D21" w:rsidRPr="00873B6C">
        <w:t>ype to the NSACF when triggering a request to</w:t>
      </w:r>
      <w:r w:rsidR="008546A1" w:rsidRPr="00873B6C">
        <w:t xml:space="preserve"> increase or decrease the</w:t>
      </w:r>
      <w:r w:rsidRPr="00873B6C">
        <w:t xml:space="preserve"> current</w:t>
      </w:r>
      <w:r w:rsidR="008546A1" w:rsidRPr="00873B6C">
        <w:t xml:space="preserve"> number of UEs</w:t>
      </w:r>
      <w:r w:rsidRPr="00873B6C">
        <w:t xml:space="preserve"> registered with a S-NSSAI</w:t>
      </w:r>
      <w:r w:rsidR="000F5D21" w:rsidRPr="00873B6C">
        <w:t>. The NSACF</w:t>
      </w:r>
      <w:r w:rsidRPr="00873B6C">
        <w:t xml:space="preserve"> may</w:t>
      </w:r>
      <w:r w:rsidR="000F5D21" w:rsidRPr="00873B6C">
        <w:t xml:space="preserve"> take</w:t>
      </w:r>
      <w:r w:rsidRPr="00873B6C">
        <w:t xml:space="preserve"> the</w:t>
      </w:r>
      <w:r w:rsidR="000F5D21" w:rsidRPr="00873B6C">
        <w:t xml:space="preserve"> </w:t>
      </w:r>
      <w:r w:rsidR="008546A1" w:rsidRPr="00873B6C">
        <w:t>A</w:t>
      </w:r>
      <w:r w:rsidR="000F5D21" w:rsidRPr="00873B6C">
        <w:t xml:space="preserve">ccess </w:t>
      </w:r>
      <w:r w:rsidR="008546A1" w:rsidRPr="00873B6C">
        <w:t>T</w:t>
      </w:r>
      <w:r w:rsidR="000F5D21" w:rsidRPr="00873B6C">
        <w:t>ype into account for increasing and decreasing the number of UEs per network slice</w:t>
      </w:r>
      <w:r w:rsidRPr="00873B6C">
        <w:t xml:space="preserve"> by storing the</w:t>
      </w:r>
      <w:r w:rsidR="000F5D21" w:rsidRPr="00873B6C">
        <w:t xml:space="preserve"> UE ID with the associated </w:t>
      </w:r>
      <w:r w:rsidR="008546A1" w:rsidRPr="00873B6C">
        <w:t>one or more A</w:t>
      </w:r>
      <w:r w:rsidR="000F5D21" w:rsidRPr="00873B6C">
        <w:t xml:space="preserve">ccess </w:t>
      </w:r>
      <w:r w:rsidR="008546A1" w:rsidRPr="00873B6C">
        <w:t>T</w:t>
      </w:r>
      <w:r w:rsidR="000F5D21" w:rsidRPr="00873B6C">
        <w:t>ype</w:t>
      </w:r>
      <w:r w:rsidR="008546A1" w:rsidRPr="00873B6C">
        <w:t>(s), i.e. the NSACF is able to add or remove a registration for the UE ID for each Access Type</w:t>
      </w:r>
      <w:r w:rsidRPr="00873B6C">
        <w:t xml:space="preserve"> and trigger the increase or decrease of the current number of UEs registered with a S-NSSAI based on a policy that takes the access type into account</w:t>
      </w:r>
      <w:r w:rsidR="000F5D21" w:rsidRPr="00873B6C">
        <w:t>.</w:t>
      </w:r>
      <w:r w:rsidR="00627C2F" w:rsidRPr="00873B6C">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1B99BF30" w:rsidR="000F5D21" w:rsidRPr="00873B6C" w:rsidRDefault="000F5D21" w:rsidP="00562E84">
      <w:pPr>
        <w:pStyle w:val="NO"/>
      </w:pPr>
      <w:r w:rsidRPr="00873B6C">
        <w:t>NOTE</w:t>
      </w:r>
      <w:r w:rsidR="00DA3BBC" w:rsidRPr="00873B6C">
        <w:t> 2</w:t>
      </w:r>
      <w:r w:rsidRPr="00873B6C">
        <w:t>:</w:t>
      </w:r>
      <w:r w:rsidRPr="00873B6C">
        <w:tab/>
        <w:t>For example, if the NSACF</w:t>
      </w:r>
      <w:r w:rsidR="008546A1" w:rsidRPr="00873B6C">
        <w:t xml:space="preserve"> is configured to apply NSAC for</w:t>
      </w:r>
      <w:r w:rsidRPr="00873B6C">
        <w:t xml:space="preserve"> 3GPP Access Type only, the NSACF counts registration via 3GPP </w:t>
      </w:r>
      <w:r w:rsidR="008546A1" w:rsidRPr="00873B6C">
        <w:t>a</w:t>
      </w:r>
      <w:r w:rsidRPr="00873B6C">
        <w:t xml:space="preserve">ccess </w:t>
      </w:r>
      <w:r w:rsidR="008546A1" w:rsidRPr="00873B6C">
        <w:t>t</w:t>
      </w:r>
      <w:r w:rsidRPr="00873B6C">
        <w:t>ype only. If the NSACF</w:t>
      </w:r>
      <w:r w:rsidR="008546A1" w:rsidRPr="00873B6C">
        <w:t xml:space="preserve"> is configured to apply NSAC for</w:t>
      </w:r>
      <w:r w:rsidRPr="00873B6C">
        <w:t xml:space="preserve"> both Access Types</w:t>
      </w:r>
      <w:r w:rsidR="00472CD7" w:rsidRPr="00873B6C">
        <w:t xml:space="preserve"> and</w:t>
      </w:r>
      <w:r w:rsidRPr="00873B6C">
        <w:t xml:space="preserve"> the UE newly registers via 3GPP access while the UE is already registered via non-3GPP access (or vice versa), the NSACF update</w:t>
      </w:r>
      <w:r w:rsidR="008546A1" w:rsidRPr="00873B6C">
        <w:t>s</w:t>
      </w:r>
      <w:r w:rsidRPr="00873B6C">
        <w:t xml:space="preserve"> the UE ID</w:t>
      </w:r>
      <w:r w:rsidR="008546A1" w:rsidRPr="00873B6C">
        <w:t xml:space="preserve"> entry</w:t>
      </w:r>
      <w:r w:rsidRPr="00873B6C">
        <w:t xml:space="preserve"> with both 3GPP </w:t>
      </w:r>
      <w:r w:rsidR="008546A1" w:rsidRPr="00873B6C">
        <w:t>A</w:t>
      </w:r>
      <w:r w:rsidRPr="00873B6C">
        <w:t xml:space="preserve">ccess </w:t>
      </w:r>
      <w:r w:rsidR="008546A1" w:rsidRPr="00873B6C">
        <w:t>T</w:t>
      </w:r>
      <w:r w:rsidRPr="00873B6C">
        <w:t>ype and non</w:t>
      </w:r>
      <w:r w:rsidR="008546A1" w:rsidRPr="00873B6C">
        <w:t>-</w:t>
      </w:r>
      <w:r w:rsidRPr="00873B6C">
        <w:t xml:space="preserve">3GPP </w:t>
      </w:r>
      <w:r w:rsidR="008546A1" w:rsidRPr="00873B6C">
        <w:t>A</w:t>
      </w:r>
      <w:r w:rsidRPr="00873B6C">
        <w:t xml:space="preserve">ccess </w:t>
      </w:r>
      <w:r w:rsidR="008546A1" w:rsidRPr="00873B6C">
        <w:t>T</w:t>
      </w:r>
      <w:r w:rsidRPr="00873B6C">
        <w:t>ype</w:t>
      </w:r>
      <w:r w:rsidR="008546A1" w:rsidRPr="00873B6C">
        <w:t xml:space="preserve"> and the NSACF</w:t>
      </w:r>
      <w:r w:rsidR="00CB6EDC" w:rsidRPr="00873B6C">
        <w:t xml:space="preserve"> may</w:t>
      </w:r>
      <w:r w:rsidR="008546A1" w:rsidRPr="00873B6C">
        <w:t xml:space="preserve"> count the UE</w:t>
      </w:r>
      <w:r w:rsidR="00CB6EDC" w:rsidRPr="00873B6C">
        <w:t xml:space="preserve"> once or twice based on its policy</w:t>
      </w:r>
      <w:r w:rsidRPr="00873B6C">
        <w:t>.</w:t>
      </w:r>
    </w:p>
    <w:p w14:paraId="6286AA1E" w14:textId="69F2E68A" w:rsidR="00AD480D" w:rsidRPr="00873B6C" w:rsidRDefault="00AD480D" w:rsidP="00AD480D">
      <w:pPr>
        <w:pStyle w:val="Heading5"/>
      </w:pPr>
      <w:bookmarkStart w:id="2776" w:name="_CR5_15_11_1_2"/>
      <w:bookmarkStart w:id="2777" w:name="_Toc201157286"/>
      <w:bookmarkEnd w:id="2776"/>
      <w:r w:rsidRPr="00873B6C">
        <w:t>5.15.11.1.2</w:t>
      </w:r>
      <w:r w:rsidRPr="00873B6C">
        <w:tab/>
        <w:t>Hierarchical NSAC architecture</w:t>
      </w:r>
      <w:bookmarkEnd w:id="2777"/>
    </w:p>
    <w:p w14:paraId="5275ACDB" w14:textId="18821990" w:rsidR="00AD480D" w:rsidRPr="00873B6C" w:rsidRDefault="00AD480D" w:rsidP="00AD480D">
      <w:r w:rsidRPr="00873B6C">
        <w:t xml:space="preserve">In the </w:t>
      </w:r>
      <w:r w:rsidR="00A25791" w:rsidRPr="00873B6C">
        <w:t xml:space="preserve">Hierarchical </w:t>
      </w:r>
      <w:r w:rsidRPr="00873B6C">
        <w:t>NSAC architecture, the NSACFs deployed in the</w:t>
      </w:r>
      <w:r w:rsidR="004119E4" w:rsidRPr="00873B6C">
        <w:t xml:space="preserve"> NSAC</w:t>
      </w:r>
      <w:r w:rsidRPr="00873B6C">
        <w:t xml:space="preserve"> service areas interacts with the </w:t>
      </w:r>
      <w:r w:rsidR="00A25791" w:rsidRPr="00873B6C">
        <w:t>P</w:t>
      </w:r>
      <w:r w:rsidRPr="00873B6C">
        <w:t>rimary NSACF when needed</w:t>
      </w:r>
      <w:r w:rsidR="00472CD7" w:rsidRPr="00873B6C">
        <w:t xml:space="preserve"> and</w:t>
      </w:r>
      <w:r w:rsidRPr="00873B6C">
        <w:t xml:space="preserve"> as explained below.</w:t>
      </w:r>
    </w:p>
    <w:p w14:paraId="474CA965" w14:textId="450E9BEC" w:rsidR="00AD480D" w:rsidRPr="00873B6C" w:rsidRDefault="00AD480D" w:rsidP="00AD480D">
      <w:r w:rsidRPr="00873B6C">
        <w:t>The main differences between the</w:t>
      </w:r>
      <w:r w:rsidR="00A25791" w:rsidRPr="00873B6C">
        <w:t xml:space="preserve"> non-Hierarchical</w:t>
      </w:r>
      <w:r w:rsidRPr="00873B6C">
        <w:t xml:space="preserve"> architecture and</w:t>
      </w:r>
      <w:r w:rsidR="00A25791" w:rsidRPr="00873B6C">
        <w:t xml:space="preserve"> the Hierarchical</w:t>
      </w:r>
      <w:r w:rsidRPr="00873B6C">
        <w:t xml:space="preserve"> architecture is</w:t>
      </w:r>
      <w:r w:rsidR="00A25791" w:rsidRPr="00873B6C">
        <w:t xml:space="preserve"> that the AMFs and the NSACFs deployed in the Hierarchical architecture support the following</w:t>
      </w:r>
      <w:r w:rsidRPr="00873B6C">
        <w:t>:</w:t>
      </w:r>
    </w:p>
    <w:p w14:paraId="3FEA90CC" w14:textId="43DB9231" w:rsidR="00AD480D" w:rsidRPr="00873B6C" w:rsidRDefault="00AD480D" w:rsidP="00972E70">
      <w:pPr>
        <w:pStyle w:val="B1"/>
      </w:pPr>
      <w:r w:rsidRPr="00873B6C">
        <w:t>-</w:t>
      </w:r>
      <w:r w:rsidRPr="00873B6C">
        <w:tab/>
        <w:t xml:space="preserve">When the AMF triggers an NSAC request to the NSACF, the AMF includes the UE already Registered indication if </w:t>
      </w:r>
      <w:r w:rsidR="00A25791" w:rsidRPr="00873B6C">
        <w:t xml:space="preserve">the AMF </w:t>
      </w:r>
      <w:r w:rsidRPr="00873B6C">
        <w:t>can determine that the</w:t>
      </w:r>
      <w:r w:rsidR="00A25791" w:rsidRPr="00873B6C">
        <w:t xml:space="preserve"> UE has been</w:t>
      </w:r>
      <w:r w:rsidRPr="00873B6C">
        <w:t xml:space="preserve"> registered</w:t>
      </w:r>
      <w:r w:rsidR="00A25791" w:rsidRPr="00873B6C">
        <w:t xml:space="preserve"> with the</w:t>
      </w:r>
      <w:r w:rsidRPr="00873B6C">
        <w:t xml:space="preserve"> S-NSSAI in one</w:t>
      </w:r>
      <w:r w:rsidR="004119E4" w:rsidRPr="00873B6C">
        <w:t xml:space="preserve"> NSAC</w:t>
      </w:r>
      <w:r w:rsidRPr="00873B6C">
        <w:t xml:space="preserve"> service </w:t>
      </w:r>
      <w:r w:rsidRPr="00873B6C">
        <w:lastRenderedPageBreak/>
        <w:t>area before.</w:t>
      </w:r>
      <w:r w:rsidR="00A25791" w:rsidRPr="00873B6C">
        <w:t xml:space="preserve"> If the AMF does not include the UE already Registered indication, the registration request to the indicated S-NSSAI is determined as initial registration, i.e. the UE has not been registered in any service area before.</w:t>
      </w:r>
      <w:r w:rsidRPr="00873B6C">
        <w:t xml:space="preserve"> The AMF determines the</w:t>
      </w:r>
      <w:r w:rsidR="00A25791" w:rsidRPr="00873B6C">
        <w:t xml:space="preserve"> UE already Registered</w:t>
      </w:r>
      <w:r w:rsidRPr="00873B6C">
        <w:t xml:space="preserve"> indication based on the received Allowed NSSAI information from</w:t>
      </w:r>
      <w:r w:rsidR="00A25791" w:rsidRPr="00873B6C">
        <w:t xml:space="preserve"> the</w:t>
      </w:r>
      <w:r w:rsidRPr="00873B6C">
        <w:t xml:space="preserve"> source AMF (in case of inter AMF handover) or from SMF+PGW-C (in case of mobility from EPS to 5GS)</w:t>
      </w:r>
      <w:r w:rsidR="00A25791" w:rsidRPr="00873B6C">
        <w:t>.</w:t>
      </w:r>
    </w:p>
    <w:p w14:paraId="0BBF9153" w14:textId="77777777" w:rsidR="00AD480D" w:rsidRPr="00873B6C" w:rsidRDefault="00AD480D" w:rsidP="00972E70">
      <w:pPr>
        <w:pStyle w:val="B1"/>
      </w:pPr>
      <w:r w:rsidRPr="00873B6C">
        <w:t>-</w:t>
      </w:r>
      <w:r w:rsidRPr="00873B6C">
        <w:tab/>
        <w:t>There are two types of UE admission control: quota-based control or threshold-based control. A PLMN is configured to deploy only one type of UE admission control. Based on the type of UE admission control configured for the PLMN, the NSACF handles the NSAC request as described below:</w:t>
      </w:r>
    </w:p>
    <w:p w14:paraId="72D546E2" w14:textId="02C894C3" w:rsidR="00AD480D" w:rsidRPr="00873B6C" w:rsidRDefault="00AD480D" w:rsidP="00AD480D">
      <w:pPr>
        <w:pStyle w:val="B2"/>
      </w:pPr>
      <w:r w:rsidRPr="00873B6C">
        <w:t>-</w:t>
      </w:r>
      <w:r w:rsidRPr="00873B6C">
        <w:tab/>
        <w:t>For NSACFs supporting quota-based control, if</w:t>
      </w:r>
      <w:r w:rsidR="00A25791" w:rsidRPr="00873B6C">
        <w:t xml:space="preserve"> the NSACF receives</w:t>
      </w:r>
      <w:r w:rsidRPr="00873B6C">
        <w:t xml:space="preserve"> a request to increase the number of UEs and the number of UEs registered for a network slice has reached</w:t>
      </w:r>
      <w:r w:rsidR="00A25791" w:rsidRPr="00873B6C">
        <w:t xml:space="preserve"> the local maximum number of UEs provisioned in the NSACF</w:t>
      </w:r>
      <w:r w:rsidRPr="00873B6C">
        <w:t>, or upon receiving a request to decrease the number of UEs and no UE entry is</w:t>
      </w:r>
      <w:r w:rsidR="00A25791" w:rsidRPr="00873B6C">
        <w:t xml:space="preserve"> present</w:t>
      </w:r>
      <w:r w:rsidRPr="00873B6C">
        <w:t xml:space="preserve"> in the NSACF, the NSACF interacts with the Primary NSACF for the handling of the NSAC request for the UE. The Primary NSACF may return in the response an updated local maximum number of registered UEs value to the NSACF based on the status of registered UEs for the </w:t>
      </w:r>
      <w:r w:rsidR="00A25791" w:rsidRPr="00873B6C">
        <w:t>N</w:t>
      </w:r>
      <w:r w:rsidRPr="00873B6C">
        <w:t xml:space="preserve">etwork </w:t>
      </w:r>
      <w:r w:rsidR="00A25791" w:rsidRPr="00873B6C">
        <w:t>S</w:t>
      </w:r>
      <w:r w:rsidRPr="00873B6C">
        <w:t>lice and which enables the NSACF to handle locally the request. Alternatively</w:t>
      </w:r>
      <w:r w:rsidR="00472CD7" w:rsidRPr="00873B6C">
        <w:t xml:space="preserve"> and</w:t>
      </w:r>
      <w:r w:rsidRPr="00873B6C">
        <w:t xml:space="preserve"> if the request</w:t>
      </w:r>
      <w:r w:rsidR="00A25791" w:rsidRPr="00873B6C">
        <w:t xml:space="preserve"> to increase the number of UEs</w:t>
      </w:r>
      <w:r w:rsidRPr="00873B6C">
        <w:t xml:space="preserve"> includes the UE already Registered indication, the Primary NSACF may </w:t>
      </w:r>
      <w:r w:rsidR="00A25791" w:rsidRPr="00873B6C">
        <w:t xml:space="preserve">admit the UE request </w:t>
      </w:r>
      <w:r w:rsidRPr="00873B6C">
        <w:t>and store the UE entry</w:t>
      </w:r>
      <w:r w:rsidR="00A25791" w:rsidRPr="00873B6C">
        <w:t xml:space="preserve"> which</w:t>
      </w:r>
      <w:r w:rsidRPr="00873B6C">
        <w:t xml:space="preserve"> allow</w:t>
      </w:r>
      <w:r w:rsidR="00A25791" w:rsidRPr="00873B6C">
        <w:t>s</w:t>
      </w:r>
      <w:r w:rsidRPr="00873B6C">
        <w:t xml:space="preserve"> for service continuity. The Primary NSACF may also reject the request.</w:t>
      </w:r>
      <w:r w:rsidR="00A25791" w:rsidRPr="00873B6C">
        <w:t xml:space="preserve"> If the NSACF receives a request to increase the number of UEs and the local maximum number of UEs is not reached, the NSACF handles the request locally and sends a response to the AMF without interaction with the Primary NSACF.</w:t>
      </w:r>
    </w:p>
    <w:p w14:paraId="67F9C616" w14:textId="294E867E" w:rsidR="00AD480D" w:rsidRPr="00873B6C" w:rsidRDefault="00AD480D" w:rsidP="00AD480D">
      <w:pPr>
        <w:pStyle w:val="B2"/>
      </w:pPr>
      <w:r w:rsidRPr="00873B6C">
        <w:t>-</w:t>
      </w:r>
      <w:r w:rsidRPr="00873B6C">
        <w:tab/>
        <w:t xml:space="preserve">For NSACF supporting threshold-based control, the NSACF is initially configured with </w:t>
      </w:r>
      <w:r w:rsidR="00A25791" w:rsidRPr="00873B6C">
        <w:t xml:space="preserve">a UE admission threshold and a local </w:t>
      </w:r>
      <w:r w:rsidRPr="00873B6C">
        <w:t>maximum number of Registered UEs to be admitted.</w:t>
      </w:r>
      <w:r w:rsidR="00A25791" w:rsidRPr="00873B6C">
        <w:t xml:space="preserve"> Threshold-based control refers to an admission threshold, defined in percentage, against provisioned local maximum number in NSACF (e.g. an admission threshold of 80% refers to the case when 80% of the provisioned local maximum number should be used).</w:t>
      </w:r>
      <w:r w:rsidRPr="00873B6C">
        <w:t xml:space="preserve"> If upon a receiving a request to increase the number of UEs</w:t>
      </w:r>
      <w:r w:rsidR="00A25791" w:rsidRPr="00873B6C">
        <w:t xml:space="preserve"> without a</w:t>
      </w:r>
      <w:r w:rsidRPr="00873B6C">
        <w:t xml:space="preserve"> UE already Registered indication and if UE admission threshold is at or above the threshold level configured at the NSACF, </w:t>
      </w:r>
      <w:r w:rsidR="00A25791" w:rsidRPr="00873B6C">
        <w:t xml:space="preserve">the </w:t>
      </w:r>
      <w:r w:rsidRPr="00873B6C">
        <w:t xml:space="preserve">NSACF immediately rejects the NSAC request. If the received request includes the UE already Registered indication and if UE admission is at or above the threshold level configured at the NSACF, </w:t>
      </w:r>
      <w:r w:rsidR="00A25791" w:rsidRPr="00873B6C">
        <w:t xml:space="preserve">the </w:t>
      </w:r>
      <w:r w:rsidRPr="00873B6C">
        <w:t>NSACF accepts the request to enable UE admission and allow for service continuity as long as the</w:t>
      </w:r>
      <w:r w:rsidR="00A25791" w:rsidRPr="00873B6C">
        <w:t xml:space="preserve"> local</w:t>
      </w:r>
      <w:r w:rsidRPr="00873B6C">
        <w:t xml:space="preserve"> maximum number of Registered UEs have not been reached. If the local maximum number of registered UEs value have been reached, the NSACF interacts with the Primary NSACF for the handling of the NSAC request for the UE. The NSACF does not include the UE already Registered </w:t>
      </w:r>
      <w:r w:rsidR="00A25791" w:rsidRPr="00873B6C">
        <w:t>i</w:t>
      </w:r>
      <w:r w:rsidRPr="00873B6C">
        <w:t>ndication in this case. The Primary NSACF may return an updated UE admission threshold value to the NSACF in the response which enables the NSACF to handle the request locally. Alternatively, the Primary NSACF may handle and store the UE entry. The Primary NSACF may also reject the request.</w:t>
      </w:r>
    </w:p>
    <w:p w14:paraId="74BCE4E9" w14:textId="77777777" w:rsidR="00AD480D" w:rsidRPr="00873B6C" w:rsidRDefault="00AD480D" w:rsidP="00AD480D">
      <w:pPr>
        <w:pStyle w:val="B1"/>
      </w:pPr>
      <w:r w:rsidRPr="00873B6C">
        <w:t>-</w:t>
      </w:r>
      <w:r w:rsidRPr="00873B6C">
        <w:tab/>
        <w:t>For both options, the Primary NSACF supports the following capabilities depending on the NSACF configuration:</w:t>
      </w:r>
    </w:p>
    <w:p w14:paraId="4EF7938B" w14:textId="448A692A" w:rsidR="00AD480D" w:rsidRPr="00873B6C" w:rsidRDefault="00AD480D" w:rsidP="00972E70">
      <w:pPr>
        <w:pStyle w:val="B2"/>
      </w:pPr>
      <w:r w:rsidRPr="00873B6C">
        <w:t>-</w:t>
      </w:r>
      <w:r w:rsidRPr="00873B6C">
        <w:tab/>
        <w:t>Returning a new updated local maximum number of Registered UEs for the NSACF to admit if the NSACF is configured to support</w:t>
      </w:r>
      <w:r w:rsidR="00A25791" w:rsidRPr="00873B6C">
        <w:t xml:space="preserve"> the quota-based UE admission control</w:t>
      </w:r>
      <w:r w:rsidRPr="00873B6C">
        <w:t>; or</w:t>
      </w:r>
    </w:p>
    <w:p w14:paraId="6D2CDDBA" w14:textId="0CF13E7D" w:rsidR="00AD480D" w:rsidRPr="00873B6C" w:rsidRDefault="00AD480D" w:rsidP="00972E70">
      <w:pPr>
        <w:pStyle w:val="B2"/>
      </w:pPr>
      <w:r w:rsidRPr="00873B6C">
        <w:t>-</w:t>
      </w:r>
      <w:r w:rsidRPr="00873B6C">
        <w:tab/>
        <w:t>Returning a new updated UE admission threshold for the NSACF to apply if the NSACF is configured to support</w:t>
      </w:r>
      <w:r w:rsidR="00A25791" w:rsidRPr="00873B6C">
        <w:t xml:space="preserve"> the threshold-based UE admission control</w:t>
      </w:r>
      <w:r w:rsidRPr="00873B6C">
        <w:t>;</w:t>
      </w:r>
    </w:p>
    <w:p w14:paraId="2B589D00" w14:textId="582DA6A9" w:rsidR="00AD480D" w:rsidRPr="00873B6C" w:rsidRDefault="00AD480D" w:rsidP="00972E70">
      <w:pPr>
        <w:pStyle w:val="B2"/>
      </w:pPr>
      <w:r w:rsidRPr="00873B6C">
        <w:t>-</w:t>
      </w:r>
      <w:r w:rsidRPr="00873B6C">
        <w:tab/>
        <w:t xml:space="preserve">The </w:t>
      </w:r>
      <w:r w:rsidR="00A25791" w:rsidRPr="00873B6C">
        <w:t>P</w:t>
      </w:r>
      <w:r w:rsidRPr="00873B6C">
        <w:t>rimary NSACF handles, stores entries only related to UEs which the NSAC request includes the UE already Registered indication, that are already admitted in an existing</w:t>
      </w:r>
      <w:r w:rsidR="004119E4" w:rsidRPr="00873B6C">
        <w:t xml:space="preserve"> NSAC</w:t>
      </w:r>
      <w:r w:rsidRPr="00873B6C">
        <w:t xml:space="preserve"> service area but cannot be admitted in the new</w:t>
      </w:r>
      <w:r w:rsidR="004119E4" w:rsidRPr="00873B6C">
        <w:t xml:space="preserve"> NSAC</w:t>
      </w:r>
      <w:r w:rsidRPr="00873B6C">
        <w:t xml:space="preserve"> service area due to no remaining local maximum number of </w:t>
      </w:r>
      <w:r w:rsidR="00A25791" w:rsidRPr="00873B6C">
        <w:t>r</w:t>
      </w:r>
      <w:r w:rsidRPr="00873B6C">
        <w:t xml:space="preserve">egistered UEs, as long as the overall PLMN number of registered UEs at the Primary NSACF is not exhausted. The </w:t>
      </w:r>
      <w:r w:rsidR="00A25791" w:rsidRPr="00873B6C">
        <w:t>P</w:t>
      </w:r>
      <w:r w:rsidRPr="00873B6C">
        <w:t>rimary NSACF informs the NSACF in its response;</w:t>
      </w:r>
    </w:p>
    <w:p w14:paraId="60DF7313" w14:textId="6A5F75E9" w:rsidR="00AD480D" w:rsidRPr="00873B6C" w:rsidRDefault="00AD480D" w:rsidP="00972E70">
      <w:pPr>
        <w:pStyle w:val="B2"/>
      </w:pPr>
      <w:r w:rsidRPr="00873B6C">
        <w:t>-</w:t>
      </w:r>
      <w:r w:rsidRPr="00873B6C">
        <w:tab/>
        <w:t xml:space="preserve">Based on the response from </w:t>
      </w:r>
      <w:r w:rsidR="00A25791" w:rsidRPr="00873B6C">
        <w:t>the P</w:t>
      </w:r>
      <w:r w:rsidRPr="00873B6C">
        <w:t>rimary NSACF, the NSACF determines whether to accept or reject the NSAC request for UE registration. In addition, the NSACF may also update the local maximum number of Registered UEs or admission threshold respectively if the related updated value is received;</w:t>
      </w:r>
    </w:p>
    <w:p w14:paraId="617C0774" w14:textId="6B3B67A6" w:rsidR="00AD480D" w:rsidRPr="00873B6C" w:rsidRDefault="00AD480D" w:rsidP="00972E70">
      <w:pPr>
        <w:pStyle w:val="B2"/>
      </w:pPr>
      <w:r w:rsidRPr="00873B6C">
        <w:t>-</w:t>
      </w:r>
      <w:r w:rsidRPr="00873B6C">
        <w:tab/>
        <w:t>At any time, the Primary NSACF can update the NSACFs local maximum number of Registered UEs or admission threshold through the</w:t>
      </w:r>
      <w:r w:rsidR="00A25791" w:rsidRPr="00873B6C">
        <w:t xml:space="preserve"> Nnsacf_NSAC_LocalNumberUpdate</w:t>
      </w:r>
      <w:r w:rsidRPr="00873B6C">
        <w:t xml:space="preserve"> operation</w:t>
      </w:r>
      <w:r w:rsidR="00A25791" w:rsidRPr="00873B6C">
        <w:t xml:space="preserve"> as described in clause 4.2.11.6 of TS 23.502 [3]. The updated values provided from the Primary NSACF to the NSACFs may directly apply to current NSAC pending request in NSACF and are used for all future requests</w:t>
      </w:r>
      <w:r w:rsidRPr="00873B6C">
        <w:t>.</w:t>
      </w:r>
    </w:p>
    <w:p w14:paraId="47BB6E80" w14:textId="7A9B4586" w:rsidR="00AD480D" w:rsidRPr="00873B6C" w:rsidRDefault="00AD480D" w:rsidP="00AD480D">
      <w:pPr>
        <w:pStyle w:val="B1"/>
      </w:pPr>
      <w:r w:rsidRPr="00873B6C">
        <w:lastRenderedPageBreak/>
        <w:t>-</w:t>
      </w:r>
      <w:r w:rsidRPr="00873B6C">
        <w:tab/>
        <w:t xml:space="preserve">The Primary NSACF subscribes </w:t>
      </w:r>
      <w:r w:rsidR="00A25791" w:rsidRPr="00873B6C">
        <w:t xml:space="preserve">with </w:t>
      </w:r>
      <w:r w:rsidRPr="00873B6C">
        <w:t>all N</w:t>
      </w:r>
      <w:r w:rsidR="00A25791" w:rsidRPr="00873B6C">
        <w:t>S</w:t>
      </w:r>
      <w:r w:rsidRPr="00873B6C">
        <w:t>ACFs to obtain the number of</w:t>
      </w:r>
      <w:r w:rsidR="00A25791" w:rsidRPr="00873B6C">
        <w:t xml:space="preserve"> currently</w:t>
      </w:r>
      <w:r w:rsidRPr="00873B6C">
        <w:t xml:space="preserve"> registered UEs at all NSACFs.</w:t>
      </w:r>
      <w:r w:rsidR="00A25791" w:rsidRPr="00873B6C">
        <w:t xml:space="preserve"> Based on the obtained information, the Primary NSACF can update the NSACF with local maximum number of registered UEs.</w:t>
      </w:r>
    </w:p>
    <w:p w14:paraId="06D3F837" w14:textId="199127A4" w:rsidR="00AD480D" w:rsidRPr="00873B6C" w:rsidRDefault="00AD480D" w:rsidP="00AD480D">
      <w:pPr>
        <w:pStyle w:val="Heading5"/>
      </w:pPr>
      <w:bookmarkStart w:id="2778" w:name="_CR5_15_11_1_3"/>
      <w:bookmarkStart w:id="2779" w:name="_Toc201157287"/>
      <w:bookmarkEnd w:id="2778"/>
      <w:r w:rsidRPr="00873B6C">
        <w:t>5.15.11.1.3</w:t>
      </w:r>
      <w:r w:rsidRPr="00873B6C">
        <w:tab/>
        <w:t>Centralized NSAC architecture</w:t>
      </w:r>
      <w:bookmarkEnd w:id="2779"/>
    </w:p>
    <w:p w14:paraId="0CE5FA8D" w14:textId="3D396120" w:rsidR="00AD480D" w:rsidRPr="00873B6C" w:rsidRDefault="00AD480D" w:rsidP="00AD480D">
      <w:r w:rsidRPr="00873B6C">
        <w:t xml:space="preserve">The main differences between the NSACFs deployed in a non-Hierarchical architecture and NSACFs deployed in a </w:t>
      </w:r>
      <w:r w:rsidR="00A25791" w:rsidRPr="00873B6C">
        <w:t>C</w:t>
      </w:r>
      <w:r w:rsidRPr="00873B6C">
        <w:t>entralized</w:t>
      </w:r>
      <w:r w:rsidR="00A25791" w:rsidRPr="00873B6C">
        <w:t xml:space="preserve"> NSAC</w:t>
      </w:r>
      <w:r w:rsidRPr="00873B6C">
        <w:t xml:space="preserve"> architecture is as follows:</w:t>
      </w:r>
    </w:p>
    <w:p w14:paraId="6DC998E9" w14:textId="75F29A43" w:rsidR="00AD480D" w:rsidRPr="00873B6C" w:rsidRDefault="00AD480D" w:rsidP="00972E70">
      <w:pPr>
        <w:pStyle w:val="B1"/>
      </w:pPr>
      <w:r w:rsidRPr="00873B6C">
        <w:t>-</w:t>
      </w:r>
      <w:r w:rsidRPr="00873B6C">
        <w:tab/>
        <w:t xml:space="preserve">If multiple NSAC service areas are deployed in PLMN, the AMF provides the NSAC </w:t>
      </w:r>
      <w:r w:rsidR="004119E4" w:rsidRPr="00873B6C">
        <w:t>S</w:t>
      </w:r>
      <w:r w:rsidRPr="00873B6C">
        <w:t xml:space="preserve">ervice </w:t>
      </w:r>
      <w:r w:rsidR="004119E4" w:rsidRPr="00873B6C">
        <w:t>A</w:t>
      </w:r>
      <w:r w:rsidRPr="00873B6C">
        <w:t xml:space="preserve">rea </w:t>
      </w:r>
      <w:r w:rsidR="004119E4" w:rsidRPr="00873B6C">
        <w:t xml:space="preserve">Identifier </w:t>
      </w:r>
      <w:r w:rsidRPr="00873B6C">
        <w:t xml:space="preserve">information to the centralized NSACF. The centralized NSACF also stores the NSAC </w:t>
      </w:r>
      <w:r w:rsidR="004119E4" w:rsidRPr="00873B6C">
        <w:t>S</w:t>
      </w:r>
      <w:r w:rsidRPr="00873B6C">
        <w:t xml:space="preserve">ervice </w:t>
      </w:r>
      <w:r w:rsidR="004119E4" w:rsidRPr="00873B6C">
        <w:t>A</w:t>
      </w:r>
      <w:r w:rsidRPr="00873B6C">
        <w:t xml:space="preserve">rea </w:t>
      </w:r>
      <w:r w:rsidR="004119E4" w:rsidRPr="00873B6C">
        <w:t xml:space="preserve">Identifier </w:t>
      </w:r>
      <w:r w:rsidRPr="00873B6C">
        <w:t>of the AMF the UE is registered with.</w:t>
      </w:r>
    </w:p>
    <w:p w14:paraId="6331735F" w14:textId="3FDACBF0" w:rsidR="008E69B3" w:rsidRPr="00873B6C" w:rsidRDefault="008E69B3" w:rsidP="008E69B3">
      <w:pPr>
        <w:pStyle w:val="Heading4"/>
      </w:pPr>
      <w:bookmarkStart w:id="2780" w:name="_CR5_15_11_2"/>
      <w:bookmarkStart w:id="2781" w:name="_Toc201157288"/>
      <w:bookmarkEnd w:id="2780"/>
      <w:r w:rsidRPr="00873B6C">
        <w:t>5.15.11.2</w:t>
      </w:r>
      <w:r w:rsidR="00AF6F28" w:rsidRPr="00873B6C">
        <w:tab/>
        <w:t>Network Slice Admission Control for maximum number of PDU sessions</w:t>
      </w:r>
      <w:bookmarkEnd w:id="2781"/>
    </w:p>
    <w:p w14:paraId="07E185D3" w14:textId="66DAE60B" w:rsidR="002C4A81" w:rsidRPr="00873B6C" w:rsidRDefault="002C4A81" w:rsidP="00972E70">
      <w:pPr>
        <w:pStyle w:val="Heading5"/>
      </w:pPr>
      <w:bookmarkStart w:id="2782" w:name="_CR5_15_11_2_1"/>
      <w:bookmarkStart w:id="2783" w:name="_Toc201157289"/>
      <w:bookmarkEnd w:id="2782"/>
      <w:r w:rsidRPr="00873B6C">
        <w:t>5.15.11.2.1</w:t>
      </w:r>
      <w:r w:rsidRPr="00873B6C">
        <w:tab/>
        <w:t>Non- Hierarchical</w:t>
      </w:r>
      <w:r w:rsidR="00A37F57" w:rsidRPr="00873B6C">
        <w:t xml:space="preserve"> NSAC architecture</w:t>
      </w:r>
      <w:bookmarkEnd w:id="2783"/>
    </w:p>
    <w:p w14:paraId="35E5CA8B" w14:textId="0D4E1753" w:rsidR="008E69B3" w:rsidRPr="00873B6C" w:rsidRDefault="008E69B3" w:rsidP="008E69B3">
      <w:r w:rsidRPr="00873B6C">
        <w:t>The NSACF</w:t>
      </w:r>
      <w:r w:rsidR="00CB6EDC" w:rsidRPr="00873B6C">
        <w:t xml:space="preserve"> keeps track of</w:t>
      </w:r>
      <w:r w:rsidRPr="00873B6C">
        <w:t xml:space="preserve"> the current number of PDU Sessions per network slice so that</w:t>
      </w:r>
      <w:r w:rsidR="00CB6EDC" w:rsidRPr="00873B6C">
        <w:t xml:space="preserve"> it can ensure</w:t>
      </w:r>
      <w:r w:rsidRPr="00873B6C">
        <w:t xml:space="preserve"> it does not exceed the maximum number of PDU session allowed to be served by </w:t>
      </w:r>
      <w:r w:rsidR="00CB6EDC" w:rsidRPr="00873B6C">
        <w:t xml:space="preserve">the </w:t>
      </w:r>
      <w:r w:rsidRPr="00873B6C">
        <w:t>network slice. When</w:t>
      </w:r>
      <w:r w:rsidR="00CB6EDC" w:rsidRPr="00873B6C">
        <w:t xml:space="preserve"> an event related to a UE causes</w:t>
      </w:r>
      <w:r w:rsidRPr="00873B6C">
        <w:t xml:space="preserve"> the current number of PDU sessions</w:t>
      </w:r>
      <w:r w:rsidR="00CB6EDC" w:rsidRPr="00873B6C">
        <w:t xml:space="preserve"> established</w:t>
      </w:r>
      <w:r w:rsidRPr="00873B6C">
        <w:t xml:space="preserve"> with</w:t>
      </w:r>
      <w:r w:rsidR="00CB6EDC" w:rsidRPr="00873B6C">
        <w:t>in</w:t>
      </w:r>
      <w:r w:rsidRPr="00873B6C">
        <w:t xml:space="preserve"> the network slice is to increase, the NSACF checks whether the maximum number of PDU sessions per network slice for that network slice has already been reached</w:t>
      </w:r>
      <w:r w:rsidR="00CB6EDC" w:rsidRPr="00873B6C">
        <w:t xml:space="preserve"> and if it has, the NSACF applies admission control policies</w:t>
      </w:r>
      <w:r w:rsidRPr="00873B6C">
        <w:t>.</w:t>
      </w:r>
    </w:p>
    <w:p w14:paraId="34F29896" w14:textId="50909858" w:rsidR="008E69B3" w:rsidRPr="00873B6C" w:rsidRDefault="008E69B3" w:rsidP="008E69B3">
      <w:r w:rsidRPr="00873B6C">
        <w:t xml:space="preserve">The anchor SMF triggers a request to NSACF for maximum number of PDU sessions per network slice control during PDU session establishment/release procedures in clauses 4.3.2 and 4.3.4 </w:t>
      </w:r>
      <w:r w:rsidR="00960CDA" w:rsidRPr="00873B6C">
        <w:t>of</w:t>
      </w:r>
      <w:r w:rsidRPr="00873B6C">
        <w:t xml:space="preserve"> </w:t>
      </w:r>
      <w:r w:rsidR="00972E70" w:rsidRPr="00873B6C">
        <w:t>TS 23.502 [</w:t>
      </w:r>
      <w:r w:rsidRPr="00873B6C">
        <w:t>3].</w:t>
      </w:r>
    </w:p>
    <w:p w14:paraId="2D1913EF" w14:textId="49AAE7C3" w:rsidR="008546A1" w:rsidRPr="00873B6C" w:rsidRDefault="008546A1" w:rsidP="00C74FFE">
      <w:r w:rsidRPr="00873B6C">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873B6C" w:rsidRDefault="00C950EF" w:rsidP="00562E84">
      <w:pPr>
        <w:pStyle w:val="NO"/>
      </w:pPr>
      <w:r w:rsidRPr="00873B6C">
        <w:t>NOTE 1:</w:t>
      </w:r>
      <w:r w:rsidRPr="00873B6C">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873B6C" w:rsidRDefault="008E69B3" w:rsidP="00562E84">
      <w:pPr>
        <w:pStyle w:val="NO"/>
      </w:pPr>
      <w:r w:rsidRPr="00873B6C">
        <w:t>NOTE</w:t>
      </w:r>
      <w:r w:rsidR="00C950EF" w:rsidRPr="00873B6C">
        <w:t> 2</w:t>
      </w:r>
      <w:r w:rsidRPr="00873B6C">
        <w:t>:</w:t>
      </w:r>
      <w:r w:rsidRPr="00873B6C">
        <w:tab/>
        <w:t>I-SMF does not interact with NSCAF.</w:t>
      </w:r>
    </w:p>
    <w:p w14:paraId="577C4D2A" w14:textId="508DE8D7" w:rsidR="00AD480D" w:rsidRPr="00873B6C" w:rsidRDefault="00AD480D" w:rsidP="002C4A81">
      <w:pPr>
        <w:pStyle w:val="Heading5"/>
      </w:pPr>
      <w:bookmarkStart w:id="2784" w:name="_CR5_15_11_2_2"/>
      <w:bookmarkStart w:id="2785" w:name="_Toc201157290"/>
      <w:bookmarkEnd w:id="2784"/>
      <w:r w:rsidRPr="00873B6C">
        <w:t>5.15.11.2.2</w:t>
      </w:r>
      <w:r w:rsidRPr="00873B6C">
        <w:tab/>
        <w:t>Hierarchical NSAC architecture</w:t>
      </w:r>
      <w:bookmarkEnd w:id="2785"/>
    </w:p>
    <w:p w14:paraId="3E4F3F17" w14:textId="7AE1558C" w:rsidR="00AD480D" w:rsidRPr="00873B6C" w:rsidRDefault="00AD480D" w:rsidP="00AD480D">
      <w:r w:rsidRPr="00873B6C">
        <w:t>The main differences between the NSACFs deployed in a non-</w:t>
      </w:r>
      <w:r w:rsidR="00A25791" w:rsidRPr="00873B6C">
        <w:t xml:space="preserve">Hierarchical </w:t>
      </w:r>
      <w:r w:rsidRPr="00873B6C">
        <w:t xml:space="preserve">architecture and NSACFs deployed in a </w:t>
      </w:r>
      <w:r w:rsidR="00A25791" w:rsidRPr="00873B6C">
        <w:t xml:space="preserve">Hierarchical </w:t>
      </w:r>
      <w:r w:rsidRPr="00873B6C">
        <w:t>architecture is as follows:</w:t>
      </w:r>
    </w:p>
    <w:p w14:paraId="4A623E91" w14:textId="77777777" w:rsidR="00AD480D" w:rsidRPr="00873B6C" w:rsidRDefault="00AD480D" w:rsidP="00972E70">
      <w:pPr>
        <w:pStyle w:val="B1"/>
      </w:pPr>
      <w:r w:rsidRPr="00873B6C">
        <w:t>-</w:t>
      </w:r>
      <w:r w:rsidRPr="00873B6C">
        <w:tab/>
        <w:t>The NSCAF is enhanced to support PDU session admission quota-based control.</w:t>
      </w:r>
    </w:p>
    <w:p w14:paraId="5094477A" w14:textId="319BDD90" w:rsidR="00AD480D" w:rsidRPr="00873B6C" w:rsidRDefault="00AD480D" w:rsidP="00972E70">
      <w:pPr>
        <w:pStyle w:val="B1"/>
      </w:pPr>
      <w:r w:rsidRPr="00873B6C">
        <w:t>-</w:t>
      </w:r>
      <w:r w:rsidRPr="00873B6C">
        <w:tab/>
        <w:t xml:space="preserve">When the local maximum number of PDU sessions is reached, the NSACF interacts with the </w:t>
      </w:r>
      <w:r w:rsidR="00A25791" w:rsidRPr="00873B6C">
        <w:t>P</w:t>
      </w:r>
      <w:r w:rsidRPr="00873B6C">
        <w:t>rimary NSACF to handle the request. The Primary NSACF either return an increased local maximum number to the NSACF, or reject the local maximum number value update request if all the global maximum number are consumed based on the status of established PDU sessions to the network slice.</w:t>
      </w:r>
    </w:p>
    <w:p w14:paraId="2918A5F7" w14:textId="6EC8863B" w:rsidR="00FA5436" w:rsidRPr="00873B6C" w:rsidRDefault="00FA5436" w:rsidP="00FA5436">
      <w:pPr>
        <w:pStyle w:val="NO"/>
      </w:pPr>
      <w:r w:rsidRPr="00873B6C">
        <w:t>NOTE:</w:t>
      </w:r>
      <w:r w:rsidRPr="00873B6C">
        <w:tab/>
        <w:t>For Hierarchical NSAC architecture global maximum number used within this specification is synonymous with the maximum number of allowed registered UEs or established PDU Sessions for an S-NSSAI subject to Network Slice Admission Control (NSAC) for the entire PLMN and outbound roamers.</w:t>
      </w:r>
    </w:p>
    <w:p w14:paraId="17283EE3" w14:textId="781F4B1E" w:rsidR="00AD480D" w:rsidRPr="00873B6C" w:rsidRDefault="00AD480D" w:rsidP="00972E70">
      <w:pPr>
        <w:pStyle w:val="B1"/>
      </w:pPr>
      <w:r w:rsidRPr="00873B6C">
        <w:t>-</w:t>
      </w:r>
      <w:r w:rsidRPr="00873B6C">
        <w:tab/>
        <w:t xml:space="preserve">Based on the response from </w:t>
      </w:r>
      <w:r w:rsidR="00A25791" w:rsidRPr="00873B6C">
        <w:t>P</w:t>
      </w:r>
      <w:r w:rsidRPr="00873B6C">
        <w:t xml:space="preserve">rimary NSACF, the NSACF updates the local maximum number if updated value is received from the </w:t>
      </w:r>
      <w:r w:rsidR="00A25791" w:rsidRPr="00873B6C">
        <w:t>P</w:t>
      </w:r>
      <w:r w:rsidRPr="00873B6C">
        <w:t>rimary NSACF. The NSACF updates local maximum number value (if received) and determines whether to accept or reject the NSAC request for PDU session establishment based on the local maximum number value.</w:t>
      </w:r>
    </w:p>
    <w:p w14:paraId="0D6C4E31" w14:textId="67FA8B6A" w:rsidR="00AD480D" w:rsidRPr="00873B6C" w:rsidRDefault="00AD480D" w:rsidP="00972E70">
      <w:pPr>
        <w:pStyle w:val="B1"/>
      </w:pPr>
      <w:r w:rsidRPr="00873B6C">
        <w:t>-</w:t>
      </w:r>
      <w:r w:rsidRPr="00873B6C">
        <w:tab/>
        <w:t>The update of local maximum number value by the Primary NSACF can also happen at any time through the</w:t>
      </w:r>
      <w:r w:rsidR="00A25791" w:rsidRPr="00873B6C">
        <w:t xml:space="preserve"> Nnsacf_NSAC_LocalNumberUpdate</w:t>
      </w:r>
      <w:r w:rsidRPr="00873B6C">
        <w:t xml:space="preserve"> service operation</w:t>
      </w:r>
      <w:r w:rsidR="00A25791" w:rsidRPr="00873B6C">
        <w:t xml:space="preserve"> as described in clause 4.2.11.6 TS 23.502 [3]. The updated values provided from the Primary NSACF to NSACFs may directly apply to current NSAC pending request in NSACF and are used for all future requests</w:t>
      </w:r>
      <w:r w:rsidRPr="00873B6C">
        <w:t>.</w:t>
      </w:r>
    </w:p>
    <w:p w14:paraId="2007AB48" w14:textId="0F7435B3" w:rsidR="00AD480D" w:rsidRPr="00873B6C" w:rsidRDefault="00AD480D" w:rsidP="00972E70">
      <w:pPr>
        <w:pStyle w:val="B1"/>
      </w:pPr>
      <w:r w:rsidRPr="00873B6C">
        <w:lastRenderedPageBreak/>
        <w:t>-</w:t>
      </w:r>
      <w:r w:rsidRPr="00873B6C">
        <w:tab/>
        <w:t>The Primary NSACF subscribes</w:t>
      </w:r>
      <w:r w:rsidR="00A25791" w:rsidRPr="00873B6C">
        <w:t xml:space="preserve"> with</w:t>
      </w:r>
      <w:r w:rsidRPr="00873B6C">
        <w:t xml:space="preserve"> all N</w:t>
      </w:r>
      <w:r w:rsidR="00A25791" w:rsidRPr="00873B6C">
        <w:t>S</w:t>
      </w:r>
      <w:r w:rsidRPr="00873B6C">
        <w:t>ACFs to obtain the number of</w:t>
      </w:r>
      <w:r w:rsidR="00A25791" w:rsidRPr="00873B6C">
        <w:t xml:space="preserve"> currently</w:t>
      </w:r>
      <w:r w:rsidRPr="00873B6C">
        <w:t xml:space="preserve"> established PDU sessions at all NSACFs.</w:t>
      </w:r>
      <w:r w:rsidR="00A25791" w:rsidRPr="00873B6C">
        <w:t xml:space="preserve"> Based on the obtained information, the Primary NSACF can update the NSACF with local maximum number of established PDU sessions.</w:t>
      </w:r>
    </w:p>
    <w:p w14:paraId="2A1B162A" w14:textId="532898D7" w:rsidR="002C4A81" w:rsidRPr="00873B6C" w:rsidRDefault="002C4A81" w:rsidP="002C4A81">
      <w:pPr>
        <w:pStyle w:val="Heading5"/>
      </w:pPr>
      <w:bookmarkStart w:id="2786" w:name="_CR5_15_11_2_3"/>
      <w:bookmarkStart w:id="2787" w:name="_Toc201157291"/>
      <w:bookmarkEnd w:id="2786"/>
      <w:r w:rsidRPr="00873B6C">
        <w:t>5.15.11.2.</w:t>
      </w:r>
      <w:r w:rsidR="00AD480D" w:rsidRPr="00873B6C">
        <w:t>3</w:t>
      </w:r>
      <w:r w:rsidRPr="00873B6C">
        <w:tab/>
        <w:t>Centralized</w:t>
      </w:r>
      <w:r w:rsidR="00A37F57" w:rsidRPr="00873B6C">
        <w:t xml:space="preserve"> NSAC architecture</w:t>
      </w:r>
      <w:bookmarkEnd w:id="2787"/>
    </w:p>
    <w:p w14:paraId="0C6E3346" w14:textId="783CBD89" w:rsidR="002C4A81" w:rsidRPr="00873B6C" w:rsidRDefault="002C4A81" w:rsidP="002C4A81">
      <w:r w:rsidRPr="00873B6C">
        <w:t>The main differences between the NSACFs deployed in a non-Hierarchical</w:t>
      </w:r>
      <w:r w:rsidR="00A25791" w:rsidRPr="00873B6C">
        <w:t xml:space="preserve"> NSAC</w:t>
      </w:r>
      <w:r w:rsidRPr="00873B6C">
        <w:t xml:space="preserve"> architecture and NSACFs deployed in a </w:t>
      </w:r>
      <w:r w:rsidR="00A25791" w:rsidRPr="00873B6C">
        <w:t>C</w:t>
      </w:r>
      <w:r w:rsidRPr="00873B6C">
        <w:t>entralized</w:t>
      </w:r>
      <w:r w:rsidR="00A25791" w:rsidRPr="00873B6C">
        <w:t xml:space="preserve"> NSAC</w:t>
      </w:r>
      <w:r w:rsidRPr="00873B6C">
        <w:t xml:space="preserve"> architecture is as follows</w:t>
      </w:r>
    </w:p>
    <w:p w14:paraId="2061584F" w14:textId="10FCF128" w:rsidR="002C4A81" w:rsidRPr="00873B6C" w:rsidRDefault="002C4A81" w:rsidP="00972E70">
      <w:pPr>
        <w:pStyle w:val="B1"/>
      </w:pPr>
      <w:r w:rsidRPr="00873B6C">
        <w:t>-</w:t>
      </w:r>
      <w:r w:rsidRPr="00873B6C">
        <w:tab/>
        <w:t xml:space="preserve">If multiple NSAC service areas are deployed in </w:t>
      </w:r>
      <w:r w:rsidR="00A25791" w:rsidRPr="00873B6C">
        <w:t xml:space="preserve">a </w:t>
      </w:r>
      <w:r w:rsidRPr="00873B6C">
        <w:t xml:space="preserve">PLMN, the SMF provides the NSAC </w:t>
      </w:r>
      <w:r w:rsidR="004119E4" w:rsidRPr="00873B6C">
        <w:t>S</w:t>
      </w:r>
      <w:r w:rsidRPr="00873B6C">
        <w:t xml:space="preserve">ervice </w:t>
      </w:r>
      <w:r w:rsidR="004119E4" w:rsidRPr="00873B6C">
        <w:t>A</w:t>
      </w:r>
      <w:r w:rsidRPr="00873B6C">
        <w:t>rea</w:t>
      </w:r>
      <w:r w:rsidR="004119E4" w:rsidRPr="00873B6C">
        <w:t xml:space="preserve"> Identifier</w:t>
      </w:r>
      <w:r w:rsidRPr="00873B6C">
        <w:t xml:space="preserve"> to the centralized NSACF. The centralized NSACF also stores the NSAC </w:t>
      </w:r>
      <w:r w:rsidR="004119E4" w:rsidRPr="00873B6C">
        <w:t>S</w:t>
      </w:r>
      <w:r w:rsidRPr="00873B6C">
        <w:t xml:space="preserve">ervice </w:t>
      </w:r>
      <w:r w:rsidR="004119E4" w:rsidRPr="00873B6C">
        <w:t>A</w:t>
      </w:r>
      <w:r w:rsidRPr="00873B6C">
        <w:t>rea</w:t>
      </w:r>
      <w:r w:rsidR="004119E4" w:rsidRPr="00873B6C">
        <w:t xml:space="preserve"> Identifier</w:t>
      </w:r>
      <w:r w:rsidRPr="00873B6C">
        <w:t xml:space="preserve"> of the SMF the PDU session is established on.</w:t>
      </w:r>
    </w:p>
    <w:p w14:paraId="2765FACE" w14:textId="3703C1AE" w:rsidR="00B96062" w:rsidRPr="00873B6C" w:rsidRDefault="00B96062" w:rsidP="00B96062">
      <w:pPr>
        <w:pStyle w:val="Heading4"/>
      </w:pPr>
      <w:bookmarkStart w:id="2788" w:name="_CR5_15_11_3"/>
      <w:bookmarkStart w:id="2789" w:name="_Toc201157292"/>
      <w:bookmarkEnd w:id="2788"/>
      <w:r w:rsidRPr="00873B6C">
        <w:t>5.15.11.3</w:t>
      </w:r>
      <w:r w:rsidRPr="00873B6C">
        <w:tab/>
        <w:t>Network Slice Admission Control for Roaming</w:t>
      </w:r>
      <w:bookmarkEnd w:id="2789"/>
    </w:p>
    <w:p w14:paraId="7AEE2F1F" w14:textId="00186DCF" w:rsidR="002C4A81" w:rsidRPr="00873B6C" w:rsidRDefault="002C4A81" w:rsidP="00972E70">
      <w:pPr>
        <w:pStyle w:val="Heading5"/>
      </w:pPr>
      <w:bookmarkStart w:id="2790" w:name="_CR5_15_11_3_0"/>
      <w:bookmarkStart w:id="2791" w:name="_Toc201157293"/>
      <w:bookmarkEnd w:id="2790"/>
      <w:r w:rsidRPr="00873B6C">
        <w:t>5.15.11.3.0</w:t>
      </w:r>
      <w:r w:rsidRPr="00873B6C">
        <w:tab/>
        <w:t>General</w:t>
      </w:r>
      <w:bookmarkEnd w:id="2791"/>
    </w:p>
    <w:p w14:paraId="39219848" w14:textId="77777777" w:rsidR="002C4A81" w:rsidRPr="00873B6C" w:rsidRDefault="00B96062" w:rsidP="00B96062">
      <w:r w:rsidRPr="00873B6C">
        <w:t xml:space="preserve">In the case of roaming, depending on operator's policy, a roaming agreement or an SLA between the VPLMN and the HPLMN, NSAC </w:t>
      </w:r>
      <w:r w:rsidR="00DF6095" w:rsidRPr="00873B6C">
        <w:t xml:space="preserve">of </w:t>
      </w:r>
      <w:r w:rsidRPr="00873B6C">
        <w:t>roaming UEs</w:t>
      </w:r>
      <w:r w:rsidR="00DF6095" w:rsidRPr="00873B6C">
        <w:t xml:space="preserve"> is</w:t>
      </w:r>
      <w:r w:rsidRPr="00873B6C">
        <w:t xml:space="preserve"> performed by </w:t>
      </w:r>
      <w:r w:rsidR="002C4A81" w:rsidRPr="00873B6C">
        <w:t>one of the following modes of NSAC admission:</w:t>
      </w:r>
    </w:p>
    <w:p w14:paraId="12258AF2" w14:textId="77777777" w:rsidR="002C4A81" w:rsidRPr="00873B6C" w:rsidRDefault="002C4A81" w:rsidP="002C4A81">
      <w:pPr>
        <w:pStyle w:val="B1"/>
      </w:pPr>
      <w:r w:rsidRPr="00873B6C">
        <w:t>-</w:t>
      </w:r>
      <w:r w:rsidRPr="00873B6C">
        <w:tab/>
        <w:t>VPLMN NSAC Admission; or</w:t>
      </w:r>
    </w:p>
    <w:p w14:paraId="4550193D" w14:textId="77777777" w:rsidR="002C4A81" w:rsidRPr="00873B6C" w:rsidRDefault="002C4A81" w:rsidP="002C4A81">
      <w:pPr>
        <w:pStyle w:val="B1"/>
      </w:pPr>
      <w:r w:rsidRPr="00873B6C">
        <w:t>-</w:t>
      </w:r>
      <w:r w:rsidRPr="00873B6C">
        <w:tab/>
        <w:t>VPLMN with HPLMN assistance NSAC Admission; or</w:t>
      </w:r>
    </w:p>
    <w:p w14:paraId="2CE52343" w14:textId="77777777" w:rsidR="002C4A81" w:rsidRPr="00873B6C" w:rsidRDefault="002C4A81" w:rsidP="002C4A81">
      <w:pPr>
        <w:pStyle w:val="B1"/>
      </w:pPr>
      <w:r w:rsidRPr="00873B6C">
        <w:t>-</w:t>
      </w:r>
      <w:r w:rsidRPr="00873B6C">
        <w:tab/>
        <w:t>HPLMN NSAC Admission.</w:t>
      </w:r>
    </w:p>
    <w:p w14:paraId="6D867C9B" w14:textId="606A0423" w:rsidR="002C4A81" w:rsidRPr="00873B6C" w:rsidRDefault="002C4A81" w:rsidP="002C4A81">
      <w:r w:rsidRPr="00873B6C">
        <w:t>The VPLMN (AMF and SMF) identifies the mode to apply from the AMF subscription data at UE registration</w:t>
      </w:r>
      <w:r w:rsidR="00472CD7" w:rsidRPr="00873B6C">
        <w:t xml:space="preserve"> and</w:t>
      </w:r>
      <w:r w:rsidRPr="00873B6C">
        <w:t xml:space="preserve"> from the SMF subscription data at PDU session establishment.</w:t>
      </w:r>
    </w:p>
    <w:p w14:paraId="5B673A25" w14:textId="77777777" w:rsidR="002C4A81" w:rsidRPr="00873B6C" w:rsidRDefault="002C4A81" w:rsidP="002C4A81">
      <w:r w:rsidRPr="00873B6C">
        <w:t>For all the above modes, for NSAC of roaming UEs for maximum number of UEs per network slice and/or maximum number of PDU Sessions per network slice managed by the VPLMN, each S-NSSAI of the HPLMN that is subject to NSAC is mapped to a corresponding S-NSSAI of the VPLMN subject to NSAC.</w:t>
      </w:r>
    </w:p>
    <w:p w14:paraId="222E96C1" w14:textId="32812783" w:rsidR="002C4A81" w:rsidRPr="00873B6C" w:rsidRDefault="002C4A81" w:rsidP="002C4A81">
      <w:r w:rsidRPr="00873B6C">
        <w:t>For both VPLMN NSAC Admission and VPLMN with HPLMN assistance NSAC Admission modes, each configured S-NSSAI that is subject to NSAC and that is mapped from the HPLMN S-NSSAI, the SMF performs NSAC for home routed PDU sessions according to the principles described in clause 5.15.11.2.</w:t>
      </w:r>
    </w:p>
    <w:p w14:paraId="705A2082" w14:textId="77777777" w:rsidR="002C4A81" w:rsidRPr="00873B6C" w:rsidRDefault="002C4A81" w:rsidP="002C4A81">
      <w:pPr>
        <w:pStyle w:val="Heading5"/>
      </w:pPr>
      <w:bookmarkStart w:id="2792" w:name="_CR5_15_11_3_1"/>
      <w:bookmarkStart w:id="2793" w:name="_Toc201157294"/>
      <w:bookmarkEnd w:id="2792"/>
      <w:r w:rsidRPr="00873B6C">
        <w:t>5.15.11.3.1</w:t>
      </w:r>
      <w:r w:rsidRPr="00873B6C">
        <w:tab/>
        <w:t>VPLMN NSAC Admission Mode</w:t>
      </w:r>
      <w:bookmarkEnd w:id="2793"/>
    </w:p>
    <w:p w14:paraId="033467A2" w14:textId="4060E7E9" w:rsidR="00B96062" w:rsidRPr="00873B6C" w:rsidRDefault="00B96062" w:rsidP="00B96062">
      <w:r w:rsidRPr="00873B6C">
        <w:t>For</w:t>
      </w:r>
      <w:r w:rsidR="00AF6F28" w:rsidRPr="00873B6C">
        <w:t xml:space="preserve"> NSAC</w:t>
      </w:r>
      <w:r w:rsidRPr="00873B6C">
        <w:t xml:space="preserve"> of roaming UEs for maximum number of UEs per network slice and/or maximum number of PDU Sessions per network slice managed by the VPLMN, the following principles shall be used:</w:t>
      </w:r>
    </w:p>
    <w:p w14:paraId="778D85E4" w14:textId="611A0CA5" w:rsidR="00B96062" w:rsidRPr="00873B6C" w:rsidRDefault="00B96062" w:rsidP="00562E84">
      <w:pPr>
        <w:pStyle w:val="B1"/>
      </w:pPr>
      <w:r w:rsidRPr="00873B6C">
        <w:t>-</w:t>
      </w:r>
      <w:r w:rsidRPr="00873B6C">
        <w:tab/>
      </w:r>
      <w:r w:rsidR="00DF6095" w:rsidRPr="00873B6C">
        <w:t xml:space="preserve">For NSAC for the maximum number of UEs for S-NSSAI of the HPLMN, a </w:t>
      </w:r>
      <w:r w:rsidRPr="00873B6C">
        <w:t xml:space="preserve">NSACF in the VPLMN </w:t>
      </w:r>
      <w:r w:rsidR="00DF6095" w:rsidRPr="00873B6C">
        <w:t xml:space="preserve">can be </w:t>
      </w:r>
      <w:r w:rsidRPr="00873B6C">
        <w:t xml:space="preserve">configured with the maximum number of allowed roaming UEs per mapped S-NSSAI </w:t>
      </w:r>
      <w:r w:rsidR="00DF6095" w:rsidRPr="00873B6C">
        <w:t xml:space="preserve">of </w:t>
      </w:r>
      <w:r w:rsidRPr="00873B6C">
        <w:t xml:space="preserve">the HPLMN for </w:t>
      </w:r>
      <w:r w:rsidR="00DF6095" w:rsidRPr="00873B6C">
        <w:t xml:space="preserve">a </w:t>
      </w:r>
      <w:r w:rsidRPr="00873B6C">
        <w:t xml:space="preserve">S-NSSAI </w:t>
      </w:r>
      <w:r w:rsidR="00DF6095" w:rsidRPr="00873B6C">
        <w:t xml:space="preserve">of </w:t>
      </w:r>
      <w:r w:rsidRPr="00873B6C">
        <w:t>the HPLMN that is subject to NSAC.</w:t>
      </w:r>
      <w:r w:rsidR="00DF6095" w:rsidRPr="00873B6C">
        <w:t xml:space="preserve"> In such a case, the AMFs trigger a request to a NSACF of the VPLMN.</w:t>
      </w:r>
    </w:p>
    <w:p w14:paraId="25820AA6" w14:textId="4FFDAA2F" w:rsidR="00B96062" w:rsidRPr="00873B6C" w:rsidRDefault="00B96062" w:rsidP="00562E84">
      <w:pPr>
        <w:pStyle w:val="B1"/>
      </w:pPr>
      <w:r w:rsidRPr="00873B6C">
        <w:t>-</w:t>
      </w:r>
      <w:r w:rsidRPr="00873B6C">
        <w:tab/>
      </w:r>
      <w:r w:rsidR="00DF6095" w:rsidRPr="00873B6C">
        <w:t xml:space="preserve">For NSAC for the maximum number of PDU Sessions for S-NSSAI of the HPLMN, a </w:t>
      </w:r>
      <w:r w:rsidRPr="00873B6C">
        <w:t xml:space="preserve">NSACF in the VPLMN </w:t>
      </w:r>
      <w:r w:rsidR="00DF6095" w:rsidRPr="00873B6C">
        <w:t xml:space="preserve">can be </w:t>
      </w:r>
      <w:r w:rsidRPr="00873B6C">
        <w:t xml:space="preserve">configured with the maximum number of allowed PDU Sessions in LBO mode per mapped S-NSSAI </w:t>
      </w:r>
      <w:r w:rsidR="00DF6095" w:rsidRPr="00873B6C">
        <w:t xml:space="preserve">of </w:t>
      </w:r>
      <w:r w:rsidRPr="00873B6C">
        <w:t xml:space="preserve">the HPLMN for </w:t>
      </w:r>
      <w:r w:rsidR="00DF6095" w:rsidRPr="00873B6C">
        <w:t xml:space="preserve">a </w:t>
      </w:r>
      <w:r w:rsidRPr="00873B6C">
        <w:t xml:space="preserve">S-NSSAI </w:t>
      </w:r>
      <w:r w:rsidR="00DF6095" w:rsidRPr="00873B6C">
        <w:t xml:space="preserve">of </w:t>
      </w:r>
      <w:r w:rsidRPr="00873B6C">
        <w:t>the HPLMN that is subject to NSAC.</w:t>
      </w:r>
      <w:r w:rsidR="00DF6095" w:rsidRPr="00873B6C">
        <w:t xml:space="preserve"> In such a case, the anchor SMF in the VPLMN triggers a request to a NSACF of the VPLMN.</w:t>
      </w:r>
    </w:p>
    <w:p w14:paraId="790A69B3" w14:textId="0D6B5D40" w:rsidR="00B96062" w:rsidRPr="00873B6C" w:rsidRDefault="00B96062" w:rsidP="00562E84">
      <w:pPr>
        <w:pStyle w:val="B1"/>
      </w:pPr>
      <w:r w:rsidRPr="00873B6C">
        <w:t>-</w:t>
      </w:r>
      <w:r w:rsidRPr="00873B6C">
        <w:tab/>
        <w:t>For</w:t>
      </w:r>
      <w:r w:rsidR="00AF6F28" w:rsidRPr="00873B6C">
        <w:t xml:space="preserve"> NSAC for</w:t>
      </w:r>
      <w:r w:rsidRPr="00873B6C">
        <w:t xml:space="preserve"> the maximum number of UEs</w:t>
      </w:r>
      <w:r w:rsidR="00DF6095" w:rsidRPr="00873B6C">
        <w:t xml:space="preserve"> for S-NSSAI of the VPLMN</w:t>
      </w:r>
      <w:r w:rsidRPr="00873B6C">
        <w:t>, AMF</w:t>
      </w:r>
      <w:r w:rsidR="00DF6095" w:rsidRPr="00873B6C">
        <w:t>s</w:t>
      </w:r>
      <w:r w:rsidRPr="00873B6C">
        <w:t xml:space="preserve"> trigger a request to a NSACF </w:t>
      </w:r>
      <w:r w:rsidR="00DF6095" w:rsidRPr="00873B6C">
        <w:t xml:space="preserve">of </w:t>
      </w:r>
      <w:r w:rsidRPr="00873B6C">
        <w:t>the VPLMN to perform</w:t>
      </w:r>
      <w:r w:rsidR="00AF6F28" w:rsidRPr="00873B6C">
        <w:t xml:space="preserve"> NSAC</w:t>
      </w:r>
      <w:r w:rsidR="00366291" w:rsidRPr="00873B6C">
        <w:t xml:space="preserve"> based on the S-NSSAI </w:t>
      </w:r>
      <w:r w:rsidR="00DF6095" w:rsidRPr="00873B6C">
        <w:t xml:space="preserve">of </w:t>
      </w:r>
      <w:r w:rsidR="00366291" w:rsidRPr="00873B6C">
        <w:t>the VPLMN subject to NSAC</w:t>
      </w:r>
      <w:r w:rsidRPr="00873B6C">
        <w:t xml:space="preserve">. The NSACF </w:t>
      </w:r>
      <w:r w:rsidR="00DF6095" w:rsidRPr="00873B6C">
        <w:t xml:space="preserve">of </w:t>
      </w:r>
      <w:r w:rsidRPr="00873B6C">
        <w:t>the HPLMN is not involved.</w:t>
      </w:r>
    </w:p>
    <w:p w14:paraId="45904ACA" w14:textId="4C5D999B" w:rsidR="00B96062" w:rsidRPr="00873B6C" w:rsidRDefault="00B96062" w:rsidP="00562E84">
      <w:pPr>
        <w:pStyle w:val="B1"/>
      </w:pPr>
      <w:r w:rsidRPr="00873B6C">
        <w:t>-</w:t>
      </w:r>
      <w:r w:rsidRPr="00873B6C">
        <w:tab/>
        <w:t>For</w:t>
      </w:r>
      <w:r w:rsidR="00AF6F28" w:rsidRPr="00873B6C">
        <w:t xml:space="preserve"> NSAC for</w:t>
      </w:r>
      <w:r w:rsidRPr="00873B6C">
        <w:t xml:space="preserve"> the maximum number of PDU Sessions</w:t>
      </w:r>
      <w:r w:rsidR="00DF6095" w:rsidRPr="00873B6C">
        <w:t xml:space="preserve"> for S-NSSAI of the VPLMN</w:t>
      </w:r>
      <w:r w:rsidRPr="00873B6C">
        <w:t xml:space="preserve"> in the LBO roaming case, the SMF triggers a request to a NSACF </w:t>
      </w:r>
      <w:r w:rsidR="00DF6095" w:rsidRPr="00873B6C">
        <w:t xml:space="preserve">of </w:t>
      </w:r>
      <w:r w:rsidRPr="00873B6C">
        <w:t>the VPLMN to perform</w:t>
      </w:r>
      <w:r w:rsidR="00AF6F28" w:rsidRPr="00873B6C">
        <w:t xml:space="preserve"> NSAC</w:t>
      </w:r>
      <w:r w:rsidR="00366291" w:rsidRPr="00873B6C">
        <w:t xml:space="preserve"> based on the S-NSSAI </w:t>
      </w:r>
      <w:r w:rsidR="00DF6095" w:rsidRPr="00873B6C">
        <w:t xml:space="preserve">of </w:t>
      </w:r>
      <w:r w:rsidR="00366291" w:rsidRPr="00873B6C">
        <w:t>the VPLMN subject to NSAC</w:t>
      </w:r>
      <w:r w:rsidRPr="00873B6C">
        <w:t xml:space="preserve">. The NSACF </w:t>
      </w:r>
      <w:r w:rsidR="00DF6095" w:rsidRPr="00873B6C">
        <w:t xml:space="preserve">of </w:t>
      </w:r>
      <w:r w:rsidRPr="00873B6C">
        <w:t>the HPLMN is not involved.</w:t>
      </w:r>
    </w:p>
    <w:p w14:paraId="4913FD8C" w14:textId="08EE249A" w:rsidR="00B96062" w:rsidRPr="00873B6C" w:rsidRDefault="00B96062" w:rsidP="00562E84">
      <w:pPr>
        <w:pStyle w:val="B1"/>
      </w:pPr>
      <w:r w:rsidRPr="00873B6C">
        <w:t>‐</w:t>
      </w:r>
      <w:r w:rsidRPr="00873B6C">
        <w:tab/>
        <w:t>The AMF or SMF (in LBO roaming case) in the VPLMN provide</w:t>
      </w:r>
      <w:r w:rsidR="00366291" w:rsidRPr="00873B6C">
        <w:t>s</w:t>
      </w:r>
      <w:r w:rsidRPr="00873B6C">
        <w:t xml:space="preserve"> both the S-NSSAI in the VPLMN and the corresponding mapped S-NSSAI in the HPLMN to the NSACF in the VPLMN. The NSACF in the VPLMN </w:t>
      </w:r>
      <w:r w:rsidRPr="00873B6C">
        <w:lastRenderedPageBreak/>
        <w:t xml:space="preserve">performs NSAC for both S-NSSAI </w:t>
      </w:r>
      <w:r w:rsidR="00DF6095" w:rsidRPr="00873B6C">
        <w:t xml:space="preserve">of </w:t>
      </w:r>
      <w:r w:rsidRPr="00873B6C">
        <w:t xml:space="preserve">the VPLMN and the corresponding mapped S-NSSAI </w:t>
      </w:r>
      <w:r w:rsidR="00DF6095" w:rsidRPr="00873B6C">
        <w:t xml:space="preserve">of </w:t>
      </w:r>
      <w:r w:rsidRPr="00873B6C">
        <w:t>the HPLMN based on the SLA between the VPLMN and the HPLMN.</w:t>
      </w:r>
    </w:p>
    <w:p w14:paraId="1FD60C2D" w14:textId="16953CD1" w:rsidR="002C4A81" w:rsidRPr="00873B6C" w:rsidRDefault="002C4A81">
      <w:r w:rsidRPr="00873B6C">
        <w:t>In addition to configuring the VPLMN NFs with the maximum number of allowed roaming UEs per mapped S-NSSAI of the HPLMN subject to NSAC</w:t>
      </w:r>
      <w:r w:rsidR="00472CD7" w:rsidRPr="00873B6C">
        <w:t xml:space="preserve"> and</w:t>
      </w:r>
      <w:r w:rsidRPr="00873B6C">
        <w:t xml:space="preserve"> the maximum number of allowed PDU Sessions in LBO mode per mapped S-NSSAI of the HPLMN subject to NSAC, the VPLMN can optionally fetch this information from the HPLMN primary NSACF in a hierarchal architecture or centralized NSACF in a centralized architecture. If the NSACF in VPLMN does not have quota configured but can receive quota from the HPLMN, the NSACF in VPLMN may interact with the HPLMN for retrieving the quota before processing any incoming request. The VPLMN is either configured or discovers the NSACF in the HPLMN for quota retrieval. However, in this case, the VPLMN rejects any additional requests exceeding the received information.</w:t>
      </w:r>
    </w:p>
    <w:p w14:paraId="719858FB" w14:textId="43A1511F" w:rsidR="002C4A81" w:rsidRPr="00873B6C" w:rsidRDefault="002C4A81" w:rsidP="002C4A81">
      <w:pPr>
        <w:pStyle w:val="Heading5"/>
      </w:pPr>
      <w:bookmarkStart w:id="2794" w:name="_CR5_15_11_3_2"/>
      <w:bookmarkStart w:id="2795" w:name="_Toc201157295"/>
      <w:bookmarkEnd w:id="2794"/>
      <w:r w:rsidRPr="00873B6C">
        <w:t>5.15.11.3.2</w:t>
      </w:r>
      <w:r w:rsidRPr="00873B6C">
        <w:tab/>
        <w:t>VPLMN with HPLMN assistance NSAC Admission</w:t>
      </w:r>
      <w:bookmarkEnd w:id="2795"/>
    </w:p>
    <w:p w14:paraId="22789F94" w14:textId="77777777" w:rsidR="002C4A81" w:rsidRPr="00873B6C" w:rsidRDefault="002C4A81" w:rsidP="002C4A81">
      <w:r w:rsidRPr="00873B6C">
        <w:t>In this admission mode HPLMN delegates NSAC for S-NSSAIs subject to NSAC to the VPLMN, both for number of registered UEs and the number of LBO PDU sessions.</w:t>
      </w:r>
    </w:p>
    <w:p w14:paraId="76B46356" w14:textId="77777777" w:rsidR="002C4A81" w:rsidRPr="00873B6C" w:rsidRDefault="002C4A81" w:rsidP="002C4A81">
      <w:r w:rsidRPr="00873B6C">
        <w:t>Every NSACF performing admission in the VPLMN for each S-NSSAI of the HPLMN that is subject to NSAC and mapped to a corresponding S-NSSAI of the VPLMN, fetches from the VPLMN primary NSACF in a hierarchal architecture the maximum number of registered UEs to be admitted and/or the maximum number of LBO PDU sessions to be allowed. The VPLMN primary or central NSACF, in turn, acquires the information from the HPLMN central or primary NSACF depending on the deployed architecture. The VPLMN is either configured or discovers the NSACF in the HPLMN for quota retrieval.</w:t>
      </w:r>
    </w:p>
    <w:p w14:paraId="66D179C8" w14:textId="77777777" w:rsidR="002C4A81" w:rsidRPr="00873B6C" w:rsidRDefault="002C4A81" w:rsidP="002C4A81">
      <w:r w:rsidRPr="00873B6C">
        <w:t>If re-distribution of quota is required in the VPLMN in a hierarchal architecture, amongst multiple NSACFs than this is handled by the primary NSACF in VPLMN with no involvement from the HPLMN. The VPLMN NSACF discovers the HPLMN primary or central NSACF or be configured with the needed information.</w:t>
      </w:r>
    </w:p>
    <w:p w14:paraId="2EA82A84" w14:textId="6E776089" w:rsidR="002C4A81" w:rsidRPr="00873B6C" w:rsidRDefault="002C4A81" w:rsidP="002C4A81">
      <w:r w:rsidRPr="00873B6C">
        <w:t>For any request(s) received in any NSACF in the VPLMN exceeding the received maximum number information, the NSACF interacts with the VPLMN primary NSACF which in turn interacts with HPLMN primary or central NSACF to receive an updated roaming quota for the corresponding mapped S-NSSAI, which is used to determine whether admission request is accepted or rejected, unless forbidden by the SLA. If an admission request is accepted, the UE entry is stored in the NSACF performing admission in the VPLMN. This applies to the number of registered UEs as well as the number of LBO PDU sessions. The primary NSACF in VPLMN may re-distribute the received updated roaming quota to the NSACFs in VPLMN to perform NSAC for Roaming UEs according to the principles described in clauses 5.15.11.1 and 5.15.11.2.</w:t>
      </w:r>
    </w:p>
    <w:p w14:paraId="22DEC907" w14:textId="442A5A93" w:rsidR="002C4A81" w:rsidRPr="00873B6C" w:rsidRDefault="002C4A81" w:rsidP="002C4A81">
      <w:pPr>
        <w:pStyle w:val="Heading5"/>
      </w:pPr>
      <w:bookmarkStart w:id="2796" w:name="_CR5_15_11_3_3"/>
      <w:bookmarkStart w:id="2797" w:name="_Toc201157296"/>
      <w:bookmarkEnd w:id="2796"/>
      <w:r w:rsidRPr="00873B6C">
        <w:t>5.15.11.3.3</w:t>
      </w:r>
      <w:r w:rsidRPr="00873B6C">
        <w:tab/>
        <w:t>HPLMN NSAC Admission Mode</w:t>
      </w:r>
      <w:bookmarkEnd w:id="2797"/>
    </w:p>
    <w:p w14:paraId="67758017" w14:textId="77777777" w:rsidR="002C4A81" w:rsidRPr="00873B6C" w:rsidRDefault="002C4A81" w:rsidP="002C4A81">
      <w:r w:rsidRPr="00873B6C">
        <w:t>In this admission mode the AMF or SMF in VPLMN interacts with HPLMN for admission, both for number of registered UEs or the number of LBO PDU sessions respectively.</w:t>
      </w:r>
    </w:p>
    <w:p w14:paraId="4E1D1DA5" w14:textId="77777777" w:rsidR="002C4A81" w:rsidRPr="00873B6C" w:rsidRDefault="002C4A81" w:rsidP="002C4A81">
      <w:r w:rsidRPr="00873B6C">
        <w:t>For each S-NSSAI of the HPLMN that is subject to NSAC and mapped to a corresponding S-NSSAI of the VPLMN, AMF performs NSAC admission for the number of registered UEs with the HPLMN central or primary NSACF for all inbound roamers from that HPLMN when they register in this VPLMN. The AMF discovers the HPLMN primary or central NSACF or be configured with the needed information.</w:t>
      </w:r>
    </w:p>
    <w:p w14:paraId="3E373E96" w14:textId="7A542FA9" w:rsidR="002C4A81" w:rsidRPr="00873B6C" w:rsidRDefault="002C4A81" w:rsidP="002C4A81">
      <w:r w:rsidRPr="00873B6C">
        <w:t>For each S-NSSAI of the HPLMN that is subject to NSAC and mapped to a corresponding S-NSSAI of the VPLMN, every SMF in this VPLMN performs NSAC admission for the number of LBO PDU sessions with the HPLMN central or primary NSACF for all inbound roamers from that HPLMN when they initiate an LBO PDU session. The SMFs discover the HPLMN primary or central NSACF or be configured with the needed information. For each S-NSSAI of the HPLMN that is subject to NSAC, the SMF performs NSAC according to the principles described in clause 5.15.11.2 for home routed PDU sessions.</w:t>
      </w:r>
    </w:p>
    <w:p w14:paraId="12D53280" w14:textId="77777777" w:rsidR="002C4A81" w:rsidRPr="00873B6C" w:rsidRDefault="002C4A81" w:rsidP="002C4A81">
      <w:r w:rsidRPr="00873B6C">
        <w:t>In the HPLMN NSAC admission mode, the primary NSACF or central NSACF in HPLMN determines whether the NSAC admission request for a roaming UE is accepted or rejected.</w:t>
      </w:r>
    </w:p>
    <w:p w14:paraId="1C18D900" w14:textId="292E55A5" w:rsidR="005E258C" w:rsidRPr="00873B6C" w:rsidRDefault="005E258C" w:rsidP="005E258C">
      <w:pPr>
        <w:pStyle w:val="Heading4"/>
      </w:pPr>
      <w:bookmarkStart w:id="2798" w:name="_CR5_15_11_4"/>
      <w:bookmarkStart w:id="2799" w:name="_Toc201157297"/>
      <w:bookmarkEnd w:id="2798"/>
      <w:r w:rsidRPr="00873B6C">
        <w:t>5.15.11.4</w:t>
      </w:r>
      <w:r w:rsidRPr="00873B6C">
        <w:tab/>
        <w:t>Network Slice status notifications and reports to a consumer NF</w:t>
      </w:r>
      <w:bookmarkEnd w:id="2799"/>
    </w:p>
    <w:p w14:paraId="13128D39" w14:textId="71FB51F8" w:rsidR="005E258C" w:rsidRPr="00873B6C" w:rsidRDefault="005E258C" w:rsidP="00562E84">
      <w:r w:rsidRPr="00873B6C">
        <w:t>A consumer NF (e.g. AF</w:t>
      </w:r>
      <w:r w:rsidR="00AD480D" w:rsidRPr="00873B6C">
        <w:t>, Primary NSACF</w:t>
      </w:r>
      <w:r w:rsidRPr="00873B6C">
        <w:t>) can subscribe with the NSACF for Network Slice status notifications and reports. Upon such subscription, the</w:t>
      </w:r>
      <w:r w:rsidR="00022CB9" w:rsidRPr="00873B6C">
        <w:t xml:space="preserve"> corresponding</w:t>
      </w:r>
      <w:r w:rsidRPr="00873B6C">
        <w:t xml:space="preserve"> NSACF</w:t>
      </w:r>
      <w:r w:rsidR="00022CB9" w:rsidRPr="00873B6C">
        <w:t xml:space="preserve"> in different NSAC architecture as defined in clause 5.15.11.0</w:t>
      </w:r>
      <w:r w:rsidRPr="00873B6C">
        <w:t xml:space="preserve"> can provide event based notifications and reports to the consumer NF (e.g. to AF via NEF) related to </w:t>
      </w:r>
      <w:r w:rsidRPr="00873B6C">
        <w:lastRenderedPageBreak/>
        <w:t>the current number of UEs registered for a network slice</w:t>
      </w:r>
      <w:r w:rsidR="002506F3" w:rsidRPr="00873B6C">
        <w:t xml:space="preserve"> or the current number of UEs with at least one PDU Session/PDN Connection in the case of EPC interworking</w:t>
      </w:r>
      <w:r w:rsidRPr="00873B6C">
        <w:t xml:space="preserve"> or the current number of PDU Sessions established on a network slice.</w:t>
      </w:r>
    </w:p>
    <w:p w14:paraId="6C2331A8" w14:textId="4FE40101" w:rsidR="00AD480D" w:rsidRPr="00873B6C" w:rsidRDefault="00AD480D" w:rsidP="00972E70">
      <w:pPr>
        <w:pStyle w:val="NO"/>
      </w:pPr>
      <w:r w:rsidRPr="00873B6C">
        <w:t>NOTE:</w:t>
      </w:r>
      <w:r w:rsidRPr="00873B6C">
        <w:tab/>
        <w:t>The Primary NSACF subscribes Network Slice status from all the NSACF(s) it contacts with for the update of the maximum number of UE or PDU session configured at the NSACF.</w:t>
      </w:r>
    </w:p>
    <w:p w14:paraId="4CE98F9E" w14:textId="4C376F8C" w:rsidR="000040FE" w:rsidRPr="00873B6C" w:rsidRDefault="000040FE" w:rsidP="000040FE">
      <w:pPr>
        <w:pStyle w:val="Heading4"/>
      </w:pPr>
      <w:bookmarkStart w:id="2800" w:name="_CR5_15_11_5"/>
      <w:bookmarkStart w:id="2801" w:name="_Toc201157298"/>
      <w:bookmarkEnd w:id="2800"/>
      <w:r w:rsidRPr="00873B6C">
        <w:t>5.15.11.5</w:t>
      </w:r>
      <w:r w:rsidRPr="00873B6C">
        <w:tab/>
        <w:t>Support of Network Slice Admission Control and Interworking with EPC</w:t>
      </w:r>
      <w:bookmarkEnd w:id="2801"/>
    </w:p>
    <w:p w14:paraId="0A9AFD50" w14:textId="77777777" w:rsidR="002506F3" w:rsidRPr="00873B6C" w:rsidRDefault="002506F3" w:rsidP="000040FE">
      <w:r w:rsidRPr="00873B6C">
        <w:t>This clause describes the NSAC for maximum number of registered UEs and for maximum number of PDU Sessions for network slice subjected to EPS interworking. The NSAC for maximum number of UE with at least one PDU Session/PDN Connection is described in clause 5.15.11.5a. A network slice subject to both NSAC and EPS counting shall be configured with only one of the options:</w:t>
      </w:r>
    </w:p>
    <w:p w14:paraId="207F5723" w14:textId="2B37323D" w:rsidR="002506F3" w:rsidRPr="00873B6C" w:rsidRDefault="002506F3" w:rsidP="005A13C0">
      <w:pPr>
        <w:pStyle w:val="B1"/>
      </w:pPr>
      <w:r w:rsidRPr="00873B6C">
        <w:t>-</w:t>
      </w:r>
      <w:r w:rsidRPr="00873B6C">
        <w:tab/>
        <w:t>Maximum number of registered UEs and/or maximum number of PDU Session; or</w:t>
      </w:r>
    </w:p>
    <w:p w14:paraId="16BD09B9" w14:textId="6892FD8E" w:rsidR="002506F3" w:rsidRPr="00873B6C" w:rsidRDefault="002506F3" w:rsidP="005A13C0">
      <w:pPr>
        <w:pStyle w:val="B1"/>
      </w:pPr>
      <w:r w:rsidRPr="00873B6C">
        <w:t>-</w:t>
      </w:r>
      <w:r w:rsidRPr="00873B6C">
        <w:tab/>
        <w:t>Maximum number of UEs with at least one PDU Session/PDN Connection and/or maximum number of PDU Session.</w:t>
      </w:r>
    </w:p>
    <w:p w14:paraId="3737907E" w14:textId="0A4867A6" w:rsidR="000040FE" w:rsidRPr="00873B6C" w:rsidRDefault="000040FE" w:rsidP="000040FE">
      <w:r w:rsidRPr="00873B6C">
        <w:t>If EPS counting is required for a network slice, the</w:t>
      </w:r>
      <w:r w:rsidR="00AF6F28" w:rsidRPr="00873B6C">
        <w:t xml:space="preserve"> NSAC</w:t>
      </w:r>
      <w:r w:rsidRPr="00873B6C">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873B6C">
        <w:t xml:space="preserve"> by invoking separate NSAC procedures for number of UE and number of PDU Session (as described in clause 4.11.5.9 of </w:t>
      </w:r>
      <w:r w:rsidR="00972E70" w:rsidRPr="00873B6C">
        <w:t>TS 23.502 [</w:t>
      </w:r>
      <w:r w:rsidR="008D4C5F" w:rsidRPr="00873B6C">
        <w:t>3])</w:t>
      </w:r>
      <w:r w:rsidRPr="00873B6C">
        <w:t>, before the SMF+PGW-C provides the selected S-NSSAI to the UE. If the network slice is available, the SMF+PGW-C continues to proceed with the PDN connection establishment procedure.</w:t>
      </w:r>
    </w:p>
    <w:p w14:paraId="69AF016C" w14:textId="77777777" w:rsidR="000040FE" w:rsidRPr="00873B6C" w:rsidRDefault="000040FE" w:rsidP="000040FE">
      <w:r w:rsidRPr="00873B6C">
        <w:t>The NSACF performs the following for checking network slice availability prior to returning a response to the SMF+PGW-C:</w:t>
      </w:r>
    </w:p>
    <w:p w14:paraId="7C2F00D0" w14:textId="77777777" w:rsidR="008D4C5F" w:rsidRPr="00873B6C" w:rsidRDefault="008D4C5F" w:rsidP="000040FE">
      <w:pPr>
        <w:pStyle w:val="B1"/>
      </w:pPr>
      <w:r w:rsidRPr="00873B6C">
        <w:t>-</w:t>
      </w:r>
      <w:r w:rsidRPr="00873B6C">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33A628DE" w14:textId="7C01C468" w:rsidR="000046DD" w:rsidRPr="00873B6C" w:rsidRDefault="000046DD" w:rsidP="000040FE">
      <w:pPr>
        <w:pStyle w:val="B1"/>
      </w:pPr>
      <w:r w:rsidRPr="00873B6C">
        <w:tab/>
        <w:t>If hierarchical NSAC architecture is deployed, when the local maximum number or local threshold is reached the NSAC</w:t>
      </w:r>
      <w:r w:rsidR="00A25791" w:rsidRPr="00873B6C">
        <w:t>F</w:t>
      </w:r>
      <w:r w:rsidRPr="00873B6C">
        <w:t xml:space="preserve"> may interact with the Primary NSACF before it returns the response back to the SMF+PGW-C. For more details on handling at the NSACF and Primary NSACF see clause 5.15.11.1.2.</w:t>
      </w:r>
    </w:p>
    <w:p w14:paraId="197A94F2" w14:textId="1E18ACB4" w:rsidR="008D4C5F" w:rsidRPr="00873B6C" w:rsidRDefault="008D4C5F" w:rsidP="000040FE">
      <w:pPr>
        <w:pStyle w:val="B1"/>
      </w:pPr>
      <w:r w:rsidRPr="00873B6C">
        <w:t>-</w:t>
      </w:r>
      <w:r w:rsidRPr="00873B6C">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7842A8F0" w14:textId="52067018" w:rsidR="000046DD" w:rsidRPr="00873B6C" w:rsidRDefault="000046DD" w:rsidP="000046DD">
      <w:pPr>
        <w:pStyle w:val="B1"/>
      </w:pPr>
      <w:r w:rsidRPr="00873B6C">
        <w:tab/>
        <w:t>If hierarchical NSAC architecture is deployed, when the local maximum number is reached the NSAC</w:t>
      </w:r>
      <w:r w:rsidR="00A25791" w:rsidRPr="00873B6C">
        <w:t>F</w:t>
      </w:r>
      <w:r w:rsidRPr="00873B6C">
        <w:t xml:space="preserve"> may interact with the Primary NSACF before it returns the response back to the SMF+PGW-C. For more details on handling at the NSACF and Primary NSACF see clause 5.15.11.2.2.</w:t>
      </w:r>
    </w:p>
    <w:p w14:paraId="497AB0E9" w14:textId="77777777" w:rsidR="008D4C5F" w:rsidRPr="00873B6C" w:rsidRDefault="008D4C5F" w:rsidP="008D4C5F">
      <w:r w:rsidRPr="00873B6C">
        <w:t>If the maximum number of UEs and/or the maximum number of PDU sessions has already been reached, unless operator policy implements a different action, the SMF+PGW-C rejects the PDN connection.</w:t>
      </w:r>
    </w:p>
    <w:p w14:paraId="2F1DFBC9" w14:textId="64555D33" w:rsidR="008546A1" w:rsidRPr="00873B6C" w:rsidRDefault="008546A1" w:rsidP="00C74FFE">
      <w:pPr>
        <w:pStyle w:val="NO"/>
      </w:pPr>
      <w:r w:rsidRPr="00873B6C">
        <w:t>NOTE 1:</w:t>
      </w:r>
      <w:r w:rsidRPr="00873B6C">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873B6C" w:rsidRDefault="008546A1" w:rsidP="000040FE">
      <w:r w:rsidRPr="00873B6C">
        <w:t xml:space="preserve">If the establishment of a new PDN Connections is with a different SMF+PGW-C from the SMF+PGW-C used for already existing PDN connection associated with the same S-NSSAI, each SMF+PGW-C will send a request for update </w:t>
      </w:r>
      <w:r w:rsidRPr="00873B6C">
        <w:lastRenderedPageBreak/>
        <w:t>(e.g. increase or decrease) to the NSACF. The NSACF may maintain a registration entry per SMF+PGW-C for the same UE ID.</w:t>
      </w:r>
    </w:p>
    <w:p w14:paraId="732E5A46" w14:textId="77777777" w:rsidR="008546A1" w:rsidRPr="00873B6C" w:rsidRDefault="008546A1" w:rsidP="000040FE">
      <w:r w:rsidRPr="00873B6C">
        <w:t>The SMF+PGW-C provides the Access Type to the NSACF when triggering a request to increase or decrease the number of UEs and/or the number of PDU Sessions for an S-NSSAI.</w:t>
      </w:r>
    </w:p>
    <w:p w14:paraId="7F818519" w14:textId="5143738A" w:rsidR="008546A1" w:rsidRPr="00873B6C" w:rsidRDefault="008546A1" w:rsidP="00C74FFE">
      <w:pPr>
        <w:pStyle w:val="NO"/>
      </w:pPr>
      <w:r w:rsidRPr="00873B6C">
        <w:t>NOTE 2:</w:t>
      </w:r>
      <w:r w:rsidRPr="00873B6C">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334120B3" w:rsidR="000040FE" w:rsidRPr="00873B6C" w:rsidRDefault="000040FE" w:rsidP="000040FE">
      <w:r w:rsidRPr="00873B6C">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w:t>
      </w:r>
      <w:r w:rsidR="00472CD7" w:rsidRPr="00873B6C">
        <w:t xml:space="preserve"> and</w:t>
      </w:r>
      <w:r w:rsidRPr="00873B6C">
        <w:t xml:space="preserve"> adjusts the current number of registrations accordingly.</w:t>
      </w:r>
    </w:p>
    <w:p w14:paraId="031EC362" w14:textId="0AC5A1A8" w:rsidR="008D4C5F" w:rsidRPr="00873B6C" w:rsidRDefault="008D4C5F" w:rsidP="000040FE">
      <w:r w:rsidRPr="00873B6C">
        <w:t>When EPS counting is performed for a network slice</w:t>
      </w:r>
      <w:r w:rsidR="00472CD7" w:rsidRPr="00873B6C">
        <w:t xml:space="preserve"> and</w:t>
      </w:r>
      <w:r w:rsidRPr="00873B6C">
        <w:t xml:space="preserve">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873B6C" w:rsidRDefault="000040FE" w:rsidP="000040FE">
      <w:r w:rsidRPr="00873B6C">
        <w:t xml:space="preserve">If the PDN connection associated with S-NSSAI is released in EPC, the SMF+PGW-C triggers a request (i.e. decrease) to NSACF for </w:t>
      </w:r>
      <w:r w:rsidR="008D4C5F" w:rsidRPr="00873B6C">
        <w:t xml:space="preserve">maximum number of UEs and/or </w:t>
      </w:r>
      <w:r w:rsidRPr="00873B6C">
        <w:t>maximum number of PDU sessions per network slice control. The NSACF decrease</w:t>
      </w:r>
      <w:r w:rsidR="003B4D25" w:rsidRPr="00873B6C">
        <w:t>s</w:t>
      </w:r>
      <w:r w:rsidRPr="00873B6C">
        <w:t xml:space="preserve"> the current number of registrations and remove</w:t>
      </w:r>
      <w:r w:rsidR="003B4D25" w:rsidRPr="00873B6C">
        <w:t>s</w:t>
      </w:r>
      <w:r w:rsidRPr="00873B6C">
        <w:t xml:space="preserve"> the UE identity from the list of UE IDs if the PDN connection(s) associated with </w:t>
      </w:r>
      <w:r w:rsidR="003B4D25" w:rsidRPr="00873B6C">
        <w:t xml:space="preserve">the </w:t>
      </w:r>
      <w:r w:rsidRPr="00873B6C">
        <w:t>S-NSSAI are all released in EPC.</w:t>
      </w:r>
    </w:p>
    <w:p w14:paraId="6A5483C3" w14:textId="3CE1B586" w:rsidR="000040FE" w:rsidRPr="00873B6C" w:rsidRDefault="000040FE" w:rsidP="000040FE">
      <w:pPr>
        <w:pStyle w:val="NO"/>
      </w:pPr>
      <w:r w:rsidRPr="00873B6C">
        <w:t>NOTE</w:t>
      </w:r>
      <w:r w:rsidR="003B4D25" w:rsidRPr="00873B6C">
        <w:t> </w:t>
      </w:r>
      <w:r w:rsidR="008546A1" w:rsidRPr="00873B6C">
        <w:t>3</w:t>
      </w:r>
      <w:r w:rsidRPr="00873B6C">
        <w:t>:</w:t>
      </w:r>
      <w:r w:rsidRPr="00873B6C">
        <w:tab/>
      </w:r>
      <w:r w:rsidR="00B37A78" w:rsidRPr="00873B6C">
        <w:t xml:space="preserve">NSAC </w:t>
      </w:r>
      <w:r w:rsidRPr="00873B6C">
        <w:t>in EPC is not performed for the attachment without PDN connectivity.</w:t>
      </w:r>
    </w:p>
    <w:p w14:paraId="474FC960" w14:textId="100E0DBD" w:rsidR="000040FE" w:rsidRPr="00873B6C" w:rsidRDefault="000040FE" w:rsidP="000040FE">
      <w:r w:rsidRPr="00873B6C">
        <w:t>If EPS counting is not required for a network slice, the</w:t>
      </w:r>
      <w:r w:rsidR="00B37A78" w:rsidRPr="00873B6C">
        <w:t xml:space="preserve"> NSAC</w:t>
      </w:r>
      <w:r w:rsidRPr="00873B6C">
        <w:t xml:space="preserve"> for maximum number of UEs and/or for maximum number of PDU Sessions per network slice is performed when the UE moves from EPC to 5GC, i.e. when the UE performs mobility Registration procedure from EPC to 5GC (</w:t>
      </w:r>
      <w:r w:rsidR="00B37A78" w:rsidRPr="00873B6C">
        <w:t xml:space="preserve">NSAC </w:t>
      </w:r>
      <w:r w:rsidRPr="00873B6C">
        <w:t>for maximum number of UEs per network slice) and/or when the PDN connections are handed over from EPC to 5GC (</w:t>
      </w:r>
      <w:r w:rsidR="00B37A78" w:rsidRPr="00873B6C">
        <w:t xml:space="preserve">NSAC </w:t>
      </w:r>
      <w:r w:rsidRPr="00873B6C">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873B6C">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7D1AB8" w:rsidRPr="00873B6C">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w:t>
      </w:r>
    </w:p>
    <w:p w14:paraId="36AA21FF" w14:textId="167521EC" w:rsidR="008D4C5F" w:rsidRPr="00873B6C" w:rsidRDefault="008D4C5F" w:rsidP="008D4C5F">
      <w:pPr>
        <w:pStyle w:val="NO"/>
      </w:pPr>
      <w:r w:rsidRPr="00873B6C">
        <w:t>NOTE 4:</w:t>
      </w:r>
      <w:r w:rsidRPr="00873B6C">
        <w:tab/>
        <w:t>Given that session continuity is not guaranteed when EPS counting is not required, it is recommended for services which require the session continuity to support EPS counting.</w:t>
      </w:r>
    </w:p>
    <w:p w14:paraId="6CD91597" w14:textId="2E5A69E6" w:rsidR="00A84CD4" w:rsidRPr="00873B6C" w:rsidRDefault="00A84CD4" w:rsidP="00A84CD4">
      <w:pPr>
        <w:pStyle w:val="NO"/>
      </w:pPr>
      <w:r w:rsidRPr="00873B6C">
        <w:t>NOTE 5:</w:t>
      </w:r>
      <w:r w:rsidRPr="00873B6C">
        <w:tab/>
        <w:t>When multiple NSACFs are deployed and if the number of UE in target NSACF has reached the maximum number, whether session continuity can be guaranteed is left to implementation.</w:t>
      </w:r>
    </w:p>
    <w:p w14:paraId="3D812C5E" w14:textId="4865F656" w:rsidR="002C4A81" w:rsidRPr="00873B6C" w:rsidRDefault="002C4A81" w:rsidP="002C4A81">
      <w:pPr>
        <w:pStyle w:val="NO"/>
      </w:pPr>
      <w:r w:rsidRPr="00873B6C">
        <w:t>NOTE 6:</w:t>
      </w:r>
      <w:r w:rsidRPr="00873B6C">
        <w:tab/>
        <w:t>When a centralized architecture is deployed, UE admission is guaranteed at inter-system and inter-AMF mobility if the same NSACF is selected. This is the case for non-roaming scenarios and for roaming scenarios with HPLMN NSAC Admission Mode described in clause 5.15.11.3.</w:t>
      </w:r>
    </w:p>
    <w:p w14:paraId="072D041B" w14:textId="2CC795F9" w:rsidR="002506F3" w:rsidRPr="00873B6C" w:rsidRDefault="002506F3" w:rsidP="002506F3">
      <w:pPr>
        <w:pStyle w:val="Heading4"/>
      </w:pPr>
      <w:bookmarkStart w:id="2802" w:name="_CR5_15_11_5a"/>
      <w:bookmarkStart w:id="2803" w:name="_Toc201157299"/>
      <w:bookmarkEnd w:id="2802"/>
      <w:r w:rsidRPr="00873B6C">
        <w:lastRenderedPageBreak/>
        <w:t>5.15.11.5a</w:t>
      </w:r>
      <w:r w:rsidRPr="00873B6C">
        <w:tab/>
        <w:t>Support of Network Slice Admission Control in 5GS for maximum number of UEs with at least one PDU Session/PDN Connection</w:t>
      </w:r>
      <w:bookmarkEnd w:id="2803"/>
    </w:p>
    <w:p w14:paraId="5DBF566F" w14:textId="77777777" w:rsidR="002506F3" w:rsidRPr="00873B6C" w:rsidRDefault="002506F3" w:rsidP="002506F3">
      <w:r w:rsidRPr="00873B6C">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w:t>
      </w:r>
    </w:p>
    <w:p w14:paraId="5E793CF4" w14:textId="77777777" w:rsidR="002506F3" w:rsidRPr="00873B6C" w:rsidRDefault="002506F3" w:rsidP="002506F3">
      <w:r w:rsidRPr="00873B6C">
        <w:t>To support the NSAC for maximum number of UEs with at least one PDU Session/PDN Connection, the SMF+PGW-C may be configured with one of the following options:</w:t>
      </w:r>
    </w:p>
    <w:p w14:paraId="3F2F15B5" w14:textId="5D24861A" w:rsidR="002506F3" w:rsidRPr="00873B6C" w:rsidRDefault="002506F3" w:rsidP="005A13C0">
      <w:pPr>
        <w:pStyle w:val="B1"/>
      </w:pPr>
      <w:r w:rsidRPr="00873B6C">
        <w:t>-</w:t>
      </w:r>
      <w:r w:rsidRPr="00873B6C">
        <w:tab/>
      </w:r>
      <w:r w:rsidRPr="00873B6C">
        <w:rPr>
          <w:b/>
          <w:bCs/>
        </w:rPr>
        <w:t>Option 1:</w:t>
      </w:r>
      <w:r w:rsidRPr="00873B6C">
        <w:t xml:space="preserve">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 The NSACF performs admission control as described in clause 5.15.11.5 and the number of registered UE is replaced with number of UE with at least one PDU session/PDN connection.</w:t>
      </w:r>
      <w:r w:rsidR="004119E4" w:rsidRPr="00873B6C">
        <w:t xml:space="preserve"> Also, if the maximum number of UEs with at least one PDU Session/PDN connection has already been reached and SMF+PGW-C receives the rejection from NSACF, unless operator policy implements a different action, the SMF+PGW-C rejects the PDU Session/PDN connection indicating the cause being the number of UEs in the network slice has been exceeded.</w:t>
      </w:r>
      <w:r w:rsidRPr="00873B6C">
        <w:t xml:space="preserve"> The AMF is not configured for this S-NSSAI to be subject to NSAC; or</w:t>
      </w:r>
    </w:p>
    <w:p w14:paraId="7181E61A" w14:textId="4353A072" w:rsidR="002506F3" w:rsidRPr="00873B6C" w:rsidRDefault="002506F3" w:rsidP="005A13C0">
      <w:pPr>
        <w:pStyle w:val="B1"/>
      </w:pPr>
      <w:r w:rsidRPr="00873B6C">
        <w:t>-</w:t>
      </w:r>
      <w:r w:rsidRPr="00873B6C">
        <w:tab/>
      </w:r>
      <w:r w:rsidRPr="00873B6C">
        <w:rPr>
          <w:b/>
          <w:bCs/>
        </w:rPr>
        <w:t>Option 2:</w:t>
      </w:r>
      <w:r w:rsidRPr="00873B6C">
        <w:t xml:space="preserve"> Triggering an Nnsacf_NSAC_NumOfPDUsUpdate_Request as described in clause 5.15.11.5 to NSACF and the NSACF performs admission control for the number of UEs with at least one PDU Session/PDN connection as follows:</w:t>
      </w:r>
    </w:p>
    <w:p w14:paraId="42F7330B" w14:textId="77777777" w:rsidR="002506F3" w:rsidRPr="00873B6C" w:rsidRDefault="002506F3" w:rsidP="005A13C0">
      <w:pPr>
        <w:pStyle w:val="B2"/>
      </w:pPr>
      <w:r w:rsidRPr="00873B6C">
        <w:t>-</w:t>
      </w:r>
      <w:r w:rsidRPr="00873B6C">
        <w:tab/>
        <w:t>The NSACF supports handling both for the number of UEs with at least one PDU Session/PDN Connection and number of PDU session for the S-NSSAI that is subject to EPC interworking and NSAC. In this case the AMF is not configured for this S-NSSAI to be subject to NSAC. As an optimization option, the SMF+PGW-C can be configured not to trigger the Nnsacf_NSAC_NumOfUEsUpdate_Request to NSACF.</w:t>
      </w:r>
    </w:p>
    <w:p w14:paraId="5C6D099F" w14:textId="77777777" w:rsidR="002506F3" w:rsidRPr="00873B6C" w:rsidRDefault="002506F3" w:rsidP="005A13C0">
      <w:pPr>
        <w:pStyle w:val="B2"/>
      </w:pPr>
      <w:r w:rsidRPr="00873B6C">
        <w:t>-</w:t>
      </w:r>
      <w:r w:rsidRPr="00873B6C">
        <w:tab/>
        <w:t>When the NSACF receives request to increase the current number of PDU Session/PDN Connection established for the network slice, the NSACF checks whether this is the first PDU Session/PDN Connection associated with the network slice. If this is the first PDU Session/PDN Connection associated with the network slice the NSACF checks whether the maximum number of UEs with at least one PDU Session/PDN Connection has been reached. If the maximum number has not been reached then the NSACF increases the number of UE with at least one PDU session/PDN connection and add an entry for UE ID. If the maximum number of UEs has already been reached, unless operator policy implements a different action, the SMF+PGW-C rejects the PDU Session/PDN connection indicating the cause being the number of UEs in the network slice has been exceeded.</w:t>
      </w:r>
    </w:p>
    <w:p w14:paraId="059503CD" w14:textId="77777777" w:rsidR="002506F3" w:rsidRPr="00873B6C" w:rsidRDefault="002506F3" w:rsidP="005A13C0">
      <w:pPr>
        <w:pStyle w:val="B2"/>
      </w:pPr>
      <w:r w:rsidRPr="00873B6C">
        <w:t>-</w:t>
      </w:r>
      <w:r w:rsidRPr="00873B6C">
        <w:tab/>
        <w:t>When the NSACF receives request to decrease the current number of PDU Session/PDN Connection established for the network slice, the NSACF locates the UE entry, checks whether this is the last PDU Session/PDN Connection associated with the network slice for the UE. If it is the last PDU Session/PDN Connection the NSACF decreases the number of UE with at least one PDU session/PDN connection and remove the associated UE entry.</w:t>
      </w:r>
    </w:p>
    <w:p w14:paraId="7A045CAE" w14:textId="6A478B41" w:rsidR="002506F3" w:rsidRPr="00873B6C" w:rsidRDefault="002506F3" w:rsidP="005A13C0">
      <w:pPr>
        <w:pStyle w:val="NO"/>
      </w:pPr>
      <w:r w:rsidRPr="00873B6C">
        <w:t>NOTE 1:</w:t>
      </w:r>
      <w:r w:rsidRPr="00873B6C">
        <w:tab/>
        <w:t>A PLMN can deploy one of the above two options for a slice when EPS counting is required for a network slice and NSACF is configured with maximum number of UEs with at least one PDU Session/PDN Connection.</w:t>
      </w:r>
    </w:p>
    <w:p w14:paraId="3B755060" w14:textId="2538A2F8" w:rsidR="00A2272A" w:rsidRPr="00873B6C" w:rsidRDefault="00A2272A" w:rsidP="002506F3">
      <w:r w:rsidRPr="00873B6C">
        <w:t>NSACF is configured with the information of whether the NSAC for number of UEs with at least one PDU session/PDN connection is based on Option1 or Option 2.</w:t>
      </w:r>
    </w:p>
    <w:p w14:paraId="68257ECF" w14:textId="247BC65B" w:rsidR="002506F3" w:rsidRPr="00873B6C" w:rsidRDefault="002506F3" w:rsidP="002506F3">
      <w:r w:rsidRPr="00873B6C">
        <w:t>In both options, the SMF+PGW-C provides the Access Type to the NSACF when triggering a request to increase or decrease or update the number of UEs with at least one PDU Session/PDN Connection and/or the number of PDU Sessions for an S-NSSAI.</w:t>
      </w:r>
    </w:p>
    <w:p w14:paraId="22B113EE" w14:textId="77777777" w:rsidR="002506F3" w:rsidRPr="00873B6C" w:rsidRDefault="002506F3" w:rsidP="002506F3">
      <w:r w:rsidRPr="00873B6C">
        <w:t>In the case of roaming, same mechanisms in clause 5.15.11.3 are used and number of registered UE is replaced with number of UE with at least one PDU Session/PDN Connection. For home routed PDU Session/PDN Connection only HPLMN admission mode can be used in this case.</w:t>
      </w:r>
    </w:p>
    <w:p w14:paraId="2DA35669" w14:textId="77777777" w:rsidR="002506F3" w:rsidRPr="00873B6C" w:rsidRDefault="002506F3" w:rsidP="002506F3">
      <w:r w:rsidRPr="00873B6C">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p>
    <w:p w14:paraId="5104E11A" w14:textId="1D4C74B7" w:rsidR="002506F3" w:rsidRPr="00873B6C" w:rsidRDefault="002506F3" w:rsidP="005A13C0">
      <w:pPr>
        <w:pStyle w:val="NO"/>
      </w:pPr>
      <w:r w:rsidRPr="00873B6C">
        <w:lastRenderedPageBreak/>
        <w:t>NOTE 2:</w:t>
      </w:r>
      <w:r w:rsidRPr="00873B6C">
        <w:tab/>
        <w:t>When NSAC for number of UEs with at least one PDU session or one PDN connection is used, the session continuity is guaranteed at inter-system mobility as the admission is granted during the establishment of the PDU Session/PDN Connection.</w:t>
      </w:r>
    </w:p>
    <w:p w14:paraId="6EDE7392" w14:textId="6F2F3CF0" w:rsidR="00681FC7" w:rsidRPr="00873B6C" w:rsidRDefault="00681FC7" w:rsidP="00681FC7">
      <w:pPr>
        <w:pStyle w:val="Heading3"/>
      </w:pPr>
      <w:bookmarkStart w:id="2804" w:name="_CR5_15_12"/>
      <w:bookmarkStart w:id="2805" w:name="_Toc201157300"/>
      <w:bookmarkEnd w:id="2804"/>
      <w:r w:rsidRPr="00873B6C">
        <w:t>5.15.12</w:t>
      </w:r>
      <w:r w:rsidRPr="00873B6C">
        <w:tab/>
        <w:t>Support of subscription-based restrictions to simultaneous registration of network slices</w:t>
      </w:r>
      <w:bookmarkEnd w:id="2805"/>
    </w:p>
    <w:p w14:paraId="72CB9E81" w14:textId="77777777" w:rsidR="00681FC7" w:rsidRPr="00873B6C" w:rsidRDefault="00681FC7" w:rsidP="00562E84">
      <w:pPr>
        <w:pStyle w:val="Heading4"/>
      </w:pPr>
      <w:bookmarkStart w:id="2806" w:name="_CR5_15_12_1"/>
      <w:bookmarkStart w:id="2807" w:name="_Toc201157301"/>
      <w:bookmarkEnd w:id="2806"/>
      <w:r w:rsidRPr="00873B6C">
        <w:t>5.15.12.1</w:t>
      </w:r>
      <w:r w:rsidRPr="00873B6C">
        <w:tab/>
        <w:t>General</w:t>
      </w:r>
      <w:bookmarkEnd w:id="2807"/>
    </w:p>
    <w:p w14:paraId="1913F6F5" w14:textId="77777777" w:rsidR="00681FC7" w:rsidRPr="00873B6C" w:rsidRDefault="00681FC7" w:rsidP="00681FC7">
      <w:r w:rsidRPr="00873B6C">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873B6C" w:rsidRDefault="00F84AAF" w:rsidP="00681FC7">
      <w:r w:rsidRPr="00873B6C">
        <w:t>When S-NSSAIs have associated NSSRG information, then the S-NSSAIs in the Allowed NSSAI shall share at least one NSSRG.</w:t>
      </w:r>
    </w:p>
    <w:p w14:paraId="1F284208" w14:textId="2030F193" w:rsidR="00681FC7" w:rsidRPr="00873B6C" w:rsidRDefault="00681FC7" w:rsidP="00681FC7">
      <w:r w:rsidRPr="00873B6C">
        <w:t>The NSSRG information, defining the association of S-NSSAIs to NSSRG, is provided as an additional and separate information.</w:t>
      </w:r>
    </w:p>
    <w:p w14:paraId="19970C8B" w14:textId="14EB81BA" w:rsidR="00681FC7" w:rsidRPr="00873B6C" w:rsidRDefault="00681FC7" w:rsidP="00681FC7">
      <w:r w:rsidRPr="00873B6C">
        <w:t xml:space="preserve"> If the optional NSSRG information is not present for the S-NSSAIs of a subscription</w:t>
      </w:r>
      <w:r w:rsidR="00472CD7" w:rsidRPr="00873B6C">
        <w:t xml:space="preserve"> and</w:t>
      </w:r>
      <w:r w:rsidRPr="00873B6C">
        <w:t xml:space="preserve">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37B1D315" w14:textId="3F3059D8" w:rsidR="009E78C1" w:rsidRPr="00873B6C" w:rsidRDefault="009E78C1" w:rsidP="00972E70">
      <w:pPr>
        <w:pStyle w:val="NO"/>
      </w:pPr>
      <w:r w:rsidRPr="00873B6C">
        <w:t>NOTE 1:</w:t>
      </w:r>
      <w:r w:rsidRPr="00873B6C">
        <w:tab/>
        <w:t>The AMF enforces NSSRG only for the access(es) the UE registered to the AMF. When the UE is registered to different PLMNs over 3GPP access and non-3GPP access, the AMF in one access cannot enforce a common NSSRG over both accesses.</w:t>
      </w:r>
    </w:p>
    <w:p w14:paraId="2C0B52D7" w14:textId="0A167EC6" w:rsidR="00681FC7" w:rsidRPr="00873B6C" w:rsidRDefault="00681FC7" w:rsidP="00681FC7">
      <w:r w:rsidRPr="00873B6C">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w:t>
      </w:r>
      <w:r w:rsidR="00472CD7" w:rsidRPr="00873B6C">
        <w:t xml:space="preserve"> and</w:t>
      </w:r>
      <w:r w:rsidRPr="00873B6C">
        <w:t xml:space="preserve"> the HPLMN sends no NSSRG information to the VPLMN. A subscription information that includes NSSRG information shall include at least one default S-NSSAI.</w:t>
      </w:r>
    </w:p>
    <w:p w14:paraId="197992F6" w14:textId="77777777" w:rsidR="00681FC7" w:rsidRPr="00873B6C" w:rsidRDefault="00681FC7" w:rsidP="00681FC7">
      <w:r w:rsidRPr="00873B6C">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6BC2DF8C" w:rsidR="00681FC7" w:rsidRPr="00873B6C" w:rsidRDefault="00681FC7" w:rsidP="00562E84">
      <w:pPr>
        <w:pStyle w:val="NO"/>
      </w:pPr>
      <w:r w:rsidRPr="00873B6C">
        <w:t>NOTE</w:t>
      </w:r>
      <w:r w:rsidR="009E78C1" w:rsidRPr="00873B6C">
        <w:t> 2:</w:t>
      </w:r>
      <w:r w:rsidR="009E78C1" w:rsidRPr="00873B6C">
        <w:tab/>
      </w:r>
      <w:r w:rsidRPr="00873B6C">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873B6C">
        <w:t>s</w:t>
      </w:r>
      <w:r w:rsidRPr="00873B6C">
        <w:t xml:space="preserve"> defined for the default S-NSSAI(s) if it has to continue to support the same service behaviour for these S-NSSAIs.</w:t>
      </w:r>
    </w:p>
    <w:p w14:paraId="040B216E" w14:textId="77777777" w:rsidR="00681FC7" w:rsidRPr="00873B6C" w:rsidRDefault="00681FC7" w:rsidP="00562E84">
      <w:pPr>
        <w:pStyle w:val="Heading4"/>
      </w:pPr>
      <w:bookmarkStart w:id="2808" w:name="_CR5_15_12_2"/>
      <w:bookmarkStart w:id="2809" w:name="_Toc201157302"/>
      <w:bookmarkEnd w:id="2808"/>
      <w:r w:rsidRPr="00873B6C">
        <w:t>5.15.12.2</w:t>
      </w:r>
      <w:r w:rsidRPr="00873B6C">
        <w:tab/>
        <w:t>UE and UE configuration aspects</w:t>
      </w:r>
      <w:bookmarkEnd w:id="2809"/>
    </w:p>
    <w:p w14:paraId="0A779C37" w14:textId="1C0A57FE" w:rsidR="00681FC7" w:rsidRPr="00873B6C" w:rsidRDefault="00681FC7" w:rsidP="00681FC7">
      <w:r w:rsidRPr="00873B6C">
        <w:t>A UE may support the subscription-based restrictions to simultaneous registration of network slice</w:t>
      </w:r>
      <w:r w:rsidR="00E83620" w:rsidRPr="00873B6C">
        <w:t>s</w:t>
      </w:r>
      <w:r w:rsidRPr="00873B6C">
        <w:t xml:space="preserve"> feature. In this case, the UE indicates its support in the Registration Request message in the Initial Registration and the Mobility Registration Update</w:t>
      </w:r>
      <w:r w:rsidR="00E83620" w:rsidRPr="00873B6C">
        <w:t xml:space="preserve"> as part of the UE 5GMM Core Network Capability</w:t>
      </w:r>
      <w:r w:rsidRPr="00873B6C">
        <w:t>.</w:t>
      </w:r>
    </w:p>
    <w:p w14:paraId="0BBB1E21" w14:textId="4E15C3C3" w:rsidR="00681FC7" w:rsidRPr="00873B6C" w:rsidRDefault="00681FC7" w:rsidP="00681FC7">
      <w:r w:rsidRPr="00873B6C">
        <w:t>When the serving AMF provides the Configured NSSAI to the UE</w:t>
      </w:r>
      <w:r w:rsidR="00472CD7" w:rsidRPr="00873B6C">
        <w:t xml:space="preserve"> and</w:t>
      </w:r>
      <w:r w:rsidRPr="00873B6C">
        <w:t xml:space="preserve">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rsidRPr="00873B6C">
        <w:t xml:space="preserve"> If the UE has stored Pending NSSAI and the UE is still interested in the Pending NSSAI then all the S-NSSAIs in the Requested NSSAI and the Pending S-NSSAI shall share a common NSSRG.</w:t>
      </w:r>
      <w:r w:rsidRPr="00873B6C">
        <w:t xml:space="preserve"> If the HPLMN changes NSSRG information in the subscription information for a UE, the UDM updates the supporting AMF serving the UE with the new NSSRG information and the AMF</w:t>
      </w:r>
      <w:r w:rsidR="00E83620" w:rsidRPr="00873B6C">
        <w:t xml:space="preserve">, possibly after interaction with the NSSF (see clause 5.2.16.2.1 of </w:t>
      </w:r>
      <w:r w:rsidR="00972E70" w:rsidRPr="00873B6C">
        <w:t>TS 23.502 [</w:t>
      </w:r>
      <w:r w:rsidR="00E83620" w:rsidRPr="00873B6C">
        <w:t>3]),</w:t>
      </w:r>
      <w:r w:rsidRPr="00873B6C">
        <w:t xml:space="preserve"> updates the UE as necessary with network slicing configuration by means of the UE Configuration Update procedure (this may </w:t>
      </w:r>
      <w:r w:rsidRPr="00873B6C">
        <w:lastRenderedPageBreak/>
        <w:t>include changes in the Configured NSSAI (and related mapping information) and changes in the Allowed NSSAI as applicable). The UE acknowledges this UE Configuration Update a</w:t>
      </w:r>
      <w:r w:rsidR="00960CDA" w:rsidRPr="00873B6C">
        <w:t>ccording to</w:t>
      </w:r>
      <w:r w:rsidRPr="00873B6C">
        <w:t xml:space="preserve"> clause 4.2.4.2 </w:t>
      </w:r>
      <w:r w:rsidR="00960CDA" w:rsidRPr="00873B6C">
        <w:t>of</w:t>
      </w:r>
      <w:r w:rsidRPr="00873B6C">
        <w:t xml:space="preserve"> </w:t>
      </w:r>
      <w:r w:rsidR="00972E70" w:rsidRPr="00873B6C">
        <w:t>TS 23.502 [</w:t>
      </w:r>
      <w:r w:rsidRPr="00873B6C">
        <w:t>3].</w:t>
      </w:r>
    </w:p>
    <w:p w14:paraId="4CA0D616" w14:textId="2344C0DF" w:rsidR="006648CD" w:rsidRPr="00873B6C" w:rsidRDefault="006648CD" w:rsidP="00681FC7">
      <w:r w:rsidRPr="00873B6C">
        <w:t>At any time, a UE supporting subscription-based restrictions to simultaneous registration of network slices feature and that has received NSSRG information together with the Configured NSSAI shall only request S-NSSAIs, across all Access Type(s)</w:t>
      </w:r>
      <w:r w:rsidR="009E78C1" w:rsidRPr="00873B6C">
        <w:t xml:space="preserve"> regardless of whether the same PLMN or different PLMNs are used</w:t>
      </w:r>
      <w:r w:rsidRPr="00873B6C">
        <w:t>, that share one or more common NSSRG.</w:t>
      </w:r>
    </w:p>
    <w:p w14:paraId="6AFBAF73" w14:textId="77777777" w:rsidR="006648CD" w:rsidRPr="00873B6C" w:rsidRDefault="006648CD" w:rsidP="00461850">
      <w:pPr>
        <w:pStyle w:val="NO"/>
      </w:pPr>
      <w:r w:rsidRPr="00873B6C">
        <w:t>NOTE:</w:t>
      </w:r>
      <w:r w:rsidRPr="00873B6C">
        <w:tab/>
        <w:t>In Requested NSSAI across all Access Type(s), the UE needs to include S-NSSAIs that share at least one common NSSRG.</w:t>
      </w:r>
    </w:p>
    <w:p w14:paraId="280C2340" w14:textId="5141F909" w:rsidR="00681FC7" w:rsidRPr="00873B6C" w:rsidRDefault="00681FC7" w:rsidP="00681FC7">
      <w:r w:rsidRPr="00873B6C">
        <w:t>An AMF which supports the subscription-based restrictions to simultaneous registration of network slice feature configures a non-supporting UE with a Configured NSSAI including only</w:t>
      </w:r>
      <w:r w:rsidR="00E83620" w:rsidRPr="00873B6C">
        <w:t xml:space="preserve"> the S-NSSAIs sharing all the NSSRG values of the default S-NSSAI(s)</w:t>
      </w:r>
      <w:r w:rsidRPr="00873B6C">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873B6C" w:rsidRDefault="00681FC7" w:rsidP="00681FC7">
      <w:r w:rsidRPr="00873B6C">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873B6C" w:rsidRDefault="00681FC7" w:rsidP="00681FC7">
      <w:r w:rsidRPr="00873B6C">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873B6C">
        <w:t xml:space="preserve"> If this indication is received from the UDM by the AMF, this is included in the UE context.</w:t>
      </w:r>
    </w:p>
    <w:p w14:paraId="14D89717" w14:textId="14035714" w:rsidR="00681FC7" w:rsidRPr="00873B6C" w:rsidRDefault="00681FC7" w:rsidP="00681FC7">
      <w:r w:rsidRPr="00873B6C">
        <w:t>Based on its policy (including configuration or optionally checking the specific PEI or Type Allocation Code used by the UE</w:t>
      </w:r>
      <w:r w:rsidR="00472CD7" w:rsidRPr="00873B6C">
        <w:t xml:space="preserve"> and</w:t>
      </w:r>
      <w:r w:rsidRPr="00873B6C">
        <w:t xml:space="preserve">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873B6C" w:rsidRDefault="00681FC7" w:rsidP="00681FC7">
      <w:r w:rsidRPr="00873B6C">
        <w:t>The AMF provides no NSSRG information to a non-supporting UE.</w:t>
      </w:r>
    </w:p>
    <w:p w14:paraId="217D8E03" w14:textId="0E1C6AA3" w:rsidR="00E83620" w:rsidRPr="00873B6C" w:rsidRDefault="00681FC7" w:rsidP="00681FC7">
      <w:r w:rsidRPr="00873B6C">
        <w:t>When an AMF which supports the subscription-based restrictions to simultaneous registration of network slice feature, receives from a UE a Requested NSSAI including S-NSSAIs that are supported in the Tracking Area but do not share a common NSSRG</w:t>
      </w:r>
      <w:r w:rsidR="00985055" w:rsidRPr="00873B6C">
        <w:t>, or the AMF has pending NSSAI stored for the UE</w:t>
      </w:r>
      <w:r w:rsidR="00472CD7" w:rsidRPr="00873B6C">
        <w:t xml:space="preserve"> and</w:t>
      </w:r>
      <w:r w:rsidR="00985055" w:rsidRPr="00873B6C">
        <w:t xml:space="preserve"> the S-NSSAI(s) of the requested NSSAI and the pending NSSAI do not share a common NSSRG</w:t>
      </w:r>
      <w:r w:rsidRPr="00873B6C">
        <w:t>, the AMF assumes the UE configuration is not up-to-date</w:t>
      </w:r>
      <w:r w:rsidR="00472CD7" w:rsidRPr="00873B6C">
        <w:t xml:space="preserve"> and</w:t>
      </w:r>
      <w:r w:rsidRPr="00873B6C">
        <w:t xml:space="preserve"> provides the </w:t>
      </w:r>
      <w:r w:rsidR="00E83620" w:rsidRPr="00873B6C">
        <w:t>following:</w:t>
      </w:r>
    </w:p>
    <w:p w14:paraId="4929D6F7" w14:textId="0F9A5270" w:rsidR="00681FC7" w:rsidRPr="00873B6C" w:rsidRDefault="00E83620" w:rsidP="00C74FFE">
      <w:pPr>
        <w:pStyle w:val="B1"/>
      </w:pPr>
      <w:r w:rsidRPr="00873B6C">
        <w:t>-</w:t>
      </w:r>
      <w:r w:rsidRPr="00873B6C">
        <w:tab/>
        <w:t xml:space="preserve">a supporting </w:t>
      </w:r>
      <w:r w:rsidR="00681FC7" w:rsidRPr="00873B6C">
        <w:t>UE with an updated configuration including the up-to-date NSSRG information for the S-NSSAIs in the Configured NSSAI as described above.</w:t>
      </w:r>
    </w:p>
    <w:p w14:paraId="768540E0" w14:textId="55D557F6" w:rsidR="00E83620" w:rsidRPr="00873B6C" w:rsidRDefault="00E83620" w:rsidP="00E83620">
      <w:pPr>
        <w:pStyle w:val="B1"/>
      </w:pPr>
      <w:r w:rsidRPr="00873B6C">
        <w:t>-</w:t>
      </w:r>
      <w:r w:rsidRPr="00873B6C">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873B6C" w:rsidRDefault="00055D0B" w:rsidP="00055D0B">
      <w:pPr>
        <w:pStyle w:val="Heading3"/>
      </w:pPr>
      <w:bookmarkStart w:id="2810" w:name="_CR5_15_13"/>
      <w:bookmarkStart w:id="2811" w:name="_Toc201157303"/>
      <w:bookmarkEnd w:id="2810"/>
      <w:r w:rsidRPr="00873B6C">
        <w:t>5.15.13</w:t>
      </w:r>
      <w:r w:rsidRPr="00873B6C">
        <w:tab/>
        <w:t>Support of data rate limitation per Network Slice for a UE</w:t>
      </w:r>
      <w:bookmarkEnd w:id="2811"/>
    </w:p>
    <w:p w14:paraId="22ADD748" w14:textId="3257C356" w:rsidR="00055D0B" w:rsidRPr="00873B6C" w:rsidRDefault="00055D0B" w:rsidP="00055D0B">
      <w:r w:rsidRPr="00873B6C">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022CB9" w:rsidRPr="00873B6C">
        <w:t>NG-</w:t>
      </w:r>
      <w:r w:rsidRPr="00873B6C">
        <w:t xml:space="preserve">RAN when the AMF provides the Allowed NSSAI for the UE to the </w:t>
      </w:r>
      <w:r w:rsidR="00022CB9" w:rsidRPr="00873B6C">
        <w:t>NG-</w:t>
      </w:r>
      <w:r w:rsidRPr="00873B6C">
        <w:t xml:space="preserve">RAN as UE-Slice-MBR QoS parameter. The UE-Slice-MBR QoS parameter is defined in clause 5.7.2.6. If the Subscribed UE-Slice-MBR for a UE changes, the AMF updates UE-Slice-MBR in the </w:t>
      </w:r>
      <w:r w:rsidR="00022CB9" w:rsidRPr="00873B6C">
        <w:t>NG-</w:t>
      </w:r>
      <w:r w:rsidRPr="00873B6C">
        <w:t>RAN accordingly.</w:t>
      </w:r>
    </w:p>
    <w:p w14:paraId="776349AE" w14:textId="1E4F7567" w:rsidR="00055D0B" w:rsidRPr="00873B6C" w:rsidRDefault="00055D0B" w:rsidP="00055D0B">
      <w:r w:rsidRPr="00873B6C">
        <w:t>In roaming case, the UE-Slice-MBR is provided for the S-NSSAI</w:t>
      </w:r>
      <w:r w:rsidR="00C60901" w:rsidRPr="00873B6C">
        <w:t xml:space="preserve"> of the VPLMN</w:t>
      </w:r>
      <w:r w:rsidRPr="00873B6C">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w:t>
      </w:r>
      <w:r w:rsidR="00972E70" w:rsidRPr="00873B6C">
        <w:t>TS 23.503 [</w:t>
      </w:r>
      <w:r w:rsidRPr="00873B6C">
        <w:t>45].</w:t>
      </w:r>
    </w:p>
    <w:p w14:paraId="736CE023" w14:textId="0D25E29B" w:rsidR="006357E4" w:rsidRPr="00873B6C" w:rsidRDefault="006357E4" w:rsidP="00055D0B">
      <w:r w:rsidRPr="00873B6C">
        <w:t>For a roaming UE, the S-NSSAI of the VPLMN maps to only one S-NSSAI of the HPLMN for which an UE-Slice-MBR is applied.</w:t>
      </w:r>
    </w:p>
    <w:p w14:paraId="17D1554A" w14:textId="1EA13745" w:rsidR="00055D0B" w:rsidRPr="00873B6C" w:rsidRDefault="00055D0B" w:rsidP="00055D0B">
      <w:r w:rsidRPr="00873B6C">
        <w:lastRenderedPageBreak/>
        <w:t xml:space="preserve">The enforcement of the UE-Slice-MBR value, if present in the UE context in the </w:t>
      </w:r>
      <w:r w:rsidR="00022CB9" w:rsidRPr="00873B6C">
        <w:t>NG-</w:t>
      </w:r>
      <w:r w:rsidRPr="00873B6C">
        <w:t>RAN for an S-NSSAI, is described in clause 5.7.1.10.</w:t>
      </w:r>
    </w:p>
    <w:p w14:paraId="1B0ED106" w14:textId="38A11232" w:rsidR="00366291" w:rsidRPr="00873B6C" w:rsidRDefault="00366291" w:rsidP="00C74FFE">
      <w:pPr>
        <w:pStyle w:val="NO"/>
      </w:pPr>
      <w:r w:rsidRPr="00873B6C">
        <w:t>NOTE:</w:t>
      </w:r>
      <w:r w:rsidRPr="00873B6C">
        <w:tab/>
        <w:t xml:space="preserve">The PCF for the PDU Session may in addition be configured to monitor the data rate per Network Slice for a UE and to strengthen or relax the traffic restrictions for individual PDU Sessions or PCC rules accordingly, as described in </w:t>
      </w:r>
      <w:r w:rsidR="00972E70" w:rsidRPr="00873B6C">
        <w:t>TS 23.503 [</w:t>
      </w:r>
      <w:r w:rsidRPr="00873B6C">
        <w:t>45] clause 6.2.1.9.</w:t>
      </w:r>
    </w:p>
    <w:p w14:paraId="6231416D" w14:textId="289539D4" w:rsidR="00972BA6" w:rsidRPr="00873B6C" w:rsidRDefault="00972BA6" w:rsidP="00972BA6">
      <w:pPr>
        <w:pStyle w:val="Heading3"/>
      </w:pPr>
      <w:bookmarkStart w:id="2812" w:name="_CR5_15_14"/>
      <w:bookmarkStart w:id="2813" w:name="_Toc201157304"/>
      <w:bookmarkEnd w:id="2812"/>
      <w:r w:rsidRPr="00873B6C">
        <w:t>5.15.14</w:t>
      </w:r>
      <w:r w:rsidRPr="00873B6C">
        <w:tab/>
        <w:t>Network Slice AS Groups support</w:t>
      </w:r>
      <w:bookmarkEnd w:id="2813"/>
    </w:p>
    <w:p w14:paraId="05BE5D39" w14:textId="6D5076A0" w:rsidR="00D34376" w:rsidRPr="00873B6C" w:rsidRDefault="00D34376" w:rsidP="00972BA6">
      <w:r w:rsidRPr="00873B6C">
        <w:t xml:space="preserve">The NG-RAN may support Network Slice AS Groups (NSAGs) which are used as specified in </w:t>
      </w:r>
      <w:r w:rsidR="00972E70" w:rsidRPr="00873B6C">
        <w:t>TS 38.300 [</w:t>
      </w:r>
      <w:r w:rsidRPr="00873B6C">
        <w:t xml:space="preserve">27], </w:t>
      </w:r>
      <w:r w:rsidR="00972E70" w:rsidRPr="00873B6C">
        <w:t>TS 38.331 [</w:t>
      </w:r>
      <w:r w:rsidRPr="00873B6C">
        <w:t xml:space="preserve">28], </w:t>
      </w:r>
      <w:r w:rsidR="00972E70" w:rsidRPr="00873B6C">
        <w:t>TS 38.321 [</w:t>
      </w:r>
      <w:r w:rsidRPr="00873B6C">
        <w:t xml:space="preserve">143] and </w:t>
      </w:r>
      <w:r w:rsidR="00972E70" w:rsidRPr="00873B6C">
        <w:t>TS 38.304 [</w:t>
      </w:r>
      <w:r w:rsidRPr="00873B6C">
        <w:t>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588A915A" w:rsidR="00972BA6" w:rsidRPr="00873B6C" w:rsidRDefault="00972BA6" w:rsidP="00972BA6">
      <w:r w:rsidRPr="00873B6C">
        <w:t xml:space="preserve">The </w:t>
      </w:r>
      <w:r w:rsidR="00D34376" w:rsidRPr="00873B6C">
        <w:t>NG-</w:t>
      </w:r>
      <w:r w:rsidRPr="00873B6C">
        <w:t xml:space="preserve">RAN provides (and updates) the AMF with the values of the NSAG(s) an S-NSSAI is associated with in a TA using the NG Set Up and RAN Configuration Update procedures (see </w:t>
      </w:r>
      <w:r w:rsidR="00972E70" w:rsidRPr="00873B6C">
        <w:t>TS 38.413 [</w:t>
      </w:r>
      <w:r w:rsidRPr="00873B6C">
        <w:t xml:space="preserve">34]). The AMF in turn provides this information to the NSSF. In deployments where the total number of groups does not exceed the number of groups associated with the NSAG size limit defined in </w:t>
      </w:r>
      <w:r w:rsidR="00972E70" w:rsidRPr="00873B6C">
        <w:t>TS 38.331 [</w:t>
      </w:r>
      <w:r w:rsidRPr="00873B6C">
        <w:t xml:space="preserve">28]), all the NSAGs configured in the </w:t>
      </w:r>
      <w:r w:rsidR="00D34376" w:rsidRPr="00873B6C">
        <w:t>NG-</w:t>
      </w:r>
      <w:r w:rsidRPr="00873B6C">
        <w:t>RAN may be unique per PLMN</w:t>
      </w:r>
      <w:r w:rsidR="00D34376" w:rsidRPr="00873B6C">
        <w:t xml:space="preserve"> or SNPN</w:t>
      </w:r>
      <w:r w:rsidRPr="00873B6C">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rsidRPr="00873B6C">
        <w:t xml:space="preserve"> If the AMF does not include the list of TAIs in association with an NSAG in the NSAG Information, the NSAG is valid in the Registered PLMN and equivalent PLMNs, or SNPN.</w:t>
      </w:r>
    </w:p>
    <w:p w14:paraId="1A5F5BC0" w14:textId="7A802183" w:rsidR="0054498C" w:rsidRPr="00873B6C" w:rsidRDefault="0054498C" w:rsidP="00695DF1">
      <w:pPr>
        <w:pStyle w:val="NO"/>
      </w:pPr>
      <w:r w:rsidRPr="00873B6C">
        <w:t>NOTE:</w:t>
      </w:r>
      <w:r w:rsidRPr="00873B6C">
        <w:tab/>
        <w:t>If the NSAGs for the PLMN and equivalent PLMNs have different associations to S-NSSAIs, then the AMF includes the list of TAIs in the NSAG information.</w:t>
      </w:r>
    </w:p>
    <w:p w14:paraId="70C6514E" w14:textId="2BC5CC09" w:rsidR="00972BA6" w:rsidRPr="00873B6C" w:rsidRDefault="00972BA6" w:rsidP="00972BA6">
      <w:r w:rsidRPr="00873B6C">
        <w:t>The UE shall store and consider the received NSAG Information, valid for the Registered PLMN</w:t>
      </w:r>
      <w:r w:rsidR="0054498C" w:rsidRPr="00873B6C">
        <w:t xml:space="preserve"> and equivalent PLMNs,</w:t>
      </w:r>
      <w:r w:rsidR="00D34376" w:rsidRPr="00873B6C">
        <w:t xml:space="preserve"> or SNPN</w:t>
      </w:r>
      <w:r w:rsidRPr="00873B6C">
        <w:t xml:space="preserve"> until:</w:t>
      </w:r>
    </w:p>
    <w:p w14:paraId="15D7EE2F" w14:textId="771F1BED" w:rsidR="00972BA6" w:rsidRPr="00873B6C" w:rsidRDefault="00972BA6" w:rsidP="0073598F">
      <w:pPr>
        <w:pStyle w:val="B1"/>
      </w:pPr>
      <w:r w:rsidRPr="00873B6C">
        <w:t>-</w:t>
      </w:r>
      <w:r w:rsidRPr="00873B6C">
        <w:tab/>
        <w:t>the UE receives new NSAG information in a Registration Accept message or UE Configuration Command message in this PLMN</w:t>
      </w:r>
      <w:r w:rsidR="00D34376" w:rsidRPr="00873B6C">
        <w:t xml:space="preserve"> or SNPN</w:t>
      </w:r>
      <w:r w:rsidRPr="00873B6C">
        <w:t>; or</w:t>
      </w:r>
    </w:p>
    <w:p w14:paraId="068A5D54" w14:textId="713DD538" w:rsidR="00972BA6" w:rsidRPr="00873B6C" w:rsidRDefault="00972BA6" w:rsidP="0073598F">
      <w:pPr>
        <w:pStyle w:val="B1"/>
      </w:pPr>
      <w:r w:rsidRPr="00873B6C">
        <w:t>-</w:t>
      </w:r>
      <w:r w:rsidRPr="00873B6C">
        <w:tab/>
        <w:t>the UE receives a Configured NSSAI without any NSAG information in this PLMN</w:t>
      </w:r>
      <w:r w:rsidR="00D34376" w:rsidRPr="00873B6C">
        <w:t xml:space="preserve"> or SNPN</w:t>
      </w:r>
      <w:r w:rsidRPr="00873B6C">
        <w:t>.</w:t>
      </w:r>
    </w:p>
    <w:p w14:paraId="7E732BB6" w14:textId="42E5A9CC" w:rsidR="00972BA6" w:rsidRPr="00873B6C" w:rsidRDefault="00972BA6" w:rsidP="00972BA6">
      <w:r w:rsidRPr="00873B6C">
        <w:t xml:space="preserve">The UE shall store the currently valid NSAG information received in the </w:t>
      </w:r>
      <w:r w:rsidR="0054498C" w:rsidRPr="00873B6C">
        <w:t>R</w:t>
      </w:r>
      <w:r w:rsidRPr="00873B6C">
        <w:t>egistered PLMN</w:t>
      </w:r>
      <w:r w:rsidR="00D34376" w:rsidRPr="00873B6C">
        <w:t xml:space="preserve"> or SNPN</w:t>
      </w:r>
      <w:r w:rsidRPr="00873B6C">
        <w:t xml:space="preserve"> when registered in this PLMN</w:t>
      </w:r>
      <w:r w:rsidR="00D34376" w:rsidRPr="00873B6C">
        <w:t xml:space="preserve"> or SNPN</w:t>
      </w:r>
      <w:r w:rsidRPr="00873B6C">
        <w:t xml:space="preserve"> and:</w:t>
      </w:r>
    </w:p>
    <w:p w14:paraId="57220E58" w14:textId="2E2D9EB1" w:rsidR="00972BA6" w:rsidRPr="00873B6C" w:rsidRDefault="00972BA6" w:rsidP="0073598F">
      <w:pPr>
        <w:pStyle w:val="B1"/>
      </w:pPr>
      <w:r w:rsidRPr="00873B6C">
        <w:t>-</w:t>
      </w:r>
      <w:r w:rsidRPr="00873B6C">
        <w:tab/>
        <w:t>The UE should be able to store the NSAG information for at least the R</w:t>
      </w:r>
      <w:r w:rsidR="0054498C" w:rsidRPr="00873B6C">
        <w:t>egistered</w:t>
      </w:r>
      <w:r w:rsidRPr="00873B6C">
        <w:t>-PLMN and equivalent PLMNs</w:t>
      </w:r>
      <w:r w:rsidR="00D34376" w:rsidRPr="00873B6C">
        <w:t xml:space="preserve">, or the </w:t>
      </w:r>
      <w:r w:rsidR="0026280E" w:rsidRPr="00873B6C">
        <w:t>Registered-</w:t>
      </w:r>
      <w:r w:rsidR="00D34376" w:rsidRPr="00873B6C">
        <w:t>SNPN</w:t>
      </w:r>
      <w:r w:rsidR="0026280E" w:rsidRPr="00873B6C">
        <w:t xml:space="preserve"> and equivalent SNPNs</w:t>
      </w:r>
      <w:r w:rsidRPr="00873B6C">
        <w:t>.</w:t>
      </w:r>
    </w:p>
    <w:p w14:paraId="54E9CD41" w14:textId="20202486" w:rsidR="00972BA6" w:rsidRPr="00873B6C" w:rsidRDefault="00972BA6" w:rsidP="0073598F">
      <w:pPr>
        <w:pStyle w:val="B1"/>
      </w:pPr>
      <w:r w:rsidRPr="00873B6C">
        <w:t>-</w:t>
      </w:r>
      <w:r w:rsidRPr="00873B6C">
        <w:tab/>
      </w:r>
      <w:r w:rsidR="0054498C" w:rsidRPr="00873B6C">
        <w:t>The Registered-</w:t>
      </w:r>
      <w:r w:rsidRPr="00873B6C">
        <w:t>PLMN can provide NSAG information to the UE</w:t>
      </w:r>
      <w:r w:rsidR="0054498C" w:rsidRPr="00873B6C">
        <w:t xml:space="preserve"> for the PLMN and the equivalent PLMNs</w:t>
      </w:r>
      <w:r w:rsidR="00472CD7" w:rsidRPr="00873B6C">
        <w:t xml:space="preserve"> and</w:t>
      </w:r>
      <w:r w:rsidR="0054498C" w:rsidRPr="00873B6C">
        <w:t xml:space="preserve"> the </w:t>
      </w:r>
      <w:r w:rsidR="0026280E" w:rsidRPr="00873B6C">
        <w:t>Registered-</w:t>
      </w:r>
      <w:r w:rsidR="0054498C" w:rsidRPr="00873B6C">
        <w:t>SNPN can provide NSAG information to the UE for the SNPN</w:t>
      </w:r>
      <w:r w:rsidRPr="00873B6C">
        <w:t>.</w:t>
      </w:r>
    </w:p>
    <w:p w14:paraId="6379CDFF" w14:textId="796B0E72" w:rsidR="00972BA6" w:rsidRPr="00873B6C" w:rsidRDefault="00972BA6" w:rsidP="0073598F">
      <w:pPr>
        <w:pStyle w:val="B1"/>
      </w:pPr>
      <w:r w:rsidRPr="00873B6C">
        <w:t>-</w:t>
      </w:r>
      <w:r w:rsidRPr="00873B6C">
        <w:tab/>
        <w:t xml:space="preserve">There can be at most 32 </w:t>
      </w:r>
      <w:r w:rsidR="00D34376" w:rsidRPr="00873B6C">
        <w:t xml:space="preserve">NSAGs </w:t>
      </w:r>
      <w:r w:rsidRPr="00873B6C">
        <w:t>configured in the UE at a time for a PLMN</w:t>
      </w:r>
      <w:r w:rsidR="00D34376" w:rsidRPr="00873B6C">
        <w:t xml:space="preserve"> or SNPN</w:t>
      </w:r>
      <w:r w:rsidRPr="00873B6C">
        <w:t>.</w:t>
      </w:r>
    </w:p>
    <w:p w14:paraId="0CF548C0" w14:textId="77777777" w:rsidR="00972BA6" w:rsidRPr="00873B6C" w:rsidRDefault="00972BA6" w:rsidP="0073598F">
      <w:pPr>
        <w:pStyle w:val="B1"/>
      </w:pPr>
      <w:r w:rsidRPr="00873B6C">
        <w:t>-</w:t>
      </w:r>
      <w:r w:rsidRPr="00873B6C">
        <w:tab/>
        <w:t>At most 4 NSAGs can have an optional TAI associated with it.</w:t>
      </w:r>
    </w:p>
    <w:p w14:paraId="1ECB1DDC" w14:textId="77777777" w:rsidR="00972BA6" w:rsidRPr="00873B6C" w:rsidRDefault="00972BA6" w:rsidP="00972BA6">
      <w:r w:rsidRPr="00873B6C">
        <w:t>The NSAG information is not required to be stored after power off or after the UE becomes Deregistered as it is not used for cell selection.</w:t>
      </w:r>
    </w:p>
    <w:p w14:paraId="4974EF12" w14:textId="0F805D6C" w:rsidR="00B7520E" w:rsidRPr="00873B6C" w:rsidRDefault="00B7520E" w:rsidP="00B7520E">
      <w:pPr>
        <w:pStyle w:val="Heading3"/>
      </w:pPr>
      <w:bookmarkStart w:id="2814" w:name="_CR5_15_15"/>
      <w:bookmarkStart w:id="2815" w:name="_Toc201157305"/>
      <w:bookmarkEnd w:id="2814"/>
      <w:r w:rsidRPr="00873B6C">
        <w:t>5.15.15</w:t>
      </w:r>
      <w:r w:rsidRPr="00873B6C">
        <w:tab/>
        <w:t>Support of Network Slice usage control</w:t>
      </w:r>
      <w:bookmarkEnd w:id="2815"/>
    </w:p>
    <w:p w14:paraId="4A8CC2F0" w14:textId="6B4C8514" w:rsidR="00B7520E" w:rsidRPr="00873B6C" w:rsidRDefault="00B7520E" w:rsidP="00B7520E">
      <w:pPr>
        <w:pStyle w:val="Heading4"/>
      </w:pPr>
      <w:bookmarkStart w:id="2816" w:name="_CR5_15_15_1"/>
      <w:bookmarkStart w:id="2817" w:name="_Toc201157306"/>
      <w:bookmarkEnd w:id="2816"/>
      <w:r w:rsidRPr="00873B6C">
        <w:t>5.15.15.1</w:t>
      </w:r>
      <w:r w:rsidRPr="00873B6C">
        <w:tab/>
        <w:t>General</w:t>
      </w:r>
      <w:bookmarkEnd w:id="2817"/>
    </w:p>
    <w:p w14:paraId="14C10EBF" w14:textId="77777777" w:rsidR="00B7520E" w:rsidRPr="00873B6C" w:rsidRDefault="00B7520E" w:rsidP="00B7520E">
      <w:r w:rsidRPr="00873B6C">
        <w:t>Network Slice usage control is achieved as follows:</w:t>
      </w:r>
    </w:p>
    <w:p w14:paraId="61F024D1" w14:textId="663EA249" w:rsidR="00B7520E" w:rsidRPr="00873B6C" w:rsidRDefault="00B7520E" w:rsidP="00972E70">
      <w:pPr>
        <w:pStyle w:val="B1"/>
      </w:pPr>
      <w:r w:rsidRPr="00873B6C">
        <w:lastRenderedPageBreak/>
        <w:t>1)</w:t>
      </w:r>
      <w:r w:rsidRPr="00873B6C">
        <w:tab/>
        <w:t>Configuring network-controlled Slice Usage Policy to supporting UEs (see clause 5.15.15.2).</w:t>
      </w:r>
    </w:p>
    <w:p w14:paraId="458658BC" w14:textId="283305E3" w:rsidR="00B7520E" w:rsidRPr="00873B6C" w:rsidRDefault="00B7520E" w:rsidP="00972E70">
      <w:pPr>
        <w:pStyle w:val="B1"/>
      </w:pPr>
      <w:r w:rsidRPr="00873B6C">
        <w:t>2)</w:t>
      </w:r>
      <w:r w:rsidRPr="00873B6C">
        <w:tab/>
        <w:t>Configuring PDU Sessions inactivity timers</w:t>
      </w:r>
      <w:r w:rsidR="00472CD7" w:rsidRPr="00873B6C">
        <w:t xml:space="preserve"> and</w:t>
      </w:r>
      <w:r w:rsidRPr="00873B6C">
        <w:t xml:space="preserve"> Network Slice deregistration inactivity timers (see clause 5.15.15.3).</w:t>
      </w:r>
    </w:p>
    <w:p w14:paraId="70276F93" w14:textId="64F28BEA" w:rsidR="00494FD0" w:rsidRPr="00873B6C" w:rsidRDefault="00494FD0" w:rsidP="005A13C0">
      <w:pPr>
        <w:pStyle w:val="NO"/>
      </w:pPr>
      <w:r w:rsidRPr="00873B6C">
        <w:t>NOTE:</w:t>
      </w:r>
      <w:r w:rsidRPr="00873B6C">
        <w:tab/>
        <w:t>The use of Network Slice Usage Control while roaming is not supported in UE and VPLMN, i.e. no timers are configured in the UE and VPLMN in this Release of the specification. However, for Home Routed PDU sessions, PDU Session inactivity timer can be configured in the H-UPF based on operator policy.</w:t>
      </w:r>
    </w:p>
    <w:p w14:paraId="7AEB53EA" w14:textId="3C6E873C" w:rsidR="00516747" w:rsidRPr="00873B6C" w:rsidRDefault="00516747" w:rsidP="00516747">
      <w:r w:rsidRPr="00873B6C">
        <w:t>Subject to operator policy and national/regional regulations, the AMF ensures that Network Slice usage control does not apply to a Network Slice used for Emergency services.</w:t>
      </w:r>
    </w:p>
    <w:p w14:paraId="30AF827C" w14:textId="77777777" w:rsidR="00B7520E" w:rsidRPr="00873B6C" w:rsidRDefault="00B7520E" w:rsidP="00972E70">
      <w:pPr>
        <w:pStyle w:val="Heading4"/>
      </w:pPr>
      <w:bookmarkStart w:id="2818" w:name="_CR5_15_15_2"/>
      <w:bookmarkStart w:id="2819" w:name="_Toc201157307"/>
      <w:bookmarkEnd w:id="2818"/>
      <w:r w:rsidRPr="00873B6C">
        <w:t>5.15.15.2</w:t>
      </w:r>
      <w:r w:rsidRPr="00873B6C">
        <w:tab/>
        <w:t>UE Configuration of network-controlled Slice Usage Policy</w:t>
      </w:r>
      <w:bookmarkEnd w:id="2819"/>
    </w:p>
    <w:p w14:paraId="6B285582" w14:textId="170A9FBB" w:rsidR="00B7520E" w:rsidRPr="00873B6C" w:rsidRDefault="00B7520E" w:rsidP="00B7520E">
      <w:r w:rsidRPr="00873B6C">
        <w:t xml:space="preserve">The UE during the Registration procedure may indicate in UE MM Core Network Capability that it supports UE configuration of network-controlled Slice Usage Policy. If so, the AMF determines Slice Usage Policy for </w:t>
      </w:r>
      <w:r w:rsidR="00893B12" w:rsidRPr="00873B6C">
        <w:t xml:space="preserve">one (or more) </w:t>
      </w:r>
      <w:r w:rsidRPr="00873B6C">
        <w:t>Network Slice</w:t>
      </w:r>
      <w:r w:rsidR="00893B12" w:rsidRPr="00873B6C">
        <w:t>(s)</w:t>
      </w:r>
      <w:r w:rsidRPr="00873B6C">
        <w:t xml:space="preserve"> for the UE and configure</w:t>
      </w:r>
      <w:r w:rsidR="00893B12" w:rsidRPr="00873B6C">
        <w:t>s</w:t>
      </w:r>
      <w:r w:rsidRPr="00873B6C">
        <w:t xml:space="preserve"> the UE with this information together with Configured NSSAI to control the usage of this</w:t>
      </w:r>
      <w:r w:rsidR="00893B12" w:rsidRPr="00873B6C">
        <w:t xml:space="preserve"> (or these)</w:t>
      </w:r>
      <w:r w:rsidRPr="00873B6C">
        <w:t xml:space="preserve"> Network Slice</w:t>
      </w:r>
      <w:r w:rsidR="00893B12" w:rsidRPr="00873B6C">
        <w:t>(s)</w:t>
      </w:r>
      <w:r w:rsidRPr="00873B6C">
        <w:t>. The AMF may be locally configured with network Slice Usage Policy, or receive the policy from the AM-PCF, or per the information received from UDM for AF managed timer values (see clause 5.15.15.3 for more details).</w:t>
      </w:r>
    </w:p>
    <w:p w14:paraId="7EA5FA52" w14:textId="77777777" w:rsidR="00B7520E" w:rsidRPr="00873B6C" w:rsidRDefault="00B7520E" w:rsidP="00B7520E">
      <w:r w:rsidRPr="00873B6C">
        <w:t>The network-controlled Slice Usage Policy is provided to the UE in the Registration Accept or the UE Configuration Update Command and may include:</w:t>
      </w:r>
    </w:p>
    <w:p w14:paraId="0481A9FE" w14:textId="77777777" w:rsidR="00B7520E" w:rsidRPr="00873B6C" w:rsidRDefault="00B7520E" w:rsidP="00972E70">
      <w:pPr>
        <w:pStyle w:val="B1"/>
      </w:pPr>
      <w:r w:rsidRPr="00873B6C">
        <w:t>-</w:t>
      </w:r>
      <w:r w:rsidRPr="00873B6C">
        <w:tab/>
        <w:t>An indication, for one or more of S-NSSAI(s) of the HPLMN in the Configured NSSAI, whether the UE only registers with the Network Slice with the network when applications in the UE require data transmission in the Network Slice (i.e. the UE can only register the Network Slice only on demand and consider the Network Slice as on demand S-NSSAI).</w:t>
      </w:r>
    </w:p>
    <w:p w14:paraId="26EC2FD7" w14:textId="77777777" w:rsidR="00B7520E" w:rsidRPr="00873B6C" w:rsidRDefault="00B7520E" w:rsidP="00972E70">
      <w:pPr>
        <w:pStyle w:val="NO"/>
      </w:pPr>
      <w:r w:rsidRPr="00873B6C">
        <w:t>NOTE:</w:t>
      </w:r>
      <w:r w:rsidRPr="00873B6C">
        <w:tab/>
        <w:t>All Other Network Slices in the Configured NSSAI are handled by the UE using UE specific policies (e.g. they may be registered irrespective of applications need).</w:t>
      </w:r>
    </w:p>
    <w:p w14:paraId="7BA69C46" w14:textId="769650F6" w:rsidR="00B7520E" w:rsidRPr="00873B6C" w:rsidRDefault="00B7520E" w:rsidP="00972E70">
      <w:pPr>
        <w:pStyle w:val="B1"/>
      </w:pPr>
      <w:r w:rsidRPr="00873B6C">
        <w:t>-</w:t>
      </w:r>
      <w:r w:rsidRPr="00873B6C">
        <w:tab/>
      </w:r>
      <w:r w:rsidR="00494FD0" w:rsidRPr="00873B6C">
        <w:t xml:space="preserve">Optionally, for </w:t>
      </w:r>
      <w:r w:rsidRPr="00873B6C">
        <w:t>on demand S-NSSAI(s) of the HPLMN in the Configured NSSAI, a</w:t>
      </w:r>
      <w:r w:rsidR="002A4DF8" w:rsidRPr="00873B6C">
        <w:t xml:space="preserve"> slice</w:t>
      </w:r>
      <w:r w:rsidRPr="00873B6C">
        <w:t xml:space="preserve"> deregistration inactivity timer</w:t>
      </w:r>
      <w:r w:rsidR="002A4DF8" w:rsidRPr="00873B6C">
        <w:t xml:space="preserve"> per access type</w:t>
      </w:r>
      <w:r w:rsidRPr="00873B6C">
        <w:t xml:space="preserve"> that causes the UE to deregister the Network Slice.</w:t>
      </w:r>
      <w:r w:rsidR="002A4DF8" w:rsidRPr="00873B6C">
        <w:t xml:space="preserve"> Regarding the slice deregistration inactivity timer, following applies:</w:t>
      </w:r>
    </w:p>
    <w:p w14:paraId="6618C395" w14:textId="5622F5B0" w:rsidR="002A4DF8" w:rsidRPr="00873B6C" w:rsidRDefault="002A4DF8" w:rsidP="005163AE">
      <w:pPr>
        <w:pStyle w:val="B2"/>
      </w:pPr>
      <w:r w:rsidRPr="00873B6C">
        <w:t>a.</w:t>
      </w:r>
      <w:r w:rsidRPr="00873B6C">
        <w:tab/>
        <w:t>The UE and AMF start the timer when one of the following conditions occur:</w:t>
      </w:r>
    </w:p>
    <w:p w14:paraId="1E5FEC26" w14:textId="77777777" w:rsidR="002A4DF8" w:rsidRPr="00873B6C" w:rsidRDefault="002A4DF8" w:rsidP="005163AE">
      <w:pPr>
        <w:pStyle w:val="B3"/>
      </w:pPr>
      <w:r w:rsidRPr="00873B6C">
        <w:t>1)</w:t>
      </w:r>
      <w:r w:rsidRPr="00873B6C">
        <w:tab/>
        <w:t>the Network Slice is added to the Allowed NSSAI and there are no PDU Sessions associated with the Network Slice over the corresponding access type; and</w:t>
      </w:r>
    </w:p>
    <w:p w14:paraId="6243B37F" w14:textId="77777777" w:rsidR="002A4DF8" w:rsidRPr="00873B6C" w:rsidRDefault="002A4DF8" w:rsidP="005163AE">
      <w:pPr>
        <w:pStyle w:val="B3"/>
      </w:pPr>
      <w:r w:rsidRPr="00873B6C">
        <w:t>2)</w:t>
      </w:r>
      <w:r w:rsidRPr="00873B6C">
        <w:tab/>
        <w:t>the last PDU Session associated with the Network Slice over the same access type is released.</w:t>
      </w:r>
    </w:p>
    <w:p w14:paraId="3DD40799" w14:textId="23BBF702" w:rsidR="002A4DF8" w:rsidRPr="00873B6C" w:rsidRDefault="002A4DF8" w:rsidP="005163AE">
      <w:pPr>
        <w:pStyle w:val="B2"/>
      </w:pPr>
      <w:r w:rsidRPr="00873B6C">
        <w:t>b.</w:t>
      </w:r>
      <w:r w:rsidRPr="00873B6C">
        <w:tab/>
        <w:t>The UE and AMF stop the timer and reset when at least one PDU Session associated with the Network Slice is successfully established or the Network Slice is removed from the Allowed NSSAI.</w:t>
      </w:r>
    </w:p>
    <w:p w14:paraId="128A5F16" w14:textId="2092281A" w:rsidR="002A4DF8" w:rsidRPr="00873B6C" w:rsidRDefault="002A4DF8" w:rsidP="005163AE">
      <w:pPr>
        <w:pStyle w:val="B2"/>
      </w:pPr>
      <w:r w:rsidRPr="00873B6C">
        <w:t>c.</w:t>
      </w:r>
      <w:r w:rsidRPr="00873B6C">
        <w:tab/>
        <w:t>When the slice deregistration inactivity timer for a Network Slice over an access type expires, the UE and AMF locally remove the S-NSSAI from the Allowed NSSAI.</w:t>
      </w:r>
    </w:p>
    <w:p w14:paraId="1341A15A" w14:textId="0A3446BC" w:rsidR="00B7520E" w:rsidRPr="00873B6C" w:rsidRDefault="00B7520E" w:rsidP="00972E70">
      <w:pPr>
        <w:pStyle w:val="B1"/>
      </w:pPr>
      <w:r w:rsidRPr="00873B6C">
        <w:tab/>
        <w:t>If the UE and network state became misaligned, the UE may, for example, request connectivity in a Network Slice which is no longer allowed. In this case, the AMF shall provide the updated Allowed NSSAI in a UE Configuration Update Command after rejecting the PDU Session establishment. The UE may then re-register with the Network Slice if needed.</w:t>
      </w:r>
    </w:p>
    <w:p w14:paraId="1E8A38B0" w14:textId="698334B3" w:rsidR="00893B12" w:rsidRPr="00873B6C" w:rsidRDefault="00EF4A8B" w:rsidP="00B7520E">
      <w:r w:rsidRPr="00873B6C">
        <w:t>The UE stores the received Slice Usage Policy with the Configured NSSAI for the serving PLMN and this is kept stored for as long as a Configured NSSAI remains stored for the PLMN. When the Configured NSSAI is updated, the AMF may also provide a new Slice Usage Policy to the UE.</w:t>
      </w:r>
    </w:p>
    <w:p w14:paraId="0E1C8777" w14:textId="06CA9FC0" w:rsidR="00640EBF" w:rsidRPr="00873B6C" w:rsidRDefault="00B7520E" w:rsidP="00B7520E">
      <w:r w:rsidRPr="00873B6C">
        <w:t>The AMF receives</w:t>
      </w:r>
      <w:r w:rsidR="00640EBF" w:rsidRPr="00873B6C">
        <w:t xml:space="preserve"> slice</w:t>
      </w:r>
      <w:r w:rsidRPr="00873B6C">
        <w:t xml:space="preserve"> deregistration inactivity timer values</w:t>
      </w:r>
      <w:r w:rsidR="00640EBF" w:rsidRPr="00873B6C">
        <w:t>, i.e. the configured slice deregistration inactivity timer,</w:t>
      </w:r>
      <w:r w:rsidRPr="00873B6C">
        <w:t xml:space="preserve"> as described in clause 5.15.15.3.</w:t>
      </w:r>
    </w:p>
    <w:p w14:paraId="016C61AE" w14:textId="65155D8B" w:rsidR="00640EBF" w:rsidRPr="00873B6C" w:rsidRDefault="00640EBF" w:rsidP="00B7520E">
      <w:r w:rsidRPr="00873B6C">
        <w:t>At mobility between AMFs, the old AMF provides both the ongoing slice deregistration inactivity timer information, if it is started, to enable the new AMF know when the timer expires</w:t>
      </w:r>
      <w:r w:rsidR="00472CD7" w:rsidRPr="00873B6C">
        <w:t xml:space="preserve"> and</w:t>
      </w:r>
      <w:r w:rsidRPr="00873B6C">
        <w:t xml:space="preserve"> the configured slice deregistration inactivity timer value(s) in the UE context to the new AMF if the slice deregistration inactivity timer is received from the AM-PCF. If </w:t>
      </w:r>
      <w:r w:rsidRPr="00873B6C">
        <w:lastRenderedPageBreak/>
        <w:t>the configured slice deregistration inactivity timer value(s) have been updated at the old AMF but not notified to the UE, the old AMF provides the new configured slice deregistration inactivity timer value(s) as the configured slice deregistration inactivity timer value(s) to the new AMF. The new AMF includes the slice deregistration inactivity timer in Registration Accept Message sent to the UE.</w:t>
      </w:r>
    </w:p>
    <w:p w14:paraId="07B9870F" w14:textId="19663783" w:rsidR="00B7520E" w:rsidRPr="00873B6C" w:rsidRDefault="00EF4A8B" w:rsidP="00B7520E">
      <w:r w:rsidRPr="00873B6C">
        <w:t>If the slice deregistration inactivity timer value is updated</w:t>
      </w:r>
      <w:r w:rsidR="00494FD0" w:rsidRPr="00873B6C">
        <w:t xml:space="preserve"> and the AMF determines to provide the timer to the UE</w:t>
      </w:r>
      <w:r w:rsidRPr="00873B6C">
        <w:t>, the AMF provides the updated value to the UE, if the UE supports UE configuration of network-controlled Slice Usage Policy, during the registration procedure</w:t>
      </w:r>
      <w:r w:rsidR="00494FD0" w:rsidRPr="00873B6C">
        <w:t xml:space="preserve"> or any</w:t>
      </w:r>
      <w:r w:rsidRPr="00873B6C">
        <w:t xml:space="preserve"> subsequent registration if there is no ongoing registration</w:t>
      </w:r>
      <w:r w:rsidR="00494FD0" w:rsidRPr="00873B6C">
        <w:t xml:space="preserve"> procedure</w:t>
      </w:r>
      <w:r w:rsidRPr="00873B6C">
        <w:t>. The AMF and the UE, if the update been provided to the UE successfully, use the updated slice deregistration inactivity timer value next time the slice deregistration inactivity timer starts.</w:t>
      </w:r>
    </w:p>
    <w:p w14:paraId="0EA3FF4A" w14:textId="77777777" w:rsidR="00B7520E" w:rsidRPr="00873B6C" w:rsidRDefault="00B7520E" w:rsidP="00972E70">
      <w:pPr>
        <w:pStyle w:val="Heading4"/>
      </w:pPr>
      <w:bookmarkStart w:id="2820" w:name="_CR5_15_15_3"/>
      <w:bookmarkStart w:id="2821" w:name="_Toc201157308"/>
      <w:bookmarkEnd w:id="2820"/>
      <w:r w:rsidRPr="00873B6C">
        <w:t>5.15.15.3</w:t>
      </w:r>
      <w:r w:rsidRPr="00873B6C">
        <w:tab/>
        <w:t>Network-based per UE Network Slice usage behaviour control</w:t>
      </w:r>
      <w:bookmarkEnd w:id="2821"/>
    </w:p>
    <w:p w14:paraId="37514F23" w14:textId="7D0BEABD" w:rsidR="00B7520E" w:rsidRPr="00873B6C" w:rsidRDefault="00B7520E" w:rsidP="00B7520E">
      <w:r w:rsidRPr="00873B6C">
        <w:t>The 5GC performs Network Slice usage monitoring to be able to enforce the release of inactive PDU Sessions</w:t>
      </w:r>
      <w:r w:rsidR="00472CD7" w:rsidRPr="00873B6C">
        <w:t xml:space="preserve"> and</w:t>
      </w:r>
      <w:r w:rsidRPr="00873B6C">
        <w:t xml:space="preserve"> deregistering of UEs from Network Slices with no PDU Sessions on them according to its own policies. In order to support usage monitoring for a Network Slice:</w:t>
      </w:r>
    </w:p>
    <w:p w14:paraId="48C6EF20" w14:textId="2CBCE3B4" w:rsidR="00B7520E" w:rsidRPr="00873B6C" w:rsidRDefault="00B7520E" w:rsidP="00972E70">
      <w:pPr>
        <w:pStyle w:val="B1"/>
      </w:pPr>
      <w:r w:rsidRPr="00873B6C">
        <w:t>-</w:t>
      </w:r>
      <w:r w:rsidRPr="00873B6C">
        <w:tab/>
      </w:r>
      <w:r w:rsidR="002A4DF8" w:rsidRPr="00873B6C">
        <w:t xml:space="preserve">The </w:t>
      </w:r>
      <w:r w:rsidRPr="00873B6C">
        <w:t>AMF runs a slice deregistration inactivity timer per S-NSSAI and access type to deregister the Network Slice.</w:t>
      </w:r>
      <w:r w:rsidR="002A4DF8" w:rsidRPr="00873B6C">
        <w:t xml:space="preserve"> Regarding the slice deregistration inactivity timer, following applies:</w:t>
      </w:r>
    </w:p>
    <w:p w14:paraId="363C439E" w14:textId="50D7C83C" w:rsidR="002A4DF8" w:rsidRPr="00873B6C" w:rsidRDefault="002A4DF8" w:rsidP="005163AE">
      <w:pPr>
        <w:pStyle w:val="B2"/>
      </w:pPr>
      <w:r w:rsidRPr="00873B6C">
        <w:t>a.</w:t>
      </w:r>
      <w:r w:rsidRPr="00873B6C">
        <w:tab/>
        <w:t>The AMF starts the timer when one of the following conditions occur:</w:t>
      </w:r>
    </w:p>
    <w:p w14:paraId="71667043" w14:textId="77777777" w:rsidR="002A4DF8" w:rsidRPr="00873B6C" w:rsidRDefault="002A4DF8" w:rsidP="005163AE">
      <w:pPr>
        <w:pStyle w:val="B3"/>
      </w:pPr>
      <w:r w:rsidRPr="00873B6C">
        <w:t>1)</w:t>
      </w:r>
      <w:r w:rsidRPr="00873B6C">
        <w:tab/>
        <w:t>the Network Slice is added to the Allowed NSSAI and there are no PDU Sessions associated with the Network Slice over the corresponding access type; and</w:t>
      </w:r>
    </w:p>
    <w:p w14:paraId="236C3D13" w14:textId="77777777" w:rsidR="002A4DF8" w:rsidRPr="00873B6C" w:rsidRDefault="002A4DF8" w:rsidP="005163AE">
      <w:pPr>
        <w:pStyle w:val="B3"/>
      </w:pPr>
      <w:r w:rsidRPr="00873B6C">
        <w:t>2)</w:t>
      </w:r>
      <w:r w:rsidRPr="00873B6C">
        <w:tab/>
        <w:t>the last PDU Session associated with the Network Slice over the same access type is released.</w:t>
      </w:r>
    </w:p>
    <w:p w14:paraId="7A857C4B" w14:textId="2D054270" w:rsidR="002A4DF8" w:rsidRPr="00873B6C" w:rsidRDefault="002A4DF8" w:rsidP="005163AE">
      <w:pPr>
        <w:pStyle w:val="B2"/>
      </w:pPr>
      <w:r w:rsidRPr="00873B6C">
        <w:t>b.</w:t>
      </w:r>
      <w:r w:rsidRPr="00873B6C">
        <w:tab/>
        <w:t>The AMF stops the timer and reset when at least one PDU Session associated with the Network Slice is successfully established or the Network Slice is removed from the Allowed NSSAI.</w:t>
      </w:r>
    </w:p>
    <w:p w14:paraId="7844A398" w14:textId="0A0AF25E" w:rsidR="002A4DF8" w:rsidRPr="00873B6C" w:rsidRDefault="002A4DF8" w:rsidP="005163AE">
      <w:pPr>
        <w:pStyle w:val="B2"/>
      </w:pPr>
      <w:r w:rsidRPr="00873B6C">
        <w:t>c.</w:t>
      </w:r>
      <w:r w:rsidRPr="00873B6C">
        <w:tab/>
        <w:t>When the slice deregistration inactivity timer for a Network Slice over an access type expires, the AMF removes the Network Slice from the Allowed NSSAI over the access type by sending the UE Configuration Update Command to impacted UE(s).</w:t>
      </w:r>
    </w:p>
    <w:p w14:paraId="08E97A2B" w14:textId="4DE7C401" w:rsidR="00B7520E" w:rsidRPr="00873B6C" w:rsidRDefault="00B7520E" w:rsidP="00972E70">
      <w:pPr>
        <w:pStyle w:val="B1"/>
      </w:pPr>
      <w:r w:rsidRPr="00873B6C">
        <w:t>-</w:t>
      </w:r>
      <w:r w:rsidRPr="00873B6C">
        <w:tab/>
      </w:r>
      <w:r w:rsidR="002A4DF8" w:rsidRPr="00873B6C">
        <w:t xml:space="preserve">The </w:t>
      </w:r>
      <w:r w:rsidRPr="00873B6C">
        <w:t>SMFs provide to UPFs that handle the PDU sessions in the Network Slice a PDU Session inactivity timer. The PDU Session inactivity timer is started after no data packet is transmitted or received and runs until the next data packet is transmitted or received which restarts the timer again. If the PDU Session inactivity timer expires before any packet is received or transmitted, the UPF reports this PDU Session inactivity event to the SMF to cause the SMF to release the PDU Session. While releasing the PDU session the SMF may indicate the release cause because of slice inactivity. When the AMF receives the notification of PDU Session release and it includes the release cause of slice inactivity and if the Network Slice of the released PDU Session is not used by other PDU Sessions (i.e. the last PDU Session using the Network Slice is released) over the corresponding access type, the AMF may trigger the UE Configuration Update procedure to remove the Network Slice from the Allowed NSSAI over that corresponding access type or start slice deregistration inactivity timer for the Network Slice.</w:t>
      </w:r>
    </w:p>
    <w:p w14:paraId="445CE221" w14:textId="4222E7B1" w:rsidR="00893B12" w:rsidRPr="00873B6C" w:rsidRDefault="00EF4A8B" w:rsidP="00FA7D5B">
      <w:pPr>
        <w:pStyle w:val="B1"/>
      </w:pPr>
      <w:r w:rsidRPr="00873B6C">
        <w:tab/>
        <w:t>If the PDU Session inactivity timer value is updated, the SMF provides the updated PDU Session inactivity timer value to the UPF. The UPF uses the updated PDU Session inactivity timer value immediately or next time the PDU Session inactivity timer starts.</w:t>
      </w:r>
    </w:p>
    <w:p w14:paraId="573460CC" w14:textId="61D1B014" w:rsidR="002E6C8C" w:rsidRPr="00873B6C" w:rsidRDefault="002E6C8C" w:rsidP="00FA7D5B">
      <w:pPr>
        <w:pStyle w:val="NO"/>
      </w:pPr>
      <w:r w:rsidRPr="00873B6C">
        <w:t>NOTE:</w:t>
      </w:r>
      <w:r w:rsidRPr="00873B6C">
        <w:tab/>
        <w:t>For MA PDU Session, the PDU Session inactivity timer is independent of Access Type.</w:t>
      </w:r>
    </w:p>
    <w:p w14:paraId="0E3E3FC4" w14:textId="29B90835" w:rsidR="00B7520E" w:rsidRPr="00873B6C" w:rsidRDefault="00B7520E" w:rsidP="00B7520E">
      <w:r w:rsidRPr="00873B6C">
        <w:t>If an S-NSSAI is dedicated for a single AF</w:t>
      </w:r>
      <w:r w:rsidR="00472CD7" w:rsidRPr="00873B6C">
        <w:t xml:space="preserve"> and</w:t>
      </w:r>
      <w:r w:rsidRPr="00873B6C">
        <w:t xml:space="preserve"> if authorized by operator policy to provide deregistration inactivity/PDU Session inactivity timer values for the S-NSSAI, the AF uses external parameter provisioning procedure to provide deregistration inactivity and PDU session inactivity timer values as described in clause 4.15.6.</w:t>
      </w:r>
      <w:r w:rsidR="00893B12" w:rsidRPr="00873B6C">
        <w:t>3g</w:t>
      </w:r>
      <w:r w:rsidRPr="00873B6C">
        <w:t xml:space="preserve"> of </w:t>
      </w:r>
      <w:r w:rsidR="00972E70" w:rsidRPr="00873B6C">
        <w:t>TS 23.502 [</w:t>
      </w:r>
      <w:r w:rsidRPr="00873B6C">
        <w:t>3]. In this case, the AF provided timer values are stored in the UDM and provided to the AMF/SMF as part of subscription data for the corresponding S-NSSAI. If no AF is authorized to provide deregistration inactivity/PDU Session inactivity timer values for the S-NSSAI</w:t>
      </w:r>
      <w:r w:rsidR="00893B12" w:rsidRPr="00873B6C">
        <w:t>, i.e. no timer value received from UDM</w:t>
      </w:r>
      <w:r w:rsidRPr="00873B6C">
        <w:t>, the slice deregistration inactivity timer value and PDU Session inactivity timer value are either pre-configured in the AMF/SMF or received by the AMF/SMF during the AM Policy Association / SM Policy Association procedure respectively.</w:t>
      </w:r>
    </w:p>
    <w:p w14:paraId="62E2E752" w14:textId="2E06E3C3" w:rsidR="00B7520E" w:rsidRPr="00873B6C" w:rsidRDefault="00B7520E" w:rsidP="00B7520E">
      <w:r w:rsidRPr="00873B6C">
        <w:t>To enable a serving network to direct UEs to a preferred Network Slice, the AMF may request the UE to transfer a PDU Session from one S-NSSAI to another S-NSSAI as described in clause 5.15.1</w:t>
      </w:r>
      <w:r w:rsidR="004D7805" w:rsidRPr="00873B6C">
        <w:t>9</w:t>
      </w:r>
      <w:r w:rsidRPr="00873B6C">
        <w:t>.</w:t>
      </w:r>
    </w:p>
    <w:p w14:paraId="0401430E" w14:textId="0F762C3E" w:rsidR="00985055" w:rsidRPr="00873B6C" w:rsidRDefault="00985055" w:rsidP="00985055">
      <w:pPr>
        <w:pStyle w:val="Heading3"/>
      </w:pPr>
      <w:bookmarkStart w:id="2822" w:name="_CR5_15_16"/>
      <w:bookmarkStart w:id="2823" w:name="_Toc201157309"/>
      <w:bookmarkEnd w:id="2822"/>
      <w:r w:rsidRPr="00873B6C">
        <w:lastRenderedPageBreak/>
        <w:t>5.15.16</w:t>
      </w:r>
      <w:r w:rsidRPr="00873B6C">
        <w:tab/>
        <w:t>Optimized handling of temporarily available network slices</w:t>
      </w:r>
      <w:bookmarkEnd w:id="2823"/>
    </w:p>
    <w:p w14:paraId="1E73B142" w14:textId="77777777" w:rsidR="00985055" w:rsidRPr="00873B6C" w:rsidRDefault="00985055" w:rsidP="00985055">
      <w:r w:rsidRPr="00873B6C">
        <w:t>A network slice may be available for all UEs or a limited number of UEs only for a limited time that is known at the network in advance e.g. by OAM or subscription. The limited time duration may be due to, for example, the fact that network slice is only temporarily or periodically active in the deployment (e.g. for a limited time to serve an event or a UE may be only authorized to access the network slice for a limited time known in advance), or the network slice is being decommissioned at a known future time. This feature is enabled by S-NSSAI validity time that the network and the UE can handle to reduce the signalling load associated to the transitions in RM and SM states for the network slice.</w:t>
      </w:r>
    </w:p>
    <w:p w14:paraId="1CF8EC12" w14:textId="77777777" w:rsidR="00985055" w:rsidRPr="00873B6C" w:rsidRDefault="00985055" w:rsidP="00985055">
      <w:r w:rsidRPr="00873B6C">
        <w:t>The UE may indicate its support for temporarily available network slices in the UE MM Core Network Capability (see clause 5.4.4a) in the Registration Request. The AMF, based on OAM configuration or information received from the UDM or NSSF, may indicate to a supporting UE the validity time for one or more S-NSSAIs in the Configured NSSAI in the Registration Accept message or via the UE Configuration Update procedure. In roaming case, the AMF my include the validity time for an S-NSSAI in the Configured NSSAI either because of limited availability of the VPLMN S-NSSAI or the mapped S-NSSAI of the HPLMN.</w:t>
      </w:r>
    </w:p>
    <w:p w14:paraId="6CFBA2AD" w14:textId="1A09F2C1" w:rsidR="00857A0D" w:rsidRPr="00873B6C" w:rsidRDefault="00857A0D" w:rsidP="00857A0D">
      <w:r w:rsidRPr="00873B6C">
        <w:t>If the validity time value from the OAM, UDM or NSSF are different (including the roaming case), how to select which of the validity time values is applicable for the UE is based on operator's policy.</w:t>
      </w:r>
    </w:p>
    <w:p w14:paraId="532EBCD9" w14:textId="3FAE56FC" w:rsidR="00985055" w:rsidRPr="00873B6C" w:rsidRDefault="00985055" w:rsidP="00972E70">
      <w:pPr>
        <w:pStyle w:val="NO"/>
      </w:pPr>
      <w:r w:rsidRPr="00873B6C">
        <w:t>NOTE 1:</w:t>
      </w:r>
      <w:r w:rsidRPr="00873B6C">
        <w:tab/>
        <w:t>When the validity time changes or a validity time is determined for a S-NSSAI in the configured NSSAI, the PLMN provides the new validity time for the S-NSSAIs in the Configured NSSAI to a supporting UE.</w:t>
      </w:r>
    </w:p>
    <w:p w14:paraId="3901729C" w14:textId="77777777" w:rsidR="00985055" w:rsidRPr="00873B6C" w:rsidRDefault="00985055" w:rsidP="00985055">
      <w:r w:rsidRPr="00873B6C">
        <w:t>If a supporting UE is configured with validity time for an S-NSSAI:</w:t>
      </w:r>
    </w:p>
    <w:p w14:paraId="2BF95F9E" w14:textId="77777777" w:rsidR="00985055" w:rsidRPr="00873B6C" w:rsidRDefault="00985055" w:rsidP="00972E70">
      <w:pPr>
        <w:pStyle w:val="B1"/>
      </w:pPr>
      <w:r w:rsidRPr="00873B6C">
        <w:t>a)</w:t>
      </w:r>
      <w:r w:rsidRPr="00873B6C">
        <w:tab/>
        <w:t>If the validity time indicates the S-NSSAI is available, the UE may request the S-NSSAI in a Requested NSSAI in a Registration request and, if the S-NSSAI is included in the Allowed NSSAI or in the Partially Allowed NSSAI, the UE may establish PDU sessions associated with the S-NSSAI.</w:t>
      </w:r>
    </w:p>
    <w:p w14:paraId="66CC5266" w14:textId="77777777" w:rsidR="00985055" w:rsidRPr="00873B6C" w:rsidRDefault="00985055" w:rsidP="00972E70">
      <w:pPr>
        <w:pStyle w:val="B1"/>
      </w:pPr>
      <w:r w:rsidRPr="00873B6C">
        <w:t>b)</w:t>
      </w:r>
      <w:r w:rsidRPr="00873B6C">
        <w:tab/>
        <w:t>If the validity time indicates the S-NSSAI is not available</w:t>
      </w:r>
    </w:p>
    <w:p w14:paraId="61273F4E" w14:textId="44FB9093" w:rsidR="00985055" w:rsidRPr="00873B6C" w:rsidRDefault="00985055" w:rsidP="00972E70">
      <w:pPr>
        <w:pStyle w:val="B2"/>
      </w:pPr>
      <w:r w:rsidRPr="00873B6C">
        <w:t>-</w:t>
      </w:r>
      <w:r w:rsidRPr="00873B6C">
        <w:tab/>
        <w:t>The UE shall not include the S-NSSAI in the Requested NSSAI</w:t>
      </w:r>
      <w:r w:rsidR="007E4CBA" w:rsidRPr="00873B6C">
        <w:t xml:space="preserve"> for any Access Types regardless of the validity time information was received</w:t>
      </w:r>
      <w:r w:rsidRPr="00873B6C">
        <w:t>;</w:t>
      </w:r>
    </w:p>
    <w:p w14:paraId="20241EB1" w14:textId="77777777" w:rsidR="00985055" w:rsidRPr="00873B6C" w:rsidRDefault="00985055" w:rsidP="00972E70">
      <w:pPr>
        <w:pStyle w:val="B2"/>
      </w:pPr>
      <w:r w:rsidRPr="00873B6C">
        <w:t>-</w:t>
      </w:r>
      <w:r w:rsidRPr="00873B6C">
        <w:tab/>
        <w:t>If the S-NSSAI is already part of the Allowed NSSAI or Partially Allowed NSSAI, the UE shall remove the S-NSSAI from the locally stored Allowed NSSAI or Partially Allowed NSSAI and the UE shall also locally release any PDU sessions associated with the S-NSSAI.</w:t>
      </w:r>
    </w:p>
    <w:p w14:paraId="7A24186D" w14:textId="77777777" w:rsidR="00985055" w:rsidRPr="00873B6C" w:rsidRDefault="00985055" w:rsidP="00972E70">
      <w:pPr>
        <w:pStyle w:val="B2"/>
      </w:pPr>
      <w:r w:rsidRPr="00873B6C">
        <w:t>-</w:t>
      </w:r>
      <w:r w:rsidRPr="00873B6C">
        <w:tab/>
        <w:t>If the validity time indicates the S-NSSAI will not be available again, the UE shall remove the S-NSSAI from the locally stored Configured NSSAI.</w:t>
      </w:r>
    </w:p>
    <w:p w14:paraId="41B7AAC1" w14:textId="4B78DFB3" w:rsidR="00985055" w:rsidRPr="00873B6C" w:rsidRDefault="00985055" w:rsidP="00972E70">
      <w:pPr>
        <w:pStyle w:val="NO"/>
      </w:pPr>
      <w:r w:rsidRPr="00873B6C">
        <w:t>NOTE 2:</w:t>
      </w:r>
      <w:r w:rsidRPr="00873B6C">
        <w:tab/>
        <w:t>Subject to implementation decisions outside 3GPP scope, the UE may also use the validity time information to e.g. attempt to use another PDU sessions to continue supporting the connectivity with another connectivity option if possible according to the URSP rules, or, if not possible, e.g. provide implementation-dependent information on the availability of connectivity for specific applications affected by an impending connectivity loss, so the UE can let the end user prepare for the loss of connectivity.</w:t>
      </w:r>
    </w:p>
    <w:p w14:paraId="78B16AD5" w14:textId="1B012768" w:rsidR="00060FE0" w:rsidRPr="00873B6C" w:rsidRDefault="00060FE0" w:rsidP="00060FE0">
      <w:pPr>
        <w:pStyle w:val="NO"/>
      </w:pPr>
      <w:r w:rsidRPr="00873B6C">
        <w:t>NOTE 3:</w:t>
      </w:r>
      <w:r w:rsidRPr="00873B6C">
        <w:tab/>
        <w:t>The AMF will add an S-NSSAI to the Allowed NSSAI before an S-NSSAI validity time of a single S-NSSAI in the Allowed NSSAI expires.</w:t>
      </w:r>
    </w:p>
    <w:p w14:paraId="2512AA60" w14:textId="2947E391" w:rsidR="00060FE0" w:rsidRPr="00873B6C" w:rsidRDefault="00060FE0" w:rsidP="00060FE0">
      <w:pPr>
        <w:pStyle w:val="B2"/>
      </w:pPr>
      <w:r w:rsidRPr="00873B6C">
        <w:t>-</w:t>
      </w:r>
      <w:r w:rsidRPr="00873B6C">
        <w:tab/>
        <w:t>If a UE supporting temporary available network slices only got one S-NSSAI in the Allowed NSSAI with a validity time that is about to expire</w:t>
      </w:r>
      <w:r w:rsidR="00472CD7" w:rsidRPr="00873B6C">
        <w:t xml:space="preserve"> and</w:t>
      </w:r>
      <w:r w:rsidRPr="00873B6C">
        <w:t xml:space="preserve"> does not have any Pending NSSAI, then the UE may trigger a Mobility Registration Update to register with any other S-NSSAI in the Configured NSSAI which is still available, if any</w:t>
      </w:r>
      <w:r w:rsidR="00472CD7" w:rsidRPr="00873B6C">
        <w:t xml:space="preserve"> and</w:t>
      </w:r>
      <w:r w:rsidRPr="00873B6C">
        <w:t xml:space="preserve"> if UE does not</w:t>
      </w:r>
      <w:r w:rsidR="00CA290C" w:rsidRPr="00873B6C">
        <w:t xml:space="preserve"> trigger Mobility Registration Update and Allowed NSSAI becomes empty after expiry of validity time</w:t>
      </w:r>
      <w:r w:rsidRPr="00873B6C">
        <w:t>, then the UE shall enter RM-DEREGISTERED state</w:t>
      </w:r>
      <w:r w:rsidR="00CA290C" w:rsidRPr="00873B6C">
        <w:t xml:space="preserve"> implicitly</w:t>
      </w:r>
      <w:r w:rsidRPr="00873B6C">
        <w:t>.</w:t>
      </w:r>
    </w:p>
    <w:p w14:paraId="6D676CB5" w14:textId="77777777" w:rsidR="00985055" w:rsidRPr="00873B6C" w:rsidRDefault="00985055" w:rsidP="00985055">
      <w:r w:rsidRPr="00873B6C">
        <w:t>For a supporting UE, if validity time applies to an S-NSSAI, an AMF supporting temporarily available network slices shall:</w:t>
      </w:r>
    </w:p>
    <w:p w14:paraId="708B01CA" w14:textId="77777777" w:rsidR="00985055" w:rsidRPr="00873B6C" w:rsidRDefault="00985055" w:rsidP="00972E70">
      <w:pPr>
        <w:pStyle w:val="B1"/>
      </w:pPr>
      <w:r w:rsidRPr="00873B6C">
        <w:t>-</w:t>
      </w:r>
      <w:r w:rsidRPr="00873B6C">
        <w:tab/>
        <w:t xml:space="preserve">If the S-NSSAI is provided in a Requested NSSAI in a Registration Request by the UE and the validity time indicates the S-NSSAI is not available, but it is going to become available again (i.e. the UE is detected as not having up to date validity time), then the AMF sends the Configured NSSAI to the UE including the validity time for the S-NSSAI in the Registration Accept message. If the validity time indicates the S-NSSAI is not </w:t>
      </w:r>
      <w:r w:rsidRPr="00873B6C">
        <w:lastRenderedPageBreak/>
        <w:t>available and will not become available again, then the AMF sends the Configured NSSAI to the UE, excluding the S-NSSAI from the Configured NSSAI.</w:t>
      </w:r>
    </w:p>
    <w:p w14:paraId="07FC2C87" w14:textId="77777777" w:rsidR="00985055" w:rsidRPr="00873B6C" w:rsidRDefault="00985055" w:rsidP="00972E70">
      <w:pPr>
        <w:pStyle w:val="B1"/>
      </w:pPr>
      <w:r w:rsidRPr="00873B6C">
        <w:t>-</w:t>
      </w:r>
      <w:r w:rsidRPr="00873B6C">
        <w:tab/>
        <w:t>If the S-NSSAI is in the Allowed NSSAI or the Partially Allowed NSSAI for the UE and the validity time indicates that the S-NSSAI is not available, then locally remove (i.e. without sending any signalling to the UE) the S-NSSAI from the Allowed NSSAI or Partially Allowed NSSAI. If there is any PDU session established for the S-NSSAI, the AMF requests the SMF to release the PDU session:</w:t>
      </w:r>
    </w:p>
    <w:p w14:paraId="26DFFB32" w14:textId="761C86A4" w:rsidR="00985055" w:rsidRPr="00873B6C" w:rsidRDefault="00985055" w:rsidP="00972E70">
      <w:pPr>
        <w:pStyle w:val="B2"/>
      </w:pPr>
      <w:r w:rsidRPr="00873B6C">
        <w:t>-</w:t>
      </w:r>
      <w:r w:rsidRPr="00873B6C">
        <w:tab/>
        <w:t xml:space="preserve">If the UE is in CM-CONNECTED state, the AMF releases the PDU session for the S-NSSAI by sending to the SMF, as per step 1f in clause 4.3.4.2 of </w:t>
      </w:r>
      <w:r w:rsidR="00972E70" w:rsidRPr="00873B6C">
        <w:t>TS 23.502 [</w:t>
      </w:r>
      <w:r w:rsidRPr="00873B6C">
        <w:t>3], a Nsmf_PDUSession_UpdateSMContext Request with a release indication to request the release of the PDU Session and then the AMF forwards the N2 SM request to release the AN resources associated with the PDU session</w:t>
      </w:r>
    </w:p>
    <w:p w14:paraId="3680C652" w14:textId="3F6EBED1" w:rsidR="00985055" w:rsidRPr="00873B6C" w:rsidRDefault="00985055" w:rsidP="00972E70">
      <w:pPr>
        <w:pStyle w:val="B2"/>
      </w:pPr>
      <w:r w:rsidRPr="00873B6C">
        <w:t>-</w:t>
      </w:r>
      <w:r w:rsidRPr="00873B6C">
        <w:tab/>
        <w:t xml:space="preserve">If the UE is in CM-IDLE state, the AMF locally releases the PDU session without paging the UE and causes the SMF to locally release the SM context for the UE by a Nsmf_PDUSession_ReleaseSMContext, as in step 1c in clause 4.3.4.2 of </w:t>
      </w:r>
      <w:r w:rsidR="00972E70" w:rsidRPr="00873B6C">
        <w:t>TS 23.502 [</w:t>
      </w:r>
      <w:r w:rsidRPr="00873B6C">
        <w:t>3]. The PDU Session status is synchronized at next time when the UE connects to the network.</w:t>
      </w:r>
    </w:p>
    <w:p w14:paraId="5595EBB8" w14:textId="419940DE" w:rsidR="00060FE0" w:rsidRPr="00873B6C" w:rsidRDefault="00060FE0" w:rsidP="00060FE0">
      <w:pPr>
        <w:pStyle w:val="B1"/>
      </w:pPr>
      <w:r w:rsidRPr="00873B6C">
        <w:t>-</w:t>
      </w:r>
      <w:r w:rsidRPr="00873B6C">
        <w:tab/>
        <w:t>If there is no S-NSSAI present in the Allowed NSSAI or Partially Allowed NSSAI after AMF removes the S-NSSAI locally</w:t>
      </w:r>
      <w:r w:rsidR="00CA290C" w:rsidRPr="00873B6C">
        <w:t xml:space="preserve"> after expiry of validity time, the </w:t>
      </w:r>
      <w:r w:rsidRPr="00873B6C">
        <w:t>AMF shall enter RM-DEREGISTERED state for the UE</w:t>
      </w:r>
      <w:r w:rsidR="00CA290C" w:rsidRPr="00873B6C">
        <w:t xml:space="preserve"> implicitly</w:t>
      </w:r>
      <w:r w:rsidRPr="00873B6C">
        <w:t>.</w:t>
      </w:r>
    </w:p>
    <w:p w14:paraId="069CC82F" w14:textId="77777777" w:rsidR="00985055" w:rsidRPr="00873B6C" w:rsidRDefault="00985055" w:rsidP="00985055">
      <w:r w:rsidRPr="00873B6C">
        <w:t>For a non-supporting UE, if validity time applies to an S-NSSAI, an AMF supporting temporarily available network slices shall:</w:t>
      </w:r>
    </w:p>
    <w:p w14:paraId="11D06724" w14:textId="77777777" w:rsidR="00985055" w:rsidRPr="00873B6C" w:rsidRDefault="00985055" w:rsidP="00972E70">
      <w:pPr>
        <w:pStyle w:val="B1"/>
      </w:pPr>
      <w:r w:rsidRPr="00873B6C">
        <w:t>-</w:t>
      </w:r>
      <w:r w:rsidRPr="00873B6C">
        <w:tab/>
        <w:t>If the validity time indicates the S-NSSAI is available, allow or partially allow the network slice when requested, establish PDU sessions when requested.</w:t>
      </w:r>
    </w:p>
    <w:p w14:paraId="041F4F23" w14:textId="1420396E" w:rsidR="00985055" w:rsidRPr="00873B6C" w:rsidRDefault="00985055" w:rsidP="00972E70">
      <w:pPr>
        <w:pStyle w:val="B1"/>
      </w:pPr>
      <w:r w:rsidRPr="00873B6C">
        <w:t>-</w:t>
      </w:r>
      <w:r w:rsidRPr="00873B6C">
        <w:tab/>
        <w:t xml:space="preserve">If the S-NSSAI is provided in a Requested NSSAI in a Registration Request by the UE and the validity time indicates the S-NSSAI is not available, reject the </w:t>
      </w:r>
      <w:r w:rsidR="007E4CBA" w:rsidRPr="00873B6C">
        <w:t xml:space="preserve">S-NSSAI </w:t>
      </w:r>
      <w:r w:rsidRPr="00873B6C">
        <w:t>and remove the S-NSSAI from the Configured NSSAI by providing an updated Configured NSSAI in the Registration Accept message.</w:t>
      </w:r>
    </w:p>
    <w:p w14:paraId="33C7758B" w14:textId="77777777" w:rsidR="00985055" w:rsidRPr="00873B6C" w:rsidRDefault="00985055" w:rsidP="00972E70">
      <w:pPr>
        <w:pStyle w:val="B1"/>
      </w:pPr>
      <w:r w:rsidRPr="00873B6C">
        <w:t>-</w:t>
      </w:r>
      <w:r w:rsidRPr="00873B6C">
        <w:tab/>
        <w:t>If the S-NSSAI is in the UE in the Allowed NSSAI or Partially Allowed NSSAI and the validity time indicates the S-NSSAI is not available, remove the S-NSSAI from the Configured NSSAI and the Allowed NSSAI or Partially Allowed NSSAI by a UE Configuration Update procedure. If there is any PDU session established for the S-NSSAI, the AMF requests the SMF to release the PDU session in the network:</w:t>
      </w:r>
    </w:p>
    <w:p w14:paraId="2B4E9AAD" w14:textId="3F60A68D" w:rsidR="00985055" w:rsidRPr="00873B6C" w:rsidRDefault="00985055" w:rsidP="00972E70">
      <w:pPr>
        <w:pStyle w:val="B2"/>
      </w:pPr>
      <w:r w:rsidRPr="00873B6C">
        <w:t>-</w:t>
      </w:r>
      <w:r w:rsidRPr="00873B6C">
        <w:tab/>
        <w:t xml:space="preserve">If the UE is in CM-CONNECTED state, the AMF releases the PDU session for the S-NSSAI by sending to the SMF, as in step 1f in clause 4.3.4.2 of </w:t>
      </w:r>
      <w:r w:rsidR="00972E70" w:rsidRPr="00873B6C">
        <w:t>TS 23.502 [</w:t>
      </w:r>
      <w:r w:rsidRPr="00873B6C">
        <w:t>3], a Nsmf_PDUSession_UpdateSMContext Request with a release indication to request the release of the PDU Session and then the AMF forwards the N2 SM request to release the AN resources associated with the PDU session</w:t>
      </w:r>
    </w:p>
    <w:p w14:paraId="05FFF28B" w14:textId="295FCFA2" w:rsidR="00985055" w:rsidRPr="00873B6C" w:rsidRDefault="00985055" w:rsidP="00972E70">
      <w:pPr>
        <w:pStyle w:val="B2"/>
      </w:pPr>
      <w:r w:rsidRPr="00873B6C">
        <w:t>-</w:t>
      </w:r>
      <w:r w:rsidRPr="00873B6C">
        <w:tab/>
        <w:t xml:space="preserve">If the UE is in CM-IDLE, the AMF locally releases the PDU session without paging the UE and causes the SMF to locally release the SM context for the UE by a Nsmf_PDUSession_ReleaseSMContext, as in step 1c in clause 4.3.4.2 of </w:t>
      </w:r>
      <w:r w:rsidR="00972E70" w:rsidRPr="00873B6C">
        <w:t>TS 23.502 [</w:t>
      </w:r>
      <w:r w:rsidRPr="00873B6C">
        <w:t>3]. The PDU Session status is synchronized at next time when the UE connects to the network</w:t>
      </w:r>
    </w:p>
    <w:p w14:paraId="279C45EE" w14:textId="71DE968E" w:rsidR="00985055" w:rsidRPr="00873B6C" w:rsidRDefault="00985055" w:rsidP="00972E70">
      <w:pPr>
        <w:pStyle w:val="NO"/>
      </w:pPr>
      <w:r w:rsidRPr="00873B6C">
        <w:t>NOTE </w:t>
      </w:r>
      <w:r w:rsidR="00060FE0" w:rsidRPr="00873B6C">
        <w:t>4</w:t>
      </w:r>
      <w:r w:rsidRPr="00873B6C">
        <w:t>:</w:t>
      </w:r>
      <w:r w:rsidRPr="00873B6C">
        <w:tab/>
        <w:t>If the network slice becomes unavailable</w:t>
      </w:r>
      <w:r w:rsidR="00472CD7" w:rsidRPr="00873B6C">
        <w:t xml:space="preserve"> and</w:t>
      </w:r>
      <w:r w:rsidRPr="00873B6C">
        <w:t xml:space="preserve"> a large number of UEs are impacted, the AMF can send the updates to the non-supporting UEs in a manner that avoids surge in signalling (e.g. next time the UE becomes connected).</w:t>
      </w:r>
    </w:p>
    <w:p w14:paraId="1EC62CC2" w14:textId="77777777" w:rsidR="00985055" w:rsidRPr="00873B6C" w:rsidRDefault="00985055" w:rsidP="00972E70">
      <w:pPr>
        <w:pStyle w:val="B1"/>
      </w:pPr>
      <w:r w:rsidRPr="00873B6C">
        <w:t>-</w:t>
      </w:r>
      <w:r w:rsidRPr="00873B6C">
        <w:tab/>
        <w:t>If the AMF detects from the validity time of a S-NSSAI that it is available again, then update the Configured NSSAI to include the S-NSSAI via a UE Configuration Update procedure.</w:t>
      </w:r>
    </w:p>
    <w:p w14:paraId="1E7E802C" w14:textId="34E77ED0" w:rsidR="00985055" w:rsidRPr="00873B6C" w:rsidRDefault="00985055" w:rsidP="00972E70">
      <w:pPr>
        <w:pStyle w:val="NO"/>
      </w:pPr>
      <w:r w:rsidRPr="00873B6C">
        <w:t>NOTE </w:t>
      </w:r>
      <w:r w:rsidR="00060FE0" w:rsidRPr="00873B6C">
        <w:t>5</w:t>
      </w:r>
      <w:r w:rsidRPr="00873B6C">
        <w:t>:</w:t>
      </w:r>
      <w:r w:rsidRPr="00873B6C">
        <w:tab/>
        <w:t>The AMF, for the case of UE not performing any actions despite the validity timing information provided by the network, can terminate PDU Session(s) associated with S-NSSAI subject to be terminated according to the validity time by explicitly releasing the PDU Sessions associated with the S-NSSAI.</w:t>
      </w:r>
    </w:p>
    <w:p w14:paraId="0C348997" w14:textId="64DB56C6" w:rsidR="00D01473" w:rsidRPr="00873B6C" w:rsidRDefault="00D01473" w:rsidP="00D01473">
      <w:pPr>
        <w:pStyle w:val="Heading3"/>
      </w:pPr>
      <w:bookmarkStart w:id="2824" w:name="_CR5_15_17"/>
      <w:bookmarkStart w:id="2825" w:name="_Toc201157310"/>
      <w:bookmarkEnd w:id="2824"/>
      <w:r w:rsidRPr="00873B6C">
        <w:t>5.15.17</w:t>
      </w:r>
      <w:r w:rsidRPr="00873B6C">
        <w:tab/>
        <w:t>Partial Network Slice support in a Registration Area</w:t>
      </w:r>
      <w:bookmarkEnd w:id="2825"/>
    </w:p>
    <w:p w14:paraId="20300F62" w14:textId="77777777" w:rsidR="00D01473" w:rsidRPr="00873B6C" w:rsidRDefault="00D01473" w:rsidP="00D01473">
      <w:r w:rsidRPr="00873B6C">
        <w:t>A Network Slice may be supported in one or more TAs in a PLMN/SNPN. The Partial Network Slice support in a Registration Area for a UE includes configuring the UE with a Partially Allowed NSSAI and/or S-NSSAI(s) rejected partially in the RA.</w:t>
      </w:r>
    </w:p>
    <w:p w14:paraId="370E15EA" w14:textId="77777777" w:rsidR="00A13197" w:rsidRPr="00873B6C" w:rsidRDefault="00D01473" w:rsidP="00D01473">
      <w:r w:rsidRPr="00873B6C">
        <w:lastRenderedPageBreak/>
        <w:t xml:space="preserve">When creating a Registration Area for UEs registering over the 3GPP access and supporting the Partial Network Slice support in a Registration Area, the AMF may consider the trade-off between signalling for paging in TAs where the S-NSSAI is not supported versus the signalling for Mobility Registration Updates to register with the S-NSSAI in the TA(s) where the S-NSSAI is supported, so that the AMF may create a Registration Area including the TA(s) where a requested S-NSSAI is not supported. </w:t>
      </w:r>
      <w:r w:rsidR="00A13197" w:rsidRPr="00873B6C">
        <w:t>For supporting UEs, whether the AMF uses the Partially Allowed NSSAI or rejects the S-NSSAIs partially in the RA, or whether the AMF rejects the S-NSSAI for the current RA, is a per S-NSSAI decision which is based on AMF local policy. If supported and allowed by local policy, the Partially Allowed NSSAI and S-NSSAIs rejected partially in the RA may be applied simultaneously for one UE for different S-NSSAIs.</w:t>
      </w:r>
    </w:p>
    <w:p w14:paraId="42754731" w14:textId="458C6BBD" w:rsidR="00D01473" w:rsidRPr="00873B6C" w:rsidRDefault="00D01473" w:rsidP="00D01473">
      <w:r w:rsidRPr="00873B6C">
        <w:t>For such S-NSSAI:</w:t>
      </w:r>
    </w:p>
    <w:p w14:paraId="2BC5529F" w14:textId="3347FDFD" w:rsidR="00D01473" w:rsidRPr="00873B6C" w:rsidRDefault="00D01473" w:rsidP="00972E70">
      <w:pPr>
        <w:pStyle w:val="B1"/>
      </w:pPr>
      <w:r w:rsidRPr="00873B6C">
        <w:t>-</w:t>
      </w:r>
      <w:r w:rsidRPr="00873B6C">
        <w:tab/>
        <w:t>If requested by the UE from a TA where the S-NSSAI is not supported</w:t>
      </w:r>
      <w:r w:rsidR="002E6C8C" w:rsidRPr="00873B6C">
        <w:t xml:space="preserve"> (including the case when the S-NSSAI is provided as a rejected S-NSSAI for the TA from the NSSF):</w:t>
      </w:r>
    </w:p>
    <w:p w14:paraId="1EED4B0A" w14:textId="200B3730" w:rsidR="00D01473" w:rsidRPr="00873B6C" w:rsidRDefault="00D01473" w:rsidP="00972E70">
      <w:pPr>
        <w:pStyle w:val="B2"/>
      </w:pPr>
      <w:r w:rsidRPr="00873B6C">
        <w:t>-</w:t>
      </w:r>
      <w:r w:rsidRPr="00873B6C">
        <w:tab/>
        <w:t>the S-NSSAI is included either in the Partially Allowed NSSAI or the AMF rejects the S-NSSAI partially in the RA; or</w:t>
      </w:r>
    </w:p>
    <w:p w14:paraId="272FF865" w14:textId="1E0AFEC1" w:rsidR="00D01473" w:rsidRPr="00873B6C" w:rsidRDefault="00D01473" w:rsidP="00972E70">
      <w:pPr>
        <w:pStyle w:val="B2"/>
      </w:pPr>
      <w:r w:rsidRPr="00873B6C">
        <w:t>-</w:t>
      </w:r>
      <w:r w:rsidRPr="00873B6C">
        <w:tab/>
        <w:t>if the S-NSSAI is subject to NSAC for maximum number of UEs, then the AMF should send this S-NSSAI as rejected partially in the RA</w:t>
      </w:r>
      <w:r w:rsidR="00A13197" w:rsidRPr="00873B6C">
        <w:t>, in the Registration Accept message</w:t>
      </w:r>
      <w:r w:rsidRPr="00873B6C">
        <w:t>.</w:t>
      </w:r>
    </w:p>
    <w:p w14:paraId="046C9775" w14:textId="77777777" w:rsidR="00A13197" w:rsidRPr="00873B6C" w:rsidRDefault="00A13197" w:rsidP="005A13C0">
      <w:pPr>
        <w:pStyle w:val="B2"/>
      </w:pPr>
      <w:r w:rsidRPr="00873B6C">
        <w:t>-</w:t>
      </w:r>
      <w:r w:rsidRPr="00873B6C">
        <w:tab/>
        <w:t>If the S-NSSAI is subject to NSSAA and successful NSSAA status for the S-NSSAI is not present in the AMF, then the AMF either sends this S-NSSAI as rejected partially in the RA in the Registration Accept message, or the AMF starts executing NSSAA and includes the S-NSSAI in the Pending NSSAI in the Registration Accept message. If the S-NSSAI is subject to NSSAA and successful NSSAA status for the S-NSSAI is present, then the AMF may include the S-NSSAI either in the Partially Allowed NSSAI or the AMF rejects the S-NSSAI partially in the RA.</w:t>
      </w:r>
    </w:p>
    <w:p w14:paraId="3D070B60" w14:textId="3AF04C06" w:rsidR="00A13197" w:rsidRPr="00873B6C" w:rsidRDefault="00A13197" w:rsidP="005A13C0">
      <w:pPr>
        <w:pStyle w:val="NO"/>
      </w:pPr>
      <w:r w:rsidRPr="00873B6C">
        <w:t>NOTE 1:</w:t>
      </w:r>
      <w:r w:rsidRPr="00873B6C">
        <w:tab/>
        <w:t>In roaming case the NSSAA requirement is based on the mapped S-NSSAI of the HPLMN.</w:t>
      </w:r>
    </w:p>
    <w:p w14:paraId="7708035C" w14:textId="1FC20250" w:rsidR="00A13197" w:rsidRPr="00873B6C" w:rsidRDefault="00A13197" w:rsidP="00A13197">
      <w:pPr>
        <w:pStyle w:val="B2"/>
      </w:pPr>
      <w:r w:rsidRPr="00873B6C">
        <w:t>-</w:t>
      </w:r>
      <w:r w:rsidRPr="00873B6C">
        <w:tab/>
        <w:t>if the slice deregistration inactivity timer is configured for the S-NSSAI (see clause 5.15.15.3), then AMF should send this S-NSSAI as rejected partially in the RA.</w:t>
      </w:r>
    </w:p>
    <w:p w14:paraId="5161837E" w14:textId="6BE7A242" w:rsidR="00D01473" w:rsidRPr="00873B6C" w:rsidRDefault="00D01473" w:rsidP="00972E70">
      <w:pPr>
        <w:pStyle w:val="B1"/>
      </w:pPr>
      <w:r w:rsidRPr="00873B6C">
        <w:t>-</w:t>
      </w:r>
      <w:r w:rsidRPr="00873B6C">
        <w:tab/>
        <w:t>If requested by the UE from a TA where the S-NSSAI is supported</w:t>
      </w:r>
      <w:r w:rsidR="002E6C8C" w:rsidRPr="00873B6C">
        <w:t xml:space="preserve"> (including the case when the S-NSSAI is provided in the Allowed NSSAI from the NSSF):</w:t>
      </w:r>
    </w:p>
    <w:p w14:paraId="4D748E88" w14:textId="77777777" w:rsidR="00D01473" w:rsidRPr="00873B6C" w:rsidRDefault="00D01473" w:rsidP="00972E70">
      <w:pPr>
        <w:pStyle w:val="B2"/>
      </w:pPr>
      <w:r w:rsidRPr="00873B6C">
        <w:t>-</w:t>
      </w:r>
      <w:r w:rsidRPr="00873B6C">
        <w:tab/>
        <w:t>the S-NSSAI is included in the Partially Allowed NSSAI; or</w:t>
      </w:r>
    </w:p>
    <w:p w14:paraId="0B562971" w14:textId="6950E741" w:rsidR="00D01473" w:rsidRPr="00873B6C" w:rsidRDefault="00D01473" w:rsidP="00972E70">
      <w:pPr>
        <w:pStyle w:val="B2"/>
      </w:pPr>
      <w:r w:rsidRPr="00873B6C">
        <w:t>-</w:t>
      </w:r>
      <w:r w:rsidRPr="00873B6C">
        <w:tab/>
        <w:t>if the S-NSSAI is subjected to NSAC for maximum number of UEs, then the AMF</w:t>
      </w:r>
      <w:r w:rsidR="00A13197" w:rsidRPr="00873B6C">
        <w:t xml:space="preserve"> should</w:t>
      </w:r>
      <w:r w:rsidRPr="00873B6C">
        <w:t xml:space="preserve"> restrict the RA so that the S-NSSAI is supported in all the TAs of the RA and includes the S-NSSAI in the Allowed NSSAI.</w:t>
      </w:r>
    </w:p>
    <w:p w14:paraId="30781149" w14:textId="77777777" w:rsidR="00A13197" w:rsidRPr="00873B6C" w:rsidRDefault="00A13197" w:rsidP="00A13197">
      <w:pPr>
        <w:pStyle w:val="B2"/>
      </w:pPr>
      <w:r w:rsidRPr="00873B6C">
        <w:t>-</w:t>
      </w:r>
      <w:r w:rsidRPr="00873B6C">
        <w:tab/>
        <w:t>If the S-NSSAI is subject to NSSAA, then the AMF starts executing NSSAA and sends this S-NSSAI in the Pending NSSAI in the Registration Accept message, unless successful NSSAA status is present in the AMF for this S-NSSAI (in which case it can be sent in the Partially Allowed NSSAI).</w:t>
      </w:r>
    </w:p>
    <w:p w14:paraId="093BDE7C" w14:textId="2A992213" w:rsidR="00A13197" w:rsidRPr="00873B6C" w:rsidRDefault="00A13197" w:rsidP="005A13C0">
      <w:pPr>
        <w:pStyle w:val="NO"/>
      </w:pPr>
      <w:r w:rsidRPr="00873B6C">
        <w:t>NOTE 2:</w:t>
      </w:r>
      <w:r w:rsidRPr="00873B6C">
        <w:tab/>
        <w:t>In roaming case the NSSAA requirement is based on the mapped S-NSSAI of the HPLMN.</w:t>
      </w:r>
    </w:p>
    <w:p w14:paraId="58D30107" w14:textId="77777777" w:rsidR="00A13197" w:rsidRPr="00873B6C" w:rsidRDefault="00A13197" w:rsidP="00A13197">
      <w:pPr>
        <w:pStyle w:val="B2"/>
      </w:pPr>
      <w:r w:rsidRPr="00873B6C">
        <w:t>-</w:t>
      </w:r>
      <w:r w:rsidRPr="00873B6C">
        <w:tab/>
        <w:t>if the S-NSSAI is included in neither the Partially Allowed NSSAI nor the Allowed NSSAI, the AMF may reject the S-NSSAI as described in clause 5.15.4.1.1.</w:t>
      </w:r>
    </w:p>
    <w:p w14:paraId="5AE11309" w14:textId="77777777" w:rsidR="00D01473" w:rsidRPr="00873B6C" w:rsidRDefault="00D01473" w:rsidP="00D01473">
      <w:r w:rsidRPr="00873B6C">
        <w:t>While the S-NSSAIs of the Allowed NSSAI are supported in all the TAs of the Registration Area, the S-NSSAIs of the Partially Allowed NSSAI are supported only in the TAs corresponding to the list of TAs (which are subset of the list of TAIs forming the Registration Area) associated with the S-NSSAI.</w:t>
      </w:r>
    </w:p>
    <w:p w14:paraId="1BFB2656" w14:textId="77777777" w:rsidR="00D01473" w:rsidRPr="00873B6C" w:rsidRDefault="00D01473" w:rsidP="00D01473">
      <w:r w:rsidRPr="00873B6C">
        <w:t>If the UE supports Partial Network Slice support in a Registration Area, the AMF may create a Registration Area for the UE considering the support of the S-NSSAIs of the Requested NSSAI in the current TA and in the neighbouring TAs and provides to the UE in the Registration Accept message or in the UE Configuration Update Command message the Partially Allowed NSSAI or the S-NSSAIs rejected partially in the RA as follows:</w:t>
      </w:r>
    </w:p>
    <w:p w14:paraId="0A416E68" w14:textId="2F5A53B3" w:rsidR="00D01473" w:rsidRPr="00873B6C" w:rsidRDefault="00D01473" w:rsidP="00972E70">
      <w:pPr>
        <w:pStyle w:val="B1"/>
      </w:pPr>
      <w:r w:rsidRPr="00873B6C">
        <w:t>-</w:t>
      </w:r>
      <w:r w:rsidRPr="00873B6C">
        <w:tab/>
        <w:t xml:space="preserve">If one or more of the requested S-NSSAI(s) are supported in a subset of the TAs of the (potential) Registration Area, the AMF may include such S-NSSAI(s) in the Partially Allowed NSSAI and corresponding mapping information of the S-NSSAI(s) of the Partially Allowed NSSAI to the HPLMN S-NSSAI(s). For each S-NSSAI of the Partially Allowed NSSAI the AMF provides a list of TAs where the S-NSSAI is supported. The UE is considered registered with the S-NSSAI in the whole Registration </w:t>
      </w:r>
      <w:r w:rsidR="002A4DF8" w:rsidRPr="00873B6C">
        <w:t>A</w:t>
      </w:r>
      <w:r w:rsidRPr="00873B6C">
        <w:t>rea. The AMF also provides the Partially Allowed NSSAI (without indication of the TA list where the partially allowed S-NSSAIs are supported) to the NG-RAN together with the UE's context.</w:t>
      </w:r>
    </w:p>
    <w:p w14:paraId="4F0EAAB6" w14:textId="6E030714" w:rsidR="00D01473" w:rsidRPr="00873B6C" w:rsidRDefault="00D01473" w:rsidP="00972E70">
      <w:pPr>
        <w:pStyle w:val="B1"/>
      </w:pPr>
      <w:r w:rsidRPr="00873B6C">
        <w:lastRenderedPageBreak/>
        <w:t>-</w:t>
      </w:r>
      <w:r w:rsidRPr="00873B6C">
        <w:tab/>
        <w:t>Alternatively, the AMF may reject the S-NSSAI(s) with reject cause indicating "partially in the RA". For each S-NSSAI of the S-NSSAIs rejected partially in the RA the AMF provides a list of TAs</w:t>
      </w:r>
      <w:r w:rsidR="002E6C8C" w:rsidRPr="00873B6C">
        <w:t xml:space="preserve"> where</w:t>
      </w:r>
      <w:r w:rsidRPr="00873B6C">
        <w:t xml:space="preserve"> the S-NSSAI is not supported.</w:t>
      </w:r>
    </w:p>
    <w:p w14:paraId="24905744" w14:textId="0D6C6EC9" w:rsidR="00D01473" w:rsidRPr="00873B6C" w:rsidRDefault="00D01473" w:rsidP="00972E70">
      <w:pPr>
        <w:pStyle w:val="NO"/>
      </w:pPr>
      <w:r w:rsidRPr="00873B6C">
        <w:t>NOTE</w:t>
      </w:r>
      <w:r w:rsidR="00A13197" w:rsidRPr="00873B6C">
        <w:t> 3</w:t>
      </w:r>
      <w:r w:rsidRPr="00873B6C">
        <w:t>:</w:t>
      </w:r>
      <w:r w:rsidRPr="00873B6C">
        <w:tab/>
        <w:t>If the UE requests an S-NSSAI in a cell of a TA where the NS-AoS of the S-NSSAI does not match deployed Tracking Areas (see clause 5.15.18), the AMF includes the S-NSSAI in the Allowed NSSAI or Partially Allowed NSSAI.</w:t>
      </w:r>
    </w:p>
    <w:p w14:paraId="0C1A0C48" w14:textId="2FF8C94E" w:rsidR="00D01473" w:rsidRPr="00873B6C" w:rsidRDefault="00516747" w:rsidP="00D01473">
      <w:r w:rsidRPr="00873B6C">
        <w:t xml:space="preserve">For </w:t>
      </w:r>
      <w:r w:rsidR="00D01473" w:rsidRPr="00873B6C">
        <w:t>Partially Allowed NSSAI the following applies:</w:t>
      </w:r>
    </w:p>
    <w:p w14:paraId="4F185C0C" w14:textId="265F3915" w:rsidR="00D01473" w:rsidRPr="00873B6C" w:rsidRDefault="00D01473" w:rsidP="00972E70">
      <w:pPr>
        <w:pStyle w:val="B1"/>
      </w:pPr>
      <w:r w:rsidRPr="00873B6C">
        <w:t>-</w:t>
      </w:r>
      <w:r w:rsidRPr="00873B6C">
        <w:tab/>
      </w:r>
      <w:r w:rsidR="00640EBF" w:rsidRPr="00873B6C">
        <w:t xml:space="preserve">The </w:t>
      </w:r>
      <w:r w:rsidRPr="00873B6C">
        <w:t xml:space="preserve">UE is considered registered with an S-NSSAI of the Partially Allowed NSSAI in the whole Registration </w:t>
      </w:r>
      <w:r w:rsidR="002A4DF8" w:rsidRPr="00873B6C">
        <w:t>A</w:t>
      </w:r>
      <w:r w:rsidRPr="00873B6C">
        <w:t>rea. The UE does not trigger registration when moving between the TAs of support and non-support for the S-NSSAI within the RA.</w:t>
      </w:r>
    </w:p>
    <w:p w14:paraId="0E0B99F4" w14:textId="00BC9602" w:rsidR="00D01473" w:rsidRPr="00873B6C" w:rsidRDefault="00D01473" w:rsidP="00972E70">
      <w:pPr>
        <w:pStyle w:val="B1"/>
      </w:pPr>
      <w:r w:rsidRPr="00873B6C">
        <w:t>-</w:t>
      </w:r>
      <w:r w:rsidRPr="00873B6C">
        <w:tab/>
        <w:t>The UE is allowed to initiate PDU Session establishment for the S-NSSAI only when the UE is in a TA where the S-NSSAI is supported.</w:t>
      </w:r>
      <w:r w:rsidR="00640EBF" w:rsidRPr="00873B6C">
        <w:t xml:space="preserve"> If the UE has overlapping areas between non-allowed area, area where the S-NSSAI is supported, then the non-allowed area restriction applies.</w:t>
      </w:r>
    </w:p>
    <w:p w14:paraId="6EB3E084" w14:textId="2E1D942D" w:rsidR="0029208C" w:rsidRPr="00873B6C" w:rsidRDefault="0029208C" w:rsidP="00972E70">
      <w:pPr>
        <w:pStyle w:val="B1"/>
      </w:pPr>
      <w:r w:rsidRPr="00873B6C">
        <w:t>-</w:t>
      </w:r>
      <w:r w:rsidRPr="00873B6C">
        <w:tab/>
        <w:t>If the AMF determines a PDU Session is associated with S-NSSAI present in the Partially Allowed NSSAI, the AMF indicates to the SMF that the PDU Session is subject to area restrictions for the S-NSSAI. As a result, the SMF subscribes to "UE mobility event notification"</w:t>
      </w:r>
      <w:r w:rsidR="00516747" w:rsidRPr="00873B6C">
        <w:t xml:space="preserve"> event</w:t>
      </w:r>
      <w:r w:rsidRPr="00873B6C">
        <w:t xml:space="preserve"> for reporting UE presence in Area of Interest by providing S-NSSAI to the AMF as described in clauses 5.6.11 and 5.3.4.4</w:t>
      </w:r>
      <w:r w:rsidR="00516747" w:rsidRPr="00873B6C">
        <w:t xml:space="preserve"> if this event has not been subscribed before.</w:t>
      </w:r>
      <w:r w:rsidR="00F04A40" w:rsidRPr="00873B6C">
        <w:t xml:space="preserve"> The supporting AMF shall provide this indication in all the subsequent PDU Session update message to the SMF as long as the S-NSSAI of the PDU Session is subject to area restriction.</w:t>
      </w:r>
      <w:r w:rsidR="00516747" w:rsidRPr="00873B6C">
        <w:t xml:space="preserve"> When the AMF does not indicate to the SMF that the PDU Session is subject to area restriction for the S-NSSAI, the SMF may unsubscribe "UE mobility event notification" event in the AMF if this event has been subscribed before</w:t>
      </w:r>
      <w:r w:rsidRPr="00873B6C">
        <w:t>.</w:t>
      </w:r>
    </w:p>
    <w:p w14:paraId="75DCF97B" w14:textId="308B306C" w:rsidR="00D01473" w:rsidRPr="00873B6C" w:rsidRDefault="00D01473" w:rsidP="00972E70">
      <w:pPr>
        <w:pStyle w:val="B1"/>
      </w:pPr>
      <w:r w:rsidRPr="00873B6C">
        <w:t>-</w:t>
      </w:r>
      <w:r w:rsidRPr="00873B6C">
        <w:tab/>
        <w:t xml:space="preserve">When the UE has already established a PDU Session with an S-NSSAI part of the Partially Allowed NSSAI, the UE is allowed to activate the User Plane </w:t>
      </w:r>
      <w:r w:rsidR="00893B12" w:rsidRPr="00873B6C">
        <w:t>r</w:t>
      </w:r>
      <w:r w:rsidRPr="00873B6C">
        <w:t xml:space="preserve">esources of the PDU Session only when the UE is in a TA part of the list of TAs associated with </w:t>
      </w:r>
      <w:r w:rsidR="002E6C8C" w:rsidRPr="00873B6C">
        <w:t xml:space="preserve">the </w:t>
      </w:r>
      <w:r w:rsidRPr="00873B6C">
        <w:t>S-NSSAI.</w:t>
      </w:r>
      <w:r w:rsidR="00640EBF" w:rsidRPr="00873B6C">
        <w:t xml:space="preserve"> The UE shall not request User Plane resources when the UE is in a TAI where the S-NSSAI of the PDU Session is not supported based on the Partially Allowed NSSAI as a result the always-on PDU Session is also not re-activated during the Service Request or registration procedure.</w:t>
      </w:r>
    </w:p>
    <w:p w14:paraId="4F71A845" w14:textId="764F83B5" w:rsidR="00D01473" w:rsidRPr="00873B6C" w:rsidRDefault="00D01473" w:rsidP="00972E70">
      <w:pPr>
        <w:pStyle w:val="B1"/>
      </w:pPr>
      <w:r w:rsidRPr="00873B6C">
        <w:t>-</w:t>
      </w:r>
      <w:r w:rsidRPr="00873B6C">
        <w:tab/>
        <w:t xml:space="preserve">When the User Plane </w:t>
      </w:r>
      <w:r w:rsidR="00893B12" w:rsidRPr="00873B6C">
        <w:t>r</w:t>
      </w:r>
      <w:r w:rsidRPr="00873B6C">
        <w:t xml:space="preserve">esources are activated for a PDU Session </w:t>
      </w:r>
      <w:r w:rsidR="00A13197" w:rsidRPr="00873B6C">
        <w:t xml:space="preserve">of </w:t>
      </w:r>
      <w:r w:rsidRPr="00873B6C">
        <w:t>an S-NSSAI part of the Partially Allowed NSSAI and the UE moves to a TA which is not part of the list of TAs associated with the S-NSSAI, the</w:t>
      </w:r>
      <w:r w:rsidR="00516747" w:rsidRPr="00873B6C">
        <w:t xml:space="preserve"> NG-RAN releases the</w:t>
      </w:r>
      <w:r w:rsidRPr="00873B6C">
        <w:t xml:space="preserve"> User Plane </w:t>
      </w:r>
      <w:r w:rsidR="00893B12" w:rsidRPr="00873B6C">
        <w:t>r</w:t>
      </w:r>
      <w:r w:rsidRPr="00873B6C">
        <w:t>esources for the PDU Session</w:t>
      </w:r>
      <w:r w:rsidR="00516747" w:rsidRPr="00873B6C">
        <w:t xml:space="preserve"> as described in step 1d in clause 4.3.4.2 of TS 23.502 [3] and the SMF deactivates the PDU Session as described in step 3a in clause 4.3.4.2 of TS 23.502 [3]</w:t>
      </w:r>
      <w:r w:rsidRPr="00873B6C">
        <w:t xml:space="preserve">, but the PDU Session context in UE and SMF is not released. The User Plane </w:t>
      </w:r>
      <w:r w:rsidR="00893B12" w:rsidRPr="00873B6C">
        <w:t>r</w:t>
      </w:r>
      <w:r w:rsidRPr="00873B6C">
        <w:t>esources for the PDU Session shall not be activated as long as the UE is located in a TA which is not part of the list of TAs associated with the S-NSSAI of the Partially Allowed NSSAI.</w:t>
      </w:r>
      <w:r w:rsidR="00A13197" w:rsidRPr="00873B6C">
        <w:t xml:space="preserve"> The UE shall not</w:t>
      </w:r>
      <w:r w:rsidR="0029208C" w:rsidRPr="00873B6C">
        <w:t xml:space="preserve"> send</w:t>
      </w:r>
      <w:r w:rsidR="00A13197" w:rsidRPr="00873B6C">
        <w:t xml:space="preserve"> user data as payload of a NAS message</w:t>
      </w:r>
      <w:r w:rsidR="0029208C" w:rsidRPr="00873B6C">
        <w:t xml:space="preserve"> (see clause 5.31.4.1)</w:t>
      </w:r>
      <w:r w:rsidR="00A13197" w:rsidRPr="00873B6C">
        <w:t xml:space="preserve"> in uplink directions.</w:t>
      </w:r>
      <w:r w:rsidR="00516747" w:rsidRPr="00873B6C">
        <w:t xml:space="preserve"> The AMF determines the UE presence in Area of Interest as described in Annex D, clauses D.1 and D.2 of TS 23.502 [3] and notifies the result to the SMF.</w:t>
      </w:r>
      <w:r w:rsidR="0029208C" w:rsidRPr="00873B6C">
        <w:t xml:space="preserve"> When the SMF is notified by the AMF that the UE location is outside of the Area of Interest, the SMF shall not send user data as payload of NAS message (see clause 5.31.4.1) in downlink directions and disable data notification.</w:t>
      </w:r>
      <w:r w:rsidR="00C62779" w:rsidRPr="00873B6C">
        <w:t xml:space="preserve"> 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4984ED82" w14:textId="09A117C2" w:rsidR="00CA290C" w:rsidRPr="00873B6C" w:rsidRDefault="00CA290C" w:rsidP="00CA290C">
      <w:pPr>
        <w:pStyle w:val="NO"/>
      </w:pPr>
      <w:r w:rsidRPr="00873B6C">
        <w:t>NOTE 4:</w:t>
      </w:r>
      <w:r w:rsidRPr="00873B6C">
        <w:tab/>
        <w:t>When I-SMF/V-SMF is inserted for the PDU session it is the I-SMF/V-SMF to handle the area restrictions for the S-NSSAI. The SMF/H-SMF is not involved in this procedure.</w:t>
      </w:r>
    </w:p>
    <w:p w14:paraId="59CE7E6B" w14:textId="427DE702" w:rsidR="00893B12" w:rsidRPr="00873B6C" w:rsidRDefault="00893B12" w:rsidP="00D01473">
      <w:r w:rsidRPr="00873B6C">
        <w:t>For an already established PDU Session associated with an S-NSSAI included in the Partially Allowed NSSAI, even when the</w:t>
      </w:r>
      <w:r w:rsidR="00516747" w:rsidRPr="00873B6C">
        <w:t xml:space="preserve"> supporting</w:t>
      </w:r>
      <w:r w:rsidRPr="00873B6C">
        <w:t xml:space="preserve"> UE is in a TA where the S-NSSAI is not supported, the</w:t>
      </w:r>
      <w:r w:rsidR="00516747" w:rsidRPr="00873B6C">
        <w:t xml:space="preserve"> supporting</w:t>
      </w:r>
      <w:r w:rsidRPr="00873B6C">
        <w:t xml:space="preserve"> UE may initiate a PDU Session release procedure or PDU Session modification procedure (i.e. for PS data off status change reporting).</w:t>
      </w:r>
    </w:p>
    <w:p w14:paraId="15C7868C" w14:textId="220E256C" w:rsidR="00D01473" w:rsidRPr="00873B6C" w:rsidRDefault="00D01473" w:rsidP="00D01473">
      <w:r w:rsidRPr="00873B6C">
        <w:t xml:space="preserve">When the UE stores a S-NSSAI rejected partially in the RA with the associated list of TAs, the UE is allowed to initiate a Mobility Registration Update procedure to request registration with the S-NSSAI only when the UE is in a TA </w:t>
      </w:r>
      <w:r w:rsidR="002E6C8C" w:rsidRPr="00873B6C">
        <w:t xml:space="preserve">which is not part of the list of TAs associated with </w:t>
      </w:r>
      <w:r w:rsidRPr="00873B6C">
        <w:t>this S-NSSAI.</w:t>
      </w:r>
    </w:p>
    <w:p w14:paraId="3E58E1B6" w14:textId="07C95CDA" w:rsidR="00A10084" w:rsidRPr="00873B6C" w:rsidRDefault="00A10084" w:rsidP="00D64A02">
      <w:r w:rsidRPr="00873B6C">
        <w:t xml:space="preserve">For a UE in CM-CONNECTED state, when a PDU Session is established on an S-NSSAI included in the Partially Allowed NSSAI, the User Plane resources are activated and the UE moves to a TA where the S-NSSAI is not supported, the NG-RAN </w:t>
      </w:r>
      <w:r w:rsidR="00644F65" w:rsidRPr="00873B6C">
        <w:t xml:space="preserve">releases </w:t>
      </w:r>
      <w:r w:rsidRPr="00873B6C">
        <w:t>the User Plane resources</w:t>
      </w:r>
      <w:r w:rsidR="00644F65" w:rsidRPr="00873B6C">
        <w:t xml:space="preserve"> of the PDU sessions associated with the S-NSSAIs, as </w:t>
      </w:r>
      <w:r w:rsidR="00644F65" w:rsidRPr="00873B6C">
        <w:lastRenderedPageBreak/>
        <w:t>described in step 1d of clause 4.3.4.2 of TS 23.502 [3] and the SMF deactivates the PDU session as described in step 3a of clause 4.3.4.2 of TS 23.502 [3]</w:t>
      </w:r>
      <w:r w:rsidRPr="00873B6C">
        <w:t>.</w:t>
      </w:r>
    </w:p>
    <w:p w14:paraId="46A70C26" w14:textId="62039430" w:rsidR="00335A94" w:rsidRPr="00873B6C" w:rsidRDefault="00335A94" w:rsidP="00335A94">
      <w:pPr>
        <w:pStyle w:val="Heading3"/>
      </w:pPr>
      <w:bookmarkStart w:id="2826" w:name="_CR5_15_18"/>
      <w:bookmarkStart w:id="2827" w:name="_Toc201157311"/>
      <w:bookmarkEnd w:id="2826"/>
      <w:r w:rsidRPr="00873B6C">
        <w:t>5.15.18</w:t>
      </w:r>
      <w:r w:rsidRPr="00873B6C">
        <w:tab/>
        <w:t>Support for Network Slices with Network Slice Area of Service not matching deployed Tracking Areas</w:t>
      </w:r>
      <w:bookmarkEnd w:id="2827"/>
    </w:p>
    <w:p w14:paraId="77EEE252" w14:textId="77777777" w:rsidR="00335A94" w:rsidRPr="00873B6C" w:rsidRDefault="00335A94" w:rsidP="00972E70">
      <w:pPr>
        <w:pStyle w:val="Heading4"/>
      </w:pPr>
      <w:bookmarkStart w:id="2828" w:name="_CR5_15_18_1"/>
      <w:bookmarkStart w:id="2829" w:name="_Toc201157312"/>
      <w:bookmarkEnd w:id="2828"/>
      <w:r w:rsidRPr="00873B6C">
        <w:t>5.15.18.1</w:t>
      </w:r>
      <w:r w:rsidRPr="00873B6C">
        <w:tab/>
        <w:t>General</w:t>
      </w:r>
      <w:bookmarkEnd w:id="2829"/>
    </w:p>
    <w:p w14:paraId="58506985" w14:textId="77777777" w:rsidR="00335A94" w:rsidRPr="00873B6C" w:rsidRDefault="00335A94" w:rsidP="00335A94">
      <w:r w:rsidRPr="00873B6C">
        <w:t>The network support for a Network Slice is defined on a per Tracking Area granularity. It may be beneficial to deploy some Network Slices such that the Network Slice have a limited geographical availability that is not matching existing Tracking Area boundaries.</w:t>
      </w:r>
    </w:p>
    <w:p w14:paraId="594B31F9" w14:textId="2F779880" w:rsidR="00335A94" w:rsidRPr="00873B6C" w:rsidRDefault="00335A94" w:rsidP="00335A94">
      <w:r w:rsidRPr="00873B6C">
        <w:t>The operator can in this case decide to change the topology of the Tracking Areas so they match the boundaries of the Network Slice, or the operator may configure resources for the Network Slices in the cells of TAs where the Network Slices are to be available</w:t>
      </w:r>
      <w:r w:rsidR="00472CD7" w:rsidRPr="00873B6C">
        <w:t xml:space="preserve"> and</w:t>
      </w:r>
      <w:r w:rsidRPr="00873B6C">
        <w:t xml:space="preserve"> in </w:t>
      </w:r>
      <w:r w:rsidR="002A4DF8" w:rsidRPr="00873B6C">
        <w:t xml:space="preserve">cells </w:t>
      </w:r>
      <w:r w:rsidRPr="00873B6C">
        <w:t>of the TAs where the network slice is defined to be not available the cells are configured with zero resources.</w:t>
      </w:r>
      <w:r w:rsidR="002A4DF8" w:rsidRPr="00873B6C">
        <w:t xml:space="preserve"> If a Network Slice is considered available in a cell, the Network Slice is also supported by the TA comprising the cell.</w:t>
      </w:r>
    </w:p>
    <w:p w14:paraId="5AF979F0" w14:textId="77777777" w:rsidR="00335A94" w:rsidRPr="00873B6C" w:rsidRDefault="00335A94" w:rsidP="00335A94">
      <w:r w:rsidRPr="00873B6C">
        <w:t>The AMF receives from the OAM the information on availability of a network slice when the granularity is smaller than TA, i.e. if the NS-AoS includes TAs where the network slice is not available in some cells of the TA.</w:t>
      </w:r>
    </w:p>
    <w:p w14:paraId="07DB5648" w14:textId="2B483D9B" w:rsidR="00335A94" w:rsidRPr="00873B6C" w:rsidRDefault="00335A94" w:rsidP="00335A94">
      <w:r w:rsidRPr="00873B6C">
        <w:t>In order to optimize the end-to-end behaviour, the AMF can, based on NS-AoS information received from OAM, configure supporting UEs with S-NSSAI location availability information</w:t>
      </w:r>
      <w:r w:rsidR="00472CD7" w:rsidRPr="00873B6C">
        <w:t xml:space="preserve"> and</w:t>
      </w:r>
      <w:r w:rsidRPr="00873B6C">
        <w:t xml:space="preserve"> the network may need to monitor the S-NSSAI usage and enforce the NS-AoS e.g. if the UE does not support the S-NSSAI location availability information.</w:t>
      </w:r>
    </w:p>
    <w:p w14:paraId="3461A7FE" w14:textId="77777777" w:rsidR="00335A94" w:rsidRPr="00873B6C" w:rsidRDefault="00335A94" w:rsidP="00972E70">
      <w:pPr>
        <w:pStyle w:val="Heading4"/>
      </w:pPr>
      <w:bookmarkStart w:id="2830" w:name="_CR5_15_18_2"/>
      <w:bookmarkStart w:id="2831" w:name="_Toc201157313"/>
      <w:bookmarkEnd w:id="2830"/>
      <w:r w:rsidRPr="00873B6C">
        <w:t>5.15.18.2</w:t>
      </w:r>
      <w:r w:rsidRPr="00873B6C">
        <w:tab/>
        <w:t>S-NSSAI location availability information</w:t>
      </w:r>
      <w:bookmarkEnd w:id="2831"/>
    </w:p>
    <w:p w14:paraId="023D82C2" w14:textId="77777777" w:rsidR="00335A94" w:rsidRPr="00873B6C" w:rsidRDefault="00335A94" w:rsidP="00335A94">
      <w:r w:rsidRPr="00873B6C">
        <w:t>S-NSSAI location availability information defines additional restrictions to the usage of an S-NSSAI in TAs where the Network Slice availability does not match the TA boundaries. The AMF is configured per S-NSSAI whether to send the S-NSSAI location availability information to supporting UEs.</w:t>
      </w:r>
    </w:p>
    <w:p w14:paraId="55CF7BF1" w14:textId="77777777" w:rsidR="00335A94" w:rsidRPr="00873B6C" w:rsidRDefault="00335A94" w:rsidP="00335A94">
      <w:r w:rsidRPr="00873B6C">
        <w:t>The S-NSSAI location availability information sent to the UE includes, for each applicable S-NSSAI of the Configured NSSAI, Location information indicating the cells of TAs in the RA where the related S-NSSAI is available if the S-NSSAI is not available in all the cells of the TA.</w:t>
      </w:r>
    </w:p>
    <w:p w14:paraId="6A36B20D" w14:textId="77777777" w:rsidR="00335A94" w:rsidRPr="00873B6C" w:rsidRDefault="00335A94" w:rsidP="00335A94">
      <w:r w:rsidRPr="00873B6C">
        <w:t>If the UE has indicated that the UE supports S-NSSAI location availability information in the 5GMM Core Network Capability (see clause 5.4.4a), the AMF may, based on OAM configuration, configure the UE with S-NSSAI location availability information for one or more S-NSSAIs when the AMF allocates an RA where the Network Slice availability does not match whole TAs, by including the S-NSSAI location availability information in the Registration Accept message or the UE Configuration Command message. A UE that receives S-NSSAI location availability information applies the information as follows.</w:t>
      </w:r>
    </w:p>
    <w:p w14:paraId="45B1FAE8" w14:textId="77777777" w:rsidR="00335A94" w:rsidRPr="00873B6C" w:rsidRDefault="00335A94" w:rsidP="00972E70">
      <w:pPr>
        <w:pStyle w:val="B1"/>
      </w:pPr>
      <w:r w:rsidRPr="00873B6C">
        <w:t>1.</w:t>
      </w:r>
      <w:r w:rsidRPr="00873B6C">
        <w:tab/>
        <w:t>If the S-NSSAI is rejected in the RA or rejected partially in the RA or rejected with a cause code that allows attempting to register the S-NSSAI again, the UE can request the S-NSSAI only if the S-NSSAI location availability information indicates that the S-NSSAI is available at the cell where the UE is camping.</w:t>
      </w:r>
    </w:p>
    <w:p w14:paraId="6AB5B032" w14:textId="52FBD922" w:rsidR="00893B12" w:rsidRPr="00873B6C" w:rsidRDefault="00335A94" w:rsidP="00972E70">
      <w:pPr>
        <w:pStyle w:val="B1"/>
      </w:pPr>
      <w:r w:rsidRPr="00873B6C">
        <w:t>2.</w:t>
      </w:r>
      <w:r w:rsidRPr="00873B6C">
        <w:tab/>
        <w:t>If the S-NSSAI is in the Partially Allowed NSSAI</w:t>
      </w:r>
      <w:r w:rsidR="006E26ED" w:rsidRPr="00873B6C">
        <w:t xml:space="preserve"> or in the Allowed NSSAI</w:t>
      </w:r>
      <w:r w:rsidR="00893B12" w:rsidRPr="00873B6C">
        <w:t xml:space="preserve"> and the UE is in a cell within the RA but outside the NS-AoS of the S-NSSAI, the following applies:</w:t>
      </w:r>
    </w:p>
    <w:p w14:paraId="32D4E1C1" w14:textId="27543437" w:rsidR="00893B12" w:rsidRPr="00873B6C" w:rsidRDefault="00893B12" w:rsidP="00893B12">
      <w:pPr>
        <w:pStyle w:val="B2"/>
      </w:pPr>
      <w:r w:rsidRPr="00873B6C">
        <w:t>a.</w:t>
      </w:r>
      <w:r w:rsidRPr="00873B6C">
        <w:tab/>
        <w:t>The UE shall not activate User Plane resources for any already established PDU Session with that S-NSSAI</w:t>
      </w:r>
      <w:r w:rsidR="00640EBF" w:rsidRPr="00873B6C">
        <w:t xml:space="preserve"> including the case of always-on PDU Session</w:t>
      </w:r>
      <w:r w:rsidRPr="00873B6C">
        <w:t>.</w:t>
      </w:r>
    </w:p>
    <w:p w14:paraId="1EC3CBDD" w14:textId="77777777" w:rsidR="00893B12" w:rsidRPr="00873B6C" w:rsidRDefault="00893B12" w:rsidP="00893B12">
      <w:pPr>
        <w:pStyle w:val="B2"/>
      </w:pPr>
      <w:r w:rsidRPr="00873B6C">
        <w:t>b.</w:t>
      </w:r>
      <w:r w:rsidRPr="00873B6C">
        <w:tab/>
        <w:t>The UE shall not send user data as payload of a NAS message (see clause 5.31.4.1) in uplink direction.</w:t>
      </w:r>
    </w:p>
    <w:p w14:paraId="4478F883" w14:textId="73142053" w:rsidR="00893B12" w:rsidRPr="00873B6C" w:rsidRDefault="00893B12" w:rsidP="00893B12">
      <w:pPr>
        <w:pStyle w:val="B2"/>
      </w:pPr>
      <w:r w:rsidRPr="00873B6C">
        <w:t>c.</w:t>
      </w:r>
      <w:r w:rsidRPr="00873B6C">
        <w:tab/>
        <w:t>For an already established PDU Session, the</w:t>
      </w:r>
      <w:r w:rsidR="00516747" w:rsidRPr="00873B6C">
        <w:t xml:space="preserve"> supporting</w:t>
      </w:r>
      <w:r w:rsidRPr="00873B6C">
        <w:t xml:space="preserve"> UE may initiate signalling for PDU Session release procedure or PDU Session modification procedure (i.e. for PS data off status change reporting).</w:t>
      </w:r>
    </w:p>
    <w:p w14:paraId="675E9AFB" w14:textId="78E87A63" w:rsidR="00640EBF" w:rsidRPr="00873B6C" w:rsidRDefault="00640EBF" w:rsidP="00A10084">
      <w:pPr>
        <w:pStyle w:val="B1"/>
      </w:pPr>
      <w:r w:rsidRPr="00873B6C">
        <w:t>3</w:t>
      </w:r>
      <w:r w:rsidRPr="00873B6C">
        <w:tab/>
        <w:t>If the UE has overlapping areas between non-allowed area, a cell inside the NS-AoS, then the non-allowed area restriction applies.</w:t>
      </w:r>
    </w:p>
    <w:p w14:paraId="05C7C75A" w14:textId="24657DCF" w:rsidR="00A10084" w:rsidRPr="00873B6C" w:rsidRDefault="00640EBF" w:rsidP="00A10084">
      <w:pPr>
        <w:pStyle w:val="B1"/>
      </w:pPr>
      <w:r w:rsidRPr="00873B6C">
        <w:t>4</w:t>
      </w:r>
      <w:r w:rsidR="00A10084" w:rsidRPr="00873B6C">
        <w:t>.</w:t>
      </w:r>
      <w:r w:rsidR="00A10084" w:rsidRPr="00873B6C">
        <w:tab/>
        <w:t>If the S-NSSAI is in the Partially Allowed NSSAI or in the Allowed NSSAI</w:t>
      </w:r>
      <w:r w:rsidR="00472CD7" w:rsidRPr="00873B6C">
        <w:t xml:space="preserve"> and</w:t>
      </w:r>
      <w:r w:rsidR="00A10084" w:rsidRPr="00873B6C">
        <w:t xml:space="preserve"> the UE in CM-CONNECTED state moves from a cell inside the NS-AoS to a cell outside the NS-AoS and the User Plane resources are active for a PDU Session on that S-NSSAI, the NG-RAN </w:t>
      </w:r>
      <w:r w:rsidR="00516747" w:rsidRPr="00873B6C">
        <w:t xml:space="preserve">releases </w:t>
      </w:r>
      <w:r w:rsidR="00A10084" w:rsidRPr="00873B6C">
        <w:t>the User Plane resources as described in</w:t>
      </w:r>
      <w:r w:rsidR="00516747" w:rsidRPr="00873B6C">
        <w:t xml:space="preserve"> step 1d of</w:t>
      </w:r>
      <w:r w:rsidR="00A10084" w:rsidRPr="00873B6C">
        <w:t xml:space="preserve"> </w:t>
      </w:r>
      <w:r w:rsidR="00A10084" w:rsidRPr="00873B6C">
        <w:lastRenderedPageBreak/>
        <w:t xml:space="preserve">the AN initiated </w:t>
      </w:r>
      <w:r w:rsidR="00516747" w:rsidRPr="00873B6C">
        <w:t xml:space="preserve">Release </w:t>
      </w:r>
      <w:r w:rsidR="00A10084" w:rsidRPr="00873B6C">
        <w:t>of a PDU Session in clause 4.3.</w:t>
      </w:r>
      <w:r w:rsidR="00516747" w:rsidRPr="00873B6C">
        <w:t>4</w:t>
      </w:r>
      <w:r w:rsidR="00A10084" w:rsidRPr="00873B6C">
        <w:t>.2 of TS 23.502 [3]</w:t>
      </w:r>
      <w:r w:rsidR="00516747" w:rsidRPr="00873B6C">
        <w:t>. The SMF also deactivates the PDU Session as described in step 3a in clause 4.3.4.2 of TS 23.502 [3]</w:t>
      </w:r>
      <w:r w:rsidR="00A10084" w:rsidRPr="00873B6C">
        <w:t>.</w:t>
      </w:r>
    </w:p>
    <w:p w14:paraId="7CEB23A5" w14:textId="77777777" w:rsidR="006E26ED" w:rsidRPr="00873B6C" w:rsidRDefault="006E26ED" w:rsidP="006E26ED">
      <w:pPr>
        <w:pStyle w:val="NO"/>
      </w:pPr>
      <w:r w:rsidRPr="00873B6C">
        <w:t>NOTE 1:</w:t>
      </w:r>
      <w:r w:rsidRPr="00873B6C">
        <w:tab/>
        <w:t>By Radio Resource Management and existing mechanisms in NG-RAN, handover can be used to keep the UE in the NS-AoS or steer the UE to enter the NS-AoS as long as radio conditions allow it.</w:t>
      </w:r>
    </w:p>
    <w:p w14:paraId="518A1AA9" w14:textId="77777777" w:rsidR="006E26ED" w:rsidRPr="00873B6C" w:rsidRDefault="006E26ED" w:rsidP="006E26ED">
      <w:pPr>
        <w:pStyle w:val="NO"/>
      </w:pPr>
      <w:r w:rsidRPr="00873B6C">
        <w:t>NOTE 2:</w:t>
      </w:r>
      <w:r w:rsidRPr="00873B6C">
        <w:tab/>
        <w:t>Since the S-NSSAI location availability information is not a used as a trigger for the UE to perform MRU due to mobility, i.e. the UE performs MRU due to mobility upon changing to a new TA outside the UE's Registration Area, the S-NSSAI remains registered and is included in the Allowed NSSAI when the UE exits the NS-AoS. If the S-NSSAI is subject for NSAC, the S-NSSAI is counted towards NSAC as described in clause 5.15.11 also when the UE is outside the NS-AoS.</w:t>
      </w:r>
    </w:p>
    <w:p w14:paraId="403F1676" w14:textId="0AD7FF9E" w:rsidR="00335A94" w:rsidRPr="00873B6C" w:rsidRDefault="00335A94" w:rsidP="00335A94">
      <w:pPr>
        <w:pStyle w:val="Heading4"/>
      </w:pPr>
      <w:bookmarkStart w:id="2832" w:name="_CR5_15_18_3"/>
      <w:bookmarkStart w:id="2833" w:name="_Toc201157314"/>
      <w:bookmarkEnd w:id="2832"/>
      <w:r w:rsidRPr="00873B6C">
        <w:t>5.15.18.3</w:t>
      </w:r>
      <w:r w:rsidRPr="00873B6C">
        <w:tab/>
        <w:t>Network based monitoring and enforcement of Network Slice Area of Service not matching deployed Tracking Areas</w:t>
      </w:r>
      <w:bookmarkEnd w:id="2833"/>
    </w:p>
    <w:p w14:paraId="24EFC464" w14:textId="13163BBB" w:rsidR="00335A94" w:rsidRPr="00873B6C" w:rsidRDefault="00335A94" w:rsidP="00335A94">
      <w:r w:rsidRPr="00873B6C">
        <w:t xml:space="preserve">OAM may configure RRM policies for S-NSSAIs on a per cell basis as defined in </w:t>
      </w:r>
      <w:r w:rsidR="00972E70" w:rsidRPr="00873B6C">
        <w:t>TS 28.541 [</w:t>
      </w:r>
      <w:r w:rsidRPr="00873B6C">
        <w:t>149], i.e. cells outside the Network Slice Area of Service while in a TA supporting the S-NSSAI are allocated with no RRM resources for the S-NSSAI.</w:t>
      </w:r>
    </w:p>
    <w:p w14:paraId="64F58305" w14:textId="77777777" w:rsidR="00335A94" w:rsidRPr="00873B6C" w:rsidRDefault="00335A94" w:rsidP="00335A94">
      <w:r w:rsidRPr="00873B6C">
        <w:t>The network may enforce the NS-AoS for an S-NSSAI as follows:</w:t>
      </w:r>
    </w:p>
    <w:p w14:paraId="381C2522" w14:textId="0BD26F0B" w:rsidR="00335A94" w:rsidRPr="00873B6C" w:rsidRDefault="00335A94" w:rsidP="00972E70">
      <w:pPr>
        <w:pStyle w:val="B1"/>
      </w:pPr>
      <w:r w:rsidRPr="00873B6C">
        <w:t>1.</w:t>
      </w:r>
      <w:r w:rsidRPr="00873B6C">
        <w:tab/>
        <w:t>The network</w:t>
      </w:r>
      <w:r w:rsidR="006E26ED" w:rsidRPr="00873B6C">
        <w:t xml:space="preserve"> may</w:t>
      </w:r>
      <w:r w:rsidRPr="00873B6C">
        <w:t xml:space="preserve"> monitor the validity of the S-NSSAI for UE in CM-CONNECTED state, i.e.</w:t>
      </w:r>
      <w:r w:rsidR="006E26ED" w:rsidRPr="00873B6C">
        <w:t xml:space="preserve"> the AMF subscribes to the AoI using the Location information of the S-NSSAI location availability information as described in TS 38.413 [34]</w:t>
      </w:r>
      <w:r w:rsidRPr="00873B6C">
        <w:t>.</w:t>
      </w:r>
    </w:p>
    <w:p w14:paraId="62EFFF7F" w14:textId="77777777" w:rsidR="00335A94" w:rsidRPr="00873B6C" w:rsidRDefault="00335A94" w:rsidP="00972E70">
      <w:pPr>
        <w:pStyle w:val="B1"/>
      </w:pPr>
      <w:r w:rsidRPr="00873B6C">
        <w:t>2.</w:t>
      </w:r>
      <w:r w:rsidRPr="00873B6C">
        <w:tab/>
        <w:t>If the non-supporting UE makes a PDU Session establishment request with an S-NSSAI that is not valid as per the S-NSSAI location availability information, the AMF may reject the NAS Transport message with a back-off timer using S-NSSAI based congestion control as described in clause 5.19.7.4.</w:t>
      </w:r>
    </w:p>
    <w:p w14:paraId="0E7F710F" w14:textId="77777777" w:rsidR="00335A94" w:rsidRPr="00873B6C" w:rsidRDefault="00335A94" w:rsidP="00972E70">
      <w:pPr>
        <w:pStyle w:val="B1"/>
      </w:pPr>
      <w:r w:rsidRPr="00873B6C">
        <w:t>3.</w:t>
      </w:r>
      <w:r w:rsidRPr="00873B6C">
        <w:tab/>
        <w:t>If the AMF determines that the UE in CM-CONNECTED has moved outside the NS-AoS, the AMF performs the following logic:</w:t>
      </w:r>
    </w:p>
    <w:p w14:paraId="5B669F9B" w14:textId="08F7B210" w:rsidR="00335A94" w:rsidRPr="00873B6C" w:rsidRDefault="00335A94" w:rsidP="00972E70">
      <w:pPr>
        <w:pStyle w:val="B2"/>
      </w:pPr>
      <w:r w:rsidRPr="00873B6C">
        <w:t>a)</w:t>
      </w:r>
      <w:r w:rsidRPr="00873B6C">
        <w:tab/>
        <w:t>If the non-supporting UE has other S-NSSAI(s) in the Allowed NSSAI, then the AMF may update the UE with a UE Configuration Update by removing the S-NSSAI from the Allowed NSSAI and</w:t>
      </w:r>
      <w:r w:rsidR="005656CA" w:rsidRPr="00873B6C">
        <w:t xml:space="preserve"> optionally</w:t>
      </w:r>
      <w:r w:rsidRPr="00873B6C">
        <w:t xml:space="preserve"> removing the S-NSSAI from the Configured NSSAI and then</w:t>
      </w:r>
      <w:r w:rsidR="005656CA" w:rsidRPr="00873B6C">
        <w:t>,</w:t>
      </w:r>
      <w:r w:rsidRPr="00873B6C">
        <w:t xml:space="preserve"> the AMF requests the SMF to release any PDU Sessions with that S-NSSAI as per step 1f in clause 4.2.3.4 in </w:t>
      </w:r>
      <w:r w:rsidR="00972E70" w:rsidRPr="00873B6C">
        <w:t>TS 23.502 [</w:t>
      </w:r>
      <w:r w:rsidRPr="00873B6C">
        <w:t>3].</w:t>
      </w:r>
    </w:p>
    <w:p w14:paraId="356F25FB" w14:textId="3D84222C" w:rsidR="00335A94" w:rsidRPr="00873B6C" w:rsidRDefault="00335A94" w:rsidP="00972E70">
      <w:pPr>
        <w:pStyle w:val="B2"/>
      </w:pPr>
      <w:r w:rsidRPr="00873B6C">
        <w:t>b)</w:t>
      </w:r>
      <w:r w:rsidRPr="00873B6C">
        <w:tab/>
        <w:t>If the non-supporting UE does not have any other S-NSSAI in the Allowed NSSAI, then the AMF may update the UE with a UE Configuration Update by removing the S-NSSAI from the Allowed NSSAI and</w:t>
      </w:r>
      <w:r w:rsidR="005656CA" w:rsidRPr="00873B6C">
        <w:t xml:space="preserve"> optionally</w:t>
      </w:r>
      <w:r w:rsidRPr="00873B6C">
        <w:t xml:space="preserve"> removing the S-NSSAI from the Configured NSSAI</w:t>
      </w:r>
      <w:r w:rsidR="00472CD7" w:rsidRPr="00873B6C">
        <w:t xml:space="preserve"> and</w:t>
      </w:r>
      <w:r w:rsidRPr="00873B6C">
        <w:t xml:space="preserve"> adding a default S-NSSAI to the Allowed NSSAI and then</w:t>
      </w:r>
      <w:r w:rsidR="005656CA" w:rsidRPr="00873B6C">
        <w:t>,</w:t>
      </w:r>
      <w:r w:rsidRPr="00873B6C">
        <w:t xml:space="preserve"> the AMF requests the SMF to release any PDU Sessions with the removed S-NSSAI as per step 1f in clause 4.3.4</w:t>
      </w:r>
      <w:r w:rsidR="00516747" w:rsidRPr="00873B6C">
        <w:t>.2</w:t>
      </w:r>
      <w:r w:rsidRPr="00873B6C">
        <w:t xml:space="preserve"> in </w:t>
      </w:r>
      <w:r w:rsidR="00972E70" w:rsidRPr="00873B6C">
        <w:t>TS 23.502 [</w:t>
      </w:r>
      <w:r w:rsidRPr="00873B6C">
        <w:t>3].</w:t>
      </w:r>
    </w:p>
    <w:p w14:paraId="571F6B84" w14:textId="1F030C8A" w:rsidR="005656CA" w:rsidRPr="00873B6C" w:rsidRDefault="005656CA" w:rsidP="005A13C0">
      <w:pPr>
        <w:pStyle w:val="NO"/>
      </w:pPr>
      <w:r w:rsidRPr="00873B6C">
        <w:t>NOTE</w:t>
      </w:r>
      <w:r w:rsidR="00CA290C" w:rsidRPr="00873B6C">
        <w:t> 1</w:t>
      </w:r>
      <w:r w:rsidRPr="00873B6C">
        <w:t>:</w:t>
      </w:r>
      <w:r w:rsidRPr="00873B6C">
        <w:tab/>
        <w:t>Whether the AMF removes the S-NSSAI</w:t>
      </w:r>
      <w:r w:rsidR="00516747" w:rsidRPr="00873B6C">
        <w:t xml:space="preserve"> only</w:t>
      </w:r>
      <w:r w:rsidRPr="00873B6C">
        <w:t xml:space="preserve"> from Allowed NSSAI</w:t>
      </w:r>
      <w:r w:rsidR="00516747" w:rsidRPr="00873B6C">
        <w:t>, or from both Allowed NSSAI</w:t>
      </w:r>
      <w:r w:rsidRPr="00873B6C">
        <w:t xml:space="preserve"> and Configured NSSAI</w:t>
      </w:r>
      <w:r w:rsidR="00516747" w:rsidRPr="00873B6C">
        <w:t>,</w:t>
      </w:r>
      <w:r w:rsidRPr="00873B6C">
        <w:t xml:space="preserve"> or only releases the associated PDU Sessions when the AMF enforces the NS-AoS is up to AMF configuration.</w:t>
      </w:r>
    </w:p>
    <w:p w14:paraId="4EB9DACD" w14:textId="6A18DE92" w:rsidR="00335A94" w:rsidRPr="00873B6C" w:rsidRDefault="00335A94" w:rsidP="00972E70">
      <w:pPr>
        <w:pStyle w:val="B2"/>
      </w:pPr>
      <w:r w:rsidRPr="00873B6C">
        <w:t>c)</w:t>
      </w:r>
      <w:r w:rsidRPr="00873B6C">
        <w:tab/>
        <w:t>For a non-supporting UE that does not have any other S-NSSAI in the Allowed NSSAI nor in the Configured NSSAI, then the AMF indicates to the SMF to release the PDU Session.</w:t>
      </w:r>
    </w:p>
    <w:p w14:paraId="1B1DEABD" w14:textId="027AB293" w:rsidR="00335A94" w:rsidRPr="00873B6C" w:rsidRDefault="00335A94" w:rsidP="00972E70">
      <w:pPr>
        <w:pStyle w:val="B1"/>
      </w:pPr>
      <w:r w:rsidRPr="00873B6C">
        <w:t>4.</w:t>
      </w:r>
      <w:r w:rsidRPr="00873B6C">
        <w:tab/>
        <w:t>If the AMF determines that the S-NSSAI becomes valid e.g. the UE has moved into the NS-AoS, the AMF</w:t>
      </w:r>
      <w:r w:rsidR="005656CA" w:rsidRPr="00873B6C">
        <w:t xml:space="preserve"> may</w:t>
      </w:r>
      <w:r w:rsidRPr="00873B6C">
        <w:t xml:space="preserve"> update the UE with a UCU e.g. including the S-NSSAI in the Configured NSSAI.</w:t>
      </w:r>
    </w:p>
    <w:p w14:paraId="0B7D7DA3" w14:textId="7ED55E55" w:rsidR="0029208C" w:rsidRPr="00873B6C" w:rsidRDefault="0029208C" w:rsidP="0029208C">
      <w:pPr>
        <w:pStyle w:val="B1"/>
      </w:pPr>
      <w:r w:rsidRPr="00873B6C">
        <w:t>5.</w:t>
      </w:r>
      <w:r w:rsidRPr="00873B6C">
        <w:tab/>
        <w:t>When the AMF determines that the S-NSSAI of a PDU Session is restricted to an NS-AoS in the PDU session, the AMF indicates to the SMF that the PDU Session is subject to area restriction for the S-NSSAI. As a result, the SMF subscribes to "UE mobility event notification"</w:t>
      </w:r>
      <w:r w:rsidR="00516747" w:rsidRPr="00873B6C">
        <w:t xml:space="preserve"> event</w:t>
      </w:r>
      <w:r w:rsidRPr="00873B6C">
        <w:t xml:space="preserve"> for reporting UE presence in Area of Interest by providing S-NSSAI to the AMF as described in clauses 5.6.11 and 5.3.4.4</w:t>
      </w:r>
      <w:r w:rsidR="00516747" w:rsidRPr="00873B6C">
        <w:t xml:space="preserve"> if this event has not been subscribed before.</w:t>
      </w:r>
      <w:r w:rsidR="00F04A40" w:rsidRPr="00873B6C">
        <w:t xml:space="preserve"> The supporting AMF shall provide this indication in all the subsequent PDU Session update message to the SMF as long as the S-NSSAI of the PDU Session is subject to area restriction.</w:t>
      </w:r>
      <w:r w:rsidR="00516747" w:rsidRPr="00873B6C">
        <w:t xml:space="preserve"> The AMF determines the UE presence in Area of Interest as described in Annex D, clauses D.1 and D.2 of TS 23.502 [3] and notifies the result to the SMF</w:t>
      </w:r>
      <w:r w:rsidRPr="00873B6C">
        <w:t>. When SMF is notified that the UE location is outside of Area of Interest, SMF shall not send user data as payload of NAS message (see clause 5.31.4.1) in downlink directions and disable data notification.</w:t>
      </w:r>
      <w:r w:rsidR="00516747" w:rsidRPr="00873B6C">
        <w:t xml:space="preserve"> When the AMF does not indicate to the SMF that the PDU Session is subject to area restriction for the S-NSSAI, </w:t>
      </w:r>
      <w:r w:rsidR="00516747" w:rsidRPr="00873B6C">
        <w:lastRenderedPageBreak/>
        <w:t>based on local configuration, the SMF may unsubscribe the "UE mobility event notification" event in AMF if this event has been subscribed before.</w:t>
      </w:r>
    </w:p>
    <w:p w14:paraId="2A8356DB" w14:textId="62FA878C" w:rsidR="00C62779" w:rsidRPr="00873B6C" w:rsidRDefault="00C62779" w:rsidP="00C62779">
      <w:pPr>
        <w:pStyle w:val="B1"/>
      </w:pPr>
      <w:r w:rsidRPr="00873B6C">
        <w:t>6.</w:t>
      </w:r>
      <w:r w:rsidRPr="00873B6C">
        <w:tab/>
        <w:t>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0F900768" w14:textId="1D6F3756" w:rsidR="00CA290C" w:rsidRPr="00873B6C" w:rsidRDefault="00CA290C" w:rsidP="00CA290C">
      <w:pPr>
        <w:pStyle w:val="NO"/>
      </w:pPr>
      <w:r w:rsidRPr="00873B6C">
        <w:t>NOTE 2:</w:t>
      </w:r>
      <w:r w:rsidRPr="00873B6C">
        <w:tab/>
        <w:t>When I-SMF/V-SMF is inserted for the PDU session it is the I-SMF/V-SMF to handle the area restrictions for the S-NSSAI. The SMF/H-SMF is not involved in this procedure.</w:t>
      </w:r>
    </w:p>
    <w:p w14:paraId="5BFDE5B9" w14:textId="694435F4" w:rsidR="003E03C2" w:rsidRPr="00873B6C" w:rsidRDefault="003E03C2" w:rsidP="003E03C2">
      <w:pPr>
        <w:pStyle w:val="Heading3"/>
      </w:pPr>
      <w:bookmarkStart w:id="2834" w:name="_CR5_15_19"/>
      <w:bookmarkStart w:id="2835" w:name="_Toc201157315"/>
      <w:bookmarkEnd w:id="2834"/>
      <w:r w:rsidRPr="00873B6C">
        <w:t>5.15.19</w:t>
      </w:r>
      <w:r w:rsidRPr="00873B6C">
        <w:tab/>
        <w:t>Support of Network Slice Replacement</w:t>
      </w:r>
      <w:bookmarkEnd w:id="2835"/>
    </w:p>
    <w:p w14:paraId="0CFA31EC" w14:textId="34730525" w:rsidR="003E03C2" w:rsidRPr="00873B6C" w:rsidRDefault="003E03C2" w:rsidP="003E03C2">
      <w:r w:rsidRPr="00873B6C">
        <w:t>The Network Slice Replacement feature is used to</w:t>
      </w:r>
      <w:r w:rsidR="004119E4" w:rsidRPr="00873B6C">
        <w:t xml:space="preserve"> temporarily</w:t>
      </w:r>
      <w:r w:rsidRPr="00873B6C">
        <w:t xml:space="preserve"> replace an S-NSSAI with an Alternative S-NSSAI when an S-NSSAI becomes unavailable or congested</w:t>
      </w:r>
      <w:r w:rsidR="00153C7D" w:rsidRPr="00873B6C">
        <w:t xml:space="preserve"> in the 5GC</w:t>
      </w:r>
      <w:r w:rsidRPr="00873B6C">
        <w:t>. The Network Slice Replacement may be triggered in the following cases:</w:t>
      </w:r>
    </w:p>
    <w:p w14:paraId="564107C7" w14:textId="5666652A" w:rsidR="003E03C2" w:rsidRPr="00873B6C" w:rsidRDefault="003E03C2" w:rsidP="00972E70">
      <w:pPr>
        <w:pStyle w:val="B1"/>
      </w:pPr>
      <w:r w:rsidRPr="00873B6C">
        <w:t>-</w:t>
      </w:r>
      <w:r w:rsidRPr="00873B6C">
        <w:tab/>
        <w:t xml:space="preserve">If the NSSF detects that an S-NSSAI becomes unavailable or congested (e.g. based on OAM or NWDAF analytics output), </w:t>
      </w:r>
      <w:r w:rsidR="00060FE0" w:rsidRPr="00873B6C">
        <w:t xml:space="preserve">the NSSF </w:t>
      </w:r>
      <w:r w:rsidRPr="00873B6C">
        <w:t>sends network slice availability notification for the S-NSSAI to the AMF. The notification may include an Alternative S-NSSAI which can be used by the AMF to replace the S-NSSAI</w:t>
      </w:r>
      <w:r w:rsidR="00060FE0" w:rsidRPr="00873B6C">
        <w:t xml:space="preserve"> and congestion mitigation information if the S-NSSAI is congested</w:t>
      </w:r>
      <w:r w:rsidRPr="00873B6C">
        <w:t>. The NSSF notifies the AMF when the S-NSSAI is available again.</w:t>
      </w:r>
    </w:p>
    <w:p w14:paraId="2B88AAB4" w14:textId="3143E53C" w:rsidR="003E03C2" w:rsidRPr="00873B6C" w:rsidRDefault="003E03C2" w:rsidP="00972E70">
      <w:pPr>
        <w:pStyle w:val="B1"/>
      </w:pPr>
      <w:r w:rsidRPr="00873B6C">
        <w:t>-</w:t>
      </w:r>
      <w:r w:rsidRPr="00873B6C">
        <w:tab/>
        <w:t xml:space="preserve">If the PCF detects that an S-NSSAI becomes unavailable or congested for a UE (e.g. based on OAM or NWDAF analytics output), </w:t>
      </w:r>
      <w:r w:rsidR="00060FE0" w:rsidRPr="00873B6C">
        <w:t xml:space="preserve">the PCF </w:t>
      </w:r>
      <w:r w:rsidRPr="00873B6C">
        <w:t>sends access and mobility related policy notification to the AMF. The notification may include an Alternative S-NSSAI which can be used by the AMF to replace the S-NSSAI. The PCF notifies the AMF when the S-NSSAI is available again for the UE.</w:t>
      </w:r>
    </w:p>
    <w:p w14:paraId="70503CC4" w14:textId="534BB322" w:rsidR="003E03C2" w:rsidRPr="00873B6C" w:rsidRDefault="003E03C2" w:rsidP="00972E70">
      <w:pPr>
        <w:pStyle w:val="B1"/>
      </w:pPr>
      <w:r w:rsidRPr="00873B6C">
        <w:t>-</w:t>
      </w:r>
      <w:r w:rsidRPr="00873B6C">
        <w:tab/>
        <w:t>The OAM sends notification to AMF when an S-NSSAI becomes unavailable or congested (and also when this S-NSSAI becomes available again) and provides the Alternative S-NSSAI to AMF</w:t>
      </w:r>
      <w:r w:rsidR="00060FE0" w:rsidRPr="00873B6C">
        <w:t xml:space="preserve"> and the OAM may provide congestion mitigation information if the S-NSSAI is congested</w:t>
      </w:r>
      <w:r w:rsidRPr="00873B6C">
        <w:t>.</w:t>
      </w:r>
    </w:p>
    <w:p w14:paraId="51C50847" w14:textId="7D28C2DE" w:rsidR="00357584" w:rsidRPr="00873B6C" w:rsidRDefault="00357584" w:rsidP="003E03C2">
      <w:r w:rsidRPr="00873B6C">
        <w:t>The network slice associated with the Alternative S-NSSAI is assumed in this specification to have NS-AoS to be covering at least the NS-AoS of the replaced network slice.</w:t>
      </w:r>
      <w:r w:rsidR="00494FD0" w:rsidRPr="00873B6C">
        <w:t xml:space="preserve"> If the UE moves to a cell where the replaced S-NSSAI is not supported, but still within the NS-AoS of the Alternative S-NSSAI, the AMF removes the replaced S-NSSAI from the Allowed NSSAI (if the S-NSSAI was in the Allowed NSSAI) and from the Partially Allowed NSSAI (if the UE moves out of the RA also).</w:t>
      </w:r>
    </w:p>
    <w:p w14:paraId="386A0340" w14:textId="19928656" w:rsidR="00494FD0" w:rsidRPr="00873B6C" w:rsidRDefault="00494FD0" w:rsidP="00745A3E">
      <w:r w:rsidRPr="00873B6C">
        <w:t>If the replaced S-NSSAI is subject to area restrictions, the AMF indicates to the SMF that the PDU Session is subject to area restrictions for the replaced S-NSSAI and the AMF and the SMF then apply the area restriction for the replaced S-NSSAI as described in clause 5.15.17 or clause 5.15.18 and the SMF additionally deactivates the PDU Session when the UE is OUT of AoI.</w:t>
      </w:r>
    </w:p>
    <w:p w14:paraId="1B82D5BD" w14:textId="0CFFDA1E" w:rsidR="004119E4" w:rsidRPr="00873B6C" w:rsidRDefault="004119E4" w:rsidP="004119E4">
      <w:pPr>
        <w:pStyle w:val="NO"/>
      </w:pPr>
      <w:r w:rsidRPr="00873B6C">
        <w:t>NOTE</w:t>
      </w:r>
      <w:r w:rsidR="00516747" w:rsidRPr="00873B6C">
        <w:t> </w:t>
      </w:r>
      <w:r w:rsidRPr="00873B6C">
        <w:t>1:</w:t>
      </w:r>
      <w:r w:rsidRPr="00873B6C">
        <w:tab/>
        <w:t>It is recommended to use a network slice associated with the Alternative S-NSSAI that is able to support requirements for the services that the replaced network slice supports.</w:t>
      </w:r>
      <w:r w:rsidR="003D49E0" w:rsidRPr="00873B6C">
        <w:t xml:space="preserve"> It is further recommended in particular that the Alternative S-NSSAI supports at least the DNNs supported in the replaced S-NSSAI.</w:t>
      </w:r>
    </w:p>
    <w:p w14:paraId="3C61D5E9" w14:textId="14BDF4A2" w:rsidR="00357584" w:rsidRPr="00873B6C" w:rsidRDefault="00357584" w:rsidP="00D64A02">
      <w:pPr>
        <w:pStyle w:val="NO"/>
      </w:pPr>
      <w:r w:rsidRPr="00873B6C">
        <w:t>NOTE </w:t>
      </w:r>
      <w:r w:rsidR="004119E4" w:rsidRPr="00873B6C">
        <w:t>2</w:t>
      </w:r>
      <w:r w:rsidRPr="00873B6C">
        <w:t>:</w:t>
      </w:r>
      <w:r w:rsidRPr="00873B6C">
        <w:tab/>
      </w:r>
      <w:r w:rsidR="00516747" w:rsidRPr="00873B6C">
        <w:t xml:space="preserve">The AMF can, by using the UE's presence in the AoI for the replaced S-NSSAI, </w:t>
      </w:r>
      <w:r w:rsidRPr="00873B6C">
        <w:t>prevent the UE from obtaining service in the Alternative network slice in cells outside the NS-AoS of the replaced network slice but within the NS-AoS of the Alternative network slice if the Alternative network slice NS-AoS exceeds the NS-AoS of the replaced network slice.</w:t>
      </w:r>
    </w:p>
    <w:p w14:paraId="4A6E883E" w14:textId="47796D27" w:rsidR="003E03C2" w:rsidRPr="00873B6C" w:rsidRDefault="003E03C2" w:rsidP="003E03C2">
      <w:r w:rsidRPr="00873B6C">
        <w:t>Based on the notification above from NSSF or PCF or OAM, the AMF may determine that an S-NSSAI is to be replaced with Alternative S-NSSAI. For roaming case, the AMF</w:t>
      </w:r>
      <w:r w:rsidR="004119E4" w:rsidRPr="00873B6C">
        <w:t xml:space="preserve"> subscribes the</w:t>
      </w:r>
      <w:r w:rsidRPr="00873B6C">
        <w:t xml:space="preserve"> network slice availability notification of the HPLMN S-NSSAI</w:t>
      </w:r>
      <w:r w:rsidR="004119E4" w:rsidRPr="00873B6C">
        <w:t xml:space="preserve"> from the NSSF in VPLMN and the NSSF in VPLMN subscribes the notification</w:t>
      </w:r>
      <w:r w:rsidRPr="00873B6C">
        <w:t xml:space="preserve"> from NSSF in the HPLMN as described in clause 5.15.6.</w:t>
      </w:r>
    </w:p>
    <w:p w14:paraId="69D578EA" w14:textId="0B7973BA" w:rsidR="00060FE0" w:rsidRPr="00873B6C" w:rsidRDefault="00060FE0" w:rsidP="00745A3E">
      <w:r w:rsidRPr="00873B6C">
        <w:t>If the notification is from NSSF or OAM</w:t>
      </w:r>
      <w:r w:rsidR="00472CD7" w:rsidRPr="00873B6C">
        <w:t xml:space="preserve"> and</w:t>
      </w:r>
      <w:r w:rsidRPr="00873B6C">
        <w:t xml:space="preserve"> reason for the replacement is due to congestion, the notification includes additional congestion mitigation information. The details of the congestion mitigation information from NSSF and how the congestion mitigation information is used by the AMF is described in clause 5.2.16.3.3 of TS 23.502 [3].</w:t>
      </w:r>
    </w:p>
    <w:p w14:paraId="632A9016" w14:textId="28F8BF73" w:rsidR="003E03C2" w:rsidRPr="00873B6C" w:rsidRDefault="003E03C2" w:rsidP="00972E70">
      <w:pPr>
        <w:pStyle w:val="NO"/>
      </w:pPr>
      <w:r w:rsidRPr="00873B6C">
        <w:t>NOTE </w:t>
      </w:r>
      <w:r w:rsidR="004119E4" w:rsidRPr="00873B6C">
        <w:t>3</w:t>
      </w:r>
      <w:r w:rsidRPr="00873B6C">
        <w:t>:</w:t>
      </w:r>
      <w:r w:rsidRPr="00873B6C">
        <w:tab/>
        <w:t>It is recommended that, the operator configures to use only one</w:t>
      </w:r>
      <w:r w:rsidR="004119E4" w:rsidRPr="00873B6C">
        <w:t xml:space="preserve"> option, i.e. OAM, PCF or NSSF, for determining an Alternative S-NSSAI and</w:t>
      </w:r>
      <w:r w:rsidRPr="00873B6C">
        <w:t xml:space="preserve"> triggering the Network Slice Replacement for S-NSSAI.</w:t>
      </w:r>
    </w:p>
    <w:p w14:paraId="780C9572" w14:textId="2C89464D" w:rsidR="003E03C2" w:rsidRPr="00873B6C" w:rsidRDefault="003E03C2" w:rsidP="003E03C2">
      <w:r w:rsidRPr="00873B6C">
        <w:lastRenderedPageBreak/>
        <w:t xml:space="preserve">The AMF </w:t>
      </w:r>
      <w:r w:rsidR="00EF4A8B" w:rsidRPr="00873B6C">
        <w:t xml:space="preserve">uses </w:t>
      </w:r>
      <w:r w:rsidRPr="00873B6C">
        <w:t>the Alternative S-NSSAI</w:t>
      </w:r>
      <w:r w:rsidR="00EF4A8B" w:rsidRPr="00873B6C">
        <w:t xml:space="preserve"> received in</w:t>
      </w:r>
      <w:r w:rsidRPr="00873B6C">
        <w:t xml:space="preserve"> the notification from</w:t>
      </w:r>
      <w:r w:rsidR="00EF4A8B" w:rsidRPr="00873B6C">
        <w:t xml:space="preserve"> the</w:t>
      </w:r>
      <w:r w:rsidRPr="00873B6C">
        <w:t xml:space="preserve"> NSSF</w:t>
      </w:r>
      <w:r w:rsidR="00EF4A8B" w:rsidRPr="00873B6C">
        <w:t>, or from OAM</w:t>
      </w:r>
      <w:r w:rsidRPr="00873B6C">
        <w:t xml:space="preserve"> or</w:t>
      </w:r>
      <w:r w:rsidR="00EF4A8B" w:rsidRPr="00873B6C">
        <w:t xml:space="preserve"> from the</w:t>
      </w:r>
      <w:r w:rsidRPr="00873B6C">
        <w:t xml:space="preserve"> PCF</w:t>
      </w:r>
      <w:r w:rsidR="00500903" w:rsidRPr="00873B6C">
        <w:t>.</w:t>
      </w:r>
      <w:r w:rsidR="00EF4A8B" w:rsidRPr="00873B6C">
        <w:t xml:space="preserve"> If</w:t>
      </w:r>
      <w:r w:rsidRPr="00873B6C">
        <w:t xml:space="preserve"> the NSSF or PCF</w:t>
      </w:r>
      <w:r w:rsidR="00EF4A8B" w:rsidRPr="00873B6C">
        <w:t xml:space="preserve"> or OAM</w:t>
      </w:r>
      <w:r w:rsidRPr="00873B6C">
        <w:t xml:space="preserve"> do not provide an </w:t>
      </w:r>
      <w:r w:rsidR="00EF4A8B" w:rsidRPr="00873B6C">
        <w:t>A</w:t>
      </w:r>
      <w:r w:rsidRPr="00873B6C">
        <w:t>lternative S-NSSAI</w:t>
      </w:r>
      <w:r w:rsidR="00EF4A8B" w:rsidRPr="00873B6C">
        <w:t xml:space="preserve"> in the notification, the AMF uses an Alternative S-NSSAI based on local configuration</w:t>
      </w:r>
      <w:r w:rsidRPr="00873B6C">
        <w:t xml:space="preserve">. The Alternative S-NSSAI shall be supported in the UE Registration Area. If AMF cannot determine the Alternative S-NSSAI for the S-NSSAI, e.g. </w:t>
      </w:r>
      <w:r w:rsidR="00EF4A8B" w:rsidRPr="00873B6C">
        <w:t xml:space="preserve">OAM </w:t>
      </w:r>
      <w:r w:rsidRPr="00873B6C">
        <w:t>or NSSF doesn't provide Alternative S-NSSAI</w:t>
      </w:r>
      <w:r w:rsidR="00EF4A8B" w:rsidRPr="00873B6C">
        <w:t xml:space="preserve"> and there is no Alternative S-NSSAI in the AMF local configuration</w:t>
      </w:r>
      <w:r w:rsidRPr="00873B6C">
        <w:t xml:space="preserve">, the AMF may further interact with the PCF to determine the Alternative S-NSSAI. The event trigger in AMF for interacting with PCF is described in clause 6.1.2.5 of </w:t>
      </w:r>
      <w:r w:rsidR="00972E70" w:rsidRPr="00873B6C">
        <w:t>TS 23.503 [</w:t>
      </w:r>
      <w:r w:rsidRPr="00873B6C">
        <w:t>45].</w:t>
      </w:r>
    </w:p>
    <w:p w14:paraId="71CF0EAA" w14:textId="2347CBF7" w:rsidR="004119E4" w:rsidRPr="00873B6C" w:rsidRDefault="004119E4" w:rsidP="003E03C2">
      <w:r w:rsidRPr="00873B6C">
        <w:t>If the Alternative S-NSSAI is subject to NSSAA, the Alternative S-NSSAI shall only be used for UEs for which the Alternative S-NSSAI is included in the Subscribed S-NSSAIs. In this case, the AMF performs the NSSAA procedure for the Alternative S-NSSAI as described in clause 5.15.10 before the AMF triggers Network Slice Replacement as specified below.</w:t>
      </w:r>
    </w:p>
    <w:p w14:paraId="5EDA4723" w14:textId="75CF67D3" w:rsidR="003E03C2" w:rsidRPr="00873B6C" w:rsidRDefault="003E03C2" w:rsidP="003E03C2">
      <w:r w:rsidRPr="00873B6C">
        <w:t>The UE indicates the support of Network Slice Replacement feature during the UE Registration procedure. For supporting UE in CM-CONNECTED</w:t>
      </w:r>
      <w:r w:rsidR="00252264" w:rsidRPr="00873B6C">
        <w:t xml:space="preserve"> state</w:t>
      </w:r>
      <w:r w:rsidRPr="00873B6C">
        <w:t xml:space="preserve"> and if there is a PDU Sessions in the UE context associated with the S-NSSAI that needs to be replaced</w:t>
      </w:r>
      <w:r w:rsidR="00153C7D" w:rsidRPr="00873B6C">
        <w:t xml:space="preserve"> over an Access Type</w:t>
      </w:r>
      <w:r w:rsidRPr="00873B6C">
        <w:t>, the AMF</w:t>
      </w:r>
      <w:r w:rsidR="004119E4" w:rsidRPr="00873B6C">
        <w:t xml:space="preserve"> additionally</w:t>
      </w:r>
      <w:r w:rsidRPr="00873B6C">
        <w:t xml:space="preserve"> provides the Alternative S-NSSAI for this S-NSSAI in the Allowed NSSAI</w:t>
      </w:r>
      <w:r w:rsidR="00153C7D" w:rsidRPr="00873B6C">
        <w:t xml:space="preserve"> over the same Access Type</w:t>
      </w:r>
      <w:r w:rsidRPr="00873B6C">
        <w:t xml:space="preserve"> and in the Configured NSSAI, if not included yet</w:t>
      </w:r>
      <w:r w:rsidR="00472CD7" w:rsidRPr="00873B6C">
        <w:t xml:space="preserve"> and</w:t>
      </w:r>
      <w:r w:rsidRPr="00873B6C">
        <w:t xml:space="preserve"> the mapping between S-NSSAI(s) to Alternative S-NSSAI(s) to the UE in UE Configuration Update message as follows:</w:t>
      </w:r>
    </w:p>
    <w:p w14:paraId="39C0E85F" w14:textId="77777777" w:rsidR="003E03C2" w:rsidRPr="00873B6C" w:rsidRDefault="003E03C2" w:rsidP="00972E70">
      <w:pPr>
        <w:pStyle w:val="B1"/>
      </w:pPr>
      <w:r w:rsidRPr="00873B6C">
        <w:t>-</w:t>
      </w:r>
      <w:r w:rsidRPr="00873B6C">
        <w:tab/>
        <w:t>for non-roaming UEs, the AMF provides the mapping of the S-NSSAI to the Alternative S-NSSAI to the UE.</w:t>
      </w:r>
    </w:p>
    <w:p w14:paraId="2D7C42BB" w14:textId="2640AD74" w:rsidR="004119E4" w:rsidRPr="00873B6C" w:rsidRDefault="004119E4" w:rsidP="004119E4">
      <w:pPr>
        <w:pStyle w:val="NO"/>
      </w:pPr>
      <w:r w:rsidRPr="00873B6C">
        <w:t>NOTE 4:</w:t>
      </w:r>
      <w:r w:rsidRPr="00873B6C">
        <w:tab/>
        <w:t>In the non-roaming case, the Alternative S-NSSAI does not have to be a Subscribed S-NSSAIs, as the replaced S-NSSAI is always a subscribed S-NSSAI.</w:t>
      </w:r>
    </w:p>
    <w:p w14:paraId="0B8CF308" w14:textId="77777777" w:rsidR="003E03C2" w:rsidRPr="00873B6C" w:rsidRDefault="003E03C2" w:rsidP="00972E70">
      <w:pPr>
        <w:pStyle w:val="B1"/>
      </w:pPr>
      <w:r w:rsidRPr="00873B6C">
        <w:t>-</w:t>
      </w:r>
      <w:r w:rsidRPr="00873B6C">
        <w:tab/>
        <w:t>for roaming UEs when the VPLMN S-NSSAI has to be replaced by a VPLMN Alternative S-NSSAI, the AMF provides the mapping of the VPLMN S-NSSAI to the Alternative VPLMN S-NSSAI to the UE.</w:t>
      </w:r>
    </w:p>
    <w:p w14:paraId="5A512145" w14:textId="77777777" w:rsidR="003E03C2" w:rsidRPr="00873B6C" w:rsidRDefault="003E03C2" w:rsidP="00972E70">
      <w:pPr>
        <w:pStyle w:val="B1"/>
      </w:pPr>
      <w:r w:rsidRPr="00873B6C">
        <w:t>-</w:t>
      </w:r>
      <w:r w:rsidRPr="00873B6C">
        <w:tab/>
        <w:t>for roaming UEs when the HPLMN S-NSSAI has to be replaced by an Alternative HPLMN S-NSSAI, the AMF provides the mapping of the HPLMN S-NSSAI to the Alternative HPLMN S-NSSAI to the UE.</w:t>
      </w:r>
    </w:p>
    <w:p w14:paraId="5283E6AD" w14:textId="6A0EB3CC" w:rsidR="003E03C2" w:rsidRPr="00873B6C" w:rsidRDefault="003E03C2" w:rsidP="00972E70">
      <w:pPr>
        <w:pStyle w:val="NO"/>
      </w:pPr>
      <w:r w:rsidRPr="00873B6C">
        <w:t>NOTE </w:t>
      </w:r>
      <w:r w:rsidR="004119E4" w:rsidRPr="00873B6C">
        <w:t>5</w:t>
      </w:r>
      <w:r w:rsidRPr="00873B6C">
        <w:t>:</w:t>
      </w:r>
      <w:r w:rsidRPr="00873B6C">
        <w:tab/>
      </w:r>
      <w:r w:rsidR="004119E4" w:rsidRPr="00873B6C">
        <w:t xml:space="preserve">In the roaming cases, </w:t>
      </w:r>
      <w:r w:rsidR="00357584" w:rsidRPr="00873B6C">
        <w:t>the</w:t>
      </w:r>
      <w:r w:rsidRPr="00873B6C">
        <w:t xml:space="preserve"> Alternative HPLMN S-NSSAI </w:t>
      </w:r>
      <w:r w:rsidR="005656CA" w:rsidRPr="00873B6C">
        <w:t>do</w:t>
      </w:r>
      <w:r w:rsidR="004119E4" w:rsidRPr="00873B6C">
        <w:t>es</w:t>
      </w:r>
      <w:r w:rsidR="00357584" w:rsidRPr="00873B6C">
        <w:t xml:space="preserve"> </w:t>
      </w:r>
      <w:r w:rsidR="005656CA" w:rsidRPr="00873B6C">
        <w:t xml:space="preserve">not have to </w:t>
      </w:r>
      <w:r w:rsidRPr="00873B6C">
        <w:t>be</w:t>
      </w:r>
      <w:r w:rsidR="00357584" w:rsidRPr="00873B6C">
        <w:t xml:space="preserve"> one</w:t>
      </w:r>
      <w:r w:rsidRPr="00873B6C">
        <w:t xml:space="preserve"> of the Subscribed S-NSSAI</w:t>
      </w:r>
      <w:r w:rsidR="00357584" w:rsidRPr="00873B6C">
        <w:t>s</w:t>
      </w:r>
      <w:r w:rsidR="005656CA" w:rsidRPr="00873B6C">
        <w:t xml:space="preserve"> as</w:t>
      </w:r>
      <w:r w:rsidR="004119E4" w:rsidRPr="00873B6C">
        <w:t xml:space="preserve"> the replaced</w:t>
      </w:r>
      <w:r w:rsidR="005656CA" w:rsidRPr="00873B6C">
        <w:t xml:space="preserve"> HPLMN S-NSSAI is</w:t>
      </w:r>
      <w:r w:rsidR="004119E4" w:rsidRPr="00873B6C">
        <w:t xml:space="preserve"> always</w:t>
      </w:r>
      <w:r w:rsidR="005656CA" w:rsidRPr="00873B6C">
        <w:t xml:space="preserve"> part of the Subscribed S-NSSAIs</w:t>
      </w:r>
      <w:r w:rsidRPr="00873B6C">
        <w:t>.</w:t>
      </w:r>
    </w:p>
    <w:p w14:paraId="79A81CAA" w14:textId="77777777" w:rsidR="00153C7D" w:rsidRPr="00873B6C" w:rsidRDefault="00153C7D" w:rsidP="003E03C2">
      <w:r w:rsidRPr="00873B6C">
        <w:t>The AMF provides the mapping of the S-NSSAI to the Alternative S-NSSAI over the access the AMF wants to trigger Network Slice Replacement. The UE stores the received mapping information together with the received Access Type and only uses it over that access.</w:t>
      </w:r>
    </w:p>
    <w:p w14:paraId="328C8E65" w14:textId="77777777" w:rsidR="00153C7D" w:rsidRPr="00873B6C" w:rsidRDefault="00153C7D" w:rsidP="003E03C2">
      <w:r w:rsidRPr="00873B6C">
        <w:t>Since Network Slice Replacement applies independent of Access Type, when the replacement occurs, the same Alternative S-NSSAI mapping to the replaced S-NSSAI is provided over the Access Types where the replaced S-NSSAI is in the Allowed NSSAI.</w:t>
      </w:r>
    </w:p>
    <w:p w14:paraId="25346456" w14:textId="41609DA5" w:rsidR="00516747" w:rsidRPr="00873B6C" w:rsidRDefault="00516747" w:rsidP="003E03C2">
      <w:r w:rsidRPr="00873B6C">
        <w:t>If the replaced S-NSSAI cannot be kept in the Allowed NSSAI or Partially Allowed NSSAI, the AMF additionally removes the Alternative S-NSSAI from the Allowed NSSAI or Partially Allowed NSSAI if the Alternative S-NSSAI is only used for Network Slice Replacement.</w:t>
      </w:r>
    </w:p>
    <w:p w14:paraId="599A39CC" w14:textId="77777777" w:rsidR="00516747" w:rsidRPr="00873B6C" w:rsidRDefault="00516747" w:rsidP="003E03C2">
      <w:r w:rsidRPr="00873B6C">
        <w:t>At mobility between AMFs, the source AMF provides, to the new AMF, the Alternative S-NSSAI and the mapping of the replaced S-NSSAI to the Alternative S-NSSAI in the UE context. When an S-NSSAI is subject to Network Slice Replacement, the new AMF compares the Requested NSSAI with the received UE context and updates the UE which misses the mapping of the replaced S-NSSAI to the Alternative S-NSSAI.</w:t>
      </w:r>
    </w:p>
    <w:p w14:paraId="21542F48" w14:textId="4074BD98" w:rsidR="003E03C2" w:rsidRPr="00873B6C" w:rsidRDefault="003E03C2" w:rsidP="003E03C2">
      <w:r w:rsidRPr="00873B6C">
        <w:t>For the supporting UE when the UE</w:t>
      </w:r>
      <w:r w:rsidR="00357584" w:rsidRPr="00873B6C">
        <w:t xml:space="preserve"> has</w:t>
      </w:r>
      <w:r w:rsidRPr="00873B6C">
        <w:t xml:space="preserve"> a NAS signalling connection,</w:t>
      </w:r>
      <w:r w:rsidR="00357584" w:rsidRPr="00873B6C">
        <w:t xml:space="preserve"> i.e. it is CM-CONNECTED or it has become CM-CONNECTED,</w:t>
      </w:r>
      <w:r w:rsidRPr="00873B6C">
        <w:t xml:space="preserve"> e.g. through a Service Request procedure or through a UE registration procedure, if the AMF determines that the S-NSSAI is to be replaced and there is a PDU Session associated with the S-NSSAI in the UE context</w:t>
      </w:r>
      <w:r w:rsidR="00357584" w:rsidRPr="00873B6C">
        <w:t xml:space="preserve"> (see also NOTE 3)</w:t>
      </w:r>
      <w:r w:rsidRPr="00873B6C">
        <w:t>, the AMF sends the mapping of the S-NSSAI to the Alternative S-NSSAI to the UE in the UE Configuration Update message or in the Registration Accept message.</w:t>
      </w:r>
    </w:p>
    <w:p w14:paraId="401687CC" w14:textId="51148947" w:rsidR="005656CA" w:rsidRPr="00873B6C" w:rsidRDefault="005656CA" w:rsidP="005656CA">
      <w:pPr>
        <w:pStyle w:val="NO"/>
      </w:pPr>
      <w:r w:rsidRPr="00873B6C">
        <w:t>NOTE </w:t>
      </w:r>
      <w:r w:rsidR="004119E4" w:rsidRPr="00873B6C">
        <w:t>6</w:t>
      </w:r>
      <w:r w:rsidRPr="00873B6C">
        <w:t>:</w:t>
      </w:r>
      <w:r w:rsidRPr="00873B6C">
        <w:tab/>
        <w:t>It is left to AMF local policy whether to send the mapping of the S-NSSAI to the Alternative S-NSSAI to the UE when there is no PDU session associated with the S-NSSAI or wait and send the mapping of the S-NSSAI to the Alternative S-NSSAI to the UE when the UE establishes a PDU Session associated with the S-NSSAI.</w:t>
      </w:r>
    </w:p>
    <w:p w14:paraId="2579216D" w14:textId="6BE457DB" w:rsidR="00500903" w:rsidRPr="00873B6C" w:rsidRDefault="00500903" w:rsidP="003E03C2">
      <w:r w:rsidRPr="00873B6C">
        <w:t>When the S-NSSAI is replaced by the Alternative S-NSSAI, the UE associates both of the replaced S-NSSAI and the Alternative S-NSSAI with the PDU session. The UE procedure for associating applications to PDU session based on URSP described in clause 6.6.2.3 of TS 23.503 [45] and establishing a PDU session described in clause 5.15.5.3 is based on the replaced S-NSSAI (not based on Alternative S-NSSAI).</w:t>
      </w:r>
    </w:p>
    <w:p w14:paraId="1765A5E4" w14:textId="5795B622" w:rsidR="003E03C2" w:rsidRPr="00873B6C" w:rsidRDefault="003E03C2" w:rsidP="003E03C2">
      <w:r w:rsidRPr="00873B6C">
        <w:lastRenderedPageBreak/>
        <w:t>During a new PDU Session establishment procedure</w:t>
      </w:r>
      <w:r w:rsidR="00357584" w:rsidRPr="00873B6C">
        <w:t xml:space="preserve"> for a</w:t>
      </w:r>
      <w:r w:rsidRPr="00873B6C">
        <w:t xml:space="preserve"> S-NSSAI,</w:t>
      </w:r>
    </w:p>
    <w:p w14:paraId="2F6C881A" w14:textId="47CF35A9" w:rsidR="003E03C2" w:rsidRPr="00873B6C" w:rsidRDefault="003E03C2" w:rsidP="00972E70">
      <w:pPr>
        <w:pStyle w:val="B1"/>
      </w:pPr>
      <w:r w:rsidRPr="00873B6C">
        <w:t>-</w:t>
      </w:r>
      <w:r w:rsidRPr="00873B6C">
        <w:tab/>
        <w:t>if the UE</w:t>
      </w:r>
      <w:r w:rsidR="00357584" w:rsidRPr="00873B6C">
        <w:t xml:space="preserve"> has received together with the Allowed NSSAI a</w:t>
      </w:r>
      <w:r w:rsidRPr="00873B6C">
        <w:t xml:space="preserve"> mapping of the S-NSSAI to an Alternative S-NSSAI, the UE</w:t>
      </w:r>
      <w:r w:rsidR="00357584" w:rsidRPr="00873B6C">
        <w:t xml:space="preserve"> shall</w:t>
      </w:r>
      <w:r w:rsidRPr="00873B6C">
        <w:t xml:space="preserve"> provide both the Alternative S-NSSAI and the S-NSSAI in the PDU Session Establishment message. When the AMF receives the Alternative S-NSSAI and the S-NSSAI in the PDU Session Establishment message, the AMF</w:t>
      </w:r>
      <w:r w:rsidR="00965644" w:rsidRPr="00873B6C">
        <w:t xml:space="preserve"> uses SMF Selection Subscription data of the replaced S-NSSAI and selects a suitable SMF supporting Network Slice Replacement and the Alternative S-NSSAI and</w:t>
      </w:r>
      <w:r w:rsidR="00500903" w:rsidRPr="00873B6C">
        <w:t xml:space="preserve"> verifies the Alternative S-NSSAI and the S-NSSAI based on the UE context and</w:t>
      </w:r>
      <w:r w:rsidRPr="00873B6C">
        <w:t xml:space="preserve"> includes both the Alternative S-NSSAI and the S-NSSAI to the SMF</w:t>
      </w:r>
      <w:r w:rsidR="00357584" w:rsidRPr="00873B6C">
        <w:t xml:space="preserve"> in Nsmf_PDUSession_CreateSMContext service operation</w:t>
      </w:r>
      <w:r w:rsidRPr="00873B6C">
        <w:t>.</w:t>
      </w:r>
    </w:p>
    <w:p w14:paraId="23EFE3D3" w14:textId="50BE8DFE" w:rsidR="003E03C2" w:rsidRPr="00873B6C" w:rsidRDefault="003E03C2" w:rsidP="00972E70">
      <w:pPr>
        <w:pStyle w:val="B1"/>
      </w:pPr>
      <w:r w:rsidRPr="00873B6C">
        <w:t>-</w:t>
      </w:r>
      <w:r w:rsidRPr="00873B6C">
        <w:tab/>
        <w:t>if the UE</w:t>
      </w:r>
      <w:r w:rsidR="00357584" w:rsidRPr="00873B6C">
        <w:t xml:space="preserve"> has not yet received with the Allowed NSSAI a</w:t>
      </w:r>
      <w:r w:rsidRPr="00873B6C">
        <w:t xml:space="preserve"> mapping of the S-NSSAI to the Alternative S-NSSAI, the UE provides</w:t>
      </w:r>
      <w:r w:rsidR="00357584" w:rsidRPr="00873B6C">
        <w:t xml:space="preserve"> only</w:t>
      </w:r>
      <w:r w:rsidRPr="00873B6C">
        <w:t xml:space="preserve"> the S-NSSAI in the PDU Session Establishment message. </w:t>
      </w:r>
      <w:r w:rsidR="00357584" w:rsidRPr="00873B6C">
        <w:t xml:space="preserve">If </w:t>
      </w:r>
      <w:r w:rsidRPr="00873B6C">
        <w:t>the AMF determines that the requested S-NSSAI is to be replaced with the Alternative S-NSSAI and if the UE supports Network Slice Replacement, the AMF performs UE Configuration Update procedure to reconfigure the UE with the Alternative S-NSSAI. The AMF continues the PDU Session establishment procedure with the Alternative S-NSSAI and</w:t>
      </w:r>
      <w:r w:rsidR="00965644" w:rsidRPr="00873B6C">
        <w:t xml:space="preserve"> uses SMF Selection Subscription data of the replaced S-NSSAI and selects a suitable SMF supporting Network Slice Replacement and the Alternative S-NSSAI. The AMF</w:t>
      </w:r>
      <w:r w:rsidRPr="00873B6C">
        <w:t xml:space="preserve"> provides both the Alternative S-NSSAI and the S-NSSAI to the SMF</w:t>
      </w:r>
      <w:r w:rsidR="00357584" w:rsidRPr="00873B6C">
        <w:t xml:space="preserve"> in Nsmf_PDUSession_CreateSMContext service operation</w:t>
      </w:r>
      <w:r w:rsidRPr="00873B6C">
        <w:t>.</w:t>
      </w:r>
    </w:p>
    <w:p w14:paraId="4847B674" w14:textId="1A6619A8" w:rsidR="003E03C2" w:rsidRPr="00873B6C" w:rsidRDefault="003E03C2" w:rsidP="003E03C2">
      <w:r w:rsidRPr="00873B6C">
        <w:t>The SMF proceeds with the PDU Session establishment using the Alternative S-NSSAI</w:t>
      </w:r>
      <w:r w:rsidR="00965644" w:rsidRPr="00873B6C">
        <w:t xml:space="preserve"> and the received DNN. The SMF retrieves subscription data by using the replaced S-NSSAI and the DNN. The SMF uses replaced S-NSSAI value when the SMF registers the PDU Session to the UDM</w:t>
      </w:r>
      <w:r w:rsidRPr="00873B6C">
        <w:t>. The SMF sends the Alternative S-NSSAI to NG-RAN in N2 SM information and to UE in PDU Session Establishment Accept message.</w:t>
      </w:r>
    </w:p>
    <w:p w14:paraId="5B484B15" w14:textId="7312F224" w:rsidR="00965644" w:rsidRPr="00873B6C" w:rsidRDefault="00965644" w:rsidP="00965644">
      <w:pPr>
        <w:pStyle w:val="NO"/>
      </w:pPr>
      <w:r w:rsidRPr="00873B6C">
        <w:t>NOTE 7:</w:t>
      </w:r>
      <w:r w:rsidRPr="00873B6C">
        <w:tab/>
        <w:t>It is assumed that the operator configures their network so that the Alternative S-NSSAI is selected to ensure that the selected SMF by using the Alternative S-NSSAI supports necessary capabilities according to the replaced S-NSSAI subscription data.</w:t>
      </w:r>
    </w:p>
    <w:p w14:paraId="3E35440C" w14:textId="57823D7B" w:rsidR="003E03C2" w:rsidRPr="00873B6C" w:rsidRDefault="003E03C2" w:rsidP="003E03C2">
      <w:r w:rsidRPr="00873B6C">
        <w:t>For existing PDU Session associated with an S-NSSAI that is replaced with the Alternative S-NSSAI, after the AMF sends mapping of the S-NSSAI to the Alternative S-NSSAI to the supporting UE in UE Configuration Update message, the AMF sends updates to the SMF of the PDU Session, e.g. triggering Nsmf_PDUSession_UpdateSMContext service operation, that the PDU Session is to be transferred to Alternative S-NSSAI and includes the Alternative S-NSSAI as follows (see details in clause 4.3.</w:t>
      </w:r>
      <w:r w:rsidR="00114986" w:rsidRPr="00873B6C">
        <w:t>3</w:t>
      </w:r>
      <w:r w:rsidRPr="00873B6C">
        <w:t xml:space="preserve"> of </w:t>
      </w:r>
      <w:r w:rsidR="00972E70" w:rsidRPr="00873B6C">
        <w:t>TS 23.502 [</w:t>
      </w:r>
      <w:r w:rsidRPr="00873B6C">
        <w:t>3]):</w:t>
      </w:r>
    </w:p>
    <w:p w14:paraId="583DD769" w14:textId="3E94CDE6" w:rsidR="003E03C2" w:rsidRPr="00873B6C" w:rsidRDefault="003E03C2" w:rsidP="00972E70">
      <w:pPr>
        <w:pStyle w:val="B1"/>
      </w:pPr>
      <w:r w:rsidRPr="00873B6C">
        <w:t>-</w:t>
      </w:r>
      <w:r w:rsidRPr="00873B6C">
        <w:tab/>
        <w:t xml:space="preserve">If the SMF determines that the PDU Session </w:t>
      </w:r>
      <w:r w:rsidR="0004047F" w:rsidRPr="00873B6C">
        <w:t xml:space="preserve">is </w:t>
      </w:r>
      <w:r w:rsidRPr="00873B6C">
        <w:t>to be retained (e.g. if the anchor UPF can be reused with the alternative S-NSSAI and SSC mode 1), the SMF sends the Alternative S-NSSAI to the UPF in the N4 message, to the NG-RAN in N2 message and to the supporting UE in PDU Session Modification Command message.</w:t>
      </w:r>
      <w:r w:rsidR="0004047F" w:rsidRPr="00873B6C">
        <w:t xml:space="preserve"> The S-NSSAI provided to the (R)AN and to the UPF is the Alternative S-NSSAI.</w:t>
      </w:r>
    </w:p>
    <w:p w14:paraId="394177C9" w14:textId="6DABB410" w:rsidR="003E03C2" w:rsidRPr="00873B6C" w:rsidRDefault="003E03C2" w:rsidP="00972E70">
      <w:pPr>
        <w:pStyle w:val="B1"/>
      </w:pPr>
      <w:r w:rsidRPr="00873B6C">
        <w:t>-</w:t>
      </w:r>
      <w:r w:rsidRPr="00873B6C">
        <w:tab/>
        <w:t xml:space="preserve">If the SMF determines that the PDU Session </w:t>
      </w:r>
      <w:r w:rsidR="0004047F" w:rsidRPr="00873B6C">
        <w:t xml:space="preserve">is </w:t>
      </w:r>
      <w:r w:rsidRPr="00873B6C">
        <w:t>to be re-established, the SMF sends the Alternative S-NSSAI to the supporting UE either in PDU Session Modification Command if the PDU Session is of SSC mode 3, or in PDU Session Release if the PDU Session is of SSC mode 2 or SSC mode 1, to trigger the re-establishment of the PDU Session. The UE includes both, the S-NSSAI and the Alternative S-NSSAI in the PDU Session Establishment message.</w:t>
      </w:r>
    </w:p>
    <w:p w14:paraId="29EFCD8D" w14:textId="30CED3E0" w:rsidR="00500903" w:rsidRPr="00873B6C" w:rsidRDefault="00500903" w:rsidP="003E03C2">
      <w:r w:rsidRPr="00873B6C">
        <w:t>During registration procedure, the Requested NSSAI may include Alternative S-NSSAI(s) that are not subscribed S-NSSAI(s). In addition to the behaviour described in clause 5.15.5.2.1, the AMF verifies if S-NSSAI(s) in the Requested NSSAI are either subscribed S-NSSAI(s) or Alternative S-NSSAI(s) in UE context and based on the verification, the AMF determines whether to update the UE configuration.</w:t>
      </w:r>
    </w:p>
    <w:p w14:paraId="23D860BB" w14:textId="104FB89B" w:rsidR="00357584" w:rsidRPr="00873B6C" w:rsidRDefault="003E03C2" w:rsidP="003E03C2">
      <w:r w:rsidRPr="00873B6C">
        <w:t xml:space="preserve">When the AMF is notified that the S-NSSAI is available again </w:t>
      </w:r>
      <w:r w:rsidR="00357584" w:rsidRPr="00873B6C">
        <w:t xml:space="preserve">(e.g. </w:t>
      </w:r>
      <w:r w:rsidRPr="00873B6C">
        <w:t>the congestion of the S-NSSAI has been mitigated</w:t>
      </w:r>
      <w:r w:rsidR="00357584" w:rsidRPr="00873B6C">
        <w:t>)</w:t>
      </w:r>
      <w:r w:rsidRPr="00873B6C">
        <w:t>, if the AMF has configured the supporting UE with the Alternative S-NSSAI</w:t>
      </w:r>
      <w:r w:rsidR="00472CD7" w:rsidRPr="00873B6C">
        <w:t xml:space="preserve"> and</w:t>
      </w:r>
      <w:r w:rsidRPr="00873B6C">
        <w:t xml:space="preserve"> the AMF determines for the UE</w:t>
      </w:r>
      <w:r w:rsidR="00500903" w:rsidRPr="00873B6C">
        <w:t xml:space="preserve"> in CM-CONNECTED state</w:t>
      </w:r>
      <w:r w:rsidRPr="00873B6C">
        <w:t xml:space="preserve"> to use the</w:t>
      </w:r>
      <w:r w:rsidR="00357584" w:rsidRPr="00873B6C">
        <w:t xml:space="preserve"> replaced</w:t>
      </w:r>
      <w:r w:rsidRPr="00873B6C">
        <w:t xml:space="preserve"> S-NSSAI again, the AMF reconfigures the supporting UE (e.g. by using UE Configuration Update</w:t>
      </w:r>
      <w:r w:rsidR="00357584" w:rsidRPr="00873B6C">
        <w:t xml:space="preserve"> procedure or in the next registration procedure</w:t>
      </w:r>
      <w:r w:rsidRPr="00873B6C">
        <w:t>) to use the</w:t>
      </w:r>
      <w:r w:rsidR="00357584" w:rsidRPr="00873B6C">
        <w:t xml:space="preserve"> replaced</w:t>
      </w:r>
      <w:r w:rsidRPr="00873B6C">
        <w:t xml:space="preserve"> S-NSSAI</w:t>
      </w:r>
      <w:r w:rsidR="00357584" w:rsidRPr="00873B6C">
        <w:t xml:space="preserve"> again by removing the mapping of the replaced S-NSSAI to Alternative S-NSSAI</w:t>
      </w:r>
      <w:r w:rsidR="00516747" w:rsidRPr="00873B6C">
        <w:t xml:space="preserve"> and removing the Alternative S-NSSAI from the Allowed NSSAI if the Alternative S-NSSAI is only used for the Network Slice Replacement. The AMF also removes the Alternative S-NSSAI from the Configured NSSAI if the Alternative S-NSSAI is not one of the Subscribed S-NSSAIs</w:t>
      </w:r>
      <w:r w:rsidR="00153C7D" w:rsidRPr="00873B6C">
        <w:t xml:space="preserve"> and the Alternative S-NSSAI is not used in any Access Type</w:t>
      </w:r>
      <w:r w:rsidRPr="00873B6C">
        <w:t>.</w:t>
      </w:r>
      <w:r w:rsidR="00500903" w:rsidRPr="00873B6C">
        <w:t xml:space="preserve"> If the UE is in CM-IDLE, the AMF can wait until the UE in CM-CONNECTED state as described in clause 5.23. When the UE establishes a NAS signalling connection, e.g. through a Service Request procedure or through a UE registration procedure, the AMF reconfigures the UE.</w:t>
      </w:r>
    </w:p>
    <w:p w14:paraId="7B280EB6" w14:textId="1EFB9DD3" w:rsidR="003E03C2" w:rsidRPr="00873B6C" w:rsidRDefault="003E03C2" w:rsidP="003E03C2">
      <w:r w:rsidRPr="00873B6C">
        <w:t>If there is an existing PDU Session associated with the Alternative S-NSSAI</w:t>
      </w:r>
      <w:r w:rsidR="00500903" w:rsidRPr="00873B6C">
        <w:t xml:space="preserve"> for the S-NSSAI being available again or not congested anymore</w:t>
      </w:r>
      <w:r w:rsidRPr="00873B6C">
        <w:t>, the AMF updates the SMF</w:t>
      </w:r>
      <w:r w:rsidR="00357584" w:rsidRPr="00873B6C">
        <w:t>(s)</w:t>
      </w:r>
      <w:r w:rsidRPr="00873B6C">
        <w:t xml:space="preserve"> of the PDU Session</w:t>
      </w:r>
      <w:r w:rsidR="00357584" w:rsidRPr="00873B6C">
        <w:t>(s)</w:t>
      </w:r>
      <w:r w:rsidRPr="00873B6C">
        <w:t xml:space="preserve">, </w:t>
      </w:r>
      <w:r w:rsidR="00357584" w:rsidRPr="00873B6C">
        <w:t xml:space="preserve">by </w:t>
      </w:r>
      <w:r w:rsidRPr="00873B6C">
        <w:t xml:space="preserve">Nsmf_PDUSession_UpdateSMContext </w:t>
      </w:r>
      <w:r w:rsidRPr="00873B6C">
        <w:lastRenderedPageBreak/>
        <w:t xml:space="preserve">service operation, </w:t>
      </w:r>
      <w:r w:rsidR="00357584" w:rsidRPr="00873B6C">
        <w:t xml:space="preserve">causing </w:t>
      </w:r>
      <w:r w:rsidRPr="00873B6C">
        <w:t>the PDU Session to be transferred to the</w:t>
      </w:r>
      <w:r w:rsidR="00500903" w:rsidRPr="00873B6C">
        <w:t xml:space="preserve"> replaced</w:t>
      </w:r>
      <w:r w:rsidRPr="00873B6C">
        <w:t xml:space="preserve"> S-NSSAI.</w:t>
      </w:r>
      <w:r w:rsidR="004119E4" w:rsidRPr="00873B6C">
        <w:t xml:space="preserve"> The event trigger in SMF for interacting with PCF is described in clause 6.1.3.5 of TS 23.503 [45].</w:t>
      </w:r>
    </w:p>
    <w:p w14:paraId="37325DB8" w14:textId="77777777" w:rsidR="00500903" w:rsidRPr="00873B6C" w:rsidRDefault="00500903" w:rsidP="00745A3E">
      <w:pPr>
        <w:pStyle w:val="B1"/>
      </w:pPr>
      <w:r w:rsidRPr="00873B6C">
        <w:t>-</w:t>
      </w:r>
      <w:r w:rsidRPr="00873B6C">
        <w:tab/>
        <w:t>If the SMF determines that the PDU Session is to be retained (e.g. if the anchor UPF can be reused with the replaced S-NSSAI and SSC mode 1), the SMF sends the replaced S-NSSAI i.e. does not include Alternative S-NSSAI to the UPF in the N4 message, to the NG-RAN in N2 message and to the supporting UE in PDU Session Modification Command message. The S-NSSAI provided to the (R)AN and to the UPF is the replaced S-NSSAI.</w:t>
      </w:r>
    </w:p>
    <w:p w14:paraId="7800550C" w14:textId="77777777" w:rsidR="00500903" w:rsidRPr="00873B6C" w:rsidRDefault="00500903" w:rsidP="00745A3E">
      <w:pPr>
        <w:pStyle w:val="B1"/>
      </w:pPr>
      <w:r w:rsidRPr="00873B6C">
        <w:t>-</w:t>
      </w:r>
      <w:r w:rsidRPr="00873B6C">
        <w:tab/>
        <w:t>If the SMF determines that the PDU Session is to be re-established, the SMF sends the replaced S-NSSAI (i.e. does not include Alternative S-NSSAI) to the supporting UE either in PDU Session Modification Command if the PDU Session is of SSC mode 3, or in PDU Session Release if the PDU Session is of SSC mode 2 or SSC mode 1, to trigger the re-establishment of the PDU Session. The UE includes the replaced S-NSSAI in the PDU Session Establishment message.</w:t>
      </w:r>
    </w:p>
    <w:p w14:paraId="69512ED1" w14:textId="4B6EE2D1" w:rsidR="00252264" w:rsidRPr="00873B6C" w:rsidRDefault="00252264" w:rsidP="005A13C0">
      <w:r w:rsidRPr="00873B6C">
        <w:t>During a handover procedure, if an S-NSSAI has to be replaced with an Alternative S-NSSAI, the handover procedure (including any PDU session associated with the S-NSSAI to be replaced) shall continue unaffected by the Network Slice Replacement. Any Network Slice Replacement for the S-NSSAI shall not take place during the handover.</w:t>
      </w:r>
    </w:p>
    <w:p w14:paraId="364140A4" w14:textId="5915AA65" w:rsidR="004119E4" w:rsidRPr="00873B6C" w:rsidRDefault="004119E4" w:rsidP="004119E4">
      <w:r w:rsidRPr="00873B6C">
        <w:t>During NSSAA re-authentication procedure for an S-NSSAI, if the S-NSSAI has to be replaced with Alternative S-NSSAI, the AMF shall continue with the NSSAA procedure unaffected by the Network Slice Replacement and the AMF executes the Network Slice Replacement after the NSSAA procedure is completed.</w:t>
      </w:r>
    </w:p>
    <w:p w14:paraId="663CEC5D" w14:textId="6B4B0129" w:rsidR="00456BDF" w:rsidRPr="00873B6C" w:rsidRDefault="00456BDF" w:rsidP="00456BDF">
      <w:r w:rsidRPr="00873B6C">
        <w:t>If NSAC for maximum number of PDU sessions is configured for the replaced S-NSSAI and/or the Alternative S-NSSAI, the SMF performs NSAC by interacting with the NSACF of the replaced S-NSSAI and/or the NSACF of the Alternative S-NSSAI based on operator determined policies configured in the SMF (e.g. for the increase of Alternative S-NSSAI and the decrease of replaced S-NSSAI).</w:t>
      </w:r>
    </w:p>
    <w:p w14:paraId="1B6A55CF" w14:textId="4FBD851E" w:rsidR="008056BA" w:rsidRPr="00873B6C" w:rsidRDefault="008056BA" w:rsidP="008056BA">
      <w:r w:rsidRPr="00873B6C">
        <w:t>The UE and the AMF locally removes the mapping of the replaced S-NSSAI and the Alternative S-NSSAI in an access type when the replaced S-NSSAI or alternative S-NSSAI is removed from the allowed NSSAI due to slice deregistration inactivity timer expiry over corresponding access type as described in clause 5.15.15.</w:t>
      </w:r>
    </w:p>
    <w:p w14:paraId="0565B4C1" w14:textId="2C3A4FA2" w:rsidR="00114986" w:rsidRPr="00873B6C" w:rsidRDefault="00114986" w:rsidP="00114986">
      <w:pPr>
        <w:pStyle w:val="Heading3"/>
      </w:pPr>
      <w:bookmarkStart w:id="2836" w:name="_CR5_15_20"/>
      <w:bookmarkStart w:id="2837" w:name="_Toc201157316"/>
      <w:bookmarkEnd w:id="2836"/>
      <w:r w:rsidRPr="00873B6C">
        <w:t>5.15.20</w:t>
      </w:r>
      <w:r w:rsidRPr="00873B6C">
        <w:tab/>
        <w:t>Support of Network Slice Instance Replacement</w:t>
      </w:r>
      <w:bookmarkEnd w:id="2837"/>
    </w:p>
    <w:p w14:paraId="1F12B6FF" w14:textId="57EA12E7" w:rsidR="00114986" w:rsidRPr="00873B6C" w:rsidRDefault="00114986" w:rsidP="005A13C0">
      <w:r w:rsidRPr="00873B6C">
        <w:t>The Network Slice Instance Replacement is used when a PDU Session for a given S-NSSAI is established using a selected Network Slice instance and the S-NSSAI corresponding to this Network Slice instance is associated with multiple Network Slice instances. In this case, the network may change the Network Slice instance for the S-NSSAI if the selected Network Slice instance is no longer available (e.g. due to overload). The AMF may subscribe with the NSSF for notifications when any of the Network Slice instances served by the AMF is congested or no longer available. In case of roaming, the NSSF of VPLMN subscribes with the NSSF of the HPLMN for notifications. When the NSSF notifies the AMF that a Network Slice instance is congested or no longer available, for some of PDU Sessions associated with the Network Slice instance that is no longer available, the AMF may delete old NSI ID corresponding to the Network Slice instance that is no longer available and the SMF of the PDU Session(s) selected by using such old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t>
      </w:r>
    </w:p>
    <w:p w14:paraId="42FBFD8C" w14:textId="08FE339D" w:rsidR="00D40151" w:rsidRPr="00873B6C" w:rsidRDefault="00D40151" w:rsidP="00D40151">
      <w:pPr>
        <w:pStyle w:val="Heading2"/>
      </w:pPr>
      <w:bookmarkStart w:id="2838" w:name="_CR5_16"/>
      <w:bookmarkStart w:id="2839" w:name="_Toc201157317"/>
      <w:bookmarkEnd w:id="2838"/>
      <w:r w:rsidRPr="00873B6C">
        <w:t>5.16</w:t>
      </w:r>
      <w:r w:rsidRPr="00873B6C">
        <w:tab/>
        <w:t>Support for specific services</w:t>
      </w:r>
      <w:bookmarkEnd w:id="2763"/>
      <w:bookmarkEnd w:id="2764"/>
      <w:bookmarkEnd w:id="2765"/>
      <w:bookmarkEnd w:id="2766"/>
      <w:bookmarkEnd w:id="2767"/>
      <w:bookmarkEnd w:id="2768"/>
      <w:bookmarkEnd w:id="2839"/>
    </w:p>
    <w:p w14:paraId="583AC44A" w14:textId="77777777" w:rsidR="00D40151" w:rsidRPr="00873B6C" w:rsidRDefault="00D40151" w:rsidP="00D40151">
      <w:pPr>
        <w:pStyle w:val="Heading3"/>
      </w:pPr>
      <w:bookmarkStart w:id="2840" w:name="_CR5_16_1"/>
      <w:bookmarkStart w:id="2841" w:name="_Toc20149932"/>
      <w:bookmarkStart w:id="2842" w:name="_Toc27846731"/>
      <w:bookmarkStart w:id="2843" w:name="_Toc36187862"/>
      <w:bookmarkStart w:id="2844" w:name="_Toc45183766"/>
      <w:bookmarkStart w:id="2845" w:name="_Toc47342608"/>
      <w:bookmarkStart w:id="2846" w:name="_Toc51769309"/>
      <w:bookmarkStart w:id="2847" w:name="_Toc201157318"/>
      <w:bookmarkEnd w:id="2840"/>
      <w:r w:rsidRPr="00873B6C">
        <w:t>5.16.1</w:t>
      </w:r>
      <w:r w:rsidRPr="00873B6C">
        <w:tab/>
        <w:t>Public Warning System</w:t>
      </w:r>
      <w:bookmarkEnd w:id="2841"/>
      <w:bookmarkEnd w:id="2842"/>
      <w:bookmarkEnd w:id="2843"/>
      <w:bookmarkEnd w:id="2844"/>
      <w:bookmarkEnd w:id="2845"/>
      <w:bookmarkEnd w:id="2846"/>
      <w:bookmarkEnd w:id="2847"/>
    </w:p>
    <w:p w14:paraId="61894251" w14:textId="2E97F477" w:rsidR="00D40151" w:rsidRPr="00873B6C" w:rsidRDefault="00D40151" w:rsidP="00D40151">
      <w:r w:rsidRPr="00873B6C">
        <w:t xml:space="preserve">The functional description for supporting Public Warning System for 5G System can be found in </w:t>
      </w:r>
      <w:r w:rsidR="00972E70" w:rsidRPr="00873B6C">
        <w:t>TS 23.041 [</w:t>
      </w:r>
      <w:r w:rsidRPr="00873B6C">
        <w:t>46].</w:t>
      </w:r>
    </w:p>
    <w:p w14:paraId="69C20BCB" w14:textId="77777777" w:rsidR="00D40151" w:rsidRPr="00873B6C" w:rsidRDefault="00D40151" w:rsidP="00D40151">
      <w:pPr>
        <w:pStyle w:val="Heading3"/>
      </w:pPr>
      <w:bookmarkStart w:id="2848" w:name="_CR5_16_2"/>
      <w:bookmarkStart w:id="2849" w:name="_Toc20149933"/>
      <w:bookmarkStart w:id="2850" w:name="_Toc27846732"/>
      <w:bookmarkStart w:id="2851" w:name="_Toc36187863"/>
      <w:bookmarkStart w:id="2852" w:name="_Toc45183767"/>
      <w:bookmarkStart w:id="2853" w:name="_Toc47342609"/>
      <w:bookmarkStart w:id="2854" w:name="_Toc51769310"/>
      <w:bookmarkStart w:id="2855" w:name="_Toc201157319"/>
      <w:bookmarkEnd w:id="2848"/>
      <w:r w:rsidRPr="00873B6C">
        <w:t>5.16.2</w:t>
      </w:r>
      <w:r w:rsidRPr="00873B6C">
        <w:tab/>
        <w:t>SMS over NAS</w:t>
      </w:r>
      <w:bookmarkEnd w:id="2849"/>
      <w:bookmarkEnd w:id="2850"/>
      <w:bookmarkEnd w:id="2851"/>
      <w:bookmarkEnd w:id="2852"/>
      <w:bookmarkEnd w:id="2853"/>
      <w:bookmarkEnd w:id="2854"/>
      <w:bookmarkEnd w:id="2855"/>
    </w:p>
    <w:p w14:paraId="544B59F0" w14:textId="77777777" w:rsidR="00D40151" w:rsidRPr="00873B6C" w:rsidRDefault="00D40151" w:rsidP="00D40151">
      <w:pPr>
        <w:pStyle w:val="Heading4"/>
      </w:pPr>
      <w:bookmarkStart w:id="2856" w:name="_CR5_16_2_1"/>
      <w:bookmarkStart w:id="2857" w:name="_Toc20149934"/>
      <w:bookmarkStart w:id="2858" w:name="_Toc27846733"/>
      <w:bookmarkStart w:id="2859" w:name="_Toc36187864"/>
      <w:bookmarkStart w:id="2860" w:name="_Toc45183768"/>
      <w:bookmarkStart w:id="2861" w:name="_Toc47342610"/>
      <w:bookmarkStart w:id="2862" w:name="_Toc51769311"/>
      <w:bookmarkStart w:id="2863" w:name="_Toc201157320"/>
      <w:bookmarkEnd w:id="2856"/>
      <w:r w:rsidRPr="00873B6C">
        <w:t>5.16.2.1</w:t>
      </w:r>
      <w:r w:rsidRPr="00873B6C">
        <w:tab/>
        <w:t>General</w:t>
      </w:r>
      <w:bookmarkEnd w:id="2857"/>
      <w:bookmarkEnd w:id="2858"/>
      <w:bookmarkEnd w:id="2859"/>
      <w:bookmarkEnd w:id="2860"/>
      <w:bookmarkEnd w:id="2861"/>
      <w:bookmarkEnd w:id="2862"/>
      <w:bookmarkEnd w:id="2863"/>
    </w:p>
    <w:p w14:paraId="69C63B4E" w14:textId="77777777" w:rsidR="00D40151" w:rsidRPr="00873B6C" w:rsidRDefault="00D40151" w:rsidP="00D40151">
      <w:r w:rsidRPr="00873B6C">
        <w:t>This clause includes feature description for supporting SMS over NAS in 5G System. Support for SMS incurs the following functionality:</w:t>
      </w:r>
    </w:p>
    <w:p w14:paraId="74DE077C" w14:textId="77777777" w:rsidR="00D40151" w:rsidRPr="00873B6C" w:rsidRDefault="00D40151" w:rsidP="00D40151">
      <w:pPr>
        <w:pStyle w:val="B1"/>
      </w:pPr>
      <w:r w:rsidRPr="00873B6C">
        <w:lastRenderedPageBreak/>
        <w:t>-</w:t>
      </w:r>
      <w:r w:rsidRPr="00873B6C">
        <w:tab/>
        <w:t>Support for SMS over NAS transport between UE and AMF. This applies to both 3GPP and Non 3GPP accesses.</w:t>
      </w:r>
    </w:p>
    <w:p w14:paraId="04D20C52" w14:textId="77777777" w:rsidR="00D40151" w:rsidRPr="00873B6C" w:rsidRDefault="00D40151" w:rsidP="00D40151">
      <w:pPr>
        <w:pStyle w:val="B1"/>
      </w:pPr>
      <w:r w:rsidRPr="00873B6C">
        <w:t>-</w:t>
      </w:r>
      <w:r w:rsidRPr="00873B6C">
        <w:tab/>
        <w:t>Support for AMF determining the SMSF for a given UE.</w:t>
      </w:r>
    </w:p>
    <w:p w14:paraId="092F6B67" w14:textId="77777777" w:rsidR="00D40151" w:rsidRPr="00873B6C" w:rsidRDefault="00D40151" w:rsidP="00D40151">
      <w:pPr>
        <w:pStyle w:val="B1"/>
      </w:pPr>
      <w:r w:rsidRPr="00873B6C">
        <w:t>-</w:t>
      </w:r>
      <w:r w:rsidRPr="00873B6C">
        <w:tab/>
        <w:t>Support for subscription checking and actual transmission of MO/MT-SMS transfer by the SMSF.</w:t>
      </w:r>
    </w:p>
    <w:p w14:paraId="7B37F813" w14:textId="77777777" w:rsidR="00D40151" w:rsidRPr="00873B6C" w:rsidRDefault="00D40151" w:rsidP="00D40151">
      <w:pPr>
        <w:pStyle w:val="B1"/>
      </w:pPr>
      <w:r w:rsidRPr="00873B6C">
        <w:t>-</w:t>
      </w:r>
      <w:r w:rsidRPr="00873B6C">
        <w:tab/>
        <w:t>Support for MO/MT-SMS transmission for both roaming and non-roaming scenarios.</w:t>
      </w:r>
    </w:p>
    <w:p w14:paraId="2D34F0CE" w14:textId="77777777" w:rsidR="00D40151" w:rsidRPr="00873B6C" w:rsidRDefault="00D40151" w:rsidP="00D40151">
      <w:pPr>
        <w:pStyle w:val="B1"/>
      </w:pPr>
      <w:r w:rsidRPr="00873B6C">
        <w:rPr>
          <w:rFonts w:eastAsia="SimSun"/>
        </w:rPr>
        <w:t>-</w:t>
      </w:r>
      <w:r w:rsidRPr="00873B6C">
        <w:rPr>
          <w:rFonts w:eastAsia="SimSun"/>
        </w:rPr>
        <w:tab/>
        <w:t>Support for selecting proper domains for MT SMS message delivery including initial delivery and re-attempting in other domains.</w:t>
      </w:r>
    </w:p>
    <w:p w14:paraId="6306EB12" w14:textId="77777777" w:rsidR="00D40151" w:rsidRPr="00873B6C" w:rsidRDefault="00D40151" w:rsidP="00D40151">
      <w:pPr>
        <w:pStyle w:val="Heading4"/>
      </w:pPr>
      <w:bookmarkStart w:id="2864" w:name="_CR5_16_2_2"/>
      <w:bookmarkStart w:id="2865" w:name="_Toc20149935"/>
      <w:bookmarkStart w:id="2866" w:name="_Toc27846734"/>
      <w:bookmarkStart w:id="2867" w:name="_Toc36187865"/>
      <w:bookmarkStart w:id="2868" w:name="_Toc45183769"/>
      <w:bookmarkStart w:id="2869" w:name="_Toc47342611"/>
      <w:bookmarkStart w:id="2870" w:name="_Toc51769312"/>
      <w:bookmarkStart w:id="2871" w:name="_Toc201157321"/>
      <w:bookmarkEnd w:id="2864"/>
      <w:r w:rsidRPr="00873B6C">
        <w:t>5.16.2.2</w:t>
      </w:r>
      <w:r w:rsidRPr="00873B6C">
        <w:tab/>
        <w:t>SMS over NAS transport</w:t>
      </w:r>
      <w:bookmarkEnd w:id="2865"/>
      <w:bookmarkEnd w:id="2866"/>
      <w:bookmarkEnd w:id="2867"/>
      <w:bookmarkEnd w:id="2868"/>
      <w:bookmarkEnd w:id="2869"/>
      <w:bookmarkEnd w:id="2870"/>
      <w:bookmarkEnd w:id="2871"/>
    </w:p>
    <w:p w14:paraId="1B750262" w14:textId="77777777" w:rsidR="00D40151" w:rsidRPr="00873B6C" w:rsidRDefault="00D40151" w:rsidP="00D40151">
      <w:r w:rsidRPr="00873B6C">
        <w:t>5G System supports SMS over NAS via both 3GPP access and non-3GPP access.</w:t>
      </w:r>
    </w:p>
    <w:p w14:paraId="72E93234" w14:textId="3C237538" w:rsidR="00D40151" w:rsidRPr="00873B6C" w:rsidRDefault="00D40151" w:rsidP="00D40151">
      <w:r w:rsidRPr="00873B6C">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w:t>
      </w:r>
      <w:r w:rsidR="00472CD7" w:rsidRPr="00873B6C">
        <w:t xml:space="preserve"> and</w:t>
      </w:r>
      <w:r w:rsidRPr="00873B6C">
        <w:t xml:space="preserve"> whether SMS delivery over NAS is accepted by the network.</w:t>
      </w:r>
    </w:p>
    <w:p w14:paraId="7737F577" w14:textId="77777777" w:rsidR="00D40151" w:rsidRPr="00873B6C" w:rsidRDefault="00D40151" w:rsidP="00D40151">
      <w:r w:rsidRPr="00873B6C">
        <w:t>SMS is transported via NAS transport message, which can carry SMS messages as payload.</w:t>
      </w:r>
    </w:p>
    <w:p w14:paraId="38D0CABF" w14:textId="77777777" w:rsidR="00D40151" w:rsidRPr="00873B6C" w:rsidRDefault="00D40151" w:rsidP="00D40151">
      <w:pPr>
        <w:pStyle w:val="Heading3"/>
      </w:pPr>
      <w:bookmarkStart w:id="2872" w:name="_CR5_16_3"/>
      <w:bookmarkStart w:id="2873" w:name="_Toc20149936"/>
      <w:bookmarkStart w:id="2874" w:name="_Toc27846735"/>
      <w:bookmarkStart w:id="2875" w:name="_Toc36187866"/>
      <w:bookmarkStart w:id="2876" w:name="_Toc45183770"/>
      <w:bookmarkStart w:id="2877" w:name="_Toc47342612"/>
      <w:bookmarkStart w:id="2878" w:name="_Toc51769313"/>
      <w:bookmarkStart w:id="2879" w:name="_Toc201157322"/>
      <w:bookmarkEnd w:id="2872"/>
      <w:r w:rsidRPr="00873B6C">
        <w:t>5.16.3</w:t>
      </w:r>
      <w:r w:rsidRPr="00873B6C">
        <w:tab/>
        <w:t>IMS support</w:t>
      </w:r>
      <w:bookmarkEnd w:id="2873"/>
      <w:bookmarkEnd w:id="2874"/>
      <w:bookmarkEnd w:id="2875"/>
      <w:bookmarkEnd w:id="2876"/>
      <w:bookmarkEnd w:id="2877"/>
      <w:bookmarkEnd w:id="2878"/>
      <w:bookmarkEnd w:id="2879"/>
    </w:p>
    <w:p w14:paraId="3CFEC63F" w14:textId="77777777" w:rsidR="00D40151" w:rsidRPr="00873B6C" w:rsidRDefault="00D40151" w:rsidP="00D40151">
      <w:pPr>
        <w:pStyle w:val="Heading4"/>
        <w:rPr>
          <w:rFonts w:eastAsia="SimSun"/>
          <w:lang w:eastAsia="zh-CN"/>
        </w:rPr>
      </w:pPr>
      <w:bookmarkStart w:id="2880" w:name="_CR5_16_3_1"/>
      <w:bookmarkStart w:id="2881" w:name="_Toc20149937"/>
      <w:bookmarkStart w:id="2882" w:name="_Toc27846736"/>
      <w:bookmarkStart w:id="2883" w:name="_Toc36187867"/>
      <w:bookmarkStart w:id="2884" w:name="_Toc45183771"/>
      <w:bookmarkStart w:id="2885" w:name="_Toc47342613"/>
      <w:bookmarkStart w:id="2886" w:name="_Toc51769314"/>
      <w:bookmarkStart w:id="2887" w:name="_Toc201157323"/>
      <w:bookmarkEnd w:id="2880"/>
      <w:r w:rsidRPr="00873B6C">
        <w:rPr>
          <w:rFonts w:eastAsia="SimSun"/>
          <w:lang w:eastAsia="zh-CN"/>
        </w:rPr>
        <w:t>5.16.3.1</w:t>
      </w:r>
      <w:r w:rsidRPr="00873B6C">
        <w:rPr>
          <w:rFonts w:eastAsia="SimSun"/>
          <w:lang w:eastAsia="zh-CN"/>
        </w:rPr>
        <w:tab/>
        <w:t>General</w:t>
      </w:r>
      <w:bookmarkEnd w:id="2881"/>
      <w:bookmarkEnd w:id="2882"/>
      <w:bookmarkEnd w:id="2883"/>
      <w:bookmarkEnd w:id="2884"/>
      <w:bookmarkEnd w:id="2885"/>
      <w:bookmarkEnd w:id="2886"/>
      <w:bookmarkEnd w:id="2887"/>
    </w:p>
    <w:p w14:paraId="150835F5" w14:textId="17040A6A" w:rsidR="00D40151" w:rsidRPr="00873B6C" w:rsidRDefault="00D40151" w:rsidP="00D40151">
      <w:pPr>
        <w:rPr>
          <w:rFonts w:eastAsia="SimSun"/>
          <w:lang w:eastAsia="zh-CN"/>
        </w:rPr>
      </w:pPr>
      <w:r w:rsidRPr="00873B6C">
        <w:t>IP-Connectivity Access Network specific concepts when using 5GS to access IMS</w:t>
      </w:r>
      <w:r w:rsidRPr="00873B6C">
        <w:rPr>
          <w:rFonts w:eastAsia="SimSun"/>
          <w:lang w:eastAsia="zh-CN"/>
        </w:rPr>
        <w:t xml:space="preserve"> can be found in </w:t>
      </w:r>
      <w:r w:rsidR="00972E70" w:rsidRPr="00873B6C">
        <w:rPr>
          <w:rFonts w:eastAsia="SimSun"/>
          <w:lang w:eastAsia="zh-CN"/>
        </w:rPr>
        <w:t>TS 23.228 [</w:t>
      </w:r>
      <w:r w:rsidRPr="00873B6C">
        <w:rPr>
          <w:rFonts w:eastAsia="SimSun"/>
          <w:lang w:eastAsia="zh-CN"/>
        </w:rPr>
        <w:t>15].</w:t>
      </w:r>
    </w:p>
    <w:p w14:paraId="770AAE06" w14:textId="77777777" w:rsidR="00D40151" w:rsidRPr="00873B6C" w:rsidRDefault="00D40151" w:rsidP="00D40151">
      <w:pPr>
        <w:rPr>
          <w:rFonts w:eastAsia="SimSun"/>
          <w:lang w:eastAsia="zh-CN"/>
        </w:rPr>
      </w:pPr>
      <w:r w:rsidRPr="00873B6C">
        <w:rPr>
          <w:rFonts w:eastAsia="SimSun"/>
          <w:lang w:eastAsia="zh-CN"/>
        </w:rPr>
        <w:t>5GS supports IMS with the following functionality:</w:t>
      </w:r>
    </w:p>
    <w:p w14:paraId="6FC31AF5" w14:textId="77777777" w:rsidR="00D40151" w:rsidRPr="00873B6C" w:rsidRDefault="00D40151" w:rsidP="00D40151">
      <w:pPr>
        <w:pStyle w:val="B1"/>
      </w:pPr>
      <w:r w:rsidRPr="00873B6C">
        <w:rPr>
          <w:rFonts w:eastAsia="SimSun"/>
          <w:lang w:eastAsia="zh-CN"/>
        </w:rPr>
        <w:t>-</w:t>
      </w:r>
      <w:r w:rsidRPr="00873B6C">
        <w:rPr>
          <w:rFonts w:eastAsia="SimSun"/>
          <w:lang w:eastAsia="zh-CN"/>
        </w:rPr>
        <w:tab/>
      </w:r>
      <w:r w:rsidRPr="00873B6C">
        <w:t>Indication toward the UE if IMS voice over PS session is supported.</w:t>
      </w:r>
    </w:p>
    <w:p w14:paraId="2AEE0FBB" w14:textId="77777777" w:rsidR="00D40151" w:rsidRPr="00873B6C" w:rsidRDefault="00D40151" w:rsidP="00D40151">
      <w:pPr>
        <w:pStyle w:val="B1"/>
      </w:pPr>
      <w:r w:rsidRPr="00873B6C">
        <w:t>-</w:t>
      </w:r>
      <w:r w:rsidRPr="00873B6C">
        <w:tab/>
        <w:t>Capability to transport the P-CSCF address(es) to UE.</w:t>
      </w:r>
    </w:p>
    <w:p w14:paraId="09DE53FA" w14:textId="69660FA9" w:rsidR="00D40151" w:rsidRPr="00873B6C" w:rsidRDefault="00D40151" w:rsidP="00D40151">
      <w:pPr>
        <w:pStyle w:val="B1"/>
      </w:pPr>
      <w:r w:rsidRPr="00873B6C">
        <w:t>-</w:t>
      </w:r>
      <w:r w:rsidRPr="00873B6C">
        <w:tab/>
        <w:t xml:space="preserve">Paging Policy Differentiation for IMS as defined in </w:t>
      </w:r>
      <w:r w:rsidR="00972E70" w:rsidRPr="00873B6C">
        <w:t>TS 23.228 [</w:t>
      </w:r>
      <w:r w:rsidRPr="00873B6C">
        <w:t>15].</w:t>
      </w:r>
    </w:p>
    <w:p w14:paraId="31484589" w14:textId="72347DE6" w:rsidR="00D40151" w:rsidRPr="00873B6C" w:rsidRDefault="00D40151" w:rsidP="00D40151">
      <w:pPr>
        <w:pStyle w:val="B1"/>
      </w:pPr>
      <w:r w:rsidRPr="00873B6C">
        <w:t>-</w:t>
      </w:r>
      <w:r w:rsidRPr="00873B6C">
        <w:tab/>
        <w:t xml:space="preserve">IMS emergency service as defined in </w:t>
      </w:r>
      <w:r w:rsidR="00972E70" w:rsidRPr="00873B6C">
        <w:t>TS 23.167 [</w:t>
      </w:r>
      <w:r w:rsidRPr="00873B6C">
        <w:t>18].</w:t>
      </w:r>
    </w:p>
    <w:p w14:paraId="3CA05696" w14:textId="77777777"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t>Domain selection for UE originating sessions.</w:t>
      </w:r>
    </w:p>
    <w:p w14:paraId="6E268CB6" w14:textId="77777777" w:rsidR="00D40151" w:rsidRPr="00873B6C" w:rsidRDefault="00D40151" w:rsidP="00D40151">
      <w:pPr>
        <w:pStyle w:val="B1"/>
      </w:pPr>
      <w:r w:rsidRPr="00873B6C">
        <w:rPr>
          <w:rFonts w:eastAsia="SimSun"/>
          <w:lang w:eastAsia="zh-CN"/>
        </w:rPr>
        <w:t>-</w:t>
      </w:r>
      <w:r w:rsidRPr="00873B6C">
        <w:rPr>
          <w:rFonts w:eastAsia="SimSun"/>
          <w:lang w:eastAsia="zh-CN"/>
        </w:rPr>
        <w:tab/>
        <w:t>Terminating domain selection for IMS voice.</w:t>
      </w:r>
    </w:p>
    <w:p w14:paraId="57F10240" w14:textId="77777777" w:rsidR="00D40151" w:rsidRPr="00873B6C" w:rsidRDefault="00D40151" w:rsidP="00D40151">
      <w:pPr>
        <w:pStyle w:val="B1"/>
      </w:pPr>
      <w:r w:rsidRPr="00873B6C">
        <w:t>-</w:t>
      </w:r>
      <w:r w:rsidRPr="00873B6C">
        <w:tab/>
        <w:t>Support of P-CSCF restoration procedure (clause 5.16.3.9).</w:t>
      </w:r>
    </w:p>
    <w:p w14:paraId="53F02CE3" w14:textId="77777777" w:rsidR="00D40151" w:rsidRPr="00873B6C" w:rsidRDefault="00D40151" w:rsidP="00D40151">
      <w:pPr>
        <w:pStyle w:val="B1"/>
      </w:pPr>
      <w:r w:rsidRPr="00873B6C">
        <w:t>-</w:t>
      </w:r>
      <w:r w:rsidRPr="00873B6C">
        <w:tab/>
        <w:t>NRF based P-CSCF discovery (clause 5.16.3.11).</w:t>
      </w:r>
    </w:p>
    <w:p w14:paraId="3FF6DFEC" w14:textId="4A54BCCA" w:rsidR="00D40151" w:rsidRPr="00873B6C" w:rsidRDefault="00D40151" w:rsidP="00D40151">
      <w:pPr>
        <w:pStyle w:val="NO"/>
      </w:pPr>
      <w:r w:rsidRPr="00873B6C">
        <w:t>NOTE:</w:t>
      </w:r>
      <w:r w:rsidRPr="00873B6C">
        <w:tab/>
        <w:t>The NRF based P-CSCF discovery has no impact on the UE, i.e. the UE does not need to know how P-CSCF IP address(es) is discovered in the network.</w:t>
      </w:r>
    </w:p>
    <w:p w14:paraId="7CF94A4E" w14:textId="77777777" w:rsidR="00D40151" w:rsidRPr="00873B6C" w:rsidRDefault="00D40151" w:rsidP="00D40151">
      <w:pPr>
        <w:pStyle w:val="B1"/>
      </w:pPr>
      <w:r w:rsidRPr="00873B6C">
        <w:t>-</w:t>
      </w:r>
      <w:r w:rsidRPr="00873B6C">
        <w:tab/>
        <w:t>NRF based HSS discovery (clause 5.16.3.12).</w:t>
      </w:r>
    </w:p>
    <w:p w14:paraId="02A48FEB" w14:textId="77777777" w:rsidR="00D40151" w:rsidRPr="00873B6C" w:rsidRDefault="00D40151" w:rsidP="00D40151">
      <w:pPr>
        <w:pStyle w:val="Heading4"/>
      </w:pPr>
      <w:bookmarkStart w:id="2888" w:name="_CR5_16_3_2"/>
      <w:bookmarkStart w:id="2889" w:name="_Toc20149938"/>
      <w:bookmarkStart w:id="2890" w:name="_Toc27846737"/>
      <w:bookmarkStart w:id="2891" w:name="_Toc36187868"/>
      <w:bookmarkStart w:id="2892" w:name="_Toc45183772"/>
      <w:bookmarkStart w:id="2893" w:name="_Toc47342614"/>
      <w:bookmarkStart w:id="2894" w:name="_Toc51769315"/>
      <w:bookmarkStart w:id="2895" w:name="_Toc201157324"/>
      <w:bookmarkEnd w:id="2888"/>
      <w:r w:rsidRPr="00873B6C">
        <w:t>5.16.3.2</w:t>
      </w:r>
      <w:r w:rsidRPr="00873B6C">
        <w:tab/>
        <w:t>IMS voice over PS Session Supported Indication over 3GPP access</w:t>
      </w:r>
      <w:bookmarkEnd w:id="2889"/>
      <w:bookmarkEnd w:id="2890"/>
      <w:bookmarkEnd w:id="2891"/>
      <w:bookmarkEnd w:id="2892"/>
      <w:bookmarkEnd w:id="2893"/>
      <w:bookmarkEnd w:id="2894"/>
      <w:bookmarkEnd w:id="2895"/>
    </w:p>
    <w:p w14:paraId="7E31EE54" w14:textId="77777777" w:rsidR="00D40151" w:rsidRPr="00873B6C" w:rsidRDefault="00D40151" w:rsidP="00D40151">
      <w:r w:rsidRPr="00873B6C">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873B6C" w:rsidRDefault="00D40151" w:rsidP="00D40151">
      <w:r w:rsidRPr="00873B6C">
        <w:t>The serving PLMN AMF may only indicate IMS voice over PS session supported over 3GPP access in one of the following cases:</w:t>
      </w:r>
    </w:p>
    <w:p w14:paraId="422F0847" w14:textId="77777777" w:rsidR="00D40151" w:rsidRPr="00873B6C" w:rsidRDefault="00D40151" w:rsidP="00D40151">
      <w:pPr>
        <w:pStyle w:val="B1"/>
      </w:pPr>
      <w:r w:rsidRPr="00873B6C">
        <w:t>-</w:t>
      </w:r>
      <w:r w:rsidRPr="00873B6C">
        <w:tab/>
        <w:t>If the network and the UE are able to support IMS voice over PS session in the current Registration Area with a 5G QoS Flow that supports voice as specified in clause 5.7.</w:t>
      </w:r>
    </w:p>
    <w:p w14:paraId="215D5D9E" w14:textId="77777777" w:rsidR="00D40151" w:rsidRPr="00873B6C" w:rsidRDefault="00D40151" w:rsidP="00D40151">
      <w:pPr>
        <w:pStyle w:val="B1"/>
      </w:pPr>
      <w:r w:rsidRPr="00873B6C">
        <w:lastRenderedPageBreak/>
        <w:t>-</w:t>
      </w:r>
      <w:r w:rsidRPr="00873B6C">
        <w:tab/>
        <w:t>If the network or the UE are not able to support IMS voice over PS session over NR connected to 5GC, but is able for one of the following:</w:t>
      </w:r>
    </w:p>
    <w:p w14:paraId="15DD375D" w14:textId="4A6AD1E8" w:rsidR="00D40151" w:rsidRPr="00873B6C" w:rsidRDefault="00D40151" w:rsidP="00D40151">
      <w:pPr>
        <w:pStyle w:val="B2"/>
      </w:pPr>
      <w:r w:rsidRPr="00873B6C">
        <w:t>-</w:t>
      </w:r>
      <w:r w:rsidRPr="00873B6C">
        <w:tab/>
        <w:t>If the network and the UE are able to support IMS voice over PS session over E-UTRA connected to 5GC</w:t>
      </w:r>
      <w:r w:rsidR="00472CD7" w:rsidRPr="00873B6C">
        <w:t xml:space="preserve"> and</w:t>
      </w:r>
      <w:r w:rsidRPr="00873B6C">
        <w:t xml:space="preserve"> the NG-RAN supports a handover or redirection to E-UTRA connected to 5GC for this UE at QoS Flow establishment for IMS voice;</w:t>
      </w:r>
    </w:p>
    <w:p w14:paraId="62A1B0C4" w14:textId="48D43537" w:rsidR="00D40151" w:rsidRPr="00873B6C" w:rsidRDefault="00D40151" w:rsidP="00D40151">
      <w:pPr>
        <w:pStyle w:val="B2"/>
      </w:pPr>
      <w:r w:rsidRPr="00873B6C">
        <w:t>-</w:t>
      </w:r>
      <w:r w:rsidRPr="00873B6C">
        <w:tab/>
        <w:t>If the UE supports handover to EPS, the EPS supports IMS voice</w:t>
      </w:r>
      <w:r w:rsidR="00472CD7" w:rsidRPr="00873B6C">
        <w:t xml:space="preserve"> and</w:t>
      </w:r>
      <w:r w:rsidRPr="00873B6C">
        <w:t xml:space="preserve"> the NG-RAN supports a handover to EPS for this UE at QoS Flow establishment for IMS voice; or</w:t>
      </w:r>
    </w:p>
    <w:p w14:paraId="70074211" w14:textId="76EA4E60" w:rsidR="00D40151" w:rsidRPr="00873B6C" w:rsidRDefault="00D40151" w:rsidP="00D40151">
      <w:pPr>
        <w:pStyle w:val="B2"/>
      </w:pPr>
      <w:r w:rsidRPr="00873B6C">
        <w:t>-</w:t>
      </w:r>
      <w:r w:rsidRPr="00873B6C">
        <w:tab/>
        <w:t>If the UE supports redirection to EPS, the EPS supports IMS voice</w:t>
      </w:r>
      <w:r w:rsidR="00472CD7" w:rsidRPr="00873B6C">
        <w:t xml:space="preserve"> and</w:t>
      </w:r>
      <w:r w:rsidRPr="00873B6C">
        <w:t xml:space="preserve"> the NG-RAN supports redirection to EPS for this UE at QoS Flow establishment for IMS voice.</w:t>
      </w:r>
    </w:p>
    <w:p w14:paraId="617E7179" w14:textId="77777777" w:rsidR="00D40151" w:rsidRPr="00873B6C" w:rsidRDefault="00D40151" w:rsidP="00D40151">
      <w:pPr>
        <w:pStyle w:val="B1"/>
      </w:pPr>
      <w:r w:rsidRPr="00873B6C">
        <w:t>-</w:t>
      </w:r>
      <w:r w:rsidRPr="00873B6C">
        <w:tab/>
        <w:t>If the network is not able to provide a successful IMS voice over PS session over E-UTRA connected to 5GC, but is able for one of the following:</w:t>
      </w:r>
    </w:p>
    <w:p w14:paraId="4AD40CFE" w14:textId="0C3CF451" w:rsidR="00D40151" w:rsidRPr="00873B6C" w:rsidRDefault="00D40151" w:rsidP="00D40151">
      <w:pPr>
        <w:pStyle w:val="B2"/>
      </w:pPr>
      <w:r w:rsidRPr="00873B6C">
        <w:t>-</w:t>
      </w:r>
      <w:r w:rsidRPr="00873B6C">
        <w:tab/>
        <w:t>If the UE supports handover to EPS, the EPS supports IMS voice</w:t>
      </w:r>
      <w:r w:rsidR="00472CD7" w:rsidRPr="00873B6C">
        <w:t xml:space="preserve"> and</w:t>
      </w:r>
      <w:r w:rsidRPr="00873B6C">
        <w:t xml:space="preserve"> the NG-RAN supports a handover to EPS for this UE at QoS Flow establishment for IMS voice; or</w:t>
      </w:r>
    </w:p>
    <w:p w14:paraId="4403448A" w14:textId="48D3BA4A" w:rsidR="00D40151" w:rsidRPr="00873B6C" w:rsidRDefault="00D40151" w:rsidP="00D40151">
      <w:pPr>
        <w:pStyle w:val="B2"/>
      </w:pPr>
      <w:r w:rsidRPr="00873B6C">
        <w:t>-</w:t>
      </w:r>
      <w:r w:rsidRPr="00873B6C">
        <w:tab/>
        <w:t>If the UE supports redirection to EPS, the EPS supports IMS voice</w:t>
      </w:r>
      <w:r w:rsidR="00472CD7" w:rsidRPr="00873B6C">
        <w:t xml:space="preserve"> and</w:t>
      </w:r>
      <w:r w:rsidRPr="00873B6C">
        <w:t xml:space="preserve"> the NG-RAN supports redirection to EPS for this UE at QoS Flow establishment for IMS voice.</w:t>
      </w:r>
    </w:p>
    <w:p w14:paraId="0653B901" w14:textId="47F24362" w:rsidR="003A2901" w:rsidRPr="00873B6C" w:rsidRDefault="00D40151" w:rsidP="00D40151">
      <w:r w:rsidRPr="00873B6C">
        <w:t>The serving PLMN provides this indication based e.g. on local policy, UE capabilities, HPLMN, whether IP address preservation is possible, whether NG-RAN to UTRAN SRVCC is supported and how extended NG-RAN coverage is</w:t>
      </w:r>
      <w:r w:rsidR="00472CD7" w:rsidRPr="00873B6C">
        <w:t xml:space="preserve"> and</w:t>
      </w:r>
      <w:r w:rsidRPr="00873B6C">
        <w:t xml:space="preserve"> the Voice Support Match Indicator from the NG-RAN (see</w:t>
      </w:r>
      <w:r w:rsidR="00D602DF" w:rsidRPr="00873B6C">
        <w:t xml:space="preserve"> clause 4.2.8a</w:t>
      </w:r>
      <w:r w:rsidRPr="00873B6C">
        <w:t xml:space="preserve"> </w:t>
      </w:r>
      <w:r w:rsidR="00D602DF" w:rsidRPr="00873B6C">
        <w:t xml:space="preserve">of </w:t>
      </w:r>
      <w:r w:rsidR="00972E70" w:rsidRPr="00873B6C">
        <w:t>TS 23.502 [</w:t>
      </w:r>
      <w:r w:rsidRPr="00873B6C">
        <w:t>3]).</w:t>
      </w:r>
    </w:p>
    <w:p w14:paraId="28058142" w14:textId="26A3825D" w:rsidR="003A2901" w:rsidRPr="00873B6C" w:rsidRDefault="003A2901" w:rsidP="00323277">
      <w:pPr>
        <w:pStyle w:val="NO"/>
      </w:pPr>
      <w:r w:rsidRPr="00873B6C">
        <w:t>NOTE 1:</w:t>
      </w:r>
      <w:r w:rsidRPr="00873B6C">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873B6C" w:rsidRDefault="00D40151" w:rsidP="00D40151">
      <w:r w:rsidRPr="00873B6C">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873B6C" w:rsidRDefault="00D40151" w:rsidP="00D40151">
      <w:pPr>
        <w:pStyle w:val="NO"/>
      </w:pPr>
      <w:r w:rsidRPr="00873B6C">
        <w:t>NOTE</w:t>
      </w:r>
      <w:r w:rsidR="003A2901" w:rsidRPr="00873B6C">
        <w:t> 2</w:t>
      </w:r>
      <w:r w:rsidRPr="00873B6C">
        <w:t>:</w:t>
      </w:r>
      <w:r w:rsidRPr="00873B6C">
        <w:tab/>
        <w:t>If the network supports EPS fallback for voice the 5GC can be configured not to perform the Voice Support Match Indicator procedure in order to set the IMS voice over PS session Supported Indication.</w:t>
      </w:r>
    </w:p>
    <w:p w14:paraId="4D92147E" w14:textId="61195599" w:rsidR="00FD5C4A" w:rsidRPr="00873B6C" w:rsidRDefault="00FD5C4A" w:rsidP="00FD5C4A">
      <w:bookmarkStart w:id="2896" w:name="_Toc20149939"/>
      <w:bookmarkStart w:id="2897" w:name="_Toc27846738"/>
      <w:bookmarkStart w:id="2898" w:name="_Toc36187869"/>
      <w:bookmarkStart w:id="2899" w:name="_Toc45183773"/>
      <w:bookmarkStart w:id="2900" w:name="_Toc47342615"/>
      <w:bookmarkStart w:id="2901" w:name="_Toc51769316"/>
      <w:r w:rsidRPr="00873B6C">
        <w:t>The serving SNPN provides the IMS voice over PS indication based e.g. on local policy, UE capabilities, whether IP address preservation is possible</w:t>
      </w:r>
      <w:r w:rsidR="00472CD7" w:rsidRPr="00873B6C">
        <w:t xml:space="preserve"> and</w:t>
      </w:r>
      <w:r w:rsidRPr="00873B6C">
        <w:t xml:space="preserve"> how extended NR coverage is. This indication is per Registration Area.</w:t>
      </w:r>
    </w:p>
    <w:p w14:paraId="7D3FD5C1" w14:textId="4AD4A9F0" w:rsidR="00FD5C4A" w:rsidRPr="00873B6C" w:rsidRDefault="00FD5C4A" w:rsidP="00323277">
      <w:pPr>
        <w:pStyle w:val="NO"/>
      </w:pPr>
      <w:r w:rsidRPr="00873B6C">
        <w:t>NOTE 3:</w:t>
      </w:r>
      <w:r w:rsidRPr="00873B6C">
        <w:tab/>
        <w:t>Since</w:t>
      </w:r>
      <w:r w:rsidR="00D51D1B" w:rsidRPr="00873B6C">
        <w:t xml:space="preserve"> over 3GPP access,</w:t>
      </w:r>
      <w:r w:rsidRPr="00873B6C">
        <w:t xml:space="preserv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873B6C" w:rsidRDefault="00D40151" w:rsidP="00D40151">
      <w:pPr>
        <w:pStyle w:val="Heading4"/>
      </w:pPr>
      <w:bookmarkStart w:id="2902" w:name="_CR5_16_3_2a"/>
      <w:bookmarkStart w:id="2903" w:name="_Toc201157325"/>
      <w:bookmarkEnd w:id="2902"/>
      <w:r w:rsidRPr="00873B6C">
        <w:t>5.16.3.2a</w:t>
      </w:r>
      <w:r w:rsidRPr="00873B6C">
        <w:tab/>
        <w:t>IMS voice over PS Session Supported Indication over non-3GPP access</w:t>
      </w:r>
      <w:bookmarkEnd w:id="2896"/>
      <w:bookmarkEnd w:id="2897"/>
      <w:bookmarkEnd w:id="2898"/>
      <w:bookmarkEnd w:id="2899"/>
      <w:bookmarkEnd w:id="2900"/>
      <w:bookmarkEnd w:id="2901"/>
      <w:bookmarkEnd w:id="2903"/>
    </w:p>
    <w:p w14:paraId="77248CB2" w14:textId="77777777" w:rsidR="00D40151" w:rsidRPr="00873B6C" w:rsidRDefault="00D40151" w:rsidP="00D40151">
      <w:r w:rsidRPr="00873B6C">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873B6C" w:rsidRDefault="00D40151" w:rsidP="00D40151">
      <w:r w:rsidRPr="00873B6C">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873B6C" w:rsidRDefault="00D40151" w:rsidP="00D40151">
      <w:pPr>
        <w:pStyle w:val="Heading4"/>
        <w:rPr>
          <w:lang w:eastAsia="zh-CN"/>
        </w:rPr>
      </w:pPr>
      <w:bookmarkStart w:id="2904" w:name="_CR5_16_3_3"/>
      <w:bookmarkStart w:id="2905" w:name="_Toc20149940"/>
      <w:bookmarkStart w:id="2906" w:name="_Toc27846739"/>
      <w:bookmarkStart w:id="2907" w:name="_Toc36187870"/>
      <w:bookmarkStart w:id="2908" w:name="_Toc45183774"/>
      <w:bookmarkStart w:id="2909" w:name="_Toc47342616"/>
      <w:bookmarkStart w:id="2910" w:name="_Toc51769317"/>
      <w:bookmarkStart w:id="2911" w:name="_Toc201157326"/>
      <w:bookmarkEnd w:id="2904"/>
      <w:r w:rsidRPr="00873B6C">
        <w:t>5.16.3.3</w:t>
      </w:r>
      <w:r w:rsidRPr="00873B6C">
        <w:tab/>
        <w:t>Homogeneous support for IMS voice over PS Session supported indication</w:t>
      </w:r>
      <w:bookmarkEnd w:id="2905"/>
      <w:bookmarkEnd w:id="2906"/>
      <w:bookmarkEnd w:id="2907"/>
      <w:bookmarkEnd w:id="2908"/>
      <w:bookmarkEnd w:id="2909"/>
      <w:bookmarkEnd w:id="2910"/>
      <w:bookmarkEnd w:id="2911"/>
    </w:p>
    <w:p w14:paraId="7F60C157" w14:textId="77777777" w:rsidR="00D40151" w:rsidRPr="00873B6C" w:rsidRDefault="00D40151" w:rsidP="00D40151">
      <w:pPr>
        <w:rPr>
          <w:lang w:eastAsia="zh-CN"/>
        </w:rPr>
      </w:pPr>
      <w:r w:rsidRPr="00873B6C">
        <w:rPr>
          <w:lang w:eastAsia="zh-CN"/>
        </w:rPr>
        <w:t xml:space="preserve">5GC shall support the usage of </w:t>
      </w:r>
      <w:r w:rsidRPr="00873B6C">
        <w:t>"Homogeneous Support of IMS Voice over PS Sessions" indication</w:t>
      </w:r>
      <w:r w:rsidRPr="00873B6C">
        <w:rPr>
          <w:lang w:eastAsia="zh-CN"/>
        </w:rPr>
        <w:t xml:space="preserve"> between AMF and UDM.</w:t>
      </w:r>
    </w:p>
    <w:p w14:paraId="3DE6260F" w14:textId="77777777" w:rsidR="00D40151" w:rsidRPr="00873B6C" w:rsidRDefault="00D40151" w:rsidP="00D40151">
      <w:pPr>
        <w:rPr>
          <w:lang w:eastAsia="zh-CN"/>
        </w:rPr>
      </w:pPr>
      <w:r w:rsidRPr="00873B6C">
        <w:rPr>
          <w:lang w:eastAsia="zh-CN"/>
        </w:rPr>
        <w:t>W</w:t>
      </w:r>
      <w:r w:rsidRPr="00873B6C">
        <w:t xml:space="preserve">hen </w:t>
      </w:r>
      <w:r w:rsidRPr="00873B6C">
        <w:rPr>
          <w:lang w:eastAsia="zh-CN"/>
        </w:rPr>
        <w:t>the AMF</w:t>
      </w:r>
      <w:r w:rsidRPr="00873B6C">
        <w:t xml:space="preserve"> </w:t>
      </w:r>
      <w:r w:rsidRPr="00873B6C">
        <w:rPr>
          <w:lang w:eastAsia="zh-CN"/>
        </w:rPr>
        <w:t>initiates Nudm_UECM_Registration operation</w:t>
      </w:r>
      <w:r w:rsidRPr="00873B6C">
        <w:t xml:space="preserve"> to the </w:t>
      </w:r>
      <w:r w:rsidRPr="00873B6C">
        <w:rPr>
          <w:lang w:eastAsia="zh-CN"/>
        </w:rPr>
        <w:t>UDM, it</w:t>
      </w:r>
      <w:r w:rsidRPr="00873B6C">
        <w:t xml:space="preserve"> shall</w:t>
      </w:r>
      <w:r w:rsidRPr="00873B6C">
        <w:rPr>
          <w:lang w:eastAsia="zh-CN"/>
        </w:rPr>
        <w:t>:</w:t>
      </w:r>
    </w:p>
    <w:p w14:paraId="414EE63D" w14:textId="77777777" w:rsidR="00D40151" w:rsidRPr="00873B6C" w:rsidRDefault="00D40151" w:rsidP="00D40151">
      <w:pPr>
        <w:pStyle w:val="B1"/>
        <w:rPr>
          <w:lang w:eastAsia="zh-CN"/>
        </w:rPr>
      </w:pPr>
      <w:r w:rsidRPr="00873B6C">
        <w:lastRenderedPageBreak/>
        <w:t>-</w:t>
      </w:r>
      <w:r w:rsidRPr="00873B6C">
        <w:tab/>
        <w:t xml:space="preserve">if "IMS Voice over PS Sessions" is supported homogeneously in all TAs in the serving </w:t>
      </w:r>
      <w:r w:rsidRPr="00873B6C">
        <w:rPr>
          <w:lang w:eastAsia="zh-CN"/>
        </w:rPr>
        <w:t>AMF</w:t>
      </w:r>
      <w:r w:rsidRPr="00873B6C">
        <w:t xml:space="preserve"> for the UE, include the "Homogeneous Support of IMS Voice over PS Sessions" indication set to "Supported"</w:t>
      </w:r>
      <w:r w:rsidRPr="00873B6C">
        <w:rPr>
          <w:lang w:eastAsia="zh-CN"/>
        </w:rPr>
        <w:t>;</w:t>
      </w:r>
    </w:p>
    <w:p w14:paraId="0AE3955E" w14:textId="77777777" w:rsidR="00D40151" w:rsidRPr="00873B6C" w:rsidRDefault="00D40151" w:rsidP="00D40151">
      <w:pPr>
        <w:pStyle w:val="B1"/>
        <w:rPr>
          <w:lang w:eastAsia="zh-CN"/>
        </w:rPr>
      </w:pPr>
      <w:r w:rsidRPr="00873B6C">
        <w:t>-</w:t>
      </w:r>
      <w:r w:rsidRPr="00873B6C">
        <w:tab/>
        <w:t xml:space="preserve">if none of the TAs of the serving </w:t>
      </w:r>
      <w:r w:rsidRPr="00873B6C">
        <w:rPr>
          <w:lang w:eastAsia="zh-CN"/>
        </w:rPr>
        <w:t>AMF</w:t>
      </w:r>
      <w:r w:rsidRPr="00873B6C">
        <w:t xml:space="preserve"> supports "IMS Voice over PS Sessions" for the UE, include the "Homogeneous Support of IMS Voice over PS Sessions" indication set to "Not supported"</w:t>
      </w:r>
      <w:r w:rsidRPr="00873B6C">
        <w:rPr>
          <w:lang w:eastAsia="zh-CN"/>
        </w:rPr>
        <w:t>;</w:t>
      </w:r>
    </w:p>
    <w:p w14:paraId="57E5FD81" w14:textId="77777777" w:rsidR="00D40151" w:rsidRPr="00873B6C" w:rsidRDefault="00D40151" w:rsidP="00D40151">
      <w:pPr>
        <w:pStyle w:val="B1"/>
      </w:pPr>
      <w:r w:rsidRPr="00873B6C">
        <w:t>-</w:t>
      </w:r>
      <w:r w:rsidRPr="00873B6C">
        <w:tab/>
        <w:t>if "IMS Voice over PS Sessions" support is either non-homogeneous or unknown, not include the "Homogeneous Support of IMS Voice over PS Sessions" indication.</w:t>
      </w:r>
    </w:p>
    <w:p w14:paraId="2D3B2D35" w14:textId="32B3BBFF" w:rsidR="00D40151" w:rsidRPr="00873B6C" w:rsidRDefault="00D40151" w:rsidP="00D40151">
      <w:pPr>
        <w:rPr>
          <w:lang w:eastAsia="zh-CN"/>
        </w:rPr>
      </w:pPr>
      <w:r w:rsidRPr="00873B6C">
        <w:rPr>
          <w:lang w:eastAsia="zh-CN"/>
        </w:rPr>
        <w:t xml:space="preserve">The AMF shall be able to provide the "Homogeneous Support of IMS Voice over PS Sessions" indication as described above to the UDM using Nudm_UECM_Update operation as specified in clause 4.2.2.2.2 of </w:t>
      </w:r>
      <w:r w:rsidR="00972E70" w:rsidRPr="00873B6C">
        <w:rPr>
          <w:lang w:eastAsia="zh-CN"/>
        </w:rPr>
        <w:t>TS 23.502 [</w:t>
      </w:r>
      <w:r w:rsidRPr="00873B6C">
        <w:rPr>
          <w:lang w:eastAsia="zh-CN"/>
        </w:rPr>
        <w:t>3].</w:t>
      </w:r>
    </w:p>
    <w:p w14:paraId="524220F2" w14:textId="77777777" w:rsidR="00D40151" w:rsidRPr="00873B6C" w:rsidRDefault="00D40151" w:rsidP="00D40151">
      <w:pPr>
        <w:rPr>
          <w:lang w:eastAsia="zh-CN"/>
        </w:rPr>
      </w:pPr>
      <w:r w:rsidRPr="00873B6C">
        <w:rPr>
          <w:lang w:eastAsia="zh-CN"/>
        </w:rPr>
        <w:t>The UDM shall take this indication into account when doing Terminating Access Domain Selection (T-ADS) procedure for IMS voice.</w:t>
      </w:r>
    </w:p>
    <w:p w14:paraId="4DF6C3D2" w14:textId="1A1AAD4E" w:rsidR="00D40151" w:rsidRPr="00873B6C" w:rsidRDefault="00D40151" w:rsidP="00D40151">
      <w:pPr>
        <w:pStyle w:val="NO"/>
      </w:pPr>
      <w:r w:rsidRPr="00873B6C">
        <w:t>NOTE:</w:t>
      </w:r>
      <w:r w:rsidRPr="00873B6C">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972E70" w:rsidRPr="00873B6C">
        <w:t>TS 23.292 [</w:t>
      </w:r>
      <w:r w:rsidRPr="00873B6C">
        <w:t xml:space="preserve">63] and </w:t>
      </w:r>
      <w:r w:rsidR="00972E70" w:rsidRPr="00873B6C">
        <w:t>TS 23.221 [</w:t>
      </w:r>
      <w:r w:rsidRPr="00873B6C">
        <w:t>23]) requires that the "Homogeneous Support of IMS Voice over PS Sessions" indication is set to "Supported" for all registered TAs of the UE or "Not supported" for all registered TAs of the UE.</w:t>
      </w:r>
    </w:p>
    <w:p w14:paraId="0EC33C50" w14:textId="77777777" w:rsidR="00D40151" w:rsidRPr="00873B6C" w:rsidRDefault="00D40151" w:rsidP="00D40151">
      <w:pPr>
        <w:pStyle w:val="Heading4"/>
      </w:pPr>
      <w:bookmarkStart w:id="2912" w:name="_CR5_16_3_4"/>
      <w:bookmarkStart w:id="2913" w:name="_Toc20149941"/>
      <w:bookmarkStart w:id="2914" w:name="_Toc27846740"/>
      <w:bookmarkStart w:id="2915" w:name="_Toc36187871"/>
      <w:bookmarkStart w:id="2916" w:name="_Toc45183775"/>
      <w:bookmarkStart w:id="2917" w:name="_Toc47342617"/>
      <w:bookmarkStart w:id="2918" w:name="_Toc51769318"/>
      <w:bookmarkStart w:id="2919" w:name="_Toc201157327"/>
      <w:bookmarkEnd w:id="2912"/>
      <w:r w:rsidRPr="00873B6C">
        <w:t>5.16.3.4</w:t>
      </w:r>
      <w:r w:rsidRPr="00873B6C">
        <w:tab/>
        <w:t>P-CSCF address delivery</w:t>
      </w:r>
      <w:bookmarkEnd w:id="2913"/>
      <w:bookmarkEnd w:id="2914"/>
      <w:bookmarkEnd w:id="2915"/>
      <w:bookmarkEnd w:id="2916"/>
      <w:bookmarkEnd w:id="2917"/>
      <w:bookmarkEnd w:id="2918"/>
      <w:bookmarkEnd w:id="2919"/>
    </w:p>
    <w:p w14:paraId="72ED878D" w14:textId="269AD73F" w:rsidR="00D40151" w:rsidRPr="00873B6C" w:rsidRDefault="00D40151" w:rsidP="00D40151">
      <w:r w:rsidRPr="00873B6C">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w:t>
      </w:r>
      <w:r w:rsidR="00472CD7" w:rsidRPr="00873B6C">
        <w:t xml:space="preserve"> and</w:t>
      </w:r>
      <w:r w:rsidRPr="00873B6C">
        <w:t xml:space="preserve"> in the case of Home Routed also through the SMF in VPLMN. The P-CSCF IP address(es) may be locally configured in the SMF, or discovered using NRF as described in clause 5.16.3.11.</w:t>
      </w:r>
    </w:p>
    <w:p w14:paraId="1D7618CC" w14:textId="44D48B67" w:rsidR="00D40151" w:rsidRPr="00873B6C" w:rsidRDefault="00D40151" w:rsidP="00D40151">
      <w:pPr>
        <w:pStyle w:val="NO"/>
      </w:pPr>
      <w:r w:rsidRPr="00873B6C">
        <w:t>NOTE 1:</w:t>
      </w:r>
      <w:r w:rsidRPr="00873B6C">
        <w:tab/>
        <w:t xml:space="preserve">Other options to provide P-CSCF to the UE as defined in </w:t>
      </w:r>
      <w:r w:rsidR="00972E70" w:rsidRPr="00873B6C">
        <w:t>TS 23.228 [</w:t>
      </w:r>
      <w:r w:rsidRPr="00873B6C">
        <w:t>15] is not excluded.</w:t>
      </w:r>
    </w:p>
    <w:p w14:paraId="56A2053A" w14:textId="77777777" w:rsidR="00D40151" w:rsidRPr="00873B6C" w:rsidRDefault="00D40151" w:rsidP="00D40151">
      <w:pPr>
        <w:pStyle w:val="NO"/>
      </w:pPr>
      <w:r w:rsidRPr="00873B6C">
        <w:t>NOTE 2:</w:t>
      </w:r>
      <w:r w:rsidRPr="00873B6C">
        <w:tab/>
        <w:t>PDU Session for IMS is identified by "APN" or "DNN".</w:t>
      </w:r>
    </w:p>
    <w:p w14:paraId="29830143" w14:textId="7E7C5B44" w:rsidR="00FD5C4A" w:rsidRPr="00873B6C" w:rsidRDefault="00FD5C4A" w:rsidP="00323277">
      <w:bookmarkStart w:id="2920" w:name="_Toc20149942"/>
      <w:bookmarkStart w:id="2921" w:name="_Toc27846741"/>
      <w:bookmarkStart w:id="2922" w:name="_Toc36187872"/>
      <w:bookmarkStart w:id="2923" w:name="_Toc45183776"/>
      <w:bookmarkStart w:id="2924" w:name="_Toc47342618"/>
      <w:bookmarkStart w:id="2925" w:name="_Toc51769319"/>
      <w:r w:rsidRPr="00873B6C">
        <w:t>In the case of SNPN access the SMF is always located in the serving SNPN (no support for Home Routed traffic); therefore, the serving SMF sends the P-CSCF address(es) to the UE.</w:t>
      </w:r>
    </w:p>
    <w:p w14:paraId="20AF67FA" w14:textId="52D75274" w:rsidR="00D40151" w:rsidRPr="00873B6C" w:rsidRDefault="00D40151" w:rsidP="00D40151">
      <w:pPr>
        <w:pStyle w:val="Heading4"/>
      </w:pPr>
      <w:bookmarkStart w:id="2926" w:name="_CR5_16_3_5"/>
      <w:bookmarkStart w:id="2927" w:name="_Toc201157328"/>
      <w:bookmarkEnd w:id="2926"/>
      <w:r w:rsidRPr="00873B6C">
        <w:t>5.16.3.5</w:t>
      </w:r>
      <w:r w:rsidRPr="00873B6C">
        <w:tab/>
        <w:t>Domain selection for UE originating sessions / calls</w:t>
      </w:r>
      <w:bookmarkEnd w:id="2920"/>
      <w:bookmarkEnd w:id="2921"/>
      <w:bookmarkEnd w:id="2922"/>
      <w:bookmarkEnd w:id="2923"/>
      <w:bookmarkEnd w:id="2924"/>
      <w:bookmarkEnd w:id="2925"/>
      <w:bookmarkEnd w:id="2927"/>
    </w:p>
    <w:p w14:paraId="04349680" w14:textId="77777777" w:rsidR="00D40151" w:rsidRPr="00873B6C" w:rsidRDefault="00D40151" w:rsidP="00D40151">
      <w:r w:rsidRPr="00873B6C">
        <w:t>For UE originating calls, the 5GC capable UE performs access domain selection. The UE shall be able to take following factors into account for access domain selection decision:</w:t>
      </w:r>
    </w:p>
    <w:p w14:paraId="707E5436" w14:textId="77777777" w:rsidR="00D40151" w:rsidRPr="00873B6C" w:rsidRDefault="00D40151" w:rsidP="00D40151">
      <w:pPr>
        <w:pStyle w:val="B1"/>
      </w:pPr>
      <w:r w:rsidRPr="00873B6C">
        <w:t>-</w:t>
      </w:r>
      <w:r w:rsidRPr="00873B6C">
        <w:tab/>
        <w:t>The state of the UE in the IMS. The state information shall include: Registered, Unregistered.</w:t>
      </w:r>
    </w:p>
    <w:p w14:paraId="39717FCC" w14:textId="77777777" w:rsidR="00D40151" w:rsidRPr="00873B6C" w:rsidRDefault="00D40151" w:rsidP="00D40151">
      <w:pPr>
        <w:pStyle w:val="B1"/>
      </w:pPr>
      <w:r w:rsidRPr="00873B6C">
        <w:t>-</w:t>
      </w:r>
      <w:r w:rsidRPr="00873B6C">
        <w:tab/>
        <w:t>The "IMS voice over PS session supported indication" as defined in clause 5.16.3.2.</w:t>
      </w:r>
    </w:p>
    <w:p w14:paraId="52408967" w14:textId="77777777" w:rsidR="00D40151" w:rsidRPr="00873B6C" w:rsidRDefault="00D40151" w:rsidP="00D40151">
      <w:pPr>
        <w:pStyle w:val="B1"/>
      </w:pPr>
      <w:r w:rsidRPr="00873B6C">
        <w:t>-</w:t>
      </w:r>
      <w:r w:rsidRPr="00873B6C">
        <w:tab/>
        <w:t>Whether the UE is expected to behave in a "voice centric" or "data centric" way for 5GS.</w:t>
      </w:r>
    </w:p>
    <w:p w14:paraId="10E41B86" w14:textId="77777777" w:rsidR="00D40151" w:rsidRPr="00873B6C" w:rsidRDefault="00D40151" w:rsidP="00D40151">
      <w:pPr>
        <w:pStyle w:val="B1"/>
      </w:pPr>
      <w:r w:rsidRPr="00873B6C">
        <w:t>-</w:t>
      </w:r>
      <w:r w:rsidRPr="00873B6C">
        <w:tab/>
        <w:t>UE capability of supporting IMS PS voice.</w:t>
      </w:r>
    </w:p>
    <w:p w14:paraId="1A0094C3" w14:textId="77777777" w:rsidR="00D40151" w:rsidRPr="00873B6C" w:rsidRDefault="00D40151" w:rsidP="00D40151">
      <w:pPr>
        <w:pStyle w:val="B1"/>
      </w:pPr>
      <w:r w:rsidRPr="00873B6C">
        <w:t>-</w:t>
      </w:r>
      <w:r w:rsidRPr="00873B6C">
        <w:tab/>
        <w:t xml:space="preserve">UE capability for operating in </w:t>
      </w:r>
      <w:r w:rsidRPr="00873B6C">
        <w:rPr>
          <w:lang w:eastAsia="zh-CN"/>
        </w:rPr>
        <w:t>dual-registration</w:t>
      </w:r>
      <w:r w:rsidRPr="00873B6C">
        <w:t xml:space="preserve"> mode with selective PDU Session transfer as defined in clause 5.17.2.3.3.</w:t>
      </w:r>
    </w:p>
    <w:p w14:paraId="2357AF58" w14:textId="77777777" w:rsidR="00D40151" w:rsidRPr="00873B6C" w:rsidRDefault="00D40151" w:rsidP="00D40151">
      <w:pPr>
        <w:pStyle w:val="B1"/>
      </w:pPr>
      <w:r w:rsidRPr="00873B6C">
        <w:t>-</w:t>
      </w:r>
      <w:r w:rsidRPr="00873B6C">
        <w:tab/>
        <w:t>Whether 3GPP PS Data Off is active or not and whether IMS voice is included in 3GPP PS Data Off Exempt Services or not as defined in clause 5.24.</w:t>
      </w:r>
    </w:p>
    <w:p w14:paraId="75EE86C7" w14:textId="77777777" w:rsidR="00D40151" w:rsidRPr="00873B6C" w:rsidRDefault="00D40151" w:rsidP="00D40151">
      <w:pPr>
        <w:pStyle w:val="NO"/>
      </w:pPr>
      <w:r w:rsidRPr="00873B6C">
        <w:t>NOTE 1:</w:t>
      </w:r>
      <w:r w:rsidRPr="00873B6C">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873B6C" w:rsidRDefault="00D40151" w:rsidP="00D40151">
      <w:r w:rsidRPr="00873B6C">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04226C0A" w:rsidR="00D40151" w:rsidRPr="00873B6C" w:rsidRDefault="00D40151" w:rsidP="00D40151">
      <w:pPr>
        <w:pStyle w:val="B1"/>
      </w:pPr>
      <w:r w:rsidRPr="00873B6C">
        <w:lastRenderedPageBreak/>
        <w:t>-</w:t>
      </w:r>
      <w:r w:rsidRPr="00873B6C">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873B6C">
        <w:noBreakHyphen/>
        <w:t xml:space="preserve">UTRAN connected to EPC first (if available). When the UE selects E-UTRAN connected to EPC, the UE performs Voice Domain Selection procedures as defined in </w:t>
      </w:r>
      <w:r w:rsidR="00972E70" w:rsidRPr="00873B6C">
        <w:t>TS 23.221 [</w:t>
      </w:r>
      <w:r w:rsidRPr="00873B6C">
        <w:t>23].</w:t>
      </w:r>
    </w:p>
    <w:p w14:paraId="3750E808" w14:textId="77777777" w:rsidR="00D40151" w:rsidRPr="00873B6C" w:rsidRDefault="00D40151" w:rsidP="00D40151">
      <w:pPr>
        <w:pStyle w:val="B1"/>
      </w:pPr>
      <w:r w:rsidRPr="00873B6C">
        <w:t>-</w:t>
      </w:r>
      <w:r w:rsidRPr="00873B6C">
        <w:tab/>
        <w:t>A UE set to "data centric" for 5GS does not need to perform any reselection if voice services cannot be obtained.</w:t>
      </w:r>
    </w:p>
    <w:p w14:paraId="35E2465C" w14:textId="77777777" w:rsidR="00D40151" w:rsidRPr="00873B6C" w:rsidRDefault="00D40151" w:rsidP="00D40151">
      <w:pPr>
        <w:pStyle w:val="NO"/>
      </w:pPr>
      <w:r w:rsidRPr="00873B6C">
        <w:t>NOTE 2:</w:t>
      </w:r>
      <w:r w:rsidRPr="00873B6C">
        <w:tab/>
        <w:t>The related radio capabilities in order for the voice centric UE to not reselect to NR or E-UTRA cell connected to 5GC (i.e. avoid ping pong) will be defined by RAN WGs.</w:t>
      </w:r>
    </w:p>
    <w:p w14:paraId="44B20DE4" w14:textId="77777777" w:rsidR="00D40151" w:rsidRPr="00873B6C" w:rsidRDefault="00D40151" w:rsidP="00D40151">
      <w:pPr>
        <w:pStyle w:val="Heading4"/>
        <w:rPr>
          <w:rFonts w:eastAsia="SimSun"/>
          <w:lang w:eastAsia="zh-CN"/>
        </w:rPr>
      </w:pPr>
      <w:bookmarkStart w:id="2928" w:name="_CR5_16_3_6"/>
      <w:bookmarkStart w:id="2929" w:name="_Toc20149943"/>
      <w:bookmarkStart w:id="2930" w:name="_Toc27846742"/>
      <w:bookmarkStart w:id="2931" w:name="_Toc36187873"/>
      <w:bookmarkStart w:id="2932" w:name="_Toc45183777"/>
      <w:bookmarkStart w:id="2933" w:name="_Toc47342619"/>
      <w:bookmarkStart w:id="2934" w:name="_Toc51769320"/>
      <w:bookmarkStart w:id="2935" w:name="_Toc201157329"/>
      <w:bookmarkEnd w:id="2928"/>
      <w:r w:rsidRPr="00873B6C">
        <w:rPr>
          <w:rFonts w:eastAsia="SimSun"/>
          <w:lang w:eastAsia="zh-CN"/>
        </w:rPr>
        <w:t>5.16.3.6</w:t>
      </w:r>
      <w:r w:rsidRPr="00873B6C">
        <w:rPr>
          <w:rFonts w:eastAsia="SimSun"/>
          <w:lang w:eastAsia="zh-CN"/>
        </w:rPr>
        <w:tab/>
        <w:t>Terminating domain selection for IMS voice</w:t>
      </w:r>
      <w:bookmarkEnd w:id="2929"/>
      <w:bookmarkEnd w:id="2930"/>
      <w:bookmarkEnd w:id="2931"/>
      <w:bookmarkEnd w:id="2932"/>
      <w:bookmarkEnd w:id="2933"/>
      <w:bookmarkEnd w:id="2934"/>
      <w:bookmarkEnd w:id="2935"/>
    </w:p>
    <w:p w14:paraId="7DCBAED4" w14:textId="49FB7CE9" w:rsidR="00D40151" w:rsidRPr="00873B6C" w:rsidRDefault="00D40151" w:rsidP="00D40151">
      <w:pPr>
        <w:rPr>
          <w:rFonts w:eastAsia="SimSun"/>
          <w:lang w:eastAsia="zh-CN"/>
        </w:rPr>
      </w:pPr>
      <w:r w:rsidRPr="00873B6C">
        <w:rPr>
          <w:rFonts w:eastAsia="SimSun"/>
          <w:lang w:eastAsia="zh-CN"/>
        </w:rPr>
        <w:t xml:space="preserve">When requested by IMS, the UDM/HSS shall be able to query the serving AMF for T-ADS related information. T-ADS is a functionality located in the IMS and is performed as specified in </w:t>
      </w:r>
      <w:r w:rsidR="00972E70" w:rsidRPr="00873B6C">
        <w:rPr>
          <w:rFonts w:eastAsia="SimSun"/>
          <w:lang w:eastAsia="zh-CN"/>
        </w:rPr>
        <w:t>TS 23.221 [</w:t>
      </w:r>
      <w:r w:rsidRPr="00873B6C">
        <w:rPr>
          <w:rFonts w:eastAsia="SimSun"/>
          <w:lang w:eastAsia="zh-CN"/>
        </w:rPr>
        <w:t>23].</w:t>
      </w:r>
    </w:p>
    <w:p w14:paraId="09FEF467" w14:textId="77777777" w:rsidR="00D40151" w:rsidRPr="00873B6C" w:rsidRDefault="00D40151" w:rsidP="00D40151">
      <w:pPr>
        <w:rPr>
          <w:rFonts w:eastAsia="SimSun"/>
          <w:lang w:eastAsia="zh-CN"/>
        </w:rPr>
      </w:pPr>
      <w:r w:rsidRPr="00873B6C">
        <w:rPr>
          <w:rFonts w:eastAsia="SimSun"/>
          <w:lang w:eastAsia="zh-CN"/>
        </w:rPr>
        <w:t>The AMF shall respond to the query with the following information unless the UE is detached:</w:t>
      </w:r>
    </w:p>
    <w:p w14:paraId="14F2D0CA" w14:textId="77777777" w:rsidR="00D40151" w:rsidRPr="00873B6C" w:rsidRDefault="00D40151" w:rsidP="00D40151">
      <w:pPr>
        <w:pStyle w:val="B1"/>
        <w:rPr>
          <w:rFonts w:eastAsia="SimSun"/>
        </w:rPr>
      </w:pPr>
      <w:r w:rsidRPr="00873B6C">
        <w:rPr>
          <w:rFonts w:eastAsia="SimSun"/>
        </w:rPr>
        <w:t>-</w:t>
      </w:r>
      <w:r w:rsidRPr="00873B6C">
        <w:rPr>
          <w:rFonts w:eastAsia="SimSun"/>
        </w:rPr>
        <w:tab/>
        <w:t>whether or not IMS voice over PS Session is supported in the registration area (s) where the UE is currently registered;</w:t>
      </w:r>
    </w:p>
    <w:p w14:paraId="42407FCB" w14:textId="77777777" w:rsidR="00D40151" w:rsidRPr="00873B6C" w:rsidRDefault="00D40151" w:rsidP="00D40151">
      <w:pPr>
        <w:pStyle w:val="B1"/>
        <w:rPr>
          <w:rFonts w:eastAsia="SimSun"/>
        </w:rPr>
      </w:pPr>
      <w:r w:rsidRPr="00873B6C">
        <w:rPr>
          <w:rFonts w:eastAsia="SimSun"/>
        </w:rPr>
        <w:t>-</w:t>
      </w:r>
      <w:r w:rsidRPr="00873B6C">
        <w:rPr>
          <w:rFonts w:eastAsia="SimSun"/>
        </w:rPr>
        <w:tab/>
        <w:t>whether or not IMS voice over PS Session Supported Indication over non-3GPP access is supported in the WLAN where the UE is currently registered;</w:t>
      </w:r>
    </w:p>
    <w:p w14:paraId="3F73613E" w14:textId="77777777" w:rsidR="00D40151" w:rsidRPr="00873B6C" w:rsidRDefault="00D40151" w:rsidP="00D40151">
      <w:pPr>
        <w:pStyle w:val="B1"/>
        <w:rPr>
          <w:rFonts w:eastAsia="SimSun"/>
        </w:rPr>
      </w:pPr>
      <w:r w:rsidRPr="00873B6C">
        <w:rPr>
          <w:rFonts w:eastAsia="SimSun"/>
        </w:rPr>
        <w:t>-</w:t>
      </w:r>
      <w:r w:rsidRPr="00873B6C">
        <w:rPr>
          <w:rFonts w:eastAsia="SimSun"/>
        </w:rPr>
        <w:tab/>
        <w:t>the time of the last radio contact with the UE; and</w:t>
      </w:r>
    </w:p>
    <w:p w14:paraId="486660D6" w14:textId="77777777" w:rsidR="00D40151" w:rsidRPr="00873B6C" w:rsidRDefault="00D40151" w:rsidP="00D40151">
      <w:pPr>
        <w:pStyle w:val="B1"/>
        <w:rPr>
          <w:rFonts w:eastAsia="SimSun"/>
        </w:rPr>
      </w:pPr>
      <w:r w:rsidRPr="00873B6C">
        <w:rPr>
          <w:rFonts w:eastAsia="SimSun"/>
        </w:rPr>
        <w:t>-</w:t>
      </w:r>
      <w:r w:rsidRPr="00873B6C">
        <w:rPr>
          <w:rFonts w:eastAsia="SimSun"/>
        </w:rPr>
        <w:tab/>
        <w:t>the current Access Type and RAT type.</w:t>
      </w:r>
    </w:p>
    <w:p w14:paraId="1A9DDF5D" w14:textId="77777777" w:rsidR="00D40151" w:rsidRPr="00873B6C" w:rsidRDefault="00D40151" w:rsidP="00D40151">
      <w:pPr>
        <w:pStyle w:val="Heading4"/>
      </w:pPr>
      <w:bookmarkStart w:id="2936" w:name="_CR5_16_3_7"/>
      <w:bookmarkStart w:id="2937" w:name="_Toc20149944"/>
      <w:bookmarkStart w:id="2938" w:name="_Toc27846743"/>
      <w:bookmarkStart w:id="2939" w:name="_Toc36187874"/>
      <w:bookmarkStart w:id="2940" w:name="_Toc45183778"/>
      <w:bookmarkStart w:id="2941" w:name="_Toc47342620"/>
      <w:bookmarkStart w:id="2942" w:name="_Toc51769321"/>
      <w:bookmarkStart w:id="2943" w:name="_Toc201157330"/>
      <w:bookmarkEnd w:id="2936"/>
      <w:r w:rsidRPr="00873B6C">
        <w:t>5.16.3.7</w:t>
      </w:r>
      <w:r w:rsidRPr="00873B6C">
        <w:tab/>
        <w:t>UE's usage setting</w:t>
      </w:r>
      <w:bookmarkEnd w:id="2937"/>
      <w:bookmarkEnd w:id="2938"/>
      <w:bookmarkEnd w:id="2939"/>
      <w:bookmarkEnd w:id="2940"/>
      <w:bookmarkEnd w:id="2941"/>
      <w:bookmarkEnd w:id="2942"/>
      <w:bookmarkEnd w:id="2943"/>
    </w:p>
    <w:p w14:paraId="358EC2A9" w14:textId="77777777" w:rsidR="00D40151" w:rsidRPr="00873B6C" w:rsidRDefault="00D40151" w:rsidP="00D40151">
      <w:r w:rsidRPr="00873B6C">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873B6C" w:rsidRDefault="00D40151" w:rsidP="00D40151">
      <w:r w:rsidRPr="00873B6C">
        <w:t>A UE supporting IMS voice over 3GPP access connected to 5GC and that is EPS capable shall also support IMS voice over E-UTRA connected to EPC.</w:t>
      </w:r>
    </w:p>
    <w:p w14:paraId="50D0530A" w14:textId="77777777" w:rsidR="00D40151" w:rsidRPr="00873B6C" w:rsidRDefault="00D40151" w:rsidP="00D40151">
      <w:pPr>
        <w:pStyle w:val="NO"/>
      </w:pPr>
      <w:r w:rsidRPr="00873B6C">
        <w:t>NOTE:</w:t>
      </w:r>
      <w:r w:rsidRPr="00873B6C">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873B6C" w:rsidRDefault="00D40151" w:rsidP="00D40151">
      <w:pPr>
        <w:pStyle w:val="Heading4"/>
      </w:pPr>
      <w:bookmarkStart w:id="2944" w:name="_CR5_16_3_8"/>
      <w:bookmarkStart w:id="2945" w:name="_Toc20149945"/>
      <w:bookmarkStart w:id="2946" w:name="_Toc27846744"/>
      <w:bookmarkStart w:id="2947" w:name="_Toc36187875"/>
      <w:bookmarkStart w:id="2948" w:name="_Toc45183779"/>
      <w:bookmarkStart w:id="2949" w:name="_Toc47342621"/>
      <w:bookmarkStart w:id="2950" w:name="_Toc51769322"/>
      <w:bookmarkStart w:id="2951" w:name="_Toc201157331"/>
      <w:bookmarkEnd w:id="2944"/>
      <w:r w:rsidRPr="00873B6C">
        <w:t>5.16.3.8</w:t>
      </w:r>
      <w:r w:rsidRPr="00873B6C">
        <w:tab/>
        <w:t>Domain and Access Selection for UE originating SMS</w:t>
      </w:r>
      <w:bookmarkEnd w:id="2945"/>
      <w:bookmarkEnd w:id="2946"/>
      <w:bookmarkEnd w:id="2947"/>
      <w:bookmarkEnd w:id="2948"/>
      <w:bookmarkEnd w:id="2949"/>
      <w:bookmarkEnd w:id="2950"/>
      <w:bookmarkEnd w:id="2951"/>
    </w:p>
    <w:p w14:paraId="40ADD93F" w14:textId="77777777" w:rsidR="00D40151" w:rsidRPr="00873B6C" w:rsidRDefault="00D40151" w:rsidP="00D40151">
      <w:pPr>
        <w:pStyle w:val="Heading5"/>
      </w:pPr>
      <w:bookmarkStart w:id="2952" w:name="_CR5_16_3_8_1"/>
      <w:bookmarkStart w:id="2953" w:name="_Toc20149946"/>
      <w:bookmarkStart w:id="2954" w:name="_Toc27846745"/>
      <w:bookmarkStart w:id="2955" w:name="_Toc36187876"/>
      <w:bookmarkStart w:id="2956" w:name="_Toc45183780"/>
      <w:bookmarkStart w:id="2957" w:name="_Toc47342622"/>
      <w:bookmarkStart w:id="2958" w:name="_Toc51769323"/>
      <w:bookmarkStart w:id="2959" w:name="_Toc201157332"/>
      <w:bookmarkEnd w:id="2952"/>
      <w:r w:rsidRPr="00873B6C">
        <w:t>5.16.3.8.1</w:t>
      </w:r>
      <w:r w:rsidRPr="00873B6C">
        <w:tab/>
        <w:t>UE originating SMS for IMS Capable UEs supporting SMS over IP</w:t>
      </w:r>
      <w:bookmarkEnd w:id="2953"/>
      <w:bookmarkEnd w:id="2954"/>
      <w:bookmarkEnd w:id="2955"/>
      <w:bookmarkEnd w:id="2956"/>
      <w:bookmarkEnd w:id="2957"/>
      <w:bookmarkEnd w:id="2958"/>
      <w:bookmarkEnd w:id="2959"/>
    </w:p>
    <w:p w14:paraId="68742292" w14:textId="77777777" w:rsidR="00D40151" w:rsidRPr="00873B6C" w:rsidRDefault="00D40151" w:rsidP="00D40151">
      <w:r w:rsidRPr="00873B6C">
        <w:t>To allow for appropriate domain selection for SMS delivery, it should be possible to provision UEs with the following HPLMN operator preferences on how an IMS enabled UE is supposed to handle SMS services:</w:t>
      </w:r>
    </w:p>
    <w:p w14:paraId="4A5F2F54" w14:textId="77777777" w:rsidR="00D40151" w:rsidRPr="00873B6C" w:rsidRDefault="00D40151" w:rsidP="00D40151">
      <w:pPr>
        <w:pStyle w:val="B2"/>
      </w:pPr>
      <w:r w:rsidRPr="00873B6C">
        <w:t>-</w:t>
      </w:r>
      <w:r w:rsidRPr="00873B6C">
        <w:tab/>
        <w:t>SMS is not to be invoked over IP networks: the UE does not attempt to deliver SMS over IP networks. The UE attempts to deliver SMS over NAS signalling.</w:t>
      </w:r>
    </w:p>
    <w:p w14:paraId="40A77FC2" w14:textId="77777777" w:rsidR="00D40151" w:rsidRPr="00873B6C" w:rsidRDefault="00D40151" w:rsidP="00D40151">
      <w:pPr>
        <w:pStyle w:val="B2"/>
      </w:pPr>
      <w:r w:rsidRPr="00873B6C">
        <w:t>-</w:t>
      </w:r>
      <w:r w:rsidRPr="00873B6C">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873B6C" w:rsidRDefault="00D40151" w:rsidP="00D40151">
      <w:pPr>
        <w:pStyle w:val="Heading5"/>
      </w:pPr>
      <w:bookmarkStart w:id="2960" w:name="_CR5_16_3_8_2"/>
      <w:bookmarkStart w:id="2961" w:name="_Toc20149947"/>
      <w:bookmarkStart w:id="2962" w:name="_Toc27846746"/>
      <w:bookmarkStart w:id="2963" w:name="_Toc36187877"/>
      <w:bookmarkStart w:id="2964" w:name="_Toc45183781"/>
      <w:bookmarkStart w:id="2965" w:name="_Toc47342623"/>
      <w:bookmarkStart w:id="2966" w:name="_Toc51769324"/>
      <w:bookmarkStart w:id="2967" w:name="_Toc201157333"/>
      <w:bookmarkEnd w:id="2960"/>
      <w:r w:rsidRPr="00873B6C">
        <w:t>5.16.3.8.2</w:t>
      </w:r>
      <w:r w:rsidRPr="00873B6C">
        <w:tab/>
        <w:t>Access Selection for SMS over NAS</w:t>
      </w:r>
      <w:bookmarkEnd w:id="2961"/>
      <w:bookmarkEnd w:id="2962"/>
      <w:bookmarkEnd w:id="2963"/>
      <w:bookmarkEnd w:id="2964"/>
      <w:bookmarkEnd w:id="2965"/>
      <w:bookmarkEnd w:id="2966"/>
      <w:bookmarkEnd w:id="2967"/>
    </w:p>
    <w:p w14:paraId="60060392" w14:textId="77777777" w:rsidR="00D40151" w:rsidRPr="00873B6C" w:rsidRDefault="00D40151" w:rsidP="00D40151">
      <w:r w:rsidRPr="00873B6C">
        <w:t>It should be possible to provision UEs with the HPLMN SMS over NAS operator preferences on access selection for delivering SMS over NAS signalling.</w:t>
      </w:r>
    </w:p>
    <w:p w14:paraId="61C3DAB8" w14:textId="77777777" w:rsidR="00D40151" w:rsidRPr="00873B6C" w:rsidRDefault="00D40151" w:rsidP="00D40151">
      <w:r w:rsidRPr="00873B6C">
        <w:t>Based on the SMS over NAS preference:</w:t>
      </w:r>
    </w:p>
    <w:p w14:paraId="31AAA727" w14:textId="77777777" w:rsidR="00D40151" w:rsidRPr="00873B6C" w:rsidRDefault="00D40151" w:rsidP="00D40151">
      <w:pPr>
        <w:pStyle w:val="B2"/>
      </w:pPr>
      <w:r w:rsidRPr="00873B6C">
        <w:t>-</w:t>
      </w:r>
      <w:r w:rsidRPr="00873B6C">
        <w:tab/>
        <w:t>SMS is preferred to be invoked over 3GPP access for NAS transport: the UE attempts to deliver MO SMS over NAS via 3GPP access if the UE is both registered in 3GPP access and non-3GPP access.</w:t>
      </w:r>
    </w:p>
    <w:p w14:paraId="7ADB42A1" w14:textId="77777777" w:rsidR="00D40151" w:rsidRPr="00873B6C" w:rsidRDefault="00D40151" w:rsidP="00D40151">
      <w:pPr>
        <w:pStyle w:val="B2"/>
      </w:pPr>
      <w:r w:rsidRPr="00873B6C">
        <w:lastRenderedPageBreak/>
        <w:t>-</w:t>
      </w:r>
      <w:r w:rsidRPr="00873B6C">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873B6C" w:rsidRDefault="00D40151" w:rsidP="00D40151">
      <w:pPr>
        <w:pStyle w:val="Heading4"/>
      </w:pPr>
      <w:bookmarkStart w:id="2968" w:name="_CR5_16_3_9"/>
      <w:bookmarkStart w:id="2969" w:name="_Toc20149948"/>
      <w:bookmarkStart w:id="2970" w:name="_Toc27846747"/>
      <w:bookmarkStart w:id="2971" w:name="_Toc36187878"/>
      <w:bookmarkStart w:id="2972" w:name="_Toc45183782"/>
      <w:bookmarkStart w:id="2973" w:name="_Toc47342624"/>
      <w:bookmarkStart w:id="2974" w:name="_Toc51769325"/>
      <w:bookmarkStart w:id="2975" w:name="_Toc201157334"/>
      <w:bookmarkEnd w:id="2968"/>
      <w:r w:rsidRPr="00873B6C">
        <w:t>5.16.3.9</w:t>
      </w:r>
      <w:r w:rsidRPr="00873B6C">
        <w:tab/>
        <w:t>SMF support for P-CSCF restoration procedure</w:t>
      </w:r>
      <w:bookmarkEnd w:id="2969"/>
      <w:bookmarkEnd w:id="2970"/>
      <w:bookmarkEnd w:id="2971"/>
      <w:bookmarkEnd w:id="2972"/>
      <w:bookmarkEnd w:id="2973"/>
      <w:bookmarkEnd w:id="2974"/>
      <w:bookmarkEnd w:id="2975"/>
    </w:p>
    <w:p w14:paraId="0D677415" w14:textId="76744FA2" w:rsidR="00D40151" w:rsidRPr="00873B6C" w:rsidRDefault="00D40151" w:rsidP="00D40151">
      <w:pPr>
        <w:rPr>
          <w:lang w:eastAsia="x-none"/>
        </w:rPr>
      </w:pPr>
      <w:r w:rsidRPr="00873B6C">
        <w:rPr>
          <w:lang w:eastAsia="x-none"/>
        </w:rPr>
        <w:t xml:space="preserve">For the support of P-CSCF restoration the SMF behaves as described in </w:t>
      </w:r>
      <w:r w:rsidR="00972E70" w:rsidRPr="00873B6C">
        <w:rPr>
          <w:lang w:eastAsia="x-none"/>
        </w:rPr>
        <w:t>TS 23.380 [</w:t>
      </w:r>
      <w:r w:rsidRPr="00873B6C">
        <w:rPr>
          <w:lang w:eastAsia="x-none"/>
        </w:rPr>
        <w:t>61].</w:t>
      </w:r>
    </w:p>
    <w:p w14:paraId="54DD1501" w14:textId="77777777" w:rsidR="00D40151" w:rsidRPr="00873B6C" w:rsidRDefault="00D40151" w:rsidP="00D40151">
      <w:pPr>
        <w:pStyle w:val="Heading4"/>
      </w:pPr>
      <w:bookmarkStart w:id="2976" w:name="_CR5_16_3_10"/>
      <w:bookmarkStart w:id="2977" w:name="_Toc20149949"/>
      <w:bookmarkStart w:id="2978" w:name="_Toc27846748"/>
      <w:bookmarkStart w:id="2979" w:name="_Toc36187879"/>
      <w:bookmarkStart w:id="2980" w:name="_Toc45183783"/>
      <w:bookmarkStart w:id="2981" w:name="_Toc47342625"/>
      <w:bookmarkStart w:id="2982" w:name="_Toc51769326"/>
      <w:bookmarkStart w:id="2983" w:name="_Toc201157335"/>
      <w:bookmarkEnd w:id="2976"/>
      <w:r w:rsidRPr="00873B6C">
        <w:t>5.16.3.10</w:t>
      </w:r>
      <w:r w:rsidRPr="00873B6C">
        <w:tab/>
        <w:t>IMS Voice Service via EPS Fallback or RAT fallback in 5GS</w:t>
      </w:r>
      <w:bookmarkEnd w:id="2977"/>
      <w:bookmarkEnd w:id="2978"/>
      <w:bookmarkEnd w:id="2979"/>
      <w:bookmarkEnd w:id="2980"/>
      <w:bookmarkEnd w:id="2981"/>
      <w:bookmarkEnd w:id="2982"/>
      <w:bookmarkEnd w:id="2983"/>
    </w:p>
    <w:p w14:paraId="407BBD3A" w14:textId="77777777" w:rsidR="00D40151" w:rsidRPr="00873B6C" w:rsidRDefault="00D40151" w:rsidP="00D40151">
      <w:pPr>
        <w:rPr>
          <w:lang w:eastAsia="x-none"/>
        </w:rPr>
      </w:pPr>
      <w:r w:rsidRPr="00873B6C">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873B6C" w:rsidRDefault="00D40151" w:rsidP="00D40151">
      <w:pPr>
        <w:rPr>
          <w:lang w:eastAsia="x-none"/>
        </w:rPr>
      </w:pPr>
      <w:r w:rsidRPr="00873B6C">
        <w:rPr>
          <w:lang w:eastAsia="x-none"/>
        </w:rPr>
        <w:t>Following principles apply for IMS Voice Service:</w:t>
      </w:r>
    </w:p>
    <w:p w14:paraId="219435D0" w14:textId="77777777" w:rsidR="00D40151" w:rsidRPr="00873B6C" w:rsidRDefault="00D40151" w:rsidP="00D40151">
      <w:pPr>
        <w:pStyle w:val="B1"/>
      </w:pPr>
      <w:r w:rsidRPr="00873B6C">
        <w:t>-</w:t>
      </w:r>
      <w:r w:rsidRPr="00873B6C">
        <w:tab/>
        <w:t>The serving AMF indicates toward the UE during the Registration procedure that IMS voice over PS session is supported.</w:t>
      </w:r>
    </w:p>
    <w:p w14:paraId="4DE12D73" w14:textId="77FF7FCE" w:rsidR="00D40151" w:rsidRPr="00873B6C" w:rsidRDefault="00D40151" w:rsidP="00D40151">
      <w:pPr>
        <w:pStyle w:val="B1"/>
      </w:pPr>
      <w:r w:rsidRPr="00873B6C">
        <w:t>-</w:t>
      </w:r>
      <w:r w:rsidRPr="00873B6C">
        <w:tab/>
        <w:t xml:space="preserve">If a request for establishing the </w:t>
      </w:r>
      <w:r w:rsidR="00426DE4" w:rsidRPr="00873B6C">
        <w:t>QoS Flow</w:t>
      </w:r>
      <w:r w:rsidRPr="00873B6C">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873B6C" w:rsidRDefault="00D40151" w:rsidP="00D40151">
      <w:pPr>
        <w:pStyle w:val="B2"/>
      </w:pPr>
      <w:r w:rsidRPr="00873B6C">
        <w:t>-</w:t>
      </w:r>
      <w:r w:rsidRPr="00873B6C">
        <w:tab/>
        <w:t>Redirection to EPS;</w:t>
      </w:r>
    </w:p>
    <w:p w14:paraId="64F02127" w14:textId="77777777" w:rsidR="00D40151" w:rsidRPr="00873B6C" w:rsidRDefault="00D40151" w:rsidP="00D40151">
      <w:pPr>
        <w:pStyle w:val="B2"/>
      </w:pPr>
      <w:r w:rsidRPr="00873B6C">
        <w:t>-</w:t>
      </w:r>
      <w:r w:rsidRPr="00873B6C">
        <w:tab/>
        <w:t>Handover procedure to EPS;</w:t>
      </w:r>
    </w:p>
    <w:p w14:paraId="6B34C017" w14:textId="77777777" w:rsidR="00D40151" w:rsidRPr="00873B6C" w:rsidRDefault="00D40151" w:rsidP="00D40151">
      <w:pPr>
        <w:pStyle w:val="B2"/>
      </w:pPr>
      <w:r w:rsidRPr="00873B6C">
        <w:t>-</w:t>
      </w:r>
      <w:r w:rsidRPr="00873B6C">
        <w:tab/>
        <w:t>Redirection to E-UTRA connected to 5GC; or</w:t>
      </w:r>
    </w:p>
    <w:p w14:paraId="61BA13E9" w14:textId="77777777" w:rsidR="00D40151" w:rsidRPr="00873B6C" w:rsidRDefault="00D40151" w:rsidP="00D40151">
      <w:pPr>
        <w:pStyle w:val="B2"/>
      </w:pPr>
      <w:r w:rsidRPr="00873B6C">
        <w:t>-</w:t>
      </w:r>
      <w:r w:rsidRPr="00873B6C">
        <w:tab/>
        <w:t>Handover to E-UTRA connected to 5GC.</w:t>
      </w:r>
    </w:p>
    <w:p w14:paraId="3A9ABEAA" w14:textId="57AEEEC6" w:rsidR="00D40151" w:rsidRPr="00873B6C" w:rsidRDefault="00D40151" w:rsidP="00D40151">
      <w:pPr>
        <w:pStyle w:val="B1"/>
        <w:rPr>
          <w:lang w:eastAsia="zh-CN"/>
        </w:rPr>
      </w:pPr>
      <w:r w:rsidRPr="00873B6C">
        <w:rPr>
          <w:lang w:eastAsia="zh-CN"/>
        </w:rPr>
        <w:t>-</w:t>
      </w:r>
      <w:r w:rsidRPr="00873B6C">
        <w:rPr>
          <w:lang w:eastAsia="zh-CN"/>
        </w:rPr>
        <w:tab/>
        <w:t xml:space="preserve">If needed, Network Provided Location Information is provided as described in clauses 4.13.6.1 and 4.13.6.2 of </w:t>
      </w:r>
      <w:r w:rsidR="00972E70" w:rsidRPr="00873B6C">
        <w:rPr>
          <w:lang w:eastAsia="zh-CN"/>
        </w:rPr>
        <w:t>TS 23.502 [</w:t>
      </w:r>
      <w:r w:rsidRPr="00873B6C">
        <w:rPr>
          <w:lang w:eastAsia="zh-CN"/>
        </w:rPr>
        <w:t>3].</w:t>
      </w:r>
    </w:p>
    <w:p w14:paraId="5D91649C" w14:textId="77777777" w:rsidR="00D40151" w:rsidRPr="00873B6C" w:rsidRDefault="00D40151" w:rsidP="00D40151">
      <w:pPr>
        <w:pStyle w:val="B1"/>
      </w:pPr>
      <w:r w:rsidRPr="00873B6C">
        <w:t>-</w:t>
      </w:r>
      <w:r w:rsidRPr="00873B6C">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873B6C" w:rsidRDefault="00D40151" w:rsidP="00D40151">
      <w:pPr>
        <w:pStyle w:val="NO"/>
      </w:pPr>
      <w:r w:rsidRPr="00873B6C">
        <w:t>NOTE:</w:t>
      </w:r>
      <w:r w:rsidRPr="00873B6C">
        <w:tab/>
        <w:t>Any change in IMS voice over PS session indicator applies to new IMS sessions initiated only after the ongoing IMS voice session is terminated.</w:t>
      </w:r>
    </w:p>
    <w:p w14:paraId="44AFA8EE" w14:textId="6C00C6EF" w:rsidR="00D40151" w:rsidRPr="00873B6C" w:rsidRDefault="00D40151" w:rsidP="00D40151">
      <w:r w:rsidRPr="00873B6C">
        <w:t xml:space="preserve">During any release of RRC connection including after EPS/RAT fallback is performed, the eNB or NG-RAN node may provide to the UE dedicated idle mode priorities for NR as defined in </w:t>
      </w:r>
      <w:r w:rsidR="00972E70" w:rsidRPr="00873B6C">
        <w:t>TS 36.331 [</w:t>
      </w:r>
      <w:r w:rsidRPr="00873B6C">
        <w:t>51] taking into account RFSP, PLMNs contained in Handover Restriction List and local operator policy. If the UE remains ECM/</w:t>
      </w:r>
      <w:r w:rsidR="00511811" w:rsidRPr="00873B6C">
        <w:t xml:space="preserve">CM-CONNECTED </w:t>
      </w:r>
      <w:r w:rsidRPr="00873B6C">
        <w:t>after the voice call has ended, the eNB or NG-RAN node may trigger handover to NR connected to 5GC, if configured to do so, taking into account local operator policy and Handover Restriction List.</w:t>
      </w:r>
    </w:p>
    <w:p w14:paraId="21F09166" w14:textId="77777777" w:rsidR="00D40151" w:rsidRPr="00873B6C" w:rsidRDefault="00D40151" w:rsidP="00D40151">
      <w:pPr>
        <w:pStyle w:val="Heading4"/>
      </w:pPr>
      <w:bookmarkStart w:id="2984" w:name="_CR5_16_3_11"/>
      <w:bookmarkStart w:id="2985" w:name="_Toc20149950"/>
      <w:bookmarkStart w:id="2986" w:name="_Toc27846749"/>
      <w:bookmarkStart w:id="2987" w:name="_Toc36187880"/>
      <w:bookmarkStart w:id="2988" w:name="_Toc45183784"/>
      <w:bookmarkStart w:id="2989" w:name="_Toc47342626"/>
      <w:bookmarkStart w:id="2990" w:name="_Toc51769327"/>
      <w:bookmarkStart w:id="2991" w:name="_Toc201157336"/>
      <w:bookmarkEnd w:id="2984"/>
      <w:r w:rsidRPr="00873B6C">
        <w:t>5.16.3.11</w:t>
      </w:r>
      <w:r w:rsidRPr="00873B6C">
        <w:tab/>
        <w:t>P-CSCF discovery and selection</w:t>
      </w:r>
      <w:bookmarkEnd w:id="2985"/>
      <w:bookmarkEnd w:id="2986"/>
      <w:bookmarkEnd w:id="2987"/>
      <w:bookmarkEnd w:id="2988"/>
      <w:bookmarkEnd w:id="2989"/>
      <w:bookmarkEnd w:id="2990"/>
      <w:bookmarkEnd w:id="2991"/>
    </w:p>
    <w:p w14:paraId="2506AEDA" w14:textId="77777777" w:rsidR="00D40151" w:rsidRPr="00873B6C" w:rsidRDefault="00D40151" w:rsidP="00D40151">
      <w:pPr>
        <w:rPr>
          <w:lang w:eastAsia="x-none"/>
        </w:rPr>
      </w:pPr>
      <w:r w:rsidRPr="00873B6C">
        <w:rPr>
          <w:lang w:eastAsia="x-none"/>
        </w:rPr>
        <w:t>P-CSCF selection functionality may be used by the SMF to select the P-CSCF for an IMS PDU Session of the UE.</w:t>
      </w:r>
    </w:p>
    <w:p w14:paraId="0C6EAEE6" w14:textId="32054684" w:rsidR="00D40151" w:rsidRPr="00873B6C" w:rsidRDefault="00D40151" w:rsidP="00D40151">
      <w:pPr>
        <w:rPr>
          <w:lang w:eastAsia="x-none"/>
        </w:rPr>
      </w:pPr>
      <w:r w:rsidRPr="00873B6C">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873B6C" w:rsidRDefault="00D40151" w:rsidP="00D40151">
      <w:pPr>
        <w:rPr>
          <w:lang w:eastAsia="x-none"/>
        </w:rPr>
      </w:pPr>
      <w:r w:rsidRPr="00873B6C">
        <w:rPr>
          <w:lang w:eastAsia="x-none"/>
        </w:rPr>
        <w:t>The following factors may be considered during the P-CSCF discovery and selection:</w:t>
      </w:r>
    </w:p>
    <w:p w14:paraId="490309A7" w14:textId="77777777" w:rsidR="00D40151" w:rsidRPr="00873B6C" w:rsidRDefault="00D40151" w:rsidP="00D40151">
      <w:pPr>
        <w:pStyle w:val="B1"/>
      </w:pPr>
      <w:r w:rsidRPr="00873B6C">
        <w:t>-</w:t>
      </w:r>
      <w:r w:rsidRPr="00873B6C">
        <w:tab/>
        <w:t>S-NSSAI of the PDU Session.</w:t>
      </w:r>
    </w:p>
    <w:p w14:paraId="149629EE" w14:textId="77777777" w:rsidR="00D40151" w:rsidRPr="00873B6C" w:rsidRDefault="00D40151" w:rsidP="00D40151">
      <w:pPr>
        <w:pStyle w:val="B1"/>
      </w:pPr>
      <w:r w:rsidRPr="00873B6C">
        <w:t>-</w:t>
      </w:r>
      <w:r w:rsidRPr="00873B6C">
        <w:tab/>
        <w:t>UE location information.</w:t>
      </w:r>
    </w:p>
    <w:p w14:paraId="5FD35644" w14:textId="77777777" w:rsidR="00D40151" w:rsidRPr="00873B6C" w:rsidRDefault="00D40151" w:rsidP="00D40151">
      <w:pPr>
        <w:pStyle w:val="B1"/>
      </w:pPr>
      <w:r w:rsidRPr="00873B6C">
        <w:lastRenderedPageBreak/>
        <w:t>-</w:t>
      </w:r>
      <w:r w:rsidRPr="00873B6C">
        <w:tab/>
        <w:t>Local operator policies.</w:t>
      </w:r>
    </w:p>
    <w:p w14:paraId="49A1617E" w14:textId="77777777" w:rsidR="00D40151" w:rsidRPr="00873B6C" w:rsidRDefault="00D40151" w:rsidP="00D40151">
      <w:pPr>
        <w:pStyle w:val="B1"/>
      </w:pPr>
      <w:r w:rsidRPr="00873B6C">
        <w:t>-</w:t>
      </w:r>
      <w:r w:rsidRPr="00873B6C">
        <w:tab/>
        <w:t>Availability of candidate P-CSCFs.</w:t>
      </w:r>
    </w:p>
    <w:p w14:paraId="4F26031A" w14:textId="77777777" w:rsidR="00D40151" w:rsidRPr="00873B6C" w:rsidRDefault="00D40151" w:rsidP="00D40151">
      <w:pPr>
        <w:pStyle w:val="B1"/>
      </w:pPr>
      <w:r w:rsidRPr="00873B6C">
        <w:t>-</w:t>
      </w:r>
      <w:r w:rsidRPr="00873B6C">
        <w:tab/>
        <w:t>UE IP address.</w:t>
      </w:r>
    </w:p>
    <w:p w14:paraId="0051DE9B" w14:textId="77777777" w:rsidR="00D40151" w:rsidRPr="00873B6C" w:rsidRDefault="00D40151" w:rsidP="00D40151">
      <w:pPr>
        <w:pStyle w:val="B1"/>
      </w:pPr>
      <w:r w:rsidRPr="00873B6C">
        <w:t>-</w:t>
      </w:r>
      <w:r w:rsidRPr="00873B6C">
        <w:tab/>
        <w:t>Access Type.</w:t>
      </w:r>
    </w:p>
    <w:p w14:paraId="5FD591D6" w14:textId="77777777" w:rsidR="00D40151" w:rsidRPr="00873B6C" w:rsidRDefault="00D40151" w:rsidP="00D40151">
      <w:pPr>
        <w:pStyle w:val="B1"/>
      </w:pPr>
      <w:r w:rsidRPr="00873B6C">
        <w:t>-</w:t>
      </w:r>
      <w:r w:rsidRPr="00873B6C">
        <w:tab/>
        <w:t>Proximity to location of selected UPF.</w:t>
      </w:r>
    </w:p>
    <w:p w14:paraId="1F489B0F" w14:textId="77777777" w:rsidR="00D40151" w:rsidRPr="00873B6C" w:rsidRDefault="00D40151" w:rsidP="00D40151">
      <w:pPr>
        <w:pStyle w:val="B1"/>
      </w:pPr>
      <w:r w:rsidRPr="00873B6C">
        <w:t>-</w:t>
      </w:r>
      <w:r w:rsidRPr="00873B6C">
        <w:tab/>
        <w:t>Selected Data Network Name (DNN).</w:t>
      </w:r>
    </w:p>
    <w:p w14:paraId="3F7147EB" w14:textId="77777777" w:rsidR="00D40151" w:rsidRPr="00873B6C" w:rsidRDefault="00D40151" w:rsidP="00D40151">
      <w:pPr>
        <w:pStyle w:val="Heading4"/>
      </w:pPr>
      <w:bookmarkStart w:id="2992" w:name="_CR5_16_3_12"/>
      <w:bookmarkStart w:id="2993" w:name="_Toc20149951"/>
      <w:bookmarkStart w:id="2994" w:name="_Toc27846750"/>
      <w:bookmarkStart w:id="2995" w:name="_Toc36187881"/>
      <w:bookmarkStart w:id="2996" w:name="_Toc45183785"/>
      <w:bookmarkStart w:id="2997" w:name="_Toc47342627"/>
      <w:bookmarkStart w:id="2998" w:name="_Toc51769328"/>
      <w:bookmarkStart w:id="2999" w:name="_Toc201157337"/>
      <w:bookmarkEnd w:id="2992"/>
      <w:r w:rsidRPr="00873B6C">
        <w:t>5.16.3.12</w:t>
      </w:r>
      <w:r w:rsidRPr="00873B6C">
        <w:tab/>
        <w:t>HSS discovery and selection</w:t>
      </w:r>
      <w:bookmarkEnd w:id="2993"/>
      <w:bookmarkEnd w:id="2994"/>
      <w:bookmarkEnd w:id="2995"/>
      <w:bookmarkEnd w:id="2996"/>
      <w:bookmarkEnd w:id="2997"/>
      <w:bookmarkEnd w:id="2998"/>
      <w:bookmarkEnd w:id="2999"/>
    </w:p>
    <w:p w14:paraId="77E0E86C" w14:textId="53DC717F" w:rsidR="00D40151" w:rsidRPr="00873B6C" w:rsidRDefault="00D40151" w:rsidP="00D40151">
      <w:pPr>
        <w:rPr>
          <w:lang w:eastAsia="x-none"/>
        </w:rPr>
      </w:pPr>
      <w:r w:rsidRPr="00873B6C">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873B6C">
        <w:rPr>
          <w:lang w:eastAsia="x-none"/>
        </w:rPr>
        <w:t>of</w:t>
      </w:r>
      <w:r w:rsidRPr="00873B6C">
        <w:rPr>
          <w:lang w:eastAsia="x-none"/>
        </w:rPr>
        <w:t xml:space="preserve"> </w:t>
      </w:r>
      <w:r w:rsidR="00972E70" w:rsidRPr="00873B6C">
        <w:rPr>
          <w:lang w:eastAsia="x-none"/>
        </w:rPr>
        <w:t>TS 23.228 [</w:t>
      </w:r>
      <w:r w:rsidRPr="00873B6C">
        <w:rPr>
          <w:lang w:eastAsia="x-none"/>
        </w:rPr>
        <w:t>15] and clause 6.3.1 for details.</w:t>
      </w:r>
    </w:p>
    <w:p w14:paraId="0A416036" w14:textId="77777777" w:rsidR="00D40151" w:rsidRPr="00873B6C" w:rsidRDefault="00D40151" w:rsidP="00D40151">
      <w:pPr>
        <w:pStyle w:val="Heading3"/>
      </w:pPr>
      <w:bookmarkStart w:id="3000" w:name="_CR5_16_4"/>
      <w:bookmarkStart w:id="3001" w:name="_Toc20149952"/>
      <w:bookmarkStart w:id="3002" w:name="_Toc27846751"/>
      <w:bookmarkStart w:id="3003" w:name="_Toc36187882"/>
      <w:bookmarkStart w:id="3004" w:name="_Toc45183786"/>
      <w:bookmarkStart w:id="3005" w:name="_Toc47342628"/>
      <w:bookmarkStart w:id="3006" w:name="_Toc51769329"/>
      <w:bookmarkStart w:id="3007" w:name="_Toc201157338"/>
      <w:bookmarkEnd w:id="3000"/>
      <w:r w:rsidRPr="00873B6C">
        <w:t>5.16.4</w:t>
      </w:r>
      <w:r w:rsidRPr="00873B6C">
        <w:tab/>
        <w:t>Emergency Services</w:t>
      </w:r>
      <w:bookmarkEnd w:id="3001"/>
      <w:bookmarkEnd w:id="3002"/>
      <w:bookmarkEnd w:id="3003"/>
      <w:bookmarkEnd w:id="3004"/>
      <w:bookmarkEnd w:id="3005"/>
      <w:bookmarkEnd w:id="3006"/>
      <w:bookmarkEnd w:id="3007"/>
    </w:p>
    <w:p w14:paraId="0914BD87" w14:textId="77777777" w:rsidR="00D40151" w:rsidRPr="00873B6C" w:rsidRDefault="00D40151" w:rsidP="00D40151">
      <w:pPr>
        <w:pStyle w:val="Heading4"/>
      </w:pPr>
      <w:bookmarkStart w:id="3008" w:name="_CR5_16_4_1"/>
      <w:bookmarkStart w:id="3009" w:name="_Toc20149953"/>
      <w:bookmarkStart w:id="3010" w:name="_Toc27846752"/>
      <w:bookmarkStart w:id="3011" w:name="_Toc36187883"/>
      <w:bookmarkStart w:id="3012" w:name="_Toc45183787"/>
      <w:bookmarkStart w:id="3013" w:name="_Toc47342629"/>
      <w:bookmarkStart w:id="3014" w:name="_Toc51769330"/>
      <w:bookmarkStart w:id="3015" w:name="_Toc201157339"/>
      <w:bookmarkEnd w:id="3008"/>
      <w:r w:rsidRPr="00873B6C">
        <w:t>5.16.4.1</w:t>
      </w:r>
      <w:r w:rsidRPr="00873B6C">
        <w:tab/>
        <w:t>Introduction</w:t>
      </w:r>
      <w:bookmarkEnd w:id="3009"/>
      <w:bookmarkEnd w:id="3010"/>
      <w:bookmarkEnd w:id="3011"/>
      <w:bookmarkEnd w:id="3012"/>
      <w:bookmarkEnd w:id="3013"/>
      <w:bookmarkEnd w:id="3014"/>
      <w:bookmarkEnd w:id="3015"/>
    </w:p>
    <w:p w14:paraId="7BB7A993" w14:textId="692131A1" w:rsidR="00D40151" w:rsidRPr="00873B6C" w:rsidRDefault="00D40151" w:rsidP="00D40151">
      <w:pPr>
        <w:rPr>
          <w:lang w:eastAsia="ja-JP"/>
        </w:rPr>
      </w:pPr>
      <w:r w:rsidRPr="00873B6C">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873B6C">
        <w:t xml:space="preserve">Emergency Registered </w:t>
      </w:r>
      <w:r w:rsidRPr="00873B6C">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873B6C">
        <w:rPr>
          <w:lang w:eastAsia="ja-JP"/>
        </w:rPr>
        <w:t xml:space="preserve">clause 4.3.12.1 of </w:t>
      </w:r>
      <w:r w:rsidR="00972E70" w:rsidRPr="00873B6C">
        <w:rPr>
          <w:lang w:eastAsia="ja-JP"/>
        </w:rPr>
        <w:t>TS 23.401 [</w:t>
      </w:r>
      <w:r w:rsidRPr="00873B6C">
        <w:rPr>
          <w:lang w:eastAsia="ja-JP"/>
        </w:rPr>
        <w:t>26] are supported.</w:t>
      </w:r>
    </w:p>
    <w:p w14:paraId="4FF15BD2" w14:textId="6C501CAE" w:rsidR="00D40151" w:rsidRPr="00873B6C" w:rsidRDefault="00D40151" w:rsidP="00D40151">
      <w:pPr>
        <w:rPr>
          <w:lang w:eastAsia="ja-JP"/>
        </w:rPr>
      </w:pPr>
      <w:r w:rsidRPr="00873B6C">
        <w:rPr>
          <w:lang w:eastAsia="ja-JP"/>
        </w:rPr>
        <w:t>Emergency Services shall not be provided to a UE over 3GPP access and non-3GPP access concurrently</w:t>
      </w:r>
      <w:r w:rsidR="00591B52" w:rsidRPr="00873B6C">
        <w:rPr>
          <w:lang w:eastAsia="ja-JP"/>
        </w:rPr>
        <w:t>. Transfer from one Access Type to the other takes place as follows</w:t>
      </w:r>
      <w:r w:rsidRPr="00873B6C">
        <w:rPr>
          <w:lang w:eastAsia="ja-JP"/>
        </w:rPr>
        <w:t>:</w:t>
      </w:r>
    </w:p>
    <w:p w14:paraId="795C6505" w14:textId="5864FAAC" w:rsidR="00D40151" w:rsidRPr="00873B6C" w:rsidRDefault="00D40151" w:rsidP="00D40151">
      <w:pPr>
        <w:pStyle w:val="B1"/>
      </w:pPr>
      <w:r w:rsidRPr="00873B6C">
        <w:t>-</w:t>
      </w:r>
      <w:r w:rsidRPr="00873B6C">
        <w:tab/>
        <w:t>a UE may be Emergency</w:t>
      </w:r>
      <w:r w:rsidR="00252264" w:rsidRPr="00873B6C">
        <w:t xml:space="preserve"> or normally</w:t>
      </w:r>
      <w:r w:rsidRPr="00873B6C">
        <w:t xml:space="preserve"> Registered and have an emergency PDU session over non-3GPP access or may be attached </w:t>
      </w:r>
      <w:r w:rsidR="00252264" w:rsidRPr="00873B6C">
        <w:t xml:space="preserve">with an </w:t>
      </w:r>
      <w:r w:rsidRPr="00873B6C">
        <w:t xml:space="preserve">emergency session to ePDG over untrusted WLAN (as defined in </w:t>
      </w:r>
      <w:r w:rsidR="00972E70" w:rsidRPr="00873B6C">
        <w:t>TS 23.402 [</w:t>
      </w:r>
      <w:r w:rsidRPr="00873B6C">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873B6C">
        <w:t xml:space="preserve"> clause</w:t>
      </w:r>
      <w:r w:rsidR="00616F73" w:rsidRPr="00873B6C">
        <w:t> </w:t>
      </w:r>
      <w:r w:rsidR="00D602DF" w:rsidRPr="00873B6C">
        <w:t>4.9.2</w:t>
      </w:r>
      <w:r w:rsidR="00616F73" w:rsidRPr="00873B6C">
        <w:t xml:space="preserve"> or clause 4.9.3</w:t>
      </w:r>
      <w:r w:rsidR="00704A9E" w:rsidRPr="00873B6C">
        <w:t xml:space="preserve"> </w:t>
      </w:r>
      <w:r w:rsidR="00D602DF" w:rsidRPr="00873B6C">
        <w:t xml:space="preserve">of </w:t>
      </w:r>
      <w:r w:rsidR="00972E70" w:rsidRPr="00873B6C">
        <w:t>TS 23.502 [</w:t>
      </w:r>
      <w:r w:rsidRPr="00873B6C">
        <w:t>3]). If there is no native support for Emergency Services in the selected RAT, but Emergency Services Fallback to another RAT in 5GS or to another System where Emergency Services</w:t>
      </w:r>
      <w:r w:rsidR="00252264" w:rsidRPr="00873B6C">
        <w:t xml:space="preserve"> is</w:t>
      </w:r>
      <w:r w:rsidRPr="00873B6C">
        <w:t xml:space="preserve"> supported (based on the conditions defined in clause 5.16.4.11), the UE may trigger first Emergency Services Fallback (see</w:t>
      </w:r>
      <w:r w:rsidR="00D602DF" w:rsidRPr="00873B6C">
        <w:t xml:space="preserve"> clause 4.13.4.2</w:t>
      </w:r>
      <w:r w:rsidRPr="00873B6C">
        <w:t xml:space="preserve"> </w:t>
      </w:r>
      <w:r w:rsidR="00D602DF" w:rsidRPr="00873B6C">
        <w:t xml:space="preserve">of </w:t>
      </w:r>
      <w:r w:rsidR="00972E70" w:rsidRPr="00873B6C">
        <w:t>TS 23.502 [</w:t>
      </w:r>
      <w:r w:rsidRPr="00873B6C">
        <w:t>3]) and then attempt to transfer the emergency PDU session from non-3GPP access to 3GPP access (see</w:t>
      </w:r>
      <w:r w:rsidR="00D602DF" w:rsidRPr="00873B6C">
        <w:t xml:space="preserve"> clause 4.9.2</w:t>
      </w:r>
      <w:r w:rsidRPr="00873B6C">
        <w:t xml:space="preserve"> </w:t>
      </w:r>
      <w:r w:rsidR="00D602DF" w:rsidRPr="00873B6C">
        <w:t xml:space="preserve">of </w:t>
      </w:r>
      <w:r w:rsidR="00972E70" w:rsidRPr="00873B6C">
        <w:t>TS 23.502 [</w:t>
      </w:r>
      <w:r w:rsidRPr="00873B6C">
        <w:t xml:space="preserve">3]). </w:t>
      </w:r>
      <w:r w:rsidR="00591B52" w:rsidRPr="00873B6C">
        <w:t xml:space="preserve">During the session transfer </w:t>
      </w:r>
      <w:r w:rsidRPr="00873B6C">
        <w:t>the UE may</w:t>
      </w:r>
      <w:r w:rsidR="00591B52" w:rsidRPr="00873B6C">
        <w:t xml:space="preserve"> be registered to</w:t>
      </w:r>
      <w:r w:rsidRPr="00873B6C">
        <w:t xml:space="preserve"> receive emergency services over both 3GPP access and non-3GPP access concurrently.</w:t>
      </w:r>
    </w:p>
    <w:p w14:paraId="01DDF8EB" w14:textId="1A31CDDB" w:rsidR="00252264" w:rsidRPr="00873B6C" w:rsidRDefault="00252264" w:rsidP="005A13C0">
      <w:pPr>
        <w:pStyle w:val="NO"/>
      </w:pPr>
      <w:r w:rsidRPr="00873B6C">
        <w:t>NOTE 1:</w:t>
      </w:r>
      <w:r w:rsidRPr="00873B6C">
        <w:tab/>
        <w:t>The conditions upon which the UE determines that 3GPP access becomes available are implementation dependent.</w:t>
      </w:r>
    </w:p>
    <w:p w14:paraId="689C79EF" w14:textId="230B4189" w:rsidR="00D40151" w:rsidRPr="00873B6C" w:rsidRDefault="00D40151" w:rsidP="00D40151">
      <w:pPr>
        <w:rPr>
          <w:lang w:eastAsia="ja-JP"/>
        </w:rPr>
      </w:pPr>
      <w:r w:rsidRPr="00873B6C">
        <w:rPr>
          <w:lang w:eastAsia="ja-JP"/>
        </w:rPr>
        <w:t xml:space="preserve">A UE may only attempt to use Emergency Services over non-3GPP access if it is unable to use Emergency Services over 3GPP access as specified in </w:t>
      </w:r>
      <w:r w:rsidR="00972E70" w:rsidRPr="00873B6C">
        <w:rPr>
          <w:lang w:eastAsia="ja-JP"/>
        </w:rPr>
        <w:t>TS 23.167 [</w:t>
      </w:r>
      <w:r w:rsidRPr="00873B6C">
        <w:rPr>
          <w:lang w:eastAsia="ja-JP"/>
        </w:rPr>
        <w:t>18].</w:t>
      </w:r>
    </w:p>
    <w:p w14:paraId="5DF95BDC" w14:textId="201EDFBD" w:rsidR="00183D3D" w:rsidRPr="00873B6C" w:rsidRDefault="00183D3D" w:rsidP="00D40151">
      <w:pPr>
        <w:rPr>
          <w:lang w:eastAsia="ja-JP"/>
        </w:rPr>
      </w:pPr>
      <w:r w:rsidRPr="00873B6C">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5DBBC29C" w:rsidR="00D40151" w:rsidRPr="00873B6C" w:rsidRDefault="00D40151" w:rsidP="00D40151">
      <w:pPr>
        <w:rPr>
          <w:lang w:eastAsia="ja-JP"/>
        </w:rPr>
      </w:pPr>
      <w:r w:rsidRPr="00873B6C">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30234B" w:rsidRPr="00873B6C">
        <w:rPr>
          <w:lang w:eastAsia="ja-JP"/>
        </w:rPr>
        <w:t xml:space="preserve"> contains UE-AMBR and</w:t>
      </w:r>
      <w:r w:rsidRPr="00873B6C">
        <w:rPr>
          <w:lang w:eastAsia="ja-JP"/>
        </w:rPr>
        <w:t xml:space="preserve"> may</w:t>
      </w:r>
      <w:r w:rsidR="0030234B" w:rsidRPr="00873B6C">
        <w:rPr>
          <w:lang w:eastAsia="ja-JP"/>
        </w:rPr>
        <w:t xml:space="preserve"> also</w:t>
      </w:r>
      <w:r w:rsidRPr="00873B6C">
        <w:rPr>
          <w:lang w:eastAsia="ja-JP"/>
        </w:rPr>
        <w:t xml:space="preserve"> contain the statically configured SMF for the </w:t>
      </w:r>
      <w:r w:rsidRPr="00873B6C">
        <w:rPr>
          <w:lang w:eastAsia="ja-JP"/>
        </w:rPr>
        <w:lastRenderedPageBreak/>
        <w:t>Emergency DNN. The SMF may also store Emergency Configuration Data that contains statically configured UPF information for the Emergency DNN.</w:t>
      </w:r>
    </w:p>
    <w:p w14:paraId="60256EA5" w14:textId="37FC25A3" w:rsidR="003A2901" w:rsidRPr="00873B6C" w:rsidRDefault="003A2901" w:rsidP="00323277">
      <w:pPr>
        <w:pStyle w:val="NO"/>
        <w:rPr>
          <w:rFonts w:eastAsia="Malgun Gothic"/>
        </w:rPr>
      </w:pPr>
      <w:r w:rsidRPr="00873B6C">
        <w:rPr>
          <w:rFonts w:eastAsia="Malgun Gothic"/>
        </w:rPr>
        <w:t>NOTE </w:t>
      </w:r>
      <w:r w:rsidR="00252264" w:rsidRPr="00873B6C">
        <w:rPr>
          <w:rFonts w:eastAsia="Malgun Gothic"/>
        </w:rPr>
        <w:t>2</w:t>
      </w:r>
      <w:r w:rsidRPr="00873B6C">
        <w:rPr>
          <w:rFonts w:eastAsia="Malgun Gothic"/>
        </w:rPr>
        <w:t>:</w:t>
      </w:r>
      <w:r w:rsidRPr="00873B6C">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62F9DB75" w:rsidR="00D40151" w:rsidRPr="00873B6C" w:rsidRDefault="00D40151" w:rsidP="00D40151">
      <w:pPr>
        <w:rPr>
          <w:rFonts w:eastAsia="Malgun Gothic"/>
        </w:rPr>
      </w:pPr>
      <w:r w:rsidRPr="00873B6C">
        <w:rPr>
          <w:rFonts w:eastAsia="Malgun Gothic"/>
        </w:rPr>
        <w:t>When the UE is camped normally in the cell, i.e. not in limited service state, during Registration procedure described in</w:t>
      </w:r>
      <w:r w:rsidR="00960CDA" w:rsidRPr="00873B6C">
        <w:rPr>
          <w:rFonts w:eastAsia="Batang"/>
        </w:rPr>
        <w:t xml:space="preserve"> clause 4.2.2.2</w:t>
      </w:r>
      <w:r w:rsidRPr="00873B6C">
        <w:rPr>
          <w:rFonts w:eastAsia="Malgun Gothic"/>
        </w:rPr>
        <w:t xml:space="preserve"> </w:t>
      </w:r>
      <w:r w:rsidR="00960CDA" w:rsidRPr="00873B6C">
        <w:rPr>
          <w:rFonts w:eastAsia="Malgun Gothic"/>
        </w:rPr>
        <w:t xml:space="preserve">of </w:t>
      </w:r>
      <w:r w:rsidR="00972E70" w:rsidRPr="00873B6C">
        <w:rPr>
          <w:rFonts w:eastAsia="Malgun Gothic"/>
        </w:rPr>
        <w:t>TS 23.502 [</w:t>
      </w:r>
      <w:r w:rsidRPr="00873B6C">
        <w:rPr>
          <w:rFonts w:eastAsia="Malgun Gothic"/>
        </w:rPr>
        <w:t xml:space="preserve">3], the serving AMF includes an indication for </w:t>
      </w:r>
      <w:r w:rsidRPr="00873B6C">
        <w:t xml:space="preserve">Emergency Services Support </w:t>
      </w:r>
      <w:r w:rsidRPr="00873B6C">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4BC93352" w:rsidR="00D40151" w:rsidRPr="00873B6C" w:rsidRDefault="00D40151" w:rsidP="00D40151">
      <w:pPr>
        <w:rPr>
          <w:rFonts w:eastAsia="Malgun Gothic"/>
        </w:rPr>
      </w:pPr>
      <w:r w:rsidRPr="00873B6C">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972E70" w:rsidRPr="00873B6C">
        <w:rPr>
          <w:rFonts w:eastAsia="Malgun Gothic"/>
        </w:rPr>
        <w:t>TS 24.501 [</w:t>
      </w:r>
      <w:r w:rsidRPr="00873B6C">
        <w:rPr>
          <w:rFonts w:eastAsia="Malgun Gothic"/>
        </w:rPr>
        <w:t>47].</w:t>
      </w:r>
    </w:p>
    <w:p w14:paraId="30025419" w14:textId="64A91A9E" w:rsidR="00D40151" w:rsidRPr="00873B6C" w:rsidRDefault="00D40151" w:rsidP="00D40151">
      <w:r w:rsidRPr="00873B6C">
        <w:t>During Registration procedures over 3GPP access</w:t>
      </w:r>
      <w:r w:rsidR="008E69B3" w:rsidRPr="00873B6C">
        <w:t xml:space="preserve"> in a PLMN</w:t>
      </w:r>
      <w:r w:rsidRPr="00873B6C">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873B6C" w:rsidRDefault="00D40151" w:rsidP="00D40151">
      <w:pPr>
        <w:pStyle w:val="B1"/>
      </w:pPr>
      <w:r w:rsidRPr="00873B6C">
        <w:t>-</w:t>
      </w:r>
      <w:r w:rsidRPr="00873B6C">
        <w:tab/>
        <w:t>the Network is able to support Emergency Services natively over 5GS;</w:t>
      </w:r>
    </w:p>
    <w:p w14:paraId="79F8F9ED" w14:textId="490A3392" w:rsidR="00D40151" w:rsidRPr="00873B6C" w:rsidRDefault="00D40151" w:rsidP="00D40151">
      <w:pPr>
        <w:pStyle w:val="B1"/>
      </w:pPr>
      <w:r w:rsidRPr="00873B6C">
        <w:t>-</w:t>
      </w:r>
      <w:r w:rsidRPr="00873B6C">
        <w:tab/>
        <w:t xml:space="preserve">E-UTRA connected to 5GC supports </w:t>
      </w:r>
      <w:r w:rsidRPr="00873B6C">
        <w:rPr>
          <w:lang w:eastAsia="zh-CN"/>
        </w:rPr>
        <w:t xml:space="preserve">IMS Emergency </w:t>
      </w:r>
      <w:r w:rsidRPr="00873B6C">
        <w:t>Services (e.g. voice)</w:t>
      </w:r>
      <w:r w:rsidR="00472CD7" w:rsidRPr="00873B6C">
        <w:t xml:space="preserve"> and</w:t>
      </w:r>
      <w:r w:rsidRPr="00873B6C">
        <w:t xml:space="preserve"> the NG-RAN is able to trigger handover or redirection from NR to E-UTRA connected to 5GC at QoS Flow establishment for </w:t>
      </w:r>
      <w:r w:rsidRPr="00873B6C">
        <w:rPr>
          <w:lang w:eastAsia="zh-CN"/>
        </w:rPr>
        <w:t>IMS Emergency</w:t>
      </w:r>
      <w:r w:rsidRPr="00873B6C">
        <w:t xml:space="preserve"> Services (e.g. voice);</w:t>
      </w:r>
    </w:p>
    <w:p w14:paraId="5F98DFF9" w14:textId="77777777" w:rsidR="00D40151" w:rsidRPr="00873B6C" w:rsidRDefault="00D40151" w:rsidP="00D40151">
      <w:pPr>
        <w:pStyle w:val="B1"/>
        <w:rPr>
          <w:lang w:eastAsia="zh-CN"/>
        </w:rPr>
      </w:pPr>
      <w:r w:rsidRPr="00873B6C">
        <w:t>-</w:t>
      </w:r>
      <w:r w:rsidRPr="00873B6C">
        <w:tab/>
        <w:t xml:space="preserve">NG-RAN is able to trigger handover to EPS at QoS Flow establishment for </w:t>
      </w:r>
      <w:r w:rsidRPr="00873B6C">
        <w:rPr>
          <w:lang w:eastAsia="zh-CN"/>
        </w:rPr>
        <w:t>IMS Emergency</w:t>
      </w:r>
      <w:r w:rsidRPr="00873B6C">
        <w:t xml:space="preserve"> Services (e.g. voice)</w:t>
      </w:r>
      <w:r w:rsidRPr="00873B6C">
        <w:rPr>
          <w:lang w:eastAsia="zh-CN"/>
        </w:rPr>
        <w:t>;</w:t>
      </w:r>
    </w:p>
    <w:p w14:paraId="06D53C6F" w14:textId="77777777" w:rsidR="00D40151" w:rsidRPr="00873B6C" w:rsidRDefault="00D40151" w:rsidP="00D40151">
      <w:pPr>
        <w:pStyle w:val="B1"/>
        <w:rPr>
          <w:lang w:eastAsia="ja-JP"/>
        </w:rPr>
      </w:pPr>
      <w:r w:rsidRPr="00873B6C">
        <w:t>-</w:t>
      </w:r>
      <w:r w:rsidRPr="00873B6C">
        <w:tab/>
        <w:t xml:space="preserve">NG-RAN is able to trigger </w:t>
      </w:r>
      <w:r w:rsidRPr="00873B6C">
        <w:rPr>
          <w:lang w:eastAsia="zh-CN"/>
        </w:rPr>
        <w:t xml:space="preserve">redirection to </w:t>
      </w:r>
      <w:r w:rsidRPr="00873B6C">
        <w:t>EPS at QoS Flow establishment for IMS Emergency Services (e.g. voice); or</w:t>
      </w:r>
    </w:p>
    <w:p w14:paraId="3D7C3428" w14:textId="77777777" w:rsidR="00D40151" w:rsidRPr="00873B6C" w:rsidRDefault="00D40151" w:rsidP="00D40151">
      <w:pPr>
        <w:pStyle w:val="B1"/>
      </w:pPr>
      <w:r w:rsidRPr="00873B6C">
        <w:t>-</w:t>
      </w:r>
      <w:r w:rsidRPr="00873B6C">
        <w:tab/>
        <w:t>NG-RAN is able to trigger 5G SRVCC handover to UTRAN for IMS Emergency Services (i.e. voice).</w:t>
      </w:r>
    </w:p>
    <w:p w14:paraId="60E9C775" w14:textId="77777777" w:rsidR="00D40151" w:rsidRPr="00873B6C" w:rsidRDefault="00D40151" w:rsidP="00D40151">
      <w:r w:rsidRPr="00873B6C">
        <w:t>During Registration procedures over non-3GPP access, the 5GC indicates that Emergency Services are supported if the Network is able to support Emergency Services natively over 5GS.</w:t>
      </w:r>
    </w:p>
    <w:p w14:paraId="68F171B3" w14:textId="4A7F4C81" w:rsidR="008E69B3" w:rsidRPr="00873B6C" w:rsidRDefault="008E69B3" w:rsidP="00D40151">
      <w:r w:rsidRPr="00873B6C">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873B6C" w:rsidRDefault="008E69B3" w:rsidP="00562E84">
      <w:pPr>
        <w:pStyle w:val="B1"/>
      </w:pPr>
      <w:r w:rsidRPr="00873B6C">
        <w:t>-</w:t>
      </w:r>
      <w:r w:rsidRPr="00873B6C">
        <w:tab/>
        <w:t>the Network is able to support Emergency Services natively over 5GS.</w:t>
      </w:r>
    </w:p>
    <w:p w14:paraId="0395C70C" w14:textId="11A3BD17" w:rsidR="00D40151" w:rsidRPr="00873B6C" w:rsidRDefault="00D40151" w:rsidP="00D40151">
      <w:r w:rsidRPr="00873B6C">
        <w:t xml:space="preserve">The 5GC includes an indication per RAT whether it supports Emergency Services Fallback </w:t>
      </w:r>
      <w:r w:rsidRPr="00873B6C">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094D5C7" w14:textId="6A63A184" w:rsidR="00BA4B57" w:rsidRPr="00873B6C" w:rsidRDefault="00BA4B57" w:rsidP="00DD6726">
      <w:pPr>
        <w:pStyle w:val="NO"/>
      </w:pPr>
      <w:r w:rsidRPr="00873B6C">
        <w:t>NOTE 3:</w:t>
      </w:r>
      <w:r w:rsidRPr="00873B6C">
        <w:tab/>
        <w:t>If a certain RAT is restricted for Emergency Services, the restriction of the corresponding RAT for Emergency Services Support is configured in the RAN Node. This helps the RAN node to determine whether to set up Dual Connectivity for Emergency Services.</w:t>
      </w:r>
    </w:p>
    <w:p w14:paraId="74537F76" w14:textId="0E448D11" w:rsidR="00D40151" w:rsidRPr="00873B6C" w:rsidRDefault="00D40151" w:rsidP="00D40151">
      <w:pPr>
        <w:rPr>
          <w:lang w:eastAsia="ja-JP"/>
        </w:rPr>
      </w:pPr>
      <w:r w:rsidRPr="00873B6C">
        <w:rPr>
          <w:lang w:eastAsia="ja-JP"/>
        </w:rPr>
        <w:t xml:space="preserve">UEs that are in limited service state, as specified in </w:t>
      </w:r>
      <w:r w:rsidR="00972E70" w:rsidRPr="00873B6C">
        <w:rPr>
          <w:lang w:eastAsia="ja-JP"/>
        </w:rPr>
        <w:t>TS 23.122 [</w:t>
      </w:r>
      <w:r w:rsidRPr="00873B6C">
        <w:rPr>
          <w:lang w:eastAsia="ja-JP"/>
        </w:rPr>
        <w:t xml:space="preserve">17], or that camp normally on a cell but failed to register successfully to the network under conditions specified in </w:t>
      </w:r>
      <w:r w:rsidR="00972E70" w:rsidRPr="00873B6C">
        <w:rPr>
          <w:lang w:eastAsia="ja-JP"/>
        </w:rPr>
        <w:t>TS 24.501 [</w:t>
      </w:r>
      <w:r w:rsidRPr="00873B6C">
        <w:rPr>
          <w:lang w:eastAsia="ja-JP"/>
        </w:rPr>
        <w:t>47], initiate the Registration procedure by indicating that the registration is to receive Emergency Services, referred to as Emergency Registration</w:t>
      </w:r>
      <w:r w:rsidR="00472CD7" w:rsidRPr="00873B6C">
        <w:rPr>
          <w:lang w:eastAsia="ja-JP"/>
        </w:rPr>
        <w:t xml:space="preserve"> and</w:t>
      </w:r>
      <w:r w:rsidRPr="00873B6C">
        <w:rPr>
          <w:lang w:eastAsia="ja-JP"/>
        </w:rPr>
        <w:t xml:space="preserve"> a Follow-on request is </w:t>
      </w:r>
      <w:r w:rsidRPr="00873B6C">
        <w:rPr>
          <w:rFonts w:eastAsia="SimSun"/>
          <w:lang w:eastAsia="zh-CN"/>
        </w:rPr>
        <w:t>included in the Registration Request to initiate</w:t>
      </w:r>
      <w:r w:rsidRPr="00873B6C">
        <w:t xml:space="preserve"> PDU Session Establishment procedure</w:t>
      </w:r>
      <w:r w:rsidRPr="00873B6C">
        <w:rPr>
          <w:rFonts w:eastAsia="SimSun"/>
          <w:lang w:eastAsia="zh-CN"/>
        </w:rPr>
        <w:t xml:space="preserve"> </w:t>
      </w:r>
      <w:r w:rsidRPr="00873B6C">
        <w:t>with a Request Type indicating "Emergency Request"</w:t>
      </w:r>
      <w:r w:rsidRPr="00873B6C">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873B6C">
        <w:t>the UE Requested PDU Session Establishment procedure</w:t>
      </w:r>
      <w:r w:rsidRPr="00873B6C">
        <w:rPr>
          <w:rFonts w:eastAsia="SimSun"/>
          <w:lang w:eastAsia="zh-CN"/>
        </w:rPr>
        <w:t xml:space="preserve"> </w:t>
      </w:r>
      <w:r w:rsidRPr="00873B6C">
        <w:t>to receive Emergency Services, i.e. with a Request Type indicating "Emergency Request"</w:t>
      </w:r>
      <w:r w:rsidRPr="00873B6C">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65C8326F" w:rsidR="00D40151" w:rsidRPr="00873B6C" w:rsidRDefault="00D40151" w:rsidP="00D40151">
      <w:pPr>
        <w:rPr>
          <w:lang w:eastAsia="ja-JP"/>
        </w:rPr>
      </w:pPr>
      <w:r w:rsidRPr="00873B6C">
        <w:rPr>
          <w:lang w:eastAsia="ja-JP"/>
        </w:rPr>
        <w:lastRenderedPageBreak/>
        <w:t>For Emergency Services</w:t>
      </w:r>
      <w:r w:rsidRPr="00873B6C">
        <w:t xml:space="preserve"> over 3GPP access</w:t>
      </w:r>
      <w:r w:rsidR="002D6B6E" w:rsidRPr="00873B6C">
        <w:t xml:space="preserve"> via PLMN</w:t>
      </w:r>
      <w:r w:rsidRPr="00873B6C">
        <w:rPr>
          <w:lang w:eastAsia="ja-JP"/>
        </w:rPr>
        <w:t>, other than eCall over IMS, the UEs in limited service state</w:t>
      </w:r>
      <w:r w:rsidR="002D6B6E" w:rsidRPr="00873B6C">
        <w:rPr>
          <w:lang w:eastAsia="ja-JP"/>
        </w:rPr>
        <w:t xml:space="preserve"> that do not operate in SNPN access mode</w:t>
      </w:r>
      <w:r w:rsidRPr="00873B6C">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873B6C">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w:t>
      </w:r>
      <w:r w:rsidR="00972E70" w:rsidRPr="00873B6C">
        <w:rPr>
          <w:lang w:eastAsia="ja-JP"/>
        </w:rPr>
        <w:t>TS 23.122 [</w:t>
      </w:r>
      <w:r w:rsidR="00A725B6" w:rsidRPr="00873B6C">
        <w:rPr>
          <w:lang w:eastAsia="ja-JP"/>
        </w:rPr>
        <w:t>17].</w:t>
      </w:r>
      <w:r w:rsidRPr="00873B6C">
        <w:rPr>
          <w:lang w:eastAsia="ja-JP"/>
        </w:rPr>
        <w:t xml:space="preserve"> </w:t>
      </w:r>
      <w:r w:rsidRPr="00873B6C">
        <w:t xml:space="preserve">For Emergency Services over untrusted non-3GPP access, other than eCall over IMS, the UE in limited service state selects any N3IWF as specified in clause 6.3.6. </w:t>
      </w:r>
      <w:r w:rsidRPr="00873B6C">
        <w:rPr>
          <w:lang w:eastAsia="ja-JP"/>
        </w:rPr>
        <w:t>Emergency calls for eCall Over IMS may only be performed if the UE has a USIM.</w:t>
      </w:r>
    </w:p>
    <w:p w14:paraId="455E0722" w14:textId="7DA1CF1D" w:rsidR="008E69B3" w:rsidRPr="00873B6C" w:rsidRDefault="008E69B3" w:rsidP="00D40151">
      <w:pPr>
        <w:rPr>
          <w:lang w:eastAsia="ja-JP"/>
        </w:rPr>
      </w:pPr>
      <w:r w:rsidRPr="00873B6C">
        <w:rPr>
          <w:lang w:eastAsia="ja-JP"/>
        </w:rPr>
        <w:t>For Emergency Services over NR via SNPN, other than eCall over IMS</w:t>
      </w:r>
      <w:r w:rsidR="002D6B6E" w:rsidRPr="00873B6C">
        <w:rPr>
          <w:lang w:eastAsia="ja-JP"/>
        </w:rPr>
        <w:t>,</w:t>
      </w:r>
      <w:r w:rsidRPr="00873B6C">
        <w:rPr>
          <w:lang w:eastAsia="ja-JP"/>
        </w:rPr>
        <w:t xml:space="preserve"> the UEs in limited service state</w:t>
      </w:r>
      <w:r w:rsidR="002D6B6E" w:rsidRPr="00873B6C">
        <w:rPr>
          <w:lang w:eastAsia="ja-JP"/>
        </w:rPr>
        <w:t xml:space="preserve"> that operate in SNPN access mode</w:t>
      </w:r>
      <w:r w:rsidRPr="00873B6C">
        <w:rPr>
          <w:lang w:eastAsia="ja-JP"/>
        </w:rPr>
        <w:t xml:space="preserve"> determine that the cell supports Emergency Services over NR from a broadcast indicator in AS and indication that the SNPN supports Emergency Services.</w:t>
      </w:r>
      <w:r w:rsidR="002D6B6E" w:rsidRPr="00873B6C">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w:t>
      </w:r>
      <w:r w:rsidR="00972E70" w:rsidRPr="00873B6C">
        <w:rPr>
          <w:lang w:eastAsia="ja-JP"/>
        </w:rPr>
        <w:t>TS 23.122 [</w:t>
      </w:r>
      <w:r w:rsidR="002D6B6E" w:rsidRPr="00873B6C">
        <w:rPr>
          <w:lang w:eastAsia="ja-JP"/>
        </w:rPr>
        <w:t>17].</w:t>
      </w:r>
    </w:p>
    <w:p w14:paraId="059E185F" w14:textId="23310DF1" w:rsidR="00283ED6" w:rsidRPr="00873B6C" w:rsidRDefault="00283ED6" w:rsidP="00D40151">
      <w:pPr>
        <w:rPr>
          <w:lang w:eastAsia="ja-JP"/>
        </w:rPr>
      </w:pPr>
      <w:r w:rsidRPr="00873B6C">
        <w:rPr>
          <w:lang w:eastAsia="ja-JP"/>
        </w:rPr>
        <w:t>For NR satellite access, if a UE in limited service state is aware of its location, the UE select</w:t>
      </w:r>
      <w:r w:rsidR="000342C3" w:rsidRPr="00873B6C">
        <w:rPr>
          <w:lang w:eastAsia="ja-JP"/>
        </w:rPr>
        <w:t>s</w:t>
      </w:r>
      <w:r w:rsidRPr="00873B6C">
        <w:rPr>
          <w:lang w:eastAsia="ja-JP"/>
        </w:rPr>
        <w:t xml:space="preserve"> a PLMN</w:t>
      </w:r>
      <w:r w:rsidR="000342C3" w:rsidRPr="00873B6C">
        <w:rPr>
          <w:lang w:eastAsia="ja-JP"/>
        </w:rPr>
        <w:t xml:space="preserve"> that is allowed to operate in the UE location</w:t>
      </w:r>
      <w:r w:rsidRPr="00873B6C">
        <w:rPr>
          <w:lang w:eastAsia="ja-JP"/>
        </w:rPr>
        <w:t xml:space="preserve"> as specified in</w:t>
      </w:r>
      <w:r w:rsidR="000342C3" w:rsidRPr="00873B6C">
        <w:rPr>
          <w:lang w:eastAsia="ja-JP"/>
        </w:rPr>
        <w:t xml:space="preserve"> </w:t>
      </w:r>
      <w:r w:rsidR="00972E70" w:rsidRPr="00873B6C">
        <w:rPr>
          <w:lang w:eastAsia="ja-JP"/>
        </w:rPr>
        <w:t>TS 23.122 [</w:t>
      </w:r>
      <w:r w:rsidR="000342C3" w:rsidRPr="00873B6C">
        <w:rPr>
          <w:lang w:eastAsia="ja-JP"/>
        </w:rPr>
        <w:t>17]</w:t>
      </w:r>
      <w:r w:rsidRPr="00873B6C">
        <w:rPr>
          <w:lang w:eastAsia="ja-JP"/>
        </w:rPr>
        <w:t>. The network may be configured to verify the location of a UE that is registering for emergency services as specified in clause 5.4.11.4.</w:t>
      </w:r>
    </w:p>
    <w:p w14:paraId="1152C9F7" w14:textId="3F99AD67" w:rsidR="008E69B3" w:rsidRPr="00873B6C" w:rsidRDefault="008E69B3" w:rsidP="00D40151">
      <w:pPr>
        <w:rPr>
          <w:lang w:eastAsia="ja-JP"/>
        </w:rPr>
      </w:pPr>
      <w:r w:rsidRPr="00873B6C">
        <w:rPr>
          <w:lang w:eastAsia="ja-JP"/>
        </w:rPr>
        <w:t>There is no support for eCall over IMS for SNPNs in this Release.</w:t>
      </w:r>
    </w:p>
    <w:p w14:paraId="3EC5CB2F" w14:textId="374C9DE9" w:rsidR="00D40151" w:rsidRPr="00873B6C" w:rsidRDefault="00D40151" w:rsidP="00D40151">
      <w:pPr>
        <w:rPr>
          <w:lang w:eastAsia="ja-JP"/>
        </w:rPr>
      </w:pPr>
      <w:r w:rsidRPr="00873B6C">
        <w:rPr>
          <w:lang w:eastAsia="ja-JP"/>
        </w:rPr>
        <w:t>A serving network shall provide an Access Stratum broadcast indication from NG-RAN (NR or E-UTRA connected to 5GC) to UEs indicating whether eCall Over IMS is supported:</w:t>
      </w:r>
    </w:p>
    <w:p w14:paraId="45109441" w14:textId="77777777" w:rsidR="00D40151" w:rsidRPr="00873B6C" w:rsidRDefault="00D40151" w:rsidP="00D40151">
      <w:pPr>
        <w:pStyle w:val="B1"/>
        <w:rPr>
          <w:lang w:eastAsia="ja-JP"/>
        </w:rPr>
      </w:pPr>
      <w:r w:rsidRPr="00873B6C">
        <w:rPr>
          <w:lang w:eastAsia="ja-JP"/>
        </w:rPr>
        <w:t>-</w:t>
      </w:r>
      <w:r w:rsidRPr="00873B6C">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873B6C" w:rsidRDefault="00D40151" w:rsidP="00D40151">
      <w:pPr>
        <w:pStyle w:val="B1"/>
        <w:rPr>
          <w:lang w:eastAsia="ja-JP"/>
        </w:rPr>
      </w:pPr>
      <w:r w:rsidRPr="00873B6C">
        <w:rPr>
          <w:lang w:eastAsia="ja-JP"/>
        </w:rPr>
        <w:t>-</w:t>
      </w:r>
      <w:r w:rsidRPr="00873B6C">
        <w:rPr>
          <w:lang w:eastAsia="ja-JP"/>
        </w:rPr>
        <w:tab/>
        <w:t>A UE that is not in limited service state determines that the NG-RAN cell supports eCall Over IMS via 5GC using the broadcast indicator for eCall over IMS.</w:t>
      </w:r>
      <w:r w:rsidRPr="00873B6C">
        <w:t xml:space="preserve"> Emergency calls for eCall over IMS are not supported over non-3GPP access.</w:t>
      </w:r>
    </w:p>
    <w:p w14:paraId="2F028E74" w14:textId="3593B4BD" w:rsidR="00D40151" w:rsidRPr="00873B6C" w:rsidRDefault="00D40151" w:rsidP="00D40151">
      <w:pPr>
        <w:pStyle w:val="NO"/>
      </w:pPr>
      <w:r w:rsidRPr="00873B6C">
        <w:t>NOTE </w:t>
      </w:r>
      <w:r w:rsidR="00BA4B57" w:rsidRPr="00873B6C">
        <w:t>4</w:t>
      </w:r>
      <w:r w:rsidRPr="00873B6C">
        <w:t>:</w:t>
      </w:r>
      <w:r w:rsidRPr="00873B6C">
        <w:tab/>
        <w:t>The Access Stratum broadcast indicator is determined according to operator policies and minimally indicates that the PLMN, or all of the PLMNs in the case of network sharing</w:t>
      </w:r>
      <w:r w:rsidR="00472CD7" w:rsidRPr="00873B6C">
        <w:t xml:space="preserve"> and</w:t>
      </w:r>
      <w:r w:rsidRPr="00873B6C">
        <w:t xml:space="preserve"> at least one emergency </w:t>
      </w:r>
      <w:r w:rsidR="0047544D" w:rsidRPr="00873B6C">
        <w:t>centre</w:t>
      </w:r>
      <w:r w:rsidRPr="00873B6C">
        <w:t xml:space="preserve"> or PSAP to which an eCall Over IMS can be routed, support eCall Over IMS.</w:t>
      </w:r>
    </w:p>
    <w:p w14:paraId="101FC4CC" w14:textId="170C9FF1" w:rsidR="00D40151" w:rsidRPr="00873B6C" w:rsidRDefault="00D40151" w:rsidP="00D40151">
      <w:pPr>
        <w:pStyle w:val="B1"/>
        <w:rPr>
          <w:lang w:eastAsia="ja-JP"/>
        </w:rPr>
      </w:pPr>
      <w:r w:rsidRPr="00873B6C">
        <w:rPr>
          <w:lang w:eastAsia="ja-JP"/>
        </w:rPr>
        <w:t>-</w:t>
      </w:r>
      <w:r w:rsidRPr="00873B6C">
        <w:rPr>
          <w:lang w:eastAsia="ja-JP"/>
        </w:rPr>
        <w:tab/>
        <w:t>A UE in limited service state determines that the cell supports eCall Over IMS using both the broadcast indicator for support of Emergency Services over NG-RAN and the broadcast indicator of NG-RAN for eCall over IMS.</w:t>
      </w:r>
      <w:r w:rsidRPr="00873B6C">
        <w:t xml:space="preserve"> Emergency calls for eCall Over IMS are not supported over Non-3GPP access</w:t>
      </w:r>
      <w:r w:rsidR="008E69B3" w:rsidRPr="00873B6C">
        <w:t xml:space="preserve"> and NR via SNPN</w:t>
      </w:r>
      <w:r w:rsidRPr="00873B6C">
        <w:t>.</w:t>
      </w:r>
    </w:p>
    <w:p w14:paraId="2DCD729E" w14:textId="404FA11B" w:rsidR="00D40151" w:rsidRPr="00873B6C" w:rsidRDefault="00D40151" w:rsidP="00D40151">
      <w:pPr>
        <w:pStyle w:val="NO"/>
      </w:pPr>
      <w:r w:rsidRPr="00873B6C">
        <w:t>NOTE </w:t>
      </w:r>
      <w:r w:rsidR="00BA4B57" w:rsidRPr="00873B6C">
        <w:t>5</w:t>
      </w:r>
      <w:r w:rsidRPr="00873B6C">
        <w:t>:</w:t>
      </w:r>
      <w:r w:rsidRPr="00873B6C">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873B6C" w:rsidRDefault="00D40151" w:rsidP="00D40151">
      <w:pPr>
        <w:rPr>
          <w:lang w:eastAsia="ja-JP"/>
        </w:rPr>
      </w:pPr>
      <w:r w:rsidRPr="00873B6C">
        <w:rPr>
          <w:lang w:eastAsia="ja-JP"/>
        </w:rPr>
        <w:t>For a UE that is Emergency Registered, if it is unauthenticated the security context is not set up on UE.</w:t>
      </w:r>
    </w:p>
    <w:p w14:paraId="144249D2" w14:textId="7D51CCB7" w:rsidR="00D40151" w:rsidRPr="00873B6C" w:rsidRDefault="00D40151" w:rsidP="00D40151">
      <w:pPr>
        <w:rPr>
          <w:lang w:eastAsia="ja-JP"/>
        </w:rPr>
      </w:pPr>
      <w:r w:rsidRPr="00873B6C">
        <w:rPr>
          <w:lang w:eastAsia="ja-JP"/>
        </w:rPr>
        <w:t>In order to receive Emergency Services, UEs that camp on a suitable cell in RM-DEREGISTERED state (i.e. without any conditions that result in limited service state),</w:t>
      </w:r>
      <w:r w:rsidRPr="00873B6C">
        <w:t xml:space="preserve"> or that decide to access 5GC via non-3GPP access (and not in limited service state over non-3GPP access)</w:t>
      </w:r>
      <w:r w:rsidRPr="00873B6C">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873B6C">
        <w:t xml:space="preserve">or that are connected via Non-3GPP access </w:t>
      </w:r>
      <w:r w:rsidRPr="00873B6C">
        <w:rPr>
          <w:lang w:eastAsia="ja-JP"/>
        </w:rPr>
        <w:t xml:space="preserve">are informed that the PLMN supports Emergency Services over 5G-AN from the Emergency Services Support indicator in the </w:t>
      </w:r>
      <w:r w:rsidRPr="00873B6C">
        <w:rPr>
          <w:lang w:eastAsia="zh-CN"/>
        </w:rPr>
        <w:t>Registration</w:t>
      </w:r>
      <w:r w:rsidRPr="00873B6C">
        <w:rPr>
          <w:lang w:eastAsia="ja-JP"/>
        </w:rPr>
        <w:t xml:space="preserve"> procedure.</w:t>
      </w:r>
      <w:r w:rsidRPr="00873B6C">
        <w:t xml:space="preserve"> This applies to both 3GPP and non-3GPP Access Types.</w:t>
      </w:r>
      <w:r w:rsidR="008E69B3" w:rsidRPr="00873B6C">
        <w:t xml:space="preserve"> There is no support for Emergency Services for SNPN that is accessed via NWu from a PLMN.</w:t>
      </w:r>
    </w:p>
    <w:p w14:paraId="4E16A8AC" w14:textId="49E4523D" w:rsidR="00D40151" w:rsidRPr="00873B6C" w:rsidRDefault="00D40151" w:rsidP="00D40151">
      <w:pPr>
        <w:pStyle w:val="NO"/>
      </w:pPr>
      <w:r w:rsidRPr="00873B6C">
        <w:t>NOTE </w:t>
      </w:r>
      <w:r w:rsidR="00BA4B57" w:rsidRPr="00873B6C">
        <w:t>6</w:t>
      </w:r>
      <w:r w:rsidRPr="00873B6C">
        <w:t>:</w:t>
      </w:r>
      <w:r w:rsidRPr="00873B6C">
        <w:tab/>
        <w:t>The Emergency Services Support indicator in the Registration procedures does not indicate support for eCall Over IMS.</w:t>
      </w:r>
    </w:p>
    <w:p w14:paraId="5651AED7" w14:textId="174448F9" w:rsidR="00D40151" w:rsidRPr="00873B6C" w:rsidRDefault="00D40151" w:rsidP="00D40151">
      <w:pPr>
        <w:rPr>
          <w:lang w:eastAsia="ja-JP"/>
        </w:rPr>
      </w:pPr>
      <w:r w:rsidRPr="00873B6C">
        <w:rPr>
          <w:lang w:eastAsia="ja-JP"/>
        </w:rPr>
        <w:lastRenderedPageBreak/>
        <w:t>For a UE that is Emergency Registered, normal PLMN</w:t>
      </w:r>
      <w:r w:rsidR="008E69B3" w:rsidRPr="00873B6C">
        <w:rPr>
          <w:lang w:eastAsia="ja-JP"/>
        </w:rPr>
        <w:t xml:space="preserve"> or SNPN</w:t>
      </w:r>
      <w:r w:rsidRPr="00873B6C">
        <w:rPr>
          <w:lang w:eastAsia="ja-JP"/>
        </w:rPr>
        <w:t xml:space="preserve"> selection principles apply after the end of the IMS emergency session.</w:t>
      </w:r>
    </w:p>
    <w:p w14:paraId="16AD5E93" w14:textId="5733C84C" w:rsidR="00D40151" w:rsidRPr="00873B6C" w:rsidRDefault="00D40151" w:rsidP="00D40151">
      <w:pPr>
        <w:pStyle w:val="NO"/>
        <w:rPr>
          <w:lang w:eastAsia="ja-JP"/>
        </w:rPr>
      </w:pPr>
      <w:r w:rsidRPr="00873B6C">
        <w:rPr>
          <w:lang w:eastAsia="ja-JP"/>
        </w:rPr>
        <w:t>NOTE </w:t>
      </w:r>
      <w:r w:rsidR="00BA4B57" w:rsidRPr="00873B6C">
        <w:rPr>
          <w:lang w:eastAsia="ja-JP"/>
        </w:rPr>
        <w:t>7</w:t>
      </w:r>
      <w:r w:rsidRPr="00873B6C">
        <w:rPr>
          <w:lang w:eastAsia="ja-JP"/>
        </w:rPr>
        <w:t>:</w:t>
      </w:r>
      <w:r w:rsidRPr="00873B6C">
        <w:rPr>
          <w:lang w:eastAsia="ja-JP"/>
        </w:rPr>
        <w:tab/>
        <w:t>For Emergency Services, there is no support for inter PLMN mobility thus there is a risk of service disruption due to failed inter PLMN mobility attempts</w:t>
      </w:r>
      <w:r w:rsidR="003A2901" w:rsidRPr="00873B6C">
        <w:rPr>
          <w:lang w:eastAsia="ja-JP"/>
        </w:rPr>
        <w:t xml:space="preserve"> when there is no session continuity (e.g. change of anchor SMF/UPF due to mobility) for the PDU Session and/or based on operator policies</w:t>
      </w:r>
      <w:r w:rsidRPr="00873B6C">
        <w:rPr>
          <w:lang w:eastAsia="ja-JP"/>
        </w:rPr>
        <w:t>.</w:t>
      </w:r>
    </w:p>
    <w:p w14:paraId="3ADC0EC1" w14:textId="7897F927" w:rsidR="003A2901" w:rsidRPr="00873B6C" w:rsidRDefault="003A2901" w:rsidP="003A2901">
      <w:pPr>
        <w:pStyle w:val="NO"/>
        <w:rPr>
          <w:lang w:eastAsia="ja-JP"/>
        </w:rPr>
      </w:pPr>
      <w:r w:rsidRPr="00873B6C">
        <w:rPr>
          <w:lang w:eastAsia="ja-JP"/>
        </w:rPr>
        <w:t>NOTE </w:t>
      </w:r>
      <w:r w:rsidR="00BA4B57" w:rsidRPr="00873B6C">
        <w:rPr>
          <w:lang w:eastAsia="ja-JP"/>
        </w:rPr>
        <w:t>8</w:t>
      </w:r>
      <w:r w:rsidRPr="00873B6C">
        <w:rPr>
          <w:lang w:eastAsia="ja-JP"/>
        </w:rPr>
        <w:tab/>
        <w:t>Based on operator policies, Inter PLMN mobility with session continuity can be supported for Emergency Services if the anchor SMF/UPF for PDU Session supporting Emergency Services does not change.</w:t>
      </w:r>
    </w:p>
    <w:p w14:paraId="1411F988" w14:textId="5D3A91AA" w:rsidR="00D40151" w:rsidRPr="00873B6C" w:rsidRDefault="00D40151" w:rsidP="00D40151">
      <w:pPr>
        <w:rPr>
          <w:lang w:eastAsia="ja-JP"/>
        </w:rPr>
      </w:pPr>
      <w:r w:rsidRPr="00873B6C">
        <w:rPr>
          <w:lang w:eastAsia="ja-JP"/>
        </w:rPr>
        <w:t xml:space="preserve">The UE shall set the RRC establishment cause to emergency as defined in </w:t>
      </w:r>
      <w:r w:rsidR="00972E70" w:rsidRPr="00873B6C">
        <w:rPr>
          <w:lang w:eastAsia="ja-JP"/>
        </w:rPr>
        <w:t>TS 38.331 [</w:t>
      </w:r>
      <w:r w:rsidRPr="00873B6C">
        <w:rPr>
          <w:lang w:eastAsia="ja-JP"/>
        </w:rPr>
        <w:t>28] when it requests an RRC Connection in relation to an emergency session.</w:t>
      </w:r>
    </w:p>
    <w:p w14:paraId="109E9EDD" w14:textId="77777777" w:rsidR="00D40151" w:rsidRPr="00873B6C" w:rsidRDefault="00D40151" w:rsidP="00D40151">
      <w:pPr>
        <w:rPr>
          <w:lang w:eastAsia="ja-JP"/>
        </w:rPr>
      </w:pPr>
      <w:r w:rsidRPr="00873B6C">
        <w:rPr>
          <w:lang w:eastAsia="ja-JP"/>
        </w:rPr>
        <w:t>In the case of Limited Service state, UE shall not include any Network Slice related parameters when communicating with the network.</w:t>
      </w:r>
    </w:p>
    <w:p w14:paraId="30415090" w14:textId="17B71B66" w:rsidR="00D40151" w:rsidRPr="00873B6C" w:rsidRDefault="00D40151" w:rsidP="00D40151">
      <w:pPr>
        <w:rPr>
          <w:lang w:eastAsia="ja-JP"/>
        </w:rPr>
      </w:pPr>
      <w:r w:rsidRPr="00873B6C">
        <w:rPr>
          <w:lang w:eastAsia="ja-JP"/>
        </w:rPr>
        <w:t>When a PLMN</w:t>
      </w:r>
      <w:r w:rsidR="008E69B3" w:rsidRPr="00873B6C">
        <w:rPr>
          <w:lang w:eastAsia="ja-JP"/>
        </w:rPr>
        <w:t xml:space="preserve"> or SNPN</w:t>
      </w:r>
      <w:r w:rsidRPr="00873B6C">
        <w:rPr>
          <w:lang w:eastAsia="ja-JP"/>
        </w:rPr>
        <w:t xml:space="preserve"> supports IMS and Emergency Services:</w:t>
      </w:r>
    </w:p>
    <w:p w14:paraId="54BC7AB4" w14:textId="12048870" w:rsidR="00D40151" w:rsidRPr="00873B6C" w:rsidRDefault="00D40151" w:rsidP="00D40151">
      <w:pPr>
        <w:pStyle w:val="B1"/>
        <w:rPr>
          <w:lang w:eastAsia="ja-JP"/>
        </w:rPr>
      </w:pPr>
      <w:r w:rsidRPr="00873B6C">
        <w:rPr>
          <w:lang w:eastAsia="ja-JP"/>
        </w:rPr>
        <w:t>-</w:t>
      </w:r>
      <w:r w:rsidRPr="00873B6C">
        <w:rPr>
          <w:lang w:eastAsia="ja-JP"/>
        </w:rPr>
        <w:tab/>
        <w:t>all AMFs in that PLMN</w:t>
      </w:r>
      <w:r w:rsidR="008E69B3" w:rsidRPr="00873B6C">
        <w:rPr>
          <w:lang w:eastAsia="ja-JP"/>
        </w:rPr>
        <w:t xml:space="preserve"> or SNPN</w:t>
      </w:r>
      <w:r w:rsidRPr="00873B6C">
        <w:rPr>
          <w:lang w:eastAsia="ja-JP"/>
        </w:rPr>
        <w:t xml:space="preserve"> shall have the capability to support Emergency Services.</w:t>
      </w:r>
    </w:p>
    <w:p w14:paraId="5DBC35CA" w14:textId="77777777" w:rsidR="00D40151" w:rsidRPr="00873B6C" w:rsidRDefault="00D40151" w:rsidP="00D40151">
      <w:pPr>
        <w:pStyle w:val="B1"/>
        <w:rPr>
          <w:lang w:eastAsia="ja-JP"/>
        </w:rPr>
      </w:pPr>
      <w:r w:rsidRPr="00873B6C">
        <w:rPr>
          <w:lang w:eastAsia="ja-JP"/>
        </w:rPr>
        <w:t>-</w:t>
      </w:r>
      <w:r w:rsidRPr="00873B6C">
        <w:rPr>
          <w:lang w:eastAsia="ja-JP"/>
        </w:rPr>
        <w:tab/>
        <w:t>at least one SMF shall have this capability.</w:t>
      </w:r>
    </w:p>
    <w:p w14:paraId="18685D87" w14:textId="63409094" w:rsidR="00D40151" w:rsidRPr="00873B6C" w:rsidRDefault="00D40151" w:rsidP="00D40151">
      <w:pPr>
        <w:rPr>
          <w:lang w:eastAsia="ja-JP"/>
        </w:rPr>
      </w:pPr>
      <w:r w:rsidRPr="00873B6C">
        <w:rPr>
          <w:lang w:eastAsia="ja-JP"/>
        </w:rPr>
        <w:t xml:space="preserve">For other emergency scenarios (e.g. UE autonomous selection for initiating Emergency Services), refer to </w:t>
      </w:r>
      <w:r w:rsidR="00972E70" w:rsidRPr="00873B6C">
        <w:rPr>
          <w:lang w:eastAsia="ja-JP"/>
        </w:rPr>
        <w:t>TS 23.167 [</w:t>
      </w:r>
      <w:r w:rsidRPr="00873B6C">
        <w:rPr>
          <w:lang w:eastAsia="ja-JP"/>
        </w:rPr>
        <w:t>18] for domain selection principles.</w:t>
      </w:r>
    </w:p>
    <w:p w14:paraId="76D8C108" w14:textId="77777777" w:rsidR="00D40151" w:rsidRPr="00873B6C" w:rsidRDefault="00D40151" w:rsidP="00D40151">
      <w:r w:rsidRPr="00873B6C">
        <w:t>For emergency service support in Public network integrated NPNs, refer to clause 5.30.3.5.</w:t>
      </w:r>
    </w:p>
    <w:p w14:paraId="6A0B55F8" w14:textId="6B1B89E1" w:rsidR="00D409DD" w:rsidRPr="00873B6C" w:rsidRDefault="00D409DD" w:rsidP="00D409DD">
      <w:bookmarkStart w:id="3016" w:name="_Toc20149954"/>
      <w:bookmarkStart w:id="3017" w:name="_Toc27846753"/>
      <w:bookmarkStart w:id="3018" w:name="_Toc36187884"/>
      <w:bookmarkStart w:id="3019" w:name="_Toc45183788"/>
      <w:bookmarkStart w:id="3020" w:name="_Toc47342630"/>
      <w:bookmarkStart w:id="3021" w:name="_Toc51769331"/>
      <w:r w:rsidRPr="00873B6C">
        <w:t xml:space="preserve">For emergency support via 5G ProSe UE-to-Network Relaying, refer to </w:t>
      </w:r>
      <w:r w:rsidR="00972E70" w:rsidRPr="00873B6C">
        <w:t>TS 23.304 [</w:t>
      </w:r>
      <w:r w:rsidRPr="00873B6C">
        <w:t>128].</w:t>
      </w:r>
    </w:p>
    <w:p w14:paraId="74724A90" w14:textId="77777777" w:rsidR="00D40151" w:rsidRPr="00873B6C" w:rsidRDefault="00D40151" w:rsidP="00D40151">
      <w:pPr>
        <w:pStyle w:val="Heading4"/>
      </w:pPr>
      <w:bookmarkStart w:id="3022" w:name="_CR5_16_4_2"/>
      <w:bookmarkStart w:id="3023" w:name="_Toc201157340"/>
      <w:bookmarkEnd w:id="3022"/>
      <w:r w:rsidRPr="00873B6C">
        <w:t>5.16.4.2</w:t>
      </w:r>
      <w:r w:rsidRPr="00873B6C">
        <w:tab/>
        <w:t>Architecture Reference Model for Emergency Services</w:t>
      </w:r>
      <w:bookmarkEnd w:id="3016"/>
      <w:bookmarkEnd w:id="3017"/>
      <w:bookmarkEnd w:id="3018"/>
      <w:bookmarkEnd w:id="3019"/>
      <w:bookmarkEnd w:id="3020"/>
      <w:bookmarkEnd w:id="3021"/>
      <w:bookmarkEnd w:id="3023"/>
    </w:p>
    <w:p w14:paraId="5FA35D7D" w14:textId="77777777" w:rsidR="00D40151" w:rsidRPr="00873B6C" w:rsidRDefault="00D40151" w:rsidP="00D40151">
      <w:pPr>
        <w:rPr>
          <w:lang w:eastAsia="ja-JP"/>
        </w:rPr>
      </w:pPr>
      <w:r w:rsidRPr="00873B6C">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873B6C" w:rsidRDefault="00D40151" w:rsidP="00D40151">
      <w:pPr>
        <w:pStyle w:val="Heading4"/>
      </w:pPr>
      <w:bookmarkStart w:id="3024" w:name="_CR5_16_4_3"/>
      <w:bookmarkStart w:id="3025" w:name="_Toc20149955"/>
      <w:bookmarkStart w:id="3026" w:name="_Toc27846754"/>
      <w:bookmarkStart w:id="3027" w:name="_Toc36187885"/>
      <w:bookmarkStart w:id="3028" w:name="_Toc45183789"/>
      <w:bookmarkStart w:id="3029" w:name="_Toc47342631"/>
      <w:bookmarkStart w:id="3030" w:name="_Toc51769332"/>
      <w:bookmarkStart w:id="3031" w:name="_Toc201157341"/>
      <w:bookmarkEnd w:id="3024"/>
      <w:r w:rsidRPr="00873B6C">
        <w:t>5.16.4.3</w:t>
      </w:r>
      <w:r w:rsidRPr="00873B6C">
        <w:tab/>
        <w:t>Mobility Restrictions and Access Restrictions for Emergency Services</w:t>
      </w:r>
      <w:bookmarkEnd w:id="3025"/>
      <w:bookmarkEnd w:id="3026"/>
      <w:bookmarkEnd w:id="3027"/>
      <w:bookmarkEnd w:id="3028"/>
      <w:bookmarkEnd w:id="3029"/>
      <w:bookmarkEnd w:id="3030"/>
      <w:bookmarkEnd w:id="3031"/>
    </w:p>
    <w:p w14:paraId="6BCCDE15" w14:textId="25DE6FFD" w:rsidR="0053150F" w:rsidRPr="00873B6C" w:rsidRDefault="00D40151" w:rsidP="00D40151">
      <w:pPr>
        <w:rPr>
          <w:lang w:eastAsia="ja-JP"/>
        </w:rPr>
      </w:pPr>
      <w:r w:rsidRPr="00873B6C">
        <w:rPr>
          <w:lang w:eastAsia="ja-JP"/>
        </w:rPr>
        <w:t>When Emergency Services are supported and local regulation requires IMS Emergency Sessions to be provided regardless of</w:t>
      </w:r>
      <w:r w:rsidR="008A60FE" w:rsidRPr="00873B6C">
        <w:rPr>
          <w:lang w:eastAsia="ja-JP"/>
        </w:rPr>
        <w:t xml:space="preserve"> Mobility Restrictions or Access Restrictions,</w:t>
      </w:r>
      <w:r w:rsidRPr="00873B6C">
        <w:rPr>
          <w:lang w:eastAsia="ja-JP"/>
        </w:rPr>
        <w:t xml:space="preserve"> the Mobility Restrictions</w:t>
      </w:r>
      <w:r w:rsidR="008A60FE" w:rsidRPr="00873B6C">
        <w:rPr>
          <w:lang w:eastAsia="ja-JP"/>
        </w:rPr>
        <w:t xml:space="preserve"> or Access Restrictions</w:t>
      </w:r>
      <w:r w:rsidRPr="00873B6C">
        <w:rPr>
          <w:lang w:eastAsia="ja-JP"/>
        </w:rPr>
        <w:t xml:space="preserve"> (see clause 5.3.4.1) should not be applied to UEs receiving Emergency Services. </w:t>
      </w:r>
      <w:r w:rsidR="0053150F" w:rsidRPr="00873B6C">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sidRPr="00873B6C">
        <w:rPr>
          <w:lang w:eastAsia="ja-JP"/>
        </w:rPr>
        <w:t>s</w:t>
      </w:r>
      <w:r w:rsidR="0053150F" w:rsidRPr="00873B6C">
        <w:rPr>
          <w:lang w:eastAsia="ja-JP"/>
        </w:rPr>
        <w:t xml:space="preserve"> via PDU Session Release procedure as specified in clause 4.3.4 of </w:t>
      </w:r>
      <w:r w:rsidR="00972E70" w:rsidRPr="00873B6C">
        <w:rPr>
          <w:lang w:eastAsia="ja-JP"/>
        </w:rPr>
        <w:t>TS 23.502 [</w:t>
      </w:r>
      <w:r w:rsidR="0053150F" w:rsidRPr="00873B6C">
        <w:rPr>
          <w:lang w:eastAsia="ja-JP"/>
        </w:rPr>
        <w:t xml:space="preserve">3]. The UE locally releases non-emergency PDU Sessions. The AMF and the UE behave as if the UE is emergency registered as described in </w:t>
      </w:r>
      <w:r w:rsidR="00972E70" w:rsidRPr="00873B6C">
        <w:rPr>
          <w:lang w:eastAsia="ja-JP"/>
        </w:rPr>
        <w:t>TS 24.501 [</w:t>
      </w:r>
      <w:r w:rsidR="0053150F" w:rsidRPr="00873B6C">
        <w:rPr>
          <w:lang w:eastAsia="ja-JP"/>
        </w:rPr>
        <w:t>47].</w:t>
      </w:r>
    </w:p>
    <w:p w14:paraId="3C4CC6E7" w14:textId="2725AF90" w:rsidR="00D40151" w:rsidRPr="00873B6C" w:rsidRDefault="00D40151" w:rsidP="00D40151">
      <w:pPr>
        <w:rPr>
          <w:lang w:eastAsia="ja-JP"/>
        </w:rPr>
      </w:pPr>
      <w:r w:rsidRPr="00873B6C">
        <w:rPr>
          <w:lang w:eastAsia="ja-JP"/>
        </w:rPr>
        <w:t>When the (R)AN resources for Emergency Services are established, the ARP value for Emergency Services indicates the usage for Emergency Services to the 5G-AN.</w:t>
      </w:r>
    </w:p>
    <w:p w14:paraId="68777258" w14:textId="77777777" w:rsidR="00D40151" w:rsidRPr="00873B6C" w:rsidRDefault="00D40151" w:rsidP="00D40151">
      <w:pPr>
        <w:rPr>
          <w:lang w:eastAsia="ja-JP"/>
        </w:rPr>
      </w:pPr>
      <w:r w:rsidRPr="00873B6C">
        <w:rPr>
          <w:lang w:eastAsia="ja-JP"/>
        </w:rPr>
        <w:t xml:space="preserve">During handover, the source NG-RAN and source AMF ignore any UE related restrictions during handover evaluation when there </w:t>
      </w:r>
      <w:r w:rsidRPr="00873B6C">
        <w:t xml:space="preserve">is an </w:t>
      </w:r>
      <w:r w:rsidRPr="00873B6C">
        <w:rPr>
          <w:lang w:eastAsia="ja-JP"/>
        </w:rPr>
        <w:t xml:space="preserve">active </w:t>
      </w:r>
      <w:r w:rsidRPr="00873B6C">
        <w:t xml:space="preserve">PDU Session associated with </w:t>
      </w:r>
      <w:r w:rsidRPr="00873B6C">
        <w:rPr>
          <w:lang w:eastAsia="ja-JP"/>
        </w:rPr>
        <w:t>emergency service.</w:t>
      </w:r>
    </w:p>
    <w:p w14:paraId="496A7F6C" w14:textId="77777777" w:rsidR="00D40151" w:rsidRPr="00873B6C" w:rsidRDefault="00D40151" w:rsidP="00D40151">
      <w:pPr>
        <w:rPr>
          <w:lang w:eastAsia="ja-JP"/>
        </w:rPr>
      </w:pPr>
      <w:r w:rsidRPr="00873B6C">
        <w:rPr>
          <w:lang w:eastAsia="ja-JP"/>
        </w:rPr>
        <w:t xml:space="preserve">During Mobility Registration Update procedures, including a </w:t>
      </w:r>
      <w:r w:rsidRPr="00873B6C">
        <w:rPr>
          <w:lang w:eastAsia="zh-CN"/>
        </w:rPr>
        <w:t>Mobility</w:t>
      </w:r>
      <w:r w:rsidRPr="00873B6C">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873B6C">
        <w:t>not allowed</w:t>
      </w:r>
      <w:r w:rsidRPr="00873B6C">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873B6C">
        <w:t xml:space="preserve">Release </w:t>
      </w:r>
      <w:r w:rsidRPr="00873B6C">
        <w:rPr>
          <w:lang w:eastAsia="ja-JP"/>
        </w:rPr>
        <w:t>by the SMF.</w:t>
      </w:r>
    </w:p>
    <w:p w14:paraId="15A729D4" w14:textId="77777777" w:rsidR="00D40151" w:rsidRPr="00873B6C" w:rsidRDefault="00D40151" w:rsidP="00D40151">
      <w:pPr>
        <w:rPr>
          <w:lang w:eastAsia="ja-JP"/>
        </w:rPr>
      </w:pPr>
      <w:r w:rsidRPr="00873B6C">
        <w:rPr>
          <w:lang w:eastAsia="ja-JP"/>
        </w:rPr>
        <w:t>This functionality applies to all mobility procedures.</w:t>
      </w:r>
    </w:p>
    <w:p w14:paraId="48FC6A74" w14:textId="77777777" w:rsidR="00D40151" w:rsidRPr="00873B6C" w:rsidRDefault="00D40151" w:rsidP="00D40151">
      <w:pPr>
        <w:pStyle w:val="Heading4"/>
      </w:pPr>
      <w:bookmarkStart w:id="3032" w:name="_CR5_16_4_4"/>
      <w:bookmarkStart w:id="3033" w:name="_Toc20149956"/>
      <w:bookmarkStart w:id="3034" w:name="_Toc27846755"/>
      <w:bookmarkStart w:id="3035" w:name="_Toc36187886"/>
      <w:bookmarkStart w:id="3036" w:name="_Toc45183790"/>
      <w:bookmarkStart w:id="3037" w:name="_Toc47342632"/>
      <w:bookmarkStart w:id="3038" w:name="_Toc51769333"/>
      <w:bookmarkStart w:id="3039" w:name="_Toc201157342"/>
      <w:bookmarkEnd w:id="3032"/>
      <w:r w:rsidRPr="00873B6C">
        <w:lastRenderedPageBreak/>
        <w:t>5.16.4.4</w:t>
      </w:r>
      <w:r w:rsidRPr="00873B6C">
        <w:tab/>
        <w:t>Reachability Management</w:t>
      </w:r>
      <w:bookmarkEnd w:id="3033"/>
      <w:bookmarkEnd w:id="3034"/>
      <w:bookmarkEnd w:id="3035"/>
      <w:bookmarkEnd w:id="3036"/>
      <w:bookmarkEnd w:id="3037"/>
      <w:bookmarkEnd w:id="3038"/>
      <w:bookmarkEnd w:id="3039"/>
    </w:p>
    <w:p w14:paraId="168CC613" w14:textId="77777777" w:rsidR="00D40151" w:rsidRPr="00873B6C" w:rsidRDefault="00D40151" w:rsidP="00D40151">
      <w:pPr>
        <w:rPr>
          <w:lang w:eastAsia="ja-JP"/>
        </w:rPr>
      </w:pPr>
      <w:r w:rsidRPr="00873B6C">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873B6C" w:rsidRDefault="00D40151" w:rsidP="00D40151">
      <w:r w:rsidRPr="00873B6C">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873B6C" w:rsidRDefault="00D40151" w:rsidP="00D40151">
      <w:pPr>
        <w:pStyle w:val="Heading4"/>
      </w:pPr>
      <w:bookmarkStart w:id="3040" w:name="_CR5_16_4_5"/>
      <w:bookmarkStart w:id="3041" w:name="_Toc20149957"/>
      <w:bookmarkStart w:id="3042" w:name="_Toc27846756"/>
      <w:bookmarkStart w:id="3043" w:name="_Toc36187887"/>
      <w:bookmarkStart w:id="3044" w:name="_Toc45183791"/>
      <w:bookmarkStart w:id="3045" w:name="_Toc47342633"/>
      <w:bookmarkStart w:id="3046" w:name="_Toc51769334"/>
      <w:bookmarkStart w:id="3047" w:name="_Toc201157343"/>
      <w:bookmarkEnd w:id="3040"/>
      <w:r w:rsidRPr="00873B6C">
        <w:t>5.16.4.5</w:t>
      </w:r>
      <w:r w:rsidRPr="00873B6C">
        <w:tab/>
        <w:t>SMF and UPF selection function for Emergency Services</w:t>
      </w:r>
      <w:bookmarkEnd w:id="3041"/>
      <w:bookmarkEnd w:id="3042"/>
      <w:bookmarkEnd w:id="3043"/>
      <w:bookmarkEnd w:id="3044"/>
      <w:bookmarkEnd w:id="3045"/>
      <w:bookmarkEnd w:id="3046"/>
      <w:bookmarkEnd w:id="3047"/>
    </w:p>
    <w:p w14:paraId="796BDF66" w14:textId="5E9A69C9" w:rsidR="00D40151" w:rsidRPr="00873B6C" w:rsidRDefault="00D40151" w:rsidP="00D40151">
      <w:r w:rsidRPr="00873B6C">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873B6C">
        <w:t xml:space="preserve"> or SNPN</w:t>
      </w:r>
      <w:r w:rsidRPr="00873B6C">
        <w:t>, which guarantees that the IP address is also allocated by the Serving PLMN</w:t>
      </w:r>
      <w:r w:rsidR="008E69B3" w:rsidRPr="00873B6C">
        <w:t xml:space="preserve"> or SNPN</w:t>
      </w:r>
      <w:r w:rsidRPr="00873B6C">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873B6C" w:rsidRDefault="00D40151" w:rsidP="00D40151">
      <w:pPr>
        <w:pStyle w:val="Heading4"/>
      </w:pPr>
      <w:bookmarkStart w:id="3048" w:name="_CR5_16_4_6"/>
      <w:bookmarkStart w:id="3049" w:name="_Toc20149958"/>
      <w:bookmarkStart w:id="3050" w:name="_Toc27846757"/>
      <w:bookmarkStart w:id="3051" w:name="_Toc36187888"/>
      <w:bookmarkStart w:id="3052" w:name="_Toc45183792"/>
      <w:bookmarkStart w:id="3053" w:name="_Toc47342634"/>
      <w:bookmarkStart w:id="3054" w:name="_Toc51769335"/>
      <w:bookmarkStart w:id="3055" w:name="_Toc201157344"/>
      <w:bookmarkEnd w:id="3048"/>
      <w:r w:rsidRPr="00873B6C">
        <w:t>5.16.4.6</w:t>
      </w:r>
      <w:r w:rsidRPr="00873B6C">
        <w:tab/>
        <w:t>QoS for Emergency Services</w:t>
      </w:r>
      <w:bookmarkEnd w:id="3049"/>
      <w:bookmarkEnd w:id="3050"/>
      <w:bookmarkEnd w:id="3051"/>
      <w:bookmarkEnd w:id="3052"/>
      <w:bookmarkEnd w:id="3053"/>
      <w:bookmarkEnd w:id="3054"/>
      <w:bookmarkEnd w:id="3055"/>
    </w:p>
    <w:p w14:paraId="7FEA6458" w14:textId="77777777" w:rsidR="00D40151" w:rsidRPr="00873B6C" w:rsidRDefault="00D40151" w:rsidP="00D40151">
      <w:pPr>
        <w:rPr>
          <w:lang w:eastAsia="ja-JP"/>
        </w:rPr>
      </w:pPr>
      <w:r w:rsidRPr="00873B6C">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873B6C" w:rsidRDefault="00D40151" w:rsidP="00D40151">
      <w:pPr>
        <w:rPr>
          <w:lang w:eastAsia="ja-JP"/>
        </w:rPr>
      </w:pPr>
      <w:r w:rsidRPr="00873B6C">
        <w:rPr>
          <w:lang w:eastAsia="ja-JP"/>
        </w:rPr>
        <w:t>This functionality is used by the UE Requested PDU Session Establishment procedure when establishing Emergency Services.</w:t>
      </w:r>
    </w:p>
    <w:p w14:paraId="6B7F95BB" w14:textId="77777777" w:rsidR="00D40151" w:rsidRPr="00873B6C" w:rsidRDefault="00D40151" w:rsidP="00D40151">
      <w:pPr>
        <w:pStyle w:val="Heading4"/>
      </w:pPr>
      <w:bookmarkStart w:id="3056" w:name="_CR5_16_4_7"/>
      <w:bookmarkStart w:id="3057" w:name="_Toc20149959"/>
      <w:bookmarkStart w:id="3058" w:name="_Toc27846758"/>
      <w:bookmarkStart w:id="3059" w:name="_Toc36187889"/>
      <w:bookmarkStart w:id="3060" w:name="_Toc45183793"/>
      <w:bookmarkStart w:id="3061" w:name="_Toc47342635"/>
      <w:bookmarkStart w:id="3062" w:name="_Toc51769336"/>
      <w:bookmarkStart w:id="3063" w:name="_Toc201157345"/>
      <w:bookmarkEnd w:id="3056"/>
      <w:r w:rsidRPr="00873B6C">
        <w:t>5.16.4.7</w:t>
      </w:r>
      <w:r w:rsidRPr="00873B6C">
        <w:tab/>
        <w:t>PCC for Emergency Services</w:t>
      </w:r>
      <w:bookmarkEnd w:id="3057"/>
      <w:bookmarkEnd w:id="3058"/>
      <w:bookmarkEnd w:id="3059"/>
      <w:bookmarkEnd w:id="3060"/>
      <w:bookmarkEnd w:id="3061"/>
      <w:bookmarkEnd w:id="3062"/>
      <w:bookmarkEnd w:id="3063"/>
    </w:p>
    <w:p w14:paraId="18A00964" w14:textId="4DEB1A47" w:rsidR="00D40151" w:rsidRPr="00873B6C" w:rsidRDefault="00D40151" w:rsidP="00D40151">
      <w:r w:rsidRPr="00873B6C">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972E70" w:rsidRPr="00873B6C">
        <w:t>TS 23.503 [</w:t>
      </w:r>
      <w:r w:rsidRPr="00873B6C">
        <w:t>45].</w:t>
      </w:r>
    </w:p>
    <w:p w14:paraId="4E950EE1" w14:textId="77777777" w:rsidR="00D40151" w:rsidRPr="00873B6C" w:rsidRDefault="00D40151" w:rsidP="00D40151">
      <w:r w:rsidRPr="00873B6C">
        <w:t>The PCF rejects an IMS session established via the emergency PDU Session if the AF (i.e. P-CSCF) does not provide an emergency indication to the PCF.</w:t>
      </w:r>
    </w:p>
    <w:p w14:paraId="4768A781" w14:textId="77777777" w:rsidR="00D40151" w:rsidRPr="00873B6C" w:rsidRDefault="00D40151" w:rsidP="00D40151">
      <w:pPr>
        <w:pStyle w:val="Heading4"/>
      </w:pPr>
      <w:bookmarkStart w:id="3064" w:name="_CR5_16_4_8"/>
      <w:bookmarkStart w:id="3065" w:name="_Toc20149960"/>
      <w:bookmarkStart w:id="3066" w:name="_Toc27846759"/>
      <w:bookmarkStart w:id="3067" w:name="_Toc36187890"/>
      <w:bookmarkStart w:id="3068" w:name="_Toc45183794"/>
      <w:bookmarkStart w:id="3069" w:name="_Toc47342636"/>
      <w:bookmarkStart w:id="3070" w:name="_Toc51769337"/>
      <w:bookmarkStart w:id="3071" w:name="_Toc201157346"/>
      <w:bookmarkEnd w:id="3064"/>
      <w:r w:rsidRPr="00873B6C">
        <w:t>5.16.4.8</w:t>
      </w:r>
      <w:r w:rsidRPr="00873B6C">
        <w:tab/>
        <w:t>IP Address Allocation</w:t>
      </w:r>
      <w:bookmarkEnd w:id="3065"/>
      <w:bookmarkEnd w:id="3066"/>
      <w:bookmarkEnd w:id="3067"/>
      <w:bookmarkEnd w:id="3068"/>
      <w:bookmarkEnd w:id="3069"/>
      <w:bookmarkEnd w:id="3070"/>
      <w:bookmarkEnd w:id="3071"/>
    </w:p>
    <w:p w14:paraId="14EECA92" w14:textId="3BC3A73D" w:rsidR="00D40151" w:rsidRPr="00873B6C" w:rsidRDefault="00D40151" w:rsidP="00D40151">
      <w:pPr>
        <w:rPr>
          <w:lang w:eastAsia="ja-JP"/>
        </w:rPr>
      </w:pPr>
      <w:r w:rsidRPr="00873B6C">
        <w:rPr>
          <w:lang w:eastAsia="ja-JP"/>
        </w:rPr>
        <w:t>Emergency service is provided by the serving PLMN</w:t>
      </w:r>
      <w:r w:rsidR="008E69B3" w:rsidRPr="00873B6C">
        <w:rPr>
          <w:lang w:eastAsia="ja-JP"/>
        </w:rPr>
        <w:t xml:space="preserve"> or SNPN</w:t>
      </w:r>
      <w:r w:rsidRPr="00873B6C">
        <w:rPr>
          <w:lang w:eastAsia="ja-JP"/>
        </w:rPr>
        <w:t>. The UE and serving PLMN</w:t>
      </w:r>
      <w:r w:rsidR="008E69B3" w:rsidRPr="00873B6C">
        <w:rPr>
          <w:lang w:eastAsia="ja-JP"/>
        </w:rPr>
        <w:t xml:space="preserve"> or SNPN</w:t>
      </w:r>
      <w:r w:rsidRPr="00873B6C">
        <w:rPr>
          <w:lang w:eastAsia="ja-JP"/>
        </w:rPr>
        <w:t xml:space="preserve"> must have compatible IP address versions in order for the UE to obtain a local emergency PDU Session.</w:t>
      </w:r>
    </w:p>
    <w:p w14:paraId="27DDFA30" w14:textId="77777777" w:rsidR="00D40151" w:rsidRPr="00873B6C" w:rsidRDefault="00D40151" w:rsidP="00D40151">
      <w:pPr>
        <w:pStyle w:val="Heading4"/>
      </w:pPr>
      <w:bookmarkStart w:id="3072" w:name="_CR5_16_4_9"/>
      <w:bookmarkStart w:id="3073" w:name="_Toc20149961"/>
      <w:bookmarkStart w:id="3074" w:name="_Toc27846760"/>
      <w:bookmarkStart w:id="3075" w:name="_Toc36187891"/>
      <w:bookmarkStart w:id="3076" w:name="_Toc45183795"/>
      <w:bookmarkStart w:id="3077" w:name="_Toc47342637"/>
      <w:bookmarkStart w:id="3078" w:name="_Toc51769338"/>
      <w:bookmarkStart w:id="3079" w:name="_Toc201157347"/>
      <w:bookmarkEnd w:id="3072"/>
      <w:r w:rsidRPr="00873B6C">
        <w:t>5.16.4.9</w:t>
      </w:r>
      <w:r w:rsidRPr="00873B6C">
        <w:tab/>
        <w:t>Handling of PDU Sessions for Emergency Services</w:t>
      </w:r>
      <w:bookmarkEnd w:id="3073"/>
      <w:bookmarkEnd w:id="3074"/>
      <w:bookmarkEnd w:id="3075"/>
      <w:bookmarkEnd w:id="3076"/>
      <w:bookmarkEnd w:id="3077"/>
      <w:bookmarkEnd w:id="3078"/>
      <w:bookmarkEnd w:id="3079"/>
    </w:p>
    <w:p w14:paraId="49E16D8A" w14:textId="77777777" w:rsidR="0054498C" w:rsidRPr="00873B6C" w:rsidRDefault="00D40151" w:rsidP="00D40151">
      <w:pPr>
        <w:rPr>
          <w:lang w:eastAsia="ja-JP"/>
        </w:rPr>
      </w:pPr>
      <w:r w:rsidRPr="00873B6C">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2F7507F" w:rsidR="0054498C" w:rsidRPr="00873B6C" w:rsidRDefault="00D40151" w:rsidP="00D40151">
      <w:pPr>
        <w:rPr>
          <w:lang w:eastAsia="ja-JP"/>
        </w:rPr>
      </w:pPr>
      <w:r w:rsidRPr="00873B6C">
        <w:rPr>
          <w:lang w:eastAsia="ja-JP"/>
        </w:rPr>
        <w:t>If there is already an emergency PDU Session over a given Access Type (3GPP access or non-3GPP access), the UE shall not request another emergency PDU Session over</w:t>
      </w:r>
      <w:r w:rsidR="0054498C" w:rsidRPr="00873B6C">
        <w:rPr>
          <w:lang w:eastAsia="ja-JP"/>
        </w:rPr>
        <w:t xml:space="preserve"> any</w:t>
      </w:r>
      <w:r w:rsidRPr="00873B6C">
        <w:rPr>
          <w:lang w:eastAsia="ja-JP"/>
        </w:rPr>
        <w:t xml:space="preserve"> Access Type except for handing over the</w:t>
      </w:r>
      <w:r w:rsidR="00183D3D" w:rsidRPr="00873B6C">
        <w:rPr>
          <w:lang w:eastAsia="ja-JP"/>
        </w:rPr>
        <w:t xml:space="preserve"> existing</w:t>
      </w:r>
      <w:r w:rsidRPr="00873B6C">
        <w:rPr>
          <w:lang w:eastAsia="ja-JP"/>
        </w:rPr>
        <w:t xml:space="preserve"> emergency PDU Session to </w:t>
      </w:r>
      <w:r w:rsidR="0054498C" w:rsidRPr="00873B6C">
        <w:rPr>
          <w:lang w:eastAsia="ja-JP"/>
        </w:rPr>
        <w:t xml:space="preserve">the </w:t>
      </w:r>
      <w:r w:rsidRPr="00873B6C">
        <w:rPr>
          <w:lang w:eastAsia="ja-JP"/>
        </w:rPr>
        <w:t>other Access Type.</w:t>
      </w:r>
    </w:p>
    <w:p w14:paraId="1F308C85" w14:textId="3CFF3277" w:rsidR="0054498C" w:rsidRPr="00873B6C" w:rsidRDefault="0054498C" w:rsidP="00D40151">
      <w:pPr>
        <w:rPr>
          <w:lang w:eastAsia="ja-JP"/>
        </w:rPr>
      </w:pPr>
      <w:r w:rsidRPr="00873B6C">
        <w:rPr>
          <w:lang w:eastAsia="ja-JP"/>
        </w:rPr>
        <w:lastRenderedPageBreak/>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41E56ADF" w:rsidR="0054498C" w:rsidRPr="00873B6C" w:rsidRDefault="0054498C" w:rsidP="00D40151">
      <w:pPr>
        <w:rPr>
          <w:lang w:eastAsia="ja-JP"/>
        </w:rPr>
      </w:pPr>
    </w:p>
    <w:p w14:paraId="237C69EB" w14:textId="6C506185" w:rsidR="0054498C" w:rsidRPr="00873B6C" w:rsidRDefault="0054498C" w:rsidP="00695DF1">
      <w:pPr>
        <w:pStyle w:val="NO"/>
        <w:rPr>
          <w:lang w:eastAsia="ja-JP"/>
        </w:rPr>
      </w:pPr>
      <w:r w:rsidRPr="00873B6C">
        <w:rPr>
          <w:lang w:eastAsia="ja-JP"/>
        </w:rPr>
        <w:t>NOTE:</w:t>
      </w:r>
      <w:r w:rsidRPr="00873B6C">
        <w:rPr>
          <w:lang w:eastAsia="ja-JP"/>
        </w:rPr>
        <w:tab/>
        <w:t xml:space="preserve">If the UE releases emergency PDU session locally and requests for establishment of a new one before the SMF has released the emergency PDU session due to PDU session inactivity as specified in clause 4.3.4.2 of </w:t>
      </w:r>
      <w:r w:rsidR="00972E70" w:rsidRPr="00873B6C">
        <w:rPr>
          <w:lang w:eastAsia="ja-JP"/>
        </w:rPr>
        <w:t>TS 23.502 [</w:t>
      </w:r>
      <w:r w:rsidRPr="00873B6C">
        <w:rPr>
          <w:lang w:eastAsia="ja-JP"/>
        </w:rPr>
        <w:t>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873B6C" w:rsidRDefault="00D40151" w:rsidP="00D40151">
      <w:pPr>
        <w:rPr>
          <w:lang w:eastAsia="ja-JP"/>
        </w:rPr>
      </w:pPr>
      <w:r w:rsidRPr="00873B6C">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873B6C" w:rsidRDefault="00D40151" w:rsidP="00D40151">
      <w:pPr>
        <w:pStyle w:val="Heading4"/>
      </w:pPr>
      <w:bookmarkStart w:id="3080" w:name="_CR5_16_4_9a"/>
      <w:bookmarkStart w:id="3081" w:name="_Toc20149962"/>
      <w:bookmarkStart w:id="3082" w:name="_Toc27846761"/>
      <w:bookmarkStart w:id="3083" w:name="_Toc36187892"/>
      <w:bookmarkStart w:id="3084" w:name="_Toc45183796"/>
      <w:bookmarkStart w:id="3085" w:name="_Toc47342638"/>
      <w:bookmarkStart w:id="3086" w:name="_Toc51769339"/>
      <w:bookmarkStart w:id="3087" w:name="_Toc201157348"/>
      <w:bookmarkEnd w:id="3080"/>
      <w:r w:rsidRPr="00873B6C">
        <w:t>5.16.4.9a</w:t>
      </w:r>
      <w:r w:rsidRPr="00873B6C">
        <w:tab/>
        <w:t>Handling of PDU Sessions for normal services for Emergency Registered UEs</w:t>
      </w:r>
      <w:bookmarkEnd w:id="3081"/>
      <w:bookmarkEnd w:id="3082"/>
      <w:bookmarkEnd w:id="3083"/>
      <w:bookmarkEnd w:id="3084"/>
      <w:bookmarkEnd w:id="3085"/>
      <w:bookmarkEnd w:id="3086"/>
      <w:bookmarkEnd w:id="3087"/>
    </w:p>
    <w:p w14:paraId="0681861E" w14:textId="77777777" w:rsidR="00D40151" w:rsidRPr="00873B6C" w:rsidRDefault="00D40151" w:rsidP="00D40151">
      <w:pPr>
        <w:rPr>
          <w:lang w:eastAsia="x-none"/>
        </w:rPr>
      </w:pPr>
      <w:r w:rsidRPr="00873B6C">
        <w:rPr>
          <w:lang w:eastAsia="x-none"/>
        </w:rPr>
        <w:t>For an Emergency Registered UE over a given Access Type:</w:t>
      </w:r>
    </w:p>
    <w:p w14:paraId="3202E58C" w14:textId="77777777" w:rsidR="00D40151" w:rsidRPr="00873B6C" w:rsidRDefault="00D40151" w:rsidP="00D40151">
      <w:pPr>
        <w:pStyle w:val="B1"/>
      </w:pPr>
      <w:r w:rsidRPr="00873B6C">
        <w:t>-</w:t>
      </w:r>
      <w:r w:rsidRPr="00873B6C">
        <w:tab/>
        <w:t>the UE shall not initiate the UE Requested PDU Session Establishment procedure for normal service over this Access Type; and</w:t>
      </w:r>
    </w:p>
    <w:p w14:paraId="342CEBA0" w14:textId="77777777" w:rsidR="00D40151" w:rsidRPr="00873B6C" w:rsidRDefault="00D40151" w:rsidP="00D40151">
      <w:pPr>
        <w:pStyle w:val="B1"/>
      </w:pPr>
      <w:r w:rsidRPr="00873B6C">
        <w:t>-</w:t>
      </w:r>
      <w:r w:rsidRPr="00873B6C">
        <w:tab/>
        <w:t>the network shall reject any PDU Session Establishment request for normal service from the UE on this Access Type;</w:t>
      </w:r>
    </w:p>
    <w:p w14:paraId="3A5822B5" w14:textId="77777777" w:rsidR="00D40151" w:rsidRPr="00873B6C" w:rsidRDefault="00D40151" w:rsidP="00D40151">
      <w:pPr>
        <w:pStyle w:val="B1"/>
      </w:pPr>
      <w:r w:rsidRPr="00873B6C">
        <w:t>-</w:t>
      </w:r>
      <w:r w:rsidRPr="00873B6C">
        <w:tab/>
        <w:t>the UE may attempt to receive normal service over another Access Type if not otherwise prevented by the present document.</w:t>
      </w:r>
    </w:p>
    <w:p w14:paraId="62383B77" w14:textId="77777777" w:rsidR="00D40151" w:rsidRPr="00873B6C" w:rsidRDefault="00D40151" w:rsidP="00D40151">
      <w:pPr>
        <w:pStyle w:val="Heading4"/>
      </w:pPr>
      <w:bookmarkStart w:id="3088" w:name="_CR5_16_4_10"/>
      <w:bookmarkStart w:id="3089" w:name="_Toc20149963"/>
      <w:bookmarkStart w:id="3090" w:name="_Toc27846762"/>
      <w:bookmarkStart w:id="3091" w:name="_Toc36187893"/>
      <w:bookmarkStart w:id="3092" w:name="_Toc45183797"/>
      <w:bookmarkStart w:id="3093" w:name="_Toc47342639"/>
      <w:bookmarkStart w:id="3094" w:name="_Toc51769340"/>
      <w:bookmarkStart w:id="3095" w:name="_Toc201157349"/>
      <w:bookmarkEnd w:id="3088"/>
      <w:r w:rsidRPr="00873B6C">
        <w:t>5.16.4.10</w:t>
      </w:r>
      <w:r w:rsidRPr="00873B6C">
        <w:tab/>
        <w:t>Support of eCall Only Mode</w:t>
      </w:r>
      <w:bookmarkEnd w:id="3089"/>
      <w:bookmarkEnd w:id="3090"/>
      <w:bookmarkEnd w:id="3091"/>
      <w:bookmarkEnd w:id="3092"/>
      <w:bookmarkEnd w:id="3093"/>
      <w:bookmarkEnd w:id="3094"/>
      <w:bookmarkEnd w:id="3095"/>
    </w:p>
    <w:p w14:paraId="224E2989" w14:textId="719569DA" w:rsidR="00D40151" w:rsidRPr="00873B6C" w:rsidRDefault="00D40151" w:rsidP="00D40151">
      <w:pPr>
        <w:rPr>
          <w:lang w:eastAsia="ja-JP"/>
        </w:rPr>
      </w:pPr>
      <w:r w:rsidRPr="00873B6C">
        <w:rPr>
          <w:lang w:eastAsia="ja-JP"/>
        </w:rPr>
        <w:t xml:space="preserve">For service requirements for eCall only mode, refer to </w:t>
      </w:r>
      <w:r w:rsidR="00972E70" w:rsidRPr="00873B6C">
        <w:rPr>
          <w:lang w:eastAsia="ja-JP"/>
        </w:rPr>
        <w:t>TS 22.101 [</w:t>
      </w:r>
      <w:r w:rsidRPr="00873B6C">
        <w:rPr>
          <w:lang w:eastAsia="ja-JP"/>
        </w:rPr>
        <w:t>33].</w:t>
      </w:r>
    </w:p>
    <w:p w14:paraId="2B9C366D" w14:textId="3CF85941" w:rsidR="00D40151" w:rsidRPr="00873B6C" w:rsidRDefault="00D40151" w:rsidP="00D40151">
      <w:pPr>
        <w:rPr>
          <w:lang w:eastAsia="ja-JP"/>
        </w:rPr>
      </w:pPr>
      <w:r w:rsidRPr="00873B6C">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w:t>
      </w:r>
      <w:r w:rsidR="0026280E" w:rsidRPr="00873B6C">
        <w:rPr>
          <w:lang w:eastAsia="ja-JP"/>
        </w:rPr>
        <w:t xml:space="preserve"> and after the UE has left </w:t>
      </w:r>
      <w:r w:rsidR="00511811" w:rsidRPr="00873B6C">
        <w:rPr>
          <w:lang w:eastAsia="ja-JP"/>
        </w:rPr>
        <w:t xml:space="preserve">RRC_CONNECTED </w:t>
      </w:r>
      <w:r w:rsidR="0026280E" w:rsidRPr="00873B6C">
        <w:rPr>
          <w:lang w:eastAsia="ja-JP"/>
        </w:rPr>
        <w:t>state</w:t>
      </w:r>
      <w:r w:rsidRPr="00873B6C">
        <w:rPr>
          <w:lang w:eastAsia="ja-JP"/>
        </w:rPr>
        <w:t xml:space="preserve">,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w:t>
      </w:r>
      <w:r w:rsidR="0026280E" w:rsidRPr="00873B6C">
        <w:rPr>
          <w:lang w:eastAsia="ja-JP"/>
        </w:rPr>
        <w:t xml:space="preserve">once the UE is not in </w:t>
      </w:r>
      <w:r w:rsidR="00511811" w:rsidRPr="00873B6C">
        <w:rPr>
          <w:lang w:eastAsia="ja-JP"/>
        </w:rPr>
        <w:t xml:space="preserve">RRC_CONNECTED </w:t>
      </w:r>
      <w:r w:rsidR="0026280E" w:rsidRPr="00873B6C">
        <w:rPr>
          <w:lang w:eastAsia="ja-JP"/>
        </w:rPr>
        <w:t xml:space="preserve">state, </w:t>
      </w:r>
      <w:r w:rsidRPr="00873B6C">
        <w:rPr>
          <w:lang w:eastAsia="ja-JP"/>
        </w:rPr>
        <w:t>the UE shall perform a UE-initiated Deregistration procedure if still registered and enter RM-DEREGISTERED state.</w:t>
      </w:r>
    </w:p>
    <w:p w14:paraId="22E0BC48" w14:textId="77777777" w:rsidR="00D40151" w:rsidRPr="00873B6C" w:rsidRDefault="00D40151" w:rsidP="00D40151">
      <w:pPr>
        <w:pStyle w:val="NO"/>
      </w:pPr>
      <w:r w:rsidRPr="00873B6C">
        <w:t>NOTE 1:</w:t>
      </w:r>
      <w:r w:rsidRPr="00873B6C">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873B6C" w:rsidRDefault="00D40151" w:rsidP="00D40151">
      <w:pPr>
        <w:pStyle w:val="NO"/>
      </w:pPr>
      <w:r w:rsidRPr="00873B6C">
        <w:t>NOTE 2:</w:t>
      </w:r>
      <w:r w:rsidRPr="00873B6C">
        <w:tab/>
        <w:t>A test call and a reconfiguration call can be seen as normal (non-emergency) call by a serving PLMN and normal charging rules can apply depending on operator policy.</w:t>
      </w:r>
    </w:p>
    <w:p w14:paraId="0194D0DB" w14:textId="77777777" w:rsidR="00D40151" w:rsidRPr="00873B6C" w:rsidRDefault="00D40151" w:rsidP="00D40151">
      <w:pPr>
        <w:pStyle w:val="NO"/>
      </w:pPr>
      <w:r w:rsidRPr="00873B6C">
        <w:t>NOTE 3:</w:t>
      </w:r>
      <w:r w:rsidRPr="00873B6C">
        <w:tab/>
        <w:t>An MSISDN configured in the USIM for test and/or terminal reconfiguration services for eCall Over IMS can differ from an MSISDN configured in the USIM for test services for eCall over the CS domain.</w:t>
      </w:r>
    </w:p>
    <w:p w14:paraId="451D005B" w14:textId="77777777" w:rsidR="00D40151" w:rsidRPr="00873B6C" w:rsidRDefault="00D40151" w:rsidP="00D40151">
      <w:pPr>
        <w:pStyle w:val="Heading4"/>
      </w:pPr>
      <w:bookmarkStart w:id="3096" w:name="_CR5_16_4_11"/>
      <w:bookmarkStart w:id="3097" w:name="_Toc20149964"/>
      <w:bookmarkStart w:id="3098" w:name="_Toc27846763"/>
      <w:bookmarkStart w:id="3099" w:name="_Toc36187894"/>
      <w:bookmarkStart w:id="3100" w:name="_Toc45183798"/>
      <w:bookmarkStart w:id="3101" w:name="_Toc47342640"/>
      <w:bookmarkStart w:id="3102" w:name="_Toc51769341"/>
      <w:bookmarkStart w:id="3103" w:name="_Toc201157350"/>
      <w:bookmarkEnd w:id="3096"/>
      <w:r w:rsidRPr="00873B6C">
        <w:t>5.16.4.11</w:t>
      </w:r>
      <w:r w:rsidRPr="00873B6C">
        <w:tab/>
        <w:t>Emergency Services Fallback</w:t>
      </w:r>
      <w:bookmarkEnd w:id="3097"/>
      <w:bookmarkEnd w:id="3098"/>
      <w:bookmarkEnd w:id="3099"/>
      <w:bookmarkEnd w:id="3100"/>
      <w:bookmarkEnd w:id="3101"/>
      <w:bookmarkEnd w:id="3102"/>
      <w:bookmarkEnd w:id="3103"/>
    </w:p>
    <w:p w14:paraId="04A36FA4" w14:textId="77777777" w:rsidR="00D40151" w:rsidRPr="00873B6C" w:rsidRDefault="00D40151" w:rsidP="00D40151">
      <w:pPr>
        <w:rPr>
          <w:lang w:eastAsia="ja-JP"/>
        </w:rPr>
      </w:pPr>
      <w:r w:rsidRPr="00873B6C">
        <w:rPr>
          <w:lang w:eastAsia="ja-JP"/>
        </w:rPr>
        <w:t>In order to support various deployment scenarios</w:t>
      </w:r>
      <w:r w:rsidRPr="00873B6C">
        <w:t xml:space="preserve"> for obtaining Emergency Services</w:t>
      </w:r>
      <w:r w:rsidRPr="00873B6C">
        <w:rPr>
          <w:lang w:eastAsia="ja-JP"/>
        </w:rPr>
        <w:t xml:space="preserve">, the UE and 5GC may support the mechanism to direct or redirect the UE either towards E-UTRA </w:t>
      </w:r>
      <w:r w:rsidRPr="00873B6C">
        <w:t xml:space="preserve">connected to 5GC </w:t>
      </w:r>
      <w:r w:rsidRPr="00873B6C">
        <w:rPr>
          <w:lang w:eastAsia="ja-JP"/>
        </w:rPr>
        <w:t>(RAT fallback)</w:t>
      </w:r>
      <w:r w:rsidRPr="00873B6C">
        <w:t xml:space="preserve"> when only NR does not support Emergency Services</w:t>
      </w:r>
      <w:r w:rsidRPr="00873B6C">
        <w:rPr>
          <w:lang w:eastAsia="ja-JP"/>
        </w:rPr>
        <w:t xml:space="preserve"> or towards EPS (</w:t>
      </w:r>
      <w:r w:rsidRPr="00873B6C">
        <w:t>E-UTRAN connected to EPC</w:t>
      </w:r>
      <w:r w:rsidRPr="00873B6C">
        <w:rPr>
          <w:lang w:eastAsia="ja-JP"/>
        </w:rPr>
        <w:t xml:space="preserve"> System fallback) </w:t>
      </w:r>
      <w:r w:rsidRPr="00873B6C">
        <w:t xml:space="preserve">when the 5GC does </w:t>
      </w:r>
      <w:r w:rsidRPr="00873B6C">
        <w:lastRenderedPageBreak/>
        <w:t>not support Emergency Services</w:t>
      </w:r>
      <w:r w:rsidRPr="00873B6C">
        <w:rPr>
          <w:lang w:eastAsia="ja-JP"/>
        </w:rPr>
        <w:t>. Emergency Services fallback may be used when the 5GS does not indicate support for Emergency Services (see clause 5.16.4.1) and indicates support for Emergency Services fallback.</w:t>
      </w:r>
    </w:p>
    <w:p w14:paraId="0CFE9796" w14:textId="77777777" w:rsidR="00D40151" w:rsidRPr="00873B6C" w:rsidRDefault="00D40151" w:rsidP="00D40151">
      <w:pPr>
        <w:rPr>
          <w:rFonts w:eastAsia="Malgun Gothic"/>
        </w:rPr>
      </w:pPr>
      <w:r w:rsidRPr="00873B6C">
        <w:rPr>
          <w:rFonts w:eastAsia="Malgun Gothic"/>
        </w:rPr>
        <w:t>Following principles apply for Emergency Services Fallback:</w:t>
      </w:r>
    </w:p>
    <w:p w14:paraId="1E0A0107" w14:textId="5893CDD1" w:rsidR="00D40151" w:rsidRPr="00873B6C" w:rsidRDefault="00D40151" w:rsidP="00D40151">
      <w:pPr>
        <w:pStyle w:val="B1"/>
        <w:rPr>
          <w:rFonts w:eastAsia="Malgun Gothic"/>
          <w:lang w:eastAsia="ja-JP"/>
        </w:rPr>
      </w:pPr>
      <w:r w:rsidRPr="00873B6C">
        <w:rPr>
          <w:rFonts w:eastAsia="Malgun Gothic"/>
          <w:lang w:eastAsia="ja-JP"/>
        </w:rPr>
        <w:t>-</w:t>
      </w:r>
      <w:r w:rsidRPr="00873B6C">
        <w:rPr>
          <w:rFonts w:eastAsia="Malgun Gothic"/>
          <w:lang w:eastAsia="ja-JP"/>
        </w:rPr>
        <w:tab/>
        <w:t xml:space="preserve">If </w:t>
      </w:r>
      <w:r w:rsidRPr="00873B6C">
        <w:rPr>
          <w:lang w:eastAsia="ja-JP"/>
        </w:rPr>
        <w:t xml:space="preserve">the </w:t>
      </w:r>
      <w:r w:rsidRPr="00873B6C">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873B6C">
        <w:rPr>
          <w:rFonts w:eastAsia="Malgun Gothic"/>
          <w:lang w:eastAsia="ja-JP"/>
        </w:rPr>
        <w:t xml:space="preserve">clause 4.13.4.1 of </w:t>
      </w:r>
      <w:r w:rsidR="00972E70" w:rsidRPr="00873B6C">
        <w:rPr>
          <w:rFonts w:eastAsia="Malgun Gothic"/>
          <w:lang w:eastAsia="ja-JP"/>
        </w:rPr>
        <w:t>TS 23.502 [</w:t>
      </w:r>
      <w:r w:rsidRPr="00873B6C">
        <w:rPr>
          <w:rFonts w:eastAsia="Malgun Gothic"/>
          <w:lang w:eastAsia="ja-JP"/>
        </w:rPr>
        <w:t>3].</w:t>
      </w:r>
    </w:p>
    <w:p w14:paraId="00D6317A" w14:textId="77777777" w:rsidR="00D40151" w:rsidRPr="00873B6C" w:rsidRDefault="00D40151" w:rsidP="00D40151">
      <w:pPr>
        <w:pStyle w:val="B1"/>
      </w:pPr>
      <w:r w:rsidRPr="00873B6C">
        <w:rPr>
          <w:rFonts w:eastAsia="Malgun Gothic"/>
        </w:rPr>
        <w:t>-</w:t>
      </w:r>
      <w:r w:rsidRPr="00873B6C">
        <w:rPr>
          <w:rFonts w:eastAsia="Malgun Gothic"/>
        </w:rPr>
        <w:tab/>
        <w:t xml:space="preserve">AMF uses the Service Type Indication within the Service Request to redirect the UE towards the appropriate RAT/System. </w:t>
      </w:r>
      <w:r w:rsidRPr="00873B6C">
        <w:t>The 5GS may, for Emergency Services, trigger one of the following procedures:</w:t>
      </w:r>
    </w:p>
    <w:p w14:paraId="3434D72F" w14:textId="77777777" w:rsidR="00D40151" w:rsidRPr="00873B6C" w:rsidRDefault="00D40151" w:rsidP="00D40151">
      <w:pPr>
        <w:pStyle w:val="B2"/>
        <w:rPr>
          <w:rFonts w:eastAsia="Malgun Gothic"/>
        </w:rPr>
      </w:pPr>
      <w:r w:rsidRPr="00873B6C">
        <w:rPr>
          <w:rFonts w:eastAsia="Malgun Gothic"/>
        </w:rPr>
        <w:t>-</w:t>
      </w:r>
      <w:r w:rsidRPr="00873B6C">
        <w:rPr>
          <w:rFonts w:eastAsia="Malgun Gothic"/>
        </w:rPr>
        <w:tab/>
        <w:t>Handover or redirection to EPS.</w:t>
      </w:r>
    </w:p>
    <w:p w14:paraId="6A2FF2F3" w14:textId="77777777" w:rsidR="00D40151" w:rsidRPr="00873B6C" w:rsidRDefault="00D40151" w:rsidP="00D40151">
      <w:pPr>
        <w:pStyle w:val="B2"/>
        <w:rPr>
          <w:rFonts w:eastAsia="Malgun Gothic"/>
          <w:lang w:eastAsia="ja-JP"/>
        </w:rPr>
      </w:pPr>
      <w:r w:rsidRPr="00873B6C">
        <w:rPr>
          <w:rFonts w:eastAsia="Malgun Gothic"/>
          <w:lang w:eastAsia="ja-JP"/>
        </w:rPr>
        <w:t>-</w:t>
      </w:r>
      <w:r w:rsidRPr="00873B6C">
        <w:rPr>
          <w:rFonts w:eastAsia="Malgun Gothic"/>
          <w:lang w:eastAsia="ja-JP"/>
        </w:rPr>
        <w:tab/>
        <w:t>Handover or redirection to E-UTRA connected to 5GC.</w:t>
      </w:r>
    </w:p>
    <w:p w14:paraId="4C88478E" w14:textId="77777777" w:rsidR="00D40151" w:rsidRPr="00873B6C" w:rsidRDefault="00D40151" w:rsidP="00D40151">
      <w:pPr>
        <w:pStyle w:val="B1"/>
      </w:pPr>
      <w:r w:rsidRPr="00873B6C">
        <w:rPr>
          <w:rFonts w:eastAsia="Malgun Gothic"/>
          <w:lang w:eastAsia="ja-JP"/>
        </w:rPr>
        <w:t>-</w:t>
      </w:r>
      <w:r w:rsidRPr="00873B6C">
        <w:rPr>
          <w:rFonts w:eastAsia="Malgun Gothic"/>
          <w:lang w:eastAsia="ja-JP"/>
        </w:rPr>
        <w:tab/>
      </w:r>
      <w:r w:rsidRPr="00873B6C">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873B6C" w:rsidRDefault="00D40151" w:rsidP="00D40151">
      <w:pPr>
        <w:pStyle w:val="B1"/>
      </w:pPr>
      <w:bookmarkStart w:id="3104" w:name="_Toc20149965"/>
      <w:r w:rsidRPr="00873B6C">
        <w:t>-</w:t>
      </w:r>
      <w:r w:rsidRPr="00873B6C">
        <w:tab/>
        <w:t>When the AS re-keying procedure and the Emergency Fallback procedure collides, the AMF gives up the AS re-keying procedure and only initiates the Emergency Fallback procedure.</w:t>
      </w:r>
    </w:p>
    <w:p w14:paraId="3391C63F" w14:textId="2BB3D4F4" w:rsidR="00D40151" w:rsidRPr="00873B6C" w:rsidRDefault="00D40151" w:rsidP="00D40151">
      <w:pPr>
        <w:pStyle w:val="NO"/>
      </w:pPr>
      <w:r w:rsidRPr="00873B6C">
        <w:t>NOTE</w:t>
      </w:r>
      <w:r w:rsidR="00182EE7" w:rsidRPr="00873B6C">
        <w:t> 1</w:t>
      </w:r>
      <w:r w:rsidRPr="00873B6C">
        <w:t>:</w:t>
      </w:r>
      <w:r w:rsidRPr="00873B6C">
        <w:tab/>
        <w:t>Emergency Services Fallback to EPS can be followed by an onward movement to GERAN or UTRAN via CSFB procedures if the PLMN does not support IMS emergency services.</w:t>
      </w:r>
    </w:p>
    <w:p w14:paraId="5589FE91" w14:textId="58045742" w:rsidR="00182EE7" w:rsidRPr="00873B6C" w:rsidRDefault="00182EE7" w:rsidP="00562E84">
      <w:pPr>
        <w:pStyle w:val="NO"/>
      </w:pPr>
      <w:bookmarkStart w:id="3105" w:name="_Toc27846764"/>
      <w:bookmarkStart w:id="3106" w:name="_Toc36187895"/>
      <w:bookmarkStart w:id="3107" w:name="_Toc45183799"/>
      <w:bookmarkStart w:id="3108" w:name="_Toc47342641"/>
      <w:bookmarkStart w:id="3109" w:name="_Toc51769342"/>
      <w:r w:rsidRPr="00873B6C">
        <w:t>NOTE 2:</w:t>
      </w:r>
      <w:r w:rsidRPr="00873B6C">
        <w:tab/>
        <w:t>If the UE has signalled that S1 mode is disabled for a network that only supports IMS voice via EPS Fallback, the AMF will not indicate that Emergency Services Fallback is supported over 3GPP access.</w:t>
      </w:r>
    </w:p>
    <w:p w14:paraId="6B813970" w14:textId="0F734E28" w:rsidR="008E69B3" w:rsidRPr="00873B6C" w:rsidRDefault="008E69B3" w:rsidP="00562E84">
      <w:r w:rsidRPr="00873B6C">
        <w:t>Emergency Services fallback is supported only in case of PLMN. Emergency Services Fallback is not supported for SNPN.</w:t>
      </w:r>
    </w:p>
    <w:p w14:paraId="7A6F23F8" w14:textId="06BBBE53" w:rsidR="00D40151" w:rsidRPr="00873B6C" w:rsidRDefault="00D40151" w:rsidP="00D40151">
      <w:pPr>
        <w:pStyle w:val="Heading3"/>
      </w:pPr>
      <w:bookmarkStart w:id="3110" w:name="_CR5_16_5"/>
      <w:bookmarkStart w:id="3111" w:name="_Toc201157351"/>
      <w:bookmarkEnd w:id="3110"/>
      <w:r w:rsidRPr="00873B6C">
        <w:t>5.16.5</w:t>
      </w:r>
      <w:r w:rsidRPr="00873B6C">
        <w:tab/>
        <w:t>Multimedia Priority Services</w:t>
      </w:r>
      <w:bookmarkEnd w:id="3104"/>
      <w:bookmarkEnd w:id="3105"/>
      <w:bookmarkEnd w:id="3106"/>
      <w:bookmarkEnd w:id="3107"/>
      <w:bookmarkEnd w:id="3108"/>
      <w:bookmarkEnd w:id="3109"/>
      <w:bookmarkEnd w:id="3111"/>
    </w:p>
    <w:p w14:paraId="14C3CD12" w14:textId="7C87FD85" w:rsidR="00D40151" w:rsidRPr="00873B6C" w:rsidRDefault="00972E70" w:rsidP="00D40151">
      <w:r w:rsidRPr="00873B6C">
        <w:t>TS 22.153 [</w:t>
      </w:r>
      <w:r w:rsidR="00D40151" w:rsidRPr="00873B6C">
        <w:t xml:space="preserve">24] specifies the service requirements for Multimedia Priority Service (MPS). MPS allows Service Users (as per </w:t>
      </w:r>
      <w:r w:rsidRPr="00873B6C">
        <w:t>TS 22.153 [</w:t>
      </w:r>
      <w:r w:rsidR="00D40151" w:rsidRPr="00873B6C">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C6867F7" w:rsidR="00D40151" w:rsidRPr="00873B6C" w:rsidRDefault="00D40151" w:rsidP="00D40151">
      <w:r w:rsidRPr="00873B6C">
        <w:t>MPS is based on the ability to invoke, modify, maintain and release sessions with priority</w:t>
      </w:r>
      <w:r w:rsidR="00472CD7" w:rsidRPr="00873B6C">
        <w:t xml:space="preserve"> and</w:t>
      </w:r>
      <w:r w:rsidRPr="00873B6C">
        <w:t xml:space="preserve"> deliver the priority media packets under network congestion conditions. MPS is supported in a roaming environment when roaming agreements are in place and where regulatory requirements apply.</w:t>
      </w:r>
    </w:p>
    <w:p w14:paraId="0668BEF1" w14:textId="3D1A596D" w:rsidR="00D40151" w:rsidRPr="00873B6C" w:rsidRDefault="00D40151" w:rsidP="00D40151">
      <w:pPr>
        <w:pStyle w:val="NO"/>
      </w:pPr>
      <w:r w:rsidRPr="00873B6C">
        <w:t>NOTE</w:t>
      </w:r>
      <w:r w:rsidR="00060FE0" w:rsidRPr="00873B6C">
        <w:t> </w:t>
      </w:r>
      <w:r w:rsidRPr="00873B6C">
        <w:t>1:</w:t>
      </w:r>
      <w:r w:rsidRPr="00873B6C">
        <w:tab/>
        <w:t>If a session terminates on a server in the Internet (e.g. web-based service), then the remote end and the Internet transport are out of scope for this specification.</w:t>
      </w:r>
    </w:p>
    <w:p w14:paraId="2857FCA8" w14:textId="1B70E6ED" w:rsidR="00511811" w:rsidRPr="00873B6C" w:rsidRDefault="00511811" w:rsidP="00D40151">
      <w:r w:rsidRPr="00873B6C">
        <w:t>MPS is supported for Service Users using UEs connecting via 3GPP access. MPS is also supported for Service Users using UEs that</w:t>
      </w:r>
      <w:r w:rsidR="00060FE0" w:rsidRPr="00873B6C">
        <w:t xml:space="preserve"> connect</w:t>
      </w:r>
      <w:r w:rsidRPr="00873B6C">
        <w:t xml:space="preserve"> via Trusted or Untrusted non-3GPP access for MPS.</w:t>
      </w:r>
      <w:r w:rsidR="00A51A83" w:rsidRPr="00873B6C">
        <w:t xml:space="preserve"> N3IWF selection is according to clause 6.3.6 for PLMN access.</w:t>
      </w:r>
    </w:p>
    <w:p w14:paraId="7B71D53A" w14:textId="6A5D045C" w:rsidR="00D40151" w:rsidRPr="00873B6C" w:rsidRDefault="00D40151" w:rsidP="00D40151">
      <w:r w:rsidRPr="00873B6C">
        <w:t xml:space="preserve">A Service User may use an MPS-subscribed UE or any other UE to obtain MPS. An MPS-subscribed UE obtains priority access to the Radio Access Network by using the Unified Access Control mechanism according to </w:t>
      </w:r>
      <w:r w:rsidR="00972E70" w:rsidRPr="00873B6C">
        <w:t>TS 22.261 [</w:t>
      </w:r>
      <w:r w:rsidRPr="00873B6C">
        <w:t xml:space="preserve">2]. This mechanism provides preferential access to UEs based on its assigned Access Identity. If an MPS-subscribed UE belongs to the special Access Identity as defined in </w:t>
      </w:r>
      <w:r w:rsidR="00972E70" w:rsidRPr="00873B6C">
        <w:t>TS 22.261 [</w:t>
      </w:r>
      <w:r w:rsidRPr="00873B6C">
        <w:t>2], the UE has preferential access to the network compared to ordinary UEs in periods of congestion.</w:t>
      </w:r>
    </w:p>
    <w:p w14:paraId="590DFC51" w14:textId="5557D54F" w:rsidR="00D40151" w:rsidRPr="00873B6C" w:rsidRDefault="00D40151" w:rsidP="00D40151">
      <w:r w:rsidRPr="00873B6C">
        <w:t>MPS subscription allows users to receive priority services, if the network supports MPS.</w:t>
      </w:r>
      <w:r w:rsidR="00511811" w:rsidRPr="00873B6C">
        <w:t xml:space="preserve"> The same MPS subscription applies to access via 3GPP access and</w:t>
      </w:r>
      <w:r w:rsidR="00060FE0" w:rsidRPr="00873B6C">
        <w:t xml:space="preserve"> Trusted or Untrusted</w:t>
      </w:r>
      <w:r w:rsidR="00511811" w:rsidRPr="00873B6C">
        <w:t xml:space="preserve"> non-3GPP access.</w:t>
      </w:r>
      <w:r w:rsidRPr="00873B6C">
        <w:t xml:space="preserve"> MPS subscription entitles a USIM with </w:t>
      </w:r>
      <w:r w:rsidRPr="00873B6C">
        <w:lastRenderedPageBreak/>
        <w:t>special Access Identity. MPS subscription includes indication for support of priority PDU connectivity service</w:t>
      </w:r>
      <w:r w:rsidR="00821D9E" w:rsidRPr="00873B6C">
        <w:t xml:space="preserve"> including MPS for Data Transport Service</w:t>
      </w:r>
      <w:r w:rsidRPr="00873B6C">
        <w:t xml:space="preserve"> and IMS priority service support for the end user. Priority </w:t>
      </w:r>
      <w:r w:rsidR="00704A9E" w:rsidRPr="00873B6C">
        <w:t>L</w:t>
      </w:r>
      <w:r w:rsidRPr="00873B6C">
        <w:t xml:space="preserve">evel regarding QoS Flows and IMS are also part of the MPS subscription information. The usage of </w:t>
      </w:r>
      <w:r w:rsidR="00704A9E" w:rsidRPr="00873B6C">
        <w:t>P</w:t>
      </w:r>
      <w:r w:rsidRPr="00873B6C">
        <w:t xml:space="preserve">riority </w:t>
      </w:r>
      <w:r w:rsidR="00704A9E" w:rsidRPr="00873B6C">
        <w:t>L</w:t>
      </w:r>
      <w:r w:rsidRPr="00873B6C">
        <w:t xml:space="preserve">evel is defined in </w:t>
      </w:r>
      <w:r w:rsidR="00972E70" w:rsidRPr="00873B6C">
        <w:t>TS 22.153 [</w:t>
      </w:r>
      <w:r w:rsidRPr="00873B6C">
        <w:t xml:space="preserve">24], </w:t>
      </w:r>
      <w:r w:rsidR="00972E70" w:rsidRPr="00873B6C">
        <w:t>TS 23.503 [</w:t>
      </w:r>
      <w:r w:rsidRPr="00873B6C">
        <w:t xml:space="preserve">45] and </w:t>
      </w:r>
      <w:r w:rsidR="00972E70" w:rsidRPr="00873B6C">
        <w:t>TS 23.228 [</w:t>
      </w:r>
      <w:r w:rsidRPr="00873B6C">
        <w:t>15].</w:t>
      </w:r>
    </w:p>
    <w:p w14:paraId="7E6A6658" w14:textId="635CFF08" w:rsidR="00060FE0" w:rsidRPr="00873B6C" w:rsidRDefault="00060FE0" w:rsidP="00745A3E">
      <w:r w:rsidRPr="00873B6C">
        <w:t>The UE determines whether to apply MPS exceptions for Non-Allowed Areas based on MPS subscription i.e. USIM with special Access Identity or MPS priority received from the AMF as defined in TS 23.502 [3] over 3GPP or Trusted or Untrusted non-3GPP access.</w:t>
      </w:r>
    </w:p>
    <w:p w14:paraId="5334D8AF" w14:textId="259F0EEB" w:rsidR="00511811" w:rsidRPr="00873B6C" w:rsidRDefault="00511811" w:rsidP="00D40151">
      <w:pPr>
        <w:pStyle w:val="NO"/>
      </w:pPr>
      <w:r w:rsidRPr="00873B6C">
        <w:t>NOTE 2:</w:t>
      </w:r>
      <w:r w:rsidRPr="00873B6C">
        <w:tab/>
        <w:t>The same MPS subscription in the UDM and/or on the USIM is used for priority treatment of 3GPP procedures when the access is</w:t>
      </w:r>
      <w:r w:rsidR="00060FE0" w:rsidRPr="00873B6C">
        <w:t xml:space="preserve"> Trusted or Untrusted non-3GPP</w:t>
      </w:r>
      <w:r w:rsidRPr="00873B6C">
        <w:t>.</w:t>
      </w:r>
    </w:p>
    <w:p w14:paraId="08959F26" w14:textId="6CF22662" w:rsidR="00D40151" w:rsidRPr="00873B6C" w:rsidRDefault="00D40151" w:rsidP="00D40151">
      <w:pPr>
        <w:pStyle w:val="NO"/>
      </w:pPr>
      <w:r w:rsidRPr="00873B6C">
        <w:t>NOTE </w:t>
      </w:r>
      <w:r w:rsidR="00511811" w:rsidRPr="00873B6C">
        <w:t>3</w:t>
      </w:r>
      <w:r w:rsidRPr="00873B6C">
        <w:t>:</w:t>
      </w:r>
      <w:r w:rsidRPr="00873B6C">
        <w:tab/>
        <w:t xml:space="preserve">The term "Priority PDU connectivity services" is used to refer to 5G System functionality that corresponds to the functionality as provided by LTE/EPC Priority EPS bearer services in clause 4.3.18.3 of </w:t>
      </w:r>
      <w:r w:rsidR="00972E70" w:rsidRPr="00873B6C">
        <w:t>TS 23.401 [</w:t>
      </w:r>
      <w:r w:rsidRPr="00873B6C">
        <w:t>26].</w:t>
      </w:r>
    </w:p>
    <w:p w14:paraId="30A4E18A" w14:textId="50C48F4F" w:rsidR="00821D9E" w:rsidRPr="00873B6C" w:rsidRDefault="00D40151" w:rsidP="00D40151">
      <w:r w:rsidRPr="00873B6C">
        <w:t>MPS includes signalling priority and media priority. All MPS-subscribed UEs get priority for QoS Flows (e.</w:t>
      </w:r>
      <w:r w:rsidR="000E35F2" w:rsidRPr="00873B6C">
        <w:t>g.</w:t>
      </w:r>
      <w:r w:rsidRPr="00873B6C">
        <w:t xml:space="preserve"> used for IMS signalling) when established to the DN that is configured to have priority for a given Service User by setting MPS-appropriate values in the QoS profile in the UDM.</w:t>
      </w:r>
    </w:p>
    <w:p w14:paraId="6F07219C" w14:textId="026D289D" w:rsidR="00D40151" w:rsidRPr="00873B6C" w:rsidRDefault="00D40151" w:rsidP="00D40151">
      <w:r w:rsidRPr="00873B6C">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w:t>
      </w:r>
      <w:r w:rsidR="00472CD7" w:rsidRPr="00873B6C">
        <w:t xml:space="preserve"> and</w:t>
      </w:r>
      <w:r w:rsidRPr="00873B6C">
        <w:t xml:space="preserve"> provides priority treatment for all QoS Flows only to the DN that is configured to have priority for a given Service User after attachment to the 5G network.</w:t>
      </w:r>
    </w:p>
    <w:p w14:paraId="418D7811" w14:textId="2664516F" w:rsidR="00821D9E" w:rsidRPr="00873B6C" w:rsidRDefault="00821D9E" w:rsidP="00821D9E">
      <w:r w:rsidRPr="00873B6C">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5D2D810B" w:rsidR="00821D9E" w:rsidRPr="00873B6C" w:rsidRDefault="00821D9E" w:rsidP="00821D9E">
      <w:r w:rsidRPr="00873B6C">
        <w:t>MPS for Data Transport Service requires explicit invocation. The Service User invokes the service by communicating with an AF. The authoriz</w:t>
      </w:r>
      <w:r w:rsidR="00182EE7" w:rsidRPr="00873B6C">
        <w:t xml:space="preserve">ation of an </w:t>
      </w:r>
      <w:r w:rsidRPr="00873B6C">
        <w:t>MPS for Data Transport Service request</w:t>
      </w:r>
      <w:r w:rsidR="00182EE7" w:rsidRPr="00873B6C">
        <w:t xml:space="preserve"> is done by the AF or the PCF according to clause 6.1.3.11 of </w:t>
      </w:r>
      <w:r w:rsidR="00972E70" w:rsidRPr="00873B6C">
        <w:t>TS 23.503 [</w:t>
      </w:r>
      <w:r w:rsidR="00182EE7" w:rsidRPr="00873B6C">
        <w:t>45]</w:t>
      </w:r>
      <w:r w:rsidRPr="00873B6C">
        <w:t xml:space="preserve">. Upon successful authorization, the PCF performs the necessary actions to achieve appropriate ARP and 5QI settings for the QoS Flows (see clause 6.1.3.11 of </w:t>
      </w:r>
      <w:r w:rsidR="00972E70" w:rsidRPr="00873B6C">
        <w:t>TS 23.503 [</w:t>
      </w:r>
      <w:r w:rsidRPr="00873B6C">
        <w:t>45]).</w:t>
      </w:r>
    </w:p>
    <w:p w14:paraId="21E39650" w14:textId="77777777" w:rsidR="00821D9E" w:rsidRPr="00873B6C" w:rsidRDefault="00821D9E" w:rsidP="00821D9E">
      <w:r w:rsidRPr="00873B6C">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6D810386" w:rsidR="00D40151" w:rsidRPr="00873B6C" w:rsidRDefault="00D40151" w:rsidP="00D40151">
      <w:pPr>
        <w:pStyle w:val="NO"/>
      </w:pPr>
      <w:r w:rsidRPr="00873B6C">
        <w:t>NOTE </w:t>
      </w:r>
      <w:r w:rsidR="00511811" w:rsidRPr="00873B6C">
        <w:t>4</w:t>
      </w:r>
      <w:r w:rsidRPr="00873B6C">
        <w:t>:</w:t>
      </w:r>
      <w:r w:rsidRPr="00873B6C">
        <w:tab/>
        <w:t>According to regional/national regulatory requirements and operator policy, On-Demand MPS</w:t>
      </w:r>
      <w:r w:rsidR="00821D9E" w:rsidRPr="00873B6C">
        <w:t xml:space="preserve"> (including MPS for Data Transport Service)</w:t>
      </w:r>
      <w:r w:rsidRPr="00873B6C">
        <w:t xml:space="preserve"> Service Users can be assigned the highest priority.</w:t>
      </w:r>
    </w:p>
    <w:p w14:paraId="3A161F5E" w14:textId="09712392" w:rsidR="00821D9E" w:rsidRPr="00873B6C" w:rsidRDefault="00821D9E" w:rsidP="00821D9E">
      <w:pPr>
        <w:pStyle w:val="NO"/>
      </w:pPr>
      <w:r w:rsidRPr="00873B6C">
        <w:t>NOTE </w:t>
      </w:r>
      <w:r w:rsidR="00511811" w:rsidRPr="00873B6C">
        <w:t>5</w:t>
      </w:r>
      <w:r w:rsidRPr="00873B6C">
        <w:t>:</w:t>
      </w:r>
      <w:r w:rsidRPr="00873B6C">
        <w:tab/>
        <w:t>If no configuration is provided, MPS for Data Transport Service applies only to the QoS Flow associated with the default QoS rule.</w:t>
      </w:r>
    </w:p>
    <w:p w14:paraId="7DBE207A" w14:textId="546E3D21" w:rsidR="00821D9E" w:rsidRPr="00873B6C" w:rsidRDefault="00821D9E" w:rsidP="00821D9E">
      <w:pPr>
        <w:pStyle w:val="NO"/>
      </w:pPr>
      <w:r w:rsidRPr="00873B6C">
        <w:t>NOTE </w:t>
      </w:r>
      <w:r w:rsidR="00511811" w:rsidRPr="00873B6C">
        <w:t>6</w:t>
      </w:r>
      <w:r w:rsidRPr="00873B6C">
        <w:t>:</w:t>
      </w:r>
      <w:r w:rsidRPr="00873B6C">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2BF175" w:rsidR="00821D9E" w:rsidRPr="00873B6C" w:rsidRDefault="00821D9E" w:rsidP="00821D9E">
      <w:pPr>
        <w:pStyle w:val="NO"/>
      </w:pPr>
      <w:r w:rsidRPr="00873B6C">
        <w:t>NOTE </w:t>
      </w:r>
      <w:r w:rsidR="00511811" w:rsidRPr="00873B6C">
        <w:t>7</w:t>
      </w:r>
      <w:r w:rsidRPr="00873B6C">
        <w:t>:</w:t>
      </w:r>
      <w:r w:rsidRPr="00873B6C">
        <w:tab/>
        <w:t>MPS for Data Transport Service can be applied to any DNN other than the well-known DNN for IMS.</w:t>
      </w:r>
    </w:p>
    <w:p w14:paraId="23E86D7F" w14:textId="12CC866E" w:rsidR="00821D9E" w:rsidRPr="00873B6C" w:rsidRDefault="00821D9E" w:rsidP="00D40151">
      <w:r w:rsidRPr="00873B6C">
        <w:t xml:space="preserve">For MPS for Data Transport Service, the AF may also create an SDF for priority signalling between the UE and the AF (see clause 6.1.3.11 of </w:t>
      </w:r>
      <w:r w:rsidR="00972E70" w:rsidRPr="00873B6C">
        <w:t>TS 23.503 [</w:t>
      </w:r>
      <w:r w:rsidRPr="00873B6C">
        <w:t>45]).</w:t>
      </w:r>
    </w:p>
    <w:p w14:paraId="6A6D8535" w14:textId="2260D60D" w:rsidR="00D40151" w:rsidRPr="00873B6C" w:rsidRDefault="00D40151" w:rsidP="00D40151">
      <w:r w:rsidRPr="00873B6C">
        <w:t xml:space="preserve">Priority treatment is applicable to IMS based multimedia services and </w:t>
      </w:r>
      <w:r w:rsidR="00821D9E" w:rsidRPr="00873B6C">
        <w:t>P</w:t>
      </w:r>
      <w:r w:rsidRPr="00873B6C">
        <w:t>riority PDU connectivity service</w:t>
      </w:r>
      <w:r w:rsidR="00821D9E" w:rsidRPr="00873B6C">
        <w:t xml:space="preserve"> including MPS for Data Transport Service</w:t>
      </w:r>
      <w:r w:rsidRPr="00873B6C">
        <w:t>.</w:t>
      </w:r>
    </w:p>
    <w:p w14:paraId="069C42E9" w14:textId="2B33AF05" w:rsidR="00D40151" w:rsidRPr="00873B6C" w:rsidRDefault="00D40151" w:rsidP="00D40151">
      <w:r w:rsidRPr="00873B6C">
        <w:t>Priority treatment for MPS includes priority message handling, including priority treatment during authentication, security</w:t>
      </w:r>
      <w:r w:rsidR="00472CD7" w:rsidRPr="00873B6C">
        <w:t xml:space="preserve"> and</w:t>
      </w:r>
      <w:r w:rsidRPr="00873B6C">
        <w:t xml:space="preserve"> Mobility Management procedures.</w:t>
      </w:r>
    </w:p>
    <w:p w14:paraId="33BF9367" w14:textId="77777777" w:rsidR="00D40151" w:rsidRPr="00873B6C" w:rsidRDefault="00D40151" w:rsidP="00D40151">
      <w:r w:rsidRPr="00873B6C">
        <w:t>Priority treatment for MPS session requires appropriate ARP and 5QI (plus 5G QoS characteristics) setting for QoS Flows according to the operator's policy.</w:t>
      </w:r>
    </w:p>
    <w:p w14:paraId="57869714" w14:textId="44DAE082" w:rsidR="00D40151" w:rsidRPr="00873B6C" w:rsidRDefault="00D40151" w:rsidP="00D40151">
      <w:pPr>
        <w:pStyle w:val="NO"/>
      </w:pPr>
      <w:r w:rsidRPr="00873B6C">
        <w:t>NOTE </w:t>
      </w:r>
      <w:r w:rsidR="00511811" w:rsidRPr="00873B6C">
        <w:t>8</w:t>
      </w:r>
      <w:r w:rsidRPr="00873B6C">
        <w:t>:</w:t>
      </w:r>
      <w:r w:rsidRPr="00873B6C">
        <w:tab/>
        <w:t xml:space="preserve">Use of QoS Flows for MPS with QoS characteristics signalled as part of QoS profile enables the flexible assignment of 5G QoS characteristics (e.g. </w:t>
      </w:r>
      <w:r w:rsidR="00704A9E" w:rsidRPr="00873B6C">
        <w:t>P</w:t>
      </w:r>
      <w:r w:rsidRPr="00873B6C">
        <w:t xml:space="preserve">riority </w:t>
      </w:r>
      <w:r w:rsidR="00704A9E" w:rsidRPr="00873B6C">
        <w:t>L</w:t>
      </w:r>
      <w:r w:rsidRPr="00873B6C">
        <w:t>evel) for MPS.</w:t>
      </w:r>
    </w:p>
    <w:p w14:paraId="615ED11A" w14:textId="77777777" w:rsidR="00D40151" w:rsidRPr="00873B6C" w:rsidRDefault="00D40151" w:rsidP="00D40151">
      <w:r w:rsidRPr="00873B6C">
        <w:lastRenderedPageBreak/>
        <w:t>When an MPS session is requested by a Service User, the following principles apply in the network:</w:t>
      </w:r>
    </w:p>
    <w:p w14:paraId="0D88AF6F" w14:textId="1A9EF504" w:rsidR="00D40151" w:rsidRPr="00873B6C" w:rsidRDefault="00D40151" w:rsidP="00D40151">
      <w:pPr>
        <w:pStyle w:val="B1"/>
      </w:pPr>
      <w:r w:rsidRPr="00873B6C">
        <w:t>-</w:t>
      </w:r>
      <w:r w:rsidRPr="00873B6C">
        <w:tab/>
        <w:t>QoS Flows employed in an MPS session shall be assigned ARP value settings appropriate for the priority of the Service User.</w:t>
      </w:r>
    </w:p>
    <w:p w14:paraId="4FBEF8C2" w14:textId="77777777" w:rsidR="00D40151" w:rsidRPr="00873B6C" w:rsidRDefault="00D40151" w:rsidP="00D40151">
      <w:pPr>
        <w:pStyle w:val="B1"/>
      </w:pPr>
      <w:r w:rsidRPr="00873B6C">
        <w:t>-</w:t>
      </w:r>
      <w:r w:rsidRPr="00873B6C">
        <w:tab/>
        <w:t>Setting ARP pre-emption capability and vulnerability for MPS QoS Flows, subject to operator policies and depending on national/regional regulatory requirements.</w:t>
      </w:r>
    </w:p>
    <w:p w14:paraId="6C5A1699" w14:textId="77777777" w:rsidR="00D40151" w:rsidRPr="00873B6C" w:rsidRDefault="00D40151" w:rsidP="00D40151">
      <w:pPr>
        <w:pStyle w:val="B1"/>
      </w:pPr>
      <w:r w:rsidRPr="00873B6C">
        <w:t>-</w:t>
      </w:r>
      <w:r w:rsidRPr="00873B6C">
        <w:tab/>
        <w:t>Pre-emption of non-Service Users over Service Users during network congestion situation, subject to operator policy and national/regional regulations.</w:t>
      </w:r>
    </w:p>
    <w:p w14:paraId="5721C98B" w14:textId="77777777" w:rsidR="00D40151" w:rsidRPr="00873B6C" w:rsidRDefault="00D40151" w:rsidP="00D40151">
      <w:r w:rsidRPr="00873B6C">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A58F3B0" w:rsidR="00D40151" w:rsidRPr="00873B6C" w:rsidRDefault="00D40151" w:rsidP="00D40151">
      <w:r w:rsidRPr="00873B6C">
        <w:t>MPS priority mechanisms can be classified as subscription-related, invocation-related</w:t>
      </w:r>
      <w:r w:rsidR="00472CD7" w:rsidRPr="00873B6C">
        <w:t xml:space="preserve"> and</w:t>
      </w:r>
      <w:r w:rsidRPr="00873B6C">
        <w:t xml:space="preserve">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w:t>
      </w:r>
      <w:r w:rsidR="00472CD7" w:rsidRPr="00873B6C">
        <w:t xml:space="preserve"> and</w:t>
      </w:r>
      <w:r w:rsidRPr="00873B6C">
        <w:t xml:space="preserve"> those that apply for the Priority PDU connectivity services</w:t>
      </w:r>
      <w:r w:rsidR="00821D9E" w:rsidRPr="00873B6C">
        <w:t xml:space="preserve"> including MPS for Data Transport Service</w:t>
      </w:r>
      <w:r w:rsidRPr="00873B6C">
        <w:t>. Methods applied to existing QoS Flows focus on handover and congestion control and are described in clause 5.22.4.</w:t>
      </w:r>
    </w:p>
    <w:p w14:paraId="57F68977" w14:textId="1BE3AE40" w:rsidR="00821D9E" w:rsidRPr="00873B6C" w:rsidRDefault="00821D9E" w:rsidP="00323277">
      <w:pPr>
        <w:pStyle w:val="NO"/>
      </w:pPr>
      <w:bookmarkStart w:id="3112" w:name="_Toc20149966"/>
      <w:bookmarkStart w:id="3113" w:name="_Toc27846765"/>
      <w:bookmarkStart w:id="3114" w:name="_Toc36187896"/>
      <w:bookmarkStart w:id="3115" w:name="_Toc45183800"/>
      <w:bookmarkStart w:id="3116" w:name="_Toc47342642"/>
      <w:bookmarkStart w:id="3117" w:name="_Toc51769343"/>
      <w:r w:rsidRPr="00873B6C">
        <w:t>NOTE </w:t>
      </w:r>
      <w:r w:rsidR="00511811" w:rsidRPr="00873B6C">
        <w:t>9</w:t>
      </w:r>
      <w:r w:rsidRPr="00873B6C">
        <w:t>:</w:t>
      </w:r>
      <w:r w:rsidRPr="00873B6C">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0BA987FD" w14:textId="64208DB1" w:rsidR="00511811" w:rsidRPr="00873B6C" w:rsidRDefault="00511811" w:rsidP="00972E70">
      <w:r w:rsidRPr="00873B6C">
        <w:t>For WLAN access, the UE may notify the TNAN/N3IWF of its MPS subscription before the NAS Registration Request. Based on operator policy, the TNAN/N3IWF may use this indication to provide this UE with priority treatment in the case of congestion/overload before receipt of the NAS Registration Request with an MPS priority establishment cause.</w:t>
      </w:r>
    </w:p>
    <w:p w14:paraId="46D3CA66" w14:textId="79B0B8AC" w:rsidR="00D40151" w:rsidRPr="00873B6C" w:rsidRDefault="00D40151" w:rsidP="00D40151">
      <w:pPr>
        <w:pStyle w:val="Heading3"/>
      </w:pPr>
      <w:bookmarkStart w:id="3118" w:name="_CR5_16_6"/>
      <w:bookmarkStart w:id="3119" w:name="_Toc201157352"/>
      <w:bookmarkEnd w:id="3118"/>
      <w:r w:rsidRPr="00873B6C">
        <w:t>5.16.6</w:t>
      </w:r>
      <w:r w:rsidRPr="00873B6C">
        <w:tab/>
        <w:t>Mission Critical Services</w:t>
      </w:r>
      <w:bookmarkEnd w:id="3112"/>
      <w:bookmarkEnd w:id="3113"/>
      <w:bookmarkEnd w:id="3114"/>
      <w:bookmarkEnd w:id="3115"/>
      <w:bookmarkEnd w:id="3116"/>
      <w:bookmarkEnd w:id="3117"/>
      <w:bookmarkEnd w:id="3119"/>
    </w:p>
    <w:p w14:paraId="460885A5" w14:textId="2063725F" w:rsidR="00D40151" w:rsidRPr="00873B6C" w:rsidRDefault="00D40151" w:rsidP="00D40151">
      <w:r w:rsidRPr="00873B6C">
        <w:t xml:space="preserve">According to </w:t>
      </w:r>
      <w:r w:rsidR="00972E70" w:rsidRPr="00873B6C">
        <w:t>TS 22.280 [</w:t>
      </w:r>
      <w:r w:rsidRPr="00873B6C">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972E70" w:rsidRPr="00873B6C">
        <w:t>TS 23.379 [</w:t>
      </w:r>
      <w:r w:rsidRPr="00873B6C">
        <w:t xml:space="preserve">38], Mission Critical Video (MCVideo) as defined in </w:t>
      </w:r>
      <w:r w:rsidR="00972E70" w:rsidRPr="00873B6C">
        <w:t>TS 23.281 [</w:t>
      </w:r>
      <w:r w:rsidRPr="00873B6C">
        <w:t xml:space="preserve">39], or Mission Critical Data (MCData) as defined in </w:t>
      </w:r>
      <w:r w:rsidR="00972E70" w:rsidRPr="00873B6C">
        <w:t>TS 23.282 [</w:t>
      </w:r>
      <w:r w:rsidRPr="00873B6C">
        <w:t>40] and represents a shared underlying set of requirements between two or more MCX Service types. MCX Services are not restricted only to the ones defined in this clause</w:t>
      </w:r>
      <w:r w:rsidR="00323277" w:rsidRPr="00873B6C">
        <w:t xml:space="preserve"> </w:t>
      </w:r>
      <w:r w:rsidRPr="00873B6C">
        <w:t>and such services can also have priority treatment, if defined via operator's policy and/or local regulation.</w:t>
      </w:r>
    </w:p>
    <w:p w14:paraId="4FFBD592" w14:textId="51F2EDA7" w:rsidR="00D40151" w:rsidRPr="00873B6C" w:rsidRDefault="00D40151" w:rsidP="00D40151">
      <w:r w:rsidRPr="00873B6C">
        <w:t>MCX Services are based on the ability to invoke, modify, maintain and release sessions with priority</w:t>
      </w:r>
      <w:r w:rsidR="00472CD7" w:rsidRPr="00873B6C">
        <w:t xml:space="preserve"> and</w:t>
      </w:r>
      <w:r w:rsidRPr="00873B6C">
        <w:t xml:space="preserve"> deliver the priority media packets under network congestion conditions. As specified in</w:t>
      </w:r>
      <w:r w:rsidR="00960CDA" w:rsidRPr="00873B6C">
        <w:t xml:space="preserve"> clause 6.8 of</w:t>
      </w:r>
      <w:r w:rsidRPr="00873B6C">
        <w:t xml:space="preserve"> </w:t>
      </w:r>
      <w:r w:rsidR="00972E70" w:rsidRPr="00873B6C">
        <w:t>TS 22.261 [</w:t>
      </w:r>
      <w:r w:rsidRPr="00873B6C">
        <w:t>2], MCX Users require 5GS functionality that allows for real-time, dynamic, secure and limited interaction with the QoS and policy framework for modification of the QoS and policy framework by authorized users. The limited interaction is based on operator policy</w:t>
      </w:r>
      <w:r w:rsidR="00472CD7" w:rsidRPr="00873B6C">
        <w:t xml:space="preserve"> and</w:t>
      </w:r>
      <w:r w:rsidRPr="00873B6C">
        <w:t xml:space="preserve">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539B672F" w:rsidR="00D40151" w:rsidRPr="00873B6C" w:rsidRDefault="00D40151" w:rsidP="00D40151">
      <w:r w:rsidRPr="00873B6C">
        <w:t xml:space="preserve">An MCX-subscribed UE obtains priority access to the Radio Access Network by using the Unified Access Control mechanism according to </w:t>
      </w:r>
      <w:r w:rsidR="00972E70" w:rsidRPr="00873B6C">
        <w:t>TS 22.261 [</w:t>
      </w:r>
      <w:r w:rsidRPr="00873B6C">
        <w:t xml:space="preserve">2]. This mechanism provides preferential access to UEs based on its assigned Access Identity. If an MCX-subscribed UE belongs to the special Access Identity as defined in </w:t>
      </w:r>
      <w:r w:rsidR="00972E70" w:rsidRPr="00873B6C">
        <w:t>TS 22.261 [</w:t>
      </w:r>
      <w:r w:rsidRPr="00873B6C">
        <w:t>2], the UE has preferential access to the network compared to ordinary UEs in periods of congestion. MCX subscription allows users to receive priority services, if the network supports MC</w:t>
      </w:r>
      <w:r w:rsidR="00972E70" w:rsidRPr="00873B6C">
        <w:t>X</w:t>
      </w:r>
      <w:r w:rsidR="00F05BA4" w:rsidRPr="00873B6C">
        <w:t>.</w:t>
      </w:r>
      <w:r w:rsidRPr="00873B6C">
        <w:t xml:space="preserve"> MCX subscription entitles a USIM with special Access Identity.</w:t>
      </w:r>
    </w:p>
    <w:p w14:paraId="09D37349" w14:textId="4304D683" w:rsidR="00FE24CE" w:rsidRPr="00873B6C" w:rsidRDefault="00FE24CE" w:rsidP="00FA7D5B">
      <w:pPr>
        <w:pStyle w:val="NO"/>
      </w:pPr>
      <w:r w:rsidRPr="00873B6C">
        <w:lastRenderedPageBreak/>
        <w:t>NOTE 1:</w:t>
      </w:r>
      <w:r w:rsidRPr="00873B6C">
        <w:tab/>
        <w:t>For Mission Critical Services that require low latency and zero packet loss even for the first downlink packet(s), periodic keep-alive packets during interruptions of media transmission (e.g. Floor Idle as specified in TS 23.379 [38], referenced by TS 23.289 [184]), which is sent over user plane of PDU session, can be used so that the UE is kept in RRC_CONNECTED state without being paged when unicast transmission is used. It is up to the implementation, the periodicity of the keep-alive packets configured in the AF can consider NG-RAN's configuration.</w:t>
      </w:r>
    </w:p>
    <w:p w14:paraId="13551C6B" w14:textId="35032841" w:rsidR="00FE24CE" w:rsidRPr="00873B6C" w:rsidRDefault="00FE24CE" w:rsidP="00FA7D5B">
      <w:pPr>
        <w:pStyle w:val="NO"/>
      </w:pPr>
      <w:r w:rsidRPr="00873B6C">
        <w:t>NOTE 2:</w:t>
      </w:r>
      <w:r w:rsidRPr="00873B6C">
        <w:tab/>
        <w:t>For support of Mission Critical Services that require low latency and zero packet loss when using MBS, see TS 23.247 [121].</w:t>
      </w:r>
    </w:p>
    <w:p w14:paraId="41E4DE1A" w14:textId="1E6CB8A5" w:rsidR="00D40151" w:rsidRPr="00873B6C" w:rsidRDefault="00D40151" w:rsidP="00D40151">
      <w:r w:rsidRPr="00873B6C">
        <w:t>MCX Services leverage the foundation of the 5G QoS Model as defined in clause 5.7</w:t>
      </w:r>
      <w:r w:rsidR="00472CD7" w:rsidRPr="00873B6C">
        <w:t xml:space="preserve"> and</w:t>
      </w:r>
      <w:r w:rsidRPr="00873B6C">
        <w:t xml:space="preserve"> 5G Policy Control as defined in clause 5.14. It requires that the necessary subscriptions are in place for both the 5G QoS Profile and the necessary Policies. In addition, MCX Services leverage </w:t>
      </w:r>
      <w:r w:rsidRPr="00873B6C">
        <w:rPr>
          <w:lang w:eastAsia="ko-KR"/>
        </w:rPr>
        <w:t>priority mechanism as defined in clause 5.22.</w:t>
      </w:r>
    </w:p>
    <w:p w14:paraId="04295A59" w14:textId="77777777" w:rsidR="00D40151" w:rsidRPr="00873B6C" w:rsidRDefault="00D40151" w:rsidP="00D40151">
      <w:r w:rsidRPr="00873B6C">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93F7BB0" w:rsidR="00D40151" w:rsidRPr="00873B6C" w:rsidRDefault="00D40151" w:rsidP="00D40151">
      <w:r w:rsidRPr="00873B6C">
        <w:t>Priority treatment for MCX Service includes priority message handling, including priority treatment during authentication, security</w:t>
      </w:r>
      <w:r w:rsidR="00472CD7" w:rsidRPr="00873B6C">
        <w:t xml:space="preserve"> and</w:t>
      </w:r>
      <w:r w:rsidRPr="00873B6C">
        <w:t xml:space="preserve"> Mobility Management procedures.</w:t>
      </w:r>
    </w:p>
    <w:p w14:paraId="446A9427" w14:textId="77777777" w:rsidR="00D40151" w:rsidRPr="00873B6C" w:rsidRDefault="00D40151" w:rsidP="00D40151">
      <w:r w:rsidRPr="00873B6C">
        <w:t>Priority treatment for MCX Service sessions require appropriate ARP and 5QI (plus 5G QoS characteristics) setting for QoS Flows according to the operator's policy.</w:t>
      </w:r>
    </w:p>
    <w:p w14:paraId="47C2806C" w14:textId="4AB11DF8" w:rsidR="00D40151" w:rsidRPr="00873B6C" w:rsidRDefault="00D40151" w:rsidP="00D40151">
      <w:pPr>
        <w:pStyle w:val="NO"/>
      </w:pPr>
      <w:r w:rsidRPr="00873B6C">
        <w:t>NOTE</w:t>
      </w:r>
      <w:r w:rsidR="00FE24CE" w:rsidRPr="00873B6C">
        <w:t> 3</w:t>
      </w:r>
      <w:r w:rsidRPr="00873B6C">
        <w:t>:</w:t>
      </w:r>
      <w:r w:rsidRPr="00873B6C">
        <w:tab/>
        <w:t xml:space="preserve">Use of QoS Flows for MCX Service sessions with non-standardized 5QI values enables the flexible assignment of 5G QoS characteristics (e.g. </w:t>
      </w:r>
      <w:r w:rsidR="00704A9E" w:rsidRPr="00873B6C">
        <w:t>P</w:t>
      </w:r>
      <w:r w:rsidRPr="00873B6C">
        <w:t xml:space="preserve">riority </w:t>
      </w:r>
      <w:r w:rsidR="00704A9E" w:rsidRPr="00873B6C">
        <w:t>L</w:t>
      </w:r>
      <w:r w:rsidRPr="00873B6C">
        <w:t>evel).</w:t>
      </w:r>
    </w:p>
    <w:p w14:paraId="0BC58A6D" w14:textId="77777777" w:rsidR="00D40151" w:rsidRPr="00873B6C" w:rsidRDefault="00D40151" w:rsidP="00D40151">
      <w:r w:rsidRPr="00873B6C">
        <w:t>When a MCX Service session is requested by an MCX User, the following principles apply in the network:</w:t>
      </w:r>
    </w:p>
    <w:p w14:paraId="345C2D3F" w14:textId="689B41D6" w:rsidR="00D40151" w:rsidRPr="00873B6C" w:rsidRDefault="00D40151" w:rsidP="00D40151">
      <w:pPr>
        <w:pStyle w:val="B1"/>
      </w:pPr>
      <w:r w:rsidRPr="00873B6C">
        <w:t>-</w:t>
      </w:r>
      <w:r w:rsidRPr="00873B6C">
        <w:tab/>
        <w:t>QoS Flows employed in a MCX Service session shall be assigned ARP value settings appropriate for the priority of the MCX User.</w:t>
      </w:r>
    </w:p>
    <w:p w14:paraId="4F40A5D3" w14:textId="77777777" w:rsidR="00D40151" w:rsidRPr="00873B6C" w:rsidRDefault="00D40151" w:rsidP="00D40151">
      <w:pPr>
        <w:pStyle w:val="B1"/>
      </w:pPr>
      <w:r w:rsidRPr="00873B6C">
        <w:t>-</w:t>
      </w:r>
      <w:r w:rsidRPr="00873B6C">
        <w:tab/>
        <w:t>Setting ARP pre-emption capability and vulnerability of QoS Flows related to a MCX Service session, subject to operator policies and depending on national/regional regulatory requirements.</w:t>
      </w:r>
    </w:p>
    <w:p w14:paraId="7E26649E" w14:textId="77777777" w:rsidR="00D40151" w:rsidRPr="00873B6C" w:rsidRDefault="00D40151" w:rsidP="00D40151">
      <w:pPr>
        <w:pStyle w:val="B1"/>
      </w:pPr>
      <w:r w:rsidRPr="00873B6C">
        <w:t>-</w:t>
      </w:r>
      <w:r w:rsidRPr="00873B6C">
        <w:tab/>
        <w:t>Pre-emption of non-MCX Users over MCX Users during network congestion situations, subject to operator policy and national/regional regulations.</w:t>
      </w:r>
    </w:p>
    <w:p w14:paraId="21EF00DB" w14:textId="77777777" w:rsidR="00D40151" w:rsidRPr="00873B6C" w:rsidRDefault="00D40151" w:rsidP="00D40151">
      <w:r w:rsidRPr="00873B6C">
        <w:t>Priority treatment is applicable to IMS based multimedia services and priority PDU connectivity services.</w:t>
      </w:r>
    </w:p>
    <w:p w14:paraId="690083FC" w14:textId="36F6E21E" w:rsidR="00D40151" w:rsidRPr="00873B6C" w:rsidRDefault="00D40151" w:rsidP="00D40151">
      <w:r w:rsidRPr="00873B6C">
        <w:t xml:space="preserve">Relative PDU priority decisions for MCX Service sessions are based on real-time data of the state of the network and/or based on modification of the QoS and policy framework by authorized users as described in clause 6.8 of </w:t>
      </w:r>
      <w:r w:rsidR="00972E70" w:rsidRPr="00873B6C">
        <w:t>TS 22.261 [</w:t>
      </w:r>
      <w:r w:rsidRPr="00873B6C">
        <w:t>2].</w:t>
      </w:r>
    </w:p>
    <w:p w14:paraId="53D43DC0" w14:textId="77777777" w:rsidR="00D40151" w:rsidRPr="00873B6C" w:rsidRDefault="00D40151" w:rsidP="00D40151">
      <w:pPr>
        <w:pStyle w:val="Heading2"/>
      </w:pPr>
      <w:bookmarkStart w:id="3120" w:name="_CR5_17"/>
      <w:bookmarkStart w:id="3121" w:name="_Toc20149967"/>
      <w:bookmarkStart w:id="3122" w:name="_Toc27846766"/>
      <w:bookmarkStart w:id="3123" w:name="_Toc36187897"/>
      <w:bookmarkStart w:id="3124" w:name="_Toc45183801"/>
      <w:bookmarkStart w:id="3125" w:name="_Toc47342643"/>
      <w:bookmarkStart w:id="3126" w:name="_Toc51769344"/>
      <w:bookmarkStart w:id="3127" w:name="_Toc201157353"/>
      <w:bookmarkEnd w:id="3120"/>
      <w:r w:rsidRPr="00873B6C">
        <w:t>5.17</w:t>
      </w:r>
      <w:r w:rsidRPr="00873B6C">
        <w:tab/>
        <w:t>Interworking and Migration</w:t>
      </w:r>
      <w:bookmarkEnd w:id="3121"/>
      <w:bookmarkEnd w:id="3122"/>
      <w:bookmarkEnd w:id="3123"/>
      <w:bookmarkEnd w:id="3124"/>
      <w:bookmarkEnd w:id="3125"/>
      <w:bookmarkEnd w:id="3126"/>
      <w:bookmarkEnd w:id="3127"/>
    </w:p>
    <w:p w14:paraId="1051DB79" w14:textId="77777777" w:rsidR="00D40151" w:rsidRPr="00873B6C" w:rsidRDefault="00D40151" w:rsidP="00D40151">
      <w:pPr>
        <w:pStyle w:val="Heading3"/>
      </w:pPr>
      <w:bookmarkStart w:id="3128" w:name="_CR5_17_1"/>
      <w:bookmarkStart w:id="3129" w:name="_Toc20149968"/>
      <w:bookmarkStart w:id="3130" w:name="_Toc27846767"/>
      <w:bookmarkStart w:id="3131" w:name="_Toc36187898"/>
      <w:bookmarkStart w:id="3132" w:name="_Toc45183802"/>
      <w:bookmarkStart w:id="3133" w:name="_Toc47342644"/>
      <w:bookmarkStart w:id="3134" w:name="_Toc51769345"/>
      <w:bookmarkStart w:id="3135" w:name="_Toc201157354"/>
      <w:bookmarkEnd w:id="3128"/>
      <w:r w:rsidRPr="00873B6C">
        <w:t>5.17.1</w:t>
      </w:r>
      <w:r w:rsidRPr="00873B6C">
        <w:tab/>
        <w:t>Support for Migration from EPC to 5GC</w:t>
      </w:r>
      <w:bookmarkEnd w:id="3129"/>
      <w:bookmarkEnd w:id="3130"/>
      <w:bookmarkEnd w:id="3131"/>
      <w:bookmarkEnd w:id="3132"/>
      <w:bookmarkEnd w:id="3133"/>
      <w:bookmarkEnd w:id="3134"/>
      <w:bookmarkEnd w:id="3135"/>
    </w:p>
    <w:p w14:paraId="2F5D79F0" w14:textId="77777777" w:rsidR="00D40151" w:rsidRPr="00873B6C" w:rsidRDefault="00D40151" w:rsidP="00D40151">
      <w:pPr>
        <w:pStyle w:val="Heading4"/>
      </w:pPr>
      <w:bookmarkStart w:id="3136" w:name="_CR5_17_1_1"/>
      <w:bookmarkStart w:id="3137" w:name="_Toc20149969"/>
      <w:bookmarkStart w:id="3138" w:name="_Toc27846768"/>
      <w:bookmarkStart w:id="3139" w:name="_Toc36187899"/>
      <w:bookmarkStart w:id="3140" w:name="_Toc45183803"/>
      <w:bookmarkStart w:id="3141" w:name="_Toc47342645"/>
      <w:bookmarkStart w:id="3142" w:name="_Toc51769346"/>
      <w:bookmarkStart w:id="3143" w:name="_Toc201157355"/>
      <w:bookmarkEnd w:id="3136"/>
      <w:r w:rsidRPr="00873B6C">
        <w:t>5.17.1.1</w:t>
      </w:r>
      <w:r w:rsidRPr="00873B6C">
        <w:tab/>
        <w:t>General</w:t>
      </w:r>
      <w:bookmarkEnd w:id="3137"/>
      <w:bookmarkEnd w:id="3138"/>
      <w:bookmarkEnd w:id="3139"/>
      <w:bookmarkEnd w:id="3140"/>
      <w:bookmarkEnd w:id="3141"/>
      <w:bookmarkEnd w:id="3142"/>
      <w:bookmarkEnd w:id="3143"/>
    </w:p>
    <w:p w14:paraId="301BC2E1" w14:textId="77777777" w:rsidR="00D40151" w:rsidRPr="00873B6C" w:rsidRDefault="00D40151" w:rsidP="00D40151">
      <w:r w:rsidRPr="00873B6C">
        <w:t>Clause 5.17.1 describes the UE and network behaviour for the migration from EPC to 5GC.</w:t>
      </w:r>
    </w:p>
    <w:p w14:paraId="341011A6" w14:textId="77777777" w:rsidR="00D40151" w:rsidRPr="00873B6C" w:rsidRDefault="00D40151" w:rsidP="00D40151">
      <w:r w:rsidRPr="00873B6C">
        <w:t>Deployments based on different 3GPP architecture options (i.e. EPC based or 5GC based) and UEs with different capabilities (EPC NAS and 5GC NAS) may coexist at the same time within one PLMN.</w:t>
      </w:r>
    </w:p>
    <w:p w14:paraId="6781D3F6" w14:textId="50E950B8" w:rsidR="00D40151" w:rsidRPr="00873B6C" w:rsidRDefault="00D40151" w:rsidP="00D40151">
      <w:r w:rsidRPr="00873B6C">
        <w:t>It is assumed that a UE that is capable of supporting 5GC NAS</w:t>
      </w:r>
      <w:r w:rsidRPr="00873B6C" w:rsidDel="007569DB">
        <w:t xml:space="preserve"> </w:t>
      </w:r>
      <w:r w:rsidRPr="00873B6C">
        <w:t xml:space="preserve">procedures may also be capable of supporting EPC NAS (i.e. the NAS procedures defined in </w:t>
      </w:r>
      <w:r w:rsidR="00972E70" w:rsidRPr="00873B6C">
        <w:t>TS 24.301 [</w:t>
      </w:r>
      <w:r w:rsidRPr="00873B6C">
        <w:t>13]) to operate in legacy networks e.g. in the case of roaming.</w:t>
      </w:r>
    </w:p>
    <w:p w14:paraId="7AAD6938" w14:textId="77777777" w:rsidR="00D40151" w:rsidRPr="00873B6C" w:rsidRDefault="00D40151" w:rsidP="00D40151">
      <w:r w:rsidRPr="00873B6C">
        <w:t>The UE will use EPC NAS or 5GC NAS</w:t>
      </w:r>
      <w:r w:rsidRPr="00873B6C" w:rsidDel="007569DB">
        <w:t xml:space="preserve"> </w:t>
      </w:r>
      <w:r w:rsidRPr="00873B6C">
        <w:t>procedures</w:t>
      </w:r>
      <w:r w:rsidRPr="00873B6C" w:rsidDel="00140959">
        <w:t xml:space="preserve"> </w:t>
      </w:r>
      <w:r w:rsidRPr="00873B6C">
        <w:t>depending on the core network by which it is served.</w:t>
      </w:r>
    </w:p>
    <w:p w14:paraId="69AA75EA" w14:textId="70B95DD5" w:rsidR="00D40151" w:rsidRPr="00873B6C" w:rsidRDefault="00D40151" w:rsidP="00D40151">
      <w:r w:rsidRPr="00873B6C">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972E70" w:rsidRPr="00873B6C">
        <w:t>TS 23.002 [</w:t>
      </w:r>
      <w:r w:rsidRPr="00873B6C">
        <w:t xml:space="preserve">21]. The PCF has access to the UDR that acts as a common subscriber database for a given user identified by a SUPI using the Nudr services defined in </w:t>
      </w:r>
      <w:r w:rsidR="00972E70" w:rsidRPr="00873B6C">
        <w:t>TS 23.502 [</w:t>
      </w:r>
      <w:r w:rsidRPr="00873B6C">
        <w:t>3].</w:t>
      </w:r>
    </w:p>
    <w:bookmarkStart w:id="3144" w:name="_MON_1403814472"/>
    <w:bookmarkStart w:id="3145" w:name="_MON_1564321816"/>
    <w:bookmarkStart w:id="3146" w:name="_MON_1546945334"/>
    <w:bookmarkStart w:id="3147" w:name="_MON_1541923653"/>
    <w:bookmarkEnd w:id="3144"/>
    <w:bookmarkEnd w:id="3145"/>
    <w:bookmarkEnd w:id="3146"/>
    <w:bookmarkEnd w:id="3147"/>
    <w:bookmarkStart w:id="3148" w:name="_MON_1403814463"/>
    <w:bookmarkEnd w:id="3148"/>
    <w:p w14:paraId="4B7A737D" w14:textId="77777777" w:rsidR="00D40151" w:rsidRPr="00873B6C" w:rsidRDefault="00D40151" w:rsidP="00D40151">
      <w:pPr>
        <w:pStyle w:val="TH"/>
      </w:pPr>
      <w:r w:rsidRPr="00873B6C">
        <w:object w:dxaOrig="8757" w:dyaOrig="4480" w14:anchorId="68750349">
          <v:shape id="_x0000_i1096" type="#_x0000_t75" style="width:437.65pt;height:224.15pt" o:ole="">
            <v:imagedata r:id="rId151" o:title=""/>
          </v:shape>
          <o:OLEObject Type="Embed" ProgID="Word.Picture.8" ShapeID="_x0000_i1096" DrawAspect="Content" ObjectID="_1811772430" r:id="rId152"/>
        </w:object>
      </w:r>
    </w:p>
    <w:p w14:paraId="33AD6850" w14:textId="77777777" w:rsidR="00D40151" w:rsidRPr="00873B6C" w:rsidRDefault="00D40151" w:rsidP="00D40151">
      <w:pPr>
        <w:pStyle w:val="TF"/>
      </w:pPr>
      <w:bookmarkStart w:id="3149" w:name="_CRFigure5_17_1_11"/>
      <w:r w:rsidRPr="00873B6C">
        <w:t xml:space="preserve">Figure </w:t>
      </w:r>
      <w:bookmarkEnd w:id="3149"/>
      <w:r w:rsidRPr="00873B6C">
        <w:t>5.17.1.1-1: Architecture for migration scenario for EPC and 5G CN</w:t>
      </w:r>
    </w:p>
    <w:p w14:paraId="1E87A01A" w14:textId="77777777" w:rsidR="00D40151" w:rsidRPr="00873B6C" w:rsidRDefault="00D40151" w:rsidP="00D40151">
      <w:r w:rsidRPr="00873B6C">
        <w:t>A UE that supports only EPC based Dual Connectivity with secondary RAT NR:</w:t>
      </w:r>
    </w:p>
    <w:p w14:paraId="5415D385" w14:textId="77777777" w:rsidR="00D40151" w:rsidRPr="00873B6C" w:rsidRDefault="00D40151" w:rsidP="00D40151">
      <w:pPr>
        <w:pStyle w:val="B1"/>
      </w:pPr>
      <w:r w:rsidRPr="00873B6C">
        <w:t>-</w:t>
      </w:r>
      <w:r w:rsidRPr="00873B6C">
        <w:tab/>
        <w:t>always performs initial access through E-UTRA (LTE-Uu) but never through NR;</w:t>
      </w:r>
    </w:p>
    <w:p w14:paraId="6460797E" w14:textId="4B18E0BD" w:rsidR="00D40151" w:rsidRPr="00873B6C" w:rsidRDefault="00D40151" w:rsidP="00D40151">
      <w:pPr>
        <w:pStyle w:val="B1"/>
      </w:pPr>
      <w:r w:rsidRPr="00873B6C">
        <w:t>-</w:t>
      </w:r>
      <w:r w:rsidRPr="00873B6C">
        <w:tab/>
        <w:t xml:space="preserve">performs EPC NAS procedures over E-UTRA (i.e. Mobility Management, Session Management etc) as defined in </w:t>
      </w:r>
      <w:r w:rsidR="00972E70" w:rsidRPr="00873B6C">
        <w:t>TS 24.301 [</w:t>
      </w:r>
      <w:r w:rsidRPr="00873B6C">
        <w:t>13].</w:t>
      </w:r>
    </w:p>
    <w:p w14:paraId="6421D15B" w14:textId="77777777" w:rsidR="00D40151" w:rsidRPr="00873B6C" w:rsidRDefault="00D40151" w:rsidP="00D40151">
      <w:r w:rsidRPr="00873B6C">
        <w:t>A UE that supports camping on 5G Systems with 5GC NAS:</w:t>
      </w:r>
    </w:p>
    <w:p w14:paraId="00697032" w14:textId="77777777" w:rsidR="00D40151" w:rsidRPr="00873B6C" w:rsidRDefault="00D40151" w:rsidP="00D40151">
      <w:pPr>
        <w:pStyle w:val="B1"/>
      </w:pPr>
      <w:r w:rsidRPr="00873B6C">
        <w:t>-</w:t>
      </w:r>
      <w:r w:rsidRPr="00873B6C">
        <w:tab/>
        <w:t>performs initial access either through E-UTRAN that connects to 5GC or NR towards 5GC;</w:t>
      </w:r>
    </w:p>
    <w:p w14:paraId="6801E35C" w14:textId="77777777" w:rsidR="00D40151" w:rsidRPr="00873B6C" w:rsidRDefault="00D40151" w:rsidP="00D40151">
      <w:pPr>
        <w:pStyle w:val="B1"/>
        <w:rPr>
          <w:lang w:eastAsia="zh-CN"/>
        </w:rPr>
      </w:pPr>
      <w:r w:rsidRPr="00873B6C">
        <w:rPr>
          <w:lang w:eastAsia="zh-CN"/>
        </w:rPr>
        <w:t>-</w:t>
      </w:r>
      <w:r w:rsidRPr="00873B6C">
        <w:rPr>
          <w:lang w:eastAsia="zh-CN"/>
        </w:rPr>
        <w:tab/>
      </w:r>
      <w:r w:rsidRPr="00873B6C">
        <w:t>performs initial access through E-UTRAN towards EPC, if supported and needed;</w:t>
      </w:r>
    </w:p>
    <w:p w14:paraId="2B7C3F47" w14:textId="77777777" w:rsidR="00D40151" w:rsidRPr="00873B6C" w:rsidRDefault="00D40151" w:rsidP="00D40151">
      <w:pPr>
        <w:pStyle w:val="B1"/>
      </w:pPr>
      <w:r w:rsidRPr="00873B6C">
        <w:t>-</w:t>
      </w:r>
      <w:r w:rsidRPr="00873B6C">
        <w:tab/>
        <w:t>performs EPC NAS or 5GC NAS procedures over E-UTRAN or NR respectively (i.e. Mobility Management, Session Management etc) depending on whether the UE requests 5GC access or EPC access, if the UE also supports EPC NAS.</w:t>
      </w:r>
    </w:p>
    <w:p w14:paraId="58945C82" w14:textId="7C791EDD" w:rsidR="00D40151" w:rsidRPr="00873B6C" w:rsidRDefault="00D40151" w:rsidP="00D40151">
      <w:r w:rsidRPr="00873B6C">
        <w:t xml:space="preserve">When camping on an E-UTRA cell connected to both EPC and 5GC, a UE supporting EPC NAS and 5GC NAS shall select a core network type (EPC or 5GC) and initiate the corresponding NAS procedure as specified in </w:t>
      </w:r>
      <w:r w:rsidR="00972E70" w:rsidRPr="00873B6C">
        <w:t>TS 23.122 [</w:t>
      </w:r>
      <w:r w:rsidRPr="00873B6C">
        <w:t>17].</w:t>
      </w:r>
    </w:p>
    <w:p w14:paraId="4EADDFA3" w14:textId="0CEE75D5" w:rsidR="00D40151" w:rsidRPr="00873B6C" w:rsidRDefault="00D40151" w:rsidP="00D40151">
      <w:r w:rsidRPr="00873B6C">
        <w:t>In order to support different UEs with different capabilities in the same network, i.e. both UEs that are capable of only EPC NAS (possibly including EPC based Dual Connectivity with</w:t>
      </w:r>
      <w:r w:rsidR="004001F9" w:rsidRPr="00873B6C">
        <w:t xml:space="preserve"> NR as</w:t>
      </w:r>
      <w:r w:rsidRPr="00873B6C">
        <w:t xml:space="preserve"> secondary</w:t>
      </w:r>
      <w:r w:rsidR="004001F9" w:rsidRPr="00873B6C">
        <w:t xml:space="preserve"> RAT</w:t>
      </w:r>
      <w:r w:rsidRPr="00873B6C">
        <w:t>) and UEs that support 5GC NAS procedures in the same network:</w:t>
      </w:r>
    </w:p>
    <w:p w14:paraId="7F694614" w14:textId="77777777" w:rsidR="00D40151" w:rsidRPr="00873B6C" w:rsidRDefault="00D40151" w:rsidP="00D40151">
      <w:pPr>
        <w:pStyle w:val="B1"/>
      </w:pPr>
      <w:r w:rsidRPr="00873B6C">
        <w:t>-</w:t>
      </w:r>
      <w:r w:rsidRPr="00873B6C">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873B6C" w:rsidRDefault="00D40151" w:rsidP="00D40151">
      <w:pPr>
        <w:pStyle w:val="B1"/>
      </w:pPr>
      <w:r w:rsidRPr="00873B6C">
        <w:t>-</w:t>
      </w:r>
      <w:r w:rsidRPr="00873B6C">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873B6C" w:rsidRDefault="00D40151" w:rsidP="00D40151">
      <w:pPr>
        <w:pStyle w:val="NO"/>
      </w:pPr>
      <w:r w:rsidRPr="00873B6C">
        <w:t>NOTE:</w:t>
      </w:r>
      <w:r w:rsidRPr="00873B6C">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873B6C" w:rsidRDefault="00D40151" w:rsidP="00D40151">
      <w:r w:rsidRPr="00873B6C">
        <w:t>The 5GC network may steer the UE from 5GC based on:</w:t>
      </w:r>
    </w:p>
    <w:p w14:paraId="29CF3977" w14:textId="77777777" w:rsidR="00D40151" w:rsidRPr="00873B6C" w:rsidRDefault="00D40151" w:rsidP="00D40151">
      <w:pPr>
        <w:pStyle w:val="B1"/>
      </w:pPr>
      <w:r w:rsidRPr="00873B6C">
        <w:t>-</w:t>
      </w:r>
      <w:r w:rsidRPr="00873B6C">
        <w:tab/>
        <w:t>Core Network type restriction (e.g. due to lack of roaming agreements) described in clause 5.3.4.1.1;</w:t>
      </w:r>
    </w:p>
    <w:p w14:paraId="0DDC4221" w14:textId="77777777" w:rsidR="00D40151" w:rsidRPr="00873B6C" w:rsidRDefault="00D40151" w:rsidP="00D40151">
      <w:pPr>
        <w:pStyle w:val="B1"/>
      </w:pPr>
      <w:r w:rsidRPr="00873B6C">
        <w:lastRenderedPageBreak/>
        <w:t>-</w:t>
      </w:r>
      <w:r w:rsidRPr="00873B6C">
        <w:tab/>
        <w:t>Availability of EPC connectivity;</w:t>
      </w:r>
    </w:p>
    <w:p w14:paraId="55E1B2CB" w14:textId="77777777" w:rsidR="00D40151" w:rsidRPr="00873B6C" w:rsidRDefault="00D40151" w:rsidP="00D40151">
      <w:pPr>
        <w:pStyle w:val="B1"/>
      </w:pPr>
      <w:r w:rsidRPr="00873B6C">
        <w:t>-</w:t>
      </w:r>
      <w:r w:rsidRPr="00873B6C">
        <w:tab/>
        <w:t>UE indication of EPC Preferred Network Behaviour; and</w:t>
      </w:r>
    </w:p>
    <w:p w14:paraId="4E950889" w14:textId="77777777" w:rsidR="00D40151" w:rsidRPr="00873B6C" w:rsidRDefault="00D40151" w:rsidP="00D40151">
      <w:pPr>
        <w:pStyle w:val="B1"/>
      </w:pPr>
      <w:r w:rsidRPr="00873B6C">
        <w:t>-</w:t>
      </w:r>
      <w:r w:rsidRPr="00873B6C">
        <w:tab/>
        <w:t>Supported Network Behaviour.</w:t>
      </w:r>
    </w:p>
    <w:p w14:paraId="46755419" w14:textId="1F41CF7C" w:rsidR="00D40151" w:rsidRPr="00873B6C" w:rsidRDefault="00D40151" w:rsidP="00D40151">
      <w:r w:rsidRPr="00873B6C">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873B6C" w:rsidRDefault="00D40151" w:rsidP="00D40151">
      <w:pPr>
        <w:pStyle w:val="Heading4"/>
      </w:pPr>
      <w:bookmarkStart w:id="3150" w:name="_CR5_17_1_2"/>
      <w:bookmarkStart w:id="3151" w:name="_Toc20149970"/>
      <w:bookmarkStart w:id="3152" w:name="_Toc27846769"/>
      <w:bookmarkStart w:id="3153" w:name="_Toc36187900"/>
      <w:bookmarkStart w:id="3154" w:name="_Toc45183804"/>
      <w:bookmarkStart w:id="3155" w:name="_Toc47342646"/>
      <w:bookmarkStart w:id="3156" w:name="_Toc51769347"/>
      <w:bookmarkStart w:id="3157" w:name="_Toc201157356"/>
      <w:bookmarkEnd w:id="3150"/>
      <w:r w:rsidRPr="00873B6C">
        <w:t>5.17.1.2</w:t>
      </w:r>
      <w:r w:rsidRPr="00873B6C">
        <w:tab/>
        <w:t>User Plane management to support interworking with EPS</w:t>
      </w:r>
      <w:bookmarkEnd w:id="3151"/>
      <w:bookmarkEnd w:id="3152"/>
      <w:bookmarkEnd w:id="3153"/>
      <w:bookmarkEnd w:id="3154"/>
      <w:bookmarkEnd w:id="3155"/>
      <w:bookmarkEnd w:id="3156"/>
      <w:bookmarkEnd w:id="3157"/>
    </w:p>
    <w:p w14:paraId="05296D0E" w14:textId="6B0C18B2" w:rsidR="00D40151" w:rsidRPr="00873B6C" w:rsidRDefault="00D40151" w:rsidP="00D40151">
      <w:pPr>
        <w:rPr>
          <w:lang w:eastAsia="x-none"/>
        </w:rPr>
      </w:pPr>
      <w:r w:rsidRPr="00873B6C">
        <w:rPr>
          <w:lang w:eastAsia="x-none"/>
        </w:rPr>
        <w:t xml:space="preserve">In order to support the interworking with EPC, the SMF+PGW-C provides information over N4 to the UPF+PGW-U related to the handling of traffic over S5-U. Functionality defined in </w:t>
      </w:r>
      <w:r w:rsidR="00972E70" w:rsidRPr="00873B6C">
        <w:rPr>
          <w:lang w:eastAsia="x-none"/>
        </w:rPr>
        <w:t>TS 23.503 [</w:t>
      </w:r>
      <w:r w:rsidRPr="00873B6C">
        <w:rPr>
          <w:lang w:eastAsia="x-none"/>
        </w:rPr>
        <w:t>45] for traffic steering control on SGi-LAN/N6 can be activated in UPF+PGW-U under consideration of whether the UE is connected to EPC or 5GC.</w:t>
      </w:r>
    </w:p>
    <w:p w14:paraId="21496809" w14:textId="77777777" w:rsidR="00D40151" w:rsidRPr="00873B6C" w:rsidRDefault="00D40151" w:rsidP="00D40151">
      <w:pPr>
        <w:rPr>
          <w:lang w:eastAsia="x-none"/>
        </w:rPr>
      </w:pPr>
      <w:r w:rsidRPr="00873B6C">
        <w:rPr>
          <w:lang w:eastAsia="x-none"/>
        </w:rPr>
        <w:t>When the UE is connected to EPC and establishes/releases PDN connections, the following differences apply to N4 compared to when the UE is connected to 5GC:</w:t>
      </w:r>
    </w:p>
    <w:p w14:paraId="1828F2B8" w14:textId="77777777" w:rsidR="00D40151" w:rsidRPr="00873B6C" w:rsidRDefault="00D40151" w:rsidP="00D40151">
      <w:pPr>
        <w:pStyle w:val="B1"/>
      </w:pPr>
      <w:r w:rsidRPr="00873B6C">
        <w:t>-</w:t>
      </w:r>
      <w:r w:rsidRPr="00873B6C">
        <w:tab/>
        <w:t>The CN Tunnel Info is allocated for each EPS Bearer.</w:t>
      </w:r>
    </w:p>
    <w:p w14:paraId="75F44153" w14:textId="77777777" w:rsidR="00D40151" w:rsidRPr="00873B6C" w:rsidRDefault="00D40151" w:rsidP="00D40151">
      <w:pPr>
        <w:pStyle w:val="B1"/>
      </w:pPr>
      <w:r w:rsidRPr="00873B6C">
        <w:t>-</w:t>
      </w:r>
      <w:r w:rsidRPr="00873B6C">
        <w:tab/>
        <w:t>In addition to the Service Data Flow related information, the SMF+PGW-C shall be able to provide the GBR and MBR values for each GBR bearer of the PDN connection to the UPF+PGW-U.</w:t>
      </w:r>
    </w:p>
    <w:p w14:paraId="367B0E1B" w14:textId="69C0D9E4" w:rsidR="00D40151" w:rsidRPr="00873B6C" w:rsidRDefault="00D40151" w:rsidP="00D40151">
      <w:r w:rsidRPr="00873B6C">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972E70" w:rsidRPr="00873B6C">
        <w:t>TS 23.503 [</w:t>
      </w:r>
      <w:r w:rsidRPr="00873B6C">
        <w:t>45], if available, to derive the parameters, e.g. APN, for the PDN connection establishment and associating an application to the PDN connection.</w:t>
      </w:r>
    </w:p>
    <w:p w14:paraId="29D8EC84" w14:textId="68E86240" w:rsidR="00D40151" w:rsidRPr="00873B6C" w:rsidRDefault="00D40151" w:rsidP="00D40151">
      <w:pPr>
        <w:pStyle w:val="NO"/>
      </w:pPr>
      <w:r w:rsidRPr="00873B6C">
        <w:t>NOTE:</w:t>
      </w:r>
      <w:r w:rsidRPr="00873B6C">
        <w:tab/>
        <w:t xml:space="preserve">The mapping between the parameters in the URSP rules and the parameters used for PDN connection establishment is defined in </w:t>
      </w:r>
      <w:r w:rsidR="00972E70" w:rsidRPr="00873B6C">
        <w:t>TS 24.526 [</w:t>
      </w:r>
      <w:r w:rsidRPr="00873B6C">
        <w:t>110].</w:t>
      </w:r>
    </w:p>
    <w:p w14:paraId="1A677C09" w14:textId="232691BF" w:rsidR="00FC0C60" w:rsidRPr="00873B6C" w:rsidRDefault="00FC0C60" w:rsidP="00FC0C60">
      <w:pPr>
        <w:pStyle w:val="Heading4"/>
      </w:pPr>
      <w:bookmarkStart w:id="3158" w:name="_CR5_17_1_3"/>
      <w:bookmarkStart w:id="3159" w:name="_Toc20149971"/>
      <w:bookmarkStart w:id="3160" w:name="_Toc27846770"/>
      <w:bookmarkStart w:id="3161" w:name="_Toc36187901"/>
      <w:bookmarkStart w:id="3162" w:name="_Toc45183805"/>
      <w:bookmarkStart w:id="3163" w:name="_Toc47342647"/>
      <w:bookmarkStart w:id="3164" w:name="_Toc51769348"/>
      <w:bookmarkStart w:id="3165" w:name="_Toc201157357"/>
      <w:bookmarkEnd w:id="3158"/>
      <w:r w:rsidRPr="00873B6C">
        <w:t>5.17.1.3</w:t>
      </w:r>
      <w:r w:rsidRPr="00873B6C">
        <w:tab/>
        <w:t>QoS handling for home routed roaming</w:t>
      </w:r>
      <w:bookmarkEnd w:id="3165"/>
    </w:p>
    <w:p w14:paraId="19B209C1" w14:textId="3020F3CC" w:rsidR="00FC0C60" w:rsidRPr="00873B6C" w:rsidRDefault="00FC0C60" w:rsidP="001B7C50">
      <w:r w:rsidRPr="00873B6C">
        <w:t xml:space="preserve">During mobility from EPS to 5GS, the handling of QoS constraints in V-SMF is specified in clauses 4.11.1.2.2 and 4.11.1.3.3 of </w:t>
      </w:r>
      <w:r w:rsidR="00972E70" w:rsidRPr="00873B6C">
        <w:t>TS 23.502 [</w:t>
      </w:r>
      <w:r w:rsidRPr="00873B6C">
        <w:t>3] and follows the same principle as described in clause 5.7.1.11.</w:t>
      </w:r>
    </w:p>
    <w:p w14:paraId="01F63B1B" w14:textId="77777777" w:rsidR="00D40151" w:rsidRPr="00873B6C" w:rsidRDefault="00D40151" w:rsidP="00D40151">
      <w:pPr>
        <w:pStyle w:val="Heading3"/>
      </w:pPr>
      <w:bookmarkStart w:id="3166" w:name="_CR5_17_2"/>
      <w:bookmarkStart w:id="3167" w:name="_Toc201157358"/>
      <w:bookmarkEnd w:id="3166"/>
      <w:r w:rsidRPr="00873B6C">
        <w:t>5.17.2</w:t>
      </w:r>
      <w:r w:rsidRPr="00873B6C">
        <w:tab/>
        <w:t>Interworking with EPC</w:t>
      </w:r>
      <w:bookmarkEnd w:id="3159"/>
      <w:bookmarkEnd w:id="3160"/>
      <w:bookmarkEnd w:id="3161"/>
      <w:bookmarkEnd w:id="3162"/>
      <w:bookmarkEnd w:id="3163"/>
      <w:bookmarkEnd w:id="3164"/>
      <w:bookmarkEnd w:id="3167"/>
    </w:p>
    <w:p w14:paraId="5E46224B" w14:textId="77777777" w:rsidR="00D40151" w:rsidRPr="00873B6C" w:rsidRDefault="00D40151" w:rsidP="00D40151">
      <w:pPr>
        <w:pStyle w:val="Heading4"/>
      </w:pPr>
      <w:bookmarkStart w:id="3168" w:name="_CR5_17_2_1"/>
      <w:bookmarkStart w:id="3169" w:name="_Toc20149972"/>
      <w:bookmarkStart w:id="3170" w:name="_Toc27846771"/>
      <w:bookmarkStart w:id="3171" w:name="_Toc36187902"/>
      <w:bookmarkStart w:id="3172" w:name="_Toc45183806"/>
      <w:bookmarkStart w:id="3173" w:name="_Toc47342648"/>
      <w:bookmarkStart w:id="3174" w:name="_Toc51769349"/>
      <w:bookmarkStart w:id="3175" w:name="_Toc201157359"/>
      <w:bookmarkEnd w:id="3168"/>
      <w:r w:rsidRPr="00873B6C">
        <w:t>5.17.2.1</w:t>
      </w:r>
      <w:r w:rsidRPr="00873B6C">
        <w:tab/>
        <w:t>General</w:t>
      </w:r>
      <w:bookmarkEnd w:id="3169"/>
      <w:bookmarkEnd w:id="3170"/>
      <w:bookmarkEnd w:id="3171"/>
      <w:bookmarkEnd w:id="3172"/>
      <w:bookmarkEnd w:id="3173"/>
      <w:bookmarkEnd w:id="3174"/>
      <w:bookmarkEnd w:id="3175"/>
    </w:p>
    <w:p w14:paraId="439E8CE3" w14:textId="77777777" w:rsidR="00D40151" w:rsidRPr="00873B6C" w:rsidRDefault="00D40151" w:rsidP="00D40151">
      <w:r w:rsidRPr="00873B6C">
        <w:t>Interworking with EPC in this clause refers to mobility procedures between 5GC and EPC/E-UTRAN, except for clause 5.17.2.4. Network slicing aspects for EPS Interworking are specified in clause 5.15.7</w:t>
      </w:r>
    </w:p>
    <w:p w14:paraId="348FB1B0" w14:textId="77777777" w:rsidR="00D40151" w:rsidRPr="00873B6C" w:rsidRDefault="00D40151" w:rsidP="00D40151">
      <w:r w:rsidRPr="00873B6C">
        <w:t>In order to interwork with EPC, the UE that supports both 5GC and EPC NAS can operate in single-registration mode or dual-registration mode:</w:t>
      </w:r>
    </w:p>
    <w:p w14:paraId="07A082E2" w14:textId="77777777" w:rsidR="00D40151" w:rsidRPr="00873B6C" w:rsidRDefault="00D40151" w:rsidP="00D40151">
      <w:pPr>
        <w:pStyle w:val="B1"/>
      </w:pPr>
      <w:r w:rsidRPr="00873B6C">
        <w:t>-</w:t>
      </w:r>
      <w:r w:rsidRPr="00873B6C">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873B6C" w:rsidRDefault="00D40151" w:rsidP="00D40151">
      <w:pPr>
        <w:pStyle w:val="B1"/>
      </w:pPr>
      <w:r w:rsidRPr="00873B6C">
        <w:t>-</w:t>
      </w:r>
      <w:r w:rsidRPr="00873B6C">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873B6C" w:rsidRDefault="00D40151" w:rsidP="00D40151">
      <w:pPr>
        <w:pStyle w:val="B1"/>
      </w:pPr>
      <w:r w:rsidRPr="00873B6C">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873B6C" w:rsidRDefault="00D40151" w:rsidP="00D40151">
      <w:pPr>
        <w:pStyle w:val="NO"/>
      </w:pPr>
      <w:r w:rsidRPr="00873B6C">
        <w:lastRenderedPageBreak/>
        <w:t>NOTE 1:</w:t>
      </w:r>
      <w:r w:rsidRPr="00873B6C">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0A71F4C8" w:rsidR="00D40151" w:rsidRPr="00873B6C" w:rsidRDefault="00D40151" w:rsidP="00D40151">
      <w:pPr>
        <w:pStyle w:val="B1"/>
      </w:pPr>
      <w:r w:rsidRPr="00873B6C">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972E70" w:rsidRPr="00873B6C">
        <w:t>TS 23.167 [</w:t>
      </w:r>
      <w:r w:rsidRPr="00873B6C">
        <w:t>18].</w:t>
      </w:r>
    </w:p>
    <w:p w14:paraId="3D6F481A" w14:textId="77777777" w:rsidR="00D40151" w:rsidRPr="00873B6C" w:rsidRDefault="00D40151" w:rsidP="00D40151">
      <w:pPr>
        <w:pStyle w:val="NO"/>
      </w:pPr>
      <w:r w:rsidRPr="00873B6C">
        <w:t>NOTE 2:</w:t>
      </w:r>
      <w:r w:rsidRPr="00873B6C">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873B6C" w:rsidRDefault="00D40151" w:rsidP="00D40151">
      <w:r w:rsidRPr="00873B6C">
        <w:t>The support of single registration mode is mandatory for UEs that support both 5GC and EPC NAS.</w:t>
      </w:r>
    </w:p>
    <w:p w14:paraId="07094479" w14:textId="2D3C5295" w:rsidR="00D40151" w:rsidRPr="00873B6C" w:rsidRDefault="00D40151" w:rsidP="00D40151">
      <w:r w:rsidRPr="00873B6C">
        <w:t>During E-UTRAN Initial Attach, UE supporting both 5GC and EPC NAS shall indicate its support of 5G NAS in UE Network Capability described in clause </w:t>
      </w:r>
      <w:r w:rsidR="00C4403A" w:rsidRPr="00873B6C">
        <w:t xml:space="preserve">4.11.1.5.2 of </w:t>
      </w:r>
      <w:r w:rsidR="00972E70" w:rsidRPr="00873B6C">
        <w:t>TS 23.502 [</w:t>
      </w:r>
      <w:r w:rsidR="00C4403A" w:rsidRPr="00873B6C">
        <w:t>3].</w:t>
      </w:r>
    </w:p>
    <w:p w14:paraId="09949606" w14:textId="77777777" w:rsidR="00D40151" w:rsidRPr="00873B6C" w:rsidRDefault="00D40151" w:rsidP="00D40151">
      <w:r w:rsidRPr="00873B6C">
        <w:t>During</w:t>
      </w:r>
      <w:r w:rsidRPr="00873B6C">
        <w:rPr>
          <w:rFonts w:eastAsia="MS Mincho"/>
        </w:rPr>
        <w:t xml:space="preserve"> registration to 5GC,</w:t>
      </w:r>
      <w:r w:rsidRPr="00873B6C">
        <w:t xml:space="preserve"> UE supporting both 5GC and EPC NAS shall indicate its support of EPC NAS.</w:t>
      </w:r>
    </w:p>
    <w:p w14:paraId="244C2345" w14:textId="771D14E8" w:rsidR="00D40151" w:rsidRPr="00873B6C" w:rsidRDefault="00D40151" w:rsidP="00D40151">
      <w:pPr>
        <w:pStyle w:val="NO"/>
        <w:rPr>
          <w:lang w:eastAsia="zh-CN"/>
        </w:rPr>
      </w:pPr>
      <w:r w:rsidRPr="00873B6C">
        <w:t>NOTE 3:</w:t>
      </w:r>
      <w:r w:rsidRPr="00873B6C">
        <w:tab/>
      </w:r>
      <w:r w:rsidRPr="00873B6C">
        <w:rPr>
          <w:lang w:eastAsia="zh-CN"/>
        </w:rPr>
        <w:t>This indication may be used to give the priority towards selection of SMF</w:t>
      </w:r>
      <w:r w:rsidR="00C4403A" w:rsidRPr="00873B6C">
        <w:rPr>
          <w:lang w:eastAsia="zh-CN"/>
        </w:rPr>
        <w:t>+PGW-C</w:t>
      </w:r>
      <w:r w:rsidRPr="00873B6C">
        <w:rPr>
          <w:lang w:eastAsia="zh-CN"/>
        </w:rPr>
        <w:t xml:space="preserve"> for UEs that support both EPC and 5GC NAS.</w:t>
      </w:r>
    </w:p>
    <w:p w14:paraId="4B6E0B37" w14:textId="77777777" w:rsidR="00C4403A" w:rsidRPr="00873B6C" w:rsidRDefault="00C4403A" w:rsidP="00D40151">
      <w:pPr>
        <w:rPr>
          <w:lang w:eastAsia="zh-CN"/>
        </w:rPr>
      </w:pPr>
      <w:r w:rsidRPr="00873B6C">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873B6C" w:rsidRDefault="00C4403A" w:rsidP="00562E84">
      <w:pPr>
        <w:pStyle w:val="NO"/>
        <w:rPr>
          <w:lang w:eastAsia="zh-CN"/>
        </w:rPr>
      </w:pPr>
      <w:r w:rsidRPr="00873B6C">
        <w:rPr>
          <w:lang w:eastAsia="zh-CN"/>
        </w:rPr>
        <w:t>NOTE 4:</w:t>
      </w:r>
      <w:r w:rsidRPr="00873B6C">
        <w:rPr>
          <w:lang w:eastAsia="zh-CN"/>
        </w:rPr>
        <w:tab/>
        <w:t>UE providing a PDU Session ID at PDN connection establishment even when N1 mode is disabled allows for IP address preservation during EPC to 5GC mobility once the UE re-enables N1 mode.</w:t>
      </w:r>
    </w:p>
    <w:p w14:paraId="543B9368" w14:textId="703D44CE" w:rsidR="00C4403A" w:rsidRPr="00873B6C" w:rsidRDefault="00C4403A" w:rsidP="00562E84">
      <w:pPr>
        <w:pStyle w:val="NO"/>
        <w:rPr>
          <w:lang w:eastAsia="zh-CN"/>
        </w:rPr>
      </w:pPr>
      <w:r w:rsidRPr="00873B6C">
        <w:rPr>
          <w:lang w:eastAsia="zh-CN"/>
        </w:rPr>
        <w:t>NOTE 5:</w:t>
      </w:r>
      <w:r w:rsidRPr="00873B6C">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873B6C">
        <w:rPr>
          <w:lang w:eastAsia="zh-CN"/>
        </w:rPr>
        <w:t>8 of</w:t>
      </w:r>
      <w:r w:rsidRPr="00873B6C">
        <w:rPr>
          <w:lang w:eastAsia="zh-CN"/>
        </w:rPr>
        <w:t xml:space="preserve"> </w:t>
      </w:r>
      <w:r w:rsidR="00972E70" w:rsidRPr="00873B6C">
        <w:rPr>
          <w:lang w:eastAsia="zh-CN"/>
        </w:rPr>
        <w:t>TS 23.502 [</w:t>
      </w:r>
      <w:r w:rsidRPr="00873B6C">
        <w:rPr>
          <w:lang w:eastAsia="zh-CN"/>
        </w:rPr>
        <w:t>3] to allow selection of SMF+PGW-C thus session continuity at EPC to 5GC mobility.</w:t>
      </w:r>
    </w:p>
    <w:p w14:paraId="17F1E5A9" w14:textId="7D47EA55" w:rsidR="00D40151" w:rsidRPr="00873B6C" w:rsidRDefault="00D40151" w:rsidP="00D40151">
      <w:pPr>
        <w:rPr>
          <w:lang w:eastAsia="zh-CN"/>
        </w:rPr>
      </w:pPr>
      <w:r w:rsidRPr="00873B6C">
        <w:rPr>
          <w:lang w:eastAsia="zh-CN"/>
        </w:rPr>
        <w:t>If the EPC supports "Ethernet" PDU Session Type</w:t>
      </w:r>
      <w:r w:rsidR="00472CD7" w:rsidRPr="00873B6C">
        <w:rPr>
          <w:lang w:eastAsia="zh-CN"/>
        </w:rPr>
        <w:t xml:space="preserve"> and</w:t>
      </w:r>
      <w:r w:rsidRPr="00873B6C">
        <w:rPr>
          <w:lang w:eastAsia="zh-CN"/>
        </w:rPr>
        <w:t xml:space="preserve">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w:t>
      </w:r>
      <w:r w:rsidR="00472CD7" w:rsidRPr="00873B6C">
        <w:rPr>
          <w:lang w:eastAsia="zh-CN"/>
        </w:rPr>
        <w:t xml:space="preserve"> and</w:t>
      </w:r>
      <w:r w:rsidRPr="00873B6C">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873B6C" w:rsidRDefault="00D40151" w:rsidP="00D40151">
      <w:pPr>
        <w:rPr>
          <w:lang w:eastAsia="zh-CN"/>
        </w:rPr>
      </w:pPr>
      <w:r w:rsidRPr="00873B6C">
        <w:rPr>
          <w:lang w:eastAsia="zh-CN"/>
        </w:rPr>
        <w:t>PDN type "non-IP" is transferred to 5GS as "Unstructured" PDU Session type if it is successfully transferred.</w:t>
      </w:r>
    </w:p>
    <w:p w14:paraId="5CD1814F" w14:textId="77777777" w:rsidR="00D40151" w:rsidRPr="00873B6C" w:rsidRDefault="00D40151" w:rsidP="00D40151">
      <w:pPr>
        <w:rPr>
          <w:lang w:eastAsia="zh-CN"/>
        </w:rPr>
      </w:pPr>
      <w:r w:rsidRPr="00873B6C">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873B6C" w:rsidRDefault="00D40151" w:rsidP="00D40151">
      <w:r w:rsidRPr="00873B6C">
        <w:t>MTU size consideration for PDU Sessions and PDN Connections towards a SMF</w:t>
      </w:r>
      <w:r w:rsidR="00704A9E" w:rsidRPr="00873B6C">
        <w:t>+PGW-C</w:t>
      </w:r>
      <w:r w:rsidRPr="00873B6C">
        <w:t xml:space="preserve"> follows the requirements in clause 5.6.10.4.</w:t>
      </w:r>
    </w:p>
    <w:p w14:paraId="6B47BE08" w14:textId="09731131" w:rsidR="00D40151" w:rsidRPr="00873B6C" w:rsidRDefault="00D40151" w:rsidP="00D40151">
      <w:r w:rsidRPr="00873B6C">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972E70" w:rsidRPr="00873B6C">
        <w:t>TS 23.401 [</w:t>
      </w:r>
      <w:r w:rsidRPr="00873B6C">
        <w:t>26].</w:t>
      </w:r>
    </w:p>
    <w:p w14:paraId="3A522FAB" w14:textId="77777777" w:rsidR="00D40151" w:rsidRPr="00873B6C" w:rsidRDefault="00D40151" w:rsidP="00D40151">
      <w:pPr>
        <w:rPr>
          <w:lang w:eastAsia="zh-CN"/>
        </w:rPr>
      </w:pPr>
      <w:r w:rsidRPr="00873B6C">
        <w:rPr>
          <w:lang w:eastAsia="zh-CN"/>
        </w:rPr>
        <w:lastRenderedPageBreak/>
        <w:t>If the network does not support interworking with EPC, network shall not indicate support for "interworking without N26" to the UE.</w:t>
      </w:r>
    </w:p>
    <w:p w14:paraId="7DFB8936" w14:textId="09D2C2A5" w:rsidR="00D40151" w:rsidRPr="00873B6C" w:rsidRDefault="00D40151" w:rsidP="00D40151">
      <w:pPr>
        <w:rPr>
          <w:lang w:eastAsia="zh-CN"/>
        </w:rPr>
      </w:pPr>
      <w:r w:rsidRPr="00873B6C">
        <w:rPr>
          <w:lang w:eastAsia="zh-CN"/>
        </w:rPr>
        <w:t>When the HSS+UDM is required to provide the subscription data to the MME, for each APN, only one SMF</w:t>
      </w:r>
      <w:r w:rsidR="00704A9E" w:rsidRPr="00873B6C">
        <w:rPr>
          <w:lang w:eastAsia="zh-CN"/>
        </w:rPr>
        <w:t>+PGW-C</w:t>
      </w:r>
      <w:r w:rsidRPr="00873B6C">
        <w:rPr>
          <w:lang w:eastAsia="zh-CN"/>
        </w:rPr>
        <w:t xml:space="preserve"> FQDN and associated APN is provided to the MME according to </w:t>
      </w:r>
      <w:r w:rsidR="00972E70" w:rsidRPr="00873B6C">
        <w:rPr>
          <w:lang w:eastAsia="zh-CN"/>
        </w:rPr>
        <w:t>TS 23.401 [</w:t>
      </w:r>
      <w:r w:rsidRPr="00873B6C">
        <w:rPr>
          <w:lang w:eastAsia="zh-CN"/>
        </w:rPr>
        <w:t>26].</w:t>
      </w:r>
    </w:p>
    <w:p w14:paraId="35CBD182" w14:textId="77777777" w:rsidR="00D40151" w:rsidRPr="00873B6C" w:rsidRDefault="00D40151" w:rsidP="00D40151">
      <w:pPr>
        <w:rPr>
          <w:lang w:eastAsia="zh-CN"/>
        </w:rPr>
      </w:pPr>
      <w:r w:rsidRPr="00873B6C">
        <w:rPr>
          <w:lang w:eastAsia="zh-CN"/>
        </w:rPr>
        <w:t>For interworking without N26 interface:</w:t>
      </w:r>
    </w:p>
    <w:p w14:paraId="6731297D" w14:textId="39C8E6EB" w:rsidR="00D40151" w:rsidRPr="00873B6C" w:rsidRDefault="00D40151" w:rsidP="00D40151">
      <w:pPr>
        <w:pStyle w:val="B1"/>
        <w:rPr>
          <w:lang w:eastAsia="zh-CN"/>
        </w:rPr>
      </w:pPr>
      <w:r w:rsidRPr="00873B6C">
        <w:rPr>
          <w:lang w:eastAsia="zh-CN"/>
        </w:rPr>
        <w:t>-</w:t>
      </w:r>
      <w:r w:rsidRPr="00873B6C">
        <w:rPr>
          <w:lang w:eastAsia="zh-CN"/>
        </w:rPr>
        <w:tab/>
        <w:t>if the PDU session supports interworking, the SMF</w:t>
      </w:r>
      <w:r w:rsidR="00704A9E" w:rsidRPr="00873B6C">
        <w:rPr>
          <w:lang w:eastAsia="zh-CN"/>
        </w:rPr>
        <w:t>+PGW-C</w:t>
      </w:r>
      <w:r w:rsidRPr="00873B6C">
        <w:rPr>
          <w:lang w:eastAsia="zh-CN"/>
        </w:rPr>
        <w:t xml:space="preserve"> stores the SMF</w:t>
      </w:r>
      <w:r w:rsidR="00704A9E" w:rsidRPr="00873B6C">
        <w:rPr>
          <w:lang w:eastAsia="zh-CN"/>
        </w:rPr>
        <w:t>+PGW-C</w:t>
      </w:r>
      <w:r w:rsidRPr="00873B6C">
        <w:rPr>
          <w:lang w:eastAsia="zh-CN"/>
        </w:rPr>
        <w:t xml:space="preserve"> FQDN to SMF context in HSS+UDM when the SMF is registered to HSS+UDM.</w:t>
      </w:r>
    </w:p>
    <w:p w14:paraId="64118244" w14:textId="6B4F9039" w:rsidR="00D40151" w:rsidRPr="00873B6C" w:rsidRDefault="00D40151" w:rsidP="00D40151">
      <w:pPr>
        <w:pStyle w:val="B1"/>
        <w:rPr>
          <w:lang w:eastAsia="zh-CN"/>
        </w:rPr>
      </w:pPr>
      <w:r w:rsidRPr="00873B6C">
        <w:rPr>
          <w:lang w:eastAsia="zh-CN"/>
        </w:rPr>
        <w:t>-</w:t>
      </w:r>
      <w:r w:rsidRPr="00873B6C">
        <w:rPr>
          <w:lang w:eastAsia="zh-CN"/>
        </w:rPr>
        <w:tab/>
        <w:t>For an APN, the HSS+UDM selects one of the stored SMF</w:t>
      </w:r>
      <w:r w:rsidR="00704A9E" w:rsidRPr="00873B6C">
        <w:rPr>
          <w:lang w:eastAsia="zh-CN"/>
        </w:rPr>
        <w:t>+PGW-C</w:t>
      </w:r>
      <w:r w:rsidRPr="00873B6C">
        <w:rPr>
          <w:lang w:eastAsia="zh-CN"/>
        </w:rPr>
        <w:t xml:space="preserve"> FQDN based on operator's policy.</w:t>
      </w:r>
    </w:p>
    <w:p w14:paraId="0EBF4D16" w14:textId="77777777" w:rsidR="00D40151" w:rsidRPr="00873B6C" w:rsidRDefault="00D40151" w:rsidP="00D40151">
      <w:pPr>
        <w:rPr>
          <w:lang w:eastAsia="zh-CN"/>
        </w:rPr>
      </w:pPr>
      <w:r w:rsidRPr="00873B6C">
        <w:rPr>
          <w:lang w:eastAsia="zh-CN"/>
        </w:rPr>
        <w:t>For interworking with N26 interface:</w:t>
      </w:r>
    </w:p>
    <w:p w14:paraId="5BFD0B6C" w14:textId="366213DC" w:rsidR="00D40151" w:rsidRPr="00873B6C" w:rsidRDefault="00D40151" w:rsidP="00D40151">
      <w:pPr>
        <w:pStyle w:val="B1"/>
        <w:rPr>
          <w:lang w:eastAsia="zh-CN"/>
        </w:rPr>
      </w:pPr>
      <w:r w:rsidRPr="00873B6C">
        <w:rPr>
          <w:lang w:eastAsia="zh-CN"/>
        </w:rPr>
        <w:t>-</w:t>
      </w:r>
      <w:r w:rsidRPr="00873B6C">
        <w:rPr>
          <w:lang w:eastAsia="zh-CN"/>
        </w:rPr>
        <w:tab/>
        <w:t>For a DNN, AMF determines PDU session(s) associated with 3GPP access in only one SMF</w:t>
      </w:r>
      <w:r w:rsidR="00704A9E" w:rsidRPr="00873B6C">
        <w:rPr>
          <w:lang w:eastAsia="zh-CN"/>
        </w:rPr>
        <w:t>+PGW-C</w:t>
      </w:r>
      <w:r w:rsidRPr="00873B6C">
        <w:rPr>
          <w:lang w:eastAsia="zh-CN"/>
        </w:rPr>
        <w:t xml:space="preserve"> supporting EPS interworking via EBI allocation procedure as described in clause 4.11.1.4.1 of </w:t>
      </w:r>
      <w:r w:rsidR="00972E70" w:rsidRPr="00873B6C">
        <w:rPr>
          <w:lang w:eastAsia="zh-CN"/>
        </w:rPr>
        <w:t>TS 23.502 [</w:t>
      </w:r>
      <w:r w:rsidRPr="00873B6C">
        <w:rPr>
          <w:lang w:eastAsia="zh-CN"/>
        </w:rPr>
        <w:t>3].</w:t>
      </w:r>
    </w:p>
    <w:p w14:paraId="15AC248D" w14:textId="51069ED8" w:rsidR="00D40151" w:rsidRPr="00873B6C" w:rsidRDefault="00D40151" w:rsidP="00D40151">
      <w:pPr>
        <w:pStyle w:val="B1"/>
        <w:rPr>
          <w:lang w:eastAsia="zh-CN"/>
        </w:rPr>
      </w:pPr>
      <w:r w:rsidRPr="00873B6C">
        <w:rPr>
          <w:lang w:eastAsia="zh-CN"/>
        </w:rPr>
        <w:t>-</w:t>
      </w:r>
      <w:r w:rsidRPr="00873B6C">
        <w:rPr>
          <w:lang w:eastAsia="zh-CN"/>
        </w:rPr>
        <w:tab/>
        <w:t>If the network supports EPS interworking of non-3GPP access connected to 5GC, the AMF serving 3GPP access notifies the UDM to store the association between DNN and SMF</w:t>
      </w:r>
      <w:r w:rsidR="00704A9E" w:rsidRPr="00873B6C">
        <w:rPr>
          <w:lang w:eastAsia="zh-CN"/>
        </w:rPr>
        <w:t>+PGW-C</w:t>
      </w:r>
      <w:r w:rsidRPr="00873B6C">
        <w:rPr>
          <w:lang w:eastAsia="zh-CN"/>
        </w:rPr>
        <w:t xml:space="preserve"> FQDN which supports EPS interworking as Intersystem continuity context, to avoid MME receiving inconsistent SMF</w:t>
      </w:r>
      <w:r w:rsidR="00704A9E" w:rsidRPr="00873B6C">
        <w:rPr>
          <w:lang w:eastAsia="zh-CN"/>
        </w:rPr>
        <w:t>+PGW-C</w:t>
      </w:r>
      <w:r w:rsidRPr="00873B6C">
        <w:rPr>
          <w:lang w:eastAsia="zh-CN"/>
        </w:rPr>
        <w:t xml:space="preserve"> FQDN from AMF and HSS+UDM.</w:t>
      </w:r>
    </w:p>
    <w:p w14:paraId="0802E16F" w14:textId="12665D1E" w:rsidR="00D40151" w:rsidRPr="00873B6C" w:rsidRDefault="00D40151" w:rsidP="00D40151">
      <w:pPr>
        <w:pStyle w:val="B1"/>
        <w:rPr>
          <w:lang w:eastAsia="zh-CN"/>
        </w:rPr>
      </w:pPr>
      <w:r w:rsidRPr="00873B6C">
        <w:rPr>
          <w:lang w:eastAsia="zh-CN"/>
        </w:rPr>
        <w:t>-</w:t>
      </w:r>
      <w:r w:rsidRPr="00873B6C">
        <w:rPr>
          <w:lang w:eastAsia="zh-CN"/>
        </w:rPr>
        <w:tab/>
        <w:t>The AMF updates Intersystem continuity context if the SMF</w:t>
      </w:r>
      <w:r w:rsidR="00704A9E" w:rsidRPr="00873B6C">
        <w:rPr>
          <w:lang w:eastAsia="zh-CN"/>
        </w:rPr>
        <w:t>+PGW-C</w:t>
      </w:r>
      <w:r w:rsidRPr="00873B6C">
        <w:rPr>
          <w:lang w:eastAsia="zh-CN"/>
        </w:rPr>
        <w:t xml:space="preserve"> and DNN association is changed due to the AMF selecting another SMF</w:t>
      </w:r>
      <w:r w:rsidR="00704A9E" w:rsidRPr="00873B6C">
        <w:rPr>
          <w:lang w:eastAsia="zh-CN"/>
        </w:rPr>
        <w:t>+PGW-C</w:t>
      </w:r>
      <w:r w:rsidRPr="00873B6C">
        <w:rPr>
          <w:lang w:eastAsia="zh-CN"/>
        </w:rPr>
        <w:t xml:space="preserve"> for EPS interworking for the same DNN.</w:t>
      </w:r>
    </w:p>
    <w:p w14:paraId="718F193E" w14:textId="67275407" w:rsidR="00D40151" w:rsidRPr="00873B6C" w:rsidRDefault="00D40151" w:rsidP="00D40151">
      <w:pPr>
        <w:pStyle w:val="B1"/>
        <w:rPr>
          <w:lang w:eastAsia="zh-CN"/>
        </w:rPr>
      </w:pPr>
      <w:r w:rsidRPr="00873B6C">
        <w:rPr>
          <w:lang w:eastAsia="zh-CN"/>
        </w:rPr>
        <w:t>-</w:t>
      </w:r>
      <w:r w:rsidRPr="00873B6C">
        <w:rPr>
          <w:lang w:eastAsia="zh-CN"/>
        </w:rPr>
        <w:tab/>
        <w:t>If the SMF</w:t>
      </w:r>
      <w:r w:rsidR="00704A9E" w:rsidRPr="00873B6C">
        <w:rPr>
          <w:lang w:eastAsia="zh-CN"/>
        </w:rPr>
        <w:t>+PGW-C</w:t>
      </w:r>
      <w:r w:rsidRPr="00873B6C">
        <w:rPr>
          <w:lang w:eastAsia="zh-CN"/>
        </w:rPr>
        <w:t xml:space="preserve"> FQDN and associated DNN exists in Intersystem continuity context, the HSS+UDM provides MME with SMF</w:t>
      </w:r>
      <w:r w:rsidR="00704A9E" w:rsidRPr="00873B6C">
        <w:rPr>
          <w:lang w:eastAsia="zh-CN"/>
        </w:rPr>
        <w:t>+PGW-C</w:t>
      </w:r>
      <w:r w:rsidRPr="00873B6C">
        <w:rPr>
          <w:lang w:eastAsia="zh-CN"/>
        </w:rPr>
        <w:t xml:space="preserve"> FQDN and associated APN.</w:t>
      </w:r>
    </w:p>
    <w:p w14:paraId="19C84906" w14:textId="32C67C8D" w:rsidR="00D40151" w:rsidRPr="00873B6C" w:rsidRDefault="00D40151" w:rsidP="00D40151">
      <w:pPr>
        <w:rPr>
          <w:lang w:eastAsia="zh-CN"/>
        </w:rPr>
      </w:pPr>
      <w:r w:rsidRPr="00873B6C">
        <w:rPr>
          <w:lang w:eastAsia="zh-CN"/>
        </w:rPr>
        <w:t>It does not assume that the HSS+UDM is aware of whether N26 is deployed in the serving network. The HSS+UDM check the Intersystem continuity context first. If no SMF</w:t>
      </w:r>
      <w:r w:rsidR="00704A9E" w:rsidRPr="00873B6C">
        <w:rPr>
          <w:lang w:eastAsia="zh-CN"/>
        </w:rPr>
        <w:t>+PGW-C</w:t>
      </w:r>
      <w:r w:rsidRPr="00873B6C">
        <w:rPr>
          <w:lang w:eastAsia="zh-CN"/>
        </w:rPr>
        <w:t xml:space="preserve"> FQDN associated with an DNN exists in Intersystem continuity context, the HSS+UDM selects one of the SMF</w:t>
      </w:r>
      <w:r w:rsidR="00704A9E" w:rsidRPr="00873B6C">
        <w:rPr>
          <w:lang w:eastAsia="zh-CN"/>
        </w:rPr>
        <w:t>+PGW-C</w:t>
      </w:r>
      <w:r w:rsidRPr="00873B6C">
        <w:rPr>
          <w:lang w:eastAsia="zh-CN"/>
        </w:rPr>
        <w:t xml:space="preserve"> FQDN for the APN from SMF context based on operator's policy.</w:t>
      </w:r>
    </w:p>
    <w:p w14:paraId="33A63B6E" w14:textId="1DB6171C" w:rsidR="00D40151" w:rsidRPr="00873B6C" w:rsidRDefault="00D40151" w:rsidP="00D40151">
      <w:r w:rsidRPr="00873B6C">
        <w:rPr>
          <w:lang w:eastAsia="zh-CN"/>
        </w:rPr>
        <w:t xml:space="preserve">In entire clause 5.17.2 the terms "initial attach", "handover attach" and "TAU" for the UE procedures in EPC can alternatively be combined EPS/IMSI Attach and combined TA/LA depending on the UE configuration defined in </w:t>
      </w:r>
      <w:r w:rsidR="00972E70" w:rsidRPr="00873B6C">
        <w:rPr>
          <w:lang w:eastAsia="zh-CN"/>
        </w:rPr>
        <w:t>TS 23.221 [</w:t>
      </w:r>
      <w:r w:rsidRPr="00873B6C">
        <w:rPr>
          <w:lang w:eastAsia="zh-CN"/>
        </w:rPr>
        <w:t>23].</w:t>
      </w:r>
    </w:p>
    <w:p w14:paraId="0B42B30C" w14:textId="77777777" w:rsidR="00D40151" w:rsidRPr="00873B6C" w:rsidRDefault="00D40151" w:rsidP="00D40151">
      <w:pPr>
        <w:rPr>
          <w:lang w:eastAsia="zh-CN"/>
        </w:rPr>
      </w:pPr>
      <w:r w:rsidRPr="00873B6C">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873B6C" w:rsidRDefault="00D40151" w:rsidP="00D40151">
      <w:pPr>
        <w:rPr>
          <w:lang w:eastAsia="zh-CN"/>
        </w:rPr>
      </w:pPr>
      <w:r w:rsidRPr="00873B6C">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873B6C" w:rsidRDefault="00D40151" w:rsidP="00D40151">
      <w:pPr>
        <w:pStyle w:val="NO"/>
        <w:rPr>
          <w:lang w:eastAsia="zh-CN"/>
        </w:rPr>
      </w:pPr>
      <w:r w:rsidRPr="00873B6C">
        <w:rPr>
          <w:lang w:eastAsia="zh-CN"/>
        </w:rPr>
        <w:t>NOTE </w:t>
      </w:r>
      <w:r w:rsidR="00C4403A" w:rsidRPr="00873B6C">
        <w:rPr>
          <w:lang w:eastAsia="zh-CN"/>
        </w:rPr>
        <w:t>6</w:t>
      </w:r>
      <w:r w:rsidRPr="00873B6C">
        <w:rPr>
          <w:lang w:eastAsia="zh-CN"/>
        </w:rPr>
        <w:t>:</w:t>
      </w:r>
      <w:r w:rsidRPr="00873B6C">
        <w:rPr>
          <w:lang w:eastAsia="zh-CN"/>
        </w:rPr>
        <w:tab/>
        <w:t xml:space="preserve">The SMF+PGW-C might not include the GERAN/UTRAN PDP Context anchor functionality. Also, 5GC does not provide GERAN/UTRAN PDP Context parameters to the UE when </w:t>
      </w:r>
      <w:r w:rsidR="00426DE4" w:rsidRPr="00873B6C">
        <w:rPr>
          <w:lang w:eastAsia="zh-CN"/>
        </w:rPr>
        <w:t>QoS Flow</w:t>
      </w:r>
      <w:r w:rsidRPr="00873B6C">
        <w:rPr>
          <w:lang w:eastAsia="zh-CN"/>
        </w:rPr>
        <w:t>s of PDU Session are setup or modified in 5GS. Hence, the UE might not be able to activate the PDP contexts when it transitions to GERAN/UTRAN.</w:t>
      </w:r>
    </w:p>
    <w:p w14:paraId="7B8BFB8C" w14:textId="0ABD73EF" w:rsidR="00D40151" w:rsidRPr="00873B6C" w:rsidRDefault="00D40151" w:rsidP="00D40151">
      <w:pPr>
        <w:rPr>
          <w:lang w:eastAsia="zh-CN"/>
        </w:rPr>
      </w:pPr>
      <w:r w:rsidRPr="00873B6C">
        <w:rPr>
          <w:lang w:eastAsia="zh-CN"/>
        </w:rPr>
        <w:t xml:space="preserve">IP address preservation for IP PDU sessions cannot be ensured on subsequent mobility from EPC/E-UTRAN to 5GS </w:t>
      </w:r>
      <w:r w:rsidR="00182EE7" w:rsidRPr="00873B6C">
        <w:rPr>
          <w:lang w:eastAsia="zh-CN"/>
        </w:rPr>
        <w:t xml:space="preserve">for </w:t>
      </w:r>
      <w:r w:rsidRPr="00873B6C">
        <w:rPr>
          <w:lang w:eastAsia="zh-CN"/>
        </w:rPr>
        <w:t xml:space="preserve">a 5GS NAS capable UE that had initially </w:t>
      </w:r>
      <w:r w:rsidR="00182EE7" w:rsidRPr="00873B6C">
        <w:rPr>
          <w:lang w:eastAsia="zh-CN"/>
        </w:rPr>
        <w:t xml:space="preserve">established a PDP context </w:t>
      </w:r>
      <w:r w:rsidRPr="00873B6C">
        <w:rPr>
          <w:lang w:eastAsia="zh-CN"/>
        </w:rPr>
        <w:t>via GERAN/UTRAN and moved to EPC/E-UTRAN.</w:t>
      </w:r>
      <w:r w:rsidR="00182EE7" w:rsidRPr="00873B6C">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873B6C" w:rsidRDefault="00182EE7" w:rsidP="00D40151">
      <w:pPr>
        <w:pStyle w:val="NO"/>
        <w:rPr>
          <w:lang w:eastAsia="zh-CN"/>
        </w:rPr>
      </w:pPr>
      <w:r w:rsidRPr="00873B6C">
        <w:rPr>
          <w:lang w:eastAsia="zh-CN"/>
        </w:rPr>
        <w:t>NOTE 7:</w:t>
      </w:r>
      <w:r w:rsidRPr="00873B6C">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873B6C" w:rsidRDefault="00D40151" w:rsidP="00D40151">
      <w:pPr>
        <w:rPr>
          <w:lang w:eastAsia="zh-CN"/>
        </w:rPr>
      </w:pPr>
      <w:r w:rsidRPr="00873B6C">
        <w:rPr>
          <w:lang w:eastAsia="zh-CN"/>
        </w:rPr>
        <w:t>When a PDU session is moved from 5GS to EPS, the SMF</w:t>
      </w:r>
      <w:r w:rsidR="00704A9E" w:rsidRPr="00873B6C">
        <w:rPr>
          <w:lang w:eastAsia="zh-CN"/>
        </w:rPr>
        <w:t>+PGW-C</w:t>
      </w:r>
      <w:r w:rsidRPr="00873B6C">
        <w:rPr>
          <w:lang w:eastAsia="zh-CN"/>
        </w:rPr>
        <w:t xml:space="preserve"> keeps the registration and subscription in HSS+UDM until the corresponding PDN connection is released.</w:t>
      </w:r>
    </w:p>
    <w:p w14:paraId="10B1CACA" w14:textId="76064667" w:rsidR="00EC761C" w:rsidRPr="00873B6C" w:rsidRDefault="00EC761C" w:rsidP="00D40151">
      <w:pPr>
        <w:rPr>
          <w:lang w:eastAsia="zh-CN"/>
        </w:rPr>
      </w:pPr>
      <w:r w:rsidRPr="00873B6C">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w:t>
      </w:r>
      <w:r w:rsidR="00972E70" w:rsidRPr="00873B6C">
        <w:rPr>
          <w:lang w:eastAsia="zh-CN"/>
        </w:rPr>
        <w:t>TS 23.401 [</w:t>
      </w:r>
      <w:r w:rsidRPr="00873B6C">
        <w:rPr>
          <w:lang w:eastAsia="zh-CN"/>
        </w:rPr>
        <w:t xml:space="preserve">26]. If the SMF+PGW-C receives </w:t>
      </w:r>
      <w:r w:rsidRPr="00873B6C">
        <w:rPr>
          <w:lang w:eastAsia="zh-CN"/>
        </w:rPr>
        <w:lastRenderedPageBreak/>
        <w:t>subscription updates (e.g. change of 5GS Subscribed NSSAI) from the UDM the SMF+PGW-C triggers corresponding actions for the PDN connection. This may include (depending on the modified parameter) to:</w:t>
      </w:r>
    </w:p>
    <w:p w14:paraId="35B25A6A" w14:textId="3140FCC9" w:rsidR="00EC761C" w:rsidRPr="00873B6C" w:rsidRDefault="00EC761C" w:rsidP="00EC761C">
      <w:pPr>
        <w:pStyle w:val="B1"/>
        <w:rPr>
          <w:lang w:eastAsia="zh-CN"/>
        </w:rPr>
      </w:pPr>
      <w:r w:rsidRPr="00873B6C">
        <w:rPr>
          <w:lang w:eastAsia="zh-CN"/>
        </w:rPr>
        <w:t>-</w:t>
      </w:r>
      <w:r w:rsidRPr="00873B6C">
        <w:rPr>
          <w:lang w:eastAsia="zh-CN"/>
        </w:rPr>
        <w:tab/>
        <w:t>update the UPF (e.g. for a change of Framed Route information); or</w:t>
      </w:r>
    </w:p>
    <w:p w14:paraId="7FF9B853" w14:textId="52738B43" w:rsidR="00EC761C" w:rsidRPr="00873B6C" w:rsidRDefault="00EC761C" w:rsidP="00562E84">
      <w:pPr>
        <w:pStyle w:val="B1"/>
        <w:rPr>
          <w:lang w:eastAsia="zh-CN"/>
        </w:rPr>
      </w:pPr>
      <w:r w:rsidRPr="00873B6C">
        <w:rPr>
          <w:lang w:eastAsia="zh-CN"/>
        </w:rPr>
        <w:t>-</w:t>
      </w:r>
      <w:r w:rsidRPr="00873B6C">
        <w:rPr>
          <w:lang w:eastAsia="zh-CN"/>
        </w:rPr>
        <w:tab/>
        <w:t>release the PDN connection with an appropriate cause (e.g. for change of EPS/5GS interworking support, for subscription removal of S-NSSAI associated with the PDN connection);</w:t>
      </w:r>
    </w:p>
    <w:p w14:paraId="59D61D52" w14:textId="77777777" w:rsidR="00EC761C" w:rsidRPr="00873B6C" w:rsidRDefault="00EC761C" w:rsidP="00562E84">
      <w:pPr>
        <w:pStyle w:val="B1"/>
        <w:rPr>
          <w:lang w:eastAsia="zh-CN"/>
        </w:rPr>
      </w:pPr>
      <w:r w:rsidRPr="00873B6C">
        <w:rPr>
          <w:lang w:eastAsia="zh-CN"/>
        </w:rPr>
        <w:t>-</w:t>
      </w:r>
      <w:r w:rsidRPr="00873B6C">
        <w:rPr>
          <w:lang w:eastAsia="zh-CN"/>
        </w:rPr>
        <w:tab/>
        <w:t>do nothing about changes to DNN and/or PDU Session type that are handled by the MME.</w:t>
      </w:r>
    </w:p>
    <w:p w14:paraId="2D8FAB67" w14:textId="050E6EC3" w:rsidR="00D40151" w:rsidRPr="00873B6C" w:rsidRDefault="00D40151" w:rsidP="00D40151">
      <w:pPr>
        <w:rPr>
          <w:lang w:eastAsia="zh-CN"/>
        </w:rPr>
      </w:pPr>
      <w:r w:rsidRPr="00873B6C">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972E70" w:rsidRPr="00873B6C">
        <w:rPr>
          <w:lang w:eastAsia="zh-CN"/>
        </w:rPr>
        <w:t>TS 23.401 [</w:t>
      </w:r>
      <w:r w:rsidRPr="00873B6C">
        <w:rPr>
          <w:lang w:eastAsia="zh-CN"/>
        </w:rPr>
        <w:t xml:space="preserve">26] and </w:t>
      </w:r>
      <w:r w:rsidR="00972E70" w:rsidRPr="00873B6C">
        <w:rPr>
          <w:lang w:eastAsia="zh-CN"/>
        </w:rPr>
        <w:t>TS 24.501 [</w:t>
      </w:r>
      <w:r w:rsidRPr="00873B6C">
        <w:rPr>
          <w:lang w:eastAsia="zh-CN"/>
        </w:rPr>
        <w:t>47].</w:t>
      </w:r>
    </w:p>
    <w:p w14:paraId="7BAF523A" w14:textId="77777777" w:rsidR="00D40151" w:rsidRPr="00873B6C" w:rsidRDefault="00D40151" w:rsidP="00D40151">
      <w:pPr>
        <w:rPr>
          <w:lang w:eastAsia="zh-CN"/>
        </w:rPr>
      </w:pPr>
      <w:r w:rsidRPr="00873B6C">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873B6C" w:rsidRDefault="00D40151" w:rsidP="00D40151">
      <w:pPr>
        <w:rPr>
          <w:lang w:eastAsia="zh-CN"/>
        </w:rPr>
      </w:pPr>
      <w:r w:rsidRPr="00873B6C">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873B6C">
        <w:rPr>
          <w:lang w:eastAsia="zh-CN"/>
        </w:rPr>
        <w:t xml:space="preserve">UPF+PGW-U </w:t>
      </w:r>
      <w:r w:rsidRPr="00873B6C">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873B6C" w:rsidRDefault="00D40151" w:rsidP="00D40151">
      <w:pPr>
        <w:rPr>
          <w:lang w:eastAsia="zh-CN"/>
        </w:rPr>
      </w:pPr>
      <w:bookmarkStart w:id="3176" w:name="_Toc20149973"/>
      <w:r w:rsidRPr="00873B6C">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873B6C" w:rsidRDefault="00D40151" w:rsidP="00D40151">
      <w:pPr>
        <w:pStyle w:val="NO"/>
        <w:rPr>
          <w:lang w:eastAsia="zh-CN"/>
        </w:rPr>
      </w:pPr>
      <w:r w:rsidRPr="00873B6C">
        <w:rPr>
          <w:lang w:eastAsia="zh-CN"/>
        </w:rPr>
        <w:t>NOTE </w:t>
      </w:r>
      <w:r w:rsidR="00C4403A" w:rsidRPr="00873B6C">
        <w:rPr>
          <w:lang w:eastAsia="zh-CN"/>
        </w:rPr>
        <w:t>8</w:t>
      </w:r>
      <w:r w:rsidRPr="00873B6C">
        <w:rPr>
          <w:lang w:eastAsia="zh-CN"/>
        </w:rPr>
        <w:t>:</w:t>
      </w:r>
      <w:r w:rsidRPr="00873B6C">
        <w:rPr>
          <w:lang w:eastAsia="zh-CN"/>
        </w:rPr>
        <w:tab/>
        <w:t xml:space="preserve">If the APN Rate Control Status is provided to a </w:t>
      </w:r>
      <w:r w:rsidR="00C4403A" w:rsidRPr="00873B6C">
        <w:rPr>
          <w:lang w:eastAsia="zh-CN"/>
        </w:rPr>
        <w:t xml:space="preserve">UPF+PGW-U </w:t>
      </w:r>
      <w:r w:rsidRPr="00873B6C">
        <w:rPr>
          <w:lang w:eastAsia="zh-CN"/>
        </w:rPr>
        <w:t>it is not used for Small Data Rate Control while the UE is connected to 5GC, it is only used as the APN Rate Control Status if the UE moves to EPC.</w:t>
      </w:r>
    </w:p>
    <w:p w14:paraId="6A03A418" w14:textId="666FA37B" w:rsidR="00D40151" w:rsidRPr="00873B6C" w:rsidRDefault="00D40151" w:rsidP="00D40151">
      <w:pPr>
        <w:pStyle w:val="NO"/>
        <w:rPr>
          <w:lang w:eastAsia="zh-CN"/>
        </w:rPr>
      </w:pPr>
      <w:r w:rsidRPr="00873B6C">
        <w:rPr>
          <w:lang w:eastAsia="zh-CN"/>
        </w:rPr>
        <w:t>NOTE </w:t>
      </w:r>
      <w:r w:rsidR="00C4403A" w:rsidRPr="00873B6C">
        <w:rPr>
          <w:lang w:eastAsia="zh-CN"/>
        </w:rPr>
        <w:t>9</w:t>
      </w:r>
      <w:r w:rsidRPr="00873B6C">
        <w:rPr>
          <w:lang w:eastAsia="zh-CN"/>
        </w:rPr>
        <w:t>:</w:t>
      </w:r>
      <w:r w:rsidRPr="00873B6C">
        <w:rPr>
          <w:lang w:eastAsia="zh-CN"/>
        </w:rPr>
        <w:tab/>
        <w:t xml:space="preserve">Encoding of APN and DNN specified in </w:t>
      </w:r>
      <w:r w:rsidR="00972E70" w:rsidRPr="00873B6C">
        <w:rPr>
          <w:lang w:eastAsia="zh-CN"/>
        </w:rPr>
        <w:t>TS 23.003 [</w:t>
      </w:r>
      <w:r w:rsidRPr="00873B6C">
        <w:rPr>
          <w:lang w:eastAsia="zh-CN"/>
        </w:rPr>
        <w:t>19] allows the comparison of EPS APN and 5GS DNN.</w:t>
      </w:r>
    </w:p>
    <w:p w14:paraId="28BB1B9D" w14:textId="77777777" w:rsidR="00D40151" w:rsidRPr="00873B6C" w:rsidRDefault="00D40151" w:rsidP="00D40151">
      <w:pPr>
        <w:rPr>
          <w:lang w:eastAsia="zh-CN"/>
        </w:rPr>
      </w:pPr>
      <w:r w:rsidRPr="00873B6C">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0558166" w:rsidR="00D40151" w:rsidRPr="00873B6C" w:rsidRDefault="00D40151" w:rsidP="00D40151">
      <w:pPr>
        <w:rPr>
          <w:lang w:eastAsia="zh-CN"/>
        </w:rPr>
      </w:pPr>
      <w:r w:rsidRPr="00873B6C">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972E70" w:rsidRPr="00873B6C">
        <w:rPr>
          <w:lang w:eastAsia="zh-CN"/>
        </w:rPr>
        <w:t>TS 23.401 [</w:t>
      </w:r>
      <w:r w:rsidRPr="00873B6C">
        <w:rPr>
          <w:lang w:eastAsia="zh-CN"/>
        </w:rPr>
        <w:t>26].</w:t>
      </w:r>
    </w:p>
    <w:p w14:paraId="1F7F816E" w14:textId="7B3709FA" w:rsidR="00D40151" w:rsidRPr="00873B6C" w:rsidRDefault="00D40151" w:rsidP="00D40151">
      <w:pPr>
        <w:rPr>
          <w:lang w:eastAsia="zh-CN"/>
        </w:rPr>
      </w:pPr>
      <w:r w:rsidRPr="00873B6C">
        <w:rPr>
          <w:lang w:eastAsia="zh-CN"/>
        </w:rPr>
        <w:t>If a Service Gap timer is running in the UE when the UE moves to from 5GC to EPC and if Service Gap Time is received from the MME, the UE stores the received Service Gap Time for later use when the timer needs to be started next time</w:t>
      </w:r>
      <w:r w:rsidR="00472CD7" w:rsidRPr="00873B6C">
        <w:rPr>
          <w:lang w:eastAsia="zh-CN"/>
        </w:rPr>
        <w:t xml:space="preserve"> and</w:t>
      </w:r>
      <w:r w:rsidRPr="00873B6C">
        <w:rPr>
          <w:lang w:eastAsia="zh-CN"/>
        </w:rPr>
        <w:t xml:space="preserve">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w:t>
      </w:r>
      <w:r w:rsidR="00472CD7" w:rsidRPr="00873B6C">
        <w:rPr>
          <w:lang w:eastAsia="zh-CN"/>
        </w:rPr>
        <w:t xml:space="preserve"> and</w:t>
      </w:r>
      <w:r w:rsidRPr="00873B6C">
        <w:rPr>
          <w:lang w:eastAsia="zh-CN"/>
        </w:rPr>
        <w:t xml:space="preserve"> the Service Gap timer that was started before the system change is kept running in the UE and applied in 5GS.</w:t>
      </w:r>
    </w:p>
    <w:p w14:paraId="6FDCF497" w14:textId="529DBFE9" w:rsidR="00607A94" w:rsidRPr="00873B6C" w:rsidRDefault="00607A94" w:rsidP="00562E84">
      <w:pPr>
        <w:rPr>
          <w:lang w:eastAsia="zh-CN"/>
        </w:rPr>
      </w:pPr>
      <w:bookmarkStart w:id="3177" w:name="_Toc27846772"/>
      <w:bookmarkStart w:id="3178" w:name="_Toc36187903"/>
      <w:bookmarkStart w:id="3179" w:name="_Toc45183807"/>
      <w:bookmarkStart w:id="3180" w:name="_Toc47342649"/>
      <w:bookmarkStart w:id="3181" w:name="_Toc51769350"/>
      <w:r w:rsidRPr="00873B6C">
        <w:rPr>
          <w:lang w:eastAsia="zh-CN"/>
        </w:rPr>
        <w:t>For UE currently served by EPC, a SMF+PGW-C may support L2TP tunnelling on N6, as described in clause 5.8.2.16.</w:t>
      </w:r>
    </w:p>
    <w:p w14:paraId="79951D5E" w14:textId="75B9B18A" w:rsidR="00D40151" w:rsidRPr="00873B6C" w:rsidRDefault="00D40151" w:rsidP="00D40151">
      <w:pPr>
        <w:pStyle w:val="Heading4"/>
        <w:rPr>
          <w:lang w:eastAsia="zh-CN"/>
        </w:rPr>
      </w:pPr>
      <w:bookmarkStart w:id="3182" w:name="_CR5_17_2_2"/>
      <w:bookmarkStart w:id="3183" w:name="_Toc201157360"/>
      <w:bookmarkEnd w:id="3182"/>
      <w:r w:rsidRPr="00873B6C">
        <w:rPr>
          <w:lang w:eastAsia="zh-CN"/>
        </w:rPr>
        <w:lastRenderedPageBreak/>
        <w:t>5.17.2.2</w:t>
      </w:r>
      <w:r w:rsidRPr="00873B6C">
        <w:rPr>
          <w:lang w:eastAsia="zh-CN"/>
        </w:rPr>
        <w:tab/>
        <w:t>Interworking Procedures with N26 interface</w:t>
      </w:r>
      <w:bookmarkEnd w:id="3176"/>
      <w:bookmarkEnd w:id="3177"/>
      <w:bookmarkEnd w:id="3178"/>
      <w:bookmarkEnd w:id="3179"/>
      <w:bookmarkEnd w:id="3180"/>
      <w:bookmarkEnd w:id="3181"/>
      <w:bookmarkEnd w:id="3183"/>
    </w:p>
    <w:p w14:paraId="68949921" w14:textId="77777777" w:rsidR="00D40151" w:rsidRPr="00873B6C" w:rsidRDefault="00D40151" w:rsidP="00D40151">
      <w:pPr>
        <w:pStyle w:val="Heading5"/>
        <w:rPr>
          <w:lang w:eastAsia="zh-CN"/>
        </w:rPr>
      </w:pPr>
      <w:bookmarkStart w:id="3184" w:name="_CR5_17_2_2_1"/>
      <w:bookmarkStart w:id="3185" w:name="_Toc20149974"/>
      <w:bookmarkStart w:id="3186" w:name="_Toc27846773"/>
      <w:bookmarkStart w:id="3187" w:name="_Toc36187904"/>
      <w:bookmarkStart w:id="3188" w:name="_Toc45183808"/>
      <w:bookmarkStart w:id="3189" w:name="_Toc47342650"/>
      <w:bookmarkStart w:id="3190" w:name="_Toc51769351"/>
      <w:bookmarkStart w:id="3191" w:name="_Toc201157361"/>
      <w:bookmarkEnd w:id="3184"/>
      <w:r w:rsidRPr="00873B6C">
        <w:rPr>
          <w:lang w:eastAsia="zh-CN"/>
        </w:rPr>
        <w:t>5.17.2.2.1</w:t>
      </w:r>
      <w:r w:rsidRPr="00873B6C">
        <w:rPr>
          <w:lang w:eastAsia="zh-CN"/>
        </w:rPr>
        <w:tab/>
        <w:t>General</w:t>
      </w:r>
      <w:bookmarkEnd w:id="3185"/>
      <w:bookmarkEnd w:id="3186"/>
      <w:bookmarkEnd w:id="3187"/>
      <w:bookmarkEnd w:id="3188"/>
      <w:bookmarkEnd w:id="3189"/>
      <w:bookmarkEnd w:id="3190"/>
      <w:bookmarkEnd w:id="3191"/>
    </w:p>
    <w:p w14:paraId="67811D3F" w14:textId="4D45F2FE" w:rsidR="00BE0437" w:rsidRPr="00873B6C" w:rsidRDefault="00BE0437" w:rsidP="00BE0437">
      <w:pPr>
        <w:pStyle w:val="NO"/>
        <w:rPr>
          <w:lang w:eastAsia="zh-CN"/>
        </w:rPr>
      </w:pPr>
      <w:r w:rsidRPr="00873B6C">
        <w:rPr>
          <w:rFonts w:eastAsia="DengXian"/>
        </w:rPr>
        <w:t>NOTE 1:</w:t>
      </w:r>
      <w:r w:rsidRPr="00873B6C">
        <w:rPr>
          <w:rFonts w:eastAsia="DengXian"/>
        </w:rPr>
        <w:tab/>
        <w:t>Additional network slicing and Interworking with EPS with N26 aspects are specified in clause 5.15.7.</w:t>
      </w:r>
    </w:p>
    <w:p w14:paraId="27C37C1A" w14:textId="77777777" w:rsidR="00D40151" w:rsidRPr="00873B6C" w:rsidRDefault="00D40151" w:rsidP="00D40151">
      <w:r w:rsidRPr="00873B6C">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873B6C" w:rsidRDefault="00D40151" w:rsidP="00D40151">
      <w:r w:rsidRPr="00873B6C">
        <w:t>The support for N26 interface between AMF in 5GC and MME in EPC is required to enable seamless session continuity (e.g. for voice services) for inter-system change.</w:t>
      </w:r>
    </w:p>
    <w:p w14:paraId="7B02A786" w14:textId="77777777" w:rsidR="00D40151" w:rsidRPr="00873B6C" w:rsidRDefault="00D40151" w:rsidP="00D40151">
      <w:r w:rsidRPr="00873B6C">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873B6C" w:rsidDel="00844C08">
        <w:t xml:space="preserve"> </w:t>
      </w:r>
      <w:r w:rsidRPr="00873B6C">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873B6C" w:rsidRDefault="00D40151" w:rsidP="00D40151">
      <w:pPr>
        <w:rPr>
          <w:rFonts w:eastAsia="DengXian"/>
        </w:rPr>
      </w:pPr>
      <w:r w:rsidRPr="00873B6C">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873B6C">
        <w:rPr>
          <w:rFonts w:eastAsia="DengXian"/>
        </w:rPr>
        <w:t xml:space="preserve"> If the SMF+PGW-C receives the PDU session ID from UE via PCO and know 5GC is not restricted for the PDN connection by user subscription, the SMF+PGW-C sends the mapped QoS parameters to UE.</w:t>
      </w:r>
      <w:r w:rsidRPr="00873B6C">
        <w:rPr>
          <w:rFonts w:eastAsia="DengXian"/>
        </w:rPr>
        <w:t xml:space="preserve"> When the UE moves from EPS to 5GS, for the case when the MME has selected </w:t>
      </w:r>
      <w:r w:rsidR="00C4403A" w:rsidRPr="00873B6C">
        <w:rPr>
          <w:rFonts w:eastAsia="DengXian"/>
        </w:rPr>
        <w:t xml:space="preserve">SMF+PGW-C </w:t>
      </w:r>
      <w:r w:rsidRPr="00873B6C">
        <w:rPr>
          <w:rFonts w:eastAsia="DengXian"/>
        </w:rPr>
        <w:t xml:space="preserve">even for PDN connections that cannot be relocated to the target 5GS, the </w:t>
      </w:r>
      <w:r w:rsidR="00C4403A" w:rsidRPr="00873B6C">
        <w:rPr>
          <w:rFonts w:eastAsia="DengXian"/>
        </w:rPr>
        <w:t xml:space="preserve">SMF+PGW-C </w:t>
      </w:r>
      <w:r w:rsidRPr="00873B6C">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873B6C">
        <w:rPr>
          <w:rFonts w:eastAsia="DengXian"/>
        </w:rPr>
        <w:t xml:space="preserve">SMF+PGW-C </w:t>
      </w:r>
      <w:r w:rsidRPr="00873B6C">
        <w:rPr>
          <w:rFonts w:eastAsia="DengXian"/>
        </w:rPr>
        <w:t>and NG-RAN can reject the PDN Connections that cannot be transferred as part of the handover or Idle mode mobility.</w:t>
      </w:r>
    </w:p>
    <w:p w14:paraId="27B3B18F" w14:textId="588DA808" w:rsidR="00153C7D" w:rsidRPr="00873B6C" w:rsidRDefault="00153C7D" w:rsidP="00153C7D">
      <w:pPr>
        <w:pStyle w:val="NO"/>
        <w:rPr>
          <w:lang w:eastAsia="zh-CN"/>
        </w:rPr>
      </w:pPr>
      <w:r w:rsidRPr="00873B6C">
        <w:rPr>
          <w:rFonts w:eastAsia="DengXian"/>
        </w:rPr>
        <w:t>NOTE 2:</w:t>
      </w:r>
      <w:r w:rsidRPr="00873B6C">
        <w:rPr>
          <w:rFonts w:eastAsia="DengXian"/>
        </w:rPr>
        <w:tab/>
        <w:t>At inter-PLMN scenarios, in case the V-SMF receives an operator specific QCI value, whether/how the remapping is done is implementation specific according to the local policy and according to an inter-PLMN agreement between the involved operators. If remapping at inter-PLMN mobility between HPLMN and VPLMN is to be performed, the V-SMF chooses a 5QI value based on inter-PLMN agreement between the VPLMN and the HPLMN and updates the QoS Flows accordingly. The remapping can result in service degradation.</w:t>
      </w:r>
    </w:p>
    <w:p w14:paraId="03FDE218" w14:textId="77777777" w:rsidR="00D40151" w:rsidRPr="00873B6C" w:rsidRDefault="00D40151" w:rsidP="00D40151">
      <w:pPr>
        <w:rPr>
          <w:rFonts w:eastAsia="DengXian"/>
        </w:rPr>
      </w:pPr>
      <w:r w:rsidRPr="00873B6C">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332B33C9" w:rsidR="00D40151" w:rsidRPr="00873B6C" w:rsidRDefault="00D40151" w:rsidP="00D40151">
      <w:pPr>
        <w:pStyle w:val="NO"/>
        <w:rPr>
          <w:lang w:eastAsia="zh-CN"/>
        </w:rPr>
      </w:pPr>
      <w:r w:rsidRPr="00873B6C">
        <w:rPr>
          <w:rFonts w:eastAsia="DengXian"/>
        </w:rPr>
        <w:t>NOTE </w:t>
      </w:r>
      <w:r w:rsidR="00BE0437" w:rsidRPr="00873B6C">
        <w:rPr>
          <w:rFonts w:eastAsia="DengXian"/>
        </w:rPr>
        <w:t>2</w:t>
      </w:r>
      <w:r w:rsidRPr="00873B6C">
        <w:rPr>
          <w:rFonts w:eastAsia="DengXian"/>
        </w:rPr>
        <w:t>:</w:t>
      </w:r>
      <w:r w:rsidRPr="00873B6C">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873B6C">
        <w:t>5GS</w:t>
      </w:r>
      <w:r w:rsidRPr="00873B6C">
        <w:rPr>
          <w:rFonts w:eastAsia="DengXian"/>
        </w:rPr>
        <w:t xml:space="preserve"> to </w:t>
      </w:r>
      <w:r w:rsidRPr="00873B6C">
        <w:t>EPS</w:t>
      </w:r>
      <w:r w:rsidRPr="00873B6C">
        <w:rPr>
          <w:rFonts w:eastAsia="DengXian"/>
        </w:rPr>
        <w:t xml:space="preserve"> Idle mode mobility and presenting a mapped GUTI pointing to an AMF that has been taken out of service or has failed.</w:t>
      </w:r>
    </w:p>
    <w:p w14:paraId="0C38F52D" w14:textId="0D980A02" w:rsidR="00D40151" w:rsidRPr="00873B6C" w:rsidRDefault="00D40151" w:rsidP="00D40151">
      <w:pPr>
        <w:rPr>
          <w:lang w:eastAsia="zh-CN"/>
        </w:rPr>
      </w:pPr>
      <w:bookmarkStart w:id="3192" w:name="_Toc20149975"/>
      <w:r w:rsidRPr="00873B6C">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w:t>
      </w:r>
      <w:r w:rsidR="00472CD7" w:rsidRPr="00873B6C">
        <w:rPr>
          <w:lang w:eastAsia="zh-CN"/>
        </w:rPr>
        <w:t xml:space="preserve"> and</w:t>
      </w:r>
      <w:r w:rsidRPr="00873B6C">
        <w:rPr>
          <w:lang w:eastAsia="zh-CN"/>
        </w:rPr>
        <w:t xml:space="preserve"> retrieves the EPS bearer contexts from the SMF</w:t>
      </w:r>
      <w:r w:rsidR="00704A9E" w:rsidRPr="00873B6C">
        <w:rPr>
          <w:lang w:eastAsia="zh-CN"/>
        </w:rPr>
        <w:t>+PGW-C</w:t>
      </w:r>
      <w:r w:rsidRPr="00873B6C">
        <w:rPr>
          <w:lang w:eastAsia="zh-CN"/>
        </w:rPr>
        <w:t xml:space="preserve"> for the EBIs that can be transferred to EPS.</w:t>
      </w:r>
    </w:p>
    <w:p w14:paraId="00226ACF" w14:textId="1B6E83D5" w:rsidR="00D40151" w:rsidRPr="00873B6C" w:rsidRDefault="00D40151" w:rsidP="00D40151">
      <w:pPr>
        <w:pStyle w:val="NO"/>
        <w:rPr>
          <w:lang w:eastAsia="zh-CN"/>
        </w:rPr>
      </w:pPr>
      <w:bookmarkStart w:id="3193" w:name="_Toc27846774"/>
      <w:r w:rsidRPr="00873B6C">
        <w:rPr>
          <w:lang w:eastAsia="zh-CN"/>
        </w:rPr>
        <w:t>NOTE </w:t>
      </w:r>
      <w:r w:rsidR="00BE0437" w:rsidRPr="00873B6C">
        <w:rPr>
          <w:lang w:eastAsia="zh-CN"/>
        </w:rPr>
        <w:t>3</w:t>
      </w:r>
      <w:r w:rsidRPr="00873B6C">
        <w:rPr>
          <w:lang w:eastAsia="zh-CN"/>
        </w:rPr>
        <w:t>:</w:t>
      </w:r>
      <w:r w:rsidRPr="00873B6C">
        <w:rPr>
          <w:lang w:eastAsia="zh-CN"/>
        </w:rPr>
        <w:tab/>
        <w:t>How the AMF determines which EBIs can be transferred to EPS is according to local configuration, e.g</w:t>
      </w:r>
      <w:r w:rsidR="00704A9E" w:rsidRPr="00873B6C">
        <w:rPr>
          <w:lang w:eastAsia="zh-CN"/>
        </w:rPr>
        <w:t>.</w:t>
      </w:r>
      <w:r w:rsidRPr="00873B6C">
        <w:rPr>
          <w:lang w:eastAsia="zh-CN"/>
        </w:rPr>
        <w:t xml:space="preserve"> according to DNN, S-NSSAI, ARP associated with an EBI.</w:t>
      </w:r>
    </w:p>
    <w:p w14:paraId="7503EE68" w14:textId="4D861017" w:rsidR="001F5968" w:rsidRPr="00873B6C" w:rsidRDefault="001F5968" w:rsidP="001F5968">
      <w:pPr>
        <w:rPr>
          <w:lang w:eastAsia="zh-CN"/>
        </w:rPr>
      </w:pPr>
      <w:bookmarkStart w:id="3194" w:name="_Toc36187905"/>
      <w:bookmarkStart w:id="3195" w:name="_Toc45183809"/>
      <w:bookmarkStart w:id="3196" w:name="_Toc47342651"/>
      <w:bookmarkStart w:id="3197" w:name="_Toc51769352"/>
      <w:r w:rsidRPr="00873B6C">
        <w:rPr>
          <w:lang w:eastAsia="zh-CN"/>
        </w:rPr>
        <w:lastRenderedPageBreak/>
        <w:t>In the case of mobility from 5GS to EPS, if the mobility is</w:t>
      </w:r>
      <w:r w:rsidR="00D51D1B" w:rsidRPr="00873B6C">
        <w:rPr>
          <w:lang w:eastAsia="zh-CN"/>
        </w:rPr>
        <w:t xml:space="preserve"> a result of</w:t>
      </w:r>
      <w:r w:rsidRPr="00873B6C">
        <w:rPr>
          <w:lang w:eastAsia="zh-CN"/>
        </w:rPr>
        <w:t xml:space="preserve"> the PCF</w:t>
      </w:r>
      <w:r w:rsidR="00D51D1B" w:rsidRPr="00873B6C">
        <w:rPr>
          <w:lang w:eastAsia="zh-CN"/>
        </w:rPr>
        <w:t xml:space="preserve"> modifying</w:t>
      </w:r>
      <w:r w:rsidRPr="00873B6C">
        <w:rPr>
          <w:lang w:eastAsia="zh-CN"/>
        </w:rPr>
        <w:t xml:space="preserve"> the RFSP Index value</w:t>
      </w:r>
      <w:r w:rsidR="00D51D1B" w:rsidRPr="00873B6C">
        <w:rPr>
          <w:lang w:eastAsia="zh-CN"/>
        </w:rPr>
        <w:t xml:space="preserve"> for the UE to indicate that EPC/E-UTRAN access is prioritized over the 5GS access, the AMF may be sent with a RFSP</w:t>
      </w:r>
      <w:r w:rsidR="00456BDF" w:rsidRPr="00873B6C">
        <w:rPr>
          <w:lang w:eastAsia="zh-CN"/>
        </w:rPr>
        <w:t xml:space="preserve"> Index</w:t>
      </w:r>
      <w:r w:rsidR="00D51D1B" w:rsidRPr="00873B6C">
        <w:rPr>
          <w:lang w:eastAsia="zh-CN"/>
        </w:rPr>
        <w:t xml:space="preserve"> in Use Validity Time by the PCF as specified in </w:t>
      </w:r>
      <w:r w:rsidR="00972E70" w:rsidRPr="00873B6C">
        <w:rPr>
          <w:lang w:eastAsia="zh-CN"/>
        </w:rPr>
        <w:t>TS 23.503 [</w:t>
      </w:r>
      <w:r w:rsidR="00D51D1B" w:rsidRPr="00873B6C">
        <w:rPr>
          <w:lang w:eastAsia="zh-CN"/>
        </w:rPr>
        <w:t>45]</w:t>
      </w:r>
      <w:r w:rsidRPr="00873B6C">
        <w:rPr>
          <w:lang w:eastAsia="zh-CN"/>
        </w:rPr>
        <w:t>. If the AMF receives RFSP</w:t>
      </w:r>
      <w:r w:rsidR="00456BDF" w:rsidRPr="00873B6C">
        <w:rPr>
          <w:lang w:eastAsia="zh-CN"/>
        </w:rPr>
        <w:t xml:space="preserve"> Index</w:t>
      </w:r>
      <w:r w:rsidRPr="00873B6C">
        <w:rPr>
          <w:lang w:eastAsia="zh-CN"/>
        </w:rPr>
        <w:t xml:space="preserve"> in Use Validity Time and selects the RFSP Index in use identical to the authorized RFSP Index as specified in clause 5.3.4.3, then the AMF provides the MME</w:t>
      </w:r>
      <w:r w:rsidR="00D51D1B" w:rsidRPr="00873B6C">
        <w:rPr>
          <w:lang w:eastAsia="zh-CN"/>
        </w:rPr>
        <w:t xml:space="preserve"> with the RFSP Index in use and</w:t>
      </w:r>
      <w:r w:rsidRPr="00873B6C">
        <w:rPr>
          <w:lang w:eastAsia="zh-CN"/>
        </w:rPr>
        <w:t xml:space="preserve"> the RFSP</w:t>
      </w:r>
      <w:r w:rsidR="00456BDF" w:rsidRPr="00873B6C">
        <w:rPr>
          <w:lang w:eastAsia="zh-CN"/>
        </w:rPr>
        <w:t xml:space="preserve"> Index</w:t>
      </w:r>
      <w:r w:rsidRPr="00873B6C">
        <w:rPr>
          <w:lang w:eastAsia="zh-CN"/>
        </w:rPr>
        <w:t xml:space="preserve"> in Use Validity Time, which indicates the time by which the RFSP Index in use will be used in the MME as specified in clause 4.11.1.5.8 of </w:t>
      </w:r>
      <w:r w:rsidR="00972E70" w:rsidRPr="00873B6C">
        <w:rPr>
          <w:lang w:eastAsia="zh-CN"/>
        </w:rPr>
        <w:t>TS 23.502 [</w:t>
      </w:r>
      <w:r w:rsidRPr="00873B6C">
        <w:rPr>
          <w:lang w:eastAsia="zh-CN"/>
        </w:rPr>
        <w:t>3].</w:t>
      </w:r>
    </w:p>
    <w:p w14:paraId="14913713" w14:textId="3CB52BE7" w:rsidR="001F5968" w:rsidRPr="00873B6C" w:rsidRDefault="001F5968" w:rsidP="00695DF1">
      <w:pPr>
        <w:pStyle w:val="NO"/>
        <w:rPr>
          <w:lang w:eastAsia="zh-CN"/>
        </w:rPr>
      </w:pPr>
      <w:r w:rsidRPr="00873B6C">
        <w:rPr>
          <w:lang w:eastAsia="zh-CN"/>
        </w:rPr>
        <w:t>NOTE </w:t>
      </w:r>
      <w:r w:rsidR="00BE0437" w:rsidRPr="00873B6C">
        <w:rPr>
          <w:lang w:eastAsia="zh-CN"/>
        </w:rPr>
        <w:t>4</w:t>
      </w:r>
      <w:r w:rsidRPr="00873B6C">
        <w:rPr>
          <w:lang w:eastAsia="zh-CN"/>
        </w:rPr>
        <w:t>:</w:t>
      </w:r>
      <w:r w:rsidRPr="00873B6C">
        <w:rPr>
          <w:lang w:eastAsia="zh-CN"/>
        </w:rPr>
        <w:tab/>
        <w:t>The RFSP</w:t>
      </w:r>
      <w:r w:rsidR="00456BDF" w:rsidRPr="00873B6C">
        <w:rPr>
          <w:lang w:eastAsia="zh-CN"/>
        </w:rPr>
        <w:t xml:space="preserve"> Index</w:t>
      </w:r>
      <w:r w:rsidRPr="00873B6C">
        <w:rPr>
          <w:lang w:eastAsia="zh-CN"/>
        </w:rPr>
        <w:t xml:space="preserve"> in Use Validity Time is to allow the UE to stay in EPS for a period of time to avoid the potential ping-pong issue (i.e</w:t>
      </w:r>
      <w:r w:rsidR="006514B8" w:rsidRPr="00873B6C">
        <w:rPr>
          <w:lang w:eastAsia="zh-CN"/>
        </w:rPr>
        <w:t>.</w:t>
      </w:r>
      <w:r w:rsidRPr="00873B6C">
        <w:rPr>
          <w:lang w:eastAsia="zh-CN"/>
        </w:rPr>
        <w:t xml:space="preserve"> 5GS keeps sending the UE to EPS based on authorized RFSP Index from PCF</w:t>
      </w:r>
      <w:r w:rsidR="00472CD7" w:rsidRPr="00873B6C">
        <w:rPr>
          <w:lang w:eastAsia="zh-CN"/>
        </w:rPr>
        <w:t xml:space="preserve"> and</w:t>
      </w:r>
      <w:r w:rsidRPr="00873B6C">
        <w:rPr>
          <w:lang w:eastAsia="zh-CN"/>
        </w:rPr>
        <w:t xml:space="preserve"> the EPS keeps sending the UE back to 5GS immediately based on the subscribed RFSP Index.</w:t>
      </w:r>
    </w:p>
    <w:p w14:paraId="71504BDD" w14:textId="0BAF511F" w:rsidR="00985055" w:rsidRPr="00873B6C" w:rsidRDefault="00985055" w:rsidP="00985055">
      <w:pPr>
        <w:pStyle w:val="NO"/>
        <w:rPr>
          <w:lang w:eastAsia="zh-CN"/>
        </w:rPr>
      </w:pPr>
      <w:r w:rsidRPr="00873B6C">
        <w:rPr>
          <w:lang w:eastAsia="zh-CN"/>
        </w:rPr>
        <w:t>NOTE </w:t>
      </w:r>
      <w:r w:rsidR="00BE0437" w:rsidRPr="00873B6C">
        <w:rPr>
          <w:lang w:eastAsia="zh-CN"/>
        </w:rPr>
        <w:t>5</w:t>
      </w:r>
      <w:r w:rsidRPr="00873B6C">
        <w:rPr>
          <w:lang w:eastAsia="zh-CN"/>
        </w:rPr>
        <w:t>:</w:t>
      </w:r>
      <w:r w:rsidRPr="00873B6C">
        <w:rPr>
          <w:lang w:eastAsia="zh-CN"/>
        </w:rPr>
        <w:tab/>
        <w:t>The RFSP</w:t>
      </w:r>
      <w:r w:rsidR="00456BDF" w:rsidRPr="00873B6C">
        <w:rPr>
          <w:lang w:eastAsia="zh-CN"/>
        </w:rPr>
        <w:t xml:space="preserve"> Index</w:t>
      </w:r>
      <w:r w:rsidRPr="00873B6C">
        <w:rPr>
          <w:lang w:eastAsia="zh-CN"/>
        </w:rPr>
        <w:t xml:space="preserve"> in Use Validity Time applies only to EPS but not to 5GS, therefore in the case of mobility from EPS to 5GS, the RFSP</w:t>
      </w:r>
      <w:r w:rsidR="00456BDF" w:rsidRPr="00873B6C">
        <w:rPr>
          <w:lang w:eastAsia="zh-CN"/>
        </w:rPr>
        <w:t xml:space="preserve"> Index</w:t>
      </w:r>
      <w:r w:rsidRPr="00873B6C">
        <w:rPr>
          <w:lang w:eastAsia="zh-CN"/>
        </w:rPr>
        <w:t xml:space="preserve"> in Use Validity Time if received from MME is ignored by the AMF.</w:t>
      </w:r>
    </w:p>
    <w:p w14:paraId="4368482A" w14:textId="0FF67956" w:rsidR="00D40151" w:rsidRPr="00873B6C" w:rsidRDefault="00D40151" w:rsidP="00D40151">
      <w:pPr>
        <w:pStyle w:val="Heading5"/>
        <w:rPr>
          <w:lang w:eastAsia="zh-CN"/>
        </w:rPr>
      </w:pPr>
      <w:bookmarkStart w:id="3198" w:name="_CR5_17_2_2_2"/>
      <w:bookmarkStart w:id="3199" w:name="_Toc201157362"/>
      <w:bookmarkEnd w:id="3198"/>
      <w:r w:rsidRPr="00873B6C">
        <w:rPr>
          <w:lang w:eastAsia="zh-CN"/>
        </w:rPr>
        <w:t>5.17.2.2.2</w:t>
      </w:r>
      <w:r w:rsidRPr="00873B6C">
        <w:rPr>
          <w:lang w:eastAsia="zh-CN"/>
        </w:rPr>
        <w:tab/>
        <w:t>Mobility for UEs in single-registration mode</w:t>
      </w:r>
      <w:bookmarkEnd w:id="3192"/>
      <w:bookmarkEnd w:id="3193"/>
      <w:bookmarkEnd w:id="3194"/>
      <w:bookmarkEnd w:id="3195"/>
      <w:bookmarkEnd w:id="3196"/>
      <w:bookmarkEnd w:id="3197"/>
      <w:bookmarkEnd w:id="3199"/>
    </w:p>
    <w:p w14:paraId="12A5393F" w14:textId="77777777" w:rsidR="00D40151" w:rsidRPr="00873B6C" w:rsidRDefault="00D40151" w:rsidP="00D40151">
      <w:r w:rsidRPr="00873B6C">
        <w:t>When the UE supports single-registration mode and network supports interworking procedure with the N26 interface:</w:t>
      </w:r>
    </w:p>
    <w:p w14:paraId="6791DA69" w14:textId="1B0E9593" w:rsidR="00D40151" w:rsidRPr="00873B6C" w:rsidRDefault="00D40151" w:rsidP="00D40151">
      <w:pPr>
        <w:pStyle w:val="B1"/>
        <w:rPr>
          <w:lang w:eastAsia="zh-CN"/>
        </w:rPr>
      </w:pPr>
      <w:r w:rsidRPr="00873B6C">
        <w:rPr>
          <w:lang w:eastAsia="zh-CN"/>
        </w:rPr>
        <w:t>-</w:t>
      </w:r>
      <w:r w:rsidRPr="00873B6C">
        <w:rPr>
          <w:lang w:eastAsia="zh-CN"/>
        </w:rPr>
        <w:tab/>
        <w:t xml:space="preserve">For idle mode mobility from 5GS to EPS, the UE performs either TAU or Attach procedure with EPS GUTI mapped from 5G-GUTI sent as old Native GUTI, as described in clause 4.11.1.3.2.1 of </w:t>
      </w:r>
      <w:r w:rsidR="00972E70" w:rsidRPr="00873B6C">
        <w:rPr>
          <w:lang w:eastAsia="zh-CN"/>
        </w:rPr>
        <w:t>TS 23.502 [</w:t>
      </w:r>
      <w:r w:rsidRPr="00873B6C">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873B6C">
        <w:t xml:space="preserve"> RRC Connection Release </w:t>
      </w:r>
      <w:r w:rsidRPr="00873B6C">
        <w:rPr>
          <w:lang w:eastAsia="zh-CN"/>
        </w:rPr>
        <w:t xml:space="preserve">with </w:t>
      </w:r>
      <w:r w:rsidRPr="00873B6C">
        <w:t>Redirection t</w:t>
      </w:r>
      <w:r w:rsidRPr="00873B6C">
        <w:rPr>
          <w:lang w:eastAsia="zh-CN"/>
        </w:rPr>
        <w:t xml:space="preserve">o E-UTRAN is performed. At inter-system handover, the AMF selects target MME based on 2 octet TAC format used in the Target ID as specified in </w:t>
      </w:r>
      <w:r w:rsidR="00972E70" w:rsidRPr="00873B6C">
        <w:rPr>
          <w:lang w:eastAsia="zh-CN"/>
        </w:rPr>
        <w:t>TS 38.413 [</w:t>
      </w:r>
      <w:r w:rsidRPr="00873B6C">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85D6E43" w:rsidR="00D40151" w:rsidRPr="00873B6C" w:rsidRDefault="00D40151" w:rsidP="00D40151">
      <w:pPr>
        <w:pStyle w:val="B1"/>
        <w:rPr>
          <w:lang w:eastAsia="zh-CN"/>
        </w:rPr>
      </w:pPr>
      <w:r w:rsidRPr="00873B6C">
        <w:rPr>
          <w:lang w:eastAsia="zh-CN"/>
        </w:rPr>
        <w:t>-</w:t>
      </w:r>
      <w:r w:rsidRPr="00873B6C">
        <w:rPr>
          <w:lang w:eastAsia="zh-CN"/>
        </w:rPr>
        <w:tab/>
        <w:t>For the first TAU after 5GC initial Registration, the UE and MME for the handling of UE Radio Capabilities follow the procedures as defined in</w:t>
      </w:r>
      <w:r w:rsidR="00960CDA" w:rsidRPr="00873B6C">
        <w:rPr>
          <w:lang w:eastAsia="zh-CN"/>
        </w:rPr>
        <w:t xml:space="preserve"> clause 5.11.2</w:t>
      </w:r>
      <w:r w:rsidRPr="00873B6C">
        <w:rPr>
          <w:lang w:eastAsia="zh-CN"/>
        </w:rPr>
        <w:t xml:space="preserve"> </w:t>
      </w:r>
      <w:r w:rsidR="00960CDA" w:rsidRPr="00873B6C">
        <w:rPr>
          <w:lang w:eastAsia="zh-CN"/>
        </w:rPr>
        <w:t xml:space="preserve">of </w:t>
      </w:r>
      <w:r w:rsidR="00972E70" w:rsidRPr="00873B6C">
        <w:rPr>
          <w:lang w:eastAsia="zh-CN"/>
        </w:rPr>
        <w:t>TS 23.401 [</w:t>
      </w:r>
      <w:r w:rsidRPr="00873B6C">
        <w:rPr>
          <w:lang w:eastAsia="zh-CN"/>
        </w:rPr>
        <w:t>26] for first TAU after GERAN/UTRAN Attach.</w:t>
      </w:r>
    </w:p>
    <w:p w14:paraId="5A0EAA5D" w14:textId="77777777" w:rsidR="00D40151" w:rsidRPr="00873B6C" w:rsidRDefault="00D40151" w:rsidP="00D40151">
      <w:pPr>
        <w:pStyle w:val="NO"/>
        <w:rPr>
          <w:lang w:eastAsia="zh-CN"/>
        </w:rPr>
      </w:pPr>
      <w:r w:rsidRPr="00873B6C">
        <w:rPr>
          <w:lang w:eastAsia="zh-CN"/>
        </w:rPr>
        <w:t>NOTE 1:</w:t>
      </w:r>
      <w:r w:rsidRPr="00873B6C">
        <w:rPr>
          <w:lang w:eastAsia="zh-CN"/>
        </w:rPr>
        <w:tab/>
        <w:t>MMEs supporting interworking with N26 interface are not required to process the indication from the UE that it is moving from 5GC and will assume that the UE is moving from another MME.</w:t>
      </w:r>
    </w:p>
    <w:p w14:paraId="7FAA8540" w14:textId="354EA63C" w:rsidR="00D40151" w:rsidRPr="00873B6C" w:rsidRDefault="00D40151" w:rsidP="00D40151">
      <w:pPr>
        <w:pStyle w:val="B1"/>
        <w:rPr>
          <w:lang w:eastAsia="zh-CN"/>
        </w:rPr>
      </w:pPr>
      <w:r w:rsidRPr="00873B6C">
        <w:rPr>
          <w:lang w:eastAsia="zh-CN"/>
        </w:rPr>
        <w:t>-</w:t>
      </w:r>
      <w:r w:rsidRPr="00873B6C">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873B6C">
        <w:t xml:space="preserve"> Connection Release with </w:t>
      </w:r>
      <w:r w:rsidRPr="00873B6C">
        <w:rPr>
          <w:lang w:eastAsia="zh-CN"/>
        </w:rPr>
        <w:t xml:space="preserve">Redirection to NG-RAN is performed. At inter-system handover, the MME selects target AMF based on TAC used in the Target ID as specified in </w:t>
      </w:r>
      <w:r w:rsidR="00972E70" w:rsidRPr="00873B6C">
        <w:rPr>
          <w:lang w:eastAsia="zh-CN"/>
        </w:rPr>
        <w:t>TS 38.413 [</w:t>
      </w:r>
      <w:r w:rsidRPr="00873B6C">
        <w:rPr>
          <w:lang w:eastAsia="zh-CN"/>
        </w:rPr>
        <w:t>34]. During the Registration procedure, the HSS+UDM cancels any MME registration.</w:t>
      </w:r>
    </w:p>
    <w:p w14:paraId="4BC6F5CA" w14:textId="37ED9050" w:rsidR="00D40151" w:rsidRPr="00873B6C" w:rsidRDefault="00D40151" w:rsidP="00D40151">
      <w:pPr>
        <w:pStyle w:val="NO"/>
        <w:rPr>
          <w:lang w:eastAsia="zh-CN"/>
        </w:rPr>
      </w:pPr>
      <w:r w:rsidRPr="00873B6C">
        <w:rPr>
          <w:lang w:eastAsia="zh-CN"/>
        </w:rPr>
        <w:t>NOTE 2:</w:t>
      </w:r>
      <w:r w:rsidRPr="00873B6C">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972E70" w:rsidRPr="00873B6C">
        <w:rPr>
          <w:lang w:eastAsia="zh-CN"/>
        </w:rPr>
        <w:t>TS 38.413 [</w:t>
      </w:r>
      <w:r w:rsidRPr="00873B6C">
        <w:rPr>
          <w:lang w:eastAsia="zh-CN"/>
        </w:rPr>
        <w:t>34].</w:t>
      </w:r>
    </w:p>
    <w:p w14:paraId="2AD024DE" w14:textId="77777777" w:rsidR="00D40151" w:rsidRPr="00873B6C" w:rsidRDefault="00D40151" w:rsidP="00D40151">
      <w:pPr>
        <w:rPr>
          <w:lang w:eastAsia="zh-CN"/>
        </w:rPr>
      </w:pPr>
      <w:r w:rsidRPr="00873B6C">
        <w:rPr>
          <w:lang w:eastAsia="zh-CN"/>
        </w:rPr>
        <w:t>For both idle mode and connected mode mobility from EPC to 5GC:</w:t>
      </w:r>
    </w:p>
    <w:p w14:paraId="0E23345D" w14:textId="77777777" w:rsidR="00D40151" w:rsidRPr="00873B6C" w:rsidRDefault="00D40151" w:rsidP="00D40151">
      <w:pPr>
        <w:pStyle w:val="B1"/>
        <w:rPr>
          <w:lang w:eastAsia="zh-CN"/>
        </w:rPr>
      </w:pPr>
      <w:r w:rsidRPr="00873B6C">
        <w:rPr>
          <w:lang w:eastAsia="zh-CN"/>
        </w:rPr>
        <w:t>-</w:t>
      </w:r>
      <w:r w:rsidRPr="00873B6C">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873B6C" w:rsidRDefault="00D40151" w:rsidP="00D40151">
      <w:pPr>
        <w:pStyle w:val="B1"/>
      </w:pPr>
      <w:r w:rsidRPr="00873B6C">
        <w:rPr>
          <w:lang w:eastAsia="zh-CN"/>
        </w:rPr>
        <w:t>-</w:t>
      </w:r>
      <w:r w:rsidRPr="00873B6C">
        <w:rPr>
          <w:lang w:eastAsia="zh-CN"/>
        </w:rPr>
        <w:tab/>
        <w:t>If</w:t>
      </w:r>
      <w:r w:rsidRPr="00873B6C">
        <w:t xml:space="preserve"> this is the first mobility event for a PDU Session that was established while being connected to EPC, the UE shall trigger the PDU Session Modification procedure and:</w:t>
      </w:r>
    </w:p>
    <w:p w14:paraId="4CE0D149" w14:textId="77777777" w:rsidR="00D40151" w:rsidRPr="00873B6C" w:rsidRDefault="00D40151" w:rsidP="00D40151">
      <w:pPr>
        <w:pStyle w:val="B2"/>
        <w:rPr>
          <w:lang w:eastAsia="zh-CN"/>
        </w:rPr>
      </w:pPr>
      <w:r w:rsidRPr="00873B6C">
        <w:t>-</w:t>
      </w:r>
      <w:r w:rsidRPr="00873B6C">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873B6C" w:rsidRDefault="00D40151" w:rsidP="00D40151">
      <w:pPr>
        <w:pStyle w:val="B2"/>
        <w:rPr>
          <w:lang w:eastAsia="zh-CN"/>
        </w:rPr>
      </w:pPr>
      <w:r w:rsidRPr="00873B6C">
        <w:rPr>
          <w:lang w:eastAsia="zh-CN"/>
        </w:rPr>
        <w:lastRenderedPageBreak/>
        <w:t>-</w:t>
      </w:r>
      <w:r w:rsidRPr="00873B6C">
        <w:rPr>
          <w:lang w:eastAsia="zh-CN"/>
        </w:rPr>
        <w:tab/>
        <w:t>shall indicate the number of supported packet filters for signalled QoS rules</w:t>
      </w:r>
      <w:r w:rsidR="008546A1" w:rsidRPr="00873B6C">
        <w:rPr>
          <w:lang w:eastAsia="zh-CN"/>
        </w:rPr>
        <w:t>, if the UE supports more than 16 packet filters for the PDU Session</w:t>
      </w:r>
      <w:r w:rsidRPr="00873B6C">
        <w:rPr>
          <w:lang w:eastAsia="zh-CN"/>
        </w:rPr>
        <w:t>. The network shall store this information so that subsequent mobility events do not require another signalling of it.</w:t>
      </w:r>
    </w:p>
    <w:p w14:paraId="403B99B7" w14:textId="08A23952" w:rsidR="00D40151" w:rsidRPr="00873B6C" w:rsidRDefault="00D40151" w:rsidP="00D40151">
      <w:pPr>
        <w:pStyle w:val="B2"/>
        <w:rPr>
          <w:lang w:eastAsia="zh-CN"/>
        </w:rPr>
      </w:pPr>
      <w:r w:rsidRPr="00873B6C">
        <w:rPr>
          <w:lang w:eastAsia="zh-CN"/>
        </w:rPr>
        <w:t>-</w:t>
      </w:r>
      <w:r w:rsidRPr="00873B6C">
        <w:rPr>
          <w:lang w:eastAsia="zh-CN"/>
        </w:rPr>
        <w:tab/>
        <w:t xml:space="preserve">should indicate the support of Multi-homed IPv6 PDU session to the network </w:t>
      </w:r>
      <w:r w:rsidR="008546A1" w:rsidRPr="00873B6C">
        <w:rPr>
          <w:lang w:eastAsia="zh-CN"/>
        </w:rPr>
        <w:t>(</w:t>
      </w:r>
      <w:r w:rsidRPr="00873B6C">
        <w:rPr>
          <w:lang w:eastAsia="zh-CN"/>
        </w:rPr>
        <w:t>i.e. SMF) if the UE supports Multi-homed IPv6 PDU session.</w:t>
      </w:r>
      <w:r w:rsidRPr="00873B6C">
        <w:t xml:space="preserve"> If the UE indicated support of Multi-homed IPv6 PDU session, </w:t>
      </w:r>
      <w:r w:rsidRPr="00873B6C">
        <w:rPr>
          <w:lang w:eastAsia="zh-CN"/>
        </w:rPr>
        <w:t>the network shall consider that this PDU session is supported to use multiple IPv6 prefixes.</w:t>
      </w:r>
    </w:p>
    <w:p w14:paraId="4984DB2B" w14:textId="527DBD34" w:rsidR="00D40151" w:rsidRPr="00873B6C" w:rsidRDefault="00D40151" w:rsidP="00D40151">
      <w:pPr>
        <w:pStyle w:val="B2"/>
        <w:rPr>
          <w:lang w:eastAsia="zh-CN"/>
        </w:rPr>
      </w:pPr>
      <w:r w:rsidRPr="00873B6C">
        <w:rPr>
          <w:lang w:eastAsia="zh-CN"/>
        </w:rPr>
        <w:t>-</w:t>
      </w:r>
      <w:r w:rsidRPr="00873B6C">
        <w:rPr>
          <w:lang w:eastAsia="zh-CN"/>
        </w:rPr>
        <w:tab/>
        <w:t xml:space="preserve">should provide the UE Integrity Protection Maximum Data Rate to the network </w:t>
      </w:r>
      <w:r w:rsidR="008546A1" w:rsidRPr="00873B6C">
        <w:rPr>
          <w:lang w:eastAsia="zh-CN"/>
        </w:rPr>
        <w:t>(</w:t>
      </w:r>
      <w:r w:rsidRPr="00873B6C">
        <w:rPr>
          <w:lang w:eastAsia="zh-CN"/>
        </w:rPr>
        <w:t>i.e. SMF).</w:t>
      </w:r>
      <w:r w:rsidRPr="00873B6C">
        <w:t xml:space="preserve"> </w:t>
      </w:r>
      <w:r w:rsidRPr="00873B6C">
        <w:rPr>
          <w:lang w:eastAsia="zh-CN"/>
        </w:rPr>
        <w:t>The network shall consider that the maximum data rate per UE for user-plane integrity protection supported by the UE is valid for the lifetime of the PDU session.</w:t>
      </w:r>
    </w:p>
    <w:p w14:paraId="08D8EAB9" w14:textId="77777777" w:rsidR="00D40151" w:rsidRPr="00873B6C" w:rsidRDefault="00D40151" w:rsidP="00D40151">
      <w:pPr>
        <w:pStyle w:val="Heading4"/>
        <w:rPr>
          <w:lang w:eastAsia="zh-CN"/>
        </w:rPr>
      </w:pPr>
      <w:bookmarkStart w:id="3200" w:name="_CR5_17_2_3"/>
      <w:bookmarkStart w:id="3201" w:name="_Toc20149976"/>
      <w:bookmarkStart w:id="3202" w:name="_Toc27846775"/>
      <w:bookmarkStart w:id="3203" w:name="_Toc36187906"/>
      <w:bookmarkStart w:id="3204" w:name="_Toc45183810"/>
      <w:bookmarkStart w:id="3205" w:name="_Toc47342652"/>
      <w:bookmarkStart w:id="3206" w:name="_Toc51769353"/>
      <w:bookmarkStart w:id="3207" w:name="_Toc201157363"/>
      <w:bookmarkEnd w:id="3200"/>
      <w:r w:rsidRPr="00873B6C">
        <w:rPr>
          <w:lang w:eastAsia="zh-CN"/>
        </w:rPr>
        <w:t>5.17.2.3</w:t>
      </w:r>
      <w:r w:rsidRPr="00873B6C">
        <w:rPr>
          <w:lang w:eastAsia="zh-CN"/>
        </w:rPr>
        <w:tab/>
        <w:t>Interworking Procedures without N26 interface</w:t>
      </w:r>
      <w:bookmarkEnd w:id="3201"/>
      <w:bookmarkEnd w:id="3202"/>
      <w:bookmarkEnd w:id="3203"/>
      <w:bookmarkEnd w:id="3204"/>
      <w:bookmarkEnd w:id="3205"/>
      <w:bookmarkEnd w:id="3206"/>
      <w:bookmarkEnd w:id="3207"/>
    </w:p>
    <w:p w14:paraId="04B1767B" w14:textId="77777777" w:rsidR="00D40151" w:rsidRPr="00873B6C" w:rsidRDefault="00D40151" w:rsidP="00D40151">
      <w:pPr>
        <w:pStyle w:val="Heading5"/>
        <w:rPr>
          <w:lang w:eastAsia="zh-CN"/>
        </w:rPr>
      </w:pPr>
      <w:bookmarkStart w:id="3208" w:name="_CR5_17_2_3_1"/>
      <w:bookmarkStart w:id="3209" w:name="_Toc20149977"/>
      <w:bookmarkStart w:id="3210" w:name="_Toc27846776"/>
      <w:bookmarkStart w:id="3211" w:name="_Toc36187907"/>
      <w:bookmarkStart w:id="3212" w:name="_Toc45183811"/>
      <w:bookmarkStart w:id="3213" w:name="_Toc47342653"/>
      <w:bookmarkStart w:id="3214" w:name="_Toc51769354"/>
      <w:bookmarkStart w:id="3215" w:name="_Toc201157364"/>
      <w:bookmarkEnd w:id="3208"/>
      <w:r w:rsidRPr="00873B6C">
        <w:rPr>
          <w:lang w:eastAsia="zh-CN"/>
        </w:rPr>
        <w:t>5.17.2.3.1</w:t>
      </w:r>
      <w:r w:rsidRPr="00873B6C">
        <w:rPr>
          <w:lang w:eastAsia="zh-CN"/>
        </w:rPr>
        <w:tab/>
        <w:t>General</w:t>
      </w:r>
      <w:bookmarkEnd w:id="3209"/>
      <w:bookmarkEnd w:id="3210"/>
      <w:bookmarkEnd w:id="3211"/>
      <w:bookmarkEnd w:id="3212"/>
      <w:bookmarkEnd w:id="3213"/>
      <w:bookmarkEnd w:id="3214"/>
      <w:bookmarkEnd w:id="3215"/>
    </w:p>
    <w:p w14:paraId="271AF3CC" w14:textId="75CEB3E1" w:rsidR="00D40151" w:rsidRPr="00873B6C" w:rsidRDefault="00D40151" w:rsidP="00D40151">
      <w:pPr>
        <w:rPr>
          <w:lang w:eastAsia="zh-CN"/>
        </w:rPr>
      </w:pPr>
      <w:r w:rsidRPr="00873B6C">
        <w:rPr>
          <w:lang w:eastAsia="zh-CN"/>
        </w:rPr>
        <w:t>For interworking without the N26 interface, IP address preservation is provided to the UEs on inter-system mobility by storing and fetching SMF</w:t>
      </w:r>
      <w:r w:rsidR="00704A9E" w:rsidRPr="00873B6C">
        <w:rPr>
          <w:lang w:eastAsia="zh-CN"/>
        </w:rPr>
        <w:t>+PGW-C</w:t>
      </w:r>
      <w:r w:rsidRPr="00873B6C">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972E70" w:rsidRPr="00873B6C">
        <w:rPr>
          <w:lang w:eastAsia="zh-CN"/>
        </w:rPr>
        <w:t>TS 23.502 [</w:t>
      </w:r>
      <w:r w:rsidRPr="00873B6C">
        <w:rPr>
          <w:lang w:eastAsia="zh-CN"/>
        </w:rPr>
        <w:t xml:space="preserve">3] and </w:t>
      </w:r>
      <w:r w:rsidR="00972E70" w:rsidRPr="00873B6C">
        <w:rPr>
          <w:lang w:eastAsia="zh-CN"/>
        </w:rPr>
        <w:t>TS 23.401 [</w:t>
      </w:r>
      <w:r w:rsidRPr="00873B6C">
        <w:rPr>
          <w:lang w:eastAsia="zh-CN"/>
        </w:rPr>
        <w:t xml:space="preserve">26]. The UE provides an indication that it supports Request Type flag "handover" for PDN connectivity request during the attach procedure as described in clause 5.3.2.1 of </w:t>
      </w:r>
      <w:r w:rsidR="00972E70" w:rsidRPr="00873B6C">
        <w:rPr>
          <w:lang w:eastAsia="zh-CN"/>
        </w:rPr>
        <w:t>TS 23.401 [</w:t>
      </w:r>
      <w:r w:rsidRPr="00873B6C">
        <w:rPr>
          <w:lang w:eastAsia="zh-CN"/>
        </w:rPr>
        <w:t>26] and during initial Registration and Mobility Registration Update in 5GC.</w:t>
      </w:r>
    </w:p>
    <w:p w14:paraId="5007ABE8" w14:textId="77777777" w:rsidR="00D40151" w:rsidRPr="00873B6C" w:rsidRDefault="00D40151" w:rsidP="00D40151">
      <w:pPr>
        <w:pStyle w:val="NO"/>
        <w:rPr>
          <w:lang w:eastAsia="zh-CN"/>
        </w:rPr>
      </w:pPr>
      <w:r w:rsidRPr="00873B6C">
        <w:rPr>
          <w:lang w:eastAsia="zh-CN"/>
        </w:rPr>
        <w:t>NOTE 1:</w:t>
      </w:r>
      <w:r w:rsidRPr="00873B6C">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873B6C" w:rsidRDefault="00D40151" w:rsidP="00D40151">
      <w:pPr>
        <w:rPr>
          <w:lang w:eastAsia="zh-CN"/>
        </w:rPr>
      </w:pPr>
      <w:r w:rsidRPr="00873B6C">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873B6C" w:rsidDel="004D42E3">
        <w:rPr>
          <w:lang w:eastAsia="zh-CN"/>
        </w:rPr>
        <w:t xml:space="preserve"> </w:t>
      </w:r>
      <w:r w:rsidRPr="00873B6C">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873B6C" w:rsidRDefault="00D40151" w:rsidP="00D40151">
      <w:pPr>
        <w:rPr>
          <w:lang w:eastAsia="zh-CN"/>
        </w:rPr>
      </w:pPr>
      <w:r w:rsidRPr="00873B6C">
        <w:rPr>
          <w:lang w:eastAsia="zh-CN"/>
        </w:rPr>
        <w:t>Interworking procedures without N26 interface use the following two features:</w:t>
      </w:r>
    </w:p>
    <w:p w14:paraId="16651F4A" w14:textId="77777777" w:rsidR="00D40151" w:rsidRPr="00873B6C" w:rsidRDefault="00D40151" w:rsidP="00D40151">
      <w:pPr>
        <w:pStyle w:val="B1"/>
        <w:rPr>
          <w:lang w:eastAsia="zh-CN"/>
        </w:rPr>
      </w:pPr>
      <w:r w:rsidRPr="00873B6C">
        <w:rPr>
          <w:lang w:eastAsia="zh-CN"/>
        </w:rPr>
        <w:t>1.</w:t>
      </w:r>
      <w:r w:rsidRPr="00873B6C">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873B6C" w:rsidRDefault="00D40151" w:rsidP="00D40151">
      <w:pPr>
        <w:pStyle w:val="B1"/>
        <w:rPr>
          <w:lang w:eastAsia="zh-CN"/>
        </w:rPr>
      </w:pPr>
      <w:r w:rsidRPr="00873B6C">
        <w:rPr>
          <w:lang w:eastAsia="zh-CN"/>
        </w:rPr>
        <w:t>2.</w:t>
      </w:r>
      <w:r w:rsidRPr="00873B6C">
        <w:rPr>
          <w:lang w:eastAsia="zh-CN"/>
        </w:rPr>
        <w:tab/>
        <w:t>When UE performs Initial Registration in 5GC and indicates that it is moving from EPC, the AMF indicates to the HSS+UDM not to cancel the registration of MME, if any.</w:t>
      </w:r>
    </w:p>
    <w:p w14:paraId="5A8482C3" w14:textId="77777777" w:rsidR="00D40151" w:rsidRPr="00873B6C" w:rsidRDefault="00D40151" w:rsidP="00D40151">
      <w:pPr>
        <w:rPr>
          <w:lang w:eastAsia="zh-CN"/>
        </w:rPr>
      </w:pPr>
      <w:r w:rsidRPr="00873B6C">
        <w:rPr>
          <w:lang w:eastAsia="zh-CN"/>
        </w:rPr>
        <w:t>To support mobility both for single and dual registration mode UEs, the following also are supported by the network:</w:t>
      </w:r>
    </w:p>
    <w:p w14:paraId="28996375" w14:textId="76FFBA58" w:rsidR="00D40151" w:rsidRPr="00873B6C" w:rsidRDefault="00D40151" w:rsidP="00D40151">
      <w:pPr>
        <w:pStyle w:val="B1"/>
        <w:rPr>
          <w:lang w:eastAsia="zh-CN"/>
        </w:rPr>
      </w:pPr>
      <w:r w:rsidRPr="00873B6C">
        <w:rPr>
          <w:lang w:eastAsia="zh-CN"/>
        </w:rPr>
        <w:t>3.</w:t>
      </w:r>
      <w:r w:rsidRPr="00873B6C">
        <w:rPr>
          <w:lang w:eastAsia="zh-CN"/>
        </w:rPr>
        <w:tab/>
        <w:t>When PDU Session are created in 5GC, the SMF</w:t>
      </w:r>
      <w:r w:rsidR="00704A9E" w:rsidRPr="00873B6C">
        <w:rPr>
          <w:lang w:eastAsia="zh-CN"/>
        </w:rPr>
        <w:t>+PGW-C</w:t>
      </w:r>
      <w:r w:rsidRPr="00873B6C">
        <w:rPr>
          <w:lang w:eastAsia="zh-CN"/>
        </w:rPr>
        <w:t xml:space="preserve"> which supports EPS interworking stores the SMF</w:t>
      </w:r>
      <w:r w:rsidR="00704A9E" w:rsidRPr="00873B6C">
        <w:rPr>
          <w:lang w:eastAsia="zh-CN"/>
        </w:rPr>
        <w:t>+PGW-C</w:t>
      </w:r>
      <w:r w:rsidRPr="00873B6C">
        <w:rPr>
          <w:lang w:eastAsia="zh-CN"/>
        </w:rPr>
        <w:t xml:space="preserve"> FQDN along with DNN in the HSS+UDM.</w:t>
      </w:r>
    </w:p>
    <w:p w14:paraId="1F895992" w14:textId="53EF507A" w:rsidR="00D40151" w:rsidRPr="00873B6C" w:rsidRDefault="00D40151" w:rsidP="00D40151">
      <w:pPr>
        <w:pStyle w:val="B1"/>
        <w:rPr>
          <w:lang w:eastAsia="zh-CN"/>
        </w:rPr>
      </w:pPr>
      <w:r w:rsidRPr="00873B6C">
        <w:rPr>
          <w:lang w:eastAsia="zh-CN"/>
        </w:rPr>
        <w:t>4.</w:t>
      </w:r>
      <w:r w:rsidRPr="00873B6C">
        <w:rPr>
          <w:lang w:eastAsia="zh-CN"/>
        </w:rPr>
        <w:tab/>
        <w:t>The HSS+UDM provides the information about dynamically allocated SMF</w:t>
      </w:r>
      <w:r w:rsidR="00704A9E" w:rsidRPr="00873B6C">
        <w:rPr>
          <w:lang w:eastAsia="zh-CN"/>
        </w:rPr>
        <w:t>+PGW-C</w:t>
      </w:r>
      <w:r w:rsidRPr="00873B6C">
        <w:rPr>
          <w:lang w:eastAsia="zh-CN"/>
        </w:rPr>
        <w:t xml:space="preserve"> and APN/DNN information to the target CN network. If there are multiple SMF</w:t>
      </w:r>
      <w:r w:rsidR="00704A9E" w:rsidRPr="00873B6C">
        <w:rPr>
          <w:lang w:eastAsia="zh-CN"/>
        </w:rPr>
        <w:t>+PGW-C</w:t>
      </w:r>
      <w:r w:rsidRPr="00873B6C">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873B6C" w:rsidRDefault="00D40151" w:rsidP="00D40151">
      <w:pPr>
        <w:pStyle w:val="B1"/>
        <w:rPr>
          <w:lang w:eastAsia="zh-CN"/>
        </w:rPr>
      </w:pPr>
      <w:r w:rsidRPr="00873B6C">
        <w:rPr>
          <w:lang w:eastAsia="zh-CN"/>
        </w:rPr>
        <w:t>5.</w:t>
      </w:r>
      <w:r w:rsidRPr="00873B6C">
        <w:rPr>
          <w:lang w:eastAsia="zh-CN"/>
        </w:rPr>
        <w:tab/>
        <w:t>When PDN connections are created in EPC, the MME stores the SMF</w:t>
      </w:r>
      <w:r w:rsidR="00704A9E" w:rsidRPr="00873B6C">
        <w:rPr>
          <w:lang w:eastAsia="zh-CN"/>
        </w:rPr>
        <w:t>+PGW-C</w:t>
      </w:r>
      <w:r w:rsidRPr="00873B6C">
        <w:rPr>
          <w:lang w:eastAsia="zh-CN"/>
        </w:rPr>
        <w:t xml:space="preserve"> and APN information in the HSS+UDM.</w:t>
      </w:r>
    </w:p>
    <w:p w14:paraId="2B1CE8A4" w14:textId="77777777" w:rsidR="00D40151" w:rsidRPr="00873B6C" w:rsidRDefault="00D40151" w:rsidP="00D40151">
      <w:pPr>
        <w:pStyle w:val="NO"/>
        <w:rPr>
          <w:lang w:eastAsia="zh-CN"/>
        </w:rPr>
      </w:pPr>
      <w:r w:rsidRPr="00873B6C">
        <w:rPr>
          <w:lang w:eastAsia="zh-CN"/>
        </w:rPr>
        <w:t>NOTE 2:</w:t>
      </w:r>
      <w:r w:rsidRPr="00873B6C">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873B6C" w:rsidRDefault="00D40151" w:rsidP="00D40151">
      <w:pPr>
        <w:rPr>
          <w:lang w:eastAsia="zh-CN"/>
        </w:rPr>
      </w:pPr>
      <w:r w:rsidRPr="00873B6C">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873B6C" w:rsidRDefault="00D40151" w:rsidP="00D40151">
      <w:pPr>
        <w:rPr>
          <w:lang w:eastAsia="zh-CN"/>
        </w:rPr>
      </w:pPr>
      <w:r w:rsidRPr="00873B6C">
        <w:rPr>
          <w:lang w:eastAsia="zh-CN"/>
        </w:rPr>
        <w:t>A UE that operates in dual registration mode ignores any received mapped target system parameters (e.g. QoS parameters, bearer IDs/QFI, PDU Session ID, etc.).</w:t>
      </w:r>
    </w:p>
    <w:p w14:paraId="58231431" w14:textId="77777777" w:rsidR="00D40151" w:rsidRPr="00873B6C" w:rsidRDefault="00D40151" w:rsidP="00D40151">
      <w:pPr>
        <w:pStyle w:val="Heading5"/>
        <w:rPr>
          <w:lang w:eastAsia="zh-CN"/>
        </w:rPr>
      </w:pPr>
      <w:bookmarkStart w:id="3216" w:name="_CR5_17_2_3_2"/>
      <w:bookmarkStart w:id="3217" w:name="_Toc20149978"/>
      <w:bookmarkStart w:id="3218" w:name="_Toc27846777"/>
      <w:bookmarkStart w:id="3219" w:name="_Toc36187908"/>
      <w:bookmarkStart w:id="3220" w:name="_Toc45183812"/>
      <w:bookmarkStart w:id="3221" w:name="_Toc47342654"/>
      <w:bookmarkStart w:id="3222" w:name="_Toc51769355"/>
      <w:bookmarkStart w:id="3223" w:name="_Toc201157365"/>
      <w:bookmarkEnd w:id="3216"/>
      <w:r w:rsidRPr="00873B6C">
        <w:rPr>
          <w:lang w:eastAsia="zh-CN"/>
        </w:rPr>
        <w:lastRenderedPageBreak/>
        <w:t>5.17.2.3.2</w:t>
      </w:r>
      <w:r w:rsidRPr="00873B6C">
        <w:rPr>
          <w:lang w:eastAsia="zh-CN"/>
        </w:rPr>
        <w:tab/>
        <w:t>Mobility for UEs in single-registration mode</w:t>
      </w:r>
      <w:bookmarkEnd w:id="3217"/>
      <w:bookmarkEnd w:id="3218"/>
      <w:bookmarkEnd w:id="3219"/>
      <w:bookmarkEnd w:id="3220"/>
      <w:bookmarkEnd w:id="3221"/>
      <w:bookmarkEnd w:id="3222"/>
      <w:bookmarkEnd w:id="3223"/>
    </w:p>
    <w:p w14:paraId="54CA824D" w14:textId="77777777" w:rsidR="00D40151" w:rsidRPr="00873B6C" w:rsidRDefault="00D40151" w:rsidP="00D40151">
      <w:pPr>
        <w:rPr>
          <w:lang w:eastAsia="zh-CN"/>
        </w:rPr>
      </w:pPr>
      <w:r w:rsidRPr="00873B6C">
        <w:rPr>
          <w:lang w:eastAsia="zh-CN"/>
        </w:rPr>
        <w:t>When the UE supports single-registration mode and network supports interworking procedure without N26 interface:</w:t>
      </w:r>
    </w:p>
    <w:p w14:paraId="77F5B064" w14:textId="77777777" w:rsidR="00D40151" w:rsidRPr="00873B6C" w:rsidRDefault="00D40151" w:rsidP="00D40151">
      <w:pPr>
        <w:pStyle w:val="B1"/>
        <w:rPr>
          <w:lang w:eastAsia="zh-CN"/>
        </w:rPr>
      </w:pPr>
      <w:r w:rsidRPr="00873B6C">
        <w:rPr>
          <w:lang w:eastAsia="zh-CN"/>
        </w:rPr>
        <w:t>-</w:t>
      </w:r>
      <w:r w:rsidRPr="00873B6C">
        <w:rPr>
          <w:lang w:eastAsia="zh-CN"/>
        </w:rPr>
        <w:tab/>
        <w:t>For mobility from 5GC to EPC, the UE with at least one PDU Session established in 5GC may either:</w:t>
      </w:r>
    </w:p>
    <w:p w14:paraId="277CE62A" w14:textId="025FA61D" w:rsidR="00D40151" w:rsidRPr="00873B6C" w:rsidRDefault="00D40151" w:rsidP="00D40151">
      <w:pPr>
        <w:pStyle w:val="B2"/>
        <w:rPr>
          <w:lang w:eastAsia="zh-CN"/>
        </w:rPr>
      </w:pPr>
      <w:r w:rsidRPr="00873B6C">
        <w:rPr>
          <w:lang w:eastAsia="zh-CN"/>
        </w:rPr>
        <w:t>-</w:t>
      </w:r>
      <w:r w:rsidRPr="00873B6C">
        <w:rPr>
          <w:lang w:eastAsia="zh-CN"/>
        </w:rPr>
        <w:tab/>
        <w:t>if supported and if it has received the network indication that interworking without N26 is supported, perform Attach in EPC with a native EPS GUTI, if available, otherwise with IMSI with Request type</w:t>
      </w:r>
      <w:r w:rsidRPr="00873B6C">
        <w:t xml:space="preserve"> "Handover" </w:t>
      </w:r>
      <w:r w:rsidRPr="00873B6C">
        <w:rPr>
          <w:lang w:eastAsia="zh-CN"/>
        </w:rPr>
        <w:t>in PDN CONNECTIVITY Request message (</w:t>
      </w:r>
      <w:r w:rsidR="00D602DF" w:rsidRPr="00873B6C">
        <w:rPr>
          <w:lang w:eastAsia="zh-CN"/>
        </w:rPr>
        <w:t xml:space="preserve">clause 5.3.2.1 </w:t>
      </w:r>
      <w:r w:rsidR="00D602DF" w:rsidRPr="00873B6C">
        <w:t>of</w:t>
      </w:r>
      <w:r w:rsidR="00D602DF" w:rsidRPr="00873B6C">
        <w:rPr>
          <w:lang w:eastAsia="zh-CN"/>
        </w:rPr>
        <w:t xml:space="preserve"> </w:t>
      </w:r>
      <w:r w:rsidR="00972E70" w:rsidRPr="00873B6C">
        <w:rPr>
          <w:lang w:eastAsia="zh-CN"/>
        </w:rPr>
        <w:t>TS 23.401 [</w:t>
      </w:r>
      <w:r w:rsidRPr="00873B6C">
        <w:rPr>
          <w:lang w:eastAsia="zh-CN"/>
        </w:rPr>
        <w:t>26]) and indicating that the UE is moving from 5GC and subsequently moves all its other PDU Session using the UE requested</w:t>
      </w:r>
      <w:r w:rsidRPr="00873B6C" w:rsidDel="004D42E3">
        <w:rPr>
          <w:lang w:eastAsia="zh-CN"/>
        </w:rPr>
        <w:t xml:space="preserve"> </w:t>
      </w:r>
      <w:r w:rsidRPr="00873B6C">
        <w:rPr>
          <w:lang w:eastAsia="zh-CN"/>
        </w:rPr>
        <w:t>PDN connectivity establishment procedure with Request Type "handover" flag (</w:t>
      </w:r>
      <w:r w:rsidR="00D602DF" w:rsidRPr="00873B6C">
        <w:rPr>
          <w:lang w:eastAsia="zh-CN"/>
        </w:rPr>
        <w:t xml:space="preserve">clause 5.10.2 </w:t>
      </w:r>
      <w:r w:rsidR="00D602DF" w:rsidRPr="00873B6C">
        <w:t>of</w:t>
      </w:r>
      <w:r w:rsidR="00D602DF" w:rsidRPr="00873B6C">
        <w:rPr>
          <w:lang w:eastAsia="zh-CN"/>
        </w:rPr>
        <w:t xml:space="preserve"> </w:t>
      </w:r>
      <w:r w:rsidR="00972E70" w:rsidRPr="00873B6C">
        <w:rPr>
          <w:lang w:eastAsia="zh-CN"/>
        </w:rPr>
        <w:t>TS 23.401 [</w:t>
      </w:r>
      <w:r w:rsidRPr="00873B6C">
        <w:rPr>
          <w:lang w:eastAsia="zh-CN"/>
        </w:rPr>
        <w:t>26]), or.</w:t>
      </w:r>
    </w:p>
    <w:p w14:paraId="7D969A38" w14:textId="7402ECB5" w:rsidR="00D40151" w:rsidRPr="00873B6C" w:rsidRDefault="00D40151" w:rsidP="00D40151">
      <w:pPr>
        <w:pStyle w:val="B2"/>
        <w:rPr>
          <w:lang w:eastAsia="zh-CN"/>
        </w:rPr>
      </w:pPr>
      <w:r w:rsidRPr="00873B6C">
        <w:rPr>
          <w:lang w:eastAsia="zh-CN"/>
        </w:rPr>
        <w:t>-</w:t>
      </w:r>
      <w:r w:rsidRPr="00873B6C">
        <w:rPr>
          <w:lang w:eastAsia="zh-CN"/>
        </w:rPr>
        <w:tab/>
        <w:t>perform TAU with 4G-GUTI mapped from 5G-GUTI sent as old Native GUTI (</w:t>
      </w:r>
      <w:r w:rsidR="00D602DF" w:rsidRPr="00873B6C">
        <w:rPr>
          <w:lang w:eastAsia="zh-CN"/>
        </w:rPr>
        <w:t xml:space="preserve">clause 5.3.3 </w:t>
      </w:r>
      <w:r w:rsidR="00D602DF" w:rsidRPr="00873B6C">
        <w:t>of</w:t>
      </w:r>
      <w:r w:rsidR="00D602DF" w:rsidRPr="00873B6C">
        <w:rPr>
          <w:lang w:eastAsia="zh-CN"/>
        </w:rPr>
        <w:t xml:space="preserve"> </w:t>
      </w:r>
      <w:r w:rsidR="00972E70" w:rsidRPr="00873B6C">
        <w:rPr>
          <w:lang w:eastAsia="zh-CN"/>
        </w:rPr>
        <w:t>TS 23.401 [</w:t>
      </w:r>
      <w:r w:rsidRPr="00873B6C">
        <w:rPr>
          <w:lang w:eastAsia="zh-CN"/>
        </w:rPr>
        <w:t xml:space="preserve">26]) indicating that it is moving from 5GC, in which case the </w:t>
      </w:r>
      <w:r w:rsidRPr="00873B6C">
        <w:t>MME instructs the UE to re-attach</w:t>
      </w:r>
      <w:r w:rsidRPr="00873B6C">
        <w:rPr>
          <w:lang w:eastAsia="zh-CN"/>
        </w:rPr>
        <w:t>. IP address preservation is not provided in this case.</w:t>
      </w:r>
    </w:p>
    <w:p w14:paraId="15A742B1" w14:textId="57DF2ED8" w:rsidR="00D40151" w:rsidRPr="00873B6C" w:rsidRDefault="00D40151" w:rsidP="00D40151">
      <w:pPr>
        <w:pStyle w:val="B2"/>
        <w:rPr>
          <w:lang w:eastAsia="zh-CN"/>
        </w:rPr>
      </w:pPr>
      <w:r w:rsidRPr="00873B6C">
        <w:rPr>
          <w:lang w:eastAsia="zh-CN"/>
        </w:rPr>
        <w:t>-</w:t>
      </w:r>
      <w:r w:rsidRPr="00873B6C">
        <w:rPr>
          <w:lang w:eastAsia="zh-CN"/>
        </w:rPr>
        <w:tab/>
        <w:t xml:space="preserve">for the first TAU after 5GC initial Registration, the UE and MME for the handling of UE Radio Capabilities follow the procedures as defined in </w:t>
      </w:r>
      <w:r w:rsidR="00960CDA" w:rsidRPr="00873B6C">
        <w:rPr>
          <w:lang w:eastAsia="zh-CN"/>
        </w:rPr>
        <w:t xml:space="preserve">clause 5.11.2 </w:t>
      </w:r>
      <w:r w:rsidR="00972E70" w:rsidRPr="00873B6C">
        <w:rPr>
          <w:lang w:eastAsia="zh-CN"/>
        </w:rPr>
        <w:t>TS 23.401 [</w:t>
      </w:r>
      <w:r w:rsidRPr="00873B6C">
        <w:rPr>
          <w:lang w:eastAsia="zh-CN"/>
        </w:rPr>
        <w:t>26] for first TAU after GERAN/UTRAN Attach.</w:t>
      </w:r>
    </w:p>
    <w:p w14:paraId="4CB64CF4" w14:textId="02F6A4E3" w:rsidR="00D40151" w:rsidRPr="00873B6C" w:rsidRDefault="00D40151" w:rsidP="00D40151">
      <w:pPr>
        <w:pStyle w:val="NO"/>
        <w:rPr>
          <w:lang w:eastAsia="zh-CN"/>
        </w:rPr>
      </w:pPr>
      <w:r w:rsidRPr="00873B6C">
        <w:rPr>
          <w:lang w:eastAsia="zh-CN"/>
        </w:rPr>
        <w:t>NOTE 1:</w:t>
      </w:r>
      <w:r w:rsidRPr="00873B6C">
        <w:rPr>
          <w:lang w:eastAsia="zh-CN"/>
        </w:rPr>
        <w:tab/>
        <w:t xml:space="preserve">The first PDN connection may be established during the E-UTRAN Initial Attach procedure (see </w:t>
      </w:r>
      <w:r w:rsidR="00972E70" w:rsidRPr="00873B6C">
        <w:rPr>
          <w:lang w:eastAsia="zh-CN"/>
        </w:rPr>
        <w:t>TS 23.401 [</w:t>
      </w:r>
      <w:r w:rsidRPr="00873B6C">
        <w:rPr>
          <w:lang w:eastAsia="zh-CN"/>
        </w:rPr>
        <w:t>26]).</w:t>
      </w:r>
    </w:p>
    <w:p w14:paraId="08B2FF84" w14:textId="77777777" w:rsidR="00D40151" w:rsidRPr="00873B6C" w:rsidRDefault="00D40151" w:rsidP="00D40151">
      <w:pPr>
        <w:pStyle w:val="NO"/>
        <w:rPr>
          <w:lang w:eastAsia="zh-CN"/>
        </w:rPr>
      </w:pPr>
      <w:r w:rsidRPr="00873B6C">
        <w:rPr>
          <w:lang w:eastAsia="zh-CN"/>
        </w:rPr>
        <w:t>NOTE 2:</w:t>
      </w:r>
      <w:r w:rsidRPr="00873B6C">
        <w:rPr>
          <w:lang w:eastAsia="zh-CN"/>
        </w:rPr>
        <w:tab/>
        <w:t>At inter-PLMN mobility to a PLMN that is not an equivalent PLMN the UE always uses the TAU procedure.</w:t>
      </w:r>
    </w:p>
    <w:p w14:paraId="56011A62" w14:textId="77777777" w:rsidR="00D40151" w:rsidRPr="00873B6C" w:rsidRDefault="00D40151" w:rsidP="00D40151">
      <w:pPr>
        <w:pStyle w:val="B1"/>
        <w:rPr>
          <w:lang w:eastAsia="zh-CN"/>
        </w:rPr>
      </w:pPr>
      <w:r w:rsidRPr="00873B6C">
        <w:rPr>
          <w:lang w:eastAsia="zh-CN"/>
        </w:rPr>
        <w:t>-</w:t>
      </w:r>
      <w:r w:rsidRPr="00873B6C">
        <w:rPr>
          <w:lang w:eastAsia="zh-CN"/>
        </w:rPr>
        <w:tab/>
        <w:t>For mobility from 5GC to EPC, the UE with no PDU Session established in 5GC</w:t>
      </w:r>
    </w:p>
    <w:p w14:paraId="035DFA9F" w14:textId="41F558AA" w:rsidR="00D40151" w:rsidRPr="00873B6C" w:rsidRDefault="00D40151" w:rsidP="00D40151">
      <w:pPr>
        <w:pStyle w:val="B2"/>
        <w:rPr>
          <w:lang w:eastAsia="zh-CN"/>
        </w:rPr>
      </w:pPr>
      <w:r w:rsidRPr="00873B6C">
        <w:rPr>
          <w:lang w:eastAsia="zh-CN"/>
        </w:rPr>
        <w:t>-</w:t>
      </w:r>
      <w:r w:rsidRPr="00873B6C">
        <w:rPr>
          <w:lang w:eastAsia="zh-CN"/>
        </w:rPr>
        <w:tab/>
        <w:t>performs Attach in EPC (</w:t>
      </w:r>
      <w:r w:rsidR="00D602DF" w:rsidRPr="00873B6C">
        <w:rPr>
          <w:lang w:eastAsia="zh-CN"/>
        </w:rPr>
        <w:t xml:space="preserve">clause 5.3.2.1 </w:t>
      </w:r>
      <w:r w:rsidR="00D602DF" w:rsidRPr="00873B6C">
        <w:t>of</w:t>
      </w:r>
      <w:r w:rsidR="00D602DF" w:rsidRPr="00873B6C">
        <w:rPr>
          <w:lang w:eastAsia="zh-CN"/>
        </w:rPr>
        <w:t xml:space="preserve"> </w:t>
      </w:r>
      <w:r w:rsidR="00972E70" w:rsidRPr="00873B6C">
        <w:rPr>
          <w:lang w:eastAsia="zh-CN"/>
        </w:rPr>
        <w:t>TS 23.401 [</w:t>
      </w:r>
      <w:r w:rsidRPr="00873B6C">
        <w:rPr>
          <w:lang w:eastAsia="zh-CN"/>
        </w:rPr>
        <w:t>26]) indicating that the UE is moving from 5GC.</w:t>
      </w:r>
    </w:p>
    <w:p w14:paraId="47645125" w14:textId="77777777" w:rsidR="00D40151" w:rsidRPr="00873B6C" w:rsidRDefault="00D40151" w:rsidP="00D40151">
      <w:pPr>
        <w:pStyle w:val="B1"/>
        <w:rPr>
          <w:lang w:eastAsia="zh-CN"/>
        </w:rPr>
      </w:pPr>
      <w:r w:rsidRPr="00873B6C">
        <w:rPr>
          <w:lang w:eastAsia="zh-CN"/>
        </w:rPr>
        <w:t>-</w:t>
      </w:r>
      <w:r w:rsidRPr="00873B6C">
        <w:rPr>
          <w:lang w:eastAsia="zh-CN"/>
        </w:rPr>
        <w:tab/>
        <w:t xml:space="preserve">For mobility from EPC to 5GC, the UE performs </w:t>
      </w:r>
      <w:r w:rsidRPr="00873B6C">
        <w:t xml:space="preserve">Mobility </w:t>
      </w:r>
      <w:r w:rsidRPr="00873B6C">
        <w:rPr>
          <w:lang w:eastAsia="zh-CN"/>
        </w:rPr>
        <w:t xml:space="preserve">Registration </w:t>
      </w:r>
      <w:r w:rsidRPr="00873B6C">
        <w:t>Update</w:t>
      </w:r>
      <w:r w:rsidRPr="00873B6C">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41A893E7" w:rsidR="00D40151" w:rsidRPr="00873B6C" w:rsidRDefault="00D40151" w:rsidP="00D40151">
      <w:pPr>
        <w:pStyle w:val="B2"/>
        <w:rPr>
          <w:lang w:eastAsia="zh-CN"/>
        </w:rPr>
      </w:pPr>
      <w:r w:rsidRPr="00873B6C">
        <w:rPr>
          <w:lang w:eastAsia="zh-CN"/>
        </w:rPr>
        <w:t>-</w:t>
      </w:r>
      <w:r w:rsidRPr="00873B6C">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873B6C">
        <w:rPr>
          <w:lang w:eastAsia="zh-CN"/>
        </w:rPr>
        <w:t xml:space="preserve">clause 4.3.2.2.1 </w:t>
      </w:r>
      <w:r w:rsidR="00D602DF" w:rsidRPr="00873B6C">
        <w:t>of</w:t>
      </w:r>
      <w:r w:rsidR="00D602DF" w:rsidRPr="00873B6C">
        <w:rPr>
          <w:lang w:eastAsia="zh-CN"/>
        </w:rPr>
        <w:t xml:space="preserve"> </w:t>
      </w:r>
      <w:r w:rsidR="00972E70" w:rsidRPr="00873B6C">
        <w:rPr>
          <w:lang w:eastAsia="zh-CN"/>
        </w:rPr>
        <w:t>TS 23.502 [</w:t>
      </w:r>
      <w:r w:rsidRPr="00873B6C">
        <w:rPr>
          <w:lang w:eastAsia="zh-CN"/>
        </w:rPr>
        <w:t>3]), or</w:t>
      </w:r>
    </w:p>
    <w:p w14:paraId="394EFA94" w14:textId="77777777" w:rsidR="00D40151" w:rsidRPr="00873B6C" w:rsidRDefault="00D40151" w:rsidP="00D40151">
      <w:pPr>
        <w:pStyle w:val="B2"/>
        <w:rPr>
          <w:lang w:eastAsia="zh-CN"/>
        </w:rPr>
      </w:pPr>
      <w:r w:rsidRPr="00873B6C">
        <w:rPr>
          <w:lang w:eastAsia="zh-CN"/>
        </w:rPr>
        <w:t>-</w:t>
      </w:r>
      <w:r w:rsidRPr="00873B6C">
        <w:rPr>
          <w:lang w:eastAsia="zh-CN"/>
        </w:rPr>
        <w:tab/>
        <w:t>re-establish PDU Sessions corresponding to the PDN connections that it had in EPS. IP address preservation is not provided in this case.</w:t>
      </w:r>
    </w:p>
    <w:p w14:paraId="25EFCBF8" w14:textId="77777777" w:rsidR="00D40151" w:rsidRPr="00873B6C" w:rsidRDefault="00D40151" w:rsidP="00D40151">
      <w:pPr>
        <w:pStyle w:val="NO"/>
      </w:pPr>
      <w:r w:rsidRPr="00873B6C">
        <w:t>NOTE 3:</w:t>
      </w:r>
      <w:r w:rsidRPr="00873B6C">
        <w:tab/>
        <w:t>The additional native 5G-GUTI enables the AMF to find the UE's 5G security context (if available).</w:t>
      </w:r>
    </w:p>
    <w:p w14:paraId="7B70B884" w14:textId="77777777" w:rsidR="00D40151" w:rsidRPr="00873B6C" w:rsidRDefault="00D40151" w:rsidP="00D40151">
      <w:pPr>
        <w:pStyle w:val="NO"/>
        <w:rPr>
          <w:lang w:eastAsia="zh-CN"/>
        </w:rPr>
      </w:pPr>
      <w:r w:rsidRPr="00873B6C">
        <w:t>NOTE 4:</w:t>
      </w:r>
      <w:r w:rsidRPr="00873B6C">
        <w:tab/>
      </w:r>
      <w:r w:rsidRPr="00873B6C">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873B6C" w:rsidRDefault="00D40151" w:rsidP="00D40151">
      <w:pPr>
        <w:pStyle w:val="B1"/>
        <w:rPr>
          <w:lang w:eastAsia="zh-CN"/>
        </w:rPr>
      </w:pPr>
      <w:r w:rsidRPr="00873B6C">
        <w:rPr>
          <w:lang w:eastAsia="zh-CN"/>
        </w:rPr>
        <w:t>-</w:t>
      </w:r>
      <w:r w:rsidRPr="00873B6C">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873B6C" w:rsidRDefault="00D40151" w:rsidP="00D40151">
      <w:pPr>
        <w:pStyle w:val="B2"/>
        <w:rPr>
          <w:lang w:eastAsia="zh-CN"/>
        </w:rPr>
      </w:pPr>
      <w:r w:rsidRPr="00873B6C">
        <w:rPr>
          <w:lang w:eastAsia="zh-CN"/>
        </w:rPr>
        <w:t>-</w:t>
      </w:r>
      <w:r w:rsidRPr="00873B6C">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873B6C" w:rsidRDefault="00D40151" w:rsidP="00D40151">
      <w:pPr>
        <w:pStyle w:val="Heading5"/>
        <w:rPr>
          <w:lang w:eastAsia="zh-CN"/>
        </w:rPr>
      </w:pPr>
      <w:bookmarkStart w:id="3224" w:name="_CR5_17_2_3_3"/>
      <w:bookmarkStart w:id="3225" w:name="_Toc20149979"/>
      <w:bookmarkStart w:id="3226" w:name="_Toc27846778"/>
      <w:bookmarkStart w:id="3227" w:name="_Toc36187909"/>
      <w:bookmarkStart w:id="3228" w:name="_Toc45183813"/>
      <w:bookmarkStart w:id="3229" w:name="_Toc47342655"/>
      <w:bookmarkStart w:id="3230" w:name="_Toc51769356"/>
      <w:bookmarkStart w:id="3231" w:name="_Toc201157366"/>
      <w:bookmarkEnd w:id="3224"/>
      <w:r w:rsidRPr="00873B6C">
        <w:rPr>
          <w:lang w:eastAsia="zh-CN"/>
        </w:rPr>
        <w:t>5.17.2.3.3</w:t>
      </w:r>
      <w:r w:rsidRPr="00873B6C">
        <w:rPr>
          <w:lang w:eastAsia="zh-CN"/>
        </w:rPr>
        <w:tab/>
        <w:t>Mobility for UEs in dual-registration mode</w:t>
      </w:r>
      <w:bookmarkEnd w:id="3225"/>
      <w:bookmarkEnd w:id="3226"/>
      <w:bookmarkEnd w:id="3227"/>
      <w:bookmarkEnd w:id="3228"/>
      <w:bookmarkEnd w:id="3229"/>
      <w:bookmarkEnd w:id="3230"/>
      <w:bookmarkEnd w:id="3231"/>
    </w:p>
    <w:p w14:paraId="5823166B" w14:textId="77777777" w:rsidR="00D40151" w:rsidRPr="00873B6C" w:rsidRDefault="00D40151" w:rsidP="00D40151">
      <w:r w:rsidRPr="00873B6C">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873B6C" w:rsidRDefault="00D40151" w:rsidP="00D40151">
      <w:pPr>
        <w:rPr>
          <w:rFonts w:eastAsia="MS Mincho"/>
        </w:rPr>
      </w:pPr>
      <w:r w:rsidRPr="00873B6C">
        <w:rPr>
          <w:rFonts w:eastAsia="MS Mincho"/>
        </w:rPr>
        <w:lastRenderedPageBreak/>
        <w:t>For UE operating in dual-registration mode the following principles apply for PDU Session transfer from 5GC to EPC:</w:t>
      </w:r>
    </w:p>
    <w:p w14:paraId="44C2A35B" w14:textId="516A8A00" w:rsidR="00D40151" w:rsidRPr="00873B6C" w:rsidRDefault="00D40151" w:rsidP="00D40151">
      <w:pPr>
        <w:pStyle w:val="B1"/>
        <w:rPr>
          <w:rFonts w:eastAsia="MS Mincho"/>
        </w:rPr>
      </w:pPr>
      <w:r w:rsidRPr="00873B6C">
        <w:rPr>
          <w:rFonts w:eastAsia="MS Mincho"/>
        </w:rPr>
        <w:t>-</w:t>
      </w:r>
      <w:r w:rsidRPr="00873B6C">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972E70" w:rsidRPr="00873B6C">
        <w:rPr>
          <w:rFonts w:eastAsia="MS Mincho"/>
        </w:rPr>
        <w:t>TS 23.401 [</w:t>
      </w:r>
      <w:r w:rsidRPr="00873B6C">
        <w:rPr>
          <w:rFonts w:eastAsia="MS Mincho"/>
        </w:rPr>
        <w:t>26]. Support for EPS Attach without PDN Connectivity is mandatory for UE supporting dual-registration procedures.</w:t>
      </w:r>
    </w:p>
    <w:p w14:paraId="7A01B47E" w14:textId="77777777" w:rsidR="00D40151" w:rsidRPr="00873B6C" w:rsidRDefault="00D40151" w:rsidP="00D40151">
      <w:pPr>
        <w:pStyle w:val="NO"/>
        <w:rPr>
          <w:rFonts w:eastAsia="MS Mincho"/>
        </w:rPr>
      </w:pPr>
      <w:r w:rsidRPr="00873B6C">
        <w:rPr>
          <w:rFonts w:eastAsia="MS Mincho"/>
        </w:rPr>
        <w:t>NOTE 1:</w:t>
      </w:r>
      <w:r w:rsidRPr="00873B6C">
        <w:rPr>
          <w:rFonts w:eastAsia="MS Mincho"/>
        </w:rPr>
        <w:tab/>
        <w:t>Before attempting early registration in EPC the UE needs to check whether EPC supports EPS Attach without PDN Connectivity by reading the related SIB in the target cell.</w:t>
      </w:r>
    </w:p>
    <w:p w14:paraId="2E764F31" w14:textId="1488BE05" w:rsidR="00D40151" w:rsidRPr="00873B6C" w:rsidRDefault="00D40151" w:rsidP="00D40151">
      <w:pPr>
        <w:pStyle w:val="B1"/>
        <w:rPr>
          <w:rFonts w:eastAsia="MS Mincho"/>
        </w:rPr>
      </w:pPr>
      <w:r w:rsidRPr="00873B6C">
        <w:rPr>
          <w:rFonts w:eastAsia="MS Mincho"/>
        </w:rPr>
        <w:t>-</w:t>
      </w:r>
      <w:r w:rsidRPr="00873B6C">
        <w:rPr>
          <w:rFonts w:eastAsia="MS Mincho"/>
        </w:rPr>
        <w:tab/>
        <w:t xml:space="preserve">UE performs PDU Session transfer from 5GC to EPC using the UE initiated PDN connection establishment procedure with "handover" indication in the PDN Connection Request message </w:t>
      </w:r>
      <w:r w:rsidRPr="00873B6C">
        <w:rPr>
          <w:lang w:eastAsia="zh-CN"/>
        </w:rPr>
        <w:t>(</w:t>
      </w:r>
      <w:r w:rsidR="00D602DF" w:rsidRPr="00873B6C">
        <w:rPr>
          <w:lang w:eastAsia="zh-CN"/>
        </w:rPr>
        <w:t xml:space="preserve">clause 5.10.2 </w:t>
      </w:r>
      <w:r w:rsidR="00D602DF" w:rsidRPr="00873B6C">
        <w:t>of</w:t>
      </w:r>
      <w:r w:rsidR="00D602DF" w:rsidRPr="00873B6C">
        <w:rPr>
          <w:lang w:eastAsia="zh-CN"/>
        </w:rPr>
        <w:t xml:space="preserve"> </w:t>
      </w:r>
      <w:r w:rsidR="00972E70" w:rsidRPr="00873B6C">
        <w:rPr>
          <w:lang w:eastAsia="zh-CN"/>
        </w:rPr>
        <w:t>TS 23.401 [</w:t>
      </w:r>
      <w:r w:rsidRPr="00873B6C">
        <w:rPr>
          <w:lang w:eastAsia="zh-CN"/>
        </w:rPr>
        <w:t>26])</w:t>
      </w:r>
      <w:r w:rsidRPr="00873B6C">
        <w:rPr>
          <w:rFonts w:eastAsia="MS Mincho"/>
        </w:rPr>
        <w:t>.</w:t>
      </w:r>
    </w:p>
    <w:p w14:paraId="0BC8E9BD" w14:textId="13851246" w:rsidR="00D40151" w:rsidRPr="00873B6C" w:rsidRDefault="00D40151" w:rsidP="00D40151">
      <w:pPr>
        <w:pStyle w:val="B1"/>
        <w:rPr>
          <w:rFonts w:eastAsia="MS Mincho"/>
        </w:rPr>
      </w:pPr>
      <w:r w:rsidRPr="00873B6C">
        <w:rPr>
          <w:rFonts w:eastAsia="MS Mincho"/>
        </w:rPr>
        <w:t>-</w:t>
      </w:r>
      <w:r w:rsidRPr="00873B6C">
        <w:rPr>
          <w:rFonts w:eastAsia="MS Mincho"/>
        </w:rPr>
        <w:tab/>
        <w:t xml:space="preserve">If the UE has not registered with EPC ahead of the PDU Session transfer, the UE can perform Attach in EPC with "handover" indication in the PDN Connection Request message </w:t>
      </w:r>
      <w:r w:rsidRPr="00873B6C">
        <w:rPr>
          <w:lang w:eastAsia="zh-CN"/>
        </w:rPr>
        <w:t>(</w:t>
      </w:r>
      <w:r w:rsidR="00D602DF" w:rsidRPr="00873B6C">
        <w:rPr>
          <w:lang w:eastAsia="zh-CN"/>
        </w:rPr>
        <w:t xml:space="preserve">clause 5.3.2.1 </w:t>
      </w:r>
      <w:r w:rsidR="00D602DF" w:rsidRPr="00873B6C">
        <w:t>of</w:t>
      </w:r>
      <w:r w:rsidR="00D602DF" w:rsidRPr="00873B6C">
        <w:rPr>
          <w:lang w:eastAsia="zh-CN"/>
        </w:rPr>
        <w:t xml:space="preserve"> </w:t>
      </w:r>
      <w:r w:rsidR="00972E70" w:rsidRPr="00873B6C">
        <w:rPr>
          <w:lang w:eastAsia="zh-CN"/>
        </w:rPr>
        <w:t>TS 23.401 [</w:t>
      </w:r>
      <w:r w:rsidRPr="00873B6C">
        <w:rPr>
          <w:lang w:eastAsia="zh-CN"/>
        </w:rPr>
        <w:t>26])</w:t>
      </w:r>
      <w:r w:rsidRPr="00873B6C">
        <w:rPr>
          <w:rFonts w:eastAsia="MS Mincho"/>
        </w:rPr>
        <w:t>.</w:t>
      </w:r>
    </w:p>
    <w:p w14:paraId="35BBB075" w14:textId="77777777" w:rsidR="00D40151" w:rsidRPr="00873B6C" w:rsidRDefault="00D40151" w:rsidP="00D40151">
      <w:pPr>
        <w:pStyle w:val="B1"/>
        <w:rPr>
          <w:rFonts w:eastAsia="MS Mincho"/>
        </w:rPr>
      </w:pPr>
      <w:r w:rsidRPr="00873B6C">
        <w:rPr>
          <w:rFonts w:eastAsia="MS Mincho"/>
        </w:rPr>
        <w:t>-</w:t>
      </w:r>
      <w:r w:rsidRPr="00873B6C">
        <w:rPr>
          <w:rFonts w:eastAsia="MS Mincho"/>
        </w:rPr>
        <w:tab/>
        <w:t>UE may selectively transfer certain PDU Sessions to EPC, while keeping other PDU Sessions in 5GC.</w:t>
      </w:r>
    </w:p>
    <w:p w14:paraId="7C6D4634" w14:textId="77777777" w:rsidR="00D40151" w:rsidRPr="00873B6C" w:rsidRDefault="00D40151" w:rsidP="00D40151">
      <w:pPr>
        <w:pStyle w:val="B1"/>
        <w:rPr>
          <w:rFonts w:eastAsia="MS Mincho"/>
        </w:rPr>
      </w:pPr>
      <w:r w:rsidRPr="00873B6C">
        <w:rPr>
          <w:rFonts w:eastAsia="MS Mincho"/>
        </w:rPr>
        <w:t>-</w:t>
      </w:r>
      <w:r w:rsidRPr="00873B6C">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873B6C" w:rsidRDefault="00D40151" w:rsidP="00D40151">
      <w:pPr>
        <w:pStyle w:val="NO"/>
        <w:rPr>
          <w:rFonts w:eastAsia="MS Mincho"/>
        </w:rPr>
      </w:pPr>
      <w:r w:rsidRPr="00873B6C">
        <w:rPr>
          <w:rFonts w:eastAsia="MS Mincho"/>
        </w:rPr>
        <w:t>NOTE 2:</w:t>
      </w:r>
      <w:r w:rsidRPr="00873B6C">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4A438478" w14:textId="4FDDEF34" w:rsidR="00893B12" w:rsidRPr="00873B6C" w:rsidRDefault="00893B12" w:rsidP="00893B12">
      <w:pPr>
        <w:pStyle w:val="NO"/>
        <w:rPr>
          <w:rFonts w:eastAsia="MS Mincho"/>
        </w:rPr>
      </w:pPr>
      <w:r w:rsidRPr="00873B6C">
        <w:rPr>
          <w:rFonts w:eastAsia="MS Mincho"/>
        </w:rPr>
        <w:t>NOTE 3:</w:t>
      </w:r>
      <w:r w:rsidRPr="00873B6C">
        <w:rPr>
          <w:rFonts w:eastAsia="MS Mincho"/>
        </w:rPr>
        <w:tab/>
        <w:t>The Start of Unavailability Period and/or Unavailability Period Duration that the UE determines for NR satellite access with discontinuous network coverage in 5GS (see clause 5.4.1.4) and determines for satellite access with discontinuous coverage in EPS (see clause 4.13.8.2 of TS 23.401 [26]) can be different between 5GS and EPS.</w:t>
      </w:r>
    </w:p>
    <w:p w14:paraId="1C8E29AF" w14:textId="77777777" w:rsidR="00D40151" w:rsidRPr="00873B6C" w:rsidRDefault="00D40151" w:rsidP="00D40151">
      <w:pPr>
        <w:rPr>
          <w:rFonts w:eastAsia="MS Mincho"/>
        </w:rPr>
      </w:pPr>
      <w:r w:rsidRPr="00873B6C">
        <w:rPr>
          <w:rFonts w:eastAsia="MS Mincho"/>
        </w:rPr>
        <w:t>For UE operating in dual-registration mode the following principles apply for PDN connection transfer from EPC to 5GC:</w:t>
      </w:r>
    </w:p>
    <w:p w14:paraId="14E1D679" w14:textId="014D68D1" w:rsidR="00D40151" w:rsidRPr="00873B6C" w:rsidRDefault="00D40151" w:rsidP="00D40151">
      <w:pPr>
        <w:pStyle w:val="B1"/>
        <w:rPr>
          <w:rFonts w:eastAsia="MS Mincho"/>
        </w:rPr>
      </w:pPr>
      <w:r w:rsidRPr="00873B6C">
        <w:rPr>
          <w:rFonts w:eastAsia="MS Mincho"/>
        </w:rPr>
        <w:t>-</w:t>
      </w:r>
      <w:r w:rsidRPr="00873B6C">
        <w:rPr>
          <w:rFonts w:eastAsia="MS Mincho"/>
        </w:rPr>
        <w:tab/>
        <w:t>UE operating in Dual Registration mode may register in 5GC ahead of any PDN connection transfer using the Registration procedure indicating that the UE is moving from EPC (</w:t>
      </w:r>
      <w:r w:rsidR="00D602DF" w:rsidRPr="00873B6C">
        <w:rPr>
          <w:rFonts w:eastAsia="MS Mincho"/>
        </w:rPr>
        <w:t xml:space="preserve">clause 4.2.2.2.2 </w:t>
      </w:r>
      <w:r w:rsidR="00D602DF" w:rsidRPr="00873B6C">
        <w:t>of</w:t>
      </w:r>
      <w:r w:rsidR="00D602DF" w:rsidRPr="00873B6C">
        <w:rPr>
          <w:rFonts w:eastAsia="MS Mincho"/>
        </w:rPr>
        <w:t xml:space="preserve"> </w:t>
      </w:r>
      <w:r w:rsidR="00972E70" w:rsidRPr="00873B6C">
        <w:rPr>
          <w:rFonts w:eastAsia="MS Mincho"/>
        </w:rPr>
        <w:t>TS 23.502 [</w:t>
      </w:r>
      <w:r w:rsidRPr="00873B6C">
        <w:rPr>
          <w:rFonts w:eastAsia="MS Mincho"/>
        </w:rPr>
        <w:t>3]).</w:t>
      </w:r>
    </w:p>
    <w:p w14:paraId="36EDA6C4" w14:textId="2B04F674" w:rsidR="00D40151" w:rsidRPr="00873B6C" w:rsidRDefault="00D40151" w:rsidP="00D40151">
      <w:pPr>
        <w:pStyle w:val="B1"/>
        <w:rPr>
          <w:rFonts w:eastAsia="MS Mincho"/>
        </w:rPr>
      </w:pPr>
      <w:r w:rsidRPr="00873B6C">
        <w:rPr>
          <w:rFonts w:eastAsia="MS Mincho"/>
        </w:rPr>
        <w:t>-</w:t>
      </w:r>
      <w:r w:rsidRPr="00873B6C">
        <w:rPr>
          <w:rFonts w:eastAsia="MS Mincho"/>
        </w:rPr>
        <w:tab/>
        <w:t xml:space="preserve">UE performs PDN connection transfer from EPC to 5GC using the UE initiated PDU Session Establishment procedure with "Existing PDU Session" indication </w:t>
      </w:r>
      <w:r w:rsidRPr="00873B6C">
        <w:t>(</w:t>
      </w:r>
      <w:r w:rsidR="00D602DF" w:rsidRPr="00873B6C">
        <w:t xml:space="preserve">clause 4.3.2.2.1 of </w:t>
      </w:r>
      <w:r w:rsidR="00972E70" w:rsidRPr="00873B6C">
        <w:t>TS 23.502 [</w:t>
      </w:r>
      <w:r w:rsidRPr="00873B6C">
        <w:t>3])</w:t>
      </w:r>
      <w:r w:rsidRPr="00873B6C">
        <w:rPr>
          <w:rFonts w:eastAsia="MS Mincho"/>
        </w:rPr>
        <w:t>.</w:t>
      </w:r>
    </w:p>
    <w:p w14:paraId="562379A1" w14:textId="77777777" w:rsidR="00D40151" w:rsidRPr="00873B6C" w:rsidRDefault="00D40151" w:rsidP="00D40151">
      <w:pPr>
        <w:pStyle w:val="B1"/>
        <w:rPr>
          <w:rFonts w:eastAsia="MS Mincho"/>
        </w:rPr>
      </w:pPr>
      <w:r w:rsidRPr="00873B6C">
        <w:rPr>
          <w:rFonts w:eastAsia="MS Mincho"/>
        </w:rPr>
        <w:t>-</w:t>
      </w:r>
      <w:r w:rsidRPr="00873B6C">
        <w:rPr>
          <w:rFonts w:eastAsia="MS Mincho"/>
        </w:rPr>
        <w:tab/>
        <w:t>UE may selectively transfer certain PDN connections to 5GC, while keeping other PDN Connections in EPC.</w:t>
      </w:r>
    </w:p>
    <w:p w14:paraId="29FDF9D2" w14:textId="77777777" w:rsidR="00D40151" w:rsidRPr="00873B6C" w:rsidRDefault="00D40151" w:rsidP="00D40151">
      <w:pPr>
        <w:pStyle w:val="B1"/>
        <w:rPr>
          <w:rFonts w:eastAsia="MS Mincho"/>
        </w:rPr>
      </w:pPr>
      <w:r w:rsidRPr="00873B6C">
        <w:rPr>
          <w:rFonts w:eastAsia="MS Mincho"/>
        </w:rPr>
        <w:t>-</w:t>
      </w:r>
      <w:r w:rsidRPr="00873B6C">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8425A51" w:rsidR="00D40151" w:rsidRPr="00873B6C" w:rsidRDefault="00D40151" w:rsidP="00D40151">
      <w:pPr>
        <w:pStyle w:val="NO"/>
        <w:rPr>
          <w:rFonts w:eastAsia="MS Mincho"/>
        </w:rPr>
      </w:pPr>
      <w:r w:rsidRPr="00873B6C">
        <w:rPr>
          <w:rFonts w:eastAsia="MS Mincho"/>
        </w:rPr>
        <w:t>NOTE </w:t>
      </w:r>
      <w:r w:rsidR="00893B12" w:rsidRPr="00873B6C">
        <w:rPr>
          <w:rFonts w:eastAsia="MS Mincho"/>
        </w:rPr>
        <w:t>4</w:t>
      </w:r>
      <w:r w:rsidRPr="00873B6C">
        <w:rPr>
          <w:rFonts w:eastAsia="MS Mincho"/>
        </w:rPr>
        <w:t>:</w:t>
      </w:r>
      <w:r w:rsidRPr="00873B6C">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248FBE41" w:rsidR="00D40151" w:rsidRPr="00873B6C" w:rsidRDefault="00D40151" w:rsidP="00D40151">
      <w:pPr>
        <w:pStyle w:val="NO"/>
        <w:rPr>
          <w:rFonts w:eastAsia="MS Mincho"/>
        </w:rPr>
      </w:pPr>
      <w:r w:rsidRPr="00873B6C">
        <w:rPr>
          <w:rFonts w:eastAsia="MS Mincho"/>
        </w:rPr>
        <w:t>NOTE </w:t>
      </w:r>
      <w:r w:rsidR="00893B12" w:rsidRPr="00873B6C">
        <w:rPr>
          <w:rFonts w:eastAsia="MS Mincho"/>
        </w:rPr>
        <w:t>5</w:t>
      </w:r>
      <w:r w:rsidRPr="00873B6C">
        <w:rPr>
          <w:rFonts w:eastAsia="MS Mincho"/>
        </w:rPr>
        <w:t>:</w:t>
      </w:r>
      <w:r w:rsidRPr="00873B6C">
        <w:rPr>
          <w:rFonts w:eastAsia="MS Mincho"/>
        </w:rPr>
        <w:tab/>
        <w:t>If EPC does not support EPS Attach without PDN Connectivity the MME detaches the UE when the last PDN connection is released by the PGW as described in</w:t>
      </w:r>
      <w:r w:rsidR="00960CDA" w:rsidRPr="00873B6C">
        <w:rPr>
          <w:rFonts w:eastAsia="MS Mincho"/>
        </w:rPr>
        <w:t xml:space="preserve"> clause 5.4.4.1</w:t>
      </w:r>
      <w:r w:rsidRPr="00873B6C">
        <w:rPr>
          <w:rFonts w:eastAsia="MS Mincho"/>
        </w:rPr>
        <w:t xml:space="preserve"> </w:t>
      </w:r>
      <w:r w:rsidR="00960CDA" w:rsidRPr="00873B6C">
        <w:rPr>
          <w:rFonts w:eastAsia="MS Mincho"/>
        </w:rPr>
        <w:t xml:space="preserve">of </w:t>
      </w:r>
      <w:r w:rsidR="00972E70" w:rsidRPr="00873B6C">
        <w:rPr>
          <w:rFonts w:eastAsia="MS Mincho"/>
        </w:rPr>
        <w:t>TS 23.401 [</w:t>
      </w:r>
      <w:r w:rsidRPr="00873B6C">
        <w:rPr>
          <w:rFonts w:eastAsia="MS Mincho"/>
        </w:rPr>
        <w:t>26] (in relation to transfer of the last PDN connection to non-3GPP access).</w:t>
      </w:r>
    </w:p>
    <w:p w14:paraId="0B1464A2" w14:textId="77777777" w:rsidR="00D40151" w:rsidRPr="00873B6C" w:rsidRDefault="00D40151" w:rsidP="00D40151">
      <w:pPr>
        <w:rPr>
          <w:lang w:eastAsia="zh-CN"/>
        </w:rPr>
      </w:pPr>
      <w:r w:rsidRPr="00873B6C">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39827B96" w:rsidR="00D40151" w:rsidRPr="00873B6C" w:rsidRDefault="00D40151" w:rsidP="00D40151">
      <w:pPr>
        <w:pStyle w:val="NO"/>
        <w:rPr>
          <w:rFonts w:eastAsia="MS Mincho"/>
        </w:rPr>
      </w:pPr>
      <w:r w:rsidRPr="00873B6C">
        <w:rPr>
          <w:rFonts w:eastAsia="MS Mincho"/>
        </w:rPr>
        <w:lastRenderedPageBreak/>
        <w:t>NOTE </w:t>
      </w:r>
      <w:r w:rsidR="00893B12" w:rsidRPr="00873B6C">
        <w:rPr>
          <w:rFonts w:eastAsia="MS Mincho"/>
        </w:rPr>
        <w:t>6</w:t>
      </w:r>
      <w:r w:rsidRPr="00873B6C">
        <w:rPr>
          <w:rFonts w:eastAsia="MS Mincho"/>
        </w:rPr>
        <w:t>:</w:t>
      </w:r>
      <w:r w:rsidRPr="00873B6C">
        <w:rPr>
          <w:rFonts w:eastAsia="MS Mincho"/>
        </w:rPr>
        <w:tab/>
        <w:t>The choice of the system through which the network attempts to deliver the control plane request first is left to network configuration.</w:t>
      </w:r>
    </w:p>
    <w:p w14:paraId="5038CCAC" w14:textId="77777777" w:rsidR="00D40151" w:rsidRPr="00873B6C" w:rsidRDefault="00D40151" w:rsidP="00D40151">
      <w:pPr>
        <w:pStyle w:val="Heading5"/>
        <w:rPr>
          <w:lang w:eastAsia="zh-CN"/>
        </w:rPr>
      </w:pPr>
      <w:bookmarkStart w:id="3232" w:name="_CR5_17_2_3_4"/>
      <w:bookmarkStart w:id="3233" w:name="_Toc20149980"/>
      <w:bookmarkStart w:id="3234" w:name="_Toc27846779"/>
      <w:bookmarkStart w:id="3235" w:name="_Toc36187910"/>
      <w:bookmarkStart w:id="3236" w:name="_Toc45183814"/>
      <w:bookmarkStart w:id="3237" w:name="_Toc47342656"/>
      <w:bookmarkStart w:id="3238" w:name="_Toc51769357"/>
      <w:bookmarkStart w:id="3239" w:name="_Toc201157367"/>
      <w:bookmarkEnd w:id="3232"/>
      <w:r w:rsidRPr="00873B6C">
        <w:rPr>
          <w:lang w:eastAsia="zh-CN"/>
        </w:rPr>
        <w:t>5.17.2.3.4</w:t>
      </w:r>
      <w:r w:rsidRPr="00873B6C">
        <w:rPr>
          <w:lang w:eastAsia="zh-CN"/>
        </w:rPr>
        <w:tab/>
        <w:t>Redirection for UEs in connected state</w:t>
      </w:r>
      <w:bookmarkEnd w:id="3233"/>
      <w:bookmarkEnd w:id="3234"/>
      <w:bookmarkEnd w:id="3235"/>
      <w:bookmarkEnd w:id="3236"/>
      <w:bookmarkEnd w:id="3237"/>
      <w:bookmarkEnd w:id="3238"/>
      <w:bookmarkEnd w:id="3239"/>
    </w:p>
    <w:p w14:paraId="2E10BD13" w14:textId="77777777" w:rsidR="00D40151" w:rsidRPr="00873B6C" w:rsidRDefault="00D40151" w:rsidP="00D40151">
      <w:pPr>
        <w:rPr>
          <w:lang w:eastAsia="zh-CN"/>
        </w:rPr>
      </w:pPr>
      <w:r w:rsidRPr="00873B6C">
        <w:rPr>
          <w:lang w:eastAsia="zh-CN"/>
        </w:rPr>
        <w:t>When the UE supports single-registration mode or dual-registration mode without N26 interface:</w:t>
      </w:r>
    </w:p>
    <w:p w14:paraId="53324C88" w14:textId="77777777" w:rsidR="00D40151" w:rsidRPr="00873B6C" w:rsidRDefault="00D40151" w:rsidP="00D40151">
      <w:pPr>
        <w:pStyle w:val="B1"/>
      </w:pPr>
      <w:r w:rsidRPr="00873B6C">
        <w:rPr>
          <w:lang w:eastAsia="zh-CN"/>
        </w:rPr>
        <w:t>-</w:t>
      </w:r>
      <w:r w:rsidRPr="00873B6C">
        <w:rPr>
          <w:lang w:eastAsia="zh-CN"/>
        </w:rPr>
        <w:tab/>
        <w:t>If the UE is in CM-CONNECTED state in 5GC, the NG-RAN may perform R</w:t>
      </w:r>
      <w:r w:rsidRPr="00873B6C">
        <w:t>RC Connection Release with Redirection to E-UTRAN based on certain criteria (e.g. based on local configuration in NG-RAN, or triggered by the AMF upon receiving Handover Request message from NG-RAN).</w:t>
      </w:r>
    </w:p>
    <w:p w14:paraId="4BAED3F3" w14:textId="77777777" w:rsidR="00D40151" w:rsidRPr="00873B6C" w:rsidRDefault="00D40151" w:rsidP="00D40151">
      <w:pPr>
        <w:pStyle w:val="B1"/>
      </w:pPr>
      <w:r w:rsidRPr="00873B6C">
        <w:t>-</w:t>
      </w:r>
      <w:r w:rsidRPr="00873B6C">
        <w:tab/>
        <w:t xml:space="preserve">If the UE is in ECM-CONNECTED state in EPC, the E-UTRAN may perform RRC Connection release with redirection to NG-RAN based on certain criteria (e.g. based on local configuration in E-UTRAN, or </w:t>
      </w:r>
      <w:r w:rsidRPr="00873B6C">
        <w:rPr>
          <w:lang w:eastAsia="zh-CN"/>
        </w:rPr>
        <w:t>triggered by the MME upon receiving handover request from E-UTRAN).</w:t>
      </w:r>
    </w:p>
    <w:p w14:paraId="0D05E341" w14:textId="77777777" w:rsidR="00D40151" w:rsidRPr="00873B6C" w:rsidRDefault="00D40151" w:rsidP="00D40151">
      <w:pPr>
        <w:pStyle w:val="Heading4"/>
      </w:pPr>
      <w:bookmarkStart w:id="3240" w:name="_CR5_17_2_4"/>
      <w:bookmarkStart w:id="3241" w:name="_Toc20149981"/>
      <w:bookmarkStart w:id="3242" w:name="_Toc27846780"/>
      <w:bookmarkStart w:id="3243" w:name="_Toc36187911"/>
      <w:bookmarkStart w:id="3244" w:name="_Toc45183815"/>
      <w:bookmarkStart w:id="3245" w:name="_Toc47342657"/>
      <w:bookmarkStart w:id="3246" w:name="_Toc51769358"/>
      <w:bookmarkStart w:id="3247" w:name="_Toc201157368"/>
      <w:bookmarkEnd w:id="3240"/>
      <w:r w:rsidRPr="00873B6C">
        <w:t>5.17.2.4</w:t>
      </w:r>
      <w:r w:rsidRPr="00873B6C">
        <w:tab/>
        <w:t>Mobility between 5GS and GERAN/UTRAN</w:t>
      </w:r>
      <w:bookmarkEnd w:id="3241"/>
      <w:bookmarkEnd w:id="3242"/>
      <w:bookmarkEnd w:id="3243"/>
      <w:bookmarkEnd w:id="3244"/>
      <w:bookmarkEnd w:id="3245"/>
      <w:bookmarkEnd w:id="3246"/>
      <w:bookmarkEnd w:id="3247"/>
    </w:p>
    <w:p w14:paraId="35EBDD27" w14:textId="0BBE3D41" w:rsidR="00D40151" w:rsidRPr="00873B6C" w:rsidRDefault="00D40151" w:rsidP="00D40151">
      <w:r w:rsidRPr="00873B6C">
        <w:t>IP address preservation upon</w:t>
      </w:r>
      <w:r w:rsidR="00182EE7" w:rsidRPr="00873B6C">
        <w:t xml:space="preserve"> direct</w:t>
      </w:r>
      <w:r w:rsidRPr="00873B6C">
        <w:t xml:space="preserve"> mobility between 5GS and GERAN/UTRAN is not supported.</w:t>
      </w:r>
    </w:p>
    <w:p w14:paraId="348FDEE9" w14:textId="7377D65C" w:rsidR="00D40151" w:rsidRPr="00873B6C" w:rsidRDefault="00D40151" w:rsidP="00D40151">
      <w:r w:rsidRPr="00873B6C">
        <w:t>Upon mobility from 5GS to GERAN/UTRAN (e.g. upon leaving NG-RAN coverage) the UE shall perform the A/Gb mode GPRS Attach procedure or Iu mode GPRS Attach</w:t>
      </w:r>
      <w:r w:rsidRPr="00873B6C">
        <w:rPr>
          <w:lang w:eastAsia="zh-CN"/>
        </w:rPr>
        <w:t xml:space="preserve"> procedure (see </w:t>
      </w:r>
      <w:r w:rsidR="00972E70" w:rsidRPr="00873B6C">
        <w:rPr>
          <w:lang w:eastAsia="zh-CN"/>
        </w:rPr>
        <w:t>TS 23.060 [</w:t>
      </w:r>
      <w:r w:rsidRPr="00873B6C">
        <w:rPr>
          <w:lang w:eastAsia="zh-CN"/>
        </w:rPr>
        <w:t>56])</w:t>
      </w:r>
      <w:r w:rsidRPr="00873B6C">
        <w:t>.</w:t>
      </w:r>
    </w:p>
    <w:p w14:paraId="370DDBE8" w14:textId="77777777" w:rsidR="00182EE7" w:rsidRPr="00873B6C" w:rsidRDefault="00182EE7" w:rsidP="00D40151">
      <w:r w:rsidRPr="00873B6C">
        <w:t>As a UE option, to support IP address preservation at mobility from EPC to 5GS for PDN connections without 5GS related parameters, a 5GS capable UE may:</w:t>
      </w:r>
    </w:p>
    <w:p w14:paraId="2400C840" w14:textId="100ACD8B" w:rsidR="00182EE7" w:rsidRPr="00873B6C" w:rsidRDefault="00182EE7" w:rsidP="00562E84">
      <w:pPr>
        <w:pStyle w:val="B1"/>
      </w:pPr>
      <w:r w:rsidRPr="00873B6C">
        <w:t>-</w:t>
      </w:r>
      <w:r w:rsidRPr="00873B6C">
        <w:tab/>
        <w:t xml:space="preserve">Following mobility from GERAN/UTRAN to EPS, release those PDN connection(s) and re-establish them as specified in clause 4.11.1.5.4.1 of </w:t>
      </w:r>
      <w:r w:rsidR="00972E70" w:rsidRPr="00873B6C">
        <w:t>TS 23.502 [</w:t>
      </w:r>
      <w:r w:rsidRPr="00873B6C">
        <w:t>3] so that they support interworking to 5GS.</w:t>
      </w:r>
    </w:p>
    <w:p w14:paraId="156B2CF1" w14:textId="50F00978" w:rsidR="00182EE7" w:rsidRPr="00873B6C" w:rsidRDefault="00182EE7" w:rsidP="00562E84">
      <w:pPr>
        <w:pStyle w:val="NO"/>
      </w:pPr>
      <w:r w:rsidRPr="00873B6C">
        <w:t>NOTE 1:</w:t>
      </w:r>
      <w:r w:rsidRPr="00873B6C">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873B6C" w:rsidRDefault="00182EE7" w:rsidP="00D40151">
      <w:r w:rsidRPr="00873B6C">
        <w:t>To support mobility from EPC to 5GS to EPC to GERAN/UTRAN for PDN connections established in EPC:</w:t>
      </w:r>
    </w:p>
    <w:p w14:paraId="351224B8" w14:textId="05C41149" w:rsidR="00182EE7" w:rsidRPr="00873B6C" w:rsidRDefault="00182EE7" w:rsidP="00562E84">
      <w:pPr>
        <w:pStyle w:val="NO"/>
      </w:pPr>
      <w:r w:rsidRPr="00873B6C">
        <w:t>NOTE 2:</w:t>
      </w:r>
      <w:r w:rsidRPr="00873B6C">
        <w:tab/>
        <w:t xml:space="preserve">For the use of N7 or N40 interfaces while the UE is in GERAN/UTRAN access, the SMF+PGW-C selected by the MME (using the existing selection procedures described in clause 4.11.0a of </w:t>
      </w:r>
      <w:r w:rsidR="00972E70" w:rsidRPr="00873B6C">
        <w:t>TS 23.502 [</w:t>
      </w:r>
      <w:r w:rsidRPr="00873B6C">
        <w:t xml:space="preserve">3] and clause 4.3.8 of </w:t>
      </w:r>
      <w:r w:rsidR="00972E70" w:rsidRPr="00873B6C">
        <w:t>TS 23.401 [</w:t>
      </w:r>
      <w:r w:rsidRPr="00873B6C">
        <w:t>26]) needs to support functionality (e.g. signalling of GERAN/UTRAN cell identification over N7) specified in Annex L.</w:t>
      </w:r>
    </w:p>
    <w:p w14:paraId="1090CA25" w14:textId="5D67DB19" w:rsidR="00182EE7" w:rsidRPr="00873B6C" w:rsidRDefault="00182EE7" w:rsidP="00562E84">
      <w:pPr>
        <w:pStyle w:val="B1"/>
      </w:pPr>
      <w:r w:rsidRPr="00873B6C">
        <w:t>-</w:t>
      </w:r>
      <w:r w:rsidRPr="00873B6C">
        <w:tab/>
        <w:t>in signalling sent on the N26 interface, the MME should send the TI</w:t>
      </w:r>
      <w:r w:rsidR="0010039C" w:rsidRPr="00873B6C">
        <w:t xml:space="preserve"> and BSS Container in the EPS Bearer Context (see Table 7.3.1-3 of </w:t>
      </w:r>
      <w:r w:rsidR="00972E70" w:rsidRPr="00873B6C">
        <w:t>TS 29.274 [</w:t>
      </w:r>
      <w:r w:rsidR="0010039C" w:rsidRPr="00873B6C">
        <w:t>101])</w:t>
      </w:r>
      <w:r w:rsidRPr="00873B6C">
        <w:t>, if there is any, of the EPS bearer to the SMF (V-SMF / I-SMF) via the AMF in the Bearer Context within the PDN Connection IE in the Forward Relocation Request and Context Response messages (</w:t>
      </w:r>
      <w:r w:rsidR="00972E70" w:rsidRPr="00873B6C">
        <w:t>TS 29.274 [</w:t>
      </w:r>
      <w:r w:rsidRPr="00873B6C">
        <w:t>101]); the SMF (V-SMF / I-SMF) should store the TI</w:t>
      </w:r>
      <w:r w:rsidR="0010039C" w:rsidRPr="00873B6C">
        <w:t xml:space="preserve"> and BSS Container</w:t>
      </w:r>
      <w:r w:rsidRPr="00873B6C">
        <w:t xml:space="preserve"> and the SMF (V-SMF / I-SMF) should provide the TI</w:t>
      </w:r>
      <w:r w:rsidR="0010039C" w:rsidRPr="00873B6C">
        <w:t xml:space="preserve"> and BSS Container</w:t>
      </w:r>
      <w:r w:rsidRPr="00873B6C">
        <w:t xml:space="preserve"> to the AMF (as part of a procedure to deliver SM context to AMF) so that the AMF sends the TI</w:t>
      </w:r>
      <w:r w:rsidR="0010039C" w:rsidRPr="00873B6C">
        <w:t xml:space="preserve"> and BSS Container</w:t>
      </w:r>
      <w:r w:rsidRPr="00873B6C">
        <w:t xml:space="preserve"> of the related EPS bearer in the Bearer Context within the EPS PDN Connection information in any subsequent Forward Relocation Request and Context Response message sent to an MME.</w:t>
      </w:r>
    </w:p>
    <w:p w14:paraId="108C595F" w14:textId="22A44A17" w:rsidR="00182EE7" w:rsidRPr="00873B6C" w:rsidRDefault="00182EE7" w:rsidP="00562E84">
      <w:pPr>
        <w:pStyle w:val="NO"/>
      </w:pPr>
      <w:r w:rsidRPr="00873B6C">
        <w:t>NOTE 3:</w:t>
      </w:r>
      <w:r w:rsidRPr="00873B6C">
        <w:tab/>
        <w:t>At mobility from EPC, the SMF+PGW-C / V-SMF / I-SMF receives the TI</w:t>
      </w:r>
      <w:r w:rsidR="0010039C" w:rsidRPr="00873B6C">
        <w:t xml:space="preserve"> and BSS Container</w:t>
      </w:r>
      <w:r w:rsidRPr="00873B6C">
        <w:t xml:space="preserve"> as part of the UE EPS PDN Connection information from the AMF and stores the TI. At mobility to EPC, the SMF+PGW-C / V-SMF / I-SMF provides the AMF with the TI</w:t>
      </w:r>
      <w:r w:rsidR="0010039C" w:rsidRPr="00873B6C">
        <w:t xml:space="preserve"> and BSS Container</w:t>
      </w:r>
      <w:r w:rsidRPr="00873B6C">
        <w:t xml:space="preserve"> as part of the UE EPS PDN Connection information. The SMF+PGW-C / V-SMF / I-SMF is not meant to understand the TI</w:t>
      </w:r>
      <w:r w:rsidR="0010039C" w:rsidRPr="00873B6C">
        <w:t>/BSS Container</w:t>
      </w:r>
      <w:r w:rsidRPr="00873B6C">
        <w:t xml:space="preserve"> nor to use it for any other purpose than providing it back to AMF.</w:t>
      </w:r>
    </w:p>
    <w:p w14:paraId="7BF81C9D" w14:textId="77777777" w:rsidR="00CD22D1" w:rsidRPr="00873B6C" w:rsidRDefault="00CD22D1" w:rsidP="00CD22D1">
      <w:r w:rsidRPr="00873B6C">
        <w:t>GERAN/UTRAN Mobility Management Bearer Synchronisation procedures will release any dedicated QoS Flows established in 5GS and then the SMF+PGW-C deletes the PCC rule(s) associated with those QoS Flows and informs the PCF about the removed PCC rule(s) as described in clause 4.11 of TS 23.502 [3].</w:t>
      </w:r>
    </w:p>
    <w:p w14:paraId="163CF376" w14:textId="1BF193BA" w:rsidR="00CD22D1" w:rsidRPr="00873B6C" w:rsidRDefault="00CD22D1" w:rsidP="00CD22D1">
      <w:r w:rsidRPr="00873B6C">
        <w:t>When the UE accesses the network via GERAN/UTRAN over Gn/Gp interface, Secondary PDP Context Activation Procedure is not supported and the SMF+PGW-C rejects the Secondary PDP Context Activation request if UE requested it.</w:t>
      </w:r>
    </w:p>
    <w:p w14:paraId="76BC823A" w14:textId="48C12C73" w:rsidR="00182EE7" w:rsidRPr="00873B6C" w:rsidRDefault="00182EE7" w:rsidP="00D40151">
      <w:r w:rsidRPr="00873B6C">
        <w:lastRenderedPageBreak/>
        <w:t>IP address preservation at mobility from EPC to GERAN/UTRAN for PDU sessions established in 5GS is not supported.</w:t>
      </w:r>
    </w:p>
    <w:p w14:paraId="63EADFB8" w14:textId="77777777" w:rsidR="006E7E83" w:rsidRPr="00873B6C" w:rsidRDefault="00D40151" w:rsidP="00D40151">
      <w:r w:rsidRPr="00873B6C">
        <w:t>With regard to interworking between 5GS and the Circuit Switched domain when the GERAN or UTRAN network is operating in NMO II (i.e. no Gs interface between MSC and SGSN):</w:t>
      </w:r>
    </w:p>
    <w:p w14:paraId="0E675DE6" w14:textId="20D4CFB8" w:rsidR="00D40151" w:rsidRPr="00873B6C" w:rsidRDefault="006E7E83" w:rsidP="0073598F">
      <w:pPr>
        <w:pStyle w:val="B1"/>
      </w:pPr>
      <w:r w:rsidRPr="00873B6C">
        <w:t>-</w:t>
      </w:r>
      <w:r w:rsidRPr="00873B6C">
        <w:tab/>
      </w:r>
      <w:r w:rsidR="00D40151" w:rsidRPr="00873B6C">
        <w:t>upon mobility from 5GS to GERAN/UTRAN, the UE shall either:</w:t>
      </w:r>
    </w:p>
    <w:p w14:paraId="2E89FE72" w14:textId="77777777" w:rsidR="00D40151" w:rsidRPr="00873B6C" w:rsidRDefault="00D40151" w:rsidP="0073598F">
      <w:pPr>
        <w:pStyle w:val="B2"/>
      </w:pPr>
      <w:r w:rsidRPr="00873B6C">
        <w:t>-</w:t>
      </w:r>
      <w:r w:rsidRPr="00873B6C">
        <w:tab/>
        <w:t>act as if it is returning after a loss of GERAN/UTRAN coverage (and e.g. only perform a periodic LAU if the periodic LAU timer has expired), or,</w:t>
      </w:r>
    </w:p>
    <w:p w14:paraId="7EF33699" w14:textId="74BD567E" w:rsidR="00D40151" w:rsidRPr="00873B6C" w:rsidRDefault="00D40151" w:rsidP="0073598F">
      <w:pPr>
        <w:pStyle w:val="B2"/>
      </w:pPr>
      <w:r w:rsidRPr="00873B6C">
        <w:t>-</w:t>
      </w:r>
      <w:r w:rsidRPr="00873B6C">
        <w:tab/>
        <w:t>perform a Location Update to the MSC.</w:t>
      </w:r>
      <w:r w:rsidR="006E7E83" w:rsidRPr="00873B6C">
        <w:t xml:space="preserve"> If the UE is registered for IMS voice and is configured, using Device Management or initial provisioning, to perform additional mobility management procedures when it has moved from a RAT that supports IMS voice over PS sessions to one that does not (see </w:t>
      </w:r>
      <w:r w:rsidR="00972E70" w:rsidRPr="00873B6C">
        <w:t>TS 23.060 [</w:t>
      </w:r>
      <w:r w:rsidR="006E7E83" w:rsidRPr="00873B6C">
        <w:t>56]), it shall follow this option.</w:t>
      </w:r>
    </w:p>
    <w:p w14:paraId="53828DF5" w14:textId="66397452" w:rsidR="00D40151" w:rsidRPr="00873B6C" w:rsidRDefault="00D40151" w:rsidP="00D40151">
      <w:pPr>
        <w:rPr>
          <w:lang w:eastAsia="zh-CN"/>
        </w:rPr>
      </w:pPr>
      <w:r w:rsidRPr="00873B6C">
        <w:t xml:space="preserve">Upon mobility from GERAN/UTRAN to 5GS (e.g. upon selecting an NG-RAN cell) the UE shall perform the Registration procedure of "initial registration" type as described in </w:t>
      </w:r>
      <w:r w:rsidR="00972E70" w:rsidRPr="00873B6C">
        <w:rPr>
          <w:lang w:eastAsia="zh-CN"/>
        </w:rPr>
        <w:t>TS 23.502 [</w:t>
      </w:r>
      <w:r w:rsidRPr="00873B6C">
        <w:rPr>
          <w:lang w:eastAsia="zh-CN"/>
        </w:rPr>
        <w:t>3]. The UE shall indicate a 5G-GUTI as UE identity in the Registration procedure if it has a stored valid native 5G-GUTI (e.g. from an earlier registration in the 5G System). Otherwise the UE shall indicate a SUCI.</w:t>
      </w:r>
    </w:p>
    <w:p w14:paraId="528CCBF1" w14:textId="4D57F690" w:rsidR="00D40151" w:rsidRPr="00873B6C" w:rsidRDefault="00D40151" w:rsidP="00D40151">
      <w:r w:rsidRPr="00873B6C">
        <w:t xml:space="preserve">If a UE in MICO mode moves to GERAN/UTRAN and any of the triggers defined in clause 5.4.1.3 occur, then the UE shall locally disable MICO mode and perform the A/Gb mode GPRS Attach procedure or Iu mode GPRS Attach procedure (see </w:t>
      </w:r>
      <w:r w:rsidR="00972E70" w:rsidRPr="00873B6C">
        <w:t>TS 23.060 [</w:t>
      </w:r>
      <w:r w:rsidRPr="00873B6C">
        <w:t>56]). The UE can renegotiate MICO when it returns to 5GS during (re-)registration procedure.</w:t>
      </w:r>
    </w:p>
    <w:p w14:paraId="7E78B184" w14:textId="77777777" w:rsidR="00D40151" w:rsidRPr="00873B6C" w:rsidRDefault="00D40151" w:rsidP="00D40151">
      <w:r w:rsidRPr="00873B6C">
        <w:t>In Single Registration mode, expiry of the periodic RAU timer, or, the periodic LAU timer shall not cause the UE to change RAT.</w:t>
      </w:r>
    </w:p>
    <w:p w14:paraId="773F1467" w14:textId="0CEA9C52" w:rsidR="00D40151" w:rsidRPr="00873B6C" w:rsidRDefault="00D40151" w:rsidP="00D40151">
      <w:r w:rsidRPr="00873B6C">
        <w:t xml:space="preserve">The 5G SRVCC from NG-RAN to UTRAN is specified in the </w:t>
      </w:r>
      <w:r w:rsidR="00972E70" w:rsidRPr="00873B6C">
        <w:t>TS 23.216 [</w:t>
      </w:r>
      <w:r w:rsidRPr="00873B6C">
        <w:t>88]. After the 5G SRVCC to UTRAN, all the PDU sessions of the UE are released.</w:t>
      </w:r>
    </w:p>
    <w:p w14:paraId="1E84A6A2" w14:textId="336F100D" w:rsidR="0069561D" w:rsidRPr="00873B6C" w:rsidRDefault="0069561D" w:rsidP="0069561D">
      <w:pPr>
        <w:pStyle w:val="Heading4"/>
      </w:pPr>
      <w:bookmarkStart w:id="3248" w:name="_CR5_17_2_5"/>
      <w:bookmarkStart w:id="3249" w:name="_Toc20149982"/>
      <w:bookmarkStart w:id="3250" w:name="_Toc27846781"/>
      <w:bookmarkStart w:id="3251" w:name="_Toc36187912"/>
      <w:bookmarkStart w:id="3252" w:name="_Toc45183816"/>
      <w:bookmarkStart w:id="3253" w:name="_Toc47342658"/>
      <w:bookmarkStart w:id="3254" w:name="_Toc51769359"/>
      <w:bookmarkStart w:id="3255" w:name="_Toc201157369"/>
      <w:bookmarkEnd w:id="3248"/>
      <w:r w:rsidRPr="00873B6C">
        <w:t>5.17.2.5</w:t>
      </w:r>
      <w:r w:rsidRPr="00873B6C">
        <w:tab/>
        <w:t>Secondary DN authentication and authorization in EPS Interworking case</w:t>
      </w:r>
      <w:bookmarkEnd w:id="3255"/>
    </w:p>
    <w:p w14:paraId="27CB962C" w14:textId="77777777" w:rsidR="0069561D" w:rsidRPr="00873B6C" w:rsidRDefault="0069561D" w:rsidP="00695DF1">
      <w:r w:rsidRPr="00873B6C">
        <w:t>Secondary authentication/authorization by a DN-AAA server during the establishment of a PDN connection over 3GPP access to EPC, is supported based on following principles:</w:t>
      </w:r>
    </w:p>
    <w:p w14:paraId="7960346A" w14:textId="77777777" w:rsidR="0069561D" w:rsidRPr="00873B6C" w:rsidRDefault="0069561D" w:rsidP="0069561D">
      <w:pPr>
        <w:pStyle w:val="B1"/>
      </w:pPr>
      <w:r w:rsidRPr="00873B6C">
        <w:t>-</w:t>
      </w:r>
      <w:r w:rsidRPr="00873B6C">
        <w:tab/>
        <w:t>It is optional for the UE to support EAP-based secondary authentication and authorization by DN-AAA over EPC,</w:t>
      </w:r>
    </w:p>
    <w:p w14:paraId="5CDFC8B5" w14:textId="77777777" w:rsidR="0069561D" w:rsidRPr="00873B6C" w:rsidRDefault="0069561D" w:rsidP="0069561D">
      <w:pPr>
        <w:pStyle w:val="B1"/>
      </w:pPr>
      <w:r w:rsidRPr="00873B6C">
        <w:t>-</w:t>
      </w:r>
      <w:r w:rsidRPr="00873B6C">
        <w:tab/>
        <w:t>A SMF+PGW-C shall be used to serve DNN(s) requiring secondary authentication/authorization by a DN-AAA server,</w:t>
      </w:r>
    </w:p>
    <w:p w14:paraId="5FE0FB42" w14:textId="77777777" w:rsidR="0069561D" w:rsidRPr="00873B6C" w:rsidRDefault="0069561D" w:rsidP="0069561D">
      <w:pPr>
        <w:pStyle w:val="B1"/>
      </w:pPr>
      <w:r w:rsidRPr="00873B6C">
        <w:t>-</w:t>
      </w:r>
      <w:r w:rsidRPr="00873B6C">
        <w:tab/>
        <w:t>For secondary authentication/authorization by a DN-AAA server, the SMF+PGW-C runs the same procedures with PCF, UDM and DN-AAA and uses the same corresponding interfaces regardless of whether the UE is served by EPS or 5GS,</w:t>
      </w:r>
    </w:p>
    <w:p w14:paraId="7A95E6E5" w14:textId="77777777" w:rsidR="0069561D" w:rsidRPr="00873B6C" w:rsidRDefault="0069561D" w:rsidP="0069561D">
      <w:pPr>
        <w:pStyle w:val="B1"/>
      </w:pPr>
      <w:r w:rsidRPr="00873B6C">
        <w:t>-</w:t>
      </w:r>
      <w:r w:rsidRPr="00873B6C">
        <w:tab/>
        <w:t>The interface towards the UE is different (usage of NAS for EPS instead of NAS for 5GS) between the EPS and 5GS cases.</w:t>
      </w:r>
    </w:p>
    <w:p w14:paraId="26816BCF" w14:textId="5D237BA7" w:rsidR="0069561D" w:rsidRPr="00873B6C" w:rsidRDefault="0069561D" w:rsidP="00695DF1">
      <w:r w:rsidRPr="00873B6C">
        <w:t xml:space="preserve">This is further specified in Annex H of </w:t>
      </w:r>
      <w:r w:rsidR="00972E70" w:rsidRPr="00873B6C">
        <w:t>TS 23.502 [</w:t>
      </w:r>
      <w:r w:rsidR="00695DF1" w:rsidRPr="00873B6C">
        <w:t>3</w:t>
      </w:r>
      <w:r w:rsidRPr="00873B6C">
        <w:t>].</w:t>
      </w:r>
    </w:p>
    <w:p w14:paraId="143F6D2A" w14:textId="4C9CD98E" w:rsidR="0069561D" w:rsidRPr="00873B6C" w:rsidRDefault="0069561D" w:rsidP="00695DF1">
      <w:r w:rsidRPr="00873B6C">
        <w:t>In this Release, EAP based Secondary authentication by a DN-AAA server during the establishment of a PDN connection over non-3GPP access to EPC is not supported.</w:t>
      </w:r>
    </w:p>
    <w:p w14:paraId="49FEB292" w14:textId="2A83D4BA" w:rsidR="00D40151" w:rsidRPr="00873B6C" w:rsidRDefault="00D40151" w:rsidP="00D40151">
      <w:pPr>
        <w:pStyle w:val="Heading3"/>
      </w:pPr>
      <w:bookmarkStart w:id="3256" w:name="_CR5_17_3"/>
      <w:bookmarkStart w:id="3257" w:name="_Toc201157370"/>
      <w:bookmarkEnd w:id="3256"/>
      <w:r w:rsidRPr="00873B6C">
        <w:t>5.17.3</w:t>
      </w:r>
      <w:r w:rsidRPr="00873B6C">
        <w:tab/>
        <w:t>Interworking with EPC in presence of Non-3GPP PDU Sessions</w:t>
      </w:r>
      <w:bookmarkEnd w:id="3249"/>
      <w:bookmarkEnd w:id="3250"/>
      <w:bookmarkEnd w:id="3251"/>
      <w:bookmarkEnd w:id="3252"/>
      <w:bookmarkEnd w:id="3253"/>
      <w:bookmarkEnd w:id="3254"/>
      <w:bookmarkEnd w:id="3257"/>
    </w:p>
    <w:p w14:paraId="4B156E52" w14:textId="77777777" w:rsidR="00D40151" w:rsidRPr="00873B6C" w:rsidRDefault="00D40151" w:rsidP="00D40151">
      <w:pPr>
        <w:rPr>
          <w:rFonts w:eastAsia="MS Mincho"/>
        </w:rPr>
      </w:pPr>
      <w:r w:rsidRPr="00873B6C">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873B6C" w:rsidRDefault="00D40151" w:rsidP="00D40151">
      <w:pPr>
        <w:pStyle w:val="B1"/>
      </w:pPr>
      <w:r w:rsidRPr="00873B6C">
        <w:t>-</w:t>
      </w:r>
      <w:r w:rsidRPr="00873B6C">
        <w:tab/>
        <w:t>keep PDU Sessions associated with non-3GPP access in 5GS (5GC+N3IWF or TNGF) (i.e. the UE is then registered both in EPS and, for non-3GPP access, in 5GS); or</w:t>
      </w:r>
    </w:p>
    <w:p w14:paraId="04A1FCC3" w14:textId="77777777" w:rsidR="00D40151" w:rsidRPr="00873B6C" w:rsidRDefault="00D40151" w:rsidP="00D40151">
      <w:pPr>
        <w:pStyle w:val="B1"/>
      </w:pPr>
      <w:r w:rsidRPr="00873B6C">
        <w:lastRenderedPageBreak/>
        <w:t>-</w:t>
      </w:r>
      <w:r w:rsidRPr="00873B6C">
        <w:tab/>
        <w:t>locally or explicitly release PDU Sessions associated with non-3GPP access; or</w:t>
      </w:r>
    </w:p>
    <w:p w14:paraId="556A758B" w14:textId="1FFEF76E" w:rsidR="00D40151" w:rsidRPr="00873B6C" w:rsidRDefault="00D40151" w:rsidP="00D40151">
      <w:pPr>
        <w:pStyle w:val="B1"/>
      </w:pPr>
      <w:r w:rsidRPr="00873B6C">
        <w:t>-</w:t>
      </w:r>
      <w:r w:rsidRPr="00873B6C">
        <w:tab/>
        <w:t xml:space="preserve">once in EPS, transfer PDU Sessions associated with non-3GPP access to E-UTRAN by triggering PDN connection establishment with Request Type "Handover", as specified in </w:t>
      </w:r>
      <w:r w:rsidR="00972E70" w:rsidRPr="00873B6C">
        <w:t>TS 23.401 [</w:t>
      </w:r>
      <w:r w:rsidRPr="00873B6C">
        <w:t>26].</w:t>
      </w:r>
    </w:p>
    <w:p w14:paraId="702C31E1" w14:textId="77777777" w:rsidR="00D40151" w:rsidRPr="00873B6C" w:rsidRDefault="00D40151" w:rsidP="00D40151">
      <w:pPr>
        <w:pStyle w:val="Heading3"/>
      </w:pPr>
      <w:bookmarkStart w:id="3258" w:name="_CR5_17_4"/>
      <w:bookmarkStart w:id="3259" w:name="_Toc20149983"/>
      <w:bookmarkStart w:id="3260" w:name="_Toc27846782"/>
      <w:bookmarkStart w:id="3261" w:name="_Toc36187913"/>
      <w:bookmarkStart w:id="3262" w:name="_Toc45183817"/>
      <w:bookmarkStart w:id="3263" w:name="_Toc47342659"/>
      <w:bookmarkStart w:id="3264" w:name="_Toc51769360"/>
      <w:bookmarkStart w:id="3265" w:name="_Toc201157371"/>
      <w:bookmarkEnd w:id="3258"/>
      <w:r w:rsidRPr="00873B6C">
        <w:t>5.17.4</w:t>
      </w:r>
      <w:r w:rsidRPr="00873B6C">
        <w:tab/>
        <w:t>Network sharing support and interworking between EPS and 5GS</w:t>
      </w:r>
      <w:bookmarkEnd w:id="3259"/>
      <w:bookmarkEnd w:id="3260"/>
      <w:bookmarkEnd w:id="3261"/>
      <w:bookmarkEnd w:id="3262"/>
      <w:bookmarkEnd w:id="3263"/>
      <w:bookmarkEnd w:id="3264"/>
      <w:bookmarkEnd w:id="3265"/>
    </w:p>
    <w:p w14:paraId="6A828384" w14:textId="664A8CD6" w:rsidR="00D40151" w:rsidRPr="00873B6C" w:rsidRDefault="00D40151" w:rsidP="00D40151">
      <w:r w:rsidRPr="00873B6C">
        <w:t xml:space="preserve">The detailed description for supporting network sharing and interworking between EPS and 5GS is described in clauses 4.11.1.2.1, 4.11.1.2.2, 4.11.1.3.2 and 4.11.1.3.3 of </w:t>
      </w:r>
      <w:r w:rsidR="00972E70" w:rsidRPr="00873B6C">
        <w:t>TS 23.502 [</w:t>
      </w:r>
      <w:r w:rsidRPr="00873B6C">
        <w:t>3].</w:t>
      </w:r>
    </w:p>
    <w:p w14:paraId="2BFC45AE" w14:textId="77777777" w:rsidR="00D40151" w:rsidRPr="00873B6C" w:rsidRDefault="00D40151" w:rsidP="00D40151">
      <w:pPr>
        <w:pStyle w:val="Heading3"/>
      </w:pPr>
      <w:bookmarkStart w:id="3266" w:name="_CR5_17_5"/>
      <w:bookmarkStart w:id="3267" w:name="_Toc20149984"/>
      <w:bookmarkStart w:id="3268" w:name="_Toc27846783"/>
      <w:bookmarkStart w:id="3269" w:name="_Toc36187914"/>
      <w:bookmarkStart w:id="3270" w:name="_Toc45183818"/>
      <w:bookmarkStart w:id="3271" w:name="_Toc47342660"/>
      <w:bookmarkStart w:id="3272" w:name="_Toc51769361"/>
      <w:bookmarkStart w:id="3273" w:name="_Toc201157372"/>
      <w:bookmarkEnd w:id="3266"/>
      <w:r w:rsidRPr="00873B6C">
        <w:t>5.17.5</w:t>
      </w:r>
      <w:r w:rsidRPr="00873B6C">
        <w:tab/>
        <w:t>Service Exposure in Interworking Scenarios</w:t>
      </w:r>
      <w:bookmarkEnd w:id="3267"/>
      <w:bookmarkEnd w:id="3268"/>
      <w:bookmarkEnd w:id="3269"/>
      <w:bookmarkEnd w:id="3270"/>
      <w:bookmarkEnd w:id="3271"/>
      <w:bookmarkEnd w:id="3272"/>
      <w:bookmarkEnd w:id="3273"/>
    </w:p>
    <w:p w14:paraId="0809FF2D" w14:textId="77777777" w:rsidR="00D40151" w:rsidRPr="00873B6C" w:rsidRDefault="00D40151" w:rsidP="00D40151">
      <w:pPr>
        <w:pStyle w:val="Heading4"/>
      </w:pPr>
      <w:bookmarkStart w:id="3274" w:name="_CR5_17_5_1"/>
      <w:bookmarkStart w:id="3275" w:name="_Toc20149985"/>
      <w:bookmarkStart w:id="3276" w:name="_Toc27846784"/>
      <w:bookmarkStart w:id="3277" w:name="_Toc36187915"/>
      <w:bookmarkStart w:id="3278" w:name="_Toc45183819"/>
      <w:bookmarkStart w:id="3279" w:name="_Toc47342661"/>
      <w:bookmarkStart w:id="3280" w:name="_Toc51769362"/>
      <w:bookmarkStart w:id="3281" w:name="_Toc201157373"/>
      <w:bookmarkEnd w:id="3274"/>
      <w:r w:rsidRPr="00873B6C">
        <w:t>5.17.5.1</w:t>
      </w:r>
      <w:r w:rsidRPr="00873B6C">
        <w:tab/>
        <w:t>General</w:t>
      </w:r>
      <w:bookmarkEnd w:id="3275"/>
      <w:bookmarkEnd w:id="3276"/>
      <w:bookmarkEnd w:id="3277"/>
      <w:bookmarkEnd w:id="3278"/>
      <w:bookmarkEnd w:id="3279"/>
      <w:bookmarkEnd w:id="3280"/>
      <w:bookmarkEnd w:id="3281"/>
    </w:p>
    <w:p w14:paraId="028F2875" w14:textId="77777777" w:rsidR="00D40151" w:rsidRPr="00873B6C" w:rsidRDefault="00D40151" w:rsidP="00D40151">
      <w:r w:rsidRPr="00873B6C">
        <w:t>Clause 4.3.5 shows the Service Exposure Network Architecture in scenarios where for EPC-5GC Interworking is required.</w:t>
      </w:r>
    </w:p>
    <w:p w14:paraId="490FD271" w14:textId="77777777" w:rsidR="00D40151" w:rsidRPr="00873B6C" w:rsidRDefault="00D40151" w:rsidP="00D40151">
      <w:r w:rsidRPr="00873B6C">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873B6C" w:rsidRDefault="00D40151" w:rsidP="00D40151">
      <w:r w:rsidRPr="00873B6C">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873B6C" w:rsidRDefault="00D40151" w:rsidP="00D40151">
      <w:r w:rsidRPr="00873B6C">
        <w:t>For external exposure of services related to specific UE(s), the SCEF+NEF resides in the HPLMN. Depending on operator agreements, the SCEF+NEF in the HPLMN may have interface(s) with NF(s) in the VPLMN.</w:t>
      </w:r>
    </w:p>
    <w:p w14:paraId="60741702" w14:textId="0B8A17DE" w:rsidR="00D40151" w:rsidRPr="00873B6C" w:rsidRDefault="00D40151" w:rsidP="00D40151">
      <w:r w:rsidRPr="00873B6C">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972E70" w:rsidRPr="00873B6C">
        <w:t>TS 23.222 [</w:t>
      </w:r>
      <w:r w:rsidRPr="00873B6C">
        <w:t>64].</w:t>
      </w:r>
    </w:p>
    <w:p w14:paraId="60A38622" w14:textId="77777777" w:rsidR="00D40151" w:rsidRPr="00873B6C" w:rsidRDefault="00D40151" w:rsidP="00D40151">
      <w:r w:rsidRPr="00873B6C">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873B6C" w:rsidRDefault="00D40151" w:rsidP="00D40151">
      <w:pPr>
        <w:pStyle w:val="B1"/>
      </w:pPr>
      <w:r w:rsidRPr="00873B6C">
        <w:t>-</w:t>
      </w:r>
      <w:r w:rsidRPr="00873B6C">
        <w:tab/>
        <w:t>SCEF+NEF ID (must be the same towards the AF).</w:t>
      </w:r>
    </w:p>
    <w:p w14:paraId="33D3900E" w14:textId="77777777" w:rsidR="00D40151" w:rsidRPr="00873B6C" w:rsidRDefault="00D40151" w:rsidP="00D40151">
      <w:pPr>
        <w:pStyle w:val="B1"/>
      </w:pPr>
      <w:r w:rsidRPr="00873B6C">
        <w:t>-</w:t>
      </w:r>
      <w:r w:rsidRPr="00873B6C">
        <w:tab/>
        <w:t>SCEF+NEF common IP address and port number.</w:t>
      </w:r>
    </w:p>
    <w:p w14:paraId="564A27F3" w14:textId="77777777" w:rsidR="00D40151" w:rsidRPr="00873B6C" w:rsidRDefault="00D40151" w:rsidP="00D40151">
      <w:pPr>
        <w:pStyle w:val="B1"/>
      </w:pPr>
      <w:r w:rsidRPr="00873B6C">
        <w:t>-</w:t>
      </w:r>
      <w:r w:rsidRPr="00873B6C">
        <w:tab/>
        <w:t>Monitoring state for any ongoing monitoring request.</w:t>
      </w:r>
    </w:p>
    <w:p w14:paraId="75EB7E53" w14:textId="77777777" w:rsidR="00D40151" w:rsidRPr="00873B6C" w:rsidRDefault="00D40151" w:rsidP="00D40151">
      <w:pPr>
        <w:pStyle w:val="B1"/>
      </w:pPr>
      <w:r w:rsidRPr="00873B6C">
        <w:t>-</w:t>
      </w:r>
      <w:r w:rsidRPr="00873B6C">
        <w:tab/>
        <w:t>Configured set of APIs supported by SCEF+ NEF.</w:t>
      </w:r>
    </w:p>
    <w:p w14:paraId="665A2951" w14:textId="77777777" w:rsidR="00D40151" w:rsidRPr="00873B6C" w:rsidRDefault="00D40151" w:rsidP="00D40151">
      <w:pPr>
        <w:pStyle w:val="B1"/>
      </w:pPr>
      <w:r w:rsidRPr="00873B6C">
        <w:t>-</w:t>
      </w:r>
      <w:r w:rsidRPr="00873B6C">
        <w:tab/>
        <w:t>PDN Connection/PDU Session State and NIDD Configuration Information, including Reliable Data Service state information.</w:t>
      </w:r>
    </w:p>
    <w:p w14:paraId="2BEFE94F" w14:textId="77777777" w:rsidR="00D40151" w:rsidRPr="00873B6C" w:rsidRDefault="00D40151" w:rsidP="00D40151">
      <w:pPr>
        <w:pStyle w:val="B1"/>
      </w:pPr>
      <w:r w:rsidRPr="00873B6C">
        <w:t>-</w:t>
      </w:r>
      <w:r w:rsidRPr="00873B6C">
        <w:tab/>
        <w:t>Network Parameter Configuration Information (e.g. Maximum Response Time and Maximum Latency).</w:t>
      </w:r>
    </w:p>
    <w:p w14:paraId="2DD65038" w14:textId="77777777" w:rsidR="00D40151" w:rsidRPr="00873B6C" w:rsidRDefault="00D40151" w:rsidP="00D40151">
      <w:r w:rsidRPr="00873B6C">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583F88F5" w:rsidR="00D40151" w:rsidRPr="00873B6C" w:rsidRDefault="00D40151" w:rsidP="00D40151">
      <w:r w:rsidRPr="00873B6C">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972E70" w:rsidRPr="00873B6C">
        <w:t>TS 23.632 [</w:t>
      </w:r>
      <w:r w:rsidRPr="00873B6C">
        <w:t xml:space="preserve">102]. The UDM shall return an indication to SCEF+NEF of whether the configuration of the monitoring event in EPC was successful. In the case that the UDM reports that the configuration of a monitoring event </w:t>
      </w:r>
      <w:r w:rsidRPr="00873B6C">
        <w:lastRenderedPageBreak/>
        <w:t xml:space="preserve">was not possible in EPC, then the SCEF+NEF may configure the monitoring event using EPC procedures via the HSS as defined in </w:t>
      </w:r>
      <w:r w:rsidR="00972E70" w:rsidRPr="00873B6C">
        <w:t>TS 23.682 [</w:t>
      </w:r>
      <w:r w:rsidRPr="00873B6C">
        <w:t>36].</w:t>
      </w:r>
    </w:p>
    <w:p w14:paraId="7EB339FC" w14:textId="77777777" w:rsidR="00D40151" w:rsidRPr="00873B6C" w:rsidRDefault="00D40151" w:rsidP="00D40151">
      <w:pPr>
        <w:pStyle w:val="NO"/>
      </w:pPr>
      <w:r w:rsidRPr="00873B6C">
        <w:t>NOTE 1:</w:t>
      </w:r>
      <w:r w:rsidRPr="00873B6C">
        <w:tab/>
        <w:t>The SCEF+NEF uses only 5GC procedures to configure monitoring events in EPC and 5GC.</w:t>
      </w:r>
    </w:p>
    <w:p w14:paraId="3CC478E6" w14:textId="77777777" w:rsidR="00D40151" w:rsidRPr="00873B6C" w:rsidRDefault="00D40151" w:rsidP="00D40151">
      <w:pPr>
        <w:pStyle w:val="NO"/>
      </w:pPr>
      <w:r w:rsidRPr="00873B6C">
        <w:t>NOTE 2:</w:t>
      </w:r>
      <w:r w:rsidRPr="00873B6C">
        <w:tab/>
        <w:t>In terms of the CAPIF, the SCEF+NEF is considered a single node.</w:t>
      </w:r>
    </w:p>
    <w:p w14:paraId="585EEF3D" w14:textId="77777777" w:rsidR="00D40151" w:rsidRPr="00873B6C" w:rsidRDefault="00D40151" w:rsidP="00D40151">
      <w:pPr>
        <w:pStyle w:val="Heading4"/>
      </w:pPr>
      <w:bookmarkStart w:id="3282" w:name="_CR5_17_5_2"/>
      <w:bookmarkStart w:id="3283" w:name="_Toc20149986"/>
      <w:bookmarkStart w:id="3284" w:name="_Toc27846785"/>
      <w:bookmarkStart w:id="3285" w:name="_Toc36187916"/>
      <w:bookmarkStart w:id="3286" w:name="_Toc45183820"/>
      <w:bookmarkStart w:id="3287" w:name="_Toc47342662"/>
      <w:bookmarkStart w:id="3288" w:name="_Toc51769363"/>
      <w:bookmarkStart w:id="3289" w:name="_Toc201157374"/>
      <w:bookmarkEnd w:id="3282"/>
      <w:r w:rsidRPr="00873B6C">
        <w:t>5.17.5.2</w:t>
      </w:r>
      <w:r w:rsidRPr="00873B6C">
        <w:tab/>
        <w:t>Support of interworking for Monitoring Events</w:t>
      </w:r>
      <w:bookmarkEnd w:id="3283"/>
      <w:bookmarkEnd w:id="3284"/>
      <w:bookmarkEnd w:id="3285"/>
      <w:bookmarkEnd w:id="3286"/>
      <w:bookmarkEnd w:id="3287"/>
      <w:bookmarkEnd w:id="3288"/>
      <w:bookmarkEnd w:id="3289"/>
    </w:p>
    <w:p w14:paraId="4D0CCF46" w14:textId="77777777" w:rsidR="00D40151" w:rsidRPr="00873B6C" w:rsidRDefault="00D40151" w:rsidP="00D40151">
      <w:pPr>
        <w:pStyle w:val="Heading5"/>
      </w:pPr>
      <w:bookmarkStart w:id="3290" w:name="_CR5_17_5_2_1"/>
      <w:bookmarkStart w:id="3291" w:name="_Toc20149987"/>
      <w:bookmarkStart w:id="3292" w:name="_Toc27846786"/>
      <w:bookmarkStart w:id="3293" w:name="_Toc36187917"/>
      <w:bookmarkStart w:id="3294" w:name="_Toc45183821"/>
      <w:bookmarkStart w:id="3295" w:name="_Toc47342663"/>
      <w:bookmarkStart w:id="3296" w:name="_Toc51769364"/>
      <w:bookmarkStart w:id="3297" w:name="_Toc201157375"/>
      <w:bookmarkEnd w:id="3290"/>
      <w:r w:rsidRPr="00873B6C">
        <w:t>5.17.5.2.1</w:t>
      </w:r>
      <w:r w:rsidRPr="00873B6C">
        <w:tab/>
        <w:t>Interworking with N26 interface</w:t>
      </w:r>
      <w:bookmarkEnd w:id="3291"/>
      <w:bookmarkEnd w:id="3292"/>
      <w:bookmarkEnd w:id="3293"/>
      <w:bookmarkEnd w:id="3294"/>
      <w:bookmarkEnd w:id="3295"/>
      <w:bookmarkEnd w:id="3296"/>
      <w:bookmarkEnd w:id="3297"/>
    </w:p>
    <w:p w14:paraId="7F78A1A5" w14:textId="77777777" w:rsidR="00D40151" w:rsidRPr="00873B6C" w:rsidRDefault="00D40151" w:rsidP="00D40151">
      <w:pPr>
        <w:rPr>
          <w:lang w:eastAsia="x-none"/>
        </w:rPr>
      </w:pPr>
      <w:r w:rsidRPr="00873B6C">
        <w:rPr>
          <w:lang w:eastAsia="x-none"/>
        </w:rPr>
        <w:t>In addition to the interworking principles documented in clause 5.17.2.2, the following applies for interworking with N26:</w:t>
      </w:r>
    </w:p>
    <w:p w14:paraId="5B034258" w14:textId="2FF32F95" w:rsidR="00CD64F1" w:rsidRPr="00873B6C" w:rsidRDefault="00CD64F1" w:rsidP="00D40151">
      <w:pPr>
        <w:pStyle w:val="B1"/>
      </w:pPr>
      <w:r w:rsidRPr="00873B6C">
        <w:t>-</w:t>
      </w:r>
      <w:r w:rsidRPr="00873B6C">
        <w:tab/>
        <w:t>When UE moves from EPS to 5GS, when the AMF registers in UDM, if no event subscription via UDM is available, the AMF indicates the situation to the UDM</w:t>
      </w:r>
      <w:r w:rsidR="00472CD7" w:rsidRPr="00873B6C">
        <w:t xml:space="preserve"> and</w:t>
      </w:r>
      <w:r w:rsidRPr="00873B6C">
        <w:t xml:space="preserve"> in this case the UDM can decide if the event subscriptions should be provisioned, otherwise if the AMF has event subscription information, after the registration procedure is completed, the AMF may inform the UDM of the currently subscribed events</w:t>
      </w:r>
      <w:r w:rsidR="00472CD7" w:rsidRPr="00873B6C">
        <w:t xml:space="preserve"> and</w:t>
      </w:r>
      <w:r w:rsidRPr="00873B6C">
        <w:t xml:space="preserve"> UDM will do synchronization if needed.</w:t>
      </w:r>
    </w:p>
    <w:p w14:paraId="639C75D3" w14:textId="30B6CAA1" w:rsidR="00CD64F1" w:rsidRPr="00873B6C" w:rsidRDefault="00CD64F1" w:rsidP="00D40151">
      <w:pPr>
        <w:pStyle w:val="B1"/>
      </w:pPr>
      <w:r w:rsidRPr="00873B6C">
        <w:t>-</w:t>
      </w:r>
      <w:r w:rsidRPr="00873B6C">
        <w:tab/>
        <w:t xml:space="preserve">When UE moves from 5GS to EPS, the MME gets monitoring event configuration from HSS during as part of mobility procedure as specified in clause 4.11.1.3.2 of </w:t>
      </w:r>
      <w:r w:rsidR="00972E70" w:rsidRPr="00873B6C">
        <w:t>TS 23.502 [</w:t>
      </w:r>
      <w:r w:rsidRPr="00873B6C">
        <w:t>3].</w:t>
      </w:r>
    </w:p>
    <w:p w14:paraId="377455F4" w14:textId="77777777" w:rsidR="00D40151" w:rsidRPr="00873B6C" w:rsidRDefault="00D40151" w:rsidP="00D40151">
      <w:pPr>
        <w:pStyle w:val="Heading5"/>
      </w:pPr>
      <w:bookmarkStart w:id="3298" w:name="_CR5_17_5_2_2"/>
      <w:bookmarkStart w:id="3299" w:name="_Toc20149988"/>
      <w:bookmarkStart w:id="3300" w:name="_Toc27846787"/>
      <w:bookmarkStart w:id="3301" w:name="_Toc36187918"/>
      <w:bookmarkStart w:id="3302" w:name="_Toc45183822"/>
      <w:bookmarkStart w:id="3303" w:name="_Toc47342664"/>
      <w:bookmarkStart w:id="3304" w:name="_Toc51769365"/>
      <w:bookmarkStart w:id="3305" w:name="_Toc201157376"/>
      <w:bookmarkEnd w:id="3298"/>
      <w:r w:rsidRPr="00873B6C">
        <w:t>5.17.5.2.2</w:t>
      </w:r>
      <w:r w:rsidRPr="00873B6C">
        <w:tab/>
        <w:t>Interworking without N26 interface</w:t>
      </w:r>
      <w:bookmarkEnd w:id="3299"/>
      <w:bookmarkEnd w:id="3300"/>
      <w:bookmarkEnd w:id="3301"/>
      <w:bookmarkEnd w:id="3302"/>
      <w:bookmarkEnd w:id="3303"/>
      <w:bookmarkEnd w:id="3304"/>
      <w:bookmarkEnd w:id="3305"/>
    </w:p>
    <w:p w14:paraId="09D2D2D5" w14:textId="77EEEBC6" w:rsidR="00CD64F1" w:rsidRPr="00873B6C" w:rsidRDefault="00CD64F1" w:rsidP="00D40151">
      <w:pPr>
        <w:rPr>
          <w:lang w:eastAsia="x-none"/>
        </w:rPr>
      </w:pPr>
      <w:r w:rsidRPr="00873B6C">
        <w:rPr>
          <w:lang w:eastAsia="x-none"/>
        </w:rPr>
        <w:t>In addition to the interworking principles documented in clause 5.17.2.3, the additional behaviour at EPS to 5GS mobility in clause 5.17.5.2.1 also applies.</w:t>
      </w:r>
    </w:p>
    <w:p w14:paraId="051242F1" w14:textId="5796FFE6" w:rsidR="00D40151" w:rsidRPr="00873B6C" w:rsidRDefault="00D40151" w:rsidP="00D40151">
      <w:pPr>
        <w:rPr>
          <w:lang w:eastAsia="x-none"/>
        </w:rPr>
      </w:pPr>
      <w:r w:rsidRPr="00873B6C">
        <w:rPr>
          <w:lang w:eastAsia="x-none"/>
        </w:rPr>
        <w:t xml:space="preserve">When SCEF+NEF performs the procedure of monitoring via the AMF as described in clause 4.15.3.2.4 ("Exposure with bulk subscription") in </w:t>
      </w:r>
      <w:r w:rsidR="00972E70" w:rsidRPr="00873B6C">
        <w:rPr>
          <w:lang w:eastAsia="x-none"/>
        </w:rPr>
        <w:t>TS 23.502 [</w:t>
      </w:r>
      <w:r w:rsidRPr="00873B6C">
        <w:rPr>
          <w:lang w:eastAsia="x-none"/>
        </w:rPr>
        <w:t>3], if the AMF determines the interworking without N26 interface is supported,</w:t>
      </w:r>
      <w:r w:rsidR="0054498C" w:rsidRPr="00873B6C">
        <w:rPr>
          <w:lang w:eastAsia="x-none"/>
        </w:rPr>
        <w:t xml:space="preserve"> during mobility from 5GS to EPS,</w:t>
      </w:r>
      <w:r w:rsidRPr="00873B6C">
        <w:rPr>
          <w:lang w:eastAsia="x-none"/>
        </w:rPr>
        <w:t xml:space="preserve"> the AMF shall subscribe</w:t>
      </w:r>
      <w:r w:rsidR="0054498C" w:rsidRPr="00873B6C">
        <w:rPr>
          <w:lang w:eastAsia="x-none"/>
        </w:rPr>
        <w:t xml:space="preserve"> on behalf of SCEF+NEF for UDM+HSS notification of</w:t>
      </w:r>
      <w:r w:rsidRPr="00873B6C">
        <w:rPr>
          <w:lang w:eastAsia="x-none"/>
        </w:rPr>
        <w:t xml:space="preserve"> MME ID as described in clause 7.1.2</w:t>
      </w:r>
      <w:r w:rsidR="0054498C" w:rsidRPr="00873B6C">
        <w:rPr>
          <w:lang w:eastAsia="x-none"/>
        </w:rPr>
        <w:t xml:space="preserve"> to trigger the SCEF+NEF to configure the monitoring request to the new MME</w:t>
      </w:r>
      <w:r w:rsidRPr="00873B6C">
        <w:rPr>
          <w:lang w:eastAsia="x-none"/>
        </w:rPr>
        <w:t xml:space="preserve">.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972E70" w:rsidRPr="00873B6C">
        <w:rPr>
          <w:lang w:eastAsia="x-none"/>
        </w:rPr>
        <w:t>TS 23.682 [</w:t>
      </w:r>
      <w:r w:rsidRPr="00873B6C">
        <w:rPr>
          <w:lang w:eastAsia="x-none"/>
        </w:rPr>
        <w:t>36].</w:t>
      </w:r>
    </w:p>
    <w:p w14:paraId="289ECE1A" w14:textId="16129358" w:rsidR="00D40151" w:rsidRPr="00873B6C" w:rsidRDefault="00D40151" w:rsidP="00D40151">
      <w:pPr>
        <w:rPr>
          <w:lang w:eastAsia="x-none"/>
        </w:rPr>
      </w:pPr>
      <w:r w:rsidRPr="00873B6C">
        <w:rPr>
          <w:lang w:eastAsia="x-none"/>
        </w:rPr>
        <w:t xml:space="preserve">When SCEF+NEF performs the procedure of monitoring via the UDM+HSS as described in clause 4.15.3.2.2 of </w:t>
      </w:r>
      <w:r w:rsidR="00972E70" w:rsidRPr="00873B6C">
        <w:rPr>
          <w:lang w:eastAsia="x-none"/>
        </w:rPr>
        <w:t>TS 23.502 [</w:t>
      </w:r>
      <w:r w:rsidRPr="00873B6C">
        <w:rPr>
          <w:lang w:eastAsia="x-none"/>
        </w:rPr>
        <w:t xml:space="preserve">3], when UE's mobility between 5GS and EPS happens, the UDM+HSS performs the procedure of configuring monitoring at the MME as described in clause 5.6.1.1 of </w:t>
      </w:r>
      <w:r w:rsidR="00972E70" w:rsidRPr="00873B6C">
        <w:rPr>
          <w:lang w:eastAsia="x-none"/>
        </w:rPr>
        <w:t>TS 23.682 [</w:t>
      </w:r>
      <w:r w:rsidRPr="00873B6C">
        <w:rPr>
          <w:lang w:eastAsia="x-none"/>
        </w:rPr>
        <w:t xml:space="preserve">36] and at the AMF as described in clause 4.15.3.2.1 of </w:t>
      </w:r>
      <w:r w:rsidR="00972E70" w:rsidRPr="00873B6C">
        <w:rPr>
          <w:lang w:eastAsia="x-none"/>
        </w:rPr>
        <w:t>TS 23.502 [</w:t>
      </w:r>
      <w:r w:rsidRPr="00873B6C">
        <w:rPr>
          <w:lang w:eastAsia="x-none"/>
        </w:rPr>
        <w:t>3].</w:t>
      </w:r>
    </w:p>
    <w:p w14:paraId="6F5577E9" w14:textId="77777777" w:rsidR="00D40151" w:rsidRPr="00873B6C" w:rsidRDefault="00D40151" w:rsidP="00D40151">
      <w:pPr>
        <w:pStyle w:val="Heading4"/>
      </w:pPr>
      <w:bookmarkStart w:id="3306" w:name="_CR5_17_5_3"/>
      <w:bookmarkStart w:id="3307" w:name="_Toc27846788"/>
      <w:bookmarkStart w:id="3308" w:name="_Toc36187919"/>
      <w:bookmarkStart w:id="3309" w:name="_Toc45183823"/>
      <w:bookmarkStart w:id="3310" w:name="_Toc47342665"/>
      <w:bookmarkStart w:id="3311" w:name="_Toc51769366"/>
      <w:bookmarkStart w:id="3312" w:name="_Toc20149989"/>
      <w:bookmarkStart w:id="3313" w:name="_Toc201157377"/>
      <w:bookmarkEnd w:id="3306"/>
      <w:r w:rsidRPr="00873B6C">
        <w:t>5.17.5.3</w:t>
      </w:r>
      <w:r w:rsidRPr="00873B6C">
        <w:tab/>
        <w:t>Availability or expected level of a service API</w:t>
      </w:r>
      <w:bookmarkEnd w:id="3307"/>
      <w:bookmarkEnd w:id="3308"/>
      <w:bookmarkEnd w:id="3309"/>
      <w:bookmarkEnd w:id="3310"/>
      <w:bookmarkEnd w:id="3311"/>
      <w:bookmarkEnd w:id="3313"/>
    </w:p>
    <w:p w14:paraId="3CE615E3" w14:textId="77777777" w:rsidR="00D40151" w:rsidRPr="00873B6C" w:rsidRDefault="00D40151" w:rsidP="00D40151">
      <w:pPr>
        <w:rPr>
          <w:lang w:eastAsia="x-none"/>
        </w:rPr>
      </w:pPr>
      <w:r w:rsidRPr="00873B6C">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873B6C" w:rsidRDefault="00D40151" w:rsidP="00D40151">
      <w:pPr>
        <w:pStyle w:val="NO"/>
      </w:pPr>
      <w:r w:rsidRPr="00873B6C">
        <w:t>NOTE 1:</w:t>
      </w:r>
      <w:r w:rsidRPr="00873B6C">
        <w:tab/>
        <w:t>If CAPIF is supported and the service APIs become (un)available for the 5GC or EPC network, the AF obtains such information from the CAPIF core function.</w:t>
      </w:r>
    </w:p>
    <w:p w14:paraId="49D01E48" w14:textId="7105135B" w:rsidR="00D40151" w:rsidRPr="00873B6C" w:rsidRDefault="00D40151" w:rsidP="00D40151">
      <w:pPr>
        <w:rPr>
          <w:lang w:eastAsia="x-none"/>
        </w:rPr>
      </w:pPr>
      <w:r w:rsidRPr="00873B6C">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w:t>
      </w:r>
      <w:r w:rsidR="00472CD7" w:rsidRPr="00873B6C">
        <w:rPr>
          <w:lang w:eastAsia="x-none"/>
        </w:rPr>
        <w:t xml:space="preserve"> and</w:t>
      </w:r>
      <w:r w:rsidRPr="00873B6C">
        <w:rPr>
          <w:lang w:eastAsia="x-none"/>
        </w:rPr>
        <w:t xml:space="preserve">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w:t>
      </w:r>
      <w:r w:rsidRPr="00873B6C">
        <w:rPr>
          <w:lang w:eastAsia="x-none"/>
        </w:rPr>
        <w:lastRenderedPageBreak/>
        <w:t>UE or Group of UEs to the HSS+UDM, otherwise, SCEF+NEF determines the CN type locally in the following conditions:</w:t>
      </w:r>
    </w:p>
    <w:p w14:paraId="5026996E" w14:textId="77777777" w:rsidR="00D40151" w:rsidRPr="00873B6C" w:rsidRDefault="00D40151" w:rsidP="00D40151">
      <w:pPr>
        <w:pStyle w:val="B1"/>
      </w:pPr>
      <w:r w:rsidRPr="00873B6C">
        <w:t>-</w:t>
      </w:r>
      <w:r w:rsidRPr="00873B6C">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873B6C" w:rsidRDefault="00D40151" w:rsidP="00D40151">
      <w:pPr>
        <w:pStyle w:val="B1"/>
      </w:pPr>
      <w:r w:rsidRPr="00873B6C">
        <w:t>-</w:t>
      </w:r>
      <w:r w:rsidRPr="00873B6C">
        <w:tab/>
        <w:t>The SCEF+NEF has established a direct connection with MME or AMF or SMF.</w:t>
      </w:r>
    </w:p>
    <w:p w14:paraId="64E25E90" w14:textId="77777777" w:rsidR="00D40151" w:rsidRPr="00873B6C" w:rsidRDefault="00D40151" w:rsidP="00D40151">
      <w:pPr>
        <w:rPr>
          <w:lang w:eastAsia="x-none"/>
        </w:rPr>
      </w:pPr>
      <w:r w:rsidRPr="00873B6C">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873B6C" w:rsidRDefault="00D40151" w:rsidP="00D40151">
      <w:pPr>
        <w:pStyle w:val="NO"/>
      </w:pPr>
      <w:r w:rsidRPr="00873B6C">
        <w:t>NOTE 2:</w:t>
      </w:r>
      <w:r w:rsidRPr="00873B6C">
        <w:tab/>
        <w:t>If 5GC+EPC is determined as the CN type serving the UE or the group of UEs, the SCEF+NEF determines that service APIs for both 5GC and EPC are available to the UE or the group of UEs.</w:t>
      </w:r>
    </w:p>
    <w:p w14:paraId="0E20BEC5" w14:textId="77777777" w:rsidR="00D40151" w:rsidRPr="00873B6C" w:rsidRDefault="00D40151" w:rsidP="00D40151">
      <w:pPr>
        <w:pStyle w:val="Heading3"/>
      </w:pPr>
      <w:bookmarkStart w:id="3314" w:name="_CR5_17_6"/>
      <w:bookmarkStart w:id="3315" w:name="_Toc27846789"/>
      <w:bookmarkStart w:id="3316" w:name="_Toc36187920"/>
      <w:bookmarkStart w:id="3317" w:name="_Toc45183824"/>
      <w:bookmarkStart w:id="3318" w:name="_Toc47342666"/>
      <w:bookmarkStart w:id="3319" w:name="_Toc51769367"/>
      <w:bookmarkStart w:id="3320" w:name="_Toc201157378"/>
      <w:bookmarkEnd w:id="3314"/>
      <w:r w:rsidRPr="00873B6C">
        <w:t>5.17.6</w:t>
      </w:r>
      <w:r w:rsidRPr="00873B6C">
        <w:tab/>
        <w:t>Void</w:t>
      </w:r>
      <w:bookmarkEnd w:id="3312"/>
      <w:bookmarkEnd w:id="3315"/>
      <w:bookmarkEnd w:id="3316"/>
      <w:bookmarkEnd w:id="3317"/>
      <w:bookmarkEnd w:id="3318"/>
      <w:bookmarkEnd w:id="3319"/>
      <w:bookmarkEnd w:id="3320"/>
    </w:p>
    <w:p w14:paraId="19433AB3" w14:textId="77777777" w:rsidR="00D40151" w:rsidRPr="00873B6C" w:rsidRDefault="00D40151" w:rsidP="00D40151">
      <w:pPr>
        <w:rPr>
          <w:lang w:eastAsia="x-none"/>
        </w:rPr>
      </w:pPr>
      <w:bookmarkStart w:id="3321" w:name="_Toc20149990"/>
    </w:p>
    <w:p w14:paraId="432FA22B" w14:textId="77777777" w:rsidR="00D40151" w:rsidRPr="00873B6C" w:rsidRDefault="00D40151" w:rsidP="00D40151">
      <w:pPr>
        <w:pStyle w:val="Heading3"/>
      </w:pPr>
      <w:bookmarkStart w:id="3322" w:name="_CR5_17_7"/>
      <w:bookmarkStart w:id="3323" w:name="_Toc20149991"/>
      <w:bookmarkStart w:id="3324" w:name="_Toc27846790"/>
      <w:bookmarkStart w:id="3325" w:name="_Toc36187921"/>
      <w:bookmarkStart w:id="3326" w:name="_Toc45183825"/>
      <w:bookmarkStart w:id="3327" w:name="_Toc47342667"/>
      <w:bookmarkStart w:id="3328" w:name="_Toc51769368"/>
      <w:bookmarkStart w:id="3329" w:name="_Toc201157379"/>
      <w:bookmarkEnd w:id="3321"/>
      <w:bookmarkEnd w:id="3322"/>
      <w:r w:rsidRPr="00873B6C">
        <w:t>5.17.7</w:t>
      </w:r>
      <w:r w:rsidRPr="00873B6C">
        <w:tab/>
        <w:t>Configuration Transfer Procedure between NG-RAN and E-UTRAN</w:t>
      </w:r>
      <w:bookmarkEnd w:id="3323"/>
      <w:bookmarkEnd w:id="3324"/>
      <w:bookmarkEnd w:id="3325"/>
      <w:bookmarkEnd w:id="3326"/>
      <w:bookmarkEnd w:id="3327"/>
      <w:bookmarkEnd w:id="3328"/>
      <w:bookmarkEnd w:id="3329"/>
    </w:p>
    <w:p w14:paraId="156D2DDB" w14:textId="77777777" w:rsidR="00D40151" w:rsidRPr="00873B6C" w:rsidRDefault="00D40151" w:rsidP="00D40151">
      <w:pPr>
        <w:pStyle w:val="Heading4"/>
      </w:pPr>
      <w:bookmarkStart w:id="3330" w:name="_CR5_17_7_1"/>
      <w:bookmarkStart w:id="3331" w:name="_Toc20149992"/>
      <w:bookmarkStart w:id="3332" w:name="_Toc27846791"/>
      <w:bookmarkStart w:id="3333" w:name="_Toc36187922"/>
      <w:bookmarkStart w:id="3334" w:name="_Toc45183826"/>
      <w:bookmarkStart w:id="3335" w:name="_Toc47342668"/>
      <w:bookmarkStart w:id="3336" w:name="_Toc51769369"/>
      <w:bookmarkStart w:id="3337" w:name="_Toc201157380"/>
      <w:bookmarkEnd w:id="3330"/>
      <w:r w:rsidRPr="00873B6C">
        <w:t>5.17.7.1</w:t>
      </w:r>
      <w:r w:rsidRPr="00873B6C">
        <w:tab/>
        <w:t>Architecture Principles for Configuration Transfer between NG-RAN and E-UTRAN</w:t>
      </w:r>
      <w:bookmarkEnd w:id="3331"/>
      <w:bookmarkEnd w:id="3332"/>
      <w:bookmarkEnd w:id="3333"/>
      <w:bookmarkEnd w:id="3334"/>
      <w:bookmarkEnd w:id="3335"/>
      <w:bookmarkEnd w:id="3336"/>
      <w:bookmarkEnd w:id="3337"/>
    </w:p>
    <w:p w14:paraId="1884E30F" w14:textId="7DEB55FF" w:rsidR="00D40151" w:rsidRPr="00873B6C" w:rsidRDefault="00D40151" w:rsidP="00D40151">
      <w:r w:rsidRPr="00873B6C">
        <w:t>The purpose of the Configuration Transfer between NG-RAN and E-UTRAN is to enable the transfer the RAN</w:t>
      </w:r>
      <w:r w:rsidR="0010576F" w:rsidRPr="00873B6C">
        <w:t xml:space="preserve"> configuration</w:t>
      </w:r>
      <w:r w:rsidRPr="00873B6C">
        <w:t xml:space="preserve"> information between the gNB and eNodeB via MME and AMF.</w:t>
      </w:r>
    </w:p>
    <w:p w14:paraId="3D076847" w14:textId="77777777" w:rsidR="00D40151" w:rsidRPr="00873B6C" w:rsidRDefault="00D40151" w:rsidP="00D40151">
      <w:r w:rsidRPr="00873B6C">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873B6C" w:rsidRDefault="00D40151" w:rsidP="00D40151">
      <w:pPr>
        <w:pStyle w:val="TH"/>
      </w:pPr>
      <w:r w:rsidRPr="00873B6C">
        <w:object w:dxaOrig="10830" w:dyaOrig="6060" w14:anchorId="6C0BFEBA">
          <v:shape id="_x0000_i1097" type="#_x0000_t75" style="width:479.6pt;height:266.7pt" o:ole="">
            <v:imagedata r:id="rId153" o:title=""/>
          </v:shape>
          <o:OLEObject Type="Embed" ProgID="Visio.Drawing.11" ShapeID="_x0000_i1097" DrawAspect="Content" ObjectID="_1811772431" r:id="rId154"/>
        </w:object>
      </w:r>
    </w:p>
    <w:p w14:paraId="68A0975C" w14:textId="77777777" w:rsidR="00D40151" w:rsidRPr="00873B6C" w:rsidRDefault="00D40151" w:rsidP="00D40151">
      <w:pPr>
        <w:pStyle w:val="TF"/>
      </w:pPr>
      <w:bookmarkStart w:id="3338" w:name="_CRFigure5_17_7_11"/>
      <w:r w:rsidRPr="00873B6C">
        <w:t xml:space="preserve">Figure </w:t>
      </w:r>
      <w:bookmarkEnd w:id="3338"/>
      <w:r w:rsidRPr="00873B6C">
        <w:t>5.17.7.1-1: Configuration Transfer between gNB and E-UTRAN basic network architecture</w:t>
      </w:r>
    </w:p>
    <w:p w14:paraId="73DB90C4" w14:textId="77777777" w:rsidR="00D40151" w:rsidRPr="00873B6C" w:rsidRDefault="00D40151" w:rsidP="00D40151">
      <w:r w:rsidRPr="00873B6C">
        <w:t>The NG-RAN transparent containers are transferred from the source NG-RAN node to the destination E-UTRAN node and vice versa by use of Configuration Transfer messages.</w:t>
      </w:r>
    </w:p>
    <w:p w14:paraId="494DA211" w14:textId="2DA2A371" w:rsidR="00D40151" w:rsidRPr="00873B6C" w:rsidRDefault="00D40151" w:rsidP="00D40151">
      <w:r w:rsidRPr="00873B6C">
        <w:t xml:space="preserve">An ENB Configuration Transfer message is used from the E-UTRAN node to the MME over S1 interface as described in </w:t>
      </w:r>
      <w:r w:rsidR="00972E70" w:rsidRPr="00873B6C">
        <w:t>TS 36.413 [</w:t>
      </w:r>
      <w:r w:rsidRPr="00873B6C">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11019DC7" w:rsidR="00D40151" w:rsidRPr="00873B6C" w:rsidRDefault="00D40151" w:rsidP="00D40151">
      <w:r w:rsidRPr="00873B6C">
        <w:t>A Configuration Transfer message is used by the gNB node to the AMF over N2 interface for the reply</w:t>
      </w:r>
      <w:r w:rsidR="00472CD7" w:rsidRPr="00873B6C">
        <w:t xml:space="preserve"> and</w:t>
      </w:r>
      <w:r w:rsidRPr="00873B6C">
        <w:t xml:space="preserve">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972E70" w:rsidRPr="00873B6C">
        <w:t>TS 23.401 [</w:t>
      </w:r>
      <w:r w:rsidRPr="00873B6C">
        <w:t>26].</w:t>
      </w:r>
    </w:p>
    <w:p w14:paraId="77F84CDC" w14:textId="77777777" w:rsidR="00D40151" w:rsidRPr="00873B6C" w:rsidRDefault="00D40151" w:rsidP="00D40151">
      <w:r w:rsidRPr="00873B6C">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873B6C" w:rsidRDefault="00D40151" w:rsidP="00D40151">
      <w:pPr>
        <w:pStyle w:val="Heading4"/>
      </w:pPr>
      <w:bookmarkStart w:id="3339" w:name="_CR5_17_7_2"/>
      <w:bookmarkStart w:id="3340" w:name="_Toc20149993"/>
      <w:bookmarkStart w:id="3341" w:name="_Toc27846792"/>
      <w:bookmarkStart w:id="3342" w:name="_Toc36187923"/>
      <w:bookmarkStart w:id="3343" w:name="_Toc45183827"/>
      <w:bookmarkStart w:id="3344" w:name="_Toc47342669"/>
      <w:bookmarkStart w:id="3345" w:name="_Toc51769370"/>
      <w:bookmarkStart w:id="3346" w:name="_Toc201157381"/>
      <w:bookmarkEnd w:id="3339"/>
      <w:r w:rsidRPr="00873B6C">
        <w:t>5.17.7.2</w:t>
      </w:r>
      <w:r w:rsidRPr="00873B6C">
        <w:tab/>
        <w:t>Addressing, routing and relaying</w:t>
      </w:r>
      <w:bookmarkEnd w:id="3340"/>
      <w:bookmarkEnd w:id="3341"/>
      <w:bookmarkEnd w:id="3342"/>
      <w:bookmarkEnd w:id="3343"/>
      <w:bookmarkEnd w:id="3344"/>
      <w:bookmarkEnd w:id="3345"/>
      <w:bookmarkEnd w:id="3346"/>
    </w:p>
    <w:p w14:paraId="02C9EB34" w14:textId="77777777" w:rsidR="00D40151" w:rsidRPr="00873B6C" w:rsidRDefault="00D40151" w:rsidP="00D40151">
      <w:pPr>
        <w:pStyle w:val="Heading5"/>
      </w:pPr>
      <w:bookmarkStart w:id="3347" w:name="_CR5_17_7_2_1"/>
      <w:bookmarkStart w:id="3348" w:name="_Toc20149994"/>
      <w:bookmarkStart w:id="3349" w:name="_Toc27846793"/>
      <w:bookmarkStart w:id="3350" w:name="_Toc36187924"/>
      <w:bookmarkStart w:id="3351" w:name="_Toc45183828"/>
      <w:bookmarkStart w:id="3352" w:name="_Toc47342670"/>
      <w:bookmarkStart w:id="3353" w:name="_Toc51769371"/>
      <w:bookmarkStart w:id="3354" w:name="_Toc201157382"/>
      <w:bookmarkEnd w:id="3347"/>
      <w:r w:rsidRPr="00873B6C">
        <w:t>5.17.7.2.1</w:t>
      </w:r>
      <w:r w:rsidRPr="00873B6C">
        <w:tab/>
        <w:t>Addressing</w:t>
      </w:r>
      <w:bookmarkEnd w:id="3348"/>
      <w:bookmarkEnd w:id="3349"/>
      <w:bookmarkEnd w:id="3350"/>
      <w:bookmarkEnd w:id="3351"/>
      <w:bookmarkEnd w:id="3352"/>
      <w:bookmarkEnd w:id="3353"/>
      <w:bookmarkEnd w:id="3354"/>
    </w:p>
    <w:p w14:paraId="1750EA2F" w14:textId="77777777" w:rsidR="00D40151" w:rsidRPr="00873B6C" w:rsidRDefault="00D40151" w:rsidP="00D40151">
      <w:r w:rsidRPr="00873B6C">
        <w:t>All the Configuration Transfer messages contain the addresses of the source and destination RAN nodes.</w:t>
      </w:r>
    </w:p>
    <w:p w14:paraId="1634BAB6" w14:textId="1A627CC7" w:rsidR="00D40151" w:rsidRPr="00873B6C" w:rsidRDefault="00D40151" w:rsidP="00D40151">
      <w:r w:rsidRPr="00873B6C">
        <w:t xml:space="preserve">An gNB node is addressed by the Target NG-RAN node identifier as described in </w:t>
      </w:r>
      <w:r w:rsidR="00972E70" w:rsidRPr="00873B6C">
        <w:t>TS 38.413 [</w:t>
      </w:r>
      <w:r w:rsidRPr="00873B6C">
        <w:t>34].</w:t>
      </w:r>
    </w:p>
    <w:p w14:paraId="7FEB93FB" w14:textId="7E37000A" w:rsidR="00D40151" w:rsidRPr="00873B6C" w:rsidRDefault="00D40151" w:rsidP="00D40151">
      <w:r w:rsidRPr="00873B6C">
        <w:t xml:space="preserve">An eNodeB is addressed by the Target eNodeB identifier as described in </w:t>
      </w:r>
      <w:r w:rsidR="00972E70" w:rsidRPr="00873B6C">
        <w:t>TS 36.413 [</w:t>
      </w:r>
      <w:r w:rsidRPr="00873B6C">
        <w:t>100].</w:t>
      </w:r>
    </w:p>
    <w:p w14:paraId="0B990969" w14:textId="77777777" w:rsidR="00D40151" w:rsidRPr="00873B6C" w:rsidRDefault="00D40151" w:rsidP="00D40151">
      <w:pPr>
        <w:pStyle w:val="Heading5"/>
      </w:pPr>
      <w:bookmarkStart w:id="3355" w:name="_CR5_17_7_2_2"/>
      <w:bookmarkStart w:id="3356" w:name="_Toc20149995"/>
      <w:bookmarkStart w:id="3357" w:name="_Toc27846794"/>
      <w:bookmarkStart w:id="3358" w:name="_Toc36187925"/>
      <w:bookmarkStart w:id="3359" w:name="_Toc45183829"/>
      <w:bookmarkStart w:id="3360" w:name="_Toc47342671"/>
      <w:bookmarkStart w:id="3361" w:name="_Toc51769372"/>
      <w:bookmarkStart w:id="3362" w:name="_Toc201157383"/>
      <w:bookmarkEnd w:id="3355"/>
      <w:r w:rsidRPr="00873B6C">
        <w:t>5.17.7.2.2</w:t>
      </w:r>
      <w:r w:rsidRPr="00873B6C">
        <w:tab/>
        <w:t>Routing</w:t>
      </w:r>
      <w:bookmarkEnd w:id="3356"/>
      <w:bookmarkEnd w:id="3357"/>
      <w:bookmarkEnd w:id="3358"/>
      <w:bookmarkEnd w:id="3359"/>
      <w:bookmarkEnd w:id="3360"/>
      <w:bookmarkEnd w:id="3361"/>
      <w:bookmarkEnd w:id="3362"/>
    </w:p>
    <w:p w14:paraId="090AB320" w14:textId="77777777" w:rsidR="00D40151" w:rsidRPr="00873B6C" w:rsidRDefault="00D40151" w:rsidP="00D40151">
      <w:r w:rsidRPr="00873B6C">
        <w:t>The source RAN node sends a message to its core network node including the source and destination addresses.</w:t>
      </w:r>
    </w:p>
    <w:p w14:paraId="7A868C04" w14:textId="77777777" w:rsidR="00D40151" w:rsidRPr="00873B6C" w:rsidRDefault="00D40151" w:rsidP="00D40151">
      <w:r w:rsidRPr="00873B6C">
        <w:t>MME uses the destination address to route the message to the correct AMF via N26 interface. AMF uses the destination address to route the message to the correct MME via N26 interface.</w:t>
      </w:r>
    </w:p>
    <w:p w14:paraId="16B67AE7" w14:textId="77777777" w:rsidR="00D40151" w:rsidRPr="00873B6C" w:rsidRDefault="00D40151" w:rsidP="00D40151">
      <w:r w:rsidRPr="00873B6C">
        <w:lastRenderedPageBreak/>
        <w:t>The AMF connected to the destination RAN node decides which RAN node to send the message to, based on the destination address.</w:t>
      </w:r>
    </w:p>
    <w:p w14:paraId="7195B6B9" w14:textId="77777777" w:rsidR="00D40151" w:rsidRPr="00873B6C" w:rsidRDefault="00D40151" w:rsidP="00D40151">
      <w:r w:rsidRPr="00873B6C">
        <w:t>The MME connected to the destination RAN node decides which RAN node to send the message to, based on the destination address.</w:t>
      </w:r>
    </w:p>
    <w:p w14:paraId="178FCA00" w14:textId="77777777" w:rsidR="00D40151" w:rsidRPr="00873B6C" w:rsidRDefault="00D40151" w:rsidP="00D40151">
      <w:pPr>
        <w:pStyle w:val="Heading5"/>
      </w:pPr>
      <w:bookmarkStart w:id="3363" w:name="_CR5_17_7_2_3"/>
      <w:bookmarkStart w:id="3364" w:name="_Toc20149996"/>
      <w:bookmarkStart w:id="3365" w:name="_Toc27846795"/>
      <w:bookmarkStart w:id="3366" w:name="_Toc36187926"/>
      <w:bookmarkStart w:id="3367" w:name="_Toc45183830"/>
      <w:bookmarkStart w:id="3368" w:name="_Toc47342672"/>
      <w:bookmarkStart w:id="3369" w:name="_Toc51769373"/>
      <w:bookmarkStart w:id="3370" w:name="_Toc201157384"/>
      <w:bookmarkEnd w:id="3363"/>
      <w:r w:rsidRPr="00873B6C">
        <w:t>5.17.7.2.3</w:t>
      </w:r>
      <w:r w:rsidRPr="00873B6C">
        <w:tab/>
        <w:t>Relaying</w:t>
      </w:r>
      <w:bookmarkEnd w:id="3364"/>
      <w:bookmarkEnd w:id="3365"/>
      <w:bookmarkEnd w:id="3366"/>
      <w:bookmarkEnd w:id="3367"/>
      <w:bookmarkEnd w:id="3368"/>
      <w:bookmarkEnd w:id="3369"/>
      <w:bookmarkEnd w:id="3370"/>
    </w:p>
    <w:p w14:paraId="02451FF8" w14:textId="4D7C2932" w:rsidR="00D40151" w:rsidRPr="00873B6C" w:rsidRDefault="00D40151" w:rsidP="00D40151">
      <w:r w:rsidRPr="00873B6C">
        <w:t xml:space="preserve">The AMF performs relaying between N2 and N26 messages as described in </w:t>
      </w:r>
      <w:r w:rsidR="00972E70" w:rsidRPr="00873B6C">
        <w:t>TS 38.413 [</w:t>
      </w:r>
      <w:r w:rsidRPr="00873B6C">
        <w:t xml:space="preserve">34] and </w:t>
      </w:r>
      <w:r w:rsidR="00972E70" w:rsidRPr="00873B6C">
        <w:t>TS 29.274 [</w:t>
      </w:r>
      <w:r w:rsidRPr="00873B6C">
        <w:t>101].</w:t>
      </w:r>
    </w:p>
    <w:p w14:paraId="30E828E3" w14:textId="51D1B644" w:rsidR="00D40151" w:rsidRPr="00873B6C" w:rsidRDefault="00D40151" w:rsidP="00D40151">
      <w:r w:rsidRPr="00873B6C">
        <w:t xml:space="preserve">The MME performs relaying between S1 and N26 message as described in </w:t>
      </w:r>
      <w:r w:rsidR="00972E70" w:rsidRPr="00873B6C">
        <w:t>TS 36.413 [</w:t>
      </w:r>
      <w:r w:rsidR="008546A1" w:rsidRPr="00873B6C">
        <w:t>100</w:t>
      </w:r>
      <w:r w:rsidRPr="00873B6C">
        <w:t xml:space="preserve">] and </w:t>
      </w:r>
      <w:r w:rsidR="00972E70" w:rsidRPr="00873B6C">
        <w:t>TS 29.274 [</w:t>
      </w:r>
      <w:r w:rsidRPr="00873B6C">
        <w:t>101].</w:t>
      </w:r>
    </w:p>
    <w:p w14:paraId="05EE9163" w14:textId="41567AA3" w:rsidR="009E78C1" w:rsidRPr="00873B6C" w:rsidRDefault="009E78C1" w:rsidP="009E78C1">
      <w:pPr>
        <w:pStyle w:val="Heading3"/>
      </w:pPr>
      <w:bookmarkStart w:id="3371" w:name="_CR5_17_8"/>
      <w:bookmarkStart w:id="3372" w:name="_Toc20149997"/>
      <w:bookmarkStart w:id="3373" w:name="_Toc27846796"/>
      <w:bookmarkStart w:id="3374" w:name="_Toc36187927"/>
      <w:bookmarkStart w:id="3375" w:name="_Toc45183831"/>
      <w:bookmarkStart w:id="3376" w:name="_Toc47342673"/>
      <w:bookmarkStart w:id="3377" w:name="_Toc51769374"/>
      <w:bookmarkStart w:id="3378" w:name="_Toc201157385"/>
      <w:bookmarkEnd w:id="3371"/>
      <w:r w:rsidRPr="00873B6C">
        <w:t>5.17.8</w:t>
      </w:r>
      <w:r w:rsidRPr="00873B6C">
        <w:tab/>
        <w:t>URSP Provisioning in EPS</w:t>
      </w:r>
      <w:bookmarkEnd w:id="3378"/>
    </w:p>
    <w:p w14:paraId="5736CF48" w14:textId="45C21C1E" w:rsidR="009E78C1" w:rsidRPr="00873B6C" w:rsidRDefault="009E78C1" w:rsidP="009E78C1">
      <w:r w:rsidRPr="00873B6C">
        <w:t xml:space="preserve">When the UE registers in 5GS, the UE includes the Indication of URSP Provisioning Support in EPS in the UE Policy Container carried in Registration Request. </w:t>
      </w:r>
      <w:r w:rsidR="00FA5436" w:rsidRPr="00873B6C">
        <w:t xml:space="preserve">On </w:t>
      </w:r>
      <w:r w:rsidRPr="00873B6C">
        <w:t>receiving this indication in the UE Policy Container, the PCF will</w:t>
      </w:r>
      <w:r w:rsidR="00500903" w:rsidRPr="00873B6C">
        <w:t xml:space="preserve"> enable the</w:t>
      </w:r>
      <w:r w:rsidRPr="00873B6C">
        <w:t xml:space="preserve"> provision</w:t>
      </w:r>
      <w:r w:rsidR="00500903" w:rsidRPr="00873B6C">
        <w:t>ing of</w:t>
      </w:r>
      <w:r w:rsidRPr="00873B6C">
        <w:t xml:space="preserve"> the URSP to UE in EPS.</w:t>
      </w:r>
    </w:p>
    <w:p w14:paraId="363E9588" w14:textId="77777777" w:rsidR="00FA5436" w:rsidRPr="00873B6C" w:rsidRDefault="00FA5436" w:rsidP="009E78C1">
      <w:r w:rsidRPr="00873B6C">
        <w:t>The UE may include the indication of URSP Provisioning Support in EPS in PCO or ePCO to the SMF+PGW-C during:</w:t>
      </w:r>
    </w:p>
    <w:p w14:paraId="5C7BBE22" w14:textId="2D64202C" w:rsidR="00FA5436" w:rsidRPr="00873B6C" w:rsidRDefault="00FA5436" w:rsidP="00FA7D5B">
      <w:pPr>
        <w:pStyle w:val="B1"/>
      </w:pPr>
      <w:r w:rsidRPr="00873B6C">
        <w:t>-</w:t>
      </w:r>
      <w:r w:rsidRPr="00873B6C">
        <w:tab/>
        <w:t>Initial Attach with default PDN connection establishment (according to clause 5.3.2.1 of TS 23.401 [26]).</w:t>
      </w:r>
    </w:p>
    <w:p w14:paraId="51D2CEFE" w14:textId="106106A4" w:rsidR="00FA5436" w:rsidRPr="00873B6C" w:rsidRDefault="00FA5436" w:rsidP="00FA7D5B">
      <w:pPr>
        <w:pStyle w:val="B1"/>
      </w:pPr>
      <w:r w:rsidRPr="00873B6C">
        <w:t>-</w:t>
      </w:r>
      <w:r w:rsidRPr="00873B6C">
        <w:tab/>
        <w:t>Any UE requested PDN connectivity request to an additional PDN (according to clause 5.10.2 of TS 23.401 [26].</w:t>
      </w:r>
    </w:p>
    <w:p w14:paraId="465333A3" w14:textId="0F3519F5" w:rsidR="00500903" w:rsidRPr="00873B6C" w:rsidRDefault="00500903" w:rsidP="00500903">
      <w:pPr>
        <w:pStyle w:val="B1"/>
      </w:pPr>
      <w:r w:rsidRPr="00873B6C">
        <w:t>-</w:t>
      </w:r>
      <w:r w:rsidRPr="00873B6C">
        <w:tab/>
        <w:t>Any UE requested bearer resource modification procedure (according to clause 5.4.5 of TS 23.401 [26]).</w:t>
      </w:r>
    </w:p>
    <w:p w14:paraId="138D41C2" w14:textId="46710A59" w:rsidR="005656CA" w:rsidRPr="00873B6C" w:rsidRDefault="005656CA" w:rsidP="009E78C1">
      <w:r w:rsidRPr="00873B6C">
        <w:t>If the SMF+PGW-C</w:t>
      </w:r>
      <w:r w:rsidR="00472CD7" w:rsidRPr="00873B6C">
        <w:t xml:space="preserve"> receives the indication of URSP Rule provisioning in EPS from the UE and it</w:t>
      </w:r>
      <w:r w:rsidRPr="00873B6C">
        <w:t xml:space="preserve"> supports URSP provisioning in EPS, it provides the Indication of URSP Provisioning Support in EPS </w:t>
      </w:r>
      <w:r w:rsidR="00FA5436" w:rsidRPr="00873B6C">
        <w:t>in e</w:t>
      </w:r>
      <w:r w:rsidRPr="00873B6C">
        <w:t>PCO in the</w:t>
      </w:r>
      <w:r w:rsidR="00FA5436" w:rsidRPr="00873B6C">
        <w:t xml:space="preserve"> Create Session Response message</w:t>
      </w:r>
      <w:r w:rsidR="00472CD7" w:rsidRPr="00873B6C">
        <w:t xml:space="preserve"> to the UE</w:t>
      </w:r>
      <w:r w:rsidRPr="00873B6C">
        <w:t>.</w:t>
      </w:r>
    </w:p>
    <w:p w14:paraId="74F5F0EA" w14:textId="77777777" w:rsidR="00472CD7" w:rsidRPr="00873B6C" w:rsidRDefault="00472CD7" w:rsidP="00FA5436">
      <w:r w:rsidRPr="00873B6C">
        <w:t>The UE may also include the indication of URSP Provisioning Support in EPS in ePCO in the UE Requested PDU Session Establishment procedure (according to clause 6.4.1.2 of TS 24.501 [47]). If the SMF+PGW-C receives the indication of URSP Rule provisioning in EPS from the UE and the network supports URSP provisioning in EPS, it provides the Indication of URSP Provisioning Support in EPS in ePCO in the PDU Session Establishment Accept message to the UE, see clause 6.4.1.3 of TS 24.501 [47].</w:t>
      </w:r>
    </w:p>
    <w:p w14:paraId="64EB51FA" w14:textId="77777777" w:rsidR="00472CD7" w:rsidRPr="00873B6C" w:rsidRDefault="00472CD7" w:rsidP="00FA5436">
      <w:r w:rsidRPr="00873B6C">
        <w:t>Then the UE and the SMF+PGW-C considers that the PDU Session is associated with the URSP provisioning in EPS. The SMF+PGW-C provides the Indication of URSP Provisioning Support in EPS to the PCF during the SM Policy Association Establishment procedure.</w:t>
      </w:r>
    </w:p>
    <w:p w14:paraId="07687575" w14:textId="12E7E28F" w:rsidR="00FA5436" w:rsidRPr="00873B6C" w:rsidRDefault="00FA5436" w:rsidP="00FA5436">
      <w:r w:rsidRPr="00873B6C">
        <w:t>When the UE receives an indication of URSP provisioning support in EPS in the PDN Connectivity Accept message</w:t>
      </w:r>
      <w:r w:rsidR="00500903" w:rsidRPr="00873B6C">
        <w:t xml:space="preserve"> or in PDU Session Establishment Accept</w:t>
      </w:r>
      <w:r w:rsidRPr="00873B6C">
        <w:t xml:space="preserve"> and this PDN connection</w:t>
      </w:r>
      <w:r w:rsidR="00500903" w:rsidRPr="00873B6C">
        <w:t xml:space="preserve"> or the corresponding transferred PDN connection</w:t>
      </w:r>
      <w:r w:rsidRPr="00873B6C">
        <w:t xml:space="preserve"> is not released, then for any subsequent PDN connectivity requests the UE does not include an indication of URSP Provisioning Support in EPS.</w:t>
      </w:r>
    </w:p>
    <w:p w14:paraId="23081DAC" w14:textId="023D02B9" w:rsidR="005656CA" w:rsidRPr="00873B6C" w:rsidRDefault="005656CA" w:rsidP="009E78C1">
      <w:r w:rsidRPr="00873B6C">
        <w:t>When the UE receives the</w:t>
      </w:r>
      <w:r w:rsidR="00FA5436" w:rsidRPr="00873B6C">
        <w:t xml:space="preserve"> Indication of</w:t>
      </w:r>
      <w:r w:rsidRPr="00873B6C">
        <w:t xml:space="preserve"> URSP Provisioning Support in EPS</w:t>
      </w:r>
      <w:r w:rsidR="00FA5436" w:rsidRPr="00873B6C">
        <w:t xml:space="preserve"> included in ePCO in the PDN Connectivity Accept message</w:t>
      </w:r>
      <w:r w:rsidRPr="00873B6C">
        <w:t>, then the UE initiates the UE requested bearer resource modification</w:t>
      </w:r>
      <w:r w:rsidR="00472CD7" w:rsidRPr="00873B6C">
        <w:t xml:space="preserve"> with or</w:t>
      </w:r>
      <w:r w:rsidR="00FA5436" w:rsidRPr="00873B6C">
        <w:t xml:space="preserve"> without QoS update</w:t>
      </w:r>
      <w:r w:rsidRPr="00873B6C">
        <w:t xml:space="preserve"> procedure and includes the UE Policy Container ePCO in the Request Bearer Resource Modification message, the UE Policy Container</w:t>
      </w:r>
      <w:r w:rsidR="00FA5436" w:rsidRPr="00873B6C">
        <w:t xml:space="preserve"> in</w:t>
      </w:r>
      <w:r w:rsidRPr="00873B6C">
        <w:t xml:space="preserve">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w:t>
      </w:r>
      <w:r w:rsidR="00500903" w:rsidRPr="00873B6C">
        <w:t xml:space="preserve"> If the PDN connection which is used for the exchange of UE Policy Container for URSP provisioning is released, the PCF for the PDU Session terminates the SM Policy Association, which then triggers the release of the UE Policy Association with PCF for the UE, see clause 4.11.0a.2a.8 of TS 23.502 [3]. The UE may use the Request Bearer Resource Modification message, over another PDN connection to include the Indication of URSP Provisioning Support in EPS. If the UE receives Indication of URSP Provisioning Support in EPS included in ePCO, then the UE sends a UE requested bearer resource modification</w:t>
      </w:r>
      <w:r w:rsidR="00472CD7" w:rsidRPr="00873B6C">
        <w:t xml:space="preserve"> with or</w:t>
      </w:r>
      <w:r w:rsidR="00500903" w:rsidRPr="00873B6C">
        <w:t xml:space="preserve"> without QoS update procedure and includes the UE Policy Container ePCO in the Request Bearer Resource Modification message. This triggers the establishment of the UE Policy Association; the UE may receive URSP rules in this PDN connection.</w:t>
      </w:r>
    </w:p>
    <w:p w14:paraId="161D12CF" w14:textId="50F5A8AA" w:rsidR="00FA5436" w:rsidRPr="00873B6C" w:rsidRDefault="00FA5436" w:rsidP="00FA7D5B">
      <w:pPr>
        <w:pStyle w:val="NO"/>
      </w:pPr>
      <w:r w:rsidRPr="00873B6C">
        <w:lastRenderedPageBreak/>
        <w:t>NOTE 1:</w:t>
      </w:r>
      <w:r w:rsidRPr="00873B6C">
        <w:tab/>
        <w:t>The UE includes the Indication of URSP Provisioning Support in EPS in PCO or ePCO in the PDN connectivity request according to clause 6.6.1.1 of TS 24.301 [13].</w:t>
      </w:r>
    </w:p>
    <w:p w14:paraId="2AF436FD" w14:textId="02F97DAC" w:rsidR="00FA5436" w:rsidRPr="00873B6C" w:rsidRDefault="00FA5436" w:rsidP="00FA7D5B">
      <w:pPr>
        <w:pStyle w:val="NO"/>
      </w:pPr>
      <w:r w:rsidRPr="00873B6C">
        <w:t>NOTE 2:</w:t>
      </w:r>
      <w:r w:rsidRPr="00873B6C">
        <w:tab/>
        <w:t>The MME and Serving-GW can be configured to prioritize the selection of a SMF+PGW-C that support URSP Rule provisioning in EPS.</w:t>
      </w:r>
    </w:p>
    <w:p w14:paraId="2C10F737" w14:textId="2092D2C3" w:rsidR="00500903" w:rsidRPr="00873B6C" w:rsidRDefault="00500903" w:rsidP="00500903">
      <w:pPr>
        <w:pStyle w:val="NO"/>
      </w:pPr>
      <w:r w:rsidRPr="00873B6C">
        <w:t>NOTE 3:</w:t>
      </w:r>
      <w:r w:rsidRPr="00873B6C">
        <w:tab/>
        <w:t>When URSP provisioning in EPS is required, the network deployment ensures that the MME supports ePCO.</w:t>
      </w:r>
    </w:p>
    <w:p w14:paraId="53D8D668" w14:textId="04ECDDF6" w:rsidR="005656CA" w:rsidRPr="00873B6C" w:rsidRDefault="005656CA" w:rsidP="009E78C1">
      <w:r w:rsidRPr="00873B6C">
        <w:t>If the UE does not receive the</w:t>
      </w:r>
      <w:r w:rsidR="00FA5436" w:rsidRPr="00873B6C">
        <w:t xml:space="preserve"> Indication of URSP Provisioning Support in EPS in ePCO in the PDN Connectivity Accept message</w:t>
      </w:r>
      <w:r w:rsidRPr="00873B6C">
        <w:t>, then the UE does not initiate the UE requested bearer resource modification procedure to send the UE Policy Container.</w:t>
      </w:r>
      <w:r w:rsidR="00472CD7" w:rsidRPr="00873B6C">
        <w:t xml:space="preserve"> The UE may include an indication of URSP Provisioning Support in EPS in a subsequent PDN connectivity request.</w:t>
      </w:r>
    </w:p>
    <w:p w14:paraId="0432B6AD" w14:textId="22418F6B" w:rsidR="009E78C1" w:rsidRPr="00873B6C" w:rsidRDefault="009E78C1" w:rsidP="009E78C1">
      <w:r w:rsidRPr="00873B6C">
        <w:t>The PDN Connection used by UE and</w:t>
      </w:r>
      <w:r w:rsidR="00FA5436" w:rsidRPr="00873B6C">
        <w:t xml:space="preserve"> SMF+PGW-C</w:t>
      </w:r>
      <w:r w:rsidRPr="00873B6C">
        <w:t xml:space="preserve"> to convey UE Policy Container PCO shall be kept when the UE is in the CONNECTED mode. When the UE is attached to EPS, the PCF for the PDU Session retrieves the PCRTs for UE Policy from PCF for the UE and subscribes to the applicable PCRTs to SMF+PGW-C. The PCF for the PDU Session</w:t>
      </w:r>
      <w:r w:rsidR="00500903" w:rsidRPr="00873B6C">
        <w:t xml:space="preserve"> may</w:t>
      </w:r>
      <w:r w:rsidRPr="00873B6C">
        <w:t xml:space="preserve"> send the UE Policy Container in the same PDN connection in which the UE Policy Container was received</w:t>
      </w:r>
      <w:r w:rsidR="00500903" w:rsidRPr="00873B6C">
        <w:t xml:space="preserve"> or in any additional PDN connection established with a SMF+PGW-C supporting URSP delivery in EPS</w:t>
      </w:r>
      <w:r w:rsidRPr="00873B6C">
        <w:t>.</w:t>
      </w:r>
    </w:p>
    <w:p w14:paraId="4EE02022" w14:textId="2B2B26FC" w:rsidR="009E78C1" w:rsidRPr="00873B6C" w:rsidRDefault="009E78C1" w:rsidP="009E78C1">
      <w:r w:rsidRPr="00873B6C">
        <w:t>During EPS to 5GS mobility with N26, the UE Policy Association is terminated by PCF for PDU Session</w:t>
      </w:r>
      <w:r w:rsidR="00472CD7" w:rsidRPr="00873B6C">
        <w:t xml:space="preserve"> towards the PCF for the UE</w:t>
      </w:r>
      <w:r w:rsidRPr="00873B6C">
        <w:t xml:space="preserve"> when it receives the indication of RAT type change from the SMF+PGW-C.</w:t>
      </w:r>
      <w:r w:rsidR="00472CD7" w:rsidRPr="00873B6C">
        <w:t xml:space="preserve"> The PCF for the PDU Session maintains Indication of URSP Provisioning Support in EPS while the SM Policy Association is established.</w:t>
      </w:r>
    </w:p>
    <w:p w14:paraId="688DA12C" w14:textId="79A6D012" w:rsidR="009E78C1" w:rsidRPr="00873B6C" w:rsidRDefault="009E78C1" w:rsidP="009E78C1">
      <w:r w:rsidRPr="00873B6C">
        <w:t>During 5GS to EPS mobility with N26, the PCF for the PDU Session determines whether the UE supports URSP delivery in EPS by checking</w:t>
      </w:r>
      <w:r w:rsidR="00472CD7" w:rsidRPr="00873B6C">
        <w:t xml:space="preserve"> the indication of URSP Provisioning Support in EPS that is locally stored</w:t>
      </w:r>
      <w:r w:rsidRPr="00873B6C">
        <w:t>.</w:t>
      </w:r>
      <w:r w:rsidR="00500903" w:rsidRPr="00873B6C">
        <w:t xml:space="preserve"> If the UE and at least one of the SMF+PGW-C for which the UE maintains a PDU session support URSP delivery in EPS the PCF for the PDU session establishes a UE Policy Association with the PCF for the UE.</w:t>
      </w:r>
      <w:r w:rsidRPr="00873B6C">
        <w:t xml:space="preserve"> The PCF for the PDU Session discovers the address of PCF for the UE serving the UE by querying BSF. The PCF for the UE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w:t>
      </w:r>
      <w:r w:rsidR="009B42A2" w:rsidRPr="00873B6C">
        <w:t xml:space="preserve"> mobility</w:t>
      </w:r>
      <w:r w:rsidRPr="00873B6C">
        <w:t>").</w:t>
      </w:r>
    </w:p>
    <w:p w14:paraId="2383F90F" w14:textId="3F817FAE" w:rsidR="00FA5436" w:rsidRPr="00873B6C" w:rsidRDefault="00FA5436" w:rsidP="00FA5436">
      <w:r w:rsidRPr="00873B6C">
        <w:t>After the 5GS to EPS mobility, if PCF for the UE needs to provision the URSP to UE, the PCF for the UE sends the UE Policy Container in Npcf_UEPolicyControl_UpdateNotify Request to the PCF for the PDU Session as described in clause 4.11.0a.2a.10 of TS 23.502 [3]. In case there are more than one PDN connections for the UE, then the PCF for the PDU Session selects any of the ongoing PDN Connections via a SMF+PGW-C supporting URSP delivery in EPS for the UE. Then via the selected PDN Connection, the SMF+PGW-C sends the UE Policy Container via ePCO to UE by initiating the PDN GW initiated bearer modification without QoS update procedure as defined in clause 5.4.3 of TS 23.401 [26].</w:t>
      </w:r>
    </w:p>
    <w:p w14:paraId="76F000BB" w14:textId="4827D14A" w:rsidR="009B42A2" w:rsidRPr="00873B6C" w:rsidRDefault="009B42A2" w:rsidP="005A13C0">
      <w:pPr>
        <w:pStyle w:val="NO"/>
      </w:pPr>
      <w:r w:rsidRPr="00873B6C">
        <w:t>NOTE</w:t>
      </w:r>
      <w:r w:rsidR="00A13197" w:rsidRPr="00873B6C">
        <w:t> </w:t>
      </w:r>
      <w:r w:rsidR="00500903" w:rsidRPr="00873B6C">
        <w:t>4</w:t>
      </w:r>
      <w:r w:rsidRPr="00873B6C">
        <w:t>:</w:t>
      </w:r>
      <w:r w:rsidRPr="00873B6C">
        <w:tab/>
        <w:t>At 5GS to EPS mobility with N26, the guard timer in the AMF (as specified in clauses 4.11.1.2.1 and 4.11.1.3.2 of TS 23.502 [3]) ensures that the UE Policy Association remains until the PCF for the UE detects that a UE Policy Association establishment is received from a PCF for the PDU Session indicating 5GS to EPS mobility.</w:t>
      </w:r>
    </w:p>
    <w:p w14:paraId="5C1F9AA5" w14:textId="1691E519" w:rsidR="00A13197" w:rsidRPr="00873B6C" w:rsidRDefault="00A13197" w:rsidP="00A13197">
      <w:pPr>
        <w:pStyle w:val="NO"/>
      </w:pPr>
      <w:r w:rsidRPr="00873B6C">
        <w:t>NOTE </w:t>
      </w:r>
      <w:r w:rsidR="00500903" w:rsidRPr="00873B6C">
        <w:t>5</w:t>
      </w:r>
      <w:r w:rsidRPr="00873B6C">
        <w:t>:</w:t>
      </w:r>
      <w:r w:rsidRPr="00873B6C">
        <w:tab/>
        <w:t>In the case that the UE is still registered and reachable over non-3GPP access, the PCF for UE can have two UE policy associations for one UE</w:t>
      </w:r>
      <w:r w:rsidR="00472CD7" w:rsidRPr="00873B6C">
        <w:t xml:space="preserve"> and</w:t>
      </w:r>
      <w:r w:rsidRPr="00873B6C">
        <w:t xml:space="preserve"> based on local configuration the PCF can decide to use one of the UE policy associations to update URSP rule to the UE. The UE can receive URSP Rules over any of these two accesses.</w:t>
      </w:r>
    </w:p>
    <w:p w14:paraId="7B50951A" w14:textId="4A10D0C8" w:rsidR="00500903" w:rsidRPr="00873B6C" w:rsidRDefault="00500903" w:rsidP="00745A3E">
      <w:pPr>
        <w:pStyle w:val="NO"/>
      </w:pPr>
      <w:r w:rsidRPr="00873B6C">
        <w:t>NOTE 6:</w:t>
      </w:r>
      <w:r w:rsidRPr="00873B6C">
        <w:tab/>
        <w:t>In the case that during the 5GS to EPS mobility there are more than one PCF for the PDU session maintaining PDN connections for the UE every involved PCF for the PDU session can establish a UE Policy Association towards the PCF for the UE. In such case when the PCF for the UE needs to provision the URSP to UE, the PCF for the UE first selects one of those UE Policy Associations for the delivery of URSP rules to the UE in EPS.</w:t>
      </w:r>
    </w:p>
    <w:p w14:paraId="39CE9106" w14:textId="04770CC8" w:rsidR="00472CD7" w:rsidRPr="00873B6C" w:rsidRDefault="00472CD7" w:rsidP="003B4BD9">
      <w:r w:rsidRPr="00873B6C">
        <w:t>When the UE moves from 5GS to EPS, the PDN connection corresponding to a PDU Session supporting URSP provisioning in EPS is considered as supporting URSP provisioning in EPS. When the UE moves from EPC to 5GS, the PDU Session corresponding to a PDN connection supporting URSP provisioning in EPS is considered as supporting URSP provisioning in EPS.</w:t>
      </w:r>
    </w:p>
    <w:p w14:paraId="2B3E6009" w14:textId="667BE35F" w:rsidR="00500903" w:rsidRPr="00873B6C" w:rsidRDefault="00500903" w:rsidP="003B4BD9">
      <w:r w:rsidRPr="00873B6C">
        <w:t>The UE can receive ePCO with UE Policy Container over any of the established PDN connections and then response over the same PDN connection.</w:t>
      </w:r>
    </w:p>
    <w:p w14:paraId="32EDD69A" w14:textId="60751D46" w:rsidR="003B4BD9" w:rsidRPr="00873B6C" w:rsidRDefault="003B4BD9" w:rsidP="003B4BD9">
      <w:r w:rsidRPr="00873B6C">
        <w:lastRenderedPageBreak/>
        <w:t>When the PCF for the UE decides to update the URSPs in the UE via EPS, the PCF for the UE sends the updated URSP rules in UE Policy Container to the PCF for the PDU Session, then the PCF for the PDU Session forwards it to the SMF+PGW-C. The SMF+PGW-C transfers the received UE Policy Container via ePCO to the UE by triggering PDN-GW initiated Bearer without QoS Modification procedure as described in clause 5.4.3 of TS 23.401 [26]. After update the UE policy provided by the PCF, the UE response about the delivery result via ePCO to the network. The SMF+PGW-C transparently forwards the UE response to the PCF for the PDU Session via Update Bearer Response message</w:t>
      </w:r>
      <w:r w:rsidR="00472CD7" w:rsidRPr="00873B6C">
        <w:t xml:space="preserve"> and</w:t>
      </w:r>
      <w:r w:rsidRPr="00873B6C">
        <w:t xml:space="preserve"> then the PCF for the PDU Session forwards it to the PCF for the UE via Npcf_UEPolicyControl_Update Request. If the SMF+PGW-C receives a rejection for Update Bearer Request message (e.g. due to paging failure), the delivery failure result is sent to PCF for the PDU Session and the PCF for the UE. To request to forward the result of delivery of UE policies, "Result of UE Policy Container delivery via EPS" PCRT is applied to the PCF for the PDU Session and the SMF+PGW-C as described in clause 4.11.0a.2a.10 of TS 23.502 [3].</w:t>
      </w:r>
    </w:p>
    <w:p w14:paraId="5575645B" w14:textId="4D34A021" w:rsidR="00D40151" w:rsidRPr="00873B6C" w:rsidRDefault="00D40151" w:rsidP="00D40151">
      <w:pPr>
        <w:pStyle w:val="Heading2"/>
      </w:pPr>
      <w:bookmarkStart w:id="3379" w:name="_CR5_18"/>
      <w:bookmarkStart w:id="3380" w:name="_Toc201157386"/>
      <w:bookmarkEnd w:id="3379"/>
      <w:r w:rsidRPr="00873B6C">
        <w:t>5.18</w:t>
      </w:r>
      <w:r w:rsidRPr="00873B6C">
        <w:tab/>
        <w:t>Network Sharing</w:t>
      </w:r>
      <w:bookmarkEnd w:id="3372"/>
      <w:bookmarkEnd w:id="3373"/>
      <w:bookmarkEnd w:id="3374"/>
      <w:bookmarkEnd w:id="3375"/>
      <w:bookmarkEnd w:id="3376"/>
      <w:bookmarkEnd w:id="3377"/>
      <w:bookmarkEnd w:id="3380"/>
    </w:p>
    <w:p w14:paraId="1397EA60" w14:textId="77777777" w:rsidR="00D40151" w:rsidRPr="00873B6C" w:rsidRDefault="00D40151" w:rsidP="00D40151">
      <w:pPr>
        <w:pStyle w:val="Heading3"/>
      </w:pPr>
      <w:bookmarkStart w:id="3381" w:name="_CR5_18_1"/>
      <w:bookmarkStart w:id="3382" w:name="_Toc20149998"/>
      <w:bookmarkStart w:id="3383" w:name="_Toc27846797"/>
      <w:bookmarkStart w:id="3384" w:name="_Toc36187928"/>
      <w:bookmarkStart w:id="3385" w:name="_Toc45183832"/>
      <w:bookmarkStart w:id="3386" w:name="_Toc47342674"/>
      <w:bookmarkStart w:id="3387" w:name="_Toc51769375"/>
      <w:bookmarkStart w:id="3388" w:name="_Toc201157387"/>
      <w:bookmarkEnd w:id="3381"/>
      <w:r w:rsidRPr="00873B6C">
        <w:t>5.</w:t>
      </w:r>
      <w:r w:rsidRPr="00873B6C">
        <w:rPr>
          <w:lang w:eastAsia="zh-CN"/>
        </w:rPr>
        <w:t>1</w:t>
      </w:r>
      <w:r w:rsidRPr="00873B6C">
        <w:t>8.1</w:t>
      </w:r>
      <w:r w:rsidRPr="00873B6C">
        <w:tab/>
        <w:t>General concepts</w:t>
      </w:r>
      <w:bookmarkEnd w:id="3382"/>
      <w:bookmarkEnd w:id="3383"/>
      <w:bookmarkEnd w:id="3384"/>
      <w:bookmarkEnd w:id="3385"/>
      <w:bookmarkEnd w:id="3386"/>
      <w:bookmarkEnd w:id="3387"/>
      <w:bookmarkEnd w:id="3388"/>
    </w:p>
    <w:p w14:paraId="46072D41" w14:textId="77777777" w:rsidR="00D40151" w:rsidRPr="00873B6C" w:rsidRDefault="00D40151" w:rsidP="00D40151">
      <w:pPr>
        <w:rPr>
          <w:rFonts w:eastAsia="MS Mincho"/>
        </w:rPr>
      </w:pPr>
      <w:r w:rsidRPr="00873B6C">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873B6C" w:rsidRDefault="00D40151" w:rsidP="00D40151">
      <w:pPr>
        <w:rPr>
          <w:rFonts w:eastAsia="MS Mincho"/>
        </w:rPr>
      </w:pPr>
      <w:r w:rsidRPr="00873B6C">
        <w:rPr>
          <w:rFonts w:eastAsia="MS Mincho"/>
        </w:rPr>
        <w:t>The shared network operator allocates shared resources to the participating operators based on their planned and current needs and according to service level agreements.</w:t>
      </w:r>
    </w:p>
    <w:p w14:paraId="2A448509" w14:textId="45736CF2" w:rsidR="00D40151" w:rsidRPr="00873B6C" w:rsidRDefault="00D40151" w:rsidP="00D40151">
      <w:pPr>
        <w:rPr>
          <w:rFonts w:eastAsia="MS Mincho"/>
        </w:rPr>
      </w:pPr>
      <w:r w:rsidRPr="00873B6C">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972E70" w:rsidRPr="00873B6C">
        <w:rPr>
          <w:rFonts w:eastAsia="MS Mincho"/>
        </w:rPr>
        <w:t>TS 23.122 [</w:t>
      </w:r>
      <w:r w:rsidRPr="00873B6C">
        <w:rPr>
          <w:rFonts w:eastAsia="MS Mincho"/>
        </w:rPr>
        <w:t xml:space="preserve">17] and different network codes (MNC)) or combinations of PLMN ID and NID. 5G MOCN supports NG-RAN Sharing with or without multiple Cell Identity broadcast as described in </w:t>
      </w:r>
      <w:r w:rsidR="00972E70" w:rsidRPr="00873B6C">
        <w:rPr>
          <w:rFonts w:eastAsia="MS Mincho"/>
        </w:rPr>
        <w:t>TS 38.300 [</w:t>
      </w:r>
      <w:r w:rsidRPr="00873B6C">
        <w:rPr>
          <w:rFonts w:eastAsia="MS Mincho"/>
        </w:rPr>
        <w:t>27].</w:t>
      </w:r>
    </w:p>
    <w:p w14:paraId="21B06DEF" w14:textId="05EB6B76" w:rsidR="00D40151" w:rsidRPr="00873B6C" w:rsidRDefault="00D40151" w:rsidP="00D40151">
      <w:r w:rsidRPr="00873B6C">
        <w:t>5G MOCN also supports the following sharing scenarios involving non-public networks, i.e.NG-RAN can be shared by any combination of PLMNs, PNI-NPNs (with CAG)</w:t>
      </w:r>
      <w:r w:rsidR="00472CD7" w:rsidRPr="00873B6C">
        <w:t xml:space="preserve"> and</w:t>
      </w:r>
      <w:r w:rsidRPr="00873B6C">
        <w:t xml:space="preserve"> SNPNs (each identified by PLMN ID and NID).</w:t>
      </w:r>
    </w:p>
    <w:p w14:paraId="08761E21" w14:textId="77777777" w:rsidR="00D40151" w:rsidRPr="00873B6C" w:rsidRDefault="00D40151" w:rsidP="00D40151">
      <w:pPr>
        <w:pStyle w:val="NO"/>
      </w:pPr>
      <w:r w:rsidRPr="00873B6C">
        <w:t>NOTE 1:</w:t>
      </w:r>
      <w:r w:rsidRPr="00873B6C">
        <w:tab/>
        <w:t>PNI-NPNs (without CAG) are not explicitly listed above as it does not require additional NG-RAN sharing functionality compared to sharing by one or multiple PLMNs.</w:t>
      </w:r>
    </w:p>
    <w:p w14:paraId="366E8339" w14:textId="0AB4B5C8" w:rsidR="00D40151" w:rsidRPr="00873B6C" w:rsidRDefault="00D40151" w:rsidP="00D40151">
      <w:r w:rsidRPr="00873B6C">
        <w:t>In all non-public network sharing scenarios, each Cell Identity</w:t>
      </w:r>
      <w:r w:rsidR="00704A9E" w:rsidRPr="00873B6C">
        <w:t xml:space="preserve"> as specified in </w:t>
      </w:r>
      <w:r w:rsidR="00972E70" w:rsidRPr="00873B6C">
        <w:t>TS 38.331 [</w:t>
      </w:r>
      <w:r w:rsidR="00704A9E" w:rsidRPr="00873B6C">
        <w:t>28]</w:t>
      </w:r>
      <w:r w:rsidRPr="00873B6C">
        <w:t xml:space="preserve"> is associated with one of the following configuration options:</w:t>
      </w:r>
    </w:p>
    <w:p w14:paraId="48ACF421" w14:textId="77777777" w:rsidR="00D40151" w:rsidRPr="00873B6C" w:rsidRDefault="00D40151" w:rsidP="00D40151">
      <w:pPr>
        <w:pStyle w:val="B1"/>
      </w:pPr>
      <w:r w:rsidRPr="00873B6C">
        <w:t>-</w:t>
      </w:r>
      <w:r w:rsidRPr="00873B6C">
        <w:tab/>
        <w:t>one or multiple SNPNs;</w:t>
      </w:r>
    </w:p>
    <w:p w14:paraId="2E1E6856" w14:textId="77777777" w:rsidR="00D40151" w:rsidRPr="00873B6C" w:rsidRDefault="00D40151" w:rsidP="00D40151">
      <w:pPr>
        <w:pStyle w:val="B1"/>
      </w:pPr>
      <w:r w:rsidRPr="00873B6C">
        <w:t>-</w:t>
      </w:r>
      <w:r w:rsidRPr="00873B6C">
        <w:tab/>
        <w:t>one or multiple PNI-NPNs (with CAG); or</w:t>
      </w:r>
    </w:p>
    <w:p w14:paraId="5F95769E" w14:textId="77777777" w:rsidR="00D40151" w:rsidRPr="00873B6C" w:rsidRDefault="00D40151" w:rsidP="00D40151">
      <w:pPr>
        <w:pStyle w:val="B1"/>
      </w:pPr>
      <w:r w:rsidRPr="00873B6C">
        <w:t>-</w:t>
      </w:r>
      <w:r w:rsidRPr="00873B6C">
        <w:tab/>
        <w:t>one or multiple PLMNs only.</w:t>
      </w:r>
    </w:p>
    <w:p w14:paraId="18722EF7" w14:textId="23B6E795" w:rsidR="00704A9E" w:rsidRPr="00873B6C" w:rsidRDefault="00704A9E" w:rsidP="00D40151">
      <w:pPr>
        <w:pStyle w:val="NO"/>
      </w:pPr>
      <w:r w:rsidRPr="00873B6C">
        <w:t>NOTE 2:</w:t>
      </w:r>
      <w:r w:rsidRPr="00873B6C">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48FBC64D" w:rsidR="00D40151" w:rsidRPr="00873B6C" w:rsidRDefault="00D40151" w:rsidP="00D40151">
      <w:pPr>
        <w:pStyle w:val="NO"/>
        <w:rPr>
          <w:rFonts w:eastAsia="MS Mincho"/>
        </w:rPr>
      </w:pPr>
      <w:r w:rsidRPr="00873B6C">
        <w:t>NOTE </w:t>
      </w:r>
      <w:r w:rsidR="00704A9E" w:rsidRPr="00873B6C">
        <w:t>3</w:t>
      </w:r>
      <w:r w:rsidRPr="00873B6C">
        <w:t>:</w:t>
      </w:r>
      <w:r w:rsidRPr="00873B6C">
        <w:tab/>
        <w:t>Different PLMN IDs (or combinations of PLMN ID and NID) can also point to the same 5GC. When same 5GC supports multiple SNPNs (identified by PLMN ID and NID),</w:t>
      </w:r>
      <w:r w:rsidR="0026280E" w:rsidRPr="00873B6C">
        <w:t xml:space="preserve"> it is up to the operator's policy whether</w:t>
      </w:r>
      <w:r w:rsidRPr="00873B6C">
        <w:t xml:space="preserve"> they are used as equivalent SNPNs for a UE.</w:t>
      </w:r>
    </w:p>
    <w:p w14:paraId="560FB677" w14:textId="08F06F17" w:rsidR="00D40151" w:rsidRPr="00873B6C" w:rsidRDefault="00D40151" w:rsidP="00D40151">
      <w:pPr>
        <w:pStyle w:val="NO"/>
      </w:pPr>
      <w:r w:rsidRPr="00873B6C">
        <w:t>NOTE </w:t>
      </w:r>
      <w:r w:rsidR="00704A9E" w:rsidRPr="00873B6C">
        <w:t>4</w:t>
      </w:r>
      <w:r w:rsidRPr="00873B6C">
        <w:t>:</w:t>
      </w:r>
      <w:r w:rsidRPr="00873B6C">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873B6C" w:rsidRDefault="00704A9E" w:rsidP="008A60FE">
      <w:pPr>
        <w:pStyle w:val="TH"/>
      </w:pPr>
      <w:r w:rsidRPr="00873B6C">
        <w:object w:dxaOrig="8261" w:dyaOrig="2971" w14:anchorId="4D2410A3">
          <v:shape id="_x0000_i1098" type="#_x0000_t75" style="width:411.35pt;height:148.4pt" o:ole="">
            <v:imagedata r:id="rId155" o:title=""/>
          </v:shape>
          <o:OLEObject Type="Embed" ProgID="Word.Picture.8" ShapeID="_x0000_i1098" DrawAspect="Content" ObjectID="_1811772432" r:id="rId156"/>
        </w:object>
      </w:r>
    </w:p>
    <w:p w14:paraId="77CF09A0" w14:textId="39A81401" w:rsidR="00D40151" w:rsidRPr="00873B6C" w:rsidRDefault="00D40151" w:rsidP="00D40151">
      <w:pPr>
        <w:pStyle w:val="TF"/>
        <w:rPr>
          <w:rFonts w:eastAsia="MS Mincho"/>
        </w:rPr>
      </w:pPr>
      <w:bookmarkStart w:id="3389" w:name="_CRFigure5_18_11"/>
      <w:r w:rsidRPr="00873B6C">
        <w:t xml:space="preserve">Figure </w:t>
      </w:r>
      <w:bookmarkEnd w:id="3389"/>
      <w:r w:rsidRPr="00873B6C">
        <w:t xml:space="preserve">5.18.1-1: A 5G Multi-Operator Core Network (5G MOCN) in which multiple CNs are </w:t>
      </w:r>
      <w:r w:rsidRPr="00873B6C">
        <w:br/>
        <w:t>connected to the same NG-RAN</w:t>
      </w:r>
    </w:p>
    <w:p w14:paraId="5CB12480" w14:textId="77777777" w:rsidR="00D40151" w:rsidRPr="00873B6C" w:rsidRDefault="00D40151" w:rsidP="00D40151">
      <w:pPr>
        <w:pStyle w:val="Heading3"/>
      </w:pPr>
      <w:bookmarkStart w:id="3390" w:name="_CR5_18_2"/>
      <w:bookmarkStart w:id="3391" w:name="_Toc20149999"/>
      <w:bookmarkStart w:id="3392" w:name="_Toc27846798"/>
      <w:bookmarkStart w:id="3393" w:name="_Toc36187929"/>
      <w:bookmarkStart w:id="3394" w:name="_Toc45183833"/>
      <w:bookmarkStart w:id="3395" w:name="_Toc47342675"/>
      <w:bookmarkStart w:id="3396" w:name="_Toc51769376"/>
      <w:bookmarkStart w:id="3397" w:name="_Toc201157388"/>
      <w:bookmarkEnd w:id="3390"/>
      <w:r w:rsidRPr="00873B6C">
        <w:t>5.18.2</w:t>
      </w:r>
      <w:r w:rsidRPr="00873B6C">
        <w:tab/>
        <w:t>Broadcast system information for network sharing</w:t>
      </w:r>
      <w:bookmarkEnd w:id="3391"/>
      <w:bookmarkEnd w:id="3392"/>
      <w:bookmarkEnd w:id="3393"/>
      <w:bookmarkEnd w:id="3394"/>
      <w:bookmarkEnd w:id="3395"/>
      <w:bookmarkEnd w:id="3396"/>
      <w:bookmarkEnd w:id="3397"/>
    </w:p>
    <w:p w14:paraId="12D23990" w14:textId="77777777" w:rsidR="00D40151" w:rsidRPr="00873B6C" w:rsidRDefault="00D40151" w:rsidP="00D40151">
      <w:r w:rsidRPr="00873B6C">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873B6C" w:rsidRDefault="00D40151" w:rsidP="00D40151">
      <w:r w:rsidRPr="00873B6C">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873B6C" w:rsidRDefault="00D40151" w:rsidP="00D40151">
      <w:r w:rsidRPr="00873B6C">
        <w:t>The available core network operators (PLMNs and/or SNPNs) shall be the same for all cells of a Tracking Area in a shared NG-RAN network.</w:t>
      </w:r>
    </w:p>
    <w:p w14:paraId="5062F061" w14:textId="39DDAEE3" w:rsidR="00D40151" w:rsidRPr="00873B6C" w:rsidRDefault="00D40151" w:rsidP="00D40151">
      <w:r w:rsidRPr="00873B6C">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972E70" w:rsidRPr="00873B6C">
        <w:t>TS 38.331 [</w:t>
      </w:r>
      <w:r w:rsidRPr="00873B6C">
        <w:t xml:space="preserve">28] for NR, </w:t>
      </w:r>
      <w:r w:rsidR="00972E70" w:rsidRPr="00873B6C">
        <w:t>TS 36.331 [</w:t>
      </w:r>
      <w:r w:rsidRPr="00873B6C">
        <w:t xml:space="preserve">51] for E-UTRA and related UE access stratum idle mode procedures in </w:t>
      </w:r>
      <w:r w:rsidR="00972E70" w:rsidRPr="00873B6C">
        <w:t>TS 38.304 [</w:t>
      </w:r>
      <w:r w:rsidRPr="00873B6C">
        <w:t xml:space="preserve">50] for NR and </w:t>
      </w:r>
      <w:r w:rsidR="00972E70" w:rsidRPr="00873B6C">
        <w:t>TS 36.304 [</w:t>
      </w:r>
      <w:r w:rsidRPr="00873B6C">
        <w:t>52] for E-UTRA.</w:t>
      </w:r>
    </w:p>
    <w:p w14:paraId="7EAC8CA1" w14:textId="3EBECCA4" w:rsidR="00D40151" w:rsidRPr="00873B6C" w:rsidRDefault="00D40151" w:rsidP="00D40151">
      <w:pPr>
        <w:pStyle w:val="Heading3"/>
        <w:rPr>
          <w:rFonts w:eastAsia="MS Mincho"/>
        </w:rPr>
      </w:pPr>
      <w:bookmarkStart w:id="3398" w:name="_CR5_18_2a"/>
      <w:bookmarkStart w:id="3399" w:name="_Toc20150000"/>
      <w:bookmarkStart w:id="3400" w:name="_Toc27846799"/>
      <w:bookmarkStart w:id="3401" w:name="_Toc36187930"/>
      <w:bookmarkStart w:id="3402" w:name="_Toc45183834"/>
      <w:bookmarkStart w:id="3403" w:name="_Toc47342676"/>
      <w:bookmarkStart w:id="3404" w:name="_Toc51769377"/>
      <w:bookmarkStart w:id="3405" w:name="_Toc201157389"/>
      <w:bookmarkEnd w:id="3398"/>
      <w:r w:rsidRPr="00873B6C">
        <w:rPr>
          <w:rFonts w:eastAsia="MS Mincho"/>
        </w:rPr>
        <w:t>5.18.2a</w:t>
      </w:r>
      <w:r w:rsidRPr="00873B6C">
        <w:rPr>
          <w:rFonts w:eastAsia="MS Mincho"/>
        </w:rPr>
        <w:tab/>
        <w:t xml:space="preserve">PLMN list </w:t>
      </w:r>
      <w:r w:rsidR="0026280E" w:rsidRPr="00873B6C">
        <w:rPr>
          <w:rFonts w:eastAsia="MS Mincho"/>
        </w:rPr>
        <w:t xml:space="preserve">and SNPN list </w:t>
      </w:r>
      <w:r w:rsidRPr="00873B6C">
        <w:rPr>
          <w:rFonts w:eastAsia="MS Mincho"/>
        </w:rPr>
        <w:t>handling for network sharing</w:t>
      </w:r>
      <w:bookmarkEnd w:id="3399"/>
      <w:bookmarkEnd w:id="3400"/>
      <w:bookmarkEnd w:id="3401"/>
      <w:bookmarkEnd w:id="3402"/>
      <w:bookmarkEnd w:id="3403"/>
      <w:bookmarkEnd w:id="3404"/>
      <w:bookmarkEnd w:id="3405"/>
    </w:p>
    <w:p w14:paraId="3C9C030F" w14:textId="0AC7FB61" w:rsidR="00D40151" w:rsidRPr="00873B6C" w:rsidRDefault="00D40151" w:rsidP="00D40151">
      <w:pPr>
        <w:rPr>
          <w:rFonts w:eastAsia="MS Mincho"/>
        </w:rPr>
      </w:pPr>
      <w:r w:rsidRPr="00873B6C">
        <w:rPr>
          <w:rFonts w:eastAsia="MS Mincho"/>
        </w:rPr>
        <w:t>The AMF prepares lists of PLMN IDs</w:t>
      </w:r>
      <w:r w:rsidR="0026280E" w:rsidRPr="00873B6C">
        <w:rPr>
          <w:rFonts w:eastAsia="MS Mincho"/>
        </w:rPr>
        <w:t xml:space="preserve"> or SNPN IDs</w:t>
      </w:r>
      <w:r w:rsidRPr="00873B6C">
        <w:rPr>
          <w:rFonts w:eastAsia="MS Mincho"/>
        </w:rPr>
        <w:t xml:space="preserve"> suitable as target PLMNs</w:t>
      </w:r>
      <w:r w:rsidR="0026280E" w:rsidRPr="00873B6C">
        <w:rPr>
          <w:rFonts w:eastAsia="MS Mincho"/>
        </w:rPr>
        <w:t xml:space="preserve"> or target SNPNs</w:t>
      </w:r>
      <w:r w:rsidRPr="00873B6C">
        <w:rPr>
          <w:rFonts w:eastAsia="MS Mincho"/>
        </w:rPr>
        <w:t xml:space="preserve"> for use at idle mode cell (re)selection and for use at handover and RRC Connection Release with redirection. The AMF:</w:t>
      </w:r>
    </w:p>
    <w:p w14:paraId="482E38FB" w14:textId="7B81E9BB" w:rsidR="00D40151" w:rsidRPr="00873B6C" w:rsidRDefault="00D40151" w:rsidP="00D40151">
      <w:pPr>
        <w:pStyle w:val="B1"/>
        <w:rPr>
          <w:rFonts w:eastAsia="MS Mincho"/>
        </w:rPr>
      </w:pPr>
      <w:r w:rsidRPr="00873B6C">
        <w:rPr>
          <w:rFonts w:eastAsia="MS Mincho"/>
        </w:rPr>
        <w:t>-</w:t>
      </w:r>
      <w:r w:rsidRPr="00873B6C">
        <w:rPr>
          <w:rFonts w:eastAsia="MS Mincho"/>
        </w:rPr>
        <w:tab/>
        <w:t>provides the UE with the list of PLMNs</w:t>
      </w:r>
      <w:r w:rsidR="0026280E" w:rsidRPr="00873B6C">
        <w:rPr>
          <w:rFonts w:eastAsia="MS Mincho"/>
        </w:rPr>
        <w:t xml:space="preserve"> or list of SNPNs</w:t>
      </w:r>
      <w:r w:rsidRPr="00873B6C">
        <w:rPr>
          <w:rFonts w:eastAsia="MS Mincho"/>
        </w:rPr>
        <w:t xml:space="preserve"> that the UE shall consider as Equivalent to the serving PLMN</w:t>
      </w:r>
      <w:r w:rsidR="0026280E" w:rsidRPr="00873B6C">
        <w:rPr>
          <w:rFonts w:eastAsia="MS Mincho"/>
        </w:rPr>
        <w:t xml:space="preserve"> or the serving SNPN</w:t>
      </w:r>
      <w:r w:rsidRPr="00873B6C">
        <w:rPr>
          <w:rFonts w:eastAsia="MS Mincho"/>
        </w:rPr>
        <w:t xml:space="preserve"> (see </w:t>
      </w:r>
      <w:r w:rsidR="00972E70" w:rsidRPr="00873B6C">
        <w:rPr>
          <w:rFonts w:eastAsia="MS Mincho"/>
        </w:rPr>
        <w:t>TS 23.122 [</w:t>
      </w:r>
      <w:r w:rsidRPr="00873B6C">
        <w:rPr>
          <w:rFonts w:eastAsia="MS Mincho"/>
        </w:rPr>
        <w:t>17]); and</w:t>
      </w:r>
    </w:p>
    <w:p w14:paraId="304CC98E" w14:textId="164843C4" w:rsidR="00D40151" w:rsidRPr="00873B6C" w:rsidRDefault="00D40151" w:rsidP="00D40151">
      <w:pPr>
        <w:pStyle w:val="B1"/>
        <w:rPr>
          <w:rFonts w:eastAsia="MS Mincho"/>
        </w:rPr>
      </w:pPr>
      <w:r w:rsidRPr="00873B6C">
        <w:rPr>
          <w:rFonts w:eastAsia="MS Mincho"/>
        </w:rPr>
        <w:t>-</w:t>
      </w:r>
      <w:r w:rsidRPr="00873B6C">
        <w:rPr>
          <w:rFonts w:eastAsia="MS Mincho"/>
        </w:rPr>
        <w:tab/>
        <w:t>provides the NG-RAN with a prioritised list of permitted PLMNs</w:t>
      </w:r>
      <w:r w:rsidR="0026280E" w:rsidRPr="00873B6C">
        <w:rPr>
          <w:rFonts w:eastAsia="MS Mincho"/>
        </w:rPr>
        <w:t xml:space="preserve"> or a prioritized list of permitted SNPNs</w:t>
      </w:r>
      <w:r w:rsidRPr="00873B6C">
        <w:rPr>
          <w:rFonts w:eastAsia="MS Mincho"/>
        </w:rPr>
        <w:t>. When prioritising these PLMNs</w:t>
      </w:r>
      <w:r w:rsidR="0026280E" w:rsidRPr="00873B6C">
        <w:rPr>
          <w:rFonts w:eastAsia="MS Mincho"/>
        </w:rPr>
        <w:t xml:space="preserve"> or SNPNs</w:t>
      </w:r>
      <w:r w:rsidRPr="00873B6C">
        <w:rPr>
          <w:rFonts w:eastAsia="MS Mincho"/>
        </w:rPr>
        <w:t>, the AMF may consider the following information: HPLMN of the UE</w:t>
      </w:r>
      <w:r w:rsidR="0026280E" w:rsidRPr="00873B6C">
        <w:rPr>
          <w:rFonts w:eastAsia="MS Mincho"/>
        </w:rPr>
        <w:t xml:space="preserve"> or the subscribed SNPN of the UE</w:t>
      </w:r>
      <w:r w:rsidRPr="00873B6C">
        <w:rPr>
          <w:rFonts w:eastAsia="MS Mincho"/>
        </w:rPr>
        <w:t>, the serving PLMN</w:t>
      </w:r>
      <w:r w:rsidR="0026280E" w:rsidRPr="00873B6C">
        <w:rPr>
          <w:rFonts w:eastAsia="MS Mincho"/>
        </w:rPr>
        <w:t xml:space="preserve"> or the serving SNPN</w:t>
      </w:r>
      <w:r w:rsidRPr="00873B6C">
        <w:rPr>
          <w:rFonts w:eastAsia="MS Mincho"/>
        </w:rPr>
        <w:t>, a preferred target PLMN (e.g. based on last used EPS PLMN)</w:t>
      </w:r>
      <w:r w:rsidR="0026280E" w:rsidRPr="00873B6C">
        <w:rPr>
          <w:rFonts w:eastAsia="MS Mincho"/>
        </w:rPr>
        <w:t xml:space="preserve"> or a preferred target SNPN</w:t>
      </w:r>
      <w:r w:rsidRPr="00873B6C">
        <w:rPr>
          <w:rFonts w:eastAsia="MS Mincho"/>
        </w:rPr>
        <w:t>, or the policies of the operator(s).</w:t>
      </w:r>
    </w:p>
    <w:p w14:paraId="0CDD144C" w14:textId="77777777" w:rsidR="00D40151" w:rsidRPr="00873B6C" w:rsidRDefault="00D40151" w:rsidP="00D40151">
      <w:pPr>
        <w:rPr>
          <w:rFonts w:eastAsia="MS Mincho"/>
        </w:rPr>
      </w:pPr>
      <w:r w:rsidRPr="00873B6C">
        <w:rPr>
          <w:rFonts w:eastAsia="MS Mincho"/>
        </w:rPr>
        <w:t>For a UE registered in an SNPN, the AMF shall not provide a list of equivalent PLMNs to the UE and shall not provide a list of permitted PLMNs to NG-RAN.</w:t>
      </w:r>
    </w:p>
    <w:p w14:paraId="200C83AB" w14:textId="4CB6426D" w:rsidR="0026280E" w:rsidRPr="00873B6C" w:rsidRDefault="0026280E" w:rsidP="0026280E">
      <w:pPr>
        <w:rPr>
          <w:rFonts w:eastAsia="MS Mincho"/>
        </w:rPr>
      </w:pPr>
      <w:bookmarkStart w:id="3406" w:name="_Toc20150001"/>
      <w:bookmarkStart w:id="3407" w:name="_Toc27846800"/>
      <w:bookmarkStart w:id="3408" w:name="_Toc36187931"/>
      <w:bookmarkStart w:id="3409" w:name="_Toc45183835"/>
      <w:bookmarkStart w:id="3410" w:name="_Toc47342677"/>
      <w:bookmarkStart w:id="3411" w:name="_Toc51769378"/>
      <w:r w:rsidRPr="00873B6C">
        <w:rPr>
          <w:rFonts w:eastAsia="MS Mincho"/>
        </w:rPr>
        <w:t>For a UE registered in a PLMN, the AMF shall not provide a list of equivalent SNPNs to the UE and shall not provide a list of permitted SNPNs to NG-RAN.</w:t>
      </w:r>
    </w:p>
    <w:p w14:paraId="18605492" w14:textId="77777777" w:rsidR="00D40151" w:rsidRPr="00873B6C" w:rsidRDefault="00D40151" w:rsidP="00D40151">
      <w:pPr>
        <w:pStyle w:val="Heading3"/>
        <w:rPr>
          <w:rFonts w:eastAsia="MS Mincho"/>
        </w:rPr>
      </w:pPr>
      <w:bookmarkStart w:id="3412" w:name="_CR5_18_3"/>
      <w:bookmarkStart w:id="3413" w:name="_Toc201157390"/>
      <w:bookmarkEnd w:id="3412"/>
      <w:r w:rsidRPr="00873B6C">
        <w:rPr>
          <w:rFonts w:eastAsia="MS Mincho"/>
        </w:rPr>
        <w:t>5.18.3</w:t>
      </w:r>
      <w:r w:rsidRPr="00873B6C">
        <w:rPr>
          <w:rFonts w:eastAsia="MS Mincho"/>
        </w:rPr>
        <w:tab/>
        <w:t>Network selection by the UE</w:t>
      </w:r>
      <w:bookmarkEnd w:id="3406"/>
      <w:bookmarkEnd w:id="3407"/>
      <w:bookmarkEnd w:id="3408"/>
      <w:bookmarkEnd w:id="3409"/>
      <w:bookmarkEnd w:id="3410"/>
      <w:bookmarkEnd w:id="3411"/>
      <w:bookmarkEnd w:id="3413"/>
    </w:p>
    <w:p w14:paraId="429917EA" w14:textId="534C9F99" w:rsidR="00D40151" w:rsidRPr="00873B6C" w:rsidRDefault="00D40151" w:rsidP="00D40151">
      <w:pPr>
        <w:pStyle w:val="NO"/>
        <w:rPr>
          <w:rFonts w:eastAsia="MS Mincho"/>
        </w:rPr>
      </w:pPr>
      <w:r w:rsidRPr="00873B6C">
        <w:rPr>
          <w:rFonts w:eastAsia="MS Mincho"/>
        </w:rPr>
        <w:t>NOTE:</w:t>
      </w:r>
      <w:r w:rsidRPr="00873B6C">
        <w:rPr>
          <w:rFonts w:eastAsia="MS Mincho"/>
        </w:rPr>
        <w:tab/>
        <w:t>Thi</w:t>
      </w:r>
      <w:r w:rsidR="00323277" w:rsidRPr="00873B6C">
        <w:rPr>
          <w:rFonts w:eastAsia="MS Mincho"/>
        </w:rPr>
        <w:t xml:space="preserve">s clause </w:t>
      </w:r>
      <w:r w:rsidRPr="00873B6C">
        <w:rPr>
          <w:rFonts w:eastAsia="MS Mincho"/>
        </w:rPr>
        <w:t>applies to UEs not operating in SNPN access mode. Network selection for UEs set to operate in SNPN access mode is described in clause 5.30.2.4.</w:t>
      </w:r>
    </w:p>
    <w:p w14:paraId="063752AA" w14:textId="77777777" w:rsidR="00D40151" w:rsidRPr="00873B6C" w:rsidRDefault="00D40151" w:rsidP="00D40151">
      <w:pPr>
        <w:rPr>
          <w:rFonts w:eastAsia="MS Mincho"/>
        </w:rPr>
      </w:pPr>
      <w:r w:rsidRPr="00873B6C">
        <w:rPr>
          <w:rFonts w:eastAsia="MS Mincho"/>
        </w:rPr>
        <w:lastRenderedPageBreak/>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873B6C" w:rsidRDefault="00D40151" w:rsidP="00D40151">
      <w:pPr>
        <w:rPr>
          <w:rFonts w:eastAsia="MS Mincho"/>
        </w:rPr>
      </w:pPr>
      <w:r w:rsidRPr="00873B6C">
        <w:rPr>
          <w:rFonts w:eastAsia="MS Mincho"/>
        </w:rPr>
        <w:t>Each cell in shared NG-RAN shall in the broadcast system information include the PLMN-IDs concerning available core network operators in the shared network.</w:t>
      </w:r>
    </w:p>
    <w:p w14:paraId="08BB548F" w14:textId="3A48C69A" w:rsidR="00D40151" w:rsidRPr="00873B6C" w:rsidRDefault="00D40151" w:rsidP="00D40151">
      <w:pPr>
        <w:rPr>
          <w:rFonts w:eastAsia="MS Mincho"/>
        </w:rPr>
      </w:pPr>
      <w:r w:rsidRPr="00873B6C">
        <w:rPr>
          <w:rFonts w:eastAsia="MS Mincho"/>
        </w:rPr>
        <w:t>When a UE performs an Initial Registration to a network, one of available PLMNs shall be selected to serve the UE. UE uses all the received broadcast PLMN-IDs in its PLMN (re)selection processes which is specified in </w:t>
      </w:r>
      <w:r w:rsidR="00972E70" w:rsidRPr="00873B6C">
        <w:rPr>
          <w:rFonts w:eastAsia="MS Mincho"/>
        </w:rPr>
        <w:t>TS 23.122 [</w:t>
      </w:r>
      <w:r w:rsidRPr="00873B6C">
        <w:rPr>
          <w:rFonts w:eastAsia="MS Mincho"/>
        </w:rPr>
        <w:t>17]. UE shall inform the NG-RAN of the selected PLMN so that the NG-RAN can route correctly. The NG-RAN shall inform the core network of the selected PLMN.</w:t>
      </w:r>
    </w:p>
    <w:p w14:paraId="15A7B384" w14:textId="3B8A64CF" w:rsidR="00D40151" w:rsidRPr="00873B6C" w:rsidRDefault="00D40151" w:rsidP="00D40151">
      <w:r w:rsidRPr="00873B6C">
        <w:rPr>
          <w:rFonts w:eastAsia="MS Mincho"/>
        </w:rPr>
        <w:t>As per any network,</w:t>
      </w:r>
      <w:r w:rsidRPr="00873B6C">
        <w:t xml:space="preserve"> after Initial Registration to the shared network and while remaining served by the shared network, the network selection procedures specified in </w:t>
      </w:r>
      <w:r w:rsidR="00972E70" w:rsidRPr="00873B6C">
        <w:t>TS 23.122 [</w:t>
      </w:r>
      <w:r w:rsidRPr="00873B6C">
        <w:t>17] may cause the UE to perform a reselection of another available PLMN.</w:t>
      </w:r>
    </w:p>
    <w:p w14:paraId="5D9E7FF4" w14:textId="77777777" w:rsidR="00D40151" w:rsidRPr="00873B6C" w:rsidRDefault="00D40151" w:rsidP="00D40151">
      <w:pPr>
        <w:rPr>
          <w:lang w:eastAsia="ko-KR"/>
        </w:rPr>
      </w:pPr>
      <w:r w:rsidRPr="00873B6C">
        <w:rPr>
          <w:lang w:eastAsia="ko-KR"/>
        </w:rPr>
        <w:t>UE uses all of the received broadcast PLMN-IDs in its cell and PLMN (re)selection processes.</w:t>
      </w:r>
    </w:p>
    <w:p w14:paraId="249FABE7" w14:textId="77777777" w:rsidR="00D40151" w:rsidRPr="00873B6C" w:rsidRDefault="00D40151" w:rsidP="00D40151">
      <w:pPr>
        <w:pStyle w:val="Heading3"/>
      </w:pPr>
      <w:bookmarkStart w:id="3414" w:name="_CR5_18_4"/>
      <w:bookmarkStart w:id="3415" w:name="_Toc20150002"/>
      <w:bookmarkStart w:id="3416" w:name="_Toc27846801"/>
      <w:bookmarkStart w:id="3417" w:name="_Toc36187932"/>
      <w:bookmarkStart w:id="3418" w:name="_Toc45183836"/>
      <w:bookmarkStart w:id="3419" w:name="_Toc47342678"/>
      <w:bookmarkStart w:id="3420" w:name="_Toc51769379"/>
      <w:bookmarkStart w:id="3421" w:name="_Toc201157391"/>
      <w:bookmarkEnd w:id="3414"/>
      <w:r w:rsidRPr="00873B6C">
        <w:t>5.18.4</w:t>
      </w:r>
      <w:r w:rsidRPr="00873B6C">
        <w:tab/>
        <w:t>Network selection by the network</w:t>
      </w:r>
      <w:bookmarkEnd w:id="3415"/>
      <w:bookmarkEnd w:id="3416"/>
      <w:bookmarkEnd w:id="3417"/>
      <w:bookmarkEnd w:id="3418"/>
      <w:bookmarkEnd w:id="3419"/>
      <w:bookmarkEnd w:id="3420"/>
      <w:bookmarkEnd w:id="3421"/>
    </w:p>
    <w:p w14:paraId="1C9284DA" w14:textId="13A4BD19" w:rsidR="00D40151" w:rsidRPr="00873B6C" w:rsidRDefault="00D40151" w:rsidP="00D40151">
      <w:r w:rsidRPr="00873B6C">
        <w:t>The NG-RAN uses the selected PLMN</w:t>
      </w:r>
      <w:r w:rsidR="0026280E" w:rsidRPr="00873B6C">
        <w:t>/SNPN</w:t>
      </w:r>
      <w:r w:rsidRPr="00873B6C">
        <w:t xml:space="preserve"> (provided by the UE at RRC establishment, or, provided by the AMF/source NG-RAN at N2/Xn handover) to select target cells for future handovers (and radio resources in general) appropriately. The network should not move the UE to another available PLMN</w:t>
      </w:r>
      <w:r w:rsidR="0026280E" w:rsidRPr="00873B6C">
        <w:t>/SNPN</w:t>
      </w:r>
      <w:r w:rsidRPr="00873B6C">
        <w:t>, e.g. by handover, as long as the selected PLMN</w:t>
      </w:r>
      <w:r w:rsidR="0026280E" w:rsidRPr="00873B6C">
        <w:t>/SNPN</w:t>
      </w:r>
      <w:r w:rsidRPr="00873B6C">
        <w:t xml:space="preserve"> is available to serve the UE's location.</w:t>
      </w:r>
    </w:p>
    <w:p w14:paraId="3BFF610F" w14:textId="42E9EDE3" w:rsidR="00D40151" w:rsidRPr="00873B6C" w:rsidRDefault="00D40151" w:rsidP="00D40151">
      <w:r w:rsidRPr="00873B6C">
        <w:t>In the case of handover or network controlled release to</w:t>
      </w:r>
      <w:r w:rsidR="0026280E" w:rsidRPr="00873B6C">
        <w:t xml:space="preserve"> a PLMN in</w:t>
      </w:r>
      <w:r w:rsidRPr="00873B6C">
        <w:t xml:space="preserve"> a shared network:</w:t>
      </w:r>
    </w:p>
    <w:p w14:paraId="4F3B4953" w14:textId="77777777" w:rsidR="00D40151" w:rsidRPr="00873B6C" w:rsidRDefault="00D40151" w:rsidP="00D40151">
      <w:pPr>
        <w:pStyle w:val="B1"/>
      </w:pPr>
      <w:r w:rsidRPr="00873B6C">
        <w:t>-</w:t>
      </w:r>
      <w:r w:rsidRPr="00873B6C">
        <w:tab/>
        <w:t>When multiple PLMN IDs are broadcasted in a cell selected by NG-RAN, NG-RAN shall select a target PLMN, taking into account the prioritized list of PLMN IDs provided via Mobility Restriction List from AMF.</w:t>
      </w:r>
    </w:p>
    <w:p w14:paraId="3078DCEE" w14:textId="373B5732" w:rsidR="00D40151" w:rsidRPr="00873B6C" w:rsidRDefault="00D40151" w:rsidP="00D40151">
      <w:pPr>
        <w:pStyle w:val="B1"/>
      </w:pPr>
      <w:r w:rsidRPr="00873B6C">
        <w:t>-</w:t>
      </w:r>
      <w:r w:rsidRPr="00873B6C">
        <w:tab/>
        <w:t>For Xn based HO procedure, Source NG-RAN indicates</w:t>
      </w:r>
      <w:r w:rsidR="003B51EA" w:rsidRPr="00873B6C">
        <w:t xml:space="preserve"> the</w:t>
      </w:r>
      <w:r w:rsidRPr="00873B6C">
        <w:t xml:space="preserve"> selected PLMN ID to the target NG-RAN</w:t>
      </w:r>
      <w:r w:rsidR="003B51EA" w:rsidRPr="00873B6C">
        <w:t xml:space="preserve">, see </w:t>
      </w:r>
      <w:r w:rsidR="00972E70" w:rsidRPr="00873B6C">
        <w:t>TS 38.300 [</w:t>
      </w:r>
      <w:r w:rsidR="003B51EA" w:rsidRPr="00873B6C">
        <w:t>27]</w:t>
      </w:r>
      <w:r w:rsidRPr="00873B6C">
        <w:t>.</w:t>
      </w:r>
    </w:p>
    <w:p w14:paraId="27C05FE4" w14:textId="77777777" w:rsidR="00D40151" w:rsidRPr="00873B6C" w:rsidRDefault="00D40151" w:rsidP="00D40151">
      <w:pPr>
        <w:pStyle w:val="B1"/>
      </w:pPr>
      <w:r w:rsidRPr="00873B6C">
        <w:t>-</w:t>
      </w:r>
      <w:r w:rsidRPr="00873B6C">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873B6C" w:rsidRDefault="00D40151" w:rsidP="00D40151">
      <w:pPr>
        <w:pStyle w:val="B1"/>
      </w:pPr>
      <w:r w:rsidRPr="00873B6C">
        <w:t>-</w:t>
      </w:r>
      <w:r w:rsidRPr="00873B6C">
        <w:tab/>
        <w:t>For RRC connection release with redirection to E-UTRAN procedure, NG-RAN decides the target network by using PLMN information as defined in the first bullet.</w:t>
      </w:r>
    </w:p>
    <w:p w14:paraId="130BFC47" w14:textId="77777777" w:rsidR="00D40151" w:rsidRPr="00873B6C" w:rsidRDefault="00D40151" w:rsidP="00D40151">
      <w:r w:rsidRPr="00873B6C">
        <w:t>A change in serving PLMN is indicated to the UE as part of the UE registration with the selected network via 5G-GUTI in 5GS.</w:t>
      </w:r>
    </w:p>
    <w:p w14:paraId="31B70FE2" w14:textId="77777777" w:rsidR="0026280E" w:rsidRPr="00873B6C" w:rsidRDefault="0026280E" w:rsidP="0026280E">
      <w:bookmarkStart w:id="3422" w:name="_Toc20150003"/>
      <w:bookmarkStart w:id="3423" w:name="_Toc27846802"/>
      <w:bookmarkStart w:id="3424" w:name="_Toc36187933"/>
      <w:bookmarkStart w:id="3425" w:name="_Toc45183837"/>
      <w:bookmarkStart w:id="3426" w:name="_Toc47342679"/>
      <w:bookmarkStart w:id="3427" w:name="_Toc51769380"/>
      <w:r w:rsidRPr="00873B6C">
        <w:t>In the case of handover or network controlled release to an SNPN in a shared network, the following applies:</w:t>
      </w:r>
    </w:p>
    <w:p w14:paraId="11E475BE" w14:textId="77777777" w:rsidR="0026280E" w:rsidRPr="00873B6C" w:rsidRDefault="0026280E" w:rsidP="00695DF1">
      <w:pPr>
        <w:pStyle w:val="B1"/>
      </w:pPr>
      <w:r w:rsidRPr="00873B6C">
        <w:t>-</w:t>
      </w:r>
      <w:r w:rsidRPr="00873B6C">
        <w:tab/>
        <w:t>When multiple SNPN IDs are broadcasted in a cell selected by NG-RAN, NG-RAN shall select a target SNPN, taking into account the prioritized list of SNPN IDs provided via Mobility Restriction List from AMF.</w:t>
      </w:r>
    </w:p>
    <w:p w14:paraId="18608D89" w14:textId="0E431403" w:rsidR="0026280E" w:rsidRPr="00873B6C" w:rsidRDefault="0026280E" w:rsidP="00695DF1">
      <w:pPr>
        <w:pStyle w:val="B1"/>
      </w:pPr>
      <w:r w:rsidRPr="00873B6C">
        <w:t>-</w:t>
      </w:r>
      <w:r w:rsidRPr="00873B6C">
        <w:tab/>
        <w:t xml:space="preserve">For Xn based HO procedure, Source NG-RAN indicates the selected SNPN ID to the target NG-RAN, see </w:t>
      </w:r>
      <w:r w:rsidR="00972E70" w:rsidRPr="00873B6C">
        <w:t>TS 38.300 [</w:t>
      </w:r>
      <w:r w:rsidRPr="00873B6C">
        <w:t>27].</w:t>
      </w:r>
    </w:p>
    <w:p w14:paraId="197B1A16" w14:textId="77777777" w:rsidR="0026280E" w:rsidRPr="00873B6C" w:rsidRDefault="0026280E" w:rsidP="00695DF1">
      <w:pPr>
        <w:pStyle w:val="B1"/>
      </w:pPr>
      <w:r w:rsidRPr="00873B6C">
        <w:t>-</w:t>
      </w:r>
      <w:r w:rsidRPr="00873B6C">
        <w:tab/>
        <w:t>For N2 based HO procedure, the NG-RAN indicates a selected SNPN ID to the AMF together with the TAI sent in the HO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72A9ABBA" w14:textId="77777777" w:rsidR="0026280E" w:rsidRPr="00873B6C" w:rsidRDefault="0026280E" w:rsidP="0026280E">
      <w:r w:rsidRPr="00873B6C">
        <w:t>A change in serving SNPN is indicated to the UE as part of the UE registration with the selected network.</w:t>
      </w:r>
    </w:p>
    <w:p w14:paraId="4DD9F8B3" w14:textId="13C2FF16" w:rsidR="00D40151" w:rsidRPr="00873B6C" w:rsidRDefault="00D40151" w:rsidP="00D40151">
      <w:pPr>
        <w:pStyle w:val="Heading3"/>
      </w:pPr>
      <w:bookmarkStart w:id="3428" w:name="_CR5_18_5"/>
      <w:bookmarkStart w:id="3429" w:name="_Toc201157392"/>
      <w:bookmarkEnd w:id="3428"/>
      <w:r w:rsidRPr="00873B6C">
        <w:lastRenderedPageBreak/>
        <w:t>5.18.5</w:t>
      </w:r>
      <w:r w:rsidRPr="00873B6C">
        <w:tab/>
        <w:t>Network Sharing and Network Slicing</w:t>
      </w:r>
      <w:bookmarkEnd w:id="3422"/>
      <w:bookmarkEnd w:id="3423"/>
      <w:bookmarkEnd w:id="3424"/>
      <w:bookmarkEnd w:id="3425"/>
      <w:bookmarkEnd w:id="3426"/>
      <w:bookmarkEnd w:id="3427"/>
      <w:bookmarkEnd w:id="3429"/>
    </w:p>
    <w:p w14:paraId="3E26BAC0" w14:textId="77777777" w:rsidR="00D40151" w:rsidRPr="00873B6C" w:rsidRDefault="00D40151" w:rsidP="00D40151">
      <w:pPr>
        <w:rPr>
          <w:rFonts w:eastAsia="MS Mincho"/>
        </w:rPr>
      </w:pPr>
      <w:r w:rsidRPr="00873B6C">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873B6C" w:rsidRDefault="00D40151" w:rsidP="00D40151">
      <w:pPr>
        <w:pStyle w:val="Heading2"/>
      </w:pPr>
      <w:bookmarkStart w:id="3430" w:name="_CR5_19"/>
      <w:bookmarkStart w:id="3431" w:name="_Toc20150004"/>
      <w:bookmarkStart w:id="3432" w:name="_Toc27846803"/>
      <w:bookmarkStart w:id="3433" w:name="_Toc36187934"/>
      <w:bookmarkStart w:id="3434" w:name="_Toc45183838"/>
      <w:bookmarkStart w:id="3435" w:name="_Toc47342680"/>
      <w:bookmarkStart w:id="3436" w:name="_Toc51769381"/>
      <w:bookmarkStart w:id="3437" w:name="_Toc201157393"/>
      <w:bookmarkEnd w:id="3430"/>
      <w:r w:rsidRPr="00873B6C">
        <w:t>5.19</w:t>
      </w:r>
      <w:r w:rsidRPr="00873B6C">
        <w:tab/>
        <w:t>Control Plane Load Control, Congestion and Overload Control</w:t>
      </w:r>
      <w:bookmarkEnd w:id="3431"/>
      <w:bookmarkEnd w:id="3432"/>
      <w:bookmarkEnd w:id="3433"/>
      <w:bookmarkEnd w:id="3434"/>
      <w:bookmarkEnd w:id="3435"/>
      <w:bookmarkEnd w:id="3436"/>
      <w:bookmarkEnd w:id="3437"/>
    </w:p>
    <w:p w14:paraId="521D2DF0" w14:textId="77777777" w:rsidR="00D40151" w:rsidRPr="00873B6C" w:rsidRDefault="00D40151" w:rsidP="00D40151">
      <w:pPr>
        <w:pStyle w:val="Heading3"/>
      </w:pPr>
      <w:bookmarkStart w:id="3438" w:name="_CR5_19_1"/>
      <w:bookmarkStart w:id="3439" w:name="_Toc20150005"/>
      <w:bookmarkStart w:id="3440" w:name="_Toc27846804"/>
      <w:bookmarkStart w:id="3441" w:name="_Toc36187935"/>
      <w:bookmarkStart w:id="3442" w:name="_Toc45183839"/>
      <w:bookmarkStart w:id="3443" w:name="_Toc47342681"/>
      <w:bookmarkStart w:id="3444" w:name="_Toc51769382"/>
      <w:bookmarkStart w:id="3445" w:name="_Toc201157394"/>
      <w:bookmarkEnd w:id="3438"/>
      <w:r w:rsidRPr="00873B6C">
        <w:t>5.19.1</w:t>
      </w:r>
      <w:r w:rsidRPr="00873B6C">
        <w:tab/>
        <w:t>General</w:t>
      </w:r>
      <w:bookmarkEnd w:id="3439"/>
      <w:bookmarkEnd w:id="3440"/>
      <w:bookmarkEnd w:id="3441"/>
      <w:bookmarkEnd w:id="3442"/>
      <w:bookmarkEnd w:id="3443"/>
      <w:bookmarkEnd w:id="3444"/>
      <w:bookmarkEnd w:id="3445"/>
    </w:p>
    <w:p w14:paraId="447838B6" w14:textId="77777777" w:rsidR="00D40151" w:rsidRPr="00873B6C" w:rsidRDefault="00D40151" w:rsidP="00D40151">
      <w:r w:rsidRPr="00873B6C">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873B6C" w:rsidRDefault="00D40151" w:rsidP="00D40151">
      <w:pPr>
        <w:pStyle w:val="Heading3"/>
      </w:pPr>
      <w:bookmarkStart w:id="3446" w:name="_CR5_19_2"/>
      <w:bookmarkStart w:id="3447" w:name="_Toc20150006"/>
      <w:bookmarkStart w:id="3448" w:name="_Toc27846805"/>
      <w:bookmarkStart w:id="3449" w:name="_Toc36187936"/>
      <w:bookmarkStart w:id="3450" w:name="_Toc45183840"/>
      <w:bookmarkStart w:id="3451" w:name="_Toc47342682"/>
      <w:bookmarkStart w:id="3452" w:name="_Toc51769383"/>
      <w:bookmarkStart w:id="3453" w:name="_Toc201157395"/>
      <w:bookmarkEnd w:id="3446"/>
      <w:r w:rsidRPr="00873B6C">
        <w:t>5.19.2</w:t>
      </w:r>
      <w:r w:rsidRPr="00873B6C">
        <w:tab/>
        <w:t>TNLA Load Balancing and TNLA Load Re-Balancing</w:t>
      </w:r>
      <w:bookmarkEnd w:id="3447"/>
      <w:bookmarkEnd w:id="3448"/>
      <w:bookmarkEnd w:id="3449"/>
      <w:bookmarkEnd w:id="3450"/>
      <w:bookmarkEnd w:id="3451"/>
      <w:bookmarkEnd w:id="3452"/>
      <w:bookmarkEnd w:id="3453"/>
    </w:p>
    <w:p w14:paraId="3B56C9F1" w14:textId="77777777" w:rsidR="00D40151" w:rsidRPr="00873B6C" w:rsidRDefault="00D40151" w:rsidP="00D40151">
      <w:r w:rsidRPr="00873B6C">
        <w:t>AMF can support load balancing and re-balancing of TNL associations between 5G-AN and AMF by using mechanisms specified in clause 5.21.1.</w:t>
      </w:r>
    </w:p>
    <w:p w14:paraId="0B8DED7C" w14:textId="77777777" w:rsidR="00D40151" w:rsidRPr="00873B6C" w:rsidRDefault="00D40151" w:rsidP="00D40151">
      <w:pPr>
        <w:pStyle w:val="Heading3"/>
      </w:pPr>
      <w:bookmarkStart w:id="3454" w:name="_CR5_19_3"/>
      <w:bookmarkStart w:id="3455" w:name="_Toc20150007"/>
      <w:bookmarkStart w:id="3456" w:name="_Toc27846806"/>
      <w:bookmarkStart w:id="3457" w:name="_Toc36187937"/>
      <w:bookmarkStart w:id="3458" w:name="_Toc45183841"/>
      <w:bookmarkStart w:id="3459" w:name="_Toc47342683"/>
      <w:bookmarkStart w:id="3460" w:name="_Toc51769384"/>
      <w:bookmarkStart w:id="3461" w:name="_Toc201157396"/>
      <w:bookmarkEnd w:id="3454"/>
      <w:r w:rsidRPr="00873B6C">
        <w:t>5.19.3</w:t>
      </w:r>
      <w:r w:rsidRPr="00873B6C">
        <w:tab/>
        <w:t>AMF Load Balancing</w:t>
      </w:r>
      <w:bookmarkEnd w:id="3455"/>
      <w:bookmarkEnd w:id="3456"/>
      <w:bookmarkEnd w:id="3457"/>
      <w:bookmarkEnd w:id="3458"/>
      <w:bookmarkEnd w:id="3459"/>
      <w:bookmarkEnd w:id="3460"/>
      <w:bookmarkEnd w:id="3461"/>
    </w:p>
    <w:p w14:paraId="5EDC53BC" w14:textId="4974E3A4" w:rsidR="00D40151" w:rsidRPr="00873B6C" w:rsidRDefault="00D40151" w:rsidP="00D40151">
      <w:r w:rsidRPr="00873B6C">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972E70" w:rsidRPr="00873B6C">
        <w:t>TS 38.413 [</w:t>
      </w:r>
      <w:r w:rsidRPr="00873B6C">
        <w:t>34]).</w:t>
      </w:r>
    </w:p>
    <w:p w14:paraId="45853B26" w14:textId="572097DF" w:rsidR="00D40151" w:rsidRPr="00873B6C" w:rsidRDefault="00D40151" w:rsidP="00D40151">
      <w:pPr>
        <w:pStyle w:val="NO"/>
      </w:pPr>
      <w:r w:rsidRPr="00873B6C">
        <w:t>NOTE 1:</w:t>
      </w:r>
      <w:r w:rsidRPr="00873B6C">
        <w:tab/>
        <w:t xml:space="preserve">An operator may decide to change the Weight Factor after the establishment of NGAP connectivity as a result of changes in the AMF capacities. </w:t>
      </w:r>
      <w:r w:rsidR="000E35F2" w:rsidRPr="00873B6C">
        <w:t>e</w:t>
      </w:r>
      <w:r w:rsidRPr="00873B6C">
        <w:t>.g. a newly installed AMF may be given a very much higher Weight Factor for an initial period of time making it faster to increase its load.</w:t>
      </w:r>
    </w:p>
    <w:p w14:paraId="233AF134" w14:textId="77777777" w:rsidR="00D40151" w:rsidRPr="00873B6C" w:rsidRDefault="00D40151" w:rsidP="00D40151">
      <w:pPr>
        <w:pStyle w:val="NO"/>
      </w:pPr>
      <w:r w:rsidRPr="00873B6C">
        <w:t>NOTE 2:</w:t>
      </w:r>
      <w:r w:rsidRPr="00873B6C">
        <w:tab/>
        <w:t>It is intended that the Weight Factor is NOT changed frequently. e.g. in a mature network, changes on a monthly basis could be anticipated, e.g. due to the addition of 5G-AN or 5GC nodes.</w:t>
      </w:r>
    </w:p>
    <w:p w14:paraId="27442DE9" w14:textId="77777777" w:rsidR="00D40151" w:rsidRPr="00873B6C" w:rsidRDefault="00D40151" w:rsidP="00D40151">
      <w:pPr>
        <w:pStyle w:val="NO"/>
      </w:pPr>
      <w:r w:rsidRPr="00873B6C">
        <w:t>NOTE 3:</w:t>
      </w:r>
      <w:r w:rsidRPr="00873B6C">
        <w:tab/>
        <w:t>Weight Factors for AMF Load Balancing are associated with AMF Names.</w:t>
      </w:r>
    </w:p>
    <w:p w14:paraId="7DA20B33" w14:textId="77777777" w:rsidR="00D40151" w:rsidRPr="00873B6C" w:rsidRDefault="00D40151" w:rsidP="00D40151">
      <w:r w:rsidRPr="00873B6C">
        <w:t>Load balancing by 5G-AN node is only performed between AMFs that belong to the same AMF set, i.e. AMFs with the same PLMN, AMF Region ID and AMF Set ID value.</w:t>
      </w:r>
    </w:p>
    <w:p w14:paraId="4C948F46" w14:textId="77777777" w:rsidR="00D40151" w:rsidRPr="00873B6C" w:rsidRDefault="00D40151" w:rsidP="00D40151">
      <w:pPr>
        <w:rPr>
          <w:lang w:eastAsia="ja-JP"/>
        </w:rPr>
      </w:pPr>
      <w:r w:rsidRPr="00873B6C">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873B6C" w:rsidRDefault="00D40151" w:rsidP="00D40151">
      <w:pPr>
        <w:pStyle w:val="Heading3"/>
      </w:pPr>
      <w:bookmarkStart w:id="3462" w:name="_CR5_19_4"/>
      <w:bookmarkStart w:id="3463" w:name="_Toc20150008"/>
      <w:bookmarkStart w:id="3464" w:name="_Toc27846807"/>
      <w:bookmarkStart w:id="3465" w:name="_Toc36187938"/>
      <w:bookmarkStart w:id="3466" w:name="_Toc45183842"/>
      <w:bookmarkStart w:id="3467" w:name="_Toc47342684"/>
      <w:bookmarkStart w:id="3468" w:name="_Toc51769385"/>
      <w:bookmarkStart w:id="3469" w:name="_Toc201157397"/>
      <w:bookmarkEnd w:id="3462"/>
      <w:r w:rsidRPr="00873B6C">
        <w:t>5.19.4</w:t>
      </w:r>
      <w:r w:rsidRPr="00873B6C">
        <w:tab/>
        <w:t>AMF Load Re-Balancing</w:t>
      </w:r>
      <w:bookmarkEnd w:id="3463"/>
      <w:bookmarkEnd w:id="3464"/>
      <w:bookmarkEnd w:id="3465"/>
      <w:bookmarkEnd w:id="3466"/>
      <w:bookmarkEnd w:id="3467"/>
      <w:bookmarkEnd w:id="3468"/>
      <w:bookmarkEnd w:id="3469"/>
    </w:p>
    <w:p w14:paraId="69DDFD49" w14:textId="77777777" w:rsidR="00D40151" w:rsidRPr="00873B6C" w:rsidRDefault="00D40151" w:rsidP="00D40151">
      <w:pPr>
        <w:rPr>
          <w:lang w:eastAsia="ja-JP"/>
        </w:rPr>
      </w:pPr>
      <w:r w:rsidRPr="00873B6C">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873B6C">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873B6C" w:rsidRDefault="00D40151" w:rsidP="00D40151">
      <w:r w:rsidRPr="00873B6C">
        <w:t>When indicating a specific target AMF, the AMF should ensure that the load re-balancing will not cause overload in the target AMF.</w:t>
      </w:r>
    </w:p>
    <w:p w14:paraId="4586EBC7" w14:textId="77777777" w:rsidR="00D40151" w:rsidRPr="00873B6C" w:rsidRDefault="00D40151" w:rsidP="00D40151">
      <w:pPr>
        <w:pStyle w:val="NO"/>
        <w:rPr>
          <w:lang w:eastAsia="zh-CN"/>
        </w:rPr>
      </w:pPr>
      <w:r w:rsidRPr="00873B6C">
        <w:rPr>
          <w:lang w:eastAsia="zh-CN"/>
        </w:rPr>
        <w:t>NOTE:</w:t>
      </w:r>
      <w:r w:rsidRPr="00873B6C">
        <w:rPr>
          <w:lang w:eastAsia="zh-CN"/>
        </w:rPr>
        <w:tab/>
        <w:t>This requirement can be fulfilled by the AMF itself or by the OAM.</w:t>
      </w:r>
    </w:p>
    <w:p w14:paraId="6410062F" w14:textId="77777777" w:rsidR="00D40151" w:rsidRPr="00873B6C" w:rsidRDefault="00D40151" w:rsidP="00D40151">
      <w:r w:rsidRPr="00873B6C">
        <w:lastRenderedPageBreak/>
        <w:t xml:space="preserve">For UE(s) in CM-IDLE state, when UE subsequently returns from CM-IDLE state and the </w:t>
      </w:r>
      <w:r w:rsidRPr="00873B6C">
        <w:rPr>
          <w:rFonts w:eastAsia="DengXian"/>
        </w:rPr>
        <w:t>5G-AN</w:t>
      </w:r>
      <w:r w:rsidRPr="00873B6C">
        <w:t xml:space="preserve"> receives an initial NAS message with a 5G S-TMSI or GUAMI pointing to an AMF that requested for redirection, the </w:t>
      </w:r>
      <w:r w:rsidRPr="00873B6C">
        <w:rPr>
          <w:rFonts w:eastAsia="DengXian"/>
        </w:rPr>
        <w:t>5G-AN</w:t>
      </w:r>
      <w:r w:rsidRPr="00873B6C">
        <w:t xml:space="preserve"> should select the specific target AMF (provided by the original AMF) or a different AMF from the same AMF set and forward the initial NAS message.</w:t>
      </w:r>
    </w:p>
    <w:p w14:paraId="55CA318F" w14:textId="77777777" w:rsidR="00D40151" w:rsidRPr="00873B6C" w:rsidRDefault="00D40151" w:rsidP="00D40151">
      <w:r w:rsidRPr="00873B6C">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873B6C" w:rsidRDefault="00D40151" w:rsidP="00D40151">
      <w:r w:rsidRPr="00873B6C">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873B6C" w:rsidRDefault="00D40151" w:rsidP="00D40151">
      <w:r w:rsidRPr="00873B6C">
        <w:t>When the AMF wants to stop redirection, the AMF can indicate that it can serve all UE(s) in CM-IDLE state to stop the redirection.</w:t>
      </w:r>
    </w:p>
    <w:p w14:paraId="35B08D1A" w14:textId="77777777" w:rsidR="00D40151" w:rsidRPr="00873B6C" w:rsidRDefault="00D40151" w:rsidP="00D40151">
      <w:pPr>
        <w:pStyle w:val="NO"/>
      </w:pPr>
      <w:r w:rsidRPr="00873B6C">
        <w:t>NOTE 1:</w:t>
      </w:r>
      <w:r w:rsidRPr="00873B6C">
        <w:tab/>
        <w:t>An example use for the AMF load re-balancing functionality is for the AMF to pro-actively re-balance its load prior to reaching overload i.e. to prevent overload situation.</w:t>
      </w:r>
    </w:p>
    <w:p w14:paraId="5121FBA8" w14:textId="77777777" w:rsidR="00D40151" w:rsidRPr="00873B6C" w:rsidRDefault="00D40151" w:rsidP="00D40151">
      <w:pPr>
        <w:pStyle w:val="NO"/>
      </w:pPr>
      <w:r w:rsidRPr="00873B6C">
        <w:t>NOTE 2:</w:t>
      </w:r>
      <w:r w:rsidRPr="00873B6C">
        <w:tab/>
        <w:t>Typically, AMF Load Re-Balancing is not needed when the AMF becomes overloaded because the Load Balancing function should have ensured that the other AMFs within the AMF Set are similarly overloaded.</w:t>
      </w:r>
    </w:p>
    <w:p w14:paraId="1FC03460" w14:textId="77777777" w:rsidR="00D40151" w:rsidRPr="00873B6C" w:rsidRDefault="00D40151" w:rsidP="00D40151">
      <w:pPr>
        <w:pStyle w:val="Heading3"/>
      </w:pPr>
      <w:bookmarkStart w:id="3470" w:name="_CR5_19_5"/>
      <w:bookmarkStart w:id="3471" w:name="_Toc20150009"/>
      <w:bookmarkStart w:id="3472" w:name="_Toc27846808"/>
      <w:bookmarkStart w:id="3473" w:name="_Toc36187939"/>
      <w:bookmarkStart w:id="3474" w:name="_Toc45183843"/>
      <w:bookmarkStart w:id="3475" w:name="_Toc47342685"/>
      <w:bookmarkStart w:id="3476" w:name="_Toc51769386"/>
      <w:bookmarkStart w:id="3477" w:name="_Toc201157398"/>
      <w:bookmarkEnd w:id="3470"/>
      <w:r w:rsidRPr="00873B6C">
        <w:t>5.19.5</w:t>
      </w:r>
      <w:r w:rsidRPr="00873B6C">
        <w:tab/>
        <w:t>AMF Control Of Overload</w:t>
      </w:r>
      <w:bookmarkEnd w:id="3471"/>
      <w:bookmarkEnd w:id="3472"/>
      <w:bookmarkEnd w:id="3473"/>
      <w:bookmarkEnd w:id="3474"/>
      <w:bookmarkEnd w:id="3475"/>
      <w:bookmarkEnd w:id="3476"/>
      <w:bookmarkEnd w:id="3477"/>
    </w:p>
    <w:p w14:paraId="2BA60046" w14:textId="77777777" w:rsidR="00D40151" w:rsidRPr="00873B6C" w:rsidRDefault="00D40151" w:rsidP="00D40151">
      <w:pPr>
        <w:pStyle w:val="Heading4"/>
        <w:rPr>
          <w:lang w:eastAsia="ja-JP"/>
        </w:rPr>
      </w:pPr>
      <w:bookmarkStart w:id="3478" w:name="_CR5_19_5_1"/>
      <w:bookmarkStart w:id="3479" w:name="_Toc20150010"/>
      <w:bookmarkStart w:id="3480" w:name="_Toc27846809"/>
      <w:bookmarkStart w:id="3481" w:name="_Toc36187940"/>
      <w:bookmarkStart w:id="3482" w:name="_Toc45183844"/>
      <w:bookmarkStart w:id="3483" w:name="_Toc47342686"/>
      <w:bookmarkStart w:id="3484" w:name="_Toc51769387"/>
      <w:bookmarkStart w:id="3485" w:name="_Toc201157399"/>
      <w:bookmarkEnd w:id="3478"/>
      <w:r w:rsidRPr="00873B6C">
        <w:rPr>
          <w:lang w:eastAsia="ja-JP"/>
        </w:rPr>
        <w:t>5.19.5.1</w:t>
      </w:r>
      <w:r w:rsidRPr="00873B6C">
        <w:rPr>
          <w:lang w:eastAsia="ja-JP"/>
        </w:rPr>
        <w:tab/>
        <w:t>General</w:t>
      </w:r>
      <w:bookmarkEnd w:id="3479"/>
      <w:bookmarkEnd w:id="3480"/>
      <w:bookmarkEnd w:id="3481"/>
      <w:bookmarkEnd w:id="3482"/>
      <w:bookmarkEnd w:id="3483"/>
      <w:bookmarkEnd w:id="3484"/>
      <w:bookmarkEnd w:id="3485"/>
    </w:p>
    <w:p w14:paraId="1A653627" w14:textId="77777777" w:rsidR="00D40151" w:rsidRPr="00873B6C" w:rsidRDefault="00D40151" w:rsidP="00D40151">
      <w:pPr>
        <w:rPr>
          <w:lang w:eastAsia="ja-JP"/>
        </w:rPr>
      </w:pPr>
      <w:r w:rsidRPr="00873B6C">
        <w:rPr>
          <w:lang w:eastAsia="ja-JP"/>
        </w:rPr>
        <w:t>The AMF shall contain mechanisms for avoiding and handling overload situations. This includes the following measures:</w:t>
      </w:r>
    </w:p>
    <w:p w14:paraId="37DB3CE7" w14:textId="77777777" w:rsidR="00D40151" w:rsidRPr="00873B6C" w:rsidRDefault="00D40151" w:rsidP="00D40151">
      <w:pPr>
        <w:pStyle w:val="B1"/>
        <w:rPr>
          <w:lang w:eastAsia="ja-JP"/>
        </w:rPr>
      </w:pPr>
      <w:r w:rsidRPr="00873B6C">
        <w:rPr>
          <w:lang w:eastAsia="ja-JP"/>
        </w:rPr>
        <w:t>-</w:t>
      </w:r>
      <w:r w:rsidRPr="00873B6C">
        <w:rPr>
          <w:lang w:eastAsia="ja-JP"/>
        </w:rPr>
        <w:tab/>
        <w:t>N2 overload control that could result in RRC reject, RRC Connection Release and unified access barring.</w:t>
      </w:r>
    </w:p>
    <w:p w14:paraId="70BC2F60" w14:textId="77777777" w:rsidR="00D40151" w:rsidRPr="00873B6C" w:rsidRDefault="00D40151" w:rsidP="00D40151">
      <w:pPr>
        <w:pStyle w:val="B1"/>
        <w:rPr>
          <w:lang w:eastAsia="ja-JP"/>
        </w:rPr>
      </w:pPr>
      <w:r w:rsidRPr="00873B6C">
        <w:rPr>
          <w:lang w:eastAsia="ja-JP"/>
        </w:rPr>
        <w:t>-</w:t>
      </w:r>
      <w:r w:rsidRPr="00873B6C">
        <w:rPr>
          <w:lang w:eastAsia="ja-JP"/>
        </w:rPr>
        <w:tab/>
        <w:t>NAS congestion control.</w:t>
      </w:r>
    </w:p>
    <w:p w14:paraId="7E725E52" w14:textId="77777777" w:rsidR="00D40151" w:rsidRPr="00873B6C" w:rsidRDefault="00D40151" w:rsidP="00D40151">
      <w:pPr>
        <w:pStyle w:val="Heading4"/>
      </w:pPr>
      <w:bookmarkStart w:id="3486" w:name="_CR5_19_5_2"/>
      <w:bookmarkStart w:id="3487" w:name="_Toc20150011"/>
      <w:bookmarkStart w:id="3488" w:name="_Toc27846810"/>
      <w:bookmarkStart w:id="3489" w:name="_Toc36187941"/>
      <w:bookmarkStart w:id="3490" w:name="_Toc45183845"/>
      <w:bookmarkStart w:id="3491" w:name="_Toc47342687"/>
      <w:bookmarkStart w:id="3492" w:name="_Toc51769388"/>
      <w:bookmarkStart w:id="3493" w:name="_Toc201157400"/>
      <w:bookmarkEnd w:id="3486"/>
      <w:r w:rsidRPr="00873B6C">
        <w:t>5.19.5.2</w:t>
      </w:r>
      <w:r w:rsidRPr="00873B6C">
        <w:tab/>
        <w:t>AMF Overload Control</w:t>
      </w:r>
      <w:bookmarkEnd w:id="3487"/>
      <w:bookmarkEnd w:id="3488"/>
      <w:bookmarkEnd w:id="3489"/>
      <w:bookmarkEnd w:id="3490"/>
      <w:bookmarkEnd w:id="3491"/>
      <w:bookmarkEnd w:id="3492"/>
      <w:bookmarkEnd w:id="3493"/>
    </w:p>
    <w:p w14:paraId="04997816" w14:textId="00490DE2" w:rsidR="00D40151" w:rsidRPr="00873B6C" w:rsidRDefault="00D40151" w:rsidP="00D40151">
      <w:pPr>
        <w:rPr>
          <w:lang w:eastAsia="ja-JP"/>
        </w:rPr>
      </w:pPr>
      <w:r w:rsidRPr="00873B6C">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972E70" w:rsidRPr="00873B6C">
        <w:rPr>
          <w:lang w:eastAsia="ja-JP"/>
        </w:rPr>
        <w:t>TS 38.300 [</w:t>
      </w:r>
      <w:r w:rsidRPr="00873B6C">
        <w:rPr>
          <w:lang w:eastAsia="ja-JP"/>
        </w:rPr>
        <w:t xml:space="preserve">27] and </w:t>
      </w:r>
      <w:r w:rsidR="00972E70" w:rsidRPr="00873B6C">
        <w:rPr>
          <w:lang w:eastAsia="ja-JP"/>
        </w:rPr>
        <w:t>TS 38.413 [</w:t>
      </w:r>
      <w:r w:rsidRPr="00873B6C">
        <w:rPr>
          <w:lang w:eastAsia="ja-JP"/>
        </w:rPr>
        <w:t xml:space="preserve">34]) to all or to a proportion of the 5G-AN nodes with which the AMF has N2 connections. </w:t>
      </w:r>
      <w:r w:rsidRPr="00873B6C">
        <w:rPr>
          <w:lang w:eastAsia="zh-CN"/>
        </w:rPr>
        <w:t>T</w:t>
      </w:r>
      <w:r w:rsidRPr="00873B6C">
        <w:t xml:space="preserve">he AMF </w:t>
      </w:r>
      <w:r w:rsidRPr="00873B6C">
        <w:rPr>
          <w:lang w:eastAsia="zh-CN"/>
        </w:rPr>
        <w:t xml:space="preserve">may </w:t>
      </w:r>
      <w:r w:rsidRPr="00873B6C">
        <w:t xml:space="preserve">include the S-NSSAI(s) in NGAP OVERLOAD START </w:t>
      </w:r>
      <w:r w:rsidRPr="00873B6C">
        <w:rPr>
          <w:lang w:eastAsia="zh-CN"/>
        </w:rPr>
        <w:t xml:space="preserve">message </w:t>
      </w:r>
      <w:r w:rsidRPr="00873B6C">
        <w:t>sent to 5G-AN node(s)</w:t>
      </w:r>
      <w:r w:rsidRPr="00873B6C">
        <w:rPr>
          <w:lang w:eastAsia="zh-CN"/>
        </w:rPr>
        <w:t xml:space="preserve"> to indicate the Network Slice(s) with which NAS signalling is to be restricted</w:t>
      </w:r>
      <w:r w:rsidRPr="00873B6C">
        <w:t xml:space="preserve">. </w:t>
      </w:r>
      <w:r w:rsidRPr="00873B6C">
        <w:rPr>
          <w:lang w:eastAsia="ja-JP"/>
        </w:rPr>
        <w:t>To reflect the amount of load that the AMF wishes to reduce, the AMF can adjust the proportion of 5G-AN nodes which are sent NGAP OVERLOAD START message</w:t>
      </w:r>
      <w:r w:rsidR="00472CD7" w:rsidRPr="00873B6C">
        <w:rPr>
          <w:lang w:eastAsia="ja-JP"/>
        </w:rPr>
        <w:t xml:space="preserve"> and</w:t>
      </w:r>
      <w:r w:rsidRPr="00873B6C">
        <w:rPr>
          <w:lang w:eastAsia="ja-JP"/>
        </w:rPr>
        <w:t xml:space="preserve"> the content of the overload start procedure.</w:t>
      </w:r>
    </w:p>
    <w:p w14:paraId="0EA0A70E" w14:textId="77777777" w:rsidR="00D40151" w:rsidRPr="00873B6C" w:rsidRDefault="00D40151" w:rsidP="00D40151">
      <w:r w:rsidRPr="00873B6C">
        <w:t>When NGAP OVERLOAD START is sent by multiple AMFs or from the same AMF set in the same PLMN towards the 5G-AN, it should be ensured that the signalling load is evenly distributed within the PLMN and within each AMF set.</w:t>
      </w:r>
    </w:p>
    <w:p w14:paraId="44358D5E" w14:textId="0B84D2E2" w:rsidR="00D40151" w:rsidRPr="00873B6C" w:rsidRDefault="00D40151" w:rsidP="00D40151">
      <w:r w:rsidRPr="00873B6C">
        <w:t xml:space="preserve">A 5G-AN node supports restricting of 5G-AN signalling connection when a signalling connection establishment are attempted by certain UEs (which are registered or attempting to register with the 5GC), as specified in </w:t>
      </w:r>
      <w:r w:rsidR="00972E70" w:rsidRPr="00873B6C">
        <w:t>TS 38.331 [</w:t>
      </w:r>
      <w:r w:rsidRPr="00873B6C">
        <w:t xml:space="preserve">28] and </w:t>
      </w:r>
      <w:r w:rsidR="00972E70" w:rsidRPr="00873B6C">
        <w:t>TS 36.331 [</w:t>
      </w:r>
      <w:r w:rsidRPr="00873B6C">
        <w:t xml:space="preserve">51]. Additionally, a 5G-AN node provides support for the barring of UEs as described in </w:t>
      </w:r>
      <w:r w:rsidR="00972E70" w:rsidRPr="00873B6C">
        <w:t>TS 22.261 [</w:t>
      </w:r>
      <w:r w:rsidRPr="00873B6C">
        <w:t xml:space="preserve">2]. These mechanisms are further specified in </w:t>
      </w:r>
      <w:r w:rsidR="00972E70" w:rsidRPr="00873B6C">
        <w:t>TS 38.331 [</w:t>
      </w:r>
      <w:r w:rsidRPr="00873B6C">
        <w:t xml:space="preserve">28] and </w:t>
      </w:r>
      <w:r w:rsidR="00972E70" w:rsidRPr="00873B6C">
        <w:t>TS 36.331 [</w:t>
      </w:r>
      <w:r w:rsidRPr="00873B6C">
        <w:t>51]. For 3GPP Access Type, the signalling connection establishment attempt includes a RRC Connection Resume procedure from</w:t>
      </w:r>
      <w:r w:rsidR="00511811" w:rsidRPr="00873B6C">
        <w:t xml:space="preserve"> RRC_INACTIVE</w:t>
      </w:r>
      <w:r w:rsidRPr="00873B6C">
        <w:t>.</w:t>
      </w:r>
    </w:p>
    <w:p w14:paraId="557D1B59" w14:textId="77777777" w:rsidR="00D40151" w:rsidRPr="00873B6C" w:rsidRDefault="00D40151" w:rsidP="00D40151">
      <w:pPr>
        <w:rPr>
          <w:lang w:eastAsia="ja-JP"/>
        </w:rPr>
      </w:pPr>
      <w:r w:rsidRPr="00873B6C">
        <w:rPr>
          <w:lang w:eastAsia="ja-JP"/>
        </w:rPr>
        <w:t>By sending the NGAP OVERLOAD START message, the AMF can request the 5G-AN node to apply the following behaviour for UEs that the AMF is serving:</w:t>
      </w:r>
    </w:p>
    <w:p w14:paraId="3B8F1B1F" w14:textId="77777777" w:rsidR="00D40151" w:rsidRPr="00873B6C" w:rsidRDefault="00D40151" w:rsidP="00D40151">
      <w:pPr>
        <w:pStyle w:val="B1"/>
      </w:pPr>
      <w:r w:rsidRPr="00873B6C">
        <w:t>a)</w:t>
      </w:r>
      <w:r w:rsidRPr="00873B6C">
        <w:tab/>
        <w:t>Restrict 5G-AN signalling connection</w:t>
      </w:r>
      <w:r w:rsidRPr="00873B6C">
        <w:rPr>
          <w:lang w:eastAsia="zh-CN"/>
        </w:rPr>
        <w:t xml:space="preserve"> </w:t>
      </w:r>
      <w:r w:rsidRPr="00873B6C">
        <w:t>requests that are not for emergency, not for exception reporting and not for high priority mobile originated services; or</w:t>
      </w:r>
    </w:p>
    <w:p w14:paraId="7C103C6A" w14:textId="77777777" w:rsidR="00D40151" w:rsidRPr="00873B6C" w:rsidRDefault="00D40151" w:rsidP="00D40151">
      <w:pPr>
        <w:pStyle w:val="B1"/>
      </w:pPr>
      <w:r w:rsidRPr="00873B6C">
        <w:t>b)</w:t>
      </w:r>
      <w:r w:rsidRPr="00873B6C">
        <w:tab/>
        <w:t xml:space="preserve">Restrict 5G-AN signalling connection requests for </w:t>
      </w:r>
      <w:r w:rsidRPr="00873B6C">
        <w:rPr>
          <w:lang w:eastAsia="zh-CN"/>
        </w:rPr>
        <w:t>uplink NAS signalling transmission to</w:t>
      </w:r>
      <w:r w:rsidRPr="00873B6C">
        <w:t xml:space="preserve"> that AMF;</w:t>
      </w:r>
    </w:p>
    <w:p w14:paraId="15EAABA4" w14:textId="50A63F59" w:rsidR="00D40151" w:rsidRPr="00873B6C" w:rsidRDefault="00D40151" w:rsidP="00D40151">
      <w:pPr>
        <w:pStyle w:val="B1"/>
      </w:pPr>
      <w:r w:rsidRPr="00873B6C">
        <w:lastRenderedPageBreak/>
        <w:t>c)</w:t>
      </w:r>
      <w:r w:rsidRPr="00873B6C">
        <w:tab/>
        <w:t xml:space="preserve">Restrict 5G-AN signalling connection requests </w:t>
      </w:r>
      <w:r w:rsidRPr="00873B6C">
        <w:rPr>
          <w:lang w:eastAsia="zh-CN"/>
        </w:rPr>
        <w:t>where</w:t>
      </w:r>
      <w:r w:rsidRPr="00873B6C">
        <w:t xml:space="preserve"> </w:t>
      </w:r>
      <w:r w:rsidRPr="00873B6C">
        <w:rPr>
          <w:lang w:eastAsia="zh-CN"/>
        </w:rPr>
        <w:t xml:space="preserve">the Requested NSSAI at AS layer only includes the indicated </w:t>
      </w:r>
      <w:r w:rsidRPr="00873B6C">
        <w:t>S-NSSAI</w:t>
      </w:r>
      <w:r w:rsidRPr="00873B6C">
        <w:rPr>
          <w:lang w:eastAsia="zh-CN"/>
        </w:rPr>
        <w:t>(</w:t>
      </w:r>
      <w:r w:rsidRPr="00873B6C">
        <w:t>s</w:t>
      </w:r>
      <w:r w:rsidRPr="00873B6C">
        <w:rPr>
          <w:lang w:eastAsia="zh-CN"/>
        </w:rPr>
        <w:t>) in the NGAP OVERLOAD START message</w:t>
      </w:r>
      <w:r w:rsidRPr="00873B6C">
        <w:t xml:space="preserve">. This applies also to </w:t>
      </w:r>
      <w:r w:rsidR="00511811" w:rsidRPr="00873B6C">
        <w:t xml:space="preserve">RRC_INACTIVE </w:t>
      </w:r>
      <w:r w:rsidRPr="00873B6C">
        <w:t>Connection Resume procedure where the Allowed NSSAI in the stored UE context in the RAN only includes S-NSSAIs included in the NGAP OVERLOAD START.</w:t>
      </w:r>
    </w:p>
    <w:p w14:paraId="66C7733D" w14:textId="77777777" w:rsidR="00D40151" w:rsidRPr="00873B6C" w:rsidRDefault="00D40151" w:rsidP="00D40151">
      <w:pPr>
        <w:pStyle w:val="B1"/>
      </w:pPr>
      <w:r w:rsidRPr="00873B6C">
        <w:t>d)</w:t>
      </w:r>
      <w:r w:rsidRPr="00873B6C">
        <w:tab/>
        <w:t>only permit 5G-AN signalling connection requests for emergency sessions and mobile terminated services for that AMF; or</w:t>
      </w:r>
    </w:p>
    <w:p w14:paraId="0C9CE200" w14:textId="77777777" w:rsidR="00D40151" w:rsidRPr="00873B6C" w:rsidRDefault="00D40151" w:rsidP="00D40151">
      <w:pPr>
        <w:pStyle w:val="B1"/>
      </w:pPr>
      <w:r w:rsidRPr="00873B6C">
        <w:t>e)</w:t>
      </w:r>
      <w:r w:rsidRPr="00873B6C">
        <w:tab/>
        <w:t>only permit 5G-AN signalling connection requests for high priority sessions, exception reporting and mobile terminated services for that AMF;</w:t>
      </w:r>
    </w:p>
    <w:p w14:paraId="7996D09F" w14:textId="77777777" w:rsidR="00D40151" w:rsidRPr="00873B6C" w:rsidRDefault="00D40151" w:rsidP="00D40151">
      <w:r w:rsidRPr="00873B6C">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1418433E" w:rsidR="00D40151" w:rsidRPr="00873B6C" w:rsidRDefault="00D40151" w:rsidP="00D40151">
      <w:r w:rsidRPr="00873B6C">
        <w:t>The AMF can provide a value that indicates the percentage of connection requests to be restricted in the NGAP OVERLOAD START</w:t>
      </w:r>
      <w:r w:rsidR="00472CD7" w:rsidRPr="00873B6C">
        <w:t xml:space="preserve"> and</w:t>
      </w:r>
      <w:r w:rsidRPr="00873B6C">
        <w:t xml:space="preserve"> the 5G-AN node may consider this value for congestion control.</w:t>
      </w:r>
    </w:p>
    <w:p w14:paraId="6A825312" w14:textId="77777777" w:rsidR="00D40151" w:rsidRPr="00873B6C" w:rsidRDefault="00D40151" w:rsidP="00D40151">
      <w:r w:rsidRPr="00873B6C">
        <w:t>When restricting a 5G-AN signalling connection, the 5G-AN indicates to the UE an appropriate wait timer that limits further 5G-AN signalling connection requests until the wait timer expires.</w:t>
      </w:r>
    </w:p>
    <w:p w14:paraId="24B9B780" w14:textId="77777777" w:rsidR="00D40151" w:rsidRPr="00873B6C" w:rsidRDefault="00D40151" w:rsidP="00D40151">
      <w:r w:rsidRPr="00873B6C">
        <w:t>During an overload situation, the AMF should attempt to maintain support for emergency services and for MPS.</w:t>
      </w:r>
    </w:p>
    <w:p w14:paraId="03C17ACD" w14:textId="77777777" w:rsidR="00D40151" w:rsidRPr="00873B6C" w:rsidRDefault="00D40151" w:rsidP="00D40151">
      <w:r w:rsidRPr="00873B6C">
        <w:t>When the AMF is recovering, the AMF can either:</w:t>
      </w:r>
    </w:p>
    <w:p w14:paraId="3090C106" w14:textId="77777777" w:rsidR="00D40151" w:rsidRPr="00873B6C" w:rsidRDefault="00D40151" w:rsidP="00D40151">
      <w:pPr>
        <w:pStyle w:val="B1"/>
      </w:pPr>
      <w:r w:rsidRPr="00873B6C">
        <w:t>-</w:t>
      </w:r>
      <w:r w:rsidRPr="00873B6C">
        <w:tab/>
        <w:t>send a NGAP OVERLOAD START message with a new percentage value that permits more connection requests to be successful, or</w:t>
      </w:r>
    </w:p>
    <w:p w14:paraId="3C49BFA6" w14:textId="77777777" w:rsidR="00D40151" w:rsidRPr="00873B6C" w:rsidRDefault="00D40151" w:rsidP="00D40151">
      <w:pPr>
        <w:pStyle w:val="B1"/>
      </w:pPr>
      <w:r w:rsidRPr="00873B6C">
        <w:t>-</w:t>
      </w:r>
      <w:r w:rsidRPr="00873B6C">
        <w:tab/>
        <w:t>send a NGAP OVERLOAD STOP message.</w:t>
      </w:r>
    </w:p>
    <w:p w14:paraId="744A0D2E" w14:textId="794DCDEF" w:rsidR="00D40151" w:rsidRPr="00873B6C" w:rsidRDefault="00D40151" w:rsidP="00D40151">
      <w:r w:rsidRPr="00873B6C">
        <w:t>to the same</w:t>
      </w:r>
      <w:r w:rsidR="00704A9E" w:rsidRPr="00873B6C">
        <w:t xml:space="preserve"> </w:t>
      </w:r>
      <w:r w:rsidRPr="00873B6C">
        <w:t>5G-AN node(s) the NGAP OVERLOAD START was previously sent.</w:t>
      </w:r>
    </w:p>
    <w:p w14:paraId="57E8A1A9" w14:textId="77777777" w:rsidR="00D40151" w:rsidRPr="00873B6C" w:rsidRDefault="00D40151" w:rsidP="00D40151">
      <w:pPr>
        <w:pStyle w:val="Heading3"/>
      </w:pPr>
      <w:bookmarkStart w:id="3494" w:name="_CR5_19_6"/>
      <w:bookmarkStart w:id="3495" w:name="_Toc20150012"/>
      <w:bookmarkStart w:id="3496" w:name="_Toc27846811"/>
      <w:bookmarkStart w:id="3497" w:name="_Toc36187942"/>
      <w:bookmarkStart w:id="3498" w:name="_Toc45183846"/>
      <w:bookmarkStart w:id="3499" w:name="_Toc47342688"/>
      <w:bookmarkStart w:id="3500" w:name="_Toc51769389"/>
      <w:bookmarkStart w:id="3501" w:name="_Toc201157401"/>
      <w:bookmarkEnd w:id="3494"/>
      <w:r w:rsidRPr="00873B6C">
        <w:t>5.19.6</w:t>
      </w:r>
      <w:r w:rsidRPr="00873B6C">
        <w:tab/>
        <w:t>SMF Overload Control</w:t>
      </w:r>
      <w:bookmarkEnd w:id="3495"/>
      <w:bookmarkEnd w:id="3496"/>
      <w:bookmarkEnd w:id="3497"/>
      <w:bookmarkEnd w:id="3498"/>
      <w:bookmarkEnd w:id="3499"/>
      <w:bookmarkEnd w:id="3500"/>
      <w:bookmarkEnd w:id="3501"/>
    </w:p>
    <w:p w14:paraId="128EA54B" w14:textId="77777777" w:rsidR="00D40151" w:rsidRPr="00873B6C" w:rsidRDefault="00D40151" w:rsidP="00D40151">
      <w:pPr>
        <w:rPr>
          <w:lang w:eastAsia="ja-JP"/>
        </w:rPr>
      </w:pPr>
      <w:r w:rsidRPr="00873B6C">
        <w:rPr>
          <w:lang w:eastAsia="ja-JP"/>
        </w:rPr>
        <w:t>The SMF shall contain mechanisms for avoiding and handling overload situations. This can include the following measures:</w:t>
      </w:r>
    </w:p>
    <w:p w14:paraId="0567DA02" w14:textId="77777777" w:rsidR="00D40151" w:rsidRPr="00873B6C" w:rsidRDefault="00D40151" w:rsidP="00D40151">
      <w:pPr>
        <w:pStyle w:val="B1"/>
      </w:pPr>
      <w:r w:rsidRPr="00873B6C">
        <w:t>-</w:t>
      </w:r>
      <w:r w:rsidRPr="00873B6C">
        <w:tab/>
        <w:t>SMF overload control that could result in rejections of NAS requests.</w:t>
      </w:r>
    </w:p>
    <w:p w14:paraId="7C233532" w14:textId="77777777" w:rsidR="00D40151" w:rsidRPr="00873B6C" w:rsidRDefault="00D40151" w:rsidP="00D40151">
      <w:r w:rsidRPr="00873B6C">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873B6C" w:rsidRDefault="00D40151" w:rsidP="00D40151">
      <w:pPr>
        <w:rPr>
          <w:lang w:eastAsia="ja-JP"/>
        </w:rPr>
      </w:pPr>
      <w:r w:rsidRPr="00873B6C">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873B6C" w:rsidRDefault="00D40151" w:rsidP="00D40151">
      <w:pPr>
        <w:pStyle w:val="Heading3"/>
      </w:pPr>
      <w:bookmarkStart w:id="3502" w:name="_CR5_19_7"/>
      <w:bookmarkStart w:id="3503" w:name="_Toc20150013"/>
      <w:bookmarkStart w:id="3504" w:name="_Toc27846812"/>
      <w:bookmarkStart w:id="3505" w:name="_Toc36187943"/>
      <w:bookmarkStart w:id="3506" w:name="_Toc45183847"/>
      <w:bookmarkStart w:id="3507" w:name="_Toc47342689"/>
      <w:bookmarkStart w:id="3508" w:name="_Toc51769390"/>
      <w:bookmarkStart w:id="3509" w:name="_Toc201157402"/>
      <w:bookmarkEnd w:id="3502"/>
      <w:r w:rsidRPr="00873B6C">
        <w:t>5.19.7</w:t>
      </w:r>
      <w:r w:rsidRPr="00873B6C">
        <w:tab/>
        <w:t>NAS level congestion control</w:t>
      </w:r>
      <w:bookmarkEnd w:id="3503"/>
      <w:bookmarkEnd w:id="3504"/>
      <w:bookmarkEnd w:id="3505"/>
      <w:bookmarkEnd w:id="3506"/>
      <w:bookmarkEnd w:id="3507"/>
      <w:bookmarkEnd w:id="3508"/>
      <w:bookmarkEnd w:id="3509"/>
    </w:p>
    <w:p w14:paraId="16E41E8C" w14:textId="77777777" w:rsidR="00D40151" w:rsidRPr="00873B6C" w:rsidRDefault="00D40151" w:rsidP="00D40151">
      <w:pPr>
        <w:pStyle w:val="Heading4"/>
      </w:pPr>
      <w:bookmarkStart w:id="3510" w:name="_CR5_19_7_1"/>
      <w:bookmarkStart w:id="3511" w:name="_Toc20150014"/>
      <w:bookmarkStart w:id="3512" w:name="_Toc27846813"/>
      <w:bookmarkStart w:id="3513" w:name="_Toc36187944"/>
      <w:bookmarkStart w:id="3514" w:name="_Toc45183848"/>
      <w:bookmarkStart w:id="3515" w:name="_Toc47342690"/>
      <w:bookmarkStart w:id="3516" w:name="_Toc51769391"/>
      <w:bookmarkStart w:id="3517" w:name="_Toc201157403"/>
      <w:bookmarkEnd w:id="3510"/>
      <w:r w:rsidRPr="00873B6C">
        <w:t>5.19.7.1</w:t>
      </w:r>
      <w:r w:rsidRPr="00873B6C">
        <w:tab/>
        <w:t>General</w:t>
      </w:r>
      <w:bookmarkEnd w:id="3511"/>
      <w:bookmarkEnd w:id="3512"/>
      <w:bookmarkEnd w:id="3513"/>
      <w:bookmarkEnd w:id="3514"/>
      <w:bookmarkEnd w:id="3515"/>
      <w:bookmarkEnd w:id="3516"/>
      <w:bookmarkEnd w:id="3517"/>
    </w:p>
    <w:p w14:paraId="487491A3" w14:textId="77777777" w:rsidR="00D40151" w:rsidRPr="00873B6C" w:rsidRDefault="00D40151" w:rsidP="00D40151">
      <w:r w:rsidRPr="00873B6C">
        <w:t>NAS level congestion control may be applied in general (i.e. for all NAS messages), per DNN, per S-NSSAI, per DNN and S-NSSAI, or for a specific group of UEs.</w:t>
      </w:r>
    </w:p>
    <w:p w14:paraId="3B03FD92" w14:textId="77777777" w:rsidR="00D40151" w:rsidRPr="00873B6C" w:rsidRDefault="00D40151" w:rsidP="00D40151">
      <w:r w:rsidRPr="00873B6C">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873B6C">
        <w:rPr>
          <w:lang w:eastAsia="ko-KR"/>
        </w:rPr>
        <w:t>with regards to the applied congestion control</w:t>
      </w:r>
      <w:r w:rsidRPr="00873B6C">
        <w:t xml:space="preserve"> until the back-off timer expires or the UE receives a mobile terminated request from the network, or the UE initiates signalling for emergency services or high priority access.</w:t>
      </w:r>
    </w:p>
    <w:p w14:paraId="23239E56" w14:textId="77777777" w:rsidR="00D40151" w:rsidRPr="00873B6C" w:rsidRDefault="00D40151" w:rsidP="00D40151">
      <w:r w:rsidRPr="00873B6C">
        <w:t>AMFs and SMFs may apply NAS level congestion control, but should not apply NAS level congestion control for procedures not subject to congestion control.</w:t>
      </w:r>
    </w:p>
    <w:p w14:paraId="287E09FB" w14:textId="77777777" w:rsidR="00D40151" w:rsidRPr="00873B6C" w:rsidRDefault="00D40151" w:rsidP="00D40151">
      <w:pPr>
        <w:pStyle w:val="Heading4"/>
      </w:pPr>
      <w:bookmarkStart w:id="3518" w:name="_CR5_19_7_2"/>
      <w:bookmarkStart w:id="3519" w:name="_Toc20150015"/>
      <w:bookmarkStart w:id="3520" w:name="_Toc27846814"/>
      <w:bookmarkStart w:id="3521" w:name="_Toc36187945"/>
      <w:bookmarkStart w:id="3522" w:name="_Toc45183849"/>
      <w:bookmarkStart w:id="3523" w:name="_Toc47342691"/>
      <w:bookmarkStart w:id="3524" w:name="_Toc51769392"/>
      <w:bookmarkStart w:id="3525" w:name="_Toc201157404"/>
      <w:bookmarkEnd w:id="3518"/>
      <w:r w:rsidRPr="00873B6C">
        <w:lastRenderedPageBreak/>
        <w:t>5.19.7.2</w:t>
      </w:r>
      <w:r w:rsidRPr="00873B6C">
        <w:tab/>
        <w:t>General NAS level congestion control</w:t>
      </w:r>
      <w:bookmarkEnd w:id="3519"/>
      <w:bookmarkEnd w:id="3520"/>
      <w:bookmarkEnd w:id="3521"/>
      <w:bookmarkEnd w:id="3522"/>
      <w:bookmarkEnd w:id="3523"/>
      <w:bookmarkEnd w:id="3524"/>
      <w:bookmarkEnd w:id="3525"/>
    </w:p>
    <w:p w14:paraId="0651B9A1" w14:textId="77777777" w:rsidR="00D40151" w:rsidRPr="00873B6C" w:rsidRDefault="00D40151" w:rsidP="00D40151">
      <w:r w:rsidRPr="00873B6C">
        <w:t>This clause only applies to NAS Mobility Management congestion control.</w:t>
      </w:r>
    </w:p>
    <w:p w14:paraId="084B07FE" w14:textId="77777777" w:rsidR="00D40151" w:rsidRPr="00873B6C" w:rsidRDefault="00D40151" w:rsidP="00D40151">
      <w:r w:rsidRPr="00873B6C">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873B6C">
        <w:rPr>
          <w:lang w:eastAsia="zh-CN"/>
        </w:rPr>
        <w:t xml:space="preserve">Mobility </w:t>
      </w:r>
      <w:r w:rsidRPr="00873B6C">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873B6C">
        <w:rPr>
          <w:lang w:eastAsia="zh-CN"/>
        </w:rPr>
        <w:t xml:space="preserve">Mobility </w:t>
      </w:r>
      <w:r w:rsidRPr="00873B6C">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873B6C" w:rsidRDefault="00D40151" w:rsidP="00D40151">
      <w:r w:rsidRPr="00873B6C">
        <w:t>In order to allow the UE to report the PS Data Off status change in PDU Session Modification Request message, the UE behaves as follows while keeping the NAS MM back-off timer running in the UE:</w:t>
      </w:r>
    </w:p>
    <w:p w14:paraId="2812913B" w14:textId="491FD044" w:rsidR="00D40151" w:rsidRPr="00873B6C" w:rsidRDefault="00D40151" w:rsidP="00D40151">
      <w:pPr>
        <w:pStyle w:val="B1"/>
      </w:pPr>
      <w:r w:rsidRPr="00873B6C">
        <w:t>-</w:t>
      </w:r>
      <w:r w:rsidRPr="00873B6C">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w:t>
      </w:r>
      <w:r w:rsidR="00472CD7" w:rsidRPr="00873B6C">
        <w:t xml:space="preserve"> and</w:t>
      </w:r>
      <w:r w:rsidRPr="00873B6C">
        <w:t xml:space="preserve"> with an indication that the message is exempted from NAS congestion control.</w:t>
      </w:r>
    </w:p>
    <w:p w14:paraId="6B5A4DC9" w14:textId="77777777" w:rsidR="00D40151" w:rsidRPr="00873B6C" w:rsidRDefault="00D40151" w:rsidP="00D40151">
      <w:pPr>
        <w:pStyle w:val="B1"/>
      </w:pPr>
      <w:r w:rsidRPr="00873B6C">
        <w:t>-</w:t>
      </w:r>
      <w:r w:rsidRPr="00873B6C">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873B6C" w:rsidRDefault="00D40151" w:rsidP="00D40151">
      <w:r w:rsidRPr="00873B6C">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259609A1" w:rsidR="00D40151" w:rsidRPr="00873B6C" w:rsidRDefault="00D40151" w:rsidP="00D40151">
      <w:r w:rsidRPr="00873B6C">
        <w:t>The Mobility Management back-off timer shall not impact Cell/RAT/Access Type and PLMN change. Cell/RAT/TA/Access Type change does not stop the Mobility Management back-off timer. The Mobility Management back-off timer shall not be a trigger for PLMN reselection</w:t>
      </w:r>
      <w:r w:rsidR="0026280E" w:rsidRPr="00873B6C">
        <w:t xml:space="preserve"> or SNPN reselection</w:t>
      </w:r>
      <w:r w:rsidRPr="00873B6C">
        <w:t xml:space="preserve">. The back-off timer is stopped as defined in </w:t>
      </w:r>
      <w:r w:rsidR="00972E70" w:rsidRPr="00873B6C">
        <w:t>TS 24.501 [</w:t>
      </w:r>
      <w:r w:rsidRPr="00873B6C">
        <w:t>47] when a new PLMN</w:t>
      </w:r>
      <w:r w:rsidR="0026280E" w:rsidRPr="00873B6C">
        <w:t xml:space="preserve"> or SNPN,</w:t>
      </w:r>
      <w:r w:rsidRPr="00873B6C">
        <w:t xml:space="preserve"> that is not an equivalent PLMN</w:t>
      </w:r>
      <w:r w:rsidR="0026280E" w:rsidRPr="00873B6C">
        <w:t xml:space="preserve"> or is not an equivalent SNPN,</w:t>
      </w:r>
      <w:r w:rsidRPr="00873B6C">
        <w:t xml:space="preserve"> is accessed.</w:t>
      </w:r>
    </w:p>
    <w:p w14:paraId="2EBA961B" w14:textId="77777777" w:rsidR="00D40151" w:rsidRPr="00873B6C" w:rsidRDefault="00D40151" w:rsidP="00D40151">
      <w:r w:rsidRPr="00873B6C">
        <w:t>To avoid that large amounts of UEs initiate deferred requests (almost) simultaneously, the AMF should select the Mobility Management back-off timer value so that the deferred requests are not synchronized.</w:t>
      </w:r>
    </w:p>
    <w:p w14:paraId="471D4574" w14:textId="77777777" w:rsidR="00D40151" w:rsidRPr="00873B6C" w:rsidRDefault="00D40151" w:rsidP="00D40151">
      <w:r w:rsidRPr="00873B6C">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873B6C" w:rsidRDefault="00D40151" w:rsidP="00D40151">
      <w:r w:rsidRPr="00873B6C">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873B6C" w:rsidRDefault="00D40151" w:rsidP="00D40151">
      <w:r w:rsidRPr="00873B6C">
        <w:t>The AMF should not reject Registration Request message for Mobility Registration Update that are performed when the UE is already in CM-CONNECTED state.</w:t>
      </w:r>
    </w:p>
    <w:p w14:paraId="68499C20" w14:textId="77777777" w:rsidR="00D40151" w:rsidRPr="00873B6C" w:rsidRDefault="00D40151" w:rsidP="00D40151">
      <w:r w:rsidRPr="00873B6C">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873B6C" w:rsidRDefault="00D40151" w:rsidP="00D40151">
      <w:r w:rsidRPr="00873B6C">
        <w:t>For CM-IDLE state mobility, the AMF may reject Registration Request messages for Mobility Registration Update by including a Mobility Management back off time value in the Registration Reject message.</w:t>
      </w:r>
    </w:p>
    <w:p w14:paraId="3097CA64" w14:textId="77777777" w:rsidR="00D40151" w:rsidRPr="00873B6C" w:rsidRDefault="00D40151" w:rsidP="00D40151">
      <w:r w:rsidRPr="00873B6C">
        <w:lastRenderedPageBreak/>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873B6C" w:rsidRDefault="00D40151" w:rsidP="00D40151">
      <w:r w:rsidRPr="00873B6C">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873B6C" w:rsidRDefault="00D40151" w:rsidP="00D40151">
      <w:pPr>
        <w:pStyle w:val="NO"/>
      </w:pPr>
      <w:r w:rsidRPr="00873B6C">
        <w:t>NOTE:</w:t>
      </w:r>
      <w:r w:rsidRPr="00873B6C">
        <w:tab/>
        <w:t>This is to minimize signalling after the Mobility Management back-off timer expires.</w:t>
      </w:r>
    </w:p>
    <w:p w14:paraId="46592930" w14:textId="5E28722C" w:rsidR="00D40151" w:rsidRPr="00873B6C" w:rsidRDefault="00D40151" w:rsidP="00D40151">
      <w:r w:rsidRPr="00873B6C">
        <w:t xml:space="preserve">If the AMF deregisters the UE with an indication of re-registration required, the UE behaviour for handling the back-off timer(s) is as specified in </w:t>
      </w:r>
      <w:r w:rsidR="00972E70" w:rsidRPr="00873B6C">
        <w:t>TS 24.501 [</w:t>
      </w:r>
      <w:r w:rsidRPr="00873B6C">
        <w:t>47].</w:t>
      </w:r>
    </w:p>
    <w:p w14:paraId="658DF958" w14:textId="77777777" w:rsidR="00D40151" w:rsidRPr="00873B6C" w:rsidRDefault="00D40151" w:rsidP="00D40151">
      <w:pPr>
        <w:pStyle w:val="Heading4"/>
      </w:pPr>
      <w:bookmarkStart w:id="3526" w:name="_CR5_19_7_3"/>
      <w:bookmarkStart w:id="3527" w:name="_Toc20150016"/>
      <w:bookmarkStart w:id="3528" w:name="_Toc27846815"/>
      <w:bookmarkStart w:id="3529" w:name="_Toc36187946"/>
      <w:bookmarkStart w:id="3530" w:name="_Toc45183850"/>
      <w:bookmarkStart w:id="3531" w:name="_Toc47342692"/>
      <w:bookmarkStart w:id="3532" w:name="_Toc51769393"/>
      <w:bookmarkStart w:id="3533" w:name="_Toc201157405"/>
      <w:bookmarkEnd w:id="3526"/>
      <w:r w:rsidRPr="00873B6C">
        <w:t>5.19.7.3</w:t>
      </w:r>
      <w:r w:rsidRPr="00873B6C">
        <w:tab/>
        <w:t>DNN based congestion control</w:t>
      </w:r>
      <w:bookmarkEnd w:id="3527"/>
      <w:bookmarkEnd w:id="3528"/>
      <w:bookmarkEnd w:id="3529"/>
      <w:bookmarkEnd w:id="3530"/>
      <w:bookmarkEnd w:id="3531"/>
      <w:bookmarkEnd w:id="3532"/>
      <w:bookmarkEnd w:id="3533"/>
    </w:p>
    <w:p w14:paraId="12A38149" w14:textId="77777777" w:rsidR="00D40151" w:rsidRPr="00873B6C" w:rsidRDefault="00D40151" w:rsidP="00D40151">
      <w:r w:rsidRPr="00873B6C">
        <w:t>DNN based congestion control is designed for the purpose of avoiding and handling of NAS SM signalling congestion for the UEs with a back-off timer associated with or without a DNN</w:t>
      </w:r>
      <w:r w:rsidRPr="00873B6C">
        <w:rPr>
          <w:lang w:eastAsia="ko-KR"/>
        </w:rPr>
        <w:t xml:space="preserve"> regardless of the presence of an S-NSSAI</w:t>
      </w:r>
      <w:r w:rsidRPr="00873B6C">
        <w:t>. Both UE and 5GC shall support the functionality to enable DNN based congestion control.</w:t>
      </w:r>
    </w:p>
    <w:p w14:paraId="25A3789B" w14:textId="77777777" w:rsidR="00D40151" w:rsidRPr="00873B6C" w:rsidRDefault="00D40151" w:rsidP="00D40151">
      <w:r w:rsidRPr="00873B6C">
        <w:t>SMFs may apply DNN based congestion control towards the UE by rejecting PDU Session Establishment Request message, or PDU Session</w:t>
      </w:r>
      <w:r w:rsidRPr="00873B6C" w:rsidDel="00157A09">
        <w:t xml:space="preserve"> </w:t>
      </w:r>
      <w:r w:rsidRPr="00873B6C">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5897B9E4" w:rsidR="00BA212C" w:rsidRPr="00873B6C" w:rsidRDefault="00BA212C" w:rsidP="00D40151">
      <w:r w:rsidRPr="00873B6C">
        <w:t xml:space="preserve">If NWDAF is deployed, the SMF may make use of Session Management Congestion Control Experience analytics provided by NWDAF, as defined in clause 6.12 of </w:t>
      </w:r>
      <w:r w:rsidR="00972E70" w:rsidRPr="00873B6C">
        <w:t>TS 23.288 [</w:t>
      </w:r>
      <w:r w:rsidRPr="00873B6C">
        <w:t>86], to determine back-off timer provided to UEs.</w:t>
      </w:r>
    </w:p>
    <w:p w14:paraId="01BD8E6F" w14:textId="77777777" w:rsidR="00BA212C" w:rsidRPr="00873B6C" w:rsidRDefault="00BA212C" w:rsidP="00562E84">
      <w:pPr>
        <w:pStyle w:val="NO"/>
      </w:pPr>
      <w:r w:rsidRPr="00873B6C">
        <w:t>NOTE:</w:t>
      </w:r>
      <w:r w:rsidRPr="00873B6C">
        <w:tab/>
        <w:t>For example, the SMF can apply a short back-off timer to the UEs in the list of high-experienced UEs while the SMF can apply a long back-off timer to the UEs in the list of low-experienced UEs.</w:t>
      </w:r>
    </w:p>
    <w:p w14:paraId="0B5696CC" w14:textId="4E1D92C3" w:rsidR="00D40151" w:rsidRPr="00873B6C" w:rsidRDefault="00D40151" w:rsidP="00D40151">
      <w:r w:rsidRPr="00873B6C">
        <w:t>When DNN based congestion control is activated at AMF e.</w:t>
      </w:r>
      <w:r w:rsidR="000E35F2" w:rsidRPr="00873B6C">
        <w:t>g.</w:t>
      </w:r>
      <w:r w:rsidRPr="00873B6C">
        <w:t xml:space="preserve"> configured by OAM, the AMF provides a NAS Transport Error message for the NAS Transport message carrying an SM message</w:t>
      </w:r>
      <w:r w:rsidR="00472CD7" w:rsidRPr="00873B6C">
        <w:t xml:space="preserve"> and</w:t>
      </w:r>
      <w:r w:rsidRPr="00873B6C">
        <w:t xml:space="preserve"> in the NAS Transport Error message it includes a DNN back-off timer.</w:t>
      </w:r>
    </w:p>
    <w:p w14:paraId="13E3C456" w14:textId="77777777" w:rsidR="00D40151" w:rsidRPr="00873B6C" w:rsidRDefault="00D40151" w:rsidP="00D40151">
      <w:r w:rsidRPr="00873B6C">
        <w:t>The UE associates the received back-off time with the DNN (i.e. no DNN, DNN only) which the UE included in the uplink NAS MM message carrying the corresponding NAS SM request message.</w:t>
      </w:r>
    </w:p>
    <w:p w14:paraId="23EFE1DF" w14:textId="77777777" w:rsidR="00D40151" w:rsidRPr="00873B6C" w:rsidRDefault="00D40151" w:rsidP="00D40151">
      <w:r w:rsidRPr="00873B6C">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873B6C" w:rsidRDefault="00D40151" w:rsidP="00D40151">
      <w:r w:rsidRPr="00873B6C">
        <w:t>The UE behaves as follows when the DNN back-off timer is running:</w:t>
      </w:r>
    </w:p>
    <w:p w14:paraId="080A5F90" w14:textId="77777777" w:rsidR="00D40151" w:rsidRPr="00873B6C" w:rsidRDefault="00D40151" w:rsidP="00D40151">
      <w:pPr>
        <w:pStyle w:val="B1"/>
      </w:pPr>
      <w:r w:rsidRPr="00873B6C">
        <w:t>-</w:t>
      </w:r>
      <w:r w:rsidRPr="00873B6C">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873B6C" w:rsidRDefault="00D40151" w:rsidP="00D40151">
      <w:pPr>
        <w:pStyle w:val="B1"/>
      </w:pPr>
      <w:r w:rsidRPr="00873B6C">
        <w:t>-</w:t>
      </w:r>
      <w:r w:rsidRPr="00873B6C">
        <w:tab/>
        <w:t>If no DNN is associated with the back-off timer, the UE may only initiate Session Management requests of any PDU Session Type for a specific DNN;</w:t>
      </w:r>
    </w:p>
    <w:p w14:paraId="64CCCBEF" w14:textId="77777777" w:rsidR="00D40151" w:rsidRPr="00873B6C" w:rsidRDefault="00D40151" w:rsidP="00D40151">
      <w:pPr>
        <w:pStyle w:val="B1"/>
      </w:pPr>
      <w:r w:rsidRPr="00873B6C">
        <w:t>-</w:t>
      </w:r>
      <w:r w:rsidRPr="00873B6C">
        <w:tab/>
        <w:t>Upon Cell/TA/PLMN/RAT change, change of untrusted non-3GPP access network or change of Access Type, the UE shall not stop the back-off timer;</w:t>
      </w:r>
    </w:p>
    <w:p w14:paraId="1FB88371" w14:textId="77777777" w:rsidR="00D40151" w:rsidRPr="00873B6C" w:rsidRDefault="00D40151" w:rsidP="00D40151">
      <w:pPr>
        <w:pStyle w:val="B1"/>
      </w:pPr>
      <w:r w:rsidRPr="00873B6C">
        <w:t>-</w:t>
      </w:r>
      <w:r w:rsidRPr="00873B6C">
        <w:tab/>
        <w:t>The UE is allowed to initiate the Session Management procedures for high priority access and emergency services;</w:t>
      </w:r>
    </w:p>
    <w:p w14:paraId="049743F2" w14:textId="77777777" w:rsidR="00D40151" w:rsidRPr="00873B6C" w:rsidRDefault="00D40151" w:rsidP="00D40151">
      <w:pPr>
        <w:pStyle w:val="B1"/>
      </w:pPr>
      <w:r w:rsidRPr="00873B6C">
        <w:t>-</w:t>
      </w:r>
      <w:r w:rsidRPr="00873B6C">
        <w:tab/>
        <w:t>The UE is allowed to initiate the Session Management procedure for reporting Data Off status change to the network;</w:t>
      </w:r>
    </w:p>
    <w:p w14:paraId="3A164FBD" w14:textId="77777777" w:rsidR="00D40151" w:rsidRPr="00873B6C" w:rsidRDefault="00D40151" w:rsidP="00D40151">
      <w:pPr>
        <w:pStyle w:val="B1"/>
      </w:pPr>
      <w:r w:rsidRPr="00873B6C">
        <w:lastRenderedPageBreak/>
        <w:t>-</w:t>
      </w:r>
      <w:r w:rsidRPr="00873B6C">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873B6C" w:rsidRDefault="00D40151" w:rsidP="00D40151">
      <w:pPr>
        <w:pStyle w:val="B1"/>
      </w:pPr>
      <w:r w:rsidRPr="00873B6C">
        <w:t>-</w:t>
      </w:r>
      <w:r w:rsidRPr="00873B6C">
        <w:tab/>
        <w:t>If the UE receives a PDU Session Release Command message for the congested DNN, it shall stop the back-off timer unless it receives a new back-off time from SMF;</w:t>
      </w:r>
    </w:p>
    <w:p w14:paraId="1AC75F6D" w14:textId="77777777" w:rsidR="00D40151" w:rsidRPr="00873B6C" w:rsidRDefault="00D40151" w:rsidP="00D40151">
      <w:pPr>
        <w:pStyle w:val="B1"/>
      </w:pPr>
      <w:r w:rsidRPr="00873B6C">
        <w:t>-</w:t>
      </w:r>
      <w:r w:rsidRPr="00873B6C">
        <w:tab/>
        <w:t>The UE is allowed to initiate PDU Session Release procedure (i.e. sending PDU Session Release Request message). The UE shall not stop the back-off timer when the related PDU Session is released;</w:t>
      </w:r>
    </w:p>
    <w:p w14:paraId="6DA48733" w14:textId="6644EFE3" w:rsidR="00D40151" w:rsidRPr="00873B6C" w:rsidRDefault="00D40151" w:rsidP="00D40151">
      <w:pPr>
        <w:pStyle w:val="B1"/>
      </w:pPr>
      <w:r w:rsidRPr="00873B6C">
        <w:t>-</w:t>
      </w:r>
      <w:r w:rsidRPr="00873B6C">
        <w:tab/>
        <w:t xml:space="preserve">The list above is not an exhaustive list, i.e. more details of the above actions and further conditions, if any, are specified in </w:t>
      </w:r>
      <w:r w:rsidR="00972E70" w:rsidRPr="00873B6C">
        <w:t>TS 24.501 [</w:t>
      </w:r>
      <w:r w:rsidRPr="00873B6C">
        <w:t>47].</w:t>
      </w:r>
    </w:p>
    <w:p w14:paraId="5BE3AEFB" w14:textId="47CA842A" w:rsidR="00D40151" w:rsidRPr="00873B6C" w:rsidRDefault="00D40151" w:rsidP="00D40151">
      <w:r w:rsidRPr="00873B6C">
        <w:t xml:space="preserve">If UE initiates one of the Session Management procedures that are exempted from NAS congestion control, the UE indicates that the carried NAS SM message is exempted from NAS congestion control in the UL NAS Transport message as described in </w:t>
      </w:r>
      <w:r w:rsidR="00972E70" w:rsidRPr="00873B6C">
        <w:t>TS 24.501 [</w:t>
      </w:r>
      <w:r w:rsidRPr="00873B6C">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873B6C" w:rsidRDefault="00D40151" w:rsidP="00D40151">
      <w:r w:rsidRPr="00873B6C">
        <w:t>The UE shall maintain a separate back-off timer for each DNN that the UE may use.</w:t>
      </w:r>
    </w:p>
    <w:p w14:paraId="091E52AA" w14:textId="77777777" w:rsidR="00D40151" w:rsidRPr="00873B6C" w:rsidRDefault="00D40151" w:rsidP="00D40151">
      <w:r w:rsidRPr="00873B6C">
        <w:t>To avoid that large amounts of UEs initiate deferred requests (almost) simultaneously, the 5GC should select the back-off timer value so that deferred requests are not synchronized.</w:t>
      </w:r>
    </w:p>
    <w:p w14:paraId="6B560A1D" w14:textId="77777777" w:rsidR="00D40151" w:rsidRPr="00873B6C" w:rsidRDefault="00D40151" w:rsidP="00D40151">
      <w:r w:rsidRPr="00873B6C">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873B6C" w:rsidRDefault="00D40151" w:rsidP="00D40151">
      <w:r w:rsidRPr="00873B6C">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873B6C" w:rsidRDefault="00D40151" w:rsidP="00D40151">
      <w:pPr>
        <w:pStyle w:val="Heading4"/>
      </w:pPr>
      <w:bookmarkStart w:id="3534" w:name="_CR5_19_7_4"/>
      <w:bookmarkStart w:id="3535" w:name="_Toc20150017"/>
      <w:bookmarkStart w:id="3536" w:name="_Toc27846816"/>
      <w:bookmarkStart w:id="3537" w:name="_Toc36187947"/>
      <w:bookmarkStart w:id="3538" w:name="_Toc45183851"/>
      <w:bookmarkStart w:id="3539" w:name="_Toc47342693"/>
      <w:bookmarkStart w:id="3540" w:name="_Toc51769394"/>
      <w:bookmarkStart w:id="3541" w:name="_Toc201157406"/>
      <w:bookmarkEnd w:id="3534"/>
      <w:r w:rsidRPr="00873B6C">
        <w:t>5.19.7.4</w:t>
      </w:r>
      <w:r w:rsidRPr="00873B6C">
        <w:tab/>
        <w:t>S-NSSAI based congestion control</w:t>
      </w:r>
      <w:bookmarkEnd w:id="3535"/>
      <w:bookmarkEnd w:id="3536"/>
      <w:bookmarkEnd w:id="3537"/>
      <w:bookmarkEnd w:id="3538"/>
      <w:bookmarkEnd w:id="3539"/>
      <w:bookmarkEnd w:id="3540"/>
      <w:bookmarkEnd w:id="3541"/>
    </w:p>
    <w:p w14:paraId="6D9AA29C" w14:textId="77777777" w:rsidR="00D40151" w:rsidRPr="00873B6C" w:rsidRDefault="00D40151" w:rsidP="00D40151">
      <w:r w:rsidRPr="00873B6C">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873B6C" w:rsidRDefault="00D40151" w:rsidP="00D40151">
      <w:r w:rsidRPr="00873B6C">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873B6C" w:rsidRDefault="00D40151" w:rsidP="00D40151">
      <w:r w:rsidRPr="00873B6C">
        <w:t>S-NSSAI based congestion control is applied as follows:</w:t>
      </w:r>
    </w:p>
    <w:p w14:paraId="77F6A2A2" w14:textId="77777777" w:rsidR="00D40151" w:rsidRPr="00873B6C" w:rsidRDefault="00D40151" w:rsidP="00D40151">
      <w:pPr>
        <w:pStyle w:val="B1"/>
      </w:pPr>
      <w:r w:rsidRPr="00873B6C">
        <w:t>-</w:t>
      </w:r>
      <w:r w:rsidRPr="00873B6C">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873B6C" w:rsidRDefault="00D40151" w:rsidP="00D40151">
      <w:pPr>
        <w:pStyle w:val="B1"/>
        <w:rPr>
          <w:lang w:eastAsia="ko-KR"/>
        </w:rPr>
      </w:pPr>
      <w:r w:rsidRPr="00873B6C">
        <w:rPr>
          <w:lang w:eastAsia="ko-KR"/>
        </w:rPr>
        <w:t>-</w:t>
      </w:r>
      <w:r w:rsidRPr="00873B6C">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3840518F" w:rsidR="00D40151" w:rsidRPr="00873B6C" w:rsidRDefault="00D40151" w:rsidP="00D40151">
      <w:pPr>
        <w:pStyle w:val="B1"/>
      </w:pPr>
      <w:r w:rsidRPr="00873B6C">
        <w:rPr>
          <w:lang w:eastAsia="ko-KR"/>
        </w:rPr>
        <w:t>-</w:t>
      </w:r>
      <w:r w:rsidRPr="00873B6C">
        <w:rPr>
          <w:lang w:eastAsia="ko-KR"/>
        </w:rPr>
        <w:tab/>
      </w:r>
      <w:r w:rsidRPr="00873B6C">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873B6C">
        <w:t xml:space="preserve">. If NWDAF is deployed, the SMF may make use of Session Management Congestion Control Experience analytics provided by NWDAF, as defined in clause 6.12 of </w:t>
      </w:r>
      <w:r w:rsidR="00972E70" w:rsidRPr="00873B6C">
        <w:t>TS 23.288 [</w:t>
      </w:r>
      <w:r w:rsidR="00BA212C" w:rsidRPr="00873B6C">
        <w:t>86], to determine back-off timer provided to UEs</w:t>
      </w:r>
      <w:r w:rsidRPr="00873B6C">
        <w:t>;</w:t>
      </w:r>
    </w:p>
    <w:p w14:paraId="2843F431" w14:textId="51FBBA5D" w:rsidR="00BA212C" w:rsidRPr="00873B6C" w:rsidRDefault="00BA212C" w:rsidP="00562E84">
      <w:pPr>
        <w:pStyle w:val="NO"/>
      </w:pPr>
      <w:r w:rsidRPr="00873B6C">
        <w:lastRenderedPageBreak/>
        <w:t>NOTE:</w:t>
      </w:r>
      <w:r w:rsidRPr="00873B6C">
        <w:tab/>
        <w:t>For example, the SMF can apply a short back-off timer to the UEs in the list of high-experienced UEs while the SMF can apply a long back-off timer to the UEs in the list of low-experienced UEs.</w:t>
      </w:r>
    </w:p>
    <w:p w14:paraId="739805DC" w14:textId="1E7449FC" w:rsidR="00D40151" w:rsidRPr="00873B6C" w:rsidRDefault="00D40151" w:rsidP="00D40151">
      <w:pPr>
        <w:pStyle w:val="B1"/>
      </w:pPr>
      <w:r w:rsidRPr="00873B6C">
        <w:t>-</w:t>
      </w:r>
      <w:r w:rsidRPr="00873B6C">
        <w:tab/>
        <w:t>If S-NSSAI based congestion control is activated at AMF e.</w:t>
      </w:r>
      <w:r w:rsidR="000E35F2" w:rsidRPr="00873B6C">
        <w:t>g.</w:t>
      </w:r>
      <w:r w:rsidRPr="00873B6C">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w:t>
      </w:r>
      <w:r w:rsidR="00472CD7" w:rsidRPr="00873B6C">
        <w:t xml:space="preserve"> and</w:t>
      </w:r>
      <w:r w:rsidRPr="00873B6C">
        <w:t xml:space="preserve"> in the NAS Transport Error message it includes a back-off timer;</w:t>
      </w:r>
      <w:r w:rsidR="00B96062" w:rsidRPr="00873B6C">
        <w:t xml:space="preserve"> If NWDAF is deployed, the AMF may determine that S-NSSAI is congested based on the network slice load level analytics defined in </w:t>
      </w:r>
      <w:r w:rsidR="00972E70" w:rsidRPr="00873B6C">
        <w:t>TS 23.288 [</w:t>
      </w:r>
      <w:r w:rsidR="00B96062" w:rsidRPr="00873B6C">
        <w:t>86].</w:t>
      </w:r>
    </w:p>
    <w:p w14:paraId="2A25BC63" w14:textId="77777777" w:rsidR="00D40151" w:rsidRPr="00873B6C" w:rsidRDefault="00D40151" w:rsidP="00D40151">
      <w:pPr>
        <w:pStyle w:val="B1"/>
      </w:pPr>
      <w:r w:rsidRPr="00873B6C">
        <w:t>-</w:t>
      </w:r>
      <w:r w:rsidRPr="00873B6C">
        <w:tab/>
        <w:t>The UE behaves as follows in the PLMN where the S-NSSAI based congestion control applies when the back-off timer is running:</w:t>
      </w:r>
    </w:p>
    <w:p w14:paraId="04B8F85C" w14:textId="77777777" w:rsidR="00D40151" w:rsidRPr="00873B6C" w:rsidRDefault="00D40151" w:rsidP="00D40151">
      <w:pPr>
        <w:pStyle w:val="B2"/>
      </w:pPr>
      <w:r w:rsidRPr="00873B6C">
        <w:t>-</w:t>
      </w:r>
      <w:r w:rsidRPr="00873B6C">
        <w:tab/>
        <w:t>If the back-off timer was associated with an S-NSSAI only (i.e. not associated with an S-NSSAI and a DNN), the UE shall not initiate any Session Management procedures for the congested S-NSSAI;</w:t>
      </w:r>
    </w:p>
    <w:p w14:paraId="471CA575" w14:textId="77777777" w:rsidR="00D40151" w:rsidRPr="00873B6C" w:rsidRDefault="00D40151" w:rsidP="00D40151">
      <w:pPr>
        <w:pStyle w:val="B2"/>
      </w:pPr>
      <w:r w:rsidRPr="00873B6C">
        <w:t>-</w:t>
      </w:r>
      <w:r w:rsidRPr="00873B6C">
        <w:tab/>
        <w:t>If the back-off timer was associated with an S-NSSAI and a DNN, then the UE shall not initiate any Session Management procedures for that combination of S-NSSAI and DNN;</w:t>
      </w:r>
    </w:p>
    <w:p w14:paraId="310450A6" w14:textId="77777777" w:rsidR="00D40151" w:rsidRPr="00873B6C" w:rsidRDefault="00D40151" w:rsidP="00D40151">
      <w:pPr>
        <w:pStyle w:val="B2"/>
      </w:pPr>
      <w:r w:rsidRPr="00873B6C">
        <w:t>-</w:t>
      </w:r>
      <w:r w:rsidRPr="00873B6C">
        <w:tab/>
        <w:t>If the UE receives a network-initiated Session Management message other than PDU Session Release Command for the congested S-NSSAI, the UE shall stop this back-off timer and respond to the 5GC;</w:t>
      </w:r>
    </w:p>
    <w:p w14:paraId="0D96AD4D" w14:textId="77777777" w:rsidR="00D40151" w:rsidRPr="00873B6C" w:rsidRDefault="00D40151" w:rsidP="00D40151">
      <w:pPr>
        <w:pStyle w:val="B2"/>
        <w:rPr>
          <w:lang w:eastAsia="ko-KR"/>
        </w:rPr>
      </w:pPr>
      <w:r w:rsidRPr="00873B6C">
        <w:rPr>
          <w:lang w:eastAsia="ko-KR"/>
        </w:rPr>
        <w:t>-</w:t>
      </w:r>
      <w:r w:rsidRPr="00873B6C">
        <w:rPr>
          <w:lang w:eastAsia="ko-KR"/>
        </w:rPr>
        <w:tab/>
        <w:t>If the UE receives a PDU Session Release Command message for the congested S-NSSAI, it shall stop the back-off timer unless it receives a new back-off time from SMF;</w:t>
      </w:r>
    </w:p>
    <w:p w14:paraId="688310E7" w14:textId="77777777" w:rsidR="00D40151" w:rsidRPr="00873B6C" w:rsidRDefault="00D40151" w:rsidP="00D40151">
      <w:pPr>
        <w:pStyle w:val="B2"/>
        <w:rPr>
          <w:lang w:eastAsia="ko-KR"/>
        </w:rPr>
      </w:pPr>
      <w:r w:rsidRPr="00873B6C">
        <w:rPr>
          <w:lang w:eastAsia="ko-KR"/>
        </w:rPr>
        <w:t>-</w:t>
      </w:r>
      <w:r w:rsidRPr="00873B6C">
        <w:rPr>
          <w:lang w:eastAsia="ko-KR"/>
        </w:rPr>
        <w:tab/>
        <w:t xml:space="preserve">Upon </w:t>
      </w:r>
      <w:r w:rsidRPr="00873B6C">
        <w:t>Cell/TA/PLMN/RAT change, change of untrusted non-3GPP access network or change of Access Type, the UE shall not stop the back-off timer for any S-NSSAI or any combination of S-NSSAI and DNN</w:t>
      </w:r>
      <w:r w:rsidRPr="00873B6C">
        <w:rPr>
          <w:lang w:eastAsia="ko-KR"/>
        </w:rPr>
        <w:t>;</w:t>
      </w:r>
    </w:p>
    <w:p w14:paraId="072C5506" w14:textId="77777777" w:rsidR="00D40151" w:rsidRPr="00873B6C" w:rsidRDefault="00D40151" w:rsidP="00D40151">
      <w:pPr>
        <w:pStyle w:val="B2"/>
        <w:rPr>
          <w:lang w:eastAsia="ko-KR"/>
        </w:rPr>
      </w:pPr>
      <w:r w:rsidRPr="00873B6C">
        <w:rPr>
          <w:lang w:eastAsia="ko-KR"/>
        </w:rPr>
        <w:t>-</w:t>
      </w:r>
      <w:r w:rsidRPr="00873B6C">
        <w:rPr>
          <w:lang w:eastAsia="ko-KR"/>
        </w:rPr>
        <w:tab/>
      </w:r>
      <w:r w:rsidRPr="00873B6C">
        <w:t>The UE is allowed to initiate the Session Management procedures for high priority access and emergency services for the S-NSSAI;</w:t>
      </w:r>
    </w:p>
    <w:p w14:paraId="4AC67842" w14:textId="77777777" w:rsidR="00D40151" w:rsidRPr="00873B6C" w:rsidRDefault="00D40151" w:rsidP="00D40151">
      <w:pPr>
        <w:pStyle w:val="B2"/>
        <w:rPr>
          <w:lang w:eastAsia="ko-KR"/>
        </w:rPr>
      </w:pPr>
      <w:r w:rsidRPr="00873B6C">
        <w:rPr>
          <w:lang w:eastAsia="ko-KR"/>
        </w:rPr>
        <w:t>-</w:t>
      </w:r>
      <w:r w:rsidRPr="00873B6C">
        <w:rPr>
          <w:lang w:eastAsia="ko-KR"/>
        </w:rPr>
        <w:tab/>
        <w:t>The UE is allowed to initiate the Session Management procedure for reporting Data Off status change for the S-NSSAI or the combination of S-NSSAI and DNN.</w:t>
      </w:r>
    </w:p>
    <w:p w14:paraId="3B0054D8" w14:textId="77777777" w:rsidR="00D40151" w:rsidRPr="00873B6C" w:rsidRDefault="00D40151" w:rsidP="00D40151">
      <w:pPr>
        <w:pStyle w:val="B1"/>
      </w:pPr>
      <w:r w:rsidRPr="00873B6C">
        <w:t>-</w:t>
      </w:r>
      <w:r w:rsidRPr="00873B6C">
        <w:tab/>
        <w:t>If the back-off timer is not associated to any S-NSSAI, the UE may only initiate Session Management procedures for specific S-NSSAI;</w:t>
      </w:r>
    </w:p>
    <w:p w14:paraId="16C3A648" w14:textId="77777777" w:rsidR="00D40151" w:rsidRPr="00873B6C" w:rsidRDefault="00D40151" w:rsidP="00D40151">
      <w:pPr>
        <w:pStyle w:val="B1"/>
      </w:pPr>
      <w:r w:rsidRPr="00873B6C">
        <w:t>-</w:t>
      </w:r>
      <w:r w:rsidRPr="00873B6C">
        <w:tab/>
        <w:t>If the back-off timer is not associated to any S-NSSAI and DNN, the UE may only initiate Session Management procedures for specific S-NSSAI and DNN;</w:t>
      </w:r>
    </w:p>
    <w:p w14:paraId="6ACEDA64" w14:textId="77777777" w:rsidR="00D40151" w:rsidRPr="00873B6C" w:rsidRDefault="00D40151" w:rsidP="00D40151">
      <w:pPr>
        <w:pStyle w:val="B1"/>
      </w:pPr>
      <w:r w:rsidRPr="00873B6C">
        <w:t>-</w:t>
      </w:r>
      <w:r w:rsidRPr="00873B6C">
        <w:tab/>
        <w:t>The UE is allowed to initiate PDU Session Release procedure (e.g. sending PDU Session Release Request message). The UE shall not stop the back-off timer when the related PDU Session is released;</w:t>
      </w:r>
    </w:p>
    <w:p w14:paraId="1C9D1E0C" w14:textId="1F445040" w:rsidR="00D40151" w:rsidRPr="00873B6C" w:rsidRDefault="00D40151" w:rsidP="00D40151">
      <w:pPr>
        <w:pStyle w:val="B1"/>
      </w:pPr>
      <w:r w:rsidRPr="00873B6C">
        <w:t>-</w:t>
      </w:r>
      <w:r w:rsidRPr="00873B6C">
        <w:tab/>
        <w:t xml:space="preserve">The list above is not an exhaustive list, i.e. more details of the above actions and further conditions, if any, are specified in </w:t>
      </w:r>
      <w:r w:rsidR="00972E70" w:rsidRPr="00873B6C">
        <w:t>TS 24.501 [</w:t>
      </w:r>
      <w:r w:rsidRPr="00873B6C">
        <w:t>47].</w:t>
      </w:r>
    </w:p>
    <w:p w14:paraId="5296859B" w14:textId="77777777" w:rsidR="00D40151" w:rsidRPr="00873B6C" w:rsidRDefault="00D40151" w:rsidP="00D40151">
      <w:r w:rsidRPr="00873B6C">
        <w:t>The UE shall maintain a separate back-off timer for each S-NSSAI and for each combination of S-NSSAI and DNN that the UE may use.</w:t>
      </w:r>
    </w:p>
    <w:p w14:paraId="73905D94" w14:textId="3579741F" w:rsidR="00D40151" w:rsidRPr="00873B6C" w:rsidRDefault="00D40151" w:rsidP="00D40151">
      <w:r w:rsidRPr="00873B6C">
        <w:t xml:space="preserve">If UE initiates one of the Session Management procedure that are exempt from NAS congestion control, the UE indicates that the carried NAS SM message is exempted from NAS congestion control in the UL NAS Transport message as described in </w:t>
      </w:r>
      <w:r w:rsidR="00972E70" w:rsidRPr="00873B6C">
        <w:t>TS 24.501 [</w:t>
      </w:r>
      <w:r w:rsidRPr="00873B6C">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873B6C" w:rsidRDefault="00D40151" w:rsidP="00D40151">
      <w:r w:rsidRPr="00873B6C">
        <w:t>The back-off timer associated with an S-NSSAI or a combination of an S-NSSAI and a DNN shall only apply to congestion control for Session Management procedures when UE is in 5GS.</w:t>
      </w:r>
    </w:p>
    <w:p w14:paraId="60733ED3" w14:textId="77777777" w:rsidR="00D40151" w:rsidRPr="00873B6C" w:rsidRDefault="00D40151" w:rsidP="00D40151">
      <w:r w:rsidRPr="00873B6C">
        <w:t xml:space="preserve">To avoid that large amounts of UEs initiate deferred requests (almost) simultaneously, the 5GC should select the value of the back-off timer </w:t>
      </w:r>
      <w:r w:rsidRPr="00873B6C">
        <w:rPr>
          <w:lang w:eastAsia="ko-KR"/>
        </w:rPr>
        <w:t xml:space="preserve">for </w:t>
      </w:r>
      <w:r w:rsidRPr="00873B6C">
        <w:t xml:space="preserve">the S-NSSAI </w:t>
      </w:r>
      <w:r w:rsidRPr="00873B6C">
        <w:rPr>
          <w:lang w:eastAsia="ko-KR"/>
        </w:rPr>
        <w:t xml:space="preserve">based congestion control </w:t>
      </w:r>
      <w:r w:rsidRPr="00873B6C">
        <w:t>so that deferred requests are not synchronized.</w:t>
      </w:r>
    </w:p>
    <w:p w14:paraId="403E20BC" w14:textId="77777777" w:rsidR="00D40151" w:rsidRPr="00873B6C" w:rsidRDefault="00D40151" w:rsidP="00D40151">
      <w:r w:rsidRPr="00873B6C">
        <w:lastRenderedPageBreak/>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873B6C" w:rsidRDefault="00D40151" w:rsidP="00D40151">
      <w:r w:rsidRPr="00873B6C">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873B6C" w:rsidRDefault="00D40151" w:rsidP="00D40151">
      <w:pPr>
        <w:pStyle w:val="Heading4"/>
      </w:pPr>
      <w:bookmarkStart w:id="3542" w:name="_CR5_19_7_5"/>
      <w:bookmarkStart w:id="3543" w:name="_Toc20150018"/>
      <w:bookmarkStart w:id="3544" w:name="_Toc27846817"/>
      <w:bookmarkStart w:id="3545" w:name="_Toc36187948"/>
      <w:bookmarkStart w:id="3546" w:name="_Toc45183852"/>
      <w:bookmarkStart w:id="3547" w:name="_Toc47342694"/>
      <w:bookmarkStart w:id="3548" w:name="_Toc51769395"/>
      <w:bookmarkStart w:id="3549" w:name="_Toc201157407"/>
      <w:bookmarkEnd w:id="3542"/>
      <w:r w:rsidRPr="00873B6C">
        <w:t>5.19.7.5</w:t>
      </w:r>
      <w:r w:rsidRPr="00873B6C">
        <w:tab/>
        <w:t>Group specific NAS level congestion control</w:t>
      </w:r>
      <w:bookmarkEnd w:id="3543"/>
      <w:bookmarkEnd w:id="3544"/>
      <w:bookmarkEnd w:id="3545"/>
      <w:bookmarkEnd w:id="3546"/>
      <w:bookmarkEnd w:id="3547"/>
      <w:bookmarkEnd w:id="3548"/>
      <w:bookmarkEnd w:id="3549"/>
    </w:p>
    <w:p w14:paraId="134AD0BA" w14:textId="17AB4C8E" w:rsidR="00D40151" w:rsidRPr="00873B6C" w:rsidRDefault="00D40151" w:rsidP="00D40151">
      <w:r w:rsidRPr="00873B6C">
        <w:t>The group specific NAS level congestion control applies to a specific group of UEs. Group specific NAS level congestion control is performed at the 5GC only</w:t>
      </w:r>
      <w:r w:rsidR="00472CD7" w:rsidRPr="00873B6C">
        <w:t xml:space="preserve"> and</w:t>
      </w:r>
      <w:r w:rsidRPr="00873B6C">
        <w:t xml:space="preserve"> it is transparent to UE. The AMF or SMF or both may apply NAS level congestion control for a UE associated to an Internal-Group Identifier (see clause 5.9.7).</w:t>
      </w:r>
    </w:p>
    <w:p w14:paraId="38363D32" w14:textId="77777777" w:rsidR="00D40151" w:rsidRPr="00873B6C" w:rsidRDefault="00D40151" w:rsidP="00D40151">
      <w:pPr>
        <w:pStyle w:val="NO"/>
      </w:pPr>
      <w:r w:rsidRPr="00873B6C">
        <w:t>NOTE:</w:t>
      </w:r>
      <w:r w:rsidRPr="00873B6C">
        <w:tab/>
        <w:t>5GC logic for Group specific NAS level congestion control is not described in this Release of the specification.</w:t>
      </w:r>
    </w:p>
    <w:p w14:paraId="13D687E6" w14:textId="77777777" w:rsidR="00D40151" w:rsidRPr="00873B6C" w:rsidRDefault="00D40151" w:rsidP="00D40151">
      <w:pPr>
        <w:pStyle w:val="Heading4"/>
      </w:pPr>
      <w:bookmarkStart w:id="3550" w:name="_CR5_19_7_6"/>
      <w:bookmarkStart w:id="3551" w:name="_Toc20150019"/>
      <w:bookmarkStart w:id="3552" w:name="_Toc27846818"/>
      <w:bookmarkStart w:id="3553" w:name="_Toc36187949"/>
      <w:bookmarkStart w:id="3554" w:name="_Toc45183853"/>
      <w:bookmarkStart w:id="3555" w:name="_Toc47342695"/>
      <w:bookmarkStart w:id="3556" w:name="_Toc51769396"/>
      <w:bookmarkStart w:id="3557" w:name="_Toc201157408"/>
      <w:bookmarkEnd w:id="3550"/>
      <w:r w:rsidRPr="00873B6C">
        <w:t>5.19.7.6</w:t>
      </w:r>
      <w:r w:rsidRPr="00873B6C">
        <w:tab/>
        <w:t>Control Plane data specific NAS level congestion control</w:t>
      </w:r>
      <w:bookmarkEnd w:id="3551"/>
      <w:bookmarkEnd w:id="3552"/>
      <w:bookmarkEnd w:id="3553"/>
      <w:bookmarkEnd w:id="3554"/>
      <w:bookmarkEnd w:id="3555"/>
      <w:bookmarkEnd w:id="3556"/>
      <w:bookmarkEnd w:id="3557"/>
    </w:p>
    <w:p w14:paraId="28284924" w14:textId="4DC1808B" w:rsidR="00D40151" w:rsidRPr="00873B6C" w:rsidRDefault="00D40151" w:rsidP="00D40151">
      <w:pPr>
        <w:rPr>
          <w:lang w:eastAsia="x-none"/>
        </w:rPr>
      </w:pPr>
      <w:r w:rsidRPr="00873B6C">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972E70" w:rsidRPr="00873B6C">
        <w:rPr>
          <w:lang w:eastAsia="x-none"/>
        </w:rPr>
        <w:t>TS 24.501 [</w:t>
      </w:r>
      <w:r w:rsidRPr="00873B6C">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873B6C" w:rsidRDefault="00D40151" w:rsidP="00D40151">
      <w:pPr>
        <w:pStyle w:val="NO"/>
      </w:pPr>
      <w:r w:rsidRPr="00873B6C">
        <w:t>NOTE 1:</w:t>
      </w:r>
      <w:r w:rsidRPr="00873B6C">
        <w:tab/>
        <w:t>The Control Plane data back-off timer does not affect any other mobility management or session management procedure.</w:t>
      </w:r>
    </w:p>
    <w:p w14:paraId="5D665B46" w14:textId="77777777" w:rsidR="00D40151" w:rsidRPr="00873B6C" w:rsidRDefault="00D40151" w:rsidP="00D40151">
      <w:pPr>
        <w:pStyle w:val="NO"/>
      </w:pPr>
      <w:r w:rsidRPr="00873B6C">
        <w:t>NOTE 2:</w:t>
      </w:r>
      <w:r w:rsidRPr="00873B6C">
        <w:tab/>
        <w:t>The Control Plane data back-off timer does not apply to user plane data communication.</w:t>
      </w:r>
    </w:p>
    <w:p w14:paraId="3AC86D76" w14:textId="77777777" w:rsidR="00D40151" w:rsidRPr="00873B6C" w:rsidRDefault="00D40151" w:rsidP="00D40151">
      <w:pPr>
        <w:rPr>
          <w:lang w:eastAsia="x-none"/>
        </w:rPr>
      </w:pPr>
      <w:r w:rsidRPr="00873B6C">
        <w:rPr>
          <w:lang w:eastAsia="x-none"/>
        </w:rPr>
        <w:t>If the UE is allowed to send exception reporting, the UE may send an initial NAS Message for exception reporting even if Control Plane data back-off timer is running.</w:t>
      </w:r>
    </w:p>
    <w:p w14:paraId="361C2A53" w14:textId="77777777" w:rsidR="00D40151" w:rsidRPr="00873B6C" w:rsidRDefault="00D40151" w:rsidP="00D40151">
      <w:pPr>
        <w:rPr>
          <w:lang w:eastAsia="x-none"/>
        </w:rPr>
      </w:pPr>
      <w:r w:rsidRPr="00873B6C">
        <w:rPr>
          <w:lang w:eastAsia="x-none"/>
        </w:rPr>
        <w:t>The UE may respond to paging with an initial NAS Message without uplink data even if the Control Plane data back-off timer is running.</w:t>
      </w:r>
    </w:p>
    <w:p w14:paraId="71907F8D" w14:textId="3B239575" w:rsidR="00D40151" w:rsidRPr="00873B6C" w:rsidRDefault="00D40151" w:rsidP="00D40151">
      <w:pPr>
        <w:rPr>
          <w:lang w:eastAsia="x-none"/>
        </w:rPr>
      </w:pPr>
      <w:r w:rsidRPr="00873B6C">
        <w:rPr>
          <w:lang w:eastAsia="x-none"/>
        </w:rPr>
        <w:t>If the AMF receives an initial NAS Message in reponse to a paging</w:t>
      </w:r>
      <w:r w:rsidR="00472CD7" w:rsidRPr="00873B6C">
        <w:rPr>
          <w:lang w:eastAsia="x-none"/>
        </w:rPr>
        <w:t xml:space="preserve"> and</w:t>
      </w:r>
      <w:r w:rsidRPr="00873B6C">
        <w:rPr>
          <w:lang w:eastAsia="x-none"/>
        </w:rPr>
        <w:t xml:space="preserve"> the AMF has a Control Plane data back-off timer running for the UE</w:t>
      </w:r>
      <w:r w:rsidR="00472CD7" w:rsidRPr="00873B6C">
        <w:rPr>
          <w:lang w:eastAsia="x-none"/>
        </w:rPr>
        <w:t xml:space="preserve"> and</w:t>
      </w:r>
      <w:r w:rsidRPr="00873B6C">
        <w:rPr>
          <w:lang w:eastAsia="x-none"/>
        </w:rPr>
        <w:t xml:space="preserve"> the AMF is not overloaded</w:t>
      </w:r>
      <w:r w:rsidR="00472CD7" w:rsidRPr="00873B6C">
        <w:rPr>
          <w:lang w:eastAsia="x-none"/>
        </w:rPr>
        <w:t xml:space="preserve"> and</w:t>
      </w:r>
      <w:r w:rsidRPr="00873B6C">
        <w:rPr>
          <w:lang w:eastAsia="x-none"/>
        </w:rPr>
        <w:t xml:space="preserve">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475BECF7" w:rsidR="00D40151" w:rsidRPr="00873B6C" w:rsidRDefault="00D40151" w:rsidP="00D40151">
      <w:pPr>
        <w:rPr>
          <w:lang w:eastAsia="x-none"/>
        </w:rPr>
      </w:pPr>
      <w:r w:rsidRPr="00873B6C">
        <w:rPr>
          <w:lang w:eastAsia="x-none"/>
        </w:rPr>
        <w:t>If the AMF receives a Control Plane Service Request with uplink data</w:t>
      </w:r>
      <w:r w:rsidR="00472CD7" w:rsidRPr="00873B6C">
        <w:rPr>
          <w:lang w:eastAsia="x-none"/>
        </w:rPr>
        <w:t xml:space="preserve"> and</w:t>
      </w:r>
      <w:r w:rsidRPr="00873B6C">
        <w:rPr>
          <w:lang w:eastAsia="x-none"/>
        </w:rPr>
        <w:t xml:space="preserve"> decides to send the UE a Control Plane data back-off timer, the AMF may decide to process the Control Plane Service Request with uplink data, i.e. decrypt and forward the data payload, or not based on the following:</w:t>
      </w:r>
    </w:p>
    <w:p w14:paraId="1E865375" w14:textId="71CA4B51" w:rsidR="00D40151" w:rsidRPr="00873B6C" w:rsidRDefault="00D40151" w:rsidP="00D40151">
      <w:pPr>
        <w:pStyle w:val="B1"/>
      </w:pPr>
      <w:r w:rsidRPr="00873B6C">
        <w:t>-</w:t>
      </w:r>
      <w:r w:rsidRPr="00873B6C">
        <w:tab/>
        <w:t>If the UE has indicated Release Assistance Information that no further Uplink and Downlink Data transmissions are expected, then the AMF may process (integrity check/decipher/forward) the received Control Plane data packet</w:t>
      </w:r>
      <w:r w:rsidR="00472CD7" w:rsidRPr="00873B6C">
        <w:t xml:space="preserve"> and</w:t>
      </w:r>
      <w:r w:rsidRPr="00873B6C">
        <w:t xml:space="preserve"> send a Service Accept to the UE with Control Plane data back-off timer. The UE interprets this as successful transmission of the Control Plane data packet starts the Control Plane data back-off timer.</w:t>
      </w:r>
    </w:p>
    <w:p w14:paraId="223C65E7" w14:textId="77777777" w:rsidR="00D40151" w:rsidRPr="00873B6C" w:rsidRDefault="00D40151" w:rsidP="00D40151">
      <w:pPr>
        <w:pStyle w:val="B1"/>
      </w:pPr>
      <w:r w:rsidRPr="00873B6C">
        <w:t>-</w:t>
      </w:r>
      <w:r w:rsidRPr="00873B6C">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DB8FD24" w:rsidR="00D40151" w:rsidRPr="00873B6C" w:rsidRDefault="00D40151" w:rsidP="00D40151">
      <w:pPr>
        <w:pStyle w:val="B1"/>
      </w:pPr>
      <w:r w:rsidRPr="00873B6C">
        <w:lastRenderedPageBreak/>
        <w:t>-</w:t>
      </w:r>
      <w:r w:rsidRPr="00873B6C">
        <w:tab/>
        <w:t>Alternatively, if UE has not provided Release Assistance Information</w:t>
      </w:r>
      <w:r w:rsidR="00472CD7" w:rsidRPr="00873B6C">
        <w:t xml:space="preserve"> and</w:t>
      </w:r>
      <w:r w:rsidRPr="00873B6C">
        <w:t xml:space="preserve"> the PDU Session not set to Control Plane only</w:t>
      </w:r>
      <w:r w:rsidR="00472CD7" w:rsidRPr="00873B6C">
        <w:t xml:space="preserve"> and</w:t>
      </w:r>
      <w:r w:rsidRPr="00873B6C">
        <w:t xml:space="preserve"> UE supports N3 data transfer, then the AMF may initiate establishment of N3 bearer according to the procedure defined in</w:t>
      </w:r>
      <w:r w:rsidR="00131D56" w:rsidRPr="00873B6C">
        <w:t xml:space="preserve"> clause 4.2.3</w:t>
      </w:r>
      <w:r w:rsidRPr="00873B6C">
        <w:t xml:space="preserve"> </w:t>
      </w:r>
      <w:r w:rsidR="00131D56" w:rsidRPr="00873B6C">
        <w:t xml:space="preserve">of </w:t>
      </w:r>
      <w:r w:rsidR="00972E70" w:rsidRPr="00873B6C">
        <w:t>TS 23.502 [</w:t>
      </w:r>
      <w:r w:rsidRPr="00873B6C">
        <w:t>3]. In this case the AMF may also return a Control Plane data back-off timer within the Service Accept.</w:t>
      </w:r>
    </w:p>
    <w:p w14:paraId="5950B4AF" w14:textId="77777777" w:rsidR="00D40151" w:rsidRPr="00873B6C" w:rsidRDefault="00D40151" w:rsidP="00D40151">
      <w:pPr>
        <w:rPr>
          <w:lang w:eastAsia="x-none"/>
        </w:rPr>
      </w:pPr>
      <w:r w:rsidRPr="00873B6C">
        <w:rPr>
          <w:lang w:eastAsia="x-none"/>
        </w:rPr>
        <w:t>The AMF only includes the Control Plane data back-off timer if the UE has indicated support for Control Plane CIoT 5GS optimizations in the Registration Request.</w:t>
      </w:r>
    </w:p>
    <w:p w14:paraId="08307A6B" w14:textId="77777777" w:rsidR="00D40151" w:rsidRPr="00873B6C" w:rsidRDefault="00D40151" w:rsidP="00D40151">
      <w:pPr>
        <w:pStyle w:val="Heading2"/>
        <w:rPr>
          <w:lang w:eastAsia="ko-KR"/>
        </w:rPr>
      </w:pPr>
      <w:bookmarkStart w:id="3558" w:name="_CR5_20"/>
      <w:bookmarkStart w:id="3559" w:name="_Toc20150020"/>
      <w:bookmarkStart w:id="3560" w:name="_Toc27846819"/>
      <w:bookmarkStart w:id="3561" w:name="_Toc36187950"/>
      <w:bookmarkStart w:id="3562" w:name="_Toc45183854"/>
      <w:bookmarkStart w:id="3563" w:name="_Toc47342696"/>
      <w:bookmarkStart w:id="3564" w:name="_Toc51769397"/>
      <w:bookmarkStart w:id="3565" w:name="_Toc201157409"/>
      <w:bookmarkEnd w:id="3558"/>
      <w:r w:rsidRPr="00873B6C">
        <w:t>5.20</w:t>
      </w:r>
      <w:r w:rsidRPr="00873B6C">
        <w:tab/>
      </w:r>
      <w:r w:rsidRPr="00873B6C">
        <w:rPr>
          <w:lang w:eastAsia="ko-KR"/>
        </w:rPr>
        <w:t>External Exposure of Network Capability</w:t>
      </w:r>
      <w:bookmarkEnd w:id="3559"/>
      <w:bookmarkEnd w:id="3560"/>
      <w:bookmarkEnd w:id="3561"/>
      <w:bookmarkEnd w:id="3562"/>
      <w:bookmarkEnd w:id="3563"/>
      <w:bookmarkEnd w:id="3564"/>
      <w:bookmarkEnd w:id="3565"/>
    </w:p>
    <w:p w14:paraId="46D50102" w14:textId="1B107FB3" w:rsidR="00D40151" w:rsidRPr="00873B6C" w:rsidRDefault="00D40151" w:rsidP="00D40151">
      <w:pPr>
        <w:rPr>
          <w:lang w:eastAsia="ko-KR"/>
        </w:rPr>
      </w:pPr>
      <w:r w:rsidRPr="00873B6C">
        <w:rPr>
          <w:lang w:eastAsia="ko-KR"/>
        </w:rPr>
        <w:t>The Network Exposure Function (NEF) supports external exposure of capabilities of network functions. External exposure can be categorized as Monitoring capability, Provisioning capability, Policy/Charging capability</w:t>
      </w:r>
      <w:r w:rsidR="006514B8" w:rsidRPr="00873B6C">
        <w:rPr>
          <w:lang w:eastAsia="ko-KR"/>
        </w:rPr>
        <w:t>,</w:t>
      </w:r>
      <w:r w:rsidRPr="00873B6C">
        <w:rPr>
          <w:lang w:eastAsia="ko-KR"/>
        </w:rPr>
        <w:t xml:space="preserve"> Analytics reporting capability</w:t>
      </w:r>
      <w:r w:rsidR="006514B8" w:rsidRPr="00873B6C">
        <w:rPr>
          <w:lang w:eastAsia="ko-KR"/>
        </w:rPr>
        <w:t xml:space="preserve"> and Member</w:t>
      </w:r>
      <w:r w:rsidR="00A13197" w:rsidRPr="00873B6C">
        <w:rPr>
          <w:lang w:eastAsia="ko-KR"/>
        </w:rPr>
        <w:t xml:space="preserve"> UE</w:t>
      </w:r>
      <w:r w:rsidR="006514B8" w:rsidRPr="00873B6C">
        <w:rPr>
          <w:lang w:eastAsia="ko-KR"/>
        </w:rPr>
        <w:t xml:space="preserve"> selection capability</w:t>
      </w:r>
      <w:r w:rsidRPr="00873B6C">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873B6C">
        <w:rPr>
          <w:lang w:eastAsia="ko-KR"/>
        </w:rPr>
        <w:t xml:space="preserve"> access and mobility management,</w:t>
      </w:r>
      <w:r w:rsidRPr="00873B6C">
        <w:rPr>
          <w:lang w:eastAsia="ko-KR"/>
        </w:rPr>
        <w:t xml:space="preserve"> QoS and charging polic</w:t>
      </w:r>
      <w:r w:rsidR="001E021F" w:rsidRPr="00873B6C">
        <w:rPr>
          <w:lang w:eastAsia="ko-KR"/>
        </w:rPr>
        <w:t xml:space="preserve">ies </w:t>
      </w:r>
      <w:r w:rsidRPr="00873B6C">
        <w:rPr>
          <w:lang w:eastAsia="ko-KR"/>
        </w:rPr>
        <w:t>for the UE based on the request from external party. The Analytics reporting capability is for allowing an external party to fetch or subscribe/unsubscribe to analytics information generated by 5G System</w:t>
      </w:r>
      <w:r w:rsidR="001E021F" w:rsidRPr="00873B6C">
        <w:rPr>
          <w:lang w:eastAsia="ko-KR"/>
        </w:rPr>
        <w:t xml:space="preserve"> (this is further defined in </w:t>
      </w:r>
      <w:r w:rsidR="00972E70" w:rsidRPr="00873B6C">
        <w:rPr>
          <w:lang w:eastAsia="ko-KR"/>
        </w:rPr>
        <w:t>TS 23.288 [</w:t>
      </w:r>
      <w:r w:rsidR="001E021F" w:rsidRPr="00873B6C">
        <w:rPr>
          <w:lang w:eastAsia="ko-KR"/>
        </w:rPr>
        <w:t>86])</w:t>
      </w:r>
      <w:r w:rsidRPr="00873B6C">
        <w:rPr>
          <w:lang w:eastAsia="ko-KR"/>
        </w:rPr>
        <w:t>.</w:t>
      </w:r>
      <w:r w:rsidR="006514B8" w:rsidRPr="00873B6C">
        <w:rPr>
          <w:lang w:eastAsia="ko-KR"/>
        </w:rPr>
        <w:t xml:space="preserve"> The Member</w:t>
      </w:r>
      <w:r w:rsidR="00A13197" w:rsidRPr="00873B6C">
        <w:rPr>
          <w:lang w:eastAsia="ko-KR"/>
        </w:rPr>
        <w:t xml:space="preserve"> UE</w:t>
      </w:r>
      <w:r w:rsidR="006514B8" w:rsidRPr="00873B6C">
        <w:rPr>
          <w:lang w:eastAsia="ko-KR"/>
        </w:rPr>
        <w:t xml:space="preserve"> selection capability is for allowing an external party to acquire one or more list(s) of candidate UE(s) (among the list of target member UE(s) provided by the AF) and additional information that is based on the assistance information generated by 5G System based on some defined filtering criteria, the details are explained in clause 4.15.13 in </w:t>
      </w:r>
      <w:r w:rsidR="00972E70" w:rsidRPr="00873B6C">
        <w:rPr>
          <w:lang w:eastAsia="ko-KR"/>
        </w:rPr>
        <w:t>TS 23.502 [</w:t>
      </w:r>
      <w:r w:rsidR="006514B8" w:rsidRPr="00873B6C">
        <w:rPr>
          <w:lang w:eastAsia="ko-KR"/>
        </w:rPr>
        <w:t>3].</w:t>
      </w:r>
    </w:p>
    <w:p w14:paraId="7EEC18E3" w14:textId="38901A8B" w:rsidR="00182EE7" w:rsidRPr="00873B6C" w:rsidRDefault="00D40151" w:rsidP="00D40151">
      <w:pPr>
        <w:rPr>
          <w:lang w:eastAsia="ko-KR"/>
        </w:rPr>
      </w:pPr>
      <w:r w:rsidRPr="00873B6C">
        <w:rPr>
          <w:lang w:eastAsia="ko-KR"/>
        </w:rPr>
        <w:t>Monitoring capability is comprised of means that allow the identification of the 5G network function suitable for configuring the specific monitoring events, detect the monitoring event</w:t>
      </w:r>
      <w:r w:rsidR="00472CD7" w:rsidRPr="00873B6C">
        <w:rPr>
          <w:lang w:eastAsia="ko-KR"/>
        </w:rPr>
        <w:t xml:space="preserve"> and</w:t>
      </w:r>
      <w:r w:rsidRPr="00873B6C">
        <w:rPr>
          <w:lang w:eastAsia="ko-KR"/>
        </w:rPr>
        <w:t xml:space="preserve"> report the monitoring event to the authorised external party. Monitoring capability can be used for exposing UE's mobility management context such as UE location, reachability, roaming status</w:t>
      </w:r>
      <w:r w:rsidR="00472CD7" w:rsidRPr="00873B6C">
        <w:rPr>
          <w:lang w:eastAsia="ko-KR"/>
        </w:rPr>
        <w:t xml:space="preserve"> and</w:t>
      </w:r>
      <w:r w:rsidRPr="00873B6C">
        <w:rPr>
          <w:lang w:eastAsia="ko-KR"/>
        </w:rPr>
        <w:t xml:space="preserve"> loss of connectivity.</w:t>
      </w:r>
      <w:r w:rsidR="003B7084" w:rsidRPr="00873B6C">
        <w:rPr>
          <w:lang w:eastAsia="ko-KR"/>
        </w:rPr>
        <w:t xml:space="preserve"> Monitoring capability can also be used for exposing QoS monitoring result.</w:t>
      </w:r>
      <w:r w:rsidRPr="00873B6C">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r w:rsidR="003E5241" w:rsidRPr="00873B6C">
        <w:rPr>
          <w:lang w:eastAsia="ko-KR"/>
        </w:rPr>
        <w:t xml:space="preserve"> The Monitoring capability also allows AF to subscribe to the group status changes for a group, either a 5G VN group as described in clause 5.29.2, as well as a group configured by OA&amp;M. In this case the AF is notified if the group member list is updated or a group member is no longer subscribed to the group.</w:t>
      </w:r>
    </w:p>
    <w:p w14:paraId="0325E538" w14:textId="27EADBA4" w:rsidR="00D40151" w:rsidRPr="00873B6C" w:rsidRDefault="00D40151" w:rsidP="00D40151">
      <w:pPr>
        <w:rPr>
          <w:lang w:eastAsia="ko-KR"/>
        </w:rPr>
      </w:pPr>
      <w:r w:rsidRPr="00873B6C">
        <w:rPr>
          <w:lang w:eastAsia="ko-KR"/>
        </w:rPr>
        <w:t>Provisioning capability allows an external party to provision the Expected UE Behaviour or the 5G</w:t>
      </w:r>
      <w:r w:rsidR="00704A9E" w:rsidRPr="00873B6C">
        <w:rPr>
          <w:lang w:eastAsia="ko-KR"/>
        </w:rPr>
        <w:t>-VN</w:t>
      </w:r>
      <w:r w:rsidRPr="00873B6C">
        <w:rPr>
          <w:lang w:eastAsia="ko-KR"/>
        </w:rPr>
        <w:t xml:space="preserve"> group information</w:t>
      </w:r>
      <w:r w:rsidR="004969CB" w:rsidRPr="00873B6C">
        <w:rPr>
          <w:lang w:eastAsia="ko-KR"/>
        </w:rPr>
        <w:t xml:space="preserve"> or DNN and S-NSSAI specific Group Parameters</w:t>
      </w:r>
      <w:r w:rsidRPr="00873B6C">
        <w:rPr>
          <w:lang w:eastAsia="ko-KR"/>
        </w:rPr>
        <w:t xml:space="preserve"> or</w:t>
      </w:r>
      <w:r w:rsidR="003B4D25" w:rsidRPr="00873B6C">
        <w:rPr>
          <w:lang w:eastAsia="ko-KR"/>
        </w:rPr>
        <w:t xml:space="preserve"> ECS Address Configuration Information or</w:t>
      </w:r>
      <w:r w:rsidRPr="00873B6C">
        <w:rPr>
          <w:lang w:eastAsia="ko-KR"/>
        </w:rPr>
        <w:t xml:space="preserve"> service specific information to 5G NF via the NEF. The provisioning comprises of the authorisation of the provisioning external third party, receiving the provisioned external information via the NEF, storing the information</w:t>
      </w:r>
      <w:r w:rsidR="00472CD7" w:rsidRPr="00873B6C">
        <w:rPr>
          <w:lang w:eastAsia="ko-KR"/>
        </w:rPr>
        <w:t xml:space="preserve"> and</w:t>
      </w:r>
      <w:r w:rsidRPr="00873B6C">
        <w:rPr>
          <w:lang w:eastAsia="ko-KR"/>
        </w:rPr>
        <w:t xml:space="preserve">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873B6C">
        <w:rPr>
          <w:lang w:eastAsia="ko-KR"/>
        </w:rPr>
        <w:t xml:space="preserve"> clause 4.15.6.3</w:t>
      </w:r>
      <w:r w:rsidRPr="00873B6C">
        <w:rPr>
          <w:lang w:eastAsia="ko-KR"/>
        </w:rPr>
        <w:t xml:space="preserve"> </w:t>
      </w:r>
      <w:r w:rsidR="00131D56" w:rsidRPr="00873B6C">
        <w:rPr>
          <w:lang w:eastAsia="ko-KR"/>
        </w:rPr>
        <w:t xml:space="preserve">of </w:t>
      </w:r>
      <w:r w:rsidR="00972E70" w:rsidRPr="00873B6C">
        <w:rPr>
          <w:lang w:eastAsia="ko-KR"/>
        </w:rPr>
        <w:t>TS 23.502 [</w:t>
      </w:r>
      <w:r w:rsidRPr="00873B6C">
        <w:rPr>
          <w:lang w:eastAsia="ko-KR"/>
        </w:rPr>
        <w:t xml:space="preserve">3] or Network Control parameter </w:t>
      </w:r>
      <w:r w:rsidR="00131D56" w:rsidRPr="00873B6C">
        <w:rPr>
          <w:lang w:eastAsia="ko-KR"/>
        </w:rPr>
        <w:t xml:space="preserve">in clause 4.15.6.3a of </w:t>
      </w:r>
      <w:r w:rsidR="00972E70" w:rsidRPr="00873B6C">
        <w:rPr>
          <w:lang w:eastAsia="ko-KR"/>
        </w:rPr>
        <w:t>TS 23.502 [</w:t>
      </w:r>
      <w:r w:rsidRPr="00873B6C">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873B6C">
        <w:rPr>
          <w:lang w:eastAsia="ko-KR"/>
        </w:rPr>
        <w:t>5G-VN</w:t>
      </w:r>
      <w:r w:rsidRPr="00873B6C">
        <w:rPr>
          <w:lang w:eastAsia="ko-KR"/>
        </w:rPr>
        <w:t xml:space="preserve"> group information the externally provisioned information is defined as the </w:t>
      </w:r>
      <w:r w:rsidR="00704A9E" w:rsidRPr="00873B6C">
        <w:rPr>
          <w:lang w:eastAsia="ko-KR"/>
        </w:rPr>
        <w:t>5G-VN</w:t>
      </w:r>
      <w:r w:rsidRPr="00873B6C">
        <w:rPr>
          <w:lang w:eastAsia="ko-KR"/>
        </w:rPr>
        <w:t xml:space="preserve"> group parameters in</w:t>
      </w:r>
      <w:r w:rsidR="00131D56" w:rsidRPr="00873B6C">
        <w:rPr>
          <w:lang w:eastAsia="ko-KR"/>
        </w:rPr>
        <w:t xml:space="preserve"> clause 4.15.6.7</w:t>
      </w:r>
      <w:r w:rsidRPr="00873B6C">
        <w:rPr>
          <w:lang w:eastAsia="ko-KR"/>
        </w:rPr>
        <w:t xml:space="preserve"> </w:t>
      </w:r>
      <w:r w:rsidR="00131D56" w:rsidRPr="00873B6C">
        <w:rPr>
          <w:lang w:eastAsia="ko-KR"/>
        </w:rPr>
        <w:t xml:space="preserve">of </w:t>
      </w:r>
      <w:r w:rsidR="00972E70" w:rsidRPr="00873B6C">
        <w:rPr>
          <w:lang w:eastAsia="ko-KR"/>
        </w:rPr>
        <w:t>TS 23.502 [</w:t>
      </w:r>
      <w:r w:rsidRPr="00873B6C">
        <w:rPr>
          <w:lang w:eastAsia="ko-KR"/>
        </w:rPr>
        <w:t xml:space="preserve">3] and it consists of some information on the </w:t>
      </w:r>
      <w:r w:rsidR="00704A9E" w:rsidRPr="00873B6C">
        <w:rPr>
          <w:lang w:eastAsia="ko-KR"/>
        </w:rPr>
        <w:t>5G-VN</w:t>
      </w:r>
      <w:r w:rsidRPr="00873B6C">
        <w:rPr>
          <w:lang w:eastAsia="ko-KR"/>
        </w:rPr>
        <w:t xml:space="preserve"> group.</w:t>
      </w:r>
      <w:r w:rsidR="008D4CC2" w:rsidRPr="00873B6C">
        <w:rPr>
          <w:lang w:eastAsia="ko-KR"/>
        </w:rPr>
        <w:t xml:space="preserve"> In the case of the provisioning the DNN and S-NSSAI specific Group Parameters, the externally provisioned information is defined in clause 4.15.6.14 of </w:t>
      </w:r>
      <w:r w:rsidR="00972E70" w:rsidRPr="00873B6C">
        <w:rPr>
          <w:lang w:eastAsia="ko-KR"/>
        </w:rPr>
        <w:t>TS 23.502 [</w:t>
      </w:r>
      <w:r w:rsidR="008D4CC2" w:rsidRPr="00873B6C">
        <w:rPr>
          <w:lang w:eastAsia="ko-KR"/>
        </w:rPr>
        <w:t>3] and clause 5.20b.</w:t>
      </w:r>
      <w:r w:rsidR="003B4D25" w:rsidRPr="00873B6C">
        <w:rPr>
          <w:lang w:eastAsia="ko-KR"/>
        </w:rPr>
        <w:t xml:space="preserve"> In the case of provisioning ECS address, the externally provisioned information is defined as the ECS Address Configuration Information in clause 4.15.6.3d of </w:t>
      </w:r>
      <w:r w:rsidR="00972E70" w:rsidRPr="00873B6C">
        <w:rPr>
          <w:lang w:eastAsia="ko-KR"/>
        </w:rPr>
        <w:t>TS 23.502 [</w:t>
      </w:r>
      <w:r w:rsidR="003B4D25" w:rsidRPr="00873B6C">
        <w:rPr>
          <w:lang w:eastAsia="ko-KR"/>
        </w:rPr>
        <w:t>3].</w:t>
      </w:r>
      <w:r w:rsidRPr="00873B6C">
        <w:rPr>
          <w:lang w:eastAsia="ko-KR"/>
        </w:rPr>
        <w:t xml:space="preserve"> The affected NFs are informed via the subscriber data update as specified in</w:t>
      </w:r>
      <w:r w:rsidR="00131D56" w:rsidRPr="00873B6C">
        <w:rPr>
          <w:lang w:eastAsia="ko-KR"/>
        </w:rPr>
        <w:t xml:space="preserve"> clause 4.15.6.2</w:t>
      </w:r>
      <w:r w:rsidRPr="00873B6C">
        <w:rPr>
          <w:lang w:eastAsia="ko-KR"/>
        </w:rPr>
        <w:t xml:space="preserve"> </w:t>
      </w:r>
      <w:r w:rsidR="00131D56" w:rsidRPr="00873B6C">
        <w:rPr>
          <w:lang w:eastAsia="ko-KR"/>
        </w:rPr>
        <w:t xml:space="preserve">of </w:t>
      </w:r>
      <w:r w:rsidR="00972E70" w:rsidRPr="00873B6C">
        <w:rPr>
          <w:lang w:eastAsia="ko-KR"/>
        </w:rPr>
        <w:t>TS 23.502 [</w:t>
      </w:r>
      <w:r w:rsidRPr="00873B6C">
        <w:rPr>
          <w:lang w:eastAsia="ko-KR"/>
        </w:rPr>
        <w:t xml:space="preserve">3]. The externally provisioned information which is defined as the Service Parameters in clause 4.15.6.7 of </w:t>
      </w:r>
      <w:r w:rsidR="00972E70" w:rsidRPr="00873B6C">
        <w:rPr>
          <w:lang w:eastAsia="ko-KR"/>
        </w:rPr>
        <w:t>TS 23.502 [</w:t>
      </w:r>
      <w:r w:rsidRPr="00873B6C">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2385C2BD" w:rsidR="00D40151" w:rsidRPr="00873B6C" w:rsidRDefault="00D40151" w:rsidP="00D40151">
      <w:pPr>
        <w:rPr>
          <w:lang w:eastAsia="ko-KR"/>
        </w:rPr>
      </w:pPr>
      <w:r w:rsidRPr="00873B6C">
        <w:rPr>
          <w:lang w:eastAsia="ko-KR"/>
        </w:rPr>
        <w:t>Policy/Charging capability is comprised of means that allow the request for session and charging policy, enforce QoS policy, apply accounting functionality</w:t>
      </w:r>
      <w:r w:rsidR="001E021F" w:rsidRPr="00873B6C">
        <w:rPr>
          <w:lang w:eastAsia="ko-KR"/>
        </w:rPr>
        <w:t xml:space="preserve"> and requests to influence access and mobility management policies</w:t>
      </w:r>
      <w:r w:rsidRPr="00873B6C">
        <w:rPr>
          <w:lang w:eastAsia="ko-KR"/>
        </w:rPr>
        <w:t>. It can be used for specific QoS/priority handling for the session of the UE</w:t>
      </w:r>
      <w:r w:rsidR="00472CD7" w:rsidRPr="00873B6C">
        <w:rPr>
          <w:lang w:eastAsia="ko-KR"/>
        </w:rPr>
        <w:t xml:space="preserve"> and</w:t>
      </w:r>
      <w:r w:rsidRPr="00873B6C">
        <w:rPr>
          <w:lang w:eastAsia="ko-KR"/>
        </w:rPr>
        <w:t xml:space="preserve"> for setting applicable charging party or charging rate.</w:t>
      </w:r>
    </w:p>
    <w:p w14:paraId="60D7F48C" w14:textId="77777777" w:rsidR="00D40151" w:rsidRPr="00873B6C" w:rsidRDefault="00D40151" w:rsidP="00D40151">
      <w:r w:rsidRPr="00873B6C">
        <w:t>Analytics reporting capability is comprised of means that allow discovery of type of analytics that can be consumed by external party, the request for consumption of analytics information generated by NWDAF.</w:t>
      </w:r>
    </w:p>
    <w:p w14:paraId="28216689" w14:textId="62FFB02B" w:rsidR="006514B8" w:rsidRPr="00873B6C" w:rsidRDefault="006514B8" w:rsidP="00D40151">
      <w:r w:rsidRPr="00873B6C">
        <w:lastRenderedPageBreak/>
        <w:t>Member</w:t>
      </w:r>
      <w:r w:rsidR="00A13197" w:rsidRPr="00873B6C">
        <w:t xml:space="preserve"> UE</w:t>
      </w:r>
      <w:r w:rsidRPr="00873B6C">
        <w:t xml:space="preserve"> selection capability is comprised of means that allows filtering and providing one or more list(s) of candidate UE(s) (among the list of target member UE(s) provided by the AF) and additional information that can be consumed by external party, the request for consumption of UE list generated by external party.</w:t>
      </w:r>
    </w:p>
    <w:p w14:paraId="57CD94F2" w14:textId="1B0EF6DE" w:rsidR="00D40151" w:rsidRPr="00873B6C" w:rsidRDefault="00D40151" w:rsidP="00D40151">
      <w:r w:rsidRPr="00873B6C">
        <w:t>An NEF may support CAPIF functions for external exposure as specified in clause 6.2.5.1.</w:t>
      </w:r>
    </w:p>
    <w:p w14:paraId="04D7EBF3" w14:textId="50D68475" w:rsidR="00D40151" w:rsidRPr="00873B6C" w:rsidRDefault="00D40151" w:rsidP="00D40151">
      <w:r w:rsidRPr="00873B6C">
        <w:t xml:space="preserve">An NEF may support exposure of NWDAF analytics as specified in </w:t>
      </w:r>
      <w:r w:rsidR="00972E70" w:rsidRPr="00873B6C">
        <w:t>TS 23.288 [</w:t>
      </w:r>
      <w:r w:rsidRPr="00873B6C">
        <w:t>86].</w:t>
      </w:r>
    </w:p>
    <w:p w14:paraId="40B99442" w14:textId="126D60FD" w:rsidR="00A46717" w:rsidRPr="00873B6C" w:rsidRDefault="00A46717" w:rsidP="00A46717">
      <w:bookmarkStart w:id="3566" w:name="_Toc20150021"/>
      <w:bookmarkStart w:id="3567" w:name="_Toc27846820"/>
      <w:bookmarkStart w:id="3568" w:name="_Toc36187951"/>
      <w:bookmarkStart w:id="3569" w:name="_Toc45183855"/>
      <w:bookmarkStart w:id="3570" w:name="_Toc47342697"/>
      <w:bookmarkStart w:id="3571" w:name="_Toc51769398"/>
      <w:r w:rsidRPr="00873B6C">
        <w:t>The NEF may support exposure of 5GS and/or UE availability and capabilities for time synchronization service as specified in clause 5.27.1.8.</w:t>
      </w:r>
    </w:p>
    <w:p w14:paraId="386A60EF" w14:textId="64157468" w:rsidR="0053150F" w:rsidRPr="00873B6C" w:rsidRDefault="0053150F" w:rsidP="00700DBF">
      <w:r w:rsidRPr="00873B6C">
        <w:t>An NEF may support exposure of event based notifications and reports for NSACF as specified in clause 5.15.11.</w:t>
      </w:r>
    </w:p>
    <w:p w14:paraId="303C232F" w14:textId="12C5BAC7" w:rsidR="00700DBF" w:rsidRPr="00873B6C" w:rsidRDefault="00700DBF" w:rsidP="00700DBF">
      <w:r w:rsidRPr="00873B6C">
        <w:t xml:space="preserve">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w:t>
      </w:r>
      <w:r w:rsidR="00972E70" w:rsidRPr="00873B6C">
        <w:t>TS 23.502 [</w:t>
      </w:r>
      <w:r w:rsidRPr="00873B6C">
        <w:t>3], based on:</w:t>
      </w:r>
    </w:p>
    <w:p w14:paraId="7ECAC54E" w14:textId="3BF7568A" w:rsidR="00700DBF" w:rsidRPr="00873B6C" w:rsidRDefault="00700DBF" w:rsidP="00461850">
      <w:pPr>
        <w:pStyle w:val="B1"/>
      </w:pPr>
      <w:r w:rsidRPr="00873B6C">
        <w:t>-</w:t>
      </w:r>
      <w:r w:rsidRPr="00873B6C">
        <w:tab/>
        <w:t>the address of the UE as provided by the AF; this may be an IP address or a MAC address;</w:t>
      </w:r>
    </w:p>
    <w:p w14:paraId="5818C5E0" w14:textId="6BAF37AA" w:rsidR="00700DBF" w:rsidRPr="00873B6C" w:rsidRDefault="00700DBF" w:rsidP="00461850">
      <w:pPr>
        <w:pStyle w:val="B1"/>
      </w:pPr>
      <w:r w:rsidRPr="00873B6C">
        <w:t>-</w:t>
      </w:r>
      <w:r w:rsidRPr="00873B6C">
        <w:tab/>
        <w:t>the corresponding DNN and/or S-NSSAI information: this may have been provided by the AF or determined by the NEF based on the requesting AF; this is needed if the UE address is an IP address.</w:t>
      </w:r>
    </w:p>
    <w:p w14:paraId="0BF11F68" w14:textId="793E3C6F" w:rsidR="00883CA6" w:rsidRPr="00873B6C" w:rsidRDefault="00883CA6" w:rsidP="00883CA6">
      <w:r w:rsidRPr="00873B6C">
        <w:t>The NEF may provide a UE Identifier in the GPSI format of MSISDN to a</w:t>
      </w:r>
      <w:r w:rsidR="00DD4756" w:rsidRPr="00873B6C">
        <w:t>n authenticated and authorized</w:t>
      </w:r>
      <w:r w:rsidRPr="00873B6C">
        <w:t xml:space="preserve"> AF:</w:t>
      </w:r>
    </w:p>
    <w:p w14:paraId="4F8CAC86" w14:textId="2BB421EB" w:rsidR="00883CA6" w:rsidRPr="00873B6C" w:rsidRDefault="00883CA6" w:rsidP="00745A3E">
      <w:pPr>
        <w:pStyle w:val="B1"/>
      </w:pPr>
      <w:r w:rsidRPr="00873B6C">
        <w:t>-</w:t>
      </w:r>
      <w:r w:rsidRPr="00873B6C">
        <w:tab/>
        <w:t>that fulfils the conditions described in clause 4.15.10A of TS 23.502 [3]; and</w:t>
      </w:r>
    </w:p>
    <w:p w14:paraId="08FFFD25" w14:textId="4AF08CFB" w:rsidR="00883CA6" w:rsidRPr="00873B6C" w:rsidRDefault="00883CA6" w:rsidP="00745A3E">
      <w:pPr>
        <w:pStyle w:val="B1"/>
      </w:pPr>
      <w:r w:rsidRPr="00873B6C">
        <w:t>-</w:t>
      </w:r>
      <w:r w:rsidRPr="00873B6C">
        <w:tab/>
        <w:t>that has explicitly requested a translation from the UE address to a unique UE identifier (via Nnef_UEId service) when the UE MSISDN exposure is allowed and authorized by the operator; or</w:t>
      </w:r>
    </w:p>
    <w:p w14:paraId="6266EA4E" w14:textId="3566E7CC" w:rsidR="00700DBF" w:rsidRPr="00873B6C" w:rsidRDefault="00883CA6" w:rsidP="00745A3E">
      <w:pPr>
        <w:pStyle w:val="B1"/>
      </w:pPr>
      <w:r w:rsidRPr="00873B6C">
        <w:t>-</w:t>
      </w:r>
      <w:r w:rsidRPr="00873B6C">
        <w:tab/>
        <w:t xml:space="preserve">the </w:t>
      </w:r>
      <w:r w:rsidR="00700DBF" w:rsidRPr="00873B6C">
        <w:t>NEF may provide an AF specific UE Identifier to the AF:</w:t>
      </w:r>
    </w:p>
    <w:p w14:paraId="6E0049E0" w14:textId="77777777" w:rsidR="00700DBF" w:rsidRPr="00873B6C" w:rsidRDefault="00700DBF" w:rsidP="00745A3E">
      <w:pPr>
        <w:pStyle w:val="B2"/>
      </w:pPr>
      <w:r w:rsidRPr="00873B6C">
        <w:t>-</w:t>
      </w:r>
      <w:r w:rsidRPr="00873B6C">
        <w:tab/>
        <w:t>that has explicitly requested a translation from the address of the UE to a unique UE identifier (via Nnef_UEId service); or</w:t>
      </w:r>
    </w:p>
    <w:p w14:paraId="4214D3B9" w14:textId="4056D08D" w:rsidR="00700DBF" w:rsidRPr="00873B6C" w:rsidRDefault="00700DBF" w:rsidP="00745A3E">
      <w:pPr>
        <w:pStyle w:val="B2"/>
      </w:pPr>
      <w:r w:rsidRPr="00873B6C">
        <w:t>-</w:t>
      </w:r>
      <w:r w:rsidRPr="00873B6C">
        <w:tab/>
        <w:t>that has implicitly requested a translation from the address of the UE to a</w:t>
      </w:r>
      <w:r w:rsidR="00DD4756" w:rsidRPr="00873B6C">
        <w:t>n</w:t>
      </w:r>
      <w:r w:rsidRPr="00873B6C">
        <w:t xml:space="preserve"> AF specific UE Identifier by requesting external exposure about an individual UE identified by its address.</w:t>
      </w:r>
    </w:p>
    <w:p w14:paraId="720BBB2A" w14:textId="2F8E45FF" w:rsidR="00700DBF" w:rsidRPr="00873B6C" w:rsidRDefault="00700DBF" w:rsidP="00700DBF">
      <w:r w:rsidRPr="00873B6C">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873B6C" w:rsidRDefault="00700DBF" w:rsidP="00700DBF">
      <w:r w:rsidRPr="00873B6C">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873B6C" w:rsidRDefault="00700DBF" w:rsidP="00461850">
      <w:pPr>
        <w:pStyle w:val="NO"/>
      </w:pPr>
      <w:r w:rsidRPr="00873B6C">
        <w:t>NOTE 1:</w:t>
      </w:r>
      <w:r w:rsidRPr="00873B6C">
        <w:tab/>
        <w:t>This is to protect user privacy.</w:t>
      </w:r>
    </w:p>
    <w:p w14:paraId="74C06981" w14:textId="5F53DB69" w:rsidR="009B42A2" w:rsidRPr="00873B6C" w:rsidRDefault="009B42A2" w:rsidP="009B42A2">
      <w:pPr>
        <w:pStyle w:val="NO"/>
      </w:pPr>
      <w:r w:rsidRPr="00873B6C">
        <w:t>NOTE 2:</w:t>
      </w:r>
      <w:r w:rsidRPr="00873B6C">
        <w:tab/>
        <w:t>The AF specific UE identifier is ensured to be unique across different AFs as defined in TS 23.003 [19] by configuration. Such configuration is assumed to be coordinated between the different involved entities (e.g. NEF(s) and UDM/UDR).</w:t>
      </w:r>
    </w:p>
    <w:p w14:paraId="023FBDB9" w14:textId="3A076D73" w:rsidR="009B42A2" w:rsidRPr="00873B6C" w:rsidRDefault="009B42A2" w:rsidP="009B42A2">
      <w:pPr>
        <w:pStyle w:val="NO"/>
      </w:pPr>
      <w:r w:rsidRPr="00873B6C">
        <w:t>NOTE 3:</w:t>
      </w:r>
      <w:r w:rsidRPr="00873B6C">
        <w:tab/>
        <w:t>Based on policies, the NEF can be configured to enforce restriction on the usage of AF specific UE identifier (e.g. rejection of a service request from AF not authorized to use the UE identifier).</w:t>
      </w:r>
    </w:p>
    <w:p w14:paraId="6A836932" w14:textId="2D929EA9" w:rsidR="00D40151" w:rsidRPr="00873B6C" w:rsidRDefault="00D40151" w:rsidP="00D40151">
      <w:pPr>
        <w:pStyle w:val="Heading2"/>
      </w:pPr>
      <w:bookmarkStart w:id="3572" w:name="_CR5_20a"/>
      <w:bookmarkStart w:id="3573" w:name="_Toc201157410"/>
      <w:bookmarkEnd w:id="3572"/>
      <w:r w:rsidRPr="00873B6C">
        <w:t>5.20a</w:t>
      </w:r>
      <w:r w:rsidRPr="00873B6C">
        <w:tab/>
        <w:t>Data Collection from an AF</w:t>
      </w:r>
      <w:bookmarkEnd w:id="3566"/>
      <w:bookmarkEnd w:id="3567"/>
      <w:bookmarkEnd w:id="3568"/>
      <w:bookmarkEnd w:id="3569"/>
      <w:bookmarkEnd w:id="3570"/>
      <w:bookmarkEnd w:id="3571"/>
      <w:bookmarkEnd w:id="3573"/>
    </w:p>
    <w:p w14:paraId="4E678B8A" w14:textId="77777777" w:rsidR="00D40151" w:rsidRPr="00873B6C" w:rsidRDefault="00D40151" w:rsidP="00D40151">
      <w:r w:rsidRPr="00873B6C">
        <w:t>An NF that needs to collect data from an AF may subscribe/unsubscribe to notifications regarding data collected from an AF, either directly from the AF or via NEF.</w:t>
      </w:r>
    </w:p>
    <w:p w14:paraId="756107F1" w14:textId="77777777" w:rsidR="00D40151" w:rsidRPr="00873B6C" w:rsidRDefault="00D40151" w:rsidP="00D40151">
      <w:r w:rsidRPr="00873B6C">
        <w:t>The data collected from an AF is used as input for analytics by the NWDAF.</w:t>
      </w:r>
    </w:p>
    <w:p w14:paraId="267AAE73" w14:textId="5F08B0A3" w:rsidR="00D40151" w:rsidRPr="00873B6C" w:rsidRDefault="00D40151" w:rsidP="00D40151">
      <w:r w:rsidRPr="00873B6C">
        <w:t xml:space="preserve">The details for the data collected from an AF as well as interactions between NEF, AF and NWDAF are described in </w:t>
      </w:r>
      <w:r w:rsidR="00972E70" w:rsidRPr="00873B6C">
        <w:t>TS 23.288 [</w:t>
      </w:r>
      <w:r w:rsidRPr="00873B6C">
        <w:t>86].</w:t>
      </w:r>
    </w:p>
    <w:p w14:paraId="2E923FF2" w14:textId="41FA1688" w:rsidR="00633BD1" w:rsidRPr="00873B6C" w:rsidRDefault="00633BD1" w:rsidP="00972E70">
      <w:pPr>
        <w:pStyle w:val="Heading2"/>
      </w:pPr>
      <w:bookmarkStart w:id="3574" w:name="_CR5_20b"/>
      <w:bookmarkStart w:id="3575" w:name="_Toc20150022"/>
      <w:bookmarkStart w:id="3576" w:name="_Toc27846821"/>
      <w:bookmarkStart w:id="3577" w:name="_Toc36187952"/>
      <w:bookmarkStart w:id="3578" w:name="_Toc45183856"/>
      <w:bookmarkStart w:id="3579" w:name="_Toc47342698"/>
      <w:bookmarkStart w:id="3580" w:name="_Toc51769399"/>
      <w:bookmarkStart w:id="3581" w:name="_Toc201157411"/>
      <w:bookmarkEnd w:id="3574"/>
      <w:r w:rsidRPr="00873B6C">
        <w:lastRenderedPageBreak/>
        <w:t>5.20b</w:t>
      </w:r>
      <w:r w:rsidRPr="00873B6C">
        <w:tab/>
        <w:t>Support exposure of DNN and S-NSSAI specific Group Parameters</w:t>
      </w:r>
      <w:bookmarkEnd w:id="3581"/>
    </w:p>
    <w:p w14:paraId="763B4197" w14:textId="3093BBA4" w:rsidR="00111015" w:rsidRPr="00873B6C" w:rsidRDefault="00111015" w:rsidP="00111015">
      <w:pPr>
        <w:pStyle w:val="Heading3"/>
      </w:pPr>
      <w:bookmarkStart w:id="3582" w:name="_CR5_20b_1"/>
      <w:bookmarkStart w:id="3583" w:name="_Toc201157412"/>
      <w:bookmarkEnd w:id="3582"/>
      <w:r w:rsidRPr="00873B6C">
        <w:t>5.20b.1</w:t>
      </w:r>
      <w:r w:rsidRPr="00873B6C">
        <w:tab/>
        <w:t>Group attribute provisioning</w:t>
      </w:r>
      <w:bookmarkEnd w:id="3583"/>
    </w:p>
    <w:p w14:paraId="15D8D7F5" w14:textId="77777777" w:rsidR="00111015" w:rsidRPr="00873B6C" w:rsidRDefault="00111015" w:rsidP="00111015">
      <w:r w:rsidRPr="00873B6C">
        <w:t>A group may be a 5G VN group managed as defined in clause 5.29.2, as well as a group configured by OA&amp;M.</w:t>
      </w:r>
    </w:p>
    <w:p w14:paraId="77B97DA3" w14:textId="4656935C" w:rsidR="00111015" w:rsidRPr="00873B6C" w:rsidRDefault="00111015" w:rsidP="00111015">
      <w:r w:rsidRPr="00873B6C">
        <w:t>An AF may provision</w:t>
      </w:r>
      <w:r w:rsidR="0001193E" w:rsidRPr="00873B6C">
        <w:t xml:space="preserve"> DNN and S-NSSAI specific</w:t>
      </w:r>
      <w:r w:rsidRPr="00873B6C">
        <w:t xml:space="preserve"> attributes for a group</w:t>
      </w:r>
      <w:r w:rsidR="0001193E" w:rsidRPr="00873B6C">
        <w:t xml:space="preserve"> of UEs</w:t>
      </w:r>
      <w:r w:rsidRPr="00873B6C">
        <w:t>:</w:t>
      </w:r>
    </w:p>
    <w:p w14:paraId="6E5C98CD" w14:textId="4911D98E" w:rsidR="00111015" w:rsidRPr="00873B6C" w:rsidRDefault="00111015" w:rsidP="00972E70">
      <w:pPr>
        <w:pStyle w:val="B1"/>
      </w:pPr>
      <w:r w:rsidRPr="00873B6C">
        <w:t>-</w:t>
      </w:r>
      <w:r w:rsidRPr="00873B6C">
        <w:tab/>
        <w:t>LADN Service area,</w:t>
      </w:r>
      <w:r w:rsidR="0001193E" w:rsidRPr="00873B6C">
        <w:t xml:space="preserve"> which consists</w:t>
      </w:r>
      <w:r w:rsidRPr="00873B6C">
        <w:t xml:space="preserve"> of Tracking Area identities or geographical information, it is applicable to each UE member within the group and for a specific DNN and S-NSSAI.</w:t>
      </w:r>
    </w:p>
    <w:p w14:paraId="6994787B" w14:textId="4DEE3975" w:rsidR="00111015" w:rsidRPr="00873B6C" w:rsidRDefault="00111015" w:rsidP="00972E70">
      <w:pPr>
        <w:pStyle w:val="B1"/>
      </w:pPr>
      <w:r w:rsidRPr="00873B6C">
        <w:t>-</w:t>
      </w:r>
      <w:r w:rsidRPr="00873B6C">
        <w:tab/>
      </w:r>
      <w:r w:rsidR="0001193E" w:rsidRPr="00873B6C">
        <w:t xml:space="preserve">Default </w:t>
      </w:r>
      <w:r w:rsidRPr="00873B6C">
        <w:t>QoS, the QoS refers to 5QI, ARP and 5QI Priority Level as defined in clause 5.7.2.7 and it is applicable to each UE member within the group and for a specific DNN and S-NSSAI.</w:t>
      </w:r>
    </w:p>
    <w:p w14:paraId="0E83B45B" w14:textId="3FB1E03B" w:rsidR="008D4CC2" w:rsidRPr="00873B6C" w:rsidRDefault="008D4CC2" w:rsidP="008D4CC2">
      <w:pPr>
        <w:pStyle w:val="Heading3"/>
      </w:pPr>
      <w:bookmarkStart w:id="3584" w:name="_CR5_20b_2"/>
      <w:bookmarkStart w:id="3585" w:name="_Toc201157413"/>
      <w:bookmarkEnd w:id="3584"/>
      <w:r w:rsidRPr="00873B6C">
        <w:t>5.20b.2</w:t>
      </w:r>
      <w:r w:rsidRPr="00873B6C">
        <w:tab/>
        <w:t>Support</w:t>
      </w:r>
      <w:r w:rsidR="00424087" w:rsidRPr="00873B6C">
        <w:t xml:space="preserve"> LADN</w:t>
      </w:r>
      <w:r w:rsidRPr="00873B6C">
        <w:t xml:space="preserve"> service area for a group</w:t>
      </w:r>
      <w:bookmarkEnd w:id="3585"/>
    </w:p>
    <w:p w14:paraId="51327749" w14:textId="43200B23" w:rsidR="008D4CC2" w:rsidRPr="00873B6C" w:rsidRDefault="008D4CC2" w:rsidP="008D4CC2">
      <w:r w:rsidRPr="00873B6C">
        <w:t xml:space="preserve">The procedure as defined in clause 4.15.6.2 of </w:t>
      </w:r>
      <w:r w:rsidR="00972E70" w:rsidRPr="00873B6C">
        <w:t>TS 23.502 [</w:t>
      </w:r>
      <w:r w:rsidRPr="00873B6C">
        <w:t>3] is applicable for provisioning of</w:t>
      </w:r>
      <w:r w:rsidR="00424087" w:rsidRPr="00873B6C">
        <w:t xml:space="preserve"> LADN</w:t>
      </w:r>
      <w:r w:rsidRPr="00873B6C">
        <w:t xml:space="preserve"> service area for a group with the following clarifications and enhancements:</w:t>
      </w:r>
    </w:p>
    <w:p w14:paraId="25FAF2C1" w14:textId="7472757C" w:rsidR="008D4CC2" w:rsidRPr="00873B6C" w:rsidRDefault="008D4CC2" w:rsidP="00972E70">
      <w:pPr>
        <w:pStyle w:val="B1"/>
      </w:pPr>
      <w:r w:rsidRPr="00873B6C">
        <w:t>-</w:t>
      </w:r>
      <w:r w:rsidRPr="00873B6C">
        <w:tab/>
        <w:t>The AF request additionally contains the LADN service area as part of DNN and S-NSSAI specific Group Parameters</w:t>
      </w:r>
      <w:r w:rsidR="00472CD7" w:rsidRPr="00873B6C">
        <w:t xml:space="preserve"> and</w:t>
      </w:r>
      <w:r w:rsidRPr="00873B6C">
        <w:t xml:space="preserve"> the</w:t>
      </w:r>
      <w:r w:rsidR="00424087" w:rsidRPr="00873B6C">
        <w:t xml:space="preserve"> LADN</w:t>
      </w:r>
      <w:r w:rsidRPr="00873B6C">
        <w:t xml:space="preserve"> service area is stored in UDR as subscription data and delivered to AMF.</w:t>
      </w:r>
      <w:r w:rsidR="00424087" w:rsidRPr="00873B6C">
        <w:t xml:space="preserve"> If the AMF receives the LADN service area for a group, the AMF configures the DNN of the group as LADN DNN.</w:t>
      </w:r>
    </w:p>
    <w:p w14:paraId="6EB64997" w14:textId="77777777" w:rsidR="008D4CC2" w:rsidRPr="00873B6C" w:rsidRDefault="008D4CC2" w:rsidP="00972E70">
      <w:pPr>
        <w:pStyle w:val="B1"/>
      </w:pPr>
      <w:r w:rsidRPr="00873B6C">
        <w:t>-</w:t>
      </w:r>
      <w:r w:rsidRPr="00873B6C">
        <w:tab/>
        <w:t>If the AF provides the LADN service area in the form of geographical information, the NEF maps the geographical information to a list of TAs before sending the service area to the UDM.</w:t>
      </w:r>
    </w:p>
    <w:p w14:paraId="367B1B56" w14:textId="0EF00DA7" w:rsidR="008D4CC2" w:rsidRPr="00873B6C" w:rsidRDefault="008D4CC2" w:rsidP="008D4CC2">
      <w:r w:rsidRPr="00873B6C">
        <w:t>LADN per DNN and S-NSSAI as defined in clause 5.6.5a is applicable for enforcement of LADN service area</w:t>
      </w:r>
      <w:r w:rsidR="00424087" w:rsidRPr="00873B6C">
        <w:t>.</w:t>
      </w:r>
    </w:p>
    <w:p w14:paraId="2F02122D" w14:textId="0614C2C2" w:rsidR="00F03116" w:rsidRPr="00873B6C" w:rsidRDefault="00F03116" w:rsidP="007C2ADF">
      <w:pPr>
        <w:pStyle w:val="Heading3"/>
      </w:pPr>
      <w:bookmarkStart w:id="3586" w:name="_CR5_20b_3"/>
      <w:bookmarkStart w:id="3587" w:name="_Toc201157414"/>
      <w:bookmarkEnd w:id="3586"/>
      <w:r w:rsidRPr="00873B6C">
        <w:t>5.20b.3</w:t>
      </w:r>
      <w:r w:rsidRPr="00873B6C">
        <w:tab/>
        <w:t>Support QoS for a group</w:t>
      </w:r>
      <w:bookmarkEnd w:id="3587"/>
    </w:p>
    <w:p w14:paraId="0F122221" w14:textId="75E1D2CD" w:rsidR="00F03116" w:rsidRPr="00873B6C" w:rsidRDefault="00F03116" w:rsidP="00F03116">
      <w:r w:rsidRPr="00873B6C">
        <w:t xml:space="preserve">The procedure as defined in clause 4.15.6.2 of </w:t>
      </w:r>
      <w:r w:rsidR="00972E70" w:rsidRPr="00873B6C">
        <w:t>TS 23.502 [</w:t>
      </w:r>
      <w:r w:rsidRPr="00873B6C">
        <w:t>3] is applicable for provisioning of</w:t>
      </w:r>
      <w:r w:rsidR="0001193E" w:rsidRPr="00873B6C">
        <w:t xml:space="preserve"> default</w:t>
      </w:r>
      <w:r w:rsidRPr="00873B6C">
        <w:t xml:space="preserve"> QoS</w:t>
      </w:r>
      <w:r w:rsidR="0001193E" w:rsidRPr="00873B6C">
        <w:t xml:space="preserve"> for a DNN and S-NSSAI</w:t>
      </w:r>
      <w:r w:rsidRPr="00873B6C">
        <w:t xml:space="preserve"> for a group</w:t>
      </w:r>
      <w:r w:rsidR="0001193E" w:rsidRPr="00873B6C">
        <w:t xml:space="preserve"> of UEs</w:t>
      </w:r>
      <w:r w:rsidRPr="00873B6C">
        <w:t xml:space="preserve"> with the following clarifications and enhancements:</w:t>
      </w:r>
    </w:p>
    <w:p w14:paraId="1B2F309E" w14:textId="5CE13E88" w:rsidR="00F03116" w:rsidRPr="00873B6C" w:rsidRDefault="00F03116" w:rsidP="00972E70">
      <w:pPr>
        <w:pStyle w:val="B1"/>
      </w:pPr>
      <w:r w:rsidRPr="00873B6C">
        <w:t>-</w:t>
      </w:r>
      <w:r w:rsidRPr="00873B6C">
        <w:tab/>
        <w:t>The AF request contains the</w:t>
      </w:r>
      <w:r w:rsidR="0001193E" w:rsidRPr="00873B6C">
        <w:t xml:space="preserve"> Default</w:t>
      </w:r>
      <w:r w:rsidRPr="00873B6C">
        <w:t xml:space="preserve"> QoS for the group</w:t>
      </w:r>
      <w:r w:rsidR="00472CD7" w:rsidRPr="00873B6C">
        <w:t xml:space="preserve"> and</w:t>
      </w:r>
      <w:r w:rsidRPr="00873B6C">
        <w:t xml:space="preserve"> the UDM stores such QoS in the UDR and uses such QoS to set 5GS Subscribed QoS profile in Session Management Subscription data for each UE within the group.</w:t>
      </w:r>
    </w:p>
    <w:p w14:paraId="4D871600" w14:textId="62AF0FD6" w:rsidR="0001193E" w:rsidRPr="00873B6C" w:rsidRDefault="0001193E" w:rsidP="0001193E">
      <w:pPr>
        <w:pStyle w:val="NO"/>
      </w:pPr>
      <w:r w:rsidRPr="00873B6C">
        <w:t>NOTE:</w:t>
      </w:r>
      <w:r w:rsidRPr="00873B6C">
        <w:tab/>
        <w:t>When a UE belongs to multiple groups simultaneously</w:t>
      </w:r>
      <w:r w:rsidR="00472CD7" w:rsidRPr="00873B6C">
        <w:t xml:space="preserve"> and</w:t>
      </w:r>
      <w:r w:rsidRPr="00873B6C">
        <w:t xml:space="preserve"> AF(s) provision different Default QoS for the same DNN and S-NSSAI but different groups, UDM selects a QoS profile among the groups the UE belongs to for a DNN and S-NSSAI to set the 5GS subscribed QoS profile. How the UDM selects a QoS profile is based on implementation and configuration. The UDM can e.g. select a QoS profile with a higher 5QI Priority Level or higher ARP priority level.</w:t>
      </w:r>
    </w:p>
    <w:p w14:paraId="645C4556" w14:textId="4C09DD1D" w:rsidR="00F03116" w:rsidRPr="00873B6C" w:rsidRDefault="00F03116" w:rsidP="00F03116">
      <w:r w:rsidRPr="00873B6C">
        <w:t>Mechanisms as defined in clause 5.7.2.7 are used to enforce the 5GS Subscribed QoS profile for</w:t>
      </w:r>
      <w:r w:rsidR="0001193E" w:rsidRPr="00873B6C">
        <w:t xml:space="preserve"> a DNN and S-NSSAI for</w:t>
      </w:r>
      <w:r w:rsidRPr="00873B6C">
        <w:t xml:space="preserve"> each UE within a group.</w:t>
      </w:r>
    </w:p>
    <w:p w14:paraId="4C8E67F6" w14:textId="6F6D8219" w:rsidR="00F05BA4" w:rsidRPr="00873B6C" w:rsidRDefault="00F05BA4" w:rsidP="007C2ADF">
      <w:pPr>
        <w:pStyle w:val="Heading3"/>
      </w:pPr>
      <w:bookmarkStart w:id="3588" w:name="_CR5_20b_4"/>
      <w:bookmarkStart w:id="3589" w:name="_Toc201157415"/>
      <w:bookmarkEnd w:id="3588"/>
      <w:r w:rsidRPr="00873B6C">
        <w:t>5.20b.</w:t>
      </w:r>
      <w:r w:rsidR="00985055" w:rsidRPr="00873B6C">
        <w:t>4</w:t>
      </w:r>
      <w:r w:rsidR="002506F3" w:rsidRPr="00873B6C">
        <w:tab/>
        <w:t>Void</w:t>
      </w:r>
      <w:bookmarkEnd w:id="3589"/>
    </w:p>
    <w:p w14:paraId="3C4B380E" w14:textId="257C8ED3" w:rsidR="00F05BA4" w:rsidRPr="00873B6C" w:rsidRDefault="00F05BA4" w:rsidP="00F05BA4"/>
    <w:p w14:paraId="7F856B74" w14:textId="31746E1D" w:rsidR="007C2ADF" w:rsidRPr="00873B6C" w:rsidRDefault="007C2ADF" w:rsidP="007C2ADF">
      <w:pPr>
        <w:pStyle w:val="Heading3"/>
      </w:pPr>
      <w:bookmarkStart w:id="3590" w:name="_CR5_20b_5"/>
      <w:bookmarkStart w:id="3591" w:name="_Toc201157416"/>
      <w:bookmarkEnd w:id="3590"/>
      <w:r w:rsidRPr="00873B6C">
        <w:t>5.20b.</w:t>
      </w:r>
      <w:r w:rsidR="00985055" w:rsidRPr="00873B6C">
        <w:t>5</w:t>
      </w:r>
      <w:r w:rsidR="000C6BFB" w:rsidRPr="00873B6C">
        <w:tab/>
        <w:t>Void</w:t>
      </w:r>
      <w:bookmarkEnd w:id="3591"/>
    </w:p>
    <w:p w14:paraId="4464FCB5" w14:textId="36333096" w:rsidR="007C2ADF" w:rsidRPr="00873B6C" w:rsidRDefault="007C2ADF" w:rsidP="007C2ADF"/>
    <w:p w14:paraId="600166B1" w14:textId="675B12A8" w:rsidR="00111015" w:rsidRPr="00873B6C" w:rsidRDefault="00111015" w:rsidP="00D40151">
      <w:pPr>
        <w:pStyle w:val="Heading2"/>
      </w:pPr>
      <w:bookmarkStart w:id="3592" w:name="_CR5_20c"/>
      <w:bookmarkStart w:id="3593" w:name="_Toc201157417"/>
      <w:bookmarkEnd w:id="3592"/>
      <w:r w:rsidRPr="00873B6C">
        <w:lastRenderedPageBreak/>
        <w:t>5.20c</w:t>
      </w:r>
      <w:r w:rsidRPr="00873B6C">
        <w:tab/>
        <w:t>Provisioning of traffic characteristics and monitoring of performance characteristics for a group</w:t>
      </w:r>
      <w:bookmarkEnd w:id="3593"/>
    </w:p>
    <w:p w14:paraId="1B7600F4" w14:textId="5F59BA7C" w:rsidR="00111015" w:rsidRPr="00873B6C" w:rsidRDefault="00111015" w:rsidP="00111015">
      <w:r w:rsidRPr="00873B6C">
        <w:t>NEF provisioning capability as defined in clause 5.20 allows an AF to perform provisioning of traffic characteristics and monitoring of performance characteristics for a</w:t>
      </w:r>
      <w:r w:rsidR="00CD22D1" w:rsidRPr="00873B6C">
        <w:t xml:space="preserve"> UE or</w:t>
      </w:r>
      <w:r w:rsidRPr="00873B6C">
        <w:t xml:space="preserve"> group of UEs as specified in</w:t>
      </w:r>
      <w:r w:rsidR="002506F3" w:rsidRPr="00873B6C">
        <w:t xml:space="preserve"> clause 4.15.6.14 of TS 23.502 [3] and clause 6.1.3.28 of TS 23.503 [45].</w:t>
      </w:r>
    </w:p>
    <w:p w14:paraId="5F025899" w14:textId="07A943CE" w:rsidR="002506F3" w:rsidRPr="00873B6C" w:rsidRDefault="002506F3" w:rsidP="005A13C0">
      <w:pPr>
        <w:pStyle w:val="NO"/>
      </w:pPr>
      <w:r w:rsidRPr="00873B6C">
        <w:t>NOTE :</w:t>
      </w:r>
      <w:r w:rsidRPr="00873B6C">
        <w:tab/>
        <w:t>The AF may use application layer functionalities to handle requests for UE-to-UE traffic as defined by SA WG6.</w:t>
      </w:r>
    </w:p>
    <w:p w14:paraId="19336EAD" w14:textId="41B58543" w:rsidR="002506F3" w:rsidRPr="00873B6C" w:rsidRDefault="002506F3" w:rsidP="00111015">
      <w:r w:rsidRPr="00873B6C">
        <w:t>The NEF determines whether or not to invoke the TSCTSF in the same way as for AF session with required QoS procedure, as described in step 2 of clause 4.15.6.6 in TS 23.502 [3]. In the case that the TSCTSF is used, the TSCTSF receives the AF requested QoS information from the NEF</w:t>
      </w:r>
      <w:r w:rsidR="00CD22D1" w:rsidRPr="00873B6C">
        <w:t xml:space="preserve"> and handles it as described in clause 4.15.6.14 of TS 23.502 [3]</w:t>
      </w:r>
      <w:r w:rsidRPr="00873B6C">
        <w:t>. In the case that TSCTSF is not used, the AF request is handled as described in clause 4.15.6.14 of TS 23.502 [3] and clause 6.1.3.28 of TS 23.503 [45].</w:t>
      </w:r>
    </w:p>
    <w:p w14:paraId="6D9467F2" w14:textId="31F6E962" w:rsidR="002506F3" w:rsidRPr="00873B6C" w:rsidRDefault="002506F3" w:rsidP="002506F3">
      <w:r w:rsidRPr="00873B6C">
        <w:t>When the TSCTSF receives the AF requested QoS information from NEF or the PCF(s) receive the AF requested QoS information from UDR, the TSCTSF or PCF (s) manage the AF requested QoS information for each UE group member within the group as follows:</w:t>
      </w:r>
    </w:p>
    <w:p w14:paraId="152352E8" w14:textId="5B317DA8" w:rsidR="002506F3" w:rsidRPr="00873B6C" w:rsidRDefault="002506F3" w:rsidP="002506F3">
      <w:pPr>
        <w:pStyle w:val="B1"/>
      </w:pPr>
      <w:r w:rsidRPr="00873B6C">
        <w:t>-</w:t>
      </w:r>
      <w:r w:rsidRPr="00873B6C">
        <w:tab/>
      </w:r>
      <w:r w:rsidR="00CD22D1" w:rsidRPr="00873B6C">
        <w:t>TSCTSF t</w:t>
      </w:r>
      <w:r w:rsidRPr="00873B6C">
        <w:t>ranslate</w:t>
      </w:r>
      <w:r w:rsidR="00CD22D1" w:rsidRPr="00873B6C">
        <w:t>s</w:t>
      </w:r>
      <w:r w:rsidRPr="00873B6C">
        <w:t xml:space="preserve"> the</w:t>
      </w:r>
      <w:r w:rsidR="00CD22D1" w:rsidRPr="00873B6C">
        <w:t xml:space="preserve"> GPSI or</w:t>
      </w:r>
      <w:r w:rsidRPr="00873B6C">
        <w:t xml:space="preserve"> External</w:t>
      </w:r>
      <w:r w:rsidR="00CD22D1" w:rsidRPr="00873B6C">
        <w:t>/Internal</w:t>
      </w:r>
      <w:r w:rsidRPr="00873B6C">
        <w:t xml:space="preserve"> Group ID into a list of SUPIs by invoking Nudm_SDM_Get service.</w:t>
      </w:r>
    </w:p>
    <w:p w14:paraId="63938769" w14:textId="77777777" w:rsidR="002506F3" w:rsidRPr="00873B6C" w:rsidRDefault="002506F3" w:rsidP="002506F3">
      <w:pPr>
        <w:pStyle w:val="B1"/>
      </w:pPr>
      <w:r w:rsidRPr="00873B6C">
        <w:t>-</w:t>
      </w:r>
      <w:r w:rsidRPr="00873B6C">
        <w:tab/>
        <w:t>Determine which of these UE group members have active PDU Sessions matching the DNN and S-NSSAI and determine the relevant UE address.</w:t>
      </w:r>
    </w:p>
    <w:p w14:paraId="59767682" w14:textId="77777777" w:rsidR="002506F3" w:rsidRPr="00873B6C" w:rsidRDefault="002506F3" w:rsidP="002506F3">
      <w:pPr>
        <w:pStyle w:val="B1"/>
      </w:pPr>
      <w:r w:rsidRPr="00873B6C">
        <w:t>-</w:t>
      </w:r>
      <w:r w:rsidRPr="00873B6C">
        <w:tab/>
        <w:t>Manage the request status (activated, de-activated, failed) for each UE group member within the group:</w:t>
      </w:r>
    </w:p>
    <w:p w14:paraId="215FDC05" w14:textId="77777777" w:rsidR="002506F3" w:rsidRPr="00873B6C" w:rsidRDefault="002506F3" w:rsidP="005A13C0">
      <w:pPr>
        <w:pStyle w:val="B2"/>
      </w:pPr>
      <w:r w:rsidRPr="00873B6C">
        <w:t>-</w:t>
      </w:r>
      <w:r w:rsidRPr="00873B6C">
        <w:tab/>
        <w:t>Apply the AF requested QoS information if the UE group member is registered or has active PDU Session matching the DNN and S-NSSAI. Set the status to activated if the QoS resources are assigned for the UE group member, otherwise, failed.</w:t>
      </w:r>
    </w:p>
    <w:p w14:paraId="0E6B9303" w14:textId="77777777" w:rsidR="002506F3" w:rsidRPr="00873B6C" w:rsidRDefault="002506F3" w:rsidP="005A13C0">
      <w:pPr>
        <w:pStyle w:val="B2"/>
      </w:pPr>
      <w:r w:rsidRPr="00873B6C">
        <w:t>-</w:t>
      </w:r>
      <w:r w:rsidRPr="00873B6C">
        <w:tab/>
        <w:t>Set the status to de-activated if the UE group member is not registered or has no active PDU Session matching the DNN and S-NSSAI.</w:t>
      </w:r>
    </w:p>
    <w:p w14:paraId="2850C303" w14:textId="11DED4A8" w:rsidR="002506F3" w:rsidRPr="00873B6C" w:rsidRDefault="002506F3" w:rsidP="005A13C0">
      <w:pPr>
        <w:pStyle w:val="B2"/>
      </w:pPr>
      <w:r w:rsidRPr="00873B6C">
        <w:t>-</w:t>
      </w:r>
      <w:r w:rsidRPr="00873B6C">
        <w:tab/>
        <w:t>Delete the request status for the UE group member if the UE group member is removed from the group</w:t>
      </w:r>
      <w:r w:rsidR="00472CD7" w:rsidRPr="00873B6C">
        <w:t xml:space="preserve"> and</w:t>
      </w:r>
      <w:r w:rsidRPr="00873B6C">
        <w:t xml:space="preserve"> further revokes AF request QoS information if the request status is activated.</w:t>
      </w:r>
    </w:p>
    <w:p w14:paraId="1810D717" w14:textId="77777777" w:rsidR="002506F3" w:rsidRPr="00873B6C" w:rsidRDefault="002506F3" w:rsidP="005A13C0">
      <w:pPr>
        <w:pStyle w:val="B2"/>
      </w:pPr>
      <w:r w:rsidRPr="00873B6C">
        <w:t>-</w:t>
      </w:r>
      <w:r w:rsidRPr="00873B6C">
        <w:tab/>
        <w:t>Check whether to apply the AF requested QoS information and update the request status for the UE group member if the UE group member is newly added to the group.</w:t>
      </w:r>
    </w:p>
    <w:p w14:paraId="1305F6D9" w14:textId="6FE08EEE" w:rsidR="002506F3" w:rsidRPr="00873B6C" w:rsidRDefault="002506F3" w:rsidP="002506F3">
      <w:pPr>
        <w:pStyle w:val="B1"/>
      </w:pPr>
      <w:r w:rsidRPr="00873B6C">
        <w:t>-</w:t>
      </w:r>
      <w:r w:rsidRPr="00873B6C">
        <w:tab/>
        <w:t>When the AF requested QoS information contains temporal invalidity condition</w:t>
      </w:r>
      <w:r w:rsidR="00965644" w:rsidRPr="00873B6C">
        <w:t xml:space="preserve"> as described in clause 6.1.3.28 of TS 23.503 [45]</w:t>
      </w:r>
      <w:r w:rsidRPr="00873B6C">
        <w:t>:</w:t>
      </w:r>
    </w:p>
    <w:p w14:paraId="5A7F514E" w14:textId="77777777" w:rsidR="002506F3" w:rsidRPr="00873B6C" w:rsidRDefault="002506F3" w:rsidP="005A13C0">
      <w:pPr>
        <w:pStyle w:val="B2"/>
      </w:pPr>
      <w:r w:rsidRPr="00873B6C">
        <w:t>-</w:t>
      </w:r>
      <w:r w:rsidRPr="00873B6C">
        <w:tab/>
        <w:t>Revoke AF requested QoS information for each UE group member which is marked as active, so to e.g. to remove or modify PCC rules as defined in clause 4.16.5.2 of TS 23.502 [3] if the start-time is reached.</w:t>
      </w:r>
    </w:p>
    <w:p w14:paraId="3F5FA630" w14:textId="38AD426B" w:rsidR="002506F3" w:rsidRPr="00873B6C" w:rsidRDefault="002506F3" w:rsidP="005A13C0">
      <w:pPr>
        <w:pStyle w:val="B2"/>
      </w:pPr>
      <w:r w:rsidRPr="00873B6C">
        <w:t>-</w:t>
      </w:r>
      <w:r w:rsidRPr="00873B6C">
        <w:tab/>
        <w:t>Apply AF requested QoS information for each UE group member that has active PDU Sessions matching the DNN and S-NSSAI, e.g. to add or modify PCC rules as defined in clause 4.16.5.2 of TS 23.502 [3]</w:t>
      </w:r>
      <w:r w:rsidR="00965644" w:rsidRPr="00873B6C">
        <w:t xml:space="preserve"> if the end-time is reached</w:t>
      </w:r>
      <w:r w:rsidRPr="00873B6C">
        <w:t>.</w:t>
      </w:r>
    </w:p>
    <w:p w14:paraId="5138DABD" w14:textId="0C4E2C86" w:rsidR="00633BD1" w:rsidRPr="00873B6C" w:rsidRDefault="00633BD1" w:rsidP="00633BD1">
      <w:pPr>
        <w:pStyle w:val="Heading2"/>
        <w:rPr>
          <w:lang w:val="fr-FR"/>
        </w:rPr>
      </w:pPr>
      <w:bookmarkStart w:id="3594" w:name="_CR5_20d"/>
      <w:bookmarkStart w:id="3595" w:name="_Toc201157418"/>
      <w:bookmarkEnd w:id="3594"/>
      <w:r w:rsidRPr="00873B6C">
        <w:rPr>
          <w:lang w:val="fr-FR"/>
        </w:rPr>
        <w:t>5.20d</w:t>
      </w:r>
      <w:r w:rsidRPr="00873B6C">
        <w:rPr>
          <w:lang w:val="fr-FR"/>
        </w:rPr>
        <w:tab/>
        <w:t>User Plane Direct 5GS Information Exposure</w:t>
      </w:r>
      <w:bookmarkEnd w:id="3595"/>
    </w:p>
    <w:p w14:paraId="0D2C6F49" w14:textId="6851C970" w:rsidR="00633BD1" w:rsidRPr="00873B6C" w:rsidRDefault="00633BD1" w:rsidP="00633BD1">
      <w:pPr>
        <w:pStyle w:val="Heading3"/>
      </w:pPr>
      <w:bookmarkStart w:id="3596" w:name="_CR5_20d_1"/>
      <w:bookmarkStart w:id="3597" w:name="_Toc201157419"/>
      <w:bookmarkEnd w:id="3596"/>
      <w:r w:rsidRPr="00873B6C">
        <w:t>5.20d.1</w:t>
      </w:r>
      <w:r w:rsidRPr="00873B6C">
        <w:tab/>
        <w:t>General</w:t>
      </w:r>
      <w:bookmarkEnd w:id="3597"/>
    </w:p>
    <w:p w14:paraId="7CB60933" w14:textId="77777777" w:rsidR="00633BD1" w:rsidRPr="00873B6C" w:rsidRDefault="00633BD1" w:rsidP="00633BD1">
      <w:r w:rsidRPr="00873B6C">
        <w:t>In order to expose network information, the user plane direct 5GS information exposure function may be applied. The user plane direct 5GS information exposure function allows the UPF to report the network information directly to consumer based on the instructions provided by SMF.</w:t>
      </w:r>
    </w:p>
    <w:p w14:paraId="6E8BE6E1" w14:textId="6DD89DC2" w:rsidR="00633BD1" w:rsidRPr="00873B6C" w:rsidRDefault="00633BD1" w:rsidP="00633BD1">
      <w:pPr>
        <w:pStyle w:val="NO"/>
      </w:pPr>
      <w:r w:rsidRPr="00873B6C">
        <w:t>NOTE:</w:t>
      </w:r>
      <w:r w:rsidRPr="00873B6C">
        <w:tab/>
        <w:t xml:space="preserve">In the scenario of Edge Computing as described in </w:t>
      </w:r>
      <w:r w:rsidR="00972E70" w:rsidRPr="00873B6C">
        <w:t>TS 23.548 [</w:t>
      </w:r>
      <w:r w:rsidRPr="00873B6C">
        <w:t>130], the consumer can be the L-NEF or local AF when the local AF is trusted.</w:t>
      </w:r>
    </w:p>
    <w:p w14:paraId="08254199" w14:textId="77777777" w:rsidR="00633BD1" w:rsidRPr="00873B6C" w:rsidRDefault="00633BD1" w:rsidP="00633BD1">
      <w:r w:rsidRPr="00873B6C">
        <w:lastRenderedPageBreak/>
        <w:t>When the exposed network information is provided by the UPF, the PSA UPF may be instructed to report network information via Nupf_EventExposure service (e.g. directly to an AF, i.e. bypassing the SMF and the PCF); or the UPF may be instructed to report the information to the consumer via SMF/PCF/NEF, as described in clause 5.8.2.18.</w:t>
      </w:r>
    </w:p>
    <w:p w14:paraId="185247CD" w14:textId="77777777" w:rsidR="00633BD1" w:rsidRPr="00873B6C" w:rsidRDefault="00633BD1" w:rsidP="00633BD1">
      <w:r w:rsidRPr="00873B6C">
        <w:t>When the exposed network information is provided by the NG-RAN, the NG-RAN may be instructed by the SMF to report the information via the GTP-U tunnel(s) between the NG RAN and PSA UPF, as defined in clause 5.45.</w:t>
      </w:r>
    </w:p>
    <w:p w14:paraId="2799464F" w14:textId="77777777" w:rsidR="00633BD1" w:rsidRPr="00873B6C" w:rsidRDefault="00633BD1" w:rsidP="00633BD1">
      <w:r w:rsidRPr="00873B6C">
        <w:t>The User Plane Direct 5GS Information Exposure may be used for exposing the following information:</w:t>
      </w:r>
    </w:p>
    <w:p w14:paraId="3E2B1F70" w14:textId="77777777" w:rsidR="00633BD1" w:rsidRPr="00873B6C" w:rsidRDefault="00633BD1" w:rsidP="00633BD1">
      <w:pPr>
        <w:pStyle w:val="B1"/>
      </w:pPr>
      <w:r w:rsidRPr="00873B6C">
        <w:t>-</w:t>
      </w:r>
      <w:r w:rsidRPr="00873B6C">
        <w:tab/>
        <w:t>QoS Monitoring information (see clause 5.45).</w:t>
      </w:r>
    </w:p>
    <w:p w14:paraId="3DBD7D31" w14:textId="5364B188" w:rsidR="009B42A2" w:rsidRPr="00873B6C" w:rsidRDefault="009B42A2" w:rsidP="009B42A2">
      <w:pPr>
        <w:pStyle w:val="B1"/>
      </w:pPr>
      <w:r w:rsidRPr="00873B6C">
        <w:t>-</w:t>
      </w:r>
      <w:r w:rsidRPr="00873B6C">
        <w:tab/>
        <w:t>TSC Management Information (see clause 5.28.3).</w:t>
      </w:r>
    </w:p>
    <w:p w14:paraId="4B833C08" w14:textId="52CB657E" w:rsidR="00D40151" w:rsidRPr="00873B6C" w:rsidRDefault="00D40151" w:rsidP="00D40151">
      <w:pPr>
        <w:pStyle w:val="Heading2"/>
      </w:pPr>
      <w:bookmarkStart w:id="3598" w:name="_CR5_21"/>
      <w:bookmarkStart w:id="3599" w:name="_Toc201157420"/>
      <w:bookmarkEnd w:id="3598"/>
      <w:r w:rsidRPr="00873B6C">
        <w:t>5.21</w:t>
      </w:r>
      <w:r w:rsidRPr="00873B6C">
        <w:tab/>
        <w:t>Architectural support for virtualized deployments</w:t>
      </w:r>
      <w:bookmarkEnd w:id="3575"/>
      <w:bookmarkEnd w:id="3576"/>
      <w:bookmarkEnd w:id="3577"/>
      <w:bookmarkEnd w:id="3578"/>
      <w:bookmarkEnd w:id="3579"/>
      <w:bookmarkEnd w:id="3580"/>
      <w:bookmarkEnd w:id="3599"/>
    </w:p>
    <w:p w14:paraId="04A2D8F9" w14:textId="77777777" w:rsidR="00D40151" w:rsidRPr="00873B6C" w:rsidRDefault="00D40151" w:rsidP="00D40151">
      <w:pPr>
        <w:pStyle w:val="Heading3"/>
      </w:pPr>
      <w:bookmarkStart w:id="3600" w:name="_CR5_21_0"/>
      <w:bookmarkStart w:id="3601" w:name="_Toc20150023"/>
      <w:bookmarkStart w:id="3602" w:name="_Toc27846822"/>
      <w:bookmarkStart w:id="3603" w:name="_Toc36187953"/>
      <w:bookmarkStart w:id="3604" w:name="_Toc45183857"/>
      <w:bookmarkStart w:id="3605" w:name="_Toc47342699"/>
      <w:bookmarkStart w:id="3606" w:name="_Toc51769400"/>
      <w:bookmarkStart w:id="3607" w:name="_Toc201157421"/>
      <w:bookmarkEnd w:id="3600"/>
      <w:r w:rsidRPr="00873B6C">
        <w:t>5.21.0</w:t>
      </w:r>
      <w:r w:rsidRPr="00873B6C">
        <w:tab/>
        <w:t>General</w:t>
      </w:r>
      <w:bookmarkEnd w:id="3601"/>
      <w:bookmarkEnd w:id="3602"/>
      <w:bookmarkEnd w:id="3603"/>
      <w:bookmarkEnd w:id="3604"/>
      <w:bookmarkEnd w:id="3605"/>
      <w:bookmarkEnd w:id="3606"/>
      <w:bookmarkEnd w:id="3607"/>
    </w:p>
    <w:p w14:paraId="766A88AB" w14:textId="77777777" w:rsidR="00D40151" w:rsidRPr="00873B6C" w:rsidRDefault="00D40151" w:rsidP="00D40151">
      <w:r w:rsidRPr="00873B6C">
        <w:t>5GC supports different virtualized deployment scenarios, including but not limited to the options below:</w:t>
      </w:r>
    </w:p>
    <w:p w14:paraId="7009FB82" w14:textId="444F0967" w:rsidR="00D40151" w:rsidRPr="00873B6C" w:rsidRDefault="00D40151" w:rsidP="00D40151">
      <w:pPr>
        <w:pStyle w:val="B1"/>
        <w:rPr>
          <w:rFonts w:eastAsia="DengXian"/>
        </w:rPr>
      </w:pPr>
      <w:r w:rsidRPr="00873B6C">
        <w:rPr>
          <w:rFonts w:eastAsia="DengXian"/>
        </w:rPr>
        <w:t>-</w:t>
      </w:r>
      <w:r w:rsidRPr="00873B6C">
        <w:rPr>
          <w:rFonts w:eastAsia="DengXian"/>
        </w:rPr>
        <w:tab/>
      </w:r>
      <w:r w:rsidRPr="00873B6C">
        <w:t>A Network Function instance can be deployed as distributed, redundant, stateless</w:t>
      </w:r>
      <w:r w:rsidR="00472CD7" w:rsidRPr="00873B6C">
        <w:t xml:space="preserve"> and</w:t>
      </w:r>
      <w:r w:rsidRPr="00873B6C">
        <w:t xml:space="preserve"> scalable NF instance that provides the services from several locations and several execution instances in each location</w:t>
      </w:r>
      <w:r w:rsidRPr="00873B6C">
        <w:rPr>
          <w:rFonts w:eastAsia="DengXian"/>
        </w:rPr>
        <w:t>.</w:t>
      </w:r>
    </w:p>
    <w:p w14:paraId="4A029FF0" w14:textId="77777777" w:rsidR="00D40151" w:rsidRPr="00873B6C" w:rsidRDefault="00D40151" w:rsidP="00D40151">
      <w:pPr>
        <w:pStyle w:val="B2"/>
      </w:pPr>
      <w:r w:rsidRPr="00873B6C">
        <w:t>-</w:t>
      </w:r>
      <w:r w:rsidRPr="00873B6C">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873B6C" w:rsidRDefault="00D40151" w:rsidP="00D40151">
      <w:pPr>
        <w:pStyle w:val="B1"/>
        <w:rPr>
          <w:rFonts w:eastAsia="DengXian"/>
        </w:rPr>
      </w:pPr>
      <w:r w:rsidRPr="00873B6C">
        <w:rPr>
          <w:rFonts w:eastAsia="DengXian"/>
        </w:rPr>
        <w:t>-</w:t>
      </w:r>
      <w:r w:rsidRPr="00873B6C">
        <w:rPr>
          <w:rFonts w:eastAsia="DengXian"/>
        </w:rPr>
        <w:tab/>
      </w:r>
      <w:r w:rsidRPr="00873B6C">
        <w:t>A Network Function instance can also be deployed such that several network function instances are present within a NF set provide distributed, redundant, stateless and scalability together as a set of NF instances</w:t>
      </w:r>
      <w:r w:rsidRPr="00873B6C">
        <w:rPr>
          <w:rFonts w:eastAsia="DengXian"/>
        </w:rPr>
        <w:t>.</w:t>
      </w:r>
    </w:p>
    <w:p w14:paraId="69528A6B" w14:textId="77777777" w:rsidR="00D40151" w:rsidRPr="00873B6C" w:rsidRDefault="00D40151" w:rsidP="00D40151">
      <w:pPr>
        <w:pStyle w:val="B2"/>
      </w:pPr>
      <w:r w:rsidRPr="00873B6C">
        <w:t>-</w:t>
      </w:r>
      <w:r w:rsidRPr="00873B6C">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873B6C">
        <w:rPr>
          <w:lang w:eastAsia="zh-CN"/>
        </w:rPr>
        <w:t xml:space="preserve"> in the same AMF set</w:t>
      </w:r>
      <w:r w:rsidRPr="00873B6C">
        <w:t>.</w:t>
      </w:r>
    </w:p>
    <w:p w14:paraId="1E950D41" w14:textId="58EF16C5" w:rsidR="00D40151" w:rsidRPr="00873B6C" w:rsidRDefault="00D40151" w:rsidP="00D40151">
      <w:pPr>
        <w:pStyle w:val="B1"/>
      </w:pPr>
      <w:r w:rsidRPr="00873B6C">
        <w:t>-</w:t>
      </w:r>
      <w:r w:rsidRPr="00873B6C">
        <w:tab/>
        <w:t>The SEPP, although not a Network Function instance, can also be deployed distributed, redundant, stateless</w:t>
      </w:r>
      <w:r w:rsidR="00472CD7" w:rsidRPr="00873B6C">
        <w:t xml:space="preserve"> and</w:t>
      </w:r>
      <w:r w:rsidRPr="00873B6C">
        <w:t xml:space="preserve"> scalable.</w:t>
      </w:r>
    </w:p>
    <w:p w14:paraId="572A3D0B" w14:textId="05DEA175" w:rsidR="00D40151" w:rsidRPr="00873B6C" w:rsidRDefault="00D40151" w:rsidP="00D40151">
      <w:pPr>
        <w:pStyle w:val="B1"/>
      </w:pPr>
      <w:r w:rsidRPr="00873B6C">
        <w:t>-</w:t>
      </w:r>
      <w:r w:rsidRPr="00873B6C">
        <w:tab/>
        <w:t>The SCP, although not a Network Function instance, can also be deployed distributed, redundant</w:t>
      </w:r>
      <w:r w:rsidR="00472CD7" w:rsidRPr="00873B6C">
        <w:t xml:space="preserve"> and</w:t>
      </w:r>
      <w:r w:rsidRPr="00873B6C">
        <w:t xml:space="preserve"> scalable.</w:t>
      </w:r>
    </w:p>
    <w:p w14:paraId="0A74C550" w14:textId="77777777" w:rsidR="00D40151" w:rsidRPr="00873B6C" w:rsidRDefault="00D40151" w:rsidP="00D40151">
      <w:r w:rsidRPr="00873B6C">
        <w:t>Also, deployments taking advantage of only some or any combination of concepts from each of the above options is possible.</w:t>
      </w:r>
    </w:p>
    <w:p w14:paraId="3CC23A45" w14:textId="77777777" w:rsidR="00D40151" w:rsidRPr="00873B6C" w:rsidRDefault="00D40151" w:rsidP="00D40151">
      <w:pPr>
        <w:pStyle w:val="Heading3"/>
        <w:rPr>
          <w:lang w:eastAsia="zh-CN"/>
        </w:rPr>
      </w:pPr>
      <w:bookmarkStart w:id="3608" w:name="_CR5_21_1"/>
      <w:bookmarkStart w:id="3609" w:name="_Toc20150024"/>
      <w:bookmarkStart w:id="3610" w:name="_Toc27846823"/>
      <w:bookmarkStart w:id="3611" w:name="_Toc36187954"/>
      <w:bookmarkStart w:id="3612" w:name="_Toc45183858"/>
      <w:bookmarkStart w:id="3613" w:name="_Toc47342700"/>
      <w:bookmarkStart w:id="3614" w:name="_Toc51769401"/>
      <w:bookmarkStart w:id="3615" w:name="_Toc201157422"/>
      <w:bookmarkEnd w:id="3608"/>
      <w:r w:rsidRPr="00873B6C">
        <w:rPr>
          <w:lang w:eastAsia="zh-CN"/>
        </w:rPr>
        <w:t>5.21.1</w:t>
      </w:r>
      <w:r w:rsidRPr="00873B6C">
        <w:rPr>
          <w:lang w:eastAsia="zh-CN"/>
        </w:rPr>
        <w:tab/>
        <w:t>Architectural support for N2</w:t>
      </w:r>
      <w:bookmarkEnd w:id="3609"/>
      <w:bookmarkEnd w:id="3610"/>
      <w:bookmarkEnd w:id="3611"/>
      <w:bookmarkEnd w:id="3612"/>
      <w:bookmarkEnd w:id="3613"/>
      <w:bookmarkEnd w:id="3614"/>
      <w:bookmarkEnd w:id="3615"/>
    </w:p>
    <w:p w14:paraId="0242495A" w14:textId="77777777" w:rsidR="00D40151" w:rsidRPr="00873B6C" w:rsidRDefault="00D40151" w:rsidP="00D40151">
      <w:pPr>
        <w:pStyle w:val="Heading4"/>
      </w:pPr>
      <w:bookmarkStart w:id="3616" w:name="_CR5_21_1_1"/>
      <w:bookmarkStart w:id="3617" w:name="_Toc20150025"/>
      <w:bookmarkStart w:id="3618" w:name="_Toc27846824"/>
      <w:bookmarkStart w:id="3619" w:name="_Toc36187955"/>
      <w:bookmarkStart w:id="3620" w:name="_Toc45183859"/>
      <w:bookmarkStart w:id="3621" w:name="_Toc47342701"/>
      <w:bookmarkStart w:id="3622" w:name="_Toc51769402"/>
      <w:bookmarkStart w:id="3623" w:name="_Toc201157423"/>
      <w:bookmarkEnd w:id="3616"/>
      <w:r w:rsidRPr="00873B6C">
        <w:t>5.21.1.1</w:t>
      </w:r>
      <w:r w:rsidRPr="00873B6C">
        <w:tab/>
        <w:t>TNL associations</w:t>
      </w:r>
      <w:bookmarkEnd w:id="3617"/>
      <w:bookmarkEnd w:id="3618"/>
      <w:bookmarkEnd w:id="3619"/>
      <w:bookmarkEnd w:id="3620"/>
      <w:bookmarkEnd w:id="3621"/>
      <w:bookmarkEnd w:id="3622"/>
      <w:bookmarkEnd w:id="3623"/>
    </w:p>
    <w:p w14:paraId="4404C4D5" w14:textId="77777777" w:rsidR="00D40151" w:rsidRPr="00873B6C" w:rsidRDefault="00D40151" w:rsidP="00D40151">
      <w:pPr>
        <w:rPr>
          <w:rFonts w:eastAsia="DengXian"/>
        </w:rPr>
      </w:pPr>
      <w:r w:rsidRPr="00873B6C">
        <w:rPr>
          <w:rFonts w:eastAsia="DengXian"/>
        </w:rPr>
        <w:t>5G-AN node shall have the capability to support multiple TNL associations per AMF, i.e. AMF name.</w:t>
      </w:r>
    </w:p>
    <w:p w14:paraId="05FFEFA2" w14:textId="77777777" w:rsidR="00D40151" w:rsidRPr="00873B6C" w:rsidRDefault="00D40151" w:rsidP="00D40151">
      <w:r w:rsidRPr="00873B6C">
        <w:t>An AMF shall provide the 5G-AN node with the weight factors for each TNL association of the AMF.</w:t>
      </w:r>
    </w:p>
    <w:p w14:paraId="4698D292" w14:textId="77777777" w:rsidR="00D40151" w:rsidRPr="00873B6C" w:rsidRDefault="00D40151" w:rsidP="00D40151">
      <w:pPr>
        <w:rPr>
          <w:rFonts w:eastAsia="DengXian"/>
        </w:rPr>
      </w:pPr>
      <w:r w:rsidRPr="00873B6C">
        <w:rPr>
          <w:rFonts w:eastAsia="DengXian"/>
        </w:rPr>
        <w:t>The AMF shall be able to request the 5G-AN node to add or remove TNL associations to the AMF.</w:t>
      </w:r>
    </w:p>
    <w:p w14:paraId="6FD31822" w14:textId="77777777" w:rsidR="00D40151" w:rsidRPr="00873B6C" w:rsidRDefault="00D40151" w:rsidP="00D40151">
      <w:pPr>
        <w:rPr>
          <w:rFonts w:eastAsia="DengXian"/>
        </w:rPr>
      </w:pPr>
      <w:r w:rsidRPr="00873B6C">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873B6C" w:rsidRDefault="00D40151" w:rsidP="00D40151">
      <w:pPr>
        <w:pStyle w:val="NO"/>
        <w:rPr>
          <w:rFonts w:eastAsia="DengXian"/>
          <w:bCs/>
        </w:rPr>
      </w:pPr>
      <w:r w:rsidRPr="00873B6C">
        <w:t>NOTE: The TNL association(s) indicated for UE-associated and non-UE associated signalling can either be overlap or be different.</w:t>
      </w:r>
    </w:p>
    <w:p w14:paraId="2AACCC83" w14:textId="77777777" w:rsidR="00D40151" w:rsidRPr="00873B6C" w:rsidRDefault="00D40151" w:rsidP="00D40151">
      <w:pPr>
        <w:pStyle w:val="Heading4"/>
      </w:pPr>
      <w:bookmarkStart w:id="3624" w:name="_CR5_21_1_2"/>
      <w:bookmarkStart w:id="3625" w:name="_Toc20150026"/>
      <w:bookmarkStart w:id="3626" w:name="_Toc27846825"/>
      <w:bookmarkStart w:id="3627" w:name="_Toc36187956"/>
      <w:bookmarkStart w:id="3628" w:name="_Toc45183860"/>
      <w:bookmarkStart w:id="3629" w:name="_Toc47342702"/>
      <w:bookmarkStart w:id="3630" w:name="_Toc51769403"/>
      <w:bookmarkStart w:id="3631" w:name="_Toc201157424"/>
      <w:bookmarkEnd w:id="3624"/>
      <w:r w:rsidRPr="00873B6C">
        <w:lastRenderedPageBreak/>
        <w:t>5.21.1.2</w:t>
      </w:r>
      <w:r w:rsidRPr="00873B6C">
        <w:tab/>
        <w:t>NGAP UE-TNLA-binding</w:t>
      </w:r>
      <w:bookmarkEnd w:id="3625"/>
      <w:bookmarkEnd w:id="3626"/>
      <w:bookmarkEnd w:id="3627"/>
      <w:bookmarkEnd w:id="3628"/>
      <w:bookmarkEnd w:id="3629"/>
      <w:bookmarkEnd w:id="3630"/>
      <w:bookmarkEnd w:id="3631"/>
    </w:p>
    <w:p w14:paraId="422E7FFA" w14:textId="77777777" w:rsidR="00D40151" w:rsidRPr="00873B6C" w:rsidRDefault="00D40151" w:rsidP="00D40151">
      <w:pPr>
        <w:rPr>
          <w:rFonts w:eastAsia="DengXian"/>
        </w:rPr>
      </w:pPr>
      <w:r w:rsidRPr="00873B6C">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873B6C" w:rsidRDefault="00D40151" w:rsidP="00D40151">
      <w:pPr>
        <w:rPr>
          <w:rFonts w:eastAsia="DengXian"/>
        </w:rPr>
      </w:pPr>
      <w:r w:rsidRPr="00873B6C">
        <w:rPr>
          <w:rFonts w:eastAsia="DengXian"/>
        </w:rPr>
        <w:t>An AMF shall be able to update the NGAP UE-TNLA-binding (i.e. change the TNL association for the UE) in CM-CONNECTED state at any time.</w:t>
      </w:r>
      <w:r w:rsidR="003A2901" w:rsidRPr="00873B6C">
        <w:rPr>
          <w:rFonts w:eastAsia="DengXian"/>
        </w:rPr>
        <w:t xml:space="preserve"> The NGAP UE-TNLA-binding can also be updated when a UE-specific NGAP message initiated by AMF is received via a new TNL association.</w:t>
      </w:r>
    </w:p>
    <w:p w14:paraId="7F303076" w14:textId="77777777" w:rsidR="00D40151" w:rsidRPr="00873B6C" w:rsidRDefault="00D40151" w:rsidP="00D40151">
      <w:pPr>
        <w:rPr>
          <w:rFonts w:eastAsia="DengXian"/>
        </w:rPr>
      </w:pPr>
      <w:r w:rsidRPr="00873B6C">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873B6C" w:rsidRDefault="00D40151" w:rsidP="00D40151">
      <w:pPr>
        <w:rPr>
          <w:rFonts w:eastAsia="DengXian"/>
        </w:rPr>
      </w:pPr>
      <w:r w:rsidRPr="00873B6C">
        <w:rPr>
          <w:rFonts w:eastAsia="DengXian"/>
        </w:rPr>
        <w:t xml:space="preserve">An AMF shall be able to command the 5G-AN node to release the NGAP UE-TNLA-binding for a UE in CM-CONNECTED state </w:t>
      </w:r>
      <w:r w:rsidRPr="00873B6C">
        <w:t>while maintaining N3 (user-plane connectivity) for the UE</w:t>
      </w:r>
      <w:r w:rsidRPr="00873B6C">
        <w:rPr>
          <w:rFonts w:eastAsia="DengXian"/>
        </w:rPr>
        <w:t xml:space="preserve"> at any time.</w:t>
      </w:r>
    </w:p>
    <w:p w14:paraId="4163DF15" w14:textId="77777777" w:rsidR="00D40151" w:rsidRPr="00873B6C" w:rsidRDefault="00D40151" w:rsidP="00D40151">
      <w:pPr>
        <w:pStyle w:val="Heading4"/>
      </w:pPr>
      <w:bookmarkStart w:id="3632" w:name="_CR5_21_1_3"/>
      <w:bookmarkStart w:id="3633" w:name="_Toc20150027"/>
      <w:bookmarkStart w:id="3634" w:name="_Toc27846826"/>
      <w:bookmarkStart w:id="3635" w:name="_Toc36187957"/>
      <w:bookmarkStart w:id="3636" w:name="_Toc45183861"/>
      <w:bookmarkStart w:id="3637" w:name="_Toc47342703"/>
      <w:bookmarkStart w:id="3638" w:name="_Toc51769404"/>
      <w:bookmarkStart w:id="3639" w:name="_Toc201157425"/>
      <w:bookmarkEnd w:id="3632"/>
      <w:r w:rsidRPr="00873B6C">
        <w:t>5.21.1.3</w:t>
      </w:r>
      <w:r w:rsidRPr="00873B6C">
        <w:tab/>
        <w:t>N2 TNL association selection</w:t>
      </w:r>
      <w:bookmarkEnd w:id="3633"/>
      <w:bookmarkEnd w:id="3634"/>
      <w:bookmarkEnd w:id="3635"/>
      <w:bookmarkEnd w:id="3636"/>
      <w:bookmarkEnd w:id="3637"/>
      <w:bookmarkEnd w:id="3638"/>
      <w:bookmarkEnd w:id="3639"/>
    </w:p>
    <w:p w14:paraId="2F720012" w14:textId="77777777" w:rsidR="00D40151" w:rsidRPr="00873B6C" w:rsidRDefault="00D40151" w:rsidP="00D40151">
      <w:r w:rsidRPr="00873B6C">
        <w:t>The 5G-AN node shall consider the following factors for selecting a TNL association for the AMF for the initial N2 message e.g. N2 INITIAL UE MESSAGE:</w:t>
      </w:r>
    </w:p>
    <w:p w14:paraId="43798B67" w14:textId="77777777" w:rsidR="00D40151" w:rsidRPr="00873B6C" w:rsidRDefault="00D40151" w:rsidP="00D40151">
      <w:pPr>
        <w:pStyle w:val="B1"/>
      </w:pPr>
      <w:r w:rsidRPr="00873B6C">
        <w:t>-</w:t>
      </w:r>
      <w:r w:rsidRPr="00873B6C">
        <w:tab/>
        <w:t>Availability of candidate TNL associations.</w:t>
      </w:r>
    </w:p>
    <w:p w14:paraId="28E5D898" w14:textId="77777777" w:rsidR="00D40151" w:rsidRPr="00873B6C" w:rsidRDefault="00D40151" w:rsidP="00D40151">
      <w:pPr>
        <w:pStyle w:val="B1"/>
      </w:pPr>
      <w:r w:rsidRPr="00873B6C">
        <w:t>-</w:t>
      </w:r>
      <w:r w:rsidRPr="00873B6C">
        <w:tab/>
        <w:t>Weight factors of candidate TNL associations.</w:t>
      </w:r>
    </w:p>
    <w:p w14:paraId="14B30175" w14:textId="77777777" w:rsidR="00D40151" w:rsidRPr="00873B6C" w:rsidRDefault="00D40151" w:rsidP="00D40151">
      <w:pPr>
        <w:rPr>
          <w:rFonts w:eastAsia="DengXian"/>
        </w:rPr>
      </w:pPr>
      <w:r w:rsidRPr="00873B6C">
        <w:t>The AMF may use any TNL association intended for non-UE associated signalling for initiation of the N2 Paging procedure.</w:t>
      </w:r>
    </w:p>
    <w:p w14:paraId="324BAEDC" w14:textId="77777777" w:rsidR="00D40151" w:rsidRPr="00873B6C" w:rsidRDefault="00D40151" w:rsidP="00D40151">
      <w:pPr>
        <w:pStyle w:val="Heading3"/>
        <w:rPr>
          <w:lang w:eastAsia="zh-CN"/>
        </w:rPr>
      </w:pPr>
      <w:bookmarkStart w:id="3640" w:name="_CR5_21_2"/>
      <w:bookmarkStart w:id="3641" w:name="_Toc20150028"/>
      <w:bookmarkStart w:id="3642" w:name="_Toc27846827"/>
      <w:bookmarkStart w:id="3643" w:name="_Toc36187958"/>
      <w:bookmarkStart w:id="3644" w:name="_Toc45183862"/>
      <w:bookmarkStart w:id="3645" w:name="_Toc47342704"/>
      <w:bookmarkStart w:id="3646" w:name="_Toc51769405"/>
      <w:bookmarkStart w:id="3647" w:name="_Toc201157426"/>
      <w:bookmarkEnd w:id="3640"/>
      <w:r w:rsidRPr="00873B6C">
        <w:rPr>
          <w:lang w:eastAsia="zh-CN"/>
        </w:rPr>
        <w:t>5.21.2</w:t>
      </w:r>
      <w:r w:rsidRPr="00873B6C">
        <w:rPr>
          <w:lang w:eastAsia="zh-CN"/>
        </w:rPr>
        <w:tab/>
        <w:t>AMF Management</w:t>
      </w:r>
      <w:bookmarkEnd w:id="3641"/>
      <w:bookmarkEnd w:id="3642"/>
      <w:bookmarkEnd w:id="3643"/>
      <w:bookmarkEnd w:id="3644"/>
      <w:bookmarkEnd w:id="3645"/>
      <w:bookmarkEnd w:id="3646"/>
      <w:bookmarkEnd w:id="3647"/>
    </w:p>
    <w:p w14:paraId="1C800118" w14:textId="77777777" w:rsidR="00D40151" w:rsidRPr="00873B6C" w:rsidRDefault="00D40151" w:rsidP="00D40151">
      <w:pPr>
        <w:pStyle w:val="Heading4"/>
      </w:pPr>
      <w:bookmarkStart w:id="3648" w:name="_CR5_21_2_1"/>
      <w:bookmarkStart w:id="3649" w:name="_Toc20150029"/>
      <w:bookmarkStart w:id="3650" w:name="_Toc27846828"/>
      <w:bookmarkStart w:id="3651" w:name="_Toc36187959"/>
      <w:bookmarkStart w:id="3652" w:name="_Toc45183863"/>
      <w:bookmarkStart w:id="3653" w:name="_Toc47342705"/>
      <w:bookmarkStart w:id="3654" w:name="_Toc51769406"/>
      <w:bookmarkStart w:id="3655" w:name="_Toc201157427"/>
      <w:bookmarkEnd w:id="3648"/>
      <w:r w:rsidRPr="00873B6C">
        <w:t>5.21.2.1</w:t>
      </w:r>
      <w:r w:rsidRPr="00873B6C">
        <w:tab/>
        <w:t>AMF Addition/Update</w:t>
      </w:r>
      <w:bookmarkEnd w:id="3649"/>
      <w:bookmarkEnd w:id="3650"/>
      <w:bookmarkEnd w:id="3651"/>
      <w:bookmarkEnd w:id="3652"/>
      <w:bookmarkEnd w:id="3653"/>
      <w:bookmarkEnd w:id="3654"/>
      <w:bookmarkEnd w:id="3655"/>
    </w:p>
    <w:p w14:paraId="75B6C105" w14:textId="77777777" w:rsidR="00D40151" w:rsidRPr="00873B6C" w:rsidRDefault="00D40151" w:rsidP="00D40151">
      <w:r w:rsidRPr="00873B6C">
        <w:t>The 5G System should support establishment of association between AMF and 5G-AN node.</w:t>
      </w:r>
    </w:p>
    <w:p w14:paraId="7F17CBB5" w14:textId="77777777" w:rsidR="00D40151" w:rsidRPr="00873B6C" w:rsidRDefault="00D40151" w:rsidP="00D40151">
      <w:r w:rsidRPr="00873B6C">
        <w:rPr>
          <w:rFonts w:eastAsia="DengXian"/>
        </w:rPr>
        <w:t>A new AMF can be added to an AMF set and association between AMF and GUAMI can be created and/or updated as follows:</w:t>
      </w:r>
    </w:p>
    <w:p w14:paraId="4EEED85D" w14:textId="77777777" w:rsidR="00D40151" w:rsidRPr="00873B6C" w:rsidRDefault="00D40151" w:rsidP="00D40151">
      <w:pPr>
        <w:pStyle w:val="B1"/>
        <w:rPr>
          <w:rFonts w:eastAsia="DengXian"/>
        </w:rPr>
      </w:pPr>
      <w:r w:rsidRPr="00873B6C">
        <w:rPr>
          <w:rFonts w:eastAsia="DengXian"/>
        </w:rPr>
        <w:t>-</w:t>
      </w:r>
      <w:r w:rsidRPr="00873B6C">
        <w:rPr>
          <w:rFonts w:eastAsia="DengXian"/>
        </w:rPr>
        <w:tab/>
        <w:t>AMF shall be able to dynamically update the NRF with the new or updated GUAMI</w:t>
      </w:r>
      <w:r w:rsidRPr="00873B6C">
        <w:rPr>
          <w:rFonts w:eastAsia="DengXian"/>
          <w:lang w:eastAsia="zh-CN"/>
        </w:rPr>
        <w:t>(s)</w:t>
      </w:r>
      <w:r w:rsidRPr="00873B6C">
        <w:rPr>
          <w:rFonts w:eastAsia="DengXian"/>
        </w:rPr>
        <w:t xml:space="preserve"> to provide mapping between GUAMI</w:t>
      </w:r>
      <w:r w:rsidRPr="00873B6C">
        <w:rPr>
          <w:rFonts w:eastAsia="DengXian"/>
          <w:lang w:eastAsia="zh-CN"/>
        </w:rPr>
        <w:t>(s)</w:t>
      </w:r>
      <w:r w:rsidRPr="00873B6C">
        <w:rPr>
          <w:rFonts w:eastAsia="DengXian"/>
        </w:rPr>
        <w:t xml:space="preserve"> and AMF information. Association between GUAMI</w:t>
      </w:r>
      <w:r w:rsidRPr="00873B6C">
        <w:rPr>
          <w:rFonts w:eastAsia="DengXian"/>
          <w:lang w:eastAsia="zh-CN"/>
        </w:rPr>
        <w:t>(s)</w:t>
      </w:r>
      <w:r w:rsidRPr="00873B6C">
        <w:rPr>
          <w:rFonts w:eastAsia="DengXian"/>
        </w:rPr>
        <w:t xml:space="preserve"> and AMF is published to NRF. In addition, to deal with planned maintenance and failure</w:t>
      </w:r>
      <w:r w:rsidRPr="00873B6C">
        <w:rPr>
          <w:rFonts w:eastAsia="DengXian"/>
          <w:lang w:eastAsia="zh-CN"/>
        </w:rPr>
        <w:t xml:space="preserve">, </w:t>
      </w:r>
      <w:r w:rsidRPr="00873B6C">
        <w:rPr>
          <w:rFonts w:eastAsia="DengXian"/>
        </w:rPr>
        <w:t>an AMF may optionally provide backup AMF information</w:t>
      </w:r>
      <w:r w:rsidRPr="00873B6C">
        <w:rPr>
          <w:rFonts w:eastAsia="DengXian"/>
          <w:lang w:eastAsia="zh-CN"/>
        </w:rPr>
        <w:t>, i.e. it act as a backup AMF if the indicated GUAMI associated AMF is unavailable</w:t>
      </w:r>
      <w:r w:rsidRPr="00873B6C">
        <w:rPr>
          <w:rFonts w:eastAsia="DengXian"/>
        </w:rPr>
        <w:t>. It is assumed that the backup AMF and the original AMF are in the same AMF set as they have access to the same UE context. Based on that information one GUAMI is associated with a</w:t>
      </w:r>
      <w:r w:rsidRPr="00873B6C">
        <w:rPr>
          <w:rFonts w:eastAsia="DengXian"/>
          <w:lang w:eastAsia="zh-CN"/>
        </w:rPr>
        <w:t>n</w:t>
      </w:r>
      <w:r w:rsidRPr="00873B6C">
        <w:rPr>
          <w:rFonts w:eastAsia="DengXian"/>
        </w:rPr>
        <w:t xml:space="preserve"> AMF, optionally with a </w:t>
      </w:r>
      <w:r w:rsidRPr="00873B6C">
        <w:rPr>
          <w:rFonts w:eastAsia="DengXian"/>
          <w:lang w:eastAsia="zh-CN"/>
        </w:rPr>
        <w:t xml:space="preserve">backup </w:t>
      </w:r>
      <w:r w:rsidRPr="00873B6C">
        <w:rPr>
          <w:rFonts w:eastAsia="DengXian"/>
        </w:rPr>
        <w:t>AMF</w:t>
      </w:r>
      <w:r w:rsidRPr="00873B6C">
        <w:rPr>
          <w:rFonts w:eastAsia="DengXian"/>
          <w:lang w:eastAsia="zh-CN"/>
        </w:rPr>
        <w:t xml:space="preserve"> used for planned removal </w:t>
      </w:r>
      <w:r w:rsidRPr="00873B6C">
        <w:rPr>
          <w:rFonts w:eastAsia="DengXian"/>
        </w:rPr>
        <w:t>and/or</w:t>
      </w:r>
      <w:r w:rsidRPr="00873B6C">
        <w:rPr>
          <w:rFonts w:eastAsia="DengXian"/>
          <w:lang w:eastAsia="zh-CN"/>
        </w:rPr>
        <w:t xml:space="preserve"> another</w:t>
      </w:r>
      <w:r w:rsidRPr="00873B6C">
        <w:rPr>
          <w:rFonts w:eastAsia="DengXian"/>
        </w:rPr>
        <w:t xml:space="preserve"> (</w:t>
      </w:r>
      <w:r w:rsidRPr="00873B6C">
        <w:rPr>
          <w:rFonts w:eastAsia="DengXian"/>
          <w:lang w:eastAsia="zh-CN"/>
        </w:rPr>
        <w:t>same or different) backup</w:t>
      </w:r>
      <w:r w:rsidRPr="00873B6C">
        <w:rPr>
          <w:rFonts w:eastAsia="DengXian"/>
        </w:rPr>
        <w:t xml:space="preserve"> AMF</w:t>
      </w:r>
      <w:r w:rsidRPr="00873B6C">
        <w:rPr>
          <w:rFonts w:eastAsia="DengXian"/>
          <w:lang w:eastAsia="zh-CN"/>
        </w:rPr>
        <w:t xml:space="preserve"> used for failure</w:t>
      </w:r>
      <w:r w:rsidRPr="00873B6C">
        <w:rPr>
          <w:rFonts w:eastAsia="DengXian"/>
        </w:rPr>
        <w:t>.</w:t>
      </w:r>
    </w:p>
    <w:p w14:paraId="3BEF3A22" w14:textId="77777777" w:rsidR="00D40151" w:rsidRPr="00873B6C" w:rsidRDefault="00D40151" w:rsidP="00D40151">
      <w:pPr>
        <w:pStyle w:val="B1"/>
        <w:rPr>
          <w:rFonts w:eastAsia="DengXian"/>
        </w:rPr>
      </w:pPr>
      <w:r w:rsidRPr="00873B6C">
        <w:rPr>
          <w:rFonts w:eastAsia="DengXian"/>
        </w:rPr>
        <w:t>-</w:t>
      </w:r>
      <w:r w:rsidRPr="00873B6C">
        <w:rPr>
          <w:rFonts w:eastAsia="DengXian"/>
        </w:rPr>
        <w:tab/>
        <w:t>Upon successful update, the NRF considers the new and/or updated GUAMI</w:t>
      </w:r>
      <w:r w:rsidRPr="00873B6C">
        <w:rPr>
          <w:rFonts w:eastAsia="DengXian"/>
          <w:lang w:eastAsia="zh-CN"/>
        </w:rPr>
        <w:t>(s)</w:t>
      </w:r>
      <w:r w:rsidRPr="00873B6C">
        <w:rPr>
          <w:rFonts w:eastAsia="DengXian"/>
        </w:rPr>
        <w:t xml:space="preserve"> for providing AMF discovery results to the requester. Requester can be other CP network functions.</w:t>
      </w:r>
    </w:p>
    <w:p w14:paraId="6395F5BA" w14:textId="77777777" w:rsidR="00D40151" w:rsidRPr="00873B6C" w:rsidRDefault="00D40151" w:rsidP="00D40151">
      <w:pPr>
        <w:pStyle w:val="B1"/>
        <w:rPr>
          <w:rFonts w:eastAsia="DengXian"/>
        </w:rPr>
      </w:pPr>
      <w:r w:rsidRPr="00873B6C">
        <w:rPr>
          <w:rFonts w:eastAsia="DengXian"/>
        </w:rPr>
        <w:t>-</w:t>
      </w:r>
      <w:r w:rsidRPr="00873B6C">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873B6C" w:rsidRDefault="00D40151" w:rsidP="00D40151">
      <w:r w:rsidRPr="00873B6C">
        <w:t xml:space="preserve">Information about new AMF should be published and available in the DNS system. It </w:t>
      </w:r>
      <w:r w:rsidRPr="00873B6C">
        <w:rPr>
          <w:lang w:eastAsia="zh-CN"/>
        </w:rPr>
        <w:t>should</w:t>
      </w:r>
      <w:r w:rsidRPr="00873B6C">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873B6C" w:rsidRDefault="00D40151" w:rsidP="00D40151">
      <w:pPr>
        <w:rPr>
          <w:rFonts w:eastAsia="DengXian"/>
        </w:rPr>
      </w:pPr>
      <w:r w:rsidRPr="00873B6C">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873B6C" w:rsidRDefault="00D40151" w:rsidP="00D40151">
      <w:pPr>
        <w:pStyle w:val="Heading4"/>
      </w:pPr>
      <w:bookmarkStart w:id="3656" w:name="_CR5_21_2_2"/>
      <w:bookmarkStart w:id="3657" w:name="_Toc20150030"/>
      <w:bookmarkStart w:id="3658" w:name="_Toc27846829"/>
      <w:bookmarkStart w:id="3659" w:name="_Toc36187960"/>
      <w:bookmarkStart w:id="3660" w:name="_Toc45183864"/>
      <w:bookmarkStart w:id="3661" w:name="_Toc47342706"/>
      <w:bookmarkStart w:id="3662" w:name="_Toc51769407"/>
      <w:bookmarkStart w:id="3663" w:name="_Toc201157428"/>
      <w:bookmarkEnd w:id="3656"/>
      <w:r w:rsidRPr="00873B6C">
        <w:lastRenderedPageBreak/>
        <w:t>5.21.2.2</w:t>
      </w:r>
      <w:r w:rsidRPr="00873B6C">
        <w:tab/>
        <w:t>AMF planned removal procedure</w:t>
      </w:r>
      <w:bookmarkEnd w:id="3657"/>
      <w:bookmarkEnd w:id="3658"/>
      <w:bookmarkEnd w:id="3659"/>
      <w:bookmarkEnd w:id="3660"/>
      <w:bookmarkEnd w:id="3661"/>
      <w:bookmarkEnd w:id="3662"/>
      <w:bookmarkEnd w:id="3663"/>
    </w:p>
    <w:p w14:paraId="00DB137D" w14:textId="77777777" w:rsidR="00D40151" w:rsidRPr="00873B6C" w:rsidRDefault="00D40151" w:rsidP="00D40151">
      <w:pPr>
        <w:pStyle w:val="Heading5"/>
      </w:pPr>
      <w:bookmarkStart w:id="3664" w:name="_CR5_21_2_2_1"/>
      <w:bookmarkStart w:id="3665" w:name="_Toc20150031"/>
      <w:bookmarkStart w:id="3666" w:name="_Toc27846830"/>
      <w:bookmarkStart w:id="3667" w:name="_Toc36187961"/>
      <w:bookmarkStart w:id="3668" w:name="_Toc45183865"/>
      <w:bookmarkStart w:id="3669" w:name="_Toc47342707"/>
      <w:bookmarkStart w:id="3670" w:name="_Toc51769408"/>
      <w:bookmarkStart w:id="3671" w:name="_Toc201157429"/>
      <w:bookmarkEnd w:id="3664"/>
      <w:r w:rsidRPr="00873B6C">
        <w:t>5.21.2.2.1</w:t>
      </w:r>
      <w:r w:rsidRPr="00873B6C">
        <w:tab/>
        <w:t>AMF planned removal procedure with UDSF deployed</w:t>
      </w:r>
      <w:bookmarkEnd w:id="3665"/>
      <w:bookmarkEnd w:id="3666"/>
      <w:bookmarkEnd w:id="3667"/>
      <w:bookmarkEnd w:id="3668"/>
      <w:bookmarkEnd w:id="3669"/>
      <w:bookmarkEnd w:id="3670"/>
      <w:bookmarkEnd w:id="3671"/>
    </w:p>
    <w:p w14:paraId="6F87616C" w14:textId="77777777" w:rsidR="00D40151" w:rsidRPr="00873B6C" w:rsidRDefault="00D40151" w:rsidP="00D40151">
      <w:pPr>
        <w:rPr>
          <w:rFonts w:eastAsia="DengXian"/>
        </w:rPr>
      </w:pPr>
      <w:r w:rsidRPr="00873B6C">
        <w:rPr>
          <w:rFonts w:eastAsia="DengXian"/>
        </w:rPr>
        <w:t>An AMF can be taken graciously out of service as follows:</w:t>
      </w:r>
    </w:p>
    <w:p w14:paraId="37B16339" w14:textId="77777777" w:rsidR="00D40151" w:rsidRPr="00873B6C" w:rsidRDefault="00D40151" w:rsidP="00D40151">
      <w:pPr>
        <w:pStyle w:val="B1"/>
        <w:rPr>
          <w:rFonts w:eastAsia="DengXian"/>
        </w:rPr>
      </w:pPr>
      <w:r w:rsidRPr="00873B6C">
        <w:t>-</w:t>
      </w:r>
      <w:r w:rsidRPr="00873B6C">
        <w:tab/>
        <w:t xml:space="preserve">If an UDSF </w:t>
      </w:r>
      <w:r w:rsidRPr="00873B6C">
        <w:rPr>
          <w:rFonts w:eastAsia="DengXian"/>
        </w:rPr>
        <w:t xml:space="preserve">is deployed in the network, then the AMF stores the context for registered UE(s) in the UDSF. </w:t>
      </w:r>
      <w:r w:rsidRPr="00873B6C">
        <w:t xml:space="preserve">The UE context includes the AMF UE NGAP ID that is unique per AMF set. In order for the AMF planned removal procedure to work graciously, 5G-S-TMSI shall be unique per AMF Set. </w:t>
      </w:r>
      <w:r w:rsidRPr="00873B6C">
        <w:rPr>
          <w:rFonts w:eastAsia="DengXian"/>
        </w:rPr>
        <w:t>If there are ongoing transactions (e.g. N1 procedure) for certain UE(s), AMF stores the UE context(s) in the UDSF upon completion of an ongoing transaction.</w:t>
      </w:r>
    </w:p>
    <w:p w14:paraId="2B3851CF" w14:textId="77777777" w:rsidR="00D40151" w:rsidRPr="00873B6C" w:rsidRDefault="00D40151" w:rsidP="00D40151">
      <w:pPr>
        <w:pStyle w:val="B1"/>
        <w:rPr>
          <w:rFonts w:eastAsia="DengXian"/>
        </w:rPr>
      </w:pPr>
      <w:r w:rsidRPr="00873B6C">
        <w:t>-</w:t>
      </w:r>
      <w:r w:rsidRPr="00873B6C">
        <w:tab/>
        <w:t>The A</w:t>
      </w:r>
      <w:r w:rsidRPr="00873B6C">
        <w:rPr>
          <w:lang w:eastAsia="zh-CN"/>
        </w:rPr>
        <w:t>MF deregister itself from NRF indicating due to AMF planned removal.</w:t>
      </w:r>
    </w:p>
    <w:p w14:paraId="2AA72C58" w14:textId="77777777" w:rsidR="00D40151" w:rsidRPr="00873B6C" w:rsidRDefault="00D40151" w:rsidP="00D40151">
      <w:pPr>
        <w:pStyle w:val="NO"/>
      </w:pPr>
      <w:r w:rsidRPr="00873B6C">
        <w:t>NOTE 1:</w:t>
      </w:r>
      <w:r w:rsidRPr="00873B6C">
        <w:tab/>
        <w:t>It is assumed that the UE contexts from the old AMF include all event subscriptions with peer CP NFs.</w:t>
      </w:r>
    </w:p>
    <w:p w14:paraId="6A5D0402" w14:textId="77777777" w:rsidR="00D40151" w:rsidRPr="00873B6C" w:rsidRDefault="00D40151" w:rsidP="00D40151">
      <w:pPr>
        <w:pStyle w:val="NO"/>
        <w:rPr>
          <w:rFonts w:eastAsia="SimSun"/>
        </w:rPr>
      </w:pPr>
      <w:r w:rsidRPr="00873B6C">
        <w:rPr>
          <w:rFonts w:eastAsia="SimSun"/>
          <w:lang w:eastAsia="zh-CN"/>
        </w:rPr>
        <w:t>NOTE 2: Before removal of AMF the overload control mechanism can be used to reduce the amount of ongoing transaction.</w:t>
      </w:r>
    </w:p>
    <w:p w14:paraId="0D6FAAFA" w14:textId="77777777" w:rsidR="00D40151" w:rsidRPr="00873B6C" w:rsidRDefault="00D40151" w:rsidP="00D40151">
      <w:r w:rsidRPr="00873B6C">
        <w:t>An AMF identified by GUAMI(s) shall be able to notify the 5G-AN that it will be unavailable for processing transactions by including GUAMI(s) configured on this AMF. Upon receipt of the indication that an AMF(identified by GUAMI</w:t>
      </w:r>
      <w:r w:rsidRPr="00873B6C">
        <w:rPr>
          <w:lang w:eastAsia="zh-CN"/>
        </w:rPr>
        <w:t>(s)</w:t>
      </w:r>
      <w:r w:rsidRPr="00873B6C">
        <w:t>) is unavailable, 5G-AN shall take the following action:</w:t>
      </w:r>
    </w:p>
    <w:p w14:paraId="0FFF0207" w14:textId="77777777" w:rsidR="00D40151" w:rsidRPr="00873B6C" w:rsidRDefault="00D40151" w:rsidP="00D40151">
      <w:pPr>
        <w:pStyle w:val="B1"/>
      </w:pPr>
      <w:r w:rsidRPr="00873B6C">
        <w:t>-</w:t>
      </w:r>
      <w:r w:rsidRPr="00873B6C">
        <w:tab/>
      </w:r>
      <w:r w:rsidRPr="00873B6C">
        <w:rPr>
          <w:rFonts w:eastAsia="DengXian"/>
        </w:rPr>
        <w:t>5G-AN</w:t>
      </w:r>
      <w:r w:rsidRPr="00873B6C">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873B6C" w:rsidRDefault="00D40151" w:rsidP="00D40151">
      <w:pPr>
        <w:pStyle w:val="B1"/>
      </w:pPr>
      <w:r w:rsidRPr="00873B6C">
        <w:t>-</w:t>
      </w:r>
      <w:r w:rsidRPr="00873B6C">
        <w:tab/>
        <w:t>During NGAP Setup</w:t>
      </w:r>
      <w:r w:rsidRPr="00873B6C">
        <w:rPr>
          <w:lang w:eastAsia="zh-CN"/>
        </w:rPr>
        <w:t xml:space="preserve"> procedure</w:t>
      </w:r>
      <w:r w:rsidRPr="00873B6C">
        <w:t>, the AMF may include an additional indicator that the AMF will</w:t>
      </w:r>
      <w:r w:rsidRPr="00873B6C">
        <w:rPr>
          <w:lang w:eastAsia="zh-CN"/>
        </w:rPr>
        <w:t xml:space="preserve"> rebind or</w:t>
      </w:r>
      <w:r w:rsidRPr="00873B6C">
        <w:t xml:space="preserve"> release the N</w:t>
      </w:r>
      <w:r w:rsidRPr="00873B6C">
        <w:rPr>
          <w:lang w:eastAsia="zh-CN"/>
        </w:rPr>
        <w:t>G</w:t>
      </w:r>
      <w:r w:rsidRPr="00873B6C">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03E712E8" w:rsidR="00D40151" w:rsidRPr="00873B6C" w:rsidRDefault="00D40151" w:rsidP="00D40151">
      <w:pPr>
        <w:pStyle w:val="NO"/>
      </w:pPr>
      <w:r w:rsidRPr="00873B6C">
        <w:t>NOTE 3:</w:t>
      </w:r>
      <w:r w:rsidRPr="00873B6C">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972E70" w:rsidRPr="00873B6C">
        <w:t>TS 23.502 [</w:t>
      </w:r>
      <w:r w:rsidRPr="00873B6C">
        <w:t>3] to release the NGAP UE-TNLA-binding on a per UE-basis while requesting the AN to maintain N3 (user plane connectivity) and UE context information.</w:t>
      </w:r>
    </w:p>
    <w:p w14:paraId="5DDA13E3" w14:textId="77777777" w:rsidR="00D40151" w:rsidRPr="00873B6C" w:rsidRDefault="00D40151" w:rsidP="00D40151">
      <w:pPr>
        <w:pStyle w:val="NO"/>
      </w:pPr>
      <w:r w:rsidRPr="00873B6C">
        <w:t>NOTE 4:</w:t>
      </w:r>
      <w:r w:rsidRPr="00873B6C">
        <w:tab/>
        <w:t>The support and the use of timer mechanism in 5G-AN is up to implementation.</w:t>
      </w:r>
    </w:p>
    <w:p w14:paraId="1239C5C2" w14:textId="77777777" w:rsidR="00D40151" w:rsidRPr="00873B6C" w:rsidRDefault="00D40151" w:rsidP="00D40151">
      <w:pPr>
        <w:pStyle w:val="B1"/>
      </w:pPr>
      <w:r w:rsidRPr="00873B6C">
        <w:t>-</w:t>
      </w:r>
      <w:r w:rsidRPr="00873B6C">
        <w:tab/>
        <w:t xml:space="preserve">If the instruction does not include the indicator, for UE(s) in CM-CONNECTED state, 5G-AN considers this as a request to release the </w:t>
      </w:r>
      <w:r w:rsidRPr="00873B6C">
        <w:rPr>
          <w:lang w:eastAsia="zh-CN"/>
        </w:rPr>
        <w:t xml:space="preserve">NGAP UE-TNLA-binding </w:t>
      </w:r>
      <w:r w:rsidRPr="00873B6C">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873B6C" w:rsidRDefault="00D40151" w:rsidP="00D40151">
      <w:pPr>
        <w:pStyle w:val="B1"/>
        <w:rPr>
          <w:rFonts w:eastAsia="DengXian"/>
        </w:rPr>
      </w:pPr>
      <w:r w:rsidRPr="00873B6C">
        <w:t>-</w:t>
      </w:r>
      <w:r w:rsidRPr="00873B6C">
        <w:tab/>
        <w:t xml:space="preserve">For UE(s) in CM-IDLE state, when it subsequently returns from CM-IDLE state and the </w:t>
      </w:r>
      <w:r w:rsidRPr="00873B6C">
        <w:rPr>
          <w:rFonts w:eastAsia="DengXian"/>
        </w:rPr>
        <w:t>5G-AN</w:t>
      </w:r>
      <w:r w:rsidRPr="00873B6C">
        <w:t xml:space="preserve"> receives an initial NAS message with a 5G S-TMSI or GUAMI pointing to an AMF that is marked unavailable, the </w:t>
      </w:r>
      <w:r w:rsidRPr="00873B6C">
        <w:rPr>
          <w:rFonts w:eastAsia="DengXian"/>
        </w:rPr>
        <w:t>5G-AN</w:t>
      </w:r>
      <w:r w:rsidRPr="00873B6C">
        <w:t xml:space="preserve"> should select a different AMF from the same AMF set and forward the initial NAS message.</w:t>
      </w:r>
      <w:r w:rsidRPr="00873B6C">
        <w:rPr>
          <w:lang w:eastAsia="zh-CN"/>
        </w:rPr>
        <w:t xml:space="preserve"> If the 5G-AN can't select an AMF from the same AMF set, the 5G-AN selects another new AMF</w:t>
      </w:r>
      <w:r w:rsidRPr="00873B6C">
        <w:t xml:space="preserve"> as </w:t>
      </w:r>
      <w:r w:rsidRPr="00873B6C">
        <w:rPr>
          <w:lang w:eastAsia="zh-CN"/>
        </w:rPr>
        <w:t xml:space="preserve">described </w:t>
      </w:r>
      <w:r w:rsidRPr="00873B6C">
        <w:t>in clause 6.3.5.</w:t>
      </w:r>
    </w:p>
    <w:p w14:paraId="1CB38876" w14:textId="77777777" w:rsidR="00D40151" w:rsidRPr="00873B6C" w:rsidRDefault="00D40151" w:rsidP="00D40151">
      <w:r w:rsidRPr="00873B6C">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873B6C">
        <w:rPr>
          <w:lang w:eastAsia="zh-CN"/>
        </w:rPr>
        <w:t>(s)</w:t>
      </w:r>
      <w:r w:rsidRPr="00873B6C">
        <w:t>) is unavailable, the other CP NFs shall take the following actions:</w:t>
      </w:r>
    </w:p>
    <w:p w14:paraId="2E86E757" w14:textId="77777777" w:rsidR="00D40151" w:rsidRPr="00873B6C" w:rsidRDefault="00D40151" w:rsidP="00D40151">
      <w:pPr>
        <w:pStyle w:val="B1"/>
      </w:pPr>
      <w:r w:rsidRPr="00873B6C">
        <w:t>-</w:t>
      </w:r>
      <w:r w:rsidRPr="00873B6C">
        <w:tab/>
      </w:r>
      <w:r w:rsidRPr="00873B6C">
        <w:rPr>
          <w:rFonts w:eastAsia="DengXian"/>
        </w:rPr>
        <w:t>CP NF</w:t>
      </w:r>
      <w:r w:rsidRPr="00873B6C">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06E1A628" w:rsidR="00D40151" w:rsidRPr="00873B6C" w:rsidRDefault="00D40151" w:rsidP="00D40151">
      <w:pPr>
        <w:pStyle w:val="B1"/>
      </w:pPr>
      <w:r w:rsidRPr="00873B6C">
        <w:lastRenderedPageBreak/>
        <w:t>-</w:t>
      </w:r>
      <w:r w:rsidRPr="00873B6C">
        <w:tab/>
        <w:t>Mark this AMF as unavailable while not changing the status of UE(s) associated to this AMF (</w:t>
      </w:r>
      <w:r w:rsidRPr="00873B6C">
        <w:rPr>
          <w:lang w:eastAsia="ko-KR"/>
        </w:rPr>
        <w:t>UE(s) previously served by the corresponding AMF still remain registered in the network)</w:t>
      </w:r>
      <w:r w:rsidR="00472CD7" w:rsidRPr="00873B6C">
        <w:t xml:space="preserve"> and</w:t>
      </w:r>
      <w:r w:rsidRPr="00873B6C">
        <w:t xml:space="preserve"> AMF Set information.</w:t>
      </w:r>
    </w:p>
    <w:p w14:paraId="452677A7" w14:textId="0FE61F70" w:rsidR="00D40151" w:rsidRPr="00873B6C" w:rsidRDefault="00D40151" w:rsidP="00D40151">
      <w:pPr>
        <w:pStyle w:val="B1"/>
        <w:rPr>
          <w:rFonts w:eastAsia="DengXian"/>
        </w:rPr>
      </w:pPr>
      <w:r w:rsidRPr="00873B6C">
        <w:t>-</w:t>
      </w:r>
      <w:r w:rsidRPr="00873B6C">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873B6C">
        <w:rPr>
          <w:lang w:eastAsia="zh-CN"/>
        </w:rPr>
        <w:t>together with the old GUAMI</w:t>
      </w:r>
      <w:r w:rsidRPr="00873B6C">
        <w:t>.</w:t>
      </w:r>
      <w:r w:rsidRPr="00873B6C">
        <w:rPr>
          <w:lang w:eastAsia="zh-CN"/>
        </w:rPr>
        <w:t xml:space="preserve"> The new AMF retrieves UE context from the UDSF</w:t>
      </w:r>
      <w:r w:rsidRPr="00873B6C">
        <w:t>. If CP NF needs to send a notification to new AMF which is associated with a subscription from the old AMF, the CP NF shall exchange the old AMF information embedded in the Notification Address with the new AMF information</w:t>
      </w:r>
      <w:r w:rsidR="00472CD7" w:rsidRPr="00873B6C">
        <w:t xml:space="preserve"> and</w:t>
      </w:r>
      <w:r w:rsidRPr="00873B6C">
        <w:t xml:space="preserve"> use that Notification Address for subsequent communication.</w:t>
      </w:r>
    </w:p>
    <w:p w14:paraId="6FC92DC9" w14:textId="77777777" w:rsidR="00D40151" w:rsidRPr="00873B6C" w:rsidRDefault="00D40151" w:rsidP="00D40151">
      <w:pPr>
        <w:pStyle w:val="NO"/>
      </w:pPr>
      <w:r w:rsidRPr="00873B6C">
        <w:t>NOTE 5:</w:t>
      </w:r>
      <w:r w:rsidRPr="00873B6C">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873B6C">
        <w:rPr>
          <w:lang w:eastAsia="zh-CN"/>
        </w:rPr>
        <w:t>together with the old GUAMI</w:t>
      </w:r>
      <w:r w:rsidRPr="00873B6C">
        <w:t>.</w:t>
      </w:r>
      <w:r w:rsidRPr="00873B6C">
        <w:rPr>
          <w:lang w:eastAsia="zh-CN"/>
        </w:rPr>
        <w:t xml:space="preserve"> The new AMF retrieves UE context from the UDSF and process the transaction</w:t>
      </w:r>
      <w:r w:rsidRPr="00873B6C">
        <w:t>.</w:t>
      </w:r>
    </w:p>
    <w:p w14:paraId="13EE7C59" w14:textId="77777777" w:rsidR="00D40151" w:rsidRPr="00873B6C" w:rsidRDefault="00D40151" w:rsidP="00D40151">
      <w:pPr>
        <w:pStyle w:val="B1"/>
      </w:pPr>
      <w:r w:rsidRPr="00873B6C">
        <w:t>Following actions should be performed by the newly selected AMF:</w:t>
      </w:r>
    </w:p>
    <w:p w14:paraId="3F250D6B" w14:textId="77777777" w:rsidR="00D40151" w:rsidRPr="00873B6C" w:rsidRDefault="00D40151" w:rsidP="00D40151">
      <w:pPr>
        <w:pStyle w:val="B1"/>
      </w:pPr>
      <w:r w:rsidRPr="00873B6C">
        <w:t>-</w:t>
      </w:r>
      <w:r w:rsidRPr="00873B6C">
        <w:tab/>
        <w:t xml:space="preserve">When there is a transaction with the UE the newly selected AMF retrieves the UE context from the UDSF based on </w:t>
      </w:r>
      <w:r w:rsidRPr="00873B6C">
        <w:rPr>
          <w:lang w:eastAsia="zh-CN"/>
        </w:rPr>
        <w:t xml:space="preserve">SUPI, </w:t>
      </w:r>
      <w:r w:rsidRPr="00873B6C">
        <w:t>5G-</w:t>
      </w:r>
      <w:r w:rsidRPr="00873B6C">
        <w:rPr>
          <w:lang w:eastAsia="zh-CN"/>
        </w:rPr>
        <w:t>GUTI</w:t>
      </w:r>
      <w:r w:rsidRPr="00873B6C">
        <w:t xml:space="preserve"> or AMF UE NGAP ID and processes the UE message accordingly and updates the 5G-GUTI towards the UE, if necessary. </w:t>
      </w:r>
      <w:r w:rsidRPr="00873B6C">
        <w:rPr>
          <w:lang w:eastAsia="zh-CN"/>
        </w:rPr>
        <w:t xml:space="preserve">For </w:t>
      </w:r>
      <w:r w:rsidRPr="00873B6C">
        <w:t>UE(s) in CM-CONNECTED state</w:t>
      </w:r>
      <w:r w:rsidRPr="00873B6C">
        <w:rPr>
          <w:lang w:eastAsia="zh-CN"/>
        </w:rPr>
        <w:t xml:space="preserve">, it may also update the </w:t>
      </w:r>
      <w:r w:rsidRPr="00873B6C">
        <w:t xml:space="preserve">NGAP </w:t>
      </w:r>
      <w:r w:rsidRPr="00873B6C">
        <w:rPr>
          <w:lang w:eastAsia="zh-CN"/>
        </w:rPr>
        <w:t xml:space="preserve">UE </w:t>
      </w:r>
      <w:r w:rsidRPr="00873B6C">
        <w:t>association</w:t>
      </w:r>
      <w:r w:rsidRPr="00873B6C">
        <w:rPr>
          <w:lang w:eastAsia="zh-CN"/>
        </w:rPr>
        <w:t xml:space="preserve"> </w:t>
      </w:r>
      <w:r w:rsidRPr="00873B6C">
        <w:t xml:space="preserve">with a new AMF UE NGAP ID </w:t>
      </w:r>
      <w:r w:rsidRPr="00873B6C">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873B6C">
        <w:t>.</w:t>
      </w:r>
    </w:p>
    <w:p w14:paraId="0B80865C" w14:textId="77777777" w:rsidR="00D40151" w:rsidRPr="00873B6C" w:rsidRDefault="00D40151" w:rsidP="00D40151">
      <w:pPr>
        <w:pStyle w:val="B1"/>
      </w:pPr>
      <w:r w:rsidRPr="00873B6C">
        <w:t>-</w:t>
      </w:r>
      <w:r w:rsidRPr="00873B6C">
        <w:tab/>
        <w:t xml:space="preserve">When there is a transaction with the UE, the new </w:t>
      </w:r>
      <w:r w:rsidRPr="00873B6C">
        <w:rPr>
          <w:lang w:eastAsia="zh-CN"/>
        </w:rPr>
        <w:t xml:space="preserve">selected </w:t>
      </w:r>
      <w:r w:rsidRPr="00873B6C">
        <w:t xml:space="preserve">AMF </w:t>
      </w:r>
      <w:r w:rsidRPr="00873B6C">
        <w:rPr>
          <w:lang w:eastAsia="zh-CN"/>
        </w:rPr>
        <w:t xml:space="preserve">updates the peer NFs (that subscribed to receive AMF unavailability notification from old AMF), </w:t>
      </w:r>
      <w:r w:rsidRPr="00873B6C">
        <w:t xml:space="preserve">with the </w:t>
      </w:r>
      <w:r w:rsidRPr="00873B6C">
        <w:rPr>
          <w:lang w:eastAsia="zh-CN"/>
        </w:rPr>
        <w:t>new</w:t>
      </w:r>
      <w:r w:rsidRPr="00873B6C">
        <w:t xml:space="preserve"> </w:t>
      </w:r>
      <w:r w:rsidRPr="00873B6C">
        <w:rPr>
          <w:lang w:eastAsia="zh-CN"/>
        </w:rPr>
        <w:t xml:space="preserve">selected </w:t>
      </w:r>
      <w:r w:rsidRPr="00873B6C">
        <w:t>AMF information</w:t>
      </w:r>
      <w:r w:rsidRPr="00873B6C">
        <w:rPr>
          <w:lang w:eastAsia="zh-CN"/>
        </w:rPr>
        <w:t>.</w:t>
      </w:r>
    </w:p>
    <w:p w14:paraId="5CAF2BA5" w14:textId="77777777" w:rsidR="00D40151" w:rsidRPr="00873B6C" w:rsidRDefault="00D40151" w:rsidP="00D40151">
      <w:pPr>
        <w:pStyle w:val="B1"/>
      </w:pPr>
      <w:r w:rsidRPr="00873B6C">
        <w:t>-</w:t>
      </w:r>
      <w:r w:rsidRPr="00873B6C">
        <w:tab/>
        <w:t xml:space="preserve">If the new AMF is aware of a different AMF serving the UE (by implementation specific means) it forwards </w:t>
      </w:r>
      <w:r w:rsidRPr="00873B6C">
        <w:rPr>
          <w:lang w:eastAsia="zh-CN"/>
        </w:rPr>
        <w:t xml:space="preserve">the uplink N2 signalling of </w:t>
      </w:r>
      <w:r w:rsidRPr="00873B6C">
        <w:t>the UE to that AMF directly if necessary</w:t>
      </w:r>
      <w:r w:rsidRPr="00873B6C">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873B6C">
        <w:t>.</w:t>
      </w:r>
    </w:p>
    <w:p w14:paraId="472A49EF" w14:textId="77777777" w:rsidR="00D40151" w:rsidRPr="00873B6C" w:rsidRDefault="00D40151" w:rsidP="00D40151">
      <w:pPr>
        <w:pStyle w:val="NO"/>
      </w:pPr>
      <w:r w:rsidRPr="00873B6C">
        <w:t>NOTE 6:</w:t>
      </w:r>
      <w:r w:rsidRPr="00873B6C">
        <w:tab/>
        <w:t xml:space="preserve">This </w:t>
      </w:r>
      <w:r w:rsidRPr="00873B6C">
        <w:rPr>
          <w:rFonts w:eastAsia="SimSun"/>
          <w:lang w:eastAsia="zh-CN"/>
        </w:rPr>
        <w:t>bul</w:t>
      </w:r>
      <w:r w:rsidRPr="00873B6C">
        <w:t>let above addresses situations where 5G-AN node selects an AMF and CP NFs select another AMF for the UE concurrently. It also addresses the situation where CP NFs select an AMF for the UE concurrently</w:t>
      </w:r>
    </w:p>
    <w:p w14:paraId="3C632C5E" w14:textId="77777777" w:rsidR="00D40151" w:rsidRPr="00873B6C" w:rsidRDefault="00D40151" w:rsidP="00D40151">
      <w:pPr>
        <w:pStyle w:val="B1"/>
      </w:pPr>
      <w:r w:rsidRPr="00873B6C">
        <w:t>-</w:t>
      </w:r>
      <w:r w:rsidRPr="00873B6C">
        <w:tab/>
        <w:t xml:space="preserve">If </w:t>
      </w:r>
      <w:r w:rsidRPr="00873B6C">
        <w:rPr>
          <w:lang w:eastAsia="zh-CN"/>
        </w:rPr>
        <w:t xml:space="preserve">the UE is in CM-IDLE state and </w:t>
      </w:r>
      <w:r w:rsidRPr="00873B6C">
        <w:t xml:space="preserve">the new AMF does not have access to the UE context, </w:t>
      </w:r>
      <w:r w:rsidRPr="00873B6C">
        <w:rPr>
          <w:lang w:eastAsia="zh-CN"/>
        </w:rPr>
        <w:t>the new AMF selects one available AMF from the old AMF set as described in clause </w:t>
      </w:r>
      <w:r w:rsidRPr="00873B6C">
        <w:t>6.3.5</w:t>
      </w:r>
      <w:r w:rsidRPr="00873B6C">
        <w:rPr>
          <w:lang w:eastAsia="zh-CN"/>
        </w:rPr>
        <w:t>. The selected AMF retrieves the UE context from the UDSF and provides the UE context to the new AMF. If the new AMF doesn't receive the UE context</w:t>
      </w:r>
      <w:r w:rsidRPr="00873B6C">
        <w:t xml:space="preserve"> then the AMF may force the UE to perform Initial Registration.</w:t>
      </w:r>
    </w:p>
    <w:p w14:paraId="43A9E41F" w14:textId="77777777" w:rsidR="00D40151" w:rsidRPr="00873B6C" w:rsidRDefault="00D40151" w:rsidP="00D40151">
      <w:pPr>
        <w:pStyle w:val="Heading5"/>
      </w:pPr>
      <w:bookmarkStart w:id="3672" w:name="_CR5_21_2_2_2"/>
      <w:bookmarkStart w:id="3673" w:name="_Toc20150032"/>
      <w:bookmarkStart w:id="3674" w:name="_Toc27846831"/>
      <w:bookmarkStart w:id="3675" w:name="_Toc36187962"/>
      <w:bookmarkStart w:id="3676" w:name="_Toc45183866"/>
      <w:bookmarkStart w:id="3677" w:name="_Toc47342708"/>
      <w:bookmarkStart w:id="3678" w:name="_Toc51769409"/>
      <w:bookmarkStart w:id="3679" w:name="_Toc201157430"/>
      <w:bookmarkEnd w:id="3672"/>
      <w:r w:rsidRPr="00873B6C">
        <w:t>5.21.2.2.2</w:t>
      </w:r>
      <w:r w:rsidRPr="00873B6C">
        <w:tab/>
        <w:t>AMF planned removal procedure without UDSF</w:t>
      </w:r>
      <w:bookmarkEnd w:id="3673"/>
      <w:bookmarkEnd w:id="3674"/>
      <w:bookmarkEnd w:id="3675"/>
      <w:bookmarkEnd w:id="3676"/>
      <w:bookmarkEnd w:id="3677"/>
      <w:bookmarkEnd w:id="3678"/>
      <w:bookmarkEnd w:id="3679"/>
    </w:p>
    <w:p w14:paraId="67A14829" w14:textId="77777777" w:rsidR="00D40151" w:rsidRPr="00873B6C" w:rsidRDefault="00D40151" w:rsidP="00D40151">
      <w:pPr>
        <w:rPr>
          <w:rFonts w:eastAsia="DengXian"/>
        </w:rPr>
      </w:pPr>
      <w:r w:rsidRPr="00873B6C">
        <w:rPr>
          <w:rFonts w:eastAsia="DengXian"/>
        </w:rPr>
        <w:t>An AMF can be taken graciously out of service as follows:</w:t>
      </w:r>
    </w:p>
    <w:p w14:paraId="315A3100" w14:textId="77777777" w:rsidR="00D40151" w:rsidRPr="00873B6C" w:rsidRDefault="00D40151" w:rsidP="00D40151">
      <w:pPr>
        <w:pStyle w:val="B1"/>
        <w:rPr>
          <w:rFonts w:eastAsia="DengXian"/>
        </w:rPr>
      </w:pPr>
      <w:r w:rsidRPr="00873B6C">
        <w:t>-</w:t>
      </w:r>
      <w:r w:rsidRPr="00873B6C">
        <w:tab/>
        <w:t xml:space="preserve">The AMF </w:t>
      </w:r>
      <w:r w:rsidRPr="00873B6C">
        <w:rPr>
          <w:rFonts w:eastAsia="DengXian"/>
        </w:rPr>
        <w:t xml:space="preserve">can forward registered UE contexts, </w:t>
      </w:r>
      <w:r w:rsidRPr="00873B6C">
        <w:t>UE contexts grouped by the same GUAMI value,</w:t>
      </w:r>
      <w:r w:rsidRPr="00873B6C">
        <w:rPr>
          <w:rFonts w:eastAsia="DengXian"/>
        </w:rPr>
        <w:t xml:space="preserve"> to target AMF(s) within the same AMF set,</w:t>
      </w:r>
      <w:r w:rsidRPr="00873B6C">
        <w:t xml:space="preserve"> </w:t>
      </w:r>
      <w:r w:rsidRPr="00873B6C">
        <w:rPr>
          <w:rFonts w:eastAsia="DengXian"/>
        </w:rPr>
        <w:t xml:space="preserve">including </w:t>
      </w:r>
      <w:r w:rsidRPr="00873B6C">
        <w:rPr>
          <w:rFonts w:eastAsia="DengXian"/>
          <w:lang w:eastAsia="zh-CN"/>
        </w:rPr>
        <w:t xml:space="preserve">the source </w:t>
      </w:r>
      <w:r w:rsidRPr="00873B6C">
        <w:rPr>
          <w:rFonts w:eastAsia="DengXian"/>
        </w:rPr>
        <w:t xml:space="preserve">AMF </w:t>
      </w:r>
      <w:r w:rsidRPr="00873B6C">
        <w:rPr>
          <w:rFonts w:eastAsia="DengXian"/>
          <w:lang w:eastAsia="zh-CN"/>
        </w:rPr>
        <w:t>name</w:t>
      </w:r>
      <w:r w:rsidRPr="00873B6C">
        <w:rPr>
          <w:rFonts w:eastAsia="DengXian"/>
        </w:rPr>
        <w:t xml:space="preserve"> used for redirecting UE's MT transaction. </w:t>
      </w:r>
      <w:r w:rsidRPr="00873B6C">
        <w:t xml:space="preserve">The UE context includes the per AMF Set unique AMF UE NGAP ID. In order for the AMF planned removal procedure to work graciously, 5G-S-TMSI shall be unique per AMF set. </w:t>
      </w:r>
      <w:r w:rsidRPr="00873B6C">
        <w:rPr>
          <w:rFonts w:eastAsia="DengXian"/>
        </w:rPr>
        <w:t>If there are ongoing transactions (e.g. N1 procedure) for certain UE(s), AMF forwards the UE context(s) to the target AMF upon completion of an ongoing transaction.</w:t>
      </w:r>
    </w:p>
    <w:p w14:paraId="6C169A40" w14:textId="77777777" w:rsidR="00D40151" w:rsidRPr="00873B6C" w:rsidRDefault="00D40151" w:rsidP="00D40151">
      <w:pPr>
        <w:pStyle w:val="B1"/>
      </w:pPr>
      <w:r w:rsidRPr="00873B6C">
        <w:t>-</w:t>
      </w:r>
      <w:r w:rsidRPr="00873B6C">
        <w:tab/>
        <w:t>The A</w:t>
      </w:r>
      <w:r w:rsidRPr="00873B6C">
        <w:rPr>
          <w:lang w:eastAsia="zh-CN"/>
        </w:rPr>
        <w:t>MF deregister itself from NRF indicating due to AMF planned removal.</w:t>
      </w:r>
    </w:p>
    <w:p w14:paraId="3A286D81" w14:textId="77777777" w:rsidR="00D40151" w:rsidRPr="00873B6C" w:rsidRDefault="00D40151" w:rsidP="00D40151">
      <w:pPr>
        <w:pStyle w:val="NO"/>
      </w:pPr>
      <w:r w:rsidRPr="00873B6C">
        <w:t>NOTE 1:</w:t>
      </w:r>
      <w:r w:rsidRPr="00873B6C">
        <w:tab/>
        <w:t>It is assumed that the UE contexts from the old AMF include all event subscriptions with peer CP NFs.</w:t>
      </w:r>
    </w:p>
    <w:p w14:paraId="3BFDC934" w14:textId="77777777" w:rsidR="00D40151" w:rsidRPr="00873B6C" w:rsidRDefault="00D40151" w:rsidP="00D40151">
      <w:pPr>
        <w:pStyle w:val="NO"/>
      </w:pPr>
      <w:r w:rsidRPr="00873B6C">
        <w:rPr>
          <w:rFonts w:eastAsia="SimSun"/>
          <w:lang w:eastAsia="zh-CN"/>
        </w:rPr>
        <w:t>NOTE 2: Before removal of AMF the overload control mechanism can be used to reduce the amount of ongoing transaction.</w:t>
      </w:r>
    </w:p>
    <w:p w14:paraId="121C937B" w14:textId="77777777" w:rsidR="00D40151" w:rsidRPr="00873B6C" w:rsidRDefault="00D40151" w:rsidP="00D40151">
      <w:r w:rsidRPr="00873B6C">
        <w:lastRenderedPageBreak/>
        <w:t xml:space="preserve">An AMF shall be able to instruct the 5G-AN that it will be unavailable for processing transactions by including GUAMI(s) configured on this AMF and its corresponding target AMF(s). The </w:t>
      </w:r>
      <w:r w:rsidRPr="00873B6C">
        <w:rPr>
          <w:lang w:eastAsia="zh-CN"/>
        </w:rPr>
        <w:t>target</w:t>
      </w:r>
      <w:r w:rsidRPr="00873B6C">
        <w:t xml:space="preserve"> AMF shall be able to update the 5G-AN that the UE(s) served by the old GUAMI(s) are now served by target AMF. </w:t>
      </w:r>
      <w:r w:rsidRPr="00873B6C">
        <w:rPr>
          <w:lang w:eastAsia="zh-CN"/>
        </w:rPr>
        <w:t>The target AMF</w:t>
      </w:r>
      <w:r w:rsidRPr="00873B6C">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873B6C" w:rsidRDefault="00D40151" w:rsidP="00D40151">
      <w:pPr>
        <w:pStyle w:val="B1"/>
        <w:rPr>
          <w:lang w:eastAsia="zh-CN"/>
        </w:rPr>
      </w:pPr>
      <w:r w:rsidRPr="00873B6C">
        <w:t>-</w:t>
      </w:r>
      <w:r w:rsidRPr="00873B6C">
        <w:tab/>
        <w:t>5G-AN should mark this AMF as unavailable and not consider the AMF for selection for subsequent N2 transactions until 5G-AN learns that it is available (e.g. as part of discovery results or by configuration).</w:t>
      </w:r>
      <w:r w:rsidRPr="00873B6C">
        <w:rPr>
          <w:lang w:eastAsia="zh-CN"/>
        </w:rPr>
        <w:t xml:space="preserve"> The associated GUAMIs are marked as unavailable.</w:t>
      </w:r>
    </w:p>
    <w:p w14:paraId="1179062D" w14:textId="77777777" w:rsidR="00D40151" w:rsidRPr="00873B6C" w:rsidRDefault="00D40151" w:rsidP="00D40151">
      <w:pPr>
        <w:pStyle w:val="B1"/>
      </w:pPr>
      <w:r w:rsidRPr="00873B6C">
        <w:rPr>
          <w:lang w:eastAsia="zh-CN"/>
        </w:rPr>
        <w:t>-</w:t>
      </w:r>
      <w:r w:rsidRPr="00873B6C">
        <w:rPr>
          <w:lang w:eastAsia="zh-CN"/>
        </w:rPr>
        <w:tab/>
      </w:r>
      <w:r w:rsidRPr="00873B6C">
        <w:t xml:space="preserve">During NGAP Setup, the AMF may include an additional indicator that the AMF will </w:t>
      </w:r>
      <w:r w:rsidRPr="00873B6C">
        <w:rPr>
          <w:lang w:eastAsia="zh-CN"/>
        </w:rPr>
        <w:t xml:space="preserve">rebind or </w:t>
      </w:r>
      <w:r w:rsidRPr="00873B6C">
        <w:t>release the N</w:t>
      </w:r>
      <w:r w:rsidRPr="00873B6C">
        <w:rPr>
          <w:lang w:eastAsia="zh-CN"/>
        </w:rPr>
        <w:t>G</w:t>
      </w:r>
      <w:r w:rsidRPr="00873B6C">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0DFB1BE5" w:rsidR="00D40151" w:rsidRPr="00873B6C" w:rsidRDefault="00D40151" w:rsidP="00D40151">
      <w:pPr>
        <w:pStyle w:val="NO"/>
      </w:pPr>
      <w:r w:rsidRPr="00873B6C">
        <w:t>NOTE 3:</w:t>
      </w:r>
      <w:r w:rsidRPr="00873B6C">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972E70" w:rsidRPr="00873B6C">
        <w:t>TS 23.502 [</w:t>
      </w:r>
      <w:r w:rsidRPr="00873B6C">
        <w:t>3] to release the NGAP UE-TNLA-binding on a per UE-basis while requesting the AN to maintain N3 (user plane connectivity) and UE context information.</w:t>
      </w:r>
    </w:p>
    <w:p w14:paraId="5E4B40C6" w14:textId="77777777" w:rsidR="00D40151" w:rsidRPr="00873B6C" w:rsidRDefault="00D40151" w:rsidP="00D40151">
      <w:pPr>
        <w:pStyle w:val="NO"/>
      </w:pPr>
      <w:r w:rsidRPr="00873B6C">
        <w:t>NOTE 4:</w:t>
      </w:r>
      <w:r w:rsidRPr="00873B6C">
        <w:tab/>
        <w:t>The support and the use of timer mechanism in 5G-AN is up to implementation.</w:t>
      </w:r>
    </w:p>
    <w:p w14:paraId="0800CC11" w14:textId="77777777" w:rsidR="00D40151" w:rsidRPr="00873B6C" w:rsidRDefault="00D40151" w:rsidP="00D40151">
      <w:pPr>
        <w:pStyle w:val="B1"/>
      </w:pPr>
      <w:r w:rsidRPr="00873B6C">
        <w:tab/>
        <w:t xml:space="preserve">If the instruction does not include the indicator, for UE(s) in CM-CONNECTED state, 5G-AN considers this as a request to release the NGAP UE </w:t>
      </w:r>
      <w:r w:rsidRPr="00873B6C">
        <w:rPr>
          <w:lang w:eastAsia="zh-CN"/>
        </w:rPr>
        <w:t xml:space="preserve">UE-TNLA-binding(s) </w:t>
      </w:r>
      <w:r w:rsidRPr="00873B6C">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873B6C" w:rsidRDefault="00D40151" w:rsidP="00D40151">
      <w:pPr>
        <w:pStyle w:val="B1"/>
        <w:rPr>
          <w:rFonts w:eastAsia="DengXian"/>
        </w:rPr>
      </w:pPr>
      <w:r w:rsidRPr="00873B6C">
        <w:t>-</w:t>
      </w:r>
      <w:r w:rsidRPr="00873B6C">
        <w:tab/>
        <w:t xml:space="preserve">For UE(s) in CM-IDLE state, when it subsequently returns from CM-IDLE state and the </w:t>
      </w:r>
      <w:r w:rsidRPr="00873B6C">
        <w:rPr>
          <w:rFonts w:eastAsia="DengXian"/>
        </w:rPr>
        <w:t>5G-AN</w:t>
      </w:r>
      <w:r w:rsidRPr="00873B6C">
        <w:t xml:space="preserve"> receives an initial NAS message with a 5G S-TMSI or GUAMI, based resolution the 5G-AN uses 5G S-TMSI or GUAMI which points to the target AMF that has replaced the old unavailable AMF and, the </w:t>
      </w:r>
      <w:r w:rsidRPr="00873B6C">
        <w:rPr>
          <w:rFonts w:eastAsia="DengXian"/>
        </w:rPr>
        <w:t>5G-AN</w:t>
      </w:r>
      <w:r w:rsidRPr="00873B6C">
        <w:t xml:space="preserve"> forwards N2 message.</w:t>
      </w:r>
    </w:p>
    <w:p w14:paraId="4688045E" w14:textId="77777777" w:rsidR="00D40151" w:rsidRPr="00873B6C" w:rsidRDefault="00D40151" w:rsidP="00D40151">
      <w:pPr>
        <w:rPr>
          <w:rFonts w:eastAsia="DengXian"/>
        </w:rPr>
      </w:pPr>
      <w:r w:rsidRPr="00873B6C">
        <w:t xml:space="preserve">An AMF shall be able to instruct other peer CP NFs, subscribed to receive such a notification, that it will be unavailable for processing transactions by including GUAMI(s) configured on this AMF and its corresponding target AMF(s). The </w:t>
      </w:r>
      <w:r w:rsidRPr="00873B6C">
        <w:rPr>
          <w:lang w:eastAsia="zh-CN"/>
        </w:rPr>
        <w:t>target</w:t>
      </w:r>
      <w:r w:rsidRPr="00873B6C">
        <w:t xml:space="preserve"> AMF shall update the CP NF that the old GUAMI(s) is now served by target AMF. </w:t>
      </w:r>
      <w:r w:rsidRPr="00873B6C">
        <w:rPr>
          <w:lang w:eastAsia="zh-CN"/>
        </w:rPr>
        <w:t>The old AMF</w:t>
      </w:r>
      <w:r w:rsidRPr="00873B6C">
        <w:t xml:space="preserve"> provides the old GUAMI value </w:t>
      </w:r>
      <w:r w:rsidRPr="00873B6C">
        <w:rPr>
          <w:lang w:eastAsia="zh-CN"/>
        </w:rPr>
        <w:t xml:space="preserve">to target AMF and </w:t>
      </w:r>
      <w:r w:rsidRPr="00873B6C">
        <w:t xml:space="preserve">the </w:t>
      </w:r>
      <w:r w:rsidRPr="00873B6C">
        <w:rPr>
          <w:lang w:eastAsia="zh-CN"/>
        </w:rPr>
        <w:t>target AMF</w:t>
      </w:r>
      <w:r w:rsidRPr="00873B6C">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55E24A04" w:rsidR="00D40151" w:rsidRPr="00873B6C" w:rsidRDefault="00D40151" w:rsidP="00D40151">
      <w:pPr>
        <w:pStyle w:val="B1"/>
      </w:pPr>
      <w:r w:rsidRPr="00873B6C">
        <w:t>-</w:t>
      </w:r>
      <w:r w:rsidRPr="00873B6C">
        <w:tab/>
        <w:t>Mark this AMF and its associated GUAMI(s) as unavailable while not changing the status of UE(s) associated to this AMF (UE(s) previously served by the corresponding AMF still remain registered in the network)</w:t>
      </w:r>
      <w:r w:rsidR="00472CD7" w:rsidRPr="00873B6C">
        <w:t xml:space="preserve"> and</w:t>
      </w:r>
      <w:r w:rsidRPr="00873B6C">
        <w:t xml:space="preserve"> AMF Set information.</w:t>
      </w:r>
    </w:p>
    <w:p w14:paraId="386EB287" w14:textId="2577579B" w:rsidR="00D40151" w:rsidRPr="00873B6C" w:rsidRDefault="00D40151" w:rsidP="00D40151">
      <w:pPr>
        <w:pStyle w:val="B1"/>
      </w:pPr>
      <w:r w:rsidRPr="00873B6C">
        <w:t>-</w:t>
      </w:r>
      <w:r w:rsidRPr="00873B6C">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873B6C">
        <w:rPr>
          <w:lang w:eastAsia="zh-CN"/>
        </w:rPr>
        <w:t xml:space="preserve">together with the old GUAMI </w:t>
      </w:r>
      <w:r w:rsidRPr="00873B6C">
        <w:t>to the target AMF(s). If CP NF needs to send a notification to new AMF which is associated with a subscription from the old AMF, the CP NF shall exchange the old AMF information embedded in the Notification Address with the new AMF information</w:t>
      </w:r>
      <w:r w:rsidR="00472CD7" w:rsidRPr="00873B6C">
        <w:t xml:space="preserve"> and</w:t>
      </w:r>
      <w:r w:rsidRPr="00873B6C">
        <w:t xml:space="preserve"> use that Notification Address for subsequent communication.</w:t>
      </w:r>
    </w:p>
    <w:p w14:paraId="09C3AC9A" w14:textId="77777777" w:rsidR="00D40151" w:rsidRPr="00873B6C" w:rsidRDefault="00D40151" w:rsidP="00D40151">
      <w:pPr>
        <w:pStyle w:val="NO"/>
        <w:rPr>
          <w:rFonts w:eastAsia="SimSun"/>
        </w:rPr>
      </w:pPr>
      <w:r w:rsidRPr="00873B6C">
        <w:t>NOTE 5:</w:t>
      </w:r>
      <w:r w:rsidRPr="00873B6C">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873B6C" w:rsidRDefault="00D40151" w:rsidP="00D40151">
      <w:r w:rsidRPr="00873B6C">
        <w:lastRenderedPageBreak/>
        <w:t>The following actions should be performed by the target AMF:</w:t>
      </w:r>
    </w:p>
    <w:p w14:paraId="3DF358FF" w14:textId="3FE3642F" w:rsidR="00D40151" w:rsidRPr="00873B6C" w:rsidRDefault="00D40151" w:rsidP="00D40151">
      <w:pPr>
        <w:pStyle w:val="B1"/>
      </w:pPr>
      <w:r w:rsidRPr="00873B6C">
        <w:rPr>
          <w:rFonts w:eastAsia="MS Mincho"/>
        </w:rPr>
        <w:t>-</w:t>
      </w:r>
      <w:r w:rsidRPr="00873B6C">
        <w:rPr>
          <w:rFonts w:eastAsia="MS Mincho"/>
        </w:rPr>
        <w:tab/>
      </w:r>
      <w:r w:rsidRPr="00873B6C">
        <w:rPr>
          <w:lang w:eastAsia="zh-CN"/>
        </w:rPr>
        <w:t>To allow AMF process ongoing transactions for some UE(s) even after it notifies unavailable status to the target AMF, t</w:t>
      </w:r>
      <w:r w:rsidRPr="00873B6C">
        <w:t xml:space="preserve">he target AMF </w:t>
      </w:r>
      <w:r w:rsidRPr="00873B6C">
        <w:rPr>
          <w:lang w:eastAsia="zh-CN"/>
        </w:rPr>
        <w:t>keeps</w:t>
      </w:r>
      <w:r w:rsidRPr="00873B6C">
        <w:t xml:space="preserve"> the association of the old GUAMI(s) and the old AMF </w:t>
      </w:r>
      <w:r w:rsidRPr="00873B6C">
        <w:rPr>
          <w:lang w:eastAsia="zh-CN"/>
        </w:rPr>
        <w:t>for</w:t>
      </w:r>
      <w:r w:rsidRPr="00873B6C">
        <w:t xml:space="preserve"> a configured time. </w:t>
      </w:r>
      <w:r w:rsidRPr="00873B6C">
        <w:rPr>
          <w:lang w:eastAsia="zh-CN"/>
        </w:rPr>
        <w:t>During that configured period, i</w:t>
      </w:r>
      <w:r w:rsidRPr="00873B6C">
        <w:t>f target AMF receives the transaction from the peer CP NFs and cannot locate UE context, it rejects the transaction with old AMF name based on that association</w:t>
      </w:r>
      <w:r w:rsidR="00472CD7" w:rsidRPr="00873B6C">
        <w:t xml:space="preserve"> and</w:t>
      </w:r>
      <w:r w:rsidRPr="00873B6C">
        <w:t xml:space="preserve"> the indicated AMF is only used for the ongoing transaction</w:t>
      </w:r>
      <w:r w:rsidRPr="00873B6C">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873B6C" w:rsidRDefault="00D40151" w:rsidP="00D40151">
      <w:pPr>
        <w:pStyle w:val="B1"/>
      </w:pPr>
      <w:r w:rsidRPr="00873B6C">
        <w:t>-</w:t>
      </w:r>
      <w:r w:rsidRPr="00873B6C">
        <w:tab/>
        <w:t xml:space="preserve">When there is a transaction with the UE the target AMF uses </w:t>
      </w:r>
      <w:r w:rsidRPr="00873B6C">
        <w:rPr>
          <w:lang w:eastAsia="zh-CN"/>
        </w:rPr>
        <w:t xml:space="preserve">SUPI, </w:t>
      </w:r>
      <w:r w:rsidRPr="00873B6C">
        <w:t>5G-</w:t>
      </w:r>
      <w:r w:rsidRPr="00873B6C">
        <w:rPr>
          <w:lang w:eastAsia="zh-CN"/>
        </w:rPr>
        <w:t>GUT</w:t>
      </w:r>
      <w:r w:rsidRPr="00873B6C">
        <w:t xml:space="preserve">I or AMF UE NGAP ID to locate UE contexts and processes the UE transactions accordingly and updates the 5G-GUTI towards the UE, if necessary. </w:t>
      </w:r>
      <w:r w:rsidRPr="00873B6C">
        <w:rPr>
          <w:lang w:eastAsia="zh-CN"/>
        </w:rPr>
        <w:t xml:space="preserve">For </w:t>
      </w:r>
      <w:r w:rsidRPr="00873B6C">
        <w:t>UE(s) in CM-CONNECTED state</w:t>
      </w:r>
      <w:r w:rsidRPr="00873B6C">
        <w:rPr>
          <w:lang w:eastAsia="zh-CN"/>
        </w:rPr>
        <w:t xml:space="preserve">, it may also update the </w:t>
      </w:r>
      <w:r w:rsidRPr="00873B6C">
        <w:t xml:space="preserve">NGAP </w:t>
      </w:r>
      <w:r w:rsidRPr="00873B6C">
        <w:rPr>
          <w:lang w:eastAsia="zh-CN"/>
        </w:rPr>
        <w:t xml:space="preserve">UE </w:t>
      </w:r>
      <w:r w:rsidRPr="00873B6C">
        <w:t>association</w:t>
      </w:r>
      <w:r w:rsidRPr="00873B6C">
        <w:rPr>
          <w:lang w:eastAsia="zh-CN"/>
        </w:rPr>
        <w:t xml:space="preserve"> </w:t>
      </w:r>
      <w:r w:rsidRPr="00873B6C">
        <w:t xml:space="preserve">with a new AMF UE NGAP ID </w:t>
      </w:r>
      <w:r w:rsidRPr="00873B6C">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873B6C">
        <w:t>.</w:t>
      </w:r>
    </w:p>
    <w:p w14:paraId="06E2CD2D" w14:textId="77777777" w:rsidR="00D40151" w:rsidRPr="00873B6C" w:rsidRDefault="00D40151" w:rsidP="00D40151">
      <w:pPr>
        <w:pStyle w:val="B1"/>
      </w:pPr>
      <w:r w:rsidRPr="00873B6C">
        <w:t>-</w:t>
      </w:r>
      <w:r w:rsidRPr="00873B6C">
        <w:tab/>
        <w:t>Target AMF shall not use old GUAMI to allocate 5G-GUTI for UE(s) that are being served by Target AMF.</w:t>
      </w:r>
    </w:p>
    <w:p w14:paraId="45E5DF0F" w14:textId="77777777" w:rsidR="00D40151" w:rsidRPr="00873B6C" w:rsidRDefault="00D40151" w:rsidP="00D40151">
      <w:pPr>
        <w:pStyle w:val="Heading4"/>
      </w:pPr>
      <w:bookmarkStart w:id="3680" w:name="_CR5_21_2_3"/>
      <w:bookmarkStart w:id="3681" w:name="_Toc20150033"/>
      <w:bookmarkStart w:id="3682" w:name="_Toc27846832"/>
      <w:bookmarkStart w:id="3683" w:name="_Toc36187963"/>
      <w:bookmarkStart w:id="3684" w:name="_Toc45183867"/>
      <w:bookmarkStart w:id="3685" w:name="_Toc47342709"/>
      <w:bookmarkStart w:id="3686" w:name="_Toc51769410"/>
      <w:bookmarkStart w:id="3687" w:name="_Toc201157431"/>
      <w:bookmarkEnd w:id="3680"/>
      <w:r w:rsidRPr="00873B6C">
        <w:t>5.21.2.3</w:t>
      </w:r>
      <w:r w:rsidRPr="00873B6C">
        <w:tab/>
        <w:t>Procedure for AMF Auto-recovery</w:t>
      </w:r>
      <w:bookmarkEnd w:id="3681"/>
      <w:bookmarkEnd w:id="3682"/>
      <w:bookmarkEnd w:id="3683"/>
      <w:bookmarkEnd w:id="3684"/>
      <w:bookmarkEnd w:id="3685"/>
      <w:bookmarkEnd w:id="3686"/>
      <w:bookmarkEnd w:id="3687"/>
    </w:p>
    <w:p w14:paraId="1EAB26A1" w14:textId="77777777" w:rsidR="00D40151" w:rsidRPr="00873B6C" w:rsidRDefault="00D40151" w:rsidP="00D40151">
      <w:pPr>
        <w:rPr>
          <w:lang w:eastAsia="zh-CN"/>
        </w:rPr>
      </w:pPr>
      <w:r w:rsidRPr="00873B6C">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873B6C" w:rsidRDefault="00D40151" w:rsidP="00D40151">
      <w:pPr>
        <w:pStyle w:val="NO"/>
      </w:pPr>
      <w:r w:rsidRPr="00873B6C">
        <w:t>NOTE 1:</w:t>
      </w:r>
      <w:r w:rsidRPr="00873B6C">
        <w:tab/>
        <w:t>Frequency of backup is left to implementation.</w:t>
      </w:r>
    </w:p>
    <w:p w14:paraId="3D3B79E3" w14:textId="77777777" w:rsidR="00D40151" w:rsidRPr="00873B6C" w:rsidRDefault="00D40151" w:rsidP="00D40151">
      <w:r w:rsidRPr="00873B6C">
        <w:t xml:space="preserve">For deployments without UDSF, </w:t>
      </w:r>
      <w:r w:rsidRPr="00873B6C">
        <w:rPr>
          <w:lang w:eastAsia="zh-CN"/>
        </w:rPr>
        <w:t xml:space="preserve">for each GUAMI the </w:t>
      </w:r>
      <w:r w:rsidRPr="00873B6C">
        <w:t xml:space="preserve">backup AMF information (in association to </w:t>
      </w:r>
      <w:r w:rsidRPr="00873B6C">
        <w:rPr>
          <w:lang w:eastAsia="zh-CN"/>
        </w:rPr>
        <w:t>the</w:t>
      </w:r>
      <w:r w:rsidRPr="00873B6C">
        <w:t xml:space="preserve"> GUAMI) </w:t>
      </w:r>
      <w:r w:rsidRPr="00873B6C">
        <w:rPr>
          <w:lang w:eastAsia="zh-CN"/>
        </w:rPr>
        <w:t>is</w:t>
      </w:r>
      <w:r w:rsidRPr="00873B6C">
        <w:t xml:space="preserve"> configured in the AMF</w:t>
      </w:r>
      <w:r w:rsidRPr="00873B6C">
        <w:rPr>
          <w:lang w:eastAsia="zh-CN"/>
        </w:rPr>
        <w:t>. The AMF sends this information to</w:t>
      </w:r>
      <w:r w:rsidRPr="00873B6C">
        <w:t xml:space="preserve"> 5G-AN and other CP NFs</w:t>
      </w:r>
      <w:r w:rsidRPr="00873B6C">
        <w:rPr>
          <w:lang w:eastAsia="zh-CN"/>
        </w:rPr>
        <w:t xml:space="preserve"> during the N2 setup procedure or the first (per NF) interaction with other CP NFs</w:t>
      </w:r>
      <w:r w:rsidRPr="00873B6C">
        <w:t>.</w:t>
      </w:r>
    </w:p>
    <w:p w14:paraId="2DBFD507" w14:textId="77777777" w:rsidR="00D40151" w:rsidRPr="00873B6C" w:rsidRDefault="00D40151" w:rsidP="00D40151">
      <w:r w:rsidRPr="00873B6C">
        <w:t>In the case that an AMF fails and the 5G-AN/peer CP NFs detect that the AMF has failed</w:t>
      </w:r>
      <w:r w:rsidRPr="00873B6C">
        <w:rPr>
          <w:lang w:eastAsia="zh-CN"/>
        </w:rPr>
        <w:t>, or the 5G-AN/peer CP NFs receives notification from another AMF in the same AMF set that this AMF has failed</w:t>
      </w:r>
      <w:r w:rsidRPr="00873B6C">
        <w:t>, following actions are taken:</w:t>
      </w:r>
    </w:p>
    <w:p w14:paraId="335C4609" w14:textId="77777777" w:rsidR="00D40151" w:rsidRPr="00873B6C" w:rsidRDefault="00D40151" w:rsidP="00D40151">
      <w:pPr>
        <w:pStyle w:val="B1"/>
        <w:rPr>
          <w:rFonts w:eastAsia="SimSun"/>
        </w:rPr>
      </w:pPr>
      <w:r w:rsidRPr="00873B6C">
        <w:t>-</w:t>
      </w:r>
      <w:r w:rsidRPr="00873B6C">
        <w:tab/>
        <w:t xml:space="preserve">The </w:t>
      </w:r>
      <w:r w:rsidRPr="00873B6C">
        <w:rPr>
          <w:lang w:eastAsia="zh-CN"/>
        </w:rPr>
        <w:t>OAM deregister the AMF from NRF indicating due to AMF failure.</w:t>
      </w:r>
    </w:p>
    <w:p w14:paraId="75F78E99" w14:textId="77777777" w:rsidR="00D40151" w:rsidRPr="00873B6C" w:rsidRDefault="00D40151" w:rsidP="00D40151">
      <w:pPr>
        <w:pStyle w:val="B1"/>
      </w:pPr>
      <w:r w:rsidRPr="00873B6C">
        <w:rPr>
          <w:rFonts w:eastAsia="SimSun"/>
        </w:rPr>
        <w:t>-</w:t>
      </w:r>
      <w:r w:rsidRPr="00873B6C">
        <w:rPr>
          <w:rFonts w:eastAsia="SimSun"/>
        </w:rPr>
        <w:tab/>
        <w:t>5G-AN</w:t>
      </w:r>
      <w:r w:rsidRPr="00873B6C">
        <w:t xml:space="preserve"> marks this AMF as failed and not consider the AMF for selection until explicitly notified.</w:t>
      </w:r>
    </w:p>
    <w:p w14:paraId="352680CA" w14:textId="77777777" w:rsidR="00D40151" w:rsidRPr="00873B6C" w:rsidRDefault="00D40151" w:rsidP="00D40151">
      <w:pPr>
        <w:pStyle w:val="B1"/>
        <w:rPr>
          <w:lang w:eastAsia="zh-CN"/>
        </w:rPr>
      </w:pPr>
      <w:r w:rsidRPr="00873B6C">
        <w:t>-</w:t>
      </w:r>
      <w:r w:rsidRPr="00873B6C">
        <w:tab/>
        <w:t xml:space="preserve">For UE(s) in CM-CONNECTED state, </w:t>
      </w:r>
      <w:r w:rsidRPr="00873B6C">
        <w:rPr>
          <w:rFonts w:eastAsia="DengXian"/>
        </w:rPr>
        <w:t>5G-AN</w:t>
      </w:r>
      <w:r w:rsidRPr="00873B6C">
        <w:t xml:space="preserve"> considers failure detection </w:t>
      </w:r>
      <w:r w:rsidRPr="00873B6C">
        <w:rPr>
          <w:lang w:eastAsia="zh-CN"/>
        </w:rPr>
        <w:t xml:space="preserve">or failure notification </w:t>
      </w:r>
      <w:r w:rsidRPr="00873B6C">
        <w:t>as a trigger to release the NGAP UE-TNLA-binding(s) with the corresponding AMF for the respective UE(s) while maintaining N3 (user plane connectivity) and other UE context information. For subsequent N2 message,</w:t>
      </w:r>
      <w:r w:rsidRPr="00873B6C">
        <w:rPr>
          <w:lang w:eastAsia="zh-CN"/>
        </w:rPr>
        <w:t xml:space="preserve"> if the </w:t>
      </w:r>
      <w:r w:rsidRPr="00873B6C">
        <w:t>backup AMF information</w:t>
      </w:r>
      <w:r w:rsidRPr="00873B6C">
        <w:rPr>
          <w:lang w:eastAsia="zh-CN"/>
        </w:rPr>
        <w:t xml:space="preserve"> of the corresponding failed AMF is not available</w:t>
      </w:r>
      <w:r w:rsidRPr="00873B6C">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873B6C">
        <w:rPr>
          <w:lang w:eastAsia="zh-CN"/>
        </w:rPr>
        <w:t xml:space="preserve"> If backup AMF information of the corresponding failed AMF is available, the 5G-AN forwards the </w:t>
      </w:r>
      <w:r w:rsidRPr="00873B6C">
        <w:t>N2 message</w:t>
      </w:r>
      <w:r w:rsidRPr="00873B6C">
        <w:rPr>
          <w:lang w:eastAsia="zh-CN"/>
        </w:rPr>
        <w:t xml:space="preserve"> to the backup AMF.</w:t>
      </w:r>
    </w:p>
    <w:p w14:paraId="21278CF1" w14:textId="77777777" w:rsidR="00D40151" w:rsidRPr="00873B6C" w:rsidRDefault="00D40151" w:rsidP="00D40151">
      <w:pPr>
        <w:pStyle w:val="NO"/>
      </w:pPr>
      <w:r w:rsidRPr="00873B6C">
        <w:t>NOTE </w:t>
      </w:r>
      <w:r w:rsidRPr="00873B6C">
        <w:rPr>
          <w:rFonts w:eastAsia="SimSun"/>
          <w:lang w:eastAsia="zh-CN"/>
        </w:rPr>
        <w:t>2</w:t>
      </w:r>
      <w:r w:rsidRPr="00873B6C">
        <w:t>:</w:t>
      </w:r>
      <w:r w:rsidRPr="00873B6C">
        <w:tab/>
      </w:r>
      <w:r w:rsidRPr="00873B6C">
        <w:rPr>
          <w:rFonts w:eastAsia="SimSun"/>
          <w:lang w:eastAsia="zh-CN"/>
        </w:rPr>
        <w:t>One AMF in the AMF set may be configured to send this failure notification message.</w:t>
      </w:r>
    </w:p>
    <w:p w14:paraId="0556BEF0" w14:textId="77777777" w:rsidR="00D40151" w:rsidRPr="00873B6C" w:rsidRDefault="00D40151" w:rsidP="00D40151">
      <w:pPr>
        <w:pStyle w:val="B1"/>
        <w:rPr>
          <w:rFonts w:eastAsia="DengXian"/>
        </w:rPr>
      </w:pPr>
      <w:r w:rsidRPr="00873B6C">
        <w:t>-</w:t>
      </w:r>
      <w:r w:rsidRPr="00873B6C">
        <w:tab/>
        <w:t xml:space="preserve">For UE(s) in CM-IDLE state, when it subsequently returns from CM-IDLE state and the </w:t>
      </w:r>
      <w:r w:rsidRPr="00873B6C">
        <w:rPr>
          <w:rFonts w:eastAsia="DengXian"/>
        </w:rPr>
        <w:t>5G-AN</w:t>
      </w:r>
      <w:r w:rsidRPr="00873B6C">
        <w:t xml:space="preserve"> receives an initial NAS message with a S-TMSI or GUAMI pointing to an AMF that is marked failed, </w:t>
      </w:r>
      <w:r w:rsidRPr="00873B6C">
        <w:rPr>
          <w:lang w:eastAsia="zh-CN"/>
        </w:rPr>
        <w:t xml:space="preserve">if the </w:t>
      </w:r>
      <w:r w:rsidRPr="00873B6C">
        <w:t>backup AMF information</w:t>
      </w:r>
      <w:r w:rsidRPr="00873B6C">
        <w:rPr>
          <w:lang w:eastAsia="zh-CN"/>
        </w:rPr>
        <w:t xml:space="preserve"> of the corresponding failed AMF is not available</w:t>
      </w:r>
      <w:r w:rsidRPr="00873B6C">
        <w:t xml:space="preserve"> the </w:t>
      </w:r>
      <w:r w:rsidRPr="00873B6C">
        <w:rPr>
          <w:rFonts w:eastAsia="DengXian"/>
        </w:rPr>
        <w:t>5G-AN</w:t>
      </w:r>
      <w:r w:rsidRPr="00873B6C">
        <w:t xml:space="preserve"> should select a different AMF from the same AMF set and forward the initial NAS message. If no other AMF from the AMF set is available, then it can select an AMF (implementation dependent) from the same AMF Region as in clause 6.3.5.</w:t>
      </w:r>
      <w:r w:rsidRPr="00873B6C">
        <w:rPr>
          <w:lang w:eastAsia="zh-CN"/>
        </w:rPr>
        <w:t xml:space="preserve"> If backup AMF information of the corresponding failed AMF is available, the 5G-AN forwards the </w:t>
      </w:r>
      <w:r w:rsidRPr="00873B6C">
        <w:t>N2 message</w:t>
      </w:r>
      <w:r w:rsidRPr="00873B6C">
        <w:rPr>
          <w:lang w:eastAsia="zh-CN"/>
        </w:rPr>
        <w:t xml:space="preserve"> to the backup AMF.</w:t>
      </w:r>
    </w:p>
    <w:p w14:paraId="6BE7B84E" w14:textId="77777777" w:rsidR="00D40151" w:rsidRPr="00873B6C" w:rsidRDefault="00D40151" w:rsidP="00D40151">
      <w:pPr>
        <w:pStyle w:val="B1"/>
        <w:rPr>
          <w:rFonts w:eastAsia="DengXian"/>
        </w:rPr>
      </w:pPr>
      <w:r w:rsidRPr="00873B6C">
        <w:t>-</w:t>
      </w:r>
      <w:r w:rsidRPr="00873B6C">
        <w:tab/>
        <w:t>Peer CP NFs consider this AMF as unavailable while retaining the UE context.</w:t>
      </w:r>
    </w:p>
    <w:p w14:paraId="33966E3D" w14:textId="0DC721DA" w:rsidR="00D40151" w:rsidRPr="00873B6C" w:rsidRDefault="00D40151" w:rsidP="00D40151">
      <w:pPr>
        <w:pStyle w:val="B1"/>
      </w:pPr>
      <w:r w:rsidRPr="00873B6C">
        <w:t>-</w:t>
      </w:r>
      <w:r w:rsidRPr="00873B6C">
        <w:tab/>
        <w:t xml:space="preserve">For the UE(s) that were associated to the corresponding AMF, when the peer CP NF needs to initiate a transaction towards the AMF, </w:t>
      </w:r>
      <w:r w:rsidRPr="00873B6C">
        <w:rPr>
          <w:lang w:eastAsia="zh-CN"/>
        </w:rPr>
        <w:t xml:space="preserve">if backup AMF information of the corresponding failed AMF is not available, </w:t>
      </w:r>
      <w:r w:rsidRPr="00873B6C">
        <w:t>CP NF should select another AMF from the same AMF set and forward the transaction</w:t>
      </w:r>
      <w:r w:rsidRPr="00873B6C">
        <w:rPr>
          <w:lang w:eastAsia="zh-CN"/>
        </w:rPr>
        <w:t xml:space="preserve"> together with the old GUAMI</w:t>
      </w:r>
      <w:r w:rsidRPr="00873B6C">
        <w:t>. If neither the backup AMF nor any other AMF from the AMF set is available, then CP NF can select an AMF from the same AMF Region as in clause 6.3.5.</w:t>
      </w:r>
      <w:r w:rsidRPr="00873B6C">
        <w:rPr>
          <w:lang w:eastAsia="zh-CN"/>
        </w:rPr>
        <w:t xml:space="preserve"> If backup AMF information of the corresponding failed </w:t>
      </w:r>
      <w:r w:rsidRPr="00873B6C">
        <w:rPr>
          <w:lang w:eastAsia="zh-CN"/>
        </w:rPr>
        <w:lastRenderedPageBreak/>
        <w:t xml:space="preserve">AMF is available, the CP NF forwards </w:t>
      </w:r>
      <w:r w:rsidRPr="00873B6C">
        <w:t>transaction</w:t>
      </w:r>
      <w:r w:rsidRPr="00873B6C">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w:t>
      </w:r>
      <w:r w:rsidR="00472CD7" w:rsidRPr="00873B6C">
        <w:rPr>
          <w:lang w:eastAsia="zh-CN"/>
        </w:rPr>
        <w:t xml:space="preserve"> and</w:t>
      </w:r>
      <w:r w:rsidRPr="00873B6C">
        <w:rPr>
          <w:lang w:eastAsia="zh-CN"/>
        </w:rPr>
        <w:t xml:space="preserve"> use that Notification Address for subsequent communication.</w:t>
      </w:r>
    </w:p>
    <w:p w14:paraId="2D0FF533" w14:textId="77777777" w:rsidR="00D40151" w:rsidRPr="00873B6C" w:rsidRDefault="00D40151" w:rsidP="00D40151">
      <w:pPr>
        <w:pStyle w:val="B1"/>
      </w:pPr>
      <w:r w:rsidRPr="00873B6C">
        <w:t>-</w:t>
      </w:r>
      <w:r w:rsidRPr="00873B6C">
        <w:tab/>
        <w:t>When the 5G-AN or CP NFs need to select a different AMF from the same AMF set,</w:t>
      </w:r>
    </w:p>
    <w:p w14:paraId="583E739A" w14:textId="77777777" w:rsidR="00D40151" w:rsidRPr="00873B6C" w:rsidRDefault="00D40151" w:rsidP="00D40151">
      <w:pPr>
        <w:pStyle w:val="B2"/>
      </w:pPr>
      <w:r w:rsidRPr="00873B6C">
        <w:t>-</w:t>
      </w:r>
      <w:r w:rsidRPr="00873B6C">
        <w:tab/>
        <w:t>For deployments with UDSF, any AMF from the same AMF set can be selected.</w:t>
      </w:r>
    </w:p>
    <w:p w14:paraId="6EE5BF1F" w14:textId="77777777" w:rsidR="00D40151" w:rsidRPr="00873B6C" w:rsidRDefault="00D40151" w:rsidP="00D40151">
      <w:pPr>
        <w:pStyle w:val="B2"/>
      </w:pPr>
      <w:r w:rsidRPr="00873B6C">
        <w:t>-</w:t>
      </w:r>
      <w:r w:rsidRPr="00873B6C">
        <w:tab/>
        <w:t>For deployments without UDSF, the backup AMF is determined based on the GUAMI of the failed AMF.</w:t>
      </w:r>
    </w:p>
    <w:p w14:paraId="7EE202D7" w14:textId="77777777" w:rsidR="00D40151" w:rsidRPr="00873B6C" w:rsidRDefault="00D40151" w:rsidP="00D40151">
      <w:r w:rsidRPr="00873B6C">
        <w:t>Following actions should be taken by the newly selected AMF:</w:t>
      </w:r>
    </w:p>
    <w:p w14:paraId="3F93F89A" w14:textId="77777777" w:rsidR="00D40151" w:rsidRPr="00873B6C" w:rsidRDefault="00D40151" w:rsidP="00D40151">
      <w:pPr>
        <w:pStyle w:val="B1"/>
      </w:pPr>
      <w:r w:rsidRPr="00873B6C">
        <w:t>-</w:t>
      </w:r>
      <w:r w:rsidRPr="00873B6C">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873B6C" w:rsidRDefault="00D40151" w:rsidP="00D40151">
      <w:pPr>
        <w:pStyle w:val="B1"/>
        <w:rPr>
          <w:lang w:eastAsia="zh-CN"/>
        </w:rPr>
      </w:pPr>
      <w:r w:rsidRPr="00873B6C">
        <w:t>-</w:t>
      </w:r>
      <w:r w:rsidRPr="00873B6C">
        <w:tab/>
        <w:t xml:space="preserve">For deployments without UDSF, </w:t>
      </w:r>
      <w:r w:rsidRPr="00873B6C">
        <w:rPr>
          <w:lang w:eastAsia="zh-CN"/>
        </w:rPr>
        <w:t xml:space="preserve">backup AMF (the </w:t>
      </w:r>
      <w:r w:rsidRPr="00873B6C">
        <w:t>newly selected AMF)</w:t>
      </w:r>
      <w:r w:rsidRPr="00873B6C">
        <w:rPr>
          <w:lang w:eastAsia="zh-CN"/>
        </w:rPr>
        <w:t>, based on the failure detection of the old AMF,</w:t>
      </w:r>
      <w:r w:rsidRPr="00873B6C">
        <w:t xml:space="preserve"> instruct</w:t>
      </w:r>
      <w:r w:rsidRPr="00873B6C">
        <w:rPr>
          <w:lang w:eastAsia="zh-CN"/>
        </w:rPr>
        <w:t>s</w:t>
      </w:r>
      <w:r w:rsidRPr="00873B6C">
        <w:t xml:space="preserve"> peer CP NFs and 5G-AN </w:t>
      </w:r>
      <w:r w:rsidRPr="00873B6C">
        <w:rPr>
          <w:lang w:eastAsia="zh-CN"/>
        </w:rPr>
        <w:t xml:space="preserve">that the UE contexts corresponding to the GUAMI of the failed AMF </w:t>
      </w:r>
      <w:r w:rsidRPr="00873B6C">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873B6C" w:rsidRDefault="00D40151" w:rsidP="00D40151">
      <w:pPr>
        <w:pStyle w:val="B1"/>
      </w:pPr>
      <w:r w:rsidRPr="00873B6C">
        <w:t>-</w:t>
      </w:r>
      <w:r w:rsidRPr="00873B6C">
        <w:tab/>
        <w:t xml:space="preserve">When there is a transaction with the UE, the new AMF </w:t>
      </w:r>
      <w:r w:rsidRPr="00873B6C">
        <w:rPr>
          <w:lang w:eastAsia="zh-CN"/>
        </w:rPr>
        <w:t xml:space="preserve">updates the peer NFs (that subscribed to receive AMF unavailability notification from old AMF) </w:t>
      </w:r>
      <w:r w:rsidRPr="00873B6C">
        <w:t xml:space="preserve">with the </w:t>
      </w:r>
      <w:r w:rsidRPr="00873B6C">
        <w:rPr>
          <w:lang w:eastAsia="zh-CN"/>
        </w:rPr>
        <w:t>new</w:t>
      </w:r>
      <w:r w:rsidRPr="00873B6C">
        <w:t xml:space="preserve"> AMF information</w:t>
      </w:r>
      <w:r w:rsidRPr="00873B6C">
        <w:rPr>
          <w:lang w:eastAsia="zh-CN"/>
        </w:rPr>
        <w:t>.</w:t>
      </w:r>
    </w:p>
    <w:p w14:paraId="17CC6A12" w14:textId="77777777" w:rsidR="00D40151" w:rsidRPr="00873B6C" w:rsidRDefault="00D40151" w:rsidP="00D40151">
      <w:pPr>
        <w:pStyle w:val="B1"/>
      </w:pPr>
      <w:r w:rsidRPr="00873B6C">
        <w:t>-</w:t>
      </w:r>
      <w:r w:rsidRPr="00873B6C">
        <w:tab/>
        <w:t xml:space="preserve">If the new AMF is aware of a different AMF serving the UE (by implementation specific means) it redirects the </w:t>
      </w:r>
      <w:r w:rsidRPr="00873B6C">
        <w:rPr>
          <w:lang w:eastAsia="zh-CN"/>
        </w:rPr>
        <w:t>uplink N2 signalling</w:t>
      </w:r>
      <w:r w:rsidRPr="00873B6C">
        <w:t xml:space="preserve"> to that AMF</w:t>
      </w:r>
      <w:r w:rsidRPr="00873B6C">
        <w:rPr>
          <w:lang w:eastAsia="zh-CN"/>
        </w:rPr>
        <w:t>, or reject the transaction from the peer CP NFs with a cause to indicate that new AMF has been selected. The peer CP NFs may wait for the update from the new AMF and resend the transaction to the new AMF</w:t>
      </w:r>
      <w:r w:rsidRPr="00873B6C">
        <w:t>.</w:t>
      </w:r>
    </w:p>
    <w:p w14:paraId="180DE578" w14:textId="77777777" w:rsidR="00D40151" w:rsidRPr="00873B6C" w:rsidRDefault="00D40151" w:rsidP="00D40151">
      <w:pPr>
        <w:pStyle w:val="NO"/>
      </w:pPr>
      <w:r w:rsidRPr="00873B6C">
        <w:t>NOTE 3:</w:t>
      </w:r>
      <w:r w:rsidRPr="00873B6C">
        <w:tab/>
        <w:t xml:space="preserve">This </w:t>
      </w:r>
      <w:r w:rsidRPr="00873B6C">
        <w:rPr>
          <w:lang w:eastAsia="zh-CN"/>
        </w:rPr>
        <w:t xml:space="preserve">bullet above </w:t>
      </w:r>
      <w:r w:rsidRPr="00873B6C">
        <w:t>addresses situations where 5G-AN node selects an AMF and other CP NFs select an AMF for the UE concurrently. It also addresses the situation where CP NFs select an AMF for the UE concurrently.</w:t>
      </w:r>
    </w:p>
    <w:p w14:paraId="6828F785" w14:textId="77777777" w:rsidR="00D40151" w:rsidRPr="00873B6C" w:rsidRDefault="00D40151" w:rsidP="00D40151">
      <w:pPr>
        <w:pStyle w:val="NO"/>
      </w:pPr>
      <w:r w:rsidRPr="00873B6C">
        <w:t>NOTE 4:</w:t>
      </w:r>
      <w:r w:rsidRPr="00873B6C">
        <w:tab/>
        <w:t>It is assumed that the UE contexts from the old AMF include all event subscriptions with peer CP NFs.</w:t>
      </w:r>
    </w:p>
    <w:p w14:paraId="06AC9BBC" w14:textId="77777777" w:rsidR="00D40151" w:rsidRPr="00873B6C" w:rsidRDefault="00D40151" w:rsidP="00D40151">
      <w:pPr>
        <w:pStyle w:val="B1"/>
      </w:pPr>
      <w:r w:rsidRPr="00873B6C">
        <w:t>-</w:t>
      </w:r>
      <w:r w:rsidRPr="00873B6C">
        <w:tab/>
        <w:t xml:space="preserve">If </w:t>
      </w:r>
      <w:r w:rsidRPr="00873B6C">
        <w:rPr>
          <w:lang w:eastAsia="zh-CN"/>
        </w:rPr>
        <w:t xml:space="preserve">the UE is in CM-IDLE state and </w:t>
      </w:r>
      <w:r w:rsidRPr="00873B6C">
        <w:t xml:space="preserve">the new AMF does not have access to the UE context, </w:t>
      </w:r>
      <w:r w:rsidRPr="00873B6C">
        <w:rPr>
          <w:lang w:eastAsia="zh-CN"/>
        </w:rPr>
        <w:t>the new AMF selects one available AMF from the old AMF set as described in clause </w:t>
      </w:r>
      <w:r w:rsidRPr="00873B6C">
        <w:t>6.3.5</w:t>
      </w:r>
      <w:r w:rsidRPr="00873B6C">
        <w:rPr>
          <w:lang w:eastAsia="zh-CN"/>
        </w:rPr>
        <w:t>. The selected AMF retrieves the UE context from the UDSF and provides the UE context to the new AMF. If the new AMF doesn't receive the UE context</w:t>
      </w:r>
      <w:r w:rsidRPr="00873B6C">
        <w:t xml:space="preserve"> then the AMF may force the UE to </w:t>
      </w:r>
      <w:r w:rsidRPr="00873B6C">
        <w:rPr>
          <w:lang w:eastAsia="zh-CN"/>
        </w:rPr>
        <w:t>perform Initial Registration</w:t>
      </w:r>
      <w:r w:rsidRPr="00873B6C">
        <w:t>.</w:t>
      </w:r>
    </w:p>
    <w:p w14:paraId="26DF3CC9" w14:textId="77777777" w:rsidR="00D40151" w:rsidRPr="00873B6C" w:rsidRDefault="00D40151" w:rsidP="00D40151">
      <w:pPr>
        <w:pStyle w:val="B1"/>
      </w:pPr>
      <w:r w:rsidRPr="00873B6C">
        <w:t>-</w:t>
      </w:r>
      <w:r w:rsidRPr="00873B6C">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873B6C" w:rsidRDefault="00D40151" w:rsidP="00D40151">
      <w:pPr>
        <w:pStyle w:val="NO"/>
      </w:pPr>
      <w:r w:rsidRPr="00873B6C">
        <w:t>NOTE 5:</w:t>
      </w:r>
      <w:r w:rsidRPr="00873B6C">
        <w:tab/>
        <w:t>The above N2 TNL association selection and AMF management is applied to the selected PLMN.</w:t>
      </w:r>
    </w:p>
    <w:p w14:paraId="71C1CDE3" w14:textId="77777777" w:rsidR="00D40151" w:rsidRPr="00873B6C" w:rsidRDefault="00D40151" w:rsidP="00D40151">
      <w:pPr>
        <w:pStyle w:val="Heading3"/>
      </w:pPr>
      <w:bookmarkStart w:id="3688" w:name="_CR5_21_3"/>
      <w:bookmarkStart w:id="3689" w:name="_Toc20150034"/>
      <w:bookmarkStart w:id="3690" w:name="_Toc27846833"/>
      <w:bookmarkStart w:id="3691" w:name="_Toc36187964"/>
      <w:bookmarkStart w:id="3692" w:name="_Toc45183868"/>
      <w:bookmarkStart w:id="3693" w:name="_Toc47342710"/>
      <w:bookmarkStart w:id="3694" w:name="_Toc51769411"/>
      <w:bookmarkStart w:id="3695" w:name="_Toc201157432"/>
      <w:bookmarkEnd w:id="3688"/>
      <w:r w:rsidRPr="00873B6C">
        <w:t>5.21.3</w:t>
      </w:r>
      <w:r w:rsidRPr="00873B6C">
        <w:tab/>
        <w:t>Network Reliability support with Sets</w:t>
      </w:r>
      <w:bookmarkEnd w:id="3689"/>
      <w:bookmarkEnd w:id="3690"/>
      <w:bookmarkEnd w:id="3691"/>
      <w:bookmarkEnd w:id="3692"/>
      <w:bookmarkEnd w:id="3693"/>
      <w:bookmarkEnd w:id="3694"/>
      <w:bookmarkEnd w:id="3695"/>
    </w:p>
    <w:p w14:paraId="33046B63" w14:textId="77777777" w:rsidR="00D40151" w:rsidRPr="00873B6C" w:rsidRDefault="00D40151" w:rsidP="00D40151">
      <w:pPr>
        <w:pStyle w:val="Heading4"/>
      </w:pPr>
      <w:bookmarkStart w:id="3696" w:name="_CR5_21_3_1"/>
      <w:bookmarkStart w:id="3697" w:name="_Toc20150035"/>
      <w:bookmarkStart w:id="3698" w:name="_Toc27846834"/>
      <w:bookmarkStart w:id="3699" w:name="_Toc36187965"/>
      <w:bookmarkStart w:id="3700" w:name="_Toc45183869"/>
      <w:bookmarkStart w:id="3701" w:name="_Toc47342711"/>
      <w:bookmarkStart w:id="3702" w:name="_Toc51769412"/>
      <w:bookmarkStart w:id="3703" w:name="_Toc201157433"/>
      <w:bookmarkEnd w:id="3696"/>
      <w:r w:rsidRPr="00873B6C">
        <w:t>5.21.3.1</w:t>
      </w:r>
      <w:r w:rsidRPr="00873B6C">
        <w:tab/>
        <w:t>General</w:t>
      </w:r>
      <w:bookmarkEnd w:id="3697"/>
      <w:bookmarkEnd w:id="3698"/>
      <w:bookmarkEnd w:id="3699"/>
      <w:bookmarkEnd w:id="3700"/>
      <w:bookmarkEnd w:id="3701"/>
      <w:bookmarkEnd w:id="3702"/>
      <w:bookmarkEnd w:id="3703"/>
    </w:p>
    <w:p w14:paraId="4B987A6C" w14:textId="11D2223A" w:rsidR="00D40151" w:rsidRPr="00873B6C" w:rsidRDefault="00D40151" w:rsidP="00D40151">
      <w:r w:rsidRPr="00873B6C">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972E70" w:rsidRPr="00873B6C">
        <w:t>TS 23.502 [</w:t>
      </w:r>
      <w:r w:rsidRPr="00873B6C">
        <w:t>3].</w:t>
      </w:r>
    </w:p>
    <w:p w14:paraId="339D69AF" w14:textId="77777777" w:rsidR="00D40151" w:rsidRPr="00873B6C" w:rsidRDefault="00D40151" w:rsidP="00D40151">
      <w:pPr>
        <w:pStyle w:val="NO"/>
      </w:pPr>
      <w:r w:rsidRPr="00873B6C">
        <w:t>NOTE:</w:t>
      </w:r>
      <w:r w:rsidRPr="00873B6C">
        <w:tab/>
        <w:t>A NF can be replaced by an alternative NF within the same NF Set in the case of scenarios such as failure, load balancing, load re-balancing.</w:t>
      </w:r>
    </w:p>
    <w:p w14:paraId="38EC405B" w14:textId="77777777" w:rsidR="00D40151" w:rsidRPr="00873B6C" w:rsidRDefault="00D40151" w:rsidP="00D40151">
      <w:r w:rsidRPr="00873B6C">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873B6C" w:rsidRDefault="00D40151" w:rsidP="00D40151">
      <w:pPr>
        <w:pStyle w:val="Heading4"/>
      </w:pPr>
      <w:bookmarkStart w:id="3704" w:name="_CR5_21_3_2"/>
      <w:bookmarkStart w:id="3705" w:name="_Toc20150036"/>
      <w:bookmarkStart w:id="3706" w:name="_Toc27846835"/>
      <w:bookmarkStart w:id="3707" w:name="_Toc36187966"/>
      <w:bookmarkStart w:id="3708" w:name="_Toc45183870"/>
      <w:bookmarkStart w:id="3709" w:name="_Toc47342712"/>
      <w:bookmarkStart w:id="3710" w:name="_Toc51769413"/>
      <w:bookmarkStart w:id="3711" w:name="_Toc201157434"/>
      <w:bookmarkEnd w:id="3704"/>
      <w:r w:rsidRPr="00873B6C">
        <w:lastRenderedPageBreak/>
        <w:t>5.21.3.2</w:t>
      </w:r>
      <w:r w:rsidRPr="00873B6C">
        <w:tab/>
        <w:t>NF Set and NF Service Set</w:t>
      </w:r>
      <w:bookmarkEnd w:id="3705"/>
      <w:bookmarkEnd w:id="3706"/>
      <w:bookmarkEnd w:id="3707"/>
      <w:bookmarkEnd w:id="3708"/>
      <w:bookmarkEnd w:id="3709"/>
      <w:bookmarkEnd w:id="3710"/>
      <w:bookmarkEnd w:id="3711"/>
    </w:p>
    <w:p w14:paraId="3F30F283" w14:textId="2C624F1A" w:rsidR="00D40151" w:rsidRPr="00873B6C" w:rsidRDefault="00D40151" w:rsidP="00D40151">
      <w:r w:rsidRPr="00873B6C">
        <w:t>Equivalent Control Plane NFs may be grouped into NF Sets, e.g. several SMF instances are grouped into an SMF Set. NFs within a NF Set are interchangeable because they share the same context data</w:t>
      </w:r>
      <w:r w:rsidR="00472CD7" w:rsidRPr="00873B6C">
        <w:t xml:space="preserve"> and</w:t>
      </w:r>
      <w:r w:rsidRPr="00873B6C">
        <w:t xml:space="preserve"> may be deployed in different locations, e.g. different data </w:t>
      </w:r>
      <w:r w:rsidR="0047544D" w:rsidRPr="00873B6C">
        <w:t>centres</w:t>
      </w:r>
      <w:r w:rsidRPr="00873B6C">
        <w:t>.</w:t>
      </w:r>
    </w:p>
    <w:p w14:paraId="53D45B2A" w14:textId="77777777" w:rsidR="00D40151" w:rsidRPr="00873B6C" w:rsidRDefault="00D40151" w:rsidP="00D40151">
      <w:r w:rsidRPr="00873B6C">
        <w:t>In the case of SMF, multiple instances of SMFs within an SMF Set need to be connected to the same UPF:</w:t>
      </w:r>
    </w:p>
    <w:p w14:paraId="14BA305A" w14:textId="77777777" w:rsidR="00D40151" w:rsidRPr="00873B6C" w:rsidRDefault="00D40151" w:rsidP="00D40151">
      <w:pPr>
        <w:pStyle w:val="B1"/>
      </w:pPr>
      <w:r w:rsidRPr="00873B6C">
        <w:t>-</w:t>
      </w:r>
      <w:r w:rsidRPr="00873B6C">
        <w:tab/>
        <w:t>If the N4 association is established between a SMF instance and an UPF, each N4 association is only managed by the related SMF instance.</w:t>
      </w:r>
    </w:p>
    <w:p w14:paraId="45DDBB38" w14:textId="77777777" w:rsidR="00D40151" w:rsidRPr="00873B6C" w:rsidRDefault="00D40151" w:rsidP="00D40151">
      <w:pPr>
        <w:pStyle w:val="B1"/>
      </w:pPr>
      <w:r w:rsidRPr="00873B6C">
        <w:t>-</w:t>
      </w:r>
      <w:r w:rsidRPr="00873B6C">
        <w:tab/>
        <w:t>If only one N4 association is established between a SMF Set and an UPF, any SMF in the SMF Set should be able to manage the N4 association with the UPF.</w:t>
      </w:r>
    </w:p>
    <w:p w14:paraId="66643AF8" w14:textId="77777777" w:rsidR="00D40151" w:rsidRPr="00873B6C" w:rsidRDefault="00D40151" w:rsidP="00D40151">
      <w:r w:rsidRPr="00873B6C">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873B6C" w:rsidRDefault="00D40151" w:rsidP="00D40151">
      <w:r w:rsidRPr="00873B6C">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873B6C" w:rsidRDefault="00D40151" w:rsidP="00D40151">
      <w:pPr>
        <w:pStyle w:val="NO"/>
      </w:pPr>
      <w:r w:rsidRPr="00873B6C">
        <w:t>NOTE:</w:t>
      </w:r>
      <w:r w:rsidRPr="00873B6C">
        <w:tab/>
        <w:t>The actual mapping of instances to a given Set is up to deployment.</w:t>
      </w:r>
    </w:p>
    <w:p w14:paraId="6A057AD3" w14:textId="77777777" w:rsidR="00D40151" w:rsidRPr="00873B6C" w:rsidRDefault="00D40151" w:rsidP="00D40151">
      <w:pPr>
        <w:pStyle w:val="Heading4"/>
      </w:pPr>
      <w:bookmarkStart w:id="3712" w:name="_CR5_21_3_3"/>
      <w:bookmarkStart w:id="3713" w:name="_Toc20150037"/>
      <w:bookmarkStart w:id="3714" w:name="_Toc27846836"/>
      <w:bookmarkStart w:id="3715" w:name="_Toc36187967"/>
      <w:bookmarkStart w:id="3716" w:name="_Toc45183871"/>
      <w:bookmarkStart w:id="3717" w:name="_Toc47342713"/>
      <w:bookmarkStart w:id="3718" w:name="_Toc51769414"/>
      <w:bookmarkStart w:id="3719" w:name="_Toc201157435"/>
      <w:bookmarkEnd w:id="3712"/>
      <w:r w:rsidRPr="00873B6C">
        <w:t>5.21.3.3</w:t>
      </w:r>
      <w:r w:rsidRPr="00873B6C">
        <w:tab/>
        <w:t>Reliability of NF instances within the same NF Set</w:t>
      </w:r>
      <w:bookmarkEnd w:id="3713"/>
      <w:bookmarkEnd w:id="3714"/>
      <w:bookmarkEnd w:id="3715"/>
      <w:bookmarkEnd w:id="3716"/>
      <w:bookmarkEnd w:id="3717"/>
      <w:bookmarkEnd w:id="3718"/>
      <w:bookmarkEnd w:id="3719"/>
    </w:p>
    <w:p w14:paraId="6F45E6F6" w14:textId="77777777" w:rsidR="00D40151" w:rsidRPr="00873B6C" w:rsidRDefault="00D40151" w:rsidP="00D40151">
      <w:r w:rsidRPr="00873B6C">
        <w:t>The NF producer instance is the NF instance which host the NF Service Producer. When the NF producer instance is not available, another NF producer instance within the same NF Set is selected.</w:t>
      </w:r>
    </w:p>
    <w:p w14:paraId="67BA644D" w14:textId="77777777" w:rsidR="00D40151" w:rsidRPr="00873B6C" w:rsidRDefault="00D40151" w:rsidP="00D40151">
      <w:r w:rsidRPr="00873B6C">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873B6C" w:rsidRDefault="00D40151" w:rsidP="00D40151">
      <w:r w:rsidRPr="00873B6C">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873B6C" w:rsidRDefault="00D40151" w:rsidP="00D40151">
      <w:pPr>
        <w:pStyle w:val="NO"/>
      </w:pPr>
      <w:r w:rsidRPr="00873B6C">
        <w:t>NOTE:</w:t>
      </w:r>
      <w:r w:rsidRPr="00873B6C">
        <w:tab/>
        <w:t>It is up to the implementation on how the SCP knows a NF producer instance is not available anymore.</w:t>
      </w:r>
    </w:p>
    <w:p w14:paraId="1ED3D5B8" w14:textId="77777777" w:rsidR="00D40151" w:rsidRPr="00873B6C" w:rsidRDefault="00D40151" w:rsidP="00D40151">
      <w:pPr>
        <w:pStyle w:val="Heading4"/>
      </w:pPr>
      <w:bookmarkStart w:id="3720" w:name="_CR5_21_3_4"/>
      <w:bookmarkStart w:id="3721" w:name="_Toc20150038"/>
      <w:bookmarkStart w:id="3722" w:name="_Toc27846837"/>
      <w:bookmarkStart w:id="3723" w:name="_Toc36187968"/>
      <w:bookmarkStart w:id="3724" w:name="_Toc45183872"/>
      <w:bookmarkStart w:id="3725" w:name="_Toc47342714"/>
      <w:bookmarkStart w:id="3726" w:name="_Toc51769415"/>
      <w:bookmarkStart w:id="3727" w:name="_Toc201157436"/>
      <w:bookmarkEnd w:id="3720"/>
      <w:r w:rsidRPr="00873B6C">
        <w:t>5.21.3.4</w:t>
      </w:r>
      <w:r w:rsidRPr="00873B6C">
        <w:tab/>
        <w:t>Reliability of NF Services</w:t>
      </w:r>
      <w:bookmarkEnd w:id="3721"/>
      <w:bookmarkEnd w:id="3722"/>
      <w:bookmarkEnd w:id="3723"/>
      <w:bookmarkEnd w:id="3724"/>
      <w:bookmarkEnd w:id="3725"/>
      <w:bookmarkEnd w:id="3726"/>
      <w:bookmarkEnd w:id="3727"/>
    </w:p>
    <w:p w14:paraId="3FBAA43F" w14:textId="77777777" w:rsidR="00D40151" w:rsidRPr="00873B6C" w:rsidRDefault="00D40151" w:rsidP="00D40151">
      <w:r w:rsidRPr="00873B6C">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873B6C" w:rsidRDefault="00D40151" w:rsidP="00D40151">
      <w:pPr>
        <w:pStyle w:val="NO"/>
      </w:pPr>
      <w:r w:rsidRPr="00873B6C">
        <w:t>NOTE:</w:t>
      </w:r>
      <w:r w:rsidRPr="00873B6C">
        <w:tab/>
        <w:t>The NF Producer instance can change the NF Service instance in the response to the service request.</w:t>
      </w:r>
    </w:p>
    <w:p w14:paraId="73D080BD" w14:textId="77777777" w:rsidR="00D40151" w:rsidRPr="00873B6C" w:rsidRDefault="00D40151" w:rsidP="00D40151">
      <w:r w:rsidRPr="00873B6C">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873B6C" w:rsidRDefault="00D40151" w:rsidP="00D40151">
      <w:pPr>
        <w:pStyle w:val="Heading3"/>
      </w:pPr>
      <w:bookmarkStart w:id="3728" w:name="_CR5_21_4"/>
      <w:bookmarkStart w:id="3729" w:name="_Toc20150039"/>
      <w:bookmarkStart w:id="3730" w:name="_Toc27846838"/>
      <w:bookmarkStart w:id="3731" w:name="_Toc36187969"/>
      <w:bookmarkStart w:id="3732" w:name="_Toc45183873"/>
      <w:bookmarkStart w:id="3733" w:name="_Toc47342715"/>
      <w:bookmarkStart w:id="3734" w:name="_Toc51769416"/>
      <w:bookmarkStart w:id="3735" w:name="_Toc201157437"/>
      <w:bookmarkEnd w:id="3728"/>
      <w:r w:rsidRPr="00873B6C">
        <w:t>5.21.4</w:t>
      </w:r>
      <w:r w:rsidRPr="00873B6C">
        <w:tab/>
        <w:t>Network Function/NF Service Context Transfer</w:t>
      </w:r>
      <w:bookmarkEnd w:id="3729"/>
      <w:bookmarkEnd w:id="3730"/>
      <w:bookmarkEnd w:id="3731"/>
      <w:bookmarkEnd w:id="3732"/>
      <w:bookmarkEnd w:id="3733"/>
      <w:bookmarkEnd w:id="3734"/>
      <w:bookmarkEnd w:id="3735"/>
    </w:p>
    <w:p w14:paraId="74866896" w14:textId="77777777" w:rsidR="00D40151" w:rsidRPr="00873B6C" w:rsidRDefault="00D40151" w:rsidP="00D40151">
      <w:pPr>
        <w:pStyle w:val="Heading4"/>
      </w:pPr>
      <w:bookmarkStart w:id="3736" w:name="_CR5_21_4_1"/>
      <w:bookmarkStart w:id="3737" w:name="_Toc20150040"/>
      <w:bookmarkStart w:id="3738" w:name="_Toc27846839"/>
      <w:bookmarkStart w:id="3739" w:name="_Toc36187970"/>
      <w:bookmarkStart w:id="3740" w:name="_Toc45183874"/>
      <w:bookmarkStart w:id="3741" w:name="_Toc47342716"/>
      <w:bookmarkStart w:id="3742" w:name="_Toc51769417"/>
      <w:bookmarkStart w:id="3743" w:name="_Toc201157438"/>
      <w:bookmarkEnd w:id="3736"/>
      <w:r w:rsidRPr="00873B6C">
        <w:t>5.21.4.1</w:t>
      </w:r>
      <w:r w:rsidRPr="00873B6C">
        <w:tab/>
        <w:t>General</w:t>
      </w:r>
      <w:bookmarkEnd w:id="3737"/>
      <w:bookmarkEnd w:id="3738"/>
      <w:bookmarkEnd w:id="3739"/>
      <w:bookmarkEnd w:id="3740"/>
      <w:bookmarkEnd w:id="3741"/>
      <w:bookmarkEnd w:id="3742"/>
      <w:bookmarkEnd w:id="3743"/>
    </w:p>
    <w:p w14:paraId="63673CA0" w14:textId="262ED113" w:rsidR="00D40151" w:rsidRPr="00873B6C" w:rsidRDefault="00D40151" w:rsidP="00D40151">
      <w:pPr>
        <w:rPr>
          <w:lang w:eastAsia="x-none"/>
        </w:rPr>
      </w:pPr>
      <w:r w:rsidRPr="00873B6C">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972E70" w:rsidRPr="00873B6C">
        <w:rPr>
          <w:lang w:eastAsia="x-none"/>
        </w:rPr>
        <w:t>TS 23.502 [</w:t>
      </w:r>
      <w:r w:rsidRPr="00873B6C">
        <w:rPr>
          <w:lang w:eastAsia="x-none"/>
        </w:rPr>
        <w:t>3].</w:t>
      </w:r>
    </w:p>
    <w:p w14:paraId="0A8DA2F7" w14:textId="77777777" w:rsidR="00D40151" w:rsidRPr="00873B6C" w:rsidRDefault="00D40151" w:rsidP="00D40151">
      <w:r w:rsidRPr="00873B6C">
        <w:lastRenderedPageBreak/>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873B6C" w:rsidRDefault="00D40151" w:rsidP="00D40151">
      <w:pPr>
        <w:pStyle w:val="Heading2"/>
      </w:pPr>
      <w:bookmarkStart w:id="3744" w:name="_CR5_22"/>
      <w:bookmarkStart w:id="3745" w:name="_Toc20150041"/>
      <w:bookmarkStart w:id="3746" w:name="_Toc27846840"/>
      <w:bookmarkStart w:id="3747" w:name="_Toc36187971"/>
      <w:bookmarkStart w:id="3748" w:name="_Toc45183875"/>
      <w:bookmarkStart w:id="3749" w:name="_Toc47342717"/>
      <w:bookmarkStart w:id="3750" w:name="_Toc51769418"/>
      <w:bookmarkStart w:id="3751" w:name="_Toc201157439"/>
      <w:bookmarkEnd w:id="3744"/>
      <w:r w:rsidRPr="00873B6C">
        <w:t>5.22</w:t>
      </w:r>
      <w:r w:rsidRPr="00873B6C">
        <w:tab/>
        <w:t>System Enablers for priority mechanism</w:t>
      </w:r>
      <w:bookmarkEnd w:id="3745"/>
      <w:bookmarkEnd w:id="3746"/>
      <w:bookmarkEnd w:id="3747"/>
      <w:bookmarkEnd w:id="3748"/>
      <w:bookmarkEnd w:id="3749"/>
      <w:bookmarkEnd w:id="3750"/>
      <w:bookmarkEnd w:id="3751"/>
    </w:p>
    <w:p w14:paraId="156A0C70" w14:textId="77777777" w:rsidR="00D40151" w:rsidRPr="00873B6C" w:rsidRDefault="00D40151" w:rsidP="00D40151">
      <w:pPr>
        <w:pStyle w:val="Heading3"/>
      </w:pPr>
      <w:bookmarkStart w:id="3752" w:name="_CR5_22_1"/>
      <w:bookmarkStart w:id="3753" w:name="_Toc20150042"/>
      <w:bookmarkStart w:id="3754" w:name="_Toc27846841"/>
      <w:bookmarkStart w:id="3755" w:name="_Toc36187972"/>
      <w:bookmarkStart w:id="3756" w:name="_Toc45183876"/>
      <w:bookmarkStart w:id="3757" w:name="_Toc47342718"/>
      <w:bookmarkStart w:id="3758" w:name="_Toc51769419"/>
      <w:bookmarkStart w:id="3759" w:name="_Toc201157440"/>
      <w:bookmarkEnd w:id="3752"/>
      <w:r w:rsidRPr="00873B6C">
        <w:t>5.22.1</w:t>
      </w:r>
      <w:r w:rsidRPr="00873B6C">
        <w:tab/>
        <w:t>General</w:t>
      </w:r>
      <w:bookmarkEnd w:id="3753"/>
      <w:bookmarkEnd w:id="3754"/>
      <w:bookmarkEnd w:id="3755"/>
      <w:bookmarkEnd w:id="3756"/>
      <w:bookmarkEnd w:id="3757"/>
      <w:bookmarkEnd w:id="3758"/>
      <w:bookmarkEnd w:id="3759"/>
    </w:p>
    <w:p w14:paraId="206BDB9D" w14:textId="3F59BFD6" w:rsidR="00D40151" w:rsidRPr="00873B6C" w:rsidRDefault="00D40151" w:rsidP="00D40151">
      <w:r w:rsidRPr="00873B6C">
        <w:t>The 5GS and the 5G QoS model allow classification and differentiation of specific services such as listed in clause 5.16, based on subscription-related and invocation-related priority mechanisms. These mechanisms provide abilities such as invoking, modifying, maintaining</w:t>
      </w:r>
      <w:r w:rsidR="00472CD7" w:rsidRPr="00873B6C">
        <w:t xml:space="preserve"> and</w:t>
      </w:r>
      <w:r w:rsidRPr="00873B6C">
        <w:t xml:space="preserve"> releasing QoS Flows with priority</w:t>
      </w:r>
      <w:r w:rsidR="00472CD7" w:rsidRPr="00873B6C">
        <w:t xml:space="preserve"> and</w:t>
      </w:r>
      <w:r w:rsidRPr="00873B6C">
        <w:t xml:space="preserve"> delivering QoS Flow packets according to the QoS characteristics under network congestion conditions.</w:t>
      </w:r>
    </w:p>
    <w:p w14:paraId="64D4CEFB" w14:textId="77777777" w:rsidR="00D40151" w:rsidRPr="00873B6C" w:rsidRDefault="00D40151" w:rsidP="00D40151">
      <w:pPr>
        <w:rPr>
          <w:lang w:eastAsia="zh-CN"/>
        </w:rPr>
      </w:pPr>
      <w:r w:rsidRPr="00873B6C">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873B6C" w:rsidRDefault="00D40151" w:rsidP="00D40151">
      <w:r w:rsidRPr="00873B6C">
        <w:rPr>
          <w:lang w:eastAsia="zh-CN"/>
        </w:rPr>
        <w:t>I</w:t>
      </w:r>
      <w:r w:rsidRPr="00873B6C">
        <w:t>nvocation-related Priority Mechanisms include the ability for the service layer to request/invoke the activation of prioritized QoS Flows through an interaction over Rx/N5 and packet detection in the UPF.</w:t>
      </w:r>
    </w:p>
    <w:p w14:paraId="737DADBF" w14:textId="77777777" w:rsidR="00D40151" w:rsidRPr="00873B6C" w:rsidRDefault="00D40151" w:rsidP="00D40151">
      <w:r w:rsidRPr="00873B6C">
        <w:t>QoS Mechanisms applied to established QoS Flows include the ability to fulfil the QoS characteristics of QoS Flows through preservation of differentiated treatment for prioritized QoS Flow and resource distribution prioritization.</w:t>
      </w:r>
    </w:p>
    <w:p w14:paraId="377F61F6" w14:textId="78BB7FA9" w:rsidR="00D40151" w:rsidRPr="00873B6C" w:rsidRDefault="00D40151" w:rsidP="00D40151">
      <w:r w:rsidRPr="00873B6C">
        <w:t xml:space="preserve">Messages associated with priority services that are exchanged over service-based interfaces may include a Message Priority header to indicate priority information, as specified in </w:t>
      </w:r>
      <w:r w:rsidR="00972E70" w:rsidRPr="00873B6C">
        <w:t>TS 23.502 [</w:t>
      </w:r>
      <w:r w:rsidRPr="00873B6C">
        <w:t xml:space="preserve">3] and </w:t>
      </w:r>
      <w:r w:rsidR="00972E70" w:rsidRPr="00873B6C">
        <w:t>TS 29.500 [</w:t>
      </w:r>
      <w:r w:rsidRPr="00873B6C">
        <w:t>49].</w:t>
      </w:r>
    </w:p>
    <w:p w14:paraId="2CDDF1A9" w14:textId="27576A37" w:rsidR="00D40151" w:rsidRPr="00873B6C" w:rsidRDefault="00D40151" w:rsidP="00D40151">
      <w:r w:rsidRPr="00873B6C">
        <w:t>In addition, the separation of concerns between the service classification provided by the core network through the association of Service Data Flows to QoS</w:t>
      </w:r>
      <w:r w:rsidR="00472CD7" w:rsidRPr="00873B6C">
        <w:t xml:space="preserve"> and</w:t>
      </w:r>
      <w:r w:rsidRPr="00873B6C">
        <w:t xml:space="preserve"> the enforcing of QoS differentiation in (R)AN through the association of QoS Flows to Data Radio bearers, supports the prioritization of QoS Flows when a limitation of the available data radio bearers occurs.</w:t>
      </w:r>
    </w:p>
    <w:p w14:paraId="598CAB52" w14:textId="654BB0FD" w:rsidR="00D40151" w:rsidRPr="00873B6C" w:rsidRDefault="00D40151" w:rsidP="00D40151">
      <w:r w:rsidRPr="00873B6C">
        <w:t xml:space="preserve">In addition, it also includes the ability for the service layer to provide instructions on how to perform pre-emption of media flows with the same priority assigned through an interaction over Rx as defined in </w:t>
      </w:r>
      <w:r w:rsidR="00972E70" w:rsidRPr="00873B6C">
        <w:t>TS 23.503 [</w:t>
      </w:r>
      <w:r w:rsidRPr="00873B6C">
        <w:t>45].</w:t>
      </w:r>
    </w:p>
    <w:p w14:paraId="04955B35" w14:textId="77777777" w:rsidR="00D40151" w:rsidRPr="00873B6C" w:rsidRDefault="00D40151" w:rsidP="00D40151">
      <w:pPr>
        <w:pStyle w:val="Heading3"/>
      </w:pPr>
      <w:bookmarkStart w:id="3760" w:name="_CR5_22_2"/>
      <w:bookmarkStart w:id="3761" w:name="_Toc20150043"/>
      <w:bookmarkStart w:id="3762" w:name="_Toc27846842"/>
      <w:bookmarkStart w:id="3763" w:name="_Toc36187973"/>
      <w:bookmarkStart w:id="3764" w:name="_Toc45183877"/>
      <w:bookmarkStart w:id="3765" w:name="_Toc47342719"/>
      <w:bookmarkStart w:id="3766" w:name="_Toc51769420"/>
      <w:bookmarkStart w:id="3767" w:name="_Toc201157441"/>
      <w:bookmarkEnd w:id="3760"/>
      <w:r w:rsidRPr="00873B6C">
        <w:t>5.22.2</w:t>
      </w:r>
      <w:r w:rsidRPr="00873B6C">
        <w:tab/>
      </w:r>
      <w:r w:rsidRPr="00873B6C">
        <w:rPr>
          <w:lang w:eastAsia="zh-CN"/>
        </w:rPr>
        <w:t>Subscription-related Priority Mechanisms</w:t>
      </w:r>
      <w:bookmarkEnd w:id="3761"/>
      <w:bookmarkEnd w:id="3762"/>
      <w:bookmarkEnd w:id="3763"/>
      <w:bookmarkEnd w:id="3764"/>
      <w:bookmarkEnd w:id="3765"/>
      <w:bookmarkEnd w:id="3766"/>
      <w:bookmarkEnd w:id="3767"/>
    </w:p>
    <w:p w14:paraId="70D8C1BD" w14:textId="77777777" w:rsidR="00D40151" w:rsidRPr="00873B6C" w:rsidRDefault="00D40151" w:rsidP="00D40151">
      <w:r w:rsidRPr="00873B6C">
        <w:t>Subscription-related mechanisms which are always applied:</w:t>
      </w:r>
    </w:p>
    <w:p w14:paraId="468D666C" w14:textId="77777777" w:rsidR="00D40151" w:rsidRPr="00873B6C" w:rsidRDefault="00D40151" w:rsidP="00D40151">
      <w:pPr>
        <w:pStyle w:val="B1"/>
      </w:pPr>
      <w:r w:rsidRPr="00873B6C">
        <w:t>-</w:t>
      </w:r>
      <w:r w:rsidRPr="00873B6C">
        <w:tab/>
        <w:t>(R)AN: During initial Access Network Connection Establishment, the Establishment Cause is set to indicate that special treatment is to be applied by the (R)AN in the radio resource allocation as specified in clause 5.2 for 3GPP access.</w:t>
      </w:r>
    </w:p>
    <w:p w14:paraId="79CEA64A" w14:textId="42DAAE91" w:rsidR="006F101E" w:rsidRPr="00873B6C" w:rsidRDefault="006F101E" w:rsidP="00D40151">
      <w:pPr>
        <w:pStyle w:val="B1"/>
      </w:pPr>
      <w:r w:rsidRPr="00873B6C">
        <w:t>-</w:t>
      </w:r>
      <w:r w:rsidRPr="00873B6C">
        <w:tab/>
      </w:r>
      <w:r w:rsidRPr="00873B6C">
        <w:rPr>
          <w:b/>
          <w:bCs/>
        </w:rPr>
        <w:t>UDM:</w:t>
      </w:r>
      <w:r w:rsidRPr="00873B6C">
        <w:t xml:space="preserve"> As defined in clause 5.2.3 of </w:t>
      </w:r>
      <w:r w:rsidR="00972E70" w:rsidRPr="00873B6C">
        <w:t>TS 23.502 [</w:t>
      </w:r>
      <w:r w:rsidRPr="00873B6C">
        <w:t xml:space="preserve">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w:t>
      </w:r>
      <w:r w:rsidR="00972E70" w:rsidRPr="00873B6C">
        <w:t>TS 23.502 [</w:t>
      </w:r>
      <w:r w:rsidRPr="00873B6C">
        <w:t>3].</w:t>
      </w:r>
    </w:p>
    <w:p w14:paraId="399F1354" w14:textId="219D0D5F" w:rsidR="00D40151" w:rsidRPr="00873B6C" w:rsidRDefault="00D40151" w:rsidP="00D40151">
      <w:pPr>
        <w:pStyle w:val="B1"/>
      </w:pPr>
      <w:r w:rsidRPr="00873B6C">
        <w:t>-</w:t>
      </w:r>
      <w:r w:rsidRPr="00873B6C">
        <w:tab/>
      </w:r>
      <w:r w:rsidRPr="00873B6C">
        <w:rPr>
          <w:b/>
        </w:rPr>
        <w:t xml:space="preserve">AMF: </w:t>
      </w:r>
      <w:r w:rsidRPr="00873B6C">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972E70" w:rsidRPr="00873B6C">
        <w:t>TS 23.502 [</w:t>
      </w:r>
      <w:r w:rsidRPr="00873B6C">
        <w:t>3].</w:t>
      </w:r>
      <w:r w:rsidR="00FA7B3B" w:rsidRPr="00873B6C">
        <w:t xml:space="preserve"> If the AMF did not receive a designated Establishment Cause (i.e. high priority access), but when the AMF determines that there is a</w:t>
      </w:r>
      <w:r w:rsidR="006F101E" w:rsidRPr="00873B6C">
        <w:t xml:space="preserve"> MPS</w:t>
      </w:r>
      <w:r w:rsidR="00FA7B3B" w:rsidRPr="00873B6C">
        <w:t xml:space="preserve"> priority</w:t>
      </w:r>
      <w:r w:rsidR="006F101E" w:rsidRPr="00873B6C">
        <w:t xml:space="preserve"> (or MCX priority)</w:t>
      </w:r>
      <w:r w:rsidR="00FA7B3B" w:rsidRPr="00873B6C">
        <w:t xml:space="preserve"> in the UDM for that UE, the AMF shall provide priority handling for that UE at that time</w:t>
      </w:r>
      <w:r w:rsidR="006F101E" w:rsidRPr="00873B6C">
        <w:t xml:space="preserve"> and shall provide the MPS priority (or MCX priority) to the UE via the Registration or the UE Configuration Update procedure, as defined in clause 4.2 of </w:t>
      </w:r>
      <w:r w:rsidR="00972E70" w:rsidRPr="00873B6C">
        <w:t>TS 23.502 [</w:t>
      </w:r>
      <w:r w:rsidR="006F101E" w:rsidRPr="00873B6C">
        <w:t>3]</w:t>
      </w:r>
      <w:r w:rsidR="00FA7B3B" w:rsidRPr="00873B6C">
        <w:t>.</w:t>
      </w:r>
      <w:r w:rsidRPr="00873B6C">
        <w:t xml:space="preserve"> In addition, certain exemptions to Control Plane Congestion and Overload Control are provided as specified in clause 5.19.</w:t>
      </w:r>
    </w:p>
    <w:p w14:paraId="26B54C0B" w14:textId="77777777" w:rsidR="00D40151" w:rsidRPr="00873B6C" w:rsidRDefault="00D40151" w:rsidP="00D40151">
      <w:r w:rsidRPr="00873B6C">
        <w:t>Subscription-related mechanisms which are conditionally applied:</w:t>
      </w:r>
    </w:p>
    <w:p w14:paraId="14330343" w14:textId="77777777" w:rsidR="00D40151" w:rsidRPr="00873B6C" w:rsidRDefault="00D40151" w:rsidP="00D40151">
      <w:pPr>
        <w:pStyle w:val="B1"/>
      </w:pPr>
      <w:r w:rsidRPr="00873B6C">
        <w:t>-</w:t>
      </w:r>
      <w:r w:rsidRPr="00873B6C">
        <w:tab/>
      </w:r>
      <w:r w:rsidRPr="00873B6C">
        <w:rPr>
          <w:b/>
        </w:rPr>
        <w:t xml:space="preserve">UE: </w:t>
      </w:r>
      <w:r w:rsidRPr="00873B6C">
        <w:t xml:space="preserve">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w:t>
      </w:r>
      <w:r w:rsidRPr="00873B6C">
        <w:lastRenderedPageBreak/>
        <w:t>transmissions from UEs categorized as prioritized (such as MPS subscribed UEs), during the RRC Connection Establishment procedure as specified in clause 5.2.</w:t>
      </w:r>
    </w:p>
    <w:p w14:paraId="0410DCD6" w14:textId="129787D5" w:rsidR="00D40151" w:rsidRPr="00873B6C" w:rsidRDefault="00D40151" w:rsidP="00D40151">
      <w:pPr>
        <w:pStyle w:val="B1"/>
      </w:pPr>
      <w:r w:rsidRPr="00873B6C">
        <w:t>-</w:t>
      </w:r>
      <w:r w:rsidRPr="00873B6C">
        <w:tab/>
      </w:r>
      <w:r w:rsidRPr="00873B6C">
        <w:rPr>
          <w:b/>
        </w:rPr>
        <w:t xml:space="preserve">UDM: </w:t>
      </w:r>
      <w:r w:rsidRPr="00873B6C">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w:t>
      </w:r>
      <w:r w:rsidR="00472CD7" w:rsidRPr="00873B6C">
        <w:t xml:space="preserve"> and</w:t>
      </w:r>
      <w:r w:rsidRPr="00873B6C">
        <w:t xml:space="preserve"> if configured, it overwrites the default value specified in the QoS characteristics Table 5.7.4-1.</w:t>
      </w:r>
    </w:p>
    <w:p w14:paraId="15F4B9C3" w14:textId="4A194CA1" w:rsidR="00D40151" w:rsidRPr="00873B6C" w:rsidRDefault="00D40151" w:rsidP="00D40151">
      <w:pPr>
        <w:pStyle w:val="B1"/>
      </w:pPr>
      <w:r w:rsidRPr="00873B6C">
        <w:t>-</w:t>
      </w:r>
      <w:r w:rsidRPr="00873B6C">
        <w:tab/>
      </w:r>
      <w:r w:rsidRPr="00873B6C">
        <w:rPr>
          <w:b/>
        </w:rPr>
        <w:t xml:space="preserve">PCF: </w:t>
      </w:r>
      <w:r w:rsidRPr="00873B6C">
        <w:t>The "IMS Signalling Priority" information is set for the subscriber in the UDM</w:t>
      </w:r>
      <w:r w:rsidR="00472CD7" w:rsidRPr="00873B6C">
        <w:t xml:space="preserve"> and</w:t>
      </w:r>
      <w:r w:rsidRPr="00873B6C">
        <w:t xml:space="preserve"> the PCF modifies the ARP of the QoS Flow used for IMS signalling, for each DN which supports prioritized services leveraging on IMS signalling, to an appropriate</w:t>
      </w:r>
      <w:r w:rsidRPr="00873B6C" w:rsidDel="009A6526">
        <w:t xml:space="preserve"> </w:t>
      </w:r>
      <w:r w:rsidRPr="00873B6C">
        <w:t>ARP priority level assigned for that service.</w:t>
      </w:r>
    </w:p>
    <w:p w14:paraId="2CEA887D" w14:textId="77777777" w:rsidR="00640EBF" w:rsidRPr="00873B6C" w:rsidRDefault="00640EBF" w:rsidP="00640EBF">
      <w:pPr>
        <w:pStyle w:val="B1"/>
      </w:pPr>
      <w:bookmarkStart w:id="3768" w:name="_Toc20150044"/>
      <w:bookmarkStart w:id="3769" w:name="_Toc27846843"/>
      <w:bookmarkStart w:id="3770" w:name="_Toc36187974"/>
      <w:bookmarkStart w:id="3771" w:name="_Toc45183878"/>
      <w:bookmarkStart w:id="3772" w:name="_Toc47342720"/>
      <w:bookmarkStart w:id="3773" w:name="_Toc51769421"/>
      <w:r w:rsidRPr="00873B6C">
        <w:t>-</w:t>
      </w:r>
      <w:r w:rsidRPr="00873B6C">
        <w:tab/>
      </w:r>
      <w:r w:rsidRPr="00873B6C">
        <w:rPr>
          <w:b/>
          <w:bCs/>
        </w:rPr>
        <w:t>SMF/AMF:</w:t>
      </w:r>
      <w:r w:rsidRPr="00873B6C">
        <w:t xml:space="preserve"> Based on the QoS parameters (e.g. ARPs, 5QI) of a PDU Session, the SMF may provide a PDU Session Priority to the AMF. The AMF stores the information for further PDU Session related priority handling (i.e. for determination of the Message Priority header of subsequent message related to the PDU Session).</w:t>
      </w:r>
    </w:p>
    <w:p w14:paraId="053514B7" w14:textId="64855DA5" w:rsidR="00640EBF" w:rsidRPr="00873B6C" w:rsidRDefault="00640EBF" w:rsidP="00DD6726">
      <w:pPr>
        <w:pStyle w:val="NO"/>
      </w:pPr>
      <w:r w:rsidRPr="00873B6C">
        <w:t>NOTE:</w:t>
      </w:r>
      <w:r w:rsidRPr="00873B6C">
        <w:tab/>
        <w:t>For a UE with MPS subscription, the MPS priority per DN can be different (e.g. only certain specific DNs has MPS priority while other DNs have no MPS priority).</w:t>
      </w:r>
    </w:p>
    <w:p w14:paraId="68873445" w14:textId="2EAB986B" w:rsidR="00D40151" w:rsidRPr="00873B6C" w:rsidRDefault="00D40151" w:rsidP="00D40151">
      <w:pPr>
        <w:pStyle w:val="Heading3"/>
      </w:pPr>
      <w:bookmarkStart w:id="3774" w:name="_CR5_22_3"/>
      <w:bookmarkStart w:id="3775" w:name="_Toc201157442"/>
      <w:bookmarkEnd w:id="3774"/>
      <w:r w:rsidRPr="00873B6C">
        <w:t>5.22.3</w:t>
      </w:r>
      <w:r w:rsidRPr="00873B6C">
        <w:tab/>
      </w:r>
      <w:r w:rsidRPr="00873B6C">
        <w:rPr>
          <w:lang w:eastAsia="zh-CN"/>
        </w:rPr>
        <w:t>Invocation-related Priority Mechanisms</w:t>
      </w:r>
      <w:bookmarkEnd w:id="3768"/>
      <w:bookmarkEnd w:id="3769"/>
      <w:bookmarkEnd w:id="3770"/>
      <w:bookmarkEnd w:id="3771"/>
      <w:bookmarkEnd w:id="3772"/>
      <w:bookmarkEnd w:id="3773"/>
      <w:bookmarkEnd w:id="3775"/>
    </w:p>
    <w:p w14:paraId="25ED3161" w14:textId="287D444D" w:rsidR="00D40151" w:rsidRPr="00873B6C" w:rsidRDefault="00D40151" w:rsidP="00D40151">
      <w:r w:rsidRPr="00873B6C">
        <w:t xml:space="preserve">The generic mechanisms used based on </w:t>
      </w:r>
      <w:r w:rsidRPr="00873B6C">
        <w:rPr>
          <w:lang w:eastAsia="zh-CN"/>
        </w:rPr>
        <w:t>invocation-related Priority Mechanisms</w:t>
      </w:r>
      <w:r w:rsidRPr="00873B6C">
        <w:t xml:space="preserve"> for prioritised services are based an interaction with an Application </w:t>
      </w:r>
      <w:r w:rsidR="00821D9E" w:rsidRPr="00873B6C">
        <w:t xml:space="preserve">Function </w:t>
      </w:r>
      <w:r w:rsidRPr="00873B6C">
        <w:t xml:space="preserve">and between the Application </w:t>
      </w:r>
      <w:r w:rsidR="00821D9E" w:rsidRPr="00873B6C">
        <w:t xml:space="preserve">Function </w:t>
      </w:r>
      <w:r w:rsidRPr="00873B6C">
        <w:t>and the PCF over Rx/N5 interface.</w:t>
      </w:r>
    </w:p>
    <w:p w14:paraId="1D01B70D" w14:textId="17683DFD" w:rsidR="00821D9E" w:rsidRPr="00873B6C" w:rsidRDefault="00821D9E" w:rsidP="00323277">
      <w:r w:rsidRPr="00873B6C">
        <w:t>These mechanisms apply to mobile originated as well as mobile terminated SIP call/sessions (</w:t>
      </w:r>
      <w:r w:rsidR="00D602DF" w:rsidRPr="00873B6C">
        <w:t xml:space="preserve">clause 5.21 of </w:t>
      </w:r>
      <w:r w:rsidR="00972E70" w:rsidRPr="00873B6C">
        <w:t>TS 23.228 [</w:t>
      </w:r>
      <w:r w:rsidRPr="00873B6C">
        <w:t>15]) and Priority PDU connectivity services including MPS for Data Transport Service.</w:t>
      </w:r>
    </w:p>
    <w:p w14:paraId="178C28D0" w14:textId="1118413B" w:rsidR="00D40151" w:rsidRPr="00873B6C" w:rsidRDefault="00D40151" w:rsidP="00D40151">
      <w:pPr>
        <w:pStyle w:val="NO"/>
      </w:pPr>
      <w:r w:rsidRPr="00873B6C">
        <w:t>NOTE</w:t>
      </w:r>
      <w:r w:rsidR="00821D9E" w:rsidRPr="00873B6C">
        <w:t> 1</w:t>
      </w:r>
      <w:r w:rsidRPr="00873B6C">
        <w:t>:</w:t>
      </w:r>
      <w:r w:rsidRPr="00873B6C">
        <w:tab/>
        <w:t xml:space="preserve">Clause 5.21 </w:t>
      </w:r>
      <w:r w:rsidR="00131D56" w:rsidRPr="00873B6C">
        <w:t>of</w:t>
      </w:r>
      <w:r w:rsidRPr="00873B6C">
        <w:t xml:space="preserve"> </w:t>
      </w:r>
      <w:r w:rsidR="00972E70" w:rsidRPr="00873B6C">
        <w:t>TS 23.228 [</w:t>
      </w:r>
      <w:r w:rsidRPr="00873B6C">
        <w:t>15] is applicable to 5GS, with the understanding that the term PCRF corresponds to PCF in the 5GS.</w:t>
      </w:r>
    </w:p>
    <w:p w14:paraId="77066D7B" w14:textId="77777777" w:rsidR="00D40151" w:rsidRPr="00873B6C" w:rsidRDefault="00D40151" w:rsidP="00D40151">
      <w:r w:rsidRPr="00873B6C">
        <w:t>Invocation-related mechanisms for Mobile Originations e.g. via SIP/IMS:</w:t>
      </w:r>
    </w:p>
    <w:p w14:paraId="4CA2F12F" w14:textId="22A04F4F" w:rsidR="00D40151" w:rsidRPr="00873B6C" w:rsidRDefault="00D40151" w:rsidP="00D40151">
      <w:pPr>
        <w:pStyle w:val="B1"/>
      </w:pPr>
      <w:r w:rsidRPr="00873B6C">
        <w:t>-</w:t>
      </w:r>
      <w:r w:rsidRPr="00873B6C">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972E70" w:rsidRPr="00873B6C">
        <w:t>TS 23.503 [</w:t>
      </w:r>
      <w:r w:rsidRPr="00873B6C">
        <w:t>45].</w:t>
      </w:r>
    </w:p>
    <w:p w14:paraId="220B6853" w14:textId="77777777" w:rsidR="00D40151" w:rsidRPr="00873B6C" w:rsidRDefault="00D40151" w:rsidP="00D40151">
      <w:pPr>
        <w:pStyle w:val="B1"/>
      </w:pPr>
      <w:r w:rsidRPr="00873B6C">
        <w:t>-</w:t>
      </w:r>
      <w:r w:rsidRPr="00873B6C">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018BFDFD" w:rsidR="00D40151" w:rsidRPr="00873B6C" w:rsidRDefault="00D40151" w:rsidP="00D40151">
      <w:pPr>
        <w:pStyle w:val="B1"/>
      </w:pPr>
      <w:r w:rsidRPr="00873B6C">
        <w:t>-</w:t>
      </w:r>
      <w:r w:rsidRPr="00873B6C">
        <w:tab/>
        <w:t>PCF: When all active sessions to a particular DN are released</w:t>
      </w:r>
      <w:r w:rsidR="00472CD7" w:rsidRPr="00873B6C">
        <w:t xml:space="preserve"> and</w:t>
      </w:r>
      <w:r w:rsidRPr="00873B6C">
        <w:t xml:space="preserve">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3D425674" w14:textId="3DD0ACFC" w:rsidR="00640EBF" w:rsidRPr="00873B6C" w:rsidRDefault="00640EBF" w:rsidP="00DD6726">
      <w:pPr>
        <w:pStyle w:val="B1"/>
      </w:pPr>
      <w:r w:rsidRPr="00873B6C">
        <w:t>-</w:t>
      </w:r>
      <w:r w:rsidRPr="00873B6C">
        <w:tab/>
      </w:r>
      <w:r w:rsidRPr="00873B6C">
        <w:rPr>
          <w:b/>
          <w:bCs/>
        </w:rPr>
        <w:t xml:space="preserve">SMF/AMF: </w:t>
      </w:r>
      <w:r w:rsidRPr="00873B6C">
        <w:t>Based on the QoS parameters (e.g. ARP, 5QI) of a PDU Session, the SMF may provide a PDU Session Priority to the AMF. The AMF stores the information for further PDU Session related priority handling (i.e. for determination of the Message Priority header of subsequent message related to the PDU Session).</w:t>
      </w:r>
    </w:p>
    <w:p w14:paraId="704BCD98" w14:textId="72979BD6" w:rsidR="00D40151" w:rsidRPr="00873B6C" w:rsidRDefault="00D40151" w:rsidP="00D40151">
      <w:r w:rsidRPr="00873B6C">
        <w:t>Invocation-related mechanisms for Mobile Terminations e.g. via SIP/IMS:</w:t>
      </w:r>
    </w:p>
    <w:p w14:paraId="271B2B38" w14:textId="77777777" w:rsidR="00D40151" w:rsidRPr="00873B6C" w:rsidRDefault="00D40151" w:rsidP="00D40151">
      <w:pPr>
        <w:pStyle w:val="B1"/>
      </w:pPr>
      <w:r w:rsidRPr="00873B6C">
        <w:t>-</w:t>
      </w:r>
      <w:r w:rsidRPr="00873B6C">
        <w:tab/>
        <w:t>PCF: When an indication for a session arrives over the Rx/N5 Interface, mechanisms as described above for Mobile Originations are applied.</w:t>
      </w:r>
    </w:p>
    <w:p w14:paraId="5855C581" w14:textId="7F53569E" w:rsidR="00D40151" w:rsidRPr="00873B6C" w:rsidRDefault="00D40151" w:rsidP="00D40151">
      <w:pPr>
        <w:pStyle w:val="B1"/>
      </w:pPr>
      <w:r w:rsidRPr="00873B6C">
        <w:t>-</w:t>
      </w:r>
      <w:r w:rsidRPr="00873B6C">
        <w:tab/>
        <w:t xml:space="preserve">UPF: If an IP packet arrives at the UPF for a UE that is CM-IDLE, the UPF sends a "Data Notification" including the information to identify the QoS Flow for the DL data packet to the SMF, as specified in clause 4.2.3.3 of </w:t>
      </w:r>
      <w:r w:rsidR="00972E70" w:rsidRPr="00873B6C">
        <w:t>TS 23.502 [</w:t>
      </w:r>
      <w:r w:rsidRPr="00873B6C">
        <w:t>3].</w:t>
      </w:r>
    </w:p>
    <w:p w14:paraId="6D86CE9C" w14:textId="71FE0AC9" w:rsidR="00D40151" w:rsidRPr="00873B6C" w:rsidRDefault="00D40151" w:rsidP="00D40151">
      <w:pPr>
        <w:pStyle w:val="B1"/>
      </w:pPr>
      <w:r w:rsidRPr="00873B6C">
        <w:t>-</w:t>
      </w:r>
      <w:r w:rsidRPr="00873B6C">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972E70" w:rsidRPr="00873B6C">
        <w:t>TS 23.502 [</w:t>
      </w:r>
      <w:r w:rsidRPr="00873B6C">
        <w:t>3].</w:t>
      </w:r>
      <w:r w:rsidR="00640EBF" w:rsidRPr="00873B6C">
        <w:t xml:space="preserve"> Based on the QoS parameters (e.g. ARP, 5QI) of a PDU Session, the SMF may also provide a PDU Session Priority to the AMF.</w:t>
      </w:r>
    </w:p>
    <w:p w14:paraId="67B13453" w14:textId="700FA414" w:rsidR="00D40151" w:rsidRPr="00873B6C" w:rsidRDefault="00D40151" w:rsidP="00D40151">
      <w:pPr>
        <w:pStyle w:val="B1"/>
      </w:pPr>
      <w:r w:rsidRPr="00873B6C">
        <w:lastRenderedPageBreak/>
        <w:t>-</w:t>
      </w:r>
      <w:r w:rsidRPr="00873B6C">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972E70" w:rsidRPr="00873B6C">
        <w:t>TS 23.502 [</w:t>
      </w:r>
      <w:r w:rsidRPr="00873B6C">
        <w:t>3].</w:t>
      </w:r>
      <w:r w:rsidR="00640EBF" w:rsidRPr="00873B6C">
        <w:t xml:space="preserve"> If a PDU Session Priority is provided by the SMF, the AMF stores the information for further PDU Session related priority handling (e.g. for determination of the Message Priority header of subsequent message related to the PDU Session).</w:t>
      </w:r>
    </w:p>
    <w:p w14:paraId="14314586" w14:textId="7F926A04" w:rsidR="00D40151" w:rsidRPr="00873B6C" w:rsidRDefault="00D40151" w:rsidP="00D40151">
      <w:pPr>
        <w:pStyle w:val="B1"/>
      </w:pPr>
      <w:r w:rsidRPr="00873B6C">
        <w:t>-</w:t>
      </w:r>
      <w:r w:rsidRPr="00873B6C">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972E70" w:rsidRPr="00873B6C">
        <w:t>TS 23.502 [</w:t>
      </w:r>
      <w:r w:rsidRPr="00873B6C">
        <w:t>3].</w:t>
      </w:r>
      <w:r w:rsidR="00640EBF" w:rsidRPr="00873B6C">
        <w:t xml:space="preserve"> Based on the QoS parameters (e.g. ARP, 5QI) of a PDU Session, the SMF may also provide Session Priority to the AMF.</w:t>
      </w:r>
    </w:p>
    <w:p w14:paraId="4144D256" w14:textId="2AFCB0F6" w:rsidR="00D40151" w:rsidRPr="00873B6C" w:rsidRDefault="00D40151" w:rsidP="00D40151">
      <w:pPr>
        <w:pStyle w:val="B1"/>
      </w:pPr>
      <w:r w:rsidRPr="00873B6C">
        <w:t>-</w:t>
      </w:r>
      <w:r w:rsidRPr="00873B6C">
        <w:tab/>
        <w:t xml:space="preserve">AMF: Upon receiving the "N1N2MessageTransfer" message from the SMF with an ARP priority level that is entitled for priority use, the AMF updates the ARP for the Signalling QoS Flows, as specified in clause 4.3.3.2 of </w:t>
      </w:r>
      <w:r w:rsidR="00972E70" w:rsidRPr="00873B6C">
        <w:t>TS 23.502 [</w:t>
      </w:r>
      <w:r w:rsidRPr="00873B6C">
        <w:t>3].</w:t>
      </w:r>
    </w:p>
    <w:p w14:paraId="084610FA" w14:textId="39CB8BD1" w:rsidR="00D40151" w:rsidRPr="00873B6C" w:rsidRDefault="00D40151" w:rsidP="00D40151">
      <w:pPr>
        <w:pStyle w:val="B1"/>
      </w:pPr>
      <w:r w:rsidRPr="00873B6C">
        <w:t>-</w:t>
      </w:r>
      <w:r w:rsidRPr="00873B6C">
        <w:tab/>
        <w:t xml:space="preserve">(R)AN: Inclusion of the "Paging Priority" in the N2 "Paging" message triggers priority handling of paging in times of congestion at the (R)AN as specified in clause 4.2.3.3 of </w:t>
      </w:r>
      <w:r w:rsidR="00972E70" w:rsidRPr="00873B6C">
        <w:t>TS 23.502 [</w:t>
      </w:r>
      <w:r w:rsidRPr="00873B6C">
        <w:t>3].</w:t>
      </w:r>
    </w:p>
    <w:p w14:paraId="2B21DB4C" w14:textId="2543F092" w:rsidR="00640EBF" w:rsidRPr="00873B6C" w:rsidRDefault="00640EBF" w:rsidP="00DD6726">
      <w:pPr>
        <w:pStyle w:val="B1"/>
      </w:pPr>
      <w:r w:rsidRPr="00873B6C">
        <w:t>-</w:t>
      </w:r>
      <w:r w:rsidRPr="00873B6C">
        <w:tab/>
      </w:r>
      <w:r w:rsidRPr="00873B6C">
        <w:rPr>
          <w:b/>
          <w:bCs/>
        </w:rPr>
        <w:t xml:space="preserve">SMF/AMF: </w:t>
      </w:r>
      <w:r w:rsidRPr="00873B6C">
        <w:t>Based on the QoS parameters (e.g. ARP, 5QI) of a PDU Session, the SMF may provide a PDU Session Priority to the AMF. The AMF stores the information for further PDU Session related priority handling (i.e. for determination of the Message Priority header of subsequent message related to the PDU Session).</w:t>
      </w:r>
    </w:p>
    <w:p w14:paraId="0305F13C" w14:textId="053DB3A8" w:rsidR="00D40151" w:rsidRPr="00873B6C" w:rsidRDefault="00D40151" w:rsidP="00D40151">
      <w:r w:rsidRPr="00873B6C">
        <w:t>Invocation-related mechanisms for the Priority PDU connectivity services:</w:t>
      </w:r>
    </w:p>
    <w:p w14:paraId="160436EF" w14:textId="132C6641" w:rsidR="00D40151" w:rsidRPr="00873B6C" w:rsidRDefault="00D40151" w:rsidP="00D40151">
      <w:pPr>
        <w:pStyle w:val="B1"/>
      </w:pPr>
      <w:r w:rsidRPr="00873B6C">
        <w:t>-</w:t>
      </w:r>
      <w:r w:rsidRPr="00873B6C">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972E70" w:rsidRPr="00873B6C">
        <w:t>TS 23.502 [</w:t>
      </w:r>
      <w:r w:rsidRPr="00873B6C">
        <w:t>3].</w:t>
      </w:r>
    </w:p>
    <w:p w14:paraId="3ABC21C7" w14:textId="717EF501" w:rsidR="00D40151" w:rsidRPr="00873B6C" w:rsidRDefault="00D40151" w:rsidP="00D40151">
      <w:pPr>
        <w:pStyle w:val="B1"/>
      </w:pPr>
      <w:r w:rsidRPr="00873B6C">
        <w:t>-</w:t>
      </w:r>
      <w:r w:rsidRPr="00873B6C">
        <w:tab/>
        <w:t>PCF: If the state of Priority PDU connectivity services is modified from enabled to disabled, the QoS Flow(s) controlled by the Priority PDU connectivity services are modified from</w:t>
      </w:r>
      <w:r w:rsidR="00821D9E" w:rsidRPr="00873B6C">
        <w:t xml:space="preserve"> Priority PDU connectivity</w:t>
      </w:r>
      <w:r w:rsidRPr="00873B6C">
        <w:t xml:space="preserve"> service appropriate settings of the ARP and 5QI parameters, plus associated QoS characteristics as appropriate, to those entitled by the UE as per subscription, using the PDU Session Modification procedure as specified in clause 4.3.3 of </w:t>
      </w:r>
      <w:r w:rsidR="00972E70" w:rsidRPr="00873B6C">
        <w:t>TS 23.502 [</w:t>
      </w:r>
      <w:r w:rsidRPr="00873B6C">
        <w:t>3].</w:t>
      </w:r>
    </w:p>
    <w:p w14:paraId="5CB2B3C5" w14:textId="77777777" w:rsidR="00821D9E" w:rsidRPr="00873B6C" w:rsidRDefault="00821D9E" w:rsidP="00821D9E">
      <w:bookmarkStart w:id="3776" w:name="_Toc20150045"/>
      <w:bookmarkStart w:id="3777" w:name="_Toc27846844"/>
      <w:bookmarkStart w:id="3778" w:name="_Toc36187975"/>
      <w:bookmarkStart w:id="3779" w:name="_Toc45183879"/>
      <w:bookmarkStart w:id="3780" w:name="_Toc47342721"/>
      <w:bookmarkStart w:id="3781" w:name="_Toc51769422"/>
      <w:r w:rsidRPr="00873B6C">
        <w:t>Invocation-related mechanisms for MPS for Data Transport Service:</w:t>
      </w:r>
    </w:p>
    <w:p w14:paraId="0C6948C7" w14:textId="77777777" w:rsidR="00821D9E" w:rsidRPr="00873B6C" w:rsidRDefault="00821D9E" w:rsidP="00323277">
      <w:pPr>
        <w:pStyle w:val="B1"/>
      </w:pPr>
      <w:r w:rsidRPr="00873B6C">
        <w:t>-</w:t>
      </w:r>
      <w:r w:rsidRPr="00873B6C">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873B6C" w:rsidRDefault="00821D9E" w:rsidP="00323277">
      <w:pPr>
        <w:pStyle w:val="NO"/>
      </w:pPr>
      <w:r w:rsidRPr="00873B6C">
        <w:t>NOTE 2:</w:t>
      </w:r>
      <w:r w:rsidRPr="00873B6C">
        <w:tab/>
        <w:t>If no configuration is provided, MPS for Data Transport Service applies to the QoS Flow associated with the default QoS rule.</w:t>
      </w:r>
    </w:p>
    <w:p w14:paraId="5E68AD8D" w14:textId="5E3BFFCA" w:rsidR="00D40151" w:rsidRPr="00873B6C" w:rsidRDefault="00D40151" w:rsidP="00D40151">
      <w:pPr>
        <w:pStyle w:val="Heading3"/>
        <w:rPr>
          <w:lang w:eastAsia="zh-CN"/>
        </w:rPr>
      </w:pPr>
      <w:bookmarkStart w:id="3782" w:name="_CR5_22_4"/>
      <w:bookmarkStart w:id="3783" w:name="_Toc201157443"/>
      <w:bookmarkEnd w:id="3782"/>
      <w:r w:rsidRPr="00873B6C">
        <w:t>5.22.4</w:t>
      </w:r>
      <w:r w:rsidRPr="00873B6C">
        <w:tab/>
        <w:t xml:space="preserve">QoS </w:t>
      </w:r>
      <w:r w:rsidRPr="00873B6C">
        <w:rPr>
          <w:lang w:eastAsia="zh-CN"/>
        </w:rPr>
        <w:t>Mechanisms applied to established QoS Flows</w:t>
      </w:r>
      <w:bookmarkEnd w:id="3776"/>
      <w:bookmarkEnd w:id="3777"/>
      <w:bookmarkEnd w:id="3778"/>
      <w:bookmarkEnd w:id="3779"/>
      <w:bookmarkEnd w:id="3780"/>
      <w:bookmarkEnd w:id="3781"/>
      <w:bookmarkEnd w:id="3783"/>
    </w:p>
    <w:p w14:paraId="70D6E764" w14:textId="77777777" w:rsidR="00D40151" w:rsidRPr="00873B6C" w:rsidRDefault="00D40151" w:rsidP="00D40151">
      <w:r w:rsidRPr="00873B6C">
        <w:t>Mechanisms applied to established QoS Flows:</w:t>
      </w:r>
    </w:p>
    <w:p w14:paraId="7F77DA1D" w14:textId="3EE9CB5A" w:rsidR="00D40151" w:rsidRPr="00873B6C" w:rsidRDefault="00D40151" w:rsidP="00D40151">
      <w:pPr>
        <w:pStyle w:val="B1"/>
      </w:pPr>
      <w:r w:rsidRPr="00873B6C">
        <w:t>-</w:t>
      </w:r>
      <w:r w:rsidRPr="00873B6C">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972E70" w:rsidRPr="00873B6C">
        <w:t>TS 23.502 [</w:t>
      </w:r>
      <w:r w:rsidRPr="00873B6C">
        <w:t>3].</w:t>
      </w:r>
    </w:p>
    <w:p w14:paraId="33F7953A" w14:textId="5F1D4016" w:rsidR="00D40151" w:rsidRPr="00873B6C" w:rsidRDefault="00D40151" w:rsidP="00D40151">
      <w:pPr>
        <w:pStyle w:val="B1"/>
      </w:pPr>
      <w:r w:rsidRPr="00873B6C">
        <w:t>-</w:t>
      </w:r>
      <w:r w:rsidRPr="00873B6C">
        <w:tab/>
        <w:t>SMF: Congestion management procedures in the SMF will provide priority to QoS Flows established for sessions during periods of extreme overload.</w:t>
      </w:r>
      <w:r w:rsidR="00704A9E" w:rsidRPr="00873B6C">
        <w:t xml:space="preserve"> </w:t>
      </w:r>
      <w:r w:rsidRPr="00873B6C">
        <w:t>Prioritised services are exempt from any session management congestion controls. See clause 5.19.</w:t>
      </w:r>
    </w:p>
    <w:p w14:paraId="3C24B44D" w14:textId="51719BEB" w:rsidR="00D40151" w:rsidRPr="00873B6C" w:rsidRDefault="00821D9E" w:rsidP="00D40151">
      <w:pPr>
        <w:pStyle w:val="B1"/>
      </w:pPr>
      <w:r w:rsidRPr="00873B6C">
        <w:t>-</w:t>
      </w:r>
      <w:r w:rsidR="00D40151" w:rsidRPr="00873B6C">
        <w:tab/>
        <w:t>AMF: Congestion management procedures in the AMF will provide priority to</w:t>
      </w:r>
      <w:r w:rsidR="008A60FE" w:rsidRPr="00873B6C">
        <w:t xml:space="preserve"> any</w:t>
      </w:r>
      <w:r w:rsidR="00D40151" w:rsidRPr="00873B6C">
        <w:t xml:space="preserve"> Mobility Management procedures required for the prioritised services during periods of extreme overload. Prioritised services are exempt from any Mobility Management congestion controls. See clause</w:t>
      </w:r>
      <w:r w:rsidR="008A60FE" w:rsidRPr="00873B6C">
        <w:t> 5.19.5</w:t>
      </w:r>
      <w:r w:rsidR="00D40151" w:rsidRPr="00873B6C">
        <w:t>.</w:t>
      </w:r>
    </w:p>
    <w:p w14:paraId="6725CCD4" w14:textId="2BE4B244" w:rsidR="00D40151" w:rsidRPr="00873B6C" w:rsidRDefault="00821D9E" w:rsidP="00D40151">
      <w:pPr>
        <w:pStyle w:val="B1"/>
      </w:pPr>
      <w:r w:rsidRPr="00873B6C">
        <w:lastRenderedPageBreak/>
        <w:t>-</w:t>
      </w:r>
      <w:r w:rsidR="00D40151" w:rsidRPr="00873B6C">
        <w:tab/>
        <w:t>QoS Flows whose ARP parameter is from the set allocated by the Service Provider for prioritised services' use shall be exempt from release during QoS Flow load rebalancing.</w:t>
      </w:r>
    </w:p>
    <w:p w14:paraId="302FDF92" w14:textId="3F10CB8F" w:rsidR="00D40151" w:rsidRPr="00873B6C" w:rsidRDefault="00821D9E" w:rsidP="00D40151">
      <w:pPr>
        <w:pStyle w:val="B1"/>
      </w:pPr>
      <w:r w:rsidRPr="00873B6C">
        <w:t>-</w:t>
      </w:r>
      <w:r w:rsidR="00D40151" w:rsidRPr="00873B6C">
        <w:tab/>
        <w:t>(R)AN, UPF: IMS Signalling Packets associated with prioritised services' use are handled with priority.</w:t>
      </w:r>
      <w:r w:rsidR="00704A9E" w:rsidRPr="00873B6C">
        <w:t xml:space="preserve"> </w:t>
      </w:r>
      <w:r w:rsidR="00D40151" w:rsidRPr="00873B6C">
        <w:t>Specifically, during times of severe congestion when it is necessary to drop packets on the IMS Signalling QoS Flow</w:t>
      </w:r>
      <w:r w:rsidRPr="00873B6C">
        <w:t>, or QoS Flow supporting MPS for Data Transport Service signalling,</w:t>
      </w:r>
      <w:r w:rsidR="00D40151" w:rsidRPr="00873B6C">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873B6C" w:rsidRDefault="00D40151" w:rsidP="00D40151">
      <w:pPr>
        <w:pStyle w:val="B1"/>
      </w:pPr>
      <w:r w:rsidRPr="00873B6C">
        <w:t>-</w:t>
      </w:r>
      <w:r w:rsidRPr="00873B6C">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873B6C">
        <w:t xml:space="preserve"> priority</w:t>
      </w:r>
      <w:r w:rsidRPr="00873B6C">
        <w:t xml:space="preserve"> sessions. See clauses 5.16.5 and 5.16.6.</w:t>
      </w:r>
    </w:p>
    <w:p w14:paraId="2B6DA040" w14:textId="77777777" w:rsidR="00D40151" w:rsidRPr="00873B6C" w:rsidRDefault="00D40151" w:rsidP="00D40151">
      <w:pPr>
        <w:pStyle w:val="Heading2"/>
      </w:pPr>
      <w:bookmarkStart w:id="3784" w:name="_CR5_23"/>
      <w:bookmarkStart w:id="3785" w:name="_Toc20150046"/>
      <w:bookmarkStart w:id="3786" w:name="_Toc27846845"/>
      <w:bookmarkStart w:id="3787" w:name="_Toc36187976"/>
      <w:bookmarkStart w:id="3788" w:name="_Toc45183880"/>
      <w:bookmarkStart w:id="3789" w:name="_Toc47342722"/>
      <w:bookmarkStart w:id="3790" w:name="_Toc51769423"/>
      <w:bookmarkStart w:id="3791" w:name="_Toc201157444"/>
      <w:bookmarkEnd w:id="3784"/>
      <w:r w:rsidRPr="00873B6C">
        <w:t>5.23</w:t>
      </w:r>
      <w:r w:rsidRPr="00873B6C">
        <w:tab/>
        <w:t>Supporting for Asynchronous Type Communication</w:t>
      </w:r>
      <w:bookmarkEnd w:id="3785"/>
      <w:bookmarkEnd w:id="3786"/>
      <w:bookmarkEnd w:id="3787"/>
      <w:bookmarkEnd w:id="3788"/>
      <w:bookmarkEnd w:id="3789"/>
      <w:bookmarkEnd w:id="3790"/>
      <w:bookmarkEnd w:id="3791"/>
    </w:p>
    <w:p w14:paraId="27A97D3C" w14:textId="0DAA6F72" w:rsidR="00D40151" w:rsidRPr="00873B6C" w:rsidRDefault="00D40151" w:rsidP="00D40151">
      <w:pPr>
        <w:rPr>
          <w:lang w:eastAsia="zh-CN"/>
        </w:rPr>
      </w:pPr>
      <w:r w:rsidRPr="00873B6C">
        <w:rPr>
          <w:lang w:eastAsia="zh-CN"/>
        </w:rPr>
        <w:t>Asynchronous type communication (ATC) enables 5GC to delay synchronizing UE context with the UE, so as to achieve an efficient signalling overhead and increase system capacity.</w:t>
      </w:r>
      <w:r w:rsidR="00A1192D" w:rsidRPr="00873B6C">
        <w:rPr>
          <w:lang w:eastAsia="zh-CN"/>
        </w:rPr>
        <w:t xml:space="preserve"> The support of ATC is optional for the AMF.</w:t>
      </w:r>
    </w:p>
    <w:p w14:paraId="2C36334D" w14:textId="77777777" w:rsidR="00D40151" w:rsidRPr="00873B6C" w:rsidRDefault="00D40151" w:rsidP="00D40151">
      <w:pPr>
        <w:rPr>
          <w:rFonts w:eastAsia="Batang"/>
        </w:rPr>
      </w:pPr>
      <w:r w:rsidRPr="00873B6C">
        <w:rPr>
          <w:rFonts w:eastAsia="Batang"/>
        </w:rPr>
        <w:t>5GC supports asynchronous type communication with the following functionality:</w:t>
      </w:r>
    </w:p>
    <w:p w14:paraId="365AD5E8" w14:textId="521525EF" w:rsidR="00D40151" w:rsidRPr="00873B6C" w:rsidRDefault="00D40151" w:rsidP="00D40151">
      <w:pPr>
        <w:pStyle w:val="B1"/>
        <w:rPr>
          <w:rFonts w:eastAsia="Batang"/>
        </w:rPr>
      </w:pPr>
      <w:r w:rsidRPr="00873B6C">
        <w:rPr>
          <w:lang w:eastAsia="zh-CN"/>
        </w:rPr>
        <w:t>-</w:t>
      </w:r>
      <w:r w:rsidRPr="00873B6C">
        <w:rPr>
          <w:lang w:eastAsia="zh-CN"/>
        </w:rPr>
        <w:tab/>
        <w:t>Capability to store the UE context based on the received message</w:t>
      </w:r>
      <w:r w:rsidR="00472CD7" w:rsidRPr="00873B6C">
        <w:rPr>
          <w:lang w:eastAsia="zh-CN"/>
        </w:rPr>
        <w:t xml:space="preserve"> and</w:t>
      </w:r>
      <w:r w:rsidRPr="00873B6C">
        <w:rPr>
          <w:lang w:eastAsia="zh-CN"/>
        </w:rPr>
        <w:t xml:space="preserve"> synchronize the UE context with the involved network functions or UE later;</w:t>
      </w:r>
    </w:p>
    <w:p w14:paraId="55CD0351" w14:textId="3E7EB0F2" w:rsidR="00D40151" w:rsidRPr="00873B6C" w:rsidRDefault="00D40151" w:rsidP="00D40151">
      <w:pPr>
        <w:rPr>
          <w:rFonts w:eastAsia="DengXian"/>
        </w:rPr>
      </w:pPr>
      <w:r w:rsidRPr="00873B6C">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873B6C">
        <w:rPr>
          <w:rFonts w:eastAsia="Batang"/>
        </w:rPr>
        <w:t xml:space="preserve"> and the requesting network function indicates to the AMF the ATC is allowed for the signalling, if</w:t>
      </w:r>
      <w:r w:rsidRPr="00873B6C">
        <w:rPr>
          <w:rFonts w:eastAsia="Batang"/>
        </w:rPr>
        <w:t xml:space="preserve"> </w:t>
      </w:r>
      <w:r w:rsidRPr="00873B6C">
        <w:rPr>
          <w:lang w:eastAsia="zh-CN"/>
        </w:rPr>
        <w:t>the AMF</w:t>
      </w:r>
      <w:r w:rsidR="00A1192D" w:rsidRPr="00873B6C">
        <w:rPr>
          <w:lang w:eastAsia="zh-CN"/>
        </w:rPr>
        <w:t xml:space="preserve"> supports the ATC feature, the AMF may</w:t>
      </w:r>
      <w:r w:rsidRPr="00873B6C">
        <w:rPr>
          <w:lang w:eastAsia="zh-CN"/>
        </w:rPr>
        <w:t xml:space="preserve"> update and store the UE context based on the received message without paging UE immediately. </w:t>
      </w:r>
      <w:r w:rsidRPr="00873B6C">
        <w:rPr>
          <w:rFonts w:eastAsia="Batang"/>
        </w:rPr>
        <w:t xml:space="preserve">When the UE </w:t>
      </w:r>
      <w:r w:rsidRPr="00873B6C">
        <w:rPr>
          <w:lang w:eastAsia="zh-CN"/>
        </w:rPr>
        <w:t>CM state in the AMF</w:t>
      </w:r>
      <w:r w:rsidRPr="00873B6C">
        <w:rPr>
          <w:rFonts w:eastAsia="Batang"/>
        </w:rPr>
        <w:t xml:space="preserve"> enters CM-CONNECTED state, the AMF </w:t>
      </w:r>
      <w:r w:rsidRPr="00873B6C">
        <w:rPr>
          <w:lang w:eastAsia="zh-CN"/>
        </w:rPr>
        <w:t xml:space="preserve">forwards N1 and N2 message to </w:t>
      </w:r>
      <w:r w:rsidRPr="00873B6C">
        <w:rPr>
          <w:rFonts w:eastAsia="Batang"/>
        </w:rPr>
        <w:t>synchronize the UE context with the (R)AN and/or the UE.</w:t>
      </w:r>
    </w:p>
    <w:p w14:paraId="09E8CBD1" w14:textId="77777777" w:rsidR="00A1192D" w:rsidRPr="00873B6C" w:rsidRDefault="00A1192D" w:rsidP="00A1192D">
      <w:bookmarkStart w:id="3792" w:name="_Toc20150047"/>
      <w:bookmarkStart w:id="3793" w:name="_Toc27846846"/>
      <w:bookmarkStart w:id="3794" w:name="_Toc36187977"/>
      <w:bookmarkStart w:id="3795" w:name="_Toc45183881"/>
      <w:bookmarkStart w:id="3796" w:name="_Toc47342723"/>
      <w:bookmarkStart w:id="3797" w:name="_Toc51769424"/>
      <w:r w:rsidRPr="00873B6C">
        <w:t>If the originating NF does not require immediate delivery, it may indicate that the AMF is allowed to use ATC.</w:t>
      </w:r>
    </w:p>
    <w:p w14:paraId="1B92EB35" w14:textId="77777777" w:rsidR="00A1192D" w:rsidRPr="00873B6C" w:rsidRDefault="00A1192D" w:rsidP="00C74FFE">
      <w:pPr>
        <w:pStyle w:val="NO"/>
      </w:pPr>
      <w:r w:rsidRPr="00873B6C">
        <w:t>NOTE:</w:t>
      </w:r>
      <w:r w:rsidRPr="00873B6C">
        <w:tab/>
        <w:t>Pre-Rel-17 AMF implementation cannot decode the indication that ATC is allowed.</w:t>
      </w:r>
    </w:p>
    <w:p w14:paraId="350512B1" w14:textId="6A220246" w:rsidR="00D40151" w:rsidRPr="00873B6C" w:rsidRDefault="00D40151" w:rsidP="00D40151">
      <w:pPr>
        <w:pStyle w:val="Heading2"/>
      </w:pPr>
      <w:bookmarkStart w:id="3798" w:name="_CR5_24"/>
      <w:bookmarkStart w:id="3799" w:name="_Toc201157445"/>
      <w:bookmarkEnd w:id="3798"/>
      <w:r w:rsidRPr="00873B6C">
        <w:t>5.24</w:t>
      </w:r>
      <w:r w:rsidRPr="00873B6C">
        <w:tab/>
        <w:t>3GPP PS Data Off</w:t>
      </w:r>
      <w:bookmarkEnd w:id="3792"/>
      <w:bookmarkEnd w:id="3793"/>
      <w:bookmarkEnd w:id="3794"/>
      <w:bookmarkEnd w:id="3795"/>
      <w:bookmarkEnd w:id="3796"/>
      <w:bookmarkEnd w:id="3797"/>
      <w:bookmarkEnd w:id="3799"/>
    </w:p>
    <w:p w14:paraId="1EAAE918" w14:textId="3E7D503D" w:rsidR="00D40151" w:rsidRPr="00873B6C" w:rsidRDefault="00D40151" w:rsidP="00D40151">
      <w:r w:rsidRPr="00873B6C">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972E70" w:rsidRPr="00873B6C">
        <w:t>TS 22.011 [</w:t>
      </w:r>
      <w:r w:rsidRPr="00873B6C">
        <w:t xml:space="preserve">25] and </w:t>
      </w:r>
      <w:r w:rsidR="00972E70" w:rsidRPr="00873B6C">
        <w:t>TS 23.221 [</w:t>
      </w:r>
      <w:r w:rsidRPr="00873B6C">
        <w:t>23], that are the only allowed services when the 3GPP PS Data Off feature has been activated by the user. The 5GC shall support 3GPP PS Data Off operation in both non-roaming and roaming scenarios.</w:t>
      </w:r>
    </w:p>
    <w:p w14:paraId="1DBCFA90" w14:textId="77777777" w:rsidR="00D40151" w:rsidRPr="00873B6C" w:rsidRDefault="00D40151" w:rsidP="00D40151">
      <w:r w:rsidRPr="00873B6C">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873B6C" w:rsidRDefault="00D40151" w:rsidP="00D40151">
      <w:pPr>
        <w:pStyle w:val="NO"/>
      </w:pPr>
      <w:r w:rsidRPr="00873B6C">
        <w:t>NOTE 1:</w:t>
      </w:r>
      <w:r w:rsidRPr="00873B6C">
        <w:tab/>
        <w:t>The operator needs to ensure coordinated list(s) of 3GPP Data Off Exempt Services provisioned in the UE and configured in the network.</w:t>
      </w:r>
    </w:p>
    <w:p w14:paraId="73EF8B76" w14:textId="77777777" w:rsidR="00D40151" w:rsidRPr="00873B6C" w:rsidRDefault="00D40151" w:rsidP="00D40151">
      <w:r w:rsidRPr="00873B6C">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873B6C" w:rsidRDefault="00D40151" w:rsidP="00D40151">
      <w:r w:rsidRPr="00873B6C">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873B6C" w:rsidRDefault="00D40151" w:rsidP="00D40151">
      <w:r w:rsidRPr="00873B6C">
        <w:lastRenderedPageBreak/>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873B6C" w:rsidRDefault="00D40151" w:rsidP="00D40151">
      <w:r w:rsidRPr="00873B6C">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6B4FCAD6" w:rsidR="00D40151" w:rsidRPr="00873B6C" w:rsidRDefault="00D40151" w:rsidP="00D40151">
      <w:r w:rsidRPr="00873B6C">
        <w:t xml:space="preserve">The additional behaviour of the SMF for 3GPP PS Data Off is controlled by local configuration or policy from the PCF as defined in </w:t>
      </w:r>
      <w:r w:rsidR="00972E70" w:rsidRPr="00873B6C">
        <w:t>TS 23.503 [</w:t>
      </w:r>
      <w:r w:rsidRPr="00873B6C">
        <w:t>45].</w:t>
      </w:r>
    </w:p>
    <w:p w14:paraId="6B13D2E9" w14:textId="75868429" w:rsidR="00D40151" w:rsidRPr="00873B6C" w:rsidRDefault="00D40151" w:rsidP="00D40151">
      <w:pPr>
        <w:pStyle w:val="NO"/>
      </w:pPr>
      <w:r w:rsidRPr="00873B6C">
        <w:t>NOTE 2:</w:t>
      </w:r>
      <w:r w:rsidRPr="00873B6C">
        <w:tab/>
        <w:t xml:space="preserve">For the PDU Session used for IMS services, the 3GPP Data Off Exempt Services are enforced in the IMS domain as specified </w:t>
      </w:r>
      <w:r w:rsidR="00972E70" w:rsidRPr="00873B6C">
        <w:t>TS 23.228 [</w:t>
      </w:r>
      <w:r w:rsidRPr="00873B6C">
        <w:t>15]. Policies configured in the (H-)SMF/PCF need to ensure those services are always allowed when the 3GPP Data Off status of the UE is set to "activated".</w:t>
      </w:r>
    </w:p>
    <w:p w14:paraId="728F16A6" w14:textId="77777777" w:rsidR="00D40151" w:rsidRPr="00873B6C" w:rsidRDefault="00D40151" w:rsidP="00D40151">
      <w:pPr>
        <w:pStyle w:val="Heading2"/>
      </w:pPr>
      <w:bookmarkStart w:id="3800" w:name="_CR5_25"/>
      <w:bookmarkStart w:id="3801" w:name="_Toc20150048"/>
      <w:bookmarkStart w:id="3802" w:name="_Toc27846847"/>
      <w:bookmarkStart w:id="3803" w:name="_Toc36187978"/>
      <w:bookmarkStart w:id="3804" w:name="_Toc45183882"/>
      <w:bookmarkStart w:id="3805" w:name="_Toc47342724"/>
      <w:bookmarkStart w:id="3806" w:name="_Toc51769425"/>
      <w:bookmarkStart w:id="3807" w:name="_Toc201157446"/>
      <w:bookmarkEnd w:id="3800"/>
      <w:r w:rsidRPr="00873B6C">
        <w:t>5.25</w:t>
      </w:r>
      <w:r w:rsidRPr="00873B6C">
        <w:tab/>
        <w:t>Support of OAM Features</w:t>
      </w:r>
      <w:bookmarkEnd w:id="3801"/>
      <w:bookmarkEnd w:id="3802"/>
      <w:bookmarkEnd w:id="3803"/>
      <w:bookmarkEnd w:id="3804"/>
      <w:bookmarkEnd w:id="3805"/>
      <w:bookmarkEnd w:id="3806"/>
      <w:bookmarkEnd w:id="3807"/>
    </w:p>
    <w:p w14:paraId="7664CE9F" w14:textId="77777777" w:rsidR="00D40151" w:rsidRPr="00873B6C" w:rsidRDefault="00D40151" w:rsidP="00D40151">
      <w:pPr>
        <w:pStyle w:val="Heading3"/>
      </w:pPr>
      <w:bookmarkStart w:id="3808" w:name="_CR5_25_1"/>
      <w:bookmarkStart w:id="3809" w:name="_Toc20150049"/>
      <w:bookmarkStart w:id="3810" w:name="_Toc27846848"/>
      <w:bookmarkStart w:id="3811" w:name="_Toc36187979"/>
      <w:bookmarkStart w:id="3812" w:name="_Toc45183883"/>
      <w:bookmarkStart w:id="3813" w:name="_Toc47342725"/>
      <w:bookmarkStart w:id="3814" w:name="_Toc51769426"/>
      <w:bookmarkStart w:id="3815" w:name="_Toc201157447"/>
      <w:bookmarkEnd w:id="3808"/>
      <w:r w:rsidRPr="00873B6C">
        <w:t>5.25.1</w:t>
      </w:r>
      <w:r w:rsidRPr="00873B6C">
        <w:tab/>
        <w:t>Support of Tracing: Signalling Based Activation/Deactivation of Tracing</w:t>
      </w:r>
      <w:bookmarkEnd w:id="3809"/>
      <w:bookmarkEnd w:id="3810"/>
      <w:bookmarkEnd w:id="3811"/>
      <w:bookmarkEnd w:id="3812"/>
      <w:bookmarkEnd w:id="3813"/>
      <w:bookmarkEnd w:id="3814"/>
      <w:bookmarkEnd w:id="3815"/>
    </w:p>
    <w:p w14:paraId="14578E65" w14:textId="09E8D95C" w:rsidR="00D40151" w:rsidRPr="00873B6C" w:rsidRDefault="00D40151" w:rsidP="00D40151">
      <w:r w:rsidRPr="00873B6C">
        <w:t xml:space="preserve">5GS supports tracing as described in </w:t>
      </w:r>
      <w:r w:rsidR="00972E70" w:rsidRPr="00873B6C">
        <w:t>TS 32.421 [</w:t>
      </w:r>
      <w:r w:rsidRPr="00873B6C">
        <w:t xml:space="preserve">66]. 5GS support may include subscriber tracing (tracing targeting a SUPI) or equipment tracing (tracing targeting a PEI) but also other forms of tracing further described in </w:t>
      </w:r>
      <w:r w:rsidR="00972E70" w:rsidRPr="00873B6C">
        <w:t>TS 32.421 [</w:t>
      </w:r>
      <w:r w:rsidRPr="00873B6C">
        <w:t>66]</w:t>
      </w:r>
      <w:r w:rsidR="00AF2D89" w:rsidRPr="00873B6C">
        <w:t xml:space="preserve"> and TS 32.422 [192]</w:t>
      </w:r>
      <w:r w:rsidRPr="00873B6C">
        <w:t>.</w:t>
      </w:r>
    </w:p>
    <w:p w14:paraId="7DFE6A11" w14:textId="15E26001" w:rsidR="00D40151" w:rsidRPr="00873B6C" w:rsidRDefault="00D40151" w:rsidP="00D40151">
      <w:pPr>
        <w:pStyle w:val="NO"/>
      </w:pPr>
      <w:r w:rsidRPr="00873B6C">
        <w:t>NOTE 1:</w:t>
      </w:r>
      <w:r w:rsidRPr="00873B6C">
        <w:tab/>
        <w:t xml:space="preserve">TS 23.501 / </w:t>
      </w:r>
      <w:r w:rsidR="00972E70" w:rsidRPr="00873B6C">
        <w:t>TS 23.502 [</w:t>
      </w:r>
      <w:r w:rsidRPr="00873B6C">
        <w:t xml:space="preserve">3] / </w:t>
      </w:r>
      <w:r w:rsidR="00972E70" w:rsidRPr="00873B6C">
        <w:t>TS 23.503 [</w:t>
      </w:r>
      <w:r w:rsidRPr="00873B6C">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11B79137" w:rsidR="00D40151" w:rsidRPr="00873B6C" w:rsidRDefault="00D40151" w:rsidP="00D40151">
      <w:r w:rsidRPr="00873B6C">
        <w:t xml:space="preserve">The content of Trace Requirements about a UE (e.g. trace reference, address of the Trace Collection Entity, etc.) is defined in </w:t>
      </w:r>
      <w:r w:rsidR="00972E70" w:rsidRPr="00873B6C">
        <w:t>TS 32.421 [</w:t>
      </w:r>
      <w:r w:rsidRPr="00873B6C">
        <w:t>66].</w:t>
      </w:r>
    </w:p>
    <w:p w14:paraId="13D4A4DA" w14:textId="77777777" w:rsidR="00D40151" w:rsidRPr="00873B6C" w:rsidRDefault="00D40151" w:rsidP="00D40151">
      <w:r w:rsidRPr="00873B6C">
        <w:t>Trace Requirements about a UE may be configured in subscription data of the UE and delivered together with other subscription data by the UDM towards the AMF, the SMF and/or the SMSF.</w:t>
      </w:r>
    </w:p>
    <w:p w14:paraId="3EE232DC" w14:textId="46FC0480" w:rsidR="00D40151" w:rsidRPr="00873B6C" w:rsidRDefault="00D40151" w:rsidP="00D40151">
      <w:r w:rsidRPr="00873B6C">
        <w:t>The AMF propagates Trace Requirements about a UE received from the UDM to network entities not retrieving subscription information from UDM, i.e. to the 5G-AN, to the AUSF and to the PCF. The AMF also propagates Trace Requirements to the SMF and to the SMSF.</w:t>
      </w:r>
      <w:r w:rsidR="006E7E83" w:rsidRPr="00873B6C">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873B6C" w:rsidRDefault="00D40151" w:rsidP="00D40151">
      <w:r w:rsidRPr="00873B6C">
        <w:t>Trace Requirements about a UE may be sent by the AMF to the 5G-AN as part of:</w:t>
      </w:r>
    </w:p>
    <w:p w14:paraId="7244716F" w14:textId="77777777" w:rsidR="00D40151" w:rsidRPr="00873B6C" w:rsidRDefault="00D40151" w:rsidP="00D40151">
      <w:pPr>
        <w:pStyle w:val="B1"/>
      </w:pPr>
      <w:r w:rsidRPr="00873B6C">
        <w:t>-</w:t>
      </w:r>
      <w:r w:rsidRPr="00873B6C">
        <w:tab/>
        <w:t>the N2 procedures used to move the UE from CM-IDLE to CM-CONNECTED or,</w:t>
      </w:r>
    </w:p>
    <w:p w14:paraId="46C0AA35" w14:textId="77777777" w:rsidR="00D40151" w:rsidRPr="00873B6C" w:rsidRDefault="00D40151" w:rsidP="00D40151">
      <w:pPr>
        <w:pStyle w:val="B1"/>
      </w:pPr>
      <w:r w:rsidRPr="00873B6C">
        <w:t>-</w:t>
      </w:r>
      <w:r w:rsidRPr="00873B6C">
        <w:tab/>
        <w:t>the N2 procedures to request a Hand-over from a target NG-RAN or,</w:t>
      </w:r>
    </w:p>
    <w:p w14:paraId="684E88E5" w14:textId="77777777" w:rsidR="00D40151" w:rsidRPr="00873B6C" w:rsidRDefault="00D40151" w:rsidP="00D40151">
      <w:pPr>
        <w:pStyle w:val="B1"/>
      </w:pPr>
      <w:r w:rsidRPr="00873B6C">
        <w:t>-</w:t>
      </w:r>
      <w:r w:rsidRPr="00873B6C">
        <w:tab/>
        <w:t>a stand-alone dedicated N2 procedure when tracing is activated while the UE is CM-CONNECTED.</w:t>
      </w:r>
    </w:p>
    <w:p w14:paraId="27E6AAA2" w14:textId="77777777" w:rsidR="00D40151" w:rsidRPr="00873B6C" w:rsidRDefault="00D40151" w:rsidP="00D40151">
      <w:r w:rsidRPr="00873B6C">
        <w:t>Trace Requirements about a UE sent to a 5G-AN shall not contain information on the SUPI or on the PEI of the UE. Trace Requirements are directly sent from Source to Target NG-RAN in the case of Xn Hand-Over.</w:t>
      </w:r>
    </w:p>
    <w:p w14:paraId="572CE2D7" w14:textId="77777777" w:rsidR="00D40151" w:rsidRPr="00873B6C" w:rsidRDefault="00D40151" w:rsidP="00D40151">
      <w:r w:rsidRPr="00873B6C">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873B6C" w:rsidRDefault="00D40151" w:rsidP="00D40151">
      <w:r w:rsidRPr="00873B6C">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873B6C" w:rsidRDefault="00D40151" w:rsidP="00D40151">
      <w:pPr>
        <w:pStyle w:val="Heading3"/>
      </w:pPr>
      <w:bookmarkStart w:id="3816" w:name="_CR5_25_2"/>
      <w:bookmarkStart w:id="3817" w:name="_Toc20150050"/>
      <w:bookmarkStart w:id="3818" w:name="_Toc27846849"/>
      <w:bookmarkStart w:id="3819" w:name="_Toc36187980"/>
      <w:bookmarkStart w:id="3820" w:name="_Toc45183884"/>
      <w:bookmarkStart w:id="3821" w:name="_Toc47342726"/>
      <w:bookmarkStart w:id="3822" w:name="_Toc51769427"/>
      <w:bookmarkStart w:id="3823" w:name="_Toc201157448"/>
      <w:bookmarkEnd w:id="3816"/>
      <w:r w:rsidRPr="00873B6C">
        <w:lastRenderedPageBreak/>
        <w:t>5.25.2</w:t>
      </w:r>
      <w:r w:rsidRPr="00873B6C">
        <w:tab/>
        <w:t>Support of OAM-based 5G VN group management</w:t>
      </w:r>
      <w:bookmarkEnd w:id="3817"/>
      <w:bookmarkEnd w:id="3818"/>
      <w:bookmarkEnd w:id="3819"/>
      <w:bookmarkEnd w:id="3820"/>
      <w:bookmarkEnd w:id="3821"/>
      <w:bookmarkEnd w:id="3822"/>
      <w:bookmarkEnd w:id="3823"/>
    </w:p>
    <w:p w14:paraId="45A3918A" w14:textId="77777777" w:rsidR="00D40151" w:rsidRPr="00873B6C" w:rsidRDefault="00D40151" w:rsidP="00D40151">
      <w:r w:rsidRPr="00873B6C">
        <w:t>5GS supports 5G LAN-type service as defined in clause 5.29. 5G LAN-type service includes the 5G VN group management that can be configured by a network administrator.</w:t>
      </w:r>
    </w:p>
    <w:p w14:paraId="2F1326D0" w14:textId="77777777" w:rsidR="00D40151" w:rsidRPr="00873B6C" w:rsidRDefault="00D40151" w:rsidP="00D40151">
      <w:r w:rsidRPr="00873B6C">
        <w:t>The parameters for 5G VN group is defined in clause 5.29.</w:t>
      </w:r>
    </w:p>
    <w:p w14:paraId="0CC4BE93" w14:textId="77777777" w:rsidR="00D40151" w:rsidRPr="00873B6C" w:rsidRDefault="00D40151" w:rsidP="00D40151">
      <w:r w:rsidRPr="00873B6C">
        <w:t>The 5G VN group parameters about a UE may be configured in subscription data of the UE and delivered together with other subscription data by the UDM towards the AMF and SMF.</w:t>
      </w:r>
    </w:p>
    <w:p w14:paraId="6C656CF2" w14:textId="5EAA487E" w:rsidR="00060FE0" w:rsidRPr="00873B6C" w:rsidRDefault="00060FE0" w:rsidP="00060FE0">
      <w:pPr>
        <w:pStyle w:val="Heading3"/>
      </w:pPr>
      <w:bookmarkStart w:id="3824" w:name="_CR5_25_3"/>
      <w:bookmarkStart w:id="3825" w:name="_Toc20150051"/>
      <w:bookmarkStart w:id="3826" w:name="_Toc27846850"/>
      <w:bookmarkStart w:id="3827" w:name="_Toc36187981"/>
      <w:bookmarkStart w:id="3828" w:name="_Toc45183885"/>
      <w:bookmarkStart w:id="3829" w:name="_Toc47342727"/>
      <w:bookmarkStart w:id="3830" w:name="_Toc51769428"/>
      <w:bookmarkStart w:id="3831" w:name="_Toc201157449"/>
      <w:bookmarkEnd w:id="3824"/>
      <w:r w:rsidRPr="00873B6C">
        <w:t>5.25.3</w:t>
      </w:r>
      <w:r w:rsidRPr="00873B6C">
        <w:tab/>
        <w:t>Signalling Based Activation of QoE Measurement Collection</w:t>
      </w:r>
      <w:bookmarkEnd w:id="3831"/>
    </w:p>
    <w:p w14:paraId="29EE8EC3" w14:textId="77777777" w:rsidR="00060FE0" w:rsidRPr="00873B6C" w:rsidRDefault="00060FE0" w:rsidP="00060FE0">
      <w:r w:rsidRPr="00873B6C">
        <w:t>5GS may support QoE Measurement Collection (QMC) as described in TS 28.405 [190]. 5GS may support Signalling based activation and Management based activation as specified in TS 38.300 [27] and TS 28.405 [190].</w:t>
      </w:r>
    </w:p>
    <w:p w14:paraId="36EE6DBF" w14:textId="77777777" w:rsidR="00060FE0" w:rsidRPr="00873B6C" w:rsidRDefault="00060FE0" w:rsidP="00060FE0">
      <w:r w:rsidRPr="00873B6C">
        <w:t>To enable signalling based activation in NR, the QMC Configuration information is configured in subscription data of the UE. 5GC provides the QMC Configuration information to the NG-RAN as described in TS 23.502 [3].</w:t>
      </w:r>
    </w:p>
    <w:p w14:paraId="72CFCC0A" w14:textId="77777777" w:rsidR="00D40151" w:rsidRPr="00873B6C" w:rsidRDefault="00D40151" w:rsidP="00D40151">
      <w:pPr>
        <w:pStyle w:val="Heading2"/>
      </w:pPr>
      <w:bookmarkStart w:id="3832" w:name="_CR5_26"/>
      <w:bookmarkStart w:id="3833" w:name="_Toc201157450"/>
      <w:bookmarkEnd w:id="3832"/>
      <w:r w:rsidRPr="00873B6C">
        <w:t>5.26</w:t>
      </w:r>
      <w:r w:rsidRPr="00873B6C">
        <w:tab/>
        <w:t>Configuration Transfer Procedure</w:t>
      </w:r>
      <w:bookmarkEnd w:id="3825"/>
      <w:bookmarkEnd w:id="3826"/>
      <w:bookmarkEnd w:id="3827"/>
      <w:bookmarkEnd w:id="3828"/>
      <w:bookmarkEnd w:id="3829"/>
      <w:bookmarkEnd w:id="3830"/>
      <w:bookmarkEnd w:id="3833"/>
    </w:p>
    <w:p w14:paraId="28D39624" w14:textId="3618F107" w:rsidR="00D40151" w:rsidRPr="00873B6C" w:rsidRDefault="00D40151" w:rsidP="00D40151">
      <w:r w:rsidRPr="00873B6C">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972E70" w:rsidRPr="00873B6C">
        <w:t>TS 38.413 [</w:t>
      </w:r>
      <w:r w:rsidRPr="00873B6C">
        <w:t>34].</w:t>
      </w:r>
    </w:p>
    <w:p w14:paraId="5833BC51" w14:textId="77777777" w:rsidR="00D40151" w:rsidRPr="00873B6C" w:rsidRDefault="00D40151" w:rsidP="00D40151">
      <w:pPr>
        <w:pStyle w:val="Heading3"/>
      </w:pPr>
      <w:bookmarkStart w:id="3834" w:name="_CR5_26_1"/>
      <w:bookmarkStart w:id="3835" w:name="_Toc20150052"/>
      <w:bookmarkStart w:id="3836" w:name="_Toc27846851"/>
      <w:bookmarkStart w:id="3837" w:name="_Toc36187982"/>
      <w:bookmarkStart w:id="3838" w:name="_Toc45183886"/>
      <w:bookmarkStart w:id="3839" w:name="_Toc47342728"/>
      <w:bookmarkStart w:id="3840" w:name="_Toc51769429"/>
      <w:bookmarkStart w:id="3841" w:name="_Toc201157451"/>
      <w:bookmarkEnd w:id="3834"/>
      <w:r w:rsidRPr="00873B6C">
        <w:t>5.26.1</w:t>
      </w:r>
      <w:r w:rsidRPr="00873B6C">
        <w:tab/>
        <w:t>Architecture Principles for Configuration Transfer</w:t>
      </w:r>
      <w:bookmarkEnd w:id="3835"/>
      <w:bookmarkEnd w:id="3836"/>
      <w:bookmarkEnd w:id="3837"/>
      <w:bookmarkEnd w:id="3838"/>
      <w:bookmarkEnd w:id="3839"/>
      <w:bookmarkEnd w:id="3840"/>
      <w:bookmarkEnd w:id="3841"/>
    </w:p>
    <w:p w14:paraId="53CC5614" w14:textId="77777777" w:rsidR="00D40151" w:rsidRPr="00873B6C" w:rsidRDefault="00D40151" w:rsidP="00D40151">
      <w:r w:rsidRPr="00873B6C">
        <w:t>Configuration Transfer between two RAN node provides a generic mechanism for the exchange of information between applications belonging to the RAN nodes.</w:t>
      </w:r>
    </w:p>
    <w:p w14:paraId="610F1142" w14:textId="77777777" w:rsidR="00D40151" w:rsidRPr="00873B6C" w:rsidRDefault="00D40151" w:rsidP="00D40151">
      <w:r w:rsidRPr="00873B6C">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842" w:name="_MON_1306138469"/>
    <w:bookmarkEnd w:id="3842"/>
    <w:p w14:paraId="1A160292" w14:textId="77777777" w:rsidR="00D40151" w:rsidRPr="00873B6C" w:rsidRDefault="00D40151" w:rsidP="00D40151">
      <w:pPr>
        <w:pStyle w:val="TH"/>
      </w:pPr>
      <w:r w:rsidRPr="00873B6C">
        <w:object w:dxaOrig="4301" w:dyaOrig="2405" w14:anchorId="3BFF8F66">
          <v:shape id="_x0000_i1099" type="#_x0000_t75" style="width:472.05pt;height:262.35pt" o:ole="">
            <v:imagedata r:id="rId157" o:title=""/>
          </v:shape>
          <o:OLEObject Type="Embed" ProgID="Word.Picture.8" ShapeID="_x0000_i1099" DrawAspect="Content" ObjectID="_1811772433" r:id="rId158"/>
        </w:object>
      </w:r>
    </w:p>
    <w:p w14:paraId="596D5C9A" w14:textId="77777777" w:rsidR="00D40151" w:rsidRPr="00873B6C" w:rsidRDefault="00D40151" w:rsidP="00D40151">
      <w:pPr>
        <w:pStyle w:val="TF"/>
      </w:pPr>
      <w:bookmarkStart w:id="3843" w:name="_CRFigure5_261"/>
      <w:r w:rsidRPr="00873B6C">
        <w:t xml:space="preserve">Figure </w:t>
      </w:r>
      <w:bookmarkEnd w:id="3843"/>
      <w:r w:rsidRPr="00873B6C">
        <w:t>5.26-1: inter NG-RAN Configuration Transfer basic network architecture</w:t>
      </w:r>
    </w:p>
    <w:p w14:paraId="53865750" w14:textId="77777777" w:rsidR="00D40151" w:rsidRPr="00873B6C" w:rsidRDefault="00D40151" w:rsidP="00D40151">
      <w:r w:rsidRPr="00873B6C">
        <w:lastRenderedPageBreak/>
        <w:t>The NG-RAN transparent containers are transferred from the source NG-RAN node to the destination NG-RAN node by use of Configuration Transfer messages.</w:t>
      </w:r>
    </w:p>
    <w:p w14:paraId="63D069F5" w14:textId="5DF86611" w:rsidR="00D40151" w:rsidRPr="00873B6C" w:rsidRDefault="00D40151" w:rsidP="00D40151">
      <w:r w:rsidRPr="00873B6C">
        <w:t>A Configuration Transfer message is used from the NG-RAN node to the AMF over N2 interface, a AMF Configuration Transfer message is used from the AMF to the NG-RAN over N2 interface</w:t>
      </w:r>
      <w:r w:rsidR="00472CD7" w:rsidRPr="00873B6C">
        <w:t xml:space="preserve"> and</w:t>
      </w:r>
      <w:r w:rsidRPr="00873B6C">
        <w:t xml:space="preserve"> a Configuration Transfer Tunnel message is used to tunnel the transparent container from a source AMF to a target AMF over the N14 interface.</w:t>
      </w:r>
    </w:p>
    <w:p w14:paraId="4D7DCA4C" w14:textId="77777777" w:rsidR="00D40151" w:rsidRPr="00873B6C" w:rsidRDefault="00D40151" w:rsidP="00D40151">
      <w:r w:rsidRPr="00873B6C">
        <w:t>Each Configuration Transfer message carrying the transparent container is routed and relayed independently by the core network node(s).</w:t>
      </w:r>
    </w:p>
    <w:p w14:paraId="6DC6ADD5" w14:textId="77777777" w:rsidR="00D40151" w:rsidRPr="00873B6C" w:rsidRDefault="00D40151" w:rsidP="00D40151">
      <w:pPr>
        <w:pStyle w:val="Heading3"/>
      </w:pPr>
      <w:bookmarkStart w:id="3844" w:name="_CR5_26_2"/>
      <w:bookmarkStart w:id="3845" w:name="_Toc20150053"/>
      <w:bookmarkStart w:id="3846" w:name="_Toc27846852"/>
      <w:bookmarkStart w:id="3847" w:name="_Toc36187983"/>
      <w:bookmarkStart w:id="3848" w:name="_Toc45183887"/>
      <w:bookmarkStart w:id="3849" w:name="_Toc47342729"/>
      <w:bookmarkStart w:id="3850" w:name="_Toc51769430"/>
      <w:bookmarkStart w:id="3851" w:name="_Toc201157452"/>
      <w:bookmarkEnd w:id="3844"/>
      <w:r w:rsidRPr="00873B6C">
        <w:t>5.26.2</w:t>
      </w:r>
      <w:r w:rsidRPr="00873B6C">
        <w:tab/>
        <w:t>Addressing, routing and relaying</w:t>
      </w:r>
      <w:bookmarkEnd w:id="3845"/>
      <w:bookmarkEnd w:id="3846"/>
      <w:bookmarkEnd w:id="3847"/>
      <w:bookmarkEnd w:id="3848"/>
      <w:bookmarkEnd w:id="3849"/>
      <w:bookmarkEnd w:id="3850"/>
      <w:bookmarkEnd w:id="3851"/>
    </w:p>
    <w:p w14:paraId="7A07B79E" w14:textId="77777777" w:rsidR="00D40151" w:rsidRPr="00873B6C" w:rsidRDefault="00D40151" w:rsidP="00D40151">
      <w:pPr>
        <w:pStyle w:val="Heading4"/>
      </w:pPr>
      <w:bookmarkStart w:id="3852" w:name="_CR5_26_2_1"/>
      <w:bookmarkStart w:id="3853" w:name="_Toc20150054"/>
      <w:bookmarkStart w:id="3854" w:name="_Toc27846853"/>
      <w:bookmarkStart w:id="3855" w:name="_Toc36187984"/>
      <w:bookmarkStart w:id="3856" w:name="_Toc45183888"/>
      <w:bookmarkStart w:id="3857" w:name="_Toc47342730"/>
      <w:bookmarkStart w:id="3858" w:name="_Toc51769431"/>
      <w:bookmarkStart w:id="3859" w:name="_Toc201157453"/>
      <w:bookmarkEnd w:id="3852"/>
      <w:r w:rsidRPr="00873B6C">
        <w:t>5.26.2.1</w:t>
      </w:r>
      <w:r w:rsidRPr="00873B6C">
        <w:tab/>
        <w:t>Addressing</w:t>
      </w:r>
      <w:bookmarkEnd w:id="3853"/>
      <w:bookmarkEnd w:id="3854"/>
      <w:bookmarkEnd w:id="3855"/>
      <w:bookmarkEnd w:id="3856"/>
      <w:bookmarkEnd w:id="3857"/>
      <w:bookmarkEnd w:id="3858"/>
      <w:bookmarkEnd w:id="3859"/>
    </w:p>
    <w:p w14:paraId="151C1054" w14:textId="77777777" w:rsidR="00D40151" w:rsidRPr="00873B6C" w:rsidRDefault="00D40151" w:rsidP="00D40151">
      <w:pPr>
        <w:rPr>
          <w:lang w:eastAsia="ja-JP"/>
        </w:rPr>
      </w:pPr>
      <w:r w:rsidRPr="00873B6C">
        <w:rPr>
          <w:lang w:eastAsia="ja-JP"/>
        </w:rPr>
        <w:t>All the Configuration Transfer messages contain the addresses of the source and destination RAN nodes. An NG-RAN node is addressed by the Target NG-RAN node identifier.</w:t>
      </w:r>
    </w:p>
    <w:p w14:paraId="70AB1797" w14:textId="77777777" w:rsidR="00D40151" w:rsidRPr="00873B6C" w:rsidRDefault="00D40151" w:rsidP="00D40151">
      <w:pPr>
        <w:pStyle w:val="Heading4"/>
      </w:pPr>
      <w:bookmarkStart w:id="3860" w:name="_CR5_26_2_2"/>
      <w:bookmarkStart w:id="3861" w:name="_Toc20150055"/>
      <w:bookmarkStart w:id="3862" w:name="_Toc27846854"/>
      <w:bookmarkStart w:id="3863" w:name="_Toc36187985"/>
      <w:bookmarkStart w:id="3864" w:name="_Toc45183889"/>
      <w:bookmarkStart w:id="3865" w:name="_Toc47342731"/>
      <w:bookmarkStart w:id="3866" w:name="_Toc51769432"/>
      <w:bookmarkStart w:id="3867" w:name="_Toc201157454"/>
      <w:bookmarkEnd w:id="3860"/>
      <w:r w:rsidRPr="00873B6C">
        <w:t>5.26.2.2</w:t>
      </w:r>
      <w:r w:rsidRPr="00873B6C">
        <w:tab/>
        <w:t>Routing</w:t>
      </w:r>
      <w:bookmarkEnd w:id="3861"/>
      <w:bookmarkEnd w:id="3862"/>
      <w:bookmarkEnd w:id="3863"/>
      <w:bookmarkEnd w:id="3864"/>
      <w:bookmarkEnd w:id="3865"/>
      <w:bookmarkEnd w:id="3866"/>
      <w:bookmarkEnd w:id="3867"/>
    </w:p>
    <w:p w14:paraId="6EB4FB15" w14:textId="77777777" w:rsidR="00D40151" w:rsidRPr="00873B6C" w:rsidRDefault="00D40151" w:rsidP="00D40151">
      <w:pPr>
        <w:rPr>
          <w:lang w:eastAsia="ja-JP"/>
        </w:rPr>
      </w:pPr>
      <w:r w:rsidRPr="00873B6C">
        <w:rPr>
          <w:lang w:eastAsia="ja-JP"/>
        </w:rPr>
        <w:t>The following description applies to all the Configuration Transfer messages used for the exchange of the transparent container.</w:t>
      </w:r>
    </w:p>
    <w:p w14:paraId="30113EF4" w14:textId="77777777" w:rsidR="00D40151" w:rsidRPr="00873B6C" w:rsidRDefault="00D40151" w:rsidP="00D40151">
      <w:pPr>
        <w:rPr>
          <w:lang w:eastAsia="ja-JP"/>
        </w:rPr>
      </w:pPr>
      <w:r w:rsidRPr="00873B6C">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873B6C" w:rsidRDefault="00D40151" w:rsidP="00D40151">
      <w:pPr>
        <w:rPr>
          <w:lang w:eastAsia="ja-JP"/>
        </w:rPr>
      </w:pPr>
      <w:r w:rsidRPr="00873B6C">
        <w:rPr>
          <w:lang w:eastAsia="ja-JP"/>
        </w:rPr>
        <w:t>The AMF connected to the destination RAN node decides which RAN node to send the message to, based on the destination address.</w:t>
      </w:r>
    </w:p>
    <w:p w14:paraId="0AAE80EA" w14:textId="77777777" w:rsidR="00D40151" w:rsidRPr="00873B6C" w:rsidRDefault="00D40151" w:rsidP="00D40151">
      <w:pPr>
        <w:pStyle w:val="Heading4"/>
      </w:pPr>
      <w:bookmarkStart w:id="3868" w:name="_CR5_26_2_3"/>
      <w:bookmarkStart w:id="3869" w:name="_Toc20150056"/>
      <w:bookmarkStart w:id="3870" w:name="_Toc27846855"/>
      <w:bookmarkStart w:id="3871" w:name="_Toc36187986"/>
      <w:bookmarkStart w:id="3872" w:name="_Toc45183890"/>
      <w:bookmarkStart w:id="3873" w:name="_Toc47342732"/>
      <w:bookmarkStart w:id="3874" w:name="_Toc51769433"/>
      <w:bookmarkStart w:id="3875" w:name="_Toc201157455"/>
      <w:bookmarkEnd w:id="3868"/>
      <w:r w:rsidRPr="00873B6C">
        <w:t>5.26.2.3</w:t>
      </w:r>
      <w:r w:rsidRPr="00873B6C">
        <w:tab/>
        <w:t>Relaying</w:t>
      </w:r>
      <w:bookmarkEnd w:id="3869"/>
      <w:bookmarkEnd w:id="3870"/>
      <w:bookmarkEnd w:id="3871"/>
      <w:bookmarkEnd w:id="3872"/>
      <w:bookmarkEnd w:id="3873"/>
      <w:bookmarkEnd w:id="3874"/>
      <w:bookmarkEnd w:id="3875"/>
    </w:p>
    <w:p w14:paraId="63943A71" w14:textId="1E0C4A71" w:rsidR="00D40151" w:rsidRPr="00873B6C" w:rsidRDefault="00D40151" w:rsidP="00D40151">
      <w:pPr>
        <w:rPr>
          <w:noProof/>
        </w:rPr>
      </w:pPr>
      <w:r w:rsidRPr="00873B6C">
        <w:rPr>
          <w:noProof/>
        </w:rPr>
        <w:t xml:space="preserve">The AMF performs relaying between N2 and N14 messages as described in </w:t>
      </w:r>
      <w:r w:rsidR="00972E70" w:rsidRPr="00873B6C">
        <w:rPr>
          <w:noProof/>
        </w:rPr>
        <w:t>TS 38.413 [</w:t>
      </w:r>
      <w:r w:rsidRPr="00873B6C">
        <w:rPr>
          <w:noProof/>
        </w:rPr>
        <w:t xml:space="preserve">34], </w:t>
      </w:r>
      <w:r w:rsidR="00972E70" w:rsidRPr="00873B6C">
        <w:rPr>
          <w:noProof/>
        </w:rPr>
        <w:t>TS 29.518 [</w:t>
      </w:r>
      <w:r w:rsidRPr="00873B6C">
        <w:rPr>
          <w:noProof/>
        </w:rPr>
        <w:t>71].</w:t>
      </w:r>
    </w:p>
    <w:p w14:paraId="4892EC0C" w14:textId="4B54E418" w:rsidR="00D40151" w:rsidRPr="00873B6C" w:rsidRDefault="00D40151" w:rsidP="00D40151">
      <w:pPr>
        <w:pStyle w:val="Heading2"/>
      </w:pPr>
      <w:bookmarkStart w:id="3876" w:name="_CR5_27"/>
      <w:bookmarkStart w:id="3877" w:name="_Toc20150057"/>
      <w:bookmarkStart w:id="3878" w:name="_Toc27846856"/>
      <w:bookmarkStart w:id="3879" w:name="_Toc36187987"/>
      <w:bookmarkStart w:id="3880" w:name="_Toc45183891"/>
      <w:bookmarkStart w:id="3881" w:name="_Toc47342733"/>
      <w:bookmarkStart w:id="3882" w:name="_Toc51769434"/>
      <w:bookmarkStart w:id="3883" w:name="_Toc201157456"/>
      <w:bookmarkEnd w:id="3876"/>
      <w:r w:rsidRPr="00873B6C">
        <w:t>5.27</w:t>
      </w:r>
      <w:r w:rsidRPr="00873B6C">
        <w:tab/>
      </w:r>
      <w:r w:rsidR="000E35F2" w:rsidRPr="00873B6C">
        <w:t xml:space="preserve">Enablers for </w:t>
      </w:r>
      <w:r w:rsidRPr="00873B6C">
        <w:t>Time Sensitive Communications</w:t>
      </w:r>
      <w:bookmarkEnd w:id="3877"/>
      <w:bookmarkEnd w:id="3878"/>
      <w:bookmarkEnd w:id="3879"/>
      <w:bookmarkEnd w:id="3880"/>
      <w:bookmarkEnd w:id="3881"/>
      <w:bookmarkEnd w:id="3882"/>
      <w:r w:rsidR="00E23065" w:rsidRPr="00873B6C">
        <w:t>,</w:t>
      </w:r>
      <w:r w:rsidR="000E35F2" w:rsidRPr="00873B6C">
        <w:t xml:space="preserve"> Time Synchronization</w:t>
      </w:r>
      <w:r w:rsidR="00E23065" w:rsidRPr="00873B6C">
        <w:t xml:space="preserve"> and Deterministic Networking</w:t>
      </w:r>
      <w:bookmarkEnd w:id="3883"/>
    </w:p>
    <w:p w14:paraId="477670E2" w14:textId="77777777" w:rsidR="00D40151" w:rsidRPr="00873B6C" w:rsidRDefault="00D40151" w:rsidP="00D40151">
      <w:pPr>
        <w:pStyle w:val="Heading3"/>
      </w:pPr>
      <w:bookmarkStart w:id="3884" w:name="_CR5_27_0"/>
      <w:bookmarkStart w:id="3885" w:name="_Toc20150058"/>
      <w:bookmarkStart w:id="3886" w:name="_Toc27846857"/>
      <w:bookmarkStart w:id="3887" w:name="_Toc36187988"/>
      <w:bookmarkStart w:id="3888" w:name="_Toc45183892"/>
      <w:bookmarkStart w:id="3889" w:name="_Toc47342734"/>
      <w:bookmarkStart w:id="3890" w:name="_Toc51769435"/>
      <w:bookmarkStart w:id="3891" w:name="_Toc201157457"/>
      <w:bookmarkEnd w:id="3884"/>
      <w:r w:rsidRPr="00873B6C">
        <w:t>5.27.0</w:t>
      </w:r>
      <w:r w:rsidRPr="00873B6C">
        <w:tab/>
        <w:t>General</w:t>
      </w:r>
      <w:bookmarkEnd w:id="3885"/>
      <w:bookmarkEnd w:id="3886"/>
      <w:bookmarkEnd w:id="3887"/>
      <w:bookmarkEnd w:id="3888"/>
      <w:bookmarkEnd w:id="3889"/>
      <w:bookmarkEnd w:id="3890"/>
      <w:bookmarkEnd w:id="3891"/>
    </w:p>
    <w:p w14:paraId="4E5FD651" w14:textId="67F2B0B5" w:rsidR="000E35F2" w:rsidRPr="00873B6C" w:rsidRDefault="00D40151" w:rsidP="00D40151">
      <w:r w:rsidRPr="00873B6C">
        <w:t xml:space="preserve">This clause describes 5G System features that </w:t>
      </w:r>
      <w:r w:rsidR="000E35F2" w:rsidRPr="00873B6C">
        <w:t>can be used</w:t>
      </w:r>
      <w:r w:rsidR="00BB2064" w:rsidRPr="00873B6C">
        <w:t xml:space="preserve"> independently or in combination</w:t>
      </w:r>
      <w:r w:rsidR="000E35F2" w:rsidRPr="00873B6C">
        <w:t xml:space="preserve"> to enable time-sensitive communication</w:t>
      </w:r>
      <w:r w:rsidR="00E23065" w:rsidRPr="00873B6C">
        <w:t>,</w:t>
      </w:r>
      <w:r w:rsidR="000E35F2" w:rsidRPr="00873B6C">
        <w:t xml:space="preserve"> time synchronization</w:t>
      </w:r>
      <w:r w:rsidR="00E23065" w:rsidRPr="00873B6C">
        <w:t xml:space="preserve"> and deterministic networking</w:t>
      </w:r>
      <w:r w:rsidR="000E35F2" w:rsidRPr="00873B6C">
        <w:t>:</w:t>
      </w:r>
    </w:p>
    <w:p w14:paraId="4D5AE016" w14:textId="77777777" w:rsidR="000E35F2" w:rsidRPr="00873B6C" w:rsidRDefault="000E35F2" w:rsidP="00323277">
      <w:pPr>
        <w:pStyle w:val="B1"/>
      </w:pPr>
      <w:r w:rsidRPr="00873B6C">
        <w:t>-</w:t>
      </w:r>
      <w:r w:rsidRPr="00873B6C">
        <w:tab/>
        <w:t>Delay-critical GBR;</w:t>
      </w:r>
    </w:p>
    <w:p w14:paraId="493C4E4F" w14:textId="44D5BE12" w:rsidR="000E35F2" w:rsidRPr="00873B6C" w:rsidRDefault="000E35F2" w:rsidP="00323277">
      <w:pPr>
        <w:pStyle w:val="B1"/>
      </w:pPr>
      <w:r w:rsidRPr="00873B6C">
        <w:t>-</w:t>
      </w:r>
      <w:r w:rsidRPr="00873B6C">
        <w:tab/>
        <w:t>A hold and forward mechanism to schedule traffic as defined in IEEE</w:t>
      </w:r>
      <w:r w:rsidR="00607A94" w:rsidRPr="00873B6C">
        <w:t> </w:t>
      </w:r>
      <w:r w:rsidRPr="00873B6C">
        <w:t>Std</w:t>
      </w:r>
      <w:r w:rsidR="00607A94" w:rsidRPr="00873B6C">
        <w:t> </w:t>
      </w:r>
      <w:r w:rsidRPr="00873B6C">
        <w:t xml:space="preserve">802.1Q [98] for Ethernet PDU </w:t>
      </w:r>
      <w:r w:rsidR="00BB2064" w:rsidRPr="00873B6C">
        <w:t>S</w:t>
      </w:r>
      <w:r w:rsidRPr="00873B6C">
        <w:t>essions</w:t>
      </w:r>
      <w:r w:rsidR="00BB2064" w:rsidRPr="00873B6C">
        <w:t xml:space="preserve"> in DS-TT and NW-TT (see clause 5.27.4) to de-jitter flows that have traversed the 5G System if the 5G System</w:t>
      </w:r>
      <w:r w:rsidRPr="00873B6C">
        <w:t xml:space="preserve"> is to participate transparently as a bridge in a TSN network;</w:t>
      </w:r>
    </w:p>
    <w:p w14:paraId="32778909" w14:textId="15EBAB72" w:rsidR="000E35F2" w:rsidRPr="00873B6C" w:rsidRDefault="000E35F2" w:rsidP="00323277">
      <w:pPr>
        <w:pStyle w:val="B1"/>
      </w:pPr>
      <w:r w:rsidRPr="00873B6C">
        <w:t>-</w:t>
      </w:r>
      <w:r w:rsidRPr="00873B6C">
        <w:tab/>
        <w:t>TSC Assistance Information: describes</w:t>
      </w:r>
      <w:r w:rsidR="00BB2064" w:rsidRPr="00873B6C">
        <w:t xml:space="preserve"> TSC flow</w:t>
      </w:r>
      <w:r w:rsidRPr="00873B6C">
        <w:t xml:space="preserve"> traffic characteristics</w:t>
      </w:r>
      <w:r w:rsidR="00BB2064" w:rsidRPr="00873B6C">
        <w:t xml:space="preserve"> as described in clause 5.27.2</w:t>
      </w:r>
      <w:r w:rsidRPr="00873B6C">
        <w:t xml:space="preserve"> that may be provided optionally for use by the gNB, to allow more efficiently schedule radio resources for periodic traffic and applies to PDU </w:t>
      </w:r>
      <w:r w:rsidR="00BB2064" w:rsidRPr="00873B6C">
        <w:t>S</w:t>
      </w:r>
      <w:r w:rsidRPr="00873B6C">
        <w:t>ession type Ethernet and IP.</w:t>
      </w:r>
    </w:p>
    <w:p w14:paraId="33FFAC30" w14:textId="466F57F3" w:rsidR="000E35F2" w:rsidRPr="00873B6C" w:rsidRDefault="000E35F2" w:rsidP="00323277">
      <w:pPr>
        <w:pStyle w:val="B1"/>
      </w:pPr>
      <w:r w:rsidRPr="00873B6C">
        <w:t>-</w:t>
      </w:r>
      <w:r w:rsidRPr="00873B6C">
        <w:tab/>
        <w:t>Time Synchronization: describes how 5GS can operate as a PTP Relay (IEEE</w:t>
      </w:r>
      <w:r w:rsidR="00607A94" w:rsidRPr="00873B6C">
        <w:t> Std </w:t>
      </w:r>
      <w:r w:rsidRPr="00873B6C">
        <w:t>802.1AS</w:t>
      </w:r>
      <w:r w:rsidR="00607A94" w:rsidRPr="00873B6C">
        <w:t> </w:t>
      </w:r>
      <w:r w:rsidRPr="00873B6C">
        <w:t>[104]), as a Boundary Clock or as Transparent Clock (IEEE</w:t>
      </w:r>
      <w:r w:rsidR="00607A94" w:rsidRPr="00873B6C">
        <w:t> Std </w:t>
      </w:r>
      <w:r w:rsidRPr="00873B6C">
        <w:t>1588 [</w:t>
      </w:r>
      <w:r w:rsidR="00607A94" w:rsidRPr="00873B6C">
        <w:t>126</w:t>
      </w:r>
      <w:r w:rsidRPr="00873B6C">
        <w:t xml:space="preserve">]) for PDU </w:t>
      </w:r>
      <w:r w:rsidR="00BB2064" w:rsidRPr="00873B6C">
        <w:t>S</w:t>
      </w:r>
      <w:r w:rsidRPr="00873B6C">
        <w:t>ession type Ethernet and IP</w:t>
      </w:r>
      <w:r w:rsidR="003A5CE6" w:rsidRPr="00873B6C">
        <w:t xml:space="preserve"> and how 5GS can detect and report the status of the time synchronization</w:t>
      </w:r>
      <w:r w:rsidRPr="00873B6C">
        <w:t>.</w:t>
      </w:r>
    </w:p>
    <w:p w14:paraId="450D8FE8" w14:textId="638593CD" w:rsidR="002062D8" w:rsidRPr="00873B6C" w:rsidRDefault="002062D8" w:rsidP="00972E70">
      <w:pPr>
        <w:pStyle w:val="B1"/>
      </w:pPr>
      <w:r w:rsidRPr="00873B6C">
        <w:t>-</w:t>
      </w:r>
      <w:r w:rsidRPr="00873B6C">
        <w:tab/>
        <w:t>RAN feedback for BAT offset and adjusted periodicity describes a mechanism supported by NG-RAN and 5G CN that enables AF to adapt to received BAT offset and adjusted periodicity from NG-RAN for a given traffic flow.</w:t>
      </w:r>
    </w:p>
    <w:p w14:paraId="54C42013" w14:textId="3BC66496" w:rsidR="000E35F2" w:rsidRPr="00873B6C" w:rsidRDefault="000E35F2" w:rsidP="00D40151">
      <w:r w:rsidRPr="00873B6C">
        <w:t>The 5G System integration as a bridge in an IEEE</w:t>
      </w:r>
      <w:r w:rsidR="00607A94" w:rsidRPr="00873B6C">
        <w:t> </w:t>
      </w:r>
      <w:r w:rsidRPr="00873B6C">
        <w:t>802.1 TSN network as described in clause 5.28 can make use of all features listed above.</w:t>
      </w:r>
    </w:p>
    <w:p w14:paraId="093D607E" w14:textId="01E563AD" w:rsidR="00D40151" w:rsidRPr="00873B6C" w:rsidRDefault="000E35F2" w:rsidP="00D40151">
      <w:bookmarkStart w:id="3892" w:name="_Toc20150059"/>
      <w:r w:rsidRPr="00873B6C">
        <w:lastRenderedPageBreak/>
        <w:t>To support any of the above features to enable time-sensitive communication</w:t>
      </w:r>
      <w:r w:rsidR="00E23065" w:rsidRPr="00873B6C">
        <w:t>,</w:t>
      </w:r>
      <w:r w:rsidRPr="00873B6C">
        <w:t xml:space="preserve"> time synchronization</w:t>
      </w:r>
      <w:r w:rsidR="00E23065" w:rsidRPr="00873B6C">
        <w:t xml:space="preserve"> and deterministic networking</w:t>
      </w:r>
      <w:r w:rsidRPr="00873B6C">
        <w:t>, d</w:t>
      </w:r>
      <w:r w:rsidR="00D40151" w:rsidRPr="00873B6C">
        <w:t>uring the PDU Session establishment, the UE shall request to establish a PDU Session as an always-on PDU Session</w:t>
      </w:r>
      <w:r w:rsidR="00472CD7" w:rsidRPr="00873B6C">
        <w:t xml:space="preserve"> and</w:t>
      </w:r>
      <w:r w:rsidR="00D40151" w:rsidRPr="00873B6C">
        <w:t xml:space="preserve"> the PDU Sessions are established as Always-on PDU session as described in clause 5.6.13. In this release of the specification</w:t>
      </w:r>
      <w:r w:rsidRPr="00873B6C">
        <w:t>, to use any of the above features to enable time-sensitive communication</w:t>
      </w:r>
      <w:r w:rsidR="00E23065" w:rsidRPr="00873B6C">
        <w:t>,</w:t>
      </w:r>
      <w:r w:rsidRPr="00873B6C">
        <w:t xml:space="preserve"> time synchronization</w:t>
      </w:r>
      <w:r w:rsidR="00E23065" w:rsidRPr="00873B6C">
        <w:t xml:space="preserve"> and deterministic networking</w:t>
      </w:r>
      <w:r w:rsidR="00D40151" w:rsidRPr="00873B6C">
        <w:t>:</w:t>
      </w:r>
    </w:p>
    <w:p w14:paraId="12AB6657" w14:textId="6819A83F" w:rsidR="00D40151" w:rsidRPr="00873B6C" w:rsidRDefault="00D40151" w:rsidP="00D40151">
      <w:pPr>
        <w:pStyle w:val="B1"/>
      </w:pPr>
      <w:r w:rsidRPr="00873B6C">
        <w:t>-</w:t>
      </w:r>
      <w:r w:rsidRPr="00873B6C">
        <w:tab/>
        <w:t>Home Routed PDU Sessions are not supported;</w:t>
      </w:r>
    </w:p>
    <w:p w14:paraId="5481E3A8" w14:textId="475ED040" w:rsidR="00D40151" w:rsidRPr="00873B6C" w:rsidRDefault="00D40151" w:rsidP="00D40151">
      <w:pPr>
        <w:pStyle w:val="B1"/>
      </w:pPr>
      <w:r w:rsidRPr="00873B6C">
        <w:t>-</w:t>
      </w:r>
      <w:r w:rsidRPr="00873B6C">
        <w:tab/>
        <w:t>PDU Sessions are supported only</w:t>
      </w:r>
      <w:r w:rsidR="000E35F2" w:rsidRPr="00873B6C">
        <w:t xml:space="preserve"> for</w:t>
      </w:r>
      <w:r w:rsidRPr="00873B6C">
        <w:t xml:space="preserve"> SSC mode 1;</w:t>
      </w:r>
    </w:p>
    <w:p w14:paraId="16078BE2" w14:textId="448F3831" w:rsidR="00D40151" w:rsidRPr="00873B6C" w:rsidRDefault="00D40151" w:rsidP="00D40151">
      <w:pPr>
        <w:pStyle w:val="B1"/>
      </w:pPr>
      <w:r w:rsidRPr="00873B6C">
        <w:t>-</w:t>
      </w:r>
      <w:r w:rsidRPr="00873B6C">
        <w:tab/>
        <w:t>Service continuity is not supported when the UE moves from 5GS to EPS</w:t>
      </w:r>
      <w:r w:rsidR="00A46717" w:rsidRPr="00873B6C">
        <w:t xml:space="preserve"> .i.e. interworking with EPS is not supported for a PDU Session for time synchronization or TSC</w:t>
      </w:r>
      <w:r w:rsidR="00E23065" w:rsidRPr="00873B6C">
        <w:t xml:space="preserve"> or deterministic networking</w:t>
      </w:r>
      <w:r w:rsidRPr="00873B6C">
        <w:t>.</w:t>
      </w:r>
    </w:p>
    <w:p w14:paraId="3A8E2D80" w14:textId="7F2CCA77" w:rsidR="00D40151" w:rsidRPr="00873B6C" w:rsidRDefault="00D40151" w:rsidP="00D40151">
      <w:pPr>
        <w:pStyle w:val="Heading3"/>
      </w:pPr>
      <w:bookmarkStart w:id="3893" w:name="_CR5_27_1"/>
      <w:bookmarkStart w:id="3894" w:name="_Toc27846858"/>
      <w:bookmarkStart w:id="3895" w:name="_Toc36187989"/>
      <w:bookmarkStart w:id="3896" w:name="_Toc45183893"/>
      <w:bookmarkStart w:id="3897" w:name="_Toc47342735"/>
      <w:bookmarkStart w:id="3898" w:name="_Toc51769436"/>
      <w:bookmarkStart w:id="3899" w:name="_Toc201157458"/>
      <w:bookmarkEnd w:id="3893"/>
      <w:r w:rsidRPr="00873B6C">
        <w:t>5.27.1</w:t>
      </w:r>
      <w:r w:rsidRPr="00873B6C">
        <w:tab/>
        <w:t>Time Synchronization</w:t>
      </w:r>
      <w:bookmarkEnd w:id="3892"/>
      <w:bookmarkEnd w:id="3894"/>
      <w:bookmarkEnd w:id="3895"/>
      <w:bookmarkEnd w:id="3896"/>
      <w:bookmarkEnd w:id="3897"/>
      <w:bookmarkEnd w:id="3898"/>
      <w:bookmarkEnd w:id="3899"/>
    </w:p>
    <w:p w14:paraId="7B745D84" w14:textId="77777777" w:rsidR="00D40151" w:rsidRPr="00873B6C" w:rsidRDefault="00D40151" w:rsidP="00D40151">
      <w:pPr>
        <w:pStyle w:val="Heading4"/>
      </w:pPr>
      <w:bookmarkStart w:id="3900" w:name="_CR5_27_1_1"/>
      <w:bookmarkStart w:id="3901" w:name="_Toc20150060"/>
      <w:bookmarkStart w:id="3902" w:name="_Toc27846859"/>
      <w:bookmarkStart w:id="3903" w:name="_Toc36187990"/>
      <w:bookmarkStart w:id="3904" w:name="_Toc45183894"/>
      <w:bookmarkStart w:id="3905" w:name="_Toc47342736"/>
      <w:bookmarkStart w:id="3906" w:name="_Toc51769437"/>
      <w:bookmarkStart w:id="3907" w:name="_Toc201157459"/>
      <w:bookmarkEnd w:id="3900"/>
      <w:r w:rsidRPr="00873B6C">
        <w:t>5.27.1.1</w:t>
      </w:r>
      <w:r w:rsidRPr="00873B6C">
        <w:tab/>
        <w:t>General</w:t>
      </w:r>
      <w:bookmarkEnd w:id="3901"/>
      <w:bookmarkEnd w:id="3902"/>
      <w:bookmarkEnd w:id="3903"/>
      <w:bookmarkEnd w:id="3904"/>
      <w:bookmarkEnd w:id="3905"/>
      <w:bookmarkEnd w:id="3906"/>
      <w:bookmarkEnd w:id="3907"/>
    </w:p>
    <w:p w14:paraId="1A0662D4" w14:textId="3DB0AC1E" w:rsidR="006D2D57" w:rsidRPr="00873B6C" w:rsidRDefault="00D40151" w:rsidP="00D40151">
      <w:pPr>
        <w:rPr>
          <w:lang w:eastAsia="x-none"/>
        </w:rPr>
      </w:pPr>
      <w:r w:rsidRPr="00873B6C">
        <w:rPr>
          <w:lang w:eastAsia="x-none"/>
        </w:rPr>
        <w:t>For supporting time synchronization</w:t>
      </w:r>
      <w:r w:rsidR="006D2D57" w:rsidRPr="00873B6C">
        <w:rPr>
          <w:lang w:eastAsia="x-none"/>
        </w:rPr>
        <w:t xml:space="preserve"> service</w:t>
      </w:r>
      <w:r w:rsidRPr="00873B6C">
        <w:rPr>
          <w:lang w:eastAsia="x-none"/>
        </w:rPr>
        <w:t>, the 5GS</w:t>
      </w:r>
      <w:r w:rsidR="006D2D57" w:rsidRPr="00873B6C">
        <w:rPr>
          <w:lang w:eastAsia="x-none"/>
        </w:rPr>
        <w:t xml:space="preserve"> is configured to operate</w:t>
      </w:r>
      <w:r w:rsidR="0053150F" w:rsidRPr="00873B6C">
        <w:rPr>
          <w:lang w:eastAsia="x-none"/>
        </w:rPr>
        <w:t xml:space="preserve"> in one or multiple PTP instances and to operate</w:t>
      </w:r>
      <w:r w:rsidR="006D2D57" w:rsidRPr="00873B6C">
        <w:rPr>
          <w:lang w:eastAsia="x-none"/>
        </w:rPr>
        <w:t xml:space="preserve"> in one of the following modes (if supported)</w:t>
      </w:r>
      <w:r w:rsidR="0053150F" w:rsidRPr="00873B6C">
        <w:rPr>
          <w:lang w:eastAsia="x-none"/>
        </w:rPr>
        <w:t xml:space="preserve"> for each PTP instance</w:t>
      </w:r>
      <w:r w:rsidR="006D2D57" w:rsidRPr="00873B6C">
        <w:rPr>
          <w:lang w:eastAsia="x-none"/>
        </w:rPr>
        <w:t>:</w:t>
      </w:r>
    </w:p>
    <w:p w14:paraId="4C57EB31" w14:textId="33FC3832" w:rsidR="006D2D57" w:rsidRPr="00873B6C" w:rsidRDefault="006D2D57" w:rsidP="00562E84">
      <w:pPr>
        <w:pStyle w:val="B1"/>
      </w:pPr>
      <w:r w:rsidRPr="00873B6C">
        <w:t>1)</w:t>
      </w:r>
      <w:r w:rsidRPr="00873B6C">
        <w:tab/>
        <w:t>as time-aware system as described in IEEE</w:t>
      </w:r>
      <w:r w:rsidR="00607A94" w:rsidRPr="00873B6C">
        <w:t> </w:t>
      </w:r>
      <w:r w:rsidRPr="00873B6C">
        <w:t>Std</w:t>
      </w:r>
      <w:r w:rsidR="00607A94" w:rsidRPr="00873B6C">
        <w:t> </w:t>
      </w:r>
      <w:r w:rsidRPr="00873B6C">
        <w:t>802.1AS</w:t>
      </w:r>
      <w:r w:rsidR="00607A94" w:rsidRPr="00873B6C">
        <w:t> </w:t>
      </w:r>
      <w:r w:rsidRPr="00873B6C">
        <w:t>[104],</w:t>
      </w:r>
    </w:p>
    <w:p w14:paraId="205BA8D6" w14:textId="3191315D" w:rsidR="006D2D57" w:rsidRPr="00873B6C" w:rsidRDefault="006D2D57" w:rsidP="00562E84">
      <w:pPr>
        <w:pStyle w:val="B1"/>
      </w:pPr>
      <w:r w:rsidRPr="00873B6C">
        <w:t>2)</w:t>
      </w:r>
      <w:r w:rsidRPr="00873B6C">
        <w:tab/>
        <w:t>as Boundary Clock as described in IEEE</w:t>
      </w:r>
      <w:r w:rsidR="00607A94" w:rsidRPr="00873B6C">
        <w:t> </w:t>
      </w:r>
      <w:r w:rsidRPr="00873B6C">
        <w:t>Std</w:t>
      </w:r>
      <w:r w:rsidR="00607A94" w:rsidRPr="00873B6C">
        <w:t> </w:t>
      </w:r>
      <w:r w:rsidRPr="00873B6C">
        <w:t>1588 [126]</w:t>
      </w:r>
      <w:r w:rsidR="00607A94" w:rsidRPr="00873B6C">
        <w:t>, provisioned by the profiles supported by this 3GPP specification including SMPTE Profile for Use of IEEE Std 1588 [126] Precision Time Protocol in Professional Broadcast Applications ST 2059-2:2015 [127];</w:t>
      </w:r>
    </w:p>
    <w:p w14:paraId="6516E622" w14:textId="3B09EA37" w:rsidR="00607A94" w:rsidRPr="00873B6C" w:rsidRDefault="00607A94" w:rsidP="00607A94">
      <w:pPr>
        <w:pStyle w:val="NO"/>
      </w:pPr>
      <w:r w:rsidRPr="00873B6C">
        <w:t>NOTE 1:</w:t>
      </w:r>
      <w:r w:rsidRPr="00873B6C">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873B6C" w:rsidRDefault="00607A94" w:rsidP="00607A94">
      <w:pPr>
        <w:pStyle w:val="NO"/>
      </w:pPr>
      <w:r w:rsidRPr="00873B6C">
        <w:t>NOTE 2:</w:t>
      </w:r>
      <w:r w:rsidRPr="00873B6C">
        <w:tab/>
        <w:t>In some cases where the 5G internal system clock is the time source for the PTP grandmaster function for the connected networks, it might not be required for the UE to receive gP</w:t>
      </w:r>
      <w:r w:rsidR="007B3699" w:rsidRPr="00873B6C">
        <w:t>T</w:t>
      </w:r>
      <w:r w:rsidRPr="00873B6C">
        <w:t>P or PTP messages over user plane. The UE and DS-TT uses the 5G timing information and generates the necessary</w:t>
      </w:r>
      <w:r w:rsidR="007B3699" w:rsidRPr="00873B6C">
        <w:t xml:space="preserve"> gPTP or PTP</w:t>
      </w:r>
      <w:r w:rsidRPr="00873B6C">
        <w:t xml:space="preserve"> message for the end station</w:t>
      </w:r>
      <w:r w:rsidR="00C950EF" w:rsidRPr="00873B6C">
        <w:t>,</w:t>
      </w:r>
      <w:r w:rsidR="007B3699" w:rsidRPr="00873B6C">
        <w:t xml:space="preserve"> if needed</w:t>
      </w:r>
      <w:r w:rsidRPr="00873B6C">
        <w:t xml:space="preserve"> (this is implementation specific).</w:t>
      </w:r>
    </w:p>
    <w:p w14:paraId="0E784246" w14:textId="5C38ABE9" w:rsidR="006D2D57" w:rsidRPr="00873B6C" w:rsidRDefault="006D2D57" w:rsidP="00562E84">
      <w:pPr>
        <w:pStyle w:val="B1"/>
      </w:pPr>
      <w:r w:rsidRPr="00873B6C">
        <w:t>3)</w:t>
      </w:r>
      <w:r w:rsidRPr="00873B6C">
        <w:tab/>
        <w:t>as peer-to-peer Transparent Clock as described in IEEE</w:t>
      </w:r>
      <w:r w:rsidR="00607A94" w:rsidRPr="00873B6C">
        <w:t> </w:t>
      </w:r>
      <w:r w:rsidRPr="00873B6C">
        <w:t>Std</w:t>
      </w:r>
      <w:r w:rsidR="00607A94" w:rsidRPr="00873B6C">
        <w:t> </w:t>
      </w:r>
      <w:r w:rsidRPr="00873B6C">
        <w:t>1588 [126]</w:t>
      </w:r>
      <w:r w:rsidR="00607A94" w:rsidRPr="00873B6C">
        <w:t>, provisioned by the profiles supported by this 3GPP specification including SMPTE Profile for Use of IEEE Std 1588 Precision Time Protocol in Professional Broadcast Applications ST 2059-2:2015 [127]; or</w:t>
      </w:r>
    </w:p>
    <w:p w14:paraId="3FD87717" w14:textId="7C83994B" w:rsidR="006D2D57" w:rsidRPr="00873B6C" w:rsidRDefault="006D2D57" w:rsidP="00562E84">
      <w:pPr>
        <w:pStyle w:val="B1"/>
      </w:pPr>
      <w:r w:rsidRPr="00873B6C">
        <w:t>4)</w:t>
      </w:r>
      <w:r w:rsidRPr="00873B6C">
        <w:tab/>
        <w:t>as end-to-end Transparent Clock as described in IEEE</w:t>
      </w:r>
      <w:r w:rsidR="00607A94" w:rsidRPr="00873B6C">
        <w:t> </w:t>
      </w:r>
      <w:r w:rsidRPr="00873B6C">
        <w:t>Std</w:t>
      </w:r>
      <w:r w:rsidR="00607A94" w:rsidRPr="00873B6C">
        <w:t> </w:t>
      </w:r>
      <w:r w:rsidRPr="00873B6C">
        <w:t>1588 [126]</w:t>
      </w:r>
      <w:r w:rsidR="00607A94" w:rsidRPr="00873B6C">
        <w:t>, provisioned by the profiles supported by this 3GPP specification including SMPTE Profile for Use of IEEE Std 1588 Precision Time Protocol in Professional Broadcast Applications ST 2059-2:2015 [127]</w:t>
      </w:r>
      <w:r w:rsidRPr="00873B6C">
        <w:t>.</w:t>
      </w:r>
    </w:p>
    <w:p w14:paraId="7423D760" w14:textId="433BCBBA" w:rsidR="00607A94" w:rsidRPr="00873B6C" w:rsidRDefault="00607A94" w:rsidP="00562E84">
      <w:pPr>
        <w:pStyle w:val="NO"/>
      </w:pPr>
      <w:r w:rsidRPr="00873B6C">
        <w:t>NOTE 3:</w:t>
      </w:r>
      <w:r w:rsidRPr="00873B6C">
        <w:tab/>
        <w:t>When the GM is external, the operation of 5GS as Boundary Clock assumes that profiles that are supported by the 5GS allows the exemption specified in</w:t>
      </w:r>
      <w:r w:rsidR="00D602DF" w:rsidRPr="00873B6C">
        <w:t xml:space="preserve"> clauses 9.5.9 and 9.5.10 of</w:t>
      </w:r>
      <w:r w:rsidRPr="00873B6C">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1C0C9592" w:rsidR="006D2D57" w:rsidRPr="00873B6C" w:rsidRDefault="006D2D57" w:rsidP="00D40151">
      <w:pPr>
        <w:rPr>
          <w:lang w:eastAsia="x-none"/>
        </w:rPr>
      </w:pPr>
      <w:r w:rsidRPr="00873B6C">
        <w:rPr>
          <w:lang w:eastAsia="x-none"/>
        </w:rPr>
        <w:t>The configuration of the time synchronization service in 5GS for option 1 by TSN AF and CNC is described in clause 5.28.3</w:t>
      </w:r>
      <w:r w:rsidR="00472CD7" w:rsidRPr="00873B6C">
        <w:rPr>
          <w:lang w:eastAsia="x-none"/>
        </w:rPr>
        <w:t xml:space="preserve"> and</w:t>
      </w:r>
      <w:r w:rsidRPr="00873B6C">
        <w:rPr>
          <w:lang w:eastAsia="x-none"/>
        </w:rPr>
        <w:t xml:space="preserve"> for options 1-4 by AF</w:t>
      </w:r>
      <w:r w:rsidR="00F84AAF" w:rsidRPr="00873B6C">
        <w:rPr>
          <w:lang w:eastAsia="x-none"/>
        </w:rPr>
        <w:t>/</w:t>
      </w:r>
      <w:r w:rsidRPr="00873B6C">
        <w:rPr>
          <w:lang w:eastAsia="x-none"/>
        </w:rPr>
        <w:t>NEF</w:t>
      </w:r>
      <w:r w:rsidR="007B3699" w:rsidRPr="00873B6C">
        <w:rPr>
          <w:lang w:eastAsia="x-none"/>
        </w:rPr>
        <w:t xml:space="preserve"> </w:t>
      </w:r>
      <w:r w:rsidR="00F84AAF" w:rsidRPr="00873B6C">
        <w:rPr>
          <w:lang w:eastAsia="x-none"/>
        </w:rPr>
        <w:t xml:space="preserve">and </w:t>
      </w:r>
      <w:r w:rsidR="007B3699" w:rsidRPr="00873B6C">
        <w:rPr>
          <w:lang w:eastAsia="x-none"/>
        </w:rPr>
        <w:t>TSCTSF</w:t>
      </w:r>
      <w:r w:rsidRPr="00873B6C">
        <w:rPr>
          <w:lang w:eastAsia="x-none"/>
        </w:rPr>
        <w:t xml:space="preserve"> in clause 5.27.1.</w:t>
      </w:r>
      <w:r w:rsidR="00607A94" w:rsidRPr="00873B6C">
        <w:rPr>
          <w:lang w:eastAsia="x-none"/>
        </w:rPr>
        <w:t>8 and clause 5.28.3</w:t>
      </w:r>
      <w:r w:rsidRPr="00873B6C">
        <w:rPr>
          <w:lang w:eastAsia="x-none"/>
        </w:rPr>
        <w:t>.</w:t>
      </w:r>
    </w:p>
    <w:p w14:paraId="4EE48F67" w14:textId="1E8A3438" w:rsidR="006D2D57" w:rsidRPr="00873B6C" w:rsidRDefault="006D2D57" w:rsidP="00D40151">
      <w:pPr>
        <w:rPr>
          <w:lang w:eastAsia="x-none"/>
        </w:rPr>
      </w:pPr>
      <w:r w:rsidRPr="00873B6C">
        <w:rPr>
          <w:lang w:eastAsia="x-none"/>
        </w:rPr>
        <w:t>The 5GS shall be modelled as an IEEE</w:t>
      </w:r>
      <w:r w:rsidR="00607A94" w:rsidRPr="00873B6C">
        <w:rPr>
          <w:lang w:eastAsia="x-none"/>
        </w:rPr>
        <w:t> </w:t>
      </w:r>
      <w:r w:rsidRPr="00873B6C">
        <w:rPr>
          <w:lang w:eastAsia="x-none"/>
        </w:rPr>
        <w:t>Std</w:t>
      </w:r>
      <w:r w:rsidR="00607A94" w:rsidRPr="00873B6C">
        <w:rPr>
          <w:lang w:eastAsia="x-none"/>
        </w:rPr>
        <w:t> </w:t>
      </w:r>
      <w:r w:rsidRPr="00873B6C">
        <w:rPr>
          <w:lang w:eastAsia="x-none"/>
        </w:rPr>
        <w:t>802.1AS</w:t>
      </w:r>
      <w:r w:rsidR="00607A94" w:rsidRPr="00873B6C">
        <w:rPr>
          <w:lang w:eastAsia="x-none"/>
        </w:rPr>
        <w:t> </w:t>
      </w:r>
      <w:r w:rsidRPr="00873B6C">
        <w:rPr>
          <w:lang w:eastAsia="x-none"/>
        </w:rPr>
        <w:t>[104] or IEEE</w:t>
      </w:r>
      <w:r w:rsidR="00607A94" w:rsidRPr="00873B6C">
        <w:rPr>
          <w:lang w:eastAsia="x-none"/>
        </w:rPr>
        <w:t> </w:t>
      </w:r>
      <w:r w:rsidRPr="00873B6C">
        <w:rPr>
          <w:lang w:eastAsia="x-none"/>
        </w:rPr>
        <w:t>Std</w:t>
      </w:r>
      <w:r w:rsidR="00607A94" w:rsidRPr="00873B6C">
        <w:rPr>
          <w:lang w:eastAsia="x-none"/>
        </w:rPr>
        <w:t> </w:t>
      </w:r>
      <w:r w:rsidRPr="00873B6C">
        <w:rPr>
          <w:lang w:eastAsia="x-none"/>
        </w:rPr>
        <w:t>1588 [126] compliant entity</w:t>
      </w:r>
      <w:r w:rsidR="00055D0B" w:rsidRPr="00873B6C">
        <w:rPr>
          <w:lang w:eastAsia="x-none"/>
        </w:rPr>
        <w:t xml:space="preserve"> </w:t>
      </w:r>
      <w:r w:rsidRPr="00873B6C">
        <w:rPr>
          <w:lang w:eastAsia="x-none"/>
        </w:rPr>
        <w:t>based on the above configuration.</w:t>
      </w:r>
    </w:p>
    <w:p w14:paraId="4F6D75E3" w14:textId="4C3B7093" w:rsidR="00426DE4" w:rsidRPr="00873B6C" w:rsidRDefault="00426DE4" w:rsidP="00461850">
      <w:pPr>
        <w:pStyle w:val="NO"/>
      </w:pPr>
      <w:r w:rsidRPr="00873B6C">
        <w:t>NOTE 4:</w:t>
      </w:r>
      <w:r w:rsidRPr="00873B6C">
        <w:tab/>
        <w:t>This release of the specification does not support the PTP management mechanism or PTP management messages as described in clause 15 in IEEE Std 1588 [126].</w:t>
      </w:r>
    </w:p>
    <w:p w14:paraId="3A347EE0" w14:textId="79BC2247" w:rsidR="00D40151" w:rsidRPr="00873B6C" w:rsidRDefault="006D2D57" w:rsidP="00D40151">
      <w:pPr>
        <w:rPr>
          <w:lang w:eastAsia="x-none"/>
        </w:rPr>
      </w:pPr>
      <w:r w:rsidRPr="00873B6C">
        <w:rPr>
          <w:lang w:eastAsia="x-none"/>
        </w:rPr>
        <w:t>The</w:t>
      </w:r>
      <w:r w:rsidR="00B96062" w:rsidRPr="00873B6C">
        <w:rPr>
          <w:lang w:eastAsia="x-none"/>
        </w:rPr>
        <w:t xml:space="preserve"> DS-TT and NW-TT</w:t>
      </w:r>
      <w:r w:rsidR="00D40151" w:rsidRPr="00873B6C">
        <w:rPr>
          <w:lang w:eastAsia="x-none"/>
        </w:rPr>
        <w:t xml:space="preserve"> at the edge of the 5G system</w:t>
      </w:r>
      <w:r w:rsidRPr="00873B6C">
        <w:rPr>
          <w:lang w:eastAsia="x-none"/>
        </w:rPr>
        <w:t xml:space="preserve"> may</w:t>
      </w:r>
      <w:r w:rsidR="00D40151" w:rsidRPr="00873B6C">
        <w:rPr>
          <w:lang w:eastAsia="x-none"/>
        </w:rPr>
        <w:t xml:space="preserve"> support the IEEE Std 802.1AS [104]</w:t>
      </w:r>
      <w:r w:rsidRPr="00873B6C">
        <w:rPr>
          <w:lang w:eastAsia="x-none"/>
        </w:rPr>
        <w:t xml:space="preserve"> or other IEEE Std 1588 [126] profiles'</w:t>
      </w:r>
      <w:r w:rsidR="00D40151" w:rsidRPr="00873B6C">
        <w:rPr>
          <w:lang w:eastAsia="x-none"/>
        </w:rPr>
        <w:t xml:space="preserve"> operations</w:t>
      </w:r>
      <w:r w:rsidRPr="00873B6C">
        <w:rPr>
          <w:lang w:eastAsia="x-none"/>
        </w:rPr>
        <w:t xml:space="preserve"> respective to the configured mode of operation</w:t>
      </w:r>
      <w:r w:rsidR="00D40151" w:rsidRPr="00873B6C">
        <w:rPr>
          <w:lang w:eastAsia="x-none"/>
        </w:rPr>
        <w:t>.</w:t>
      </w:r>
      <w:r w:rsidRPr="00873B6C">
        <w:rPr>
          <w:lang w:eastAsia="x-none"/>
        </w:rPr>
        <w:t xml:space="preserve"> The</w:t>
      </w:r>
      <w:r w:rsidR="00D40151" w:rsidRPr="00873B6C">
        <w:rPr>
          <w:lang w:eastAsia="x-none"/>
        </w:rPr>
        <w:t xml:space="preserve"> UE, gNB, UPF, NW-TT and DS- TTs are synchronized with the 5G GM (i.e. the 5G internal system clock) which shall serve to keep these network elements synchronized. The TTs located at the edge of 5G system fulfil some functions related to </w:t>
      </w:r>
      <w:r w:rsidR="00D40151" w:rsidRPr="00873B6C">
        <w:rPr>
          <w:lang w:eastAsia="x-none"/>
        </w:rPr>
        <w:lastRenderedPageBreak/>
        <w:t>IEEE Std 802.1AS [104]</w:t>
      </w:r>
      <w:r w:rsidRPr="00873B6C">
        <w:rPr>
          <w:lang w:eastAsia="x-none"/>
        </w:rPr>
        <w:t xml:space="preserve"> and may </w:t>
      </w:r>
      <w:r w:rsidR="00607A94" w:rsidRPr="00873B6C">
        <w:rPr>
          <w:lang w:eastAsia="x-none"/>
        </w:rPr>
        <w:t>fulfil</w:t>
      </w:r>
      <w:r w:rsidRPr="00873B6C">
        <w:rPr>
          <w:lang w:eastAsia="x-none"/>
        </w:rPr>
        <w:t xml:space="preserve"> some functions related to IEEE Std 1588 [126]</w:t>
      </w:r>
      <w:r w:rsidR="00D40151" w:rsidRPr="00873B6C">
        <w:rPr>
          <w:lang w:eastAsia="x-none"/>
        </w:rPr>
        <w:t xml:space="preserve">, e.g. </w:t>
      </w:r>
      <w:r w:rsidRPr="00873B6C">
        <w:rPr>
          <w:lang w:eastAsia="x-none"/>
        </w:rPr>
        <w:t>(</w:t>
      </w:r>
      <w:r w:rsidR="00D40151" w:rsidRPr="00873B6C">
        <w:rPr>
          <w:lang w:eastAsia="x-none"/>
        </w:rPr>
        <w:t>g</w:t>
      </w:r>
      <w:r w:rsidRPr="00873B6C">
        <w:rPr>
          <w:lang w:eastAsia="x-none"/>
        </w:rPr>
        <w:t>)</w:t>
      </w:r>
      <w:r w:rsidR="00D40151" w:rsidRPr="00873B6C">
        <w:rPr>
          <w:lang w:eastAsia="x-none"/>
        </w:rPr>
        <w:t>PTP support</w:t>
      </w:r>
      <w:r w:rsidRPr="00873B6C">
        <w:rPr>
          <w:lang w:eastAsia="x-none"/>
        </w:rPr>
        <w:t xml:space="preserve"> and</w:t>
      </w:r>
      <w:r w:rsidR="00D40151" w:rsidRPr="00873B6C">
        <w:rPr>
          <w:lang w:eastAsia="x-none"/>
        </w:rPr>
        <w:t xml:space="preserve"> timestamping. Figure 5.27.1-1 illustrates the 5G and </w:t>
      </w:r>
      <w:r w:rsidRPr="00873B6C">
        <w:rPr>
          <w:lang w:eastAsia="x-none"/>
        </w:rPr>
        <w:t xml:space="preserve">PTP </w:t>
      </w:r>
      <w:r w:rsidR="00D40151" w:rsidRPr="00873B6C">
        <w:rPr>
          <w:lang w:eastAsia="x-none"/>
        </w:rPr>
        <w:t>grandmaster (GM) clock distribution model via 5GS.</w:t>
      </w:r>
    </w:p>
    <w:bookmarkStart w:id="3908" w:name="_MON_1587198493"/>
    <w:bookmarkEnd w:id="3908"/>
    <w:p w14:paraId="2620F6E8" w14:textId="22C7C81E" w:rsidR="006D2D57" w:rsidRPr="00873B6C" w:rsidRDefault="006D2D57" w:rsidP="00B96062">
      <w:pPr>
        <w:pStyle w:val="TH"/>
      </w:pPr>
      <w:r w:rsidRPr="00873B6C">
        <w:object w:dxaOrig="9640" w:dyaOrig="3251" w14:anchorId="6746E736">
          <v:shape id="_x0000_i1100" type="#_x0000_t75" style="width:481.45pt;height:162.15pt" o:ole="">
            <v:imagedata r:id="rId159" o:title=""/>
          </v:shape>
          <o:OLEObject Type="Embed" ProgID="Word.Picture.8" ShapeID="_x0000_i1100" DrawAspect="Content" ObjectID="_1811772434" r:id="rId160"/>
        </w:object>
      </w:r>
    </w:p>
    <w:p w14:paraId="5202FFD4" w14:textId="55C3EA64" w:rsidR="00D40151" w:rsidRPr="00873B6C" w:rsidRDefault="00D40151" w:rsidP="00D40151">
      <w:pPr>
        <w:pStyle w:val="TF"/>
      </w:pPr>
      <w:bookmarkStart w:id="3909" w:name="_CRFigure5_27_11"/>
      <w:r w:rsidRPr="00873B6C">
        <w:t xml:space="preserve">Figure </w:t>
      </w:r>
      <w:bookmarkEnd w:id="3909"/>
      <w:r w:rsidRPr="00873B6C">
        <w:t>5.27.1-1: 5G system is modelled as</w:t>
      </w:r>
      <w:r w:rsidR="006D2D57" w:rsidRPr="00873B6C">
        <w:t xml:space="preserve"> PTP instance</w:t>
      </w:r>
      <w:r w:rsidRPr="00873B6C">
        <w:t xml:space="preserve"> for supporting time synchronization</w:t>
      </w:r>
    </w:p>
    <w:p w14:paraId="581D49CC" w14:textId="417BEAAA" w:rsidR="00D40151" w:rsidRPr="00873B6C" w:rsidRDefault="00D40151" w:rsidP="00D40151">
      <w:r w:rsidRPr="00873B6C">
        <w:t>Figure 5.27.1-1 depicts the two synchronizations systems considered: the 5G</w:t>
      </w:r>
      <w:r w:rsidR="0053150F" w:rsidRPr="00873B6C">
        <w:t xml:space="preserve"> Clock</w:t>
      </w:r>
      <w:r w:rsidRPr="00873B6C">
        <w:t xml:space="preserve"> synchronization and the </w:t>
      </w:r>
      <w:r w:rsidR="006D2D57" w:rsidRPr="00873B6C">
        <w:t xml:space="preserve">(g)PTP </w:t>
      </w:r>
      <w:r w:rsidRPr="00873B6C">
        <w:t>domain synchronization.</w:t>
      </w:r>
    </w:p>
    <w:p w14:paraId="43E8A185" w14:textId="3A76A012" w:rsidR="00EC5600" w:rsidRPr="00873B6C" w:rsidRDefault="00EC5600" w:rsidP="00D40151">
      <w:pPr>
        <w:pStyle w:val="B1"/>
      </w:pPr>
      <w:r w:rsidRPr="00873B6C">
        <w:t>-</w:t>
      </w:r>
      <w:r w:rsidRPr="00873B6C">
        <w:tab/>
        <w:t xml:space="preserve">5G Access Stratum-based Time Distribution: Used for NG RAN synchronization and also distributed to the UE. The 5G Access Stratum-based Time Distribution over the radio interface towards the UE is specified in </w:t>
      </w:r>
      <w:r w:rsidR="00972E70" w:rsidRPr="00873B6C">
        <w:t>TS 38.331 [</w:t>
      </w:r>
      <w:r w:rsidRPr="00873B6C">
        <w:t xml:space="preserve">28]. This method may be used to either further distribute the 5G </w:t>
      </w:r>
      <w:r w:rsidR="0036079D">
        <w:t xml:space="preserve">internal system clock </w:t>
      </w:r>
      <w:r w:rsidRPr="00873B6C">
        <w:t>to devices connected to a UE (using implementation-specific means) or to support the operation of the (g)PTP-based time distribution method.</w:t>
      </w:r>
    </w:p>
    <w:p w14:paraId="34772996" w14:textId="1511D483" w:rsidR="00EC5600" w:rsidRPr="00873B6C" w:rsidRDefault="00EC5600" w:rsidP="00D40151">
      <w:pPr>
        <w:pStyle w:val="B1"/>
      </w:pPr>
      <w:r w:rsidRPr="00873B6C">
        <w:t>-</w:t>
      </w:r>
      <w:r w:rsidRPr="00873B6C">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73E7AF99" w:rsidR="00D40151" w:rsidRPr="00873B6C" w:rsidRDefault="00607A94" w:rsidP="00D40151">
      <w:r w:rsidRPr="00873B6C">
        <w:t>The</w:t>
      </w:r>
      <w:r w:rsidR="00D40151" w:rsidRPr="00873B6C">
        <w:t xml:space="preserve"> gNB needs to be synchronized to the 5G </w:t>
      </w:r>
      <w:r w:rsidR="0036079D">
        <w:t xml:space="preserve">internal system </w:t>
      </w:r>
      <w:r w:rsidR="00D40151" w:rsidRPr="00873B6C">
        <w:t>clock.</w:t>
      </w:r>
    </w:p>
    <w:p w14:paraId="07502C56" w14:textId="77777777" w:rsidR="006D2D57" w:rsidRPr="00873B6C" w:rsidRDefault="006D2D57" w:rsidP="00D40151">
      <w:r w:rsidRPr="00873B6C">
        <w:t>The 5GS supports two methods for determining the grandmaster PTP Instance and the time-synchronization spanning tree.</w:t>
      </w:r>
    </w:p>
    <w:p w14:paraId="04B0114B" w14:textId="77777777" w:rsidR="006D2D57" w:rsidRPr="00873B6C" w:rsidRDefault="006D2D57" w:rsidP="00323277">
      <w:pPr>
        <w:pStyle w:val="B1"/>
      </w:pPr>
      <w:r w:rsidRPr="00873B6C">
        <w:t>-</w:t>
      </w:r>
      <w:r w:rsidRPr="00873B6C">
        <w:tab/>
        <w:t>Method a), BMCA procedure.</w:t>
      </w:r>
    </w:p>
    <w:p w14:paraId="589BA705" w14:textId="77777777" w:rsidR="006D2D57" w:rsidRPr="00873B6C" w:rsidRDefault="006D2D57" w:rsidP="00323277">
      <w:pPr>
        <w:pStyle w:val="B1"/>
      </w:pPr>
      <w:r w:rsidRPr="00873B6C">
        <w:t>-</w:t>
      </w:r>
      <w:r w:rsidRPr="00873B6C">
        <w:tab/>
        <w:t>Method b), local configuration.</w:t>
      </w:r>
    </w:p>
    <w:p w14:paraId="08ACB9F3" w14:textId="77777777" w:rsidR="006D2D57" w:rsidRPr="00873B6C" w:rsidRDefault="006D2D57" w:rsidP="00D40151">
      <w:r w:rsidRPr="00873B6C">
        <w:t>This is further described in clause 5.27.1.6.</w:t>
      </w:r>
    </w:p>
    <w:p w14:paraId="7380B63B" w14:textId="77777777" w:rsidR="00D40151" w:rsidRPr="00873B6C" w:rsidRDefault="00D40151" w:rsidP="00D40151">
      <w:pPr>
        <w:pStyle w:val="Heading4"/>
      </w:pPr>
      <w:bookmarkStart w:id="3910" w:name="_CR5_27_1_2"/>
      <w:bookmarkStart w:id="3911" w:name="_Toc20150061"/>
      <w:bookmarkStart w:id="3912" w:name="_Toc27846860"/>
      <w:bookmarkStart w:id="3913" w:name="_Toc36187991"/>
      <w:bookmarkStart w:id="3914" w:name="_Toc45183895"/>
      <w:bookmarkStart w:id="3915" w:name="_Toc47342737"/>
      <w:bookmarkStart w:id="3916" w:name="_Toc51769438"/>
      <w:bookmarkStart w:id="3917" w:name="_Toc201157460"/>
      <w:bookmarkEnd w:id="3910"/>
      <w:r w:rsidRPr="00873B6C">
        <w:t>5.27.1.2</w:t>
      </w:r>
      <w:r w:rsidRPr="00873B6C">
        <w:tab/>
        <w:t>Distribution of timing information</w:t>
      </w:r>
      <w:bookmarkEnd w:id="3911"/>
      <w:bookmarkEnd w:id="3912"/>
      <w:bookmarkEnd w:id="3913"/>
      <w:bookmarkEnd w:id="3914"/>
      <w:bookmarkEnd w:id="3915"/>
      <w:bookmarkEnd w:id="3916"/>
      <w:bookmarkEnd w:id="3917"/>
    </w:p>
    <w:p w14:paraId="2BDBFA6F" w14:textId="77777777" w:rsidR="00D40151" w:rsidRPr="00873B6C" w:rsidRDefault="00D40151" w:rsidP="00D40151">
      <w:pPr>
        <w:pStyle w:val="Heading5"/>
      </w:pPr>
      <w:bookmarkStart w:id="3918" w:name="_CR5_27_1_2_1"/>
      <w:bookmarkStart w:id="3919" w:name="_Toc20150062"/>
      <w:bookmarkStart w:id="3920" w:name="_Toc27846861"/>
      <w:bookmarkStart w:id="3921" w:name="_Toc36187992"/>
      <w:bookmarkStart w:id="3922" w:name="_Toc45183896"/>
      <w:bookmarkStart w:id="3923" w:name="_Toc47342738"/>
      <w:bookmarkStart w:id="3924" w:name="_Toc51769439"/>
      <w:bookmarkStart w:id="3925" w:name="_Toc201157461"/>
      <w:bookmarkEnd w:id="3918"/>
      <w:r w:rsidRPr="00873B6C">
        <w:t>5.27.1.2.1</w:t>
      </w:r>
      <w:r w:rsidRPr="00873B6C">
        <w:tab/>
        <w:t>Distribution of 5G internal system clock</w:t>
      </w:r>
      <w:bookmarkEnd w:id="3919"/>
      <w:bookmarkEnd w:id="3920"/>
      <w:bookmarkEnd w:id="3921"/>
      <w:bookmarkEnd w:id="3922"/>
      <w:bookmarkEnd w:id="3923"/>
      <w:bookmarkEnd w:id="3924"/>
      <w:bookmarkEnd w:id="3925"/>
    </w:p>
    <w:p w14:paraId="312337B0" w14:textId="7A39E667" w:rsidR="00D40151" w:rsidRPr="00873B6C" w:rsidRDefault="00D40151" w:rsidP="00D40151">
      <w:pPr>
        <w:rPr>
          <w:lang w:eastAsia="x-none"/>
        </w:rPr>
      </w:pPr>
      <w:r w:rsidRPr="00873B6C">
        <w:rPr>
          <w:lang w:eastAsia="x-none"/>
        </w:rPr>
        <w:t>The 5G internal system clock shall be</w:t>
      </w:r>
      <w:r w:rsidR="0036079D">
        <w:rPr>
          <w:lang w:eastAsia="x-none"/>
        </w:rPr>
        <w:t xml:space="preserve"> traceable to a common time reference if any of time synchronization services as described in clause 5.27.1.1 is applied. The 5G internal system clock, shall be</w:t>
      </w:r>
      <w:r w:rsidRPr="00873B6C">
        <w:rPr>
          <w:lang w:eastAsia="x-none"/>
        </w:rPr>
        <w:t xml:space="preserv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972E70" w:rsidRPr="00873B6C">
        <w:rPr>
          <w:lang w:eastAsia="x-none"/>
        </w:rPr>
        <w:t>TS 38.331 [</w:t>
      </w:r>
      <w:r w:rsidRPr="00873B6C">
        <w:rPr>
          <w:lang w:eastAsia="x-none"/>
        </w:rPr>
        <w:t>28]. The 5G internal system clock shall be made available to DS-TT by the UE.</w:t>
      </w:r>
    </w:p>
    <w:p w14:paraId="2F1C19BB" w14:textId="52E351B6" w:rsidR="00D40151" w:rsidRPr="00873B6C" w:rsidRDefault="00D40151" w:rsidP="00D40151">
      <w:pPr>
        <w:pStyle w:val="Heading5"/>
      </w:pPr>
      <w:bookmarkStart w:id="3926" w:name="_CR5_27_1_2_2"/>
      <w:bookmarkStart w:id="3927" w:name="_Toc20150063"/>
      <w:bookmarkStart w:id="3928" w:name="_Toc27846862"/>
      <w:bookmarkStart w:id="3929" w:name="_Toc36187993"/>
      <w:bookmarkStart w:id="3930" w:name="_Toc45183897"/>
      <w:bookmarkStart w:id="3931" w:name="_Toc47342739"/>
      <w:bookmarkStart w:id="3932" w:name="_Toc51769440"/>
      <w:bookmarkStart w:id="3933" w:name="_Toc201157462"/>
      <w:bookmarkEnd w:id="3926"/>
      <w:r w:rsidRPr="00873B6C">
        <w:t>5.27.1.2.2</w:t>
      </w:r>
      <w:r w:rsidRPr="00873B6C">
        <w:tab/>
        <w:t>Distribution of grandmaster clock and time-stamping</w:t>
      </w:r>
      <w:bookmarkEnd w:id="3927"/>
      <w:bookmarkEnd w:id="3928"/>
      <w:bookmarkEnd w:id="3929"/>
      <w:bookmarkEnd w:id="3930"/>
      <w:bookmarkEnd w:id="3931"/>
      <w:bookmarkEnd w:id="3932"/>
      <w:bookmarkEnd w:id="3933"/>
    </w:p>
    <w:p w14:paraId="6BA8B654" w14:textId="5AC03992" w:rsidR="006D2D57" w:rsidRPr="00873B6C" w:rsidRDefault="006D2D57" w:rsidP="00323277">
      <w:pPr>
        <w:pStyle w:val="H6"/>
      </w:pPr>
      <w:bookmarkStart w:id="3934" w:name="_CR5_27_1_2_2_1"/>
      <w:r w:rsidRPr="00873B6C">
        <w:t>5.27.1.2.2.1</w:t>
      </w:r>
      <w:r w:rsidRPr="00873B6C">
        <w:tab/>
        <w:t>Distribution of gPTP Sync and Follow_Up messages</w:t>
      </w:r>
    </w:p>
    <w:bookmarkEnd w:id="3934"/>
    <w:p w14:paraId="6413D6A6" w14:textId="77777777" w:rsidR="00D40151" w:rsidRPr="00873B6C" w:rsidRDefault="00D40151" w:rsidP="00D40151">
      <w:pPr>
        <w:rPr>
          <w:lang w:eastAsia="x-none"/>
        </w:rPr>
      </w:pPr>
      <w:r w:rsidRPr="00873B6C">
        <w:rPr>
          <w:lang w:eastAsia="x-none"/>
        </w:rPr>
        <w:t>The mechanisms for distribution of TSN GM clock and time-stamping described in this clause are according to IEEE Std 802.1AS [104].</w:t>
      </w:r>
    </w:p>
    <w:p w14:paraId="681E9597" w14:textId="3AD6502C" w:rsidR="00D40151" w:rsidRPr="00873B6C" w:rsidRDefault="00D40151" w:rsidP="00D40151">
      <w:pPr>
        <w:pStyle w:val="NO"/>
      </w:pPr>
      <w:r w:rsidRPr="00873B6C">
        <w:lastRenderedPageBreak/>
        <w:t>NOTE 1:</w:t>
      </w:r>
      <w:r w:rsidRPr="00873B6C">
        <w:tab/>
        <w:t xml:space="preserve">It means Externally-observable </w:t>
      </w:r>
      <w:r w:rsidR="000E35F2" w:rsidRPr="00873B6C">
        <w:t>behaviour</w:t>
      </w:r>
      <w:r w:rsidRPr="00873B6C">
        <w:t xml:space="preserve"> of the 5GS bridge needs to comply with IEEE Std 802.1AS [104].</w:t>
      </w:r>
    </w:p>
    <w:p w14:paraId="785DA249" w14:textId="08CE47B1" w:rsidR="00D40151" w:rsidRPr="00873B6C" w:rsidRDefault="00C922CA" w:rsidP="00D40151">
      <w:pPr>
        <w:rPr>
          <w:lang w:eastAsia="x-none"/>
        </w:rPr>
      </w:pPr>
      <w:r w:rsidRPr="00873B6C">
        <w:rPr>
          <w:lang w:eastAsia="x-none"/>
        </w:rPr>
        <w:t>For downlink Time Synchronization, u</w:t>
      </w:r>
      <w:r w:rsidR="00D40151" w:rsidRPr="00873B6C">
        <w:rPr>
          <w:lang w:eastAsia="x-none"/>
        </w:rPr>
        <w:t>pon reception of a downlink gPTP message</w:t>
      </w:r>
      <w:r w:rsidR="00F84AAF" w:rsidRPr="00873B6C">
        <w:rPr>
          <w:lang w:eastAsia="x-none"/>
        </w:rPr>
        <w:t xml:space="preserve"> from NW-TT port in Follower state,</w:t>
      </w:r>
      <w:r w:rsidR="00D40151" w:rsidRPr="00873B6C">
        <w:rPr>
          <w:lang w:eastAsia="x-none"/>
        </w:rPr>
        <w:t xml:space="preserve"> the NW-TT makes an ingress timestamping (TSi)</w:t>
      </w:r>
      <w:r w:rsidR="0036079D">
        <w:rPr>
          <w:lang w:eastAsia="x-none"/>
        </w:rPr>
        <w:t xml:space="preserve"> using 5G internal system clock</w:t>
      </w:r>
      <w:r w:rsidR="00D40151" w:rsidRPr="00873B6C">
        <w:rPr>
          <w:lang w:eastAsia="x-none"/>
        </w:rPr>
        <w:t xml:space="preserve">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873B6C">
        <w:rPr>
          <w:lang w:eastAsia="x-none"/>
        </w:rPr>
        <w:t xml:space="preserve"> connected to NW-TT</w:t>
      </w:r>
      <w:r w:rsidR="00D40151" w:rsidRPr="00873B6C">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873B6C" w:rsidRDefault="00D40151" w:rsidP="00D40151">
      <w:pPr>
        <w:pStyle w:val="B1"/>
      </w:pPr>
      <w:r w:rsidRPr="00873B6C">
        <w:t>-</w:t>
      </w:r>
      <w:r w:rsidRPr="00873B6C">
        <w:tab/>
        <w:t>Adds the link delay from the upstream TSN node in TSN GM time to the correction field.</w:t>
      </w:r>
    </w:p>
    <w:p w14:paraId="7F489C28" w14:textId="77777777" w:rsidR="00D40151" w:rsidRPr="00873B6C" w:rsidRDefault="00D40151" w:rsidP="00D40151">
      <w:pPr>
        <w:pStyle w:val="B1"/>
      </w:pPr>
      <w:r w:rsidRPr="00873B6C">
        <w:t>-</w:t>
      </w:r>
      <w:r w:rsidRPr="00873B6C">
        <w:tab/>
        <w:t>Replaces the cumulative rateRatio received from the upstream TSN node with the new cumulative rateRatio.</w:t>
      </w:r>
    </w:p>
    <w:p w14:paraId="1F9BA7AA" w14:textId="6E9B4E05" w:rsidR="00D40151" w:rsidRPr="00873B6C" w:rsidRDefault="00D40151" w:rsidP="00D40151">
      <w:pPr>
        <w:pStyle w:val="B1"/>
      </w:pPr>
      <w:r w:rsidRPr="00873B6C">
        <w:t>-</w:t>
      </w:r>
      <w:r w:rsidRPr="00873B6C">
        <w:tab/>
        <w:t xml:space="preserve">Adds TSi in the Suffix field of the gPTP packet as described in </w:t>
      </w:r>
      <w:r w:rsidR="00C922CA" w:rsidRPr="00873B6C">
        <w:t>clause </w:t>
      </w:r>
      <w:r w:rsidRPr="00873B6C">
        <w:t>H</w:t>
      </w:r>
      <w:r w:rsidR="00C922CA" w:rsidRPr="00873B6C">
        <w:t>.2</w:t>
      </w:r>
      <w:r w:rsidRPr="00873B6C">
        <w:t>.</w:t>
      </w:r>
    </w:p>
    <w:p w14:paraId="317BE56C" w14:textId="1710F205" w:rsidR="00D40151" w:rsidRPr="00873B6C" w:rsidRDefault="00616F73" w:rsidP="00D40151">
      <w:pPr>
        <w:rPr>
          <w:lang w:eastAsia="x-none"/>
        </w:rPr>
      </w:pPr>
      <w:r w:rsidRPr="00873B6C">
        <w:rPr>
          <w:lang w:eastAsia="x-none"/>
        </w:rPr>
        <w:t xml:space="preserve">The </w:t>
      </w:r>
      <w:r w:rsidR="00D40151" w:rsidRPr="00873B6C">
        <w:rPr>
          <w:lang w:eastAsia="x-none"/>
        </w:rPr>
        <w:t>UPF</w:t>
      </w:r>
      <w:r w:rsidR="00C922CA" w:rsidRPr="00873B6C">
        <w:rPr>
          <w:lang w:eastAsia="x-none"/>
        </w:rPr>
        <w:t>/NW-TT</w:t>
      </w:r>
      <w:r w:rsidRPr="00873B6C">
        <w:rPr>
          <w:lang w:eastAsia="x-none"/>
        </w:rPr>
        <w:t xml:space="preserve"> uses the</w:t>
      </w:r>
      <w:r w:rsidR="00283ED6" w:rsidRPr="00873B6C">
        <w:rPr>
          <w:lang w:eastAsia="x-none"/>
        </w:rPr>
        <w:t xml:space="preserve"> ingress port number of the NW-TT</w:t>
      </w:r>
      <w:r w:rsidR="00472CD7" w:rsidRPr="00873B6C">
        <w:rPr>
          <w:lang w:eastAsia="x-none"/>
        </w:rPr>
        <w:t xml:space="preserve"> and</w:t>
      </w:r>
      <w:r w:rsidRPr="00873B6C">
        <w:rPr>
          <w:lang w:eastAsia="x-none"/>
        </w:rPr>
        <w:t xml:space="preserve"> domainNumber and sdoId in the received gPTP message to assign the gPTP message to a PTP instance in the NW-TT.</w:t>
      </w:r>
      <w:r w:rsidR="00283ED6" w:rsidRPr="00873B6C">
        <w:rPr>
          <w:lang w:eastAsia="x-none"/>
        </w:rPr>
        <w:t xml:space="preserve"> If the NW-TT does not have a matching PTP instance, the UPF/NW-TT discards the message.</w:t>
      </w:r>
      <w:r w:rsidRPr="00873B6C">
        <w:rPr>
          <w:lang w:eastAsia="x-none"/>
        </w:rPr>
        <w:t xml:space="preserve"> The UPF/NW-TT</w:t>
      </w:r>
      <w:r w:rsidR="00D40151" w:rsidRPr="00873B6C">
        <w:rPr>
          <w:lang w:eastAsia="x-none"/>
        </w:rPr>
        <w:t xml:space="preserve"> then forwards the gPTP message from TSN network to the</w:t>
      </w:r>
      <w:r w:rsidRPr="00873B6C">
        <w:rPr>
          <w:lang w:eastAsia="x-none"/>
        </w:rPr>
        <w:t xml:space="preserve"> PTP ports in</w:t>
      </w:r>
      <w:r w:rsidR="00D40151" w:rsidRPr="00873B6C">
        <w:rPr>
          <w:lang w:eastAsia="x-none"/>
        </w:rPr>
        <w:t xml:space="preserve"> </w:t>
      </w:r>
      <w:r w:rsidR="00C922CA" w:rsidRPr="00873B6C">
        <w:rPr>
          <w:lang w:eastAsia="x-none"/>
        </w:rPr>
        <w:t>DS-TT</w:t>
      </w:r>
      <w:r w:rsidRPr="00873B6C">
        <w:rPr>
          <w:lang w:eastAsia="x-none"/>
        </w:rPr>
        <w:t>(s)</w:t>
      </w:r>
      <w:r w:rsidR="00C922CA" w:rsidRPr="00873B6C">
        <w:rPr>
          <w:lang w:eastAsia="x-none"/>
        </w:rPr>
        <w:t xml:space="preserve"> in </w:t>
      </w:r>
      <w:r w:rsidR="00CB6EDC" w:rsidRPr="00873B6C">
        <w:rPr>
          <w:lang w:eastAsia="x-none"/>
        </w:rPr>
        <w:t xml:space="preserve">Leader </w:t>
      </w:r>
      <w:r w:rsidR="00C922CA" w:rsidRPr="00873B6C">
        <w:rPr>
          <w:lang w:eastAsia="x-none"/>
        </w:rPr>
        <w:t>state</w:t>
      </w:r>
      <w:r w:rsidRPr="00873B6C">
        <w:rPr>
          <w:lang w:eastAsia="x-none"/>
        </w:rPr>
        <w:t xml:space="preserve"> within this PTP instance</w:t>
      </w:r>
      <w:r w:rsidR="00C922CA" w:rsidRPr="00873B6C">
        <w:rPr>
          <w:lang w:eastAsia="x-none"/>
        </w:rPr>
        <w:t xml:space="preserve"> </w:t>
      </w:r>
      <w:r w:rsidR="00D40151" w:rsidRPr="00873B6C">
        <w:rPr>
          <w:lang w:eastAsia="x-none"/>
        </w:rPr>
        <w:t>via PDU sessions terminating in this UPF that the UEs have established to the TSN network.</w:t>
      </w:r>
      <w:r w:rsidR="00F84AAF" w:rsidRPr="00873B6C">
        <w:rPr>
          <w:lang w:eastAsia="x-none"/>
        </w:rPr>
        <w:t xml:space="preserve"> The UPF/NW-TT also forwards the gPTP message to the PTP ports in NW-TT in Leader state within this PTP instance.</w:t>
      </w:r>
      <w:r w:rsidR="00D40151" w:rsidRPr="00873B6C">
        <w:rPr>
          <w:lang w:eastAsia="x-none"/>
        </w:rPr>
        <w:t xml:space="preserve"> All gPTP messages are transmitted on a QoS Flow that complies with the residence time upper bound requirement specified in IEEE Std 802.1AS [104].</w:t>
      </w:r>
    </w:p>
    <w:p w14:paraId="1971CE05" w14:textId="680E9028" w:rsidR="00CB6EDC" w:rsidRPr="00873B6C" w:rsidRDefault="00CB6EDC" w:rsidP="00D40151">
      <w:pPr>
        <w:pStyle w:val="NO"/>
      </w:pPr>
      <w:r w:rsidRPr="00873B6C">
        <w:t>NOTE 2:</w:t>
      </w:r>
      <w:r w:rsidRPr="00873B6C">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873B6C" w:rsidRDefault="00D40151" w:rsidP="00D40151">
      <w:pPr>
        <w:pStyle w:val="NO"/>
      </w:pPr>
      <w:r w:rsidRPr="00873B6C">
        <w:t>NOTE </w:t>
      </w:r>
      <w:r w:rsidR="00CB6EDC" w:rsidRPr="00873B6C">
        <w:t>3</w:t>
      </w:r>
      <w:r w:rsidRPr="00873B6C">
        <w:t>:</w:t>
      </w:r>
      <w:r w:rsidRPr="00873B6C">
        <w:tab/>
        <w:t>The sum of the UE-DS-TT residence time and the PDB of the QoS Flow needs to be lower than the residence time upper bound requirement for a time-aware system specified in IEEE Std 802.1AS [104]</w:t>
      </w:r>
      <w:r w:rsidR="002D6B6E" w:rsidRPr="00873B6C">
        <w:t xml:space="preserve"> in the following cases:</w:t>
      </w:r>
    </w:p>
    <w:p w14:paraId="12FDA131" w14:textId="77777777" w:rsidR="002D6B6E" w:rsidRPr="00873B6C" w:rsidRDefault="002D6B6E" w:rsidP="002D6B6E">
      <w:pPr>
        <w:pStyle w:val="B4"/>
      </w:pPr>
      <w:r w:rsidRPr="00873B6C">
        <w:t>a)</w:t>
      </w:r>
      <w:r w:rsidRPr="00873B6C">
        <w:tab/>
        <w:t xml:space="preserve">If the PTP port in DS-TT is in Follower state and a PTP port in the NW-TT is in Leader state; or </w:t>
      </w:r>
    </w:p>
    <w:p w14:paraId="791D30B4" w14:textId="3227674B" w:rsidR="00D40151" w:rsidRPr="00873B6C" w:rsidRDefault="002D6B6E" w:rsidP="00461850">
      <w:pPr>
        <w:pStyle w:val="B4"/>
      </w:pPr>
      <w:r w:rsidRPr="00873B6C">
        <w:t>b)</w:t>
      </w:r>
      <w:r w:rsidRPr="00873B6C">
        <w:tab/>
        <w:t>a PTP port in DS-TT is in Leader state and a PTP port in NW-TT is in Follower state</w:t>
      </w:r>
      <w:r w:rsidR="00D40151" w:rsidRPr="00873B6C">
        <w:t>.</w:t>
      </w:r>
    </w:p>
    <w:p w14:paraId="4AF12975" w14:textId="1C8046D9" w:rsidR="000E35F2" w:rsidRPr="00873B6C" w:rsidRDefault="000E35F2" w:rsidP="00323277">
      <w:pPr>
        <w:pStyle w:val="NO"/>
      </w:pPr>
      <w:r w:rsidRPr="00873B6C">
        <w:t>NOTE </w:t>
      </w:r>
      <w:r w:rsidR="00CB6EDC" w:rsidRPr="00873B6C">
        <w:t>4</w:t>
      </w:r>
      <w:r w:rsidRPr="00873B6C">
        <w:t>:</w:t>
      </w:r>
      <w:r w:rsidRPr="00873B6C">
        <w:tab/>
        <w:t xml:space="preserve">If the PTP port in DS-TT is in a </w:t>
      </w:r>
      <w:r w:rsidR="00CB6EDC" w:rsidRPr="00873B6C">
        <w:t xml:space="preserve">Follower </w:t>
      </w:r>
      <w:r w:rsidRPr="00873B6C">
        <w:t>state</w:t>
      </w:r>
      <w:r w:rsidR="00472CD7" w:rsidRPr="00873B6C">
        <w:t xml:space="preserve"> and</w:t>
      </w:r>
      <w:r w:rsidRPr="00873B6C">
        <w:t xml:space="preserve"> a PTP port in another DS-TT is in </w:t>
      </w:r>
      <w:r w:rsidR="00CB6EDC" w:rsidRPr="00873B6C">
        <w:t xml:space="preserve">Leader </w:t>
      </w:r>
      <w:r w:rsidRPr="00873B6C">
        <w:t>state, then the sum of the residence time for these two</w:t>
      </w:r>
      <w:r w:rsidR="002D6B6E" w:rsidRPr="00873B6C">
        <w:t xml:space="preserve"> DS-TT ports and the PDB of the QoS flow of the two</w:t>
      </w:r>
      <w:r w:rsidRPr="00873B6C">
        <w:t xml:space="preserve"> PDU Sessions needs to be lower than the residence time upper bound requirement for a time-aware system specified in IEEE Std 802.1AS [104].</w:t>
      </w:r>
    </w:p>
    <w:p w14:paraId="6FE26CBD" w14:textId="41DB665E" w:rsidR="00D40151" w:rsidRPr="00873B6C" w:rsidRDefault="00D40151" w:rsidP="00D40151">
      <w:pPr>
        <w:rPr>
          <w:lang w:eastAsia="x-none"/>
        </w:rPr>
      </w:pPr>
      <w:r w:rsidRPr="00873B6C">
        <w:rPr>
          <w:lang w:eastAsia="x-none"/>
        </w:rPr>
        <w:t>A UE receives the gPTP messages and forwards them to the DS-TT. The DS-TT then creates egress timestamping (TSe)</w:t>
      </w:r>
      <w:r w:rsidR="0036079D">
        <w:rPr>
          <w:lang w:eastAsia="x-none"/>
        </w:rPr>
        <w:t xml:space="preserve"> using 5G internal system clock</w:t>
      </w:r>
      <w:r w:rsidRPr="00873B6C">
        <w:rPr>
          <w:lang w:eastAsia="x-none"/>
        </w:rPr>
        <w:t xml:space="preserv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873B6C">
        <w:rPr>
          <w:lang w:eastAsia="x-none"/>
        </w:rPr>
        <w:t xml:space="preserve"> (gPTP entity connected to DS-TT)</w:t>
      </w:r>
      <w:r w:rsidRPr="00873B6C">
        <w:rPr>
          <w:lang w:eastAsia="x-none"/>
        </w:rPr>
        <w:t xml:space="preserve"> as follows:</w:t>
      </w:r>
    </w:p>
    <w:p w14:paraId="5C727888" w14:textId="77777777" w:rsidR="00D40151" w:rsidRPr="00873B6C" w:rsidRDefault="00D40151" w:rsidP="00D40151">
      <w:pPr>
        <w:pStyle w:val="B1"/>
      </w:pPr>
      <w:r w:rsidRPr="00873B6C">
        <w:t>-</w:t>
      </w:r>
      <w:r w:rsidRPr="00873B6C">
        <w:tab/>
        <w:t>Adds the calculated residence time expressed in TSN GM time to the correction field.</w:t>
      </w:r>
    </w:p>
    <w:p w14:paraId="2E86EC93" w14:textId="77777777" w:rsidR="00D40151" w:rsidRPr="00873B6C" w:rsidRDefault="00D40151" w:rsidP="00D40151">
      <w:pPr>
        <w:pStyle w:val="B1"/>
      </w:pPr>
      <w:r w:rsidRPr="00873B6C">
        <w:t>-</w:t>
      </w:r>
      <w:r w:rsidRPr="00873B6C">
        <w:tab/>
        <w:t>Removes Suffix field that contains TSi.</w:t>
      </w:r>
    </w:p>
    <w:p w14:paraId="044F7461" w14:textId="6B141516" w:rsidR="00C922CA" w:rsidRPr="00873B6C" w:rsidRDefault="00C922CA" w:rsidP="00C922CA">
      <w:bookmarkStart w:id="3935" w:name="_Toc20150064"/>
      <w:bookmarkStart w:id="3936" w:name="_Toc27846863"/>
      <w:bookmarkStart w:id="3937" w:name="_Toc36187994"/>
      <w:bookmarkStart w:id="3938" w:name="_Toc45183898"/>
      <w:bookmarkStart w:id="3939" w:name="_Toc47342740"/>
      <w:bookmarkStart w:id="3940" w:name="_Toc51769441"/>
      <w:r w:rsidRPr="00873B6C">
        <w:t>If the ingress DS-TT has indicated support of the IEEE</w:t>
      </w:r>
      <w:r w:rsidR="007B3699" w:rsidRPr="00873B6C">
        <w:t> Std</w:t>
      </w:r>
      <w:r w:rsidRPr="00873B6C">
        <w:t> 802.1AS [104] PTP profile as described in clause K.2.1 and the network has configured a PTP instance with the IEEE</w:t>
      </w:r>
      <w:r w:rsidR="007B3699" w:rsidRPr="00873B6C">
        <w:t> Std</w:t>
      </w:r>
      <w:r w:rsidRPr="00873B6C">
        <w:t> 802.1AS [104] PTP profile for the ingress DS-TT, the ingress DS-TT performs the following operations for received UL gPTP messages for the PTP instance:</w:t>
      </w:r>
    </w:p>
    <w:p w14:paraId="182E84CF" w14:textId="77777777" w:rsidR="00C922CA" w:rsidRPr="00873B6C" w:rsidRDefault="00C922CA" w:rsidP="00562E84">
      <w:pPr>
        <w:pStyle w:val="B1"/>
      </w:pPr>
      <w:r w:rsidRPr="00873B6C">
        <w:t>-</w:t>
      </w:r>
      <w:r w:rsidRPr="00873B6C">
        <w:tab/>
        <w:t>Adds the link delay from the upstream TSN node (gPTP entity connected to DS-TT) in TSN GM time to the correction field.</w:t>
      </w:r>
    </w:p>
    <w:p w14:paraId="6FCE9D34" w14:textId="77777777" w:rsidR="00C922CA" w:rsidRPr="00873B6C" w:rsidRDefault="00C922CA" w:rsidP="00562E84">
      <w:pPr>
        <w:pStyle w:val="B1"/>
      </w:pPr>
      <w:r w:rsidRPr="00873B6C">
        <w:t>-</w:t>
      </w:r>
      <w:r w:rsidRPr="00873B6C">
        <w:tab/>
        <w:t>Replaces the cumulative rateRatio received from the upstream TSN node (gPTP entity connected to DS-TT) with the new cumulative rateRatio.</w:t>
      </w:r>
    </w:p>
    <w:p w14:paraId="7A58F720" w14:textId="1F27D7A2" w:rsidR="00C922CA" w:rsidRPr="00873B6C" w:rsidRDefault="00C922CA" w:rsidP="00562E84">
      <w:pPr>
        <w:pStyle w:val="B1"/>
      </w:pPr>
      <w:r w:rsidRPr="00873B6C">
        <w:lastRenderedPageBreak/>
        <w:t>-</w:t>
      </w:r>
      <w:r w:rsidRPr="00873B6C">
        <w:tab/>
        <w:t>Adds TSi</w:t>
      </w:r>
      <w:r w:rsidR="0036079D">
        <w:t xml:space="preserve"> using 5G internal system clock</w:t>
      </w:r>
      <w:r w:rsidRPr="00873B6C">
        <w:t xml:space="preserve"> in the Suffix field of the gPTP packet.</w:t>
      </w:r>
    </w:p>
    <w:p w14:paraId="14B4DCCD" w14:textId="7E9C85A1" w:rsidR="00C922CA" w:rsidRPr="00873B6C" w:rsidRDefault="00C922CA" w:rsidP="00C922CA">
      <w:r w:rsidRPr="00873B6C">
        <w:t xml:space="preserve">The UE transparently forwards the gPTP message from DS-TT to the UPF/NW-TT. If the ingress DS-TT port is in Passive state, the UPF/NW-TT discards the gPTP messages. If the ingress DS-TT port is in </w:t>
      </w:r>
      <w:r w:rsidR="00CB6EDC" w:rsidRPr="00873B6C">
        <w:t xml:space="preserve">Follower </w:t>
      </w:r>
      <w:r w:rsidRPr="00873B6C">
        <w:t>state, the UPF/NW-TT forwards the gPTP messages as follows:</w:t>
      </w:r>
    </w:p>
    <w:p w14:paraId="4CB1E356" w14:textId="77777777" w:rsidR="00C922CA" w:rsidRPr="00873B6C" w:rsidRDefault="00C922CA" w:rsidP="00562E84">
      <w:pPr>
        <w:pStyle w:val="B1"/>
      </w:pPr>
      <w:r w:rsidRPr="00873B6C">
        <w:t>-</w:t>
      </w:r>
      <w:r w:rsidRPr="00873B6C">
        <w:tab/>
        <w:t>In the case of synchronizing end stations behind NW-TT, the egress port is in UPF/NW-TT. For the received UL gPTP messages, the egress UPF/NW-TT performs the following actions:</w:t>
      </w:r>
    </w:p>
    <w:p w14:paraId="2D5E0AF3" w14:textId="77777777" w:rsidR="00C922CA" w:rsidRPr="00873B6C" w:rsidRDefault="00C922CA" w:rsidP="00562E84">
      <w:pPr>
        <w:pStyle w:val="B2"/>
      </w:pPr>
      <w:r w:rsidRPr="00873B6C">
        <w:t>-</w:t>
      </w:r>
      <w:r w:rsidRPr="00873B6C">
        <w:tab/>
        <w:t>Adds the calculated residence time expressed in TSN GM to the correction field.</w:t>
      </w:r>
    </w:p>
    <w:p w14:paraId="4E32BF7A" w14:textId="77777777" w:rsidR="00C922CA" w:rsidRPr="00873B6C" w:rsidRDefault="00C922CA" w:rsidP="00562E84">
      <w:pPr>
        <w:pStyle w:val="B2"/>
      </w:pPr>
      <w:r w:rsidRPr="00873B6C">
        <w:t>-</w:t>
      </w:r>
      <w:r w:rsidRPr="00873B6C">
        <w:tab/>
        <w:t>Removes Suffix field that contains TSi.</w:t>
      </w:r>
    </w:p>
    <w:p w14:paraId="35B65B9C" w14:textId="7A466077" w:rsidR="00C922CA" w:rsidRPr="00873B6C" w:rsidRDefault="00C922CA" w:rsidP="00562E84">
      <w:pPr>
        <w:pStyle w:val="B1"/>
      </w:pPr>
      <w:r w:rsidRPr="00873B6C">
        <w:t>-</w:t>
      </w:r>
      <w:r w:rsidRPr="00873B6C">
        <w:tab/>
        <w:t>In the case of synchronizing TSN end stations behind DS-TT, the egress TT is DS-TT of the other UE</w:t>
      </w:r>
      <w:r w:rsidR="00472CD7" w:rsidRPr="00873B6C">
        <w:t xml:space="preserve"> and</w:t>
      </w:r>
      <w:r w:rsidRPr="00873B6C">
        <w:t xml:space="preserve"> the UPF/NW-TT</w:t>
      </w:r>
      <w:r w:rsidR="00616F73" w:rsidRPr="00873B6C">
        <w:t xml:space="preserve"> uses the port number of the </w:t>
      </w:r>
      <w:r w:rsidR="00283ED6" w:rsidRPr="00873B6C">
        <w:t xml:space="preserve">ingress </w:t>
      </w:r>
      <w:r w:rsidR="00616F73" w:rsidRPr="00873B6C">
        <w:t>DS-TT</w:t>
      </w:r>
      <w:r w:rsidR="00472CD7" w:rsidRPr="00873B6C">
        <w:t xml:space="preserve"> and</w:t>
      </w:r>
      <w:r w:rsidR="00616F73" w:rsidRPr="00873B6C">
        <w:t xml:space="preserve"> domainNumber and sdoId in the received gPTP message to assign the gPTP message to a PTP instance in the NW-TT.</w:t>
      </w:r>
      <w:r w:rsidR="00283ED6" w:rsidRPr="00873B6C">
        <w:t xml:space="preserve"> If the NW-TT does not have a matching PTP instance, the UPF/NW-TT discards the message.</w:t>
      </w:r>
      <w:r w:rsidR="00616F73" w:rsidRPr="00873B6C">
        <w:t xml:space="preserve"> The UPF/NW-TT then</w:t>
      </w:r>
      <w:r w:rsidRPr="00873B6C">
        <w:t xml:space="preserve"> forwards the received UL gPTP message to the</w:t>
      </w:r>
      <w:r w:rsidR="00616F73" w:rsidRPr="00873B6C">
        <w:t xml:space="preserve"> PTP ports in </w:t>
      </w:r>
      <w:r w:rsidRPr="00873B6C">
        <w:t>DS-TT</w:t>
      </w:r>
      <w:r w:rsidR="00616F73" w:rsidRPr="00873B6C">
        <w:t>(s)</w:t>
      </w:r>
      <w:r w:rsidRPr="00873B6C">
        <w:t xml:space="preserve"> in </w:t>
      </w:r>
      <w:r w:rsidR="005309E6" w:rsidRPr="00873B6C">
        <w:t xml:space="preserve">Leader </w:t>
      </w:r>
      <w:r w:rsidRPr="00873B6C">
        <w:t>state</w:t>
      </w:r>
      <w:r w:rsidR="00616F73" w:rsidRPr="00873B6C">
        <w:t xml:space="preserve"> within this PTP instance</w:t>
      </w:r>
      <w:r w:rsidRPr="00873B6C">
        <w:t>. The egress DS-TT performs same actions as egress UPF/NW-TT in previous case.</w:t>
      </w:r>
    </w:p>
    <w:p w14:paraId="7FD198C7" w14:textId="349ACC66" w:rsidR="006D2D57" w:rsidRPr="00873B6C" w:rsidRDefault="006D2D57" w:rsidP="006D2D57">
      <w:pPr>
        <w:pStyle w:val="H6"/>
      </w:pPr>
      <w:bookmarkStart w:id="3941" w:name="_CR5_27_1_2_2_2"/>
      <w:r w:rsidRPr="00873B6C">
        <w:t>5.27.1.2.2.2</w:t>
      </w:r>
      <w:r w:rsidRPr="00873B6C">
        <w:tab/>
        <w:t>Distribution of PTP Sync and Follow_Up messages</w:t>
      </w:r>
    </w:p>
    <w:bookmarkEnd w:id="3941"/>
    <w:p w14:paraId="72947924" w14:textId="4F107959" w:rsidR="006D2D57" w:rsidRPr="00873B6C" w:rsidRDefault="006D2D57" w:rsidP="006D2D57">
      <w:r w:rsidRPr="00873B6C">
        <w:t>This clause applies if DS-TT and NW-TT support distribution of PTP Sync and Follow_Up messages. PTP support by DS-TT and NW-TT may be determined as described in clause K.2.1.</w:t>
      </w:r>
    </w:p>
    <w:p w14:paraId="66660C44" w14:textId="79A7D8BE" w:rsidR="006D2D57" w:rsidRPr="00873B6C" w:rsidRDefault="006D2D57" w:rsidP="006D2D57">
      <w:r w:rsidRPr="00873B6C">
        <w:t>The mechanisms for distribution of PTP GM clock and time-stamping described in thi</w:t>
      </w:r>
      <w:r w:rsidR="00323277" w:rsidRPr="00873B6C">
        <w:t xml:space="preserve">s clause </w:t>
      </w:r>
      <w:r w:rsidRPr="00873B6C">
        <w:t>are according to IEEE Std 1588 [126]</w:t>
      </w:r>
      <w:r w:rsidR="00607A94" w:rsidRPr="00873B6C">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w:t>
      </w:r>
      <w:r w:rsidR="0036079D">
        <w:t xml:space="preserve"> system</w:t>
      </w:r>
      <w:r w:rsidR="00607A94" w:rsidRPr="00873B6C">
        <w:t xml:space="preserve"> clock, as described in clause 5.27.1.7</w:t>
      </w:r>
      <w:r w:rsidRPr="00873B6C">
        <w:t>.</w:t>
      </w:r>
    </w:p>
    <w:p w14:paraId="1313C4D6" w14:textId="306A8B5C" w:rsidR="006D2D57" w:rsidRPr="00873B6C" w:rsidRDefault="006D2D57" w:rsidP="00323277">
      <w:pPr>
        <w:pStyle w:val="NO"/>
      </w:pPr>
      <w:r w:rsidRPr="00873B6C">
        <w:t>NOTE 1:</w:t>
      </w:r>
      <w:r w:rsidRPr="00873B6C">
        <w:tab/>
        <w:t>This means externally-observable behaviour of the PTP instance in 5GS needs to comply with IEEE Std 1588 [126].</w:t>
      </w:r>
    </w:p>
    <w:p w14:paraId="017EDC62" w14:textId="5C46F25A" w:rsidR="006D2D57" w:rsidRPr="00873B6C" w:rsidRDefault="006D2D57" w:rsidP="006D2D57">
      <w:r w:rsidRPr="00873B6C">
        <w:t>Upon reception of a PTP event message from the upstream PTP instance, the ingress TT (i.e. NW-TT or DS-TT) makes an ingress timestamping (TSi)</w:t>
      </w:r>
      <w:r w:rsidR="0036079D">
        <w:t xml:space="preserve"> using 5G internal system clock</w:t>
      </w:r>
      <w:r w:rsidRPr="00873B6C">
        <w:t xml:space="preserve"> for each PTP event (i.e. Sync) message.</w:t>
      </w:r>
    </w:p>
    <w:p w14:paraId="00286802" w14:textId="77777777" w:rsidR="006D2D57" w:rsidRPr="00873B6C" w:rsidRDefault="006D2D57" w:rsidP="006D2D57">
      <w:r w:rsidRPr="00873B6C">
        <w:t>The PTP port in the ingress TT measures the link delay from the upstream PTP instance as described in clause H.4.</w:t>
      </w:r>
    </w:p>
    <w:p w14:paraId="0F9E8C54" w14:textId="77777777" w:rsidR="006D2D57" w:rsidRPr="00873B6C" w:rsidRDefault="006D2D57" w:rsidP="006D2D57">
      <w:r w:rsidRPr="00873B6C">
        <w:t>The PTP port in the ingress TT modifies the PTP message payload (carried within Sync message for one-step operation or Follow_Up message for two-step operation) as follows:</w:t>
      </w:r>
    </w:p>
    <w:p w14:paraId="79A5CC38" w14:textId="77777777" w:rsidR="006D2D57" w:rsidRPr="00873B6C" w:rsidRDefault="006D2D57" w:rsidP="00323277">
      <w:pPr>
        <w:pStyle w:val="B1"/>
      </w:pPr>
      <w:r w:rsidRPr="00873B6C">
        <w:t>-</w:t>
      </w:r>
      <w:r w:rsidRPr="00873B6C">
        <w:tab/>
        <w:t>(if the PTP port in the ingress TT has measured the link delay) Adds the measured link delay from the upstream PTP instance in PTP GM time to the correction field.</w:t>
      </w:r>
    </w:p>
    <w:p w14:paraId="60C5241F" w14:textId="77777777" w:rsidR="006D2D57" w:rsidRPr="00873B6C" w:rsidRDefault="006D2D57" w:rsidP="00323277">
      <w:pPr>
        <w:pStyle w:val="B1"/>
      </w:pPr>
      <w:r w:rsidRPr="00873B6C">
        <w:t>-</w:t>
      </w:r>
      <w:r w:rsidRPr="00873B6C">
        <w:tab/>
        <w:t>(if the PTP port in the ingress TT has measured the link delay and rateRatio is used) Replaces the cumulative rateRatio received from the upstream PTP instance with the new cumulative rateRatio.</w:t>
      </w:r>
    </w:p>
    <w:p w14:paraId="6F187648" w14:textId="77777777" w:rsidR="006D2D57" w:rsidRPr="00873B6C" w:rsidRDefault="006D2D57" w:rsidP="00323277">
      <w:pPr>
        <w:pStyle w:val="B1"/>
      </w:pPr>
      <w:r w:rsidRPr="00873B6C">
        <w:t>-</w:t>
      </w:r>
      <w:r w:rsidRPr="00873B6C">
        <w:tab/>
        <w:t>Adds TSi in the Suffix field of the PTP message as described in clause H.2.</w:t>
      </w:r>
    </w:p>
    <w:p w14:paraId="2F2EFAA5" w14:textId="1D0A7C8E" w:rsidR="00607A94" w:rsidRPr="00873B6C" w:rsidRDefault="00607A94" w:rsidP="00323277">
      <w:pPr>
        <w:pStyle w:val="NO"/>
      </w:pPr>
      <w:r w:rsidRPr="00873B6C">
        <w:t>NOTE 2:</w:t>
      </w:r>
      <w:r w:rsidRPr="00873B6C">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873B6C" w:rsidRDefault="006D2D57" w:rsidP="00323277">
      <w:pPr>
        <w:pStyle w:val="NO"/>
      </w:pPr>
      <w:r w:rsidRPr="00873B6C">
        <w:t>NOTE </w:t>
      </w:r>
      <w:r w:rsidR="00607A94" w:rsidRPr="00873B6C">
        <w:t>3</w:t>
      </w:r>
      <w:r w:rsidRPr="00873B6C">
        <w:t>:</w:t>
      </w:r>
      <w:r w:rsidRPr="00873B6C">
        <w:tab/>
        <w:t xml:space="preserve">If 5GS acts as an end-to-end Transparent Clock, since the end-to-end Transparent Clock does not support peer-to-peer delay mechanism, </w:t>
      </w:r>
      <w:r w:rsidR="0053150F" w:rsidRPr="00873B6C">
        <w:t xml:space="preserve">the residence time can be calculated with </w:t>
      </w:r>
      <w:r w:rsidRPr="00873B6C">
        <w:t>the residence time spent within the 5GS in 5G GM time</w:t>
      </w:r>
      <w:r w:rsidR="0053150F" w:rsidRPr="00873B6C">
        <w:t xml:space="preserve"> and if needed, with a correction factor, for instance, as specified in Equation (6) of clause 12.2.2 of IEEE Std 1588 [126], this gives a residence time expressed in PTP GM time that</w:t>
      </w:r>
      <w:r w:rsidRPr="00873B6C">
        <w:t xml:space="preserve"> is used to update the correction field of the received PTP Sync or Follow_Up message.</w:t>
      </w:r>
    </w:p>
    <w:p w14:paraId="3B740818" w14:textId="77777777" w:rsidR="006D2D57" w:rsidRPr="00873B6C" w:rsidRDefault="006D2D57" w:rsidP="006D2D57">
      <w:r w:rsidRPr="00873B6C">
        <w:lastRenderedPageBreak/>
        <w:t>The PTP port in the ingress TT then forwards the PTP message to the UPF/NW-TT. The UPF/NW-TT further distributes the PTP message as follows:</w:t>
      </w:r>
    </w:p>
    <w:p w14:paraId="6F47E8AF" w14:textId="7CD8D25D" w:rsidR="006D2D57" w:rsidRPr="00873B6C" w:rsidRDefault="006D2D57" w:rsidP="00323277">
      <w:pPr>
        <w:pStyle w:val="B1"/>
      </w:pPr>
      <w:r w:rsidRPr="00873B6C">
        <w:t>-</w:t>
      </w:r>
      <w:r w:rsidRPr="00873B6C">
        <w:tab/>
        <w:t>If the 5GS is configured to operate as Boundary Clock as described in IEEE Std 1588 [126], the</w:t>
      </w:r>
      <w:r w:rsidR="00616F73" w:rsidRPr="00873B6C">
        <w:t xml:space="preserve"> UPF/NW-TT uses the port number of the </w:t>
      </w:r>
      <w:r w:rsidR="00283ED6" w:rsidRPr="00873B6C">
        <w:t xml:space="preserve">ingress </w:t>
      </w:r>
      <w:r w:rsidR="00616F73" w:rsidRPr="00873B6C">
        <w:t>DS-TT and domainNumber and sdoId in the received PTP message to assign the PTP message to a PTP instance in the NW-TT.</w:t>
      </w:r>
      <w:r w:rsidR="00283ED6" w:rsidRPr="00873B6C">
        <w:t xml:space="preserve"> If the NW-TT does not have a matching PTP instance, the UPF/NW-TT discards the message.</w:t>
      </w:r>
      <w:r w:rsidR="00616F73" w:rsidRPr="00873B6C">
        <w:t xml:space="preserve"> The</w:t>
      </w:r>
      <w:r w:rsidRPr="00873B6C">
        <w:t xml:space="preserve"> UPF/NW-TT</w:t>
      </w:r>
      <w:r w:rsidR="00616F73" w:rsidRPr="00873B6C">
        <w:t xml:space="preserve"> then</w:t>
      </w:r>
      <w:r w:rsidRPr="00873B6C">
        <w:t xml:space="preserve"> regenerates the Sync</w:t>
      </w:r>
      <w:r w:rsidR="00E47495" w:rsidRPr="00873B6C">
        <w:t xml:space="preserve"> and Follow_Up (for two-step operation)</w:t>
      </w:r>
      <w:r w:rsidRPr="00873B6C">
        <w:t xml:space="preserve"> messages based on the received Sync</w:t>
      </w:r>
      <w:r w:rsidR="00E47495" w:rsidRPr="00873B6C">
        <w:t xml:space="preserve"> and Follow_Up</w:t>
      </w:r>
      <w:r w:rsidRPr="00873B6C">
        <w:t xml:space="preserve"> messages for the</w:t>
      </w:r>
      <w:r w:rsidR="00616F73" w:rsidRPr="00873B6C">
        <w:t xml:space="preserve"> PTP ports in</w:t>
      </w:r>
      <w:r w:rsidRPr="00873B6C">
        <w:t xml:space="preserve"> </w:t>
      </w:r>
      <w:r w:rsidR="005309E6" w:rsidRPr="00873B6C">
        <w:t xml:space="preserve">Leader </w:t>
      </w:r>
      <w:r w:rsidR="00616F73" w:rsidRPr="00873B6C">
        <w:t xml:space="preserve">state </w:t>
      </w:r>
      <w:r w:rsidRPr="00873B6C">
        <w:t>in NW-TT and DS-TT(s)</w:t>
      </w:r>
      <w:r w:rsidR="00616F73" w:rsidRPr="00873B6C">
        <w:t xml:space="preserve"> within this PTP instance</w:t>
      </w:r>
      <w:r w:rsidRPr="00873B6C">
        <w:t>. The NW-TT/UPF forwards the regenerated Sync</w:t>
      </w:r>
      <w:r w:rsidR="00E47495" w:rsidRPr="00873B6C">
        <w:t xml:space="preserve"> and Follow_Up (for two-step operation)</w:t>
      </w:r>
      <w:r w:rsidRPr="00873B6C">
        <w:t xml:space="preserve"> messages to</w:t>
      </w:r>
      <w:r w:rsidR="00F84AAF" w:rsidRPr="00873B6C">
        <w:t xml:space="preserve"> the Leader ports in NW-TT and</w:t>
      </w:r>
      <w:r w:rsidRPr="00873B6C">
        <w:t xml:space="preserve"> the PDU session(s) related to the </w:t>
      </w:r>
      <w:r w:rsidR="005309E6" w:rsidRPr="00873B6C">
        <w:t xml:space="preserve">Leader </w:t>
      </w:r>
      <w:r w:rsidRPr="00873B6C">
        <w:t>ports in the DS-TT(s)</w:t>
      </w:r>
      <w:r w:rsidR="00616F73" w:rsidRPr="00873B6C">
        <w:t xml:space="preserve"> within this PTP instance</w:t>
      </w:r>
      <w:r w:rsidRPr="00873B6C">
        <w:t>.</w:t>
      </w:r>
    </w:p>
    <w:p w14:paraId="3B646BB7" w14:textId="1DD4034D" w:rsidR="006D2D57" w:rsidRPr="00873B6C" w:rsidRDefault="006D2D57" w:rsidP="00323277">
      <w:pPr>
        <w:pStyle w:val="B1"/>
      </w:pPr>
      <w:r w:rsidRPr="00873B6C">
        <w:t>-</w:t>
      </w:r>
      <w:r w:rsidRPr="00873B6C">
        <w:tab/>
        <w:t>If the 5GS is configured to operate as a Transparent Clock as described in IEEE Std 1588 [126], the UPF/NW-TT</w:t>
      </w:r>
      <w:r w:rsidR="00616F73" w:rsidRPr="00873B6C">
        <w:t xml:space="preserve"> uses the port number of the</w:t>
      </w:r>
      <w:r w:rsidR="00283ED6" w:rsidRPr="00873B6C">
        <w:t xml:space="preserve"> ingress TT</w:t>
      </w:r>
      <w:r w:rsidR="00616F73" w:rsidRPr="00873B6C">
        <w:t xml:space="preserve"> and domainNumber and sdoId in the received PTP message to assign the PTP message to a PTP instance in the NW-TT.</w:t>
      </w:r>
      <w:r w:rsidR="00283ED6" w:rsidRPr="00873B6C">
        <w:t xml:space="preserve"> If the NW-TT does not have a matching PTP instance, the UPF/NW-TT discards the message.</w:t>
      </w:r>
      <w:r w:rsidR="00616F73" w:rsidRPr="00873B6C">
        <w:t xml:space="preserve"> The UPF/NW-TT then</w:t>
      </w:r>
      <w:r w:rsidRPr="00873B6C">
        <w:t xml:space="preserve"> forwards the received Sync messages to</w:t>
      </w:r>
      <w:r w:rsidR="00616F73" w:rsidRPr="00873B6C">
        <w:t xml:space="preserve"> PTP ports in</w:t>
      </w:r>
      <w:r w:rsidRPr="00873B6C">
        <w:t xml:space="preserve"> DS-TT(s)</w:t>
      </w:r>
      <w:r w:rsidR="00616F73" w:rsidRPr="00873B6C">
        <w:t xml:space="preserve"> within this PTP instance</w:t>
      </w:r>
      <w:r w:rsidRPr="00873B6C">
        <w:t xml:space="preserve"> via </w:t>
      </w:r>
      <w:r w:rsidR="00283ED6" w:rsidRPr="00873B6C">
        <w:t xml:space="preserve">corresponding </w:t>
      </w:r>
      <w:r w:rsidRPr="00873B6C">
        <w:t>PDU Sessions terminating to this UPF</w:t>
      </w:r>
      <w:r w:rsidR="00472CD7" w:rsidRPr="00873B6C">
        <w:t xml:space="preserve"> and</w:t>
      </w:r>
      <w:r w:rsidRPr="00873B6C">
        <w:t xml:space="preserve"> to NW-TT ports</w:t>
      </w:r>
      <w:r w:rsidR="00616F73" w:rsidRPr="00873B6C">
        <w:t xml:space="preserve"> within this PTP instance</w:t>
      </w:r>
      <w:r w:rsidRPr="00873B6C">
        <w:t>, except toward the ingress PTP port in the ingress TT.</w:t>
      </w:r>
    </w:p>
    <w:p w14:paraId="2F79EA16" w14:textId="0C98143C" w:rsidR="006D2D57" w:rsidRPr="00873B6C" w:rsidRDefault="006D2D57" w:rsidP="00323277">
      <w:pPr>
        <w:pStyle w:val="NO"/>
      </w:pPr>
      <w:r w:rsidRPr="00873B6C">
        <w:t>NOTE </w:t>
      </w:r>
      <w:r w:rsidR="00607A94" w:rsidRPr="00873B6C">
        <w:t>4</w:t>
      </w:r>
      <w:r w:rsidRPr="00873B6C">
        <w:t>:</w:t>
      </w:r>
      <w:r w:rsidRPr="00873B6C">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873B6C" w:rsidRDefault="00607A94" w:rsidP="00562E84">
      <w:pPr>
        <w:pStyle w:val="NO"/>
      </w:pPr>
      <w:r w:rsidRPr="00873B6C">
        <w:t>NOTE 5:</w:t>
      </w:r>
      <w:r w:rsidRPr="00873B6C">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7AD94F9A" w:rsidR="006D2D57" w:rsidRPr="00873B6C" w:rsidRDefault="006D2D57" w:rsidP="006D2D57">
      <w:r w:rsidRPr="00873B6C">
        <w:t>The PTP port in the egress TT then creates egress timestamping (TSe)</w:t>
      </w:r>
      <w:r w:rsidR="0036079D">
        <w:t xml:space="preserve"> using 5G internal system clock</w:t>
      </w:r>
      <w:r w:rsidRPr="00873B6C">
        <w:t xml:space="preserv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873B6C" w:rsidRDefault="006D2D57" w:rsidP="006D2D57">
      <w:r w:rsidRPr="00873B6C">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873B6C" w:rsidRDefault="006D2D57" w:rsidP="006D2D57">
      <w:r w:rsidRPr="00873B6C">
        <w:t>The PTP port in the egress TT modifies the payload of the PTP message</w:t>
      </w:r>
      <w:r w:rsidR="002D6B6E" w:rsidRPr="00873B6C">
        <w:t xml:space="preserve"> (Sync message for one-step operation or Follow_Up message for two-step operation)</w:t>
      </w:r>
      <w:r w:rsidRPr="00873B6C">
        <w:t xml:space="preserve"> that it sends towards the downstream PTP instance as follows:</w:t>
      </w:r>
    </w:p>
    <w:p w14:paraId="00A75384" w14:textId="414D036F" w:rsidR="006D2D57" w:rsidRPr="00873B6C" w:rsidRDefault="006D2D57" w:rsidP="00323277">
      <w:pPr>
        <w:pStyle w:val="B1"/>
      </w:pPr>
      <w:r w:rsidRPr="00873B6C">
        <w:t>-</w:t>
      </w:r>
      <w:r w:rsidRPr="00873B6C">
        <w:tab/>
        <w:t>Adds the calculated residence time to the correction field.</w:t>
      </w:r>
    </w:p>
    <w:p w14:paraId="42D5B07C" w14:textId="6DE9A07F" w:rsidR="006D2D57" w:rsidRPr="00873B6C" w:rsidRDefault="006D2D57" w:rsidP="00323277">
      <w:pPr>
        <w:pStyle w:val="B1"/>
      </w:pPr>
      <w:r w:rsidRPr="00873B6C">
        <w:t>-</w:t>
      </w:r>
      <w:r w:rsidRPr="00873B6C">
        <w:tab/>
        <w:t>Removes Suffix field of the PTP message that contains TSi.</w:t>
      </w:r>
    </w:p>
    <w:p w14:paraId="6D3DC745" w14:textId="428997A9" w:rsidR="006D2D57" w:rsidRPr="00873B6C" w:rsidRDefault="006D2D57" w:rsidP="00323277">
      <w:pPr>
        <w:pStyle w:val="NO"/>
      </w:pPr>
      <w:r w:rsidRPr="00873B6C">
        <w:t>NOTE </w:t>
      </w:r>
      <w:r w:rsidR="00607A94" w:rsidRPr="00873B6C">
        <w:t>6</w:t>
      </w:r>
      <w:r w:rsidRPr="00873B6C">
        <w:t>:</w:t>
      </w:r>
      <w:r w:rsidRPr="00873B6C">
        <w:tab/>
        <w:t xml:space="preserve">If 5GS acts as an end-to-end Transparent Clock, since the end-to-end Transparent Clock does not support peer-to-peer delay mechanism, </w:t>
      </w:r>
      <w:r w:rsidR="0053150F" w:rsidRPr="00873B6C">
        <w:t xml:space="preserve">the residence time is calculated with </w:t>
      </w:r>
      <w:r w:rsidRPr="00873B6C">
        <w:t>the residence time spent within the 5GS in 5G GM time</w:t>
      </w:r>
      <w:r w:rsidR="0053150F" w:rsidRPr="00873B6C">
        <w:t xml:space="preserve"> and, if needed, corrected for instance with the factor as specified in Equation (6) of clause 12.2.2 of IEEE Std 1588 [126] to get it expressed in PTP GM time. The residence time</w:t>
      </w:r>
      <w:r w:rsidRPr="00873B6C">
        <w:t xml:space="preserve"> is used to update the correction field of the received PTP event (e.g. Sync or Follow_Up) message.</w:t>
      </w:r>
    </w:p>
    <w:p w14:paraId="092E7DDA" w14:textId="5A2B9503" w:rsidR="00D40151" w:rsidRPr="00873B6C" w:rsidRDefault="00D40151" w:rsidP="00D40151">
      <w:pPr>
        <w:pStyle w:val="Heading4"/>
      </w:pPr>
      <w:bookmarkStart w:id="3942" w:name="_CR5_27_1_3"/>
      <w:bookmarkStart w:id="3943" w:name="_Toc201157463"/>
      <w:bookmarkEnd w:id="3942"/>
      <w:r w:rsidRPr="00873B6C">
        <w:t>5.27.1.3</w:t>
      </w:r>
      <w:r w:rsidRPr="00873B6C">
        <w:tab/>
        <w:t>Support for multiple</w:t>
      </w:r>
      <w:r w:rsidR="00607A94" w:rsidRPr="00873B6C">
        <w:t xml:space="preserve"> (g)PTP</w:t>
      </w:r>
      <w:r w:rsidRPr="00873B6C">
        <w:t xml:space="preserve"> domains</w:t>
      </w:r>
      <w:bookmarkEnd w:id="3935"/>
      <w:bookmarkEnd w:id="3936"/>
      <w:bookmarkEnd w:id="3937"/>
      <w:bookmarkEnd w:id="3938"/>
      <w:bookmarkEnd w:id="3939"/>
      <w:bookmarkEnd w:id="3940"/>
      <w:bookmarkEnd w:id="3943"/>
    </w:p>
    <w:p w14:paraId="194E8D02" w14:textId="0BCB092C" w:rsidR="006D2D57" w:rsidRPr="00873B6C" w:rsidRDefault="006D2D57" w:rsidP="006D2D57">
      <w:r w:rsidRPr="00873B6C">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24B7121" w:rsidR="00D40151" w:rsidRPr="00873B6C" w:rsidRDefault="00D40151" w:rsidP="00D40151">
      <w:pPr>
        <w:rPr>
          <w:lang w:eastAsia="x-none"/>
        </w:rPr>
      </w:pPr>
      <w:r w:rsidRPr="00873B6C">
        <w:rPr>
          <w:lang w:eastAsia="x-none"/>
        </w:rPr>
        <w:t xml:space="preserve">Each </w:t>
      </w:r>
      <w:r w:rsidR="006D2D57" w:rsidRPr="00873B6C">
        <w:rPr>
          <w:lang w:eastAsia="x-none"/>
        </w:rPr>
        <w:t xml:space="preserve">(g)PTP </w:t>
      </w:r>
      <w:r w:rsidRPr="00873B6C">
        <w:rPr>
          <w:lang w:eastAsia="x-none"/>
        </w:rPr>
        <w:t xml:space="preserve">domain sends its own </w:t>
      </w:r>
      <w:r w:rsidR="007B3699" w:rsidRPr="00873B6C">
        <w:rPr>
          <w:lang w:eastAsia="x-none"/>
        </w:rPr>
        <w:t>(</w:t>
      </w:r>
      <w:r w:rsidRPr="00873B6C">
        <w:rPr>
          <w:lang w:eastAsia="x-none"/>
        </w:rPr>
        <w:t>g</w:t>
      </w:r>
      <w:r w:rsidR="007B3699" w:rsidRPr="00873B6C">
        <w:rPr>
          <w:lang w:eastAsia="x-none"/>
        </w:rPr>
        <w:t>)</w:t>
      </w:r>
      <w:r w:rsidRPr="00873B6C">
        <w:rPr>
          <w:lang w:eastAsia="x-none"/>
        </w:rPr>
        <w:t>PTP messages.</w:t>
      </w:r>
      <w:r w:rsidR="006D2D57" w:rsidRPr="00873B6C">
        <w:rPr>
          <w:lang w:eastAsia="x-none"/>
        </w:rPr>
        <w:t xml:space="preserve"> The (</w:t>
      </w:r>
      <w:r w:rsidRPr="00873B6C">
        <w:rPr>
          <w:lang w:eastAsia="x-none"/>
        </w:rPr>
        <w:t>g</w:t>
      </w:r>
      <w:r w:rsidR="006D2D57" w:rsidRPr="00873B6C">
        <w:rPr>
          <w:lang w:eastAsia="x-none"/>
        </w:rPr>
        <w:t>)</w:t>
      </w:r>
      <w:r w:rsidRPr="00873B6C">
        <w:rPr>
          <w:lang w:eastAsia="x-none"/>
        </w:rPr>
        <w:t>PTP message carries a specific PTP "domainNumber" that indicates the time domain they are referring to. The</w:t>
      </w:r>
      <w:r w:rsidR="006D2D57" w:rsidRPr="00873B6C">
        <w:rPr>
          <w:lang w:eastAsia="x-none"/>
        </w:rPr>
        <w:t xml:space="preserve"> PTP port in ingress </w:t>
      </w:r>
      <w:r w:rsidRPr="00873B6C">
        <w:rPr>
          <w:lang w:eastAsia="x-none"/>
        </w:rPr>
        <w:t>TT makes ingress timestamping (TSi)</w:t>
      </w:r>
      <w:r w:rsidR="0036079D">
        <w:rPr>
          <w:lang w:eastAsia="x-none"/>
        </w:rPr>
        <w:t xml:space="preserve"> using 5G internal system clock</w:t>
      </w:r>
      <w:r w:rsidRPr="00873B6C">
        <w:rPr>
          <w:lang w:eastAsia="x-none"/>
        </w:rPr>
        <w:t xml:space="preserve"> for the </w:t>
      </w:r>
      <w:r w:rsidR="006D2D57" w:rsidRPr="00873B6C">
        <w:rPr>
          <w:lang w:eastAsia="x-none"/>
        </w:rPr>
        <w:t>(</w:t>
      </w:r>
      <w:r w:rsidRPr="00873B6C">
        <w:rPr>
          <w:lang w:eastAsia="x-none"/>
        </w:rPr>
        <w:t>g</w:t>
      </w:r>
      <w:r w:rsidR="006D2D57" w:rsidRPr="00873B6C">
        <w:rPr>
          <w:lang w:eastAsia="x-none"/>
        </w:rPr>
        <w:t>)</w:t>
      </w:r>
      <w:r w:rsidRPr="00873B6C">
        <w:rPr>
          <w:lang w:eastAsia="x-none"/>
        </w:rPr>
        <w:t xml:space="preserve">PTP event messages of all domains and forwards the </w:t>
      </w:r>
      <w:r w:rsidR="006D2D57" w:rsidRPr="00873B6C">
        <w:rPr>
          <w:lang w:eastAsia="x-none"/>
        </w:rPr>
        <w:t>(</w:t>
      </w:r>
      <w:r w:rsidRPr="00873B6C">
        <w:rPr>
          <w:lang w:eastAsia="x-none"/>
        </w:rPr>
        <w:t>g</w:t>
      </w:r>
      <w:r w:rsidR="006D2D57" w:rsidRPr="00873B6C">
        <w:rPr>
          <w:lang w:eastAsia="x-none"/>
        </w:rPr>
        <w:t>)</w:t>
      </w:r>
      <w:r w:rsidRPr="00873B6C">
        <w:rPr>
          <w:lang w:eastAsia="x-none"/>
        </w:rPr>
        <w:t>PTP messages of all domains to the</w:t>
      </w:r>
      <w:r w:rsidR="00283ED6" w:rsidRPr="00873B6C">
        <w:rPr>
          <w:lang w:eastAsia="x-none"/>
        </w:rPr>
        <w:t xml:space="preserve"> UPF/NW-TT that further distributes the (g)PTP messages to the egress TTs</w:t>
      </w:r>
      <w:r w:rsidR="006D2D57" w:rsidRPr="00873B6C">
        <w:rPr>
          <w:lang w:eastAsia="x-none"/>
        </w:rPr>
        <w:t xml:space="preserve"> </w:t>
      </w:r>
      <w:r w:rsidRPr="00873B6C">
        <w:rPr>
          <w:lang w:eastAsia="x-none"/>
        </w:rPr>
        <w:t>as specified in clause 5.27.1.2.2.</w:t>
      </w:r>
    </w:p>
    <w:p w14:paraId="7F87785D" w14:textId="7169CE29" w:rsidR="00D40151" w:rsidRPr="00873B6C" w:rsidRDefault="006D2D57" w:rsidP="00D40151">
      <w:pPr>
        <w:rPr>
          <w:lang w:eastAsia="x-none"/>
        </w:rPr>
      </w:pPr>
      <w:r w:rsidRPr="00873B6C">
        <w:rPr>
          <w:lang w:eastAsia="x-none"/>
        </w:rPr>
        <w:t xml:space="preserve">The PTP port in the egress </w:t>
      </w:r>
      <w:r w:rsidR="00D40151" w:rsidRPr="00873B6C">
        <w:rPr>
          <w:lang w:eastAsia="x-none"/>
        </w:rPr>
        <w:t xml:space="preserve">TT receives the original </w:t>
      </w:r>
      <w:r w:rsidRPr="00873B6C">
        <w:rPr>
          <w:lang w:eastAsia="x-none"/>
        </w:rPr>
        <w:t xml:space="preserve">PTP </w:t>
      </w:r>
      <w:r w:rsidR="00D40151" w:rsidRPr="00873B6C">
        <w:rPr>
          <w:lang w:eastAsia="x-none"/>
        </w:rPr>
        <w:t xml:space="preserve">GM clock timing information and the corresponding TSi via </w:t>
      </w:r>
      <w:r w:rsidRPr="00873B6C">
        <w:rPr>
          <w:lang w:eastAsia="x-none"/>
        </w:rPr>
        <w:t>(</w:t>
      </w:r>
      <w:r w:rsidR="00D40151" w:rsidRPr="00873B6C">
        <w:rPr>
          <w:lang w:eastAsia="x-none"/>
        </w:rPr>
        <w:t>g</w:t>
      </w:r>
      <w:r w:rsidRPr="00873B6C">
        <w:rPr>
          <w:lang w:eastAsia="x-none"/>
        </w:rPr>
        <w:t>)</w:t>
      </w:r>
      <w:r w:rsidR="00D40151" w:rsidRPr="00873B6C">
        <w:rPr>
          <w:lang w:eastAsia="x-none"/>
        </w:rPr>
        <w:t>PTP messages for one or more</w:t>
      </w:r>
      <w:r w:rsidRPr="00873B6C">
        <w:rPr>
          <w:lang w:eastAsia="x-none"/>
        </w:rPr>
        <w:t xml:space="preserve"> (g)PTP</w:t>
      </w:r>
      <w:r w:rsidR="00D40151" w:rsidRPr="00873B6C">
        <w:rPr>
          <w:lang w:eastAsia="x-none"/>
        </w:rPr>
        <w:t xml:space="preserve"> domains. The</w:t>
      </w:r>
      <w:r w:rsidRPr="00873B6C">
        <w:rPr>
          <w:lang w:eastAsia="x-none"/>
        </w:rPr>
        <w:t xml:space="preserve"> PTP port in the egress </w:t>
      </w:r>
      <w:r w:rsidR="00D40151" w:rsidRPr="00873B6C">
        <w:rPr>
          <w:lang w:eastAsia="x-none"/>
        </w:rPr>
        <w:t xml:space="preserve">TT then makes egress timestamping </w:t>
      </w:r>
      <w:r w:rsidR="00D40151" w:rsidRPr="00873B6C">
        <w:rPr>
          <w:lang w:eastAsia="x-none"/>
        </w:rPr>
        <w:lastRenderedPageBreak/>
        <w:t>(TSe)</w:t>
      </w:r>
      <w:r w:rsidR="0036079D">
        <w:rPr>
          <w:lang w:eastAsia="x-none"/>
        </w:rPr>
        <w:t xml:space="preserve"> using 5G internal system clock</w:t>
      </w:r>
      <w:r w:rsidR="00D40151" w:rsidRPr="00873B6C">
        <w:rPr>
          <w:lang w:eastAsia="x-none"/>
        </w:rPr>
        <w:t xml:space="preserve"> for the </w:t>
      </w:r>
      <w:r w:rsidR="007B3699" w:rsidRPr="00873B6C">
        <w:rPr>
          <w:lang w:eastAsia="x-none"/>
        </w:rPr>
        <w:t>(</w:t>
      </w:r>
      <w:r w:rsidR="00D40151" w:rsidRPr="00873B6C">
        <w:rPr>
          <w:lang w:eastAsia="x-none"/>
        </w:rPr>
        <w:t>g</w:t>
      </w:r>
      <w:r w:rsidR="007B3699" w:rsidRPr="00873B6C">
        <w:rPr>
          <w:lang w:eastAsia="x-none"/>
        </w:rPr>
        <w:t>)</w:t>
      </w:r>
      <w:r w:rsidR="00D40151" w:rsidRPr="00873B6C">
        <w:rPr>
          <w:lang w:eastAsia="x-none"/>
        </w:rPr>
        <w:t>PTP event messages for every</w:t>
      </w:r>
      <w:r w:rsidRPr="00873B6C">
        <w:rPr>
          <w:lang w:eastAsia="x-none"/>
        </w:rPr>
        <w:t xml:space="preserve"> (g)PTP</w:t>
      </w:r>
      <w:r w:rsidR="00D40151" w:rsidRPr="00873B6C">
        <w:rPr>
          <w:lang w:eastAsia="x-none"/>
        </w:rPr>
        <w:t xml:space="preserve"> domain. Ingress and egress time stamping are based on the 5G</w:t>
      </w:r>
      <w:r w:rsidR="0036079D">
        <w:rPr>
          <w:lang w:eastAsia="x-none"/>
        </w:rPr>
        <w:t xml:space="preserve"> internal</w:t>
      </w:r>
      <w:r w:rsidR="00D40151" w:rsidRPr="00873B6C">
        <w:rPr>
          <w:lang w:eastAsia="x-none"/>
        </w:rPr>
        <w:t xml:space="preserve"> system clock at NW-TT and DS-TT.</w:t>
      </w:r>
    </w:p>
    <w:p w14:paraId="0B2178DB" w14:textId="137AF8B7" w:rsidR="00D40151" w:rsidRPr="00873B6C" w:rsidRDefault="00D40151" w:rsidP="00D40151">
      <w:pPr>
        <w:pStyle w:val="NO"/>
      </w:pPr>
      <w:r w:rsidRPr="00873B6C">
        <w:t>NOTE 1:</w:t>
      </w:r>
      <w:r w:rsidRPr="00873B6C">
        <w:tab/>
        <w:t xml:space="preserve">An end-station can select </w:t>
      </w:r>
      <w:r w:rsidR="006D2D57" w:rsidRPr="00873B6C">
        <w:t xml:space="preserve">PTP </w:t>
      </w:r>
      <w:r w:rsidRPr="00873B6C">
        <w:t xml:space="preserve">timing information of interest based on the "domainNumber" in the </w:t>
      </w:r>
      <w:r w:rsidR="006D2D57" w:rsidRPr="00873B6C">
        <w:t>(</w:t>
      </w:r>
      <w:r w:rsidRPr="00873B6C">
        <w:t>g</w:t>
      </w:r>
      <w:r w:rsidR="006D2D57" w:rsidRPr="00873B6C">
        <w:t>)</w:t>
      </w:r>
      <w:r w:rsidRPr="00873B6C">
        <w:t>PTP message.</w:t>
      </w:r>
    </w:p>
    <w:p w14:paraId="1E2620C8" w14:textId="6FA4401F" w:rsidR="00D40151" w:rsidRPr="00873B6C" w:rsidRDefault="00D40151" w:rsidP="00D40151">
      <w:pPr>
        <w:rPr>
          <w:lang w:eastAsia="x-none"/>
        </w:rPr>
      </w:pPr>
      <w:r w:rsidRPr="00873B6C">
        <w:rPr>
          <w:lang w:eastAsia="x-none"/>
        </w:rPr>
        <w:t>The process described in clause 5.27.1.2.2 is thus repeated for each</w:t>
      </w:r>
      <w:r w:rsidR="006D2D57" w:rsidRPr="00873B6C">
        <w:rPr>
          <w:lang w:eastAsia="x-none"/>
        </w:rPr>
        <w:t xml:space="preserve"> (g)PTP</w:t>
      </w:r>
      <w:r w:rsidRPr="00873B6C">
        <w:rPr>
          <w:lang w:eastAsia="x-none"/>
        </w:rPr>
        <w:t xml:space="preserve"> domain between a DS-TT and the NW-TT it is connected to.</w:t>
      </w:r>
    </w:p>
    <w:p w14:paraId="37C46D7A" w14:textId="20913433" w:rsidR="00D40151" w:rsidRPr="00873B6C" w:rsidRDefault="00D40151" w:rsidP="00D40151">
      <w:pPr>
        <w:pStyle w:val="NO"/>
      </w:pPr>
      <w:r w:rsidRPr="00873B6C">
        <w:t>NOTE 2:</w:t>
      </w:r>
      <w:r w:rsidRPr="00873B6C">
        <w:tab/>
        <w:t>If all</w:t>
      </w:r>
      <w:r w:rsidR="006D2D57" w:rsidRPr="00873B6C">
        <w:t xml:space="preserve"> (g)PTP</w:t>
      </w:r>
      <w:r w:rsidRPr="00873B6C">
        <w:t xml:space="preserve"> domains can be made synchronous and the synchronization can be provided by the 5G</w:t>
      </w:r>
      <w:r w:rsidR="0036079D">
        <w:t xml:space="preserve"> internal system</w:t>
      </w:r>
      <w:r w:rsidRPr="00873B6C">
        <w:t xml:space="preserve"> clock,</w:t>
      </w:r>
      <w:r w:rsidR="003B51EA" w:rsidRPr="00873B6C">
        <w:t xml:space="preserve"> the NW-TT</w:t>
      </w:r>
      <w:r w:rsidR="006D2D57" w:rsidRPr="00873B6C">
        <w:t xml:space="preserve"> or DS-TT(s)</w:t>
      </w:r>
      <w:r w:rsidR="003B51EA" w:rsidRPr="00873B6C">
        <w:t xml:space="preserve"> generates the </w:t>
      </w:r>
      <w:r w:rsidR="006D2D57" w:rsidRPr="00873B6C">
        <w:t>(</w:t>
      </w:r>
      <w:r w:rsidR="003B51EA" w:rsidRPr="00873B6C">
        <w:t>g</w:t>
      </w:r>
      <w:r w:rsidR="006D2D57" w:rsidRPr="00873B6C">
        <w:t>)</w:t>
      </w:r>
      <w:r w:rsidR="003B51EA" w:rsidRPr="00873B6C">
        <w:t>PTP event messages of all domains using 5G clock</w:t>
      </w:r>
      <w:r w:rsidR="006D2D57" w:rsidRPr="00873B6C">
        <w:t xml:space="preserve"> as described in clause 5.27.1.7</w:t>
      </w:r>
      <w:r w:rsidR="003B51EA" w:rsidRPr="00873B6C">
        <w:t>.</w:t>
      </w:r>
    </w:p>
    <w:p w14:paraId="05A8AC7A" w14:textId="53D3D3E5" w:rsidR="00D40151" w:rsidRPr="00873B6C" w:rsidRDefault="00D40151" w:rsidP="00D40151">
      <w:pPr>
        <w:pStyle w:val="NO"/>
      </w:pPr>
      <w:bookmarkStart w:id="3944" w:name="_Toc20150065"/>
      <w:bookmarkStart w:id="3945" w:name="_Toc27846864"/>
      <w:bookmarkStart w:id="3946" w:name="_Toc36187995"/>
      <w:bookmarkStart w:id="3947" w:name="_Toc45183899"/>
      <w:bookmarkStart w:id="3948" w:name="_Toc47342741"/>
      <w:r w:rsidRPr="00873B6C">
        <w:t>NOTE 3:</w:t>
      </w:r>
      <w:r w:rsidRPr="00873B6C">
        <w:tab/>
        <w:t>This Release of the specification supports multiple gPTP domains as defined in IEEE Std 802.1AS</w:t>
      </w:r>
      <w:r w:rsidR="00616F73" w:rsidRPr="00873B6C">
        <w:t> </w:t>
      </w:r>
      <w:r w:rsidRPr="00873B6C">
        <w:t>[104]. If a 5GS TSN bridge supports stream gates and/or transmission gates as defined in IEEE Std 802.1Q [98], then they operate based on a single given gPTP domain.</w:t>
      </w:r>
    </w:p>
    <w:p w14:paraId="01F790CD" w14:textId="0AB36C4B" w:rsidR="00B00E92" w:rsidRPr="00873B6C" w:rsidRDefault="00B00E92" w:rsidP="00B00E92">
      <w:pPr>
        <w:pStyle w:val="Heading4"/>
      </w:pPr>
      <w:bookmarkStart w:id="3949" w:name="_CR5_27_1_4"/>
      <w:bookmarkStart w:id="3950" w:name="_Toc51769442"/>
      <w:bookmarkStart w:id="3951" w:name="_Toc201157464"/>
      <w:bookmarkEnd w:id="3949"/>
      <w:r w:rsidRPr="00873B6C">
        <w:t>5.27.1.4</w:t>
      </w:r>
      <w:r w:rsidRPr="00873B6C">
        <w:tab/>
        <w:t>DS-TT and NW-TT Time Synchronization functionality</w:t>
      </w:r>
      <w:bookmarkEnd w:id="3951"/>
    </w:p>
    <w:p w14:paraId="09CE851A" w14:textId="0074E178" w:rsidR="00607A94" w:rsidRPr="00873B6C" w:rsidRDefault="00607A94" w:rsidP="00B00E92">
      <w:r w:rsidRPr="00873B6C">
        <w:t>This clause describes the support of</w:t>
      </w:r>
      <w:r w:rsidR="007B3699" w:rsidRPr="00873B6C">
        <w:t xml:space="preserve"> Time Synchronization functionality supported by the 5G System</w:t>
      </w:r>
      <w:r w:rsidRPr="00873B6C">
        <w:t>. Synchronization between UPF/NW-TT and NG-RAN is outside scope of 3GPP.</w:t>
      </w:r>
    </w:p>
    <w:p w14:paraId="66CD19D0" w14:textId="12CAD15D" w:rsidR="00B00E92" w:rsidRPr="00873B6C" w:rsidRDefault="00B00E92" w:rsidP="00B00E92">
      <w:r w:rsidRPr="00873B6C">
        <w:t>DS-TT and NW-TT may support the following PTP instance types:</w:t>
      </w:r>
    </w:p>
    <w:p w14:paraId="4EDC75FE" w14:textId="1EFA73F0" w:rsidR="00B00E92" w:rsidRPr="00873B6C" w:rsidRDefault="00B00E92" w:rsidP="00323277">
      <w:pPr>
        <w:pStyle w:val="B1"/>
      </w:pPr>
      <w:r w:rsidRPr="00873B6C">
        <w:t>-</w:t>
      </w:r>
      <w:r w:rsidRPr="00873B6C">
        <w:tab/>
        <w:t>Boundary Clock as defined in IEEE Std 1588 [126]</w:t>
      </w:r>
      <w:r w:rsidR="00607A94" w:rsidRPr="00873B6C">
        <w:t xml:space="preserve"> as described in clause 5.27.1.1</w:t>
      </w:r>
      <w:r w:rsidRPr="00873B6C">
        <w:t>;</w:t>
      </w:r>
    </w:p>
    <w:p w14:paraId="4F13AFF3" w14:textId="3FD3B5B6" w:rsidR="00B00E92" w:rsidRPr="00873B6C" w:rsidRDefault="00B00E92" w:rsidP="00323277">
      <w:pPr>
        <w:pStyle w:val="B1"/>
      </w:pPr>
      <w:r w:rsidRPr="00873B6C">
        <w:t>-</w:t>
      </w:r>
      <w:r w:rsidRPr="00873B6C">
        <w:tab/>
        <w:t>End-to-End Transparent Clock as defined in IEEE</w:t>
      </w:r>
      <w:r w:rsidR="001F3682" w:rsidRPr="00873B6C">
        <w:t> </w:t>
      </w:r>
      <w:r w:rsidRPr="00873B6C">
        <w:t>Std</w:t>
      </w:r>
      <w:r w:rsidR="001F3682" w:rsidRPr="00873B6C">
        <w:t> </w:t>
      </w:r>
      <w:r w:rsidRPr="00873B6C">
        <w:t>1588 [126]</w:t>
      </w:r>
      <w:r w:rsidR="00607A94" w:rsidRPr="00873B6C">
        <w:t xml:space="preserve"> as described in clause 5.27.1.1</w:t>
      </w:r>
      <w:r w:rsidRPr="00873B6C">
        <w:t>;</w:t>
      </w:r>
    </w:p>
    <w:p w14:paraId="7DD2D341" w14:textId="37EEEBF9" w:rsidR="00B00E92" w:rsidRPr="00873B6C" w:rsidRDefault="00B00E92" w:rsidP="00323277">
      <w:pPr>
        <w:pStyle w:val="B1"/>
      </w:pPr>
      <w:r w:rsidRPr="00873B6C">
        <w:t>-</w:t>
      </w:r>
      <w:r w:rsidRPr="00873B6C">
        <w:tab/>
        <w:t xml:space="preserve">Peer-to-Peer Transparent Clock as defined in </w:t>
      </w:r>
      <w:r w:rsidR="001F3682" w:rsidRPr="00873B6C">
        <w:t>IEEE Std 1588 [126]</w:t>
      </w:r>
      <w:r w:rsidR="00607A94" w:rsidRPr="00873B6C">
        <w:t xml:space="preserve"> as described in clause 5.27.1.1</w:t>
      </w:r>
      <w:r w:rsidRPr="00873B6C">
        <w:t>;</w:t>
      </w:r>
    </w:p>
    <w:p w14:paraId="2E9AC562" w14:textId="63DF75AA" w:rsidR="00B00E92" w:rsidRPr="00873B6C" w:rsidRDefault="00B00E92" w:rsidP="00323277">
      <w:pPr>
        <w:pStyle w:val="B1"/>
      </w:pPr>
      <w:r w:rsidRPr="00873B6C">
        <w:t>-</w:t>
      </w:r>
      <w:r w:rsidRPr="00873B6C">
        <w:tab/>
        <w:t>PTP Relay instance as defined in IEEE</w:t>
      </w:r>
      <w:r w:rsidR="001F3682" w:rsidRPr="00873B6C">
        <w:t> </w:t>
      </w:r>
      <w:r w:rsidRPr="00873B6C">
        <w:t>Std</w:t>
      </w:r>
      <w:r w:rsidR="001F3682" w:rsidRPr="00873B6C">
        <w:t> </w:t>
      </w:r>
      <w:r w:rsidRPr="00873B6C">
        <w:t>802.1AS</w:t>
      </w:r>
      <w:r w:rsidR="001F3682" w:rsidRPr="00873B6C">
        <w:t> </w:t>
      </w:r>
      <w:r w:rsidRPr="00873B6C">
        <w:t>[104].</w:t>
      </w:r>
    </w:p>
    <w:p w14:paraId="1CB8D76C" w14:textId="14772239" w:rsidR="00B00E92" w:rsidRPr="00873B6C" w:rsidRDefault="00B00E92" w:rsidP="00323277">
      <w:pPr>
        <w:pStyle w:val="EditorsNote"/>
      </w:pPr>
      <w:r w:rsidRPr="00873B6C">
        <w:t>Editor's note:</w:t>
      </w:r>
      <w:r w:rsidRPr="00873B6C">
        <w:tab/>
        <w:t>Support for external networks operating with IEEE</w:t>
      </w:r>
      <w:r w:rsidR="001F3682" w:rsidRPr="00873B6C">
        <w:t> Std </w:t>
      </w:r>
      <w:r w:rsidRPr="00873B6C">
        <w:t>1588-2008 [107] is for further study.</w:t>
      </w:r>
    </w:p>
    <w:p w14:paraId="2B83DB7D" w14:textId="77777777" w:rsidR="00B00E92" w:rsidRPr="00873B6C" w:rsidRDefault="00B00E92" w:rsidP="00B00E92">
      <w:r w:rsidRPr="00873B6C">
        <w:t>DS-TT and NW-TT may support the following transports for PTP:</w:t>
      </w:r>
    </w:p>
    <w:p w14:paraId="0B821858" w14:textId="0EB1DC2B" w:rsidR="00B00E92" w:rsidRPr="00873B6C" w:rsidRDefault="00B00E92" w:rsidP="00323277">
      <w:pPr>
        <w:pStyle w:val="B1"/>
      </w:pPr>
      <w:r w:rsidRPr="00873B6C">
        <w:t>-</w:t>
      </w:r>
      <w:r w:rsidRPr="00873B6C">
        <w:tab/>
        <w:t>IPv4 as defined in IEEE Std 1588 [126] Annex C;</w:t>
      </w:r>
    </w:p>
    <w:p w14:paraId="46BB459B" w14:textId="58581631" w:rsidR="00B00E92" w:rsidRPr="00873B6C" w:rsidRDefault="00B00E92" w:rsidP="00323277">
      <w:pPr>
        <w:pStyle w:val="B1"/>
      </w:pPr>
      <w:r w:rsidRPr="00873B6C">
        <w:t>-</w:t>
      </w:r>
      <w:r w:rsidRPr="00873B6C">
        <w:tab/>
        <w:t>IPv6 as defined in IEEE Std 1588 [126] Annex D;</w:t>
      </w:r>
    </w:p>
    <w:p w14:paraId="67E5207D" w14:textId="40F48F11" w:rsidR="00B00E92" w:rsidRPr="00873B6C" w:rsidRDefault="00B00E92" w:rsidP="00323277">
      <w:pPr>
        <w:pStyle w:val="B1"/>
      </w:pPr>
      <w:r w:rsidRPr="00873B6C">
        <w:tab/>
        <w:t>IEEE</w:t>
      </w:r>
      <w:r w:rsidR="00607A94" w:rsidRPr="00873B6C">
        <w:t> Std </w:t>
      </w:r>
      <w:r w:rsidRPr="00873B6C">
        <w:t>802.3</w:t>
      </w:r>
      <w:r w:rsidR="00607A94" w:rsidRPr="00873B6C">
        <w:t> [131]</w:t>
      </w:r>
      <w:r w:rsidRPr="00873B6C">
        <w:t xml:space="preserve"> (Ethernet) as defined in IEEE</w:t>
      </w:r>
      <w:r w:rsidR="00607A94" w:rsidRPr="00873B6C">
        <w:t> </w:t>
      </w:r>
      <w:r w:rsidRPr="00873B6C">
        <w:t>Std</w:t>
      </w:r>
      <w:r w:rsidR="00607A94" w:rsidRPr="00873B6C">
        <w:t> </w:t>
      </w:r>
      <w:r w:rsidRPr="00873B6C">
        <w:t>1588 [126] Annex E.</w:t>
      </w:r>
    </w:p>
    <w:p w14:paraId="41BAC3D8" w14:textId="77777777" w:rsidR="00B00E92" w:rsidRPr="00873B6C" w:rsidRDefault="00B00E92" w:rsidP="00B00E92">
      <w:r w:rsidRPr="00873B6C">
        <w:t>For operation as a Boundary clock or as a Transparent Clock, DS-TT and NW-TT may support the following path and link delay measurement methods:</w:t>
      </w:r>
    </w:p>
    <w:p w14:paraId="2C50124B" w14:textId="79748832" w:rsidR="00B00E92" w:rsidRPr="00873B6C" w:rsidRDefault="00B00E92" w:rsidP="00323277">
      <w:pPr>
        <w:pStyle w:val="B1"/>
      </w:pPr>
      <w:r w:rsidRPr="00873B6C">
        <w:t>-</w:t>
      </w:r>
      <w:r w:rsidRPr="00873B6C">
        <w:tab/>
        <w:t>Delay request-response mechanism as described in</w:t>
      </w:r>
      <w:r w:rsidR="00D602DF" w:rsidRPr="00873B6C">
        <w:t xml:space="preserve"> clause 11.3</w:t>
      </w:r>
      <w:r w:rsidRPr="00873B6C">
        <w:t xml:space="preserve"> </w:t>
      </w:r>
      <w:r w:rsidR="00D602DF" w:rsidRPr="00873B6C">
        <w:t xml:space="preserve">of </w:t>
      </w:r>
      <w:r w:rsidRPr="00873B6C">
        <w:t>IEEE</w:t>
      </w:r>
      <w:r w:rsidR="008D5A3F" w:rsidRPr="00873B6C">
        <w:t> </w:t>
      </w:r>
      <w:r w:rsidRPr="00873B6C">
        <w:t>Std</w:t>
      </w:r>
      <w:r w:rsidR="008D5A3F" w:rsidRPr="00873B6C">
        <w:t> </w:t>
      </w:r>
      <w:r w:rsidRPr="00873B6C">
        <w:t>1588 [126];</w:t>
      </w:r>
    </w:p>
    <w:p w14:paraId="58E782C1" w14:textId="0699EACB" w:rsidR="00B00E92" w:rsidRPr="00873B6C" w:rsidRDefault="00B00E92" w:rsidP="00323277">
      <w:pPr>
        <w:pStyle w:val="B1"/>
      </w:pPr>
      <w:r w:rsidRPr="00873B6C">
        <w:t>-</w:t>
      </w:r>
      <w:r w:rsidRPr="00873B6C">
        <w:tab/>
        <w:t>Peer-to-peer delay mechanism as defined in</w:t>
      </w:r>
      <w:r w:rsidR="00D602DF" w:rsidRPr="00873B6C">
        <w:t xml:space="preserve"> clause 11.4</w:t>
      </w:r>
      <w:r w:rsidRPr="00873B6C">
        <w:t xml:space="preserve"> </w:t>
      </w:r>
      <w:r w:rsidR="00D602DF" w:rsidRPr="00873B6C">
        <w:t xml:space="preserve">of </w:t>
      </w:r>
      <w:r w:rsidRPr="00873B6C">
        <w:t>IEEE</w:t>
      </w:r>
      <w:r w:rsidR="008D5A3F" w:rsidRPr="00873B6C">
        <w:t> </w:t>
      </w:r>
      <w:r w:rsidRPr="00873B6C">
        <w:t>Std</w:t>
      </w:r>
      <w:r w:rsidR="008D5A3F" w:rsidRPr="00873B6C">
        <w:t> </w:t>
      </w:r>
      <w:r w:rsidRPr="00873B6C">
        <w:t>1588 [126].</w:t>
      </w:r>
    </w:p>
    <w:p w14:paraId="375BF383" w14:textId="13945A91" w:rsidR="00B00E92" w:rsidRPr="00873B6C" w:rsidRDefault="00B00E92" w:rsidP="00B00E92">
      <w:r w:rsidRPr="00873B6C">
        <w:t>DS-TT and NW-TT may support acting as a PTP grandmaster, i.e. may support generating (g)PTP Announce, Sync and Follow_Up messages.</w:t>
      </w:r>
      <w:r w:rsidR="00607A94" w:rsidRPr="00873B6C">
        <w:t xml:space="preserve"> </w:t>
      </w:r>
      <w:r w:rsidRPr="00873B6C">
        <w:t>DS-TT and NW-TT</w:t>
      </w:r>
      <w:r w:rsidR="00607A94" w:rsidRPr="00873B6C">
        <w:t xml:space="preserve"> supporting (g)PTP shall</w:t>
      </w:r>
      <w:r w:rsidRPr="00873B6C">
        <w:t xml:space="preserve"> support</w:t>
      </w:r>
      <w:r w:rsidR="00607A94" w:rsidRPr="00873B6C">
        <w:t xml:space="preserve"> one or more</w:t>
      </w:r>
      <w:r w:rsidRPr="00873B6C">
        <w:t xml:space="preserve"> PTP profiles as described in</w:t>
      </w:r>
      <w:r w:rsidR="00D602DF" w:rsidRPr="00873B6C">
        <w:t xml:space="preserve"> clause 20.3</w:t>
      </w:r>
      <w:r w:rsidRPr="00873B6C">
        <w:t xml:space="preserve"> </w:t>
      </w:r>
      <w:r w:rsidR="00D602DF" w:rsidRPr="00873B6C">
        <w:t xml:space="preserve">of </w:t>
      </w:r>
      <w:r w:rsidRPr="00873B6C">
        <w:t>IEEE</w:t>
      </w:r>
      <w:r w:rsidR="008D5A3F" w:rsidRPr="00873B6C">
        <w:t> </w:t>
      </w:r>
      <w:r w:rsidRPr="00873B6C">
        <w:t>Std</w:t>
      </w:r>
      <w:r w:rsidR="008D5A3F" w:rsidRPr="00873B6C">
        <w:t> </w:t>
      </w:r>
      <w:r w:rsidRPr="00873B6C">
        <w:t>1588 [126],</w:t>
      </w:r>
      <w:r w:rsidR="008D5A3F" w:rsidRPr="00873B6C">
        <w:t xml:space="preserve"> </w:t>
      </w:r>
      <w:r w:rsidRPr="00873B6C">
        <w:t xml:space="preserve"> i.e.:</w:t>
      </w:r>
    </w:p>
    <w:p w14:paraId="160CADC8" w14:textId="3D5298C2" w:rsidR="00607A94" w:rsidRPr="00873B6C" w:rsidRDefault="00607A94" w:rsidP="00323277">
      <w:pPr>
        <w:pStyle w:val="B1"/>
      </w:pPr>
      <w:r w:rsidRPr="00873B6C">
        <w:t>-</w:t>
      </w:r>
      <w:r w:rsidRPr="00873B6C">
        <w:tab/>
        <w:t>Default PTP Profiles in IEEE Std 1588 [126], Annex I;</w:t>
      </w:r>
    </w:p>
    <w:p w14:paraId="6F9F3DCD" w14:textId="58FDA76C" w:rsidR="00B00E92" w:rsidRPr="00873B6C" w:rsidRDefault="00B00E92" w:rsidP="00323277">
      <w:pPr>
        <w:pStyle w:val="B1"/>
      </w:pPr>
      <w:r w:rsidRPr="00873B6C">
        <w:t>-</w:t>
      </w:r>
      <w:r w:rsidRPr="00873B6C">
        <w:tab/>
        <w:t>IEEE</w:t>
      </w:r>
      <w:r w:rsidR="008D5A3F" w:rsidRPr="00873B6C">
        <w:t> Std </w:t>
      </w:r>
      <w:r w:rsidRPr="00873B6C">
        <w:t>802.1AS</w:t>
      </w:r>
      <w:r w:rsidR="008D5A3F" w:rsidRPr="00873B6C">
        <w:t> [104]</w:t>
      </w:r>
      <w:r w:rsidRPr="00873B6C">
        <w:t xml:space="preserve"> PTP profile for transport of timing as defined in IEEE</w:t>
      </w:r>
      <w:r w:rsidR="008D5A3F" w:rsidRPr="00873B6C">
        <w:t> </w:t>
      </w:r>
      <w:r w:rsidRPr="00873B6C">
        <w:t>Std</w:t>
      </w:r>
      <w:r w:rsidR="008D5A3F" w:rsidRPr="00873B6C">
        <w:t> </w:t>
      </w:r>
      <w:r w:rsidRPr="00873B6C">
        <w:t>802.1AS</w:t>
      </w:r>
      <w:r w:rsidR="008D5A3F" w:rsidRPr="00873B6C">
        <w:t> </w:t>
      </w:r>
      <w:r w:rsidRPr="00873B6C">
        <w:t>[104] Annex F;</w:t>
      </w:r>
    </w:p>
    <w:p w14:paraId="34991C6B" w14:textId="1609C5ED" w:rsidR="00B00E92" w:rsidRPr="00873B6C" w:rsidRDefault="00B00E92" w:rsidP="00323277">
      <w:pPr>
        <w:pStyle w:val="B1"/>
      </w:pPr>
      <w:r w:rsidRPr="00873B6C">
        <w:t>-</w:t>
      </w:r>
      <w:r w:rsidRPr="00873B6C">
        <w:tab/>
        <w:t xml:space="preserve">SMPTE Profile for Use of </w:t>
      </w:r>
      <w:r w:rsidR="008D5A3F" w:rsidRPr="00873B6C">
        <w:t>IEEE Std </w:t>
      </w:r>
      <w:r w:rsidRPr="00873B6C">
        <w:t>1588</w:t>
      </w:r>
      <w:r w:rsidR="008D5A3F" w:rsidRPr="00873B6C">
        <w:t> [126]</w:t>
      </w:r>
      <w:r w:rsidRPr="00873B6C">
        <w:t xml:space="preserve"> Precision Time Protocol in Professional Broadcast Applications</w:t>
      </w:r>
      <w:r w:rsidR="00607A94" w:rsidRPr="00873B6C">
        <w:t xml:space="preserve"> ST 2059-2:2015</w:t>
      </w:r>
      <w:r w:rsidR="008D5A3F" w:rsidRPr="00873B6C">
        <w:t> </w:t>
      </w:r>
      <w:r w:rsidRPr="00873B6C">
        <w:t>[127].</w:t>
      </w:r>
    </w:p>
    <w:p w14:paraId="766BC0ED" w14:textId="1D3A3C56" w:rsidR="00B00E92" w:rsidRPr="00873B6C" w:rsidRDefault="00B00E92" w:rsidP="00B00E92">
      <w:r w:rsidRPr="00873B6C">
        <w:t xml:space="preserve">TSN AF and </w:t>
      </w:r>
      <w:r w:rsidR="00055D0B" w:rsidRPr="00873B6C">
        <w:t xml:space="preserve">TSCTSF </w:t>
      </w:r>
      <w:r w:rsidRPr="00873B6C">
        <w:t xml:space="preserve">may determine the PTP functionalities supported by DS-TT and NW-TT and may configure PTP instances in DS-TT and NW-TT using port and </w:t>
      </w:r>
      <w:r w:rsidR="00C4403A" w:rsidRPr="00873B6C">
        <w:t xml:space="preserve">user plane node </w:t>
      </w:r>
      <w:r w:rsidRPr="00873B6C">
        <w:t>management information exchange as described in Annex K, clause K.2.</w:t>
      </w:r>
    </w:p>
    <w:p w14:paraId="4BB7FD39" w14:textId="62FE53B7" w:rsidR="00D45059" w:rsidRPr="00873B6C" w:rsidRDefault="00D45059" w:rsidP="0073598F">
      <w:pPr>
        <w:pStyle w:val="NO"/>
      </w:pPr>
      <w:r w:rsidRPr="00873B6C">
        <w:t>NOTE:</w:t>
      </w:r>
      <w:r w:rsidRPr="00873B6C">
        <w:tab/>
        <w:t>How the TSN AF or TSCTSF assigns NW-TT port(s) of one NW-TT to different PTP instances is up to implementation.</w:t>
      </w:r>
    </w:p>
    <w:p w14:paraId="67A92440" w14:textId="6D074A3D" w:rsidR="006D2D57" w:rsidRPr="00873B6C" w:rsidRDefault="006D2D57" w:rsidP="008D5A3F">
      <w:pPr>
        <w:pStyle w:val="Heading4"/>
      </w:pPr>
      <w:bookmarkStart w:id="3952" w:name="_CR5_27_1_5"/>
      <w:bookmarkStart w:id="3953" w:name="_Toc201157465"/>
      <w:bookmarkEnd w:id="3952"/>
      <w:r w:rsidRPr="00873B6C">
        <w:lastRenderedPageBreak/>
        <w:t>5.27.1.5</w:t>
      </w:r>
      <w:r w:rsidRPr="00873B6C">
        <w:tab/>
        <w:t>Detection of (g)PTP Sync and Announce timeouts</w:t>
      </w:r>
      <w:bookmarkEnd w:id="3953"/>
    </w:p>
    <w:p w14:paraId="76BBBC17" w14:textId="3FD60608" w:rsidR="006D2D57" w:rsidRPr="00873B6C" w:rsidRDefault="006D2D57" w:rsidP="006D2D57">
      <w:r w:rsidRPr="00873B6C">
        <w:t>The procedure described in thi</w:t>
      </w:r>
      <w:r w:rsidR="00323277" w:rsidRPr="00873B6C">
        <w:t xml:space="preserve">s clause </w:t>
      </w:r>
      <w:r w:rsidRPr="00873B6C">
        <w:t>is applicable when the PTP instance in 5GS is configured to operate as a time-aware system or as a Boundary Clock</w:t>
      </w:r>
      <w:r w:rsidR="00472CD7" w:rsidRPr="00873B6C">
        <w:t xml:space="preserve"> and</w:t>
      </w:r>
      <w:r w:rsidRPr="00873B6C">
        <w:t xml:space="preserve"> the PTP grandmaster is external to the 5GS</w:t>
      </w:r>
      <w:r w:rsidR="00472CD7" w:rsidRPr="00873B6C">
        <w:t xml:space="preserve"> and</w:t>
      </w:r>
      <w:r w:rsidRPr="00873B6C">
        <w:t xml:space="preserve"> the BMCA procedure (Method a) is used as described in clause 5.27.1.6.</w:t>
      </w:r>
    </w:p>
    <w:p w14:paraId="588B0BB4" w14:textId="18B26195" w:rsidR="00B96062" w:rsidRPr="00873B6C" w:rsidRDefault="00B96062" w:rsidP="006D2D57">
      <w:r w:rsidRPr="00873B6C">
        <w:t>The NW-TT processes Announce messages according to IEEE Std 1588 [126].</w:t>
      </w:r>
    </w:p>
    <w:p w14:paraId="40BFBA06" w14:textId="0D38A576" w:rsidR="006D2D57" w:rsidRPr="00873B6C" w:rsidRDefault="00B96062" w:rsidP="006D2D57">
      <w:r w:rsidRPr="00873B6C">
        <w:t xml:space="preserve">In particular, the </w:t>
      </w:r>
      <w:r w:rsidR="006D2D57" w:rsidRPr="00873B6C">
        <w:t xml:space="preserve">NW-TT shall compute and maintain the time when the Announce and Sync timeout events occur for the PTP port in a </w:t>
      </w:r>
      <w:r w:rsidR="00CB6EDC" w:rsidRPr="00873B6C">
        <w:t xml:space="preserve">Follower </w:t>
      </w:r>
      <w:r w:rsidR="006D2D57" w:rsidRPr="00873B6C">
        <w:t xml:space="preserve">state. When the 5GS is configured to operate as a time-aware system, the NW-TT shall determine the Sync and Announce message interval for the PTP Port at the other end of the link to which the </w:t>
      </w:r>
      <w:r w:rsidR="00CB6EDC" w:rsidRPr="00873B6C">
        <w:t xml:space="preserve">Follower </w:t>
      </w:r>
      <w:r w:rsidR="006D2D57" w:rsidRPr="00873B6C">
        <w:t xml:space="preserve">PTP Port in 5GS is attached, as described in IEEE Std 802.1AS [104]. When the 5GS is configured to operate as a Boundary Clock, the NW-TT shall determine Announce interval based on the configuration of the </w:t>
      </w:r>
      <w:r w:rsidR="00CB6EDC" w:rsidRPr="00873B6C">
        <w:t xml:space="preserve">Follower </w:t>
      </w:r>
      <w:r w:rsidR="006D2D57" w:rsidRPr="00873B6C">
        <w:t>port in 5GS, as described in IEEE Std 1588 [126].</w:t>
      </w:r>
    </w:p>
    <w:p w14:paraId="2F726AD0" w14:textId="11ADB65E" w:rsidR="006D2D57" w:rsidRPr="00873B6C" w:rsidRDefault="00B96062" w:rsidP="006D2D57">
      <w:r w:rsidRPr="00873B6C">
        <w:t xml:space="preserve">The configuration of PTP instances in DS-TT and NW-TT for Sync and Announce timeouts is described in clause K.2. </w:t>
      </w:r>
      <w:r w:rsidR="006D2D57" w:rsidRPr="00873B6C">
        <w:t>Upon detection of the Sync or Announce timeout event, the NW-TT shall re-evaluate the DS-TT and NW-TT port states as described in clause 5.27.1.6.</w:t>
      </w:r>
    </w:p>
    <w:p w14:paraId="61183FB5" w14:textId="12E29681" w:rsidR="006D2D57" w:rsidRPr="00873B6C" w:rsidRDefault="006D2D57" w:rsidP="00323277">
      <w:pPr>
        <w:pStyle w:val="Heading4"/>
      </w:pPr>
      <w:bookmarkStart w:id="3954" w:name="_CR5_27_1_6"/>
      <w:bookmarkStart w:id="3955" w:name="_Toc201157466"/>
      <w:bookmarkEnd w:id="3954"/>
      <w:r w:rsidRPr="00873B6C">
        <w:t>5.27.1.6</w:t>
      </w:r>
      <w:r w:rsidRPr="00873B6C">
        <w:tab/>
        <w:t>Distribution of Announce messages and best master clock selection</w:t>
      </w:r>
      <w:bookmarkEnd w:id="3955"/>
    </w:p>
    <w:p w14:paraId="22C82EE3" w14:textId="0D8BA17E" w:rsidR="006D2D57" w:rsidRPr="00873B6C" w:rsidRDefault="006D2D57" w:rsidP="006D2D57">
      <w:r w:rsidRPr="00873B6C">
        <w:t>The procedure described in thi</w:t>
      </w:r>
      <w:r w:rsidR="00323277" w:rsidRPr="00873B6C">
        <w:t xml:space="preserve">s clause </w:t>
      </w:r>
      <w:r w:rsidRPr="00873B6C">
        <w:t>is applicable if DS-TT and NW-TT support operating as a Boundary Clock</w:t>
      </w:r>
      <w:r w:rsidR="00B96062" w:rsidRPr="00873B6C">
        <w:t xml:space="preserve"> described in IEEE Std 1588 [126]</w:t>
      </w:r>
      <w:r w:rsidRPr="00873B6C">
        <w:t xml:space="preserve"> or as a time-aware system</w:t>
      </w:r>
      <w:r w:rsidR="00B96062" w:rsidRPr="00873B6C">
        <w:t xml:space="preserve"> (support of the IEEE 802.1AS [104] PTP profile)</w:t>
      </w:r>
      <w:r w:rsidRPr="00873B6C">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873B6C" w:rsidRDefault="006D2D57" w:rsidP="006D2D57">
      <w:r w:rsidRPr="00873B6C">
        <w:t>The externally-observable behaviour of the Announce message handling by 5GS needs to comply with IEEE Std 802.1AS [104] or IEEE Std 1588 [126], respective to the configured mode of operation.</w:t>
      </w:r>
    </w:p>
    <w:p w14:paraId="744F2E2F" w14:textId="77777777" w:rsidR="006D2D57" w:rsidRPr="00873B6C" w:rsidRDefault="006D2D57" w:rsidP="006D2D57">
      <w:r w:rsidRPr="00873B6C">
        <w:t>The DS-TT forwards the received Announce messages to NW-TT over User plane. The NW-TT port forwards the received Announce messages from N6 interface to NW-TT.</w:t>
      </w:r>
    </w:p>
    <w:p w14:paraId="051CA75E" w14:textId="77777777" w:rsidR="006D2D57" w:rsidRPr="00873B6C" w:rsidRDefault="006D2D57" w:rsidP="006D2D57">
      <w:r w:rsidRPr="00873B6C">
        <w:t>The NW-TT maintains the PTP port state for each DS-TT port and NW-TT port. The PTP port states may be determined by NW-TT either via:</w:t>
      </w:r>
    </w:p>
    <w:p w14:paraId="31888F69" w14:textId="77777777" w:rsidR="006D2D57" w:rsidRPr="00873B6C" w:rsidRDefault="006D2D57" w:rsidP="00323277">
      <w:pPr>
        <w:pStyle w:val="B2"/>
      </w:pPr>
      <w:r w:rsidRPr="00873B6C">
        <w:t>-</w:t>
      </w:r>
      <w:r w:rsidRPr="00873B6C">
        <w:tab/>
        <w:t>Method a), BMCA procedure.</w:t>
      </w:r>
    </w:p>
    <w:p w14:paraId="685F6B6D" w14:textId="77777777" w:rsidR="006D2D57" w:rsidRPr="00873B6C" w:rsidRDefault="006D2D57" w:rsidP="00323277">
      <w:pPr>
        <w:pStyle w:val="B2"/>
      </w:pPr>
      <w:r w:rsidRPr="00873B6C">
        <w:t>-</w:t>
      </w:r>
      <w:r w:rsidRPr="00873B6C">
        <w:tab/>
        <w:t>Method b), local configuration.</w:t>
      </w:r>
    </w:p>
    <w:p w14:paraId="0983AC56" w14:textId="77777777" w:rsidR="006D2D57" w:rsidRPr="00873B6C" w:rsidRDefault="006D2D57" w:rsidP="006D2D57">
      <w:r w:rsidRPr="00873B6C">
        <w:t>When Method b) is used, the following applies:</w:t>
      </w:r>
    </w:p>
    <w:p w14:paraId="32A2AC3A" w14:textId="66577C7E" w:rsidR="006D2D57" w:rsidRPr="00873B6C" w:rsidRDefault="006D2D57" w:rsidP="00323277">
      <w:pPr>
        <w:pStyle w:val="B1"/>
      </w:pPr>
      <w:r w:rsidRPr="00873B6C">
        <w:t>-</w:t>
      </w:r>
      <w:r w:rsidRPr="00873B6C">
        <w:tab/>
        <w:t xml:space="preserve">When the PTP GM is external to the 5GS, for one of the NW-TT or DS-TT ports (per each PTP domain) the PTP port state is </w:t>
      </w:r>
      <w:r w:rsidR="00CB6EDC" w:rsidRPr="00873B6C">
        <w:t xml:space="preserve">Follower </w:t>
      </w:r>
      <w:r w:rsidRPr="00873B6C">
        <w:t xml:space="preserve">and for all other NW-TT and DS-TT ports of the same PTP domain the PTP port state is set either to Passive or </w:t>
      </w:r>
      <w:r w:rsidR="00CB6EDC" w:rsidRPr="00873B6C">
        <w:t xml:space="preserve">Leader </w:t>
      </w:r>
      <w:r w:rsidRPr="00873B6C">
        <w:t>(depending on implementation).</w:t>
      </w:r>
    </w:p>
    <w:p w14:paraId="50783A25" w14:textId="454FD4BA" w:rsidR="006D2D57" w:rsidRPr="00873B6C" w:rsidRDefault="006D2D57" w:rsidP="00323277">
      <w:pPr>
        <w:pStyle w:val="B1"/>
      </w:pPr>
      <w:r w:rsidRPr="00873B6C">
        <w:t>-</w:t>
      </w:r>
      <w:r w:rsidRPr="00873B6C">
        <w:tab/>
        <w:t xml:space="preserve">When the 5GS is configured as a grandmaster for a (g)PTP domain for the connected networks, all NW-TT ports and DS-TT ports are set to </w:t>
      </w:r>
      <w:r w:rsidR="00CB6EDC" w:rsidRPr="00873B6C">
        <w:t xml:space="preserve">Leader </w:t>
      </w:r>
      <w:r w:rsidRPr="00873B6C">
        <w:t>state for that (g)PTP domain.</w:t>
      </w:r>
    </w:p>
    <w:p w14:paraId="64AB036D" w14:textId="77777777" w:rsidR="006D2D57" w:rsidRPr="00873B6C" w:rsidRDefault="006D2D57" w:rsidP="006D2D57">
      <w:r w:rsidRPr="00873B6C">
        <w:t>The local configuration of PTP port states in DS-TT and NW-TT for Method b is described in clause K.2.</w:t>
      </w:r>
    </w:p>
    <w:p w14:paraId="463CD9D4" w14:textId="1FE38A4E" w:rsidR="006D2D57" w:rsidRPr="00873B6C" w:rsidRDefault="006D2D57" w:rsidP="006D2D57">
      <w:r w:rsidRPr="00873B6C">
        <w:t>When the Method a) is used (PTP port states are determined by BMCA procedure), the NW-TT needs to process the received Announce messages (from NW-TT port(s) and over user plane from the DS-TT(s)) for BMCA procedure, determine port states within the 5GS</w:t>
      </w:r>
      <w:r w:rsidR="00472CD7" w:rsidRPr="00873B6C">
        <w:t xml:space="preserve"> and</w:t>
      </w:r>
      <w:r w:rsidRPr="00873B6C">
        <w:t xml:space="preserve"> maintain the </w:t>
      </w:r>
      <w:r w:rsidR="00CB6EDC" w:rsidRPr="00873B6C">
        <w:t xml:space="preserve">Leader-Follower </w:t>
      </w:r>
      <w:r w:rsidRPr="00873B6C">
        <w:t>hierarchy.</w:t>
      </w:r>
    </w:p>
    <w:p w14:paraId="30783C5F" w14:textId="0E0B3DD7" w:rsidR="00283ED6" w:rsidRPr="00873B6C" w:rsidRDefault="00283ED6" w:rsidP="006D2D57">
      <w:r w:rsidRPr="00873B6C">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873B6C" w:rsidRDefault="006D2D57" w:rsidP="006D2D57">
      <w:r w:rsidRPr="00873B6C">
        <w:t>When the 5GS Clock is determined as a grandmaster for a (g)PTP domain, the Announce messages are distributed as described in clause 5.27.1.7.</w:t>
      </w:r>
    </w:p>
    <w:p w14:paraId="5E36B64A" w14:textId="01DCD6DD" w:rsidR="006D2D57" w:rsidRPr="00873B6C" w:rsidRDefault="00607A94" w:rsidP="006D2D57">
      <w:r w:rsidRPr="00873B6C">
        <w:t xml:space="preserve">When </w:t>
      </w:r>
      <w:r w:rsidR="006D2D57" w:rsidRPr="00873B6C">
        <w:t>the grandmaster is external to the 5GS, the NW-TT regenerates the Announce messages based on the Announce messages</w:t>
      </w:r>
      <w:r w:rsidR="00A46717" w:rsidRPr="00873B6C">
        <w:t xml:space="preserve"> received from </w:t>
      </w:r>
      <w:r w:rsidR="00CB6EDC" w:rsidRPr="00873B6C">
        <w:t xml:space="preserve">Follower </w:t>
      </w:r>
      <w:r w:rsidR="00A46717" w:rsidRPr="00873B6C">
        <w:t>port in NW-TT or DS-TT</w:t>
      </w:r>
      <w:r w:rsidR="006D2D57" w:rsidRPr="00873B6C">
        <w:t xml:space="preserve"> for the </w:t>
      </w:r>
      <w:r w:rsidR="005309E6" w:rsidRPr="00873B6C">
        <w:t xml:space="preserve">Leader </w:t>
      </w:r>
      <w:r w:rsidR="006D2D57" w:rsidRPr="00873B6C">
        <w:t>ports in NW-TT and DS-TT(s). The NW-</w:t>
      </w:r>
      <w:r w:rsidR="006D2D57" w:rsidRPr="00873B6C">
        <w:lastRenderedPageBreak/>
        <w:t xml:space="preserve">TT/UPF forwards the regenerated Announce messages to the PDU session(s) related to the </w:t>
      </w:r>
      <w:r w:rsidR="005309E6" w:rsidRPr="00873B6C">
        <w:t xml:space="preserve">Leader </w:t>
      </w:r>
      <w:r w:rsidR="006D2D57" w:rsidRPr="00873B6C">
        <w:t>ports in the DS-TT(s).</w:t>
      </w:r>
    </w:p>
    <w:p w14:paraId="13CAF7C8" w14:textId="4BF3F911" w:rsidR="006D2D57" w:rsidRPr="00873B6C" w:rsidRDefault="006D2D57" w:rsidP="00323277">
      <w:pPr>
        <w:pStyle w:val="NO"/>
      </w:pPr>
      <w:r w:rsidRPr="00873B6C">
        <w:t>NOTE</w:t>
      </w:r>
      <w:r w:rsidR="00283ED6" w:rsidRPr="00873B6C">
        <w:t> 1</w:t>
      </w:r>
      <w:r w:rsidRPr="00873B6C">
        <w:t>:</w:t>
      </w:r>
      <w:r w:rsidRPr="00873B6C">
        <w:tab/>
        <w:t xml:space="preserve">The TSN AF or </w:t>
      </w:r>
      <w:r w:rsidR="00055D0B" w:rsidRPr="00873B6C">
        <w:t xml:space="preserve">TSCTSF </w:t>
      </w:r>
      <w:r w:rsidRPr="00873B6C">
        <w:t>can use the portDS.portState in the "Time synchronization information for each DS-TT port" element in</w:t>
      </w:r>
      <w:r w:rsidR="00B96062" w:rsidRPr="00873B6C">
        <w:t xml:space="preserve"> UMIC</w:t>
      </w:r>
      <w:r w:rsidRPr="00873B6C">
        <w:t xml:space="preserve"> to read and get notified for the port state changes for the PTP ports in DS-TT(s)</w:t>
      </w:r>
      <w:r w:rsidR="00472CD7" w:rsidRPr="00873B6C">
        <w:t xml:space="preserve"> and</w:t>
      </w:r>
      <w:r w:rsidRPr="00873B6C">
        <w:t xml:space="preserve"> the portDS.portState in PMIC to read and get notified for the port state changes for the PTP ports in NW-TT. </w:t>
      </w:r>
      <w:r w:rsidR="00607A94" w:rsidRPr="00873B6C">
        <w:t xml:space="preserve">Based </w:t>
      </w:r>
      <w:r w:rsidRPr="00873B6C">
        <w:t xml:space="preserve">on the change of the port states, TSN AF or </w:t>
      </w:r>
      <w:r w:rsidR="00055D0B" w:rsidRPr="00873B6C">
        <w:t xml:space="preserve">TSCTSF </w:t>
      </w:r>
      <w:r w:rsidRPr="00873B6C">
        <w:t>can determine that an external Grandmaster PTP Instance is found to be used instead of the GM in 5GS, or the GM in 5GS is selected as the Grandmaster PTP Instance</w:t>
      </w:r>
      <w:r w:rsidR="00472CD7" w:rsidRPr="00873B6C">
        <w:t xml:space="preserve"> and</w:t>
      </w:r>
      <w:r w:rsidRPr="00873B6C">
        <w:t xml:space="preserve"> TSN AF or </w:t>
      </w:r>
      <w:r w:rsidR="00055D0B" w:rsidRPr="00873B6C">
        <w:t xml:space="preserve">TSCTSF </w:t>
      </w:r>
      <w:r w:rsidRPr="00873B6C">
        <w:t>can disable or enable the (g)PTP grandmaster functionality in DS-TT(s), respectively.</w:t>
      </w:r>
    </w:p>
    <w:p w14:paraId="0A087B68" w14:textId="5A6219C6" w:rsidR="00283ED6" w:rsidRPr="00873B6C" w:rsidRDefault="00283ED6" w:rsidP="00283ED6">
      <w:pPr>
        <w:pStyle w:val="NO"/>
      </w:pPr>
      <w:r w:rsidRPr="00873B6C">
        <w:t>NOTE 2:</w:t>
      </w:r>
      <w:r w:rsidRPr="00873B6C">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873B6C" w:rsidRDefault="006D2D57" w:rsidP="00323277">
      <w:pPr>
        <w:pStyle w:val="Heading4"/>
      </w:pPr>
      <w:bookmarkStart w:id="3956" w:name="_CR5_27_1_7"/>
      <w:bookmarkStart w:id="3957" w:name="_Toc201157467"/>
      <w:bookmarkEnd w:id="3956"/>
      <w:r w:rsidRPr="00873B6C">
        <w:t>5.27.1.7</w:t>
      </w:r>
      <w:r w:rsidRPr="00873B6C">
        <w:tab/>
        <w:t>Support for PTP grandmaster function in 5GS</w:t>
      </w:r>
      <w:bookmarkEnd w:id="3957"/>
    </w:p>
    <w:p w14:paraId="735F03E6" w14:textId="77777777" w:rsidR="006D2D57" w:rsidRPr="00873B6C" w:rsidRDefault="006D2D57" w:rsidP="006D2D57">
      <w:r w:rsidRPr="00873B6C">
        <w:t>The 5GS that is configured to operate as a time-aware system or Boundary Clock may support acting as a PTP grandmaster for a (g)PTP domain.</w:t>
      </w:r>
    </w:p>
    <w:p w14:paraId="3A2897DF" w14:textId="77777777" w:rsidR="006D2D57" w:rsidRPr="00873B6C" w:rsidRDefault="006D2D57" w:rsidP="006D2D57">
      <w:r w:rsidRPr="00873B6C">
        <w:t>The configuration of PTP instances in DS-TT and NW-TT for PTP grandmaster function is described in clause K.2.</w:t>
      </w:r>
    </w:p>
    <w:p w14:paraId="22EF458F" w14:textId="368D719C" w:rsidR="006D2D57" w:rsidRPr="00873B6C" w:rsidRDefault="006D2D57" w:rsidP="006D2D57">
      <w:r w:rsidRPr="00873B6C">
        <w:t xml:space="preserve">The following options may be supported (per DS-TT) for the 5GS to generate the Sync, Follow_Up and Announce messages for the </w:t>
      </w:r>
      <w:r w:rsidR="00CB6EDC" w:rsidRPr="00873B6C">
        <w:t xml:space="preserve">Leader </w:t>
      </w:r>
      <w:r w:rsidRPr="00873B6C">
        <w:t>ports on the DS-TT:</w:t>
      </w:r>
    </w:p>
    <w:p w14:paraId="0BE10171" w14:textId="77777777" w:rsidR="006D2D57" w:rsidRPr="00873B6C" w:rsidRDefault="006D2D57" w:rsidP="00323277">
      <w:pPr>
        <w:pStyle w:val="B1"/>
      </w:pPr>
      <w:r w:rsidRPr="00873B6C">
        <w:t>a)</w:t>
      </w:r>
      <w:r w:rsidRPr="00873B6C">
        <w:tab/>
        <w:t>NW-TT generates the Sync, Follow_Up and Announce messages on behalf of DS-TT (e.g. if DS-TT does not support this).</w:t>
      </w:r>
    </w:p>
    <w:p w14:paraId="4837FD21" w14:textId="422D5D41" w:rsidR="006D2D57" w:rsidRPr="00873B6C" w:rsidRDefault="006D2D57" w:rsidP="00323277">
      <w:pPr>
        <w:pStyle w:val="B1"/>
      </w:pPr>
      <w:r w:rsidRPr="00873B6C">
        <w:tab/>
        <w:t xml:space="preserve">The NW-TT/UPF forwards the generated Sync, Follow_Up and Announce messages to the PDU session(s) related to the </w:t>
      </w:r>
      <w:r w:rsidR="00CB6EDC" w:rsidRPr="00873B6C">
        <w:t xml:space="preserve">Leader </w:t>
      </w:r>
      <w:r w:rsidRPr="00873B6C">
        <w:t>ports on the DS-TT(s). The NW-TT timestamps the (g)PTP event message</w:t>
      </w:r>
      <w:r w:rsidR="0036079D">
        <w:t xml:space="preserve"> using 5G internal system clock</w:t>
      </w:r>
      <w:r w:rsidRPr="00873B6C">
        <w:t xml:space="preserve"> when the event message is sent to the PDU Session</w:t>
      </w:r>
      <w:r w:rsidR="00472CD7" w:rsidRPr="00873B6C">
        <w:t xml:space="preserve"> and</w:t>
      </w:r>
      <w:r w:rsidRPr="00873B6C">
        <w:t xml:space="preserve"> adds TSi corresponding to the timestamp to the Sync message and the OriginTimestamp correspond</w:t>
      </w:r>
      <w:r w:rsidR="00607A94" w:rsidRPr="00873B6C">
        <w:t>ing</w:t>
      </w:r>
      <w:r w:rsidRPr="00873B6C">
        <w:t xml:space="preserve"> to the timestamp to Sync message (if one-step operation is used) or</w:t>
      </w:r>
      <w:r w:rsidR="00607A94" w:rsidRPr="00873B6C">
        <w:t xml:space="preserve"> PreciseOriginTimestamp corresponding to the timestamp</w:t>
      </w:r>
      <w:r w:rsidRPr="00873B6C">
        <w:t xml:space="preserve"> to Follow_Up message (if two-step operation is used)</w:t>
      </w:r>
      <w:r w:rsidR="00472CD7" w:rsidRPr="00873B6C">
        <w:t xml:space="preserve"> and</w:t>
      </w:r>
      <w:r w:rsidRPr="00873B6C">
        <w:t xml:space="preserve"> sets the cumulative rateRatio value with 1.</w:t>
      </w:r>
      <w:r w:rsidR="00607A94" w:rsidRPr="00873B6C">
        <w:t xml:space="preserve"> The OriginTimestamp or PreciseOriginTimestamp shall be set by NW-TT/UPF to the 5GS internal</w:t>
      </w:r>
      <w:r w:rsidR="0036079D">
        <w:t xml:space="preserve"> system</w:t>
      </w:r>
      <w:r w:rsidR="00607A94" w:rsidRPr="00873B6C">
        <w:t xml:space="preserve"> clock.</w:t>
      </w:r>
    </w:p>
    <w:p w14:paraId="0846469F" w14:textId="3E36F1BB" w:rsidR="006D2D57" w:rsidRPr="00873B6C" w:rsidRDefault="006D2D57" w:rsidP="00323277">
      <w:pPr>
        <w:pStyle w:val="B1"/>
      </w:pPr>
      <w:r w:rsidRPr="00873B6C">
        <w:tab/>
        <w:t>When DS-TT(s) receive the Sync, Follow_Up messages, it modifies the payload of the Sync, Follow_Up message as described for the PTP port in the egress TT in clause 5.27.1.2.2.2.</w:t>
      </w:r>
    </w:p>
    <w:p w14:paraId="00EC0B85" w14:textId="3A81213B" w:rsidR="006D2D57" w:rsidRPr="00873B6C" w:rsidRDefault="006D2D57" w:rsidP="00562E84">
      <w:pPr>
        <w:pStyle w:val="B1"/>
      </w:pPr>
      <w:r w:rsidRPr="00873B6C">
        <w:t>b)</w:t>
      </w:r>
      <w:r w:rsidRPr="00873B6C">
        <w:tab/>
        <w:t>DS-TT generates the Sync, Follow_Up and Announce messages in this DS-TT.</w:t>
      </w:r>
      <w:r w:rsidR="00607A94" w:rsidRPr="00873B6C">
        <w:t xml:space="preserve"> The OriginTimestamp or PreciseOriginTimestamp shall be set by DS-TT to the 5GS internal</w:t>
      </w:r>
      <w:r w:rsidR="0036079D">
        <w:t xml:space="preserve"> system</w:t>
      </w:r>
      <w:r w:rsidR="00607A94" w:rsidRPr="00873B6C">
        <w:t xml:space="preserve"> clock.</w:t>
      </w:r>
    </w:p>
    <w:p w14:paraId="7FE6A2D9" w14:textId="65B9DCC8" w:rsidR="006D2D57" w:rsidRPr="00873B6C" w:rsidRDefault="006D2D57" w:rsidP="006D2D57">
      <w:r w:rsidRPr="00873B6C">
        <w:t xml:space="preserve">In both options, the NW-TT generates the Sync, Follow_Up and Announce messages for the </w:t>
      </w:r>
      <w:r w:rsidR="00CB6EDC" w:rsidRPr="00873B6C">
        <w:t xml:space="preserve">Leader </w:t>
      </w:r>
      <w:r w:rsidRPr="00873B6C">
        <w:t>ports on the NW-TT.</w:t>
      </w:r>
    </w:p>
    <w:p w14:paraId="0D536B34" w14:textId="2BBADD72" w:rsidR="008D5A3F" w:rsidRPr="00873B6C" w:rsidRDefault="008D5A3F" w:rsidP="008D5A3F">
      <w:pPr>
        <w:pStyle w:val="Heading4"/>
      </w:pPr>
      <w:bookmarkStart w:id="3958" w:name="_CR5_27_1_8"/>
      <w:bookmarkStart w:id="3959" w:name="_Toc201157468"/>
      <w:bookmarkEnd w:id="3958"/>
      <w:r w:rsidRPr="00873B6C">
        <w:t>5.27.1.</w:t>
      </w:r>
      <w:r w:rsidR="006D2D57" w:rsidRPr="00873B6C">
        <w:t>8</w:t>
      </w:r>
      <w:r w:rsidRPr="00873B6C">
        <w:tab/>
        <w:t>Exposure of Time Synchronization</w:t>
      </w:r>
      <w:bookmarkEnd w:id="3959"/>
    </w:p>
    <w:p w14:paraId="27A817FB" w14:textId="77777777" w:rsidR="008D5A3F" w:rsidRPr="00873B6C" w:rsidRDefault="008D5A3F" w:rsidP="008D5A3F">
      <w:r w:rsidRPr="00873B6C">
        <w:t>5G System supports time synchronization service that can be activated and deactivated by AF. Exposure of time synchronization comprises the following capabilities:</w:t>
      </w:r>
    </w:p>
    <w:p w14:paraId="5CEB59E8" w14:textId="6F38FA57" w:rsidR="008D5A3F" w:rsidRPr="00873B6C" w:rsidRDefault="008D5A3F" w:rsidP="00323277">
      <w:pPr>
        <w:pStyle w:val="B1"/>
      </w:pPr>
      <w:r w:rsidRPr="00873B6C">
        <w:t>-</w:t>
      </w:r>
      <w:r w:rsidRPr="00873B6C">
        <w:tab/>
        <w:t>The AF may learn 5GS</w:t>
      </w:r>
      <w:r w:rsidR="00182EE7" w:rsidRPr="00873B6C">
        <w:t xml:space="preserve"> and/or UE availability and</w:t>
      </w:r>
      <w:r w:rsidRPr="00873B6C">
        <w:t xml:space="preserve"> capabilities</w:t>
      </w:r>
      <w:r w:rsidR="00182EE7" w:rsidRPr="00873B6C">
        <w:t xml:space="preserve"> for</w:t>
      </w:r>
      <w:r w:rsidRPr="00873B6C">
        <w:t xml:space="preserve"> time synchronization</w:t>
      </w:r>
      <w:r w:rsidR="00182EE7" w:rsidRPr="00873B6C">
        <w:t xml:space="preserve"> service</w:t>
      </w:r>
      <w:r w:rsidRPr="00873B6C">
        <w:t>.</w:t>
      </w:r>
    </w:p>
    <w:p w14:paraId="467D4639" w14:textId="5C1462BA" w:rsidR="00EC5600" w:rsidRPr="00873B6C" w:rsidRDefault="00EC5600" w:rsidP="00323277">
      <w:pPr>
        <w:pStyle w:val="B1"/>
      </w:pPr>
      <w:r w:rsidRPr="00873B6C">
        <w:t>-</w:t>
      </w:r>
      <w:r w:rsidRPr="00873B6C">
        <w:tab/>
        <w:t>The AF controls activation and deactivation of the time synchronization service for the target UE(s).</w:t>
      </w:r>
    </w:p>
    <w:p w14:paraId="1D362AF9" w14:textId="6669128A" w:rsidR="003A5CE6" w:rsidRPr="00873B6C" w:rsidRDefault="003A5CE6" w:rsidP="003A5CE6">
      <w:pPr>
        <w:pStyle w:val="B1"/>
      </w:pPr>
      <w:r w:rsidRPr="00873B6C">
        <w:t>-</w:t>
      </w:r>
      <w:r w:rsidRPr="00873B6C">
        <w:tab/>
        <w:t>The AF may subscribe to time synchronization service status for the target UE(s).</w:t>
      </w:r>
    </w:p>
    <w:p w14:paraId="151C71E8" w14:textId="510FD1BF" w:rsidR="00EC5600" w:rsidRPr="00873B6C" w:rsidRDefault="00EC5600" w:rsidP="00972E70">
      <w:r w:rsidRPr="00873B6C">
        <w:t xml:space="preserve">The AF may use the service-specific parameters to control the time synchronization service for targeted UE(s). These parameters are specified in clause 4.15.9.3 and 4.15.9.4 of </w:t>
      </w:r>
      <w:r w:rsidR="00972E70" w:rsidRPr="00873B6C">
        <w:t>TS 23.502 [</w:t>
      </w:r>
      <w:r w:rsidRPr="00873B6C">
        <w:t>3] for (g)PTP-based and 5G access stratum-based time synchronization services, respectively.</w:t>
      </w:r>
    </w:p>
    <w:p w14:paraId="544BB2E1" w14:textId="2243C444" w:rsidR="00182EE7" w:rsidRPr="00873B6C" w:rsidRDefault="00182EE7" w:rsidP="008D5A3F">
      <w:r w:rsidRPr="00873B6C">
        <w:t>The AF may subscribe for 5GS and/or UE availability and capabilities for time synchronization service. The AF indicates in the request the DNN, S-NSSAI</w:t>
      </w:r>
      <w:r w:rsidR="00472CD7" w:rsidRPr="00873B6C">
        <w:t xml:space="preserve"> and</w:t>
      </w:r>
      <w:r w:rsidRPr="00873B6C">
        <w:t xml:space="preserve"> in addition the AF may indicate a list of UE identities or group identity </w:t>
      </w:r>
      <w:r w:rsidRPr="00873B6C">
        <w:lastRenderedPageBreak/>
        <w:t>to limit the subscription only to corresponding UEs. If the AF does not indicate DNN, S-NSSAI, the NEF determines the DNN, S-NSSAI based on the AF</w:t>
      </w:r>
      <w:r w:rsidR="00A1192D" w:rsidRPr="00873B6C">
        <w:t xml:space="preserve"> Identifier</w:t>
      </w:r>
      <w:r w:rsidRPr="00873B6C">
        <w:t>.</w:t>
      </w:r>
    </w:p>
    <w:p w14:paraId="6C86F3CD" w14:textId="6CE3EE91" w:rsidR="008D5A3F" w:rsidRPr="00873B6C" w:rsidRDefault="008D5A3F" w:rsidP="008D5A3F">
      <w:r w:rsidRPr="00873B6C">
        <w:t xml:space="preserve">The </w:t>
      </w:r>
      <w:r w:rsidR="007B3699" w:rsidRPr="00873B6C">
        <w:t xml:space="preserve">TSCTSF (directly or via </w:t>
      </w:r>
      <w:r w:rsidRPr="00873B6C">
        <w:t>NEF</w:t>
      </w:r>
      <w:r w:rsidR="007B3699" w:rsidRPr="00873B6C">
        <w:t>)</w:t>
      </w:r>
      <w:r w:rsidRPr="00873B6C">
        <w:t xml:space="preserve"> exposes the 5GS</w:t>
      </w:r>
      <w:r w:rsidR="00182EE7" w:rsidRPr="00873B6C">
        <w:t xml:space="preserve"> and/or UE availability and</w:t>
      </w:r>
      <w:r w:rsidRPr="00873B6C">
        <w:t xml:space="preserve"> capabilities</w:t>
      </w:r>
      <w:r w:rsidR="00182EE7" w:rsidRPr="00873B6C">
        <w:t xml:space="preserve"> for</w:t>
      </w:r>
      <w:r w:rsidRPr="00873B6C">
        <w:t xml:space="preserve"> synchronization service to the AF</w:t>
      </w:r>
      <w:r w:rsidR="00F860C3" w:rsidRPr="00873B6C">
        <w:t xml:space="preserve"> as described in clause 4.15.9.2 of </w:t>
      </w:r>
      <w:r w:rsidR="00972E70" w:rsidRPr="00873B6C">
        <w:t>TS 23.502 [</w:t>
      </w:r>
      <w:r w:rsidR="00F860C3" w:rsidRPr="00873B6C">
        <w:t>3]</w:t>
      </w:r>
      <w:r w:rsidRPr="00873B6C">
        <w:t>. The exposed information</w:t>
      </w:r>
      <w:r w:rsidR="00182EE7" w:rsidRPr="00873B6C">
        <w:t xml:space="preserve"> includes</w:t>
      </w:r>
      <w:r w:rsidR="00C950EF" w:rsidRPr="00873B6C">
        <w:t xml:space="preserve"> the list of user plane node identities,</w:t>
      </w:r>
      <w:r w:rsidR="00182EE7" w:rsidRPr="00873B6C">
        <w:t xml:space="preserve"> the list of UE identities and</w:t>
      </w:r>
      <w:r w:rsidRPr="00873B6C">
        <w:t xml:space="preserve"> may include the supported</w:t>
      </w:r>
      <w:r w:rsidR="00182EE7" w:rsidRPr="00873B6C">
        <w:t xml:space="preserve"> capabilities for (g)PTP time synchronization service </w:t>
      </w:r>
      <w:r w:rsidR="00C950EF" w:rsidRPr="00873B6C">
        <w:t>per user plane node and UE</w:t>
      </w:r>
      <w:r w:rsidR="00182EE7" w:rsidRPr="00873B6C">
        <w:t>.</w:t>
      </w:r>
    </w:p>
    <w:p w14:paraId="27C16F18" w14:textId="60F620AE" w:rsidR="00182EE7" w:rsidRPr="00873B6C" w:rsidRDefault="008D5A3F" w:rsidP="00182EE7">
      <w:r w:rsidRPr="00873B6C">
        <w:t>The AF request</w:t>
      </w:r>
      <w:r w:rsidR="00182EE7" w:rsidRPr="00873B6C">
        <w:t xml:space="preserve"> to control the (g)PTP time synchronization service is</w:t>
      </w:r>
      <w:r w:rsidRPr="00873B6C">
        <w:t xml:space="preserve"> sent to the </w:t>
      </w:r>
      <w:r w:rsidR="007B3699" w:rsidRPr="00873B6C">
        <w:t xml:space="preserve">TSCTSF (directly or via </w:t>
      </w:r>
      <w:r w:rsidRPr="00873B6C">
        <w:t>NEF</w:t>
      </w:r>
      <w:r w:rsidR="007B3699" w:rsidRPr="00873B6C">
        <w:t>)</w:t>
      </w:r>
      <w:r w:rsidRPr="00873B6C">
        <w:t>. The request</w:t>
      </w:r>
      <w:r w:rsidR="00C950EF" w:rsidRPr="00873B6C">
        <w:t xml:space="preserve"> is</w:t>
      </w:r>
      <w:r w:rsidR="00182EE7" w:rsidRPr="00873B6C">
        <w:t xml:space="preserve"> targeted to</w:t>
      </w:r>
      <w:r w:rsidR="00C950EF" w:rsidRPr="00873B6C">
        <w:t xml:space="preserve"> a set of AF-sessions that are associated with the exposure of UE availability and capabilities for synchronization service</w:t>
      </w:r>
      <w:r w:rsidR="00182EE7" w:rsidRPr="00873B6C">
        <w:t>.</w:t>
      </w:r>
    </w:p>
    <w:p w14:paraId="6A667E5C" w14:textId="5D4C32F3" w:rsidR="00182EE7" w:rsidRPr="00873B6C" w:rsidRDefault="00182EE7" w:rsidP="00182EE7">
      <w:r w:rsidRPr="00873B6C">
        <w:t>The AF</w:t>
      </w:r>
      <w:r w:rsidR="00F860C3" w:rsidRPr="00873B6C">
        <w:t xml:space="preserve"> may</w:t>
      </w:r>
      <w:r w:rsidRPr="00873B6C">
        <w:t xml:space="preserve"> request</w:t>
      </w:r>
      <w:r w:rsidR="00F860C3" w:rsidRPr="00873B6C">
        <w:t xml:space="preserve"> to use a specific PTP instance type when requesting the (g)PTP-based </w:t>
      </w:r>
      <w:r w:rsidRPr="00873B6C">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rsidRPr="00873B6C">
        <w:t xml:space="preserve"> specified in Table 4.15.9.3-1</w:t>
      </w:r>
      <w:r w:rsidRPr="00873B6C">
        <w:t xml:space="preserve"> in clause 4.15.9.3 of </w:t>
      </w:r>
      <w:r w:rsidR="00972E70" w:rsidRPr="00873B6C">
        <w:t>TS 23.502 [</w:t>
      </w:r>
      <w:r w:rsidRPr="00873B6C">
        <w:t>3].</w:t>
      </w:r>
    </w:p>
    <w:p w14:paraId="00538557" w14:textId="748A0838" w:rsidR="00182EE7" w:rsidRPr="00873B6C" w:rsidRDefault="00182EE7" w:rsidP="00182EE7">
      <w:r w:rsidRPr="00873B6C">
        <w:t>The AF may request to use the 5G</w:t>
      </w:r>
      <w:r w:rsidR="0010039C" w:rsidRPr="00873B6C">
        <w:t xml:space="preserve"> access stratum</w:t>
      </w:r>
      <w:r w:rsidRPr="00873B6C">
        <w:t xml:space="preserve"> as a time synchronization distribution method. In this case, the time source is provided by the 5GS. 5G-AN provides </w:t>
      </w:r>
      <w:r w:rsidR="0010039C" w:rsidRPr="00873B6C">
        <w:t xml:space="preserve">the </w:t>
      </w:r>
      <w:r w:rsidRPr="00873B6C">
        <w:t>5GS time to the UE via 3GPP radio access; UE/DS-TT may provide 5G</w:t>
      </w:r>
      <w:r w:rsidR="0010039C" w:rsidRPr="00873B6C">
        <w:t xml:space="preserve"> access stratum</w:t>
      </w:r>
      <w:r w:rsidRPr="00873B6C">
        <w:t xml:space="preserve"> timing information to end stations using implementation specific means. The request to control the 5G</w:t>
      </w:r>
      <w:r w:rsidR="0010039C" w:rsidRPr="00873B6C">
        <w:t xml:space="preserve"> access stratum</w:t>
      </w:r>
      <w:r w:rsidRPr="00873B6C">
        <w:t xml:space="preserve"> time distribution</w:t>
      </w:r>
      <w:r w:rsidR="00F860C3" w:rsidRPr="00873B6C">
        <w:t xml:space="preserve"> (including the parameters such AF requests may contain)</w:t>
      </w:r>
      <w:r w:rsidRPr="00873B6C">
        <w:t xml:space="preserve"> is described in clause 4.15.9.4 of </w:t>
      </w:r>
      <w:r w:rsidR="00972E70" w:rsidRPr="00873B6C">
        <w:t>TS 23.502 [</w:t>
      </w:r>
      <w:r w:rsidRPr="00873B6C">
        <w:t>3].</w:t>
      </w:r>
    </w:p>
    <w:p w14:paraId="35765EE7" w14:textId="1923858F" w:rsidR="00A46717" w:rsidRPr="00873B6C" w:rsidRDefault="00A46717" w:rsidP="008D5A3F">
      <w:r w:rsidRPr="00873B6C">
        <w:t>The AF or NEF selects the TSCTSF as specified in clause 6.3.24.</w:t>
      </w:r>
    </w:p>
    <w:p w14:paraId="6C9AA74D" w14:textId="178A2417" w:rsidR="0010039C" w:rsidRPr="00873B6C" w:rsidRDefault="0010039C" w:rsidP="008D5A3F">
      <w:r w:rsidRPr="00873B6C">
        <w:t>The AF request may include a time synchronization error budget (see also clause 5.2</w:t>
      </w:r>
      <w:r w:rsidR="00C950EF" w:rsidRPr="00873B6C">
        <w:t>7</w:t>
      </w:r>
      <w:r w:rsidRPr="00873B6C">
        <w:t>.1.9). The time synchronization error budget defines an upper bound for time synchronization errors introduced by 5GS.</w:t>
      </w:r>
    </w:p>
    <w:p w14:paraId="5E0E7715" w14:textId="2D684EE0" w:rsidR="0053150F" w:rsidRPr="00873B6C" w:rsidRDefault="0053150F" w:rsidP="008D5A3F">
      <w:r w:rsidRPr="00873B6C">
        <w:t xml:space="preserve">The AF uses the procedure for configuring the (g)PTP instance in 5GS as described in clause 4.15.9.3 of </w:t>
      </w:r>
      <w:r w:rsidR="00972E70" w:rsidRPr="00873B6C">
        <w:t>TS 23.502 [</w:t>
      </w:r>
      <w:r w:rsidRPr="00873B6C">
        <w:t xml:space="preserve">3] and uses the procedure for providing the 5G access stratum time distribution as described in clause 4.15.9.4 of </w:t>
      </w:r>
      <w:r w:rsidR="00972E70" w:rsidRPr="00873B6C">
        <w:t>TS 23.502 [</w:t>
      </w:r>
      <w:r w:rsidRPr="00873B6C">
        <w:t>3] for the UEs.</w:t>
      </w:r>
    </w:p>
    <w:p w14:paraId="443D8B22" w14:textId="708AE6BB" w:rsidR="008D5A3F" w:rsidRPr="00873B6C" w:rsidRDefault="008D5A3F" w:rsidP="008D5A3F">
      <w:r w:rsidRPr="00873B6C">
        <w:t xml:space="preserve">The </w:t>
      </w:r>
      <w:r w:rsidR="00055D0B" w:rsidRPr="00873B6C">
        <w:t xml:space="preserve">TSCTSF </w:t>
      </w:r>
      <w:r w:rsidRPr="00873B6C">
        <w:t>uses the Time Synchronization parameters</w:t>
      </w:r>
      <w:r w:rsidR="00F860C3" w:rsidRPr="00873B6C">
        <w:t xml:space="preserve"> (Table 4.15.9.3-1 in </w:t>
      </w:r>
      <w:r w:rsidR="00972E70" w:rsidRPr="00873B6C">
        <w:t>TS 23.502 [</w:t>
      </w:r>
      <w:r w:rsidR="00F860C3" w:rsidRPr="00873B6C">
        <w:t>3]) as</w:t>
      </w:r>
      <w:r w:rsidRPr="00873B6C">
        <w:t xml:space="preserve"> received from </w:t>
      </w:r>
      <w:r w:rsidR="00F860C3" w:rsidRPr="00873B6C">
        <w:t xml:space="preserve">the </w:t>
      </w:r>
      <w:r w:rsidRPr="00873B6C">
        <w:t>AF</w:t>
      </w:r>
      <w:r w:rsidR="00055D0B" w:rsidRPr="00873B6C">
        <w:t xml:space="preserve"> (directly or via NEF)</w:t>
      </w:r>
      <w:r w:rsidR="00182EE7" w:rsidRPr="00873B6C">
        <w:t xml:space="preserve"> to control the</w:t>
      </w:r>
      <w:r w:rsidR="00F860C3" w:rsidRPr="00873B6C">
        <w:t xml:space="preserve"> (g)PTP</w:t>
      </w:r>
      <w:r w:rsidR="00182EE7" w:rsidRPr="00873B6C">
        <w:t xml:space="preserve"> time synchronization service</w:t>
      </w:r>
      <w:r w:rsidRPr="00873B6C">
        <w:t xml:space="preserve">. When IEEE Std 1588 [126] or IEEE Std 802.1AS [104] operation have been selected, the </w:t>
      </w:r>
      <w:r w:rsidR="00055D0B" w:rsidRPr="00873B6C">
        <w:t xml:space="preserve">TSCTSF </w:t>
      </w:r>
      <w:r w:rsidRPr="00873B6C">
        <w:t xml:space="preserve">determines the necessary (g)PTP parameters to activate and control the service in DS-TT(s) and NW-TTs. For this purpose, the </w:t>
      </w:r>
      <w:r w:rsidR="00055D0B" w:rsidRPr="00873B6C">
        <w:t xml:space="preserve">TSCTSF </w:t>
      </w:r>
      <w:r w:rsidRPr="00873B6C">
        <w:t xml:space="preserve">uses the PMIC or </w:t>
      </w:r>
      <w:r w:rsidR="007B3699" w:rsidRPr="00873B6C">
        <w:t>U</w:t>
      </w:r>
      <w:r w:rsidRPr="00873B6C">
        <w:t>MIC to manage the IEEE Std 1588 [126] or IEEE Std 802.1AS [104] operation in the DS-TT</w:t>
      </w:r>
      <w:r w:rsidR="007B3699" w:rsidRPr="00873B6C">
        <w:t>(s)</w:t>
      </w:r>
      <w:r w:rsidRPr="00873B6C">
        <w:t xml:space="preserve"> or NW-TT</w:t>
      </w:r>
      <w:r w:rsidR="007B3699" w:rsidRPr="00873B6C">
        <w:t>s</w:t>
      </w:r>
      <w:r w:rsidRPr="00873B6C">
        <w:t>, respectively (see clause 5.27.1.4).</w:t>
      </w:r>
    </w:p>
    <w:p w14:paraId="03D86E23" w14:textId="2D1AAD72" w:rsidR="003A5CE6" w:rsidRPr="00873B6C" w:rsidRDefault="003A5CE6" w:rsidP="008D5A3F">
      <w:r w:rsidRPr="00873B6C">
        <w:t>The TSCTSF may indicate whether it can support the service or not as per the requested acceptance criteria</w:t>
      </w:r>
      <w:r w:rsidR="00424087" w:rsidRPr="00873B6C">
        <w:t xml:space="preserve"> (e.g. based on the known timing synchronization status attribute thresholds also pre-configured at gNB)</w:t>
      </w:r>
      <w:r w:rsidRPr="00873B6C">
        <w:t xml:space="preserve"> and provide notification when there is a service status update if the AF subscribes to service status updates (see also clause 5.27.1.12).</w:t>
      </w:r>
    </w:p>
    <w:p w14:paraId="106D52F7" w14:textId="4D3DAACF" w:rsidR="00F860C3" w:rsidRPr="00873B6C" w:rsidRDefault="00F860C3" w:rsidP="008D5A3F">
      <w:r w:rsidRPr="00873B6C">
        <w:t>The TSCTSF uses the Time Synchronization parameters (Table 4.15.9.4-1</w:t>
      </w:r>
      <w:r w:rsidR="003A5CE6" w:rsidRPr="00873B6C">
        <w:t xml:space="preserve"> of </w:t>
      </w:r>
      <w:r w:rsidR="00972E70" w:rsidRPr="00873B6C">
        <w:t>TS 23.502 [</w:t>
      </w:r>
      <w:r w:rsidR="003A5CE6" w:rsidRPr="00873B6C">
        <w:t>3]</w:t>
      </w:r>
      <w:r w:rsidRPr="00873B6C">
        <w:t xml:space="preserve">) as received from the AF (directly or via NEF) to control the 5G access stratum time synchronization distribution as described in clause 4.15.9.4 of </w:t>
      </w:r>
      <w:r w:rsidR="00972E70" w:rsidRPr="00873B6C">
        <w:t>TS 23.502 [</w:t>
      </w:r>
      <w:r w:rsidRPr="00873B6C">
        <w:t>3].</w:t>
      </w:r>
    </w:p>
    <w:p w14:paraId="203153CF" w14:textId="4A574134" w:rsidR="008D5A3F" w:rsidRPr="00873B6C" w:rsidRDefault="008D5A3F" w:rsidP="008D5A3F">
      <w:r w:rsidRPr="00873B6C">
        <w:t>For handling (g)PTP traffic, the PCF, according to PCC rule authorization, chooses a 5QI and dynamically set the PDB and/or MDBV according to requirements for (g)PTP protocol. The PCF provides the SMF with a PCC rule generated based on the AF request</w:t>
      </w:r>
      <w:r w:rsidR="00182EE7" w:rsidRPr="00873B6C">
        <w:t xml:space="preserve"> to control the (g)PTP time synchronization service</w:t>
      </w:r>
      <w:r w:rsidRPr="00873B6C">
        <w:t xml:space="preserve">. The SMF may take the information in the PCC rule to modify a PDU Session to create or modify or release a </w:t>
      </w:r>
      <w:r w:rsidR="00426DE4" w:rsidRPr="00873B6C">
        <w:t>QoS Flow</w:t>
      </w:r>
      <w:r w:rsidRPr="00873B6C">
        <w:t xml:space="preserve"> for transmitting the (g)PTP messages. The PCF acknowledges the</w:t>
      </w:r>
      <w:r w:rsidR="00182EE7" w:rsidRPr="00873B6C">
        <w:t xml:space="preserve"> policy</w:t>
      </w:r>
      <w:r w:rsidRPr="00873B6C">
        <w:t xml:space="preserve"> request to the </w:t>
      </w:r>
      <w:r w:rsidR="00055D0B" w:rsidRPr="00873B6C">
        <w:t>TSCTSF</w:t>
      </w:r>
      <w:r w:rsidR="00182EE7" w:rsidRPr="00873B6C">
        <w:t>. The</w:t>
      </w:r>
      <w:r w:rsidRPr="00873B6C">
        <w:t xml:space="preserve"> </w:t>
      </w:r>
      <w:r w:rsidR="00055D0B" w:rsidRPr="00873B6C">
        <w:t xml:space="preserve">TSCTSF </w:t>
      </w:r>
      <w:r w:rsidR="00182EE7" w:rsidRPr="00873B6C">
        <w:t xml:space="preserve">may report the result of the time synchronization request </w:t>
      </w:r>
      <w:r w:rsidRPr="00873B6C">
        <w:t>to the AF</w:t>
      </w:r>
      <w:r w:rsidR="00055D0B" w:rsidRPr="00873B6C">
        <w:t xml:space="preserve"> (directly or via NEF)</w:t>
      </w:r>
      <w:r w:rsidRPr="00873B6C">
        <w:t>.</w:t>
      </w:r>
    </w:p>
    <w:p w14:paraId="1B0444DE" w14:textId="26F71EA8" w:rsidR="00960CDA" w:rsidRPr="00873B6C" w:rsidRDefault="00960CDA" w:rsidP="00562E84">
      <w:r w:rsidRPr="00873B6C">
        <w:t>The AF may provide a temporal validity condition to the TSCTSF (directly or via NEF) when the AF activates</w:t>
      </w:r>
      <w:r w:rsidR="003A5CE6" w:rsidRPr="00873B6C">
        <w:t xml:space="preserve"> or modifies</w:t>
      </w:r>
      <w:r w:rsidRPr="00873B6C">
        <w:t xml:space="preserve"> the time synchronization service. Temporal validity condition contains the start-time and stop-time (in absolute time value) attributes that describe the time period when the time synchronization service is active for the targeted AF sessions.</w:t>
      </w:r>
      <w:r w:rsidR="00C950EF" w:rsidRPr="00873B6C">
        <w:t xml:space="preserve"> The TSCTSF manages the temporal validity condition as described in clause</w:t>
      </w:r>
      <w:r w:rsidR="00F860C3" w:rsidRPr="00873B6C">
        <w:t xml:space="preserve">s </w:t>
      </w:r>
      <w:r w:rsidR="00C950EF" w:rsidRPr="00873B6C">
        <w:t>4.15.9.3</w:t>
      </w:r>
      <w:r w:rsidR="00F860C3" w:rsidRPr="00873B6C">
        <w:t xml:space="preserve"> and 4.15.9.4 of</w:t>
      </w:r>
      <w:r w:rsidR="00C950EF" w:rsidRPr="00873B6C">
        <w:t xml:space="preserve"> </w:t>
      </w:r>
      <w:r w:rsidR="00972E70" w:rsidRPr="00873B6C">
        <w:t>TS 23.502 [</w:t>
      </w:r>
      <w:r w:rsidR="00C950EF" w:rsidRPr="00873B6C">
        <w:t>3]</w:t>
      </w:r>
      <w:r w:rsidRPr="00873B6C">
        <w:t>.</w:t>
      </w:r>
    </w:p>
    <w:p w14:paraId="3D57C617" w14:textId="2C621953" w:rsidR="003A5CE6" w:rsidRPr="00873B6C" w:rsidRDefault="003A5CE6" w:rsidP="00972E70">
      <w:r w:rsidRPr="00873B6C">
        <w:t>The AF may provide clock quality detail level and clock quality acceptance criteria to the TSCTSF (directly or via NEF) when the AF activates or modifies the time synchronization service. For ASTI based time synchronization services, the TSCTSF provides the clock quality reporting control information to AMF (see also clause 5.27.1.12).</w:t>
      </w:r>
    </w:p>
    <w:p w14:paraId="0EF0202E" w14:textId="37C2CC1A" w:rsidR="00B975A9" w:rsidRPr="00873B6C" w:rsidRDefault="00B975A9" w:rsidP="00972E70">
      <w:r w:rsidRPr="00873B6C">
        <w:lastRenderedPageBreak/>
        <w:t>The AF may provide a requested coverage area for the time synchronization service to the TSCTSF (directly or via NEF) when the AF activates or modifies the time synchronization service. The requested coverage area defines a spatial validity condition for the service using a geographical area (e.g. a civic address or shapes), or a list of Tracking Area Identities (TAIs)</w:t>
      </w:r>
      <w:r w:rsidR="00F13E92" w:rsidRPr="00873B6C">
        <w:t xml:space="preserve"> (see also clause 5.27.1.10)</w:t>
      </w:r>
      <w:r w:rsidRPr="00873B6C">
        <w:t>.</w:t>
      </w:r>
    </w:p>
    <w:p w14:paraId="428417EA" w14:textId="2CA69D5F" w:rsidR="0010039C" w:rsidRPr="00873B6C" w:rsidRDefault="0010039C" w:rsidP="0010039C">
      <w:pPr>
        <w:pStyle w:val="Heading4"/>
      </w:pPr>
      <w:bookmarkStart w:id="3960" w:name="_CR5_27_1_9"/>
      <w:bookmarkStart w:id="3961" w:name="_Toc201157469"/>
      <w:bookmarkEnd w:id="3960"/>
      <w:r w:rsidRPr="00873B6C">
        <w:t>5.27.1.9</w:t>
      </w:r>
      <w:r w:rsidRPr="00873B6C">
        <w:tab/>
        <w:t>Support for</w:t>
      </w:r>
      <w:r w:rsidR="00F860C3" w:rsidRPr="00873B6C">
        <w:t xml:space="preserve"> derivation of Uu time synchronization error budget</w:t>
      </w:r>
      <w:bookmarkEnd w:id="3961"/>
    </w:p>
    <w:p w14:paraId="2C3D29C4" w14:textId="758E5920" w:rsidR="00F860C3" w:rsidRPr="00873B6C" w:rsidRDefault="00F860C3" w:rsidP="0010039C">
      <w:r w:rsidRPr="00873B6C">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1A954750" w14:textId="0112BA90" w:rsidR="0022127D" w:rsidRPr="00873B6C" w:rsidRDefault="0022127D" w:rsidP="0010039C">
      <w:r w:rsidRPr="00873B6C">
        <w:t>The Time Synchronization Subscription data may optionally contain the authorized Uu time synchronization error budget. When the TSCTSF receives an AF request with a specific time synchronization error budget for the time synchronization service, the TSCTSF validates the Uu time synchronization error budget as described in clause 5.27.1.11.</w:t>
      </w:r>
    </w:p>
    <w:p w14:paraId="3347D85B" w14:textId="03421E69" w:rsidR="0010039C" w:rsidRPr="00873B6C" w:rsidRDefault="0010039C" w:rsidP="0010039C">
      <w:r w:rsidRPr="00873B6C">
        <w:t>To derive the Uu time synchronization error budget for each targeted UE, the TSCTSF takes the following into account:</w:t>
      </w:r>
    </w:p>
    <w:p w14:paraId="1A825A31" w14:textId="439615DA" w:rsidR="0010039C" w:rsidRPr="00873B6C" w:rsidRDefault="0010039C" w:rsidP="00C74FFE">
      <w:pPr>
        <w:pStyle w:val="B1"/>
      </w:pPr>
      <w:r w:rsidRPr="00873B6C">
        <w:t>-</w:t>
      </w:r>
      <w:r w:rsidRPr="00873B6C">
        <w:tab/>
        <w:t>selected time synchronization distribution method (</w:t>
      </w:r>
      <w:r w:rsidR="00E21C2B" w:rsidRPr="00873B6C">
        <w:t>i.e.</w:t>
      </w:r>
      <w:r w:rsidR="0022127D" w:rsidRPr="00873B6C">
        <w:t xml:space="preserve"> </w:t>
      </w:r>
      <w:r w:rsidRPr="00873B6C">
        <w:t>5G access stratum</w:t>
      </w:r>
      <w:r w:rsidR="00E21C2B" w:rsidRPr="00873B6C">
        <w:t>-based</w:t>
      </w:r>
      <w:r w:rsidRPr="00873B6C">
        <w:t xml:space="preserve"> time distribution or (g)PTP</w:t>
      </w:r>
      <w:r w:rsidR="00E21C2B" w:rsidRPr="00873B6C">
        <w:t>-</w:t>
      </w:r>
      <w:r w:rsidRPr="00873B6C">
        <w:t>based time distribution);</w:t>
      </w:r>
    </w:p>
    <w:p w14:paraId="15A3B8DD" w14:textId="3C8B3FEC" w:rsidR="0022127D" w:rsidRPr="00873B6C" w:rsidRDefault="0022127D" w:rsidP="00C74FFE">
      <w:pPr>
        <w:pStyle w:val="B1"/>
      </w:pPr>
      <w:r w:rsidRPr="00873B6C">
        <w:t>-</w:t>
      </w:r>
      <w:r w:rsidRPr="00873B6C">
        <w:tab/>
        <w:t>Uu time synchronization error budget in the Time Synchronization Subscription data defined in clause 5.27.1.11;</w:t>
      </w:r>
    </w:p>
    <w:p w14:paraId="68B4A3E7" w14:textId="4C41DC0D" w:rsidR="00E21C2B" w:rsidRPr="00873B6C" w:rsidRDefault="00E21C2B" w:rsidP="00C74FFE">
      <w:pPr>
        <w:pStyle w:val="B1"/>
      </w:pPr>
      <w:r w:rsidRPr="00873B6C">
        <w:t>-</w:t>
      </w:r>
      <w:r w:rsidRPr="00873B6C">
        <w:tab/>
        <w:t>in the case of the (g)PTP-based time distribution:</w:t>
      </w:r>
    </w:p>
    <w:p w14:paraId="44DEFEF7" w14:textId="51DB52FD" w:rsidR="00E21C2B" w:rsidRPr="00873B6C" w:rsidRDefault="0010039C" w:rsidP="00972E70">
      <w:pPr>
        <w:pStyle w:val="B2"/>
      </w:pPr>
      <w:r w:rsidRPr="00873B6C">
        <w:t>-</w:t>
      </w:r>
      <w:r w:rsidRPr="00873B6C">
        <w:tab/>
        <w:t>whether 5GS operates as a boundary clock and acts as a GM</w:t>
      </w:r>
      <w:r w:rsidR="00E21C2B" w:rsidRPr="00873B6C">
        <w:t>;</w:t>
      </w:r>
    </w:p>
    <w:p w14:paraId="1EF71104" w14:textId="660B952A" w:rsidR="0010039C" w:rsidRPr="00873B6C" w:rsidRDefault="00E21C2B" w:rsidP="00972E70">
      <w:pPr>
        <w:pStyle w:val="B2"/>
      </w:pPr>
      <w:r w:rsidRPr="00873B6C">
        <w:t>-</w:t>
      </w:r>
      <w:r w:rsidRPr="00873B6C">
        <w:tab/>
      </w:r>
      <w:r w:rsidR="0010039C" w:rsidRPr="00873B6C">
        <w:t>whether a clock connected to</w:t>
      </w:r>
      <w:r w:rsidRPr="00873B6C">
        <w:t xml:space="preserve"> the</w:t>
      </w:r>
      <w:r w:rsidR="0010039C" w:rsidRPr="00873B6C">
        <w:t xml:space="preserve"> DS-TT/NW-TT acts as</w:t>
      </w:r>
      <w:r w:rsidRPr="00873B6C">
        <w:t xml:space="preserve"> a</w:t>
      </w:r>
      <w:r w:rsidR="0010039C" w:rsidRPr="00873B6C">
        <w:t xml:space="preserve"> GM;</w:t>
      </w:r>
    </w:p>
    <w:p w14:paraId="22B7E50A" w14:textId="6566639E" w:rsidR="0010039C" w:rsidRPr="00873B6C" w:rsidRDefault="0010039C" w:rsidP="00C74FFE">
      <w:pPr>
        <w:pStyle w:val="B1"/>
      </w:pPr>
      <w:r w:rsidRPr="00873B6C">
        <w:t>-</w:t>
      </w:r>
      <w:r w:rsidRPr="00873B6C">
        <w:tab/>
        <w:t>PTP port states;</w:t>
      </w:r>
    </w:p>
    <w:p w14:paraId="70BA443D" w14:textId="3DFE91FB" w:rsidR="0010039C" w:rsidRPr="00873B6C" w:rsidRDefault="0010039C" w:rsidP="00C74FFE">
      <w:pPr>
        <w:pStyle w:val="B1"/>
      </w:pPr>
      <w:r w:rsidRPr="00873B6C">
        <w:t>-</w:t>
      </w:r>
      <w:r w:rsidRPr="00873B6C">
        <w:tab/>
      </w:r>
      <w:r w:rsidR="00E21C2B" w:rsidRPr="00873B6C">
        <w:t xml:space="preserve">a </w:t>
      </w:r>
      <w:r w:rsidRPr="00873B6C">
        <w:t>CN</w:t>
      </w:r>
      <w:r w:rsidR="00E21C2B" w:rsidRPr="00873B6C">
        <w:t xml:space="preserve"> part</w:t>
      </w:r>
      <w:r w:rsidRPr="00873B6C">
        <w:t xml:space="preserve"> and</w:t>
      </w:r>
      <w:r w:rsidR="00E21C2B" w:rsidRPr="00873B6C">
        <w:t xml:space="preserve"> a</w:t>
      </w:r>
      <w:r w:rsidRPr="00873B6C">
        <w:t xml:space="preserve"> Device part of the time synchronization error budget (</w:t>
      </w:r>
      <w:r w:rsidR="00E21C2B" w:rsidRPr="00873B6C">
        <w:t xml:space="preserve">both parts </w:t>
      </w:r>
      <w:r w:rsidRPr="00873B6C">
        <w:t>may be predefined</w:t>
      </w:r>
      <w:r w:rsidR="00E21C2B" w:rsidRPr="00873B6C">
        <w:t xml:space="preserve"> at the TSCTSF</w:t>
      </w:r>
      <w:r w:rsidRPr="00873B6C">
        <w:t>, or calculated by the 5GS</w:t>
      </w:r>
      <w:r w:rsidR="00E21C2B" w:rsidRPr="00873B6C">
        <w:t xml:space="preserve"> using the</w:t>
      </w:r>
      <w:r w:rsidRPr="00873B6C">
        <w:t xml:space="preserve"> implementation</w:t>
      </w:r>
      <w:r w:rsidR="00E21C2B" w:rsidRPr="00873B6C">
        <w:t>-specific means</w:t>
      </w:r>
      <w:r w:rsidRPr="00873B6C">
        <w:t>).</w:t>
      </w:r>
    </w:p>
    <w:p w14:paraId="4E797ABF" w14:textId="53904CEB" w:rsidR="0010039C" w:rsidRPr="00873B6C" w:rsidRDefault="0010039C" w:rsidP="0010039C">
      <w:r w:rsidRPr="00873B6C">
        <w:t xml:space="preserve">If the AF </w:t>
      </w:r>
      <w:r w:rsidR="00E21C2B" w:rsidRPr="00873B6C">
        <w:t xml:space="preserve">does </w:t>
      </w:r>
      <w:r w:rsidRPr="00873B6C">
        <w:t xml:space="preserve">not include a time synchronization error budget, the TSCTSF uses a preconfigured time synchronization error budget to derive the Uu time synchronization error budget. </w:t>
      </w:r>
      <w:r w:rsidR="00E21C2B" w:rsidRPr="00873B6C">
        <w:t xml:space="preserve"> The</w:t>
      </w:r>
      <w:r w:rsidRPr="00873B6C">
        <w:t>TSCTSF provides a</w:t>
      </w:r>
      <w:r w:rsidR="006E7E83" w:rsidRPr="00873B6C">
        <w:t xml:space="preserve"> 5G access stratum</w:t>
      </w:r>
      <w:r w:rsidRPr="00873B6C">
        <w:t xml:space="preserve"> time distribution indication and the</w:t>
      </w:r>
      <w:r w:rsidR="00E21C2B" w:rsidRPr="00873B6C">
        <w:t xml:space="preserve"> derived</w:t>
      </w:r>
      <w:r w:rsidRPr="00873B6C">
        <w:t xml:space="preserve"> Uu time synchronization error budget to NG-RAN as described in clause 4.15.9.4 of </w:t>
      </w:r>
      <w:r w:rsidR="00972E70" w:rsidRPr="00873B6C">
        <w:t>TS 23.502 [</w:t>
      </w:r>
      <w:r w:rsidRPr="00873B6C">
        <w:t>3]. Based on this, NG-RAN provides the 5G access stratum time to the UE according to the Uu interface time synchronization error budget as provided by the TSCTSF (if supported by UE and NG-RAN).</w:t>
      </w:r>
      <w:r w:rsidR="006E7E83" w:rsidRPr="00873B6C">
        <w:t xml:space="preserve"> During Handover</w:t>
      </w:r>
      <w:r w:rsidR="006F101E" w:rsidRPr="00873B6C">
        <w:t>, Service Request, mobility registration and AM policy modification</w:t>
      </w:r>
      <w:r w:rsidR="006E7E83" w:rsidRPr="00873B6C">
        <w:t xml:space="preserve"> procedure, the AMF may provide the 5G access stratum time distribution indication and the Uu time synchronization error budget to NG-RAN as described in clause 4.15.9.4 of </w:t>
      </w:r>
      <w:r w:rsidR="00972E70" w:rsidRPr="00873B6C">
        <w:t>TS 23.502 [</w:t>
      </w:r>
      <w:r w:rsidR="006E7E83" w:rsidRPr="00873B6C">
        <w:t>3], if needed.</w:t>
      </w:r>
    </w:p>
    <w:p w14:paraId="4FFA23C6" w14:textId="17633C59" w:rsidR="0010039C" w:rsidRPr="00873B6C" w:rsidRDefault="0010039C" w:rsidP="00C74FFE">
      <w:pPr>
        <w:pStyle w:val="NO"/>
      </w:pPr>
      <w:r w:rsidRPr="00873B6C">
        <w:t>NOTE:</w:t>
      </w:r>
      <w:r w:rsidRPr="00873B6C">
        <w:tab/>
        <w:t xml:space="preserve">This release of the specification assumes that deployments ensure that the targeted UEs and the NG-RAN nodes serving those UEs support Rel-17 propagation delay compensation as defined in </w:t>
      </w:r>
      <w:r w:rsidR="00972E70" w:rsidRPr="00873B6C">
        <w:t>TS 38.300 [</w:t>
      </w:r>
      <w:r w:rsidRPr="00873B6C">
        <w:t>27].</w:t>
      </w:r>
    </w:p>
    <w:p w14:paraId="4EA48323" w14:textId="5303B5A2" w:rsidR="001151EB" w:rsidRPr="00873B6C" w:rsidRDefault="001151EB" w:rsidP="007B6EB9">
      <w:pPr>
        <w:pStyle w:val="Heading4"/>
      </w:pPr>
      <w:bookmarkStart w:id="3962" w:name="_CR5_27_1_10"/>
      <w:bookmarkStart w:id="3963" w:name="_Toc201157470"/>
      <w:bookmarkEnd w:id="3962"/>
      <w:r w:rsidRPr="00873B6C">
        <w:t>5.27.1.10</w:t>
      </w:r>
      <w:r w:rsidRPr="00873B6C">
        <w:tab/>
        <w:t>Support for coverage area filters for time synchronization service</w:t>
      </w:r>
      <w:bookmarkEnd w:id="3963"/>
    </w:p>
    <w:p w14:paraId="0A3FF695" w14:textId="77777777" w:rsidR="001151EB" w:rsidRPr="00873B6C" w:rsidRDefault="001151EB" w:rsidP="001151EB">
      <w:r w:rsidRPr="00873B6C">
        <w:t>This feature enables the AF to request time synchronization service for a UE or a group of UEs in a specific geographical area (so called coverage area). The requested coverage area contains a list of Tracking Area (TA) or a geographical area (e.g. a civic address or shapes that the NEF transforms to list of TAs based on pre-configuration).</w:t>
      </w:r>
    </w:p>
    <w:p w14:paraId="310DD6C2" w14:textId="651D4B2D" w:rsidR="00022CB9" w:rsidRPr="00873B6C" w:rsidRDefault="00022CB9" w:rsidP="001151EB">
      <w:r w:rsidRPr="00873B6C">
        <w:t>TSCTSF checks with the UDM if the UE is allowed to receive the time synchronization service requested by AF</w:t>
      </w:r>
      <w:r w:rsidR="00D72F02" w:rsidRPr="00873B6C">
        <w:t xml:space="preserve"> and may update the Time Synchronization Coverage Area as described in clause 5.27.1.11</w:t>
      </w:r>
      <w:r w:rsidRPr="00873B6C">
        <w:t>.</w:t>
      </w:r>
    </w:p>
    <w:p w14:paraId="4CC8A7CE" w14:textId="77777777" w:rsidR="00FB6BEB" w:rsidRPr="00873B6C" w:rsidRDefault="001151EB" w:rsidP="001151EB">
      <w:r w:rsidRPr="00873B6C">
        <w:t>The</w:t>
      </w:r>
      <w:r w:rsidR="00B975A9" w:rsidRPr="00873B6C">
        <w:t xml:space="preserve"> coverage area defines a</w:t>
      </w:r>
      <w:r w:rsidRPr="00873B6C">
        <w:t xml:space="preserve"> spatial validity condition</w:t>
      </w:r>
      <w:r w:rsidR="00B975A9" w:rsidRPr="00873B6C">
        <w:t xml:space="preserve"> for the</w:t>
      </w:r>
      <w:r w:rsidR="00FB6BEB" w:rsidRPr="00873B6C">
        <w:t xml:space="preserve"> targeted</w:t>
      </w:r>
      <w:r w:rsidR="00B975A9" w:rsidRPr="00873B6C">
        <w:t xml:space="preserve"> UE</w:t>
      </w:r>
      <w:r w:rsidR="00FB6BEB" w:rsidRPr="00873B6C">
        <w:t>(s)</w:t>
      </w:r>
      <w:r w:rsidR="00B975A9" w:rsidRPr="00873B6C">
        <w:t xml:space="preserve"> that</w:t>
      </w:r>
      <w:r w:rsidRPr="00873B6C">
        <w:t xml:space="preserve"> is resolved at the TSCTSF. In order to do that, the TSCTSF </w:t>
      </w:r>
      <w:r w:rsidR="00FB6BEB" w:rsidRPr="00873B6C">
        <w:t>may either:</w:t>
      </w:r>
    </w:p>
    <w:p w14:paraId="6A4373CE" w14:textId="7D057B32" w:rsidR="00FB6BEB" w:rsidRPr="00873B6C" w:rsidRDefault="00FB6BEB" w:rsidP="00FB6BEB">
      <w:pPr>
        <w:pStyle w:val="B1"/>
      </w:pPr>
      <w:r w:rsidRPr="00873B6C">
        <w:t>a)</w:t>
      </w:r>
      <w:r w:rsidRPr="00873B6C">
        <w:tab/>
      </w:r>
      <w:r w:rsidR="001151EB" w:rsidRPr="00873B6C">
        <w:t>discover the AMF(s) serving the list of TA(s) that comprise the spatial validity using</w:t>
      </w:r>
      <w:r w:rsidRPr="00873B6C">
        <w:t xml:space="preserve"> Nnrf_NFDiscovery_Request service from</w:t>
      </w:r>
      <w:r w:rsidR="001151EB" w:rsidRPr="00873B6C">
        <w:t xml:space="preserve"> the NRF and</w:t>
      </w:r>
      <w:r w:rsidRPr="00873B6C">
        <w:t xml:space="preserve"> subsequently, the TSCTSF</w:t>
      </w:r>
      <w:r w:rsidR="001151EB" w:rsidRPr="00873B6C">
        <w:t xml:space="preserve"> subscribes to the discovered AMF(s) to receive notifications about presence of the UE in an Area of Interest events (as described in clause 5.3.4.4). </w:t>
      </w:r>
      <w:r w:rsidRPr="00873B6C">
        <w:t xml:space="preserve">The subscription is targeted to Any UE. To reduce the number of Area of Interest reports (based </w:t>
      </w:r>
      <w:r w:rsidRPr="00873B6C">
        <w:lastRenderedPageBreak/>
        <w:t>on presence of UE) for the discovered AMFs, the TSCTSF may provide additional filtering information (e.g. List of UE IDs, DNN(s)/S-NNSAI(s)) to limit the subscription to the indicated UE identities, or UEs having a PDU Session with the given DNN/S-NSSAI as specified in clause 5.3.4.4.</w:t>
      </w:r>
    </w:p>
    <w:p w14:paraId="78C5E363" w14:textId="6BABC29B" w:rsidR="00FB6BEB" w:rsidRPr="00873B6C" w:rsidRDefault="00FB6BEB" w:rsidP="00FB6BEB">
      <w:pPr>
        <w:pStyle w:val="B1"/>
      </w:pPr>
      <w:r w:rsidRPr="00873B6C">
        <w:t>b)</w:t>
      </w:r>
      <w:r w:rsidRPr="00873B6C">
        <w:tab/>
        <w:t>determine the serving AMF for each of the targeted UE(s) using the UDM and subscribe to the serving AMF to receive notification about presence of the UE in an Area of Interest (as described in clause 5.3.4.4).</w:t>
      </w:r>
    </w:p>
    <w:p w14:paraId="7314CC7E" w14:textId="1378C529" w:rsidR="001151EB" w:rsidRPr="00873B6C" w:rsidRDefault="001151EB" w:rsidP="00FB6BEB">
      <w:r w:rsidRPr="00873B6C">
        <w:t>An Area of Interest (AoI) for each AMF is represented by a list of TA(s), wherein the Area of Interest is identical to the</w:t>
      </w:r>
      <w:r w:rsidR="00D72F02" w:rsidRPr="00873B6C">
        <w:t xml:space="preserve"> Time Synchronization Coverage Area</w:t>
      </w:r>
      <w:r w:rsidRPr="00873B6C">
        <w:t>.</w:t>
      </w:r>
    </w:p>
    <w:p w14:paraId="1CF18A56" w14:textId="77777777" w:rsidR="001151EB" w:rsidRPr="00873B6C" w:rsidRDefault="001151EB" w:rsidP="001151EB">
      <w:r w:rsidRPr="00873B6C">
        <w:t>Based on the outcome provided by the AMF about the UE's presence in the AoI, the TSCTSF determines if the time synchronization service is activated or deactivated.</w:t>
      </w:r>
    </w:p>
    <w:p w14:paraId="2FF2240A" w14:textId="7DE994D8" w:rsidR="001151EB" w:rsidRPr="00873B6C" w:rsidRDefault="001151EB" w:rsidP="001151EB">
      <w:r w:rsidRPr="00873B6C">
        <w:t xml:space="preserve">For access stratum distribution activation/deactivation, the TSCTSF will enable/disable access stratum time distribution to the UE at the serving NG-RAN node reusing the procedures in clause 4.15.9.4 of </w:t>
      </w:r>
      <w:r w:rsidR="00972E70" w:rsidRPr="00873B6C">
        <w:t>TS 23.502 [</w:t>
      </w:r>
      <w:r w:rsidRPr="00873B6C">
        <w:t>3]. For (g)PTP distribution activation/deactivation, the TSCTSF will modify the PTP instance configuration by means of sending a PMIC to the impacted UE/DS-TTs and UMIC to the impacted UPF/NW-TT, as described in clause K.2.2.</w:t>
      </w:r>
    </w:p>
    <w:p w14:paraId="75ADB5C8" w14:textId="77777777" w:rsidR="001151EB" w:rsidRPr="00873B6C" w:rsidRDefault="001151EB" w:rsidP="001151EB">
      <w:r w:rsidRPr="00873B6C">
        <w:t>If the time synchronization service is modified based on the reports of UE presence in the Area of Interest, the TSCTSF informs the AF for the impacted UE(s) by indicating the PTP port state for the related DS-TT PTP port (in the case of (g)PTP based time distribution) or notifying the AF with the indication of 5G access status time distribution status (enabled or disabled, for ASTI based time distribution).</w:t>
      </w:r>
    </w:p>
    <w:p w14:paraId="6D8889F3" w14:textId="77777777" w:rsidR="00022CB9" w:rsidRPr="00873B6C" w:rsidRDefault="00022CB9" w:rsidP="00022CB9">
      <w:r w:rsidRPr="00873B6C">
        <w:t>If the Time Synchronization Coverage Area requested by the AF includes at least one TA that is a part of UE's Registration Area (RA), the 5GS may provide the AF-requested time synchronization service to the targeted UE within its RA, i.e. all TAs of the RA shall be treated as a Time Synchronization Coverage Area even if some of the TAs were not requested by the AF.</w:t>
      </w:r>
    </w:p>
    <w:p w14:paraId="2A212C69" w14:textId="3C1F7294" w:rsidR="00022CB9" w:rsidRPr="00873B6C" w:rsidRDefault="00022CB9" w:rsidP="00972E70">
      <w:pPr>
        <w:pStyle w:val="NO"/>
      </w:pPr>
      <w:r w:rsidRPr="00873B6C">
        <w:t>NOTE 1:</w:t>
      </w:r>
      <w:r w:rsidRPr="00873B6C">
        <w:tab/>
        <w:t>This ensures that (1) there is no impact on the Registration Area (RA) of UE if/when the AMF receives a time synchronization service request with a spatial validity condition (i.e. for specific geographical area); and (2) the UE can continue receiving the time synchronization service when it moves within the RA in the RRC_IDLE state.</w:t>
      </w:r>
    </w:p>
    <w:p w14:paraId="55B178CF" w14:textId="3F3CE915" w:rsidR="00022CB9" w:rsidRPr="00873B6C" w:rsidRDefault="00022CB9" w:rsidP="00972E70">
      <w:pPr>
        <w:pStyle w:val="NO"/>
      </w:pPr>
      <w:r w:rsidRPr="00873B6C">
        <w:t>NOTE 2:</w:t>
      </w:r>
      <w:r w:rsidRPr="00873B6C">
        <w:tab/>
        <w:t>Since the RA can be specific to the UE, the result can be different Time Synchronization Coverage Area for different DS-TT ports of different UEs within a PTP instance.</w:t>
      </w:r>
    </w:p>
    <w:p w14:paraId="51728749" w14:textId="38C091C2" w:rsidR="007B6EB9" w:rsidRPr="00873B6C" w:rsidRDefault="007B6EB9" w:rsidP="007B6EB9">
      <w:pPr>
        <w:pStyle w:val="Heading4"/>
      </w:pPr>
      <w:bookmarkStart w:id="3964" w:name="_CR5_27_1_11"/>
      <w:bookmarkStart w:id="3965" w:name="_Toc201157471"/>
      <w:bookmarkEnd w:id="3964"/>
      <w:r w:rsidRPr="00873B6C">
        <w:t>5.27.1.1</w:t>
      </w:r>
      <w:r w:rsidR="001151EB" w:rsidRPr="00873B6C">
        <w:t>1</w:t>
      </w:r>
      <w:r w:rsidRPr="00873B6C">
        <w:tab/>
        <w:t>Controlling time synchronization service based on the Subscription</w:t>
      </w:r>
      <w:bookmarkEnd w:id="3965"/>
    </w:p>
    <w:p w14:paraId="467D69C8" w14:textId="2B715FB0" w:rsidR="007B6EB9" w:rsidRPr="00873B6C" w:rsidRDefault="007B6EB9" w:rsidP="007B6EB9">
      <w:r w:rsidRPr="00873B6C">
        <w:t xml:space="preserve">The distribution of timing information, 5G access stratum-based time distribution and (g)PTP-based time distribution, for a UE may be controlled based on subscription data stored in the UDM. The (g)PTP-based or 5G access stratum-based time synchronization service may be provided to a UE based on the UE's subscription which is specified in the </w:t>
      </w:r>
      <w:r w:rsidR="00972E70" w:rsidRPr="00873B6C">
        <w:t>TS 23.502 [</w:t>
      </w:r>
      <w:r w:rsidRPr="00873B6C">
        <w:t>3] clause 5.2.3.3.1.</w:t>
      </w:r>
    </w:p>
    <w:p w14:paraId="0B2520CC" w14:textId="1B306B19" w:rsidR="007B6EB9" w:rsidRPr="00873B6C" w:rsidRDefault="007B6EB9" w:rsidP="007B6EB9">
      <w:r w:rsidRPr="00873B6C">
        <w:t>The Access and Mobility Subscription data include</w:t>
      </w:r>
      <w:r w:rsidR="00D72F02" w:rsidRPr="00873B6C">
        <w:t xml:space="preserve"> the following information</w:t>
      </w:r>
      <w:r w:rsidRPr="00873B6C">
        <w:t xml:space="preserve"> for the control of 5G access stratum-based time distribution:</w:t>
      </w:r>
    </w:p>
    <w:p w14:paraId="6F2759EE" w14:textId="39955CFE" w:rsidR="007B6EB9" w:rsidRPr="00873B6C" w:rsidRDefault="007B6EB9" w:rsidP="00695DF1">
      <w:pPr>
        <w:pStyle w:val="B1"/>
      </w:pPr>
      <w:r w:rsidRPr="00873B6C">
        <w:t>-</w:t>
      </w:r>
      <w:r w:rsidRPr="00873B6C">
        <w:tab/>
        <w:t xml:space="preserve">the Access Stratum Time Synchronization Service Authorization, which indicates whether the UE should be provisioned with 5G system internal clock timing information over access stratum as specified in </w:t>
      </w:r>
      <w:r w:rsidR="00972E70" w:rsidRPr="00873B6C">
        <w:t>TS 38.331 [</w:t>
      </w:r>
      <w:r w:rsidRPr="00873B6C">
        <w:t>28].</w:t>
      </w:r>
    </w:p>
    <w:p w14:paraId="4000E020" w14:textId="77777777" w:rsidR="007B6EB9" w:rsidRPr="00873B6C" w:rsidRDefault="007B6EB9" w:rsidP="00695DF1">
      <w:pPr>
        <w:pStyle w:val="B1"/>
      </w:pPr>
      <w:r w:rsidRPr="00873B6C">
        <w:t>-</w:t>
      </w:r>
      <w:r w:rsidRPr="00873B6C">
        <w:tab/>
        <w:t>optionally, the Uu time synchronization error budget.</w:t>
      </w:r>
    </w:p>
    <w:p w14:paraId="150FB82A" w14:textId="77777777" w:rsidR="007B6EB9" w:rsidRPr="00873B6C" w:rsidRDefault="007B6EB9" w:rsidP="00695DF1">
      <w:pPr>
        <w:pStyle w:val="B1"/>
      </w:pPr>
      <w:r w:rsidRPr="00873B6C">
        <w:t>-</w:t>
      </w:r>
      <w:r w:rsidRPr="00873B6C">
        <w:tab/>
        <w:t>optionally, one or more periods of start and stop times defining the times when the UE should be provisioned with 5G system internal clock timing information.</w:t>
      </w:r>
    </w:p>
    <w:p w14:paraId="7DBCF71C" w14:textId="77777777" w:rsidR="007B6EB9" w:rsidRPr="00873B6C" w:rsidRDefault="007B6EB9" w:rsidP="00695DF1">
      <w:pPr>
        <w:pStyle w:val="B1"/>
      </w:pPr>
      <w:r w:rsidRPr="00873B6C">
        <w:t>-</w:t>
      </w:r>
      <w:r w:rsidRPr="00873B6C">
        <w:tab/>
        <w:t>optionally, a Time Synchronization Coverage Area comprising a list of TAs where the UE shall be provisioned with 5G system internal clock timing information.</w:t>
      </w:r>
    </w:p>
    <w:p w14:paraId="7E726174" w14:textId="77777777" w:rsidR="003A5CE6" w:rsidRPr="00873B6C" w:rsidRDefault="003A5CE6" w:rsidP="00972E70">
      <w:pPr>
        <w:pStyle w:val="B1"/>
      </w:pPr>
      <w:r w:rsidRPr="00873B6C">
        <w:t>-</w:t>
      </w:r>
      <w:r w:rsidRPr="00873B6C">
        <w:tab/>
        <w:t>optionally, a clock quality detail level indicating whether and which clock quality information to provide to the UE. It comprises one of the following values: clock quality metrics or acceptable/not acceptable indication.</w:t>
      </w:r>
    </w:p>
    <w:p w14:paraId="50D3B279" w14:textId="05001629" w:rsidR="003A5CE6" w:rsidRPr="00873B6C" w:rsidRDefault="003A5CE6" w:rsidP="00972E70">
      <w:pPr>
        <w:pStyle w:val="B1"/>
      </w:pPr>
      <w:r w:rsidRPr="00873B6C">
        <w:t>-</w:t>
      </w:r>
      <w:r w:rsidRPr="00873B6C">
        <w:tab/>
        <w:t>optionally, the clock quality acceptance criteria for the UE. It may be defined based on one or more</w:t>
      </w:r>
      <w:r w:rsidR="00424087" w:rsidRPr="00873B6C">
        <w:t xml:space="preserve"> attributes listed in Table 5.27.1.12-1</w:t>
      </w:r>
      <w:r w:rsidRPr="00873B6C">
        <w:t>.</w:t>
      </w:r>
    </w:p>
    <w:p w14:paraId="165FFF53" w14:textId="0DB0C073" w:rsidR="007B6EB9" w:rsidRPr="00873B6C" w:rsidRDefault="007B6EB9" w:rsidP="007B6EB9">
      <w:r w:rsidRPr="00873B6C">
        <w:lastRenderedPageBreak/>
        <w:t>During the Registration procedure, the AMF retrieves the subscription from UDM. If the AMF receives 5G access stratum-based time synchronization service subscription for the given UE, the AMF controls the 5G access stratum-based time distribution:</w:t>
      </w:r>
    </w:p>
    <w:p w14:paraId="3CAB07D2" w14:textId="77777777" w:rsidR="007B6EB9" w:rsidRPr="00873B6C" w:rsidRDefault="007B6EB9" w:rsidP="00695DF1">
      <w:pPr>
        <w:pStyle w:val="B1"/>
      </w:pPr>
      <w:r w:rsidRPr="00873B6C">
        <w:t>-</w:t>
      </w:r>
      <w:r w:rsidRPr="00873B6C">
        <w:tab/>
        <w:t>If the 5G access stratum-based time synchronization service is allowed for the UE, the AMF provides the 5G access stratum time distribution indication to the NG-RAN so that it can provide 5G timing information to the UE.</w:t>
      </w:r>
    </w:p>
    <w:p w14:paraId="4C6864C3" w14:textId="77777777" w:rsidR="007B6EB9" w:rsidRPr="00873B6C" w:rsidRDefault="007B6EB9" w:rsidP="00695DF1">
      <w:pPr>
        <w:pStyle w:val="B1"/>
      </w:pPr>
      <w:r w:rsidRPr="00873B6C">
        <w:t>-</w:t>
      </w:r>
      <w:r w:rsidRPr="00873B6C">
        <w:tab/>
        <w:t>The AMF may provide a Uu time synchronization error budget to the NG-RAN (as described in clause 5.27.1.9). If the UE's subscription contains a Uu time synchronization error budget, then AMF sends it to NG-RAN. Otherwise, the AMF uses the pre-configured Uu time synchronization error budget and sends it to NG-RAN.</w:t>
      </w:r>
    </w:p>
    <w:p w14:paraId="723B605C" w14:textId="2B1290EE" w:rsidR="007B6EB9" w:rsidRPr="00873B6C" w:rsidRDefault="007B6EB9" w:rsidP="00695DF1">
      <w:pPr>
        <w:pStyle w:val="B1"/>
      </w:pPr>
      <w:r w:rsidRPr="00873B6C">
        <w:t>-</w:t>
      </w:r>
      <w:r w:rsidRPr="00873B6C">
        <w:tab/>
        <w:t>If the UE's subscription contains Coverage Area (defined as a list of TAs), the AMF configures the NG-RAN to provide the 5G timing information to UE only when the UE is in the Coverage Area</w:t>
      </w:r>
      <w:r w:rsidR="00022CB9" w:rsidRPr="00873B6C">
        <w:t xml:space="preserve"> as described in clause 5.27.1.10</w:t>
      </w:r>
      <w:r w:rsidRPr="00873B6C">
        <w:t>.</w:t>
      </w:r>
    </w:p>
    <w:p w14:paraId="7C35E35E" w14:textId="3DFC7953" w:rsidR="007B6EB9" w:rsidRPr="00873B6C" w:rsidRDefault="007B6EB9" w:rsidP="007B6EB9">
      <w:pPr>
        <w:pStyle w:val="B1"/>
      </w:pPr>
      <w:r w:rsidRPr="00873B6C">
        <w:t>-</w:t>
      </w:r>
      <w:r w:rsidRPr="00873B6C">
        <w:tab/>
        <w:t xml:space="preserve">If the AMF receives the start and stop times, then the AMF enables and disables the 5G access stratum time distribution indication to the NG-RAN according to the expiry of start and stop times if the UE is in </w:t>
      </w:r>
      <w:r w:rsidR="00511811" w:rsidRPr="00873B6C">
        <w:t xml:space="preserve">CM-CONNECTED </w:t>
      </w:r>
      <w:r w:rsidRPr="00873B6C">
        <w:t xml:space="preserve">state. If the UE is in </w:t>
      </w:r>
      <w:r w:rsidR="00511811" w:rsidRPr="00873B6C">
        <w:t xml:space="preserve">CM-IDLE </w:t>
      </w:r>
      <w:r w:rsidRPr="00873B6C">
        <w:t>state when a Start time condition is met, the AMF pages the UE and provides the 5G access stratum time distribution indication to NG-RAN as part of the subsequent service request procedure initiated by the UE in the response to the paging.</w:t>
      </w:r>
    </w:p>
    <w:p w14:paraId="0E390496" w14:textId="4A5C1CD6" w:rsidR="003A5CE6" w:rsidRPr="00873B6C" w:rsidRDefault="003A5CE6" w:rsidP="007B6EB9">
      <w:pPr>
        <w:pStyle w:val="B1"/>
      </w:pPr>
      <w:r w:rsidRPr="00873B6C">
        <w:t>-</w:t>
      </w:r>
      <w:r w:rsidRPr="00873B6C">
        <w:tab/>
        <w:t>If the AMF receives the clock quality detail level, then the AMF configures the NG-RAN to provide clock quality detail information reporting to UE as described in clause 5.27.1.12. The AMF may instruct the UE to reconnect to the network when the UE detects that the RAN timing synchronization status has changed while the UE is in RRC_INACTIVE or RRC_IDLE, as described in clause 5.27.1.12.</w:t>
      </w:r>
    </w:p>
    <w:p w14:paraId="58C3E559" w14:textId="485B9E16" w:rsidR="0022127D" w:rsidRPr="00873B6C" w:rsidRDefault="0022127D" w:rsidP="007B6EB9">
      <w:pPr>
        <w:pStyle w:val="B1"/>
      </w:pPr>
      <w:r w:rsidRPr="00873B6C">
        <w:t>-</w:t>
      </w:r>
      <w:r w:rsidRPr="00873B6C">
        <w:tab/>
        <w:t>If the AMF receives the same parameters both in the Access and Mobility Subscription data from UDM and in the AM Policy from PCF, the AMF shall use the value received from the AM policy.</w:t>
      </w:r>
    </w:p>
    <w:p w14:paraId="5E47B939" w14:textId="77777777" w:rsidR="007B6EB9" w:rsidRPr="00873B6C" w:rsidRDefault="007B6EB9" w:rsidP="00695DF1">
      <w:r w:rsidRPr="00873B6C">
        <w:t>The Time Synchronization Subscription data is the subscription data for the control of (g)PTP-based time distribution and 5G access stratum-based time distribution and includes the following information:</w:t>
      </w:r>
    </w:p>
    <w:p w14:paraId="277F6C25" w14:textId="77777777" w:rsidR="007B6EB9" w:rsidRPr="00873B6C" w:rsidRDefault="007B6EB9" w:rsidP="007B6EB9">
      <w:pPr>
        <w:pStyle w:val="B1"/>
      </w:pPr>
      <w:r w:rsidRPr="00873B6C">
        <w:t>-</w:t>
      </w:r>
      <w:r w:rsidRPr="00873B6C">
        <w:tab/>
        <w:t>the "AF request Authorization", indicating whether the UE is authorized for an AF-requested 5G access stratum-based time distribution and (g)PTP-based time distribution services. The indication is provided separately for each service:</w:t>
      </w:r>
    </w:p>
    <w:p w14:paraId="53B61DF9" w14:textId="77777777" w:rsidR="007B6EB9" w:rsidRPr="00873B6C" w:rsidRDefault="007B6EB9" w:rsidP="00695DF1">
      <w:pPr>
        <w:pStyle w:val="B2"/>
      </w:pPr>
      <w:r w:rsidRPr="00873B6C">
        <w:t>-</w:t>
      </w:r>
      <w:r w:rsidRPr="00873B6C">
        <w:tab/>
        <w:t>"allowed" or "not allowed" for (g)PTP based time synchronization service (per DNN/S-NSSAI and UE identity),</w:t>
      </w:r>
    </w:p>
    <w:p w14:paraId="35C99A98" w14:textId="77777777" w:rsidR="007B6EB9" w:rsidRPr="00873B6C" w:rsidRDefault="007B6EB9" w:rsidP="00695DF1">
      <w:pPr>
        <w:pStyle w:val="B2"/>
      </w:pPr>
      <w:r w:rsidRPr="00873B6C">
        <w:t>-</w:t>
      </w:r>
      <w:r w:rsidRPr="00873B6C">
        <w:tab/>
        <w:t>"allowed" or "not allowed" for ASTI based time synchronization services (per UE identity).</w:t>
      </w:r>
    </w:p>
    <w:p w14:paraId="3F8C536E" w14:textId="4DD6EEF3" w:rsidR="00A13197" w:rsidRPr="00873B6C" w:rsidRDefault="00A13197" w:rsidP="00745A3E">
      <w:pPr>
        <w:pStyle w:val="B2"/>
      </w:pPr>
      <w:r w:rsidRPr="00873B6C">
        <w:t>-</w:t>
      </w:r>
      <w:r w:rsidRPr="00873B6C">
        <w:tab/>
        <w:t>If the "AF request Authorization" is set to "allowed", the Time Synchronization Subscription data may contain additional information for</w:t>
      </w:r>
      <w:r w:rsidR="00500903" w:rsidRPr="00873B6C">
        <w:t xml:space="preserve"> authorization of</w:t>
      </w:r>
      <w:r w:rsidRPr="00873B6C">
        <w:t xml:space="preserve"> (g)PTP</w:t>
      </w:r>
      <w:r w:rsidR="00500903" w:rsidRPr="00873B6C">
        <w:t xml:space="preserve">- and </w:t>
      </w:r>
      <w:r w:rsidRPr="00873B6C">
        <w:t>ASTI</w:t>
      </w:r>
      <w:r w:rsidR="00500903" w:rsidRPr="00873B6C">
        <w:t>-</w:t>
      </w:r>
      <w:r w:rsidRPr="00873B6C">
        <w:t xml:space="preserve"> based time synchronization services</w:t>
      </w:r>
      <w:r w:rsidR="00500903" w:rsidRPr="00873B6C">
        <w:t>: this information is optional and may be provided separately for authorization of each service</w:t>
      </w:r>
      <w:r w:rsidRPr="00873B6C">
        <w:t>:</w:t>
      </w:r>
    </w:p>
    <w:p w14:paraId="38A8FAB5" w14:textId="26EDAE2F" w:rsidR="007B6EB9" w:rsidRPr="00873B6C" w:rsidRDefault="007B6EB9" w:rsidP="00745A3E">
      <w:pPr>
        <w:pStyle w:val="B3"/>
      </w:pPr>
      <w:r w:rsidRPr="00873B6C">
        <w:t>-</w:t>
      </w:r>
      <w:r w:rsidRPr="00873B6C">
        <w:tab/>
        <w:t>optionally, a list of TA(s) which specifies an area (a so</w:t>
      </w:r>
      <w:r w:rsidR="00A13197" w:rsidRPr="00873B6C">
        <w:t>-</w:t>
      </w:r>
      <w:r w:rsidRPr="00873B6C">
        <w:t>called</w:t>
      </w:r>
      <w:r w:rsidR="00F05BA4" w:rsidRPr="00873B6C">
        <w:t xml:space="preserve"> Authorized</w:t>
      </w:r>
      <w:r w:rsidRPr="00873B6C">
        <w:t xml:space="preserve"> Time Synchronization Coverage Area) in which an AF may request time synchronization services</w:t>
      </w:r>
      <w:r w:rsidR="00A13197" w:rsidRPr="00873B6C">
        <w:t>;</w:t>
      </w:r>
    </w:p>
    <w:p w14:paraId="286C372B" w14:textId="073FF740" w:rsidR="0022127D" w:rsidRPr="00873B6C" w:rsidRDefault="0022127D" w:rsidP="00745A3E">
      <w:pPr>
        <w:pStyle w:val="B3"/>
      </w:pPr>
      <w:r w:rsidRPr="00873B6C">
        <w:t>-</w:t>
      </w:r>
      <w:r w:rsidRPr="00873B6C">
        <w:tab/>
        <w:t>optionally, one or more periods of authorized start and stop times, which indicates the allowed time period during which an AF may request time synchronization services</w:t>
      </w:r>
      <w:r w:rsidR="00A13197" w:rsidRPr="00873B6C">
        <w:t>;</w:t>
      </w:r>
    </w:p>
    <w:p w14:paraId="12C9FDA2" w14:textId="3BFD123D" w:rsidR="0022127D" w:rsidRPr="00873B6C" w:rsidRDefault="0022127D" w:rsidP="00745A3E">
      <w:pPr>
        <w:pStyle w:val="B3"/>
      </w:pPr>
      <w:r w:rsidRPr="00873B6C">
        <w:t>-</w:t>
      </w:r>
      <w:r w:rsidRPr="00873B6C">
        <w:tab/>
        <w:t>optionally, authorized Uu time synchronization error budget, which indicates the limit the AF may request.</w:t>
      </w:r>
    </w:p>
    <w:p w14:paraId="26D91ACD" w14:textId="77777777" w:rsidR="00965644" w:rsidRPr="00873B6C" w:rsidRDefault="00965644" w:rsidP="00745A3E">
      <w:pPr>
        <w:pStyle w:val="B3"/>
      </w:pPr>
      <w:r w:rsidRPr="00873B6C">
        <w:t>-</w:t>
      </w:r>
      <w:r w:rsidRPr="00873B6C">
        <w:tab/>
        <w:t>optionally, "allowed" or "not allowed" for clock quality detail level equals to "clock quality metrics", which indicates whether clock quality metrics information may be provided to the UE.</w:t>
      </w:r>
    </w:p>
    <w:p w14:paraId="70C745C1" w14:textId="77777777" w:rsidR="00965644" w:rsidRPr="00873B6C" w:rsidRDefault="00965644" w:rsidP="00745A3E">
      <w:pPr>
        <w:pStyle w:val="B3"/>
      </w:pPr>
      <w:r w:rsidRPr="00873B6C">
        <w:t>-</w:t>
      </w:r>
      <w:r w:rsidRPr="00873B6C">
        <w:tab/>
        <w:t>optionally, "allowed" or "not allowed" for clock quality detail level equals to "acceptable/not acceptable indication", which indicates whether an acceptable/not acceptable indication may be provided to the UE.</w:t>
      </w:r>
    </w:p>
    <w:p w14:paraId="37B14E82" w14:textId="77777777" w:rsidR="00965644" w:rsidRPr="00873B6C" w:rsidRDefault="00965644" w:rsidP="00745A3E">
      <w:pPr>
        <w:pStyle w:val="B3"/>
      </w:pPr>
      <w:r w:rsidRPr="00873B6C">
        <w:t>-</w:t>
      </w:r>
      <w:r w:rsidRPr="00873B6C">
        <w:tab/>
        <w:t>optionally, one or more sets of clock quality acceptance criteria for the UE using the TSS attributes as defined in clause 5.27.1.12.</w:t>
      </w:r>
    </w:p>
    <w:p w14:paraId="16D0AA7C" w14:textId="6329E719" w:rsidR="00965644" w:rsidRPr="00873B6C" w:rsidRDefault="00965644" w:rsidP="00745A3E">
      <w:pPr>
        <w:pStyle w:val="NO"/>
      </w:pPr>
      <w:r w:rsidRPr="00873B6C">
        <w:t>NOTE 1:</w:t>
      </w:r>
      <w:r w:rsidRPr="00873B6C">
        <w:tab/>
        <w:t>If the clock quality detail level set to "acceptable/not acceptable indication" is "allowed", clock quality acceptance criteria need to be provided.</w:t>
      </w:r>
    </w:p>
    <w:p w14:paraId="2FC29391" w14:textId="1274A58F" w:rsidR="007B6EB9" w:rsidRPr="00873B6C" w:rsidRDefault="007B6EB9" w:rsidP="007B6EB9">
      <w:pPr>
        <w:pStyle w:val="B1"/>
      </w:pPr>
      <w:r w:rsidRPr="00873B6C">
        <w:lastRenderedPageBreak/>
        <w:t>-</w:t>
      </w:r>
      <w:r w:rsidRPr="00873B6C">
        <w:tab/>
        <w:t>one or more Subscribed time synchronization service ID(s), each containing the DNN/S-NSSAI and a reference to a PTP instance configuration pre-configured at the TSCTSF (e.g. PTP profile, PTP domain, etc.):</w:t>
      </w:r>
    </w:p>
    <w:p w14:paraId="1B905C2D" w14:textId="77777777" w:rsidR="007B6EB9" w:rsidRPr="00873B6C" w:rsidRDefault="007B6EB9" w:rsidP="00695DF1">
      <w:pPr>
        <w:pStyle w:val="B2"/>
      </w:pPr>
      <w:r w:rsidRPr="00873B6C">
        <w:t>-</w:t>
      </w:r>
      <w:r w:rsidRPr="00873B6C">
        <w:tab/>
        <w:t>optionally, for each PTP instance configuration, one or more periods of start and stop times defining active times of time synchronization service for the PTP instance.</w:t>
      </w:r>
    </w:p>
    <w:p w14:paraId="50F7E4DE" w14:textId="77777777" w:rsidR="007B6EB9" w:rsidRPr="00873B6C" w:rsidRDefault="007B6EB9" w:rsidP="00695DF1">
      <w:pPr>
        <w:pStyle w:val="B2"/>
      </w:pPr>
      <w:r w:rsidRPr="00873B6C">
        <w:t>-</w:t>
      </w:r>
      <w:r w:rsidRPr="00873B6C">
        <w:tab/>
        <w:t>optionally, for each PTP instance configuration, a Time Synchronization Coverage Area defining a list of TAs where the (g)PTP-based time synchronization is available for the UEs in the PTP instance.</w:t>
      </w:r>
    </w:p>
    <w:p w14:paraId="03986A9D" w14:textId="749ADD51" w:rsidR="007B6EB9" w:rsidRPr="00873B6C" w:rsidRDefault="007B6EB9" w:rsidP="00972E70">
      <w:pPr>
        <w:pStyle w:val="B2"/>
      </w:pPr>
      <w:r w:rsidRPr="00873B6C">
        <w:t>-</w:t>
      </w:r>
      <w:r w:rsidRPr="00873B6C">
        <w:tab/>
        <w:t>optionally,</w:t>
      </w:r>
      <w:r w:rsidR="0022127D" w:rsidRPr="00873B6C">
        <w:t xml:space="preserve"> for each PTP instance configuration,</w:t>
      </w:r>
      <w:r w:rsidRPr="00873B6C">
        <w:t xml:space="preserve"> Uu time synchronization error budget.</w:t>
      </w:r>
    </w:p>
    <w:p w14:paraId="79022201" w14:textId="04C5A4AE" w:rsidR="007B6EB9" w:rsidRPr="00873B6C" w:rsidRDefault="007B6EB9" w:rsidP="007B6EB9">
      <w:r w:rsidRPr="00873B6C">
        <w:t>The TSCTSF retrieves the Time Synchronization Subscription data from UDM.</w:t>
      </w:r>
      <w:r w:rsidR="0022127D" w:rsidRPr="00873B6C">
        <w:t xml:space="preserve"> If the TSCTSF receives the Time Synchronization Subscription data for a UE, the</w:t>
      </w:r>
      <w:r w:rsidRPr="00873B6C">
        <w:t xml:space="preserve"> TSCTSF controls the Time Synchronization Service</w:t>
      </w:r>
      <w:r w:rsidR="0022127D" w:rsidRPr="00873B6C">
        <w:t xml:space="preserve"> including (g)PTP-based time distribution and 5G access stratum-based time distribution</w:t>
      </w:r>
      <w:r w:rsidRPr="00873B6C">
        <w:t>:</w:t>
      </w:r>
    </w:p>
    <w:p w14:paraId="6611BDF0" w14:textId="45ADFA18" w:rsidR="00A13197" w:rsidRPr="00873B6C" w:rsidRDefault="007B6EB9" w:rsidP="00A13197">
      <w:pPr>
        <w:pStyle w:val="B1"/>
      </w:pPr>
      <w:r w:rsidRPr="00873B6C">
        <w:t>-</w:t>
      </w:r>
      <w:r w:rsidRPr="00873B6C">
        <w:tab/>
        <w:t>The TSCTSF retrieves the Time Synchronization Subscription data from the UDM when the TSCTSF receives an AF request for the time synchronization service (either ASTI or (g)PTP)</w:t>
      </w:r>
      <w:r w:rsidR="00A13197" w:rsidRPr="00873B6C">
        <w:t xml:space="preserve">. </w:t>
      </w:r>
      <w:r w:rsidRPr="00873B6C">
        <w:t>According to the "AF request Authorization" in the UE's</w:t>
      </w:r>
      <w:r w:rsidR="0022127D" w:rsidRPr="00873B6C">
        <w:t xml:space="preserve"> Time Synchronization</w:t>
      </w:r>
      <w:r w:rsidRPr="00873B6C">
        <w:t xml:space="preserve"> </w:t>
      </w:r>
      <w:r w:rsidR="0022127D" w:rsidRPr="00873B6C">
        <w:t>S</w:t>
      </w:r>
      <w:r w:rsidRPr="00873B6C">
        <w:t>ubscription data, the TSCTSF determines whether the UE is authorized for an AF-requested time synchronization service</w:t>
      </w:r>
      <w:r w:rsidR="00A13197" w:rsidRPr="00873B6C">
        <w:t>:</w:t>
      </w:r>
    </w:p>
    <w:p w14:paraId="68AE9DA5" w14:textId="2A887500" w:rsidR="007B6EB9" w:rsidRPr="00873B6C" w:rsidRDefault="00A13197" w:rsidP="00A13197">
      <w:pPr>
        <w:pStyle w:val="B2"/>
      </w:pPr>
      <w:r w:rsidRPr="00873B6C">
        <w:t>-</w:t>
      </w:r>
      <w:r w:rsidRPr="00873B6C">
        <w:tab/>
      </w:r>
      <w:r w:rsidR="0022127D" w:rsidRPr="00873B6C">
        <w:t xml:space="preserve">If </w:t>
      </w:r>
      <w:r w:rsidR="007B6EB9" w:rsidRPr="00873B6C">
        <w:t>the UE's</w:t>
      </w:r>
      <w:r w:rsidR="0022127D" w:rsidRPr="00873B6C">
        <w:t xml:space="preserve"> Time Synchronization</w:t>
      </w:r>
      <w:r w:rsidR="007B6EB9" w:rsidRPr="00873B6C">
        <w:t xml:space="preserve"> </w:t>
      </w:r>
      <w:r w:rsidR="0022127D" w:rsidRPr="00873B6C">
        <w:t>S</w:t>
      </w:r>
      <w:r w:rsidR="007B6EB9" w:rsidRPr="00873B6C">
        <w:t>ubscription data contains a</w:t>
      </w:r>
      <w:r w:rsidR="00F05BA4" w:rsidRPr="00873B6C">
        <w:t>n Authorized</w:t>
      </w:r>
      <w:r w:rsidR="007B6EB9" w:rsidRPr="00873B6C">
        <w:t xml:space="preserve"> Time Synchronization Coverage Area (i.e</w:t>
      </w:r>
      <w:r w:rsidR="006514B8" w:rsidRPr="00873B6C">
        <w:t>.</w:t>
      </w:r>
      <w:r w:rsidR="007B6EB9" w:rsidRPr="00873B6C">
        <w:t xml:space="preserve"> a list of TA(s) defining the restricted area for AF request),</w:t>
      </w:r>
      <w:r w:rsidRPr="00873B6C">
        <w:t xml:space="preserve"> TSCTSF checks</w:t>
      </w:r>
      <w:r w:rsidR="007B6EB9" w:rsidRPr="00873B6C">
        <w:t xml:space="preserve"> whether the</w:t>
      </w:r>
      <w:r w:rsidRPr="00873B6C">
        <w:t xml:space="preserve"> AF requested Coverage Area satisfies</w:t>
      </w:r>
      <w:r w:rsidR="007B6EB9" w:rsidRPr="00873B6C">
        <w:t xml:space="preserve"> the </w:t>
      </w:r>
      <w:r w:rsidR="00F05BA4" w:rsidRPr="00873B6C">
        <w:t xml:space="preserve">authorized </w:t>
      </w:r>
      <w:r w:rsidR="007B6EB9" w:rsidRPr="00873B6C">
        <w:t>area</w:t>
      </w:r>
      <w:r w:rsidRPr="00873B6C">
        <w:t>:</w:t>
      </w:r>
      <w:r w:rsidR="00F05BA4" w:rsidRPr="00873B6C">
        <w:t xml:space="preserve"> If the requested Coverage Area (see clause 5.27.1.10) is within the Authorized Time Synchronization Coverage Area, the TSCTSF uses the requested Coverage Area. If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w:t>
      </w:r>
      <w:r w:rsidRPr="00873B6C">
        <w:t xml:space="preserve">intersection </w:t>
      </w:r>
      <w:r w:rsidR="00F05BA4" w:rsidRPr="00873B6C">
        <w:t>of them. If there is no overlap between them, the TSCTSF shall reject the AF request.</w:t>
      </w:r>
    </w:p>
    <w:p w14:paraId="19169FF2" w14:textId="4999B71E" w:rsidR="00A13197" w:rsidRPr="00873B6C" w:rsidRDefault="00A13197" w:rsidP="00A13197">
      <w:pPr>
        <w:pStyle w:val="B2"/>
      </w:pPr>
      <w:r w:rsidRPr="00873B6C">
        <w:t>-</w:t>
      </w:r>
      <w:r w:rsidRPr="00873B6C">
        <w:tab/>
        <w:t>If the AF requested Coverage Area satisfies the authorized area totally or partly, TSCTSF notifies to AF with the Time Synchronization Service information based on the Authorized Time Synchronization Coverage Area. TSCTSF subscribes to UE's presence in the Area of Interest at the discovered AMF(s), if the UE(s) moves out of the</w:t>
      </w:r>
      <w:r w:rsidR="00D72F02" w:rsidRPr="00873B6C">
        <w:t xml:space="preserve"> Time Synchronization Coverage Area requested by AF or updated by TSCTSF</w:t>
      </w:r>
      <w:r w:rsidRPr="00873B6C">
        <w:t>, the TSCTSF shall disable Time Synchronization Service and notifies to AF.</w:t>
      </w:r>
    </w:p>
    <w:p w14:paraId="028B89B8" w14:textId="77777777" w:rsidR="0022127D" w:rsidRPr="00873B6C" w:rsidRDefault="0022127D" w:rsidP="00972E70">
      <w:pPr>
        <w:pStyle w:val="B2"/>
      </w:pPr>
      <w:r w:rsidRPr="00873B6C">
        <w:t>-</w:t>
      </w:r>
      <w:r w:rsidRPr="00873B6C">
        <w:tab/>
        <w:t>If the UE's Time Synchronization Subscription data contains authorized Uu time synchronization error budget, the TSCTSF checks whether the Uu time synchronization error budget derived from AF request satisfies (i.e. equal or larger than) the authorized Uu time synchronization error budget.</w:t>
      </w:r>
    </w:p>
    <w:p w14:paraId="77C5C15F" w14:textId="4994B9BE" w:rsidR="0022127D" w:rsidRPr="00873B6C" w:rsidRDefault="0022127D" w:rsidP="00972E70">
      <w:pPr>
        <w:pStyle w:val="B2"/>
      </w:pPr>
      <w:r w:rsidRPr="00873B6C">
        <w:t>-</w:t>
      </w:r>
      <w:r w:rsidRPr="00873B6C">
        <w:tab/>
        <w:t>If the UE's Time Synchronization Subscription data contains periods of authorized start and stop times, the TSCTSF checks whether the AF requested temporal validity condition satisfies (i.e. within) any of the periods of authorized start and stop times.</w:t>
      </w:r>
      <w:r w:rsidR="00A13197" w:rsidRPr="00873B6C">
        <w:t xml:space="preserve"> If such period is found, the TSCTSF uses the start and stop times of the AF request.</w:t>
      </w:r>
    </w:p>
    <w:p w14:paraId="3F020EA9" w14:textId="77777777" w:rsidR="00965644" w:rsidRPr="00873B6C" w:rsidRDefault="00965644" w:rsidP="005A13C0">
      <w:pPr>
        <w:pStyle w:val="B2"/>
      </w:pPr>
      <w:r w:rsidRPr="00873B6C">
        <w:t>-</w:t>
      </w:r>
      <w:r w:rsidRPr="00873B6C">
        <w:tab/>
        <w:t>If the UE's Time Synchronization Subscription data contains a clock quality detail level (and clock quality acceptance criteria, if applicable), the TSCTSF checks whether the AF-requested clock quality information to be reported complies with the authorized clock quality detail level and the clock quality acceptance criteria (if applicable) in the UE's Time Synchronization Subscription data.</w:t>
      </w:r>
    </w:p>
    <w:p w14:paraId="3BE25AE2" w14:textId="77777777" w:rsidR="00965644" w:rsidRPr="00873B6C" w:rsidRDefault="00965644" w:rsidP="005A13C0">
      <w:pPr>
        <w:pStyle w:val="B2"/>
      </w:pPr>
      <w:r w:rsidRPr="00873B6C">
        <w:tab/>
        <w:t>Each parameter in the AF-requested clock quality is evaluated individually, if the TSCTSF determines that at least one parameter is "not acceptable", the TSCTSF rejects the AF request.</w:t>
      </w:r>
    </w:p>
    <w:p w14:paraId="31083987" w14:textId="77777777" w:rsidR="00965644" w:rsidRPr="00873B6C" w:rsidRDefault="00965644" w:rsidP="005A13C0">
      <w:pPr>
        <w:pStyle w:val="B2"/>
      </w:pPr>
      <w:r w:rsidRPr="00873B6C">
        <w:tab/>
        <w:t>If the "Traceable to GNSS" in the subscription data is "Yes", the AF request for Traceable to GNSS is allowed. Otherwise, the AF request for Traceable to GNSS is not allowed.</w:t>
      </w:r>
    </w:p>
    <w:p w14:paraId="6143AF36" w14:textId="77777777" w:rsidR="00965644" w:rsidRPr="00873B6C" w:rsidRDefault="00965644" w:rsidP="005A13C0">
      <w:pPr>
        <w:pStyle w:val="B2"/>
      </w:pPr>
      <w:r w:rsidRPr="00873B6C">
        <w:tab/>
        <w:t>If the "Traceable to UTC" in the subscription data is "Yes", the AF request for Traceable to UTC is allowed. Otherwise, the AF request for Traceable to UTC is not allowed.</w:t>
      </w:r>
    </w:p>
    <w:p w14:paraId="317D3847" w14:textId="77777777" w:rsidR="00965644" w:rsidRPr="00873B6C" w:rsidRDefault="00965644" w:rsidP="005A13C0">
      <w:pPr>
        <w:pStyle w:val="B2"/>
      </w:pPr>
      <w:r w:rsidRPr="00873B6C">
        <w:tab/>
        <w:t>For Frequency stability and Clock Accuracy, AF is not allowed to request value which is lower than value in subscription data.</w:t>
      </w:r>
    </w:p>
    <w:p w14:paraId="0997E6A3" w14:textId="692A4DC9" w:rsidR="00A13197" w:rsidRPr="00873B6C" w:rsidRDefault="00965644" w:rsidP="005A13C0">
      <w:pPr>
        <w:pStyle w:val="B2"/>
      </w:pPr>
      <w:r w:rsidRPr="00873B6C">
        <w:t>-</w:t>
      </w:r>
      <w:r w:rsidRPr="00873B6C">
        <w:tab/>
        <w:t>If the AF request is authorized, the TSCTSF proceeds as specified in clause 5.27.1.8 and in TS 23.502 [3]. Otherwise, the TSCTSF rejects the AF request.</w:t>
      </w:r>
    </w:p>
    <w:p w14:paraId="5EF9B558" w14:textId="0345032F" w:rsidR="007B6EB9" w:rsidRPr="00873B6C" w:rsidRDefault="007B6EB9" w:rsidP="00695DF1">
      <w:pPr>
        <w:pStyle w:val="B1"/>
      </w:pPr>
      <w:r w:rsidRPr="00873B6C">
        <w:lastRenderedPageBreak/>
        <w:t>-</w:t>
      </w:r>
      <w:r w:rsidRPr="00873B6C">
        <w:tab/>
        <w:t>The TSCTSF retrieves the Time Synchronization Subscription data from the UDM when it receives notification from the PCF that a UE has established a PDU Session that is potentially impacted by (g)PTP-based time synchronization service</w:t>
      </w:r>
      <w:r w:rsidR="0022127D" w:rsidRPr="00873B6C">
        <w:t>:</w:t>
      </w:r>
    </w:p>
    <w:p w14:paraId="63B164D9" w14:textId="29A1622D" w:rsidR="007B6EB9" w:rsidRPr="00873B6C" w:rsidRDefault="007B6EB9" w:rsidP="00695DF1">
      <w:pPr>
        <w:pStyle w:val="B2"/>
      </w:pPr>
      <w:r w:rsidRPr="00873B6C">
        <w:t>-</w:t>
      </w:r>
      <w:r w:rsidRPr="00873B6C">
        <w:tab/>
        <w:t>The TSCTSF retrieves the PTP instance configurations referenced from the "Subscribed time synchronization service ID(s)". The PTP instance configurations are stored locally in the TSCTSF. The TSCTSF determines if one or more of the PTP instance configurations match with the DNN/S-NSSAI of the given PDU Session. If no PTP instance exists for the given PTP instance configuration, the TSCTSF initializes the PTP instance in 5GS as described in clause K.2.2.</w:t>
      </w:r>
    </w:p>
    <w:p w14:paraId="14740B53" w14:textId="774B10CE" w:rsidR="007B6EB9" w:rsidRPr="00873B6C" w:rsidRDefault="007B6EB9" w:rsidP="00695DF1">
      <w:pPr>
        <w:pStyle w:val="B2"/>
      </w:pPr>
      <w:r w:rsidRPr="00873B6C">
        <w:t>-</w:t>
      </w:r>
      <w:r w:rsidRPr="00873B6C">
        <w:tab/>
        <w:t>The TSCTSF configures a PTP port in DS-TT and adds it to the corresponding PTP instance in NW-TT as described in clause K.2.2.</w:t>
      </w:r>
    </w:p>
    <w:p w14:paraId="6209A7A2" w14:textId="1663D1D3" w:rsidR="0022127D" w:rsidRPr="00873B6C" w:rsidRDefault="0022127D" w:rsidP="00695DF1">
      <w:pPr>
        <w:pStyle w:val="B2"/>
      </w:pPr>
      <w:r w:rsidRPr="00873B6C">
        <w:t>-</w:t>
      </w:r>
      <w:r w:rsidRPr="00873B6C">
        <w:tab/>
        <w:t>If the PTP instance configuration referenced by UE's Time Synchronization Subscription data contains an Uu time synchronization error budget, then the TSCTSF uses it to derive an Uu time synchronization error budget available for the NG-RAN to provide the 5G access stratum time for the UE as specified in clause 5.27.1.9.</w:t>
      </w:r>
    </w:p>
    <w:p w14:paraId="17BC7E93" w14:textId="2912E7BF" w:rsidR="007B6EB9" w:rsidRPr="00873B6C" w:rsidRDefault="007B6EB9" w:rsidP="00695DF1">
      <w:pPr>
        <w:pStyle w:val="B2"/>
      </w:pPr>
      <w:r w:rsidRPr="00873B6C">
        <w:t>-</w:t>
      </w:r>
      <w:r w:rsidRPr="00873B6C">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w:t>
      </w:r>
      <w:r w:rsidR="00D72F02" w:rsidRPr="00873B6C">
        <w:t xml:space="preserve"> removes the PTP port in DS-TT from the corresponding</w:t>
      </w:r>
      <w:r w:rsidRPr="00873B6C">
        <w:t xml:space="preserve"> PTP instance</w:t>
      </w:r>
      <w:r w:rsidR="00D72F02" w:rsidRPr="00873B6C">
        <w:t xml:space="preserve"> as specified in clause 4.15.9.3 of TS 23.502 [3]</w:t>
      </w:r>
      <w:r w:rsidRPr="00873B6C">
        <w:t>.</w:t>
      </w:r>
    </w:p>
    <w:p w14:paraId="4B985C4F" w14:textId="77777777" w:rsidR="007B6EB9" w:rsidRPr="00873B6C" w:rsidRDefault="007B6EB9" w:rsidP="00695DF1">
      <w:pPr>
        <w:pStyle w:val="B2"/>
      </w:pPr>
      <w:r w:rsidRPr="00873B6C">
        <w:t>-</w:t>
      </w:r>
      <w:r w:rsidRPr="00873B6C">
        <w:tab/>
        <w:t>If the PTP instance configuration referenced by the Time Synchronization Subscription data for the UE contains a Time Synchronization Coverage Area, the TSCTSF subscribes to UE's Presence in Area(s) of Interest corresponding to the Time Synchronization Coverage Area at the discovered AMF(s). When the TSCTSF determines that the UE has moved inside or outside of the Time Synchronization Coverage Area, the TSCTSF adds or temporarily removes the PTP port in DS-TT from the corresponding PTP instance.</w:t>
      </w:r>
    </w:p>
    <w:p w14:paraId="1EF93B8F" w14:textId="34DE6E44" w:rsidR="003A5CE6" w:rsidRPr="00873B6C" w:rsidRDefault="003A5CE6" w:rsidP="003A5CE6">
      <w:pPr>
        <w:pStyle w:val="Heading4"/>
      </w:pPr>
      <w:bookmarkStart w:id="3966" w:name="_CR5_27_1_12"/>
      <w:bookmarkStart w:id="3967" w:name="_Toc201157472"/>
      <w:bookmarkEnd w:id="3966"/>
      <w:r w:rsidRPr="00873B6C">
        <w:t>5.27.1.12</w:t>
      </w:r>
      <w:r w:rsidRPr="00873B6C">
        <w:tab/>
        <w:t>Support for network timing synchronization status monitoring</w:t>
      </w:r>
      <w:bookmarkEnd w:id="3967"/>
    </w:p>
    <w:p w14:paraId="68613D14" w14:textId="7F905E8E" w:rsidR="003A5CE6" w:rsidRPr="00873B6C" w:rsidRDefault="003A5CE6" w:rsidP="003A5CE6">
      <w:r w:rsidRPr="00873B6C">
        <w:t>While the time synchronization service is offered by the 5GS, based on 5G access stratum-based time distribution or (g)PTP-based time distribution, the network timing synchronization status of the nodes involved in the operation (e.g.</w:t>
      </w:r>
      <w:r w:rsidR="00424087" w:rsidRPr="00873B6C">
        <w:t xml:space="preserve"> gNBs</w:t>
      </w:r>
      <w:r w:rsidRPr="00873B6C">
        <w:t xml:space="preserve"> and/or UPF/NW-TTs) may change. </w:t>
      </w:r>
      <w:r w:rsidR="00424087" w:rsidRPr="00873B6C">
        <w:t xml:space="preserve">gNBs </w:t>
      </w:r>
      <w:r w:rsidRPr="00873B6C">
        <w:t>and UPF/NW-TT can detect timing synchronization degradation or improvement locally. The support for network timing synchronization status monitoring enables the 5GS to modify time synchronization service for a UE or a group of UEs depending on the current synchronization status and notify service updates. There may be three consumers of this information:</w:t>
      </w:r>
    </w:p>
    <w:p w14:paraId="247F44D5" w14:textId="069226F1" w:rsidR="003A5CE6" w:rsidRPr="00873B6C" w:rsidRDefault="003A5CE6" w:rsidP="00972E70">
      <w:pPr>
        <w:pStyle w:val="B1"/>
      </w:pPr>
      <w:r w:rsidRPr="00873B6C">
        <w:t>-</w:t>
      </w:r>
      <w:r w:rsidRPr="00873B6C">
        <w:tab/>
        <w:t>TSCTSF may receive node-level information about timing synchronization status from</w:t>
      </w:r>
      <w:r w:rsidR="00424087" w:rsidRPr="00873B6C">
        <w:t xml:space="preserve"> gNB</w:t>
      </w:r>
      <w:r w:rsidRPr="00873B6C">
        <w:t xml:space="preserve"> and/or UPF/NW-TT directly from OAM or alternatively, if supported by a node, using control plane signalling at node level. Node level signalling uses UMIC for UPF/NW-TT case and an AMF service to report N2 node level information for</w:t>
      </w:r>
      <w:r w:rsidR="00424087" w:rsidRPr="00873B6C">
        <w:t xml:space="preserve"> the gNB</w:t>
      </w:r>
      <w:r w:rsidRPr="00873B6C">
        <w:t xml:space="preserve"> case.</w:t>
      </w:r>
      <w:r w:rsidR="00424087" w:rsidRPr="00873B6C">
        <w:t xml:space="preserve"> In the latter case, the</w:t>
      </w:r>
      <w:r w:rsidR="00F13E92" w:rsidRPr="00873B6C">
        <w:t xml:space="preserve"> TSCTSF may provide a list of gNB IDs or a list of TAs in the subscription request for RAN timing synchronization status reporting</w:t>
      </w:r>
      <w:r w:rsidR="00472CD7" w:rsidRPr="00873B6C">
        <w:t xml:space="preserve"> and</w:t>
      </w:r>
      <w:r w:rsidR="00F13E92" w:rsidRPr="00873B6C">
        <w:t xml:space="preserve"> the</w:t>
      </w:r>
      <w:r w:rsidR="00424087" w:rsidRPr="00873B6C">
        <w:t xml:space="preserve"> AMF controls the gNB node level reporting and subscription using NGAP messages (see TS 38.413 [34]).</w:t>
      </w:r>
    </w:p>
    <w:p w14:paraId="20A2BCF9" w14:textId="77777777" w:rsidR="003A5CE6" w:rsidRPr="00873B6C" w:rsidRDefault="003A5CE6" w:rsidP="00972E70">
      <w:pPr>
        <w:pStyle w:val="B1"/>
      </w:pPr>
      <w:r w:rsidRPr="00873B6C">
        <w:t>-</w:t>
      </w:r>
      <w:r w:rsidRPr="00873B6C">
        <w:tab/>
        <w:t>AF may subscribe to time synchronization status notifications for a UE or group of UEs for which the AF requests or has requested time synchronization service (for 5G access stratum time distribution or (g)PTP services).</w:t>
      </w:r>
    </w:p>
    <w:p w14:paraId="21E4F0FB" w14:textId="7ADB33B2" w:rsidR="003A5CE6" w:rsidRPr="00873B6C" w:rsidRDefault="003A5CE6" w:rsidP="00972E70">
      <w:pPr>
        <w:pStyle w:val="B1"/>
      </w:pPr>
      <w:r w:rsidRPr="00873B6C">
        <w:t>-</w:t>
      </w:r>
      <w:r w:rsidRPr="00873B6C">
        <w:tab/>
        <w:t>For 5G access stratum time synchronization service, the UE may receive clock quality information from the</w:t>
      </w:r>
      <w:r w:rsidR="00424087" w:rsidRPr="00873B6C">
        <w:t xml:space="preserve"> gNB</w:t>
      </w:r>
      <w:r w:rsidRPr="00873B6C">
        <w:t xml:space="preserve"> based on UE subscription data stored in the UDM (see clause 5.27.1.11) or AF request for clock quality reporting to the UE.</w:t>
      </w:r>
    </w:p>
    <w:p w14:paraId="5C3CFC5A" w14:textId="555148CD" w:rsidR="00965644" w:rsidRPr="00873B6C" w:rsidRDefault="003A5CE6" w:rsidP="003A5CE6">
      <w:r w:rsidRPr="00873B6C">
        <w:t>When activating time synchronization for a UE, TSCTSF</w:t>
      </w:r>
      <w:r w:rsidR="00541AF2" w:rsidRPr="00873B6C">
        <w:t xml:space="preserve"> forwards the clock quality detail level (if available) to</w:t>
      </w:r>
      <w:r w:rsidRPr="00873B6C">
        <w:t xml:space="preserve"> the AMF (via PCF using AM </w:t>
      </w:r>
      <w:r w:rsidR="00965644" w:rsidRPr="00873B6C">
        <w:t>P</w:t>
      </w:r>
      <w:r w:rsidRPr="00873B6C">
        <w:t>olicy</w:t>
      </w:r>
      <w:r w:rsidR="00965644" w:rsidRPr="00873B6C">
        <w:t xml:space="preserve"> Association Modification</w:t>
      </w:r>
      <w:r w:rsidRPr="00873B6C">
        <w:t>)</w:t>
      </w:r>
      <w:r w:rsidR="00541AF2" w:rsidRPr="00873B6C">
        <w:t>.</w:t>
      </w:r>
    </w:p>
    <w:p w14:paraId="7D6C19FD" w14:textId="33C4D686" w:rsidR="003A5CE6" w:rsidRPr="00873B6C" w:rsidRDefault="00965644" w:rsidP="003A5CE6">
      <w:r w:rsidRPr="00873B6C">
        <w:t xml:space="preserve">If the UE indicates its support for reconnection to the network due to changes in RAN timing synchronization status as specified in clause 5.4.4a and the AMF receives Clock Quality Reporting Control Information (CQRCI) either from TSCTSF via PCF or from the UDM as part of the subscription data, the </w:t>
      </w:r>
      <w:r w:rsidR="00541AF2" w:rsidRPr="00873B6C">
        <w:t>AMF</w:t>
      </w:r>
      <w:r w:rsidR="003A5CE6" w:rsidRPr="00873B6C">
        <w:t xml:space="preserve"> instruct</w:t>
      </w:r>
      <w:r w:rsidR="00541AF2" w:rsidRPr="00873B6C">
        <w:t>s</w:t>
      </w:r>
      <w:r w:rsidR="003A5CE6" w:rsidRPr="00873B6C">
        <w:t xml:space="preserve"> the UE to transition to </w:t>
      </w:r>
      <w:r w:rsidR="00541AF2" w:rsidRPr="00873B6C">
        <w:t xml:space="preserve">the </w:t>
      </w:r>
      <w:r w:rsidR="003A5CE6" w:rsidRPr="00873B6C">
        <w:t>RRC</w:t>
      </w:r>
      <w:r w:rsidR="00541AF2" w:rsidRPr="00873B6C">
        <w:t>_</w:t>
      </w:r>
      <w:r w:rsidR="003A5CE6" w:rsidRPr="00873B6C">
        <w:t>CONNECTED</w:t>
      </w:r>
      <w:r w:rsidR="00541AF2" w:rsidRPr="00873B6C">
        <w:t xml:space="preserve"> state</w:t>
      </w:r>
      <w:r w:rsidR="003A5CE6" w:rsidRPr="00873B6C">
        <w:t xml:space="preserve"> when the UE detects that the </w:t>
      </w:r>
      <w:r w:rsidR="00541AF2" w:rsidRPr="00873B6C">
        <w:t xml:space="preserve">gNB </w:t>
      </w:r>
      <w:r w:rsidR="003A5CE6" w:rsidRPr="00873B6C">
        <w:t>timing synchronization status has changed while the UE is in</w:t>
      </w:r>
      <w:r w:rsidR="00541AF2" w:rsidRPr="00873B6C">
        <w:t xml:space="preserve"> the</w:t>
      </w:r>
      <w:r w:rsidR="003A5CE6" w:rsidRPr="00873B6C">
        <w:t xml:space="preserve"> RRC_INACTIVE or RRC_IDLE state.</w:t>
      </w:r>
      <w:r w:rsidR="00541AF2" w:rsidRPr="00873B6C">
        <w:t xml:space="preserve"> When the UE wants to access the 5GS, the UE shall perform Unified Access Control as defined in TS 38.331 [28].</w:t>
      </w:r>
    </w:p>
    <w:p w14:paraId="560F80C8" w14:textId="5F2BCA7E" w:rsidR="00C62779" w:rsidRPr="00873B6C" w:rsidRDefault="00541AF2" w:rsidP="003A5CE6">
      <w:r w:rsidRPr="00873B6C">
        <w:lastRenderedPageBreak/>
        <w:t>gNBs</w:t>
      </w:r>
      <w:r w:rsidR="004D6126" w:rsidRPr="00873B6C">
        <w:t xml:space="preserve"> and TSCTSF</w:t>
      </w:r>
      <w:r w:rsidRPr="00873B6C">
        <w:t xml:space="preserve"> </w:t>
      </w:r>
      <w:r w:rsidR="003A5CE6" w:rsidRPr="00873B6C">
        <w:t xml:space="preserve">may be pre-configured with thresholds for each </w:t>
      </w:r>
      <w:r w:rsidR="00C62779" w:rsidRPr="00873B6C">
        <w:t>Timing Synchronization Status (TSS)</w:t>
      </w:r>
      <w:r w:rsidR="003A5CE6" w:rsidRPr="00873B6C">
        <w:t xml:space="preserve"> attribute, if supported, that is described in Table 5.27.1.12-1.</w:t>
      </w:r>
    </w:p>
    <w:p w14:paraId="50ACAAEA" w14:textId="77777777" w:rsidR="003D49E0" w:rsidRPr="00873B6C" w:rsidRDefault="00C62779" w:rsidP="003A5CE6">
      <w:r w:rsidRPr="00873B6C">
        <w:t>gNBs may include a reference report ID in SIB information, if supported. A reference report ID consists of a scope of the TSS and an Event ID. A scope of the TSS supports providing TSS information for all cells or a group of cells within a single gNB. Event ID is an integer indicating that the gNB's clock quality has changed, resulting in at least one TSS attribute exceeding or meeting again the pre-configured threshold. Uniqueness of Event ID value is ensured by combining it with a gNB ID as specified in TS 38.300 [27].</w:t>
      </w:r>
    </w:p>
    <w:p w14:paraId="3D61B9E9" w14:textId="54843632" w:rsidR="003D49E0" w:rsidRPr="00873B6C" w:rsidRDefault="003D49E0" w:rsidP="003A5CE6">
      <w:r w:rsidRPr="00873B6C">
        <w:t>The RAN timing synchronization status information includes the gNB node-level information about timing synchronization operation status, as described in TS 38.300 [27]. When the gNB is monitoring RAN timing synchronization status, the gNB determines the reporting triggers as described in TS 38.401 [42].</w:t>
      </w:r>
    </w:p>
    <w:p w14:paraId="779C7DBA" w14:textId="59E6632F" w:rsidR="003D49E0" w:rsidRPr="00873B6C" w:rsidRDefault="003D49E0" w:rsidP="003A5CE6">
      <w:r w:rsidRPr="00873B6C">
        <w:t xml:space="preserve">The </w:t>
      </w:r>
      <w:r w:rsidR="00541AF2" w:rsidRPr="00873B6C">
        <w:t>gNB</w:t>
      </w:r>
      <w:r w:rsidR="003A5CE6" w:rsidRPr="00873B6C">
        <w:t xml:space="preserve"> notifies the TSCTSF (either using N2 node level signalling via AMF, or via OAM)</w:t>
      </w:r>
      <w:r w:rsidRPr="00873B6C">
        <w:t xml:space="preserve"> about timing synchronization status changes based on the pre-configured thresholds</w:t>
      </w:r>
      <w:r w:rsidR="003A5CE6" w:rsidRPr="00873B6C">
        <w:t xml:space="preserve"> with the scope of the timing synchronization status</w:t>
      </w:r>
      <w:r w:rsidR="00541AF2" w:rsidRPr="00873B6C">
        <w:t xml:space="preserve"> (i.e.</w:t>
      </w:r>
      <w:r w:rsidR="0029208C" w:rsidRPr="00873B6C">
        <w:t xml:space="preserve"> gNB ID</w:t>
      </w:r>
      <w:r w:rsidR="00541AF2" w:rsidRPr="00873B6C">
        <w:t xml:space="preserve"> or a list of Cell IDs within a single gNB)</w:t>
      </w:r>
      <w:r w:rsidR="003A5CE6" w:rsidRPr="00873B6C">
        <w:t xml:space="preserve"> and the corresponding network timing synchronization status attributes as described in</w:t>
      </w:r>
      <w:r w:rsidR="00C62779" w:rsidRPr="00873B6C">
        <w:t xml:space="preserve"> Table 5.27.1.12-1</w:t>
      </w:r>
      <w:r w:rsidR="003A5CE6" w:rsidRPr="00873B6C">
        <w:t xml:space="preserve">. </w:t>
      </w:r>
      <w:r w:rsidRPr="00873B6C">
        <w:t>The gNB may support only one or more network timing synchronization status attributes.</w:t>
      </w:r>
      <w:r w:rsidR="004D6126" w:rsidRPr="00873B6C">
        <w:t xml:space="preserve"> Upon reception of the notification, the TSCTSF determines whether the TSS attribute meets (status improvement) or exceeds (status degradation) the preconfigured threshold value.</w:t>
      </w:r>
    </w:p>
    <w:p w14:paraId="7B144FE2" w14:textId="1B71CB99" w:rsidR="003A5CE6" w:rsidRPr="00873B6C" w:rsidRDefault="003A5CE6" w:rsidP="003A5CE6">
      <w:r w:rsidRPr="00873B6C">
        <w:t>The</w:t>
      </w:r>
      <w:r w:rsidR="00541AF2" w:rsidRPr="00873B6C">
        <w:t xml:space="preserve"> gNB</w:t>
      </w:r>
      <w:r w:rsidRPr="00873B6C">
        <w:t xml:space="preserve"> indicates the status change to the UEs via</w:t>
      </w:r>
      <w:r w:rsidR="00C62779" w:rsidRPr="00873B6C">
        <w:t xml:space="preserve"> the reference report ID change in</w:t>
      </w:r>
      <w:r w:rsidR="00541AF2" w:rsidRPr="00873B6C">
        <w:t xml:space="preserve"> SIB information</w:t>
      </w:r>
      <w:r w:rsidRPr="00873B6C">
        <w:t>:</w:t>
      </w:r>
    </w:p>
    <w:p w14:paraId="0FFEC826" w14:textId="7158D95D" w:rsidR="00541AF2" w:rsidRPr="00873B6C" w:rsidRDefault="00541AF2" w:rsidP="00972E70">
      <w:pPr>
        <w:pStyle w:val="B1"/>
      </w:pPr>
      <w:r w:rsidRPr="00873B6C">
        <w:t>-</w:t>
      </w:r>
      <w:r w:rsidRPr="00873B6C">
        <w:tab/>
        <w:t>When the network timing synchronization status exceeds any of the pre-configured thresholds</w:t>
      </w:r>
      <w:r w:rsidR="00C62779" w:rsidRPr="00873B6C">
        <w:t xml:space="preserve"> or meets the threshold again, the gNB changes the reference report ID in SIB information</w:t>
      </w:r>
      <w:r w:rsidRPr="00873B6C">
        <w:t>. Either event serves as a notification for the UEs reading the SIB information that there is new TSS information available.</w:t>
      </w:r>
    </w:p>
    <w:p w14:paraId="4C1F7752" w14:textId="7FE9C2EC" w:rsidR="00591B52" w:rsidRPr="00873B6C" w:rsidRDefault="00591B52" w:rsidP="00591B52">
      <w:pPr>
        <w:pStyle w:val="NO"/>
      </w:pPr>
      <w:r w:rsidRPr="00873B6C">
        <w:t>NOTE 1:</w:t>
      </w:r>
      <w:r w:rsidRPr="00873B6C">
        <w:tab/>
        <w:t>NG-RAN is assumed not to provide clock quality metrics better than the pre-configured threshold, i.e. if a clock quality metric is better than the corresponding threshold, the NG-RAN reports the threshold value to the UE in an RRC message instead.</w:t>
      </w:r>
    </w:p>
    <w:p w14:paraId="5890A417" w14:textId="3AB93AD2" w:rsidR="00541AF2" w:rsidRPr="00873B6C" w:rsidRDefault="00541AF2" w:rsidP="005A13C0">
      <w:pPr>
        <w:pStyle w:val="NO"/>
      </w:pPr>
      <w:r w:rsidRPr="00873B6C">
        <w:t>NOTE 2:</w:t>
      </w:r>
      <w:r w:rsidRPr="00873B6C">
        <w:tab/>
        <w:t>It is assumed the pre-configured thresholds in the gNB(s) are sufficient to meet UE time sync performance requirement which are configured by the operator.</w:t>
      </w:r>
    </w:p>
    <w:p w14:paraId="619E7592" w14:textId="1B722DB8" w:rsidR="00541AF2" w:rsidRPr="00873B6C" w:rsidRDefault="00541AF2" w:rsidP="00972E70">
      <w:pPr>
        <w:pStyle w:val="B1"/>
      </w:pPr>
      <w:r w:rsidRPr="00873B6C">
        <w:t>-</w:t>
      </w:r>
      <w:r w:rsidRPr="00873B6C">
        <w:tab/>
        <w:t>If supported, the UE in the RRC_INACTIVE or RRC_IDLE state compares the reference report ID in SIB information with its locally stored reference report ID to determine whether it has the latest available clock quality information already or it needs to transit to the RRC_CONNECTED state to retrieve it.</w:t>
      </w:r>
    </w:p>
    <w:p w14:paraId="3446C071" w14:textId="4C50BABB" w:rsidR="00541AF2" w:rsidRPr="00873B6C" w:rsidRDefault="00541AF2" w:rsidP="00972E70">
      <w:pPr>
        <w:pStyle w:val="B1"/>
      </w:pPr>
      <w:r w:rsidRPr="00873B6C">
        <w:t>-</w:t>
      </w:r>
      <w:r w:rsidRPr="00873B6C">
        <w:tab/>
        <w:t>If the UE is instructed by AMF (via the Registration procedure, or the UE Configuration Update procedure) to reconnect to the network in the case when the UE determines that the reference report ID has changed, the UE in the RRC_INACTIVE or RRC_IDLE state, if supported by the UE, reconnects to the network. RAN may delay or prioritize UE's transition to the RRC_CONNECTED state using the UAC framework [28], i.e. UEs are not expected to transition to the RRC_CONNECTED state immediately after determining that the clock quality information has changed and receiving instructions from the AMF. After the UE has reconnected to the network, the gNB uses unicast RRC signalling to provision the clock quality information to the UEs.</w:t>
      </w:r>
    </w:p>
    <w:p w14:paraId="51CD5849" w14:textId="7897BD31" w:rsidR="00541AF2" w:rsidRPr="00873B6C" w:rsidRDefault="00541AF2" w:rsidP="00541AF2">
      <w:r w:rsidRPr="00873B6C">
        <w:t>The network timing synchronization status information from gNB or UPF/NW-TT to the TSCTSF may contain the following information as described in the Table 5.27.1.12-1.</w:t>
      </w:r>
      <w:r w:rsidR="0059213C" w:rsidRPr="00873B6C">
        <w:t xml:space="preserve"> The details for gNB timing synchronization status information are specified in TS 38.413 [34].</w:t>
      </w:r>
      <w:r w:rsidRPr="00873B6C">
        <w:t xml:space="preserve"> However, it is up to gNB to determine whether to provide its timing synchronization status reporting and which of the information elements to include in the TSS report to the TSCTSF, i.e. based on the implementation gNB may report all</w:t>
      </w:r>
      <w:r w:rsidR="003D49E0" w:rsidRPr="00873B6C">
        <w:t xml:space="preserve"> or</w:t>
      </w:r>
      <w:r w:rsidRPr="00873B6C">
        <w:t xml:space="preserve"> some, or none of the information elements from Table 5.27.1.12-1.</w:t>
      </w:r>
    </w:p>
    <w:p w14:paraId="657B4240" w14:textId="754A7595" w:rsidR="003A5CE6" w:rsidRPr="00873B6C" w:rsidRDefault="003A5CE6" w:rsidP="00972E70">
      <w:pPr>
        <w:pStyle w:val="TH"/>
      </w:pPr>
      <w:bookmarkStart w:id="3968" w:name="_CRTable5_27_1_121"/>
      <w:r w:rsidRPr="00873B6C">
        <w:lastRenderedPageBreak/>
        <w:t xml:space="preserve">Table </w:t>
      </w:r>
      <w:bookmarkEnd w:id="3968"/>
      <w:r w:rsidRPr="00873B6C">
        <w:t>5.27.1.12-1: Information elements</w:t>
      </w:r>
      <w:r w:rsidR="00541AF2" w:rsidRPr="00873B6C">
        <w:t xml:space="preserve"> that gNB</w:t>
      </w:r>
      <w:r w:rsidRPr="00873B6C">
        <w:t xml:space="preserve"> or UPF</w:t>
      </w:r>
      <w:r w:rsidR="00541AF2" w:rsidRPr="00873B6C">
        <w:t>/NW-TT</w:t>
      </w:r>
      <w:r w:rsidRPr="00873B6C">
        <w:t xml:space="preserve"> timing synchronization status information</w:t>
      </w:r>
      <w:r w:rsidR="00541AF2" w:rsidRPr="00873B6C">
        <w:t xml:space="preserve"> may contain (all optional)</w:t>
      </w:r>
    </w:p>
    <w:tbl>
      <w:tblPr>
        <w:tblStyle w:val="TableGrid"/>
        <w:tblW w:w="0" w:type="auto"/>
        <w:tblLook w:val="04A0" w:firstRow="1" w:lastRow="0" w:firstColumn="1" w:lastColumn="0" w:noHBand="0" w:noVBand="1"/>
      </w:tblPr>
      <w:tblGrid>
        <w:gridCol w:w="2864"/>
        <w:gridCol w:w="6765"/>
      </w:tblGrid>
      <w:tr w:rsidR="00541AF2" w:rsidRPr="00873B6C" w14:paraId="0672A0D2" w14:textId="77777777" w:rsidTr="00C9561D">
        <w:tc>
          <w:tcPr>
            <w:tcW w:w="2864" w:type="dxa"/>
          </w:tcPr>
          <w:p w14:paraId="0DDA31D1" w14:textId="77777777" w:rsidR="00541AF2" w:rsidRPr="00873B6C" w:rsidRDefault="00541AF2" w:rsidP="00C9561D">
            <w:pPr>
              <w:pStyle w:val="TAH"/>
            </w:pPr>
            <w:r w:rsidRPr="00873B6C">
              <w:t>Information Name</w:t>
            </w:r>
          </w:p>
        </w:tc>
        <w:tc>
          <w:tcPr>
            <w:tcW w:w="6765" w:type="dxa"/>
          </w:tcPr>
          <w:p w14:paraId="06B5C5D1" w14:textId="77777777" w:rsidR="00541AF2" w:rsidRPr="00873B6C" w:rsidRDefault="00541AF2" w:rsidP="00C9561D">
            <w:pPr>
              <w:pStyle w:val="TAH"/>
            </w:pPr>
            <w:r w:rsidRPr="00873B6C">
              <w:t>Description</w:t>
            </w:r>
          </w:p>
        </w:tc>
      </w:tr>
      <w:tr w:rsidR="00541AF2" w:rsidRPr="00873B6C" w14:paraId="113F2FCD" w14:textId="77777777" w:rsidTr="00C9561D">
        <w:tc>
          <w:tcPr>
            <w:tcW w:w="2864" w:type="dxa"/>
          </w:tcPr>
          <w:p w14:paraId="76904D1C" w14:textId="77777777" w:rsidR="00541AF2" w:rsidRPr="00873B6C" w:rsidRDefault="00541AF2" w:rsidP="00C9561D">
            <w:pPr>
              <w:pStyle w:val="TAL"/>
            </w:pPr>
            <w:r w:rsidRPr="00873B6C">
              <w:t>Synchronization state</w:t>
            </w:r>
          </w:p>
        </w:tc>
        <w:tc>
          <w:tcPr>
            <w:tcW w:w="6765" w:type="dxa"/>
          </w:tcPr>
          <w:p w14:paraId="18EB2D8D" w14:textId="77777777" w:rsidR="00541AF2" w:rsidRPr="00873B6C" w:rsidRDefault="00541AF2" w:rsidP="00C9561D">
            <w:pPr>
              <w:pStyle w:val="TAL"/>
            </w:pPr>
            <w:r w:rsidRPr="00873B6C">
              <w:t>Indicates the state of the node synchronization, represented by the values "Locked", "Holdover", or "Freerun" (NOTE 1).</w:t>
            </w:r>
          </w:p>
        </w:tc>
      </w:tr>
      <w:tr w:rsidR="00541AF2" w:rsidRPr="00873B6C" w14:paraId="72FEBDC5" w14:textId="77777777" w:rsidTr="00C9561D">
        <w:tc>
          <w:tcPr>
            <w:tcW w:w="2864" w:type="dxa"/>
          </w:tcPr>
          <w:p w14:paraId="40197A14" w14:textId="77777777" w:rsidR="00541AF2" w:rsidRPr="00873B6C" w:rsidRDefault="00541AF2" w:rsidP="00C9561D">
            <w:pPr>
              <w:pStyle w:val="TAL"/>
            </w:pPr>
            <w:r w:rsidRPr="00873B6C">
              <w:t>Clock quality</w:t>
            </w:r>
          </w:p>
        </w:tc>
        <w:tc>
          <w:tcPr>
            <w:tcW w:w="6765" w:type="dxa"/>
          </w:tcPr>
          <w:p w14:paraId="2C6D2A5B" w14:textId="77777777" w:rsidR="00541AF2" w:rsidRPr="00873B6C" w:rsidRDefault="00541AF2" w:rsidP="00C9561D">
            <w:pPr>
              <w:pStyle w:val="TAC"/>
              <w:jc w:val="left"/>
            </w:pPr>
          </w:p>
        </w:tc>
      </w:tr>
      <w:tr w:rsidR="00541AF2" w:rsidRPr="00873B6C" w14:paraId="0866D2ED" w14:textId="77777777" w:rsidTr="00C9561D">
        <w:tc>
          <w:tcPr>
            <w:tcW w:w="2864" w:type="dxa"/>
          </w:tcPr>
          <w:p w14:paraId="31C3312B" w14:textId="77777777" w:rsidR="00541AF2" w:rsidRPr="00873B6C" w:rsidRDefault="00541AF2" w:rsidP="00C9561D">
            <w:pPr>
              <w:pStyle w:val="TAL"/>
            </w:pPr>
            <w:r w:rsidRPr="00873B6C">
              <w:t>&gt;&gt; Traceable to GNSS</w:t>
            </w:r>
          </w:p>
        </w:tc>
        <w:tc>
          <w:tcPr>
            <w:tcW w:w="6765" w:type="dxa"/>
          </w:tcPr>
          <w:p w14:paraId="2842092D" w14:textId="77777777" w:rsidR="00541AF2" w:rsidRPr="00873B6C" w:rsidRDefault="00541AF2" w:rsidP="005A13C0">
            <w:pPr>
              <w:pStyle w:val="TAL"/>
            </w:pPr>
            <w:r w:rsidRPr="00873B6C">
              <w:t>Indicates whether the current time source is traceable to the GNSS and represented by values “Yes” or “No”.</w:t>
            </w:r>
          </w:p>
        </w:tc>
      </w:tr>
      <w:tr w:rsidR="00541AF2" w:rsidRPr="00873B6C" w14:paraId="27B621C3" w14:textId="77777777" w:rsidTr="00C9561D">
        <w:tc>
          <w:tcPr>
            <w:tcW w:w="2864" w:type="dxa"/>
          </w:tcPr>
          <w:p w14:paraId="6BB67DD3" w14:textId="77777777" w:rsidR="00541AF2" w:rsidRPr="00873B6C" w:rsidRDefault="00541AF2" w:rsidP="00C9561D">
            <w:pPr>
              <w:pStyle w:val="TAL"/>
            </w:pPr>
            <w:r w:rsidRPr="00873B6C">
              <w:t>&gt;&gt; Traceable to UTC</w:t>
            </w:r>
          </w:p>
        </w:tc>
        <w:tc>
          <w:tcPr>
            <w:tcW w:w="6765" w:type="dxa"/>
          </w:tcPr>
          <w:p w14:paraId="5305FC8A" w14:textId="77777777" w:rsidR="00541AF2" w:rsidRPr="00873B6C" w:rsidRDefault="00541AF2" w:rsidP="00C9561D">
            <w:pPr>
              <w:pStyle w:val="TAL"/>
            </w:pPr>
            <w:r w:rsidRPr="00873B6C">
              <w:t>Indicates whether the current time source is traceable to the UTC and represented by values “Yes” or “No”.</w:t>
            </w:r>
          </w:p>
        </w:tc>
      </w:tr>
      <w:tr w:rsidR="00541AF2" w:rsidRPr="00873B6C" w14:paraId="5D6ACCC5" w14:textId="77777777" w:rsidTr="00C9561D">
        <w:tc>
          <w:tcPr>
            <w:tcW w:w="2864" w:type="dxa"/>
          </w:tcPr>
          <w:p w14:paraId="1139F156" w14:textId="77777777" w:rsidR="00541AF2" w:rsidRPr="00873B6C" w:rsidDel="00062DBD" w:rsidRDefault="00541AF2" w:rsidP="00C9561D">
            <w:pPr>
              <w:pStyle w:val="TAL"/>
            </w:pPr>
            <w:r w:rsidRPr="00873B6C">
              <w:t>&gt;&gt; Frequency stability</w:t>
            </w:r>
          </w:p>
        </w:tc>
        <w:tc>
          <w:tcPr>
            <w:tcW w:w="6765" w:type="dxa"/>
          </w:tcPr>
          <w:p w14:paraId="76EC2C42" w14:textId="77777777" w:rsidR="00541AF2" w:rsidRPr="00873B6C" w:rsidDel="00062DBD" w:rsidRDefault="00541AF2" w:rsidP="00C9561D">
            <w:pPr>
              <w:pStyle w:val="TAL"/>
            </w:pPr>
            <w:r w:rsidRPr="00873B6C">
              <w:t>Describes the estimate of the variation of the local clock when it is not synchronized to another source (NOTE 2).</w:t>
            </w:r>
          </w:p>
        </w:tc>
      </w:tr>
      <w:tr w:rsidR="00541AF2" w:rsidRPr="00873B6C" w14:paraId="401C67FB" w14:textId="77777777" w:rsidTr="00C9561D">
        <w:tc>
          <w:tcPr>
            <w:tcW w:w="2864" w:type="dxa"/>
          </w:tcPr>
          <w:p w14:paraId="653E97E0" w14:textId="77777777" w:rsidR="00541AF2" w:rsidRPr="00873B6C" w:rsidDel="00062DBD" w:rsidRDefault="00541AF2" w:rsidP="00C9561D">
            <w:pPr>
              <w:pStyle w:val="TAL"/>
            </w:pPr>
            <w:r w:rsidRPr="00873B6C">
              <w:t>&gt;&gt; Clock Accuracy</w:t>
            </w:r>
          </w:p>
        </w:tc>
        <w:tc>
          <w:tcPr>
            <w:tcW w:w="6765" w:type="dxa"/>
          </w:tcPr>
          <w:p w14:paraId="2D556550" w14:textId="77777777" w:rsidR="00541AF2" w:rsidRPr="00873B6C" w:rsidDel="00062DBD" w:rsidRDefault="00541AF2" w:rsidP="00C9561D">
            <w:pPr>
              <w:pStyle w:val="TAL"/>
            </w:pPr>
            <w:r w:rsidRPr="00873B6C">
              <w:t>Describes the mean in ns over an ensemble of measurements of the time between the clock under test and a reference clock (NOTE 3).</w:t>
            </w:r>
          </w:p>
        </w:tc>
      </w:tr>
      <w:tr w:rsidR="00541AF2" w:rsidRPr="00873B6C" w14:paraId="3B4FE4BC" w14:textId="77777777" w:rsidTr="00C9561D">
        <w:tc>
          <w:tcPr>
            <w:tcW w:w="2864" w:type="dxa"/>
          </w:tcPr>
          <w:p w14:paraId="1CCDF1AF" w14:textId="77777777" w:rsidR="00541AF2" w:rsidRPr="00873B6C" w:rsidRDefault="00541AF2" w:rsidP="00C9561D">
            <w:pPr>
              <w:pStyle w:val="TAL"/>
            </w:pPr>
            <w:r w:rsidRPr="00873B6C">
              <w:t>Parent time source</w:t>
            </w:r>
          </w:p>
        </w:tc>
        <w:tc>
          <w:tcPr>
            <w:tcW w:w="6765" w:type="dxa"/>
          </w:tcPr>
          <w:p w14:paraId="23BD96D3" w14:textId="77777777" w:rsidR="00541AF2" w:rsidRPr="00873B6C" w:rsidRDefault="00541AF2" w:rsidP="005A13C0">
            <w:pPr>
              <w:pStyle w:val="TAL"/>
            </w:pPr>
            <w:r w:rsidRPr="00873B6C">
              <w:t>Describes the primary source the node is currently using, represented by the values "SyncE", "PTP", "GNSS", "atomic clock", "terrestrial radio", "serial time code", "NTP", "hand_set", "other".</w:t>
            </w:r>
          </w:p>
        </w:tc>
      </w:tr>
      <w:tr w:rsidR="00541AF2" w:rsidRPr="00873B6C" w14:paraId="74A1F21D" w14:textId="77777777" w:rsidTr="00C9561D">
        <w:tc>
          <w:tcPr>
            <w:tcW w:w="9629" w:type="dxa"/>
            <w:gridSpan w:val="2"/>
          </w:tcPr>
          <w:p w14:paraId="0306D019" w14:textId="77777777" w:rsidR="00541AF2" w:rsidRPr="00873B6C" w:rsidRDefault="00541AF2" w:rsidP="00C9561D">
            <w:pPr>
              <w:pStyle w:val="TAN"/>
            </w:pPr>
            <w:r w:rsidRPr="00873B6C">
              <w:t>NOTE 1:</w:t>
            </w:r>
            <w:r w:rsidRPr="00873B6C">
              <w:tab/>
              <w:t>Clock is in the "Locked", "Holdover", or "Freerun" mode, as defined in ITU</w:t>
            </w:r>
            <w:r w:rsidRPr="00873B6C">
              <w:noBreakHyphen/>
              <w:t>T G.810 [164].</w:t>
            </w:r>
          </w:p>
          <w:p w14:paraId="376A13B8" w14:textId="77777777" w:rsidR="00541AF2" w:rsidRPr="00873B6C" w:rsidRDefault="00541AF2" w:rsidP="00C9561D">
            <w:pPr>
              <w:pStyle w:val="TAN"/>
            </w:pPr>
            <w:r w:rsidRPr="00873B6C">
              <w:t xml:space="preserve">NOTE 2: </w:t>
            </w:r>
            <w:r w:rsidRPr="00873B6C">
              <w:tab/>
              <w:t>Frequency stability is estimated in a similar manner as for offsetScaledLogVariance attribute defined in clause 7.6.3.5 of IEEE Std 1588 [126].</w:t>
            </w:r>
          </w:p>
          <w:p w14:paraId="7B833C01" w14:textId="77777777" w:rsidR="00541AF2" w:rsidRPr="00873B6C" w:rsidRDefault="00541AF2" w:rsidP="00C9561D">
            <w:pPr>
              <w:pStyle w:val="TAN"/>
            </w:pPr>
            <w:r w:rsidRPr="00873B6C">
              <w:t xml:space="preserve">NOTE 3: </w:t>
            </w:r>
            <w:r w:rsidRPr="00873B6C">
              <w:tab/>
              <w:t>Clock accuracy measurement considers accuracy up to gNB antenna and RAN internal process.</w:t>
            </w:r>
          </w:p>
        </w:tc>
      </w:tr>
    </w:tbl>
    <w:p w14:paraId="03598190" w14:textId="77777777" w:rsidR="00541AF2" w:rsidRPr="00873B6C" w:rsidRDefault="00541AF2" w:rsidP="005A13C0"/>
    <w:p w14:paraId="1B231734" w14:textId="7041FD1B" w:rsidR="003A5CE6" w:rsidRPr="00873B6C" w:rsidRDefault="003A5CE6" w:rsidP="003A5CE6">
      <w:r w:rsidRPr="00873B6C">
        <w:t>The TSCTSF determines the UEs impacted by</w:t>
      </w:r>
      <w:r w:rsidR="00541AF2" w:rsidRPr="00873B6C">
        <w:t xml:space="preserve"> gNB's</w:t>
      </w:r>
      <w:r w:rsidRPr="00873B6C">
        <w:t xml:space="preserve"> timing synchronization status change or UPF timing synchronization status change (only for the case when UPF/NW-TT is involved in providing time information to DS-TT)</w:t>
      </w:r>
      <w:r w:rsidR="00AF2D89" w:rsidRPr="00873B6C">
        <w:t xml:space="preserve"> by comparing the received timing synchronization status information with a clock quality acceptance criteria provided by the AF. The TSCTSF evaluates whether the received timing synchronization status is acceptable or not acceptable for a UE</w:t>
      </w:r>
      <w:r w:rsidRPr="00873B6C">
        <w:t>.</w:t>
      </w:r>
    </w:p>
    <w:p w14:paraId="2753776F" w14:textId="5408FBCE" w:rsidR="00AF2D89" w:rsidRPr="00873B6C" w:rsidRDefault="00AF2D89" w:rsidP="00745A3E">
      <w:r w:rsidRPr="00873B6C">
        <w:t>Each TSS attribute in the clock quality acceptance criteria is evaluated individually, if the TSCTSF determines that at least one reported value is "not acceptable" or there is at least one attribute present in the clock quality acceptance criteria is not reported, then the TSCTSF shall consider the timing synchronization status as "not acceptable" for the UE.</w:t>
      </w:r>
    </w:p>
    <w:p w14:paraId="13A20A0D" w14:textId="4B12B26A" w:rsidR="003A5CE6" w:rsidRPr="00873B6C" w:rsidRDefault="003A5CE6" w:rsidP="00972E70">
      <w:pPr>
        <w:pStyle w:val="B1"/>
      </w:pPr>
      <w:r w:rsidRPr="00873B6C">
        <w:t>-</w:t>
      </w:r>
      <w:r w:rsidRPr="00873B6C">
        <w:tab/>
        <w:t>For</w:t>
      </w:r>
      <w:r w:rsidR="00541AF2" w:rsidRPr="00873B6C">
        <w:t xml:space="preserve"> the gNB</w:t>
      </w:r>
      <w:r w:rsidRPr="00873B6C">
        <w:t xml:space="preserve"> case,</w:t>
      </w:r>
      <w:r w:rsidR="00541AF2" w:rsidRPr="00873B6C">
        <w:t xml:space="preserve"> when the TSCTSF receives information about timing synchronization status change,</w:t>
      </w:r>
      <w:r w:rsidRPr="00873B6C">
        <w:t xml:space="preserve"> the TSCTSF</w:t>
      </w:r>
      <w:r w:rsidR="00FB6BEB" w:rsidRPr="00873B6C">
        <w:t xml:space="preserve"> uses the NRF to</w:t>
      </w:r>
      <w:r w:rsidRPr="00873B6C">
        <w:t xml:space="preserve"> discover the AMFs serving the impacted</w:t>
      </w:r>
      <w:r w:rsidR="00541AF2" w:rsidRPr="00873B6C">
        <w:t xml:space="preserve"> gNBs</w:t>
      </w:r>
      <w:r w:rsidRPr="00873B6C">
        <w:t xml:space="preserve"> and subscribes to receive notifications for UE</w:t>
      </w:r>
      <w:r w:rsidR="00541AF2" w:rsidRPr="00873B6C">
        <w:t>'s</w:t>
      </w:r>
      <w:r w:rsidRPr="00873B6C">
        <w:t xml:space="preserve"> presence in Area of Interest information</w:t>
      </w:r>
      <w:r w:rsidR="00C62779" w:rsidRPr="00873B6C">
        <w:t xml:space="preserve"> from AMF as described in clause 5.3.4.4</w:t>
      </w:r>
      <w:r w:rsidRPr="00873B6C">
        <w:t>. The Area of Interest is set to</w:t>
      </w:r>
      <w:r w:rsidR="00541AF2" w:rsidRPr="00873B6C">
        <w:t xml:space="preserve"> the scope of the timing synchronization status (i.e. gNB</w:t>
      </w:r>
      <w:r w:rsidRPr="00873B6C">
        <w:t xml:space="preserve"> ID</w:t>
      </w:r>
      <w:r w:rsidR="00541AF2" w:rsidRPr="00873B6C">
        <w:t xml:space="preserve"> or a group of cells within the gNB specified with a list of Cell IDs</w:t>
      </w:r>
      <w:r w:rsidRPr="00873B6C">
        <w:t xml:space="preserve"> that </w:t>
      </w:r>
      <w:r w:rsidR="00541AF2" w:rsidRPr="00873B6C">
        <w:t xml:space="preserve">has </w:t>
      </w:r>
      <w:r w:rsidRPr="00873B6C">
        <w:t>reported status degradation (i.e. the pre-configured thresholds are exceeded in the</w:t>
      </w:r>
      <w:r w:rsidR="002768E9" w:rsidRPr="00873B6C">
        <w:t xml:space="preserve"> gNB</w:t>
      </w:r>
      <w:r w:rsidRPr="00873B6C">
        <w:t>). The subscription is targeted to any UE in the AMF</w:t>
      </w:r>
      <w:r w:rsidR="002768E9" w:rsidRPr="00873B6C">
        <w:t>,</w:t>
      </w:r>
      <w:r w:rsidR="00FB6BEB" w:rsidRPr="00873B6C">
        <w:t xml:space="preserve"> the TSCTSF may provide additional filtering information as specified in clause 5.3.4.4 (e.g</w:t>
      </w:r>
      <w:r w:rsidR="00965644" w:rsidRPr="00873B6C">
        <w:t>.</w:t>
      </w:r>
      <w:r w:rsidR="00FB6BEB" w:rsidRPr="00873B6C">
        <w:t xml:space="preserve"> List of UE IDs, DNN(s)/S-NNSAI(s)) to limit the subscription to the indicated UE identities, UEs having a PDU Session with the given DNN(s)/S-NSSAI(s). The</w:t>
      </w:r>
      <w:r w:rsidRPr="00873B6C">
        <w:t xml:space="preserve"> TSCTSF correlates information about impacted</w:t>
      </w:r>
      <w:r w:rsidR="002768E9" w:rsidRPr="00873B6C">
        <w:t xml:space="preserve"> gNBs</w:t>
      </w:r>
      <w:r w:rsidRPr="00873B6C">
        <w:t xml:space="preserve"> and the UE location information received from</w:t>
      </w:r>
      <w:r w:rsidR="002768E9" w:rsidRPr="00873B6C">
        <w:t xml:space="preserve"> the</w:t>
      </w:r>
      <w:r w:rsidRPr="00873B6C">
        <w:t xml:space="preserve"> AMF. If the</w:t>
      </w:r>
      <w:r w:rsidR="002768E9" w:rsidRPr="00873B6C">
        <w:t xml:space="preserve"> gNB</w:t>
      </w:r>
      <w:r w:rsidRPr="00873B6C">
        <w:t xml:space="preserve"> notifies the TSCTSF for the status improvement (i.e. the pre-configured thresholds are met in the</w:t>
      </w:r>
      <w:r w:rsidR="002768E9" w:rsidRPr="00873B6C">
        <w:t xml:space="preserve"> gNB</w:t>
      </w:r>
      <w:r w:rsidRPr="00873B6C">
        <w:t>), the TSCTSF modifies the subscription to remove the</w:t>
      </w:r>
      <w:r w:rsidR="002768E9" w:rsidRPr="00873B6C">
        <w:t xml:space="preserve"> corresponding Area of Interest</w:t>
      </w:r>
      <w:r w:rsidRPr="00873B6C">
        <w:t xml:space="preserve"> from the</w:t>
      </w:r>
      <w:r w:rsidR="002768E9" w:rsidRPr="00873B6C">
        <w:t xml:space="preserve"> subscription</w:t>
      </w:r>
      <w:r w:rsidRPr="00873B6C">
        <w:t>.</w:t>
      </w:r>
    </w:p>
    <w:p w14:paraId="198D6E52" w14:textId="0A91467C" w:rsidR="003A5CE6" w:rsidRPr="00873B6C" w:rsidRDefault="003A5CE6" w:rsidP="00972E70">
      <w:pPr>
        <w:pStyle w:val="B1"/>
      </w:pPr>
      <w:r w:rsidRPr="00873B6C">
        <w:t>-</w:t>
      </w:r>
      <w:r w:rsidRPr="00873B6C">
        <w:tab/>
        <w:t xml:space="preserve">For UPF case, the TSCTSF determines the UEs for which </w:t>
      </w:r>
      <w:r w:rsidR="002768E9" w:rsidRPr="00873B6C">
        <w:t xml:space="preserve">the </w:t>
      </w:r>
      <w:r w:rsidRPr="00873B6C">
        <w:t>impacted UPF/NW-TT is configured to send (g)PTP messages</w:t>
      </w:r>
      <w:r w:rsidR="002768E9" w:rsidRPr="00873B6C">
        <w:t xml:space="preserve"> on behalf of DS-TT (see clause 5.27.1.7)</w:t>
      </w:r>
      <w:r w:rsidRPr="00873B6C">
        <w:t>.</w:t>
      </w:r>
    </w:p>
    <w:p w14:paraId="37F6E6FA" w14:textId="0249ABD0" w:rsidR="003A5CE6" w:rsidRPr="00873B6C" w:rsidRDefault="003A5CE6" w:rsidP="003A5CE6">
      <w:r w:rsidRPr="00873B6C">
        <w:t>If</w:t>
      </w:r>
      <w:r w:rsidR="002768E9" w:rsidRPr="00873B6C">
        <w:t xml:space="preserve"> the gNB's</w:t>
      </w:r>
      <w:r w:rsidRPr="00873B6C">
        <w:t xml:space="preserve"> or UPF</w:t>
      </w:r>
      <w:r w:rsidR="002768E9" w:rsidRPr="00873B6C">
        <w:t>'s</w:t>
      </w:r>
      <w:r w:rsidRPr="00873B6C">
        <w:t xml:space="preserve"> timing synchronization status change, the TSCTSF may perform the following:</w:t>
      </w:r>
    </w:p>
    <w:p w14:paraId="5D100DE3" w14:textId="5F50F6D8" w:rsidR="003A5CE6" w:rsidRPr="00873B6C" w:rsidRDefault="003A5CE6" w:rsidP="00972E70">
      <w:pPr>
        <w:pStyle w:val="B1"/>
      </w:pPr>
      <w:r w:rsidRPr="00873B6C">
        <w:t>-</w:t>
      </w:r>
      <w:r w:rsidRPr="00873B6C">
        <w:tab/>
        <w:t>For AFs that subscribe for 5G access stratum time synchronization service or (g)PTP time synchronization service status update (i.e. change in</w:t>
      </w:r>
      <w:r w:rsidR="002768E9" w:rsidRPr="00873B6C">
        <w:t xml:space="preserve"> support status of the clock quality</w:t>
      </w:r>
      <w:r w:rsidRPr="00873B6C">
        <w:t xml:space="preserve"> acceptance criteria</w:t>
      </w:r>
      <w:r w:rsidR="002768E9" w:rsidRPr="00873B6C">
        <w:t xml:space="preserve"> provided by the AF and specified using TSS attributes from Table 5.27.1.12-1),</w:t>
      </w:r>
      <w:r w:rsidRPr="00873B6C">
        <w:t xml:space="preserve"> the TSCTSF may provide notification towards the AF when there is a change in support status for a UE or group of UEs.</w:t>
      </w:r>
    </w:p>
    <w:p w14:paraId="0F884E87" w14:textId="77777777" w:rsidR="003A5CE6" w:rsidRPr="00873B6C" w:rsidRDefault="003A5CE6" w:rsidP="00972E70">
      <w:pPr>
        <w:pStyle w:val="B1"/>
      </w:pPr>
      <w:r w:rsidRPr="00873B6C">
        <w:t>-</w:t>
      </w:r>
      <w:r w:rsidRPr="00873B6C">
        <w:tab/>
        <w:t>Deactivating/reactivating/updating time synchronization services:</w:t>
      </w:r>
    </w:p>
    <w:p w14:paraId="1B8F70B5" w14:textId="77777777" w:rsidR="003A5CE6" w:rsidRPr="00873B6C" w:rsidRDefault="003A5CE6" w:rsidP="00972E70">
      <w:pPr>
        <w:pStyle w:val="B2"/>
      </w:pPr>
      <w:r w:rsidRPr="00873B6C">
        <w:t>-</w:t>
      </w:r>
      <w:r w:rsidRPr="00873B6C">
        <w:tab/>
        <w:t>(g)PTP time synchronization service case: For UEs that are part of a PTP instance and which are impacted by NG-RAN or UPF time synchronization status degradation or improvement:</w:t>
      </w:r>
    </w:p>
    <w:p w14:paraId="1E4E5032" w14:textId="401AA3B9" w:rsidR="003A5CE6" w:rsidRPr="00873B6C" w:rsidRDefault="003A5CE6" w:rsidP="00972E70">
      <w:pPr>
        <w:pStyle w:val="B3"/>
      </w:pPr>
      <w:r w:rsidRPr="00873B6C">
        <w:t>-</w:t>
      </w:r>
      <w:r w:rsidRPr="00873B6C">
        <w:tab/>
        <w:t>If TSCTSF determines that the clock quality acceptance criteria provided by AF can still be met, then TSCTSF may update the clock</w:t>
      </w:r>
      <w:r w:rsidR="002768E9" w:rsidRPr="00873B6C">
        <w:t xml:space="preserve"> q</w:t>
      </w:r>
      <w:r w:rsidRPr="00873B6C">
        <w:t xml:space="preserve">uality information sent in Announce messages (see clause 7.6.2 of IEEE </w:t>
      </w:r>
      <w:r w:rsidRPr="00873B6C">
        <w:lastRenderedPageBreak/>
        <w:t>1588 [8]) for the PTP instance using existing procedures and existing PMIC/UMIC information. The handling of Announce messages follows existing procedures as described in clause 5.27.1.6.</w:t>
      </w:r>
    </w:p>
    <w:p w14:paraId="14205485" w14:textId="4114E0CD" w:rsidR="003A5CE6" w:rsidRPr="00873B6C" w:rsidRDefault="003A5CE6" w:rsidP="00972E70">
      <w:pPr>
        <w:pStyle w:val="B3"/>
      </w:pPr>
      <w:r w:rsidRPr="00873B6C">
        <w:t>-</w:t>
      </w:r>
      <w:r w:rsidRPr="00873B6C">
        <w:tab/>
        <w:t>If TSCTSF determines that the clock quality acceptance criteria provided by AF cannot be met, then TSCTSF informs the AF</w:t>
      </w:r>
      <w:r w:rsidR="002768E9" w:rsidRPr="00873B6C">
        <w:t xml:space="preserve"> for the corresponding PTP port</w:t>
      </w:r>
      <w:r w:rsidR="00C62779" w:rsidRPr="00873B6C">
        <w:t>s</w:t>
      </w:r>
      <w:r w:rsidR="002768E9" w:rsidRPr="00873B6C">
        <w:t xml:space="preserve"> being inactive due to the result of fulfilling the clock quality acceptance criteria; and the TSCTSF temporarily removes the UE/DS-TT from the PTP instance using the procedure in clause K.2.2.1 and clause K.2.2.4. The AF may send a service update or delete request (see clause 4.15.9.3 of TS 23.502 [3])</w:t>
      </w:r>
      <w:r w:rsidRPr="00873B6C">
        <w:t>.</w:t>
      </w:r>
    </w:p>
    <w:p w14:paraId="26B8FE41" w14:textId="0009F3E0" w:rsidR="003A5CE6" w:rsidRPr="00873B6C" w:rsidRDefault="003A5CE6" w:rsidP="00972E70">
      <w:pPr>
        <w:pStyle w:val="B3"/>
      </w:pPr>
      <w:r w:rsidRPr="00873B6C">
        <w:t>-</w:t>
      </w:r>
      <w:r w:rsidRPr="00873B6C">
        <w:tab/>
        <w:t>If TSCTSF determines that the clock quality acceptance criteria provided by AF can be met again then TSCTSF informs the AF about the result</w:t>
      </w:r>
      <w:r w:rsidR="002768E9" w:rsidRPr="00873B6C">
        <w:t>, adds the DS-TT PTP port to the PTP instance again and re-activates the Grandmaster functionality</w:t>
      </w:r>
      <w:r w:rsidRPr="00873B6C">
        <w:t>.</w:t>
      </w:r>
    </w:p>
    <w:p w14:paraId="529B5FFB" w14:textId="77777777" w:rsidR="00965644" w:rsidRPr="00873B6C" w:rsidRDefault="00965644" w:rsidP="00965644">
      <w:r w:rsidRPr="00873B6C">
        <w:t>For 5G access stratum time synchronization service, clock quality reporting control information (CQRCI) manages the gNBs timing synchronization status reporting to the UE. The TSCTSF may retrieve CQRCI from UDM or receive CQRCI from AF request. The TSCTSF needs to check whether the AF requested CQRCI is allowed as defined in clause 5.27.1.11. When AMF provides the 5G access stratum time distribution indication and the Uu time synchronization error budget to gNB, the AMF also includes the clock quality reporting control information (CQRCI) provided by the TSCTSF via AM policy or retrieved from UDM. If the AMF receives CQRCI both in the Access and Mobility Subscription data from UDM and in the AM Policy from PCF, the AMF shall use the value received from the AM policy. CQRCI contains the following fields:</w:t>
      </w:r>
    </w:p>
    <w:p w14:paraId="5D686B3A" w14:textId="3E9FB0E5" w:rsidR="003A5CE6" w:rsidRPr="00873B6C" w:rsidRDefault="003A5CE6" w:rsidP="00972E70">
      <w:pPr>
        <w:pStyle w:val="B1"/>
      </w:pPr>
      <w:r w:rsidRPr="00873B6C">
        <w:t>-</w:t>
      </w:r>
      <w:r w:rsidRPr="00873B6C">
        <w:tab/>
        <w:t xml:space="preserve">Clock quality detail level. It indicates whether and which clock quality information to provide to the UE and can take one of the following values: </w:t>
      </w:r>
      <w:r w:rsidR="00C62779" w:rsidRPr="00873B6C">
        <w:t>"</w:t>
      </w:r>
      <w:r w:rsidRPr="00873B6C">
        <w:t>clock quality metrics</w:t>
      </w:r>
      <w:r w:rsidR="00C62779" w:rsidRPr="00873B6C">
        <w:t>"</w:t>
      </w:r>
      <w:r w:rsidRPr="00873B6C">
        <w:t xml:space="preserve"> or </w:t>
      </w:r>
      <w:r w:rsidR="00C62779" w:rsidRPr="00873B6C">
        <w:t>"</w:t>
      </w:r>
      <w:r w:rsidRPr="00873B6C">
        <w:t>acceptable/not acceptable indication</w:t>
      </w:r>
      <w:r w:rsidR="00C62779" w:rsidRPr="00873B6C">
        <w:t>"</w:t>
      </w:r>
      <w:r w:rsidRPr="00873B6C">
        <w:t>.</w:t>
      </w:r>
    </w:p>
    <w:p w14:paraId="76BB5A5A" w14:textId="1452949D" w:rsidR="003A5CE6" w:rsidRPr="00873B6C" w:rsidRDefault="003A5CE6" w:rsidP="00972E70">
      <w:pPr>
        <w:pStyle w:val="B1"/>
      </w:pPr>
      <w:r w:rsidRPr="00873B6C">
        <w:t>-</w:t>
      </w:r>
      <w:r w:rsidRPr="00873B6C">
        <w:tab/>
        <w:t xml:space="preserve">If the clock quality detail level equals "clock quality metrics", the NG-RAN provides clock quality metrics to the UE that reflect its current timing synchronization status. </w:t>
      </w:r>
      <w:r w:rsidR="002768E9" w:rsidRPr="00873B6C">
        <w:t xml:space="preserve">i.e. one or more of the following information elements: </w:t>
      </w:r>
      <w:r w:rsidRPr="00873B6C">
        <w:t>clock accuracy, traceability to UTC</w:t>
      </w:r>
      <w:r w:rsidR="00C62779" w:rsidRPr="00873B6C">
        <w:t>, traceability</w:t>
      </w:r>
      <w:r w:rsidRPr="00873B6C">
        <w:t xml:space="preserve"> to GNSS, frequency stability, parent time source, synchronization state</w:t>
      </w:r>
      <w:r w:rsidR="002768E9" w:rsidRPr="00873B6C">
        <w:t xml:space="preserve"> as defined in Table 5.27.1.12-1. NG-RAN is locally configured which of the clock quality metrics supported by NG-RAN are provided to UE(s)</w:t>
      </w:r>
      <w:r w:rsidRPr="00873B6C">
        <w:t>.</w:t>
      </w:r>
    </w:p>
    <w:p w14:paraId="7C681F45" w14:textId="7532013A" w:rsidR="003A5CE6" w:rsidRPr="00873B6C" w:rsidRDefault="003A5CE6" w:rsidP="00972E70">
      <w:pPr>
        <w:pStyle w:val="B1"/>
      </w:pPr>
      <w:r w:rsidRPr="00873B6C">
        <w:t>-</w:t>
      </w:r>
      <w:r w:rsidRPr="00873B6C">
        <w:tab/>
        <w:t>If the clock quality detail level equals "acceptable/not acceptable indication",</w:t>
      </w:r>
      <w:r w:rsidR="00A10084" w:rsidRPr="00873B6C">
        <w:t xml:space="preserve"> NG-RAN provides</w:t>
      </w:r>
      <w:r w:rsidRPr="00873B6C">
        <w:t xml:space="preserve"> clock quality acceptance criteria for the UE. The</w:t>
      </w:r>
      <w:r w:rsidR="002768E9" w:rsidRPr="00873B6C">
        <w:t xml:space="preserve"> gNB</w:t>
      </w:r>
      <w:r w:rsidRPr="00873B6C">
        <w:t xml:space="preserve"> provides an acceptable indication to the UE if the</w:t>
      </w:r>
      <w:r w:rsidR="002768E9" w:rsidRPr="00873B6C">
        <w:t xml:space="preserve"> gNB</w:t>
      </w:r>
      <w:r w:rsidRPr="00873B6C">
        <w:t xml:space="preserve">'s timing synchronization status matches the acceptance criteria received from </w:t>
      </w:r>
      <w:r w:rsidR="002768E9" w:rsidRPr="00873B6C">
        <w:t xml:space="preserve">the </w:t>
      </w:r>
      <w:r w:rsidRPr="00873B6C">
        <w:t>AMF; otherwise,</w:t>
      </w:r>
      <w:r w:rsidR="002768E9" w:rsidRPr="00873B6C">
        <w:t xml:space="preserve"> the gNB</w:t>
      </w:r>
      <w:r w:rsidRPr="00873B6C">
        <w:t xml:space="preserve"> indicates "not acceptable" to the UE.</w:t>
      </w:r>
      <w:r w:rsidR="002768E9" w:rsidRPr="00873B6C">
        <w:t xml:space="preserve"> Clock quality a</w:t>
      </w:r>
      <w:r w:rsidRPr="00873B6C">
        <w:t>cceptance criteria can be defined based on one or more</w:t>
      </w:r>
      <w:r w:rsidR="002768E9" w:rsidRPr="00873B6C">
        <w:t xml:space="preserve"> information elements listed in Table 5.27.1.12-1. If AF includes clock quality acceptance criteria in its request towards TSCTSF, the AF shall be notified about the result once TSCTSF determines whether the clock quality acceptance criteria can be met or not. Based on the notification, the AF may decide to modify the service if preferred (e.g</w:t>
      </w:r>
      <w:r w:rsidR="00965644" w:rsidRPr="00873B6C">
        <w:t>.</w:t>
      </w:r>
      <w:r w:rsidR="002768E9" w:rsidRPr="00873B6C">
        <w:t xml:space="preserve"> disable the service upon</w:t>
      </w:r>
      <w:r w:rsidR="00C62779" w:rsidRPr="00873B6C">
        <w:t xml:space="preserve"> status</w:t>
      </w:r>
      <w:r w:rsidR="002768E9" w:rsidRPr="00873B6C">
        <w:t xml:space="preserve"> degradation or enable it again upon</w:t>
      </w:r>
      <w:r w:rsidR="00C62779" w:rsidRPr="00873B6C">
        <w:t xml:space="preserve"> status improvement</w:t>
      </w:r>
      <w:r w:rsidR="002768E9" w:rsidRPr="00873B6C">
        <w:t>)</w:t>
      </w:r>
      <w:r w:rsidRPr="00873B6C">
        <w:t>.</w:t>
      </w:r>
    </w:p>
    <w:p w14:paraId="47DB49FD" w14:textId="7AF3F169" w:rsidR="002768E9" w:rsidRPr="00873B6C" w:rsidRDefault="003A5CE6" w:rsidP="003A5CE6">
      <w:r w:rsidRPr="00873B6C">
        <w:t>When determining the clock quality metrics for a UE and when determining whether clock quality is acceptable or not acceptable for a UE,</w:t>
      </w:r>
      <w:r w:rsidR="002768E9" w:rsidRPr="00873B6C">
        <w:t xml:space="preserve"> the gNB</w:t>
      </w:r>
      <w:r w:rsidRPr="00873B6C">
        <w:t xml:space="preserve"> considers whether propagation delay compensation is performed</w:t>
      </w:r>
      <w:r w:rsidR="002768E9" w:rsidRPr="00873B6C">
        <w:t>.</w:t>
      </w:r>
    </w:p>
    <w:p w14:paraId="33F2DC28" w14:textId="29DC2D99" w:rsidR="002768E9" w:rsidRPr="00873B6C" w:rsidRDefault="002768E9" w:rsidP="005A13C0">
      <w:pPr>
        <w:pStyle w:val="NO"/>
      </w:pPr>
      <w:r w:rsidRPr="00873B6C">
        <w:t>NOTE 3:</w:t>
      </w:r>
      <w:r w:rsidRPr="00873B6C">
        <w:tab/>
        <w:t>In this Release,</w:t>
      </w:r>
      <w:r w:rsidR="003A5CE6" w:rsidRPr="00873B6C">
        <w:t xml:space="preserve"> UE capabilities and internal inaccuracies are assumed to be budgeted by the client network operator when agreeing the required clock accuracy with the 5G network operator.</w:t>
      </w:r>
    </w:p>
    <w:p w14:paraId="720F418E" w14:textId="7ECE1122" w:rsidR="003A5CE6" w:rsidRPr="00873B6C" w:rsidRDefault="003A5CE6" w:rsidP="003A5CE6">
      <w:r w:rsidRPr="00873B6C">
        <w:t>To provision clock quality information to the UEs,</w:t>
      </w:r>
      <w:r w:rsidR="002768E9" w:rsidRPr="00873B6C">
        <w:t xml:space="preserve"> a gNB</w:t>
      </w:r>
      <w:r w:rsidRPr="00873B6C">
        <w:t xml:space="preserve"> uses unicast RRC signalling:</w:t>
      </w:r>
    </w:p>
    <w:p w14:paraId="0D250779" w14:textId="7A22DB00" w:rsidR="003A5CE6" w:rsidRPr="00873B6C" w:rsidRDefault="003A5CE6" w:rsidP="00972E70">
      <w:pPr>
        <w:pStyle w:val="B1"/>
      </w:pPr>
      <w:r w:rsidRPr="00873B6C">
        <w:t>-</w:t>
      </w:r>
      <w:r w:rsidRPr="00873B6C">
        <w:tab/>
        <w:t xml:space="preserve">For UEs in </w:t>
      </w:r>
      <w:r w:rsidR="002768E9" w:rsidRPr="00873B6C">
        <w:t>the</w:t>
      </w:r>
      <w:r w:rsidR="00C62779" w:rsidRPr="00873B6C">
        <w:t xml:space="preserve"> RRC_CONNECTED</w:t>
      </w:r>
      <w:r w:rsidRPr="00873B6C">
        <w:t xml:space="preserve"> state, the</w:t>
      </w:r>
      <w:r w:rsidR="002768E9" w:rsidRPr="00873B6C">
        <w:t xml:space="preserve"> gNB</w:t>
      </w:r>
      <w:r w:rsidRPr="00873B6C">
        <w:t xml:space="preserve"> uses unicast RRC signalling.</w:t>
      </w:r>
    </w:p>
    <w:p w14:paraId="6A6B9126" w14:textId="26388829" w:rsidR="003A5CE6" w:rsidRPr="00873B6C" w:rsidRDefault="003A5CE6" w:rsidP="00972E70">
      <w:pPr>
        <w:pStyle w:val="B1"/>
      </w:pPr>
      <w:r w:rsidRPr="00873B6C">
        <w:t>-</w:t>
      </w:r>
      <w:r w:rsidRPr="00873B6C">
        <w:tab/>
        <w:t>UE</w:t>
      </w:r>
      <w:r w:rsidR="002768E9" w:rsidRPr="00873B6C">
        <w:t>s</w:t>
      </w:r>
      <w:r w:rsidRPr="00873B6C">
        <w:t xml:space="preserve"> that </w:t>
      </w:r>
      <w:r w:rsidR="002768E9" w:rsidRPr="00873B6C">
        <w:t xml:space="preserve">are </w:t>
      </w:r>
      <w:r w:rsidRPr="00873B6C">
        <w:t>not in</w:t>
      </w:r>
      <w:r w:rsidR="002768E9" w:rsidRPr="00873B6C">
        <w:t xml:space="preserve"> the</w:t>
      </w:r>
      <w:r w:rsidRPr="00873B6C">
        <w:t xml:space="preserve"> RRC_CONNECTED state</w:t>
      </w:r>
      <w:r w:rsidR="002768E9" w:rsidRPr="00873B6C">
        <w:t xml:space="preserve"> first need to</w:t>
      </w:r>
      <w:r w:rsidRPr="00873B6C">
        <w:t xml:space="preserve"> establish or resume the RRC connection to receive the</w:t>
      </w:r>
      <w:r w:rsidR="00C62779" w:rsidRPr="00873B6C">
        <w:t xml:space="preserve"> clock quality</w:t>
      </w:r>
      <w:r w:rsidRPr="00873B6C">
        <w:t xml:space="preserve"> information from the</w:t>
      </w:r>
      <w:r w:rsidR="002768E9" w:rsidRPr="00873B6C">
        <w:t xml:space="preserve"> gNB via unicast RRC signalling</w:t>
      </w:r>
      <w:r w:rsidRPr="00873B6C">
        <w:t>.</w:t>
      </w:r>
    </w:p>
    <w:p w14:paraId="06F55510" w14:textId="7208AA98" w:rsidR="002768E9" w:rsidRPr="00873B6C" w:rsidRDefault="002768E9" w:rsidP="002768E9">
      <w:r w:rsidRPr="00873B6C">
        <w:t>During N2 Handover and Xn handover, Service Request, mobility registration and AM policy modification procedure, the AMF may provide the</w:t>
      </w:r>
      <w:r w:rsidR="00A10084" w:rsidRPr="00873B6C">
        <w:t xml:space="preserve"> CQRCI</w:t>
      </w:r>
      <w:r w:rsidRPr="00873B6C">
        <w:t xml:space="preserve"> to NG-RAN.</w:t>
      </w:r>
    </w:p>
    <w:p w14:paraId="32ED7EEA" w14:textId="5CC22458" w:rsidR="00D40151" w:rsidRPr="00873B6C" w:rsidRDefault="00D40151" w:rsidP="00D40151">
      <w:pPr>
        <w:pStyle w:val="Heading3"/>
      </w:pPr>
      <w:bookmarkStart w:id="3969" w:name="_CR5_27_1a"/>
      <w:bookmarkStart w:id="3970" w:name="_Toc201157473"/>
      <w:bookmarkEnd w:id="3969"/>
      <w:r w:rsidRPr="00873B6C">
        <w:t>5.27.1a</w:t>
      </w:r>
      <w:r w:rsidRPr="00873B6C">
        <w:tab/>
        <w:t>Periodic deterministic</w:t>
      </w:r>
      <w:r w:rsidR="00BB2064" w:rsidRPr="00873B6C">
        <w:t xml:space="preserve"> communication</w:t>
      </w:r>
      <w:bookmarkEnd w:id="3944"/>
      <w:bookmarkEnd w:id="3945"/>
      <w:bookmarkEnd w:id="3946"/>
      <w:bookmarkEnd w:id="3947"/>
      <w:bookmarkEnd w:id="3948"/>
      <w:bookmarkEnd w:id="3950"/>
      <w:bookmarkEnd w:id="3970"/>
    </w:p>
    <w:p w14:paraId="5C2AB27E" w14:textId="0416D60F" w:rsidR="00D40151" w:rsidRPr="00873B6C" w:rsidRDefault="00D40151" w:rsidP="00D40151">
      <w:r w:rsidRPr="00873B6C">
        <w:t>This</w:t>
      </w:r>
      <w:r w:rsidR="00BB2064" w:rsidRPr="00873B6C">
        <w:t xml:space="preserve"> clause describes 5G System</w:t>
      </w:r>
      <w:r w:rsidRPr="00873B6C">
        <w:t xml:space="preserve"> feature</w:t>
      </w:r>
      <w:r w:rsidR="00BB2064" w:rsidRPr="00873B6C">
        <w:t>s that</w:t>
      </w:r>
      <w:r w:rsidRPr="00873B6C">
        <w:t xml:space="preserve"> allow support</w:t>
      </w:r>
      <w:r w:rsidR="00BB2064" w:rsidRPr="00873B6C">
        <w:t xml:space="preserve"> of</w:t>
      </w:r>
      <w:r w:rsidRPr="00873B6C">
        <w:t xml:space="preserve"> periodic deterministic communication where the traffic characteristics are known a-priori</w:t>
      </w:r>
      <w:r w:rsidR="00472CD7" w:rsidRPr="00873B6C">
        <w:t xml:space="preserve"> and</w:t>
      </w:r>
      <w:r w:rsidRPr="00873B6C">
        <w:t xml:space="preserve"> a schedule for transmission from the UE to a downstream node, or from the UPF to an upstream node is provided via external protocols outside the scope of 3GPP (e.g. IEEE 802.1 TSN).</w:t>
      </w:r>
    </w:p>
    <w:p w14:paraId="6D0E83A8" w14:textId="77777777" w:rsidR="00D40151" w:rsidRPr="00873B6C" w:rsidRDefault="00D40151" w:rsidP="00D40151">
      <w:r w:rsidRPr="00873B6C">
        <w:t>The features include the following:</w:t>
      </w:r>
    </w:p>
    <w:p w14:paraId="60DDB5D8" w14:textId="109E008F" w:rsidR="00D40151" w:rsidRPr="00873B6C" w:rsidRDefault="00D40151" w:rsidP="00D40151">
      <w:pPr>
        <w:pStyle w:val="B1"/>
      </w:pPr>
      <w:r w:rsidRPr="00873B6C">
        <w:lastRenderedPageBreak/>
        <w:t>-</w:t>
      </w:r>
      <w:r w:rsidRPr="00873B6C">
        <w:tab/>
        <w:t xml:space="preserve">Providing TSC Assistance Information (TSCAI) that describe TSC flow traffic </w:t>
      </w:r>
      <w:r w:rsidR="00BB2064" w:rsidRPr="00873B6C">
        <w:t xml:space="preserve">characteristics </w:t>
      </w:r>
      <w:r w:rsidR="00CF2EC5" w:rsidRPr="00873B6C">
        <w:t>(</w:t>
      </w:r>
      <w:r w:rsidR="00BB2064" w:rsidRPr="00873B6C">
        <w:t>as described in clause 5.27.2</w:t>
      </w:r>
      <w:r w:rsidR="00CF2EC5" w:rsidRPr="00873B6C">
        <w:t>)</w:t>
      </w:r>
      <w:r w:rsidR="00BB2064" w:rsidRPr="00873B6C">
        <w:t xml:space="preserve"> </w:t>
      </w:r>
      <w:r w:rsidRPr="00873B6C">
        <w:t>at the gNB ingress and</w:t>
      </w:r>
      <w:r w:rsidR="00CF2EC5" w:rsidRPr="00873B6C">
        <w:t xml:space="preserve"> the egress of the</w:t>
      </w:r>
      <w:r w:rsidRPr="00873B6C">
        <w:t xml:space="preserve"> UE for traffic in downlink and uplink direction, respectively;</w:t>
      </w:r>
    </w:p>
    <w:p w14:paraId="34961C60" w14:textId="77777777" w:rsidR="00D40151" w:rsidRPr="00873B6C" w:rsidRDefault="00D40151" w:rsidP="00D40151">
      <w:pPr>
        <w:pStyle w:val="B1"/>
      </w:pPr>
      <w:r w:rsidRPr="00873B6C">
        <w:t>-</w:t>
      </w:r>
      <w:r w:rsidRPr="00873B6C">
        <w:tab/>
        <w:t>Support for hold &amp; forward buffering mechanism (see clause 5.27.4) in DS-TT and NW-TT to de-jitter flows that have traversed the 5G System.</w:t>
      </w:r>
    </w:p>
    <w:p w14:paraId="7DCB60D8" w14:textId="2E375278" w:rsidR="00D40151" w:rsidRPr="00873B6C" w:rsidRDefault="00D40151" w:rsidP="00D40151">
      <w:pPr>
        <w:pStyle w:val="Heading3"/>
      </w:pPr>
      <w:bookmarkStart w:id="3971" w:name="_CR5_27_2"/>
      <w:bookmarkStart w:id="3972" w:name="_Toc20150066"/>
      <w:bookmarkStart w:id="3973" w:name="_Toc27846865"/>
      <w:bookmarkStart w:id="3974" w:name="_Toc36187996"/>
      <w:bookmarkStart w:id="3975" w:name="_Toc45183900"/>
      <w:bookmarkStart w:id="3976" w:name="_Toc47342742"/>
      <w:bookmarkStart w:id="3977" w:name="_Toc51769443"/>
      <w:bookmarkStart w:id="3978" w:name="_Toc201157474"/>
      <w:bookmarkEnd w:id="3971"/>
      <w:r w:rsidRPr="00873B6C">
        <w:t>5.27.2</w:t>
      </w:r>
      <w:r w:rsidRPr="00873B6C">
        <w:tab/>
        <w:t>TSC Assistance Information (TSCAI)</w:t>
      </w:r>
      <w:bookmarkEnd w:id="3972"/>
      <w:bookmarkEnd w:id="3973"/>
      <w:bookmarkEnd w:id="3974"/>
      <w:bookmarkEnd w:id="3975"/>
      <w:bookmarkEnd w:id="3976"/>
      <w:bookmarkEnd w:id="3977"/>
      <w:r w:rsidR="00BB2064" w:rsidRPr="00873B6C">
        <w:t xml:space="preserve"> and TSC Assistance Container (TSCAC)</w:t>
      </w:r>
      <w:bookmarkEnd w:id="3978"/>
    </w:p>
    <w:p w14:paraId="4DF02F06" w14:textId="0D64490C" w:rsidR="000E35F2" w:rsidRPr="00873B6C" w:rsidRDefault="000E35F2" w:rsidP="000E35F2">
      <w:pPr>
        <w:pStyle w:val="Heading4"/>
      </w:pPr>
      <w:bookmarkStart w:id="3979" w:name="_CR5_27_2_1"/>
      <w:bookmarkStart w:id="3980" w:name="_Toc201157475"/>
      <w:bookmarkEnd w:id="3979"/>
      <w:r w:rsidRPr="00873B6C">
        <w:t>5.27.2.1</w:t>
      </w:r>
      <w:r w:rsidRPr="00873B6C">
        <w:tab/>
        <w:t>General</w:t>
      </w:r>
      <w:bookmarkEnd w:id="3980"/>
    </w:p>
    <w:p w14:paraId="72BC915C" w14:textId="77777777" w:rsidR="00F13E92" w:rsidRPr="00873B6C" w:rsidRDefault="000E35F2" w:rsidP="000E35F2">
      <w:r w:rsidRPr="00873B6C">
        <w:t>TSC Assistance Information (TSCAI)</w:t>
      </w:r>
      <w:r w:rsidR="00BB2064" w:rsidRPr="00873B6C">
        <w:t xml:space="preserve"> is defined in Table 5.27.2-1 and</w:t>
      </w:r>
      <w:r w:rsidRPr="00873B6C">
        <w:t xml:space="preserve"> describes TSC traffic characteristics for use in the 5G System. </w:t>
      </w:r>
      <w:r w:rsidR="00F13E92" w:rsidRPr="00873B6C">
        <w:t>It can also be used for services such as XR services (AR/VR applications) and interactive media services as specified in clause 5.37.</w:t>
      </w:r>
    </w:p>
    <w:p w14:paraId="5550B292" w14:textId="530E9D7C" w:rsidR="000E35F2" w:rsidRPr="00873B6C" w:rsidRDefault="000E35F2" w:rsidP="000E35F2">
      <w:r w:rsidRPr="00873B6C">
        <w:t>TSCAI may be used by</w:t>
      </w:r>
      <w:r w:rsidR="00BB2064" w:rsidRPr="00873B6C">
        <w:t xml:space="preserve"> the</w:t>
      </w:r>
      <w:r w:rsidRPr="00873B6C">
        <w:t xml:space="preserve"> 5G-AN</w:t>
      </w:r>
      <w:r w:rsidR="00BB2064" w:rsidRPr="00873B6C">
        <w:t>,</w:t>
      </w:r>
      <w:r w:rsidRPr="00873B6C">
        <w:t xml:space="preserve"> if provided by SMF. The knowledge of TSC traffic pattern is useful for 5G-AN </w:t>
      </w:r>
      <w:r w:rsidR="00BB2064" w:rsidRPr="00873B6C">
        <w:t xml:space="preserve">as it </w:t>
      </w:r>
      <w:r w:rsidRPr="00873B6C">
        <w:t>allow</w:t>
      </w:r>
      <w:r w:rsidR="00BB2064" w:rsidRPr="00873B6C">
        <w:t>s</w:t>
      </w:r>
      <w:r w:rsidRPr="00873B6C">
        <w:t xml:space="preserve"> more efficiently schedul</w:t>
      </w:r>
      <w:r w:rsidR="00BB2064" w:rsidRPr="00873B6C">
        <w:t xml:space="preserve">ing of QoS Flows that have a </w:t>
      </w:r>
      <w:r w:rsidRPr="00873B6C">
        <w:t xml:space="preserve">periodic, deterministic traffic </w:t>
      </w:r>
      <w:r w:rsidR="00BB2064" w:rsidRPr="00873B6C">
        <w:t xml:space="preserve">characteristics </w:t>
      </w:r>
      <w:r w:rsidRPr="00873B6C">
        <w:t>either via Configured Grants, Semi-Persistent Scheduling or with Dynamic Grants.</w:t>
      </w:r>
      <w:r w:rsidR="006E26ED" w:rsidRPr="00873B6C">
        <w:t xml:space="preserve"> TSCAI can be provided for both GBR and non-GBR QoS flows.</w:t>
      </w:r>
    </w:p>
    <w:p w14:paraId="7684F4D3" w14:textId="27395E9D" w:rsidR="000E35F2" w:rsidRPr="00873B6C" w:rsidRDefault="00BB2064" w:rsidP="000E35F2">
      <w:r w:rsidRPr="00873B6C">
        <w:t xml:space="preserve">The </w:t>
      </w:r>
      <w:r w:rsidR="00182EE7" w:rsidRPr="00873B6C">
        <w:t xml:space="preserve">TSCTSF </w:t>
      </w:r>
      <w:r w:rsidR="000E35F2" w:rsidRPr="00873B6C">
        <w:t>determine</w:t>
      </w:r>
      <w:r w:rsidRPr="00873B6C">
        <w:t>s the</w:t>
      </w:r>
      <w:r w:rsidR="000E35F2" w:rsidRPr="00873B6C">
        <w:t xml:space="preserve"> TSC Assistance Container</w:t>
      </w:r>
      <w:r w:rsidRPr="00873B6C">
        <w:t xml:space="preserve"> (defined in Table 5.27.2-2)</w:t>
      </w:r>
      <w:r w:rsidR="000E35F2" w:rsidRPr="00873B6C">
        <w:t xml:space="preserve"> based on information provided by an AF</w:t>
      </w:r>
      <w:r w:rsidR="00182EE7" w:rsidRPr="00873B6C">
        <w:t>/NEF</w:t>
      </w:r>
      <w:r w:rsidR="00E23065" w:rsidRPr="00873B6C">
        <w:t xml:space="preserve"> or a DetNet controller</w:t>
      </w:r>
      <w:r w:rsidRPr="00873B6C">
        <w:t xml:space="preserve"> as described in clause 5.27.2.3</w:t>
      </w:r>
      <w:r w:rsidR="000E35F2" w:rsidRPr="00873B6C">
        <w:t xml:space="preserve"> and provide</w:t>
      </w:r>
      <w:r w:rsidRPr="00873B6C">
        <w:t>s</w:t>
      </w:r>
      <w:r w:rsidR="000E35F2" w:rsidRPr="00873B6C">
        <w:t xml:space="preserve"> it to</w:t>
      </w:r>
      <w:r w:rsidRPr="00873B6C">
        <w:t xml:space="preserve"> the</w:t>
      </w:r>
      <w:r w:rsidR="000E35F2" w:rsidRPr="00873B6C">
        <w:t xml:space="preserve"> PCF for IP type and Ethernet type PDU </w:t>
      </w:r>
      <w:r w:rsidRPr="00873B6C">
        <w:t>S</w:t>
      </w:r>
      <w:r w:rsidR="000E35F2" w:rsidRPr="00873B6C">
        <w:t xml:space="preserve">essions. In </w:t>
      </w:r>
      <w:r w:rsidRPr="00873B6C">
        <w:t xml:space="preserve">the </w:t>
      </w:r>
      <w:r w:rsidR="000E35F2" w:rsidRPr="00873B6C">
        <w:t xml:space="preserve">case of integration with IEEE TSN network, </w:t>
      </w:r>
      <w:r w:rsidRPr="00873B6C">
        <w:t xml:space="preserve">the </w:t>
      </w:r>
      <w:r w:rsidR="000E35F2" w:rsidRPr="00873B6C">
        <w:t>TSN AF determine</w:t>
      </w:r>
      <w:r w:rsidRPr="00873B6C">
        <w:t>s</w:t>
      </w:r>
      <w:r w:rsidR="000E35F2" w:rsidRPr="00873B6C">
        <w:t xml:space="preserve"> TSC Assistance Container as described in clause 5.27.2.2 and provide</w:t>
      </w:r>
      <w:r w:rsidRPr="00873B6C">
        <w:t>s</w:t>
      </w:r>
      <w:r w:rsidR="000E35F2" w:rsidRPr="00873B6C">
        <w:t xml:space="preserve"> it to</w:t>
      </w:r>
      <w:r w:rsidRPr="00873B6C">
        <w:t xml:space="preserve"> the</w:t>
      </w:r>
      <w:r w:rsidR="000E35F2" w:rsidRPr="00873B6C">
        <w:t xml:space="preserve"> PCF for Ethernet PDU </w:t>
      </w:r>
      <w:r w:rsidRPr="00873B6C">
        <w:t>S</w:t>
      </w:r>
      <w:r w:rsidR="000E35F2" w:rsidRPr="00873B6C">
        <w:t xml:space="preserve">essions. </w:t>
      </w:r>
      <w:r w:rsidRPr="00873B6C">
        <w:t xml:space="preserve">The </w:t>
      </w:r>
      <w:r w:rsidR="000E35F2" w:rsidRPr="00873B6C">
        <w:t xml:space="preserve">PCF </w:t>
      </w:r>
      <w:r w:rsidRPr="00873B6C">
        <w:t xml:space="preserve">receives </w:t>
      </w:r>
      <w:r w:rsidR="000E35F2" w:rsidRPr="00873B6C">
        <w:t>the TSC Assistance Container</w:t>
      </w:r>
      <w:r w:rsidRPr="00873B6C">
        <w:t xml:space="preserve"> from the TSCTSF or the TSN AF and forwards it</w:t>
      </w:r>
      <w:r w:rsidR="000E35F2" w:rsidRPr="00873B6C">
        <w:t xml:space="preserve"> to</w:t>
      </w:r>
      <w:r w:rsidRPr="00873B6C">
        <w:t xml:space="preserve"> the</w:t>
      </w:r>
      <w:r w:rsidR="000E35F2" w:rsidRPr="00873B6C">
        <w:t xml:space="preserve"> SMF as part of PCC rule</w:t>
      </w:r>
      <w:r w:rsidRPr="00873B6C">
        <w:t xml:space="preserve"> as described in clause 6.1.3.23a of </w:t>
      </w:r>
      <w:r w:rsidR="00972E70" w:rsidRPr="00873B6C">
        <w:t>TS 23.503 [</w:t>
      </w:r>
      <w:r w:rsidRPr="00873B6C">
        <w:t>45]</w:t>
      </w:r>
      <w:r w:rsidR="000E35F2" w:rsidRPr="00873B6C">
        <w:t>.</w:t>
      </w:r>
    </w:p>
    <w:p w14:paraId="550572B1" w14:textId="6E08106C" w:rsidR="000E35F2" w:rsidRPr="00873B6C" w:rsidRDefault="00BB2064" w:rsidP="000E35F2">
      <w:r w:rsidRPr="00873B6C">
        <w:t xml:space="preserve">The </w:t>
      </w:r>
      <w:r w:rsidR="000E35F2" w:rsidRPr="00873B6C">
        <w:t>SMF binds</w:t>
      </w:r>
      <w:r w:rsidRPr="00873B6C">
        <w:t xml:space="preserve"> a</w:t>
      </w:r>
      <w:r w:rsidR="000E35F2" w:rsidRPr="00873B6C">
        <w:t xml:space="preserve"> PCC rule with a TSC Assistance Container</w:t>
      </w:r>
      <w:r w:rsidRPr="00873B6C">
        <w:t xml:space="preserve"> to a QoS Flow</w:t>
      </w:r>
      <w:r w:rsidR="000E35F2" w:rsidRPr="00873B6C">
        <w:t xml:space="preserve"> as described in clause 6.1.3.2.4 of </w:t>
      </w:r>
      <w:r w:rsidR="00972E70" w:rsidRPr="00873B6C">
        <w:t>TS 23.503 [</w:t>
      </w:r>
      <w:r w:rsidR="000E35F2" w:rsidRPr="00873B6C">
        <w:t xml:space="preserve">45]. </w:t>
      </w:r>
      <w:r w:rsidRPr="00873B6C">
        <w:t xml:space="preserve">The </w:t>
      </w:r>
      <w:r w:rsidR="000E35F2" w:rsidRPr="00873B6C">
        <w:t>SMF uses the TSC Assistance Container to derive</w:t>
      </w:r>
      <w:r w:rsidRPr="00873B6C">
        <w:t xml:space="preserve"> the</w:t>
      </w:r>
      <w:r w:rsidR="000E35F2" w:rsidRPr="00873B6C">
        <w:t xml:space="preserve"> TSCAI</w:t>
      </w:r>
      <w:r w:rsidRPr="00873B6C">
        <w:t xml:space="preserve"> for that</w:t>
      </w:r>
      <w:r w:rsidR="000E35F2" w:rsidRPr="00873B6C">
        <w:t xml:space="preserve"> QoS Flow and sends </w:t>
      </w:r>
      <w:r w:rsidRPr="00873B6C">
        <w:t xml:space="preserve">the derived TSCAI </w:t>
      </w:r>
      <w:r w:rsidR="000E35F2" w:rsidRPr="00873B6C">
        <w:t>to</w:t>
      </w:r>
      <w:r w:rsidRPr="00873B6C">
        <w:t xml:space="preserve"> the</w:t>
      </w:r>
      <w:r w:rsidR="000E35F2" w:rsidRPr="00873B6C">
        <w:t xml:space="preserve"> NG-RAN. The Periodicity</w:t>
      </w:r>
      <w:r w:rsidR="002062D8" w:rsidRPr="00873B6C">
        <w:t>, Periodicity Range</w:t>
      </w:r>
      <w:r w:rsidR="000E35F2" w:rsidRPr="00873B6C">
        <w:t>, Burst Arrival Time</w:t>
      </w:r>
      <w:r w:rsidR="002062D8" w:rsidRPr="00873B6C">
        <w:t xml:space="preserve"> (BAT)</w:t>
      </w:r>
      <w:r w:rsidR="000E35F2" w:rsidRPr="00873B6C">
        <w:t>,</w:t>
      </w:r>
      <w:r w:rsidR="002062D8" w:rsidRPr="00873B6C">
        <w:t xml:space="preserve"> BAT Window</w:t>
      </w:r>
      <w:r w:rsidR="000E35F2" w:rsidRPr="00873B6C">
        <w:t xml:space="preserve"> and Survival Time components of the TSCAI are specified</w:t>
      </w:r>
      <w:r w:rsidRPr="00873B6C">
        <w:t xml:space="preserve"> by the SMF</w:t>
      </w:r>
      <w:r w:rsidR="000E35F2" w:rsidRPr="00873B6C">
        <w:t xml:space="preserve"> with respect to the 5G clock. The SMF is responsible for mapping the Burst Arrival Time</w:t>
      </w:r>
      <w:r w:rsidR="002062D8" w:rsidRPr="00873B6C">
        <w:t>, BAT Window,</w:t>
      </w:r>
      <w:r w:rsidR="000E35F2" w:rsidRPr="00873B6C">
        <w:t xml:space="preserve"> Periodicity</w:t>
      </w:r>
      <w:r w:rsidR="002062D8" w:rsidRPr="00873B6C">
        <w:t xml:space="preserve"> and Periodicity Range</w:t>
      </w:r>
      <w:r w:rsidR="000E35F2" w:rsidRPr="00873B6C">
        <w:t xml:space="preserve"> from an external clock (when available) to the 5G clock based on the time offset and cumulative rateRatio</w:t>
      </w:r>
      <w:r w:rsidR="00426DE4" w:rsidRPr="00873B6C">
        <w:t xml:space="preserve"> (when available)</w:t>
      </w:r>
      <w:r w:rsidR="000E35F2" w:rsidRPr="00873B6C">
        <w:t xml:space="preserve"> between the external clock time and 5GS time as measured and reported by the UPF. The SMF</w:t>
      </w:r>
      <w:r w:rsidR="00426DE4" w:rsidRPr="00873B6C">
        <w:t xml:space="preserve"> determines</w:t>
      </w:r>
      <w:r w:rsidR="000E35F2" w:rsidRPr="00873B6C">
        <w:t xml:space="preserve"> the TSCAI</w:t>
      </w:r>
      <w:r w:rsidR="00426DE4" w:rsidRPr="00873B6C">
        <w:t xml:space="preserve"> as described in clause 5.27.2.4</w:t>
      </w:r>
      <w:r w:rsidR="000E35F2" w:rsidRPr="00873B6C">
        <w:t>.</w:t>
      </w:r>
    </w:p>
    <w:p w14:paraId="040D07D6" w14:textId="54511DA3" w:rsidR="000E35F2" w:rsidRPr="00873B6C" w:rsidRDefault="00B96062" w:rsidP="000E35F2">
      <w:r w:rsidRPr="00873B6C">
        <w:t xml:space="preserve">A </w:t>
      </w:r>
      <w:r w:rsidR="000E35F2" w:rsidRPr="00873B6C">
        <w:t>Survival Time</w:t>
      </w:r>
      <w:r w:rsidR="00BB2064" w:rsidRPr="00873B6C">
        <w:t>, which indicates the time period an application can survive without any data burst,</w:t>
      </w:r>
      <w:r w:rsidR="000E35F2" w:rsidRPr="00873B6C">
        <w:t xml:space="preserve"> may be provided by TSN AF/AF</w:t>
      </w:r>
      <w:r w:rsidR="00E23065" w:rsidRPr="00873B6C">
        <w:t xml:space="preserve"> or by the TSCTSF</w:t>
      </w:r>
      <w:r w:rsidR="000E35F2" w:rsidRPr="00873B6C">
        <w:t xml:space="preserve"> either in terms of maximum number of messages</w:t>
      </w:r>
      <w:r w:rsidRPr="00873B6C">
        <w:t xml:space="preserve"> (message is equivalent to</w:t>
      </w:r>
      <w:r w:rsidR="00BB2064" w:rsidRPr="00873B6C">
        <w:t xml:space="preserve"> all packets of</w:t>
      </w:r>
      <w:r w:rsidRPr="00873B6C">
        <w:t xml:space="preserve"> a</w:t>
      </w:r>
      <w:r w:rsidR="00BB2064" w:rsidRPr="00873B6C">
        <w:t xml:space="preserve"> data</w:t>
      </w:r>
      <w:r w:rsidRPr="00873B6C">
        <w:t xml:space="preserve"> burst) or in terms of time units. </w:t>
      </w:r>
      <w:r w:rsidR="00BB2064" w:rsidRPr="00873B6C">
        <w:t>Only a s</w:t>
      </w:r>
      <w:r w:rsidRPr="00873B6C">
        <w:t>ingle</w:t>
      </w:r>
      <w:r w:rsidR="00BB2064" w:rsidRPr="00873B6C">
        <w:t xml:space="preserve"> data</w:t>
      </w:r>
      <w:r w:rsidRPr="00873B6C">
        <w:t xml:space="preserve"> burst is expected within a single time period referred to as the periodicity</w:t>
      </w:r>
      <w:r w:rsidR="000E35F2" w:rsidRPr="00873B6C">
        <w:t>.</w:t>
      </w:r>
    </w:p>
    <w:p w14:paraId="27AF18D3" w14:textId="4E3FAF4A" w:rsidR="00BB2064" w:rsidRPr="00873B6C" w:rsidRDefault="00BB2064" w:rsidP="00BB2064">
      <w:r w:rsidRPr="00873B6C">
        <w:t xml:space="preserve">The SMF may send an update of the TSCAI to the NG-RAN as defined in clauses 4.3.3.2, 4.9.1.2.2 and 4.9.1.3.2 of </w:t>
      </w:r>
      <w:r w:rsidR="00972E70" w:rsidRPr="00873B6C">
        <w:t>TS 23.502 [</w:t>
      </w:r>
      <w:r w:rsidRPr="00873B6C">
        <w:t>3]</w:t>
      </w:r>
      <w:r w:rsidR="00E637EF" w:rsidRPr="00873B6C">
        <w:t xml:space="preserve"> or as defined in clause 5.37.8.2</w:t>
      </w:r>
      <w:r w:rsidRPr="00873B6C">
        <w:t>.</w:t>
      </w:r>
    </w:p>
    <w:p w14:paraId="5B52FACB" w14:textId="266C6D62" w:rsidR="000E35F2" w:rsidRPr="00873B6C" w:rsidRDefault="000E35F2" w:rsidP="00323277">
      <w:pPr>
        <w:pStyle w:val="TH"/>
        <w:rPr>
          <w:lang w:val="fr-FR"/>
        </w:rPr>
      </w:pPr>
      <w:bookmarkStart w:id="3981" w:name="_CRTable5_27_21"/>
      <w:r w:rsidRPr="00873B6C">
        <w:rPr>
          <w:lang w:val="fr-FR"/>
        </w:rPr>
        <w:lastRenderedPageBreak/>
        <w:t xml:space="preserve">Table </w:t>
      </w:r>
      <w:bookmarkEnd w:id="3981"/>
      <w:r w:rsidRPr="00873B6C">
        <w:rPr>
          <w:lang w:val="fr-FR"/>
        </w:rPr>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873B6C" w14:paraId="22E9B0EB" w14:textId="77777777" w:rsidTr="00FD5C4A">
        <w:trPr>
          <w:cantSplit/>
          <w:jc w:val="center"/>
        </w:trPr>
        <w:tc>
          <w:tcPr>
            <w:tcW w:w="3166" w:type="dxa"/>
            <w:shd w:val="clear" w:color="auto" w:fill="auto"/>
          </w:tcPr>
          <w:p w14:paraId="084894C0" w14:textId="77777777" w:rsidR="000E35F2" w:rsidRPr="00873B6C" w:rsidRDefault="000E35F2" w:rsidP="00D63C5A">
            <w:pPr>
              <w:pStyle w:val="TAH"/>
            </w:pPr>
            <w:r w:rsidRPr="00873B6C">
              <w:t>Assistance Information</w:t>
            </w:r>
          </w:p>
        </w:tc>
        <w:tc>
          <w:tcPr>
            <w:tcW w:w="6465" w:type="dxa"/>
            <w:shd w:val="clear" w:color="auto" w:fill="auto"/>
          </w:tcPr>
          <w:p w14:paraId="637F3A3A" w14:textId="77777777" w:rsidR="000E35F2" w:rsidRPr="00873B6C" w:rsidRDefault="000E35F2" w:rsidP="00D63C5A">
            <w:pPr>
              <w:pStyle w:val="TAH"/>
            </w:pPr>
            <w:r w:rsidRPr="00873B6C">
              <w:t>Description</w:t>
            </w:r>
          </w:p>
        </w:tc>
      </w:tr>
      <w:tr w:rsidR="000E35F2" w:rsidRPr="00873B6C" w14:paraId="37F5FA4A" w14:textId="77777777" w:rsidTr="00FD5C4A">
        <w:trPr>
          <w:cantSplit/>
          <w:jc w:val="center"/>
        </w:trPr>
        <w:tc>
          <w:tcPr>
            <w:tcW w:w="3166" w:type="dxa"/>
            <w:shd w:val="clear" w:color="auto" w:fill="auto"/>
          </w:tcPr>
          <w:p w14:paraId="7A34E5C8" w14:textId="3BDC888C" w:rsidR="000E35F2" w:rsidRPr="00873B6C" w:rsidRDefault="000E35F2" w:rsidP="000E35F2">
            <w:pPr>
              <w:pStyle w:val="TAL"/>
            </w:pPr>
            <w:r w:rsidRPr="00873B6C">
              <w:t>Flow Direction</w:t>
            </w:r>
          </w:p>
        </w:tc>
        <w:tc>
          <w:tcPr>
            <w:tcW w:w="6465" w:type="dxa"/>
            <w:shd w:val="clear" w:color="auto" w:fill="auto"/>
          </w:tcPr>
          <w:p w14:paraId="5A60359F" w14:textId="4905C2C0" w:rsidR="000E35F2" w:rsidRPr="00873B6C" w:rsidRDefault="000E35F2" w:rsidP="000E35F2">
            <w:pPr>
              <w:pStyle w:val="TAL"/>
            </w:pPr>
            <w:r w:rsidRPr="00873B6C">
              <w:t>The direction of the flow (uplink or downlink).</w:t>
            </w:r>
          </w:p>
        </w:tc>
      </w:tr>
      <w:tr w:rsidR="000E35F2" w:rsidRPr="00873B6C" w14:paraId="73D21450" w14:textId="77777777" w:rsidTr="00FD5C4A">
        <w:trPr>
          <w:cantSplit/>
          <w:jc w:val="center"/>
        </w:trPr>
        <w:tc>
          <w:tcPr>
            <w:tcW w:w="3166" w:type="dxa"/>
            <w:shd w:val="clear" w:color="auto" w:fill="auto"/>
          </w:tcPr>
          <w:p w14:paraId="728FC771" w14:textId="166F3CDA" w:rsidR="000E35F2" w:rsidRPr="00873B6C" w:rsidRDefault="000E35F2" w:rsidP="000E35F2">
            <w:pPr>
              <w:pStyle w:val="TAL"/>
            </w:pPr>
            <w:r w:rsidRPr="00873B6C">
              <w:t>Periodicity</w:t>
            </w:r>
          </w:p>
        </w:tc>
        <w:tc>
          <w:tcPr>
            <w:tcW w:w="6465" w:type="dxa"/>
            <w:shd w:val="clear" w:color="auto" w:fill="auto"/>
          </w:tcPr>
          <w:p w14:paraId="10E31CBC" w14:textId="7C6D2FCB" w:rsidR="000E35F2" w:rsidRPr="00873B6C" w:rsidRDefault="000E35F2" w:rsidP="000E35F2">
            <w:pPr>
              <w:pStyle w:val="TAL"/>
            </w:pPr>
            <w:r w:rsidRPr="00873B6C">
              <w:t>It refers to the time period between start of two</w:t>
            </w:r>
            <w:r w:rsidR="00BB2064" w:rsidRPr="00873B6C">
              <w:t xml:space="preserve"> data</w:t>
            </w:r>
            <w:r w:rsidRPr="00873B6C">
              <w:t xml:space="preserve"> bursts.</w:t>
            </w:r>
          </w:p>
        </w:tc>
      </w:tr>
      <w:tr w:rsidR="000E35F2" w:rsidRPr="00873B6C" w14:paraId="26A7DD96" w14:textId="77777777" w:rsidTr="00FD5C4A">
        <w:trPr>
          <w:cantSplit/>
          <w:jc w:val="center"/>
        </w:trPr>
        <w:tc>
          <w:tcPr>
            <w:tcW w:w="3166" w:type="dxa"/>
            <w:shd w:val="clear" w:color="auto" w:fill="auto"/>
          </w:tcPr>
          <w:p w14:paraId="5D622DDB" w14:textId="364AD6EB" w:rsidR="000E35F2" w:rsidRPr="00873B6C" w:rsidRDefault="000E35F2" w:rsidP="000E35F2">
            <w:pPr>
              <w:pStyle w:val="TAL"/>
            </w:pPr>
            <w:r w:rsidRPr="00873B6C">
              <w:t xml:space="preserve">Burst Arrival </w:t>
            </w:r>
            <w:r w:rsidR="00BB2064" w:rsidRPr="00873B6C">
              <w:t>T</w:t>
            </w:r>
            <w:r w:rsidRPr="00873B6C">
              <w:t>ime (</w:t>
            </w:r>
            <w:r w:rsidR="00BB2064" w:rsidRPr="00873B6C">
              <w:t>o</w:t>
            </w:r>
            <w:r w:rsidRPr="00873B6C">
              <w:t>ptional)</w:t>
            </w:r>
          </w:p>
        </w:tc>
        <w:tc>
          <w:tcPr>
            <w:tcW w:w="6465" w:type="dxa"/>
            <w:shd w:val="clear" w:color="auto" w:fill="auto"/>
          </w:tcPr>
          <w:p w14:paraId="1A8620DF" w14:textId="188826F9" w:rsidR="000E35F2" w:rsidRPr="00873B6C" w:rsidRDefault="000E35F2" w:rsidP="000E35F2">
            <w:pPr>
              <w:pStyle w:val="TAL"/>
            </w:pPr>
            <w:r w:rsidRPr="00873B6C">
              <w:t>The latest possible time when the first packet of the data burst arrives at either the ingress of the RAN (downlink flow direction) or</w:t>
            </w:r>
            <w:r w:rsidR="00BB2064" w:rsidRPr="00873B6C">
              <w:t xml:space="preserve"> the</w:t>
            </w:r>
            <w:r w:rsidRPr="00873B6C">
              <w:t xml:space="preserve"> egress of the UE (uplink flow direction).</w:t>
            </w:r>
          </w:p>
        </w:tc>
      </w:tr>
      <w:tr w:rsidR="000E35F2" w:rsidRPr="00873B6C" w14:paraId="6129E609" w14:textId="77777777" w:rsidTr="00FD5C4A">
        <w:trPr>
          <w:cantSplit/>
          <w:jc w:val="center"/>
        </w:trPr>
        <w:tc>
          <w:tcPr>
            <w:tcW w:w="3166" w:type="dxa"/>
            <w:shd w:val="clear" w:color="auto" w:fill="auto"/>
          </w:tcPr>
          <w:p w14:paraId="77B29092" w14:textId="7023D01B" w:rsidR="000E35F2" w:rsidRPr="00873B6C" w:rsidRDefault="000E35F2" w:rsidP="000E35F2">
            <w:pPr>
              <w:pStyle w:val="TAL"/>
            </w:pPr>
            <w:r w:rsidRPr="00873B6C">
              <w:t>Survival Time (</w:t>
            </w:r>
            <w:r w:rsidR="00BB2064" w:rsidRPr="00873B6C">
              <w:t>o</w:t>
            </w:r>
            <w:r w:rsidRPr="00873B6C">
              <w:t>ptional)</w:t>
            </w:r>
          </w:p>
        </w:tc>
        <w:tc>
          <w:tcPr>
            <w:tcW w:w="6465" w:type="dxa"/>
            <w:shd w:val="clear" w:color="auto" w:fill="auto"/>
          </w:tcPr>
          <w:p w14:paraId="18612089" w14:textId="7D17487D" w:rsidR="000E35F2" w:rsidRPr="00873B6C" w:rsidRDefault="0010039C" w:rsidP="000E35F2">
            <w:pPr>
              <w:pStyle w:val="TAL"/>
            </w:pPr>
            <w:r w:rsidRPr="00873B6C">
              <w:t>Survival Time, as defined in TS 22.261 [2],</w:t>
            </w:r>
            <w:r w:rsidR="005309E6" w:rsidRPr="00873B6C">
              <w:t xml:space="preserve"> refers to</w:t>
            </w:r>
            <w:r w:rsidRPr="00873B6C">
              <w:t xml:space="preserve"> </w:t>
            </w:r>
            <w:r w:rsidR="000E35F2" w:rsidRPr="00873B6C">
              <w:t>the time period an application can survive without any</w:t>
            </w:r>
            <w:r w:rsidR="00BB2064" w:rsidRPr="00873B6C">
              <w:t xml:space="preserve"> data</w:t>
            </w:r>
            <w:r w:rsidR="000E35F2" w:rsidRPr="00873B6C">
              <w:t xml:space="preserve"> burst.</w:t>
            </w:r>
          </w:p>
        </w:tc>
      </w:tr>
      <w:tr w:rsidR="0026280E" w:rsidRPr="00873B6C" w14:paraId="2D003E00" w14:textId="77777777" w:rsidTr="00FD5C4A">
        <w:trPr>
          <w:cantSplit/>
          <w:jc w:val="center"/>
        </w:trPr>
        <w:tc>
          <w:tcPr>
            <w:tcW w:w="3166" w:type="dxa"/>
            <w:shd w:val="clear" w:color="auto" w:fill="auto"/>
          </w:tcPr>
          <w:p w14:paraId="1A62FAE0" w14:textId="77777777" w:rsidR="00872C86" w:rsidRPr="00873B6C" w:rsidRDefault="00872C86" w:rsidP="000E35F2">
            <w:pPr>
              <w:pStyle w:val="TAL"/>
            </w:pPr>
            <w:r w:rsidRPr="00873B6C">
              <w:t>Burst Arrival Time Window (BAT Window) (optional)</w:t>
            </w:r>
          </w:p>
          <w:p w14:paraId="58B00838" w14:textId="37FA763B" w:rsidR="0026280E" w:rsidRPr="00873B6C" w:rsidRDefault="00872C86" w:rsidP="000E35F2">
            <w:pPr>
              <w:pStyle w:val="TAL"/>
            </w:pPr>
            <w:r w:rsidRPr="00873B6C">
              <w:t>(NOTE 1) (NOTE 2)</w:t>
            </w:r>
          </w:p>
        </w:tc>
        <w:tc>
          <w:tcPr>
            <w:tcW w:w="6465" w:type="dxa"/>
            <w:shd w:val="clear" w:color="auto" w:fill="auto"/>
          </w:tcPr>
          <w:p w14:paraId="7438401B" w14:textId="4B0DE652" w:rsidR="0026280E" w:rsidRPr="00873B6C" w:rsidRDefault="00872C86" w:rsidP="000E35F2">
            <w:pPr>
              <w:pStyle w:val="TAL"/>
            </w:pPr>
            <w:r w:rsidRPr="00873B6C">
              <w:t>Indicates the acceptable earliest and latest arrival time of the first packet of the data burst at either the ingress of the RAN (downlink flow direction) or the egress of the UE (uplink flow direction).</w:t>
            </w:r>
          </w:p>
        </w:tc>
      </w:tr>
      <w:tr w:rsidR="0026280E" w:rsidRPr="00873B6C" w14:paraId="5BE117AA" w14:textId="77777777" w:rsidTr="00FD5C4A">
        <w:trPr>
          <w:cantSplit/>
          <w:jc w:val="center"/>
        </w:trPr>
        <w:tc>
          <w:tcPr>
            <w:tcW w:w="3166" w:type="dxa"/>
            <w:shd w:val="clear" w:color="auto" w:fill="auto"/>
          </w:tcPr>
          <w:p w14:paraId="12714E8F" w14:textId="3AC04759" w:rsidR="0026280E" w:rsidRPr="00873B6C" w:rsidRDefault="00872C86" w:rsidP="000E35F2">
            <w:pPr>
              <w:pStyle w:val="TAL"/>
            </w:pPr>
            <w:r w:rsidRPr="00873B6C">
              <w:t>Capability for BAT adaptation (optional) (NOTE 1)</w:t>
            </w:r>
          </w:p>
        </w:tc>
        <w:tc>
          <w:tcPr>
            <w:tcW w:w="6465" w:type="dxa"/>
            <w:shd w:val="clear" w:color="auto" w:fill="auto"/>
          </w:tcPr>
          <w:p w14:paraId="1FDF7D92" w14:textId="1858DA28" w:rsidR="0026280E" w:rsidRPr="00873B6C" w:rsidRDefault="00872C86" w:rsidP="000E35F2">
            <w:pPr>
              <w:pStyle w:val="TAL"/>
            </w:pPr>
            <w:r w:rsidRPr="00873B6C">
              <w:t>Indicates that the AF will adjust the burst sending time according to the network provided Burst Arrival Time offset (see clause 5.27.2.5).</w:t>
            </w:r>
          </w:p>
        </w:tc>
      </w:tr>
      <w:tr w:rsidR="00E637EF" w:rsidRPr="00873B6C" w14:paraId="1DECEF37" w14:textId="77777777" w:rsidTr="00C9561D">
        <w:trPr>
          <w:cantSplit/>
          <w:jc w:val="center"/>
        </w:trPr>
        <w:tc>
          <w:tcPr>
            <w:tcW w:w="3166" w:type="dxa"/>
            <w:shd w:val="clear" w:color="auto" w:fill="auto"/>
          </w:tcPr>
          <w:p w14:paraId="63A05003" w14:textId="77777777" w:rsidR="00E637EF" w:rsidRPr="00873B6C" w:rsidRDefault="00E637EF" w:rsidP="00C9561D">
            <w:pPr>
              <w:pStyle w:val="TAL"/>
            </w:pPr>
            <w:r w:rsidRPr="00873B6C">
              <w:t>N6 Jitter Information (optional)</w:t>
            </w:r>
          </w:p>
          <w:p w14:paraId="3013AB6C" w14:textId="59507C05" w:rsidR="00E637EF" w:rsidRPr="00873B6C" w:rsidRDefault="00E637EF" w:rsidP="00C9561D">
            <w:pPr>
              <w:pStyle w:val="TAL"/>
            </w:pPr>
            <w:r w:rsidRPr="00873B6C">
              <w:t>(NOTE 3)</w:t>
            </w:r>
          </w:p>
        </w:tc>
        <w:tc>
          <w:tcPr>
            <w:tcW w:w="6465" w:type="dxa"/>
            <w:shd w:val="clear" w:color="auto" w:fill="auto"/>
          </w:tcPr>
          <w:p w14:paraId="7DA42A05" w14:textId="4957DF4D" w:rsidR="00E637EF" w:rsidRPr="00873B6C" w:rsidRDefault="00E637EF" w:rsidP="00C9561D">
            <w:pPr>
              <w:pStyle w:val="TAL"/>
            </w:pPr>
            <w:r w:rsidRPr="00873B6C">
              <w:t>Jitter information associated with the Periodicity in downlink (see clause 5.37</w:t>
            </w:r>
            <w:r w:rsidR="00965644" w:rsidRPr="00873B6C">
              <w:t>.</w:t>
            </w:r>
            <w:r w:rsidRPr="00873B6C">
              <w:t>8.1).</w:t>
            </w:r>
          </w:p>
        </w:tc>
      </w:tr>
      <w:tr w:rsidR="00286939" w:rsidRPr="00873B6C" w14:paraId="6A9D6631" w14:textId="77777777" w:rsidTr="00C9561D">
        <w:trPr>
          <w:cantSplit/>
          <w:jc w:val="center"/>
        </w:trPr>
        <w:tc>
          <w:tcPr>
            <w:tcW w:w="3166" w:type="dxa"/>
            <w:shd w:val="clear" w:color="auto" w:fill="auto"/>
          </w:tcPr>
          <w:p w14:paraId="07D37945" w14:textId="23256D2A" w:rsidR="00286939" w:rsidRPr="00873B6C" w:rsidRDefault="00286939" w:rsidP="00C9561D">
            <w:pPr>
              <w:pStyle w:val="TAL"/>
            </w:pPr>
            <w:r w:rsidRPr="00873B6C">
              <w:t>Periodicity Range (optional) (NOTE </w:t>
            </w:r>
            <w:r w:rsidR="00E637EF" w:rsidRPr="00873B6C">
              <w:t>4</w:t>
            </w:r>
            <w:r w:rsidRPr="00873B6C">
              <w:t>)</w:t>
            </w:r>
          </w:p>
        </w:tc>
        <w:tc>
          <w:tcPr>
            <w:tcW w:w="6465" w:type="dxa"/>
            <w:shd w:val="clear" w:color="auto" w:fill="auto"/>
          </w:tcPr>
          <w:p w14:paraId="56E00144" w14:textId="0B70C15F" w:rsidR="00286939" w:rsidRPr="00873B6C" w:rsidRDefault="00286939" w:rsidP="00C9561D">
            <w:pPr>
              <w:pStyle w:val="TAL"/>
            </w:pPr>
            <w:r w:rsidRPr="00873B6C">
              <w:t>It indicates that the AF will adjust the periodicity and provides the acceptable range</w:t>
            </w:r>
            <w:r w:rsidR="00114986" w:rsidRPr="00873B6C">
              <w:t xml:space="preserve"> (which is</w:t>
            </w:r>
            <w:r w:rsidRPr="00873B6C">
              <w:t xml:space="preserve"> formulated as lower bound and upper bound of the Periodicity</w:t>
            </w:r>
            <w:r w:rsidR="00114986" w:rsidRPr="00873B6C">
              <w:t>) or acceptable Periodicity value(s) (which is formulated as a list of values for the Periodicity)</w:t>
            </w:r>
            <w:r w:rsidRPr="00873B6C">
              <w:t>.</w:t>
            </w:r>
          </w:p>
        </w:tc>
      </w:tr>
      <w:tr w:rsidR="0026280E" w:rsidRPr="00873B6C" w14:paraId="47249E56" w14:textId="77777777" w:rsidTr="00C9561D">
        <w:trPr>
          <w:cantSplit/>
          <w:jc w:val="center"/>
        </w:trPr>
        <w:tc>
          <w:tcPr>
            <w:tcW w:w="9631" w:type="dxa"/>
            <w:gridSpan w:val="2"/>
            <w:shd w:val="clear" w:color="auto" w:fill="auto"/>
          </w:tcPr>
          <w:p w14:paraId="475A97E7" w14:textId="504C171C" w:rsidR="00872C86" w:rsidRPr="00873B6C" w:rsidRDefault="00872C86">
            <w:pPr>
              <w:pStyle w:val="TAN"/>
            </w:pPr>
            <w:r w:rsidRPr="00873B6C">
              <w:t>NOTE 1:</w:t>
            </w:r>
            <w:r w:rsidRPr="00873B6C">
              <w:tab/>
              <w:t>Only one of the parameters (BAT Window or Capability for BAT adaptation) can be provided.</w:t>
            </w:r>
          </w:p>
          <w:p w14:paraId="459C9EAA" w14:textId="2A28FF51" w:rsidR="00E637EF" w:rsidRPr="00873B6C" w:rsidRDefault="00872C86" w:rsidP="00695DF1">
            <w:pPr>
              <w:pStyle w:val="TAN"/>
            </w:pPr>
            <w:r w:rsidRPr="00873B6C">
              <w:t>NOTE 2:</w:t>
            </w:r>
            <w:r w:rsidRPr="00873B6C">
              <w:tab/>
              <w:t xml:space="preserve">The parameter </w:t>
            </w:r>
            <w:r w:rsidR="00286939" w:rsidRPr="00873B6C">
              <w:t xml:space="preserve">can </w:t>
            </w:r>
            <w:r w:rsidRPr="00873B6C">
              <w:t>only be provided together with Burst Arrival Time.</w:t>
            </w:r>
          </w:p>
          <w:p w14:paraId="4EEB8038" w14:textId="5793361E" w:rsidR="00286939" w:rsidRPr="00873B6C" w:rsidRDefault="00E637EF" w:rsidP="00695DF1">
            <w:pPr>
              <w:pStyle w:val="TAN"/>
            </w:pPr>
            <w:r w:rsidRPr="00873B6C">
              <w:t>NOTE 3:</w:t>
            </w:r>
            <w:r w:rsidRPr="00873B6C">
              <w:tab/>
              <w:t>Only one of the parameters Burst Arrival Time or N6 Jitter Information may be provided for a given Traffic Flow</w:t>
            </w:r>
            <w:r w:rsidR="00C30502" w:rsidRPr="00873B6C">
              <w:t>.</w:t>
            </w:r>
          </w:p>
          <w:p w14:paraId="0194DE66" w14:textId="5CC81EFF" w:rsidR="0026280E" w:rsidRPr="00873B6C" w:rsidRDefault="00286939" w:rsidP="00695DF1">
            <w:pPr>
              <w:pStyle w:val="TAN"/>
            </w:pPr>
            <w:r w:rsidRPr="00873B6C">
              <w:t>NOTE </w:t>
            </w:r>
            <w:r w:rsidR="00E637EF" w:rsidRPr="00873B6C">
              <w:t>4</w:t>
            </w:r>
            <w:r w:rsidRPr="00873B6C">
              <w:t>:</w:t>
            </w:r>
            <w:r w:rsidRPr="00873B6C">
              <w:tab/>
              <w:t>The Periodicity Range can only be provided together with Periodicity when Burst Arrival Time and Burst Arrival Time Window are present.</w:t>
            </w:r>
          </w:p>
        </w:tc>
      </w:tr>
    </w:tbl>
    <w:p w14:paraId="10EC7D6A" w14:textId="77777777" w:rsidR="000E35F2" w:rsidRPr="00873B6C" w:rsidRDefault="000E35F2" w:rsidP="00323277">
      <w:pPr>
        <w:pStyle w:val="FP"/>
      </w:pPr>
    </w:p>
    <w:p w14:paraId="4E842149" w14:textId="658D509F" w:rsidR="00BB2064" w:rsidRPr="00873B6C" w:rsidRDefault="00BB2064" w:rsidP="00BB2064">
      <w:pPr>
        <w:pStyle w:val="TH"/>
      </w:pPr>
      <w:bookmarkStart w:id="3982" w:name="_CRTable5_27_22"/>
      <w:r w:rsidRPr="00873B6C">
        <w:t xml:space="preserve">Table </w:t>
      </w:r>
      <w:bookmarkEnd w:id="3982"/>
      <w:r w:rsidRPr="00873B6C">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873B6C" w14:paraId="6FB2CFD5" w14:textId="77777777" w:rsidTr="00C9561D">
        <w:trPr>
          <w:cantSplit/>
          <w:jc w:val="center"/>
        </w:trPr>
        <w:tc>
          <w:tcPr>
            <w:tcW w:w="3166" w:type="dxa"/>
            <w:shd w:val="clear" w:color="auto" w:fill="auto"/>
          </w:tcPr>
          <w:p w14:paraId="3DFDC0D7" w14:textId="77777777" w:rsidR="00BB2064" w:rsidRPr="00873B6C" w:rsidRDefault="00BB2064" w:rsidP="00C9561D">
            <w:pPr>
              <w:pStyle w:val="TAH"/>
            </w:pPr>
            <w:r w:rsidRPr="00873B6C">
              <w:t>Assistance Information</w:t>
            </w:r>
          </w:p>
        </w:tc>
        <w:tc>
          <w:tcPr>
            <w:tcW w:w="6465" w:type="dxa"/>
            <w:shd w:val="clear" w:color="auto" w:fill="auto"/>
          </w:tcPr>
          <w:p w14:paraId="4ADBDCCF" w14:textId="77777777" w:rsidR="00BB2064" w:rsidRPr="00873B6C" w:rsidRDefault="00BB2064" w:rsidP="00C9561D">
            <w:pPr>
              <w:pStyle w:val="TAH"/>
            </w:pPr>
            <w:r w:rsidRPr="00873B6C">
              <w:t>Description</w:t>
            </w:r>
          </w:p>
        </w:tc>
      </w:tr>
      <w:tr w:rsidR="00BB2064" w:rsidRPr="00873B6C" w14:paraId="57A2CF83" w14:textId="77777777" w:rsidTr="00C9561D">
        <w:trPr>
          <w:cantSplit/>
          <w:jc w:val="center"/>
        </w:trPr>
        <w:tc>
          <w:tcPr>
            <w:tcW w:w="3166" w:type="dxa"/>
            <w:shd w:val="clear" w:color="auto" w:fill="auto"/>
          </w:tcPr>
          <w:p w14:paraId="39DC0807" w14:textId="0DAA2420" w:rsidR="00BB2064" w:rsidRPr="00873B6C" w:rsidRDefault="00BB2064" w:rsidP="00C9561D">
            <w:pPr>
              <w:pStyle w:val="TAL"/>
            </w:pPr>
            <w:r w:rsidRPr="00873B6C">
              <w:t>Flow Direction</w:t>
            </w:r>
          </w:p>
        </w:tc>
        <w:tc>
          <w:tcPr>
            <w:tcW w:w="6465" w:type="dxa"/>
            <w:shd w:val="clear" w:color="auto" w:fill="auto"/>
          </w:tcPr>
          <w:p w14:paraId="492CD2E1" w14:textId="793FB2A8" w:rsidR="00BB2064" w:rsidRPr="00873B6C" w:rsidRDefault="00BB2064" w:rsidP="00C9561D">
            <w:pPr>
              <w:pStyle w:val="TAL"/>
            </w:pPr>
            <w:r w:rsidRPr="00873B6C">
              <w:t>The direction of the TSC flow (uplink or downlink).</w:t>
            </w:r>
          </w:p>
        </w:tc>
      </w:tr>
      <w:tr w:rsidR="00BB2064" w:rsidRPr="00873B6C" w14:paraId="1FE4B4D9" w14:textId="77777777" w:rsidTr="00C9561D">
        <w:trPr>
          <w:cantSplit/>
          <w:jc w:val="center"/>
        </w:trPr>
        <w:tc>
          <w:tcPr>
            <w:tcW w:w="3166" w:type="dxa"/>
            <w:shd w:val="clear" w:color="auto" w:fill="auto"/>
          </w:tcPr>
          <w:p w14:paraId="1BFFC343" w14:textId="255E2A07" w:rsidR="00BB2064" w:rsidRPr="00873B6C" w:rsidRDefault="00BB2064" w:rsidP="00C9561D">
            <w:pPr>
              <w:pStyle w:val="TAL"/>
            </w:pPr>
            <w:r w:rsidRPr="00873B6C">
              <w:t>Periodicity</w:t>
            </w:r>
          </w:p>
        </w:tc>
        <w:tc>
          <w:tcPr>
            <w:tcW w:w="6465" w:type="dxa"/>
            <w:shd w:val="clear" w:color="auto" w:fill="auto"/>
          </w:tcPr>
          <w:p w14:paraId="3DF29FAE" w14:textId="3B44A249" w:rsidR="00BB2064" w:rsidRPr="00873B6C" w:rsidRDefault="00BB2064" w:rsidP="00C9561D">
            <w:pPr>
              <w:pStyle w:val="TAL"/>
            </w:pPr>
            <w:r w:rsidRPr="00873B6C">
              <w:t>It refers to the time period between start of two data bursts.</w:t>
            </w:r>
          </w:p>
        </w:tc>
      </w:tr>
      <w:tr w:rsidR="00BB2064" w:rsidRPr="00873B6C" w14:paraId="28F9E0D5" w14:textId="77777777" w:rsidTr="00C9561D">
        <w:trPr>
          <w:cantSplit/>
          <w:jc w:val="center"/>
        </w:trPr>
        <w:tc>
          <w:tcPr>
            <w:tcW w:w="3166" w:type="dxa"/>
            <w:shd w:val="clear" w:color="auto" w:fill="auto"/>
          </w:tcPr>
          <w:p w14:paraId="23FAAC1F" w14:textId="30365785" w:rsidR="00BB2064" w:rsidRPr="00873B6C" w:rsidRDefault="00BB2064" w:rsidP="00C9561D">
            <w:pPr>
              <w:pStyle w:val="TAL"/>
            </w:pPr>
            <w:r w:rsidRPr="00873B6C">
              <w:t>Burst Arrival Time (optional)</w:t>
            </w:r>
          </w:p>
        </w:tc>
        <w:tc>
          <w:tcPr>
            <w:tcW w:w="6465" w:type="dxa"/>
            <w:shd w:val="clear" w:color="auto" w:fill="auto"/>
          </w:tcPr>
          <w:p w14:paraId="62A9D915" w14:textId="0867B1DE" w:rsidR="00BB2064" w:rsidRPr="00873B6C" w:rsidRDefault="00BB2064" w:rsidP="00C9561D">
            <w:pPr>
              <w:pStyle w:val="TAL"/>
            </w:pPr>
            <w:r w:rsidRPr="00873B6C">
              <w:t>The time when the first packet of the data burst arrives at the ingress port of 5GS for a given flow direction (DS-TT for uplink, NW-TT for downlink).</w:t>
            </w:r>
          </w:p>
        </w:tc>
      </w:tr>
      <w:tr w:rsidR="00BB2064" w:rsidRPr="00873B6C" w14:paraId="3023D367" w14:textId="77777777" w:rsidTr="00C9561D">
        <w:trPr>
          <w:cantSplit/>
          <w:jc w:val="center"/>
        </w:trPr>
        <w:tc>
          <w:tcPr>
            <w:tcW w:w="3166" w:type="dxa"/>
            <w:shd w:val="clear" w:color="auto" w:fill="auto"/>
          </w:tcPr>
          <w:p w14:paraId="15331BEE" w14:textId="1FB4EA97" w:rsidR="00BB2064" w:rsidRPr="00873B6C" w:rsidRDefault="00BB2064" w:rsidP="00C9561D">
            <w:pPr>
              <w:pStyle w:val="TAL"/>
            </w:pPr>
            <w:r w:rsidRPr="00873B6C">
              <w:t>Survival Time (optional)</w:t>
            </w:r>
          </w:p>
        </w:tc>
        <w:tc>
          <w:tcPr>
            <w:tcW w:w="6465" w:type="dxa"/>
            <w:shd w:val="clear" w:color="auto" w:fill="auto"/>
          </w:tcPr>
          <w:p w14:paraId="64C3370D" w14:textId="3A4BDAB3" w:rsidR="00BB2064" w:rsidRPr="00873B6C" w:rsidRDefault="00BB2064" w:rsidP="00C9561D">
            <w:pPr>
              <w:pStyle w:val="TAL"/>
            </w:pPr>
            <w:r w:rsidRPr="00873B6C">
              <w:t>It refers to the time period an application can survive without any data burst, as defined in</w:t>
            </w:r>
            <w:r w:rsidR="005309E6" w:rsidRPr="00873B6C">
              <w:t xml:space="preserve"> TS 22.261 [2]</w:t>
            </w:r>
            <w:r w:rsidRPr="00873B6C">
              <w:t>.</w:t>
            </w:r>
          </w:p>
        </w:tc>
      </w:tr>
      <w:tr w:rsidR="00BB2064" w:rsidRPr="00873B6C" w14:paraId="206686B6" w14:textId="77777777" w:rsidTr="00C9561D">
        <w:trPr>
          <w:cantSplit/>
          <w:jc w:val="center"/>
        </w:trPr>
        <w:tc>
          <w:tcPr>
            <w:tcW w:w="3166" w:type="dxa"/>
            <w:shd w:val="clear" w:color="auto" w:fill="auto"/>
          </w:tcPr>
          <w:p w14:paraId="3AA93E2E" w14:textId="45AE4EA2" w:rsidR="00BB2064" w:rsidRPr="00873B6C" w:rsidRDefault="00BB2064" w:rsidP="00C9561D">
            <w:pPr>
              <w:pStyle w:val="TAL"/>
            </w:pPr>
            <w:r w:rsidRPr="00873B6C">
              <w:t>Time Domain (optional)</w:t>
            </w:r>
          </w:p>
        </w:tc>
        <w:tc>
          <w:tcPr>
            <w:tcW w:w="6465" w:type="dxa"/>
            <w:shd w:val="clear" w:color="auto" w:fill="auto"/>
          </w:tcPr>
          <w:p w14:paraId="09C3321F" w14:textId="3FEC7731" w:rsidR="00BB2064" w:rsidRPr="00873B6C" w:rsidRDefault="00BB2064" w:rsidP="00C9561D">
            <w:pPr>
              <w:pStyle w:val="TAL"/>
            </w:pPr>
            <w:r w:rsidRPr="00873B6C">
              <w:t>The (g)PTP domain of the TSC flow.</w:t>
            </w:r>
          </w:p>
        </w:tc>
      </w:tr>
      <w:tr w:rsidR="00872C86" w:rsidRPr="00873B6C" w14:paraId="4D184CD3" w14:textId="77777777" w:rsidTr="00C9561D">
        <w:trPr>
          <w:cantSplit/>
          <w:jc w:val="center"/>
        </w:trPr>
        <w:tc>
          <w:tcPr>
            <w:tcW w:w="3166" w:type="dxa"/>
            <w:shd w:val="clear" w:color="auto" w:fill="auto"/>
          </w:tcPr>
          <w:p w14:paraId="6AEC40AF" w14:textId="77777777" w:rsidR="00872C86" w:rsidRPr="00873B6C" w:rsidRDefault="00872C86" w:rsidP="00C9561D">
            <w:pPr>
              <w:pStyle w:val="TAL"/>
            </w:pPr>
            <w:r w:rsidRPr="00873B6C">
              <w:t>Burst Arrival Time Window (BAT Window) (optional)</w:t>
            </w:r>
          </w:p>
          <w:p w14:paraId="6DEA051D" w14:textId="06D8540E" w:rsidR="00872C86" w:rsidRPr="00873B6C" w:rsidRDefault="00872C86" w:rsidP="00C9561D">
            <w:pPr>
              <w:pStyle w:val="TAL"/>
            </w:pPr>
            <w:r w:rsidRPr="00873B6C">
              <w:t>(NOTE 1) (NOTE 2)</w:t>
            </w:r>
          </w:p>
        </w:tc>
        <w:tc>
          <w:tcPr>
            <w:tcW w:w="6465" w:type="dxa"/>
            <w:shd w:val="clear" w:color="auto" w:fill="auto"/>
          </w:tcPr>
          <w:p w14:paraId="45D30FF7" w14:textId="6116895B" w:rsidR="00872C86" w:rsidRPr="00873B6C" w:rsidRDefault="00872C86" w:rsidP="00C9561D">
            <w:pPr>
              <w:pStyle w:val="TAL"/>
            </w:pPr>
            <w:r w:rsidRPr="00873B6C">
              <w:t xml:space="preserve">Indicates the acceptable earliest and latest arrival time of the first packet </w:t>
            </w:r>
            <w:r w:rsidR="00286939" w:rsidRPr="00873B6C">
              <w:t xml:space="preserve">of </w:t>
            </w:r>
            <w:r w:rsidRPr="00873B6C">
              <w:t>the data burst at the ingress port of 5GS for a given flow direction (DS-TT for uplink, NW-TT for downlink).</w:t>
            </w:r>
          </w:p>
        </w:tc>
      </w:tr>
      <w:tr w:rsidR="00872C86" w:rsidRPr="00873B6C" w14:paraId="05699439" w14:textId="77777777" w:rsidTr="00C9561D">
        <w:trPr>
          <w:cantSplit/>
          <w:jc w:val="center"/>
        </w:trPr>
        <w:tc>
          <w:tcPr>
            <w:tcW w:w="3166" w:type="dxa"/>
            <w:shd w:val="clear" w:color="auto" w:fill="auto"/>
          </w:tcPr>
          <w:p w14:paraId="15EBBD2A" w14:textId="0F2948DE" w:rsidR="00872C86" w:rsidRPr="00873B6C" w:rsidRDefault="00872C86" w:rsidP="00C9561D">
            <w:pPr>
              <w:pStyle w:val="TAL"/>
            </w:pPr>
            <w:r w:rsidRPr="00873B6C">
              <w:t>Capability for BAT adaptation (optional) (NOTE 1)</w:t>
            </w:r>
          </w:p>
        </w:tc>
        <w:tc>
          <w:tcPr>
            <w:tcW w:w="6465" w:type="dxa"/>
            <w:shd w:val="clear" w:color="auto" w:fill="auto"/>
          </w:tcPr>
          <w:p w14:paraId="0FC4A138" w14:textId="2EA84C42" w:rsidR="00872C86" w:rsidRPr="00873B6C" w:rsidRDefault="00872C86" w:rsidP="00C9561D">
            <w:pPr>
              <w:pStyle w:val="TAL"/>
            </w:pPr>
            <w:r w:rsidRPr="00873B6C">
              <w:t>It indicates that the AF will adjust the burst sending time according to the network provided Burst Arrival Time offset (see clause 5.27.2.5).</w:t>
            </w:r>
          </w:p>
        </w:tc>
      </w:tr>
      <w:tr w:rsidR="00286939" w:rsidRPr="00873B6C" w14:paraId="51203CF7" w14:textId="77777777" w:rsidTr="00C9561D">
        <w:trPr>
          <w:cantSplit/>
          <w:jc w:val="center"/>
        </w:trPr>
        <w:tc>
          <w:tcPr>
            <w:tcW w:w="3166" w:type="dxa"/>
            <w:shd w:val="clear" w:color="auto" w:fill="auto"/>
          </w:tcPr>
          <w:p w14:paraId="04E1D52D" w14:textId="028E2866" w:rsidR="00286939" w:rsidRPr="00873B6C" w:rsidRDefault="00286939" w:rsidP="00C9561D">
            <w:pPr>
              <w:pStyle w:val="TAL"/>
            </w:pPr>
            <w:r w:rsidRPr="00873B6C">
              <w:t>Periodicity Range (optional) (NOTE 3)</w:t>
            </w:r>
          </w:p>
        </w:tc>
        <w:tc>
          <w:tcPr>
            <w:tcW w:w="6465" w:type="dxa"/>
            <w:shd w:val="clear" w:color="auto" w:fill="auto"/>
          </w:tcPr>
          <w:p w14:paraId="66BBE3D5" w14:textId="7FB710CE" w:rsidR="00286939" w:rsidRPr="00873B6C" w:rsidRDefault="00286939" w:rsidP="00C9561D">
            <w:pPr>
              <w:pStyle w:val="TAL"/>
            </w:pPr>
            <w:r w:rsidRPr="00873B6C">
              <w:t>It indicates that the AF will adjust the periodicity and provides the acceptable range</w:t>
            </w:r>
            <w:r w:rsidR="00114986" w:rsidRPr="00873B6C">
              <w:t xml:space="preserve"> (which is</w:t>
            </w:r>
            <w:r w:rsidRPr="00873B6C">
              <w:t xml:space="preserve"> formulated as lower bound and upper bound of the Periodicity</w:t>
            </w:r>
            <w:r w:rsidR="00114986" w:rsidRPr="00873B6C">
              <w:t>) or acceptable Periodicity value(s) (which is formulated as a list of values for the Periodicity)</w:t>
            </w:r>
            <w:r w:rsidRPr="00873B6C">
              <w:t>.</w:t>
            </w:r>
          </w:p>
        </w:tc>
      </w:tr>
      <w:tr w:rsidR="00872C86" w:rsidRPr="00873B6C" w14:paraId="5344C349" w14:textId="77777777" w:rsidTr="00C9561D">
        <w:trPr>
          <w:cantSplit/>
          <w:jc w:val="center"/>
        </w:trPr>
        <w:tc>
          <w:tcPr>
            <w:tcW w:w="9631" w:type="dxa"/>
            <w:gridSpan w:val="2"/>
            <w:shd w:val="clear" w:color="auto" w:fill="auto"/>
          </w:tcPr>
          <w:p w14:paraId="794238DE" w14:textId="1E3EB15E" w:rsidR="00872C86" w:rsidRPr="00873B6C" w:rsidRDefault="00872C86" w:rsidP="00872C86">
            <w:pPr>
              <w:pStyle w:val="TAN"/>
            </w:pPr>
            <w:r w:rsidRPr="00873B6C">
              <w:t>NOTE 1:</w:t>
            </w:r>
            <w:r w:rsidRPr="00873B6C">
              <w:tab/>
              <w:t>Only one of the parameters (BAT Window or Capability for BAT adaptation) can be provided.</w:t>
            </w:r>
          </w:p>
          <w:p w14:paraId="5234A548" w14:textId="01D790FC" w:rsidR="00286939" w:rsidRPr="00873B6C" w:rsidRDefault="00872C86" w:rsidP="00695DF1">
            <w:pPr>
              <w:pStyle w:val="TAN"/>
            </w:pPr>
            <w:r w:rsidRPr="00873B6C">
              <w:t>NOTE 2:</w:t>
            </w:r>
            <w:r w:rsidRPr="00873B6C">
              <w:tab/>
              <w:t xml:space="preserve">The parameter </w:t>
            </w:r>
            <w:r w:rsidR="00286939" w:rsidRPr="00873B6C">
              <w:t xml:space="preserve">can </w:t>
            </w:r>
            <w:r w:rsidRPr="00873B6C">
              <w:t>only be provided together with Burst Arrival Time.</w:t>
            </w:r>
          </w:p>
          <w:p w14:paraId="78AB00A5" w14:textId="746F7C65" w:rsidR="00872C86" w:rsidRPr="00873B6C" w:rsidRDefault="00286939" w:rsidP="00695DF1">
            <w:pPr>
              <w:pStyle w:val="TAN"/>
            </w:pPr>
            <w:r w:rsidRPr="00873B6C">
              <w:t>NOTE 3:</w:t>
            </w:r>
            <w:r w:rsidRPr="00873B6C">
              <w:tab/>
              <w:t>The Periodicity Range can only be provided together with Periodicity when Burst Arrival Time and Burst Arrival Time Window are present.</w:t>
            </w:r>
          </w:p>
        </w:tc>
      </w:tr>
    </w:tbl>
    <w:p w14:paraId="6971DC8C" w14:textId="77777777" w:rsidR="00BB2064" w:rsidRPr="00873B6C" w:rsidRDefault="00BB2064" w:rsidP="00BB2064">
      <w:pPr>
        <w:pStyle w:val="FP"/>
      </w:pPr>
    </w:p>
    <w:p w14:paraId="41BC5938" w14:textId="77777777" w:rsidR="000E35F2" w:rsidRPr="00873B6C" w:rsidRDefault="000E35F2" w:rsidP="00323277">
      <w:pPr>
        <w:pStyle w:val="Heading4"/>
      </w:pPr>
      <w:bookmarkStart w:id="3983" w:name="_CR5_27_2_2"/>
      <w:bookmarkStart w:id="3984" w:name="_Toc201157476"/>
      <w:bookmarkEnd w:id="3983"/>
      <w:r w:rsidRPr="00873B6C">
        <w:t>5.27.2.2</w:t>
      </w:r>
      <w:r w:rsidRPr="00873B6C">
        <w:tab/>
        <w:t>TSC Assistance Container determination based on PSFP</w:t>
      </w:r>
      <w:bookmarkEnd w:id="3984"/>
    </w:p>
    <w:p w14:paraId="28F8565F" w14:textId="6F4E19C6" w:rsidR="000E35F2" w:rsidRPr="00873B6C" w:rsidRDefault="00BB2064" w:rsidP="000E35F2">
      <w:r w:rsidRPr="00873B6C">
        <w:t xml:space="preserve">In the case of integration with IEEE TSN network, the TSN AF determines a TSC Assistance Container (defined in Table 5.27.2-2) and provides it to the PCF. </w:t>
      </w:r>
      <w:r w:rsidR="000E35F2" w:rsidRPr="00873B6C">
        <w:t>The determination of TSC Assistance Container based on Per-Stream Filtering and Policing (PSFP) information applies only to Ethernet type PDU Sessions.</w:t>
      </w:r>
    </w:p>
    <w:p w14:paraId="7E4F33BA" w14:textId="39A4CB0B" w:rsidR="00D40151" w:rsidRPr="00873B6C" w:rsidRDefault="00D40151" w:rsidP="00D40151">
      <w:pPr>
        <w:pStyle w:val="NO"/>
      </w:pPr>
      <w:r w:rsidRPr="00873B6C">
        <w:t>NOTE 1:</w:t>
      </w:r>
      <w:r w:rsidRPr="00873B6C">
        <w:tab/>
        <w:t>This clause</w:t>
      </w:r>
      <w:r w:rsidR="003B51EA" w:rsidRPr="00873B6C">
        <w:t xml:space="preserve"> </w:t>
      </w:r>
      <w:r w:rsidRPr="00873B6C">
        <w:t>assumes that PSFP information as defined in IEEE Std 802.1Q [98] and Table</w:t>
      </w:r>
      <w:r w:rsidR="00A10084" w:rsidRPr="00873B6C">
        <w:t xml:space="preserve"> K</w:t>
      </w:r>
      <w:r w:rsidRPr="00873B6C">
        <w:t>.3.1-1is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873B6C">
        <w:t xml:space="preserve"> the TSC Assistance Container</w:t>
      </w:r>
      <w:r w:rsidRPr="00873B6C">
        <w:t xml:space="preserve"> if PSFP is not supported by 5GS and/or the CNC are beyond the scope of this specification.</w:t>
      </w:r>
    </w:p>
    <w:p w14:paraId="3F80711D" w14:textId="5CFC3B78" w:rsidR="00D40151" w:rsidRPr="00873B6C" w:rsidRDefault="00D40151" w:rsidP="00D40151">
      <w:r w:rsidRPr="00873B6C">
        <w:t xml:space="preserve">The TSN AF may be able to identify the ingress port and thereby the PDU </w:t>
      </w:r>
      <w:r w:rsidR="00BB2064" w:rsidRPr="00873B6C">
        <w:t>S</w:t>
      </w:r>
      <w:r w:rsidRPr="00873B6C">
        <w:t>ession as described in clause 5.28.2.</w:t>
      </w:r>
    </w:p>
    <w:p w14:paraId="49865114" w14:textId="538258F6" w:rsidR="00BB2064" w:rsidRPr="00873B6C" w:rsidRDefault="00D40151" w:rsidP="00D40151">
      <w:r w:rsidRPr="00873B6C">
        <w:lastRenderedPageBreak/>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873B6C">
        <w:t xml:space="preserve"> Survival </w:t>
      </w:r>
      <w:r w:rsidR="0010039C" w:rsidRPr="00873B6C">
        <w:t>T</w:t>
      </w:r>
      <w:r w:rsidR="000E35F2" w:rsidRPr="00873B6C">
        <w:t>ime may be pre-configured in TSN AF.</w:t>
      </w:r>
    </w:p>
    <w:p w14:paraId="3D8039D4" w14:textId="605A2153" w:rsidR="00D40151" w:rsidRPr="00873B6C" w:rsidRDefault="00D40151" w:rsidP="00D40151">
      <w:r w:rsidRPr="00873B6C">
        <w:t>TSN AF may enable aggregation of TSN streams if the TSN streams belong to the same traffic class, terminate in the same egress port and have the same periodicity and compatible Burst arrival time.</w:t>
      </w:r>
      <w:r w:rsidR="000E35F2" w:rsidRPr="00873B6C">
        <w:t xml:space="preserve"> When Survival Time information is provided for a TSN stream, then it should not be aggregated with other TSN streams into a single QoS </w:t>
      </w:r>
      <w:r w:rsidR="00BB2064" w:rsidRPr="00873B6C">
        <w:t>F</w:t>
      </w:r>
      <w:r w:rsidR="000E35F2" w:rsidRPr="00873B6C">
        <w:t>low, or if they are aggregated, then the Survival Time parameter shall not be provided.</w:t>
      </w:r>
      <w:r w:rsidRPr="00873B6C">
        <w:t xml:space="preserve"> One set of parameters and one </w:t>
      </w:r>
      <w:r w:rsidR="00BB2064" w:rsidRPr="00873B6C">
        <w:t>TSC Assistance C</w:t>
      </w:r>
      <w:r w:rsidRPr="00873B6C">
        <w:t xml:space="preserve">ontainer are </w:t>
      </w:r>
      <w:r w:rsidR="00BB2064" w:rsidRPr="00873B6C">
        <w:t xml:space="preserve">created </w:t>
      </w:r>
      <w:r w:rsidRPr="00873B6C">
        <w:t>by the TSN AF for multiple TSN streams to enable aggregation of TSN streams to the same QoS Flow.</w:t>
      </w:r>
    </w:p>
    <w:p w14:paraId="7B37611D" w14:textId="77777777" w:rsidR="00D40151" w:rsidRPr="00873B6C" w:rsidRDefault="00D40151" w:rsidP="00D40151">
      <w:r w:rsidRPr="00873B6C">
        <w:t>Annex I describe how the traffic pattern information is determined.</w:t>
      </w:r>
    </w:p>
    <w:p w14:paraId="16959358" w14:textId="77777777" w:rsidR="00D40151" w:rsidRPr="00873B6C" w:rsidRDefault="00D40151" w:rsidP="00D40151">
      <w:pPr>
        <w:pStyle w:val="NO"/>
      </w:pPr>
      <w:r w:rsidRPr="00873B6C">
        <w:t>NOTE 2:</w:t>
      </w:r>
      <w:r w:rsidRPr="00873B6C">
        <w:tab/>
        <w:t>Further details of aggregation of TSN streams (including determination of burst arrival times that are compatible so that TSN streams can be aggregated) are left for implementation.</w:t>
      </w:r>
    </w:p>
    <w:p w14:paraId="67D061EF" w14:textId="0315F855" w:rsidR="000E35F2" w:rsidRPr="00873B6C" w:rsidRDefault="000E35F2" w:rsidP="000E35F2">
      <w:pPr>
        <w:pStyle w:val="NO"/>
      </w:pPr>
      <w:r w:rsidRPr="00873B6C">
        <w:t>NOTE 3:</w:t>
      </w:r>
      <w:r w:rsidRPr="00873B6C">
        <w:tab/>
        <w:t>In order for the TSN AF to get Burst Arrival Time, Periodicity on a per TSN stream basis, support for IEEE Std 802.1Q [98] (as stated in clause 4.4.8.2) Per-Stream Filtering and Policing (PSFP) with stream gate operation is a prerequisite.</w:t>
      </w:r>
    </w:p>
    <w:p w14:paraId="57B9CC09" w14:textId="63E94098" w:rsidR="000E35F2" w:rsidRPr="00873B6C" w:rsidRDefault="000E35F2" w:rsidP="00D40151">
      <w:r w:rsidRPr="00873B6C">
        <w:t>For</w:t>
      </w:r>
      <w:r w:rsidR="00BB2064" w:rsidRPr="00873B6C">
        <w:t xml:space="preserve"> a</w:t>
      </w:r>
      <w:r w:rsidRPr="00873B6C">
        <w:t xml:space="preserve"> UE-UE TSC stream, the (TSN) AF divides the stream into one uplink stream and one or more downlink streams as defined in clause 5.28.2. The TSN AF binds the uplink and downlink streams to the PDU Sessions</w:t>
      </w:r>
      <w:r w:rsidR="00472CD7" w:rsidRPr="00873B6C">
        <w:t xml:space="preserve"> and</w:t>
      </w:r>
      <w:r w:rsidRPr="00873B6C">
        <w:t xml:space="preserve"> provides the streams on </w:t>
      </w:r>
      <w:r w:rsidR="00412DC3" w:rsidRPr="00873B6C">
        <w:t xml:space="preserve">AF </w:t>
      </w:r>
      <w:r w:rsidRPr="00873B6C">
        <w:t>Session basis to the PCF(s). The TSN AF calculates traffic pattern parameters for the UL and the DL stream using the PSFP configuration (if provided) respectively:</w:t>
      </w:r>
    </w:p>
    <w:p w14:paraId="7651A4ED" w14:textId="77777777" w:rsidR="000E35F2" w:rsidRPr="00873B6C" w:rsidRDefault="000E35F2" w:rsidP="00323277">
      <w:pPr>
        <w:pStyle w:val="B1"/>
      </w:pPr>
      <w:r w:rsidRPr="00873B6C">
        <w:t>-</w:t>
      </w:r>
      <w:r w:rsidRPr="00873B6C">
        <w:tab/>
        <w:t>For the uplink stream, the Flow Direction is set to uplink and traffic pattern parameters (such as burst arrival time with reference to the ingress port and periodicity) is determined as described in Annex I.</w:t>
      </w:r>
    </w:p>
    <w:p w14:paraId="2E0A5899" w14:textId="2B492015" w:rsidR="000E35F2" w:rsidRPr="00873B6C" w:rsidRDefault="000E35F2" w:rsidP="00323277">
      <w:pPr>
        <w:pStyle w:val="B1"/>
      </w:pPr>
      <w:r w:rsidRPr="00873B6C">
        <w:t>-</w:t>
      </w:r>
      <w:r w:rsidRPr="00873B6C">
        <w:tab/>
        <w:t xml:space="preserve">For downlink stream, the Flow Direction is set to downlink, the burst arrival time is set to sum of burst arrival time of the UL stream and 5GS Bridge delay of PDU </w:t>
      </w:r>
      <w:r w:rsidR="00BB2064" w:rsidRPr="00873B6C">
        <w:t>S</w:t>
      </w:r>
      <w:r w:rsidRPr="00873B6C">
        <w:t>ession carrying the UL stream</w:t>
      </w:r>
      <w:r w:rsidR="00472CD7" w:rsidRPr="00873B6C">
        <w:t xml:space="preserve"> and</w:t>
      </w:r>
      <w:r w:rsidRPr="00873B6C">
        <w:t xml:space="preserve"> the periodicity is determined as described in Annex I.</w:t>
      </w:r>
    </w:p>
    <w:p w14:paraId="47F577A9" w14:textId="45548FE6" w:rsidR="000E35F2" w:rsidRPr="00873B6C" w:rsidRDefault="000E35F2" w:rsidP="000E35F2">
      <w:pPr>
        <w:pStyle w:val="Heading4"/>
      </w:pPr>
      <w:bookmarkStart w:id="3985" w:name="_CR5_27_2_3"/>
      <w:bookmarkStart w:id="3986" w:name="_Toc201157477"/>
      <w:bookmarkEnd w:id="3985"/>
      <w:r w:rsidRPr="00873B6C">
        <w:t>5.27.2.3</w:t>
      </w:r>
      <w:r w:rsidRPr="00873B6C">
        <w:tab/>
        <w:t>TSC Assistance Container determination by</w:t>
      </w:r>
      <w:r w:rsidR="00055D0B" w:rsidRPr="00873B6C">
        <w:t xml:space="preserve"> TSCTSF</w:t>
      </w:r>
      <w:bookmarkEnd w:id="3986"/>
    </w:p>
    <w:p w14:paraId="2EFC7460" w14:textId="6115549E" w:rsidR="000E35F2" w:rsidRPr="00873B6C" w:rsidRDefault="000E35F2" w:rsidP="000E35F2">
      <w:r w:rsidRPr="00873B6C">
        <w:t xml:space="preserve">The </w:t>
      </w:r>
      <w:r w:rsidR="00055D0B" w:rsidRPr="00873B6C">
        <w:t xml:space="preserve">TSCTSF </w:t>
      </w:r>
      <w:r w:rsidRPr="00873B6C">
        <w:t>constructs TSC Assistance Container</w:t>
      </w:r>
      <w:r w:rsidR="00BB2064" w:rsidRPr="00873B6C">
        <w:t xml:space="preserve"> (defined in Table 5.27.2-2)</w:t>
      </w:r>
      <w:r w:rsidRPr="00873B6C">
        <w:t xml:space="preserve"> based on information provided</w:t>
      </w:r>
      <w:r w:rsidR="00055D0B" w:rsidRPr="00873B6C">
        <w:t xml:space="preserve"> (directly or via NEF)</w:t>
      </w:r>
      <w:r w:rsidRPr="00873B6C">
        <w:t xml:space="preserve"> by the AF for IP or Ethernet type PDU Sessions</w:t>
      </w:r>
      <w:r w:rsidR="00E23065" w:rsidRPr="00873B6C">
        <w:t>, or by the DetNet controller for IP type PDU Sessions</w:t>
      </w:r>
      <w:r w:rsidRPr="00873B6C">
        <w:t>.</w:t>
      </w:r>
    </w:p>
    <w:p w14:paraId="26094285" w14:textId="275CE114" w:rsidR="000E35F2" w:rsidRPr="00873B6C" w:rsidRDefault="00E23065" w:rsidP="000E35F2">
      <w:r w:rsidRPr="00873B6C">
        <w:t xml:space="preserve">In the case of an AF request, the </w:t>
      </w:r>
      <w:r w:rsidR="000E35F2" w:rsidRPr="00873B6C">
        <w:t>AF may provide Flow Direction, Burst Arrival Time</w:t>
      </w:r>
      <w:r w:rsidR="00681FC7" w:rsidRPr="00873B6C">
        <w:t xml:space="preserve"> (optional)</w:t>
      </w:r>
      <w:r w:rsidR="000E35F2" w:rsidRPr="00873B6C">
        <w:t xml:space="preserve"> at the UE/DS-TT (uplink) or UPF/NW-TT (downlink), </w:t>
      </w:r>
      <w:r w:rsidR="00BB2064" w:rsidRPr="00873B6C">
        <w:t xml:space="preserve">Maximum </w:t>
      </w:r>
      <w:r w:rsidR="000E35F2" w:rsidRPr="00873B6C">
        <w:t>Burst Size, Periodicity, Survival Time</w:t>
      </w:r>
      <w:r w:rsidR="00681FC7" w:rsidRPr="00873B6C">
        <w:t xml:space="preserve"> (optional)</w:t>
      </w:r>
      <w:r w:rsidR="00472CD7" w:rsidRPr="00873B6C">
        <w:t xml:space="preserve"> and</w:t>
      </w:r>
      <w:r w:rsidR="000E35F2" w:rsidRPr="00873B6C">
        <w:t xml:space="preserve"> a Time Domain</w:t>
      </w:r>
      <w:r w:rsidR="00681FC7" w:rsidRPr="00873B6C">
        <w:t xml:space="preserve"> (optional)</w:t>
      </w:r>
      <w:r w:rsidR="000E35F2" w:rsidRPr="00873B6C">
        <w:t xml:space="preserve"> to the</w:t>
      </w:r>
      <w:r w:rsidR="00055D0B" w:rsidRPr="00873B6C">
        <w:t xml:space="preserve"> TSCTSF</w:t>
      </w:r>
      <w:r w:rsidR="000E35F2" w:rsidRPr="00873B6C">
        <w:t>.</w:t>
      </w:r>
      <w:r w:rsidR="00872C86" w:rsidRPr="00873B6C">
        <w:t xml:space="preserve"> If the AF is able to adjust the burst sending time, the AF may in addition provide a BAT Window or the Capability for BAT adaptation to the TSCTSF.</w:t>
      </w:r>
      <w:r w:rsidR="00286939" w:rsidRPr="00873B6C">
        <w:t xml:space="preserve"> Addtionally if the AF is able to adjust the periodicity, the AF may also provide the Periodicity Range along with the Periodicity to the TSCTSF.</w:t>
      </w:r>
      <w:r w:rsidR="000E35F2" w:rsidRPr="00873B6C">
        <w:t xml:space="preserve"> Based on these parameters, the </w:t>
      </w:r>
      <w:r w:rsidR="00055D0B" w:rsidRPr="00873B6C">
        <w:t xml:space="preserve">TSCTSF </w:t>
      </w:r>
      <w:r w:rsidR="000E35F2" w:rsidRPr="00873B6C">
        <w:t>constructs a TSC Assistance Container and provides it to PCF.</w:t>
      </w:r>
      <w:r w:rsidR="00D841E1" w:rsidRPr="00873B6C">
        <w:t xml:space="preserve"> If the AF provides to the TSCTSF a Burst Arrival Time or Periodicity without corresponding Time Domain, the TSCTSF sets the Time Domain = "5GS" in the TSC Assistance Container.</w:t>
      </w:r>
    </w:p>
    <w:p w14:paraId="3EB00805" w14:textId="714A2C0A" w:rsidR="002062D8" w:rsidRPr="00873B6C" w:rsidRDefault="002062D8" w:rsidP="002062D8">
      <w:r w:rsidRPr="00873B6C">
        <w:t>If the AF is able to adjust the transmission time and periodicity then in addition to above parameters, it may provide a BAT Window (optional) or the capability for BAT adaptation (optional), or Periodicity Range (optional), to the TSCTSF.</w:t>
      </w:r>
    </w:p>
    <w:p w14:paraId="104A3116" w14:textId="77777777" w:rsidR="00BB2064" w:rsidRPr="00873B6C" w:rsidRDefault="00BB2064" w:rsidP="00461850">
      <w:pPr>
        <w:pStyle w:val="NO"/>
      </w:pPr>
      <w:r w:rsidRPr="00873B6C">
        <w:t>NOTE:</w:t>
      </w:r>
      <w:r w:rsidRPr="00873B6C">
        <w:tab/>
        <w:t>The Maximum Burst Size is signalled separately, i.e. it is not part of the TSC Assistance Container.</w:t>
      </w:r>
    </w:p>
    <w:p w14:paraId="2B0D302F" w14:textId="77777777" w:rsidR="00BB2064" w:rsidRPr="00873B6C" w:rsidRDefault="00BB2064" w:rsidP="000E35F2">
      <w:r w:rsidRPr="00873B6C">
        <w:t>The AF provides these parameters to the NEF and the NEF forwards these parameters to the TSCTSF. The AF trusted by the operator provides these parameters to the TSCTSF directly.</w:t>
      </w:r>
    </w:p>
    <w:p w14:paraId="0D7A38F1" w14:textId="24E67E93" w:rsidR="00E23065" w:rsidRPr="00873B6C" w:rsidRDefault="00E23065" w:rsidP="000E35F2">
      <w:r w:rsidRPr="00873B6C">
        <w:t xml:space="preserve">In the case of Deterministic Networking, the TSCTSF constructs the TSC Assistance Container based on information provided by the DetNet controller as defined in clause 6.1.3.23b of </w:t>
      </w:r>
      <w:r w:rsidR="00972E70" w:rsidRPr="00873B6C">
        <w:t>TS 23.503 [</w:t>
      </w:r>
      <w:r w:rsidRPr="00873B6C">
        <w:t>45].</w:t>
      </w:r>
    </w:p>
    <w:p w14:paraId="4C49B245" w14:textId="62B67A2F" w:rsidR="000E35F2" w:rsidRPr="00873B6C" w:rsidRDefault="000E35F2" w:rsidP="000E35F2">
      <w:r w:rsidRPr="00873B6C">
        <w:t xml:space="preserve">The </w:t>
      </w:r>
      <w:r w:rsidR="00055D0B" w:rsidRPr="00873B6C">
        <w:t xml:space="preserve">TSCTSF </w:t>
      </w:r>
      <w:r w:rsidRPr="00873B6C">
        <w:t>sends the TSC Assistance Container to</w:t>
      </w:r>
      <w:r w:rsidR="00BB2064" w:rsidRPr="00873B6C">
        <w:t xml:space="preserve"> the</w:t>
      </w:r>
      <w:r w:rsidRPr="00873B6C">
        <w:t xml:space="preserve"> PCF as follows:</w:t>
      </w:r>
    </w:p>
    <w:p w14:paraId="4248E59F" w14:textId="352C8C9C" w:rsidR="000E35F2" w:rsidRPr="00873B6C" w:rsidRDefault="000E35F2" w:rsidP="00323277">
      <w:pPr>
        <w:pStyle w:val="B1"/>
      </w:pPr>
      <w:r w:rsidRPr="00873B6C">
        <w:t>-</w:t>
      </w:r>
      <w:r w:rsidRPr="00873B6C">
        <w:tab/>
        <w:t xml:space="preserve">The </w:t>
      </w:r>
      <w:r w:rsidR="00055D0B" w:rsidRPr="00873B6C">
        <w:t xml:space="preserve">TSCTSF </w:t>
      </w:r>
      <w:r w:rsidRPr="00873B6C">
        <w:t>uses the UE IP address/</w:t>
      </w:r>
      <w:r w:rsidR="00BB2064" w:rsidRPr="00873B6C">
        <w:t xml:space="preserve">DS-TT port </w:t>
      </w:r>
      <w:r w:rsidRPr="00873B6C">
        <w:t>MAC address to identify the PCF and N5 association related to the PDU Session of</w:t>
      </w:r>
      <w:r w:rsidR="00BB2064" w:rsidRPr="00873B6C">
        <w:t xml:space="preserve"> a</w:t>
      </w:r>
      <w:r w:rsidRPr="00873B6C">
        <w:t xml:space="preserve"> UE/DS-TT.</w:t>
      </w:r>
    </w:p>
    <w:p w14:paraId="4E25C649" w14:textId="5868C5F6" w:rsidR="000E35F2" w:rsidRPr="00873B6C" w:rsidRDefault="000E35F2" w:rsidP="00323277">
      <w:pPr>
        <w:pStyle w:val="Heading4"/>
      </w:pPr>
      <w:bookmarkStart w:id="3987" w:name="_CR5_27_2_4"/>
      <w:bookmarkStart w:id="3988" w:name="_Toc201157478"/>
      <w:bookmarkEnd w:id="3987"/>
      <w:r w:rsidRPr="00873B6C">
        <w:lastRenderedPageBreak/>
        <w:t>5.27.2.4</w:t>
      </w:r>
      <w:r w:rsidRPr="00873B6C">
        <w:tab/>
        <w:t>TSCAI determination based on TSC Assistance Container</w:t>
      </w:r>
      <w:bookmarkEnd w:id="3988"/>
    </w:p>
    <w:p w14:paraId="467F5D6A" w14:textId="3C052071" w:rsidR="000E35F2" w:rsidRPr="00873B6C" w:rsidRDefault="00BB2064" w:rsidP="00D40151">
      <w:r w:rsidRPr="00873B6C">
        <w:t xml:space="preserve">The SMF determines the TSCAI (defined in Table 5.27.2-1) for the QoS Flow based on the TSC Assistance Container of the PCC rule bound to the QoS Flow. </w:t>
      </w:r>
      <w:r w:rsidR="000E35F2" w:rsidRPr="00873B6C">
        <w:t xml:space="preserve">This clause is applicable </w:t>
      </w:r>
      <w:r w:rsidRPr="00873B6C">
        <w:t xml:space="preserve">irrespective of whether the </w:t>
      </w:r>
      <w:r w:rsidR="000E35F2" w:rsidRPr="00873B6C">
        <w:t>TSC Assistance Container is determined by</w:t>
      </w:r>
      <w:r w:rsidRPr="00873B6C">
        <w:t xml:space="preserve"> the</w:t>
      </w:r>
      <w:r w:rsidR="000E35F2" w:rsidRPr="00873B6C">
        <w:t xml:space="preserve"> TSN AF or by the</w:t>
      </w:r>
      <w:r w:rsidR="00055D0B" w:rsidRPr="00873B6C">
        <w:t xml:space="preserve"> TSCTSF</w:t>
      </w:r>
      <w:r w:rsidR="000E35F2" w:rsidRPr="00873B6C">
        <w:t>.</w:t>
      </w:r>
    </w:p>
    <w:p w14:paraId="0342498D" w14:textId="0F8B670D" w:rsidR="00D40151" w:rsidRPr="00873B6C" w:rsidRDefault="00BB2064" w:rsidP="00D40151">
      <w:r w:rsidRPr="00873B6C">
        <w:t>The Burst Arrival Time and Periodicity component of the TSCAI that the SMF sends to the 5G-AN are specified with respect to the 5G clock.</w:t>
      </w:r>
      <w:r w:rsidR="00D40151" w:rsidRPr="00873B6C">
        <w:t xml:space="preserve"> The SMF is responsible for mapping the Burst Arrival Time and Periodicity</w:t>
      </w:r>
      <w:r w:rsidR="000E35F2" w:rsidRPr="00873B6C">
        <w:t xml:space="preserve"> in the TSC Assistance Container</w:t>
      </w:r>
      <w:r w:rsidR="00D40151" w:rsidRPr="00873B6C">
        <w:t xml:space="preserve"> from a</w:t>
      </w:r>
      <w:r w:rsidR="000E35F2" w:rsidRPr="00873B6C">
        <w:t>n external</w:t>
      </w:r>
      <w:r w:rsidR="00D40151" w:rsidRPr="00873B6C">
        <w:t xml:space="preserve"> clock to the 5G clock based on the time offset and cumulative rateRatio</w:t>
      </w:r>
      <w:r w:rsidR="00426DE4" w:rsidRPr="00873B6C">
        <w:t xml:space="preserve"> (when available)</w:t>
      </w:r>
      <w:r w:rsidR="00D40151" w:rsidRPr="00873B6C">
        <w:t xml:space="preserve"> between </w:t>
      </w:r>
      <w:r w:rsidR="000E35F2" w:rsidRPr="00873B6C">
        <w:t xml:space="preserve">external </w:t>
      </w:r>
      <w:r w:rsidR="00D40151" w:rsidRPr="00873B6C">
        <w:t>time and 5GS time as measured and reported by the UPF.</w:t>
      </w:r>
      <w:r w:rsidRPr="00873B6C">
        <w:t xml:space="preserve"> The SMF may correct the TSCAI based on the UPF report for time offset and cumulative rateRatio between external PTP time and 5GS time as measured and reported by the UPF.</w:t>
      </w:r>
    </w:p>
    <w:p w14:paraId="210C4AA4" w14:textId="77777777" w:rsidR="00D40151" w:rsidRPr="00873B6C" w:rsidRDefault="00D40151" w:rsidP="00D40151">
      <w:r w:rsidRPr="00873B6C">
        <w:t>The TSCAI parameter determination in SMF is done as follows:</w:t>
      </w:r>
    </w:p>
    <w:p w14:paraId="6F9833B2" w14:textId="7D0D2174" w:rsidR="00D40151" w:rsidRPr="00873B6C" w:rsidRDefault="00D40151" w:rsidP="00D40151">
      <w:pPr>
        <w:pStyle w:val="B1"/>
      </w:pPr>
      <w:r w:rsidRPr="00873B6C">
        <w:t>-</w:t>
      </w:r>
      <w:r w:rsidRPr="00873B6C">
        <w:tab/>
        <w:t>For traffic in downlink direction, the SMF corrects the Burst Arrival Time in the TS</w:t>
      </w:r>
      <w:r w:rsidR="000E35F2" w:rsidRPr="00873B6C">
        <w:t>C</w:t>
      </w:r>
      <w:r w:rsidRPr="00873B6C">
        <w:t xml:space="preserve"> Assistance Container based on the latest received time offset measurement from the UPF and sets the TSCAI Burst Arrival Time as the sum of the corrected value and</w:t>
      </w:r>
      <w:r w:rsidR="002A4DF8" w:rsidRPr="00873B6C">
        <w:t xml:space="preserve"> the static value for the</w:t>
      </w:r>
      <w:r w:rsidRPr="00873B6C">
        <w:t xml:space="preserve"> CN PDB </w:t>
      </w:r>
      <w:r w:rsidR="002A4DF8" w:rsidRPr="00873B6C">
        <w:t>(</w:t>
      </w:r>
      <w:r w:rsidRPr="00873B6C">
        <w:t xml:space="preserve">as </w:t>
      </w:r>
      <w:r w:rsidR="002A4DF8" w:rsidRPr="00873B6C">
        <w:t xml:space="preserve">defined </w:t>
      </w:r>
      <w:r w:rsidRPr="00873B6C">
        <w:t>in clause 5.7.3.4</w:t>
      </w:r>
      <w:r w:rsidR="002A4DF8" w:rsidRPr="00873B6C">
        <w:t>)</w:t>
      </w:r>
      <w:r w:rsidRPr="00873B6C">
        <w:t>, representing the latest possible time when the first packet of the data burst arrives at the AN.</w:t>
      </w:r>
    </w:p>
    <w:p w14:paraId="3D041466" w14:textId="7388B4FD" w:rsidR="00D40151" w:rsidRPr="00873B6C" w:rsidRDefault="00D40151" w:rsidP="00D40151">
      <w:pPr>
        <w:pStyle w:val="B1"/>
      </w:pPr>
      <w:r w:rsidRPr="00873B6C">
        <w:t>-</w:t>
      </w:r>
      <w:r w:rsidRPr="00873B6C">
        <w:tab/>
        <w:t>For traffic in uplink direction, the SMF corrects the Burst Arrival Time in the TS</w:t>
      </w:r>
      <w:r w:rsidR="000E35F2" w:rsidRPr="00873B6C">
        <w:t>C</w:t>
      </w:r>
      <w:r w:rsidRPr="00873B6C">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rsidRPr="00873B6C">
        <w:t xml:space="preserve"> egress of the</w:t>
      </w:r>
      <w:r w:rsidR="00BB2064" w:rsidRPr="00873B6C">
        <w:t xml:space="preserve"> UE</w:t>
      </w:r>
      <w:r w:rsidRPr="00873B6C">
        <w:t>.</w:t>
      </w:r>
      <w:r w:rsidR="0053150F" w:rsidRPr="00873B6C">
        <w:t xml:space="preserve"> How the SMF corrects the Burst Arrival Time if the UE-DS-TT </w:t>
      </w:r>
      <w:r w:rsidR="00CF2EC5" w:rsidRPr="00873B6C">
        <w:t>R</w:t>
      </w:r>
      <w:r w:rsidR="0053150F" w:rsidRPr="00873B6C">
        <w:t xml:space="preserve">esidence </w:t>
      </w:r>
      <w:r w:rsidR="00CF2EC5" w:rsidRPr="00873B6C">
        <w:t>T</w:t>
      </w:r>
      <w:r w:rsidR="0053150F" w:rsidRPr="00873B6C">
        <w:t>ime has not been provided by the UE is up to SMF implementation.</w:t>
      </w:r>
    </w:p>
    <w:p w14:paraId="608F53B6" w14:textId="33E3FD0C" w:rsidR="00D40151" w:rsidRPr="00873B6C" w:rsidRDefault="00D40151" w:rsidP="00D40151">
      <w:pPr>
        <w:pStyle w:val="B1"/>
      </w:pPr>
      <w:r w:rsidRPr="00873B6C">
        <w:t>-</w:t>
      </w:r>
      <w:r w:rsidRPr="00873B6C">
        <w:tab/>
        <w:t>The SMF corrects the Periodicity in the TS</w:t>
      </w:r>
      <w:r w:rsidR="000E35F2" w:rsidRPr="00873B6C">
        <w:t>C</w:t>
      </w:r>
      <w:r w:rsidRPr="00873B6C">
        <w:t xml:space="preserve"> Assistance Container </w:t>
      </w:r>
      <w:r w:rsidR="00426DE4" w:rsidRPr="00873B6C">
        <w:t xml:space="preserve">using the cumulative rateRatio if </w:t>
      </w:r>
      <w:r w:rsidRPr="00873B6C">
        <w:t>the cumulative rateRatio</w:t>
      </w:r>
      <w:r w:rsidR="00426DE4" w:rsidRPr="00873B6C">
        <w:t xml:space="preserve"> was previously received</w:t>
      </w:r>
      <w:r w:rsidRPr="00873B6C">
        <w:t xml:space="preserve"> from the UPF and sets the TSCAI Periodicity as the corrected value.</w:t>
      </w:r>
      <w:r w:rsidR="00426DE4" w:rsidRPr="00873B6C">
        <w:t xml:space="preserve"> Otherwise, the SMF sets the received Periodicity in the TSCAI without any correction.</w:t>
      </w:r>
    </w:p>
    <w:p w14:paraId="758B51F8" w14:textId="73285902" w:rsidR="00D40151" w:rsidRPr="00873B6C" w:rsidRDefault="00D40151" w:rsidP="00D40151">
      <w:pPr>
        <w:pStyle w:val="B1"/>
      </w:pPr>
      <w:r w:rsidRPr="00873B6C">
        <w:t>-</w:t>
      </w:r>
      <w:r w:rsidRPr="00873B6C">
        <w:tab/>
        <w:t>The SMF sets the TSCAI Flow Direction as the Flow Direction in the TS</w:t>
      </w:r>
      <w:r w:rsidR="000E35F2" w:rsidRPr="00873B6C">
        <w:t>C</w:t>
      </w:r>
      <w:r w:rsidRPr="00873B6C">
        <w:t xml:space="preserve"> Assistance Container.</w:t>
      </w:r>
    </w:p>
    <w:p w14:paraId="12B9DE28" w14:textId="22CD5E96" w:rsidR="00B96062" w:rsidRPr="00873B6C" w:rsidRDefault="00B96062" w:rsidP="00B96062">
      <w:pPr>
        <w:pStyle w:val="B1"/>
      </w:pPr>
      <w:r w:rsidRPr="00873B6C">
        <w:t>-</w:t>
      </w:r>
      <w:r w:rsidRPr="00873B6C">
        <w:tab/>
        <w:t>If Survival Time is provided in terms of maximum number of messages, the SMF converts maximum number of messages into time units by multiplying its value by the TSCAI Periodicity</w:t>
      </w:r>
      <w:r w:rsidR="00472CD7" w:rsidRPr="00873B6C">
        <w:t xml:space="preserve"> and</w:t>
      </w:r>
      <w:r w:rsidRPr="00873B6C">
        <w:t xml:space="preserve"> sets the TSCAI Survival Time to the calculated value. If Survival Time is provided in time units, the SMF corrects the Survival Time</w:t>
      </w:r>
      <w:r w:rsidR="00426DE4" w:rsidRPr="00873B6C">
        <w:t xml:space="preserve"> using the cumulative rateRatio if the</w:t>
      </w:r>
      <w:r w:rsidRPr="00873B6C">
        <w:t xml:space="preserve"> cumulative rateRatio</w:t>
      </w:r>
      <w:r w:rsidR="00426DE4" w:rsidRPr="00873B6C">
        <w:t xml:space="preserve"> was previously received</w:t>
      </w:r>
      <w:r w:rsidRPr="00873B6C">
        <w:t xml:space="preserve"> from the UPF and sets the TSCAI Survival Time to the corrected value.</w:t>
      </w:r>
      <w:r w:rsidR="00426DE4" w:rsidRPr="00873B6C">
        <w:t xml:space="preserve"> Otherwise, SMF sets the TSCAI Survival Time without correction.</w:t>
      </w:r>
    </w:p>
    <w:p w14:paraId="7DCFA4BF" w14:textId="77777777" w:rsidR="00872C86" w:rsidRPr="00873B6C" w:rsidRDefault="00872C86" w:rsidP="00695DF1">
      <w:pPr>
        <w:pStyle w:val="B1"/>
      </w:pPr>
      <w:r w:rsidRPr="00873B6C">
        <w:t>-</w:t>
      </w:r>
      <w:r w:rsidRPr="00873B6C">
        <w:tab/>
        <w:t>If the TSC Assistance Container contains a BAT Window, the SMF sets and corrects the indicated earliest and latest possible arrival time of the first packet in the same way it is described for the correction of the Burst Arrival Time above.</w:t>
      </w:r>
    </w:p>
    <w:p w14:paraId="523D75B1" w14:textId="201A4BE1" w:rsidR="00872C86" w:rsidRPr="00873B6C" w:rsidRDefault="00872C86" w:rsidP="00695DF1">
      <w:pPr>
        <w:pStyle w:val="B1"/>
      </w:pPr>
      <w:r w:rsidRPr="00873B6C">
        <w:t>-</w:t>
      </w:r>
      <w:r w:rsidRPr="00873B6C">
        <w:tab/>
        <w:t>If the TSC Assistance Container contains a Capability for BAT adaptation, the SMF sets the Capability for BAT adaptation in the TSCAI.</w:t>
      </w:r>
      <w:r w:rsidR="00286939" w:rsidRPr="00873B6C">
        <w:t xml:space="preserve"> When the SMF determines that the TSCAI contains the Capability for BAT adaptation without a BAT, the SMF enables notification control for the QoS Flow in order to receive the BAT offset along with the "GFBR can no longer be guaranteed" notification described in clause 5.7.2.4.</w:t>
      </w:r>
    </w:p>
    <w:p w14:paraId="2045DAD4" w14:textId="4762D33D" w:rsidR="00286939" w:rsidRPr="00873B6C" w:rsidRDefault="00286939" w:rsidP="00286939">
      <w:pPr>
        <w:pStyle w:val="B1"/>
      </w:pPr>
      <w:r w:rsidRPr="00873B6C">
        <w:t>-</w:t>
      </w:r>
      <w:r w:rsidRPr="00873B6C">
        <w:tab/>
        <w:t>If the TSC Assistance Container contains a Periodicity Range, the SMF sets and corrects the Periodicity Range in the same way it is described for the correction of the Periodicity above.</w:t>
      </w:r>
    </w:p>
    <w:p w14:paraId="6D3A53B2" w14:textId="44BA82BD" w:rsidR="002A4DF8" w:rsidRPr="00873B6C" w:rsidRDefault="002A4DF8" w:rsidP="00D40151">
      <w:r w:rsidRPr="00873B6C">
        <w:t>If a dynamic value for the CN PDB is configured in NG-RAN or received from the SMF (as defined in clause 5.7.3.4), the NG-RAN shall adjust the Burst Arrival Time in the TSCAI for the downlink direction by adding the dynamic value for the CN PDB and deducting the static value for the CN PDB of the corresponding 5QI.</w:t>
      </w:r>
    </w:p>
    <w:p w14:paraId="70976615" w14:textId="3A265FE9" w:rsidR="00D841E1" w:rsidRPr="00873B6C" w:rsidRDefault="00D841E1" w:rsidP="00D40151">
      <w:r w:rsidRPr="00873B6C">
        <w:t>Depending on whether the Time Domain is provided in the TSC Assistance container, SMF may perform the following:</w:t>
      </w:r>
    </w:p>
    <w:p w14:paraId="28D494F7" w14:textId="77777777" w:rsidR="00D841E1" w:rsidRPr="00873B6C" w:rsidRDefault="00D841E1" w:rsidP="001B7C50">
      <w:pPr>
        <w:pStyle w:val="B1"/>
      </w:pPr>
      <w:r w:rsidRPr="00873B6C">
        <w:t>-</w:t>
      </w:r>
      <w:r w:rsidRPr="00873B6C">
        <w:tab/>
        <w:t>the SMF provisions the UPF/NW-TT to report the clock drifting between 5G clock and the external GM clock for the (g)PTP time domain number that is configured to the NW-TT.</w:t>
      </w:r>
    </w:p>
    <w:p w14:paraId="4A800628" w14:textId="77777777" w:rsidR="00D841E1" w:rsidRPr="00873B6C" w:rsidRDefault="00D841E1" w:rsidP="001B7C50">
      <w:pPr>
        <w:pStyle w:val="B1"/>
      </w:pPr>
      <w:r w:rsidRPr="00873B6C">
        <w:t>-</w:t>
      </w:r>
      <w:r w:rsidRPr="00873B6C">
        <w:tab/>
        <w:t>the SMF provisions the UPF/NW-TT to report the clock drifting between 5G clock and the external GM clock for the given Time Domain number.</w:t>
      </w:r>
    </w:p>
    <w:p w14:paraId="18B13070" w14:textId="5EBD33EE" w:rsidR="00D841E1" w:rsidRPr="00873B6C" w:rsidRDefault="00D841E1" w:rsidP="00D40151">
      <w:r w:rsidRPr="00873B6C">
        <w:t xml:space="preserve">The SMF uses the N4 Association Setup or Update procedures as described in clause 4.4.3 of </w:t>
      </w:r>
      <w:r w:rsidR="00972E70" w:rsidRPr="00873B6C">
        <w:t>TS 23.502 [</w:t>
      </w:r>
      <w:r w:rsidRPr="00873B6C">
        <w:t>3] to provision the UPF to report the clock drifting.</w:t>
      </w:r>
    </w:p>
    <w:p w14:paraId="2EDC629A" w14:textId="2844006B" w:rsidR="00D841E1" w:rsidRPr="00873B6C" w:rsidRDefault="000E35F2" w:rsidP="00D40151">
      <w:r w:rsidRPr="00873B6C">
        <w:lastRenderedPageBreak/>
        <w:t xml:space="preserve">If the SMF has clock drift information for </w:t>
      </w:r>
      <w:r w:rsidR="00D841E1" w:rsidRPr="00873B6C">
        <w:t xml:space="preserve">a </w:t>
      </w:r>
      <w:r w:rsidRPr="00873B6C">
        <w:t>Time Domain</w:t>
      </w:r>
      <w:r w:rsidR="00D841E1" w:rsidRPr="00873B6C">
        <w:t xml:space="preserve"> and if the Time Domain matches with the Time Domain</w:t>
      </w:r>
      <w:r w:rsidRPr="00873B6C">
        <w:t xml:space="preserve"> in the TSC Assistance Container (i.e. clock drift between 5G timing and AF supplied Time Domain determined based on UPF reporting),</w:t>
      </w:r>
      <w:r w:rsidR="00D841E1" w:rsidRPr="00873B6C">
        <w:t xml:space="preserve"> or Time Domain information is not provided in the TSC Assistance Container,</w:t>
      </w:r>
      <w:r w:rsidRPr="00873B6C">
        <w:t xml:space="preserve"> then </w:t>
      </w:r>
      <w:r w:rsidR="00D841E1" w:rsidRPr="00873B6C">
        <w:t xml:space="preserve">the SMF </w:t>
      </w:r>
      <w:r w:rsidRPr="00873B6C">
        <w:t>may adjust the TSCAI information so that it reflects the 5GS Clock as described in clause 5.27.2.1.</w:t>
      </w:r>
    </w:p>
    <w:p w14:paraId="496A7445" w14:textId="2982BE3E" w:rsidR="000E35F2" w:rsidRPr="00873B6C" w:rsidRDefault="00D841E1" w:rsidP="00D40151">
      <w:r w:rsidRPr="00873B6C">
        <w:t xml:space="preserve">If </w:t>
      </w:r>
      <w:r w:rsidR="000E35F2" w:rsidRPr="00873B6C">
        <w:t>the SMF does not have synchronization information for a requested Time Domain</w:t>
      </w:r>
      <w:r w:rsidRPr="00873B6C">
        <w:t xml:space="preserve"> in the TSC Assistance Container, or the Time Domain in the TSC Assistance Container is set to a value = "5GS"</w:t>
      </w:r>
      <w:r w:rsidR="000E35F2" w:rsidRPr="00873B6C">
        <w:t>, then the TSCAI information will be used without adjustment.</w:t>
      </w:r>
    </w:p>
    <w:p w14:paraId="7FCBF23C" w14:textId="3883E3CC" w:rsidR="00D40151" w:rsidRPr="00873B6C" w:rsidRDefault="00D40151" w:rsidP="00D40151">
      <w:r w:rsidRPr="00873B6C">
        <w:t xml:space="preserve">In the case of drift between </w:t>
      </w:r>
      <w:r w:rsidR="000E35F2" w:rsidRPr="00873B6C">
        <w:t xml:space="preserve">external </w:t>
      </w:r>
      <w:r w:rsidRPr="00873B6C">
        <w:t>GM clock and 5G clock, the UPF updates the offset to SMF using the N4 Report Procedure as defined in</w:t>
      </w:r>
      <w:r w:rsidR="00131D56" w:rsidRPr="00873B6C">
        <w:t xml:space="preserve"> clause 4.4.3.4</w:t>
      </w:r>
      <w:r w:rsidRPr="00873B6C">
        <w:t xml:space="preserve"> </w:t>
      </w:r>
      <w:r w:rsidR="00131D56" w:rsidRPr="00873B6C">
        <w:t xml:space="preserve">of </w:t>
      </w:r>
      <w:r w:rsidR="00972E70" w:rsidRPr="00873B6C">
        <w:t>TS 23.502 [</w:t>
      </w:r>
      <w:r w:rsidRPr="00873B6C">
        <w:t>3]. I</w:t>
      </w:r>
      <w:r w:rsidR="00426DE4" w:rsidRPr="00873B6C">
        <w:t>f the cumulative rateRatio is available and i</w:t>
      </w:r>
      <w:r w:rsidRPr="00873B6C">
        <w:t xml:space="preserve">n the case of change of cumulative rateRatio between </w:t>
      </w:r>
      <w:r w:rsidR="000E35F2" w:rsidRPr="00873B6C">
        <w:t xml:space="preserve">external PTP </w:t>
      </w:r>
      <w:r w:rsidRPr="00873B6C">
        <w:t xml:space="preserve">time and 5G time, the UPF updates the cumulative rateRatio to SMF using the N4 Report Procedure as defined in </w:t>
      </w:r>
      <w:r w:rsidR="00131D56" w:rsidRPr="00873B6C">
        <w:t xml:space="preserve">clause 4.4.3.4 of </w:t>
      </w:r>
      <w:r w:rsidR="00972E70" w:rsidRPr="00873B6C">
        <w:t>TS 23.502 [</w:t>
      </w:r>
      <w:r w:rsidRPr="00873B6C">
        <w:t>3]. The SMF may then trigger a PDU Session Modification as defined in</w:t>
      </w:r>
      <w:r w:rsidR="00131D56" w:rsidRPr="00873B6C">
        <w:t xml:space="preserve"> clause 4.3.3</w:t>
      </w:r>
      <w:r w:rsidRPr="00873B6C">
        <w:t xml:space="preserve"> </w:t>
      </w:r>
      <w:r w:rsidR="00131D56" w:rsidRPr="00873B6C">
        <w:t xml:space="preserve">of </w:t>
      </w:r>
      <w:r w:rsidR="00972E70" w:rsidRPr="00873B6C">
        <w:t>TS 23.502 [</w:t>
      </w:r>
      <w:r w:rsidRPr="00873B6C">
        <w:t>3] in order to update the TSCAI to the NG-RAN without requiring AN or N1 specific signalling exchange with the UE.</w:t>
      </w:r>
    </w:p>
    <w:p w14:paraId="4E18F423" w14:textId="37A0F437" w:rsidR="00D40151" w:rsidRPr="00873B6C" w:rsidRDefault="00D40151" w:rsidP="00D40151">
      <w:pPr>
        <w:pStyle w:val="NO"/>
      </w:pPr>
      <w:r w:rsidRPr="00873B6C">
        <w:t>NOTE 4:</w:t>
      </w:r>
      <w:r w:rsidRPr="00873B6C">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873B6C">
        <w:t xml:space="preserve"> clause 4.4.3.4</w:t>
      </w:r>
      <w:r w:rsidRPr="00873B6C">
        <w:t xml:space="preserve"> </w:t>
      </w:r>
      <w:r w:rsidR="00131D56" w:rsidRPr="00873B6C">
        <w:t xml:space="preserve">of </w:t>
      </w:r>
      <w:r w:rsidR="00972E70" w:rsidRPr="00873B6C">
        <w:t>TS 23.502 [</w:t>
      </w:r>
      <w:r w:rsidRPr="00873B6C">
        <w:t>3].</w:t>
      </w:r>
    </w:p>
    <w:p w14:paraId="42D6513D" w14:textId="30EE93B2" w:rsidR="00872C86" w:rsidRPr="00873B6C" w:rsidRDefault="00872C86" w:rsidP="00872C86">
      <w:pPr>
        <w:pStyle w:val="Heading4"/>
      </w:pPr>
      <w:bookmarkStart w:id="3989" w:name="_CR5_27_2_5"/>
      <w:bookmarkStart w:id="3990" w:name="_Toc20150067"/>
      <w:bookmarkStart w:id="3991" w:name="_Toc27846866"/>
      <w:bookmarkStart w:id="3992" w:name="_Toc36187997"/>
      <w:bookmarkStart w:id="3993" w:name="_Toc45183901"/>
      <w:bookmarkStart w:id="3994" w:name="_Toc47342743"/>
      <w:bookmarkStart w:id="3995" w:name="_Toc51769444"/>
      <w:bookmarkStart w:id="3996" w:name="_Toc201157479"/>
      <w:bookmarkEnd w:id="3989"/>
      <w:r w:rsidRPr="00873B6C">
        <w:t>5.27.2.5</w:t>
      </w:r>
      <w:r w:rsidRPr="00873B6C">
        <w:tab/>
        <w:t>RAN feedback for Burst Arrival Time offset</w:t>
      </w:r>
      <w:r w:rsidR="0022127D" w:rsidRPr="00873B6C">
        <w:t xml:space="preserve"> and adjusted Periodicity</w:t>
      </w:r>
      <w:bookmarkEnd w:id="3996"/>
    </w:p>
    <w:p w14:paraId="580499DA" w14:textId="77777777" w:rsidR="00872C86" w:rsidRPr="00873B6C" w:rsidRDefault="00872C86" w:rsidP="00695DF1">
      <w:pPr>
        <w:pStyle w:val="Heading5"/>
      </w:pPr>
      <w:bookmarkStart w:id="3997" w:name="_CR5_27_2_5_1"/>
      <w:bookmarkStart w:id="3998" w:name="_Toc201157480"/>
      <w:bookmarkEnd w:id="3997"/>
      <w:r w:rsidRPr="00873B6C">
        <w:t>5.27.2.5.1</w:t>
      </w:r>
      <w:r w:rsidRPr="00873B6C">
        <w:tab/>
        <w:t>Overview</w:t>
      </w:r>
      <w:bookmarkEnd w:id="3998"/>
    </w:p>
    <w:p w14:paraId="6CA4F81A" w14:textId="77777777" w:rsidR="00872C86" w:rsidRPr="00873B6C" w:rsidRDefault="00872C86" w:rsidP="00872C86">
      <w:r w:rsidRPr="00873B6C">
        <w:t>If the NG-RAN receives a TSCAI containing a BAT Window or the Capability for BAT adaptation for a QoS Flow, the NG-RAN can determine a BAT offset in order to align the arrival of the traffic bursts with the next expected transmission opportunity over the air interface in each direction (i.e. DL or UL). The BAT offset can take a positive or a negative values.</w:t>
      </w:r>
    </w:p>
    <w:p w14:paraId="4B11A3C1" w14:textId="695339A9" w:rsidR="0022127D" w:rsidRPr="00873B6C" w:rsidRDefault="0022127D" w:rsidP="00872C86">
      <w:r w:rsidRPr="00873B6C">
        <w:t>If the NG-RAN receives a TSCAI containing a Periodicity Range for a QoS Flow, the NG-RAN can determine an adjusted Periodicity along with above specified BAT offset, in order to align the periodicity of the traffic bursts with the expected time interval between subsequent transmission opportunities over the air interface in each direction (i.e. DL or UL).</w:t>
      </w:r>
      <w:r w:rsidR="003D25E4" w:rsidRPr="00873B6C">
        <w:t xml:space="preserve"> If the TSCAI contained a value range, the adjusted Periodicity should be any value between the lower bound and upper bound. If the TSCAI contained a list of Periodicity value(s), the adjusted Periodicity should be one of these values.</w:t>
      </w:r>
    </w:p>
    <w:p w14:paraId="118F8A5F" w14:textId="5A495A14" w:rsidR="00872C86" w:rsidRPr="00873B6C" w:rsidRDefault="00872C86" w:rsidP="00872C86">
      <w:r w:rsidRPr="00873B6C">
        <w:t>NG-RAN may support the following feedback mechanisms:</w:t>
      </w:r>
    </w:p>
    <w:p w14:paraId="535B104F" w14:textId="00133493" w:rsidR="00872C86" w:rsidRPr="00873B6C" w:rsidRDefault="00872C86" w:rsidP="00695DF1">
      <w:pPr>
        <w:pStyle w:val="B1"/>
      </w:pPr>
      <w:r w:rsidRPr="00873B6C">
        <w:t>-</w:t>
      </w:r>
      <w:r w:rsidRPr="00873B6C">
        <w:tab/>
        <w:t>Proactive RAN feedback for</w:t>
      </w:r>
      <w:r w:rsidR="0022127D" w:rsidRPr="00873B6C">
        <w:t xml:space="preserve"> adaptation of</w:t>
      </w:r>
      <w:r w:rsidRPr="00873B6C">
        <w:t xml:space="preserve"> Burst Arrival Time</w:t>
      </w:r>
      <w:r w:rsidR="0022127D" w:rsidRPr="00873B6C">
        <w:t xml:space="preserve"> and Periodicity</w:t>
      </w:r>
      <w:r w:rsidRPr="00873B6C">
        <w:t>: NG-RAN may provide a Burst Arrival Time offset</w:t>
      </w:r>
      <w:r w:rsidR="0022127D" w:rsidRPr="00873B6C">
        <w:t xml:space="preserve"> and an adjusted Periodicity</w:t>
      </w:r>
      <w:r w:rsidRPr="00873B6C">
        <w:t xml:space="preserve"> as part of QoS flow establishment or modification as illustrated in clause 5.27.2.5.2;</w:t>
      </w:r>
    </w:p>
    <w:p w14:paraId="0AE7D42D" w14:textId="77777777" w:rsidR="00872C86" w:rsidRPr="00873B6C" w:rsidRDefault="00872C86" w:rsidP="00695DF1">
      <w:pPr>
        <w:pStyle w:val="B1"/>
      </w:pPr>
      <w:r w:rsidRPr="00873B6C">
        <w:t>-</w:t>
      </w:r>
      <w:r w:rsidRPr="00873B6C">
        <w:tab/>
        <w:t>Reactive RAN feedback for Burst Arrival Time adaptation: NG-RAN may provide a Burst Arrival Time offset after QoS flow establishment as illustrated in clause 5.27.2.5.3.</w:t>
      </w:r>
    </w:p>
    <w:p w14:paraId="758D5922" w14:textId="7BD4AA90" w:rsidR="00872C86" w:rsidRPr="00873B6C" w:rsidRDefault="00872C86" w:rsidP="00872C86">
      <w:pPr>
        <w:pStyle w:val="Heading5"/>
      </w:pPr>
      <w:bookmarkStart w:id="3999" w:name="_CR5_27_2_5_2"/>
      <w:bookmarkStart w:id="4000" w:name="_Toc201157481"/>
      <w:bookmarkEnd w:id="3999"/>
      <w:r w:rsidRPr="00873B6C">
        <w:t>5.27.2.5.2</w:t>
      </w:r>
      <w:r w:rsidRPr="00873B6C">
        <w:tab/>
        <w:t>Proactive RAN feedback for</w:t>
      </w:r>
      <w:r w:rsidR="0022127D" w:rsidRPr="00873B6C">
        <w:t xml:space="preserve"> adaptation of</w:t>
      </w:r>
      <w:r w:rsidRPr="00873B6C">
        <w:t xml:space="preserve"> Burst Arrival Time</w:t>
      </w:r>
      <w:r w:rsidR="0022127D" w:rsidRPr="00873B6C">
        <w:t xml:space="preserve"> and Periodicity</w:t>
      </w:r>
      <w:bookmarkEnd w:id="4000"/>
    </w:p>
    <w:p w14:paraId="540A6092" w14:textId="28A05B3D" w:rsidR="00872C86" w:rsidRPr="00873B6C" w:rsidRDefault="00872C86" w:rsidP="00872C86">
      <w:r w:rsidRPr="00873B6C">
        <w:t xml:space="preserve">If the </w:t>
      </w:r>
      <w:r w:rsidR="0022127D" w:rsidRPr="00873B6C">
        <w:t>NG-</w:t>
      </w:r>
      <w:r w:rsidRPr="00873B6C">
        <w:t>RAN receives a Burst Arrival Time and Burst Arrival Time Window in the TSCAI for a QoS Flow, the 5GS will perform the following actions:</w:t>
      </w:r>
    </w:p>
    <w:p w14:paraId="7061A1EF" w14:textId="7615E4D5" w:rsidR="00872C86" w:rsidRPr="00873B6C" w:rsidRDefault="00872C86" w:rsidP="00695DF1">
      <w:pPr>
        <w:pStyle w:val="B1"/>
      </w:pPr>
      <w:r w:rsidRPr="00873B6C">
        <w:t>-</w:t>
      </w:r>
      <w:r w:rsidRPr="00873B6C">
        <w:tab/>
        <w:t xml:space="preserve">The NG-RAN can determine a BAT offset in order to align the expected arrival of the traffic bursts (as indicated in the BAT) with the time when the next transmission over the air interface in each direction (i.e. DL or UL) is expected. </w:t>
      </w:r>
      <w:r w:rsidR="0022127D" w:rsidRPr="00873B6C">
        <w:t xml:space="preserve">The </w:t>
      </w:r>
      <w:r w:rsidRPr="00873B6C">
        <w:t>BAT offset shall always be provided by NG-RAN and it shall be within the BAT Window. The BAT offset is calculated with reference to</w:t>
      </w:r>
      <w:r w:rsidR="0022127D" w:rsidRPr="00873B6C">
        <w:t xml:space="preserve"> the BAT</w:t>
      </w:r>
      <w:r w:rsidRPr="00873B6C">
        <w:t>.</w:t>
      </w:r>
    </w:p>
    <w:p w14:paraId="2AFDCCBC" w14:textId="13480875" w:rsidR="00872C86" w:rsidRPr="00873B6C" w:rsidRDefault="00872C86" w:rsidP="00695DF1">
      <w:pPr>
        <w:pStyle w:val="B1"/>
      </w:pPr>
      <w:r w:rsidRPr="00873B6C">
        <w:t>-</w:t>
      </w:r>
      <w:r w:rsidRPr="00873B6C">
        <w:tab/>
      </w:r>
      <w:r w:rsidR="0022127D" w:rsidRPr="00873B6C">
        <w:t xml:space="preserve">If the </w:t>
      </w:r>
      <w:r w:rsidRPr="00873B6C">
        <w:t>BAT offset is provided from NG-RAN to the SMF in the response to the QoS Flow establishment or modification request</w:t>
      </w:r>
      <w:r w:rsidR="0022127D" w:rsidRPr="00873B6C">
        <w:t xml:space="preserve">, the </w:t>
      </w:r>
      <w:r w:rsidRPr="00873B6C">
        <w:t xml:space="preserve">SMF provides the BAT offset to the PCF and the PCF notifies the AF as described in clause 6.1.3.23a of </w:t>
      </w:r>
      <w:r w:rsidR="00972E70" w:rsidRPr="00873B6C">
        <w:t>TS 23.503 [</w:t>
      </w:r>
      <w:r w:rsidRPr="00873B6C">
        <w:t>45].</w:t>
      </w:r>
      <w:r w:rsidR="003D49E0" w:rsidRPr="00873B6C">
        <w:t xml:space="preserve"> The SMF also updates the BAT value of the locally stored TSCAI based on the received BAT offset.</w:t>
      </w:r>
    </w:p>
    <w:p w14:paraId="1F1B9569" w14:textId="1A541026" w:rsidR="003D49E0" w:rsidRPr="00873B6C" w:rsidRDefault="003D49E0" w:rsidP="003D49E0">
      <w:pPr>
        <w:pStyle w:val="NO"/>
      </w:pPr>
      <w:r w:rsidRPr="00873B6C">
        <w:t>NOTE 1:</w:t>
      </w:r>
      <w:r w:rsidRPr="00873B6C">
        <w:tab/>
        <w:t>SMF updates the locally stored TSCAI so that after a handover SMF provides the updated BAT (adjusted by the BAT offset) to the target NG-RAN node.</w:t>
      </w:r>
    </w:p>
    <w:p w14:paraId="2850BD34" w14:textId="2F73E1B9" w:rsidR="0022127D" w:rsidRPr="00873B6C" w:rsidRDefault="0022127D" w:rsidP="0022127D">
      <w:pPr>
        <w:pStyle w:val="B1"/>
      </w:pPr>
      <w:r w:rsidRPr="00873B6C">
        <w:lastRenderedPageBreak/>
        <w:t>-</w:t>
      </w:r>
      <w:r w:rsidRPr="00873B6C">
        <w:tab/>
        <w:t xml:space="preserve">The SMF may adjust the BAT offset received from NG-RAN based on the clock drifting report from UPF as specified in clause 4.4.3.4 of </w:t>
      </w:r>
      <w:r w:rsidR="00972E70" w:rsidRPr="00873B6C">
        <w:t>TS 23.502 [</w:t>
      </w:r>
      <w:r w:rsidRPr="00873B6C">
        <w:t>3].</w:t>
      </w:r>
    </w:p>
    <w:p w14:paraId="6A37807A" w14:textId="181BF1FA" w:rsidR="00872C86" w:rsidRPr="00873B6C" w:rsidRDefault="00872C86" w:rsidP="00972E70">
      <w:pPr>
        <w:pStyle w:val="NO"/>
      </w:pPr>
      <w:r w:rsidRPr="00873B6C">
        <w:t>NOTE</w:t>
      </w:r>
      <w:r w:rsidR="003D49E0" w:rsidRPr="00873B6C">
        <w:t> 2</w:t>
      </w:r>
      <w:r w:rsidRPr="00873B6C">
        <w:t>:</w:t>
      </w:r>
      <w:r w:rsidRPr="00873B6C">
        <w:tab/>
      </w:r>
      <w:r w:rsidR="0022127D" w:rsidRPr="00873B6C">
        <w:t xml:space="preserve">The </w:t>
      </w:r>
      <w:r w:rsidRPr="00873B6C">
        <w:t>feedback from RAN implies</w:t>
      </w:r>
      <w:r w:rsidR="0022127D" w:rsidRPr="00873B6C">
        <w:t xml:space="preserve"> that</w:t>
      </w:r>
      <w:r w:rsidRPr="00873B6C">
        <w:t xml:space="preserve"> the RAN accepts the BAT offset.</w:t>
      </w:r>
      <w:r w:rsidR="0022127D" w:rsidRPr="00873B6C">
        <w:t xml:space="preserve"> If the AF requested BAT is acceptable for NG-RAN, the NG-RAN provides a BAT offset of zero.</w:t>
      </w:r>
    </w:p>
    <w:p w14:paraId="03525942" w14:textId="77777777" w:rsidR="0022127D" w:rsidRPr="00873B6C" w:rsidRDefault="0022127D" w:rsidP="00695DF1">
      <w:pPr>
        <w:pStyle w:val="B1"/>
      </w:pPr>
      <w:r w:rsidRPr="00873B6C">
        <w:t>-</w:t>
      </w:r>
      <w:r w:rsidRPr="00873B6C">
        <w:tab/>
        <w:t>If the RAN also receives a Periodicity Range along with the Periodicity in the TSCAI for a QoS flow, the 5GS will further perform the following actions:</w:t>
      </w:r>
    </w:p>
    <w:p w14:paraId="4ACC6F42" w14:textId="77777777" w:rsidR="0022127D" w:rsidRPr="00873B6C" w:rsidRDefault="0022127D" w:rsidP="00972E70">
      <w:pPr>
        <w:pStyle w:val="B2"/>
      </w:pPr>
      <w:r w:rsidRPr="00873B6C">
        <w:t>-</w:t>
      </w:r>
      <w:r w:rsidRPr="00873B6C">
        <w:tab/>
        <w:t>The RAN may determine an adjusted periodicity in order to align the periodicity of the traffic bursts with the expected time interval between subsequent transmission opportunities over the air interface in each direction (i.e. DL or UL). If the RAN determines an adjusted periodicity, the RAN provides it together with a BAT offset mentioned above. The adjusted periodicity shall be within the Periodicity Range and the BAT offset is based on the adjusted periodicity.</w:t>
      </w:r>
    </w:p>
    <w:p w14:paraId="0D7B673E" w14:textId="5CE37FD0" w:rsidR="0022127D" w:rsidRPr="00873B6C" w:rsidRDefault="0022127D" w:rsidP="00972E70">
      <w:pPr>
        <w:pStyle w:val="B2"/>
      </w:pPr>
      <w:r w:rsidRPr="00873B6C">
        <w:t>-</w:t>
      </w:r>
      <w:r w:rsidRPr="00873B6C">
        <w:tab/>
        <w:t>The adjusted periodicity is forwarded to the AF via the SMF and the PCF together with a BAT offset in the same way it is described above.</w:t>
      </w:r>
      <w:r w:rsidR="003D49E0" w:rsidRPr="00873B6C">
        <w:t xml:space="preserve"> The SMF also updates the periodicity value of the locally stored TSCAI based on the received adjusted periodicity.</w:t>
      </w:r>
    </w:p>
    <w:p w14:paraId="262C7142" w14:textId="4F193C03" w:rsidR="003D49E0" w:rsidRPr="00873B6C" w:rsidRDefault="003D49E0" w:rsidP="003D49E0">
      <w:pPr>
        <w:pStyle w:val="NO"/>
      </w:pPr>
      <w:r w:rsidRPr="00873B6C">
        <w:t>NOTE 3:</w:t>
      </w:r>
      <w:r w:rsidRPr="00873B6C">
        <w:tab/>
        <w:t>SMF updates the locally stored TSCAI so that after a handover SMF provides the adjusted periodicity to the target NG-RAN node.</w:t>
      </w:r>
    </w:p>
    <w:p w14:paraId="595D5ABB" w14:textId="0AC16E4C" w:rsidR="00872C86" w:rsidRPr="00873B6C" w:rsidRDefault="00872C86" w:rsidP="00695DF1">
      <w:pPr>
        <w:pStyle w:val="B1"/>
      </w:pPr>
      <w:r w:rsidRPr="00873B6C">
        <w:t>-</w:t>
      </w:r>
      <w:r w:rsidRPr="00873B6C">
        <w:tab/>
        <w:t>If interworking with a TSN network deployed in the transport network is supported, the SMF/CUC uses the</w:t>
      </w:r>
      <w:r w:rsidR="0022127D" w:rsidRPr="00873B6C">
        <w:t xml:space="preserve"> adjusted</w:t>
      </w:r>
      <w:r w:rsidRPr="00873B6C">
        <w:t xml:space="preserve"> periodicity</w:t>
      </w:r>
      <w:r w:rsidR="0022127D" w:rsidRPr="00873B6C">
        <w:t xml:space="preserve"> (if provided)</w:t>
      </w:r>
      <w:r w:rsidRPr="00873B6C">
        <w:t xml:space="preserve"> and BAT offset accepted by the RAN to adjust the</w:t>
      </w:r>
      <w:r w:rsidR="00500903" w:rsidRPr="00873B6C">
        <w:t xml:space="preserve"> related parameters</w:t>
      </w:r>
      <w:r w:rsidRPr="00873B6C">
        <w:t xml:space="preserve"> in the Talker/Listener Group</w:t>
      </w:r>
      <w:r w:rsidR="00500903" w:rsidRPr="00873B6C">
        <w:t xml:space="preserve"> and the Talker/Listener Group is</w:t>
      </w:r>
      <w:r w:rsidRPr="00873B6C">
        <w:t xml:space="preserve"> as described in</w:t>
      </w:r>
      <w:r w:rsidR="007C1B83" w:rsidRPr="00873B6C">
        <w:t xml:space="preserve"> Annex M,</w:t>
      </w:r>
      <w:r w:rsidRPr="00873B6C">
        <w:t xml:space="preserve"> clause </w:t>
      </w:r>
      <w:r w:rsidR="007C1B83" w:rsidRPr="00873B6C">
        <w:t>M.1</w:t>
      </w:r>
      <w:r w:rsidRPr="00873B6C">
        <w:t>.</w:t>
      </w:r>
      <w:r w:rsidR="00500903" w:rsidRPr="00873B6C">
        <w:t xml:space="preserve"> How the related parameters are adjusted is left to the implementation.</w:t>
      </w:r>
    </w:p>
    <w:p w14:paraId="284660DA" w14:textId="19911E9F" w:rsidR="00872C86" w:rsidRPr="00873B6C" w:rsidRDefault="00872C86" w:rsidP="00695DF1">
      <w:pPr>
        <w:pStyle w:val="Heading5"/>
      </w:pPr>
      <w:bookmarkStart w:id="4001" w:name="_CR5_27_2_5_3"/>
      <w:bookmarkStart w:id="4002" w:name="_Toc201157482"/>
      <w:bookmarkEnd w:id="4001"/>
      <w:r w:rsidRPr="00873B6C">
        <w:t>5.27.2.5.</w:t>
      </w:r>
      <w:r w:rsidR="00D409DD" w:rsidRPr="00873B6C">
        <w:t>3</w:t>
      </w:r>
      <w:r w:rsidRPr="00873B6C">
        <w:tab/>
        <w:t>Reactive RAN feedback</w:t>
      </w:r>
      <w:r w:rsidR="0022127D" w:rsidRPr="00873B6C">
        <w:t xml:space="preserve"> for Burst Arrival Time adaptation</w:t>
      </w:r>
      <w:bookmarkEnd w:id="4002"/>
    </w:p>
    <w:p w14:paraId="6D0463A4" w14:textId="10893F2D" w:rsidR="00872C86" w:rsidRPr="00873B6C" w:rsidRDefault="00872C86" w:rsidP="00872C86">
      <w:r w:rsidRPr="00873B6C">
        <w:t>If the RAN receives the capability for BAT adaptation</w:t>
      </w:r>
      <w:r w:rsidR="0022127D" w:rsidRPr="00873B6C">
        <w:t xml:space="preserve"> without a Burst Arrival Time</w:t>
      </w:r>
      <w:r w:rsidRPr="00873B6C">
        <w:t xml:space="preserve"> in the TSCAI and notification control is enabled for this QoS Flow, the 5GS will perform the following actions:</w:t>
      </w:r>
    </w:p>
    <w:p w14:paraId="301AB1D8" w14:textId="5F7FECD8" w:rsidR="00872C86" w:rsidRPr="00873B6C" w:rsidRDefault="00872C86" w:rsidP="00695DF1">
      <w:pPr>
        <w:pStyle w:val="B1"/>
      </w:pPr>
      <w:r w:rsidRPr="00873B6C">
        <w:t>-</w:t>
      </w:r>
      <w:r w:rsidRPr="00873B6C">
        <w:tab/>
        <w:t>If NG-RAN determines that the PDB of the QoS flow cannot be fulfilled in DL</w:t>
      </w:r>
      <w:r w:rsidR="00D409DD" w:rsidRPr="00873B6C">
        <w:t xml:space="preserve"> and UL</w:t>
      </w:r>
      <w:r w:rsidRPr="00873B6C">
        <w:t xml:space="preserve"> direction, then if supported, NG-RAN shall determine a BAT offset value which reduces the time between the arrival of the traffic bursts and the time of the next possible transmission over the air interface</w:t>
      </w:r>
      <w:r w:rsidR="00D409DD" w:rsidRPr="00873B6C">
        <w:t xml:space="preserve"> for DL and UL, respectively</w:t>
      </w:r>
      <w:r w:rsidRPr="00873B6C">
        <w:t>. NG-RAN shall not provide a BAT offset with the same value until the PDB of the QoS Flow can be fulfilled again.</w:t>
      </w:r>
    </w:p>
    <w:p w14:paraId="34F18D7E" w14:textId="34F1328F" w:rsidR="00872C86" w:rsidRPr="00873B6C" w:rsidRDefault="00872C86" w:rsidP="00695DF1">
      <w:pPr>
        <w:pStyle w:val="NO"/>
      </w:pPr>
      <w:r w:rsidRPr="00873B6C">
        <w:t>NOTE:</w:t>
      </w:r>
      <w:r w:rsidRPr="00873B6C">
        <w:tab/>
        <w:t>NG-RAN determines BAT offset value in reference to the current arrival time of the bursts experienced by RAN</w:t>
      </w:r>
      <w:r w:rsidR="00D409DD" w:rsidRPr="00873B6C">
        <w:t xml:space="preserve"> in DL and by UE in UL. Further details on BAT offset determination for DL and UL</w:t>
      </w:r>
      <w:r w:rsidR="00DD4756" w:rsidRPr="00873B6C">
        <w:t xml:space="preserve"> are defined in TS 38.331 [28]</w:t>
      </w:r>
      <w:r w:rsidRPr="00873B6C">
        <w:t>.</w:t>
      </w:r>
    </w:p>
    <w:p w14:paraId="6EB50FD8" w14:textId="0445A4B1" w:rsidR="00872C86" w:rsidRPr="00873B6C" w:rsidRDefault="00872C86" w:rsidP="00695DF1">
      <w:pPr>
        <w:pStyle w:val="B1"/>
      </w:pPr>
      <w:r w:rsidRPr="00873B6C">
        <w:t>-</w:t>
      </w:r>
      <w:r w:rsidRPr="00873B6C">
        <w:tab/>
        <w:t xml:space="preserve">The BAT offset is provided from NG-RAN to the SMF when sending the notification towards the SMF that the "GFBR can no longer be guaranteed" described in clause 5.7.2.4. The SMF provides the BAT offset to the PCF and the PCF provides the BAT offset to the AF as part of notifying the AF as described in clause 6.1.3.23a of </w:t>
      </w:r>
      <w:r w:rsidR="00972E70" w:rsidRPr="00873B6C">
        <w:t>TS 23.503 [</w:t>
      </w:r>
      <w:r w:rsidRPr="00873B6C">
        <w:t>45]</w:t>
      </w:r>
    </w:p>
    <w:p w14:paraId="606366BA" w14:textId="66A225B4" w:rsidR="00D40151" w:rsidRPr="00873B6C" w:rsidRDefault="00D40151" w:rsidP="00D40151">
      <w:pPr>
        <w:pStyle w:val="Heading3"/>
      </w:pPr>
      <w:bookmarkStart w:id="4003" w:name="_CR5_27_3"/>
      <w:bookmarkStart w:id="4004" w:name="_Toc201157483"/>
      <w:bookmarkEnd w:id="4003"/>
      <w:r w:rsidRPr="00873B6C">
        <w:t>5.27.3</w:t>
      </w:r>
      <w:r w:rsidRPr="00873B6C">
        <w:tab/>
        <w:t>Support for TSC QoS Flows</w:t>
      </w:r>
      <w:bookmarkEnd w:id="3990"/>
      <w:bookmarkEnd w:id="3991"/>
      <w:bookmarkEnd w:id="3992"/>
      <w:bookmarkEnd w:id="3993"/>
      <w:bookmarkEnd w:id="3994"/>
      <w:bookmarkEnd w:id="3995"/>
      <w:bookmarkEnd w:id="4004"/>
    </w:p>
    <w:p w14:paraId="6068D93E" w14:textId="1FC10958" w:rsidR="00D40151" w:rsidRPr="00873B6C" w:rsidRDefault="00D40151" w:rsidP="00D40151">
      <w:r w:rsidRPr="00873B6C">
        <w:t>TSC QoS Flows use a Delay</w:t>
      </w:r>
      <w:r w:rsidR="00704A9E" w:rsidRPr="00873B6C">
        <w:t>-c</w:t>
      </w:r>
      <w:r w:rsidRPr="00873B6C">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873B6C" w:rsidRDefault="00D40151" w:rsidP="00D40151">
      <w:r w:rsidRPr="00873B6C">
        <w:t>The following is applicable for the QoS profile defined for TSC QoS Flows:</w:t>
      </w:r>
    </w:p>
    <w:p w14:paraId="3D1F154B" w14:textId="77777777" w:rsidR="00D40151" w:rsidRPr="00873B6C" w:rsidRDefault="00D40151" w:rsidP="00D40151">
      <w:pPr>
        <w:pStyle w:val="B1"/>
      </w:pPr>
      <w:r w:rsidRPr="00873B6C">
        <w:t>1.</w:t>
      </w:r>
      <w:r w:rsidRPr="00873B6C">
        <w:tab/>
        <w:t>The TSC Burst Size may be used to set the MDBV as follows:</w:t>
      </w:r>
    </w:p>
    <w:p w14:paraId="6C80B8E8" w14:textId="6E711D3A" w:rsidR="00D40151" w:rsidRPr="00873B6C" w:rsidRDefault="00D40151" w:rsidP="00D40151">
      <w:pPr>
        <w:pStyle w:val="B2"/>
      </w:pPr>
      <w:r w:rsidRPr="00873B6C">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873B6C">
        <w:t xml:space="preserve">When integration with IEEE TSN applies, this </w:t>
      </w:r>
      <w:r w:rsidRPr="00873B6C">
        <w:t xml:space="preserve">5QI also shall have a PDB value that satisfies the bridge delay capabilities (see clause 5.27.5 for more details) reported for the corresponding traffic class. For TSC QoS Flows, the Maximum Burst Size of the aggregated TSC streams to </w:t>
      </w:r>
      <w:r w:rsidRPr="00873B6C">
        <w:lastRenderedPageBreak/>
        <w:t>be allocated to this QoS Flow can be similarly mapped to a 5QI with MDBV value that is equal or higher.</w:t>
      </w:r>
      <w:r w:rsidR="00C86B51" w:rsidRPr="00873B6C">
        <w:t xml:space="preserve"> If interworking with a TSN network deployed in the transport network is supported, the maximum value of TSC Burst Size should be mapped to a 5QI with MDBV that is equal.</w:t>
      </w:r>
    </w:p>
    <w:p w14:paraId="2142943E" w14:textId="77777777" w:rsidR="00D40151" w:rsidRPr="00873B6C" w:rsidRDefault="00D40151" w:rsidP="00D40151">
      <w:pPr>
        <w:pStyle w:val="B1"/>
      </w:pPr>
      <w:r w:rsidRPr="00873B6C">
        <w:t>2.</w:t>
      </w:r>
      <w:r w:rsidRPr="00873B6C">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873B6C" w:rsidRDefault="00D40151" w:rsidP="00D40151">
      <w:pPr>
        <w:pStyle w:val="B1"/>
      </w:pPr>
      <w:bookmarkStart w:id="4005" w:name="_Toc20150068"/>
      <w:bookmarkStart w:id="4006" w:name="_Toc27846867"/>
      <w:bookmarkStart w:id="4007" w:name="_Toc36187998"/>
      <w:r w:rsidRPr="00873B6C">
        <w:t>3.</w:t>
      </w:r>
      <w:r w:rsidRPr="00873B6C">
        <w:tab/>
      </w:r>
      <w:r w:rsidR="00412DC3" w:rsidRPr="00873B6C">
        <w:t xml:space="preserve">When integration with IEEE TSN applies, the </w:t>
      </w:r>
      <w:r w:rsidRPr="00873B6C">
        <w:t>Maximum Flow Bitrate calculated by the TSN AF as per Annex I.1 may be used to set GBR. In this case, MBR is set equal to GBR.</w:t>
      </w:r>
    </w:p>
    <w:p w14:paraId="6AEE5621" w14:textId="77777777" w:rsidR="00D40151" w:rsidRPr="00873B6C" w:rsidRDefault="00D40151" w:rsidP="00D40151">
      <w:pPr>
        <w:pStyle w:val="B1"/>
      </w:pPr>
      <w:r w:rsidRPr="00873B6C">
        <w:t>4.</w:t>
      </w:r>
      <w:r w:rsidRPr="00873B6C">
        <w:tab/>
        <w:t>ARP is set to a pre-configured value.</w:t>
      </w:r>
    </w:p>
    <w:p w14:paraId="5058543C" w14:textId="12C4DD19" w:rsidR="00412DC3" w:rsidRPr="00873B6C" w:rsidRDefault="00412DC3" w:rsidP="00412DC3">
      <w:pPr>
        <w:pStyle w:val="B1"/>
      </w:pPr>
      <w:bookmarkStart w:id="4008" w:name="_Toc45183902"/>
      <w:bookmarkStart w:id="4009" w:name="_Toc47342744"/>
      <w:bookmarkStart w:id="4010" w:name="_Toc51769445"/>
      <w:r w:rsidRPr="00873B6C">
        <w:t>5.</w:t>
      </w:r>
      <w:r w:rsidRPr="00873B6C">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873B6C">
        <w:t xml:space="preserve"> clause 4.15.6.6 or clause 4.15.6.6a</w:t>
      </w:r>
      <w:r w:rsidRPr="00873B6C">
        <w:t xml:space="preserve"> </w:t>
      </w:r>
      <w:r w:rsidR="00131D56" w:rsidRPr="00873B6C">
        <w:t xml:space="preserve">of </w:t>
      </w:r>
      <w:r w:rsidR="00972E70" w:rsidRPr="00873B6C">
        <w:t>TS 23.502 [</w:t>
      </w:r>
      <w:r w:rsidRPr="00873B6C">
        <w:t>3] in the case of AF requested Time Sensitive Communication.</w:t>
      </w:r>
    </w:p>
    <w:p w14:paraId="546B1D9C" w14:textId="77777777" w:rsidR="00D40151" w:rsidRPr="00873B6C" w:rsidRDefault="00D40151" w:rsidP="00D40151">
      <w:pPr>
        <w:pStyle w:val="Heading3"/>
      </w:pPr>
      <w:bookmarkStart w:id="4011" w:name="_CR5_27_4"/>
      <w:bookmarkStart w:id="4012" w:name="_Toc201157484"/>
      <w:bookmarkEnd w:id="4011"/>
      <w:r w:rsidRPr="00873B6C">
        <w:t>5.27.4</w:t>
      </w:r>
      <w:r w:rsidRPr="00873B6C">
        <w:tab/>
        <w:t>Hold and Forward Buffering mechanism</w:t>
      </w:r>
      <w:bookmarkEnd w:id="4005"/>
      <w:bookmarkEnd w:id="4006"/>
      <w:bookmarkEnd w:id="4007"/>
      <w:bookmarkEnd w:id="4008"/>
      <w:bookmarkEnd w:id="4009"/>
      <w:bookmarkEnd w:id="4010"/>
      <w:bookmarkEnd w:id="4012"/>
    </w:p>
    <w:p w14:paraId="2C5BB99F" w14:textId="78DB66B7" w:rsidR="00D40151" w:rsidRPr="00873B6C" w:rsidRDefault="00D40151" w:rsidP="00D40151">
      <w:r w:rsidRPr="00873B6C">
        <w:t xml:space="preserve">DS-TT ports and NW-TT ports support a hold and forward mechanism to schedule traffic as defined in IEEE Std 802.1Q [98] if 5GS is to participate transparently as a bridge in a TSN network. That is, the hold and forward buffering mechanism in this release of the specification provides externally observable </w:t>
      </w:r>
      <w:r w:rsidR="00412DC3" w:rsidRPr="00873B6C">
        <w:t>behaviour</w:t>
      </w:r>
      <w:r w:rsidRPr="00873B6C">
        <w:t xml:space="preserve"> identical to scheduled traffic with up to eight queues (clause 8.6.8.4 in IEEE Std 802.1Q [98]) and with protected windows (Annex Q.2 in IEEE Std 802.1Q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873B6C" w:rsidRDefault="00A84CD4" w:rsidP="00D40151">
      <w:r w:rsidRPr="00873B6C">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873B6C" w:rsidRDefault="00D40151" w:rsidP="00D40151">
      <w:r w:rsidRPr="00873B6C">
        <w:t xml:space="preserve">To achieve externally observable </w:t>
      </w:r>
      <w:r w:rsidR="00412DC3" w:rsidRPr="00873B6C">
        <w:t>behaviour</w:t>
      </w:r>
      <w:r w:rsidRPr="00873B6C">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873B6C" w:rsidRDefault="00D40151" w:rsidP="00D40151">
      <w:pPr>
        <w:pStyle w:val="NO"/>
      </w:pPr>
      <w:r w:rsidRPr="00873B6C">
        <w:t>NOTE:</w:t>
      </w:r>
      <w:r w:rsidRPr="00873B6C">
        <w:tab/>
        <w:t>The details of how Hold and Forward buffering mechanism is provided by the</w:t>
      </w:r>
      <w:r w:rsidR="00B96062" w:rsidRPr="00873B6C">
        <w:t xml:space="preserve"> DS-TT and NW-TT</w:t>
      </w:r>
      <w:r w:rsidRPr="00873B6C">
        <w:t xml:space="preserve"> is up to implementation.</w:t>
      </w:r>
    </w:p>
    <w:p w14:paraId="7A560A64" w14:textId="77777777" w:rsidR="00D40151" w:rsidRPr="00873B6C" w:rsidRDefault="00D40151" w:rsidP="00D40151">
      <w:pPr>
        <w:pStyle w:val="Heading3"/>
      </w:pPr>
      <w:bookmarkStart w:id="4013" w:name="_CR5_27_5"/>
      <w:bookmarkStart w:id="4014" w:name="_Toc20150069"/>
      <w:bookmarkStart w:id="4015" w:name="_Toc27846868"/>
      <w:bookmarkStart w:id="4016" w:name="_Toc36187999"/>
      <w:bookmarkStart w:id="4017" w:name="_Toc45183903"/>
      <w:bookmarkStart w:id="4018" w:name="_Toc47342745"/>
      <w:bookmarkStart w:id="4019" w:name="_Toc51769446"/>
      <w:bookmarkStart w:id="4020" w:name="_Toc201157485"/>
      <w:bookmarkEnd w:id="4013"/>
      <w:r w:rsidRPr="00873B6C">
        <w:t>5.27.5</w:t>
      </w:r>
      <w:r w:rsidRPr="00873B6C">
        <w:tab/>
        <w:t>5G System Bridge delay</w:t>
      </w:r>
      <w:bookmarkEnd w:id="4014"/>
      <w:bookmarkEnd w:id="4015"/>
      <w:bookmarkEnd w:id="4016"/>
      <w:bookmarkEnd w:id="4017"/>
      <w:bookmarkEnd w:id="4018"/>
      <w:bookmarkEnd w:id="4019"/>
      <w:bookmarkEnd w:id="4020"/>
    </w:p>
    <w:p w14:paraId="6A7A8246" w14:textId="7388223B" w:rsidR="009D42BF" w:rsidRPr="00873B6C" w:rsidRDefault="009D42BF" w:rsidP="00D40151">
      <w:r w:rsidRPr="00873B6C">
        <w:t>This clause applies if 5GS is integrated as a bridge into an IEEE TSN network.</w:t>
      </w:r>
    </w:p>
    <w:p w14:paraId="51D994F0" w14:textId="6F05590C" w:rsidR="00D40151" w:rsidRPr="00873B6C" w:rsidRDefault="00D40151" w:rsidP="00D40151">
      <w:r w:rsidRPr="00873B6C">
        <w:t>In order for the 5G System to participate as a TSN bridge according to transmission gate schedules specified, the 5GS Bridge is required to provide Bridge Delays as defined in IEEE Std 802.1Q [9</w:t>
      </w:r>
      <w:r w:rsidR="007C1B83" w:rsidRPr="00873B6C">
        <w:t>8</w:t>
      </w:r>
      <w:r w:rsidRPr="00873B6C">
        <w:t>] for each port pair and traffic class of the 5GS bridge to an IEEE 802.1 TSN system. In order to determine 5GS Bridge Delays, the following components are needed:</w:t>
      </w:r>
    </w:p>
    <w:p w14:paraId="2333A9B5" w14:textId="16E63796" w:rsidR="00D40151" w:rsidRPr="00873B6C" w:rsidRDefault="00D40151" w:rsidP="00D40151">
      <w:pPr>
        <w:pStyle w:val="B1"/>
      </w:pPr>
      <w:r w:rsidRPr="00873B6C">
        <w:t>1.</w:t>
      </w:r>
      <w:r w:rsidRPr="00873B6C">
        <w:tab/>
        <w:t>UE-DS-TT Residence Time.</w:t>
      </w:r>
    </w:p>
    <w:p w14:paraId="457DE431" w14:textId="77777777" w:rsidR="00D40151" w:rsidRPr="00873B6C" w:rsidRDefault="00D40151" w:rsidP="00D40151">
      <w:pPr>
        <w:pStyle w:val="B1"/>
      </w:pPr>
      <w:r w:rsidRPr="00873B6C">
        <w:t>2.</w:t>
      </w:r>
      <w:r w:rsidRPr="00873B6C">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873B6C" w:rsidRDefault="00D40151" w:rsidP="00D40151">
      <w:r w:rsidRPr="00873B6C">
        <w:t>The TSN AF calculates the 5GS independentDelayMin and independentDelayMax values for each port pair and for each traffic class using the above components.</w:t>
      </w:r>
      <w:r w:rsidR="0053150F" w:rsidRPr="00873B6C">
        <w:t xml:space="preserve"> If the UE-DS-TT </w:t>
      </w:r>
      <w:r w:rsidR="00CF2EC5" w:rsidRPr="00873B6C">
        <w:t>R</w:t>
      </w:r>
      <w:r w:rsidR="0053150F" w:rsidRPr="00873B6C">
        <w:t xml:space="preserve">esidence </w:t>
      </w:r>
      <w:r w:rsidR="00CF2EC5" w:rsidRPr="00873B6C">
        <w:t>T</w:t>
      </w:r>
      <w:r w:rsidR="0053150F" w:rsidRPr="00873B6C">
        <w:t xml:space="preserve">ime has not been provided by the UE, then the TSN AF uses a locally configured minimum UE-DS-TT </w:t>
      </w:r>
      <w:r w:rsidR="00CF2EC5" w:rsidRPr="00873B6C">
        <w:t>R</w:t>
      </w:r>
      <w:r w:rsidR="0053150F" w:rsidRPr="00873B6C">
        <w:t xml:space="preserve">esidence </w:t>
      </w:r>
      <w:r w:rsidR="00CF2EC5" w:rsidRPr="00873B6C">
        <w:t>T</w:t>
      </w:r>
      <w:r w:rsidR="0053150F" w:rsidRPr="00873B6C">
        <w:t xml:space="preserve">ime for the calculation of independentDelayMin and a locally configured maximum UE-DS-TT </w:t>
      </w:r>
      <w:r w:rsidR="00CF2EC5" w:rsidRPr="00873B6C">
        <w:t>R</w:t>
      </w:r>
      <w:r w:rsidR="0053150F" w:rsidRPr="00873B6C">
        <w:t xml:space="preserve">esidence </w:t>
      </w:r>
      <w:r w:rsidR="00CF2EC5" w:rsidRPr="00873B6C">
        <w:t>T</w:t>
      </w:r>
      <w:r w:rsidR="0053150F" w:rsidRPr="00873B6C">
        <w:t>ime for the calculation of independentDelayMax.</w:t>
      </w:r>
    </w:p>
    <w:p w14:paraId="102EFC42" w14:textId="272DFD93" w:rsidR="00D40151" w:rsidRPr="00873B6C" w:rsidRDefault="00D40151" w:rsidP="00D40151">
      <w:r w:rsidRPr="00873B6C">
        <w:lastRenderedPageBreak/>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 [9</w:t>
      </w:r>
      <w:r w:rsidR="007C1B83" w:rsidRPr="00873B6C">
        <w:t>8</w:t>
      </w:r>
      <w:r w:rsidRPr="00873B6C">
        <w:t>].</w:t>
      </w:r>
    </w:p>
    <w:p w14:paraId="759032A9" w14:textId="2E1CB490" w:rsidR="00D40151" w:rsidRPr="00873B6C" w:rsidRDefault="00D40151" w:rsidP="00D40151">
      <w:pPr>
        <w:pStyle w:val="NO"/>
      </w:pPr>
      <w:r w:rsidRPr="00873B6C">
        <w:t>NOTE:</w:t>
      </w:r>
      <w:r w:rsidRPr="00873B6C">
        <w:tab/>
        <w:t>Further details how TSN AF determines dependentDelayMin and dependentDelayMax are up to implementation.</w:t>
      </w:r>
    </w:p>
    <w:p w14:paraId="37F4708F" w14:textId="2DFA90FD" w:rsidR="00D40151" w:rsidRPr="00873B6C" w:rsidRDefault="00D40151" w:rsidP="00D40151">
      <w:r w:rsidRPr="00873B6C">
        <w:t xml:space="preserve">Since </w:t>
      </w:r>
      <w:r w:rsidR="00CF2EC5" w:rsidRPr="00873B6C">
        <w:t>r</w:t>
      </w:r>
      <w:r w:rsidRPr="00873B6C">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873B6C">
        <w:t xml:space="preserve"> Additionally, TSN AF deduces the port pair(s) consisting of two DS-TT ports connecting to the same 5GS bridge and determines the 5GS bridge delay as sum of bridge delays related to PDU Sessions of two DS-TT ports.</w:t>
      </w:r>
    </w:p>
    <w:p w14:paraId="378EFED5" w14:textId="574719AB" w:rsidR="00D40151" w:rsidRPr="00873B6C" w:rsidRDefault="00D40151" w:rsidP="00D40151">
      <w:pPr>
        <w:pStyle w:val="Heading2"/>
      </w:pPr>
      <w:bookmarkStart w:id="4021" w:name="_CR5_28"/>
      <w:bookmarkStart w:id="4022" w:name="_Toc20150070"/>
      <w:bookmarkStart w:id="4023" w:name="_Toc27846869"/>
      <w:bookmarkStart w:id="4024" w:name="_Toc36188000"/>
      <w:bookmarkStart w:id="4025" w:name="_Toc45183904"/>
      <w:bookmarkStart w:id="4026" w:name="_Toc47342746"/>
      <w:bookmarkStart w:id="4027" w:name="_Toc51769447"/>
      <w:bookmarkStart w:id="4028" w:name="_Toc201157486"/>
      <w:bookmarkEnd w:id="4021"/>
      <w:r w:rsidRPr="00873B6C">
        <w:t>5.28</w:t>
      </w:r>
      <w:r w:rsidRPr="00873B6C">
        <w:tab/>
        <w:t>Support of integration with TSN</w:t>
      </w:r>
      <w:bookmarkEnd w:id="4022"/>
      <w:bookmarkEnd w:id="4023"/>
      <w:bookmarkEnd w:id="4024"/>
      <w:bookmarkEnd w:id="4025"/>
      <w:bookmarkEnd w:id="4026"/>
      <w:bookmarkEnd w:id="4027"/>
      <w:r w:rsidR="00E23065" w:rsidRPr="00873B6C">
        <w:t>, Time Sensitive Communications, Time Synchronization and Deterministic Networking</w:t>
      </w:r>
      <w:bookmarkEnd w:id="4028"/>
    </w:p>
    <w:p w14:paraId="37CA9BAA" w14:textId="345356D8" w:rsidR="00A92B4B" w:rsidRPr="00873B6C" w:rsidRDefault="00A92B4B" w:rsidP="00D40151">
      <w:pPr>
        <w:pStyle w:val="Heading3"/>
      </w:pPr>
      <w:bookmarkStart w:id="4029" w:name="_CR5_28_0"/>
      <w:bookmarkStart w:id="4030" w:name="_Toc20150071"/>
      <w:bookmarkStart w:id="4031" w:name="_Toc27846870"/>
      <w:bookmarkStart w:id="4032" w:name="_Toc36188001"/>
      <w:bookmarkStart w:id="4033" w:name="_Toc45183905"/>
      <w:bookmarkStart w:id="4034" w:name="_Toc47342747"/>
      <w:bookmarkStart w:id="4035" w:name="_Toc51769448"/>
      <w:bookmarkStart w:id="4036" w:name="_Toc201157487"/>
      <w:bookmarkEnd w:id="4029"/>
      <w:r w:rsidRPr="00873B6C">
        <w:t>5.28.0</w:t>
      </w:r>
      <w:r w:rsidRPr="00873B6C">
        <w:tab/>
        <w:t>General</w:t>
      </w:r>
      <w:bookmarkEnd w:id="4036"/>
    </w:p>
    <w:p w14:paraId="3FAF3423" w14:textId="772A33C4" w:rsidR="00D409DD" w:rsidRPr="00873B6C" w:rsidRDefault="00D409DD" w:rsidP="00A92B4B">
      <w:r w:rsidRPr="00873B6C">
        <w:t>Clause 5.28 defines the 5GS integration in TSN DN as a 5GS bridge.</w:t>
      </w:r>
    </w:p>
    <w:p w14:paraId="5DC6F0B5" w14:textId="066F86D7" w:rsidR="00A92B4B" w:rsidRPr="00873B6C" w:rsidRDefault="00A92B4B" w:rsidP="00972E70">
      <w:r w:rsidRPr="00873B6C">
        <w:t>In this scenario, 5GS is deployed in a TSN DN to provide wireless connectivity. From the perspective of the TSN DN, the 5GS is modelled as a Layer 2 Ethernet Bridge of the TSN DN.</w:t>
      </w:r>
    </w:p>
    <w:p w14:paraId="1635790B" w14:textId="113DCF7D" w:rsidR="00E23065" w:rsidRPr="00873B6C" w:rsidRDefault="00E23065" w:rsidP="00E23065">
      <w:r w:rsidRPr="00873B6C">
        <w:t>In addition to supporting interoperation with TSN, 5GS also supports Time Sensitive Communication, Time Synchronization and integration with Deterministic Networking.</w:t>
      </w:r>
    </w:p>
    <w:p w14:paraId="03D305E7" w14:textId="64D83476" w:rsidR="00D40151" w:rsidRPr="00873B6C" w:rsidRDefault="00D40151" w:rsidP="00D40151">
      <w:pPr>
        <w:pStyle w:val="Heading3"/>
      </w:pPr>
      <w:bookmarkStart w:id="4037" w:name="_CR5_28_1"/>
      <w:bookmarkStart w:id="4038" w:name="_Toc201157488"/>
      <w:bookmarkEnd w:id="4037"/>
      <w:r w:rsidRPr="00873B6C">
        <w:t>5.28.1</w:t>
      </w:r>
      <w:r w:rsidRPr="00873B6C">
        <w:tab/>
        <w:t>5GS bridge management</w:t>
      </w:r>
      <w:bookmarkEnd w:id="4030"/>
      <w:bookmarkEnd w:id="4031"/>
      <w:bookmarkEnd w:id="4032"/>
      <w:bookmarkEnd w:id="4033"/>
      <w:bookmarkEnd w:id="4034"/>
      <w:bookmarkEnd w:id="4035"/>
      <w:r w:rsidR="00E23065" w:rsidRPr="00873B6C">
        <w:t xml:space="preserve"> for TSN</w:t>
      </w:r>
      <w:bookmarkEnd w:id="4038"/>
    </w:p>
    <w:p w14:paraId="51961E32" w14:textId="468DBD43" w:rsidR="00D40151" w:rsidRPr="00873B6C" w:rsidRDefault="002D6443" w:rsidP="00D40151">
      <w:r w:rsidRPr="00873B6C">
        <w:t xml:space="preserve">5GS acts as a Layer 2 Ethernet Bridge. When integrated with IEEE TSN network, </w:t>
      </w:r>
      <w:r w:rsidR="00D40151" w:rsidRPr="00873B6C">
        <w:t>5GS functions acts as one or more TSN Bridges of the TSN network. The 5GS Bridge is composed of the ports on a single UPF (i.e. PSA) side, the user plane tunnel between the UE and UPF</w:t>
      </w:r>
      <w:r w:rsidR="00472CD7" w:rsidRPr="00873B6C">
        <w:t xml:space="preserve"> and</w:t>
      </w:r>
      <w:r w:rsidR="00D40151" w:rsidRPr="00873B6C">
        <w:t xml:space="preserve"> the ports on the DS-TT side. For each 5GS Bridge of a TSN network, the port on NW-TT support the connectivity to the TSN network, the ports on DS-TT side are associated to the PDU Session providing connectivity to the TSN network.</w:t>
      </w:r>
    </w:p>
    <w:p w14:paraId="0711559C" w14:textId="0B1BF478" w:rsidR="00D40151" w:rsidRPr="00873B6C" w:rsidRDefault="00D40151" w:rsidP="00D40151">
      <w:r w:rsidRPr="00873B6C">
        <w:t>The granularity of the 5GS TSN bridge is per UPF</w:t>
      </w:r>
      <w:r w:rsidR="00CD64F1" w:rsidRPr="00873B6C">
        <w:t xml:space="preserve"> for each network instance</w:t>
      </w:r>
      <w:r w:rsidR="003F2E5D" w:rsidRPr="00873B6C">
        <w:t xml:space="preserve"> or DNN/S-NSSAI</w:t>
      </w:r>
      <w:r w:rsidRPr="00873B6C">
        <w:t xml:space="preserve">. The bridge ID of the 5GS TSN bridge is bound to the UPF ID of the UPF as identified in </w:t>
      </w:r>
      <w:r w:rsidR="00972E70" w:rsidRPr="00873B6C">
        <w:t>TS 23.502 [</w:t>
      </w:r>
      <w:r w:rsidRPr="00873B6C">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873B6C" w:rsidRDefault="00D40151" w:rsidP="00D40151">
      <w:pPr>
        <w:pStyle w:val="NO"/>
      </w:pPr>
      <w:r w:rsidRPr="00873B6C">
        <w:t>NOTE 1:</w:t>
      </w:r>
      <w:r w:rsidRPr="00873B6C">
        <w:tab/>
        <w:t>How to realize single NW-TT entity within UPF is up to implementation.</w:t>
      </w:r>
    </w:p>
    <w:p w14:paraId="15884439" w14:textId="77777777" w:rsidR="00D40151" w:rsidRPr="00873B6C" w:rsidRDefault="00D40151" w:rsidP="00D40151">
      <w:pPr>
        <w:pStyle w:val="NO"/>
      </w:pPr>
      <w:r w:rsidRPr="00873B6C">
        <w:t>NOTE 2:</w:t>
      </w:r>
      <w:r w:rsidRPr="00873B6C">
        <w:tab/>
        <w:t>Ethernet PDU Session type in this release of the specification may be subject to the constraint that it supports a single N6 interface in a UPF associated with the N6 Network Instance.</w:t>
      </w:r>
    </w:p>
    <w:p w14:paraId="27ADE97E" w14:textId="77777777" w:rsidR="00D40151" w:rsidRPr="00873B6C" w:rsidRDefault="00D40151" w:rsidP="00D40151">
      <w:r w:rsidRPr="00873B6C">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873B6C" w:rsidRDefault="00D40151" w:rsidP="00D40151">
      <w:pPr>
        <w:pStyle w:val="NO"/>
      </w:pPr>
      <w:r w:rsidRPr="00873B6C">
        <w:t>NOTE 3:</w:t>
      </w:r>
      <w:r w:rsidRPr="00873B6C">
        <w:tab/>
        <w:t xml:space="preserve">It is assumed that all PDU </w:t>
      </w:r>
      <w:r w:rsidR="00EE23D1" w:rsidRPr="00873B6C">
        <w:t>S</w:t>
      </w:r>
      <w:r w:rsidRPr="00873B6C">
        <w:t>essions which connect to the same TSN network via a specific UPF are handled by the same TSN AF.</w:t>
      </w:r>
    </w:p>
    <w:bookmarkStart w:id="4039" w:name="_MON_1620822863"/>
    <w:bookmarkEnd w:id="4039"/>
    <w:p w14:paraId="0D5D6B76" w14:textId="77777777" w:rsidR="00D40151" w:rsidRPr="00873B6C" w:rsidRDefault="00D40151" w:rsidP="00D40151">
      <w:pPr>
        <w:pStyle w:val="TH"/>
      </w:pPr>
      <w:r w:rsidRPr="00873B6C">
        <w:object w:dxaOrig="9144" w:dyaOrig="3640" w14:anchorId="1A09EB3D">
          <v:shape id="_x0000_i1101" type="#_x0000_t75" style="width:458.3pt;height:182.2pt" o:ole="">
            <v:imagedata r:id="rId161" o:title=""/>
          </v:shape>
          <o:OLEObject Type="Embed" ProgID="Word.Picture.8" ShapeID="_x0000_i1101" DrawAspect="Content" ObjectID="_1811772435" r:id="rId162"/>
        </w:object>
      </w:r>
    </w:p>
    <w:p w14:paraId="53F056FF" w14:textId="77777777" w:rsidR="00D40151" w:rsidRPr="00873B6C" w:rsidRDefault="00D40151" w:rsidP="00D40151">
      <w:pPr>
        <w:pStyle w:val="TF"/>
      </w:pPr>
      <w:bookmarkStart w:id="4040" w:name="_CRFigure5_28_11"/>
      <w:r w:rsidRPr="00873B6C">
        <w:t xml:space="preserve">Figure </w:t>
      </w:r>
      <w:bookmarkEnd w:id="4040"/>
      <w:r w:rsidRPr="00873B6C">
        <w:t>5.28.1-1: Per UPF based 5GS bridge</w:t>
      </w:r>
    </w:p>
    <w:p w14:paraId="46465944" w14:textId="77777777" w:rsidR="00D40151" w:rsidRPr="00873B6C" w:rsidRDefault="00D40151" w:rsidP="00D40151">
      <w:pPr>
        <w:pStyle w:val="NO"/>
      </w:pPr>
      <w:r w:rsidRPr="00873B6C">
        <w:t>NOTE 4:</w:t>
      </w:r>
      <w:r w:rsidRPr="00873B6C">
        <w:tab/>
        <w:t>If a UE establishes multiple PDU Sessions terminating in different UPFs, then the UE is represented by multiple 5GS TSN bridges.</w:t>
      </w:r>
    </w:p>
    <w:p w14:paraId="13DB5D5F" w14:textId="2A65BFFA" w:rsidR="00D40151" w:rsidRPr="00873B6C" w:rsidRDefault="00D40151" w:rsidP="00D40151">
      <w:r w:rsidRPr="00873B6C">
        <w:t>In order to support</w:t>
      </w:r>
      <w:r w:rsidR="00EE23D1" w:rsidRPr="00873B6C">
        <w:t xml:space="preserve"> IEEE 802.1Q features related to TSN, including</w:t>
      </w:r>
      <w:r w:rsidRPr="00873B6C">
        <w:t xml:space="preserve"> TSN scheduled traffic (clause 8.6.8.4 in IEEE Std 802.1Q [98]) over 5GS Bridge, the 5GS supports the following functions:</w:t>
      </w:r>
    </w:p>
    <w:p w14:paraId="6199CCEB" w14:textId="77777777" w:rsidR="00D40151" w:rsidRPr="00873B6C" w:rsidRDefault="00D40151" w:rsidP="00D40151">
      <w:pPr>
        <w:pStyle w:val="B1"/>
      </w:pPr>
      <w:r w:rsidRPr="00873B6C">
        <w:t>-</w:t>
      </w:r>
      <w:r w:rsidRPr="00873B6C">
        <w:tab/>
        <w:t>Configure the bridge information in 5GS.</w:t>
      </w:r>
    </w:p>
    <w:p w14:paraId="6457312E" w14:textId="0DB34785" w:rsidR="00D40151" w:rsidRPr="00873B6C" w:rsidRDefault="00D40151" w:rsidP="00D40151">
      <w:pPr>
        <w:pStyle w:val="B1"/>
      </w:pPr>
      <w:r w:rsidRPr="00873B6C">
        <w:t>-</w:t>
      </w:r>
      <w:r w:rsidRPr="00873B6C">
        <w:tab/>
        <w:t xml:space="preserve">Report the bridge information of 5GS Bridge to TSN network after PDU </w:t>
      </w:r>
      <w:r w:rsidR="00EE23D1" w:rsidRPr="00873B6C">
        <w:t>S</w:t>
      </w:r>
      <w:r w:rsidRPr="00873B6C">
        <w:t>ession establishment.</w:t>
      </w:r>
    </w:p>
    <w:p w14:paraId="00069B70" w14:textId="77777777" w:rsidR="00D40151" w:rsidRPr="00873B6C" w:rsidRDefault="00D40151" w:rsidP="00D40151">
      <w:pPr>
        <w:pStyle w:val="B1"/>
      </w:pPr>
      <w:r w:rsidRPr="00873B6C">
        <w:t>-</w:t>
      </w:r>
      <w:r w:rsidRPr="00873B6C">
        <w:tab/>
        <w:t>Receiving the configuration from TSN network as defined in clause 5.28.2.</w:t>
      </w:r>
    </w:p>
    <w:p w14:paraId="1885D67B" w14:textId="77777777" w:rsidR="00D40151" w:rsidRPr="00873B6C" w:rsidRDefault="00D40151" w:rsidP="00D40151">
      <w:pPr>
        <w:pStyle w:val="B1"/>
      </w:pPr>
      <w:r w:rsidRPr="00873B6C">
        <w:t>-</w:t>
      </w:r>
      <w:r w:rsidRPr="00873B6C">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873B6C" w:rsidRDefault="00D40151" w:rsidP="00D40151">
      <w:r w:rsidRPr="00873B6C">
        <w:t>The bridge information of 5GS Bridge is used by the TSN network to make appropriate management configuration for the 5GS Bridge. The bridge information of 5GS Bridge includes at least the following:</w:t>
      </w:r>
    </w:p>
    <w:p w14:paraId="4FBD95FF" w14:textId="77777777" w:rsidR="00D40151" w:rsidRPr="00873B6C" w:rsidRDefault="00D40151" w:rsidP="00D40151">
      <w:pPr>
        <w:pStyle w:val="B1"/>
      </w:pPr>
      <w:r w:rsidRPr="00873B6C">
        <w:t>-</w:t>
      </w:r>
      <w:r w:rsidRPr="00873B6C">
        <w:tab/>
        <w:t>Information for 5GS Bridge:</w:t>
      </w:r>
    </w:p>
    <w:p w14:paraId="37303273" w14:textId="77777777" w:rsidR="00D40151" w:rsidRPr="00873B6C" w:rsidRDefault="00D40151" w:rsidP="00D40151">
      <w:pPr>
        <w:pStyle w:val="B2"/>
      </w:pPr>
      <w:r w:rsidRPr="00873B6C">
        <w:t>-</w:t>
      </w:r>
      <w:r w:rsidRPr="00873B6C">
        <w:tab/>
        <w:t>Bridge ID</w:t>
      </w:r>
    </w:p>
    <w:p w14:paraId="4F0C454F" w14:textId="77777777" w:rsidR="00D40151" w:rsidRPr="00873B6C" w:rsidRDefault="00D40151" w:rsidP="00D40151">
      <w:pPr>
        <w:pStyle w:val="B2"/>
      </w:pPr>
      <w:r w:rsidRPr="00873B6C">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873B6C" w:rsidRDefault="00D40151" w:rsidP="00D40151">
      <w:pPr>
        <w:pStyle w:val="B2"/>
      </w:pPr>
      <w:r w:rsidRPr="00873B6C">
        <w:t>-</w:t>
      </w:r>
      <w:r w:rsidRPr="00873B6C">
        <w:tab/>
        <w:t>Number of Ports;</w:t>
      </w:r>
    </w:p>
    <w:p w14:paraId="3B33959F" w14:textId="77777777" w:rsidR="00D40151" w:rsidRPr="00873B6C" w:rsidRDefault="00D40151" w:rsidP="00D40151">
      <w:pPr>
        <w:pStyle w:val="B2"/>
      </w:pPr>
      <w:r w:rsidRPr="00873B6C">
        <w:t>-</w:t>
      </w:r>
      <w:r w:rsidRPr="00873B6C">
        <w:tab/>
        <w:t>list of port numbers.</w:t>
      </w:r>
    </w:p>
    <w:p w14:paraId="44FFB919" w14:textId="5CA37288" w:rsidR="00D40151" w:rsidRPr="00873B6C" w:rsidRDefault="00D40151" w:rsidP="00D40151">
      <w:pPr>
        <w:pStyle w:val="B1"/>
      </w:pPr>
      <w:r w:rsidRPr="00873B6C">
        <w:t>-</w:t>
      </w:r>
      <w:r w:rsidRPr="00873B6C">
        <w:tab/>
        <w:t>Capabilities of 5GS Bridge as defined in IEEE Std 802.1Q [9</w:t>
      </w:r>
      <w:r w:rsidR="007C1B83" w:rsidRPr="00873B6C">
        <w:t>8</w:t>
      </w:r>
      <w:r w:rsidRPr="00873B6C">
        <w:t>]:</w:t>
      </w:r>
    </w:p>
    <w:p w14:paraId="216CC0BC" w14:textId="641D7A3F" w:rsidR="00D40151" w:rsidRPr="00873B6C" w:rsidRDefault="00D40151" w:rsidP="00D40151">
      <w:pPr>
        <w:pStyle w:val="B2"/>
      </w:pPr>
      <w:r w:rsidRPr="00873B6C">
        <w:t>-</w:t>
      </w:r>
      <w:r w:rsidRPr="00873B6C">
        <w:tab/>
        <w:t>5GS Bridge delay per port pair per traffic class, including 5GS Bridge delay (dependent and independent of frame size</w:t>
      </w:r>
      <w:r w:rsidR="00472CD7" w:rsidRPr="00873B6C">
        <w:t xml:space="preserve"> and</w:t>
      </w:r>
      <w:r w:rsidRPr="00873B6C">
        <w:t xml:space="preserve"> their maximum and minimum values: independentDelayMax, independentDelayMin, dependentDelayMax, dependentDelayMin), ingress port number, egress port number and traffic class.</w:t>
      </w:r>
    </w:p>
    <w:p w14:paraId="642ABF2A" w14:textId="77777777" w:rsidR="00D40151" w:rsidRPr="00873B6C" w:rsidRDefault="00D40151" w:rsidP="00D40151">
      <w:pPr>
        <w:pStyle w:val="B2"/>
      </w:pPr>
      <w:r w:rsidRPr="00873B6C">
        <w:t>-</w:t>
      </w:r>
      <w:r w:rsidRPr="00873B6C">
        <w:tab/>
        <w:t>Propagation delay per port (txPropagationDelay), including transmission propagation delay, egress port number.</w:t>
      </w:r>
    </w:p>
    <w:p w14:paraId="56F4AA6A" w14:textId="77777777" w:rsidR="00D40151" w:rsidRPr="00873B6C" w:rsidRDefault="00D40151" w:rsidP="00D40151">
      <w:pPr>
        <w:pStyle w:val="B2"/>
      </w:pPr>
      <w:r w:rsidRPr="00873B6C">
        <w:t>-</w:t>
      </w:r>
      <w:r w:rsidRPr="00873B6C">
        <w:tab/>
        <w:t>VLAN Configuration Information.</w:t>
      </w:r>
    </w:p>
    <w:p w14:paraId="033A7D87" w14:textId="77777777" w:rsidR="00D40151" w:rsidRPr="00873B6C" w:rsidRDefault="00D40151" w:rsidP="00D40151">
      <w:pPr>
        <w:pStyle w:val="NO"/>
      </w:pPr>
      <w:r w:rsidRPr="00873B6C">
        <w:t>NOTE 5:</w:t>
      </w:r>
      <w:r w:rsidRPr="00873B6C">
        <w:tab/>
        <w:t>This Release of the specification does not support the modification of VLAN Configuration Information at the TSN AF.</w:t>
      </w:r>
    </w:p>
    <w:p w14:paraId="75EE4F6C" w14:textId="388353B4" w:rsidR="00D40151" w:rsidRPr="00873B6C" w:rsidRDefault="00D40151" w:rsidP="00D40151">
      <w:pPr>
        <w:pStyle w:val="B1"/>
      </w:pPr>
      <w:r w:rsidRPr="00873B6C">
        <w:t>-</w:t>
      </w:r>
      <w:r w:rsidRPr="00873B6C">
        <w:tab/>
        <w:t>Topology</w:t>
      </w:r>
      <w:r w:rsidR="00857A0D" w:rsidRPr="00873B6C">
        <w:t xml:space="preserve"> related configuration</w:t>
      </w:r>
      <w:r w:rsidRPr="00873B6C">
        <w:t xml:space="preserve"> of</w:t>
      </w:r>
      <w:r w:rsidR="00857A0D" w:rsidRPr="00873B6C">
        <w:t xml:space="preserve"> the</w:t>
      </w:r>
      <w:r w:rsidRPr="00873B6C">
        <w:t xml:space="preserve"> 5GS Bridge as defined in IEEE Std 802.1AB [97]:</w:t>
      </w:r>
    </w:p>
    <w:p w14:paraId="1BB68B03" w14:textId="44031D95" w:rsidR="006810D1" w:rsidRPr="00873B6C" w:rsidRDefault="006810D1" w:rsidP="00D40151">
      <w:pPr>
        <w:pStyle w:val="B2"/>
      </w:pPr>
      <w:r w:rsidRPr="00873B6C">
        <w:lastRenderedPageBreak/>
        <w:t>-</w:t>
      </w:r>
      <w:r w:rsidRPr="00873B6C">
        <w:tab/>
        <w:t>LLDP Configuration Information.</w:t>
      </w:r>
    </w:p>
    <w:p w14:paraId="5269E8F5" w14:textId="16DF9DD4" w:rsidR="00D40151" w:rsidRPr="00873B6C" w:rsidRDefault="00D40151" w:rsidP="00D40151">
      <w:pPr>
        <w:pStyle w:val="B2"/>
      </w:pPr>
      <w:r w:rsidRPr="00873B6C">
        <w:t>-</w:t>
      </w:r>
      <w:r w:rsidRPr="00873B6C">
        <w:tab/>
        <w:t>Chassis ID subtype and Chassis ID of the 5GS Bridge.</w:t>
      </w:r>
    </w:p>
    <w:p w14:paraId="67762303" w14:textId="09C360CF" w:rsidR="00857A0D" w:rsidRPr="00873B6C" w:rsidRDefault="00857A0D" w:rsidP="001B7C50">
      <w:pPr>
        <w:pStyle w:val="B2"/>
      </w:pPr>
      <w:r w:rsidRPr="00873B6C">
        <w:t>-</w:t>
      </w:r>
      <w:r w:rsidRPr="00873B6C">
        <w:tab/>
        <w:t>Optional TLV types.</w:t>
      </w:r>
    </w:p>
    <w:p w14:paraId="3FDC3D80" w14:textId="4244E0F0" w:rsidR="006810D1" w:rsidRPr="00873B6C" w:rsidRDefault="006810D1" w:rsidP="001B7C50">
      <w:pPr>
        <w:pStyle w:val="B2"/>
      </w:pPr>
      <w:r w:rsidRPr="00873B6C">
        <w:t>-</w:t>
      </w:r>
      <w:r w:rsidRPr="00873B6C">
        <w:tab/>
        <w:t>LLDP Discovery Information for each discovered neighbor of each NW-TT port and DS-TT port.</w:t>
      </w:r>
    </w:p>
    <w:p w14:paraId="441AE030" w14:textId="2310355F" w:rsidR="00D40151" w:rsidRPr="00873B6C" w:rsidRDefault="00D40151" w:rsidP="00D40151">
      <w:pPr>
        <w:pStyle w:val="B1"/>
        <w:tabs>
          <w:tab w:val="left" w:pos="6096"/>
        </w:tabs>
      </w:pPr>
      <w:r w:rsidRPr="00873B6C">
        <w:t>-</w:t>
      </w:r>
      <w:r w:rsidRPr="00873B6C">
        <w:tab/>
        <w:t>Traffic classes and their priorities per port as defined in IEEE Std 802.1Q</w:t>
      </w:r>
      <w:r w:rsidRPr="00873B6C">
        <w:rPr>
          <w:lang w:eastAsia="zh-CN"/>
        </w:rPr>
        <w:t> [98]</w:t>
      </w:r>
      <w:r w:rsidRPr="00873B6C">
        <w:t>.</w:t>
      </w:r>
    </w:p>
    <w:p w14:paraId="56175B77" w14:textId="77777777" w:rsidR="00D40151" w:rsidRPr="00873B6C" w:rsidRDefault="00D40151" w:rsidP="00D40151">
      <w:pPr>
        <w:pStyle w:val="B1"/>
      </w:pPr>
      <w:r w:rsidRPr="00873B6C">
        <w:t>-</w:t>
      </w:r>
      <w:r w:rsidRPr="00873B6C">
        <w:tab/>
        <w:t>Stream Parameters as defined in clause 12.31.1 in IEEE Std 802.1Q [98], in order to support PSFP:</w:t>
      </w:r>
    </w:p>
    <w:p w14:paraId="591CCFC0" w14:textId="77777777" w:rsidR="00D40151" w:rsidRPr="00873B6C" w:rsidRDefault="00D40151" w:rsidP="00D40151">
      <w:pPr>
        <w:pStyle w:val="B2"/>
      </w:pPr>
      <w:r w:rsidRPr="00873B6C">
        <w:t>-</w:t>
      </w:r>
      <w:r w:rsidRPr="00873B6C">
        <w:tab/>
        <w:t>MaxStreamFilterInstances: The maximum number of Stream Filter instances supported by the bridge;</w:t>
      </w:r>
    </w:p>
    <w:p w14:paraId="415AEBB1" w14:textId="77777777" w:rsidR="00D40151" w:rsidRPr="00873B6C" w:rsidRDefault="00D40151" w:rsidP="00D40151">
      <w:pPr>
        <w:pStyle w:val="B2"/>
      </w:pPr>
      <w:r w:rsidRPr="00873B6C">
        <w:t>-</w:t>
      </w:r>
      <w:r w:rsidRPr="00873B6C">
        <w:tab/>
        <w:t>MaxStreamGateInstances: The maximum number of Stream Gate instances supported by the bridge;</w:t>
      </w:r>
    </w:p>
    <w:p w14:paraId="5810B134" w14:textId="77777777" w:rsidR="00D40151" w:rsidRPr="00873B6C" w:rsidRDefault="00D40151" w:rsidP="00D40151">
      <w:pPr>
        <w:pStyle w:val="B2"/>
      </w:pPr>
      <w:r w:rsidRPr="00873B6C">
        <w:t>-</w:t>
      </w:r>
      <w:r w:rsidRPr="00873B6C">
        <w:tab/>
        <w:t>MaxFlowMeterInstances: The maximum number of Flow Meter instances supported by the bridge (optional);</w:t>
      </w:r>
    </w:p>
    <w:p w14:paraId="136AF1CF" w14:textId="77777777" w:rsidR="00D40151" w:rsidRPr="00873B6C" w:rsidRDefault="00D40151" w:rsidP="00D40151">
      <w:pPr>
        <w:pStyle w:val="B2"/>
      </w:pPr>
      <w:r w:rsidRPr="00873B6C">
        <w:t>-</w:t>
      </w:r>
      <w:r w:rsidRPr="00873B6C">
        <w:tab/>
        <w:t>SupportedListMax: The maximum value supported by the bridge of the AdminControlListLength and OperControlListLength parameters.</w:t>
      </w:r>
    </w:p>
    <w:p w14:paraId="08CB447B" w14:textId="77777777" w:rsidR="00D40151" w:rsidRPr="00873B6C" w:rsidRDefault="00D40151" w:rsidP="00D40151">
      <w:r w:rsidRPr="00873B6C">
        <w:t>The following parameters: independentDelayMax and independentDelayMin, how to calculate them is left to implementation and not defined in this specification.</w:t>
      </w:r>
    </w:p>
    <w:p w14:paraId="7F62BFB0" w14:textId="08F1F127" w:rsidR="008546A1" w:rsidRPr="00873B6C" w:rsidRDefault="008546A1" w:rsidP="00D40151">
      <w:r w:rsidRPr="00873B6C">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873B6C" w:rsidRDefault="008546A1" w:rsidP="00C74FFE">
      <w:pPr>
        <w:pStyle w:val="NO"/>
      </w:pPr>
      <w:r w:rsidRPr="00873B6C">
        <w:t>NOTE 6:</w:t>
      </w:r>
      <w:r w:rsidRPr="00873B6C">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873B6C" w:rsidRDefault="00D40151" w:rsidP="00D40151">
      <w:r w:rsidRPr="00873B6C">
        <w:t>Bridge ID of the 5GS Bridge, port number(s) of the Ethernet port(s) in NW-TT could be preconfigured on the UPF. The UPF is selected for a PDU Session serving TSC as described in clause 6.3.3.3.</w:t>
      </w:r>
    </w:p>
    <w:p w14:paraId="488B5C74" w14:textId="77777777" w:rsidR="00D40151" w:rsidRPr="00873B6C" w:rsidRDefault="00D40151" w:rsidP="00D40151">
      <w:r w:rsidRPr="00873B6C">
        <w:t>This release of the specification requires that each DS-TT port is assigned with a globally unique MAC address.</w:t>
      </w:r>
    </w:p>
    <w:p w14:paraId="2566BCD0" w14:textId="4B6CF4A2" w:rsidR="00D40151" w:rsidRPr="00873B6C" w:rsidRDefault="00D40151" w:rsidP="00D40151">
      <w:pPr>
        <w:pStyle w:val="NO"/>
      </w:pPr>
      <w:r w:rsidRPr="00873B6C">
        <w:t>NOTE </w:t>
      </w:r>
      <w:r w:rsidR="008546A1" w:rsidRPr="00873B6C">
        <w:t>7</w:t>
      </w:r>
      <w:r w:rsidRPr="00873B6C">
        <w:t>:</w:t>
      </w:r>
      <w:r w:rsidRPr="00873B6C">
        <w:tab/>
        <w:t>The MAC address of the DS-TT port must not be used in user data traffic; it is used for identification of the PDU Session and the associated bridge port within the 3GPP system.</w:t>
      </w:r>
    </w:p>
    <w:p w14:paraId="716635E6" w14:textId="6A461A8C" w:rsidR="00D40151" w:rsidRPr="00873B6C" w:rsidRDefault="00CD64F1" w:rsidP="00D40151">
      <w:r w:rsidRPr="00873B6C">
        <w:t xml:space="preserve">When there are multiple network instances within a UPF, each network instance is considered logically separate. The network instance for the N6 interface (clause 5.6.12) may be indicated by the SMF to the UPF for a given PDU </w:t>
      </w:r>
      <w:r w:rsidR="00133F31" w:rsidRPr="00873B6C">
        <w:t>S</w:t>
      </w:r>
      <w:r w:rsidRPr="00873B6C">
        <w:t xml:space="preserve">ession during PDU </w:t>
      </w:r>
      <w:r w:rsidR="00133F31" w:rsidRPr="00873B6C">
        <w:t>S</w:t>
      </w:r>
      <w:r w:rsidRPr="00873B6C">
        <w:t>ession establishment.</w:t>
      </w:r>
      <w:r w:rsidR="003F2E5D" w:rsidRPr="00873B6C">
        <w:t xml:space="preserve"> UPF allocates resources based on the Network Instance and S-NSSAI and it is supported according to </w:t>
      </w:r>
      <w:r w:rsidR="00972E70" w:rsidRPr="00873B6C">
        <w:t>TS 29.244 [</w:t>
      </w:r>
      <w:r w:rsidR="003F2E5D" w:rsidRPr="00873B6C">
        <w:t>65]. DNN/S-NSSAI may be indicated by the SMF together with the network instance to the UPF for a given PDU Session during PDU Session establishment procedure.</w:t>
      </w:r>
    </w:p>
    <w:p w14:paraId="792EBD8D" w14:textId="2DF1B807" w:rsidR="00D40151" w:rsidRPr="00873B6C" w:rsidRDefault="00D40151" w:rsidP="00D40151">
      <w:r w:rsidRPr="00873B6C">
        <w:t>The TSN AF is responsible to receive the bridge information of 5GS Bridge from 5GS, as well as register or update this information to the</w:t>
      </w:r>
      <w:r w:rsidR="008546A1" w:rsidRPr="00873B6C">
        <w:t xml:space="preserve"> CNC</w:t>
      </w:r>
      <w:r w:rsidRPr="00873B6C">
        <w:t>.</w:t>
      </w:r>
    </w:p>
    <w:p w14:paraId="112AB3F3" w14:textId="6BB75A3B" w:rsidR="00D40151" w:rsidRPr="00873B6C" w:rsidRDefault="00D40151" w:rsidP="00D40151">
      <w:pPr>
        <w:pStyle w:val="Heading3"/>
      </w:pPr>
      <w:bookmarkStart w:id="4041" w:name="_CR5_28_2"/>
      <w:bookmarkStart w:id="4042" w:name="_Toc20150072"/>
      <w:bookmarkStart w:id="4043" w:name="_Toc27846871"/>
      <w:bookmarkStart w:id="4044" w:name="_Toc36188002"/>
      <w:bookmarkStart w:id="4045" w:name="_Toc45183906"/>
      <w:bookmarkStart w:id="4046" w:name="_Toc47342748"/>
      <w:bookmarkStart w:id="4047" w:name="_Toc51769449"/>
      <w:bookmarkStart w:id="4048" w:name="_Toc201157489"/>
      <w:bookmarkEnd w:id="4041"/>
      <w:r w:rsidRPr="00873B6C">
        <w:t>5.28.2</w:t>
      </w:r>
      <w:r w:rsidRPr="00873B6C">
        <w:tab/>
        <w:t>5GS Bridge configuration</w:t>
      </w:r>
      <w:bookmarkEnd w:id="4042"/>
      <w:bookmarkEnd w:id="4043"/>
      <w:bookmarkEnd w:id="4044"/>
      <w:bookmarkEnd w:id="4045"/>
      <w:bookmarkEnd w:id="4046"/>
      <w:bookmarkEnd w:id="4047"/>
      <w:r w:rsidR="00E23065" w:rsidRPr="00873B6C">
        <w:t xml:space="preserve"> for TSN</w:t>
      </w:r>
      <w:bookmarkEnd w:id="4048"/>
    </w:p>
    <w:p w14:paraId="2E463025" w14:textId="4CE1C155" w:rsidR="00D40151" w:rsidRPr="00873B6C" w:rsidRDefault="00D40151" w:rsidP="00D40151">
      <w:r w:rsidRPr="00873B6C">
        <w:t>The configuration information of 5GS Bridge as defined in</w:t>
      </w:r>
      <w:r w:rsidR="00D602DF" w:rsidRPr="00873B6C">
        <w:t xml:space="preserve"> clause 8.6.8.4</w:t>
      </w:r>
      <w:r w:rsidRPr="00873B6C">
        <w:t xml:space="preserve"> </w:t>
      </w:r>
      <w:r w:rsidR="00D602DF" w:rsidRPr="00873B6C">
        <w:t xml:space="preserve">of </w:t>
      </w:r>
      <w:r w:rsidRPr="00873B6C">
        <w:t>IEEE Std 802.1Q [98], includes the following:</w:t>
      </w:r>
    </w:p>
    <w:p w14:paraId="55B1BE20" w14:textId="77777777" w:rsidR="00D40151" w:rsidRPr="00873B6C" w:rsidRDefault="00D40151" w:rsidP="00D40151">
      <w:pPr>
        <w:pStyle w:val="B1"/>
      </w:pPr>
      <w:r w:rsidRPr="00873B6C">
        <w:t>-</w:t>
      </w:r>
      <w:r w:rsidRPr="00873B6C">
        <w:tab/>
        <w:t>Bridge ID of 5GS Bridge.</w:t>
      </w:r>
    </w:p>
    <w:p w14:paraId="1ED7C4CB" w14:textId="77777777" w:rsidR="00D40151" w:rsidRPr="00873B6C" w:rsidRDefault="00D40151" w:rsidP="00D40151">
      <w:pPr>
        <w:pStyle w:val="B1"/>
      </w:pPr>
      <w:r w:rsidRPr="00873B6C">
        <w:t>-</w:t>
      </w:r>
      <w:r w:rsidRPr="00873B6C">
        <w:tab/>
        <w:t>Configuration information of scheduled traffic on ports of DS-TT and NW-TT:</w:t>
      </w:r>
    </w:p>
    <w:p w14:paraId="56A55A30" w14:textId="1B316C70" w:rsidR="00D40151" w:rsidRPr="00873B6C" w:rsidRDefault="00D40151" w:rsidP="00D40151">
      <w:pPr>
        <w:pStyle w:val="B2"/>
      </w:pPr>
      <w:r w:rsidRPr="00873B6C">
        <w:t>-</w:t>
      </w:r>
      <w:r w:rsidRPr="00873B6C">
        <w:tab/>
        <w:t>Egress ports of 5GS Bridge, e.g. ports on DS-TT and NW-TT;</w:t>
      </w:r>
    </w:p>
    <w:p w14:paraId="2081D75B" w14:textId="77777777" w:rsidR="00D40151" w:rsidRPr="00873B6C" w:rsidRDefault="00D40151" w:rsidP="00D40151">
      <w:pPr>
        <w:pStyle w:val="B2"/>
      </w:pPr>
      <w:r w:rsidRPr="00873B6C">
        <w:t>-</w:t>
      </w:r>
      <w:r w:rsidRPr="00873B6C">
        <w:tab/>
        <w:t>Traffic classes and their priorities.</w:t>
      </w:r>
    </w:p>
    <w:p w14:paraId="302F7176" w14:textId="056DB309" w:rsidR="00D40151" w:rsidRPr="00873B6C" w:rsidRDefault="00D40151" w:rsidP="00D40151">
      <w:pPr>
        <w:pStyle w:val="NO"/>
      </w:pPr>
      <w:r w:rsidRPr="00873B6C">
        <w:lastRenderedPageBreak/>
        <w:t>NOTE</w:t>
      </w:r>
      <w:r w:rsidR="00CD64F1" w:rsidRPr="00873B6C">
        <w:t> </w:t>
      </w:r>
      <w:r w:rsidRPr="00873B6C">
        <w:t>1:</w:t>
      </w:r>
      <w:r w:rsidRPr="00873B6C">
        <w:tab/>
        <w:t>In this Release of the specification, scheduled traffic (clause 8.6.8.4 in IEEE </w:t>
      </w:r>
      <w:r w:rsidR="007C1B83" w:rsidRPr="00873B6C">
        <w:t>Std </w:t>
      </w:r>
      <w:r w:rsidRPr="00873B6C">
        <w:t xml:space="preserve">802.1Q [98]) is only supported with protected windows, (see </w:t>
      </w:r>
      <w:r w:rsidR="00D602DF" w:rsidRPr="00873B6C">
        <w:t>clause </w:t>
      </w:r>
      <w:r w:rsidRPr="00873B6C">
        <w:t>Q.2 in IEEE </w:t>
      </w:r>
      <w:r w:rsidR="007C1B83" w:rsidRPr="00873B6C">
        <w:t>Std </w:t>
      </w:r>
      <w:r w:rsidRPr="00873B6C">
        <w:t>802.1Q [98]), therefore, it is enough to support AdminControlList, AdminBaseTime, AdminCycleTime and TickGranularity for the configuration of the 5GS.</w:t>
      </w:r>
    </w:p>
    <w:p w14:paraId="27208693" w14:textId="77777777" w:rsidR="00D40151" w:rsidRPr="00873B6C" w:rsidRDefault="00D40151" w:rsidP="00D40151">
      <w:r w:rsidRPr="00873B6C">
        <w:t>The configuration information of 5GS Bridge as defined in IEEE Std 802.1Q [98], includes the following:</w:t>
      </w:r>
    </w:p>
    <w:p w14:paraId="25D76C8D" w14:textId="77777777" w:rsidR="00D40151" w:rsidRPr="00873B6C" w:rsidRDefault="00D40151" w:rsidP="00D40151">
      <w:pPr>
        <w:pStyle w:val="B1"/>
      </w:pPr>
      <w:r w:rsidRPr="00873B6C">
        <w:t>-</w:t>
      </w:r>
      <w:r w:rsidRPr="00873B6C">
        <w:tab/>
        <w:t>Chassis ID of 5GS Bridge;</w:t>
      </w:r>
    </w:p>
    <w:p w14:paraId="546C2B12" w14:textId="3BD8DFCA" w:rsidR="00D40151" w:rsidRPr="00873B6C" w:rsidRDefault="00D40151" w:rsidP="00D40151">
      <w:pPr>
        <w:pStyle w:val="B1"/>
      </w:pPr>
      <w:r w:rsidRPr="00873B6C">
        <w:t>-</w:t>
      </w:r>
      <w:r w:rsidRPr="00873B6C">
        <w:tab/>
        <w:t>Traffic forwarding information as defined in</w:t>
      </w:r>
      <w:r w:rsidR="00D602DF" w:rsidRPr="00873B6C">
        <w:t xml:space="preserve"> clause 8.8.1</w:t>
      </w:r>
      <w:r w:rsidRPr="00873B6C">
        <w:t xml:space="preserve"> </w:t>
      </w:r>
      <w:r w:rsidR="00D602DF" w:rsidRPr="00873B6C">
        <w:t xml:space="preserve">of </w:t>
      </w:r>
      <w:r w:rsidRPr="00873B6C">
        <w:t>IEEE Std 802.1Q [98]:</w:t>
      </w:r>
    </w:p>
    <w:p w14:paraId="54BD472D" w14:textId="77777777" w:rsidR="00D40151" w:rsidRPr="00873B6C" w:rsidRDefault="00D40151" w:rsidP="00D40151">
      <w:pPr>
        <w:pStyle w:val="B2"/>
      </w:pPr>
      <w:r w:rsidRPr="00873B6C">
        <w:t>-</w:t>
      </w:r>
      <w:r w:rsidRPr="00873B6C">
        <w:tab/>
        <w:t>Destination MAC address and VLAN ID of TSN stream;</w:t>
      </w:r>
    </w:p>
    <w:p w14:paraId="7C6069ED" w14:textId="39155328" w:rsidR="00D40151" w:rsidRPr="00873B6C" w:rsidRDefault="00D40151" w:rsidP="00D40151">
      <w:pPr>
        <w:pStyle w:val="B2"/>
      </w:pPr>
      <w:r w:rsidRPr="00873B6C">
        <w:t>-</w:t>
      </w:r>
      <w:r w:rsidRPr="00873B6C">
        <w:tab/>
        <w:t>Port number in the Port MAP as defined in</w:t>
      </w:r>
      <w:r w:rsidR="00D602DF" w:rsidRPr="00873B6C">
        <w:t xml:space="preserve"> clause 8.8.1</w:t>
      </w:r>
      <w:r w:rsidRPr="00873B6C">
        <w:t xml:space="preserve"> </w:t>
      </w:r>
      <w:r w:rsidR="00D602DF" w:rsidRPr="00873B6C">
        <w:t xml:space="preserve">of </w:t>
      </w:r>
      <w:r w:rsidRPr="00873B6C">
        <w:t>IEEE Std 802.1Q [98].</w:t>
      </w:r>
    </w:p>
    <w:p w14:paraId="5C4E17B8" w14:textId="0E44B0C6" w:rsidR="00D40151" w:rsidRPr="00873B6C" w:rsidRDefault="00D40151" w:rsidP="00D40151">
      <w:pPr>
        <w:pStyle w:val="B1"/>
      </w:pPr>
      <w:r w:rsidRPr="00873B6C">
        <w:t>-</w:t>
      </w:r>
      <w:r w:rsidRPr="00873B6C">
        <w:tab/>
        <w:t>Configuration information per stream according to</w:t>
      </w:r>
      <w:r w:rsidR="00D602DF" w:rsidRPr="00873B6C">
        <w:t xml:space="preserve"> clause 8.6.5.1</w:t>
      </w:r>
      <w:r w:rsidRPr="00873B6C">
        <w:t xml:space="preserve"> </w:t>
      </w:r>
      <w:r w:rsidR="00D602DF" w:rsidRPr="00873B6C">
        <w:t xml:space="preserve">of </w:t>
      </w:r>
      <w:r w:rsidRPr="00873B6C">
        <w:t>IEEE Std 802.1Q [98] including:</w:t>
      </w:r>
    </w:p>
    <w:p w14:paraId="3AF0DDCA" w14:textId="77777777" w:rsidR="00D40151" w:rsidRPr="00873B6C" w:rsidRDefault="00D40151" w:rsidP="00D40151">
      <w:pPr>
        <w:pStyle w:val="B2"/>
      </w:pPr>
      <w:r w:rsidRPr="00873B6C">
        <w:t>-</w:t>
      </w:r>
      <w:r w:rsidRPr="00873B6C">
        <w:tab/>
        <w:t>Stream filters.</w:t>
      </w:r>
    </w:p>
    <w:p w14:paraId="45795018" w14:textId="77777777" w:rsidR="00D40151" w:rsidRPr="00873B6C" w:rsidRDefault="00D40151" w:rsidP="00D40151">
      <w:pPr>
        <w:pStyle w:val="B2"/>
      </w:pPr>
      <w:r w:rsidRPr="00873B6C">
        <w:t>-</w:t>
      </w:r>
      <w:r w:rsidRPr="00873B6C">
        <w:tab/>
        <w:t>Stream gates.</w:t>
      </w:r>
    </w:p>
    <w:p w14:paraId="5A028E05" w14:textId="1D4CB91A" w:rsidR="00D40151" w:rsidRPr="00873B6C" w:rsidRDefault="00D40151" w:rsidP="00D40151">
      <w:pPr>
        <w:pStyle w:val="NO"/>
      </w:pPr>
      <w:r w:rsidRPr="00873B6C">
        <w:t>NOTE </w:t>
      </w:r>
      <w:r w:rsidR="001C7C66" w:rsidRPr="00873B6C">
        <w:t>2</w:t>
      </w:r>
      <w:r w:rsidRPr="00873B6C">
        <w:t>:</w:t>
      </w:r>
      <w:r w:rsidRPr="00873B6C">
        <w:tab/>
        <w:t>In order to support</w:t>
      </w:r>
      <w:r w:rsidR="00D602DF" w:rsidRPr="00873B6C">
        <w:t xml:space="preserve"> clause 8.6.5</w:t>
      </w:r>
      <w:r w:rsidR="007C1B83" w:rsidRPr="00873B6C">
        <w:t>.2</w:t>
      </w:r>
      <w:r w:rsidR="00D602DF" w:rsidRPr="00873B6C">
        <w:t>.1</w:t>
      </w:r>
      <w:r w:rsidRPr="00873B6C">
        <w:t xml:space="preserve"> </w:t>
      </w:r>
      <w:r w:rsidR="00D602DF" w:rsidRPr="00873B6C">
        <w:t xml:space="preserve">of </w:t>
      </w:r>
      <w:r w:rsidRPr="00873B6C">
        <w:t>IEEE Std 802.1Q [98], it is required to support the Stream Identification function as specified by IEEE Std 802.1CB [83].</w:t>
      </w:r>
    </w:p>
    <w:p w14:paraId="2F0F45D6" w14:textId="77777777" w:rsidR="00D40151" w:rsidRPr="00873B6C" w:rsidRDefault="00D40151" w:rsidP="00D40151">
      <w:r w:rsidRPr="00873B6C">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873B6C" w:rsidRDefault="00D40151" w:rsidP="00D40151">
      <w:bookmarkStart w:id="4049" w:name="_Toc20150073"/>
      <w:bookmarkStart w:id="4050" w:name="_Toc27846872"/>
      <w:r w:rsidRPr="00873B6C">
        <w:t>Two models are supported to configure 5GS QoS for TSN traffic:</w:t>
      </w:r>
    </w:p>
    <w:p w14:paraId="56B26F6A" w14:textId="77777777" w:rsidR="00D40151" w:rsidRPr="00873B6C" w:rsidRDefault="00D40151" w:rsidP="00D40151">
      <w:pPr>
        <w:pStyle w:val="B1"/>
      </w:pPr>
      <w:r w:rsidRPr="00873B6C">
        <w:t>-</w:t>
      </w:r>
      <w:r w:rsidRPr="00873B6C">
        <w:tab/>
        <w:t>Based on the assumption that PSFP information is always provided by CNC: In this case the QoS Flows are setup based on the PSFP information provided by CNC;</w:t>
      </w:r>
    </w:p>
    <w:p w14:paraId="166925FA" w14:textId="20580EB7" w:rsidR="00D40151" w:rsidRPr="00873B6C" w:rsidRDefault="00D40151" w:rsidP="00D40151">
      <w:pPr>
        <w:pStyle w:val="NO"/>
      </w:pPr>
      <w:r w:rsidRPr="00873B6C">
        <w:t>NOTE </w:t>
      </w:r>
      <w:r w:rsidR="001C7C66" w:rsidRPr="00873B6C">
        <w:t>3</w:t>
      </w:r>
      <w:r w:rsidRPr="00873B6C">
        <w:t>:</w:t>
      </w:r>
      <w:r w:rsidRPr="00873B6C">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873B6C" w:rsidRDefault="00D40151" w:rsidP="00D40151">
      <w:pPr>
        <w:pStyle w:val="B1"/>
      </w:pPr>
      <w:r w:rsidRPr="00873B6C">
        <w:t>-</w:t>
      </w:r>
      <w:r w:rsidRPr="00873B6C">
        <w:tab/>
        <w:t xml:space="preserve">Without requiring PSFP information provided by the CNC.: In this case, pre-configured </w:t>
      </w:r>
      <w:r w:rsidR="00426DE4" w:rsidRPr="00873B6C">
        <w:t>QoS Flow</w:t>
      </w:r>
      <w:r w:rsidRPr="00873B6C">
        <w:t xml:space="preserve">s are used and configured e.g. during PDU session establishment as described in clause 5.28.4. Additional </w:t>
      </w:r>
      <w:r w:rsidR="00426DE4" w:rsidRPr="00873B6C">
        <w:t>QoS Flow</w:t>
      </w:r>
      <w:r w:rsidRPr="00873B6C">
        <w:t>s are setup as necessary based on the PSFP, if available, as described in this clause.</w:t>
      </w:r>
    </w:p>
    <w:p w14:paraId="461E39BC" w14:textId="6D394730" w:rsidR="00D40151" w:rsidRPr="00873B6C" w:rsidRDefault="00D40151" w:rsidP="00D40151">
      <w:r w:rsidRPr="00873B6C">
        <w:t>When PSFP information is available, TSN AF identifies the ingress</w:t>
      </w:r>
      <w:r w:rsidR="003A2901" w:rsidRPr="00873B6C">
        <w:t xml:space="preserve"> and egress</w:t>
      </w:r>
      <w:r w:rsidRPr="00873B6C">
        <w:t xml:space="preserve"> port for the TSN stream as described in Annex I and determines the DS-TT</w:t>
      </w:r>
      <w:r w:rsidR="003A2901" w:rsidRPr="00873B6C">
        <w:t xml:space="preserve"> port</w:t>
      </w:r>
      <w:r w:rsidRPr="00873B6C">
        <w:t xml:space="preserve"> MAC address(es) identifying the corresponding PDU session(s) carrying </w:t>
      </w:r>
      <w:r w:rsidR="003A2901" w:rsidRPr="00873B6C">
        <w:t xml:space="preserve">the TSN </w:t>
      </w:r>
      <w:r w:rsidRPr="00873B6C">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2E2195" w:rsidR="00D40151" w:rsidRPr="00873B6C" w:rsidRDefault="00D40151" w:rsidP="00D40151">
      <w:r w:rsidRPr="00873B6C">
        <w:t>The TSN AF uses the stream filter instances of PSFP information to derive the service data flow for TSN streams. The TSN AF uses the Priority values in the stream filter instances in PSFP information (if available) as defined in</w:t>
      </w:r>
      <w:r w:rsidR="00D602DF" w:rsidRPr="00873B6C">
        <w:t xml:space="preserve"> clause 8.6.5</w:t>
      </w:r>
      <w:r w:rsidR="007C1B83" w:rsidRPr="00873B6C">
        <w:t>.2</w:t>
      </w:r>
      <w:r w:rsidR="00D602DF" w:rsidRPr="00873B6C">
        <w:t>.1</w:t>
      </w:r>
      <w:r w:rsidRPr="00873B6C">
        <w:t xml:space="preserve"> </w:t>
      </w:r>
      <w:r w:rsidR="00D602DF" w:rsidRPr="00873B6C">
        <w:t xml:space="preserve">of </w:t>
      </w:r>
      <w:r w:rsidRPr="00873B6C">
        <w:t>IEEE Std 802.1Q [98],</w:t>
      </w:r>
      <w:r w:rsidR="00CD64F1" w:rsidRPr="00873B6C">
        <w:t xml:space="preserve"> the 5GS bridge delay information (see clause 5.27.5)</w:t>
      </w:r>
      <w:r w:rsidRPr="00873B6C">
        <w:t xml:space="preserve"> and may additionally use scheduled traffic information as defined in</w:t>
      </w:r>
      <w:r w:rsidR="00D602DF" w:rsidRPr="00873B6C">
        <w:t xml:space="preserve"> clause 8.6.8.4</w:t>
      </w:r>
      <w:r w:rsidRPr="00873B6C">
        <w:t xml:space="preserve"> </w:t>
      </w:r>
      <w:r w:rsidR="00D602DF" w:rsidRPr="00873B6C">
        <w:t xml:space="preserve">of </w:t>
      </w:r>
      <w:r w:rsidRPr="00873B6C">
        <w:t>IEEE Std 802.1Q [98], to derive the TSN QoS information</w:t>
      </w:r>
      <w:r w:rsidR="00CD64F1" w:rsidRPr="00873B6C">
        <w:t xml:space="preserve"> (i.e. priority and delay)</w:t>
      </w:r>
      <w:r w:rsidRPr="00873B6C">
        <w:t xml:space="preserve"> for a given TSN stream or flow of aggregated TSN streams</w:t>
      </w:r>
      <w:r w:rsidR="00A46717" w:rsidRPr="00873B6C">
        <w:t xml:space="preserve"> as specified in clause 5.28.4</w:t>
      </w:r>
      <w:r w:rsidRPr="00873B6C">
        <w:t>.</w:t>
      </w:r>
    </w:p>
    <w:p w14:paraId="649B9170" w14:textId="3B18790A" w:rsidR="009D42BF" w:rsidRPr="00873B6C" w:rsidRDefault="009D42BF" w:rsidP="00D40151">
      <w:r w:rsidRPr="00873B6C">
        <w:t>The TSN AF identifies the egress port</w:t>
      </w:r>
      <w:r w:rsidR="00CB6EDC" w:rsidRPr="00873B6C">
        <w:t>(s)</w:t>
      </w:r>
      <w:r w:rsidRPr="00873B6C">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873B6C">
        <w:t xml:space="preserve"> </w:t>
      </w:r>
      <w:r w:rsidRPr="00873B6C">
        <w:t>The SMF applies local switching as specified in clause 5.8.2.13 or clause 5.8.2.5.3 in order to enable UPF locally forward uplink stream from one PDU session as downlink stream in another PDU session.</w:t>
      </w:r>
    </w:p>
    <w:p w14:paraId="72A4B6CB" w14:textId="61EDF330" w:rsidR="00D40151" w:rsidRPr="00873B6C" w:rsidRDefault="00D40151" w:rsidP="00D40151">
      <w:r w:rsidRPr="00873B6C">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873B6C">
        <w:t xml:space="preserve"> clause 6.1.3.23</w:t>
      </w:r>
      <w:r w:rsidRPr="00873B6C">
        <w:t xml:space="preserve"> </w:t>
      </w:r>
      <w:r w:rsidR="00131D56" w:rsidRPr="00873B6C">
        <w:t xml:space="preserve">of </w:t>
      </w:r>
      <w:r w:rsidR="00972E70" w:rsidRPr="00873B6C">
        <w:t>TS 23.503 [</w:t>
      </w:r>
      <w:r w:rsidRPr="00873B6C">
        <w:t>45].</w:t>
      </w:r>
    </w:p>
    <w:p w14:paraId="34057425" w14:textId="25859C78" w:rsidR="00D40151" w:rsidRPr="00873B6C" w:rsidRDefault="00D40151" w:rsidP="00D40151">
      <w:pPr>
        <w:pStyle w:val="NO"/>
      </w:pPr>
      <w:r w:rsidRPr="00873B6C">
        <w:lastRenderedPageBreak/>
        <w:t>NOTE </w:t>
      </w:r>
      <w:r w:rsidR="001C7C66" w:rsidRPr="00873B6C">
        <w:t>4</w:t>
      </w:r>
      <w:r w:rsidRPr="00873B6C">
        <w:t>:</w:t>
      </w:r>
      <w:r w:rsidRPr="00873B6C">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873B6C">
        <w:t xml:space="preserve">clause 8.6.8.4 of </w:t>
      </w:r>
      <w:r w:rsidRPr="00873B6C">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w:t>
      </w:r>
      <w:r w:rsidR="00472CD7" w:rsidRPr="00873B6C">
        <w:t xml:space="preserve"> and</w:t>
      </w:r>
      <w:r w:rsidRPr="00873B6C">
        <w:t xml:space="preserve"> to derive an estimated MDBV based on the gate open interval and the assumed ingress port bitrate.</w:t>
      </w:r>
    </w:p>
    <w:p w14:paraId="6564634F" w14:textId="77777777" w:rsidR="008546A1" w:rsidRPr="00873B6C" w:rsidRDefault="008546A1" w:rsidP="008546A1">
      <w:bookmarkStart w:id="4051" w:name="_Toc36188003"/>
      <w:bookmarkStart w:id="4052" w:name="_Toc45183907"/>
      <w:bookmarkStart w:id="4053" w:name="_Toc47342749"/>
      <w:bookmarkStart w:id="4054" w:name="_Toc51769450"/>
      <w:r w:rsidRPr="00873B6C">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873B6C" w:rsidRDefault="008546A1" w:rsidP="00C74FFE">
      <w:pPr>
        <w:pStyle w:val="NO"/>
      </w:pPr>
      <w:r w:rsidRPr="00873B6C">
        <w:t>NOTE 5:</w:t>
      </w:r>
      <w:r w:rsidRPr="00873B6C">
        <w:tab/>
        <w:t>Configuration of TSN time domain number via PMIC is optional for NW-TT. NW-TT can instead be pre-configured with the single time domain that is used by the CNC for bridge configuration and reporting.</w:t>
      </w:r>
    </w:p>
    <w:p w14:paraId="50458695" w14:textId="6EEBFA5E" w:rsidR="00D40151" w:rsidRPr="00873B6C" w:rsidRDefault="00D40151" w:rsidP="00D40151">
      <w:pPr>
        <w:pStyle w:val="Heading3"/>
      </w:pPr>
      <w:bookmarkStart w:id="4055" w:name="_CR5_28_3"/>
      <w:bookmarkStart w:id="4056" w:name="_Toc201157490"/>
      <w:bookmarkEnd w:id="4055"/>
      <w:r w:rsidRPr="00873B6C">
        <w:t>5.28.3</w:t>
      </w:r>
      <w:r w:rsidRPr="00873B6C">
        <w:tab/>
        <w:t xml:space="preserve">Port and </w:t>
      </w:r>
      <w:r w:rsidR="00C4403A" w:rsidRPr="00873B6C">
        <w:t xml:space="preserve">user plane node </w:t>
      </w:r>
      <w:r w:rsidRPr="00873B6C">
        <w:t>management information exchange in 5GS</w:t>
      </w:r>
      <w:bookmarkEnd w:id="4049"/>
      <w:bookmarkEnd w:id="4050"/>
      <w:bookmarkEnd w:id="4051"/>
      <w:bookmarkEnd w:id="4052"/>
      <w:bookmarkEnd w:id="4053"/>
      <w:bookmarkEnd w:id="4054"/>
      <w:bookmarkEnd w:id="4056"/>
    </w:p>
    <w:p w14:paraId="1648E57D" w14:textId="77777777" w:rsidR="00D40151" w:rsidRPr="00873B6C" w:rsidRDefault="00D40151" w:rsidP="00D40151">
      <w:pPr>
        <w:pStyle w:val="Heading4"/>
      </w:pPr>
      <w:bookmarkStart w:id="4057" w:name="_CR5_28_3_1"/>
      <w:bookmarkStart w:id="4058" w:name="_Toc20150074"/>
      <w:bookmarkStart w:id="4059" w:name="_Toc27846873"/>
      <w:bookmarkStart w:id="4060" w:name="_Toc36188004"/>
      <w:bookmarkStart w:id="4061" w:name="_Toc45183908"/>
      <w:bookmarkStart w:id="4062" w:name="_Toc47342750"/>
      <w:bookmarkStart w:id="4063" w:name="_Toc51769451"/>
      <w:bookmarkStart w:id="4064" w:name="_Toc201157491"/>
      <w:bookmarkEnd w:id="4057"/>
      <w:r w:rsidRPr="00873B6C">
        <w:t>5.28.3.1</w:t>
      </w:r>
      <w:r w:rsidRPr="00873B6C">
        <w:tab/>
        <w:t>General</w:t>
      </w:r>
      <w:bookmarkEnd w:id="4058"/>
      <w:bookmarkEnd w:id="4059"/>
      <w:bookmarkEnd w:id="4060"/>
      <w:bookmarkEnd w:id="4061"/>
      <w:bookmarkEnd w:id="4062"/>
      <w:bookmarkEnd w:id="4063"/>
      <w:bookmarkEnd w:id="4064"/>
    </w:p>
    <w:p w14:paraId="3C80E73D" w14:textId="2FEC3477" w:rsidR="002D6443" w:rsidRPr="00873B6C" w:rsidRDefault="002D6443" w:rsidP="00D40151">
      <w:pPr>
        <w:rPr>
          <w:lang w:eastAsia="x-none"/>
        </w:rPr>
      </w:pPr>
      <w:r w:rsidRPr="00873B6C">
        <w:rPr>
          <w:lang w:eastAsia="x-none"/>
        </w:rPr>
        <w:t>Port number for the PDU Session is assigned by the UPF during PDU session establishment. The port number for a PDU Session shall be reported to the SMF from the UPF and further stored at the SMF. The SMF provides the port number via PCF to the TSN AF or</w:t>
      </w:r>
      <w:r w:rsidR="00055D0B" w:rsidRPr="00873B6C">
        <w:rPr>
          <w:lang w:eastAsia="x-none"/>
        </w:rPr>
        <w:t xml:space="preserve"> TSCTSF</w:t>
      </w:r>
      <w:r w:rsidRPr="00873B6C">
        <w:rPr>
          <w:lang w:eastAsia="x-none"/>
        </w:rPr>
        <w:t xml:space="preserve">. TSN AF or </w:t>
      </w:r>
      <w:r w:rsidR="00055D0B" w:rsidRPr="00873B6C">
        <w:rPr>
          <w:lang w:eastAsia="x-none"/>
        </w:rPr>
        <w:t xml:space="preserve">TSCTSF </w:t>
      </w:r>
      <w:r w:rsidRPr="00873B6C">
        <w:rPr>
          <w:lang w:eastAsia="x-none"/>
        </w:rPr>
        <w:t>maintains an association between the port number</w:t>
      </w:r>
      <w:r w:rsidR="00E23065" w:rsidRPr="00873B6C">
        <w:rPr>
          <w:lang w:eastAsia="x-none"/>
        </w:rPr>
        <w:t xml:space="preserve"> for the PDU Session</w:t>
      </w:r>
      <w:r w:rsidRPr="00873B6C">
        <w:rPr>
          <w:lang w:eastAsia="x-none"/>
        </w:rPr>
        <w:t xml:space="preserve"> and the</w:t>
      </w:r>
      <w:r w:rsidR="00426DE4" w:rsidRPr="00873B6C">
        <w:rPr>
          <w:lang w:eastAsia="x-none"/>
        </w:rPr>
        <w:t xml:space="preserve"> DS-TT port</w:t>
      </w:r>
      <w:r w:rsidRPr="00873B6C">
        <w:rPr>
          <w:lang w:eastAsia="x-none"/>
        </w:rPr>
        <w:t xml:space="preserve"> MAC address (with Ethernet type PDU session) or IP address (</w:t>
      </w:r>
      <w:r w:rsidR="00426DE4" w:rsidRPr="00873B6C">
        <w:rPr>
          <w:lang w:eastAsia="x-none"/>
        </w:rPr>
        <w:t xml:space="preserve">applicable for TSCTSF only, </w:t>
      </w:r>
      <w:r w:rsidRPr="00873B6C">
        <w:rPr>
          <w:lang w:eastAsia="x-none"/>
        </w:rPr>
        <w:t xml:space="preserve">with IP type PDU Session) of the UE. If a PDU session for which SMF has reported a port number to TSN AF or </w:t>
      </w:r>
      <w:r w:rsidR="00055D0B" w:rsidRPr="00873B6C">
        <w:rPr>
          <w:lang w:eastAsia="x-none"/>
        </w:rPr>
        <w:t xml:space="preserve">TSCTSF </w:t>
      </w:r>
      <w:r w:rsidRPr="00873B6C">
        <w:rPr>
          <w:lang w:eastAsia="x-none"/>
        </w:rPr>
        <w:t xml:space="preserve">is released, then SMF informs TSN AF or </w:t>
      </w:r>
      <w:r w:rsidR="00055D0B" w:rsidRPr="00873B6C">
        <w:rPr>
          <w:lang w:eastAsia="x-none"/>
        </w:rPr>
        <w:t xml:space="preserve">TSCTSF </w:t>
      </w:r>
      <w:r w:rsidRPr="00873B6C">
        <w:rPr>
          <w:lang w:eastAsia="x-none"/>
        </w:rPr>
        <w:t>accordingly.</w:t>
      </w:r>
      <w:r w:rsidR="00E23065" w:rsidRPr="00873B6C">
        <w:rPr>
          <w:lang w:eastAsia="x-none"/>
        </w:rPr>
        <w:t xml:space="preserve"> The port number for the PDU Session corresponds to the device side port of the 5GS bridge/router. When the device supports the DS-TT functionality, the port number represents the DS-TT port number corresponding to the given PDU Session.</w:t>
      </w:r>
    </w:p>
    <w:p w14:paraId="031B3811" w14:textId="0664ED99" w:rsidR="002D6443" w:rsidRPr="00873B6C" w:rsidRDefault="002D6443" w:rsidP="00323277">
      <w:pPr>
        <w:pStyle w:val="NO"/>
      </w:pPr>
      <w:r w:rsidRPr="00873B6C">
        <w:t>NOTE</w:t>
      </w:r>
      <w:r w:rsidR="00426DE4" w:rsidRPr="00873B6C">
        <w:t> 1</w:t>
      </w:r>
      <w:r w:rsidRPr="00873B6C">
        <w:t>:</w:t>
      </w:r>
      <w:r w:rsidRPr="00873B6C">
        <w:tab/>
        <w:t>Port number can refer either to Ethernet port or PTP port. In Ethernet type PDU Sessions, it is assumed that the PTP port number is the same as the associated Ethernet port number.</w:t>
      </w:r>
    </w:p>
    <w:p w14:paraId="4A65E2B5" w14:textId="020E4702" w:rsidR="00D40151" w:rsidRPr="00873B6C" w:rsidRDefault="00E23065" w:rsidP="00D40151">
      <w:pPr>
        <w:rPr>
          <w:lang w:eastAsia="x-none"/>
        </w:rPr>
      </w:pPr>
      <w:r w:rsidRPr="00873B6C">
        <w:rPr>
          <w:lang w:eastAsia="x-none"/>
        </w:rPr>
        <w:t xml:space="preserve">When the DS-TT or the NW-TT functions are used, the </w:t>
      </w:r>
      <w:r w:rsidR="00D40151" w:rsidRPr="00873B6C">
        <w:rPr>
          <w:lang w:eastAsia="x-none"/>
        </w:rPr>
        <w:t>5GS shall support transfer of standardized and deployment-specific port management information transparently between TSN AF</w:t>
      </w:r>
      <w:r w:rsidR="002D6443" w:rsidRPr="00873B6C">
        <w:rPr>
          <w:lang w:eastAsia="x-none"/>
        </w:rPr>
        <w:t xml:space="preserve"> or </w:t>
      </w:r>
      <w:r w:rsidR="00055D0B" w:rsidRPr="00873B6C">
        <w:rPr>
          <w:lang w:eastAsia="x-none"/>
        </w:rPr>
        <w:t xml:space="preserve">TSCTSF </w:t>
      </w:r>
      <w:r w:rsidR="00D40151" w:rsidRPr="00873B6C">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873B6C">
        <w:rPr>
          <w:lang w:eastAsia="x-none"/>
        </w:rPr>
        <w:t xml:space="preserve">user plane node </w:t>
      </w:r>
      <w:r w:rsidR="00D40151" w:rsidRPr="00873B6C">
        <w:rPr>
          <w:lang w:eastAsia="x-none"/>
        </w:rPr>
        <w:t>management information transparently between TSN AF</w:t>
      </w:r>
      <w:r w:rsidR="002D6443" w:rsidRPr="00873B6C">
        <w:rPr>
          <w:lang w:eastAsia="x-none"/>
        </w:rPr>
        <w:t xml:space="preserve"> or </w:t>
      </w:r>
      <w:r w:rsidR="00055D0B" w:rsidRPr="00873B6C">
        <w:rPr>
          <w:lang w:eastAsia="x-none"/>
        </w:rPr>
        <w:t xml:space="preserve">TSCTSF </w:t>
      </w:r>
      <w:r w:rsidR="00D40151" w:rsidRPr="00873B6C">
        <w:rPr>
          <w:lang w:eastAsia="x-none"/>
        </w:rPr>
        <w:t xml:space="preserve">and NW-TT, respectively inside a </w:t>
      </w:r>
      <w:r w:rsidR="007B3699" w:rsidRPr="00873B6C">
        <w:rPr>
          <w:lang w:eastAsia="x-none"/>
        </w:rPr>
        <w:t xml:space="preserve">User Plane Node </w:t>
      </w:r>
      <w:r w:rsidR="00D40151" w:rsidRPr="00873B6C">
        <w:rPr>
          <w:lang w:eastAsia="x-none"/>
        </w:rPr>
        <w:t>Management Information Container.</w:t>
      </w:r>
      <w:r w:rsidR="00A10084" w:rsidRPr="00873B6C">
        <w:rPr>
          <w:lang w:eastAsia="x-none"/>
        </w:rPr>
        <w:t xml:space="preserve"> Clause K.1</w:t>
      </w:r>
      <w:r w:rsidR="00D40151" w:rsidRPr="00873B6C">
        <w:rPr>
          <w:lang w:eastAsia="x-none"/>
        </w:rPr>
        <w:t xml:space="preserve"> list</w:t>
      </w:r>
      <w:r w:rsidR="00A10084" w:rsidRPr="00873B6C">
        <w:rPr>
          <w:lang w:eastAsia="x-none"/>
        </w:rPr>
        <w:t>s</w:t>
      </w:r>
      <w:r w:rsidR="00D40151" w:rsidRPr="00873B6C">
        <w:rPr>
          <w:lang w:eastAsia="x-none"/>
        </w:rPr>
        <w:t xml:space="preserve"> standardized port management information and </w:t>
      </w:r>
      <w:r w:rsidR="007B3699" w:rsidRPr="00873B6C">
        <w:rPr>
          <w:lang w:eastAsia="x-none"/>
        </w:rPr>
        <w:t xml:space="preserve">user plane node </w:t>
      </w:r>
      <w:r w:rsidR="00D40151" w:rsidRPr="00873B6C">
        <w:rPr>
          <w:lang w:eastAsia="x-none"/>
        </w:rPr>
        <w:t>management information, respectively.</w:t>
      </w:r>
    </w:p>
    <w:p w14:paraId="4817AC32" w14:textId="0C421BE9" w:rsidR="002D6443" w:rsidRPr="00873B6C" w:rsidRDefault="002D6443" w:rsidP="002D6443">
      <w:r w:rsidRPr="00873B6C">
        <w:t xml:space="preserve">If TSN AF is deployed, i.e. if 5GS is integrated with an IEEE TSN network, the port and </w:t>
      </w:r>
      <w:r w:rsidR="00C4403A" w:rsidRPr="00873B6C">
        <w:t xml:space="preserve">user plane node </w:t>
      </w:r>
      <w:r w:rsidRPr="00873B6C">
        <w:t>management information is exchanged between CNC and TSN AF. The port management information is related to ports located in DS-TT or NW-TT.</w:t>
      </w:r>
      <w:r w:rsidR="007B3699" w:rsidRPr="00873B6C">
        <w:t xml:space="preserve"> The user plane node management information container is related to 5GS bridge management.</w:t>
      </w:r>
    </w:p>
    <w:p w14:paraId="72CC30BE" w14:textId="771C8C91" w:rsidR="002D6443" w:rsidRPr="00873B6C" w:rsidRDefault="002D6443" w:rsidP="002D6443">
      <w:r w:rsidRPr="00873B6C">
        <w:t xml:space="preserve">If TSN AF is not deployed, the port and </w:t>
      </w:r>
      <w:r w:rsidR="00C4403A" w:rsidRPr="00873B6C">
        <w:t xml:space="preserve">user plane node </w:t>
      </w:r>
      <w:r w:rsidRPr="00873B6C">
        <w:t xml:space="preserve">management information is exchanged between </w:t>
      </w:r>
      <w:r w:rsidR="00055D0B" w:rsidRPr="00873B6C">
        <w:t xml:space="preserve">TSCTSF </w:t>
      </w:r>
      <w:r w:rsidRPr="00873B6C">
        <w:t>and DS-TT/NW-TT.</w:t>
      </w:r>
    </w:p>
    <w:p w14:paraId="5D7B674C" w14:textId="22B236A5" w:rsidR="00426DE4" w:rsidRPr="00873B6C" w:rsidRDefault="00426DE4" w:rsidP="00426DE4">
      <w:pPr>
        <w:pStyle w:val="NO"/>
      </w:pPr>
      <w:r w:rsidRPr="00873B6C">
        <w:t>NOTE 2:</w:t>
      </w:r>
      <w:r w:rsidRPr="00873B6C">
        <w:tab/>
        <w:t>The time synchronization parameters used in Port Management Information Container and User Plane Node Management Information Container are from IEEE Std 1588 [126], Edition 2019</w:t>
      </w:r>
      <w:r w:rsidR="00472CD7" w:rsidRPr="00873B6C">
        <w:t xml:space="preserve"> and</w:t>
      </w:r>
      <w:r w:rsidRPr="00873B6C">
        <w:t xml:space="preserve">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873B6C" w:rsidRDefault="00D40151" w:rsidP="00D40151">
      <w:r w:rsidRPr="00873B6C">
        <w:t xml:space="preserve">Exchange of port and </w:t>
      </w:r>
      <w:r w:rsidR="00C4403A" w:rsidRPr="00873B6C">
        <w:t xml:space="preserve">user plane node </w:t>
      </w:r>
      <w:r w:rsidRPr="00873B6C">
        <w:t>management information between TSN AF</w:t>
      </w:r>
      <w:r w:rsidR="002D6443" w:rsidRPr="00873B6C">
        <w:t xml:space="preserve"> or </w:t>
      </w:r>
      <w:r w:rsidR="00055D0B" w:rsidRPr="00873B6C">
        <w:t xml:space="preserve">TSCTSF </w:t>
      </w:r>
      <w:r w:rsidRPr="00873B6C">
        <w:t>and NW-TT or</w:t>
      </w:r>
      <w:r w:rsidR="002D6443" w:rsidRPr="00873B6C">
        <w:t xml:space="preserve"> between TSN AF or </w:t>
      </w:r>
      <w:r w:rsidR="00055D0B" w:rsidRPr="00873B6C">
        <w:t xml:space="preserve">TSCTSF </w:t>
      </w:r>
      <w:r w:rsidR="002D6443" w:rsidRPr="00873B6C">
        <w:t>and</w:t>
      </w:r>
      <w:r w:rsidRPr="00873B6C">
        <w:t xml:space="preserve"> DS-TT allows TSN AF</w:t>
      </w:r>
      <w:r w:rsidR="002D6443" w:rsidRPr="00873B6C">
        <w:t xml:space="preserve"> or </w:t>
      </w:r>
      <w:r w:rsidR="00055D0B" w:rsidRPr="00873B6C">
        <w:t xml:space="preserve">TSCTSF </w:t>
      </w:r>
      <w:r w:rsidRPr="00873B6C">
        <w:t>to:</w:t>
      </w:r>
    </w:p>
    <w:p w14:paraId="418619FD" w14:textId="244B8590" w:rsidR="00D40151" w:rsidRPr="00873B6C" w:rsidRDefault="00D40151" w:rsidP="00D40151">
      <w:pPr>
        <w:pStyle w:val="B1"/>
      </w:pPr>
      <w:r w:rsidRPr="00873B6C">
        <w:t>1)</w:t>
      </w:r>
      <w:r w:rsidRPr="00873B6C">
        <w:tab/>
        <w:t xml:space="preserve">retrieve port management information for a DS-TT or NW-TT port or </w:t>
      </w:r>
      <w:r w:rsidR="00C4403A" w:rsidRPr="00873B6C">
        <w:t xml:space="preserve">user plane node </w:t>
      </w:r>
      <w:r w:rsidRPr="00873B6C">
        <w:t>management information;</w:t>
      </w:r>
    </w:p>
    <w:p w14:paraId="509FD3CE" w14:textId="004FB6FD" w:rsidR="00D40151" w:rsidRPr="00873B6C" w:rsidRDefault="00D40151" w:rsidP="00D40151">
      <w:pPr>
        <w:pStyle w:val="B1"/>
      </w:pPr>
      <w:r w:rsidRPr="00873B6C">
        <w:t>2)</w:t>
      </w:r>
      <w:r w:rsidRPr="00873B6C">
        <w:tab/>
        <w:t xml:space="preserve">send port management information for a DS-TT or NW-TT port or </w:t>
      </w:r>
      <w:r w:rsidR="00C4403A" w:rsidRPr="00873B6C">
        <w:t xml:space="preserve">user plane node </w:t>
      </w:r>
      <w:r w:rsidRPr="00873B6C">
        <w:t>management information;</w:t>
      </w:r>
    </w:p>
    <w:p w14:paraId="1E8D57F6" w14:textId="0D2BBAF1" w:rsidR="00D40151" w:rsidRPr="00873B6C" w:rsidRDefault="00D40151" w:rsidP="00D40151">
      <w:pPr>
        <w:pStyle w:val="B1"/>
      </w:pPr>
      <w:r w:rsidRPr="00873B6C">
        <w:t>3)</w:t>
      </w:r>
      <w:r w:rsidRPr="00873B6C">
        <w:tab/>
        <w:t xml:space="preserve">subscribe to and receive notifications if specific port management information for a DS-TT or NW-TT port changes or </w:t>
      </w:r>
      <w:r w:rsidR="00C4403A" w:rsidRPr="00873B6C">
        <w:t xml:space="preserve">user plane node </w:t>
      </w:r>
      <w:r w:rsidRPr="00873B6C">
        <w:t>management information changes.</w:t>
      </w:r>
    </w:p>
    <w:p w14:paraId="5AFBCEAE" w14:textId="77777777" w:rsidR="00CB6EDC" w:rsidRPr="00873B6C" w:rsidRDefault="00CB6EDC" w:rsidP="00461850">
      <w:pPr>
        <w:pStyle w:val="B1"/>
      </w:pPr>
      <w:r w:rsidRPr="00873B6C">
        <w:lastRenderedPageBreak/>
        <w:t>4)</w:t>
      </w:r>
      <w:r w:rsidRPr="00873B6C">
        <w:tab/>
        <w:t>delete selected entries in the following data structures:</w:t>
      </w:r>
    </w:p>
    <w:p w14:paraId="4B89F499" w14:textId="66645129" w:rsidR="00CB6EDC" w:rsidRPr="00873B6C" w:rsidRDefault="00CB6EDC" w:rsidP="00461850">
      <w:pPr>
        <w:pStyle w:val="B2"/>
      </w:pPr>
      <w:r w:rsidRPr="00873B6C">
        <w:t>-</w:t>
      </w:r>
      <w:r w:rsidRPr="00873B6C">
        <w:tab/>
        <w:t>"DS-TT port neighbour discovery configuration for DS-TT port" in UMIC using the DS-TT port number to reference the selected entry.</w:t>
      </w:r>
    </w:p>
    <w:p w14:paraId="437E2A03" w14:textId="77777777" w:rsidR="00CB6EDC" w:rsidRPr="00873B6C" w:rsidRDefault="00CB6EDC" w:rsidP="00461850">
      <w:pPr>
        <w:pStyle w:val="B2"/>
      </w:pPr>
      <w:r w:rsidRPr="00873B6C">
        <w:t>-</w:t>
      </w:r>
      <w:r w:rsidRPr="00873B6C">
        <w:tab/>
        <w:t>"Stream Filter Instance Table" in PMIC using the Stream Filter Instance ID to reference the selected entry.</w:t>
      </w:r>
    </w:p>
    <w:p w14:paraId="5E89B2B9" w14:textId="77777777" w:rsidR="00CB6EDC" w:rsidRPr="00873B6C" w:rsidRDefault="00CB6EDC" w:rsidP="00461850">
      <w:pPr>
        <w:pStyle w:val="B2"/>
      </w:pPr>
      <w:r w:rsidRPr="00873B6C">
        <w:t>-</w:t>
      </w:r>
      <w:r w:rsidRPr="00873B6C">
        <w:tab/>
        <w:t>"Stream Gate Instance Table" in PMIC using the Stream Gate Instance ID to reference the selected entry.</w:t>
      </w:r>
    </w:p>
    <w:p w14:paraId="1D34C005" w14:textId="77777777" w:rsidR="00CB6EDC" w:rsidRPr="00873B6C" w:rsidRDefault="00CB6EDC" w:rsidP="00461850">
      <w:pPr>
        <w:pStyle w:val="B2"/>
      </w:pPr>
      <w:r w:rsidRPr="00873B6C">
        <w:t>-</w:t>
      </w:r>
      <w:r w:rsidRPr="00873B6C">
        <w:tab/>
        <w:t>"Static Filtering Entries table" in UMIC using the (MAC address, VLAN ID) pair to reference the selected entry.</w:t>
      </w:r>
    </w:p>
    <w:p w14:paraId="0E293691" w14:textId="4CB4B45E" w:rsidR="00CB6EDC" w:rsidRPr="00873B6C" w:rsidRDefault="00CB6EDC" w:rsidP="00461850">
      <w:pPr>
        <w:pStyle w:val="B1"/>
      </w:pPr>
      <w:r w:rsidRPr="00873B6C">
        <w:t>5)</w:t>
      </w:r>
      <w:r w:rsidRPr="00873B6C">
        <w:tab/>
        <w:t>delete PTP Instances in a DS-TT port or NW-TT port using the PTP Instance ID to reference the selected entry as described in clause K.2.2.1.</w:t>
      </w:r>
    </w:p>
    <w:p w14:paraId="2F742ED7" w14:textId="0BB732EC" w:rsidR="00D40151" w:rsidRPr="00873B6C" w:rsidRDefault="00D40151" w:rsidP="00D40151">
      <w:r w:rsidRPr="00873B6C">
        <w:t>Exchange of port management information between TSN AF</w:t>
      </w:r>
      <w:r w:rsidR="002D6443" w:rsidRPr="00873B6C">
        <w:t xml:space="preserve"> or </w:t>
      </w:r>
      <w:r w:rsidR="00055D0B" w:rsidRPr="00873B6C">
        <w:t xml:space="preserve">TSCTSF </w:t>
      </w:r>
      <w:r w:rsidRPr="00873B6C">
        <w:t>and NW-TT or DS-TT is initiated by DS-TT or NW-TT to:</w:t>
      </w:r>
    </w:p>
    <w:p w14:paraId="1735C9F8" w14:textId="6FBFA8A8" w:rsidR="00D40151" w:rsidRPr="00873B6C" w:rsidRDefault="00D40151" w:rsidP="00D40151">
      <w:pPr>
        <w:pStyle w:val="B1"/>
      </w:pPr>
      <w:r w:rsidRPr="00873B6C">
        <w:t>-</w:t>
      </w:r>
      <w:r w:rsidRPr="00873B6C">
        <w:tab/>
        <w:t>notify TSN AF</w:t>
      </w:r>
      <w:r w:rsidR="00412DC3" w:rsidRPr="00873B6C">
        <w:t xml:space="preserve"> or TSCTSF</w:t>
      </w:r>
      <w:r w:rsidRPr="00873B6C">
        <w:t xml:space="preserve"> if port management information has changed that TSN AF</w:t>
      </w:r>
      <w:r w:rsidR="00412DC3" w:rsidRPr="00873B6C">
        <w:t xml:space="preserve"> or TSCTSF</w:t>
      </w:r>
      <w:r w:rsidRPr="00873B6C">
        <w:t xml:space="preserve"> has subscribed for.</w:t>
      </w:r>
    </w:p>
    <w:p w14:paraId="0591FD19" w14:textId="69A6F279" w:rsidR="00D40151" w:rsidRPr="00873B6C" w:rsidRDefault="00D40151" w:rsidP="00D40151">
      <w:r w:rsidRPr="00873B6C">
        <w:t xml:space="preserve">Exchange of </w:t>
      </w:r>
      <w:r w:rsidR="00C4403A" w:rsidRPr="00873B6C">
        <w:t xml:space="preserve">user plane node </w:t>
      </w:r>
      <w:r w:rsidRPr="00873B6C">
        <w:t>management information between TSN AF</w:t>
      </w:r>
      <w:r w:rsidR="007B3699" w:rsidRPr="00873B6C">
        <w:t xml:space="preserve"> or TSCTSF</w:t>
      </w:r>
      <w:r w:rsidRPr="00873B6C">
        <w:t xml:space="preserve"> and NW-TT is initiated by NW-TT to:</w:t>
      </w:r>
    </w:p>
    <w:p w14:paraId="4CA75EEE" w14:textId="31EECF64" w:rsidR="00D40151" w:rsidRPr="00873B6C" w:rsidRDefault="00D40151" w:rsidP="00D40151">
      <w:pPr>
        <w:pStyle w:val="B1"/>
      </w:pPr>
      <w:r w:rsidRPr="00873B6C">
        <w:t>-</w:t>
      </w:r>
      <w:r w:rsidRPr="00873B6C">
        <w:tab/>
        <w:t>notify TSN AF</w:t>
      </w:r>
      <w:r w:rsidR="002D6443" w:rsidRPr="00873B6C">
        <w:t xml:space="preserve"> or </w:t>
      </w:r>
      <w:r w:rsidR="00055D0B" w:rsidRPr="00873B6C">
        <w:t xml:space="preserve">TSCTSF </w:t>
      </w:r>
      <w:r w:rsidRPr="00873B6C">
        <w:t xml:space="preserve">if </w:t>
      </w:r>
      <w:r w:rsidR="00C4403A" w:rsidRPr="00873B6C">
        <w:t xml:space="preserve">user plane node </w:t>
      </w:r>
      <w:r w:rsidRPr="00873B6C">
        <w:t>management information has changed that TSN AF</w:t>
      </w:r>
      <w:r w:rsidR="002D6443" w:rsidRPr="00873B6C">
        <w:t xml:space="preserve"> or </w:t>
      </w:r>
      <w:r w:rsidR="00055D0B" w:rsidRPr="00873B6C">
        <w:t xml:space="preserve">TSCTSF </w:t>
      </w:r>
      <w:r w:rsidRPr="00873B6C">
        <w:t>has subscribed for.</w:t>
      </w:r>
    </w:p>
    <w:p w14:paraId="185FD6E3" w14:textId="5A1773BC" w:rsidR="00A13197" w:rsidRPr="00873B6C" w:rsidRDefault="00A13197" w:rsidP="00A13197">
      <w:pPr>
        <w:pStyle w:val="B1"/>
      </w:pPr>
      <w:r w:rsidRPr="00873B6C">
        <w:t>-</w:t>
      </w:r>
      <w:r w:rsidRPr="00873B6C">
        <w:tab/>
        <w:t>notify TSCTSF if time synchronization status information of UPF has changed that the TSCTSF has subscribed for.</w:t>
      </w:r>
    </w:p>
    <w:p w14:paraId="4BF1A8CD" w14:textId="77777777" w:rsidR="00D40151" w:rsidRPr="00873B6C" w:rsidRDefault="00D40151" w:rsidP="00D40151">
      <w:r w:rsidRPr="00873B6C">
        <w:t>Exchange of port management information is initiated by DS-TT to:</w:t>
      </w:r>
    </w:p>
    <w:p w14:paraId="10E5A03C" w14:textId="77777777" w:rsidR="00D40151" w:rsidRPr="00873B6C" w:rsidRDefault="00D40151" w:rsidP="00D40151">
      <w:pPr>
        <w:pStyle w:val="B1"/>
      </w:pPr>
      <w:r w:rsidRPr="00873B6C">
        <w:t>-</w:t>
      </w:r>
      <w:r w:rsidRPr="00873B6C">
        <w:tab/>
        <w:t>provide port management capabilities, i.e. provide information indicating which standardized and deployment-specific port management information is supported by DS-TT.</w:t>
      </w:r>
    </w:p>
    <w:p w14:paraId="5440D684" w14:textId="13E8D992" w:rsidR="00D40151" w:rsidRPr="00873B6C" w:rsidRDefault="00D40151" w:rsidP="00D40151">
      <w:r w:rsidRPr="00873B6C">
        <w:t>TSN AF</w:t>
      </w:r>
      <w:r w:rsidR="002D6443" w:rsidRPr="00873B6C">
        <w:t xml:space="preserve"> or </w:t>
      </w:r>
      <w:r w:rsidR="00055D0B" w:rsidRPr="00873B6C">
        <w:t xml:space="preserve">TSCTSF </w:t>
      </w:r>
      <w:r w:rsidRPr="00873B6C">
        <w:t xml:space="preserve">indicates inside the Port Management Information Container or </w:t>
      </w:r>
      <w:r w:rsidR="00C4403A" w:rsidRPr="00873B6C">
        <w:t xml:space="preserve">user plane node </w:t>
      </w:r>
      <w:r w:rsidRPr="00873B6C">
        <w:t xml:space="preserve">Management Information Container whether it wants to retrieve or send port or </w:t>
      </w:r>
      <w:r w:rsidR="00C4403A" w:rsidRPr="00873B6C">
        <w:t xml:space="preserve">user plane node </w:t>
      </w:r>
      <w:r w:rsidRPr="00873B6C">
        <w:t>management information or intends to (un-)subscribe for notifications.</w:t>
      </w:r>
      <w:r w:rsidR="002A3DAF" w:rsidRPr="00873B6C">
        <w:t xml:space="preserve"> If the TSN AF or TSCTSF has requested to receive notification of TSC management information and both SMF and UPF support</w:t>
      </w:r>
      <w:r w:rsidR="00511811" w:rsidRPr="00873B6C">
        <w:t xml:space="preserve"> direct reporting, the UPF may directly report TSC management information to the TSN AF or TSCTSF using Nupf_EventExposure_Notify.</w:t>
      </w:r>
    </w:p>
    <w:p w14:paraId="5672730C" w14:textId="7ACED300" w:rsidR="00D40151" w:rsidRPr="00873B6C" w:rsidRDefault="00D40151" w:rsidP="00D40151">
      <w:pPr>
        <w:pStyle w:val="Heading4"/>
      </w:pPr>
      <w:bookmarkStart w:id="4065" w:name="_CR5_28_3_2"/>
      <w:bookmarkStart w:id="4066" w:name="_Toc20150075"/>
      <w:bookmarkStart w:id="4067" w:name="_Toc27846874"/>
      <w:bookmarkStart w:id="4068" w:name="_Toc36188005"/>
      <w:bookmarkStart w:id="4069" w:name="_Toc45183909"/>
      <w:bookmarkStart w:id="4070" w:name="_Toc47342751"/>
      <w:bookmarkStart w:id="4071" w:name="_Toc51769452"/>
      <w:bookmarkStart w:id="4072" w:name="_Toc201157492"/>
      <w:bookmarkEnd w:id="4065"/>
      <w:r w:rsidRPr="00873B6C">
        <w:t>5.28.3.2</w:t>
      </w:r>
      <w:r w:rsidRPr="00873B6C">
        <w:tab/>
        <w:t xml:space="preserve">Transfer of port or </w:t>
      </w:r>
      <w:r w:rsidR="00C4403A" w:rsidRPr="00873B6C">
        <w:t xml:space="preserve">user plane node </w:t>
      </w:r>
      <w:r w:rsidRPr="00873B6C">
        <w:t>management information</w:t>
      </w:r>
      <w:bookmarkEnd w:id="4066"/>
      <w:bookmarkEnd w:id="4067"/>
      <w:bookmarkEnd w:id="4068"/>
      <w:bookmarkEnd w:id="4069"/>
      <w:bookmarkEnd w:id="4070"/>
      <w:bookmarkEnd w:id="4071"/>
      <w:bookmarkEnd w:id="4072"/>
    </w:p>
    <w:p w14:paraId="7FB47F2D" w14:textId="21B33866" w:rsidR="00D40151" w:rsidRPr="00873B6C" w:rsidRDefault="00D40151" w:rsidP="00D40151">
      <w:pPr>
        <w:rPr>
          <w:lang w:eastAsia="x-none"/>
        </w:rPr>
      </w:pPr>
      <w:r w:rsidRPr="00873B6C">
        <w:rPr>
          <w:lang w:eastAsia="x-none"/>
        </w:rPr>
        <w:t>Port management information is transferred transparently via 5GS between TSN AF</w:t>
      </w:r>
      <w:r w:rsidR="002D6443" w:rsidRPr="00873B6C">
        <w:rPr>
          <w:lang w:eastAsia="x-none"/>
        </w:rPr>
        <w:t xml:space="preserve"> or </w:t>
      </w:r>
      <w:r w:rsidR="00055D0B" w:rsidRPr="00873B6C">
        <w:rPr>
          <w:lang w:eastAsia="x-none"/>
        </w:rPr>
        <w:t xml:space="preserve">TSCTSF </w:t>
      </w:r>
      <w:r w:rsidRPr="00873B6C">
        <w:rPr>
          <w:lang w:eastAsia="x-none"/>
        </w:rPr>
        <w:t xml:space="preserve">and DS-TT or NW-TT, respectively, inside a Port Management Information Container (PMIC). </w:t>
      </w:r>
      <w:r w:rsidR="00C4403A" w:rsidRPr="00873B6C">
        <w:rPr>
          <w:lang w:eastAsia="x-none"/>
        </w:rPr>
        <w:t xml:space="preserve">User plane node </w:t>
      </w:r>
      <w:r w:rsidRPr="00873B6C">
        <w:rPr>
          <w:lang w:eastAsia="x-none"/>
        </w:rPr>
        <w:t>management information is transferred transparently via 5GS between TSN AF</w:t>
      </w:r>
      <w:r w:rsidR="002D6443" w:rsidRPr="00873B6C">
        <w:rPr>
          <w:lang w:eastAsia="x-none"/>
        </w:rPr>
        <w:t xml:space="preserve"> or </w:t>
      </w:r>
      <w:r w:rsidR="00055D0B" w:rsidRPr="00873B6C">
        <w:rPr>
          <w:lang w:eastAsia="x-none"/>
        </w:rPr>
        <w:t xml:space="preserve">TSCTSF </w:t>
      </w:r>
      <w:r w:rsidRPr="00873B6C">
        <w:rPr>
          <w:lang w:eastAsia="x-none"/>
        </w:rPr>
        <w:t xml:space="preserve">and NW-TT inside a </w:t>
      </w:r>
      <w:r w:rsidR="00C4403A" w:rsidRPr="00873B6C">
        <w:rPr>
          <w:lang w:eastAsia="x-none"/>
        </w:rPr>
        <w:t xml:space="preserve">user plane node </w:t>
      </w:r>
      <w:r w:rsidRPr="00873B6C">
        <w:rPr>
          <w:lang w:eastAsia="x-none"/>
        </w:rPr>
        <w:t>Management Information Container (</w:t>
      </w:r>
      <w:r w:rsidR="007B3699" w:rsidRPr="00873B6C">
        <w:rPr>
          <w:lang w:eastAsia="x-none"/>
        </w:rPr>
        <w:t>U</w:t>
      </w:r>
      <w:r w:rsidRPr="00873B6C">
        <w:rPr>
          <w:lang w:eastAsia="x-none"/>
        </w:rPr>
        <w:t xml:space="preserve">MIC). The transfer of port or </w:t>
      </w:r>
      <w:r w:rsidR="00C4403A" w:rsidRPr="00873B6C">
        <w:rPr>
          <w:lang w:eastAsia="x-none"/>
        </w:rPr>
        <w:t xml:space="preserve">user plane node </w:t>
      </w:r>
      <w:r w:rsidRPr="00873B6C">
        <w:rPr>
          <w:lang w:eastAsia="x-none"/>
        </w:rPr>
        <w:t>management information is as follows:</w:t>
      </w:r>
    </w:p>
    <w:p w14:paraId="4A7FF029" w14:textId="357D95F6" w:rsidR="00D40151" w:rsidRPr="00873B6C" w:rsidRDefault="00D40151" w:rsidP="00D40151">
      <w:pPr>
        <w:pStyle w:val="B1"/>
      </w:pPr>
      <w:r w:rsidRPr="00873B6C">
        <w:t>-</w:t>
      </w:r>
      <w:r w:rsidRPr="00873B6C">
        <w:tab/>
        <w:t>To convey port management information from DS-TT or NW-TT to TSN AF</w:t>
      </w:r>
      <w:r w:rsidR="002D6443" w:rsidRPr="00873B6C">
        <w:t xml:space="preserve"> or</w:t>
      </w:r>
      <w:r w:rsidR="00055D0B" w:rsidRPr="00873B6C">
        <w:t xml:space="preserve"> TSCTSF</w:t>
      </w:r>
      <w:r w:rsidRPr="00873B6C">
        <w:t>:</w:t>
      </w:r>
    </w:p>
    <w:p w14:paraId="292D36D4" w14:textId="0E9A8DE6" w:rsidR="00D40151" w:rsidRPr="00873B6C" w:rsidRDefault="00D40151" w:rsidP="00D40151">
      <w:pPr>
        <w:pStyle w:val="B2"/>
      </w:pPr>
      <w:r w:rsidRPr="00873B6C">
        <w:t>-</w:t>
      </w:r>
      <w:r w:rsidRPr="00873B6C">
        <w:tab/>
        <w:t>DS-TT provides a PMIC and the DS-TT port MAC address</w:t>
      </w:r>
      <w:r w:rsidR="002D6443" w:rsidRPr="00873B6C">
        <w:t xml:space="preserve"> (if available)</w:t>
      </w:r>
      <w:r w:rsidRPr="00873B6C">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873B6C">
        <w:t xml:space="preserve"> or </w:t>
      </w:r>
      <w:r w:rsidR="00055D0B" w:rsidRPr="00873B6C">
        <w:t xml:space="preserve">TSCTSF </w:t>
      </w:r>
      <w:r w:rsidRPr="00873B6C">
        <w:t>as described in</w:t>
      </w:r>
      <w:r w:rsidR="00131D56" w:rsidRPr="00873B6C">
        <w:t xml:space="preserve"> clauses 4.3.2.2 and 4.3.3.2</w:t>
      </w:r>
      <w:r w:rsidRPr="00873B6C">
        <w:t xml:space="preserve"> </w:t>
      </w:r>
      <w:r w:rsidR="00131D56" w:rsidRPr="00873B6C">
        <w:t xml:space="preserve">of </w:t>
      </w:r>
      <w:r w:rsidR="00972E70" w:rsidRPr="00873B6C">
        <w:t>TS 23.502 [</w:t>
      </w:r>
      <w:r w:rsidRPr="00873B6C">
        <w:t>3];</w:t>
      </w:r>
    </w:p>
    <w:p w14:paraId="469D2600" w14:textId="13CC3277" w:rsidR="00D40151" w:rsidRPr="00873B6C" w:rsidRDefault="00D40151" w:rsidP="00D40151">
      <w:pPr>
        <w:pStyle w:val="B2"/>
      </w:pPr>
      <w:r w:rsidRPr="00873B6C">
        <w:t>-</w:t>
      </w:r>
      <w:r w:rsidRPr="00873B6C">
        <w:tab/>
        <w:t xml:space="preserve">NW-TT provides PMIC(s) and/or </w:t>
      </w:r>
      <w:r w:rsidR="007B3699" w:rsidRPr="00873B6C">
        <w:t>U</w:t>
      </w:r>
      <w:r w:rsidRPr="00873B6C">
        <w:t>MIC to the UPF, which</w:t>
      </w:r>
      <w:r w:rsidR="00511811" w:rsidRPr="00873B6C">
        <w:t xml:space="preserve"> may</w:t>
      </w:r>
      <w:r w:rsidRPr="00873B6C">
        <w:t xml:space="preserve"> trigger the N4 Session Level Reporting Procedure to forward the PMIC(s) and/or </w:t>
      </w:r>
      <w:r w:rsidR="007B3699" w:rsidRPr="00873B6C">
        <w:t>U</w:t>
      </w:r>
      <w:r w:rsidRPr="00873B6C">
        <w:t xml:space="preserve">MIC to SMF. UPF selects an N4 session corresponding to any of the N4 sessions for this NW-TT. SMF in turn forwards the PMIC(s) and the port number(s) of the related NW-TT port(s), or the </w:t>
      </w:r>
      <w:r w:rsidR="007B3699" w:rsidRPr="00873B6C">
        <w:t>U</w:t>
      </w:r>
      <w:r w:rsidRPr="00873B6C">
        <w:t>MIC, to TSN AF</w:t>
      </w:r>
      <w:r w:rsidR="002D6443" w:rsidRPr="00873B6C">
        <w:t xml:space="preserve"> or </w:t>
      </w:r>
      <w:r w:rsidR="00055D0B" w:rsidRPr="00873B6C">
        <w:t xml:space="preserve">TSCTSF </w:t>
      </w:r>
      <w:r w:rsidRPr="00873B6C">
        <w:t>as described in</w:t>
      </w:r>
      <w:r w:rsidR="00131D56" w:rsidRPr="00873B6C">
        <w:t xml:space="preserve"> clause 4.16.5.1</w:t>
      </w:r>
      <w:r w:rsidRPr="00873B6C">
        <w:t xml:space="preserve"> </w:t>
      </w:r>
      <w:r w:rsidR="00131D56" w:rsidRPr="00873B6C">
        <w:t xml:space="preserve">of </w:t>
      </w:r>
      <w:r w:rsidR="00972E70" w:rsidRPr="00873B6C">
        <w:t>TS 23.502 [</w:t>
      </w:r>
      <w:r w:rsidRPr="00873B6C">
        <w:t>3].</w:t>
      </w:r>
    </w:p>
    <w:p w14:paraId="50879658" w14:textId="6D123CA1" w:rsidR="00511811" w:rsidRPr="00873B6C" w:rsidRDefault="00511811" w:rsidP="00972E70">
      <w:pPr>
        <w:pStyle w:val="B2"/>
      </w:pPr>
      <w:r w:rsidRPr="00873B6C">
        <w:t>-</w:t>
      </w:r>
      <w:r w:rsidRPr="00873B6C">
        <w:tab/>
        <w:t xml:space="preserve">NW-TT may provide PMIC(s) and/or UMIC to the UPF, which may trigger UPF Event Exposure Notification to forward the PMIC(s) and/or UMIC to TSN AF or TSCTSF. UPF directly reports TSC management information event via Nupf_EventExposure_Notify service operation as described in clause 5.2.26.2 of </w:t>
      </w:r>
      <w:r w:rsidR="00972E70" w:rsidRPr="00873B6C">
        <w:t>TS 23.502 [</w:t>
      </w:r>
      <w:r w:rsidRPr="00873B6C">
        <w:t>3].</w:t>
      </w:r>
    </w:p>
    <w:p w14:paraId="15C7B6AD" w14:textId="6F23EEA8" w:rsidR="00D40151" w:rsidRPr="00873B6C" w:rsidRDefault="00D40151" w:rsidP="00D40151">
      <w:pPr>
        <w:pStyle w:val="NO"/>
      </w:pPr>
      <w:r w:rsidRPr="00873B6C">
        <w:lastRenderedPageBreak/>
        <w:t>NOTE</w:t>
      </w:r>
      <w:r w:rsidR="002D6443" w:rsidRPr="00873B6C">
        <w:t> 1</w:t>
      </w:r>
      <w:r w:rsidRPr="00873B6C">
        <w:t>:</w:t>
      </w:r>
      <w:r w:rsidRPr="00873B6C">
        <w:tab/>
        <w:t>There has to be at least one established PDU session for DS-TT port before the UPF can report PMIC/</w:t>
      </w:r>
      <w:r w:rsidR="007B3699" w:rsidRPr="00873B6C">
        <w:t>U</w:t>
      </w:r>
      <w:r w:rsidRPr="00873B6C">
        <w:t xml:space="preserve">MIC information towards the </w:t>
      </w:r>
      <w:r w:rsidR="00412DC3" w:rsidRPr="00873B6C">
        <w:t xml:space="preserve">TSN </w:t>
      </w:r>
      <w:r w:rsidRPr="00873B6C">
        <w:t>AF</w:t>
      </w:r>
      <w:r w:rsidR="00412DC3" w:rsidRPr="00873B6C">
        <w:t xml:space="preserve"> or TSCTSF</w:t>
      </w:r>
      <w:r w:rsidRPr="00873B6C">
        <w:t>.</w:t>
      </w:r>
    </w:p>
    <w:p w14:paraId="29B7DB2C" w14:textId="610649B7" w:rsidR="00D40151" w:rsidRPr="00873B6C" w:rsidRDefault="00D40151" w:rsidP="00D40151">
      <w:pPr>
        <w:pStyle w:val="B1"/>
      </w:pPr>
      <w:r w:rsidRPr="00873B6C">
        <w:t>-</w:t>
      </w:r>
      <w:r w:rsidRPr="00873B6C">
        <w:tab/>
        <w:t>To convey port management information from TSN AF</w:t>
      </w:r>
      <w:r w:rsidR="002D6443" w:rsidRPr="00873B6C">
        <w:t xml:space="preserve"> or </w:t>
      </w:r>
      <w:r w:rsidR="00055D0B" w:rsidRPr="00873B6C">
        <w:t xml:space="preserve">TSCTSF </w:t>
      </w:r>
      <w:r w:rsidRPr="00873B6C">
        <w:t>to DS-TT:</w:t>
      </w:r>
    </w:p>
    <w:p w14:paraId="0D5FF60A" w14:textId="2913F5D6" w:rsidR="00D40151" w:rsidRPr="00873B6C" w:rsidRDefault="00D40151" w:rsidP="00D40151">
      <w:pPr>
        <w:pStyle w:val="B2"/>
      </w:pPr>
      <w:r w:rsidRPr="00873B6C">
        <w:t>-</w:t>
      </w:r>
      <w:r w:rsidRPr="00873B6C">
        <w:tab/>
        <w:t>TSN AF</w:t>
      </w:r>
      <w:r w:rsidR="002D6443" w:rsidRPr="00873B6C">
        <w:t xml:space="preserve"> or </w:t>
      </w:r>
      <w:r w:rsidR="00055D0B" w:rsidRPr="00873B6C">
        <w:t xml:space="preserve">TSCTSF </w:t>
      </w:r>
      <w:r w:rsidRPr="00873B6C">
        <w:t xml:space="preserve">provides a PMIC, </w:t>
      </w:r>
      <w:r w:rsidR="00426DE4" w:rsidRPr="00873B6C">
        <w:t xml:space="preserve">DS-TT port </w:t>
      </w:r>
      <w:r w:rsidRPr="00873B6C">
        <w:t>MAC address</w:t>
      </w:r>
      <w:r w:rsidR="000E35F2" w:rsidRPr="00873B6C">
        <w:t xml:space="preserve"> or UE IP address</w:t>
      </w:r>
      <w:r w:rsidR="00426DE4" w:rsidRPr="00873B6C">
        <w:t xml:space="preserve"> (applicable for TSCTSF only)</w:t>
      </w:r>
      <w:r w:rsidRPr="00873B6C">
        <w:t xml:space="preserve"> reported for a PDU Session (i.e. MAC address of the DS-TT port</w:t>
      </w:r>
      <w:r w:rsidR="000E35F2" w:rsidRPr="00873B6C">
        <w:t xml:space="preserve"> or IP address</w:t>
      </w:r>
      <w:r w:rsidRPr="00873B6C">
        <w:t xml:space="preserve"> related to the PDU session) and the port number of the </w:t>
      </w:r>
      <w:r w:rsidR="00C4403A" w:rsidRPr="00873B6C">
        <w:t xml:space="preserve">DS-TT </w:t>
      </w:r>
      <w:r w:rsidRPr="00873B6C">
        <w:t>port to manage to the PCF by using the AF Session level Procedure, which forwards the information to SMF based on the MAC</w:t>
      </w:r>
      <w:r w:rsidR="000E35F2" w:rsidRPr="00873B6C">
        <w:t xml:space="preserve"> or IP</w:t>
      </w:r>
      <w:r w:rsidRPr="00873B6C">
        <w:t xml:space="preserve"> address using the PCF initiated SM Policy Association Modification procedure as described in</w:t>
      </w:r>
      <w:r w:rsidR="00131D56" w:rsidRPr="00873B6C">
        <w:t xml:space="preserve"> clause 4.16.5.2</w:t>
      </w:r>
      <w:r w:rsidRPr="00873B6C">
        <w:t xml:space="preserve"> </w:t>
      </w:r>
      <w:r w:rsidR="00131D56" w:rsidRPr="00873B6C">
        <w:t xml:space="preserve">of </w:t>
      </w:r>
      <w:r w:rsidR="00972E70" w:rsidRPr="00873B6C">
        <w:t>TS 23.502 [</w:t>
      </w:r>
      <w:r w:rsidRPr="00873B6C">
        <w:t>3]. SMF determines that the port number relates to a DS-TT port and based on this forwards the PMIC to DS-TT using the network requested PDU Session Modification procedure as described in</w:t>
      </w:r>
      <w:r w:rsidR="00131D56" w:rsidRPr="00873B6C">
        <w:t xml:space="preserve"> clause 4.3.3.2</w:t>
      </w:r>
      <w:r w:rsidRPr="00873B6C">
        <w:t xml:space="preserve"> </w:t>
      </w:r>
      <w:r w:rsidR="00131D56" w:rsidRPr="00873B6C">
        <w:t xml:space="preserve">of </w:t>
      </w:r>
      <w:r w:rsidR="00972E70" w:rsidRPr="00873B6C">
        <w:t>TS 23.502 [</w:t>
      </w:r>
      <w:r w:rsidRPr="00873B6C">
        <w:t>3].</w:t>
      </w:r>
    </w:p>
    <w:p w14:paraId="356E82F3" w14:textId="1EEAC24F" w:rsidR="00D40151" w:rsidRPr="00873B6C" w:rsidRDefault="00D40151" w:rsidP="00D40151">
      <w:bookmarkStart w:id="4073" w:name="_Toc20150076"/>
      <w:bookmarkStart w:id="4074" w:name="_Toc27846875"/>
      <w:bookmarkStart w:id="4075" w:name="_Toc36188006"/>
      <w:r w:rsidRPr="00873B6C">
        <w:t>-</w:t>
      </w:r>
      <w:r w:rsidRPr="00873B6C">
        <w:tab/>
        <w:t xml:space="preserve">To convey port or </w:t>
      </w:r>
      <w:r w:rsidR="00C4403A" w:rsidRPr="00873B6C">
        <w:t xml:space="preserve">user plane node </w:t>
      </w:r>
      <w:r w:rsidRPr="00873B6C">
        <w:t>management information from TSN AF</w:t>
      </w:r>
      <w:r w:rsidR="000E35F2" w:rsidRPr="00873B6C">
        <w:t xml:space="preserve"> or </w:t>
      </w:r>
      <w:r w:rsidR="00055D0B" w:rsidRPr="00873B6C">
        <w:t xml:space="preserve">TSCTSF </w:t>
      </w:r>
      <w:r w:rsidRPr="00873B6C">
        <w:t>to NW-TT:</w:t>
      </w:r>
    </w:p>
    <w:p w14:paraId="6BA26949" w14:textId="201DF480" w:rsidR="00D40151" w:rsidRPr="00873B6C" w:rsidRDefault="00D40151" w:rsidP="00D40151">
      <w:pPr>
        <w:pStyle w:val="B1"/>
      </w:pPr>
      <w:r w:rsidRPr="00873B6C">
        <w:t>-</w:t>
      </w:r>
      <w:r w:rsidRPr="00873B6C">
        <w:tab/>
        <w:t>TSN AF</w:t>
      </w:r>
      <w:r w:rsidR="000E35F2" w:rsidRPr="00873B6C">
        <w:t xml:space="preserve"> or </w:t>
      </w:r>
      <w:r w:rsidR="00055D0B" w:rsidRPr="00873B6C">
        <w:t xml:space="preserve">TSCTSF </w:t>
      </w:r>
      <w:r w:rsidRPr="00873B6C">
        <w:t>selects a PCF-AF session corresponding to any of the DS-TT MAC</w:t>
      </w:r>
      <w:r w:rsidR="000E35F2" w:rsidRPr="00873B6C">
        <w:t xml:space="preserve"> or IP</w:t>
      </w:r>
      <w:r w:rsidRPr="00873B6C">
        <w:t xml:space="preserve"> addresses</w:t>
      </w:r>
      <w:r w:rsidR="00426DE4" w:rsidRPr="00873B6C">
        <w:t xml:space="preserve"> (applicable for TSCTSF only)</w:t>
      </w:r>
      <w:r w:rsidRPr="00873B6C">
        <w:t xml:space="preserve"> for the related PDU sessions of this bridge</w:t>
      </w:r>
      <w:r w:rsidR="00E23065" w:rsidRPr="00873B6C">
        <w:t xml:space="preserve"> or router</w:t>
      </w:r>
      <w:r w:rsidRPr="00873B6C">
        <w:t xml:space="preserve"> and provides a PMIC(s) and the related NW-TT port number(s) and/or </w:t>
      </w:r>
      <w:r w:rsidR="007B3699" w:rsidRPr="00873B6C">
        <w:t>U</w:t>
      </w:r>
      <w:r w:rsidRPr="00873B6C">
        <w:t>MIC to the PCF. The PCF uses the PCF initiated SM Policy Association Modification procedure to forward the information received from TSN AF</w:t>
      </w:r>
      <w:r w:rsidR="000E35F2" w:rsidRPr="00873B6C">
        <w:t xml:space="preserve"> or </w:t>
      </w:r>
      <w:r w:rsidR="00055D0B" w:rsidRPr="00873B6C">
        <w:t xml:space="preserve">TSCTSF </w:t>
      </w:r>
      <w:r w:rsidRPr="00873B6C">
        <w:t xml:space="preserve">to SMF as described in </w:t>
      </w:r>
      <w:r w:rsidR="00131D56" w:rsidRPr="00873B6C">
        <w:t xml:space="preserve">clause 4.16.5.2 of </w:t>
      </w:r>
      <w:r w:rsidR="00972E70" w:rsidRPr="00873B6C">
        <w:t>TS 23.502 [</w:t>
      </w:r>
      <w:r w:rsidRPr="00873B6C">
        <w:t xml:space="preserve">3]. SMF determines that the included information needs to be delivered to the NW-TT either by determining that the port number(s) relate(s) to a NW-TT port(s) or based on the presence of </w:t>
      </w:r>
      <w:r w:rsidR="007B3699" w:rsidRPr="00873B6C">
        <w:t>U</w:t>
      </w:r>
      <w:r w:rsidRPr="00873B6C">
        <w:t>MIC</w:t>
      </w:r>
      <w:r w:rsidR="00472CD7" w:rsidRPr="00873B6C">
        <w:t xml:space="preserve"> and</w:t>
      </w:r>
      <w:r w:rsidRPr="00873B6C">
        <w:t xml:space="preserve"> forwards the container(s) and/or related port number(s) to NW-TT using the N4 Session Modification procedure described in </w:t>
      </w:r>
      <w:r w:rsidR="00131D56" w:rsidRPr="00873B6C">
        <w:t xml:space="preserve">clause 4.4.1.3 of </w:t>
      </w:r>
      <w:r w:rsidR="00972E70" w:rsidRPr="00873B6C">
        <w:t>TS 23.502 [</w:t>
      </w:r>
      <w:r w:rsidRPr="00873B6C">
        <w:t>3].</w:t>
      </w:r>
    </w:p>
    <w:p w14:paraId="50ADFA86" w14:textId="7BBF81DA" w:rsidR="00D40151" w:rsidRPr="00873B6C" w:rsidRDefault="00D40151" w:rsidP="00D40151">
      <w:pPr>
        <w:pStyle w:val="Heading4"/>
      </w:pPr>
      <w:bookmarkStart w:id="4076" w:name="_CR5_28_3_3"/>
      <w:bookmarkStart w:id="4077" w:name="_Toc45183910"/>
      <w:bookmarkStart w:id="4078" w:name="_Toc47342752"/>
      <w:bookmarkStart w:id="4079" w:name="_Toc51769453"/>
      <w:bookmarkStart w:id="4080" w:name="_Toc201157493"/>
      <w:bookmarkEnd w:id="4076"/>
      <w:r w:rsidRPr="00873B6C">
        <w:t>5.28.3.3</w:t>
      </w:r>
      <w:r w:rsidRPr="00873B6C">
        <w:tab/>
        <w:t>VLAN Configuration Information</w:t>
      </w:r>
      <w:bookmarkEnd w:id="4077"/>
      <w:bookmarkEnd w:id="4078"/>
      <w:bookmarkEnd w:id="4079"/>
      <w:r w:rsidR="00E23065" w:rsidRPr="00873B6C">
        <w:t xml:space="preserve"> for TSN</w:t>
      </w:r>
      <w:bookmarkEnd w:id="4080"/>
    </w:p>
    <w:p w14:paraId="3D70BAD3" w14:textId="2C3E5466" w:rsidR="00D40151" w:rsidRPr="00873B6C" w:rsidRDefault="00D40151" w:rsidP="00D40151">
      <w:pPr>
        <w:rPr>
          <w:lang w:eastAsia="x-none"/>
        </w:rPr>
      </w:pPr>
      <w:r w:rsidRPr="00873B6C">
        <w:rPr>
          <w:lang w:eastAsia="x-none"/>
        </w:rPr>
        <w:t>The CNC obtains the 5GS bridge VLAN configuration from TSN AF according to</w:t>
      </w:r>
      <w:r w:rsidR="00D602DF" w:rsidRPr="00873B6C">
        <w:rPr>
          <w:lang w:eastAsia="x-none"/>
        </w:rPr>
        <w:t xml:space="preserve"> clause 12.10.1.1</w:t>
      </w:r>
      <w:r w:rsidRPr="00873B6C">
        <w:rPr>
          <w:lang w:eastAsia="x-none"/>
        </w:rPr>
        <w:t xml:space="preserve"> </w:t>
      </w:r>
      <w:r w:rsidR="00D602DF" w:rsidRPr="00873B6C">
        <w:rPr>
          <w:lang w:eastAsia="x-none"/>
        </w:rPr>
        <w:t xml:space="preserve">of </w:t>
      </w:r>
      <w:r w:rsidRPr="00873B6C">
        <w:rPr>
          <w:lang w:eastAsia="x-none"/>
        </w:rPr>
        <w:t>IEEE Std 802.1Q [98]. The TSN AF and UPF/NW-TT are pre-configured with same 5GS bridge VLAN configuration.</w:t>
      </w:r>
    </w:p>
    <w:p w14:paraId="28BC09D2" w14:textId="77777777" w:rsidR="00D40151" w:rsidRPr="00873B6C" w:rsidRDefault="00D40151" w:rsidP="00D40151">
      <w:pPr>
        <w:pStyle w:val="NO"/>
      </w:pPr>
      <w:r w:rsidRPr="00873B6C">
        <w:t>NOTE:</w:t>
      </w:r>
      <w:r w:rsidRPr="00873B6C">
        <w:tab/>
        <w:t>In this Release, the VLAN Configuration Information are pre-configured at the TSN AF and the NW-TT and is not exchanged between the TSN AF and the UPF/NW-TT.</w:t>
      </w:r>
    </w:p>
    <w:p w14:paraId="50D1769C" w14:textId="4A8DC365" w:rsidR="00D40151" w:rsidRPr="00873B6C" w:rsidRDefault="00D40151" w:rsidP="00D40151">
      <w:pPr>
        <w:pStyle w:val="Heading3"/>
      </w:pPr>
      <w:bookmarkStart w:id="4081" w:name="_CR5_28_4"/>
      <w:bookmarkStart w:id="4082" w:name="_Toc45183911"/>
      <w:bookmarkStart w:id="4083" w:name="_Toc47342753"/>
      <w:bookmarkStart w:id="4084" w:name="_Toc51769454"/>
      <w:bookmarkStart w:id="4085" w:name="_Toc201157494"/>
      <w:bookmarkEnd w:id="4081"/>
      <w:r w:rsidRPr="00873B6C">
        <w:t>5.28.4</w:t>
      </w:r>
      <w:r w:rsidRPr="00873B6C">
        <w:tab/>
        <w:t>QoS mapping tables</w:t>
      </w:r>
      <w:bookmarkEnd w:id="4073"/>
      <w:bookmarkEnd w:id="4074"/>
      <w:bookmarkEnd w:id="4075"/>
      <w:bookmarkEnd w:id="4082"/>
      <w:bookmarkEnd w:id="4083"/>
      <w:bookmarkEnd w:id="4084"/>
      <w:r w:rsidR="00E23065" w:rsidRPr="00873B6C">
        <w:t xml:space="preserve"> for TSN</w:t>
      </w:r>
      <w:bookmarkEnd w:id="4085"/>
    </w:p>
    <w:p w14:paraId="0EC016CA" w14:textId="49F24C6A" w:rsidR="00D40151" w:rsidRPr="00873B6C" w:rsidRDefault="00D40151" w:rsidP="00D40151">
      <w:r w:rsidRPr="00873B6C">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w:t>
      </w:r>
      <w:r w:rsidR="00472CD7" w:rsidRPr="00873B6C">
        <w:t xml:space="preserve"> and</w:t>
      </w:r>
      <w:r w:rsidRPr="00873B6C">
        <w:t xml:space="preserve"> (2) QoS configuration phase as in clause 5.28.2</w:t>
      </w:r>
    </w:p>
    <w:p w14:paraId="7A370E3C" w14:textId="66EF7833" w:rsidR="00D40151" w:rsidRPr="00873B6C" w:rsidRDefault="00D40151" w:rsidP="00D40151">
      <w:pPr>
        <w:pStyle w:val="B1"/>
      </w:pPr>
      <w:r w:rsidRPr="00873B6C">
        <w:t>(1)</w:t>
      </w:r>
      <w:r w:rsidRPr="00873B6C">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873B6C">
        <w:t xml:space="preserve"> in the 5GS bridge</w:t>
      </w:r>
      <w:r w:rsidRPr="00873B6C">
        <w:t xml:space="preserve"> and determines the bridge delay per port pair per traffic class based on the pre-configured bridge delay and the UE-DS-TT residence time</w:t>
      </w:r>
      <w:r w:rsidR="009D42BF" w:rsidRPr="00873B6C">
        <w:t xml:space="preserve"> as described in clause 5.27.5</w:t>
      </w:r>
      <w:r w:rsidRPr="00873B6C">
        <w:t>. The TSN AF updates bridge delays per port pair and traffic class and reports the bridge delays and other relevant TSN information such as the Traffic Class Table (clause 12.6.3 in IEEE Std 802.1Q [98]) for every port, according to the IEEE Std 802.1Q [98] to the CNC.</w:t>
      </w:r>
    </w:p>
    <w:p w14:paraId="2D29FF3F" w14:textId="77777777" w:rsidR="00D40151" w:rsidRPr="00873B6C" w:rsidRDefault="00D40151" w:rsidP="00D40151">
      <w:pPr>
        <w:pStyle w:val="B1"/>
      </w:pPr>
      <w:r w:rsidRPr="00873B6C">
        <w:t>(2)</w:t>
      </w:r>
      <w:r w:rsidRPr="00873B6C">
        <w:tab/>
        <w:t>CNC may distribute PSFP information and transmission gate scheduling parameters to 5GS Bridge via TSN AF, which can be mapped to TSN QoS requirements by the TSN AF.</w:t>
      </w:r>
    </w:p>
    <w:p w14:paraId="3F31D9A5" w14:textId="3459187D" w:rsidR="00D40151" w:rsidRPr="00873B6C" w:rsidRDefault="00D40151" w:rsidP="00D40151">
      <w:r w:rsidRPr="00873B6C">
        <w:t>The PCF mapping table provides a mapping from TSN QoS information (see</w:t>
      </w:r>
      <w:r w:rsidR="00D602DF" w:rsidRPr="00873B6C">
        <w:t xml:space="preserve"> clauses 6.2.1.2 and 6.1.3.23</w:t>
      </w:r>
      <w:r w:rsidRPr="00873B6C">
        <w:t xml:space="preserve"> </w:t>
      </w:r>
      <w:r w:rsidR="00D602DF" w:rsidRPr="00873B6C">
        <w:t xml:space="preserve">of </w:t>
      </w:r>
      <w:r w:rsidR="00972E70" w:rsidRPr="00873B6C">
        <w:t>TS 23.503 [</w:t>
      </w:r>
      <w:r w:rsidRPr="00873B6C">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873B6C" w:rsidRDefault="00D40151" w:rsidP="00D40151">
      <w:r w:rsidRPr="00873B6C">
        <w:t>Figure 5.28.4-1 illustrates the functional distribution of the mapping tables.</w:t>
      </w:r>
    </w:p>
    <w:bookmarkStart w:id="4086" w:name="_MON_1662652790"/>
    <w:bookmarkEnd w:id="4086"/>
    <w:p w14:paraId="1BDAF3A2" w14:textId="0F0F8B05" w:rsidR="003B51EA" w:rsidRPr="00873B6C" w:rsidRDefault="003B51EA" w:rsidP="00733F50">
      <w:pPr>
        <w:pStyle w:val="TH"/>
      </w:pPr>
      <w:r w:rsidRPr="00873B6C">
        <w:object w:dxaOrig="7867" w:dyaOrig="3380" w14:anchorId="0B3F1B86">
          <v:shape id="_x0000_i1102" type="#_x0000_t75" style="width:393.2pt;height:169.05pt" o:ole="">
            <v:imagedata r:id="rId163" o:title=""/>
          </v:shape>
          <o:OLEObject Type="Embed" ProgID="Word.Picture.8" ShapeID="_x0000_i1102" DrawAspect="Content" ObjectID="_1811772436" r:id="rId164"/>
        </w:object>
      </w:r>
    </w:p>
    <w:p w14:paraId="484A39F7" w14:textId="03FCFF4E" w:rsidR="00D40151" w:rsidRPr="00873B6C" w:rsidRDefault="00D40151" w:rsidP="00D40151">
      <w:pPr>
        <w:pStyle w:val="TF"/>
      </w:pPr>
      <w:bookmarkStart w:id="4087" w:name="_CRFigure5_28_41"/>
      <w:r w:rsidRPr="00873B6C">
        <w:t xml:space="preserve">Figure </w:t>
      </w:r>
      <w:bookmarkEnd w:id="4087"/>
      <w:r w:rsidRPr="00873B6C">
        <w:t>5.28.4-1: QoS Mapping Function distribution between PCF and TSN AF</w:t>
      </w:r>
    </w:p>
    <w:p w14:paraId="629EA287" w14:textId="77777777" w:rsidR="00D40151" w:rsidRPr="00873B6C" w:rsidRDefault="00D40151" w:rsidP="00D40151">
      <w:r w:rsidRPr="00873B6C">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475AFDA" w:rsidR="00D40151" w:rsidRPr="00873B6C" w:rsidRDefault="00D40151" w:rsidP="00D40151">
      <w:r w:rsidRPr="00873B6C">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873B6C">
        <w:t xml:space="preserve"> (excluding the UE-DS-TT residence time)</w:t>
      </w:r>
      <w:r w:rsidRPr="00873B6C">
        <w:t xml:space="preserve"> mapping can be performed using the QoS mapping table in the TSN AF as specified in </w:t>
      </w:r>
      <w:r w:rsidR="00972E70" w:rsidRPr="00873B6C">
        <w:t>TS 23.503 [</w:t>
      </w:r>
      <w:r w:rsidRPr="00873B6C">
        <w:t xml:space="preserve">45]. Subsequently in the PCF, the 5G QoS Flow can be configured by selecting a 5QI as specified in </w:t>
      </w:r>
      <w:r w:rsidR="00972E70" w:rsidRPr="00873B6C">
        <w:t>TS 23.503 [</w:t>
      </w:r>
      <w:r w:rsidRPr="00873B6C">
        <w:t>45]. This feedback approach uses the reported information to the CNC and the feedback of the configuration information coming from the CNC to perform the mapping and configuration in the 5GS.</w:t>
      </w:r>
    </w:p>
    <w:p w14:paraId="4C0F8638" w14:textId="491B09E4" w:rsidR="00D40151" w:rsidRPr="00873B6C" w:rsidRDefault="00D40151" w:rsidP="00D40151">
      <w:bookmarkStart w:id="4088" w:name="_Toc20150077"/>
      <w:r w:rsidRPr="00873B6C">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972E70" w:rsidRPr="00873B6C">
        <w:t>TS 23.503 [</w:t>
      </w:r>
      <w:r w:rsidRPr="00873B6C">
        <w:t>45].</w:t>
      </w:r>
    </w:p>
    <w:p w14:paraId="0A9CE3CB" w14:textId="0BE32548" w:rsidR="00D40151" w:rsidRPr="00873B6C" w:rsidRDefault="00D40151" w:rsidP="00D40151">
      <w:r w:rsidRPr="00873B6C">
        <w:t>Maximum Flow Bit Rate is calculated over</w:t>
      </w:r>
      <w:r w:rsidR="007C1B83" w:rsidRPr="00873B6C">
        <w:t xml:space="preserve"> StreamGateAdminCycleTime</w:t>
      </w:r>
      <w:r w:rsidRPr="00873B6C">
        <w:t xml:space="preserve"> as described in Annex I and provided by the TSN AF to the PCF. The PCF sets the GBR and MBR values to the Maximum Flow Bitrate value.</w:t>
      </w:r>
    </w:p>
    <w:p w14:paraId="3FDBA73B" w14:textId="2D864D2A" w:rsidR="00D40151" w:rsidRPr="00873B6C" w:rsidRDefault="00D40151" w:rsidP="00D40151">
      <w:r w:rsidRPr="00873B6C">
        <w:t xml:space="preserve">The Maximum Flow Bit Rate is adjusted according to Averaging Window associated with a pre-configured 5QI in the QoS mapping table or another selected 5QI (as specified in </w:t>
      </w:r>
      <w:r w:rsidR="00972E70" w:rsidRPr="00873B6C">
        <w:t>TS 23.503 [</w:t>
      </w:r>
      <w:r w:rsidRPr="00873B6C">
        <w:t xml:space="preserve">45]) to obtain GBR of the 5GS QoS profile. GBR is then used by SMF to calculate the GFBR per </w:t>
      </w:r>
      <w:r w:rsidR="00426DE4" w:rsidRPr="00873B6C">
        <w:t>QoS Flow</w:t>
      </w:r>
      <w:r w:rsidRPr="00873B6C">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CEFCA70" w:rsidR="00D40151" w:rsidRPr="00873B6C" w:rsidRDefault="00D40151" w:rsidP="00D40151">
      <w:r w:rsidRPr="00873B6C">
        <w:t xml:space="preserve">Once the 5QIs to be used for TSN streams are identified by the PCF as specified in </w:t>
      </w:r>
      <w:r w:rsidR="00972E70" w:rsidRPr="00873B6C">
        <w:t>TS 23.503 [</w:t>
      </w:r>
      <w:r w:rsidRPr="00873B6C">
        <w:t>45], then it is possible to enumerate as many bridge port traffic classes as the number of selected 5QIs.</w:t>
      </w:r>
    </w:p>
    <w:p w14:paraId="111C79D0" w14:textId="4353B822" w:rsidR="00D40151" w:rsidRPr="00873B6C" w:rsidRDefault="00D40151" w:rsidP="00D40151">
      <w:bookmarkStart w:id="4089" w:name="_Toc27846876"/>
      <w:bookmarkStart w:id="4090" w:name="_Toc36188007"/>
      <w:bookmarkStart w:id="4091" w:name="_Toc45183912"/>
      <w:bookmarkStart w:id="4092" w:name="_Toc47342754"/>
      <w:r w:rsidRPr="00873B6C">
        <w:t>When PSFP information is not available to the TSN AF for a given TSN stream (e.</w:t>
      </w:r>
      <w:r w:rsidR="000E35F2" w:rsidRPr="00873B6C">
        <w:t>g.</w:t>
      </w:r>
      <w:r w:rsidRPr="00873B6C">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873B6C">
        <w:t>QoS Flow</w:t>
      </w:r>
      <w:r w:rsidRPr="00873B6C">
        <w:t>s.</w:t>
      </w:r>
    </w:p>
    <w:p w14:paraId="33FDFFC9" w14:textId="08CEA221" w:rsidR="00E23065" w:rsidRPr="00873B6C" w:rsidRDefault="00E23065" w:rsidP="00E23065">
      <w:pPr>
        <w:pStyle w:val="Heading3"/>
      </w:pPr>
      <w:bookmarkStart w:id="4093" w:name="_CR5_28_5"/>
      <w:bookmarkStart w:id="4094" w:name="_Toc51769455"/>
      <w:bookmarkStart w:id="4095" w:name="_Toc201157495"/>
      <w:bookmarkEnd w:id="4093"/>
      <w:r w:rsidRPr="00873B6C">
        <w:lastRenderedPageBreak/>
        <w:t>5.28.5</w:t>
      </w:r>
      <w:r w:rsidRPr="00873B6C">
        <w:tab/>
        <w:t>Support of integration with IETF Deterministic Networking</w:t>
      </w:r>
      <w:bookmarkEnd w:id="4095"/>
    </w:p>
    <w:p w14:paraId="7A2E88E7" w14:textId="01F5390D" w:rsidR="00E23065" w:rsidRPr="00873B6C" w:rsidRDefault="00E23065" w:rsidP="00E23065">
      <w:pPr>
        <w:pStyle w:val="Heading4"/>
      </w:pPr>
      <w:bookmarkStart w:id="4096" w:name="_CR5_28_5_1"/>
      <w:bookmarkStart w:id="4097" w:name="_Toc201157496"/>
      <w:bookmarkEnd w:id="4096"/>
      <w:r w:rsidRPr="00873B6C">
        <w:t>5.28.5.1</w:t>
      </w:r>
      <w:r w:rsidRPr="00873B6C">
        <w:tab/>
        <w:t>General</w:t>
      </w:r>
      <w:bookmarkEnd w:id="4097"/>
    </w:p>
    <w:p w14:paraId="40EE229C" w14:textId="5E505A0E" w:rsidR="00E23065" w:rsidRPr="00873B6C" w:rsidRDefault="00E23065" w:rsidP="00E23065">
      <w:r w:rsidRPr="00873B6C">
        <w:t>5GS acts as a DetNet Router according to the architecture defined in clause 4.4.8.4. When integrated with an IETF Deterministic Network, 5GS acts as one or more routers. A 5GS router is composed of the ports on a single UPF (i.e. PSA) network side, the user plane tunnel between the UE and UPF</w:t>
      </w:r>
      <w:r w:rsidR="00472CD7" w:rsidRPr="00873B6C">
        <w:t xml:space="preserve"> and</w:t>
      </w:r>
      <w:r w:rsidRPr="00873B6C">
        <w:t xml:space="preserve"> the ports on the device side. For each 5GS router of a deterministic network, the ports on the network side and the ports on device side that are associated to the PDU Sessions support connectivity to the deterministic network.</w:t>
      </w:r>
    </w:p>
    <w:p w14:paraId="1BD8F287" w14:textId="77777777" w:rsidR="00E23065" w:rsidRPr="00873B6C" w:rsidRDefault="00E23065" w:rsidP="00E23065">
      <w:r w:rsidRPr="00873B6C">
        <w:t>The granularity of the 5GS DetNet node is per UPF for each network instance or DNN/S-NSSAI. The TSCTSF stores the binding relationship between a device side port and a PDU Session identified by the UE address. The TSCTSF also stores information about ports on the UPF/NW-TT side.</w:t>
      </w:r>
    </w:p>
    <w:p w14:paraId="7073AC16" w14:textId="77777777" w:rsidR="00E23065" w:rsidRPr="00873B6C" w:rsidRDefault="00E23065" w:rsidP="00E23065">
      <w:r w:rsidRPr="00873B6C">
        <w:t>The integration with IETF Deterministic Networking assumes the following.</w:t>
      </w:r>
    </w:p>
    <w:p w14:paraId="60B6F0AB" w14:textId="77777777" w:rsidR="00E23065" w:rsidRPr="00873B6C" w:rsidRDefault="00E23065" w:rsidP="00972E70">
      <w:pPr>
        <w:pStyle w:val="B1"/>
      </w:pPr>
      <w:r w:rsidRPr="00873B6C">
        <w:t>-</w:t>
      </w:r>
      <w:r w:rsidRPr="00873B6C">
        <w:tab/>
        <w:t>The existing 3GPP routing mechanisms are re-used for DetNet.</w:t>
      </w:r>
    </w:p>
    <w:p w14:paraId="026C4A64" w14:textId="77777777" w:rsidR="00E23065" w:rsidRPr="00873B6C" w:rsidRDefault="00E23065" w:rsidP="00972E70">
      <w:pPr>
        <w:pStyle w:val="B1"/>
      </w:pPr>
      <w:r w:rsidRPr="00873B6C">
        <w:t>-</w:t>
      </w:r>
      <w:r w:rsidRPr="00873B6C">
        <w:tab/>
        <w:t>The existing multicast capabilities can be re-used for DetNet communications.</w:t>
      </w:r>
    </w:p>
    <w:p w14:paraId="1CCE80B0" w14:textId="77777777" w:rsidR="00E23065" w:rsidRPr="00873B6C" w:rsidRDefault="00E23065" w:rsidP="00972E70">
      <w:pPr>
        <w:pStyle w:val="B1"/>
      </w:pPr>
      <w:r w:rsidRPr="00873B6C">
        <w:t>-</w:t>
      </w:r>
      <w:r w:rsidRPr="00873B6C">
        <w:tab/>
        <w:t>The 5GS integration to IETF DetNet is based on DetNet for IP; DetNet for MPLS is not supported.</w:t>
      </w:r>
    </w:p>
    <w:p w14:paraId="5C6645C4" w14:textId="77777777" w:rsidR="00E23065" w:rsidRPr="00873B6C" w:rsidRDefault="00E23065" w:rsidP="00972E70">
      <w:pPr>
        <w:pStyle w:val="B1"/>
      </w:pPr>
      <w:r w:rsidRPr="00873B6C">
        <w:t>-</w:t>
      </w:r>
      <w:r w:rsidRPr="00873B6C">
        <w:tab/>
        <w:t>IPbased DetNet traffic is carried in IPtype PDU Sessions.</w:t>
      </w:r>
    </w:p>
    <w:p w14:paraId="18F2C1A3" w14:textId="52C72B11" w:rsidR="00E23065" w:rsidRPr="00873B6C" w:rsidRDefault="00E23065" w:rsidP="00972E70">
      <w:pPr>
        <w:pStyle w:val="B1"/>
      </w:pPr>
      <w:r w:rsidRPr="00873B6C">
        <w:t>-</w:t>
      </w:r>
      <w:r w:rsidRPr="00873B6C">
        <w:tab/>
        <w:t>5GS functions realize the DetNet forwarding sub-layer. For the IP case, according to clause 1 of IETF RFC 8939 [157], no service sub-layer function needs to be defined. The 5GS DetNet Router acts as a DetNet transit node as defined in IETF RFC 8655 [150].</w:t>
      </w:r>
    </w:p>
    <w:p w14:paraId="444AF458" w14:textId="7A9705B4" w:rsidR="00E23065" w:rsidRPr="00873B6C" w:rsidRDefault="00E23065" w:rsidP="00E23065">
      <w:r w:rsidRPr="00873B6C">
        <w:t>The interface between the TSCTSF and the DetNet controller uses protocols defined in IETF. The DetNet configuration is carried in the YANG model [154] over Netconf [155] or Restconf [156].</w:t>
      </w:r>
    </w:p>
    <w:p w14:paraId="379A471E" w14:textId="45020494" w:rsidR="00E23065" w:rsidRPr="00873B6C" w:rsidRDefault="00E23065" w:rsidP="00E23065">
      <w:pPr>
        <w:pStyle w:val="Heading4"/>
      </w:pPr>
      <w:bookmarkStart w:id="4098" w:name="_CR5_28_5_2"/>
      <w:bookmarkStart w:id="4099" w:name="_Toc201157497"/>
      <w:bookmarkEnd w:id="4098"/>
      <w:r w:rsidRPr="00873B6C">
        <w:t>5.28.5.2</w:t>
      </w:r>
      <w:r w:rsidRPr="00873B6C">
        <w:tab/>
        <w:t>5GS DetNet node reporting</w:t>
      </w:r>
      <w:bookmarkEnd w:id="4099"/>
    </w:p>
    <w:p w14:paraId="729724F3" w14:textId="6771EF2D" w:rsidR="00E23065" w:rsidRPr="00873B6C" w:rsidRDefault="00E23065" w:rsidP="00E23065">
      <w:r w:rsidRPr="00873B6C">
        <w:t>The TSCTSF may provide exposure information to the DetNet controller using information collected from the 5GS entities. The exposure information can be used by the DetNet controller to build up the network topology information. The exposure may be based on IETF RFC 8343 [151] and IETF RFC 8344 [152].</w:t>
      </w:r>
    </w:p>
    <w:p w14:paraId="65A2258C" w14:textId="41DDEDE0" w:rsidR="00E23065" w:rsidRPr="00873B6C" w:rsidRDefault="00E23065" w:rsidP="00E23065">
      <w:r w:rsidRPr="00873B6C">
        <w:t xml:space="preserve">The TSCTSF may collect the information from the UPF/NW-TT via parameters in PMIC as defined in clause 5.28.3.1. For the device side ports, the TSCTSF collects information using parameters provided from SMF to TSCTSF via PCF as described in clause 6.1.3.23b of </w:t>
      </w:r>
      <w:r w:rsidR="00972E70" w:rsidRPr="00873B6C">
        <w:t>TS 23.503 [</w:t>
      </w:r>
      <w:r w:rsidRPr="00873B6C">
        <w:t>45].</w:t>
      </w:r>
    </w:p>
    <w:p w14:paraId="188F7571" w14:textId="77777777" w:rsidR="00E23065" w:rsidRPr="00873B6C" w:rsidRDefault="00E23065" w:rsidP="00E23065">
      <w:r w:rsidRPr="00873B6C">
        <w:t>When the MTU size for IPv4 or IPv6 is not provided to TSCTSF for a port, the TSCTSF may use a pre-configured default value for IPv4 or IPv6.</w:t>
      </w:r>
    </w:p>
    <w:p w14:paraId="49D2C709" w14:textId="3CDBAF23" w:rsidR="00E23065" w:rsidRPr="00873B6C" w:rsidRDefault="00E23065" w:rsidP="00E23065">
      <w:r w:rsidRPr="00873B6C">
        <w:t>In the case of network side ports, the TSCTSF may collect information on the type of the interface (defined in IETF RFC 8343 [151], with values defined in IETF RFC 7224 [153]) associated with the port. In the case of device side ports, which correspond to the PDU Sessions that are reported to the TSCTSF, the default value of "3GPP WWAN" (wwanPP) for the interface type is assumed. The TSCTSF can differentiate network side ports as they are reported from the NW-TT within UMIC/PMIC, while device side ports correspond to the PDU Sessions, reported to the TSCTSF in the associated AF sessions.</w:t>
      </w:r>
    </w:p>
    <w:p w14:paraId="78F67C43" w14:textId="77777777" w:rsidR="00E23065" w:rsidRPr="00873B6C" w:rsidRDefault="00E23065" w:rsidP="00E23065">
      <w:r w:rsidRPr="00873B6C">
        <w:t>For device side ports also information on IP addresses or IP prefixes not directly assigned to the port but reachable via the port may be provided. On the device side ports, these are related to Framed Routes, i.e. a range of IPv4 addresses or IPv6 prefixes reachable over a single PDU Session, as defined in clause 5.6.14, or prefixes delegated by IPv6 prefix delegation as defined in clause 5.8.2.2. This additional information helps both the TSCTSF and the DetNet controller to map flows to the correct UE address as described in clause 5.28.5.3. For the network side ports, the TSCTSF may also collect information on the link layer address and neighbor IP nodes.</w:t>
      </w:r>
    </w:p>
    <w:p w14:paraId="5FA8143E" w14:textId="77777777" w:rsidR="00E23065" w:rsidRPr="00873B6C" w:rsidRDefault="00E23065" w:rsidP="00E23065">
      <w:r w:rsidRPr="00873B6C">
        <w:t>The ports are identified by the port number within the 3GPP system. The port number may also be used to generate interface identifiers towards the DetNet controller that are unique within the 5GS node.</w:t>
      </w:r>
    </w:p>
    <w:p w14:paraId="6E6108F4" w14:textId="604EB154" w:rsidR="00E23065" w:rsidRPr="00873B6C" w:rsidRDefault="00E23065" w:rsidP="00972E70">
      <w:pPr>
        <w:pStyle w:val="NO"/>
      </w:pPr>
      <w:r w:rsidRPr="00873B6C">
        <w:lastRenderedPageBreak/>
        <w:t>NOTE 1:</w:t>
      </w:r>
      <w:r w:rsidRPr="00873B6C">
        <w:tab/>
        <w:t>One possibility to generate unique interface identifiers towards the DetNet controller is to use the port number as the if-Index as defined in IETF RFC 8343 [151]. Based on the if-Index, an interface name is generated, e.g. by using the if-Index as a string, possibly adding a substring prefix or postfix based on configuration. The if-Index and the name of the interface contain essentially the same information, but both can be provided, since the name is used as the key in the YANG model, while if-Index is usually considered as the basis for interface management of IP nodes.</w:t>
      </w:r>
    </w:p>
    <w:p w14:paraId="720925CC" w14:textId="77777777" w:rsidR="00E23065" w:rsidRPr="00873B6C" w:rsidRDefault="00E23065" w:rsidP="00E23065">
      <w:r w:rsidRPr="00873B6C">
        <w:t>The TSCTSF may use the user-plane node ID provided by the UPF to generate an identifier of the 5GS node that is provided to the DetNet controller.</w:t>
      </w:r>
    </w:p>
    <w:p w14:paraId="30F0A6DE" w14:textId="393E4BE1" w:rsidR="00E23065" w:rsidRPr="00873B6C" w:rsidRDefault="00E23065" w:rsidP="00972E70">
      <w:pPr>
        <w:pStyle w:val="NO"/>
      </w:pPr>
      <w:r w:rsidRPr="00873B6C">
        <w:t>NOTE 2:</w:t>
      </w:r>
      <w:r w:rsidRPr="00873B6C">
        <w:tab/>
        <w:t>The 5GS node identification can be realized by providing an identifier of the 5GS node to the DetNet controller, or the TSCTSF can use different termination points (addresses) for the signalling between the DetNet controller and the TSCTSF.</w:t>
      </w:r>
    </w:p>
    <w:p w14:paraId="18BEC08D" w14:textId="77777777" w:rsidR="00E23065" w:rsidRPr="00873B6C" w:rsidRDefault="00E23065" w:rsidP="00E23065">
      <w:r w:rsidRPr="00873B6C">
        <w:t>For network side ports, the information is transferred in PMIC between the NW-TT and the TSCTSF. For device side ports, the information is transferred without relying on PMIC, using parameters from the SMF via the PCF to the TSCTSF.</w:t>
      </w:r>
    </w:p>
    <w:p w14:paraId="79768D96" w14:textId="301EFFCD" w:rsidR="00E23065" w:rsidRPr="00873B6C" w:rsidRDefault="00E23065" w:rsidP="00E23065">
      <w:pPr>
        <w:pStyle w:val="Heading4"/>
      </w:pPr>
      <w:bookmarkStart w:id="4100" w:name="_CR5_28_5_3"/>
      <w:bookmarkStart w:id="4101" w:name="_Toc201157498"/>
      <w:bookmarkEnd w:id="4100"/>
      <w:r w:rsidRPr="00873B6C">
        <w:t>5.28.5.3</w:t>
      </w:r>
      <w:r w:rsidRPr="00873B6C">
        <w:tab/>
        <w:t>DetNet node configuration mapping in 5GS</w:t>
      </w:r>
      <w:bookmarkEnd w:id="4101"/>
    </w:p>
    <w:p w14:paraId="095E9241" w14:textId="2E5331BB" w:rsidR="00E23065" w:rsidRPr="00873B6C" w:rsidRDefault="00E23065" w:rsidP="00E23065">
      <w:r w:rsidRPr="00873B6C">
        <w:t xml:space="preserve">The TSCTSF maps the parameters in the DetNet YANG configuration to 5GS parameters as defined in clause 6.1.3.23b of </w:t>
      </w:r>
      <w:r w:rsidR="00972E70" w:rsidRPr="00873B6C">
        <w:t>TS 23.503 [</w:t>
      </w:r>
      <w:r w:rsidRPr="00873B6C">
        <w:t>45].</w:t>
      </w:r>
    </w:p>
    <w:p w14:paraId="618698D8" w14:textId="77777777" w:rsidR="00E23065" w:rsidRPr="00873B6C" w:rsidRDefault="00E23065" w:rsidP="00E23065">
      <w:r w:rsidRPr="00873B6C">
        <w:t>The TSCTSF determines the UE address to bind the DetNet configuration as follows:</w:t>
      </w:r>
    </w:p>
    <w:p w14:paraId="4D0631DF" w14:textId="77777777" w:rsidR="00E23065" w:rsidRPr="00873B6C" w:rsidRDefault="00E23065" w:rsidP="00972E70">
      <w:pPr>
        <w:pStyle w:val="B1"/>
      </w:pPr>
      <w:r w:rsidRPr="00873B6C">
        <w:t>-</w:t>
      </w:r>
      <w:r w:rsidRPr="00873B6C">
        <w:tab/>
        <w:t>When available, the TSCTSF uses the identity of the incoming and outgoing interface to determine the affected UE address and whether the flow is uplink or downlink or UE-to-UE.</w:t>
      </w:r>
    </w:p>
    <w:p w14:paraId="381B47FE" w14:textId="77777777" w:rsidR="00E23065" w:rsidRPr="00873B6C" w:rsidRDefault="00E23065" w:rsidP="00972E70">
      <w:pPr>
        <w:pStyle w:val="B1"/>
      </w:pPr>
      <w:r w:rsidRPr="00873B6C">
        <w:t>-</w:t>
      </w:r>
      <w:r w:rsidRPr="00873B6C">
        <w:tab/>
        <w:t>If there is no incoming interface for UL traffic, the TSCTSF may determine the UE address based on the source IP address of the UL traffic in the DetNet configuration, or using local configuration to map the DetNet flow information to the UE address. If there is no incoming interface for traffic with an outgoing interface on the device side, the TSCTSF may determine whether the flow is UE-to-UE based on the source IP address of the traffic in the DetNet configuration, or using local configuration.</w:t>
      </w:r>
    </w:p>
    <w:p w14:paraId="20664E50" w14:textId="76D1D985" w:rsidR="00E23065" w:rsidRPr="00873B6C" w:rsidRDefault="00E23065" w:rsidP="00972E70">
      <w:pPr>
        <w:pStyle w:val="NO"/>
      </w:pPr>
      <w:r w:rsidRPr="00873B6C">
        <w:t>NOTE 1:</w:t>
      </w:r>
      <w:r w:rsidRPr="00873B6C">
        <w:tab/>
        <w:t>The incoming interface is optional in the DetNet YANG configuration. It is assumed that any IP prefix on the device side is reachable via, at most, a single device side interface. Thus if the flow source IP address is available and belongs to a prefix associated with a device side interface, that interface can be uniquely determined as the incoming interface for the flow.</w:t>
      </w:r>
    </w:p>
    <w:p w14:paraId="47A6E7DB" w14:textId="0FEE3D57" w:rsidR="00E23065" w:rsidRPr="00873B6C" w:rsidRDefault="00E23065" w:rsidP="00972E70">
      <w:pPr>
        <w:pStyle w:val="NO"/>
      </w:pPr>
      <w:r w:rsidRPr="00873B6C">
        <w:t>NOTE 2:</w:t>
      </w:r>
      <w:r w:rsidRPr="00873B6C">
        <w:tab/>
        <w:t>If there is no incoming interface for the UL traffic or no incoming interface for traffic with outgoing interface on the device side, the details on how the TSCTSF uses local configuration are not specified.</w:t>
      </w:r>
    </w:p>
    <w:p w14:paraId="49A8DE56" w14:textId="5F5B7AC5" w:rsidR="00E23065" w:rsidRPr="00873B6C" w:rsidRDefault="00E23065" w:rsidP="00972E70">
      <w:pPr>
        <w:pStyle w:val="B1"/>
      </w:pPr>
      <w:r w:rsidRPr="00873B6C">
        <w:t>-</w:t>
      </w:r>
      <w:r w:rsidRPr="00873B6C">
        <w:tab/>
        <w:t>When the information on IP addresses or IP prefixes not directly assigned to the port but reachable via the port is available as described in clause 5.28.5.2, the TSCTSF also takes such info into account.</w:t>
      </w:r>
    </w:p>
    <w:p w14:paraId="5D695F43" w14:textId="2D57E6AB" w:rsidR="00E23065" w:rsidRPr="00873B6C" w:rsidRDefault="00E23065" w:rsidP="00972E70">
      <w:pPr>
        <w:pStyle w:val="B1"/>
      </w:pPr>
      <w:r w:rsidRPr="00873B6C">
        <w:t>-</w:t>
      </w:r>
      <w:r w:rsidRPr="00873B6C">
        <w:tab/>
        <w:t>If the flow is UE-to-UE, two PDU Sessions will be affected for the flow</w:t>
      </w:r>
      <w:r w:rsidR="00472CD7" w:rsidRPr="00873B6C">
        <w:t xml:space="preserve"> and</w:t>
      </w:r>
      <w:r w:rsidRPr="00873B6C">
        <w:t xml:space="preserve"> the TSCTSF breaks up the requirements to individual requirements for the PDU Sessions.</w:t>
      </w:r>
    </w:p>
    <w:p w14:paraId="0D8045ED" w14:textId="07328327" w:rsidR="00E23065" w:rsidRPr="00873B6C" w:rsidRDefault="00E23065" w:rsidP="00E23065">
      <w:r w:rsidRPr="00873B6C">
        <w:t>The TSCTSF provides a response to the DetNet controller regarding the success of the configuration setup. When both the TSCTSF and the DetNet controller support 3GPP extensions to the IETF</w:t>
      </w:r>
      <w:r w:rsidR="000F3F9B" w:rsidRPr="00873B6C">
        <w:t> RFC 9633</w:t>
      </w:r>
      <w:r w:rsidRPr="00873B6C">
        <w:t> [154], the TSCTSF may provide 5GS specific status code information on the result of the configuration to the DetNet controller.</w:t>
      </w:r>
    </w:p>
    <w:p w14:paraId="63B721DC" w14:textId="61793360" w:rsidR="00E23065" w:rsidRPr="00873B6C" w:rsidRDefault="00E23065" w:rsidP="00972E70">
      <w:pPr>
        <w:pStyle w:val="NO"/>
      </w:pPr>
      <w:r w:rsidRPr="00873B6C">
        <w:t>NOTE 3:</w:t>
      </w:r>
      <w:r w:rsidRPr="00873B6C">
        <w:tab/>
        <w:t>The 3GPP extension to the IETF</w:t>
      </w:r>
      <w:r w:rsidR="000F3F9B" w:rsidRPr="00873B6C">
        <w:t> RFC 9633</w:t>
      </w:r>
      <w:r w:rsidRPr="00873B6C">
        <w:t xml:space="preserve"> [154] is defined in 3GPP as a YANG model which imports </w:t>
      </w:r>
      <w:r w:rsidR="008056BA" w:rsidRPr="00873B6C">
        <w:t>IETF RFC 9633</w:t>
      </w:r>
      <w:r w:rsidRPr="00873B6C">
        <w:t> [154] and adds the 3GPP specific parameters. The 3GPP defined YANG model uses the 3GPP namespace as defined in IETF RFC 5279 [158].</w:t>
      </w:r>
    </w:p>
    <w:p w14:paraId="49E1BCA6" w14:textId="438F2118" w:rsidR="00E23065" w:rsidRPr="00873B6C" w:rsidRDefault="00E23065" w:rsidP="00E23065">
      <w:r w:rsidRPr="00873B6C">
        <w:t>If the status of the flow changes later on for any reason, the TSCTSF notifies the DetNet controller. Upon release of a PDU Session that is part of the existing DetNet configuration, the PCF notifies the TSCTSF of the PDU Session release</w:t>
      </w:r>
      <w:r w:rsidR="00472CD7" w:rsidRPr="00873B6C">
        <w:t xml:space="preserve"> and</w:t>
      </w:r>
      <w:r w:rsidRPr="00873B6C">
        <w:t xml:space="preserve"> TSCTSF notifies the DetNet controller on the status of the flow.</w:t>
      </w:r>
    </w:p>
    <w:p w14:paraId="0774B406" w14:textId="3A6AA03B" w:rsidR="00E23065" w:rsidRPr="00873B6C" w:rsidRDefault="00E23065" w:rsidP="00E23065">
      <w:r w:rsidRPr="00873B6C">
        <w:t xml:space="preserve">The 5GS routing is not modified by the configuration received from the DetNet controller. Still the TSCTSF may verify whether the explicit routing information provided by the DetNet controller is in line with the 5GS mapping of IP addresses and prefixes to PDU sessions. The verification may be based on whether the source or destination IP address in the DetNet flow on the given port corresponds to the IP address or prefix associated with the given PDU Session. </w:t>
      </w:r>
      <w:r w:rsidRPr="00873B6C">
        <w:lastRenderedPageBreak/>
        <w:t>Based on operator configuration, the TSCTSF may use other criteria (not routing related) to determine whether to accept or reject a given DetNet configuration.</w:t>
      </w:r>
    </w:p>
    <w:p w14:paraId="761C3F37" w14:textId="77777777" w:rsidR="00E23065" w:rsidRPr="00873B6C" w:rsidRDefault="00E23065" w:rsidP="00E23065">
      <w:r w:rsidRPr="00873B6C">
        <w:t>5GS DetNet Node can forward via its device side interface IP packets destined not only to the UE's IP address or prefix but also to a range of IPv4 addresses or IPv6 IP prefixes according to one or more Framed Routes or prefixes delegated to the UE by IPv6 prefix delegation. To facilitate this, the additional IP addresses used for framed routes and IPv6 prefix delegation are exposed by the SMF to the TSCTSF via the PCF and the TSCTSF may expose them to the DetNet controller, as defined in clause 5.28.5.2.</w:t>
      </w:r>
    </w:p>
    <w:p w14:paraId="1124B1E7" w14:textId="14A5F700" w:rsidR="00A92B4B" w:rsidRPr="00873B6C" w:rsidRDefault="00A92B4B" w:rsidP="00D40151">
      <w:pPr>
        <w:pStyle w:val="Heading2"/>
      </w:pPr>
      <w:bookmarkStart w:id="4102" w:name="_CR5_28a"/>
      <w:bookmarkStart w:id="4103" w:name="_Toc201157499"/>
      <w:bookmarkEnd w:id="4102"/>
      <w:r w:rsidRPr="00873B6C">
        <w:t>5.28a</w:t>
      </w:r>
      <w:r w:rsidRPr="00873B6C">
        <w:tab/>
        <w:t>Support</w:t>
      </w:r>
      <w:r w:rsidR="00D409DD" w:rsidRPr="00873B6C">
        <w:t xml:space="preserve"> for</w:t>
      </w:r>
      <w:r w:rsidRPr="00873B6C">
        <w:t xml:space="preserve"> TSN</w:t>
      </w:r>
      <w:r w:rsidR="00D409DD" w:rsidRPr="00873B6C">
        <w:t xml:space="preserve"> enabled</w:t>
      </w:r>
      <w:r w:rsidRPr="00873B6C">
        <w:t xml:space="preserve"> Transport Network</w:t>
      </w:r>
      <w:bookmarkEnd w:id="4103"/>
    </w:p>
    <w:p w14:paraId="1C5DAFAE" w14:textId="09CAF50F" w:rsidR="00A92B4B" w:rsidRPr="00873B6C" w:rsidRDefault="00A92B4B" w:rsidP="00A92B4B">
      <w:pPr>
        <w:pStyle w:val="Heading3"/>
      </w:pPr>
      <w:bookmarkStart w:id="4104" w:name="_CR5_28a_1"/>
      <w:bookmarkStart w:id="4105" w:name="_Toc201157500"/>
      <w:bookmarkEnd w:id="4104"/>
      <w:r w:rsidRPr="00873B6C">
        <w:t>5.28a.1</w:t>
      </w:r>
      <w:r w:rsidRPr="00873B6C">
        <w:tab/>
        <w:t>General</w:t>
      </w:r>
      <w:bookmarkEnd w:id="4105"/>
    </w:p>
    <w:p w14:paraId="7D7555D6" w14:textId="1182D2EC" w:rsidR="00A92B4B" w:rsidRPr="00873B6C" w:rsidRDefault="00A92B4B" w:rsidP="00A92B4B">
      <w:r w:rsidRPr="00873B6C">
        <w:t>When the 5GS supports interworking with IEEE TSN deployed in the transport network, the CUC that is collocated with SMF interworks with the CNC in the transport network (TN CNC) as specified in clause 46.2 of IEEE Std 802.1Q [9</w:t>
      </w:r>
      <w:r w:rsidR="007C1B83" w:rsidRPr="00873B6C">
        <w:t>8</w:t>
      </w:r>
      <w:r w:rsidRPr="00873B6C">
        <w:t>]. The SMF/CUC provides the stream requirements on QoS Flow basis (i.e. translated Talker group and Listener group information) via the User/Network-Interface (UNI) to the TN CNC. The TN CNC uses the stream requirements as input to configure respective path(s) and schedules in TN. Based on the results, the TN CNC provides a Status group that contains the end station communication-configuration back to the SMF/CUC.</w:t>
      </w:r>
    </w:p>
    <w:p w14:paraId="4E2876C8" w14:textId="2EE741EE" w:rsidR="0028472D" w:rsidRPr="00873B6C" w:rsidRDefault="00A92B4B" w:rsidP="00A92B4B">
      <w:r w:rsidRPr="00873B6C">
        <w:t>When interworking with TSN deployed in the transport network is applied, the dynamic value for the CN PDB of a Delay-critical GBR 5QI shall be</w:t>
      </w:r>
      <w:r w:rsidR="0028472D" w:rsidRPr="00873B6C">
        <w:t xml:space="preserve"> considered</w:t>
      </w:r>
      <w:r w:rsidRPr="00873B6C">
        <w:t xml:space="preserve"> as described in clause 5.7.3.4. When the SMF setups a new QoS Flow, the SMF signals TSCAI for the QoS Flow to NG-RAN on QoS Flow basis</w:t>
      </w:r>
      <w:r w:rsidR="0028472D" w:rsidRPr="00873B6C">
        <w:t xml:space="preserve"> as described in clause 5.27.2</w:t>
      </w:r>
      <w:r w:rsidRPr="00873B6C">
        <w:t>.</w:t>
      </w:r>
    </w:p>
    <w:p w14:paraId="093D93FB" w14:textId="011FA2F5" w:rsidR="00A92B4B" w:rsidRPr="00873B6C" w:rsidRDefault="00A92B4B" w:rsidP="00A92B4B">
      <w:r w:rsidRPr="00873B6C">
        <w:t>Upon receiving the TSCAI for a QoS Flow from the SMF, if the TSCAI includes a BAT in UL direction</w:t>
      </w:r>
      <w:r w:rsidR="0028472D" w:rsidRPr="00873B6C">
        <w:t xml:space="preserve"> and the dynamic value for the CN PDB is configured in the NG-RAN (as described in clause 5.7.3.4)</w:t>
      </w:r>
      <w:r w:rsidRPr="00873B6C">
        <w:t>, the NG-RAN</w:t>
      </w:r>
      <w:r w:rsidR="0028472D" w:rsidRPr="00873B6C">
        <w:t xml:space="preserve"> shall</w:t>
      </w:r>
      <w:r w:rsidRPr="00873B6C">
        <w:t xml:space="preserve"> provide the 5G-AN PDB in </w:t>
      </w:r>
      <w:r w:rsidR="0028472D" w:rsidRPr="00873B6C">
        <w:t xml:space="preserve">the </w:t>
      </w:r>
      <w:r w:rsidRPr="00873B6C">
        <w:t>response to the QoS Flow request.</w:t>
      </w:r>
      <w:r w:rsidR="0028472D" w:rsidRPr="00873B6C">
        <w:t xml:space="preserve"> The SMF/CUC uses 5G-AN-PDB to</w:t>
      </w:r>
      <w:r w:rsidRPr="00873B6C">
        <w:t xml:space="preserve"> generate EarliestTransmitOffset as described in Annex M</w:t>
      </w:r>
      <w:r w:rsidR="0028472D" w:rsidRPr="00873B6C">
        <w:t>, clause M.1</w:t>
      </w:r>
      <w:r w:rsidRPr="00873B6C">
        <w:t>.</w:t>
      </w:r>
    </w:p>
    <w:p w14:paraId="5907163D" w14:textId="38C26BFB" w:rsidR="00A92B4B" w:rsidRPr="00873B6C" w:rsidRDefault="00A92B4B" w:rsidP="00A92B4B">
      <w:r w:rsidRPr="00873B6C">
        <w:t>The details of providing End Station related information to generate the stream requirements for the QoS Flow by the SMF/CUC are described in Annex M</w:t>
      </w:r>
      <w:r w:rsidR="0028472D" w:rsidRPr="00873B6C">
        <w:t>, clause M.1</w:t>
      </w:r>
      <w:r w:rsidRPr="00873B6C">
        <w:t>.</w:t>
      </w:r>
    </w:p>
    <w:p w14:paraId="05D9F55B" w14:textId="0F95C158" w:rsidR="00A92B4B" w:rsidRPr="00873B6C" w:rsidRDefault="00A92B4B" w:rsidP="00A92B4B">
      <w:r w:rsidRPr="00873B6C">
        <w:t>If the NG-RAN and UPF support the TSN Talker and Listener functionality (i.e. implement the AN-TL and CN-TL, respectively), the SMF/CUC can communicate with the AN-TL and CN-TL via TL-Container. The TL-Container conveys the data sets defined in IEEE</w:t>
      </w:r>
      <w:r w:rsidR="00640EBF" w:rsidRPr="00873B6C">
        <w:t> Std </w:t>
      </w:r>
      <w:r w:rsidRPr="00873B6C">
        <w:t>802.1Qdj [146] between the SMF/CUC and AN-TL and CN-TL.</w:t>
      </w:r>
    </w:p>
    <w:p w14:paraId="28E37B2B" w14:textId="77777777" w:rsidR="00A92B4B" w:rsidRPr="00873B6C" w:rsidRDefault="00A92B4B" w:rsidP="00A92B4B">
      <w:r w:rsidRPr="00873B6C">
        <w:t>The AN-TL and CN-TL enable the following functions:</w:t>
      </w:r>
    </w:p>
    <w:p w14:paraId="1D3AAEBC" w14:textId="77777777" w:rsidR="00A92B4B" w:rsidRPr="00873B6C" w:rsidRDefault="00A92B4B" w:rsidP="00695DF1">
      <w:pPr>
        <w:pStyle w:val="B1"/>
      </w:pPr>
      <w:r w:rsidRPr="00873B6C">
        <w:t>a)</w:t>
      </w:r>
      <w:r w:rsidRPr="00873B6C">
        <w:tab/>
        <w:t>hold and buffer functionality in a case when the TSCAI contains a BAT in UL and/or DL direction.</w:t>
      </w:r>
    </w:p>
    <w:p w14:paraId="1626DCBF" w14:textId="77777777" w:rsidR="00A92B4B" w:rsidRPr="00873B6C" w:rsidRDefault="00A92B4B" w:rsidP="00695DF1">
      <w:pPr>
        <w:pStyle w:val="B1"/>
      </w:pPr>
      <w:r w:rsidRPr="00873B6C">
        <w:t>b)</w:t>
      </w:r>
      <w:r w:rsidRPr="00873B6C">
        <w:tab/>
        <w:t>support of stream transformation functionality with respective information exchange with SMF/CUC.</w:t>
      </w:r>
    </w:p>
    <w:p w14:paraId="54D28FE1" w14:textId="77777777" w:rsidR="00A92B4B" w:rsidRPr="00873B6C" w:rsidRDefault="00A92B4B" w:rsidP="00695DF1">
      <w:pPr>
        <w:pStyle w:val="B1"/>
      </w:pPr>
      <w:r w:rsidRPr="00873B6C">
        <w:t>c)</w:t>
      </w:r>
      <w:r w:rsidRPr="00873B6C">
        <w:tab/>
        <w:t>for SMF/CUC to retrieve the InterfaceCapabilities and/or EndStationInterfaces from the AN-TL or CN-TL.</w:t>
      </w:r>
    </w:p>
    <w:p w14:paraId="2222B752" w14:textId="77777777" w:rsidR="00A92B4B" w:rsidRPr="00873B6C" w:rsidRDefault="00A92B4B" w:rsidP="00695DF1">
      <w:pPr>
        <w:pStyle w:val="B1"/>
      </w:pPr>
      <w:r w:rsidRPr="00873B6C">
        <w:t>d)</w:t>
      </w:r>
      <w:r w:rsidRPr="00873B6C">
        <w:tab/>
        <w:t>topology information exchange functionality via LLDP in the TN as described in clause 5.28a.3.</w:t>
      </w:r>
    </w:p>
    <w:p w14:paraId="7D84DA74" w14:textId="681A6616" w:rsidR="00A92B4B" w:rsidRPr="00873B6C" w:rsidRDefault="00A92B4B" w:rsidP="00695DF1">
      <w:pPr>
        <w:pStyle w:val="NO"/>
      </w:pPr>
      <w:r w:rsidRPr="00873B6C">
        <w:t>NOTE</w:t>
      </w:r>
      <w:r w:rsidR="007C1B83" w:rsidRPr="00873B6C">
        <w:t> 1</w:t>
      </w:r>
      <w:r w:rsidRPr="00873B6C">
        <w:t>:</w:t>
      </w:r>
      <w:r w:rsidRPr="00873B6C">
        <w:tab/>
        <w:t>How to realize AN-TL in the base station and CN-TL in UPF is up to implementation.</w:t>
      </w:r>
    </w:p>
    <w:p w14:paraId="416FD46D" w14:textId="1E656FCD" w:rsidR="007C1B83" w:rsidRPr="00873B6C" w:rsidRDefault="007C1B83" w:rsidP="007C1B83">
      <w:pPr>
        <w:pStyle w:val="NO"/>
      </w:pPr>
      <w:r w:rsidRPr="00873B6C">
        <w:t>NOTE 2:</w:t>
      </w:r>
      <w:r w:rsidRPr="00873B6C">
        <w:tab/>
        <w:t>In this Release of the specification, it is assumed that connected mode mobility is not used in deployments with a TSN enabled TN.</w:t>
      </w:r>
    </w:p>
    <w:p w14:paraId="4A27ECBB" w14:textId="6E74171D" w:rsidR="00A92B4B" w:rsidRPr="00873B6C" w:rsidRDefault="00A92B4B" w:rsidP="00A92B4B">
      <w:pPr>
        <w:pStyle w:val="Heading3"/>
      </w:pPr>
      <w:bookmarkStart w:id="4106" w:name="_CR5_28a_2"/>
      <w:bookmarkStart w:id="4107" w:name="_Toc201157501"/>
      <w:bookmarkEnd w:id="4106"/>
      <w:r w:rsidRPr="00873B6C">
        <w:t>5.28a.2</w:t>
      </w:r>
      <w:r w:rsidRPr="00873B6C">
        <w:tab/>
        <w:t>Transfer of TL-Container between SMF/CUC and AN-TL and CN-TL</w:t>
      </w:r>
      <w:bookmarkEnd w:id="4107"/>
    </w:p>
    <w:p w14:paraId="22C805E3" w14:textId="3BAAF426" w:rsidR="00A92B4B" w:rsidRPr="00873B6C" w:rsidRDefault="00517FBD" w:rsidP="00A92B4B">
      <w:r w:rsidRPr="00873B6C">
        <w:t xml:space="preserve">If </w:t>
      </w:r>
      <w:r w:rsidR="00A92B4B" w:rsidRPr="00873B6C">
        <w:t>NG-RAN and UPF support AN-TL and CN-TL, the SMF/CUC may use the TL-Container to send a:</w:t>
      </w:r>
    </w:p>
    <w:p w14:paraId="24DE9FE0" w14:textId="77777777" w:rsidR="00A92B4B" w:rsidRPr="00873B6C" w:rsidRDefault="00A92B4B" w:rsidP="00695DF1">
      <w:pPr>
        <w:pStyle w:val="B1"/>
      </w:pPr>
      <w:r w:rsidRPr="00873B6C">
        <w:t>1)</w:t>
      </w:r>
      <w:r w:rsidRPr="00873B6C">
        <w:tab/>
        <w:t>get-request.</w:t>
      </w:r>
    </w:p>
    <w:p w14:paraId="485906D5" w14:textId="286527A1" w:rsidR="00A92B4B" w:rsidRPr="00873B6C" w:rsidRDefault="00A92B4B" w:rsidP="00695DF1">
      <w:pPr>
        <w:pStyle w:val="B1"/>
      </w:pPr>
      <w:r w:rsidRPr="00873B6C">
        <w:t>2)</w:t>
      </w:r>
      <w:r w:rsidRPr="00873B6C">
        <w:tab/>
        <w:t>set-request: submits the following</w:t>
      </w:r>
      <w:r w:rsidR="00517FBD" w:rsidRPr="00873B6C">
        <w:t xml:space="preserve"> information</w:t>
      </w:r>
      <w:r w:rsidRPr="00873B6C">
        <w:t xml:space="preserve"> elements to the AN-TL or CN-TL:</w:t>
      </w:r>
    </w:p>
    <w:p w14:paraId="4CF228A0" w14:textId="6F20841F" w:rsidR="00A92B4B" w:rsidRPr="00873B6C" w:rsidRDefault="00A92B4B" w:rsidP="00695DF1">
      <w:pPr>
        <w:pStyle w:val="B2"/>
      </w:pPr>
      <w:r w:rsidRPr="00873B6C">
        <w:t>-</w:t>
      </w:r>
      <w:r w:rsidRPr="00873B6C">
        <w:tab/>
        <w:t>InterfaceConfiguration</w:t>
      </w:r>
      <w:r w:rsidR="00517FBD" w:rsidRPr="00873B6C">
        <w:t xml:space="preserve"> as described in Annex M, clause M.1</w:t>
      </w:r>
      <w:r w:rsidRPr="00873B6C">
        <w:t xml:space="preserve"> (one InterfaceConfiguration is associated with each QFI in the N3 tunnel)</w:t>
      </w:r>
    </w:p>
    <w:p w14:paraId="71985CB6" w14:textId="77777777" w:rsidR="00517FBD" w:rsidRPr="00873B6C" w:rsidRDefault="00517FBD" w:rsidP="00FA7D5B">
      <w:pPr>
        <w:pStyle w:val="B2"/>
      </w:pPr>
      <w:r w:rsidRPr="00873B6C">
        <w:t>-</w:t>
      </w:r>
      <w:r w:rsidRPr="00873B6C">
        <w:tab/>
        <w:t>Interface ID Group.</w:t>
      </w:r>
    </w:p>
    <w:p w14:paraId="3F6396E2" w14:textId="77777777" w:rsidR="00517FBD" w:rsidRPr="00873B6C" w:rsidRDefault="00517FBD" w:rsidP="00FA7D5B">
      <w:pPr>
        <w:pStyle w:val="B2"/>
      </w:pPr>
      <w:r w:rsidRPr="00873B6C">
        <w:lastRenderedPageBreak/>
        <w:t>-</w:t>
      </w:r>
      <w:r w:rsidRPr="00873B6C">
        <w:tab/>
        <w:t>TN Stream Identification Information for DataFrameSpecification.</w:t>
      </w:r>
    </w:p>
    <w:p w14:paraId="20E01D9A" w14:textId="77777777" w:rsidR="00517FBD" w:rsidRPr="00873B6C" w:rsidRDefault="00517FBD" w:rsidP="00FA7D5B">
      <w:pPr>
        <w:pStyle w:val="B2"/>
      </w:pPr>
      <w:r w:rsidRPr="00873B6C">
        <w:t>-</w:t>
      </w:r>
      <w:r w:rsidRPr="00873B6C">
        <w:tab/>
        <w:t>TN Stream Identification Information for mask-and-match.</w:t>
      </w:r>
    </w:p>
    <w:p w14:paraId="6D08DE72" w14:textId="3DE62AA0" w:rsidR="00A92B4B" w:rsidRPr="00873B6C" w:rsidRDefault="00A92B4B" w:rsidP="00695DF1">
      <w:pPr>
        <w:pStyle w:val="B2"/>
      </w:pPr>
      <w:r w:rsidRPr="00873B6C">
        <w:t>-</w:t>
      </w:r>
      <w:r w:rsidRPr="00873B6C">
        <w:tab/>
        <w:t>Interval</w:t>
      </w:r>
      <w:r w:rsidR="00517FBD" w:rsidRPr="00873B6C">
        <w:t xml:space="preserve"> (only provided together with TimeAwareOffset)</w:t>
      </w:r>
      <w:r w:rsidRPr="00873B6C">
        <w:t>.</w:t>
      </w:r>
    </w:p>
    <w:p w14:paraId="64856FA6" w14:textId="1C85AC1E" w:rsidR="00C86B51" w:rsidRPr="00873B6C" w:rsidRDefault="00C86B51" w:rsidP="00695DF1">
      <w:pPr>
        <w:pStyle w:val="B2"/>
      </w:pPr>
      <w:r w:rsidRPr="00873B6C">
        <w:t>-</w:t>
      </w:r>
      <w:r w:rsidRPr="00873B6C">
        <w:tab/>
        <w:t>MaxFrameSize</w:t>
      </w:r>
      <w:r w:rsidR="00517FBD" w:rsidRPr="00873B6C">
        <w:t xml:space="preserve"> (only provided together with TimeAwareOffset)</w:t>
      </w:r>
      <w:r w:rsidRPr="00873B6C">
        <w:t>.</w:t>
      </w:r>
    </w:p>
    <w:p w14:paraId="20458A32" w14:textId="4D6A3132" w:rsidR="00A92B4B" w:rsidRPr="00873B6C" w:rsidRDefault="00A92B4B" w:rsidP="00A92B4B">
      <w:r w:rsidRPr="00873B6C">
        <w:t>The AN-TL or CN-TL may use the TL-Container to send a:</w:t>
      </w:r>
    </w:p>
    <w:p w14:paraId="15AF5B92" w14:textId="77777777" w:rsidR="00A92B4B" w:rsidRPr="00873B6C" w:rsidRDefault="00A92B4B" w:rsidP="00695DF1">
      <w:pPr>
        <w:pStyle w:val="B1"/>
      </w:pPr>
      <w:r w:rsidRPr="00873B6C">
        <w:t>1)</w:t>
      </w:r>
      <w:r w:rsidRPr="00873B6C">
        <w:tab/>
        <w:t>get-response: indicates the following elements of the Talker or Listener group from the AN-TL or CN-TL:</w:t>
      </w:r>
    </w:p>
    <w:p w14:paraId="7B4667F5" w14:textId="167125A5" w:rsidR="00A92B4B" w:rsidRPr="00873B6C" w:rsidRDefault="00A92B4B" w:rsidP="00695DF1">
      <w:pPr>
        <w:pStyle w:val="B2"/>
      </w:pPr>
      <w:r w:rsidRPr="00873B6C">
        <w:t>-</w:t>
      </w:r>
      <w:r w:rsidRPr="00873B6C">
        <w:tab/>
        <w:t>EndStationInterfaces: list of InterfaceIDs.</w:t>
      </w:r>
    </w:p>
    <w:p w14:paraId="5414472F" w14:textId="59650763" w:rsidR="00A92B4B" w:rsidRPr="00873B6C" w:rsidRDefault="00A92B4B" w:rsidP="00695DF1">
      <w:pPr>
        <w:pStyle w:val="B2"/>
      </w:pPr>
      <w:r w:rsidRPr="00873B6C">
        <w:t>-</w:t>
      </w:r>
      <w:r w:rsidRPr="00873B6C">
        <w:tab/>
        <w:t>InterfaceCapabilities.</w:t>
      </w:r>
    </w:p>
    <w:p w14:paraId="5E5E4A3A" w14:textId="0DBDD8BA" w:rsidR="00A92B4B" w:rsidRPr="00873B6C" w:rsidRDefault="00A92B4B" w:rsidP="00695DF1">
      <w:pPr>
        <w:pStyle w:val="B2"/>
      </w:pPr>
      <w:r w:rsidRPr="00873B6C">
        <w:t>-</w:t>
      </w:r>
      <w:r w:rsidRPr="00873B6C">
        <w:tab/>
        <w:t>Buffer capability: maximum possible buffer duration</w:t>
      </w:r>
      <w:r w:rsidR="00C86B51" w:rsidRPr="00873B6C">
        <w:t xml:space="preserve"> for a packet of a stream with</w:t>
      </w:r>
      <w:r w:rsidR="00517FBD" w:rsidRPr="00873B6C">
        <w:t xml:space="preserve"> the maximum size of an Ethernet packet (1522 Bytes)</w:t>
      </w:r>
      <w:r w:rsidR="00C86B51" w:rsidRPr="00873B6C">
        <w:t xml:space="preserve"> that is supported by the AN-TL / CN-TL when acting as a Talker</w:t>
      </w:r>
      <w:r w:rsidRPr="00873B6C">
        <w:t>.</w:t>
      </w:r>
    </w:p>
    <w:p w14:paraId="0E8DBF4E" w14:textId="47300A5F" w:rsidR="00A92B4B" w:rsidRPr="00873B6C" w:rsidRDefault="00A92B4B" w:rsidP="00695DF1">
      <w:pPr>
        <w:pStyle w:val="B1"/>
      </w:pPr>
      <w:r w:rsidRPr="00873B6C">
        <w:t>2)</w:t>
      </w:r>
      <w:r w:rsidRPr="00873B6C">
        <w:tab/>
        <w:t>set-response:</w:t>
      </w:r>
      <w:r w:rsidR="00517FBD" w:rsidRPr="00873B6C">
        <w:t xml:space="preserve"> reports the processing results for the corresponding set-request</w:t>
      </w:r>
      <w:r w:rsidRPr="00873B6C">
        <w:t xml:space="preserve"> to the SMF/CUC.</w:t>
      </w:r>
    </w:p>
    <w:p w14:paraId="13A20885" w14:textId="190ABE33" w:rsidR="006E26ED" w:rsidRPr="00873B6C" w:rsidRDefault="006E26ED" w:rsidP="00A92B4B">
      <w:r w:rsidRPr="00873B6C">
        <w:t xml:space="preserve">Details on the TL-Container information are provided in </w:t>
      </w:r>
      <w:r w:rsidR="00517FBD" w:rsidRPr="00873B6C">
        <w:t>T</w:t>
      </w:r>
      <w:r w:rsidRPr="00873B6C">
        <w:t>able M.2-1 of clause M.2.</w:t>
      </w:r>
    </w:p>
    <w:p w14:paraId="576F9F0A" w14:textId="4C2F5C48" w:rsidR="00A92B4B" w:rsidRPr="00873B6C" w:rsidRDefault="00A92B4B" w:rsidP="00A92B4B">
      <w:r w:rsidRPr="00873B6C">
        <w:t>The SMF</w:t>
      </w:r>
      <w:r w:rsidR="00517FBD" w:rsidRPr="00873B6C">
        <w:t>/CUC</w:t>
      </w:r>
      <w:r w:rsidRPr="00873B6C">
        <w:t xml:space="preserve"> may request the </w:t>
      </w:r>
      <w:r w:rsidR="007C1B83" w:rsidRPr="00873B6C">
        <w:t>NG-RAN/</w:t>
      </w:r>
      <w:r w:rsidRPr="00873B6C">
        <w:t>UPF to report AN-TL or CN-TL</w:t>
      </w:r>
      <w:r w:rsidR="006E26ED" w:rsidRPr="00873B6C">
        <w:t xml:space="preserve"> information</w:t>
      </w:r>
      <w:r w:rsidRPr="00873B6C">
        <w:t xml:space="preserve"> by including a TL-Container with a get-request to the AN-TL or CN-T</w:t>
      </w:r>
      <w:r w:rsidR="007C1B83" w:rsidRPr="00873B6C">
        <w:t>L</w:t>
      </w:r>
      <w:r w:rsidRPr="00873B6C">
        <w:t xml:space="preserve">, respectively. The get-request is sent to AN-TL in the N2 SM information and to CN-TL in the N4 Session Establishment as described in clause 4.3.2.2 of </w:t>
      </w:r>
      <w:r w:rsidR="00972E70" w:rsidRPr="00873B6C">
        <w:t>TS 23.502 [</w:t>
      </w:r>
      <w:r w:rsidRPr="00873B6C">
        <w:t>3].</w:t>
      </w:r>
    </w:p>
    <w:p w14:paraId="22B8659B" w14:textId="5ED7952C" w:rsidR="00A92B4B" w:rsidRPr="00873B6C" w:rsidRDefault="00A92B4B" w:rsidP="00A92B4B">
      <w:r w:rsidRPr="00873B6C">
        <w:t xml:space="preserve">If the NG-RAN/UPF supports AN-TL/CN-TL, the NG-RAN/AN-TL </w:t>
      </w:r>
      <w:r w:rsidR="00517FBD" w:rsidRPr="00873B6C">
        <w:t xml:space="preserve">and </w:t>
      </w:r>
      <w:r w:rsidRPr="00873B6C">
        <w:t>UPF/CN-TL responds with a TL-Container including the elements defined for the get-response.</w:t>
      </w:r>
    </w:p>
    <w:p w14:paraId="1F97BA5A" w14:textId="52BCB515" w:rsidR="00517FBD" w:rsidRPr="00873B6C" w:rsidRDefault="00A92B4B" w:rsidP="00A92B4B">
      <w:r w:rsidRPr="00873B6C">
        <w:t>The SMF</w:t>
      </w:r>
      <w:r w:rsidR="00517FBD" w:rsidRPr="00873B6C">
        <w:t>/CUC</w:t>
      </w:r>
      <w:r w:rsidRPr="00873B6C">
        <w:t xml:space="preserve"> may submit TL-Container including a set-request the elements defined for the set-request to NG-RAN/AN-TL </w:t>
      </w:r>
      <w:r w:rsidR="00517FBD" w:rsidRPr="00873B6C">
        <w:t xml:space="preserve">and </w:t>
      </w:r>
      <w:r w:rsidRPr="00873B6C">
        <w:t>UPF/CN-TL. The set-request is sent to AN-TL in the N2 SM information and to CN-TL in the N4 Session Modification request as described in clause 4.3.</w:t>
      </w:r>
      <w:r w:rsidR="00517FBD" w:rsidRPr="00873B6C">
        <w:t>3</w:t>
      </w:r>
      <w:r w:rsidRPr="00873B6C">
        <w:t xml:space="preserve">.2 of </w:t>
      </w:r>
      <w:r w:rsidR="00972E70" w:rsidRPr="00873B6C">
        <w:t>TS 23.502 [</w:t>
      </w:r>
      <w:r w:rsidRPr="00873B6C">
        <w:t xml:space="preserve">3]. </w:t>
      </w:r>
      <w:r w:rsidR="00517FBD" w:rsidRPr="00873B6C">
        <w:t>The SMF/CUC shall initiate to the CN-TL/AN-TL the deletion of TN stream configurations as described in 4.3.4.2 of TS 23.502 [3].</w:t>
      </w:r>
    </w:p>
    <w:p w14:paraId="295BE68B" w14:textId="2C7BC2CB" w:rsidR="00A92B4B" w:rsidRPr="00873B6C" w:rsidRDefault="00A92B4B" w:rsidP="00A92B4B">
      <w:r w:rsidRPr="00873B6C">
        <w:t>The InterfaceConfiguration is associated with the corresponding QFI in the N3 tunnel in the NG-RAN or UPF, respectively. The AN-TL</w:t>
      </w:r>
      <w:r w:rsidR="00517FBD" w:rsidRPr="00873B6C">
        <w:t>/</w:t>
      </w:r>
      <w:r w:rsidRPr="00873B6C">
        <w:t>CN-TL uses the provided configuration for the traffic in the QoS Flow of the given QFI as described in Annex M.</w:t>
      </w:r>
    </w:p>
    <w:p w14:paraId="76A7A293" w14:textId="1E549E27" w:rsidR="00A92B4B" w:rsidRPr="00873B6C" w:rsidRDefault="00A92B4B" w:rsidP="00A92B4B">
      <w:pPr>
        <w:pStyle w:val="Heading3"/>
      </w:pPr>
      <w:bookmarkStart w:id="4108" w:name="_CR5_28a_3"/>
      <w:bookmarkStart w:id="4109" w:name="_Toc201157502"/>
      <w:bookmarkEnd w:id="4108"/>
      <w:r w:rsidRPr="00873B6C">
        <w:t>5.28a.3</w:t>
      </w:r>
      <w:r w:rsidRPr="00873B6C">
        <w:tab/>
        <w:t>Topology Information for TSN TN</w:t>
      </w:r>
      <w:bookmarkEnd w:id="4109"/>
    </w:p>
    <w:p w14:paraId="31E1F238" w14:textId="5BAE0354" w:rsidR="00A92B4B" w:rsidRPr="00873B6C" w:rsidRDefault="00A92B4B" w:rsidP="00A92B4B">
      <w:r w:rsidRPr="00873B6C">
        <w:t xml:space="preserve">NG-RAN and UPF may support u-plane LLDP functionality to provide topology information to the TN. When LLDP is supported, AN-TL and CN-TL </w:t>
      </w:r>
      <w:r w:rsidR="007C1B83" w:rsidRPr="00873B6C">
        <w:t xml:space="preserve">shall </w:t>
      </w:r>
      <w:r w:rsidRPr="00873B6C">
        <w:t>perform</w:t>
      </w:r>
      <w:r w:rsidR="007C1B83" w:rsidRPr="00873B6C">
        <w:t xml:space="preserve"> </w:t>
      </w:r>
      <w:r w:rsidRPr="00873B6C">
        <w:t>the LLDP functionality at the u-plane without the need to interact with the c-plane. Further there is no need for 5GS interaction with TN CNC directly. This is achieved with following measures:</w:t>
      </w:r>
    </w:p>
    <w:p w14:paraId="2163C0FF" w14:textId="3D0D15F4" w:rsidR="00A92B4B" w:rsidRPr="00873B6C" w:rsidRDefault="00A92B4B" w:rsidP="00695DF1">
      <w:pPr>
        <w:pStyle w:val="B1"/>
      </w:pPr>
      <w:r w:rsidRPr="00873B6C">
        <w:t>-</w:t>
      </w:r>
      <w:r w:rsidRPr="00873B6C">
        <w:tab/>
        <w:t>AN-TL and CN-TL implement the Transmit Only operation mode as defined in clause 9.1 of IEEE Std 802.1AB [97].</w:t>
      </w:r>
    </w:p>
    <w:p w14:paraId="662E6BC5" w14:textId="623A97BD" w:rsidR="00A92B4B" w:rsidRPr="00873B6C" w:rsidRDefault="00A92B4B" w:rsidP="00695DF1">
      <w:pPr>
        <w:pStyle w:val="B1"/>
      </w:pPr>
      <w:r w:rsidRPr="00873B6C">
        <w:t>-</w:t>
      </w:r>
      <w:r w:rsidRPr="00873B6C">
        <w:tab/>
        <w:t>The TSN End Station is pre-configured with parameter set for Transmit Only operating mode as defined in clause 9.2 of IEEE Std 802.1AB [97].</w:t>
      </w:r>
    </w:p>
    <w:p w14:paraId="1867E951" w14:textId="29696260" w:rsidR="00A92B4B" w:rsidRPr="00873B6C" w:rsidRDefault="00A92B4B" w:rsidP="00695DF1">
      <w:pPr>
        <w:pStyle w:val="B1"/>
      </w:pPr>
      <w:r w:rsidRPr="00873B6C">
        <w:t>-</w:t>
      </w:r>
      <w:r w:rsidRPr="00873B6C">
        <w:tab/>
        <w:t>The System Capabilities TLV may also be set to Station Only as defined in clause 8.5.8 of IEEE Std 802.1AB [97].</w:t>
      </w:r>
    </w:p>
    <w:p w14:paraId="0C79D0BF" w14:textId="2701F51A" w:rsidR="00D40151" w:rsidRPr="00873B6C" w:rsidRDefault="00D40151" w:rsidP="00D40151">
      <w:pPr>
        <w:pStyle w:val="Heading2"/>
      </w:pPr>
      <w:bookmarkStart w:id="4110" w:name="_CR5_29"/>
      <w:bookmarkStart w:id="4111" w:name="_Toc201157503"/>
      <w:bookmarkEnd w:id="4110"/>
      <w:r w:rsidRPr="00873B6C">
        <w:t>5.29</w:t>
      </w:r>
      <w:r w:rsidRPr="00873B6C">
        <w:tab/>
        <w:t>Support for 5G LAN-type service</w:t>
      </w:r>
      <w:bookmarkEnd w:id="4088"/>
      <w:bookmarkEnd w:id="4089"/>
      <w:bookmarkEnd w:id="4090"/>
      <w:bookmarkEnd w:id="4091"/>
      <w:bookmarkEnd w:id="4092"/>
      <w:bookmarkEnd w:id="4094"/>
      <w:bookmarkEnd w:id="4111"/>
    </w:p>
    <w:p w14:paraId="3849DAFF" w14:textId="77777777" w:rsidR="00D40151" w:rsidRPr="00873B6C" w:rsidRDefault="00D40151" w:rsidP="00D40151">
      <w:pPr>
        <w:pStyle w:val="Heading3"/>
      </w:pPr>
      <w:bookmarkStart w:id="4112" w:name="_CR5_29_1"/>
      <w:bookmarkStart w:id="4113" w:name="_Toc20150078"/>
      <w:bookmarkStart w:id="4114" w:name="_Toc27846877"/>
      <w:bookmarkStart w:id="4115" w:name="_Toc36188008"/>
      <w:bookmarkStart w:id="4116" w:name="_Toc45183913"/>
      <w:bookmarkStart w:id="4117" w:name="_Toc47342755"/>
      <w:bookmarkStart w:id="4118" w:name="_Toc51769456"/>
      <w:bookmarkStart w:id="4119" w:name="_Toc201157504"/>
      <w:bookmarkEnd w:id="4112"/>
      <w:r w:rsidRPr="00873B6C">
        <w:t>5.29.1</w:t>
      </w:r>
      <w:r w:rsidRPr="00873B6C">
        <w:tab/>
        <w:t>General</w:t>
      </w:r>
      <w:bookmarkEnd w:id="4113"/>
      <w:bookmarkEnd w:id="4114"/>
      <w:bookmarkEnd w:id="4115"/>
      <w:bookmarkEnd w:id="4116"/>
      <w:bookmarkEnd w:id="4117"/>
      <w:bookmarkEnd w:id="4118"/>
      <w:bookmarkEnd w:id="4119"/>
    </w:p>
    <w:p w14:paraId="0463378A" w14:textId="702A71E8" w:rsidR="00D40151" w:rsidRPr="00873B6C" w:rsidRDefault="00D40151" w:rsidP="00D40151">
      <w:r w:rsidRPr="00873B6C">
        <w:t xml:space="preserve">The service requirements for 5G LAN-type service are specified in </w:t>
      </w:r>
      <w:r w:rsidR="00972E70" w:rsidRPr="00873B6C">
        <w:t>TS 22.261 [</w:t>
      </w:r>
      <w:r w:rsidRPr="00873B6C">
        <w:t>2].</w:t>
      </w:r>
    </w:p>
    <w:p w14:paraId="6D5666DF" w14:textId="77777777" w:rsidR="00D40151" w:rsidRPr="00873B6C" w:rsidRDefault="00D40151" w:rsidP="00D40151">
      <w:r w:rsidRPr="00873B6C">
        <w:t>A 5G Virtual Network (VN) group consists of a set of UEs using private communication for 5G LAN-type services.</w:t>
      </w:r>
    </w:p>
    <w:p w14:paraId="26B56CA1" w14:textId="77777777" w:rsidR="00D40151" w:rsidRPr="00873B6C" w:rsidRDefault="00D40151" w:rsidP="00D40151">
      <w:pPr>
        <w:pStyle w:val="Heading3"/>
      </w:pPr>
      <w:bookmarkStart w:id="4120" w:name="_CR5_29_2"/>
      <w:bookmarkStart w:id="4121" w:name="_Toc20150079"/>
      <w:bookmarkStart w:id="4122" w:name="_Toc27846878"/>
      <w:bookmarkStart w:id="4123" w:name="_Toc36188009"/>
      <w:bookmarkStart w:id="4124" w:name="_Toc45183914"/>
      <w:bookmarkStart w:id="4125" w:name="_Toc47342756"/>
      <w:bookmarkStart w:id="4126" w:name="_Toc51769457"/>
      <w:bookmarkStart w:id="4127" w:name="_Toc201157505"/>
      <w:bookmarkEnd w:id="4120"/>
      <w:r w:rsidRPr="00873B6C">
        <w:lastRenderedPageBreak/>
        <w:t>5.29.2</w:t>
      </w:r>
      <w:r w:rsidRPr="00873B6C">
        <w:tab/>
        <w:t>5G VN group management</w:t>
      </w:r>
      <w:bookmarkEnd w:id="4121"/>
      <w:bookmarkEnd w:id="4122"/>
      <w:bookmarkEnd w:id="4123"/>
      <w:bookmarkEnd w:id="4124"/>
      <w:bookmarkEnd w:id="4125"/>
      <w:bookmarkEnd w:id="4126"/>
      <w:bookmarkEnd w:id="4127"/>
    </w:p>
    <w:p w14:paraId="19151A75" w14:textId="77777777" w:rsidR="00D40151" w:rsidRPr="00873B6C" w:rsidRDefault="00D40151" w:rsidP="00D40151">
      <w:r w:rsidRPr="00873B6C">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873B6C" w:rsidRDefault="00D40151" w:rsidP="00D40151">
      <w:r w:rsidRPr="00873B6C">
        <w:t>A 5G VN group is characterized by the following:</w:t>
      </w:r>
    </w:p>
    <w:p w14:paraId="1EF25981" w14:textId="77777777" w:rsidR="00D40151" w:rsidRPr="00873B6C" w:rsidRDefault="00D40151" w:rsidP="00D40151">
      <w:pPr>
        <w:pStyle w:val="B1"/>
      </w:pPr>
      <w:r w:rsidRPr="00873B6C">
        <w:t>-</w:t>
      </w:r>
      <w:r w:rsidRPr="00873B6C">
        <w:tab/>
        <w:t>5G VN group identities: External Group ID and Internal Group ID are used to identify the 5G VN group.</w:t>
      </w:r>
    </w:p>
    <w:p w14:paraId="52605FD0" w14:textId="259B6BE0" w:rsidR="00D40151" w:rsidRPr="00873B6C" w:rsidRDefault="00D40151" w:rsidP="00D40151">
      <w:pPr>
        <w:pStyle w:val="B1"/>
      </w:pPr>
      <w:r w:rsidRPr="00873B6C">
        <w:t>-</w:t>
      </w:r>
      <w:r w:rsidRPr="00873B6C">
        <w:tab/>
        <w:t xml:space="preserve">5G VN group membership: The 5G VN group members are uniquely identified by GPSI. The group as described in clause 5.2.3.3.1 of </w:t>
      </w:r>
      <w:r w:rsidR="00972E70" w:rsidRPr="00873B6C">
        <w:t>TS 23.502 [</w:t>
      </w:r>
      <w:r w:rsidRPr="00873B6C">
        <w:t>3] is applicable to 5G LAN-type services.</w:t>
      </w:r>
    </w:p>
    <w:p w14:paraId="56488002" w14:textId="451F9B70" w:rsidR="00D40151" w:rsidRPr="00873B6C" w:rsidRDefault="00D40151" w:rsidP="00D40151">
      <w:pPr>
        <w:pStyle w:val="B1"/>
      </w:pPr>
      <w:r w:rsidRPr="00873B6C">
        <w:t>-</w:t>
      </w:r>
      <w:r w:rsidRPr="00873B6C">
        <w:tab/>
        <w:t>5G VN group data. The 5G VN group data may include the following parameters: PDU session type, DNN, S-NSSAI and Application descriptor,</w:t>
      </w:r>
      <w:r w:rsidR="00111015" w:rsidRPr="00873B6C">
        <w:t xml:space="preserve"> the indication that the 5G VN group is associated with 5G VN group communication,</w:t>
      </w:r>
      <w:r w:rsidRPr="00873B6C">
        <w:t xml:space="preserve"> Information related with secondary authentication / authorization (e.g. to enable IP address assignment by the DN-AAA</w:t>
      </w:r>
      <w:r w:rsidR="002506F3" w:rsidRPr="00873B6C">
        <w:t>, Maximum Group Data Rate</w:t>
      </w:r>
      <w:r w:rsidRPr="00873B6C">
        <w:t>).</w:t>
      </w:r>
    </w:p>
    <w:p w14:paraId="3663B793" w14:textId="77777777" w:rsidR="00D40151" w:rsidRPr="00873B6C" w:rsidRDefault="00D40151" w:rsidP="00D40151">
      <w:pPr>
        <w:pStyle w:val="B1"/>
      </w:pPr>
      <w:r w:rsidRPr="00873B6C">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873B6C" w:rsidRDefault="00D40151" w:rsidP="00D40151">
      <w:r w:rsidRPr="00873B6C">
        <w:t>In order to support dynamic management of 5G VN Group identification and membership, the NEF exposes a set of services to manage (e.g. add/delete/modify) 5G VN groups and 5G VN members. The NEF also exposes services to dynamically manage 5G VN group data.</w:t>
      </w:r>
    </w:p>
    <w:p w14:paraId="4942780E" w14:textId="6D7E5A08" w:rsidR="00F05BA4" w:rsidRPr="00873B6C" w:rsidRDefault="00F05BA4" w:rsidP="00D40151">
      <w:r w:rsidRPr="00873B6C">
        <w:t>An AF can request provisioning of traffic characteristics</w:t>
      </w:r>
      <w:r w:rsidR="00354C8E" w:rsidRPr="00873B6C">
        <w:t>, QoS parameters</w:t>
      </w:r>
      <w:r w:rsidRPr="00873B6C">
        <w:t xml:space="preserve"> and monitoring of</w:t>
      </w:r>
      <w:r w:rsidR="00354C8E" w:rsidRPr="00873B6C">
        <w:t xml:space="preserve"> QoS parameters</w:t>
      </w:r>
      <w:r w:rsidRPr="00873B6C">
        <w:t xml:space="preserve"> for a 5G VN group as described in clause </w:t>
      </w:r>
      <w:r w:rsidR="00354C8E" w:rsidRPr="00873B6C">
        <w:t>6.1.3.28 of TS 23.503 [45]</w:t>
      </w:r>
      <w:r w:rsidRPr="00873B6C">
        <w:t>.</w:t>
      </w:r>
    </w:p>
    <w:p w14:paraId="7FAA46E6" w14:textId="2B157C78" w:rsidR="00D40151" w:rsidRPr="00873B6C" w:rsidRDefault="00D40151" w:rsidP="00D40151">
      <w:r w:rsidRPr="00873B6C">
        <w:t xml:space="preserve">A 5G VN group is identified by the AF using External Group ID. The NEF provides the External Group ID to UDM. The UDM maps the External Group ID to Internal Group ID. For a newly created 5G VN Group, an Internal Group ID is </w:t>
      </w:r>
      <w:r w:rsidR="0022127D" w:rsidRPr="00873B6C">
        <w:t xml:space="preserve">determined </w:t>
      </w:r>
      <w:r w:rsidRPr="00873B6C">
        <w:t>by the UDM</w:t>
      </w:r>
      <w:r w:rsidR="0022127D" w:rsidRPr="00873B6C">
        <w:t xml:space="preserve"> based on implementation specific means</w:t>
      </w:r>
      <w:r w:rsidRPr="00873B6C">
        <w:t>.</w:t>
      </w:r>
    </w:p>
    <w:p w14:paraId="5777CDE7" w14:textId="6F6B9264" w:rsidR="0022127D" w:rsidRPr="00873B6C" w:rsidRDefault="0022127D" w:rsidP="00972E70">
      <w:pPr>
        <w:pStyle w:val="NO"/>
      </w:pPr>
      <w:r w:rsidRPr="00873B6C">
        <w:t>NOTE </w:t>
      </w:r>
      <w:r w:rsidR="00354C8E" w:rsidRPr="00873B6C">
        <w:t>1</w:t>
      </w:r>
      <w:r w:rsidRPr="00873B6C">
        <w:t>:</w:t>
      </w:r>
      <w:r w:rsidRPr="00873B6C">
        <w:tab/>
        <w:t>The Internal Group ID determined by UDM has to comply with the format defined in TS 23.003</w:t>
      </w:r>
      <w:r w:rsidR="00972E70" w:rsidRPr="00873B6C">
        <w:t> [19]</w:t>
      </w:r>
      <w:r w:rsidRPr="00873B6C">
        <w:t>.</w:t>
      </w:r>
    </w:p>
    <w:p w14:paraId="426EE276" w14:textId="612805EA" w:rsidR="00D40151" w:rsidRPr="00873B6C" w:rsidRDefault="00D40151" w:rsidP="00D40151">
      <w:r w:rsidRPr="00873B6C">
        <w:t>The NEF can retrieve the Internal Group ID from UDM via Nudm_SDM_Get service operation (External Group ID, Group Identifier translation).</w:t>
      </w:r>
    </w:p>
    <w:p w14:paraId="32F29AEA" w14:textId="77777777" w:rsidR="00D40151" w:rsidRPr="00873B6C" w:rsidRDefault="00D40151" w:rsidP="00D40151">
      <w:r w:rsidRPr="00873B6C">
        <w:t>An External Group ID for a 5G VN group corresponds to a unique set of 5G VN group data parameters.</w:t>
      </w:r>
    </w:p>
    <w:p w14:paraId="202DD8E1" w14:textId="77777777" w:rsidR="00D40151" w:rsidRPr="00873B6C" w:rsidRDefault="00D40151" w:rsidP="00D40151">
      <w:r w:rsidRPr="00873B6C">
        <w:t>The 5G VN group configuration is either provided by OA&amp;M or provided by an AF to the NEF.</w:t>
      </w:r>
    </w:p>
    <w:p w14:paraId="19E5E95C" w14:textId="0C5C2048" w:rsidR="00D40151" w:rsidRPr="00873B6C" w:rsidRDefault="00D40151" w:rsidP="00D40151">
      <w:r w:rsidRPr="00873B6C">
        <w:t>When configuration is provided by an AF, the procedures described in</w:t>
      </w:r>
      <w:r w:rsidR="00131D56" w:rsidRPr="00873B6C">
        <w:t xml:space="preserve"> clause 4.15.6.2</w:t>
      </w:r>
      <w:r w:rsidRPr="00873B6C">
        <w:t xml:space="preserve"> </w:t>
      </w:r>
      <w:r w:rsidR="00131D56" w:rsidRPr="00873B6C">
        <w:t xml:space="preserve">of </w:t>
      </w:r>
      <w:r w:rsidR="00972E70" w:rsidRPr="00873B6C">
        <w:t>TS 23.502 [</w:t>
      </w:r>
      <w:r w:rsidRPr="00873B6C">
        <w:t>3] apply for storing the 5G VN group identifiers, group membership information and group data in the UDR, as follows:</w:t>
      </w:r>
    </w:p>
    <w:p w14:paraId="24363C0D" w14:textId="77777777" w:rsidR="00D40151" w:rsidRPr="00873B6C" w:rsidRDefault="00D40151" w:rsidP="00D40151">
      <w:pPr>
        <w:pStyle w:val="B1"/>
      </w:pPr>
      <w:r w:rsidRPr="00873B6C">
        <w:t>-</w:t>
      </w:r>
      <w:r w:rsidRPr="00873B6C">
        <w:tab/>
        <w:t>The NEF provides the External Group ID, 5G VN group membership information and 5G VN group data to the UDM.</w:t>
      </w:r>
    </w:p>
    <w:p w14:paraId="4FAA7917" w14:textId="77777777" w:rsidR="00D40151" w:rsidRPr="00873B6C" w:rsidRDefault="00D40151" w:rsidP="00D40151">
      <w:pPr>
        <w:pStyle w:val="B1"/>
      </w:pPr>
      <w:r w:rsidRPr="00873B6C">
        <w:t>-</w:t>
      </w:r>
      <w:r w:rsidRPr="00873B6C">
        <w:tab/>
        <w:t>The UDM updates the Internal Group ID-list of the corresponding UE's subscription data in UDR, if needed.</w:t>
      </w:r>
    </w:p>
    <w:p w14:paraId="59F4544D" w14:textId="77777777" w:rsidR="00D40151" w:rsidRPr="00873B6C" w:rsidRDefault="00D40151" w:rsidP="00D40151">
      <w:pPr>
        <w:pStyle w:val="B1"/>
      </w:pPr>
      <w:r w:rsidRPr="00873B6C">
        <w:t>-</w:t>
      </w:r>
      <w:r w:rsidRPr="00873B6C">
        <w:tab/>
        <w:t>The UDM updates the Group Identifier translation in the Group Subscription data with the Internal Group ID, External Group ID and list of group members, if needed.</w:t>
      </w:r>
    </w:p>
    <w:p w14:paraId="0D52EBDC" w14:textId="202F02D6" w:rsidR="00D40151" w:rsidRPr="00873B6C" w:rsidRDefault="00D40151" w:rsidP="00D40151">
      <w:pPr>
        <w:pStyle w:val="B1"/>
      </w:pPr>
      <w:r w:rsidRPr="00873B6C">
        <w:t>-</w:t>
      </w:r>
      <w:r w:rsidRPr="00873B6C">
        <w:tab/>
        <w:t>The UDM stores/updates the 5G VN group data (PDU session type, DNN and S-NSSAI, Application descriptor,</w:t>
      </w:r>
      <w:r w:rsidR="00111015" w:rsidRPr="00873B6C">
        <w:t xml:space="preserve"> the indication that the 5G VN group is associated with 5G VN group communication,</w:t>
      </w:r>
      <w:r w:rsidRPr="00873B6C">
        <w:t xml:space="preserve"> Information related with secondary authentication / authorization</w:t>
      </w:r>
      <w:r w:rsidR="002506F3" w:rsidRPr="00873B6C">
        <w:t>, Maximum Group Data Rate</w:t>
      </w:r>
      <w:r w:rsidRPr="00873B6C">
        <w:t>) in UDR.</w:t>
      </w:r>
    </w:p>
    <w:p w14:paraId="412F2140" w14:textId="0CDBED5C" w:rsidR="00D40151" w:rsidRPr="00873B6C" w:rsidRDefault="00D40151" w:rsidP="00D40151">
      <w:pPr>
        <w:pStyle w:val="NO"/>
      </w:pPr>
      <w:r w:rsidRPr="00873B6C">
        <w:t>NOTE </w:t>
      </w:r>
      <w:r w:rsidR="00354C8E" w:rsidRPr="00873B6C">
        <w:t>2</w:t>
      </w:r>
      <w:r w:rsidRPr="00873B6C">
        <w:t>:</w:t>
      </w:r>
      <w:r w:rsidRPr="00873B6C">
        <w:tab/>
        <w:t>It is assumed that all members of a 5G VN group belong to the same UDM Group ID. The NEF can select a UDM instance supporting the UDM Group ID of any of the member GPSIs of the 5G VN group.</w:t>
      </w:r>
    </w:p>
    <w:p w14:paraId="481B7548" w14:textId="6C2D8C9B" w:rsidR="00D40151" w:rsidRPr="00873B6C" w:rsidRDefault="00D40151" w:rsidP="00D40151">
      <w:pPr>
        <w:pStyle w:val="NO"/>
      </w:pPr>
      <w:r w:rsidRPr="00873B6C">
        <w:t>NOTE </w:t>
      </w:r>
      <w:r w:rsidR="00354C8E" w:rsidRPr="00873B6C">
        <w:t>3</w:t>
      </w:r>
      <w:r w:rsidRPr="00873B6C">
        <w:t>:</w:t>
      </w:r>
      <w:r w:rsidRPr="00873B6C">
        <w:tab/>
        <w:t xml:space="preserve">Shared data mechanisms as defined in </w:t>
      </w:r>
      <w:r w:rsidR="00972E70" w:rsidRPr="00873B6C">
        <w:t>TS 29.503 [</w:t>
      </w:r>
      <w:r w:rsidRPr="00873B6C">
        <w:t>122] can be used to support large 5G VN groups.</w:t>
      </w:r>
    </w:p>
    <w:p w14:paraId="66F0B1BB" w14:textId="57C8C22B" w:rsidR="00111015" w:rsidRPr="00873B6C" w:rsidRDefault="00111015" w:rsidP="00D40151">
      <w:r w:rsidRPr="00873B6C">
        <w:t>An AF may also configure and update the service area, QoS for the 5G VN group as described in clause 5.20</w:t>
      </w:r>
      <w:r w:rsidR="000046DD" w:rsidRPr="00873B6C">
        <w:t>b</w:t>
      </w:r>
      <w:r w:rsidRPr="00873B6C">
        <w:t xml:space="preserve"> as well as other parameters</w:t>
      </w:r>
      <w:r w:rsidR="000046DD" w:rsidRPr="00873B6C">
        <w:t xml:space="preserve"> (e.g. Expected UE Behaviour parameters, Network Configuration parameters, ECS Address Configuration Information, etc.)</w:t>
      </w:r>
      <w:r w:rsidRPr="00873B6C">
        <w:t xml:space="preserve"> for a 5G</w:t>
      </w:r>
      <w:r w:rsidR="000046DD" w:rsidRPr="00873B6C">
        <w:t xml:space="preserve"> </w:t>
      </w:r>
      <w:r w:rsidRPr="00873B6C">
        <w:t xml:space="preserve">VN group as described in clause 4.15.6 of </w:t>
      </w:r>
      <w:r w:rsidR="00972E70" w:rsidRPr="00873B6C">
        <w:t>TS 23.502 [</w:t>
      </w:r>
      <w:r w:rsidRPr="00873B6C">
        <w:t>3].</w:t>
      </w:r>
    </w:p>
    <w:p w14:paraId="606F2D9C" w14:textId="0A920E01" w:rsidR="00D40151" w:rsidRPr="00873B6C" w:rsidRDefault="00D40151" w:rsidP="00D40151">
      <w:r w:rsidRPr="00873B6C">
        <w:lastRenderedPageBreak/>
        <w:t>If a UE is member of a 5G VN Group, UDM retrieves UE subscription data and corresponding 5G VN group data from UDR</w:t>
      </w:r>
      <w:r w:rsidR="00472CD7" w:rsidRPr="00873B6C">
        <w:t xml:space="preserve"> and</w:t>
      </w:r>
      <w:r w:rsidRPr="00873B6C">
        <w:t xml:space="preserve"> provides the AMF and SMF with UE subscription data with 5G VN group data included.</w:t>
      </w:r>
      <w:r w:rsidR="00111015" w:rsidRPr="00873B6C">
        <w:t xml:space="preserve"> If the 5G VN group data contains the indication that the 5G VN group is associated with 5G VN group communication, the SMF may apply the 5G VN group communication as defined in clauses 5.29.3 and 5.29.4 for the PDU Sessions accessing to the 5G VN group.</w:t>
      </w:r>
    </w:p>
    <w:p w14:paraId="2435AD70" w14:textId="5186B436" w:rsidR="00D40151" w:rsidRPr="00873B6C" w:rsidRDefault="00D40151" w:rsidP="00D40151">
      <w:r w:rsidRPr="00873B6C">
        <w:t>The PCF generates URSP rules based on 5G VN group data. The PCF retrieves 5G VN group data from UDR. The PCF(s) that have subscribed to modifications of 5G VN group data receive(s) a Nudr_DM_Notify notification of</w:t>
      </w:r>
      <w:r w:rsidR="006F101E" w:rsidRPr="00873B6C">
        <w:t xml:space="preserve"> 5G VN group</w:t>
      </w:r>
      <w:r w:rsidRPr="00873B6C">
        <w:t xml:space="preserve"> data change from the UDR</w:t>
      </w:r>
      <w:r w:rsidR="006F101E" w:rsidRPr="00873B6C">
        <w:t xml:space="preserve"> as defined in </w:t>
      </w:r>
      <w:r w:rsidR="00972E70" w:rsidRPr="00873B6C">
        <w:t>TS 29.505 [</w:t>
      </w:r>
      <w:r w:rsidR="006F101E" w:rsidRPr="00873B6C">
        <w:t>145]</w:t>
      </w:r>
      <w:r w:rsidRPr="00873B6C">
        <w:t>. The PCF receives</w:t>
      </w:r>
      <w:r w:rsidR="006F101E" w:rsidRPr="00873B6C">
        <w:t xml:space="preserve"> from the AMF</w:t>
      </w:r>
      <w:r w:rsidRPr="00873B6C">
        <w:t xml:space="preserve"> at the UE Policy association establishment the Internal Group ID</w:t>
      </w:r>
      <w:r w:rsidR="006F101E" w:rsidRPr="00873B6C">
        <w:t>(s) corresponding to a UE</w:t>
      </w:r>
      <w:r w:rsidRPr="00873B6C">
        <w:t>, so that PCF identifies the 5G VN group data that needs to be used to generate URSP rules to the UE.</w:t>
      </w:r>
      <w:r w:rsidR="006F101E" w:rsidRPr="00873B6C">
        <w:t xml:space="preserve"> If the PCF is made aware of a change of UE Internal Group Identifier(s) as defined in </w:t>
      </w:r>
      <w:r w:rsidR="00972E70" w:rsidRPr="00873B6C">
        <w:t>TS 29.525 [</w:t>
      </w:r>
      <w:r w:rsidR="006F101E" w:rsidRPr="00873B6C">
        <w:t xml:space="preserve">144] or change of 5G VN group membership as defined in </w:t>
      </w:r>
      <w:r w:rsidR="00972E70" w:rsidRPr="00873B6C">
        <w:t>TS 29.505 [</w:t>
      </w:r>
      <w:r w:rsidR="006F101E" w:rsidRPr="00873B6C">
        <w:t>145], or both, the PCF then may update the URSP rules for the impacted 5G VN group members.</w:t>
      </w:r>
    </w:p>
    <w:p w14:paraId="5853D03B" w14:textId="4924369F" w:rsidR="006F101E" w:rsidRPr="00873B6C" w:rsidRDefault="006F101E" w:rsidP="00433EFC">
      <w:pPr>
        <w:pStyle w:val="NO"/>
      </w:pPr>
      <w:r w:rsidRPr="00873B6C">
        <w:t>NOTE </w:t>
      </w:r>
      <w:r w:rsidR="00354C8E" w:rsidRPr="00873B6C">
        <w:t>4</w:t>
      </w:r>
      <w:r w:rsidRPr="00873B6C">
        <w:t>:</w:t>
      </w:r>
      <w:r w:rsidRPr="00873B6C">
        <w:tab/>
        <w:t xml:space="preserve">The proper way to obtain the 5G VN group membership changes of a specific UE, e.g. if the UE is added to a new 5G VN group, is via the notification of change of UE Internal Group Identifier(s) from the AMF as specified in </w:t>
      </w:r>
      <w:r w:rsidR="00972E70" w:rsidRPr="00873B6C">
        <w:t>TS 29.525 [</w:t>
      </w:r>
      <w:r w:rsidRPr="00873B6C">
        <w:t>144]. The subscription in the UDR is for being notified about changes in the 5G VN group data and in the 5G VN group membership of a specific 5G VN group.</w:t>
      </w:r>
    </w:p>
    <w:p w14:paraId="5BCF9745" w14:textId="3EAE4025" w:rsidR="002506F3" w:rsidRPr="00873B6C" w:rsidRDefault="000C6BFB" w:rsidP="00D40151">
      <w:r w:rsidRPr="00873B6C">
        <w:t xml:space="preserve">If the </w:t>
      </w:r>
      <w:r w:rsidR="002506F3" w:rsidRPr="00873B6C">
        <w:t>PCF</w:t>
      </w:r>
      <w:r w:rsidRPr="00873B6C">
        <w:t xml:space="preserve"> receives</w:t>
      </w:r>
      <w:r w:rsidR="002506F3" w:rsidRPr="00873B6C">
        <w:t xml:space="preserve"> the Maximum Group Data Rate</w:t>
      </w:r>
      <w:r w:rsidRPr="00873B6C">
        <w:t xml:space="preserve"> as part of</w:t>
      </w:r>
      <w:r w:rsidR="002506F3" w:rsidRPr="00873B6C">
        <w:t xml:space="preserve"> the 5G VN group data,</w:t>
      </w:r>
      <w:r w:rsidRPr="00873B6C">
        <w:t xml:space="preserve"> it performs the group related policy control</w:t>
      </w:r>
      <w:r w:rsidR="002506F3" w:rsidRPr="00873B6C">
        <w:t xml:space="preserve"> as described in clauses 6.1.5 and 6.2.1.11 of TS 23.503 [45].</w:t>
      </w:r>
    </w:p>
    <w:p w14:paraId="3A4B6D84" w14:textId="2FDA111F" w:rsidR="00D40151" w:rsidRPr="00873B6C" w:rsidRDefault="00D40151" w:rsidP="00D40151">
      <w:r w:rsidRPr="00873B6C">
        <w:t>An AF may update the UE Identities of the 5G VN group at any time after the initial provisioning.</w:t>
      </w:r>
    </w:p>
    <w:p w14:paraId="224C51AB" w14:textId="688F731B" w:rsidR="003E5241" w:rsidRPr="00873B6C" w:rsidRDefault="003E5241" w:rsidP="00D40151">
      <w:r w:rsidRPr="00873B6C">
        <w:t>An AF may subscribe to notification of the group status changes for the 5G VN group as described in clause 5.20.</w:t>
      </w:r>
    </w:p>
    <w:p w14:paraId="7AB533E5" w14:textId="3DDF9ADE" w:rsidR="00D40151" w:rsidRPr="00873B6C" w:rsidRDefault="00D40151" w:rsidP="00D40151">
      <w:r w:rsidRPr="00873B6C">
        <w:t>The DNN, S-NSSAI provided within 5G VN group data cannot be modified after the initial provisioning.</w:t>
      </w:r>
    </w:p>
    <w:p w14:paraId="1494DB52" w14:textId="77777777" w:rsidR="00D40151" w:rsidRPr="00873B6C" w:rsidRDefault="00D40151" w:rsidP="00D40151">
      <w:r w:rsidRPr="00873B6C">
        <w:t>In this Release of the specification, the home network of the 5G VN group members is same.</w:t>
      </w:r>
    </w:p>
    <w:p w14:paraId="2DAE8779" w14:textId="3C4374DC" w:rsidR="00D40151" w:rsidRPr="00873B6C" w:rsidRDefault="00D40151" w:rsidP="00D40151">
      <w:r w:rsidRPr="00873B6C">
        <w:t xml:space="preserve">In this Release of the specification, only a 1:1 mapping between </w:t>
      </w:r>
      <w:r w:rsidR="003B51EA" w:rsidRPr="00873B6C">
        <w:t>(</w:t>
      </w:r>
      <w:r w:rsidRPr="00873B6C">
        <w:t>DNN</w:t>
      </w:r>
      <w:r w:rsidR="003B51EA" w:rsidRPr="00873B6C">
        <w:t>, S-NSSAI) combination</w:t>
      </w:r>
      <w:r w:rsidRPr="00873B6C">
        <w:t xml:space="preserve"> and 5G VN group is supported.</w:t>
      </w:r>
    </w:p>
    <w:p w14:paraId="1B8FE6A8" w14:textId="2A159FDE" w:rsidR="00D40151" w:rsidRPr="00873B6C" w:rsidRDefault="00D40151" w:rsidP="00D40151">
      <w:r w:rsidRPr="00873B6C">
        <w:t>The PCF delivers 5G VN group configuration information (DNN, S-NSSAI, PDU session type) to the UE for each GPSI that belongs to a</w:t>
      </w:r>
      <w:r w:rsidR="006F101E" w:rsidRPr="00873B6C">
        <w:t xml:space="preserve"> 5G VN group</w:t>
      </w:r>
      <w:r w:rsidRPr="00873B6C">
        <w:t xml:space="preserve">. The 5G VN group configuration information is delivered in the URSP from the PCF to the UE using the UE Configuration Update procedure for transparent UE Policy delivery as described in </w:t>
      </w:r>
      <w:r w:rsidR="00131D56" w:rsidRPr="00873B6C">
        <w:t xml:space="preserve">clause 4.2.4.3 of </w:t>
      </w:r>
      <w:r w:rsidR="00972E70" w:rsidRPr="00873B6C">
        <w:t>TS 23.502 [</w:t>
      </w:r>
      <w:r w:rsidRPr="00873B6C">
        <w:t xml:space="preserve">3] and </w:t>
      </w:r>
      <w:r w:rsidR="00131D56" w:rsidRPr="00873B6C">
        <w:t xml:space="preserve">clause 6.1.2.2 of </w:t>
      </w:r>
      <w:r w:rsidR="00972E70" w:rsidRPr="00873B6C">
        <w:t>TS 23.503 [</w:t>
      </w:r>
      <w:r w:rsidRPr="00873B6C">
        <w:t>45].</w:t>
      </w:r>
    </w:p>
    <w:p w14:paraId="7A906942" w14:textId="77777777" w:rsidR="00D40151" w:rsidRPr="00873B6C" w:rsidRDefault="00D40151" w:rsidP="00D40151">
      <w:pPr>
        <w:pStyle w:val="Heading3"/>
      </w:pPr>
      <w:bookmarkStart w:id="4128" w:name="_CR5_29_3"/>
      <w:bookmarkStart w:id="4129" w:name="_Toc20150080"/>
      <w:bookmarkStart w:id="4130" w:name="_Toc27846879"/>
      <w:bookmarkStart w:id="4131" w:name="_Toc36188010"/>
      <w:bookmarkStart w:id="4132" w:name="_Toc45183915"/>
      <w:bookmarkStart w:id="4133" w:name="_Toc47342757"/>
      <w:bookmarkStart w:id="4134" w:name="_Toc51769458"/>
      <w:bookmarkStart w:id="4135" w:name="_Toc201157506"/>
      <w:bookmarkEnd w:id="4128"/>
      <w:r w:rsidRPr="00873B6C">
        <w:t>5.29.3</w:t>
      </w:r>
      <w:r w:rsidRPr="00873B6C">
        <w:tab/>
        <w:t>PDU Session management</w:t>
      </w:r>
      <w:bookmarkEnd w:id="4129"/>
      <w:bookmarkEnd w:id="4130"/>
      <w:bookmarkEnd w:id="4131"/>
      <w:bookmarkEnd w:id="4132"/>
      <w:bookmarkEnd w:id="4133"/>
      <w:bookmarkEnd w:id="4134"/>
      <w:bookmarkEnd w:id="4135"/>
    </w:p>
    <w:p w14:paraId="11230BF4" w14:textId="155E98F4" w:rsidR="00D40151" w:rsidRPr="00873B6C" w:rsidRDefault="00D40151" w:rsidP="00D40151">
      <w:r w:rsidRPr="00873B6C">
        <w:t xml:space="preserve">Session management as defined for 5GS in clause 5.6 is applicable to </w:t>
      </w:r>
      <w:r w:rsidR="00704A9E" w:rsidRPr="00873B6C">
        <w:t>5G-VN</w:t>
      </w:r>
      <w:r w:rsidRPr="00873B6C">
        <w:t>-type services with the following clarification and enhancement:</w:t>
      </w:r>
    </w:p>
    <w:p w14:paraId="088E569A" w14:textId="77777777" w:rsidR="00D40151" w:rsidRPr="00873B6C" w:rsidRDefault="00D40151" w:rsidP="00D40151">
      <w:pPr>
        <w:pStyle w:val="B1"/>
      </w:pPr>
      <w:r w:rsidRPr="00873B6C">
        <w:t>-</w:t>
      </w:r>
      <w:r w:rsidRPr="00873B6C">
        <w:tab/>
        <w:t>A UE gets access to 5G LAN-type services via a PDU Session of IP PDU Session type or Ethernet PDU Session type.</w:t>
      </w:r>
    </w:p>
    <w:p w14:paraId="579D05F2" w14:textId="7C79752D" w:rsidR="00D40151" w:rsidRPr="00873B6C" w:rsidRDefault="00D40151" w:rsidP="00D40151">
      <w:pPr>
        <w:pStyle w:val="B1"/>
      </w:pPr>
      <w:r w:rsidRPr="00873B6C">
        <w:t>-</w:t>
      </w:r>
      <w:r w:rsidRPr="00873B6C">
        <w:tab/>
        <w:t>A PDU Session provides access to one and only one 5G VN group. The PDU Sessions accessing to a certain 5G VN group should all anchor at the same network, i.</w:t>
      </w:r>
      <w:r w:rsidR="000E35F2" w:rsidRPr="00873B6C">
        <w:t>e.</w:t>
      </w:r>
      <w:r w:rsidRPr="00873B6C">
        <w:t xml:space="preserve"> the common home network of 5G VN group members.</w:t>
      </w:r>
    </w:p>
    <w:p w14:paraId="43CAFF45" w14:textId="383769EE" w:rsidR="00FB1520" w:rsidRPr="00873B6C" w:rsidRDefault="00FB1520" w:rsidP="00D40151">
      <w:pPr>
        <w:pStyle w:val="B1"/>
      </w:pPr>
      <w:r w:rsidRPr="00873B6C">
        <w:t>-</w:t>
      </w:r>
      <w:r w:rsidRPr="00873B6C">
        <w:tab/>
        <w:t>A DNN and S-NSSAI is associated with a 5G VN group.</w:t>
      </w:r>
    </w:p>
    <w:p w14:paraId="5C0798FA" w14:textId="0DAB1C04" w:rsidR="00FB1520" w:rsidRPr="00873B6C" w:rsidRDefault="00FB1520" w:rsidP="00D40151">
      <w:pPr>
        <w:pStyle w:val="B1"/>
      </w:pPr>
      <w:r w:rsidRPr="00873B6C">
        <w:t>-</w:t>
      </w:r>
      <w:r w:rsidRPr="00873B6C">
        <w:tab/>
        <w:t>A dedicated SMF, a dedicated SMF Set or multiple SMF (Sets) can be responsible for all the PDU Sessions for communication of a certain 5G VN group. Multiple SMF (Sets) may apply for a 5G VN group extended over a large area, bigger than the service area of any SMF Set serving the DNN/S-NSSAI of the 5G VN group. SMF selection is described in clause 6.3.2.</w:t>
      </w:r>
    </w:p>
    <w:p w14:paraId="389F6FE8" w14:textId="141684C4" w:rsidR="00D40151" w:rsidRPr="00873B6C" w:rsidRDefault="00D40151" w:rsidP="00D40151">
      <w:pPr>
        <w:pStyle w:val="NO"/>
      </w:pPr>
      <w:r w:rsidRPr="00873B6C">
        <w:t>NOTE 1:</w:t>
      </w:r>
      <w:r w:rsidRPr="00873B6C">
        <w:tab/>
      </w:r>
      <w:r w:rsidR="00FB1520" w:rsidRPr="00873B6C">
        <w:t xml:space="preserve">If a dedicated SMF (Set) is used to serve a 5G VN, the </w:t>
      </w:r>
      <w:r w:rsidRPr="00873B6C">
        <w:t>network is configured so that the same SMF</w:t>
      </w:r>
      <w:r w:rsidR="00FB1520" w:rsidRPr="00873B6C">
        <w:t xml:space="preserve"> (Set)</w:t>
      </w:r>
      <w:r w:rsidRPr="00873B6C">
        <w:t xml:space="preserve"> is always selected for a certain 5G VN group, e.g. only one SMF</w:t>
      </w:r>
      <w:r w:rsidR="00FB1520" w:rsidRPr="00873B6C">
        <w:t>, or SMFs in one SMF Set,</w:t>
      </w:r>
      <w:r w:rsidRPr="00873B6C">
        <w:t xml:space="preserve"> registers on the NRF with the DNN/S-NSSAI used for a given 5G VN group.</w:t>
      </w:r>
    </w:p>
    <w:p w14:paraId="5794E821" w14:textId="51E00613" w:rsidR="00D40151" w:rsidRPr="00873B6C" w:rsidRDefault="00D40151" w:rsidP="00D40151">
      <w:pPr>
        <w:pStyle w:val="NO"/>
      </w:pPr>
      <w:r w:rsidRPr="00873B6C">
        <w:t>NOTE 2:</w:t>
      </w:r>
      <w:r w:rsidRPr="00873B6C">
        <w:tab/>
        <w:t>Having a dedicated SMF serving a 5G VN does not contradict that redundancy solutions can be used to achieve high availability.</w:t>
      </w:r>
      <w:r w:rsidR="00FB1520" w:rsidRPr="00873B6C">
        <w:t xml:space="preserve"> If SMF Set(s) serve the 5G VN group, high availability is achieved by the set functionality.</w:t>
      </w:r>
    </w:p>
    <w:p w14:paraId="474ED2FE" w14:textId="75B09DCB" w:rsidR="00FB1520" w:rsidRPr="00873B6C" w:rsidRDefault="00FB1520" w:rsidP="00D40151">
      <w:pPr>
        <w:pStyle w:val="B1"/>
      </w:pPr>
      <w:r w:rsidRPr="00873B6C">
        <w:lastRenderedPageBreak/>
        <w:t>-</w:t>
      </w:r>
      <w:r w:rsidRPr="00873B6C">
        <w:tab/>
        <w:t>In the case that more than one SMF sets or SMF instances in a SMF Set are responsible for all the PDU Sessions for communication of a certain 5G VN group to enable SMF redundancy for reliability of the 5G VN group communication:</w:t>
      </w:r>
    </w:p>
    <w:p w14:paraId="7156987C" w14:textId="77777777" w:rsidR="00FB1520" w:rsidRPr="00873B6C" w:rsidRDefault="00FB1520" w:rsidP="005A13C0">
      <w:pPr>
        <w:pStyle w:val="B2"/>
      </w:pPr>
      <w:r w:rsidRPr="00873B6C">
        <w:t>-</w:t>
      </w:r>
      <w:r w:rsidRPr="00873B6C">
        <w:tab/>
        <w:t>The associations between one or more SMF Sets and the DNN, S-NSSAI of the associated 5G VN group is registered and discovered in NRF.</w:t>
      </w:r>
    </w:p>
    <w:p w14:paraId="79477D8B" w14:textId="77777777" w:rsidR="00FB1520" w:rsidRPr="00873B6C" w:rsidRDefault="00FB1520" w:rsidP="005A13C0">
      <w:pPr>
        <w:pStyle w:val="B2"/>
      </w:pPr>
      <w:r w:rsidRPr="00873B6C">
        <w:t>-</w:t>
      </w:r>
      <w:r w:rsidRPr="00873B6C">
        <w:tab/>
        <w:t>The SMFs that registered to associate with the DNN, S-NSSAI of the 5G VN group should be available in the LADN service area of the 5G VN group.</w:t>
      </w:r>
    </w:p>
    <w:p w14:paraId="5FE91E55" w14:textId="2224CFE0" w:rsidR="00D40151" w:rsidRPr="00873B6C" w:rsidRDefault="00D40151" w:rsidP="00D40151">
      <w:pPr>
        <w:pStyle w:val="B1"/>
      </w:pPr>
      <w:r w:rsidRPr="00873B6C">
        <w:t>-</w:t>
      </w:r>
      <w:r w:rsidRPr="00873B6C">
        <w:tab/>
        <w:t>The UE provides the DNN and S-NSSAI associated with the 5G VN group to access the 5G LAN-type services for that 5G VN, using the PDU Session Establishment procedure described in</w:t>
      </w:r>
      <w:r w:rsidR="00131D56" w:rsidRPr="00873B6C">
        <w:t xml:space="preserve"> clause 4.3.2</w:t>
      </w:r>
      <w:r w:rsidRPr="00873B6C">
        <w:t xml:space="preserve"> </w:t>
      </w:r>
      <w:r w:rsidR="00131D56" w:rsidRPr="00873B6C">
        <w:t xml:space="preserve">of </w:t>
      </w:r>
      <w:r w:rsidR="00972E70" w:rsidRPr="00873B6C">
        <w:t>TS 23.502 [</w:t>
      </w:r>
      <w:r w:rsidRPr="00873B6C">
        <w:t>3].</w:t>
      </w:r>
    </w:p>
    <w:p w14:paraId="0D3D90E1" w14:textId="60E4272D" w:rsidR="00D40151" w:rsidRPr="00873B6C" w:rsidRDefault="00D40151" w:rsidP="00D40151">
      <w:pPr>
        <w:pStyle w:val="B1"/>
      </w:pPr>
      <w:r w:rsidRPr="00873B6C">
        <w:t>-</w:t>
      </w:r>
      <w:r w:rsidRPr="00873B6C">
        <w:tab/>
        <w:t xml:space="preserve">During establishment of the PDU Session, secondary authentication as described in clause 5.6.6 and in </w:t>
      </w:r>
      <w:r w:rsidR="00131D56" w:rsidRPr="00873B6C">
        <w:t xml:space="preserve">clause 4.3.2.3 of </w:t>
      </w:r>
      <w:r w:rsidR="00972E70" w:rsidRPr="00873B6C">
        <w:t>TS 23.502 [</w:t>
      </w:r>
      <w:r w:rsidRPr="00873B6C">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873B6C" w:rsidRDefault="00D40151" w:rsidP="00D40151">
      <w:pPr>
        <w:pStyle w:val="B1"/>
      </w:pPr>
      <w:r w:rsidRPr="00873B6C">
        <w:t>-</w:t>
      </w:r>
      <w:r w:rsidRPr="00873B6C">
        <w:tab/>
        <w:t>The SM level subscription data for a DNN and S-NSSAI available in UDM, as described in clause 5.6.1, applies to the DNN and S-NSSAI associated to a 5G VN group.</w:t>
      </w:r>
    </w:p>
    <w:p w14:paraId="257495EF" w14:textId="46BA6EC1" w:rsidR="00D40151" w:rsidRPr="00873B6C" w:rsidRDefault="00D40151" w:rsidP="00D40151">
      <w:pPr>
        <w:pStyle w:val="B1"/>
      </w:pPr>
      <w:r w:rsidRPr="00873B6C">
        <w:t>-</w:t>
      </w:r>
      <w:r w:rsidRPr="00873B6C">
        <w:tab/>
      </w:r>
      <w:r w:rsidR="00131D56" w:rsidRPr="00873B6C">
        <w:t xml:space="preserve">Session management related policy control for a DNN and S-NSSAI as described in </w:t>
      </w:r>
      <w:r w:rsidR="00972E70" w:rsidRPr="00873B6C">
        <w:t>TS 23.502 [</w:t>
      </w:r>
      <w:r w:rsidR="00131D56" w:rsidRPr="00873B6C">
        <w:t>3], is applicable to the DNN and S-NSSAI associated to a 5G VN group. This includes also usage of URSP, for the UE to determine how to route outgoing traffic to a PDU Session for the DNN and S-NSSAI associated to a 5G VN group.</w:t>
      </w:r>
    </w:p>
    <w:p w14:paraId="04A8B1BE" w14:textId="6C94BFCE" w:rsidR="00D40151" w:rsidRPr="00873B6C" w:rsidRDefault="00D40151" w:rsidP="00D40151">
      <w:pPr>
        <w:pStyle w:val="B1"/>
      </w:pPr>
      <w:r w:rsidRPr="00873B6C">
        <w:t>-</w:t>
      </w:r>
      <w:r w:rsidRPr="00873B6C">
        <w:tab/>
        <w:t>Session and service continuity SSC mode 1, SSC mode 2</w:t>
      </w:r>
      <w:r w:rsidR="00472CD7" w:rsidRPr="00873B6C">
        <w:t xml:space="preserve"> and</w:t>
      </w:r>
      <w:r w:rsidRPr="00873B6C">
        <w:t xml:space="preserve"> SSC mode 3 as described in clause 5.6.9 are applicable to N6-based traffic forwarding of 5G VN communication within the associated 5G VN group.</w:t>
      </w:r>
    </w:p>
    <w:p w14:paraId="56B7772D" w14:textId="0F78104C" w:rsidR="00D40151" w:rsidRPr="00873B6C" w:rsidRDefault="00D40151" w:rsidP="00D40151">
      <w:pPr>
        <w:pStyle w:val="B1"/>
      </w:pPr>
      <w:r w:rsidRPr="00873B6C">
        <w:t>-</w:t>
      </w:r>
      <w:r w:rsidRPr="00873B6C">
        <w:tab/>
        <w:t>A PDU Session provides unicast, broadcast and multicast communication for the DNN and S-NSSAI associated to a 5G VN group. The PSA UPF determines whether the communication is for unicast, broadcast or multicast based on the destination address of the received data</w:t>
      </w:r>
      <w:r w:rsidR="00472CD7" w:rsidRPr="00873B6C">
        <w:t xml:space="preserve"> and</w:t>
      </w:r>
      <w:r w:rsidRPr="00873B6C">
        <w:t xml:space="preserve"> performs unicast, broadcast or multicast communication handling.</w:t>
      </w:r>
    </w:p>
    <w:p w14:paraId="5763D92E" w14:textId="691E8D46" w:rsidR="00D40151" w:rsidRPr="00873B6C" w:rsidRDefault="00D40151" w:rsidP="00D40151">
      <w:pPr>
        <w:pStyle w:val="B1"/>
      </w:pPr>
      <w:bookmarkStart w:id="4136" w:name="_Toc20150081"/>
      <w:r w:rsidRPr="00873B6C">
        <w:t>-</w:t>
      </w:r>
      <w:r w:rsidRPr="00873B6C">
        <w:tab/>
        <w:t xml:space="preserve">During the PDU Session Establishment procedure, the SMF retrieves SM subscription data related to </w:t>
      </w:r>
      <w:r w:rsidR="00704A9E" w:rsidRPr="00873B6C">
        <w:t>5G-VN</w:t>
      </w:r>
      <w:r w:rsidRPr="00873B6C">
        <w:t xml:space="preserve"> type service from the UDM as part of the UE subscription data for the DNN and S-NSSAI.</w:t>
      </w:r>
    </w:p>
    <w:p w14:paraId="2C8F9FC4" w14:textId="05CEED1F" w:rsidR="00D40151" w:rsidRPr="00873B6C" w:rsidRDefault="00D40151" w:rsidP="00D40151">
      <w:pPr>
        <w:pStyle w:val="B1"/>
      </w:pPr>
      <w:r w:rsidRPr="00873B6C">
        <w:t>-</w:t>
      </w:r>
      <w:r w:rsidRPr="00873B6C">
        <w:tab/>
        <w:t>In order to realize N19 traffic routing</w:t>
      </w:r>
      <w:r w:rsidR="00FB1520" w:rsidRPr="00873B6C">
        <w:t xml:space="preserve"> in the case that a single SMF (or single SMF Set) is serving the 5G VN</w:t>
      </w:r>
      <w:r w:rsidRPr="00873B6C">
        <w:t>, the SMF</w:t>
      </w:r>
      <w:r w:rsidR="00FB1520" w:rsidRPr="00873B6C">
        <w:t xml:space="preserve"> (or SMF Set)</w:t>
      </w:r>
      <w:r w:rsidRPr="00873B6C">
        <w:t xml:space="preserve"> correlates PDU sessions established to the same 5G VN group and uses this to configure the UPF with the group level N4-session including packet detection and forwarding rules for N19 tunnelling forwarding.</w:t>
      </w:r>
    </w:p>
    <w:p w14:paraId="3A7EFE62" w14:textId="7ABC7F34" w:rsidR="00FB1520" w:rsidRPr="00873B6C" w:rsidRDefault="00FB1520" w:rsidP="005A13C0">
      <w:pPr>
        <w:pStyle w:val="NO"/>
      </w:pPr>
      <w:bookmarkStart w:id="4137" w:name="_Toc27846880"/>
      <w:bookmarkStart w:id="4138" w:name="_Toc36188011"/>
      <w:bookmarkStart w:id="4139" w:name="_Toc45183916"/>
      <w:bookmarkStart w:id="4140" w:name="_Toc47342758"/>
      <w:bookmarkStart w:id="4141" w:name="_Toc51769459"/>
      <w:r w:rsidRPr="00873B6C">
        <w:t>NOTE 3:</w:t>
      </w:r>
      <w:r w:rsidRPr="00873B6C">
        <w:tab/>
        <w:t>In the case of a SMF Set serving a 5G VN, implementation dependent mechanism can be used between SMF(s) that are part of a SMF Set to control the N19 configuration.</w:t>
      </w:r>
    </w:p>
    <w:p w14:paraId="34F1CE8B" w14:textId="77777777" w:rsidR="00FB1520" w:rsidRPr="00873B6C" w:rsidRDefault="00FB1520" w:rsidP="00FB1520">
      <w:pPr>
        <w:pStyle w:val="B1"/>
      </w:pPr>
      <w:r w:rsidRPr="00873B6C">
        <w:t>-</w:t>
      </w:r>
      <w:r w:rsidRPr="00873B6C">
        <w:tab/>
        <w:t>In order to realize N6/N19 traffic routing between PSA UPFs in case multiple SMF Sets are serving the 5G VN, traffic forwarding between UPFs belonging to different SMF (Set)s can be realized via User Plane tunnels that are configured using OAM between UPFs served by different SMF (Set)s. How to implement the user plane tunnels and traffic forwarding configured between these UPFs is up to network implementation and deployment and is out of scope of this specification.</w:t>
      </w:r>
    </w:p>
    <w:p w14:paraId="1CF0E4D1" w14:textId="77777777" w:rsidR="00D40151" w:rsidRPr="00873B6C" w:rsidRDefault="00D40151" w:rsidP="00D40151">
      <w:pPr>
        <w:pStyle w:val="Heading3"/>
      </w:pPr>
      <w:bookmarkStart w:id="4142" w:name="_CR5_29_4"/>
      <w:bookmarkStart w:id="4143" w:name="_Toc201157507"/>
      <w:bookmarkEnd w:id="4142"/>
      <w:r w:rsidRPr="00873B6C">
        <w:t>5.29.4</w:t>
      </w:r>
      <w:r w:rsidRPr="00873B6C">
        <w:tab/>
        <w:t>User Plane handling</w:t>
      </w:r>
      <w:bookmarkEnd w:id="4136"/>
      <w:bookmarkEnd w:id="4137"/>
      <w:bookmarkEnd w:id="4138"/>
      <w:bookmarkEnd w:id="4139"/>
      <w:bookmarkEnd w:id="4140"/>
      <w:bookmarkEnd w:id="4141"/>
      <w:bookmarkEnd w:id="4143"/>
    </w:p>
    <w:p w14:paraId="6086EBC2" w14:textId="77777777" w:rsidR="00D40151" w:rsidRPr="00873B6C" w:rsidRDefault="00D40151" w:rsidP="00D40151">
      <w:r w:rsidRPr="00873B6C">
        <w:t>User Plane management as defined for 5GS in clause 5.8 is applicable to 5G LAN-type services with the following clarifications:</w:t>
      </w:r>
    </w:p>
    <w:p w14:paraId="330F5668" w14:textId="77777777" w:rsidR="00D40151" w:rsidRPr="00873B6C" w:rsidRDefault="00D40151" w:rsidP="00D40151">
      <w:pPr>
        <w:pStyle w:val="B1"/>
      </w:pPr>
      <w:r w:rsidRPr="00873B6C">
        <w:t>-</w:t>
      </w:r>
      <w:r w:rsidRPr="00873B6C">
        <w:tab/>
        <w:t>There are three types of traffic forwarding methods allowed for 5G VN communication:</w:t>
      </w:r>
    </w:p>
    <w:p w14:paraId="6E72A0F4" w14:textId="77777777" w:rsidR="00D40151" w:rsidRPr="00873B6C" w:rsidRDefault="00D40151" w:rsidP="00D40151">
      <w:pPr>
        <w:pStyle w:val="B2"/>
      </w:pPr>
      <w:r w:rsidRPr="00873B6C">
        <w:t>-</w:t>
      </w:r>
      <w:r w:rsidRPr="00873B6C">
        <w:tab/>
        <w:t>N6-based, where the UL/DL traffic for the 5G VN communication is forwarded to/from the DN;</w:t>
      </w:r>
    </w:p>
    <w:p w14:paraId="23B42A1B" w14:textId="72FC9C55" w:rsidR="0053150F" w:rsidRPr="00873B6C" w:rsidRDefault="0053150F" w:rsidP="0053150F">
      <w:pPr>
        <w:pStyle w:val="NO"/>
      </w:pPr>
      <w:r w:rsidRPr="00873B6C">
        <w:t>NOTE 1:</w:t>
      </w:r>
      <w:r w:rsidRPr="00873B6C">
        <w:tab/>
        <w:t>Optionally a L2TP tunnel can be established over N6 as described in clause 5.8.2.16.</w:t>
      </w:r>
    </w:p>
    <w:p w14:paraId="3E95B44A" w14:textId="77777777" w:rsidR="00D40151" w:rsidRPr="00873B6C" w:rsidRDefault="00D40151" w:rsidP="00D40151">
      <w:pPr>
        <w:pStyle w:val="B2"/>
      </w:pPr>
      <w:r w:rsidRPr="00873B6C">
        <w:lastRenderedPageBreak/>
        <w:t>-</w:t>
      </w:r>
      <w:r w:rsidRPr="00873B6C">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873B6C" w:rsidRDefault="00D40151" w:rsidP="00D40151">
      <w:pPr>
        <w:pStyle w:val="B2"/>
      </w:pPr>
      <w:r w:rsidRPr="00873B6C">
        <w:t>-</w:t>
      </w:r>
      <w:r w:rsidRPr="00873B6C">
        <w:tab/>
        <w:t>Local switch, where traffic is locally forwarded by a single UPF if this UPF is the common PSA UPF of different PDU Sessions for the same 5G VN group.</w:t>
      </w:r>
    </w:p>
    <w:p w14:paraId="76BDC54E" w14:textId="355EC8FD" w:rsidR="00D40151" w:rsidRPr="00873B6C" w:rsidRDefault="00D40151" w:rsidP="00D40151">
      <w:pPr>
        <w:pStyle w:val="B1"/>
      </w:pPr>
      <w:r w:rsidRPr="00873B6C">
        <w:t>-</w:t>
      </w:r>
      <w:r w:rsidRPr="00873B6C">
        <w:tab/>
      </w:r>
      <w:r w:rsidR="00FB1520" w:rsidRPr="00873B6C">
        <w:t xml:space="preserve">For UPFs served by a single SMF Set, the </w:t>
      </w:r>
      <w:r w:rsidRPr="00873B6C">
        <w:t>SMF</w:t>
      </w:r>
      <w:r w:rsidR="00FB1520" w:rsidRPr="00873B6C">
        <w:t xml:space="preserve"> instance(s) in the SMF set</w:t>
      </w:r>
      <w:r w:rsidRPr="00873B6C">
        <w:t xml:space="preserve"> handles the user plane paths of the 5G VN group, including:</w:t>
      </w:r>
    </w:p>
    <w:p w14:paraId="69474309" w14:textId="0ED81CB1" w:rsidR="00D40151" w:rsidRPr="00873B6C" w:rsidRDefault="00D40151" w:rsidP="00D40151">
      <w:pPr>
        <w:pStyle w:val="B2"/>
      </w:pPr>
      <w:r w:rsidRPr="00873B6C">
        <w:t>-</w:t>
      </w:r>
      <w:r w:rsidRPr="00873B6C">
        <w:tab/>
        <w:t>The SMF</w:t>
      </w:r>
      <w:r w:rsidR="00FB1520" w:rsidRPr="00873B6C">
        <w:t xml:space="preserve"> instance(s)</w:t>
      </w:r>
      <w:r w:rsidRPr="00873B6C">
        <w:t xml:space="preserve"> may prefer to select a single PSA UPF for as many PDU sessions (targeting the same 5G VN group) as possible, in order to implement local switch on the UPF.</w:t>
      </w:r>
    </w:p>
    <w:p w14:paraId="6DE39A4A" w14:textId="57A9E7CE" w:rsidR="00D40151" w:rsidRPr="00873B6C" w:rsidRDefault="00D40151" w:rsidP="00D40151">
      <w:pPr>
        <w:pStyle w:val="B2"/>
      </w:pPr>
      <w:r w:rsidRPr="00873B6C">
        <w:t>-</w:t>
      </w:r>
      <w:r w:rsidRPr="00873B6C">
        <w:tab/>
        <w:t>(if needed) Establishing N19 tunnels between PSA UPFs</w:t>
      </w:r>
      <w:r w:rsidR="00FB1520" w:rsidRPr="00873B6C">
        <w:t xml:space="preserve"> served by the same SMF set</w:t>
      </w:r>
      <w:r w:rsidRPr="00873B6C">
        <w:t xml:space="preserve"> to support N19-based traffic forwarding.</w:t>
      </w:r>
    </w:p>
    <w:p w14:paraId="0EDB8A9F" w14:textId="0FEEC729" w:rsidR="00FB1520" w:rsidRPr="00873B6C" w:rsidRDefault="00FB1520" w:rsidP="00D40151">
      <w:pPr>
        <w:pStyle w:val="B1"/>
      </w:pPr>
      <w:r w:rsidRPr="00873B6C">
        <w:t>-</w:t>
      </w:r>
      <w:r w:rsidRPr="00873B6C">
        <w:tab/>
        <w:t>If multiple SMF (Set)s are serving a 5G VN, user plane forwarding between UPFs served by different SMF (Set)s can be achieved via the DN (i.e. N6) or via user plane tunnels on N6/N19 as described in clause 5.29.3.</w:t>
      </w:r>
    </w:p>
    <w:p w14:paraId="2CDB49ED" w14:textId="0C576073" w:rsidR="00FB1520" w:rsidRPr="00873B6C" w:rsidRDefault="00FB1520" w:rsidP="005A13C0">
      <w:pPr>
        <w:pStyle w:val="NO"/>
      </w:pPr>
      <w:r w:rsidRPr="00873B6C">
        <w:t>NOTE 2:</w:t>
      </w:r>
      <w:r w:rsidRPr="00873B6C">
        <w:tab/>
        <w:t>The above user plane tunnels may be using GTP-U or IETF VPN. For example, for IP-type traffic, the traffic routing can be based on routing protocols or pre-configured IP address ranges/prefixes corresponding different SMF sets; for ethernet-type traffic, the traffic routing can be based on the learned MAC address over the user plane tunnels between UPFs controlled by different SMF sets, etc. How to implement such user plane tunnels configured between these UPFs is up to network implementation and deployment.</w:t>
      </w:r>
    </w:p>
    <w:p w14:paraId="4FA309E9" w14:textId="40C1D7FB" w:rsidR="00D40151" w:rsidRPr="00873B6C" w:rsidRDefault="00D40151" w:rsidP="00D40151">
      <w:pPr>
        <w:pStyle w:val="B1"/>
      </w:pPr>
      <w:r w:rsidRPr="00873B6C">
        <w:t>-</w:t>
      </w:r>
      <w:r w:rsidRPr="00873B6C">
        <w:tab/>
        <w:t>For Ethernet PDU Session, the SMF may instruct the UPF(s) to classify frames based on VLAN tags</w:t>
      </w:r>
      <w:r w:rsidR="00472CD7" w:rsidRPr="00873B6C">
        <w:t xml:space="preserve"> and</w:t>
      </w:r>
      <w:r w:rsidRPr="00873B6C">
        <w:t xml:space="preserve"> to add and remove VLAN tags, on frames received and sent on N6 or N19 or internal interface ("5G VN internal"), as described in clause 5.6.10.2.</w:t>
      </w:r>
    </w:p>
    <w:p w14:paraId="3CC00164" w14:textId="10516BFA" w:rsidR="00D40151" w:rsidRPr="00873B6C" w:rsidRDefault="00D40151" w:rsidP="00D40151">
      <w:pPr>
        <w:pStyle w:val="NO"/>
      </w:pPr>
      <w:r w:rsidRPr="00873B6C">
        <w:t>NOTE </w:t>
      </w:r>
      <w:r w:rsidR="00FB1520" w:rsidRPr="00873B6C">
        <w:t>3</w:t>
      </w:r>
      <w:r w:rsidRPr="00873B6C">
        <w:t>:</w:t>
      </w:r>
      <w:r w:rsidRPr="00873B6C">
        <w:tab/>
        <w:t xml:space="preserve">For handling VLAN tags for traffic on N6, TSP ID could also be used as described in clause 6.2.2.6 of </w:t>
      </w:r>
      <w:r w:rsidR="00972E70" w:rsidRPr="00873B6C">
        <w:t>TS 23.503 [</w:t>
      </w:r>
      <w:r w:rsidRPr="00873B6C">
        <w:t>45].</w:t>
      </w:r>
    </w:p>
    <w:p w14:paraId="2D0239B0" w14:textId="77777777" w:rsidR="00D40151" w:rsidRPr="00873B6C" w:rsidRDefault="00D40151" w:rsidP="00D40151">
      <w:r w:rsidRPr="00873B6C">
        <w:t>Further description on User Plane management for 5G VN groups is available in clause 5.8.2.13.</w:t>
      </w:r>
    </w:p>
    <w:p w14:paraId="496BDF0B" w14:textId="77777777" w:rsidR="00D40151" w:rsidRPr="00873B6C" w:rsidRDefault="00D40151" w:rsidP="00D40151">
      <w:r w:rsidRPr="00873B6C">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57BA5930" w:rsidR="00D40151" w:rsidRPr="00873B6C" w:rsidRDefault="00D40151" w:rsidP="00D40151">
      <w:pPr>
        <w:pStyle w:val="NO"/>
      </w:pPr>
      <w:r w:rsidRPr="00873B6C">
        <w:t>NOTE </w:t>
      </w:r>
      <w:r w:rsidR="00FB1520" w:rsidRPr="00873B6C">
        <w:t>4</w:t>
      </w:r>
      <w:r w:rsidRPr="00873B6C">
        <w:t>:</w:t>
      </w:r>
      <w:r w:rsidRPr="00873B6C">
        <w:tab/>
        <w:t>When receiving a new PDU session establishment request for a 5G VN group, to avoid unnecessary N19 tunnels between UPFs, SMF can check previously selected UPFs for the same 5G VN group</w:t>
      </w:r>
      <w:r w:rsidR="00472CD7" w:rsidRPr="00873B6C">
        <w:t xml:space="preserve"> and</w:t>
      </w:r>
      <w:r w:rsidRPr="00873B6C">
        <w:t xml:space="preserve"> decide whether a previously selected UPF could serve the requested PDU session.</w:t>
      </w:r>
    </w:p>
    <w:p w14:paraId="3E921515" w14:textId="3162244C" w:rsidR="00D40151" w:rsidRPr="00873B6C" w:rsidRDefault="00D40151" w:rsidP="00D40151">
      <w:pPr>
        <w:pStyle w:val="NO"/>
      </w:pPr>
      <w:r w:rsidRPr="00873B6C">
        <w:t>NOTE </w:t>
      </w:r>
      <w:r w:rsidR="00FB1520" w:rsidRPr="00873B6C">
        <w:t>5</w:t>
      </w:r>
      <w:r w:rsidRPr="00873B6C">
        <w:t>:</w:t>
      </w:r>
      <w:r w:rsidRPr="00873B6C">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873B6C" w:rsidRDefault="00D40151" w:rsidP="00D40151">
      <w:pPr>
        <w:pStyle w:val="Heading2"/>
      </w:pPr>
      <w:bookmarkStart w:id="4144" w:name="_CR5_30"/>
      <w:bookmarkStart w:id="4145" w:name="_Toc20150082"/>
      <w:bookmarkStart w:id="4146" w:name="_Toc27846881"/>
      <w:bookmarkStart w:id="4147" w:name="_Toc36188012"/>
      <w:bookmarkStart w:id="4148" w:name="_Toc45183917"/>
      <w:bookmarkStart w:id="4149" w:name="_Toc47342759"/>
      <w:bookmarkStart w:id="4150" w:name="_Toc51769460"/>
      <w:bookmarkStart w:id="4151" w:name="_Toc201157508"/>
      <w:bookmarkEnd w:id="4144"/>
      <w:r w:rsidRPr="00873B6C">
        <w:t>5.30</w:t>
      </w:r>
      <w:r w:rsidRPr="00873B6C">
        <w:tab/>
        <w:t>Support for non-public networks</w:t>
      </w:r>
      <w:bookmarkEnd w:id="4145"/>
      <w:bookmarkEnd w:id="4146"/>
      <w:bookmarkEnd w:id="4147"/>
      <w:bookmarkEnd w:id="4148"/>
      <w:bookmarkEnd w:id="4149"/>
      <w:bookmarkEnd w:id="4150"/>
      <w:bookmarkEnd w:id="4151"/>
    </w:p>
    <w:p w14:paraId="72F3A4AC" w14:textId="77777777" w:rsidR="00D40151" w:rsidRPr="00873B6C" w:rsidRDefault="00D40151" w:rsidP="00D40151">
      <w:pPr>
        <w:pStyle w:val="Heading3"/>
      </w:pPr>
      <w:bookmarkStart w:id="4152" w:name="_CR5_30_1"/>
      <w:bookmarkStart w:id="4153" w:name="_Toc20150083"/>
      <w:bookmarkStart w:id="4154" w:name="_Toc27846882"/>
      <w:bookmarkStart w:id="4155" w:name="_Toc36188013"/>
      <w:bookmarkStart w:id="4156" w:name="_Toc45183918"/>
      <w:bookmarkStart w:id="4157" w:name="_Toc47342760"/>
      <w:bookmarkStart w:id="4158" w:name="_Toc51769461"/>
      <w:bookmarkStart w:id="4159" w:name="_Toc201157509"/>
      <w:bookmarkEnd w:id="4152"/>
      <w:r w:rsidRPr="00873B6C">
        <w:t>5.30.1</w:t>
      </w:r>
      <w:r w:rsidRPr="00873B6C">
        <w:tab/>
        <w:t>General</w:t>
      </w:r>
      <w:bookmarkEnd w:id="4153"/>
      <w:bookmarkEnd w:id="4154"/>
      <w:bookmarkEnd w:id="4155"/>
      <w:bookmarkEnd w:id="4156"/>
      <w:bookmarkEnd w:id="4157"/>
      <w:bookmarkEnd w:id="4158"/>
      <w:bookmarkEnd w:id="4159"/>
    </w:p>
    <w:p w14:paraId="080144E3" w14:textId="71843EC7" w:rsidR="00D40151" w:rsidRPr="00873B6C" w:rsidRDefault="00D40151" w:rsidP="00D40151">
      <w:r w:rsidRPr="00873B6C">
        <w:t xml:space="preserve">A Non-Public Network (NPN) is a 5GS deployed for non-public use, see </w:t>
      </w:r>
      <w:r w:rsidR="00972E70" w:rsidRPr="00873B6C">
        <w:t>TS 22.261 [</w:t>
      </w:r>
      <w:r w:rsidRPr="00873B6C">
        <w:t>2]. An NPN is either:</w:t>
      </w:r>
    </w:p>
    <w:p w14:paraId="33BC693F" w14:textId="77777777" w:rsidR="00D40151" w:rsidRPr="00873B6C" w:rsidRDefault="00D40151" w:rsidP="00D40151">
      <w:pPr>
        <w:pStyle w:val="B1"/>
      </w:pPr>
      <w:r w:rsidRPr="00873B6C">
        <w:lastRenderedPageBreak/>
        <w:t>-</w:t>
      </w:r>
      <w:r w:rsidRPr="00873B6C">
        <w:tab/>
        <w:t>a Stand-alone Non-Public Network (SNPN), i.e. operated by an NPN operator and not relying on network functions provided by a PLMN, or</w:t>
      </w:r>
    </w:p>
    <w:p w14:paraId="5E1E52E0" w14:textId="77777777" w:rsidR="00D40151" w:rsidRPr="00873B6C" w:rsidRDefault="00D40151" w:rsidP="00D40151">
      <w:pPr>
        <w:pStyle w:val="B1"/>
      </w:pPr>
      <w:r w:rsidRPr="00873B6C">
        <w:t>-</w:t>
      </w:r>
      <w:r w:rsidRPr="00873B6C">
        <w:tab/>
        <w:t>a Public Network Integrated NPN (PNI-NPN), i.e. a non-public network deployed with the support of a PLMN.</w:t>
      </w:r>
    </w:p>
    <w:p w14:paraId="4C5E5608" w14:textId="77777777" w:rsidR="00D40151" w:rsidRPr="00873B6C" w:rsidRDefault="00D40151" w:rsidP="00D40151">
      <w:pPr>
        <w:pStyle w:val="NO"/>
      </w:pPr>
      <w:r w:rsidRPr="00873B6C">
        <w:t>NOTE:</w:t>
      </w:r>
      <w:r w:rsidRPr="00873B6C">
        <w:tab/>
        <w:t>An NPN and a PLMN can share NG-RAN as described in clause 5.18.</w:t>
      </w:r>
    </w:p>
    <w:p w14:paraId="5A175802" w14:textId="77777777" w:rsidR="00D40151" w:rsidRPr="00873B6C" w:rsidRDefault="00D40151" w:rsidP="00D40151">
      <w:bookmarkStart w:id="4160" w:name="_Toc20150084"/>
      <w:bookmarkStart w:id="4161" w:name="_Toc27846883"/>
      <w:r w:rsidRPr="00873B6C">
        <w:t>Stand-alone NPN are described in clause 5.30.2 and Public Network Integrated NPNs are described in clause 5.30.3.</w:t>
      </w:r>
    </w:p>
    <w:p w14:paraId="4C981C2B" w14:textId="149429D3" w:rsidR="00D40151" w:rsidRPr="00873B6C" w:rsidRDefault="00D40151" w:rsidP="00D40151">
      <w:pPr>
        <w:pStyle w:val="Heading3"/>
      </w:pPr>
      <w:bookmarkStart w:id="4162" w:name="_CR5_30_2"/>
      <w:bookmarkStart w:id="4163" w:name="_Toc36188014"/>
      <w:bookmarkStart w:id="4164" w:name="_Toc45183919"/>
      <w:bookmarkStart w:id="4165" w:name="_Toc47342761"/>
      <w:bookmarkStart w:id="4166" w:name="_Toc51769462"/>
      <w:bookmarkStart w:id="4167" w:name="_Toc201157510"/>
      <w:bookmarkEnd w:id="4162"/>
      <w:r w:rsidRPr="00873B6C">
        <w:t>5.30.2</w:t>
      </w:r>
      <w:r w:rsidRPr="00873B6C">
        <w:tab/>
        <w:t xml:space="preserve">Stand-alone </w:t>
      </w:r>
      <w:r w:rsidR="004001F9" w:rsidRPr="00873B6C">
        <w:t>N</w:t>
      </w:r>
      <w:r w:rsidRPr="00873B6C">
        <w:t>on-</w:t>
      </w:r>
      <w:r w:rsidR="004001F9" w:rsidRPr="00873B6C">
        <w:t>P</w:t>
      </w:r>
      <w:r w:rsidRPr="00873B6C">
        <w:t xml:space="preserve">ublic </w:t>
      </w:r>
      <w:r w:rsidR="004001F9" w:rsidRPr="00873B6C">
        <w:t>N</w:t>
      </w:r>
      <w:r w:rsidRPr="00873B6C">
        <w:t>etworks</w:t>
      </w:r>
      <w:bookmarkEnd w:id="4160"/>
      <w:bookmarkEnd w:id="4161"/>
      <w:bookmarkEnd w:id="4163"/>
      <w:bookmarkEnd w:id="4164"/>
      <w:bookmarkEnd w:id="4165"/>
      <w:bookmarkEnd w:id="4166"/>
      <w:bookmarkEnd w:id="4167"/>
    </w:p>
    <w:p w14:paraId="027D767D" w14:textId="77777777" w:rsidR="00D40151" w:rsidRPr="00873B6C" w:rsidRDefault="00D40151" w:rsidP="00D40151">
      <w:pPr>
        <w:pStyle w:val="Heading4"/>
      </w:pPr>
      <w:bookmarkStart w:id="4168" w:name="_CR5_30_2_0"/>
      <w:bookmarkStart w:id="4169" w:name="_Toc51769463"/>
      <w:bookmarkStart w:id="4170" w:name="_Toc20150085"/>
      <w:bookmarkStart w:id="4171" w:name="_Toc27846884"/>
      <w:bookmarkStart w:id="4172" w:name="_Toc36188015"/>
      <w:bookmarkStart w:id="4173" w:name="_Toc45183920"/>
      <w:bookmarkStart w:id="4174" w:name="_Toc47342762"/>
      <w:bookmarkStart w:id="4175" w:name="_Toc201157511"/>
      <w:bookmarkEnd w:id="4168"/>
      <w:r w:rsidRPr="00873B6C">
        <w:t>5.30.2.0</w:t>
      </w:r>
      <w:r w:rsidRPr="00873B6C">
        <w:tab/>
        <w:t>General</w:t>
      </w:r>
      <w:bookmarkEnd w:id="4169"/>
      <w:bookmarkEnd w:id="4175"/>
    </w:p>
    <w:p w14:paraId="7016E607" w14:textId="77777777" w:rsidR="001F5968" w:rsidRPr="00873B6C" w:rsidRDefault="00D40151" w:rsidP="00D40151">
      <w:pPr>
        <w:rPr>
          <w:lang w:eastAsia="x-none"/>
        </w:rPr>
      </w:pPr>
      <w:r w:rsidRPr="00873B6C">
        <w:rPr>
          <w:lang w:eastAsia="x-none"/>
        </w:rPr>
        <w:t>SNPN 5GS deployments are based on</w:t>
      </w:r>
      <w:r w:rsidR="001F5968" w:rsidRPr="00873B6C">
        <w:rPr>
          <w:lang w:eastAsia="x-none"/>
        </w:rPr>
        <w:t>:</w:t>
      </w:r>
    </w:p>
    <w:p w14:paraId="4E66AE80" w14:textId="6032D4C8" w:rsidR="001F5968" w:rsidRPr="00873B6C" w:rsidRDefault="001F5968" w:rsidP="00D40151">
      <w:pPr>
        <w:rPr>
          <w:lang w:eastAsia="x-none"/>
        </w:rPr>
      </w:pPr>
      <w:r w:rsidRPr="00873B6C">
        <w:rPr>
          <w:lang w:eastAsia="x-none"/>
        </w:rPr>
        <w:t>-</w:t>
      </w:r>
      <w:r w:rsidRPr="00873B6C">
        <w:rPr>
          <w:lang w:eastAsia="x-none"/>
        </w:rPr>
        <w:tab/>
      </w:r>
      <w:r w:rsidR="00D40151" w:rsidRPr="00873B6C">
        <w:rPr>
          <w:lang w:eastAsia="x-none"/>
        </w:rPr>
        <w:t>the architecture depicted in clause 4.2.3</w:t>
      </w:r>
      <w:r w:rsidRPr="00873B6C">
        <w:rPr>
          <w:lang w:eastAsia="x-none"/>
        </w:rPr>
        <w:t>;</w:t>
      </w:r>
    </w:p>
    <w:p w14:paraId="19465778" w14:textId="13A1E5A2" w:rsidR="001F5968" w:rsidRPr="00873B6C" w:rsidRDefault="001F5968" w:rsidP="00D40151">
      <w:pPr>
        <w:rPr>
          <w:lang w:eastAsia="x-none"/>
        </w:rPr>
      </w:pPr>
      <w:r w:rsidRPr="00873B6C">
        <w:rPr>
          <w:lang w:eastAsia="x-none"/>
        </w:rPr>
        <w:t>-</w:t>
      </w:r>
      <w:r w:rsidRPr="00873B6C">
        <w:rPr>
          <w:lang w:eastAsia="x-none"/>
        </w:rPr>
        <w:tab/>
      </w:r>
      <w:r w:rsidR="00D40151" w:rsidRPr="00873B6C">
        <w:rPr>
          <w:lang w:eastAsia="x-none"/>
        </w:rPr>
        <w:t xml:space="preserve">the architecture for 5GC with </w:t>
      </w:r>
      <w:r w:rsidRPr="00873B6C">
        <w:rPr>
          <w:lang w:eastAsia="x-none"/>
        </w:rPr>
        <w:t>U</w:t>
      </w:r>
      <w:r w:rsidR="00D40151" w:rsidRPr="00873B6C">
        <w:rPr>
          <w:lang w:eastAsia="x-none"/>
        </w:rPr>
        <w:t>ntrusted non-3GPP access (Figure 4.2.8.2.1-1) for</w:t>
      </w:r>
      <w:r w:rsidRPr="00873B6C">
        <w:rPr>
          <w:lang w:eastAsia="x-none"/>
        </w:rPr>
        <w:t xml:space="preserve"> either </w:t>
      </w:r>
      <w:r w:rsidR="00D40151" w:rsidRPr="00873B6C">
        <w:rPr>
          <w:lang w:eastAsia="x-none"/>
        </w:rPr>
        <w:t xml:space="preserve">access to SNPN services via a PLMN (and vice versa) </w:t>
      </w:r>
      <w:r w:rsidRPr="00873B6C">
        <w:rPr>
          <w:lang w:eastAsia="x-none"/>
        </w:rPr>
        <w:t>or for direct access to SNPN via non-3GPP access;</w:t>
      </w:r>
    </w:p>
    <w:p w14:paraId="4D8BC457" w14:textId="7EBDB0CE" w:rsidR="001F5968" w:rsidRPr="00873B6C" w:rsidRDefault="001F5968" w:rsidP="00D40151">
      <w:pPr>
        <w:rPr>
          <w:lang w:eastAsia="x-none"/>
        </w:rPr>
      </w:pPr>
      <w:r w:rsidRPr="00873B6C">
        <w:rPr>
          <w:lang w:eastAsia="x-none"/>
        </w:rPr>
        <w:t>-</w:t>
      </w:r>
      <w:r w:rsidRPr="00873B6C">
        <w:rPr>
          <w:lang w:eastAsia="x-none"/>
        </w:rPr>
        <w:tab/>
        <w:t xml:space="preserve">the architecture for 5GC with Trusted non-3GPP access (Figure 4.2.8.2.1-2); </w:t>
      </w:r>
      <w:r w:rsidR="00D40151" w:rsidRPr="00873B6C">
        <w:rPr>
          <w:lang w:eastAsia="x-none"/>
        </w:rPr>
        <w:t>and</w:t>
      </w:r>
    </w:p>
    <w:p w14:paraId="11B38206" w14:textId="44F3372A" w:rsidR="00757CAF" w:rsidRPr="00873B6C" w:rsidRDefault="001F5968" w:rsidP="00D40151">
      <w:pPr>
        <w:rPr>
          <w:lang w:eastAsia="x-none"/>
        </w:rPr>
      </w:pPr>
      <w:r w:rsidRPr="00873B6C">
        <w:rPr>
          <w:lang w:eastAsia="x-none"/>
        </w:rPr>
        <w:t>-</w:t>
      </w:r>
      <w:r w:rsidRPr="00873B6C">
        <w:rPr>
          <w:lang w:eastAsia="x-none"/>
        </w:rPr>
        <w:tab/>
      </w:r>
      <w:r w:rsidR="00D40151" w:rsidRPr="00873B6C">
        <w:rPr>
          <w:lang w:eastAsia="x-none"/>
        </w:rPr>
        <w:t>the additional functionality covered in clause 5.30.2.</w:t>
      </w:r>
    </w:p>
    <w:p w14:paraId="22375D39" w14:textId="06DFF08E" w:rsidR="00D40151" w:rsidRPr="00873B6C" w:rsidRDefault="00757CAF" w:rsidP="00D40151">
      <w:pPr>
        <w:rPr>
          <w:lang w:eastAsia="x-none"/>
        </w:rPr>
      </w:pPr>
      <w:r w:rsidRPr="00873B6C">
        <w:rPr>
          <w:lang w:eastAsia="x-none"/>
        </w:rPr>
        <w:t>Alternatively, a Credentials Holder (CH) may authenticate and authorize access to an SNPN separate from the Credentials Holder based on the architecture specified in clause 5.30.2.9.</w:t>
      </w:r>
      <w:r w:rsidR="00F00626" w:rsidRPr="00873B6C">
        <w:rPr>
          <w:lang w:eastAsia="x-none"/>
        </w:rPr>
        <w:t xml:space="preserve"> Idle</w:t>
      </w:r>
      <w:r w:rsidR="0026280E" w:rsidRPr="00873B6C">
        <w:rPr>
          <w:lang w:eastAsia="x-none"/>
        </w:rPr>
        <w:t xml:space="preserve"> and connected</w:t>
      </w:r>
      <w:r w:rsidR="00F00626" w:rsidRPr="00873B6C">
        <w:rPr>
          <w:lang w:eastAsia="x-none"/>
        </w:rPr>
        <w:t xml:space="preserve"> mode mobility is supported as defined in clause 5.30.2.11.</w:t>
      </w:r>
    </w:p>
    <w:p w14:paraId="5514B961" w14:textId="5B4C6684" w:rsidR="001F5968" w:rsidRPr="00873B6C" w:rsidRDefault="001F5968" w:rsidP="00D40151">
      <w:pPr>
        <w:rPr>
          <w:lang w:eastAsia="x-none"/>
        </w:rPr>
      </w:pPr>
      <w:r w:rsidRPr="00873B6C">
        <w:rPr>
          <w:lang w:eastAsia="x-none"/>
        </w:rPr>
        <w:t>Clauses 5.30.2.1 to 5.30.2.11 specify the common SNPN aspects applicable to both 3GPP and non-3GPP access, except where stated differently.</w:t>
      </w:r>
    </w:p>
    <w:p w14:paraId="24BEA25A" w14:textId="77777777" w:rsidR="001F5968" w:rsidRPr="00873B6C" w:rsidRDefault="001F5968" w:rsidP="00D40151">
      <w:pPr>
        <w:rPr>
          <w:lang w:eastAsia="x-none"/>
        </w:rPr>
      </w:pPr>
      <w:r w:rsidRPr="00873B6C">
        <w:rPr>
          <w:lang w:eastAsia="x-none"/>
        </w:rPr>
        <w:t>Aspects specific to Untrusted non-3GPP access for SNPN are specified in clause 5.30.2.12.</w:t>
      </w:r>
    </w:p>
    <w:p w14:paraId="2E31ACE0" w14:textId="77777777" w:rsidR="001F5968" w:rsidRPr="00873B6C" w:rsidRDefault="001F5968" w:rsidP="00D40151">
      <w:pPr>
        <w:rPr>
          <w:lang w:eastAsia="x-none"/>
        </w:rPr>
      </w:pPr>
      <w:r w:rsidRPr="00873B6C">
        <w:rPr>
          <w:lang w:eastAsia="x-none"/>
        </w:rPr>
        <w:t>Aspects specific to Trusted non-3GPP access for SNPN are specified in clause 5.30.2.13.</w:t>
      </w:r>
    </w:p>
    <w:p w14:paraId="313DC886" w14:textId="3A46736F" w:rsidR="002C4A81" w:rsidRPr="00873B6C" w:rsidRDefault="002C4A81" w:rsidP="00D40151">
      <w:pPr>
        <w:rPr>
          <w:lang w:eastAsia="x-none"/>
        </w:rPr>
      </w:pPr>
      <w:r w:rsidRPr="00873B6C">
        <w:rPr>
          <w:lang w:eastAsia="x-none"/>
        </w:rPr>
        <w:t>Aspects specific to N5CW devices accessing SNPN services are specified in clause 5.30.2.15.</w:t>
      </w:r>
    </w:p>
    <w:p w14:paraId="1C713F26" w14:textId="71966216" w:rsidR="00F00626" w:rsidRPr="00873B6C" w:rsidRDefault="00F00626" w:rsidP="00D40151">
      <w:pPr>
        <w:rPr>
          <w:lang w:eastAsia="x-none"/>
        </w:rPr>
      </w:pPr>
      <w:r w:rsidRPr="00873B6C">
        <w:rPr>
          <w:lang w:eastAsia="x-none"/>
        </w:rPr>
        <w:t>The following 5GS features and functionalities are not supported for SNPNs:</w:t>
      </w:r>
    </w:p>
    <w:p w14:paraId="4B01D746" w14:textId="4E34C2C0" w:rsidR="00F00626" w:rsidRPr="00873B6C" w:rsidRDefault="00F00626" w:rsidP="00F00626">
      <w:pPr>
        <w:pStyle w:val="B1"/>
      </w:pPr>
      <w:r w:rsidRPr="00873B6C">
        <w:t>-</w:t>
      </w:r>
      <w:r w:rsidRPr="00873B6C">
        <w:tab/>
      </w:r>
      <w:r w:rsidR="00D40151" w:rsidRPr="00873B6C">
        <w:t>Interworking with EPS</w:t>
      </w:r>
      <w:r w:rsidR="004001F9" w:rsidRPr="00873B6C">
        <w:t>;</w:t>
      </w:r>
    </w:p>
    <w:p w14:paraId="22B77BF2" w14:textId="3F828787" w:rsidR="00F00626" w:rsidRPr="00873B6C" w:rsidRDefault="00F00626" w:rsidP="00F00626">
      <w:pPr>
        <w:pStyle w:val="B1"/>
      </w:pPr>
      <w:r w:rsidRPr="00873B6C">
        <w:t>-</w:t>
      </w:r>
      <w:r w:rsidRPr="00873B6C">
        <w:tab/>
      </w:r>
      <w:r w:rsidR="004001F9" w:rsidRPr="00873B6C">
        <w:t>E</w:t>
      </w:r>
      <w:r w:rsidR="00D40151" w:rsidRPr="00873B6C">
        <w:t>mergency services</w:t>
      </w:r>
      <w:r w:rsidR="00AA610D" w:rsidRPr="00873B6C">
        <w:t xml:space="preserve"> when the UE accesses the SNPN over NWu via a PLMN</w:t>
      </w:r>
      <w:r w:rsidR="004001F9" w:rsidRPr="00873B6C">
        <w:t>;</w:t>
      </w:r>
    </w:p>
    <w:p w14:paraId="23A719FF" w14:textId="0D961F70" w:rsidR="00F00626" w:rsidRPr="00873B6C" w:rsidRDefault="00F00626" w:rsidP="00F00626">
      <w:pPr>
        <w:pStyle w:val="B1"/>
      </w:pPr>
      <w:r w:rsidRPr="00873B6C">
        <w:t>-</w:t>
      </w:r>
      <w:r w:rsidRPr="00873B6C">
        <w:tab/>
      </w:r>
      <w:r w:rsidR="003F2E5D" w:rsidRPr="00873B6C">
        <w:t>Roaming</w:t>
      </w:r>
      <w:r w:rsidR="00D40151" w:rsidRPr="00873B6C">
        <w:t>, e.g. roaming between SNPNs</w:t>
      </w:r>
      <w:r w:rsidR="003F2E5D" w:rsidRPr="00873B6C">
        <w:t>. However</w:t>
      </w:r>
      <w:r w:rsidR="00CB6EDC" w:rsidRPr="00873B6C">
        <w:t>, it is possible for a UE to access an SNPN with credentials from a CH as described in clause 5.30.2.9</w:t>
      </w:r>
      <w:r w:rsidR="0026280E" w:rsidRPr="00873B6C">
        <w:t xml:space="preserve"> and to move between equivalent SNPNs</w:t>
      </w:r>
      <w:r w:rsidR="004001F9" w:rsidRPr="00873B6C">
        <w:t>;</w:t>
      </w:r>
    </w:p>
    <w:p w14:paraId="07BE688C" w14:textId="7434F3F9" w:rsidR="00F00626" w:rsidRPr="00873B6C" w:rsidRDefault="00F00626" w:rsidP="00F00626">
      <w:pPr>
        <w:pStyle w:val="B1"/>
      </w:pPr>
      <w:r w:rsidRPr="00873B6C">
        <w:t>-</w:t>
      </w:r>
      <w:r w:rsidRPr="00873B6C">
        <w:tab/>
      </w:r>
      <w:r w:rsidR="00D40151" w:rsidRPr="00873B6C">
        <w:t>Handover between SNPN and PLMN or PNI</w:t>
      </w:r>
      <w:r w:rsidR="004001F9" w:rsidRPr="00873B6C">
        <w:t>-</w:t>
      </w:r>
      <w:r w:rsidR="00D40151" w:rsidRPr="00873B6C">
        <w:t>NPN</w:t>
      </w:r>
      <w:r w:rsidR="004001F9" w:rsidRPr="00873B6C">
        <w:t>;</w:t>
      </w:r>
    </w:p>
    <w:p w14:paraId="7BE9B788" w14:textId="14333825" w:rsidR="00F00626" w:rsidRPr="00873B6C" w:rsidRDefault="00F00626" w:rsidP="00F00626">
      <w:pPr>
        <w:pStyle w:val="B1"/>
      </w:pPr>
      <w:r w:rsidRPr="00873B6C">
        <w:t>-</w:t>
      </w:r>
      <w:r w:rsidRPr="00873B6C">
        <w:tab/>
      </w:r>
      <w:r w:rsidR="00D40151" w:rsidRPr="00873B6C">
        <w:t xml:space="preserve">CIoT 5GS </w:t>
      </w:r>
      <w:r w:rsidR="004001F9" w:rsidRPr="00873B6C">
        <w:t>O</w:t>
      </w:r>
      <w:r w:rsidR="00D40151" w:rsidRPr="00873B6C">
        <w:t>ptimizations</w:t>
      </w:r>
      <w:r w:rsidR="004001F9" w:rsidRPr="00873B6C">
        <w:t>;</w:t>
      </w:r>
    </w:p>
    <w:p w14:paraId="410015F2" w14:textId="0BFD9F8A" w:rsidR="00D40151" w:rsidRPr="00873B6C" w:rsidRDefault="00F00626" w:rsidP="00461850">
      <w:pPr>
        <w:pStyle w:val="B1"/>
      </w:pPr>
      <w:r w:rsidRPr="00873B6C">
        <w:t>-</w:t>
      </w:r>
      <w:r w:rsidRPr="00873B6C">
        <w:tab/>
      </w:r>
      <w:r w:rsidR="00C60901" w:rsidRPr="00873B6C">
        <w:t>CAG</w:t>
      </w:r>
      <w:r w:rsidR="004001F9" w:rsidRPr="00873B6C">
        <w:t>; and</w:t>
      </w:r>
    </w:p>
    <w:p w14:paraId="42379FF7" w14:textId="1BE7397B" w:rsidR="000E5655" w:rsidRPr="00873B6C" w:rsidRDefault="000E5655" w:rsidP="000E5655">
      <w:pPr>
        <w:pStyle w:val="B1"/>
      </w:pPr>
      <w:bookmarkStart w:id="4176" w:name="_Toc51769464"/>
      <w:r w:rsidRPr="00873B6C">
        <w:t>-</w:t>
      </w:r>
      <w:r w:rsidRPr="00873B6C">
        <w:tab/>
        <w:t xml:space="preserve">Proximity based Services (ProSe) as defined in </w:t>
      </w:r>
      <w:r w:rsidR="00972E70" w:rsidRPr="00873B6C">
        <w:t>TS 23.304 [</w:t>
      </w:r>
      <w:r w:rsidRPr="00873B6C">
        <w:t>128].</w:t>
      </w:r>
    </w:p>
    <w:p w14:paraId="4FDAD02B" w14:textId="77777777" w:rsidR="00BB2064" w:rsidRPr="00873B6C" w:rsidRDefault="00BB2064" w:rsidP="00BB2064">
      <w:pPr>
        <w:rPr>
          <w:lang w:eastAsia="x-none"/>
        </w:rPr>
      </w:pPr>
      <w:r w:rsidRPr="00873B6C">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873B6C" w:rsidRDefault="00BB2064" w:rsidP="00461850">
      <w:pPr>
        <w:pStyle w:val="NO"/>
      </w:pPr>
      <w:r w:rsidRPr="00873B6C">
        <w:t>NOTE:</w:t>
      </w:r>
      <w:r w:rsidRPr="00873B6C">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873B6C" w:rsidRDefault="00D40151" w:rsidP="00D40151">
      <w:pPr>
        <w:pStyle w:val="Heading4"/>
      </w:pPr>
      <w:bookmarkStart w:id="4177" w:name="_CR5_30_2_1"/>
      <w:bookmarkStart w:id="4178" w:name="_Toc201157512"/>
      <w:bookmarkEnd w:id="4177"/>
      <w:r w:rsidRPr="00873B6C">
        <w:t>5.30.2.1</w:t>
      </w:r>
      <w:r w:rsidRPr="00873B6C">
        <w:tab/>
        <w:t>Identifiers</w:t>
      </w:r>
      <w:bookmarkEnd w:id="4170"/>
      <w:bookmarkEnd w:id="4171"/>
      <w:bookmarkEnd w:id="4172"/>
      <w:bookmarkEnd w:id="4173"/>
      <w:bookmarkEnd w:id="4174"/>
      <w:bookmarkEnd w:id="4176"/>
      <w:bookmarkEnd w:id="4178"/>
    </w:p>
    <w:p w14:paraId="0ADAD88A" w14:textId="6134E837" w:rsidR="00D40151" w:rsidRPr="00873B6C" w:rsidRDefault="00D40151" w:rsidP="00D40151">
      <w:r w:rsidRPr="00873B6C">
        <w:t>The combination of a PLMN ID and</w:t>
      </w:r>
      <w:r w:rsidR="004001F9" w:rsidRPr="00873B6C">
        <w:t xml:space="preserve"> a</w:t>
      </w:r>
      <w:r w:rsidRPr="00873B6C">
        <w:t xml:space="preserve"> Network identifier (NID) identifies an SNPN.</w:t>
      </w:r>
    </w:p>
    <w:p w14:paraId="08B1CBE6" w14:textId="77777777" w:rsidR="00D40151" w:rsidRPr="00873B6C" w:rsidRDefault="00D40151" w:rsidP="00D40151">
      <w:pPr>
        <w:pStyle w:val="NO"/>
      </w:pPr>
      <w:r w:rsidRPr="00873B6C">
        <w:lastRenderedPageBreak/>
        <w:t>NOTE 1:</w:t>
      </w:r>
      <w:r w:rsidRPr="00873B6C">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873B6C" w:rsidRDefault="00D40151" w:rsidP="00D40151">
      <w:r w:rsidRPr="00873B6C">
        <w:t>The NID shall support two assignment models:</w:t>
      </w:r>
    </w:p>
    <w:p w14:paraId="0A2EE25F" w14:textId="5538976C" w:rsidR="00D40151" w:rsidRPr="00873B6C" w:rsidRDefault="00D40151" w:rsidP="00D40151">
      <w:pPr>
        <w:pStyle w:val="B1"/>
      </w:pPr>
      <w:r w:rsidRPr="00873B6C">
        <w:t>-</w:t>
      </w:r>
      <w:r w:rsidRPr="00873B6C">
        <w:tab/>
        <w:t xml:space="preserve">Self-assignment: NIDs are chosen individually by SNPNs at deployment time (and may therefore not be unique) but use a different numbering space than the coordinated assignment NIDs as defined in </w:t>
      </w:r>
      <w:r w:rsidR="00972E70" w:rsidRPr="00873B6C">
        <w:t>TS 23.003 [</w:t>
      </w:r>
      <w:r w:rsidRPr="00873B6C">
        <w:t>19].</w:t>
      </w:r>
    </w:p>
    <w:p w14:paraId="43AF068A" w14:textId="77777777" w:rsidR="00D40151" w:rsidRPr="00873B6C" w:rsidRDefault="00D40151" w:rsidP="00D40151">
      <w:pPr>
        <w:pStyle w:val="B1"/>
      </w:pPr>
      <w:r w:rsidRPr="00873B6C">
        <w:t>-</w:t>
      </w:r>
      <w:r w:rsidRPr="00873B6C">
        <w:tab/>
        <w:t>Coordinated assignment: NIDs are assigned using one of the following two options:</w:t>
      </w:r>
    </w:p>
    <w:p w14:paraId="2C9AC688" w14:textId="77777777" w:rsidR="00D40151" w:rsidRPr="00873B6C" w:rsidRDefault="00D40151" w:rsidP="00D40151">
      <w:pPr>
        <w:pStyle w:val="B2"/>
      </w:pPr>
      <w:r w:rsidRPr="00873B6C">
        <w:t>1.</w:t>
      </w:r>
      <w:r w:rsidRPr="00873B6C">
        <w:tab/>
        <w:t>The NID is assigned such that it is globally unique independent of the PLMN ID used; or</w:t>
      </w:r>
    </w:p>
    <w:p w14:paraId="48BF268C" w14:textId="77777777" w:rsidR="00D40151" w:rsidRPr="00873B6C" w:rsidRDefault="00D40151" w:rsidP="00D40151">
      <w:pPr>
        <w:pStyle w:val="B2"/>
      </w:pPr>
      <w:r w:rsidRPr="00873B6C">
        <w:t>2.</w:t>
      </w:r>
      <w:r w:rsidRPr="00873B6C">
        <w:tab/>
        <w:t>The NID is assigned such that the combination of the NID and the PLMN ID is globally unique.</w:t>
      </w:r>
    </w:p>
    <w:p w14:paraId="6836AC36" w14:textId="77777777" w:rsidR="00D40151" w:rsidRPr="00873B6C" w:rsidRDefault="00D40151" w:rsidP="00D40151">
      <w:pPr>
        <w:pStyle w:val="NO"/>
      </w:pPr>
      <w:r w:rsidRPr="00873B6C">
        <w:t>NOTE 2:</w:t>
      </w:r>
      <w:r w:rsidRPr="00873B6C">
        <w:tab/>
        <w:t>Which legal entities manage the number space is beyond the scope of this specification.</w:t>
      </w:r>
    </w:p>
    <w:p w14:paraId="44F53F8C" w14:textId="00F3EBD3" w:rsidR="000F5D21" w:rsidRPr="00873B6C" w:rsidRDefault="000F5D21" w:rsidP="00562E84">
      <w:pPr>
        <w:pStyle w:val="NO"/>
      </w:pPr>
      <w:r w:rsidRPr="00873B6C">
        <w:t>NOTE 3:</w:t>
      </w:r>
      <w:r w:rsidRPr="00873B6C">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873B6C">
        <w:t>1</w:t>
      </w:r>
      <w:r w:rsidRPr="00873B6C">
        <w:t>.</w:t>
      </w:r>
    </w:p>
    <w:p w14:paraId="48F0FA50" w14:textId="0EA7585A" w:rsidR="00EC761C" w:rsidRPr="00873B6C" w:rsidRDefault="00EC761C" w:rsidP="00D40151">
      <w:r w:rsidRPr="00873B6C">
        <w:t>The GIN shall support two assignment models:</w:t>
      </w:r>
    </w:p>
    <w:p w14:paraId="574C5140" w14:textId="0DB48E67" w:rsidR="00EC761C" w:rsidRPr="00873B6C" w:rsidRDefault="00EC761C" w:rsidP="00562E84">
      <w:pPr>
        <w:pStyle w:val="B1"/>
      </w:pPr>
      <w:r w:rsidRPr="00873B6C">
        <w:t>-</w:t>
      </w:r>
      <w:r w:rsidRPr="00873B6C">
        <w:tab/>
        <w:t>Self-assignment: GINs are chosen individually and may therefore not be unique.</w:t>
      </w:r>
      <w:r w:rsidR="007B3699" w:rsidRPr="00873B6C">
        <w:t xml:space="preserve"> It is defined as in </w:t>
      </w:r>
      <w:r w:rsidR="00972E70" w:rsidRPr="00873B6C">
        <w:t>TS 23.003 [</w:t>
      </w:r>
      <w:r w:rsidR="007B3699" w:rsidRPr="00873B6C">
        <w:t>19]</w:t>
      </w:r>
      <w:r w:rsidR="004001F9" w:rsidRPr="00873B6C">
        <w:t>; or</w:t>
      </w:r>
    </w:p>
    <w:p w14:paraId="65EB5D5E" w14:textId="67DAC1D7" w:rsidR="00EC761C" w:rsidRPr="00873B6C" w:rsidRDefault="00EC761C" w:rsidP="00562E84">
      <w:pPr>
        <w:pStyle w:val="B1"/>
      </w:pPr>
      <w:r w:rsidRPr="00873B6C">
        <w:t>-</w:t>
      </w:r>
      <w:r w:rsidRPr="00873B6C">
        <w:tab/>
        <w:t>Coordinated assignment: GIN</w:t>
      </w:r>
      <w:r w:rsidR="007B3699" w:rsidRPr="00873B6C">
        <w:t xml:space="preserve"> uses a combination of PLMN ID and NID and</w:t>
      </w:r>
      <w:r w:rsidRPr="00873B6C">
        <w:t xml:space="preserve"> is assigned</w:t>
      </w:r>
      <w:r w:rsidR="007B3699" w:rsidRPr="00873B6C">
        <w:t xml:space="preserve"> using one of the following two options</w:t>
      </w:r>
      <w:r w:rsidRPr="00873B6C">
        <w:t xml:space="preserve"> as defined in </w:t>
      </w:r>
      <w:r w:rsidR="00972E70" w:rsidRPr="00873B6C">
        <w:t>TS 23.003 [</w:t>
      </w:r>
      <w:r w:rsidRPr="00873B6C">
        <w:t>1</w:t>
      </w:r>
      <w:r w:rsidR="007B3699" w:rsidRPr="00873B6C">
        <w:t>9</w:t>
      </w:r>
      <w:r w:rsidRPr="00873B6C">
        <w:t>]</w:t>
      </w:r>
      <w:r w:rsidR="004001F9" w:rsidRPr="00873B6C">
        <w:t>:</w:t>
      </w:r>
    </w:p>
    <w:p w14:paraId="19C46D19" w14:textId="155F53D3" w:rsidR="007B3699" w:rsidRPr="00873B6C" w:rsidRDefault="007B3699" w:rsidP="00C74FFE">
      <w:pPr>
        <w:pStyle w:val="B2"/>
      </w:pPr>
      <w:r w:rsidRPr="00873B6C">
        <w:t>1.</w:t>
      </w:r>
      <w:r w:rsidRPr="00873B6C">
        <w:tab/>
        <w:t>The GIN is assigned such that the NID is globally unique (e.g. using IANA Private Enterprise Numbers) independent of the PLMN ID used; or</w:t>
      </w:r>
    </w:p>
    <w:p w14:paraId="73782198" w14:textId="77777777" w:rsidR="007B3699" w:rsidRPr="00873B6C" w:rsidRDefault="007B3699" w:rsidP="00C74FFE">
      <w:pPr>
        <w:pStyle w:val="B2"/>
      </w:pPr>
      <w:r w:rsidRPr="00873B6C">
        <w:t>2.</w:t>
      </w:r>
      <w:r w:rsidRPr="00873B6C">
        <w:tab/>
        <w:t>The GIN is assigned such that the combination of the NID and the PLMN ID is globally unique.</w:t>
      </w:r>
    </w:p>
    <w:p w14:paraId="70B0ADB2" w14:textId="50A694F5" w:rsidR="007B3699" w:rsidRPr="00873B6C" w:rsidRDefault="007B3699" w:rsidP="00C74FFE">
      <w:pPr>
        <w:pStyle w:val="NO"/>
      </w:pPr>
      <w:r w:rsidRPr="00873B6C">
        <w:t>NOTE 4:</w:t>
      </w:r>
      <w:r w:rsidRPr="00873B6C">
        <w:tab/>
        <w:t>Which legal entities manage the number space for GIN is beyond the scope of this specification.</w:t>
      </w:r>
    </w:p>
    <w:p w14:paraId="14798E47" w14:textId="1071020B" w:rsidR="00D40151" w:rsidRPr="00873B6C" w:rsidRDefault="00D40151" w:rsidP="00D40151">
      <w:r w:rsidRPr="00873B6C">
        <w:t xml:space="preserve">An optional human-readable network name helps to identify an SNPN during manual SNPN selection. The human-readable network name and how it is used for SNPN manual selection is specified in </w:t>
      </w:r>
      <w:r w:rsidR="00972E70" w:rsidRPr="00873B6C">
        <w:t>TS 22.261 [</w:t>
      </w:r>
      <w:r w:rsidRPr="00873B6C">
        <w:t xml:space="preserve">2] and </w:t>
      </w:r>
      <w:r w:rsidR="00972E70" w:rsidRPr="00873B6C">
        <w:t>TS 23.122 [</w:t>
      </w:r>
      <w:r w:rsidRPr="00873B6C">
        <w:t>17].</w:t>
      </w:r>
    </w:p>
    <w:p w14:paraId="1653FA89" w14:textId="77777777" w:rsidR="00D40151" w:rsidRPr="00873B6C" w:rsidRDefault="00D40151" w:rsidP="00D40151">
      <w:pPr>
        <w:pStyle w:val="Heading4"/>
      </w:pPr>
      <w:bookmarkStart w:id="4179" w:name="_CR5_30_2_2"/>
      <w:bookmarkStart w:id="4180" w:name="_Toc20150086"/>
      <w:bookmarkStart w:id="4181" w:name="_Toc27846885"/>
      <w:bookmarkStart w:id="4182" w:name="_Toc36188016"/>
      <w:bookmarkStart w:id="4183" w:name="_Toc45183921"/>
      <w:bookmarkStart w:id="4184" w:name="_Toc47342763"/>
      <w:bookmarkStart w:id="4185" w:name="_Toc51769465"/>
      <w:bookmarkStart w:id="4186" w:name="_Toc201157513"/>
      <w:bookmarkEnd w:id="4179"/>
      <w:r w:rsidRPr="00873B6C">
        <w:t>5.30.2.2</w:t>
      </w:r>
      <w:r w:rsidRPr="00873B6C">
        <w:tab/>
        <w:t>Broadcast system information</w:t>
      </w:r>
      <w:bookmarkEnd w:id="4180"/>
      <w:bookmarkEnd w:id="4181"/>
      <w:bookmarkEnd w:id="4182"/>
      <w:bookmarkEnd w:id="4183"/>
      <w:bookmarkEnd w:id="4184"/>
      <w:bookmarkEnd w:id="4185"/>
      <w:bookmarkEnd w:id="4186"/>
    </w:p>
    <w:p w14:paraId="2EBF0AD9" w14:textId="4A40B888" w:rsidR="00D40151" w:rsidRPr="00873B6C" w:rsidRDefault="00D40151" w:rsidP="00D40151">
      <w:r w:rsidRPr="00873B6C">
        <w:t>NG-RAN nodes</w:t>
      </w:r>
      <w:r w:rsidR="001F5968" w:rsidRPr="00873B6C">
        <w:t xml:space="preserve"> or Trusted non-3GPP access networks</w:t>
      </w:r>
      <w:r w:rsidRPr="00873B6C">
        <w:t xml:space="preserve"> which provide access to SNPNs broadcast the following information:</w:t>
      </w:r>
    </w:p>
    <w:p w14:paraId="720FFFB2" w14:textId="40C7D782" w:rsidR="00D40151" w:rsidRPr="00873B6C" w:rsidRDefault="00D40151" w:rsidP="00D40151">
      <w:pPr>
        <w:pStyle w:val="B1"/>
      </w:pPr>
      <w:r w:rsidRPr="00873B6C">
        <w:t>-</w:t>
      </w:r>
      <w:r w:rsidRPr="00873B6C">
        <w:tab/>
        <w:t>One or multiple PLMN IDs</w:t>
      </w:r>
      <w:r w:rsidR="004001F9" w:rsidRPr="00873B6C">
        <w:t>;</w:t>
      </w:r>
    </w:p>
    <w:p w14:paraId="6AD139D6" w14:textId="42958205" w:rsidR="00D40151" w:rsidRPr="00873B6C" w:rsidRDefault="00D40151" w:rsidP="00D40151">
      <w:pPr>
        <w:pStyle w:val="B1"/>
      </w:pPr>
      <w:r w:rsidRPr="00873B6C">
        <w:t>-</w:t>
      </w:r>
      <w:r w:rsidRPr="00873B6C">
        <w:tab/>
        <w:t>List of NIDs per PLMN ID identifying the non-public networks NG-RAN provides access to</w:t>
      </w:r>
      <w:r w:rsidR="004001F9" w:rsidRPr="00873B6C">
        <w:t>; and</w:t>
      </w:r>
    </w:p>
    <w:p w14:paraId="77A4AF6A" w14:textId="23D54ACE" w:rsidR="00D40151" w:rsidRPr="00873B6C" w:rsidRDefault="00D40151" w:rsidP="00D40151">
      <w:pPr>
        <w:pStyle w:val="NO"/>
      </w:pPr>
      <w:r w:rsidRPr="00873B6C">
        <w:t>NOTE 1:</w:t>
      </w:r>
      <w:r w:rsidRPr="00873B6C">
        <w:tab/>
        <w:t xml:space="preserve">It is assumed that an NG-RAN node supports broadcasting a total of twelve NIDs. Further details are defined in </w:t>
      </w:r>
      <w:r w:rsidR="00972E70" w:rsidRPr="00873B6C">
        <w:t>TS 38.331 [</w:t>
      </w:r>
      <w:r w:rsidRPr="00873B6C">
        <w:t>28].</w:t>
      </w:r>
    </w:p>
    <w:p w14:paraId="03EA6C46" w14:textId="77777777" w:rsidR="00D40151" w:rsidRPr="00873B6C" w:rsidRDefault="00D40151" w:rsidP="00D40151">
      <w:pPr>
        <w:pStyle w:val="NO"/>
      </w:pPr>
      <w:r w:rsidRPr="00873B6C">
        <w:t>NOTE°2:</w:t>
      </w:r>
      <w:r w:rsidRPr="00873B6C">
        <w:tab/>
        <w:t>The presence of a list of NIDs for a PLMN ID indicates that the related PLMN ID and NIDs identify SNPNs.</w:t>
      </w:r>
    </w:p>
    <w:p w14:paraId="01213FE4" w14:textId="77777777" w:rsidR="00B00E92" w:rsidRPr="00873B6C" w:rsidRDefault="00D40151" w:rsidP="00D40151">
      <w:pPr>
        <w:pStyle w:val="B1"/>
      </w:pPr>
      <w:r w:rsidRPr="00873B6C">
        <w:t>-</w:t>
      </w:r>
      <w:r w:rsidRPr="00873B6C">
        <w:tab/>
        <w:t>Optionally</w:t>
      </w:r>
      <w:r w:rsidR="00B00E92" w:rsidRPr="00873B6C">
        <w:t>:</w:t>
      </w:r>
    </w:p>
    <w:p w14:paraId="53486928" w14:textId="1CA81981" w:rsidR="00D40151" w:rsidRPr="00873B6C" w:rsidRDefault="00B00E92" w:rsidP="00323277">
      <w:pPr>
        <w:pStyle w:val="B2"/>
      </w:pPr>
      <w:r w:rsidRPr="00873B6C">
        <w:t>-</w:t>
      </w:r>
      <w:r w:rsidRPr="00873B6C">
        <w:tab/>
        <w:t xml:space="preserve">A </w:t>
      </w:r>
      <w:r w:rsidR="00D40151" w:rsidRPr="00873B6C">
        <w:t>human-readable network name per</w:t>
      </w:r>
      <w:r w:rsidRPr="00873B6C">
        <w:t xml:space="preserve"> SNPN;</w:t>
      </w:r>
    </w:p>
    <w:p w14:paraId="1BF7186C" w14:textId="7CD4ABCC" w:rsidR="00D40151" w:rsidRPr="00873B6C" w:rsidRDefault="00D40151" w:rsidP="00D40151">
      <w:pPr>
        <w:pStyle w:val="NO"/>
      </w:pPr>
      <w:r w:rsidRPr="00873B6C">
        <w:t>NOTE 3:</w:t>
      </w:r>
      <w:r w:rsidRPr="00873B6C">
        <w:tab/>
        <w:t>The human-readable network name per</w:t>
      </w:r>
      <w:r w:rsidR="00B00E92" w:rsidRPr="00873B6C">
        <w:t xml:space="preserve"> SNPN</w:t>
      </w:r>
      <w:r w:rsidRPr="00873B6C">
        <w:t xml:space="preserve"> is only used for manual SNPN selection.</w:t>
      </w:r>
      <w:r w:rsidR="0022127D" w:rsidRPr="00873B6C">
        <w:t xml:space="preserve"> If the SNPN supports </w:t>
      </w:r>
      <w:r w:rsidR="00BE0437" w:rsidRPr="00873B6C">
        <w:t>L</w:t>
      </w:r>
      <w:r w:rsidR="0022127D" w:rsidRPr="00873B6C">
        <w:t xml:space="preserve">ocalized </w:t>
      </w:r>
      <w:r w:rsidR="00BE0437" w:rsidRPr="00873B6C">
        <w:t>S</w:t>
      </w:r>
      <w:r w:rsidR="0022127D" w:rsidRPr="00873B6C">
        <w:t xml:space="preserve">ervice, the human-readable network name of the SNPN can be information related to the </w:t>
      </w:r>
      <w:r w:rsidR="00BE0437" w:rsidRPr="00873B6C">
        <w:t>L</w:t>
      </w:r>
      <w:r w:rsidR="0022127D" w:rsidRPr="00873B6C">
        <w:t xml:space="preserve">ocalized </w:t>
      </w:r>
      <w:r w:rsidR="00BE0437" w:rsidRPr="00873B6C">
        <w:t>S</w:t>
      </w:r>
      <w:r w:rsidR="0022127D" w:rsidRPr="00873B6C">
        <w:t>ervice.</w:t>
      </w:r>
      <w:r w:rsidRPr="00873B6C">
        <w:t xml:space="preserve"> The mechanism how human-readable network name is provided (i.e. whether it is broadcasted or unicasted) to the UE is specified in </w:t>
      </w:r>
      <w:r w:rsidR="00972E70" w:rsidRPr="00873B6C">
        <w:t>TS 38.331 [</w:t>
      </w:r>
      <w:r w:rsidRPr="00873B6C">
        <w:t>28].</w:t>
      </w:r>
    </w:p>
    <w:p w14:paraId="7170A87F" w14:textId="4E0D5E74" w:rsidR="00D40151" w:rsidRPr="00873B6C" w:rsidRDefault="00D40151" w:rsidP="00323277">
      <w:pPr>
        <w:pStyle w:val="B2"/>
      </w:pPr>
      <w:r w:rsidRPr="00873B6C">
        <w:lastRenderedPageBreak/>
        <w:t>-</w:t>
      </w:r>
      <w:r w:rsidRPr="00873B6C">
        <w:tab/>
      </w:r>
      <w:r w:rsidR="00B00E92" w:rsidRPr="00873B6C">
        <w:t>I</w:t>
      </w:r>
      <w:r w:rsidRPr="00873B6C">
        <w:t xml:space="preserve">nformation, as described in </w:t>
      </w:r>
      <w:r w:rsidR="00972E70" w:rsidRPr="00873B6C">
        <w:t>TS 38.300 [</w:t>
      </w:r>
      <w:r w:rsidRPr="00873B6C">
        <w:t xml:space="preserve">27], </w:t>
      </w:r>
      <w:r w:rsidR="00972E70" w:rsidRPr="00873B6C">
        <w:t>TS 38.331 [</w:t>
      </w:r>
      <w:r w:rsidRPr="00873B6C">
        <w:t xml:space="preserve">28] and in </w:t>
      </w:r>
      <w:r w:rsidR="00972E70" w:rsidRPr="00873B6C">
        <w:t>TS 38.304 [</w:t>
      </w:r>
      <w:r w:rsidRPr="00873B6C">
        <w:t>50], to prevent UEs not supporting SNPNs from accessing the cell, e.g. if the cell only provides access to non-public networks</w:t>
      </w:r>
      <w:r w:rsidR="00B00E92" w:rsidRPr="00873B6C">
        <w:t>;</w:t>
      </w:r>
    </w:p>
    <w:p w14:paraId="054E60BD" w14:textId="77777777" w:rsidR="00B00E92" w:rsidRPr="00873B6C" w:rsidRDefault="00B00E92" w:rsidP="00B00E92">
      <w:pPr>
        <w:pStyle w:val="B2"/>
      </w:pPr>
      <w:bookmarkStart w:id="4187" w:name="_Toc20150087"/>
      <w:bookmarkStart w:id="4188" w:name="_Toc27846886"/>
      <w:bookmarkStart w:id="4189" w:name="_Toc36188017"/>
      <w:bookmarkStart w:id="4190" w:name="_Toc45183922"/>
      <w:bookmarkStart w:id="4191" w:name="_Toc47342764"/>
      <w:bookmarkStart w:id="4192" w:name="_Toc51769466"/>
      <w:r w:rsidRPr="00873B6C">
        <w:t>-</w:t>
      </w:r>
      <w:r w:rsidRPr="00873B6C">
        <w:tab/>
        <w:t>An indication per SNPN of whether access using credentials from a Credentials Holder is supported;</w:t>
      </w:r>
    </w:p>
    <w:p w14:paraId="7F6DAA3C" w14:textId="4CC6EADF" w:rsidR="00B00E92" w:rsidRPr="00873B6C" w:rsidRDefault="00B00E92" w:rsidP="00B00E92">
      <w:pPr>
        <w:pStyle w:val="B2"/>
      </w:pPr>
      <w:r w:rsidRPr="00873B6C">
        <w:t>-</w:t>
      </w:r>
      <w:r w:rsidRPr="00873B6C">
        <w:tab/>
        <w:t>List of supported Group IDs for Network Selection (GINs) per SNPN;</w:t>
      </w:r>
      <w:r w:rsidR="004001F9" w:rsidRPr="00873B6C">
        <w:t xml:space="preserve"> and</w:t>
      </w:r>
    </w:p>
    <w:p w14:paraId="675A8834" w14:textId="5973A64C" w:rsidR="00B00E92" w:rsidRPr="00873B6C" w:rsidRDefault="00B00E92" w:rsidP="00B00E92">
      <w:pPr>
        <w:pStyle w:val="B2"/>
      </w:pPr>
      <w:r w:rsidRPr="00873B6C">
        <w:t>-</w:t>
      </w:r>
      <w:r w:rsidRPr="00873B6C">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252258A0" w:rsidR="00B00E92" w:rsidRPr="00873B6C" w:rsidRDefault="00B00E92" w:rsidP="00323277">
      <w:pPr>
        <w:pStyle w:val="NO"/>
      </w:pPr>
      <w:r w:rsidRPr="00873B6C">
        <w:t>NOTE 4:</w:t>
      </w:r>
      <w:r w:rsidRPr="00873B6C">
        <w:tab/>
        <w:t xml:space="preserve">Further details (including number of supported GINs per SNPN) are defined in </w:t>
      </w:r>
      <w:r w:rsidR="00972E70" w:rsidRPr="00873B6C">
        <w:t>TS 38.331 [</w:t>
      </w:r>
      <w:r w:rsidRPr="00873B6C">
        <w:t>28].</w:t>
      </w:r>
    </w:p>
    <w:p w14:paraId="09FCF1FF" w14:textId="3F3CA4EE" w:rsidR="00D40151" w:rsidRPr="00873B6C" w:rsidRDefault="00D40151" w:rsidP="00D40151">
      <w:pPr>
        <w:pStyle w:val="Heading4"/>
      </w:pPr>
      <w:bookmarkStart w:id="4193" w:name="_CR5_30_2_3"/>
      <w:bookmarkStart w:id="4194" w:name="_Toc201157514"/>
      <w:bookmarkEnd w:id="4193"/>
      <w:r w:rsidRPr="00873B6C">
        <w:t>5.30.2.3</w:t>
      </w:r>
      <w:r w:rsidRPr="00873B6C">
        <w:tab/>
        <w:t>UE configuration and subscription aspects</w:t>
      </w:r>
      <w:bookmarkEnd w:id="4187"/>
      <w:bookmarkEnd w:id="4188"/>
      <w:bookmarkEnd w:id="4189"/>
      <w:bookmarkEnd w:id="4190"/>
      <w:bookmarkEnd w:id="4191"/>
      <w:bookmarkEnd w:id="4192"/>
      <w:bookmarkEnd w:id="4194"/>
    </w:p>
    <w:p w14:paraId="0EC9BE23" w14:textId="77777777" w:rsidR="00B00E92" w:rsidRPr="00873B6C" w:rsidRDefault="00D40151" w:rsidP="00D40151">
      <w:r w:rsidRPr="00873B6C">
        <w:t xml:space="preserve">An SNPN-enabled UE is configured with </w:t>
      </w:r>
      <w:r w:rsidR="00B00E92" w:rsidRPr="00873B6C">
        <w:t>the following information for each subscribed SNPN:</w:t>
      </w:r>
    </w:p>
    <w:p w14:paraId="68935418" w14:textId="6245D0CB" w:rsidR="00B00E92" w:rsidRPr="00873B6C" w:rsidRDefault="00B00E92" w:rsidP="00323277">
      <w:pPr>
        <w:pStyle w:val="B1"/>
      </w:pPr>
      <w:r w:rsidRPr="00873B6C">
        <w:t>-</w:t>
      </w:r>
      <w:r w:rsidRPr="00873B6C">
        <w:tab/>
        <w:t>PLMN ID and NID of the</w:t>
      </w:r>
      <w:r w:rsidR="00EC761C" w:rsidRPr="00873B6C">
        <w:t xml:space="preserve"> subscribed</w:t>
      </w:r>
      <w:r w:rsidRPr="00873B6C">
        <w:t xml:space="preserve"> SNPN;</w:t>
      </w:r>
    </w:p>
    <w:p w14:paraId="533A71D6" w14:textId="4A44A908" w:rsidR="00B00E92" w:rsidRPr="00873B6C" w:rsidRDefault="00B00E92" w:rsidP="00B00E92">
      <w:pPr>
        <w:pStyle w:val="B1"/>
      </w:pPr>
      <w:r w:rsidRPr="00873B6C">
        <w:t>-</w:t>
      </w:r>
      <w:r w:rsidRPr="00873B6C">
        <w:tab/>
        <w:t>Subscri</w:t>
      </w:r>
      <w:r w:rsidR="00EC761C" w:rsidRPr="00873B6C">
        <w:t xml:space="preserve">ption </w:t>
      </w:r>
      <w:r w:rsidRPr="00873B6C">
        <w:t>identifier (SUPI) and credentials</w:t>
      </w:r>
      <w:r w:rsidR="00EC761C" w:rsidRPr="00873B6C">
        <w:t xml:space="preserve"> for the subscribed SNPN</w:t>
      </w:r>
      <w:r w:rsidRPr="00873B6C">
        <w:t>;</w:t>
      </w:r>
    </w:p>
    <w:p w14:paraId="73F96E8A" w14:textId="403E8AE5" w:rsidR="00B00E92" w:rsidRPr="00873B6C" w:rsidRDefault="00B00E92" w:rsidP="00B00E92">
      <w:pPr>
        <w:pStyle w:val="B1"/>
      </w:pPr>
      <w:r w:rsidRPr="00873B6C">
        <w:t>-</w:t>
      </w:r>
      <w:r w:rsidRPr="00873B6C">
        <w:tab/>
        <w:t>Optionally, an N3IWF FQDN and</w:t>
      </w:r>
      <w:r w:rsidR="00D51D1B" w:rsidRPr="00873B6C">
        <w:t xml:space="preserve"> the MCC</w:t>
      </w:r>
      <w:r w:rsidRPr="00873B6C">
        <w:t xml:space="preserve"> of the country where the configured N3IWF is located;</w:t>
      </w:r>
    </w:p>
    <w:p w14:paraId="7042A38C" w14:textId="77777777" w:rsidR="00AA4C8A" w:rsidRPr="00873B6C" w:rsidRDefault="00AA4C8A" w:rsidP="00B00E92">
      <w:pPr>
        <w:pStyle w:val="B1"/>
      </w:pPr>
      <w:r w:rsidRPr="00873B6C">
        <w:t>-</w:t>
      </w:r>
      <w:r w:rsidRPr="00873B6C">
        <w:tab/>
        <w:t>Optionally, if the UE supports access to an SNPN using credentials from a Credentials Holder:</w:t>
      </w:r>
    </w:p>
    <w:p w14:paraId="71810D87" w14:textId="77777777" w:rsidR="00AA4C8A" w:rsidRPr="00873B6C" w:rsidRDefault="00AA4C8A" w:rsidP="005A13C0">
      <w:pPr>
        <w:pStyle w:val="B2"/>
      </w:pPr>
      <w:r w:rsidRPr="00873B6C">
        <w:t>-</w:t>
      </w:r>
      <w:r w:rsidRPr="00873B6C">
        <w:tab/>
        <w:t>User controlled prioritized list of preferred SNPNs;</w:t>
      </w:r>
    </w:p>
    <w:p w14:paraId="7B139B02" w14:textId="77777777" w:rsidR="00AA4C8A" w:rsidRPr="00873B6C" w:rsidRDefault="00AA4C8A" w:rsidP="005A13C0">
      <w:pPr>
        <w:pStyle w:val="B2"/>
      </w:pPr>
      <w:r w:rsidRPr="00873B6C">
        <w:t>-</w:t>
      </w:r>
      <w:r w:rsidRPr="00873B6C">
        <w:tab/>
        <w:t>Credentials Holder controlled prioritized list of preferred SNPNs;</w:t>
      </w:r>
    </w:p>
    <w:p w14:paraId="28EEE45E" w14:textId="1BA85296" w:rsidR="00AA4C8A" w:rsidRPr="00873B6C" w:rsidRDefault="00AA4C8A" w:rsidP="005A13C0">
      <w:pPr>
        <w:pStyle w:val="B2"/>
      </w:pPr>
      <w:r w:rsidRPr="00873B6C">
        <w:t>-</w:t>
      </w:r>
      <w:r w:rsidRPr="00873B6C">
        <w:tab/>
        <w:t>Credentials Holder controlled prioritized list of GINs;</w:t>
      </w:r>
    </w:p>
    <w:p w14:paraId="39437683" w14:textId="5948E271" w:rsidR="00B00E92" w:rsidRPr="00873B6C" w:rsidRDefault="00B00E92" w:rsidP="00B00E92">
      <w:pPr>
        <w:pStyle w:val="B1"/>
      </w:pPr>
      <w:r w:rsidRPr="00873B6C">
        <w:t>-</w:t>
      </w:r>
      <w:r w:rsidRPr="00873B6C">
        <w:tab/>
        <w:t>Optionally, if the UE supports access to an SNPN using credentials from a Credentials Holder</w:t>
      </w:r>
      <w:r w:rsidR="00AA4C8A" w:rsidRPr="00873B6C">
        <w:t xml:space="preserve"> and access to an SNPN providing access for Localized Services</w:t>
      </w:r>
      <w:r w:rsidRPr="00873B6C">
        <w:t>:</w:t>
      </w:r>
    </w:p>
    <w:p w14:paraId="0E8F414E" w14:textId="51691F18" w:rsidR="00B00E92" w:rsidRPr="00873B6C" w:rsidRDefault="00B00E92" w:rsidP="00323277">
      <w:pPr>
        <w:pStyle w:val="B2"/>
      </w:pPr>
      <w:r w:rsidRPr="00873B6C">
        <w:t>-</w:t>
      </w:r>
      <w:r w:rsidRPr="00873B6C">
        <w:tab/>
        <w:t>User controlled prioritized list of preferred SNPNs;</w:t>
      </w:r>
    </w:p>
    <w:p w14:paraId="40FD6B13" w14:textId="41D20634" w:rsidR="00B00E92" w:rsidRPr="00873B6C" w:rsidRDefault="00B00E92" w:rsidP="00323277">
      <w:pPr>
        <w:pStyle w:val="B2"/>
      </w:pPr>
      <w:r w:rsidRPr="00873B6C">
        <w:t>-</w:t>
      </w:r>
      <w:r w:rsidRPr="00873B6C">
        <w:tab/>
        <w:t>Credentials Holder controlled prioritized list of preferred SNPNs</w:t>
      </w:r>
      <w:r w:rsidR="00AA4C8A" w:rsidRPr="00873B6C">
        <w:t xml:space="preserve"> for accessing Localized Services</w:t>
      </w:r>
      <w:r w:rsidR="00BC24B5" w:rsidRPr="00873B6C">
        <w:t>, each entry of the list includes:</w:t>
      </w:r>
    </w:p>
    <w:p w14:paraId="5AE13D7F" w14:textId="1D1746F6" w:rsidR="00BC24B5" w:rsidRPr="00873B6C" w:rsidRDefault="00BC24B5" w:rsidP="00972E70">
      <w:pPr>
        <w:pStyle w:val="B3"/>
      </w:pPr>
      <w:r w:rsidRPr="00873B6C">
        <w:t>-</w:t>
      </w:r>
      <w:r w:rsidRPr="00873B6C">
        <w:tab/>
        <w:t>an SNPN identifier;</w:t>
      </w:r>
    </w:p>
    <w:p w14:paraId="5C02E87A" w14:textId="19907E7A" w:rsidR="00BC24B5" w:rsidRPr="00873B6C" w:rsidRDefault="00BC24B5" w:rsidP="00972E70">
      <w:pPr>
        <w:pStyle w:val="B3"/>
      </w:pPr>
      <w:r w:rsidRPr="00873B6C">
        <w:t>-</w:t>
      </w:r>
      <w:r w:rsidRPr="00873B6C">
        <w:tab/>
        <w:t>validity information;</w:t>
      </w:r>
      <w:r w:rsidR="00AA4C8A" w:rsidRPr="00873B6C">
        <w:t xml:space="preserve"> and</w:t>
      </w:r>
    </w:p>
    <w:p w14:paraId="7DEABD41" w14:textId="185FE62E" w:rsidR="00AA4C8A" w:rsidRPr="00873B6C" w:rsidRDefault="00AA4C8A" w:rsidP="00AA4C8A">
      <w:pPr>
        <w:pStyle w:val="B3"/>
      </w:pPr>
      <w:r w:rsidRPr="00873B6C">
        <w:t>-</w:t>
      </w:r>
      <w:r w:rsidRPr="00873B6C">
        <w:tab/>
        <w:t>optionally, location assistance information;</w:t>
      </w:r>
    </w:p>
    <w:p w14:paraId="354739F8" w14:textId="78706B98" w:rsidR="00B00E92" w:rsidRPr="00873B6C" w:rsidRDefault="00B00E92" w:rsidP="00323277">
      <w:pPr>
        <w:pStyle w:val="B2"/>
      </w:pPr>
      <w:r w:rsidRPr="00873B6C">
        <w:t>-</w:t>
      </w:r>
      <w:r w:rsidRPr="00873B6C">
        <w:tab/>
        <w:t>Credentials Holder controlled prioritized list of GINs</w:t>
      </w:r>
      <w:r w:rsidR="00AA4C8A" w:rsidRPr="00873B6C">
        <w:t xml:space="preserve"> for accessing Localized Services</w:t>
      </w:r>
      <w:r w:rsidR="00BC24B5" w:rsidRPr="00873B6C">
        <w:t>, each entry of the list includes:</w:t>
      </w:r>
    </w:p>
    <w:p w14:paraId="030AD3EF" w14:textId="5750CE75" w:rsidR="00BC24B5" w:rsidRPr="00873B6C" w:rsidRDefault="00BC24B5" w:rsidP="00972E70">
      <w:pPr>
        <w:pStyle w:val="B3"/>
      </w:pPr>
      <w:r w:rsidRPr="00873B6C">
        <w:t>-</w:t>
      </w:r>
      <w:r w:rsidRPr="00873B6C">
        <w:tab/>
        <w:t>a GIN;</w:t>
      </w:r>
    </w:p>
    <w:p w14:paraId="7D3AFEC8" w14:textId="63003991" w:rsidR="00BC24B5" w:rsidRPr="00873B6C" w:rsidRDefault="00BC24B5" w:rsidP="00972E70">
      <w:pPr>
        <w:pStyle w:val="B3"/>
      </w:pPr>
      <w:r w:rsidRPr="00873B6C">
        <w:t>-</w:t>
      </w:r>
      <w:r w:rsidRPr="00873B6C">
        <w:tab/>
        <w:t>validity information;</w:t>
      </w:r>
      <w:r w:rsidR="00AA4C8A" w:rsidRPr="00873B6C">
        <w:t xml:space="preserve"> and</w:t>
      </w:r>
    </w:p>
    <w:p w14:paraId="37CEB857" w14:textId="3D196644" w:rsidR="00AA4C8A" w:rsidRPr="00873B6C" w:rsidRDefault="00AA4C8A" w:rsidP="00AA4C8A">
      <w:pPr>
        <w:pStyle w:val="B3"/>
      </w:pPr>
      <w:r w:rsidRPr="00873B6C">
        <w:t>-</w:t>
      </w:r>
      <w:r w:rsidRPr="00873B6C">
        <w:tab/>
        <w:t>optionally, location assistance information;</w:t>
      </w:r>
    </w:p>
    <w:p w14:paraId="17FF4D4B" w14:textId="63981100" w:rsidR="0054498C" w:rsidRPr="00873B6C" w:rsidRDefault="0054498C" w:rsidP="00695DF1">
      <w:pPr>
        <w:pStyle w:val="B1"/>
      </w:pPr>
      <w:r w:rsidRPr="00873B6C">
        <w:t>-</w:t>
      </w:r>
      <w:r w:rsidRPr="00873B6C">
        <w:tab/>
        <w:t xml:space="preserve">Protection scheme for concealing the SUPI as defined in </w:t>
      </w:r>
      <w:r w:rsidR="00972E70" w:rsidRPr="00873B6C">
        <w:t>TS 33.501 [</w:t>
      </w:r>
      <w:r w:rsidRPr="00873B6C">
        <w:t>29]</w:t>
      </w:r>
      <w:r w:rsidR="00BC24B5" w:rsidRPr="00873B6C">
        <w:t>.</w:t>
      </w:r>
    </w:p>
    <w:p w14:paraId="484B3E6B" w14:textId="239FD56D" w:rsidR="0054498C" w:rsidRPr="00873B6C" w:rsidRDefault="0054498C" w:rsidP="00695DF1">
      <w:pPr>
        <w:pStyle w:val="NO"/>
      </w:pPr>
      <w:r w:rsidRPr="00873B6C">
        <w:t>NOTE</w:t>
      </w:r>
      <w:r w:rsidR="00BC24B5" w:rsidRPr="00873B6C">
        <w:t> 1</w:t>
      </w:r>
      <w:r w:rsidRPr="00873B6C">
        <w:t>:</w:t>
      </w:r>
      <w:r w:rsidRPr="00873B6C">
        <w:tab/>
        <w:t xml:space="preserve">Additionally the UE can be configured with indication to use anonymous SUCI as defined in </w:t>
      </w:r>
      <w:r w:rsidR="00972E70" w:rsidRPr="00873B6C">
        <w:t>TS 24.501 [</w:t>
      </w:r>
      <w:r w:rsidRPr="00873B6C">
        <w:t>47].</w:t>
      </w:r>
    </w:p>
    <w:p w14:paraId="0E22A77C" w14:textId="635A3519" w:rsidR="00902C1F" w:rsidRPr="00873B6C" w:rsidRDefault="00902C1F" w:rsidP="00D40151">
      <w:r w:rsidRPr="00873B6C">
        <w:t>Validity information consists of:</w:t>
      </w:r>
    </w:p>
    <w:p w14:paraId="5F978568" w14:textId="229DC4A9" w:rsidR="00902C1F" w:rsidRPr="00873B6C" w:rsidRDefault="00902C1F" w:rsidP="00972E70">
      <w:pPr>
        <w:pStyle w:val="B1"/>
      </w:pPr>
      <w:r w:rsidRPr="00873B6C">
        <w:t>-</w:t>
      </w:r>
      <w:r w:rsidRPr="00873B6C">
        <w:tab/>
        <w:t>Time validity information, i.e. time periods (defined by start and end times) when access to the SNPN</w:t>
      </w:r>
      <w:r w:rsidR="00AA4C8A" w:rsidRPr="00873B6C">
        <w:t xml:space="preserve"> for accessing Localized Services</w:t>
      </w:r>
      <w:r w:rsidRPr="00873B6C">
        <w:t xml:space="preserve"> is allowed; and</w:t>
      </w:r>
    </w:p>
    <w:p w14:paraId="6FABC017" w14:textId="582F8321" w:rsidR="00F13E92" w:rsidRPr="00873B6C" w:rsidRDefault="00F13E92" w:rsidP="00F13E92">
      <w:pPr>
        <w:pStyle w:val="B1"/>
      </w:pPr>
      <w:r w:rsidRPr="00873B6C">
        <w:t>-</w:t>
      </w:r>
      <w:r w:rsidRPr="00873B6C">
        <w:tab/>
        <w:t>optionally, location validity information containing one or more location information as defined in TS 24.501 [47].</w:t>
      </w:r>
    </w:p>
    <w:p w14:paraId="70B04B6B" w14:textId="3536A39C" w:rsidR="00CD22D1" w:rsidRPr="00873B6C" w:rsidRDefault="00CD22D1" w:rsidP="00CD22D1">
      <w:pPr>
        <w:pStyle w:val="NO"/>
      </w:pPr>
      <w:r w:rsidRPr="00873B6C">
        <w:lastRenderedPageBreak/>
        <w:t>NOTE 2:</w:t>
      </w:r>
      <w:r w:rsidRPr="00873B6C">
        <w:tab/>
        <w:t>Usage of the location validity information is further explained in TS 23.122 [17].</w:t>
      </w:r>
    </w:p>
    <w:p w14:paraId="4F455249" w14:textId="36A7F205" w:rsidR="00AA4C8A" w:rsidRPr="00873B6C" w:rsidRDefault="00AA4C8A" w:rsidP="005A13C0">
      <w:r w:rsidRPr="00873B6C">
        <w:t>Location assistance information consisting of:</w:t>
      </w:r>
    </w:p>
    <w:p w14:paraId="756E3375" w14:textId="45D2C34D" w:rsidR="00902C1F" w:rsidRPr="00873B6C" w:rsidRDefault="00902C1F" w:rsidP="005A13C0">
      <w:pPr>
        <w:pStyle w:val="B1"/>
      </w:pPr>
      <w:r w:rsidRPr="00873B6C">
        <w:t>-</w:t>
      </w:r>
      <w:r w:rsidRPr="00873B6C">
        <w:tab/>
        <w:t>Geolocation information</w:t>
      </w:r>
      <w:r w:rsidR="00472CD7" w:rsidRPr="00873B6C">
        <w:t xml:space="preserve"> and</w:t>
      </w:r>
      <w:r w:rsidRPr="00873B6C">
        <w:t>/or,</w:t>
      </w:r>
    </w:p>
    <w:p w14:paraId="0615E52D" w14:textId="77777777" w:rsidR="00902C1F" w:rsidRPr="00873B6C" w:rsidRDefault="00902C1F" w:rsidP="005A13C0">
      <w:pPr>
        <w:pStyle w:val="B1"/>
      </w:pPr>
      <w:r w:rsidRPr="00873B6C">
        <w:t>-</w:t>
      </w:r>
      <w:r w:rsidRPr="00873B6C">
        <w:tab/>
        <w:t>Tracking Area information of serving networks, i.e. lists of TACs per PLMN ID or per PLMN ID and NID.</w:t>
      </w:r>
    </w:p>
    <w:p w14:paraId="450A4441" w14:textId="77777777" w:rsidR="00AA4C8A" w:rsidRPr="00873B6C" w:rsidRDefault="00AA4C8A" w:rsidP="00AA4C8A">
      <w:r w:rsidRPr="00873B6C">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0ACDB9BE" w14:textId="0E9193A9" w:rsidR="00AA4C8A" w:rsidRPr="00873B6C" w:rsidRDefault="00AA4C8A" w:rsidP="00AA4C8A">
      <w:r w:rsidRPr="00873B6C">
        <w:t>For an SNPN-enabled UE with SNPN subscription, the Credentials Holder controlled prioritized lists of preferred SNPNs and GINs, or Credentials Holder controlled prioritized lists of preferred SNPNs and GINs for accessing Localized Services may be updated by the Credentials Holder using the Steering of Roaming (SoR) procedure as defined in Annex C of TS 23.122 [17]. Updating Credentials Holder controlled prioritized lists of preferred SNPNs and GINs, or Credentials Holder controlled prioritized lists of preferred SNPNs and GINs for accessing Localized Services via the Steering of Roaming (SoR) procedure is not applicable for Credentials Holder with AAA Server.</w:t>
      </w:r>
    </w:p>
    <w:p w14:paraId="711FD634" w14:textId="7C619AE6" w:rsidR="00D40151" w:rsidRPr="00873B6C" w:rsidRDefault="00D40151" w:rsidP="00D40151">
      <w:r w:rsidRPr="00873B6C">
        <w:t xml:space="preserve">A </w:t>
      </w:r>
      <w:r w:rsidR="003F2E5D" w:rsidRPr="00873B6C">
        <w:t xml:space="preserve">subscription </w:t>
      </w:r>
      <w:r w:rsidRPr="00873B6C">
        <w:t>of an SNPN is either:</w:t>
      </w:r>
    </w:p>
    <w:p w14:paraId="6D6976F5" w14:textId="66452A36" w:rsidR="00D40151" w:rsidRPr="00873B6C" w:rsidRDefault="00D40151" w:rsidP="00D40151">
      <w:pPr>
        <w:pStyle w:val="B1"/>
      </w:pPr>
      <w:r w:rsidRPr="00873B6C">
        <w:t>-</w:t>
      </w:r>
      <w:r w:rsidRPr="00873B6C">
        <w:tab/>
        <w:t>identified by a SUPI containing a network-specific identifier that takes the form of a Network Access Identifier (NAI) using the NAI RFC 7542 [20] based user identification as defined in</w:t>
      </w:r>
      <w:r w:rsidR="00131D56" w:rsidRPr="00873B6C">
        <w:t xml:space="preserve"> clause 28.7.2</w:t>
      </w:r>
      <w:r w:rsidRPr="00873B6C">
        <w:t xml:space="preserve"> </w:t>
      </w:r>
      <w:r w:rsidR="00131D56" w:rsidRPr="00873B6C">
        <w:t xml:space="preserve">of </w:t>
      </w:r>
      <w:r w:rsidR="00972E70" w:rsidRPr="00873B6C">
        <w:t>TS 23.003 [</w:t>
      </w:r>
      <w:r w:rsidRPr="00873B6C">
        <w:t>19]. The realm part of the NAI may include the NID of the SNPN; or</w:t>
      </w:r>
    </w:p>
    <w:p w14:paraId="02058EC4" w14:textId="77777777" w:rsidR="00D40151" w:rsidRPr="00873B6C" w:rsidRDefault="00D40151" w:rsidP="00D40151">
      <w:pPr>
        <w:pStyle w:val="B1"/>
      </w:pPr>
      <w:r w:rsidRPr="00873B6C">
        <w:t>-</w:t>
      </w:r>
      <w:r w:rsidRPr="00873B6C">
        <w:tab/>
        <w:t>identified by a SUPI containing an IMSI.</w:t>
      </w:r>
    </w:p>
    <w:p w14:paraId="6822CBFE" w14:textId="7BC959F2" w:rsidR="003F2E5D" w:rsidRPr="00873B6C" w:rsidRDefault="003F2E5D" w:rsidP="003F2E5D">
      <w:pPr>
        <w:pStyle w:val="NO"/>
      </w:pPr>
      <w:r w:rsidRPr="00873B6C">
        <w:t>NOTE </w:t>
      </w:r>
      <w:r w:rsidR="00CD22D1" w:rsidRPr="00873B6C">
        <w:t>3</w:t>
      </w:r>
      <w:r w:rsidRPr="00873B6C">
        <w:t>:</w:t>
      </w:r>
      <w:r w:rsidRPr="00873B6C">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972E70" w:rsidRPr="00873B6C">
        <w:t>TS 23.502 [</w:t>
      </w:r>
      <w:r w:rsidRPr="00873B6C">
        <w:t>3]. When the SNPN credential is stored in the USIM, the Routing Indicator is provisioned in the USIM, when the SNPN credential is stored in the ME, the Routing Indicator is provisioned in the ME.</w:t>
      </w:r>
    </w:p>
    <w:p w14:paraId="5280DC69" w14:textId="5AE9F9E7" w:rsidR="000E35F2" w:rsidRPr="00873B6C" w:rsidRDefault="000E35F2" w:rsidP="00D40151">
      <w:r w:rsidRPr="00873B6C">
        <w:t>In the case of access to an SNPN using credentials owned by a Credentials Holder as specified in</w:t>
      </w:r>
      <w:r w:rsidR="00EC761C" w:rsidRPr="00873B6C">
        <w:t xml:space="preserve"> clause 5.30.2.9.2 and</w:t>
      </w:r>
      <w:r w:rsidRPr="00873B6C">
        <w:t xml:space="preserve"> clause 5.30.2.</w:t>
      </w:r>
      <w:r w:rsidR="00A57580" w:rsidRPr="00873B6C">
        <w:t>9.3</w:t>
      </w:r>
      <w:r w:rsidRPr="00873B6C">
        <w:t>, the SUPI shall also contain identification for the Credentials Holder (i.e. the realm in the case of Network Specific Identifier based SUPI or the MCC and MNC in the case of an IMSI based SUPI).</w:t>
      </w:r>
      <w:r w:rsidR="00C1580A" w:rsidRPr="00873B6C">
        <w:t xml:space="preserve"> In the case of access to an SNPN using credentials owned by a Credentials Holder using AAA-S as specified in clause 5.30.2.9.2, only Network Specific Identifier based SUPI is supported.</w:t>
      </w:r>
    </w:p>
    <w:p w14:paraId="7829CAA3" w14:textId="7DF20F4A" w:rsidR="000E35F2" w:rsidRPr="00873B6C" w:rsidRDefault="000E35F2" w:rsidP="00323277">
      <w:pPr>
        <w:pStyle w:val="NO"/>
      </w:pPr>
      <w:r w:rsidRPr="00873B6C">
        <w:t>NOTE </w:t>
      </w:r>
      <w:r w:rsidR="00CD22D1" w:rsidRPr="00873B6C">
        <w:t>4</w:t>
      </w:r>
      <w:r w:rsidRPr="00873B6C">
        <w:t>:</w:t>
      </w:r>
      <w:r w:rsidRPr="00873B6C">
        <w:tab/>
        <w:t>When Credentials Holder is an SNPN</w:t>
      </w:r>
      <w:r w:rsidR="00472CD7" w:rsidRPr="00873B6C">
        <w:t xml:space="preserve"> and</w:t>
      </w:r>
      <w:r w:rsidRPr="00873B6C">
        <w:t xml:space="preserve"> the MCC and MNC of the SNPN is not unique</w:t>
      </w:r>
      <w:r w:rsidR="00C1580A" w:rsidRPr="00873B6C">
        <w:t xml:space="preserve"> (e.g. MCC =999 is used and MNC is not coordinated amongst the SNPNs)</w:t>
      </w:r>
      <w:r w:rsidRPr="00873B6C">
        <w:t>, then IMSI based SUPI is not supported as the MCC and MNC need not be</w:t>
      </w:r>
      <w:r w:rsidR="0010039C" w:rsidRPr="00873B6C">
        <w:t xml:space="preserve"> globally</w:t>
      </w:r>
      <w:r w:rsidRPr="00873B6C">
        <w:t xml:space="preserve"> unique always; instead USIM credentials are supported using Network Specific Identifier based SUPI.</w:t>
      </w:r>
    </w:p>
    <w:p w14:paraId="6DA73B45" w14:textId="093178CA" w:rsidR="000E35F2" w:rsidRPr="00873B6C" w:rsidRDefault="000E35F2" w:rsidP="00323277">
      <w:pPr>
        <w:pStyle w:val="NO"/>
      </w:pPr>
      <w:r w:rsidRPr="00873B6C">
        <w:t>NOTE </w:t>
      </w:r>
      <w:r w:rsidR="00CD22D1" w:rsidRPr="00873B6C">
        <w:t>5</w:t>
      </w:r>
      <w:r w:rsidRPr="00873B6C">
        <w:t>:</w:t>
      </w:r>
      <w:r w:rsidRPr="00873B6C">
        <w:tab/>
        <w:t>Network Specific Identifier are not supported for the case the Credentials Holder is provided by a PLMN.</w:t>
      </w:r>
    </w:p>
    <w:p w14:paraId="7CEC0BB9" w14:textId="4C3943BF" w:rsidR="0010039C" w:rsidRPr="00873B6C" w:rsidRDefault="0010039C" w:rsidP="0010039C">
      <w:pPr>
        <w:pStyle w:val="NO"/>
      </w:pPr>
      <w:r w:rsidRPr="00873B6C">
        <w:t>NOTE </w:t>
      </w:r>
      <w:r w:rsidR="00CD22D1" w:rsidRPr="00873B6C">
        <w:t>6</w:t>
      </w:r>
      <w:r w:rsidRPr="00873B6C">
        <w:t>:</w:t>
      </w:r>
      <w:r w:rsidRPr="00873B6C">
        <w:tab/>
      </w:r>
      <w:r w:rsidR="0053150F" w:rsidRPr="00873B6C">
        <w:t xml:space="preserve">It </w:t>
      </w:r>
      <w:r w:rsidRPr="00873B6C">
        <w:t xml:space="preserve">is assumed that normally the SNPN and the Credentials Holder use different PLMN ID. If </w:t>
      </w:r>
      <w:r w:rsidR="0053150F" w:rsidRPr="00873B6C">
        <w:t xml:space="preserve">the </w:t>
      </w:r>
      <w:r w:rsidRPr="00873B6C">
        <w:t>SNPN and CHs</w:t>
      </w:r>
      <w:r w:rsidR="0053150F" w:rsidRPr="00873B6C">
        <w:t xml:space="preserve"> (where CH can be another SNPN or a PLMN)</w:t>
      </w:r>
      <w:r w:rsidRPr="00873B6C">
        <w:t xml:space="preserve"> share PLMN ID</w:t>
      </w:r>
      <w:r w:rsidR="00472CD7" w:rsidRPr="00873B6C">
        <w:t xml:space="preserve"> and</w:t>
      </w:r>
      <w:r w:rsidRPr="00873B6C">
        <w:t xml:space="preserve"> IMSI based SUPI is used, then </w:t>
      </w:r>
      <w:r w:rsidR="00F00626" w:rsidRPr="00873B6C">
        <w:t xml:space="preserve">the Routing Indicator </w:t>
      </w:r>
      <w:r w:rsidRPr="00873B6C">
        <w:t xml:space="preserve">can be used for AUSF/UDM discovery and selection as long as the </w:t>
      </w:r>
      <w:r w:rsidR="00F00626" w:rsidRPr="00873B6C">
        <w:t xml:space="preserve">Routing Indicator </w:t>
      </w:r>
      <w:r w:rsidRPr="00873B6C">
        <w:t>values are coordinated among the involved SNPN and CHs. When the PLMN ID is not shared between SNPNs and CHs</w:t>
      </w:r>
      <w:r w:rsidR="00C1580A" w:rsidRPr="00873B6C">
        <w:t xml:space="preserve"> (where CH can be another SNPN or a PLMN) and IMSI based SUPI is used</w:t>
      </w:r>
      <w:r w:rsidRPr="00873B6C">
        <w:t xml:space="preserve">, then PLMN ID is sufficient to be used for AUSF/UDM discovery &amp; selection unless the CHs deploys multiple AUSF/UDM in which case also </w:t>
      </w:r>
      <w:r w:rsidR="00F00626" w:rsidRPr="00873B6C">
        <w:t xml:space="preserve">the Routing Indicator </w:t>
      </w:r>
      <w:r w:rsidRPr="00873B6C">
        <w:t xml:space="preserve">can be used as long as the </w:t>
      </w:r>
      <w:r w:rsidR="00F00626" w:rsidRPr="00873B6C">
        <w:t xml:space="preserve">Routing Indicator </w:t>
      </w:r>
      <w:r w:rsidRPr="00873B6C">
        <w:t>values are coordinated within the CH.</w:t>
      </w:r>
    </w:p>
    <w:p w14:paraId="556D29B5" w14:textId="597CEC46" w:rsidR="00B00E92" w:rsidRPr="00873B6C" w:rsidRDefault="00B00E92" w:rsidP="00D40151">
      <w:r w:rsidRPr="00873B6C">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873B6C" w:rsidRDefault="00B00E92" w:rsidP="00323277">
      <w:pPr>
        <w:pStyle w:val="B1"/>
      </w:pPr>
      <w:r w:rsidRPr="00873B6C">
        <w:t>-</w:t>
      </w:r>
      <w:r w:rsidRPr="00873B6C">
        <w:tab/>
        <w:t>User controlled prioritized list of preferred SNPNs;</w:t>
      </w:r>
    </w:p>
    <w:p w14:paraId="62F161B1" w14:textId="77777777" w:rsidR="00AA4C8A" w:rsidRPr="00873B6C" w:rsidRDefault="00AA4C8A" w:rsidP="00323277">
      <w:pPr>
        <w:pStyle w:val="B1"/>
      </w:pPr>
      <w:r w:rsidRPr="00873B6C">
        <w:t>-</w:t>
      </w:r>
      <w:r w:rsidRPr="00873B6C">
        <w:tab/>
        <w:t>Credentials Holder controlled prioritized list of preferred SNPNs;</w:t>
      </w:r>
    </w:p>
    <w:p w14:paraId="13D93EB8" w14:textId="77777777" w:rsidR="00AA4C8A" w:rsidRPr="00873B6C" w:rsidRDefault="00AA4C8A" w:rsidP="00323277">
      <w:pPr>
        <w:pStyle w:val="B1"/>
      </w:pPr>
      <w:r w:rsidRPr="00873B6C">
        <w:t>-</w:t>
      </w:r>
      <w:r w:rsidRPr="00873B6C">
        <w:tab/>
        <w:t>Credentials Holder controlled prioritized list of preferred GINs.</w:t>
      </w:r>
    </w:p>
    <w:p w14:paraId="2E33EEED" w14:textId="77777777" w:rsidR="00AA4C8A" w:rsidRPr="00873B6C" w:rsidRDefault="00AA4C8A" w:rsidP="00323277">
      <w:pPr>
        <w:pStyle w:val="B1"/>
      </w:pPr>
      <w:r w:rsidRPr="00873B6C">
        <w:t>-</w:t>
      </w:r>
      <w:r w:rsidRPr="00873B6C">
        <w:tab/>
        <w:t>Optionally if the UE supports access to an SNPN providing access for Localized Services:</w:t>
      </w:r>
    </w:p>
    <w:p w14:paraId="4713EC25" w14:textId="42D02F8C" w:rsidR="00B00E92" w:rsidRPr="00873B6C" w:rsidRDefault="00B00E92" w:rsidP="005A13C0">
      <w:pPr>
        <w:pStyle w:val="B2"/>
      </w:pPr>
      <w:r w:rsidRPr="00873B6C">
        <w:lastRenderedPageBreak/>
        <w:t>-</w:t>
      </w:r>
      <w:r w:rsidRPr="00873B6C">
        <w:tab/>
        <w:t>Credentials Holder controlled prioritized list of preferred SNPNs</w:t>
      </w:r>
      <w:r w:rsidR="005A6F3B" w:rsidRPr="00873B6C">
        <w:t xml:space="preserve"> for accessing Localized Services</w:t>
      </w:r>
      <w:r w:rsidR="00902C1F" w:rsidRPr="00873B6C">
        <w:t>, each entry of the list includes:</w:t>
      </w:r>
    </w:p>
    <w:p w14:paraId="157AB576" w14:textId="2F97DB2C" w:rsidR="00902C1F" w:rsidRPr="00873B6C" w:rsidRDefault="00902C1F" w:rsidP="005A13C0">
      <w:pPr>
        <w:pStyle w:val="B3"/>
      </w:pPr>
      <w:r w:rsidRPr="00873B6C">
        <w:t>-</w:t>
      </w:r>
      <w:r w:rsidRPr="00873B6C">
        <w:tab/>
        <w:t>an SNPN identifier;</w:t>
      </w:r>
    </w:p>
    <w:p w14:paraId="799162A7" w14:textId="3262A20B" w:rsidR="00902C1F" w:rsidRPr="00873B6C" w:rsidRDefault="00902C1F" w:rsidP="005A13C0">
      <w:pPr>
        <w:pStyle w:val="B3"/>
      </w:pPr>
      <w:r w:rsidRPr="00873B6C">
        <w:t>-</w:t>
      </w:r>
      <w:r w:rsidRPr="00873B6C">
        <w:tab/>
        <w:t>validity information;</w:t>
      </w:r>
      <w:r w:rsidR="005A6F3B" w:rsidRPr="00873B6C">
        <w:t xml:space="preserve"> and</w:t>
      </w:r>
    </w:p>
    <w:p w14:paraId="46EC64CA" w14:textId="11878D0A" w:rsidR="005A6F3B" w:rsidRPr="00873B6C" w:rsidRDefault="005A6F3B" w:rsidP="005A6F3B">
      <w:pPr>
        <w:pStyle w:val="B3"/>
      </w:pPr>
      <w:r w:rsidRPr="00873B6C">
        <w:t>-</w:t>
      </w:r>
      <w:r w:rsidRPr="00873B6C">
        <w:tab/>
        <w:t>optionally, location assistance information;</w:t>
      </w:r>
    </w:p>
    <w:p w14:paraId="44F4E9B2" w14:textId="7A215D05" w:rsidR="00B00E92" w:rsidRPr="00873B6C" w:rsidRDefault="00B00E92" w:rsidP="005A13C0">
      <w:pPr>
        <w:pStyle w:val="B2"/>
      </w:pPr>
      <w:r w:rsidRPr="00873B6C">
        <w:t>-</w:t>
      </w:r>
      <w:r w:rsidRPr="00873B6C">
        <w:tab/>
        <w:t>Credentials Holder controlled prioritized list of preferred GINs</w:t>
      </w:r>
      <w:r w:rsidR="005A6F3B" w:rsidRPr="00873B6C">
        <w:t xml:space="preserve"> for accessing Localized Services</w:t>
      </w:r>
      <w:r w:rsidR="00902C1F" w:rsidRPr="00873B6C">
        <w:t>, each entry of the list includes:</w:t>
      </w:r>
    </w:p>
    <w:p w14:paraId="2A559782" w14:textId="0CEF4E99" w:rsidR="00902C1F" w:rsidRPr="00873B6C" w:rsidRDefault="00902C1F" w:rsidP="005A13C0">
      <w:pPr>
        <w:pStyle w:val="B3"/>
      </w:pPr>
      <w:r w:rsidRPr="00873B6C">
        <w:t>-</w:t>
      </w:r>
      <w:r w:rsidRPr="00873B6C">
        <w:tab/>
        <w:t>a GIN;</w:t>
      </w:r>
    </w:p>
    <w:p w14:paraId="5463842A" w14:textId="4A7D084C" w:rsidR="00902C1F" w:rsidRPr="00873B6C" w:rsidRDefault="00902C1F" w:rsidP="005A13C0">
      <w:pPr>
        <w:pStyle w:val="B3"/>
      </w:pPr>
      <w:r w:rsidRPr="00873B6C">
        <w:t>-</w:t>
      </w:r>
      <w:r w:rsidRPr="00873B6C">
        <w:tab/>
        <w:t>validity information</w:t>
      </w:r>
      <w:r w:rsidR="005A6F3B" w:rsidRPr="00873B6C">
        <w:t>; and</w:t>
      </w:r>
    </w:p>
    <w:p w14:paraId="1BA99AEF" w14:textId="14CD9814" w:rsidR="005A6F3B" w:rsidRPr="00873B6C" w:rsidRDefault="005A6F3B" w:rsidP="005A6F3B">
      <w:pPr>
        <w:pStyle w:val="B3"/>
      </w:pPr>
      <w:r w:rsidRPr="00873B6C">
        <w:t>-</w:t>
      </w:r>
      <w:r w:rsidRPr="00873B6C">
        <w:tab/>
        <w:t>optionally, location assistance information.</w:t>
      </w:r>
    </w:p>
    <w:p w14:paraId="3018F24A" w14:textId="0F94B870" w:rsidR="00902C1F" w:rsidRPr="00873B6C" w:rsidRDefault="00902C1F" w:rsidP="00D40151">
      <w:r w:rsidRPr="00873B6C">
        <w:t>Validity information consists of</w:t>
      </w:r>
      <w:r w:rsidR="005A6F3B" w:rsidRPr="00873B6C">
        <w:t>:</w:t>
      </w:r>
    </w:p>
    <w:p w14:paraId="39902159" w14:textId="198E4DC1" w:rsidR="00902C1F" w:rsidRPr="00873B6C" w:rsidRDefault="00902C1F" w:rsidP="00972E70">
      <w:pPr>
        <w:pStyle w:val="B1"/>
      </w:pPr>
      <w:r w:rsidRPr="00873B6C">
        <w:t>-</w:t>
      </w:r>
      <w:r w:rsidRPr="00873B6C">
        <w:tab/>
        <w:t>Time validity information, i.e. time periods (defined by start and end times) when access to the SNPN</w:t>
      </w:r>
      <w:r w:rsidR="005A6F3B" w:rsidRPr="00873B6C">
        <w:t xml:space="preserve"> for accessing Localized Services</w:t>
      </w:r>
      <w:r w:rsidRPr="00873B6C">
        <w:t xml:space="preserve"> is allowed; and</w:t>
      </w:r>
    </w:p>
    <w:p w14:paraId="5526A18D" w14:textId="67AFF8FA" w:rsidR="00494FD0" w:rsidRPr="00873B6C" w:rsidRDefault="00494FD0" w:rsidP="00494FD0">
      <w:pPr>
        <w:pStyle w:val="B1"/>
      </w:pPr>
      <w:r w:rsidRPr="00873B6C">
        <w:t>-</w:t>
      </w:r>
      <w:r w:rsidRPr="00873B6C">
        <w:tab/>
        <w:t>optionally, location validity information containing one or more location information as defined in TS 24.501 [47].</w:t>
      </w:r>
    </w:p>
    <w:p w14:paraId="5613E424" w14:textId="384615AE" w:rsidR="00CD22D1" w:rsidRPr="00873B6C" w:rsidRDefault="00CD22D1" w:rsidP="005163AE">
      <w:pPr>
        <w:pStyle w:val="NO"/>
      </w:pPr>
      <w:r w:rsidRPr="00873B6C">
        <w:t>NOTE 7:</w:t>
      </w:r>
      <w:r w:rsidRPr="00873B6C">
        <w:tab/>
        <w:t>Usage of the location validity information is further explained in TS 23.122 [17].</w:t>
      </w:r>
    </w:p>
    <w:p w14:paraId="2D732DF2" w14:textId="0977DADC" w:rsidR="005A6F3B" w:rsidRPr="00873B6C" w:rsidRDefault="005A6F3B" w:rsidP="005A13C0">
      <w:r w:rsidRPr="00873B6C">
        <w:t>Location assistance information consisting of:</w:t>
      </w:r>
    </w:p>
    <w:p w14:paraId="0E759AA9" w14:textId="3D4CB575" w:rsidR="00902C1F" w:rsidRPr="00873B6C" w:rsidRDefault="00902C1F" w:rsidP="005A13C0">
      <w:pPr>
        <w:pStyle w:val="B1"/>
      </w:pPr>
      <w:r w:rsidRPr="00873B6C">
        <w:t>-</w:t>
      </w:r>
      <w:r w:rsidRPr="00873B6C">
        <w:tab/>
        <w:t>Geolocation information</w:t>
      </w:r>
      <w:r w:rsidR="00472CD7" w:rsidRPr="00873B6C">
        <w:t xml:space="preserve"> and</w:t>
      </w:r>
      <w:r w:rsidRPr="00873B6C">
        <w:t>/or,</w:t>
      </w:r>
    </w:p>
    <w:p w14:paraId="1E0F47C9" w14:textId="77777777" w:rsidR="00902C1F" w:rsidRPr="00873B6C" w:rsidRDefault="00902C1F" w:rsidP="005A13C0">
      <w:pPr>
        <w:pStyle w:val="B1"/>
      </w:pPr>
      <w:r w:rsidRPr="00873B6C">
        <w:t>-</w:t>
      </w:r>
      <w:r w:rsidRPr="00873B6C">
        <w:tab/>
        <w:t>Tracking Area information of serving networks, i.e. lists of TACs per PLMN ID or per PLMN ID and NID.</w:t>
      </w:r>
    </w:p>
    <w:p w14:paraId="6B77D3E9" w14:textId="4441C12F" w:rsidR="005A6F3B" w:rsidRPr="00873B6C" w:rsidRDefault="005A6F3B" w:rsidP="005A6F3B">
      <w:r w:rsidRPr="00873B6C">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4FE6CD3A" w14:textId="1CF750CD" w:rsidR="005A6F3B" w:rsidRPr="00873B6C" w:rsidRDefault="005A6F3B" w:rsidP="005A6F3B">
      <w:r w:rsidRPr="00873B6C">
        <w:t>For an SNPN-enabled UE with PLMN subscription, the Credentials Holder controlled prioritized lists of preferred SNPNs and GINs, or the Credentials Holder controlled prioritized lists of preferred SNPNs and GINs for accessing Localized Services may be updated by the Credentials Holder using the Steering of Roaming (SoR) procedure as defined in Annex C of TS 23.122 [17].</w:t>
      </w:r>
    </w:p>
    <w:p w14:paraId="3DD6BEFD" w14:textId="46F2087A" w:rsidR="005A6F3B" w:rsidRPr="00873B6C" w:rsidRDefault="005A6F3B" w:rsidP="005A6F3B">
      <w:r w:rsidRPr="00873B6C">
        <w:t>When the Credentials Holder updates a UE with the Credentials Holder controlled prioritized lists of preferred SNPNs and GINs</w:t>
      </w:r>
      <w:r w:rsidR="00472CD7" w:rsidRPr="00873B6C">
        <w:t xml:space="preserve"> and</w:t>
      </w:r>
      <w:r w:rsidRPr="00873B6C">
        <w:t>/or the Credentials Holder controlled prioritized lists of preferred SNPNs and GINs for accessing Localized Services, the UE may perform SNPN selection again, e.g. to potentially select a higher prioritized SNPN or to potentially select an SNPN that provides access for Localized Services.</w:t>
      </w:r>
    </w:p>
    <w:p w14:paraId="0C148E4C" w14:textId="77777777" w:rsidR="00D40151" w:rsidRPr="00873B6C" w:rsidRDefault="00D40151" w:rsidP="00D40151">
      <w:pPr>
        <w:pStyle w:val="Heading4"/>
      </w:pPr>
      <w:bookmarkStart w:id="4195" w:name="_CR5_30_2_4"/>
      <w:bookmarkStart w:id="4196" w:name="_Toc20150088"/>
      <w:bookmarkStart w:id="4197" w:name="_Toc27846887"/>
      <w:bookmarkStart w:id="4198" w:name="_Toc36188018"/>
      <w:bookmarkStart w:id="4199" w:name="_Toc45183923"/>
      <w:bookmarkStart w:id="4200" w:name="_Toc47342765"/>
      <w:bookmarkStart w:id="4201" w:name="_Toc51769467"/>
      <w:bookmarkStart w:id="4202" w:name="_Toc201157515"/>
      <w:bookmarkEnd w:id="4195"/>
      <w:r w:rsidRPr="00873B6C">
        <w:t>5.30.2.4</w:t>
      </w:r>
      <w:r w:rsidRPr="00873B6C">
        <w:tab/>
        <w:t>Network selection in SNPN access mode</w:t>
      </w:r>
      <w:bookmarkEnd w:id="4196"/>
      <w:bookmarkEnd w:id="4197"/>
      <w:bookmarkEnd w:id="4198"/>
      <w:bookmarkEnd w:id="4199"/>
      <w:bookmarkEnd w:id="4200"/>
      <w:bookmarkEnd w:id="4201"/>
      <w:bookmarkEnd w:id="4202"/>
    </w:p>
    <w:p w14:paraId="09670335" w14:textId="77777777" w:rsidR="00B00E92" w:rsidRPr="00873B6C" w:rsidRDefault="00B00E92" w:rsidP="00323277">
      <w:pPr>
        <w:pStyle w:val="Heading5"/>
      </w:pPr>
      <w:bookmarkStart w:id="4203" w:name="_CR5_30_2_4_1"/>
      <w:bookmarkStart w:id="4204" w:name="_Toc201157516"/>
      <w:bookmarkEnd w:id="4203"/>
      <w:r w:rsidRPr="00873B6C">
        <w:t>5.30.2.4.1</w:t>
      </w:r>
      <w:r w:rsidRPr="00873B6C">
        <w:tab/>
        <w:t>General</w:t>
      </w:r>
      <w:bookmarkEnd w:id="4204"/>
    </w:p>
    <w:p w14:paraId="31184414" w14:textId="6BD88FE1" w:rsidR="00B00E92" w:rsidRPr="00873B6C" w:rsidRDefault="00B00E92" w:rsidP="00D40151">
      <w:r w:rsidRPr="00873B6C">
        <w:t>An SNPN-enabled UE supports the SNPN access mode. When the UE is set to operate in SNPN access mode the UE selects and registers with SNPNs over Uu as described in clause 5.30.2.4.</w:t>
      </w:r>
      <w:r w:rsidR="001F5968" w:rsidRPr="00873B6C">
        <w:t xml:space="preserve"> Network selection in SNPN access mode for access to SNPN services via Untrusted non-3GPP access, Trusted non-3GPP access and Wireline access is specified in clause 5.30.2.12, clause 5.30.2.13 and clause 5.30.2.14 respectively. Access network selection in SNPN access mode for 5G NSWO is specified in clause 6.3.12b.</w:t>
      </w:r>
    </w:p>
    <w:p w14:paraId="55A86EE3" w14:textId="53923E0D" w:rsidR="00B00E92" w:rsidRPr="00873B6C" w:rsidRDefault="00B00E92" w:rsidP="00D40151">
      <w:r w:rsidRPr="00873B6C">
        <w:t>Emergency services are supported in SNPN access mode</w:t>
      </w:r>
      <w:r w:rsidR="001F5968" w:rsidRPr="00873B6C">
        <w:t xml:space="preserve"> over Uu</w:t>
      </w:r>
      <w:r w:rsidR="002D6B6E" w:rsidRPr="00873B6C">
        <w:t xml:space="preserve"> as defined in clause 5.16.4.1</w:t>
      </w:r>
      <w:r w:rsidR="008E69B3" w:rsidRPr="00873B6C">
        <w:t>.</w:t>
      </w:r>
      <w:r w:rsidR="001F5968" w:rsidRPr="00873B6C">
        <w:t xml:space="preserve"> Support for Emergency in SNPN access mode via Untrusted non-3GPP access is specified in clause 5.30.2.12.</w:t>
      </w:r>
    </w:p>
    <w:p w14:paraId="26C725FE" w14:textId="1983AB87" w:rsidR="00B00E92" w:rsidRPr="00873B6C" w:rsidRDefault="00B00E92" w:rsidP="00D40151">
      <w:r w:rsidRPr="00873B6C">
        <w:t xml:space="preserve">If a UE is not set to operate in SNPN access mode, even if it is SNPN-enabled, the UE does not select and register with SNPNs. A UE not set to operate in SNPN access mode performs PLMN selection procedures as defined in clause 4.4 of </w:t>
      </w:r>
      <w:r w:rsidR="00972E70" w:rsidRPr="00873B6C">
        <w:t>TS 23.122 [</w:t>
      </w:r>
      <w:r w:rsidRPr="00873B6C">
        <w:t>17]. For a UE capable of simultaneously connecting to an SNPN and a PLMN, the setting for operation in SNPN access mode is applied to</w:t>
      </w:r>
      <w:r w:rsidR="00D51D1B" w:rsidRPr="00873B6C">
        <w:t xml:space="preserve"> each of</w:t>
      </w:r>
      <w:r w:rsidRPr="00873B6C">
        <w:t xml:space="preserve"> the Uu</w:t>
      </w:r>
      <w:r w:rsidR="00D51D1B" w:rsidRPr="00873B6C">
        <w:t>/Yt/NWu</w:t>
      </w:r>
      <w:r w:rsidRPr="00873B6C">
        <w:t xml:space="preserve"> interface</w:t>
      </w:r>
      <w:r w:rsidR="00D51D1B" w:rsidRPr="00873B6C">
        <w:t>s independently</w:t>
      </w:r>
      <w:r w:rsidRPr="00873B6C">
        <w:t>. Clause D.4 provides more details.</w:t>
      </w:r>
    </w:p>
    <w:p w14:paraId="474DD138" w14:textId="77777777" w:rsidR="00B00E92" w:rsidRPr="00873B6C" w:rsidRDefault="00B00E92" w:rsidP="00D40151">
      <w:r w:rsidRPr="00873B6C">
        <w:lastRenderedPageBreak/>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407ED833" w:rsidR="00B00E92" w:rsidRPr="00873B6C" w:rsidRDefault="00B00E92" w:rsidP="00323277">
      <w:pPr>
        <w:pStyle w:val="NO"/>
      </w:pPr>
      <w:r w:rsidRPr="00873B6C">
        <w:t>NOTE</w:t>
      </w:r>
      <w:r w:rsidR="009D2FD1" w:rsidRPr="00873B6C">
        <w:t> 1</w:t>
      </w:r>
      <w:r w:rsidRPr="00873B6C">
        <w:t>:</w:t>
      </w:r>
      <w:r w:rsidRPr="00873B6C">
        <w:tab/>
        <w:t>Details of activation and deactivation of SNPN access mode are up to UE implementation.</w:t>
      </w:r>
    </w:p>
    <w:p w14:paraId="0BA3B4CE" w14:textId="23139675" w:rsidR="00D40151" w:rsidRPr="00873B6C" w:rsidRDefault="00D40151" w:rsidP="00D40151">
      <w:r w:rsidRPr="00873B6C">
        <w:t xml:space="preserve">When a UE is set to operate in SNPN access mode the UE does not perform normal PLMN selection procedures as defined in clause 4.4 of </w:t>
      </w:r>
      <w:r w:rsidR="00972E70" w:rsidRPr="00873B6C">
        <w:t>TS 23.122 [</w:t>
      </w:r>
      <w:r w:rsidRPr="00873B6C">
        <w:t>17].</w:t>
      </w:r>
    </w:p>
    <w:p w14:paraId="225C0958" w14:textId="6DD7D5AA" w:rsidR="00D40151" w:rsidRPr="00873B6C" w:rsidRDefault="00D40151" w:rsidP="00D40151">
      <w:r w:rsidRPr="00873B6C">
        <w:t>UEs operating in SNPN access mode read the</w:t>
      </w:r>
      <w:r w:rsidR="00B00E92" w:rsidRPr="00873B6C">
        <w:t xml:space="preserve"> information described in clause 5.30.2.2</w:t>
      </w:r>
      <w:r w:rsidRPr="00873B6C">
        <w:t xml:space="preserve"> from the broadcast system information and take them into account during network selection.</w:t>
      </w:r>
      <w:r w:rsidR="009D2FD1" w:rsidRPr="00873B6C">
        <w:t xml:space="preserve"> Furthermore, if the UE supports access to an SNPN providing access for Localized Services</w:t>
      </w:r>
      <w:r w:rsidR="00472CD7" w:rsidRPr="00873B6C">
        <w:t xml:space="preserve"> and</w:t>
      </w:r>
      <w:r w:rsidR="009D2FD1" w:rsidRPr="00873B6C">
        <w:t xml:space="preserve"> the end user enables to access the Localized Services the UE may select an SNPN providing access for Localized Services.</w:t>
      </w:r>
    </w:p>
    <w:p w14:paraId="3A593F51" w14:textId="55CF5D64" w:rsidR="009D2FD1" w:rsidRPr="00873B6C" w:rsidRDefault="009D2FD1" w:rsidP="009D2FD1">
      <w:pPr>
        <w:pStyle w:val="NO"/>
      </w:pPr>
      <w:r w:rsidRPr="00873B6C">
        <w:t>NOTE 2:</w:t>
      </w:r>
      <w:r w:rsidRPr="00873B6C">
        <w:tab/>
        <w:t>Details of how the user enables/disables access to Localized Services are up to UE implementation.</w:t>
      </w:r>
    </w:p>
    <w:p w14:paraId="0804C187" w14:textId="77777777" w:rsidR="00B00E92" w:rsidRPr="00873B6C" w:rsidRDefault="00B00E92" w:rsidP="00562E84">
      <w:pPr>
        <w:pStyle w:val="Heading5"/>
      </w:pPr>
      <w:bookmarkStart w:id="4205" w:name="_CR5_30_2_4_2"/>
      <w:bookmarkStart w:id="4206" w:name="_Toc201157517"/>
      <w:bookmarkEnd w:id="4205"/>
      <w:r w:rsidRPr="00873B6C">
        <w:t>5.30.2.4.2</w:t>
      </w:r>
      <w:r w:rsidRPr="00873B6C">
        <w:tab/>
        <w:t>Automatic network selection</w:t>
      </w:r>
      <w:bookmarkEnd w:id="4206"/>
    </w:p>
    <w:p w14:paraId="28BA66EF" w14:textId="50B5CFEA" w:rsidR="00B00E92" w:rsidRPr="00873B6C" w:rsidRDefault="00B00E92" w:rsidP="00323277">
      <w:pPr>
        <w:pStyle w:val="NO"/>
      </w:pPr>
      <w:r w:rsidRPr="00873B6C">
        <w:t>NOTE 1:</w:t>
      </w:r>
      <w:r w:rsidRPr="00873B6C">
        <w:tab/>
        <w:t>If the UE has multiple subscriptions</w:t>
      </w:r>
      <w:r w:rsidR="005A6F3B" w:rsidRPr="00873B6C">
        <w:t xml:space="preserve"> (SNPN and/or PLMN)</w:t>
      </w:r>
      <w:r w:rsidRPr="00873B6C">
        <w:t xml:space="preserve"> it is assumed that the subscription to use for automatic selection is determined by implementation specific means prior to network selection.</w:t>
      </w:r>
    </w:p>
    <w:p w14:paraId="42BD7D86" w14:textId="77777777" w:rsidR="009D2FD1" w:rsidRPr="00873B6C" w:rsidRDefault="009D2FD1" w:rsidP="00D40151">
      <w:r w:rsidRPr="00873B6C">
        <w:t>If the UE supports accessing an SNPN providing access for Localized Services and the end user enables to access Localized Services, for automatic network selection, the UE shall select and attempts registration on available SNPN in the following order:</w:t>
      </w:r>
    </w:p>
    <w:p w14:paraId="5C119A0B" w14:textId="77777777" w:rsidR="009D2FD1" w:rsidRPr="00873B6C" w:rsidRDefault="009D2FD1" w:rsidP="00972E70">
      <w:pPr>
        <w:pStyle w:val="B1"/>
      </w:pPr>
      <w:r w:rsidRPr="00873B6C">
        <w:t>(a)</w:t>
      </w:r>
      <w:r w:rsidRPr="00873B6C">
        <w:tab/>
        <w:t>if the UE supports access to an SNPN using Credentials from a Credentials Holder then the UE continues by selecting and attempting registration on available and allowable SNPNs which broadcasts the indication that access using credentials from a Credentials Holder is supported in the following order:</w:t>
      </w:r>
    </w:p>
    <w:p w14:paraId="3A8D970E" w14:textId="203C69B6" w:rsidR="005A6F3B" w:rsidRPr="00873B6C" w:rsidRDefault="009D2FD1" w:rsidP="00972E70">
      <w:pPr>
        <w:pStyle w:val="B2"/>
      </w:pPr>
      <w:r w:rsidRPr="00873B6C">
        <w:t>i</w:t>
      </w:r>
      <w:r w:rsidRPr="00873B6C">
        <w:tab/>
        <w:t>the SNPN with the validity information the UE was last registered with (if the validity information is met)</w:t>
      </w:r>
      <w:r w:rsidR="00A10084" w:rsidRPr="00873B6C">
        <w:t xml:space="preserve"> or the SNPN's equivalent SNPN(s) (if available and the validity information of the SNPN that the UE was last registered with is met)</w:t>
      </w:r>
      <w:r w:rsidRPr="00873B6C">
        <w:t>;</w:t>
      </w:r>
    </w:p>
    <w:p w14:paraId="7C9C8705" w14:textId="4501CAAC" w:rsidR="00A10084" w:rsidRPr="00873B6C" w:rsidRDefault="00A10084" w:rsidP="00A10084">
      <w:pPr>
        <w:pStyle w:val="NO"/>
      </w:pPr>
      <w:r w:rsidRPr="00873B6C">
        <w:t>NOTE 2:</w:t>
      </w:r>
      <w:r w:rsidRPr="00873B6C">
        <w:tab/>
        <w:t>The equivalent SNPN(s) are assumed to provide access to the same Localized Services as the SNPN the UE was last registered with.</w:t>
      </w:r>
    </w:p>
    <w:p w14:paraId="53E4B9C3" w14:textId="53765791" w:rsidR="005A6F3B" w:rsidRPr="00873B6C" w:rsidRDefault="005A6F3B" w:rsidP="00972E70">
      <w:pPr>
        <w:pStyle w:val="B2"/>
      </w:pPr>
      <w:r w:rsidRPr="00873B6C">
        <w:t>ii</w:t>
      </w:r>
      <w:r w:rsidRPr="00873B6C">
        <w:tab/>
        <w:t>SNPNs in the Credentials Holder controlled prioritized list of preferred SNPNs for accessing Localized Services (in priority order) if the validity information is met;</w:t>
      </w:r>
    </w:p>
    <w:p w14:paraId="3EB4C94B" w14:textId="7E0A3069" w:rsidR="005A6F3B" w:rsidRPr="00873B6C" w:rsidRDefault="005A6F3B" w:rsidP="00972E70">
      <w:pPr>
        <w:pStyle w:val="B2"/>
      </w:pPr>
      <w:r w:rsidRPr="00873B6C">
        <w:t>iii</w:t>
      </w:r>
      <w:r w:rsidRPr="00873B6C">
        <w:tab/>
        <w:t>SNPNs, which additionally broadcast a GIN contained in the Credentials Holder controlled prioritized list of preferred GINs for accessing Localized Services (in priority order) if validity information is met;</w:t>
      </w:r>
    </w:p>
    <w:p w14:paraId="6990B601" w14:textId="77777777" w:rsidR="009D2FD1" w:rsidRPr="00873B6C" w:rsidRDefault="009D2FD1" w:rsidP="00972E70">
      <w:pPr>
        <w:pStyle w:val="B1"/>
      </w:pPr>
      <w:r w:rsidRPr="00873B6C">
        <w:t>(b)</w:t>
      </w:r>
      <w:r w:rsidRPr="00873B6C">
        <w:tab/>
        <w:t>the SNPN without validity information the UE was last registered with (if available) or the equivalent SNPN (if available);</w:t>
      </w:r>
    </w:p>
    <w:p w14:paraId="20086315" w14:textId="77777777" w:rsidR="009D2FD1" w:rsidRPr="00873B6C" w:rsidRDefault="009D2FD1" w:rsidP="00972E70">
      <w:pPr>
        <w:pStyle w:val="B1"/>
      </w:pPr>
      <w:r w:rsidRPr="00873B6C">
        <w:t>(c)</w:t>
      </w:r>
      <w:r w:rsidRPr="00873B6C">
        <w:tab/>
        <w:t>the subscribed SNPN, which is identified by the PLMN ID and NID for which the UE has SUPI and credentials;</w:t>
      </w:r>
    </w:p>
    <w:p w14:paraId="01DD2925" w14:textId="77777777" w:rsidR="009D2FD1" w:rsidRPr="00873B6C" w:rsidRDefault="009D2FD1" w:rsidP="00972E70">
      <w:pPr>
        <w:pStyle w:val="B1"/>
      </w:pPr>
      <w:r w:rsidRPr="00873B6C">
        <w:t>(d)</w:t>
      </w:r>
      <w:r w:rsidRPr="00873B6C">
        <w:tab/>
        <w:t>the available and allowable SNPNs which broadcast the indication that access using credentials from a Credentials Holder is supported in the following order:</w:t>
      </w:r>
    </w:p>
    <w:p w14:paraId="20C8F953" w14:textId="77777777" w:rsidR="009D2FD1" w:rsidRPr="00873B6C" w:rsidRDefault="009D2FD1" w:rsidP="00972E70">
      <w:pPr>
        <w:pStyle w:val="B2"/>
      </w:pPr>
      <w:r w:rsidRPr="00873B6C">
        <w:t>i</w:t>
      </w:r>
      <w:r w:rsidRPr="00873B6C">
        <w:tab/>
        <w:t>SNPNs in the user controlled prioritized list of preferred SNPNs (in priority order);</w:t>
      </w:r>
    </w:p>
    <w:p w14:paraId="15E20A17" w14:textId="7850AB16" w:rsidR="009D2FD1" w:rsidRPr="00873B6C" w:rsidRDefault="009D2FD1" w:rsidP="00972E70">
      <w:pPr>
        <w:pStyle w:val="B2"/>
      </w:pPr>
      <w:r w:rsidRPr="00873B6C">
        <w:t>ii</w:t>
      </w:r>
      <w:r w:rsidRPr="00873B6C">
        <w:tab/>
        <w:t>SNPNs in the Credentials Holder controlled prioritized list of preferred SNPNs (in priority order);</w:t>
      </w:r>
    </w:p>
    <w:p w14:paraId="548B54A6" w14:textId="49C066EC" w:rsidR="009D2FD1" w:rsidRPr="00873B6C" w:rsidRDefault="009D2FD1" w:rsidP="00972E70">
      <w:pPr>
        <w:pStyle w:val="B2"/>
      </w:pPr>
      <w:r w:rsidRPr="00873B6C">
        <w:t>iii</w:t>
      </w:r>
      <w:r w:rsidRPr="00873B6C">
        <w:tab/>
        <w:t>SNPNs, which additionally broadcast a GIN contained in the Credentials Holder controlled prioritized list of preferred GINs (in priority order);</w:t>
      </w:r>
    </w:p>
    <w:p w14:paraId="672AE68B" w14:textId="160BF83C" w:rsidR="009D2FD1" w:rsidRPr="00873B6C" w:rsidRDefault="009D2FD1" w:rsidP="00972E70">
      <w:pPr>
        <w:pStyle w:val="B2"/>
      </w:pPr>
      <w:r w:rsidRPr="00873B6C">
        <w:t>iv-</w:t>
      </w:r>
      <w:r w:rsidRPr="00873B6C">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w:t>
      </w:r>
      <w:r w:rsidR="005A6F3B" w:rsidRPr="00873B6C">
        <w:t>, nor in the Credentials Holder controlled prioritized lists of preferred SNPNs/GINs for accessing Localized Services</w:t>
      </w:r>
      <w:r w:rsidRPr="00873B6C">
        <w:t xml:space="preserve"> in the UE.</w:t>
      </w:r>
    </w:p>
    <w:p w14:paraId="087D6FC5" w14:textId="70C82CD2" w:rsidR="00494FD0" w:rsidRPr="00873B6C" w:rsidRDefault="00494FD0" w:rsidP="00D40151">
      <w:r w:rsidRPr="00873B6C">
        <w:t xml:space="preserve">If the location validity information is not available and the time validity information is available, the validity conditions are met when the time validity conditions are met. If both the location validity information and the time validity </w:t>
      </w:r>
      <w:r w:rsidRPr="00873B6C">
        <w:lastRenderedPageBreak/>
        <w:t>information are available, the validity conditions are met when both the time validity conditions and the location validity conditions are met.</w:t>
      </w:r>
    </w:p>
    <w:p w14:paraId="42262E34" w14:textId="5BEC04B5" w:rsidR="009D2FD1" w:rsidRPr="00873B6C" w:rsidRDefault="009D2FD1" w:rsidP="00D40151">
      <w:r w:rsidRPr="00873B6C">
        <w:t>If the UE supports accessing an SNPN providing access for Localized Services and the end user enables to access Localized Services</w:t>
      </w:r>
      <w:r w:rsidR="005A6F3B" w:rsidRPr="00873B6C">
        <w:t>,</w:t>
      </w:r>
      <w:r w:rsidRPr="00873B6C">
        <w:t xml:space="preserve"> the UE shall periodically attempt reselection and registration on a higher priority SNPN 1) based on the order of the above sub-bullets (i) to (iii) of bullet (a), bullet (c), sub-bullets (i) to (iii) of bullet (d) if the UE is not registered to the sub-bullet (i) of bullet (a) or 2) based on the order of the above sub-bullets (ii) to (iii) of bullet (a), bullet (c), sub-bullets (i) to (iii) of bullet (d) if the UE is registered to the sub-bullet (i) of bullet (a) if any of the below conditions is met:</w:t>
      </w:r>
    </w:p>
    <w:p w14:paraId="5E4FAE12" w14:textId="2B01F8C8" w:rsidR="009D2FD1" w:rsidRPr="00873B6C" w:rsidRDefault="009D2FD1" w:rsidP="00972E70">
      <w:pPr>
        <w:pStyle w:val="B1"/>
      </w:pPr>
      <w:r w:rsidRPr="00873B6C">
        <w:t>-</w:t>
      </w:r>
      <w:r w:rsidRPr="00873B6C">
        <w:tab/>
        <w:t>if there are one or more SNPNs with validity information which is met</w:t>
      </w:r>
      <w:r w:rsidR="00472CD7" w:rsidRPr="00873B6C">
        <w:t xml:space="preserve"> and</w:t>
      </w:r>
      <w:r w:rsidRPr="00873B6C">
        <w:t xml:space="preserve"> the UE is not registered to an SNPN which has highest priority among the one or more SNPNs; or</w:t>
      </w:r>
    </w:p>
    <w:p w14:paraId="12C646D7" w14:textId="78B8AE11" w:rsidR="009D2FD1" w:rsidRPr="00873B6C" w:rsidRDefault="009D2FD1" w:rsidP="00972E70">
      <w:pPr>
        <w:pStyle w:val="B1"/>
      </w:pPr>
      <w:r w:rsidRPr="00873B6C">
        <w:t>-</w:t>
      </w:r>
      <w:r w:rsidRPr="00873B6C">
        <w:tab/>
        <w:t>if there is no SNPN with validity information which is met</w:t>
      </w:r>
      <w:r w:rsidR="00472CD7" w:rsidRPr="00873B6C">
        <w:t xml:space="preserve"> and</w:t>
      </w:r>
      <w:r w:rsidRPr="00873B6C">
        <w:t xml:space="preserve"> there are one or more GINs with the validity information which is met</w:t>
      </w:r>
      <w:r w:rsidR="00472CD7" w:rsidRPr="00873B6C">
        <w:t xml:space="preserve"> and</w:t>
      </w:r>
      <w:r w:rsidRPr="00873B6C">
        <w:t xml:space="preserve"> the UE is not registered to an SNPN broadcasting a GIN which has highest priority among the one or more GINs; or</w:t>
      </w:r>
    </w:p>
    <w:p w14:paraId="097478CE" w14:textId="32CBEBE1" w:rsidR="009D2FD1" w:rsidRPr="00873B6C" w:rsidRDefault="009D2FD1" w:rsidP="00972E70">
      <w:pPr>
        <w:pStyle w:val="B1"/>
      </w:pPr>
      <w:r w:rsidRPr="00873B6C">
        <w:t>-</w:t>
      </w:r>
      <w:r w:rsidRPr="00873B6C">
        <w:tab/>
        <w:t>if there is no SNPN with validity information which is met and there is no GIN with validity information which is met</w:t>
      </w:r>
      <w:r w:rsidR="00472CD7" w:rsidRPr="00873B6C">
        <w:t xml:space="preserve"> and</w:t>
      </w:r>
      <w:r w:rsidRPr="00873B6C">
        <w:t xml:space="preserve"> the UE is not registered to the subscribed SNPN</w:t>
      </w:r>
    </w:p>
    <w:p w14:paraId="627AD28B" w14:textId="71D00586" w:rsidR="009D2FD1" w:rsidRPr="00873B6C" w:rsidRDefault="009D2FD1" w:rsidP="00D40151">
      <w:r w:rsidRPr="00873B6C">
        <w:t>Otherwise, the UE does not trigger periodic reselection and</w:t>
      </w:r>
      <w:r w:rsidR="005A6F3B" w:rsidRPr="00873B6C">
        <w:t xml:space="preserve"> does not</w:t>
      </w:r>
      <w:r w:rsidRPr="00873B6C">
        <w:t xml:space="preserve"> attempt registration on a higher priority SNPN</w:t>
      </w:r>
      <w:r w:rsidR="00494FD0" w:rsidRPr="00873B6C">
        <w:t>.</w:t>
      </w:r>
    </w:p>
    <w:p w14:paraId="44EC42D8" w14:textId="2F0BD9C8" w:rsidR="009D2FD1" w:rsidRPr="00873B6C" w:rsidRDefault="009D2FD1" w:rsidP="00972E70">
      <w:pPr>
        <w:pStyle w:val="NO"/>
      </w:pPr>
      <w:r w:rsidRPr="00873B6C">
        <w:t>NOTE </w:t>
      </w:r>
      <w:r w:rsidR="00A10084" w:rsidRPr="00873B6C">
        <w:t>3</w:t>
      </w:r>
      <w:r w:rsidRPr="00873B6C">
        <w:t>:</w:t>
      </w:r>
      <w:r w:rsidRPr="00873B6C">
        <w:tab/>
        <w:t xml:space="preserve">Details of network selection (e.g. validity information handling, periodicity determination) specified in </w:t>
      </w:r>
      <w:r w:rsidR="00972E70" w:rsidRPr="00873B6C">
        <w:t>TS 23.122 [</w:t>
      </w:r>
      <w:r w:rsidRPr="00873B6C">
        <w:t>17].</w:t>
      </w:r>
    </w:p>
    <w:p w14:paraId="01133F64" w14:textId="2698E1AD" w:rsidR="005A6F3B" w:rsidRPr="00873B6C" w:rsidRDefault="00F13E92" w:rsidP="00D40151">
      <w:r w:rsidRPr="00873B6C">
        <w:t>If the selected SNPN is an SNPN providing access for Localized Services</w:t>
      </w:r>
      <w:r w:rsidR="00472CD7" w:rsidRPr="00873B6C">
        <w:t xml:space="preserve"> and</w:t>
      </w:r>
      <w:r w:rsidRPr="00873B6C">
        <w:t xml:space="preserve"> the validity condition for the selected SNPN </w:t>
      </w:r>
      <w:r w:rsidR="005A6F3B" w:rsidRPr="00873B6C">
        <w:t xml:space="preserve">changes from met to not met, the UE </w:t>
      </w:r>
      <w:r w:rsidRPr="00873B6C">
        <w:t xml:space="preserve">may </w:t>
      </w:r>
      <w:r w:rsidR="005A6F3B" w:rsidRPr="00873B6C">
        <w:t>attempt selection and registration on an SNPN based on the above bullets (a) to (d).</w:t>
      </w:r>
    </w:p>
    <w:p w14:paraId="1E000EEE" w14:textId="572CBDFB" w:rsidR="00F13E92" w:rsidRPr="00873B6C" w:rsidRDefault="00F13E92" w:rsidP="00D40151">
      <w:r w:rsidRPr="00873B6C">
        <w:t>If the selected SNPN is not an SNPN providing access for Localized Services and a validity condition for an entry in Credentials Holder controlled prioritized list of preferred SNPNs/GINs for accessing Localized Services changes from not met to met, the UE may attempt selection and registration on an SNPN based on the above bullets (a) to (d).</w:t>
      </w:r>
    </w:p>
    <w:p w14:paraId="7A4DB3E9" w14:textId="4FC04411" w:rsidR="00B00E92" w:rsidRPr="00873B6C" w:rsidRDefault="009D2FD1" w:rsidP="00D40151">
      <w:r w:rsidRPr="00873B6C">
        <w:t xml:space="preserve">If the UE does not support to access an SNPN providing access for Localized Services or the end user does not enable to access the Localized Services, for </w:t>
      </w:r>
      <w:r w:rsidR="00B00E92" w:rsidRPr="00873B6C">
        <w:t>automatic network selection the UE</w:t>
      </w:r>
      <w:r w:rsidRPr="00873B6C">
        <w:t xml:space="preserve"> shall</w:t>
      </w:r>
      <w:r w:rsidR="00B00E92" w:rsidRPr="00873B6C">
        <w:t xml:space="preserve"> select and attempts registration on available and allowable SNPNs in the following order:</w:t>
      </w:r>
    </w:p>
    <w:p w14:paraId="07F5D4F7" w14:textId="1C55044D" w:rsidR="00B00E92" w:rsidRPr="00873B6C" w:rsidRDefault="00B00E92" w:rsidP="00323277">
      <w:pPr>
        <w:pStyle w:val="B1"/>
      </w:pPr>
      <w:r w:rsidRPr="00873B6C">
        <w:t>-</w:t>
      </w:r>
      <w:r w:rsidRPr="00873B6C">
        <w:tab/>
        <w:t>the SNPN</w:t>
      </w:r>
      <w:r w:rsidR="009D2FD1" w:rsidRPr="00873B6C">
        <w:t xml:space="preserve"> without validity information</w:t>
      </w:r>
      <w:r w:rsidRPr="00873B6C">
        <w:t xml:space="preserve"> the UE was last registered with (if available)</w:t>
      </w:r>
      <w:r w:rsidR="0026280E" w:rsidRPr="00873B6C">
        <w:t xml:space="preserve"> or the equivalent SNPN (if available)</w:t>
      </w:r>
      <w:r w:rsidRPr="00873B6C">
        <w:t>;</w:t>
      </w:r>
    </w:p>
    <w:p w14:paraId="49A73177" w14:textId="70D62FBE" w:rsidR="00B00E92" w:rsidRPr="00873B6C" w:rsidRDefault="00B00E92" w:rsidP="00323277">
      <w:pPr>
        <w:pStyle w:val="B1"/>
      </w:pPr>
      <w:r w:rsidRPr="00873B6C">
        <w:t>-</w:t>
      </w:r>
      <w:r w:rsidRPr="00873B6C">
        <w:tab/>
        <w:t>the</w:t>
      </w:r>
      <w:r w:rsidR="00EC761C" w:rsidRPr="00873B6C">
        <w:t xml:space="preserve"> subscribed</w:t>
      </w:r>
      <w:r w:rsidRPr="00873B6C">
        <w:t xml:space="preserve"> SNPN</w:t>
      </w:r>
      <w:r w:rsidR="00EC761C" w:rsidRPr="00873B6C">
        <w:t>, which is</w:t>
      </w:r>
      <w:r w:rsidRPr="00873B6C">
        <w:t xml:space="preserve"> identified by the PLMN ID and NID for which the UE has SUPI and credentials;</w:t>
      </w:r>
    </w:p>
    <w:p w14:paraId="2EC51ACB" w14:textId="77777777" w:rsidR="00B00E92" w:rsidRPr="00873B6C" w:rsidRDefault="00B00E92" w:rsidP="00323277">
      <w:pPr>
        <w:pStyle w:val="B1"/>
      </w:pPr>
      <w:r w:rsidRPr="00873B6C">
        <w:t>-</w:t>
      </w:r>
      <w:r w:rsidRPr="00873B6C">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873B6C" w:rsidRDefault="00B00E92" w:rsidP="00323277">
      <w:pPr>
        <w:pStyle w:val="B2"/>
      </w:pPr>
      <w:r w:rsidRPr="00873B6C">
        <w:t>-</w:t>
      </w:r>
      <w:r w:rsidRPr="00873B6C">
        <w:tab/>
        <w:t>SNPNs in the user controlled prioritized list of preferred SNPNs (in priority order);</w:t>
      </w:r>
    </w:p>
    <w:p w14:paraId="7DD45DCD" w14:textId="33B2CD1B" w:rsidR="00B00E92" w:rsidRPr="00873B6C" w:rsidRDefault="00B00E92" w:rsidP="00323277">
      <w:pPr>
        <w:pStyle w:val="B2"/>
      </w:pPr>
      <w:r w:rsidRPr="00873B6C">
        <w:t>-</w:t>
      </w:r>
      <w:r w:rsidRPr="00873B6C">
        <w:tab/>
        <w:t>SNPNs in the Credentials Holder controlled prioritized list of preferred SNPNs (in priority order);</w:t>
      </w:r>
    </w:p>
    <w:p w14:paraId="3EA6022D" w14:textId="7D9B5CA1" w:rsidR="00B00E92" w:rsidRPr="00873B6C" w:rsidRDefault="00B00E92" w:rsidP="00323277">
      <w:pPr>
        <w:pStyle w:val="B2"/>
      </w:pPr>
      <w:r w:rsidRPr="00873B6C">
        <w:t>-</w:t>
      </w:r>
      <w:r w:rsidRPr="00873B6C">
        <w:tab/>
        <w:t>SNPNs, which additionally broadcast a GIN contained in the Credentials Holder controlled prioritized list of preferred GINs (in priority order);</w:t>
      </w:r>
    </w:p>
    <w:p w14:paraId="2BE41981" w14:textId="74AEA2FF" w:rsidR="00B00E92" w:rsidRPr="00873B6C" w:rsidRDefault="00B00E92" w:rsidP="00323277">
      <w:pPr>
        <w:pStyle w:val="NO"/>
      </w:pPr>
      <w:r w:rsidRPr="00873B6C">
        <w:t>NOTE </w:t>
      </w:r>
      <w:r w:rsidR="00A10084" w:rsidRPr="00873B6C">
        <w:t>4</w:t>
      </w:r>
      <w:r w:rsidRPr="00873B6C">
        <w:t>:</w:t>
      </w:r>
      <w:r w:rsidRPr="00873B6C">
        <w:tab/>
        <w:t>If multiple SNPNs are available that broadcast the same GIN, the order in which the UE selects and attempts a registration with those SNPNs is implementation specific.</w:t>
      </w:r>
    </w:p>
    <w:p w14:paraId="26599942" w14:textId="4E0B13A6" w:rsidR="00B00E92" w:rsidRPr="00873B6C" w:rsidRDefault="00B00E92" w:rsidP="00323277">
      <w:pPr>
        <w:pStyle w:val="B2"/>
      </w:pPr>
      <w:r w:rsidRPr="00873B6C">
        <w:t>-</w:t>
      </w:r>
      <w:r w:rsidRPr="00873B6C">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6AB00C91" w:rsidR="00B00E92" w:rsidRPr="00873B6C" w:rsidRDefault="00B00E92" w:rsidP="00323277">
      <w:pPr>
        <w:pStyle w:val="NO"/>
      </w:pPr>
      <w:r w:rsidRPr="00873B6C">
        <w:t>NOTE </w:t>
      </w:r>
      <w:r w:rsidR="00A10084" w:rsidRPr="00873B6C">
        <w:t>5</w:t>
      </w:r>
      <w:r w:rsidRPr="00873B6C">
        <w:t>:</w:t>
      </w:r>
      <w:r w:rsidRPr="00873B6C">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6E149B21" w:rsidR="00B00E92" w:rsidRPr="00873B6C" w:rsidRDefault="00B00E92" w:rsidP="00D40151">
      <w:r w:rsidRPr="00873B6C">
        <w:t>When a UE performs Registration</w:t>
      </w:r>
      <w:r w:rsidR="0026280E" w:rsidRPr="00873B6C">
        <w:t xml:space="preserve"> or Service Request</w:t>
      </w:r>
      <w:r w:rsidRPr="00873B6C">
        <w:t xml:space="preserve"> to an SNPN, the UE shall indicate the PLMN ID and NID as broadcast by the selected SNPN to NG-RAN. NG-RAN shall inform the AMF of the selected PLMN ID and NID.</w:t>
      </w:r>
    </w:p>
    <w:p w14:paraId="467EF799" w14:textId="2ECA5599" w:rsidR="00B00E92" w:rsidRPr="00873B6C" w:rsidRDefault="00B00E92" w:rsidP="00323277">
      <w:pPr>
        <w:pStyle w:val="Heading5"/>
      </w:pPr>
      <w:bookmarkStart w:id="4207" w:name="_CR5_30_2_4_3"/>
      <w:bookmarkStart w:id="4208" w:name="_Toc201157518"/>
      <w:bookmarkEnd w:id="4207"/>
      <w:r w:rsidRPr="00873B6C">
        <w:lastRenderedPageBreak/>
        <w:t>5.30.2.4.3</w:t>
      </w:r>
      <w:r w:rsidRPr="00873B6C">
        <w:tab/>
        <w:t>Manual network selection</w:t>
      </w:r>
      <w:bookmarkEnd w:id="4208"/>
    </w:p>
    <w:p w14:paraId="746F11E9" w14:textId="15D75BE3" w:rsidR="00D40151" w:rsidRPr="00873B6C" w:rsidRDefault="00D40151" w:rsidP="00D40151">
      <w:r w:rsidRPr="00873B6C">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873B6C">
        <w:t xml:space="preserve"> If the UEs supports access to an SNPN using credentials from a Credentials Holder, the UE also presents available SNPNs which broadcast the "access using credentials from a Credentials Holder is supported" indication</w:t>
      </w:r>
      <w:r w:rsidR="008E3DA0" w:rsidRPr="00873B6C">
        <w:t xml:space="preserve"> and the human-readable names related to the SNPNs (if available)</w:t>
      </w:r>
      <w:r w:rsidR="00B00E92" w:rsidRPr="00873B6C">
        <w:t>.</w:t>
      </w:r>
    </w:p>
    <w:p w14:paraId="640F1EAA" w14:textId="64F2D51A" w:rsidR="00D40151" w:rsidRPr="00873B6C" w:rsidRDefault="00D40151" w:rsidP="00D40151">
      <w:pPr>
        <w:pStyle w:val="NO"/>
      </w:pPr>
      <w:r w:rsidRPr="00873B6C">
        <w:t>NOTE:</w:t>
      </w:r>
      <w:r w:rsidRPr="00873B6C">
        <w:tab/>
        <w:t>The details of</w:t>
      </w:r>
      <w:r w:rsidR="00B00E92" w:rsidRPr="00873B6C">
        <w:t xml:space="preserve"> manual</w:t>
      </w:r>
      <w:r w:rsidRPr="00873B6C">
        <w:t xml:space="preserve"> SNPN selection </w:t>
      </w:r>
      <w:r w:rsidR="00B00E92" w:rsidRPr="00873B6C">
        <w:t xml:space="preserve">are </w:t>
      </w:r>
      <w:r w:rsidRPr="00873B6C">
        <w:t xml:space="preserve">defined in </w:t>
      </w:r>
      <w:r w:rsidR="00972E70" w:rsidRPr="00873B6C">
        <w:t>TS 23.122 [</w:t>
      </w:r>
      <w:r w:rsidRPr="00873B6C">
        <w:t>17].</w:t>
      </w:r>
    </w:p>
    <w:p w14:paraId="331845E3" w14:textId="0653E5B0" w:rsidR="00D40151" w:rsidRPr="00873B6C" w:rsidRDefault="00D40151" w:rsidP="00D40151">
      <w:r w:rsidRPr="00873B6C">
        <w:t>When a UE performs Initial Registration to an SNPN, the UE shall indicate the selected</w:t>
      </w:r>
      <w:r w:rsidR="00B00E92" w:rsidRPr="00873B6C">
        <w:t xml:space="preserve"> PLMN ID and NID as broadcast by the selected SNPN</w:t>
      </w:r>
      <w:r w:rsidRPr="00873B6C">
        <w:t xml:space="preserve"> to NG-RAN. NG-RAN shall inform the AMF of the selected PLMN ID and NID.</w:t>
      </w:r>
    </w:p>
    <w:p w14:paraId="453DDF0B" w14:textId="77777777" w:rsidR="00D40151" w:rsidRPr="00873B6C" w:rsidRDefault="00D40151" w:rsidP="00D40151">
      <w:pPr>
        <w:pStyle w:val="Heading4"/>
      </w:pPr>
      <w:bookmarkStart w:id="4209" w:name="_CR5_30_2_5"/>
      <w:bookmarkStart w:id="4210" w:name="_Toc20150089"/>
      <w:bookmarkStart w:id="4211" w:name="_Toc27846888"/>
      <w:bookmarkStart w:id="4212" w:name="_Toc36188019"/>
      <w:bookmarkStart w:id="4213" w:name="_Toc45183924"/>
      <w:bookmarkStart w:id="4214" w:name="_Toc47342766"/>
      <w:bookmarkStart w:id="4215" w:name="_Toc51769468"/>
      <w:bookmarkStart w:id="4216" w:name="_Toc201157519"/>
      <w:bookmarkEnd w:id="4209"/>
      <w:r w:rsidRPr="00873B6C">
        <w:t>5.30.2.5</w:t>
      </w:r>
      <w:r w:rsidRPr="00873B6C">
        <w:tab/>
        <w:t>Network access control</w:t>
      </w:r>
      <w:bookmarkEnd w:id="4210"/>
      <w:bookmarkEnd w:id="4211"/>
      <w:bookmarkEnd w:id="4212"/>
      <w:bookmarkEnd w:id="4213"/>
      <w:bookmarkEnd w:id="4214"/>
      <w:bookmarkEnd w:id="4215"/>
      <w:bookmarkEnd w:id="4216"/>
    </w:p>
    <w:p w14:paraId="71A29112" w14:textId="77777777" w:rsidR="00D40151" w:rsidRPr="00873B6C" w:rsidRDefault="00D40151" w:rsidP="00D40151">
      <w:r w:rsidRPr="00873B6C">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873B6C" w:rsidRDefault="00D40151" w:rsidP="00D40151">
      <w:r w:rsidRPr="00873B6C">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6378C219" w:rsidR="00D40151" w:rsidRPr="00873B6C" w:rsidRDefault="00D40151" w:rsidP="00D40151">
      <w:pPr>
        <w:pStyle w:val="NO"/>
      </w:pPr>
      <w:r w:rsidRPr="00873B6C">
        <w:t>NOTE:</w:t>
      </w:r>
      <w:r w:rsidRPr="00873B6C">
        <w:tab/>
        <w:t xml:space="preserve">The details of rejection and cause codes is defined in </w:t>
      </w:r>
      <w:r w:rsidR="00972E70" w:rsidRPr="00873B6C">
        <w:t>TS 24.501 [</w:t>
      </w:r>
      <w:r w:rsidRPr="00873B6C">
        <w:t>47].</w:t>
      </w:r>
    </w:p>
    <w:p w14:paraId="17FEBD84" w14:textId="03B1465B" w:rsidR="007D1AB8" w:rsidRPr="00873B6C" w:rsidRDefault="007D1AB8" w:rsidP="00D40151">
      <w:r w:rsidRPr="00873B6C">
        <w:t xml:space="preserve">If a UE performs the registration in an SNPN using credentials from a Credentials Holder (i.e. the CH is the PLMN/SNPN that owns the UE subscription and controls the access) and the Credentials Holder does not authorize the UE to access that specific SNPN due to access authorization based on subscription data or invalid time for accessing an SNPN that provides access to </w:t>
      </w:r>
      <w:r w:rsidR="00BE0437" w:rsidRPr="00873B6C">
        <w:t>L</w:t>
      </w:r>
      <w:r w:rsidRPr="00873B6C">
        <w:t xml:space="preserve">ocalized </w:t>
      </w:r>
      <w:r w:rsidR="00BE0437" w:rsidRPr="00873B6C">
        <w:t>S</w:t>
      </w:r>
      <w:r w:rsidRPr="00873B6C">
        <w:t>ervices, then the UDM, in the Credentials Holder, can reject the UE which results in AMF rejecting the registration request from the UE with an appropriate cause code to prevent the UE from automatically selecting and registering with the same SNPN using credentials from the Credentials Holder as described in TS 24.501 [47].</w:t>
      </w:r>
    </w:p>
    <w:p w14:paraId="5596804E" w14:textId="10513F86" w:rsidR="00D40151" w:rsidRPr="00873B6C" w:rsidRDefault="00D40151" w:rsidP="00D40151">
      <w:r w:rsidRPr="00873B6C">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972E70" w:rsidRPr="00873B6C">
        <w:t>TS 24.501 [</w:t>
      </w:r>
      <w:r w:rsidRPr="00873B6C">
        <w:t>47].</w:t>
      </w:r>
    </w:p>
    <w:p w14:paraId="09C51186" w14:textId="77777777" w:rsidR="00D40151" w:rsidRPr="00873B6C" w:rsidRDefault="00D40151" w:rsidP="00D40151">
      <w:pPr>
        <w:pStyle w:val="Heading4"/>
      </w:pPr>
      <w:bookmarkStart w:id="4217" w:name="_CR5_30_2_6"/>
      <w:bookmarkStart w:id="4218" w:name="_Toc20150090"/>
      <w:bookmarkStart w:id="4219" w:name="_Toc27846889"/>
      <w:bookmarkStart w:id="4220" w:name="_Toc36188020"/>
      <w:bookmarkStart w:id="4221" w:name="_Toc45183925"/>
      <w:bookmarkStart w:id="4222" w:name="_Toc47342767"/>
      <w:bookmarkStart w:id="4223" w:name="_Toc51769469"/>
      <w:bookmarkStart w:id="4224" w:name="_Toc201157520"/>
      <w:bookmarkEnd w:id="4217"/>
      <w:r w:rsidRPr="00873B6C">
        <w:t>5.30.2.6</w:t>
      </w:r>
      <w:r w:rsidRPr="00873B6C">
        <w:tab/>
        <w:t>Cell (re-)selection in SNPN access mode</w:t>
      </w:r>
      <w:bookmarkEnd w:id="4218"/>
      <w:bookmarkEnd w:id="4219"/>
      <w:bookmarkEnd w:id="4220"/>
      <w:bookmarkEnd w:id="4221"/>
      <w:bookmarkEnd w:id="4222"/>
      <w:bookmarkEnd w:id="4223"/>
      <w:bookmarkEnd w:id="4224"/>
    </w:p>
    <w:p w14:paraId="683DE558" w14:textId="59FC390F" w:rsidR="00D40151" w:rsidRPr="00873B6C" w:rsidRDefault="00D40151" w:rsidP="00D40151">
      <w:r w:rsidRPr="00873B6C">
        <w:t>UEs operating in SNPN access mode only select cells and networks broadcasting both PLMN ID and NID of the selected SNPN</w:t>
      </w:r>
      <w:r w:rsidR="0026280E" w:rsidRPr="00873B6C">
        <w:t xml:space="preserve"> or its equivalent SNPN</w:t>
      </w:r>
      <w:r w:rsidRPr="00873B6C">
        <w:t>.</w:t>
      </w:r>
    </w:p>
    <w:p w14:paraId="29944C7E" w14:textId="24043702" w:rsidR="00D40151" w:rsidRPr="00873B6C" w:rsidRDefault="00D40151" w:rsidP="00D40151">
      <w:pPr>
        <w:pStyle w:val="NO"/>
      </w:pPr>
      <w:r w:rsidRPr="00873B6C">
        <w:t>NOTE:</w:t>
      </w:r>
      <w:r w:rsidRPr="00873B6C">
        <w:tab/>
        <w:t xml:space="preserve">Further details on the NR idle and inactive mode procedures for SNPN cell selection is defined in </w:t>
      </w:r>
      <w:r w:rsidR="00972E70" w:rsidRPr="00873B6C">
        <w:t>TS 38.331 [</w:t>
      </w:r>
      <w:r w:rsidRPr="00873B6C">
        <w:t xml:space="preserve">28] and in </w:t>
      </w:r>
      <w:r w:rsidR="00972E70" w:rsidRPr="00873B6C">
        <w:t>TS 38.304 [</w:t>
      </w:r>
      <w:r w:rsidRPr="00873B6C">
        <w:t>50].</w:t>
      </w:r>
    </w:p>
    <w:p w14:paraId="39474A5A" w14:textId="77777777" w:rsidR="00D40151" w:rsidRPr="00873B6C" w:rsidRDefault="00D40151" w:rsidP="00D40151">
      <w:pPr>
        <w:pStyle w:val="Heading4"/>
      </w:pPr>
      <w:bookmarkStart w:id="4225" w:name="_CR5_30_2_7"/>
      <w:bookmarkStart w:id="4226" w:name="_Toc20150091"/>
      <w:bookmarkStart w:id="4227" w:name="_Toc27846890"/>
      <w:bookmarkStart w:id="4228" w:name="_Toc36188021"/>
      <w:bookmarkStart w:id="4229" w:name="_Toc45183926"/>
      <w:bookmarkStart w:id="4230" w:name="_Toc47342768"/>
      <w:bookmarkStart w:id="4231" w:name="_Toc51769470"/>
      <w:bookmarkStart w:id="4232" w:name="_Toc201157521"/>
      <w:bookmarkEnd w:id="4225"/>
      <w:r w:rsidRPr="00873B6C">
        <w:t>5.30.2.7</w:t>
      </w:r>
      <w:r w:rsidRPr="00873B6C">
        <w:tab/>
        <w:t>Access to PLMN services via stand-alone non-public networks</w:t>
      </w:r>
      <w:bookmarkEnd w:id="4226"/>
      <w:bookmarkEnd w:id="4227"/>
      <w:bookmarkEnd w:id="4228"/>
      <w:bookmarkEnd w:id="4229"/>
      <w:bookmarkEnd w:id="4230"/>
      <w:bookmarkEnd w:id="4231"/>
      <w:bookmarkEnd w:id="4232"/>
    </w:p>
    <w:p w14:paraId="7EFC2A98" w14:textId="421893FA" w:rsidR="00D40151" w:rsidRPr="00873B6C" w:rsidRDefault="00D40151" w:rsidP="00D40151">
      <w:r w:rsidRPr="00873B6C">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873B6C">
        <w:t xml:space="preserve"> clauses 4.9.2.1 and 4.9.2.2</w:t>
      </w:r>
      <w:r w:rsidRPr="00873B6C">
        <w:t xml:space="preserve"> </w:t>
      </w:r>
      <w:r w:rsidR="00131D56" w:rsidRPr="00873B6C">
        <w:t xml:space="preserve">of </w:t>
      </w:r>
      <w:r w:rsidR="00972E70" w:rsidRPr="00873B6C">
        <w:t>TS 23.502 [</w:t>
      </w:r>
      <w:r w:rsidRPr="00873B6C">
        <w:t>3]) and the SNPN taking the role of "Untrusted non-3GPP access". Annex D, clause D.3 provides additional details.</w:t>
      </w:r>
    </w:p>
    <w:p w14:paraId="2AFB097F" w14:textId="3CE60F84" w:rsidR="00D40151" w:rsidRPr="00873B6C" w:rsidRDefault="00D40151" w:rsidP="00D40151">
      <w:pPr>
        <w:pStyle w:val="NO"/>
      </w:pPr>
      <w:r w:rsidRPr="00873B6C">
        <w:t>NOTE:</w:t>
      </w:r>
      <w:r w:rsidRPr="00873B6C">
        <w:tab/>
        <w:t>QoS differentiation in the SNPN can be provided on per-IPsec Child Security Association basis by using the UE or network requested PDU Session Modification procedure described in</w:t>
      </w:r>
      <w:r w:rsidR="00131D56" w:rsidRPr="00873B6C">
        <w:t xml:space="preserve"> clause 4.3.3.2</w:t>
      </w:r>
      <w:r w:rsidRPr="00873B6C">
        <w:t xml:space="preserve"> </w:t>
      </w:r>
      <w:r w:rsidR="00131D56" w:rsidRPr="00873B6C">
        <w:t xml:space="preserve">of </w:t>
      </w:r>
      <w:r w:rsidR="00972E70" w:rsidRPr="00873B6C">
        <w:t>TS 23.502 [</w:t>
      </w:r>
      <w:r w:rsidRPr="00873B6C">
        <w:t>3]. In the PLMN, N3IWF determines the IPsec child SAs as defined in</w:t>
      </w:r>
      <w:r w:rsidR="00131D56" w:rsidRPr="00873B6C">
        <w:t xml:space="preserve"> clause 4.12</w:t>
      </w:r>
      <w:r w:rsidRPr="00873B6C">
        <w:t xml:space="preserve"> </w:t>
      </w:r>
      <w:r w:rsidR="00131D56" w:rsidRPr="00873B6C">
        <w:t xml:space="preserve">of </w:t>
      </w:r>
      <w:r w:rsidR="00972E70" w:rsidRPr="00873B6C">
        <w:t>TS 23.502 [</w:t>
      </w:r>
      <w:r w:rsidRPr="00873B6C">
        <w:t>3]. The N3IWF is preconfigured by PLMN to allocate different IPsec child SAs for QoS Flows with different QoS profiles.</w:t>
      </w:r>
    </w:p>
    <w:p w14:paraId="7BA825C6" w14:textId="3FCD61E7" w:rsidR="00D40151" w:rsidRPr="00873B6C" w:rsidRDefault="00D40151" w:rsidP="00D40151">
      <w:pPr>
        <w:pStyle w:val="NO"/>
      </w:pPr>
      <w:r w:rsidRPr="00873B6C">
        <w:lastRenderedPageBreak/>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w:t>
      </w:r>
      <w:r w:rsidR="00472CD7" w:rsidRPr="00873B6C">
        <w:t xml:space="preserve"> and</w:t>
      </w:r>
      <w:r w:rsidRPr="00873B6C">
        <w:t xml:space="preserve">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873B6C" w:rsidRDefault="00D40151" w:rsidP="00D40151">
      <w:pPr>
        <w:pStyle w:val="NO"/>
      </w:pPr>
      <w:r w:rsidRPr="00873B6C">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873B6C" w:rsidRDefault="00BA212C" w:rsidP="00562E84">
      <w:pPr>
        <w:pStyle w:val="NO"/>
      </w:pPr>
      <w:bookmarkStart w:id="4233" w:name="_Toc20150092"/>
      <w:bookmarkStart w:id="4234" w:name="_Toc27846891"/>
      <w:bookmarkStart w:id="4235" w:name="_Toc36188022"/>
      <w:bookmarkStart w:id="4236" w:name="_Toc45183927"/>
      <w:bookmarkStart w:id="4237" w:name="_Toc47342769"/>
      <w:bookmarkStart w:id="4238" w:name="_Toc51769471"/>
      <w:r w:rsidRPr="00873B6C">
        <w:tab/>
        <w:t>Refer to clause D.7 for details on how to support QoS differentiation.</w:t>
      </w:r>
    </w:p>
    <w:p w14:paraId="10E981C3" w14:textId="441400C7" w:rsidR="00FD5C4A" w:rsidRPr="00873B6C" w:rsidRDefault="00FD5C4A" w:rsidP="00323277">
      <w:r w:rsidRPr="00873B6C">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873B6C" w:rsidRDefault="00D40151" w:rsidP="00D40151">
      <w:pPr>
        <w:pStyle w:val="Heading4"/>
      </w:pPr>
      <w:bookmarkStart w:id="4239" w:name="_CR5_30_2_8"/>
      <w:bookmarkStart w:id="4240" w:name="_Toc201157522"/>
      <w:bookmarkEnd w:id="4239"/>
      <w:r w:rsidRPr="00873B6C">
        <w:t>5.30.2.8</w:t>
      </w:r>
      <w:r w:rsidRPr="00873B6C">
        <w:tab/>
        <w:t>Access to stand-alone non-public network services via PLMN</w:t>
      </w:r>
      <w:bookmarkEnd w:id="4233"/>
      <w:bookmarkEnd w:id="4234"/>
      <w:bookmarkEnd w:id="4235"/>
      <w:bookmarkEnd w:id="4236"/>
      <w:bookmarkEnd w:id="4237"/>
      <w:bookmarkEnd w:id="4238"/>
      <w:bookmarkEnd w:id="4240"/>
    </w:p>
    <w:p w14:paraId="42380B0E" w14:textId="62B0306E" w:rsidR="00D40151" w:rsidRPr="00873B6C" w:rsidRDefault="00D40151" w:rsidP="00D40151">
      <w:r w:rsidRPr="00873B6C">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873B6C">
        <w:t xml:space="preserve"> clauses 4.9.2.1 and 4.9.2.2</w:t>
      </w:r>
      <w:r w:rsidRPr="00873B6C">
        <w:t xml:space="preserve"> </w:t>
      </w:r>
      <w:r w:rsidR="00131D56" w:rsidRPr="00873B6C">
        <w:t xml:space="preserve">of </w:t>
      </w:r>
      <w:r w:rsidR="00972E70" w:rsidRPr="00873B6C">
        <w:t>TS 23.502 [</w:t>
      </w:r>
      <w:r w:rsidRPr="00873B6C">
        <w:t xml:space="preserve">3]) and the PLMN taking the role of "Untrusted non-3GPP access" of the SNPN, i.e. using the procedures for Untrusted non-3GPP access in clause 4.12.2 of </w:t>
      </w:r>
      <w:r w:rsidR="00972E70" w:rsidRPr="00873B6C">
        <w:t>TS 23.502 [</w:t>
      </w:r>
      <w:r w:rsidRPr="00873B6C">
        <w:t>3]. Annex D, clause D.3 provides additional details. The case where UE that has successfully registered with a PLMN over non-3GPP access to access SNPN services is not specified in this Release.</w:t>
      </w:r>
    </w:p>
    <w:p w14:paraId="7B0CF48B" w14:textId="7568852D" w:rsidR="00D40151" w:rsidRPr="00873B6C" w:rsidRDefault="00D40151" w:rsidP="00D40151">
      <w:pPr>
        <w:pStyle w:val="NO"/>
      </w:pPr>
      <w:r w:rsidRPr="00873B6C">
        <w:t>NOTE:</w:t>
      </w:r>
      <w:r w:rsidRPr="00873B6C">
        <w:tab/>
        <w:t>QoS differentiation in the PLMN can be provided on per-IPsec Child Security Association basis by using the UE or network requested PDU Session Modification procedure described in</w:t>
      </w:r>
      <w:r w:rsidR="00131D56" w:rsidRPr="00873B6C">
        <w:t xml:space="preserve"> clause 4.3.3.2</w:t>
      </w:r>
      <w:r w:rsidRPr="00873B6C">
        <w:t xml:space="preserve"> </w:t>
      </w:r>
      <w:r w:rsidR="00131D56" w:rsidRPr="00873B6C">
        <w:t xml:space="preserve">of </w:t>
      </w:r>
      <w:r w:rsidR="00972E70" w:rsidRPr="00873B6C">
        <w:t>TS 23.502 [</w:t>
      </w:r>
      <w:r w:rsidRPr="00873B6C">
        <w:t>3]. In the SNPN, N3IWF determines the IPsec child SAs as defined in</w:t>
      </w:r>
      <w:r w:rsidR="00131D56" w:rsidRPr="00873B6C">
        <w:t xml:space="preserve"> clause 4.12</w:t>
      </w:r>
      <w:r w:rsidRPr="00873B6C">
        <w:t xml:space="preserve"> </w:t>
      </w:r>
      <w:r w:rsidR="00131D56" w:rsidRPr="00873B6C">
        <w:t xml:space="preserve">of </w:t>
      </w:r>
      <w:r w:rsidR="00972E70" w:rsidRPr="00873B6C">
        <w:t>TS 23.502 [</w:t>
      </w:r>
      <w:r w:rsidRPr="00873B6C">
        <w:t>3]. The N3IWF is preconfigured by SNPN to allocate different IPsec child SAs for QoS Flows with different QoS profiles.</w:t>
      </w:r>
    </w:p>
    <w:p w14:paraId="3B0E7E3E" w14:textId="1C808437" w:rsidR="00D40151" w:rsidRPr="00873B6C" w:rsidRDefault="00D40151" w:rsidP="00D40151">
      <w:pPr>
        <w:pStyle w:val="NO"/>
      </w:pPr>
      <w:r w:rsidRPr="00873B6C">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w:t>
      </w:r>
      <w:r w:rsidR="00472CD7" w:rsidRPr="00873B6C">
        <w:t xml:space="preserve"> and</w:t>
      </w:r>
      <w:r w:rsidRPr="00873B6C">
        <w:t xml:space="preserve">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873B6C" w:rsidRDefault="00D40151" w:rsidP="00D40151">
      <w:pPr>
        <w:pStyle w:val="NO"/>
      </w:pPr>
      <w:r w:rsidRPr="00873B6C">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873B6C" w:rsidRDefault="00BA212C" w:rsidP="00BA212C">
      <w:pPr>
        <w:pStyle w:val="NO"/>
      </w:pPr>
      <w:bookmarkStart w:id="4241" w:name="_Toc20150093"/>
      <w:bookmarkStart w:id="4242" w:name="_Toc27846892"/>
      <w:bookmarkStart w:id="4243" w:name="_Toc36188023"/>
      <w:bookmarkStart w:id="4244" w:name="_Toc45183928"/>
      <w:bookmarkStart w:id="4245" w:name="_Toc47342770"/>
      <w:bookmarkStart w:id="4246" w:name="_Toc51769472"/>
      <w:r w:rsidRPr="00873B6C">
        <w:tab/>
        <w:t>Refer to clause D.7 for details on how to support QoS differentiation.</w:t>
      </w:r>
    </w:p>
    <w:p w14:paraId="2F4C1147" w14:textId="11602F04" w:rsidR="00FD5C4A" w:rsidRPr="00873B6C" w:rsidRDefault="00FD5C4A" w:rsidP="00FD5C4A">
      <w:r w:rsidRPr="00873B6C">
        <w:t xml:space="preserve">When the UE accesses the SNPN over </w:t>
      </w:r>
      <w:r w:rsidR="00412DC3" w:rsidRPr="00873B6C">
        <w:t xml:space="preserve">NWu </w:t>
      </w:r>
      <w:r w:rsidRPr="00873B6C">
        <w:t>via a PLMN, the AMF in the SNPN shall send an indication toward the UE during the Registration procedure to indicate whether an IMS voice over PS session is supported or not.</w:t>
      </w:r>
    </w:p>
    <w:p w14:paraId="301F93CA" w14:textId="78D42931" w:rsidR="009D42BF" w:rsidRPr="00873B6C" w:rsidRDefault="009D42BF" w:rsidP="009D42BF">
      <w:pPr>
        <w:pStyle w:val="Heading4"/>
      </w:pPr>
      <w:bookmarkStart w:id="4247" w:name="_CR5_30_2_9"/>
      <w:bookmarkStart w:id="4248" w:name="_Toc201157523"/>
      <w:bookmarkEnd w:id="4247"/>
      <w:r w:rsidRPr="00873B6C">
        <w:t>5.30.2.9</w:t>
      </w:r>
      <w:r w:rsidRPr="00873B6C">
        <w:tab/>
        <w:t>SNPN connectivity for UEs with credentials owned by Credentials Holder</w:t>
      </w:r>
      <w:bookmarkEnd w:id="4248"/>
    </w:p>
    <w:p w14:paraId="2BFBDDCF" w14:textId="4B07CBDE" w:rsidR="00A57580" w:rsidRPr="00873B6C" w:rsidRDefault="00A57580" w:rsidP="00323277">
      <w:pPr>
        <w:pStyle w:val="Heading5"/>
      </w:pPr>
      <w:bookmarkStart w:id="4249" w:name="_CR5_30_2_9_1"/>
      <w:bookmarkStart w:id="4250" w:name="_Toc201157524"/>
      <w:bookmarkEnd w:id="4249"/>
      <w:r w:rsidRPr="00873B6C">
        <w:t>5.30.2.9.1</w:t>
      </w:r>
      <w:r w:rsidRPr="00873B6C">
        <w:tab/>
        <w:t>General</w:t>
      </w:r>
      <w:bookmarkEnd w:id="4250"/>
    </w:p>
    <w:p w14:paraId="78792916" w14:textId="77777777" w:rsidR="00A57580" w:rsidRPr="00873B6C" w:rsidRDefault="00A57580" w:rsidP="00A57580">
      <w:r w:rsidRPr="00873B6C">
        <w:t>SNPNs may support UE access using credentials owned by a Credentials Holder separate from the SNPN. In this case the Session Management procedures (i.e. PDU Sessions) terminate in an SMF in the SNPN.</w:t>
      </w:r>
    </w:p>
    <w:p w14:paraId="735ECB6B" w14:textId="19ECB9DC" w:rsidR="00B96062" w:rsidRPr="00873B6C" w:rsidRDefault="00B96062" w:rsidP="00B96062">
      <w:r w:rsidRPr="00873B6C">
        <w:t>When an SNPN supports UE access using credentials assigned by a Credentials Holder separate from the SNPN, it is assumed that is supported homogeneously within the whole SNPN.</w:t>
      </w:r>
    </w:p>
    <w:p w14:paraId="4AF106A6" w14:textId="1B98FB1A" w:rsidR="000F5D21" w:rsidRPr="00873B6C" w:rsidRDefault="000F5D21" w:rsidP="00562E84">
      <w:r w:rsidRPr="00873B6C">
        <w:lastRenderedPageBreak/>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873B6C" w:rsidRDefault="009D42BF" w:rsidP="00323277">
      <w:pPr>
        <w:pStyle w:val="Heading5"/>
      </w:pPr>
      <w:bookmarkStart w:id="4251" w:name="_CR5_30_2_9_2"/>
      <w:bookmarkStart w:id="4252" w:name="_Toc201157525"/>
      <w:bookmarkEnd w:id="4251"/>
      <w:r w:rsidRPr="00873B6C">
        <w:t>5.30.2.9.</w:t>
      </w:r>
      <w:r w:rsidR="00A57580" w:rsidRPr="00873B6C">
        <w:t>2</w:t>
      </w:r>
      <w:r w:rsidRPr="00873B6C">
        <w:tab/>
        <w:t>Credentials Holder using AAA Server for primary authentication and authorization</w:t>
      </w:r>
      <w:bookmarkEnd w:id="4252"/>
    </w:p>
    <w:p w14:paraId="1CDADECF" w14:textId="22BD3395" w:rsidR="009D42BF" w:rsidRPr="00873B6C" w:rsidRDefault="009D42BF" w:rsidP="009D42BF">
      <w:r w:rsidRPr="00873B6C">
        <w:t>The AUSF</w:t>
      </w:r>
      <w:r w:rsidR="0053150F" w:rsidRPr="00873B6C">
        <w:t xml:space="preserve"> and the UDM</w:t>
      </w:r>
      <w:r w:rsidRPr="00873B6C">
        <w:t xml:space="preserve"> in SNPN may support primary authentication and authorization of UEs</w:t>
      </w:r>
      <w:r w:rsidR="0053150F" w:rsidRPr="00873B6C">
        <w:t xml:space="preserve"> using</w:t>
      </w:r>
      <w:r w:rsidRPr="00873B6C">
        <w:t xml:space="preserve"> credentials from a AAA Server in a Credentials Holder (CH).</w:t>
      </w:r>
    </w:p>
    <w:p w14:paraId="6FB0170A" w14:textId="54AFD758" w:rsidR="0054498C" w:rsidRPr="00873B6C" w:rsidRDefault="0054498C" w:rsidP="00323277">
      <w:pPr>
        <w:pStyle w:val="B1"/>
      </w:pPr>
      <w:r w:rsidRPr="00873B6C">
        <w:t>-</w:t>
      </w:r>
      <w:r w:rsidRPr="00873B6C">
        <w:tab/>
        <w:t xml:space="preserve">Only NSI based SUPI is supported and the SUPI is used to identify the UE during primary authentication and authorization towards the AAA Server. SUPI privacy is achieved according to methods in clause I.5 of </w:t>
      </w:r>
      <w:r w:rsidR="00972E70" w:rsidRPr="00873B6C">
        <w:t>TS 33.501 [</w:t>
      </w:r>
      <w:r w:rsidRPr="00873B6C">
        <w:t>29].</w:t>
      </w:r>
    </w:p>
    <w:p w14:paraId="7135D7FE" w14:textId="77777777" w:rsidR="0054498C" w:rsidRPr="00873B6C" w:rsidRDefault="0054498C" w:rsidP="00323277">
      <w:pPr>
        <w:pStyle w:val="B1"/>
      </w:pPr>
      <w:r w:rsidRPr="00873B6C">
        <w:t>-</w:t>
      </w:r>
      <w:r w:rsidRPr="00873B6C">
        <w:tab/>
        <w:t>The AMF discovers and selects the AUSF as described in clause 6.3.4 using the Home Network Identifier (realm part) and Routing Indicator present in the SUCI provided by a UE configured as described in clause 5.30.2.3.</w:t>
      </w:r>
    </w:p>
    <w:p w14:paraId="453E4919" w14:textId="521C8F86" w:rsidR="0054498C" w:rsidRPr="00873B6C" w:rsidRDefault="0054498C" w:rsidP="00323277">
      <w:pPr>
        <w:pStyle w:val="B1"/>
      </w:pPr>
      <w:r w:rsidRPr="00873B6C">
        <w:t>-</w:t>
      </w:r>
      <w:r w:rsidRPr="00873B6C">
        <w:tab/>
        <w:t xml:space="preserve">The AMF selects the UDM in the same SNPN, based on local configuration (e.g. using the realm part of the SUCI), or using the NRF procedure defined in clause 4.17.4a of </w:t>
      </w:r>
      <w:r w:rsidR="00972E70" w:rsidRPr="00873B6C">
        <w:t>TS 23.502 [</w:t>
      </w:r>
      <w:r w:rsidRPr="00873B6C">
        <w:t>3].</w:t>
      </w:r>
    </w:p>
    <w:p w14:paraId="1CE0F73E" w14:textId="4D935763" w:rsidR="00AF315F" w:rsidRPr="00873B6C" w:rsidRDefault="00AF315F" w:rsidP="00323277">
      <w:pPr>
        <w:pStyle w:val="B1"/>
      </w:pPr>
      <w:r w:rsidRPr="00873B6C">
        <w:t>-</w:t>
      </w:r>
      <w:r w:rsidRPr="00873B6C">
        <w:tab/>
        <w:t xml:space="preserve">If the UDM decides that the primary authentication is performed by AAA Server in CH based on </w:t>
      </w:r>
      <w:r w:rsidR="00A725B6" w:rsidRPr="00873B6C">
        <w:t xml:space="preserve">the UE's SUPI and </w:t>
      </w:r>
      <w:r w:rsidRPr="00873B6C">
        <w:t>subscription data</w:t>
      </w:r>
      <w:r w:rsidR="00A725B6" w:rsidRPr="00873B6C">
        <w:t>. The Home Network Identifier, is derived</w:t>
      </w:r>
      <w:r w:rsidRPr="00873B6C">
        <w:t xml:space="preserve"> by UDM from the SUCI received from AUSF</w:t>
      </w:r>
      <w:r w:rsidR="00A725B6" w:rsidRPr="00873B6C">
        <w:t>.</w:t>
      </w:r>
      <w:r w:rsidR="0054498C" w:rsidRPr="00873B6C">
        <w:t xml:space="preserve"> If the SUCI was generated using a privacy protection scheme that requires de-concealment, UDM de-conceal the SUCI as defined in </w:t>
      </w:r>
      <w:r w:rsidR="00972E70" w:rsidRPr="00873B6C">
        <w:t>TS 33.501 [</w:t>
      </w:r>
      <w:r w:rsidR="0054498C" w:rsidRPr="00873B6C">
        <w:t>29].</w:t>
      </w:r>
      <w:r w:rsidR="00A725B6" w:rsidRPr="00873B6C">
        <w:t xml:space="preserve"> The</w:t>
      </w:r>
      <w:r w:rsidRPr="00873B6C">
        <w:t xml:space="preserve"> UDM</w:t>
      </w:r>
      <w:r w:rsidR="00A725B6" w:rsidRPr="00873B6C">
        <w:t xml:space="preserve"> then</w:t>
      </w:r>
      <w:r w:rsidRPr="00873B6C">
        <w:t xml:space="preserve"> instructs</w:t>
      </w:r>
      <w:r w:rsidR="00A725B6" w:rsidRPr="00873B6C">
        <w:t xml:space="preserve"> the</w:t>
      </w:r>
      <w:r w:rsidRPr="00873B6C">
        <w:t xml:space="preserve"> AUSF that primary authentication by a AAA </w:t>
      </w:r>
      <w:r w:rsidR="00C1580A" w:rsidRPr="00873B6C">
        <w:t>S</w:t>
      </w:r>
      <w:r w:rsidRPr="00873B6C">
        <w:t>erver in a CH is required, the AUSF shall discover and select the NSSAAF</w:t>
      </w:r>
      <w:r w:rsidR="00472CD7" w:rsidRPr="00873B6C">
        <w:t xml:space="preserve"> and</w:t>
      </w:r>
      <w:r w:rsidRPr="00873B6C">
        <w:t xml:space="preserve">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873B6C">
        <w:t>S</w:t>
      </w:r>
      <w:r w:rsidRPr="00873B6C">
        <w:t>erver acts as the EAP Server for the purpose of primary authentication.</w:t>
      </w:r>
    </w:p>
    <w:p w14:paraId="5E454362" w14:textId="436918A9" w:rsidR="00DA3BBC" w:rsidRPr="00873B6C" w:rsidRDefault="00DA3BBC" w:rsidP="00461850">
      <w:pPr>
        <w:pStyle w:val="NO"/>
      </w:pPr>
      <w:r w:rsidRPr="00873B6C">
        <w:t>NOTE</w:t>
      </w:r>
      <w:r w:rsidR="0054498C" w:rsidRPr="00873B6C">
        <w:t> 1</w:t>
      </w:r>
      <w:r w:rsidRPr="00873B6C">
        <w:t>:</w:t>
      </w:r>
      <w:r w:rsidRPr="00873B6C">
        <w:tab/>
        <w:t xml:space="preserve">The UDM in SNPN, based on SLA between Credentials Holder and SNPN, is pre-configured with information indicating whether the UE needs primary authentication from AAA </w:t>
      </w:r>
      <w:r w:rsidR="00C1580A" w:rsidRPr="00873B6C">
        <w:t>S</w:t>
      </w:r>
      <w:r w:rsidRPr="00873B6C">
        <w:t>erver.</w:t>
      </w:r>
    </w:p>
    <w:p w14:paraId="1384761F" w14:textId="2092B353" w:rsidR="0054498C" w:rsidRPr="00873B6C" w:rsidRDefault="0054498C" w:rsidP="00695DF1">
      <w:pPr>
        <w:pStyle w:val="NO"/>
      </w:pPr>
      <w:r w:rsidRPr="00873B6C">
        <w:t>NOTE 2:</w:t>
      </w:r>
      <w:r w:rsidRPr="00873B6C">
        <w:tab/>
        <w:t>It is assumed that the SNPN is configured on per Home Network Identifier basis to determine whether to perform primary authentication with AUSF/UDM or AAA server.</w:t>
      </w:r>
    </w:p>
    <w:p w14:paraId="238A19D1" w14:textId="7E77B789" w:rsidR="009D42BF" w:rsidRPr="00873B6C" w:rsidRDefault="009D42BF" w:rsidP="00323277">
      <w:pPr>
        <w:pStyle w:val="B1"/>
      </w:pPr>
      <w:r w:rsidRPr="00873B6C">
        <w:t>-</w:t>
      </w:r>
      <w:r w:rsidRPr="00873B6C">
        <w:tab/>
      </w:r>
      <w:r w:rsidR="000F5D21" w:rsidRPr="00873B6C">
        <w:t xml:space="preserve">The </w:t>
      </w:r>
      <w:r w:rsidRPr="00873B6C">
        <w:t>AMF and SMF shall retrieve the UE subscription data from UDM using SUPI.</w:t>
      </w:r>
    </w:p>
    <w:p w14:paraId="09A30617" w14:textId="058BE550" w:rsidR="009D42BF" w:rsidRPr="00873B6C" w:rsidRDefault="009D42BF" w:rsidP="009D42BF">
      <w:r w:rsidRPr="00873B6C">
        <w:t>Figure 5.30.2.9.</w:t>
      </w:r>
      <w:r w:rsidR="00A57580" w:rsidRPr="00873B6C">
        <w:t>2</w:t>
      </w:r>
      <w:r w:rsidRPr="00873B6C">
        <w:t>-1 depicts the 5G System architecture for SNPN with Credentials Holder using AAA Server for primary authentication and authorization.</w:t>
      </w:r>
    </w:p>
    <w:p w14:paraId="7A07FBC8" w14:textId="55509F14" w:rsidR="0054498C" w:rsidRPr="00873B6C" w:rsidRDefault="0054498C" w:rsidP="00695DF1">
      <w:pPr>
        <w:pStyle w:val="NO"/>
      </w:pPr>
      <w:r w:rsidRPr="00873B6C">
        <w:t>NOTE 3:</w:t>
      </w:r>
      <w:r w:rsidRPr="00873B6C">
        <w:tab/>
        <w:t xml:space="preserve">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w:t>
      </w:r>
      <w:r w:rsidR="00972E70" w:rsidRPr="00873B6C">
        <w:t>TS 33.501 [</w:t>
      </w:r>
      <w:r w:rsidRPr="00873B6C">
        <w:t>29]), subscription data of the UE and authentication settings to allow UE authentication with AAA-S in CH.</w:t>
      </w:r>
    </w:p>
    <w:p w14:paraId="1DAF0912" w14:textId="5296B0C3" w:rsidR="005309E6" w:rsidRPr="00873B6C" w:rsidRDefault="005309E6" w:rsidP="0073598F">
      <w:pPr>
        <w:pStyle w:val="TH"/>
      </w:pPr>
      <w:r w:rsidRPr="00873B6C">
        <w:object w:dxaOrig="8535" w:dyaOrig="4635" w14:anchorId="78B8D382">
          <v:shape id="_x0000_i1103" type="#_x0000_t75" style="width:427.6pt;height:232.9pt" o:ole="">
            <v:imagedata r:id="rId165" o:title=""/>
          </v:shape>
          <o:OLEObject Type="Embed" ProgID="Visio.Drawing.11" ShapeID="_x0000_i1103" DrawAspect="Content" ObjectID="_1811772437" r:id="rId166"/>
        </w:object>
      </w:r>
    </w:p>
    <w:p w14:paraId="42010245" w14:textId="4DBE6ED7" w:rsidR="009D42BF" w:rsidRPr="00873B6C" w:rsidRDefault="009D42BF" w:rsidP="009D42BF">
      <w:pPr>
        <w:pStyle w:val="TF"/>
      </w:pPr>
      <w:bookmarkStart w:id="4253" w:name="_CRFigure5_30_2_9_21"/>
      <w:r w:rsidRPr="00873B6C">
        <w:t xml:space="preserve">Figure </w:t>
      </w:r>
      <w:bookmarkEnd w:id="4253"/>
      <w:r w:rsidRPr="00873B6C">
        <w:t>5.30.2.9.</w:t>
      </w:r>
      <w:r w:rsidR="00A57580" w:rsidRPr="00873B6C">
        <w:t>2</w:t>
      </w:r>
      <w:r w:rsidRPr="00873B6C">
        <w:t>-1: 5G System architecture with access to SNPN using credentials from Credentials Holder using AAA Server</w:t>
      </w:r>
    </w:p>
    <w:p w14:paraId="20545DA7" w14:textId="4877040F" w:rsidR="005309E6" w:rsidRPr="00873B6C" w:rsidRDefault="005309E6" w:rsidP="005309E6">
      <w:pPr>
        <w:pStyle w:val="NO"/>
      </w:pPr>
      <w:r w:rsidRPr="00873B6C">
        <w:t>NOTE</w:t>
      </w:r>
      <w:r w:rsidR="0054498C" w:rsidRPr="00873B6C">
        <w:t> 4</w:t>
      </w:r>
      <w:r w:rsidRPr="00873B6C">
        <w:t>:</w:t>
      </w:r>
      <w:r w:rsidRPr="00873B6C">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873B6C" w:rsidRDefault="000E35F2" w:rsidP="00323277">
      <w:pPr>
        <w:pStyle w:val="Heading5"/>
      </w:pPr>
      <w:bookmarkStart w:id="4254" w:name="_CR5_30_2_9_3"/>
      <w:bookmarkStart w:id="4255" w:name="_Toc201157526"/>
      <w:bookmarkEnd w:id="4254"/>
      <w:r w:rsidRPr="00873B6C">
        <w:t>5.30.2.</w:t>
      </w:r>
      <w:r w:rsidR="00A57580" w:rsidRPr="00873B6C">
        <w:t>9.3</w:t>
      </w:r>
      <w:r w:rsidRPr="00873B6C">
        <w:tab/>
        <w:t>Credentials Holder using AUSF and UDM for primary authentication and authorization</w:t>
      </w:r>
      <w:bookmarkEnd w:id="4255"/>
    </w:p>
    <w:p w14:paraId="575E8965" w14:textId="483EA1F9" w:rsidR="0053150F" w:rsidRPr="00873B6C" w:rsidRDefault="0053150F" w:rsidP="000E35F2">
      <w:r w:rsidRPr="00873B6C">
        <w:t>An SNPN may support primary authentication and authorization of UEs that use credentials from a Credentials Holder using AUSF and UDM. The Credentials Holder may be an SNPN or a PLMN.</w:t>
      </w:r>
      <w:r w:rsidR="00972BA6" w:rsidRPr="00873B6C">
        <w:t xml:space="preserve"> The Credentials Holder UDM provides to SNPN the subscription data.</w:t>
      </w:r>
    </w:p>
    <w:p w14:paraId="49EF6036" w14:textId="17483CBC" w:rsidR="00972BA6" w:rsidRPr="00873B6C" w:rsidRDefault="00972BA6" w:rsidP="00972BA6">
      <w:pPr>
        <w:pStyle w:val="NO"/>
      </w:pPr>
      <w:r w:rsidRPr="00873B6C">
        <w:t>NOTE 1:</w:t>
      </w:r>
      <w:r w:rsidRPr="00873B6C">
        <w:tab/>
        <w:t>A list of functionalities not supported in SNPN is provided in clause 5.30.2.0.</w:t>
      </w:r>
    </w:p>
    <w:p w14:paraId="1A8C04C7" w14:textId="77777777" w:rsidR="005309E6" w:rsidRPr="00873B6C" w:rsidRDefault="005309E6" w:rsidP="005309E6">
      <w:r w:rsidRPr="00873B6C">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873B6C" w:rsidRDefault="000E35F2" w:rsidP="000E35F2">
      <w:r w:rsidRPr="00873B6C">
        <w:t>Figure 5.30.2.</w:t>
      </w:r>
      <w:r w:rsidR="00A57580" w:rsidRPr="00873B6C">
        <w:t>9.3</w:t>
      </w:r>
      <w:r w:rsidRPr="00873B6C">
        <w:t>-1 depicts the 5G System architecture for SNPN with Credentials Holder using AUSF and UDM for primary authentication and authorization</w:t>
      </w:r>
      <w:r w:rsidR="005309E6" w:rsidRPr="00873B6C">
        <w:t xml:space="preserve"> and network slicing</w:t>
      </w:r>
      <w:r w:rsidRPr="00873B6C">
        <w:t>.</w:t>
      </w:r>
    </w:p>
    <w:p w14:paraId="27AA6B79" w14:textId="72BB6013" w:rsidR="000E35F2" w:rsidRPr="00873B6C" w:rsidRDefault="000E35F2" w:rsidP="00323277">
      <w:pPr>
        <w:pStyle w:val="NO"/>
      </w:pPr>
      <w:r w:rsidRPr="00873B6C">
        <w:t>NOTE</w:t>
      </w:r>
      <w:r w:rsidR="00972BA6" w:rsidRPr="00873B6C">
        <w:t> 2</w:t>
      </w:r>
      <w:r w:rsidRPr="00873B6C">
        <w:t>:</w:t>
      </w:r>
      <w:r w:rsidRPr="00873B6C">
        <w:tab/>
        <w:t>The architecture for SNPN and Credentials Holder</w:t>
      </w:r>
      <w:r w:rsidR="0053150F" w:rsidRPr="00873B6C">
        <w:t xml:space="preserve"> using AUSF and UDM</w:t>
      </w:r>
      <w:r w:rsidRPr="00873B6C">
        <w:t xml:space="preserve"> is depicted as a non-roaming reference architecture as the UE is not considered to be roaming, even though some of the roaming architecture reference points are also used</w:t>
      </w:r>
      <w:r w:rsidR="005309E6" w:rsidRPr="00873B6C">
        <w:t>, e.g. for AMF and SMF in SNPN to register with and retrieve subscription data from UDM of the Credentials Holder</w:t>
      </w:r>
      <w:r w:rsidRPr="00873B6C">
        <w:t>.</w:t>
      </w:r>
    </w:p>
    <w:p w14:paraId="789222EE" w14:textId="30986DB4" w:rsidR="005309E6" w:rsidRPr="00873B6C" w:rsidRDefault="005309E6" w:rsidP="0073598F">
      <w:pPr>
        <w:pStyle w:val="TH"/>
      </w:pPr>
      <w:r w:rsidRPr="00873B6C">
        <w:object w:dxaOrig="6571" w:dyaOrig="3870" w14:anchorId="3DCE5B7C">
          <v:shape id="_x0000_i1104" type="#_x0000_t75" style="width:334.95pt;height:197.2pt" o:ole="">
            <v:imagedata r:id="rId167" o:title=""/>
          </v:shape>
          <o:OLEObject Type="Embed" ProgID="Visio.Drawing.11" ShapeID="_x0000_i1104" DrawAspect="Content" ObjectID="_1811772438" r:id="rId168"/>
        </w:object>
      </w:r>
    </w:p>
    <w:p w14:paraId="5933B903" w14:textId="503E1400" w:rsidR="000E35F2" w:rsidRPr="00873B6C" w:rsidRDefault="000E35F2" w:rsidP="000E35F2">
      <w:pPr>
        <w:pStyle w:val="TF"/>
      </w:pPr>
      <w:bookmarkStart w:id="4256" w:name="_CRFigure5_30_2_9_31"/>
      <w:r w:rsidRPr="00873B6C">
        <w:t xml:space="preserve">Figure </w:t>
      </w:r>
      <w:bookmarkEnd w:id="4256"/>
      <w:r w:rsidRPr="00873B6C">
        <w:t>5.30.2.</w:t>
      </w:r>
      <w:r w:rsidR="00A57580" w:rsidRPr="00873B6C">
        <w:t>9.3</w:t>
      </w:r>
      <w:r w:rsidRPr="00873B6C">
        <w:t>-1: 5G System architecture with access to SNPN using credentials from Credentials Holder using AUSF and UDM</w:t>
      </w:r>
    </w:p>
    <w:p w14:paraId="0AFA2F1C" w14:textId="36204D50" w:rsidR="00C922CA" w:rsidRPr="00873B6C" w:rsidRDefault="00C922CA" w:rsidP="00C922CA">
      <w:pPr>
        <w:pStyle w:val="Heading4"/>
      </w:pPr>
      <w:bookmarkStart w:id="4257" w:name="_CR5_30_2_10"/>
      <w:bookmarkStart w:id="4258" w:name="_Toc201157527"/>
      <w:bookmarkEnd w:id="4257"/>
      <w:r w:rsidRPr="00873B6C">
        <w:t>5.30.2.10</w:t>
      </w:r>
      <w:r w:rsidRPr="00873B6C">
        <w:tab/>
        <w:t>Onboarding of UEs for SNPNs</w:t>
      </w:r>
      <w:bookmarkEnd w:id="4258"/>
    </w:p>
    <w:p w14:paraId="3F64B435" w14:textId="77777777" w:rsidR="00C922CA" w:rsidRPr="00873B6C" w:rsidRDefault="00C922CA" w:rsidP="00562E84">
      <w:pPr>
        <w:pStyle w:val="Heading5"/>
      </w:pPr>
      <w:bookmarkStart w:id="4259" w:name="_CR5_30_2_10_1"/>
      <w:bookmarkStart w:id="4260" w:name="_Toc201157528"/>
      <w:bookmarkEnd w:id="4259"/>
      <w:r w:rsidRPr="00873B6C">
        <w:t>5.30.2.10.1</w:t>
      </w:r>
      <w:r w:rsidRPr="00873B6C">
        <w:tab/>
        <w:t>General</w:t>
      </w:r>
      <w:bookmarkEnd w:id="4260"/>
    </w:p>
    <w:p w14:paraId="476AF0C3" w14:textId="456FD8FF" w:rsidR="00C922CA" w:rsidRPr="00873B6C" w:rsidRDefault="00C922CA" w:rsidP="00C922CA">
      <w:r w:rsidRPr="00873B6C">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873B6C" w:rsidRDefault="00C922CA" w:rsidP="00C922CA">
      <w:r w:rsidRPr="00873B6C">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873B6C" w:rsidRDefault="00C1580A" w:rsidP="00C74FFE">
      <w:pPr>
        <w:pStyle w:val="NO"/>
      </w:pPr>
      <w:r w:rsidRPr="00873B6C">
        <w:t>NOTE:</w:t>
      </w:r>
      <w:r w:rsidRPr="00873B6C">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873B6C" w:rsidRDefault="00C922CA" w:rsidP="00C922CA">
      <w:r w:rsidRPr="00873B6C">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873B6C" w:rsidRDefault="00C922CA" w:rsidP="00C922CA">
      <w:r w:rsidRPr="00873B6C">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873B6C" w:rsidRDefault="00C922CA" w:rsidP="00C922CA">
      <w:r w:rsidRPr="00873B6C">
        <w:t>ON-SNPN and SO-SNPN can be roles taken by either an SNPN or different SNPNs. It is possible for the same network to be in both roles with respect to a specific UE.</w:t>
      </w:r>
    </w:p>
    <w:p w14:paraId="353A59E6" w14:textId="77777777" w:rsidR="00C922CA" w:rsidRPr="00873B6C" w:rsidRDefault="00C922CA" w:rsidP="00562E84">
      <w:pPr>
        <w:pStyle w:val="Heading5"/>
      </w:pPr>
      <w:bookmarkStart w:id="4261" w:name="_CR5_30_2_10_2"/>
      <w:bookmarkStart w:id="4262" w:name="_Toc201157529"/>
      <w:bookmarkEnd w:id="4261"/>
      <w:r w:rsidRPr="00873B6C">
        <w:t>5.30.2.10.2</w:t>
      </w:r>
      <w:r w:rsidRPr="00873B6C">
        <w:tab/>
        <w:t>Onboarding Network is an SNPN</w:t>
      </w:r>
      <w:bookmarkEnd w:id="4262"/>
    </w:p>
    <w:p w14:paraId="577C0469" w14:textId="77777777" w:rsidR="00C922CA" w:rsidRPr="00873B6C" w:rsidRDefault="00C922CA" w:rsidP="00562E84">
      <w:pPr>
        <w:pStyle w:val="H6"/>
      </w:pPr>
      <w:bookmarkStart w:id="4263" w:name="_CR5_30_2_10_2_1"/>
      <w:r w:rsidRPr="00873B6C">
        <w:t>5.30.2.10.2.1</w:t>
      </w:r>
      <w:r w:rsidRPr="00873B6C">
        <w:tab/>
        <w:t>General</w:t>
      </w:r>
    </w:p>
    <w:bookmarkEnd w:id="4263"/>
    <w:p w14:paraId="723609FA" w14:textId="0F862CFB" w:rsidR="00C922CA" w:rsidRPr="00873B6C" w:rsidRDefault="00C922CA" w:rsidP="00C922CA">
      <w:r w:rsidRPr="00873B6C">
        <w:t xml:space="preserve">A UE configured with Default UE credentials may register with an </w:t>
      </w:r>
      <w:r w:rsidR="00FC0C60" w:rsidRPr="00873B6C">
        <w:t>ON-</w:t>
      </w:r>
      <w:r w:rsidRPr="00873B6C">
        <w:t>SNPN for the provisioning of SO-SNPN credentials.</w:t>
      </w:r>
    </w:p>
    <w:p w14:paraId="41A9294E" w14:textId="77777777" w:rsidR="00C922CA" w:rsidRPr="00873B6C" w:rsidRDefault="00C922CA" w:rsidP="00562E84">
      <w:pPr>
        <w:pStyle w:val="H6"/>
      </w:pPr>
      <w:bookmarkStart w:id="4264" w:name="_CR5_30_2_10_2_2"/>
      <w:r w:rsidRPr="00873B6C">
        <w:t>5.30.2.10.2.2</w:t>
      </w:r>
      <w:r w:rsidRPr="00873B6C">
        <w:tab/>
        <w:t>Architecture</w:t>
      </w:r>
    </w:p>
    <w:bookmarkEnd w:id="4264"/>
    <w:p w14:paraId="1E289330" w14:textId="4A43816D" w:rsidR="00C922CA" w:rsidRPr="00873B6C" w:rsidRDefault="00C922CA" w:rsidP="00C922CA">
      <w:r w:rsidRPr="00873B6C">
        <w:t>Figure</w:t>
      </w:r>
      <w:r w:rsidR="00296EC9" w:rsidRPr="00873B6C">
        <w:t>s</w:t>
      </w:r>
      <w:r w:rsidRPr="00873B6C">
        <w:t xml:space="preserve"> 5.30.2.10.2.2-1</w:t>
      </w:r>
      <w:r w:rsidR="005551CC" w:rsidRPr="00873B6C">
        <w:t>,</w:t>
      </w:r>
      <w:r w:rsidR="00B37A78" w:rsidRPr="00873B6C">
        <w:t xml:space="preserve"> 5.30.2.10.2.2-2</w:t>
      </w:r>
      <w:r w:rsidR="005551CC" w:rsidRPr="00873B6C">
        <w:t xml:space="preserve"> and 5.30.2.10.2.2-3</w:t>
      </w:r>
      <w:r w:rsidRPr="00873B6C">
        <w:t xml:space="preserve"> depict the architecture for Onboarding of UEs in an ON-SNPN.</w:t>
      </w:r>
    </w:p>
    <w:p w14:paraId="00FB53F8" w14:textId="6FFBE79C" w:rsidR="00FC0C60" w:rsidRPr="00873B6C" w:rsidRDefault="00FC0C60" w:rsidP="001B7C50">
      <w:pPr>
        <w:pStyle w:val="TH"/>
      </w:pPr>
      <w:r w:rsidRPr="00873B6C">
        <w:object w:dxaOrig="10575" w:dyaOrig="6346" w14:anchorId="246C761C">
          <v:shape id="_x0000_i1105" type="#_x0000_t75" style="width:481.45pt;height:303.65pt" o:ole="">
            <v:imagedata r:id="rId169" o:title=""/>
          </v:shape>
          <o:OLEObject Type="Embed" ProgID="Visio.Drawing.15" ShapeID="_x0000_i1105" DrawAspect="Content" ObjectID="_1811772439" r:id="rId170"/>
        </w:object>
      </w:r>
    </w:p>
    <w:p w14:paraId="033CE204" w14:textId="33C75457" w:rsidR="00C922CA" w:rsidRPr="00873B6C" w:rsidRDefault="00C922CA" w:rsidP="00C922CA">
      <w:pPr>
        <w:pStyle w:val="TF"/>
      </w:pPr>
      <w:bookmarkStart w:id="4265" w:name="_CRFigure5_30_2_10_2_21"/>
      <w:r w:rsidRPr="00873B6C">
        <w:t xml:space="preserve">Figure </w:t>
      </w:r>
      <w:bookmarkEnd w:id="4265"/>
      <w:r w:rsidRPr="00873B6C">
        <w:t>5.30.2.10.2.2-1: Architecture for UE Onboarding in ON-SNPN</w:t>
      </w:r>
      <w:r w:rsidR="00296EC9" w:rsidRPr="00873B6C">
        <w:t xml:space="preserve"> </w:t>
      </w:r>
      <w:r w:rsidR="00AE12FC" w:rsidRPr="00873B6C">
        <w:t>when the</w:t>
      </w:r>
      <w:r w:rsidR="00296EC9" w:rsidRPr="00873B6C">
        <w:t xml:space="preserve"> DCS includes an AUSF and a UDM</w:t>
      </w:r>
    </w:p>
    <w:p w14:paraId="5535528E" w14:textId="4999A8E4" w:rsidR="00FC0C60" w:rsidRPr="00873B6C" w:rsidRDefault="00FC0C60" w:rsidP="001B7C50">
      <w:pPr>
        <w:pStyle w:val="TH"/>
      </w:pPr>
      <w:r w:rsidRPr="00873B6C">
        <w:object w:dxaOrig="10576" w:dyaOrig="6346" w14:anchorId="094F7DCC">
          <v:shape id="_x0000_i1106" type="#_x0000_t75" style="width:480.2pt;height:300.5pt" o:ole="">
            <v:imagedata r:id="rId171" o:title=""/>
          </v:shape>
          <o:OLEObject Type="Embed" ProgID="Visio.Drawing.15" ShapeID="_x0000_i1106" DrawAspect="Content" ObjectID="_1811772440" r:id="rId172"/>
        </w:object>
      </w:r>
    </w:p>
    <w:p w14:paraId="43F412E4" w14:textId="6296F079" w:rsidR="00296EC9" w:rsidRPr="00873B6C" w:rsidRDefault="00296EC9" w:rsidP="00296EC9">
      <w:pPr>
        <w:pStyle w:val="TF"/>
      </w:pPr>
      <w:bookmarkStart w:id="4266" w:name="_CRFigure5_30_2_10_2_22"/>
      <w:r w:rsidRPr="00873B6C">
        <w:t xml:space="preserve">Figure </w:t>
      </w:r>
      <w:bookmarkEnd w:id="4266"/>
      <w:r w:rsidRPr="00873B6C">
        <w:t xml:space="preserve">5.30.2.10.2.2-2: Architecture for UE Onboarding in ON-SNPN </w:t>
      </w:r>
      <w:r w:rsidR="00AE12FC" w:rsidRPr="00873B6C">
        <w:t>when the</w:t>
      </w:r>
      <w:r w:rsidRPr="00873B6C">
        <w:t xml:space="preserve"> DCS includes a AAA </w:t>
      </w:r>
      <w:r w:rsidR="00C1580A" w:rsidRPr="00873B6C">
        <w:t>S</w:t>
      </w:r>
      <w:r w:rsidRPr="00873B6C">
        <w:t>erver used for primary authentication</w:t>
      </w:r>
    </w:p>
    <w:p w14:paraId="24787460" w14:textId="3B49E5F9" w:rsidR="005551CC" w:rsidRPr="00873B6C" w:rsidRDefault="005551CC" w:rsidP="001B7C50">
      <w:pPr>
        <w:pStyle w:val="TH"/>
      </w:pPr>
      <w:r w:rsidRPr="00873B6C">
        <w:object w:dxaOrig="10935" w:dyaOrig="6525" w14:anchorId="3C154EA8">
          <v:shape id="_x0000_i1107" type="#_x0000_t75" style="width:480.2pt;height:308.05pt" o:ole="">
            <v:imagedata r:id="rId173" o:title=""/>
          </v:shape>
          <o:OLEObject Type="Embed" ProgID="Visio.Drawing.15" ShapeID="_x0000_i1107" DrawAspect="Content" ObjectID="_1811772441" r:id="rId174"/>
        </w:object>
      </w:r>
    </w:p>
    <w:p w14:paraId="679DBA85" w14:textId="042BEEE5" w:rsidR="00296EC9" w:rsidRPr="00873B6C" w:rsidRDefault="00296EC9" w:rsidP="00296EC9">
      <w:pPr>
        <w:pStyle w:val="TF"/>
      </w:pPr>
      <w:bookmarkStart w:id="4267" w:name="_CRFigure5_30_2_10_2_23"/>
      <w:r w:rsidRPr="00873B6C">
        <w:t xml:space="preserve">Figure </w:t>
      </w:r>
      <w:bookmarkEnd w:id="4267"/>
      <w:r w:rsidRPr="00873B6C">
        <w:t xml:space="preserve">5.30.2.10.2.2-3: Architecture for UE Onboarding in ON-SNPN when </w:t>
      </w:r>
      <w:r w:rsidR="00AE12FC" w:rsidRPr="00873B6C">
        <w:t xml:space="preserve">the </w:t>
      </w:r>
      <w:r w:rsidRPr="00873B6C">
        <w:t>DCS is not involved during primary authentication</w:t>
      </w:r>
    </w:p>
    <w:p w14:paraId="42E9562F" w14:textId="3F383505" w:rsidR="00C922CA" w:rsidRPr="00873B6C" w:rsidRDefault="00C922CA">
      <w:pPr>
        <w:pStyle w:val="NO"/>
      </w:pPr>
      <w:r w:rsidRPr="00873B6C">
        <w:t>NOTE 1:</w:t>
      </w:r>
      <w:r w:rsidRPr="00873B6C">
        <w:tab/>
        <w:t>AUSF in the ON-SNPN interfaces with the DCS</w:t>
      </w:r>
      <w:r w:rsidR="00FC0C60" w:rsidRPr="00873B6C">
        <w:t xml:space="preserve"> via NSSAAF as shown in Figure 5.30.2.10.2.2-2</w:t>
      </w:r>
      <w:r w:rsidRPr="00873B6C">
        <w:t xml:space="preserve"> owned by an entity that is internal or external to the ON-SNPN.</w:t>
      </w:r>
    </w:p>
    <w:p w14:paraId="0DA77ADC" w14:textId="582402AF" w:rsidR="00C922CA" w:rsidRPr="00873B6C" w:rsidRDefault="00C922CA">
      <w:pPr>
        <w:pStyle w:val="NO"/>
      </w:pPr>
      <w:r w:rsidRPr="00873B6C">
        <w:t>NOTE 2:</w:t>
      </w:r>
      <w:r w:rsidRPr="00873B6C">
        <w:tab/>
        <w:t>The functionality with respect to exchange information between PVS and SO-SNPN to provision SNPN credentials</w:t>
      </w:r>
      <w:r w:rsidR="00366291" w:rsidRPr="00873B6C">
        <w:t xml:space="preserve"> and other data</w:t>
      </w:r>
      <w:r w:rsidRPr="00873B6C">
        <w:t xml:space="preserve"> from the SO-SNPN in the UE is</w:t>
      </w:r>
      <w:r w:rsidR="00366291" w:rsidRPr="00873B6C">
        <w:t xml:space="preserve"> out of 3GPP scope</w:t>
      </w:r>
      <w:r w:rsidRPr="00873B6C">
        <w:t>.</w:t>
      </w:r>
    </w:p>
    <w:p w14:paraId="7E460EBF" w14:textId="2C4C0DE9" w:rsidR="00C922CA" w:rsidRPr="00873B6C" w:rsidRDefault="00C922CA">
      <w:pPr>
        <w:pStyle w:val="NO"/>
      </w:pPr>
      <w:r w:rsidRPr="00873B6C">
        <w:t>NOTE 3:</w:t>
      </w:r>
      <w:r w:rsidRPr="00873B6C">
        <w:tab/>
        <w:t>The dotted lines in Figure 5.30.2.10.2.2-1</w:t>
      </w:r>
      <w:r w:rsidR="00FC0C60" w:rsidRPr="00873B6C">
        <w:t>, Figure 5.30.2.10.2.2-2 and Figure 5.30.2.10.2.2-3</w:t>
      </w:r>
      <w:r w:rsidRPr="00873B6C">
        <w:t xml:space="preserve"> indicate that </w:t>
      </w:r>
      <w:r w:rsidR="00FC0C60" w:rsidRPr="00873B6C">
        <w:t xml:space="preserve">whether </w:t>
      </w:r>
      <w:r w:rsidRPr="00873B6C">
        <w:t>domains (e.g. DCS domain, PVS domain</w:t>
      </w:r>
      <w:r w:rsidR="00472CD7" w:rsidRPr="00873B6C">
        <w:t xml:space="preserve"> and</w:t>
      </w:r>
      <w:r w:rsidRPr="00873B6C">
        <w:t xml:space="preserve"> SO-SNPN)</w:t>
      </w:r>
      <w:r w:rsidR="00FC0C60" w:rsidRPr="00873B6C">
        <w:t xml:space="preserve"> are</w:t>
      </w:r>
      <w:r w:rsidRPr="00873B6C">
        <w:t xml:space="preserve"> separated depend</w:t>
      </w:r>
      <w:r w:rsidR="00FC0C60" w:rsidRPr="00873B6C">
        <w:t>s</w:t>
      </w:r>
      <w:r w:rsidRPr="00873B6C">
        <w:t xml:space="preserve"> on the deployment scenario.</w:t>
      </w:r>
    </w:p>
    <w:p w14:paraId="6292990A" w14:textId="30824B02" w:rsidR="00E83620" w:rsidRPr="00873B6C" w:rsidRDefault="00E83620" w:rsidP="00C74FFE">
      <w:pPr>
        <w:pStyle w:val="NO"/>
      </w:pPr>
      <w:r w:rsidRPr="00873B6C">
        <w:t>NOTE 4:</w:t>
      </w:r>
      <w:r w:rsidRPr="00873B6C">
        <w:tab/>
        <w:t xml:space="preserve">See </w:t>
      </w:r>
      <w:r w:rsidR="00972E70" w:rsidRPr="00873B6C">
        <w:t>TS 33.501 [</w:t>
      </w:r>
      <w:r w:rsidRPr="00873B6C">
        <w:t>29] for the functionality beyond AUSF</w:t>
      </w:r>
      <w:r w:rsidR="00472CD7" w:rsidRPr="00873B6C">
        <w:t xml:space="preserve"> and</w:t>
      </w:r>
      <w:r w:rsidRPr="00873B6C">
        <w:t xml:space="preserve"> other interfaces required for security.</w:t>
      </w:r>
    </w:p>
    <w:p w14:paraId="4BAD632F" w14:textId="1F140968" w:rsidR="005551CC" w:rsidRPr="00873B6C" w:rsidRDefault="005551CC" w:rsidP="005551CC">
      <w:pPr>
        <w:pStyle w:val="NO"/>
      </w:pPr>
      <w:r w:rsidRPr="00873B6C">
        <w:t>NOTE 5:</w:t>
      </w:r>
      <w:r w:rsidRPr="00873B6C">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873B6C" w:rsidRDefault="00B37A78" w:rsidP="00296EC9">
      <w:r w:rsidRPr="00873B6C">
        <w:t>When the DCS is involved during mutual primary authentication during the Onboarding procedure (as in Figure 5.30.10.2.2-1 and Figure 5.30.10.2.2-2), the following appl</w:t>
      </w:r>
      <w:r w:rsidR="00C1580A" w:rsidRPr="00873B6C">
        <w:t>ies</w:t>
      </w:r>
      <w:r w:rsidRPr="00873B6C">
        <w:t>:</w:t>
      </w:r>
    </w:p>
    <w:p w14:paraId="47021024" w14:textId="1DB65FEB" w:rsidR="00B37A78" w:rsidRPr="00873B6C" w:rsidRDefault="00B37A78" w:rsidP="00461850">
      <w:pPr>
        <w:pStyle w:val="B1"/>
      </w:pPr>
      <w:r w:rsidRPr="00873B6C">
        <w:t>-</w:t>
      </w:r>
      <w:r w:rsidRPr="00873B6C">
        <w:tab/>
        <w:t>When the DCS includes an AUSF and a UDM functionality, then the AMF selects AUSF in the DCS domain. The ON-SNPN and DCS domain are connected via N32 and SEPP which are not shown in the Figure 5.30.2.10.2.2-1.</w:t>
      </w:r>
    </w:p>
    <w:p w14:paraId="3AB27C35" w14:textId="714C9D6D" w:rsidR="00B37A78" w:rsidRPr="00873B6C" w:rsidRDefault="00B37A78" w:rsidP="00B37A78">
      <w:pPr>
        <w:pStyle w:val="B1"/>
      </w:pPr>
      <w:r w:rsidRPr="00873B6C">
        <w:t>-</w:t>
      </w:r>
      <w:r w:rsidRPr="00873B6C">
        <w:tab/>
        <w:t xml:space="preserve">When the DCS includes a AAA </w:t>
      </w:r>
      <w:r w:rsidR="00C1580A" w:rsidRPr="00873B6C">
        <w:t>S</w:t>
      </w:r>
      <w:r w:rsidRPr="00873B6C">
        <w:t xml:space="preserve">erver functionality, </w:t>
      </w:r>
      <w:r w:rsidR="003F2E5D" w:rsidRPr="00873B6C">
        <w:t xml:space="preserve">only NSI based SUPI is supported and </w:t>
      </w:r>
      <w:r w:rsidRPr="00873B6C">
        <w:t>the AMF selects AUSF in the ON-SNPN. Based on local configuration</w:t>
      </w:r>
      <w:r w:rsidR="00FC0C60" w:rsidRPr="00873B6C">
        <w:t xml:space="preserve"> (e.g. using the realm part of the Onboarding SUCI),</w:t>
      </w:r>
      <w:r w:rsidRPr="00873B6C">
        <w:t xml:space="preserve"> the AUSF skips the UDM selection and directly performs primary authentication towards DCS with AAA </w:t>
      </w:r>
      <w:r w:rsidR="00C1580A" w:rsidRPr="00873B6C">
        <w:t>S</w:t>
      </w:r>
      <w:r w:rsidRPr="00873B6C">
        <w:t>erver functionality</w:t>
      </w:r>
      <w:r w:rsidR="006357E4" w:rsidRPr="00873B6C">
        <w:t xml:space="preserve"> using Default UE credentials for primary authentication</w:t>
      </w:r>
      <w:r w:rsidRPr="00873B6C">
        <w:t>. The AUSF uses an NSSAAF (and the NSSAAF may use a AAA-P which is not shown in the figure 5.30.2.10.2.2-2) to relay EAP messages towards the DCS including a AAA Server.</w:t>
      </w:r>
      <w:r w:rsidR="003F2E5D" w:rsidRPr="00873B6C">
        <w:t xml:space="preserve"> The NSSAAF selects AAA Server based on the domain name corresponding to the realm part of the SUPI.</w:t>
      </w:r>
    </w:p>
    <w:p w14:paraId="7FCB99A5" w14:textId="323DA934" w:rsidR="008B15DC" w:rsidRPr="00873B6C" w:rsidRDefault="008B15DC" w:rsidP="0073598F">
      <w:pPr>
        <w:pStyle w:val="NO"/>
      </w:pPr>
      <w:r w:rsidRPr="00873B6C">
        <w:lastRenderedPageBreak/>
        <w:t>NOTE 5:</w:t>
      </w:r>
      <w:r w:rsidRPr="00873B6C">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07A0943D" w:rsidR="006357E4" w:rsidRPr="00873B6C" w:rsidRDefault="006357E4" w:rsidP="00433EFC">
      <w:pPr>
        <w:pStyle w:val="B1"/>
      </w:pPr>
      <w:r w:rsidRPr="00873B6C">
        <w:t>-</w:t>
      </w:r>
      <w:r w:rsidRPr="00873B6C">
        <w:tab/>
        <w:t xml:space="preserve">Upon establishment of the PDU Session used for User Plane Remote Provisioning the ON-SNPN may trigger secondary authentication procedure, as described in clause 4.3.2.3 of </w:t>
      </w:r>
      <w:r w:rsidR="00972E70" w:rsidRPr="00873B6C">
        <w:t>TS 23.502 [</w:t>
      </w:r>
      <w:r w:rsidRPr="00873B6C">
        <w:t xml:space="preserve">3], with a DN-AAA using Default UE credentials for secondary authentication as described in clause I.9.2.4 of </w:t>
      </w:r>
      <w:r w:rsidR="00972E70" w:rsidRPr="00873B6C">
        <w:t>TS 33.501 [</w:t>
      </w:r>
      <w:r w:rsidRPr="00873B6C">
        <w:t>29].</w:t>
      </w:r>
    </w:p>
    <w:p w14:paraId="7A5AF1D3" w14:textId="104FB9C1" w:rsidR="00B37A78" w:rsidRPr="00873B6C" w:rsidRDefault="00B37A78" w:rsidP="00296EC9">
      <w:r w:rsidRPr="00873B6C">
        <w:t>When the DCS is not involved during primary authentication (as in Figure 5.30.10.2.2-3), the following applies:</w:t>
      </w:r>
    </w:p>
    <w:p w14:paraId="3B8BDB6D" w14:textId="6578456B" w:rsidR="00B37A78" w:rsidRPr="00873B6C" w:rsidRDefault="00B37A78" w:rsidP="00461850">
      <w:pPr>
        <w:pStyle w:val="B1"/>
      </w:pPr>
      <w:r w:rsidRPr="00873B6C">
        <w:t>-</w:t>
      </w:r>
      <w:r w:rsidRPr="00873B6C">
        <w:tab/>
        <w:t>The AMF selects a local AUSF as described in clause 5.30.2.10.2.6 and performs primary authentication towards the local AUSF using Default UE credentials</w:t>
      </w:r>
      <w:r w:rsidR="006357E4" w:rsidRPr="00873B6C">
        <w:t xml:space="preserve"> for primary authentication</w:t>
      </w:r>
      <w:r w:rsidRPr="00873B6C">
        <w:t xml:space="preserve"> as described in </w:t>
      </w:r>
      <w:r w:rsidR="00972E70" w:rsidRPr="00873B6C">
        <w:t>TS 33.501 [</w:t>
      </w:r>
      <w:r w:rsidRPr="00873B6C">
        <w:t>29].</w:t>
      </w:r>
    </w:p>
    <w:p w14:paraId="5E078F0C" w14:textId="3BE35D3D" w:rsidR="00B37A78" w:rsidRPr="00873B6C" w:rsidRDefault="00B37A78" w:rsidP="00461850">
      <w:pPr>
        <w:pStyle w:val="B1"/>
      </w:pPr>
      <w:r w:rsidRPr="00873B6C">
        <w:t>-</w:t>
      </w:r>
      <w:r w:rsidRPr="00873B6C">
        <w:tab/>
      </w:r>
      <w:r w:rsidR="00C1580A" w:rsidRPr="00873B6C">
        <w:t>U</w:t>
      </w:r>
      <w:r w:rsidRPr="00873B6C">
        <w:t>pon establishment of the PDU Session</w:t>
      </w:r>
      <w:r w:rsidR="00C1580A" w:rsidRPr="00873B6C">
        <w:t xml:space="preserve"> used for User Plane Remote Provisioning</w:t>
      </w:r>
      <w:r w:rsidRPr="00873B6C">
        <w:t xml:space="preserve"> the ON-SNPN may trigger secondary authentication procedure</w:t>
      </w:r>
      <w:r w:rsidR="005551CC" w:rsidRPr="00873B6C">
        <w:t xml:space="preserve">, as described in clause 4.3.2.3 of </w:t>
      </w:r>
      <w:r w:rsidR="00972E70" w:rsidRPr="00873B6C">
        <w:t>TS 23.502 [</w:t>
      </w:r>
      <w:r w:rsidR="005551CC" w:rsidRPr="00873B6C">
        <w:t>3],</w:t>
      </w:r>
      <w:r w:rsidRPr="00873B6C">
        <w:t xml:space="preserve"> with the DCS</w:t>
      </w:r>
      <w:r w:rsidR="006357E4" w:rsidRPr="00873B6C">
        <w:t xml:space="preserve"> or with a DN-AAA server</w:t>
      </w:r>
      <w:r w:rsidRPr="00873B6C">
        <w:t xml:space="preserve"> using Default UE credentials</w:t>
      </w:r>
      <w:r w:rsidR="006357E4" w:rsidRPr="00873B6C">
        <w:t xml:space="preserve"> for secondary authentication,</w:t>
      </w:r>
      <w:r w:rsidRPr="00873B6C">
        <w:t xml:space="preserve"> as described in</w:t>
      </w:r>
      <w:r w:rsidR="006357E4" w:rsidRPr="00873B6C">
        <w:t xml:space="preserve"> clause I.9.2.4</w:t>
      </w:r>
      <w:r w:rsidRPr="00873B6C">
        <w:t xml:space="preserve"> of </w:t>
      </w:r>
      <w:r w:rsidR="00972E70" w:rsidRPr="00873B6C">
        <w:t>TS 33.501 [</w:t>
      </w:r>
      <w:r w:rsidRPr="00873B6C">
        <w:t>29].</w:t>
      </w:r>
      <w:r w:rsidR="005551CC" w:rsidRPr="00873B6C">
        <w:t xml:space="preserve"> When secondary authentication is used, the SMF identifies the</w:t>
      </w:r>
      <w:r w:rsidR="00575D44" w:rsidRPr="00873B6C">
        <w:t xml:space="preserve"> DCS or the</w:t>
      </w:r>
      <w:r w:rsidR="005551CC" w:rsidRPr="00873B6C">
        <w:t xml:space="preserve"> DN-AAA server as defined in clause 4.3.2.3 of </w:t>
      </w:r>
      <w:r w:rsidR="00972E70" w:rsidRPr="00873B6C">
        <w:t>TS 23.502 [</w:t>
      </w:r>
      <w:r w:rsidR="005551CC" w:rsidRPr="00873B6C">
        <w:t>3].</w:t>
      </w:r>
    </w:p>
    <w:p w14:paraId="63780DB4" w14:textId="394B90AA" w:rsidR="00B37A78" w:rsidRPr="00873B6C" w:rsidRDefault="00B37A78" w:rsidP="00461850">
      <w:pPr>
        <w:pStyle w:val="NO"/>
      </w:pPr>
      <w:r w:rsidRPr="00873B6C">
        <w:t>NOTE 6:</w:t>
      </w:r>
      <w:r w:rsidRPr="00873B6C">
        <w:tab/>
        <w:t>If the secondary authentication fails, the SMF rejects the PDU Session</w:t>
      </w:r>
      <w:r w:rsidR="00C1580A" w:rsidRPr="00873B6C">
        <w:t xml:space="preserve"> used</w:t>
      </w:r>
      <w:r w:rsidRPr="00873B6C">
        <w:t xml:space="preserve"> for</w:t>
      </w:r>
      <w:r w:rsidR="00C1580A" w:rsidRPr="00873B6C">
        <w:t xml:space="preserve"> User Plane Remote Provisioning</w:t>
      </w:r>
      <w:r w:rsidRPr="00873B6C">
        <w:t>. Based on local policy the AMF can deregister the UE as described in clause 5.30.2.10.2.7.</w:t>
      </w:r>
    </w:p>
    <w:p w14:paraId="51B35427" w14:textId="08D5D010" w:rsidR="00C922CA" w:rsidRPr="00873B6C" w:rsidRDefault="00C922CA">
      <w:pPr>
        <w:pStyle w:val="NO"/>
      </w:pPr>
      <w:r w:rsidRPr="00873B6C">
        <w:t>NOTE </w:t>
      </w:r>
      <w:r w:rsidR="00296EC9" w:rsidRPr="00873B6C">
        <w:t>7</w:t>
      </w:r>
      <w:r w:rsidRPr="00873B6C">
        <w:t>:</w:t>
      </w:r>
      <w:r w:rsidRPr="00873B6C">
        <w:tab/>
        <w:t>The DCS and PVS can be owned by an administrative entity that can be different from either the ON-SNPN or SO-SNPN. The ownership of DCS and PVS is outside the scope of 3GPP.</w:t>
      </w:r>
    </w:p>
    <w:p w14:paraId="0333F2CE" w14:textId="25FAB262" w:rsidR="00C922CA" w:rsidRPr="00873B6C" w:rsidRDefault="00C922CA" w:rsidP="00C922CA">
      <w:pPr>
        <w:pStyle w:val="H6"/>
      </w:pPr>
      <w:bookmarkStart w:id="4268" w:name="_CR5_30_2_10_2_3"/>
      <w:r w:rsidRPr="00873B6C">
        <w:t>5.30.2.10.2.3</w:t>
      </w:r>
      <w:r w:rsidRPr="00873B6C">
        <w:tab/>
        <w:t>Broadcast system information</w:t>
      </w:r>
    </w:p>
    <w:bookmarkEnd w:id="4268"/>
    <w:p w14:paraId="5CDBA000" w14:textId="58D55A8B" w:rsidR="00C922CA" w:rsidRPr="00873B6C" w:rsidRDefault="00C922CA" w:rsidP="00C922CA">
      <w:r w:rsidRPr="00873B6C">
        <w:t>When the SNPN supports Onboarding of UEs for SNPNs (i.e. the SNPN can be used as ON-SNPN), the NG-RAN node</w:t>
      </w:r>
      <w:r w:rsidR="001F5968" w:rsidRPr="00873B6C">
        <w:t xml:space="preserve"> or the Trusted non-3GPP access network providing access to SNPN</w:t>
      </w:r>
      <w:r w:rsidRPr="00873B6C">
        <w:t xml:space="preserve"> additionally broadcasts the following information:</w:t>
      </w:r>
    </w:p>
    <w:p w14:paraId="4628C0E7" w14:textId="1B2ACFAD" w:rsidR="00C922CA" w:rsidRPr="00873B6C" w:rsidRDefault="00C922CA" w:rsidP="00562E84">
      <w:pPr>
        <w:pStyle w:val="B1"/>
      </w:pPr>
      <w:r w:rsidRPr="00873B6C">
        <w:t>-</w:t>
      </w:r>
      <w:r w:rsidRPr="00873B6C">
        <w:tab/>
        <w:t xml:space="preserve">An onboarding enabled indication that indicates whether onboarding is currently enabled for the SNPN. </w:t>
      </w:r>
      <w:r w:rsidR="001F5968" w:rsidRPr="00873B6C">
        <w:t xml:space="preserve">For access to SNPN via NG-RAN the </w:t>
      </w:r>
      <w:r w:rsidRPr="00873B6C">
        <w:t>onboarding enabled indication is broadcasted per cell e.g. to allow start of the onboarding procedure only in parts of the SNPN.</w:t>
      </w:r>
    </w:p>
    <w:p w14:paraId="51E6F032" w14:textId="3D670039" w:rsidR="00C922CA" w:rsidRPr="00873B6C" w:rsidRDefault="00C922CA" w:rsidP="00562E84">
      <w:pPr>
        <w:pStyle w:val="NO"/>
      </w:pPr>
      <w:r w:rsidRPr="00873B6C">
        <w:t>NOTE:</w:t>
      </w:r>
      <w:r w:rsidRPr="00873B6C">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873B6C" w:rsidRDefault="00C922CA" w:rsidP="00C922CA">
      <w:pPr>
        <w:pStyle w:val="H6"/>
      </w:pPr>
      <w:bookmarkStart w:id="4269" w:name="_CR5_30_2_10_2_4"/>
      <w:r w:rsidRPr="00873B6C">
        <w:t>5.30.2.10.2.4</w:t>
      </w:r>
      <w:r w:rsidRPr="00873B6C">
        <w:tab/>
        <w:t>UE Configuration Aspects</w:t>
      </w:r>
    </w:p>
    <w:bookmarkEnd w:id="4269"/>
    <w:p w14:paraId="5136716E" w14:textId="1D3F541D" w:rsidR="00C922CA" w:rsidRPr="00873B6C" w:rsidRDefault="00C922CA" w:rsidP="00C922CA">
      <w:r w:rsidRPr="00873B6C">
        <w:t>A UE enabled to support UE Onboarding, shall be pre-configured with Default UE credentials</w:t>
      </w:r>
      <w:r w:rsidR="00472CD7" w:rsidRPr="00873B6C">
        <w:t xml:space="preserve"> and</w:t>
      </w:r>
      <w:r w:rsidRPr="00873B6C">
        <w:t xml:space="preserve"> the UE may be pre-configured with ON-SNPN selection information.</w:t>
      </w:r>
      <w:r w:rsidR="00575D44" w:rsidRPr="00873B6C">
        <w:t xml:space="preserve"> The Default UE credentials consist of credentials for primary authentication and optionally credentials for secondary authentication, as described in</w:t>
      </w:r>
      <w:r w:rsidR="00695DF1" w:rsidRPr="00873B6C">
        <w:t xml:space="preserve"> clause I.9 of</w:t>
      </w:r>
      <w:r w:rsidR="00575D44" w:rsidRPr="00873B6C">
        <w:t xml:space="preserve"> </w:t>
      </w:r>
      <w:r w:rsidR="00972E70" w:rsidRPr="00873B6C">
        <w:t>TS 33.501 [</w:t>
      </w:r>
      <w:r w:rsidR="00695DF1" w:rsidRPr="00873B6C">
        <w:t>29]</w:t>
      </w:r>
      <w:r w:rsidR="00575D44" w:rsidRPr="00873B6C">
        <w:t>.</w:t>
      </w:r>
    </w:p>
    <w:p w14:paraId="39CD6F85" w14:textId="47D6E07A" w:rsidR="00C922CA" w:rsidRPr="00873B6C" w:rsidRDefault="00C922CA" w:rsidP="00562E84">
      <w:pPr>
        <w:pStyle w:val="NO"/>
      </w:pPr>
      <w:r w:rsidRPr="00873B6C">
        <w:t>NOTE 1:</w:t>
      </w:r>
      <w:r w:rsidRPr="00873B6C">
        <w:tab/>
        <w:t>The content of the ON-SNPN network selection information depends on UE implementation and can include SNPN network identifiers and/or GIN(s).</w:t>
      </w:r>
    </w:p>
    <w:p w14:paraId="30D98B7E" w14:textId="77777777" w:rsidR="00C922CA" w:rsidRPr="00873B6C" w:rsidRDefault="00C922CA" w:rsidP="00C922CA">
      <w:r w:rsidRPr="00873B6C">
        <w:t>The UE uses the ON-SNPN selection information for selection of ON-SNPN (see clause 5.30.2.10.2.5).</w:t>
      </w:r>
    </w:p>
    <w:p w14:paraId="7897E528" w14:textId="1AECD264" w:rsidR="00F84AAF" w:rsidRPr="00873B6C" w:rsidRDefault="00F84AAF" w:rsidP="00F84AAF">
      <w:r w:rsidRPr="00873B6C">
        <w:t>The UE Configuration Data for UP Remote Provisioning is described in the clause 5.30.2.10.4.2.</w:t>
      </w:r>
    </w:p>
    <w:p w14:paraId="2CA3A64D" w14:textId="423051C9" w:rsidR="00C922CA" w:rsidRPr="00873B6C" w:rsidRDefault="00C922CA" w:rsidP="00562E84">
      <w:pPr>
        <w:pStyle w:val="NO"/>
      </w:pPr>
      <w:r w:rsidRPr="00873B6C">
        <w:t>NOTE 2:</w:t>
      </w:r>
      <w:r w:rsidRPr="00873B6C">
        <w:tab/>
        <w:t>It is assumed that the UE is not pre-configured with a S-NSSAI and DNN for the purpose of UE onboarding in the ON-SNPN.</w:t>
      </w:r>
    </w:p>
    <w:p w14:paraId="1FF1DA82" w14:textId="33EC21BE" w:rsidR="00366291" w:rsidRPr="00873B6C" w:rsidRDefault="00366291" w:rsidP="00366291">
      <w:pPr>
        <w:pStyle w:val="NO"/>
      </w:pPr>
      <w:r w:rsidRPr="00873B6C">
        <w:t>NOTE 3:</w:t>
      </w:r>
      <w:r w:rsidRPr="00873B6C">
        <w:tab/>
        <w:t xml:space="preserve">The Default UE credentials </w:t>
      </w:r>
      <w:r w:rsidR="00575D44" w:rsidRPr="00873B6C">
        <w:t xml:space="preserve">for primary authentication are </w:t>
      </w:r>
      <w:r w:rsidRPr="00873B6C">
        <w:t>used to derive a SUPI. When the UE derives the SUPI from the Default UE credentials</w:t>
      </w:r>
      <w:r w:rsidR="00575D44" w:rsidRPr="00873B6C">
        <w:t xml:space="preserve"> for primary authentication</w:t>
      </w:r>
      <w:r w:rsidRPr="00873B6C">
        <w:t>, the UE performs specific onboarding procedure as described in clause</w:t>
      </w:r>
      <w:r w:rsidR="00F84AAF" w:rsidRPr="00873B6C">
        <w:t xml:space="preserve">s </w:t>
      </w:r>
      <w:r w:rsidRPr="00873B6C">
        <w:t>5.30.2.10.2</w:t>
      </w:r>
      <w:r w:rsidR="00F84AAF" w:rsidRPr="00873B6C">
        <w:t>.5, 5.30.2.10.2.6 and 5.30.2.10.2.7</w:t>
      </w:r>
      <w:r w:rsidRPr="00873B6C">
        <w:t>.</w:t>
      </w:r>
    </w:p>
    <w:p w14:paraId="1DA575C0" w14:textId="35134AFE" w:rsidR="00C922CA" w:rsidRPr="00873B6C" w:rsidRDefault="00C922CA" w:rsidP="00C922CA">
      <w:pPr>
        <w:pStyle w:val="H6"/>
      </w:pPr>
      <w:bookmarkStart w:id="4270" w:name="_CR5_30_2_10_2_5"/>
      <w:r w:rsidRPr="00873B6C">
        <w:t>5.30.2.10.2.5</w:t>
      </w:r>
      <w:r w:rsidRPr="00873B6C">
        <w:tab/>
        <w:t>Network selection</w:t>
      </w:r>
    </w:p>
    <w:bookmarkEnd w:id="4270"/>
    <w:p w14:paraId="5DDEDC66" w14:textId="713112A7" w:rsidR="00C922CA" w:rsidRPr="00873B6C" w:rsidRDefault="00C922CA" w:rsidP="00C922CA">
      <w:r w:rsidRPr="00873B6C">
        <w:t>This clause applies only when the UE is in SNPN access mode.</w:t>
      </w:r>
    </w:p>
    <w:p w14:paraId="0310AAE6" w14:textId="409C621B" w:rsidR="00C922CA" w:rsidRPr="00873B6C" w:rsidRDefault="00C922CA" w:rsidP="00C922CA">
      <w:r w:rsidRPr="00873B6C">
        <w:lastRenderedPageBreak/>
        <w:t>When the UE wants to perform UE onboarding via an SNPN, the UE shall perform ON-SNPN selection as described below. An ON-SNPN is an SNPN providing</w:t>
      </w:r>
      <w:r w:rsidR="00FC0C60" w:rsidRPr="00873B6C">
        <w:t xml:space="preserve"> onboarding access and enabling remote provisioning for a UE registered for onboarding as specified in clause 4.2.2.2.4 of </w:t>
      </w:r>
      <w:r w:rsidR="00972E70" w:rsidRPr="00873B6C">
        <w:t>TS 23.502 [</w:t>
      </w:r>
      <w:r w:rsidR="00FC0C60" w:rsidRPr="00873B6C">
        <w:t>3]</w:t>
      </w:r>
      <w:r w:rsidRPr="00873B6C">
        <w:t>.</w:t>
      </w:r>
    </w:p>
    <w:p w14:paraId="40338D82" w14:textId="02A58BDB" w:rsidR="00C922CA" w:rsidRPr="00873B6C" w:rsidRDefault="00C922CA" w:rsidP="00562E84">
      <w:pPr>
        <w:pStyle w:val="NO"/>
      </w:pPr>
      <w:r w:rsidRPr="00873B6C">
        <w:t>NOTE:</w:t>
      </w:r>
      <w:r w:rsidRPr="00873B6C">
        <w:tab/>
        <w:t>The trigger for the UE to initiate the UE Onboarding procedure is UE implementation dependent (e.g. the trigger can be a power-on event in the UE, or an input by the user).</w:t>
      </w:r>
    </w:p>
    <w:p w14:paraId="6B4F92F7" w14:textId="59625630" w:rsidR="00C922CA" w:rsidRPr="00873B6C" w:rsidRDefault="00C922CA" w:rsidP="00C922CA">
      <w:r w:rsidRPr="00873B6C">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873B6C">
        <w:t xml:space="preserve"> as defined in clause 4.9.3.1.3 or clause 4.9.3.1.4 of </w:t>
      </w:r>
      <w:r w:rsidR="00972E70" w:rsidRPr="00873B6C">
        <w:t>TS 23.122 [</w:t>
      </w:r>
      <w:r w:rsidR="00CB6EDC" w:rsidRPr="00873B6C">
        <w:t>17]</w:t>
      </w:r>
      <w:r w:rsidRPr="00873B6C">
        <w:t>.</w:t>
      </w:r>
    </w:p>
    <w:p w14:paraId="52E12BE2" w14:textId="77777777" w:rsidR="00C922CA" w:rsidRPr="00873B6C" w:rsidRDefault="00C922CA" w:rsidP="00562E84">
      <w:pPr>
        <w:pStyle w:val="H6"/>
      </w:pPr>
      <w:bookmarkStart w:id="4271" w:name="_CR5_30_2_10_2_6"/>
      <w:r w:rsidRPr="00873B6C">
        <w:t>5.30.2.10.2.6</w:t>
      </w:r>
      <w:r w:rsidRPr="00873B6C">
        <w:tab/>
        <w:t>Registration for UE onboarding</w:t>
      </w:r>
    </w:p>
    <w:bookmarkEnd w:id="4271"/>
    <w:p w14:paraId="0D3820CA" w14:textId="5B285BBE" w:rsidR="00C922CA" w:rsidRPr="00873B6C" w:rsidRDefault="00C922CA" w:rsidP="00C922CA">
      <w:r w:rsidRPr="00873B6C">
        <w:t xml:space="preserve">When the user or UE has selected an ON-SNPN according to clause 5.30.2.10.2.5, the UE establishes an RRC connection towards the NG-RAN node of the ON-SNPN. The UE provides an indication in RRC Connection Establishment that the RRC connection is for onboarding as defined in </w:t>
      </w:r>
      <w:r w:rsidR="00972E70" w:rsidRPr="00873B6C">
        <w:t>TS 38.331 [</w:t>
      </w:r>
      <w:r w:rsidRPr="00873B6C">
        <w:t>28]. This indication allows the NG-RAN node to select an appropriate AMF that supports the UE onboarding procedures. The UE indicates the ON-SNPN as the selected network</w:t>
      </w:r>
      <w:r w:rsidR="00472CD7" w:rsidRPr="00873B6C">
        <w:t xml:space="preserve"> and</w:t>
      </w:r>
      <w:r w:rsidRPr="00873B6C">
        <w:t xml:space="preserve"> the NG-RAN node shall indicate the selected PLMN ID and NID of the ON-SNPN to the AMF.</w:t>
      </w:r>
    </w:p>
    <w:p w14:paraId="0C36B6FE" w14:textId="1B02FD0D" w:rsidR="00C922CA" w:rsidRPr="00873B6C" w:rsidRDefault="00C922CA" w:rsidP="00562E84">
      <w:pPr>
        <w:pStyle w:val="NO"/>
      </w:pPr>
      <w:r w:rsidRPr="00873B6C">
        <w:t>NOTE</w:t>
      </w:r>
      <w:r w:rsidR="00FC0C60" w:rsidRPr="00873B6C">
        <w:t> 1</w:t>
      </w:r>
      <w:r w:rsidRPr="00873B6C">
        <w:t>:</w:t>
      </w:r>
      <w:r w:rsidRPr="00873B6C">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873B6C" w:rsidRDefault="00C922CA" w:rsidP="00C922CA">
      <w:r w:rsidRPr="00873B6C">
        <w:t>The UE shall initiate the NAS registration procedure by sending a NAS Registration Request message with the following characteristics:</w:t>
      </w:r>
    </w:p>
    <w:p w14:paraId="5793FF25" w14:textId="77777777" w:rsidR="00C922CA" w:rsidRPr="00873B6C" w:rsidRDefault="00C922CA" w:rsidP="00562E84">
      <w:pPr>
        <w:pStyle w:val="B1"/>
      </w:pPr>
      <w:r w:rsidRPr="00873B6C">
        <w:t>-</w:t>
      </w:r>
      <w:r w:rsidRPr="00873B6C">
        <w:tab/>
        <w:t>The UE shall set the 5GS Registration Type to the value "SNPN Onboarding" indicating that the registration request is for onboarding.</w:t>
      </w:r>
    </w:p>
    <w:p w14:paraId="320B5393" w14:textId="6465195D" w:rsidR="00C922CA" w:rsidRPr="00873B6C" w:rsidRDefault="00C922CA" w:rsidP="00562E84">
      <w:pPr>
        <w:pStyle w:val="B1"/>
      </w:pPr>
      <w:r w:rsidRPr="00873B6C">
        <w:t>-</w:t>
      </w:r>
      <w:r w:rsidRPr="00873B6C">
        <w:tab/>
        <w:t xml:space="preserve">The UE shall provide a SUCI derived from a SUPI as specified in </w:t>
      </w:r>
      <w:r w:rsidR="00972E70" w:rsidRPr="00873B6C">
        <w:t>TS 23.003 [</w:t>
      </w:r>
      <w:r w:rsidRPr="00873B6C">
        <w:t xml:space="preserve">19] and </w:t>
      </w:r>
      <w:r w:rsidR="00972E70" w:rsidRPr="00873B6C">
        <w:t>TS 33.501 [</w:t>
      </w:r>
      <w:r w:rsidRPr="00873B6C">
        <w:t>29]. The SUPI shall uniquely identify the UE and</w:t>
      </w:r>
      <w:r w:rsidR="00366291" w:rsidRPr="00873B6C">
        <w:t xml:space="preserve"> shall be</w:t>
      </w:r>
      <w:r w:rsidRPr="00873B6C">
        <w:t xml:space="preserve"> derived from the Default UE </w:t>
      </w:r>
      <w:r w:rsidR="00F00626" w:rsidRPr="00873B6C">
        <w:t>c</w:t>
      </w:r>
      <w:r w:rsidRPr="00873B6C">
        <w:t>redentials</w:t>
      </w:r>
      <w:r w:rsidR="00575D44" w:rsidRPr="00873B6C">
        <w:t xml:space="preserve"> for primary authentication</w:t>
      </w:r>
      <w:r w:rsidRPr="00873B6C">
        <w:t>.</w:t>
      </w:r>
      <w:r w:rsidR="00FC0C60" w:rsidRPr="00873B6C">
        <w:t xml:space="preserve"> The SUPI used for onboarding may contain an IMSI or a network-specific identifier.</w:t>
      </w:r>
      <w:r w:rsidRPr="00873B6C">
        <w:t xml:space="preserve"> The ON-SNPN may determine the corresponding DCS identity or address/domain, based on the SUCI</w:t>
      </w:r>
      <w:r w:rsidR="00366291" w:rsidRPr="00873B6C">
        <w:t xml:space="preserve"> (i.e. based on the Home Network Identifier of the SUCI)</w:t>
      </w:r>
      <w:r w:rsidRPr="00873B6C">
        <w:t>.</w:t>
      </w:r>
    </w:p>
    <w:p w14:paraId="38C5FF06" w14:textId="298288B1" w:rsidR="00C922CA" w:rsidRPr="00873B6C" w:rsidRDefault="00C922CA" w:rsidP="00C922CA">
      <w:r w:rsidRPr="00873B6C">
        <w:t>The UE does not include a Requested NSSAI in NAS signalling when it registers for UE onboarding purposes to the ON</w:t>
      </w:r>
      <w:r w:rsidR="00C1580A" w:rsidRPr="00873B6C">
        <w:t>-SNP</w:t>
      </w:r>
      <w:r w:rsidRPr="00873B6C">
        <w:t>N.</w:t>
      </w:r>
    </w:p>
    <w:p w14:paraId="79841CA9" w14:textId="38F839AE" w:rsidR="00C922CA" w:rsidRPr="00873B6C" w:rsidRDefault="00C922CA" w:rsidP="00C922CA">
      <w:r w:rsidRPr="00873B6C">
        <w:t>The AMF supporting UE onboarding is configured with AMF Onboarding Configuration Data that include</w:t>
      </w:r>
      <w:r w:rsidR="0053150F" w:rsidRPr="00873B6C">
        <w:t>s</w:t>
      </w:r>
      <w:r w:rsidRPr="00873B6C">
        <w:t xml:space="preserve"> e.g.:</w:t>
      </w:r>
    </w:p>
    <w:p w14:paraId="7C523323" w14:textId="2BB7DB69" w:rsidR="00C922CA" w:rsidRPr="00873B6C" w:rsidRDefault="00C922CA" w:rsidP="00562E84">
      <w:pPr>
        <w:pStyle w:val="B1"/>
      </w:pPr>
      <w:r w:rsidRPr="00873B6C">
        <w:t>-</w:t>
      </w:r>
      <w:r w:rsidRPr="00873B6C">
        <w:tab/>
        <w:t>S-NSSAI and DNN to be used for onboarding or a configured SMF for the S-NSSAI</w:t>
      </w:r>
      <w:r w:rsidR="0053150F" w:rsidRPr="00873B6C">
        <w:t xml:space="preserve"> and DNN</w:t>
      </w:r>
      <w:r w:rsidRPr="00873B6C">
        <w:t xml:space="preserve"> used for onboarding</w:t>
      </w:r>
      <w:r w:rsidR="00C950EF" w:rsidRPr="00873B6C">
        <w:t>.</w:t>
      </w:r>
    </w:p>
    <w:p w14:paraId="360E12AB" w14:textId="47691121" w:rsidR="00366291" w:rsidRPr="00873B6C" w:rsidRDefault="00366291" w:rsidP="00C74FFE">
      <w:pPr>
        <w:pStyle w:val="B1"/>
      </w:pPr>
      <w:r w:rsidRPr="00873B6C">
        <w:t>-</w:t>
      </w:r>
      <w:r w:rsidRPr="00873B6C">
        <w:tab/>
        <w:t xml:space="preserve">Information to use a local AUSF(s) within the ON-SNPN for onboarding of UEs with a SUCI for a DCS with AAA </w:t>
      </w:r>
      <w:r w:rsidR="00C1580A" w:rsidRPr="00873B6C">
        <w:t>S</w:t>
      </w:r>
      <w:r w:rsidRPr="00873B6C">
        <w:t>erver</w:t>
      </w:r>
      <w:r w:rsidR="00B37A78" w:rsidRPr="00873B6C">
        <w:t xml:space="preserve"> or for onboarding of UEs in the case where the DCS is not involved during primary authentication</w:t>
      </w:r>
      <w:r w:rsidRPr="00873B6C">
        <w:t>.</w:t>
      </w:r>
    </w:p>
    <w:p w14:paraId="05A3E67D" w14:textId="3F3F4381" w:rsidR="003F2E5D" w:rsidRPr="00873B6C" w:rsidRDefault="003F2E5D" w:rsidP="003F2E5D">
      <w:pPr>
        <w:pStyle w:val="NO"/>
      </w:pPr>
      <w:r w:rsidRPr="00873B6C">
        <w:t>NOTE 2:</w:t>
      </w:r>
      <w:r w:rsidRPr="00873B6C">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873B6C" w:rsidRDefault="00C922CA" w:rsidP="00C922CA">
      <w:r w:rsidRPr="00873B6C">
        <w:t>When the AMF receives a NAS Registration Request with a 5GS Registration Type set to "SNPN Onboarding", the AMF:</w:t>
      </w:r>
    </w:p>
    <w:p w14:paraId="4D17A850" w14:textId="4FA0F9EB" w:rsidR="00C922CA" w:rsidRPr="00873B6C" w:rsidRDefault="00C922CA" w:rsidP="00562E84">
      <w:pPr>
        <w:pStyle w:val="B1"/>
      </w:pPr>
      <w:r w:rsidRPr="00873B6C">
        <w:t>-</w:t>
      </w:r>
      <w:r w:rsidRPr="00873B6C">
        <w:tab/>
        <w:t xml:space="preserve">starts an authentication procedure towards the AUSF, the authentication procedure is specified in </w:t>
      </w:r>
      <w:r w:rsidR="00972E70" w:rsidRPr="00873B6C">
        <w:t>TS 33.501 [</w:t>
      </w:r>
      <w:r w:rsidRPr="00873B6C">
        <w:t>29].</w:t>
      </w:r>
      <w:r w:rsidR="00F84AAF" w:rsidRPr="00873B6C">
        <w:t xml:space="preserve"> The AMF may be provided with PVS IP address(es) or PVS FQDN(s) from the DCS during authentication procedure.</w:t>
      </w:r>
      <w:r w:rsidRPr="00873B6C">
        <w:t xml:space="preserve"> The AMF selects an appropriate AUSF as described in clause 6.3.4</w:t>
      </w:r>
      <w:r w:rsidR="00366291" w:rsidRPr="00873B6C">
        <w:t xml:space="preserve"> based on the Home Network Identifier of the SUCI used during onboarding</w:t>
      </w:r>
      <w:r w:rsidR="00B37A78" w:rsidRPr="00873B6C">
        <w:t xml:space="preserve"> or based on local configuration in the AMF</w:t>
      </w:r>
      <w:r w:rsidRPr="00873B6C">
        <w:t>.</w:t>
      </w:r>
    </w:p>
    <w:p w14:paraId="77A44D35" w14:textId="12747649" w:rsidR="00C922CA" w:rsidRPr="00873B6C" w:rsidRDefault="00C922CA" w:rsidP="00562E84">
      <w:pPr>
        <w:pStyle w:val="B1"/>
      </w:pPr>
      <w:r w:rsidRPr="00873B6C">
        <w:t>-</w:t>
      </w:r>
      <w:r w:rsidRPr="00873B6C">
        <w:tab/>
        <w:t xml:space="preserve">applies the AMF Onboarding Configuration Data e.g. used to restrict UE network usage to only onboarding for </w:t>
      </w:r>
      <w:r w:rsidR="00F00626" w:rsidRPr="00873B6C">
        <w:t>U</w:t>
      </w:r>
      <w:r w:rsidRPr="00873B6C">
        <w:t xml:space="preserve">ser </w:t>
      </w:r>
      <w:r w:rsidR="00F00626" w:rsidRPr="00873B6C">
        <w:t>P</w:t>
      </w:r>
      <w:r w:rsidRPr="00873B6C">
        <w:t xml:space="preserve">lane </w:t>
      </w:r>
      <w:r w:rsidR="00F00626" w:rsidRPr="00873B6C">
        <w:t>R</w:t>
      </w:r>
      <w:r w:rsidRPr="00873B6C">
        <w:t xml:space="preserve">emote </w:t>
      </w:r>
      <w:r w:rsidR="00F00626" w:rsidRPr="00873B6C">
        <w:t>P</w:t>
      </w:r>
      <w:r w:rsidRPr="00873B6C">
        <w:t xml:space="preserve">rovisioning of UE as described in </w:t>
      </w:r>
      <w:r w:rsidR="003B4D25" w:rsidRPr="00873B6C">
        <w:t>clause </w:t>
      </w:r>
      <w:r w:rsidRPr="00873B6C">
        <w:t>5.30.2.10.4.3.</w:t>
      </w:r>
    </w:p>
    <w:p w14:paraId="7F89C4E9" w14:textId="192898FF" w:rsidR="003B4D25" w:rsidRPr="00873B6C" w:rsidRDefault="003B4D25" w:rsidP="003B4D25">
      <w:pPr>
        <w:pStyle w:val="B1"/>
      </w:pPr>
      <w:r w:rsidRPr="00873B6C">
        <w:t>-</w:t>
      </w:r>
      <w:r w:rsidRPr="00873B6C">
        <w:tab/>
        <w:t>stores in the UE context in AMF an indication that the UE is registered for SNPN onboarding.</w:t>
      </w:r>
    </w:p>
    <w:p w14:paraId="144D0688" w14:textId="4BEB6E34" w:rsidR="00FE24CE" w:rsidRPr="00873B6C" w:rsidRDefault="00FE24CE" w:rsidP="00FE24CE">
      <w:pPr>
        <w:pStyle w:val="B1"/>
      </w:pPr>
      <w:r w:rsidRPr="00873B6C">
        <w:lastRenderedPageBreak/>
        <w:t>-</w:t>
      </w:r>
      <w:r w:rsidRPr="00873B6C">
        <w:tab/>
        <w:t>shall handle the list of equivalent SNPNs as described in TS 24.501 [47].</w:t>
      </w:r>
    </w:p>
    <w:p w14:paraId="2A983C2D" w14:textId="62C478B5" w:rsidR="00C922CA" w:rsidRPr="00873B6C" w:rsidRDefault="00C922CA" w:rsidP="00C922CA">
      <w:r w:rsidRPr="00873B6C">
        <w:t>Upon successful authentication from AUSF, the AMF informs the UE about the result of the registration. If the UE is not successfully authenticated, the AMF shall reject the registration procedure for onboarding</w:t>
      </w:r>
      <w:r w:rsidR="00472CD7" w:rsidRPr="00873B6C">
        <w:t xml:space="preserve"> and</w:t>
      </w:r>
      <w:r w:rsidRPr="00873B6C">
        <w:t xml:space="preserve"> the UE may select a different ON-SNPN to attempt to register.</w:t>
      </w:r>
    </w:p>
    <w:p w14:paraId="5266FBBC" w14:textId="07791B5B" w:rsidR="00FC0C60" w:rsidRPr="00873B6C" w:rsidRDefault="00FC0C60" w:rsidP="00FC0C60">
      <w:pPr>
        <w:pStyle w:val="NO"/>
      </w:pPr>
      <w:r w:rsidRPr="00873B6C">
        <w:t>NOTE </w:t>
      </w:r>
      <w:r w:rsidR="003F2E5D" w:rsidRPr="00873B6C">
        <w:t>3</w:t>
      </w:r>
      <w:r w:rsidRPr="00873B6C">
        <w:t>:</w:t>
      </w:r>
      <w:r w:rsidRPr="00873B6C">
        <w:tab/>
        <w:t xml:space="preserve">The AMF does not interact with the UDM of the ON-SNPN or DCS (i.e. for registration or subscription management purposes) when it receives a NAS Registration Request with a 5GS Registration Type set to "SNPN Onboarding" (see clause 4.2.2.2.4 of </w:t>
      </w:r>
      <w:r w:rsidR="00972E70" w:rsidRPr="00873B6C">
        <w:t>TS 23.502 [</w:t>
      </w:r>
      <w:r w:rsidRPr="00873B6C">
        <w:t>3]).</w:t>
      </w:r>
    </w:p>
    <w:p w14:paraId="66F4C6C2" w14:textId="7F2299FB" w:rsidR="00B04F2B" w:rsidRPr="00873B6C" w:rsidRDefault="00B04F2B" w:rsidP="00B04F2B">
      <w:pPr>
        <w:pStyle w:val="H6"/>
      </w:pPr>
      <w:bookmarkStart w:id="4272" w:name="_CR5_30_2_10_2_7"/>
      <w:r w:rsidRPr="00873B6C">
        <w:t>5.30.2.10.2.7</w:t>
      </w:r>
      <w:r w:rsidRPr="00873B6C">
        <w:tab/>
        <w:t>Deregistration from the ON-SNPN for onboarding registered UE</w:t>
      </w:r>
    </w:p>
    <w:bookmarkEnd w:id="4272"/>
    <w:p w14:paraId="6D798C1C" w14:textId="77777777" w:rsidR="00B04F2B" w:rsidRPr="00873B6C" w:rsidRDefault="00B04F2B" w:rsidP="00B04F2B">
      <w:r w:rsidRPr="00873B6C">
        <w:t>Once remote provisioning of SO-SNPN credentials is completed, the UE should initiate deregistration from the ON-SNPN.</w:t>
      </w:r>
    </w:p>
    <w:p w14:paraId="685AAB28" w14:textId="00F12572" w:rsidR="00B04F2B" w:rsidRPr="00873B6C" w:rsidRDefault="00B04F2B" w:rsidP="00B04F2B">
      <w:r w:rsidRPr="00873B6C">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873B6C" w:rsidRDefault="00B37A78" w:rsidP="00C74FFE">
      <w:r w:rsidRPr="00873B6C">
        <w:t>The AMF may also deregister the UE when it determines that the PDU Session</w:t>
      </w:r>
      <w:r w:rsidR="00C1580A" w:rsidRPr="00873B6C">
        <w:t xml:space="preserve"> used for User Plane Remote Provisioning</w:t>
      </w:r>
      <w:r w:rsidRPr="00873B6C">
        <w:t xml:space="preserve"> has been released by the SMF.</w:t>
      </w:r>
    </w:p>
    <w:p w14:paraId="13377054" w14:textId="3D6A5E04" w:rsidR="003B4D25" w:rsidRPr="00873B6C" w:rsidRDefault="003B4D25" w:rsidP="00C74FFE">
      <w:r w:rsidRPr="00873B6C">
        <w:t xml:space="preserve">When AMF re-allocation occurs for a UE registered for SNPN onboarding during mobility registration update procedure as described in </w:t>
      </w:r>
      <w:r w:rsidR="00972E70" w:rsidRPr="00873B6C">
        <w:t>TS 23.502 [</w:t>
      </w:r>
      <w:r w:rsidRPr="00873B6C">
        <w:t>3] in clause 4.2.2.2.</w:t>
      </w:r>
      <w:r w:rsidR="00F00626" w:rsidRPr="00873B6C">
        <w:t>4</w:t>
      </w:r>
      <w:r w:rsidRPr="00873B6C">
        <w:t xml:space="preserve"> or during N2 based handover as described in </w:t>
      </w:r>
      <w:r w:rsidR="00972E70" w:rsidRPr="00873B6C">
        <w:t>TS 23.502 [</w:t>
      </w:r>
      <w:r w:rsidRPr="00873B6C">
        <w:t xml:space="preserve">3] clause 4.9.1.3, the new AMF supporting SNPN </w:t>
      </w:r>
      <w:r w:rsidR="00C1580A" w:rsidRPr="00873B6C">
        <w:t>O</w:t>
      </w:r>
      <w:r w:rsidRPr="00873B6C">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873B6C" w:rsidRDefault="00B04F2B" w:rsidP="00562E84">
      <w:pPr>
        <w:pStyle w:val="NO"/>
      </w:pPr>
      <w:r w:rsidRPr="00873B6C">
        <w:t>NOTE:</w:t>
      </w:r>
      <w:r w:rsidRPr="00873B6C">
        <w:tab/>
        <w:t>This specific timer is used to prevent onboarding registered UEs from staying at the ON-SNPN indefinitely.</w:t>
      </w:r>
    </w:p>
    <w:p w14:paraId="0DB3AB17" w14:textId="77777777" w:rsidR="00C922CA" w:rsidRPr="00873B6C" w:rsidRDefault="00C922CA" w:rsidP="00562E84">
      <w:pPr>
        <w:pStyle w:val="Heading5"/>
      </w:pPr>
      <w:bookmarkStart w:id="4273" w:name="_CR5_30_2_10_3"/>
      <w:bookmarkStart w:id="4274" w:name="_Toc201157530"/>
      <w:bookmarkEnd w:id="4273"/>
      <w:r w:rsidRPr="00873B6C">
        <w:t>5.30.2.10.3</w:t>
      </w:r>
      <w:r w:rsidRPr="00873B6C">
        <w:tab/>
        <w:t>Onboarding Network is a PLMN</w:t>
      </w:r>
      <w:bookmarkEnd w:id="4274"/>
    </w:p>
    <w:p w14:paraId="53931D22" w14:textId="77777777" w:rsidR="00C922CA" w:rsidRPr="00873B6C" w:rsidRDefault="00C922CA" w:rsidP="00562E84">
      <w:pPr>
        <w:pStyle w:val="H6"/>
      </w:pPr>
      <w:bookmarkStart w:id="4275" w:name="_CR5_30_2_10_3_1"/>
      <w:r w:rsidRPr="00873B6C">
        <w:t>5.30.2.10.3.1</w:t>
      </w:r>
      <w:r w:rsidRPr="00873B6C">
        <w:tab/>
        <w:t>General</w:t>
      </w:r>
    </w:p>
    <w:bookmarkEnd w:id="4275"/>
    <w:p w14:paraId="7AFF3AFC" w14:textId="77777777" w:rsidR="00C922CA" w:rsidRPr="00873B6C" w:rsidRDefault="00C922CA" w:rsidP="00C922CA">
      <w:r w:rsidRPr="00873B6C">
        <w:t>A UE configured with PLMN credentials in USIM for primary authentication may register with a PLMN for the provisioning of SO-SNPN credentials.</w:t>
      </w:r>
    </w:p>
    <w:p w14:paraId="48DD59DD" w14:textId="77777777" w:rsidR="00C922CA" w:rsidRPr="00873B6C" w:rsidRDefault="00C922CA" w:rsidP="00562E84">
      <w:pPr>
        <w:pStyle w:val="H6"/>
      </w:pPr>
      <w:bookmarkStart w:id="4276" w:name="_CR5_30_2_10_3_2"/>
      <w:r w:rsidRPr="00873B6C">
        <w:t>5.30.2.10.3.2</w:t>
      </w:r>
      <w:r w:rsidRPr="00873B6C">
        <w:tab/>
        <w:t>Network selection and Registration</w:t>
      </w:r>
    </w:p>
    <w:bookmarkEnd w:id="4276"/>
    <w:p w14:paraId="546AFDED" w14:textId="79692263" w:rsidR="00C922CA" w:rsidRPr="00873B6C" w:rsidRDefault="00C922CA" w:rsidP="00C922CA">
      <w:r w:rsidRPr="00873B6C">
        <w:t>This clause</w:t>
      </w:r>
      <w:r w:rsidR="00055D0B" w:rsidRPr="00873B6C">
        <w:t xml:space="preserve"> </w:t>
      </w:r>
      <w:r w:rsidRPr="00873B6C">
        <w:t>applies only when the UE is not in SNPN access mode.</w:t>
      </w:r>
    </w:p>
    <w:p w14:paraId="4B2CECF1" w14:textId="50544E07" w:rsidR="00C922CA" w:rsidRPr="00873B6C" w:rsidRDefault="00C922CA" w:rsidP="00C922CA">
      <w:r w:rsidRPr="00873B6C">
        <w:t xml:space="preserve">When the UE is using PLMN credentials for accessing a PLMN as the Onboarding Network (ONN), then regular network selection, as per </w:t>
      </w:r>
      <w:r w:rsidR="00972E70" w:rsidRPr="00873B6C">
        <w:t>TS 23.122 [</w:t>
      </w:r>
      <w:r w:rsidRPr="00873B6C">
        <w:t xml:space="preserve">17] and regular initial registration procedures apply, as per </w:t>
      </w:r>
      <w:r w:rsidR="00972E70" w:rsidRPr="00873B6C">
        <w:t>TS 23.502 [</w:t>
      </w:r>
      <w:r w:rsidRPr="00873B6C">
        <w:t>3]. After successfully registering to the ON-PLMN, the UE is provisioned with the SO-SNPN credentials via User Plane as in clause 5.30.2.10.4.</w:t>
      </w:r>
      <w:r w:rsidR="00E83620" w:rsidRPr="00873B6C">
        <w:t>4</w:t>
      </w:r>
      <w:r w:rsidRPr="00873B6C">
        <w:t>.</w:t>
      </w:r>
    </w:p>
    <w:p w14:paraId="1FE06E9A" w14:textId="40E5A9A0" w:rsidR="00F00626" w:rsidRPr="00873B6C" w:rsidRDefault="00F00626" w:rsidP="00F00626">
      <w:pPr>
        <w:pStyle w:val="NO"/>
      </w:pPr>
      <w:r w:rsidRPr="00873B6C">
        <w:t>NOTE:</w:t>
      </w:r>
      <w:r w:rsidRPr="00873B6C">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873B6C" w:rsidRDefault="00C922CA" w:rsidP="00562E84">
      <w:pPr>
        <w:pStyle w:val="Heading5"/>
      </w:pPr>
      <w:bookmarkStart w:id="4277" w:name="_CR5_30_2_10_4"/>
      <w:bookmarkStart w:id="4278" w:name="_Toc201157531"/>
      <w:bookmarkEnd w:id="4277"/>
      <w:r w:rsidRPr="00873B6C">
        <w:t>5.30.2.10.4</w:t>
      </w:r>
      <w:r w:rsidRPr="00873B6C">
        <w:tab/>
        <w:t>Remote Provisioning of UEs in Onboarding Network</w:t>
      </w:r>
      <w:bookmarkEnd w:id="4278"/>
    </w:p>
    <w:p w14:paraId="64070FA1" w14:textId="77777777" w:rsidR="00C922CA" w:rsidRPr="00873B6C" w:rsidRDefault="00C922CA" w:rsidP="00562E84">
      <w:pPr>
        <w:pStyle w:val="H6"/>
      </w:pPr>
      <w:bookmarkStart w:id="4279" w:name="_CR5_30_2_10_4_1"/>
      <w:r w:rsidRPr="00873B6C">
        <w:t>5.30.2.10.4.1</w:t>
      </w:r>
      <w:r w:rsidRPr="00873B6C">
        <w:tab/>
        <w:t>General</w:t>
      </w:r>
    </w:p>
    <w:bookmarkEnd w:id="4279"/>
    <w:p w14:paraId="55E3C0F3" w14:textId="108BA436" w:rsidR="00C922CA" w:rsidRPr="00873B6C" w:rsidRDefault="00DA3BBC" w:rsidP="00C922CA">
      <w:r w:rsidRPr="00873B6C">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873B6C" w:rsidRDefault="00DA3BBC" w:rsidP="00C922CA">
      <w:r w:rsidRPr="00873B6C">
        <w:lastRenderedPageBreak/>
        <w:t>Onboarding Services are provided using a PDU Session for DNN</w:t>
      </w:r>
      <w:r w:rsidR="00C1580A" w:rsidRPr="00873B6C">
        <w:t xml:space="preserve"> and </w:t>
      </w:r>
      <w:r w:rsidRPr="00873B6C">
        <w:t>S-NSSAI used for onboarding allowing remote provisioning of UEs via User Plane. The PDU Session may be restricted</w:t>
      </w:r>
      <w:r w:rsidR="00C1580A" w:rsidRPr="00873B6C">
        <w:t xml:space="preserve"> only</w:t>
      </w:r>
      <w:r w:rsidRPr="00873B6C">
        <w:t xml:space="preserve"> to be used for Remote Provisioning of the UE.</w:t>
      </w:r>
    </w:p>
    <w:p w14:paraId="78CE18DB" w14:textId="77777777" w:rsidR="00C922CA" w:rsidRPr="00873B6C" w:rsidRDefault="00C922CA" w:rsidP="00562E84">
      <w:pPr>
        <w:pStyle w:val="H6"/>
      </w:pPr>
      <w:bookmarkStart w:id="4280" w:name="_CR5_30_2_10_4_2"/>
      <w:r w:rsidRPr="00873B6C">
        <w:t>5.30.2.10.4.2</w:t>
      </w:r>
      <w:r w:rsidRPr="00873B6C">
        <w:tab/>
        <w:t>Onboarding configuration for the UE</w:t>
      </w:r>
    </w:p>
    <w:bookmarkEnd w:id="4280"/>
    <w:p w14:paraId="7FC54736" w14:textId="4EBFF974" w:rsidR="00055D0B" w:rsidRPr="00873B6C" w:rsidRDefault="00055D0B">
      <w:r w:rsidRPr="00873B6C">
        <w:t xml:space="preserve">In order to enable UP Remote Provisioning of SNPN credentials for a UE, UE Configuration Data for </w:t>
      </w:r>
      <w:r w:rsidR="00E47495" w:rsidRPr="00873B6C">
        <w:t xml:space="preserve">User Plane </w:t>
      </w:r>
      <w:r w:rsidRPr="00873B6C">
        <w:t>Remote Provisioning are either pre-configured on the UE or provided by the ON</w:t>
      </w:r>
      <w:r w:rsidR="00426DE4" w:rsidRPr="00873B6C">
        <w:t>N</w:t>
      </w:r>
      <w:r w:rsidRPr="00873B6C">
        <w:t xml:space="preserve">. UE Configuration Data for </w:t>
      </w:r>
      <w:r w:rsidR="00E47495" w:rsidRPr="00873B6C">
        <w:t xml:space="preserve">User Plane </w:t>
      </w:r>
      <w:r w:rsidRPr="00873B6C">
        <w:t>Remote Provisioning provided by the ON</w:t>
      </w:r>
      <w:r w:rsidR="00426DE4" w:rsidRPr="00873B6C">
        <w:t>N</w:t>
      </w:r>
      <w:r w:rsidRPr="00873B6C">
        <w:t xml:space="preserve"> take precedence over corresponding configuration data stored in the UE.</w:t>
      </w:r>
    </w:p>
    <w:p w14:paraId="022AF414" w14:textId="6EE52BAE" w:rsidR="00055D0B" w:rsidRPr="00873B6C" w:rsidRDefault="00055D0B">
      <w:r w:rsidRPr="00873B6C">
        <w:t xml:space="preserve">UE Configuration Data for </w:t>
      </w:r>
      <w:r w:rsidR="00E47495" w:rsidRPr="00873B6C">
        <w:t xml:space="preserve">User Plane </w:t>
      </w:r>
      <w:r w:rsidRPr="00873B6C">
        <w:t>Remote Provisioning consist of PVS IP address</w:t>
      </w:r>
      <w:r w:rsidR="00D45059" w:rsidRPr="00873B6C">
        <w:t>(es)</w:t>
      </w:r>
      <w:r w:rsidRPr="00873B6C">
        <w:t xml:space="preserve"> </w:t>
      </w:r>
      <w:r w:rsidR="00D45059" w:rsidRPr="00873B6C">
        <w:t>and/</w:t>
      </w:r>
      <w:r w:rsidRPr="00873B6C">
        <w:t>or PVS FQDN</w:t>
      </w:r>
      <w:r w:rsidR="00D45059" w:rsidRPr="00873B6C">
        <w:t>(s)</w:t>
      </w:r>
      <w:r w:rsidRPr="00873B6C">
        <w:t>.</w:t>
      </w:r>
    </w:p>
    <w:p w14:paraId="058D0F99" w14:textId="316CB06A" w:rsidR="00055D0B" w:rsidRPr="00873B6C" w:rsidRDefault="00055D0B">
      <w:r w:rsidRPr="00873B6C">
        <w:t>If the UE does not have any PVS IP address or PVS FQDN after the establishment of the PDU Session used for</w:t>
      </w:r>
      <w:r w:rsidR="00E47495" w:rsidRPr="00873B6C">
        <w:t xml:space="preserve"> User Plane Remote Provisioning</w:t>
      </w:r>
      <w:r w:rsidRPr="00873B6C">
        <w:t xml:space="preserve">, the UE may construct an FQDN for PVS discovery as defined in </w:t>
      </w:r>
      <w:r w:rsidR="00972E70" w:rsidRPr="00873B6C">
        <w:t>TS 23.003 [</w:t>
      </w:r>
      <w:r w:rsidRPr="00873B6C">
        <w:t>19].</w:t>
      </w:r>
    </w:p>
    <w:p w14:paraId="7138FAF0" w14:textId="0AF8B2B3" w:rsidR="00055D0B" w:rsidRPr="00873B6C" w:rsidRDefault="00055D0B">
      <w:r w:rsidRPr="00873B6C">
        <w:t xml:space="preserve">The UE Configuration Data for </w:t>
      </w:r>
      <w:r w:rsidR="00E47495" w:rsidRPr="00873B6C">
        <w:t xml:space="preserve">User Plane </w:t>
      </w:r>
      <w:r w:rsidRPr="00873B6C">
        <w:t>Remote Provisioning may be stored in the ME.</w:t>
      </w:r>
    </w:p>
    <w:p w14:paraId="5A3CD066" w14:textId="73095C4C" w:rsidR="00366291" w:rsidRPr="00873B6C" w:rsidRDefault="00055D0B">
      <w:r w:rsidRPr="00873B6C">
        <w:t xml:space="preserve">The UE Configuration Data for </w:t>
      </w:r>
      <w:r w:rsidR="00E47495" w:rsidRPr="00873B6C">
        <w:t xml:space="preserve">User Plane </w:t>
      </w:r>
      <w:r w:rsidRPr="00873B6C">
        <w:t>Remote Provisioning (i.e. PVS IP address</w:t>
      </w:r>
      <w:r w:rsidR="00F84AAF" w:rsidRPr="00873B6C">
        <w:t>(es)</w:t>
      </w:r>
      <w:r w:rsidRPr="00873B6C">
        <w:t xml:space="preserve"> or PVS FQDN</w:t>
      </w:r>
      <w:r w:rsidR="00F84AAF" w:rsidRPr="00873B6C">
        <w:t>(s)</w:t>
      </w:r>
      <w:r w:rsidR="00D45059" w:rsidRPr="00873B6C">
        <w:t>, or both</w:t>
      </w:r>
      <w:r w:rsidRPr="00873B6C">
        <w:t>) may be</w:t>
      </w:r>
      <w:r w:rsidR="00366291" w:rsidRPr="00873B6C">
        <w:t>:</w:t>
      </w:r>
    </w:p>
    <w:p w14:paraId="4820952F" w14:textId="74A516D6" w:rsidR="00366291" w:rsidRPr="00873B6C" w:rsidRDefault="00366291" w:rsidP="00C74FFE">
      <w:pPr>
        <w:pStyle w:val="B1"/>
      </w:pPr>
      <w:r w:rsidRPr="00873B6C">
        <w:t>-</w:t>
      </w:r>
      <w:r w:rsidRPr="00873B6C">
        <w:tab/>
      </w:r>
      <w:r w:rsidR="00055D0B" w:rsidRPr="00873B6C">
        <w:t>locally configured in the SMF of ON</w:t>
      </w:r>
      <w:r w:rsidR="00426DE4" w:rsidRPr="00873B6C">
        <w:t>N</w:t>
      </w:r>
      <w:r w:rsidRPr="00873B6C">
        <w:t>;</w:t>
      </w:r>
      <w:r w:rsidR="00055D0B" w:rsidRPr="00873B6C">
        <w:t xml:space="preserve"> </w:t>
      </w:r>
      <w:r w:rsidR="009E78C1" w:rsidRPr="00873B6C">
        <w:t>and/</w:t>
      </w:r>
      <w:r w:rsidRPr="00873B6C">
        <w:t>or</w:t>
      </w:r>
    </w:p>
    <w:p w14:paraId="633F3E72" w14:textId="0E27F0CD" w:rsidR="00366291" w:rsidRPr="00873B6C" w:rsidRDefault="00366291" w:rsidP="00C74FFE">
      <w:pPr>
        <w:pStyle w:val="B1"/>
      </w:pPr>
      <w:r w:rsidRPr="00873B6C">
        <w:t>-</w:t>
      </w:r>
      <w:r w:rsidRPr="00873B6C">
        <w:tab/>
        <w:t xml:space="preserve">provided by the DCS to the AMF of ON-SNPN as part of the authentication procedure as specified in </w:t>
      </w:r>
      <w:r w:rsidR="00972E70" w:rsidRPr="00873B6C">
        <w:t>TS 33.501 [</w:t>
      </w:r>
      <w:r w:rsidRPr="00873B6C">
        <w:t>29] and sent by the AMF in the</w:t>
      </w:r>
      <w:r w:rsidR="00F00626" w:rsidRPr="00873B6C">
        <w:t xml:space="preserve"> Nsmf_PDUSession_CreateSMContext Request message</w:t>
      </w:r>
      <w:r w:rsidRPr="00873B6C">
        <w:t xml:space="preserve"> to the SMF</w:t>
      </w:r>
    </w:p>
    <w:p w14:paraId="61EA3A95" w14:textId="733B9CBA" w:rsidR="00D45059" w:rsidRPr="00873B6C" w:rsidRDefault="009E78C1">
      <w:r w:rsidRPr="00873B6C">
        <w:t xml:space="preserve">If the SNPN acting as ON-SNPN is not capable to provide access to </w:t>
      </w:r>
      <w:r w:rsidR="00BE0437" w:rsidRPr="00873B6C">
        <w:t>L</w:t>
      </w:r>
      <w:r w:rsidRPr="00873B6C">
        <w:t xml:space="preserve">ocalized </w:t>
      </w:r>
      <w:r w:rsidR="00BE0437" w:rsidRPr="00873B6C">
        <w:t>S</w:t>
      </w:r>
      <w:r w:rsidRPr="00873B6C">
        <w:t xml:space="preserve">ervices, the </w:t>
      </w:r>
      <w:r w:rsidR="00D45059" w:rsidRPr="00873B6C">
        <w:t>PVS IP address(es) and/or PVS FQDN(s) provided by the DCS take precedence over the locally configured PVS IP address(es) and/or PVS FQDN(s) in the ON-SNPN.</w:t>
      </w:r>
      <w:r w:rsidRPr="00873B6C">
        <w:t xml:space="preserve"> If the SNPN acting as ON-SNPN is capable to provides access to </w:t>
      </w:r>
      <w:r w:rsidR="00BE0437" w:rsidRPr="00873B6C">
        <w:t>L</w:t>
      </w:r>
      <w:r w:rsidRPr="00873B6C">
        <w:t xml:space="preserve">ocalized </w:t>
      </w:r>
      <w:r w:rsidR="00BE0437" w:rsidRPr="00873B6C">
        <w:t>S</w:t>
      </w:r>
      <w:r w:rsidRPr="00873B6C">
        <w:t>ervices, the SMF should include both DCS provided and the locally configured PVS IP address(es) and/or PVS FQDN(s), in the UE Configuration Data for User Plane Remote Provisioning.</w:t>
      </w:r>
    </w:p>
    <w:p w14:paraId="32FE4D70" w14:textId="6FE93D86" w:rsidR="00F84AAF" w:rsidRPr="00873B6C" w:rsidRDefault="00F84AAF">
      <w:r w:rsidRPr="00873B6C">
        <w:t xml:space="preserve">If the PCF is used for </w:t>
      </w:r>
      <w:r w:rsidR="00E47495" w:rsidRPr="00873B6C">
        <w:t xml:space="preserve">User Plane </w:t>
      </w:r>
      <w:r w:rsidRPr="00873B6C">
        <w:t>Remote Provisioning, the SMF provides the UE Configuration Data to the PCF as described in clause 5.30.2.10.4.3.</w:t>
      </w:r>
    </w:p>
    <w:p w14:paraId="71ECDC56" w14:textId="32FE9B2B" w:rsidR="00055D0B" w:rsidRPr="00873B6C" w:rsidRDefault="00366291">
      <w:r w:rsidRPr="00873B6C">
        <w:t xml:space="preserve">The UE Configuration Data for </w:t>
      </w:r>
      <w:r w:rsidR="00E47495" w:rsidRPr="00873B6C">
        <w:t xml:space="preserve">User Plane </w:t>
      </w:r>
      <w:r w:rsidRPr="00873B6C">
        <w:t xml:space="preserve">Remote Provisioning </w:t>
      </w:r>
      <w:r w:rsidR="00055D0B" w:rsidRPr="00873B6C">
        <w:t>may be provided to the UE during the establishment of the PDU Session</w:t>
      </w:r>
      <w:r w:rsidR="00E47495" w:rsidRPr="00873B6C">
        <w:t xml:space="preserve"> used for User Plane Remote Provisioning</w:t>
      </w:r>
      <w:r w:rsidR="00055D0B" w:rsidRPr="00873B6C">
        <w:t xml:space="preserve"> as part of Protocol Configuration Options (PCO) in the PDU Session Establishment Response.</w:t>
      </w:r>
    </w:p>
    <w:p w14:paraId="2E4812B8" w14:textId="5300D1E5" w:rsidR="00D45059" w:rsidRPr="00873B6C" w:rsidRDefault="00D45059" w:rsidP="0073598F">
      <w:pPr>
        <w:pStyle w:val="NO"/>
      </w:pPr>
      <w:r w:rsidRPr="00873B6C">
        <w:t>NOTE:</w:t>
      </w:r>
      <w:r w:rsidRPr="00873B6C">
        <w:tab/>
        <w:t>If there are multiple PVS IP addresses and/or PVS FQDNs in the UE, how the UE</w:t>
      </w:r>
      <w:r w:rsidR="009E78C1" w:rsidRPr="00873B6C">
        <w:t xml:space="preserve"> selects PVS from</w:t>
      </w:r>
      <w:r w:rsidRPr="00873B6C">
        <w:t xml:space="preserve"> this information is up to UE implementation.</w:t>
      </w:r>
    </w:p>
    <w:p w14:paraId="635C0C6B" w14:textId="77777777" w:rsidR="00C922CA" w:rsidRPr="00873B6C" w:rsidRDefault="00C922CA" w:rsidP="00562E84">
      <w:pPr>
        <w:pStyle w:val="H6"/>
      </w:pPr>
      <w:bookmarkStart w:id="4281" w:name="_CR5_30_2_10_4_3"/>
      <w:r w:rsidRPr="00873B6C">
        <w:t>5.30.2.10.4.3</w:t>
      </w:r>
      <w:r w:rsidRPr="00873B6C">
        <w:tab/>
        <w:t>User Plane Remote Provisioning of UEs when Onboarding Network is an ON-SNPN</w:t>
      </w:r>
    </w:p>
    <w:bookmarkEnd w:id="4281"/>
    <w:p w14:paraId="13EC591F" w14:textId="3DBED894" w:rsidR="00BA212C" w:rsidRPr="00873B6C" w:rsidRDefault="00E47495" w:rsidP="00C922CA">
      <w:r w:rsidRPr="00873B6C">
        <w:t xml:space="preserve">The </w:t>
      </w:r>
      <w:r w:rsidR="00BA212C" w:rsidRPr="00873B6C">
        <w:t>AMF selects an SMF used for</w:t>
      </w:r>
      <w:r w:rsidRPr="00873B6C">
        <w:t xml:space="preserve"> User Plane Remote Provisioning</w:t>
      </w:r>
      <w:r w:rsidR="00BA212C" w:rsidRPr="00873B6C">
        <w:t xml:space="preserve"> using the SMF discovery and selection functionality as described in clause 6.3.2. The</w:t>
      </w:r>
      <w:r w:rsidR="0053150F" w:rsidRPr="00873B6C">
        <w:t xml:space="preserve"> S-NSSAI and DNN of the</w:t>
      </w:r>
      <w:r w:rsidR="00BA212C" w:rsidRPr="00873B6C">
        <w:t xml:space="preserve"> AMF Onboarding Configuration Data may</w:t>
      </w:r>
      <w:r w:rsidR="0053150F" w:rsidRPr="00873B6C">
        <w:t xml:space="preserve"> be used to discover and</w:t>
      </w:r>
      <w:r w:rsidR="00BA212C" w:rsidRPr="00873B6C">
        <w:t xml:space="preserve"> select an SMF for</w:t>
      </w:r>
      <w:r w:rsidRPr="00873B6C">
        <w:t xml:space="preserve"> User Plane Remote Provisioning</w:t>
      </w:r>
      <w:r w:rsidR="00A84CD4" w:rsidRPr="00873B6C">
        <w:t>.</w:t>
      </w:r>
      <w:r w:rsidRPr="00873B6C">
        <w:t xml:space="preserve"> </w:t>
      </w:r>
      <w:r w:rsidR="0053150F" w:rsidRPr="00873B6C">
        <w:t>Alternatively, for SMF selection, the AMF Onboarding Configuration Data</w:t>
      </w:r>
      <w:r w:rsidR="00BA212C" w:rsidRPr="00873B6C">
        <w:t xml:space="preserve"> may contain a configured SMF for the </w:t>
      </w:r>
      <w:r w:rsidR="0053150F" w:rsidRPr="00873B6C">
        <w:t>S-NSSAI</w:t>
      </w:r>
      <w:r w:rsidRPr="00873B6C">
        <w:t xml:space="preserve"> and </w:t>
      </w:r>
      <w:r w:rsidR="00BA212C" w:rsidRPr="00873B6C">
        <w:t xml:space="preserve">DNN used for </w:t>
      </w:r>
      <w:r w:rsidRPr="00873B6C">
        <w:t>o</w:t>
      </w:r>
      <w:r w:rsidR="00BA212C" w:rsidRPr="00873B6C">
        <w:t>nboarding.</w:t>
      </w:r>
      <w:r w:rsidR="00C950EF" w:rsidRPr="00873B6C">
        <w:t xml:space="preserve"> The AMF provides Onboarding Indication to SMF via Nsmf_PDUSession_CreateSMContext request message when a PDU Session</w:t>
      </w:r>
      <w:r w:rsidRPr="00873B6C">
        <w:t xml:space="preserve"> used for User Plane Remote Provisioning</w:t>
      </w:r>
      <w:r w:rsidR="00C950EF" w:rsidRPr="00873B6C">
        <w:t xml:space="preserve"> is established.</w:t>
      </w:r>
      <w:r w:rsidR="00F84AAF" w:rsidRPr="00873B6C">
        <w:t xml:space="preserve"> During PDU Session establishment for remote provisioning, the AMF may provide the PVS IP address(es) </w:t>
      </w:r>
      <w:r w:rsidR="00D45059" w:rsidRPr="00873B6C">
        <w:t>and/</w:t>
      </w:r>
      <w:r w:rsidR="00F84AAF" w:rsidRPr="00873B6C">
        <w:t>or PVS FQDN(s) to the SMF.</w:t>
      </w:r>
    </w:p>
    <w:p w14:paraId="7589636D" w14:textId="36C45EE8" w:rsidR="00BA212C" w:rsidRPr="00873B6C" w:rsidRDefault="00BA212C" w:rsidP="00C922CA">
      <w:r w:rsidRPr="00873B6C">
        <w:t>When a UPF is selected for</w:t>
      </w:r>
      <w:r w:rsidR="00E47495" w:rsidRPr="00873B6C">
        <w:t xml:space="preserve"> User Plane Remote Provisioning</w:t>
      </w:r>
      <w:r w:rsidRPr="00873B6C">
        <w:t>, the UPF selection function described in clause 6.3.3 for normal services is applied considering the</w:t>
      </w:r>
      <w:r w:rsidR="00E47495" w:rsidRPr="00873B6C">
        <w:t xml:space="preserve"> S-NSSAI and</w:t>
      </w:r>
      <w:r w:rsidRPr="00873B6C">
        <w:t xml:space="preserve"> DNN used for </w:t>
      </w:r>
      <w:r w:rsidR="00E47495" w:rsidRPr="00873B6C">
        <w:t>o</w:t>
      </w:r>
      <w:r w:rsidRPr="00873B6C">
        <w:t>nboarding.</w:t>
      </w:r>
    </w:p>
    <w:p w14:paraId="1B51E12D" w14:textId="74DCEC62" w:rsidR="00BA212C" w:rsidRPr="00873B6C" w:rsidRDefault="00BA212C" w:rsidP="00C922CA">
      <w:r w:rsidRPr="00873B6C">
        <w:t xml:space="preserve">The SMF or the PCF may store S-NSSAI and DNN information used for </w:t>
      </w:r>
      <w:r w:rsidR="00E47495" w:rsidRPr="00873B6C">
        <w:t>o</w:t>
      </w:r>
      <w:r w:rsidRPr="00873B6C">
        <w:t xml:space="preserve">nboarding. Onboarding Configuration Data available to PCF (for details see </w:t>
      </w:r>
      <w:r w:rsidR="00972E70" w:rsidRPr="00873B6C">
        <w:t>TS 23.503 [</w:t>
      </w:r>
      <w:r w:rsidRPr="00873B6C">
        <w:t>45]) and/or SMF may include PVS FQDN</w:t>
      </w:r>
      <w:r w:rsidR="00F84AAF" w:rsidRPr="00873B6C">
        <w:t>(s)</w:t>
      </w:r>
      <w:r w:rsidRPr="00873B6C">
        <w:t xml:space="preserve"> and</w:t>
      </w:r>
      <w:r w:rsidR="00D45059" w:rsidRPr="00873B6C">
        <w:t>/or</w:t>
      </w:r>
      <w:r w:rsidRPr="00873B6C">
        <w:t xml:space="preserve"> PVS IP address(es).</w:t>
      </w:r>
      <w:r w:rsidR="00C950EF" w:rsidRPr="00873B6C">
        <w:t xml:space="preserve"> The SMF and the PCF may use Onboarding Indication and DNN</w:t>
      </w:r>
      <w:r w:rsidR="00E47495" w:rsidRPr="00873B6C">
        <w:t xml:space="preserve"> and </w:t>
      </w:r>
      <w:r w:rsidR="00C950EF" w:rsidRPr="00873B6C">
        <w:t xml:space="preserve">S-NSSAI used for </w:t>
      </w:r>
      <w:r w:rsidR="00E47495" w:rsidRPr="00873B6C">
        <w:t>o</w:t>
      </w:r>
      <w:r w:rsidR="00C950EF" w:rsidRPr="00873B6C">
        <w:t>nboarding to access</w:t>
      </w:r>
      <w:r w:rsidR="00A84CD4" w:rsidRPr="00873B6C">
        <w:t xml:space="preserve"> the</w:t>
      </w:r>
      <w:r w:rsidR="00C950EF" w:rsidRPr="00873B6C">
        <w:t xml:space="preserve"> Onboarding Configuration Data.</w:t>
      </w:r>
    </w:p>
    <w:p w14:paraId="655FB9F9" w14:textId="010F37C8" w:rsidR="00A84CD4" w:rsidRPr="00873B6C" w:rsidRDefault="00A84CD4" w:rsidP="001B7C50">
      <w:pPr>
        <w:pStyle w:val="NO"/>
      </w:pPr>
      <w:r w:rsidRPr="00873B6C">
        <w:t>NOTE:</w:t>
      </w:r>
      <w:r w:rsidRPr="00873B6C">
        <w:tab/>
        <w:t xml:space="preserve">The SMF is aware about the PVS IP address(es) </w:t>
      </w:r>
      <w:r w:rsidR="00D45059" w:rsidRPr="00873B6C">
        <w:t>and/</w:t>
      </w:r>
      <w:r w:rsidRPr="00873B6C">
        <w:t>or PVS FQDN(s) in one of the following ways: either received from the AMF or retrieved locally from the Onboarding Configuration Data.</w:t>
      </w:r>
    </w:p>
    <w:p w14:paraId="56187B94" w14:textId="34940930" w:rsidR="00BA212C" w:rsidRPr="00873B6C" w:rsidRDefault="00BA212C" w:rsidP="00C922CA">
      <w:r w:rsidRPr="00873B6C">
        <w:lastRenderedPageBreak/>
        <w:t>When the UE registered for Onboarding</w:t>
      </w:r>
      <w:r w:rsidR="00FC0C60" w:rsidRPr="00873B6C">
        <w:t xml:space="preserve"> (i.e. 5GS Registration Type is set to the value "SNPN Onboarding")</w:t>
      </w:r>
      <w:r w:rsidRPr="00873B6C">
        <w:t xml:space="preserve"> successfully completes the </w:t>
      </w:r>
      <w:r w:rsidR="00E47495" w:rsidRPr="00873B6C">
        <w:t>U</w:t>
      </w:r>
      <w:r w:rsidRPr="00873B6C">
        <w:t xml:space="preserve">ser </w:t>
      </w:r>
      <w:r w:rsidR="00E47495" w:rsidRPr="00873B6C">
        <w:t>P</w:t>
      </w:r>
      <w:r w:rsidRPr="00873B6C">
        <w:t xml:space="preserve">lane </w:t>
      </w:r>
      <w:r w:rsidR="00E47495" w:rsidRPr="00873B6C">
        <w:t>R</w:t>
      </w:r>
      <w:r w:rsidRPr="00873B6C">
        <w:t xml:space="preserve">emote </w:t>
      </w:r>
      <w:r w:rsidR="00E47495" w:rsidRPr="00873B6C">
        <w:t>P</w:t>
      </w:r>
      <w:r w:rsidRPr="00873B6C">
        <w:t>rovisioning of SNPN credentials via the Onboarding Network, then the UE should deregister from the Onboarding Network.</w:t>
      </w:r>
    </w:p>
    <w:p w14:paraId="1BA441D6" w14:textId="2E313CF2" w:rsidR="00BA212C" w:rsidRPr="00873B6C" w:rsidRDefault="00BA212C" w:rsidP="00C922CA">
      <w:r w:rsidRPr="00873B6C">
        <w:t>Initial QoS parameters used for</w:t>
      </w:r>
      <w:r w:rsidR="00E47495" w:rsidRPr="00873B6C">
        <w:t xml:space="preserve"> User Plane Remote Provisioning</w:t>
      </w:r>
      <w:r w:rsidRPr="00873B6C">
        <w:t xml:space="preserve"> are configured in the SMF when dynamic PCC is not used.</w:t>
      </w:r>
    </w:p>
    <w:p w14:paraId="136FC07E" w14:textId="5145D49A" w:rsidR="00BA212C" w:rsidRPr="00873B6C" w:rsidRDefault="00BA212C" w:rsidP="00C922CA">
      <w:r w:rsidRPr="00873B6C">
        <w:t xml:space="preserve">Dynamic PCC may be used for a PDU </w:t>
      </w:r>
      <w:r w:rsidR="00E47495" w:rsidRPr="00873B6C">
        <w:t>S</w:t>
      </w:r>
      <w:r w:rsidRPr="00873B6C">
        <w:t>ession</w:t>
      </w:r>
      <w:r w:rsidR="00E47495" w:rsidRPr="00873B6C">
        <w:t xml:space="preserve"> used for User Plane Remote Provisioning</w:t>
      </w:r>
      <w:r w:rsidRPr="00873B6C">
        <w:t xml:space="preserve"> as described in </w:t>
      </w:r>
      <w:r w:rsidR="00972E70" w:rsidRPr="00873B6C">
        <w:t>TS 23.503 [</w:t>
      </w:r>
      <w:r w:rsidRPr="00873B6C">
        <w:t>45].</w:t>
      </w:r>
      <w:r w:rsidR="00F84AAF" w:rsidRPr="00873B6C">
        <w:t xml:space="preserve"> </w:t>
      </w:r>
      <w:r w:rsidR="00A84CD4" w:rsidRPr="00873B6C">
        <w:t xml:space="preserve">If a PCF is used and the AMF provided an Onboarding Indication, the SMF provides Onboarding Indication to the PCF when requesting an SM Policy Association. </w:t>
      </w:r>
      <w:r w:rsidR="00F84AAF" w:rsidRPr="00873B6C">
        <w:t xml:space="preserve">The SMF may provide the UE Configuration Data (i.e. PVS IP address(es) </w:t>
      </w:r>
      <w:r w:rsidR="00D45059" w:rsidRPr="00873B6C">
        <w:t>and/</w:t>
      </w:r>
      <w:r w:rsidR="00F84AAF" w:rsidRPr="00873B6C">
        <w:t>or PVS FQDN(s)) to the PCF when requesting an SM Policy Association.</w:t>
      </w:r>
    </w:p>
    <w:p w14:paraId="0CB18B48" w14:textId="7DD9C732" w:rsidR="00BA212C" w:rsidRPr="00873B6C" w:rsidRDefault="00BA212C" w:rsidP="00C922CA">
      <w:r w:rsidRPr="00873B6C">
        <w:t>The QoS Flows of a</w:t>
      </w:r>
      <w:r w:rsidR="00A84CD4" w:rsidRPr="00873B6C">
        <w:t xml:space="preserve"> restricted</w:t>
      </w:r>
      <w:r w:rsidRPr="00873B6C">
        <w:t xml:space="preserve"> PDU Session</w:t>
      </w:r>
      <w:r w:rsidR="00A84CD4" w:rsidRPr="00873B6C">
        <w:t>, which is</w:t>
      </w:r>
      <w:r w:rsidRPr="00873B6C">
        <w:t xml:space="preserve"> associated with the </w:t>
      </w:r>
      <w:r w:rsidR="00A84CD4" w:rsidRPr="00873B6C">
        <w:t>S-NSSAI/</w:t>
      </w:r>
      <w:r w:rsidRPr="00873B6C">
        <w:t>DNN</w:t>
      </w:r>
      <w:r w:rsidR="00A84CD4" w:rsidRPr="00873B6C">
        <w:t xml:space="preserve"> used for Onboarding,</w:t>
      </w:r>
      <w:r w:rsidRPr="00873B6C">
        <w:t xml:space="preserve"> shall be dedicated to Onboarding Services. The SMF may configure</w:t>
      </w:r>
      <w:r w:rsidR="00A84CD4" w:rsidRPr="00873B6C">
        <w:t xml:space="preserve"> in the UPF</w:t>
      </w:r>
      <w:r w:rsidRPr="00873B6C">
        <w:t xml:space="preserve"> PDR</w:t>
      </w:r>
      <w:r w:rsidR="00A84CD4" w:rsidRPr="00873B6C">
        <w:t>(s)</w:t>
      </w:r>
      <w:r w:rsidRPr="00873B6C">
        <w:t xml:space="preserve"> and FAR</w:t>
      </w:r>
      <w:r w:rsidR="00A84CD4" w:rsidRPr="00873B6C">
        <w:t>(s)</w:t>
      </w:r>
      <w:r w:rsidRPr="00873B6C">
        <w:t xml:space="preserve"> including PVS and DNS server IP addresses to block any traffic that is not from or to PVS and DNS server addresses.</w:t>
      </w:r>
    </w:p>
    <w:p w14:paraId="1C1255AE" w14:textId="6640D3D5" w:rsidR="00C922CA" w:rsidRPr="00873B6C" w:rsidRDefault="00BA212C" w:rsidP="00C922CA">
      <w:r w:rsidRPr="00873B6C">
        <w:t>If the UE is registered for Onboarding</w:t>
      </w:r>
      <w:r w:rsidR="00FC0C60" w:rsidRPr="00873B6C">
        <w:t xml:space="preserve"> (i.e. 5GS Registration Type is set to the value "SNPN Onboarding")</w:t>
      </w:r>
      <w:r w:rsidRPr="00873B6C">
        <w:t>, the network should apply S-NSSAI and DNN</w:t>
      </w:r>
      <w:r w:rsidR="00A46717" w:rsidRPr="00873B6C">
        <w:t xml:space="preserve"> in the Onboarding Configuration Data</w:t>
      </w:r>
      <w:r w:rsidRPr="00873B6C">
        <w:t xml:space="preserve"> for the PDU Session Establishment request from the UE.</w:t>
      </w:r>
    </w:p>
    <w:p w14:paraId="7DC42D43" w14:textId="77777777" w:rsidR="00C922CA" w:rsidRPr="00873B6C" w:rsidRDefault="00C922CA" w:rsidP="00562E84">
      <w:pPr>
        <w:pStyle w:val="H6"/>
      </w:pPr>
      <w:bookmarkStart w:id="4282" w:name="_CR5_30_2_10_4_4"/>
      <w:r w:rsidRPr="00873B6C">
        <w:t>5.30.2.10.4.4</w:t>
      </w:r>
      <w:r w:rsidRPr="00873B6C">
        <w:tab/>
        <w:t>User Plane Remote Provisioning of UEs when Onboarding Network is a PLMN</w:t>
      </w:r>
    </w:p>
    <w:bookmarkEnd w:id="4282"/>
    <w:p w14:paraId="64D6495F" w14:textId="7FF3E580" w:rsidR="00681FC7" w:rsidRPr="00873B6C" w:rsidRDefault="00681FC7">
      <w:r w:rsidRPr="00873B6C">
        <w:t>Subscription</w:t>
      </w:r>
      <w:r w:rsidR="00D52D28" w:rsidRPr="00873B6C">
        <w:t xml:space="preserve"> data</w:t>
      </w:r>
      <w:r w:rsidRPr="00873B6C">
        <w:t xml:space="preserve"> of such a UE shall contain the DNN</w:t>
      </w:r>
      <w:r w:rsidR="003B4D25" w:rsidRPr="00873B6C">
        <w:t xml:space="preserve"> and </w:t>
      </w:r>
      <w:r w:rsidRPr="00873B6C">
        <w:t>S-NSSAI used for</w:t>
      </w:r>
      <w:r w:rsidR="003B4D25" w:rsidRPr="00873B6C">
        <w:t xml:space="preserve"> onboarding</w:t>
      </w:r>
      <w:r w:rsidRPr="00873B6C">
        <w:t>.</w:t>
      </w:r>
    </w:p>
    <w:p w14:paraId="1693A00D" w14:textId="68A9E95B" w:rsidR="00681FC7" w:rsidRPr="00873B6C" w:rsidRDefault="00681FC7">
      <w:r w:rsidRPr="00873B6C">
        <w:t xml:space="preserve">The AMF selects an SMF used for </w:t>
      </w:r>
      <w:r w:rsidR="00F00626" w:rsidRPr="00873B6C">
        <w:t>User Plane R</w:t>
      </w:r>
      <w:r w:rsidRPr="00873B6C">
        <w:t xml:space="preserve">emote </w:t>
      </w:r>
      <w:r w:rsidR="00F00626" w:rsidRPr="00873B6C">
        <w:t>P</w:t>
      </w:r>
      <w:r w:rsidRPr="00873B6C">
        <w:t>rovisioning using the SMF discovery and selection functionality as described in clause 6.3.2, considering the DNN</w:t>
      </w:r>
      <w:r w:rsidR="003B4D25" w:rsidRPr="00873B6C">
        <w:t xml:space="preserve"> and </w:t>
      </w:r>
      <w:r w:rsidRPr="00873B6C">
        <w:t>S-NSSAI used for</w:t>
      </w:r>
      <w:r w:rsidR="003B4D25" w:rsidRPr="00873B6C">
        <w:t xml:space="preserve"> onboarding</w:t>
      </w:r>
      <w:r w:rsidRPr="00873B6C">
        <w:t xml:space="preserve"> provided by the UE or the default DNN</w:t>
      </w:r>
      <w:r w:rsidR="003B4D25" w:rsidRPr="00873B6C">
        <w:t xml:space="preserve"> and </w:t>
      </w:r>
      <w:r w:rsidRPr="00873B6C">
        <w:t>S-NSSAI provided by UDM.</w:t>
      </w:r>
    </w:p>
    <w:p w14:paraId="1FBD6A5F" w14:textId="7625252C" w:rsidR="00681FC7" w:rsidRPr="00873B6C" w:rsidRDefault="00681FC7">
      <w:r w:rsidRPr="00873B6C">
        <w:t>The UPF selection function described in clause 6.3.3 is applied, considering the DNN</w:t>
      </w:r>
      <w:r w:rsidR="003B4D25" w:rsidRPr="00873B6C">
        <w:t xml:space="preserve"> and </w:t>
      </w:r>
      <w:r w:rsidRPr="00873B6C">
        <w:t>S-NSSAI used for</w:t>
      </w:r>
      <w:r w:rsidR="003B4D25" w:rsidRPr="00873B6C">
        <w:t xml:space="preserve"> onboarding</w:t>
      </w:r>
      <w:r w:rsidRPr="00873B6C">
        <w:t>.</w:t>
      </w:r>
    </w:p>
    <w:p w14:paraId="4030C4C5" w14:textId="42F8360A" w:rsidR="00C922CA" w:rsidRPr="00873B6C" w:rsidRDefault="00681FC7" w:rsidP="00562E84">
      <w:r w:rsidRPr="00873B6C">
        <w:t>The SMF may be configured with one or more PVS FQDN</w:t>
      </w:r>
      <w:r w:rsidR="00D45059" w:rsidRPr="00873B6C">
        <w:t>(s)</w:t>
      </w:r>
      <w:r w:rsidRPr="00873B6C">
        <w:t xml:space="preserve"> and/or PVS IP address(es) per DNN</w:t>
      </w:r>
      <w:r w:rsidR="003B4D25" w:rsidRPr="00873B6C">
        <w:t xml:space="preserve"> and </w:t>
      </w:r>
      <w:r w:rsidRPr="00873B6C">
        <w:t>S-NSSAI used for</w:t>
      </w:r>
      <w:r w:rsidR="003B4D25" w:rsidRPr="00873B6C">
        <w:t xml:space="preserve"> onboarding</w:t>
      </w:r>
      <w:r w:rsidRPr="00873B6C">
        <w:t xml:space="preserve">. </w:t>
      </w:r>
      <w:r w:rsidR="00C950EF" w:rsidRPr="00873B6C">
        <w:t>When the UE requests a PDU Session</w:t>
      </w:r>
      <w:r w:rsidR="00E47495" w:rsidRPr="00873B6C">
        <w:t xml:space="preserve"> used for User Plane Remote Provisioning by using</w:t>
      </w:r>
      <w:r w:rsidR="00C950EF" w:rsidRPr="00873B6C">
        <w:t xml:space="preserve"> DNN and S-NSSAI used for onboarding, the </w:t>
      </w:r>
      <w:r w:rsidRPr="00873B6C">
        <w:t>SMF send</w:t>
      </w:r>
      <w:r w:rsidR="00C950EF" w:rsidRPr="00873B6C">
        <w:t>s</w:t>
      </w:r>
      <w:r w:rsidRPr="00873B6C">
        <w:t xml:space="preserve"> the PVS FQDN</w:t>
      </w:r>
      <w:r w:rsidR="00D45059" w:rsidRPr="00873B6C">
        <w:t>(s)</w:t>
      </w:r>
      <w:r w:rsidRPr="00873B6C">
        <w:t xml:space="preserve"> and/or PVS IP address(es) associated to the DNN</w:t>
      </w:r>
      <w:r w:rsidR="003B4D25" w:rsidRPr="00873B6C">
        <w:t xml:space="preserve"> and </w:t>
      </w:r>
      <w:r w:rsidRPr="00873B6C">
        <w:t>S-NSSAI of the PDU Session to the UE</w:t>
      </w:r>
      <w:r w:rsidR="00D52D28" w:rsidRPr="00873B6C">
        <w:t xml:space="preserve"> as part of Protocol Configuration Options (PCO) in the PDU Session Establishment Response</w:t>
      </w:r>
      <w:r w:rsidR="00C950EF" w:rsidRPr="00873B6C">
        <w:t xml:space="preserve"> if the following conditions are met:</w:t>
      </w:r>
    </w:p>
    <w:p w14:paraId="7922378A" w14:textId="391C3310" w:rsidR="00C950EF" w:rsidRPr="00873B6C" w:rsidRDefault="00C950EF" w:rsidP="00C950EF">
      <w:pPr>
        <w:pStyle w:val="B1"/>
      </w:pPr>
      <w:r w:rsidRPr="00873B6C">
        <w:t>-</w:t>
      </w:r>
      <w:r w:rsidRPr="00873B6C">
        <w:tab/>
        <w:t>the UE subscription data contains the DNN and S-NSSAI used for onboarding; and</w:t>
      </w:r>
    </w:p>
    <w:p w14:paraId="5DB918F4" w14:textId="6BB15840" w:rsidR="00C950EF" w:rsidRPr="00873B6C" w:rsidRDefault="00C950EF" w:rsidP="00C950EF">
      <w:pPr>
        <w:pStyle w:val="B1"/>
      </w:pPr>
      <w:r w:rsidRPr="00873B6C">
        <w:t>-</w:t>
      </w:r>
      <w:r w:rsidRPr="00873B6C">
        <w:tab/>
        <w:t>the SMF has obtained the PVS FQDN</w:t>
      </w:r>
      <w:r w:rsidR="00D45059" w:rsidRPr="00873B6C">
        <w:t>(s)</w:t>
      </w:r>
      <w:r w:rsidRPr="00873B6C">
        <w:t xml:space="preserve"> and/or PVS IP address(es)</w:t>
      </w:r>
      <w:r w:rsidR="00D45059" w:rsidRPr="00873B6C">
        <w:t xml:space="preserve"> associated to the DNN and S-NSSAI of the PDU Session</w:t>
      </w:r>
      <w:r w:rsidRPr="00873B6C">
        <w:t xml:space="preserve"> from local configuration</w:t>
      </w:r>
      <w:r w:rsidR="00FC0C60" w:rsidRPr="00873B6C">
        <w:t>; and</w:t>
      </w:r>
    </w:p>
    <w:p w14:paraId="574AEA3C" w14:textId="24CDB08A" w:rsidR="00FC0C60" w:rsidRPr="00873B6C" w:rsidRDefault="00FC0C60" w:rsidP="00FC0C60">
      <w:pPr>
        <w:pStyle w:val="B1"/>
      </w:pPr>
      <w:r w:rsidRPr="00873B6C">
        <w:t>-</w:t>
      </w:r>
      <w:r w:rsidRPr="00873B6C">
        <w:tab/>
        <w:t>the UE has requested PVS information via PCO in PDU Session Establishment Request.</w:t>
      </w:r>
    </w:p>
    <w:p w14:paraId="2A6EFFC5" w14:textId="7BC3901A" w:rsidR="00DA3BBC" w:rsidRPr="00873B6C" w:rsidRDefault="00DA3BBC" w:rsidP="00DA3BBC">
      <w:pPr>
        <w:pStyle w:val="NO"/>
      </w:pPr>
      <w:r w:rsidRPr="00873B6C">
        <w:t>NOTE</w:t>
      </w:r>
      <w:r w:rsidR="00D45059" w:rsidRPr="00873B6C">
        <w:t> 1</w:t>
      </w:r>
      <w:r w:rsidRPr="00873B6C">
        <w:t>:</w:t>
      </w:r>
      <w:r w:rsidRPr="00873B6C">
        <w:tab/>
      </w:r>
      <w:r w:rsidR="00FC0C60" w:rsidRPr="00873B6C">
        <w:t xml:space="preserve">Local PCC or dynamic PCC can be used as described for PLMNs in </w:t>
      </w:r>
      <w:r w:rsidR="00972E70" w:rsidRPr="00873B6C">
        <w:t>TS 23.503 [</w:t>
      </w:r>
      <w:r w:rsidR="00FC0C60" w:rsidRPr="00873B6C">
        <w:t>45] and b</w:t>
      </w:r>
      <w:r w:rsidRPr="00873B6C">
        <w:t>ased on operator policy, PDR(s) and FAR(s) can be configured to restrict traffic other than provisioning traffic between PVS/DNS server(s) and UE(s).</w:t>
      </w:r>
    </w:p>
    <w:p w14:paraId="1154B1AE" w14:textId="7A3B61BF" w:rsidR="00D45059" w:rsidRPr="00873B6C" w:rsidRDefault="00D45059" w:rsidP="00D45059">
      <w:pPr>
        <w:pStyle w:val="NO"/>
      </w:pPr>
      <w:r w:rsidRPr="00873B6C">
        <w:t>NOTE 2:</w:t>
      </w:r>
      <w:r w:rsidRPr="00873B6C">
        <w:tab/>
        <w:t>If the UE receives multiple PVS IP addresses and/or PVS FQDNs, how the UE uses this information is up to UE implementation.</w:t>
      </w:r>
    </w:p>
    <w:p w14:paraId="2E8C29AD" w14:textId="527E58D1" w:rsidR="00C4403A" w:rsidRPr="00873B6C" w:rsidRDefault="00C4403A" w:rsidP="00C4403A">
      <w:pPr>
        <w:pStyle w:val="Heading4"/>
      </w:pPr>
      <w:bookmarkStart w:id="4283" w:name="_CR5_30_2_11"/>
      <w:bookmarkStart w:id="4284" w:name="_Toc201157532"/>
      <w:bookmarkEnd w:id="4283"/>
      <w:r w:rsidRPr="00873B6C">
        <w:t>5.30.2.11</w:t>
      </w:r>
      <w:r w:rsidRPr="00873B6C">
        <w:tab/>
        <w:t>UE Mobility support for SNPN</w:t>
      </w:r>
      <w:bookmarkEnd w:id="4284"/>
    </w:p>
    <w:p w14:paraId="4E45A6E3" w14:textId="7E983310" w:rsidR="00C4403A" w:rsidRPr="00873B6C" w:rsidRDefault="00C4403A" w:rsidP="00C4403A">
      <w:r w:rsidRPr="00873B6C">
        <w:t>If the UE moves its 3GPP access between SNPN and PLMN</w:t>
      </w:r>
      <w:r w:rsidR="0053150F" w:rsidRPr="00873B6C">
        <w:t>,</w:t>
      </w:r>
      <w:r w:rsidRPr="00873B6C">
        <w:t xml:space="preserve"> the</w:t>
      </w:r>
      <w:r w:rsidR="0053150F" w:rsidRPr="00873B6C">
        <w:t xml:space="preserve"> network selection is performed as specified in </w:t>
      </w:r>
      <w:r w:rsidR="00972E70" w:rsidRPr="00873B6C">
        <w:t>TS 23.122 [</w:t>
      </w:r>
      <w:r w:rsidR="0053150F" w:rsidRPr="00873B6C">
        <w:t>17] and</w:t>
      </w:r>
      <w:r w:rsidRPr="00873B6C">
        <w:t xml:space="preserve"> UE performs initial registration as specified in</w:t>
      </w:r>
      <w:r w:rsidR="00131D56" w:rsidRPr="00873B6C">
        <w:t xml:space="preserve"> clause 4.2.2.2.2</w:t>
      </w:r>
      <w:r w:rsidRPr="00873B6C">
        <w:t xml:space="preserve"> </w:t>
      </w:r>
      <w:r w:rsidR="00131D56" w:rsidRPr="00873B6C">
        <w:t xml:space="preserve">of </w:t>
      </w:r>
      <w:r w:rsidR="00972E70" w:rsidRPr="00873B6C">
        <w:t>TS 23.502 [</w:t>
      </w:r>
      <w:r w:rsidRPr="00873B6C">
        <w:t>3].</w:t>
      </w:r>
    </w:p>
    <w:p w14:paraId="09DC8005" w14:textId="363F84FD" w:rsidR="0053150F" w:rsidRPr="00873B6C" w:rsidRDefault="0053150F" w:rsidP="0053150F">
      <w:pPr>
        <w:pStyle w:val="NO"/>
      </w:pPr>
      <w:r w:rsidRPr="00873B6C">
        <w:t>NOTE 1:</w:t>
      </w:r>
      <w:r w:rsidRPr="00873B6C">
        <w:tab/>
        <w:t>When the UE moves its 3GPP access between SNPN and PLMN, it is up to UE implementation to activate/deactivate SNPN access mode.</w:t>
      </w:r>
    </w:p>
    <w:p w14:paraId="00FCBD9D" w14:textId="2B0165EE" w:rsidR="00C4403A" w:rsidRPr="00873B6C" w:rsidRDefault="00C4403A" w:rsidP="00C4403A">
      <w:r w:rsidRPr="00873B6C">
        <w:t>If the UE moves its 3GPP access between SNPNs,</w:t>
      </w:r>
      <w:r w:rsidR="0053150F" w:rsidRPr="00873B6C">
        <w:t xml:space="preserve"> the network selection is performed as specified in </w:t>
      </w:r>
      <w:r w:rsidR="00972E70" w:rsidRPr="00873B6C">
        <w:t>TS 23.122 [</w:t>
      </w:r>
      <w:r w:rsidR="0053150F" w:rsidRPr="00873B6C">
        <w:t>17],</w:t>
      </w:r>
      <w:r w:rsidRPr="00873B6C">
        <w:t xml:space="preserve"> then the UE performs initial or mobility registration as specified in</w:t>
      </w:r>
      <w:r w:rsidR="00131D56" w:rsidRPr="00873B6C">
        <w:t xml:space="preserve"> clause 4.2.2.2.2</w:t>
      </w:r>
      <w:r w:rsidRPr="00873B6C">
        <w:t xml:space="preserve"> </w:t>
      </w:r>
      <w:r w:rsidR="00131D56" w:rsidRPr="00873B6C">
        <w:t xml:space="preserve">of </w:t>
      </w:r>
      <w:r w:rsidR="00972E70" w:rsidRPr="00873B6C">
        <w:t>TS 23.502 [</w:t>
      </w:r>
      <w:r w:rsidRPr="00873B6C">
        <w:t>3].</w:t>
      </w:r>
    </w:p>
    <w:p w14:paraId="39A54157" w14:textId="7C7202D8" w:rsidR="00C4403A" w:rsidRPr="00873B6C" w:rsidRDefault="00C4403A" w:rsidP="00562E84">
      <w:pPr>
        <w:pStyle w:val="NO"/>
      </w:pPr>
      <w:r w:rsidRPr="00873B6C">
        <w:t>NOTE</w:t>
      </w:r>
      <w:r w:rsidR="0053150F" w:rsidRPr="00873B6C">
        <w:t> 2</w:t>
      </w:r>
      <w:r w:rsidRPr="00873B6C">
        <w:t>:</w:t>
      </w:r>
      <w:r w:rsidRPr="00873B6C">
        <w:tab/>
        <w:t>When the UE moves its 3GPP access between SNPNs, it is up to UE implementation whether and when to establish again PDU Sessions using existing mechanism.</w:t>
      </w:r>
    </w:p>
    <w:p w14:paraId="61B02BF9" w14:textId="143EDF74" w:rsidR="0026280E" w:rsidRPr="00873B6C" w:rsidRDefault="0026280E" w:rsidP="0026280E">
      <w:r w:rsidRPr="00873B6C">
        <w:lastRenderedPageBreak/>
        <w:t>If the UE and network supports equivalent SNPNs, the AMF may provide list of equivalent SNPNs to the UE and NG-RAN. The UE may move its 3GPP access to the SNPN in the list of equivalent SNPNs without performing network selection. A UE supporting equivalent SNPNs gets a new registered SNPN ID during the Registration procedure if serving SNPN is changed.</w:t>
      </w:r>
    </w:p>
    <w:p w14:paraId="2772CC67" w14:textId="0A9F505D" w:rsidR="001F5968" w:rsidRPr="00873B6C" w:rsidRDefault="001F5968" w:rsidP="001F5968">
      <w:pPr>
        <w:pStyle w:val="Heading4"/>
      </w:pPr>
      <w:bookmarkStart w:id="4285" w:name="_CR5_30_2_12"/>
      <w:bookmarkStart w:id="4286" w:name="_Toc201157533"/>
      <w:bookmarkEnd w:id="4285"/>
      <w:r w:rsidRPr="00873B6C">
        <w:t>5.30.2.12</w:t>
      </w:r>
      <w:r w:rsidRPr="00873B6C">
        <w:tab/>
        <w:t>Access to SNPN services via Untrusted non-3GPP access</w:t>
      </w:r>
      <w:bookmarkEnd w:id="4286"/>
    </w:p>
    <w:p w14:paraId="574EB277" w14:textId="77777777" w:rsidR="001F5968" w:rsidRPr="00873B6C" w:rsidRDefault="001F5968" w:rsidP="001F5968">
      <w:r w:rsidRPr="00873B6C">
        <w:t>Access to SNPN services via Untrusted non-3GPP access network follows the specification in the previous 5.30.2 clauses with the differences as specified in this clause.</w:t>
      </w:r>
    </w:p>
    <w:p w14:paraId="76AAE17C" w14:textId="77777777" w:rsidR="001F5968" w:rsidRPr="00873B6C" w:rsidRDefault="001F5968" w:rsidP="001F5968">
      <w:r w:rsidRPr="00873B6C">
        <w:t>N3IWF selection is supported as follows:</w:t>
      </w:r>
    </w:p>
    <w:p w14:paraId="2C2BF8BC" w14:textId="77777777" w:rsidR="001F5968" w:rsidRPr="00873B6C" w:rsidRDefault="001F5968" w:rsidP="00695DF1">
      <w:pPr>
        <w:pStyle w:val="B1"/>
      </w:pPr>
      <w:r w:rsidRPr="00873B6C">
        <w:t>-</w:t>
      </w:r>
      <w:r w:rsidRPr="00873B6C">
        <w:tab/>
        <w:t>When UE registers to SNPN with credentials owned by the SNPN, UE uses the same N3IWF selection procedure as specified for access to stand-alone non-public network services via PLMN in clause 6.3.6.2a.</w:t>
      </w:r>
    </w:p>
    <w:p w14:paraId="38D1E08C" w14:textId="77777777" w:rsidR="001F5968" w:rsidRPr="00873B6C" w:rsidRDefault="001F5968" w:rsidP="001F5968">
      <w:r w:rsidRPr="00873B6C">
        <w:t>Emergency services are supported as follows:</w:t>
      </w:r>
    </w:p>
    <w:p w14:paraId="3A2CBBFB" w14:textId="281BBCDC" w:rsidR="001F5968" w:rsidRPr="00873B6C" w:rsidRDefault="001F5968" w:rsidP="00695DF1">
      <w:pPr>
        <w:pStyle w:val="B1"/>
      </w:pPr>
      <w:r w:rsidRPr="00873B6C">
        <w:t>-</w:t>
      </w:r>
      <w:r w:rsidRPr="00873B6C">
        <w:tab/>
        <w:t>UE initiates N3IWF selection for emergency services when the UE detects a user request for emergency session and determines that Untrusted non-3GPP access is to be used for the emergency access. The UE</w:t>
      </w:r>
      <w:r w:rsidR="00FB1520" w:rsidRPr="00873B6C">
        <w:t xml:space="preserve"> in SNPN access mode</w:t>
      </w:r>
      <w:r w:rsidRPr="00873B6C">
        <w:t xml:space="preserve"> the following:</w:t>
      </w:r>
    </w:p>
    <w:p w14:paraId="6CA33E58" w14:textId="4052E346" w:rsidR="001F5968" w:rsidRPr="00873B6C" w:rsidRDefault="001F5968" w:rsidP="00695DF1">
      <w:pPr>
        <w:pStyle w:val="B2"/>
      </w:pPr>
      <w:r w:rsidRPr="00873B6C">
        <w:t>-</w:t>
      </w:r>
      <w:r w:rsidRPr="00873B6C">
        <w:tab/>
        <w:t>If the UE determines that it is located in the same country as the</w:t>
      </w:r>
      <w:r w:rsidR="00FB1520" w:rsidRPr="00873B6C">
        <w:t xml:space="preserve"> configured N3IWF of the</w:t>
      </w:r>
      <w:r w:rsidRPr="00873B6C">
        <w:t xml:space="preserve"> subscribed SNPN, the UE uses the configured N3IWF FQDN for N3IWF selection.</w:t>
      </w:r>
    </w:p>
    <w:p w14:paraId="54D046B7" w14:textId="50F87020" w:rsidR="00FB1520" w:rsidRPr="00873B6C" w:rsidRDefault="00FB1520" w:rsidP="00FB1520">
      <w:pPr>
        <w:pStyle w:val="B2"/>
      </w:pPr>
      <w:r w:rsidRPr="00873B6C">
        <w:t>-</w:t>
      </w:r>
      <w:r w:rsidRPr="00873B6C">
        <w:tab/>
        <w:t>Otherwise, the UE performs a DNS query using the</w:t>
      </w:r>
      <w:r w:rsidR="00BE0437" w:rsidRPr="00873B6C">
        <w:t xml:space="preserve"> Visited Country Emergency SNPN FQDN</w:t>
      </w:r>
      <w:r w:rsidRPr="00873B6C">
        <w:t>, as specified in</w:t>
      </w:r>
      <w:r w:rsidR="00BE0437" w:rsidRPr="00873B6C">
        <w:t xml:space="preserve"> clause 28.3.2.2.6.3 of</w:t>
      </w:r>
      <w:r w:rsidRPr="00873B6C">
        <w:t xml:space="preserve"> TS 23.003 [19] to determine which SNPNs in the visited country support emergency services in untrusted non-3GPP access via N3IWF; and:</w:t>
      </w:r>
    </w:p>
    <w:p w14:paraId="0681A091" w14:textId="77777777" w:rsidR="00FB1520" w:rsidRPr="00873B6C" w:rsidRDefault="00FB1520" w:rsidP="00FB1520">
      <w:pPr>
        <w:pStyle w:val="B2"/>
      </w:pPr>
      <w:r w:rsidRPr="00873B6C">
        <w:t>-</w:t>
      </w:r>
      <w:r w:rsidRPr="00873B6C">
        <w:tab/>
        <w:t>If the DNS response contains one or more records, the UE selects an SNPN that supports emergency services in untrusted non-3GPP access via N3IWF based on UE implementation specific methods. Each record in the DNS response shall contain the identity of an SNPN (i.e. SNPN ID) in the visited country supporting emergency services in untrusted non-3GPP access via N3IWF.</w:t>
      </w:r>
    </w:p>
    <w:p w14:paraId="69468E51" w14:textId="77777777" w:rsidR="00FB1520" w:rsidRPr="00873B6C" w:rsidRDefault="00FB1520" w:rsidP="00FB1520">
      <w:pPr>
        <w:pStyle w:val="NO"/>
      </w:pPr>
      <w:r w:rsidRPr="00873B6C">
        <w:t>NOTE 1:</w:t>
      </w:r>
      <w:r w:rsidRPr="00873B6C">
        <w:tab/>
        <w:t>Self-assigned NIDs are not supported, since a DNS cannot be properly configured for multiple SNPNs using the same self-assigned NID (i.e. in collision scenarios).</w:t>
      </w:r>
    </w:p>
    <w:p w14:paraId="63F3E2FC" w14:textId="528A0192" w:rsidR="00FB1520" w:rsidRPr="00873B6C" w:rsidRDefault="00FB1520" w:rsidP="00FB1520">
      <w:pPr>
        <w:pStyle w:val="B2"/>
      </w:pPr>
      <w:r w:rsidRPr="00873B6C">
        <w:t>-</w:t>
      </w:r>
      <w:r w:rsidRPr="00873B6C">
        <w:tab/>
        <w:t>Once the UE has selected an SNPN, the UE selects a</w:t>
      </w:r>
      <w:r w:rsidR="00BE0437" w:rsidRPr="00873B6C">
        <w:t>n</w:t>
      </w:r>
      <w:r w:rsidRPr="00873B6C">
        <w:t xml:space="preserve"> N3IWF</w:t>
      </w:r>
      <w:r w:rsidR="00BE0437" w:rsidRPr="00873B6C">
        <w:t xml:space="preserve"> for Emergency</w:t>
      </w:r>
      <w:r w:rsidRPr="00873B6C">
        <w:t xml:space="preserve"> for the selected SNPN</w:t>
      </w:r>
      <w:r w:rsidR="00BE0437" w:rsidRPr="00873B6C">
        <w:t>, as specified in TS 23.003 [19]</w:t>
      </w:r>
      <w:r w:rsidRPr="00873B6C">
        <w:t>.</w:t>
      </w:r>
    </w:p>
    <w:p w14:paraId="6AE5312C" w14:textId="0C78D650" w:rsidR="00FB1520" w:rsidRPr="00873B6C" w:rsidRDefault="00FB1520" w:rsidP="005A13C0">
      <w:pPr>
        <w:pStyle w:val="B1"/>
      </w:pPr>
      <w:r w:rsidRPr="00873B6C">
        <w:tab/>
        <w:t>When an N3IWF has been selected, the UE initiates an Emergency Registration. If the Emergency Registration fails, the UE shall select another SNPN supporting emergency services in untrusted non-3GPP access.</w:t>
      </w:r>
    </w:p>
    <w:p w14:paraId="25F23FC6" w14:textId="23BE94E9" w:rsidR="00FB1520" w:rsidRPr="00873B6C" w:rsidRDefault="00FB1520" w:rsidP="005A13C0">
      <w:pPr>
        <w:pStyle w:val="B1"/>
      </w:pPr>
      <w:r w:rsidRPr="00873B6C">
        <w:tab/>
        <w:t>If the DNS response of the</w:t>
      </w:r>
      <w:r w:rsidR="00BE0437" w:rsidRPr="00873B6C">
        <w:t xml:space="preserve"> Visited Country Emergency SNPN FQDN</w:t>
      </w:r>
      <w:r w:rsidRPr="00873B6C">
        <w:t xml:space="preserve"> does not contain any record, or if the DNS response contains one or more records but the UE fails to select an SNPN that supports emergency services in untrusted non-3GPP access, or if the Emergency Registration procedure has failed for all SNPNs supporting emergency services in untrusted non-3GPP access, the UE deactivates the SNPN access mode over NWu and attempts emergency services via PLMN untrusted non-3GPP access, by following the N3IWF selection procedure as defined in clause 6.3.6.4.2.</w:t>
      </w:r>
    </w:p>
    <w:p w14:paraId="7B8D2A78" w14:textId="6163747A" w:rsidR="00FB1520" w:rsidRPr="00873B6C" w:rsidRDefault="00FB1520" w:rsidP="005A13C0">
      <w:pPr>
        <w:pStyle w:val="NO"/>
      </w:pPr>
      <w:r w:rsidRPr="00873B6C">
        <w:t>NOTE 2:</w:t>
      </w:r>
      <w:r w:rsidRPr="00873B6C">
        <w:tab/>
        <w:t>If the UE determines that it is located in a different country as the configured N3IWF of the subscribed SNPN, the UE can deactivate the SNPN access mode over NWu and attempts emergency services via PLMN untrusted non-3GPP access, by following the N3IWF selection procedure defined in clause 6.3.6.4.2, without performing a DNS query using the</w:t>
      </w:r>
      <w:r w:rsidR="00BE0437" w:rsidRPr="00873B6C">
        <w:t xml:space="preserve"> Visited Country Emergency SNPN FQDN</w:t>
      </w:r>
      <w:r w:rsidRPr="00873B6C">
        <w:t>.</w:t>
      </w:r>
    </w:p>
    <w:p w14:paraId="65C0857B" w14:textId="302AC1F7" w:rsidR="001F5968" w:rsidRPr="00873B6C" w:rsidRDefault="001F5968" w:rsidP="001F5968">
      <w:r w:rsidRPr="00873B6C">
        <w:t>UE onboarding is supported as follows:</w:t>
      </w:r>
    </w:p>
    <w:p w14:paraId="2489A5A0" w14:textId="0C195901" w:rsidR="001F5968" w:rsidRPr="00873B6C" w:rsidRDefault="001F5968" w:rsidP="00695DF1">
      <w:pPr>
        <w:pStyle w:val="B1"/>
      </w:pPr>
      <w:r w:rsidRPr="00873B6C">
        <w:t>-</w:t>
      </w:r>
      <w:r w:rsidRPr="00873B6C">
        <w:tab/>
        <w:t>When UE registers to SNPN over Untrusted non-3GPP access for UE Onboarding,</w:t>
      </w:r>
      <w:r w:rsidR="005656CA" w:rsidRPr="00873B6C">
        <w:t xml:space="preserve"> if the UE determines that it is located in the country where the configured N3IWF for onboarding is located, the</w:t>
      </w:r>
      <w:r w:rsidRPr="00873B6C">
        <w:t xml:space="preserve"> UE may select </w:t>
      </w:r>
      <w:r w:rsidR="005656CA" w:rsidRPr="00873B6C">
        <w:t xml:space="preserve">the </w:t>
      </w:r>
      <w:r w:rsidRPr="00873B6C">
        <w:t>N3IWF in the SNPN which supports UE Onboarding by using</w:t>
      </w:r>
      <w:r w:rsidR="005656CA" w:rsidRPr="00873B6C">
        <w:t xml:space="preserve"> the </w:t>
      </w:r>
      <w:r w:rsidRPr="00873B6C">
        <w:t>configured N3IWF FQDN used for Onboarding.</w:t>
      </w:r>
    </w:p>
    <w:p w14:paraId="65CD9303" w14:textId="3F785140" w:rsidR="005656CA" w:rsidRPr="00873B6C" w:rsidRDefault="005656CA" w:rsidP="00695DF1">
      <w:pPr>
        <w:pStyle w:val="B1"/>
      </w:pPr>
      <w:r w:rsidRPr="00873B6C">
        <w:t>-</w:t>
      </w:r>
      <w:r w:rsidRPr="00873B6C">
        <w:tab/>
        <w:t>If the UE determines that it is located in a country different from the country where the configured N3IWF for onboarding is located (called the visited country), then in order to determine which SNPNs in the visited country support Untrusted non-3GPP access for UE Onboarding via N3IWF performs a DNS query using the</w:t>
      </w:r>
      <w:r w:rsidR="00BE0437" w:rsidRPr="00873B6C">
        <w:t xml:space="preserve"> Visited Country FQDN for SNPN N3IWF supporting Onboarding</w:t>
      </w:r>
      <w:r w:rsidRPr="00873B6C">
        <w:t>, as specified in</w:t>
      </w:r>
      <w:r w:rsidR="00BE0437" w:rsidRPr="00873B6C">
        <w:t xml:space="preserve"> clause 28.3.2.2.6.2 of</w:t>
      </w:r>
      <w:r w:rsidRPr="00873B6C">
        <w:t xml:space="preserve"> TS 23.003 [19]; and:</w:t>
      </w:r>
    </w:p>
    <w:p w14:paraId="4C05630F" w14:textId="77777777" w:rsidR="005656CA" w:rsidRPr="00873B6C" w:rsidRDefault="005656CA" w:rsidP="005A13C0">
      <w:pPr>
        <w:pStyle w:val="B2"/>
      </w:pPr>
      <w:r w:rsidRPr="00873B6C">
        <w:lastRenderedPageBreak/>
        <w:t>-</w:t>
      </w:r>
      <w:r w:rsidRPr="00873B6C">
        <w:tab/>
        <w:t>If no DNS response is received, the UE shall stop the N3IWF selection.</w:t>
      </w:r>
    </w:p>
    <w:p w14:paraId="5F832123" w14:textId="77777777" w:rsidR="005656CA" w:rsidRPr="00873B6C" w:rsidRDefault="005656CA" w:rsidP="005A13C0">
      <w:pPr>
        <w:pStyle w:val="B2"/>
      </w:pPr>
      <w:r w:rsidRPr="00873B6C">
        <w:t>-</w:t>
      </w:r>
      <w:r w:rsidRPr="00873B6C">
        <w:tab/>
        <w:t>If the DNS response contains one or more records, the UE selects an SNPN that supports Untrusted non-3GPP access for UE Onboarding via N3IWF. Each record in the DNS response shall contain the identity of an SNPN in the visited country supporting Untrusted non-3GPP access for UE Onboarding via N3IWF. In this case:</w:t>
      </w:r>
    </w:p>
    <w:p w14:paraId="0E45FDDE" w14:textId="77777777" w:rsidR="005656CA" w:rsidRPr="00873B6C" w:rsidRDefault="005656CA" w:rsidP="005A13C0">
      <w:pPr>
        <w:pStyle w:val="B3"/>
      </w:pPr>
      <w:r w:rsidRPr="00873B6C">
        <w:t>-</w:t>
      </w:r>
      <w:r w:rsidRPr="00873B6C">
        <w:tab/>
        <w:t>The UE shall select an SNPN based on its own implementation means.</w:t>
      </w:r>
    </w:p>
    <w:p w14:paraId="6F3D9238" w14:textId="77777777" w:rsidR="005656CA" w:rsidRPr="00873B6C" w:rsidRDefault="005656CA" w:rsidP="005A13C0">
      <w:pPr>
        <w:pStyle w:val="B3"/>
      </w:pPr>
      <w:r w:rsidRPr="00873B6C">
        <w:tab/>
        <w:t>If the UE cannot select any N3IWF included in the DNS response, then the UE shall stop the N3IWF selection.</w:t>
      </w:r>
    </w:p>
    <w:p w14:paraId="2C0C568F" w14:textId="77777777" w:rsidR="005656CA" w:rsidRPr="00873B6C" w:rsidRDefault="005656CA" w:rsidP="005656CA">
      <w:pPr>
        <w:pStyle w:val="B2"/>
      </w:pPr>
      <w:r w:rsidRPr="00873B6C">
        <w:t>-</w:t>
      </w:r>
      <w:r w:rsidRPr="00873B6C">
        <w:tab/>
        <w:t>If the DNS response contains no records, then the UE determines that the visited country does not mandate the selection of an N3IWF that supports Untrusted non-3GPP access for UE Onboarding via N3IWF in this country. In this case the UE uses the configured N3IWF for onboarding.</w:t>
      </w:r>
    </w:p>
    <w:p w14:paraId="699D7477" w14:textId="6737B31D" w:rsidR="008606DA" w:rsidRPr="00873B6C" w:rsidRDefault="008606DA" w:rsidP="008606DA">
      <w:pPr>
        <w:pStyle w:val="B2"/>
      </w:pPr>
      <w:r w:rsidRPr="00873B6C">
        <w:t>-</w:t>
      </w:r>
      <w:r w:rsidRPr="00873B6C">
        <w:tab/>
        <w:t>If the UE has selected an SNPN for onboarding, the UE constructs the</w:t>
      </w:r>
      <w:r w:rsidR="00BE0437" w:rsidRPr="00873B6C">
        <w:t xml:space="preserve"> Operator Identifier based Onboarding FQDN for SNPN N3IWF as specified in clause 28.3.2.2.7.2 of TS 23.003 [19],</w:t>
      </w:r>
      <w:r w:rsidRPr="00873B6C">
        <w:t xml:space="preserve"> based on the SNPN ID of the selected SNPN</w:t>
      </w:r>
      <w:r w:rsidR="00BE0437" w:rsidRPr="00873B6C">
        <w:t xml:space="preserve"> and performs a DNS query:</w:t>
      </w:r>
    </w:p>
    <w:p w14:paraId="5446A34B" w14:textId="5F826DEB" w:rsidR="00BE0437" w:rsidRPr="00873B6C" w:rsidRDefault="00BE0437" w:rsidP="00FA7D5B">
      <w:pPr>
        <w:pStyle w:val="B3"/>
      </w:pPr>
      <w:r w:rsidRPr="00873B6C">
        <w:t>-</w:t>
      </w:r>
      <w:r w:rsidRPr="00873B6C">
        <w:tab/>
        <w:t>The DNS response contains the identifier of the N3IWF supporting the onboarding in the SNPN identified by the SNPN ID.</w:t>
      </w:r>
    </w:p>
    <w:p w14:paraId="0FA00369" w14:textId="5814ABB6" w:rsidR="001F5968" w:rsidRPr="00873B6C" w:rsidRDefault="001F5968" w:rsidP="00695DF1">
      <w:pPr>
        <w:pStyle w:val="B1"/>
      </w:pPr>
      <w:r w:rsidRPr="00873B6C">
        <w:t>-</w:t>
      </w:r>
      <w:r w:rsidRPr="00873B6C">
        <w:tab/>
        <w:t>If the PVS is reachable from the local Untrusted non-3GPP access network (e.g. via the Internet) using the local IP connectivity, UE may connect directly (i.e. without being connected to an N3WIF) with a PVS to obtain the SNPN credentials.</w:t>
      </w:r>
    </w:p>
    <w:p w14:paraId="45F6B7A9" w14:textId="74D391D0" w:rsidR="000046DD" w:rsidRPr="00873B6C" w:rsidRDefault="000046DD" w:rsidP="000046DD">
      <w:pPr>
        <w:pStyle w:val="B1"/>
      </w:pPr>
      <w:r w:rsidRPr="00873B6C">
        <w:t>-</w:t>
      </w:r>
      <w:r w:rsidRPr="00873B6C">
        <w:tab/>
        <w:t>As part of UE registration via Untrusted non-3GPP access, in Figure 4.12.2.2-1, step 5 of TS 23.502 [3], the UE provides an onboarding indication inside the AN-Parameters.</w:t>
      </w:r>
    </w:p>
    <w:p w14:paraId="1C392E52" w14:textId="647B6F6E" w:rsidR="001F5968" w:rsidRPr="00873B6C" w:rsidRDefault="001F5968" w:rsidP="001F5968">
      <w:pPr>
        <w:pStyle w:val="Heading4"/>
      </w:pPr>
      <w:bookmarkStart w:id="4287" w:name="_CR5_30_2_13"/>
      <w:bookmarkStart w:id="4288" w:name="_Toc201157534"/>
      <w:bookmarkEnd w:id="4287"/>
      <w:r w:rsidRPr="00873B6C">
        <w:t>5.30.2.13</w:t>
      </w:r>
      <w:r w:rsidRPr="00873B6C">
        <w:tab/>
        <w:t>Access to SNPN services via Trusted non-3GPP access</w:t>
      </w:r>
      <w:bookmarkEnd w:id="4288"/>
    </w:p>
    <w:p w14:paraId="14A241D1" w14:textId="77777777" w:rsidR="001F5968" w:rsidRPr="00873B6C" w:rsidRDefault="001F5968" w:rsidP="001F5968">
      <w:r w:rsidRPr="00873B6C">
        <w:t>Access to SNPN services via Trusted non-3GPP access network follows the specification in the previous (sub)clauses of clause 5.30.2 with the differences as specified in this clause.</w:t>
      </w:r>
    </w:p>
    <w:p w14:paraId="18C6653E" w14:textId="77777777" w:rsidR="001F5968" w:rsidRPr="00873B6C" w:rsidRDefault="001F5968" w:rsidP="001F5968">
      <w:r w:rsidRPr="00873B6C">
        <w:t>To access SNPN services via a Trusted non-3GPP access network, the UE follows the procedure for accessing a PLMN via a Trusted non-3GPP access network defined in clause 6.3.12.2 with the following clarifications and additions:</w:t>
      </w:r>
    </w:p>
    <w:p w14:paraId="711ADFB5" w14:textId="77777777" w:rsidR="00BE0437" w:rsidRPr="00873B6C" w:rsidRDefault="001F5968" w:rsidP="00695DF1">
      <w:pPr>
        <w:pStyle w:val="B1"/>
      </w:pPr>
      <w:r w:rsidRPr="00873B6C">
        <w:t>-</w:t>
      </w:r>
      <w:r w:rsidRPr="00873B6C">
        <w:tab/>
        <w:t>A non-3GPP access network may advertise (e.g. with ANQP), not only the PLMNs with which 5G connectivity is supported (as specified in clause 6.3.12.2), but also the SNPNs with which 5G connectivity is supported and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 etc.).</w:t>
      </w:r>
    </w:p>
    <w:p w14:paraId="375A531C" w14:textId="3847D126" w:rsidR="001F5968" w:rsidRPr="00873B6C" w:rsidRDefault="001F5968" w:rsidP="00695DF1">
      <w:pPr>
        <w:pStyle w:val="B1"/>
      </w:pPr>
      <w:r w:rsidRPr="00873B6C">
        <w:t>-</w:t>
      </w:r>
      <w:r w:rsidRPr="00873B6C">
        <w:tab/>
        <w:t>The UE initiates the access network selection procedure specified in clause</w:t>
      </w:r>
      <w:r w:rsidR="00BE0437" w:rsidRPr="00873B6C">
        <w:t> </w:t>
      </w:r>
      <w:r w:rsidRPr="00873B6C">
        <w:t>6.3.12.2 and constructs a list of available SNPNs. This list contains the SNPNs advertised by all discovered non-3GPP access networks.</w:t>
      </w:r>
    </w:p>
    <w:p w14:paraId="079F59AB" w14:textId="77777777" w:rsidR="001F5968" w:rsidRPr="00873B6C" w:rsidRDefault="001F5968" w:rsidP="00695DF1">
      <w:pPr>
        <w:pStyle w:val="B1"/>
      </w:pPr>
      <w:r w:rsidRPr="00873B6C">
        <w:t>-</w:t>
      </w:r>
      <w:r w:rsidRPr="00873B6C">
        <w:tab/>
        <w:t>The UE selects an SNPN that is included in the list of available SNPNs following the procedure in clause 5.30.2.4.</w:t>
      </w:r>
    </w:p>
    <w:p w14:paraId="1C6E3F20" w14:textId="6A3A4587" w:rsidR="001F5968" w:rsidRPr="00873B6C" w:rsidRDefault="001F5968" w:rsidP="00695DF1">
      <w:pPr>
        <w:pStyle w:val="B1"/>
      </w:pPr>
      <w:r w:rsidRPr="00873B6C">
        <w:t>-</w:t>
      </w:r>
      <w:r w:rsidRPr="00873B6C">
        <w:tab/>
        <w:t xml:space="preserve">The UE selects a non-3GPP access network that supports 5G connectivity to the selected SNPN and initiates the registration procedure via Trusted non-3GPP access specified in clause 4.12a.2.2 of </w:t>
      </w:r>
      <w:r w:rsidR="00972E70" w:rsidRPr="00873B6C">
        <w:t>TS 23.502 [</w:t>
      </w:r>
      <w:r w:rsidRPr="00873B6C">
        <w:t>3]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6BC9BCA6" w14:textId="151F5C8E" w:rsidR="001F5968" w:rsidRPr="00873B6C" w:rsidRDefault="001F5968" w:rsidP="00695DF1">
      <w:pPr>
        <w:pStyle w:val="NO"/>
      </w:pPr>
      <w:r w:rsidRPr="00873B6C">
        <w:t>NOTE:</w:t>
      </w:r>
      <w:r w:rsidRPr="00873B6C">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5C8EF400" w14:textId="0BDD5ED6" w:rsidR="001F5968" w:rsidRPr="00873B6C" w:rsidRDefault="001F5968" w:rsidP="00695DF1">
      <w:pPr>
        <w:pStyle w:val="B1"/>
      </w:pPr>
      <w:r w:rsidRPr="00873B6C">
        <w:t>-</w:t>
      </w:r>
      <w:r w:rsidRPr="00873B6C">
        <w:tab/>
        <w:t>If there are multiple non-3GPP access networks that support 5G connectivity to the selected SNPN, then the UE places these non-3GPP access networks in a prioritized list and selects the highest priority non-3GPP access network from this list. To determine the priority of a non-3GPP access network, the UE shall apply the WLANSP rules (if provided)</w:t>
      </w:r>
      <w:r w:rsidR="00472CD7" w:rsidRPr="00873B6C">
        <w:t xml:space="preserve"> and</w:t>
      </w:r>
      <w:r w:rsidRPr="00873B6C">
        <w:t xml:space="preserve"> the procedure specified in clause 6.6.1.3 of </w:t>
      </w:r>
      <w:r w:rsidR="00972E70" w:rsidRPr="00873B6C">
        <w:t>TS 23.503 [</w:t>
      </w:r>
      <w:r w:rsidRPr="00873B6C">
        <w:t xml:space="preserve">45], "UE procedure for </w:t>
      </w:r>
      <w:r w:rsidRPr="00873B6C">
        <w:lastRenderedPageBreak/>
        <w:t>selecting a WLAN access based on WLANSP rules". If the UE is not provided with WLANSP rules, the UE determines the priority of a non-3GPP access network by using implementation means.</w:t>
      </w:r>
    </w:p>
    <w:p w14:paraId="7A65C698" w14:textId="77777777" w:rsidR="001F5968" w:rsidRPr="00873B6C" w:rsidRDefault="001F5968" w:rsidP="001F5968">
      <w:r w:rsidRPr="00873B6C">
        <w:t>UE onboarding via Trusted non-3GPP access is supported as follows:</w:t>
      </w:r>
    </w:p>
    <w:p w14:paraId="3F57CF90" w14:textId="77777777" w:rsidR="001F5968" w:rsidRPr="00873B6C" w:rsidRDefault="001F5968" w:rsidP="00695DF1">
      <w:pPr>
        <w:pStyle w:val="B1"/>
      </w:pPr>
      <w:r w:rsidRPr="00873B6C">
        <w:t>-</w:t>
      </w:r>
      <w:r w:rsidRPr="00873B6C">
        <w:tab/>
        <w:t>The non-3GPP access network advertises (e.g. via ANQP) an Onboarding enabled indication, as specified in clause 5.30.2.10.2.3.</w:t>
      </w:r>
    </w:p>
    <w:p w14:paraId="4D57CE0B" w14:textId="77777777" w:rsidR="001F5968" w:rsidRPr="00873B6C" w:rsidRDefault="001F5968" w:rsidP="00695DF1">
      <w:pPr>
        <w:pStyle w:val="B1"/>
      </w:pPr>
      <w:r w:rsidRPr="00873B6C">
        <w:t>-</w:t>
      </w:r>
      <w:r w:rsidRPr="00873B6C">
        <w:tab/>
        <w:t>The UE selects an SNPN advertising the Onboarding enabled indication following the network selection procedure specified in clause 5.30.2.10.2.5.</w:t>
      </w:r>
    </w:p>
    <w:p w14:paraId="534C5BB1" w14:textId="0B91B270" w:rsidR="001F5968" w:rsidRPr="00873B6C" w:rsidRDefault="001F5968" w:rsidP="00695DF1">
      <w:pPr>
        <w:pStyle w:val="B1"/>
      </w:pPr>
      <w:r w:rsidRPr="00873B6C">
        <w:t>-</w:t>
      </w:r>
      <w:r w:rsidRPr="00873B6C">
        <w:tab/>
        <w:t xml:space="preserve">As part of UE registration via Trusted non-3GPP access, in Figure 4.12a.2.2-1, step 5 of </w:t>
      </w:r>
      <w:r w:rsidR="00972E70" w:rsidRPr="00873B6C">
        <w:t>TS 23.502 [</w:t>
      </w:r>
      <w:r w:rsidRPr="00873B6C">
        <w:t>3] the UE provides an onboarding indication inside the AN-Parameters.</w:t>
      </w:r>
    </w:p>
    <w:p w14:paraId="54FFD35D" w14:textId="6AF3CD04" w:rsidR="001F5968" w:rsidRPr="00873B6C" w:rsidRDefault="001F5968" w:rsidP="001F5968">
      <w:pPr>
        <w:pStyle w:val="Heading4"/>
      </w:pPr>
      <w:bookmarkStart w:id="4289" w:name="_CR5_30_2_14"/>
      <w:bookmarkStart w:id="4290" w:name="_Toc201157535"/>
      <w:bookmarkEnd w:id="4289"/>
      <w:r w:rsidRPr="00873B6C">
        <w:t>5.30.2.14</w:t>
      </w:r>
      <w:r w:rsidRPr="00873B6C">
        <w:tab/>
        <w:t>Access to SNPN services via wireline access network</w:t>
      </w:r>
      <w:bookmarkEnd w:id="4290"/>
    </w:p>
    <w:p w14:paraId="1CDABA75" w14:textId="21970A3F" w:rsidR="001F5968" w:rsidRPr="00873B6C" w:rsidRDefault="001F5968" w:rsidP="00695DF1">
      <w:r w:rsidRPr="00873B6C">
        <w:t>Access to SNPN services via a wireline access network</w:t>
      </w:r>
      <w:r w:rsidR="00022CB9" w:rsidRPr="00873B6C">
        <w:t xml:space="preserve"> is specified in </w:t>
      </w:r>
      <w:r w:rsidR="00972E70" w:rsidRPr="00873B6C">
        <w:t>TS 23.316 [</w:t>
      </w:r>
      <w:r w:rsidR="00022CB9" w:rsidRPr="00873B6C">
        <w:t>84]</w:t>
      </w:r>
      <w:r w:rsidRPr="00873B6C">
        <w:t>.</w:t>
      </w:r>
    </w:p>
    <w:p w14:paraId="0F604DDD" w14:textId="4FF3B87B" w:rsidR="002C4A81" w:rsidRPr="00873B6C" w:rsidRDefault="002C4A81" w:rsidP="002C4A81">
      <w:pPr>
        <w:pStyle w:val="Heading4"/>
      </w:pPr>
      <w:bookmarkStart w:id="4291" w:name="_CR5_30_2_15"/>
      <w:bookmarkStart w:id="4292" w:name="_Toc201157536"/>
      <w:bookmarkEnd w:id="4291"/>
      <w:r w:rsidRPr="00873B6C">
        <w:t>5.30.2.15</w:t>
      </w:r>
      <w:r w:rsidRPr="00873B6C">
        <w:tab/>
        <w:t>Access to SNPN services for N5CW devices</w:t>
      </w:r>
      <w:bookmarkEnd w:id="4292"/>
    </w:p>
    <w:p w14:paraId="39DA21EE" w14:textId="77777777" w:rsidR="002C4A81" w:rsidRPr="00873B6C" w:rsidRDefault="002C4A81" w:rsidP="002C4A81">
      <w:r w:rsidRPr="00873B6C">
        <w:t>Devices that do not support 5GC NAS signalling over WLAN access (referred to as "Non-5G-Capable over WLAN" devices, or N5CW devices for short), may access 5GC in an SNPN via a trusted WLAN access network that supports a TWIF function. To access SNPN services the N5CW device performs the following procedure:</w:t>
      </w:r>
    </w:p>
    <w:p w14:paraId="7F5E277E" w14:textId="77777777" w:rsidR="002C4A81" w:rsidRPr="00873B6C" w:rsidRDefault="002C4A81" w:rsidP="00972E70">
      <w:pPr>
        <w:pStyle w:val="B1"/>
      </w:pPr>
      <w:r w:rsidRPr="00873B6C">
        <w:t>-</w:t>
      </w:r>
      <w:r w:rsidRPr="00873B6C">
        <w:tab/>
        <w:t>A WLAN access network may advertise (e.g. with ANQP), not only the PLMNs with which "5G connectivity-without-NAS" is supported (as specified in clause 6.3.12a.1), but also the SNPNs with which "5G connectivity-without-NAS" is supported, as well as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w:t>
      </w:r>
    </w:p>
    <w:p w14:paraId="7361CAFE" w14:textId="77777777" w:rsidR="002C4A81" w:rsidRPr="00873B6C" w:rsidRDefault="002C4A81" w:rsidP="00972E70">
      <w:pPr>
        <w:pStyle w:val="B1"/>
      </w:pPr>
      <w:r w:rsidRPr="00873B6C">
        <w:t>-</w:t>
      </w:r>
      <w:r w:rsidRPr="00873B6C">
        <w:tab/>
        <w:t>The N5CW device initiates the access network selection procedure by sending an ANQP query to each discovered WLAN access network and constructs a list of available SNPNs with which "5G connectivity-without-NAS" is supported. This list contains the SNPNs with which "5G connectivity-without-NAS" is supported as advertised by all the discovered WLAN access networks.</w:t>
      </w:r>
    </w:p>
    <w:p w14:paraId="64F31F59" w14:textId="77777777" w:rsidR="002C4A81" w:rsidRPr="00873B6C" w:rsidRDefault="002C4A81" w:rsidP="00972E70">
      <w:pPr>
        <w:pStyle w:val="B1"/>
      </w:pPr>
      <w:r w:rsidRPr="00873B6C">
        <w:t>-</w:t>
      </w:r>
      <w:r w:rsidRPr="00873B6C">
        <w:tab/>
        <w:t>The N5CW device selects an SNPN that is included in the list of available SNPNs with which "5G connectivity-without-NAS" is supported following the procedure in clause 5.30.2.4.</w:t>
      </w:r>
    </w:p>
    <w:p w14:paraId="075FB51D" w14:textId="03F070CF" w:rsidR="002C4A81" w:rsidRPr="00873B6C" w:rsidRDefault="002C4A81" w:rsidP="00972E70">
      <w:pPr>
        <w:pStyle w:val="B1"/>
      </w:pPr>
      <w:r w:rsidRPr="00873B6C">
        <w:t>-</w:t>
      </w:r>
      <w:r w:rsidRPr="00873B6C">
        <w:tab/>
        <w:t xml:space="preserve">The N5CW device selects a WLAN access network (e.g. an SSID) that supports "5G connectivity-without-NAS" to the selected SNPN and initiates the "Initial Registration and PDU Session Establishment" procedure specified in clause 4.12b.2 of </w:t>
      </w:r>
      <w:r w:rsidR="00972E70" w:rsidRPr="00873B6C">
        <w:t>TS 23.502 [</w:t>
      </w:r>
      <w:r w:rsidRPr="00873B6C">
        <w:t>3]. If there are multiple WLAN access networks that support "5G connectivity-without-NAS" to the selected SNPN, then the N5CW device selects the highest priority WLAN access network from this list. To determine the priority of a WLAN access network, the N5CW device shall apply the WLANSP rules (if provided)</w:t>
      </w:r>
      <w:r w:rsidR="00472CD7" w:rsidRPr="00873B6C">
        <w:t xml:space="preserve"> and</w:t>
      </w:r>
      <w:r w:rsidRPr="00873B6C">
        <w:t xml:space="preserve"> the procedure specified in clause 6.6.1.3 of </w:t>
      </w:r>
      <w:r w:rsidR="00972E70" w:rsidRPr="00873B6C">
        <w:t>TS 23.503 [</w:t>
      </w:r>
      <w:r w:rsidRPr="00873B6C">
        <w:t>45], "UE procedure for selecting a WLAN access based on WLANSP rules". If the N5CW device is not provided with WLANSP rules, the N5CW device determines the priority of a WLAN access network by using implementation means.</w:t>
      </w:r>
    </w:p>
    <w:p w14:paraId="42DE0DF1" w14:textId="77777777" w:rsidR="002C4A81" w:rsidRPr="00873B6C" w:rsidRDefault="002C4A81" w:rsidP="00972E70">
      <w:pPr>
        <w:pStyle w:val="NO"/>
      </w:pPr>
      <w:r w:rsidRPr="00873B6C">
        <w:t>NOTE:</w:t>
      </w:r>
      <w:r w:rsidRPr="00873B6C">
        <w:tab/>
        <w:t>How the N5CW device selects credentials to use for SNPN access is implementation specific.</w:t>
      </w:r>
    </w:p>
    <w:p w14:paraId="5037F432" w14:textId="77777777" w:rsidR="00D40151" w:rsidRPr="00873B6C" w:rsidRDefault="00D40151" w:rsidP="00D40151">
      <w:pPr>
        <w:pStyle w:val="Heading3"/>
      </w:pPr>
      <w:bookmarkStart w:id="4293" w:name="_CR5_30_3"/>
      <w:bookmarkStart w:id="4294" w:name="_Toc201157537"/>
      <w:bookmarkEnd w:id="4293"/>
      <w:r w:rsidRPr="00873B6C">
        <w:t>5.30.3</w:t>
      </w:r>
      <w:r w:rsidRPr="00873B6C">
        <w:tab/>
        <w:t>Public Network Integrated NPN</w:t>
      </w:r>
      <w:bookmarkEnd w:id="4241"/>
      <w:bookmarkEnd w:id="4242"/>
      <w:bookmarkEnd w:id="4243"/>
      <w:bookmarkEnd w:id="4244"/>
      <w:bookmarkEnd w:id="4245"/>
      <w:bookmarkEnd w:id="4246"/>
      <w:bookmarkEnd w:id="4294"/>
    </w:p>
    <w:p w14:paraId="0DA007FF" w14:textId="77777777" w:rsidR="00D40151" w:rsidRPr="00873B6C" w:rsidRDefault="00D40151" w:rsidP="00D40151">
      <w:pPr>
        <w:pStyle w:val="Heading4"/>
      </w:pPr>
      <w:bookmarkStart w:id="4295" w:name="_CR5_30_3_1"/>
      <w:bookmarkStart w:id="4296" w:name="_Toc20150094"/>
      <w:bookmarkStart w:id="4297" w:name="_Toc27846893"/>
      <w:bookmarkStart w:id="4298" w:name="_Toc36188024"/>
      <w:bookmarkStart w:id="4299" w:name="_Toc45183929"/>
      <w:bookmarkStart w:id="4300" w:name="_Toc47342771"/>
      <w:bookmarkStart w:id="4301" w:name="_Toc51769473"/>
      <w:bookmarkStart w:id="4302" w:name="_Toc201157538"/>
      <w:bookmarkEnd w:id="4295"/>
      <w:r w:rsidRPr="00873B6C">
        <w:t>5.30.3.1</w:t>
      </w:r>
      <w:r w:rsidRPr="00873B6C">
        <w:tab/>
        <w:t>General</w:t>
      </w:r>
      <w:bookmarkEnd w:id="4296"/>
      <w:bookmarkEnd w:id="4297"/>
      <w:bookmarkEnd w:id="4298"/>
      <w:bookmarkEnd w:id="4299"/>
      <w:bookmarkEnd w:id="4300"/>
      <w:bookmarkEnd w:id="4301"/>
      <w:bookmarkEnd w:id="4302"/>
    </w:p>
    <w:p w14:paraId="4F5F6F58" w14:textId="77777777" w:rsidR="00D40151" w:rsidRPr="00873B6C" w:rsidRDefault="00D40151" w:rsidP="00D40151">
      <w:r w:rsidRPr="00873B6C">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873B6C" w:rsidRDefault="00D40151" w:rsidP="00D40151">
      <w:pPr>
        <w:pStyle w:val="NO"/>
      </w:pPr>
      <w:r w:rsidRPr="00873B6C">
        <w:t>NOTE 1:</w:t>
      </w:r>
      <w:r w:rsidRPr="00873B6C">
        <w:tab/>
        <w:t>Annex D provides additional consideration to consider when supporting Non-Public Network as a Network Slice of a PLMN.</w:t>
      </w:r>
    </w:p>
    <w:p w14:paraId="67B3100F" w14:textId="77777777" w:rsidR="00D40151" w:rsidRPr="00873B6C" w:rsidRDefault="00D40151" w:rsidP="00D40151">
      <w:r w:rsidRPr="00873B6C">
        <w:lastRenderedPageBreak/>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873B6C" w:rsidRDefault="00D40151" w:rsidP="00D40151">
      <w:r w:rsidRPr="00873B6C">
        <w:t>A Closed Access Group identifies a group of subscribers who are permitted to access one or more CAG cells associated to the CAG.</w:t>
      </w:r>
    </w:p>
    <w:p w14:paraId="4120CEF6" w14:textId="77777777" w:rsidR="00D40151" w:rsidRPr="00873B6C" w:rsidRDefault="00D40151" w:rsidP="00D40151">
      <w:r w:rsidRPr="00873B6C">
        <w:t>CAG is used for the PNI-NPNs to prevent UE(s), which are not allowed to access the NPN via the associated cell(s), from automatically selecting and accessing the associated CAG cell(s).</w:t>
      </w:r>
    </w:p>
    <w:p w14:paraId="22B08D0F" w14:textId="77777777" w:rsidR="00D40151" w:rsidRPr="00873B6C" w:rsidRDefault="00D40151" w:rsidP="00D40151">
      <w:pPr>
        <w:pStyle w:val="NO"/>
      </w:pPr>
      <w:r w:rsidRPr="00873B6C">
        <w:t>NOTE 2:</w:t>
      </w:r>
      <w:r w:rsidRPr="00873B6C">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873B6C" w:rsidRDefault="00BA212C" w:rsidP="00D40151">
      <w:r w:rsidRPr="00873B6C">
        <w:t>The UE and PNI-NPN may support remote provisioning of credentials for NSSAA or credentials for secondary authentication/authorization to the UE, as specified in clause 5.39.</w:t>
      </w:r>
    </w:p>
    <w:p w14:paraId="0019458B" w14:textId="0776CF6A" w:rsidR="00BA212C" w:rsidRPr="00873B6C" w:rsidRDefault="00BA212C" w:rsidP="00562E84">
      <w:pPr>
        <w:pStyle w:val="NO"/>
      </w:pPr>
      <w:r w:rsidRPr="00873B6C">
        <w:t>NOTE 3:</w:t>
      </w:r>
      <w:r w:rsidRPr="00873B6C">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873B6C" w:rsidRDefault="00BA212C" w:rsidP="00562E84">
      <w:pPr>
        <w:pStyle w:val="NO"/>
      </w:pPr>
      <w:r w:rsidRPr="00873B6C">
        <w:t>NOTE 4:</w:t>
      </w:r>
      <w:r w:rsidRPr="00873B6C">
        <w:tab/>
        <w:t>The UE always has subscription to the HPLMN providing the PNI-NPN and has a USIM that contains primary authentication credentials.</w:t>
      </w:r>
    </w:p>
    <w:p w14:paraId="7AE5680B" w14:textId="755AE600" w:rsidR="000E5655" w:rsidRPr="00873B6C" w:rsidRDefault="000E5655" w:rsidP="000E5655">
      <w:bookmarkStart w:id="4303" w:name="_Toc20150095"/>
      <w:bookmarkStart w:id="4304" w:name="_Toc27846894"/>
      <w:bookmarkStart w:id="4305" w:name="_Toc36188025"/>
      <w:bookmarkStart w:id="4306" w:name="_Toc45183930"/>
      <w:bookmarkStart w:id="4307" w:name="_Toc47342772"/>
      <w:bookmarkStart w:id="4308" w:name="_Toc51769474"/>
      <w:r w:rsidRPr="00873B6C">
        <w:t xml:space="preserve">Support for Proximity based Services (ProSe) as defined in </w:t>
      </w:r>
      <w:r w:rsidR="00972E70" w:rsidRPr="00873B6C">
        <w:t>TS 23.304 [</w:t>
      </w:r>
      <w:r w:rsidRPr="00873B6C">
        <w:t>128] in conjunction with CAG is not specified in this Release of the specification.</w:t>
      </w:r>
    </w:p>
    <w:p w14:paraId="71B1B8B4" w14:textId="77777777" w:rsidR="00D40151" w:rsidRPr="00873B6C" w:rsidRDefault="00D40151" w:rsidP="00D40151">
      <w:pPr>
        <w:pStyle w:val="Heading4"/>
      </w:pPr>
      <w:bookmarkStart w:id="4309" w:name="_CR5_30_3_2"/>
      <w:bookmarkStart w:id="4310" w:name="_Toc201157539"/>
      <w:bookmarkEnd w:id="4309"/>
      <w:r w:rsidRPr="00873B6C">
        <w:t>5.30.3.2</w:t>
      </w:r>
      <w:r w:rsidRPr="00873B6C">
        <w:tab/>
        <w:t>Identifiers</w:t>
      </w:r>
      <w:bookmarkEnd w:id="4303"/>
      <w:bookmarkEnd w:id="4304"/>
      <w:bookmarkEnd w:id="4305"/>
      <w:bookmarkEnd w:id="4306"/>
      <w:bookmarkEnd w:id="4307"/>
      <w:bookmarkEnd w:id="4308"/>
      <w:bookmarkEnd w:id="4310"/>
    </w:p>
    <w:p w14:paraId="4A07C53B" w14:textId="77777777" w:rsidR="00D40151" w:rsidRPr="00873B6C" w:rsidRDefault="00D40151" w:rsidP="00D40151">
      <w:r w:rsidRPr="00873B6C">
        <w:t>The following is required for identification:</w:t>
      </w:r>
    </w:p>
    <w:p w14:paraId="27263B62" w14:textId="77777777" w:rsidR="00D40151" w:rsidRPr="00873B6C" w:rsidRDefault="00D40151" w:rsidP="00D40151">
      <w:pPr>
        <w:pStyle w:val="B1"/>
      </w:pPr>
      <w:r w:rsidRPr="00873B6C">
        <w:t>-</w:t>
      </w:r>
      <w:r w:rsidRPr="00873B6C">
        <w:tab/>
        <w:t>A CAG is identified by a CAG Identifier which is unique within the scope of a PLMN ID;</w:t>
      </w:r>
    </w:p>
    <w:p w14:paraId="00C0D501" w14:textId="77777777" w:rsidR="00D40151" w:rsidRPr="00873B6C" w:rsidRDefault="00D40151" w:rsidP="00D40151">
      <w:pPr>
        <w:pStyle w:val="B1"/>
      </w:pPr>
      <w:r w:rsidRPr="00873B6C">
        <w:t>-</w:t>
      </w:r>
      <w:r w:rsidRPr="00873B6C">
        <w:tab/>
        <w:t>A CAG cell broadcasts one or multiple CAG Identifiers per PLMN;</w:t>
      </w:r>
    </w:p>
    <w:p w14:paraId="00B835E6" w14:textId="30E31135" w:rsidR="00D40151" w:rsidRPr="00873B6C" w:rsidRDefault="00D40151" w:rsidP="00D40151">
      <w:pPr>
        <w:pStyle w:val="NO"/>
      </w:pPr>
      <w:r w:rsidRPr="00873B6C">
        <w:t>NOTE 1:</w:t>
      </w:r>
      <w:r w:rsidRPr="00873B6C">
        <w:tab/>
        <w:t xml:space="preserve">It is assumed that a cell supports broadcasting a total of twelve CAG Identifiers. Further details are defined in </w:t>
      </w:r>
      <w:r w:rsidR="00972E70" w:rsidRPr="00873B6C">
        <w:t>TS 38.331 [</w:t>
      </w:r>
      <w:r w:rsidRPr="00873B6C">
        <w:t>28].</w:t>
      </w:r>
    </w:p>
    <w:p w14:paraId="35F86451" w14:textId="77777777" w:rsidR="00D40151" w:rsidRPr="00873B6C" w:rsidRDefault="00D40151" w:rsidP="00D40151">
      <w:pPr>
        <w:pStyle w:val="B1"/>
      </w:pPr>
      <w:r w:rsidRPr="00873B6C">
        <w:t>-</w:t>
      </w:r>
      <w:r w:rsidRPr="00873B6C">
        <w:tab/>
        <w:t>A CAG cell may in addition broadcast a human-readable network name per CAG Identifier:</w:t>
      </w:r>
    </w:p>
    <w:p w14:paraId="152D3967" w14:textId="77777777" w:rsidR="00D40151" w:rsidRPr="00873B6C" w:rsidRDefault="00D40151" w:rsidP="00D40151">
      <w:pPr>
        <w:pStyle w:val="NO"/>
      </w:pPr>
      <w:r w:rsidRPr="00873B6C">
        <w:t>NOTE 2:</w:t>
      </w:r>
      <w:r w:rsidRPr="00873B6C">
        <w:tab/>
        <w:t>The human-readable network name per CAG Identifier is only used for presentation to user when user requests a manual CAG selection.</w:t>
      </w:r>
    </w:p>
    <w:p w14:paraId="02FFD19B" w14:textId="77777777" w:rsidR="00D40151" w:rsidRPr="00873B6C" w:rsidRDefault="00D40151" w:rsidP="00D40151">
      <w:pPr>
        <w:pStyle w:val="Heading4"/>
      </w:pPr>
      <w:bookmarkStart w:id="4311" w:name="_CR5_30_3_3"/>
      <w:bookmarkStart w:id="4312" w:name="_Toc20150096"/>
      <w:bookmarkStart w:id="4313" w:name="_Toc27846895"/>
      <w:bookmarkStart w:id="4314" w:name="_Toc36188026"/>
      <w:bookmarkStart w:id="4315" w:name="_Toc45183931"/>
      <w:bookmarkStart w:id="4316" w:name="_Toc47342773"/>
      <w:bookmarkStart w:id="4317" w:name="_Toc51769475"/>
      <w:bookmarkStart w:id="4318" w:name="_Toc201157540"/>
      <w:bookmarkEnd w:id="4311"/>
      <w:r w:rsidRPr="00873B6C">
        <w:t>5.30.3.3</w:t>
      </w:r>
      <w:r w:rsidRPr="00873B6C">
        <w:tab/>
        <w:t>UE configuration, subscription aspects and storage</w:t>
      </w:r>
      <w:bookmarkEnd w:id="4312"/>
      <w:bookmarkEnd w:id="4313"/>
      <w:bookmarkEnd w:id="4314"/>
      <w:bookmarkEnd w:id="4315"/>
      <w:bookmarkEnd w:id="4316"/>
      <w:bookmarkEnd w:id="4317"/>
      <w:bookmarkEnd w:id="4318"/>
    </w:p>
    <w:p w14:paraId="2B18C8BA" w14:textId="73B35B79" w:rsidR="00D40151" w:rsidRPr="00873B6C" w:rsidRDefault="00D40151" w:rsidP="00D40151">
      <w:r w:rsidRPr="00873B6C">
        <w:t>To use CAG, the UE, that supports CAG as indicated as part of the UE 5GMM Core Network Capability, may be pre-configured or</w:t>
      </w:r>
      <w:r w:rsidR="00704A9E" w:rsidRPr="00873B6C">
        <w:t xml:space="preserve"> </w:t>
      </w:r>
      <w:r w:rsidRPr="00873B6C">
        <w:t>(re)configured with the following CAG information, included in the subscription as part of the Mobility Restrictions:</w:t>
      </w:r>
    </w:p>
    <w:p w14:paraId="70D961DC" w14:textId="77777777" w:rsidR="00D40151" w:rsidRPr="00873B6C" w:rsidRDefault="00D40151" w:rsidP="00D40151">
      <w:pPr>
        <w:pStyle w:val="B1"/>
      </w:pPr>
      <w:r w:rsidRPr="00873B6C">
        <w:t>-</w:t>
      </w:r>
      <w:r w:rsidRPr="00873B6C">
        <w:tab/>
        <w:t>an Allowed CAG list i.e. a list of CAG Identifiers the UE is allowed to access; and</w:t>
      </w:r>
    </w:p>
    <w:p w14:paraId="3044D544" w14:textId="490396E0" w:rsidR="00022CB9" w:rsidRPr="00873B6C" w:rsidRDefault="00022CB9" w:rsidP="00D40151">
      <w:pPr>
        <w:pStyle w:val="B1"/>
      </w:pPr>
      <w:r w:rsidRPr="00873B6C">
        <w:t>-</w:t>
      </w:r>
      <w:r w:rsidRPr="00873B6C">
        <w:tab/>
        <w:t>each entry of the Allowed CAG list may be associated with time validity information</w:t>
      </w:r>
      <w:r w:rsidR="00494FD0" w:rsidRPr="00873B6C">
        <w:t xml:space="preserve"> containing one or more time periods</w:t>
      </w:r>
      <w:r w:rsidRPr="00873B6C">
        <w:t>; and</w:t>
      </w:r>
    </w:p>
    <w:p w14:paraId="5E8C210B" w14:textId="638322C5" w:rsidR="00D40151" w:rsidRPr="00873B6C" w:rsidRDefault="00D40151" w:rsidP="00D40151">
      <w:pPr>
        <w:pStyle w:val="B1"/>
      </w:pPr>
      <w:r w:rsidRPr="00873B6C">
        <w:t>-</w:t>
      </w:r>
      <w:r w:rsidRPr="00873B6C">
        <w:tab/>
        <w:t xml:space="preserve">optionally, a CAG-only indication whether the UE is only allowed to access 5GS via CAG cells (see </w:t>
      </w:r>
      <w:r w:rsidR="00972E70" w:rsidRPr="00873B6C">
        <w:t>TS 38.304 [</w:t>
      </w:r>
      <w:r w:rsidRPr="00873B6C">
        <w:t>50] for how the UE identifies whether a cell is a CAG cell);</w:t>
      </w:r>
    </w:p>
    <w:p w14:paraId="40DC8108" w14:textId="33264DC1" w:rsidR="00D40151" w:rsidRPr="00873B6C" w:rsidRDefault="00D40151" w:rsidP="00D40151">
      <w:r w:rsidRPr="00873B6C">
        <w:t>The HPLMN may configure or re-configure a UE with the above CAG information using the UE Configuration Update procedure for access and mobility management related parameters described</w:t>
      </w:r>
      <w:r w:rsidR="00131D56" w:rsidRPr="00873B6C">
        <w:t xml:space="preserve"> in clause 4.2.4.2</w:t>
      </w:r>
      <w:r w:rsidRPr="00873B6C">
        <w:t xml:space="preserve"> </w:t>
      </w:r>
      <w:r w:rsidR="00131D56" w:rsidRPr="00873B6C">
        <w:t>of</w:t>
      </w:r>
      <w:r w:rsidRPr="00873B6C">
        <w:t xml:space="preserve"> </w:t>
      </w:r>
      <w:r w:rsidR="00972E70" w:rsidRPr="00873B6C">
        <w:t>TS 23.502 [</w:t>
      </w:r>
      <w:r w:rsidRPr="00873B6C">
        <w:t>3].</w:t>
      </w:r>
    </w:p>
    <w:p w14:paraId="664EE82B" w14:textId="63F28E2C" w:rsidR="00D40151" w:rsidRPr="00873B6C" w:rsidRDefault="00D40151" w:rsidP="00D40151">
      <w:r w:rsidRPr="00873B6C">
        <w:lastRenderedPageBreak/>
        <w:t>The above CAG information is provided by the HPLMN on a per PLMN basis. In a PLMN the UE shall only consider the CAG information provided for this PLMN.</w:t>
      </w:r>
      <w:r w:rsidR="00022CB9" w:rsidRPr="00873B6C">
        <w:t xml:space="preserve"> The entries of the Allowed CAG list with</w:t>
      </w:r>
      <w:r w:rsidR="00494FD0" w:rsidRPr="00873B6C">
        <w:t xml:space="preserve"> time</w:t>
      </w:r>
      <w:r w:rsidR="00022CB9" w:rsidRPr="00873B6C">
        <w:t xml:space="preserve"> validity</w:t>
      </w:r>
      <w:r w:rsidR="00494FD0" w:rsidRPr="00873B6C">
        <w:t xml:space="preserve"> information</w:t>
      </w:r>
      <w:r w:rsidR="00022CB9" w:rsidRPr="00873B6C">
        <w:t xml:space="preserve"> </w:t>
      </w:r>
      <w:r w:rsidR="007C1B83" w:rsidRPr="00873B6C">
        <w:t xml:space="preserve">are </w:t>
      </w:r>
      <w:r w:rsidR="00022CB9" w:rsidRPr="00873B6C">
        <w:t>provided to the UE only if the UE indicates support of CAG with validity information.</w:t>
      </w:r>
    </w:p>
    <w:p w14:paraId="1BCB42D5" w14:textId="63428D7F" w:rsidR="007C1B83" w:rsidRPr="00873B6C" w:rsidRDefault="007C1B83" w:rsidP="005A13C0">
      <w:pPr>
        <w:pStyle w:val="NO"/>
      </w:pPr>
      <w:r w:rsidRPr="00873B6C">
        <w:t>NOTE 1:</w:t>
      </w:r>
      <w:r w:rsidRPr="00873B6C">
        <w:tab/>
        <w:t>If the UE supports CAG but not CAG with validity information and there are entries of the Allowed CAG list that are associated with</w:t>
      </w:r>
      <w:r w:rsidR="00494FD0" w:rsidRPr="00873B6C">
        <w:t xml:space="preserve"> time</w:t>
      </w:r>
      <w:r w:rsidRPr="00873B6C">
        <w:t xml:space="preserve"> validity information in the subscription data, the CAG Identifier of the corresponding entry in subscription data can be provided to the UE without</w:t>
      </w:r>
      <w:r w:rsidR="00494FD0" w:rsidRPr="00873B6C">
        <w:t xml:space="preserve"> time</w:t>
      </w:r>
      <w:r w:rsidRPr="00873B6C">
        <w:t xml:space="preserve"> validity information when the validity condition is evaluated as true and removed when the evaluation changes to false. It is up to AMF local policy whether to provide such CAG Identifier to the UE. In case the AMF does not support CAG with validity information e.g. in the case of roaming, the UDM provides CAG information to the AMF without entries including</w:t>
      </w:r>
      <w:r w:rsidR="00494FD0" w:rsidRPr="00873B6C">
        <w:t xml:space="preserve"> time</w:t>
      </w:r>
      <w:r w:rsidRPr="00873B6C">
        <w:t xml:space="preserve"> validity information.</w:t>
      </w:r>
    </w:p>
    <w:p w14:paraId="7C2DB8C5" w14:textId="51C8B4C1" w:rsidR="00D40151" w:rsidRPr="00873B6C" w:rsidRDefault="00D40151" w:rsidP="00D40151">
      <w:r w:rsidRPr="00873B6C">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873B6C" w:rsidRDefault="00D40151" w:rsidP="00D40151">
      <w:r w:rsidRPr="00873B6C">
        <w:t>The AMF may update the UE using either the UE Configuration Update procedure after registration procedure is completed, or by including the new CAG information in the Registration Accept or in the Registration Reject</w:t>
      </w:r>
      <w:r w:rsidR="00CD64F1" w:rsidRPr="00873B6C">
        <w:t xml:space="preserve"> or in the Deregistration Request or in the Service Reject</w:t>
      </w:r>
      <w:r w:rsidRPr="00873B6C">
        <w:t>.</w:t>
      </w:r>
    </w:p>
    <w:p w14:paraId="537F7012" w14:textId="77777777" w:rsidR="00D40151" w:rsidRPr="00873B6C" w:rsidRDefault="00D40151" w:rsidP="00D40151">
      <w:r w:rsidRPr="00873B6C">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542AE80B" w:rsidR="00D40151" w:rsidRPr="00873B6C" w:rsidRDefault="00D40151" w:rsidP="00D40151">
      <w:r w:rsidRPr="00873B6C">
        <w:t xml:space="preserve">The UE shall store the latest available CAG information for every PLMN for which it is provided and keep it stored when the UE is de-registered or switched off, as described in </w:t>
      </w:r>
      <w:r w:rsidR="00972E70" w:rsidRPr="00873B6C">
        <w:t>TS 24.501 [</w:t>
      </w:r>
      <w:r w:rsidRPr="00873B6C">
        <w:t>47].</w:t>
      </w:r>
    </w:p>
    <w:p w14:paraId="22E9FFDE" w14:textId="0609A565" w:rsidR="00CD64F1" w:rsidRPr="00873B6C" w:rsidRDefault="00CD64F1" w:rsidP="00733F50">
      <w:r w:rsidRPr="00873B6C">
        <w:t>The CAG information is only applicable with 5GS.</w:t>
      </w:r>
    </w:p>
    <w:p w14:paraId="76812D41" w14:textId="7408F38E" w:rsidR="00D40151" w:rsidRPr="00873B6C" w:rsidRDefault="00D40151" w:rsidP="00D40151">
      <w:pPr>
        <w:pStyle w:val="NO"/>
      </w:pPr>
      <w:r w:rsidRPr="00873B6C">
        <w:t>NOTE</w:t>
      </w:r>
      <w:r w:rsidR="007C1B83" w:rsidRPr="00873B6C">
        <w:t> 2</w:t>
      </w:r>
      <w:r w:rsidRPr="00873B6C">
        <w:t>:</w:t>
      </w:r>
      <w:r w:rsidRPr="00873B6C">
        <w:tab/>
        <w:t>CAG information has no implication on whether and how the UE accesses 5GS over non-3GPP access.</w:t>
      </w:r>
    </w:p>
    <w:p w14:paraId="54B214DE" w14:textId="358B05A7" w:rsidR="00D40151" w:rsidRPr="00873B6C" w:rsidRDefault="00D40151" w:rsidP="00D40151">
      <w:pPr>
        <w:pStyle w:val="Heading4"/>
      </w:pPr>
      <w:bookmarkStart w:id="4319" w:name="_CR5_30_3_4"/>
      <w:bookmarkStart w:id="4320" w:name="_Toc20150097"/>
      <w:bookmarkStart w:id="4321" w:name="_Toc27846896"/>
      <w:bookmarkStart w:id="4322" w:name="_Toc36188027"/>
      <w:bookmarkStart w:id="4323" w:name="_Toc45183932"/>
      <w:bookmarkStart w:id="4324" w:name="_Toc47342774"/>
      <w:bookmarkStart w:id="4325" w:name="_Toc51769476"/>
      <w:bookmarkStart w:id="4326" w:name="_Toc201157541"/>
      <w:bookmarkEnd w:id="4319"/>
      <w:r w:rsidRPr="00873B6C">
        <w:t>5.30.3.4</w:t>
      </w:r>
      <w:r w:rsidRPr="00873B6C">
        <w:tab/>
        <w:t>Network and cell (re-)selection</w:t>
      </w:r>
      <w:r w:rsidR="00472CD7" w:rsidRPr="00873B6C">
        <w:t xml:space="preserve"> and</w:t>
      </w:r>
      <w:r w:rsidRPr="00873B6C">
        <w:t xml:space="preserve"> access control</w:t>
      </w:r>
      <w:bookmarkEnd w:id="4320"/>
      <w:bookmarkEnd w:id="4321"/>
      <w:bookmarkEnd w:id="4322"/>
      <w:bookmarkEnd w:id="4323"/>
      <w:bookmarkEnd w:id="4324"/>
      <w:bookmarkEnd w:id="4325"/>
      <w:bookmarkEnd w:id="4326"/>
    </w:p>
    <w:p w14:paraId="4ED76509" w14:textId="69E91435" w:rsidR="00D40151" w:rsidRPr="00873B6C" w:rsidRDefault="00D40151" w:rsidP="00D40151">
      <w:r w:rsidRPr="00873B6C">
        <w:t>The following is assumed for network and cell selection</w:t>
      </w:r>
      <w:r w:rsidR="00472CD7" w:rsidRPr="00873B6C">
        <w:t xml:space="preserve"> and</w:t>
      </w:r>
      <w:r w:rsidRPr="00873B6C">
        <w:t xml:space="preserve"> access control:</w:t>
      </w:r>
    </w:p>
    <w:p w14:paraId="384BE2B0" w14:textId="02DF76AF" w:rsidR="00D40151" w:rsidRPr="00873B6C" w:rsidRDefault="00D40151" w:rsidP="00D40151">
      <w:pPr>
        <w:pStyle w:val="B1"/>
      </w:pPr>
      <w:r w:rsidRPr="00873B6C">
        <w:t>-</w:t>
      </w:r>
      <w:r w:rsidRPr="00873B6C">
        <w:tab/>
        <w:t xml:space="preserve">The CAG cell shall broadcast information such that only UEs supporting CAG are accessing the cell (see </w:t>
      </w:r>
      <w:r w:rsidR="00972E70" w:rsidRPr="00873B6C">
        <w:t>TS 38.300 [</w:t>
      </w:r>
      <w:r w:rsidRPr="00873B6C">
        <w:t xml:space="preserve">27], </w:t>
      </w:r>
      <w:r w:rsidR="00972E70" w:rsidRPr="00873B6C">
        <w:t>TS 38.304 [</w:t>
      </w:r>
      <w:r w:rsidRPr="00873B6C">
        <w:t>50]);</w:t>
      </w:r>
    </w:p>
    <w:p w14:paraId="52443A4D" w14:textId="77777777" w:rsidR="00D40151" w:rsidRPr="00873B6C" w:rsidRDefault="00D40151" w:rsidP="00D40151">
      <w:pPr>
        <w:pStyle w:val="NO"/>
      </w:pPr>
      <w:r w:rsidRPr="00873B6C">
        <w:t>NOTE 1:</w:t>
      </w:r>
      <w:r w:rsidRPr="00873B6C">
        <w:tab/>
        <w:t>The above also implies that cells are either CAG cells or normal PLMN cells. For network sharing scenario between SNPN, PNI-NPN and PLMNs, please see clause 5.18.</w:t>
      </w:r>
    </w:p>
    <w:p w14:paraId="1E7D76F0" w14:textId="1C0AC2DD" w:rsidR="00D40151" w:rsidRPr="00873B6C" w:rsidRDefault="00D40151" w:rsidP="00D40151">
      <w:pPr>
        <w:pStyle w:val="B1"/>
      </w:pPr>
      <w:r w:rsidRPr="00873B6C">
        <w:t>-</w:t>
      </w:r>
      <w:r w:rsidRPr="00873B6C">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972E70" w:rsidRPr="00873B6C">
        <w:t>TS 24.501 [</w:t>
      </w:r>
      <w:r w:rsidRPr="00873B6C">
        <w:t>47] can be used.</w:t>
      </w:r>
    </w:p>
    <w:p w14:paraId="4E489C4B" w14:textId="3FD0411A" w:rsidR="00D40151" w:rsidRPr="00873B6C" w:rsidRDefault="00D40151" w:rsidP="00D40151">
      <w:pPr>
        <w:pStyle w:val="B1"/>
      </w:pPr>
      <w:r w:rsidRPr="00873B6C">
        <w:t>-</w:t>
      </w:r>
      <w:r w:rsidRPr="00873B6C">
        <w:tab/>
        <w:t xml:space="preserve">For aspects of automatic and manual network selection in relation to CAG, see </w:t>
      </w:r>
      <w:r w:rsidR="00972E70" w:rsidRPr="00873B6C">
        <w:t>TS 23.122 [</w:t>
      </w:r>
      <w:r w:rsidRPr="00873B6C">
        <w:t>17];</w:t>
      </w:r>
    </w:p>
    <w:p w14:paraId="52A0D18C" w14:textId="38AD9156" w:rsidR="00D40151" w:rsidRPr="00873B6C" w:rsidRDefault="00D40151" w:rsidP="00D40151">
      <w:pPr>
        <w:pStyle w:val="B1"/>
      </w:pPr>
      <w:r w:rsidRPr="00873B6C">
        <w:t>-</w:t>
      </w:r>
      <w:r w:rsidRPr="00873B6C">
        <w:tab/>
        <w:t xml:space="preserve">For aspects related to cell (re-)selection, see </w:t>
      </w:r>
      <w:r w:rsidR="00972E70" w:rsidRPr="00873B6C">
        <w:t>TS 38.304 [</w:t>
      </w:r>
      <w:r w:rsidRPr="00873B6C">
        <w:t>50];</w:t>
      </w:r>
    </w:p>
    <w:p w14:paraId="53A8E14B" w14:textId="6B451B74" w:rsidR="007C1B83" w:rsidRPr="00873B6C" w:rsidRDefault="007C1B83" w:rsidP="00D40151">
      <w:pPr>
        <w:pStyle w:val="B1"/>
      </w:pPr>
      <w:r w:rsidRPr="00873B6C">
        <w:t>-</w:t>
      </w:r>
      <w:r w:rsidRPr="00873B6C">
        <w:tab/>
        <w:t>If the UE is accessing a CAG cell and the corresponding entry of the Allowed CAG list configured on the UE is associated with</w:t>
      </w:r>
      <w:r w:rsidR="00494FD0" w:rsidRPr="00873B6C">
        <w:t xml:space="preserve"> time</w:t>
      </w:r>
      <w:r w:rsidRPr="00873B6C">
        <w:t xml:space="preserve"> validity information, the UE may trigger cell reselection and/or network selection procedure if the evaluation of the</w:t>
      </w:r>
      <w:r w:rsidR="00494FD0" w:rsidRPr="00873B6C">
        <w:t xml:space="preserve"> time</w:t>
      </w:r>
      <w:r w:rsidRPr="00873B6C">
        <w:t xml:space="preserve"> validity</w:t>
      </w:r>
      <w:r w:rsidR="00494FD0" w:rsidRPr="00873B6C">
        <w:t xml:space="preserve"> information</w:t>
      </w:r>
      <w:r w:rsidRPr="00873B6C">
        <w:t xml:space="preserve"> changes.</w:t>
      </w:r>
    </w:p>
    <w:p w14:paraId="7E93BBB3" w14:textId="13D4540B" w:rsidR="00D40151" w:rsidRPr="00873B6C" w:rsidRDefault="00D40151" w:rsidP="00D40151">
      <w:pPr>
        <w:pStyle w:val="B1"/>
      </w:pPr>
      <w:r w:rsidRPr="00873B6C">
        <w:t>-</w:t>
      </w:r>
      <w:r w:rsidRPr="00873B6C">
        <w:tab/>
        <w:t>The Mobility Restrictions shall be able to restrict the UE's mobility according to the Allowed CAG list (if configured in the subscription) and include an indication whether the UE is only allowed to access</w:t>
      </w:r>
      <w:r w:rsidR="00CD64F1" w:rsidRPr="00873B6C">
        <w:t xml:space="preserve"> 5GS via</w:t>
      </w:r>
      <w:r w:rsidRPr="00873B6C">
        <w:t xml:space="preserve"> CAG cells (if configured in the subscription)</w:t>
      </w:r>
      <w:r w:rsidR="00CD64F1" w:rsidRPr="00873B6C">
        <w:t xml:space="preserve"> as described in clause 5.30.3.3</w:t>
      </w:r>
      <w:r w:rsidRPr="00873B6C">
        <w:t>;</w:t>
      </w:r>
    </w:p>
    <w:p w14:paraId="1294BB5A" w14:textId="553B1971" w:rsidR="00022CB9" w:rsidRPr="00873B6C" w:rsidRDefault="00022CB9" w:rsidP="00D40151">
      <w:pPr>
        <w:pStyle w:val="B1"/>
      </w:pPr>
      <w:r w:rsidRPr="00873B6C">
        <w:t>-</w:t>
      </w:r>
      <w:r w:rsidRPr="00873B6C">
        <w:tab/>
        <w:t>The AMF shall update the Allowed CAG list in the Mobility Restrictions towards NG-RAN if the</w:t>
      </w:r>
      <w:r w:rsidR="007C1B83" w:rsidRPr="00873B6C">
        <w:t xml:space="preserve"> evaluation of the</w:t>
      </w:r>
      <w:r w:rsidR="00494FD0" w:rsidRPr="00873B6C">
        <w:t xml:space="preserve"> time</w:t>
      </w:r>
      <w:r w:rsidRPr="00873B6C">
        <w:t xml:space="preserve"> validity</w:t>
      </w:r>
      <w:r w:rsidR="00494FD0" w:rsidRPr="00873B6C">
        <w:t xml:space="preserve"> information</w:t>
      </w:r>
      <w:r w:rsidRPr="00873B6C">
        <w:t xml:space="preserve"> of an entry in the Allowed CAG list changes between</w:t>
      </w:r>
      <w:r w:rsidR="007C1B83" w:rsidRPr="00873B6C">
        <w:t xml:space="preserve"> true and false, unless the </w:t>
      </w:r>
      <w:r w:rsidR="007C1B83" w:rsidRPr="00873B6C">
        <w:lastRenderedPageBreak/>
        <w:t>AMF releases the NAS signalling connection to the UE based on operator's policy if the evaluation of the validity condition changes from true to false</w:t>
      </w:r>
      <w:r w:rsidRPr="00873B6C">
        <w:t>.</w:t>
      </w:r>
    </w:p>
    <w:p w14:paraId="0494CC0D" w14:textId="75790AF0" w:rsidR="00D40151" w:rsidRPr="00873B6C" w:rsidRDefault="00D40151" w:rsidP="00D40151">
      <w:pPr>
        <w:pStyle w:val="B1"/>
      </w:pPr>
      <w:r w:rsidRPr="00873B6C">
        <w:t>-</w:t>
      </w:r>
      <w:r w:rsidRPr="00873B6C">
        <w:tab/>
        <w:t>During transition from CM-IDLE to CM-CONNECTED</w:t>
      </w:r>
      <w:r w:rsidR="00E83620" w:rsidRPr="00873B6C">
        <w:t xml:space="preserve"> and during Registration after connected mode mobility from E-UTRAN to NG-RAN as described in clause 4.11.1.2.2 of </w:t>
      </w:r>
      <w:r w:rsidR="00972E70" w:rsidRPr="00873B6C">
        <w:t>TS 23.502 [</w:t>
      </w:r>
      <w:r w:rsidR="00E83620" w:rsidRPr="00873B6C">
        <w:t>3]</w:t>
      </w:r>
      <w:r w:rsidRPr="00873B6C">
        <w:t>:</w:t>
      </w:r>
    </w:p>
    <w:p w14:paraId="5B64B250" w14:textId="77777777" w:rsidR="00D40151" w:rsidRPr="00873B6C" w:rsidRDefault="00D40151" w:rsidP="00D40151">
      <w:pPr>
        <w:pStyle w:val="B2"/>
      </w:pPr>
      <w:r w:rsidRPr="00873B6C">
        <w:t>-</w:t>
      </w:r>
      <w:r w:rsidRPr="00873B6C">
        <w:tab/>
        <w:t>The AMF shall verify whether UE access is allowed by Mobility Restrictions:</w:t>
      </w:r>
    </w:p>
    <w:p w14:paraId="41198B9E" w14:textId="22275B43" w:rsidR="00D40151" w:rsidRPr="00873B6C" w:rsidRDefault="00D40151" w:rsidP="00D40151">
      <w:pPr>
        <w:pStyle w:val="NO"/>
      </w:pPr>
      <w:r w:rsidRPr="00873B6C">
        <w:t>NOTE</w:t>
      </w:r>
      <w:r w:rsidR="00494FD0" w:rsidRPr="00873B6C">
        <w:t> </w:t>
      </w:r>
      <w:r w:rsidRPr="00873B6C">
        <w:t>2:</w:t>
      </w:r>
      <w:r w:rsidRPr="00873B6C">
        <w:tab/>
        <w:t>It is assumed that the AMF is made aware of the supported CAG Identifier(s) of the CAG cell by the NG-RAN.</w:t>
      </w:r>
    </w:p>
    <w:p w14:paraId="0C0DFD1A" w14:textId="12C67832" w:rsidR="00D40151" w:rsidRPr="00873B6C" w:rsidRDefault="00D40151" w:rsidP="00D40151">
      <w:pPr>
        <w:pStyle w:val="B3"/>
      </w:pPr>
      <w:r w:rsidRPr="00873B6C">
        <w:t>-</w:t>
      </w:r>
      <w:r w:rsidRPr="00873B6C">
        <w:tab/>
        <w:t xml:space="preserve">If </w:t>
      </w:r>
      <w:r w:rsidR="00E83620" w:rsidRPr="00873B6C">
        <w:t xml:space="preserve">the UE is accessing the 5GS via a CAG cell and if </w:t>
      </w:r>
      <w:r w:rsidRPr="00873B6C">
        <w:t>at least one of the CAG Identifier(s) received from the NG-RAN is part of the UE's Allowed CAG list</w:t>
      </w:r>
      <w:r w:rsidR="007C1B83" w:rsidRPr="00873B6C">
        <w:t xml:space="preserve"> (for entries with</w:t>
      </w:r>
      <w:r w:rsidR="00494FD0" w:rsidRPr="00873B6C">
        <w:t xml:space="preserve"> time</w:t>
      </w:r>
      <w:r w:rsidR="007C1B83" w:rsidRPr="00873B6C">
        <w:t xml:space="preserve"> validity information if any, the evaluation of the condition is true)</w:t>
      </w:r>
      <w:r w:rsidRPr="00873B6C">
        <w:t>, then the AMF accepts the NAS request;</w:t>
      </w:r>
    </w:p>
    <w:p w14:paraId="0FB3739D" w14:textId="4320322E" w:rsidR="00D40151" w:rsidRPr="00873B6C" w:rsidRDefault="00D40151" w:rsidP="00D40151">
      <w:pPr>
        <w:pStyle w:val="B3"/>
      </w:pPr>
      <w:r w:rsidRPr="00873B6C">
        <w:t>-</w:t>
      </w:r>
      <w:r w:rsidRPr="00873B6C">
        <w:tab/>
        <w:t xml:space="preserve">If </w:t>
      </w:r>
      <w:r w:rsidR="00E83620" w:rsidRPr="00873B6C">
        <w:t xml:space="preserve">the UE is accessing the 5GS via a CAG cell and if </w:t>
      </w:r>
      <w:r w:rsidRPr="00873B6C">
        <w:t>none of the CAG Identifier(s) received from the NG-RAN are part of the UE's Allowed CAG list</w:t>
      </w:r>
      <w:r w:rsidR="007C1B83" w:rsidRPr="00873B6C">
        <w:t xml:space="preserve"> (for entries with</w:t>
      </w:r>
      <w:r w:rsidR="00494FD0" w:rsidRPr="00873B6C">
        <w:t xml:space="preserve"> time</w:t>
      </w:r>
      <w:r w:rsidR="007C1B83" w:rsidRPr="00873B6C">
        <w:t xml:space="preserve"> validity information if any, the evaluation of the condition is true)</w:t>
      </w:r>
      <w:r w:rsidRPr="00873B6C">
        <w: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873B6C" w:rsidRDefault="00D40151" w:rsidP="00D40151">
      <w:pPr>
        <w:pStyle w:val="B3"/>
      </w:pPr>
      <w:r w:rsidRPr="00873B6C">
        <w:t>-</w:t>
      </w:r>
      <w:r w:rsidRPr="00873B6C">
        <w:tab/>
        <w:t xml:space="preserve">If the UE is accessing the </w:t>
      </w:r>
      <w:r w:rsidR="00E83620" w:rsidRPr="00873B6C">
        <w:t xml:space="preserve">5GS </w:t>
      </w:r>
      <w:r w:rsidRPr="00873B6C">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ED1DA30" w:rsidR="00D40151" w:rsidRPr="00873B6C" w:rsidRDefault="00D40151" w:rsidP="00D40151">
      <w:pPr>
        <w:pStyle w:val="B1"/>
      </w:pPr>
      <w:r w:rsidRPr="00873B6C">
        <w:t>-</w:t>
      </w:r>
      <w:r w:rsidRPr="00873B6C">
        <w:tab/>
        <w:t xml:space="preserve">During transition from </w:t>
      </w:r>
      <w:r w:rsidR="00511811" w:rsidRPr="00873B6C">
        <w:t xml:space="preserve">RRC_INACTIVE </w:t>
      </w:r>
      <w:r w:rsidRPr="00873B6C">
        <w:t xml:space="preserve">to </w:t>
      </w:r>
      <w:r w:rsidR="00511811" w:rsidRPr="00873B6C">
        <w:t xml:space="preserve">RRC_CONNECTED </w:t>
      </w:r>
      <w:r w:rsidRPr="00873B6C">
        <w:t>state:</w:t>
      </w:r>
    </w:p>
    <w:p w14:paraId="11C34EA2" w14:textId="14556056" w:rsidR="00D40151" w:rsidRPr="00873B6C" w:rsidRDefault="00D40151" w:rsidP="00D40151">
      <w:pPr>
        <w:pStyle w:val="B2"/>
      </w:pPr>
      <w:r w:rsidRPr="00873B6C">
        <w:t>-</w:t>
      </w:r>
      <w:r w:rsidRPr="00873B6C">
        <w:tab/>
        <w:t xml:space="preserve">When the UE initiates the RRC Resume procedure for </w:t>
      </w:r>
      <w:r w:rsidR="00511811" w:rsidRPr="00873B6C">
        <w:t xml:space="preserve">RRC_INACTIVE </w:t>
      </w:r>
      <w:r w:rsidRPr="00873B6C">
        <w:t xml:space="preserve">to </w:t>
      </w:r>
      <w:r w:rsidR="00511811" w:rsidRPr="00873B6C">
        <w:t xml:space="preserve">RRC_CONNECTED </w:t>
      </w:r>
      <w:r w:rsidRPr="00873B6C">
        <w:t>state transition in a CAG cell, NG-RAN shall reject the RRC Resume request from the UE if none of the CAG Identifiers supported by the CAG cell are part of the UE's Allowed CAG list according to the Mobility Restrictions received from the AMF</w:t>
      </w:r>
      <w:r w:rsidR="006E7E83" w:rsidRPr="00873B6C">
        <w:t xml:space="preserve"> or if no Allowed CAG list has been received from the AMF</w:t>
      </w:r>
      <w:r w:rsidRPr="00873B6C">
        <w:t>.</w:t>
      </w:r>
    </w:p>
    <w:p w14:paraId="0CAC64B6" w14:textId="5E63E53B" w:rsidR="00D40151" w:rsidRPr="00873B6C" w:rsidRDefault="00D40151" w:rsidP="00D40151">
      <w:pPr>
        <w:pStyle w:val="B2"/>
      </w:pPr>
      <w:r w:rsidRPr="00873B6C">
        <w:t>-</w:t>
      </w:r>
      <w:r w:rsidRPr="00873B6C">
        <w:tab/>
        <w:t xml:space="preserve">When the UE initiates the RRC Resume procedure for </w:t>
      </w:r>
      <w:r w:rsidR="00511811" w:rsidRPr="00873B6C">
        <w:t xml:space="preserve">RRC_INACTIVE </w:t>
      </w:r>
      <w:r w:rsidRPr="00873B6C">
        <w:t xml:space="preserve">to </w:t>
      </w:r>
      <w:r w:rsidR="00511811" w:rsidRPr="00873B6C">
        <w:t xml:space="preserve">RRC_CONNECTED </w:t>
      </w:r>
      <w:r w:rsidRPr="00873B6C">
        <w:t>state transition in a non-CAG cell, NG-RAN shall reject the UE's Resume request if the UE is only allowed to access CAG cells according to the Mobility Restrictions received from the AMF.</w:t>
      </w:r>
    </w:p>
    <w:p w14:paraId="4CA05503" w14:textId="20E780B4" w:rsidR="00D40151" w:rsidRPr="00873B6C" w:rsidRDefault="00D40151" w:rsidP="00D40151">
      <w:pPr>
        <w:pStyle w:val="B1"/>
      </w:pPr>
      <w:r w:rsidRPr="00873B6C">
        <w:t>-</w:t>
      </w:r>
      <w:r w:rsidRPr="00873B6C">
        <w:tab/>
        <w:t>During connected mode mobility procedures</w:t>
      </w:r>
      <w:r w:rsidR="00E83620" w:rsidRPr="00873B6C">
        <w:t xml:space="preserve"> within NG-RAN, i.e</w:t>
      </w:r>
      <w:r w:rsidR="006514B8" w:rsidRPr="00873B6C">
        <w:t>.</w:t>
      </w:r>
      <w:r w:rsidR="00E83620" w:rsidRPr="00873B6C">
        <w:t xml:space="preserve"> handover procedures as described in clause 4.9.1 of </w:t>
      </w:r>
      <w:r w:rsidR="00972E70" w:rsidRPr="00873B6C">
        <w:t>TS 23.502 [</w:t>
      </w:r>
      <w:r w:rsidR="00E83620" w:rsidRPr="00873B6C">
        <w:t>3]</w:t>
      </w:r>
      <w:r w:rsidRPr="00873B6C">
        <w:t>:</w:t>
      </w:r>
    </w:p>
    <w:p w14:paraId="5A9DA464" w14:textId="45E5D1A4" w:rsidR="00D40151" w:rsidRPr="00873B6C" w:rsidRDefault="00D40151" w:rsidP="0073598F">
      <w:pPr>
        <w:pStyle w:val="B2"/>
      </w:pPr>
      <w:r w:rsidRPr="00873B6C">
        <w:t>-</w:t>
      </w:r>
      <w:r w:rsidRPr="00873B6C">
        <w:tab/>
        <w:t>Source NG-RAN shall not handover the UE to a target NG-RAN node if the target is a CAG cell and none of the CAG Identifiers supported by the CAG cell are part of the UE's Allowed CAG list</w:t>
      </w:r>
      <w:r w:rsidR="006E7E83" w:rsidRPr="00873B6C">
        <w:t xml:space="preserve"> in the Mobility Restriction List or if no Allowed CAG list has been received from the AMF</w:t>
      </w:r>
      <w:r w:rsidRPr="00873B6C">
        <w:t>;</w:t>
      </w:r>
    </w:p>
    <w:p w14:paraId="6CB883A4" w14:textId="34F58B8C" w:rsidR="00D40151" w:rsidRPr="00873B6C" w:rsidRDefault="00D40151" w:rsidP="0073598F">
      <w:pPr>
        <w:pStyle w:val="B2"/>
      </w:pPr>
      <w:r w:rsidRPr="00873B6C">
        <w:t>-</w:t>
      </w:r>
      <w:r w:rsidRPr="00873B6C">
        <w:tab/>
        <w:t>Source NG-RAN shall not handover the UE to a non-CAG cell if the UE is only allowed to access CAG cells</w:t>
      </w:r>
      <w:r w:rsidR="006E7E83" w:rsidRPr="00873B6C">
        <w:t xml:space="preserve"> based on the Mobility Restriction List</w:t>
      </w:r>
      <w:r w:rsidRPr="00873B6C">
        <w:t>;</w:t>
      </w:r>
    </w:p>
    <w:p w14:paraId="7D9F1952" w14:textId="06D4A0FA" w:rsidR="00D40151" w:rsidRPr="00873B6C" w:rsidRDefault="00D40151" w:rsidP="0073598F">
      <w:pPr>
        <w:pStyle w:val="B2"/>
      </w:pPr>
      <w:r w:rsidRPr="00873B6C">
        <w:t>-</w:t>
      </w:r>
      <w:r w:rsidRPr="00873B6C">
        <w:tab/>
        <w:t>If the target cell is a CAG cell, target NG-RAN shall reject the N2 based handover procedure if none of the CAG Identifiers supported by the CAG cell are part of the UE's Allowed CAG list in the Mobility Restriction List</w:t>
      </w:r>
      <w:r w:rsidR="006E7E83" w:rsidRPr="00873B6C">
        <w:t xml:space="preserve"> or if no Allowed CAG list has been received from the AMF</w:t>
      </w:r>
      <w:r w:rsidRPr="00873B6C">
        <w:t>;</w:t>
      </w:r>
    </w:p>
    <w:p w14:paraId="5B9B4A9C" w14:textId="77777777" w:rsidR="00D40151" w:rsidRPr="00873B6C" w:rsidRDefault="00D40151" w:rsidP="0073598F">
      <w:pPr>
        <w:pStyle w:val="B2"/>
      </w:pPr>
      <w:r w:rsidRPr="00873B6C">
        <w:t>-</w:t>
      </w:r>
      <w:r w:rsidRPr="00873B6C">
        <w:tab/>
        <w:t>If the target cell is a non-CAG cell, target NG-RAN shall reject the N2 based handover procedure if the UE is only allowed to access CAG cells based on the Mobility Restriction List.</w:t>
      </w:r>
    </w:p>
    <w:p w14:paraId="6F8A2B32" w14:textId="77777777" w:rsidR="00D40151" w:rsidRPr="00873B6C" w:rsidRDefault="00D40151" w:rsidP="00D40151">
      <w:pPr>
        <w:pStyle w:val="B1"/>
      </w:pPr>
      <w:r w:rsidRPr="00873B6C">
        <w:t>-</w:t>
      </w:r>
      <w:r w:rsidRPr="00873B6C">
        <w:tab/>
        <w:t>Update of Mobility Restrictions:</w:t>
      </w:r>
    </w:p>
    <w:p w14:paraId="22A805EA" w14:textId="77777777" w:rsidR="00D40151" w:rsidRPr="00873B6C" w:rsidRDefault="00D40151" w:rsidP="00D40151">
      <w:pPr>
        <w:pStyle w:val="B2"/>
      </w:pPr>
      <w:r w:rsidRPr="00873B6C">
        <w:t>-</w:t>
      </w:r>
      <w:r w:rsidRPr="00873B6C">
        <w:tab/>
        <w:t>When the AMF receives the Nudm_SDM_Notification from the UDM and the AMF determines that the Allowed CAG list or the indication whether the UE is only allowed to access CAG cells have changed;</w:t>
      </w:r>
    </w:p>
    <w:p w14:paraId="22F7B974" w14:textId="2085BFB7" w:rsidR="00D40151" w:rsidRPr="00873B6C" w:rsidRDefault="00D40151" w:rsidP="00D40151">
      <w:pPr>
        <w:pStyle w:val="B3"/>
      </w:pPr>
      <w:r w:rsidRPr="00873B6C">
        <w:t>-</w:t>
      </w:r>
      <w:r w:rsidRPr="00873B6C">
        <w:tab/>
        <w:t>The AMF shall update the Mobility Restrictions in the UE and NG-RAN accordingly under the conditions as described in</w:t>
      </w:r>
      <w:r w:rsidR="00131D56" w:rsidRPr="00873B6C">
        <w:t xml:space="preserve"> clause 4.2.4.2</w:t>
      </w:r>
      <w:r w:rsidRPr="00873B6C">
        <w:t xml:space="preserve"> </w:t>
      </w:r>
      <w:r w:rsidR="00131D56" w:rsidRPr="00873B6C">
        <w:t xml:space="preserve">of </w:t>
      </w:r>
      <w:r w:rsidR="00972E70" w:rsidRPr="00873B6C">
        <w:t>TS 23.502 [</w:t>
      </w:r>
      <w:r w:rsidRPr="00873B6C">
        <w:t>3].</w:t>
      </w:r>
    </w:p>
    <w:p w14:paraId="149249A5" w14:textId="45EB152A" w:rsidR="00D40151" w:rsidRPr="00873B6C" w:rsidRDefault="00D40151" w:rsidP="00D40151">
      <w:pPr>
        <w:pStyle w:val="NO"/>
      </w:pPr>
      <w:r w:rsidRPr="00873B6C">
        <w:t>NOTE 3:</w:t>
      </w:r>
      <w:r w:rsidRPr="00873B6C">
        <w:tab/>
        <w:t>When the UE is accessing the network for emergency service</w:t>
      </w:r>
      <w:r w:rsidR="0053150F" w:rsidRPr="00873B6C">
        <w:t>s</w:t>
      </w:r>
      <w:r w:rsidRPr="00873B6C">
        <w:t xml:space="preserve"> the conditions for AMF in clause 5.16.4.3 apply.</w:t>
      </w:r>
    </w:p>
    <w:p w14:paraId="4B2002C0" w14:textId="77777777" w:rsidR="00D40151" w:rsidRPr="00873B6C" w:rsidRDefault="00D40151" w:rsidP="00D40151">
      <w:pPr>
        <w:pStyle w:val="Heading4"/>
      </w:pPr>
      <w:bookmarkStart w:id="4327" w:name="_CR5_30_3_5"/>
      <w:bookmarkStart w:id="4328" w:name="_Toc20150098"/>
      <w:bookmarkStart w:id="4329" w:name="_Toc27846897"/>
      <w:bookmarkStart w:id="4330" w:name="_Toc36188028"/>
      <w:bookmarkStart w:id="4331" w:name="_Toc45183933"/>
      <w:bookmarkStart w:id="4332" w:name="_Toc47342775"/>
      <w:bookmarkStart w:id="4333" w:name="_Toc51769477"/>
      <w:bookmarkStart w:id="4334" w:name="_Toc201157542"/>
      <w:bookmarkEnd w:id="4327"/>
      <w:r w:rsidRPr="00873B6C">
        <w:lastRenderedPageBreak/>
        <w:t>5.30.3.5</w:t>
      </w:r>
      <w:r w:rsidRPr="00873B6C">
        <w:tab/>
        <w:t>Support of emergency services in CAG cells</w:t>
      </w:r>
      <w:bookmarkEnd w:id="4328"/>
      <w:bookmarkEnd w:id="4329"/>
      <w:bookmarkEnd w:id="4330"/>
      <w:bookmarkEnd w:id="4331"/>
      <w:bookmarkEnd w:id="4332"/>
      <w:bookmarkEnd w:id="4333"/>
      <w:bookmarkEnd w:id="4334"/>
    </w:p>
    <w:p w14:paraId="2616685A" w14:textId="3F241612" w:rsidR="00D40151" w:rsidRPr="00873B6C" w:rsidRDefault="00D40151" w:rsidP="00D40151">
      <w:pPr>
        <w:rPr>
          <w:lang w:eastAsia="x-none"/>
        </w:rPr>
      </w:pPr>
      <w:r w:rsidRPr="00873B6C">
        <w:rPr>
          <w:lang w:eastAsia="x-none"/>
        </w:rPr>
        <w:t>Emergency Services are supported in CAG cells, for UEs supporting CAG, whether normally registered or emergency registered as described in clause 5.16.4 and</w:t>
      </w:r>
      <w:r w:rsidR="00D602DF" w:rsidRPr="00873B6C">
        <w:rPr>
          <w:lang w:eastAsia="x-none"/>
        </w:rPr>
        <w:t xml:space="preserve"> in clause 4.13.4</w:t>
      </w:r>
      <w:r w:rsidRPr="00873B6C">
        <w:rPr>
          <w:lang w:eastAsia="x-none"/>
        </w:rPr>
        <w:t xml:space="preserve"> </w:t>
      </w:r>
      <w:r w:rsidR="00D602DF" w:rsidRPr="00873B6C">
        <w:t>of</w:t>
      </w:r>
      <w:r w:rsidR="00D602DF" w:rsidRPr="00873B6C">
        <w:rPr>
          <w:lang w:eastAsia="x-none"/>
        </w:rPr>
        <w:t xml:space="preserve"> </w:t>
      </w:r>
      <w:r w:rsidR="00972E70" w:rsidRPr="00873B6C">
        <w:rPr>
          <w:lang w:eastAsia="x-none"/>
        </w:rPr>
        <w:t>TS 23.502 [</w:t>
      </w:r>
      <w:r w:rsidRPr="00873B6C">
        <w:rPr>
          <w:lang w:eastAsia="x-none"/>
        </w:rPr>
        <w:t>3].</w:t>
      </w:r>
    </w:p>
    <w:p w14:paraId="44AE0E0D" w14:textId="2DFA582F" w:rsidR="00D40151" w:rsidRPr="00873B6C" w:rsidRDefault="00D40151" w:rsidP="00D40151">
      <w:pPr>
        <w:rPr>
          <w:lang w:eastAsia="x-none"/>
        </w:rPr>
      </w:pPr>
      <w:r w:rsidRPr="00873B6C">
        <w:rPr>
          <w:lang w:eastAsia="x-none"/>
        </w:rPr>
        <w:t xml:space="preserve">A UE may camp on an acceptable CAG cell in limited service state as specified in </w:t>
      </w:r>
      <w:r w:rsidR="00972E70" w:rsidRPr="00873B6C">
        <w:rPr>
          <w:lang w:eastAsia="x-none"/>
        </w:rPr>
        <w:t>TS 23.122 [</w:t>
      </w:r>
      <w:r w:rsidRPr="00873B6C">
        <w:rPr>
          <w:lang w:eastAsia="x-none"/>
        </w:rPr>
        <w:t xml:space="preserve">17] and </w:t>
      </w:r>
      <w:r w:rsidR="00972E70" w:rsidRPr="00873B6C">
        <w:rPr>
          <w:lang w:eastAsia="x-none"/>
        </w:rPr>
        <w:t>TS 38.304 [</w:t>
      </w:r>
      <w:r w:rsidRPr="00873B6C">
        <w:rPr>
          <w:lang w:eastAsia="x-none"/>
        </w:rPr>
        <w:t xml:space="preserve">50], based on operator policy defined in </w:t>
      </w:r>
      <w:r w:rsidR="00972E70" w:rsidRPr="00873B6C">
        <w:rPr>
          <w:lang w:eastAsia="x-none"/>
        </w:rPr>
        <w:t>TS 38.300 [</w:t>
      </w:r>
      <w:r w:rsidRPr="00873B6C">
        <w:rPr>
          <w:lang w:eastAsia="x-none"/>
        </w:rPr>
        <w:t>27].</w:t>
      </w:r>
    </w:p>
    <w:p w14:paraId="7FC9AB7E" w14:textId="77777777" w:rsidR="00D40151" w:rsidRPr="00873B6C" w:rsidRDefault="00D40151" w:rsidP="00D40151">
      <w:pPr>
        <w:pStyle w:val="NO"/>
      </w:pPr>
      <w:r w:rsidRPr="00873B6C">
        <w:t>NOTE:</w:t>
      </w:r>
      <w:r w:rsidRPr="00873B6C">
        <w:tab/>
        <w:t>Support for Emergency services requires each cell with a Cell Identity associated with PLMNs or PNI-NPNs to only be connected to AMFs that supports emergency services.</w:t>
      </w:r>
    </w:p>
    <w:p w14:paraId="76C4EFAA" w14:textId="22F19DBD" w:rsidR="00D40151" w:rsidRPr="00873B6C" w:rsidRDefault="00D40151" w:rsidP="00D40151">
      <w:pPr>
        <w:rPr>
          <w:lang w:eastAsia="x-none"/>
        </w:rPr>
      </w:pPr>
      <w:r w:rsidRPr="00873B6C">
        <w:rPr>
          <w:lang w:eastAsia="x-none"/>
        </w:rPr>
        <w:t xml:space="preserve">The UE shall select a PLMN (of a CAG cell or non-CAG cell), as described in </w:t>
      </w:r>
      <w:r w:rsidR="00972E70" w:rsidRPr="00873B6C">
        <w:rPr>
          <w:lang w:eastAsia="x-none"/>
        </w:rPr>
        <w:t>TS 23.122 [</w:t>
      </w:r>
      <w:r w:rsidRPr="00873B6C">
        <w:rPr>
          <w:lang w:eastAsia="x-none"/>
        </w:rPr>
        <w:t xml:space="preserve">17] and </w:t>
      </w:r>
      <w:r w:rsidR="00972E70" w:rsidRPr="00873B6C">
        <w:rPr>
          <w:lang w:eastAsia="x-none"/>
        </w:rPr>
        <w:t>TS 23.167 [</w:t>
      </w:r>
      <w:r w:rsidRPr="00873B6C">
        <w:rPr>
          <w:lang w:eastAsia="x-none"/>
        </w:rPr>
        <w:t>18], when initiating emergency services from limited service state.</w:t>
      </w:r>
    </w:p>
    <w:p w14:paraId="7C2B465D" w14:textId="2F937311" w:rsidR="00D40151" w:rsidRPr="00873B6C" w:rsidRDefault="00D40151" w:rsidP="00D40151">
      <w:pPr>
        <w:rPr>
          <w:lang w:eastAsia="x-none"/>
        </w:rPr>
      </w:pPr>
      <w:r w:rsidRPr="00873B6C">
        <w:rPr>
          <w:lang w:eastAsia="x-none"/>
        </w:rPr>
        <w:t>During handover to a CAG cell, if the UE is not authorized to access the target CAG cell</w:t>
      </w:r>
      <w:r w:rsidR="006E7E83" w:rsidRPr="00873B6C">
        <w:rPr>
          <w:lang w:eastAsia="x-none"/>
        </w:rPr>
        <w:t xml:space="preserve"> as described in clause 5.30.3.4</w:t>
      </w:r>
      <w:r w:rsidRPr="00873B6C">
        <w:rPr>
          <w:lang w:eastAsia="x-none"/>
        </w:rPr>
        <w:t xml:space="preserve"> and has emergency services, the target NG-RAN node only accepts the emergency PDU </w:t>
      </w:r>
      <w:r w:rsidR="0053150F" w:rsidRPr="00873B6C">
        <w:rPr>
          <w:lang w:eastAsia="x-none"/>
        </w:rPr>
        <w:t>S</w:t>
      </w:r>
      <w:r w:rsidRPr="00873B6C">
        <w:rPr>
          <w:lang w:eastAsia="x-none"/>
        </w:rPr>
        <w:t xml:space="preserve">ession and the target AMF releases the non-emergency PDU </w:t>
      </w:r>
      <w:r w:rsidR="0053150F" w:rsidRPr="00873B6C">
        <w:rPr>
          <w:lang w:eastAsia="x-none"/>
        </w:rPr>
        <w:t xml:space="preserve">Sessions </w:t>
      </w:r>
      <w:r w:rsidRPr="00873B6C">
        <w:rPr>
          <w:lang w:eastAsia="x-none"/>
        </w:rPr>
        <w:t>that were not accepted by the NG-RAN node. Upon completion of handover the UE behave as emergency registered.</w:t>
      </w:r>
    </w:p>
    <w:p w14:paraId="2337567F" w14:textId="77777777" w:rsidR="00D40151" w:rsidRPr="00873B6C" w:rsidRDefault="00D40151" w:rsidP="00D40151">
      <w:pPr>
        <w:pStyle w:val="Heading2"/>
      </w:pPr>
      <w:bookmarkStart w:id="4335" w:name="_CR5_31"/>
      <w:bookmarkStart w:id="4336" w:name="_Toc20150099"/>
      <w:bookmarkStart w:id="4337" w:name="_Toc27846898"/>
      <w:bookmarkStart w:id="4338" w:name="_Toc36188029"/>
      <w:bookmarkStart w:id="4339" w:name="_Toc45183934"/>
      <w:bookmarkStart w:id="4340" w:name="_Toc47342776"/>
      <w:bookmarkStart w:id="4341" w:name="_Toc51769478"/>
      <w:bookmarkStart w:id="4342" w:name="_Toc201157543"/>
      <w:bookmarkEnd w:id="4335"/>
      <w:r w:rsidRPr="00873B6C">
        <w:t>5.31</w:t>
      </w:r>
      <w:r w:rsidRPr="00873B6C">
        <w:tab/>
        <w:t>Support for Cellular IoT</w:t>
      </w:r>
      <w:bookmarkEnd w:id="4336"/>
      <w:bookmarkEnd w:id="4337"/>
      <w:bookmarkEnd w:id="4338"/>
      <w:bookmarkEnd w:id="4339"/>
      <w:bookmarkEnd w:id="4340"/>
      <w:bookmarkEnd w:id="4341"/>
      <w:bookmarkEnd w:id="4342"/>
    </w:p>
    <w:p w14:paraId="1CFE1198" w14:textId="77777777" w:rsidR="00D40151" w:rsidRPr="00873B6C" w:rsidRDefault="00D40151" w:rsidP="00D40151">
      <w:pPr>
        <w:pStyle w:val="Heading3"/>
      </w:pPr>
      <w:bookmarkStart w:id="4343" w:name="_CR5_31_1"/>
      <w:bookmarkStart w:id="4344" w:name="_Toc20150100"/>
      <w:bookmarkStart w:id="4345" w:name="_Toc27846899"/>
      <w:bookmarkStart w:id="4346" w:name="_Toc36188030"/>
      <w:bookmarkStart w:id="4347" w:name="_Toc45183935"/>
      <w:bookmarkStart w:id="4348" w:name="_Toc47342777"/>
      <w:bookmarkStart w:id="4349" w:name="_Toc51769479"/>
      <w:bookmarkStart w:id="4350" w:name="_Toc201157544"/>
      <w:bookmarkEnd w:id="4343"/>
      <w:r w:rsidRPr="00873B6C">
        <w:t>5.31.1</w:t>
      </w:r>
      <w:r w:rsidRPr="00873B6C">
        <w:tab/>
        <w:t>General</w:t>
      </w:r>
      <w:bookmarkEnd w:id="4344"/>
      <w:bookmarkEnd w:id="4345"/>
      <w:bookmarkEnd w:id="4346"/>
      <w:bookmarkEnd w:id="4347"/>
      <w:bookmarkEnd w:id="4348"/>
      <w:bookmarkEnd w:id="4349"/>
      <w:bookmarkEnd w:id="4350"/>
    </w:p>
    <w:p w14:paraId="59F5A452" w14:textId="24AAA777" w:rsidR="00D40151" w:rsidRPr="00873B6C" w:rsidRDefault="00D40151" w:rsidP="00D40151">
      <w:r w:rsidRPr="00873B6C">
        <w:t xml:space="preserve">This clause provides an overview about 5GS optimisations and functionality for support of Cellular Internet-of-Things (Cellular IoT, or CIoT) according to service requirements described in </w:t>
      </w:r>
      <w:r w:rsidR="00972E70" w:rsidRPr="00873B6C">
        <w:t>TS 22.261 [</w:t>
      </w:r>
      <w:r w:rsidRPr="00873B6C">
        <w:t>2]. Cellular IoT is in earlier 3GPP releases also referred to as Machine Type Communication (MTC) (see</w:t>
      </w:r>
      <w:r w:rsidR="00D602DF" w:rsidRPr="00873B6C">
        <w:t xml:space="preserve"> clause 4.3.17</w:t>
      </w:r>
      <w:r w:rsidRPr="00873B6C">
        <w:t xml:space="preserve"> </w:t>
      </w:r>
      <w:r w:rsidR="00D602DF" w:rsidRPr="00873B6C">
        <w:t xml:space="preserve">of </w:t>
      </w:r>
      <w:r w:rsidR="00972E70" w:rsidRPr="00873B6C">
        <w:t>TS 23.401 [</w:t>
      </w:r>
      <w:r w:rsidRPr="00873B6C">
        <w:t xml:space="preserve">26]). The specific functionality is described in the affected procedures and features of this specification, in </w:t>
      </w:r>
      <w:r w:rsidR="00972E70" w:rsidRPr="00873B6C">
        <w:t>TS 23.502 [</w:t>
      </w:r>
      <w:r w:rsidRPr="00873B6C">
        <w:t xml:space="preserve">3], </w:t>
      </w:r>
      <w:r w:rsidR="00972E70" w:rsidRPr="00873B6C">
        <w:t>TS 23.503 [</w:t>
      </w:r>
      <w:r w:rsidRPr="00873B6C">
        <w:t>45] and other specifications.</w:t>
      </w:r>
    </w:p>
    <w:p w14:paraId="3FADCF28" w14:textId="77777777" w:rsidR="00D40151" w:rsidRPr="00873B6C" w:rsidRDefault="00D40151" w:rsidP="00D40151">
      <w:r w:rsidRPr="00873B6C">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873B6C" w:rsidRDefault="00D40151" w:rsidP="00D40151">
      <w:r w:rsidRPr="00873B6C">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873B6C" w:rsidRDefault="00D40151" w:rsidP="00D40151">
      <w:r w:rsidRPr="00873B6C">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6CC5021C" w:rsidR="00D40151" w:rsidRPr="00873B6C" w:rsidRDefault="00D40151" w:rsidP="00D40151">
      <w:r w:rsidRPr="00873B6C">
        <w:t xml:space="preserve">Though motivated by scenarios and use cases defined in </w:t>
      </w:r>
      <w:r w:rsidR="00972E70" w:rsidRPr="00873B6C">
        <w:t>TS 22.261 [</w:t>
      </w:r>
      <w:r w:rsidRPr="00873B6C">
        <w:t>2], the functions added to support CIoT have general applicability and are in no way constrained to any specific scenario, use case or UE types, except where explicitly stated.</w:t>
      </w:r>
    </w:p>
    <w:p w14:paraId="7FF12A26" w14:textId="582FE97C" w:rsidR="00D40151" w:rsidRPr="00873B6C" w:rsidRDefault="00D40151" w:rsidP="00D40151">
      <w:r w:rsidRPr="00873B6C">
        <w:t xml:space="preserve">In the context of CIoT the term AF denotes an SCS/AS as defined </w:t>
      </w:r>
      <w:r w:rsidR="00972E70" w:rsidRPr="00873B6C">
        <w:t>TS 23.682 [</w:t>
      </w:r>
      <w:r w:rsidRPr="00873B6C">
        <w:t>36].</w:t>
      </w:r>
    </w:p>
    <w:p w14:paraId="61EB016B" w14:textId="77777777" w:rsidR="00D40151" w:rsidRPr="00873B6C" w:rsidRDefault="00D40151" w:rsidP="00D40151">
      <w:pPr>
        <w:pStyle w:val="Heading3"/>
      </w:pPr>
      <w:bookmarkStart w:id="4351" w:name="_CR5_31_2"/>
      <w:bookmarkStart w:id="4352" w:name="_Toc20150101"/>
      <w:bookmarkStart w:id="4353" w:name="_Toc27846900"/>
      <w:bookmarkStart w:id="4354" w:name="_Toc36188031"/>
      <w:bookmarkStart w:id="4355" w:name="_Toc45183936"/>
      <w:bookmarkStart w:id="4356" w:name="_Toc47342778"/>
      <w:bookmarkStart w:id="4357" w:name="_Toc51769480"/>
      <w:bookmarkStart w:id="4358" w:name="_Toc201157545"/>
      <w:bookmarkEnd w:id="4351"/>
      <w:r w:rsidRPr="00873B6C">
        <w:t>5.31.2</w:t>
      </w:r>
      <w:r w:rsidRPr="00873B6C">
        <w:tab/>
        <w:t>Preferred and Supported Network Behaviour</w:t>
      </w:r>
      <w:bookmarkEnd w:id="4352"/>
      <w:bookmarkEnd w:id="4353"/>
      <w:bookmarkEnd w:id="4354"/>
      <w:bookmarkEnd w:id="4355"/>
      <w:bookmarkEnd w:id="4356"/>
      <w:bookmarkEnd w:id="4357"/>
      <w:bookmarkEnd w:id="4358"/>
    </w:p>
    <w:p w14:paraId="0FA24B67" w14:textId="77777777" w:rsidR="00D40151" w:rsidRPr="00873B6C" w:rsidRDefault="00D40151" w:rsidP="00D40151">
      <w:r w:rsidRPr="00873B6C">
        <w:t>At registration, a UE includes its 5G Preferred Network Behaviour indicating the network behaviour the UE can support and what it would prefer to use.</w:t>
      </w:r>
    </w:p>
    <w:p w14:paraId="6033669D" w14:textId="77777777" w:rsidR="00D40151" w:rsidRPr="00873B6C" w:rsidRDefault="00D40151" w:rsidP="00D40151">
      <w:pPr>
        <w:pStyle w:val="NO"/>
      </w:pPr>
      <w:r w:rsidRPr="00873B6C">
        <w:t>NOTE:</w:t>
      </w:r>
      <w:r w:rsidRPr="00873B6C">
        <w:tab/>
        <w:t>If the UE supports S1-mode then the UE will indicate the supported EPS Network Behaviour Information in the S1 UE network capability IE.</w:t>
      </w:r>
    </w:p>
    <w:p w14:paraId="2EF477B8" w14:textId="77777777" w:rsidR="00D40151" w:rsidRPr="00873B6C" w:rsidRDefault="00D40151" w:rsidP="00D40151">
      <w:r w:rsidRPr="00873B6C">
        <w:t>The 5G Preferred Network Behaviour signalled by the UE includes the following information in the 5GMM Capability IE:</w:t>
      </w:r>
    </w:p>
    <w:p w14:paraId="73A189C9" w14:textId="77777777" w:rsidR="00D40151" w:rsidRPr="00873B6C" w:rsidRDefault="00D40151" w:rsidP="00D40151">
      <w:pPr>
        <w:pStyle w:val="B1"/>
      </w:pPr>
      <w:r w:rsidRPr="00873B6C">
        <w:t>-</w:t>
      </w:r>
      <w:r w:rsidRPr="00873B6C">
        <w:tab/>
        <w:t>Whether Control Plane CIoT 5GS Optimisation is supported.</w:t>
      </w:r>
    </w:p>
    <w:p w14:paraId="172FC9DA" w14:textId="77777777" w:rsidR="00D40151" w:rsidRPr="00873B6C" w:rsidRDefault="00D40151" w:rsidP="00D40151">
      <w:pPr>
        <w:pStyle w:val="B1"/>
      </w:pPr>
      <w:r w:rsidRPr="00873B6C">
        <w:t>-</w:t>
      </w:r>
      <w:r w:rsidRPr="00873B6C">
        <w:tab/>
        <w:t>Whether User Plane CIoT 5GS Optimisation is supported.</w:t>
      </w:r>
    </w:p>
    <w:p w14:paraId="1F5F5DFB" w14:textId="77777777" w:rsidR="00D40151" w:rsidRPr="00873B6C" w:rsidRDefault="00D40151" w:rsidP="00D40151">
      <w:pPr>
        <w:pStyle w:val="B1"/>
      </w:pPr>
      <w:r w:rsidRPr="00873B6C">
        <w:t>-</w:t>
      </w:r>
      <w:r w:rsidRPr="00873B6C">
        <w:tab/>
        <w:t>Whether N3 data transfer is supported.</w:t>
      </w:r>
    </w:p>
    <w:p w14:paraId="28A518FD" w14:textId="77777777" w:rsidR="00D40151" w:rsidRPr="00873B6C" w:rsidRDefault="00D40151" w:rsidP="00D40151">
      <w:pPr>
        <w:pStyle w:val="B1"/>
      </w:pPr>
      <w:r w:rsidRPr="00873B6C">
        <w:lastRenderedPageBreak/>
        <w:t>-</w:t>
      </w:r>
      <w:r w:rsidRPr="00873B6C">
        <w:tab/>
        <w:t>Whether header compression for Control Plane CIoT 5GS Optimisation is supported.</w:t>
      </w:r>
    </w:p>
    <w:p w14:paraId="60BC5B3B" w14:textId="77777777" w:rsidR="00D40151" w:rsidRPr="00873B6C" w:rsidRDefault="00D40151" w:rsidP="00D40151">
      <w:r w:rsidRPr="00873B6C">
        <w:t>And the following 5G Preferred Network Behaviour in other IEs:</w:t>
      </w:r>
    </w:p>
    <w:p w14:paraId="3504BE8D" w14:textId="77777777" w:rsidR="00D40151" w:rsidRPr="00873B6C" w:rsidRDefault="00D40151" w:rsidP="00D40151">
      <w:pPr>
        <w:pStyle w:val="B1"/>
      </w:pPr>
      <w:r w:rsidRPr="00873B6C">
        <w:t>-</w:t>
      </w:r>
      <w:r w:rsidRPr="00873B6C">
        <w:tab/>
        <w:t>Whether Control Plane CIoT 5GS Optimisation or User Plane CIoT 5GS Optimisation is preferred.</w:t>
      </w:r>
    </w:p>
    <w:p w14:paraId="120EF214" w14:textId="77777777" w:rsidR="00D40151" w:rsidRPr="00873B6C" w:rsidRDefault="00D40151" w:rsidP="00D40151">
      <w:r w:rsidRPr="00873B6C">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873B6C" w:rsidRDefault="00D40151" w:rsidP="00D40151">
      <w:r w:rsidRPr="00873B6C">
        <w:t>The AMF indicates the network behaviour the network accepts in the 5G Supported Network Behaviour information. This indication is per Registered Area. The AMF may indicate one or more of the following:</w:t>
      </w:r>
    </w:p>
    <w:p w14:paraId="0B52784F" w14:textId="77777777" w:rsidR="00D40151" w:rsidRPr="00873B6C" w:rsidRDefault="00D40151" w:rsidP="00D40151">
      <w:pPr>
        <w:pStyle w:val="B1"/>
      </w:pPr>
      <w:r w:rsidRPr="00873B6C">
        <w:t>-</w:t>
      </w:r>
      <w:r w:rsidRPr="00873B6C">
        <w:tab/>
        <w:t>Whether Control Plane CIoT 5GS Optimisation is supported.</w:t>
      </w:r>
    </w:p>
    <w:p w14:paraId="75DE185B" w14:textId="77777777" w:rsidR="00D40151" w:rsidRPr="00873B6C" w:rsidRDefault="00D40151" w:rsidP="00D40151">
      <w:pPr>
        <w:pStyle w:val="B1"/>
      </w:pPr>
      <w:r w:rsidRPr="00873B6C">
        <w:t>-</w:t>
      </w:r>
      <w:r w:rsidRPr="00873B6C">
        <w:tab/>
        <w:t>Whether User Plane CIoT 5GS Optimisation is supported.</w:t>
      </w:r>
    </w:p>
    <w:p w14:paraId="64595AF6" w14:textId="77777777" w:rsidR="00D40151" w:rsidRPr="00873B6C" w:rsidRDefault="00D40151" w:rsidP="00D40151">
      <w:pPr>
        <w:pStyle w:val="B1"/>
      </w:pPr>
      <w:r w:rsidRPr="00873B6C">
        <w:t>-</w:t>
      </w:r>
      <w:r w:rsidRPr="00873B6C">
        <w:tab/>
        <w:t>Whether N3 data transfer is supported.</w:t>
      </w:r>
    </w:p>
    <w:p w14:paraId="53036B9A" w14:textId="77777777" w:rsidR="00D40151" w:rsidRPr="00873B6C" w:rsidRDefault="00D40151" w:rsidP="00D40151">
      <w:pPr>
        <w:pStyle w:val="B1"/>
      </w:pPr>
      <w:r w:rsidRPr="00873B6C">
        <w:t>-</w:t>
      </w:r>
      <w:r w:rsidRPr="00873B6C">
        <w:tab/>
        <w:t>Whether header compression for Control Plane CIoT 5GS Optimisation is supported.</w:t>
      </w:r>
    </w:p>
    <w:p w14:paraId="4543E3CA" w14:textId="77777777" w:rsidR="00D40151" w:rsidRPr="00873B6C" w:rsidRDefault="00D40151" w:rsidP="00D40151">
      <w:r w:rsidRPr="00873B6C">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873B6C" w:rsidRDefault="00D40151" w:rsidP="00D40151">
      <w:r w:rsidRPr="00873B6C">
        <w:t>For NB-IoT UEs that only support Control Plane CIoT 5GS Optimisation, the AMF shall include support for Control Plane CIoT 5GS Optimisation in the Registration Accept message.</w:t>
      </w:r>
    </w:p>
    <w:p w14:paraId="3BA8B820" w14:textId="77777777" w:rsidR="00D40151" w:rsidRPr="00873B6C" w:rsidRDefault="00D40151" w:rsidP="00D40151">
      <w:r w:rsidRPr="00873B6C">
        <w:t>A UE that supports the NB-IoT shall always indicate support for Control Plane CIoT 5GS Optimisation.</w:t>
      </w:r>
    </w:p>
    <w:p w14:paraId="52AC71C6" w14:textId="77777777" w:rsidR="00D40151" w:rsidRPr="00873B6C" w:rsidRDefault="00D40151" w:rsidP="00D40151">
      <w:r w:rsidRPr="00873B6C">
        <w:t>A UE that supports WB-E-UTRA shall always indicate support for N3 data transfer.</w:t>
      </w:r>
    </w:p>
    <w:p w14:paraId="3C95A414" w14:textId="77777777" w:rsidR="00D40151" w:rsidRPr="00873B6C" w:rsidRDefault="00D40151" w:rsidP="00D40151">
      <w:r w:rsidRPr="00873B6C">
        <w:t>The 5G Preferred Network Behaviour indication from the UE may be used to influence policy decisions that can cause rerouting of the Registration Request from an AMF to another AMF.</w:t>
      </w:r>
    </w:p>
    <w:p w14:paraId="53C4635D" w14:textId="77777777" w:rsidR="00D40151" w:rsidRPr="00873B6C" w:rsidRDefault="00D40151" w:rsidP="00D40151">
      <w:pPr>
        <w:pStyle w:val="Heading3"/>
      </w:pPr>
      <w:bookmarkStart w:id="4359" w:name="_CR5_31_3"/>
      <w:bookmarkStart w:id="4360" w:name="_Toc20150102"/>
      <w:bookmarkStart w:id="4361" w:name="_Toc27846901"/>
      <w:bookmarkStart w:id="4362" w:name="_Toc36188032"/>
      <w:bookmarkStart w:id="4363" w:name="_Toc45183937"/>
      <w:bookmarkStart w:id="4364" w:name="_Toc47342779"/>
      <w:bookmarkStart w:id="4365" w:name="_Toc51769481"/>
      <w:bookmarkStart w:id="4366" w:name="_Toc201157546"/>
      <w:bookmarkEnd w:id="4359"/>
      <w:r w:rsidRPr="00873B6C">
        <w:t>5.31.3</w:t>
      </w:r>
      <w:r w:rsidRPr="00873B6C">
        <w:tab/>
        <w:t>Selection, steering and redirection between EPS and 5GS</w:t>
      </w:r>
      <w:bookmarkEnd w:id="4360"/>
      <w:bookmarkEnd w:id="4361"/>
      <w:bookmarkEnd w:id="4362"/>
      <w:bookmarkEnd w:id="4363"/>
      <w:bookmarkEnd w:id="4364"/>
      <w:bookmarkEnd w:id="4365"/>
      <w:bookmarkEnd w:id="4366"/>
    </w:p>
    <w:p w14:paraId="3024C74B" w14:textId="3302D52C" w:rsidR="00D40151" w:rsidRPr="00873B6C" w:rsidRDefault="00D40151" w:rsidP="00D40151">
      <w:r w:rsidRPr="00873B6C">
        <w:t>The UE selects the core network type (EPC or 5GC) based on the broadcast indications for both EPC and 5GC</w:t>
      </w:r>
      <w:r w:rsidR="00472CD7" w:rsidRPr="00873B6C">
        <w:t xml:space="preserve"> and</w:t>
      </w:r>
      <w:r w:rsidRPr="00873B6C">
        <w:t xml:space="preserve"> the UE's EPC and 5GC Preferred Network Behaviour. Networks that support NB-IoT shall broadcast an indication whether N3 data transfer is supported or not in system information.</w:t>
      </w:r>
    </w:p>
    <w:p w14:paraId="0DFE604A" w14:textId="77777777" w:rsidR="00D40151" w:rsidRPr="00873B6C" w:rsidRDefault="00D40151" w:rsidP="00D40151">
      <w:r w:rsidRPr="00873B6C">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873B6C" w:rsidRDefault="00D40151" w:rsidP="00D40151">
      <w:r w:rsidRPr="00873B6C">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873B6C" w:rsidRDefault="00D40151" w:rsidP="00D40151">
      <w:r w:rsidRPr="00873B6C">
        <w:t>In networks that support CIoT features in both EPC and 5GC, the operator may steer UEs from a specific CN type due to operator policy, e.</w:t>
      </w:r>
      <w:r w:rsidR="000E35F2" w:rsidRPr="00873B6C">
        <w:t>g.</w:t>
      </w:r>
      <w:r w:rsidRPr="00873B6C">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873B6C" w:rsidRDefault="00D40151" w:rsidP="00D40151">
      <w:r w:rsidRPr="00873B6C">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873B6C" w:rsidRDefault="00D40151" w:rsidP="00D40151">
      <w:r w:rsidRPr="00873B6C">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6112B621" w:rsidR="00D40151" w:rsidRPr="00873B6C" w:rsidRDefault="00D40151" w:rsidP="00D40151">
      <w:r w:rsidRPr="00873B6C">
        <w:t>When determining whether to redirect the UE, the AMF/MME takes into account the UE support of S1/N1 mode, respectively</w:t>
      </w:r>
      <w:r w:rsidR="00472CD7" w:rsidRPr="00873B6C">
        <w:t xml:space="preserve"> and</w:t>
      </w:r>
      <w:r w:rsidRPr="00873B6C">
        <w:t xml:space="preserve"> the UE's Preferred Network Behaviour and the Supported Network Behaviour of the network the UE is being redirected towards.</w:t>
      </w:r>
    </w:p>
    <w:p w14:paraId="3024C8E4" w14:textId="08C08047" w:rsidR="00D40151" w:rsidRPr="00873B6C" w:rsidRDefault="00D40151" w:rsidP="00D40151">
      <w:r w:rsidRPr="00873B6C">
        <w:lastRenderedPageBreak/>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972E70" w:rsidRPr="00873B6C">
        <w:t>TS 24.501 [</w:t>
      </w:r>
      <w:r w:rsidRPr="00873B6C">
        <w:t>47].</w:t>
      </w:r>
    </w:p>
    <w:p w14:paraId="0E3BA46E" w14:textId="77777777" w:rsidR="00D40151" w:rsidRPr="00873B6C" w:rsidRDefault="00D40151" w:rsidP="00D40151">
      <w:r w:rsidRPr="00873B6C">
        <w:t>If after redirection the UE cannot find a cell supporting connectivity, the UE may re-enable the disabled N1/S1 mode and then perform Registration, Attach or TAU.</w:t>
      </w:r>
    </w:p>
    <w:p w14:paraId="211FBC05" w14:textId="77777777" w:rsidR="00D40151" w:rsidRPr="00873B6C" w:rsidRDefault="00D40151" w:rsidP="00D40151">
      <w:pPr>
        <w:pStyle w:val="Heading3"/>
      </w:pPr>
      <w:bookmarkStart w:id="4367" w:name="_CR5_31_4"/>
      <w:bookmarkStart w:id="4368" w:name="_Toc20150103"/>
      <w:bookmarkStart w:id="4369" w:name="_Toc27846902"/>
      <w:bookmarkStart w:id="4370" w:name="_Toc36188033"/>
      <w:bookmarkStart w:id="4371" w:name="_Toc45183938"/>
      <w:bookmarkStart w:id="4372" w:name="_Toc47342780"/>
      <w:bookmarkStart w:id="4373" w:name="_Toc51769482"/>
      <w:bookmarkStart w:id="4374" w:name="_Toc201157547"/>
      <w:bookmarkEnd w:id="4367"/>
      <w:r w:rsidRPr="00873B6C">
        <w:t>5.31.4</w:t>
      </w:r>
      <w:r w:rsidRPr="00873B6C">
        <w:tab/>
        <w:t>Control Plane CIoT 5GS Optimisation</w:t>
      </w:r>
      <w:bookmarkEnd w:id="4368"/>
      <w:bookmarkEnd w:id="4369"/>
      <w:bookmarkEnd w:id="4370"/>
      <w:bookmarkEnd w:id="4371"/>
      <w:bookmarkEnd w:id="4372"/>
      <w:bookmarkEnd w:id="4373"/>
      <w:bookmarkEnd w:id="4374"/>
    </w:p>
    <w:p w14:paraId="597CDE29" w14:textId="77777777" w:rsidR="00D40151" w:rsidRPr="00873B6C" w:rsidRDefault="00D40151" w:rsidP="001B7C50">
      <w:pPr>
        <w:pStyle w:val="Heading4"/>
      </w:pPr>
      <w:bookmarkStart w:id="4375" w:name="_CR5_31_4_1"/>
      <w:bookmarkStart w:id="4376" w:name="_Toc20150104"/>
      <w:bookmarkStart w:id="4377" w:name="_Toc27846903"/>
      <w:bookmarkStart w:id="4378" w:name="_Toc36188034"/>
      <w:bookmarkStart w:id="4379" w:name="_Toc45183939"/>
      <w:bookmarkStart w:id="4380" w:name="_Toc47342781"/>
      <w:bookmarkStart w:id="4381" w:name="_Toc51769483"/>
      <w:bookmarkStart w:id="4382" w:name="_Toc201157548"/>
      <w:bookmarkEnd w:id="4375"/>
      <w:r w:rsidRPr="00873B6C">
        <w:t>5.31.4.1</w:t>
      </w:r>
      <w:r w:rsidRPr="00873B6C">
        <w:tab/>
        <w:t>General</w:t>
      </w:r>
      <w:bookmarkEnd w:id="4376"/>
      <w:bookmarkEnd w:id="4377"/>
      <w:bookmarkEnd w:id="4378"/>
      <w:bookmarkEnd w:id="4379"/>
      <w:bookmarkEnd w:id="4380"/>
      <w:bookmarkEnd w:id="4381"/>
      <w:bookmarkEnd w:id="4382"/>
    </w:p>
    <w:p w14:paraId="2663BCA3" w14:textId="77777777" w:rsidR="00D40151" w:rsidRPr="00873B6C" w:rsidRDefault="00D40151" w:rsidP="00D40151">
      <w:r w:rsidRPr="00873B6C">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873B6C" w:rsidRDefault="00D40151" w:rsidP="00D40151">
      <w:pPr>
        <w:pStyle w:val="NO"/>
      </w:pPr>
      <w:r w:rsidRPr="00873B6C">
        <w:t>NOTE:</w:t>
      </w:r>
      <w:r w:rsidRPr="00873B6C">
        <w:tab/>
        <w:t>In the context of Control Plane CIoT 5GS Optimisation, established or activated user plane resources/connection refers to radio user plane resources/connection i.e Data Radio Bearer and N3 tunnel.</w:t>
      </w:r>
    </w:p>
    <w:p w14:paraId="08B1A39C" w14:textId="6711C570" w:rsidR="00D40151" w:rsidRPr="00873B6C" w:rsidRDefault="00D40151" w:rsidP="00D40151">
      <w:r w:rsidRPr="00873B6C">
        <w:t xml:space="preserve">UE and AMF negotiate support and use of Control Plane CIoT 5GS Optimisation as defined in clause 5.31.2. When the Control Plane CIoT 5GS Optimisation feature is used and the PDU </w:t>
      </w:r>
      <w:r w:rsidR="003A2901" w:rsidRPr="00873B6C">
        <w:t>S</w:t>
      </w:r>
      <w:r w:rsidRPr="00873B6C">
        <w:t xml:space="preserve">ession </w:t>
      </w:r>
      <w:r w:rsidR="003A2901" w:rsidRPr="00873B6C">
        <w:t>T</w:t>
      </w:r>
      <w:r w:rsidRPr="00873B6C">
        <w:t>ype is unstructured, the SMF selects either NEF or UPF based on information in the UE's subscription.</w:t>
      </w:r>
    </w:p>
    <w:p w14:paraId="21DE43F5" w14:textId="77777777" w:rsidR="00D40151" w:rsidRPr="00873B6C" w:rsidRDefault="00D40151" w:rsidP="00D40151">
      <w:r w:rsidRPr="00873B6C">
        <w:t>If UE and network have negotiated support and use of Control Plane CIoT 5GS Optimisation then the following paragraphs of this clause apply.</w:t>
      </w:r>
    </w:p>
    <w:p w14:paraId="66E1CEE4" w14:textId="77777777" w:rsidR="00D40151" w:rsidRPr="00873B6C" w:rsidRDefault="00D40151" w:rsidP="00D40151">
      <w:r w:rsidRPr="00873B6C">
        <w:t>During the PDU Session Establishment procedure the AMF indicates to the SMF that Control Plane CIoT 5GS Optimisation is available for data transmission.</w:t>
      </w:r>
    </w:p>
    <w:p w14:paraId="7FCAE634" w14:textId="5ACDD886" w:rsidR="00D40151" w:rsidRPr="00873B6C" w:rsidRDefault="00D40151" w:rsidP="00D40151">
      <w:r w:rsidRPr="00873B6C">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873B6C">
        <w:t>S</w:t>
      </w:r>
      <w:r w:rsidRPr="00873B6C">
        <w:t xml:space="preserve">ession shall only use the Control Plane CIoT 5GS Optimisation (i.e. that a user-plane connection shall never be established for the new PDU </w:t>
      </w:r>
      <w:r w:rsidR="003A2901" w:rsidRPr="00873B6C">
        <w:t>S</w:t>
      </w:r>
      <w:r w:rsidRPr="00873B6C">
        <w:t xml:space="preserve">ession). If a PDU </w:t>
      </w:r>
      <w:r w:rsidR="003A2901" w:rsidRPr="00873B6C">
        <w:t>S</w:t>
      </w:r>
      <w:r w:rsidRPr="00873B6C">
        <w:t xml:space="preserve">ession shall only use Control Plane CIoT 5GS Optimisation, the AMF provides a Control Plane Only Indicator to the SMF during the PDU </w:t>
      </w:r>
      <w:r w:rsidR="003A2901" w:rsidRPr="00873B6C">
        <w:t>S</w:t>
      </w:r>
      <w:r w:rsidRPr="00873B6C">
        <w:t xml:space="preserve">ession </w:t>
      </w:r>
      <w:r w:rsidR="003A2901" w:rsidRPr="00873B6C">
        <w:t>E</w:t>
      </w:r>
      <w:r w:rsidRPr="00873B6C">
        <w:t xml:space="preserve">stablishment. The SMF provides the Control Plane Only Indicator in the Session Management Request to the UE. A UE and SMF receiving the Control Plane Only Indicator for a PDU </w:t>
      </w:r>
      <w:r w:rsidR="003A2901" w:rsidRPr="00873B6C">
        <w:t>S</w:t>
      </w:r>
      <w:r w:rsidRPr="00873B6C">
        <w:t xml:space="preserve">ession shall always use the Control Plane CIoT 5GS Optimisation for this PDU </w:t>
      </w:r>
      <w:r w:rsidR="003A2901" w:rsidRPr="00873B6C">
        <w:t>S</w:t>
      </w:r>
      <w:r w:rsidRPr="00873B6C">
        <w:t>ession.</w:t>
      </w:r>
    </w:p>
    <w:p w14:paraId="25EE4FE1" w14:textId="4702FCA9" w:rsidR="00D40151" w:rsidRPr="00873B6C" w:rsidRDefault="00D40151" w:rsidP="00D40151">
      <w:r w:rsidRPr="00873B6C">
        <w:t xml:space="preserve">The following rules apply for the use of the Control Plane Only Indicator during PDU </w:t>
      </w:r>
      <w:r w:rsidR="003A2901" w:rsidRPr="00873B6C">
        <w:t>S</w:t>
      </w:r>
      <w:r w:rsidRPr="00873B6C">
        <w:t xml:space="preserve">ession </w:t>
      </w:r>
      <w:r w:rsidR="003A2901" w:rsidRPr="00873B6C">
        <w:t>E</w:t>
      </w:r>
      <w:r w:rsidRPr="00873B6C">
        <w:t>stablishment:</w:t>
      </w:r>
    </w:p>
    <w:p w14:paraId="427B2F4C" w14:textId="58A3A9A6" w:rsidR="00D40151" w:rsidRPr="00873B6C" w:rsidRDefault="00D40151" w:rsidP="00D40151">
      <w:pPr>
        <w:pStyle w:val="B1"/>
      </w:pPr>
      <w:r w:rsidRPr="00873B6C">
        <w:t>-</w:t>
      </w:r>
      <w:r w:rsidRPr="00873B6C">
        <w:tab/>
        <w:t xml:space="preserve">If N3 data transfer was not successfully negotiated, all PDU </w:t>
      </w:r>
      <w:r w:rsidR="003A2901" w:rsidRPr="00873B6C">
        <w:t>S</w:t>
      </w:r>
      <w:r w:rsidRPr="00873B6C">
        <w:t>essions shall include Control Plane Only Indicator.</w:t>
      </w:r>
    </w:p>
    <w:p w14:paraId="0AD2582B" w14:textId="77777777" w:rsidR="00D40151" w:rsidRPr="00873B6C" w:rsidRDefault="00D40151" w:rsidP="00D40151">
      <w:pPr>
        <w:pStyle w:val="B1"/>
      </w:pPr>
      <w:r w:rsidRPr="00873B6C">
        <w:t>-</w:t>
      </w:r>
      <w:r w:rsidRPr="00873B6C">
        <w:tab/>
        <w:t>If N3 data transfer was successfully negotiated then:</w:t>
      </w:r>
    </w:p>
    <w:p w14:paraId="428D3021" w14:textId="48898F99" w:rsidR="00D40151" w:rsidRPr="00873B6C" w:rsidRDefault="00D40151" w:rsidP="00D40151">
      <w:pPr>
        <w:pStyle w:val="B2"/>
      </w:pPr>
      <w:r w:rsidRPr="00873B6C">
        <w:t>-</w:t>
      </w:r>
      <w:r w:rsidRPr="00873B6C">
        <w:tab/>
        <w:t xml:space="preserve">For a new PDU </w:t>
      </w:r>
      <w:r w:rsidR="003A2901" w:rsidRPr="00873B6C">
        <w:t>S</w:t>
      </w:r>
      <w:r w:rsidRPr="00873B6C">
        <w:t xml:space="preserve">ession for a DNN/S-NSSAI for which the </w:t>
      </w:r>
      <w:r w:rsidR="003A2901" w:rsidRPr="00873B6C">
        <w:t>s</w:t>
      </w:r>
      <w:r w:rsidRPr="00873B6C">
        <w:t xml:space="preserve">ubscription data for SMF Selection includes an Invoke NEF indication (i.e. for a PDU </w:t>
      </w:r>
      <w:r w:rsidR="003A2901" w:rsidRPr="00873B6C">
        <w:t>S</w:t>
      </w:r>
      <w:r w:rsidRPr="00873B6C">
        <w:t>ession which will be anchored in NEF), the AMF shall always include the Control Plane Only Indicator.</w:t>
      </w:r>
    </w:p>
    <w:p w14:paraId="3D7C38E8" w14:textId="6D68FBBA" w:rsidR="00D40151" w:rsidRPr="00873B6C" w:rsidRDefault="00D40151" w:rsidP="00D40151">
      <w:pPr>
        <w:pStyle w:val="B2"/>
      </w:pPr>
      <w:r w:rsidRPr="00873B6C">
        <w:t>-</w:t>
      </w:r>
      <w:r w:rsidRPr="00873B6C">
        <w:tab/>
        <w:t xml:space="preserve">For a new PDU </w:t>
      </w:r>
      <w:r w:rsidR="003A2901" w:rsidRPr="00873B6C">
        <w:t>S</w:t>
      </w:r>
      <w:r w:rsidRPr="00873B6C">
        <w:t xml:space="preserve">ession for a DNN/S-NSSAI for which the </w:t>
      </w:r>
      <w:r w:rsidR="003A2901" w:rsidRPr="00873B6C">
        <w:t>s</w:t>
      </w:r>
      <w:r w:rsidRPr="00873B6C">
        <w:t xml:space="preserve">ubscription data for SMF Selection does not include an Invoke NEF indication (i.e. for a PDU </w:t>
      </w:r>
      <w:r w:rsidR="003A2901" w:rsidRPr="00873B6C">
        <w:t>S</w:t>
      </w:r>
      <w:r w:rsidRPr="00873B6C">
        <w:t xml:space="preserve">ession which will be anchored in UPF) and that supports interworking with EPS based on the subscription data defined in </w:t>
      </w:r>
      <w:r w:rsidR="00972E70" w:rsidRPr="00873B6C">
        <w:t>TS 23.502 [</w:t>
      </w:r>
      <w:r w:rsidRPr="00873B6C">
        <w:t>3]:</w:t>
      </w:r>
    </w:p>
    <w:p w14:paraId="619FEABB" w14:textId="77777777" w:rsidR="00D40151" w:rsidRPr="00873B6C" w:rsidRDefault="00D40151" w:rsidP="00D40151">
      <w:pPr>
        <w:pStyle w:val="B3"/>
      </w:pPr>
      <w:r w:rsidRPr="00873B6C">
        <w:t>-</w:t>
      </w:r>
      <w:r w:rsidRPr="00873B6C">
        <w:tab/>
        <w:t>for the first PDU Session the AMF determines based on local policy whether to include the Control Plane Only Indicator or not;</w:t>
      </w:r>
    </w:p>
    <w:p w14:paraId="4EFCE897" w14:textId="05E0C855" w:rsidR="00D40151" w:rsidRPr="00873B6C" w:rsidRDefault="00D40151" w:rsidP="00D40151">
      <w:pPr>
        <w:pStyle w:val="B3"/>
      </w:pPr>
      <w:r w:rsidRPr="00873B6C">
        <w:t>-</w:t>
      </w:r>
      <w:r w:rsidRPr="00873B6C">
        <w:tab/>
        <w:t xml:space="preserve">if the AMF previously included a Control Plane Only Indicator for PDU </w:t>
      </w:r>
      <w:r w:rsidR="003A2901" w:rsidRPr="00873B6C">
        <w:t>S</w:t>
      </w:r>
      <w:r w:rsidRPr="00873B6C">
        <w:t xml:space="preserve">essions that support interworking with EPS based on the subscription data defined in </w:t>
      </w:r>
      <w:r w:rsidR="00972E70" w:rsidRPr="00873B6C">
        <w:t>TS 23.502 [</w:t>
      </w:r>
      <w:r w:rsidRPr="00873B6C">
        <w:t xml:space="preserve">3] and that are anchored in UPF, the AMF shall include it also for the new PDU </w:t>
      </w:r>
      <w:r w:rsidR="003A2901" w:rsidRPr="00873B6C">
        <w:t>S</w:t>
      </w:r>
      <w:r w:rsidRPr="00873B6C">
        <w:t>ession;</w:t>
      </w:r>
    </w:p>
    <w:p w14:paraId="5773CED5" w14:textId="1A039881" w:rsidR="00D40151" w:rsidRPr="00873B6C" w:rsidRDefault="00D40151" w:rsidP="00D40151">
      <w:pPr>
        <w:pStyle w:val="B3"/>
      </w:pPr>
      <w:r w:rsidRPr="00873B6C">
        <w:t>-</w:t>
      </w:r>
      <w:r w:rsidRPr="00873B6C">
        <w:tab/>
        <w:t xml:space="preserve">if the AMF previously did not include a Control Plane Only Indicator for any of the PDU </w:t>
      </w:r>
      <w:r w:rsidR="003A2901" w:rsidRPr="00873B6C">
        <w:t>S</w:t>
      </w:r>
      <w:r w:rsidRPr="00873B6C">
        <w:t xml:space="preserve">essions that support interworking with EPS based on the subscription data defined in </w:t>
      </w:r>
      <w:r w:rsidR="00972E70" w:rsidRPr="00873B6C">
        <w:t>TS 23.502 [</w:t>
      </w:r>
      <w:r w:rsidRPr="00873B6C">
        <w:t xml:space="preserve">3] and that are anchored in UPF, the AMF shall not include it for the new PDU </w:t>
      </w:r>
      <w:r w:rsidR="003A2901" w:rsidRPr="00873B6C">
        <w:t>S</w:t>
      </w:r>
      <w:r w:rsidRPr="00873B6C">
        <w:t>ession.</w:t>
      </w:r>
    </w:p>
    <w:p w14:paraId="10D2A363" w14:textId="62E80B73" w:rsidR="00D40151" w:rsidRPr="00873B6C" w:rsidRDefault="00D40151" w:rsidP="00D40151">
      <w:pPr>
        <w:pStyle w:val="B1"/>
      </w:pPr>
      <w:r w:rsidRPr="00873B6C">
        <w:lastRenderedPageBreak/>
        <w:t>-</w:t>
      </w:r>
      <w:r w:rsidRPr="00873B6C">
        <w:tab/>
        <w:t xml:space="preserve">For a new PDU </w:t>
      </w:r>
      <w:r w:rsidR="003A2901" w:rsidRPr="00873B6C">
        <w:t>S</w:t>
      </w:r>
      <w:r w:rsidRPr="00873B6C">
        <w:t xml:space="preserve">ession for a DNN/S-NSSAI for which the </w:t>
      </w:r>
      <w:r w:rsidR="003A2901" w:rsidRPr="00873B6C">
        <w:t>s</w:t>
      </w:r>
      <w:r w:rsidRPr="00873B6C">
        <w:t xml:space="preserve">ubscription data for SMF Selection does not include an Invoke NEF indication (i.e. for a PDU </w:t>
      </w:r>
      <w:r w:rsidR="003A2901" w:rsidRPr="00873B6C">
        <w:t>S</w:t>
      </w:r>
      <w:r w:rsidRPr="00873B6C">
        <w:t xml:space="preserve">ession which will be anchored in UPF) and that does not support interworking with EPS based on the subscription data defined in </w:t>
      </w:r>
      <w:r w:rsidR="00972E70" w:rsidRPr="00873B6C">
        <w:t>TS 23.502 [</w:t>
      </w:r>
      <w:r w:rsidRPr="00873B6C">
        <w:t xml:space="preserve">3], AMF determines individually per PDU </w:t>
      </w:r>
      <w:r w:rsidR="003A2901" w:rsidRPr="00873B6C">
        <w:t>S</w:t>
      </w:r>
      <w:r w:rsidRPr="00873B6C">
        <w:t>ession whether to include the Control Plane Only Indicator or not.</w:t>
      </w:r>
    </w:p>
    <w:p w14:paraId="7BD2D6EA" w14:textId="674FD620" w:rsidR="00D40151" w:rsidRPr="00873B6C" w:rsidRDefault="00D40151" w:rsidP="00D40151">
      <w:r w:rsidRPr="00873B6C">
        <w:t xml:space="preserve">As described in clause 5.31.4.2, if UE and AMF successfully negotiate N3 data transfer in addition to Control Plane CIoT 5GS Optimisation, the UE or SMF may request to establish N3 data transfer for one or more PDU </w:t>
      </w:r>
      <w:r w:rsidR="003A2901" w:rsidRPr="00873B6C">
        <w:t>S</w:t>
      </w:r>
      <w:r w:rsidRPr="00873B6C">
        <w:t xml:space="preserve">essions for which Control Plane Only Indicator was not received. In CM-CONNECTED, the UE and the network use N3 delivery for PDU </w:t>
      </w:r>
      <w:r w:rsidR="003A2901" w:rsidRPr="00873B6C">
        <w:t>S</w:t>
      </w:r>
      <w:r w:rsidRPr="00873B6C">
        <w:t>essions for which user plane resources are established</w:t>
      </w:r>
      <w:r w:rsidR="00472CD7" w:rsidRPr="00873B6C">
        <w:t xml:space="preserve"> and</w:t>
      </w:r>
      <w:r w:rsidRPr="00873B6C">
        <w:t xml:space="preserve"> uses NAS for data transmission for PDU </w:t>
      </w:r>
      <w:r w:rsidR="003A2901" w:rsidRPr="00873B6C">
        <w:t>S</w:t>
      </w:r>
      <w:r w:rsidRPr="00873B6C">
        <w:t>essions for which user plane resources are not established.</w:t>
      </w:r>
    </w:p>
    <w:p w14:paraId="628BD9EC" w14:textId="49D1E576" w:rsidR="00D40151" w:rsidRPr="00873B6C" w:rsidRDefault="00D40151" w:rsidP="00D40151">
      <w:r w:rsidRPr="00873B6C">
        <w:t>If the AMF determines that Control Plane Only indication associated with PDU Session is not applicable any longer due to e.g. change of Preferred and Supported Network Behaviour, subscription data</w:t>
      </w:r>
      <w:r w:rsidR="00472CD7" w:rsidRPr="00873B6C">
        <w:t xml:space="preserve"> and</w:t>
      </w:r>
      <w:r w:rsidRPr="00873B6C">
        <w:t xml:space="preserve"> local policy, the AMF should request the SMF to release the PDU Session as specified in clause 4.3.4.2 or clause 4.3.4.3 of </w:t>
      </w:r>
      <w:r w:rsidR="00972E70" w:rsidRPr="00873B6C">
        <w:t>TS 23.502 [</w:t>
      </w:r>
      <w:r w:rsidRPr="00873B6C">
        <w:t>3].</w:t>
      </w:r>
    </w:p>
    <w:p w14:paraId="2A3429F2" w14:textId="77777777" w:rsidR="00D40151" w:rsidRPr="00873B6C" w:rsidRDefault="00D40151" w:rsidP="00D40151">
      <w:r w:rsidRPr="00873B6C">
        <w:t>Early Data Transmission may be initiated by the UE for mobile originated Control Plane CIoT 5GS Optimisation when the RAT Type is E-UTRA.</w:t>
      </w:r>
    </w:p>
    <w:p w14:paraId="5033E2BD" w14:textId="718E4D17" w:rsidR="003A2901" w:rsidRPr="00873B6C" w:rsidRDefault="003A2901" w:rsidP="00323277">
      <w:bookmarkStart w:id="4383" w:name="_Toc20150105"/>
      <w:bookmarkStart w:id="4384" w:name="_Toc27846904"/>
      <w:bookmarkStart w:id="4385" w:name="_Toc36188035"/>
      <w:bookmarkStart w:id="4386" w:name="_Toc45183940"/>
      <w:bookmarkStart w:id="4387" w:name="_Toc47342782"/>
      <w:bookmarkStart w:id="4388" w:name="_Toc51769484"/>
      <w:r w:rsidRPr="00873B6C">
        <w:t>The QoS model as defined in clause 5.7 is not supported for PDU Sessions using Control Plane CIoT 5GS Optimisation as user plane resources are not established for those PDU Sessions.</w:t>
      </w:r>
    </w:p>
    <w:p w14:paraId="2E3A0261" w14:textId="04767A06" w:rsidR="00D40151" w:rsidRPr="00873B6C" w:rsidRDefault="00D40151" w:rsidP="001B7C50">
      <w:pPr>
        <w:pStyle w:val="Heading4"/>
      </w:pPr>
      <w:bookmarkStart w:id="4389" w:name="_CR5_31_4_2"/>
      <w:bookmarkStart w:id="4390" w:name="_Toc201157549"/>
      <w:bookmarkEnd w:id="4389"/>
      <w:r w:rsidRPr="00873B6C">
        <w:t>5.31.4.2</w:t>
      </w:r>
      <w:r w:rsidRPr="00873B6C">
        <w:tab/>
        <w:t>Establishment of N3 data transfer during Data Transport in Control Plane CIoT 5GS Optimisation</w:t>
      </w:r>
      <w:bookmarkEnd w:id="4383"/>
      <w:bookmarkEnd w:id="4384"/>
      <w:bookmarkEnd w:id="4385"/>
      <w:bookmarkEnd w:id="4386"/>
      <w:bookmarkEnd w:id="4387"/>
      <w:bookmarkEnd w:id="4388"/>
      <w:bookmarkEnd w:id="4390"/>
    </w:p>
    <w:p w14:paraId="027A1870" w14:textId="0E66EFB5" w:rsidR="00D40151" w:rsidRPr="00873B6C" w:rsidRDefault="00D40151" w:rsidP="00D40151">
      <w:pPr>
        <w:rPr>
          <w:lang w:eastAsia="x-none"/>
        </w:rPr>
      </w:pPr>
      <w:r w:rsidRPr="00873B6C">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873B6C">
        <w:rPr>
          <w:lang w:eastAsia="x-none"/>
        </w:rPr>
        <w:t xml:space="preserve"> clause 4.2.10.2</w:t>
      </w:r>
      <w:r w:rsidRPr="00873B6C">
        <w:rPr>
          <w:lang w:eastAsia="x-none"/>
        </w:rPr>
        <w:t xml:space="preserve"> </w:t>
      </w:r>
      <w:r w:rsidR="00131D56" w:rsidRPr="00873B6C">
        <w:rPr>
          <w:lang w:eastAsia="x-none"/>
        </w:rPr>
        <w:t xml:space="preserve">of </w:t>
      </w:r>
      <w:r w:rsidR="00972E70" w:rsidRPr="00873B6C">
        <w:rPr>
          <w:lang w:eastAsia="x-none"/>
        </w:rPr>
        <w:t>TS 23.502 [</w:t>
      </w:r>
      <w:r w:rsidRPr="00873B6C">
        <w:rPr>
          <w:lang w:eastAsia="x-none"/>
        </w:rPr>
        <w:t>3].</w:t>
      </w:r>
    </w:p>
    <w:p w14:paraId="210821F5" w14:textId="6529F829" w:rsidR="00D40151" w:rsidRPr="00873B6C" w:rsidRDefault="00D40151" w:rsidP="00D40151">
      <w:pPr>
        <w:rPr>
          <w:lang w:eastAsia="x-none"/>
        </w:rPr>
      </w:pPr>
      <w:r w:rsidRPr="00873B6C">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873B6C">
        <w:rPr>
          <w:lang w:eastAsia="x-none"/>
        </w:rPr>
        <w:t xml:space="preserve"> clause 4.2.10.1</w:t>
      </w:r>
      <w:r w:rsidRPr="00873B6C">
        <w:rPr>
          <w:lang w:eastAsia="x-none"/>
        </w:rPr>
        <w:t xml:space="preserve"> </w:t>
      </w:r>
      <w:r w:rsidR="00131D56" w:rsidRPr="00873B6C">
        <w:rPr>
          <w:lang w:eastAsia="x-none"/>
        </w:rPr>
        <w:t xml:space="preserve">of </w:t>
      </w:r>
      <w:r w:rsidR="00972E70" w:rsidRPr="00873B6C">
        <w:rPr>
          <w:lang w:eastAsia="x-none"/>
        </w:rPr>
        <w:t>TS 23.502 [</w:t>
      </w:r>
      <w:r w:rsidRPr="00873B6C">
        <w:rPr>
          <w:lang w:eastAsia="x-none"/>
        </w:rPr>
        <w:t>3].</w:t>
      </w:r>
    </w:p>
    <w:p w14:paraId="500B805C" w14:textId="77777777" w:rsidR="00D40151" w:rsidRPr="00873B6C" w:rsidRDefault="00D40151" w:rsidP="001B7C50">
      <w:pPr>
        <w:pStyle w:val="Heading4"/>
      </w:pPr>
      <w:bookmarkStart w:id="4391" w:name="_CR5_31_4_3"/>
      <w:bookmarkStart w:id="4392" w:name="_Toc27846905"/>
      <w:bookmarkStart w:id="4393" w:name="_Toc36188036"/>
      <w:bookmarkStart w:id="4394" w:name="_Toc45183941"/>
      <w:bookmarkStart w:id="4395" w:name="_Toc47342783"/>
      <w:bookmarkStart w:id="4396" w:name="_Toc51769485"/>
      <w:bookmarkStart w:id="4397" w:name="_Toc20150106"/>
      <w:bookmarkStart w:id="4398" w:name="_Toc201157550"/>
      <w:bookmarkEnd w:id="4391"/>
      <w:r w:rsidRPr="00873B6C">
        <w:t>5.31.4.3</w:t>
      </w:r>
      <w:r w:rsidRPr="00873B6C">
        <w:tab/>
        <w:t>Control Plane Relocation Indication procedure</w:t>
      </w:r>
      <w:bookmarkEnd w:id="4392"/>
      <w:bookmarkEnd w:id="4393"/>
      <w:bookmarkEnd w:id="4394"/>
      <w:bookmarkEnd w:id="4395"/>
      <w:bookmarkEnd w:id="4396"/>
      <w:bookmarkEnd w:id="4398"/>
    </w:p>
    <w:p w14:paraId="6448176C" w14:textId="42813B1E" w:rsidR="00D40151" w:rsidRPr="00873B6C" w:rsidRDefault="00D40151" w:rsidP="00D40151">
      <w:pPr>
        <w:rPr>
          <w:lang w:eastAsia="x-none"/>
        </w:rPr>
      </w:pPr>
      <w:r w:rsidRPr="00873B6C">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972E70" w:rsidRPr="00873B6C">
        <w:rPr>
          <w:lang w:eastAsia="x-none"/>
        </w:rPr>
        <w:t>TS 33.501 [</w:t>
      </w:r>
      <w:r w:rsidRPr="00873B6C">
        <w:rPr>
          <w:lang w:eastAsia="x-none"/>
        </w:rPr>
        <w:t>29])</w:t>
      </w:r>
      <w:r w:rsidR="00472CD7" w:rsidRPr="00873B6C">
        <w:rPr>
          <w:lang w:eastAsia="x-none"/>
        </w:rPr>
        <w:t xml:space="preserve"> and</w:t>
      </w:r>
      <w:r w:rsidRPr="00873B6C">
        <w:rPr>
          <w:lang w:eastAsia="x-none"/>
        </w:rPr>
        <w:t xml:space="preserve"> initiate the establishment of the UE's N2 connection after the UE has initiated an RRC Re-Establishment procedure in a new NG-RAN node (see </w:t>
      </w:r>
      <w:r w:rsidR="00972E70" w:rsidRPr="00873B6C">
        <w:rPr>
          <w:lang w:eastAsia="x-none"/>
        </w:rPr>
        <w:t>TS 38.300 [</w:t>
      </w:r>
      <w:r w:rsidRPr="00873B6C">
        <w:rPr>
          <w:lang w:eastAsia="x-none"/>
        </w:rPr>
        <w:t>27]).</w:t>
      </w:r>
    </w:p>
    <w:p w14:paraId="3CB76772" w14:textId="617E0781" w:rsidR="00D40151" w:rsidRPr="00873B6C" w:rsidRDefault="00D40151" w:rsidP="00D40151">
      <w:pPr>
        <w:rPr>
          <w:lang w:eastAsia="x-none"/>
        </w:rPr>
      </w:pPr>
      <w:r w:rsidRPr="00873B6C">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972E70" w:rsidRPr="00873B6C">
        <w:rPr>
          <w:lang w:eastAsia="x-none"/>
        </w:rPr>
        <w:t>TS 23.003 [</w:t>
      </w:r>
      <w:r w:rsidRPr="00873B6C">
        <w:rPr>
          <w:lang w:eastAsia="x-none"/>
        </w:rPr>
        <w:t>19]).</w:t>
      </w:r>
    </w:p>
    <w:p w14:paraId="630858C1" w14:textId="714E67BB" w:rsidR="00D40151" w:rsidRPr="00873B6C" w:rsidRDefault="00D40151" w:rsidP="00D40151">
      <w:pPr>
        <w:rPr>
          <w:lang w:eastAsia="x-none"/>
        </w:rPr>
      </w:pPr>
      <w:r w:rsidRPr="00873B6C">
        <w:rPr>
          <w:lang w:eastAsia="x-none"/>
        </w:rPr>
        <w:t xml:space="preserve">The AMF configures the UE with the Truncated 5G-S-TMSI Configuration that provides the sizes of the components of the Truncated 5G-S-TMSI as described in </w:t>
      </w:r>
      <w:r w:rsidR="00972E70" w:rsidRPr="00873B6C">
        <w:rPr>
          <w:lang w:eastAsia="x-none"/>
        </w:rPr>
        <w:t>TS 24.501 [</w:t>
      </w:r>
      <w:r w:rsidRPr="00873B6C">
        <w:rPr>
          <w:lang w:eastAsia="x-none"/>
        </w:rPr>
        <w:t>47] during the Registration. The configuration of these parameters are specific to each PLMN.</w:t>
      </w:r>
    </w:p>
    <w:p w14:paraId="5241C3DF" w14:textId="15664B0C" w:rsidR="00D40151" w:rsidRPr="00873B6C" w:rsidRDefault="00D40151" w:rsidP="00D40151">
      <w:pPr>
        <w:pStyle w:val="NO"/>
      </w:pPr>
      <w:r w:rsidRPr="00873B6C">
        <w:t>NOTE:</w:t>
      </w:r>
      <w:r w:rsidRPr="00873B6C">
        <w:tab/>
        <w:t xml:space="preserve">Network sharing default configuration of the sizes of the truncated components is described in </w:t>
      </w:r>
      <w:r w:rsidR="00972E70" w:rsidRPr="00873B6C">
        <w:t>TS 23.003 [</w:t>
      </w:r>
      <w:r w:rsidRPr="00873B6C">
        <w:t>19].</w:t>
      </w:r>
    </w:p>
    <w:p w14:paraId="40042119" w14:textId="77777777" w:rsidR="00D40151" w:rsidRPr="00873B6C" w:rsidRDefault="00D40151" w:rsidP="00D40151">
      <w:pPr>
        <w:pStyle w:val="Heading3"/>
      </w:pPr>
      <w:bookmarkStart w:id="4399" w:name="_CR5_31_5"/>
      <w:bookmarkStart w:id="4400" w:name="_Toc27846906"/>
      <w:bookmarkStart w:id="4401" w:name="_Toc36188037"/>
      <w:bookmarkStart w:id="4402" w:name="_Toc45183942"/>
      <w:bookmarkStart w:id="4403" w:name="_Toc47342784"/>
      <w:bookmarkStart w:id="4404" w:name="_Toc51769486"/>
      <w:bookmarkStart w:id="4405" w:name="_Toc201157551"/>
      <w:bookmarkEnd w:id="4399"/>
      <w:r w:rsidRPr="00873B6C">
        <w:t>5.31.5</w:t>
      </w:r>
      <w:r w:rsidRPr="00873B6C">
        <w:tab/>
        <w:t>Non-IP Data Delivery (NIDD)</w:t>
      </w:r>
      <w:bookmarkEnd w:id="4397"/>
      <w:bookmarkEnd w:id="4400"/>
      <w:bookmarkEnd w:id="4401"/>
      <w:bookmarkEnd w:id="4402"/>
      <w:bookmarkEnd w:id="4403"/>
      <w:bookmarkEnd w:id="4404"/>
      <w:bookmarkEnd w:id="4405"/>
    </w:p>
    <w:p w14:paraId="797682D0" w14:textId="77777777" w:rsidR="00D40151" w:rsidRPr="00873B6C" w:rsidRDefault="00D40151" w:rsidP="00D40151">
      <w:r w:rsidRPr="00873B6C">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873B6C" w:rsidRDefault="00D40151" w:rsidP="00D40151">
      <w:pPr>
        <w:pStyle w:val="B1"/>
      </w:pPr>
      <w:r w:rsidRPr="00873B6C">
        <w:lastRenderedPageBreak/>
        <w:t>-</w:t>
      </w:r>
      <w:r w:rsidRPr="00873B6C">
        <w:tab/>
        <w:t>Delivery using the NIDD API;</w:t>
      </w:r>
    </w:p>
    <w:p w14:paraId="5F900520" w14:textId="77777777" w:rsidR="00D40151" w:rsidRPr="00873B6C" w:rsidRDefault="00D40151" w:rsidP="00D40151">
      <w:pPr>
        <w:pStyle w:val="B1"/>
      </w:pPr>
      <w:r w:rsidRPr="00873B6C">
        <w:t>-</w:t>
      </w:r>
      <w:r w:rsidRPr="00873B6C">
        <w:tab/>
        <w:t>Delivery using UPF via a Point-to-Point (PtP) N6 tunnel.</w:t>
      </w:r>
    </w:p>
    <w:p w14:paraId="33218560" w14:textId="3228AF27" w:rsidR="00D40151" w:rsidRPr="00873B6C" w:rsidRDefault="00D40151" w:rsidP="00D40151">
      <w:r w:rsidRPr="00873B6C">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0354117C" w:rsidR="00D40151" w:rsidRPr="00873B6C" w:rsidRDefault="00D40151" w:rsidP="00D40151">
      <w:r w:rsidRPr="00873B6C">
        <w:t xml:space="preserve">The NEF exposes the NIDD APIs described in </w:t>
      </w:r>
      <w:r w:rsidR="00972E70" w:rsidRPr="00873B6C">
        <w:t>TS 23.502 [</w:t>
      </w:r>
      <w:r w:rsidRPr="00873B6C">
        <w:t>3] on the N33/Nnef reference point.</w:t>
      </w:r>
    </w:p>
    <w:p w14:paraId="1E15BB8D" w14:textId="1AC9FE08" w:rsidR="00D40151" w:rsidRPr="00873B6C" w:rsidRDefault="00D40151" w:rsidP="00D40151">
      <w:r w:rsidRPr="00873B6C">
        <w:t xml:space="preserve">The NEF uses the provisioned policies to map an AF </w:t>
      </w:r>
      <w:r w:rsidR="00A1192D" w:rsidRPr="00873B6C">
        <w:t xml:space="preserve">Identifier </w:t>
      </w:r>
      <w:r w:rsidRPr="00873B6C">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873B6C">
        <w:t xml:space="preserve">Identifier </w:t>
      </w:r>
      <w:r w:rsidRPr="00873B6C">
        <w:t>and User identity to a DNN.</w:t>
      </w:r>
    </w:p>
    <w:p w14:paraId="42C8DC46" w14:textId="77777777" w:rsidR="00D40151" w:rsidRPr="00873B6C" w:rsidRDefault="00D40151" w:rsidP="00D40151">
      <w:r w:rsidRPr="00873B6C">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873B6C" w:rsidRDefault="00D40151" w:rsidP="00D40151">
      <w:r w:rsidRPr="00873B6C">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873B6C" w:rsidRDefault="00D40151" w:rsidP="00D40151">
      <w:pPr>
        <w:pStyle w:val="Heading3"/>
      </w:pPr>
      <w:bookmarkStart w:id="4406" w:name="_CR5_31_6"/>
      <w:bookmarkStart w:id="4407" w:name="_Toc20150107"/>
      <w:bookmarkStart w:id="4408" w:name="_Toc27846907"/>
      <w:bookmarkStart w:id="4409" w:name="_Toc36188038"/>
      <w:bookmarkStart w:id="4410" w:name="_Toc45183943"/>
      <w:bookmarkStart w:id="4411" w:name="_Toc47342785"/>
      <w:bookmarkStart w:id="4412" w:name="_Toc51769487"/>
      <w:bookmarkStart w:id="4413" w:name="_Toc201157552"/>
      <w:bookmarkEnd w:id="4406"/>
      <w:r w:rsidRPr="00873B6C">
        <w:t>5.31.6</w:t>
      </w:r>
      <w:r w:rsidRPr="00873B6C">
        <w:tab/>
        <w:t>Reliable Data Service</w:t>
      </w:r>
      <w:bookmarkEnd w:id="4407"/>
      <w:bookmarkEnd w:id="4408"/>
      <w:bookmarkEnd w:id="4409"/>
      <w:bookmarkEnd w:id="4410"/>
      <w:bookmarkEnd w:id="4411"/>
      <w:bookmarkEnd w:id="4412"/>
      <w:bookmarkEnd w:id="4413"/>
    </w:p>
    <w:p w14:paraId="674CA89A" w14:textId="77777777" w:rsidR="00D40151" w:rsidRPr="00873B6C" w:rsidRDefault="00D40151" w:rsidP="00D40151">
      <w:r w:rsidRPr="00873B6C">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3DB0FC8A" w:rsidR="00D40151" w:rsidRPr="00873B6C" w:rsidRDefault="00D40151" w:rsidP="00D40151">
      <w:r w:rsidRPr="00873B6C">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972E70" w:rsidRPr="00873B6C">
        <w:t>TS 24.250 [</w:t>
      </w:r>
      <w:r w:rsidRPr="00873B6C">
        <w:t>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w:t>
      </w:r>
      <w:r w:rsidR="00472CD7" w:rsidRPr="00873B6C">
        <w:t xml:space="preserve"> and</w:t>
      </w:r>
      <w:r w:rsidRPr="00873B6C">
        <w:t xml:space="preserve"> MO NIDD procedures with the AF as specified in </w:t>
      </w:r>
      <w:r w:rsidR="00972E70" w:rsidRPr="00873B6C">
        <w:t>TS 23.502 [</w:t>
      </w:r>
      <w:r w:rsidRPr="00873B6C">
        <w:t>3].</w:t>
      </w:r>
    </w:p>
    <w:p w14:paraId="5AA04F08" w14:textId="77777777" w:rsidR="00D40151" w:rsidRPr="00873B6C" w:rsidRDefault="00D40151" w:rsidP="00D40151">
      <w:r w:rsidRPr="00873B6C">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873B6C" w:rsidRDefault="00D40151" w:rsidP="00D40151">
      <w:pPr>
        <w:pStyle w:val="NO"/>
      </w:pPr>
      <w:r w:rsidRPr="00873B6C">
        <w:t>NOTE:</w:t>
      </w:r>
      <w:r w:rsidRPr="00873B6C">
        <w:tab/>
        <w:t>Whether the UE Application or AF supports a given serialization format is outside the scope of 3GPP specifications.</w:t>
      </w:r>
    </w:p>
    <w:p w14:paraId="79621DDE" w14:textId="77777777" w:rsidR="00D40151" w:rsidRPr="00873B6C" w:rsidRDefault="00D40151" w:rsidP="00D40151">
      <w:r w:rsidRPr="00873B6C">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873B6C" w:rsidRDefault="00D40151" w:rsidP="00D40151">
      <w:r w:rsidRPr="00873B6C">
        <w:lastRenderedPageBreak/>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683236EB" w:rsidR="00D40151" w:rsidRPr="00873B6C" w:rsidRDefault="00D40151" w:rsidP="00D40151">
      <w:r w:rsidRPr="00873B6C">
        <w:t xml:space="preserve">Reliable Data Service protocol is defined in </w:t>
      </w:r>
      <w:r w:rsidR="00972E70" w:rsidRPr="00873B6C">
        <w:t>TS 24.250 [</w:t>
      </w:r>
      <w:r w:rsidRPr="00873B6C">
        <w:t>80].</w:t>
      </w:r>
    </w:p>
    <w:p w14:paraId="285A7043" w14:textId="77777777" w:rsidR="00D40151" w:rsidRPr="00873B6C" w:rsidRDefault="00D40151" w:rsidP="00D40151">
      <w:pPr>
        <w:pStyle w:val="Heading3"/>
      </w:pPr>
      <w:bookmarkStart w:id="4414" w:name="_CR5_31_7"/>
      <w:bookmarkStart w:id="4415" w:name="_Toc20150108"/>
      <w:bookmarkStart w:id="4416" w:name="_Toc27846908"/>
      <w:bookmarkStart w:id="4417" w:name="_Toc36188039"/>
      <w:bookmarkStart w:id="4418" w:name="_Toc45183944"/>
      <w:bookmarkStart w:id="4419" w:name="_Toc47342786"/>
      <w:bookmarkStart w:id="4420" w:name="_Toc51769488"/>
      <w:bookmarkStart w:id="4421" w:name="_Toc201157553"/>
      <w:bookmarkEnd w:id="4414"/>
      <w:r w:rsidRPr="00873B6C">
        <w:t>5.31.7</w:t>
      </w:r>
      <w:r w:rsidRPr="00873B6C">
        <w:tab/>
        <w:t>Power Saving Enhancements</w:t>
      </w:r>
      <w:bookmarkEnd w:id="4415"/>
      <w:bookmarkEnd w:id="4416"/>
      <w:bookmarkEnd w:id="4417"/>
      <w:bookmarkEnd w:id="4418"/>
      <w:bookmarkEnd w:id="4419"/>
      <w:bookmarkEnd w:id="4420"/>
      <w:bookmarkEnd w:id="4421"/>
    </w:p>
    <w:p w14:paraId="30917F5A" w14:textId="77777777" w:rsidR="00D40151" w:rsidRPr="00873B6C" w:rsidRDefault="00D40151" w:rsidP="00D40151">
      <w:pPr>
        <w:pStyle w:val="Heading4"/>
      </w:pPr>
      <w:bookmarkStart w:id="4422" w:name="_CR5_31_7_1"/>
      <w:bookmarkStart w:id="4423" w:name="_Toc20150109"/>
      <w:bookmarkStart w:id="4424" w:name="_Toc27846909"/>
      <w:bookmarkStart w:id="4425" w:name="_Toc36188040"/>
      <w:bookmarkStart w:id="4426" w:name="_Toc45183945"/>
      <w:bookmarkStart w:id="4427" w:name="_Toc47342787"/>
      <w:bookmarkStart w:id="4428" w:name="_Toc51769489"/>
      <w:bookmarkStart w:id="4429" w:name="_Toc201157554"/>
      <w:bookmarkEnd w:id="4422"/>
      <w:r w:rsidRPr="00873B6C">
        <w:t>5.31.7.1</w:t>
      </w:r>
      <w:r w:rsidRPr="00873B6C">
        <w:tab/>
        <w:t>General</w:t>
      </w:r>
      <w:bookmarkEnd w:id="4423"/>
      <w:bookmarkEnd w:id="4424"/>
      <w:bookmarkEnd w:id="4425"/>
      <w:bookmarkEnd w:id="4426"/>
      <w:bookmarkEnd w:id="4427"/>
      <w:bookmarkEnd w:id="4428"/>
      <w:bookmarkEnd w:id="4429"/>
    </w:p>
    <w:p w14:paraId="58CF5E56" w14:textId="77777777" w:rsidR="00D40151" w:rsidRPr="00873B6C" w:rsidRDefault="00D40151" w:rsidP="00D40151">
      <w:r w:rsidRPr="00873B6C">
        <w:t>To enable UE power saving and to enhance MT reachability while using MICO mode, e.g. for CIoT, the following features are specified in the following clauses:</w:t>
      </w:r>
    </w:p>
    <w:p w14:paraId="2662DD63" w14:textId="395DEBA4" w:rsidR="00D40151" w:rsidRPr="00873B6C" w:rsidRDefault="00D40151" w:rsidP="00D40151">
      <w:pPr>
        <w:pStyle w:val="B1"/>
      </w:pPr>
      <w:r w:rsidRPr="00873B6C">
        <w:t>-</w:t>
      </w:r>
      <w:r w:rsidRPr="00873B6C">
        <w:tab/>
        <w:t>Extended Discontinuous Reception (DRX) for CM-IDLE and CM-CONNECTED with</w:t>
      </w:r>
      <w:r w:rsidR="00511811" w:rsidRPr="00873B6C">
        <w:t xml:space="preserve"> RRC_INACTIVE</w:t>
      </w:r>
      <w:r w:rsidRPr="00873B6C">
        <w:t>;</w:t>
      </w:r>
    </w:p>
    <w:p w14:paraId="39D3F821" w14:textId="77777777" w:rsidR="00D40151" w:rsidRPr="00873B6C" w:rsidRDefault="00D40151" w:rsidP="00D40151">
      <w:pPr>
        <w:pStyle w:val="B1"/>
      </w:pPr>
      <w:r w:rsidRPr="00873B6C">
        <w:t>-</w:t>
      </w:r>
      <w:r w:rsidRPr="00873B6C">
        <w:tab/>
        <w:t>MICO mode with Extended Connected Time;</w:t>
      </w:r>
    </w:p>
    <w:p w14:paraId="13E2E9AD" w14:textId="77777777" w:rsidR="00D40151" w:rsidRPr="00873B6C" w:rsidRDefault="00D40151" w:rsidP="00D40151">
      <w:pPr>
        <w:pStyle w:val="B1"/>
      </w:pPr>
      <w:r w:rsidRPr="00873B6C">
        <w:t>-</w:t>
      </w:r>
      <w:r w:rsidRPr="00873B6C">
        <w:tab/>
        <w:t>MICO mode with Active Time;</w:t>
      </w:r>
    </w:p>
    <w:p w14:paraId="032B439B" w14:textId="77777777" w:rsidR="00D40151" w:rsidRPr="00873B6C" w:rsidRDefault="00D40151" w:rsidP="00D40151">
      <w:pPr>
        <w:pStyle w:val="B1"/>
      </w:pPr>
      <w:r w:rsidRPr="00873B6C">
        <w:t>-</w:t>
      </w:r>
      <w:r w:rsidRPr="00873B6C">
        <w:tab/>
        <w:t>MICO mode and Periodic Registration Timer Control.</w:t>
      </w:r>
    </w:p>
    <w:p w14:paraId="2DCD35CD" w14:textId="77777777" w:rsidR="00D40151" w:rsidRPr="00873B6C" w:rsidRDefault="00D40151" w:rsidP="00D40151">
      <w:r w:rsidRPr="00873B6C">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1F61DE2A" w14:textId="57FAF930" w:rsidR="00D51D1B" w:rsidRPr="00873B6C" w:rsidRDefault="00D51D1B" w:rsidP="00972E70">
      <w:bookmarkStart w:id="4430" w:name="_Toc20150110"/>
      <w:bookmarkStart w:id="4431" w:name="_Toc27846910"/>
      <w:bookmarkStart w:id="4432" w:name="_Toc36188041"/>
      <w:bookmarkStart w:id="4433" w:name="_Toc45183946"/>
      <w:bookmarkStart w:id="4434" w:name="_Toc47342788"/>
      <w:bookmarkStart w:id="4435" w:name="_Toc51769490"/>
      <w:r w:rsidRPr="00873B6C">
        <w:t xml:space="preserve">The functions and procedures to enable a UE using power saving functions to receive MBS service are defined in </w:t>
      </w:r>
      <w:r w:rsidR="00972E70" w:rsidRPr="00873B6C">
        <w:t>TS 23.247 [</w:t>
      </w:r>
      <w:r w:rsidRPr="00873B6C">
        <w:t>129].</w:t>
      </w:r>
    </w:p>
    <w:p w14:paraId="3495BE8F" w14:textId="598A0800" w:rsidR="00D40151" w:rsidRPr="00873B6C" w:rsidRDefault="00D40151" w:rsidP="00D40151">
      <w:pPr>
        <w:pStyle w:val="Heading4"/>
      </w:pPr>
      <w:bookmarkStart w:id="4436" w:name="_CR5_31_7_2"/>
      <w:bookmarkStart w:id="4437" w:name="_Toc201157555"/>
      <w:bookmarkEnd w:id="4436"/>
      <w:r w:rsidRPr="00873B6C">
        <w:t>5.31.7.2</w:t>
      </w:r>
      <w:r w:rsidRPr="00873B6C">
        <w:tab/>
        <w:t>Extended Discontinuous Reception (DRX) for CM-IDLE and CM-CONNECTED with RRC-INACTIVE</w:t>
      </w:r>
      <w:bookmarkEnd w:id="4430"/>
      <w:bookmarkEnd w:id="4431"/>
      <w:bookmarkEnd w:id="4432"/>
      <w:bookmarkEnd w:id="4433"/>
      <w:bookmarkEnd w:id="4434"/>
      <w:bookmarkEnd w:id="4435"/>
      <w:bookmarkEnd w:id="4437"/>
    </w:p>
    <w:p w14:paraId="6FBC508F" w14:textId="77777777" w:rsidR="00D40151" w:rsidRPr="00873B6C" w:rsidRDefault="00D40151" w:rsidP="00D40151">
      <w:pPr>
        <w:pStyle w:val="Heading5"/>
      </w:pPr>
      <w:bookmarkStart w:id="4438" w:name="_CR5_31_7_2_1"/>
      <w:bookmarkStart w:id="4439" w:name="_Toc20150111"/>
      <w:bookmarkStart w:id="4440" w:name="_Toc27846911"/>
      <w:bookmarkStart w:id="4441" w:name="_Toc36188042"/>
      <w:bookmarkStart w:id="4442" w:name="_Toc45183947"/>
      <w:bookmarkStart w:id="4443" w:name="_Toc47342789"/>
      <w:bookmarkStart w:id="4444" w:name="_Toc51769491"/>
      <w:bookmarkStart w:id="4445" w:name="_Toc201157556"/>
      <w:bookmarkEnd w:id="4438"/>
      <w:r w:rsidRPr="00873B6C">
        <w:t>5.31.7.2.1</w:t>
      </w:r>
      <w:r w:rsidRPr="00873B6C">
        <w:tab/>
        <w:t>Overview</w:t>
      </w:r>
      <w:bookmarkEnd w:id="4439"/>
      <w:bookmarkEnd w:id="4440"/>
      <w:bookmarkEnd w:id="4441"/>
      <w:bookmarkEnd w:id="4442"/>
      <w:bookmarkEnd w:id="4443"/>
      <w:bookmarkEnd w:id="4444"/>
      <w:bookmarkEnd w:id="4445"/>
    </w:p>
    <w:p w14:paraId="266B6B46" w14:textId="0721A669" w:rsidR="00D40151" w:rsidRPr="00873B6C" w:rsidRDefault="00D40151" w:rsidP="00D40151">
      <w:r w:rsidRPr="00873B6C">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873B6C">
        <w:t xml:space="preserve"> and NR</w:t>
      </w:r>
      <w:r w:rsidRPr="00873B6C">
        <w:t xml:space="preserve"> connected to 5GC. Extended DRX in CM-CONNECTED with </w:t>
      </w:r>
      <w:r w:rsidR="00511811" w:rsidRPr="00873B6C">
        <w:t xml:space="preserve">RRC_INACTIVE </w:t>
      </w:r>
      <w:r w:rsidRPr="00873B6C">
        <w:t>mode is supported for WB-E-UTRA</w:t>
      </w:r>
      <w:r w:rsidR="008546A1" w:rsidRPr="00873B6C">
        <w:t>,</w:t>
      </w:r>
      <w:r w:rsidRPr="00873B6C">
        <w:t xml:space="preserve"> LTE-M</w:t>
      </w:r>
      <w:r w:rsidR="008546A1" w:rsidRPr="00873B6C">
        <w:t xml:space="preserve"> and NR</w:t>
      </w:r>
      <w:r w:rsidRPr="00873B6C">
        <w:t xml:space="preserve"> connected to 5GC. </w:t>
      </w:r>
      <w:r w:rsidR="00511811" w:rsidRPr="00873B6C">
        <w:t xml:space="preserve">RRC_INACTIVE </w:t>
      </w:r>
      <w:r w:rsidRPr="00873B6C">
        <w:t>is not supported by NB-IoT connected to 5GC.</w:t>
      </w:r>
    </w:p>
    <w:p w14:paraId="01FF1082" w14:textId="2CFAAF8A" w:rsidR="00D40151" w:rsidRPr="00873B6C" w:rsidRDefault="00D40151" w:rsidP="00D40151">
      <w:r w:rsidRPr="00873B6C">
        <w:t>The negotiation of the eDRX parameters for</w:t>
      </w:r>
      <w:r w:rsidR="008546A1" w:rsidRPr="00873B6C">
        <w:t xml:space="preserve"> NR,</w:t>
      </w:r>
      <w:r w:rsidRPr="00873B6C">
        <w:t xml:space="preserve"> WB-E-UTRA and LTE-M is supported over any RAT.</w:t>
      </w:r>
    </w:p>
    <w:p w14:paraId="312907EB" w14:textId="5A684E65" w:rsidR="00D40151" w:rsidRPr="00873B6C" w:rsidRDefault="00D40151" w:rsidP="00D40151">
      <w:r w:rsidRPr="00873B6C">
        <w:t>Applications that want to use extended idle mode DRX need to consider specific handling of mobile terminating services or data transfers</w:t>
      </w:r>
      <w:r w:rsidR="00472CD7" w:rsidRPr="00873B6C">
        <w:t xml:space="preserve"> and</w:t>
      </w:r>
      <w:r w:rsidRPr="00873B6C">
        <w:t xml:space="preserve"> in particular they need to consider the delay tolerance of mobile terminated data. A network side application may send mobile terminated data, an SMS, or a device trigger</w:t>
      </w:r>
      <w:r w:rsidR="00472CD7" w:rsidRPr="00873B6C">
        <w:t xml:space="preserve"> and</w:t>
      </w:r>
      <w:r w:rsidRPr="00873B6C">
        <w:t xml:space="preserve"> needs to be aware that extended idle mode DRX may be in place. A UE should request for extended idle mode DRX only when all expected mobile terminating communication is tolerant to delay.</w:t>
      </w:r>
    </w:p>
    <w:p w14:paraId="0E21A129" w14:textId="77777777" w:rsidR="00D40151" w:rsidRPr="00873B6C" w:rsidRDefault="00D40151" w:rsidP="00D40151">
      <w:pPr>
        <w:pStyle w:val="NO"/>
      </w:pPr>
      <w:r w:rsidRPr="00873B6C">
        <w:t>NOTE 1:</w:t>
      </w:r>
      <w:r w:rsidRPr="00873B6C">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873B6C" w:rsidRDefault="00D40151" w:rsidP="00D40151">
      <w:r w:rsidRPr="00873B6C">
        <w:t>UE and NW negotiate the use of extended idle mode DRX as follows:</w:t>
      </w:r>
    </w:p>
    <w:p w14:paraId="4A6FD65A" w14:textId="77777777" w:rsidR="00D40151" w:rsidRPr="00873B6C" w:rsidRDefault="00D40151" w:rsidP="00D40151">
      <w:pPr>
        <w:pStyle w:val="B1"/>
      </w:pPr>
      <w:r w:rsidRPr="00873B6C">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4B3A7C8F" w:rsidR="00D40151" w:rsidRPr="00873B6C" w:rsidRDefault="00D40151" w:rsidP="00D40151">
      <w:pPr>
        <w:pStyle w:val="B1"/>
      </w:pPr>
      <w:r w:rsidRPr="00873B6C">
        <w:lastRenderedPageBreak/>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w:t>
      </w:r>
      <w:r w:rsidR="00472CD7" w:rsidRPr="00873B6C">
        <w:t xml:space="preserve"> and</w:t>
      </w:r>
      <w:r w:rsidRPr="00873B6C">
        <w:t xml:space="preserve">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873B6C">
        <w:t xml:space="preserve">NR, </w:t>
      </w:r>
      <w:r w:rsidRPr="00873B6C">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873B6C">
        <w:t xml:space="preserve"> For NR, Paging Time Window applies for extended DRX lengths greater than 10.24s as defined in </w:t>
      </w:r>
      <w:r w:rsidR="00972E70" w:rsidRPr="00873B6C">
        <w:t>TS 38.304 [</w:t>
      </w:r>
      <w:r w:rsidR="008546A1" w:rsidRPr="00873B6C">
        <w:t>50].</w:t>
      </w:r>
      <w:r w:rsidR="00283ED6" w:rsidRPr="00873B6C">
        <w:t xml:space="preserve"> For WB-E-UTRA, Paging Time Window applies for extended DRX lengths of 10.24s and greater as defined in </w:t>
      </w:r>
      <w:r w:rsidR="00972E70" w:rsidRPr="00873B6C">
        <w:t>TS 36.304 [</w:t>
      </w:r>
      <w:r w:rsidR="00283ED6" w:rsidRPr="00873B6C">
        <w:t>52].</w:t>
      </w:r>
    </w:p>
    <w:p w14:paraId="480616C3" w14:textId="71E9E8F1" w:rsidR="00283ED6" w:rsidRPr="00873B6C" w:rsidRDefault="00283ED6" w:rsidP="00D40151">
      <w:pPr>
        <w:pStyle w:val="B1"/>
      </w:pPr>
      <w:r w:rsidRPr="00873B6C">
        <w:tab/>
        <w:t>When the UE is accessing NR, if the AMF provides an extended idle mode DRX cycle length value of 10.24s</w:t>
      </w:r>
      <w:r w:rsidR="00472CD7" w:rsidRPr="00873B6C">
        <w:t xml:space="preserve"> and</w:t>
      </w:r>
      <w:r w:rsidRPr="00873B6C">
        <w:t xml:space="preserve"> the registration area of the UE contains only NR cells, the AMF does not include a Paging Time Window. If the AMF provides an extended idle mode DRX cycle length value of 10.24s</w:t>
      </w:r>
      <w:r w:rsidR="00472CD7" w:rsidRPr="00873B6C">
        <w:t xml:space="preserve"> and</w:t>
      </w:r>
      <w:r w:rsidRPr="00873B6C">
        <w:t xml:space="preserve"> the registration area of the UE contains E-UTRA cells and NR cells if the UE supports both E-UTRA and NR, the AMF includes a Paging Time Window.</w:t>
      </w:r>
    </w:p>
    <w:p w14:paraId="0B5A4564" w14:textId="6940CEC8" w:rsidR="00D40151" w:rsidRPr="00873B6C" w:rsidRDefault="00D40151" w:rsidP="00D40151">
      <w:pPr>
        <w:pStyle w:val="B1"/>
      </w:pPr>
      <w:r w:rsidRPr="00873B6C">
        <w:tab/>
        <w:t xml:space="preserve">For WB-E-UTRA and LTE-M the eNB broadcasts an indicator for support of extended idle mode DRX in 5GC in addition to the existing indicator for support of extended idle mode DRX in EPC as defined in </w:t>
      </w:r>
      <w:r w:rsidR="00972E70" w:rsidRPr="00873B6C">
        <w:t>TS 36.331 [</w:t>
      </w:r>
      <w:r w:rsidRPr="00873B6C">
        <w:t>51].</w:t>
      </w:r>
      <w:r w:rsidR="008546A1" w:rsidRPr="00873B6C">
        <w:t xml:space="preserve"> For NR the gNB broadcasts an indicator for support of extended idle mode DRX as defined in </w:t>
      </w:r>
      <w:r w:rsidR="00972E70" w:rsidRPr="00873B6C">
        <w:t>TS 38.331 [</w:t>
      </w:r>
      <w:r w:rsidR="008546A1" w:rsidRPr="00873B6C">
        <w:t>28].</w:t>
      </w:r>
      <w:r w:rsidRPr="00873B6C">
        <w:t xml:space="preserve"> This indicator is used by the UE in CM-IDLE state.</w:t>
      </w:r>
    </w:p>
    <w:p w14:paraId="2124C11B" w14:textId="77777777" w:rsidR="00D40151" w:rsidRPr="00873B6C" w:rsidRDefault="00D40151" w:rsidP="00D40151">
      <w:pPr>
        <w:pStyle w:val="NO"/>
      </w:pPr>
      <w:r w:rsidRPr="00873B6C">
        <w:t>NOTE 2:</w:t>
      </w:r>
      <w:r w:rsidRPr="00873B6C">
        <w:tab/>
        <w:t>A broadcast indicator for support of extended idle mode DRX is not needed for NB-IoT as it is always supported in NB-IoT.</w:t>
      </w:r>
    </w:p>
    <w:p w14:paraId="1A10EFFE" w14:textId="3FFCF0F6" w:rsidR="00D40151" w:rsidRPr="00873B6C" w:rsidRDefault="00D40151" w:rsidP="00D40151">
      <w:r w:rsidRPr="00873B6C">
        <w:t xml:space="preserve">The specific negotiation procedure handling is described in </w:t>
      </w:r>
      <w:r w:rsidR="00972E70" w:rsidRPr="00873B6C">
        <w:t>TS 23.502 [</w:t>
      </w:r>
      <w:r w:rsidRPr="00873B6C">
        <w:t>3].</w:t>
      </w:r>
    </w:p>
    <w:p w14:paraId="16D3AC2E" w14:textId="77777777" w:rsidR="00D40151" w:rsidRPr="00873B6C" w:rsidRDefault="00D40151" w:rsidP="00D40151">
      <w:pPr>
        <w:pStyle w:val="NO"/>
      </w:pPr>
      <w:r w:rsidRPr="00873B6C">
        <w:t>NOTE 3:</w:t>
      </w:r>
      <w:r w:rsidRPr="00873B6C">
        <w:tab/>
        <w:t>If the Periodic Registration Update timer assigned to the UE is not longer than the extended idle mode DRX cycle the power savings are not maximised.</w:t>
      </w:r>
    </w:p>
    <w:p w14:paraId="5181306F" w14:textId="7EDF014C" w:rsidR="00D40151" w:rsidRPr="00873B6C" w:rsidRDefault="00D40151" w:rsidP="00D40151">
      <w:r w:rsidRPr="00873B6C">
        <w:t xml:space="preserve">For RAT types that support extended DRX for CM-CONNECTED with </w:t>
      </w:r>
      <w:r w:rsidR="00511811" w:rsidRPr="00873B6C">
        <w:t xml:space="preserve">RRC_INACTIVE </w:t>
      </w:r>
      <w:r w:rsidRPr="00873B6C">
        <w:t>state, the AMF passes the UE's accepted idle mode eDRX value</w:t>
      </w:r>
      <w:r w:rsidR="00141A61" w:rsidRPr="00873B6C">
        <w:t>s</w:t>
      </w:r>
      <w:r w:rsidRPr="00873B6C">
        <w:t xml:space="preserve"> to NG-RAN. If the UE supports eDRX in</w:t>
      </w:r>
      <w:r w:rsidR="00511811" w:rsidRPr="00873B6C">
        <w:t xml:space="preserve"> RRC_INACTIVE</w:t>
      </w:r>
      <w:r w:rsidRPr="00873B6C">
        <w:t xml:space="preserve">, based on its UE radio capabilities, NG-RAN configures the UE with an eDRX cycle in </w:t>
      </w:r>
      <w:r w:rsidR="00511811" w:rsidRPr="00873B6C">
        <w:t xml:space="preserve">RRC_INACTIVE </w:t>
      </w:r>
      <w:r w:rsidR="0069561D" w:rsidRPr="00873B6C">
        <w:t xml:space="preserve">as specified in </w:t>
      </w:r>
      <w:r w:rsidR="00972E70" w:rsidRPr="00873B6C">
        <w:t>TS 38.300 [</w:t>
      </w:r>
      <w:r w:rsidR="0069561D" w:rsidRPr="00873B6C">
        <w:t>27]</w:t>
      </w:r>
      <w:r w:rsidRPr="00873B6C">
        <w:t xml:space="preserve"> up to the value for the UE's idle mode eDRX cycle as provided by the AMF in "RRC Inactive Assistance Information" as defined in clause 5.3.3.2.5.</w:t>
      </w:r>
    </w:p>
    <w:p w14:paraId="213040D7" w14:textId="0E89802D" w:rsidR="00A51A83" w:rsidRPr="00873B6C" w:rsidRDefault="00A51A83" w:rsidP="00D40151">
      <w:r w:rsidRPr="00873B6C">
        <w:t>If an eDRX cycle is applied in RRC_INACTIVE, the RAN can buffer DL packets up to the duration of the eDRX cycle chosen by NG-RAN if the eDRX cycle does not last more than 10.24 seconds. If the CN based MT communication handling support indication is received in RRC Inactive Assistance Information, the NG-RAN may select an eDRX cycle that lasts more than 10.24s. In this case, based on implementation the NG-RAN may send an indication in N2 message that the UE is transitioning to RRC_INACTIVE state and the</w:t>
      </w:r>
      <w:r w:rsidR="00141A61" w:rsidRPr="00873B6C">
        <w:t xml:space="preserve"> NG-RAN determined eDRX values (i.e. the eDRX cycle length and the Paging Time Window length) for RRC_INACTIVE</w:t>
      </w:r>
      <w:r w:rsidRPr="00873B6C">
        <w:t xml:space="preserve"> to the AMF. The CN takes the indication in the N2 message into account, then handles mobile terminated (MT) communication as specified in clause 5.31.7.2.4 and it can apply high latency communication as specified in clause 5.31.8. The AMF replies to NG-RAN that the indication in the N2 message has been taken into account and the MT signalling or data may be buffered by the Core Network based on high latency communication. If and when the NG-RAN chooses to send the indication is up to NG-RAN implementation. If the NG-RAN delays sending the indication and it receives a DL NAS message for the UE, the NG-RAN proceeds as described in clause 4.8.1.1a of TS 23.502 [3].</w:t>
      </w:r>
    </w:p>
    <w:p w14:paraId="16CE4006" w14:textId="2C19F4D6" w:rsidR="0069561D" w:rsidRPr="00873B6C" w:rsidRDefault="0069561D" w:rsidP="00695DF1">
      <w:pPr>
        <w:pStyle w:val="NO"/>
      </w:pPr>
      <w:r w:rsidRPr="00873B6C">
        <w:t>NOTE </w:t>
      </w:r>
      <w:r w:rsidR="00A51A83" w:rsidRPr="00873B6C">
        <w:t>4</w:t>
      </w:r>
      <w:r w:rsidRPr="00873B6C">
        <w:t>:</w:t>
      </w:r>
      <w:r w:rsidRPr="00873B6C">
        <w:tab/>
        <w:t xml:space="preserve">If the indication that the UE is transitioning to </w:t>
      </w:r>
      <w:r w:rsidR="00511811" w:rsidRPr="00873B6C">
        <w:t xml:space="preserve">RRC_INACTIVE </w:t>
      </w:r>
      <w:r w:rsidRPr="00873B6C">
        <w:t xml:space="preserve">state is not sent (or sent after UE has entered </w:t>
      </w:r>
      <w:r w:rsidR="00511811" w:rsidRPr="00873B6C">
        <w:t xml:space="preserve">RRC_INACTIVE </w:t>
      </w:r>
      <w:r w:rsidRPr="00873B6C">
        <w:t>state) by the NG-RAN then until CN receives it the CN cannot apply the high latency communication functionality, other NFs will not be aware of the UE reachability, certain high latency communication related services provided to the AF via NEF would not be available,</w:t>
      </w:r>
      <w:r w:rsidR="003E03C2" w:rsidRPr="00873B6C">
        <w:t xml:space="preserve"> NAS message delivery might fail</w:t>
      </w:r>
      <w:r w:rsidRPr="00873B6C">
        <w:t xml:space="preserve"> and downlink data in RAN might be lost.</w:t>
      </w:r>
    </w:p>
    <w:p w14:paraId="50C38712" w14:textId="07B0FC91" w:rsidR="00BE0437" w:rsidRPr="00873B6C" w:rsidRDefault="00BE0437" w:rsidP="00BE0437">
      <w:pPr>
        <w:pStyle w:val="NO"/>
      </w:pPr>
      <w:r w:rsidRPr="00873B6C">
        <w:t>NOTE 5:</w:t>
      </w:r>
      <w:r w:rsidRPr="00873B6C">
        <w:tab/>
        <w:t>The CN based MT communication handling support indication in RRC Inactive Assistance Information is provided when all entities (e.g. AMF, SMF and UPF) involved in the CN support corresponding functionalities (including the support providing buffered downlink data size) based on deployment and configuration.</w:t>
      </w:r>
    </w:p>
    <w:p w14:paraId="0596C758" w14:textId="24E09189" w:rsidR="00D40151" w:rsidRPr="00873B6C" w:rsidRDefault="00D40151" w:rsidP="00D40151">
      <w:r w:rsidRPr="00873B6C">
        <w:lastRenderedPageBreak/>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rsidRPr="00873B6C">
        <w:t xml:space="preserve">is </w:t>
      </w:r>
      <w:r w:rsidRPr="00873B6C">
        <w:t>released, the UE and AMF shall reuse the negotiated extended idle mode DRX parameters in the last Registration Update procedure.</w:t>
      </w:r>
    </w:p>
    <w:p w14:paraId="046A3CFC" w14:textId="7BD8D985" w:rsidR="00D40151" w:rsidRPr="00873B6C" w:rsidRDefault="00D40151" w:rsidP="00D40151">
      <w:r w:rsidRPr="00873B6C">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873B6C" w:rsidRDefault="00D40151" w:rsidP="00D40151">
      <w:pPr>
        <w:pStyle w:val="Heading5"/>
      </w:pPr>
      <w:bookmarkStart w:id="4446" w:name="_CR5_31_7_2_2"/>
      <w:bookmarkStart w:id="4447" w:name="_Toc20150112"/>
      <w:bookmarkStart w:id="4448" w:name="_Toc27846912"/>
      <w:bookmarkStart w:id="4449" w:name="_Toc36188043"/>
      <w:bookmarkStart w:id="4450" w:name="_Toc45183948"/>
      <w:bookmarkStart w:id="4451" w:name="_Toc47342790"/>
      <w:bookmarkStart w:id="4452" w:name="_Toc51769492"/>
      <w:bookmarkStart w:id="4453" w:name="_Toc201157557"/>
      <w:bookmarkEnd w:id="4446"/>
      <w:r w:rsidRPr="00873B6C">
        <w:t>5.31.7.2.2</w:t>
      </w:r>
      <w:r w:rsidRPr="00873B6C">
        <w:tab/>
        <w:t>Paging for extended idle mode DRX in E-UTRA</w:t>
      </w:r>
      <w:r w:rsidR="008546A1" w:rsidRPr="00873B6C">
        <w:t xml:space="preserve"> and NR</w:t>
      </w:r>
      <w:r w:rsidRPr="00873B6C">
        <w:t xml:space="preserve"> connected to 5GC</w:t>
      </w:r>
      <w:bookmarkEnd w:id="4447"/>
      <w:bookmarkEnd w:id="4448"/>
      <w:bookmarkEnd w:id="4449"/>
      <w:bookmarkEnd w:id="4450"/>
      <w:bookmarkEnd w:id="4451"/>
      <w:bookmarkEnd w:id="4452"/>
      <w:bookmarkEnd w:id="4453"/>
    </w:p>
    <w:p w14:paraId="23E76D2C" w14:textId="77777777" w:rsidR="00D40151" w:rsidRPr="00873B6C" w:rsidRDefault="00D40151" w:rsidP="00D40151">
      <w:pPr>
        <w:pStyle w:val="H6"/>
      </w:pPr>
      <w:bookmarkStart w:id="4454" w:name="_CR5_31_7_2_2_0"/>
      <w:r w:rsidRPr="00873B6C">
        <w:t>5.31.7.2.2.0</w:t>
      </w:r>
      <w:r w:rsidRPr="00873B6C">
        <w:tab/>
        <w:t>General</w:t>
      </w:r>
    </w:p>
    <w:bookmarkEnd w:id="4454"/>
    <w:p w14:paraId="0053FB3E" w14:textId="4C06FB57" w:rsidR="00D40151" w:rsidRPr="00873B6C" w:rsidRDefault="00D40151" w:rsidP="00D40151">
      <w:r w:rsidRPr="00873B6C">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873B6C">
        <w:t>e.</w:t>
      </w:r>
      <w:r w:rsidRPr="00873B6C">
        <w:t xml:space="preserve"> 20.48s, 40.96s, 81.92, etc.) up to a maximum of 10485.76s (almost 3 hours) (see </w:t>
      </w:r>
      <w:r w:rsidR="00972E70" w:rsidRPr="00873B6C">
        <w:t>TS 36.304 [</w:t>
      </w:r>
      <w:r w:rsidRPr="00873B6C">
        <w:t>52]).</w:t>
      </w:r>
      <w:r w:rsidR="008546A1" w:rsidRPr="00873B6C">
        <w:t xml:space="preserve"> For NR, the extended idle mode DRX value range will consist of values starting from 2.56s (i.e. 2.56s, 5.12s, 10.24s, 20.48s, etc.) up to a maximum of 10485.76s (almost 3 hours) (see </w:t>
      </w:r>
      <w:r w:rsidR="00972E70" w:rsidRPr="00873B6C">
        <w:t>TS 38.304 [</w:t>
      </w:r>
      <w:r w:rsidR="008546A1" w:rsidRPr="00873B6C">
        <w:t>50]).</w:t>
      </w:r>
      <w:r w:rsidRPr="00873B6C">
        <w:t xml:space="preserve"> The extended idle mode DRX cycle length is negotiated via NAS signalling. The AMF includes the extended idle mode DRX cycle length for </w:t>
      </w:r>
      <w:r w:rsidR="00CB6EDC" w:rsidRPr="00873B6C">
        <w:t xml:space="preserve">NR, </w:t>
      </w:r>
      <w:r w:rsidRPr="00873B6C">
        <w:t>WB-E-UTRA, LTE-M or NB-IoT in paging message to assist the NG-RAN node in paging the UE.</w:t>
      </w:r>
      <w:r w:rsidR="008546A1" w:rsidRPr="00873B6C">
        <w:t xml:space="preserve"> For NR, Paging Time Window applies for extended DRX lengths </w:t>
      </w:r>
      <w:r w:rsidR="00A2272A" w:rsidRPr="00873B6C">
        <w:t xml:space="preserve">longer </w:t>
      </w:r>
      <w:r w:rsidR="008546A1" w:rsidRPr="00873B6C">
        <w:t xml:space="preserve">than 10.24s as defined in </w:t>
      </w:r>
      <w:r w:rsidR="00972E70" w:rsidRPr="00873B6C">
        <w:t>TS 38.304 [</w:t>
      </w:r>
      <w:r w:rsidR="008546A1" w:rsidRPr="00873B6C">
        <w:t>50].</w:t>
      </w:r>
      <w:r w:rsidR="00A2272A" w:rsidRPr="00873B6C">
        <w:t xml:space="preserve"> For WB-E-UTRA, LTE-M and NB-IoT, Paging Time Window applies for extended DRX lengths of 10.24s and longer as defined in TS 36.304 [52].</w:t>
      </w:r>
    </w:p>
    <w:p w14:paraId="30DA2D3A" w14:textId="682CBAA7" w:rsidR="00D40151" w:rsidRPr="00873B6C" w:rsidRDefault="00A2272A" w:rsidP="00D40151">
      <w:r w:rsidRPr="00873B6C">
        <w:t xml:space="preserve">The </w:t>
      </w:r>
      <w:r w:rsidR="00D40151" w:rsidRPr="00873B6C">
        <w:t>network follows the regular paging strategy as defined in clause 5.4.5</w:t>
      </w:r>
      <w:r w:rsidRPr="00873B6C">
        <w:t xml:space="preserve"> when the extended idle mode DRX cycle length is 5.12s or less for WB-E-UTRA, LTE-M and NB-IoT, or 10.24s or less for NR</w:t>
      </w:r>
      <w:r w:rsidR="00D40151" w:rsidRPr="00873B6C">
        <w:t>.</w:t>
      </w:r>
    </w:p>
    <w:p w14:paraId="3D05CA49" w14:textId="32F678D3" w:rsidR="00D40151" w:rsidRPr="00873B6C" w:rsidRDefault="00A2272A" w:rsidP="00D40151">
      <w:r w:rsidRPr="00873B6C">
        <w:t>C</w:t>
      </w:r>
      <w:r w:rsidR="00D40151" w:rsidRPr="00873B6C">
        <w:t>lauses 5.31.7.2.2.1, 5.31.7.2.2.2 and 5.31.7.2.2.3 apply</w:t>
      </w:r>
      <w:r w:rsidRPr="00873B6C">
        <w:t xml:space="preserve"> when the extended idle mode DRX cycle length is 10.24s or longer for WB-E-UTRA, LTE-M and NB-IoT, or longer than 10.24s for NR</w:t>
      </w:r>
      <w:r w:rsidR="00D40151" w:rsidRPr="00873B6C">
        <w:t>.</w:t>
      </w:r>
    </w:p>
    <w:p w14:paraId="222E2DEF" w14:textId="77777777" w:rsidR="00D40151" w:rsidRPr="00873B6C" w:rsidRDefault="00D40151" w:rsidP="00D40151">
      <w:pPr>
        <w:pStyle w:val="H6"/>
      </w:pPr>
      <w:bookmarkStart w:id="4455" w:name="_CR5_31_7_2_2_1"/>
      <w:r w:rsidRPr="00873B6C">
        <w:t>5.31.7.2.2.1</w:t>
      </w:r>
      <w:r w:rsidRPr="00873B6C">
        <w:tab/>
        <w:t>Hyper SFN, Paging Hyperframe and Paging Time Window length</w:t>
      </w:r>
    </w:p>
    <w:bookmarkEnd w:id="4455"/>
    <w:p w14:paraId="60A4F460" w14:textId="7A9E2424" w:rsidR="00D40151" w:rsidRPr="00873B6C" w:rsidRDefault="00D40151" w:rsidP="00D40151">
      <w:r w:rsidRPr="00873B6C">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w:t>
      </w:r>
      <w:r w:rsidR="00472CD7" w:rsidRPr="00873B6C">
        <w:t xml:space="preserve"> and</w:t>
      </w:r>
      <w:r w:rsidRPr="00873B6C">
        <w:t xml:space="preserve"> a UE specific identifier, as described in </w:t>
      </w:r>
      <w:r w:rsidR="00972E70" w:rsidRPr="00873B6C">
        <w:t>TS 36.304 [</w:t>
      </w:r>
      <w:r w:rsidRPr="00873B6C">
        <w:t>52]</w:t>
      </w:r>
      <w:r w:rsidR="008546A1" w:rsidRPr="00873B6C">
        <w:t xml:space="preserve"> and </w:t>
      </w:r>
      <w:r w:rsidR="00972E70" w:rsidRPr="00873B6C">
        <w:t>TS 38.304 [</w:t>
      </w:r>
      <w:r w:rsidR="008546A1" w:rsidRPr="00873B6C">
        <w:t>50]</w:t>
      </w:r>
      <w:r w:rsidRPr="00873B6C">
        <w:t>. This value can be computed at all UEs and AMFs without need for signalling. The AMF includes the extended idle mode DRX cycle length and the PTW length in paging message to assist the NG-RAN nodes in paging the UE.</w:t>
      </w:r>
    </w:p>
    <w:p w14:paraId="333FFCD0" w14:textId="0B3856E0" w:rsidR="00D40151" w:rsidRPr="00873B6C" w:rsidRDefault="00D40151" w:rsidP="00D40151">
      <w:r w:rsidRPr="00873B6C">
        <w:t>The AMF also assigns a Paging Time Window length</w:t>
      </w:r>
      <w:r w:rsidR="00472CD7" w:rsidRPr="00873B6C">
        <w:t xml:space="preserve"> and</w:t>
      </w:r>
      <w:r w:rsidRPr="00873B6C">
        <w:t xml:space="preserve"> provides this value to the UE during Registration Update procedures together with the extended idle mode DRX cycle length. The UE first paging occasion is within the Paging Hyperframe as described in </w:t>
      </w:r>
      <w:r w:rsidR="00972E70" w:rsidRPr="00873B6C">
        <w:t>TS 36.304 [</w:t>
      </w:r>
      <w:r w:rsidRPr="00873B6C">
        <w:t>52]</w:t>
      </w:r>
      <w:r w:rsidR="008546A1" w:rsidRPr="00873B6C">
        <w:t xml:space="preserve"> and </w:t>
      </w:r>
      <w:r w:rsidR="00972E70" w:rsidRPr="00873B6C">
        <w:t>TS 38.304 [</w:t>
      </w:r>
      <w:r w:rsidR="008546A1" w:rsidRPr="00873B6C">
        <w:t>50]</w:t>
      </w:r>
      <w:r w:rsidRPr="00873B6C">
        <w:t xml:space="preserve">. The UE is assumed reachable for paging within the Paging Time Window. The start and end of the Paging Time Window is described in </w:t>
      </w:r>
      <w:r w:rsidR="00972E70" w:rsidRPr="00873B6C">
        <w:t>TS 36.304 [</w:t>
      </w:r>
      <w:r w:rsidRPr="00873B6C">
        <w:t>52]</w:t>
      </w:r>
      <w:r w:rsidR="008546A1" w:rsidRPr="00873B6C">
        <w:t xml:space="preserve"> and </w:t>
      </w:r>
      <w:r w:rsidR="00972E70" w:rsidRPr="00873B6C">
        <w:t>TS 38.304 [</w:t>
      </w:r>
      <w:r w:rsidR="008546A1" w:rsidRPr="00873B6C">
        <w:t>50]</w:t>
      </w:r>
      <w:r w:rsidRPr="00873B6C">
        <w:t>. After the Paging Time Window length, the AMF considers the UE unreachable for paging until the next Paging Hyperfame.</w:t>
      </w:r>
    </w:p>
    <w:p w14:paraId="38D28DA8" w14:textId="77777777" w:rsidR="00D40151" w:rsidRPr="00873B6C" w:rsidRDefault="00D40151" w:rsidP="00D40151">
      <w:pPr>
        <w:pStyle w:val="H6"/>
      </w:pPr>
      <w:bookmarkStart w:id="4456" w:name="_CR5_31_7_2_2_2"/>
      <w:r w:rsidRPr="00873B6C">
        <w:t>5.31.7.2.2.2</w:t>
      </w:r>
      <w:r w:rsidRPr="00873B6C">
        <w:tab/>
        <w:t>Loose Hyper SFN synchronization</w:t>
      </w:r>
    </w:p>
    <w:bookmarkEnd w:id="4456"/>
    <w:p w14:paraId="0091348F" w14:textId="68CDE260" w:rsidR="00D40151" w:rsidRPr="00873B6C" w:rsidRDefault="00D40151" w:rsidP="00D40151">
      <w:pPr>
        <w:pStyle w:val="NO"/>
      </w:pPr>
      <w:r w:rsidRPr="00873B6C">
        <w:t>NOTE:</w:t>
      </w:r>
      <w:r w:rsidRPr="00873B6C">
        <w:tab/>
        <w:t xml:space="preserve">This clause applies </w:t>
      </w:r>
      <w:r w:rsidR="00A2272A" w:rsidRPr="00873B6C">
        <w:t xml:space="preserve">when the </w:t>
      </w:r>
      <w:r w:rsidRPr="00873B6C">
        <w:t>extended DRX cycle length</w:t>
      </w:r>
      <w:r w:rsidR="00A2272A" w:rsidRPr="00873B6C">
        <w:t xml:space="preserve"> i</w:t>
      </w:r>
      <w:r w:rsidRPr="00873B6C">
        <w:t>s 10.24s or longer</w:t>
      </w:r>
      <w:r w:rsidR="00A2272A" w:rsidRPr="00873B6C">
        <w:t xml:space="preserve"> for WB-E-UTRA, LTE-M and NB-IoT</w:t>
      </w:r>
      <w:r w:rsidR="00472CD7" w:rsidRPr="00873B6C">
        <w:t xml:space="preserve"> and</w:t>
      </w:r>
      <w:r w:rsidR="00A2272A" w:rsidRPr="00873B6C">
        <w:t xml:space="preserve"> longer than 10.24s for NR</w:t>
      </w:r>
      <w:r w:rsidRPr="00873B6C">
        <w:t>.</w:t>
      </w:r>
    </w:p>
    <w:p w14:paraId="5D9A1336" w14:textId="77777777" w:rsidR="00D40151" w:rsidRPr="00873B6C" w:rsidRDefault="00D40151" w:rsidP="00D40151">
      <w:r w:rsidRPr="00873B6C">
        <w:t>In order for the UE to be paged at roughly similar time, the H-SFN of all NG-RAN nodes and AMFs should be loosely synchronized.</w:t>
      </w:r>
    </w:p>
    <w:p w14:paraId="7ADFE079" w14:textId="699D37CF" w:rsidR="00D40151" w:rsidRPr="00873B6C" w:rsidRDefault="00D40151" w:rsidP="00D40151">
      <w:r w:rsidRPr="00873B6C">
        <w:t>Each NG-RAN node and AMF synchronizes internally the H-SFN counter so that the start of H-SFN=0 coincides with the same a preconfigured time epoch. If NG-RAN nodes and AMFs use different epochs, e.</w:t>
      </w:r>
      <w:r w:rsidR="000E35F2" w:rsidRPr="00873B6C">
        <w:t>g.</w:t>
      </w:r>
      <w:r w:rsidRPr="00873B6C">
        <w:t xml:space="preserve"> due to the use of different time references, the GPS time should be set as the baseline</w:t>
      </w:r>
      <w:r w:rsidR="00472CD7" w:rsidRPr="00873B6C">
        <w:t xml:space="preserve"> and</w:t>
      </w:r>
      <w:r w:rsidRPr="00873B6C">
        <w:t xml:space="preserve">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873B6C" w:rsidRDefault="00D40151" w:rsidP="00D40151">
      <w:r w:rsidRPr="00873B6C">
        <w:lastRenderedPageBreak/>
        <w:t>There is no signalling between network nodes required to achieve this level of loose H-SFN synchronization.</w:t>
      </w:r>
    </w:p>
    <w:p w14:paraId="73D4F066" w14:textId="77777777" w:rsidR="00D40151" w:rsidRPr="00873B6C" w:rsidRDefault="00D40151" w:rsidP="00D40151">
      <w:pPr>
        <w:pStyle w:val="H6"/>
      </w:pPr>
      <w:bookmarkStart w:id="4457" w:name="_CR5_31_7_2_2_3"/>
      <w:r w:rsidRPr="00873B6C">
        <w:t>5.31.7.2.2.3</w:t>
      </w:r>
      <w:r w:rsidRPr="00873B6C">
        <w:tab/>
        <w:t>AMF paging and paging retransmission strategy</w:t>
      </w:r>
    </w:p>
    <w:bookmarkEnd w:id="4457"/>
    <w:p w14:paraId="4B176CAB" w14:textId="08C0EE28" w:rsidR="00D40151" w:rsidRPr="00873B6C" w:rsidRDefault="00D40151" w:rsidP="00D40151">
      <w:pPr>
        <w:pStyle w:val="NO"/>
      </w:pPr>
      <w:r w:rsidRPr="00873B6C">
        <w:t>NOTE:</w:t>
      </w:r>
      <w:r w:rsidRPr="00873B6C">
        <w:tab/>
        <w:t xml:space="preserve">This clause applies </w:t>
      </w:r>
      <w:r w:rsidR="00A2272A" w:rsidRPr="00873B6C">
        <w:t xml:space="preserve">when the </w:t>
      </w:r>
      <w:r w:rsidRPr="00873B6C">
        <w:t>extended DRX cycle length</w:t>
      </w:r>
      <w:r w:rsidR="00A2272A" w:rsidRPr="00873B6C">
        <w:t xml:space="preserve"> i</w:t>
      </w:r>
      <w:r w:rsidRPr="00873B6C">
        <w:t>s 10.24s or longer</w:t>
      </w:r>
      <w:r w:rsidR="00A2272A" w:rsidRPr="00873B6C">
        <w:t xml:space="preserve"> for WB-E-UTRA, LTE-M and NB-IoT</w:t>
      </w:r>
      <w:r w:rsidR="00472CD7" w:rsidRPr="00873B6C">
        <w:t xml:space="preserve"> and</w:t>
      </w:r>
      <w:r w:rsidR="00A2272A" w:rsidRPr="00873B6C">
        <w:t xml:space="preserve"> longer than 10.24s for NR</w:t>
      </w:r>
      <w:r w:rsidRPr="00873B6C">
        <w:t>.</w:t>
      </w:r>
    </w:p>
    <w:p w14:paraId="5CB0C073" w14:textId="77777777" w:rsidR="00D40151" w:rsidRPr="00873B6C" w:rsidRDefault="00D40151" w:rsidP="00D40151">
      <w:r w:rsidRPr="00873B6C">
        <w:t>When the AMF receives trigger for paging and the UE is reachable for paging, the AMF sends the paging request. If the UE is not reachable for paging, then the AMF pages the UE just before the next paging occasion.</w:t>
      </w:r>
    </w:p>
    <w:p w14:paraId="03D3DDF0" w14:textId="17861123" w:rsidR="00D40151" w:rsidRPr="00873B6C" w:rsidRDefault="00D40151" w:rsidP="00D40151">
      <w:r w:rsidRPr="00873B6C">
        <w:t>The AMF determines the Paging Time Window length and a paging retransmission strategy</w:t>
      </w:r>
      <w:r w:rsidR="00472CD7" w:rsidRPr="00873B6C">
        <w:t xml:space="preserve"> and</w:t>
      </w:r>
      <w:r w:rsidRPr="00873B6C">
        <w:t xml:space="preserve"> executes the retransmission scheme.</w:t>
      </w:r>
    </w:p>
    <w:p w14:paraId="0CB3FBBE" w14:textId="365876DC" w:rsidR="00283ED6" w:rsidRPr="00873B6C" w:rsidRDefault="00283ED6" w:rsidP="00283ED6">
      <w:bookmarkStart w:id="4458" w:name="_Toc27846913"/>
      <w:bookmarkStart w:id="4459" w:name="_Toc36188044"/>
      <w:bookmarkStart w:id="4460" w:name="_Toc45183949"/>
      <w:bookmarkStart w:id="4461" w:name="_Toc47342791"/>
      <w:bookmarkStart w:id="4462" w:name="_Toc51769493"/>
      <w:bookmarkStart w:id="4463" w:name="_Toc20150113"/>
      <w:r w:rsidRPr="00873B6C">
        <w:t>For extended DRX length of 10.24s, in the paging request message the AMF sends the Paging Time Window to the ng-eNB but does not send the Paging Time Window to the gNB.</w:t>
      </w:r>
    </w:p>
    <w:p w14:paraId="71F5F1B6" w14:textId="77777777" w:rsidR="00D40151" w:rsidRPr="00873B6C" w:rsidRDefault="00D40151" w:rsidP="00D40151">
      <w:pPr>
        <w:pStyle w:val="Heading5"/>
      </w:pPr>
      <w:bookmarkStart w:id="4464" w:name="_CR5_31_7_2_3"/>
      <w:bookmarkStart w:id="4465" w:name="_Toc201157558"/>
      <w:bookmarkEnd w:id="4464"/>
      <w:r w:rsidRPr="00873B6C">
        <w:t>5.31.7.2.3</w:t>
      </w:r>
      <w:r w:rsidRPr="00873B6C">
        <w:tab/>
        <w:t>Paging for a UE registered in a tracking area with heterogeneous support of extended idle mode DRX</w:t>
      </w:r>
      <w:bookmarkEnd w:id="4458"/>
      <w:bookmarkEnd w:id="4459"/>
      <w:bookmarkEnd w:id="4460"/>
      <w:bookmarkEnd w:id="4461"/>
      <w:bookmarkEnd w:id="4462"/>
      <w:bookmarkEnd w:id="4465"/>
    </w:p>
    <w:p w14:paraId="0346D5CC" w14:textId="77777777" w:rsidR="00D40151" w:rsidRPr="00873B6C" w:rsidRDefault="00D40151" w:rsidP="00D40151">
      <w:pPr>
        <w:rPr>
          <w:lang w:eastAsia="x-none"/>
        </w:rPr>
      </w:pPr>
      <w:r w:rsidRPr="00873B6C">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394BBA20" w:rsidR="00D40151" w:rsidRPr="00873B6C" w:rsidRDefault="00D40151" w:rsidP="00D40151">
      <w:pPr>
        <w:pStyle w:val="NO"/>
      </w:pPr>
      <w:r w:rsidRPr="00873B6C">
        <w:t>NOTE:</w:t>
      </w:r>
      <w:r w:rsidRPr="00873B6C">
        <w:tab/>
        <w:t>Heterogeneous support of extended idle mode DRX in tracking areas assigned by AMF in a TAI list can result in significant battery life reduction in the UE as compared to homogeneous support by NG-RAN nodes of extended idle mode DR</w:t>
      </w:r>
      <w:r w:rsidR="00972E70" w:rsidRPr="00873B6C">
        <w:t>X</w:t>
      </w:r>
      <w:r w:rsidR="00F05BA4" w:rsidRPr="00873B6C">
        <w:t>.</w:t>
      </w:r>
    </w:p>
    <w:p w14:paraId="10BE68E1" w14:textId="634EDF42" w:rsidR="0069561D" w:rsidRPr="00873B6C" w:rsidRDefault="0069561D" w:rsidP="0069561D">
      <w:pPr>
        <w:pStyle w:val="Heading5"/>
      </w:pPr>
      <w:bookmarkStart w:id="4466" w:name="_CR5_31_7_2_4"/>
      <w:bookmarkStart w:id="4467" w:name="_Toc27846914"/>
      <w:bookmarkStart w:id="4468" w:name="_Toc36188045"/>
      <w:bookmarkStart w:id="4469" w:name="_Toc45183950"/>
      <w:bookmarkStart w:id="4470" w:name="_Toc47342792"/>
      <w:bookmarkStart w:id="4471" w:name="_Toc51769494"/>
      <w:bookmarkStart w:id="4472" w:name="_Toc201157559"/>
      <w:bookmarkEnd w:id="4466"/>
      <w:r w:rsidRPr="00873B6C">
        <w:t>5.31.7.2.4</w:t>
      </w:r>
      <w:r w:rsidRPr="00873B6C">
        <w:tab/>
        <w:t xml:space="preserve">Paging for extended DRX for </w:t>
      </w:r>
      <w:r w:rsidR="00511811" w:rsidRPr="00873B6C">
        <w:t xml:space="preserve">RRC_INACTIVE </w:t>
      </w:r>
      <w:r w:rsidRPr="00873B6C">
        <w:t>in NR connected to 5GC</w:t>
      </w:r>
      <w:bookmarkEnd w:id="4472"/>
    </w:p>
    <w:p w14:paraId="4A334235" w14:textId="68265C52" w:rsidR="0069561D" w:rsidRPr="00873B6C" w:rsidRDefault="0069561D" w:rsidP="0069561D">
      <w:r w:rsidRPr="00873B6C">
        <w:t xml:space="preserve">For NR, the NG-RAN may request the CN to handle mobile terminated (MT) communication for the UE configured with eDRX for </w:t>
      </w:r>
      <w:r w:rsidR="00511811" w:rsidRPr="00873B6C">
        <w:t xml:space="preserve">RRC_INACTIVE </w:t>
      </w:r>
      <w:r w:rsidRPr="00873B6C">
        <w:t xml:space="preserve">state by means of the Connection Inactive procedure with CN based MT communication handling Procedure (see clause 4.8.1.1a of </w:t>
      </w:r>
      <w:r w:rsidR="00972E70" w:rsidRPr="00873B6C">
        <w:t>TS 23.502 [</w:t>
      </w:r>
      <w:r w:rsidRPr="00873B6C">
        <w:t>3]). This allows the CN to apply high latency communication functions as specified in clause 5.31.8. The NG-RAN provides the</w:t>
      </w:r>
      <w:r w:rsidR="00141A61" w:rsidRPr="00873B6C">
        <w:t xml:space="preserve"> determined eDRX values (i.e. the eDRX cycle length and the Paging Time Window length)</w:t>
      </w:r>
      <w:r w:rsidRPr="00873B6C">
        <w:t xml:space="preserve"> for </w:t>
      </w:r>
      <w:r w:rsidR="00511811" w:rsidRPr="00873B6C">
        <w:t xml:space="preserve">RRC_INACTIVE </w:t>
      </w:r>
      <w:r w:rsidRPr="00873B6C">
        <w:t>to AMF (i.e. &gt;10.24s). Based on the request from NG-RAN, the AMF responds to NG-RAN and informs other NFs (e.g. SMF and UPF) involved in downlink data</w:t>
      </w:r>
      <w:r w:rsidR="003E03C2" w:rsidRPr="00873B6C">
        <w:t xml:space="preserve"> or signalling</w:t>
      </w:r>
      <w:r w:rsidRPr="00873B6C">
        <w:t xml:space="preserve"> handling and trigger the data buffering as specified in clause 4.8.1.1a of </w:t>
      </w:r>
      <w:r w:rsidR="00972E70" w:rsidRPr="00873B6C">
        <w:t>TS 23.502 [</w:t>
      </w:r>
      <w:r w:rsidRPr="00873B6C">
        <w:t>3].</w:t>
      </w:r>
      <w:r w:rsidR="00CA290C" w:rsidRPr="00873B6C">
        <w:t xml:space="preserve"> Based on local policy and/or an indication from the AMF, e.g. the RAT type of REDCAP or the CN based MT handling indication, the SMF may trigger the UPF to provide the DL data size in case of DL data arrival when data buffering is executed in the UPF.</w:t>
      </w:r>
    </w:p>
    <w:p w14:paraId="08328E09" w14:textId="7F6B5B57" w:rsidR="0069561D" w:rsidRPr="00873B6C" w:rsidRDefault="0069561D" w:rsidP="0069561D">
      <w:r w:rsidRPr="00873B6C">
        <w:t xml:space="preserve">When MT data or signalling arrives for a UE in </w:t>
      </w:r>
      <w:r w:rsidR="00511811" w:rsidRPr="00873B6C">
        <w:t xml:space="preserve">RRC_INACTIVE </w:t>
      </w:r>
      <w:r w:rsidRPr="00873B6C">
        <w:t>state, the other NFs communicate with the AMF for delivery of MT data or signalling. The AMF calculates the UE reachability based on the eDRX value</w:t>
      </w:r>
      <w:r w:rsidR="00141A61" w:rsidRPr="00873B6C">
        <w:t>s</w:t>
      </w:r>
      <w:r w:rsidRPr="00873B6C">
        <w:t xml:space="preserve"> for </w:t>
      </w:r>
      <w:r w:rsidR="00511811" w:rsidRPr="00873B6C">
        <w:t xml:space="preserve">RRC_INACTIVE </w:t>
      </w:r>
      <w:r w:rsidRPr="00873B6C">
        <w:t>state provided by NG-RAN and triggers NG-RAN paging via an N2</w:t>
      </w:r>
      <w:r w:rsidR="00E26BE3" w:rsidRPr="00873B6C">
        <w:t xml:space="preserve"> RAN Paging Request</w:t>
      </w:r>
      <w:r w:rsidRPr="00873B6C">
        <w:t xml:space="preserve"> message if the UE is considered reachable as specified in clause 4.8.2.2b of </w:t>
      </w:r>
      <w:r w:rsidR="00972E70" w:rsidRPr="00873B6C">
        <w:t>TS 23.502 [</w:t>
      </w:r>
      <w:r w:rsidRPr="00873B6C">
        <w:t>3]</w:t>
      </w:r>
      <w:r w:rsidR="00A13197" w:rsidRPr="00873B6C">
        <w:t xml:space="preserve">. Otherwise, </w:t>
      </w:r>
      <w:r w:rsidRPr="00873B6C">
        <w:t>the AMF</w:t>
      </w:r>
      <w:r w:rsidR="00A13197" w:rsidRPr="00873B6C">
        <w:t xml:space="preserve"> stores the information received in the NF request and replies to the requesting NF to apply</w:t>
      </w:r>
      <w:r w:rsidRPr="00873B6C">
        <w:t xml:space="preserve"> high latency communication functions as specified in clause 5.31.8 based on eDRX </w:t>
      </w:r>
      <w:r w:rsidR="00141A61" w:rsidRPr="00873B6C">
        <w:t xml:space="preserve">values </w:t>
      </w:r>
      <w:r w:rsidRPr="00873B6C">
        <w:t xml:space="preserve">for </w:t>
      </w:r>
      <w:r w:rsidR="00511811" w:rsidRPr="00873B6C">
        <w:t xml:space="preserve">RRC_INACTIVE </w:t>
      </w:r>
      <w:r w:rsidRPr="00873B6C">
        <w:t>(e.g. an Estimated Maximum Wait Time is calculated based on eDRX value</w:t>
      </w:r>
      <w:r w:rsidR="00141A61" w:rsidRPr="00873B6C">
        <w:t>s</w:t>
      </w:r>
      <w:r w:rsidRPr="00873B6C">
        <w:t xml:space="preserve"> for</w:t>
      </w:r>
      <w:r w:rsidR="00511811" w:rsidRPr="00873B6C">
        <w:t xml:space="preserve"> RRC_INACTIVE</w:t>
      </w:r>
      <w:r w:rsidRPr="00873B6C">
        <w:t>).</w:t>
      </w:r>
      <w:r w:rsidR="00A13197" w:rsidRPr="00873B6C">
        <w:t xml:space="preserve"> When the AMF determines that the UE has become reachable for paging, the AMF uses the stored information to send an N2</w:t>
      </w:r>
      <w:r w:rsidR="00E26BE3" w:rsidRPr="00873B6C">
        <w:t xml:space="preserve"> RAN Paging Request</w:t>
      </w:r>
      <w:r w:rsidR="00A13197" w:rsidRPr="00873B6C">
        <w:t xml:space="preserve"> message.</w:t>
      </w:r>
      <w:r w:rsidR="00BE0437" w:rsidRPr="00873B6C">
        <w:t xml:space="preserve"> If UPF/SMF provides the downlink data size information, the AMF provides the information to NG-RAN as described in clause 4.8.2.2b of TS 23.502 [3].</w:t>
      </w:r>
    </w:p>
    <w:p w14:paraId="535D1A38" w14:textId="1F328F9D" w:rsidR="0069561D" w:rsidRPr="00873B6C" w:rsidRDefault="0069561D" w:rsidP="0069561D">
      <w:r w:rsidRPr="00873B6C">
        <w:t>When the UE</w:t>
      </w:r>
      <w:r w:rsidR="00386935" w:rsidRPr="00873B6C">
        <w:t xml:space="preserve"> resumes the RRC connection as specified in TS 38.300 [27] (e.g. including mobile originated small data transmission procedure),</w:t>
      </w:r>
      <w:r w:rsidRPr="00873B6C">
        <w:t xml:space="preserve"> if the NG-RAN had</w:t>
      </w:r>
      <w:r w:rsidR="003E03C2" w:rsidRPr="00873B6C">
        <w:t xml:space="preserve"> sent the indication for the CN to handle mobile terminated (MT) communication</w:t>
      </w:r>
      <w:r w:rsidRPr="00873B6C">
        <w:t>, NG-RAN</w:t>
      </w:r>
      <w:r w:rsidR="00386935" w:rsidRPr="00873B6C">
        <w:t xml:space="preserve"> proceeds</w:t>
      </w:r>
      <w:r w:rsidRPr="00873B6C">
        <w:t xml:space="preserve"> as specified in clause 4.8.2.2 of </w:t>
      </w:r>
      <w:r w:rsidR="00972E70" w:rsidRPr="00873B6C">
        <w:t>TS 23.502 [</w:t>
      </w:r>
      <w:r w:rsidRPr="00873B6C">
        <w:t>3]</w:t>
      </w:r>
      <w:r w:rsidR="00386935" w:rsidRPr="00873B6C">
        <w:t>, which indicates to the AMF that the UE is now reachable for downlink data and/or signalling</w:t>
      </w:r>
      <w:r w:rsidRPr="00873B6C">
        <w:t>. The AMF then informs other NFs that the UE is now reachable using the high latency communication functions as specified in clause 5.31.8 and MT data and signalling can be delivered to the UE.</w:t>
      </w:r>
    </w:p>
    <w:p w14:paraId="2DB5A8A7" w14:textId="77777777" w:rsidR="00D40151" w:rsidRPr="00873B6C" w:rsidRDefault="00D40151" w:rsidP="00D40151">
      <w:pPr>
        <w:pStyle w:val="Heading4"/>
      </w:pPr>
      <w:bookmarkStart w:id="4473" w:name="_CR5_31_7_3"/>
      <w:bookmarkStart w:id="4474" w:name="_Toc201157560"/>
      <w:bookmarkEnd w:id="4473"/>
      <w:r w:rsidRPr="00873B6C">
        <w:t>5.31.7.3</w:t>
      </w:r>
      <w:r w:rsidRPr="00873B6C">
        <w:tab/>
        <w:t>MICO mode with Extended Connected Time</w:t>
      </w:r>
      <w:bookmarkEnd w:id="4463"/>
      <w:bookmarkEnd w:id="4467"/>
      <w:bookmarkEnd w:id="4468"/>
      <w:bookmarkEnd w:id="4469"/>
      <w:bookmarkEnd w:id="4470"/>
      <w:bookmarkEnd w:id="4471"/>
      <w:bookmarkEnd w:id="4474"/>
    </w:p>
    <w:p w14:paraId="2D13D9E6" w14:textId="7D66D346" w:rsidR="00D40151" w:rsidRPr="00873B6C" w:rsidRDefault="00D40151" w:rsidP="00D40151">
      <w:r w:rsidRPr="00873B6C">
        <w:t xml:space="preserve">When a UE, using MICO mode, initiates MO signalling or MO data and the AMF is aware of pending or expected MT traffic, the AMF may keep the UE in CM-CONNECTED state and the RAN may keep the UE in </w:t>
      </w:r>
      <w:r w:rsidR="00511811" w:rsidRPr="00873B6C">
        <w:t xml:space="preserve">RRC_CONNECTED </w:t>
      </w:r>
      <w:r w:rsidRPr="00873B6C">
        <w:lastRenderedPageBreak/>
        <w:t>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6CC415F2" w:rsidR="00D40151" w:rsidRPr="00873B6C" w:rsidRDefault="00D40151" w:rsidP="00D40151">
      <w:r w:rsidRPr="00873B6C">
        <w:t xml:space="preserve">The AMF maintains the N2 connection for at least the Extended Connected Time and provides the Extended Connected Time value to the RAN. The Extended Connected Time value indicates the minimum time the RAN should keep the UE in </w:t>
      </w:r>
      <w:r w:rsidR="00511811" w:rsidRPr="00873B6C">
        <w:t xml:space="preserve">RRC_CONNECTED </w:t>
      </w:r>
      <w:r w:rsidRPr="00873B6C">
        <w:t>state regardless of inactivity. The Extended Connected Time value is provided to the RAN together with the</w:t>
      </w:r>
    </w:p>
    <w:p w14:paraId="70796C43" w14:textId="77777777" w:rsidR="00D40151" w:rsidRPr="00873B6C" w:rsidRDefault="00D40151" w:rsidP="00D40151">
      <w:pPr>
        <w:pStyle w:val="B1"/>
      </w:pPr>
      <w:r w:rsidRPr="00873B6C">
        <w:t>-</w:t>
      </w:r>
      <w:r w:rsidRPr="00873B6C">
        <w:tab/>
        <w:t>NAS Registration Accept message; or</w:t>
      </w:r>
    </w:p>
    <w:p w14:paraId="7D3B3EBF" w14:textId="77777777" w:rsidR="00D40151" w:rsidRPr="00873B6C" w:rsidRDefault="00D40151" w:rsidP="00D40151">
      <w:pPr>
        <w:pStyle w:val="B1"/>
      </w:pPr>
      <w:r w:rsidRPr="00873B6C">
        <w:t>-</w:t>
      </w:r>
      <w:r w:rsidRPr="00873B6C">
        <w:tab/>
        <w:t>NAS Service Accept message.</w:t>
      </w:r>
    </w:p>
    <w:p w14:paraId="64E321B1" w14:textId="77777777" w:rsidR="00D40151" w:rsidRPr="00873B6C" w:rsidRDefault="00D40151" w:rsidP="00D40151">
      <w:bookmarkStart w:id="4475" w:name="_Toc20150114"/>
      <w:bookmarkStart w:id="4476" w:name="_Toc27846915"/>
      <w:bookmarkStart w:id="4477" w:name="_Toc36188046"/>
      <w:bookmarkStart w:id="4478" w:name="_Toc45183951"/>
      <w:bookmarkStart w:id="4479" w:name="_Toc47342793"/>
      <w:r w:rsidRPr="00873B6C">
        <w:t>At inter-RAN node handovers, if some signalling or data are still pending, the target AMF may send the Extended Connected Time value to the target RAN node.</w:t>
      </w:r>
    </w:p>
    <w:p w14:paraId="78906A53" w14:textId="77777777" w:rsidR="00D40151" w:rsidRPr="00873B6C" w:rsidRDefault="00D40151" w:rsidP="00D40151">
      <w:pPr>
        <w:pStyle w:val="Heading4"/>
      </w:pPr>
      <w:bookmarkStart w:id="4480" w:name="_CR5_31_7_4"/>
      <w:bookmarkStart w:id="4481" w:name="_Toc51769495"/>
      <w:bookmarkStart w:id="4482" w:name="_Toc201157561"/>
      <w:bookmarkEnd w:id="4480"/>
      <w:r w:rsidRPr="00873B6C">
        <w:t>5.31.7.4</w:t>
      </w:r>
      <w:r w:rsidRPr="00873B6C">
        <w:tab/>
        <w:t>MICO mode with Active Time</w:t>
      </w:r>
      <w:bookmarkEnd w:id="4475"/>
      <w:bookmarkEnd w:id="4476"/>
      <w:bookmarkEnd w:id="4477"/>
      <w:bookmarkEnd w:id="4478"/>
      <w:bookmarkEnd w:id="4479"/>
      <w:bookmarkEnd w:id="4481"/>
      <w:bookmarkEnd w:id="4482"/>
    </w:p>
    <w:p w14:paraId="574BE8FD" w14:textId="3BCB72AE" w:rsidR="00D40151" w:rsidRPr="00873B6C" w:rsidRDefault="00D40151" w:rsidP="00D40151">
      <w:r w:rsidRPr="00873B6C">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w:t>
      </w:r>
      <w:r w:rsidR="00472CD7" w:rsidRPr="00873B6C">
        <w:t xml:space="preserve"> and</w:t>
      </w:r>
      <w:r w:rsidRPr="00873B6C">
        <w:t xml:space="preserve"> indicates it to the UE during Registration procedure. When an Active Time value is assigned to the UE the AMF shall consider the UE reachable for paging after the transition from CM-CONNECTED to CM-IDLE for the duration of the Active Time.</w:t>
      </w:r>
      <w:r w:rsidR="00183D3D" w:rsidRPr="00873B6C">
        <w:t xml:space="preserve"> Together with the Active Time value, the UE may request a periodic registration time value as specified in clause 5.31.7.45.</w:t>
      </w:r>
    </w:p>
    <w:p w14:paraId="16360F0D" w14:textId="77777777" w:rsidR="00D40151" w:rsidRPr="00873B6C" w:rsidRDefault="00D40151" w:rsidP="00D40151">
      <w:r w:rsidRPr="00873B6C">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873B6C" w:rsidRDefault="00D40151" w:rsidP="00D40151">
      <w:r w:rsidRPr="00873B6C">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873B6C" w:rsidRDefault="00D40151" w:rsidP="00D40151">
      <w:r w:rsidRPr="00873B6C">
        <w:t>If no Active Time value was negotiated during the most recent Registration procedure the UE shall not start the timer and it shall instead enter MICO mode directly upon entering CM-IDLE state.</w:t>
      </w:r>
    </w:p>
    <w:p w14:paraId="3EC73F46" w14:textId="77777777" w:rsidR="00D40151" w:rsidRPr="00873B6C" w:rsidRDefault="00D40151" w:rsidP="00D40151">
      <w:r w:rsidRPr="00873B6C">
        <w:t>Active Time is not transferred between AMF and MME.</w:t>
      </w:r>
    </w:p>
    <w:p w14:paraId="7CD32AAE" w14:textId="77777777" w:rsidR="00D40151" w:rsidRPr="00873B6C" w:rsidRDefault="00D40151" w:rsidP="00D40151">
      <w:pPr>
        <w:pStyle w:val="Heading4"/>
      </w:pPr>
      <w:bookmarkStart w:id="4483" w:name="_CR5_31_7_5"/>
      <w:bookmarkStart w:id="4484" w:name="_Toc20150115"/>
      <w:bookmarkStart w:id="4485" w:name="_Toc27846916"/>
      <w:bookmarkStart w:id="4486" w:name="_Toc36188047"/>
      <w:bookmarkStart w:id="4487" w:name="_Toc45183952"/>
      <w:bookmarkStart w:id="4488" w:name="_Toc47342794"/>
      <w:bookmarkStart w:id="4489" w:name="_Toc51769496"/>
      <w:bookmarkStart w:id="4490" w:name="_Toc201157562"/>
      <w:bookmarkEnd w:id="4483"/>
      <w:r w:rsidRPr="00873B6C">
        <w:t>5.31.7.5</w:t>
      </w:r>
      <w:r w:rsidRPr="00873B6C">
        <w:tab/>
        <w:t>MICO mode and Periodic Registration Timer Control</w:t>
      </w:r>
      <w:bookmarkEnd w:id="4484"/>
      <w:bookmarkEnd w:id="4485"/>
      <w:bookmarkEnd w:id="4486"/>
      <w:bookmarkEnd w:id="4487"/>
      <w:bookmarkEnd w:id="4488"/>
      <w:bookmarkEnd w:id="4489"/>
      <w:bookmarkEnd w:id="4490"/>
    </w:p>
    <w:p w14:paraId="4C1955A3" w14:textId="77777777" w:rsidR="00D40151" w:rsidRPr="00873B6C" w:rsidRDefault="00D40151" w:rsidP="00D40151">
      <w:r w:rsidRPr="00873B6C">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2760E897" w:rsidR="00D40151" w:rsidRPr="00873B6C" w:rsidRDefault="00D40151" w:rsidP="00D40151">
      <w:r w:rsidRPr="00873B6C">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rsidRPr="00873B6C">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w:t>
      </w:r>
      <w:r w:rsidR="00972E70" w:rsidRPr="00873B6C">
        <w:t>TS 23.502 [</w:t>
      </w:r>
      <w:r w:rsidR="00183D3D" w:rsidRPr="00873B6C">
        <w:t>3].</w:t>
      </w:r>
    </w:p>
    <w:p w14:paraId="60B6DC83" w14:textId="741C15D2" w:rsidR="00D40151" w:rsidRPr="00873B6C" w:rsidRDefault="00D40151" w:rsidP="00D40151">
      <w:r w:rsidRPr="00873B6C">
        <w:t xml:space="preserve">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w:t>
      </w:r>
      <w:r w:rsidRPr="00873B6C">
        <w:lastRenderedPageBreak/>
        <w:t>completion of the Registration procedure. The UE and the AMF shall neither stop nor restart the periodic registration timer when the UE enters CM-CONNECTED</w:t>
      </w:r>
      <w:r w:rsidR="00472CD7" w:rsidRPr="00873B6C">
        <w:t xml:space="preserve"> and</w:t>
      </w:r>
      <w:r w:rsidRPr="00873B6C">
        <w:t xml:space="preserve">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873B6C" w:rsidRDefault="00D40151" w:rsidP="00D40151">
      <w:r w:rsidRPr="00873B6C">
        <w:t>When the UE and the AMF locally disable MICO mode (e.g. when an emergency service is initiated), the UE and the AMF shall not apply 'Strictly Periodic Registration Timer Indication'.</w:t>
      </w:r>
    </w:p>
    <w:p w14:paraId="5F1BEDC0" w14:textId="24DE45F0" w:rsidR="00D40151" w:rsidRPr="00873B6C" w:rsidRDefault="00D40151" w:rsidP="00D40151">
      <w:r w:rsidRPr="00873B6C">
        <w:t>If the periodic registration timer is renegotiated during a Registration procedure, e.g. triggered by UE Configuration Update</w:t>
      </w:r>
      <w:r w:rsidR="00472CD7" w:rsidRPr="00873B6C">
        <w:t xml:space="preserve"> and</w:t>
      </w:r>
      <w:r w:rsidRPr="00873B6C">
        <w:t xml:space="preserve">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873B6C" w:rsidRDefault="00D40151" w:rsidP="00D40151">
      <w:pPr>
        <w:pStyle w:val="Heading3"/>
      </w:pPr>
      <w:bookmarkStart w:id="4491" w:name="_CR5_31_8"/>
      <w:bookmarkStart w:id="4492" w:name="_Toc20150116"/>
      <w:bookmarkStart w:id="4493" w:name="_Toc27846917"/>
      <w:bookmarkStart w:id="4494" w:name="_Toc36188048"/>
      <w:bookmarkStart w:id="4495" w:name="_Toc45183953"/>
      <w:bookmarkStart w:id="4496" w:name="_Toc47342795"/>
      <w:bookmarkStart w:id="4497" w:name="_Toc51769497"/>
      <w:bookmarkStart w:id="4498" w:name="_Toc201157563"/>
      <w:bookmarkEnd w:id="4491"/>
      <w:r w:rsidRPr="00873B6C">
        <w:t>5.31.8</w:t>
      </w:r>
      <w:r w:rsidRPr="00873B6C">
        <w:tab/>
        <w:t>High latency communication</w:t>
      </w:r>
      <w:bookmarkEnd w:id="4492"/>
      <w:bookmarkEnd w:id="4493"/>
      <w:bookmarkEnd w:id="4494"/>
      <w:bookmarkEnd w:id="4495"/>
      <w:bookmarkEnd w:id="4496"/>
      <w:bookmarkEnd w:id="4497"/>
      <w:bookmarkEnd w:id="4498"/>
    </w:p>
    <w:p w14:paraId="4840424F" w14:textId="3F54A903" w:rsidR="00D40151" w:rsidRPr="00873B6C" w:rsidRDefault="00D40151" w:rsidP="00D40151">
      <w:r w:rsidRPr="00873B6C">
        <w:t>Functions for High latency communication may be used to handle mobile terminated (MT) communication with UEs being unreachable while using power saving functions as specified in clause 5.31.7</w:t>
      </w:r>
      <w:r w:rsidR="00D01473" w:rsidRPr="00873B6C">
        <w:t xml:space="preserve"> or due to discontinuous coverage as described in clause 5.4.13</w:t>
      </w:r>
      <w:r w:rsidRPr="00873B6C">
        <w:t>.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Pr="00873B6C" w:rsidRDefault="00E06501" w:rsidP="00D40151">
      <w:r w:rsidRPr="00873B6C">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76D809FD" w:rsidR="00D40151" w:rsidRPr="00873B6C" w:rsidRDefault="00D40151" w:rsidP="00D40151">
      <w:r w:rsidRPr="00873B6C">
        <w:t>High latency communication is supported by extended buffering of downlink data in the UPF, SMF or NEF when a UE is using power saving functions in CM-IDLE state</w:t>
      </w:r>
      <w:r w:rsidR="0069561D" w:rsidRPr="00873B6C">
        <w:t xml:space="preserve"> or in </w:t>
      </w:r>
      <w:r w:rsidR="00511811" w:rsidRPr="00873B6C">
        <w:t xml:space="preserve">RRC_INACTIVE </w:t>
      </w:r>
      <w:r w:rsidR="0069561D" w:rsidRPr="00873B6C">
        <w:t>state</w:t>
      </w:r>
      <w:r w:rsidR="00D01473" w:rsidRPr="00873B6C">
        <w:t>, or when the UE is using a satellite access with discontinuous coverage</w:t>
      </w:r>
      <w:r w:rsidRPr="00873B6C">
        <w:t xml:space="preserve"> and the UE is not reachable. For UPF anchored PDU sessions the SMF configures during AN release</w:t>
      </w:r>
      <w:r w:rsidR="0069561D" w:rsidRPr="00873B6C">
        <w:t xml:space="preserve"> or when NG-RAN indicates via the AMF the UE is in extended DRX for</w:t>
      </w:r>
      <w:r w:rsidR="00511811" w:rsidRPr="00873B6C">
        <w:t xml:space="preserve"> RRC_INACTIVE</w:t>
      </w:r>
      <w:r w:rsidR="0069561D" w:rsidRPr="00873B6C">
        <w:t>,</w:t>
      </w:r>
      <w:r w:rsidRPr="00873B6C">
        <w:t xml:space="preserve"> the UPF with user data Forwarding Action Rule and user data Buffering Action Rule according to </w:t>
      </w:r>
      <w:r w:rsidR="00972E70" w:rsidRPr="00873B6C">
        <w:t>TS 29.244 [</w:t>
      </w:r>
      <w:r w:rsidRPr="00873B6C">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972E70" w:rsidRPr="00873B6C">
        <w:t>TS 23.502 [</w:t>
      </w:r>
      <w:r w:rsidRPr="00873B6C">
        <w:t>3].</w:t>
      </w:r>
    </w:p>
    <w:p w14:paraId="03FD3D9D" w14:textId="77777777" w:rsidR="00D40151" w:rsidRPr="00873B6C" w:rsidRDefault="00D40151" w:rsidP="00D40151">
      <w:r w:rsidRPr="00873B6C">
        <w:t>High latency communication is also supported through notification procedures. The following procedures are available based on different monitoring events:</w:t>
      </w:r>
    </w:p>
    <w:p w14:paraId="253166BC" w14:textId="77777777" w:rsidR="00D40151" w:rsidRPr="00873B6C" w:rsidRDefault="00D40151" w:rsidP="00D40151">
      <w:pPr>
        <w:pStyle w:val="B1"/>
      </w:pPr>
      <w:r w:rsidRPr="00873B6C">
        <w:t>-</w:t>
      </w:r>
      <w:r w:rsidRPr="00873B6C">
        <w:tab/>
        <w:t>UE Reachability;</w:t>
      </w:r>
    </w:p>
    <w:p w14:paraId="733F04B3" w14:textId="77777777" w:rsidR="00D40151" w:rsidRPr="00873B6C" w:rsidRDefault="00D40151" w:rsidP="00D40151">
      <w:pPr>
        <w:pStyle w:val="B1"/>
      </w:pPr>
      <w:r w:rsidRPr="00873B6C">
        <w:t>-</w:t>
      </w:r>
      <w:r w:rsidRPr="00873B6C">
        <w:tab/>
        <w:t>Availability after DDN failure;</w:t>
      </w:r>
    </w:p>
    <w:p w14:paraId="53A42F07" w14:textId="77777777" w:rsidR="00D40151" w:rsidRPr="00873B6C" w:rsidRDefault="00D40151" w:rsidP="00D40151">
      <w:pPr>
        <w:pStyle w:val="B1"/>
      </w:pPr>
      <w:r w:rsidRPr="00873B6C">
        <w:t>-</w:t>
      </w:r>
      <w:r w:rsidRPr="00873B6C">
        <w:tab/>
        <w:t>Downlink Data Delivery Status.</w:t>
      </w:r>
    </w:p>
    <w:p w14:paraId="5CACFDE0" w14:textId="11889AED" w:rsidR="00D40151" w:rsidRPr="00873B6C" w:rsidRDefault="00D40151" w:rsidP="00D40151">
      <w:r w:rsidRPr="00873B6C">
        <w:t xml:space="preserve">An AF may request a one-time "UE Reachability" notification when it wants to send data to a UE which is using a power saving function (see event subscription procedure in clause 4.15.3.2 of </w:t>
      </w:r>
      <w:r w:rsidR="00972E70" w:rsidRPr="00873B6C">
        <w:t>TS 23.502 [</w:t>
      </w:r>
      <w:r w:rsidRPr="00873B6C">
        <w:t xml:space="preserve">3]). The SCS/AS/AF then waits with sending the data until it gets a notification that the UE is reachable (see notification procedures in </w:t>
      </w:r>
      <w:r w:rsidR="00972E70" w:rsidRPr="00873B6C">
        <w:t>TS 23.502 [</w:t>
      </w:r>
      <w:r w:rsidRPr="00873B6C">
        <w:t>3]).</w:t>
      </w:r>
    </w:p>
    <w:p w14:paraId="73946E83" w14:textId="521C4DEF" w:rsidR="00D40151" w:rsidRPr="00873B6C" w:rsidRDefault="00D40151" w:rsidP="00D40151">
      <w:r w:rsidRPr="00873B6C">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972E70" w:rsidRPr="00873B6C">
        <w:t>TS 23.502 [</w:t>
      </w:r>
      <w:r w:rsidRPr="00873B6C">
        <w:t>3]).</w:t>
      </w:r>
    </w:p>
    <w:p w14:paraId="20608643" w14:textId="77777777" w:rsidR="00D40151" w:rsidRPr="00873B6C" w:rsidRDefault="00D40151" w:rsidP="00D40151">
      <w:r w:rsidRPr="00873B6C">
        <w:t>An AF may request repeated "Downlink Data Delivery Status" notifications when it wants indications that DL data has been buffered or when buffered DL data has been delivered to the UE.</w:t>
      </w:r>
    </w:p>
    <w:p w14:paraId="3BC5807B" w14:textId="2F670924" w:rsidR="00A46717" w:rsidRPr="00873B6C" w:rsidRDefault="00A46717" w:rsidP="00D40151">
      <w:r w:rsidRPr="00873B6C">
        <w:t xml:space="preserve">If MICO mode or extended idle mode DRX is enabled, Idle Status Indication allows the AF to determine when the UE transitions into idle mode. When requesting to be informed of either "UE Reachability" or "Availability after DDN </w:t>
      </w:r>
      <w:r w:rsidRPr="00873B6C">
        <w:lastRenderedPageBreak/>
        <w:t>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68FA7B06" w:rsidR="00D40151" w:rsidRPr="00873B6C" w:rsidRDefault="00D40151" w:rsidP="00D40151">
      <w:r w:rsidRPr="00873B6C">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972E70" w:rsidRPr="00873B6C">
        <w:t>TS 23.502 [</w:t>
      </w:r>
      <w:r w:rsidRPr="00873B6C">
        <w:t>3].</w:t>
      </w:r>
    </w:p>
    <w:p w14:paraId="7CD7AFB6" w14:textId="3D96C4E4" w:rsidR="00D40151" w:rsidRPr="00873B6C" w:rsidRDefault="00D40151" w:rsidP="00D40151">
      <w:bookmarkStart w:id="4499" w:name="_Toc20150117"/>
      <w:bookmarkStart w:id="4500" w:name="_Toc27846918"/>
      <w:bookmarkStart w:id="4501" w:name="_Toc36188049"/>
      <w:bookmarkStart w:id="4502" w:name="_Toc45183954"/>
      <w:bookmarkStart w:id="4503" w:name="_Toc47342796"/>
      <w:r w:rsidRPr="00873B6C">
        <w:t>If the AMF is aware that some signalling or data is pending in the network for an UE that is known as being unreachable for a long duration, e.g. for UE's having extended idle mode DRX</w:t>
      </w:r>
      <w:r w:rsidR="0069561D" w:rsidRPr="00873B6C">
        <w:t xml:space="preserve">, extended DRX for </w:t>
      </w:r>
      <w:r w:rsidR="00511811" w:rsidRPr="00873B6C">
        <w:t xml:space="preserve">RRC_INACTIVE </w:t>
      </w:r>
      <w:r w:rsidRPr="00873B6C">
        <w:t xml:space="preserve">or MICO enabled, the AMF maintains the N2 connection for at least the Extended Connected Time and provides the Extended Connected Time value in a NG-AP message to the RAN. The Extended Connected Time value indicates the minimum time the RAN should keep the UE in </w:t>
      </w:r>
      <w:r w:rsidR="00511811" w:rsidRPr="00873B6C">
        <w:t xml:space="preserve">RRC_CONNECTED </w:t>
      </w:r>
      <w:r w:rsidRPr="00873B6C">
        <w:t>state regardless of inactivity. At inter-RAN node handovers, if some signalling or data are still pending, the target AMF may send the Extended Connected Time value to the target RAN node.</w:t>
      </w:r>
    </w:p>
    <w:p w14:paraId="797CE501" w14:textId="77777777" w:rsidR="00D40151" w:rsidRPr="00873B6C" w:rsidRDefault="00D40151" w:rsidP="00D40151">
      <w:pPr>
        <w:pStyle w:val="Heading3"/>
      </w:pPr>
      <w:bookmarkStart w:id="4504" w:name="_CR5_31_9"/>
      <w:bookmarkStart w:id="4505" w:name="_Toc51769498"/>
      <w:bookmarkStart w:id="4506" w:name="_Toc201157564"/>
      <w:bookmarkEnd w:id="4504"/>
      <w:r w:rsidRPr="00873B6C">
        <w:t>5.31.9</w:t>
      </w:r>
      <w:r w:rsidRPr="00873B6C">
        <w:tab/>
        <w:t>Support for Monitoring Events</w:t>
      </w:r>
      <w:bookmarkEnd w:id="4499"/>
      <w:bookmarkEnd w:id="4500"/>
      <w:bookmarkEnd w:id="4501"/>
      <w:bookmarkEnd w:id="4502"/>
      <w:bookmarkEnd w:id="4503"/>
      <w:bookmarkEnd w:id="4505"/>
      <w:bookmarkEnd w:id="4506"/>
    </w:p>
    <w:p w14:paraId="476A5C5C" w14:textId="77777777" w:rsidR="00D40151" w:rsidRPr="00873B6C" w:rsidRDefault="00D40151" w:rsidP="00D40151">
      <w:r w:rsidRPr="00873B6C">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51F798D2" w:rsidR="00D40151" w:rsidRPr="00873B6C" w:rsidRDefault="00D40151" w:rsidP="00D40151">
      <w:r w:rsidRPr="00873B6C">
        <w:t xml:space="preserve">For CIoT, the list of supported monitoring events is specified in Table 4.15.3.1-1 of </w:t>
      </w:r>
      <w:r w:rsidR="00972E70" w:rsidRPr="00873B6C">
        <w:t>TS 23.502 [</w:t>
      </w:r>
      <w:r w:rsidRPr="00873B6C">
        <w:t>3].</w:t>
      </w:r>
    </w:p>
    <w:p w14:paraId="26C5B399" w14:textId="3BA7B8E1" w:rsidR="00D40151" w:rsidRPr="00873B6C" w:rsidRDefault="00D40151" w:rsidP="00D40151">
      <w:r w:rsidRPr="00873B6C">
        <w:t>Support for Monitoring Events can be offered via AMF, UDM</w:t>
      </w:r>
      <w:r w:rsidR="005E258C" w:rsidRPr="00873B6C">
        <w:t>, NSACF</w:t>
      </w:r>
      <w:r w:rsidRPr="00873B6C">
        <w:t xml:space="preserve"> and SMF</w:t>
      </w:r>
      <w:r w:rsidR="00472CD7" w:rsidRPr="00873B6C">
        <w:t xml:space="preserve"> and</w:t>
      </w:r>
      <w:r w:rsidRPr="00873B6C">
        <w:t xml:space="preserve"> can be reported via the NEF, as specified in clause 4.15.3 of </w:t>
      </w:r>
      <w:r w:rsidR="00972E70" w:rsidRPr="00873B6C">
        <w:t>TS 23.502 [</w:t>
      </w:r>
      <w:r w:rsidRPr="00873B6C">
        <w:t>3].</w:t>
      </w:r>
    </w:p>
    <w:p w14:paraId="0987B04E" w14:textId="77777777" w:rsidR="00D40151" w:rsidRPr="00873B6C" w:rsidRDefault="00D40151" w:rsidP="00D40151">
      <w:pPr>
        <w:pStyle w:val="Heading3"/>
      </w:pPr>
      <w:bookmarkStart w:id="4507" w:name="_CR5_31_10"/>
      <w:bookmarkStart w:id="4508" w:name="_Toc20150118"/>
      <w:bookmarkStart w:id="4509" w:name="_Toc27846919"/>
      <w:bookmarkStart w:id="4510" w:name="_Toc36188050"/>
      <w:bookmarkStart w:id="4511" w:name="_Toc45183955"/>
      <w:bookmarkStart w:id="4512" w:name="_Toc47342797"/>
      <w:bookmarkStart w:id="4513" w:name="_Toc51769499"/>
      <w:bookmarkStart w:id="4514" w:name="_Toc201157565"/>
      <w:bookmarkEnd w:id="4507"/>
      <w:r w:rsidRPr="00873B6C">
        <w:t>5.31.10</w:t>
      </w:r>
      <w:r w:rsidRPr="00873B6C">
        <w:tab/>
        <w:t>NB-IoT UE Radio Capability Handling</w:t>
      </w:r>
      <w:bookmarkEnd w:id="4508"/>
      <w:bookmarkEnd w:id="4509"/>
      <w:bookmarkEnd w:id="4510"/>
      <w:bookmarkEnd w:id="4511"/>
      <w:bookmarkEnd w:id="4512"/>
      <w:bookmarkEnd w:id="4513"/>
      <w:bookmarkEnd w:id="4514"/>
    </w:p>
    <w:p w14:paraId="35834AE5" w14:textId="77777777" w:rsidR="00D40151" w:rsidRPr="00873B6C" w:rsidRDefault="00D40151" w:rsidP="00D40151">
      <w:r w:rsidRPr="00873B6C">
        <w:t>NB-IoT Radio Capabilities are handled in the network independently from other RATs' Radio Capabilities, see clause 5.4.4.1.</w:t>
      </w:r>
    </w:p>
    <w:p w14:paraId="08DD13A1" w14:textId="77777777" w:rsidR="00D40151" w:rsidRPr="00873B6C" w:rsidRDefault="00D40151" w:rsidP="00D40151">
      <w:pPr>
        <w:pStyle w:val="Heading3"/>
      </w:pPr>
      <w:bookmarkStart w:id="4515" w:name="_CR5_31_11"/>
      <w:bookmarkStart w:id="4516" w:name="_Toc20150119"/>
      <w:bookmarkStart w:id="4517" w:name="_Toc27846920"/>
      <w:bookmarkStart w:id="4518" w:name="_Toc36188051"/>
      <w:bookmarkStart w:id="4519" w:name="_Toc45183956"/>
      <w:bookmarkStart w:id="4520" w:name="_Toc47342798"/>
      <w:bookmarkStart w:id="4521" w:name="_Toc51769500"/>
      <w:bookmarkStart w:id="4522" w:name="_Toc201157566"/>
      <w:bookmarkEnd w:id="4515"/>
      <w:r w:rsidRPr="00873B6C">
        <w:t>5.31.11</w:t>
      </w:r>
      <w:r w:rsidRPr="00873B6C">
        <w:tab/>
        <w:t>Inter-RAT idle mode mobility to and from NB-IoT</w:t>
      </w:r>
      <w:bookmarkEnd w:id="4516"/>
      <w:bookmarkEnd w:id="4517"/>
      <w:bookmarkEnd w:id="4518"/>
      <w:bookmarkEnd w:id="4519"/>
      <w:bookmarkEnd w:id="4520"/>
      <w:bookmarkEnd w:id="4521"/>
      <w:bookmarkEnd w:id="4522"/>
    </w:p>
    <w:p w14:paraId="2446B233" w14:textId="77777777" w:rsidR="00D40151" w:rsidRPr="00873B6C" w:rsidRDefault="00D40151" w:rsidP="00D40151">
      <w:r w:rsidRPr="00873B6C">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873B6C" w:rsidRDefault="00D40151" w:rsidP="00D40151">
      <w:r w:rsidRPr="00873B6C">
        <w:t>The specification in this clause does not apply to RAT type corresponding to Non-3GPP Access type.</w:t>
      </w:r>
    </w:p>
    <w:p w14:paraId="74804E99" w14:textId="77777777" w:rsidR="00D40151" w:rsidRPr="00873B6C" w:rsidRDefault="00D40151" w:rsidP="00D40151">
      <w:r w:rsidRPr="00873B6C">
        <w:t>PDU session handling is controlled by "PDU Session continuity at inter RAT mobility" in the UE's subscription data, which indicates per DNN/S-NSSAI whether to;</w:t>
      </w:r>
    </w:p>
    <w:p w14:paraId="795432B3" w14:textId="77777777" w:rsidR="00D40151" w:rsidRPr="00873B6C" w:rsidRDefault="00D40151" w:rsidP="00D40151">
      <w:pPr>
        <w:pStyle w:val="B1"/>
      </w:pPr>
      <w:r w:rsidRPr="00873B6C">
        <w:t>-</w:t>
      </w:r>
      <w:r w:rsidRPr="00873B6C">
        <w:tab/>
        <w:t>maintain the PDU session,</w:t>
      </w:r>
    </w:p>
    <w:p w14:paraId="2E29E541" w14:textId="77777777" w:rsidR="00D40151" w:rsidRPr="00873B6C" w:rsidRDefault="00D40151" w:rsidP="00D40151">
      <w:pPr>
        <w:pStyle w:val="B1"/>
      </w:pPr>
      <w:r w:rsidRPr="00873B6C">
        <w:t>-</w:t>
      </w:r>
      <w:r w:rsidRPr="00873B6C">
        <w:tab/>
        <w:t>disconnect the PDU session with a reactivation request,</w:t>
      </w:r>
    </w:p>
    <w:p w14:paraId="184CBB91" w14:textId="77777777" w:rsidR="00D40151" w:rsidRPr="00873B6C" w:rsidRDefault="00D40151" w:rsidP="00D40151">
      <w:pPr>
        <w:pStyle w:val="B1"/>
      </w:pPr>
      <w:r w:rsidRPr="00873B6C">
        <w:t>-</w:t>
      </w:r>
      <w:r w:rsidRPr="00873B6C">
        <w:tab/>
        <w:t>disconnect the PDU session without reactivation request, or</w:t>
      </w:r>
    </w:p>
    <w:p w14:paraId="52C4720E" w14:textId="77777777" w:rsidR="00D40151" w:rsidRPr="00873B6C" w:rsidRDefault="00D40151" w:rsidP="00D40151">
      <w:pPr>
        <w:pStyle w:val="B1"/>
      </w:pPr>
      <w:r w:rsidRPr="00873B6C">
        <w:t>-</w:t>
      </w:r>
      <w:r w:rsidRPr="00873B6C">
        <w:tab/>
        <w:t>leave it up to local VPLMN policy</w:t>
      </w:r>
    </w:p>
    <w:p w14:paraId="55586EC2" w14:textId="77777777" w:rsidR="00D40151" w:rsidRPr="00873B6C" w:rsidRDefault="00D40151" w:rsidP="00D40151">
      <w:r w:rsidRPr="00873B6C">
        <w:t>when the UE moves between a "broadband" RAT (e.g. NR or WB-E-UTRA) and a "narrowband" RAT (NB-IoT).</w:t>
      </w:r>
    </w:p>
    <w:p w14:paraId="3C9DE2FE" w14:textId="77777777" w:rsidR="00D40151" w:rsidRPr="00873B6C" w:rsidRDefault="00D40151" w:rsidP="00D40151">
      <w:r w:rsidRPr="00873B6C">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873B6C" w:rsidRDefault="00D40151" w:rsidP="00D40151">
      <w:r w:rsidRPr="00873B6C">
        <w:t xml:space="preserve">The AMF informs the SMF at an inter-RAT idle mobility event, e.g. to or from NB-IoT connected to 5GC about the RAT type change in the Nsmf_PDUSession_UpdateSMContext message during the Registration procedure. Based on </w:t>
      </w:r>
      <w:r w:rsidRPr="00873B6C">
        <w:lastRenderedPageBreak/>
        <w:t>this (H-)SMF handles the PDU session according to "PDU session continuity at inter RAT mobility information" subscription data or based on local policy.</w:t>
      </w:r>
    </w:p>
    <w:p w14:paraId="4DC9C47D" w14:textId="77777777" w:rsidR="00D40151" w:rsidRPr="00873B6C" w:rsidRDefault="00D40151" w:rsidP="00D40151">
      <w:pPr>
        <w:pStyle w:val="NO"/>
      </w:pPr>
      <w:r w:rsidRPr="00873B6C">
        <w:t>NOTE:</w:t>
      </w:r>
      <w:r w:rsidRPr="00873B6C">
        <w:tab/>
        <w:t>The "PDU Session continuity at inter RAT mobility" and "PDN continuity at inter-RAT mobility" subscription should be the same so that the PDU sessions/PDN connections are handled the same by both CN types.</w:t>
      </w:r>
    </w:p>
    <w:p w14:paraId="5083C102" w14:textId="54663818" w:rsidR="00D40151" w:rsidRPr="00873B6C" w:rsidRDefault="00D40151" w:rsidP="00D40151">
      <w:r w:rsidRPr="00873B6C">
        <w:t xml:space="preserve">During inter-RAT idle mode mobility to NB-IoT, if a PDU session has more than one QoS rule, the SMF shall initiate a PDU session modification procedure as described in </w:t>
      </w:r>
      <w:r w:rsidR="00972E70" w:rsidRPr="00873B6C">
        <w:t>TS 23.502 [</w:t>
      </w:r>
      <w:r w:rsidRPr="00873B6C">
        <w:t>3] to remove any non-default QoS rule</w:t>
      </w:r>
      <w:r w:rsidR="00472CD7" w:rsidRPr="00873B6C">
        <w:t xml:space="preserve"> and</w:t>
      </w:r>
      <w:r w:rsidRPr="00873B6C">
        <w:t xml:space="preserve"> maintain only the default QoS rule.</w:t>
      </w:r>
    </w:p>
    <w:p w14:paraId="69903C25" w14:textId="77777777" w:rsidR="00D40151" w:rsidRPr="00873B6C" w:rsidRDefault="00D40151" w:rsidP="00D40151">
      <w:pPr>
        <w:pStyle w:val="Heading3"/>
      </w:pPr>
      <w:bookmarkStart w:id="4523" w:name="_CR5_31_12"/>
      <w:bookmarkStart w:id="4524" w:name="_Toc20150120"/>
      <w:bookmarkStart w:id="4525" w:name="_Toc27846921"/>
      <w:bookmarkStart w:id="4526" w:name="_Toc36188052"/>
      <w:bookmarkStart w:id="4527" w:name="_Toc45183957"/>
      <w:bookmarkStart w:id="4528" w:name="_Toc47342799"/>
      <w:bookmarkStart w:id="4529" w:name="_Toc51769501"/>
      <w:bookmarkStart w:id="4530" w:name="_Toc201157567"/>
      <w:bookmarkEnd w:id="4523"/>
      <w:r w:rsidRPr="00873B6C">
        <w:t>5.31.12</w:t>
      </w:r>
      <w:r w:rsidRPr="00873B6C">
        <w:tab/>
        <w:t>Restriction of use of Enhanced Coverage</w:t>
      </w:r>
      <w:bookmarkEnd w:id="4524"/>
      <w:bookmarkEnd w:id="4525"/>
      <w:bookmarkEnd w:id="4526"/>
      <w:bookmarkEnd w:id="4527"/>
      <w:bookmarkEnd w:id="4528"/>
      <w:bookmarkEnd w:id="4529"/>
      <w:bookmarkEnd w:id="4530"/>
    </w:p>
    <w:p w14:paraId="5D605026" w14:textId="2924601B" w:rsidR="00D40151" w:rsidRPr="00873B6C" w:rsidRDefault="00D40151" w:rsidP="00D40151">
      <w:r w:rsidRPr="00873B6C">
        <w:t>Support of UEs in</w:t>
      </w:r>
      <w:r w:rsidR="00FE24CE" w:rsidRPr="00873B6C">
        <w:t xml:space="preserve"> E-UTRA</w:t>
      </w:r>
      <w:r w:rsidRPr="00873B6C">
        <w:t xml:space="preserve"> Enhanced Coverage is specified in </w:t>
      </w:r>
      <w:r w:rsidR="00972E70" w:rsidRPr="00873B6C">
        <w:t>TS 36.300 [</w:t>
      </w:r>
      <w:r w:rsidRPr="00873B6C">
        <w:t>30].</w:t>
      </w:r>
    </w:p>
    <w:p w14:paraId="52EFB38C" w14:textId="77777777" w:rsidR="00D40151" w:rsidRPr="00873B6C" w:rsidRDefault="00D40151" w:rsidP="00D40151">
      <w:r w:rsidRPr="00873B6C">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873B6C" w:rsidRDefault="00D40151" w:rsidP="00D40151">
      <w:r w:rsidRPr="00873B6C">
        <w:t>The AMF receives Enhanced Coverage Restricted information from the UDM during the Registration procedure.</w:t>
      </w:r>
      <w:r w:rsidR="00CD64F1" w:rsidRPr="00873B6C">
        <w:t xml:space="preserve"> If the UE includes the support for restriction of use of Enhanced Coverage in the Registration Request message, the</w:t>
      </w:r>
      <w:r w:rsidRPr="00873B6C">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873B6C" w:rsidRDefault="00CD64F1" w:rsidP="00D40151">
      <w:r w:rsidRPr="00873B6C">
        <w:t xml:space="preserve">The </w:t>
      </w:r>
      <w:r w:rsidR="00D40151" w:rsidRPr="00873B6C">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873B6C" w:rsidRDefault="00D40151" w:rsidP="00D40151">
      <w:r w:rsidRPr="00873B6C">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873B6C" w:rsidRDefault="00D40151" w:rsidP="00D40151">
      <w:r w:rsidRPr="00873B6C">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16523CBB" w:rsidR="00D40151" w:rsidRPr="00873B6C" w:rsidRDefault="00D40151" w:rsidP="00D40151">
      <w:r w:rsidRPr="00873B6C">
        <w:t>The UE shall assume that restriction for use of Enhanced Coverage</w:t>
      </w:r>
      <w:r w:rsidR="00DB3C92" w:rsidRPr="00873B6C">
        <w:t xml:space="preserve"> indicated by Enhanced Coverage Restricted information</w:t>
      </w:r>
      <w:r w:rsidRPr="00873B6C">
        <w:t xml:space="preserve"> is the same in the equivalent PLMNs.</w:t>
      </w:r>
      <w:r w:rsidR="00DB3C92" w:rsidRPr="00873B6C">
        <w:t xml:space="preserve"> NB-IoT cells also broadcast the support of restriction of use of Enhanced Coverage as defined in </w:t>
      </w:r>
      <w:r w:rsidR="00972E70" w:rsidRPr="00873B6C">
        <w:t>TS 36.331 [</w:t>
      </w:r>
      <w:r w:rsidR="00DB3C92" w:rsidRPr="00873B6C">
        <w:t>51].</w:t>
      </w:r>
    </w:p>
    <w:p w14:paraId="2B43BCA2" w14:textId="5C49255C" w:rsidR="00D40151" w:rsidRPr="00873B6C" w:rsidRDefault="00D40151" w:rsidP="00D40151">
      <w:r w:rsidRPr="00873B6C">
        <w:t xml:space="preserve">If the UE supports CE mode B and use of CE mode B is not restricted according to the Enhanced Coverage Restriction information in the UE context in the AMF, then the AMF shall use the extended NAS-MM timer setting for the UE as specified in </w:t>
      </w:r>
      <w:r w:rsidR="00972E70" w:rsidRPr="00873B6C">
        <w:t>TS 24.501 [</w:t>
      </w:r>
      <w:r w:rsidRPr="00873B6C">
        <w:t>47] and shall send the extended NAS-SM timer indication during PDU session establishment to the SMF.</w:t>
      </w:r>
    </w:p>
    <w:p w14:paraId="60A85769" w14:textId="77777777" w:rsidR="00D40151" w:rsidRPr="00873B6C" w:rsidRDefault="00D40151" w:rsidP="00D40151">
      <w:r w:rsidRPr="00873B6C">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873B6C" w:rsidRDefault="00D40151" w:rsidP="00D40151">
      <w:pPr>
        <w:pStyle w:val="B1"/>
      </w:pPr>
      <w:r w:rsidRPr="00873B6C">
        <w:t>-</w:t>
      </w:r>
      <w:r w:rsidRPr="00873B6C">
        <w:tab/>
        <w:t>The AMF determines when to enforce the change of restriction of use of Enhanced Coverage.</w:t>
      </w:r>
    </w:p>
    <w:p w14:paraId="4CB49032" w14:textId="2E47E7CD" w:rsidR="00D40151" w:rsidRPr="00873B6C" w:rsidRDefault="00D40151" w:rsidP="00D40151">
      <w:pPr>
        <w:pStyle w:val="B1"/>
      </w:pPr>
      <w:r w:rsidRPr="00873B6C">
        <w:t>-</w:t>
      </w:r>
      <w:r w:rsidRPr="00873B6C">
        <w:tab/>
        <w:t xml:space="preserve">When the UE is in CM-CONNECTED mode, the AMF can use the UE Configuration Update procedure, as specified in step 3a of clause 4.2.4.2 of </w:t>
      </w:r>
      <w:r w:rsidR="00972E70" w:rsidRPr="00873B6C">
        <w:t>TS 23.502 [</w:t>
      </w:r>
      <w:r w:rsidRPr="00873B6C">
        <w:t>3], to trigger a mobility registration update procedure in CM-CONNECTED mode for the AMF to inform the change of restriction of Enhanced Coverage towards the UE.</w:t>
      </w:r>
    </w:p>
    <w:p w14:paraId="460CA5E8" w14:textId="5AAF8DC3" w:rsidR="00D40151" w:rsidRPr="00873B6C" w:rsidRDefault="00D40151" w:rsidP="00D40151">
      <w:pPr>
        <w:pStyle w:val="B1"/>
      </w:pPr>
      <w:r w:rsidRPr="00873B6C">
        <w:lastRenderedPageBreak/>
        <w:t>-</w:t>
      </w:r>
      <w:r w:rsidRPr="00873B6C">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972E70" w:rsidRPr="00873B6C">
        <w:t>TS 23.502 [</w:t>
      </w:r>
      <w:r w:rsidRPr="00873B6C">
        <w:t>3] when the AMF determines that NAS-SM timer shall be updated due to the change of Enhanced Coverage Restriction.</w:t>
      </w:r>
    </w:p>
    <w:p w14:paraId="6E4583A7" w14:textId="77777777" w:rsidR="00D40151" w:rsidRPr="00873B6C" w:rsidRDefault="00D40151" w:rsidP="00D40151">
      <w:pPr>
        <w:pStyle w:val="B1"/>
      </w:pPr>
      <w:r w:rsidRPr="00873B6C">
        <w:t>-</w:t>
      </w:r>
      <w:r w:rsidRPr="00873B6C">
        <w:tab/>
        <w:t>The UE and network applies the new Enhanced Coverage Restriction information after mobility registration procedure is completed.</w:t>
      </w:r>
    </w:p>
    <w:p w14:paraId="7BD89DB8" w14:textId="36E0DA73" w:rsidR="00D40151" w:rsidRPr="00873B6C" w:rsidRDefault="00D40151" w:rsidP="00D40151">
      <w:r w:rsidRPr="00873B6C">
        <w:t xml:space="preserve">Based on the extended NAS-SM timer indication, the SMF shall use the extended NAS-SM timer setting for the UE as specified in </w:t>
      </w:r>
      <w:r w:rsidR="00972E70" w:rsidRPr="00873B6C">
        <w:t>TS 24.501 [</w:t>
      </w:r>
      <w:r w:rsidRPr="00873B6C">
        <w:t>47].</w:t>
      </w:r>
    </w:p>
    <w:p w14:paraId="40278604" w14:textId="6899E129" w:rsidR="00D40151" w:rsidRPr="00873B6C" w:rsidRDefault="00D40151" w:rsidP="00D40151">
      <w:r w:rsidRPr="00873B6C">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972E70" w:rsidRPr="00873B6C">
        <w:t>TS 23.502 [</w:t>
      </w:r>
      <w:r w:rsidRPr="00873B6C">
        <w:t>3].</w:t>
      </w:r>
    </w:p>
    <w:p w14:paraId="474D3021" w14:textId="77777777" w:rsidR="00D40151" w:rsidRPr="00873B6C" w:rsidRDefault="00D40151" w:rsidP="00D40151">
      <w:pPr>
        <w:pStyle w:val="Heading3"/>
      </w:pPr>
      <w:bookmarkStart w:id="4531" w:name="_CR5_31_13"/>
      <w:bookmarkStart w:id="4532" w:name="_Toc20150121"/>
      <w:bookmarkStart w:id="4533" w:name="_Toc27846922"/>
      <w:bookmarkStart w:id="4534" w:name="_Toc36188053"/>
      <w:bookmarkStart w:id="4535" w:name="_Toc45183958"/>
      <w:bookmarkStart w:id="4536" w:name="_Toc47342800"/>
      <w:bookmarkStart w:id="4537" w:name="_Toc51769502"/>
      <w:bookmarkStart w:id="4538" w:name="_Toc201157568"/>
      <w:bookmarkEnd w:id="4531"/>
      <w:r w:rsidRPr="00873B6C">
        <w:t>5.31.13</w:t>
      </w:r>
      <w:r w:rsidRPr="00873B6C">
        <w:tab/>
        <w:t>Paging for Enhanced Coverage</w:t>
      </w:r>
      <w:bookmarkEnd w:id="4532"/>
      <w:bookmarkEnd w:id="4533"/>
      <w:bookmarkEnd w:id="4534"/>
      <w:bookmarkEnd w:id="4535"/>
      <w:bookmarkEnd w:id="4536"/>
      <w:bookmarkEnd w:id="4537"/>
      <w:bookmarkEnd w:id="4538"/>
    </w:p>
    <w:p w14:paraId="773C324F" w14:textId="57F82153" w:rsidR="00D40151" w:rsidRPr="00873B6C" w:rsidRDefault="00D40151" w:rsidP="00D40151">
      <w:r w:rsidRPr="00873B6C">
        <w:t>Support of UEs in</w:t>
      </w:r>
      <w:r w:rsidR="00FE24CE" w:rsidRPr="00873B6C">
        <w:t xml:space="preserve"> E-UTRA</w:t>
      </w:r>
      <w:r w:rsidRPr="00873B6C">
        <w:t xml:space="preserve"> Enhanced Coverage is specified in </w:t>
      </w:r>
      <w:r w:rsidR="00972E70" w:rsidRPr="00873B6C">
        <w:t>TS 36.300 [</w:t>
      </w:r>
      <w:r w:rsidRPr="00873B6C">
        <w:t>30].</w:t>
      </w:r>
    </w:p>
    <w:p w14:paraId="5B62F61C" w14:textId="53318174" w:rsidR="00D40151" w:rsidRPr="00873B6C" w:rsidRDefault="00D40151" w:rsidP="00D40151">
      <w:r w:rsidRPr="00873B6C">
        <w:t>Whenever N2 is released and Paging Assistance Data for CE capable UE is available for the UE, the NG-RAN sends it to the AMF as described in</w:t>
      </w:r>
      <w:r w:rsidR="00131D56" w:rsidRPr="00873B6C">
        <w:t xml:space="preserve"> clause 4.2.6</w:t>
      </w:r>
      <w:r w:rsidRPr="00873B6C">
        <w:t xml:space="preserve"> </w:t>
      </w:r>
      <w:r w:rsidR="00131D56" w:rsidRPr="00873B6C">
        <w:t xml:space="preserve">of </w:t>
      </w:r>
      <w:r w:rsidR="00972E70" w:rsidRPr="00873B6C">
        <w:t>TS 23.502 [</w:t>
      </w:r>
      <w:r w:rsidRPr="00873B6C">
        <w:t>3].</w:t>
      </w:r>
    </w:p>
    <w:p w14:paraId="7E888249" w14:textId="2C32343B" w:rsidR="00D40151" w:rsidRPr="00873B6C" w:rsidRDefault="00D40151" w:rsidP="00D40151">
      <w:r w:rsidRPr="00873B6C">
        <w:t>The AMF stores the received Paging Assistance Data for CE capable UE and then the AMF includes it in every subsequent Paging message for all NG-RAN nodes selected by the AMF for paging.</w:t>
      </w:r>
    </w:p>
    <w:p w14:paraId="51A577F2" w14:textId="6A96C6E0" w:rsidR="00DB3C92" w:rsidRPr="00873B6C" w:rsidRDefault="00DB3C92" w:rsidP="001B7C50">
      <w:r w:rsidRPr="00873B6C">
        <w:t xml:space="preserve">If Enhanced Coverage is restricted for the UE as described in clause 5.31.12, the AMF sends the Enhanced Coverage Restriction parameter as defined in </w:t>
      </w:r>
      <w:r w:rsidR="00972E70" w:rsidRPr="00873B6C">
        <w:t>TS 38.413 [</w:t>
      </w:r>
      <w:r w:rsidRPr="00873B6C">
        <w:t>34].</w:t>
      </w:r>
    </w:p>
    <w:p w14:paraId="55FB1CDC" w14:textId="39FD9E0F" w:rsidR="00D40151" w:rsidRPr="00873B6C" w:rsidRDefault="00D40151" w:rsidP="00D40151">
      <w:pPr>
        <w:pStyle w:val="NO"/>
      </w:pPr>
      <w:r w:rsidRPr="00873B6C">
        <w:t>NOTE:</w:t>
      </w:r>
      <w:r w:rsidRPr="00873B6C">
        <w:tab/>
        <w:t>Only the NG-RAN node which cell ID is included in the Paging Assistance Data considers the assistance data.</w:t>
      </w:r>
    </w:p>
    <w:p w14:paraId="1D8F04F5" w14:textId="77777777" w:rsidR="00D40151" w:rsidRPr="00873B6C" w:rsidRDefault="00D40151" w:rsidP="00D40151">
      <w:pPr>
        <w:pStyle w:val="Heading3"/>
      </w:pPr>
      <w:bookmarkStart w:id="4539" w:name="_CR5_31_14"/>
      <w:bookmarkStart w:id="4540" w:name="_Toc20150122"/>
      <w:bookmarkStart w:id="4541" w:name="_Toc27846923"/>
      <w:bookmarkStart w:id="4542" w:name="_Toc36188054"/>
      <w:bookmarkStart w:id="4543" w:name="_Toc45183959"/>
      <w:bookmarkStart w:id="4544" w:name="_Toc47342801"/>
      <w:bookmarkStart w:id="4545" w:name="_Toc51769503"/>
      <w:bookmarkStart w:id="4546" w:name="_Toc201157569"/>
      <w:bookmarkEnd w:id="4539"/>
      <w:r w:rsidRPr="00873B6C">
        <w:t>5.31.14</w:t>
      </w:r>
      <w:r w:rsidRPr="00873B6C">
        <w:tab/>
        <w:t>Support of rate control of user data</w:t>
      </w:r>
      <w:bookmarkEnd w:id="4540"/>
      <w:bookmarkEnd w:id="4541"/>
      <w:bookmarkEnd w:id="4542"/>
      <w:bookmarkEnd w:id="4543"/>
      <w:bookmarkEnd w:id="4544"/>
      <w:bookmarkEnd w:id="4545"/>
      <w:bookmarkEnd w:id="4546"/>
    </w:p>
    <w:p w14:paraId="12BDE719" w14:textId="77777777" w:rsidR="00D40151" w:rsidRPr="00873B6C" w:rsidRDefault="00D40151" w:rsidP="00D40151">
      <w:pPr>
        <w:pStyle w:val="Heading4"/>
      </w:pPr>
      <w:bookmarkStart w:id="4547" w:name="_CR5_31_14_1"/>
      <w:bookmarkStart w:id="4548" w:name="_Toc20150123"/>
      <w:bookmarkStart w:id="4549" w:name="_Toc27846924"/>
      <w:bookmarkStart w:id="4550" w:name="_Toc36188055"/>
      <w:bookmarkStart w:id="4551" w:name="_Toc45183960"/>
      <w:bookmarkStart w:id="4552" w:name="_Toc47342802"/>
      <w:bookmarkStart w:id="4553" w:name="_Toc51769504"/>
      <w:bookmarkStart w:id="4554" w:name="_Toc201157570"/>
      <w:bookmarkEnd w:id="4547"/>
      <w:r w:rsidRPr="00873B6C">
        <w:t>5.31.14.1</w:t>
      </w:r>
      <w:r w:rsidRPr="00873B6C">
        <w:tab/>
        <w:t>General</w:t>
      </w:r>
      <w:bookmarkEnd w:id="4548"/>
      <w:bookmarkEnd w:id="4549"/>
      <w:bookmarkEnd w:id="4550"/>
      <w:bookmarkEnd w:id="4551"/>
      <w:bookmarkEnd w:id="4552"/>
      <w:bookmarkEnd w:id="4553"/>
      <w:bookmarkEnd w:id="4554"/>
    </w:p>
    <w:p w14:paraId="1A57777C" w14:textId="77777777" w:rsidR="00D40151" w:rsidRPr="00873B6C" w:rsidRDefault="00D40151" w:rsidP="00D40151">
      <w:r w:rsidRPr="00873B6C">
        <w:t>The rate of user data sent to and from a UE (e.g. a UE using CIoT 5GS Optimisations) can be controlled in two different ways:</w:t>
      </w:r>
    </w:p>
    <w:p w14:paraId="288F9BE0" w14:textId="77777777" w:rsidR="00D40151" w:rsidRPr="00873B6C" w:rsidRDefault="00D40151" w:rsidP="00D40151">
      <w:pPr>
        <w:pStyle w:val="B1"/>
      </w:pPr>
      <w:r w:rsidRPr="00873B6C">
        <w:t>-</w:t>
      </w:r>
      <w:r w:rsidRPr="00873B6C">
        <w:tab/>
        <w:t>Serving PLMN Rate Control;</w:t>
      </w:r>
    </w:p>
    <w:p w14:paraId="285BB353" w14:textId="77777777" w:rsidR="00D40151" w:rsidRPr="00873B6C" w:rsidRDefault="00D40151" w:rsidP="00D40151">
      <w:pPr>
        <w:pStyle w:val="B1"/>
      </w:pPr>
      <w:r w:rsidRPr="00873B6C">
        <w:t>-</w:t>
      </w:r>
      <w:r w:rsidRPr="00873B6C">
        <w:tab/>
        <w:t>Small Data Rate Control.</w:t>
      </w:r>
    </w:p>
    <w:p w14:paraId="60FB2D8C" w14:textId="77777777" w:rsidR="00D40151" w:rsidRPr="00873B6C" w:rsidRDefault="00D40151" w:rsidP="00D40151">
      <w:r w:rsidRPr="00873B6C">
        <w:t>Serving PLMN Rate Control is intended to allow the Serving PLMN to protect its AMF and the Signalling Radio Bearers in the NG-RAN from the load generated by NAS Data PDUs.</w:t>
      </w:r>
    </w:p>
    <w:p w14:paraId="1F0F4F1E" w14:textId="77777777" w:rsidR="00D40151" w:rsidRPr="00873B6C" w:rsidRDefault="00D40151" w:rsidP="00D40151">
      <w:r w:rsidRPr="00873B6C">
        <w:t>Small Data Rate Control is intended to allow HPLMN operators to offer customer services such as "maximum of Y messages per day".</w:t>
      </w:r>
    </w:p>
    <w:p w14:paraId="295B0406" w14:textId="77777777" w:rsidR="00D40151" w:rsidRPr="00873B6C" w:rsidRDefault="00D40151" w:rsidP="00D40151">
      <w:pPr>
        <w:pStyle w:val="NO"/>
      </w:pPr>
      <w:r w:rsidRPr="00873B6C">
        <w:t>NOTE:</w:t>
      </w:r>
      <w:r w:rsidRPr="00873B6C">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873B6C" w:rsidRDefault="00D40151" w:rsidP="00D40151">
      <w:r w:rsidRPr="00873B6C">
        <w:t>The SMF in the Serving PLMN may send the Small Data rate control parameter for an emergency PDU session.</w:t>
      </w:r>
    </w:p>
    <w:p w14:paraId="1AA9B288" w14:textId="77777777" w:rsidR="00D40151" w:rsidRPr="00873B6C" w:rsidRDefault="00D40151" w:rsidP="00D40151">
      <w:pPr>
        <w:pStyle w:val="Heading4"/>
      </w:pPr>
      <w:bookmarkStart w:id="4555" w:name="_CR5_31_14_2"/>
      <w:bookmarkStart w:id="4556" w:name="_Toc20150124"/>
      <w:bookmarkStart w:id="4557" w:name="_Toc27846925"/>
      <w:bookmarkStart w:id="4558" w:name="_Toc36188056"/>
      <w:bookmarkStart w:id="4559" w:name="_Toc45183961"/>
      <w:bookmarkStart w:id="4560" w:name="_Toc47342803"/>
      <w:bookmarkStart w:id="4561" w:name="_Toc51769505"/>
      <w:bookmarkStart w:id="4562" w:name="_Toc201157571"/>
      <w:bookmarkEnd w:id="4555"/>
      <w:r w:rsidRPr="00873B6C">
        <w:t>5.31.14.2</w:t>
      </w:r>
      <w:r w:rsidRPr="00873B6C">
        <w:tab/>
        <w:t>Serving PLMN Rate Control</w:t>
      </w:r>
      <w:bookmarkEnd w:id="4556"/>
      <w:bookmarkEnd w:id="4557"/>
      <w:bookmarkEnd w:id="4558"/>
      <w:bookmarkEnd w:id="4559"/>
      <w:bookmarkEnd w:id="4560"/>
      <w:bookmarkEnd w:id="4561"/>
      <w:bookmarkEnd w:id="4562"/>
    </w:p>
    <w:p w14:paraId="7B32D967" w14:textId="77777777" w:rsidR="00D40151" w:rsidRPr="00873B6C" w:rsidRDefault="00D40151" w:rsidP="00D40151">
      <w:r w:rsidRPr="00873B6C">
        <w:t>The Serving PLMN Rate Control value is configured in the (V-)SMF.</w:t>
      </w:r>
    </w:p>
    <w:p w14:paraId="68CB47FD" w14:textId="77777777" w:rsidR="00D40151" w:rsidRPr="00873B6C" w:rsidRDefault="00D40151" w:rsidP="00D40151">
      <w:pPr>
        <w:pStyle w:val="NO"/>
      </w:pPr>
      <w:r w:rsidRPr="00873B6C">
        <w:t>NOTE 1:</w:t>
      </w:r>
      <w:r w:rsidRPr="00873B6C">
        <w:tab/>
        <w:t>Homogeneous support of Serving PLMN Rate Control in a network is assumed.</w:t>
      </w:r>
    </w:p>
    <w:p w14:paraId="5995B39D" w14:textId="77777777" w:rsidR="00D40151" w:rsidRPr="00873B6C" w:rsidRDefault="00D40151" w:rsidP="00D40151">
      <w:r w:rsidRPr="00873B6C">
        <w:t xml:space="preserve">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w:t>
      </w:r>
      <w:r w:rsidRPr="00873B6C">
        <w:lastRenderedPageBreak/>
        <w:t>and is set to Control Plane only. The (V-)SMF shall only indicate a Serving PLMN Rate Control command to the NEF if that PDN connection is using NEF.</w:t>
      </w:r>
    </w:p>
    <w:p w14:paraId="5F186DCB" w14:textId="77777777" w:rsidR="00D40151" w:rsidRPr="00873B6C" w:rsidRDefault="00D40151" w:rsidP="00D40151">
      <w:r w:rsidRPr="00873B6C">
        <w:t>Serving PLMN rate control is operator configurable and expressed as "X NAS Data PDUs per deci hour" where X is an integer that shall not be less than 10. There are separate limits for uplink and downlink NAS Data PDUs:</w:t>
      </w:r>
    </w:p>
    <w:p w14:paraId="4738E3D4" w14:textId="66734CAB" w:rsidR="00D40151" w:rsidRPr="00873B6C" w:rsidRDefault="00D40151" w:rsidP="00D40151">
      <w:pPr>
        <w:pStyle w:val="B1"/>
      </w:pPr>
      <w:r w:rsidRPr="00873B6C">
        <w:t>-</w:t>
      </w:r>
      <w:r w:rsidRPr="00873B6C">
        <w:tab/>
        <w:t>The UE shall limit the rate at which it generates uplink NAS Data PDUs to comply with the Serving PLMN policy. In the UE the indicated rate control applies only on the PDU Session where it was received</w:t>
      </w:r>
      <w:r w:rsidR="00472CD7" w:rsidRPr="00873B6C">
        <w:t xml:space="preserve"> and</w:t>
      </w:r>
      <w:r w:rsidRPr="00873B6C">
        <w:t xml:space="preserve"> therefore the UE shall limit the rate of its uplink NAS Data PDUs to comply with the rate that is indicated for the PDU Session. The indicated rate is valid until the PDU Session is released.</w:t>
      </w:r>
    </w:p>
    <w:p w14:paraId="6C89291C" w14:textId="7522A93D" w:rsidR="00D40151" w:rsidRPr="00873B6C" w:rsidRDefault="00D40151" w:rsidP="00D40151">
      <w:pPr>
        <w:pStyle w:val="B1"/>
      </w:pPr>
      <w:r w:rsidRPr="00873B6C">
        <w:t>-</w:t>
      </w:r>
      <w:r w:rsidRPr="00873B6C">
        <w:tab/>
        <w:t>The UPF/NEF shall limit the rate at which it generates downlink Data PDUs. In the UPF/NEF the indicated rate control applies only on the PDU Session where it was received</w:t>
      </w:r>
      <w:r w:rsidR="00472CD7" w:rsidRPr="00873B6C">
        <w:t xml:space="preserve"> and</w:t>
      </w:r>
      <w:r w:rsidRPr="00873B6C">
        <w:t xml:space="preserve"> therefore the UPF/NEF shall limit the rate of its downlink Data PDUs to comply with the rate that is indicated for the PDU Session.</w:t>
      </w:r>
    </w:p>
    <w:p w14:paraId="64FB02FE" w14:textId="77777777" w:rsidR="00D40151" w:rsidRPr="00873B6C" w:rsidRDefault="00D40151" w:rsidP="00D40151">
      <w:pPr>
        <w:pStyle w:val="B1"/>
      </w:pPr>
      <w:r w:rsidRPr="00873B6C">
        <w:t>-</w:t>
      </w:r>
      <w:r w:rsidRPr="00873B6C">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873B6C" w:rsidRDefault="00D40151" w:rsidP="00D40151">
      <w:pPr>
        <w:pStyle w:val="NO"/>
      </w:pPr>
      <w:r w:rsidRPr="00873B6C">
        <w:t>NOTE 2:</w:t>
      </w:r>
      <w:r w:rsidRPr="00873B6C">
        <w:tab/>
        <w:t>If the UE/UPF/NEF start the Serving PLMN rate control at a different time than the (V-)SMF, PDUs sent within the limit enforced at the UE/UPF/NEF can still exceed the limit enforced by the (V-)SMF.</w:t>
      </w:r>
    </w:p>
    <w:p w14:paraId="250E24DC" w14:textId="77777777" w:rsidR="00D40151" w:rsidRPr="00873B6C" w:rsidRDefault="00D40151" w:rsidP="00D40151">
      <w:pPr>
        <w:pStyle w:val="NO"/>
      </w:pPr>
      <w:r w:rsidRPr="00873B6C">
        <w:t>NOTE 3</w:t>
      </w:r>
      <w:r w:rsidRPr="00873B6C">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873B6C" w:rsidRDefault="00D40151" w:rsidP="00D40151">
      <w:pPr>
        <w:pStyle w:val="Heading4"/>
      </w:pPr>
      <w:bookmarkStart w:id="4563" w:name="_CR5_31_14_3"/>
      <w:bookmarkStart w:id="4564" w:name="_Toc20150125"/>
      <w:bookmarkStart w:id="4565" w:name="_Toc27846926"/>
      <w:bookmarkStart w:id="4566" w:name="_Toc36188057"/>
      <w:bookmarkStart w:id="4567" w:name="_Toc45183962"/>
      <w:bookmarkStart w:id="4568" w:name="_Toc47342804"/>
      <w:bookmarkStart w:id="4569" w:name="_Toc51769506"/>
      <w:bookmarkStart w:id="4570" w:name="_Toc201157572"/>
      <w:bookmarkEnd w:id="4563"/>
      <w:r w:rsidRPr="00873B6C">
        <w:t>5.31.14.3</w:t>
      </w:r>
      <w:r w:rsidRPr="00873B6C">
        <w:tab/>
        <w:t>Small Data Rate Control</w:t>
      </w:r>
      <w:bookmarkEnd w:id="4564"/>
      <w:bookmarkEnd w:id="4565"/>
      <w:bookmarkEnd w:id="4566"/>
      <w:bookmarkEnd w:id="4567"/>
      <w:bookmarkEnd w:id="4568"/>
      <w:bookmarkEnd w:id="4569"/>
      <w:bookmarkEnd w:id="4570"/>
    </w:p>
    <w:p w14:paraId="2C217FE9" w14:textId="77777777" w:rsidR="00D40151" w:rsidRPr="00873B6C" w:rsidRDefault="00D40151" w:rsidP="00D40151">
      <w:r w:rsidRPr="00873B6C">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873B6C" w:rsidRDefault="00D40151" w:rsidP="00D40151">
      <w:r w:rsidRPr="00873B6C">
        <w:t>The Small Data Rate Control applies to data PDUs sent on that PDU Session by either Data Radio Bearers or Signalling Radio Bearers (NAS Data PDUs).</w:t>
      </w:r>
    </w:p>
    <w:p w14:paraId="32906984" w14:textId="77777777" w:rsidR="00D40151" w:rsidRPr="00873B6C" w:rsidRDefault="00D40151" w:rsidP="00D40151">
      <w:r w:rsidRPr="00873B6C">
        <w:t>The rate control information is separate for uplink and downlink and in the form of:</w:t>
      </w:r>
    </w:p>
    <w:p w14:paraId="692CBD59" w14:textId="6020960D" w:rsidR="00D40151" w:rsidRPr="00873B6C" w:rsidRDefault="00D40151" w:rsidP="00D40151">
      <w:pPr>
        <w:pStyle w:val="B1"/>
      </w:pPr>
      <w:r w:rsidRPr="00873B6C">
        <w:t>-</w:t>
      </w:r>
      <w:r w:rsidRPr="00873B6C">
        <w:tab/>
        <w:t>an integer 'number of packets per time unit'</w:t>
      </w:r>
      <w:r w:rsidR="00472CD7" w:rsidRPr="00873B6C">
        <w:t xml:space="preserve"> and</w:t>
      </w:r>
    </w:p>
    <w:p w14:paraId="7468FBB6" w14:textId="77777777" w:rsidR="00D40151" w:rsidRPr="00873B6C" w:rsidRDefault="00D40151" w:rsidP="00D40151">
      <w:pPr>
        <w:pStyle w:val="B1"/>
      </w:pPr>
      <w:r w:rsidRPr="00873B6C">
        <w:t>-</w:t>
      </w:r>
      <w:r w:rsidRPr="00873B6C">
        <w:tab/>
        <w:t>an integer 'number of additional allowed exception report packets per time unit' once the rate control limit has been reached.</w:t>
      </w:r>
    </w:p>
    <w:p w14:paraId="7A8D6309" w14:textId="77777777" w:rsidR="00D40151" w:rsidRPr="00873B6C" w:rsidRDefault="00D40151" w:rsidP="00D40151">
      <w:r w:rsidRPr="00873B6C">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873B6C" w:rsidRDefault="00D40151" w:rsidP="00D40151">
      <w:r w:rsidRPr="00873B6C">
        <w:t>When a PDU Session is first established, the (H-)SMF may provide the configured Small Data Rate Control parameters to the UE and UPF or NEF.</w:t>
      </w:r>
    </w:p>
    <w:p w14:paraId="059726E2" w14:textId="77777777" w:rsidR="00D40151" w:rsidRPr="00873B6C" w:rsidRDefault="00D40151" w:rsidP="00D40151">
      <w:r w:rsidRPr="00873B6C">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873B6C" w:rsidRDefault="00D40151" w:rsidP="00D40151">
      <w:r w:rsidRPr="00873B6C">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873B6C" w:rsidRDefault="00D40151" w:rsidP="00D40151">
      <w:pPr>
        <w:pStyle w:val="NO"/>
      </w:pPr>
      <w:r w:rsidRPr="00873B6C">
        <w:t>NOTE 1:</w:t>
      </w:r>
      <w:r w:rsidRPr="00873B6C">
        <w:tab/>
        <w:t>Storage of Small Data Rate Control Status information for very long time intervals can be implementation specific.</w:t>
      </w:r>
    </w:p>
    <w:p w14:paraId="4CAB2C52" w14:textId="77777777" w:rsidR="00D40151" w:rsidRPr="00873B6C" w:rsidRDefault="00D40151" w:rsidP="00D40151">
      <w:r w:rsidRPr="00873B6C">
        <w:lastRenderedPageBreak/>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873B6C" w:rsidRDefault="00D40151" w:rsidP="00D40151">
      <w:r w:rsidRPr="00873B6C">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873B6C" w:rsidRDefault="00D40151" w:rsidP="00D40151">
      <w:pPr>
        <w:pStyle w:val="NO"/>
      </w:pPr>
      <w:r w:rsidRPr="00873B6C">
        <w:t>NOTE 2:</w:t>
      </w:r>
      <w:r w:rsidRPr="00873B6C">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873B6C" w:rsidRDefault="00D40151" w:rsidP="00D40151">
      <w:r w:rsidRPr="00873B6C">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873B6C" w:rsidRDefault="00D40151" w:rsidP="00D40151">
      <w:pPr>
        <w:pStyle w:val="NO"/>
      </w:pPr>
      <w:r w:rsidRPr="00873B6C">
        <w:t>NOTE 3:</w:t>
      </w:r>
      <w:r w:rsidRPr="00873B6C">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873B6C" w:rsidRDefault="00D40151" w:rsidP="00D40151">
      <w:r w:rsidRPr="00873B6C">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873B6C" w:rsidRDefault="00D40151" w:rsidP="00D40151">
      <w:pPr>
        <w:pStyle w:val="Heading3"/>
      </w:pPr>
      <w:bookmarkStart w:id="4571" w:name="_CR5_31_15"/>
      <w:bookmarkStart w:id="4572" w:name="_Toc20150126"/>
      <w:bookmarkStart w:id="4573" w:name="_Toc27846927"/>
      <w:bookmarkStart w:id="4574" w:name="_Toc36188058"/>
      <w:bookmarkStart w:id="4575" w:name="_Toc45183963"/>
      <w:bookmarkStart w:id="4576" w:name="_Toc47342805"/>
      <w:bookmarkStart w:id="4577" w:name="_Toc51769507"/>
      <w:bookmarkStart w:id="4578" w:name="_Toc201157573"/>
      <w:bookmarkEnd w:id="4571"/>
      <w:r w:rsidRPr="00873B6C">
        <w:t>5.31.15</w:t>
      </w:r>
      <w:r w:rsidRPr="00873B6C">
        <w:tab/>
        <w:t>Control Plane Data Transfer Congestion Control</w:t>
      </w:r>
      <w:bookmarkEnd w:id="4572"/>
      <w:bookmarkEnd w:id="4573"/>
      <w:bookmarkEnd w:id="4574"/>
      <w:bookmarkEnd w:id="4575"/>
      <w:bookmarkEnd w:id="4576"/>
      <w:bookmarkEnd w:id="4577"/>
      <w:bookmarkEnd w:id="4578"/>
    </w:p>
    <w:p w14:paraId="3293E98B" w14:textId="77777777" w:rsidR="00D40151" w:rsidRPr="00873B6C" w:rsidRDefault="00D40151" w:rsidP="00D40151">
      <w:r w:rsidRPr="00873B6C">
        <w:t>NAS level congestion control may be applied in general for all NAS messages. To enable congestion control for control plane data transfer, a Control Plane data back-off timer is used, see clause 5.19.7.6.</w:t>
      </w:r>
    </w:p>
    <w:p w14:paraId="6F73470B" w14:textId="77777777" w:rsidR="00D40151" w:rsidRPr="00873B6C" w:rsidRDefault="00D40151" w:rsidP="00D40151">
      <w:pPr>
        <w:pStyle w:val="Heading3"/>
      </w:pPr>
      <w:bookmarkStart w:id="4579" w:name="_CR5_31_16"/>
      <w:bookmarkStart w:id="4580" w:name="_Toc20150127"/>
      <w:bookmarkStart w:id="4581" w:name="_Toc27846928"/>
      <w:bookmarkStart w:id="4582" w:name="_Toc36188059"/>
      <w:bookmarkStart w:id="4583" w:name="_Toc45183964"/>
      <w:bookmarkStart w:id="4584" w:name="_Toc47342806"/>
      <w:bookmarkStart w:id="4585" w:name="_Toc51769508"/>
      <w:bookmarkStart w:id="4586" w:name="_Toc201157574"/>
      <w:bookmarkEnd w:id="4579"/>
      <w:r w:rsidRPr="00873B6C">
        <w:t>5.31.16</w:t>
      </w:r>
      <w:r w:rsidRPr="00873B6C">
        <w:tab/>
        <w:t>Service Gap Control</w:t>
      </w:r>
      <w:bookmarkEnd w:id="4580"/>
      <w:bookmarkEnd w:id="4581"/>
      <w:bookmarkEnd w:id="4582"/>
      <w:bookmarkEnd w:id="4583"/>
      <w:bookmarkEnd w:id="4584"/>
      <w:bookmarkEnd w:id="4585"/>
      <w:bookmarkEnd w:id="4586"/>
    </w:p>
    <w:p w14:paraId="34797120" w14:textId="77777777" w:rsidR="00D40151" w:rsidRPr="00873B6C" w:rsidRDefault="00D40151" w:rsidP="00D40151">
      <w:r w:rsidRPr="00873B6C">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873B6C" w:rsidRDefault="00D40151" w:rsidP="00D40151">
      <w:pPr>
        <w:pStyle w:val="NO"/>
      </w:pPr>
      <w:r w:rsidRPr="00873B6C">
        <w:t>NOTE 1:</w:t>
      </w:r>
      <w:r w:rsidRPr="00873B6C">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873B6C" w:rsidRDefault="00D40151" w:rsidP="00D40151">
      <w:r w:rsidRPr="00873B6C">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4E6D8B09" w:rsidR="00D40151" w:rsidRPr="00873B6C" w:rsidRDefault="00D40151" w:rsidP="00D40151">
      <w:r w:rsidRPr="00873B6C">
        <w:t xml:space="preserve">Service Gap Control requires the UE to stay in CM-IDLE mode for at least the whole duration of the Service Gap timer before triggering Mobile Originated user data transmission, except for procedures that are exempted (see </w:t>
      </w:r>
      <w:r w:rsidR="00972E70" w:rsidRPr="00873B6C">
        <w:t>TS 24.501 [</w:t>
      </w:r>
      <w:r w:rsidRPr="00873B6C">
        <w:t xml:space="preserve">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w:t>
      </w:r>
      <w:r w:rsidRPr="00873B6C">
        <w:lastRenderedPageBreak/>
        <w:t>request again. If the UE does so, the Service Gap timer will be restarted at the next CM-CONNECTED to CM-IDLE transition.</w:t>
      </w:r>
    </w:p>
    <w:p w14:paraId="5BDD075F" w14:textId="77777777" w:rsidR="00D40151" w:rsidRPr="00873B6C" w:rsidRDefault="00D40151" w:rsidP="00D40151">
      <w:r w:rsidRPr="00873B6C">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873B6C" w:rsidRDefault="00D40151" w:rsidP="00D40151">
      <w:pPr>
        <w:pStyle w:val="NO"/>
      </w:pPr>
      <w:r w:rsidRPr="00873B6C">
        <w:t>NOTE 2:</w:t>
      </w:r>
      <w:r w:rsidRPr="00873B6C">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873B6C" w:rsidRDefault="00D40151" w:rsidP="00D40151">
      <w:pPr>
        <w:pStyle w:val="NO"/>
      </w:pPr>
      <w:r w:rsidRPr="00873B6C">
        <w:t>NOTE 3:</w:t>
      </w:r>
      <w:r w:rsidRPr="00873B6C">
        <w:tab/>
        <w:t>Implementations need to make sure that latest and up-to-date data are always sent when a Service Gap timer expires.</w:t>
      </w:r>
    </w:p>
    <w:p w14:paraId="116F06FA" w14:textId="77777777" w:rsidR="00D40151" w:rsidRPr="00873B6C" w:rsidRDefault="00D40151" w:rsidP="00D40151">
      <w:r w:rsidRPr="00873B6C">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873B6C" w:rsidRDefault="00D40151" w:rsidP="00D40151">
      <w:pPr>
        <w:pStyle w:val="NO"/>
      </w:pPr>
      <w:r w:rsidRPr="00873B6C">
        <w:t>NOTE 4:</w:t>
      </w:r>
      <w:r w:rsidRPr="00873B6C">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873B6C" w:rsidRDefault="00D40151" w:rsidP="00D40151">
      <w:r w:rsidRPr="00873B6C">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873B6C" w:rsidRDefault="00D40151" w:rsidP="00D40151">
      <w:pPr>
        <w:pStyle w:val="NO"/>
      </w:pPr>
      <w:r w:rsidRPr="00873B6C">
        <w:t>NOTE 5:</w:t>
      </w:r>
      <w:r w:rsidRPr="00873B6C">
        <w:tab/>
        <w:t>This ensures that the AMF does not reject any UE requests just before the Service Gap timer expires e.g. because of slightly unsynchronized timers between UE and AMF.</w:t>
      </w:r>
    </w:p>
    <w:p w14:paraId="1997B771" w14:textId="77777777" w:rsidR="00D40151" w:rsidRPr="00873B6C" w:rsidRDefault="00D40151" w:rsidP="00D40151">
      <w:r w:rsidRPr="00873B6C">
        <w:t>A UE which transitions from a MICO mode or eDRX power saving state shall apply Service Gap Control when it wakes up if the Service Gap timer is still running.</w:t>
      </w:r>
    </w:p>
    <w:p w14:paraId="6C653234" w14:textId="77777777" w:rsidR="00D40151" w:rsidRPr="00873B6C" w:rsidRDefault="00D40151" w:rsidP="00D40151">
      <w:r w:rsidRPr="00873B6C">
        <w:t>Additional aspects of Service Gap Control:</w:t>
      </w:r>
    </w:p>
    <w:p w14:paraId="0143F206" w14:textId="77777777" w:rsidR="00D40151" w:rsidRPr="00873B6C" w:rsidRDefault="00D40151" w:rsidP="00D40151">
      <w:pPr>
        <w:pStyle w:val="B1"/>
      </w:pPr>
      <w:r w:rsidRPr="00873B6C">
        <w:t>-</w:t>
      </w:r>
      <w:r w:rsidRPr="00873B6C">
        <w:tab/>
        <w:t>Service Gap Control applies in all PLMNs.</w:t>
      </w:r>
    </w:p>
    <w:p w14:paraId="26A890D8" w14:textId="77777777" w:rsidR="00D40151" w:rsidRPr="00873B6C" w:rsidRDefault="00D40151" w:rsidP="00D40151">
      <w:pPr>
        <w:pStyle w:val="B1"/>
      </w:pPr>
      <w:r w:rsidRPr="00873B6C">
        <w:t>-</w:t>
      </w:r>
      <w:r w:rsidRPr="00873B6C">
        <w:tab/>
        <w:t>When the Service Gap timer is running and the UE receives paging, the UE shall respond as normal.</w:t>
      </w:r>
    </w:p>
    <w:p w14:paraId="2BC97EF2" w14:textId="77777777" w:rsidR="00D40151" w:rsidRPr="00873B6C" w:rsidRDefault="00D40151" w:rsidP="00D40151">
      <w:pPr>
        <w:pStyle w:val="B1"/>
      </w:pPr>
      <w:r w:rsidRPr="00873B6C">
        <w:t>-</w:t>
      </w:r>
      <w:r w:rsidRPr="00873B6C">
        <w:tab/>
        <w:t>Service Gap Control does not apply to exception reporting for NB-IoT.</w:t>
      </w:r>
    </w:p>
    <w:p w14:paraId="6C17CC09" w14:textId="77777777" w:rsidR="00D40151" w:rsidRPr="00873B6C" w:rsidRDefault="00D40151" w:rsidP="00D40151">
      <w:pPr>
        <w:pStyle w:val="B1"/>
      </w:pPr>
      <w:r w:rsidRPr="00873B6C">
        <w:t>-</w:t>
      </w:r>
      <w:r w:rsidRPr="00873B6C">
        <w:tab/>
        <w:t>Access to the network for regulatory prioritized services like Emergency services are allowed when a Service Gap timer is running.</w:t>
      </w:r>
    </w:p>
    <w:p w14:paraId="67FB6DB7" w14:textId="77777777" w:rsidR="00D40151" w:rsidRPr="00873B6C" w:rsidRDefault="00D40151" w:rsidP="00D40151">
      <w:pPr>
        <w:pStyle w:val="B1"/>
      </w:pPr>
      <w:r w:rsidRPr="00873B6C">
        <w:t>-</w:t>
      </w:r>
      <w:r w:rsidRPr="00873B6C">
        <w:tab/>
        <w:t>Service Gap Control shall be effective also for UEs performing de-registration and re-registration unless access to the network for regulatory prioritized services like Emergency services is required.</w:t>
      </w:r>
    </w:p>
    <w:p w14:paraId="33ACF20D" w14:textId="77777777" w:rsidR="00D40151" w:rsidRPr="00873B6C" w:rsidRDefault="00D40151" w:rsidP="00D40151">
      <w:pPr>
        <w:pStyle w:val="B1"/>
      </w:pPr>
      <w:r w:rsidRPr="00873B6C">
        <w:t>-</w:t>
      </w:r>
      <w:r w:rsidRPr="00873B6C">
        <w:tab/>
        <w:t>If the Service Gap timer is running, the Service Gap is applied at PLMN selection as follows:</w:t>
      </w:r>
    </w:p>
    <w:p w14:paraId="0CCEBE22" w14:textId="77777777" w:rsidR="00D40151" w:rsidRPr="00873B6C" w:rsidRDefault="00D40151" w:rsidP="00D40151">
      <w:pPr>
        <w:pStyle w:val="B2"/>
      </w:pPr>
      <w:r w:rsidRPr="00873B6C">
        <w:t>a)</w:t>
      </w:r>
      <w:r w:rsidRPr="00873B6C">
        <w:tab/>
        <w:t>Re-registration to the registered PLMN: The remaining Service Gap timer value survives.</w:t>
      </w:r>
    </w:p>
    <w:p w14:paraId="7260D6EB" w14:textId="77777777" w:rsidR="00D40151" w:rsidRPr="00873B6C" w:rsidRDefault="00D40151" w:rsidP="00D40151">
      <w:pPr>
        <w:pStyle w:val="B2"/>
      </w:pPr>
      <w:r w:rsidRPr="00873B6C">
        <w:t>b)</w:t>
      </w:r>
      <w:r w:rsidRPr="00873B6C">
        <w:tab/>
        <w:t>Registration to a different PLMN: The remaining Service Gap timer value survives.</w:t>
      </w:r>
    </w:p>
    <w:p w14:paraId="0821FAE6" w14:textId="77777777" w:rsidR="00D40151" w:rsidRPr="00873B6C" w:rsidRDefault="00D40151" w:rsidP="00D40151">
      <w:pPr>
        <w:pStyle w:val="B2"/>
      </w:pPr>
      <w:r w:rsidRPr="00873B6C">
        <w:t>c)</w:t>
      </w:r>
      <w:r w:rsidRPr="00873B6C">
        <w:tab/>
        <w:t>USIM swap: The Service Gap timer is no longer running and the Service Gap feature does not apply, unless re-instantiated by the serving PLMN.</w:t>
      </w:r>
    </w:p>
    <w:p w14:paraId="1AA2F10B" w14:textId="77777777" w:rsidR="00D40151" w:rsidRPr="00873B6C" w:rsidRDefault="00D40151" w:rsidP="00D40151">
      <w:pPr>
        <w:pStyle w:val="B1"/>
      </w:pPr>
      <w:r w:rsidRPr="00873B6C">
        <w:lastRenderedPageBreak/>
        <w:t>-</w:t>
      </w:r>
      <w:r w:rsidRPr="00873B6C">
        <w:tab/>
        <w:t>Multiple uplink packets and downlink packets are allowed during one RRC connection for UE operating within its Rate Control limits.</w:t>
      </w:r>
    </w:p>
    <w:p w14:paraId="78060244" w14:textId="77777777" w:rsidR="00D40151" w:rsidRPr="00873B6C" w:rsidRDefault="00D40151" w:rsidP="00D40151">
      <w:r w:rsidRPr="00873B6C">
        <w:t>The following procedures are impacted by Service Gap Control:</w:t>
      </w:r>
    </w:p>
    <w:p w14:paraId="1991F1A7" w14:textId="5E617727" w:rsidR="00D40151" w:rsidRPr="00873B6C" w:rsidRDefault="00D40151" w:rsidP="00D40151">
      <w:pPr>
        <w:pStyle w:val="B1"/>
      </w:pPr>
      <w:r w:rsidRPr="00873B6C">
        <w:t>-</w:t>
      </w:r>
      <w:r w:rsidRPr="00873B6C">
        <w:tab/>
        <w:t>Registration Procedure, see</w:t>
      </w:r>
      <w:r w:rsidR="00D602DF" w:rsidRPr="00873B6C">
        <w:t xml:space="preserve"> clause 4.2.2.2</w:t>
      </w:r>
      <w:r w:rsidRPr="00873B6C">
        <w:t xml:space="preserve"> </w:t>
      </w:r>
      <w:r w:rsidR="00D602DF" w:rsidRPr="00873B6C">
        <w:t xml:space="preserve">of </w:t>
      </w:r>
      <w:r w:rsidR="00972E70" w:rsidRPr="00873B6C">
        <w:t>TS 23.502 [</w:t>
      </w:r>
      <w:r w:rsidRPr="00873B6C">
        <w:t>3];</w:t>
      </w:r>
    </w:p>
    <w:p w14:paraId="0EF04C64" w14:textId="74B008F5" w:rsidR="00D40151" w:rsidRPr="00873B6C" w:rsidRDefault="00D40151" w:rsidP="00D40151">
      <w:pPr>
        <w:pStyle w:val="B1"/>
      </w:pPr>
      <w:r w:rsidRPr="00873B6C">
        <w:t>-</w:t>
      </w:r>
      <w:r w:rsidRPr="00873B6C">
        <w:tab/>
        <w:t>UE Triggered Service Request, see</w:t>
      </w:r>
      <w:r w:rsidR="00D602DF" w:rsidRPr="00873B6C">
        <w:t xml:space="preserve"> clause 4.2.3.2</w:t>
      </w:r>
      <w:r w:rsidRPr="00873B6C">
        <w:t xml:space="preserve"> </w:t>
      </w:r>
      <w:r w:rsidR="00D602DF" w:rsidRPr="00873B6C">
        <w:t xml:space="preserve">of </w:t>
      </w:r>
      <w:r w:rsidR="00972E70" w:rsidRPr="00873B6C">
        <w:t>TS 23.502 [</w:t>
      </w:r>
      <w:r w:rsidRPr="00873B6C">
        <w:t>3];</w:t>
      </w:r>
    </w:p>
    <w:p w14:paraId="33AF5F10" w14:textId="0B7298D6" w:rsidR="00D40151" w:rsidRPr="00873B6C" w:rsidRDefault="00D40151" w:rsidP="00D40151">
      <w:pPr>
        <w:pStyle w:val="NO"/>
      </w:pPr>
      <w:r w:rsidRPr="00873B6C">
        <w:t>NOTE 6:</w:t>
      </w:r>
      <w:r w:rsidRPr="00873B6C">
        <w:tab/>
        <w:t>Since UE triggered Service Request is prevented by Service Gap timer, this implicitly prevents the UE from initiating UPF anchored Mobile Originated Data Transport in Control Plane CIoT 5GS Optimisation (see</w:t>
      </w:r>
      <w:r w:rsidR="00D602DF" w:rsidRPr="00873B6C">
        <w:t xml:space="preserve"> clause 4.24.1</w:t>
      </w:r>
      <w:r w:rsidRPr="00873B6C">
        <w:t xml:space="preserve"> </w:t>
      </w:r>
      <w:r w:rsidR="00D602DF" w:rsidRPr="00873B6C">
        <w:t xml:space="preserve">of </w:t>
      </w:r>
      <w:r w:rsidR="00972E70" w:rsidRPr="00873B6C">
        <w:t>TS 23.502 [</w:t>
      </w:r>
      <w:r w:rsidRPr="00873B6C">
        <w:t>3]), NEF Anchored Mobile Originated Data Transport (see</w:t>
      </w:r>
      <w:r w:rsidR="00D602DF" w:rsidRPr="00873B6C">
        <w:t xml:space="preserve"> clause 4.25.4</w:t>
      </w:r>
      <w:r w:rsidRPr="00873B6C">
        <w:t xml:space="preserve"> </w:t>
      </w:r>
      <w:r w:rsidR="00D602DF" w:rsidRPr="00873B6C">
        <w:t xml:space="preserve">of </w:t>
      </w:r>
      <w:r w:rsidR="00972E70" w:rsidRPr="00873B6C">
        <w:t>TS 23.502 [</w:t>
      </w:r>
      <w:r w:rsidRPr="00873B6C">
        <w:t>3]) and MO SMS over NAS in CM-IDLE (see</w:t>
      </w:r>
      <w:r w:rsidR="00D602DF" w:rsidRPr="00873B6C">
        <w:t xml:space="preserve"> clause 4.13.3.3</w:t>
      </w:r>
      <w:r w:rsidRPr="00873B6C">
        <w:t xml:space="preserve"> </w:t>
      </w:r>
      <w:r w:rsidR="00D602DF" w:rsidRPr="00873B6C">
        <w:t xml:space="preserve">of </w:t>
      </w:r>
      <w:r w:rsidR="00972E70" w:rsidRPr="00873B6C">
        <w:t>TS 23.502 [</w:t>
      </w:r>
      <w:r w:rsidRPr="00873B6C">
        <w:t>3]).</w:t>
      </w:r>
    </w:p>
    <w:p w14:paraId="69DEAE45" w14:textId="77777777" w:rsidR="00D40151" w:rsidRPr="00873B6C" w:rsidRDefault="00D40151" w:rsidP="00D40151">
      <w:pPr>
        <w:pStyle w:val="Heading3"/>
      </w:pPr>
      <w:bookmarkStart w:id="4587" w:name="_CR5_31_17"/>
      <w:bookmarkStart w:id="4588" w:name="_Toc20150128"/>
      <w:bookmarkStart w:id="4589" w:name="_Toc27846929"/>
      <w:bookmarkStart w:id="4590" w:name="_Toc36188060"/>
      <w:bookmarkStart w:id="4591" w:name="_Toc45183965"/>
      <w:bookmarkStart w:id="4592" w:name="_Toc47342807"/>
      <w:bookmarkStart w:id="4593" w:name="_Toc51769509"/>
      <w:bookmarkStart w:id="4594" w:name="_Toc201157575"/>
      <w:bookmarkEnd w:id="4587"/>
      <w:r w:rsidRPr="00873B6C">
        <w:t>5.31.17</w:t>
      </w:r>
      <w:r w:rsidRPr="00873B6C">
        <w:tab/>
        <w:t>Inter-UE QoS for NB-IoT</w:t>
      </w:r>
      <w:bookmarkEnd w:id="4588"/>
      <w:bookmarkEnd w:id="4589"/>
      <w:bookmarkEnd w:id="4590"/>
      <w:bookmarkEnd w:id="4591"/>
      <w:bookmarkEnd w:id="4592"/>
      <w:bookmarkEnd w:id="4593"/>
      <w:bookmarkEnd w:id="4594"/>
    </w:p>
    <w:p w14:paraId="1ED07585" w14:textId="77777777" w:rsidR="00D40151" w:rsidRPr="00873B6C" w:rsidRDefault="00D40151" w:rsidP="00D40151">
      <w:r w:rsidRPr="00873B6C">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873B6C" w:rsidRDefault="00D40151" w:rsidP="00D40151">
      <w:r w:rsidRPr="00873B6C">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873B6C" w:rsidRDefault="00D40151" w:rsidP="00D40151">
      <w:pPr>
        <w:pStyle w:val="Heading3"/>
      </w:pPr>
      <w:bookmarkStart w:id="4595" w:name="_CR5_31_18"/>
      <w:bookmarkStart w:id="4596" w:name="_Toc20150129"/>
      <w:bookmarkStart w:id="4597" w:name="_Toc27846930"/>
      <w:bookmarkStart w:id="4598" w:name="_Toc36188061"/>
      <w:bookmarkStart w:id="4599" w:name="_Toc45183966"/>
      <w:bookmarkStart w:id="4600" w:name="_Toc47342808"/>
      <w:bookmarkStart w:id="4601" w:name="_Toc51769510"/>
      <w:bookmarkStart w:id="4602" w:name="_Toc201157576"/>
      <w:bookmarkEnd w:id="4595"/>
      <w:r w:rsidRPr="00873B6C">
        <w:t>5.31.18</w:t>
      </w:r>
      <w:r w:rsidRPr="00873B6C">
        <w:tab/>
        <w:t>User Plane CIoT 5GS Optimisation</w:t>
      </w:r>
      <w:bookmarkEnd w:id="4596"/>
      <w:bookmarkEnd w:id="4597"/>
      <w:bookmarkEnd w:id="4598"/>
      <w:bookmarkEnd w:id="4599"/>
      <w:bookmarkEnd w:id="4600"/>
      <w:bookmarkEnd w:id="4601"/>
      <w:bookmarkEnd w:id="4602"/>
    </w:p>
    <w:p w14:paraId="74FD95AB" w14:textId="77777777" w:rsidR="00D40151" w:rsidRPr="00873B6C" w:rsidRDefault="00D40151" w:rsidP="00D40151">
      <w:r w:rsidRPr="00873B6C">
        <w:t>User Plane CIoT 5GS Optimisation enables transfer of user plane data from CM-IDLE without the need for using the Service Request procedure to establish Access Stratum (AS) context in NG-RAN and UE.</w:t>
      </w:r>
    </w:p>
    <w:p w14:paraId="3F63B70F" w14:textId="77777777" w:rsidR="00D40151" w:rsidRPr="00873B6C" w:rsidRDefault="00D40151" w:rsidP="00D40151">
      <w:r w:rsidRPr="00873B6C">
        <w:t>If the following preconditions are met:</w:t>
      </w:r>
    </w:p>
    <w:p w14:paraId="6F7290B0" w14:textId="77777777" w:rsidR="00D40151" w:rsidRPr="00873B6C" w:rsidRDefault="00D40151" w:rsidP="00D40151">
      <w:pPr>
        <w:pStyle w:val="B1"/>
      </w:pPr>
      <w:r w:rsidRPr="00873B6C">
        <w:t>-</w:t>
      </w:r>
      <w:r w:rsidRPr="00873B6C">
        <w:tab/>
        <w:t>UE and AMF negotiated support User Plane CIoT 5GS Optimisation (see clause 5.31.2) over NAS,</w:t>
      </w:r>
    </w:p>
    <w:p w14:paraId="1925B2C4" w14:textId="25CF0A49" w:rsidR="00D40151" w:rsidRPr="00873B6C" w:rsidRDefault="00D40151" w:rsidP="00D40151">
      <w:pPr>
        <w:pStyle w:val="B1"/>
      </w:pPr>
      <w:r w:rsidRPr="00873B6C">
        <w:t>-</w:t>
      </w:r>
      <w:r w:rsidRPr="00873B6C">
        <w:tab/>
        <w:t xml:space="preserve">the UE has indicated support of User Plane CIoT 5GS Optimisation in the UE radio capabilities as defined in </w:t>
      </w:r>
      <w:r w:rsidR="00972E70" w:rsidRPr="00873B6C">
        <w:t>TS 36.331 [</w:t>
      </w:r>
      <w:r w:rsidRPr="00873B6C">
        <w:t>51],</w:t>
      </w:r>
    </w:p>
    <w:p w14:paraId="5647C25F" w14:textId="77777777" w:rsidR="00D40151" w:rsidRPr="00873B6C" w:rsidRDefault="00D40151" w:rsidP="00D40151">
      <w:pPr>
        <w:pStyle w:val="B1"/>
      </w:pPr>
      <w:r w:rsidRPr="00873B6C">
        <w:t>-</w:t>
      </w:r>
      <w:r w:rsidRPr="00873B6C">
        <w:tab/>
        <w:t>AMF has indicated User Plane CIoT 5GS Optimisation support for the UE to NG-RAN,</w:t>
      </w:r>
    </w:p>
    <w:p w14:paraId="19F8A70F" w14:textId="77777777" w:rsidR="00D40151" w:rsidRPr="00873B6C" w:rsidRDefault="00D40151" w:rsidP="00D40151">
      <w:pPr>
        <w:pStyle w:val="B1"/>
      </w:pPr>
      <w:r w:rsidRPr="00873B6C">
        <w:t>-</w:t>
      </w:r>
      <w:r w:rsidRPr="00873B6C">
        <w:tab/>
        <w:t>the UE has established at least one PDU session with active UP connection, i.e. AS context is established in NG-RAN and the UE,</w:t>
      </w:r>
    </w:p>
    <w:p w14:paraId="732D972E" w14:textId="36E765BD" w:rsidR="00D40151" w:rsidRPr="00873B6C" w:rsidRDefault="00D40151" w:rsidP="00D40151">
      <w:r w:rsidRPr="00873B6C">
        <w:t xml:space="preserve">then the RRC connection can be suspended by means of the Connection Suspend Procedure (see clause 4.8.1.2 of </w:t>
      </w:r>
      <w:r w:rsidR="00972E70" w:rsidRPr="00873B6C">
        <w:t>TS 23.502 [</w:t>
      </w:r>
      <w:r w:rsidRPr="00873B6C">
        <w:t>3]).</w:t>
      </w:r>
    </w:p>
    <w:p w14:paraId="370DAA69" w14:textId="32583B4F" w:rsidR="00D40151" w:rsidRPr="00873B6C" w:rsidRDefault="00D40151" w:rsidP="00D40151">
      <w:r w:rsidRPr="00873B6C">
        <w:t xml:space="preserve">Based on a trigger from the NAS layer when a UE is in CM-IDLE with Suspend, the UE should attempt the Connection Resume in CM-IDLE with Suspend procedure (clause 4.8.2.3 of </w:t>
      </w:r>
      <w:r w:rsidR="00972E70" w:rsidRPr="00873B6C">
        <w:t>TS 23.502 [</w:t>
      </w:r>
      <w:r w:rsidRPr="00873B6C">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972E70" w:rsidRPr="00873B6C">
        <w:t>TS 38.300 [</w:t>
      </w:r>
      <w:r w:rsidRPr="00873B6C">
        <w:t xml:space="preserve">27] and </w:t>
      </w:r>
      <w:r w:rsidR="00972E70" w:rsidRPr="00873B6C">
        <w:t>TS 38.423 [</w:t>
      </w:r>
      <w:r w:rsidRPr="00873B6C">
        <w:t>99].</w:t>
      </w:r>
    </w:p>
    <w:p w14:paraId="0A94D9BE" w14:textId="3EA78940" w:rsidR="00141A61" w:rsidRPr="00873B6C" w:rsidRDefault="00141A61" w:rsidP="00D40151">
      <w:r w:rsidRPr="00873B6C">
        <w:t>For MT data or signalling when the UE is in CM-IDLE with Suspend, Network Triggered Service Request procedure (clause 4.2.3.3 of TS 23.502 [3]) applies.</w:t>
      </w:r>
    </w:p>
    <w:p w14:paraId="224F4ACC" w14:textId="67FDB1A4" w:rsidR="00D40151" w:rsidRPr="00873B6C" w:rsidRDefault="00D40151" w:rsidP="00D40151">
      <w:r w:rsidRPr="00873B6C">
        <w:t>By using the Connection Suspend Procedure:</w:t>
      </w:r>
    </w:p>
    <w:p w14:paraId="56F546FB" w14:textId="77777777" w:rsidR="00D40151" w:rsidRPr="00873B6C" w:rsidRDefault="00D40151" w:rsidP="00D40151">
      <w:pPr>
        <w:pStyle w:val="B1"/>
      </w:pPr>
      <w:r w:rsidRPr="00873B6C">
        <w:t>-</w:t>
      </w:r>
      <w:r w:rsidRPr="00873B6C">
        <w:tab/>
        <w:t>the UE at transition into CM-IDLE stores the AS information;</w:t>
      </w:r>
    </w:p>
    <w:p w14:paraId="1AB0E0FB" w14:textId="77777777" w:rsidR="00D40151" w:rsidRPr="00873B6C" w:rsidRDefault="00D40151" w:rsidP="00D40151">
      <w:pPr>
        <w:pStyle w:val="B1"/>
      </w:pPr>
      <w:r w:rsidRPr="00873B6C">
        <w:t>-</w:t>
      </w:r>
      <w:r w:rsidRPr="00873B6C">
        <w:tab/>
        <w:t>NG-RAN stores the AS information, the NGAP UE association and the PDU session context for that UE;</w:t>
      </w:r>
    </w:p>
    <w:p w14:paraId="0EB3AFD7" w14:textId="77777777" w:rsidR="00D40151" w:rsidRPr="00873B6C" w:rsidRDefault="00D40151" w:rsidP="00D40151">
      <w:pPr>
        <w:pStyle w:val="B1"/>
      </w:pPr>
      <w:r w:rsidRPr="00873B6C">
        <w:t>-</w:t>
      </w:r>
      <w:r w:rsidRPr="00873B6C">
        <w:tab/>
        <w:t>AMF stores the NGAP UE association and other information necessary to later resume the UE, interacts with the SMF(s) to deactivate the user plane resources for the UE's PDU Sessions and enters CM-IDLE.</w:t>
      </w:r>
    </w:p>
    <w:p w14:paraId="1E6D767E" w14:textId="6E43C7A0" w:rsidR="00D40151" w:rsidRPr="00873B6C" w:rsidRDefault="00D40151" w:rsidP="00D40151">
      <w:r w:rsidRPr="00873B6C">
        <w:t xml:space="preserve">NG-RAN may decide based on implementation to delete the stored UE context and NGAP association. In that case, the RAN shall initiate the AN Release procedure as described in clause 4.2.6 of </w:t>
      </w:r>
      <w:r w:rsidR="00972E70" w:rsidRPr="00873B6C">
        <w:t>TS 23.502 [</w:t>
      </w:r>
      <w:r w:rsidRPr="00873B6C">
        <w:t>3]. NG-RAN does not initiate any RRC procedure to notify the UE of the UE context release.</w:t>
      </w:r>
    </w:p>
    <w:p w14:paraId="686779C4" w14:textId="77777777" w:rsidR="00D40151" w:rsidRPr="00873B6C" w:rsidRDefault="00D40151" w:rsidP="00D40151">
      <w:r w:rsidRPr="00873B6C">
        <w:lastRenderedPageBreak/>
        <w:t>By using the Connection Resume in CM-IDLE with Suspend procedure:</w:t>
      </w:r>
    </w:p>
    <w:p w14:paraId="64B744AB" w14:textId="77777777" w:rsidR="00D40151" w:rsidRPr="00873B6C" w:rsidRDefault="00D40151" w:rsidP="00D40151">
      <w:pPr>
        <w:pStyle w:val="B1"/>
      </w:pPr>
      <w:r w:rsidRPr="00873B6C">
        <w:t>-</w:t>
      </w:r>
      <w:r w:rsidRPr="00873B6C">
        <w:tab/>
        <w:t>the UE resumes the connection from CM-IDLE with the network using the AS information stored during the Connection Suspend procedure;</w:t>
      </w:r>
    </w:p>
    <w:p w14:paraId="65D2469C" w14:textId="77777777" w:rsidR="00D40151" w:rsidRPr="00873B6C" w:rsidRDefault="00D40151" w:rsidP="00D40151">
      <w:pPr>
        <w:pStyle w:val="B1"/>
      </w:pPr>
      <w:r w:rsidRPr="00873B6C">
        <w:t>-</w:t>
      </w:r>
      <w:r w:rsidRPr="00873B6C">
        <w:tab/>
        <w:t>NG-RAN notifies the AMF that the connection with the UE has been resumed;</w:t>
      </w:r>
    </w:p>
    <w:p w14:paraId="4EEBBD7D" w14:textId="77777777" w:rsidR="00D40151" w:rsidRPr="00873B6C" w:rsidRDefault="00D40151" w:rsidP="00D40151">
      <w:pPr>
        <w:pStyle w:val="B1"/>
      </w:pPr>
      <w:r w:rsidRPr="00873B6C">
        <w:t>-</w:t>
      </w:r>
      <w:r w:rsidRPr="00873B6C">
        <w:tab/>
        <w:t>AMF enters CM-CONNECTED and interacts with the SMF to activate the user plane resources for the UE's PDU Sessions.</w:t>
      </w:r>
    </w:p>
    <w:p w14:paraId="44D1570D" w14:textId="77777777" w:rsidR="00D40151" w:rsidRPr="00873B6C" w:rsidRDefault="00D40151" w:rsidP="00D40151">
      <w:r w:rsidRPr="00873B6C">
        <w:t>Early Data Transmission may be initiated by the UE for mobile originated User Plane CIoT 5GS Optimisation during Connection Resume.</w:t>
      </w:r>
    </w:p>
    <w:p w14:paraId="2E05641E" w14:textId="77777777" w:rsidR="00D40151" w:rsidRPr="00873B6C" w:rsidRDefault="00D40151" w:rsidP="00D40151">
      <w:r w:rsidRPr="00873B6C">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873B6C" w:rsidRDefault="00D40151" w:rsidP="00D40151">
      <w:r w:rsidRPr="00873B6C">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873B6C" w:rsidRDefault="00D40151" w:rsidP="00D40151">
      <w:bookmarkStart w:id="4603" w:name="_Toc20150130"/>
      <w:r w:rsidRPr="00873B6C">
        <w:t>Early Data Transmission may be initiated by the UE for mobile originated User Plane CIoT 5GS Optimisation when the RAT Type is E-UTRA.</w:t>
      </w:r>
    </w:p>
    <w:p w14:paraId="792A5815" w14:textId="77777777" w:rsidR="00D40151" w:rsidRPr="00873B6C" w:rsidRDefault="00D40151" w:rsidP="00D40151">
      <w:pPr>
        <w:pStyle w:val="Heading3"/>
      </w:pPr>
      <w:bookmarkStart w:id="4604" w:name="_CR5_31_19"/>
      <w:bookmarkStart w:id="4605" w:name="_Toc27846931"/>
      <w:bookmarkStart w:id="4606" w:name="_Toc36188062"/>
      <w:bookmarkStart w:id="4607" w:name="_Toc45183967"/>
      <w:bookmarkStart w:id="4608" w:name="_Toc47342809"/>
      <w:bookmarkStart w:id="4609" w:name="_Toc51769511"/>
      <w:bookmarkStart w:id="4610" w:name="_Toc201157577"/>
      <w:bookmarkEnd w:id="4604"/>
      <w:r w:rsidRPr="00873B6C">
        <w:t>5.31.19</w:t>
      </w:r>
      <w:r w:rsidRPr="00873B6C">
        <w:tab/>
        <w:t>QoS model for NB-IoT</w:t>
      </w:r>
      <w:bookmarkEnd w:id="4603"/>
      <w:bookmarkEnd w:id="4605"/>
      <w:bookmarkEnd w:id="4606"/>
      <w:bookmarkEnd w:id="4607"/>
      <w:bookmarkEnd w:id="4608"/>
      <w:bookmarkEnd w:id="4609"/>
      <w:bookmarkEnd w:id="4610"/>
    </w:p>
    <w:p w14:paraId="68821849" w14:textId="77777777" w:rsidR="00D40151" w:rsidRPr="00873B6C" w:rsidRDefault="00D40151" w:rsidP="00D40151">
      <w:r w:rsidRPr="00873B6C">
        <w:t>5GC QoS model described in clause 5.7 applies to NB-IoT with the following requirements:</w:t>
      </w:r>
    </w:p>
    <w:p w14:paraId="61EA8FB2" w14:textId="0DB3F001" w:rsidR="00D40151" w:rsidRPr="00873B6C" w:rsidRDefault="00D40151" w:rsidP="00D40151">
      <w:pPr>
        <w:pStyle w:val="B1"/>
      </w:pPr>
      <w:r w:rsidRPr="00873B6C">
        <w:t>-</w:t>
      </w:r>
      <w:r w:rsidRPr="00873B6C">
        <w:tab/>
        <w:t xml:space="preserve">The default QoS rule shall be the only QoS rule of a PDU Session for a UE connected to 5GC via NB-IoT. There is only one </w:t>
      </w:r>
      <w:r w:rsidR="00426DE4" w:rsidRPr="00873B6C">
        <w:t>QoS Flow</w:t>
      </w:r>
      <w:r w:rsidRPr="00873B6C">
        <w:t xml:space="preserve"> (corresponding to the default QoS rule) per PDU session.</w:t>
      </w:r>
    </w:p>
    <w:p w14:paraId="7E977E12" w14:textId="77777777" w:rsidR="00D40151" w:rsidRPr="00873B6C" w:rsidRDefault="00D40151" w:rsidP="00D40151">
      <w:pPr>
        <w:pStyle w:val="B1"/>
      </w:pPr>
      <w:r w:rsidRPr="00873B6C">
        <w:t>-</w:t>
      </w:r>
      <w:r w:rsidRPr="00873B6C">
        <w:tab/>
        <w:t>Reflective QoS is not supported over NB-IoT.</w:t>
      </w:r>
    </w:p>
    <w:p w14:paraId="14CC73A6" w14:textId="00155F56" w:rsidR="00D40151" w:rsidRPr="00873B6C" w:rsidRDefault="00D40151" w:rsidP="00D40151">
      <w:pPr>
        <w:pStyle w:val="B1"/>
      </w:pPr>
      <w:r w:rsidRPr="00873B6C">
        <w:t>-</w:t>
      </w:r>
      <w:r w:rsidRPr="00873B6C">
        <w:tab/>
        <w:t xml:space="preserve">For NB-IoT, there is a 1:1 mapping between the </w:t>
      </w:r>
      <w:r w:rsidR="00426DE4" w:rsidRPr="00873B6C">
        <w:t>QoS Flow</w:t>
      </w:r>
      <w:r w:rsidRPr="00873B6C">
        <w:t xml:space="preserve"> corresponding to the default QoS of a PDU session and a Data Radio Bearer when user plane resources are active for that PDU session.</w:t>
      </w:r>
    </w:p>
    <w:p w14:paraId="027D6B92" w14:textId="77777777" w:rsidR="00D40151" w:rsidRPr="00873B6C" w:rsidRDefault="00D40151" w:rsidP="00D40151">
      <w:pPr>
        <w:pStyle w:val="B1"/>
      </w:pPr>
      <w:r w:rsidRPr="00873B6C">
        <w:t>-</w:t>
      </w:r>
      <w:r w:rsidRPr="00873B6C">
        <w:tab/>
        <w:t>A maximum of two Data Radio Bearers are supported over NB-IoT. Therefore, at most two PDU sessions can have active user plane resources at the same time.</w:t>
      </w:r>
    </w:p>
    <w:p w14:paraId="20945F5D" w14:textId="2992E3D1" w:rsidR="00D40151" w:rsidRPr="00873B6C" w:rsidRDefault="00D40151" w:rsidP="00D40151">
      <w:pPr>
        <w:pStyle w:val="B1"/>
      </w:pPr>
      <w:bookmarkStart w:id="4611" w:name="_Toc27846932"/>
      <w:bookmarkStart w:id="4612" w:name="_Toc36188063"/>
      <w:bookmarkStart w:id="4613" w:name="_Toc45183968"/>
      <w:bookmarkStart w:id="4614" w:name="_Toc47342810"/>
      <w:bookmarkStart w:id="4615" w:name="_Toc20150131"/>
      <w:r w:rsidRPr="00873B6C">
        <w:t>-</w:t>
      </w:r>
      <w:r w:rsidRPr="00873B6C">
        <w:tab/>
        <w:t xml:space="preserve">The capability of multiple UP resource support for NB-IoT UEs is indicated in the UE 5GMM Core Network Capability (see </w:t>
      </w:r>
      <w:r w:rsidR="00972E70" w:rsidRPr="00873B6C">
        <w:t>TS 24.501 [</w:t>
      </w:r>
      <w:r w:rsidRPr="00873B6C">
        <w:t xml:space="preserve">47]). During PDU Session Establishment or UP resource activation, the AMF checks if the UE can support the establishment of user plane resources (See clause 4.2.3.2 and clause 4.3.2.2.1 of </w:t>
      </w:r>
      <w:r w:rsidR="00972E70" w:rsidRPr="00873B6C">
        <w:t>TS 23.502 [</w:t>
      </w:r>
      <w:r w:rsidRPr="00873B6C">
        <w:t>3]).</w:t>
      </w:r>
    </w:p>
    <w:p w14:paraId="771B236A" w14:textId="77777777" w:rsidR="00D40151" w:rsidRPr="00873B6C" w:rsidRDefault="00D40151" w:rsidP="00D40151">
      <w:pPr>
        <w:pStyle w:val="Heading3"/>
      </w:pPr>
      <w:bookmarkStart w:id="4616" w:name="_CR5_31_20"/>
      <w:bookmarkStart w:id="4617" w:name="_Toc51769512"/>
      <w:bookmarkStart w:id="4618" w:name="_Toc201157578"/>
      <w:bookmarkEnd w:id="4616"/>
      <w:r w:rsidRPr="00873B6C">
        <w:t>5.31.20</w:t>
      </w:r>
      <w:r w:rsidRPr="00873B6C">
        <w:tab/>
        <w:t>Category M UEs differentiation</w:t>
      </w:r>
      <w:bookmarkEnd w:id="4611"/>
      <w:bookmarkEnd w:id="4612"/>
      <w:bookmarkEnd w:id="4613"/>
      <w:bookmarkEnd w:id="4614"/>
      <w:bookmarkEnd w:id="4617"/>
      <w:bookmarkEnd w:id="4618"/>
    </w:p>
    <w:p w14:paraId="672A85ED" w14:textId="77777777" w:rsidR="00D40151" w:rsidRPr="00873B6C" w:rsidRDefault="00D40151" w:rsidP="00D40151">
      <w:r w:rsidRPr="00873B6C">
        <w:t>This functionality is used by the network to identify traffic to/from Category M UEs, e.g. for charging differentiation.</w:t>
      </w:r>
    </w:p>
    <w:p w14:paraId="6560CF01" w14:textId="53856C11" w:rsidR="00D40151" w:rsidRPr="00873B6C" w:rsidRDefault="00D40151" w:rsidP="00D40151">
      <w:r w:rsidRPr="00873B6C">
        <w:t xml:space="preserve">A Category M UE using E-UTRA shall provide a Category M indication to the NG-RAN during RRC Connection Establishment procedure as defined in </w:t>
      </w:r>
      <w:r w:rsidR="00972E70" w:rsidRPr="00873B6C">
        <w:t>TS 36.331 [</w:t>
      </w:r>
      <w:r w:rsidRPr="00873B6C">
        <w:t>51].</w:t>
      </w:r>
    </w:p>
    <w:p w14:paraId="4DF24782" w14:textId="5C69190E" w:rsidR="00D40151" w:rsidRPr="00873B6C" w:rsidRDefault="00D40151" w:rsidP="00D40151">
      <w:r w:rsidRPr="00873B6C">
        <w:t>When the UE has provided a Category M indication to the NG-RAN during RRC Connection Establishment, the NG-RAN shall provide an LTE-M Indication to the AMF in the Initial UE Message (see</w:t>
      </w:r>
      <w:r w:rsidR="00D602DF" w:rsidRPr="00873B6C">
        <w:t xml:space="preserve"> clause 4.2.2.2.1</w:t>
      </w:r>
      <w:r w:rsidRPr="00873B6C">
        <w:t xml:space="preserve"> </w:t>
      </w:r>
      <w:r w:rsidR="00D602DF" w:rsidRPr="00873B6C">
        <w:t xml:space="preserve">of </w:t>
      </w:r>
      <w:r w:rsidR="00972E70" w:rsidRPr="00873B6C">
        <w:t>TS 23.502 [</w:t>
      </w:r>
      <w:r w:rsidRPr="00873B6C">
        <w:t xml:space="preserve">3] and </w:t>
      </w:r>
      <w:r w:rsidR="00972E70" w:rsidRPr="00873B6C">
        <w:t>TS 38.413 [</w:t>
      </w:r>
      <w:r w:rsidRPr="00873B6C">
        <w:t>34]).</w:t>
      </w:r>
    </w:p>
    <w:p w14:paraId="62AE2083" w14:textId="147763FA" w:rsidR="00D40151" w:rsidRPr="00873B6C" w:rsidRDefault="00D40151" w:rsidP="00D40151">
      <w:r w:rsidRPr="00873B6C">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w:t>
      </w:r>
      <w:r w:rsidR="00CD22D1" w:rsidRPr="00873B6C">
        <w:t xml:space="preserve"> The PCF can also receive the RAT Type as LTE-M, when applicable from the AMF using the PCRT on Access Type change specified in clause 6.1.2.5 of TS 23.503 [45] during </w:t>
      </w:r>
      <w:r w:rsidR="00CD22D1" w:rsidRPr="00873B6C">
        <w:lastRenderedPageBreak/>
        <w:t>AM Policy Association Establishment or AM Policy Association Modification procedure</w:t>
      </w:r>
      <w:r w:rsidR="00472CD7" w:rsidRPr="00873B6C">
        <w:t xml:space="preserve"> and</w:t>
      </w:r>
      <w:r w:rsidR="00CD22D1" w:rsidRPr="00873B6C">
        <w:t xml:space="preserve"> from the SMF using the PCRT on Access Type change specified in clause 6.1.3.5 of TS 23.503 [45] during SM Policy Association Establishment or SM Policy Association Modification procedure.</w:t>
      </w:r>
    </w:p>
    <w:p w14:paraId="4D223D12" w14:textId="77777777" w:rsidR="00D40151" w:rsidRPr="00873B6C" w:rsidRDefault="00D40151" w:rsidP="00D40151">
      <w:r w:rsidRPr="00873B6C">
        <w:t>The NFs generating CDRs shall include the LTE-M RAT type in their CDRs.</w:t>
      </w:r>
    </w:p>
    <w:p w14:paraId="358DC291" w14:textId="77777777" w:rsidR="00D40151" w:rsidRPr="00873B6C" w:rsidRDefault="00D40151" w:rsidP="00D40151">
      <w:r w:rsidRPr="00873B6C">
        <w:t>Upon AMF change or inter-system mobility from 5GS to EPS, the source AMF shall provide the "LTE-M Indication" to the target AMF or MME as part of the UE context.</w:t>
      </w:r>
    </w:p>
    <w:p w14:paraId="1A6E0527" w14:textId="0529E6B4" w:rsidR="00D40151" w:rsidRPr="00873B6C" w:rsidRDefault="00D40151" w:rsidP="00D40151">
      <w:r w:rsidRPr="00873B6C">
        <w:t xml:space="preserve">During EPS to 5GS Mobility Registration Procedure, the AMF shall disregard any "LTE-M Indication" received from the MME in the UE context (see </w:t>
      </w:r>
      <w:r w:rsidR="00972E70" w:rsidRPr="00873B6C">
        <w:t>TS 23.401 [</w:t>
      </w:r>
      <w:r w:rsidRPr="00873B6C">
        <w:t>26])</w:t>
      </w:r>
      <w:r w:rsidR="00472CD7" w:rsidRPr="00873B6C">
        <w:t xml:space="preserve"> and</w:t>
      </w:r>
      <w:r w:rsidRPr="00873B6C">
        <w:t xml:space="preserve"> take into account the "LTE-M Indication" received from NG-RAN, as specified above.</w:t>
      </w:r>
    </w:p>
    <w:p w14:paraId="09C85FCB" w14:textId="77777777" w:rsidR="00D40151" w:rsidRPr="00873B6C" w:rsidRDefault="00D40151" w:rsidP="00D40151">
      <w:pPr>
        <w:pStyle w:val="Heading2"/>
      </w:pPr>
      <w:bookmarkStart w:id="4619" w:name="_CR5_32"/>
      <w:bookmarkStart w:id="4620" w:name="_Toc27846933"/>
      <w:bookmarkStart w:id="4621" w:name="_Toc36188064"/>
      <w:bookmarkStart w:id="4622" w:name="_Toc45183969"/>
      <w:bookmarkStart w:id="4623" w:name="_Toc47342811"/>
      <w:bookmarkStart w:id="4624" w:name="_Toc51769513"/>
      <w:bookmarkStart w:id="4625" w:name="_Toc201157579"/>
      <w:bookmarkEnd w:id="4619"/>
      <w:r w:rsidRPr="00873B6C">
        <w:t>5.32</w:t>
      </w:r>
      <w:r w:rsidRPr="00873B6C">
        <w:tab/>
        <w:t>Support for ATSSS</w:t>
      </w:r>
      <w:bookmarkEnd w:id="4615"/>
      <w:bookmarkEnd w:id="4620"/>
      <w:bookmarkEnd w:id="4621"/>
      <w:bookmarkEnd w:id="4622"/>
      <w:bookmarkEnd w:id="4623"/>
      <w:bookmarkEnd w:id="4624"/>
      <w:bookmarkEnd w:id="4625"/>
    </w:p>
    <w:p w14:paraId="670FB22E" w14:textId="77777777" w:rsidR="00D40151" w:rsidRPr="00873B6C" w:rsidRDefault="00D40151" w:rsidP="00D40151">
      <w:pPr>
        <w:pStyle w:val="Heading3"/>
      </w:pPr>
      <w:bookmarkStart w:id="4626" w:name="_CR5_32_1"/>
      <w:bookmarkStart w:id="4627" w:name="_Toc20150132"/>
      <w:bookmarkStart w:id="4628" w:name="_Toc27846934"/>
      <w:bookmarkStart w:id="4629" w:name="_Toc36188065"/>
      <w:bookmarkStart w:id="4630" w:name="_Toc45183970"/>
      <w:bookmarkStart w:id="4631" w:name="_Toc47342812"/>
      <w:bookmarkStart w:id="4632" w:name="_Toc51769514"/>
      <w:bookmarkStart w:id="4633" w:name="_Toc201157580"/>
      <w:bookmarkEnd w:id="4626"/>
      <w:r w:rsidRPr="00873B6C">
        <w:t>5.32.1</w:t>
      </w:r>
      <w:r w:rsidRPr="00873B6C">
        <w:tab/>
        <w:t>General</w:t>
      </w:r>
      <w:bookmarkEnd w:id="4627"/>
      <w:bookmarkEnd w:id="4628"/>
      <w:bookmarkEnd w:id="4629"/>
      <w:bookmarkEnd w:id="4630"/>
      <w:bookmarkEnd w:id="4631"/>
      <w:bookmarkEnd w:id="4632"/>
      <w:bookmarkEnd w:id="4633"/>
    </w:p>
    <w:p w14:paraId="60337AD5" w14:textId="77777777" w:rsidR="00D40151" w:rsidRPr="00873B6C" w:rsidRDefault="00D40151" w:rsidP="00D40151">
      <w:r w:rsidRPr="00873B6C">
        <w:t>The ATSSS feature is an optional feature that may be supported by the UE and the 5GC network.</w:t>
      </w:r>
    </w:p>
    <w:p w14:paraId="31FC1B57" w14:textId="4D1F6E49" w:rsidR="00D40151" w:rsidRPr="00873B6C" w:rsidRDefault="00D40151" w:rsidP="00D40151">
      <w:r w:rsidRPr="00873B6C">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873B6C">
        <w:t xml:space="preserve"> This assumes both 3GPP access and non-3GPP access are allowed for the S-NSSAI of the PDU Session.</w:t>
      </w:r>
    </w:p>
    <w:p w14:paraId="2FB1A9E7" w14:textId="77777777" w:rsidR="00D40151" w:rsidRPr="00873B6C" w:rsidRDefault="00D40151" w:rsidP="00D40151">
      <w:r w:rsidRPr="00873B6C">
        <w:t>The UE may request a MA PDU Session when the UE is registered via both 3GPP and non-3GPP accesses, or when the UE is registered via one access only.</w:t>
      </w:r>
    </w:p>
    <w:p w14:paraId="4DCFDFD4" w14:textId="2B3BABD6" w:rsidR="00D40151" w:rsidRPr="00873B6C" w:rsidRDefault="00D40151" w:rsidP="00D40151">
      <w:r w:rsidRPr="00873B6C">
        <w:t>After the establishment of a MA PDU Session</w:t>
      </w:r>
      <w:r w:rsidR="00472CD7" w:rsidRPr="00873B6C">
        <w:t xml:space="preserve"> and</w:t>
      </w:r>
      <w:r w:rsidRPr="00873B6C">
        <w:t xml:space="preserve">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w:t>
      </w:r>
      <w:r w:rsidR="007C2ADF" w:rsidRPr="00873B6C">
        <w:t xml:space="preserve"> the</w:t>
      </w:r>
      <w:r w:rsidRPr="00873B6C">
        <w:t xml:space="preserve"> two access networks. When there are user-plane resources on only one access network, the UE applies the ATSSS rules and considers local conditions for triggering the establishment or activation of the user plane resources over another access.</w:t>
      </w:r>
    </w:p>
    <w:p w14:paraId="3ACAAAD9" w14:textId="375AFFBA" w:rsidR="00D40151" w:rsidRPr="00873B6C" w:rsidRDefault="00D40151" w:rsidP="00D40151">
      <w:r w:rsidRPr="00873B6C">
        <w:t>The type of a MA PDU Session may be one of the following types defined in clause 5.6.1: IPv4, IPv6, IPv4v6</w:t>
      </w:r>
      <w:r w:rsidR="00472CD7" w:rsidRPr="00873B6C">
        <w:t xml:space="preserve"> and</w:t>
      </w:r>
      <w:r w:rsidRPr="00873B6C">
        <w:t xml:space="preserve"> Ethernet. In this release of the specification, the Unstructured type is not supported. The clause 5.32.6.2.1</w:t>
      </w:r>
      <w:r w:rsidR="007C2ADF" w:rsidRPr="00873B6C">
        <w:t>, the clause 5.32.6.2.2</w:t>
      </w:r>
      <w:r w:rsidRPr="00873B6C">
        <w:t xml:space="preserve"> and the clause 5.32.6.3.1 below define what Steering Functionalities can be used for each supported type of a MA PDU Session.</w:t>
      </w:r>
    </w:p>
    <w:p w14:paraId="0C0910B7" w14:textId="77777777" w:rsidR="00D40151" w:rsidRPr="00873B6C" w:rsidRDefault="00D40151" w:rsidP="00D40151">
      <w:r w:rsidRPr="00873B6C">
        <w:t>The handling of 3GPP PS Data Off feature for MA PDU Session is specified in clause 5.24.</w:t>
      </w:r>
    </w:p>
    <w:p w14:paraId="52D2F3B4" w14:textId="0F303F28" w:rsidR="00D40151" w:rsidRPr="00873B6C" w:rsidRDefault="00D40151" w:rsidP="00D40151">
      <w:r w:rsidRPr="00873B6C">
        <w:t>The ATSSS feature can be supported over any type of access network, including untrusted and trusted non-3GPP access networks (see clauses 4.2.8 and 5.5), wireline 5G access networks (see clause 4.2.8), etc</w:t>
      </w:r>
      <w:r w:rsidR="00022CB9" w:rsidRPr="00873B6C">
        <w:t>.</w:t>
      </w:r>
      <w:r w:rsidRPr="00873B6C">
        <w:t xml:space="preserve"> as long as a MA PDU Session can be established over this type of access network.</w:t>
      </w:r>
    </w:p>
    <w:p w14:paraId="01DC1537" w14:textId="77777777" w:rsidR="00D40151" w:rsidRPr="00873B6C" w:rsidRDefault="00D40151" w:rsidP="00D40151">
      <w:r w:rsidRPr="00873B6C">
        <w:t>In this Release of the specification, a MA PDU Session using IPv6 multi-homing (see clause 5.6.4.3) or UL Classifier (see clause 5.6.4.2) is not specified.</w:t>
      </w:r>
    </w:p>
    <w:p w14:paraId="732683C4" w14:textId="77777777" w:rsidR="00D40151" w:rsidRPr="00873B6C" w:rsidRDefault="00D40151" w:rsidP="00D40151">
      <w:r w:rsidRPr="00873B6C">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873B6C" w:rsidRDefault="008A60FE" w:rsidP="00D40151">
      <w:r w:rsidRPr="00873B6C">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13BF87C4" w:rsidR="00D40151" w:rsidRPr="00873B6C" w:rsidRDefault="00D40151" w:rsidP="00D40151">
      <w:r w:rsidRPr="00873B6C">
        <w:t xml:space="preserve">If the UE, due to mobility, moves from being served by a source AMF supporting ATSSS to a target AMF not supporting ATSSS, the MA PDU Session is released as described in </w:t>
      </w:r>
      <w:r w:rsidR="00972E70" w:rsidRPr="00873B6C">
        <w:t>TS 23.502 [</w:t>
      </w:r>
      <w:r w:rsidRPr="00873B6C">
        <w:t>3].</w:t>
      </w:r>
    </w:p>
    <w:p w14:paraId="599FF03E" w14:textId="2F4EFFF9" w:rsidR="00D40151" w:rsidRPr="00873B6C" w:rsidRDefault="00D40151" w:rsidP="00D40151">
      <w:pPr>
        <w:pStyle w:val="NO"/>
      </w:pPr>
      <w:r w:rsidRPr="00873B6C">
        <w:lastRenderedPageBreak/>
        <w:t>NOTE</w:t>
      </w:r>
      <w:r w:rsidR="00C05113" w:rsidRPr="00873B6C">
        <w:t> 1</w:t>
      </w:r>
      <w:r w:rsidRPr="00873B6C">
        <w:t>:</w:t>
      </w:r>
      <w:r w:rsidRPr="00873B6C">
        <w:tab/>
        <w:t>Deployment of ATSSS that is homogeneous per PLMN</w:t>
      </w:r>
      <w:r w:rsidR="007C2ADF" w:rsidRPr="00873B6C">
        <w:t>,</w:t>
      </w:r>
      <w:r w:rsidRPr="00873B6C">
        <w:t xml:space="preserve"> or network slice enables consistent behavio</w:t>
      </w:r>
      <w:r w:rsidR="00704A9E" w:rsidRPr="00873B6C">
        <w:t>u</w:t>
      </w:r>
      <w:r w:rsidRPr="00873B6C">
        <w:t>r. In the case of non-homogenous support of ATSSS in a PLMN/slice (i.e. some NFs in a PLMN/slice may not support ATSSS), MA PDU Sessions can be released due to UE mobility.</w:t>
      </w:r>
    </w:p>
    <w:p w14:paraId="4EA5874E" w14:textId="7DBC1C71" w:rsidR="009E78C1" w:rsidRPr="00873B6C" w:rsidRDefault="009E78C1" w:rsidP="00D40151">
      <w:r w:rsidRPr="00873B6C">
        <w:t>A Multi-Access PDU Session may</w:t>
      </w:r>
      <w:r w:rsidR="007C2ADF" w:rsidRPr="00873B6C">
        <w:t>,</w:t>
      </w:r>
      <w:r w:rsidRPr="00873B6C">
        <w:t xml:space="preserve"> for the 3GPP access and/or non-3GPP access</w:t>
      </w:r>
      <w:r w:rsidR="007C2ADF" w:rsidRPr="00873B6C">
        <w:t>,</w:t>
      </w:r>
      <w:r w:rsidRPr="00873B6C">
        <w:t xml:space="preserve"> use user-plane resources of an associated PDN Connection in EPC (e.g. one 3GPP access path via EPC and one non-3GPP access path via 5GC or one 3GPP access path via 5GC and one non-3GPP access path via ePDG/EPC). Such use of ATSSS with EPS interworking may apply to Ethernet and IP-based PDU Session and PDN Connection types.</w:t>
      </w:r>
    </w:p>
    <w:p w14:paraId="34A4D088" w14:textId="4C148484" w:rsidR="00C05113" w:rsidRPr="00873B6C" w:rsidRDefault="00C05113" w:rsidP="00323277">
      <w:pPr>
        <w:pStyle w:val="NO"/>
      </w:pPr>
      <w:r w:rsidRPr="00873B6C">
        <w:t>NOTE </w:t>
      </w:r>
      <w:r w:rsidR="009E78C1" w:rsidRPr="00873B6C">
        <w:t>2</w:t>
      </w:r>
      <w:r w:rsidRPr="00873B6C">
        <w:t>:</w:t>
      </w:r>
      <w:r w:rsidRPr="00873B6C">
        <w:tab/>
        <w:t>Co-existence with NBIFOM is not defined. It is assumed that NBIFOM and the multi-access connectivity described in this clause are not deployed in the same network.</w:t>
      </w:r>
    </w:p>
    <w:p w14:paraId="4EADF825" w14:textId="4A2C9471" w:rsidR="00C05113" w:rsidRPr="00873B6C" w:rsidRDefault="00C05113" w:rsidP="00323277">
      <w:pPr>
        <w:pStyle w:val="NO"/>
      </w:pPr>
      <w:r w:rsidRPr="00873B6C">
        <w:t>NOTE </w:t>
      </w:r>
      <w:r w:rsidR="009E78C1" w:rsidRPr="00873B6C">
        <w:t>3</w:t>
      </w:r>
      <w:r w:rsidRPr="00873B6C">
        <w:t>:</w:t>
      </w:r>
      <w:r w:rsidRPr="00873B6C">
        <w:tab/>
        <w:t>To the MME and SGW this is a regular PDN Connection and the support for ATSSS is transparent to MME and SGW.</w:t>
      </w:r>
    </w:p>
    <w:p w14:paraId="56C85730" w14:textId="1C81D327" w:rsidR="00227007" w:rsidRPr="00873B6C" w:rsidRDefault="00227007" w:rsidP="00562E84">
      <w:r w:rsidRPr="00873B6C">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873B6C" w:rsidRDefault="00227007" w:rsidP="00562E84">
      <w:pPr>
        <w:pStyle w:val="B1"/>
      </w:pPr>
      <w:r w:rsidRPr="00873B6C">
        <w:t>-</w:t>
      </w:r>
      <w:r w:rsidRPr="00873B6C">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873B6C" w:rsidRDefault="00227007" w:rsidP="00562E84">
      <w:pPr>
        <w:pStyle w:val="B1"/>
      </w:pPr>
      <w:r w:rsidRPr="00873B6C">
        <w:t>-</w:t>
      </w:r>
      <w:r w:rsidRPr="00873B6C">
        <w:tab/>
        <w:t>MAR rules in the UPF are still used for distributing DL traffic between 3GPP access and non-3GPP access.</w:t>
      </w:r>
    </w:p>
    <w:p w14:paraId="1B4DC357" w14:textId="77777777" w:rsidR="00227007" w:rsidRPr="00873B6C" w:rsidRDefault="00227007" w:rsidP="00562E84">
      <w:pPr>
        <w:pStyle w:val="B1"/>
      </w:pPr>
      <w:r w:rsidRPr="00873B6C">
        <w:t>-</w:t>
      </w:r>
      <w:r w:rsidRPr="00873B6C">
        <w:tab/>
        <w:t>For traffic on 3GPP access, the SMF may update N4 rules and QoS rules/EPS bearer contexts on the UE to take into account that no QoS differentiation is possible over 3GPP access.</w:t>
      </w:r>
    </w:p>
    <w:p w14:paraId="590505AA" w14:textId="32587A91" w:rsidR="00C05113" w:rsidRPr="00873B6C" w:rsidRDefault="009E78C1" w:rsidP="00D40151">
      <w:r w:rsidRPr="00873B6C">
        <w:t>S</w:t>
      </w:r>
      <w:r w:rsidR="00C05113" w:rsidRPr="00873B6C">
        <w:t>upport of Multi-Access PDU Sessions using</w:t>
      </w:r>
      <w:r w:rsidRPr="00873B6C">
        <w:t xml:space="preserve"> one leg</w:t>
      </w:r>
      <w:r w:rsidR="00C05113" w:rsidRPr="00873B6C">
        <w:t xml:space="preserve"> associated </w:t>
      </w:r>
      <w:r w:rsidRPr="00873B6C">
        <w:t xml:space="preserve">with </w:t>
      </w:r>
      <w:r w:rsidR="00C05113" w:rsidRPr="00873B6C">
        <w:t>PDN Connection</w:t>
      </w:r>
      <w:r w:rsidRPr="00873B6C">
        <w:t xml:space="preserve"> in EPC and one leg associated with PDU Session in</w:t>
      </w:r>
      <w:r w:rsidR="00C05113" w:rsidRPr="00873B6C">
        <w:t xml:space="preserve"> 5GC is further defined in </w:t>
      </w:r>
      <w:r w:rsidR="00972E70" w:rsidRPr="00873B6C">
        <w:t>TS 23.502 [</w:t>
      </w:r>
      <w:r w:rsidR="00C05113" w:rsidRPr="00873B6C">
        <w:t>3].</w:t>
      </w:r>
    </w:p>
    <w:p w14:paraId="67D0704F" w14:textId="0A9A358D" w:rsidR="00D40151" w:rsidRPr="00873B6C" w:rsidRDefault="00D40151" w:rsidP="00D40151">
      <w:r w:rsidRPr="00873B6C">
        <w:t>The following clauses specify the functionality that enables ATSSS.</w:t>
      </w:r>
    </w:p>
    <w:p w14:paraId="42717538" w14:textId="77777777" w:rsidR="00D40151" w:rsidRPr="00873B6C" w:rsidRDefault="00D40151" w:rsidP="00D40151">
      <w:pPr>
        <w:pStyle w:val="Heading3"/>
      </w:pPr>
      <w:bookmarkStart w:id="4634" w:name="_CR5_32_2"/>
      <w:bookmarkStart w:id="4635" w:name="_Toc20150133"/>
      <w:bookmarkStart w:id="4636" w:name="_Toc27846935"/>
      <w:bookmarkStart w:id="4637" w:name="_Toc36188066"/>
      <w:bookmarkStart w:id="4638" w:name="_Toc45183971"/>
      <w:bookmarkStart w:id="4639" w:name="_Toc47342813"/>
      <w:bookmarkStart w:id="4640" w:name="_Toc51769515"/>
      <w:bookmarkStart w:id="4641" w:name="_Toc201157581"/>
      <w:bookmarkEnd w:id="4634"/>
      <w:r w:rsidRPr="00873B6C">
        <w:t>5.32.2</w:t>
      </w:r>
      <w:r w:rsidRPr="00873B6C">
        <w:tab/>
        <w:t>Multi Access PDU Sessions</w:t>
      </w:r>
      <w:bookmarkEnd w:id="4635"/>
      <w:bookmarkEnd w:id="4636"/>
      <w:bookmarkEnd w:id="4637"/>
      <w:bookmarkEnd w:id="4638"/>
      <w:bookmarkEnd w:id="4639"/>
      <w:bookmarkEnd w:id="4640"/>
      <w:bookmarkEnd w:id="4641"/>
    </w:p>
    <w:p w14:paraId="15AABC1D" w14:textId="77777777" w:rsidR="00D40151" w:rsidRPr="00873B6C" w:rsidRDefault="00D40151" w:rsidP="00D40151">
      <w:r w:rsidRPr="00873B6C">
        <w:t>A Multi-Access PDU (MA PDU) Session is managed by using the session management functionality specified in clause 5.6, with the following additions and modifications:</w:t>
      </w:r>
    </w:p>
    <w:p w14:paraId="51FF650C" w14:textId="77777777" w:rsidR="00D40151" w:rsidRPr="00873B6C" w:rsidRDefault="00D40151" w:rsidP="00D40151">
      <w:pPr>
        <w:pStyle w:val="B1"/>
      </w:pPr>
      <w:r w:rsidRPr="00873B6C">
        <w:t>-</w:t>
      </w:r>
      <w:r w:rsidRPr="00873B6C">
        <w:tab/>
        <w:t>When the UE wants to request a new MA PDU Session:</w:t>
      </w:r>
    </w:p>
    <w:p w14:paraId="4DD46642" w14:textId="77777777" w:rsidR="00D40151" w:rsidRPr="00873B6C" w:rsidRDefault="00D40151" w:rsidP="00D40151">
      <w:pPr>
        <w:pStyle w:val="B2"/>
      </w:pPr>
      <w:r w:rsidRPr="00873B6C">
        <w:t>-</w:t>
      </w:r>
      <w:r w:rsidRPr="00873B6C">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873B6C" w:rsidRDefault="00D40151" w:rsidP="00D40151">
      <w:pPr>
        <w:pStyle w:val="B2"/>
      </w:pPr>
      <w:r w:rsidRPr="00873B6C">
        <w:t>-</w:t>
      </w:r>
      <w:r w:rsidRPr="00873B6C">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873B6C" w:rsidRDefault="00D40151" w:rsidP="00D40151">
      <w:pPr>
        <w:pStyle w:val="B2"/>
      </w:pPr>
      <w:r w:rsidRPr="00873B6C">
        <w:t>-</w:t>
      </w:r>
      <w:r w:rsidRPr="00873B6C">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873B6C" w:rsidRDefault="00D40151" w:rsidP="00D40151">
      <w:pPr>
        <w:pStyle w:val="B2"/>
      </w:pPr>
      <w:r w:rsidRPr="00873B6C">
        <w:t>-</w:t>
      </w:r>
      <w:r w:rsidRPr="00873B6C">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ADB3CEC" w14:textId="4E9021F0" w:rsidR="007C2ADF" w:rsidRPr="00873B6C" w:rsidRDefault="00D40151" w:rsidP="00D40151">
      <w:pPr>
        <w:pStyle w:val="B2"/>
      </w:pPr>
      <w:r w:rsidRPr="00873B6C">
        <w:t>-</w:t>
      </w:r>
      <w:r w:rsidRPr="00873B6C">
        <w:tab/>
        <w:t>If the UE indicates it is capable of supporting</w:t>
      </w:r>
      <w:r w:rsidR="007C2ADF" w:rsidRPr="00873B6C">
        <w:t>:</w:t>
      </w:r>
    </w:p>
    <w:p w14:paraId="4B4D78CE" w14:textId="5D50099D" w:rsidR="007C2ADF" w:rsidRPr="00873B6C" w:rsidRDefault="007C2ADF" w:rsidP="00972E70">
      <w:pPr>
        <w:pStyle w:val="B3"/>
      </w:pPr>
      <w:r w:rsidRPr="00873B6C">
        <w:lastRenderedPageBreak/>
        <w:t>-</w:t>
      </w:r>
      <w:r w:rsidRPr="00873B6C">
        <w:tab/>
      </w:r>
      <w:r w:rsidR="00D40151" w:rsidRPr="00873B6C">
        <w:t xml:space="preserve">the </w:t>
      </w:r>
      <w:r w:rsidR="0036079D">
        <w:t>"</w:t>
      </w:r>
      <w:r w:rsidR="00D40151" w:rsidRPr="00873B6C">
        <w:t>ATSSS-LL functionality with any steering mode</w:t>
      </w:r>
      <w:r w:rsidR="0036079D">
        <w:t xml:space="preserve"> allowed for ATSSS-LL supported" capability</w:t>
      </w:r>
      <w:r w:rsidR="00D40151" w:rsidRPr="00873B6C">
        <w:t xml:space="preserve"> (as specified in clause 5.32.6.1)</w:t>
      </w:r>
      <w:r w:rsidRPr="00873B6C">
        <w:t>;</w:t>
      </w:r>
    </w:p>
    <w:p w14:paraId="15EE1D81" w14:textId="3A4AE4F2" w:rsidR="00D40151" w:rsidRPr="00873B6C" w:rsidRDefault="007C2ADF" w:rsidP="00D40151">
      <w:pPr>
        <w:pStyle w:val="B2"/>
      </w:pPr>
      <w:r w:rsidRPr="00873B6C">
        <w:tab/>
      </w:r>
      <w:r w:rsidR="00D40151" w:rsidRPr="00873B6C">
        <w:t>and the network accepts to activate this functionality, then the network may provide to UE Measurement Assistance Information (see details in clause 5.32.5) and shall provide to UE one or more ATSSS rules.</w:t>
      </w:r>
    </w:p>
    <w:p w14:paraId="5034B142" w14:textId="55711A5C" w:rsidR="00F03116" w:rsidRPr="00873B6C" w:rsidRDefault="00F03116" w:rsidP="00972E70">
      <w:pPr>
        <w:pStyle w:val="NO"/>
      </w:pPr>
      <w:r w:rsidRPr="00873B6C">
        <w:t>NOTE 1:</w:t>
      </w:r>
      <w:r w:rsidRPr="00873B6C">
        <w:tab/>
        <w:t xml:space="preserve">As specified in Table 5.32.8-1 and in Table </w:t>
      </w:r>
      <w:r w:rsidR="003D4653" w:rsidRPr="00873B6C">
        <w:t>5.8.5</w:t>
      </w:r>
      <w:r w:rsidRPr="00873B6C">
        <w:t>.8-1,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34626930" w14:textId="6F70EA11" w:rsidR="007C2ADF" w:rsidRPr="00873B6C" w:rsidRDefault="00D40151" w:rsidP="00D40151">
      <w:pPr>
        <w:pStyle w:val="B2"/>
      </w:pPr>
      <w:r w:rsidRPr="00873B6C">
        <w:t>-</w:t>
      </w:r>
      <w:r w:rsidRPr="00873B6C">
        <w:tab/>
        <w:t>If the UE indicates it is capable of supporting</w:t>
      </w:r>
      <w:r w:rsidR="007C2ADF" w:rsidRPr="00873B6C">
        <w:t>:</w:t>
      </w:r>
    </w:p>
    <w:p w14:paraId="31BD66B3" w14:textId="7BDF7C68" w:rsidR="007C2ADF" w:rsidRPr="00873B6C" w:rsidRDefault="007C2ADF" w:rsidP="00972E70">
      <w:pPr>
        <w:pStyle w:val="B3"/>
      </w:pPr>
      <w:r w:rsidRPr="00873B6C">
        <w:t>-</w:t>
      </w:r>
      <w:r w:rsidRPr="00873B6C">
        <w:tab/>
      </w:r>
      <w:r w:rsidR="00D40151" w:rsidRPr="00873B6C">
        <w:t xml:space="preserve">the </w:t>
      </w:r>
      <w:r w:rsidR="0036079D">
        <w:t>"</w:t>
      </w:r>
      <w:r w:rsidR="00D40151" w:rsidRPr="00873B6C">
        <w:t>MPTCP functionality with any steering mode</w:t>
      </w:r>
      <w:r w:rsidR="0036079D">
        <w:t xml:space="preserve"> supported" capability</w:t>
      </w:r>
      <w:r w:rsidR="00D40151" w:rsidRPr="00873B6C">
        <w:t xml:space="preserve"> and the </w:t>
      </w:r>
      <w:r w:rsidR="0036079D">
        <w:t>"</w:t>
      </w:r>
      <w:r w:rsidR="00D40151" w:rsidRPr="00873B6C">
        <w:t>ATSSS-LL functionality with only the Active-Standby steering mode</w:t>
      </w:r>
      <w:r w:rsidR="0036079D">
        <w:t xml:space="preserve"> supported" capability</w:t>
      </w:r>
      <w:r w:rsidR="00D40151" w:rsidRPr="00873B6C">
        <w:t xml:space="preserve"> (as specified in clause 5.32.6.1)</w:t>
      </w:r>
      <w:r w:rsidRPr="00873B6C">
        <w:t>; or</w:t>
      </w:r>
    </w:p>
    <w:p w14:paraId="3B0AD499" w14:textId="5376F939" w:rsidR="007C2ADF" w:rsidRPr="00873B6C" w:rsidRDefault="007C2ADF" w:rsidP="00972E70">
      <w:pPr>
        <w:pStyle w:val="B3"/>
      </w:pPr>
      <w:r w:rsidRPr="00873B6C">
        <w:t>-</w:t>
      </w:r>
      <w:r w:rsidRPr="00873B6C">
        <w:tab/>
        <w:t xml:space="preserve">the </w:t>
      </w:r>
      <w:r w:rsidR="0036079D">
        <w:t>"</w:t>
      </w:r>
      <w:r w:rsidRPr="00873B6C">
        <w:t>MPTCP functionality with any steering mode</w:t>
      </w:r>
      <w:r w:rsidR="0036079D">
        <w:t xml:space="preserve"> supported" capability</w:t>
      </w:r>
      <w:r w:rsidRPr="00873B6C">
        <w:t xml:space="preserve"> and the </w:t>
      </w:r>
      <w:r w:rsidR="0036079D">
        <w:t>"</w:t>
      </w:r>
      <w:r w:rsidRPr="00873B6C">
        <w:t>ATSSS-LL functionality with any steering mode</w:t>
      </w:r>
      <w:r w:rsidR="0036079D">
        <w:t xml:space="preserve"> allowed for ATSSS-LL supported" capability</w:t>
      </w:r>
      <w:r w:rsidRPr="00873B6C">
        <w:t xml:space="preserve"> (as specified in clause 5.32.6.1);</w:t>
      </w:r>
    </w:p>
    <w:p w14:paraId="6AEEAB69" w14:textId="6946E2FF" w:rsidR="00D40151" w:rsidRPr="00873B6C" w:rsidRDefault="007C2ADF" w:rsidP="00D40151">
      <w:pPr>
        <w:pStyle w:val="B2"/>
      </w:pPr>
      <w:r w:rsidRPr="00873B6C">
        <w:tab/>
      </w:r>
      <w:r w:rsidR="00D40151" w:rsidRPr="00873B6C">
        <w:t>and the network accepts to activate these functionalities, then the network provides MPTCP proxy information to UE</w:t>
      </w:r>
      <w:r w:rsidR="00472CD7" w:rsidRPr="00873B6C">
        <w:t xml:space="preserve"> and</w:t>
      </w:r>
      <w:r w:rsidR="00D40151" w:rsidRPr="00873B6C">
        <w:t xml:space="preserve"> allocates to UE</w:t>
      </w:r>
      <w:r w:rsidRPr="00873B6C">
        <w:t xml:space="preserve"> (a)</w:t>
      </w:r>
      <w:r w:rsidR="00D40151" w:rsidRPr="00873B6C">
        <w:t xml:space="preserve"> one IP address/prefix for the MA PDU session (as defined in clause 5.8.2.2) and</w:t>
      </w:r>
      <w:r w:rsidRPr="00873B6C">
        <w:t xml:space="preserve"> (b)</w:t>
      </w:r>
      <w:r w:rsidR="00D40151" w:rsidRPr="00873B6C">
        <w:t xml:space="preserve"> two additional IP addresses/prefixes, called "</w:t>
      </w:r>
      <w:r w:rsidRPr="00873B6C">
        <w:t xml:space="preserve">MPTCP </w:t>
      </w:r>
      <w:r w:rsidR="00D40151" w:rsidRPr="00873B6C">
        <w:t>link-specific multipath" addresses. Further details are provided in clause 5.32.6.2</w:t>
      </w:r>
      <w:r w:rsidRPr="00873B6C">
        <w:t>.1</w:t>
      </w:r>
      <w:r w:rsidR="00D40151" w:rsidRPr="00873B6C">
        <w:t>. In addition, the network may provide to UE Measurement Assistance Information and shall provide to UE one or more ATSSS rules</w:t>
      </w:r>
      <w:r w:rsidRPr="00873B6C">
        <w:t xml:space="preserve">. If the UE supports the ATSSS-LL functionality with only the Active-Standby steering mode, the network shall provide to UE </w:t>
      </w:r>
      <w:r w:rsidR="00D40151" w:rsidRPr="00873B6C">
        <w:t>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1135B81D" w14:textId="77777777" w:rsidR="007C2ADF" w:rsidRPr="00873B6C" w:rsidRDefault="007C2ADF" w:rsidP="00D40151">
      <w:pPr>
        <w:pStyle w:val="B2"/>
      </w:pPr>
      <w:r w:rsidRPr="00873B6C">
        <w:t>-</w:t>
      </w:r>
      <w:r w:rsidRPr="00873B6C">
        <w:tab/>
        <w:t>If the UE indicates it is capable of supporting</w:t>
      </w:r>
    </w:p>
    <w:p w14:paraId="6EACBA7F" w14:textId="2E1A029E" w:rsidR="007C2ADF" w:rsidRPr="00873B6C" w:rsidRDefault="007C2ADF" w:rsidP="00972E70">
      <w:pPr>
        <w:pStyle w:val="B3"/>
      </w:pPr>
      <w:r w:rsidRPr="00873B6C">
        <w:t>-</w:t>
      </w:r>
      <w:r w:rsidRPr="00873B6C">
        <w:tab/>
        <w:t xml:space="preserve">the </w:t>
      </w:r>
      <w:r w:rsidR="0036079D">
        <w:t>"</w:t>
      </w:r>
      <w:r w:rsidRPr="00873B6C">
        <w:t>MPQUIC functionality with any steering mode</w:t>
      </w:r>
      <w:r w:rsidR="0036079D">
        <w:t xml:space="preserve"> supported" capability</w:t>
      </w:r>
      <w:r w:rsidRPr="00873B6C">
        <w:t xml:space="preserve"> and the </w:t>
      </w:r>
      <w:r w:rsidR="0036079D">
        <w:t>"</w:t>
      </w:r>
      <w:r w:rsidRPr="00873B6C">
        <w:t>ATSSS-LL functionality with only the Active-Standby steering mode</w:t>
      </w:r>
      <w:r w:rsidR="0036079D">
        <w:t xml:space="preserve"> supported" capability</w:t>
      </w:r>
      <w:r w:rsidRPr="00873B6C">
        <w:t xml:space="preserve"> (as specified in clause 5.32.6.1); or</w:t>
      </w:r>
    </w:p>
    <w:p w14:paraId="5FD76670" w14:textId="001562F6" w:rsidR="007C2ADF" w:rsidRPr="00873B6C" w:rsidRDefault="007C2ADF" w:rsidP="00972E70">
      <w:pPr>
        <w:pStyle w:val="B3"/>
      </w:pPr>
      <w:r w:rsidRPr="00873B6C">
        <w:t>-</w:t>
      </w:r>
      <w:r w:rsidRPr="00873B6C">
        <w:tab/>
        <w:t xml:space="preserve">the </w:t>
      </w:r>
      <w:r w:rsidR="0036079D">
        <w:t>"</w:t>
      </w:r>
      <w:r w:rsidRPr="00873B6C">
        <w:t>MPQUIC functionality with any steering mode</w:t>
      </w:r>
      <w:r w:rsidR="0036079D">
        <w:t xml:space="preserve"> supported" capability</w:t>
      </w:r>
      <w:r w:rsidRPr="00873B6C">
        <w:t xml:space="preserve"> and the </w:t>
      </w:r>
      <w:r w:rsidR="0036079D">
        <w:t>"</w:t>
      </w:r>
      <w:r w:rsidRPr="00873B6C">
        <w:t>ATSSS-LL functionality with any steering mode</w:t>
      </w:r>
      <w:r w:rsidR="0036079D">
        <w:t xml:space="preserve"> allowed for ATSSS-LL supported" capability</w:t>
      </w:r>
      <w:r w:rsidRPr="00873B6C">
        <w:t xml:space="preserve"> (as specified in clause 5.32.6.1);</w:t>
      </w:r>
    </w:p>
    <w:p w14:paraId="0D085C73" w14:textId="3016D341" w:rsidR="007C2ADF" w:rsidRPr="00873B6C" w:rsidRDefault="007C2ADF" w:rsidP="00D40151">
      <w:pPr>
        <w:pStyle w:val="B2"/>
      </w:pPr>
      <w:r w:rsidRPr="00873B6C">
        <w:tab/>
        <w:t>and the network accepts to activate these functionalities, then the network provides MPQUIC proxy information to UE</w:t>
      </w:r>
      <w:r w:rsidR="00472CD7" w:rsidRPr="00873B6C">
        <w:t xml:space="preserve"> and</w:t>
      </w:r>
      <w:r w:rsidRPr="00873B6C">
        <w:t xml:space="preserve">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7B787353" w14:textId="77777777" w:rsidR="007C2ADF" w:rsidRPr="00873B6C" w:rsidRDefault="007C2ADF" w:rsidP="00D40151">
      <w:pPr>
        <w:pStyle w:val="B2"/>
      </w:pPr>
      <w:r w:rsidRPr="00873B6C">
        <w:t>-</w:t>
      </w:r>
      <w:r w:rsidRPr="00873B6C">
        <w:tab/>
        <w:t>If the UE indicates it is capable of supporting</w:t>
      </w:r>
    </w:p>
    <w:p w14:paraId="633289AB" w14:textId="6F7D1D7A" w:rsidR="007C2ADF" w:rsidRPr="00873B6C" w:rsidRDefault="007C2ADF" w:rsidP="00972E70">
      <w:pPr>
        <w:pStyle w:val="B3"/>
      </w:pPr>
      <w:r w:rsidRPr="00873B6C">
        <w:t>-</w:t>
      </w:r>
      <w:r w:rsidRPr="00873B6C">
        <w:tab/>
        <w:t xml:space="preserve">the </w:t>
      </w:r>
      <w:r w:rsidR="0036079D">
        <w:t>"</w:t>
      </w:r>
      <w:r w:rsidRPr="00873B6C">
        <w:t>MPTCP functionality with any steering mode</w:t>
      </w:r>
      <w:r w:rsidR="0036079D">
        <w:t xml:space="preserve"> supported" capability,</w:t>
      </w:r>
      <w:r w:rsidRPr="00873B6C">
        <w:t xml:space="preserve"> the </w:t>
      </w:r>
      <w:r w:rsidR="0036079D">
        <w:t>"</w:t>
      </w:r>
      <w:r w:rsidRPr="00873B6C">
        <w:t>MPQUIC functionality with any steering mode</w:t>
      </w:r>
      <w:r w:rsidR="0036079D">
        <w:t xml:space="preserve"> supported" capability</w:t>
      </w:r>
      <w:r w:rsidR="00472CD7" w:rsidRPr="00873B6C">
        <w:t xml:space="preserve"> and</w:t>
      </w:r>
      <w:r w:rsidRPr="00873B6C">
        <w:t xml:space="preserve"> the </w:t>
      </w:r>
      <w:r w:rsidR="0036079D">
        <w:t>"</w:t>
      </w:r>
      <w:r w:rsidRPr="00873B6C">
        <w:t>ATSSS-LL functionality with only the Active-Standby steering mode</w:t>
      </w:r>
      <w:r w:rsidR="0036079D">
        <w:t xml:space="preserve"> supported" capability</w:t>
      </w:r>
      <w:r w:rsidRPr="00873B6C">
        <w:t xml:space="preserve"> (as specified in clause 5.32.6.1); or</w:t>
      </w:r>
    </w:p>
    <w:p w14:paraId="7FC82B64" w14:textId="2DE0CA8E" w:rsidR="007C2ADF" w:rsidRPr="00873B6C" w:rsidRDefault="007C2ADF" w:rsidP="00972E70">
      <w:pPr>
        <w:pStyle w:val="B3"/>
      </w:pPr>
      <w:r w:rsidRPr="00873B6C">
        <w:t>-</w:t>
      </w:r>
      <w:r w:rsidRPr="00873B6C">
        <w:tab/>
        <w:t xml:space="preserve">the </w:t>
      </w:r>
      <w:r w:rsidR="0036079D">
        <w:t>"</w:t>
      </w:r>
      <w:r w:rsidRPr="00873B6C">
        <w:t>MPTCP functionality with any steering mode</w:t>
      </w:r>
      <w:r w:rsidR="0036079D">
        <w:t xml:space="preserve"> supported" capability,</w:t>
      </w:r>
      <w:r w:rsidRPr="00873B6C">
        <w:t xml:space="preserve"> the </w:t>
      </w:r>
      <w:r w:rsidR="0036079D">
        <w:t>"</w:t>
      </w:r>
      <w:r w:rsidRPr="00873B6C">
        <w:t>MPQUIC functionality with any steering mode</w:t>
      </w:r>
      <w:r w:rsidR="0036079D">
        <w:t xml:space="preserve"> supported" capability</w:t>
      </w:r>
      <w:r w:rsidR="00472CD7" w:rsidRPr="00873B6C">
        <w:t xml:space="preserve"> and</w:t>
      </w:r>
      <w:r w:rsidRPr="00873B6C">
        <w:t xml:space="preserve"> the </w:t>
      </w:r>
      <w:r w:rsidR="0036079D">
        <w:t>"</w:t>
      </w:r>
      <w:r w:rsidRPr="00873B6C">
        <w:t>ATSSS-LL functionality with any steering mode</w:t>
      </w:r>
      <w:r w:rsidR="0036079D">
        <w:t xml:space="preserve"> allowed for ATSSS-LL supported" capability</w:t>
      </w:r>
      <w:r w:rsidRPr="00873B6C">
        <w:t xml:space="preserve"> (as specified in clause 5.32.6.1);</w:t>
      </w:r>
    </w:p>
    <w:p w14:paraId="792FF8F5" w14:textId="7EE0E0D8" w:rsidR="007C2ADF" w:rsidRPr="00873B6C" w:rsidRDefault="007C2ADF" w:rsidP="00D40151">
      <w:pPr>
        <w:pStyle w:val="B2"/>
      </w:pPr>
      <w:r w:rsidRPr="00873B6C">
        <w:tab/>
        <w:t>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w:t>
      </w:r>
      <w:r w:rsidR="00472CD7" w:rsidRPr="00873B6C">
        <w:t xml:space="preserve"> and</w:t>
      </w:r>
      <w:r w:rsidRPr="00873B6C">
        <w:t xml:space="preserve"> (c) two additional IP addresses/prefixes, called "MPQUIC link-specific </w:t>
      </w:r>
      <w:r w:rsidRPr="00873B6C">
        <w:lastRenderedPageBreak/>
        <w:t>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indicate how the non-MPTCP and non-MPQUIC traffic shall be transferred across the 3GPP access and the non-3GPP access in the uplink direction.</w:t>
      </w:r>
    </w:p>
    <w:p w14:paraId="00353D52" w14:textId="34F419C0" w:rsidR="007C2ADF" w:rsidRPr="00873B6C" w:rsidRDefault="007C2ADF" w:rsidP="007C2ADF">
      <w:pPr>
        <w:pStyle w:val="NO"/>
      </w:pPr>
      <w:r w:rsidRPr="00873B6C">
        <w:t>NOTE </w:t>
      </w:r>
      <w:r w:rsidR="00F03116" w:rsidRPr="00873B6C">
        <w:t>2</w:t>
      </w:r>
      <w:r w:rsidRPr="00873B6C">
        <w:t>:</w:t>
      </w:r>
      <w:r w:rsidRPr="00873B6C">
        <w:tab/>
        <w:t>The "MPTCP link-specific multipath" addresses and the "MPQUIC link-specific multipath" addresses can be the same.</w:t>
      </w:r>
    </w:p>
    <w:p w14:paraId="7712D748" w14:textId="24E17AC7" w:rsidR="00D40151" w:rsidRPr="00873B6C" w:rsidRDefault="00D40151" w:rsidP="00D40151">
      <w:pPr>
        <w:pStyle w:val="B2"/>
      </w:pPr>
      <w:r w:rsidRPr="00873B6C">
        <w:t>-</w:t>
      </w:r>
      <w:r w:rsidRPr="00873B6C">
        <w:tab/>
        <w:t>If the UE requests an S-NSSAI, this S-NSSAI should be allowed on both accesses. Otherwise, the MA PDU Session shall not be established.</w:t>
      </w:r>
    </w:p>
    <w:p w14:paraId="28D9D09B" w14:textId="77777777" w:rsidR="00D40151" w:rsidRPr="00873B6C" w:rsidRDefault="00D40151" w:rsidP="00D40151">
      <w:pPr>
        <w:pStyle w:val="B2"/>
      </w:pPr>
      <w:r w:rsidRPr="00873B6C">
        <w:t>-</w:t>
      </w:r>
      <w:r w:rsidRPr="00873B6C">
        <w:tab/>
        <w:t>The SMF determines the ATSSS capabilities supported for the MA PDU Session based on the ATSSS capabilities provided by the UE and per DNN configuration on SMF, as follows:</w:t>
      </w:r>
    </w:p>
    <w:p w14:paraId="38DDB5A0" w14:textId="23C77F88" w:rsidR="00C86B51" w:rsidRPr="00873B6C" w:rsidRDefault="00D40151" w:rsidP="00D40151">
      <w:pPr>
        <w:pStyle w:val="B3"/>
      </w:pPr>
      <w:r w:rsidRPr="00873B6C">
        <w:t>a)</w:t>
      </w:r>
      <w:r w:rsidRPr="00873B6C">
        <w:tab/>
        <w:t>If the UE includes in its ATSSS capabilities</w:t>
      </w:r>
      <w:r w:rsidR="000555AB">
        <w:t xml:space="preserve"> the</w:t>
      </w:r>
      <w:r w:rsidRPr="00873B6C">
        <w:t xml:space="preserve"> "MPTCP functionality with any steering mode</w:t>
      </w:r>
      <w:r w:rsidR="000555AB">
        <w:t xml:space="preserve"> supported" capability</w:t>
      </w:r>
      <w:r w:rsidRPr="00873B6C">
        <w:t xml:space="preserve"> and </w:t>
      </w:r>
      <w:r w:rsidR="000555AB">
        <w:t>the "</w:t>
      </w:r>
      <w:r w:rsidRPr="00873B6C">
        <w:t>ATSSS-LL functionality with only Active-Standby steering mode</w:t>
      </w:r>
      <w:r w:rsidR="000555AB">
        <w:t xml:space="preserve"> supported" capability</w:t>
      </w:r>
      <w:r w:rsidRPr="00873B6C">
        <w:t xml:space="preserve"> (as specified in clause 5.32.6.1), </w:t>
      </w:r>
      <w:r w:rsidR="00C86B51" w:rsidRPr="00873B6C">
        <w:t>then:</w:t>
      </w:r>
    </w:p>
    <w:p w14:paraId="47249011" w14:textId="7846B818" w:rsidR="00D40151" w:rsidRPr="00873B6C" w:rsidRDefault="00C86B51" w:rsidP="005A13C0">
      <w:pPr>
        <w:pStyle w:val="B4"/>
      </w:pPr>
      <w:r w:rsidRPr="00873B6C">
        <w:t>i)</w:t>
      </w:r>
      <w:r w:rsidRPr="00873B6C">
        <w:tab/>
        <w:t xml:space="preserve">If </w:t>
      </w:r>
      <w:r w:rsidR="00D40151" w:rsidRPr="00873B6C">
        <w:t>the DNN configuration allows MPTCP and ATSSS-LL with any steering mode</w:t>
      </w:r>
      <w:r w:rsidR="00F03116" w:rsidRPr="00873B6C">
        <w:t xml:space="preserve"> (i.e. any Steering Mode allowed for ATSSS-LL)</w:t>
      </w:r>
      <w:r w:rsidR="00D40151" w:rsidRPr="00873B6C">
        <w:t>, including RTT measurement without using PMF protocol, the MA PDU Session is capable of (1) MPTCP and ATSSS-LL with any steering mode</w:t>
      </w:r>
      <w:r w:rsidR="00F03116" w:rsidRPr="00873B6C">
        <w:t xml:space="preserve"> (i.e. any Steering Mode allowed for ATSSS-LL)</w:t>
      </w:r>
      <w:r w:rsidR="00D40151" w:rsidRPr="00873B6C">
        <w:t xml:space="preserve"> in the downlink</w:t>
      </w:r>
      <w:r w:rsidR="00472CD7" w:rsidRPr="00873B6C">
        <w:t xml:space="preserve"> and</w:t>
      </w:r>
      <w:r w:rsidR="00D40151" w:rsidRPr="00873B6C">
        <w:t xml:space="preserve"> (2) MPTCP and ATSSS-LL with Active-Standby mode in the uplink.</w:t>
      </w:r>
    </w:p>
    <w:p w14:paraId="60B7BA22" w14:textId="38902512" w:rsidR="00D40151" w:rsidRPr="00873B6C" w:rsidRDefault="00D40151" w:rsidP="00D40151">
      <w:pPr>
        <w:pStyle w:val="NO"/>
      </w:pPr>
      <w:r w:rsidRPr="00873B6C">
        <w:t>NOTE </w:t>
      </w:r>
      <w:r w:rsidR="00F03116" w:rsidRPr="00873B6C">
        <w:t>3</w:t>
      </w:r>
      <w:r w:rsidRPr="00873B6C">
        <w:t>:</w:t>
      </w:r>
      <w:r w:rsidRPr="00873B6C">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F0F4ED9" w14:textId="52291672" w:rsidR="00C86B51" w:rsidRPr="00873B6C" w:rsidRDefault="00C86B51" w:rsidP="005A13C0">
      <w:pPr>
        <w:pStyle w:val="B4"/>
      </w:pPr>
      <w:r w:rsidRPr="00873B6C">
        <w:t>ii)</w:t>
      </w:r>
      <w:r w:rsidRPr="00873B6C">
        <w:tab/>
        <w:t>If the DNN configuration allows MPTCP and ATSSS-LL with any steering mode (i.e. any Steering Mode allowed for ATSSS-LL), but not RTT measurement without using PMF protocol, the MA PDU Session is capable of (1) MPTCP in the downlink (2) ATSSS-LL with any steering mode</w:t>
      </w:r>
      <w:r w:rsidR="002A4DF8" w:rsidRPr="00873B6C">
        <w:t xml:space="preserve"> except Smallest Delay steering mode</w:t>
      </w:r>
      <w:r w:rsidRPr="00873B6C">
        <w:t xml:space="preserve"> (i.e. any Steering Mode allowed for ATSSS-LL</w:t>
      </w:r>
      <w:r w:rsidR="002A4DF8" w:rsidRPr="00873B6C">
        <w:t xml:space="preserve"> except Smallest Delay steering mode</w:t>
      </w:r>
      <w:r w:rsidRPr="00873B6C">
        <w:t>) in the downlink</w:t>
      </w:r>
      <w:r w:rsidR="00472CD7" w:rsidRPr="00873B6C">
        <w:t xml:space="preserve"> and</w:t>
      </w:r>
      <w:r w:rsidRPr="00873B6C">
        <w:t xml:space="preserve"> (3) MPTCP and ATSSS-LL with Active-Standby mode in the uplink.</w:t>
      </w:r>
    </w:p>
    <w:p w14:paraId="6862E452" w14:textId="2BBCFB4E" w:rsidR="00C86B51" w:rsidRPr="00873B6C" w:rsidRDefault="00C86B51" w:rsidP="00C86B51">
      <w:pPr>
        <w:pStyle w:val="B4"/>
      </w:pPr>
      <w:r w:rsidRPr="00873B6C">
        <w:t>iii)</w:t>
      </w:r>
      <w:r w:rsidRPr="00873B6C">
        <w:tab/>
        <w:t>If the DNN configuration allows MPTCP with any steering mode and ATSSS-LL with only Active-Standby steering mode, the MA PDU Session is capable of MPTCP and ATSSS-LL with Active-Standby mode in the uplink and in the downlink.</w:t>
      </w:r>
    </w:p>
    <w:p w14:paraId="37480A50" w14:textId="377444FF" w:rsidR="00C86B51" w:rsidRPr="00873B6C" w:rsidRDefault="00C86B51" w:rsidP="00D40151">
      <w:pPr>
        <w:pStyle w:val="B3"/>
      </w:pPr>
      <w:r w:rsidRPr="00873B6C">
        <w:t>b)</w:t>
      </w:r>
      <w:r w:rsidRPr="00873B6C">
        <w:tab/>
        <w:t>If the UE includes in its ATSSS capabilities</w:t>
      </w:r>
      <w:r w:rsidR="000555AB">
        <w:t xml:space="preserve"> the</w:t>
      </w:r>
      <w:r w:rsidRPr="00873B6C">
        <w:t xml:space="preserve"> "MPQUIC functionality with any steering mode</w:t>
      </w:r>
      <w:r w:rsidR="000555AB">
        <w:t xml:space="preserve"> supported" capability</w:t>
      </w:r>
      <w:r w:rsidRPr="00873B6C">
        <w:t xml:space="preserve"> and </w:t>
      </w:r>
      <w:r w:rsidR="000555AB">
        <w:t>the "</w:t>
      </w:r>
      <w:r w:rsidRPr="00873B6C">
        <w:t>ATSSS-LL functionality with only Active-Standby steering mode</w:t>
      </w:r>
      <w:r w:rsidR="000555AB">
        <w:t xml:space="preserve"> supported" capability</w:t>
      </w:r>
      <w:r w:rsidRPr="00873B6C">
        <w:t xml:space="preserve"> (as specified in clause 5.32.6.1), then:</w:t>
      </w:r>
    </w:p>
    <w:p w14:paraId="5E4C142F" w14:textId="2A0A301A" w:rsidR="00C86B51" w:rsidRPr="00873B6C" w:rsidRDefault="00C86B51" w:rsidP="005A13C0">
      <w:pPr>
        <w:pStyle w:val="B4"/>
      </w:pPr>
      <w:r w:rsidRPr="00873B6C">
        <w:t>i)</w:t>
      </w:r>
      <w:r w:rsidRPr="00873B6C">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w:t>
      </w:r>
      <w:r w:rsidR="00472CD7" w:rsidRPr="00873B6C">
        <w:t xml:space="preserve"> and</w:t>
      </w:r>
      <w:r w:rsidRPr="00873B6C">
        <w:t xml:space="preserve"> (2) MPQUIC and ATSSS-LL with Active-Standby mode in the uplink.</w:t>
      </w:r>
    </w:p>
    <w:p w14:paraId="16E3D619" w14:textId="6247531B" w:rsidR="00C86B51" w:rsidRPr="00873B6C" w:rsidRDefault="00C86B51" w:rsidP="005A13C0">
      <w:pPr>
        <w:pStyle w:val="NO"/>
      </w:pPr>
      <w:r w:rsidRPr="00873B6C">
        <w:t>NOTE 4:</w:t>
      </w:r>
      <w:r w:rsidRPr="00873B6C">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5D0F9888" w14:textId="43643BC9" w:rsidR="00C86B51" w:rsidRPr="00873B6C" w:rsidRDefault="00C86B51" w:rsidP="005A13C0">
      <w:pPr>
        <w:pStyle w:val="B4"/>
      </w:pPr>
      <w:r w:rsidRPr="00873B6C">
        <w:t>ii)</w:t>
      </w:r>
      <w:r w:rsidRPr="00873B6C">
        <w:tab/>
        <w:t>If the DNN configuration allows MPQUIC and ATSSS-LL with any steering mode (i.e. any Steering Mode allowed for ATSSS-LL), but not RTT measurement without using PMF protocol, the MA PDU Session is capable of (1) MPQUIC in the downlink (2) ATSSS-LL with any steering mode</w:t>
      </w:r>
      <w:r w:rsidR="002A4DF8" w:rsidRPr="00873B6C">
        <w:t xml:space="preserve"> except Smallest Delay steering mode</w:t>
      </w:r>
      <w:r w:rsidRPr="00873B6C">
        <w:t xml:space="preserve"> (i.e. any Steering Mode allowed for ATSSS-LL</w:t>
      </w:r>
      <w:r w:rsidR="002A4DF8" w:rsidRPr="00873B6C">
        <w:t xml:space="preserve"> except Smallest Delay steering mode</w:t>
      </w:r>
      <w:r w:rsidRPr="00873B6C">
        <w:t>) in the downlink</w:t>
      </w:r>
      <w:r w:rsidR="00472CD7" w:rsidRPr="00873B6C">
        <w:t xml:space="preserve"> and</w:t>
      </w:r>
      <w:r w:rsidRPr="00873B6C">
        <w:t xml:space="preserve"> (3) MPQUIC and ATSSS-LL with Active-Standby mode in the uplink.</w:t>
      </w:r>
    </w:p>
    <w:p w14:paraId="4A51612F" w14:textId="77777777" w:rsidR="00C86B51" w:rsidRPr="00873B6C" w:rsidRDefault="00C86B51" w:rsidP="005A13C0">
      <w:pPr>
        <w:pStyle w:val="B4"/>
      </w:pPr>
      <w:r w:rsidRPr="00873B6C">
        <w:lastRenderedPageBreak/>
        <w:t>iii)</w:t>
      </w:r>
      <w:r w:rsidRPr="00873B6C">
        <w:tab/>
        <w:t>If the DNN configuration allows MPQUIC with any steering mode and ATSSS-LL with only Active-Standby steering mode, the MA PDU Session is capable of MPQUIC and ATSSS-LL with Active-Standby mode in the uplink and in the downlink.</w:t>
      </w:r>
    </w:p>
    <w:p w14:paraId="50997930" w14:textId="0287B425" w:rsidR="00C86B51" w:rsidRPr="00873B6C" w:rsidRDefault="00C86B51" w:rsidP="00D40151">
      <w:pPr>
        <w:pStyle w:val="B3"/>
      </w:pPr>
      <w:r w:rsidRPr="00873B6C">
        <w:t>c)</w:t>
      </w:r>
      <w:r w:rsidRPr="00873B6C">
        <w:tab/>
        <w:t>If the UE includes in its ATSSS capabilities</w:t>
      </w:r>
      <w:r w:rsidR="000555AB">
        <w:t xml:space="preserve"> the</w:t>
      </w:r>
      <w:r w:rsidRPr="00873B6C">
        <w:t xml:space="preserve"> "MPQUIC functionality with any steering mode</w:t>
      </w:r>
      <w:r w:rsidR="000555AB">
        <w:t xml:space="preserve"> supported" capability</w:t>
      </w:r>
      <w:r w:rsidRPr="00873B6C">
        <w:t xml:space="preserve"> and </w:t>
      </w:r>
      <w:r w:rsidR="000555AB">
        <w:t>the "</w:t>
      </w:r>
      <w:r w:rsidRPr="00873B6C">
        <w:t>ATSSS-LL functionality with any steering mode</w:t>
      </w:r>
      <w:r w:rsidR="000555AB">
        <w:t xml:space="preserve"> supported" capability</w:t>
      </w:r>
      <w:r w:rsidRPr="00873B6C">
        <w:t xml:space="preserve"> (as specified in clause 5.32.6.1)</w:t>
      </w:r>
      <w:r w:rsidR="00472CD7" w:rsidRPr="00873B6C">
        <w:t xml:space="preserve"> and</w:t>
      </w:r>
      <w:r w:rsidRPr="00873B6C">
        <w:t xml:space="preserve"> the DNN configuration allows MPQUIC and ATSSS-LL with any steering mode (i.e. any Steering Mode allowed for ATSSS-LL), the MA PDU Session is capable of MPQUIC and ATSSS-LL with any steering mode (i.e. any Steering Mode allowed for ATSSS-LL) in the uplink and in the downlink.</w:t>
      </w:r>
    </w:p>
    <w:p w14:paraId="2AA824D5" w14:textId="2B16AA30" w:rsidR="00D40151" w:rsidRPr="00873B6C" w:rsidRDefault="00D40151" w:rsidP="00D40151">
      <w:pPr>
        <w:pStyle w:val="B3"/>
      </w:pPr>
      <w:r w:rsidRPr="00873B6C">
        <w:t>d)</w:t>
      </w:r>
      <w:r w:rsidRPr="00873B6C">
        <w:tab/>
        <w:t>If the UE includes in its ATSSS capabilities</w:t>
      </w:r>
      <w:r w:rsidR="000555AB">
        <w:t xml:space="preserve"> the</w:t>
      </w:r>
      <w:r w:rsidRPr="00873B6C">
        <w:t xml:space="preserve"> "ATSSS-LL functionality with any steering mode</w:t>
      </w:r>
      <w:r w:rsidR="000555AB">
        <w:t xml:space="preserve"> allowed for ATSSS-LL supported" capability</w:t>
      </w:r>
      <w:r w:rsidRPr="00873B6C">
        <w:t xml:space="preserve"> (as specified in clause 5.32.6.1) and the DNN configuration allows ATSSS-LL with any steering mode</w:t>
      </w:r>
      <w:r w:rsidR="00F03116" w:rsidRPr="00873B6C">
        <w:t xml:space="preserve"> allowed for ATSSS-LL</w:t>
      </w:r>
      <w:r w:rsidRPr="00873B6C">
        <w:t>, the MA PDU Session is capable of ATSSS-LL with any steering mode</w:t>
      </w:r>
      <w:r w:rsidR="00F03116" w:rsidRPr="00873B6C">
        <w:t xml:space="preserve"> allowed for ATSSS-LL</w:t>
      </w:r>
      <w:r w:rsidRPr="00873B6C">
        <w:t xml:space="preserve"> in the uplink and in the downlink.</w:t>
      </w:r>
    </w:p>
    <w:p w14:paraId="0F99C956" w14:textId="1F8BB681" w:rsidR="00D40151" w:rsidRPr="00873B6C" w:rsidRDefault="00D40151" w:rsidP="00D40151">
      <w:pPr>
        <w:pStyle w:val="B3"/>
      </w:pPr>
      <w:r w:rsidRPr="00873B6C">
        <w:t>e)</w:t>
      </w:r>
      <w:r w:rsidRPr="00873B6C">
        <w:tab/>
        <w:t>If the UE includes in its ATSSS capabilities</w:t>
      </w:r>
      <w:r w:rsidR="000555AB">
        <w:t xml:space="preserve"> the</w:t>
      </w:r>
      <w:r w:rsidRPr="00873B6C">
        <w:t xml:space="preserve"> "MPTCP functionality with any steering mode</w:t>
      </w:r>
      <w:r w:rsidR="000555AB">
        <w:t xml:space="preserve"> supported" capability</w:t>
      </w:r>
      <w:r w:rsidRPr="00873B6C">
        <w:t xml:space="preserve"> and </w:t>
      </w:r>
      <w:r w:rsidR="000555AB">
        <w:t>the "</w:t>
      </w:r>
      <w:r w:rsidRPr="00873B6C">
        <w:t>ATSSS-LL functionality with any steering mode</w:t>
      </w:r>
      <w:r w:rsidR="000555AB">
        <w:t xml:space="preserve"> supported" capability</w:t>
      </w:r>
      <w:r w:rsidRPr="00873B6C">
        <w:t xml:space="preserve"> (as specified in clause 5.32.6.1)</w:t>
      </w:r>
      <w:r w:rsidR="00472CD7" w:rsidRPr="00873B6C">
        <w:t xml:space="preserve"> and</w:t>
      </w:r>
      <w:r w:rsidRPr="00873B6C">
        <w:t xml:space="preserve"> the DNN configuration allows MPTCP and ATSSS-LL with any steering mode</w:t>
      </w:r>
      <w:r w:rsidR="00F03116" w:rsidRPr="00873B6C">
        <w:t xml:space="preserve"> (i.e. any Steering Mode allowed for ATSSS-LL)</w:t>
      </w:r>
      <w:r w:rsidRPr="00873B6C">
        <w:t>, the MA PDU Session is capable of MPTCP and ATSSS-LL with any steering mode</w:t>
      </w:r>
      <w:r w:rsidR="00F03116" w:rsidRPr="00873B6C">
        <w:t xml:space="preserve"> (i.e. any Steering Mode allowed for ATSSS-LL)</w:t>
      </w:r>
      <w:r w:rsidRPr="00873B6C">
        <w:t xml:space="preserve"> in the uplink and in the downlink.</w:t>
      </w:r>
    </w:p>
    <w:p w14:paraId="5A2BA6D6" w14:textId="6BF3DE27" w:rsidR="00C86B51" w:rsidRPr="00873B6C" w:rsidRDefault="00C86B51" w:rsidP="00C86B51">
      <w:pPr>
        <w:pStyle w:val="B3"/>
      </w:pPr>
      <w:r w:rsidRPr="00873B6C">
        <w:t>f)</w:t>
      </w:r>
      <w:r w:rsidRPr="00873B6C">
        <w:tab/>
        <w:t>If the UE includes in its ATSSS capabilities</w:t>
      </w:r>
      <w:r w:rsidR="000555AB">
        <w:t xml:space="preserve"> the</w:t>
      </w:r>
      <w:r w:rsidRPr="00873B6C">
        <w:t xml:space="preserve"> "MPTCP functionality with any steering mode</w:t>
      </w:r>
      <w:r w:rsidR="000555AB">
        <w:t xml:space="preserve"> supported" capability,</w:t>
      </w:r>
      <w:r w:rsidRPr="00873B6C">
        <w:t xml:space="preserve"> the MPQUIC functionality with any steering mode</w:t>
      </w:r>
      <w:r w:rsidR="000555AB">
        <w:t xml:space="preserve"> supported" capability</w:t>
      </w:r>
      <w:r w:rsidR="00472CD7" w:rsidRPr="00873B6C">
        <w:t xml:space="preserve"> and</w:t>
      </w:r>
      <w:r w:rsidRPr="00873B6C">
        <w:t xml:space="preserve"> the </w:t>
      </w:r>
      <w:r w:rsidR="000555AB">
        <w:t>"</w:t>
      </w:r>
      <w:r w:rsidRPr="00873B6C">
        <w:t>ATSSS-LL functionality with any steering mode</w:t>
      </w:r>
      <w:r w:rsidR="000555AB">
        <w:t xml:space="preserve"> supported" capability</w:t>
      </w:r>
      <w:r w:rsidRPr="00873B6C">
        <w:t xml:space="preserve"> (as specified in clause 5.32.6.1)</w:t>
      </w:r>
      <w:r w:rsidR="00472CD7" w:rsidRPr="00873B6C">
        <w:t xml:space="preserve"> and</w:t>
      </w:r>
      <w:r w:rsidRPr="00873B6C">
        <w:t xml:space="preserve"> the DNN configuration allows MPTCP</w:t>
      </w:r>
      <w:r w:rsidR="003D49E0" w:rsidRPr="00873B6C">
        <w:t>,</w:t>
      </w:r>
      <w:r w:rsidRPr="00873B6C">
        <w:t xml:space="preserve"> MPQUIC and ATSSS-LL with any steering mode (i.e. any Steering Mode allowed for ATSSS-LL), the MA PDU Session is capable of MPTCP</w:t>
      </w:r>
      <w:r w:rsidR="003D49E0" w:rsidRPr="00873B6C">
        <w:t>,</w:t>
      </w:r>
      <w:r w:rsidRPr="00873B6C">
        <w:t xml:space="preserve"> MPQUIC and ATSSS-LL with any steering mode (i.e. any Steering Mode allowed for ATSSS-LL) in the uplink and in the downlink.</w:t>
      </w:r>
    </w:p>
    <w:p w14:paraId="0E0A5D6F" w14:textId="2AF2E4D0" w:rsidR="00C86B51" w:rsidRPr="00873B6C" w:rsidRDefault="00C86B51" w:rsidP="00C86B51">
      <w:pPr>
        <w:pStyle w:val="B3"/>
      </w:pPr>
      <w:r w:rsidRPr="00873B6C">
        <w:t>g)</w:t>
      </w:r>
      <w:r w:rsidRPr="00873B6C">
        <w:tab/>
        <w:t>If the UE includes in its ATSSS capabilities</w:t>
      </w:r>
      <w:r w:rsidR="000555AB">
        <w:t xml:space="preserve"> the</w:t>
      </w:r>
      <w:r w:rsidRPr="00873B6C">
        <w:t xml:space="preserve"> "MPTCP functionality with any steering mode</w:t>
      </w:r>
      <w:r w:rsidR="000555AB">
        <w:t xml:space="preserve"> supported" capability,</w:t>
      </w:r>
      <w:r w:rsidRPr="00873B6C">
        <w:t xml:space="preserve"> the </w:t>
      </w:r>
      <w:r w:rsidR="000555AB">
        <w:t>"</w:t>
      </w:r>
      <w:r w:rsidRPr="00873B6C">
        <w:t>MPQUIC functionality with any steering mode</w:t>
      </w:r>
      <w:r w:rsidR="000555AB">
        <w:t xml:space="preserve"> supported" capability</w:t>
      </w:r>
      <w:r w:rsidR="00472CD7" w:rsidRPr="00873B6C">
        <w:t xml:space="preserve"> and</w:t>
      </w:r>
      <w:r w:rsidRPr="00873B6C">
        <w:t xml:space="preserve"> the </w:t>
      </w:r>
      <w:r w:rsidR="000555AB">
        <w:t>"</w:t>
      </w:r>
      <w:r w:rsidRPr="00873B6C">
        <w:t>ATSSS-LL functionality with only the Active-Standby steering mode</w:t>
      </w:r>
      <w:r w:rsidR="000555AB">
        <w:t xml:space="preserve"> supported" capability</w:t>
      </w:r>
      <w:r w:rsidRPr="00873B6C">
        <w:t xml:space="preserve"> (as specified in clause 5.32.6.1), then:</w:t>
      </w:r>
    </w:p>
    <w:p w14:paraId="4F172F98" w14:textId="3F11376A" w:rsidR="00C86B51" w:rsidRPr="00873B6C" w:rsidRDefault="00C86B51" w:rsidP="005A13C0">
      <w:pPr>
        <w:pStyle w:val="B4"/>
      </w:pPr>
      <w:r w:rsidRPr="00873B6C">
        <w:t>i)</w:t>
      </w:r>
      <w:r w:rsidRPr="00873B6C">
        <w:tab/>
        <w:t>If the DNN configuration allows MPTCP</w:t>
      </w:r>
      <w:r w:rsidR="003D49E0" w:rsidRPr="00873B6C">
        <w:t>,</w:t>
      </w:r>
      <w:r w:rsidRPr="00873B6C">
        <w:t xml:space="preserve"> MPQUIC and ATSSS-LL with any steering mode (i.e. any Steering Mode allowed for ATSSS-LL), including RTT measurement without using PMF protocol, the MA PDU Session is capable of (1) MPTCP</w:t>
      </w:r>
      <w:r w:rsidR="003D49E0" w:rsidRPr="00873B6C">
        <w:t>,</w:t>
      </w:r>
      <w:r w:rsidRPr="00873B6C">
        <w:t xml:space="preserve"> MPQUIC and ATSSS-LL with any steering mode (i.e. any Steering Mode allowed for ATSSS-LL) in the downlink</w:t>
      </w:r>
      <w:r w:rsidR="00472CD7" w:rsidRPr="00873B6C">
        <w:t xml:space="preserve"> and</w:t>
      </w:r>
      <w:r w:rsidRPr="00873B6C">
        <w:t xml:space="preserve"> (2) MPTCP</w:t>
      </w:r>
      <w:r w:rsidR="003D49E0" w:rsidRPr="00873B6C">
        <w:t>,</w:t>
      </w:r>
      <w:r w:rsidRPr="00873B6C">
        <w:t xml:space="preserve"> MPQUIC and ATSSS-LL with Active-Standby mode in the uplink.</w:t>
      </w:r>
    </w:p>
    <w:p w14:paraId="01A43073" w14:textId="53DDCCB8" w:rsidR="00C86B51" w:rsidRPr="00873B6C" w:rsidRDefault="00C86B51" w:rsidP="005A13C0">
      <w:pPr>
        <w:pStyle w:val="NO"/>
      </w:pPr>
      <w:r w:rsidRPr="00873B6C">
        <w:t>NOTE 5:</w:t>
      </w:r>
      <w:r w:rsidRPr="00873B6C">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p>
    <w:p w14:paraId="5C2FBB8E" w14:textId="789AC525" w:rsidR="00C86B51" w:rsidRPr="00873B6C" w:rsidRDefault="00C86B51" w:rsidP="005A13C0">
      <w:pPr>
        <w:pStyle w:val="B4"/>
      </w:pPr>
      <w:r w:rsidRPr="00873B6C">
        <w:t>ii)</w:t>
      </w:r>
      <w:r w:rsidRPr="00873B6C">
        <w:tab/>
        <w:t>If the DNN configuration allows MPTCP</w:t>
      </w:r>
      <w:r w:rsidR="003D49E0" w:rsidRPr="00873B6C">
        <w:t>,</w:t>
      </w:r>
      <w:r w:rsidRPr="00873B6C">
        <w:t xml:space="preserve"> MPQUIC and ATSSS-LL with any steering mode (i.e. any Steering Mode allowed for ATSSS-LL), but not RTT measurement without using PMF protocol, the MA PDU Session is capable of (1) MPTCP and MPQUIC in the downlink (2) ATSSS-LL with any steering mode</w:t>
      </w:r>
      <w:r w:rsidR="002A4DF8" w:rsidRPr="00873B6C">
        <w:t xml:space="preserve"> except Smallest Delay steering mode</w:t>
      </w:r>
      <w:r w:rsidRPr="00873B6C">
        <w:t xml:space="preserve"> (i.e. any Steering Mode allowed for ATSSS-LL</w:t>
      </w:r>
      <w:r w:rsidR="002A4DF8" w:rsidRPr="00873B6C">
        <w:t xml:space="preserve"> except Smallest Delay steering mode</w:t>
      </w:r>
      <w:r w:rsidRPr="00873B6C">
        <w:t>) in the downlink</w:t>
      </w:r>
      <w:r w:rsidR="00472CD7" w:rsidRPr="00873B6C">
        <w:t xml:space="preserve"> and</w:t>
      </w:r>
      <w:r w:rsidRPr="00873B6C">
        <w:t xml:space="preserve"> (3) MPTCP</w:t>
      </w:r>
      <w:r w:rsidR="003D49E0" w:rsidRPr="00873B6C">
        <w:t>,</w:t>
      </w:r>
      <w:r w:rsidRPr="00873B6C">
        <w:t xml:space="preserve"> MPQUIC and ATSSS-LL with Active-Standby mode in the uplink.</w:t>
      </w:r>
    </w:p>
    <w:p w14:paraId="2CF827E8" w14:textId="77777777" w:rsidR="00C86B51" w:rsidRPr="00873B6C" w:rsidRDefault="00C86B51" w:rsidP="005A13C0">
      <w:pPr>
        <w:pStyle w:val="B4"/>
      </w:pPr>
      <w:r w:rsidRPr="00873B6C">
        <w:t>iii)</w:t>
      </w:r>
      <w:r w:rsidRPr="00873B6C">
        <w:tab/>
        <w:t>If the DNN configuration allows MPTCP and MPQUIC with any steering mode and ATSSS-LL with only Active-Standby steering mode, the MA PDU Session is capable of MPTCP and MPQUIC and ATSSS-LL with Active-Standby mode in the uplink and in the downlink.</w:t>
      </w:r>
    </w:p>
    <w:p w14:paraId="19CDA66F" w14:textId="12EF0489" w:rsidR="00D40151" w:rsidRPr="00873B6C" w:rsidRDefault="00D40151" w:rsidP="00D40151">
      <w:pPr>
        <w:pStyle w:val="B2"/>
      </w:pPr>
      <w:r w:rsidRPr="00873B6C">
        <w:tab/>
        <w:t>The SMF provides the ATSSS capabilities of the MA PDU Session to the PCF during PDU Session Establishment.</w:t>
      </w:r>
    </w:p>
    <w:p w14:paraId="0176C107" w14:textId="79012D8C" w:rsidR="00D40151" w:rsidRPr="00873B6C" w:rsidRDefault="00D40151" w:rsidP="00D40151">
      <w:pPr>
        <w:pStyle w:val="B2"/>
      </w:pPr>
      <w:r w:rsidRPr="00873B6C">
        <w:t>-</w:t>
      </w:r>
      <w:r w:rsidRPr="00873B6C">
        <w:tab/>
        <w:t xml:space="preserve">The PCC rules provided by PCF include MA PDU Session Control information (see </w:t>
      </w:r>
      <w:r w:rsidR="00972E70" w:rsidRPr="00873B6C">
        <w:t>TS 23.503 [</w:t>
      </w:r>
      <w:r w:rsidRPr="00873B6C">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873B6C" w:rsidRDefault="00D40151" w:rsidP="00D40151">
      <w:pPr>
        <w:pStyle w:val="B2"/>
      </w:pPr>
      <w:r w:rsidRPr="00873B6C">
        <w:lastRenderedPageBreak/>
        <w:t>-</w:t>
      </w:r>
      <w:r w:rsidRPr="00873B6C">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873B6C" w:rsidRDefault="00D40151" w:rsidP="00D40151">
      <w:pPr>
        <w:pStyle w:val="B2"/>
      </w:pPr>
      <w:r w:rsidRPr="00873B6C">
        <w:t>-</w:t>
      </w:r>
      <w:r w:rsidRPr="00873B6C">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14052BCF" w14:textId="32F2FA2B" w:rsidR="00424087" w:rsidRPr="00873B6C" w:rsidRDefault="00424087" w:rsidP="00424087">
      <w:pPr>
        <w:pStyle w:val="B2"/>
      </w:pPr>
      <w:r w:rsidRPr="00873B6C">
        <w:t>-</w:t>
      </w:r>
      <w:r w:rsidRPr="00873B6C">
        <w:tab/>
        <w:t>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28FD964E" w14:textId="1CEA8021" w:rsidR="00424087" w:rsidRPr="00873B6C" w:rsidRDefault="00424087" w:rsidP="005A13C0">
      <w:pPr>
        <w:pStyle w:val="NO"/>
      </w:pPr>
      <w:r w:rsidRPr="00873B6C">
        <w:t>NOTE </w:t>
      </w:r>
      <w:r w:rsidR="00C86B51" w:rsidRPr="00873B6C">
        <w:t>6</w:t>
      </w:r>
      <w:r w:rsidRPr="00873B6C">
        <w:t>:</w:t>
      </w:r>
      <w:r w:rsidRPr="00873B6C">
        <w:tab/>
        <w:t>If the AMF selects an SMF not supporting non-3GPP access path switching, the non-3GPP access path switching can still be performed with the AMF triggering release of the old user plane resources before new user plane resources are established.</w:t>
      </w:r>
    </w:p>
    <w:p w14:paraId="31AFD126" w14:textId="13DD39C2" w:rsidR="00D40151" w:rsidRPr="00873B6C" w:rsidRDefault="00D40151" w:rsidP="00D40151">
      <w:pPr>
        <w:pStyle w:val="B1"/>
      </w:pPr>
      <w:r w:rsidRPr="00873B6C">
        <w:t>-</w:t>
      </w:r>
      <w:r w:rsidRPr="00873B6C">
        <w:tab/>
        <w:t>After the MA PDU Session establishment:</w:t>
      </w:r>
    </w:p>
    <w:p w14:paraId="40F76A2F" w14:textId="77777777" w:rsidR="00D40151" w:rsidRPr="00873B6C" w:rsidRDefault="00D40151" w:rsidP="00D40151">
      <w:pPr>
        <w:pStyle w:val="B2"/>
      </w:pPr>
      <w:r w:rsidRPr="00873B6C">
        <w:t>-</w:t>
      </w:r>
      <w:r w:rsidRPr="00873B6C">
        <w:tab/>
        <w:t>At any given time, the MA PDU session may have user-plane resources on both 3GPP and non-3GPP accesses, or on one access only, or may have no user-plane resources on any access.</w:t>
      </w:r>
    </w:p>
    <w:p w14:paraId="6EB15C92" w14:textId="77777777" w:rsidR="00D40151" w:rsidRPr="00873B6C" w:rsidRDefault="00D40151" w:rsidP="00D40151">
      <w:pPr>
        <w:pStyle w:val="B2"/>
      </w:pPr>
      <w:r w:rsidRPr="00873B6C">
        <w:t>-</w:t>
      </w:r>
      <w:r w:rsidRPr="00873B6C">
        <w:tab/>
        <w:t>The AMF, SMF, PCF and UPF maintain their MA PDU Session contexts, even when the UE deregisters from one access (but remains registered on the other access).</w:t>
      </w:r>
    </w:p>
    <w:p w14:paraId="25394287" w14:textId="77777777" w:rsidR="00D40151" w:rsidRPr="00873B6C" w:rsidRDefault="00D40151" w:rsidP="00D40151">
      <w:pPr>
        <w:pStyle w:val="B2"/>
      </w:pPr>
      <w:r w:rsidRPr="00873B6C">
        <w:t>-</w:t>
      </w:r>
      <w:r w:rsidRPr="00873B6C">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873B6C" w:rsidRDefault="00D40151" w:rsidP="00D40151">
      <w:pPr>
        <w:pStyle w:val="B2"/>
      </w:pPr>
      <w:r w:rsidRPr="00873B6C">
        <w:t>-</w:t>
      </w:r>
      <w:r w:rsidRPr="00873B6C">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873B6C" w:rsidRDefault="00D40151" w:rsidP="00D40151">
      <w:pPr>
        <w:pStyle w:val="B2"/>
      </w:pPr>
      <w:r w:rsidRPr="00873B6C">
        <w:t>-</w:t>
      </w:r>
      <w:r w:rsidRPr="00873B6C">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CB37FA5" w:rsidR="00D40151" w:rsidRPr="00873B6C" w:rsidRDefault="00D40151" w:rsidP="00D40151">
      <w:pPr>
        <w:pStyle w:val="B2"/>
      </w:pPr>
      <w:r w:rsidRPr="00873B6C">
        <w:t>-</w:t>
      </w:r>
      <w:r w:rsidRPr="00873B6C">
        <w:tab/>
        <w:t>If the network wants to re-activate the user-plane resources over 3GPP access or non-3GPP access of the MA PDU Session, the network shall initiate the Network Triggered Service Request procedure, as specified in</w:t>
      </w:r>
      <w:r w:rsidR="00131D56" w:rsidRPr="00873B6C">
        <w:t xml:space="preserve"> clause 4.22.7</w:t>
      </w:r>
      <w:r w:rsidRPr="00873B6C">
        <w:t xml:space="preserve"> </w:t>
      </w:r>
      <w:r w:rsidR="00131D56" w:rsidRPr="00873B6C">
        <w:t xml:space="preserve">of </w:t>
      </w:r>
      <w:r w:rsidR="00972E70" w:rsidRPr="00873B6C">
        <w:t>TS 23.502 [</w:t>
      </w:r>
      <w:r w:rsidRPr="00873B6C">
        <w:t>3].</w:t>
      </w:r>
    </w:p>
    <w:p w14:paraId="5FDF56D0" w14:textId="55726AC7" w:rsidR="00BC24B5" w:rsidRPr="00873B6C" w:rsidRDefault="00BC24B5" w:rsidP="00C25C3D">
      <w:pPr>
        <w:pStyle w:val="B2"/>
      </w:pPr>
      <w:r w:rsidRPr="00873B6C">
        <w:t>-</w:t>
      </w:r>
      <w:r w:rsidRPr="00873B6C">
        <w:tab/>
        <w:t xml:space="preserve">If the UE wants to move the non-3GPP user-plane resources of the MA PDU Session from a source non-3GPP access (e.g. source N3IWF or TNGF) to a target non-3GPP access (e.g. target N3IWF or TNGF), the UE initiates a Mobility Registration Update via the target non-3GPP access as described in </w:t>
      </w:r>
      <w:r w:rsidR="00972E70" w:rsidRPr="00873B6C">
        <w:t>TS 23.502 [</w:t>
      </w:r>
      <w:r w:rsidRPr="00873B6C">
        <w:t>3], clause 4.22.9.5. This procedure may also be used to move the non-3GPP user-plane resources of single access PDU Session(s).</w:t>
      </w:r>
    </w:p>
    <w:p w14:paraId="15BE3B8A" w14:textId="67E866C2" w:rsidR="00BC24B5" w:rsidRPr="00873B6C" w:rsidRDefault="00BC24B5" w:rsidP="00972E70">
      <w:pPr>
        <w:pStyle w:val="NO"/>
      </w:pPr>
      <w:r w:rsidRPr="00873B6C">
        <w:t>NOTE </w:t>
      </w:r>
      <w:r w:rsidR="00C86B51" w:rsidRPr="00873B6C">
        <w:t>7</w:t>
      </w:r>
      <w:r w:rsidRPr="00873B6C">
        <w:t>:</w:t>
      </w:r>
      <w:r w:rsidRPr="00873B6C">
        <w:tab/>
        <w:t>The UE can request activation of single access PDU Session(s) over the target non-3GPP access while performing Mobility Registration Update procedure according to the existing procedure.</w:t>
      </w:r>
    </w:p>
    <w:p w14:paraId="5C6020AC" w14:textId="589636B9" w:rsidR="00C25C3D" w:rsidRPr="00873B6C" w:rsidRDefault="00C25C3D" w:rsidP="00C25C3D">
      <w:pPr>
        <w:pStyle w:val="B2"/>
      </w:pPr>
      <w:r w:rsidRPr="00873B6C">
        <w:t>-</w:t>
      </w:r>
      <w:r w:rsidRPr="00873B6C">
        <w:tab/>
        <w:t>The SMF may add, remove or update one or more individual ATSSS rules of the UE by sending new or updated ATSSS rules with the corresponding Rule IDs to the UE.</w:t>
      </w:r>
    </w:p>
    <w:p w14:paraId="7518028C" w14:textId="77777777" w:rsidR="00D40151" w:rsidRPr="00873B6C" w:rsidRDefault="00D40151" w:rsidP="00D40151">
      <w:r w:rsidRPr="00873B6C">
        <w:t>A MA PDU Session may be established either:</w:t>
      </w:r>
    </w:p>
    <w:p w14:paraId="35269FC8" w14:textId="77777777" w:rsidR="00D40151" w:rsidRPr="00873B6C" w:rsidRDefault="00D40151" w:rsidP="00D40151">
      <w:pPr>
        <w:pStyle w:val="B1"/>
      </w:pPr>
      <w:r w:rsidRPr="00873B6C">
        <w:lastRenderedPageBreak/>
        <w:t>a)</w:t>
      </w:r>
      <w:r w:rsidRPr="00873B6C">
        <w:tab/>
        <w:t>when it is explicitly requested by an ATSSS-capable UE; or</w:t>
      </w:r>
    </w:p>
    <w:p w14:paraId="25CC9D4A" w14:textId="6364118E" w:rsidR="00D40151" w:rsidRPr="00873B6C" w:rsidRDefault="00D40151" w:rsidP="00D40151">
      <w:pPr>
        <w:pStyle w:val="B1"/>
      </w:pPr>
      <w:r w:rsidRPr="00873B6C">
        <w:t>b)</w:t>
      </w:r>
      <w:r w:rsidRPr="00873B6C">
        <w:tab/>
        <w:t>when an ATSSS-capable UE requests a single-access PDU Session but the network decides to establish a MA PDU Session instead. This is an optional scenario specified in</w:t>
      </w:r>
      <w:r w:rsidR="00131D56" w:rsidRPr="00873B6C">
        <w:t xml:space="preserve"> clause 4.22.3</w:t>
      </w:r>
      <w:r w:rsidRPr="00873B6C">
        <w:t xml:space="preserve"> </w:t>
      </w:r>
      <w:r w:rsidR="00131D56" w:rsidRPr="00873B6C">
        <w:t xml:space="preserve">of </w:t>
      </w:r>
      <w:r w:rsidR="00972E70" w:rsidRPr="00873B6C">
        <w:t>TS 23.502 [</w:t>
      </w:r>
      <w:r w:rsidRPr="00873B6C">
        <w:t>3], which may occur when the UE requests a single-access PDU Session but no policy (e.g. no URSP rule) and no local restrictions in the UE mandate a single access for the PDU Session.</w:t>
      </w:r>
    </w:p>
    <w:p w14:paraId="35BAED5C" w14:textId="76F747AF" w:rsidR="00D40151" w:rsidRPr="00873B6C" w:rsidRDefault="00D40151" w:rsidP="00D40151">
      <w:r w:rsidRPr="00873B6C">
        <w:t>A MA PDU Session may be established during a PDU Session modification procedure when the UE moves from EPS to 5GS, as specified in</w:t>
      </w:r>
      <w:r w:rsidR="00131D56" w:rsidRPr="00873B6C">
        <w:t xml:space="preserve"> clause 4.22.6.3</w:t>
      </w:r>
      <w:r w:rsidRPr="00873B6C">
        <w:t xml:space="preserve"> </w:t>
      </w:r>
      <w:r w:rsidR="00131D56" w:rsidRPr="00873B6C">
        <w:t xml:space="preserve">of </w:t>
      </w:r>
      <w:r w:rsidR="00972E70" w:rsidRPr="00873B6C">
        <w:t>TS 23.502 [</w:t>
      </w:r>
      <w:r w:rsidRPr="00873B6C">
        <w:t>3].</w:t>
      </w:r>
    </w:p>
    <w:p w14:paraId="5F30B537" w14:textId="77777777" w:rsidR="00D40151" w:rsidRPr="00873B6C" w:rsidRDefault="00D40151" w:rsidP="00D40151">
      <w:r w:rsidRPr="00873B6C">
        <w:t>The AMF indicates as part of the Registration procedure whether ATSSS is supported or not. When ATSSS is not supported, the UE shall not</w:t>
      </w:r>
    </w:p>
    <w:p w14:paraId="6AA4F42B" w14:textId="12983F29" w:rsidR="00D40151" w:rsidRPr="00873B6C" w:rsidRDefault="00D40151" w:rsidP="00D40151">
      <w:pPr>
        <w:pStyle w:val="B1"/>
      </w:pPr>
      <w:r w:rsidRPr="00873B6C">
        <w:t>-</w:t>
      </w:r>
      <w:r w:rsidRPr="00873B6C">
        <w:tab/>
        <w:t xml:space="preserve">request establishment of a MA PDU Session (as described in clause 4.22.2 of </w:t>
      </w:r>
      <w:r w:rsidR="00972E70" w:rsidRPr="00873B6C">
        <w:t>TS 23.502 [</w:t>
      </w:r>
      <w:r w:rsidRPr="00873B6C">
        <w:t>3]); or</w:t>
      </w:r>
    </w:p>
    <w:p w14:paraId="5537F2C2" w14:textId="4236B84F" w:rsidR="00D40151" w:rsidRPr="00873B6C" w:rsidRDefault="00D40151" w:rsidP="00D40151">
      <w:pPr>
        <w:pStyle w:val="B1"/>
      </w:pPr>
      <w:r w:rsidRPr="00873B6C">
        <w:t>-</w:t>
      </w:r>
      <w:r w:rsidRPr="00873B6C">
        <w:tab/>
        <w:t xml:space="preserve">request addition of User Plane resources for an existing MA PDU Session (as described in clause 4.22.7 of </w:t>
      </w:r>
      <w:r w:rsidR="00972E70" w:rsidRPr="00873B6C">
        <w:t>TS 23.502 [</w:t>
      </w:r>
      <w:r w:rsidRPr="00873B6C">
        <w:t>3]); or</w:t>
      </w:r>
    </w:p>
    <w:p w14:paraId="5E68CDD9" w14:textId="60FE65C6" w:rsidR="00D40151" w:rsidRPr="00873B6C" w:rsidRDefault="00D40151" w:rsidP="00D40151">
      <w:pPr>
        <w:pStyle w:val="B1"/>
      </w:pPr>
      <w:r w:rsidRPr="00873B6C">
        <w:t>-</w:t>
      </w:r>
      <w:r w:rsidRPr="00873B6C">
        <w:tab/>
        <w:t xml:space="preserve">request establishment of a PDU Session with "MA PDU Network-Upgrade Allowed" indication (as described in clause 4.22.3 of </w:t>
      </w:r>
      <w:r w:rsidR="00972E70" w:rsidRPr="00873B6C">
        <w:t>TS 23.502 [</w:t>
      </w:r>
      <w:r w:rsidRPr="00873B6C">
        <w:t>3]); or</w:t>
      </w:r>
    </w:p>
    <w:p w14:paraId="75ADE1B5" w14:textId="02FB0EF9" w:rsidR="00D40151" w:rsidRPr="00873B6C" w:rsidRDefault="00D40151" w:rsidP="00D40151">
      <w:pPr>
        <w:pStyle w:val="B1"/>
      </w:pPr>
      <w:r w:rsidRPr="00873B6C">
        <w:t>-</w:t>
      </w:r>
      <w:r w:rsidRPr="00873B6C">
        <w:tab/>
        <w:t xml:space="preserve">request PDU Session Modification with Request Type of "MA PDU request" or with "MA PDU Network-Upgrade Allowed" indication after moving from EPC to 5GC (as described in clause 4.22.6.3 of </w:t>
      </w:r>
      <w:r w:rsidR="00972E70" w:rsidRPr="00873B6C">
        <w:t>TS 23.502 [</w:t>
      </w:r>
      <w:r w:rsidRPr="00873B6C">
        <w:t>3]).</w:t>
      </w:r>
    </w:p>
    <w:p w14:paraId="45814273" w14:textId="6DBCB355" w:rsidR="00BC24B5" w:rsidRPr="00873B6C" w:rsidRDefault="00BC24B5" w:rsidP="00D40151">
      <w:r w:rsidRPr="00873B6C">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w:t>
      </w:r>
      <w:r w:rsidR="00424087" w:rsidRPr="00873B6C">
        <w:t xml:space="preserve"> The SMF indicates as part of the PDU Session Establishment procedure whether it supports non-3GPP access path switching. If the</w:t>
      </w:r>
      <w:r w:rsidR="004119E4" w:rsidRPr="00873B6C">
        <w:t xml:space="preserve"> UE has</w:t>
      </w:r>
      <w:r w:rsidR="00456BDF" w:rsidRPr="00873B6C">
        <w:t xml:space="preserve"> one or</w:t>
      </w:r>
      <w:r w:rsidR="004119E4" w:rsidRPr="00873B6C">
        <w:t xml:space="preserve"> more PDU session</w:t>
      </w:r>
      <w:r w:rsidR="00456BDF" w:rsidRPr="00873B6C">
        <w:t>s</w:t>
      </w:r>
      <w:r w:rsidR="004119E4" w:rsidRPr="00873B6C">
        <w:t xml:space="preserve"> and at least one serving SMF for the PDU Sessions</w:t>
      </w:r>
      <w:r w:rsidR="00424087" w:rsidRPr="00873B6C">
        <w:t xml:space="preserve"> support</w:t>
      </w:r>
      <w:r w:rsidR="004119E4" w:rsidRPr="00873B6C">
        <w:t>s</w:t>
      </w:r>
      <w:r w:rsidR="00424087" w:rsidRPr="00873B6C">
        <w:t xml:space="preserve"> non-3GPP access path switching, the UE</w:t>
      </w:r>
      <w:r w:rsidR="004119E4" w:rsidRPr="00873B6C">
        <w:t xml:space="preserve"> may</w:t>
      </w:r>
      <w:r w:rsidR="00424087" w:rsidRPr="00873B6C">
        <w:t xml:space="preserve"> include ("Non-3GPP path switching while using old AN resources") indication when the UE performs the Mobility Registration Update procedure for non-3GPP access path switching.</w:t>
      </w:r>
      <w:r w:rsidR="00141A61" w:rsidRPr="00873B6C">
        <w:t xml:space="preserve"> If the UE is registered to different PLMNs over 3GPP and non-3GPP accesses, the UE shall use the capability received over non-3GPP access to determine whether to perform the Mobility Registration Update procedure for non-3GPP path switching and whether to include ("Non-3GPP access path switching while using old AN resources") indication.</w:t>
      </w:r>
    </w:p>
    <w:p w14:paraId="42BE22EE" w14:textId="1DB9A2E3" w:rsidR="004119E4" w:rsidRPr="00873B6C" w:rsidRDefault="004119E4" w:rsidP="004119E4">
      <w:pPr>
        <w:pStyle w:val="NO"/>
      </w:pPr>
      <w:r w:rsidRPr="00873B6C">
        <w:t>NOTE 8:</w:t>
      </w:r>
      <w:r w:rsidRPr="00873B6C">
        <w:tab/>
        <w:t>If the AMF receives ("Non-3GPP path switching while using old AN resources") indication from Mobility Registration Update procedure</w:t>
      </w:r>
      <w:r w:rsidR="00472CD7" w:rsidRPr="00873B6C">
        <w:t xml:space="preserve"> and</w:t>
      </w:r>
      <w:r w:rsidRPr="00873B6C">
        <w:t xml:space="preserve"> the serving SMF(s) for PDU Session(s) is not supporting non-3GPP access path switching, the non-3GPP access path switching can still be performed with the AMF triggering for each PDU Session the release of the old user plane resources before new user plane resources are established.</w:t>
      </w:r>
    </w:p>
    <w:p w14:paraId="2AB8E1D4" w14:textId="26A3BE1C" w:rsidR="00D40151" w:rsidRPr="00873B6C" w:rsidRDefault="00D40151" w:rsidP="00D40151">
      <w:r w:rsidRPr="00873B6C">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972E70" w:rsidRPr="00873B6C">
        <w:t>TS 23.503 [</w:t>
      </w:r>
      <w:r w:rsidRPr="00873B6C">
        <w:t>45]).</w:t>
      </w:r>
    </w:p>
    <w:p w14:paraId="11BC4C46" w14:textId="77777777" w:rsidR="00D40151" w:rsidRPr="00873B6C" w:rsidRDefault="00D40151" w:rsidP="00D40151">
      <w:pPr>
        <w:pStyle w:val="Heading3"/>
      </w:pPr>
      <w:bookmarkStart w:id="4642" w:name="_CR5_32_3"/>
      <w:bookmarkStart w:id="4643" w:name="_Toc20150134"/>
      <w:bookmarkStart w:id="4644" w:name="_Toc27846936"/>
      <w:bookmarkStart w:id="4645" w:name="_Toc36188067"/>
      <w:bookmarkStart w:id="4646" w:name="_Toc45183972"/>
      <w:bookmarkStart w:id="4647" w:name="_Toc47342814"/>
      <w:bookmarkStart w:id="4648" w:name="_Toc51769516"/>
      <w:bookmarkStart w:id="4649" w:name="_Toc201157582"/>
      <w:bookmarkEnd w:id="4642"/>
      <w:r w:rsidRPr="00873B6C">
        <w:t>5.32.3</w:t>
      </w:r>
      <w:r w:rsidRPr="00873B6C">
        <w:tab/>
        <w:t>Policy for ATSSS Control</w:t>
      </w:r>
      <w:bookmarkEnd w:id="4643"/>
      <w:bookmarkEnd w:id="4644"/>
      <w:bookmarkEnd w:id="4645"/>
      <w:bookmarkEnd w:id="4646"/>
      <w:bookmarkEnd w:id="4647"/>
      <w:bookmarkEnd w:id="4648"/>
      <w:bookmarkEnd w:id="4649"/>
    </w:p>
    <w:p w14:paraId="7FC6CD20" w14:textId="0561E673" w:rsidR="00D40151" w:rsidRPr="00873B6C" w:rsidRDefault="00D40151" w:rsidP="00D40151">
      <w:r w:rsidRPr="00873B6C">
        <w:t xml:space="preserve">If dynamic PCC is to be used for the MA PDU Session, the PCF may take ATSSS policy decisions and create PCC rules that contain MA PDU Session Control information, (as specified in </w:t>
      </w:r>
      <w:r w:rsidR="00972E70" w:rsidRPr="00873B6C">
        <w:t>TS 23.503 [</w:t>
      </w:r>
      <w:r w:rsidRPr="00873B6C">
        <w:t>45]), which determines how the uplink and the downlink traffic of the MA PDU Session should be distributed across the 3GPP and non-3GPP accesses. If dynamic PCC is not deployed, local policy in SMF is used.</w:t>
      </w:r>
    </w:p>
    <w:p w14:paraId="08B85192" w14:textId="2BF578FE" w:rsidR="00D40151" w:rsidRPr="00873B6C" w:rsidRDefault="00D40151" w:rsidP="00D40151">
      <w:r w:rsidRPr="00873B6C">
        <w:t>The SMF receives the PCC rules with MA PDU Session Control information and maps these rules into (a) ATSSS rules, which are sent to the UE</w:t>
      </w:r>
      <w:r w:rsidR="00472CD7" w:rsidRPr="00873B6C">
        <w:t xml:space="preserve"> and</w:t>
      </w:r>
      <w:r w:rsidRPr="00873B6C">
        <w:t xml:space="preserve">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873B6C" w:rsidRDefault="00D40151" w:rsidP="00D40151">
      <w:r w:rsidRPr="00873B6C">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1DDEE03F" w:rsidR="00D40151" w:rsidRPr="00873B6C" w:rsidRDefault="00D40151" w:rsidP="00D40151">
      <w:r w:rsidRPr="00873B6C">
        <w:t xml:space="preserve">The details of the policy control related to ATSSS are specified in </w:t>
      </w:r>
      <w:r w:rsidR="00972E70" w:rsidRPr="00873B6C">
        <w:t>TS 23.503 [</w:t>
      </w:r>
      <w:r w:rsidRPr="00873B6C">
        <w:t>45].</w:t>
      </w:r>
    </w:p>
    <w:p w14:paraId="413BE01A" w14:textId="77777777" w:rsidR="00D40151" w:rsidRPr="00873B6C" w:rsidRDefault="00D40151" w:rsidP="00D40151">
      <w:pPr>
        <w:pStyle w:val="Heading3"/>
      </w:pPr>
      <w:bookmarkStart w:id="4650" w:name="_CR5_32_4"/>
      <w:bookmarkStart w:id="4651" w:name="_Toc20150135"/>
      <w:bookmarkStart w:id="4652" w:name="_Toc27846937"/>
      <w:bookmarkStart w:id="4653" w:name="_Toc36188068"/>
      <w:bookmarkStart w:id="4654" w:name="_Toc45183973"/>
      <w:bookmarkStart w:id="4655" w:name="_Toc47342815"/>
      <w:bookmarkStart w:id="4656" w:name="_Toc51769517"/>
      <w:bookmarkStart w:id="4657" w:name="_Toc201157583"/>
      <w:bookmarkEnd w:id="4650"/>
      <w:r w:rsidRPr="00873B6C">
        <w:lastRenderedPageBreak/>
        <w:t>5.32.4</w:t>
      </w:r>
      <w:r w:rsidRPr="00873B6C">
        <w:tab/>
        <w:t>QoS Support</w:t>
      </w:r>
      <w:bookmarkEnd w:id="4651"/>
      <w:bookmarkEnd w:id="4652"/>
      <w:bookmarkEnd w:id="4653"/>
      <w:bookmarkEnd w:id="4654"/>
      <w:bookmarkEnd w:id="4655"/>
      <w:bookmarkEnd w:id="4656"/>
      <w:bookmarkEnd w:id="4657"/>
    </w:p>
    <w:p w14:paraId="311120C9" w14:textId="77777777" w:rsidR="00D40151" w:rsidRPr="00873B6C" w:rsidRDefault="00D40151" w:rsidP="00D40151">
      <w:r w:rsidRPr="00873B6C">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873B6C" w:rsidRDefault="00D40151" w:rsidP="00D40151">
      <w:r w:rsidRPr="00873B6C">
        <w:t>A QoS Flow of the MA PDU Session may be either Non-GBR or GBR depending on its QoS profile.</w:t>
      </w:r>
    </w:p>
    <w:p w14:paraId="62564800" w14:textId="7B6D57C7" w:rsidR="00D40151" w:rsidRPr="00873B6C" w:rsidRDefault="00D40151" w:rsidP="00D40151">
      <w:r w:rsidRPr="00873B6C">
        <w:t>For a Non-GBR QoS Flow, the SMF provides a QoS profile</w:t>
      </w:r>
      <w:r w:rsidR="009F0D6B" w:rsidRPr="00873B6C">
        <w:t xml:space="preserve"> to both</w:t>
      </w:r>
      <w:r w:rsidRPr="00873B6C">
        <w:t xml:space="preserve"> 5G-AN</w:t>
      </w:r>
      <w:r w:rsidR="009F0D6B" w:rsidRPr="00873B6C">
        <w:t xml:space="preserve">s </w:t>
      </w:r>
      <w:r w:rsidRPr="00873B6C">
        <w:t>during MA PDU Session Establishment or MA PDU Session Modification procedure:</w:t>
      </w:r>
    </w:p>
    <w:p w14:paraId="23152429" w14:textId="77777777" w:rsidR="00D40151" w:rsidRPr="00873B6C" w:rsidRDefault="00D40151" w:rsidP="00D40151">
      <w:pPr>
        <w:pStyle w:val="B1"/>
      </w:pPr>
      <w:r w:rsidRPr="00873B6C">
        <w:t>-</w:t>
      </w:r>
      <w:r w:rsidRPr="00873B6C">
        <w:tab/>
        <w:t>During MA PDU Session Establishment procedure, the QoS profile to both ANs if the UE is registered over both accesses.</w:t>
      </w:r>
    </w:p>
    <w:p w14:paraId="7D18EB8B" w14:textId="77777777" w:rsidR="00D40151" w:rsidRPr="00873B6C" w:rsidRDefault="00D40151" w:rsidP="00D40151">
      <w:pPr>
        <w:pStyle w:val="B1"/>
      </w:pPr>
      <w:r w:rsidRPr="00873B6C">
        <w:t>-</w:t>
      </w:r>
      <w:r w:rsidRPr="00873B6C">
        <w:tab/>
        <w:t>During MA PDU Session Modification procedure, the QoS profile is provided to the 5G-AN(s) over which the user plane resources are activated.</w:t>
      </w:r>
    </w:p>
    <w:p w14:paraId="40112B9B" w14:textId="5F9556D1" w:rsidR="00D40151" w:rsidRPr="00873B6C" w:rsidRDefault="00D40151" w:rsidP="00D40151">
      <w:r w:rsidRPr="00873B6C">
        <w:t>For a GBR QoS Flow, the SMF shall provide a QoS profile to</w:t>
      </w:r>
      <w:r w:rsidR="009F0D6B" w:rsidRPr="00873B6C">
        <w:t xml:space="preserve"> 5G-AN(s)</w:t>
      </w:r>
      <w:r w:rsidRPr="00873B6C">
        <w:t xml:space="preserve"> as follows:</w:t>
      </w:r>
    </w:p>
    <w:p w14:paraId="6DC2B9BD" w14:textId="77777777" w:rsidR="00D40151" w:rsidRPr="00873B6C" w:rsidRDefault="00D40151" w:rsidP="00D40151">
      <w:pPr>
        <w:pStyle w:val="B1"/>
      </w:pPr>
      <w:r w:rsidRPr="00873B6C">
        <w:t>-</w:t>
      </w:r>
      <w:r w:rsidRPr="00873B6C">
        <w:tab/>
        <w:t>If the PCC rule allows a GBR QoS Flow in a single access, the SMF provides the QoS profile for the GBR QoS Flow to the access network allowed by the PCC rule.</w:t>
      </w:r>
    </w:p>
    <w:p w14:paraId="625C7F18" w14:textId="64FEB804" w:rsidR="00D40151" w:rsidRPr="00873B6C" w:rsidRDefault="00D40151" w:rsidP="00D40151">
      <w:pPr>
        <w:pStyle w:val="B1"/>
      </w:pPr>
      <w:r w:rsidRPr="00873B6C">
        <w:t>-</w:t>
      </w:r>
      <w:r w:rsidRPr="00873B6C">
        <w:tab/>
        <w:t>If the PCC rule allows a GBR QoS Flow in both accesses</w:t>
      </w:r>
      <w:r w:rsidR="009F0D6B" w:rsidRPr="00873B6C">
        <w:t xml:space="preserve"> and the Steering Mode is different from Redundant</w:t>
      </w:r>
      <w:r w:rsidRPr="00873B6C">
        <w:t>, the SMF decides to which access network to provide the QoS profile for the GBR QoS Flow based on its local policy (e.g. the access where the traffic is ongoing according to the Multi Access Routing rule).</w:t>
      </w:r>
    </w:p>
    <w:p w14:paraId="144BE2CB" w14:textId="77777777" w:rsidR="009F0D6B" w:rsidRPr="00873B6C" w:rsidRDefault="009F0D6B" w:rsidP="00FA7D5B">
      <w:pPr>
        <w:pStyle w:val="B1"/>
      </w:pPr>
      <w:r w:rsidRPr="00873B6C">
        <w:t>-</w:t>
      </w:r>
      <w:r w:rsidRPr="00873B6C">
        <w:tab/>
        <w:t>If the PCC rule allows a GBR QoS Flow in both accesses and the Steering Mode is Redundant, the SMF provides the QoS profile for the GBR QoS Flow to both access networks. Whenever the SMF recognizes that resources are not allocated in one access network, the SMF shall notify the PCF about the resource allocation failure and indicate the respective Access Type. Whenever the SMF recognizes that resources are not allocated in both access networks, the SMF shall release the resources for the GBR QoS Flow and report to the PCF about the removal of the PCC rule.</w:t>
      </w:r>
    </w:p>
    <w:p w14:paraId="3427B738" w14:textId="7A84DAB7" w:rsidR="009F0D6B" w:rsidRPr="00873B6C" w:rsidRDefault="009F0D6B" w:rsidP="00FA7D5B">
      <w:pPr>
        <w:pStyle w:val="NO"/>
      </w:pPr>
      <w:r w:rsidRPr="00873B6C">
        <w:t>NOTE 1:</w:t>
      </w:r>
      <w:r w:rsidRPr="00873B6C">
        <w:tab/>
        <w:t>The SMF knows about the allocation of resources in an access network from the interaction with the access network during GBR QoS Flow establishment/modification as well as during the release of resources by the access network.</w:t>
      </w:r>
    </w:p>
    <w:p w14:paraId="3614DCC7" w14:textId="12981A38" w:rsidR="009F0D6B" w:rsidRPr="00873B6C" w:rsidRDefault="00D40151" w:rsidP="00D40151">
      <w:r w:rsidRPr="00873B6C">
        <w:t>For a GBR QoS Flow, traffic splitting is not supported. If the UPF determines that it cannot send GBR traffic over the current ongoing access e.g. based on the N4 rules and access availability and unavailability report from the UE as described in clause 5.32.5.3, the UPF shall send an Access Availability report to the SMF.</w:t>
      </w:r>
    </w:p>
    <w:p w14:paraId="1184AA3E" w14:textId="18BFF86B" w:rsidR="00D40151" w:rsidRPr="00873B6C" w:rsidRDefault="00D40151" w:rsidP="00D40151">
      <w:r w:rsidRPr="00873B6C">
        <w:t>Based on the</w:t>
      </w:r>
      <w:r w:rsidR="009F0D6B" w:rsidRPr="00873B6C">
        <w:t xml:space="preserve"> Access Availability</w:t>
      </w:r>
      <w:r w:rsidRPr="00873B6C">
        <w:t xml:space="preserve"> report</w:t>
      </w:r>
      <w:r w:rsidR="009F0D6B" w:rsidRPr="00873B6C">
        <w:t xml:space="preserve"> and if the Steering Mode is different from Redundant</w:t>
      </w:r>
      <w:r w:rsidRPr="00873B6C">
        <w:t>, the SMF decides whether to move GBR QoS Flows to the other access</w:t>
      </w:r>
      <w:r w:rsidR="009F0D6B" w:rsidRPr="00873B6C">
        <w:t xml:space="preserve"> when one access is not available</w:t>
      </w:r>
      <w:r w:rsidRPr="00873B6C">
        <w:t>:</w:t>
      </w:r>
    </w:p>
    <w:p w14:paraId="2983BCEE" w14:textId="77777777" w:rsidR="00D40151" w:rsidRPr="00873B6C" w:rsidRDefault="00D40151" w:rsidP="00D40151">
      <w:pPr>
        <w:pStyle w:val="B1"/>
      </w:pPr>
      <w:r w:rsidRPr="00873B6C">
        <w:t>-</w:t>
      </w:r>
      <w:r w:rsidRPr="00873B6C">
        <w:tab/>
        <w:t>if the PCC rule allows the GBR QoS Flows only on this access, the SMF shall release the resources for the GBR QoS Flow and report to the PCF about the removal of the PCC rule.</w:t>
      </w:r>
    </w:p>
    <w:p w14:paraId="3DF3B6FA" w14:textId="77777777" w:rsidR="00D40151" w:rsidRPr="00873B6C" w:rsidRDefault="00D40151" w:rsidP="00D40151">
      <w:pPr>
        <w:pStyle w:val="B1"/>
      </w:pPr>
      <w:r w:rsidRPr="00873B6C">
        <w:t>-</w:t>
      </w:r>
      <w:r w:rsidRPr="00873B6C">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873B6C" w:rsidRDefault="00D40151" w:rsidP="00D40151">
      <w:pPr>
        <w:pStyle w:val="B1"/>
      </w:pPr>
      <w:r w:rsidRPr="00873B6C">
        <w:t>-</w:t>
      </w:r>
      <w:r w:rsidRPr="00873B6C">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032859F" w:rsidR="00D40151" w:rsidRPr="00873B6C" w:rsidRDefault="00D40151" w:rsidP="00D40151">
      <w:pPr>
        <w:pStyle w:val="B2"/>
      </w:pPr>
      <w:r w:rsidRPr="00873B6C">
        <w:t>-</w:t>
      </w:r>
      <w:r w:rsidRPr="00873B6C">
        <w:tab/>
      </w:r>
      <w:r w:rsidR="009F0D6B" w:rsidRPr="00873B6C">
        <w:t>i</w:t>
      </w:r>
      <w:r w:rsidRPr="00873B6C">
        <w:t>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873B6C" w:rsidRDefault="00D40151" w:rsidP="00D40151">
      <w:pPr>
        <w:pStyle w:val="B2"/>
      </w:pPr>
      <w:r w:rsidRPr="00873B6C">
        <w:t>-</w:t>
      </w:r>
      <w:r w:rsidRPr="00873B6C">
        <w:tab/>
        <w:t xml:space="preserve">if the Notification Control parameter is included in the PCC rule, the SMF shall notify the PCF that GFBR can no longer be guaranteed. After the other access accepts the QoS profile, the SMF shall notify the PCF </w:t>
      </w:r>
      <w:r w:rsidRPr="00873B6C">
        <w:lastRenderedPageBreak/>
        <w:t>that GFBR can again be guaranteed. If the other access does not accept the QoS profile, the SMF shall delete the GBR QoS Flow and report to the PCF about the removal of the PCC rule.</w:t>
      </w:r>
    </w:p>
    <w:p w14:paraId="74F3FDD6" w14:textId="5D3D1634" w:rsidR="00D40151" w:rsidRPr="00873B6C" w:rsidRDefault="00D40151" w:rsidP="00D40151">
      <w:pPr>
        <w:pStyle w:val="NO"/>
      </w:pPr>
      <w:r w:rsidRPr="00873B6C">
        <w:t>NOTE </w:t>
      </w:r>
      <w:r w:rsidR="009F0D6B" w:rsidRPr="00873B6C">
        <w:t>2</w:t>
      </w:r>
      <w:r w:rsidRPr="00873B6C">
        <w:t>:</w:t>
      </w:r>
      <w:r w:rsidRPr="00873B6C">
        <w:tab/>
        <w:t>The ATSSS rule for GBR QoS Flow only allows the UE to steer traffic over a single access so that</w:t>
      </w:r>
      <w:r w:rsidR="009F0D6B" w:rsidRPr="00873B6C">
        <w:t xml:space="preserve"> the</w:t>
      </w:r>
      <w:r w:rsidRPr="00873B6C">
        <w:t xml:space="preserve"> network knows in which access the UE sends GBR traffic. If the network wants to move GBR QoS Flow to the other access, the network needs to update ATSSS rule of the UE.</w:t>
      </w:r>
    </w:p>
    <w:p w14:paraId="3408BF5C" w14:textId="77777777" w:rsidR="009F0D6B" w:rsidRPr="00873B6C" w:rsidRDefault="009F0D6B" w:rsidP="00D40151">
      <w:r w:rsidRPr="00873B6C">
        <w:t>Based on the Access Availability report and if the Steering Mode is Redundant, the SMF behaves as follows:</w:t>
      </w:r>
    </w:p>
    <w:p w14:paraId="2CC70B96" w14:textId="77777777" w:rsidR="009F0D6B" w:rsidRPr="00873B6C" w:rsidRDefault="009F0D6B" w:rsidP="00FA7D5B">
      <w:pPr>
        <w:pStyle w:val="B1"/>
      </w:pPr>
      <w:r w:rsidRPr="00873B6C">
        <w:t>-</w:t>
      </w:r>
      <w:r w:rsidRPr="00873B6C">
        <w:tab/>
        <w:t>if both accesses are not available, the SMF shall release the resources for the GBR QoS Flow and report to the PCF about the removal of the PCC rule.</w:t>
      </w:r>
    </w:p>
    <w:p w14:paraId="0629B16B" w14:textId="4100A7DF" w:rsidR="009F0D6B" w:rsidRPr="00873B6C" w:rsidRDefault="009F0D6B" w:rsidP="00FA7D5B">
      <w:pPr>
        <w:pStyle w:val="NO"/>
      </w:pPr>
      <w:r w:rsidRPr="00873B6C">
        <w:t>NOTE 3:</w:t>
      </w:r>
      <w:r w:rsidRPr="00873B6C">
        <w:tab/>
        <w:t>The UPF can detect that both accesses are not available based on implementation specific means.</w:t>
      </w:r>
    </w:p>
    <w:p w14:paraId="773B49AE" w14:textId="77777777" w:rsidR="009F0D6B" w:rsidRPr="00873B6C" w:rsidRDefault="009F0D6B" w:rsidP="00FA7D5B">
      <w:pPr>
        <w:pStyle w:val="B1"/>
      </w:pPr>
      <w:r w:rsidRPr="00873B6C">
        <w:t>-</w:t>
      </w:r>
      <w:r w:rsidRPr="00873B6C">
        <w:tab/>
        <w:t>when one of the accesses becomes unavailable while the other access is still available, the SMF shall neither release the resources for the GBR QoS Flow nor notify the PCF that GFBR can no longer be guaranteed (if the Notification Control parameter is included in the PCC rule).</w:t>
      </w:r>
    </w:p>
    <w:p w14:paraId="229461BC" w14:textId="667E963B" w:rsidR="009F0D6B" w:rsidRPr="00873B6C" w:rsidRDefault="009F0D6B" w:rsidP="00FA7D5B">
      <w:pPr>
        <w:pStyle w:val="NO"/>
      </w:pPr>
      <w:r w:rsidRPr="00873B6C">
        <w:t>NOTE 4:</w:t>
      </w:r>
      <w:r w:rsidRPr="00873B6C">
        <w:tab/>
        <w:t>The access network will typically release the resources for a GBR QoS Flow if there is no traffic transferred for a certain amount of time and this will then trigger the SMF notification to PCF described above.</w:t>
      </w:r>
    </w:p>
    <w:p w14:paraId="4F5E01FD" w14:textId="1B86EF3B" w:rsidR="00D40151" w:rsidRPr="00873B6C" w:rsidRDefault="00D40151" w:rsidP="00D40151">
      <w:r w:rsidRPr="00873B6C">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59B983D" w:rsidR="00D40151" w:rsidRPr="00873B6C" w:rsidRDefault="00D40151" w:rsidP="00D40151">
      <w:r w:rsidRPr="00873B6C">
        <w:t>The derived QoS rule generated by Reflective QoS is applied independently of the access on which the RQI was received. When the MPTCP functionality</w:t>
      </w:r>
      <w:r w:rsidR="007C2ADF" w:rsidRPr="00873B6C">
        <w:t xml:space="preserve"> and/or the MPQUIC functionality</w:t>
      </w:r>
      <w:r w:rsidRPr="00873B6C">
        <w:t xml:space="preserve"> is used in the UE, the UE shall use the IP address/prefix of the MA PDU Session and the final destination address to generate the derived QoS rule.</w:t>
      </w:r>
    </w:p>
    <w:p w14:paraId="7B4F0079" w14:textId="4E8541E7" w:rsidR="00D40151" w:rsidRPr="00873B6C" w:rsidRDefault="00D40151" w:rsidP="00D40151">
      <w:r w:rsidRPr="00873B6C">
        <w:t>When</w:t>
      </w:r>
      <w:r w:rsidR="007C2ADF" w:rsidRPr="00873B6C">
        <w:t xml:space="preserve"> the</w:t>
      </w:r>
      <w:r w:rsidRPr="00873B6C">
        <w:t xml:space="preserve"> MPTCP functionality</w:t>
      </w:r>
      <w:r w:rsidR="007C2ADF" w:rsidRPr="00873B6C">
        <w:t xml:space="preserve"> and/or MPQUIC functionality</w:t>
      </w:r>
      <w:r w:rsidRPr="00873B6C">
        <w:t xml:space="preserve"> is enabled for the MA PDU Session:</w:t>
      </w:r>
    </w:p>
    <w:p w14:paraId="20D20F48" w14:textId="4CA0123F" w:rsidR="00D40151" w:rsidRPr="00873B6C" w:rsidRDefault="00D40151" w:rsidP="00D40151">
      <w:pPr>
        <w:pStyle w:val="B1"/>
      </w:pPr>
      <w:r w:rsidRPr="00873B6C">
        <w:t>-</w:t>
      </w:r>
      <w:r w:rsidRPr="00873B6C">
        <w:tab/>
        <w:t>any QoS rules or PDRs that apply to the MA PDU Session IP address/prefix and port also apply</w:t>
      </w:r>
      <w:r w:rsidR="007C2ADF" w:rsidRPr="00873B6C">
        <w:t xml:space="preserve"> (a)</w:t>
      </w:r>
      <w:r w:rsidRPr="00873B6C">
        <w:t xml:space="preserve"> to the</w:t>
      </w:r>
      <w:r w:rsidR="007C2ADF" w:rsidRPr="00873B6C">
        <w:t xml:space="preserve"> MPTCP</w:t>
      </w:r>
      <w:r w:rsidRPr="00873B6C">
        <w:t xml:space="preserve"> "link-specific multipath" addresses/prefixes and ports used by the UE to establish MPTCP subflows over 3GPP and non-3GPP accesses</w:t>
      </w:r>
      <w:r w:rsidR="007C2ADF" w:rsidRPr="00873B6C">
        <w:t xml:space="preserve"> </w:t>
      </w:r>
      <w:r w:rsidR="00472CD7" w:rsidRPr="00873B6C">
        <w:t xml:space="preserve"> and</w:t>
      </w:r>
      <w:r w:rsidR="007C2ADF" w:rsidRPr="00873B6C">
        <w:t xml:space="preserve"> (b) to the "MPQUIC link-specific multipath" addresses and ports used by the UE to transmit UDP flows over 3GPP and non-3GPP accesses</w:t>
      </w:r>
      <w:r w:rsidRPr="00873B6C">
        <w:t>; and</w:t>
      </w:r>
    </w:p>
    <w:p w14:paraId="35A0F13B" w14:textId="40550859" w:rsidR="00D40151" w:rsidRPr="00873B6C" w:rsidRDefault="00D40151" w:rsidP="00D40151">
      <w:pPr>
        <w:pStyle w:val="B1"/>
      </w:pPr>
      <w:r w:rsidRPr="00873B6C">
        <w:t>-</w:t>
      </w:r>
      <w:r w:rsidRPr="00873B6C">
        <w:tab/>
        <w:t>any QoS rules or PDRs that apply to the IP address/prefix and port of the final destination server in DN also apply</w:t>
      </w:r>
      <w:r w:rsidR="007C2ADF" w:rsidRPr="00873B6C">
        <w:t xml:space="preserve"> (a)</w:t>
      </w:r>
      <w:r w:rsidRPr="00873B6C">
        <w:t xml:space="preserve"> to the IP address and port of the MPTCP proxy for corresponding MPTCP subflows that are terminated at the proxy</w:t>
      </w:r>
      <w:r w:rsidR="007C2ADF" w:rsidRPr="00873B6C">
        <w:t xml:space="preserve"> and (b) to the IP address and port of the MPQUIC proxy for corresponding UDP flows that are terminated at the proxy</w:t>
      </w:r>
      <w:r w:rsidRPr="00873B6C">
        <w:t>.</w:t>
      </w:r>
    </w:p>
    <w:p w14:paraId="7A53477C" w14:textId="0B89A308" w:rsidR="00D40151" w:rsidRPr="00873B6C" w:rsidRDefault="00D40151" w:rsidP="00D40151">
      <w:pPr>
        <w:pStyle w:val="NO"/>
      </w:pPr>
      <w:r w:rsidRPr="00873B6C">
        <w:t>NOTE </w:t>
      </w:r>
      <w:r w:rsidR="009F0D6B" w:rsidRPr="00873B6C">
        <w:t>5</w:t>
      </w:r>
      <w:r w:rsidRPr="00873B6C">
        <w:t>:</w:t>
      </w:r>
      <w:r w:rsidRPr="00873B6C">
        <w:tab/>
        <w:t>How these associations are made is left up to the UE and UPF implementations.</w:t>
      </w:r>
    </w:p>
    <w:p w14:paraId="67EA6531" w14:textId="77777777" w:rsidR="00D40151" w:rsidRPr="00873B6C" w:rsidRDefault="00D40151" w:rsidP="00D40151">
      <w:pPr>
        <w:pStyle w:val="Heading3"/>
      </w:pPr>
      <w:bookmarkStart w:id="4658" w:name="_CR5_32_5"/>
      <w:bookmarkStart w:id="4659" w:name="_Toc20150136"/>
      <w:bookmarkStart w:id="4660" w:name="_Toc27846938"/>
      <w:bookmarkStart w:id="4661" w:name="_Toc36188069"/>
      <w:bookmarkStart w:id="4662" w:name="_Toc45183974"/>
      <w:bookmarkStart w:id="4663" w:name="_Toc47342816"/>
      <w:bookmarkStart w:id="4664" w:name="_Toc51769518"/>
      <w:bookmarkStart w:id="4665" w:name="_Toc201157584"/>
      <w:bookmarkEnd w:id="4658"/>
      <w:r w:rsidRPr="00873B6C">
        <w:t>5.32.5</w:t>
      </w:r>
      <w:r w:rsidRPr="00873B6C">
        <w:tab/>
        <w:t>Access Network Performance Measurements</w:t>
      </w:r>
      <w:bookmarkEnd w:id="4659"/>
      <w:bookmarkEnd w:id="4660"/>
      <w:bookmarkEnd w:id="4661"/>
      <w:bookmarkEnd w:id="4662"/>
      <w:bookmarkEnd w:id="4663"/>
      <w:bookmarkEnd w:id="4664"/>
      <w:bookmarkEnd w:id="4665"/>
    </w:p>
    <w:p w14:paraId="26390077" w14:textId="77777777" w:rsidR="00D40151" w:rsidRPr="00873B6C" w:rsidRDefault="00D40151" w:rsidP="00D40151">
      <w:pPr>
        <w:pStyle w:val="Heading4"/>
      </w:pPr>
      <w:bookmarkStart w:id="4666" w:name="_CR5_32_5_1"/>
      <w:bookmarkStart w:id="4667" w:name="_Toc20150137"/>
      <w:bookmarkStart w:id="4668" w:name="_Toc27846939"/>
      <w:bookmarkStart w:id="4669" w:name="_Toc36188070"/>
      <w:bookmarkStart w:id="4670" w:name="_Toc45183975"/>
      <w:bookmarkStart w:id="4671" w:name="_Toc47342817"/>
      <w:bookmarkStart w:id="4672" w:name="_Toc51769519"/>
      <w:bookmarkStart w:id="4673" w:name="_Toc201157585"/>
      <w:bookmarkEnd w:id="4666"/>
      <w:r w:rsidRPr="00873B6C">
        <w:t>5.32.5.1</w:t>
      </w:r>
      <w:r w:rsidRPr="00873B6C">
        <w:tab/>
        <w:t>General principles</w:t>
      </w:r>
      <w:bookmarkEnd w:id="4667"/>
      <w:bookmarkEnd w:id="4668"/>
      <w:bookmarkEnd w:id="4669"/>
      <w:bookmarkEnd w:id="4670"/>
      <w:bookmarkEnd w:id="4671"/>
      <w:bookmarkEnd w:id="4672"/>
      <w:bookmarkEnd w:id="4673"/>
    </w:p>
    <w:p w14:paraId="73D38BC7" w14:textId="77777777" w:rsidR="00D40151" w:rsidRPr="00873B6C" w:rsidRDefault="00D40151" w:rsidP="00D40151">
      <w:r w:rsidRPr="00873B6C">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873B6C" w:rsidRDefault="00D40151" w:rsidP="00D40151">
      <w:r w:rsidRPr="00873B6C">
        <w:t>Measurement Assistance Information shall include the addressing information of a Performance Measurement Function (PMF) in the UPF, the UE can send PMF protocol messages to:</w:t>
      </w:r>
    </w:p>
    <w:p w14:paraId="242A7995" w14:textId="6D765C36" w:rsidR="00D40151" w:rsidRPr="00873B6C" w:rsidRDefault="00D40151" w:rsidP="00D40151">
      <w:pPr>
        <w:pStyle w:val="B1"/>
      </w:pPr>
      <w:r w:rsidRPr="00873B6C">
        <w:t>-</w:t>
      </w:r>
      <w:r w:rsidRPr="00873B6C">
        <w:tab/>
        <w:t>For a PDU Session of IP type, Measurement Assistance Information contains one IP address for the PMF, one UDP port associated with 3GPP access and another UDP port associated with non-3GPP access</w:t>
      </w:r>
      <w:r w:rsidR="00B93E3D" w:rsidRPr="00873B6C">
        <w:t>. PMF messages sent by UE to one of these UDP ports, shall be transmitted to UPF via the</w:t>
      </w:r>
      <w:r w:rsidR="00F84AAF" w:rsidRPr="00873B6C">
        <w:t xml:space="preserve"> QoS Flow associated with the default QoS rule</w:t>
      </w:r>
      <w:r w:rsidR="00B93E3D" w:rsidRPr="00873B6C">
        <w:t>.</w:t>
      </w:r>
    </w:p>
    <w:p w14:paraId="0C870753" w14:textId="0ACF2467" w:rsidR="00D40151" w:rsidRPr="00873B6C" w:rsidRDefault="00D40151" w:rsidP="00D40151">
      <w:pPr>
        <w:pStyle w:val="B1"/>
      </w:pPr>
      <w:r w:rsidRPr="00873B6C">
        <w:t>-</w:t>
      </w:r>
      <w:r w:rsidRPr="00873B6C">
        <w:tab/>
        <w:t>For a PDU Session of Ethernet type, Measurement Assistance Information contains one MAC address associated with 3GPP access and another MAC address associated with non-3GPP access.</w:t>
      </w:r>
      <w:r w:rsidR="00B93E3D" w:rsidRPr="00873B6C">
        <w:t xml:space="preserve"> PMF messages sent by UE to one of these MAC addresses, shall be transmitted to UPF via the</w:t>
      </w:r>
      <w:r w:rsidR="00F84AAF" w:rsidRPr="00873B6C">
        <w:t xml:space="preserve"> QoS Flow associated with the default QoS rule</w:t>
      </w:r>
      <w:r w:rsidR="00B93E3D" w:rsidRPr="00873B6C">
        <w:t>.</w:t>
      </w:r>
    </w:p>
    <w:p w14:paraId="3330A57D" w14:textId="77777777" w:rsidR="00D40151" w:rsidRPr="00873B6C" w:rsidRDefault="00D40151" w:rsidP="00D40151">
      <w:pPr>
        <w:pStyle w:val="NO"/>
      </w:pPr>
      <w:r w:rsidRPr="00873B6C">
        <w:lastRenderedPageBreak/>
        <w:t>NOTE 1:</w:t>
      </w:r>
      <w:r w:rsidRPr="00873B6C">
        <w:tab/>
        <w:t>To protect the PMF in the UPF (e.g. to block DDOS to the PMF), the IP addresses of the PMF are only accessible from the UE IP address via the N3/N9 interface.</w:t>
      </w:r>
    </w:p>
    <w:p w14:paraId="6C4977EF" w14:textId="77777777" w:rsidR="00D40151" w:rsidRPr="00873B6C" w:rsidRDefault="00D40151" w:rsidP="00D40151">
      <w:pPr>
        <w:pStyle w:val="NO"/>
      </w:pPr>
      <w:r w:rsidRPr="00873B6C">
        <w:t>NOTE 2:</w:t>
      </w:r>
      <w:r w:rsidRPr="00873B6C">
        <w:tab/>
        <w:t>After the MA PDU Session is released, the same UE IP address/prefix is not allocated to another UE for MA PDU Session in a short time.</w:t>
      </w:r>
    </w:p>
    <w:p w14:paraId="66ADE273" w14:textId="5BC245A4" w:rsidR="00B93E3D" w:rsidRPr="00873B6C" w:rsidRDefault="00B93E3D" w:rsidP="00D40151">
      <w:r w:rsidRPr="00873B6C">
        <w:t xml:space="preserve">If the SMF determines that access performance measurements per QoS </w:t>
      </w:r>
      <w:r w:rsidR="00426DE4" w:rsidRPr="00873B6C">
        <w:t>F</w:t>
      </w:r>
      <w:r w:rsidRPr="00873B6C">
        <w:t xml:space="preserve">low shall be applied for the MA PDU Session, then the Measurement Assistance Information shall also include a list of QoS </w:t>
      </w:r>
      <w:r w:rsidR="00426DE4" w:rsidRPr="00873B6C">
        <w:t>F</w:t>
      </w:r>
      <w:r w:rsidRPr="00873B6C">
        <w:t xml:space="preserve">lows on which access performance measurements may be performed. For each QoS </w:t>
      </w:r>
      <w:r w:rsidR="00426DE4" w:rsidRPr="00873B6C">
        <w:t>F</w:t>
      </w:r>
      <w:r w:rsidRPr="00873B6C">
        <w:t>low in this list, the following information is included:</w:t>
      </w:r>
    </w:p>
    <w:p w14:paraId="0BDDAC0D" w14:textId="46F6926C" w:rsidR="00B93E3D" w:rsidRPr="00873B6C" w:rsidRDefault="00B93E3D" w:rsidP="00562E84">
      <w:pPr>
        <w:pStyle w:val="B1"/>
      </w:pPr>
      <w:r w:rsidRPr="00873B6C">
        <w:t>-</w:t>
      </w:r>
      <w:r w:rsidRPr="00873B6C">
        <w:tab/>
        <w:t xml:space="preserve">The QFI of the associated QoS </w:t>
      </w:r>
      <w:r w:rsidR="00426DE4" w:rsidRPr="00873B6C">
        <w:t>F</w:t>
      </w:r>
      <w:r w:rsidRPr="00873B6C">
        <w:t>low.</w:t>
      </w:r>
    </w:p>
    <w:p w14:paraId="2B00172D" w14:textId="7C5C1E02" w:rsidR="00B93E3D" w:rsidRPr="00873B6C" w:rsidRDefault="00B93E3D" w:rsidP="00562E84">
      <w:pPr>
        <w:pStyle w:val="B1"/>
      </w:pPr>
      <w:r w:rsidRPr="00873B6C">
        <w:t>-</w:t>
      </w:r>
      <w:r w:rsidRPr="00873B6C">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873B6C">
        <w:t>F</w:t>
      </w:r>
      <w:r w:rsidRPr="00873B6C">
        <w:t>low.</w:t>
      </w:r>
    </w:p>
    <w:p w14:paraId="7765D8A6" w14:textId="74F83EB1" w:rsidR="00B93E3D" w:rsidRPr="00873B6C" w:rsidRDefault="00B93E3D" w:rsidP="00562E84">
      <w:pPr>
        <w:pStyle w:val="B1"/>
      </w:pPr>
      <w:r w:rsidRPr="00873B6C">
        <w:t>-</w:t>
      </w:r>
      <w:r w:rsidRPr="00873B6C">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873B6C">
        <w:t>F</w:t>
      </w:r>
      <w:r w:rsidRPr="00873B6C">
        <w:t>low.</w:t>
      </w:r>
    </w:p>
    <w:p w14:paraId="0C963149" w14:textId="310F30A7" w:rsidR="00B93E3D" w:rsidRPr="00873B6C" w:rsidRDefault="00B93E3D" w:rsidP="00D40151">
      <w:r w:rsidRPr="00873B6C">
        <w:t xml:space="preserve">The QoS rules and the N4 rules provided by SMF to UE and to UPF respectively shall include information (e.g. packet filters containing the UDP port or the MAC address associated with a QoS </w:t>
      </w:r>
      <w:r w:rsidR="00426DE4" w:rsidRPr="00873B6C">
        <w:t>F</w:t>
      </w:r>
      <w:r w:rsidRPr="00873B6C">
        <w:t xml:space="preserve">low), which enables the UE and UPF to route a PMF message to a specific QoS </w:t>
      </w:r>
      <w:r w:rsidR="00426DE4" w:rsidRPr="00873B6C">
        <w:t>F</w:t>
      </w:r>
      <w:r w:rsidRPr="00873B6C">
        <w:t>low.</w:t>
      </w:r>
    </w:p>
    <w:p w14:paraId="3BA83495" w14:textId="2F312CF3" w:rsidR="00405088" w:rsidRPr="00873B6C" w:rsidRDefault="00405088" w:rsidP="00D40151">
      <w:r w:rsidRPr="00873B6C">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873B6C" w:rsidRDefault="00405088" w:rsidP="00D40151">
      <w:r w:rsidRPr="00873B6C">
        <w:t>If the UE and the UPF decide to initiate access performance measurements to estimate the RTT and/or the PLR for an SDF, the access performance measurements shall be performed either</w:t>
      </w:r>
    </w:p>
    <w:p w14:paraId="52D9E593" w14:textId="2ECA3A08" w:rsidR="00405088" w:rsidRPr="00873B6C" w:rsidRDefault="00405088" w:rsidP="00323277">
      <w:pPr>
        <w:pStyle w:val="B1"/>
      </w:pPr>
      <w:r w:rsidRPr="00873B6C">
        <w:t>(a)</w:t>
      </w:r>
      <w:r w:rsidRPr="00873B6C">
        <w:tab/>
        <w:t>using the</w:t>
      </w:r>
      <w:r w:rsidR="00F84AAF" w:rsidRPr="00873B6C">
        <w:t xml:space="preserve"> QoS Flow associated with the default QoS rule;</w:t>
      </w:r>
      <w:r w:rsidRPr="00873B6C">
        <w:t xml:space="preserve"> or</w:t>
      </w:r>
    </w:p>
    <w:p w14:paraId="6B3F1B54" w14:textId="77777777" w:rsidR="00405088" w:rsidRPr="00873B6C" w:rsidRDefault="00405088" w:rsidP="00323277">
      <w:pPr>
        <w:pStyle w:val="B1"/>
      </w:pPr>
      <w:r w:rsidRPr="00873B6C">
        <w:t>(b)</w:t>
      </w:r>
      <w:r w:rsidRPr="00873B6C">
        <w:tab/>
        <w:t>using the target QoS Flow, which is the QoS Flow that the SDF traffic is transmitted on.</w:t>
      </w:r>
    </w:p>
    <w:p w14:paraId="06C5B0E2" w14:textId="5097A5BF" w:rsidR="00BA212C" w:rsidRPr="00873B6C" w:rsidRDefault="00BA212C" w:rsidP="00D40151">
      <w:r w:rsidRPr="00873B6C">
        <w:t xml:space="preserve">When the access performance measurements are using the target QoS </w:t>
      </w:r>
      <w:r w:rsidR="00426DE4" w:rsidRPr="00873B6C">
        <w:t>F</w:t>
      </w:r>
      <w:r w:rsidRPr="00873B6C">
        <w:t xml:space="preserve">low, it is termed that "access performance measurements per QoS </w:t>
      </w:r>
      <w:r w:rsidR="00426DE4" w:rsidRPr="00873B6C">
        <w:t>F</w:t>
      </w:r>
      <w:r w:rsidRPr="00873B6C">
        <w:t>low" are applied for the MA PDU Session.</w:t>
      </w:r>
    </w:p>
    <w:p w14:paraId="10EB37E2" w14:textId="244D8D6D" w:rsidR="00BA212C" w:rsidRPr="00873B6C" w:rsidRDefault="00BA212C" w:rsidP="00D40151">
      <w:r w:rsidRPr="00873B6C">
        <w:t xml:space="preserve">The UE shall indicate in its ATSSS capabilities that it supports access performance measurements per QoS </w:t>
      </w:r>
      <w:r w:rsidR="00426DE4" w:rsidRPr="00873B6C">
        <w:t>F</w:t>
      </w:r>
      <w:r w:rsidRPr="00873B6C">
        <w:t xml:space="preserve">low. Based on this UE capability and other information (such as local policy), the SMF determines whether access performance measurements per QoS </w:t>
      </w:r>
      <w:r w:rsidR="00426DE4" w:rsidRPr="00873B6C">
        <w:t>F</w:t>
      </w:r>
      <w:r w:rsidRPr="00873B6C">
        <w:t xml:space="preserve">low shall be applied for the MA PDU Session or not. If the SMF determines that access performance measurements per QoS </w:t>
      </w:r>
      <w:r w:rsidR="00426DE4" w:rsidRPr="00873B6C">
        <w:t>F</w:t>
      </w:r>
      <w:r w:rsidRPr="00873B6C">
        <w:t>low shall be applied for the MA PDU Session, then:</w:t>
      </w:r>
    </w:p>
    <w:p w14:paraId="5E9D72C5" w14:textId="3C0800E1" w:rsidR="00BA212C" w:rsidRPr="00873B6C" w:rsidRDefault="00BA212C" w:rsidP="00562E84">
      <w:pPr>
        <w:pStyle w:val="B1"/>
      </w:pPr>
      <w:r w:rsidRPr="00873B6C">
        <w:t>-</w:t>
      </w:r>
      <w:r w:rsidRPr="00873B6C">
        <w:tab/>
        <w:t>The SMF</w:t>
      </w:r>
      <w:r w:rsidR="00426DE4" w:rsidRPr="00873B6C">
        <w:t xml:space="preserve"> determines</w:t>
      </w:r>
      <w:r w:rsidRPr="00873B6C">
        <w:t xml:space="preserve"> a list of QoS </w:t>
      </w:r>
      <w:r w:rsidR="00426DE4" w:rsidRPr="00873B6C">
        <w:t>F</w:t>
      </w:r>
      <w:r w:rsidRPr="00873B6C">
        <w:t>lows over which access performance measurements may be performed</w:t>
      </w:r>
      <w:r w:rsidR="00426DE4" w:rsidRPr="00873B6C">
        <w:t xml:space="preserve"> and provides this list to the UE (within the Measurement Assistance Information) and to the UPF</w:t>
      </w:r>
      <w:r w:rsidRPr="00873B6C">
        <w:t>.</w:t>
      </w:r>
    </w:p>
    <w:p w14:paraId="0A654CC1" w14:textId="47B07D9A" w:rsidR="00BA212C" w:rsidRPr="00873B6C" w:rsidRDefault="00BA212C" w:rsidP="00562E84">
      <w:pPr>
        <w:pStyle w:val="B1"/>
      </w:pPr>
      <w:r w:rsidRPr="00873B6C">
        <w:t>-</w:t>
      </w:r>
      <w:r w:rsidRPr="00873B6C">
        <w:tab/>
        <w:t xml:space="preserve">The UE and the UPF may initiate access performance measurements on one or more of the QoS </w:t>
      </w:r>
      <w:r w:rsidR="00426DE4" w:rsidRPr="00873B6C">
        <w:t>F</w:t>
      </w:r>
      <w:r w:rsidRPr="00873B6C">
        <w:t xml:space="preserve">lows included in this list. The UE and the UPF shall be able to receive and respond to PMF messages sent on any QoS </w:t>
      </w:r>
      <w:r w:rsidR="00426DE4" w:rsidRPr="00873B6C">
        <w:t>F</w:t>
      </w:r>
      <w:r w:rsidRPr="00873B6C">
        <w:t>low</w:t>
      </w:r>
      <w:r w:rsidR="00426DE4" w:rsidRPr="00873B6C">
        <w:t xml:space="preserve"> included in this list</w:t>
      </w:r>
      <w:r w:rsidRPr="00873B6C">
        <w:t>.</w:t>
      </w:r>
    </w:p>
    <w:p w14:paraId="0EEDA3F6" w14:textId="77777777" w:rsidR="00426DE4" w:rsidRPr="00873B6C" w:rsidRDefault="00426DE4" w:rsidP="00426DE4">
      <w:pPr>
        <w:pStyle w:val="B1"/>
      </w:pPr>
      <w:r w:rsidRPr="00873B6C">
        <w:t>-</w:t>
      </w:r>
      <w:r w:rsidRPr="00873B6C">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873B6C" w:rsidRDefault="00426DE4" w:rsidP="00461850">
      <w:pPr>
        <w:pStyle w:val="NO"/>
      </w:pPr>
      <w:r w:rsidRPr="00873B6C">
        <w:t>NOTE 3:</w:t>
      </w:r>
      <w:r w:rsidRPr="00873B6C">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7BE579FF" w:rsidR="00405088" w:rsidRPr="00873B6C" w:rsidRDefault="00405088" w:rsidP="00D40151">
      <w:r w:rsidRPr="00873B6C">
        <w:t>The UE shall perform access performance measurements</w:t>
      </w:r>
      <w:r w:rsidR="00BA212C" w:rsidRPr="00873B6C">
        <w:t xml:space="preserve"> per</w:t>
      </w:r>
      <w:r w:rsidRPr="00873B6C">
        <w:t xml:space="preserve"> QoS Flow only when this is explicitly indicated in the Measurement Assistance Information</w:t>
      </w:r>
      <w:r w:rsidR="00BA212C" w:rsidRPr="00873B6C">
        <w:t xml:space="preserve">, i.e. only when the UE receives the list of QoS </w:t>
      </w:r>
      <w:r w:rsidR="00426DE4" w:rsidRPr="00873B6C">
        <w:t>F</w:t>
      </w:r>
      <w:r w:rsidR="00BA212C" w:rsidRPr="00873B6C">
        <w:t>lows over which access performance measurements may be performed</w:t>
      </w:r>
      <w:r w:rsidRPr="00873B6C">
        <w:t>. Otherwise, the UE shall perform access performance measurements based on the</w:t>
      </w:r>
      <w:r w:rsidR="00F84AAF" w:rsidRPr="00873B6C">
        <w:t xml:space="preserve"> QoS Flow associated with the default QoS rule</w:t>
      </w:r>
      <w:r w:rsidRPr="00873B6C">
        <w:t>. The UPF shall perform access performance measurements</w:t>
      </w:r>
      <w:r w:rsidR="00BA212C" w:rsidRPr="00873B6C">
        <w:t xml:space="preserve"> per</w:t>
      </w:r>
      <w:r w:rsidRPr="00873B6C">
        <w:t xml:space="preserve"> QoS Flow only when this is explicitly indicated by SMF</w:t>
      </w:r>
      <w:r w:rsidR="00BA212C" w:rsidRPr="00873B6C">
        <w:t xml:space="preserve">, i.e. only when the UPF receives the list of QoS </w:t>
      </w:r>
      <w:r w:rsidR="00426DE4" w:rsidRPr="00873B6C">
        <w:t>F</w:t>
      </w:r>
      <w:r w:rsidR="00BA212C" w:rsidRPr="00873B6C">
        <w:t>lows over which access performance measurements may be performed</w:t>
      </w:r>
      <w:r w:rsidRPr="00873B6C">
        <w:t xml:space="preserve">. Otherwise, the UPF shall perform access performance </w:t>
      </w:r>
      <w:r w:rsidRPr="00873B6C">
        <w:lastRenderedPageBreak/>
        <w:t>measurements based on the</w:t>
      </w:r>
      <w:r w:rsidR="00F84AAF" w:rsidRPr="00873B6C">
        <w:t xml:space="preserve"> QoS Flow associated with the default QoS rule</w:t>
      </w:r>
      <w:r w:rsidRPr="00873B6C">
        <w:t>.</w:t>
      </w:r>
      <w:r w:rsidR="00F84AAF" w:rsidRPr="00873B6C">
        <w:t xml:space="preserve"> In this case the UPF learns what QoS Flow to use as described in </w:t>
      </w:r>
      <w:r w:rsidR="00972E70" w:rsidRPr="00873B6C">
        <w:t>TS 29.244 [</w:t>
      </w:r>
      <w:r w:rsidR="00F84AAF" w:rsidRPr="00873B6C">
        <w:t>65].</w:t>
      </w:r>
    </w:p>
    <w:p w14:paraId="314D9DFD" w14:textId="00B5BD25" w:rsidR="00405088" w:rsidRPr="00873B6C" w:rsidRDefault="00405088" w:rsidP="00D40151">
      <w:r w:rsidRPr="00873B6C">
        <w:t>The UE and the UPF may decide not to initiate access performance measurements using PMF over a certain target QoS Flow, when they already have access performance measurements for another target QoS Flow which they determine can be reused</w:t>
      </w:r>
      <w:r w:rsidR="00BA212C" w:rsidRPr="00873B6C">
        <w:t>.</w:t>
      </w:r>
    </w:p>
    <w:p w14:paraId="0998DFF3" w14:textId="6777DDA6" w:rsidR="00405088" w:rsidRPr="00873B6C" w:rsidRDefault="00405088" w:rsidP="00323277">
      <w:pPr>
        <w:pStyle w:val="NO"/>
      </w:pPr>
      <w:r w:rsidRPr="00873B6C">
        <w:t>NOTE </w:t>
      </w:r>
      <w:r w:rsidR="00426DE4" w:rsidRPr="00873B6C">
        <w:t>4</w:t>
      </w:r>
      <w:r w:rsidRPr="00873B6C">
        <w:t>:</w:t>
      </w:r>
      <w:r w:rsidRPr="00873B6C">
        <w:tab/>
        <w:t>How the UE and UPF determine that the performance measurements using a certain target QoS Flow apply to another target QoS Flow is based on implementation</w:t>
      </w:r>
      <w:r w:rsidR="006648CD" w:rsidRPr="00873B6C">
        <w:t>,</w:t>
      </w:r>
      <w:r w:rsidRPr="00873B6C">
        <w:t xml:space="preserve"> e.g. AN resource to QoS Flow mapping in the UE or getting similar access measurements results with other QoS Flow.</w:t>
      </w:r>
    </w:p>
    <w:p w14:paraId="2B311046" w14:textId="77777777" w:rsidR="00B04F2B" w:rsidRPr="00873B6C" w:rsidRDefault="00B04F2B" w:rsidP="00D40151">
      <w:r w:rsidRPr="00873B6C">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873B6C" w:rsidRDefault="00B04F2B" w:rsidP="00562E84">
      <w:pPr>
        <w:pStyle w:val="NO"/>
      </w:pPr>
      <w:r w:rsidRPr="00873B6C">
        <w:t>NOTE </w:t>
      </w:r>
      <w:r w:rsidR="00426DE4" w:rsidRPr="00873B6C">
        <w:t>5</w:t>
      </w:r>
      <w:r w:rsidRPr="00873B6C">
        <w:t>:</w:t>
      </w:r>
      <w:r w:rsidRPr="00873B6C">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873B6C" w:rsidRDefault="00D40151" w:rsidP="00D40151">
      <w:r w:rsidRPr="00873B6C">
        <w:t>The addressing information of the PMF in the UPF is retrieved by the SMF from the UPF during N4 session establishment.</w:t>
      </w:r>
      <w:r w:rsidR="006648CD" w:rsidRPr="00873B6C">
        <w:t xml:space="preserve"> If the UPF receives from the SMF, during N4 session establishment or modification procedure, a list of QoS </w:t>
      </w:r>
      <w:r w:rsidR="00426DE4" w:rsidRPr="00873B6C">
        <w:t xml:space="preserve">Flows </w:t>
      </w:r>
      <w:r w:rsidR="006648CD" w:rsidRPr="00873B6C">
        <w:t xml:space="preserve">over which access performance measurements may be performed, the UPF allocates different UDP ports per QoS </w:t>
      </w:r>
      <w:r w:rsidR="00426DE4" w:rsidRPr="00873B6C">
        <w:t xml:space="preserve">Flow </w:t>
      </w:r>
      <w:r w:rsidR="006648CD" w:rsidRPr="00873B6C">
        <w:t xml:space="preserve">per access for IP PDU sessions, or allocates different MAC addresses per QoS </w:t>
      </w:r>
      <w:r w:rsidR="00426DE4" w:rsidRPr="00873B6C">
        <w:t xml:space="preserve">Flow </w:t>
      </w:r>
      <w:r w:rsidR="006648CD" w:rsidRPr="00873B6C">
        <w:t xml:space="preserve">per access for Ethernet PDU sessions. For IP PDU sessions, the UPF sends the PMF IP addressing information and the UDP ports with the QFI of the associated QoS </w:t>
      </w:r>
      <w:r w:rsidR="00426DE4" w:rsidRPr="00873B6C">
        <w:t xml:space="preserve">Flow </w:t>
      </w:r>
      <w:r w:rsidR="006648CD" w:rsidRPr="00873B6C">
        <w:t xml:space="preserve">to the SMF. For Ethernet PDU sessions, the UPF sends the MAC addresses with the QFI of the associated QoS </w:t>
      </w:r>
      <w:r w:rsidR="00426DE4" w:rsidRPr="00873B6C">
        <w:t xml:space="preserve">Flow </w:t>
      </w:r>
      <w:r w:rsidR="006648CD" w:rsidRPr="00873B6C">
        <w:t>to the SMF.</w:t>
      </w:r>
    </w:p>
    <w:p w14:paraId="46E33415" w14:textId="761EBBB7" w:rsidR="00D40151" w:rsidRPr="00873B6C" w:rsidRDefault="00D40151" w:rsidP="00D40151">
      <w:r w:rsidRPr="00873B6C">
        <w:t>The following PMF protocol messages can be exchanged between the UE and the</w:t>
      </w:r>
      <w:r w:rsidR="00114986" w:rsidRPr="00873B6C">
        <w:t xml:space="preserve"> UPF</w:t>
      </w:r>
      <w:r w:rsidRPr="00873B6C">
        <w:t>:</w:t>
      </w:r>
    </w:p>
    <w:p w14:paraId="1551E3FF" w14:textId="12570ECB" w:rsidR="00D40151" w:rsidRPr="00873B6C" w:rsidRDefault="00D40151" w:rsidP="00D40151">
      <w:pPr>
        <w:pStyle w:val="B1"/>
      </w:pPr>
      <w:r w:rsidRPr="00873B6C">
        <w:t>-</w:t>
      </w:r>
      <w:r w:rsidRPr="00873B6C">
        <w:tab/>
        <w:t>Messages to allow for Round Trip Time (RTT) measurements, i.e. when the "Smallest Delay" steering mode is used</w:t>
      </w:r>
      <w:r w:rsidR="00616F73" w:rsidRPr="00873B6C">
        <w:t xml:space="preserve"> or when either "Priority-based"</w:t>
      </w:r>
      <w:r w:rsidR="00F03116" w:rsidRPr="00873B6C">
        <w:t>,</w:t>
      </w:r>
      <w:r w:rsidR="00616F73" w:rsidRPr="00873B6C">
        <w:t xml:space="preserve"> "Load-Balancing"</w:t>
      </w:r>
      <w:r w:rsidR="00F03116" w:rsidRPr="00873B6C">
        <w:t xml:space="preserve"> or "Redundant"</w:t>
      </w:r>
      <w:r w:rsidR="00616F73" w:rsidRPr="00873B6C">
        <w:t xml:space="preserve"> steering mode is used with RTT threshold value being applied</w:t>
      </w:r>
      <w:r w:rsidRPr="00873B6C">
        <w:t>;</w:t>
      </w:r>
    </w:p>
    <w:p w14:paraId="1CFCB4D5" w14:textId="30DF39DE" w:rsidR="00405088" w:rsidRPr="00873B6C" w:rsidRDefault="00405088" w:rsidP="00D40151">
      <w:pPr>
        <w:pStyle w:val="B1"/>
      </w:pPr>
      <w:r w:rsidRPr="00873B6C">
        <w:t>-</w:t>
      </w:r>
      <w:r w:rsidRPr="00873B6C">
        <w:tab/>
        <w:t>Messages to allow for Packet Loss Rate (PLR) measurements, i.e. when steering mode is used</w:t>
      </w:r>
      <w:r w:rsidR="00616F73" w:rsidRPr="00873B6C">
        <w:t xml:space="preserve"> either "Priority-based"</w:t>
      </w:r>
      <w:r w:rsidR="00F03116" w:rsidRPr="00873B6C">
        <w:t>,</w:t>
      </w:r>
      <w:r w:rsidR="00616F73" w:rsidRPr="00873B6C">
        <w:t xml:space="preserve"> "Load-Balancing"</w:t>
      </w:r>
      <w:r w:rsidR="00F03116" w:rsidRPr="00873B6C">
        <w:t xml:space="preserve"> or "Redundant"</w:t>
      </w:r>
      <w:r w:rsidR="00616F73" w:rsidRPr="00873B6C">
        <w:t xml:space="preserve"> steering mode is used with PLR threshold value being applied</w:t>
      </w:r>
      <w:r w:rsidRPr="00873B6C">
        <w:t>;</w:t>
      </w:r>
    </w:p>
    <w:p w14:paraId="01A4635D" w14:textId="183DFC17" w:rsidR="00D40151" w:rsidRPr="00873B6C" w:rsidRDefault="00D40151" w:rsidP="00D40151">
      <w:pPr>
        <w:pStyle w:val="B1"/>
      </w:pPr>
      <w:r w:rsidRPr="00873B6C">
        <w:t>-</w:t>
      </w:r>
      <w:r w:rsidRPr="00873B6C">
        <w:tab/>
        <w:t>Messages for reporting Access availability/unavailability by the UE to the UPF.</w:t>
      </w:r>
    </w:p>
    <w:p w14:paraId="0469895B" w14:textId="77777777" w:rsidR="00C922CA" w:rsidRPr="00873B6C" w:rsidRDefault="00C922CA" w:rsidP="00562E84">
      <w:pPr>
        <w:pStyle w:val="B1"/>
      </w:pPr>
      <w:r w:rsidRPr="00873B6C">
        <w:t>-</w:t>
      </w:r>
      <w:r w:rsidRPr="00873B6C">
        <w:tab/>
        <w:t>Messages for sending UE-assistance data to UPF. Such messages may be sent from the UE to UPF only when the UE receives the UE-assistance indicator in an ATSSS rule, as specified in clause 5.32.8. Further details are provided in clause 5.32.5.5.</w:t>
      </w:r>
    </w:p>
    <w:p w14:paraId="7F96CE5E" w14:textId="0E94B0AE" w:rsidR="00F03116" w:rsidRPr="00873B6C" w:rsidRDefault="00F03116" w:rsidP="00F03116">
      <w:pPr>
        <w:pStyle w:val="B1"/>
      </w:pPr>
      <w:r w:rsidRPr="00873B6C">
        <w:t>-</w:t>
      </w:r>
      <w:r w:rsidRPr="00873B6C">
        <w:tab/>
        <w:t>Messages for sending Suspend Traffic Duplication and Resume Traffic Duplication from UPF to UE to suspend or resume traffic duplication as defined in clause 5.32.5.6.</w:t>
      </w:r>
    </w:p>
    <w:p w14:paraId="66EE50C1" w14:textId="1438FDA5" w:rsidR="00616F73" w:rsidRPr="00873B6C" w:rsidRDefault="00616F73" w:rsidP="00616F73">
      <w:r w:rsidRPr="00873B6C">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3F22AD37" w:rsidR="00D40151" w:rsidRPr="00873B6C" w:rsidRDefault="00D40151" w:rsidP="00D40151">
      <w:r w:rsidRPr="00873B6C">
        <w:t xml:space="preserve">The PMF protocol is specified in </w:t>
      </w:r>
      <w:r w:rsidR="00972E70" w:rsidRPr="00873B6C">
        <w:t>TS 24.193 [</w:t>
      </w:r>
      <w:r w:rsidRPr="00873B6C">
        <w:t>109].</w:t>
      </w:r>
    </w:p>
    <w:p w14:paraId="6D7A9E5D" w14:textId="77FBBC93" w:rsidR="00D40151" w:rsidRPr="00873B6C" w:rsidRDefault="00D40151" w:rsidP="00D40151">
      <w:r w:rsidRPr="00873B6C">
        <w:t>The PMF protocol messages</w:t>
      </w:r>
      <w:r w:rsidR="00405088" w:rsidRPr="00873B6C">
        <w:t xml:space="preserve"> used for access availability/unavailability reports shall be sent on the</w:t>
      </w:r>
      <w:r w:rsidRPr="00873B6C">
        <w:t xml:space="preserve"> QoS Flow associated with</w:t>
      </w:r>
      <w:r w:rsidR="00F84AAF" w:rsidRPr="00873B6C">
        <w:t xml:space="preserve"> the</w:t>
      </w:r>
      <w:r w:rsidRPr="00873B6C">
        <w:t xml:space="preserve"> default QoS rule.</w:t>
      </w:r>
      <w:r w:rsidR="00405088" w:rsidRPr="00873B6C">
        <w:t xml:space="preserve"> The PMF protocol messages used for access performance measurements shall be sent either on the</w:t>
      </w:r>
      <w:r w:rsidR="00F84AAF" w:rsidRPr="00873B6C">
        <w:t xml:space="preserve"> QoS Flow associated with the default QoS rule</w:t>
      </w:r>
      <w:r w:rsidR="00405088" w:rsidRPr="00873B6C">
        <w:t>, or on the target QoS Flow, as specified above.</w:t>
      </w:r>
    </w:p>
    <w:p w14:paraId="141A3AC1" w14:textId="1D90651B" w:rsidR="00D40151" w:rsidRPr="00873B6C" w:rsidRDefault="00D40151" w:rsidP="00D40151">
      <w:r w:rsidRPr="00873B6C">
        <w:t>The QoS Flow associated with</w:t>
      </w:r>
      <w:r w:rsidR="00F84AAF" w:rsidRPr="00873B6C">
        <w:t xml:space="preserve"> the</w:t>
      </w:r>
      <w:r w:rsidRPr="00873B6C">
        <w:t xml:space="preserve"> default QoS rule for MA PDU Session is Non-GBR QoS Flow.</w:t>
      </w:r>
    </w:p>
    <w:p w14:paraId="4D4CBBA1" w14:textId="77777777" w:rsidR="00D40151" w:rsidRPr="00873B6C" w:rsidRDefault="00D40151" w:rsidP="00D40151">
      <w:r w:rsidRPr="00873B6C">
        <w:t>The UE shall not apply the ATSSS rules and the UPF shall not apply the MAR rules for the PMF protocol messages.</w:t>
      </w:r>
    </w:p>
    <w:p w14:paraId="76F495E8" w14:textId="7EBBD55B" w:rsidR="007C2ADF" w:rsidRPr="00873B6C" w:rsidRDefault="00D40151" w:rsidP="00D40151">
      <w:r w:rsidRPr="00873B6C">
        <w:t>When the UE requests a MA PDU session and indicates it is capable to support</w:t>
      </w:r>
      <w:r w:rsidR="007C2ADF" w:rsidRPr="00873B6C">
        <w:t>:</w:t>
      </w:r>
    </w:p>
    <w:p w14:paraId="1EABDAFB" w14:textId="46121610" w:rsidR="007C2ADF" w:rsidRPr="00873B6C" w:rsidRDefault="007C2ADF" w:rsidP="007C2ADF">
      <w:pPr>
        <w:pStyle w:val="B1"/>
      </w:pPr>
      <w:r w:rsidRPr="00873B6C">
        <w:t>-</w:t>
      </w:r>
      <w:r w:rsidRPr="00873B6C">
        <w:tab/>
      </w:r>
      <w:r w:rsidR="00D40151" w:rsidRPr="00873B6C">
        <w:t xml:space="preserve">the </w:t>
      </w:r>
      <w:r w:rsidR="000555AB">
        <w:t>"</w:t>
      </w:r>
      <w:r w:rsidR="00D40151" w:rsidRPr="00873B6C">
        <w:t>MPTCP functionality with any steering mode</w:t>
      </w:r>
      <w:r w:rsidR="000555AB">
        <w:t xml:space="preserve"> supported" capability</w:t>
      </w:r>
      <w:r w:rsidR="00D40151" w:rsidRPr="00873B6C">
        <w:t xml:space="preserve"> and the </w:t>
      </w:r>
      <w:r w:rsidR="000555AB">
        <w:t>"</w:t>
      </w:r>
      <w:r w:rsidR="00D40151" w:rsidRPr="00873B6C">
        <w:t>ATSSS-LL functionality with only the Active-Standby steering mode</w:t>
      </w:r>
      <w:r w:rsidR="000555AB">
        <w:t xml:space="preserve"> supported" capability</w:t>
      </w:r>
      <w:r w:rsidR="00D40151" w:rsidRPr="00873B6C">
        <w:t xml:space="preserve"> (as specified in clause 5.32.6.1)</w:t>
      </w:r>
      <w:r w:rsidRPr="00873B6C">
        <w:t>; or</w:t>
      </w:r>
    </w:p>
    <w:p w14:paraId="7F853D4F" w14:textId="132FA4C5" w:rsidR="007C2ADF" w:rsidRPr="00873B6C" w:rsidRDefault="007C2ADF" w:rsidP="007C2ADF">
      <w:pPr>
        <w:pStyle w:val="B1"/>
      </w:pPr>
      <w:r w:rsidRPr="00873B6C">
        <w:lastRenderedPageBreak/>
        <w:t>-</w:t>
      </w:r>
      <w:r w:rsidRPr="00873B6C">
        <w:tab/>
        <w:t xml:space="preserve">the </w:t>
      </w:r>
      <w:r w:rsidR="000555AB">
        <w:t>"</w:t>
      </w:r>
      <w:r w:rsidRPr="00873B6C">
        <w:t>MPQUIC functionality with any steering mode</w:t>
      </w:r>
      <w:r w:rsidR="000555AB">
        <w:t xml:space="preserve"> supported" capability</w:t>
      </w:r>
      <w:r w:rsidRPr="00873B6C">
        <w:t xml:space="preserve"> and the </w:t>
      </w:r>
      <w:r w:rsidR="000555AB">
        <w:t>"</w:t>
      </w:r>
      <w:r w:rsidRPr="00873B6C">
        <w:t>ATSSS-LL functionality with only the Active-Standby steering mode</w:t>
      </w:r>
      <w:r w:rsidR="000555AB">
        <w:t xml:space="preserve"> supported" capability</w:t>
      </w:r>
      <w:r w:rsidRPr="00873B6C">
        <w:t xml:space="preserve"> (as specified in clause 5.32.6.1); or</w:t>
      </w:r>
    </w:p>
    <w:p w14:paraId="7F9048F0" w14:textId="4340D654" w:rsidR="007C2ADF" w:rsidRPr="00873B6C" w:rsidRDefault="007C2ADF" w:rsidP="007C2ADF">
      <w:pPr>
        <w:pStyle w:val="B1"/>
      </w:pPr>
      <w:r w:rsidRPr="00873B6C">
        <w:t>-</w:t>
      </w:r>
      <w:r w:rsidRPr="00873B6C">
        <w:tab/>
        <w:t xml:space="preserve">the </w:t>
      </w:r>
      <w:r w:rsidR="000555AB">
        <w:t>"</w:t>
      </w:r>
      <w:r w:rsidRPr="00873B6C">
        <w:t>MPTCP functionality with any steering mode</w:t>
      </w:r>
      <w:r w:rsidR="000555AB">
        <w:t xml:space="preserve"> supported" capability,</w:t>
      </w:r>
      <w:r w:rsidRPr="00873B6C">
        <w:t xml:space="preserve"> the </w:t>
      </w:r>
      <w:r w:rsidR="000555AB">
        <w:t>"</w:t>
      </w:r>
      <w:r w:rsidRPr="00873B6C">
        <w:t>MPQUIC functionality with any steering mode</w:t>
      </w:r>
      <w:r w:rsidR="000555AB">
        <w:t xml:space="preserve"> supported" capability</w:t>
      </w:r>
      <w:r w:rsidRPr="00873B6C">
        <w:t xml:space="preserve"> and the </w:t>
      </w:r>
      <w:r w:rsidR="000555AB">
        <w:t>"</w:t>
      </w:r>
      <w:r w:rsidRPr="00873B6C">
        <w:t>ATSSS-LL functionality with only the Active-Standby steering mode</w:t>
      </w:r>
      <w:r w:rsidR="000555AB">
        <w:t xml:space="preserve"> supported" capability</w:t>
      </w:r>
      <w:r w:rsidRPr="00873B6C">
        <w:t xml:space="preserve"> (as specified in clause 5.32.6.1);</w:t>
      </w:r>
    </w:p>
    <w:p w14:paraId="13C6EE33" w14:textId="0B65746E" w:rsidR="00D40151" w:rsidRPr="00873B6C" w:rsidRDefault="00D40151" w:rsidP="007C2ADF">
      <w:r w:rsidRPr="00873B6C">
        <w:t>the network may send Measurement Assistance Information for the UE to send Access availability/unavailability reports to the UPF. In this case, the UE and UPF shall not perform RTT</w:t>
      </w:r>
      <w:r w:rsidR="00405088" w:rsidRPr="00873B6C">
        <w:t xml:space="preserve"> and PLR</w:t>
      </w:r>
      <w:r w:rsidRPr="00873B6C">
        <w:t xml:space="preserve"> measurements using PMF as the UE and UPF can use measurements available at the MPTCP layer</w:t>
      </w:r>
      <w:r w:rsidR="007C2ADF" w:rsidRPr="00873B6C">
        <w:t xml:space="preserve"> and/or at the MPQUIC layer</w:t>
      </w:r>
      <w:r w:rsidRPr="00873B6C">
        <w:t>.</w:t>
      </w:r>
    </w:p>
    <w:p w14:paraId="606D74BD" w14:textId="71978BAD" w:rsidR="00AA610D" w:rsidRPr="00873B6C" w:rsidRDefault="00AA610D" w:rsidP="00D40151">
      <w:pPr>
        <w:pStyle w:val="Heading4"/>
      </w:pPr>
      <w:bookmarkStart w:id="4674" w:name="_CR5_32_5_1a"/>
      <w:bookmarkStart w:id="4675" w:name="_Toc20150138"/>
      <w:bookmarkStart w:id="4676" w:name="_Toc27846940"/>
      <w:bookmarkStart w:id="4677" w:name="_Toc36188071"/>
      <w:bookmarkStart w:id="4678" w:name="_Toc45183976"/>
      <w:bookmarkStart w:id="4679" w:name="_Toc47342818"/>
      <w:bookmarkStart w:id="4680" w:name="_Toc51769520"/>
      <w:bookmarkStart w:id="4681" w:name="_Toc201157586"/>
      <w:bookmarkEnd w:id="4674"/>
      <w:r w:rsidRPr="00873B6C">
        <w:t>5.32.5.1a</w:t>
      </w:r>
      <w:r w:rsidRPr="00873B6C">
        <w:tab/>
        <w:t>Address of PMF messages</w:t>
      </w:r>
      <w:bookmarkEnd w:id="4681"/>
    </w:p>
    <w:p w14:paraId="5DD93074" w14:textId="77777777" w:rsidR="00AA610D" w:rsidRPr="00873B6C" w:rsidRDefault="00AA610D" w:rsidP="00AA610D">
      <w:r w:rsidRPr="00873B6C">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873B6C" w:rsidRDefault="00AA610D" w:rsidP="00C74FFE">
      <w:pPr>
        <w:pStyle w:val="B1"/>
      </w:pPr>
      <w:r w:rsidRPr="00873B6C">
        <w:t>1.</w:t>
      </w:r>
      <w:r w:rsidRPr="00873B6C">
        <w:tab/>
        <w:t>In the case of a MA PDU Session of IP type:</w:t>
      </w:r>
    </w:p>
    <w:p w14:paraId="5FF57E3B" w14:textId="0F7E4239" w:rsidR="00AA610D" w:rsidRPr="00873B6C" w:rsidRDefault="00AA610D" w:rsidP="00C74FFE">
      <w:pPr>
        <w:pStyle w:val="B2"/>
      </w:pPr>
      <w:r w:rsidRPr="00873B6C">
        <w:t>-</w:t>
      </w:r>
      <w:r w:rsidRPr="00873B6C">
        <w:tab/>
        <w:t>If access performance measurements are performed only over the</w:t>
      </w:r>
      <w:r w:rsidR="00F84AAF" w:rsidRPr="00873B6C">
        <w:t xml:space="preserve"> QoS Flow associated with the default QoS rule</w:t>
      </w:r>
      <w:r w:rsidRPr="00873B6C">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873B6C" w:rsidRDefault="00AA610D" w:rsidP="00C74FFE">
      <w:pPr>
        <w:pStyle w:val="B2"/>
      </w:pPr>
      <w:r w:rsidRPr="00873B6C">
        <w:tab/>
        <w:t xml:space="preserve">If access performance measurements per QoS </w:t>
      </w:r>
      <w:r w:rsidR="00426DE4" w:rsidRPr="00873B6C">
        <w:t>F</w:t>
      </w:r>
      <w:r w:rsidRPr="00873B6C">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873B6C" w:rsidRDefault="00AA610D" w:rsidP="00C74FFE">
      <w:pPr>
        <w:pStyle w:val="B2"/>
      </w:pPr>
      <w:r w:rsidRPr="00873B6C">
        <w:t>-</w:t>
      </w:r>
      <w:r w:rsidRPr="00873B6C">
        <w:tab/>
        <w:t>If access performance measurements are performed only over the</w:t>
      </w:r>
      <w:r w:rsidR="00F84AAF" w:rsidRPr="00873B6C">
        <w:t xml:space="preserve"> QoS Flow associated with the default QoS rule</w:t>
      </w:r>
      <w:r w:rsidRPr="00873B6C">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873B6C" w:rsidRDefault="00AA610D" w:rsidP="00C74FFE">
      <w:pPr>
        <w:pStyle w:val="B2"/>
      </w:pPr>
      <w:r w:rsidRPr="00873B6C">
        <w:tab/>
        <w:t xml:space="preserve">If access performance measurements per QoS </w:t>
      </w:r>
      <w:r w:rsidR="00426DE4" w:rsidRPr="00873B6C">
        <w:t>F</w:t>
      </w:r>
      <w:r w:rsidRPr="00873B6C">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10D6A799" w:rsidR="00AA610D" w:rsidRPr="00873B6C" w:rsidRDefault="00AA610D" w:rsidP="00C74FFE">
      <w:pPr>
        <w:pStyle w:val="B2"/>
      </w:pPr>
      <w:r w:rsidRPr="00873B6C">
        <w:t>-</w:t>
      </w:r>
      <w:r w:rsidRPr="00873B6C">
        <w:tab/>
        <w:t>If the UE receives Measurement Assistance Information, the UE shall inform the network via the user plane about the UE's dynamically allocated UDP port</w:t>
      </w:r>
      <w:r w:rsidR="00472CD7" w:rsidRPr="00873B6C">
        <w:t xml:space="preserve"> and</w:t>
      </w:r>
      <w:r w:rsidRPr="00873B6C">
        <w:t xml:space="preserve">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873B6C" w:rsidRDefault="00AA610D" w:rsidP="00C74FFE">
      <w:pPr>
        <w:pStyle w:val="NO"/>
      </w:pPr>
      <w:r w:rsidRPr="00873B6C">
        <w:t>NOTE 1:</w:t>
      </w:r>
      <w:r w:rsidRPr="00873B6C">
        <w:tab/>
        <w:t>Regardless of whether access performance measurements per QoS Flow is applied or not, the UE only allocates a single UDP port for PMF messages.</w:t>
      </w:r>
    </w:p>
    <w:p w14:paraId="642ACE6B" w14:textId="77777777" w:rsidR="00AA610D" w:rsidRPr="00873B6C" w:rsidRDefault="00AA610D" w:rsidP="00C74FFE">
      <w:pPr>
        <w:pStyle w:val="B1"/>
      </w:pPr>
      <w:r w:rsidRPr="00873B6C">
        <w:t>2.</w:t>
      </w:r>
      <w:r w:rsidRPr="00873B6C">
        <w:tab/>
        <w:t>In the case of a MA PDU Session of Ethernet type:</w:t>
      </w:r>
    </w:p>
    <w:p w14:paraId="74CF2101" w14:textId="6488CF93" w:rsidR="00AA610D" w:rsidRPr="00873B6C" w:rsidRDefault="00AA610D" w:rsidP="00C74FFE">
      <w:pPr>
        <w:pStyle w:val="B2"/>
      </w:pPr>
      <w:r w:rsidRPr="00873B6C">
        <w:t>-</w:t>
      </w:r>
      <w:r w:rsidRPr="00873B6C">
        <w:tab/>
        <w:t>The PMF in the UE sends PMF messages to the PMF in the UPF over Ethernet. The Ethertype is the Ethertype contained in the Measurement Assistance Information. If access performance measurements are performed only over the</w:t>
      </w:r>
      <w:r w:rsidR="00F84AAF" w:rsidRPr="00873B6C">
        <w:t xml:space="preserve"> QoS Flow associated with the default QoS rule</w:t>
      </w:r>
      <w:r w:rsidRPr="00873B6C">
        <w:t xml:space="preserve">, the destination MAC address is one of the two MAC addresses contained in the Measurement Assistance Information. One MAC address is used for sending PMF messages to UPF over 3GPP access and the other MAC address is used for sending PMF </w:t>
      </w:r>
      <w:r w:rsidRPr="00873B6C">
        <w:lastRenderedPageBreak/>
        <w:t>messages to UPF over non-3GPP access. The source MAC address is a MAC address of the UE, which remains the same for the entire lifetime of the MA PDU Session.</w:t>
      </w:r>
    </w:p>
    <w:p w14:paraId="36B58A3C" w14:textId="6F903881" w:rsidR="00AA610D" w:rsidRPr="00873B6C" w:rsidRDefault="00AA610D" w:rsidP="00C74FFE">
      <w:pPr>
        <w:pStyle w:val="B2"/>
      </w:pPr>
      <w:r w:rsidRPr="00873B6C">
        <w:tab/>
        <w:t xml:space="preserve">If access performance measurements per QoS </w:t>
      </w:r>
      <w:r w:rsidR="00426DE4" w:rsidRPr="00873B6C">
        <w:t>F</w:t>
      </w:r>
      <w:r w:rsidRPr="00873B6C">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873B6C" w:rsidRDefault="00AA610D" w:rsidP="00C74FFE">
      <w:pPr>
        <w:pStyle w:val="B2"/>
      </w:pPr>
      <w:r w:rsidRPr="00873B6C">
        <w:t>-</w:t>
      </w:r>
      <w:r w:rsidRPr="00873B6C">
        <w:tab/>
        <w:t>The PMF in the UPF sends PMF messages to the PMF in the UE over Ethernet. The Ethertype is the same Ethertype as the one provided in the Measurement Assistance Information. If access performance measurements are performed only over the</w:t>
      </w:r>
      <w:r w:rsidR="00F84AAF" w:rsidRPr="00873B6C">
        <w:t xml:space="preserve"> QoS Flow associated with the default QoS rule</w:t>
      </w:r>
      <w:r w:rsidRPr="00873B6C">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873B6C" w:rsidRDefault="00AA610D" w:rsidP="00C74FFE">
      <w:pPr>
        <w:pStyle w:val="B2"/>
      </w:pPr>
      <w:r w:rsidRPr="00873B6C">
        <w:tab/>
        <w:t xml:space="preserve">If access performance measurements per </w:t>
      </w:r>
      <w:r w:rsidR="00426DE4" w:rsidRPr="00873B6C">
        <w:t>QoS Flow</w:t>
      </w:r>
      <w:r w:rsidRPr="00873B6C">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873B6C" w:rsidRDefault="00AA610D" w:rsidP="00C74FFE">
      <w:pPr>
        <w:pStyle w:val="B2"/>
      </w:pPr>
      <w:r w:rsidRPr="00873B6C">
        <w:t>-</w:t>
      </w:r>
      <w:r w:rsidRPr="00873B6C">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873B6C" w:rsidRDefault="00AA610D" w:rsidP="00C74FFE">
      <w:pPr>
        <w:pStyle w:val="NO"/>
      </w:pPr>
      <w:r w:rsidRPr="00873B6C">
        <w:t>NOTE 2:</w:t>
      </w:r>
      <w:r w:rsidRPr="00873B6C">
        <w:tab/>
        <w:t>Regardless of whether access performance measurements per QoS Flow is applied or not, the UE only use a single MAC address.</w:t>
      </w:r>
    </w:p>
    <w:p w14:paraId="51ACE4C8" w14:textId="2CB615C2" w:rsidR="00D40151" w:rsidRPr="00873B6C" w:rsidRDefault="00D40151" w:rsidP="00D40151">
      <w:pPr>
        <w:pStyle w:val="Heading4"/>
      </w:pPr>
      <w:bookmarkStart w:id="4682" w:name="_CR5_32_5_2"/>
      <w:bookmarkStart w:id="4683" w:name="_Toc201157587"/>
      <w:bookmarkEnd w:id="4682"/>
      <w:r w:rsidRPr="00873B6C">
        <w:t>5.32.5.2</w:t>
      </w:r>
      <w:r w:rsidRPr="00873B6C">
        <w:tab/>
        <w:t>Round Trip Time Measurements</w:t>
      </w:r>
      <w:bookmarkEnd w:id="4675"/>
      <w:bookmarkEnd w:id="4676"/>
      <w:bookmarkEnd w:id="4677"/>
      <w:bookmarkEnd w:id="4678"/>
      <w:bookmarkEnd w:id="4679"/>
      <w:bookmarkEnd w:id="4680"/>
      <w:bookmarkEnd w:id="4683"/>
    </w:p>
    <w:p w14:paraId="70D1A6B8" w14:textId="141449DA" w:rsidR="00D40151" w:rsidRPr="00873B6C" w:rsidRDefault="00D40151" w:rsidP="00D40151">
      <w:r w:rsidRPr="00873B6C">
        <w:t>RTT measurements can be conducted by the UE and UPF independently. There is no measurement reporting from one side to the other. RTT measurements are defined to support the "Smallest Delay"</w:t>
      </w:r>
      <w:r w:rsidR="00616F73" w:rsidRPr="00873B6C">
        <w:t>, "Priority-based"</w:t>
      </w:r>
      <w:r w:rsidR="00114986" w:rsidRPr="00873B6C">
        <w:t>,</w:t>
      </w:r>
      <w:r w:rsidR="00405088" w:rsidRPr="00873B6C">
        <w:t xml:space="preserve"> "Load Balancing"</w:t>
      </w:r>
      <w:r w:rsidR="00114986" w:rsidRPr="00873B6C">
        <w:t xml:space="preserve"> or "Redundant"</w:t>
      </w:r>
      <w:r w:rsidRPr="00873B6C">
        <w:t xml:space="preserve"> steering mode</w:t>
      </w:r>
      <w:r w:rsidR="00616F73" w:rsidRPr="00873B6C">
        <w:t xml:space="preserve"> (i.e. when RTT threshold value is applied)</w:t>
      </w:r>
      <w:r w:rsidRPr="00873B6C">
        <w:t>.</w:t>
      </w:r>
    </w:p>
    <w:p w14:paraId="35F5C76C" w14:textId="77777777" w:rsidR="00D40151" w:rsidRPr="00873B6C" w:rsidRDefault="00D40151" w:rsidP="00D40151">
      <w:r w:rsidRPr="00873B6C">
        <w:t>The estimation of the RTT by the UE and by the UPF is based on the following mechanism:</w:t>
      </w:r>
    </w:p>
    <w:p w14:paraId="30F04756" w14:textId="1D527788" w:rsidR="00D40151" w:rsidRPr="00873B6C" w:rsidRDefault="00D40151" w:rsidP="00D40151">
      <w:pPr>
        <w:pStyle w:val="B1"/>
      </w:pPr>
      <w:r w:rsidRPr="00873B6C">
        <w:t>1.</w:t>
      </w:r>
      <w:r w:rsidRPr="00873B6C">
        <w:tab/>
        <w:t>The PMF in the UE sends over the user plane PMF-Echo Request messages to the PMF in the UPF</w:t>
      </w:r>
      <w:r w:rsidR="00472CD7" w:rsidRPr="00873B6C">
        <w:t xml:space="preserve"> and</w:t>
      </w:r>
      <w:r w:rsidRPr="00873B6C">
        <w:t xml:space="preserve"> the PMF in the UPF responds to each one with a PMF-Echo Response message. Similarly, the PMF in the UPF sends over the user plane PMF-Echo Request messages to the PMF in the UE</w:t>
      </w:r>
      <w:r w:rsidR="00472CD7" w:rsidRPr="00873B6C">
        <w:t xml:space="preserve"> and</w:t>
      </w:r>
      <w:r w:rsidRPr="00873B6C">
        <w:t xml:space="preserve"> the PMF in the UE responds to each one with a PMF-Echo Response message.</w:t>
      </w:r>
    </w:p>
    <w:p w14:paraId="43B01B09" w14:textId="78F5A822" w:rsidR="00D40151" w:rsidRPr="00873B6C" w:rsidRDefault="00AA610D" w:rsidP="00D40151">
      <w:pPr>
        <w:pStyle w:val="B1"/>
      </w:pPr>
      <w:r w:rsidRPr="00873B6C">
        <w:t>2</w:t>
      </w:r>
      <w:r w:rsidR="00D40151" w:rsidRPr="00873B6C">
        <w:t>.</w:t>
      </w:r>
      <w:r w:rsidR="00D40151" w:rsidRPr="00873B6C">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873B6C" w:rsidRDefault="00AA610D" w:rsidP="00D40151">
      <w:pPr>
        <w:pStyle w:val="B1"/>
      </w:pPr>
      <w:r w:rsidRPr="00873B6C">
        <w:t>3</w:t>
      </w:r>
      <w:r w:rsidR="00D40151" w:rsidRPr="00873B6C">
        <w:t>.</w:t>
      </w:r>
      <w:r w:rsidR="00D40151" w:rsidRPr="00873B6C">
        <w:tab/>
        <w:t>The UE and the UPF derive an estimation of the average RTT over an access type</w:t>
      </w:r>
      <w:r w:rsidR="00405088" w:rsidRPr="00873B6C">
        <w:t xml:space="preserve"> and QoS Flow</w:t>
      </w:r>
      <w:r w:rsidR="00D40151" w:rsidRPr="00873B6C">
        <w:t xml:space="preserve"> by averaging the RTT measurements obtained over this access</w:t>
      </w:r>
      <w:r w:rsidR="00405088" w:rsidRPr="00873B6C">
        <w:t xml:space="preserve"> type and QoS Flow</w:t>
      </w:r>
      <w:r w:rsidR="00D40151" w:rsidRPr="00873B6C">
        <w:t>.</w:t>
      </w:r>
    </w:p>
    <w:p w14:paraId="04D88023" w14:textId="636FC865" w:rsidR="00405088" w:rsidRPr="00873B6C" w:rsidRDefault="00405088" w:rsidP="00405088">
      <w:pPr>
        <w:pStyle w:val="Heading4"/>
      </w:pPr>
      <w:bookmarkStart w:id="4684" w:name="_CR5_32_5_2a"/>
      <w:bookmarkStart w:id="4685" w:name="_Toc20150139"/>
      <w:bookmarkStart w:id="4686" w:name="_Toc27846941"/>
      <w:bookmarkStart w:id="4687" w:name="_Toc36188072"/>
      <w:bookmarkStart w:id="4688" w:name="_Toc45183977"/>
      <w:bookmarkStart w:id="4689" w:name="_Toc47342819"/>
      <w:bookmarkStart w:id="4690" w:name="_Toc51769521"/>
      <w:bookmarkStart w:id="4691" w:name="_Toc201157588"/>
      <w:bookmarkEnd w:id="4684"/>
      <w:r w:rsidRPr="00873B6C">
        <w:t>5.32.5.2a</w:t>
      </w:r>
      <w:r w:rsidRPr="00873B6C">
        <w:tab/>
        <w:t>Packet Loss Rate Measurements</w:t>
      </w:r>
      <w:bookmarkEnd w:id="4691"/>
    </w:p>
    <w:p w14:paraId="00828A66" w14:textId="77777777" w:rsidR="00405088" w:rsidRPr="00873B6C" w:rsidRDefault="00405088" w:rsidP="00405088">
      <w:r w:rsidRPr="00873B6C">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873B6C" w:rsidRDefault="00405088" w:rsidP="00405088">
      <w:r w:rsidRPr="00873B6C">
        <w:t>The UE and the UPF calculate the PLR for an SDF by exchanging PMF-PLR Report messages, as specified below. A PMF-PLR Report message is sent over 3GPP access or over non-3GPP access, using either the</w:t>
      </w:r>
      <w:r w:rsidR="00F84AAF" w:rsidRPr="00873B6C">
        <w:t xml:space="preserve"> QoS Flow associated with the default QoS rule</w:t>
      </w:r>
      <w:r w:rsidRPr="00873B6C">
        <w:t xml:space="preserve"> or a "target" </w:t>
      </w:r>
      <w:r w:rsidR="00426DE4" w:rsidRPr="00873B6C">
        <w:t>QoS Flow</w:t>
      </w:r>
      <w:r w:rsidRPr="00873B6C">
        <w:t>, as specified in clause 5.32.5.1.</w:t>
      </w:r>
    </w:p>
    <w:p w14:paraId="3C20BDE1" w14:textId="069364B5" w:rsidR="00405088" w:rsidRPr="00873B6C" w:rsidRDefault="00405088" w:rsidP="00405088">
      <w:r w:rsidRPr="00873B6C">
        <w:t xml:space="preserve">The calculation of the PLR by the UE and by the UPF is based on the following mechanism. It is assumed that the PLR should be calculated for a target </w:t>
      </w:r>
      <w:r w:rsidR="00426DE4" w:rsidRPr="00873B6C">
        <w:t>QoS Flow</w:t>
      </w:r>
      <w:r w:rsidRPr="00873B6C">
        <w:t>, however, the same mechanism applies when the PLR should be calculated for the</w:t>
      </w:r>
      <w:r w:rsidR="00F84AAF" w:rsidRPr="00873B6C">
        <w:t xml:space="preserve"> QoS Flow associated with the default QoS rule</w:t>
      </w:r>
      <w:r w:rsidRPr="00873B6C">
        <w:t>.</w:t>
      </w:r>
    </w:p>
    <w:p w14:paraId="7BBF331C" w14:textId="4D177797" w:rsidR="00405088" w:rsidRPr="00873B6C" w:rsidRDefault="00405088" w:rsidP="00323277">
      <w:pPr>
        <w:pStyle w:val="B1"/>
      </w:pPr>
      <w:r w:rsidRPr="00873B6C">
        <w:t>-</w:t>
      </w:r>
      <w:r w:rsidRPr="00873B6C">
        <w:tab/>
        <w:t>The UE requests from UPF to start counting the number of received UL packets by sending a PMF-PLR Count Request message</w:t>
      </w:r>
      <w:r w:rsidR="00E3255E" w:rsidRPr="00873B6C">
        <w:t xml:space="preserve"> over the target </w:t>
      </w:r>
      <w:r w:rsidR="00426DE4" w:rsidRPr="00873B6C">
        <w:t>QoS Flow</w:t>
      </w:r>
      <w:r w:rsidRPr="00873B6C">
        <w:t xml:space="preserve">. The UPF starts counting of the received UL packets over the target </w:t>
      </w:r>
      <w:r w:rsidRPr="00873B6C">
        <w:lastRenderedPageBreak/>
        <w:t xml:space="preserve">QoS Flow and over the access network which the PMF-PLR Count Request message was received from. The UE starts counting the transmitted UL packets over the target QoS Flow and access network when it </w:t>
      </w:r>
      <w:r w:rsidR="00E3255E" w:rsidRPr="00873B6C">
        <w:t xml:space="preserve">sends </w:t>
      </w:r>
      <w:r w:rsidRPr="00873B6C">
        <w:t xml:space="preserve">a PMF-PLR Count </w:t>
      </w:r>
      <w:r w:rsidR="00E3255E" w:rsidRPr="00873B6C">
        <w:t xml:space="preserve">Request </w:t>
      </w:r>
      <w:r w:rsidRPr="00873B6C">
        <w:t xml:space="preserve">message </w:t>
      </w:r>
      <w:r w:rsidR="00E3255E" w:rsidRPr="00873B6C">
        <w:t xml:space="preserve">to </w:t>
      </w:r>
      <w:r w:rsidRPr="00873B6C">
        <w:t>UPF.</w:t>
      </w:r>
    </w:p>
    <w:p w14:paraId="3513C82E" w14:textId="2BFCD66B" w:rsidR="00405088" w:rsidRPr="00873B6C" w:rsidRDefault="00405088" w:rsidP="00323277">
      <w:pPr>
        <w:pStyle w:val="B1"/>
      </w:pPr>
      <w:r w:rsidRPr="00873B6C">
        <w:t>-</w:t>
      </w:r>
      <w:r w:rsidRPr="00873B6C">
        <w:tab/>
        <w:t>The UE</w:t>
      </w:r>
      <w:r w:rsidR="00E3255E" w:rsidRPr="00873B6C">
        <w:t xml:space="preserve"> stops the counting and</w:t>
      </w:r>
      <w:r w:rsidRPr="00873B6C">
        <w:t xml:space="preserve"> requests from UPF to report the number of counted UL packets by sending a PMF-PLR Report Request message</w:t>
      </w:r>
      <w:r w:rsidR="00E3255E" w:rsidRPr="00873B6C">
        <w:t xml:space="preserve"> over the target </w:t>
      </w:r>
      <w:r w:rsidR="00426DE4" w:rsidRPr="00873B6C">
        <w:t>QoS Flow</w:t>
      </w:r>
      <w:r w:rsidRPr="00873B6C">
        <w:t>. The UPF</w:t>
      </w:r>
      <w:r w:rsidR="00E3255E" w:rsidRPr="00873B6C">
        <w:t xml:space="preserve"> stops the counting and</w:t>
      </w:r>
      <w:r w:rsidRPr="00873B6C">
        <w:t xml:space="preserve"> sends a PMF-PLR Report Response message</w:t>
      </w:r>
      <w:r w:rsidR="00E3255E" w:rsidRPr="00873B6C">
        <w:t xml:space="preserve"> over the </w:t>
      </w:r>
      <w:r w:rsidR="00426DE4" w:rsidRPr="00873B6C">
        <w:t>QoS Flow</w:t>
      </w:r>
      <w:r w:rsidRPr="00873B6C">
        <w:t xml:space="preserve"> including the number of UL packets counted since it received the last PMF-PLR Count Request message.</w:t>
      </w:r>
    </w:p>
    <w:p w14:paraId="7A5A88EC" w14:textId="3CAC28DD" w:rsidR="00405088" w:rsidRPr="00873B6C" w:rsidRDefault="00405088" w:rsidP="00323277">
      <w:pPr>
        <w:pStyle w:val="NO"/>
      </w:pPr>
      <w:r w:rsidRPr="00873B6C">
        <w:t>NOTE</w:t>
      </w:r>
      <w:r w:rsidR="00E3255E" w:rsidRPr="00873B6C">
        <w:t> 1</w:t>
      </w:r>
      <w:r w:rsidRPr="00873B6C">
        <w:t>:</w:t>
      </w:r>
      <w:r w:rsidRPr="00873B6C">
        <w:tab/>
        <w:t>A PMF-PLR Report Request message can also indicate to UPF to start counting packets if the UE wants to measure the Packet Loss Rate again.</w:t>
      </w:r>
    </w:p>
    <w:p w14:paraId="0D73E103" w14:textId="77777777" w:rsidR="00405088" w:rsidRPr="00873B6C" w:rsidRDefault="00405088" w:rsidP="00323277">
      <w:pPr>
        <w:pStyle w:val="B1"/>
      </w:pPr>
      <w:r w:rsidRPr="00873B6C">
        <w:t>-</w:t>
      </w:r>
      <w:r w:rsidRPr="00873B6C">
        <w:tab/>
        <w:t>The UE calculates the UL packet loss ratio based on the local counting result of the number of transmitted UL packets and reported number of received UL packets in the UPF.</w:t>
      </w:r>
    </w:p>
    <w:p w14:paraId="60079370" w14:textId="009D7C81" w:rsidR="00405088" w:rsidRPr="00873B6C" w:rsidRDefault="00405088" w:rsidP="00323277">
      <w:pPr>
        <w:pStyle w:val="B1"/>
      </w:pPr>
      <w:r w:rsidRPr="00873B6C">
        <w:t>-</w:t>
      </w:r>
      <w:r w:rsidRPr="00873B6C">
        <w:tab/>
        <w:t>The UPF applies the same procedure for calculating the DL PLR</w:t>
      </w:r>
      <w:r w:rsidR="00B04F2B" w:rsidRPr="00873B6C">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873B6C" w:rsidRDefault="00405088" w:rsidP="00323277">
      <w:pPr>
        <w:pStyle w:val="B1"/>
      </w:pPr>
      <w:r w:rsidRPr="00873B6C">
        <w:t>-</w:t>
      </w:r>
      <w:r w:rsidRPr="00873B6C">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873B6C" w:rsidRDefault="00405088" w:rsidP="00323277">
      <w:pPr>
        <w:pStyle w:val="B1"/>
      </w:pPr>
      <w:r w:rsidRPr="00873B6C">
        <w:t>-</w:t>
      </w:r>
      <w:r w:rsidRPr="00873B6C">
        <w:tab/>
        <w:t>The UE and the UPF derive an estimation of the average PLR per QoS Flow over an access type by averaging the PLR measurements obtained over this access.</w:t>
      </w:r>
    </w:p>
    <w:p w14:paraId="698074E6" w14:textId="2BA34542" w:rsidR="00E3255E" w:rsidRPr="00873B6C" w:rsidRDefault="00E3255E" w:rsidP="00E3255E">
      <w:pPr>
        <w:pStyle w:val="NO"/>
      </w:pPr>
      <w:r w:rsidRPr="00873B6C">
        <w:t>NOTE 2:</w:t>
      </w:r>
      <w:r w:rsidRPr="00873B6C">
        <w:tab/>
        <w:t>The details of the packet loss measurements, including error cases and mechanisms for improving the measurement accuracy, are considered in the Stage 3 specifications.</w:t>
      </w:r>
    </w:p>
    <w:p w14:paraId="5B7DE122" w14:textId="43934C07" w:rsidR="00D40151" w:rsidRPr="00873B6C" w:rsidRDefault="00D40151" w:rsidP="00D40151">
      <w:pPr>
        <w:pStyle w:val="Heading4"/>
      </w:pPr>
      <w:bookmarkStart w:id="4692" w:name="_CR5_32_5_3"/>
      <w:bookmarkStart w:id="4693" w:name="_Toc201157589"/>
      <w:bookmarkEnd w:id="4692"/>
      <w:r w:rsidRPr="00873B6C">
        <w:t>5.32.5.3</w:t>
      </w:r>
      <w:r w:rsidRPr="00873B6C">
        <w:tab/>
        <w:t>Access Availability/Unavailability Report</w:t>
      </w:r>
      <w:bookmarkEnd w:id="4685"/>
      <w:bookmarkEnd w:id="4686"/>
      <w:bookmarkEnd w:id="4687"/>
      <w:bookmarkEnd w:id="4688"/>
      <w:bookmarkEnd w:id="4689"/>
      <w:bookmarkEnd w:id="4690"/>
      <w:bookmarkEnd w:id="4693"/>
    </w:p>
    <w:p w14:paraId="0732B497" w14:textId="7140740F" w:rsidR="00D40151" w:rsidRPr="00873B6C" w:rsidRDefault="00D40151" w:rsidP="00D40151">
      <w:r w:rsidRPr="00873B6C">
        <w:t>If required by the network in the Measurement Assistance Information, the UE shall provide access availability/unavailability reports to the network. How the UE detects the unavailability and the availability of an access is based on implementation.</w:t>
      </w:r>
      <w:r w:rsidR="0001796C" w:rsidRPr="00873B6C">
        <w:t xml:space="preserve"> The CM state of a UE is not a factor when determining whether the 3GPP access is available.</w:t>
      </w:r>
      <w:r w:rsidRPr="00873B6C">
        <w:t xml:space="preserve"> When the UE detects the unavailability/availability of an access, it shall:</w:t>
      </w:r>
    </w:p>
    <w:p w14:paraId="3F46B329" w14:textId="77777777" w:rsidR="00D40151" w:rsidRPr="00873B6C" w:rsidRDefault="00D40151" w:rsidP="00D40151">
      <w:pPr>
        <w:pStyle w:val="B1"/>
      </w:pPr>
      <w:r w:rsidRPr="00873B6C">
        <w:t>-</w:t>
      </w:r>
      <w:r w:rsidRPr="00873B6C">
        <w:tab/>
        <w:t>build a PMF-Access Report containing the access type and an indication of availability/unavailability of this access;</w:t>
      </w:r>
    </w:p>
    <w:p w14:paraId="16540F7A" w14:textId="77777777" w:rsidR="00D40151" w:rsidRPr="00873B6C" w:rsidRDefault="00D40151" w:rsidP="00D40151">
      <w:pPr>
        <w:pStyle w:val="B1"/>
      </w:pPr>
      <w:r w:rsidRPr="00873B6C">
        <w:t>-</w:t>
      </w:r>
      <w:r w:rsidRPr="00873B6C">
        <w:tab/>
        <w:t>send the PMF-Access Report to the UPF via the user plane.</w:t>
      </w:r>
    </w:p>
    <w:p w14:paraId="31E27E28" w14:textId="77777777" w:rsidR="00D40151" w:rsidRPr="00873B6C" w:rsidRDefault="00D40151" w:rsidP="00D40151">
      <w:r w:rsidRPr="00873B6C">
        <w:t>The UPF shall acknowledge the PMF-Access Report received from the UE.</w:t>
      </w:r>
    </w:p>
    <w:p w14:paraId="590E9F45" w14:textId="77777777" w:rsidR="00D40151" w:rsidRPr="00873B6C" w:rsidRDefault="00D40151" w:rsidP="00D40151">
      <w:pPr>
        <w:pStyle w:val="Heading4"/>
      </w:pPr>
      <w:bookmarkStart w:id="4694" w:name="_CR5_32_5_4"/>
      <w:bookmarkStart w:id="4695" w:name="_Toc20150140"/>
      <w:bookmarkStart w:id="4696" w:name="_Toc27846942"/>
      <w:bookmarkStart w:id="4697" w:name="_Toc36188073"/>
      <w:bookmarkStart w:id="4698" w:name="_Toc45183978"/>
      <w:bookmarkStart w:id="4699" w:name="_Toc47342820"/>
      <w:bookmarkStart w:id="4700" w:name="_Toc51769522"/>
      <w:bookmarkStart w:id="4701" w:name="_Toc201157590"/>
      <w:bookmarkEnd w:id="4694"/>
      <w:r w:rsidRPr="00873B6C">
        <w:lastRenderedPageBreak/>
        <w:t>5.32.5.4</w:t>
      </w:r>
      <w:r w:rsidRPr="00873B6C">
        <w:tab/>
        <w:t>Protocol stack for user plane measurements and measurement reports</w:t>
      </w:r>
      <w:bookmarkEnd w:id="4695"/>
      <w:bookmarkEnd w:id="4696"/>
      <w:bookmarkEnd w:id="4697"/>
      <w:bookmarkEnd w:id="4698"/>
      <w:bookmarkEnd w:id="4699"/>
      <w:bookmarkEnd w:id="4700"/>
      <w:bookmarkEnd w:id="4701"/>
    </w:p>
    <w:p w14:paraId="14907D33" w14:textId="671C057F" w:rsidR="00C922CA" w:rsidRPr="00873B6C" w:rsidRDefault="00C922CA" w:rsidP="00B96062">
      <w:pPr>
        <w:pStyle w:val="TH"/>
      </w:pPr>
      <w:r w:rsidRPr="00873B6C">
        <w:object w:dxaOrig="6724" w:dyaOrig="3077" w14:anchorId="1D8F111E">
          <v:shape id="_x0000_i1108" type="#_x0000_t75" style="width:334.35pt;height:153.4pt" o:ole="">
            <v:imagedata r:id="rId175" o:title=""/>
          </v:shape>
          <o:OLEObject Type="Embed" ProgID="Word.Picture.8" ShapeID="_x0000_i1108" DrawAspect="Content" ObjectID="_1811772442" r:id="rId176"/>
        </w:object>
      </w:r>
    </w:p>
    <w:p w14:paraId="3C68FF27" w14:textId="3D55DCB0" w:rsidR="00D40151" w:rsidRPr="00873B6C" w:rsidRDefault="00D40151" w:rsidP="00D40151">
      <w:pPr>
        <w:pStyle w:val="TF"/>
      </w:pPr>
      <w:bookmarkStart w:id="4702" w:name="_CRFigure5_32_5_41"/>
      <w:r w:rsidRPr="00873B6C">
        <w:t xml:space="preserve">Figure </w:t>
      </w:r>
      <w:bookmarkEnd w:id="4702"/>
      <w:r w:rsidRPr="00873B6C">
        <w:t>5.32.5.4-1: UE/UPF measurements related protocol stack for 3GPP access and for an MA PDU Session with type IP</w:t>
      </w:r>
    </w:p>
    <w:p w14:paraId="23114DE4" w14:textId="77777777" w:rsidR="00D40151" w:rsidRPr="00873B6C" w:rsidRDefault="00D40151" w:rsidP="00D40151">
      <w:r w:rsidRPr="00873B6C">
        <w:t>In the case of an MA PDU Session with type Ethernet, the protocol stack over 3GPP access is that same as the one in the above figure, but the PMF protocol operates on top of Ethernet, instead of UDP/IP.</w:t>
      </w:r>
    </w:p>
    <w:bookmarkStart w:id="4703" w:name="_MON_1693491459"/>
    <w:bookmarkEnd w:id="4703"/>
    <w:p w14:paraId="62E8E515" w14:textId="4B1B1AEB" w:rsidR="00824EE1" w:rsidRPr="00873B6C" w:rsidRDefault="00824EE1" w:rsidP="00461850">
      <w:pPr>
        <w:pStyle w:val="TH"/>
      </w:pPr>
      <w:r w:rsidRPr="00873B6C">
        <w:object w:dxaOrig="8931" w:dyaOrig="3399" w14:anchorId="4A94D779">
          <v:shape id="_x0000_i1109" type="#_x0000_t75" style="width:446.4pt;height:169.05pt" o:ole="">
            <v:imagedata r:id="rId177" o:title=""/>
          </v:shape>
          <o:OLEObject Type="Embed" ProgID="Word.Picture.8" ShapeID="_x0000_i1109" DrawAspect="Content" ObjectID="_1811772443" r:id="rId178"/>
        </w:object>
      </w:r>
    </w:p>
    <w:p w14:paraId="348F79D5" w14:textId="457F6D4F" w:rsidR="00D40151" w:rsidRPr="00873B6C" w:rsidRDefault="00D40151" w:rsidP="00D40151">
      <w:pPr>
        <w:pStyle w:val="TF"/>
      </w:pPr>
      <w:bookmarkStart w:id="4704" w:name="_CRFigure5_32_5_42"/>
      <w:r w:rsidRPr="00873B6C">
        <w:t xml:space="preserve">Figure </w:t>
      </w:r>
      <w:bookmarkEnd w:id="4704"/>
      <w:r w:rsidRPr="00873B6C">
        <w:t>5.32.5.4-2: UE/UPF measurements related protocol stack for</w:t>
      </w:r>
      <w:r w:rsidR="00824EE1" w:rsidRPr="00873B6C">
        <w:t xml:space="preserve"> Untrusted</w:t>
      </w:r>
      <w:r w:rsidRPr="00873B6C">
        <w:t xml:space="preserve"> non-3GPP access and for an MA PDU Session with type IP</w:t>
      </w:r>
    </w:p>
    <w:p w14:paraId="7F41B15F" w14:textId="7C081194" w:rsidR="00D40151" w:rsidRPr="00873B6C" w:rsidRDefault="00D40151" w:rsidP="00D40151">
      <w:r w:rsidRPr="00873B6C">
        <w:t>In the case of an MA PDU Session with type Ethernet, the protocol stack over</w:t>
      </w:r>
      <w:r w:rsidR="00824EE1" w:rsidRPr="00873B6C">
        <w:t xml:space="preserve"> Untrusted</w:t>
      </w:r>
      <w:r w:rsidRPr="00873B6C">
        <w:t xml:space="preserve"> non-3GPP access is </w:t>
      </w:r>
      <w:r w:rsidR="00824EE1" w:rsidRPr="00873B6C">
        <w:t xml:space="preserve">the </w:t>
      </w:r>
      <w:r w:rsidRPr="00873B6C">
        <w:t>same as the one in the above figure, but the PMF protocol operates on top of Ethernet, instead of UDP/IP.</w:t>
      </w:r>
    </w:p>
    <w:bookmarkStart w:id="4705" w:name="_Toc20150141"/>
    <w:bookmarkStart w:id="4706" w:name="_Toc27846943"/>
    <w:bookmarkStart w:id="4707" w:name="_Toc36188074"/>
    <w:bookmarkStart w:id="4708" w:name="_Toc45183979"/>
    <w:bookmarkStart w:id="4709" w:name="_Toc47342821"/>
    <w:bookmarkStart w:id="4710" w:name="_Toc51769523"/>
    <w:bookmarkStart w:id="4711" w:name="_MON_1693484984"/>
    <w:bookmarkEnd w:id="4711"/>
    <w:p w14:paraId="77E13F80" w14:textId="77777777" w:rsidR="00824EE1" w:rsidRPr="00873B6C" w:rsidRDefault="00824EE1" w:rsidP="00824EE1">
      <w:pPr>
        <w:pStyle w:val="TH"/>
      </w:pPr>
      <w:r w:rsidRPr="00873B6C">
        <w:object w:dxaOrig="8931" w:dyaOrig="3400" w14:anchorId="70834B00">
          <v:shape id="_x0000_i1110" type="#_x0000_t75" style="width:446.4pt;height:168.4pt" o:ole="">
            <v:imagedata r:id="rId179" o:title=""/>
          </v:shape>
          <o:OLEObject Type="Embed" ProgID="Word.Picture.8" ShapeID="_x0000_i1110" DrawAspect="Content" ObjectID="_1811772444" r:id="rId180"/>
        </w:object>
      </w:r>
    </w:p>
    <w:p w14:paraId="174DFF1F" w14:textId="77777777" w:rsidR="00824EE1" w:rsidRPr="00873B6C" w:rsidRDefault="00824EE1" w:rsidP="00824EE1">
      <w:pPr>
        <w:pStyle w:val="TF"/>
      </w:pPr>
      <w:bookmarkStart w:id="4712" w:name="_CRFigure5_32_5_43"/>
      <w:r w:rsidRPr="00873B6C">
        <w:t xml:space="preserve">Figure </w:t>
      </w:r>
      <w:bookmarkEnd w:id="4712"/>
      <w:r w:rsidRPr="00873B6C">
        <w:t>5.32.5.4-3: UE/UPF measurements related protocol stack for Trusted non-3GPP access and for an MA PDU Session with type IP</w:t>
      </w:r>
    </w:p>
    <w:p w14:paraId="3DA7A07C" w14:textId="408A47A8" w:rsidR="00824EE1" w:rsidRPr="00873B6C" w:rsidRDefault="00824EE1" w:rsidP="00824EE1">
      <w:r w:rsidRPr="00873B6C">
        <w:lastRenderedPageBreak/>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873B6C" w:rsidRDefault="00C922CA" w:rsidP="00C922CA">
      <w:pPr>
        <w:pStyle w:val="Heading4"/>
      </w:pPr>
      <w:bookmarkStart w:id="4713" w:name="_CR5_32_5_5"/>
      <w:bookmarkStart w:id="4714" w:name="_Toc201157591"/>
      <w:bookmarkEnd w:id="4713"/>
      <w:r w:rsidRPr="00873B6C">
        <w:t>5.32.5.5</w:t>
      </w:r>
      <w:r w:rsidRPr="00873B6C">
        <w:tab/>
        <w:t>UE Assistance</w:t>
      </w:r>
      <w:r w:rsidR="00C25C3D" w:rsidRPr="00873B6C">
        <w:t xml:space="preserve"> Operation</w:t>
      </w:r>
      <w:bookmarkEnd w:id="4714"/>
    </w:p>
    <w:p w14:paraId="513A3D7E" w14:textId="10A8788F" w:rsidR="00C25C3D" w:rsidRPr="00873B6C" w:rsidRDefault="00C25C3D" w:rsidP="00C922CA">
      <w:r w:rsidRPr="00873B6C">
        <w:t>When UE-assistance operation is authorized by the PCF in the PCC Rule, the SMF provides an indication for UE-assistance in the ATSSS Rule to the UE, as described in clause 5.32.8</w:t>
      </w:r>
      <w:r w:rsidR="00472CD7" w:rsidRPr="00873B6C">
        <w:t xml:space="preserve"> and</w:t>
      </w:r>
      <w:r w:rsidRPr="00873B6C">
        <w:t xml:space="preserve"> in the MAR to the UPF, as described in clause </w:t>
      </w:r>
      <w:r w:rsidR="003D4653" w:rsidRPr="00873B6C">
        <w:t>5.8.5</w:t>
      </w:r>
      <w:r w:rsidRPr="00873B6C">
        <w:t>.8.</w:t>
      </w:r>
    </w:p>
    <w:p w14:paraId="754EF50D" w14:textId="26ACE0D6" w:rsidR="00C922CA" w:rsidRPr="00873B6C" w:rsidRDefault="00C922CA" w:rsidP="00C922CA">
      <w:r w:rsidRPr="00873B6C">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873B6C" w:rsidRDefault="00426DE4" w:rsidP="00562E84">
      <w:pPr>
        <w:pStyle w:val="B1"/>
      </w:pPr>
      <w:r w:rsidRPr="00873B6C">
        <w:t>-</w:t>
      </w:r>
      <w:r w:rsidRPr="00873B6C">
        <w:tab/>
        <w:t>The UE may apply any split percentages for the UL traffic distribution of an SDF, based on implementation specific criteria.</w:t>
      </w:r>
    </w:p>
    <w:p w14:paraId="13E6C5A8" w14:textId="59D5383A" w:rsidR="00C922CA" w:rsidRPr="00873B6C" w:rsidRDefault="00C922CA" w:rsidP="00562E84">
      <w:pPr>
        <w:pStyle w:val="B1"/>
      </w:pPr>
      <w:r w:rsidRPr="00873B6C">
        <w:t>-</w:t>
      </w:r>
      <w:r w:rsidRPr="00873B6C">
        <w:tab/>
        <w:t>The UE may send a PMF-UAD (UE Assistance Data) message to UPF that contains</w:t>
      </w:r>
      <w:r w:rsidR="00C25C3D" w:rsidRPr="00873B6C">
        <w:t xml:space="preserve"> the split percentages that may be used by UPF for all DL traffic that the UE-assistance operation applies</w:t>
      </w:r>
      <w:r w:rsidRPr="00873B6C">
        <w:t>.</w:t>
      </w:r>
      <w:r w:rsidR="006F101E" w:rsidRPr="00873B6C">
        <w:t xml:space="preserve"> The UPF acknowledges the reception of the PMF-UAD message by sending a PMF-UAD complete message to the UE.</w:t>
      </w:r>
    </w:p>
    <w:p w14:paraId="688BE669" w14:textId="072CFAE8" w:rsidR="00C25C3D" w:rsidRPr="00873B6C" w:rsidRDefault="00C25C3D" w:rsidP="00C74FFE">
      <w:pPr>
        <w:pStyle w:val="NO"/>
      </w:pPr>
      <w:r w:rsidRPr="00873B6C">
        <w:t>NOTE:</w:t>
      </w:r>
      <w:r w:rsidRPr="00873B6C">
        <w:tab/>
        <w:t>If the UE has multiple ATSSS rules that allow UE-assistance operation</w:t>
      </w:r>
      <w:r w:rsidR="00472CD7" w:rsidRPr="00873B6C">
        <w:t xml:space="preserve"> and</w:t>
      </w:r>
      <w:r w:rsidRPr="00873B6C">
        <w:t xml:space="preserve"> the UE decides to use different UL</w:t>
      </w:r>
      <w:r w:rsidR="00426DE4" w:rsidRPr="00873B6C">
        <w:t xml:space="preserve"> split</w:t>
      </w:r>
      <w:r w:rsidRPr="00873B6C">
        <w:t xml:space="preserve"> percentages for their respective SDFs, then the split percentages included in the PMF-UAD message are selected by the UE based on implementation specific criteria.</w:t>
      </w:r>
    </w:p>
    <w:p w14:paraId="5DF5932A" w14:textId="1E153682" w:rsidR="00C922CA" w:rsidRPr="00873B6C" w:rsidRDefault="00C922CA" w:rsidP="00562E84">
      <w:pPr>
        <w:pStyle w:val="B1"/>
      </w:pPr>
      <w:r w:rsidRPr="00873B6C">
        <w:t>-</w:t>
      </w:r>
      <w:r w:rsidRPr="00873B6C">
        <w:tab/>
        <w:t>The UPF may apply the information in a received PMF-UAD message to align the DL traffic distribution for</w:t>
      </w:r>
      <w:r w:rsidR="00C25C3D" w:rsidRPr="00873B6C">
        <w:t xml:space="preserve"> traffic that is allowed to use UE-assistance operation, i.e. traffic where the MAR contains a Steering Mode Indicator set to UE-assistance operation</w:t>
      </w:r>
      <w:r w:rsidRPr="00873B6C">
        <w:t>.</w:t>
      </w:r>
    </w:p>
    <w:p w14:paraId="08B922F9" w14:textId="6BDB6A42" w:rsidR="00AA610D" w:rsidRPr="00873B6C" w:rsidRDefault="00AA610D" w:rsidP="00C74FFE">
      <w:pPr>
        <w:pStyle w:val="B1"/>
      </w:pPr>
      <w:r w:rsidRPr="00873B6C">
        <w:t>-</w:t>
      </w:r>
      <w:r w:rsidRPr="00873B6C">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873B6C">
        <w:t xml:space="preserve"> split percentages in the</w:t>
      </w:r>
      <w:r w:rsidRPr="00873B6C">
        <w:t xml:space="preserve"> ATSSS rule received from the network. If the UPF receives the PMF-UAT message, the UPF</w:t>
      </w:r>
      <w:r w:rsidR="006F101E" w:rsidRPr="00873B6C">
        <w:t xml:space="preserve"> acknowledges the reception by sending a PMF-UAT complete message and</w:t>
      </w:r>
      <w:r w:rsidR="00426DE4" w:rsidRPr="00873B6C">
        <w:t xml:space="preserve"> performs DL traffic distribution by applying the split percentages included in the MAR</w:t>
      </w:r>
      <w:r w:rsidRPr="00873B6C">
        <w:t>.</w:t>
      </w:r>
    </w:p>
    <w:p w14:paraId="5488AD38" w14:textId="4AB02B44" w:rsidR="00F03116" w:rsidRPr="00873B6C" w:rsidRDefault="00F03116" w:rsidP="00F03116">
      <w:pPr>
        <w:pStyle w:val="Heading4"/>
      </w:pPr>
      <w:bookmarkStart w:id="4715" w:name="_CR5_32_5_6"/>
      <w:bookmarkStart w:id="4716" w:name="_Toc201157592"/>
      <w:bookmarkEnd w:id="4715"/>
      <w:r w:rsidRPr="00873B6C">
        <w:t>5.32.5.6</w:t>
      </w:r>
      <w:r w:rsidRPr="00873B6C">
        <w:tab/>
        <w:t>Suspend and Resume Traffic Duplication</w:t>
      </w:r>
      <w:bookmarkEnd w:id="4716"/>
    </w:p>
    <w:p w14:paraId="6CAFE610" w14:textId="445742DB" w:rsidR="00F03116" w:rsidRPr="00873B6C" w:rsidRDefault="00F03116" w:rsidP="00F03116">
      <w:r w:rsidRPr="00873B6C">
        <w:t xml:space="preserve">As part of the Redundant Steering Mode, </w:t>
      </w:r>
      <w:r w:rsidR="00FA5436" w:rsidRPr="00873B6C">
        <w:t xml:space="preserve">a </w:t>
      </w:r>
      <w:r w:rsidRPr="00873B6C">
        <w:t>UPF can decide to suspend traffic duplication for a UE by sending PMF- Suspend Duplication Request message to the UE. How the UPF determines to suspend traffic duplication is implementation specific.</w:t>
      </w:r>
    </w:p>
    <w:p w14:paraId="31A762F3" w14:textId="3A403117" w:rsidR="00F03116" w:rsidRPr="00873B6C" w:rsidRDefault="00F03116" w:rsidP="00972E70">
      <w:pPr>
        <w:pStyle w:val="NO"/>
      </w:pPr>
      <w:r w:rsidRPr="00873B6C">
        <w:t>NOTE 1:</w:t>
      </w:r>
      <w:r w:rsidRPr="00873B6C">
        <w:tab/>
      </w:r>
      <w:r w:rsidR="00FA5436" w:rsidRPr="00873B6C">
        <w:t xml:space="preserve">The </w:t>
      </w:r>
      <w:r w:rsidRPr="00873B6C">
        <w:t>Suspension</w:t>
      </w:r>
      <w:r w:rsidR="00FA5436" w:rsidRPr="00873B6C">
        <w:t xml:space="preserve"> of traffic duplication can be caused by e.g. the locally detected</w:t>
      </w:r>
      <w:r w:rsidRPr="00873B6C">
        <w:t xml:space="preserve"> UPF congestion. In that way the UPF can stop receiving duplicated traffic via 3GPP and non-3GPP access</w:t>
      </w:r>
      <w:r w:rsidR="00FA5436" w:rsidRPr="00873B6C">
        <w:t xml:space="preserve"> network</w:t>
      </w:r>
      <w:r w:rsidRPr="00873B6C">
        <w:t xml:space="preserve"> simultaneously.</w:t>
      </w:r>
    </w:p>
    <w:p w14:paraId="35BF52B3" w14:textId="4BA80843" w:rsidR="00F03116" w:rsidRPr="00873B6C" w:rsidRDefault="00F03116" w:rsidP="00F03116">
      <w:r w:rsidRPr="00873B6C">
        <w:t>The UPF may indicate in</w:t>
      </w:r>
      <w:r w:rsidR="00FA5436" w:rsidRPr="00873B6C">
        <w:t xml:space="preserve"> the</w:t>
      </w:r>
      <w:r w:rsidRPr="00873B6C">
        <w:t xml:space="preserve"> PMF-Suspend Duplication Request message the type of traffic (i.e. GBR or non-GBR) for which traffic duplication is being suspended.</w:t>
      </w:r>
      <w:r w:rsidR="0029208C" w:rsidRPr="00873B6C">
        <w:t xml:space="preserve"> </w:t>
      </w:r>
      <w:r w:rsidR="00FA5436" w:rsidRPr="00873B6C">
        <w:t xml:space="preserve">The </w:t>
      </w:r>
      <w:r w:rsidR="0029208C" w:rsidRPr="00873B6C">
        <w:t xml:space="preserve">PMF-Suspend Duplication Request message is sent </w:t>
      </w:r>
      <w:r w:rsidR="00FA5436" w:rsidRPr="00873B6C">
        <w:t xml:space="preserve">over </w:t>
      </w:r>
      <w:r w:rsidR="0029208C" w:rsidRPr="00873B6C">
        <w:t>the user plane of any available access</w:t>
      </w:r>
      <w:r w:rsidR="00FA5436" w:rsidRPr="00873B6C">
        <w:t xml:space="preserve"> network</w:t>
      </w:r>
      <w:r w:rsidR="0029208C" w:rsidRPr="00873B6C">
        <w:t xml:space="preserve"> of the MA PDU Session.</w:t>
      </w:r>
      <w:r w:rsidRPr="00873B6C">
        <w:t xml:space="preserve"> Once the UE receives</w:t>
      </w:r>
      <w:r w:rsidR="00FA5436" w:rsidRPr="00873B6C">
        <w:t xml:space="preserve"> the</w:t>
      </w:r>
      <w:r w:rsidRPr="00873B6C">
        <w:t xml:space="preserve"> PMF-Suspend Duplication Request message from the UPF, the UE shall stop duplicating the type of traffic for which traffic duplication is suspended.</w:t>
      </w:r>
    </w:p>
    <w:p w14:paraId="41BD57A2" w14:textId="35EFAA9D" w:rsidR="00FA5436" w:rsidRPr="00873B6C" w:rsidRDefault="00FA5436" w:rsidP="00FA5436">
      <w:r w:rsidRPr="00873B6C">
        <w:t>If the UPF does not provide the type of traffic (GBR or non-GBR) in the PMF-Suspend Duplication Request message, traffic duplication is suspended for all traffic for which traffic duplication is being performed. Once UPF suspended traffic duplication and if no Primary Access is configured, both the UE and the UPF decide, based on their own implementation, which access network to use for sending UL and DL traffic. If the Primary Access is configured, both the UE and the UPF use the Primary Access for sending UL and DL traffic.</w:t>
      </w:r>
    </w:p>
    <w:p w14:paraId="288344DA" w14:textId="666EA477" w:rsidR="00F03116" w:rsidRPr="00873B6C" w:rsidRDefault="00FA5436" w:rsidP="00F03116">
      <w:r w:rsidRPr="00873B6C">
        <w:t xml:space="preserve">The </w:t>
      </w:r>
      <w:r w:rsidR="00F03116" w:rsidRPr="00873B6C">
        <w:t xml:space="preserve">UPF may decide to resume traffic duplication for a UE by sending </w:t>
      </w:r>
      <w:r w:rsidRPr="00873B6C">
        <w:t xml:space="preserve">the </w:t>
      </w:r>
      <w:r w:rsidR="00F03116" w:rsidRPr="00873B6C">
        <w:t>PMF-Resume Duplication Request message. How the UPF determines to resume traffic duplication is implementation specific.</w:t>
      </w:r>
    </w:p>
    <w:p w14:paraId="2C24B349" w14:textId="4230EF70" w:rsidR="00F03116" w:rsidRPr="00873B6C" w:rsidRDefault="00F03116" w:rsidP="00972E70">
      <w:pPr>
        <w:pStyle w:val="NO"/>
      </w:pPr>
      <w:r w:rsidRPr="00873B6C">
        <w:t>NOTE </w:t>
      </w:r>
      <w:r w:rsidR="00FA5436" w:rsidRPr="00873B6C">
        <w:t>2</w:t>
      </w:r>
      <w:r w:rsidRPr="00873B6C">
        <w:t>:</w:t>
      </w:r>
      <w:r w:rsidR="00FA5436" w:rsidRPr="00873B6C">
        <w:tab/>
        <w:t>T</w:t>
      </w:r>
      <w:r w:rsidRPr="00873B6C">
        <w:t>raffic duplication can</w:t>
      </w:r>
      <w:r w:rsidR="00FA5436" w:rsidRPr="00873B6C">
        <w:t xml:space="preserve"> be resumed</w:t>
      </w:r>
      <w:r w:rsidRPr="00873B6C">
        <w:t xml:space="preserve"> e.g.</w:t>
      </w:r>
      <w:r w:rsidR="00FA5436" w:rsidRPr="00873B6C">
        <w:t xml:space="preserve"> when the</w:t>
      </w:r>
      <w:r w:rsidRPr="00873B6C">
        <w:t xml:space="preserve"> UPF has detected that local congestion has diminished.</w:t>
      </w:r>
    </w:p>
    <w:p w14:paraId="76AC808D" w14:textId="6A5E7B38" w:rsidR="00F03116" w:rsidRPr="00873B6C" w:rsidRDefault="00F03116" w:rsidP="00F03116">
      <w:r w:rsidRPr="00873B6C">
        <w:t xml:space="preserve">Once the UE receives </w:t>
      </w:r>
      <w:r w:rsidR="00FA5436" w:rsidRPr="00873B6C">
        <w:t xml:space="preserve">the </w:t>
      </w:r>
      <w:r w:rsidRPr="00873B6C">
        <w:t>PMF-Resume Duplication Request message from the UPF, the UE may</w:t>
      </w:r>
      <w:r w:rsidR="00FA5436" w:rsidRPr="00873B6C">
        <w:t xml:space="preserve"> restart to</w:t>
      </w:r>
      <w:r w:rsidRPr="00873B6C">
        <w:t xml:space="preserve"> duplicate the type of traffic for which traffic duplication is resumed based on the provided Redundant steering mode policies and UE implementation.</w:t>
      </w:r>
    </w:p>
    <w:p w14:paraId="163E9747" w14:textId="6EFD5BD6" w:rsidR="00D40151" w:rsidRPr="00873B6C" w:rsidRDefault="00D40151" w:rsidP="00D40151">
      <w:pPr>
        <w:pStyle w:val="Heading3"/>
      </w:pPr>
      <w:bookmarkStart w:id="4717" w:name="_CR5_32_6"/>
      <w:bookmarkStart w:id="4718" w:name="_Toc201157593"/>
      <w:bookmarkEnd w:id="4717"/>
      <w:r w:rsidRPr="00873B6C">
        <w:lastRenderedPageBreak/>
        <w:t>5.32.6</w:t>
      </w:r>
      <w:r w:rsidRPr="00873B6C">
        <w:tab/>
        <w:t>Support of Steering Functionalities</w:t>
      </w:r>
      <w:bookmarkEnd w:id="4705"/>
      <w:bookmarkEnd w:id="4706"/>
      <w:bookmarkEnd w:id="4707"/>
      <w:bookmarkEnd w:id="4708"/>
      <w:bookmarkEnd w:id="4709"/>
      <w:bookmarkEnd w:id="4710"/>
      <w:bookmarkEnd w:id="4718"/>
    </w:p>
    <w:p w14:paraId="7A3E4BBE" w14:textId="77777777" w:rsidR="00D40151" w:rsidRPr="00873B6C" w:rsidRDefault="00D40151" w:rsidP="00D40151">
      <w:pPr>
        <w:pStyle w:val="Heading4"/>
      </w:pPr>
      <w:bookmarkStart w:id="4719" w:name="_CR5_32_6_1"/>
      <w:bookmarkStart w:id="4720" w:name="_Toc20150142"/>
      <w:bookmarkStart w:id="4721" w:name="_Toc27846944"/>
      <w:bookmarkStart w:id="4722" w:name="_Toc36188075"/>
      <w:bookmarkStart w:id="4723" w:name="_Toc45183980"/>
      <w:bookmarkStart w:id="4724" w:name="_Toc47342822"/>
      <w:bookmarkStart w:id="4725" w:name="_Toc51769524"/>
      <w:bookmarkStart w:id="4726" w:name="_Toc201157594"/>
      <w:bookmarkEnd w:id="4719"/>
      <w:r w:rsidRPr="00873B6C">
        <w:t>5.32.6.1</w:t>
      </w:r>
      <w:r w:rsidRPr="00873B6C">
        <w:tab/>
        <w:t>General</w:t>
      </w:r>
      <w:bookmarkEnd w:id="4720"/>
      <w:bookmarkEnd w:id="4721"/>
      <w:bookmarkEnd w:id="4722"/>
      <w:bookmarkEnd w:id="4723"/>
      <w:bookmarkEnd w:id="4724"/>
      <w:bookmarkEnd w:id="4725"/>
      <w:bookmarkEnd w:id="4726"/>
    </w:p>
    <w:p w14:paraId="42ECA6C5" w14:textId="77777777" w:rsidR="00D40151" w:rsidRPr="00873B6C" w:rsidRDefault="00D40151" w:rsidP="00D40151">
      <w:r w:rsidRPr="00873B6C">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873B6C" w:rsidRDefault="00D40151" w:rsidP="00D40151">
      <w:pPr>
        <w:pStyle w:val="B1"/>
      </w:pPr>
      <w:r w:rsidRPr="00873B6C">
        <w:t>-</w:t>
      </w:r>
      <w:r w:rsidRPr="00873B6C">
        <w:tab/>
        <w:t>High-layer steering functionalities, which operate above the IP layer:</w:t>
      </w:r>
    </w:p>
    <w:p w14:paraId="32F58B0F" w14:textId="7B38C0DB" w:rsidR="007C2ADF" w:rsidRPr="00873B6C" w:rsidRDefault="00D40151" w:rsidP="00D40151">
      <w:pPr>
        <w:pStyle w:val="B2"/>
      </w:pPr>
      <w:r w:rsidRPr="00873B6C">
        <w:t>-</w:t>
      </w:r>
      <w:r w:rsidRPr="00873B6C">
        <w:tab/>
        <w:t>In this release of the specification,</w:t>
      </w:r>
      <w:r w:rsidR="007C2ADF" w:rsidRPr="00873B6C">
        <w:t xml:space="preserve"> two</w:t>
      </w:r>
      <w:r w:rsidRPr="00873B6C">
        <w:t xml:space="preserve"> high-layer steering functionalit</w:t>
      </w:r>
      <w:r w:rsidR="007C2ADF" w:rsidRPr="00873B6C">
        <w:t xml:space="preserve">ies are </w:t>
      </w:r>
      <w:r w:rsidRPr="00873B6C">
        <w:t>specified</w:t>
      </w:r>
      <w:r w:rsidR="007C2ADF" w:rsidRPr="00873B6C">
        <w:t>:</w:t>
      </w:r>
    </w:p>
    <w:p w14:paraId="5CE963A1" w14:textId="3C951A3D" w:rsidR="00D40151" w:rsidRPr="00873B6C" w:rsidRDefault="007C2ADF" w:rsidP="00972E70">
      <w:pPr>
        <w:pStyle w:val="B3"/>
      </w:pPr>
      <w:r w:rsidRPr="00873B6C">
        <w:t>-</w:t>
      </w:r>
      <w:r w:rsidRPr="00873B6C">
        <w:tab/>
        <w:t xml:space="preserve">The first </w:t>
      </w:r>
      <w:r w:rsidR="00D40151" w:rsidRPr="00873B6C">
        <w:t>applies the MPTCP protocol (IETF RFC 8684 [81]) and is called "MPTCP functionality" (see clause 5.32.6.2.1). This steering functionality can be applied to steer, switch and split the TCP traffic</w:t>
      </w:r>
      <w:r w:rsidRPr="00873B6C">
        <w:t xml:space="preserve"> flows identified in the ATSSS/N4 rules</w:t>
      </w:r>
      <w:r w:rsidR="00D40151" w:rsidRPr="00873B6C">
        <w:t>. The MPTCP functionality in the UE may communicate with an associated MPTCP Proxy functionality in the UPF, by using the MPTCP protocol over the 3GPP and/or the non-3GPP user plane.</w:t>
      </w:r>
    </w:p>
    <w:p w14:paraId="19EF84CA" w14:textId="429A18C7" w:rsidR="007C2ADF" w:rsidRPr="00873B6C" w:rsidRDefault="007C2ADF" w:rsidP="00972E70">
      <w:pPr>
        <w:pStyle w:val="B3"/>
      </w:pPr>
      <w:r w:rsidRPr="00873B6C">
        <w:t>-</w:t>
      </w:r>
      <w:r w:rsidRPr="00873B6C">
        <w:tab/>
        <w:t>The second applies the QUIC protocol (RFC 9000 [166], RFC 9001 [167], RFC 9002 [168]) and its multipath extensions (draft-ietf-quic-multipath [174])</w:t>
      </w:r>
      <w:r w:rsidR="00472CD7" w:rsidRPr="00873B6C">
        <w:t xml:space="preserve"> and</w:t>
      </w:r>
      <w:r w:rsidRPr="00873B6C">
        <w:t xml:space="preserve"> it is called "MPQUIC functionality" (see clause 5.32.6.2.2). This steering functionality can be applied to steer, switch and split the UDP traffic flows identified in the ATSSS/N4 rules. The MPQUIC functionality in the UE may communicate with an associated MPQUIC Proxy functionality in the UPF, by using the QUIC protocol and its multipath extensions over the 3GPP and/or the non-3GPP user plane.</w:t>
      </w:r>
    </w:p>
    <w:p w14:paraId="009FF946" w14:textId="5ED7DABE" w:rsidR="00D40151" w:rsidRPr="00873B6C" w:rsidRDefault="00D40151" w:rsidP="00D40151">
      <w:pPr>
        <w:pStyle w:val="B1"/>
      </w:pPr>
      <w:r w:rsidRPr="00873B6C">
        <w:t>-</w:t>
      </w:r>
      <w:r w:rsidRPr="00873B6C">
        <w:tab/>
        <w:t>Low-layer steering functionalities, which operate below the IP layer:</w:t>
      </w:r>
    </w:p>
    <w:p w14:paraId="142AA77B" w14:textId="77777777" w:rsidR="00D40151" w:rsidRPr="00873B6C" w:rsidRDefault="00D40151" w:rsidP="00D40151">
      <w:pPr>
        <w:pStyle w:val="B2"/>
      </w:pPr>
      <w:r w:rsidRPr="00873B6C">
        <w:t>-</w:t>
      </w:r>
      <w:r w:rsidRPr="00873B6C">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873B6C" w:rsidRDefault="00D40151" w:rsidP="00D40151">
      <w:pPr>
        <w:pStyle w:val="NO"/>
      </w:pPr>
      <w:r w:rsidRPr="00873B6C">
        <w:t>NOTE:</w:t>
      </w:r>
      <w:r w:rsidRPr="00873B6C">
        <w:tab/>
        <w:t>Filters used in ATSSS rules related with a MA PDU Session of type Ethernet can refer to IP level parameters such as IP addresses and TCP/UDP ports.</w:t>
      </w:r>
    </w:p>
    <w:p w14:paraId="03ABD33D" w14:textId="77777777" w:rsidR="00D40151" w:rsidRPr="00873B6C" w:rsidRDefault="00D40151" w:rsidP="00D40151">
      <w:r w:rsidRPr="00873B6C">
        <w:t>The UE indicates to the network its supported steering functionalities and steering modes by including in the UE ATSSS Capability one of the following:</w:t>
      </w:r>
    </w:p>
    <w:p w14:paraId="71D3897F" w14:textId="139876B4" w:rsidR="00D40151" w:rsidRPr="00873B6C" w:rsidRDefault="00D40151" w:rsidP="00D40151">
      <w:pPr>
        <w:pStyle w:val="B1"/>
      </w:pPr>
      <w:r w:rsidRPr="00873B6C">
        <w:t>1)</w:t>
      </w:r>
      <w:r w:rsidRPr="00873B6C">
        <w:tab/>
      </w:r>
      <w:r w:rsidR="000555AB">
        <w:t>The "</w:t>
      </w:r>
      <w:r w:rsidRPr="00873B6C">
        <w:t>ATSSS-LL functionality with any steering mode</w:t>
      </w:r>
      <w:r w:rsidR="000555AB">
        <w:t xml:space="preserve"> allowed for ATSSS-LL supported" capability</w:t>
      </w:r>
      <w:r w:rsidRPr="00873B6C">
        <w:t>.</w:t>
      </w:r>
    </w:p>
    <w:p w14:paraId="5B4ED222" w14:textId="698D469B" w:rsidR="00D40151" w:rsidRPr="00873B6C" w:rsidRDefault="00D40151" w:rsidP="00D40151">
      <w:pPr>
        <w:pStyle w:val="B1"/>
      </w:pPr>
      <w:r w:rsidRPr="00873B6C">
        <w:tab/>
        <w:t>In this case, the UE indicates that it is capable to steer, switch and split all traffic of the MA PDU Session by using the ATSSS-LL functionality with any steering mode</w:t>
      </w:r>
      <w:r w:rsidR="00F03116" w:rsidRPr="00873B6C">
        <w:t xml:space="preserve"> allowed for ATSSS-LL, as</w:t>
      </w:r>
      <w:r w:rsidRPr="00873B6C">
        <w:t xml:space="preserve"> specified in clause 5.32.8.</w:t>
      </w:r>
    </w:p>
    <w:p w14:paraId="79E04C12" w14:textId="5BF56EEC" w:rsidR="00D40151" w:rsidRPr="00873B6C" w:rsidRDefault="00D40151" w:rsidP="00D40151">
      <w:pPr>
        <w:pStyle w:val="B1"/>
      </w:pPr>
      <w:r w:rsidRPr="00873B6C">
        <w:t>2)</w:t>
      </w:r>
      <w:r w:rsidRPr="00873B6C">
        <w:tab/>
      </w:r>
      <w:r w:rsidR="000555AB">
        <w:t>The "</w:t>
      </w:r>
      <w:r w:rsidRPr="00873B6C">
        <w:t>MPTCP functionality with any steering mode</w:t>
      </w:r>
      <w:r w:rsidR="000555AB">
        <w:t xml:space="preserve"> supported" capability</w:t>
      </w:r>
      <w:r w:rsidRPr="00873B6C">
        <w:t xml:space="preserve"> and </w:t>
      </w:r>
      <w:r w:rsidR="000555AB">
        <w:t>the "</w:t>
      </w:r>
      <w:r w:rsidRPr="00873B6C">
        <w:t>ATSSS-LL functionality with only Active-Standby steering mode</w:t>
      </w:r>
      <w:r w:rsidR="000555AB">
        <w:t xml:space="preserve"> supported" capability</w:t>
      </w:r>
      <w:r w:rsidRPr="00873B6C">
        <w:t>.</w:t>
      </w:r>
    </w:p>
    <w:p w14:paraId="2CD35A0F" w14:textId="77777777" w:rsidR="00D40151" w:rsidRPr="00873B6C" w:rsidRDefault="00D40151" w:rsidP="00D40151">
      <w:pPr>
        <w:pStyle w:val="B1"/>
      </w:pPr>
      <w:r w:rsidRPr="00873B6C">
        <w:tab/>
        <w:t>In this case, the UE indicates that:</w:t>
      </w:r>
    </w:p>
    <w:p w14:paraId="4332AD51" w14:textId="77777777" w:rsidR="00D40151" w:rsidRPr="00873B6C" w:rsidRDefault="00D40151" w:rsidP="00D40151">
      <w:pPr>
        <w:pStyle w:val="B2"/>
      </w:pPr>
      <w:r w:rsidRPr="00873B6C">
        <w:t>a)</w:t>
      </w:r>
      <w:r w:rsidRPr="00873B6C">
        <w:tab/>
        <w:t>it is capable to steer, switch and split the MPTCP traffic of the MA PDU Session by using the MPTCP functionality with any steering mode specified in clause 5.32.8; and</w:t>
      </w:r>
    </w:p>
    <w:p w14:paraId="0A2FDB4A" w14:textId="77777777" w:rsidR="00D40151" w:rsidRPr="00873B6C" w:rsidRDefault="00D40151" w:rsidP="00D40151">
      <w:pPr>
        <w:pStyle w:val="B2"/>
      </w:pPr>
      <w:r w:rsidRPr="00873B6C">
        <w:t>b)</w:t>
      </w:r>
      <w:r w:rsidRPr="00873B6C">
        <w:tab/>
        <w:t>it is capable to steer and switch all other traffic (i.e. the non-MPTCP traffic) of the MA PDU Session by using the ATSSS-LL functionality with the Active-Standby steering mode specified in clause 5.32.8.</w:t>
      </w:r>
    </w:p>
    <w:p w14:paraId="68FC57B5" w14:textId="0E861EC2" w:rsidR="00D40151" w:rsidRPr="00873B6C" w:rsidRDefault="00D40151" w:rsidP="00D40151">
      <w:pPr>
        <w:pStyle w:val="B1"/>
      </w:pPr>
      <w:r w:rsidRPr="00873B6C">
        <w:t>3)</w:t>
      </w:r>
      <w:r w:rsidRPr="00873B6C">
        <w:tab/>
      </w:r>
      <w:r w:rsidR="000555AB">
        <w:t>The "</w:t>
      </w:r>
      <w:r w:rsidRPr="00873B6C">
        <w:t>MPTCP functionality with any steering mode</w:t>
      </w:r>
      <w:r w:rsidR="000555AB">
        <w:t xml:space="preserve"> supported" capability</w:t>
      </w:r>
      <w:r w:rsidRPr="00873B6C">
        <w:t xml:space="preserve"> and </w:t>
      </w:r>
      <w:r w:rsidR="000555AB">
        <w:t>the "</w:t>
      </w:r>
      <w:r w:rsidRPr="00873B6C">
        <w:t>ATSSS-LL functionality with any steering mode</w:t>
      </w:r>
      <w:r w:rsidR="000555AB">
        <w:t xml:space="preserve"> allowed for ATSSS-LL supported" capability</w:t>
      </w:r>
      <w:r w:rsidRPr="00873B6C">
        <w:t>.</w:t>
      </w:r>
    </w:p>
    <w:p w14:paraId="33BDB2F1" w14:textId="77777777" w:rsidR="00D40151" w:rsidRPr="00873B6C" w:rsidRDefault="00D40151" w:rsidP="00D40151">
      <w:pPr>
        <w:pStyle w:val="B1"/>
      </w:pPr>
      <w:r w:rsidRPr="00873B6C">
        <w:tab/>
        <w:t>In this case, the UE indicates that:</w:t>
      </w:r>
    </w:p>
    <w:p w14:paraId="0F868884" w14:textId="77777777" w:rsidR="00D40151" w:rsidRPr="00873B6C" w:rsidRDefault="00D40151" w:rsidP="00D40151">
      <w:pPr>
        <w:pStyle w:val="B2"/>
      </w:pPr>
      <w:r w:rsidRPr="00873B6C">
        <w:t>a)</w:t>
      </w:r>
      <w:r w:rsidRPr="00873B6C">
        <w:tab/>
        <w:t>it is capable to steer, switch and split the MPTCP traffic of the MA PDU Session by using the MPTCP functionality with any steering mode specified in clause 5.32.8; and</w:t>
      </w:r>
    </w:p>
    <w:p w14:paraId="372FF5F0" w14:textId="0CE4D879" w:rsidR="00D40151" w:rsidRPr="00873B6C" w:rsidRDefault="00D40151" w:rsidP="00D40151">
      <w:pPr>
        <w:pStyle w:val="B2"/>
      </w:pPr>
      <w:r w:rsidRPr="00873B6C">
        <w:t>b)</w:t>
      </w:r>
      <w:r w:rsidRPr="00873B6C">
        <w:tab/>
        <w:t>it is capable to steer, switch and split all other traffic (i.e. the non-MPTCP traffic) of the MA PDU Session by using the ATSSS-LL functionality with any steering mode</w:t>
      </w:r>
      <w:r w:rsidR="00F03116" w:rsidRPr="00873B6C">
        <w:t>, as</w:t>
      </w:r>
      <w:r w:rsidRPr="00873B6C">
        <w:t xml:space="preserve"> specified in clause 5.32.8.</w:t>
      </w:r>
    </w:p>
    <w:p w14:paraId="4DB02569" w14:textId="3835A590" w:rsidR="007C2ADF" w:rsidRPr="00873B6C" w:rsidRDefault="007C2ADF" w:rsidP="007C2ADF">
      <w:pPr>
        <w:pStyle w:val="B1"/>
      </w:pPr>
      <w:r w:rsidRPr="00873B6C">
        <w:lastRenderedPageBreak/>
        <w:t>4)</w:t>
      </w:r>
      <w:r w:rsidRPr="00873B6C">
        <w:tab/>
      </w:r>
      <w:r w:rsidR="000555AB">
        <w:t>The "</w:t>
      </w:r>
      <w:r w:rsidRPr="00873B6C">
        <w:t>MPQUIC functionality with any steering mode</w:t>
      </w:r>
      <w:r w:rsidR="000555AB">
        <w:t xml:space="preserve"> supported" capability</w:t>
      </w:r>
      <w:r w:rsidRPr="00873B6C">
        <w:t xml:space="preserve"> and </w:t>
      </w:r>
      <w:r w:rsidR="000555AB">
        <w:t>the "</w:t>
      </w:r>
      <w:r w:rsidRPr="00873B6C">
        <w:t>ATSSS-LL functionality with only Active-Standby steering mode</w:t>
      </w:r>
      <w:r w:rsidR="000555AB">
        <w:t xml:space="preserve"> supported" capability</w:t>
      </w:r>
      <w:r w:rsidRPr="00873B6C">
        <w:t>.</w:t>
      </w:r>
    </w:p>
    <w:p w14:paraId="56A1969E" w14:textId="77777777" w:rsidR="007C2ADF" w:rsidRPr="00873B6C" w:rsidRDefault="007C2ADF" w:rsidP="007C2ADF">
      <w:pPr>
        <w:pStyle w:val="B1"/>
      </w:pPr>
      <w:r w:rsidRPr="00873B6C">
        <w:tab/>
        <w:t>In this case, the UE indicates that:</w:t>
      </w:r>
    </w:p>
    <w:p w14:paraId="2B833516" w14:textId="77777777" w:rsidR="007C2ADF" w:rsidRPr="00873B6C" w:rsidRDefault="007C2ADF" w:rsidP="00972E70">
      <w:pPr>
        <w:pStyle w:val="B2"/>
      </w:pPr>
      <w:r w:rsidRPr="00873B6C">
        <w:t>a)</w:t>
      </w:r>
      <w:r w:rsidRPr="00873B6C">
        <w:tab/>
        <w:t>it is capable to steer, switch and split the MPQUIC traffic of the MA PDU Session by using the MPQUIC functionality with any steering mode specified in clause 5.32.8; and</w:t>
      </w:r>
    </w:p>
    <w:p w14:paraId="1C61319D" w14:textId="77777777" w:rsidR="007C2ADF" w:rsidRPr="00873B6C" w:rsidRDefault="007C2ADF" w:rsidP="00972E70">
      <w:pPr>
        <w:pStyle w:val="B2"/>
      </w:pPr>
      <w:r w:rsidRPr="00873B6C">
        <w:t>b)</w:t>
      </w:r>
      <w:r w:rsidRPr="00873B6C">
        <w:tab/>
        <w:t>it is capable to steer and switch all other traffic (i.e. the non-MPQUIC traffic) of the MA PDU Session by using the ATSSS-LL functionality with the Active-Standby steering mode specified in clause 5.32.8.</w:t>
      </w:r>
    </w:p>
    <w:p w14:paraId="74898E69" w14:textId="042B66D9" w:rsidR="007C2ADF" w:rsidRPr="00873B6C" w:rsidRDefault="007C2ADF" w:rsidP="007C2ADF">
      <w:pPr>
        <w:pStyle w:val="B1"/>
      </w:pPr>
      <w:r w:rsidRPr="00873B6C">
        <w:t>5)</w:t>
      </w:r>
      <w:r w:rsidRPr="00873B6C">
        <w:tab/>
      </w:r>
      <w:r w:rsidR="000555AB">
        <w:t>The "</w:t>
      </w:r>
      <w:r w:rsidRPr="00873B6C">
        <w:t>MPQUIC functionality with any steering mode</w:t>
      </w:r>
      <w:r w:rsidR="000555AB">
        <w:t xml:space="preserve"> supported" capability</w:t>
      </w:r>
      <w:r w:rsidRPr="00873B6C">
        <w:t xml:space="preserve"> and </w:t>
      </w:r>
      <w:r w:rsidR="000555AB">
        <w:t>the "</w:t>
      </w:r>
      <w:r w:rsidRPr="00873B6C">
        <w:t>ATSSS-LL functionality with any steering mode</w:t>
      </w:r>
      <w:r w:rsidR="000555AB">
        <w:t xml:space="preserve"> allowed for ATSSS-LL supported" capability</w:t>
      </w:r>
      <w:r w:rsidRPr="00873B6C">
        <w:t>.</w:t>
      </w:r>
    </w:p>
    <w:p w14:paraId="33EDA442" w14:textId="77777777" w:rsidR="007C2ADF" w:rsidRPr="00873B6C" w:rsidRDefault="007C2ADF" w:rsidP="007C2ADF">
      <w:pPr>
        <w:pStyle w:val="B1"/>
      </w:pPr>
      <w:r w:rsidRPr="00873B6C">
        <w:tab/>
        <w:t>In this case, the UE indicates that:</w:t>
      </w:r>
    </w:p>
    <w:p w14:paraId="45583D64" w14:textId="77777777" w:rsidR="007C2ADF" w:rsidRPr="00873B6C" w:rsidRDefault="007C2ADF" w:rsidP="00972E70">
      <w:pPr>
        <w:pStyle w:val="B2"/>
      </w:pPr>
      <w:r w:rsidRPr="00873B6C">
        <w:t>a)</w:t>
      </w:r>
      <w:r w:rsidRPr="00873B6C">
        <w:tab/>
        <w:t>it is capable to steer, switch and split the MPQUIC traffic of the MA PDU Session by using the MPQUIC functionality with any steering mode specified in clause 5.32.8; and</w:t>
      </w:r>
    </w:p>
    <w:p w14:paraId="4E900FB2" w14:textId="77777777" w:rsidR="007C2ADF" w:rsidRPr="00873B6C" w:rsidRDefault="007C2ADF" w:rsidP="00972E70">
      <w:pPr>
        <w:pStyle w:val="B2"/>
      </w:pPr>
      <w:r w:rsidRPr="00873B6C">
        <w:t>b)</w:t>
      </w:r>
      <w:r w:rsidRPr="00873B6C">
        <w:tab/>
        <w:t>it is capable to steer, switch and split all other traffic (i.e. the non-MPQUIC traffic) of the MA PDU Session by using the ATSSS-LL functionality with any steering mode that can be used with ATSSS-LL, as specified in clause 5.32.8.</w:t>
      </w:r>
    </w:p>
    <w:p w14:paraId="13FE5F79" w14:textId="6F44BEAC" w:rsidR="007C2ADF" w:rsidRPr="00873B6C" w:rsidRDefault="007C2ADF" w:rsidP="007C2ADF">
      <w:pPr>
        <w:pStyle w:val="B1"/>
      </w:pPr>
      <w:r w:rsidRPr="00873B6C">
        <w:t>6)</w:t>
      </w:r>
      <w:r w:rsidRPr="00873B6C">
        <w:tab/>
      </w:r>
      <w:r w:rsidR="000555AB">
        <w:t>The "</w:t>
      </w:r>
      <w:r w:rsidRPr="00873B6C">
        <w:t>MPTCP functionality with any steering mode</w:t>
      </w:r>
      <w:r w:rsidR="000555AB">
        <w:t xml:space="preserve"> supported" capability</w:t>
      </w:r>
      <w:r w:rsidRPr="00873B6C">
        <w:t xml:space="preserve">, </w:t>
      </w:r>
      <w:r w:rsidR="000555AB">
        <w:t>the "</w:t>
      </w:r>
      <w:r w:rsidRPr="00873B6C">
        <w:t>MPQUIC functionality with any steering mode</w:t>
      </w:r>
      <w:r w:rsidR="000555AB">
        <w:t xml:space="preserve"> supported" capability</w:t>
      </w:r>
      <w:r w:rsidR="00472CD7" w:rsidRPr="00873B6C">
        <w:t xml:space="preserve"> and</w:t>
      </w:r>
      <w:r w:rsidRPr="00873B6C">
        <w:t xml:space="preserve"> </w:t>
      </w:r>
      <w:r w:rsidR="000555AB">
        <w:t>the "</w:t>
      </w:r>
      <w:r w:rsidRPr="00873B6C">
        <w:t>ATSSS-LL functionality with only Active-Standby steering mode</w:t>
      </w:r>
      <w:r w:rsidR="000555AB">
        <w:t xml:space="preserve"> supported" capability</w:t>
      </w:r>
      <w:r w:rsidRPr="00873B6C">
        <w:t>.</w:t>
      </w:r>
    </w:p>
    <w:p w14:paraId="320F7716" w14:textId="77777777" w:rsidR="007C2ADF" w:rsidRPr="00873B6C" w:rsidRDefault="007C2ADF" w:rsidP="007C2ADF">
      <w:pPr>
        <w:pStyle w:val="B1"/>
      </w:pPr>
      <w:r w:rsidRPr="00873B6C">
        <w:tab/>
        <w:t>In this case, the UE indicates that:</w:t>
      </w:r>
    </w:p>
    <w:p w14:paraId="5806175C" w14:textId="77777777" w:rsidR="007C2ADF" w:rsidRPr="00873B6C" w:rsidRDefault="007C2ADF" w:rsidP="00972E70">
      <w:pPr>
        <w:pStyle w:val="B2"/>
      </w:pPr>
      <w:r w:rsidRPr="00873B6C">
        <w:t>a)</w:t>
      </w:r>
      <w:r w:rsidRPr="00873B6C">
        <w:tab/>
        <w:t>it is capable to steer, switch and split the MPTCP traffic of the MA PDU Session by using the MPTCP functionality with any steering mode specified in clause 5.32.8;</w:t>
      </w:r>
    </w:p>
    <w:p w14:paraId="0E3613D5" w14:textId="77777777" w:rsidR="007C2ADF" w:rsidRPr="00873B6C" w:rsidRDefault="007C2ADF" w:rsidP="00972E70">
      <w:pPr>
        <w:pStyle w:val="B2"/>
      </w:pPr>
      <w:r w:rsidRPr="00873B6C">
        <w:t>b)</w:t>
      </w:r>
      <w:r w:rsidRPr="00873B6C">
        <w:tab/>
        <w:t>it is capable to steer, switch and split the MPQUIC traffic of the MA PDU Session by using the MPQUIC functionality with any steering mode specified in clause 5.32.8; and</w:t>
      </w:r>
    </w:p>
    <w:p w14:paraId="6343927E" w14:textId="77777777" w:rsidR="007C2ADF" w:rsidRPr="00873B6C" w:rsidRDefault="007C2ADF" w:rsidP="00972E70">
      <w:pPr>
        <w:pStyle w:val="B2"/>
      </w:pPr>
      <w:r w:rsidRPr="00873B6C">
        <w:t>c)</w:t>
      </w:r>
      <w:r w:rsidRPr="00873B6C">
        <w:tab/>
        <w:t>it is capable to steer and switch all other traffic (i.e. the non-MPTCP traffic and the non-MPQUIC traffic) of the MA PDU Session by using the ATSSS-LL functionality with the Active-Standby steering mode specified in clause 5.32.8.</w:t>
      </w:r>
    </w:p>
    <w:p w14:paraId="70723998" w14:textId="5F7248CB" w:rsidR="007C2ADF" w:rsidRPr="00873B6C" w:rsidRDefault="007C2ADF" w:rsidP="007C2ADF">
      <w:pPr>
        <w:pStyle w:val="B1"/>
      </w:pPr>
      <w:r w:rsidRPr="00873B6C">
        <w:t>7)</w:t>
      </w:r>
      <w:r w:rsidRPr="00873B6C">
        <w:tab/>
      </w:r>
      <w:r w:rsidR="000555AB">
        <w:t>The "</w:t>
      </w:r>
      <w:r w:rsidRPr="00873B6C">
        <w:t>MPTCP functionality with any steering mode</w:t>
      </w:r>
      <w:r w:rsidR="000555AB">
        <w:t xml:space="preserve"> supported" capability</w:t>
      </w:r>
      <w:r w:rsidRPr="00873B6C">
        <w:t xml:space="preserve">, </w:t>
      </w:r>
      <w:r w:rsidR="000555AB">
        <w:t>the "</w:t>
      </w:r>
      <w:r w:rsidRPr="00873B6C">
        <w:t>MPQUIC functionality with any steering mode</w:t>
      </w:r>
      <w:r w:rsidR="000555AB">
        <w:t xml:space="preserve"> supported" capability</w:t>
      </w:r>
      <w:r w:rsidR="00472CD7" w:rsidRPr="00873B6C">
        <w:t xml:space="preserve"> and</w:t>
      </w:r>
      <w:r w:rsidRPr="00873B6C">
        <w:t xml:space="preserve"> </w:t>
      </w:r>
      <w:r w:rsidR="000555AB">
        <w:t>the "</w:t>
      </w:r>
      <w:r w:rsidRPr="00873B6C">
        <w:t>ATSSS-LL functionality with any steering mode</w:t>
      </w:r>
      <w:r w:rsidR="000555AB">
        <w:t xml:space="preserve"> allowed for ATSSS-LL supported" capability</w:t>
      </w:r>
      <w:r w:rsidRPr="00873B6C">
        <w:t>.</w:t>
      </w:r>
    </w:p>
    <w:p w14:paraId="6B924B2B" w14:textId="77777777" w:rsidR="007C2ADF" w:rsidRPr="00873B6C" w:rsidRDefault="007C2ADF" w:rsidP="007C2ADF">
      <w:pPr>
        <w:pStyle w:val="B1"/>
      </w:pPr>
      <w:r w:rsidRPr="00873B6C">
        <w:tab/>
        <w:t>In this case, the UE indicates that:</w:t>
      </w:r>
    </w:p>
    <w:p w14:paraId="0AF96E3E" w14:textId="77777777" w:rsidR="007C2ADF" w:rsidRPr="00873B6C" w:rsidRDefault="007C2ADF" w:rsidP="00972E70">
      <w:pPr>
        <w:pStyle w:val="B2"/>
      </w:pPr>
      <w:r w:rsidRPr="00873B6C">
        <w:t>a)</w:t>
      </w:r>
      <w:r w:rsidRPr="00873B6C">
        <w:tab/>
        <w:t>it is capable to steer, switch and split the MPTCP traffic of the MA PDU Session by using the MPTCP functionality with any steering mode specified in clause 5.32.8;</w:t>
      </w:r>
    </w:p>
    <w:p w14:paraId="1F47EB58" w14:textId="77777777" w:rsidR="007C2ADF" w:rsidRPr="00873B6C" w:rsidRDefault="007C2ADF" w:rsidP="00972E70">
      <w:pPr>
        <w:pStyle w:val="B2"/>
      </w:pPr>
      <w:r w:rsidRPr="00873B6C">
        <w:t>b)</w:t>
      </w:r>
      <w:r w:rsidRPr="00873B6C">
        <w:tab/>
        <w:t>it is capable to steer, switch and split the MPQUIC traffic of the MA PDU Session by using the MPQUIC functionality with any steering mode specified in clause 5.32.8; and</w:t>
      </w:r>
    </w:p>
    <w:p w14:paraId="129381B3" w14:textId="77777777" w:rsidR="007C2ADF" w:rsidRPr="00873B6C" w:rsidRDefault="007C2ADF" w:rsidP="00972E70">
      <w:pPr>
        <w:pStyle w:val="B2"/>
      </w:pPr>
      <w:r w:rsidRPr="00873B6C">
        <w:t>c)</w:t>
      </w:r>
      <w:r w:rsidRPr="00873B6C">
        <w:tab/>
        <w:t>it is capable to steer, switch and split all other traffic (i.e. the non-MPTCP traffic and the non-MPQUIC traffic) of the MA PDU Session by using the ATSSS-LL functionality with any steering mode that can be used with ATSSS-LL, as specified in clause 5.32.8.</w:t>
      </w:r>
    </w:p>
    <w:p w14:paraId="45FAC4B0" w14:textId="3F1C7C36" w:rsidR="00D40151" w:rsidRPr="00873B6C" w:rsidRDefault="00D40151" w:rsidP="00D40151">
      <w:r w:rsidRPr="00873B6C">
        <w:t>The above steering functionalities are schematically illustrated in the Figure 5.32.6.1-1, which shows an example model for an ATSSS-capable UE supporting the MPTCP functionality</w:t>
      </w:r>
      <w:r w:rsidR="007C2ADF" w:rsidRPr="00873B6C">
        <w:t>, the MPQUIC functionality</w:t>
      </w:r>
      <w:r w:rsidRPr="00873B6C">
        <w:t xml:space="preserve"> and the ATSSS-LL functionality. The MPTCP flows</w:t>
      </w:r>
      <w:r w:rsidR="007C2ADF" w:rsidRPr="00873B6C">
        <w:t xml:space="preserve"> and the MPQUIC flows</w:t>
      </w:r>
      <w:r w:rsidRPr="00873B6C">
        <w:t xml:space="preserve"> in this figure represent the traffic of the applications for which MPTCP can be applied</w:t>
      </w:r>
      <w:r w:rsidR="007C2ADF" w:rsidRPr="00873B6C">
        <w:t xml:space="preserve"> and for which MPQUIC can be applied respectively</w:t>
      </w:r>
      <w:r w:rsidRPr="00873B6C">
        <w:t xml:space="preserve">. The </w:t>
      </w:r>
      <w:r w:rsidR="007C2ADF" w:rsidRPr="00873B6C">
        <w:t xml:space="preserve">five </w:t>
      </w:r>
      <w:r w:rsidRPr="00873B6C">
        <w:t>different IP addresses illustrated in the UE are further described in clause 5.32.6.2.1</w:t>
      </w:r>
      <w:r w:rsidR="007C2ADF" w:rsidRPr="00873B6C">
        <w:t xml:space="preserve"> and in clause 5.32.6.2.2</w:t>
      </w:r>
      <w:r w:rsidRPr="00873B6C">
        <w:t>.</w:t>
      </w:r>
      <w:r w:rsidR="007C2ADF" w:rsidRPr="00873B6C">
        <w:t xml:space="preserve"> When the MPTCP functionality and the MPQUIC functionality are both applied, the addresses (IP@1, IP@2) used for MPTCP may be the same as the addresses (IP@4, IP@5) used for MPQUIC.</w:t>
      </w:r>
      <w:r w:rsidRPr="00873B6C">
        <w:t xml:space="preserve"> The "Low-Layer" in this figure contains functionality that operates below the IP layer (e.g. different network interfaces in the UE), while the "High-Layer" contains functionality that operates above the IP layer.</w:t>
      </w:r>
    </w:p>
    <w:p w14:paraId="222DC2EB" w14:textId="750D63F2" w:rsidR="007C2ADF" w:rsidRPr="00873B6C" w:rsidRDefault="007C2ADF" w:rsidP="00972E70">
      <w:pPr>
        <w:pStyle w:val="TH"/>
      </w:pPr>
      <w:r w:rsidRPr="00873B6C">
        <w:object w:dxaOrig="8781" w:dyaOrig="7761" w14:anchorId="5DE9FFF6">
          <v:shape id="_x0000_i1111" type="#_x0000_t75" style="width:359.35pt;height:318.05pt" o:ole="">
            <v:imagedata r:id="rId181" o:title=""/>
          </v:shape>
          <o:OLEObject Type="Embed" ProgID="Visio.Drawing.15" ShapeID="_x0000_i1111" DrawAspect="Content" ObjectID="_1811772445" r:id="rId182"/>
        </w:object>
      </w:r>
    </w:p>
    <w:p w14:paraId="1E15FED6" w14:textId="3FAB1ABE" w:rsidR="00D40151" w:rsidRPr="00873B6C" w:rsidRDefault="00D40151" w:rsidP="00D40151">
      <w:pPr>
        <w:pStyle w:val="TF"/>
      </w:pPr>
      <w:bookmarkStart w:id="4727" w:name="_CRFigure5_32_6_11"/>
      <w:r w:rsidRPr="00873B6C">
        <w:t xml:space="preserve">Figure </w:t>
      </w:r>
      <w:bookmarkEnd w:id="4727"/>
      <w:r w:rsidRPr="00873B6C">
        <w:t>5.32.6.1-1: Steering functionalities in an example UE model</w:t>
      </w:r>
    </w:p>
    <w:p w14:paraId="4CDE09A5" w14:textId="150DC7ED" w:rsidR="00D40151" w:rsidRPr="00873B6C" w:rsidRDefault="00D40151" w:rsidP="00D40151">
      <w:r w:rsidRPr="00873B6C">
        <w:t>Within the same MA PDU Session in the UE, it is possible to steer the MPTCP flows by using the MPTCP functionality</w:t>
      </w:r>
      <w:r w:rsidR="007C2ADF" w:rsidRPr="00873B6C">
        <w:t>, to steer the MPQUIC flows by using the MPQUIC functionality</w:t>
      </w:r>
      <w:r w:rsidRPr="00873B6C">
        <w:t xml:space="preserve"> and, simultaneously, to steer all other flows by using the ATSSS-LL functionality. For the same packet flow, only one steering functionality shall be used.</w:t>
      </w:r>
    </w:p>
    <w:p w14:paraId="7D24D7BA" w14:textId="77777777" w:rsidR="00D40151" w:rsidRPr="00873B6C" w:rsidRDefault="00D40151" w:rsidP="00D40151">
      <w:r w:rsidRPr="00873B6C">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67B1FA24" w:rsidR="00D40151" w:rsidRPr="00873B6C" w:rsidRDefault="00D40151" w:rsidP="00D40151">
      <w:r w:rsidRPr="00873B6C">
        <w:t>If the UE supports</w:t>
      </w:r>
      <w:r w:rsidR="007C2ADF" w:rsidRPr="00873B6C">
        <w:t xml:space="preserve"> multiple steering functionalities, e.g.</w:t>
      </w:r>
      <w:r w:rsidRPr="00873B6C">
        <w:t xml:space="preserve"> both the MPTCP functionality and the ATSSS-LL functionality,</w:t>
      </w:r>
      <w:r w:rsidR="003D49E0" w:rsidRPr="00873B6C">
        <w:t xml:space="preserve"> both the MPQUIC functionality and the ATSSS-LL functionality,</w:t>
      </w:r>
      <w:r w:rsidR="007C2ADF" w:rsidRPr="00873B6C">
        <w:t xml:space="preserve"> or the MPTCP functionality, the MPQUIC functionality and the ATSSS-LL functionality,</w:t>
      </w:r>
      <w:r w:rsidRPr="00873B6C">
        <w:t xml:space="preserve"> it shall use the provisioned ATSSS rules (see </w:t>
      </w:r>
      <w:r w:rsidR="00972E70" w:rsidRPr="00873B6C">
        <w:t>TS 23.503 [</w:t>
      </w:r>
      <w:r w:rsidRPr="00873B6C">
        <w:t>45]) to decide which steering functionality to apply for a specific packet flow.</w:t>
      </w:r>
    </w:p>
    <w:p w14:paraId="692C9F6F" w14:textId="77777777" w:rsidR="00D40151" w:rsidRPr="00873B6C" w:rsidRDefault="00D40151" w:rsidP="00D40151">
      <w:pPr>
        <w:pStyle w:val="Heading4"/>
      </w:pPr>
      <w:bookmarkStart w:id="4728" w:name="_CR5_32_6_2"/>
      <w:bookmarkStart w:id="4729" w:name="_Toc20150143"/>
      <w:bookmarkStart w:id="4730" w:name="_Toc27846945"/>
      <w:bookmarkStart w:id="4731" w:name="_Toc36188076"/>
      <w:bookmarkStart w:id="4732" w:name="_Toc45183981"/>
      <w:bookmarkStart w:id="4733" w:name="_Toc47342823"/>
      <w:bookmarkStart w:id="4734" w:name="_Toc51769525"/>
      <w:bookmarkStart w:id="4735" w:name="_Toc201157595"/>
      <w:bookmarkEnd w:id="4728"/>
      <w:r w:rsidRPr="00873B6C">
        <w:t>5.32.6.2</w:t>
      </w:r>
      <w:r w:rsidRPr="00873B6C">
        <w:tab/>
        <w:t>High-Layer Steering Functionalities</w:t>
      </w:r>
      <w:bookmarkEnd w:id="4729"/>
      <w:bookmarkEnd w:id="4730"/>
      <w:bookmarkEnd w:id="4731"/>
      <w:bookmarkEnd w:id="4732"/>
      <w:bookmarkEnd w:id="4733"/>
      <w:bookmarkEnd w:id="4734"/>
      <w:bookmarkEnd w:id="4735"/>
    </w:p>
    <w:p w14:paraId="6FED54AA" w14:textId="77777777" w:rsidR="00D40151" w:rsidRPr="00873B6C" w:rsidRDefault="00D40151" w:rsidP="00D40151">
      <w:pPr>
        <w:pStyle w:val="Heading5"/>
      </w:pPr>
      <w:bookmarkStart w:id="4736" w:name="_CR5_32_6_2_1"/>
      <w:bookmarkStart w:id="4737" w:name="_Toc20150144"/>
      <w:bookmarkStart w:id="4738" w:name="_Toc27846946"/>
      <w:bookmarkStart w:id="4739" w:name="_Toc36188077"/>
      <w:bookmarkStart w:id="4740" w:name="_Toc45183982"/>
      <w:bookmarkStart w:id="4741" w:name="_Toc47342824"/>
      <w:bookmarkStart w:id="4742" w:name="_Toc51769526"/>
      <w:bookmarkStart w:id="4743" w:name="_Toc201157596"/>
      <w:bookmarkEnd w:id="4736"/>
      <w:r w:rsidRPr="00873B6C">
        <w:t>5.32.6.2.1</w:t>
      </w:r>
      <w:r w:rsidRPr="00873B6C">
        <w:tab/>
        <w:t>MPTCP Functionality</w:t>
      </w:r>
      <w:bookmarkEnd w:id="4737"/>
      <w:bookmarkEnd w:id="4738"/>
      <w:bookmarkEnd w:id="4739"/>
      <w:bookmarkEnd w:id="4740"/>
      <w:bookmarkEnd w:id="4741"/>
      <w:bookmarkEnd w:id="4742"/>
      <w:bookmarkEnd w:id="4743"/>
    </w:p>
    <w:p w14:paraId="7ED5FACF" w14:textId="77777777" w:rsidR="00D40151" w:rsidRPr="00873B6C" w:rsidRDefault="00D40151" w:rsidP="00D40151">
      <w:r w:rsidRPr="00873B6C">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873B6C" w:rsidRDefault="00D40151" w:rsidP="00D40151">
      <w:r w:rsidRPr="00873B6C">
        <w:t>The MPTCP functionality may be enabled in the UE when the UE provides an "MPTCP capability" during PDU Session Establishment procedure.</w:t>
      </w:r>
    </w:p>
    <w:p w14:paraId="19571190" w14:textId="77777777" w:rsidR="00D40151" w:rsidRPr="00873B6C" w:rsidRDefault="00D40151" w:rsidP="00D40151">
      <w:r w:rsidRPr="00873B6C">
        <w:t>The network shall not enable the MPTCP functionality when the type of the MA PDU Session is Ethernet.</w:t>
      </w:r>
    </w:p>
    <w:p w14:paraId="3C4982BA" w14:textId="7154F249" w:rsidR="00D40151" w:rsidRPr="00873B6C" w:rsidRDefault="00D40151" w:rsidP="00D40151">
      <w:r w:rsidRPr="00873B6C">
        <w:t>If the UE indicates it is capable of supporting the MPTCP functionality, as described in clause 5.32.2</w:t>
      </w:r>
      <w:r w:rsidR="00472CD7" w:rsidRPr="00873B6C">
        <w:t xml:space="preserve"> and</w:t>
      </w:r>
      <w:r w:rsidRPr="00873B6C">
        <w:t xml:space="preserve"> the network agrees to enable the MPTCP functionality for the MA PDU Session then:</w:t>
      </w:r>
    </w:p>
    <w:p w14:paraId="6B28E2FF" w14:textId="77777777" w:rsidR="00D40151" w:rsidRPr="00873B6C" w:rsidRDefault="00D40151" w:rsidP="00D40151">
      <w:pPr>
        <w:pStyle w:val="B1"/>
      </w:pPr>
      <w:r w:rsidRPr="00873B6C">
        <w:lastRenderedPageBreak/>
        <w:t>i)</w:t>
      </w:r>
      <w:r w:rsidRPr="00873B6C">
        <w:tab/>
        <w:t>An associated MPTCP Proxy functionality is enabled in the UPF for the MA PDU Session by MPTCP functionality indication received in the Multi-Access Rules (MAR).</w:t>
      </w:r>
    </w:p>
    <w:p w14:paraId="1A995124" w14:textId="60990D77" w:rsidR="00D40151" w:rsidRPr="00873B6C" w:rsidRDefault="00D40151" w:rsidP="00D40151">
      <w:pPr>
        <w:pStyle w:val="B1"/>
      </w:pPr>
      <w:r w:rsidRPr="00873B6C">
        <w:t>ii)</w:t>
      </w:r>
      <w:r w:rsidRPr="00873B6C">
        <w:tab/>
        <w:t>The network allocates to UE one IP address/prefix for the MA PDU Session and two additional IP addresses/prefixes, called "</w:t>
      </w:r>
      <w:r w:rsidR="007C2ADF" w:rsidRPr="00873B6C">
        <w:t xml:space="preserve">MPTCP </w:t>
      </w:r>
      <w:r w:rsidRPr="00873B6C">
        <w:t>link-specific multipath" addresses/prefixes; one associated with 3GPP access and another associated with the non-3GPP access. In the UE, these two IP addresses/prefixes are used only by the MPTCP functionality. Each "</w:t>
      </w:r>
      <w:r w:rsidR="007C2ADF" w:rsidRPr="00873B6C">
        <w:t xml:space="preserve">MPTCP </w:t>
      </w:r>
      <w:r w:rsidRPr="00873B6C">
        <w:t>link-specific multipath" address/prefix assigned to UE may not be routable via N6. The MPTCP functionality in the UE and the MPTCP Proxy functionality in the UPF shall use the "</w:t>
      </w:r>
      <w:r w:rsidR="007C2ADF" w:rsidRPr="00873B6C">
        <w:t xml:space="preserve">MPTCP </w:t>
      </w:r>
      <w:r w:rsidRPr="00873B6C">
        <w:t>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w:t>
      </w:r>
      <w:r w:rsidR="007C2ADF" w:rsidRPr="00873B6C">
        <w:t xml:space="preserve">MPTCP </w:t>
      </w:r>
      <w:r w:rsidRPr="00873B6C">
        <w:t>link-specific multipath" IP addresses. The following UE IP address management applies:</w:t>
      </w:r>
    </w:p>
    <w:p w14:paraId="06CA9957" w14:textId="77777777" w:rsidR="00D40151" w:rsidRPr="00873B6C" w:rsidRDefault="00D40151" w:rsidP="00D40151">
      <w:pPr>
        <w:pStyle w:val="B2"/>
      </w:pPr>
      <w:r w:rsidRPr="00873B6C">
        <w:t>-</w:t>
      </w:r>
      <w:r w:rsidRPr="00873B6C">
        <w:tab/>
        <w:t>The MA PDU IP address/prefix shall be provided to the UE via mechanisms defined in clause 5.8.2.2.</w:t>
      </w:r>
    </w:p>
    <w:p w14:paraId="2569481E" w14:textId="4808B2EF" w:rsidR="00D40151" w:rsidRPr="00873B6C" w:rsidRDefault="00D40151" w:rsidP="00D40151">
      <w:pPr>
        <w:pStyle w:val="B2"/>
      </w:pPr>
      <w:r w:rsidRPr="00873B6C">
        <w:t>-</w:t>
      </w:r>
      <w:r w:rsidRPr="00873B6C">
        <w:tab/>
        <w:t>The "</w:t>
      </w:r>
      <w:r w:rsidR="007C2ADF" w:rsidRPr="00873B6C">
        <w:t xml:space="preserve">MPTCP </w:t>
      </w:r>
      <w:r w:rsidRPr="00873B6C">
        <w:t>link-specific multipath" IP addresses/prefixes shall be allocated by the UPF and shall be provided to the UE via SM NAS signalling.</w:t>
      </w:r>
    </w:p>
    <w:p w14:paraId="53007280" w14:textId="28ADE90E" w:rsidR="00D40151" w:rsidRPr="00873B6C" w:rsidRDefault="00D40151" w:rsidP="00D40151">
      <w:pPr>
        <w:pStyle w:val="NO"/>
      </w:pPr>
      <w:r w:rsidRPr="00873B6C">
        <w:t>NOTE 1:</w:t>
      </w:r>
      <w:r w:rsidRPr="00873B6C">
        <w:tab/>
        <w:t xml:space="preserve">After the MA PDU Session is released, the same UE IP addresses/prefixes </w:t>
      </w:r>
      <w:r w:rsidR="007C2ADF" w:rsidRPr="00873B6C">
        <w:t xml:space="preserve">are </w:t>
      </w:r>
      <w:r w:rsidRPr="00873B6C">
        <w:t>not allocated to another UE for MA PDU Session in a short time.</w:t>
      </w:r>
    </w:p>
    <w:p w14:paraId="53357CE7" w14:textId="3CF37659" w:rsidR="00D40151" w:rsidRPr="00873B6C" w:rsidRDefault="00D40151" w:rsidP="00D40151">
      <w:pPr>
        <w:pStyle w:val="NO"/>
      </w:pPr>
      <w:r w:rsidRPr="00873B6C">
        <w:t>NOTE 2:</w:t>
      </w:r>
      <w:r w:rsidRPr="00873B6C">
        <w:tab/>
        <w:t>The act of the UPF performing translation on traffic associated with the "</w:t>
      </w:r>
      <w:r w:rsidR="007C2ADF" w:rsidRPr="00873B6C">
        <w:t xml:space="preserve">MPTCP </w:t>
      </w:r>
      <w:r w:rsidRPr="00873B6C">
        <w:t>link-specific multipath" addresses to/from the MA PDU session IP address can lead to TCP port collision and exhaustion. The port collision can potentially occur because the UE also uses the MA PDU session IP address for non-MPTCP traffic</w:t>
      </w:r>
      <w:r w:rsidR="00472CD7" w:rsidRPr="00873B6C">
        <w:t xml:space="preserve"> and</w:t>
      </w:r>
      <w:r w:rsidRPr="00873B6C">
        <w:t xml:space="preserve">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w:t>
      </w:r>
      <w:r w:rsidR="00472CD7" w:rsidRPr="00873B6C">
        <w:t xml:space="preserve"> and</w:t>
      </w:r>
      <w:r w:rsidRPr="00873B6C">
        <w:t xml:space="preserve"> avoid them by, for example, using additional N6-routable IP addresses for traffic associated to the link-specific multipath addresses/prefixes. How this is done is left to the implementation.</w:t>
      </w:r>
    </w:p>
    <w:p w14:paraId="4605930B" w14:textId="77777777" w:rsidR="00D40151" w:rsidRPr="00873B6C" w:rsidRDefault="00D40151" w:rsidP="00D40151">
      <w:pPr>
        <w:pStyle w:val="B1"/>
      </w:pPr>
      <w:r w:rsidRPr="00873B6C">
        <w:t>iii)</w:t>
      </w:r>
      <w:r w:rsidRPr="00873B6C">
        <w:tab/>
        <w:t>The network shall send MPTCP proxy information to UE, i.e. the IP address, a port number and the type of the MPTCP proxy. The following type of MPTCP proxy shall be supported in this release:</w:t>
      </w:r>
    </w:p>
    <w:p w14:paraId="5EE6E0C4" w14:textId="77777777" w:rsidR="00D40151" w:rsidRPr="00873B6C" w:rsidRDefault="00D40151" w:rsidP="00D40151">
      <w:pPr>
        <w:pStyle w:val="B2"/>
      </w:pPr>
      <w:r w:rsidRPr="00873B6C">
        <w:t>-</w:t>
      </w:r>
      <w:r w:rsidRPr="00873B6C">
        <w:tab/>
        <w:t>Type 1: Transport Converter, as defined in IETF RFC 8803 [82].</w:t>
      </w:r>
    </w:p>
    <w:p w14:paraId="5A499BE3" w14:textId="77777777" w:rsidR="00D40151" w:rsidRPr="00873B6C" w:rsidRDefault="00D40151" w:rsidP="00D40151">
      <w:pPr>
        <w:pStyle w:val="B2"/>
      </w:pPr>
      <w:r w:rsidRPr="00873B6C">
        <w:tab/>
        <w:t>The MPTCP proxy information is retrieved by the SMF from the UPF during N4 session establishment.</w:t>
      </w:r>
    </w:p>
    <w:p w14:paraId="54EE47C1" w14:textId="77777777" w:rsidR="00D40151" w:rsidRPr="00873B6C" w:rsidRDefault="00D40151" w:rsidP="00D40151">
      <w:pPr>
        <w:pStyle w:val="B2"/>
      </w:pPr>
      <w:r w:rsidRPr="00873B6C">
        <w:tab/>
        <w:t>The UE shall support the client extensions specified in IETF RFC 8803 [82].</w:t>
      </w:r>
    </w:p>
    <w:p w14:paraId="54438D5B" w14:textId="77777777" w:rsidR="00D40151" w:rsidRPr="00873B6C" w:rsidRDefault="00D40151" w:rsidP="00D40151">
      <w:pPr>
        <w:pStyle w:val="B1"/>
      </w:pPr>
      <w:r w:rsidRPr="00873B6C">
        <w:t>iv)</w:t>
      </w:r>
      <w:r w:rsidRPr="00873B6C">
        <w:tab/>
        <w:t>The network may indicate to UE the list of applications for which the MPTCP functionality should be applied. This is achieved by using the Steering Functionality component of an ATSSS rule (see clause 5.32.8).</w:t>
      </w:r>
    </w:p>
    <w:p w14:paraId="3E92B885" w14:textId="4463A985" w:rsidR="00D40151" w:rsidRPr="00873B6C" w:rsidRDefault="00D40151" w:rsidP="00D40151">
      <w:pPr>
        <w:pStyle w:val="NO"/>
      </w:pPr>
      <w:r w:rsidRPr="00873B6C">
        <w:t>NOTE 3:</w:t>
      </w:r>
      <w:r w:rsidRPr="00873B6C">
        <w:tab/>
        <w:t>To protect the MPTCP proxy function (e.g. to block DDOS to the MPTCP proxy function), the IP addresses of the MPTCP Proxy Function are only accessible from the two "</w:t>
      </w:r>
      <w:r w:rsidR="007C2ADF" w:rsidRPr="00873B6C">
        <w:t xml:space="preserve">MPTCP </w:t>
      </w:r>
      <w:r w:rsidRPr="00873B6C">
        <w:t>link-specific multipath" IP addresses of the UE via the N3/N9 interface.</w:t>
      </w:r>
    </w:p>
    <w:p w14:paraId="1DBDA5B4" w14:textId="77777777" w:rsidR="00D40151" w:rsidRPr="00873B6C" w:rsidRDefault="00D40151" w:rsidP="00D40151">
      <w:pPr>
        <w:pStyle w:val="B1"/>
      </w:pPr>
      <w:r w:rsidRPr="00873B6C">
        <w:t>v)</w:t>
      </w:r>
      <w:r w:rsidRPr="00873B6C">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4BF25FD4" w14:textId="2A72EA0F" w:rsidR="007C2ADF" w:rsidRPr="00873B6C" w:rsidRDefault="007C2ADF" w:rsidP="007C2ADF">
      <w:pPr>
        <w:pStyle w:val="Heading5"/>
      </w:pPr>
      <w:bookmarkStart w:id="4744" w:name="_CR5_32_6_2_2"/>
      <w:bookmarkStart w:id="4745" w:name="_Toc20150145"/>
      <w:bookmarkStart w:id="4746" w:name="_Toc27846947"/>
      <w:bookmarkStart w:id="4747" w:name="_Toc36188078"/>
      <w:bookmarkStart w:id="4748" w:name="_Toc45183983"/>
      <w:bookmarkStart w:id="4749" w:name="_Toc47342825"/>
      <w:bookmarkStart w:id="4750" w:name="_Toc51769527"/>
      <w:bookmarkStart w:id="4751" w:name="_Toc201157597"/>
      <w:bookmarkEnd w:id="4744"/>
      <w:r w:rsidRPr="00873B6C">
        <w:t>5.32.6.2.2</w:t>
      </w:r>
      <w:r w:rsidRPr="00873B6C">
        <w:tab/>
        <w:t>MPQUIC Functionality</w:t>
      </w:r>
      <w:bookmarkEnd w:id="4751"/>
    </w:p>
    <w:p w14:paraId="5EC8145A" w14:textId="7AFF3403" w:rsidR="007C2ADF" w:rsidRPr="00873B6C" w:rsidRDefault="007C2ADF" w:rsidP="007C2ADF">
      <w:r w:rsidRPr="00873B6C">
        <w:t>The MPQUIC functionality enables steering, switching</w:t>
      </w:r>
      <w:r w:rsidR="00472CD7" w:rsidRPr="00873B6C">
        <w:t xml:space="preserve"> and</w:t>
      </w:r>
      <w:r w:rsidRPr="00873B6C">
        <w:t xml:space="preserve"> splitting of UDP traffic between the UE and UPF, in accordance with the ATSSS policy created by the network. The operation of the MPQUIC functionality is based on RFC 9298 [170] "proxying UDP in HTTP", which specifies how UDP traffic can be transferred between a client (UE) and a proxy (UPF) using the RFC 9114 [171] HTTP/3 protocol. The HTTP/3 protocol operates on top of the QUIC </w:t>
      </w:r>
      <w:r w:rsidRPr="00873B6C">
        <w:lastRenderedPageBreak/>
        <w:t>protocol (RFC 9000 [166], RFC 9001 [167] , RFC 9002 [168]), which supports simultaneous communication over multiple paths, as defined in draft-ietf-quic-multipath [174].</w:t>
      </w:r>
    </w:p>
    <w:p w14:paraId="2957CAF1" w14:textId="77777777" w:rsidR="007C2ADF" w:rsidRPr="00873B6C" w:rsidRDefault="007C2ADF" w:rsidP="007C2ADF">
      <w:r w:rsidRPr="00873B6C">
        <w:t>The MPQUIC functionality in the UE communicates with the MPQUIC Proxy functionality in the UPF (see Figure 4.2.10-1) using the user plane of the 3GPP access, or the non-3GPP access, or both.</w:t>
      </w:r>
    </w:p>
    <w:p w14:paraId="0F6A44D5" w14:textId="77777777" w:rsidR="007C2ADF" w:rsidRPr="00873B6C" w:rsidRDefault="007C2ADF" w:rsidP="007C2ADF">
      <w:r w:rsidRPr="00873B6C">
        <w:t>The MPQUIC functionality may be enabled for an MA PDU Session with type IPv4, IPv6 or IPv4v6, when both the UE and the network support this functionality. The MPQUIC functionality shall not be enabled when the type of the MA PDU Session is Ethernet.</w:t>
      </w:r>
    </w:p>
    <w:p w14:paraId="680C841A" w14:textId="77777777" w:rsidR="007C2ADF" w:rsidRPr="00873B6C" w:rsidRDefault="007C2ADF" w:rsidP="007C2ADF">
      <w:r w:rsidRPr="00873B6C">
        <w:t>The MPQUIC functionality is composed of three components:</w:t>
      </w:r>
    </w:p>
    <w:p w14:paraId="79D599FF" w14:textId="77777777" w:rsidR="007C2ADF" w:rsidRPr="00873B6C" w:rsidRDefault="007C2ADF" w:rsidP="00972E70">
      <w:pPr>
        <w:pStyle w:val="B1"/>
      </w:pPr>
      <w:r w:rsidRPr="00873B6C">
        <w:t>1)</w:t>
      </w:r>
      <w:r w:rsidRPr="00873B6C">
        <w:tab/>
        <w:t>QoS flow selection &amp; Steering mode selection: This component in the UE initiates the establishment of one or more multipath QUIC connections, after the establishment of the MA PDU Session and, for each uplink UDP flow, it selects a QoS flow (based on the QoS rules), a steering mode and a transport mode (based on the ATSSS rules). This component in the UPF selects, for each downlink UDP flow, a QoS flow (based on the N4 rules), a steering mode and a transport mode (based on the N4 rules). The supported transport modes are defined below.</w:t>
      </w:r>
    </w:p>
    <w:p w14:paraId="38F1FBBC" w14:textId="77777777" w:rsidR="007C2ADF" w:rsidRPr="00873B6C" w:rsidRDefault="007C2ADF" w:rsidP="00972E70">
      <w:pPr>
        <w:pStyle w:val="B1"/>
      </w:pPr>
      <w:r w:rsidRPr="00873B6C">
        <w:tab/>
        <w:t>In the UE, this component is only used in the uplink direction, while, in the UPF, this component is only used in the downlink direction.</w:t>
      </w:r>
    </w:p>
    <w:p w14:paraId="31FF07D1" w14:textId="6F87A7B8" w:rsidR="007C2ADF" w:rsidRPr="00873B6C" w:rsidRDefault="007C2ADF" w:rsidP="00972E70">
      <w:pPr>
        <w:pStyle w:val="B1"/>
      </w:pPr>
      <w:r w:rsidRPr="00873B6C">
        <w:t>2)</w:t>
      </w:r>
      <w:r w:rsidRPr="00873B6C">
        <w:tab/>
        <w:t>HTTP/3 layer: Supports the HTTP/3 protocol defined in RFC 9114 [171] and the extensions defined in:</w:t>
      </w:r>
    </w:p>
    <w:p w14:paraId="4B38CC4A" w14:textId="4AED57D6" w:rsidR="007C2ADF" w:rsidRPr="00873B6C" w:rsidRDefault="007C2ADF" w:rsidP="00972E70">
      <w:pPr>
        <w:pStyle w:val="B2"/>
      </w:pPr>
      <w:r w:rsidRPr="00873B6C">
        <w:t>-</w:t>
      </w:r>
      <w:r w:rsidRPr="00873B6C">
        <w:tab/>
        <w:t>RFC 9298 [170] for supporting UDP proxying over HTTP;</w:t>
      </w:r>
    </w:p>
    <w:p w14:paraId="31C3317C" w14:textId="1CB6EA9F" w:rsidR="007C2ADF" w:rsidRPr="00873B6C" w:rsidRDefault="007C2ADF" w:rsidP="00972E70">
      <w:pPr>
        <w:pStyle w:val="B2"/>
      </w:pPr>
      <w:r w:rsidRPr="00873B6C">
        <w:t>-</w:t>
      </w:r>
      <w:r w:rsidRPr="00873B6C">
        <w:tab/>
        <w:t>RFC 9297 [172] for supporting HTTP datagrams; and</w:t>
      </w:r>
    </w:p>
    <w:p w14:paraId="0E3A247B" w14:textId="11D882E9" w:rsidR="007C2ADF" w:rsidRPr="00873B6C" w:rsidRDefault="007C2ADF" w:rsidP="00972E70">
      <w:pPr>
        <w:pStyle w:val="B2"/>
      </w:pPr>
      <w:r w:rsidRPr="00873B6C">
        <w:t>-</w:t>
      </w:r>
      <w:r w:rsidRPr="00873B6C">
        <w:tab/>
        <w:t>RFC 9220 [173] for supporting Extended CONNECT.</w:t>
      </w:r>
    </w:p>
    <w:p w14:paraId="0F82EBE4" w14:textId="77777777" w:rsidR="007C2ADF" w:rsidRPr="00873B6C" w:rsidRDefault="007C2ADF" w:rsidP="00972E70">
      <w:pPr>
        <w:pStyle w:val="B1"/>
      </w:pPr>
      <w:r w:rsidRPr="00873B6C">
        <w:tab/>
        <w:t>The HTTP/3 layer selects a multipath QUIC connection to be used for each UDP flow and allocates a new QUIC stream on this connection that is associated with the UDP flow. It also configures this QUIC stream to apply a specific steering mode.</w:t>
      </w:r>
    </w:p>
    <w:p w14:paraId="1AF7E407" w14:textId="77777777" w:rsidR="007C2ADF" w:rsidRPr="00873B6C" w:rsidRDefault="007C2ADF" w:rsidP="00972E70">
      <w:pPr>
        <w:pStyle w:val="B1"/>
      </w:pPr>
      <w:r w:rsidRPr="00873B6C">
        <w:tab/>
        <w:t>In the UE, the HTTP/3 layer implements an HTTP/3 client, while, in the UPF, it implements an HTTP/3 proxy.</w:t>
      </w:r>
    </w:p>
    <w:p w14:paraId="0E7E2B4E" w14:textId="39FB190E" w:rsidR="007C2ADF" w:rsidRPr="00873B6C" w:rsidRDefault="007C2ADF" w:rsidP="00972E70">
      <w:pPr>
        <w:pStyle w:val="B1"/>
      </w:pPr>
      <w:r w:rsidRPr="00873B6C">
        <w:t>3)</w:t>
      </w:r>
      <w:r w:rsidRPr="00873B6C">
        <w:tab/>
        <w:t>QUIC layer: Supports the QUIC protocol as defined in the applicable IETF specifications (RFC 9000 [166], RFC 9001 [167], RFC 9002 [168]) and the extensions defined in:</w:t>
      </w:r>
    </w:p>
    <w:p w14:paraId="312EED34" w14:textId="35E6A39E" w:rsidR="007C2ADF" w:rsidRPr="00873B6C" w:rsidRDefault="007C2ADF" w:rsidP="00972E70">
      <w:pPr>
        <w:pStyle w:val="B2"/>
      </w:pPr>
      <w:r w:rsidRPr="00873B6C">
        <w:t>-</w:t>
      </w:r>
      <w:r w:rsidRPr="00873B6C">
        <w:tab/>
        <w:t>RFC 9221 [169] for supporting unreliable datagram transport with QUIC; and</w:t>
      </w:r>
    </w:p>
    <w:p w14:paraId="18419B91" w14:textId="4186F305" w:rsidR="007C2ADF" w:rsidRPr="00873B6C" w:rsidRDefault="007C2ADF" w:rsidP="00972E70">
      <w:pPr>
        <w:pStyle w:val="B2"/>
      </w:pPr>
      <w:r w:rsidRPr="00873B6C">
        <w:t>-</w:t>
      </w:r>
      <w:r w:rsidRPr="00873B6C">
        <w:tab/>
        <w:t>draft-ietf-quic-multipath [174] for supporting QUIC connections using multiple paths simultaneously.</w:t>
      </w:r>
    </w:p>
    <w:p w14:paraId="0C9AAAA7" w14:textId="06F6F23B" w:rsidR="007C2ADF" w:rsidRPr="00873B6C" w:rsidRDefault="007C2ADF" w:rsidP="007C2ADF">
      <w:r w:rsidRPr="00873B6C">
        <w:t>When the MPQUIC functionality is applied, the protocol stack of the user plane is depicted in figure below.</w:t>
      </w:r>
    </w:p>
    <w:p w14:paraId="0463E6CB" w14:textId="06143919" w:rsidR="00BA4B57" w:rsidRPr="00873B6C" w:rsidRDefault="00BA4B57" w:rsidP="00DD6726">
      <w:pPr>
        <w:pStyle w:val="TH"/>
      </w:pPr>
      <w:r w:rsidRPr="00873B6C">
        <w:object w:dxaOrig="11191" w:dyaOrig="4351" w14:anchorId="276919EC">
          <v:shape id="_x0000_i1112" type="#_x0000_t75" style="width:481.45pt;height:187.85pt" o:ole="">
            <v:imagedata r:id="rId183" o:title=""/>
          </v:shape>
          <o:OLEObject Type="Embed" ProgID="Visio.Drawing.15" ShapeID="_x0000_i1112" DrawAspect="Content" ObjectID="_1811772446" r:id="rId184"/>
        </w:object>
      </w:r>
    </w:p>
    <w:p w14:paraId="4AB783D2" w14:textId="567C94C3" w:rsidR="007C2ADF" w:rsidRPr="00873B6C" w:rsidRDefault="007C2ADF" w:rsidP="007C2ADF">
      <w:pPr>
        <w:pStyle w:val="TF"/>
      </w:pPr>
      <w:bookmarkStart w:id="4752" w:name="_CRFigure5_32_6_2_21"/>
      <w:r w:rsidRPr="00873B6C">
        <w:t xml:space="preserve">Figure </w:t>
      </w:r>
      <w:bookmarkEnd w:id="4752"/>
      <w:r w:rsidRPr="00873B6C">
        <w:t>5.32.6.2.2-1: UP protocol stack when the MPQUIC functionality is applied</w:t>
      </w:r>
    </w:p>
    <w:p w14:paraId="57008802" w14:textId="37A814C9" w:rsidR="007C2ADF" w:rsidRPr="00873B6C" w:rsidRDefault="007C2ADF" w:rsidP="007C2ADF">
      <w:r w:rsidRPr="00873B6C">
        <w:t>If the UE indicates that it is capable of supporting the MPQUIC functionality, as described in clause 5.32.2</w:t>
      </w:r>
      <w:r w:rsidR="00472CD7" w:rsidRPr="00873B6C">
        <w:t xml:space="preserve"> and</w:t>
      </w:r>
      <w:r w:rsidRPr="00873B6C">
        <w:t xml:space="preserve"> the network agrees to enable the MPQUIC functionality for the MA PDU Session then:</w:t>
      </w:r>
    </w:p>
    <w:p w14:paraId="1E4AC17D" w14:textId="77777777" w:rsidR="007C2ADF" w:rsidRPr="00873B6C" w:rsidRDefault="007C2ADF" w:rsidP="00972E70">
      <w:pPr>
        <w:pStyle w:val="B1"/>
      </w:pPr>
      <w:r w:rsidRPr="00873B6C">
        <w:lastRenderedPageBreak/>
        <w:t>i)</w:t>
      </w:r>
      <w:r w:rsidRPr="00873B6C">
        <w:tab/>
        <w:t>An associated MPQUIC Proxy functionality is enabled in the UPF for the MA PDU Session.</w:t>
      </w:r>
    </w:p>
    <w:p w14:paraId="2AD01B38" w14:textId="77777777" w:rsidR="007C2ADF" w:rsidRPr="00873B6C" w:rsidRDefault="007C2ADF" w:rsidP="00972E70">
      <w:pPr>
        <w:pStyle w:val="B1"/>
      </w:pPr>
      <w:r w:rsidRPr="00873B6C">
        <w:t>ii)</w:t>
      </w:r>
      <w:r w:rsidRPr="00873B6C">
        <w:tab/>
        <w:t>The network allocates to UE one IP address/prefix for the MA PDU Session and two additional IP addresses/prefixes, called "MPQUIC link-specific multipath " addresses/prefixes; one associated with 3GPP access and another associated with the non-3GPP access. In the UE, these two IP addresses/prefixes are used only by the MPQUIC functionality. Each "MPQUIC link-specific multipath" address/prefix assigned to UE may not be routable via N6. The MPQUIC functionality in the UE and the MPQUIC Proxy functionality in the UPF shall use the "MPQUIC link-specific multipath" addresses/prefixes for transmitting UDP flows over non-3GPP access and over 3GPP access. The MPQUIC Proxy functionality shall use the IP address/prefix of the MA PDU session for the communication with the final destination. In Figure 5.32.6.1-1, the IP@3 corresponds to the IP address of the MA PDU Session and the IP@4 and IP@5 correspond to the "MPQUIC link-specific multipath" addresses. The following UE IP address management applies:</w:t>
      </w:r>
    </w:p>
    <w:p w14:paraId="7C3A3970" w14:textId="77777777" w:rsidR="007C2ADF" w:rsidRPr="00873B6C" w:rsidRDefault="007C2ADF" w:rsidP="00972E70">
      <w:pPr>
        <w:pStyle w:val="B2"/>
      </w:pPr>
      <w:r w:rsidRPr="00873B6C">
        <w:t>-</w:t>
      </w:r>
      <w:r w:rsidRPr="00873B6C">
        <w:tab/>
        <w:t>The MA PDU IP address/prefix shall be provided to the UE via mechanisms defined in clause 5.8.2.2.</w:t>
      </w:r>
    </w:p>
    <w:p w14:paraId="3928A919" w14:textId="77777777" w:rsidR="007C2ADF" w:rsidRPr="00873B6C" w:rsidRDefault="007C2ADF" w:rsidP="00972E70">
      <w:pPr>
        <w:pStyle w:val="B2"/>
      </w:pPr>
      <w:r w:rsidRPr="00873B6C">
        <w:t>-</w:t>
      </w:r>
      <w:r w:rsidRPr="00873B6C">
        <w:tab/>
        <w:t>The "MPQUIC link-specific multipath" IP addresses/prefixes shall be allocated by the UPF and shall be provided to the UE via SM NAS signalling.</w:t>
      </w:r>
    </w:p>
    <w:p w14:paraId="622BA768" w14:textId="5CA46B72" w:rsidR="007C2ADF" w:rsidRPr="00873B6C" w:rsidRDefault="007C2ADF" w:rsidP="00972E70">
      <w:pPr>
        <w:pStyle w:val="NO"/>
      </w:pPr>
      <w:r w:rsidRPr="00873B6C">
        <w:t>NOTE 1:</w:t>
      </w:r>
      <w:r w:rsidRPr="00873B6C">
        <w:tab/>
        <w:t>After the MA PDU Session is released, the same UE IP addresses/prefixes are not allocated to another UE for MA PDU Session in a short time.</w:t>
      </w:r>
    </w:p>
    <w:p w14:paraId="3DC6F991" w14:textId="77777777" w:rsidR="007C2ADF" w:rsidRPr="00873B6C" w:rsidRDefault="007C2ADF" w:rsidP="00972E70">
      <w:pPr>
        <w:pStyle w:val="B1"/>
      </w:pPr>
      <w:r w:rsidRPr="00873B6C">
        <w:t>iii)</w:t>
      </w:r>
      <w:r w:rsidRPr="00873B6C">
        <w:tab/>
        <w:t>The network shall send MPQUIC proxy information to UE, i.e. one IP address of UPF, one UDP port number and the proxy type (e.g. "connect-udp"). This information is used by the UE for establishing multipath QUIC connections with the UPF, which implements the MPQUIC Proxy functionality.</w:t>
      </w:r>
    </w:p>
    <w:p w14:paraId="38A8754C" w14:textId="77777777" w:rsidR="007C2ADF" w:rsidRPr="00873B6C" w:rsidRDefault="007C2ADF" w:rsidP="00972E70">
      <w:pPr>
        <w:pStyle w:val="B1"/>
      </w:pPr>
      <w:r w:rsidRPr="00873B6C">
        <w:t>iv)</w:t>
      </w:r>
      <w:r w:rsidRPr="00873B6C">
        <w:tab/>
        <w:t>After the MA PDU Session is established, the UE determines the number of multipath QUIC connections to be established with the UPF. The UE determines to establish at least as many multipath QUIC connections as the number of QoS flows of the MA PDU Session, i.e. one multipath QUIC connection per QoS flow. Each multipath QUIC connection carries the UDP traffic mapped to a single QoS flow.</w:t>
      </w:r>
    </w:p>
    <w:p w14:paraId="78E46B4D" w14:textId="1F5520E0" w:rsidR="00BA4B57" w:rsidRPr="00873B6C" w:rsidRDefault="00BA4B57" w:rsidP="00972E70">
      <w:pPr>
        <w:pStyle w:val="B1"/>
      </w:pPr>
      <w:r w:rsidRPr="00873B6C">
        <w:tab/>
        <w:t>Security aspects are defined in TS 33.501 [29].</w:t>
      </w:r>
    </w:p>
    <w:p w14:paraId="3888DB8C" w14:textId="27EAE1C8" w:rsidR="007C2ADF" w:rsidRPr="00873B6C" w:rsidRDefault="007C2ADF" w:rsidP="00972E70">
      <w:pPr>
        <w:pStyle w:val="B1"/>
      </w:pPr>
      <w:r w:rsidRPr="00873B6C">
        <w:tab/>
        <w:t>For the downlink traffic to which the MPQUIC functionality is to be applied, the QoS rules provided to UE include downlink QoS information and the UE applies the downlink QoS information to establish multipath QUIC connections for the QoS flows used for the downlink traffic only.</w:t>
      </w:r>
    </w:p>
    <w:p w14:paraId="4A1F08D3" w14:textId="57B5B2A6" w:rsidR="007C2ADF" w:rsidRPr="00873B6C" w:rsidRDefault="007C2ADF" w:rsidP="00972E70">
      <w:pPr>
        <w:pStyle w:val="B1"/>
      </w:pPr>
      <w:r w:rsidRPr="00873B6C">
        <w:t>v)</w:t>
      </w:r>
      <w:r w:rsidRPr="00873B6C">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[169]) and they indicate support of multipath by providing the "enable_multipath" transport parameter (see draft-ietf-quic-multipath [174]).</w:t>
      </w:r>
    </w:p>
    <w:p w14:paraId="0FEADA76" w14:textId="6961F919" w:rsidR="007C2ADF" w:rsidRPr="00873B6C" w:rsidRDefault="007C2ADF" w:rsidP="00972E70">
      <w:pPr>
        <w:pStyle w:val="B1"/>
      </w:pPr>
      <w:r w:rsidRPr="00873B6C">
        <w:tab/>
        <w:t>In addition, during a QUIC connection establishment the QoS flow associated with this connection</w:t>
      </w:r>
      <w:r w:rsidR="00C86B51" w:rsidRPr="00873B6C">
        <w:t xml:space="preserve"> is determined</w:t>
      </w:r>
      <w:r w:rsidRPr="00873B6C">
        <w:t>.</w:t>
      </w:r>
      <w:r w:rsidR="00C86B51" w:rsidRPr="00873B6C">
        <w:t xml:space="preserve"> The UE sends all traffic of a QUIC connection over the QoS flow associated with this QUIC connection.</w:t>
      </w:r>
      <w:r w:rsidRPr="00873B6C">
        <w:t xml:space="preserve"> This enables the UPF</w:t>
      </w:r>
      <w:r w:rsidR="00C86B51" w:rsidRPr="00873B6C">
        <w:t xml:space="preserve"> to determine the QoS flow associated with a QUIC connection and</w:t>
      </w:r>
      <w:r w:rsidRPr="00873B6C">
        <w:t xml:space="preserve"> to select a QUIC connection for sending the downlink traffic of a QoS flow.</w:t>
      </w:r>
    </w:p>
    <w:p w14:paraId="0CAAEC48" w14:textId="05DA64E2" w:rsidR="007C2ADF" w:rsidRPr="00873B6C" w:rsidRDefault="007C2ADF" w:rsidP="00972E70">
      <w:pPr>
        <w:pStyle w:val="B1"/>
      </w:pPr>
      <w:r w:rsidRPr="00873B6C">
        <w:t>vi)</w:t>
      </w:r>
      <w:r w:rsidRPr="00873B6C">
        <w:tab/>
        <w:t xml:space="preserve">After a QUIC connection establishment, the HTTP/3 client in the UE and the HTTP/3 proxy in the UPF negotiate HTTP settings and indicate support of HTTP Datagrams (see RFC 9297 [172]) and support of Extended CONNECT (see RFC 9220 [173]). To use MPQUIC proxying for a UDP traffic flow, the UE then sends a HTTP/3 CONNECT request (see RFC 9298 [170]) to the </w:t>
      </w:r>
      <w:r w:rsidR="00141A61" w:rsidRPr="00873B6C">
        <w:t xml:space="preserve">HTTP/3 </w:t>
      </w:r>
      <w:r w:rsidRPr="00873B6C">
        <w:t>proxy in the UPF.</w:t>
      </w:r>
    </w:p>
    <w:p w14:paraId="10BCB2AF" w14:textId="77777777" w:rsidR="007C2ADF" w:rsidRPr="00873B6C" w:rsidRDefault="007C2ADF" w:rsidP="00972E70">
      <w:pPr>
        <w:pStyle w:val="B1"/>
      </w:pPr>
      <w:r w:rsidRPr="00873B6C">
        <w:t>vii) The network may indicate to UE the list of applications for which the MPQUIC functionality should be applied. This is achieved by using the Steering Functionality component of an ATSSS rule (see clause 5.32.8).</w:t>
      </w:r>
    </w:p>
    <w:p w14:paraId="3AA6F688" w14:textId="48302CC5" w:rsidR="007C2ADF" w:rsidRPr="00873B6C" w:rsidRDefault="007C2ADF" w:rsidP="007C2ADF">
      <w:pPr>
        <w:pStyle w:val="H6"/>
      </w:pPr>
      <w:bookmarkStart w:id="4753" w:name="_CR5_32_6_2_2_1"/>
      <w:r w:rsidRPr="00873B6C">
        <w:t>5.32.6.2.2.1</w:t>
      </w:r>
      <w:r w:rsidRPr="00873B6C">
        <w:tab/>
        <w:t>Supported Transport Modes</w:t>
      </w:r>
    </w:p>
    <w:bookmarkEnd w:id="4753"/>
    <w:p w14:paraId="78BA38E6" w14:textId="77777777" w:rsidR="007C2ADF" w:rsidRPr="00873B6C" w:rsidRDefault="007C2ADF" w:rsidP="007C2ADF">
      <w:r w:rsidRPr="00873B6C">
        <w:t>The MPQUIC functionality supports the following transport modes for transmitting a UDP flow between UE and UPF. The PCF selects which of these transport modes shall be applied for a UDP flow (SDF). The selected transport mode is provided to UE and UPF within the ATSSS rules and N4/MAR rules respectively.</w:t>
      </w:r>
    </w:p>
    <w:p w14:paraId="66C8ABCA" w14:textId="72DDF263" w:rsidR="007C2ADF" w:rsidRPr="00873B6C" w:rsidRDefault="007C2ADF" w:rsidP="00972E70">
      <w:pPr>
        <w:pStyle w:val="B1"/>
      </w:pPr>
      <w:r w:rsidRPr="00873B6C">
        <w:t>-</w:t>
      </w:r>
      <w:r w:rsidRPr="00873B6C">
        <w:tab/>
        <w:t>Datagram mode 2: This transport mode is the mode defined in RFC 9298 [170]. It encapsulates UDP packets within QUIC Datagram frames and provides unreliable transport with no sequence numbering and no packet reordering / deduplication.</w:t>
      </w:r>
    </w:p>
    <w:p w14:paraId="47218CE9" w14:textId="2808E9F2" w:rsidR="007C2ADF" w:rsidRPr="00873B6C" w:rsidRDefault="007C2ADF" w:rsidP="00972E70">
      <w:pPr>
        <w:pStyle w:val="B1"/>
      </w:pPr>
      <w:r w:rsidRPr="00873B6C">
        <w:lastRenderedPageBreak/>
        <w:t>-</w:t>
      </w:r>
      <w:r w:rsidRPr="00873B6C">
        <w:tab/>
        <w:t>Datagram mode 1: This transport mode is an extension of the mode defined in RFC 9298 [170]. It encapsulates UDP packets within QUIC Datagram frames and provides unreliable transport but with sequence numbering and with packet reordering / deduplication. It can be applied for any UDP flow. The details of the datagram mode 1</w:t>
      </w:r>
      <w:r w:rsidR="00F04A40" w:rsidRPr="00873B6C">
        <w:t xml:space="preserve"> are defined in TS 24.193 [109]</w:t>
      </w:r>
      <w:r w:rsidRPr="00873B6C">
        <w:t>.</w:t>
      </w:r>
    </w:p>
    <w:p w14:paraId="5678D39A" w14:textId="77777777" w:rsidR="007C2ADF" w:rsidRPr="00873B6C" w:rsidRDefault="007C2ADF" w:rsidP="00972E70">
      <w:pPr>
        <w:pStyle w:val="B1"/>
      </w:pPr>
      <w:r w:rsidRPr="00873B6C">
        <w:t>-</w:t>
      </w:r>
      <w:r w:rsidRPr="00873B6C">
        <w:tab/>
        <w:t>Stream mode: This transport mode is readily supported by the QUIC protocol. It encapsulates UDP packets within QUIC Stream frames and provides reliable transport with sequence numbering and with packet reordering / deduplication. It can be applied for UDP flows where it is known that the application does not perform retransmissions.</w:t>
      </w:r>
    </w:p>
    <w:p w14:paraId="4BA4596C" w14:textId="1F5904E5" w:rsidR="007C2ADF" w:rsidRPr="00873B6C" w:rsidRDefault="007C2ADF" w:rsidP="00972E70">
      <w:pPr>
        <w:pStyle w:val="NO"/>
      </w:pPr>
      <w:r w:rsidRPr="00873B6C">
        <w:t>NOTE 1:</w:t>
      </w:r>
      <w:r w:rsidRPr="00873B6C">
        <w:tab/>
        <w:t>The Stream mode provides strict reliability and in-order delivery with re-transmissions and therefore can lead to melt down phenomena when reliable traffic (e.g. QUIC) is carried, or counteracts application decisions when UDP is selected to avoid reliability and/or in-order delivery. Therefore, it can be avoided for applications which perform their own reliability mechanisms.</w:t>
      </w:r>
    </w:p>
    <w:p w14:paraId="581B8105" w14:textId="696279AA" w:rsidR="007C2ADF" w:rsidRPr="00873B6C" w:rsidRDefault="007C2ADF" w:rsidP="00972E70">
      <w:pPr>
        <w:pStyle w:val="NO"/>
      </w:pPr>
      <w:r w:rsidRPr="00873B6C">
        <w:t>NOTE 2:</w:t>
      </w:r>
      <w:r w:rsidRPr="00873B6C">
        <w:tab/>
        <w:t>When a steering mode is supported by ATSSS-LL for a UDP flow (e.g. Active-Standby), the MPQUIC steering functionality can be selected if additional features, which are not supported by the ATSSS-LL steering functionality and PMF, are required for the traffic steering/switching/splitting of the UDP flow.</w:t>
      </w:r>
    </w:p>
    <w:p w14:paraId="0F8AA6A3" w14:textId="77777777" w:rsidR="00D40151" w:rsidRPr="00873B6C" w:rsidRDefault="00D40151" w:rsidP="00D40151">
      <w:pPr>
        <w:pStyle w:val="Heading4"/>
      </w:pPr>
      <w:bookmarkStart w:id="4754" w:name="_CR5_32_6_3"/>
      <w:bookmarkStart w:id="4755" w:name="_Toc201157598"/>
      <w:bookmarkEnd w:id="4754"/>
      <w:r w:rsidRPr="00873B6C">
        <w:t>5.32.6.3</w:t>
      </w:r>
      <w:r w:rsidRPr="00873B6C">
        <w:tab/>
        <w:t>Low-Layer Steering Functionalities</w:t>
      </w:r>
      <w:bookmarkEnd w:id="4745"/>
      <w:bookmarkEnd w:id="4746"/>
      <w:bookmarkEnd w:id="4747"/>
      <w:bookmarkEnd w:id="4748"/>
      <w:bookmarkEnd w:id="4749"/>
      <w:bookmarkEnd w:id="4750"/>
      <w:bookmarkEnd w:id="4755"/>
    </w:p>
    <w:p w14:paraId="55277030" w14:textId="77777777" w:rsidR="00D40151" w:rsidRPr="00873B6C" w:rsidRDefault="00D40151" w:rsidP="00D40151">
      <w:pPr>
        <w:pStyle w:val="Heading5"/>
      </w:pPr>
      <w:bookmarkStart w:id="4756" w:name="_CR5_32_6_3_1"/>
      <w:bookmarkStart w:id="4757" w:name="_Toc20150146"/>
      <w:bookmarkStart w:id="4758" w:name="_Toc27846948"/>
      <w:bookmarkStart w:id="4759" w:name="_Toc36188079"/>
      <w:bookmarkStart w:id="4760" w:name="_Toc45183984"/>
      <w:bookmarkStart w:id="4761" w:name="_Toc47342826"/>
      <w:bookmarkStart w:id="4762" w:name="_Toc51769528"/>
      <w:bookmarkStart w:id="4763" w:name="_Toc201157599"/>
      <w:bookmarkEnd w:id="4756"/>
      <w:r w:rsidRPr="00873B6C">
        <w:t>5.32.6.3.1</w:t>
      </w:r>
      <w:r w:rsidRPr="00873B6C">
        <w:tab/>
        <w:t>ATSSS-LL Functionality</w:t>
      </w:r>
      <w:bookmarkEnd w:id="4757"/>
      <w:bookmarkEnd w:id="4758"/>
      <w:bookmarkEnd w:id="4759"/>
      <w:bookmarkEnd w:id="4760"/>
      <w:bookmarkEnd w:id="4761"/>
      <w:bookmarkEnd w:id="4762"/>
      <w:bookmarkEnd w:id="4763"/>
    </w:p>
    <w:p w14:paraId="6507CB62" w14:textId="1EA58B67" w:rsidR="00D40151" w:rsidRPr="00873B6C" w:rsidRDefault="00D40151" w:rsidP="00D40151">
      <w:r w:rsidRPr="00873B6C">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r w:rsidR="00F03116" w:rsidRPr="00873B6C">
        <w:t xml:space="preserve"> The ATSSS-LL functionality</w:t>
      </w:r>
      <w:r w:rsidR="0029208C" w:rsidRPr="00873B6C">
        <w:t xml:space="preserve"> does not support the</w:t>
      </w:r>
      <w:r w:rsidR="00F03116" w:rsidRPr="00873B6C">
        <w:t xml:space="preserve"> Redundant Steering Mode.</w:t>
      </w:r>
    </w:p>
    <w:p w14:paraId="771268A8" w14:textId="77777777" w:rsidR="00D40151" w:rsidRPr="00873B6C" w:rsidRDefault="00D40151" w:rsidP="00D40151">
      <w:r w:rsidRPr="00873B6C">
        <w:t>The ATSSS-LL functionality may be enabled in the UE when the UE provides an "ATSSS-LL capability" during the PDU Session Establishment procedure.</w:t>
      </w:r>
    </w:p>
    <w:p w14:paraId="036B084A" w14:textId="77777777" w:rsidR="0029208C" w:rsidRPr="00873B6C" w:rsidRDefault="00D40151" w:rsidP="00D40151">
      <w:r w:rsidRPr="00873B6C">
        <w:t xml:space="preserve">The ATSSS-LL functionality is mandatory in the UE for MA PDU Session of type Ethernet. </w:t>
      </w:r>
      <w:r w:rsidR="0029208C" w:rsidRPr="00873B6C">
        <w:t>In addition:</w:t>
      </w:r>
    </w:p>
    <w:p w14:paraId="74FA6E25" w14:textId="1ED01712" w:rsidR="0029208C" w:rsidRPr="00873B6C" w:rsidRDefault="0029208C" w:rsidP="0029208C">
      <w:pPr>
        <w:pStyle w:val="B1"/>
      </w:pPr>
      <w:r w:rsidRPr="00873B6C">
        <w:t>-</w:t>
      </w:r>
      <w:r w:rsidRPr="00873B6C">
        <w:tab/>
      </w:r>
      <w:r w:rsidR="00D40151" w:rsidRPr="00873B6C">
        <w:t>When the UE</w:t>
      </w:r>
      <w:r w:rsidRPr="00873B6C">
        <w:t xml:space="preserve"> neither</w:t>
      </w:r>
      <w:r w:rsidR="00D40151" w:rsidRPr="00873B6C">
        <w:t xml:space="preserve"> support</w:t>
      </w:r>
      <w:r w:rsidRPr="00873B6C">
        <w:t>s</w:t>
      </w:r>
      <w:r w:rsidR="00D40151" w:rsidRPr="00873B6C">
        <w:t xml:space="preserve"> the MPTCP functionality</w:t>
      </w:r>
      <w:r w:rsidRPr="00873B6C">
        <w:t xml:space="preserve"> nor the MPQUIC functionality</w:t>
      </w:r>
      <w:r w:rsidR="00D40151" w:rsidRPr="00873B6C">
        <w:t>, the ATSSS-LL functionality is mandatory in the UE for an MA PDU Session of type IP.</w:t>
      </w:r>
    </w:p>
    <w:p w14:paraId="1845F11E" w14:textId="2AACBACE" w:rsidR="00D40151" w:rsidRPr="00873B6C" w:rsidRDefault="0029208C" w:rsidP="00D64A02">
      <w:pPr>
        <w:pStyle w:val="B1"/>
      </w:pPr>
      <w:r w:rsidRPr="00873B6C">
        <w:t>-</w:t>
      </w:r>
      <w:r w:rsidRPr="00873B6C">
        <w:tab/>
      </w:r>
      <w:r w:rsidR="00D40151" w:rsidRPr="00873B6C">
        <w:t>When the UE supports the MPTCP functionality</w:t>
      </w:r>
      <w:r w:rsidRPr="00873B6C">
        <w:t xml:space="preserve"> and does not support the MPQUIC functionality</w:t>
      </w:r>
      <w:r w:rsidR="00D40151" w:rsidRPr="00873B6C">
        <w:t>, the ATSSS-LL functionality with Active-Standby Steering Mode is mandatory in the UE for an MA PDU Session of type IP to support non-MPTCP traffic.</w:t>
      </w:r>
    </w:p>
    <w:p w14:paraId="6259323B" w14:textId="77777777" w:rsidR="0029208C" w:rsidRPr="00873B6C" w:rsidRDefault="0029208C" w:rsidP="0029208C">
      <w:pPr>
        <w:pStyle w:val="B1"/>
      </w:pPr>
      <w:r w:rsidRPr="00873B6C">
        <w:t>-</w:t>
      </w:r>
      <w:r w:rsidRPr="00873B6C">
        <w:tab/>
        <w:t>When the UE supports the MPQUIC functionality and does not support the MPTCP functionality, the ATSSS-LL functionality with Active-Standby Steering Mode is mandatory in the UE for an MA PDU Session of type IP to support non-MPQUIC traffic.</w:t>
      </w:r>
    </w:p>
    <w:p w14:paraId="12E8F74D" w14:textId="77777777" w:rsidR="0029208C" w:rsidRPr="00873B6C" w:rsidRDefault="0029208C" w:rsidP="0029208C">
      <w:pPr>
        <w:pStyle w:val="B1"/>
      </w:pPr>
      <w:r w:rsidRPr="00873B6C">
        <w:t>-</w:t>
      </w:r>
      <w:r w:rsidRPr="00873B6C">
        <w:tab/>
        <w:t>When the UE supports both the MPTCP functionality and the MPQUIC functionality, the ATSSS-LL functionality with Active-Standby Steering Mode is mandatory in the UE for an MA PDU Session of type IP to support non-MPTCP and non-MPQUIC traffic.</w:t>
      </w:r>
    </w:p>
    <w:p w14:paraId="4E3FB795" w14:textId="77777777" w:rsidR="00D40151" w:rsidRPr="00873B6C" w:rsidRDefault="00D40151" w:rsidP="00D40151">
      <w:r w:rsidRPr="00873B6C">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873B6C" w:rsidRDefault="00D40151" w:rsidP="00D40151">
      <w:pPr>
        <w:pStyle w:val="Heading3"/>
      </w:pPr>
      <w:bookmarkStart w:id="4764" w:name="_CR5_32_7"/>
      <w:bookmarkStart w:id="4765" w:name="_Toc20150147"/>
      <w:bookmarkStart w:id="4766" w:name="_Toc27846949"/>
      <w:bookmarkStart w:id="4767" w:name="_Toc36188080"/>
      <w:bookmarkStart w:id="4768" w:name="_Toc45183985"/>
      <w:bookmarkStart w:id="4769" w:name="_Toc47342827"/>
      <w:bookmarkStart w:id="4770" w:name="_Toc51769529"/>
      <w:bookmarkStart w:id="4771" w:name="_Toc201157600"/>
      <w:bookmarkEnd w:id="4764"/>
      <w:r w:rsidRPr="00873B6C">
        <w:t>5.32.7</w:t>
      </w:r>
      <w:r w:rsidRPr="00873B6C">
        <w:tab/>
        <w:t>Interworking with EPS</w:t>
      </w:r>
      <w:bookmarkEnd w:id="4765"/>
      <w:bookmarkEnd w:id="4766"/>
      <w:bookmarkEnd w:id="4767"/>
      <w:bookmarkEnd w:id="4768"/>
      <w:bookmarkEnd w:id="4769"/>
      <w:bookmarkEnd w:id="4770"/>
      <w:bookmarkEnd w:id="4771"/>
    </w:p>
    <w:p w14:paraId="3230AA9F" w14:textId="77777777" w:rsidR="00D40151" w:rsidRPr="00873B6C" w:rsidRDefault="00D40151" w:rsidP="00D40151">
      <w:pPr>
        <w:pStyle w:val="Heading4"/>
      </w:pPr>
      <w:bookmarkStart w:id="4772" w:name="_CR5_32_7_1"/>
      <w:bookmarkStart w:id="4773" w:name="_Toc20150148"/>
      <w:bookmarkStart w:id="4774" w:name="_Toc27846950"/>
      <w:bookmarkStart w:id="4775" w:name="_Toc36188081"/>
      <w:bookmarkStart w:id="4776" w:name="_Toc45183986"/>
      <w:bookmarkStart w:id="4777" w:name="_Toc47342828"/>
      <w:bookmarkStart w:id="4778" w:name="_Toc51769530"/>
      <w:bookmarkStart w:id="4779" w:name="_Toc201157601"/>
      <w:bookmarkEnd w:id="4772"/>
      <w:r w:rsidRPr="00873B6C">
        <w:t>5.32.7.1</w:t>
      </w:r>
      <w:r w:rsidRPr="00873B6C">
        <w:tab/>
        <w:t>General</w:t>
      </w:r>
      <w:bookmarkEnd w:id="4773"/>
      <w:bookmarkEnd w:id="4774"/>
      <w:bookmarkEnd w:id="4775"/>
      <w:bookmarkEnd w:id="4776"/>
      <w:bookmarkEnd w:id="4777"/>
      <w:bookmarkEnd w:id="4778"/>
      <w:bookmarkEnd w:id="4779"/>
    </w:p>
    <w:p w14:paraId="100E6377" w14:textId="1760C3FE" w:rsidR="00D40151" w:rsidRPr="00873B6C" w:rsidRDefault="00D40151" w:rsidP="00D40151">
      <w:pPr>
        <w:rPr>
          <w:lang w:eastAsia="x-none"/>
        </w:rPr>
      </w:pPr>
      <w:r w:rsidRPr="00873B6C">
        <w:rPr>
          <w:lang w:eastAsia="x-none"/>
        </w:rPr>
        <w:t>Multi-access connectivity using ATSSS</w:t>
      </w:r>
      <w:r w:rsidR="00F13E92" w:rsidRPr="00873B6C">
        <w:rPr>
          <w:lang w:eastAsia="x-none"/>
        </w:rPr>
        <w:t xml:space="preserve"> established</w:t>
      </w:r>
      <w:r w:rsidRPr="00873B6C">
        <w:rPr>
          <w:lang w:eastAsia="x-none"/>
        </w:rPr>
        <w:t xml:space="preserve"> via EPC only is not supported.</w:t>
      </w:r>
    </w:p>
    <w:p w14:paraId="130A8D92" w14:textId="77777777" w:rsidR="00D40151" w:rsidRPr="00873B6C" w:rsidRDefault="00D40151" w:rsidP="00D40151">
      <w:pPr>
        <w:rPr>
          <w:lang w:eastAsia="x-none"/>
        </w:rPr>
      </w:pPr>
      <w:r w:rsidRPr="00873B6C">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873B6C" w:rsidRDefault="00D40151" w:rsidP="00D40151">
      <w:pPr>
        <w:rPr>
          <w:lang w:eastAsia="x-none"/>
        </w:rPr>
      </w:pPr>
      <w:r w:rsidRPr="00873B6C">
        <w:rPr>
          <w:lang w:eastAsia="x-none"/>
        </w:rPr>
        <w:lastRenderedPageBreak/>
        <w:t>A PDN Connection in EPS may be modified into a MA PDU Session when transferred to 5GS if the UE and the SMF</w:t>
      </w:r>
      <w:r w:rsidR="00704A9E" w:rsidRPr="00873B6C">
        <w:rPr>
          <w:lang w:eastAsia="x-none"/>
        </w:rPr>
        <w:t>+PGW-C</w:t>
      </w:r>
      <w:r w:rsidRPr="00873B6C">
        <w:rPr>
          <w:lang w:eastAsia="x-none"/>
        </w:rPr>
        <w:t xml:space="preserve"> support the ATSSS feature.</w:t>
      </w:r>
    </w:p>
    <w:p w14:paraId="0B48F8C3" w14:textId="77777777" w:rsidR="00D40151" w:rsidRPr="00873B6C" w:rsidRDefault="00D40151" w:rsidP="00D40151">
      <w:pPr>
        <w:pStyle w:val="Heading4"/>
      </w:pPr>
      <w:bookmarkStart w:id="4780" w:name="_CR5_32_7_2"/>
      <w:bookmarkStart w:id="4781" w:name="_Toc20150149"/>
      <w:bookmarkStart w:id="4782" w:name="_Toc27846951"/>
      <w:bookmarkStart w:id="4783" w:name="_Toc36188082"/>
      <w:bookmarkStart w:id="4784" w:name="_Toc45183987"/>
      <w:bookmarkStart w:id="4785" w:name="_Toc47342829"/>
      <w:bookmarkStart w:id="4786" w:name="_Toc51769531"/>
      <w:bookmarkStart w:id="4787" w:name="_Toc201157602"/>
      <w:bookmarkEnd w:id="4780"/>
      <w:r w:rsidRPr="00873B6C">
        <w:t>5.32.7.2</w:t>
      </w:r>
      <w:r w:rsidRPr="00873B6C">
        <w:tab/>
        <w:t>Interworking with N26 Interface</w:t>
      </w:r>
      <w:bookmarkEnd w:id="4781"/>
      <w:bookmarkEnd w:id="4782"/>
      <w:bookmarkEnd w:id="4783"/>
      <w:bookmarkEnd w:id="4784"/>
      <w:bookmarkEnd w:id="4785"/>
      <w:bookmarkEnd w:id="4786"/>
      <w:bookmarkEnd w:id="4787"/>
    </w:p>
    <w:p w14:paraId="097C17A7" w14:textId="77777777" w:rsidR="00D40151" w:rsidRPr="00873B6C" w:rsidRDefault="00D40151" w:rsidP="00D40151">
      <w:pPr>
        <w:rPr>
          <w:lang w:eastAsia="x-none"/>
        </w:rPr>
      </w:pPr>
      <w:r w:rsidRPr="00873B6C">
        <w:rPr>
          <w:lang w:eastAsia="x-none"/>
        </w:rPr>
        <w:t>Interworking with N26 interface is based on clause 5.17.2.2, with the following differences and clarifications:</w:t>
      </w:r>
    </w:p>
    <w:p w14:paraId="78A407BA" w14:textId="7AC48D76" w:rsidR="00D40151" w:rsidRPr="00873B6C" w:rsidRDefault="00D40151" w:rsidP="00D40151">
      <w:pPr>
        <w:pStyle w:val="B1"/>
      </w:pPr>
      <w:r w:rsidRPr="00873B6C">
        <w:t>-</w:t>
      </w:r>
      <w:r w:rsidRPr="00873B6C">
        <w:tab/>
        <w:t>When the UE is registered to the same PLMN over 3GPP and non-3GPP accesses</w:t>
      </w:r>
      <w:r w:rsidR="00472CD7" w:rsidRPr="00873B6C">
        <w:t xml:space="preserve"> and</w:t>
      </w:r>
      <w:r w:rsidRPr="00873B6C">
        <w:t xml:space="preserve"> the UE request a new MA PDU Session via non-3GPP access, the AMF also includes the indication of interworking with N26 to SMF.</w:t>
      </w:r>
    </w:p>
    <w:p w14:paraId="47C97543" w14:textId="74AA0E1D" w:rsidR="00D40151" w:rsidRPr="00873B6C" w:rsidRDefault="00D40151" w:rsidP="00D40151">
      <w:pPr>
        <w:pStyle w:val="B1"/>
      </w:pPr>
      <w:r w:rsidRPr="00873B6C">
        <w:t>-</w:t>
      </w:r>
      <w:r w:rsidRPr="00873B6C">
        <w:tab/>
        <w:t>The SMF does not request EBI allocation when MA PDU Session is established only over non-3GPP access. If MA PDU Session is released over 3GPP access, the allocated EBI(s) for the MA PDU Session is revoked by the SMF as described in</w:t>
      </w:r>
      <w:r w:rsidR="00131D56" w:rsidRPr="00873B6C">
        <w:t xml:space="preserve"> clause 4.11.1.4.3 of</w:t>
      </w:r>
      <w:r w:rsidRPr="00873B6C">
        <w:t xml:space="preserve"> </w:t>
      </w:r>
      <w:r w:rsidR="00972E70" w:rsidRPr="00873B6C">
        <w:t>TS 23.502 [</w:t>
      </w:r>
      <w:r w:rsidRPr="00873B6C">
        <w:t>3].</w:t>
      </w:r>
    </w:p>
    <w:p w14:paraId="16A46D93" w14:textId="77777777" w:rsidR="00D40151" w:rsidRPr="00873B6C" w:rsidRDefault="00D40151" w:rsidP="00D40151">
      <w:pPr>
        <w:pStyle w:val="B1"/>
      </w:pPr>
      <w:r w:rsidRPr="00873B6C">
        <w:t>-</w:t>
      </w:r>
      <w:r w:rsidRPr="00873B6C">
        <w:tab/>
        <w:t>The SMF does not request EBI allocation for GBR QoS Flow if the GBR QoS Flow is only allowed over non-3GPP access.</w:t>
      </w:r>
    </w:p>
    <w:p w14:paraId="17BB1C1F" w14:textId="44A31042" w:rsidR="00DB3C92" w:rsidRPr="00873B6C" w:rsidRDefault="00DB3C92" w:rsidP="00D40151">
      <w:pPr>
        <w:pStyle w:val="B1"/>
      </w:pPr>
      <w:r w:rsidRPr="00873B6C">
        <w:t>-</w:t>
      </w:r>
      <w:r w:rsidRPr="00873B6C">
        <w:tab/>
        <w:t xml:space="preserve">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w:t>
      </w:r>
      <w:r w:rsidR="00972E70" w:rsidRPr="00873B6C">
        <w:t>TS 23.502 [</w:t>
      </w:r>
      <w:r w:rsidRPr="00873B6C">
        <w:t>3].</w:t>
      </w:r>
    </w:p>
    <w:p w14:paraId="2C6EA018" w14:textId="77777777" w:rsidR="00DB3C92" w:rsidRPr="00873B6C" w:rsidRDefault="00DB3C92" w:rsidP="00D40151">
      <w:pPr>
        <w:pStyle w:val="B1"/>
      </w:pPr>
      <w:r w:rsidRPr="00873B6C">
        <w:t>-</w:t>
      </w:r>
      <w:r w:rsidRPr="00873B6C">
        <w:tab/>
        <w:t>If the UE or the network does not support MA PDU Session with 3GPP access connected to EPC, the MA PDU Session is handled as follows:</w:t>
      </w:r>
    </w:p>
    <w:p w14:paraId="3D0C58E6" w14:textId="0032803F" w:rsidR="00D40151" w:rsidRPr="00873B6C" w:rsidRDefault="00D40151" w:rsidP="001B7C50">
      <w:pPr>
        <w:pStyle w:val="B2"/>
      </w:pPr>
      <w:r w:rsidRPr="00873B6C">
        <w:t>-</w:t>
      </w:r>
      <w:r w:rsidRPr="00873B6C">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873B6C" w:rsidRDefault="00D40151" w:rsidP="001B7C50">
      <w:pPr>
        <w:pStyle w:val="B2"/>
      </w:pPr>
      <w:r w:rsidRPr="00873B6C">
        <w:t>-</w:t>
      </w:r>
      <w:r w:rsidRPr="00873B6C">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3D0A91" w:rsidR="00D40151" w:rsidRPr="00873B6C" w:rsidRDefault="00D40151" w:rsidP="001B7C50">
      <w:pPr>
        <w:pStyle w:val="B2"/>
      </w:pPr>
      <w:r w:rsidRPr="00873B6C">
        <w:t>-</w:t>
      </w:r>
      <w:r w:rsidRPr="00873B6C">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873B6C">
        <w:t>of</w:t>
      </w:r>
      <w:r w:rsidRPr="00873B6C">
        <w:t xml:space="preserve"> </w:t>
      </w:r>
      <w:r w:rsidR="00972E70" w:rsidRPr="00873B6C">
        <w:t>TS 23.502 [</w:t>
      </w:r>
      <w:r w:rsidRPr="00873B6C">
        <w:t>3] to provide the ATSSS Capability to SMF</w:t>
      </w:r>
      <w:r w:rsidR="00704A9E" w:rsidRPr="00873B6C">
        <w:t>+PGW-C</w:t>
      </w:r>
      <w:r w:rsidRPr="00873B6C">
        <w:t>. The SMF</w:t>
      </w:r>
      <w:r w:rsidR="00704A9E" w:rsidRPr="00873B6C">
        <w:t>+PGW-C</w:t>
      </w:r>
      <w:r w:rsidRPr="00873B6C">
        <w:t xml:space="preserve"> may determine whether to modify this PDU Session to a MA PDU Session in 5GS, e.g. based on SMF</w:t>
      </w:r>
      <w:r w:rsidR="00704A9E" w:rsidRPr="00873B6C">
        <w:t>+PGW-C</w:t>
      </w:r>
      <w:r w:rsidRPr="00873B6C">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18123FDA" w14:textId="77777777" w:rsidR="00F13E92" w:rsidRPr="00873B6C" w:rsidRDefault="00F13E92" w:rsidP="00F13E92">
      <w:pPr>
        <w:pStyle w:val="B1"/>
      </w:pPr>
      <w:bookmarkStart w:id="4788" w:name="_Toc20150150"/>
      <w:bookmarkStart w:id="4789" w:name="_Toc27846952"/>
      <w:bookmarkStart w:id="4790" w:name="_Toc36188083"/>
      <w:bookmarkStart w:id="4791" w:name="_Toc45183988"/>
      <w:bookmarkStart w:id="4792" w:name="_Toc47342830"/>
      <w:bookmarkStart w:id="4793" w:name="_Toc51769532"/>
      <w:r w:rsidRPr="00873B6C">
        <w:t>-</w:t>
      </w:r>
      <w:r w:rsidRPr="00873B6C">
        <w:tab/>
        <w:t>If the MA PDU Session is established using one 3GPP access path via 5GC and one non-3GPP access path via ePDG/EPC and the UE moves from NG-RAN/5GC to E-UTRAN/EPC, the SMF+PGW-C may keep the MA PDU Session if MA PDU Sessions with 3GPP access and non-3GPP access user plane resources both connected to EPC is allowed based on operator policy.</w:t>
      </w:r>
    </w:p>
    <w:p w14:paraId="323F02BE" w14:textId="77777777" w:rsidR="00F13E92" w:rsidRPr="00873B6C" w:rsidRDefault="00F13E92" w:rsidP="00F13E92">
      <w:pPr>
        <w:pStyle w:val="B1"/>
      </w:pPr>
      <w:r w:rsidRPr="00873B6C">
        <w:t>-</w:t>
      </w:r>
      <w:r w:rsidRPr="00873B6C">
        <w:tab/>
        <w:t>If the MA PDU Session is established using one 3GPP access path via 5GC and one non-3GPP access path via ePDG/EPC and the UE moves from NG-RAN/5GC to E-UTRAN/EPC, the SMF+PGW-C may release the user plane resources either over 3GPP access or non-3GPP access if MA PDU Sessions with 3GPP access and non-3GPP access user plane resources both connected to EPC is not allowed based on operator policy. In this case, while the UE is connected to EPC via both 3GPP access and non-3GPP access, the UE shall not trigger PDN Connection establishment to add an additional EPC access leg to the MA PDU Session.</w:t>
      </w:r>
    </w:p>
    <w:p w14:paraId="345EA495" w14:textId="21EAA80D" w:rsidR="00D40151" w:rsidRPr="00873B6C" w:rsidRDefault="00D40151" w:rsidP="00D40151">
      <w:pPr>
        <w:pStyle w:val="Heading4"/>
      </w:pPr>
      <w:bookmarkStart w:id="4794" w:name="_CR5_32_7_3"/>
      <w:bookmarkStart w:id="4795" w:name="_Toc201157603"/>
      <w:bookmarkEnd w:id="4794"/>
      <w:r w:rsidRPr="00873B6C">
        <w:lastRenderedPageBreak/>
        <w:t>5.32.7.3</w:t>
      </w:r>
      <w:r w:rsidRPr="00873B6C">
        <w:tab/>
        <w:t>Interworking without N26 Interface</w:t>
      </w:r>
      <w:bookmarkEnd w:id="4788"/>
      <w:bookmarkEnd w:id="4789"/>
      <w:bookmarkEnd w:id="4790"/>
      <w:bookmarkEnd w:id="4791"/>
      <w:bookmarkEnd w:id="4792"/>
      <w:bookmarkEnd w:id="4793"/>
      <w:bookmarkEnd w:id="4795"/>
    </w:p>
    <w:p w14:paraId="2DDCAE1D" w14:textId="77777777" w:rsidR="00D40151" w:rsidRPr="00873B6C" w:rsidRDefault="00D40151" w:rsidP="00D40151">
      <w:pPr>
        <w:rPr>
          <w:lang w:eastAsia="x-none"/>
        </w:rPr>
      </w:pPr>
      <w:r w:rsidRPr="00873B6C">
        <w:rPr>
          <w:lang w:eastAsia="x-none"/>
        </w:rPr>
        <w:t>Interworking without N26 interface is based on clause 5.17.2.3, with the following differences and clarifications:</w:t>
      </w:r>
    </w:p>
    <w:p w14:paraId="06105B0A" w14:textId="48BCCF06" w:rsidR="00D40151" w:rsidRPr="00873B6C" w:rsidRDefault="00D40151" w:rsidP="00D40151">
      <w:pPr>
        <w:pStyle w:val="B1"/>
      </w:pPr>
      <w:r w:rsidRPr="00873B6C">
        <w:t>-</w:t>
      </w:r>
      <w:r w:rsidRPr="00873B6C">
        <w:tab/>
        <w:t>After UE moves from 5GS to EPS, UE may send a PDN Connectivity Request with "handover" indication to transfer the MA PDU Session to EPS. Then</w:t>
      </w:r>
      <w:r w:rsidR="00FC0C60" w:rsidRPr="00873B6C">
        <w:t>, if the UE or the network does not support MA PDU Session with 3GPP access connected to EPC, the</w:t>
      </w:r>
      <w:r w:rsidRPr="00873B6C">
        <w:t xml:space="preserve"> SMF</w:t>
      </w:r>
      <w:r w:rsidR="00704A9E" w:rsidRPr="00873B6C">
        <w:t>+PGW-C</w:t>
      </w:r>
      <w:r w:rsidRPr="00873B6C">
        <w:t xml:space="preserve"> triggers to release MA PDU in 5GS. If UE does not transfer the MA PDU Session to EPS, UE keeps the MA PDU Session in 5GS</w:t>
      </w:r>
      <w:r w:rsidR="00F13E92" w:rsidRPr="00873B6C">
        <w:t xml:space="preserve"> and UE may report to UPF that 3GPP access is unavailable, all MA PDU Session traffic is transported over N3GPP access. Later, if UE returns to 5GS, UE may report the 3GPP access availability to UPF</w:t>
      </w:r>
      <w:r w:rsidRPr="00873B6C">
        <w:t>.</w:t>
      </w:r>
      <w:r w:rsidR="00FC0C60" w:rsidRPr="00873B6C">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w:t>
      </w:r>
      <w:r w:rsidR="00972E70" w:rsidRPr="00873B6C">
        <w:t>TS 23.502 [</w:t>
      </w:r>
      <w:r w:rsidR="00FC0C60" w:rsidRPr="00873B6C">
        <w:t>3].</w:t>
      </w:r>
    </w:p>
    <w:p w14:paraId="3C815391" w14:textId="61A5E903" w:rsidR="00D40151" w:rsidRPr="00873B6C" w:rsidRDefault="00D40151" w:rsidP="00D40151">
      <w:pPr>
        <w:pStyle w:val="B1"/>
      </w:pPr>
      <w:r w:rsidRPr="00873B6C">
        <w:t>-</w:t>
      </w:r>
      <w:r w:rsidRPr="00873B6C">
        <w:tab/>
        <w:t>After UE moves from EPS to 5GS, UE may trigger PDU Session Establishment procedure to transfer the PDN Connection to 5GS. During the PDU Session Establishment procedure,</w:t>
      </w:r>
      <w:r w:rsidR="00FC0C60" w:rsidRPr="00873B6C">
        <w:t xml:space="preserve"> if the PDN Connection was not used as the 3GPP access leg of the MA PDU Session, the</w:t>
      </w:r>
      <w:r w:rsidRPr="00873B6C">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873B6C" w:rsidRDefault="00D40151" w:rsidP="00D40151">
      <w:pPr>
        <w:pStyle w:val="Heading3"/>
      </w:pPr>
      <w:bookmarkStart w:id="4796" w:name="_CR5_32_8"/>
      <w:bookmarkStart w:id="4797" w:name="_Toc20150151"/>
      <w:bookmarkStart w:id="4798" w:name="_Toc27846953"/>
      <w:bookmarkStart w:id="4799" w:name="_Toc36188084"/>
      <w:bookmarkStart w:id="4800" w:name="_Toc45183989"/>
      <w:bookmarkStart w:id="4801" w:name="_Toc47342831"/>
      <w:bookmarkStart w:id="4802" w:name="_Toc51769533"/>
      <w:bookmarkStart w:id="4803" w:name="_Toc201157604"/>
      <w:bookmarkEnd w:id="4796"/>
      <w:r w:rsidRPr="00873B6C">
        <w:t>5.32.8</w:t>
      </w:r>
      <w:r w:rsidRPr="00873B6C">
        <w:tab/>
        <w:t>ATSSS Rules</w:t>
      </w:r>
      <w:bookmarkEnd w:id="4797"/>
      <w:bookmarkEnd w:id="4798"/>
      <w:bookmarkEnd w:id="4799"/>
      <w:bookmarkEnd w:id="4800"/>
      <w:bookmarkEnd w:id="4801"/>
      <w:bookmarkEnd w:id="4802"/>
      <w:bookmarkEnd w:id="4803"/>
    </w:p>
    <w:p w14:paraId="021A8163" w14:textId="0DFEACCA" w:rsidR="00D40151" w:rsidRPr="00873B6C" w:rsidRDefault="00D40151" w:rsidP="00D40151">
      <w:r w:rsidRPr="00873B6C">
        <w:t>As specified in clause 5.32.3, after the establishment of a MA PDU Session, the UE receives a prioritized list of ATSSS rules from the SMF. The structure of an ATSSS rule is specified in Table 5.32.8-1.</w:t>
      </w:r>
    </w:p>
    <w:p w14:paraId="4DE26564" w14:textId="77777777" w:rsidR="00D40151" w:rsidRPr="00873B6C" w:rsidRDefault="00D40151" w:rsidP="00D40151">
      <w:pPr>
        <w:pStyle w:val="TH"/>
      </w:pPr>
      <w:bookmarkStart w:id="4804" w:name="_CRTable5_32_81"/>
      <w:r w:rsidRPr="00873B6C">
        <w:lastRenderedPageBreak/>
        <w:t xml:space="preserve">Table </w:t>
      </w:r>
      <w:bookmarkEnd w:id="4804"/>
      <w:r w:rsidRPr="00873B6C">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873B6C" w14:paraId="1EB4E6AC" w14:textId="77777777" w:rsidTr="00FD5C4A">
        <w:trPr>
          <w:cantSplit/>
          <w:jc w:val="center"/>
        </w:trPr>
        <w:tc>
          <w:tcPr>
            <w:tcW w:w="1645" w:type="dxa"/>
            <w:shd w:val="clear" w:color="auto" w:fill="F2F2F2"/>
          </w:tcPr>
          <w:p w14:paraId="0158908A" w14:textId="77777777" w:rsidR="00D40151" w:rsidRPr="00873B6C" w:rsidRDefault="00D40151" w:rsidP="009D14FB">
            <w:pPr>
              <w:pStyle w:val="TAH"/>
            </w:pPr>
            <w:r w:rsidRPr="00873B6C">
              <w:t>Information name</w:t>
            </w:r>
          </w:p>
        </w:tc>
        <w:tc>
          <w:tcPr>
            <w:tcW w:w="2890" w:type="dxa"/>
            <w:shd w:val="clear" w:color="auto" w:fill="F2F2F2"/>
          </w:tcPr>
          <w:p w14:paraId="3DADB521" w14:textId="77777777" w:rsidR="00D40151" w:rsidRPr="00873B6C" w:rsidRDefault="00D40151" w:rsidP="009D14FB">
            <w:pPr>
              <w:pStyle w:val="TAH"/>
            </w:pPr>
            <w:r w:rsidRPr="00873B6C">
              <w:t>Description</w:t>
            </w:r>
          </w:p>
        </w:tc>
        <w:tc>
          <w:tcPr>
            <w:tcW w:w="1669" w:type="dxa"/>
            <w:shd w:val="clear" w:color="auto" w:fill="F2F2F2"/>
          </w:tcPr>
          <w:p w14:paraId="4C0A9944" w14:textId="77777777" w:rsidR="00D40151" w:rsidRPr="00873B6C" w:rsidRDefault="00D40151" w:rsidP="009D14FB">
            <w:pPr>
              <w:pStyle w:val="TAH"/>
            </w:pPr>
            <w:r w:rsidRPr="00873B6C">
              <w:t>Category</w:t>
            </w:r>
          </w:p>
        </w:tc>
        <w:tc>
          <w:tcPr>
            <w:tcW w:w="1937" w:type="dxa"/>
            <w:shd w:val="clear" w:color="auto" w:fill="F2F2F2"/>
          </w:tcPr>
          <w:p w14:paraId="4DA6A8AF" w14:textId="77777777" w:rsidR="00D40151" w:rsidRPr="00873B6C" w:rsidRDefault="00D40151" w:rsidP="009D14FB">
            <w:pPr>
              <w:pStyle w:val="TAH"/>
            </w:pPr>
            <w:r w:rsidRPr="00873B6C">
              <w:t>SMF permitted to modify in a PDU context</w:t>
            </w:r>
          </w:p>
        </w:tc>
        <w:tc>
          <w:tcPr>
            <w:tcW w:w="1490" w:type="dxa"/>
            <w:shd w:val="clear" w:color="auto" w:fill="F2F2F2"/>
          </w:tcPr>
          <w:p w14:paraId="0DA21965" w14:textId="77777777" w:rsidR="00D40151" w:rsidRPr="00873B6C" w:rsidRDefault="00D40151" w:rsidP="009D14FB">
            <w:pPr>
              <w:pStyle w:val="TAH"/>
            </w:pPr>
            <w:r w:rsidRPr="00873B6C">
              <w:t>Scope</w:t>
            </w:r>
          </w:p>
        </w:tc>
      </w:tr>
      <w:tr w:rsidR="00C25C3D" w:rsidRPr="00873B6C" w14:paraId="72D34A19" w14:textId="77777777" w:rsidTr="00960CDA">
        <w:trPr>
          <w:cantSplit/>
          <w:jc w:val="center"/>
        </w:trPr>
        <w:tc>
          <w:tcPr>
            <w:tcW w:w="1645" w:type="dxa"/>
            <w:shd w:val="clear" w:color="auto" w:fill="auto"/>
          </w:tcPr>
          <w:p w14:paraId="4E36303B" w14:textId="33B58920" w:rsidR="00C25C3D" w:rsidRPr="00873B6C" w:rsidRDefault="00C25C3D" w:rsidP="00C25C3D">
            <w:pPr>
              <w:pStyle w:val="TAL"/>
              <w:rPr>
                <w:b/>
              </w:rPr>
            </w:pPr>
            <w:r w:rsidRPr="00873B6C">
              <w:rPr>
                <w:b/>
              </w:rPr>
              <w:t>Rule identifier</w:t>
            </w:r>
          </w:p>
        </w:tc>
        <w:tc>
          <w:tcPr>
            <w:tcW w:w="2890" w:type="dxa"/>
            <w:shd w:val="clear" w:color="auto" w:fill="auto"/>
          </w:tcPr>
          <w:p w14:paraId="0FE52DB7" w14:textId="7A334D3F" w:rsidR="00C25C3D" w:rsidRPr="00873B6C" w:rsidRDefault="00C25C3D" w:rsidP="00C25C3D">
            <w:pPr>
              <w:pStyle w:val="TAL"/>
            </w:pPr>
            <w:r w:rsidRPr="00873B6C">
              <w:t>Unique identifier to identify the ATSSS Rule</w:t>
            </w:r>
          </w:p>
        </w:tc>
        <w:tc>
          <w:tcPr>
            <w:tcW w:w="1669" w:type="dxa"/>
            <w:shd w:val="clear" w:color="auto" w:fill="auto"/>
          </w:tcPr>
          <w:p w14:paraId="661776A2" w14:textId="724C785C" w:rsidR="00C25C3D" w:rsidRPr="00873B6C" w:rsidRDefault="00C25C3D" w:rsidP="00C25C3D">
            <w:pPr>
              <w:pStyle w:val="TAL"/>
            </w:pPr>
            <w:r w:rsidRPr="00873B6C">
              <w:t>Mandatory</w:t>
            </w:r>
          </w:p>
        </w:tc>
        <w:tc>
          <w:tcPr>
            <w:tcW w:w="1937" w:type="dxa"/>
            <w:shd w:val="clear" w:color="auto" w:fill="auto"/>
          </w:tcPr>
          <w:p w14:paraId="2D2F04B0" w14:textId="0E76B021" w:rsidR="00C25C3D" w:rsidRPr="00873B6C" w:rsidRDefault="00C25C3D" w:rsidP="00C25C3D">
            <w:pPr>
              <w:pStyle w:val="TAL"/>
            </w:pPr>
            <w:r w:rsidRPr="00873B6C">
              <w:t>No</w:t>
            </w:r>
          </w:p>
        </w:tc>
        <w:tc>
          <w:tcPr>
            <w:tcW w:w="1490" w:type="dxa"/>
            <w:shd w:val="clear" w:color="auto" w:fill="auto"/>
          </w:tcPr>
          <w:p w14:paraId="7FD3939F" w14:textId="23878008" w:rsidR="00C25C3D" w:rsidRPr="00873B6C" w:rsidRDefault="00C25C3D" w:rsidP="00C25C3D">
            <w:pPr>
              <w:pStyle w:val="TAL"/>
            </w:pPr>
            <w:r w:rsidRPr="00873B6C">
              <w:t>PDU context</w:t>
            </w:r>
          </w:p>
        </w:tc>
      </w:tr>
      <w:tr w:rsidR="00C25C3D" w:rsidRPr="00873B6C" w14:paraId="1432F55E" w14:textId="77777777" w:rsidTr="00FD5C4A">
        <w:trPr>
          <w:cantSplit/>
          <w:jc w:val="center"/>
        </w:trPr>
        <w:tc>
          <w:tcPr>
            <w:tcW w:w="1645" w:type="dxa"/>
            <w:shd w:val="clear" w:color="auto" w:fill="auto"/>
          </w:tcPr>
          <w:p w14:paraId="1D022A0E" w14:textId="77777777" w:rsidR="00C25C3D" w:rsidRPr="00873B6C" w:rsidRDefault="00C25C3D" w:rsidP="00C25C3D">
            <w:pPr>
              <w:pStyle w:val="TAL"/>
            </w:pPr>
            <w:r w:rsidRPr="00873B6C">
              <w:t xml:space="preserve">Rule </w:t>
            </w:r>
            <w:r w:rsidRPr="00873B6C">
              <w:rPr>
                <w:lang w:eastAsia="ja-JP"/>
              </w:rPr>
              <w:t>Precedence</w:t>
            </w:r>
          </w:p>
        </w:tc>
        <w:tc>
          <w:tcPr>
            <w:tcW w:w="2890" w:type="dxa"/>
            <w:shd w:val="clear" w:color="auto" w:fill="auto"/>
          </w:tcPr>
          <w:p w14:paraId="77141F31" w14:textId="77777777" w:rsidR="00C25C3D" w:rsidRPr="00873B6C" w:rsidRDefault="00C25C3D" w:rsidP="00C25C3D">
            <w:pPr>
              <w:pStyle w:val="TAL"/>
            </w:pPr>
            <w:r w:rsidRPr="00873B6C">
              <w:t>Determines the order in which the ATSSS rule is evaluated in the UE.</w:t>
            </w:r>
          </w:p>
        </w:tc>
        <w:tc>
          <w:tcPr>
            <w:tcW w:w="1669" w:type="dxa"/>
            <w:shd w:val="clear" w:color="auto" w:fill="auto"/>
          </w:tcPr>
          <w:p w14:paraId="59FD9F46" w14:textId="77777777" w:rsidR="00C25C3D" w:rsidRPr="00873B6C" w:rsidRDefault="00C25C3D" w:rsidP="00C25C3D">
            <w:pPr>
              <w:pStyle w:val="TAL"/>
              <w:rPr>
                <w:lang w:eastAsia="ja-JP"/>
              </w:rPr>
            </w:pPr>
            <w:r w:rsidRPr="00873B6C">
              <w:rPr>
                <w:lang w:eastAsia="ja-JP"/>
              </w:rPr>
              <w:t>Mandatory</w:t>
            </w:r>
          </w:p>
          <w:p w14:paraId="71D41FA9" w14:textId="77777777" w:rsidR="00C25C3D" w:rsidRPr="00873B6C" w:rsidRDefault="00C25C3D" w:rsidP="00C25C3D">
            <w:pPr>
              <w:pStyle w:val="TAL"/>
            </w:pPr>
            <w:r w:rsidRPr="00873B6C">
              <w:t>(NOTE 1)</w:t>
            </w:r>
          </w:p>
        </w:tc>
        <w:tc>
          <w:tcPr>
            <w:tcW w:w="1937" w:type="dxa"/>
            <w:shd w:val="clear" w:color="auto" w:fill="auto"/>
          </w:tcPr>
          <w:p w14:paraId="71CF916D" w14:textId="77777777" w:rsidR="00C25C3D" w:rsidRPr="00873B6C" w:rsidRDefault="00C25C3D" w:rsidP="00C25C3D">
            <w:pPr>
              <w:pStyle w:val="TAL"/>
            </w:pPr>
            <w:r w:rsidRPr="00873B6C">
              <w:rPr>
                <w:lang w:eastAsia="ja-JP"/>
              </w:rPr>
              <w:t>Yes</w:t>
            </w:r>
          </w:p>
        </w:tc>
        <w:tc>
          <w:tcPr>
            <w:tcW w:w="1490" w:type="dxa"/>
            <w:shd w:val="clear" w:color="auto" w:fill="auto"/>
          </w:tcPr>
          <w:p w14:paraId="430AE654" w14:textId="77777777" w:rsidR="00C25C3D" w:rsidRPr="00873B6C" w:rsidRDefault="00C25C3D" w:rsidP="00C25C3D">
            <w:pPr>
              <w:pStyle w:val="TAL"/>
            </w:pPr>
            <w:r w:rsidRPr="00873B6C">
              <w:t>PDU context</w:t>
            </w:r>
          </w:p>
        </w:tc>
      </w:tr>
      <w:tr w:rsidR="00C25C3D" w:rsidRPr="00873B6C" w14:paraId="20D51322" w14:textId="77777777" w:rsidTr="00FD5C4A">
        <w:trPr>
          <w:cantSplit/>
          <w:jc w:val="center"/>
        </w:trPr>
        <w:tc>
          <w:tcPr>
            <w:tcW w:w="1645" w:type="dxa"/>
            <w:shd w:val="clear" w:color="auto" w:fill="auto"/>
          </w:tcPr>
          <w:p w14:paraId="01FBCA41" w14:textId="77777777" w:rsidR="00C25C3D" w:rsidRPr="00873B6C" w:rsidRDefault="00C25C3D" w:rsidP="00C25C3D">
            <w:pPr>
              <w:pStyle w:val="TAL"/>
            </w:pPr>
            <w:r w:rsidRPr="00873B6C">
              <w:rPr>
                <w:b/>
              </w:rPr>
              <w:t>Traffic Descriptor</w:t>
            </w:r>
          </w:p>
        </w:tc>
        <w:tc>
          <w:tcPr>
            <w:tcW w:w="2890" w:type="dxa"/>
            <w:shd w:val="clear" w:color="auto" w:fill="auto"/>
          </w:tcPr>
          <w:p w14:paraId="338ACE72" w14:textId="77777777" w:rsidR="00C25C3D" w:rsidRPr="00873B6C" w:rsidRDefault="00C25C3D" w:rsidP="00C25C3D">
            <w:pPr>
              <w:pStyle w:val="TAL"/>
            </w:pPr>
            <w:r w:rsidRPr="00873B6C">
              <w:rPr>
                <w:i/>
              </w:rPr>
              <w:t>This part defines the Traffic descriptor components for the ATSSS rule.</w:t>
            </w:r>
          </w:p>
        </w:tc>
        <w:tc>
          <w:tcPr>
            <w:tcW w:w="1669" w:type="dxa"/>
            <w:shd w:val="clear" w:color="auto" w:fill="auto"/>
          </w:tcPr>
          <w:p w14:paraId="6F1EB30C" w14:textId="77777777" w:rsidR="00C25C3D" w:rsidRPr="00873B6C" w:rsidRDefault="00C25C3D" w:rsidP="00C25C3D">
            <w:pPr>
              <w:pStyle w:val="TAL"/>
            </w:pPr>
            <w:r w:rsidRPr="00873B6C">
              <w:t>Mandatory</w:t>
            </w:r>
          </w:p>
          <w:p w14:paraId="07C7B6B8" w14:textId="77777777" w:rsidR="00C25C3D" w:rsidRPr="00873B6C" w:rsidRDefault="00C25C3D" w:rsidP="00C25C3D">
            <w:pPr>
              <w:pStyle w:val="TAL"/>
            </w:pPr>
            <w:r w:rsidRPr="00873B6C">
              <w:t>(NOTE 2)</w:t>
            </w:r>
          </w:p>
        </w:tc>
        <w:tc>
          <w:tcPr>
            <w:tcW w:w="1937" w:type="dxa"/>
            <w:shd w:val="clear" w:color="auto" w:fill="auto"/>
          </w:tcPr>
          <w:p w14:paraId="13B95EED" w14:textId="77777777" w:rsidR="00C25C3D" w:rsidRPr="00873B6C" w:rsidRDefault="00C25C3D" w:rsidP="00C25C3D">
            <w:pPr>
              <w:pStyle w:val="TAL"/>
            </w:pPr>
          </w:p>
        </w:tc>
        <w:tc>
          <w:tcPr>
            <w:tcW w:w="1490" w:type="dxa"/>
            <w:shd w:val="clear" w:color="auto" w:fill="auto"/>
          </w:tcPr>
          <w:p w14:paraId="497B78C6" w14:textId="77777777" w:rsidR="00C25C3D" w:rsidRPr="00873B6C" w:rsidRDefault="00C25C3D" w:rsidP="00C25C3D">
            <w:pPr>
              <w:pStyle w:val="TAL"/>
            </w:pPr>
          </w:p>
        </w:tc>
      </w:tr>
      <w:tr w:rsidR="00C25C3D" w:rsidRPr="00873B6C" w14:paraId="36A96A8D" w14:textId="77777777" w:rsidTr="00FD5C4A">
        <w:trPr>
          <w:cantSplit/>
          <w:jc w:val="center"/>
        </w:trPr>
        <w:tc>
          <w:tcPr>
            <w:tcW w:w="1645" w:type="dxa"/>
            <w:shd w:val="clear" w:color="auto" w:fill="auto"/>
          </w:tcPr>
          <w:p w14:paraId="294BB29B" w14:textId="3CF1DE26" w:rsidR="00C25C3D" w:rsidRPr="00873B6C" w:rsidRDefault="00C25C3D" w:rsidP="00C25C3D">
            <w:pPr>
              <w:pStyle w:val="TAL"/>
              <w:rPr>
                <w:b/>
              </w:rPr>
            </w:pPr>
            <w:r w:rsidRPr="00873B6C">
              <w:t>Application descriptors</w:t>
            </w:r>
          </w:p>
        </w:tc>
        <w:tc>
          <w:tcPr>
            <w:tcW w:w="2890" w:type="dxa"/>
            <w:shd w:val="clear" w:color="auto" w:fill="auto"/>
          </w:tcPr>
          <w:p w14:paraId="580FA113" w14:textId="77777777" w:rsidR="00C25C3D" w:rsidRPr="00873B6C" w:rsidRDefault="00C25C3D" w:rsidP="00C25C3D">
            <w:pPr>
              <w:pStyle w:val="TAL"/>
              <w:rPr>
                <w:i/>
              </w:rPr>
            </w:pPr>
            <w:r w:rsidRPr="00873B6C">
              <w:t>One or more application identities that identify the application(s) generating the traffic (NOTE 3).</w:t>
            </w:r>
          </w:p>
        </w:tc>
        <w:tc>
          <w:tcPr>
            <w:tcW w:w="1669" w:type="dxa"/>
            <w:shd w:val="clear" w:color="auto" w:fill="auto"/>
          </w:tcPr>
          <w:p w14:paraId="6AA33BA7" w14:textId="77777777" w:rsidR="00C25C3D" w:rsidRPr="00873B6C" w:rsidRDefault="00C25C3D" w:rsidP="00C25C3D">
            <w:pPr>
              <w:pStyle w:val="TAL"/>
            </w:pPr>
            <w:r w:rsidRPr="00873B6C">
              <w:t>Optional</w:t>
            </w:r>
          </w:p>
        </w:tc>
        <w:tc>
          <w:tcPr>
            <w:tcW w:w="1937" w:type="dxa"/>
            <w:shd w:val="clear" w:color="auto" w:fill="auto"/>
          </w:tcPr>
          <w:p w14:paraId="13346923" w14:textId="77777777" w:rsidR="00C25C3D" w:rsidRPr="00873B6C" w:rsidRDefault="00C25C3D" w:rsidP="00C25C3D">
            <w:pPr>
              <w:pStyle w:val="TAL"/>
            </w:pPr>
            <w:r w:rsidRPr="00873B6C">
              <w:t>Yes</w:t>
            </w:r>
          </w:p>
        </w:tc>
        <w:tc>
          <w:tcPr>
            <w:tcW w:w="1490" w:type="dxa"/>
            <w:shd w:val="clear" w:color="auto" w:fill="auto"/>
          </w:tcPr>
          <w:p w14:paraId="5CB213AB" w14:textId="77777777" w:rsidR="00C25C3D" w:rsidRPr="00873B6C" w:rsidRDefault="00C25C3D" w:rsidP="00C25C3D">
            <w:pPr>
              <w:pStyle w:val="TAL"/>
            </w:pPr>
            <w:r w:rsidRPr="00873B6C">
              <w:t>PDU context</w:t>
            </w:r>
          </w:p>
        </w:tc>
      </w:tr>
      <w:tr w:rsidR="00C25C3D" w:rsidRPr="00873B6C" w14:paraId="039781D2" w14:textId="77777777" w:rsidTr="00FD5C4A">
        <w:trPr>
          <w:cantSplit/>
          <w:jc w:val="center"/>
        </w:trPr>
        <w:tc>
          <w:tcPr>
            <w:tcW w:w="1645" w:type="dxa"/>
            <w:shd w:val="clear" w:color="auto" w:fill="auto"/>
          </w:tcPr>
          <w:p w14:paraId="1C697E7D" w14:textId="77777777" w:rsidR="00C25C3D" w:rsidRPr="00873B6C" w:rsidRDefault="00C25C3D" w:rsidP="00C25C3D">
            <w:pPr>
              <w:pStyle w:val="TAL"/>
            </w:pPr>
            <w:r w:rsidRPr="00873B6C">
              <w:t>IP descriptors</w:t>
            </w:r>
          </w:p>
          <w:p w14:paraId="16263E08" w14:textId="77777777" w:rsidR="00C25C3D" w:rsidRPr="00873B6C" w:rsidRDefault="00C25C3D" w:rsidP="00C25C3D">
            <w:pPr>
              <w:pStyle w:val="TAL"/>
            </w:pPr>
            <w:r w:rsidRPr="00873B6C">
              <w:t>(NOTE 4)</w:t>
            </w:r>
          </w:p>
        </w:tc>
        <w:tc>
          <w:tcPr>
            <w:tcW w:w="2890" w:type="dxa"/>
            <w:shd w:val="clear" w:color="auto" w:fill="auto"/>
          </w:tcPr>
          <w:p w14:paraId="54266A5C" w14:textId="77777777" w:rsidR="00C25C3D" w:rsidRPr="00873B6C" w:rsidRDefault="00C25C3D" w:rsidP="00C25C3D">
            <w:pPr>
              <w:pStyle w:val="TAL"/>
            </w:pPr>
            <w:r w:rsidRPr="00873B6C">
              <w:t>One or more 5-tuples that identify the destination of IP traffic.</w:t>
            </w:r>
          </w:p>
        </w:tc>
        <w:tc>
          <w:tcPr>
            <w:tcW w:w="1669" w:type="dxa"/>
            <w:shd w:val="clear" w:color="auto" w:fill="auto"/>
          </w:tcPr>
          <w:p w14:paraId="60CB20C3" w14:textId="77777777" w:rsidR="00C25C3D" w:rsidRPr="00873B6C" w:rsidRDefault="00C25C3D" w:rsidP="00C25C3D">
            <w:pPr>
              <w:pStyle w:val="TAL"/>
            </w:pPr>
            <w:r w:rsidRPr="00873B6C">
              <w:t>Optional</w:t>
            </w:r>
          </w:p>
        </w:tc>
        <w:tc>
          <w:tcPr>
            <w:tcW w:w="1937" w:type="dxa"/>
            <w:shd w:val="clear" w:color="auto" w:fill="auto"/>
          </w:tcPr>
          <w:p w14:paraId="6BB4D4C5" w14:textId="77777777" w:rsidR="00C25C3D" w:rsidRPr="00873B6C" w:rsidRDefault="00C25C3D" w:rsidP="00C25C3D">
            <w:pPr>
              <w:pStyle w:val="TAL"/>
            </w:pPr>
            <w:r w:rsidRPr="00873B6C">
              <w:t>Yes</w:t>
            </w:r>
          </w:p>
        </w:tc>
        <w:tc>
          <w:tcPr>
            <w:tcW w:w="1490" w:type="dxa"/>
            <w:shd w:val="clear" w:color="auto" w:fill="auto"/>
          </w:tcPr>
          <w:p w14:paraId="1353740B" w14:textId="77777777" w:rsidR="00C25C3D" w:rsidRPr="00873B6C" w:rsidRDefault="00C25C3D" w:rsidP="00C25C3D">
            <w:pPr>
              <w:pStyle w:val="TAL"/>
            </w:pPr>
            <w:r w:rsidRPr="00873B6C">
              <w:t>PDU context</w:t>
            </w:r>
          </w:p>
        </w:tc>
      </w:tr>
      <w:tr w:rsidR="00C25C3D" w:rsidRPr="00873B6C" w14:paraId="0ABB9D48" w14:textId="77777777" w:rsidTr="00FD5C4A">
        <w:trPr>
          <w:cantSplit/>
          <w:jc w:val="center"/>
        </w:trPr>
        <w:tc>
          <w:tcPr>
            <w:tcW w:w="1645" w:type="dxa"/>
            <w:shd w:val="clear" w:color="auto" w:fill="auto"/>
          </w:tcPr>
          <w:p w14:paraId="665C1520" w14:textId="77777777" w:rsidR="00C25C3D" w:rsidRPr="00873B6C" w:rsidRDefault="00C25C3D" w:rsidP="00C25C3D">
            <w:pPr>
              <w:pStyle w:val="TAL"/>
            </w:pPr>
            <w:r w:rsidRPr="00873B6C">
              <w:t>Non-IP descriptors</w:t>
            </w:r>
          </w:p>
          <w:p w14:paraId="75A36389" w14:textId="77777777" w:rsidR="00C25C3D" w:rsidRPr="00873B6C" w:rsidRDefault="00C25C3D" w:rsidP="00C25C3D">
            <w:pPr>
              <w:pStyle w:val="TAL"/>
            </w:pPr>
            <w:r w:rsidRPr="00873B6C">
              <w:t>(NOTE 4)</w:t>
            </w:r>
          </w:p>
        </w:tc>
        <w:tc>
          <w:tcPr>
            <w:tcW w:w="2890" w:type="dxa"/>
            <w:shd w:val="clear" w:color="auto" w:fill="auto"/>
          </w:tcPr>
          <w:p w14:paraId="182E62BA" w14:textId="77777777" w:rsidR="00C25C3D" w:rsidRPr="00873B6C" w:rsidRDefault="00C25C3D" w:rsidP="00C25C3D">
            <w:pPr>
              <w:pStyle w:val="TAL"/>
            </w:pPr>
            <w:r w:rsidRPr="00873B6C">
              <w:t>One or more descriptors that identify the destination of non-IP traffic, i.e. of Ethernet traffic.</w:t>
            </w:r>
          </w:p>
        </w:tc>
        <w:tc>
          <w:tcPr>
            <w:tcW w:w="1669" w:type="dxa"/>
            <w:shd w:val="clear" w:color="auto" w:fill="auto"/>
          </w:tcPr>
          <w:p w14:paraId="468E3909" w14:textId="77777777" w:rsidR="00C25C3D" w:rsidRPr="00873B6C" w:rsidRDefault="00C25C3D" w:rsidP="00C25C3D">
            <w:pPr>
              <w:pStyle w:val="TAL"/>
            </w:pPr>
            <w:r w:rsidRPr="00873B6C">
              <w:t>Optional</w:t>
            </w:r>
          </w:p>
        </w:tc>
        <w:tc>
          <w:tcPr>
            <w:tcW w:w="1937" w:type="dxa"/>
            <w:shd w:val="clear" w:color="auto" w:fill="auto"/>
          </w:tcPr>
          <w:p w14:paraId="592EE256" w14:textId="77777777" w:rsidR="00C25C3D" w:rsidRPr="00873B6C" w:rsidRDefault="00C25C3D" w:rsidP="00C25C3D">
            <w:pPr>
              <w:pStyle w:val="TAL"/>
            </w:pPr>
            <w:r w:rsidRPr="00873B6C">
              <w:t>Yes</w:t>
            </w:r>
          </w:p>
        </w:tc>
        <w:tc>
          <w:tcPr>
            <w:tcW w:w="1490" w:type="dxa"/>
            <w:shd w:val="clear" w:color="auto" w:fill="auto"/>
          </w:tcPr>
          <w:p w14:paraId="76ADF5CC" w14:textId="77777777" w:rsidR="00C25C3D" w:rsidRPr="00873B6C" w:rsidRDefault="00C25C3D" w:rsidP="00C25C3D">
            <w:pPr>
              <w:pStyle w:val="TAL"/>
            </w:pPr>
            <w:r w:rsidRPr="00873B6C">
              <w:t>PDU context</w:t>
            </w:r>
          </w:p>
        </w:tc>
      </w:tr>
      <w:tr w:rsidR="00C25C3D" w:rsidRPr="00873B6C" w14:paraId="5DA297C4" w14:textId="77777777" w:rsidTr="00FD5C4A">
        <w:trPr>
          <w:cantSplit/>
          <w:jc w:val="center"/>
        </w:trPr>
        <w:tc>
          <w:tcPr>
            <w:tcW w:w="1645" w:type="dxa"/>
            <w:shd w:val="clear" w:color="auto" w:fill="auto"/>
          </w:tcPr>
          <w:p w14:paraId="5A8D8488" w14:textId="77777777" w:rsidR="00C25C3D" w:rsidRPr="00873B6C" w:rsidRDefault="00C25C3D" w:rsidP="00C25C3D">
            <w:pPr>
              <w:pStyle w:val="TAL"/>
            </w:pPr>
            <w:r w:rsidRPr="00873B6C">
              <w:rPr>
                <w:b/>
              </w:rPr>
              <w:t>Access Selection Descriptor</w:t>
            </w:r>
          </w:p>
        </w:tc>
        <w:tc>
          <w:tcPr>
            <w:tcW w:w="2890" w:type="dxa"/>
            <w:shd w:val="clear" w:color="auto" w:fill="auto"/>
          </w:tcPr>
          <w:p w14:paraId="02224A26" w14:textId="77777777" w:rsidR="00C25C3D" w:rsidRPr="00873B6C" w:rsidRDefault="00C25C3D" w:rsidP="00C25C3D">
            <w:pPr>
              <w:pStyle w:val="TAL"/>
            </w:pPr>
            <w:r w:rsidRPr="00873B6C">
              <w:rPr>
                <w:i/>
              </w:rPr>
              <w:t>This part defines the Access Selection Descriptor components for the ATSSS rule.</w:t>
            </w:r>
          </w:p>
        </w:tc>
        <w:tc>
          <w:tcPr>
            <w:tcW w:w="1669" w:type="dxa"/>
            <w:shd w:val="clear" w:color="auto" w:fill="auto"/>
          </w:tcPr>
          <w:p w14:paraId="78834721" w14:textId="77777777" w:rsidR="00C25C3D" w:rsidRPr="00873B6C" w:rsidRDefault="00C25C3D" w:rsidP="00C25C3D">
            <w:pPr>
              <w:pStyle w:val="TAL"/>
            </w:pPr>
            <w:r w:rsidRPr="00873B6C">
              <w:t>Mandatory</w:t>
            </w:r>
          </w:p>
        </w:tc>
        <w:tc>
          <w:tcPr>
            <w:tcW w:w="1937" w:type="dxa"/>
            <w:shd w:val="clear" w:color="auto" w:fill="auto"/>
          </w:tcPr>
          <w:p w14:paraId="5F4CA716" w14:textId="77777777" w:rsidR="00C25C3D" w:rsidRPr="00873B6C" w:rsidRDefault="00C25C3D" w:rsidP="00C25C3D">
            <w:pPr>
              <w:pStyle w:val="TAL"/>
            </w:pPr>
          </w:p>
        </w:tc>
        <w:tc>
          <w:tcPr>
            <w:tcW w:w="1490" w:type="dxa"/>
            <w:shd w:val="clear" w:color="auto" w:fill="auto"/>
          </w:tcPr>
          <w:p w14:paraId="1AB2EFB4" w14:textId="77777777" w:rsidR="00C25C3D" w:rsidRPr="00873B6C" w:rsidRDefault="00C25C3D" w:rsidP="00C25C3D">
            <w:pPr>
              <w:pStyle w:val="TAL"/>
            </w:pPr>
          </w:p>
        </w:tc>
      </w:tr>
      <w:tr w:rsidR="00C25C3D" w:rsidRPr="00873B6C" w14:paraId="7C0DC03C" w14:textId="77777777" w:rsidTr="00FD5C4A">
        <w:trPr>
          <w:cantSplit/>
          <w:jc w:val="center"/>
        </w:trPr>
        <w:tc>
          <w:tcPr>
            <w:tcW w:w="1645" w:type="dxa"/>
            <w:shd w:val="clear" w:color="auto" w:fill="auto"/>
          </w:tcPr>
          <w:p w14:paraId="41A53011" w14:textId="77777777" w:rsidR="00C25C3D" w:rsidRPr="00873B6C" w:rsidRDefault="00C25C3D" w:rsidP="00C25C3D">
            <w:pPr>
              <w:pStyle w:val="TAL"/>
            </w:pPr>
            <w:r w:rsidRPr="00873B6C">
              <w:t>Steering Mode</w:t>
            </w:r>
          </w:p>
        </w:tc>
        <w:tc>
          <w:tcPr>
            <w:tcW w:w="2890" w:type="dxa"/>
            <w:shd w:val="clear" w:color="auto" w:fill="auto"/>
          </w:tcPr>
          <w:p w14:paraId="7931CB4C" w14:textId="6C7464ED" w:rsidR="00C25C3D" w:rsidRPr="00873B6C" w:rsidRDefault="00C25C3D" w:rsidP="00C25C3D">
            <w:pPr>
              <w:pStyle w:val="TAL"/>
            </w:pPr>
            <w:r w:rsidRPr="00873B6C">
              <w:t>Identifies the steering mode that should be applied for the matching traffic and associated parameters.</w:t>
            </w:r>
          </w:p>
        </w:tc>
        <w:tc>
          <w:tcPr>
            <w:tcW w:w="1669" w:type="dxa"/>
            <w:shd w:val="clear" w:color="auto" w:fill="auto"/>
          </w:tcPr>
          <w:p w14:paraId="016C4166" w14:textId="77777777" w:rsidR="00F03116" w:rsidRPr="00873B6C" w:rsidRDefault="00C25C3D" w:rsidP="00C25C3D">
            <w:pPr>
              <w:pStyle w:val="TAL"/>
            </w:pPr>
            <w:r w:rsidRPr="00873B6C">
              <w:t>Mandatory</w:t>
            </w:r>
          </w:p>
          <w:p w14:paraId="06511B9F" w14:textId="612BA149" w:rsidR="00C25C3D" w:rsidRPr="00873B6C" w:rsidRDefault="00F03116" w:rsidP="00C25C3D">
            <w:pPr>
              <w:pStyle w:val="TAL"/>
            </w:pPr>
            <w:r w:rsidRPr="00873B6C">
              <w:t>(NOTE 8)</w:t>
            </w:r>
          </w:p>
        </w:tc>
        <w:tc>
          <w:tcPr>
            <w:tcW w:w="1937" w:type="dxa"/>
            <w:shd w:val="clear" w:color="auto" w:fill="auto"/>
          </w:tcPr>
          <w:p w14:paraId="709D63B9" w14:textId="77777777" w:rsidR="00C25C3D" w:rsidRPr="00873B6C" w:rsidRDefault="00C25C3D" w:rsidP="00C25C3D">
            <w:pPr>
              <w:pStyle w:val="TAL"/>
            </w:pPr>
            <w:r w:rsidRPr="00873B6C">
              <w:rPr>
                <w:lang w:eastAsia="zh-CN"/>
              </w:rPr>
              <w:t>Yes</w:t>
            </w:r>
          </w:p>
        </w:tc>
        <w:tc>
          <w:tcPr>
            <w:tcW w:w="1490" w:type="dxa"/>
            <w:shd w:val="clear" w:color="auto" w:fill="auto"/>
          </w:tcPr>
          <w:p w14:paraId="61079C8D" w14:textId="77777777" w:rsidR="00C25C3D" w:rsidRPr="00873B6C" w:rsidRDefault="00C25C3D" w:rsidP="00C25C3D">
            <w:pPr>
              <w:pStyle w:val="TAL"/>
            </w:pPr>
            <w:r w:rsidRPr="00873B6C">
              <w:t>PDU context</w:t>
            </w:r>
          </w:p>
        </w:tc>
      </w:tr>
      <w:tr w:rsidR="00C25C3D" w:rsidRPr="00873B6C" w14:paraId="1A0FEE9B" w14:textId="77777777" w:rsidTr="0047544D">
        <w:trPr>
          <w:cantSplit/>
          <w:jc w:val="center"/>
        </w:trPr>
        <w:tc>
          <w:tcPr>
            <w:tcW w:w="1645" w:type="dxa"/>
            <w:shd w:val="clear" w:color="auto" w:fill="auto"/>
          </w:tcPr>
          <w:p w14:paraId="4567C517" w14:textId="256E6AFA" w:rsidR="00C25C3D" w:rsidRPr="00873B6C" w:rsidRDefault="00C25C3D" w:rsidP="00C25C3D">
            <w:pPr>
              <w:pStyle w:val="TAL"/>
            </w:pPr>
            <w:r w:rsidRPr="00873B6C">
              <w:t>Steering Mode Indicator</w:t>
            </w:r>
          </w:p>
        </w:tc>
        <w:tc>
          <w:tcPr>
            <w:tcW w:w="2890" w:type="dxa"/>
            <w:shd w:val="clear" w:color="auto" w:fill="auto"/>
          </w:tcPr>
          <w:p w14:paraId="3900DDA5" w14:textId="16204A3C" w:rsidR="00C25C3D" w:rsidRPr="00873B6C" w:rsidRDefault="00C25C3D" w:rsidP="00C25C3D">
            <w:pPr>
              <w:pStyle w:val="TAL"/>
            </w:pPr>
            <w:r w:rsidRPr="00873B6C">
              <w:t>Indicates either autonomous load-balance operation or UE-assistance operation if steering mode is set to "Load Balancing".</w:t>
            </w:r>
          </w:p>
        </w:tc>
        <w:tc>
          <w:tcPr>
            <w:tcW w:w="1669" w:type="dxa"/>
            <w:shd w:val="clear" w:color="auto" w:fill="auto"/>
          </w:tcPr>
          <w:p w14:paraId="5D460DD3" w14:textId="77777777" w:rsidR="00C25C3D" w:rsidRPr="00873B6C" w:rsidRDefault="00C25C3D" w:rsidP="00C25C3D">
            <w:pPr>
              <w:pStyle w:val="TAL"/>
            </w:pPr>
            <w:r w:rsidRPr="00873B6C">
              <w:t>Optional</w:t>
            </w:r>
          </w:p>
          <w:p w14:paraId="7143D80F" w14:textId="74B13DE6" w:rsidR="00426DE4" w:rsidRPr="00873B6C" w:rsidRDefault="00426DE4" w:rsidP="00C25C3D">
            <w:pPr>
              <w:pStyle w:val="TAL"/>
            </w:pPr>
            <w:r w:rsidRPr="00873B6C">
              <w:t>(NOTE 6)</w:t>
            </w:r>
          </w:p>
        </w:tc>
        <w:tc>
          <w:tcPr>
            <w:tcW w:w="1937" w:type="dxa"/>
            <w:shd w:val="clear" w:color="auto" w:fill="auto"/>
          </w:tcPr>
          <w:p w14:paraId="52C49E7A" w14:textId="27DEDD61" w:rsidR="00C25C3D" w:rsidRPr="00873B6C" w:rsidRDefault="00C25C3D" w:rsidP="00C25C3D">
            <w:pPr>
              <w:pStyle w:val="TAL"/>
            </w:pPr>
            <w:r w:rsidRPr="00873B6C">
              <w:t>Yes</w:t>
            </w:r>
          </w:p>
        </w:tc>
        <w:tc>
          <w:tcPr>
            <w:tcW w:w="1490" w:type="dxa"/>
            <w:shd w:val="clear" w:color="auto" w:fill="auto"/>
          </w:tcPr>
          <w:p w14:paraId="5C007EDE" w14:textId="2BDF9753" w:rsidR="00C25C3D" w:rsidRPr="00873B6C" w:rsidRDefault="00C25C3D" w:rsidP="00C25C3D">
            <w:pPr>
              <w:pStyle w:val="TAL"/>
            </w:pPr>
            <w:r w:rsidRPr="00873B6C">
              <w:t>PDU context</w:t>
            </w:r>
          </w:p>
        </w:tc>
      </w:tr>
      <w:tr w:rsidR="00C25C3D" w:rsidRPr="00873B6C" w14:paraId="1BC6FF11" w14:textId="77777777" w:rsidTr="00FD5C4A">
        <w:trPr>
          <w:cantSplit/>
          <w:jc w:val="center"/>
        </w:trPr>
        <w:tc>
          <w:tcPr>
            <w:tcW w:w="1645" w:type="dxa"/>
            <w:shd w:val="clear" w:color="auto" w:fill="auto"/>
          </w:tcPr>
          <w:p w14:paraId="41CED6FF" w14:textId="77777777" w:rsidR="00C25C3D" w:rsidRPr="00873B6C" w:rsidRDefault="00C25C3D" w:rsidP="00C25C3D">
            <w:pPr>
              <w:pStyle w:val="TAL"/>
            </w:pPr>
            <w:r w:rsidRPr="00873B6C">
              <w:t>Threshold Values</w:t>
            </w:r>
          </w:p>
          <w:p w14:paraId="7555B56A" w14:textId="0AB34A8A" w:rsidR="00F03116" w:rsidRPr="00873B6C" w:rsidRDefault="00F03116" w:rsidP="00C25C3D">
            <w:pPr>
              <w:pStyle w:val="TAL"/>
            </w:pPr>
            <w:r w:rsidRPr="00873B6C">
              <w:t>(NOTE 9)</w:t>
            </w:r>
          </w:p>
        </w:tc>
        <w:tc>
          <w:tcPr>
            <w:tcW w:w="2890" w:type="dxa"/>
            <w:shd w:val="clear" w:color="auto" w:fill="auto"/>
          </w:tcPr>
          <w:p w14:paraId="741DAAC0" w14:textId="6C430FC1" w:rsidR="00C25C3D" w:rsidRPr="00873B6C" w:rsidRDefault="00C25C3D" w:rsidP="00C25C3D">
            <w:pPr>
              <w:pStyle w:val="TAL"/>
            </w:pPr>
            <w:r w:rsidRPr="00873B6C">
              <w:t>A Maximum RTT and/or a Maximum Packet Loss Rate.</w:t>
            </w:r>
          </w:p>
        </w:tc>
        <w:tc>
          <w:tcPr>
            <w:tcW w:w="1669" w:type="dxa"/>
            <w:shd w:val="clear" w:color="auto" w:fill="auto"/>
          </w:tcPr>
          <w:p w14:paraId="0E4A3C1A" w14:textId="77777777" w:rsidR="00C25C3D" w:rsidRPr="00873B6C" w:rsidRDefault="00C25C3D" w:rsidP="00C25C3D">
            <w:pPr>
              <w:pStyle w:val="TAL"/>
            </w:pPr>
            <w:r w:rsidRPr="00873B6C">
              <w:t>Optional</w:t>
            </w:r>
          </w:p>
          <w:p w14:paraId="312C82B5" w14:textId="50F07ACD" w:rsidR="00426DE4" w:rsidRPr="00873B6C" w:rsidRDefault="00426DE4" w:rsidP="00C25C3D">
            <w:pPr>
              <w:pStyle w:val="TAL"/>
            </w:pPr>
            <w:r w:rsidRPr="00873B6C">
              <w:t>(NOTE 6)</w:t>
            </w:r>
          </w:p>
        </w:tc>
        <w:tc>
          <w:tcPr>
            <w:tcW w:w="1937" w:type="dxa"/>
            <w:shd w:val="clear" w:color="auto" w:fill="auto"/>
          </w:tcPr>
          <w:p w14:paraId="139F3671" w14:textId="0FE7D3C2" w:rsidR="00C25C3D" w:rsidRPr="00873B6C" w:rsidRDefault="00C25C3D" w:rsidP="00C25C3D">
            <w:pPr>
              <w:pStyle w:val="TAL"/>
            </w:pPr>
            <w:r w:rsidRPr="00873B6C">
              <w:t>Yes</w:t>
            </w:r>
          </w:p>
        </w:tc>
        <w:tc>
          <w:tcPr>
            <w:tcW w:w="1490" w:type="dxa"/>
            <w:shd w:val="clear" w:color="auto" w:fill="auto"/>
          </w:tcPr>
          <w:p w14:paraId="5DF85AFA" w14:textId="4BB376FE" w:rsidR="00C25C3D" w:rsidRPr="00873B6C" w:rsidRDefault="00C25C3D" w:rsidP="00C25C3D">
            <w:pPr>
              <w:pStyle w:val="TAL"/>
            </w:pPr>
            <w:r w:rsidRPr="00873B6C">
              <w:t>PDU context</w:t>
            </w:r>
          </w:p>
        </w:tc>
      </w:tr>
      <w:tr w:rsidR="00C25C3D" w:rsidRPr="00873B6C" w14:paraId="296D4A21" w14:textId="77777777" w:rsidTr="00FD5C4A">
        <w:trPr>
          <w:cantSplit/>
          <w:jc w:val="center"/>
        </w:trPr>
        <w:tc>
          <w:tcPr>
            <w:tcW w:w="1645" w:type="dxa"/>
            <w:shd w:val="clear" w:color="auto" w:fill="auto"/>
          </w:tcPr>
          <w:p w14:paraId="3694B708" w14:textId="77777777" w:rsidR="00C25C3D" w:rsidRPr="00873B6C" w:rsidRDefault="00C25C3D" w:rsidP="00C25C3D">
            <w:pPr>
              <w:pStyle w:val="TAL"/>
            </w:pPr>
            <w:r w:rsidRPr="00873B6C">
              <w:t>Steering Functionality</w:t>
            </w:r>
          </w:p>
        </w:tc>
        <w:tc>
          <w:tcPr>
            <w:tcW w:w="2890" w:type="dxa"/>
            <w:shd w:val="clear" w:color="auto" w:fill="auto"/>
          </w:tcPr>
          <w:p w14:paraId="023E83DA" w14:textId="582E49D0" w:rsidR="00C25C3D" w:rsidRPr="00873B6C" w:rsidRDefault="00C25C3D" w:rsidP="00C25C3D">
            <w:pPr>
              <w:pStyle w:val="TAL"/>
            </w:pPr>
            <w:r w:rsidRPr="00873B6C">
              <w:t>Identifies whether the MPTCP functionality</w:t>
            </w:r>
            <w:r w:rsidR="007C2ADF" w:rsidRPr="00873B6C">
              <w:t>, the MPQUIC functionality,</w:t>
            </w:r>
            <w:r w:rsidRPr="00873B6C">
              <w:t xml:space="preserve"> or the ATSSS-LL functionality should be applied for the matching traffic.</w:t>
            </w:r>
          </w:p>
        </w:tc>
        <w:tc>
          <w:tcPr>
            <w:tcW w:w="1669" w:type="dxa"/>
            <w:shd w:val="clear" w:color="auto" w:fill="auto"/>
          </w:tcPr>
          <w:p w14:paraId="335502C9" w14:textId="77777777" w:rsidR="00C25C3D" w:rsidRPr="00873B6C" w:rsidRDefault="00C25C3D" w:rsidP="00C25C3D">
            <w:pPr>
              <w:pStyle w:val="TAL"/>
            </w:pPr>
            <w:r w:rsidRPr="00873B6C">
              <w:t>Optional</w:t>
            </w:r>
          </w:p>
          <w:p w14:paraId="644B84F9" w14:textId="77777777" w:rsidR="00C25C3D" w:rsidRPr="00873B6C" w:rsidRDefault="00C25C3D" w:rsidP="00C25C3D">
            <w:pPr>
              <w:pStyle w:val="TAL"/>
            </w:pPr>
            <w:r w:rsidRPr="00873B6C">
              <w:t>(NOTE 5)</w:t>
            </w:r>
          </w:p>
          <w:p w14:paraId="5F58A286" w14:textId="45D6F16E" w:rsidR="00F03116" w:rsidRPr="00873B6C" w:rsidRDefault="00F03116" w:rsidP="00C25C3D">
            <w:pPr>
              <w:pStyle w:val="TAL"/>
            </w:pPr>
            <w:r w:rsidRPr="00873B6C">
              <w:t>(NOTE 8)</w:t>
            </w:r>
          </w:p>
        </w:tc>
        <w:tc>
          <w:tcPr>
            <w:tcW w:w="1937" w:type="dxa"/>
            <w:shd w:val="clear" w:color="auto" w:fill="auto"/>
          </w:tcPr>
          <w:p w14:paraId="665FE6CA" w14:textId="77777777" w:rsidR="00C25C3D" w:rsidRPr="00873B6C" w:rsidRDefault="00C25C3D" w:rsidP="00C25C3D">
            <w:pPr>
              <w:pStyle w:val="TAL"/>
              <w:rPr>
                <w:lang w:eastAsia="zh-CN"/>
              </w:rPr>
            </w:pPr>
            <w:r w:rsidRPr="00873B6C">
              <w:rPr>
                <w:lang w:eastAsia="zh-CN"/>
              </w:rPr>
              <w:t>Yes</w:t>
            </w:r>
          </w:p>
        </w:tc>
        <w:tc>
          <w:tcPr>
            <w:tcW w:w="1490" w:type="dxa"/>
            <w:shd w:val="clear" w:color="auto" w:fill="auto"/>
          </w:tcPr>
          <w:p w14:paraId="0825B3BF" w14:textId="77777777" w:rsidR="00C25C3D" w:rsidRPr="00873B6C" w:rsidRDefault="00C25C3D" w:rsidP="00C25C3D">
            <w:pPr>
              <w:pStyle w:val="TAL"/>
            </w:pPr>
            <w:r w:rsidRPr="00873B6C">
              <w:t>PDU context</w:t>
            </w:r>
          </w:p>
        </w:tc>
      </w:tr>
      <w:tr w:rsidR="007C2ADF" w:rsidRPr="00873B6C" w14:paraId="2C3174AB" w14:textId="77777777" w:rsidTr="00C9561D">
        <w:trPr>
          <w:cantSplit/>
          <w:jc w:val="center"/>
        </w:trPr>
        <w:tc>
          <w:tcPr>
            <w:tcW w:w="1645" w:type="dxa"/>
            <w:shd w:val="clear" w:color="auto" w:fill="auto"/>
          </w:tcPr>
          <w:p w14:paraId="235EB417" w14:textId="47EDCAF6" w:rsidR="007C2ADF" w:rsidRPr="00873B6C" w:rsidRDefault="007C2ADF" w:rsidP="007C2ADF">
            <w:pPr>
              <w:pStyle w:val="TAL"/>
            </w:pPr>
            <w:r w:rsidRPr="00873B6C">
              <w:t>Transport Mode</w:t>
            </w:r>
          </w:p>
        </w:tc>
        <w:tc>
          <w:tcPr>
            <w:tcW w:w="2890" w:type="dxa"/>
            <w:shd w:val="clear" w:color="auto" w:fill="auto"/>
          </w:tcPr>
          <w:p w14:paraId="032F8B69" w14:textId="707EBFF2" w:rsidR="007C2ADF" w:rsidRPr="00873B6C" w:rsidRDefault="007C2ADF" w:rsidP="007C2ADF">
            <w:pPr>
              <w:pStyle w:val="TAL"/>
            </w:pPr>
            <w:r w:rsidRPr="00873B6C">
              <w:t>Identifies the transport mode (see clause 5.32.6.2.2.1) that should be used for the matching traffic, when the Steering Functionality is the MPQUIC functionality.</w:t>
            </w:r>
          </w:p>
        </w:tc>
        <w:tc>
          <w:tcPr>
            <w:tcW w:w="1669" w:type="dxa"/>
            <w:shd w:val="clear" w:color="auto" w:fill="auto"/>
          </w:tcPr>
          <w:p w14:paraId="72CC21CA" w14:textId="77777777" w:rsidR="007C2ADF" w:rsidRPr="00873B6C" w:rsidRDefault="007C2ADF" w:rsidP="007C2ADF">
            <w:pPr>
              <w:pStyle w:val="TAL"/>
            </w:pPr>
            <w:r w:rsidRPr="00873B6C">
              <w:t>Optional</w:t>
            </w:r>
          </w:p>
          <w:p w14:paraId="59DF1BB5" w14:textId="77777777" w:rsidR="007C2ADF" w:rsidRPr="00873B6C" w:rsidRDefault="007C2ADF" w:rsidP="007C2ADF">
            <w:pPr>
              <w:pStyle w:val="TAL"/>
            </w:pPr>
            <w:r w:rsidRPr="00873B6C">
              <w:t>(NOTE 7)</w:t>
            </w:r>
          </w:p>
          <w:p w14:paraId="799BB5D1" w14:textId="1C393626" w:rsidR="007C2ADF" w:rsidRPr="00873B6C" w:rsidRDefault="007C2ADF" w:rsidP="007C2ADF">
            <w:pPr>
              <w:pStyle w:val="TAL"/>
            </w:pPr>
          </w:p>
        </w:tc>
        <w:tc>
          <w:tcPr>
            <w:tcW w:w="1937" w:type="dxa"/>
            <w:shd w:val="clear" w:color="auto" w:fill="auto"/>
          </w:tcPr>
          <w:p w14:paraId="659B0005" w14:textId="79A4B585" w:rsidR="007C2ADF" w:rsidRPr="00873B6C" w:rsidRDefault="007C2ADF" w:rsidP="007C2ADF">
            <w:pPr>
              <w:pStyle w:val="TAL"/>
              <w:rPr>
                <w:lang w:eastAsia="zh-CN"/>
              </w:rPr>
            </w:pPr>
            <w:r w:rsidRPr="00873B6C">
              <w:rPr>
                <w:lang w:eastAsia="zh-CN"/>
              </w:rPr>
              <w:t>Yes</w:t>
            </w:r>
          </w:p>
        </w:tc>
        <w:tc>
          <w:tcPr>
            <w:tcW w:w="1490" w:type="dxa"/>
            <w:shd w:val="clear" w:color="auto" w:fill="auto"/>
          </w:tcPr>
          <w:p w14:paraId="065CABA4" w14:textId="148C60C6" w:rsidR="007C2ADF" w:rsidRPr="00873B6C" w:rsidRDefault="007C2ADF" w:rsidP="007C2ADF">
            <w:pPr>
              <w:pStyle w:val="TAL"/>
            </w:pPr>
            <w:r w:rsidRPr="00873B6C">
              <w:t>PDU context</w:t>
            </w:r>
          </w:p>
        </w:tc>
      </w:tr>
      <w:tr w:rsidR="007C2ADF" w:rsidRPr="00873B6C" w14:paraId="41DC922C" w14:textId="77777777" w:rsidTr="00FD5C4A">
        <w:trPr>
          <w:cantSplit/>
          <w:jc w:val="center"/>
        </w:trPr>
        <w:tc>
          <w:tcPr>
            <w:tcW w:w="9631" w:type="dxa"/>
            <w:gridSpan w:val="5"/>
            <w:shd w:val="clear" w:color="auto" w:fill="auto"/>
          </w:tcPr>
          <w:p w14:paraId="60C1A01D" w14:textId="77777777" w:rsidR="007C2ADF" w:rsidRPr="00873B6C" w:rsidRDefault="007C2ADF" w:rsidP="007C2ADF">
            <w:pPr>
              <w:pStyle w:val="TAN"/>
            </w:pPr>
            <w:r w:rsidRPr="00873B6C">
              <w:t>NOTE 1:</w:t>
            </w:r>
            <w:r w:rsidRPr="00873B6C">
              <w:tab/>
              <w:t>Each ATSSS rule has a different precedence value from the other ATSSS rules.</w:t>
            </w:r>
          </w:p>
          <w:p w14:paraId="7F28675A" w14:textId="77777777" w:rsidR="007C2ADF" w:rsidRPr="00873B6C" w:rsidRDefault="007C2ADF" w:rsidP="007C2ADF">
            <w:pPr>
              <w:pStyle w:val="TAN"/>
            </w:pPr>
            <w:r w:rsidRPr="00873B6C">
              <w:t>NOTE 2:</w:t>
            </w:r>
            <w:r w:rsidRPr="00873B6C">
              <w:tab/>
              <w:t>At least one of the Traffic Descriptor components is present.</w:t>
            </w:r>
          </w:p>
          <w:p w14:paraId="4C11DA56" w14:textId="77777777" w:rsidR="007C2ADF" w:rsidRPr="00873B6C" w:rsidRDefault="007C2ADF" w:rsidP="007C2ADF">
            <w:pPr>
              <w:pStyle w:val="TAN"/>
            </w:pPr>
            <w:r w:rsidRPr="00873B6C">
              <w:t>NOTE 3:</w:t>
            </w:r>
            <w:r w:rsidRPr="00873B6C">
              <w:tab/>
              <w:t>An application identity consists of an OSId and an OSAppId.</w:t>
            </w:r>
          </w:p>
          <w:p w14:paraId="63F1EBC8" w14:textId="77777777" w:rsidR="007C2ADF" w:rsidRPr="00873B6C" w:rsidRDefault="007C2ADF" w:rsidP="007C2ADF">
            <w:pPr>
              <w:pStyle w:val="TAN"/>
            </w:pPr>
            <w:r w:rsidRPr="00873B6C">
              <w:t>NOTE 4:</w:t>
            </w:r>
            <w:r w:rsidRPr="00873B6C">
              <w:tab/>
              <w:t>An ATSSS rule cannot contain both IP descriptors and Non-IP descriptors.</w:t>
            </w:r>
          </w:p>
          <w:p w14:paraId="0D7ACE3F" w14:textId="77777777" w:rsidR="007C2ADF" w:rsidRPr="00873B6C" w:rsidRDefault="007C2ADF" w:rsidP="007C2ADF">
            <w:pPr>
              <w:pStyle w:val="TAN"/>
            </w:pPr>
            <w:r w:rsidRPr="00873B6C">
              <w:t>NOTE 5:</w:t>
            </w:r>
            <w:r w:rsidRPr="00873B6C">
              <w:tab/>
              <w:t>If the UE supports only one Steering Functionality, this component is omitted.</w:t>
            </w:r>
          </w:p>
          <w:p w14:paraId="3E40F5A3" w14:textId="77777777" w:rsidR="007C2ADF" w:rsidRPr="00873B6C" w:rsidRDefault="007C2ADF" w:rsidP="007C2ADF">
            <w:pPr>
              <w:pStyle w:val="TAN"/>
            </w:pPr>
            <w:r w:rsidRPr="00873B6C">
              <w:t>NOTE 6:</w:t>
            </w:r>
            <w:r w:rsidRPr="00873B6C">
              <w:tab/>
              <w:t>The Steering Mode Indicator and the Threshold Values shall not be provided together.</w:t>
            </w:r>
          </w:p>
          <w:p w14:paraId="5470E71C" w14:textId="77777777" w:rsidR="00F03116" w:rsidRPr="00873B6C" w:rsidRDefault="007C2ADF" w:rsidP="007C2ADF">
            <w:pPr>
              <w:pStyle w:val="TAN"/>
            </w:pPr>
            <w:r w:rsidRPr="00873B6C">
              <w:t>NOTE 7:</w:t>
            </w:r>
            <w:r w:rsidRPr="00873B6C">
              <w:tab/>
              <w:t>The Transport Mode shall be included when the Steering Functionality is the MPQUIC functionality. In all other cases, the Transport Mode shall not be included.</w:t>
            </w:r>
          </w:p>
          <w:p w14:paraId="78A71AB7" w14:textId="297C48CB" w:rsidR="00F03116" w:rsidRPr="00873B6C" w:rsidRDefault="00F03116" w:rsidP="007C2ADF">
            <w:pPr>
              <w:pStyle w:val="TAN"/>
            </w:pPr>
            <w:r w:rsidRPr="00873B6C">
              <w:t>NOTE 8:</w:t>
            </w:r>
            <w:r w:rsidRPr="00873B6C">
              <w:tab/>
              <w:t>The Steering functionality "ATSSS-LL functionality" shall not be provided together with Steering Mode "Redundant".</w:t>
            </w:r>
          </w:p>
          <w:p w14:paraId="52EF4FFE" w14:textId="101A95A1" w:rsidR="007C2ADF" w:rsidRPr="00873B6C" w:rsidRDefault="00F03116" w:rsidP="007C2ADF">
            <w:pPr>
              <w:pStyle w:val="TAN"/>
            </w:pPr>
            <w:r w:rsidRPr="00873B6C">
              <w:t>NOTE 9:</w:t>
            </w:r>
            <w:r w:rsidRPr="00873B6C">
              <w:tab/>
              <w:t>If the Steering Mode is "Redundant", either a Maximum RTT or a Maximum Packet Loss Rate may be provided, but not both.</w:t>
            </w:r>
          </w:p>
        </w:tc>
      </w:tr>
    </w:tbl>
    <w:p w14:paraId="45E08617" w14:textId="77777777" w:rsidR="00D40151" w:rsidRPr="00873B6C" w:rsidRDefault="00D40151" w:rsidP="00D40151"/>
    <w:p w14:paraId="5184ED9B" w14:textId="77777777" w:rsidR="00D40151" w:rsidRPr="00873B6C" w:rsidRDefault="00D40151" w:rsidP="00D40151">
      <w:r w:rsidRPr="00873B6C">
        <w:t>The UE evaluates the ATSSS rules in priority order.</w:t>
      </w:r>
    </w:p>
    <w:p w14:paraId="739C378F" w14:textId="77777777" w:rsidR="00D40151" w:rsidRPr="00873B6C" w:rsidRDefault="00D40151" w:rsidP="00D40151">
      <w:r w:rsidRPr="00873B6C">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873B6C" w:rsidRDefault="00D40151" w:rsidP="00D40151">
      <w:r w:rsidRPr="00873B6C">
        <w:lastRenderedPageBreak/>
        <w:t>Depending on the type of the MA PDU Session, the Traffic Descriptor may contain the following components (the details of the Traffic Descriptor generation are described in clause 5.32.3):</w:t>
      </w:r>
    </w:p>
    <w:p w14:paraId="365E8C96" w14:textId="77777777" w:rsidR="00D40151" w:rsidRPr="00873B6C" w:rsidRDefault="00D40151" w:rsidP="00D40151">
      <w:pPr>
        <w:pStyle w:val="B1"/>
      </w:pPr>
      <w:r w:rsidRPr="00873B6C">
        <w:t>-</w:t>
      </w:r>
      <w:r w:rsidRPr="00873B6C">
        <w:tab/>
        <w:t>For IPv4, or IPv6, or IPv4v6 type: Application descriptors and/or IP descriptors.</w:t>
      </w:r>
    </w:p>
    <w:p w14:paraId="64443965" w14:textId="77777777" w:rsidR="00D40151" w:rsidRPr="00873B6C" w:rsidRDefault="00D40151" w:rsidP="00D40151">
      <w:pPr>
        <w:pStyle w:val="B1"/>
      </w:pPr>
      <w:r w:rsidRPr="00873B6C">
        <w:t>-</w:t>
      </w:r>
      <w:r w:rsidRPr="00873B6C">
        <w:tab/>
        <w:t>For Ethernet type: Application descriptors and/or Non-IP descriptors.</w:t>
      </w:r>
    </w:p>
    <w:p w14:paraId="285ACEE7" w14:textId="77777777" w:rsidR="00D40151" w:rsidRPr="00873B6C" w:rsidRDefault="00D40151" w:rsidP="00D40151">
      <w:r w:rsidRPr="00873B6C">
        <w:t>One ATSSS rule with a "match all" Traffic Descriptor may be provided, which matches all SDFs. When provided, it shall have the least Rule Precedence value, so it shall be the last one evaluated by the UE.</w:t>
      </w:r>
    </w:p>
    <w:p w14:paraId="3EC04D62" w14:textId="77777777" w:rsidR="00D40151" w:rsidRPr="00873B6C" w:rsidRDefault="00D40151" w:rsidP="00D40151">
      <w:pPr>
        <w:pStyle w:val="NO"/>
      </w:pPr>
      <w:r w:rsidRPr="00873B6C">
        <w:t>NOTE 1:</w:t>
      </w:r>
      <w:r w:rsidRPr="00873B6C">
        <w:tab/>
        <w:t>The format of the "match all" Traffic descriptor of an ATSSS rule is defined in stage-3.</w:t>
      </w:r>
    </w:p>
    <w:p w14:paraId="72657DCB" w14:textId="77777777" w:rsidR="00D40151" w:rsidRPr="00873B6C" w:rsidRDefault="00D40151" w:rsidP="00D40151">
      <w:r w:rsidRPr="00873B6C">
        <w:t>Each ATSSS rule contains an Access Selection Descriptor that contains the following components:</w:t>
      </w:r>
    </w:p>
    <w:p w14:paraId="3A97C2BE" w14:textId="77777777" w:rsidR="00D40151" w:rsidRPr="00873B6C" w:rsidRDefault="00D40151" w:rsidP="00D40151">
      <w:pPr>
        <w:pStyle w:val="B1"/>
      </w:pPr>
      <w:r w:rsidRPr="00873B6C">
        <w:t>-</w:t>
      </w:r>
      <w:r w:rsidRPr="00873B6C">
        <w:tab/>
        <w:t>A Steering Mode, which determines how the traffic of the matching SDF should be distributed across 3GPP and non-3GPP accesses. The following Steering Modes are supported:</w:t>
      </w:r>
    </w:p>
    <w:p w14:paraId="6B16BF60" w14:textId="349E0341" w:rsidR="00D40151" w:rsidRPr="00873B6C" w:rsidRDefault="00D40151" w:rsidP="00D40151">
      <w:pPr>
        <w:pStyle w:val="B2"/>
      </w:pPr>
      <w:r w:rsidRPr="00873B6C">
        <w:t>-</w:t>
      </w:r>
      <w:r w:rsidRPr="00873B6C">
        <w:tab/>
        <w:t>Active-Standby: It is used to steer a SDF on one access (the Active access), when this access is available</w:t>
      </w:r>
      <w:r w:rsidR="00472CD7" w:rsidRPr="00873B6C">
        <w:t xml:space="preserve"> and</w:t>
      </w:r>
      <w:r w:rsidRPr="00873B6C">
        <w:t xml:space="preserve">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873B6C" w:rsidRDefault="00D40151" w:rsidP="00D40151">
      <w:pPr>
        <w:pStyle w:val="B2"/>
      </w:pPr>
      <w:r w:rsidRPr="00873B6C">
        <w:t>-</w:t>
      </w:r>
      <w:r w:rsidRPr="00873B6C">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873B6C">
        <w:t>N</w:t>
      </w:r>
      <w:r w:rsidRPr="00873B6C">
        <w:t>on-GBR SDF.</w:t>
      </w:r>
    </w:p>
    <w:p w14:paraId="605B1B39" w14:textId="4302B811" w:rsidR="00D40151" w:rsidRPr="00873B6C" w:rsidRDefault="00D40151" w:rsidP="00D40151">
      <w:pPr>
        <w:pStyle w:val="B2"/>
      </w:pPr>
      <w:r w:rsidRPr="00873B6C">
        <w:t>-</w:t>
      </w:r>
      <w:r w:rsidRPr="00873B6C">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873B6C">
        <w:t>N</w:t>
      </w:r>
      <w:r w:rsidRPr="00873B6C">
        <w:t>on-GBR SDF. In addition, if one access becomes unavailable, all SDF traffic is switched to the other available access, as if the percentage of the SDF traffic transported via the available access was 100%.</w:t>
      </w:r>
    </w:p>
    <w:p w14:paraId="22303F29" w14:textId="5A5C44AF" w:rsidR="00D40151" w:rsidRPr="00873B6C" w:rsidRDefault="00D40151" w:rsidP="00D40151">
      <w:pPr>
        <w:pStyle w:val="B2"/>
      </w:pPr>
      <w:r w:rsidRPr="00873B6C">
        <w:t>-</w:t>
      </w:r>
      <w:r w:rsidRPr="00873B6C">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873B6C">
        <w:t>N</w:t>
      </w:r>
      <w:r w:rsidRPr="00873B6C">
        <w:t>on-GBR SDF.</w:t>
      </w:r>
    </w:p>
    <w:p w14:paraId="5AD5D66D" w14:textId="6587C79B" w:rsidR="00F03116" w:rsidRPr="00873B6C" w:rsidRDefault="00F03116" w:rsidP="00972E70">
      <w:pPr>
        <w:pStyle w:val="B2"/>
      </w:pPr>
      <w:r w:rsidRPr="00873B6C">
        <w:t>-</w:t>
      </w:r>
      <w:r w:rsidRPr="00873B6C">
        <w:tab/>
        <w:t>Redundant (without Threshold Values): It is used to duplicate traffic of an SDF on both accesses if both accesses are available. A Primary Access (either 3GPP access or Non-3GPP access) may be provided to the UE in the ATSSS rules and to the UPF in the N4 rules. If a Primary Access is provided, UE and UPF shall send all data packets of the SDF on the Primary Access and may duplicate data packets of the SDF on the other access. How many and which data packets are duplicated by UE and UPF on the other access is based on implementation. If the Primary Access is not provided to UE and UPF, the UE and UPF shall send all data packets of the SDF on both accesses. It can be used for GBR and Non-GBR SDF.</w:t>
      </w:r>
    </w:p>
    <w:p w14:paraId="36DDA4D7" w14:textId="68A34689" w:rsidR="0047544D" w:rsidRPr="00873B6C" w:rsidRDefault="0047544D" w:rsidP="00D40151">
      <w:pPr>
        <w:pStyle w:val="B1"/>
      </w:pPr>
      <w:r w:rsidRPr="00873B6C">
        <w:t>-</w:t>
      </w:r>
      <w:r w:rsidRPr="00873B6C">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873B6C" w:rsidRDefault="0047544D" w:rsidP="00461850">
      <w:pPr>
        <w:pStyle w:val="B2"/>
      </w:pPr>
      <w:r w:rsidRPr="00873B6C">
        <w:t>-</w:t>
      </w:r>
      <w:r w:rsidRPr="00873B6C">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E5E33D7" w:rsidR="00B04F2B" w:rsidRPr="00873B6C" w:rsidRDefault="00B04F2B" w:rsidP="00461850">
      <w:pPr>
        <w:pStyle w:val="B2"/>
      </w:pPr>
      <w:r w:rsidRPr="00873B6C">
        <w:t>-</w:t>
      </w:r>
      <w:r w:rsidRPr="00873B6C">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w:t>
      </w:r>
      <w:r w:rsidR="00472CD7" w:rsidRPr="00873B6C">
        <w:t xml:space="preserve"> and</w:t>
      </w:r>
      <w:r w:rsidRPr="00873B6C">
        <w:t xml:space="preserve"> that (b) the UE may inform the UPF how it decided to distribute the UL traffic of the </w:t>
      </w:r>
      <w:r w:rsidRPr="00873B6C">
        <w:lastRenderedPageBreak/>
        <w:t>matching SDF. In the normal cases, although with this indicator provided, the UE shall distribute the UL traffic as indicated by the network.</w:t>
      </w:r>
    </w:p>
    <w:p w14:paraId="288490D8" w14:textId="00E071F9" w:rsidR="00B04F2B" w:rsidRPr="00873B6C" w:rsidRDefault="00B04F2B" w:rsidP="00562E84">
      <w:pPr>
        <w:pStyle w:val="NO"/>
      </w:pPr>
      <w:r w:rsidRPr="00873B6C">
        <w:t>NOTE 2:</w:t>
      </w:r>
      <w:r w:rsidRPr="00873B6C">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w:t>
      </w:r>
      <w:r w:rsidR="00472CD7" w:rsidRPr="00873B6C">
        <w:t xml:space="preserve"> and</w:t>
      </w:r>
      <w:r w:rsidRPr="00873B6C">
        <w:t xml:space="preserve"> (ii) that the UE is allowed to use other split percentages, such as 0% - 100%, if this is needed by the UE to optimize its operation (e.g. to minimize its battery consumption).</w:t>
      </w:r>
    </w:p>
    <w:p w14:paraId="4D3D4C9F" w14:textId="75C3449D" w:rsidR="00681FC7" w:rsidRPr="00873B6C" w:rsidRDefault="00405088" w:rsidP="00D40151">
      <w:pPr>
        <w:pStyle w:val="B1"/>
      </w:pPr>
      <w:r w:rsidRPr="00873B6C">
        <w:t>-</w:t>
      </w:r>
      <w:r w:rsidRPr="00873B6C">
        <w:tab/>
        <w:t>Threshold Values: One or more threshold values may be provided when the Steering Mode is</w:t>
      </w:r>
      <w:r w:rsidR="00681FC7" w:rsidRPr="00873B6C">
        <w:t xml:space="preserve"> Priority-based or when the Steering Mode is</w:t>
      </w:r>
      <w:r w:rsidRPr="00873B6C">
        <w:t xml:space="preserve"> Load-Balancing</w:t>
      </w:r>
      <w:r w:rsidR="00681FC7" w:rsidRPr="00873B6C">
        <w:t xml:space="preserve"> with fixed split percentages</w:t>
      </w:r>
      <w:r w:rsidR="00616F73" w:rsidRPr="00873B6C">
        <w:t xml:space="preserve"> (i.e. without the Autonomous load-balance indicator or UE assistance indicator)</w:t>
      </w:r>
      <w:r w:rsidRPr="00873B6C">
        <w:t>.</w:t>
      </w:r>
      <w:r w:rsidR="00F03116" w:rsidRPr="00873B6C">
        <w:t xml:space="preserve"> One threshold value may be provided when the Steering Mode is Redundant.</w:t>
      </w:r>
      <w:r w:rsidRPr="00873B6C">
        <w:t xml:space="preserve"> A threshold value may be either a </w:t>
      </w:r>
      <w:r w:rsidR="00681FC7" w:rsidRPr="00873B6C">
        <w:t xml:space="preserve">value for </w:t>
      </w:r>
      <w:r w:rsidRPr="00873B6C">
        <w:t>RTT or</w:t>
      </w:r>
      <w:r w:rsidR="00681FC7" w:rsidRPr="00873B6C">
        <w:t xml:space="preserve"> a value for</w:t>
      </w:r>
      <w:r w:rsidRPr="00873B6C">
        <w:t xml:space="preserve"> Packet Loss Rate. </w:t>
      </w:r>
      <w:r w:rsidR="00681FC7" w:rsidRPr="00873B6C">
        <w:t xml:space="preserve">The </w:t>
      </w:r>
      <w:r w:rsidRPr="00873B6C">
        <w:t>threshold value</w:t>
      </w:r>
      <w:r w:rsidR="00681FC7" w:rsidRPr="00873B6C">
        <w:t>s are</w:t>
      </w:r>
      <w:r w:rsidRPr="00873B6C">
        <w:t xml:space="preserve"> applicable to both accesses</w:t>
      </w:r>
      <w:r w:rsidR="00681FC7" w:rsidRPr="00873B6C">
        <w:t xml:space="preserve"> and are applied by the UE and UPF as follows:</w:t>
      </w:r>
    </w:p>
    <w:p w14:paraId="69CD5A8D" w14:textId="6DD5427F" w:rsidR="00405088" w:rsidRPr="00873B6C" w:rsidRDefault="00681FC7" w:rsidP="00562E84">
      <w:pPr>
        <w:pStyle w:val="B2"/>
      </w:pPr>
      <w:r w:rsidRPr="00873B6C">
        <w:t>-</w:t>
      </w:r>
      <w:r w:rsidRPr="00873B6C">
        <w:tab/>
        <w:t>Load-Balancing Steering Mode with fixed split percentages</w:t>
      </w:r>
      <w:r w:rsidR="00616F73" w:rsidRPr="00873B6C">
        <w:t xml:space="preserve"> (i.e. without the Autonomous load-balance indicator or UE assistance indicator)</w:t>
      </w:r>
      <w:r w:rsidRPr="00873B6C">
        <w:t>:</w:t>
      </w:r>
      <w:r w:rsidR="00405088" w:rsidRPr="00873B6C">
        <w:t xml:space="preserve"> When at least one measured parameter (i.e. RTT or Packet Loss Rate) on one access exceeds the provided threshold value, the UE and UPF</w:t>
      </w:r>
      <w:r w:rsidR="0053150F" w:rsidRPr="00873B6C">
        <w:t xml:space="preserve"> may stop sending traffic on this access, or</w:t>
      </w:r>
      <w:r w:rsidR="00405088" w:rsidRPr="00873B6C">
        <w:t xml:space="preserve"> may continue send</w:t>
      </w:r>
      <w:r w:rsidR="0053150F" w:rsidRPr="00873B6C">
        <w:t>ing</w:t>
      </w:r>
      <w:r w:rsidR="00405088" w:rsidRPr="00873B6C">
        <w:t xml:space="preserve"> traffic on this access but should reduce the traffic on this access by an implementation specific amount</w:t>
      </w:r>
      <w:r w:rsidRPr="00873B6C">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873B6C">
        <w:t>.</w:t>
      </w:r>
    </w:p>
    <w:p w14:paraId="1A49B6D2" w14:textId="65061125" w:rsidR="00681FC7" w:rsidRPr="00873B6C" w:rsidRDefault="00681FC7" w:rsidP="00562E84">
      <w:pPr>
        <w:pStyle w:val="B2"/>
      </w:pPr>
      <w:r w:rsidRPr="00873B6C">
        <w:t>-</w:t>
      </w:r>
      <w:r w:rsidRPr="00873B6C">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54708307" w14:textId="5C35006B" w:rsidR="00F03116" w:rsidRPr="00873B6C" w:rsidRDefault="00F03116" w:rsidP="00972E70">
      <w:pPr>
        <w:pStyle w:val="B2"/>
      </w:pPr>
      <w:r w:rsidRPr="00873B6C">
        <w:t>-</w:t>
      </w:r>
      <w:r w:rsidRPr="00873B6C">
        <w:tab/>
        <w:t>Redundant Steering Mode: When the measured Packet Loss Rate exceeds the provided threshold value on both accesses, the UE and UPF shall duplicate the traffic of the SDF on both accesses. When the measured RTT exceeds the provided threshold value on both accesses, the UE and UPF may duplicate the traffic of the SDF on both accesses based on implementation.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The Primary Access (either 3GPP access or Non-3GPP access) may be provided to the UE in the ATSSS rules and to the UPF in the N4 rules. If the Primary Access is not provided to the UE and UPF, UE and UPF shall select a Primary Access based on their own implementation (e.g. using</w:t>
      </w:r>
      <w:r w:rsidR="00114986" w:rsidRPr="00873B6C">
        <w:t xml:space="preserve"> the lowest RTT access or the lowest Packet Loss Rate access</w:t>
      </w:r>
      <w:r w:rsidRPr="00873B6C">
        <w:t>). If measurement results on an access are not available for a parameter, it is considered that the measured parameter for this access has not exceeded the provided threshold value. If a threshold value is provided when the Steering Mode is Redundant, the Steering Mode can only be used for Non-GBR SDF.</w:t>
      </w:r>
    </w:p>
    <w:p w14:paraId="2FF3DF7D" w14:textId="0E50FFC3" w:rsidR="00D40151" w:rsidRPr="00873B6C" w:rsidRDefault="00D40151" w:rsidP="00D40151">
      <w:pPr>
        <w:pStyle w:val="B1"/>
      </w:pPr>
      <w:r w:rsidRPr="00873B6C">
        <w:t>-</w:t>
      </w:r>
      <w:r w:rsidRPr="00873B6C">
        <w:tab/>
        <w:t>A Steering Functionality, which identifies whether the MPTCP functionality</w:t>
      </w:r>
      <w:r w:rsidR="007C2ADF" w:rsidRPr="00873B6C">
        <w:t>, or the MPQUIC functionality,</w:t>
      </w:r>
      <w:r w:rsidRPr="00873B6C">
        <w:t xml:space="preserve"> or the ATSSS-LL functionality should be used to steer the traffic of the matching SDF. This is used when the UE supports multiple functionalities for ATSSS, as specified in clause 5.32.6 ("Support of Steering Functions").</w:t>
      </w:r>
    </w:p>
    <w:p w14:paraId="3D85F41A" w14:textId="081C27DB" w:rsidR="007C2ADF" w:rsidRPr="00873B6C" w:rsidRDefault="007C2ADF" w:rsidP="00972E70">
      <w:pPr>
        <w:pStyle w:val="B1"/>
      </w:pPr>
      <w:r w:rsidRPr="00873B6C">
        <w:t>-</w:t>
      </w:r>
      <w:r w:rsidRPr="00873B6C">
        <w:tab/>
        <w:t>A Transport Mode, which identifies the transport mode that should be applied by the MPQUIC functionality for the matching traffic. The transport modes supported by the MPQUIC functionality are defined in clause 5.32.6.2.2.1.</w:t>
      </w:r>
    </w:p>
    <w:p w14:paraId="39D17ED9" w14:textId="66BB6105" w:rsidR="00D40151" w:rsidRPr="00873B6C" w:rsidRDefault="00D40151" w:rsidP="00D40151">
      <w:pPr>
        <w:pStyle w:val="NO"/>
      </w:pPr>
      <w:r w:rsidRPr="00873B6C">
        <w:t>NOTE </w:t>
      </w:r>
      <w:r w:rsidR="00B04F2B" w:rsidRPr="00873B6C">
        <w:t>3</w:t>
      </w:r>
      <w:r w:rsidRPr="00873B6C">
        <w:t>:</w:t>
      </w:r>
      <w:r w:rsidRPr="00873B6C">
        <w:tab/>
        <w:t>There is no need to update the ATSSS rules when one access becomes unavailable or available.</w:t>
      </w:r>
    </w:p>
    <w:p w14:paraId="34FC2CC4" w14:textId="77777777" w:rsidR="00D40151" w:rsidRPr="00873B6C" w:rsidRDefault="00D40151" w:rsidP="00D40151">
      <w:r w:rsidRPr="00873B6C">
        <w:t>As an example, the following ATSSS rules could be provided to UE:</w:t>
      </w:r>
    </w:p>
    <w:p w14:paraId="494E1E30" w14:textId="77777777" w:rsidR="00D40151" w:rsidRPr="00873B6C" w:rsidRDefault="00D40151" w:rsidP="00D40151">
      <w:pPr>
        <w:pStyle w:val="B1"/>
      </w:pPr>
      <w:r w:rsidRPr="00873B6C">
        <w:t>a)</w:t>
      </w:r>
      <w:r w:rsidRPr="00873B6C">
        <w:tab/>
        <w:t>"Traffic Descriptor: UDP, DestAddr 1.2.3.4", "Steering Mode: Active-Standby, Active=3GPP, Standby=non-3GPP":</w:t>
      </w:r>
    </w:p>
    <w:p w14:paraId="54E9001D" w14:textId="77777777" w:rsidR="00D40151" w:rsidRPr="00873B6C" w:rsidRDefault="00D40151" w:rsidP="00D40151">
      <w:pPr>
        <w:pStyle w:val="B2"/>
      </w:pPr>
      <w:r w:rsidRPr="00873B6C">
        <w:t>-</w:t>
      </w:r>
      <w:r w:rsidRPr="00873B6C">
        <w:tab/>
        <w:t>This rule means "steer UDP traffic with destination IP address 1.2.3.4 to the active access (3GPP), if available. If the active access is not available, use the standby access (non-3GPP)".</w:t>
      </w:r>
    </w:p>
    <w:p w14:paraId="09B628DD" w14:textId="7CB58C7E" w:rsidR="00D40151" w:rsidRPr="00873B6C" w:rsidRDefault="00D40151" w:rsidP="00D40151">
      <w:pPr>
        <w:pStyle w:val="B1"/>
      </w:pPr>
      <w:r w:rsidRPr="00873B6C">
        <w:t>b)</w:t>
      </w:r>
      <w:r w:rsidRPr="00873B6C">
        <w:tab/>
        <w:t>"Traffic Descriptor: TCP, DestPort 8080", "Steering Mode: Smallest Delay":</w:t>
      </w:r>
    </w:p>
    <w:p w14:paraId="2C4A4EF9" w14:textId="77777777" w:rsidR="00D40151" w:rsidRPr="00873B6C" w:rsidRDefault="00D40151" w:rsidP="00D40151">
      <w:pPr>
        <w:pStyle w:val="B2"/>
      </w:pPr>
      <w:r w:rsidRPr="00873B6C">
        <w:lastRenderedPageBreak/>
        <w:t>-</w:t>
      </w:r>
      <w:r w:rsidRPr="00873B6C">
        <w:tab/>
        <w:t>This rule means "steer TCP traffic with destination port 8080 to the access with the smallest delay". The UE needs to measure the RTT over both accesses, in order to determine which access has the smallest delay.</w:t>
      </w:r>
    </w:p>
    <w:p w14:paraId="39C47223" w14:textId="3DE20528" w:rsidR="00D40151" w:rsidRPr="00873B6C" w:rsidRDefault="00D40151" w:rsidP="00D40151">
      <w:pPr>
        <w:pStyle w:val="B1"/>
      </w:pPr>
      <w:r w:rsidRPr="00873B6C">
        <w:t>c)</w:t>
      </w:r>
      <w:r w:rsidRPr="00873B6C">
        <w:tab/>
        <w:t>"Traffic Descriptor:</w:t>
      </w:r>
      <w:r w:rsidR="007C2ADF" w:rsidRPr="00873B6C">
        <w:t xml:space="preserve"> TCP traffic of</w:t>
      </w:r>
      <w:r w:rsidRPr="00873B6C">
        <w:t xml:space="preserve"> Application-1", "Steering Mode: Load-Balancing, 3GPP=20%, non-3GPP=80%", "Steering Functionality: MPTCP":</w:t>
      </w:r>
    </w:p>
    <w:p w14:paraId="405B6DB9" w14:textId="000D1661" w:rsidR="00D40151" w:rsidRPr="00873B6C" w:rsidRDefault="00D40151" w:rsidP="00D40151">
      <w:pPr>
        <w:pStyle w:val="B2"/>
      </w:pPr>
      <w:r w:rsidRPr="00873B6C">
        <w:t>-</w:t>
      </w:r>
      <w:r w:rsidRPr="00873B6C">
        <w:tab/>
        <w:t>This rule means "send 20% of the</w:t>
      </w:r>
      <w:r w:rsidR="007C2ADF" w:rsidRPr="00873B6C">
        <w:t xml:space="preserve"> TCP</w:t>
      </w:r>
      <w:r w:rsidRPr="00873B6C">
        <w:t xml:space="preserve"> traffic of Application-1 to 3GPP access and 80% to non-3GPP access by using the MPTCP functionality".</w:t>
      </w:r>
    </w:p>
    <w:p w14:paraId="5856D606" w14:textId="05121C44" w:rsidR="00405088" w:rsidRPr="00873B6C" w:rsidRDefault="00405088" w:rsidP="00405088">
      <w:pPr>
        <w:pStyle w:val="B1"/>
      </w:pPr>
      <w:bookmarkStart w:id="4805" w:name="_Toc20150152"/>
      <w:bookmarkStart w:id="4806" w:name="_Toc27846954"/>
      <w:bookmarkStart w:id="4807" w:name="_Toc36188085"/>
      <w:bookmarkStart w:id="4808" w:name="_Toc45183990"/>
      <w:bookmarkStart w:id="4809" w:name="_Toc47342832"/>
      <w:bookmarkStart w:id="4810" w:name="_Toc51769534"/>
      <w:r w:rsidRPr="00873B6C">
        <w:t>d)</w:t>
      </w:r>
      <w:r w:rsidRPr="00873B6C">
        <w:tab/>
        <w:t>"Traffic Descriptor:</w:t>
      </w:r>
      <w:r w:rsidR="007C2ADF" w:rsidRPr="00873B6C">
        <w:t xml:space="preserve"> TCP traffic of</w:t>
      </w:r>
      <w:r w:rsidRPr="00873B6C">
        <w:t xml:space="preserve"> Application-1", "Steering Mode: Load-Balancing, 3GPP=20%, non-3GPP=80%, "Threshold</w:t>
      </w:r>
      <w:r w:rsidR="00681FC7" w:rsidRPr="00873B6C">
        <w:t xml:space="preserve"> Value for</w:t>
      </w:r>
      <w:r w:rsidRPr="00873B6C">
        <w:t xml:space="preserve"> Packet Loss Rate</w:t>
      </w:r>
      <w:r w:rsidR="00681FC7" w:rsidRPr="00873B6C">
        <w:t>:</w:t>
      </w:r>
      <w:r w:rsidRPr="00873B6C">
        <w:t xml:space="preserve"> 1%", "Steering Functionality: MPTCP":</w:t>
      </w:r>
    </w:p>
    <w:p w14:paraId="165D78ED" w14:textId="19379083" w:rsidR="00405088" w:rsidRPr="00873B6C" w:rsidRDefault="00405088" w:rsidP="00323277">
      <w:pPr>
        <w:pStyle w:val="B2"/>
      </w:pPr>
      <w:r w:rsidRPr="00873B6C">
        <w:t>-</w:t>
      </w:r>
      <w:r w:rsidRPr="00873B6C">
        <w:tab/>
        <w:t>This rule means "send 20% of the</w:t>
      </w:r>
      <w:r w:rsidR="007C2ADF" w:rsidRPr="00873B6C">
        <w:t xml:space="preserve"> TCP</w:t>
      </w:r>
      <w:r w:rsidRPr="00873B6C">
        <w:t xml:space="preserve"> traffic of Application-1 to 3GPP access and 80% to non-3GPP access </w:t>
      </w:r>
      <w:r w:rsidR="00681FC7" w:rsidRPr="00873B6C">
        <w:t xml:space="preserve">as long as the </w:t>
      </w:r>
      <w:r w:rsidRPr="00873B6C">
        <w:t>Packet Loss Rate</w:t>
      </w:r>
      <w:r w:rsidR="00681FC7" w:rsidRPr="00873B6C">
        <w:t xml:space="preserve"> does not exceed </w:t>
      </w:r>
      <w:r w:rsidRPr="00873B6C">
        <w:t>1% on both accesses</w:t>
      </w:r>
      <w:r w:rsidR="00681FC7" w:rsidRPr="00873B6C">
        <w:t>,</w:t>
      </w:r>
      <w:r w:rsidRPr="00873B6C">
        <w:t xml:space="preserve"> by using the MPTCP functionality. If the measured Packet Loss Rate of an access</w:t>
      </w:r>
      <w:r w:rsidR="00681FC7" w:rsidRPr="00873B6C">
        <w:t xml:space="preserve"> exceeds</w:t>
      </w:r>
      <w:r w:rsidRPr="00873B6C">
        <w:t xml:space="preserve"> 1%, then the</w:t>
      </w:r>
      <w:r w:rsidR="007C2ADF" w:rsidRPr="00873B6C">
        <w:t xml:space="preserve"> TCP</w:t>
      </w:r>
      <w:r w:rsidRPr="00873B6C">
        <w:t xml:space="preserve"> traffic of Application-1 may be reduced on</w:t>
      </w:r>
      <w:r w:rsidR="00681FC7" w:rsidRPr="00873B6C">
        <w:t xml:space="preserve"> this</w:t>
      </w:r>
      <w:r w:rsidRPr="00873B6C">
        <w:t xml:space="preserve"> access</w:t>
      </w:r>
      <w:r w:rsidR="00681FC7" w:rsidRPr="00873B6C">
        <w:t xml:space="preserve"> and</w:t>
      </w:r>
      <w:r w:rsidRPr="00873B6C">
        <w:t xml:space="preserve"> sent via the other access".</w:t>
      </w:r>
    </w:p>
    <w:p w14:paraId="3D0DED91" w14:textId="511D1E70" w:rsidR="007C2ADF" w:rsidRPr="00873B6C" w:rsidRDefault="007C2ADF" w:rsidP="007C2ADF">
      <w:pPr>
        <w:pStyle w:val="B1"/>
      </w:pPr>
      <w:r w:rsidRPr="00873B6C">
        <w:t>e)</w:t>
      </w:r>
      <w:r w:rsidRPr="00873B6C">
        <w:tab/>
        <w:t>"Traffic Descriptor: UDP traffic of Application-1", "Steering Mode: Load-Balancing, 3GPP=30%, non-3GPP=70%", "Steering Functionality: MPQUIC", "Transport Mode: Datagram mode 1":</w:t>
      </w:r>
    </w:p>
    <w:p w14:paraId="5A5F98FC" w14:textId="77777777" w:rsidR="007C2ADF" w:rsidRPr="00873B6C" w:rsidRDefault="007C2ADF" w:rsidP="00972E70">
      <w:pPr>
        <w:pStyle w:val="B2"/>
      </w:pPr>
      <w:r w:rsidRPr="00873B6C">
        <w:t>-</w:t>
      </w:r>
      <w:r w:rsidRPr="00873B6C">
        <w:tab/>
        <w:t>This rule means "send 30% of the UDP traffic of Application-1 to 3GPP access and 70% to non-3GPP access by using the MPQUIC functionality with the Datagram mode 1".</w:t>
      </w:r>
    </w:p>
    <w:p w14:paraId="5150CAF3" w14:textId="1BC045E7" w:rsidR="00F03116" w:rsidRPr="00873B6C" w:rsidRDefault="00F03116" w:rsidP="00F03116">
      <w:pPr>
        <w:pStyle w:val="B1"/>
      </w:pPr>
      <w:r w:rsidRPr="00873B6C">
        <w:t>f)</w:t>
      </w:r>
      <w:r w:rsidRPr="00873B6C">
        <w:tab/>
        <w:t>"Traffic Descriptor: com.example.app0, TCP", "Steering Mode: Redundant", "Steering Functionality: MPTCP":</w:t>
      </w:r>
    </w:p>
    <w:p w14:paraId="2386B960" w14:textId="77777777" w:rsidR="00F03116" w:rsidRPr="00873B6C" w:rsidRDefault="00F03116" w:rsidP="00972E70">
      <w:pPr>
        <w:pStyle w:val="B2"/>
      </w:pPr>
      <w:r w:rsidRPr="00873B6C">
        <w:t>-</w:t>
      </w:r>
      <w:r w:rsidRPr="00873B6C">
        <w:tab/>
        <w:t>This rule means "traffic duplication is applied by the MPTCP steering functionality to the TCP traffic of application com.example.app0 and 100% of the traffic is duplicated over both accesses".</w:t>
      </w:r>
    </w:p>
    <w:p w14:paraId="02825D56" w14:textId="4BE868D2" w:rsidR="00F03116" w:rsidRPr="00873B6C" w:rsidRDefault="00F03116" w:rsidP="00F03116">
      <w:pPr>
        <w:pStyle w:val="B1"/>
      </w:pPr>
      <w:r w:rsidRPr="00873B6C">
        <w:t>g)</w:t>
      </w:r>
      <w:r w:rsidRPr="00873B6C">
        <w:tab/>
        <w:t>"Traffic Descriptor: com.example.app1, TCP", "Steering Mode: Redundant, Primary Access=3GPP, Threshold Value for Packet Loss Rate: 0.1%", "Steering Functionality: MPTCP":</w:t>
      </w:r>
    </w:p>
    <w:p w14:paraId="5E436E54" w14:textId="77777777" w:rsidR="00F03116" w:rsidRPr="00873B6C" w:rsidRDefault="00F03116" w:rsidP="00972E70">
      <w:pPr>
        <w:pStyle w:val="B2"/>
      </w:pPr>
      <w:r w:rsidRPr="00873B6C">
        <w:t>-</w:t>
      </w:r>
      <w:r w:rsidRPr="00873B6C">
        <w:tab/>
        <w:t>This rule means "traffic duplication is applied to the TCP traffic of application com.example.app1. If the measured PLR exceeds 0.1% on both accesses, all matched traffic is duplicated on both accesses. If the measured PLR exceeds 0.1% on one access only (either 3GPP or non-3GPP access), all matched traffic is sent over the other access only. If the measured PLR does not exceed 0.1% on any access, all matched traffic is sent over 3GPP access only as this is the Primary Access".</w:t>
      </w:r>
    </w:p>
    <w:p w14:paraId="6A64D3AF" w14:textId="77777777" w:rsidR="00114986" w:rsidRPr="00873B6C" w:rsidRDefault="00114986" w:rsidP="00114986">
      <w:pPr>
        <w:pStyle w:val="B1"/>
      </w:pPr>
      <w:r w:rsidRPr="00873B6C">
        <w:t>h)</w:t>
      </w:r>
      <w:r w:rsidRPr="00873B6C">
        <w:tab/>
        <w:t>"Traffic Descriptor: com.example.app2, TCP", "Steering Mode: Redundant, Threshold Value for Packet Loss Rate: 0.1%", "Steering Functionality: MPTCP".</w:t>
      </w:r>
    </w:p>
    <w:p w14:paraId="3919CFB2" w14:textId="77777777" w:rsidR="00114986" w:rsidRPr="00873B6C" w:rsidRDefault="00114986" w:rsidP="00114986">
      <w:pPr>
        <w:pStyle w:val="B2"/>
      </w:pPr>
      <w:r w:rsidRPr="00873B6C">
        <w:t>-</w:t>
      </w:r>
      <w:r w:rsidRPr="00873B6C">
        <w:tab/>
        <w:t>This rule means "traffic duplication is applied to the TCP traffic of application com.example.app2. If the measured PLR exceeds 0.1% on both accesses, all matched traffic is duplicated and transmitted on both accesses. If the measured PLR exceeds 0.1% on one access only (either 3GPP or non-3GPP access), all matched traffic is sent over the other access only. If the measured PLR does not exceed 0.1% on any access, the UE or UPF selects the access based on their own implementation, e.g. the access with lower Packet Loss Rate to transmit all matched traffic".</w:t>
      </w:r>
    </w:p>
    <w:p w14:paraId="0E8D3737" w14:textId="77777777" w:rsidR="00D40151" w:rsidRPr="00873B6C" w:rsidRDefault="00D40151" w:rsidP="00D40151">
      <w:pPr>
        <w:pStyle w:val="Heading2"/>
      </w:pPr>
      <w:bookmarkStart w:id="4811" w:name="_CR5_33"/>
      <w:bookmarkStart w:id="4812" w:name="_Toc201157605"/>
      <w:bookmarkEnd w:id="4811"/>
      <w:r w:rsidRPr="00873B6C">
        <w:t>5.33</w:t>
      </w:r>
      <w:r w:rsidRPr="00873B6C">
        <w:tab/>
        <w:t>Support for Ultra Reliable Low Latency Communication</w:t>
      </w:r>
      <w:bookmarkEnd w:id="4805"/>
      <w:bookmarkEnd w:id="4806"/>
      <w:bookmarkEnd w:id="4807"/>
      <w:bookmarkEnd w:id="4808"/>
      <w:bookmarkEnd w:id="4809"/>
      <w:bookmarkEnd w:id="4810"/>
      <w:bookmarkEnd w:id="4812"/>
    </w:p>
    <w:p w14:paraId="5A8BE6C3" w14:textId="77777777" w:rsidR="00D40151" w:rsidRPr="00873B6C" w:rsidRDefault="00D40151" w:rsidP="00D40151">
      <w:pPr>
        <w:pStyle w:val="Heading3"/>
      </w:pPr>
      <w:bookmarkStart w:id="4813" w:name="_CR5_33_1"/>
      <w:bookmarkStart w:id="4814" w:name="_Toc20150153"/>
      <w:bookmarkStart w:id="4815" w:name="_Toc27846955"/>
      <w:bookmarkStart w:id="4816" w:name="_Toc36188086"/>
      <w:bookmarkStart w:id="4817" w:name="_Toc45183991"/>
      <w:bookmarkStart w:id="4818" w:name="_Toc47342833"/>
      <w:bookmarkStart w:id="4819" w:name="_Toc51769535"/>
      <w:bookmarkStart w:id="4820" w:name="_Toc201157606"/>
      <w:bookmarkEnd w:id="4813"/>
      <w:r w:rsidRPr="00873B6C">
        <w:t>5.33.1</w:t>
      </w:r>
      <w:r w:rsidRPr="00873B6C">
        <w:tab/>
        <w:t>General</w:t>
      </w:r>
      <w:bookmarkEnd w:id="4814"/>
      <w:bookmarkEnd w:id="4815"/>
      <w:bookmarkEnd w:id="4816"/>
      <w:bookmarkEnd w:id="4817"/>
      <w:bookmarkEnd w:id="4818"/>
      <w:bookmarkEnd w:id="4819"/>
      <w:bookmarkEnd w:id="4820"/>
    </w:p>
    <w:p w14:paraId="4420A001" w14:textId="77777777" w:rsidR="00D40151" w:rsidRPr="00873B6C" w:rsidRDefault="00D40151" w:rsidP="00D40151">
      <w:r w:rsidRPr="00873B6C">
        <w:t>The following features described in 5.33 may be used to enhance 5GS to support Ultra Reliable Low Latency Communication (URLLC):</w:t>
      </w:r>
    </w:p>
    <w:p w14:paraId="32A7260C" w14:textId="77777777" w:rsidR="00D40151" w:rsidRPr="00873B6C" w:rsidRDefault="00D40151" w:rsidP="00D40151">
      <w:pPr>
        <w:pStyle w:val="B1"/>
      </w:pPr>
      <w:r w:rsidRPr="00873B6C">
        <w:t>-</w:t>
      </w:r>
      <w:r w:rsidRPr="00873B6C">
        <w:tab/>
        <w:t>Redundant transmission for high reliability communication.</w:t>
      </w:r>
    </w:p>
    <w:p w14:paraId="516B7279" w14:textId="77777777" w:rsidR="00D40151" w:rsidRPr="00873B6C" w:rsidRDefault="00D40151" w:rsidP="00D40151">
      <w:r w:rsidRPr="00873B6C">
        <w:t>In this Release, URLLC applies to 3GPP access only.</w:t>
      </w:r>
    </w:p>
    <w:p w14:paraId="22137D2D" w14:textId="77777777" w:rsidR="00D40151" w:rsidRPr="00873B6C" w:rsidRDefault="00D40151" w:rsidP="00D40151">
      <w:r w:rsidRPr="00873B6C">
        <w:t>When a PDU Session is to serve URLLC QoS Flow, the UE and SMF should establish the PDU Session as always-on PDU Session as described in clause 5.6.13.</w:t>
      </w:r>
    </w:p>
    <w:p w14:paraId="60B5EC6E" w14:textId="77777777" w:rsidR="00D40151" w:rsidRPr="00873B6C" w:rsidRDefault="00D40151" w:rsidP="00D40151">
      <w:pPr>
        <w:pStyle w:val="NO"/>
      </w:pPr>
      <w:r w:rsidRPr="00873B6C">
        <w:t>NOTE 1:</w:t>
      </w:r>
      <w:r w:rsidRPr="00873B6C">
        <w:tab/>
        <w:t>How the UE knows whether a PDU Session is to serve a URLLC QoS Flow when triggering PDU Session establishment is up to UE implementation.</w:t>
      </w:r>
    </w:p>
    <w:p w14:paraId="3E3C23EF" w14:textId="77777777" w:rsidR="00D40151" w:rsidRPr="00873B6C" w:rsidRDefault="00D40151" w:rsidP="00D40151">
      <w:pPr>
        <w:pStyle w:val="NO"/>
      </w:pPr>
      <w:r w:rsidRPr="00873B6C">
        <w:lastRenderedPageBreak/>
        <w:t>NOTE 2:</w:t>
      </w:r>
      <w:r w:rsidRPr="00873B6C">
        <w:tab/>
        <w:t>No additional functionality is specified for URLLC in order to support Home Routed roaming scenario in this Release.</w:t>
      </w:r>
    </w:p>
    <w:p w14:paraId="243B57DA" w14:textId="77777777" w:rsidR="00D40151" w:rsidRPr="00873B6C" w:rsidRDefault="00D40151" w:rsidP="00D40151">
      <w:pPr>
        <w:pStyle w:val="Heading3"/>
      </w:pPr>
      <w:bookmarkStart w:id="4821" w:name="_CR5_33_2"/>
      <w:bookmarkStart w:id="4822" w:name="_Toc20150154"/>
      <w:bookmarkStart w:id="4823" w:name="_Toc27846956"/>
      <w:bookmarkStart w:id="4824" w:name="_Toc36188087"/>
      <w:bookmarkStart w:id="4825" w:name="_Toc45183992"/>
      <w:bookmarkStart w:id="4826" w:name="_Toc47342834"/>
      <w:bookmarkStart w:id="4827" w:name="_Toc51769536"/>
      <w:bookmarkStart w:id="4828" w:name="_Toc201157607"/>
      <w:bookmarkEnd w:id="4821"/>
      <w:r w:rsidRPr="00873B6C">
        <w:t>5.33.2</w:t>
      </w:r>
      <w:r w:rsidRPr="00873B6C">
        <w:tab/>
        <w:t>Redundant transmission for high reliability communication</w:t>
      </w:r>
      <w:bookmarkEnd w:id="4822"/>
      <w:bookmarkEnd w:id="4823"/>
      <w:bookmarkEnd w:id="4824"/>
      <w:bookmarkEnd w:id="4825"/>
      <w:bookmarkEnd w:id="4826"/>
      <w:bookmarkEnd w:id="4827"/>
      <w:bookmarkEnd w:id="4828"/>
    </w:p>
    <w:p w14:paraId="13A5F960" w14:textId="77777777" w:rsidR="00D40151" w:rsidRPr="00873B6C" w:rsidRDefault="00D40151" w:rsidP="00D40151">
      <w:pPr>
        <w:pStyle w:val="Heading4"/>
      </w:pPr>
      <w:bookmarkStart w:id="4829" w:name="_CR5_33_2_1"/>
      <w:bookmarkStart w:id="4830" w:name="_Toc20150155"/>
      <w:bookmarkStart w:id="4831" w:name="_Toc27846957"/>
      <w:bookmarkStart w:id="4832" w:name="_Toc36188088"/>
      <w:bookmarkStart w:id="4833" w:name="_Toc45183993"/>
      <w:bookmarkStart w:id="4834" w:name="_Toc47342835"/>
      <w:bookmarkStart w:id="4835" w:name="_Toc51769537"/>
      <w:bookmarkStart w:id="4836" w:name="_Toc201157608"/>
      <w:bookmarkEnd w:id="4829"/>
      <w:r w:rsidRPr="00873B6C">
        <w:t>5.33.2.1</w:t>
      </w:r>
      <w:r w:rsidRPr="00873B6C">
        <w:tab/>
        <w:t>Dual Connectivity based end to end Redundant User Plane Paths</w:t>
      </w:r>
      <w:bookmarkEnd w:id="4830"/>
      <w:bookmarkEnd w:id="4831"/>
      <w:bookmarkEnd w:id="4832"/>
      <w:bookmarkEnd w:id="4833"/>
      <w:bookmarkEnd w:id="4834"/>
      <w:bookmarkEnd w:id="4835"/>
      <w:bookmarkEnd w:id="4836"/>
    </w:p>
    <w:p w14:paraId="615C8DAC" w14:textId="77777777" w:rsidR="00D40151" w:rsidRPr="00873B6C" w:rsidRDefault="00D40151" w:rsidP="00D40151">
      <w:r w:rsidRPr="00873B6C">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873B6C" w:rsidRDefault="00D40151" w:rsidP="00D40151">
      <w:pPr>
        <w:pStyle w:val="NO"/>
      </w:pPr>
      <w:r w:rsidRPr="00873B6C">
        <w:t>NOTE 1:</w:t>
      </w:r>
      <w:r w:rsidRPr="00873B6C">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873B6C" w:rsidRDefault="00D40151" w:rsidP="00D40151">
      <w:pPr>
        <w:pStyle w:val="NO"/>
      </w:pPr>
      <w:r w:rsidRPr="00873B6C">
        <w:t>NOTE 2:</w:t>
      </w:r>
      <w:r w:rsidRPr="00873B6C">
        <w:tab/>
        <w:t>The following redundant network deployment aspects are within the responsibility of the operator and are not subject to 3GPP standardization:</w:t>
      </w:r>
    </w:p>
    <w:p w14:paraId="0345FAA6" w14:textId="186595AD" w:rsidR="00D40151" w:rsidRPr="00873B6C" w:rsidRDefault="00D40151" w:rsidP="00D40151">
      <w:pPr>
        <w:pStyle w:val="B4"/>
      </w:pPr>
      <w:r w:rsidRPr="00873B6C">
        <w:t>-</w:t>
      </w:r>
      <w:r w:rsidRPr="00873B6C">
        <w:tab/>
        <w:t>RAN supports dual connectivity</w:t>
      </w:r>
      <w:r w:rsidR="00472CD7" w:rsidRPr="00873B6C">
        <w:t xml:space="preserve"> and</w:t>
      </w:r>
      <w:r w:rsidRPr="00873B6C">
        <w:t xml:space="preserve"> there is sufficient RAN coverage for dual connectivity in the target area.</w:t>
      </w:r>
    </w:p>
    <w:p w14:paraId="2EAD5D9D" w14:textId="77777777" w:rsidR="00D40151" w:rsidRPr="00873B6C" w:rsidRDefault="00D40151" w:rsidP="00D40151">
      <w:pPr>
        <w:pStyle w:val="B4"/>
      </w:pPr>
      <w:r w:rsidRPr="00873B6C">
        <w:t>-</w:t>
      </w:r>
      <w:r w:rsidRPr="00873B6C">
        <w:tab/>
        <w:t>UEs support dual connectivity.</w:t>
      </w:r>
    </w:p>
    <w:p w14:paraId="4BED296D" w14:textId="77777777" w:rsidR="00D40151" w:rsidRPr="00873B6C" w:rsidRDefault="00D40151" w:rsidP="00D40151">
      <w:pPr>
        <w:pStyle w:val="B4"/>
      </w:pPr>
      <w:r w:rsidRPr="00873B6C">
        <w:t>-</w:t>
      </w:r>
      <w:r w:rsidRPr="00873B6C">
        <w:tab/>
        <w:t>The core network UPF deployment is aligned with RAN deployment and supports redundant user plane paths.</w:t>
      </w:r>
    </w:p>
    <w:p w14:paraId="645B1FD3" w14:textId="77777777" w:rsidR="00D40151" w:rsidRPr="00873B6C" w:rsidRDefault="00D40151" w:rsidP="00D40151">
      <w:pPr>
        <w:pStyle w:val="B4"/>
      </w:pPr>
      <w:r w:rsidRPr="00873B6C">
        <w:t>-</w:t>
      </w:r>
      <w:r w:rsidRPr="00873B6C">
        <w:tab/>
        <w:t>The underlying transport topology is aligned with the RAN and UPF deployment and supports redundant user plane paths.</w:t>
      </w:r>
    </w:p>
    <w:p w14:paraId="16E0CAB4" w14:textId="77777777" w:rsidR="00D40151" w:rsidRPr="00873B6C" w:rsidRDefault="00D40151" w:rsidP="00D40151">
      <w:pPr>
        <w:pStyle w:val="B4"/>
      </w:pPr>
      <w:r w:rsidRPr="00873B6C">
        <w:t>-</w:t>
      </w:r>
      <w:r w:rsidRPr="00873B6C">
        <w:tab/>
        <w:t>The physical network topology and geographical distribution of functions also supports the redundant user plane paths to the extent deemed necessary by the operator.</w:t>
      </w:r>
    </w:p>
    <w:p w14:paraId="48CD2831" w14:textId="77777777" w:rsidR="00D40151" w:rsidRPr="00873B6C" w:rsidRDefault="00D40151" w:rsidP="00D40151">
      <w:pPr>
        <w:pStyle w:val="B4"/>
      </w:pPr>
      <w:r w:rsidRPr="00873B6C">
        <w:t>-</w:t>
      </w:r>
      <w:r w:rsidRPr="00873B6C">
        <w:tab/>
        <w:t>The operation of the redundant user plane paths is made sufficiently independent, to the extent deemed necessary by the operator, e.g. independent power supplies.</w:t>
      </w:r>
    </w:p>
    <w:p w14:paraId="018BC09D" w14:textId="088CDD55" w:rsidR="00D40151" w:rsidRPr="00873B6C" w:rsidRDefault="00D40151" w:rsidP="00D40151">
      <w:r w:rsidRPr="00873B6C">
        <w:t xml:space="preserve">Figure 5.33.2.1-1 illustrates an example user plane resource configuration of dual PDU </w:t>
      </w:r>
      <w:r w:rsidR="009D14FB" w:rsidRPr="00873B6C">
        <w:t>S</w:t>
      </w:r>
      <w:r w:rsidRPr="00873B6C">
        <w:t>essions when redundancy is applied. One PDU Session spans from the UE via Master RAN</w:t>
      </w:r>
      <w:r w:rsidR="004001F9" w:rsidRPr="00873B6C">
        <w:t xml:space="preserve"> node</w:t>
      </w:r>
      <w:r w:rsidRPr="00873B6C">
        <w:t xml:space="preserve"> to UPF1 acting as the PDU Session Anchor</w:t>
      </w:r>
      <w:r w:rsidR="00472CD7" w:rsidRPr="00873B6C">
        <w:t xml:space="preserve"> and</w:t>
      </w:r>
      <w:r w:rsidRPr="00873B6C">
        <w:t xml:space="preserve"> the other PDU Session spans from the UE via Secondary RAN</w:t>
      </w:r>
      <w:r w:rsidR="004001F9" w:rsidRPr="00873B6C">
        <w:t xml:space="preserve"> node</w:t>
      </w:r>
      <w:r w:rsidRPr="00873B6C">
        <w:t xml:space="preserve"> to UPF2 acting as the PDU Session Anchor. As described in </w:t>
      </w:r>
      <w:r w:rsidR="00972E70" w:rsidRPr="00873B6C">
        <w:t>TS 37.340 [</w:t>
      </w:r>
      <w:r w:rsidRPr="00873B6C">
        <w:t xml:space="preserve">31], NG-RAN may realize redundant user plane resources for the two PDU </w:t>
      </w:r>
      <w:r w:rsidR="009D14FB" w:rsidRPr="00873B6C">
        <w:t>S</w:t>
      </w:r>
      <w:r w:rsidRPr="00873B6C">
        <w:t>essions with two NG-RAN nodes (i.e. Master RAN</w:t>
      </w:r>
      <w:r w:rsidR="004001F9" w:rsidRPr="00873B6C">
        <w:t xml:space="preserve"> node</w:t>
      </w:r>
      <w:r w:rsidRPr="00873B6C">
        <w:t xml:space="preserve"> and Secondary RAN</w:t>
      </w:r>
      <w:r w:rsidR="004001F9" w:rsidRPr="00873B6C">
        <w:t xml:space="preserve"> node</w:t>
      </w:r>
      <w:r w:rsidRPr="00873B6C">
        <w:t xml:space="preserve"> as shown in Figure 5.33.2.1-1) or a single NG-RAN node. In both cases, there is a single N1 interface towards AMF.</w:t>
      </w:r>
    </w:p>
    <w:p w14:paraId="6968EE38" w14:textId="77777777" w:rsidR="00D40151" w:rsidRPr="00873B6C" w:rsidRDefault="00D40151" w:rsidP="00D40151">
      <w:r w:rsidRPr="00873B6C">
        <w:t>Based on these two PDU Sessions, two independent user plane paths are set up. UPF1 and UPF2 connect to the same Data Network (DN), even though the traffic via UPF1 and UPF2 may be routed via different user plane nodes within the DN.</w:t>
      </w:r>
    </w:p>
    <w:p w14:paraId="7987DA78" w14:textId="61BE34C9" w:rsidR="00D40151" w:rsidRPr="00873B6C" w:rsidRDefault="00D40151" w:rsidP="00D40151">
      <w:r w:rsidRPr="00873B6C">
        <w:t xml:space="preserve">In order to establish two redundant PDU </w:t>
      </w:r>
      <w:r w:rsidR="009D14FB" w:rsidRPr="00873B6C">
        <w:t>S</w:t>
      </w:r>
      <w:r w:rsidRPr="00873B6C">
        <w:t xml:space="preserve">essions and associate the duplicated traffic coming from the same application to these PDU </w:t>
      </w:r>
      <w:r w:rsidR="009D14FB" w:rsidRPr="00873B6C">
        <w:t>S</w:t>
      </w:r>
      <w:r w:rsidRPr="00873B6C">
        <w:t>essions, URSP</w:t>
      </w:r>
      <w:r w:rsidR="00B93E3D" w:rsidRPr="00873B6C">
        <w:t xml:space="preserve"> as specified in </w:t>
      </w:r>
      <w:r w:rsidR="00972E70" w:rsidRPr="00873B6C">
        <w:t>TS 23.503 [</w:t>
      </w:r>
      <w:r w:rsidR="00B93E3D" w:rsidRPr="00873B6C">
        <w:t>45] may be used, or alternatively the UE may perform this task independently from URSP</w:t>
      </w:r>
      <w:r w:rsidRPr="00873B6C">
        <w:t>.</w:t>
      </w:r>
    </w:p>
    <w:p w14:paraId="1ACCC942" w14:textId="139F2DA8" w:rsidR="00B93E3D" w:rsidRPr="00873B6C" w:rsidRDefault="00B93E3D" w:rsidP="00D40151">
      <w:r w:rsidRPr="00873B6C">
        <w:t xml:space="preserve">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w:t>
      </w:r>
      <w:r w:rsidR="00972E70" w:rsidRPr="00873B6C">
        <w:t>TS 23.503 [</w:t>
      </w:r>
      <w:r w:rsidRPr="00873B6C">
        <w:t>45].</w:t>
      </w:r>
    </w:p>
    <w:p w14:paraId="1DF32031" w14:textId="77777777" w:rsidR="00B93E3D" w:rsidRPr="00873B6C" w:rsidRDefault="00B93E3D" w:rsidP="00D40151">
      <w:r w:rsidRPr="00873B6C">
        <w:lastRenderedPageBreak/>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873B6C" w:rsidRDefault="00B93E3D" w:rsidP="00562E84">
      <w:pPr>
        <w:pStyle w:val="NO"/>
      </w:pPr>
      <w:r w:rsidRPr="00873B6C">
        <w:t>NOTE 3:</w:t>
      </w:r>
      <w:r w:rsidRPr="00873B6C">
        <w:tab/>
        <w:t>As an example, the UE may use the implementation of FRER (Frame Replication and Elimination for Reliability), IEEE Std 802.1CB-2017 [83], in the UE's operating system.</w:t>
      </w:r>
    </w:p>
    <w:p w14:paraId="40B9645F" w14:textId="1FC5DEF7" w:rsidR="00B93E3D" w:rsidRPr="00873B6C" w:rsidRDefault="00B93E3D" w:rsidP="00D40151">
      <w:r w:rsidRPr="00873B6C">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873B6C" w:rsidRDefault="00D40151" w:rsidP="00D40151">
      <w:r w:rsidRPr="00873B6C">
        <w:t>The redundant user plane set up applies to both IP and Ethernet PDU Sessions.</w:t>
      </w:r>
    </w:p>
    <w:bookmarkStart w:id="4837" w:name="_MON_1615375242"/>
    <w:bookmarkEnd w:id="4837"/>
    <w:p w14:paraId="6EC49938" w14:textId="77777777" w:rsidR="00D40151" w:rsidRPr="00873B6C" w:rsidRDefault="00D40151" w:rsidP="00D40151">
      <w:pPr>
        <w:pStyle w:val="TH"/>
      </w:pPr>
      <w:r w:rsidRPr="00873B6C">
        <w:object w:dxaOrig="5070" w:dyaOrig="3618" w14:anchorId="2C5E72CE">
          <v:shape id="_x0000_i1113" type="#_x0000_t75" style="width:256.05pt;height:184.05pt" o:ole="">
            <v:imagedata r:id="rId185" o:title=""/>
          </v:shape>
          <o:OLEObject Type="Embed" ProgID="Word.Picture.8" ShapeID="_x0000_i1113" DrawAspect="Content" ObjectID="_1811772447" r:id="rId186"/>
        </w:object>
      </w:r>
    </w:p>
    <w:p w14:paraId="0736DA61" w14:textId="77777777" w:rsidR="00D40151" w:rsidRPr="00873B6C" w:rsidRDefault="00D40151" w:rsidP="00D40151">
      <w:pPr>
        <w:pStyle w:val="TF"/>
      </w:pPr>
      <w:bookmarkStart w:id="4838" w:name="_CRFigure5_33_2_11"/>
      <w:r w:rsidRPr="00873B6C">
        <w:t xml:space="preserve">Figure </w:t>
      </w:r>
      <w:bookmarkEnd w:id="4838"/>
      <w:r w:rsidRPr="00873B6C">
        <w:t>5.33.2.1-1: Example scenario for end to end redundant User Plane paths using Dual Connectivity</w:t>
      </w:r>
    </w:p>
    <w:p w14:paraId="5E647767" w14:textId="77777777" w:rsidR="00D40151" w:rsidRPr="00873B6C" w:rsidRDefault="00D40151" w:rsidP="00D40151">
      <w:r w:rsidRPr="00873B6C">
        <w:t>Support of redundant PDU Sessions include:</w:t>
      </w:r>
    </w:p>
    <w:p w14:paraId="399945E7" w14:textId="6299B4D0" w:rsidR="00B93E3D" w:rsidRPr="00873B6C" w:rsidRDefault="00B93E3D" w:rsidP="00D40151">
      <w:pPr>
        <w:pStyle w:val="B1"/>
      </w:pPr>
      <w:r w:rsidRPr="00873B6C">
        <w:t>-</w:t>
      </w:r>
      <w:r w:rsidRPr="00873B6C">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873B6C" w:rsidRDefault="00B93E3D" w:rsidP="00562E84">
      <w:pPr>
        <w:pStyle w:val="B2"/>
      </w:pPr>
      <w:r w:rsidRPr="00873B6C">
        <w:t>-</w:t>
      </w:r>
      <w:r w:rsidRPr="00873B6C">
        <w:tab/>
        <w:t>The UE may include a PDU Session Pair ID and/or RSN in each of the PDU Session establishment Request when it establishes redundant PDU Sessions. UE determines</w:t>
      </w:r>
      <w:r w:rsidR="0010039C" w:rsidRPr="00873B6C">
        <w:t xml:space="preserve"> the PDU Session</w:t>
      </w:r>
      <w:r w:rsidRPr="00873B6C">
        <w:t xml:space="preserve"> Pair ID and/or RSN based on UE local mechanism or the matched URSP rules.</w:t>
      </w:r>
    </w:p>
    <w:p w14:paraId="3DDD90E0" w14:textId="3C77A480" w:rsidR="00D40151" w:rsidRPr="00873B6C" w:rsidRDefault="00D40151" w:rsidP="00D40151">
      <w:pPr>
        <w:pStyle w:val="B1"/>
      </w:pPr>
      <w:r w:rsidRPr="00873B6C">
        <w:t>-</w:t>
      </w:r>
      <w:r w:rsidRPr="00873B6C">
        <w:tab/>
        <w:t>The SMF determines whether the PDU Session is to be handled redundantly. The determination is based on the</w:t>
      </w:r>
      <w:r w:rsidR="009D14FB" w:rsidRPr="00873B6C">
        <w:t xml:space="preserve"> </w:t>
      </w:r>
      <w:r w:rsidR="00B93E3D" w:rsidRPr="00873B6C">
        <w:t xml:space="preserve">presence of the PDU Session Pair ID and/or RSN in the PDU Session Establishment Request or the determination is based on an </w:t>
      </w:r>
      <w:r w:rsidR="009D14FB" w:rsidRPr="00873B6C">
        <w:t>indication that redundant PDU Session is required</w:t>
      </w:r>
      <w:r w:rsidRPr="00873B6C">
        <w:t xml:space="preserve"> provided by PCF for the PDU Session,</w:t>
      </w:r>
      <w:r w:rsidR="009D14FB" w:rsidRPr="00873B6C">
        <w:t xml:space="preserve"> if dynamic PCC applies for the PDU Session or the</w:t>
      </w:r>
      <w:r w:rsidRPr="00873B6C">
        <w:t xml:space="preserve"> combination of the S-NSSAI, DNN, user subscription and local policy configuration</w:t>
      </w:r>
      <w:r w:rsidR="009D14FB" w:rsidRPr="00873B6C">
        <w:t xml:space="preserve"> in the SMF if dynamic PCC is not used for the PDU Session.</w:t>
      </w:r>
      <w:r w:rsidR="00B93E3D" w:rsidRPr="00873B6C">
        <w:t xml:space="preserve"> If the PDU session is to be handled redundantly and the PDU Session Pair ID was not included in the PDU Session Establishment request, the SMF uses S-NSSAI, DNN and local configuration to determine the PDU Session Pair ID.</w:t>
      </w:r>
      <w:r w:rsidR="009D14FB" w:rsidRPr="00873B6C">
        <w:t xml:space="preserve"> If the PDU session is to be handled redundantly</w:t>
      </w:r>
      <w:r w:rsidR="00B93E3D" w:rsidRPr="00873B6C">
        <w:t xml:space="preserve"> and RSN was not included in the PDU Session Establishment request</w:t>
      </w:r>
      <w:r w:rsidR="009D14FB" w:rsidRPr="00873B6C">
        <w:t>, the</w:t>
      </w:r>
      <w:r w:rsidRPr="00873B6C">
        <w:t xml:space="preserve"> SMF uses</w:t>
      </w:r>
      <w:r w:rsidR="009D14FB" w:rsidRPr="00873B6C">
        <w:t xml:space="preserve"> S-NSSAI, DNN</w:t>
      </w:r>
      <w:r w:rsidRPr="00873B6C">
        <w:t xml:space="preserve"> to determine the RSN </w:t>
      </w:r>
      <w:r w:rsidR="009D14FB" w:rsidRPr="00873B6C">
        <w:t>value</w:t>
      </w:r>
      <w:r w:rsidR="00B93E3D" w:rsidRPr="00873B6C">
        <w:t>. The RSN</w:t>
      </w:r>
      <w:r w:rsidRPr="00873B6C">
        <w:t xml:space="preserve"> differentiates the PDU Sessions that are handled redundantly and indicates redundant user plane requirements for the PDU Sessions in NG-RAN.</w:t>
      </w:r>
    </w:p>
    <w:p w14:paraId="70B68A62" w14:textId="516EAC0E" w:rsidR="00B93E3D" w:rsidRPr="00873B6C" w:rsidRDefault="00B93E3D" w:rsidP="00D40151">
      <w:pPr>
        <w:pStyle w:val="B1"/>
      </w:pPr>
      <w:r w:rsidRPr="00873B6C">
        <w:t>-</w:t>
      </w:r>
      <w:r w:rsidRPr="00873B6C">
        <w:tab/>
        <w:t xml:space="preserve">The SMF </w:t>
      </w:r>
      <w:r w:rsidR="00C25C3D" w:rsidRPr="00873B6C">
        <w:t xml:space="preserve">shall provide </w:t>
      </w:r>
      <w:r w:rsidRPr="00873B6C">
        <w:t>the</w:t>
      </w:r>
      <w:r w:rsidR="00C25C3D" w:rsidRPr="00873B6C">
        <w:t xml:space="preserve"> RSN and</w:t>
      </w:r>
      <w:r w:rsidRPr="00873B6C">
        <w:t xml:space="preserve"> PDU Session Pair ID to the NG-RAN for a redundant PDU Session.</w:t>
      </w:r>
    </w:p>
    <w:p w14:paraId="780BB4B1" w14:textId="41583A04" w:rsidR="00D40151" w:rsidRPr="00873B6C" w:rsidRDefault="00D40151" w:rsidP="00D40151">
      <w:pPr>
        <w:pStyle w:val="B1"/>
      </w:pPr>
      <w:r w:rsidRPr="00873B6C">
        <w:t>-</w:t>
      </w:r>
      <w:r w:rsidRPr="00873B6C">
        <w:tab/>
        <w:t>Operator configuration of UPF selection ensures the appropriate UPF selection for disjoint paths.</w:t>
      </w:r>
    </w:p>
    <w:p w14:paraId="741FE9E7" w14:textId="247DF988" w:rsidR="00D40151" w:rsidRPr="00873B6C" w:rsidRDefault="00D40151" w:rsidP="00D40151">
      <w:pPr>
        <w:pStyle w:val="B1"/>
      </w:pPr>
      <w:r w:rsidRPr="00873B6C">
        <w:t>-</w:t>
      </w:r>
      <w:r w:rsidRPr="00873B6C">
        <w:tab/>
        <w:t xml:space="preserve">At establishment of the PDU Sessions or at transitions to CM-CONNECTED state, the RSN parameter indicates to NG-RAN that redundant user plane resources shall be provided for the given PDU </w:t>
      </w:r>
      <w:r w:rsidR="009D14FB" w:rsidRPr="00873B6C">
        <w:t>S</w:t>
      </w:r>
      <w:r w:rsidRPr="00873B6C">
        <w:t>essions by means of dual connectivity.</w:t>
      </w:r>
      <w:r w:rsidR="00B93E3D" w:rsidRPr="00873B6C">
        <w:t xml:space="preserve"> The PDU Session Pair ID identifies the two redundant PDU Sessions that belong together.</w:t>
      </w:r>
      <w:r w:rsidRPr="00873B6C">
        <w:t xml:space="preserve"> The </w:t>
      </w:r>
      <w:r w:rsidRPr="00873B6C">
        <w:lastRenderedPageBreak/>
        <w:t>value of the RSN parameter</w:t>
      </w:r>
      <w:r w:rsidR="00B93E3D" w:rsidRPr="00873B6C">
        <w:t xml:space="preserve"> and the PDU Session Pair ID</w:t>
      </w:r>
      <w:r w:rsidRPr="00873B6C">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873B6C">
        <w:t>, the PDU Session Pair ID</w:t>
      </w:r>
      <w:r w:rsidRPr="00873B6C">
        <w:t xml:space="preserve"> and RAN configuration, the NG-RAN sets up dual connectivity as defined in </w:t>
      </w:r>
      <w:r w:rsidR="00972E70" w:rsidRPr="00873B6C">
        <w:t>TS 37.340 [</w:t>
      </w:r>
      <w:r w:rsidRPr="00873B6C">
        <w:t>31] so that the sessions have end to end redundant paths. When there are multiple PDU Sessions with the RSN parameter set</w:t>
      </w:r>
      <w:r w:rsidR="00B93E3D" w:rsidRPr="00873B6C">
        <w:t>, of</w:t>
      </w:r>
      <w:r w:rsidRPr="00873B6C">
        <w:t xml:space="preserve"> different values of RSN</w:t>
      </w:r>
      <w:r w:rsidR="00B93E3D" w:rsidRPr="00873B6C">
        <w:t xml:space="preserve"> and the same PDU Session Pair ID</w:t>
      </w:r>
      <w:r w:rsidRPr="00873B6C">
        <w:t>, this indicates to NG-RAN that CN is requesting dual connectivity to be set up and the user plane shall be handled as indicated by the RSN parameter</w:t>
      </w:r>
      <w:r w:rsidR="00B93E3D" w:rsidRPr="00873B6C">
        <w:t>, the PDU Session Pair ID</w:t>
      </w:r>
      <w:r w:rsidRPr="00873B6C">
        <w:t xml:space="preserve"> and the associated RAN configuration. If the RSN value</w:t>
      </w:r>
      <w:r w:rsidR="00B93E3D" w:rsidRPr="00873B6C">
        <w:t xml:space="preserve"> and PDU Session Pair ID are</w:t>
      </w:r>
      <w:r w:rsidRPr="00873B6C">
        <w:t xml:space="preserve"> provided to the NG-RAN, NG-RAN shall consider the RSN value</w:t>
      </w:r>
      <w:r w:rsidR="00B93E3D" w:rsidRPr="00873B6C">
        <w:t xml:space="preserve"> and PDU Session Pair ID</w:t>
      </w:r>
      <w:r w:rsidRPr="00873B6C">
        <w:t xml:space="preserve"> when it associates the PDU Sessions with NG-RAN UP.</w:t>
      </w:r>
    </w:p>
    <w:p w14:paraId="075D29A6" w14:textId="77777777" w:rsidR="00D40151" w:rsidRPr="00873B6C" w:rsidRDefault="00D40151" w:rsidP="00D40151">
      <w:pPr>
        <w:pStyle w:val="NO"/>
      </w:pPr>
      <w:r w:rsidRPr="00873B6C">
        <w:t>NOTE 4:</w:t>
      </w:r>
      <w:r w:rsidRPr="00873B6C">
        <w:tab/>
        <w:t>The decision to set up dual connectivity remains in NG-RAN as defined today. NG-RAN takes into account the additional request for the dual connectivity setup provided by the CN.</w:t>
      </w:r>
    </w:p>
    <w:p w14:paraId="1C1379FB" w14:textId="783EBAD8" w:rsidR="00D40151" w:rsidRPr="00873B6C" w:rsidRDefault="00D40151" w:rsidP="00D40151">
      <w:pPr>
        <w:pStyle w:val="B1"/>
      </w:pPr>
      <w:r w:rsidRPr="00873B6C">
        <w:t>-</w:t>
      </w:r>
      <w:r w:rsidRPr="00873B6C">
        <w:tab/>
        <w:t>Using NG-RAN local configuration, NG-RAN determines whether the request to establish RAN resources for a PDU Session is fulfilled or not considering user plane requirements indicated by the RSN parameter</w:t>
      </w:r>
      <w:r w:rsidR="00B93E3D" w:rsidRPr="00873B6C">
        <w:t xml:space="preserve"> and the PDU Session Pair ID</w:t>
      </w:r>
      <w:r w:rsidRPr="00873B6C">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873B6C">
        <w:t xml:space="preserve"> and the PDU Session Pair ID</w:t>
      </w:r>
      <w:r w:rsidRPr="00873B6C">
        <w:t xml:space="preserve"> can no longer be maintained and SMF can use that to determine if the PDU Session should be released.</w:t>
      </w:r>
    </w:p>
    <w:p w14:paraId="323B6043" w14:textId="135710D4" w:rsidR="00D40151" w:rsidRPr="00873B6C" w:rsidRDefault="00D40151" w:rsidP="00D40151">
      <w:pPr>
        <w:pStyle w:val="B1"/>
      </w:pPr>
      <w:r w:rsidRPr="00873B6C">
        <w:t>-</w:t>
      </w:r>
      <w:r w:rsidRPr="00873B6C">
        <w:tab/>
        <w:t>In the case of Ethernet PDU Sessions, the SMF has the possibility to change the UPF (acting as the PSA) and select a new UPF based on the identity of the Secondary RAN</w:t>
      </w:r>
      <w:r w:rsidR="004001F9" w:rsidRPr="00873B6C">
        <w:t xml:space="preserve"> node</w:t>
      </w:r>
      <w:r w:rsidRPr="00873B6C">
        <w:t xml:space="preserve"> for the second PDU Session if the Secondary RAN</w:t>
      </w:r>
      <w:r w:rsidR="004001F9" w:rsidRPr="00873B6C">
        <w:t xml:space="preserve"> node</w:t>
      </w:r>
      <w:r w:rsidRPr="00873B6C">
        <w:t xml:space="preserve"> is modified (or added/released), using the Ethernet PDU Session Anchor Relocation procedure described in clause 4.3.5.8 of </w:t>
      </w:r>
      <w:r w:rsidR="00972E70" w:rsidRPr="00873B6C">
        <w:t>TS 23.502 [</w:t>
      </w:r>
      <w:r w:rsidRPr="00873B6C">
        <w:t>3].</w:t>
      </w:r>
    </w:p>
    <w:p w14:paraId="2AE8A828" w14:textId="77777777" w:rsidR="00D40151" w:rsidRPr="00873B6C" w:rsidRDefault="00D40151" w:rsidP="00D40151">
      <w:pPr>
        <w:pStyle w:val="B1"/>
      </w:pPr>
      <w:r w:rsidRPr="00873B6C">
        <w:t>-</w:t>
      </w:r>
      <w:r w:rsidRPr="00873B6C">
        <w:tab/>
        <w:t>The SMF's charging record may reflect the RSN information.</w:t>
      </w:r>
    </w:p>
    <w:p w14:paraId="3A87DAC0" w14:textId="358983D6" w:rsidR="00D40151" w:rsidRPr="00873B6C" w:rsidRDefault="00D40151" w:rsidP="00D40151">
      <w:pPr>
        <w:pStyle w:val="B1"/>
      </w:pPr>
      <w:r w:rsidRPr="00873B6C">
        <w:t>-</w:t>
      </w:r>
      <w:r w:rsidRPr="00873B6C">
        <w:tab/>
        <w:t xml:space="preserve">The RSN </w:t>
      </w:r>
      <w:r w:rsidR="00B93E3D" w:rsidRPr="00873B6C">
        <w:t xml:space="preserve">parameter and the PDU Session Pair ID, if available, </w:t>
      </w:r>
      <w:r w:rsidRPr="00873B6C">
        <w:t>is transferred from Source NG-RAN to Target NG-RAN in the case of handover.</w:t>
      </w:r>
    </w:p>
    <w:p w14:paraId="08DFD7E3" w14:textId="77777777" w:rsidR="00D40151" w:rsidRPr="00873B6C" w:rsidRDefault="00D40151" w:rsidP="00D40151">
      <w:pPr>
        <w:pStyle w:val="Heading4"/>
      </w:pPr>
      <w:bookmarkStart w:id="4839" w:name="_CR5_33_2_2"/>
      <w:bookmarkStart w:id="4840" w:name="_Toc20150156"/>
      <w:bookmarkStart w:id="4841" w:name="_Toc27846958"/>
      <w:bookmarkStart w:id="4842" w:name="_Toc36188089"/>
      <w:bookmarkStart w:id="4843" w:name="_Toc45183994"/>
      <w:bookmarkStart w:id="4844" w:name="_Toc47342836"/>
      <w:bookmarkStart w:id="4845" w:name="_Toc51769538"/>
      <w:bookmarkStart w:id="4846" w:name="_Toc201157609"/>
      <w:bookmarkEnd w:id="4839"/>
      <w:r w:rsidRPr="00873B6C">
        <w:t>5.33.2.2</w:t>
      </w:r>
      <w:r w:rsidRPr="00873B6C">
        <w:tab/>
        <w:t>Support of redundant transmission on N3/N9 interfaces</w:t>
      </w:r>
      <w:bookmarkEnd w:id="4840"/>
      <w:bookmarkEnd w:id="4841"/>
      <w:bookmarkEnd w:id="4842"/>
      <w:bookmarkEnd w:id="4843"/>
      <w:bookmarkEnd w:id="4844"/>
      <w:bookmarkEnd w:id="4845"/>
      <w:bookmarkEnd w:id="4846"/>
    </w:p>
    <w:p w14:paraId="0E69D4AB" w14:textId="231A13AD" w:rsidR="00D40151" w:rsidRPr="00873B6C" w:rsidRDefault="00D40151" w:rsidP="00D40151">
      <w:pPr>
        <w:rPr>
          <w:lang w:eastAsia="x-none"/>
        </w:rPr>
      </w:pPr>
      <w:r w:rsidRPr="00873B6C">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873B6C">
        <w:rPr>
          <w:lang w:eastAsia="x-none"/>
        </w:rPr>
        <w:t xml:space="preserve"> SMF may make use of Redundant Transmission Experience analytics provided by NWDAF, as described in clause 6.13 of </w:t>
      </w:r>
      <w:r w:rsidR="00972E70" w:rsidRPr="00873B6C">
        <w:rPr>
          <w:lang w:eastAsia="x-none"/>
        </w:rPr>
        <w:t>TS 23.288 [</w:t>
      </w:r>
      <w:r w:rsidR="00F92505" w:rsidRPr="00873B6C">
        <w:rPr>
          <w:lang w:eastAsia="x-none"/>
        </w:rPr>
        <w:t>86], to determine whether redundant transmission for the PDU session of the URLLC shall be performed or (if activated) shall be stopped.</w:t>
      </w:r>
    </w:p>
    <w:p w14:paraId="0D105640" w14:textId="53AEFEBD" w:rsidR="00D40151" w:rsidRPr="00873B6C" w:rsidRDefault="00D40151" w:rsidP="00D40151">
      <w:pPr>
        <w:rPr>
          <w:lang w:eastAsia="x-none"/>
        </w:rPr>
      </w:pPr>
      <w:r w:rsidRPr="00873B6C">
        <w:rPr>
          <w:lang w:eastAsia="x-none"/>
        </w:rPr>
        <w:t>To ensure the two N3 tunnels are transferred via disjointed transport layer paths, the SMF or PSA UPF should provide different routing information in the tunnel information (e.g. different IP addresses or different Network Instances)</w:t>
      </w:r>
      <w:r w:rsidR="00472CD7" w:rsidRPr="00873B6C">
        <w:rPr>
          <w:lang w:eastAsia="x-none"/>
        </w:rPr>
        <w:t xml:space="preserve"> and</w:t>
      </w:r>
      <w:r w:rsidRPr="00873B6C">
        <w:rPr>
          <w:lang w:eastAsia="x-none"/>
        </w:rPr>
        <w:t xml:space="preserve">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873B6C">
        <w:rPr>
          <w:lang w:eastAsia="x-none"/>
        </w:rPr>
        <w:t>QoS Flow</w:t>
      </w:r>
      <w:r w:rsidRPr="00873B6C">
        <w:rPr>
          <w:lang w:eastAsia="x-none"/>
        </w:rPr>
        <w:t xml:space="preserve"> granularity and are sharing the same QoS Flow ID.</w:t>
      </w:r>
    </w:p>
    <w:p w14:paraId="46C99C95" w14:textId="7CB6939C" w:rsidR="00D40151" w:rsidRPr="00873B6C" w:rsidRDefault="00D40151" w:rsidP="00D40151">
      <w:pPr>
        <w:rPr>
          <w:lang w:eastAsia="x-none"/>
        </w:rPr>
      </w:pPr>
      <w:r w:rsidRPr="00873B6C">
        <w:rPr>
          <w:lang w:eastAsia="x-none"/>
        </w:rPr>
        <w:t xml:space="preserve">During or after a URLLC </w:t>
      </w:r>
      <w:r w:rsidR="00426DE4" w:rsidRPr="00873B6C">
        <w:rPr>
          <w:lang w:eastAsia="x-none"/>
        </w:rPr>
        <w:t>QoS Flow</w:t>
      </w:r>
      <w:r w:rsidRPr="00873B6C">
        <w:rPr>
          <w:lang w:eastAsia="x-none"/>
        </w:rPr>
        <w:t xml:space="preserve"> establishment, if the SMF decided that redundant transmission shall be performed based on authorized 5QI, NG-RAN node capability</w:t>
      </w:r>
      <w:r w:rsidR="00F92505" w:rsidRPr="00873B6C">
        <w:rPr>
          <w:lang w:eastAsia="x-none"/>
        </w:rPr>
        <w:t>,</w:t>
      </w:r>
      <w:r w:rsidRPr="00873B6C">
        <w:rPr>
          <w:lang w:eastAsia="x-none"/>
        </w:rPr>
        <w:t xml:space="preserve"> operator configuration</w:t>
      </w:r>
      <w:r w:rsidR="00F92505" w:rsidRPr="00873B6C">
        <w:rPr>
          <w:lang w:eastAsia="x-none"/>
        </w:rPr>
        <w:t xml:space="preserve"> and/or Redundant Transmission Experience analytics</w:t>
      </w:r>
      <w:r w:rsidRPr="00873B6C">
        <w:rPr>
          <w:lang w:eastAsia="x-none"/>
        </w:rPr>
        <w:t>, the SMF informs the PSA UPF and NG-RAN to perform redundant transmission via N4 interface and N2 information accordingly. In this case, NG-RAN should also provide different routing information in the tunnel information (e.g. different IP addresses)</w:t>
      </w:r>
      <w:r w:rsidR="00472CD7" w:rsidRPr="00873B6C">
        <w:rPr>
          <w:lang w:eastAsia="x-none"/>
        </w:rPr>
        <w:t xml:space="preserve"> and</w:t>
      </w:r>
      <w:r w:rsidRPr="00873B6C">
        <w:rPr>
          <w:lang w:eastAsia="x-none"/>
        </w:rPr>
        <w:t xml:space="preserve"> these routing information should be mapped to disjoint transport layer paths according to network deployment configuration.</w:t>
      </w:r>
    </w:p>
    <w:p w14:paraId="3F88D6F9" w14:textId="77777777" w:rsidR="00D40151" w:rsidRPr="00873B6C" w:rsidRDefault="00D40151" w:rsidP="00D40151">
      <w:pPr>
        <w:pStyle w:val="NO"/>
      </w:pPr>
      <w:r w:rsidRPr="00873B6C">
        <w:t>NOTE 1:</w:t>
      </w:r>
      <w:r w:rsidRPr="00873B6C">
        <w:tab/>
        <w:t>The NG-RAN node capability to support the redundant transmission on N3/N9 can be configured in the SMF per network slice or per SMF service area.</w:t>
      </w:r>
    </w:p>
    <w:p w14:paraId="7FABD5EF" w14:textId="77777777" w:rsidR="00D40151" w:rsidRPr="00873B6C" w:rsidRDefault="00D40151" w:rsidP="00D40151">
      <w:pPr>
        <w:rPr>
          <w:lang w:eastAsia="x-none"/>
        </w:rPr>
      </w:pPr>
      <w:r w:rsidRPr="00873B6C">
        <w:rPr>
          <w:lang w:eastAsia="x-none"/>
        </w:rPr>
        <w:t xml:space="preserve">If duplication transmission is performed on N3/N9 interface, for each downlink packet of the QoS Flow the PSA UPF received from DN, the PSA UPF replicates the packet and assigns the same GTP-U sequence number to them for the </w:t>
      </w:r>
      <w:r w:rsidRPr="00873B6C">
        <w:rPr>
          <w:lang w:eastAsia="x-none"/>
        </w:rPr>
        <w:lastRenderedPageBreak/>
        <w:t>redundant transmission. The NG-RAN eliminates the duplicated packets based on the GTP-U sequence number and then forwards the PDU to the UE.</w:t>
      </w:r>
    </w:p>
    <w:p w14:paraId="7E3B3CF6" w14:textId="77777777" w:rsidR="00D40151" w:rsidRPr="00873B6C" w:rsidRDefault="00D40151" w:rsidP="00D40151">
      <w:pPr>
        <w:rPr>
          <w:lang w:eastAsia="x-none"/>
        </w:rPr>
      </w:pPr>
      <w:r w:rsidRPr="00873B6C">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873B6C" w:rsidRDefault="00D40151" w:rsidP="00D40151">
      <w:pPr>
        <w:pStyle w:val="NO"/>
      </w:pPr>
      <w:r w:rsidRPr="00873B6C">
        <w:t>NOTE 2:</w:t>
      </w:r>
      <w:r w:rsidRPr="00873B6C">
        <w:tab/>
        <w:t>How to realize the sequence number for support of GTP-U duplication over N3/N9 is up to stage 3.</w:t>
      </w:r>
    </w:p>
    <w:p w14:paraId="00A2435B" w14:textId="77777777" w:rsidR="00D40151" w:rsidRPr="00873B6C" w:rsidRDefault="00D40151" w:rsidP="00D40151">
      <w:pPr>
        <w:pStyle w:val="NO"/>
      </w:pPr>
      <w:r w:rsidRPr="00873B6C">
        <w:t>NOTE 3:</w:t>
      </w:r>
      <w:r w:rsidRPr="00873B6C">
        <w:tab/>
        <w:t>For redundant transmission on N3/N9 interfaces, reordering is not required on the receiver side.</w:t>
      </w:r>
    </w:p>
    <w:p w14:paraId="6BFEB51A" w14:textId="77777777" w:rsidR="00D40151" w:rsidRPr="00873B6C" w:rsidRDefault="00D40151" w:rsidP="00D40151">
      <w:pPr>
        <w:rPr>
          <w:lang w:eastAsia="x-none"/>
        </w:rPr>
      </w:pPr>
      <w:r w:rsidRPr="00873B6C">
        <w:rPr>
          <w:lang w:eastAsia="x-none"/>
        </w:rPr>
        <w:t>The PSA UPF and NG-RAN may transmit packets via one or both of the tunnels per QoS Flow based on SMF instruction.</w:t>
      </w:r>
    </w:p>
    <w:p w14:paraId="25768562" w14:textId="77777777" w:rsidR="00D40151" w:rsidRPr="00873B6C" w:rsidRDefault="00D40151" w:rsidP="00D40151">
      <w:pPr>
        <w:pStyle w:val="NO"/>
      </w:pPr>
      <w:r w:rsidRPr="00873B6C">
        <w:t>NOTE 4:</w:t>
      </w:r>
      <w:r w:rsidRPr="00873B6C">
        <w:tab/>
        <w:t>The AMF selects an SMF supporting redundant transmission based on the requested S-NSSAI and/or DNN.</w:t>
      </w:r>
    </w:p>
    <w:p w14:paraId="4EE7C503" w14:textId="4A1EABFA" w:rsidR="00D40151" w:rsidRPr="00873B6C" w:rsidRDefault="00D40151" w:rsidP="00D40151">
      <w:pPr>
        <w:rPr>
          <w:lang w:eastAsia="x-none"/>
        </w:rPr>
      </w:pPr>
      <w:r w:rsidRPr="00873B6C">
        <w:rPr>
          <w:lang w:eastAsia="x-none"/>
        </w:rPr>
        <w:t xml:space="preserve">During UE mobility, when the UE moves from NG-RAN supporting redundant transmission to NG-RAN not supporting redundant transmission, the SMF may release the </w:t>
      </w:r>
      <w:r w:rsidR="00426DE4" w:rsidRPr="00873B6C">
        <w:rPr>
          <w:lang w:eastAsia="x-none"/>
        </w:rPr>
        <w:t>QoS Flow</w:t>
      </w:r>
      <w:r w:rsidRPr="00873B6C">
        <w:rPr>
          <w:lang w:eastAsia="x-none"/>
        </w:rPr>
        <w:t xml:space="preserve"> which are subject to redundant transmission.</w:t>
      </w:r>
    </w:p>
    <w:p w14:paraId="2C7DD7B6" w14:textId="77777777" w:rsidR="00D40151" w:rsidRPr="00873B6C" w:rsidRDefault="00D40151" w:rsidP="00D40151">
      <w:r w:rsidRPr="00873B6C">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873B6C" w:rsidRDefault="00D40151" w:rsidP="00D40151">
      <w:pPr>
        <w:pStyle w:val="TH"/>
      </w:pPr>
      <w:r w:rsidRPr="00873B6C">
        <w:object w:dxaOrig="6968" w:dyaOrig="2108" w14:anchorId="3E672393">
          <v:shape id="_x0000_i1114" type="#_x0000_t75" style="width:346.85pt;height:105.2pt" o:ole="">
            <v:imagedata r:id="rId187" o:title=""/>
          </v:shape>
          <o:OLEObject Type="Embed" ProgID="Visio.Drawing.11" ShapeID="_x0000_i1114" DrawAspect="Content" ObjectID="_1811772448" r:id="rId188"/>
        </w:object>
      </w:r>
    </w:p>
    <w:p w14:paraId="2B3E2DD1" w14:textId="77777777" w:rsidR="00D40151" w:rsidRPr="00873B6C" w:rsidRDefault="00D40151" w:rsidP="00D40151">
      <w:pPr>
        <w:pStyle w:val="TF"/>
      </w:pPr>
      <w:bookmarkStart w:id="4847" w:name="_CRFigure5_33_2_21"/>
      <w:r w:rsidRPr="00873B6C">
        <w:t xml:space="preserve">Figure </w:t>
      </w:r>
      <w:bookmarkEnd w:id="4847"/>
      <w:r w:rsidRPr="00873B6C">
        <w:t>5.33.2.2-1: Redundant transmission with two N3 tunnels between the PSA UPF and a single NG-RAN node</w:t>
      </w:r>
    </w:p>
    <w:p w14:paraId="0B708093" w14:textId="77777777" w:rsidR="00D40151" w:rsidRPr="00873B6C" w:rsidRDefault="00D40151" w:rsidP="00D40151">
      <w:pPr>
        <w:rPr>
          <w:lang w:eastAsia="x-none"/>
        </w:rPr>
      </w:pPr>
      <w:r w:rsidRPr="00873B6C">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873B6C" w:rsidRDefault="00D40151" w:rsidP="00D40151">
      <w:pPr>
        <w:pStyle w:val="TH"/>
      </w:pPr>
      <w:r w:rsidRPr="00873B6C">
        <w:object w:dxaOrig="8333" w:dyaOrig="1996" w14:anchorId="15CC96F8">
          <v:shape id="_x0000_i1115" type="#_x0000_t75" style="width:416.35pt;height:96.4pt" o:ole="">
            <v:imagedata r:id="rId189" o:title=""/>
          </v:shape>
          <o:OLEObject Type="Embed" ProgID="Visio.Drawing.11" ShapeID="_x0000_i1115" DrawAspect="Content" ObjectID="_1811772449" r:id="rId190"/>
        </w:object>
      </w:r>
    </w:p>
    <w:p w14:paraId="260654E4" w14:textId="77777777" w:rsidR="00D40151" w:rsidRPr="00873B6C" w:rsidRDefault="00D40151" w:rsidP="00D40151">
      <w:pPr>
        <w:pStyle w:val="TF"/>
      </w:pPr>
      <w:bookmarkStart w:id="4848" w:name="_CRFigure5_33_2_22"/>
      <w:r w:rsidRPr="00873B6C">
        <w:t xml:space="preserve">Figure </w:t>
      </w:r>
      <w:bookmarkEnd w:id="4848"/>
      <w:r w:rsidRPr="00873B6C">
        <w:t>5.33.2.2-2: Two N3 and N9 tunnels between NG-RAN and PSA UPF for redundant transmission</w:t>
      </w:r>
    </w:p>
    <w:p w14:paraId="5BF36826" w14:textId="62E2128F" w:rsidR="00D40151" w:rsidRPr="00873B6C" w:rsidRDefault="00D40151" w:rsidP="00D40151">
      <w:pPr>
        <w:rPr>
          <w:lang w:eastAsia="x-none"/>
        </w:rPr>
      </w:pPr>
      <w:r w:rsidRPr="00873B6C">
        <w:rPr>
          <w:lang w:eastAsia="x-none"/>
        </w:rPr>
        <w:t xml:space="preserve">In figure 5.33.2.2-2, there are two N3 and N9 tunnels between NG-RAN and PSA UPF for the URLLC QoS Flow(s) of the same PDU Session for redundant transmission established during or after a URLLC </w:t>
      </w:r>
      <w:r w:rsidR="00426DE4" w:rsidRPr="00873B6C">
        <w:rPr>
          <w:lang w:eastAsia="x-none"/>
        </w:rPr>
        <w:t>QoS Flow</w:t>
      </w:r>
      <w:r w:rsidRPr="00873B6C">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w:t>
      </w:r>
      <w:r w:rsidRPr="00873B6C">
        <w:rPr>
          <w:lang w:eastAsia="x-none"/>
        </w:rPr>
        <w:lastRenderedPageBreak/>
        <w:t>the same GTP-U sequence number which receives from the NG-RAN to PSA UPF via N9 Tunnel 1 and N9 Tunnel 2 respectively. The PSA UPF eliminates the duplicated packets based on the GTP-U sequence number.</w:t>
      </w:r>
    </w:p>
    <w:p w14:paraId="23EF51EC" w14:textId="77777777" w:rsidR="00D40151" w:rsidRPr="00873B6C" w:rsidRDefault="00D40151" w:rsidP="00D40151">
      <w:pPr>
        <w:rPr>
          <w:lang w:eastAsia="x-none"/>
        </w:rPr>
      </w:pPr>
      <w:r w:rsidRPr="00873B6C">
        <w:rPr>
          <w:lang w:eastAsia="x-none"/>
        </w:rPr>
        <w:t>The I-UPFs inserted on one leg of the redundant paths shall not behave in an UL CL or Branching Point role.</w:t>
      </w:r>
    </w:p>
    <w:p w14:paraId="2F269597" w14:textId="77777777" w:rsidR="00D40151" w:rsidRPr="00873B6C" w:rsidRDefault="00D40151" w:rsidP="00D40151">
      <w:pPr>
        <w:pStyle w:val="Heading4"/>
      </w:pPr>
      <w:bookmarkStart w:id="4849" w:name="_CR5_33_2_3"/>
      <w:bookmarkStart w:id="4850" w:name="_Toc20150157"/>
      <w:bookmarkStart w:id="4851" w:name="_Toc27846959"/>
      <w:bookmarkStart w:id="4852" w:name="_Toc36188090"/>
      <w:bookmarkStart w:id="4853" w:name="_Toc45183995"/>
      <w:bookmarkStart w:id="4854" w:name="_Toc47342837"/>
      <w:bookmarkStart w:id="4855" w:name="_Toc51769539"/>
      <w:bookmarkStart w:id="4856" w:name="_Toc201157610"/>
      <w:bookmarkEnd w:id="4849"/>
      <w:r w:rsidRPr="00873B6C">
        <w:t>5.33.2.3</w:t>
      </w:r>
      <w:r w:rsidRPr="00873B6C">
        <w:tab/>
        <w:t>Support for redundant transmission at transport layer</w:t>
      </w:r>
      <w:bookmarkEnd w:id="4850"/>
      <w:bookmarkEnd w:id="4851"/>
      <w:bookmarkEnd w:id="4852"/>
      <w:bookmarkEnd w:id="4853"/>
      <w:bookmarkEnd w:id="4854"/>
      <w:bookmarkEnd w:id="4855"/>
      <w:bookmarkEnd w:id="4856"/>
    </w:p>
    <w:p w14:paraId="764586F0" w14:textId="77777777" w:rsidR="00D40151" w:rsidRPr="00873B6C" w:rsidRDefault="00D40151" w:rsidP="00D40151">
      <w:pPr>
        <w:rPr>
          <w:lang w:eastAsia="x-none"/>
        </w:rPr>
      </w:pPr>
      <w:r w:rsidRPr="00873B6C">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873B6C" w:rsidRDefault="00D40151" w:rsidP="00D40151">
      <w:pPr>
        <w:rPr>
          <w:lang w:eastAsia="x-none"/>
        </w:rPr>
      </w:pPr>
      <w:r w:rsidRPr="00873B6C">
        <w:rPr>
          <w:lang w:eastAsia="x-none"/>
        </w:rPr>
        <w:t>Following are the required steps:</w:t>
      </w:r>
    </w:p>
    <w:p w14:paraId="680BA1FE" w14:textId="77777777" w:rsidR="00D40151" w:rsidRPr="00873B6C" w:rsidRDefault="00D40151" w:rsidP="00D40151">
      <w:pPr>
        <w:pStyle w:val="B1"/>
      </w:pPr>
      <w:r w:rsidRPr="00873B6C">
        <w:t>-</w:t>
      </w:r>
      <w:r w:rsidRPr="00873B6C">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873B6C" w:rsidRDefault="00D40151" w:rsidP="00D40151">
      <w:pPr>
        <w:pStyle w:val="B1"/>
      </w:pPr>
      <w:r w:rsidRPr="00873B6C">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873B6C" w:rsidRDefault="00D40151" w:rsidP="00D40151">
      <w:pPr>
        <w:pStyle w:val="B1"/>
      </w:pPr>
      <w:r w:rsidRPr="00873B6C">
        <w:t>-</w:t>
      </w:r>
      <w:r w:rsidRPr="00873B6C">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873B6C" w:rsidRDefault="00D40151" w:rsidP="00D40151">
      <w:pPr>
        <w:pStyle w:val="B1"/>
      </w:pPr>
      <w:r w:rsidRPr="00873B6C">
        <w:t>-</w:t>
      </w:r>
      <w:r w:rsidRPr="00873B6C">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465546CA" w:rsidR="00D40151" w:rsidRPr="00873B6C" w:rsidRDefault="00D40151" w:rsidP="00D40151">
      <w:pPr>
        <w:pStyle w:val="Heading3"/>
      </w:pPr>
      <w:bookmarkStart w:id="4857" w:name="_CR5_33_3"/>
      <w:bookmarkStart w:id="4858" w:name="_Toc20150158"/>
      <w:bookmarkStart w:id="4859" w:name="_Toc27846960"/>
      <w:bookmarkStart w:id="4860" w:name="_Toc36188091"/>
      <w:bookmarkStart w:id="4861" w:name="_Toc45183996"/>
      <w:bookmarkStart w:id="4862" w:name="_Toc47342838"/>
      <w:bookmarkStart w:id="4863" w:name="_Toc51769540"/>
      <w:bookmarkStart w:id="4864" w:name="_Toc201157611"/>
      <w:bookmarkEnd w:id="4857"/>
      <w:r w:rsidRPr="00873B6C">
        <w:t>5.33.3</w:t>
      </w:r>
      <w:r w:rsidRPr="00873B6C">
        <w:tab/>
        <w:t>QoS Monitoring</w:t>
      </w:r>
      <w:r w:rsidR="003D4653" w:rsidRPr="00873B6C">
        <w:t xml:space="preserve"> for packet delay</w:t>
      </w:r>
      <w:bookmarkEnd w:id="4858"/>
      <w:bookmarkEnd w:id="4859"/>
      <w:bookmarkEnd w:id="4860"/>
      <w:bookmarkEnd w:id="4861"/>
      <w:bookmarkEnd w:id="4862"/>
      <w:bookmarkEnd w:id="4863"/>
      <w:bookmarkEnd w:id="4864"/>
    </w:p>
    <w:p w14:paraId="7427C7F4" w14:textId="77777777" w:rsidR="00D40151" w:rsidRPr="00873B6C" w:rsidRDefault="00D40151" w:rsidP="00D40151">
      <w:pPr>
        <w:pStyle w:val="Heading4"/>
      </w:pPr>
      <w:bookmarkStart w:id="4865" w:name="_CR5_33_3_1"/>
      <w:bookmarkStart w:id="4866" w:name="_Toc20150159"/>
      <w:bookmarkStart w:id="4867" w:name="_Toc27846961"/>
      <w:bookmarkStart w:id="4868" w:name="_Toc36188092"/>
      <w:bookmarkStart w:id="4869" w:name="_Toc45183997"/>
      <w:bookmarkStart w:id="4870" w:name="_Toc47342839"/>
      <w:bookmarkStart w:id="4871" w:name="_Toc51769541"/>
      <w:bookmarkStart w:id="4872" w:name="_Toc201157612"/>
      <w:bookmarkEnd w:id="4865"/>
      <w:r w:rsidRPr="00873B6C">
        <w:t>5.33.3.1</w:t>
      </w:r>
      <w:r w:rsidRPr="00873B6C">
        <w:tab/>
        <w:t>General</w:t>
      </w:r>
      <w:bookmarkEnd w:id="4866"/>
      <w:bookmarkEnd w:id="4867"/>
      <w:bookmarkEnd w:id="4868"/>
      <w:bookmarkEnd w:id="4869"/>
      <w:bookmarkEnd w:id="4870"/>
      <w:bookmarkEnd w:id="4871"/>
      <w:bookmarkEnd w:id="4872"/>
    </w:p>
    <w:p w14:paraId="352ECD4F" w14:textId="3011DB3E" w:rsidR="00D40151" w:rsidRPr="00873B6C" w:rsidRDefault="00D40151" w:rsidP="00D40151">
      <w:pPr>
        <w:rPr>
          <w:lang w:eastAsia="x-none"/>
        </w:rPr>
      </w:pPr>
      <w:r w:rsidRPr="00873B6C">
        <w:rPr>
          <w:lang w:eastAsia="x-none"/>
        </w:rPr>
        <w:t>QoS Monitoring for packet delay</w:t>
      </w:r>
      <w:r w:rsidR="003D4653" w:rsidRPr="00873B6C">
        <w:rPr>
          <w:lang w:eastAsia="x-none"/>
        </w:rPr>
        <w:t xml:space="preserve"> can be applied based on 3rd party application request or PCF policy control</w:t>
      </w:r>
      <w:r w:rsidR="0029208C" w:rsidRPr="00873B6C">
        <w:rPr>
          <w:lang w:eastAsia="x-none"/>
        </w:rPr>
        <w:t xml:space="preserve"> or both</w:t>
      </w:r>
      <w:r w:rsidR="003D4653" w:rsidRPr="00873B6C">
        <w:rPr>
          <w:lang w:eastAsia="x-none"/>
        </w:rPr>
        <w:t>, e.g. to assist URLLC services</w:t>
      </w:r>
      <w:r w:rsidRPr="00873B6C">
        <w:rPr>
          <w:lang w:eastAsia="x-none"/>
        </w:rPr>
        <w:t xml:space="preserve">. The packet delay between UE and PSA UPF is a combination of the RAN part of UL/DL packet delay as defined in </w:t>
      </w:r>
      <w:r w:rsidR="00972E70" w:rsidRPr="00873B6C">
        <w:rPr>
          <w:lang w:eastAsia="x-none"/>
        </w:rPr>
        <w:t>TS 38.314 [</w:t>
      </w:r>
      <w:r w:rsidRPr="00873B6C">
        <w:rPr>
          <w:lang w:eastAsia="x-none"/>
        </w:rPr>
        <w:t xml:space="preserve">120] and UL/DL packet delay between NG-RAN and PSA UPF. The NG-RAN is required to provide the QoS </w:t>
      </w:r>
      <w:r w:rsidR="003D4653" w:rsidRPr="00873B6C">
        <w:rPr>
          <w:lang w:eastAsia="x-none"/>
        </w:rPr>
        <w:t>m</w:t>
      </w:r>
      <w:r w:rsidRPr="00873B6C">
        <w:rPr>
          <w:lang w:eastAsia="x-none"/>
        </w:rPr>
        <w:t>onitoring</w:t>
      </w:r>
      <w:r w:rsidR="003D4653" w:rsidRPr="00873B6C">
        <w:rPr>
          <w:lang w:eastAsia="x-none"/>
        </w:rPr>
        <w:t xml:space="preserve"> results</w:t>
      </w:r>
      <w:r w:rsidRPr="00873B6C">
        <w:rPr>
          <w:lang w:eastAsia="x-none"/>
        </w:rPr>
        <w:t xml:space="preserve"> on the RAN part of UL/DL packet delay measurement. The</w:t>
      </w:r>
      <w:r w:rsidR="003D4653" w:rsidRPr="00873B6C">
        <w:rPr>
          <w:lang w:eastAsia="x-none"/>
        </w:rPr>
        <w:t xml:space="preserve"> measurement of the</w:t>
      </w:r>
      <w:r w:rsidRPr="00873B6C">
        <w:rPr>
          <w:lang w:eastAsia="x-none"/>
        </w:rPr>
        <w:t xml:space="preserve"> UL/DL packet delay between NG-RAN and PSA UPF can be performed on different levels of granularities, i.e. per QoS Flow per UE level, or per GTP-U path level, subject to the operators' configuration.</w:t>
      </w:r>
    </w:p>
    <w:p w14:paraId="5F87184E" w14:textId="00897253" w:rsidR="00D40151" w:rsidRPr="00873B6C" w:rsidRDefault="00D40151" w:rsidP="00D40151">
      <w:pPr>
        <w:rPr>
          <w:lang w:eastAsia="x-none"/>
        </w:rPr>
      </w:pPr>
      <w:bookmarkStart w:id="4873" w:name="_Toc20150160"/>
      <w:bookmarkStart w:id="4874" w:name="_Toc27846962"/>
      <w:r w:rsidRPr="00873B6C">
        <w:rPr>
          <w:lang w:eastAsia="x-none"/>
        </w:rPr>
        <w:t>The PCF generates the authorized QoS Monitoring policy for a service data flow based on the QoS Monitoring request received from the AF</w:t>
      </w:r>
      <w:r w:rsidR="003D4653" w:rsidRPr="00873B6C">
        <w:rPr>
          <w:lang w:eastAsia="x-none"/>
        </w:rPr>
        <w:t xml:space="preserve"> (as described in clause 6.1.3.21 of </w:t>
      </w:r>
      <w:r w:rsidR="00972E70" w:rsidRPr="00873B6C">
        <w:rPr>
          <w:lang w:eastAsia="x-none"/>
        </w:rPr>
        <w:t>TS 23.503 [</w:t>
      </w:r>
      <w:r w:rsidR="003D4653" w:rsidRPr="00873B6C">
        <w:rPr>
          <w:lang w:eastAsia="x-none"/>
        </w:rPr>
        <w:t>45])</w:t>
      </w:r>
      <w:r w:rsidRPr="00873B6C">
        <w:rPr>
          <w:lang w:eastAsia="x-none"/>
        </w:rPr>
        <w:t>. The PCF includes the authorized QoS Monitoring policy in the PCC rule and provides it to the SMF.</w:t>
      </w:r>
    </w:p>
    <w:p w14:paraId="669C0C5D" w14:textId="566D102A" w:rsidR="003D4653" w:rsidRPr="00873B6C" w:rsidRDefault="003D4653" w:rsidP="003D4653">
      <w:pPr>
        <w:rPr>
          <w:lang w:eastAsia="x-none"/>
        </w:rPr>
      </w:pPr>
      <w:bookmarkStart w:id="4875" w:name="_Toc36188093"/>
      <w:bookmarkStart w:id="4876" w:name="_Toc45183998"/>
      <w:bookmarkStart w:id="4877" w:name="_Toc47342840"/>
      <w:bookmarkStart w:id="4878" w:name="_Toc51769542"/>
      <w:r w:rsidRPr="00873B6C">
        <w:rPr>
          <w:lang w:eastAsia="x-none"/>
        </w:rPr>
        <w:t>When SMF receives the authorized QoS Monitoring policy for packet delay</w:t>
      </w:r>
      <w:r w:rsidR="0029208C" w:rsidRPr="00873B6C">
        <w:rPr>
          <w:lang w:eastAsia="x-none"/>
        </w:rPr>
        <w:t xml:space="preserve"> in a PCC rule from the PCF (as described in clause 6.1.3.21 of TS 23.503 [45])</w:t>
      </w:r>
      <w:r w:rsidRPr="00873B6C">
        <w:rPr>
          <w:lang w:eastAsia="x-none"/>
        </w:rPr>
        <w:t>, SMF configures the UPF(s) and NG-RAN to perform delay measurements according to the method selected: per QoS Flow per UE QoS measurement (as described in clause 5.33.3.2) or per GTP-U Path measurement (as described in clause 5.33.3.3). The SMF configure the UPF to report the QoS monitoring results for the QoS Flow as described in clause 5.8.2.18 with parameters determined by the SMF based on the authorized QoS Monitoring policy received from the PCF and/or local configuration.</w:t>
      </w:r>
    </w:p>
    <w:p w14:paraId="23C5B779" w14:textId="77777777" w:rsidR="003D4653" w:rsidRPr="00873B6C" w:rsidRDefault="003D4653" w:rsidP="003D4653">
      <w:pPr>
        <w:rPr>
          <w:lang w:eastAsia="x-none"/>
        </w:rPr>
      </w:pPr>
      <w:r w:rsidRPr="00873B6C">
        <w:rPr>
          <w:lang w:eastAsia="x-none"/>
        </w:rPr>
        <w:t>The UPF reporting behaviour for QoS Monitoring for packet delay of a QoS Flow is the same when per QoS Flow per UE level measurement (described further in clause 5.33.3.2) or when per GTP-U path level measurement (described further in clause 5.33.3.3) is used.</w:t>
      </w:r>
    </w:p>
    <w:p w14:paraId="5CBC428C" w14:textId="61EC9959" w:rsidR="00D40151" w:rsidRPr="00873B6C" w:rsidRDefault="00D40151" w:rsidP="00D40151">
      <w:pPr>
        <w:pStyle w:val="Heading4"/>
      </w:pPr>
      <w:bookmarkStart w:id="4879" w:name="_CR5_33_3_2"/>
      <w:bookmarkStart w:id="4880" w:name="_Toc201157613"/>
      <w:bookmarkEnd w:id="4879"/>
      <w:r w:rsidRPr="00873B6C">
        <w:t>5.33.3.2</w:t>
      </w:r>
      <w:r w:rsidRPr="00873B6C">
        <w:tab/>
        <w:t>Per QoS Flow per UE QoS</w:t>
      </w:r>
      <w:r w:rsidR="003D4653" w:rsidRPr="00873B6C">
        <w:t xml:space="preserve"> Measurement</w:t>
      </w:r>
      <w:bookmarkEnd w:id="4873"/>
      <w:bookmarkEnd w:id="4874"/>
      <w:bookmarkEnd w:id="4875"/>
      <w:bookmarkEnd w:id="4876"/>
      <w:bookmarkEnd w:id="4877"/>
      <w:bookmarkEnd w:id="4878"/>
      <w:bookmarkEnd w:id="4880"/>
    </w:p>
    <w:p w14:paraId="3D51E960" w14:textId="77777777" w:rsidR="00D40151" w:rsidRPr="00873B6C" w:rsidRDefault="00D40151" w:rsidP="00D40151">
      <w:pPr>
        <w:rPr>
          <w:lang w:eastAsia="x-none"/>
        </w:rPr>
      </w:pPr>
      <w:r w:rsidRPr="00873B6C">
        <w:rPr>
          <w:lang w:eastAsia="x-none"/>
        </w:rPr>
        <w:t>SMF may activate the end to end UL/DL packet delay measurement between UE and PSA UPF for a QoS Flow during the PDU Session Establishment or Modification procedure.</w:t>
      </w:r>
    </w:p>
    <w:p w14:paraId="0A72CCAA" w14:textId="77777777" w:rsidR="00D40151" w:rsidRPr="00873B6C" w:rsidRDefault="00D40151" w:rsidP="00D40151">
      <w:pPr>
        <w:rPr>
          <w:lang w:eastAsia="x-none"/>
        </w:rPr>
      </w:pPr>
      <w:r w:rsidRPr="00873B6C">
        <w:rPr>
          <w:lang w:eastAsia="x-none"/>
        </w:rPr>
        <w:lastRenderedPageBreak/>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873B6C" w:rsidRDefault="00D40151" w:rsidP="00D40151">
      <w:pPr>
        <w:rPr>
          <w:lang w:eastAsia="x-none"/>
        </w:rPr>
      </w:pPr>
      <w:r w:rsidRPr="00873B6C">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873B6C" w:rsidRDefault="00D40151" w:rsidP="00D40151">
      <w:pPr>
        <w:rPr>
          <w:lang w:eastAsia="x-none"/>
        </w:rPr>
      </w:pPr>
      <w:r w:rsidRPr="00873B6C">
        <w:rPr>
          <w:lang w:eastAsia="x-none"/>
        </w:rPr>
        <w:t>If the NG-RAN and PSA UPF are time synchronised, the one way packet delay monitoring between NG-RAN and PSA UPF is supported.</w:t>
      </w:r>
    </w:p>
    <w:p w14:paraId="49D39332" w14:textId="3BBBA659" w:rsidR="00D40151" w:rsidRPr="00873B6C" w:rsidRDefault="00D40151" w:rsidP="00D40151">
      <w:pPr>
        <w:rPr>
          <w:lang w:eastAsia="x-none"/>
        </w:rPr>
      </w:pPr>
      <w:r w:rsidRPr="00873B6C">
        <w:rPr>
          <w:lang w:eastAsia="x-none"/>
        </w:rPr>
        <w:t xml:space="preserve">If the NG-RAN and PSA UPF are not time synchronised, it is assumed that the UL packet delay and the DL packet delay between NG-RAN and PSA UPF </w:t>
      </w:r>
      <w:r w:rsidR="008A60FE" w:rsidRPr="00873B6C">
        <w:rPr>
          <w:lang w:eastAsia="x-none"/>
        </w:rPr>
        <w:t xml:space="preserve">are </w:t>
      </w:r>
      <w:r w:rsidRPr="00873B6C">
        <w:rPr>
          <w:lang w:eastAsia="x-none"/>
        </w:rPr>
        <w:t>the same.</w:t>
      </w:r>
    </w:p>
    <w:p w14:paraId="54C2CF69" w14:textId="322D4139" w:rsidR="00D40151" w:rsidRPr="00873B6C" w:rsidRDefault="00D40151" w:rsidP="00D40151">
      <w:pPr>
        <w:rPr>
          <w:lang w:eastAsia="x-none"/>
        </w:rPr>
      </w:pPr>
      <w:r w:rsidRPr="00873B6C">
        <w:rPr>
          <w:lang w:eastAsia="x-none"/>
        </w:rPr>
        <w:t>For both time synchronised and not time synchronised between NG-RAN and PSA UPF, the PSA UPF creates and sends the monitoring packets to the RAN</w:t>
      </w:r>
      <w:r w:rsidR="003A2901" w:rsidRPr="00873B6C">
        <w:rPr>
          <w:lang w:eastAsia="x-none"/>
        </w:rPr>
        <w:t xml:space="preserve"> in a measurement frequency, decided by the PSA UPF, taking the Reporting frequency for QoS Monitoring received from the SMF into account</w:t>
      </w:r>
      <w:r w:rsidRPr="00873B6C">
        <w:rPr>
          <w:lang w:eastAsia="x-none"/>
        </w:rPr>
        <w:t>:</w:t>
      </w:r>
    </w:p>
    <w:p w14:paraId="509BDEB6" w14:textId="77777777" w:rsidR="00D40151" w:rsidRPr="00873B6C" w:rsidRDefault="00D40151" w:rsidP="00D40151">
      <w:pPr>
        <w:pStyle w:val="B1"/>
      </w:pPr>
      <w:r w:rsidRPr="00873B6C">
        <w:t>-</w:t>
      </w:r>
      <w:r w:rsidRPr="00873B6C">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873B6C" w:rsidRDefault="00D40151" w:rsidP="00D40151">
      <w:pPr>
        <w:pStyle w:val="B1"/>
      </w:pPr>
      <w:r w:rsidRPr="00873B6C">
        <w:t>-</w:t>
      </w:r>
      <w:r w:rsidRPr="00873B6C">
        <w:tab/>
        <w:t>The NG-RAN records the local time T1 received in the GTP-U header and the local time T2 at the reception of the DL monitoring packets.</w:t>
      </w:r>
    </w:p>
    <w:p w14:paraId="6F4F5B06" w14:textId="77777777" w:rsidR="00D40151" w:rsidRPr="00873B6C" w:rsidRDefault="00D40151" w:rsidP="00D40151">
      <w:pPr>
        <w:pStyle w:val="B1"/>
      </w:pPr>
      <w:r w:rsidRPr="00873B6C">
        <w:t>-</w:t>
      </w:r>
      <w:r w:rsidRPr="00873B6C">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873B6C" w:rsidRDefault="00D40151" w:rsidP="00D40151">
      <w:pPr>
        <w:pStyle w:val="NO"/>
      </w:pPr>
      <w:r w:rsidRPr="00873B6C">
        <w:t>NOTE</w:t>
      </w:r>
      <w:r w:rsidR="008A60FE" w:rsidRPr="00873B6C">
        <w:t> 1</w:t>
      </w:r>
      <w:r w:rsidRPr="00873B6C">
        <w:t>:</w:t>
      </w:r>
      <w:r w:rsidRPr="00873B6C">
        <w:tab/>
        <w:t>When the NG-RAN sends the dummy UL packet as monitoring response to PSA UPF depends on NG-RAN's implementation.</w:t>
      </w:r>
    </w:p>
    <w:p w14:paraId="5D14C197" w14:textId="2927AE03" w:rsidR="00D40151" w:rsidRPr="00873B6C" w:rsidRDefault="00D40151" w:rsidP="00D40151">
      <w:pPr>
        <w:pStyle w:val="B1"/>
      </w:pPr>
      <w:r w:rsidRPr="00873B6C">
        <w:t>-</w:t>
      </w:r>
      <w:r w:rsidRPr="00873B6C">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873B6C">
        <w:t xml:space="preserve"> </w:t>
      </w:r>
      <w:r w:rsidRPr="00873B6C">
        <w:t>response</w:t>
      </w:r>
      <w:r w:rsidR="008A60FE" w:rsidRPr="00873B6C">
        <w:t xml:space="preserve"> </w:t>
      </w:r>
      <w:r w:rsidRPr="00873B6C">
        <w:t xml:space="preserve">packet. </w:t>
      </w:r>
      <w:r w:rsidR="008A60FE" w:rsidRPr="00873B6C">
        <w:t xml:space="preserve">If the NG-RAN and PSA UPF are not time synchronised, the </w:t>
      </w:r>
      <w:r w:rsidRPr="00873B6C">
        <w:t>PSA UPF calculates the UL/DL packet delay between the NG-RAN and the PSA UPF based on the (T2-T1+T4-T3)/2.</w:t>
      </w:r>
      <w:r w:rsidR="008A60FE" w:rsidRPr="00873B6C">
        <w:t xml:space="preserve"> If the NG-RAN and PSA UPF are time synchronised, the PSA UPF calculates the UL packet delay and DL packet delay between the NG-RAN and the PSA UPF based on (T4-T3) and (T2-T1), respectively.</w:t>
      </w:r>
      <w:r w:rsidRPr="00873B6C">
        <w:t xml:space="preserve"> The PSA UPF calculates the UL/DL packet delay between UE and PSA UPF based on the received RAN part of UL/DL packet delay result and the calculated UL/DL packet delay between RAN and PSA UPF.</w:t>
      </w:r>
    </w:p>
    <w:p w14:paraId="20799892" w14:textId="0286CFDF" w:rsidR="008A60FE" w:rsidRPr="00873B6C" w:rsidRDefault="008A60FE" w:rsidP="00323277">
      <w:pPr>
        <w:pStyle w:val="NO"/>
      </w:pPr>
      <w:bookmarkStart w:id="4881" w:name="_Toc20150161"/>
      <w:r w:rsidRPr="00873B6C">
        <w:t>NOTE 2:</w:t>
      </w:r>
      <w:r w:rsidRPr="00873B6C">
        <w:tab/>
        <w:t>If the NG-RAN and PSA UPF are not time synchronised, it can cause inaccurate result of UL/DL packet delay.</w:t>
      </w:r>
    </w:p>
    <w:p w14:paraId="746DB1BA" w14:textId="59202E5C" w:rsidR="003D4653" w:rsidRPr="00873B6C" w:rsidRDefault="003D4653" w:rsidP="00972E70">
      <w:pPr>
        <w:pStyle w:val="B1"/>
      </w:pPr>
      <w:r w:rsidRPr="00873B6C">
        <w:t>-</w:t>
      </w:r>
      <w:r w:rsidRPr="00873B6C">
        <w:tab/>
        <w:t>The PSA UPF reports the QoS Monitoring results as described in clause 5.8.2.18.</w:t>
      </w:r>
    </w:p>
    <w:p w14:paraId="0053A0EA" w14:textId="724B7404" w:rsidR="00D40151" w:rsidRPr="00873B6C" w:rsidRDefault="00D40151" w:rsidP="00D40151">
      <w:r w:rsidRPr="00873B6C">
        <w:t>If the redundant transmission on N3/N9 interfaces is activated, the UPF and NG-RAN performs QoS monitoring for both UP paths. The UPF reports the packet delay</w:t>
      </w:r>
      <w:r w:rsidR="003D4653" w:rsidRPr="00873B6C">
        <w:t>s</w:t>
      </w:r>
      <w:r w:rsidRPr="00873B6C">
        <w:t xml:space="preserve"> of the two UP paths </w:t>
      </w:r>
      <w:r w:rsidR="003D4653" w:rsidRPr="00873B6C">
        <w:t xml:space="preserve">independently </w:t>
      </w:r>
      <w:r w:rsidRPr="00873B6C">
        <w:t>to the SMF.</w:t>
      </w:r>
    </w:p>
    <w:p w14:paraId="2350E96E" w14:textId="53AEAFDE" w:rsidR="00D40151" w:rsidRPr="00873B6C" w:rsidRDefault="00D40151" w:rsidP="00D40151">
      <w:pPr>
        <w:pStyle w:val="Heading4"/>
      </w:pPr>
      <w:bookmarkStart w:id="4882" w:name="_CR5_33_3_3"/>
      <w:bookmarkStart w:id="4883" w:name="_Toc27846963"/>
      <w:bookmarkStart w:id="4884" w:name="_Toc36188094"/>
      <w:bookmarkStart w:id="4885" w:name="_Toc45183999"/>
      <w:bookmarkStart w:id="4886" w:name="_Toc47342841"/>
      <w:bookmarkStart w:id="4887" w:name="_Toc51769543"/>
      <w:bookmarkStart w:id="4888" w:name="_Toc201157614"/>
      <w:bookmarkEnd w:id="4882"/>
      <w:r w:rsidRPr="00873B6C">
        <w:t>5.33.3.3</w:t>
      </w:r>
      <w:r w:rsidRPr="00873B6C">
        <w:tab/>
        <w:t>GTP-U Path</w:t>
      </w:r>
      <w:r w:rsidR="003D4653" w:rsidRPr="00873B6C">
        <w:t xml:space="preserve"> Measurement</w:t>
      </w:r>
      <w:bookmarkEnd w:id="4881"/>
      <w:bookmarkEnd w:id="4883"/>
      <w:bookmarkEnd w:id="4884"/>
      <w:bookmarkEnd w:id="4885"/>
      <w:bookmarkEnd w:id="4886"/>
      <w:bookmarkEnd w:id="4887"/>
      <w:bookmarkEnd w:id="4888"/>
    </w:p>
    <w:p w14:paraId="7217F22F" w14:textId="51DC901C" w:rsidR="00D40151" w:rsidRPr="00873B6C" w:rsidRDefault="00D40151" w:rsidP="00D40151">
      <w:pPr>
        <w:rPr>
          <w:lang w:eastAsia="x-none"/>
        </w:rPr>
      </w:pPr>
      <w:r w:rsidRPr="00873B6C">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873B6C">
        <w:rPr>
          <w:lang w:eastAsia="x-none"/>
        </w:rPr>
        <w:t xml:space="preserve"> In this case, the SMF performs the QoS Flow Binding without taking the QoS Monitoring Policy within the PCC rule into account.</w:t>
      </w:r>
      <w:r w:rsidRPr="00873B6C">
        <w:rPr>
          <w:lang w:eastAsia="x-none"/>
        </w:rPr>
        <w:t xml:space="preserve"> The SMF sends the QoS monitoring policy to each involved UPF and the (R)AN via N4 interface and via N2 interface respectively.</w:t>
      </w:r>
    </w:p>
    <w:p w14:paraId="2B0C31AD" w14:textId="2E2FE1CF" w:rsidR="00EC761C" w:rsidRPr="00873B6C" w:rsidRDefault="00EC761C" w:rsidP="00562E84">
      <w:pPr>
        <w:pStyle w:val="NO"/>
      </w:pPr>
      <w:r w:rsidRPr="00873B6C">
        <w:t>NOTE 1:</w:t>
      </w:r>
      <w:r w:rsidRPr="00873B6C">
        <w:tab/>
        <w:t>The PCC rule containing a QoS monitoring policy is just a trigger for the SMF to instruct the UPFs to initiate the GTP-U based QoS Monitoring.</w:t>
      </w:r>
    </w:p>
    <w:p w14:paraId="1BB2D968" w14:textId="048CDD23" w:rsidR="00D40151" w:rsidRPr="00873B6C" w:rsidRDefault="00D40151" w:rsidP="00D40151">
      <w:pPr>
        <w:rPr>
          <w:lang w:eastAsia="x-none"/>
        </w:rPr>
      </w:pPr>
      <w:r w:rsidRPr="00873B6C">
        <w:rPr>
          <w:lang w:eastAsia="x-none"/>
        </w:rPr>
        <w:lastRenderedPageBreak/>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873B6C">
        <w:rPr>
          <w:lang w:eastAsia="x-none"/>
        </w:rPr>
        <w:t xml:space="preserve"> packet</w:t>
      </w:r>
      <w:r w:rsidRPr="00873B6C">
        <w:rPr>
          <w:lang w:eastAsia="x-none"/>
        </w:rPr>
        <w:t xml:space="preserve"> delay represents an estimated elapsed time since a user plane packet entered 3GPP domain.</w:t>
      </w:r>
    </w:p>
    <w:p w14:paraId="374B26A6" w14:textId="79C7B8AE" w:rsidR="00D40151" w:rsidRPr="00873B6C" w:rsidRDefault="00D40151" w:rsidP="00D40151">
      <w:pPr>
        <w:rPr>
          <w:lang w:eastAsia="x-none"/>
        </w:rPr>
      </w:pPr>
      <w:r w:rsidRPr="00873B6C">
        <w:rPr>
          <w:lang w:eastAsia="x-none"/>
        </w:rPr>
        <w:t>It is expected that a GTP-U sender determines RTT periodically in order to detect changes in transport delays. QoS monitoring is performed by a GTP-U end-point (UP function) that receive</w:t>
      </w:r>
      <w:r w:rsidR="003B51EA" w:rsidRPr="00873B6C">
        <w:rPr>
          <w:lang w:eastAsia="x-none"/>
        </w:rPr>
        <w:t>s</w:t>
      </w:r>
      <w:r w:rsidR="003D4653" w:rsidRPr="00873B6C">
        <w:rPr>
          <w:lang w:eastAsia="x-none"/>
        </w:rPr>
        <w:t>,</w:t>
      </w:r>
      <w:r w:rsidRPr="00873B6C">
        <w:rPr>
          <w:lang w:eastAsia="x-none"/>
        </w:rPr>
        <w:t xml:space="preserve"> store</w:t>
      </w:r>
      <w:r w:rsidR="003B51EA" w:rsidRPr="00873B6C">
        <w:rPr>
          <w:lang w:eastAsia="x-none"/>
        </w:rPr>
        <w:t>s</w:t>
      </w:r>
      <w:r w:rsidR="003D4653" w:rsidRPr="00873B6C">
        <w:rPr>
          <w:lang w:eastAsia="x-none"/>
        </w:rPr>
        <w:t xml:space="preserve"> and executes the</w:t>
      </w:r>
      <w:r w:rsidRPr="00873B6C">
        <w:rPr>
          <w:lang w:eastAsia="x-none"/>
        </w:rPr>
        <w:t xml:space="preserve"> QoS</w:t>
      </w:r>
      <w:r w:rsidR="003B51EA" w:rsidRPr="00873B6C">
        <w:rPr>
          <w:lang w:eastAsia="x-none"/>
        </w:rPr>
        <w:t xml:space="preserve"> monitoring policy</w:t>
      </w:r>
      <w:r w:rsidR="003D4653" w:rsidRPr="00873B6C">
        <w:rPr>
          <w:lang w:eastAsia="x-none"/>
        </w:rPr>
        <w:t xml:space="preserve"> as described below</w:t>
      </w:r>
      <w:r w:rsidRPr="00873B6C">
        <w:rPr>
          <w:lang w:eastAsia="x-none"/>
        </w:rPr>
        <w:t xml:space="preserve"> for </w:t>
      </w:r>
      <w:r w:rsidR="003B51EA" w:rsidRPr="00873B6C">
        <w:rPr>
          <w:lang w:eastAsia="x-none"/>
        </w:rPr>
        <w:t xml:space="preserve">a </w:t>
      </w:r>
      <w:r w:rsidR="00426DE4" w:rsidRPr="00873B6C">
        <w:rPr>
          <w:lang w:eastAsia="x-none"/>
        </w:rPr>
        <w:t>QoS Flow</w:t>
      </w:r>
      <w:r w:rsidR="003B51EA" w:rsidRPr="00873B6C">
        <w:rPr>
          <w:lang w:eastAsia="x-none"/>
        </w:rPr>
        <w:t>. QoS monitoring is performed</w:t>
      </w:r>
      <w:r w:rsidRPr="00873B6C">
        <w:rPr>
          <w:lang w:eastAsia="x-none"/>
        </w:rPr>
        <w:t xml:space="preserve"> by comparing a </w:t>
      </w:r>
      <w:r w:rsidR="008A60FE" w:rsidRPr="00873B6C">
        <w:rPr>
          <w:lang w:eastAsia="x-none"/>
        </w:rPr>
        <w:t xml:space="preserve">measured </w:t>
      </w:r>
      <w:r w:rsidRPr="00873B6C">
        <w:rPr>
          <w:lang w:eastAsia="x-none"/>
        </w:rPr>
        <w:t>accumulated packet delay with the stored parameter</w:t>
      </w:r>
      <w:r w:rsidR="003D4653" w:rsidRPr="00873B6C">
        <w:rPr>
          <w:lang w:eastAsia="x-none"/>
        </w:rPr>
        <w:t>s</w:t>
      </w:r>
      <w:r w:rsidRPr="00873B6C">
        <w:rPr>
          <w:lang w:eastAsia="x-none"/>
        </w:rPr>
        <w:t>. If the GTP-U end-point</w:t>
      </w:r>
      <w:r w:rsidR="003B51EA" w:rsidRPr="00873B6C">
        <w:rPr>
          <w:lang w:eastAsia="x-none"/>
        </w:rPr>
        <w:t xml:space="preserve"> (the PSA UPF, in the case of accumulated packet delay reporting)</w:t>
      </w:r>
      <w:r w:rsidRPr="00873B6C">
        <w:rPr>
          <w:lang w:eastAsia="x-none"/>
        </w:rPr>
        <w:t xml:space="preserve"> determines that the packet delay exceeds the</w:t>
      </w:r>
      <w:r w:rsidR="003D4653" w:rsidRPr="00873B6C">
        <w:rPr>
          <w:lang w:eastAsia="x-none"/>
        </w:rPr>
        <w:t xml:space="preserve"> value of a stored parameter</w:t>
      </w:r>
      <w:r w:rsidR="003B51EA" w:rsidRPr="00873B6C">
        <w:rPr>
          <w:lang w:eastAsia="x-none"/>
        </w:rPr>
        <w:t>,</w:t>
      </w:r>
      <w:r w:rsidRPr="00873B6C">
        <w:rPr>
          <w:lang w:eastAsia="x-none"/>
        </w:rPr>
        <w:t xml:space="preserve"> then the node triggers QoS monitoring alert signalling to</w:t>
      </w:r>
      <w:r w:rsidR="003B51EA" w:rsidRPr="00873B6C">
        <w:rPr>
          <w:lang w:eastAsia="x-none"/>
        </w:rPr>
        <w:t xml:space="preserve"> the relevant SMF</w:t>
      </w:r>
      <w:r w:rsidRPr="00873B6C">
        <w:rPr>
          <w:lang w:eastAsia="x-none"/>
        </w:rPr>
        <w:t xml:space="preserve"> or to </w:t>
      </w:r>
      <w:r w:rsidR="003B51EA" w:rsidRPr="00873B6C">
        <w:rPr>
          <w:lang w:eastAsia="x-none"/>
        </w:rPr>
        <w:t xml:space="preserve">the </w:t>
      </w:r>
      <w:r w:rsidRPr="00873B6C">
        <w:rPr>
          <w:lang w:eastAsia="x-none"/>
        </w:rPr>
        <w:t>OA&amp;M function</w:t>
      </w:r>
      <w:r w:rsidR="003D4653" w:rsidRPr="00873B6C">
        <w:rPr>
          <w:lang w:eastAsia="x-none"/>
        </w:rPr>
        <w:t xml:space="preserve"> as further described in </w:t>
      </w:r>
      <w:r w:rsidR="00972E70" w:rsidRPr="00873B6C">
        <w:rPr>
          <w:lang w:eastAsia="x-none"/>
        </w:rPr>
        <w:t>TS 29.244 [</w:t>
      </w:r>
      <w:r w:rsidR="003D4653" w:rsidRPr="00873B6C">
        <w:rPr>
          <w:lang w:eastAsia="x-none"/>
        </w:rPr>
        <w:t>65]</w:t>
      </w:r>
      <w:r w:rsidRPr="00873B6C">
        <w:rPr>
          <w:lang w:eastAsia="x-none"/>
        </w:rPr>
        <w:t>.</w:t>
      </w:r>
    </w:p>
    <w:p w14:paraId="59168D2A" w14:textId="3CD13B54" w:rsidR="00D40151" w:rsidRPr="00873B6C" w:rsidRDefault="00D40151" w:rsidP="00D40151">
      <w:pPr>
        <w:pStyle w:val="NO"/>
      </w:pPr>
      <w:r w:rsidRPr="00873B6C">
        <w:t>NOTE</w:t>
      </w:r>
      <w:r w:rsidR="00EC761C" w:rsidRPr="00873B6C">
        <w:t> 2</w:t>
      </w:r>
      <w:r w:rsidRPr="00873B6C">
        <w:t>:</w:t>
      </w:r>
      <w:r w:rsidRPr="00873B6C">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873B6C">
        <w:t>QoS Flow</w:t>
      </w:r>
      <w:r w:rsidRPr="00873B6C">
        <w:t>s (user data).</w:t>
      </w:r>
    </w:p>
    <w:p w14:paraId="06423D0A" w14:textId="77777777" w:rsidR="003D4653" w:rsidRPr="00873B6C" w:rsidRDefault="003D4653" w:rsidP="003D4653">
      <w:pPr>
        <w:rPr>
          <w:lang w:eastAsia="x-none"/>
        </w:rPr>
      </w:pPr>
      <w:r w:rsidRPr="00873B6C">
        <w:rPr>
          <w:lang w:eastAsia="x-none"/>
        </w:rPr>
        <w:t>When QoS Monitoring is used to measure the packet delay for a QoS Flow, the following applies:</w:t>
      </w:r>
    </w:p>
    <w:p w14:paraId="1411799A" w14:textId="52931991" w:rsidR="00D40151" w:rsidRPr="00873B6C" w:rsidRDefault="00D40151" w:rsidP="00D40151">
      <w:pPr>
        <w:pStyle w:val="B1"/>
      </w:pPr>
      <w:r w:rsidRPr="00873B6C">
        <w:t>-</w:t>
      </w:r>
      <w:r w:rsidRPr="00873B6C">
        <w:tab/>
        <w:t xml:space="preserve">Packet delay measurement is performed by using GTP-U Echo Request/Response as defined in the </w:t>
      </w:r>
      <w:r w:rsidR="00972E70" w:rsidRPr="00873B6C">
        <w:t>TS 28.552 [</w:t>
      </w:r>
      <w:r w:rsidRPr="00873B6C">
        <w:t xml:space="preserve">108], in the corresponding user plane transport path(s), independent of the corresponding PDU Session and the 5QI for a given </w:t>
      </w:r>
      <w:r w:rsidR="00426DE4" w:rsidRPr="00873B6C">
        <w:t>QoS Flow</w:t>
      </w:r>
      <w:r w:rsidRPr="00873B6C">
        <w:t>.</w:t>
      </w:r>
    </w:p>
    <w:p w14:paraId="7D72C9E8" w14:textId="5DE505A3" w:rsidR="00D40151" w:rsidRPr="00873B6C" w:rsidRDefault="00D40151" w:rsidP="00D40151">
      <w:pPr>
        <w:pStyle w:val="B1"/>
      </w:pPr>
      <w:r w:rsidRPr="00873B6C">
        <w:t>-</w:t>
      </w:r>
      <w:r w:rsidRPr="00873B6C">
        <w:tab/>
        <w:t>RAN measures</w:t>
      </w:r>
      <w:r w:rsidR="008A60FE" w:rsidRPr="00873B6C">
        <w:t xml:space="preserve"> and provides</w:t>
      </w:r>
      <w:r w:rsidRPr="00873B6C">
        <w:t xml:space="preserve"> the RAN part of UL/DL packet delay towards </w:t>
      </w:r>
      <w:r w:rsidR="003B51EA" w:rsidRPr="00873B6C">
        <w:t xml:space="preserve">UPF </w:t>
      </w:r>
      <w:r w:rsidRPr="00873B6C">
        <w:t>(</w:t>
      </w:r>
      <w:r w:rsidR="003D4653" w:rsidRPr="00873B6C">
        <w:t xml:space="preserve">in the GTP-U header of the respective QoS Flow </w:t>
      </w:r>
      <w:r w:rsidRPr="00873B6C">
        <w:t>via N</w:t>
      </w:r>
      <w:r w:rsidR="003B51EA" w:rsidRPr="00873B6C">
        <w:t>3</w:t>
      </w:r>
      <w:r w:rsidRPr="00873B6C">
        <w:t>).</w:t>
      </w:r>
    </w:p>
    <w:p w14:paraId="37B8B5A1" w14:textId="759AF776" w:rsidR="00D40151" w:rsidRPr="00873B6C" w:rsidRDefault="00D40151" w:rsidP="00D40151">
      <w:pPr>
        <w:pStyle w:val="B1"/>
      </w:pPr>
      <w:r w:rsidRPr="00873B6C">
        <w:t>-</w:t>
      </w:r>
      <w:r w:rsidRPr="00873B6C">
        <w:tab/>
        <w:t>The UPF calculates the UL/DL packet delay</w:t>
      </w:r>
      <w:r w:rsidR="003D4653" w:rsidRPr="00873B6C">
        <w:t xml:space="preserve"> by combining the received measurements of RAN part with the measurements</w:t>
      </w:r>
      <w:r w:rsidRPr="00873B6C">
        <w:t xml:space="preserve"> of N3/N9 interface (N9 is applicable when I-UPF exists).</w:t>
      </w:r>
    </w:p>
    <w:p w14:paraId="441CAE24" w14:textId="1688E339" w:rsidR="00D40151" w:rsidRPr="00873B6C" w:rsidRDefault="00D40151" w:rsidP="00D40151">
      <w:pPr>
        <w:pStyle w:val="B1"/>
      </w:pPr>
      <w:r w:rsidRPr="00873B6C">
        <w:t>-</w:t>
      </w:r>
      <w:r w:rsidRPr="00873B6C">
        <w:tab/>
      </w:r>
      <w:r w:rsidR="003D4653" w:rsidRPr="00873B6C">
        <w:t xml:space="preserve">The </w:t>
      </w:r>
      <w:r w:rsidRPr="00873B6C">
        <w:t>UPF reports</w:t>
      </w:r>
      <w:r w:rsidR="003D4653" w:rsidRPr="00873B6C">
        <w:t xml:space="preserve"> the</w:t>
      </w:r>
      <w:r w:rsidRPr="00873B6C">
        <w:t xml:space="preserve"> QoS Monitoring result</w:t>
      </w:r>
      <w:r w:rsidR="003D4653" w:rsidRPr="00873B6C">
        <w:t>s as described in clause 5.8.2.18</w:t>
      </w:r>
      <w:r w:rsidR="00412DC3" w:rsidRPr="00873B6C">
        <w:t>.</w:t>
      </w:r>
    </w:p>
    <w:p w14:paraId="519925CA" w14:textId="4F89A4B6" w:rsidR="003D4653" w:rsidRPr="00873B6C" w:rsidRDefault="003D4653" w:rsidP="00972E70">
      <w:r w:rsidRPr="00873B6C">
        <w:t>QoS Monitoring can also be used to measure the packet delay for transport paths to influence the mapping of QoS Flows to appropriate network instances, DSCP values as follows:</w:t>
      </w:r>
    </w:p>
    <w:p w14:paraId="5E12CAB6" w14:textId="6564BDBE" w:rsidR="003D4653" w:rsidRPr="00873B6C" w:rsidRDefault="003D4653" w:rsidP="00D40151">
      <w:pPr>
        <w:pStyle w:val="B1"/>
      </w:pPr>
      <w:r w:rsidRPr="00873B6C">
        <w:t>-</w:t>
      </w:r>
      <w:r w:rsidRPr="00873B6C">
        <w:tab/>
        <w:t>SMF activates QoS monitoring for the GTP-U path(s) between all UPF(s) and all (R)AN nodes based on locally configured policies.</w:t>
      </w:r>
    </w:p>
    <w:p w14:paraId="1B516DF4" w14:textId="52D204E6" w:rsidR="00D40151" w:rsidRPr="00873B6C" w:rsidRDefault="00D40151" w:rsidP="00D40151">
      <w:pPr>
        <w:pStyle w:val="B1"/>
      </w:pPr>
      <w:r w:rsidRPr="00873B6C">
        <w:t>-</w:t>
      </w:r>
      <w:r w:rsidRPr="00873B6C">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873B6C" w:rsidRDefault="00D40151" w:rsidP="00D40151">
      <w:pPr>
        <w:pStyle w:val="B1"/>
      </w:pPr>
      <w:r w:rsidRPr="00873B6C">
        <w:t>-</w:t>
      </w:r>
      <w:r w:rsidRPr="00873B6C">
        <w:tab/>
        <w:t>UPF maps {network instance, DSCP} into Transport Resource and measures delay per IP destination address and port. Thus, for each IP destination address, the measured delay per (network instance, DSCP) entry is determined.</w:t>
      </w:r>
    </w:p>
    <w:p w14:paraId="2EDB608E" w14:textId="62274427" w:rsidR="00D40151" w:rsidRPr="00873B6C" w:rsidRDefault="00D40151" w:rsidP="00D40151">
      <w:pPr>
        <w:pStyle w:val="B1"/>
      </w:pPr>
      <w:r w:rsidRPr="00873B6C">
        <w:t>-</w:t>
      </w:r>
      <w:r w:rsidRPr="00873B6C">
        <w:tab/>
        <w:t>The UPF performing the QoS monitoring can provide the corresponding {Network instance, DSCP} along with the measured</w:t>
      </w:r>
      <w:r w:rsidR="008A60FE" w:rsidRPr="00873B6C">
        <w:t xml:space="preserve"> accumulated</w:t>
      </w:r>
      <w:r w:rsidRPr="00873B6C">
        <w:t xml:space="preserve"> packet delay for the corresponding transport path to the SMF.</w:t>
      </w:r>
      <w:r w:rsidR="003D4653" w:rsidRPr="00873B6C">
        <w:t xml:space="preserve"> The UPF reports the measurement results to the SMF based on some specific conditions e.g. first time, periodic, event triggered, when thresholds for reporting towards SMF (via N4) are reached.</w:t>
      </w:r>
    </w:p>
    <w:p w14:paraId="3113F955" w14:textId="1679D424" w:rsidR="00D40151" w:rsidRPr="00873B6C" w:rsidRDefault="00D40151" w:rsidP="00D40151">
      <w:pPr>
        <w:pStyle w:val="B1"/>
      </w:pPr>
      <w:r w:rsidRPr="00873B6C">
        <w:t>-</w:t>
      </w:r>
      <w:r w:rsidRPr="00873B6C">
        <w:tab/>
        <w:t xml:space="preserve">Based on this, SMF can determine QoS Flow mapping to the appropriate {Network instance, DSCP} considering {5QI, QoS characteristics, ARP} for the given </w:t>
      </w:r>
      <w:r w:rsidR="00426DE4" w:rsidRPr="00873B6C">
        <w:t>QoS Flow</w:t>
      </w:r>
      <w:r w:rsidRPr="00873B6C">
        <w:t>.</w:t>
      </w:r>
    </w:p>
    <w:p w14:paraId="6651123C" w14:textId="77777777" w:rsidR="00D40151" w:rsidRPr="00873B6C" w:rsidRDefault="00D40151" w:rsidP="00D40151">
      <w:pPr>
        <w:pStyle w:val="Heading2"/>
      </w:pPr>
      <w:bookmarkStart w:id="4889" w:name="_CR5_34"/>
      <w:bookmarkStart w:id="4890" w:name="_Toc20150162"/>
      <w:bookmarkStart w:id="4891" w:name="_Toc27846964"/>
      <w:bookmarkStart w:id="4892" w:name="_Toc36188095"/>
      <w:bookmarkStart w:id="4893" w:name="_Toc45184000"/>
      <w:bookmarkStart w:id="4894" w:name="_Toc47342842"/>
      <w:bookmarkStart w:id="4895" w:name="_Toc51769544"/>
      <w:bookmarkStart w:id="4896" w:name="_Toc201157615"/>
      <w:bookmarkEnd w:id="4889"/>
      <w:r w:rsidRPr="00873B6C">
        <w:lastRenderedPageBreak/>
        <w:t>5.34</w:t>
      </w:r>
      <w:r w:rsidRPr="00873B6C">
        <w:tab/>
        <w:t>Support of deployments topologies with specific SMF Service Areas</w:t>
      </w:r>
      <w:bookmarkEnd w:id="4890"/>
      <w:bookmarkEnd w:id="4891"/>
      <w:bookmarkEnd w:id="4892"/>
      <w:bookmarkEnd w:id="4893"/>
      <w:bookmarkEnd w:id="4894"/>
      <w:bookmarkEnd w:id="4895"/>
      <w:bookmarkEnd w:id="4896"/>
    </w:p>
    <w:p w14:paraId="4F357843" w14:textId="77777777" w:rsidR="00D40151" w:rsidRPr="00873B6C" w:rsidRDefault="00D40151" w:rsidP="00D40151">
      <w:pPr>
        <w:pStyle w:val="Heading3"/>
      </w:pPr>
      <w:bookmarkStart w:id="4897" w:name="_CR5_34_1"/>
      <w:bookmarkStart w:id="4898" w:name="_Toc20150163"/>
      <w:bookmarkStart w:id="4899" w:name="_Toc27846965"/>
      <w:bookmarkStart w:id="4900" w:name="_Toc36188096"/>
      <w:bookmarkStart w:id="4901" w:name="_Toc45184001"/>
      <w:bookmarkStart w:id="4902" w:name="_Toc47342843"/>
      <w:bookmarkStart w:id="4903" w:name="_Toc51769545"/>
      <w:bookmarkStart w:id="4904" w:name="_Toc201157616"/>
      <w:bookmarkEnd w:id="4897"/>
      <w:r w:rsidRPr="00873B6C">
        <w:t>5.34.1</w:t>
      </w:r>
      <w:r w:rsidRPr="00873B6C">
        <w:tab/>
        <w:t>General</w:t>
      </w:r>
      <w:bookmarkEnd w:id="4898"/>
      <w:bookmarkEnd w:id="4899"/>
      <w:bookmarkEnd w:id="4900"/>
      <w:bookmarkEnd w:id="4901"/>
      <w:bookmarkEnd w:id="4902"/>
      <w:bookmarkEnd w:id="4903"/>
      <w:bookmarkEnd w:id="4904"/>
    </w:p>
    <w:p w14:paraId="515394D4" w14:textId="709E0018" w:rsidR="00D40151" w:rsidRPr="00873B6C" w:rsidRDefault="00D40151" w:rsidP="00D40151">
      <w:r w:rsidRPr="00873B6C">
        <w:t>When the UE is outside of the SMF Service Area,</w:t>
      </w:r>
      <w:r w:rsidR="006101B9" w:rsidRPr="00873B6C">
        <w:t xml:space="preserve"> or current SMF cannot serve the target DNAI for the traffic routing </w:t>
      </w:r>
      <w:r w:rsidR="00D841E1" w:rsidRPr="00873B6C">
        <w:t xml:space="preserve">for local access to the </w:t>
      </w:r>
      <w:r w:rsidR="006101B9" w:rsidRPr="00873B6C">
        <w:t>DN,</w:t>
      </w:r>
      <w:r w:rsidRPr="00873B6C">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873B6C" w:rsidRDefault="00D40151" w:rsidP="00D40151">
      <w:r w:rsidRPr="00873B6C">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873B6C" w:rsidRDefault="00D40151" w:rsidP="00D40151">
      <w:r w:rsidRPr="00873B6C">
        <w:t>In this Release of the specification, deployments topologies with specific SMF Service Areas apply only for 3GPP access.</w:t>
      </w:r>
    </w:p>
    <w:p w14:paraId="64CFAB35" w14:textId="77777777" w:rsidR="00D40151" w:rsidRPr="00873B6C" w:rsidRDefault="00D40151" w:rsidP="00D40151">
      <w:r w:rsidRPr="00873B6C">
        <w:t>The SMF shall release or reject the PDU Session if the DNN of the PDU Session corresponds to a LADN and the I-SMF is inserted to the PDU Session.</w:t>
      </w:r>
    </w:p>
    <w:p w14:paraId="0DE7FAA8" w14:textId="77777777" w:rsidR="00D40151" w:rsidRPr="00873B6C" w:rsidRDefault="00D40151" w:rsidP="00D40151">
      <w:pPr>
        <w:pStyle w:val="NO"/>
      </w:pPr>
      <w:r w:rsidRPr="00873B6C">
        <w:t>NOTE 1:</w:t>
      </w:r>
      <w:r w:rsidRPr="00873B6C">
        <w:tab/>
        <w:t>This implies that operators need to plan the LADN deployment in such a way that the LADN Service area needs to be within the SMF Service Area, but not across SMFs' Service Areas.</w:t>
      </w:r>
    </w:p>
    <w:p w14:paraId="1787AFD0" w14:textId="77777777" w:rsidR="00D40151" w:rsidRPr="00873B6C" w:rsidRDefault="00D40151" w:rsidP="00D40151">
      <w:pPr>
        <w:pStyle w:val="NO"/>
      </w:pPr>
      <w:r w:rsidRPr="00873B6C">
        <w:t>NOTE 2:</w:t>
      </w:r>
      <w:r w:rsidRPr="00873B6C">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873B6C" w:rsidRDefault="00D40151" w:rsidP="00D40151">
      <w:bookmarkStart w:id="4905" w:name="_Toc20150164"/>
      <w:r w:rsidRPr="00873B6C">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873B6C" w:rsidRDefault="00D40151" w:rsidP="00D40151">
      <w:pPr>
        <w:pStyle w:val="NO"/>
      </w:pPr>
      <w:r w:rsidRPr="00873B6C">
        <w:t>NOTE 3:</w:t>
      </w:r>
      <w:r w:rsidRPr="00873B6C">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873B6C">
        <w:t xml:space="preserve">s clause </w:t>
      </w:r>
      <w:r w:rsidRPr="00873B6C">
        <w:t>are not needed.</w:t>
      </w:r>
    </w:p>
    <w:p w14:paraId="11B400D8" w14:textId="77777777" w:rsidR="00D40151" w:rsidRPr="00873B6C" w:rsidRDefault="00D40151" w:rsidP="00D40151">
      <w:bookmarkStart w:id="4906" w:name="_Toc27846966"/>
      <w:bookmarkStart w:id="4907" w:name="_Toc36188097"/>
      <w:r w:rsidRPr="00873B6C">
        <w:t>In this Release, how TSC (as defined in clauses 5.27 and 5.28) is supported for PDU Sessions involving an I-SMF is not specified.</w:t>
      </w:r>
    </w:p>
    <w:p w14:paraId="41910F8C" w14:textId="77777777" w:rsidR="00D40151" w:rsidRPr="00873B6C" w:rsidRDefault="00D40151" w:rsidP="00D40151">
      <w:r w:rsidRPr="00873B6C">
        <w:t>In this Release, Redundant User Plane Paths as defined in clause 5.33.2.2 is not supported for PDU Sessions involving an I-SMF.</w:t>
      </w:r>
    </w:p>
    <w:p w14:paraId="750E46B9" w14:textId="77777777" w:rsidR="00D40151" w:rsidRPr="00873B6C" w:rsidRDefault="00D40151" w:rsidP="00D40151">
      <w:r w:rsidRPr="00873B6C">
        <w:t>Redundant PDU sessions support as defined in clause 5.33.2.1 is supported for PDU Sessions involving an I-SMF, when different S-NSSAIs are used for the redundant PDU sessions.</w:t>
      </w:r>
    </w:p>
    <w:p w14:paraId="3FBC1161" w14:textId="77777777" w:rsidR="00D40151" w:rsidRPr="00873B6C" w:rsidRDefault="00D40151" w:rsidP="00D40151">
      <w:r w:rsidRPr="00873B6C">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873B6C" w:rsidRDefault="00D40151" w:rsidP="00D40151">
      <w:r w:rsidRPr="00873B6C">
        <w:t>QoS monitoring (as defined in clause 5.33.3) is supported as long as SMF and not I-SMF initiates the QoS monitoring function.</w:t>
      </w:r>
    </w:p>
    <w:p w14:paraId="19244755" w14:textId="77777777" w:rsidR="00D40151" w:rsidRPr="00873B6C" w:rsidRDefault="00D40151" w:rsidP="00D40151">
      <w:r w:rsidRPr="00873B6C">
        <w:t>Dynamic CN PDB provisioning (as defined in clause 5.7.3.4) is supported for PDU Sessions involving an I-SMF.</w:t>
      </w:r>
    </w:p>
    <w:p w14:paraId="1FD156EE" w14:textId="77777777" w:rsidR="00D40151" w:rsidRPr="00873B6C" w:rsidRDefault="00D40151" w:rsidP="00D40151">
      <w:r w:rsidRPr="00873B6C">
        <w:t>In this Release, no dedicated functionality is specified for I-SMF and N16a in order to support NPN.</w:t>
      </w:r>
    </w:p>
    <w:p w14:paraId="3D00B424" w14:textId="77777777" w:rsidR="00D40151" w:rsidRPr="00873B6C" w:rsidRDefault="00D40151" w:rsidP="00D40151">
      <w:pPr>
        <w:pStyle w:val="Heading3"/>
      </w:pPr>
      <w:bookmarkStart w:id="4908" w:name="_CR5_34_2"/>
      <w:bookmarkStart w:id="4909" w:name="_Toc45184002"/>
      <w:bookmarkStart w:id="4910" w:name="_Toc47342844"/>
      <w:bookmarkStart w:id="4911" w:name="_Toc51769546"/>
      <w:bookmarkStart w:id="4912" w:name="_Toc201157617"/>
      <w:bookmarkEnd w:id="4908"/>
      <w:r w:rsidRPr="00873B6C">
        <w:lastRenderedPageBreak/>
        <w:t>5.34.2</w:t>
      </w:r>
      <w:r w:rsidRPr="00873B6C">
        <w:tab/>
        <w:t>Architecture</w:t>
      </w:r>
      <w:bookmarkEnd w:id="4905"/>
      <w:bookmarkEnd w:id="4906"/>
      <w:bookmarkEnd w:id="4907"/>
      <w:bookmarkEnd w:id="4909"/>
      <w:bookmarkEnd w:id="4910"/>
      <w:bookmarkEnd w:id="4911"/>
      <w:bookmarkEnd w:id="4912"/>
    </w:p>
    <w:p w14:paraId="5F0B8E16" w14:textId="77777777" w:rsidR="00D40151" w:rsidRPr="00873B6C" w:rsidRDefault="00D40151" w:rsidP="00D40151">
      <w:pPr>
        <w:pStyle w:val="Heading4"/>
      </w:pPr>
      <w:bookmarkStart w:id="4913" w:name="_CR5_34_2_1"/>
      <w:bookmarkStart w:id="4914" w:name="_Toc20150165"/>
      <w:bookmarkStart w:id="4915" w:name="_Toc27846967"/>
      <w:bookmarkStart w:id="4916" w:name="_Toc36188098"/>
      <w:bookmarkStart w:id="4917" w:name="_Toc45184003"/>
      <w:bookmarkStart w:id="4918" w:name="_Toc47342845"/>
      <w:bookmarkStart w:id="4919" w:name="_Toc51769547"/>
      <w:bookmarkStart w:id="4920" w:name="_Toc201157618"/>
      <w:bookmarkEnd w:id="4913"/>
      <w:r w:rsidRPr="00873B6C">
        <w:t>5.34.2.1</w:t>
      </w:r>
      <w:r w:rsidRPr="00873B6C">
        <w:tab/>
        <w:t>SBA architecture</w:t>
      </w:r>
      <w:bookmarkEnd w:id="4914"/>
      <w:bookmarkEnd w:id="4915"/>
      <w:bookmarkEnd w:id="4916"/>
      <w:bookmarkEnd w:id="4917"/>
      <w:bookmarkEnd w:id="4918"/>
      <w:bookmarkEnd w:id="4919"/>
      <w:bookmarkEnd w:id="4920"/>
    </w:p>
    <w:p w14:paraId="5956C6FF" w14:textId="77777777" w:rsidR="00D40151" w:rsidRPr="00873B6C" w:rsidRDefault="00D40151" w:rsidP="00D40151">
      <w:r w:rsidRPr="00873B6C">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873B6C" w:rsidRDefault="00D40151" w:rsidP="00D40151">
      <w:pPr>
        <w:pStyle w:val="Heading4"/>
      </w:pPr>
      <w:bookmarkStart w:id="4921" w:name="_CR5_34_2_2"/>
      <w:bookmarkStart w:id="4922" w:name="_Toc20150166"/>
      <w:bookmarkStart w:id="4923" w:name="_Toc27846968"/>
      <w:bookmarkStart w:id="4924" w:name="_Toc36188099"/>
      <w:bookmarkStart w:id="4925" w:name="_Toc45184004"/>
      <w:bookmarkStart w:id="4926" w:name="_Toc47342846"/>
      <w:bookmarkStart w:id="4927" w:name="_Toc51769548"/>
      <w:bookmarkStart w:id="4928" w:name="_Toc201157619"/>
      <w:bookmarkEnd w:id="4921"/>
      <w:r w:rsidRPr="00873B6C">
        <w:t>5.34.2.2</w:t>
      </w:r>
      <w:r w:rsidRPr="00873B6C">
        <w:tab/>
        <w:t>Non-roaming architecture</w:t>
      </w:r>
      <w:bookmarkEnd w:id="4922"/>
      <w:bookmarkEnd w:id="4923"/>
      <w:bookmarkEnd w:id="4924"/>
      <w:bookmarkEnd w:id="4925"/>
      <w:bookmarkEnd w:id="4926"/>
      <w:bookmarkEnd w:id="4927"/>
      <w:bookmarkEnd w:id="4928"/>
    </w:p>
    <w:p w14:paraId="7F80E9D1" w14:textId="77777777" w:rsidR="00D40151" w:rsidRPr="00873B6C" w:rsidRDefault="00D40151" w:rsidP="00D40151">
      <w:r w:rsidRPr="00873B6C">
        <w:t>Figure 5.34.2.2-1 depicts the non-roaming architecture with an I-SMF insertion to the PDU Session without UL-CL/BP, using reference point representation.</w:t>
      </w:r>
    </w:p>
    <w:p w14:paraId="0F96FD20" w14:textId="77777777" w:rsidR="00D40151" w:rsidRPr="00873B6C" w:rsidRDefault="00D40151" w:rsidP="00D40151">
      <w:pPr>
        <w:pStyle w:val="TH"/>
      </w:pPr>
      <w:r w:rsidRPr="00873B6C">
        <w:object w:dxaOrig="12818" w:dyaOrig="5993" w14:anchorId="64C87664">
          <v:shape id="_x0000_i1116" type="#_x0000_t75" style="width:408.2pt;height:189.1pt" o:ole="">
            <v:imagedata r:id="rId191" o:title=""/>
          </v:shape>
          <o:OLEObject Type="Embed" ProgID="Visio.Drawing.11" ShapeID="_x0000_i1116" DrawAspect="Content" ObjectID="_1811772450" r:id="rId192"/>
        </w:object>
      </w:r>
    </w:p>
    <w:p w14:paraId="2E797464" w14:textId="77777777" w:rsidR="00D40151" w:rsidRPr="00873B6C" w:rsidRDefault="00D40151" w:rsidP="00D40151">
      <w:pPr>
        <w:pStyle w:val="NF"/>
      </w:pPr>
      <w:r w:rsidRPr="00873B6C">
        <w:t>NOTE 1:</w:t>
      </w:r>
      <w:r w:rsidRPr="00873B6C">
        <w:tab/>
        <w:t>N16a is the interface between SMF and I-SMF.</w:t>
      </w:r>
    </w:p>
    <w:p w14:paraId="0472E9E9" w14:textId="77777777" w:rsidR="00D40151" w:rsidRPr="00873B6C" w:rsidRDefault="00D40151" w:rsidP="00D40151">
      <w:pPr>
        <w:pStyle w:val="NF"/>
      </w:pPr>
      <w:r w:rsidRPr="00873B6C">
        <w:t>NOTE 2:</w:t>
      </w:r>
      <w:r w:rsidRPr="00873B6C">
        <w:tab/>
        <w:t>N38 is the interface between I-SMFs.</w:t>
      </w:r>
    </w:p>
    <w:p w14:paraId="4784515B" w14:textId="77777777" w:rsidR="00D40151" w:rsidRPr="00873B6C" w:rsidRDefault="00D40151" w:rsidP="00D40151">
      <w:pPr>
        <w:pStyle w:val="NF"/>
      </w:pPr>
    </w:p>
    <w:p w14:paraId="3A31F55D" w14:textId="77777777" w:rsidR="00D40151" w:rsidRPr="00873B6C" w:rsidRDefault="00D40151" w:rsidP="00D40151">
      <w:pPr>
        <w:pStyle w:val="TF"/>
      </w:pPr>
      <w:bookmarkStart w:id="4929" w:name="_CRFigure5_34_2_21"/>
      <w:r w:rsidRPr="00873B6C">
        <w:t xml:space="preserve">Figure </w:t>
      </w:r>
      <w:bookmarkEnd w:id="4929"/>
      <w:r w:rsidRPr="00873B6C">
        <w:t>5.34.2.2-1: Non-roaming architecture with I-SMF insertion to the PDU Session in reference point representation, with no UL-CL/BP</w:t>
      </w:r>
    </w:p>
    <w:p w14:paraId="299EBA71" w14:textId="77777777" w:rsidR="00D40151" w:rsidRPr="00873B6C" w:rsidRDefault="00D40151" w:rsidP="00D40151">
      <w:r w:rsidRPr="00873B6C">
        <w:t>Figure 5.34.2.2-2 depicts the non-roaming architecture for an I-SMF insertion to the PDU Session with UL-CL/BP, using reference point representation.</w:t>
      </w:r>
    </w:p>
    <w:p w14:paraId="496349BB" w14:textId="77777777" w:rsidR="00D40151" w:rsidRPr="00873B6C" w:rsidRDefault="00D40151" w:rsidP="00D40151">
      <w:pPr>
        <w:pStyle w:val="TH"/>
      </w:pPr>
      <w:r w:rsidRPr="00873B6C">
        <w:rPr>
          <w:rFonts w:eastAsia="DengXian"/>
          <w:b w:val="0"/>
        </w:rPr>
        <w:object w:dxaOrig="12828" w:dyaOrig="6001" w14:anchorId="7972D369">
          <v:shape id="_x0000_i1117" type="#_x0000_t75" style="width:472.7pt;height:222.25pt" o:ole="">
            <v:imagedata r:id="rId193" o:title=""/>
          </v:shape>
          <o:OLEObject Type="Embed" ProgID="Visio.Drawing.11" ShapeID="_x0000_i1117" DrawAspect="Content" ObjectID="_1811772451" r:id="rId194"/>
        </w:object>
      </w:r>
    </w:p>
    <w:p w14:paraId="01106C1F" w14:textId="77777777" w:rsidR="00D40151" w:rsidRPr="00873B6C" w:rsidRDefault="00D40151" w:rsidP="00D40151">
      <w:pPr>
        <w:pStyle w:val="TF"/>
      </w:pPr>
      <w:bookmarkStart w:id="4930" w:name="_CRFigure5_34_2_22"/>
      <w:r w:rsidRPr="00873B6C">
        <w:t xml:space="preserve">Figure </w:t>
      </w:r>
      <w:bookmarkEnd w:id="4930"/>
      <w:r w:rsidRPr="00873B6C">
        <w:t>5.34.2.2-2: Non-roaming architecture with I-SMF insertion to the PDU Session in reference point representation, with UL-CL/BP</w:t>
      </w:r>
    </w:p>
    <w:p w14:paraId="6E1084ED" w14:textId="77777777" w:rsidR="00D40151" w:rsidRPr="00873B6C" w:rsidRDefault="00D40151" w:rsidP="00D40151">
      <w:pPr>
        <w:pStyle w:val="Heading4"/>
      </w:pPr>
      <w:bookmarkStart w:id="4931" w:name="_CR5_34_2_3"/>
      <w:bookmarkStart w:id="4932" w:name="_Toc20150167"/>
      <w:bookmarkStart w:id="4933" w:name="_Toc27846969"/>
      <w:bookmarkStart w:id="4934" w:name="_Toc36188100"/>
      <w:bookmarkStart w:id="4935" w:name="_Toc45184005"/>
      <w:bookmarkStart w:id="4936" w:name="_Toc47342847"/>
      <w:bookmarkStart w:id="4937" w:name="_Toc51769549"/>
      <w:bookmarkStart w:id="4938" w:name="_Toc201157620"/>
      <w:bookmarkEnd w:id="4931"/>
      <w:r w:rsidRPr="00873B6C">
        <w:t>5.34.2.3</w:t>
      </w:r>
      <w:r w:rsidRPr="00873B6C">
        <w:tab/>
        <w:t>Roaming architecture</w:t>
      </w:r>
      <w:bookmarkEnd w:id="4932"/>
      <w:bookmarkEnd w:id="4933"/>
      <w:bookmarkEnd w:id="4934"/>
      <w:bookmarkEnd w:id="4935"/>
      <w:bookmarkEnd w:id="4936"/>
      <w:bookmarkEnd w:id="4937"/>
      <w:bookmarkEnd w:id="4938"/>
    </w:p>
    <w:p w14:paraId="0AC863A0" w14:textId="77777777" w:rsidR="00D40151" w:rsidRPr="00873B6C" w:rsidRDefault="00D40151" w:rsidP="00D40151">
      <w:r w:rsidRPr="00873B6C">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873B6C" w:rsidRDefault="00D40151" w:rsidP="00D40151">
      <w:pPr>
        <w:pStyle w:val="TH"/>
      </w:pPr>
      <w:r w:rsidRPr="00873B6C">
        <w:rPr>
          <w:rFonts w:eastAsia="DengXian"/>
          <w:b w:val="0"/>
        </w:rPr>
        <w:object w:dxaOrig="11977" w:dyaOrig="6847" w14:anchorId="4525515D">
          <v:shape id="_x0000_i1118" type="#_x0000_t75" style="width:445.75pt;height:254.8pt" o:ole="">
            <v:imagedata r:id="rId195" o:title=""/>
          </v:shape>
          <o:OLEObject Type="Embed" ProgID="Visio.Drawing.11" ShapeID="_x0000_i1118" DrawAspect="Content" ObjectID="_1811772452" r:id="rId196"/>
        </w:object>
      </w:r>
    </w:p>
    <w:p w14:paraId="2E523C77" w14:textId="77777777" w:rsidR="00D40151" w:rsidRPr="00873B6C" w:rsidRDefault="00D40151" w:rsidP="00D40151">
      <w:pPr>
        <w:pStyle w:val="TF"/>
      </w:pPr>
      <w:bookmarkStart w:id="4939" w:name="_CRFigure5_34_2_31"/>
      <w:r w:rsidRPr="00873B6C">
        <w:t xml:space="preserve">Figure </w:t>
      </w:r>
      <w:bookmarkEnd w:id="4939"/>
      <w:r w:rsidRPr="00873B6C">
        <w:t>5.34.2.3-1: Roaming 5G System architecture with SMF/I-SMF - local breakout scenario in reference point representation</w:t>
      </w:r>
    </w:p>
    <w:p w14:paraId="23E66232" w14:textId="77777777" w:rsidR="00D40151" w:rsidRPr="00873B6C" w:rsidRDefault="00D40151" w:rsidP="00D40151">
      <w:r w:rsidRPr="00873B6C">
        <w:t>For the case of home routed scenario, Figure 4.2.4-6 applies.</w:t>
      </w:r>
    </w:p>
    <w:p w14:paraId="5851DE25" w14:textId="77777777" w:rsidR="00D40151" w:rsidRPr="00873B6C" w:rsidRDefault="00D40151" w:rsidP="00D40151">
      <w:pPr>
        <w:pStyle w:val="Heading3"/>
      </w:pPr>
      <w:bookmarkStart w:id="4940" w:name="_CR5_34_3"/>
      <w:bookmarkStart w:id="4941" w:name="_Toc20150168"/>
      <w:bookmarkStart w:id="4942" w:name="_Toc27846970"/>
      <w:bookmarkStart w:id="4943" w:name="_Toc36188101"/>
      <w:bookmarkStart w:id="4944" w:name="_Toc45184006"/>
      <w:bookmarkStart w:id="4945" w:name="_Toc47342848"/>
      <w:bookmarkStart w:id="4946" w:name="_Toc51769550"/>
      <w:bookmarkStart w:id="4947" w:name="_Toc201157621"/>
      <w:bookmarkEnd w:id="4940"/>
      <w:r w:rsidRPr="00873B6C">
        <w:lastRenderedPageBreak/>
        <w:t>5.34.3</w:t>
      </w:r>
      <w:r w:rsidRPr="00873B6C">
        <w:tab/>
        <w:t>I-SMF selection</w:t>
      </w:r>
      <w:bookmarkEnd w:id="4941"/>
      <w:bookmarkEnd w:id="4942"/>
      <w:r w:rsidRPr="00873B6C">
        <w:t>, V-SMF reselection</w:t>
      </w:r>
      <w:bookmarkEnd w:id="4943"/>
      <w:bookmarkEnd w:id="4944"/>
      <w:bookmarkEnd w:id="4945"/>
      <w:bookmarkEnd w:id="4946"/>
      <w:bookmarkEnd w:id="4947"/>
    </w:p>
    <w:p w14:paraId="58CED96A" w14:textId="77777777" w:rsidR="006101B9" w:rsidRPr="00873B6C" w:rsidRDefault="00D40151" w:rsidP="00D40151">
      <w:r w:rsidRPr="00873B6C">
        <w:t>The AMF is responsible of detecting when to add or to remove an I-SMF or a V-SMF for a PDU Session. For this purpose, the AMF gets from NRF information about the Service Area</w:t>
      </w:r>
      <w:r w:rsidR="006101B9" w:rsidRPr="00873B6C">
        <w:t xml:space="preserve"> and supported DNAI(s)</w:t>
      </w:r>
      <w:r w:rsidRPr="00873B6C">
        <w:t xml:space="preserve"> of SMF(s).</w:t>
      </w:r>
    </w:p>
    <w:p w14:paraId="57C4244E" w14:textId="60B5DFDF" w:rsidR="00D40151" w:rsidRPr="00873B6C" w:rsidRDefault="00D40151" w:rsidP="00D40151">
      <w:r w:rsidRPr="00873B6C">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873B6C">
        <w:t xml:space="preserve"> A V-SMF change may take place either at intra-PLMN or inter-PLMN mobility.</w:t>
      </w:r>
    </w:p>
    <w:p w14:paraId="2E1B91AE" w14:textId="587768B8" w:rsidR="006101B9" w:rsidRPr="00873B6C" w:rsidRDefault="006101B9" w:rsidP="00D40151">
      <w:r w:rsidRPr="00873B6C">
        <w:t xml:space="preserve">According to the PCC rules related with AF influence traffic mechanism regarding DNAI(s), the SMF determines the target DNAI which </w:t>
      </w:r>
      <w:r w:rsidR="00960CDA" w:rsidRPr="00873B6C">
        <w:t xml:space="preserve">is </w:t>
      </w:r>
      <w:r w:rsidRPr="00873B6C">
        <w:t>applicable to the current UE location</w:t>
      </w:r>
      <w:r w:rsidR="00AB1E8D" w:rsidRPr="00873B6C">
        <w:t xml:space="preserve"> and which can be based on the common DNAI (if applicable) as described in </w:t>
      </w:r>
      <w:r w:rsidR="00972E70" w:rsidRPr="00873B6C">
        <w:t>TS 23.548 [</w:t>
      </w:r>
      <w:r w:rsidR="00AB1E8D" w:rsidRPr="00873B6C">
        <w:t>130]</w:t>
      </w:r>
      <w:r w:rsidRPr="00873B6C">
        <w:t>. If current (I-)SMF cannot serve the target DNAI</w:t>
      </w:r>
      <w:r w:rsidR="00DA3BBC" w:rsidRPr="00873B6C">
        <w:t xml:space="preserve"> or if the SMF can server the target DNAI and existing I-SMF is not needed</w:t>
      </w:r>
      <w:r w:rsidRPr="00873B6C">
        <w:t>, the SMF may send the target DNAI</w:t>
      </w:r>
      <w:r w:rsidR="00960CDA" w:rsidRPr="00873B6C">
        <w:t xml:space="preserve"> information</w:t>
      </w:r>
      <w:r w:rsidRPr="00873B6C">
        <w:t xml:space="preserve"> to the AMF for triggering I-SMF (re)selection</w:t>
      </w:r>
      <w:r w:rsidR="00DA3BBC" w:rsidRPr="00873B6C">
        <w:t xml:space="preserve"> or removal</w:t>
      </w:r>
      <w:r w:rsidRPr="00873B6C">
        <w:t>, e.g. the AMF performs I-SMF (re)selection</w:t>
      </w:r>
      <w:r w:rsidR="00DA3BBC" w:rsidRPr="00873B6C">
        <w:t xml:space="preserve"> or removal</w:t>
      </w:r>
      <w:r w:rsidRPr="00873B6C">
        <w:t xml:space="preserve"> based on</w:t>
      </w:r>
      <w:r w:rsidR="00DA3BBC" w:rsidRPr="00873B6C">
        <w:t xml:space="preserve"> the</w:t>
      </w:r>
      <w:r w:rsidRPr="00873B6C">
        <w:t xml:space="preserve"> target DNAI</w:t>
      </w:r>
      <w:r w:rsidR="00DA3BBC" w:rsidRPr="00873B6C">
        <w:t xml:space="preserve"> and supported DNAI(s) of (I-)SMF</w:t>
      </w:r>
      <w:r w:rsidRPr="00873B6C">
        <w:t>.</w:t>
      </w:r>
      <w:r w:rsidR="0053150F" w:rsidRPr="00873B6C">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873B6C" w:rsidRDefault="00D40151" w:rsidP="00D40151">
      <w:r w:rsidRPr="00873B6C">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873B6C" w:rsidRDefault="00D40151" w:rsidP="00D40151">
      <w:r w:rsidRPr="00873B6C">
        <w:t>Compared to the SMF selection function defined in clause 6.3.2, the following parameters are not applicable for I-SMF</w:t>
      </w:r>
      <w:r w:rsidR="00704A9E" w:rsidRPr="00873B6C">
        <w:t>/V-SMF</w:t>
      </w:r>
      <w:r w:rsidRPr="00873B6C">
        <w:t xml:space="preserve"> selection:</w:t>
      </w:r>
    </w:p>
    <w:p w14:paraId="2FBA57BB" w14:textId="77777777" w:rsidR="00D40151" w:rsidRPr="00873B6C" w:rsidRDefault="00D40151" w:rsidP="00D40151">
      <w:pPr>
        <w:pStyle w:val="B1"/>
      </w:pPr>
      <w:r w:rsidRPr="00873B6C">
        <w:t>-</w:t>
      </w:r>
      <w:r w:rsidRPr="00873B6C">
        <w:tab/>
        <w:t>Data Network Name (DNN).</w:t>
      </w:r>
    </w:p>
    <w:p w14:paraId="1AC479BA" w14:textId="77777777" w:rsidR="00D40151" w:rsidRPr="00873B6C" w:rsidRDefault="00D40151" w:rsidP="00D40151">
      <w:pPr>
        <w:pStyle w:val="B1"/>
      </w:pPr>
      <w:r w:rsidRPr="00873B6C">
        <w:t>-</w:t>
      </w:r>
      <w:r w:rsidRPr="00873B6C">
        <w:tab/>
        <w:t>Subscription information from UDM.</w:t>
      </w:r>
    </w:p>
    <w:p w14:paraId="7E7E9169" w14:textId="6738F9AC" w:rsidR="00D40151" w:rsidRPr="00873B6C" w:rsidRDefault="00D40151" w:rsidP="00D40151">
      <w:pPr>
        <w:pStyle w:val="NO"/>
      </w:pPr>
      <w:r w:rsidRPr="00873B6C">
        <w:t>NOTE 1:</w:t>
      </w:r>
      <w:r w:rsidRPr="00873B6C">
        <w:tab/>
        <w:t xml:space="preserve">All SMF(s) and I-SMF are assumed to be able to control the UPF mapping between EPC bearers and 5GC </w:t>
      </w:r>
      <w:r w:rsidR="00426DE4" w:rsidRPr="00873B6C">
        <w:t>QoS Flow</w:t>
      </w:r>
      <w:r w:rsidRPr="00873B6C">
        <w:t>s.</w:t>
      </w:r>
    </w:p>
    <w:p w14:paraId="217D83D9" w14:textId="1B27FC12" w:rsidR="00114986" w:rsidRPr="00873B6C" w:rsidRDefault="00114986" w:rsidP="00D40151">
      <w:r w:rsidRPr="00873B6C">
        <w:t>If HR-SBO roaming is allowed for a PDU Session, the DNN is also considered for V-SMF selection.</w:t>
      </w:r>
    </w:p>
    <w:p w14:paraId="589D55DD" w14:textId="340AE846" w:rsidR="00D40151" w:rsidRPr="00873B6C" w:rsidRDefault="00D40151" w:rsidP="00D40151">
      <w:r w:rsidRPr="00873B6C">
        <w:t>If delegated SMF discovery is used at PDU Session establishment:</w:t>
      </w:r>
    </w:p>
    <w:p w14:paraId="26F3EEB5" w14:textId="77777777" w:rsidR="00D40151" w:rsidRPr="00873B6C" w:rsidRDefault="00D40151" w:rsidP="00D40151">
      <w:pPr>
        <w:pStyle w:val="B1"/>
      </w:pPr>
      <w:r w:rsidRPr="00873B6C">
        <w:t>1.</w:t>
      </w:r>
      <w:r w:rsidRPr="00873B6C">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873B6C" w:rsidRDefault="00D40151" w:rsidP="00D40151">
      <w:pPr>
        <w:pStyle w:val="B1"/>
      </w:pPr>
      <w:r w:rsidRPr="00873B6C">
        <w:t>2.</w:t>
      </w:r>
      <w:r w:rsidRPr="00873B6C">
        <w:tab/>
        <w:t>If the SCP cannot select an SMF matching all discovery and selection parameters, the SCP returns a dedicated error to AMF. In this case the I-SMF also need be discovered.</w:t>
      </w:r>
    </w:p>
    <w:p w14:paraId="20ADC783" w14:textId="77777777" w:rsidR="00D40151" w:rsidRPr="00873B6C" w:rsidRDefault="00D40151" w:rsidP="00D40151">
      <w:pPr>
        <w:pStyle w:val="B1"/>
      </w:pPr>
      <w:r w:rsidRPr="00873B6C">
        <w:t>3.</w:t>
      </w:r>
      <w:r w:rsidRPr="00873B6C">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873B6C" w:rsidRDefault="00D40151" w:rsidP="00D40151">
      <w:pPr>
        <w:pStyle w:val="B1"/>
      </w:pPr>
      <w:r w:rsidRPr="00873B6C">
        <w:t>4.</w:t>
      </w:r>
      <w:r w:rsidRPr="00873B6C">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873B6C" w:rsidRDefault="00D40151" w:rsidP="00D40151">
      <w:pPr>
        <w:pStyle w:val="B1"/>
      </w:pPr>
      <w:r w:rsidRPr="00873B6C">
        <w:t>5.</w:t>
      </w:r>
      <w:r w:rsidRPr="00873B6C">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873B6C" w:rsidRDefault="00D40151" w:rsidP="00D40151">
      <w:pPr>
        <w:pStyle w:val="B1"/>
      </w:pPr>
      <w:r w:rsidRPr="00873B6C">
        <w:lastRenderedPageBreak/>
        <w:t>6.</w:t>
      </w:r>
      <w:r w:rsidRPr="00873B6C">
        <w:tab/>
        <w:t>The SMF answers to the I-SMF that answers to the AMF; in this answer the AMF receives the I-SMF ID.</w:t>
      </w:r>
    </w:p>
    <w:p w14:paraId="6251B90E" w14:textId="77777777" w:rsidR="00D40151" w:rsidRPr="00873B6C" w:rsidRDefault="00D40151" w:rsidP="00D40151">
      <w:pPr>
        <w:pStyle w:val="B1"/>
      </w:pPr>
      <w:r w:rsidRPr="00873B6C">
        <w:t>7.</w:t>
      </w:r>
      <w:r w:rsidRPr="00873B6C">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185DA4B" w:rsidR="00D40151" w:rsidRPr="00873B6C" w:rsidRDefault="00D40151" w:rsidP="00D40151">
      <w:bookmarkStart w:id="4948" w:name="_Toc20150169"/>
      <w:bookmarkStart w:id="4949" w:name="_Toc27846971"/>
      <w:r w:rsidRPr="00873B6C">
        <w:t xml:space="preserve">If delegated I-SMF discovery is used once the PDU Session establishment has been established, the procedure starts at step 4 above and is further detailed in the messages flows </w:t>
      </w:r>
      <w:r w:rsidR="00D602DF" w:rsidRPr="00873B6C">
        <w:t>in</w:t>
      </w:r>
      <w:r w:rsidRPr="00873B6C">
        <w:t xml:space="preserve"> </w:t>
      </w:r>
      <w:r w:rsidR="00D602DF" w:rsidRPr="00873B6C">
        <w:t xml:space="preserve">clause 23 of </w:t>
      </w:r>
      <w:r w:rsidR="00972E70" w:rsidRPr="00873B6C">
        <w:t>TS 23.502 [</w:t>
      </w:r>
      <w:r w:rsidRPr="00873B6C">
        <w:t>3].</w:t>
      </w:r>
    </w:p>
    <w:p w14:paraId="39A21A3B" w14:textId="116C26F0" w:rsidR="00D40151" w:rsidRPr="00873B6C" w:rsidRDefault="00D40151" w:rsidP="00D40151">
      <w:r w:rsidRPr="00873B6C">
        <w:t>If delegated V-SMF discovery is used for V-SMF reselection, clause 6.3.2 applies, but there is no need for discovery and selection of the H-SMF. This is further detailed in the messages flows</w:t>
      </w:r>
      <w:r w:rsidR="00D602DF" w:rsidRPr="00873B6C">
        <w:t xml:space="preserve"> in clause 23</w:t>
      </w:r>
      <w:r w:rsidRPr="00873B6C">
        <w:t xml:space="preserve"> of </w:t>
      </w:r>
      <w:r w:rsidR="00972E70" w:rsidRPr="00873B6C">
        <w:t>TS 23.502 [</w:t>
      </w:r>
      <w:r w:rsidRPr="00873B6C">
        <w:t>3].</w:t>
      </w:r>
    </w:p>
    <w:p w14:paraId="1AD52260" w14:textId="77777777" w:rsidR="00D40151" w:rsidRPr="00873B6C" w:rsidRDefault="00D40151" w:rsidP="00D40151">
      <w:pPr>
        <w:pStyle w:val="Heading3"/>
      </w:pPr>
      <w:bookmarkStart w:id="4950" w:name="_CR5_34_4"/>
      <w:bookmarkStart w:id="4951" w:name="_Toc36188102"/>
      <w:bookmarkStart w:id="4952" w:name="_Toc45184007"/>
      <w:bookmarkStart w:id="4953" w:name="_Toc47342849"/>
      <w:bookmarkStart w:id="4954" w:name="_Toc51769551"/>
      <w:bookmarkStart w:id="4955" w:name="_Toc201157622"/>
      <w:bookmarkEnd w:id="4950"/>
      <w:r w:rsidRPr="00873B6C">
        <w:t>5.34.4</w:t>
      </w:r>
      <w:r w:rsidRPr="00873B6C">
        <w:tab/>
        <w:t>Usage of an UL Classifier for a PDU Session controlled by I-SMF</w:t>
      </w:r>
      <w:bookmarkEnd w:id="4948"/>
      <w:bookmarkEnd w:id="4949"/>
      <w:bookmarkEnd w:id="4951"/>
      <w:bookmarkEnd w:id="4952"/>
      <w:bookmarkEnd w:id="4953"/>
      <w:bookmarkEnd w:id="4954"/>
      <w:bookmarkEnd w:id="4955"/>
    </w:p>
    <w:p w14:paraId="7D9487A6" w14:textId="77777777" w:rsidR="00D40151" w:rsidRPr="00873B6C" w:rsidRDefault="00D40151" w:rsidP="00D40151">
      <w:r w:rsidRPr="00873B6C">
        <w:t>This clause applies only in the case of non-roaming or LBO roaming as control of UL CL/BP in VPLMN is not supported in HR case.</w:t>
      </w:r>
    </w:p>
    <w:p w14:paraId="4624F626" w14:textId="77777777" w:rsidR="00D40151" w:rsidRPr="00873B6C" w:rsidRDefault="00D40151" w:rsidP="00D40151">
      <w:r w:rsidRPr="00873B6C">
        <w:t>When I-SMF is involved for a PDU Session, it is possible that the UL CL controlled by I-SMF is inserted into the data path of the PDU Session. The usage of an ULCL controlled by I-SMF in the data path of a PDU Session is depicted in Figure 5.34.4-1.</w:t>
      </w:r>
    </w:p>
    <w:bookmarkStart w:id="4956" w:name="_MON_1608475077"/>
    <w:bookmarkEnd w:id="4956"/>
    <w:p w14:paraId="1303D99D" w14:textId="77777777" w:rsidR="00D40151" w:rsidRPr="00873B6C" w:rsidRDefault="00D40151" w:rsidP="00D40151">
      <w:pPr>
        <w:pStyle w:val="TH"/>
      </w:pPr>
      <w:r w:rsidRPr="00873B6C">
        <w:object w:dxaOrig="7655" w:dyaOrig="3683" w14:anchorId="43AF3E1E">
          <v:shape id="_x0000_i1119" type="#_x0000_t75" style="width:381.9pt;height:185.3pt" o:ole="">
            <v:imagedata r:id="rId197" o:title=""/>
          </v:shape>
          <o:OLEObject Type="Embed" ProgID="Word.Picture.8" ShapeID="_x0000_i1119" DrawAspect="Content" ObjectID="_1811772453" r:id="rId198"/>
        </w:object>
      </w:r>
    </w:p>
    <w:p w14:paraId="15C00C4B" w14:textId="77777777" w:rsidR="00D40151" w:rsidRPr="00873B6C" w:rsidRDefault="00D40151" w:rsidP="00D40151">
      <w:pPr>
        <w:pStyle w:val="TF"/>
      </w:pPr>
      <w:bookmarkStart w:id="4957" w:name="_CRFigure5_34_41"/>
      <w:r w:rsidRPr="00873B6C">
        <w:t xml:space="preserve">Figure </w:t>
      </w:r>
      <w:bookmarkEnd w:id="4957"/>
      <w:r w:rsidRPr="00873B6C">
        <w:t>5.34.4-1: User plane Architecture for the Uplink Classifier controlled by I-SMF</w:t>
      </w:r>
    </w:p>
    <w:p w14:paraId="03A44BD4" w14:textId="3F8E793F" w:rsidR="00D40151" w:rsidRPr="00873B6C" w:rsidRDefault="00D40151" w:rsidP="00D40151">
      <w:r w:rsidRPr="00873B6C">
        <w:t>The I-SMF determines whether UL CL will be inserted based on information received from SMF</w:t>
      </w:r>
      <w:r w:rsidR="00472CD7" w:rsidRPr="00873B6C">
        <w:t xml:space="preserve"> and</w:t>
      </w:r>
      <w:r w:rsidRPr="00873B6C">
        <w:t xml:space="preserve"> the I-SMF selects the UPFs acting as UL CL and/or PDU Session Anchor providing local access to the Data Network.</w:t>
      </w:r>
    </w:p>
    <w:p w14:paraId="50FDA86E" w14:textId="77777777" w:rsidR="00D40151" w:rsidRPr="00873B6C" w:rsidRDefault="00D40151" w:rsidP="00D40151">
      <w:pPr>
        <w:pStyle w:val="Heading3"/>
      </w:pPr>
      <w:bookmarkStart w:id="4958" w:name="_CR5_34_5"/>
      <w:bookmarkStart w:id="4959" w:name="_Toc20150170"/>
      <w:bookmarkStart w:id="4960" w:name="_Toc27846972"/>
      <w:bookmarkStart w:id="4961" w:name="_Toc36188103"/>
      <w:bookmarkStart w:id="4962" w:name="_Toc45184008"/>
      <w:bookmarkStart w:id="4963" w:name="_Toc47342850"/>
      <w:bookmarkStart w:id="4964" w:name="_Toc51769552"/>
      <w:bookmarkStart w:id="4965" w:name="_Toc201157623"/>
      <w:bookmarkEnd w:id="4958"/>
      <w:r w:rsidRPr="00873B6C">
        <w:t>5.34.5</w:t>
      </w:r>
      <w:r w:rsidRPr="00873B6C">
        <w:tab/>
        <w:t>Usage of IPv6 multi-homing for a PDU Session controlled by I-SMF</w:t>
      </w:r>
      <w:bookmarkEnd w:id="4959"/>
      <w:bookmarkEnd w:id="4960"/>
      <w:bookmarkEnd w:id="4961"/>
      <w:bookmarkEnd w:id="4962"/>
      <w:bookmarkEnd w:id="4963"/>
      <w:bookmarkEnd w:id="4964"/>
      <w:bookmarkEnd w:id="4965"/>
    </w:p>
    <w:p w14:paraId="2E336871" w14:textId="77777777" w:rsidR="00D40151" w:rsidRPr="00873B6C" w:rsidRDefault="00D40151" w:rsidP="00D40151">
      <w:r w:rsidRPr="00873B6C">
        <w:t>This clause applies only in the case of non-roaming or LBO roaming as control of UL CL/BP in VPLMN is not supported in HR case.</w:t>
      </w:r>
    </w:p>
    <w:p w14:paraId="053A80C9" w14:textId="77777777" w:rsidR="00D40151" w:rsidRPr="00873B6C" w:rsidRDefault="00D40151" w:rsidP="00D40151">
      <w:r w:rsidRPr="00873B6C">
        <w:t>When I-SMF is involved for a PDU Session, it is possible that the BP controlled by I-SMF is inserted into the data path of the PDU Session. The usage of a BP controlled by I-SMF in the data path of a PDU Session is depicted in Figure 5.34.5-1.</w:t>
      </w:r>
    </w:p>
    <w:bookmarkStart w:id="4966" w:name="_MON_1608475473"/>
    <w:bookmarkEnd w:id="4966"/>
    <w:p w14:paraId="306B484E" w14:textId="77777777" w:rsidR="00D40151" w:rsidRPr="00873B6C" w:rsidRDefault="00D40151" w:rsidP="00D40151">
      <w:pPr>
        <w:pStyle w:val="TH"/>
      </w:pPr>
      <w:r w:rsidRPr="00873B6C">
        <w:object w:dxaOrig="7655" w:dyaOrig="3683" w14:anchorId="34EEDCDE">
          <v:shape id="_x0000_i1120" type="#_x0000_t75" style="width:381.9pt;height:185.3pt" o:ole="">
            <v:imagedata r:id="rId199" o:title=""/>
          </v:shape>
          <o:OLEObject Type="Embed" ProgID="Word.Picture.8" ShapeID="_x0000_i1120" DrawAspect="Content" ObjectID="_1811772454" r:id="rId200"/>
        </w:object>
      </w:r>
    </w:p>
    <w:p w14:paraId="1EC1B566" w14:textId="77777777" w:rsidR="00D40151" w:rsidRPr="00873B6C" w:rsidRDefault="00D40151" w:rsidP="00D40151">
      <w:pPr>
        <w:pStyle w:val="TF"/>
      </w:pPr>
      <w:bookmarkStart w:id="4967" w:name="_CRFigure5_34_51"/>
      <w:r w:rsidRPr="00873B6C">
        <w:t xml:space="preserve">Figure </w:t>
      </w:r>
      <w:bookmarkEnd w:id="4967"/>
      <w:r w:rsidRPr="00873B6C">
        <w:t>5.34.5-1: Multi-homed PDU Session: Branching Point controlled by I-SMF</w:t>
      </w:r>
    </w:p>
    <w:p w14:paraId="0858D476" w14:textId="1B08B26F" w:rsidR="00D40151" w:rsidRPr="00873B6C" w:rsidRDefault="00D40151" w:rsidP="00D40151">
      <w:r w:rsidRPr="00873B6C">
        <w:t>The I-SMF determines whether BP will be inserted based on information received from SMF</w:t>
      </w:r>
      <w:r w:rsidR="00472CD7" w:rsidRPr="00873B6C">
        <w:t xml:space="preserve"> and</w:t>
      </w:r>
      <w:r w:rsidRPr="00873B6C">
        <w:t xml:space="preserve"> the I-SMF selects the UPFs acting as BP and/or PDU Session Anchor providing local access to the Data Network.</w:t>
      </w:r>
    </w:p>
    <w:p w14:paraId="52DB7481" w14:textId="77777777" w:rsidR="00D40151" w:rsidRPr="00873B6C" w:rsidRDefault="00D40151" w:rsidP="00D40151">
      <w:pPr>
        <w:pStyle w:val="Heading3"/>
      </w:pPr>
      <w:bookmarkStart w:id="4968" w:name="_CR5_34_6"/>
      <w:bookmarkStart w:id="4969" w:name="_Toc20150171"/>
      <w:bookmarkStart w:id="4970" w:name="_Toc27846973"/>
      <w:bookmarkStart w:id="4971" w:name="_Toc36188104"/>
      <w:bookmarkStart w:id="4972" w:name="_Toc45184009"/>
      <w:bookmarkStart w:id="4973" w:name="_Toc47342851"/>
      <w:bookmarkStart w:id="4974" w:name="_Toc51769553"/>
      <w:bookmarkStart w:id="4975" w:name="_Toc201157624"/>
      <w:bookmarkEnd w:id="4968"/>
      <w:r w:rsidRPr="00873B6C">
        <w:t>5.34.6</w:t>
      </w:r>
      <w:r w:rsidRPr="00873B6C">
        <w:tab/>
        <w:t>Interaction between I-SMF and SMF for the support of traffic offload by UPF controlled by the I-SMF</w:t>
      </w:r>
      <w:bookmarkEnd w:id="4969"/>
      <w:bookmarkEnd w:id="4970"/>
      <w:bookmarkEnd w:id="4971"/>
      <w:bookmarkEnd w:id="4972"/>
      <w:bookmarkEnd w:id="4973"/>
      <w:bookmarkEnd w:id="4974"/>
      <w:bookmarkEnd w:id="4975"/>
    </w:p>
    <w:p w14:paraId="48115733" w14:textId="77777777" w:rsidR="00D40151" w:rsidRPr="00873B6C" w:rsidRDefault="00D40151" w:rsidP="00D40151">
      <w:pPr>
        <w:pStyle w:val="Heading4"/>
      </w:pPr>
      <w:bookmarkStart w:id="4976" w:name="_CR5_34_6_1"/>
      <w:bookmarkStart w:id="4977" w:name="_Toc20150172"/>
      <w:bookmarkStart w:id="4978" w:name="_Toc27846974"/>
      <w:bookmarkStart w:id="4979" w:name="_Toc36188105"/>
      <w:bookmarkStart w:id="4980" w:name="_Toc45184010"/>
      <w:bookmarkStart w:id="4981" w:name="_Toc47342852"/>
      <w:bookmarkStart w:id="4982" w:name="_Toc51769554"/>
      <w:bookmarkStart w:id="4983" w:name="_Toc201157625"/>
      <w:bookmarkEnd w:id="4976"/>
      <w:r w:rsidRPr="00873B6C">
        <w:t>5.34.6.1</w:t>
      </w:r>
      <w:r w:rsidRPr="00873B6C">
        <w:tab/>
        <w:t>General</w:t>
      </w:r>
      <w:bookmarkEnd w:id="4977"/>
      <w:bookmarkEnd w:id="4978"/>
      <w:bookmarkEnd w:id="4979"/>
      <w:bookmarkEnd w:id="4980"/>
      <w:bookmarkEnd w:id="4981"/>
      <w:bookmarkEnd w:id="4982"/>
      <w:bookmarkEnd w:id="4983"/>
    </w:p>
    <w:p w14:paraId="5C4B0D4D" w14:textId="77777777" w:rsidR="00D40151" w:rsidRPr="00873B6C" w:rsidRDefault="00D40151" w:rsidP="00D40151">
      <w:r w:rsidRPr="00873B6C">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873B6C" w:rsidRDefault="00D40151" w:rsidP="00D40151">
      <w:r w:rsidRPr="00873B6C">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4469D93A" w:rsidR="00D40151" w:rsidRPr="00873B6C" w:rsidRDefault="00D40151" w:rsidP="00D40151">
      <w:r w:rsidRPr="00873B6C">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w:t>
      </w:r>
      <w:r w:rsidR="00472CD7" w:rsidRPr="00873B6C">
        <w:t xml:space="preserve"> and</w:t>
      </w:r>
      <w:r w:rsidRPr="00873B6C">
        <w:t xml:space="preserve"> insert these UPF(s) into the data path of the PDU Session.</w:t>
      </w:r>
    </w:p>
    <w:p w14:paraId="0CF1B9CB" w14:textId="77777777" w:rsidR="00D40151" w:rsidRPr="00873B6C" w:rsidRDefault="00D40151" w:rsidP="00D40151">
      <w:r w:rsidRPr="00873B6C">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873B6C" w:rsidRDefault="00D40151" w:rsidP="00D40151">
      <w:r w:rsidRPr="00873B6C">
        <w:t>From now on the SMF and I-SMF interactions entail:</w:t>
      </w:r>
    </w:p>
    <w:p w14:paraId="09176518" w14:textId="77777777" w:rsidR="00D40151" w:rsidRPr="00873B6C" w:rsidRDefault="00D40151" w:rsidP="00D40151">
      <w:pPr>
        <w:pStyle w:val="B1"/>
      </w:pPr>
      <w:r w:rsidRPr="00873B6C">
        <w:t>-</w:t>
      </w:r>
      <w:r w:rsidRPr="00873B6C">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873B6C" w:rsidRDefault="00D40151" w:rsidP="00D40151">
      <w:pPr>
        <w:pStyle w:val="B1"/>
      </w:pPr>
      <w:r w:rsidRPr="00873B6C">
        <w:t>-</w:t>
      </w:r>
      <w:r w:rsidRPr="00873B6C">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873B6C" w:rsidRDefault="00D40151" w:rsidP="00D40151">
      <w:pPr>
        <w:pStyle w:val="B1"/>
      </w:pPr>
      <w:r w:rsidRPr="00873B6C">
        <w:t>-</w:t>
      </w:r>
      <w:r w:rsidRPr="00873B6C">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873B6C" w:rsidRDefault="00D40151" w:rsidP="00D40151">
      <w:pPr>
        <w:pStyle w:val="NO"/>
      </w:pPr>
      <w:r w:rsidRPr="00873B6C">
        <w:lastRenderedPageBreak/>
        <w:t>NOTE:</w:t>
      </w:r>
      <w:r w:rsidRPr="00873B6C">
        <w:tab/>
        <w:t>How the SMF decides what traffic steering and enforcement actions are enforced in UPF(s) controlled by I-SMF is left for implementation.</w:t>
      </w:r>
    </w:p>
    <w:p w14:paraId="5427EF08" w14:textId="77777777" w:rsidR="00D40151" w:rsidRPr="00873B6C" w:rsidRDefault="00D40151" w:rsidP="00D40151">
      <w:r w:rsidRPr="00873B6C">
        <w:t>The I-SMF is responsible of the N4 interface towards the local UPF(s) including:</w:t>
      </w:r>
    </w:p>
    <w:p w14:paraId="1B09F268" w14:textId="77777777" w:rsidR="00D40151" w:rsidRPr="00873B6C" w:rsidRDefault="00D40151" w:rsidP="00D40151">
      <w:pPr>
        <w:pStyle w:val="B1"/>
      </w:pPr>
      <w:r w:rsidRPr="00873B6C">
        <w:t>-</w:t>
      </w:r>
      <w:r w:rsidRPr="00873B6C">
        <w:tab/>
        <w:t>the usage of AN Tunnel Info received from the 5G AN via the AMF in order to build PDR and FAR;</w:t>
      </w:r>
    </w:p>
    <w:p w14:paraId="67A533DB" w14:textId="77777777" w:rsidR="00D40151" w:rsidRPr="00873B6C" w:rsidRDefault="00D40151" w:rsidP="00D40151">
      <w:pPr>
        <w:pStyle w:val="B1"/>
      </w:pPr>
      <w:r w:rsidRPr="00873B6C">
        <w:t>-</w:t>
      </w:r>
      <w:r w:rsidRPr="00873B6C">
        <w:tab/>
        <w:t>requesting the allocation of the CN Tunnel Info between local UPFs (if needed);</w:t>
      </w:r>
    </w:p>
    <w:p w14:paraId="47C33B9D" w14:textId="77777777" w:rsidR="00D40151" w:rsidRPr="00873B6C" w:rsidRDefault="00D40151" w:rsidP="00D40151">
      <w:pPr>
        <w:pStyle w:val="B1"/>
      </w:pPr>
      <w:r w:rsidRPr="00873B6C">
        <w:t>-</w:t>
      </w:r>
      <w:r w:rsidRPr="00873B6C">
        <w:tab/>
        <w:t>to control UPF actions when the UP of the PDU Session becomes INACTIVE.</w:t>
      </w:r>
    </w:p>
    <w:p w14:paraId="27D2D4D2" w14:textId="77777777" w:rsidR="00D40151" w:rsidRPr="00873B6C" w:rsidRDefault="00D40151" w:rsidP="00D40151">
      <w:pPr>
        <w:pStyle w:val="B1"/>
      </w:pPr>
      <w:bookmarkStart w:id="4984" w:name="_Toc20150173"/>
      <w:r w:rsidRPr="00873B6C">
        <w:t>-</w:t>
      </w:r>
      <w:r w:rsidRPr="00873B6C">
        <w:tab/>
        <w:t>provide Trace Requirements on the N4 interface towards the UPF(s) it is controlling, using Trace Requirements received from AMF.</w:t>
      </w:r>
    </w:p>
    <w:p w14:paraId="5E3B4D83" w14:textId="77777777" w:rsidR="00D40151" w:rsidRPr="00873B6C" w:rsidRDefault="00D40151" w:rsidP="00D40151">
      <w:pPr>
        <w:pStyle w:val="Heading4"/>
      </w:pPr>
      <w:bookmarkStart w:id="4985" w:name="_CR5_34_6_2"/>
      <w:bookmarkStart w:id="4986" w:name="_Toc27846975"/>
      <w:bookmarkStart w:id="4987" w:name="_Toc36188106"/>
      <w:bookmarkStart w:id="4988" w:name="_Toc45184011"/>
      <w:bookmarkStart w:id="4989" w:name="_Toc47342853"/>
      <w:bookmarkStart w:id="4990" w:name="_Toc51769555"/>
      <w:bookmarkStart w:id="4991" w:name="_Toc201157626"/>
      <w:bookmarkEnd w:id="4985"/>
      <w:r w:rsidRPr="00873B6C">
        <w:t>5.34.6.2</w:t>
      </w:r>
      <w:r w:rsidRPr="00873B6C">
        <w:tab/>
        <w:t>N4 information sent from SMF to I-SMF for local traffic offload</w:t>
      </w:r>
      <w:bookmarkEnd w:id="4984"/>
      <w:bookmarkEnd w:id="4986"/>
      <w:bookmarkEnd w:id="4987"/>
      <w:bookmarkEnd w:id="4988"/>
      <w:bookmarkEnd w:id="4989"/>
      <w:bookmarkEnd w:id="4990"/>
      <w:bookmarkEnd w:id="4991"/>
    </w:p>
    <w:p w14:paraId="24197089" w14:textId="6A5EA1D4" w:rsidR="00D40151" w:rsidRPr="00873B6C" w:rsidRDefault="00D40151" w:rsidP="00D40151">
      <w:pPr>
        <w:rPr>
          <w:lang w:eastAsia="x-none"/>
        </w:rPr>
      </w:pPr>
      <w:r w:rsidRPr="00873B6C">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w:t>
      </w:r>
      <w:r w:rsidR="00472CD7" w:rsidRPr="00873B6C">
        <w:rPr>
          <w:lang w:eastAsia="x-none"/>
        </w:rPr>
        <w:t xml:space="preserve"> and</w:t>
      </w:r>
      <w:r w:rsidRPr="00873B6C">
        <w:rPr>
          <w:lang w:eastAsia="x-none"/>
        </w:rPr>
        <w:t xml:space="preserve"> the I-SMF uses this N4 information to derive rules installed in the UPFs controlled by the I-SMF.</w:t>
      </w:r>
    </w:p>
    <w:p w14:paraId="7EFEF85B" w14:textId="1C81B6AF" w:rsidR="00D40151" w:rsidRPr="00873B6C" w:rsidRDefault="00D40151" w:rsidP="00D40151">
      <w:pPr>
        <w:rPr>
          <w:lang w:eastAsia="x-none"/>
        </w:rPr>
      </w:pPr>
      <w:r w:rsidRPr="00873B6C">
        <w:rPr>
          <w:lang w:eastAsia="x-none"/>
        </w:rPr>
        <w:t>The N4 information for local traffic offload corresponds to rules and parameters defined in clause </w:t>
      </w:r>
      <w:r w:rsidR="003D4653" w:rsidRPr="00873B6C">
        <w:rPr>
          <w:lang w:eastAsia="x-none"/>
        </w:rPr>
        <w:t>5.8.5</w:t>
      </w:r>
      <w:r w:rsidRPr="00873B6C">
        <w:rPr>
          <w:lang w:eastAsia="x-none"/>
        </w:rPr>
        <w:t>, i.e. PDR, FAR, URR and QER. It contains identifiers allowing the SMF to later modify or delete these rules.</w:t>
      </w:r>
    </w:p>
    <w:p w14:paraId="168AAAEE" w14:textId="77777777" w:rsidR="00D40151" w:rsidRPr="00873B6C" w:rsidRDefault="00D40151" w:rsidP="00D40151">
      <w:pPr>
        <w:rPr>
          <w:lang w:eastAsia="x-none"/>
        </w:rPr>
      </w:pPr>
      <w:r w:rsidRPr="00873B6C">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873B6C" w:rsidRDefault="00D40151" w:rsidP="00D40151">
      <w:pPr>
        <w:pStyle w:val="NO"/>
      </w:pPr>
      <w:r w:rsidRPr="00873B6C">
        <w:t>NOTE:</w:t>
      </w:r>
      <w:r w:rsidRPr="00873B6C">
        <w:tab/>
        <w:t>The SMF is not aware of whether there is a single PSA or multiple PSA controlled by I-SMF.</w:t>
      </w:r>
    </w:p>
    <w:p w14:paraId="130BBF30" w14:textId="77777777" w:rsidR="00D40151" w:rsidRPr="00873B6C" w:rsidRDefault="00D40151" w:rsidP="00D40151">
      <w:pPr>
        <w:rPr>
          <w:lang w:eastAsia="x-none"/>
        </w:rPr>
      </w:pPr>
      <w:r w:rsidRPr="00873B6C">
        <w:rPr>
          <w:lang w:eastAsia="x-none"/>
        </w:rPr>
        <w:t>The following parameters are managed by the I-SMF:</w:t>
      </w:r>
    </w:p>
    <w:p w14:paraId="44B25999" w14:textId="77777777" w:rsidR="00D40151" w:rsidRPr="00873B6C" w:rsidRDefault="00D40151" w:rsidP="00D40151">
      <w:pPr>
        <w:pStyle w:val="B1"/>
      </w:pPr>
      <w:r w:rsidRPr="00873B6C">
        <w:t>-</w:t>
      </w:r>
      <w:r w:rsidRPr="00873B6C">
        <w:tab/>
        <w:t>The 5G AN Tunnel Info.</w:t>
      </w:r>
    </w:p>
    <w:p w14:paraId="09240F2A" w14:textId="77777777" w:rsidR="00D40151" w:rsidRPr="00873B6C" w:rsidRDefault="00D40151" w:rsidP="00D40151">
      <w:pPr>
        <w:pStyle w:val="B1"/>
      </w:pPr>
      <w:r w:rsidRPr="00873B6C">
        <w:t>-</w:t>
      </w:r>
      <w:r w:rsidRPr="00873B6C">
        <w:tab/>
        <w:t>CN tunnel info between local UPFs.</w:t>
      </w:r>
    </w:p>
    <w:p w14:paraId="476663CC" w14:textId="77777777" w:rsidR="00D40151" w:rsidRPr="00873B6C" w:rsidRDefault="00D40151" w:rsidP="00D40151">
      <w:pPr>
        <w:pStyle w:val="B1"/>
      </w:pPr>
      <w:r w:rsidRPr="00873B6C">
        <w:t>-</w:t>
      </w:r>
      <w:r w:rsidRPr="00873B6C">
        <w:tab/>
        <w:t>Network instance (if needed).</w:t>
      </w:r>
    </w:p>
    <w:p w14:paraId="3E0F6306" w14:textId="77777777" w:rsidR="00D40151" w:rsidRPr="00873B6C" w:rsidRDefault="00D40151" w:rsidP="00D40151">
      <w:r w:rsidRPr="00873B6C">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873B6C" w:rsidRDefault="00D40151" w:rsidP="00D40151">
      <w:r w:rsidRPr="00873B6C">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873B6C" w:rsidRDefault="00D40151" w:rsidP="00D40151">
      <w:pPr>
        <w:pStyle w:val="Heading3"/>
      </w:pPr>
      <w:bookmarkStart w:id="4992" w:name="_CR5_34_7"/>
      <w:bookmarkStart w:id="4993" w:name="_Toc27846976"/>
      <w:bookmarkStart w:id="4994" w:name="_Toc36188107"/>
      <w:bookmarkStart w:id="4995" w:name="_Toc45184012"/>
      <w:bookmarkStart w:id="4996" w:name="_Toc47342854"/>
      <w:bookmarkStart w:id="4997" w:name="_Toc51769556"/>
      <w:bookmarkStart w:id="4998" w:name="_Toc20150174"/>
      <w:bookmarkStart w:id="4999" w:name="_Toc201157627"/>
      <w:bookmarkEnd w:id="4992"/>
      <w:r w:rsidRPr="00873B6C">
        <w:t>5.34.7</w:t>
      </w:r>
      <w:r w:rsidRPr="00873B6C">
        <w:tab/>
        <w:t>Event Management</w:t>
      </w:r>
      <w:bookmarkEnd w:id="4993"/>
      <w:bookmarkEnd w:id="4994"/>
      <w:bookmarkEnd w:id="4995"/>
      <w:bookmarkEnd w:id="4996"/>
      <w:bookmarkEnd w:id="4997"/>
      <w:bookmarkEnd w:id="4999"/>
    </w:p>
    <w:p w14:paraId="075D52B4" w14:textId="77777777" w:rsidR="00D40151" w:rsidRPr="00873B6C" w:rsidRDefault="00D40151" w:rsidP="00D40151">
      <w:pPr>
        <w:pStyle w:val="Heading4"/>
      </w:pPr>
      <w:bookmarkStart w:id="5000" w:name="_CR5_34_7_1"/>
      <w:bookmarkStart w:id="5001" w:name="_Toc27846977"/>
      <w:bookmarkStart w:id="5002" w:name="_Toc36188108"/>
      <w:bookmarkStart w:id="5003" w:name="_Toc45184013"/>
      <w:bookmarkStart w:id="5004" w:name="_Toc47342855"/>
      <w:bookmarkStart w:id="5005" w:name="_Toc51769557"/>
      <w:bookmarkStart w:id="5006" w:name="_Toc201157628"/>
      <w:bookmarkEnd w:id="5000"/>
      <w:r w:rsidRPr="00873B6C">
        <w:t>5.34.7.1</w:t>
      </w:r>
      <w:r w:rsidRPr="00873B6C">
        <w:tab/>
        <w:t>UE's Mobility Event Management</w:t>
      </w:r>
      <w:bookmarkEnd w:id="4998"/>
      <w:bookmarkEnd w:id="5001"/>
      <w:bookmarkEnd w:id="5002"/>
      <w:bookmarkEnd w:id="5003"/>
      <w:bookmarkEnd w:id="5004"/>
      <w:bookmarkEnd w:id="5005"/>
      <w:bookmarkEnd w:id="5006"/>
    </w:p>
    <w:p w14:paraId="223A7346" w14:textId="74D9E4E1" w:rsidR="00D40151" w:rsidRPr="00873B6C" w:rsidRDefault="00D40151" w:rsidP="00D40151">
      <w:r w:rsidRPr="00873B6C">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972E70" w:rsidRPr="00873B6C">
        <w:t>TS 23.502 [</w:t>
      </w:r>
      <w:r w:rsidRPr="00873B6C">
        <w:t>3] and subscribes directly with the serving AMF.</w:t>
      </w:r>
    </w:p>
    <w:p w14:paraId="3764FA87" w14:textId="77777777" w:rsidR="00D40151" w:rsidRPr="00873B6C" w:rsidRDefault="00D40151" w:rsidP="00D40151">
      <w:r w:rsidRPr="00873B6C">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873B6C" w:rsidRDefault="00D40151" w:rsidP="00D40151">
      <w:bookmarkStart w:id="5007" w:name="_Toc20150175"/>
      <w:r w:rsidRPr="00873B6C">
        <w:t xml:space="preserve">In the case of I-SMF change or I-SMF insertion (e.g. at Inter NG-RAN node N2 based handover), the subscription of mobility event (from AMF) is not transferred from the old I-SMF or SMF to the new I-SMF, the new I-SMF triggers a </w:t>
      </w:r>
      <w:r w:rsidRPr="00873B6C">
        <w:lastRenderedPageBreak/>
        <w:t>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873B6C" w:rsidRDefault="00D40151" w:rsidP="00D40151">
      <w:r w:rsidRPr="00873B6C">
        <w:t>The subscription from the old SMF entity (old I-SMF, SMF) is removed via an explicitly request from this old SMF entity.</w:t>
      </w:r>
    </w:p>
    <w:p w14:paraId="747A4A3A" w14:textId="77777777" w:rsidR="00D40151" w:rsidRPr="00873B6C" w:rsidRDefault="00D40151" w:rsidP="00D40151">
      <w:pPr>
        <w:pStyle w:val="Heading4"/>
      </w:pPr>
      <w:bookmarkStart w:id="5008" w:name="_CR5_34_7_2"/>
      <w:bookmarkStart w:id="5009" w:name="_Toc27846978"/>
      <w:bookmarkStart w:id="5010" w:name="_Toc36188109"/>
      <w:bookmarkStart w:id="5011" w:name="_Toc45184014"/>
      <w:bookmarkStart w:id="5012" w:name="_Toc47342856"/>
      <w:bookmarkStart w:id="5013" w:name="_Toc51769558"/>
      <w:bookmarkStart w:id="5014" w:name="_Toc201157629"/>
      <w:bookmarkEnd w:id="5008"/>
      <w:r w:rsidRPr="00873B6C">
        <w:t>5.34.7.2</w:t>
      </w:r>
      <w:r w:rsidRPr="00873B6C">
        <w:tab/>
        <w:t>SMF event exposure service</w:t>
      </w:r>
      <w:bookmarkEnd w:id="5009"/>
      <w:bookmarkEnd w:id="5010"/>
      <w:bookmarkEnd w:id="5011"/>
      <w:bookmarkEnd w:id="5012"/>
      <w:bookmarkEnd w:id="5013"/>
      <w:bookmarkEnd w:id="5014"/>
    </w:p>
    <w:p w14:paraId="127E7D19" w14:textId="77777777" w:rsidR="00D40151" w:rsidRPr="00873B6C" w:rsidRDefault="00D40151" w:rsidP="00D40151">
      <w:pPr>
        <w:rPr>
          <w:lang w:eastAsia="x-none"/>
        </w:rPr>
      </w:pPr>
      <w:r w:rsidRPr="00873B6C">
        <w:rPr>
          <w:lang w:eastAsia="x-none"/>
        </w:rPr>
        <w:t>Consumers of SMF events do not need to be aware of the insertion / removal / change of an I-SMF as they always subscribe to the SMF of the PDU Session.</w:t>
      </w:r>
    </w:p>
    <w:p w14:paraId="1991DC76" w14:textId="0C77AEA8" w:rsidR="00D40151" w:rsidRPr="00873B6C" w:rsidRDefault="00D40151" w:rsidP="00D40151">
      <w:pPr>
        <w:rPr>
          <w:lang w:eastAsia="x-none"/>
        </w:rPr>
      </w:pPr>
      <w:r w:rsidRPr="00873B6C">
        <w:rPr>
          <w:lang w:eastAsia="x-none"/>
        </w:rPr>
        <w:t xml:space="preserve">Except for the events documented in the present clause, the I-SMF does not need to support the events defined in </w:t>
      </w:r>
      <w:r w:rsidR="00131D56" w:rsidRPr="00873B6C">
        <w:rPr>
          <w:lang w:eastAsia="x-none"/>
        </w:rPr>
        <w:t xml:space="preserve">clause 5.2.8.3.1 of </w:t>
      </w:r>
      <w:r w:rsidR="00972E70" w:rsidRPr="00873B6C">
        <w:rPr>
          <w:lang w:eastAsia="x-none"/>
        </w:rPr>
        <w:t>TS 23.502 [</w:t>
      </w:r>
      <w:r w:rsidRPr="00873B6C">
        <w:rPr>
          <w:lang w:eastAsia="x-none"/>
        </w:rPr>
        <w:t>3].</w:t>
      </w:r>
    </w:p>
    <w:p w14:paraId="0BC34D13" w14:textId="625EFA8E" w:rsidR="00D40151" w:rsidRPr="00873B6C" w:rsidRDefault="00D40151" w:rsidP="00D40151">
      <w:pPr>
        <w:rPr>
          <w:lang w:eastAsia="x-none"/>
        </w:rPr>
      </w:pPr>
      <w:r w:rsidRPr="00873B6C">
        <w:rPr>
          <w:lang w:eastAsia="x-none"/>
        </w:rPr>
        <w:t>For Events "First downlink packet per source of the downlink IP traffic (buffered / discarded / transmitted)"</w:t>
      </w:r>
      <w:r w:rsidR="00DD4756" w:rsidRPr="00873B6C">
        <w:rPr>
          <w:lang w:eastAsia="x-none"/>
        </w:rPr>
        <w:t xml:space="preserve"> and UPF event exposure for User DataUsage Measures and User DataUsage Trends</w:t>
      </w:r>
      <w:r w:rsidRPr="00873B6C">
        <w:rPr>
          <w:lang w:eastAsia="x-none"/>
        </w:rPr>
        <w:t>, when an I-SMF is involved in the PDU Session, the SMF subscribes / unsubscribes onto I-SMF for the PDU Session ID on behalf of the event consumer (e.g. at I-SMF insertion or when a consumer subscribes or un subscribes while an I-SMF serves the PDU Session) and the I-SMF</w:t>
      </w:r>
      <w:r w:rsidR="00DD4756" w:rsidRPr="00873B6C">
        <w:rPr>
          <w:lang w:eastAsia="x-none"/>
        </w:rPr>
        <w:t xml:space="preserve"> or I-UPF</w:t>
      </w:r>
      <w:r w:rsidRPr="00873B6C">
        <w:rPr>
          <w:lang w:eastAsia="x-none"/>
        </w:rPr>
        <w:t xml:space="preserve"> directly notifies the event consumer. At I-SMF change, the related SMF event subscriptions are not transferred from source I-SMF to the target I-SMF. The SMF may trigger new subscription event to the target I-SMF if the SMF wants to receive the corresponding SMF</w:t>
      </w:r>
      <w:r w:rsidR="00DD4756" w:rsidRPr="00873B6C">
        <w:rPr>
          <w:lang w:eastAsia="x-none"/>
        </w:rPr>
        <w:t xml:space="preserve"> or UPF</w:t>
      </w:r>
      <w:r w:rsidRPr="00873B6C">
        <w:rPr>
          <w:lang w:eastAsia="x-none"/>
        </w:rPr>
        <w:t xml:space="preserve"> event</w:t>
      </w:r>
      <w:r w:rsidR="00DD4756" w:rsidRPr="00873B6C">
        <w:rPr>
          <w:lang w:eastAsia="x-none"/>
        </w:rPr>
        <w:t xml:space="preserve"> or to continue the UPF event subscription for the final consumer</w:t>
      </w:r>
      <w:r w:rsidRPr="00873B6C">
        <w:rPr>
          <w:lang w:eastAsia="x-none"/>
        </w:rPr>
        <w:t>. At I-SMF change or removal the corresponding subscription is removed in the source I-SMF when it removes the context associated with the PDU Session Id.</w:t>
      </w:r>
    </w:p>
    <w:p w14:paraId="5E7079D6" w14:textId="77777777" w:rsidR="00D40151" w:rsidRPr="00873B6C" w:rsidRDefault="00D40151" w:rsidP="00D40151">
      <w:pPr>
        <w:pStyle w:val="Heading4"/>
      </w:pPr>
      <w:bookmarkStart w:id="5015" w:name="_CR5_34_7_3"/>
      <w:bookmarkStart w:id="5016" w:name="_Toc27846979"/>
      <w:bookmarkStart w:id="5017" w:name="_Toc36188110"/>
      <w:bookmarkStart w:id="5018" w:name="_Toc45184015"/>
      <w:bookmarkStart w:id="5019" w:name="_Toc47342857"/>
      <w:bookmarkStart w:id="5020" w:name="_Toc51769559"/>
      <w:bookmarkStart w:id="5021" w:name="_Toc201157630"/>
      <w:bookmarkEnd w:id="5015"/>
      <w:r w:rsidRPr="00873B6C">
        <w:t>5.34.7.3</w:t>
      </w:r>
      <w:r w:rsidRPr="00873B6C">
        <w:tab/>
        <w:t>AMF implicit subscription about events related with the PDU Session</w:t>
      </w:r>
      <w:bookmarkEnd w:id="5016"/>
      <w:bookmarkEnd w:id="5017"/>
      <w:bookmarkEnd w:id="5018"/>
      <w:bookmarkEnd w:id="5019"/>
      <w:bookmarkEnd w:id="5020"/>
      <w:bookmarkEnd w:id="5021"/>
    </w:p>
    <w:p w14:paraId="1BFEFFD4" w14:textId="77777777" w:rsidR="00D40151" w:rsidRPr="00873B6C" w:rsidRDefault="00D40151" w:rsidP="00D40151">
      <w:pPr>
        <w:rPr>
          <w:lang w:eastAsia="x-none"/>
        </w:rPr>
      </w:pPr>
      <w:r w:rsidRPr="00873B6C">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873B6C" w:rsidRDefault="00D40151" w:rsidP="00D40151">
      <w:pPr>
        <w:pStyle w:val="Heading3"/>
      </w:pPr>
      <w:bookmarkStart w:id="5022" w:name="_CR5_34_8"/>
      <w:bookmarkStart w:id="5023" w:name="_Toc27846980"/>
      <w:bookmarkStart w:id="5024" w:name="_Toc36188111"/>
      <w:bookmarkStart w:id="5025" w:name="_Toc45184016"/>
      <w:bookmarkStart w:id="5026" w:name="_Toc47342858"/>
      <w:bookmarkStart w:id="5027" w:name="_Toc51769560"/>
      <w:bookmarkStart w:id="5028" w:name="_Toc201157631"/>
      <w:bookmarkEnd w:id="5022"/>
      <w:r w:rsidRPr="00873B6C">
        <w:t>5.34.8</w:t>
      </w:r>
      <w:r w:rsidRPr="00873B6C">
        <w:tab/>
        <w:t>Support for Cellular IoT</w:t>
      </w:r>
      <w:bookmarkEnd w:id="5023"/>
      <w:bookmarkEnd w:id="5024"/>
      <w:bookmarkEnd w:id="5025"/>
      <w:bookmarkEnd w:id="5026"/>
      <w:bookmarkEnd w:id="5027"/>
      <w:bookmarkEnd w:id="5028"/>
    </w:p>
    <w:p w14:paraId="159E5F46" w14:textId="19704C54" w:rsidR="00D40151" w:rsidRPr="00873B6C" w:rsidRDefault="00D40151" w:rsidP="00D40151">
      <w:r w:rsidRPr="00873B6C">
        <w:t>Thi</w:t>
      </w:r>
      <w:r w:rsidR="00323277" w:rsidRPr="00873B6C">
        <w:t xml:space="preserve">s clause </w:t>
      </w:r>
      <w:r w:rsidRPr="00873B6C">
        <w:t>defines the specific impacts of deployments topologies with specific SMF Service Areas on how 5GS supports Cellular IoT as defined in clause 5.31.</w:t>
      </w:r>
    </w:p>
    <w:p w14:paraId="77B9AB10" w14:textId="77777777" w:rsidR="00D40151" w:rsidRPr="00873B6C" w:rsidRDefault="00D40151" w:rsidP="00D40151">
      <w:r w:rsidRPr="00873B6C">
        <w:t>For a PDU Session supporting Control Plane CIoT 5GS Optimisation as defined in clause 5.31.4:</w:t>
      </w:r>
    </w:p>
    <w:p w14:paraId="28E46C37" w14:textId="3AD704DF" w:rsidR="00D40151" w:rsidRPr="00873B6C" w:rsidRDefault="00D40151" w:rsidP="00D40151">
      <w:pPr>
        <w:pStyle w:val="B1"/>
      </w:pPr>
      <w:r w:rsidRPr="00873B6C">
        <w:t>-</w:t>
      </w:r>
      <w:r w:rsidRPr="00873B6C">
        <w:tab/>
        <w:t xml:space="preserve">For a PDU </w:t>
      </w:r>
      <w:r w:rsidR="00472CD7" w:rsidRPr="00873B6C">
        <w:t>S</w:t>
      </w:r>
      <w:r w:rsidRPr="00873B6C">
        <w:t xml:space="preserve">ession towards a DNN/S-NSSAI for which the </w:t>
      </w:r>
      <w:r w:rsidR="00472CD7" w:rsidRPr="00873B6C">
        <w:t>SMF Selection S</w:t>
      </w:r>
      <w:r w:rsidRPr="00873B6C">
        <w:t>ubscription</w:t>
      </w:r>
      <w:r w:rsidR="00472CD7" w:rsidRPr="00873B6C">
        <w:t xml:space="preserve"> data</w:t>
      </w:r>
      <w:r w:rsidRPr="00873B6C">
        <w:t xml:space="preserve"> includes</w:t>
      </w:r>
      <w:r w:rsidR="00472CD7" w:rsidRPr="00873B6C">
        <w:t xml:space="preserve"> Invoke NEF Indication</w:t>
      </w:r>
      <w:r w:rsidRPr="00873B6C">
        <w:t xml:space="preserve"> (i.e. for a PDU </w:t>
      </w:r>
      <w:r w:rsidR="00472CD7" w:rsidRPr="00873B6C">
        <w:t>S</w:t>
      </w:r>
      <w:r w:rsidRPr="00873B6C">
        <w:t>ession which will be anchored in NEF), the AMF never inserts an I-SMF.</w:t>
      </w:r>
    </w:p>
    <w:p w14:paraId="5E1846EE" w14:textId="77777777" w:rsidR="00D40151" w:rsidRPr="00873B6C" w:rsidRDefault="00D40151" w:rsidP="00D40151">
      <w:r w:rsidRPr="00873B6C">
        <w:t>When an I-SMF is inserted to serve a PDU Session, the I-SMF supports the features that, as specified in clause 5.31, apply to the V-SMF in the case of Home Routed.</w:t>
      </w:r>
    </w:p>
    <w:p w14:paraId="64660734" w14:textId="7E738125" w:rsidR="00D40151" w:rsidRPr="00873B6C" w:rsidRDefault="00D40151" w:rsidP="00D40151">
      <w:pPr>
        <w:pStyle w:val="NO"/>
      </w:pPr>
      <w:r w:rsidRPr="00873B6C">
        <w:t>NOTE:</w:t>
      </w:r>
      <w:r w:rsidRPr="00873B6C">
        <w:tab/>
        <w:t>This can require the SMF to subscribe onto I-SMF about RAT type change for a PDU Session as described in</w:t>
      </w:r>
      <w:r w:rsidR="00D602DF" w:rsidRPr="00873B6C">
        <w:t xml:space="preserve"> clause 4.23</w:t>
      </w:r>
      <w:r w:rsidRPr="00873B6C">
        <w:t xml:space="preserve"> </w:t>
      </w:r>
      <w:r w:rsidR="00D602DF" w:rsidRPr="00873B6C">
        <w:t xml:space="preserve">of </w:t>
      </w:r>
      <w:r w:rsidR="00972E70" w:rsidRPr="00873B6C">
        <w:t>TS 23.502 [</w:t>
      </w:r>
      <w:r w:rsidRPr="00873B6C">
        <w:t>3].</w:t>
      </w:r>
    </w:p>
    <w:p w14:paraId="392F4190" w14:textId="77777777" w:rsidR="00D40151" w:rsidRPr="00873B6C" w:rsidRDefault="00D40151" w:rsidP="00D40151">
      <w:pPr>
        <w:pStyle w:val="Heading3"/>
      </w:pPr>
      <w:bookmarkStart w:id="5029" w:name="_CR5_34_9"/>
      <w:bookmarkStart w:id="5030" w:name="_Toc45184017"/>
      <w:bookmarkStart w:id="5031" w:name="_Toc47342859"/>
      <w:bookmarkStart w:id="5032" w:name="_Toc51769561"/>
      <w:bookmarkStart w:id="5033" w:name="_Toc27846981"/>
      <w:bookmarkStart w:id="5034" w:name="_Toc36188112"/>
      <w:bookmarkStart w:id="5035" w:name="_Toc201157632"/>
      <w:bookmarkEnd w:id="5029"/>
      <w:r w:rsidRPr="00873B6C">
        <w:t>5.34.9</w:t>
      </w:r>
      <w:r w:rsidRPr="00873B6C">
        <w:tab/>
        <w:t>Support of the Deployment Topologies with specific SMF Service Areas feature within and between PLMN(s)</w:t>
      </w:r>
      <w:bookmarkEnd w:id="5030"/>
      <w:bookmarkEnd w:id="5031"/>
      <w:bookmarkEnd w:id="5032"/>
      <w:bookmarkEnd w:id="5035"/>
    </w:p>
    <w:p w14:paraId="64F30BD3" w14:textId="77777777" w:rsidR="00D40151" w:rsidRPr="00873B6C" w:rsidRDefault="00D40151" w:rsidP="00D40151">
      <w:r w:rsidRPr="00873B6C">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873B6C" w:rsidRDefault="00D40151" w:rsidP="00D40151">
      <w:pPr>
        <w:pStyle w:val="NO"/>
      </w:pPr>
      <w:r w:rsidRPr="00873B6C">
        <w:t>NOTE 1:</w:t>
      </w:r>
      <w:r w:rsidRPr="00873B6C">
        <w:tab/>
        <w:t>The specifications do not support AMF selection related with Deployment Topologies with specific SMF Service Areas.</w:t>
      </w:r>
    </w:p>
    <w:p w14:paraId="7D76D282" w14:textId="1CDA9162" w:rsidR="00D40151" w:rsidRPr="00873B6C" w:rsidRDefault="00D40151" w:rsidP="00D40151">
      <w:r w:rsidRPr="00873B6C">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w:t>
      </w:r>
      <w:r w:rsidR="00472CD7" w:rsidRPr="00873B6C">
        <w:t xml:space="preserve"> and</w:t>
      </w:r>
      <w:r w:rsidRPr="00873B6C">
        <w:t xml:space="preserve"> if a V-SMF serving the full VPLMN is available, AMF should prefer to select such V-SMF.</w:t>
      </w:r>
    </w:p>
    <w:p w14:paraId="5276BD30" w14:textId="77777777" w:rsidR="00D40151" w:rsidRPr="00873B6C" w:rsidRDefault="00D40151" w:rsidP="00D40151">
      <w:r w:rsidRPr="00873B6C">
        <w:lastRenderedPageBreak/>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873B6C" w:rsidRDefault="00D40151" w:rsidP="00D40151">
      <w:r w:rsidRPr="00873B6C">
        <w:t>NOTE 2:</w:t>
      </w:r>
      <w:r w:rsidRPr="00873B6C">
        <w:tab/>
        <w:t>The AMF can determine whether the H-SMF supports V-SMF change based on NRF look up.</w:t>
      </w:r>
    </w:p>
    <w:p w14:paraId="55AB2623" w14:textId="77777777" w:rsidR="00D40151" w:rsidRPr="00873B6C" w:rsidRDefault="00D40151" w:rsidP="00D40151">
      <w:pPr>
        <w:pStyle w:val="Heading3"/>
      </w:pPr>
      <w:bookmarkStart w:id="5036" w:name="_CR5_34_10"/>
      <w:bookmarkStart w:id="5037" w:name="_Toc45184018"/>
      <w:bookmarkStart w:id="5038" w:name="_Toc47342860"/>
      <w:bookmarkStart w:id="5039" w:name="_Toc51769562"/>
      <w:bookmarkStart w:id="5040" w:name="_Toc201157633"/>
      <w:bookmarkEnd w:id="5036"/>
      <w:r w:rsidRPr="00873B6C">
        <w:t>5.34.10</w:t>
      </w:r>
      <w:r w:rsidRPr="00873B6C">
        <w:tab/>
        <w:t>Support for 5G LAN-type service</w:t>
      </w:r>
      <w:bookmarkEnd w:id="5037"/>
      <w:bookmarkEnd w:id="5038"/>
      <w:bookmarkEnd w:id="5039"/>
      <w:bookmarkEnd w:id="5040"/>
    </w:p>
    <w:p w14:paraId="21E2FA56" w14:textId="77777777" w:rsidR="00D40151" w:rsidRPr="00873B6C" w:rsidRDefault="00D40151" w:rsidP="00D40151">
      <w:r w:rsidRPr="00873B6C">
        <w:t>This clause defines how 5GS supports 5G LAN-type service as defined in clause 5.29 in the case of deployments topologies with specific SMF Service Areas.</w:t>
      </w:r>
    </w:p>
    <w:p w14:paraId="1BAA851E" w14:textId="77777777" w:rsidR="00D40151" w:rsidRPr="00873B6C" w:rsidRDefault="00D40151" w:rsidP="00D40151">
      <w:r w:rsidRPr="00873B6C">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873B6C" w:rsidRDefault="00D40151" w:rsidP="00D40151">
      <w:pPr>
        <w:pStyle w:val="Heading2"/>
      </w:pPr>
      <w:bookmarkStart w:id="5041" w:name="_CR5_35"/>
      <w:bookmarkStart w:id="5042" w:name="_Toc45184019"/>
      <w:bookmarkStart w:id="5043" w:name="_Toc47342861"/>
      <w:bookmarkStart w:id="5044" w:name="_Toc51769563"/>
      <w:bookmarkStart w:id="5045" w:name="_Toc201157634"/>
      <w:bookmarkEnd w:id="5041"/>
      <w:r w:rsidRPr="00873B6C">
        <w:t>5.35</w:t>
      </w:r>
      <w:r w:rsidRPr="00873B6C">
        <w:tab/>
        <w:t>Support for Integrated access and backhaul (IAB)</w:t>
      </w:r>
      <w:bookmarkEnd w:id="5007"/>
      <w:bookmarkEnd w:id="5033"/>
      <w:bookmarkEnd w:id="5034"/>
      <w:bookmarkEnd w:id="5042"/>
      <w:bookmarkEnd w:id="5043"/>
      <w:bookmarkEnd w:id="5044"/>
      <w:bookmarkEnd w:id="5045"/>
    </w:p>
    <w:p w14:paraId="597761E7" w14:textId="77777777" w:rsidR="00D40151" w:rsidRPr="00873B6C" w:rsidRDefault="00D40151" w:rsidP="00D40151">
      <w:pPr>
        <w:pStyle w:val="Heading3"/>
      </w:pPr>
      <w:bookmarkStart w:id="5046" w:name="_CR5_35_1"/>
      <w:bookmarkStart w:id="5047" w:name="_Toc20150176"/>
      <w:bookmarkStart w:id="5048" w:name="_Toc27846982"/>
      <w:bookmarkStart w:id="5049" w:name="_Toc36188113"/>
      <w:bookmarkStart w:id="5050" w:name="_Toc45184020"/>
      <w:bookmarkStart w:id="5051" w:name="_Toc47342862"/>
      <w:bookmarkStart w:id="5052" w:name="_Toc51769564"/>
      <w:bookmarkStart w:id="5053" w:name="_Toc201157635"/>
      <w:bookmarkEnd w:id="5046"/>
      <w:r w:rsidRPr="00873B6C">
        <w:t>5.35.1</w:t>
      </w:r>
      <w:r w:rsidRPr="00873B6C">
        <w:tab/>
        <w:t>IAB architecture and functional entities</w:t>
      </w:r>
      <w:bookmarkEnd w:id="5047"/>
      <w:bookmarkEnd w:id="5048"/>
      <w:bookmarkEnd w:id="5049"/>
      <w:bookmarkEnd w:id="5050"/>
      <w:bookmarkEnd w:id="5051"/>
      <w:bookmarkEnd w:id="5052"/>
      <w:bookmarkEnd w:id="5053"/>
    </w:p>
    <w:p w14:paraId="2FB54F02" w14:textId="20D74868" w:rsidR="0053150F" w:rsidRPr="00873B6C" w:rsidRDefault="00D40151" w:rsidP="00D40151">
      <w:r w:rsidRPr="00873B6C">
        <w:t xml:space="preserve">Integrated access and backhaul (IAB) enables wireless in-band and out-of-band relaying of NR Uu access traffic via NR Uu backhaul links. </w:t>
      </w:r>
      <w:r w:rsidR="0053150F" w:rsidRPr="00873B6C">
        <w:t>In this Release of the specification, NR satellite access is not applicable. The serving PLMN may provide the mobility restriction for NR satellite access as specified in clause 5.3.4.1</w:t>
      </w:r>
    </w:p>
    <w:p w14:paraId="53F3C40B" w14:textId="1B8A9CFD" w:rsidR="00D40151" w:rsidRPr="00873B6C" w:rsidRDefault="00D40151" w:rsidP="00D40151">
      <w:r w:rsidRPr="00873B6C">
        <w:t>The Uu backhaul links can exist between the IAB-node and:</w:t>
      </w:r>
    </w:p>
    <w:p w14:paraId="49B4ADC4" w14:textId="77777777" w:rsidR="00D40151" w:rsidRPr="00873B6C" w:rsidRDefault="00D40151" w:rsidP="00D40151">
      <w:pPr>
        <w:pStyle w:val="B1"/>
      </w:pPr>
      <w:r w:rsidRPr="00873B6C">
        <w:t>-</w:t>
      </w:r>
      <w:r w:rsidRPr="00873B6C">
        <w:tab/>
        <w:t>a gNB referred to as IAB-donor; or</w:t>
      </w:r>
    </w:p>
    <w:p w14:paraId="337B14E4" w14:textId="77777777" w:rsidR="00D40151" w:rsidRPr="00873B6C" w:rsidRDefault="00D40151" w:rsidP="00D40151">
      <w:pPr>
        <w:pStyle w:val="B1"/>
      </w:pPr>
      <w:r w:rsidRPr="00873B6C">
        <w:t>-</w:t>
      </w:r>
      <w:r w:rsidRPr="00873B6C">
        <w:tab/>
        <w:t>another IAB-node.</w:t>
      </w:r>
    </w:p>
    <w:p w14:paraId="13DD3CC2" w14:textId="77777777" w:rsidR="00D40151" w:rsidRPr="00873B6C" w:rsidRDefault="00D40151" w:rsidP="00D40151">
      <w:r w:rsidRPr="00873B6C">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873B6C" w:rsidRDefault="00283ED6" w:rsidP="00D40151">
      <w:r w:rsidRPr="00873B6C">
        <w:t>In this Release of the specification, the IAB-UE function does not apply to the NR RedCap UE.</w:t>
      </w:r>
    </w:p>
    <w:p w14:paraId="29708E5C" w14:textId="28CB15A9" w:rsidR="00D40151" w:rsidRPr="00873B6C" w:rsidRDefault="00D40151" w:rsidP="00D40151">
      <w:r w:rsidRPr="00873B6C">
        <w:t>At high level, IAB has the following characteristics:</w:t>
      </w:r>
    </w:p>
    <w:p w14:paraId="5E121585" w14:textId="1EB1F4FD" w:rsidR="00D40151" w:rsidRPr="00873B6C" w:rsidRDefault="00D40151" w:rsidP="00D40151">
      <w:pPr>
        <w:pStyle w:val="B1"/>
      </w:pPr>
      <w:r w:rsidRPr="00873B6C">
        <w:t>-</w:t>
      </w:r>
      <w:r w:rsidRPr="00873B6C">
        <w:tab/>
        <w:t xml:space="preserve">IAB uses the CU/DU architecture defined in </w:t>
      </w:r>
      <w:r w:rsidR="00972E70" w:rsidRPr="00873B6C">
        <w:t>TS 38.401 [</w:t>
      </w:r>
      <w:r w:rsidRPr="00873B6C">
        <w:t>42]</w:t>
      </w:r>
      <w:r w:rsidR="00472CD7" w:rsidRPr="00873B6C">
        <w:t xml:space="preserve"> and</w:t>
      </w:r>
      <w:r w:rsidRPr="00873B6C">
        <w:t xml:space="preserve"> the IAB operation via F1 (between IAB-donor and IAB-node) is invisible to the 5GC;</w:t>
      </w:r>
    </w:p>
    <w:p w14:paraId="76D06EB2" w14:textId="0A079DD8" w:rsidR="00D40151" w:rsidRPr="00873B6C" w:rsidRDefault="00D40151" w:rsidP="00D40151">
      <w:pPr>
        <w:pStyle w:val="B1"/>
      </w:pPr>
      <w:r w:rsidRPr="00873B6C">
        <w:t>-</w:t>
      </w:r>
      <w:r w:rsidRPr="00873B6C">
        <w:tab/>
        <w:t>IAB performs relaying at layer-2</w:t>
      </w:r>
      <w:r w:rsidR="00472CD7" w:rsidRPr="00873B6C">
        <w:t xml:space="preserve"> and</w:t>
      </w:r>
      <w:r w:rsidRPr="00873B6C">
        <w:t xml:space="preserve"> therefore does not require a local UPF;</w:t>
      </w:r>
    </w:p>
    <w:p w14:paraId="3533ABA2" w14:textId="77777777" w:rsidR="00D40151" w:rsidRPr="00873B6C" w:rsidRDefault="00D40151" w:rsidP="00D40151">
      <w:pPr>
        <w:pStyle w:val="B1"/>
      </w:pPr>
      <w:r w:rsidRPr="00873B6C">
        <w:t>-</w:t>
      </w:r>
      <w:r w:rsidRPr="00873B6C">
        <w:tab/>
        <w:t>IAB supports multi-hop backhauling;</w:t>
      </w:r>
    </w:p>
    <w:p w14:paraId="1A4C4131" w14:textId="77777777" w:rsidR="00D40151" w:rsidRPr="00873B6C" w:rsidRDefault="00D40151" w:rsidP="00D40151">
      <w:pPr>
        <w:pStyle w:val="B1"/>
      </w:pPr>
      <w:r w:rsidRPr="00873B6C">
        <w:t>-</w:t>
      </w:r>
      <w:r w:rsidRPr="00873B6C">
        <w:tab/>
        <w:t>IAB supports dynamic topology update, i.e. the IAB-node can change the parent node, e.g. another IAB-node, or the IAB-donor, during operation, for example in response to backhaul link failure or blockage.</w:t>
      </w:r>
    </w:p>
    <w:p w14:paraId="7A6DB862" w14:textId="77777777" w:rsidR="00D40151" w:rsidRPr="00873B6C" w:rsidRDefault="00D40151" w:rsidP="00D40151">
      <w:r w:rsidRPr="00873B6C">
        <w:t>Figure 5.35.1-1 shows the IAB reference architecture with two backhaul hops, when connected to 5GC.</w:t>
      </w:r>
    </w:p>
    <w:p w14:paraId="5E4781A9" w14:textId="77777777" w:rsidR="00D40151" w:rsidRPr="00873B6C" w:rsidRDefault="00D40151" w:rsidP="00D40151">
      <w:pPr>
        <w:pStyle w:val="TH"/>
      </w:pPr>
      <w:r w:rsidRPr="00873B6C">
        <w:object w:dxaOrig="8307" w:dyaOrig="10321" w14:anchorId="4A9BED91">
          <v:shape id="_x0000_i1121" type="#_x0000_t75" style="width:244.8pt;height:302.4pt" o:ole="">
            <v:imagedata r:id="rId201" o:title=""/>
          </v:shape>
          <o:OLEObject Type="Embed" ProgID="Visio.Drawing.11" ShapeID="_x0000_i1121" DrawAspect="Content" ObjectID="_1811772455" r:id="rId202"/>
        </w:object>
      </w:r>
    </w:p>
    <w:p w14:paraId="7846062F" w14:textId="77777777" w:rsidR="00D40151" w:rsidRPr="00873B6C" w:rsidRDefault="00D40151" w:rsidP="00D40151">
      <w:pPr>
        <w:pStyle w:val="TF"/>
      </w:pPr>
      <w:bookmarkStart w:id="5054" w:name="_CRFigure5_35_11"/>
      <w:r w:rsidRPr="00873B6C">
        <w:t xml:space="preserve">Figure </w:t>
      </w:r>
      <w:bookmarkEnd w:id="5054"/>
      <w:r w:rsidRPr="00873B6C">
        <w:t>5.35.1-1: IAB architecture for 5GS</w:t>
      </w:r>
    </w:p>
    <w:p w14:paraId="31683874" w14:textId="77777777" w:rsidR="00D40151" w:rsidRPr="00873B6C" w:rsidRDefault="00D40151" w:rsidP="00D40151">
      <w:r w:rsidRPr="00873B6C">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4B9AD75D" w:rsidR="00D40151" w:rsidRPr="00873B6C" w:rsidRDefault="00D40151" w:rsidP="00D40151">
      <w:r w:rsidRPr="00873B6C">
        <w:t>The IAB-UE function behaves as a UE</w:t>
      </w:r>
      <w:r w:rsidR="00472CD7" w:rsidRPr="00873B6C">
        <w:t xml:space="preserve"> and</w:t>
      </w:r>
      <w:r w:rsidRPr="00873B6C">
        <w:t xml:space="preserve"> reuses UE procedures to connect to:</w:t>
      </w:r>
    </w:p>
    <w:p w14:paraId="74E563D2" w14:textId="77777777" w:rsidR="00D40151" w:rsidRPr="00873B6C" w:rsidRDefault="00D40151" w:rsidP="00D40151">
      <w:pPr>
        <w:pStyle w:val="B1"/>
      </w:pPr>
      <w:r w:rsidRPr="00873B6C">
        <w:t>-</w:t>
      </w:r>
      <w:r w:rsidRPr="00873B6C">
        <w:tab/>
        <w:t>the gNB-DU on a parent IAB-node or IAB-donor for access and backhauling;</w:t>
      </w:r>
    </w:p>
    <w:p w14:paraId="1F335FC2" w14:textId="77777777" w:rsidR="00D40151" w:rsidRPr="00873B6C" w:rsidRDefault="00D40151" w:rsidP="00D40151">
      <w:pPr>
        <w:pStyle w:val="B1"/>
      </w:pPr>
      <w:r w:rsidRPr="00873B6C">
        <w:t>-</w:t>
      </w:r>
      <w:r w:rsidRPr="00873B6C">
        <w:tab/>
        <w:t>the gNB-CU on the IAB-donor via RRC for control of the access and backhaul link;</w:t>
      </w:r>
    </w:p>
    <w:p w14:paraId="10ED61AF" w14:textId="77777777" w:rsidR="00D40151" w:rsidRPr="00873B6C" w:rsidRDefault="00D40151" w:rsidP="00D40151">
      <w:pPr>
        <w:pStyle w:val="B1"/>
      </w:pPr>
      <w:r w:rsidRPr="00873B6C">
        <w:t>-</w:t>
      </w:r>
      <w:r w:rsidRPr="00873B6C">
        <w:tab/>
        <w:t>5GC, e.g. AMF, via NAS;</w:t>
      </w:r>
    </w:p>
    <w:p w14:paraId="7DC91FA2" w14:textId="77777777" w:rsidR="00D40151" w:rsidRPr="00873B6C" w:rsidRDefault="00D40151" w:rsidP="00D40151">
      <w:pPr>
        <w:pStyle w:val="B1"/>
      </w:pPr>
      <w:r w:rsidRPr="00873B6C">
        <w:t>-</w:t>
      </w:r>
      <w:r w:rsidRPr="00873B6C">
        <w:tab/>
        <w:t>OAM system via a PDU session or PDN connection (based on implementation).</w:t>
      </w:r>
    </w:p>
    <w:p w14:paraId="27CF785F" w14:textId="048D9998" w:rsidR="00D40151" w:rsidRPr="00873B6C" w:rsidRDefault="00D40151" w:rsidP="00D40151">
      <w:pPr>
        <w:pStyle w:val="NO"/>
      </w:pPr>
      <w:r w:rsidRPr="00873B6C">
        <w:t>NOTE:</w:t>
      </w:r>
      <w:r w:rsidRPr="00873B6C">
        <w:tab/>
        <w:t xml:space="preserve">The 5GC, e.g. SMF, may detect that a PDU session for the IAB-UE is for the OAM system access, e.g. by checking the DNN and/or configuration. It is up to the operator configuration to choose whether to use 1 or multiple </w:t>
      </w:r>
      <w:r w:rsidR="00426DE4" w:rsidRPr="00873B6C">
        <w:t>QoS Flow</w:t>
      </w:r>
      <w:r w:rsidRPr="00873B6C">
        <w:t>s for OAM traffic and the appropriate QoS parameters, e.g. using 5QI=6 for software downloading</w:t>
      </w:r>
      <w:r w:rsidR="00472CD7" w:rsidRPr="00873B6C">
        <w:t xml:space="preserve"> and</w:t>
      </w:r>
      <w:r w:rsidRPr="00873B6C">
        <w:t xml:space="preserve"> 5QI=80 with signalled higher priority or a pre-configured 5QI for alarm or control traffic.</w:t>
      </w:r>
    </w:p>
    <w:p w14:paraId="5D49AB5A" w14:textId="221EE552" w:rsidR="00D40151" w:rsidRPr="00873B6C" w:rsidRDefault="00D40151" w:rsidP="00D40151">
      <w:r w:rsidRPr="00873B6C">
        <w:t xml:space="preserve">The IAB-UE can connect to 5GC over NR (SA mode) or connect to EPC (EN-DC mode). The UE served by the IAB-node can operate in the same or different modes than the IAB-node as defined in </w:t>
      </w:r>
      <w:r w:rsidR="00972E70" w:rsidRPr="00873B6C">
        <w:t>TS 38.401 [</w:t>
      </w:r>
      <w:r w:rsidRPr="00873B6C">
        <w:t xml:space="preserve">42]. The operation mode with both UE and IAB-node connected to EPC is covered in </w:t>
      </w:r>
      <w:r w:rsidR="00972E70" w:rsidRPr="00873B6C">
        <w:t>TS 23.401 [</w:t>
      </w:r>
      <w:r w:rsidRPr="00873B6C">
        <w:t>26]. Operation modes with UE and IAB-node connected to different core networks are described in clause 5.35.6.</w:t>
      </w:r>
    </w:p>
    <w:p w14:paraId="6E3F898A" w14:textId="77777777" w:rsidR="00D40151" w:rsidRPr="00873B6C" w:rsidRDefault="00D40151" w:rsidP="00D40151">
      <w:pPr>
        <w:pStyle w:val="Heading3"/>
      </w:pPr>
      <w:bookmarkStart w:id="5055" w:name="_CR5_35_2"/>
      <w:bookmarkStart w:id="5056" w:name="_Toc20150177"/>
      <w:bookmarkStart w:id="5057" w:name="_Toc27846983"/>
      <w:bookmarkStart w:id="5058" w:name="_Toc36188114"/>
      <w:bookmarkStart w:id="5059" w:name="_Toc45184021"/>
      <w:bookmarkStart w:id="5060" w:name="_Toc47342863"/>
      <w:bookmarkStart w:id="5061" w:name="_Toc51769565"/>
      <w:bookmarkStart w:id="5062" w:name="_Toc201157636"/>
      <w:bookmarkEnd w:id="5055"/>
      <w:r w:rsidRPr="00873B6C">
        <w:t>5.35.2</w:t>
      </w:r>
      <w:r w:rsidRPr="00873B6C">
        <w:tab/>
        <w:t>5G System enhancements to support IAB</w:t>
      </w:r>
      <w:bookmarkEnd w:id="5056"/>
      <w:bookmarkEnd w:id="5057"/>
      <w:bookmarkEnd w:id="5058"/>
      <w:bookmarkEnd w:id="5059"/>
      <w:bookmarkEnd w:id="5060"/>
      <w:bookmarkEnd w:id="5061"/>
      <w:bookmarkEnd w:id="5062"/>
    </w:p>
    <w:p w14:paraId="168C57EA" w14:textId="17373621" w:rsidR="00D40151" w:rsidRPr="00873B6C" w:rsidRDefault="00D40151" w:rsidP="00D40151">
      <w:r w:rsidRPr="00873B6C">
        <w:t xml:space="preserve">In IAB operation, the IAB-UE interacts with the 5GC using procedures defined for UE. The IAB-node gNB-DU only interacts with the IAB-donor-CU and follows the CU/DU design defined in </w:t>
      </w:r>
      <w:r w:rsidR="00972E70" w:rsidRPr="00873B6C">
        <w:t>TS 38.401 [</w:t>
      </w:r>
      <w:r w:rsidRPr="00873B6C">
        <w:t>42].</w:t>
      </w:r>
    </w:p>
    <w:p w14:paraId="4DC31549" w14:textId="7E51BC74" w:rsidR="00D40151" w:rsidRPr="00873B6C" w:rsidRDefault="00D40151" w:rsidP="00D40151">
      <w:r w:rsidRPr="00873B6C">
        <w:t xml:space="preserve">For the IAB-UE operation, the existing UE authentication methods as defined in </w:t>
      </w:r>
      <w:r w:rsidR="00972E70" w:rsidRPr="00873B6C">
        <w:t>TS 33.501 [</w:t>
      </w:r>
      <w:r w:rsidRPr="00873B6C">
        <w:t>29] applies. Both USIM based methods and EAP based methods are allowed</w:t>
      </w:r>
      <w:r w:rsidR="00472CD7" w:rsidRPr="00873B6C">
        <w:t xml:space="preserve"> and</w:t>
      </w:r>
      <w:r w:rsidRPr="00873B6C">
        <w:t xml:space="preserve"> NAI based SUPIs can be used.</w:t>
      </w:r>
    </w:p>
    <w:p w14:paraId="3A7E790F" w14:textId="109B9003" w:rsidR="00D40151" w:rsidRPr="00873B6C" w:rsidRDefault="00D40151" w:rsidP="00D40151">
      <w:r w:rsidRPr="00873B6C">
        <w:lastRenderedPageBreak/>
        <w:t>The following aspects are enhanced to support the IAB operation</w:t>
      </w:r>
      <w:r w:rsidR="00E26BE3" w:rsidRPr="00873B6C">
        <w:t xml:space="preserve"> in the Registration procedure as defined in clause 4.2.2.2 of TS 23.502 [3]</w:t>
      </w:r>
      <w:r w:rsidRPr="00873B6C">
        <w:t>:</w:t>
      </w:r>
    </w:p>
    <w:p w14:paraId="41A9B605" w14:textId="3B6FAB89" w:rsidR="00D40151" w:rsidRPr="00873B6C" w:rsidRDefault="00D40151" w:rsidP="00D40151">
      <w:pPr>
        <w:pStyle w:val="B1"/>
      </w:pPr>
      <w:r w:rsidRPr="00873B6C">
        <w:t>-</w:t>
      </w:r>
      <w:r w:rsidRPr="00873B6C">
        <w:tab/>
        <w:t xml:space="preserve">The IAB-node provides an IAB-indication to the IAB-donor-CU when the RRC connection is established as defined in </w:t>
      </w:r>
      <w:r w:rsidR="00972E70" w:rsidRPr="00873B6C">
        <w:t>TS 38.331 [</w:t>
      </w:r>
      <w:r w:rsidRPr="00873B6C">
        <w:t xml:space="preserve">28]. When the IAB-indication is received, the IAB-donor-CU selects an AMF that supports IAB and includes the IAB-indication in the N2 INITIAL UE MESSAGE as defined in </w:t>
      </w:r>
      <w:r w:rsidR="00972E70" w:rsidRPr="00873B6C">
        <w:t>TS 38.413 [</w:t>
      </w:r>
      <w:r w:rsidRPr="00873B6C">
        <w:t>34] so that the AMF can perform IAB authorization</w:t>
      </w:r>
      <w:r w:rsidR="00E26BE3" w:rsidRPr="00873B6C">
        <w:t>;</w:t>
      </w:r>
    </w:p>
    <w:p w14:paraId="26B8B3C3" w14:textId="70FD9B02" w:rsidR="00D40151" w:rsidRPr="00873B6C" w:rsidRDefault="00D40151" w:rsidP="00D40151">
      <w:pPr>
        <w:pStyle w:val="B1"/>
      </w:pPr>
      <w:r w:rsidRPr="00873B6C">
        <w:t>-</w:t>
      </w:r>
      <w:r w:rsidRPr="00873B6C">
        <w:tab/>
        <w:t xml:space="preserve">the UE Subscription data as defined in </w:t>
      </w:r>
      <w:r w:rsidR="00131D56" w:rsidRPr="00873B6C">
        <w:t xml:space="preserve">clause 5.2.3 of </w:t>
      </w:r>
      <w:r w:rsidR="00972E70" w:rsidRPr="00873B6C">
        <w:t>TS 23.502 [</w:t>
      </w:r>
      <w:r w:rsidRPr="00873B6C">
        <w:t>3] is enhanced to include the authorization information for the IAB operation;</w:t>
      </w:r>
    </w:p>
    <w:p w14:paraId="16D5006E" w14:textId="77777777" w:rsidR="00D40151" w:rsidRPr="00873B6C" w:rsidRDefault="00D40151" w:rsidP="00D40151">
      <w:pPr>
        <w:pStyle w:val="B1"/>
      </w:pPr>
      <w:r w:rsidRPr="00873B6C">
        <w:t>-</w:t>
      </w:r>
      <w:r w:rsidRPr="00873B6C">
        <w:tab/>
        <w:t>Authorization procedure during the UE Registration procedure is enhanced to perform verification of IAB subscription information;</w:t>
      </w:r>
    </w:p>
    <w:p w14:paraId="2CDD50FD" w14:textId="5596DCF7" w:rsidR="00571B2E" w:rsidRPr="00873B6C" w:rsidRDefault="00571B2E" w:rsidP="00D40151">
      <w:pPr>
        <w:pStyle w:val="B1"/>
      </w:pPr>
      <w:r w:rsidRPr="00873B6C">
        <w:t>-</w:t>
      </w:r>
      <w:r w:rsidRPr="00873B6C">
        <w:tab/>
        <w:t>If the IAB operation is not authorized</w:t>
      </w:r>
      <w:r w:rsidR="00E26BE3" w:rsidRPr="00873B6C">
        <w:t xml:space="preserve"> and IAB-UE is not allowed to be registered</w:t>
      </w:r>
      <w:r w:rsidRPr="00873B6C">
        <w:t>, the AMF reject</w:t>
      </w:r>
      <w:r w:rsidR="00E26BE3" w:rsidRPr="00873B6C">
        <w:t>s</w:t>
      </w:r>
      <w:r w:rsidRPr="00873B6C">
        <w:t xml:space="preserve"> the IAB-UE's registration or de-register the IAB-UE. </w:t>
      </w:r>
      <w:r w:rsidR="00E26BE3" w:rsidRPr="00873B6C">
        <w:t xml:space="preserve">The </w:t>
      </w:r>
      <w:r w:rsidRPr="00873B6C">
        <w:t>AMF initiate</w:t>
      </w:r>
      <w:r w:rsidR="00E26BE3" w:rsidRPr="00873B6C">
        <w:t>s</w:t>
      </w:r>
      <w:r w:rsidRPr="00873B6C">
        <w:t xml:space="preserve"> UE Context setup/modification procedure by providing IAB authorized indication with the value set to "not authorized" to the NG-RAN, </w:t>
      </w:r>
      <w:r w:rsidR="00E26BE3" w:rsidRPr="00873B6C">
        <w:t xml:space="preserve">if </w:t>
      </w:r>
      <w:r w:rsidRPr="00873B6C">
        <w:t>the IAB-UE is still</w:t>
      </w:r>
      <w:r w:rsidR="00E26BE3" w:rsidRPr="00873B6C">
        <w:t xml:space="preserve"> allowed to be</w:t>
      </w:r>
      <w:r w:rsidRPr="00873B6C">
        <w:t xml:space="preserve"> registered</w:t>
      </w:r>
      <w:r w:rsidR="00E26BE3" w:rsidRPr="00873B6C">
        <w:t>;</w:t>
      </w:r>
    </w:p>
    <w:p w14:paraId="047E4578" w14:textId="453AF3AE" w:rsidR="00D40151" w:rsidRPr="00873B6C" w:rsidRDefault="00D40151" w:rsidP="00D40151">
      <w:pPr>
        <w:pStyle w:val="B1"/>
      </w:pPr>
      <w:r w:rsidRPr="00873B6C">
        <w:t>-</w:t>
      </w:r>
      <w:r w:rsidRPr="00873B6C">
        <w:tab/>
      </w:r>
      <w:r w:rsidR="00571B2E" w:rsidRPr="00873B6C">
        <w:t xml:space="preserve">If the IAB operation is authorized, </w:t>
      </w:r>
      <w:r w:rsidRPr="00873B6C">
        <w:t>UE Context setup/modification procedure is enhanced to provide IAB authorized indication</w:t>
      </w:r>
      <w:r w:rsidR="00571B2E" w:rsidRPr="00873B6C">
        <w:t xml:space="preserve"> with the value set to "authorized"</w:t>
      </w:r>
      <w:r w:rsidRPr="00873B6C">
        <w:t xml:space="preserve"> to NG-RAN.</w:t>
      </w:r>
    </w:p>
    <w:p w14:paraId="7B3BC756" w14:textId="17A7CFCB" w:rsidR="00D40151" w:rsidRPr="00873B6C" w:rsidRDefault="00D40151" w:rsidP="00D40151">
      <w:r w:rsidRPr="00873B6C">
        <w:t>After registered to the 5G system, the IAB-node remains in CM-CONNECTED state</w:t>
      </w:r>
      <w:r w:rsidR="00571B2E" w:rsidRPr="00873B6C">
        <w:t xml:space="preserve"> if the IAB operation is authorized</w:t>
      </w:r>
      <w:r w:rsidRPr="00873B6C">
        <w:t>. In the case of radio link failure, the IAB-UE uses existing UE procedure to restore the connection with the network. The IAB-UE uses Deregistration Procedure as defined in</w:t>
      </w:r>
      <w:r w:rsidR="00131D56" w:rsidRPr="00873B6C">
        <w:t xml:space="preserve"> clause 4.2.2.3</w:t>
      </w:r>
      <w:r w:rsidRPr="00873B6C">
        <w:t xml:space="preserve"> </w:t>
      </w:r>
      <w:r w:rsidR="00131D56" w:rsidRPr="00873B6C">
        <w:t xml:space="preserve">of </w:t>
      </w:r>
      <w:r w:rsidR="00972E70" w:rsidRPr="00873B6C">
        <w:t>TS 23.502 [</w:t>
      </w:r>
      <w:r w:rsidRPr="00873B6C">
        <w:t>3] to disconnect from the network.</w:t>
      </w:r>
      <w:r w:rsidR="00386935" w:rsidRPr="00873B6C">
        <w:t xml:space="preserve"> In the case of controlled IAB-node release as specified in clause 8.9.10 of TS 38.401 [42] (including the case when authorization state of the IAB-node is changed from authorized to non-authorized),</w:t>
      </w:r>
      <w:r w:rsidR="00E26BE3" w:rsidRPr="00873B6C">
        <w:t xml:space="preserve"> after UE Context Modification message to NG-RAN with authorization indication as not authorized and after a certain period (e.g. based on the expiration of a timer configured on the AMF),</w:t>
      </w:r>
      <w:r w:rsidR="00386935" w:rsidRPr="00873B6C">
        <w:t xml:space="preserve"> the AMF may trigger the IAB-UE Deregistration.</w:t>
      </w:r>
    </w:p>
    <w:p w14:paraId="3F5B17AB" w14:textId="77777777" w:rsidR="00D40151" w:rsidRPr="00873B6C" w:rsidRDefault="00D40151" w:rsidP="00D40151">
      <w:pPr>
        <w:pStyle w:val="Heading3"/>
      </w:pPr>
      <w:bookmarkStart w:id="5063" w:name="_CR5_35_3"/>
      <w:bookmarkStart w:id="5064" w:name="_Toc20150178"/>
      <w:bookmarkStart w:id="5065" w:name="_Toc27846984"/>
      <w:bookmarkStart w:id="5066" w:name="_Toc36188115"/>
      <w:bookmarkStart w:id="5067" w:name="_Toc45184022"/>
      <w:bookmarkStart w:id="5068" w:name="_Toc47342864"/>
      <w:bookmarkStart w:id="5069" w:name="_Toc51769566"/>
      <w:bookmarkStart w:id="5070" w:name="_Toc201157637"/>
      <w:bookmarkEnd w:id="5063"/>
      <w:r w:rsidRPr="00873B6C">
        <w:t>5.35.3</w:t>
      </w:r>
      <w:r w:rsidRPr="00873B6C">
        <w:tab/>
        <w:t>Data handling and QoS support with IAB</w:t>
      </w:r>
      <w:bookmarkEnd w:id="5064"/>
      <w:bookmarkEnd w:id="5065"/>
      <w:bookmarkEnd w:id="5066"/>
      <w:bookmarkEnd w:id="5067"/>
      <w:bookmarkEnd w:id="5068"/>
      <w:bookmarkEnd w:id="5069"/>
      <w:bookmarkEnd w:id="5070"/>
    </w:p>
    <w:p w14:paraId="24A7C47A" w14:textId="4B50A772" w:rsidR="00D40151" w:rsidRPr="00873B6C" w:rsidRDefault="00D40151" w:rsidP="00D40151">
      <w:r w:rsidRPr="00873B6C">
        <w:t xml:space="preserve">Control plane and user plane protocol stacks for IAB operation are defined in </w:t>
      </w:r>
      <w:r w:rsidR="00972E70" w:rsidRPr="00873B6C">
        <w:t>TS 38.300 [</w:t>
      </w:r>
      <w:r w:rsidRPr="00873B6C">
        <w:t>27].</w:t>
      </w:r>
    </w:p>
    <w:p w14:paraId="53294F7D" w14:textId="3D2BA8E5" w:rsidR="00D40151" w:rsidRPr="00873B6C" w:rsidRDefault="00D40151" w:rsidP="00D40151">
      <w:r w:rsidRPr="00873B6C">
        <w:t xml:space="preserve">QoS management for IAB can remain transparent to the 5GC. If NG-RAN cannot meet a QoS requirement for a </w:t>
      </w:r>
      <w:r w:rsidR="00426DE4" w:rsidRPr="00873B6C">
        <w:t>QoS Flow</w:t>
      </w:r>
      <w:r w:rsidRPr="00873B6C">
        <w:t xml:space="preserve"> to IAB-related resource constraints, the NG-RAN can reject the request using procedures defined in </w:t>
      </w:r>
      <w:r w:rsidR="00972E70" w:rsidRPr="00873B6C">
        <w:t>TS 23.502 [</w:t>
      </w:r>
      <w:r w:rsidRPr="00873B6C">
        <w:t>3].</w:t>
      </w:r>
    </w:p>
    <w:p w14:paraId="72DB6013" w14:textId="77777777" w:rsidR="00D40151" w:rsidRPr="00873B6C" w:rsidRDefault="00D40151" w:rsidP="00D40151">
      <w:r w:rsidRPr="00873B6C">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5FAB9E16" w:rsidR="00D40151" w:rsidRPr="00873B6C" w:rsidRDefault="00D40151" w:rsidP="00D40151">
      <w:pPr>
        <w:pStyle w:val="NO"/>
      </w:pPr>
      <w:bookmarkStart w:id="5071" w:name="_Toc20150179"/>
      <w:bookmarkStart w:id="5072" w:name="_Toc27846985"/>
      <w:bookmarkStart w:id="5073" w:name="_Toc36188116"/>
      <w:bookmarkStart w:id="5074" w:name="_Toc45184023"/>
      <w:bookmarkStart w:id="5075" w:name="_Toc47342865"/>
      <w:r w:rsidRPr="00873B6C">
        <w:t>NOTE:</w:t>
      </w:r>
      <w:r w:rsidRPr="00873B6C">
        <w:tab/>
        <w:t>For OAM traffic, based on their specific requirements, operators can select QoS characteristics and reference them by</w:t>
      </w:r>
      <w:r w:rsidR="00153C7D" w:rsidRPr="00873B6C">
        <w:t xml:space="preserve"> pre-configured</w:t>
      </w:r>
      <w:r w:rsidRPr="00873B6C">
        <w:t xml:space="preserve"> 5QI(s) or using signalled QoS characteristics within the operator's network.</w:t>
      </w:r>
    </w:p>
    <w:p w14:paraId="0B8F105C" w14:textId="77777777" w:rsidR="00D40151" w:rsidRPr="00873B6C" w:rsidRDefault="00D40151" w:rsidP="00D40151">
      <w:pPr>
        <w:pStyle w:val="Heading3"/>
      </w:pPr>
      <w:bookmarkStart w:id="5076" w:name="_CR5_35_4"/>
      <w:bookmarkStart w:id="5077" w:name="_Toc51769567"/>
      <w:bookmarkStart w:id="5078" w:name="_Toc201157638"/>
      <w:bookmarkEnd w:id="5076"/>
      <w:r w:rsidRPr="00873B6C">
        <w:t>5.35.4</w:t>
      </w:r>
      <w:r w:rsidRPr="00873B6C">
        <w:tab/>
        <w:t>Mobility support with IAB</w:t>
      </w:r>
      <w:bookmarkEnd w:id="5071"/>
      <w:bookmarkEnd w:id="5072"/>
      <w:bookmarkEnd w:id="5073"/>
      <w:bookmarkEnd w:id="5074"/>
      <w:bookmarkEnd w:id="5075"/>
      <w:bookmarkEnd w:id="5077"/>
      <w:bookmarkEnd w:id="5078"/>
    </w:p>
    <w:p w14:paraId="0A734555" w14:textId="3100C797" w:rsidR="00D40151" w:rsidRPr="00873B6C" w:rsidRDefault="00D40151" w:rsidP="00D40151">
      <w:r w:rsidRPr="00873B6C">
        <w:t>For UEs, all existing NR intra-RAT mobility and dual-connectivity procedures are supported when the UE is served by an IAB-node</w:t>
      </w:r>
      <w:r w:rsidR="0053150F" w:rsidRPr="00873B6C">
        <w:t xml:space="preserve"> except for the cases of NR satellite access</w:t>
      </w:r>
      <w:r w:rsidRPr="00873B6C">
        <w:t>.</w:t>
      </w:r>
      <w:r w:rsidR="0030234B" w:rsidRPr="00873B6C">
        <w:t xml:space="preserve"> For</w:t>
      </w:r>
      <w:r w:rsidRPr="00873B6C">
        <w:t xml:space="preserve"> a UE served by an IAB-node when the serving IAB-node changes its IAB-donor-CU</w:t>
      </w:r>
      <w:r w:rsidR="0030234B" w:rsidRPr="00873B6C">
        <w:t xml:space="preserve"> due to mobility, the mobility support is specified in clause 5.35A.1 and clause 5.35A.3</w:t>
      </w:r>
      <w:r w:rsidRPr="00873B6C">
        <w:t>.</w:t>
      </w:r>
    </w:p>
    <w:p w14:paraId="0337924B" w14:textId="77777777" w:rsidR="00D40151" w:rsidRPr="00873B6C" w:rsidRDefault="00D40151" w:rsidP="00D40151">
      <w:pPr>
        <w:pStyle w:val="Heading3"/>
      </w:pPr>
      <w:bookmarkStart w:id="5079" w:name="_CR5_35_5"/>
      <w:bookmarkStart w:id="5080" w:name="_Toc20150180"/>
      <w:bookmarkStart w:id="5081" w:name="_Toc27846986"/>
      <w:bookmarkStart w:id="5082" w:name="_Toc36188117"/>
      <w:bookmarkStart w:id="5083" w:name="_Toc45184024"/>
      <w:bookmarkStart w:id="5084" w:name="_Toc47342866"/>
      <w:bookmarkStart w:id="5085" w:name="_Toc51769568"/>
      <w:bookmarkStart w:id="5086" w:name="_Toc201157639"/>
      <w:bookmarkEnd w:id="5079"/>
      <w:r w:rsidRPr="00873B6C">
        <w:t>5.35.5</w:t>
      </w:r>
      <w:r w:rsidRPr="00873B6C">
        <w:tab/>
        <w:t>Charging support with IAB</w:t>
      </w:r>
      <w:bookmarkEnd w:id="5080"/>
      <w:bookmarkEnd w:id="5081"/>
      <w:bookmarkEnd w:id="5082"/>
      <w:bookmarkEnd w:id="5083"/>
      <w:bookmarkEnd w:id="5084"/>
      <w:bookmarkEnd w:id="5085"/>
      <w:bookmarkEnd w:id="5086"/>
    </w:p>
    <w:p w14:paraId="05F3F482" w14:textId="77777777" w:rsidR="00D40151" w:rsidRPr="00873B6C" w:rsidRDefault="00D40151" w:rsidP="00D40151">
      <w:r w:rsidRPr="00873B6C">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376ED1F" w14:textId="77777777" w:rsidR="004D7805" w:rsidRPr="00873B6C" w:rsidRDefault="004D7805" w:rsidP="004D7805">
      <w:pPr>
        <w:pStyle w:val="Heading3"/>
      </w:pPr>
      <w:bookmarkStart w:id="5087" w:name="_CR5_35_6"/>
      <w:bookmarkStart w:id="5088" w:name="_Toc27846987"/>
      <w:bookmarkStart w:id="5089" w:name="_Toc36188118"/>
      <w:bookmarkStart w:id="5090" w:name="_Toc45184025"/>
      <w:bookmarkStart w:id="5091" w:name="_Toc47342867"/>
      <w:bookmarkStart w:id="5092" w:name="_Toc51769569"/>
      <w:bookmarkStart w:id="5093" w:name="_Toc20150181"/>
      <w:bookmarkStart w:id="5094" w:name="_Toc201157640"/>
      <w:bookmarkEnd w:id="5087"/>
      <w:r w:rsidRPr="00873B6C">
        <w:t>5.35.6</w:t>
      </w:r>
      <w:r w:rsidRPr="00873B6C">
        <w:tab/>
        <w:t>IAB operation involving EPC</w:t>
      </w:r>
      <w:bookmarkEnd w:id="5094"/>
    </w:p>
    <w:p w14:paraId="3473B087" w14:textId="77777777" w:rsidR="004D7805" w:rsidRPr="00873B6C" w:rsidRDefault="004D7805" w:rsidP="004D7805">
      <w:r w:rsidRPr="00873B6C">
        <w:t>When the IAB-donor gNB has connection to both EPC and 5GC, based on PLMN configuration, there are two possible operation modes:</w:t>
      </w:r>
    </w:p>
    <w:p w14:paraId="55480508" w14:textId="42F5A8B7" w:rsidR="004D7805" w:rsidRPr="00873B6C" w:rsidRDefault="004D7805" w:rsidP="004D7805">
      <w:pPr>
        <w:pStyle w:val="B1"/>
      </w:pPr>
      <w:r w:rsidRPr="00873B6C">
        <w:lastRenderedPageBreak/>
        <w:t>-</w:t>
      </w:r>
      <w:r w:rsidRPr="00873B6C">
        <w:tab/>
        <w:t xml:space="preserve">the IAB-node connects to a 5GC via the IAB-donor gNB, while the UEs served by the IAB-node connect to EPC with Dual Connectivity as defined in </w:t>
      </w:r>
      <w:r w:rsidR="00972E70" w:rsidRPr="00873B6C">
        <w:t>TS 37.340 [</w:t>
      </w:r>
      <w:r w:rsidRPr="00873B6C">
        <w:t>31]. In this operation mode, the IAB-donor gNB has connection to an eNB</w:t>
      </w:r>
      <w:r w:rsidR="00472CD7" w:rsidRPr="00873B6C">
        <w:t xml:space="preserve"> and</w:t>
      </w:r>
      <w:r w:rsidRPr="00873B6C">
        <w:t xml:space="preserve"> the 5GC is restricted for IAB-node access only; and</w:t>
      </w:r>
    </w:p>
    <w:p w14:paraId="46F5E384" w14:textId="13437864" w:rsidR="004D7805" w:rsidRPr="00873B6C" w:rsidRDefault="004D7805" w:rsidP="004D7805">
      <w:pPr>
        <w:pStyle w:val="B1"/>
      </w:pPr>
      <w:r w:rsidRPr="00873B6C">
        <w:t>-</w:t>
      </w:r>
      <w:r w:rsidRPr="00873B6C">
        <w:tab/>
        <w:t xml:space="preserve">the IAB-node connects to an EPC via the IAB-donor gNB with Dual Connectivity as defined in </w:t>
      </w:r>
      <w:r w:rsidR="00972E70" w:rsidRPr="00873B6C">
        <w:t>TS 37.340 [</w:t>
      </w:r>
      <w:r w:rsidRPr="00873B6C">
        <w:t>31], while the UEs served by the IAB-node connect to the 5GC. In this operation mode, the EPC is restricted for IAB-node access only.</w:t>
      </w:r>
    </w:p>
    <w:p w14:paraId="62261019" w14:textId="0432FCFA" w:rsidR="004D7805" w:rsidRPr="00873B6C" w:rsidRDefault="004D7805" w:rsidP="004D7805">
      <w:r w:rsidRPr="00873B6C">
        <w:t xml:space="preserve">To support the above operation modes, the IAB-UE shall be configured to select only a specific PLMN (as defined in </w:t>
      </w:r>
      <w:r w:rsidR="00972E70" w:rsidRPr="00873B6C">
        <w:t>TS 23.122 [</w:t>
      </w:r>
      <w:r w:rsidRPr="00873B6C">
        <w:t>17]) and whether it needs to connect to 5GC or EPC.</w:t>
      </w:r>
    </w:p>
    <w:p w14:paraId="6944846B" w14:textId="77777777" w:rsidR="004D7805" w:rsidRPr="00873B6C" w:rsidRDefault="004D7805" w:rsidP="004D7805">
      <w:pPr>
        <w:pStyle w:val="NO"/>
      </w:pPr>
      <w:r w:rsidRPr="00873B6C">
        <w:t>NOTE:</w:t>
      </w:r>
      <w:r w:rsidRPr="00873B6C">
        <w:tab/>
        <w:t>For a particular PLMN, it is expected that only one of the modes would be deployed in a known region.</w:t>
      </w:r>
    </w:p>
    <w:p w14:paraId="0891C226" w14:textId="66C167EF" w:rsidR="00A92B4B" w:rsidRPr="00873B6C" w:rsidRDefault="00A92B4B" w:rsidP="00695DF1">
      <w:pPr>
        <w:pStyle w:val="Heading2"/>
      </w:pPr>
      <w:bookmarkStart w:id="5095" w:name="_CR5_35A"/>
      <w:bookmarkStart w:id="5096" w:name="_Toc201157641"/>
      <w:bookmarkEnd w:id="5095"/>
      <w:r w:rsidRPr="00873B6C">
        <w:t>5.35A</w:t>
      </w:r>
      <w:r w:rsidRPr="00873B6C">
        <w:tab/>
        <w:t>Support for Mobile Base Station Relay (MBSR)</w:t>
      </w:r>
      <w:bookmarkEnd w:id="5096"/>
    </w:p>
    <w:p w14:paraId="385E2482" w14:textId="2BB5C777" w:rsidR="0030234B" w:rsidRPr="00873B6C" w:rsidRDefault="0030234B" w:rsidP="0030234B">
      <w:pPr>
        <w:pStyle w:val="Heading3"/>
      </w:pPr>
      <w:bookmarkStart w:id="5097" w:name="_CR5_35A_1"/>
      <w:bookmarkStart w:id="5098" w:name="_Toc201157642"/>
      <w:bookmarkEnd w:id="5097"/>
      <w:r w:rsidRPr="00873B6C">
        <w:t>5.35A.1</w:t>
      </w:r>
      <w:r w:rsidRPr="00873B6C">
        <w:tab/>
        <w:t>General</w:t>
      </w:r>
      <w:bookmarkEnd w:id="5098"/>
    </w:p>
    <w:p w14:paraId="26843CCE" w14:textId="395B24BB" w:rsidR="00A92B4B" w:rsidRPr="00873B6C" w:rsidRDefault="00A92B4B" w:rsidP="00A92B4B">
      <w:r w:rsidRPr="00873B6C">
        <w:t>The MBSR uses the IAB architecture as defined in clause 5.35</w:t>
      </w:r>
      <w:r w:rsidR="00472CD7" w:rsidRPr="00873B6C">
        <w:t xml:space="preserve"> and</w:t>
      </w:r>
      <w:r w:rsidRPr="00873B6C">
        <w:t xml:space="preserve"> operates as an IAB node (with an IAB-UE and gNB-DU) with mobility when integrated with the serving PLMN. The architecture described in clause 5.35 applies</w:t>
      </w:r>
      <w:r w:rsidR="0030234B" w:rsidRPr="00873B6C">
        <w:t xml:space="preserve"> unless specific handling is specified in clause 5.35A</w:t>
      </w:r>
      <w:r w:rsidRPr="00873B6C">
        <w:t>. Additionally, the following limitations apply to the MBSR:</w:t>
      </w:r>
    </w:p>
    <w:p w14:paraId="17C5A60D" w14:textId="77777777" w:rsidR="00A92B4B" w:rsidRPr="00873B6C" w:rsidRDefault="00A92B4B" w:rsidP="00695DF1">
      <w:pPr>
        <w:pStyle w:val="B1"/>
      </w:pPr>
      <w:r w:rsidRPr="00873B6C">
        <w:t>-</w:t>
      </w:r>
      <w:r w:rsidRPr="00873B6C">
        <w:tab/>
        <w:t>the MBSR has a single hop to the IAB-donor node;</w:t>
      </w:r>
    </w:p>
    <w:p w14:paraId="0CFBAC5D" w14:textId="383824FE" w:rsidR="00A92B4B" w:rsidRPr="00873B6C" w:rsidRDefault="00A92B4B" w:rsidP="00695DF1">
      <w:pPr>
        <w:pStyle w:val="B1"/>
      </w:pPr>
      <w:r w:rsidRPr="00873B6C">
        <w:t>-</w:t>
      </w:r>
      <w:r w:rsidRPr="00873B6C">
        <w:tab/>
        <w:t>NR Uu is used for the radio link between a MBSR and served UEs</w:t>
      </w:r>
      <w:r w:rsidR="00472CD7" w:rsidRPr="00873B6C">
        <w:t xml:space="preserve"> and</w:t>
      </w:r>
      <w:r w:rsidRPr="00873B6C">
        <w:t xml:space="preserve"> between MBSR and IAB-donor node.</w:t>
      </w:r>
    </w:p>
    <w:p w14:paraId="052535D2" w14:textId="414FB110" w:rsidR="00A92B4B" w:rsidRPr="00873B6C" w:rsidRDefault="00A92B4B" w:rsidP="00A92B4B">
      <w:r w:rsidRPr="00873B6C">
        <w:t xml:space="preserve">Regulatory requirements (e.g. emergency services, priority services) are supported when UEs access 5GS via a MBSR. LCS framework as defined in </w:t>
      </w:r>
      <w:r w:rsidR="00972E70" w:rsidRPr="00873B6C">
        <w:t>TS 23.273 [</w:t>
      </w:r>
      <w:r w:rsidRPr="00873B6C">
        <w:t>87] is used for providing the location service to the served UEs, with additional enhancements described in clause 5.35A.5.</w:t>
      </w:r>
    </w:p>
    <w:p w14:paraId="28D8395D" w14:textId="459955AC" w:rsidR="00A92B4B" w:rsidRPr="00873B6C" w:rsidRDefault="00A92B4B" w:rsidP="00A92B4B">
      <w:r w:rsidRPr="00873B6C">
        <w:t>Roaming of the MBSR is supported, i.e. a MBSR can</w:t>
      </w:r>
      <w:r w:rsidR="00153C7D" w:rsidRPr="00873B6C">
        <w:t xml:space="preserve"> be</w:t>
      </w:r>
      <w:r w:rsidRPr="00873B6C">
        <w:t xml:space="preserve"> integrated with a VPLMN's IAB-donor</w:t>
      </w:r>
      <w:r w:rsidR="00153C7D" w:rsidRPr="00873B6C">
        <w:t xml:space="preserve"> gNB</w:t>
      </w:r>
      <w:r w:rsidRPr="00873B6C">
        <w:t xml:space="preserve"> node. The corresponding enhancements to support MBSR roaming are described in clause 5.35A.4.</w:t>
      </w:r>
    </w:p>
    <w:p w14:paraId="0FA9106A" w14:textId="209F0150" w:rsidR="00A92B4B" w:rsidRPr="00873B6C" w:rsidRDefault="00A92B4B" w:rsidP="00A92B4B">
      <w:r w:rsidRPr="00873B6C">
        <w:t>CAG mechanism as defined in clause 5.30 can be used for the control of UE's access to the MBSR. Optional enhancements to the CAG mechanism for MBSR use are described in clause 5.35A.</w:t>
      </w:r>
      <w:r w:rsidR="00F1595A" w:rsidRPr="00873B6C">
        <w:t>7</w:t>
      </w:r>
      <w:r w:rsidRPr="00873B6C">
        <w:t>.</w:t>
      </w:r>
    </w:p>
    <w:p w14:paraId="0DBBBE4E" w14:textId="081C7A8F" w:rsidR="00A92B4B" w:rsidRPr="00873B6C" w:rsidRDefault="00A92B4B" w:rsidP="00A92B4B">
      <w:r w:rsidRPr="00873B6C">
        <w:t>For a MBSR node</w:t>
      </w:r>
      <w:r w:rsidR="00252264" w:rsidRPr="00873B6C">
        <w:t xml:space="preserve"> to operate as a MBSR</w:t>
      </w:r>
      <w:r w:rsidRPr="00873B6C">
        <w:t xml:space="preserve">, it provides a mobile IAB-indication to the IAB-donor-CU when the RRC connection is established as defined in </w:t>
      </w:r>
      <w:r w:rsidR="00972E70" w:rsidRPr="00873B6C">
        <w:t>TS 38.331 [</w:t>
      </w:r>
      <w:r w:rsidRPr="00873B6C">
        <w:t>28]. When the mobile IAB-indication is received, the IAB-donor-CU selects an AMF that supports</w:t>
      </w:r>
      <w:r w:rsidR="00517FBD" w:rsidRPr="00873B6C">
        <w:t xml:space="preserve"> mobile</w:t>
      </w:r>
      <w:r w:rsidRPr="00873B6C">
        <w:t xml:space="preserve"> IAB-node and includes the mobile IAB-indication in the N2 INITIAL UE MESSAGE as defined in </w:t>
      </w:r>
      <w:r w:rsidR="00972E70" w:rsidRPr="00873B6C">
        <w:t>TS 38.413 [</w:t>
      </w:r>
      <w:r w:rsidRPr="00873B6C">
        <w:t>34] so that the AMF can perform</w:t>
      </w:r>
      <w:r w:rsidR="00517FBD" w:rsidRPr="00873B6C">
        <w:t xml:space="preserve"> MBSR</w:t>
      </w:r>
      <w:r w:rsidRPr="00873B6C">
        <w:t xml:space="preserve"> authorization</w:t>
      </w:r>
      <w:r w:rsidR="0030234B" w:rsidRPr="00873B6C">
        <w:t xml:space="preserve"> as described in clause 5.35A.4</w:t>
      </w:r>
      <w:r w:rsidRPr="00873B6C">
        <w:t>.</w:t>
      </w:r>
      <w:r w:rsidR="00252264" w:rsidRPr="00873B6C">
        <w:t xml:space="preserve"> If the MBSR node</w:t>
      </w:r>
      <w:r w:rsidR="00517FBD" w:rsidRPr="00873B6C">
        <w:t xml:space="preserve"> is not authorized</w:t>
      </w:r>
      <w:r w:rsidR="00252264" w:rsidRPr="00873B6C">
        <w:t>, e.g. due to the MBSR authorization indication from AMF, it</w:t>
      </w:r>
      <w:r w:rsidR="00517FBD" w:rsidRPr="00873B6C">
        <w:t xml:space="preserve"> also</w:t>
      </w:r>
      <w:r w:rsidR="00252264" w:rsidRPr="00873B6C">
        <w:t xml:space="preserve"> provide</w:t>
      </w:r>
      <w:r w:rsidR="00517FBD" w:rsidRPr="00873B6C">
        <w:t>s</w:t>
      </w:r>
      <w:r w:rsidR="00252264" w:rsidRPr="00873B6C">
        <w:t xml:space="preserve"> the</w:t>
      </w:r>
      <w:r w:rsidR="00517FBD" w:rsidRPr="00873B6C">
        <w:t xml:space="preserve"> mobile IAB-</w:t>
      </w:r>
      <w:r w:rsidR="00252264" w:rsidRPr="00873B6C">
        <w:t>indication when establishing new RRC connection</w:t>
      </w:r>
      <w:r w:rsidR="00EF4A8B" w:rsidRPr="00873B6C">
        <w:t xml:space="preserve"> so that the AMF supporting mobile IAB-node will be selected by the IAB-donor-CU, to ensure that the operation related to MBSR authorization status change for a registered MBSR node can be performed as described in clause 5.35A.4. If the MBSR receives MBSR authorized indication from AMF, it provides the information about the authorization result to its IAB-DU component based on non-standardized interface as described in clause 5.35A.4</w:t>
      </w:r>
      <w:r w:rsidR="00252264" w:rsidRPr="00873B6C">
        <w:t>.</w:t>
      </w:r>
    </w:p>
    <w:p w14:paraId="4A77EB9C" w14:textId="03AF3908" w:rsidR="003D49E0" w:rsidRPr="00873B6C" w:rsidRDefault="003D49E0" w:rsidP="00A92B4B">
      <w:r w:rsidRPr="00873B6C">
        <w:t>As defined in TS 38.331 [28], when a MBSR includes the mobile IAB-indication when establishing the RRC connection, it shall not include the IAB-indication as described in clause 5.35.2.</w:t>
      </w:r>
    </w:p>
    <w:p w14:paraId="050DA90B" w14:textId="4D1BC5D6" w:rsidR="00A92B4B" w:rsidRPr="00873B6C" w:rsidRDefault="00A92B4B" w:rsidP="00A92B4B">
      <w:r w:rsidRPr="00873B6C">
        <w:t xml:space="preserve">After the IAB-UE performs registration procedure in 5GS, further mobility procedure can be performed to change the IAB-donor-DU, the IAB-donor-CU as specified in </w:t>
      </w:r>
      <w:r w:rsidR="00972E70" w:rsidRPr="00873B6C">
        <w:t>TS 38.401 [</w:t>
      </w:r>
      <w:r w:rsidRPr="00873B6C">
        <w:t>42].</w:t>
      </w:r>
      <w:r w:rsidR="0030234B" w:rsidRPr="00873B6C">
        <w:t xml:space="preserve"> The mobility support of UEs served by the MBSR is specified in clause 5.35A.3</w:t>
      </w:r>
      <w:r w:rsidR="0036079D">
        <w:t>.</w:t>
      </w:r>
    </w:p>
    <w:p w14:paraId="44E07D20" w14:textId="4F8F38BE" w:rsidR="0036079D" w:rsidRPr="00873B6C" w:rsidRDefault="0036079D" w:rsidP="0036079D">
      <w:bookmarkStart w:id="5099" w:name="_CR5_35A_2"/>
      <w:bookmarkEnd w:id="5099"/>
      <w:r>
        <w:t>The support of PWS functionality with MBSR is described in TS 23.041 [46].</w:t>
      </w:r>
    </w:p>
    <w:p w14:paraId="3F660014" w14:textId="54469533" w:rsidR="00A92B4B" w:rsidRPr="00873B6C" w:rsidRDefault="00A92B4B" w:rsidP="00A92B4B">
      <w:pPr>
        <w:pStyle w:val="Heading3"/>
      </w:pPr>
      <w:bookmarkStart w:id="5100" w:name="_Toc201157643"/>
      <w:r w:rsidRPr="00873B6C">
        <w:t>5.35A.2</w:t>
      </w:r>
      <w:r w:rsidRPr="00873B6C">
        <w:tab/>
      </w:r>
      <w:r w:rsidRPr="00873B6C">
        <w:tab/>
        <w:t>Configuration of the MBSR</w:t>
      </w:r>
      <w:bookmarkEnd w:id="5100"/>
    </w:p>
    <w:p w14:paraId="3A8D742B" w14:textId="5EBEAE9A" w:rsidR="0022127D" w:rsidRPr="00873B6C" w:rsidRDefault="0022127D" w:rsidP="0022127D">
      <w:r w:rsidRPr="00873B6C">
        <w:t xml:space="preserve">In order for an MBSR to operate as a mobile IAB node, it receives configuration from the OAM system of the serving PLMN as specified in </w:t>
      </w:r>
      <w:r w:rsidR="00972E70" w:rsidRPr="00873B6C">
        <w:t>TS 38.401 [</w:t>
      </w:r>
      <w:r w:rsidRPr="00873B6C">
        <w:t xml:space="preserve">42]. The MBSR </w:t>
      </w:r>
      <w:r w:rsidR="00153C7D" w:rsidRPr="00873B6C">
        <w:t>(</w:t>
      </w:r>
      <w:r w:rsidRPr="00873B6C">
        <w:t>IAB-UE</w:t>
      </w:r>
      <w:r w:rsidR="00153C7D" w:rsidRPr="00873B6C">
        <w:t>)</w:t>
      </w:r>
      <w:r w:rsidRPr="00873B6C">
        <w:t xml:space="preserve"> establishes a secure and trusted connection to the OAM server only if it is authorized to operate as MBSR in the serving PLMN</w:t>
      </w:r>
      <w:r w:rsidR="002A3DAF" w:rsidRPr="00873B6C">
        <w:t xml:space="preserve"> as defined in TS 38.401 [42]</w:t>
      </w:r>
      <w:r w:rsidRPr="00873B6C">
        <w:t>.</w:t>
      </w:r>
    </w:p>
    <w:p w14:paraId="1FAF58D8" w14:textId="41C4476E" w:rsidR="0022127D" w:rsidRPr="00873B6C" w:rsidRDefault="0022127D" w:rsidP="0022127D">
      <w:r w:rsidRPr="00873B6C">
        <w:lastRenderedPageBreak/>
        <w:t xml:space="preserve">In addition, the MBSR(IAB-UE) is assumed to be configured with preferred PLMN lists and forbidden PLMNs by the HPLMN to perform PLMN selection as specified in </w:t>
      </w:r>
      <w:r w:rsidR="00972E70" w:rsidRPr="00873B6C">
        <w:t>TS 23.122 [</w:t>
      </w:r>
      <w:r w:rsidRPr="00873B6C">
        <w:t>17].</w:t>
      </w:r>
    </w:p>
    <w:p w14:paraId="512587E3" w14:textId="0930ABC2" w:rsidR="0022127D" w:rsidRPr="00873B6C" w:rsidRDefault="0022127D" w:rsidP="0022127D">
      <w:r w:rsidRPr="00873B6C">
        <w:t>When a PDU session is used for the MBSR to access the OAM server, the MBSR</w:t>
      </w:r>
      <w:r w:rsidR="00153C7D" w:rsidRPr="00873B6C">
        <w:t xml:space="preserve"> (IAB-UE)</w:t>
      </w:r>
      <w:r w:rsidRPr="00873B6C">
        <w:t xml:space="preserve"> establishes a dedicated PDU session for the OAM traffic. The serving PLMN provides an Allowed NSSAI and establishes the PDU session for the OAM server access, considering the S-NSSAI and DNN requested by MBSR and/or the default values in subscription data. The MBSR can be (pre-)configured with UE policy or provisioned using existing UE Policy mechanism as defined in </w:t>
      </w:r>
      <w:r w:rsidR="00972E70" w:rsidRPr="00873B6C">
        <w:t>TS 23.503 [</w:t>
      </w:r>
      <w:r w:rsidRPr="00873B6C">
        <w:t>45] including the OAM access PDU session parameters for the authorized PLMNs.</w:t>
      </w:r>
    </w:p>
    <w:p w14:paraId="18EBA920" w14:textId="19B731E1" w:rsidR="00A92B4B" w:rsidRPr="00873B6C" w:rsidRDefault="00A92B4B" w:rsidP="00A92B4B">
      <w:pPr>
        <w:pStyle w:val="Heading3"/>
      </w:pPr>
      <w:bookmarkStart w:id="5101" w:name="_CR5_35A_3"/>
      <w:bookmarkStart w:id="5102" w:name="_Toc201157644"/>
      <w:bookmarkEnd w:id="5101"/>
      <w:r w:rsidRPr="00873B6C">
        <w:t>5.35A.3</w:t>
      </w:r>
      <w:r w:rsidRPr="00873B6C">
        <w:tab/>
        <w:t>Mobility support of UEs served by MBSR</w:t>
      </w:r>
      <w:bookmarkEnd w:id="5102"/>
    </w:p>
    <w:p w14:paraId="2EBBF7FA" w14:textId="77777777" w:rsidR="00A92B4B" w:rsidRPr="00873B6C" w:rsidRDefault="00A92B4B" w:rsidP="00695DF1">
      <w:pPr>
        <w:pStyle w:val="Heading4"/>
      </w:pPr>
      <w:bookmarkStart w:id="5103" w:name="_CR5_35A_3_1"/>
      <w:bookmarkStart w:id="5104" w:name="_Toc201157645"/>
      <w:bookmarkEnd w:id="5103"/>
      <w:r w:rsidRPr="00873B6C">
        <w:t>5.35A.3.1</w:t>
      </w:r>
      <w:r w:rsidRPr="00873B6C">
        <w:tab/>
        <w:t>UE mobility between a fixed cell and MBSR cell</w:t>
      </w:r>
      <w:bookmarkEnd w:id="5104"/>
    </w:p>
    <w:p w14:paraId="7938E97F" w14:textId="79E39784" w:rsidR="00A92B4B" w:rsidRPr="00873B6C" w:rsidRDefault="00A92B4B" w:rsidP="00A92B4B">
      <w:r w:rsidRPr="00873B6C">
        <w:t>For UEs in RRC_IDLE and RRC_INACTIVE state when a MBSR goes out-of-service, procedure for cell (re</w:t>
      </w:r>
      <w:r w:rsidR="00AB1E8D" w:rsidRPr="00873B6C">
        <w:noBreakHyphen/>
      </w:r>
      <w:r w:rsidRPr="00873B6C">
        <w:t xml:space="preserve">)selection as specified in </w:t>
      </w:r>
      <w:r w:rsidR="00972E70" w:rsidRPr="00873B6C">
        <w:t>TS 38.304 [</w:t>
      </w:r>
      <w:r w:rsidRPr="00873B6C">
        <w:t>50] for RRC_IDLE and RRC_INACTIVE is used</w:t>
      </w:r>
      <w:r w:rsidR="00500903" w:rsidRPr="00873B6C">
        <w:t xml:space="preserve"> between MBSR cell and other cells</w:t>
      </w:r>
      <w:r w:rsidRPr="00873B6C">
        <w:t>.</w:t>
      </w:r>
    </w:p>
    <w:p w14:paraId="123A7946" w14:textId="2C5146A6" w:rsidR="00500903" w:rsidRPr="00873B6C" w:rsidRDefault="00500903" w:rsidP="00AB1E8D">
      <w:r w:rsidRPr="00873B6C">
        <w:t>If the MBSR goes out-of-service (due to e.g. MBSR moves to an area where the MBSR is not allowed to provide the relay service), the NG-RAN triggers the handover procedures to the neighbouring cells for UEs in RRC_CONNECTED state served by the MBSR. Any change of authorization state of the MBSR is also handled according to clause 5.35A.4.</w:t>
      </w:r>
    </w:p>
    <w:p w14:paraId="229D51C3" w14:textId="321CB437" w:rsidR="00AB1E8D" w:rsidRPr="00873B6C" w:rsidRDefault="00AB1E8D" w:rsidP="00AB1E8D">
      <w:r w:rsidRPr="00873B6C">
        <w:t>The IAB-donor-CU triggers handover procedure when it is possible for the UEs accessing emergency service and being served by the MBSR, if MBSR is about to become unavailable to provide the services.</w:t>
      </w:r>
    </w:p>
    <w:p w14:paraId="7094035F" w14:textId="6AD6D659" w:rsidR="00A92B4B" w:rsidRPr="00873B6C" w:rsidRDefault="00A92B4B" w:rsidP="00A92B4B">
      <w:pPr>
        <w:pStyle w:val="Heading4"/>
      </w:pPr>
      <w:bookmarkStart w:id="5105" w:name="_CR5_35A_3_2"/>
      <w:bookmarkStart w:id="5106" w:name="_Toc201157646"/>
      <w:bookmarkEnd w:id="5105"/>
      <w:r w:rsidRPr="00873B6C">
        <w:t>5.35A.3.2</w:t>
      </w:r>
      <w:r w:rsidRPr="00873B6C">
        <w:tab/>
        <w:t>UE mobility between MBSR cells</w:t>
      </w:r>
      <w:bookmarkEnd w:id="5106"/>
    </w:p>
    <w:p w14:paraId="501FB35B" w14:textId="7A873E3B" w:rsidR="00A92B4B" w:rsidRPr="00873B6C" w:rsidRDefault="00A92B4B" w:rsidP="00A92B4B">
      <w:r w:rsidRPr="00873B6C">
        <w:t>Similar to the behaviours described in clause 5.35A.3.1, UEs</w:t>
      </w:r>
      <w:r w:rsidR="00500903" w:rsidRPr="00873B6C">
        <w:t xml:space="preserve"> and NG-RAN</w:t>
      </w:r>
      <w:r w:rsidRPr="00873B6C">
        <w:t xml:space="preserve"> use existing procedures</w:t>
      </w:r>
      <w:r w:rsidR="00500903" w:rsidRPr="00873B6C">
        <w:t xml:space="preserve"> as specified in clause 8.23 of</w:t>
      </w:r>
      <w:r w:rsidRPr="00873B6C">
        <w:t xml:space="preserve"> </w:t>
      </w:r>
      <w:r w:rsidR="00972E70" w:rsidRPr="00873B6C">
        <w:t>TS 38.401 [</w:t>
      </w:r>
      <w:r w:rsidRPr="00873B6C">
        <w:t xml:space="preserve">42], </w:t>
      </w:r>
      <w:r w:rsidR="00972E70" w:rsidRPr="00873B6C">
        <w:t>TS 23.502 [</w:t>
      </w:r>
      <w:r w:rsidRPr="00873B6C">
        <w:t xml:space="preserve">3], or </w:t>
      </w:r>
      <w:r w:rsidR="00972E70" w:rsidRPr="00873B6C">
        <w:t>TS 38.304 [</w:t>
      </w:r>
      <w:r w:rsidRPr="00873B6C">
        <w:t>50] to handle the mobility between MBSR cells.</w:t>
      </w:r>
    </w:p>
    <w:p w14:paraId="787FB04E" w14:textId="77777777" w:rsidR="00A92B4B" w:rsidRPr="00873B6C" w:rsidRDefault="00A92B4B" w:rsidP="00695DF1">
      <w:pPr>
        <w:pStyle w:val="Heading4"/>
      </w:pPr>
      <w:bookmarkStart w:id="5107" w:name="_CR5_35A_3_3"/>
      <w:bookmarkStart w:id="5108" w:name="_Toc201157647"/>
      <w:bookmarkEnd w:id="5107"/>
      <w:r w:rsidRPr="00873B6C">
        <w:t>5.35A.3.3</w:t>
      </w:r>
      <w:r w:rsidRPr="00873B6C">
        <w:tab/>
        <w:t>UE mobility when moving together with a MBSR cell</w:t>
      </w:r>
      <w:bookmarkEnd w:id="5108"/>
    </w:p>
    <w:p w14:paraId="062FBA17" w14:textId="6B0F296C" w:rsidR="0022127D" w:rsidRPr="00873B6C" w:rsidRDefault="0022127D" w:rsidP="0022127D">
      <w:r w:rsidRPr="00873B6C">
        <w:t xml:space="preserve">For a UE served by a MBSR cell, it may observe change of TAC and/or cell IDs, even if it is still connected to the same MBSR. This can trigger mobility registrations, as defined in </w:t>
      </w:r>
      <w:r w:rsidR="00972E70" w:rsidRPr="00873B6C">
        <w:t>TS 23.502 [</w:t>
      </w:r>
      <w:r w:rsidRPr="00873B6C">
        <w:t>3], if the new TAC is not in the TAI list in the RA.</w:t>
      </w:r>
    </w:p>
    <w:p w14:paraId="7E11009A" w14:textId="705C154F" w:rsidR="00500903" w:rsidRPr="00873B6C" w:rsidRDefault="00500903" w:rsidP="00500903">
      <w:pPr>
        <w:pStyle w:val="Heading4"/>
      </w:pPr>
      <w:bookmarkStart w:id="5109" w:name="_CR5_35A_3_4"/>
      <w:bookmarkStart w:id="5110" w:name="_Toc201157648"/>
      <w:bookmarkEnd w:id="5109"/>
      <w:r w:rsidRPr="00873B6C">
        <w:t>5.35A.3.4</w:t>
      </w:r>
      <w:r w:rsidRPr="00873B6C">
        <w:tab/>
        <w:t>MBSR mobility</w:t>
      </w:r>
      <w:bookmarkEnd w:id="5110"/>
    </w:p>
    <w:p w14:paraId="7194D5F3" w14:textId="77777777" w:rsidR="00500903" w:rsidRPr="00873B6C" w:rsidRDefault="00500903" w:rsidP="00500903">
      <w:r w:rsidRPr="00873B6C">
        <w:t>The mobility of MBSR between different IAB-donor gNBs is described in clause 8.23 of TS 38.401 [42].</w:t>
      </w:r>
    </w:p>
    <w:p w14:paraId="4B0DA977" w14:textId="77777777" w:rsidR="00500903" w:rsidRPr="00873B6C" w:rsidRDefault="00500903" w:rsidP="00500903">
      <w:r w:rsidRPr="00873B6C">
        <w:t>If a MBSR operates without PDU sessions,</w:t>
      </w:r>
    </w:p>
    <w:p w14:paraId="1C20805A" w14:textId="546D5CD6" w:rsidR="00500903" w:rsidRPr="00873B6C" w:rsidRDefault="00500903" w:rsidP="00745A3E">
      <w:pPr>
        <w:pStyle w:val="B1"/>
      </w:pPr>
      <w:r w:rsidRPr="00873B6C">
        <w:t>-</w:t>
      </w:r>
      <w:r w:rsidRPr="00873B6C">
        <w:tab/>
        <w:t>For N2 Handover, the NG-RAN triggers the N2 handover procedure for a dummy PDU session and includes the related dummy PDU session information in the Handover Required message, as specified in TS 38.413 [34] towards the AMF of the MBSR (IAB-UE). The AMF checks the UE context it stores for the MBSR (IAB-UE) and since it includes no PDU sessions, the AMF shall not forward the PDU Session information it receives in the Handover Required message to any SMF. The AMF shall then perform the handover procedures as specified in clause 4.9.1.3 of TS 23.502 [3] without involving any SMF and it includes in the Handover Request message towards the target NG-RAN the PDU session information received in the Handover Required message with an indication to cause the target NG-RAN to ignore the received PDU session information (</w:t>
      </w:r>
      <w:r w:rsidRPr="00873B6C">
        <w:rPr>
          <w:i/>
          <w:iCs/>
        </w:rPr>
        <w:t>No PDU Session Indication</w:t>
      </w:r>
      <w:r w:rsidRPr="00873B6C">
        <w:t xml:space="preserve"> IE defined in TS 38.413 [34]). If the AMF is reallocated during the handover, the target AMF checks whether the UE context for the MBSR (IAB-UE) it receives from the source AMF includes any PDU sessions related information and if none is detected, it continues the handover without involving any SMF and it includes in the Handover Request message towards the target NG-RAN with an indication to cause the target NG-RAN to ignore the received PDU session information (</w:t>
      </w:r>
      <w:r w:rsidRPr="00873B6C">
        <w:rPr>
          <w:i/>
          <w:iCs/>
        </w:rPr>
        <w:t>No PDU Session Indication</w:t>
      </w:r>
      <w:r w:rsidRPr="00873B6C">
        <w:t xml:space="preserve"> IE defined in TS 38.413 [34]).</w:t>
      </w:r>
    </w:p>
    <w:p w14:paraId="45E8CA68" w14:textId="77777777" w:rsidR="00500903" w:rsidRPr="00873B6C" w:rsidRDefault="00500903" w:rsidP="00745A3E">
      <w:pPr>
        <w:pStyle w:val="B1"/>
      </w:pPr>
      <w:r w:rsidRPr="00873B6C">
        <w:t>-</w:t>
      </w:r>
      <w:r w:rsidRPr="00873B6C">
        <w:tab/>
        <w:t>For Xn Handover: the NG-RAN triggers the Xn handover procedure for a dummy PDU session and includes the related dummy PDU session information in the Path Switch Request message, as specified in TS 38.413 [34]. The AMF checks the UE context it stores for the MBSR (IAB-UE) and since it includes no PDU sessions, the AMF shall then perform the handover procedures as specified in clause 4.9.1.2 of TS 23.502 [3] without involving any SMF and it includes in the Path Switch Acknowledge towards the target NG-RAN dummy PDU session information. The NG-RAN ignores the received PDU session information from the AMF as it has no PDU sessions in the RAN UE context.</w:t>
      </w:r>
    </w:p>
    <w:p w14:paraId="11F45401" w14:textId="66A2EB96" w:rsidR="00A92B4B" w:rsidRPr="00873B6C" w:rsidRDefault="00A92B4B" w:rsidP="00A92B4B">
      <w:pPr>
        <w:pStyle w:val="Heading3"/>
      </w:pPr>
      <w:bookmarkStart w:id="5111" w:name="_CR5_35A_4"/>
      <w:bookmarkStart w:id="5112" w:name="_Toc201157649"/>
      <w:bookmarkEnd w:id="5111"/>
      <w:r w:rsidRPr="00873B6C">
        <w:lastRenderedPageBreak/>
        <w:t>5.35A.4</w:t>
      </w:r>
      <w:r w:rsidRPr="00873B6C">
        <w:tab/>
        <w:t>MBSR authorization</w:t>
      </w:r>
      <w:bookmarkEnd w:id="5112"/>
    </w:p>
    <w:p w14:paraId="67A6B59F" w14:textId="7A009DBA" w:rsidR="00A92B4B" w:rsidRPr="00873B6C" w:rsidRDefault="00A92B4B" w:rsidP="00A92B4B">
      <w:r w:rsidRPr="00873B6C">
        <w:t>For a MBSR, the subscription information stored in the HPLMN indicates whether it is authorized to operate as MBSR</w:t>
      </w:r>
      <w:r w:rsidR="00472CD7" w:rsidRPr="00873B6C">
        <w:t xml:space="preserve"> and</w:t>
      </w:r>
      <w:r w:rsidRPr="00873B6C">
        <w:t xml:space="preserve"> the corresponding location and time</w:t>
      </w:r>
      <w:r w:rsidR="00FA5436" w:rsidRPr="00873B6C">
        <w:t xml:space="preserve"> information as specified in TS 23.502 [3]</w:t>
      </w:r>
      <w:r w:rsidRPr="00873B6C">
        <w:t>.</w:t>
      </w:r>
    </w:p>
    <w:p w14:paraId="3D914BF8" w14:textId="0483D954" w:rsidR="00252264" w:rsidRPr="00873B6C" w:rsidRDefault="00252264" w:rsidP="005A13C0">
      <w:pPr>
        <w:pStyle w:val="NO"/>
      </w:pPr>
      <w:r w:rsidRPr="00873B6C">
        <w:t>NOTE 1:</w:t>
      </w:r>
      <w:r w:rsidRPr="00873B6C">
        <w:tab/>
        <w:t>For non-roaming MBSRs, the operator local policy can be taken into consideration for MBSR authorization, e.g. based on the network status, or a limit on the number of MBSRs operating in a certain area.</w:t>
      </w:r>
    </w:p>
    <w:p w14:paraId="61BB70A6" w14:textId="126C82E3" w:rsidR="00A92B4B" w:rsidRPr="00873B6C" w:rsidRDefault="00A92B4B" w:rsidP="00A92B4B">
      <w:r w:rsidRPr="00873B6C">
        <w:t>When the MBSR (IAB-UE) performs initial registration with the serving PLMN, it indicates the request to operate as a MBSR as described in clause 5.35A.1. The AMF authorizes the MBSR based on the subscription information and provides MBSR authorized indication to</w:t>
      </w:r>
      <w:r w:rsidR="00252264" w:rsidRPr="00873B6C">
        <w:t xml:space="preserve"> the MBSR node over NAS and</w:t>
      </w:r>
      <w:r w:rsidRPr="00873B6C">
        <w:t xml:space="preserve"> NG-RAN</w:t>
      </w:r>
      <w:r w:rsidR="00252264" w:rsidRPr="00873B6C">
        <w:t xml:space="preserve"> over NGAP as described in the registration procedure in TS 23.502 [3]</w:t>
      </w:r>
      <w:r w:rsidRPr="00873B6C">
        <w:t>. The MBSR establishes the connection to OAM system using the configuration information for MBSR operation</w:t>
      </w:r>
      <w:r w:rsidR="00252264" w:rsidRPr="00873B6C">
        <w:t xml:space="preserve"> upon the reception of MBSR authorization indication (authorized)</w:t>
      </w:r>
      <w:r w:rsidRPr="00873B6C">
        <w:t>.</w:t>
      </w:r>
      <w:r w:rsidR="0014088C" w:rsidRPr="00873B6C">
        <w:t xml:space="preserve"> The MBSR provides the information about the authorization result (authorized) to its IAB</w:t>
      </w:r>
      <w:r w:rsidR="0050142C" w:rsidRPr="00873B6C">
        <w:t xml:space="preserve"> gNB</w:t>
      </w:r>
      <w:r w:rsidR="0014088C" w:rsidRPr="00873B6C">
        <w:t>-DU component.</w:t>
      </w:r>
      <w:r w:rsidR="00FA5436" w:rsidRPr="00873B6C">
        <w:t xml:space="preserve"> When the AMF formulates the registration area for an authorized MBSR, the TAs included in the registration area are authorized for MBSR operation homogenously, taking any MBSR Operation allowed information in subscription data and operator local policy into account.</w:t>
      </w:r>
    </w:p>
    <w:p w14:paraId="2868DA04" w14:textId="3ED3CAE2" w:rsidR="00FA5436" w:rsidRPr="00873B6C" w:rsidRDefault="00FA5436" w:rsidP="00FA5436">
      <w:pPr>
        <w:pStyle w:val="NO"/>
      </w:pPr>
      <w:r w:rsidRPr="00873B6C">
        <w:t>NOTE 2:</w:t>
      </w:r>
      <w:r w:rsidRPr="00873B6C">
        <w:tab/>
        <w:t>The MBSR support can be deployed in certain Network Slices based on operator configuration and Network slicing functionalities (e.g. the function specified in clause 5.15.18) can be applied when suitable.</w:t>
      </w:r>
    </w:p>
    <w:p w14:paraId="7E74A56A" w14:textId="77777777" w:rsidR="00252264" w:rsidRPr="00873B6C" w:rsidRDefault="00252264" w:rsidP="00252264">
      <w:r w:rsidRPr="00873B6C">
        <w:t>When MBSR roaming is supported, a roaming agreement between VPLMN and HPLMN regarding MBSR operation is in place. The AMF can make use of the subscription data for authorization of the MBSR in the V-PLMN.</w:t>
      </w:r>
    </w:p>
    <w:p w14:paraId="5BFADE59" w14:textId="39E2C2C8" w:rsidR="00252264" w:rsidRPr="00873B6C" w:rsidRDefault="00252264" w:rsidP="00252264">
      <w:r w:rsidRPr="00873B6C">
        <w:t>MBSR (IAB</w:t>
      </w:r>
      <w:r w:rsidR="0050142C" w:rsidRPr="00873B6C">
        <w:t xml:space="preserve"> gNB</w:t>
      </w:r>
      <w:r w:rsidRPr="00873B6C">
        <w:t>-DU) can use IAB-node integration procedure or inter-IAB-donor gNB mobility procedure to integrate into the serving PLMN to provide service.</w:t>
      </w:r>
    </w:p>
    <w:p w14:paraId="31CCD06B" w14:textId="0F1CDAE0" w:rsidR="00A92B4B" w:rsidRPr="00873B6C" w:rsidRDefault="00A92B4B" w:rsidP="00695DF1">
      <w:pPr>
        <w:pStyle w:val="NO"/>
      </w:pPr>
      <w:r w:rsidRPr="00873B6C">
        <w:t>NOTE </w:t>
      </w:r>
      <w:r w:rsidR="00FA5436" w:rsidRPr="00873B6C">
        <w:t>3</w:t>
      </w:r>
      <w:r w:rsidRPr="00873B6C">
        <w:t>:</w:t>
      </w:r>
      <w:r w:rsidRPr="00873B6C">
        <w:tab/>
        <w:t>How the MBSR obtains the configuration information for MBSR operation is described in clause 5.35A.2.</w:t>
      </w:r>
    </w:p>
    <w:p w14:paraId="69244077" w14:textId="3A9DDF38" w:rsidR="00A92B4B" w:rsidRPr="00873B6C" w:rsidRDefault="00252264" w:rsidP="00A92B4B">
      <w:r w:rsidRPr="00873B6C">
        <w:t>If the MBSR operation is not authorized (e.g. due to location or time limitation</w:t>
      </w:r>
      <w:r w:rsidR="0050142C" w:rsidRPr="00873B6C">
        <w:t>, or due to lack of authorization altogether to operate as MBSR</w:t>
      </w:r>
      <w:r w:rsidRPr="00873B6C">
        <w:t xml:space="preserve">), the </w:t>
      </w:r>
      <w:r w:rsidR="00A92B4B" w:rsidRPr="00873B6C">
        <w:t>AMF of the MBSR</w:t>
      </w:r>
      <w:r w:rsidR="0050142C" w:rsidRPr="00873B6C">
        <w:t xml:space="preserve"> (IAB-UE)</w:t>
      </w:r>
      <w:r w:rsidR="00A92B4B" w:rsidRPr="00873B6C">
        <w:t xml:space="preserve"> can indicate to the MBSR</w:t>
      </w:r>
      <w:r w:rsidR="00AB1E8D" w:rsidRPr="00873B6C">
        <w:t xml:space="preserve"> </w:t>
      </w:r>
      <w:r w:rsidR="0050142C" w:rsidRPr="00873B6C">
        <w:t>(</w:t>
      </w:r>
      <w:r w:rsidR="00AB1E8D" w:rsidRPr="00873B6C">
        <w:t>IAB-UE</w:t>
      </w:r>
      <w:r w:rsidR="0050142C" w:rsidRPr="00873B6C">
        <w:t>)</w:t>
      </w:r>
      <w:r w:rsidR="00A92B4B" w:rsidRPr="00873B6C">
        <w:t xml:space="preserve"> that it is not allowed to act as an</w:t>
      </w:r>
      <w:r w:rsidR="00AB1E8D" w:rsidRPr="00873B6C">
        <w:t xml:space="preserve"> MBSR</w:t>
      </w:r>
      <w:r w:rsidRPr="00873B6C">
        <w:t>, i.e. the MBSR authorization indication (not authorized),</w:t>
      </w:r>
      <w:r w:rsidR="00A92B4B" w:rsidRPr="00873B6C">
        <w:t xml:space="preserve"> as part of registration procedure</w:t>
      </w:r>
      <w:r w:rsidRPr="00873B6C">
        <w:t>.</w:t>
      </w:r>
      <w:r w:rsidR="00AB1E8D" w:rsidRPr="00873B6C">
        <w:t xml:space="preserve"> The AMF may provide the indication in a Registration Accept (if the PLMN allows the MBSR IAB-UE to be registered in the PLM</w:t>
      </w:r>
      <w:r w:rsidR="00E26BE3" w:rsidRPr="00873B6C">
        <w:t>N</w:t>
      </w:r>
      <w:r w:rsidR="00AB1E8D" w:rsidRPr="00873B6C">
        <w:t>)</w:t>
      </w:r>
      <w:r w:rsidR="00E26BE3" w:rsidRPr="00873B6C">
        <w:t xml:space="preserve">. In this case, the AMF includes the MBSR authorization indication (not authorized) to </w:t>
      </w:r>
      <w:r w:rsidR="0050142C" w:rsidRPr="00873B6C">
        <w:t>IAB-</w:t>
      </w:r>
      <w:r w:rsidR="00E26BE3" w:rsidRPr="00873B6C">
        <w:t>donor-gNB. The MBSR provides the</w:t>
      </w:r>
      <w:r w:rsidR="0014088C" w:rsidRPr="00873B6C">
        <w:t xml:space="preserve"> information about the</w:t>
      </w:r>
      <w:r w:rsidR="00E26BE3" w:rsidRPr="00873B6C">
        <w:t xml:space="preserve"> authorization</w:t>
      </w:r>
      <w:r w:rsidR="0014088C" w:rsidRPr="00873B6C">
        <w:t xml:space="preserve"> result</w:t>
      </w:r>
      <w:r w:rsidR="00E26BE3" w:rsidRPr="00873B6C">
        <w:t xml:space="preserve"> (not authorized) to its</w:t>
      </w:r>
      <w:r w:rsidR="0014088C" w:rsidRPr="00873B6C">
        <w:t xml:space="preserve"> IAB-DU component</w:t>
      </w:r>
      <w:r w:rsidR="00E26BE3" w:rsidRPr="00873B6C">
        <w:t>. The AMF may reject the</w:t>
      </w:r>
      <w:r w:rsidR="00AB1E8D" w:rsidRPr="00873B6C">
        <w:t xml:space="preserve"> Registration (if the PLMN does not allow the MBSR IAB-UE to be registered in the PLMN)</w:t>
      </w:r>
      <w:r w:rsidRPr="00873B6C">
        <w:t xml:space="preserve">. </w:t>
      </w:r>
    </w:p>
    <w:p w14:paraId="505E7855" w14:textId="5805E3E2" w:rsidR="00252264" w:rsidRPr="00873B6C" w:rsidRDefault="00252264" w:rsidP="00252264">
      <w:r w:rsidRPr="00873B6C">
        <w:t>When the MBSR authorization state changes for a registered MBSR node (either authorized, or not authorized), the AMF</w:t>
      </w:r>
      <w:r w:rsidR="0050142C" w:rsidRPr="00873B6C">
        <w:t xml:space="preserve"> of the MBSR (IAB-UE)</w:t>
      </w:r>
      <w:r w:rsidRPr="00873B6C">
        <w:t xml:space="preserve"> updates the MBSR</w:t>
      </w:r>
      <w:r w:rsidR="0050142C" w:rsidRPr="00873B6C">
        <w:t xml:space="preserve"> (IAB-UE)</w:t>
      </w:r>
      <w:r w:rsidRPr="00873B6C">
        <w:t xml:space="preserve"> and the NG-RAN accordingly. Based on the operator configuration, the AMF may use either Deregistration (with re-registration required indication) or the UE Configuration Update procedure to inform the MBSR regarding the updated authorization status:</w:t>
      </w:r>
    </w:p>
    <w:p w14:paraId="30F7B183" w14:textId="77777777" w:rsidR="0050142C" w:rsidRPr="00873B6C" w:rsidRDefault="0050142C" w:rsidP="005A13C0">
      <w:pPr>
        <w:pStyle w:val="B1"/>
      </w:pPr>
      <w:r w:rsidRPr="00873B6C">
        <w:t>-</w:t>
      </w:r>
      <w:r w:rsidRPr="00873B6C">
        <w:tab/>
        <w:t>The Deregistration with re-registration required indication procedure is used, when the AMF of the MBSR (IAB-UE) intends to keep the MBSR (IAB-UE) registered. The AMF of the MBSR (IAB-UE) provides the new authorization indication to MBSR (IAB-UE) as described above, when the MBSR performs initial Registration procedure after the deregistration.</w:t>
      </w:r>
    </w:p>
    <w:p w14:paraId="07CF9DD0" w14:textId="77777777" w:rsidR="0050142C" w:rsidRPr="00873B6C" w:rsidRDefault="0050142C" w:rsidP="005A13C0">
      <w:pPr>
        <w:pStyle w:val="B1"/>
      </w:pPr>
      <w:r w:rsidRPr="00873B6C">
        <w:t>-</w:t>
      </w:r>
      <w:r w:rsidRPr="00873B6C">
        <w:tab/>
        <w:t>The Deregistration procedure without re-registration required indication is used if the PLMN does not allow the MBSR (IAB-UE) to remain registered in the PLMN.</w:t>
      </w:r>
    </w:p>
    <w:p w14:paraId="6BC5C893" w14:textId="77777777" w:rsidR="0050142C" w:rsidRPr="00873B6C" w:rsidRDefault="0050142C" w:rsidP="005A13C0">
      <w:pPr>
        <w:pStyle w:val="B1"/>
      </w:pPr>
      <w:r w:rsidRPr="00873B6C">
        <w:t>-</w:t>
      </w:r>
      <w:r w:rsidRPr="00873B6C">
        <w:tab/>
        <w:t>When UE Configuration Update procedure is used, the AMF provides the new authorization indication to the MBSR (IAB-UE) in the UE Configuration Update Command. The MBSR provides the information about the new authorization status to its IAB-DU component.</w:t>
      </w:r>
    </w:p>
    <w:p w14:paraId="4FD9871C" w14:textId="11ECD438" w:rsidR="00252264" w:rsidRPr="00873B6C" w:rsidRDefault="00252264" w:rsidP="00252264">
      <w:r w:rsidRPr="00873B6C">
        <w:t>The AMF</w:t>
      </w:r>
      <w:r w:rsidR="0050142C" w:rsidRPr="00873B6C">
        <w:t xml:space="preserve"> of the MBSR (IAB-UE)</w:t>
      </w:r>
      <w:r w:rsidRPr="00873B6C">
        <w:t xml:space="preserve"> informs the NG-RAN</w:t>
      </w:r>
      <w:r w:rsidR="0050142C" w:rsidRPr="00873B6C">
        <w:t xml:space="preserve"> (i.e. the IAB-donor gNB)</w:t>
      </w:r>
      <w:r w:rsidRPr="00873B6C">
        <w:t xml:space="preserve"> of the new authorization status using UE Context Modification, Initial Context Setup procedure or the DOWNLINK NAS TRANSPORT message, with the following principles:</w:t>
      </w:r>
    </w:p>
    <w:p w14:paraId="33F144EC" w14:textId="3957C73C" w:rsidR="00252264" w:rsidRPr="00873B6C" w:rsidRDefault="00252264" w:rsidP="005A13C0">
      <w:pPr>
        <w:pStyle w:val="B1"/>
      </w:pPr>
      <w:r w:rsidRPr="00873B6C">
        <w:t>-</w:t>
      </w:r>
      <w:r w:rsidRPr="00873B6C">
        <w:tab/>
        <w:t xml:space="preserve">If the authorization state changes from authorized to not authorized and AMF uses the UE Configuration Updated procedure to update the MBSR, the AMF updates the NG-RAN with the new authorization indication </w:t>
      </w:r>
      <w:r w:rsidRPr="00873B6C">
        <w:lastRenderedPageBreak/>
        <w:t>(not authorized) by including this information in the DOWNLINK NAS TRANSPORT message. The NG-RAN completes handover of the UEs served by the MBSR before releasing the F1 connection to the MBSR IAB-DU.</w:t>
      </w:r>
    </w:p>
    <w:p w14:paraId="06C5137C" w14:textId="7BAF8D84" w:rsidR="00252264" w:rsidRPr="00873B6C" w:rsidRDefault="00252264" w:rsidP="005A13C0">
      <w:pPr>
        <w:pStyle w:val="B1"/>
      </w:pPr>
      <w:r w:rsidRPr="00873B6C">
        <w:t>-</w:t>
      </w:r>
      <w:r w:rsidRPr="00873B6C">
        <w:tab/>
        <w:t>If the authorization state changes from authorized to not authorized and the AMF uses the Deregistration procedure to update the MBSR, the AMF sends the UE Context Modification message to NG-RAN</w:t>
      </w:r>
      <w:r w:rsidR="003D49E0" w:rsidRPr="00873B6C">
        <w:t xml:space="preserve"> with the authorization indication as not authorized. Then, if the AMF receives a NGAP UE CONTEXT RELEASE REQUEST message from the NG-RAN with a cause code indicating the NG-RAN node has completed the operation for a non-authorized MBSR, including e.g. the handover of the UEs the MBSR was serving as defined in TS 38.413 [34], or</w:t>
      </w:r>
      <w:r w:rsidR="00FE24CE" w:rsidRPr="00873B6C">
        <w:t xml:space="preserve"> after a certain period (e.g. based on the expiration of a timer configured on the AMF) the AMF executes the deregistration procedure with MBSR and releases the NAS signalling connection</w:t>
      </w:r>
      <w:r w:rsidRPr="00873B6C">
        <w:t>.</w:t>
      </w:r>
    </w:p>
    <w:p w14:paraId="29583AD2" w14:textId="51EE1EA3" w:rsidR="00FE24CE" w:rsidRPr="00873B6C" w:rsidRDefault="00FE24CE" w:rsidP="00252264">
      <w:r w:rsidRPr="00873B6C">
        <w:t xml:space="preserve">If the Network-initiated Deregistration procedure is triggered for MBSR </w:t>
      </w:r>
      <w:r w:rsidR="0050142C" w:rsidRPr="00873B6C">
        <w:t>(</w:t>
      </w:r>
      <w:r w:rsidRPr="00873B6C">
        <w:t>IAB-UE</w:t>
      </w:r>
      <w:r w:rsidR="0050142C" w:rsidRPr="00873B6C">
        <w:t>)</w:t>
      </w:r>
      <w:r w:rsidRPr="00873B6C">
        <w:t xml:space="preserve"> that is registered with authorization to act as MBSR, the AMF sends the UE Context Modification message to</w:t>
      </w:r>
      <w:r w:rsidR="0050142C" w:rsidRPr="00873B6C">
        <w:t xml:space="preserve"> the</w:t>
      </w:r>
      <w:r w:rsidRPr="00873B6C">
        <w:t xml:space="preserve"> NG-RAN</w:t>
      </w:r>
      <w:r w:rsidR="0050142C" w:rsidRPr="00873B6C">
        <w:t xml:space="preserve"> (i.e. the IAB-donor gNB)</w:t>
      </w:r>
      <w:r w:rsidRPr="00873B6C">
        <w:t xml:space="preserve"> and updates the NG-RAN with the authorization indication as not authorized</w:t>
      </w:r>
      <w:r w:rsidR="003D49E0" w:rsidRPr="00873B6C">
        <w:t>. Then, if the AMF receives a NGAP UE CONTEXT RELEASE REQUEST message from the NG-RAN with a cause code indicating that the NG-RAN node has completed the operation for a non-authorized MBSR, including e.g. the handover of the UEs the MBSR was serving as defined in TS 38.413 [34], or</w:t>
      </w:r>
      <w:r w:rsidRPr="00873B6C">
        <w:t xml:space="preserve"> after a certain period (e.g. based on the expiration of a timer configured on the AMF) the AMF executes the deregistration procedure with MBSR and releases the NAS signalling connection.</w:t>
      </w:r>
    </w:p>
    <w:p w14:paraId="1B1D3408" w14:textId="0642655C" w:rsidR="00FE24CE" w:rsidRPr="00873B6C" w:rsidRDefault="00FE24CE" w:rsidP="00FA7D5B">
      <w:pPr>
        <w:pStyle w:val="NO"/>
      </w:pPr>
      <w:r w:rsidRPr="00873B6C">
        <w:t>NOTE </w:t>
      </w:r>
      <w:r w:rsidR="00FA5436" w:rsidRPr="00873B6C">
        <w:t>4</w:t>
      </w:r>
      <w:r w:rsidRPr="00873B6C">
        <w:t>:</w:t>
      </w:r>
      <w:r w:rsidRPr="00873B6C">
        <w:tab/>
        <w:t>The AMF delays the MBSR de-registration to allow the IAB-donor gNB to move all connected UEs via MBSR to other cells as specified in clause 8.9.10 of TS 38.401 [42].</w:t>
      </w:r>
    </w:p>
    <w:p w14:paraId="16500099" w14:textId="3006215B" w:rsidR="00252264" w:rsidRPr="00873B6C" w:rsidRDefault="00252264" w:rsidP="00252264">
      <w:r w:rsidRPr="00873B6C">
        <w:t>If a PDU session is used to provide OAM access for MBSR when it is not authorized but remains registered, the AMF</w:t>
      </w:r>
      <w:r w:rsidR="0050142C" w:rsidRPr="00873B6C">
        <w:t xml:space="preserve"> of the MBSR (IAB-UE)</w:t>
      </w:r>
      <w:r w:rsidRPr="00873B6C">
        <w:t xml:space="preserve"> may notify the SMF serving the PDU session for O&amp;M access to trigger the release of the PDU Session.</w:t>
      </w:r>
    </w:p>
    <w:p w14:paraId="4C3EB933" w14:textId="7679B3DC" w:rsidR="00A92B4B" w:rsidRPr="00873B6C" w:rsidRDefault="00A92B4B" w:rsidP="00695DF1">
      <w:pPr>
        <w:pStyle w:val="NO"/>
      </w:pPr>
      <w:r w:rsidRPr="00873B6C">
        <w:t>NOTE </w:t>
      </w:r>
      <w:r w:rsidR="00FA5436" w:rsidRPr="00873B6C">
        <w:t>5</w:t>
      </w:r>
      <w:r w:rsidRPr="00873B6C">
        <w:t>:</w:t>
      </w:r>
      <w:r w:rsidRPr="00873B6C">
        <w:tab/>
        <w:t>The mechanism applies to both roaming and non-roaming MBSR operations.</w:t>
      </w:r>
    </w:p>
    <w:p w14:paraId="3234A3E1" w14:textId="30C7222E" w:rsidR="00A92B4B" w:rsidRPr="00873B6C" w:rsidRDefault="00A92B4B" w:rsidP="00A92B4B">
      <w:pPr>
        <w:pStyle w:val="Heading3"/>
      </w:pPr>
      <w:bookmarkStart w:id="5113" w:name="_CR5_35A_5"/>
      <w:bookmarkStart w:id="5114" w:name="_Toc201157650"/>
      <w:bookmarkEnd w:id="5113"/>
      <w:r w:rsidRPr="00873B6C">
        <w:t>5.35A.5</w:t>
      </w:r>
      <w:r w:rsidRPr="00873B6C">
        <w:tab/>
        <w:t>Location Service Support of UEs served by MBSR</w:t>
      </w:r>
      <w:bookmarkEnd w:id="5114"/>
    </w:p>
    <w:p w14:paraId="627711E1" w14:textId="507744D6" w:rsidR="00A92B4B" w:rsidRPr="00873B6C" w:rsidRDefault="00A92B4B" w:rsidP="00A92B4B">
      <w:r w:rsidRPr="00873B6C">
        <w:t xml:space="preserve">When a UE accesses 5GS via a MBSR, it can use the location service as defined in </w:t>
      </w:r>
      <w:r w:rsidR="00972E70" w:rsidRPr="00873B6C">
        <w:t>TS 23.273 [</w:t>
      </w:r>
      <w:r w:rsidRPr="00873B6C">
        <w:t xml:space="preserve">87]. However, in order to provide accurate estimation of the UE location, LMF needs to take the location of the MBSR into account. Enhancements to the LCS framework for MBSR support is described in clause 5.9 of </w:t>
      </w:r>
      <w:r w:rsidR="00972E70" w:rsidRPr="00873B6C">
        <w:t>TS 23.273 [</w:t>
      </w:r>
      <w:r w:rsidRPr="00873B6C">
        <w:t>87].</w:t>
      </w:r>
    </w:p>
    <w:p w14:paraId="4EE9F464" w14:textId="569F5A70" w:rsidR="00A92B4B" w:rsidRPr="00873B6C" w:rsidRDefault="00A92B4B" w:rsidP="00A92B4B">
      <w:pPr>
        <w:pStyle w:val="Heading3"/>
      </w:pPr>
      <w:bookmarkStart w:id="5115" w:name="_CR5_35A_6"/>
      <w:bookmarkStart w:id="5116" w:name="_Toc201157651"/>
      <w:bookmarkEnd w:id="5115"/>
      <w:r w:rsidRPr="00873B6C">
        <w:t>5.35A.6</w:t>
      </w:r>
      <w:r w:rsidRPr="00873B6C">
        <w:tab/>
        <w:t>Providing cell ID/TAC of MBSR for services</w:t>
      </w:r>
      <w:bookmarkEnd w:id="5116"/>
    </w:p>
    <w:p w14:paraId="38A1E034" w14:textId="7C83C564" w:rsidR="009E78C1" w:rsidRPr="00873B6C" w:rsidRDefault="009E78C1" w:rsidP="009E78C1">
      <w:r w:rsidRPr="00873B6C">
        <w:t>The TAC and cell ID broadcasted by the MBSR cell(s) are configured</w:t>
      </w:r>
      <w:r w:rsidR="00F13E92" w:rsidRPr="00873B6C">
        <w:t xml:space="preserve"> and reconfigured e.g. upon mobility</w:t>
      </w:r>
      <w:r w:rsidRPr="00873B6C">
        <w:t xml:space="preserve"> as specified in</w:t>
      </w:r>
      <w:r w:rsidR="00F13E92" w:rsidRPr="00873B6C">
        <w:t xml:space="preserve"> TS 38.401 [42].</w:t>
      </w:r>
    </w:p>
    <w:p w14:paraId="1E3244FB" w14:textId="4AB3D14C" w:rsidR="00386935" w:rsidRPr="00873B6C" w:rsidRDefault="00517FBD" w:rsidP="00386935">
      <w:r w:rsidRPr="00873B6C">
        <w:t xml:space="preserve">After the MBSR is authorized as defined in 5.35A.4, when </w:t>
      </w:r>
      <w:r w:rsidR="00386935" w:rsidRPr="00873B6C">
        <w:t>a UE is served by a cell</w:t>
      </w:r>
      <w:r w:rsidRPr="00873B6C">
        <w:t xml:space="preserve"> of this MBSR</w:t>
      </w:r>
      <w:r w:rsidR="00386935" w:rsidRPr="00873B6C">
        <w:t>, the IAB-donor-CU may provide 'Additional ULI'</w:t>
      </w:r>
      <w:r w:rsidRPr="00873B6C">
        <w:t xml:space="preserve"> in addition to</w:t>
      </w:r>
      <w:r w:rsidR="00386935" w:rsidRPr="00873B6C">
        <w:t xml:space="preserve"> User Location Information, in N2 messages. The 'Additional ULI' is the ULI of the IAB-UE. The AMF may consider the 'Additional ULI' when it</w:t>
      </w:r>
      <w:r w:rsidRPr="00873B6C">
        <w:t xml:space="preserve"> determines UE location and</w:t>
      </w:r>
      <w:r w:rsidR="00386935" w:rsidRPr="00873B6C">
        <w:t xml:space="preserve"> manages the UE location related functions (e.g. Mobility Restrictions).</w:t>
      </w:r>
    </w:p>
    <w:p w14:paraId="0681E4D3" w14:textId="761F5177" w:rsidR="00386935" w:rsidRPr="00873B6C" w:rsidRDefault="00386935" w:rsidP="00386935">
      <w:r w:rsidRPr="00873B6C">
        <w:t>When</w:t>
      </w:r>
      <w:r w:rsidR="00517FBD" w:rsidRPr="00873B6C">
        <w:t xml:space="preserve"> the</w:t>
      </w:r>
      <w:r w:rsidRPr="00873B6C">
        <w:t xml:space="preserve"> AMF provides user location information to</w:t>
      </w:r>
      <w:r w:rsidR="00472CD7" w:rsidRPr="00873B6C">
        <w:t xml:space="preserve"> the LMF</w:t>
      </w:r>
      <w:r w:rsidR="00517FBD" w:rsidRPr="00873B6C">
        <w:t xml:space="preserve"> as specified in clause 5.9 of TS 23.273 [87]</w:t>
      </w:r>
      <w:r w:rsidRPr="00873B6C">
        <w:t xml:space="preserve"> for a UE connected via MBSR, the AMF may also send the Additional ULI received via N2 messages.</w:t>
      </w:r>
    </w:p>
    <w:p w14:paraId="37D5D923" w14:textId="211B6AA1" w:rsidR="00A92B4B" w:rsidRPr="00873B6C" w:rsidRDefault="00A92B4B" w:rsidP="00A92B4B">
      <w:pPr>
        <w:pStyle w:val="Heading3"/>
      </w:pPr>
      <w:bookmarkStart w:id="5117" w:name="_CR5_35A_7"/>
      <w:bookmarkStart w:id="5118" w:name="_Toc201157652"/>
      <w:bookmarkEnd w:id="5117"/>
      <w:r w:rsidRPr="00873B6C">
        <w:t>5.35A.7</w:t>
      </w:r>
      <w:r w:rsidRPr="00873B6C">
        <w:tab/>
        <w:t>Control of UE access to MBSR</w:t>
      </w:r>
      <w:bookmarkEnd w:id="5118"/>
    </w:p>
    <w:p w14:paraId="5FA94116" w14:textId="77777777" w:rsidR="00A92B4B" w:rsidRPr="00873B6C" w:rsidRDefault="00A92B4B" w:rsidP="00A92B4B">
      <w:r w:rsidRPr="00873B6C">
        <w:t>CAG Identifier is used to control the access of UE via MBSR (i.e. mobile IAB-node) and existing CAG mechanism defined in clause 5.30.3 can be used for managing UE's access to MBSR, with the following additional considerations:</w:t>
      </w:r>
    </w:p>
    <w:p w14:paraId="2FD96C6A" w14:textId="77777777" w:rsidR="00A92B4B" w:rsidRPr="00873B6C" w:rsidRDefault="00A92B4B" w:rsidP="00695DF1">
      <w:pPr>
        <w:pStyle w:val="B1"/>
      </w:pPr>
      <w:r w:rsidRPr="00873B6C">
        <w:t>-</w:t>
      </w:r>
      <w:r w:rsidRPr="00873B6C">
        <w:tab/>
        <w:t>When the MBSR is allowed to operate as an IAB node for a PLMN, the MBSR is configured, either during the communication with the serving PLMN OAM or (pre-)configuration mechanism, with a CAG identifier which is unique within the scope of this PLMN. If the MBSR is (pre-)configured with the PLMN list in which the MBSR is allowed to operate as MBSR, the corresponding CAG Identifier per PLMN is also configured in the MBSR.</w:t>
      </w:r>
    </w:p>
    <w:p w14:paraId="08BE57D3" w14:textId="37AA12C5" w:rsidR="00141A61" w:rsidRPr="00873B6C" w:rsidRDefault="00141A61" w:rsidP="00141A61">
      <w:pPr>
        <w:pStyle w:val="NO"/>
      </w:pPr>
      <w:r w:rsidRPr="00873B6C">
        <w:t>NOTE 1:</w:t>
      </w:r>
      <w:r w:rsidRPr="00873B6C">
        <w:tab/>
        <w:t>The CAG for MBSR is supported as part of the PNI-NPN concept described in clause 5.30.3.</w:t>
      </w:r>
    </w:p>
    <w:p w14:paraId="5F795701" w14:textId="77777777" w:rsidR="00A92B4B" w:rsidRPr="00873B6C" w:rsidRDefault="00A92B4B" w:rsidP="00695DF1">
      <w:pPr>
        <w:pStyle w:val="B1"/>
      </w:pPr>
      <w:r w:rsidRPr="00873B6C">
        <w:t>-</w:t>
      </w:r>
      <w:r w:rsidRPr="00873B6C">
        <w:tab/>
        <w:t>NG-RAN and 5GC support the UE access control based on the CAG identifier associated with the MBSR cell and the allowed CAG identifiers for the UE that supports CAG functionality.</w:t>
      </w:r>
    </w:p>
    <w:p w14:paraId="3EB623EA" w14:textId="77777777" w:rsidR="00A92B4B" w:rsidRPr="00873B6C" w:rsidRDefault="00A92B4B" w:rsidP="00695DF1">
      <w:pPr>
        <w:pStyle w:val="B1"/>
      </w:pPr>
      <w:r w:rsidRPr="00873B6C">
        <w:lastRenderedPageBreak/>
        <w:t>-</w:t>
      </w:r>
      <w:r w:rsidRPr="00873B6C">
        <w:tab/>
        <w:t>For the UE that does not support CAG functionality, NG-RAN and 5GC are allowed to use not only CAG mechanism but also the other existing mechanism e.g. forbidden Tracking Area, to manage its access to MBSR.</w:t>
      </w:r>
    </w:p>
    <w:p w14:paraId="3F472CAC" w14:textId="6151C4D0" w:rsidR="00A92B4B" w:rsidRPr="00873B6C" w:rsidRDefault="00A92B4B" w:rsidP="00695DF1">
      <w:pPr>
        <w:pStyle w:val="B1"/>
      </w:pPr>
      <w:r w:rsidRPr="00873B6C">
        <w:t>-</w:t>
      </w:r>
      <w:r w:rsidRPr="00873B6C">
        <w:tab/>
        <w:t>Time</w:t>
      </w:r>
      <w:r w:rsidR="00F1595A" w:rsidRPr="00873B6C">
        <w:t xml:space="preserve"> validity information</w:t>
      </w:r>
      <w:r w:rsidRPr="00873B6C">
        <w:t xml:space="preserve"> may be provided together with the CAG Identifier(s) for the MBSR(s) that the UE can access. The Allowed CAG list will be provided to UE and AMF for enforcement, to make sure that UE not accessing the MBSR cell outside of the time duration. For example, if the time when a certain CAG is allowed for a UE is up, the CAG for the UE is revoked from the network.</w:t>
      </w:r>
    </w:p>
    <w:p w14:paraId="7F7A9F76" w14:textId="78FDFB37" w:rsidR="00A92B4B" w:rsidRPr="00873B6C" w:rsidRDefault="00A92B4B" w:rsidP="00695DF1">
      <w:pPr>
        <w:pStyle w:val="NO"/>
      </w:pPr>
      <w:r w:rsidRPr="00873B6C">
        <w:t>NOTE 2:</w:t>
      </w:r>
      <w:r w:rsidRPr="00873B6C">
        <w:tab/>
        <w:t>Control of the MBSR access to the serving network is based on normal mobility restriction management based on subscription data form MBSR (i.e. IAB-UE).</w:t>
      </w:r>
    </w:p>
    <w:p w14:paraId="5677BF7C" w14:textId="77777777" w:rsidR="00D40151" w:rsidRPr="00873B6C" w:rsidRDefault="00D40151" w:rsidP="00D40151">
      <w:pPr>
        <w:pStyle w:val="Heading2"/>
      </w:pPr>
      <w:bookmarkStart w:id="5119" w:name="_CR5_36"/>
      <w:bookmarkStart w:id="5120" w:name="_Toc27846988"/>
      <w:bookmarkStart w:id="5121" w:name="_Toc36188119"/>
      <w:bookmarkStart w:id="5122" w:name="_Toc45184026"/>
      <w:bookmarkStart w:id="5123" w:name="_Toc47342868"/>
      <w:bookmarkStart w:id="5124" w:name="_Toc51769570"/>
      <w:bookmarkStart w:id="5125" w:name="_Toc201157653"/>
      <w:bookmarkEnd w:id="5088"/>
      <w:bookmarkEnd w:id="5089"/>
      <w:bookmarkEnd w:id="5090"/>
      <w:bookmarkEnd w:id="5091"/>
      <w:bookmarkEnd w:id="5092"/>
      <w:bookmarkEnd w:id="5119"/>
      <w:r w:rsidRPr="00873B6C">
        <w:t>5.36</w:t>
      </w:r>
      <w:r w:rsidRPr="00873B6C">
        <w:tab/>
        <w:t>RIM Information Transfer</w:t>
      </w:r>
      <w:bookmarkEnd w:id="5120"/>
      <w:bookmarkEnd w:id="5121"/>
      <w:bookmarkEnd w:id="5122"/>
      <w:bookmarkEnd w:id="5123"/>
      <w:bookmarkEnd w:id="5124"/>
      <w:bookmarkEnd w:id="5125"/>
    </w:p>
    <w:p w14:paraId="4AF9CAC4" w14:textId="633667EF" w:rsidR="00D40151" w:rsidRPr="00873B6C" w:rsidRDefault="00D40151" w:rsidP="00D40151">
      <w:r w:rsidRPr="00873B6C">
        <w:t xml:space="preserve">The purpose of RIM Information Transfer is to enable the transfer of RIM information between two RAN nodes via 5GC. The RIM Information Transfer is specified in </w:t>
      </w:r>
      <w:r w:rsidR="00972E70" w:rsidRPr="00873B6C">
        <w:t>TS 38.413 [</w:t>
      </w:r>
      <w:r w:rsidRPr="00873B6C">
        <w:t>34].</w:t>
      </w:r>
    </w:p>
    <w:p w14:paraId="6BE4AF6C" w14:textId="3FFD295D" w:rsidR="00D40151" w:rsidRPr="00873B6C" w:rsidRDefault="00D40151" w:rsidP="00D40151">
      <w:r w:rsidRPr="00873B6C">
        <w:t xml:space="preserve">When the source AMF receives RIM information from source NG-RAN towards target NG-RAN, the source AMF forwards the RIM information to the target AMF, as described in </w:t>
      </w:r>
      <w:r w:rsidR="00972E70" w:rsidRPr="00873B6C">
        <w:t>TS 38.413 [</w:t>
      </w:r>
      <w:r w:rsidRPr="00873B6C">
        <w:t>34]</w:t>
      </w:r>
      <w:r w:rsidR="00131D56" w:rsidRPr="00873B6C">
        <w:t xml:space="preserve"> and</w:t>
      </w:r>
      <w:r w:rsidRPr="00873B6C">
        <w:t xml:space="preserve"> </w:t>
      </w:r>
      <w:r w:rsidR="00972E70" w:rsidRPr="00873B6C">
        <w:t>TS 29.518 [</w:t>
      </w:r>
      <w:r w:rsidRPr="00873B6C">
        <w:t>71]. The AMF does not interpret the transferred RIM information.</w:t>
      </w:r>
    </w:p>
    <w:p w14:paraId="19C85BC1" w14:textId="7DC0B5AF" w:rsidR="0047544D" w:rsidRPr="00873B6C" w:rsidRDefault="0047544D" w:rsidP="0047544D">
      <w:pPr>
        <w:pStyle w:val="Heading2"/>
      </w:pPr>
      <w:bookmarkStart w:id="5126" w:name="_CR5_37"/>
      <w:bookmarkStart w:id="5127" w:name="_Toc27846989"/>
      <w:bookmarkStart w:id="5128" w:name="_Toc36188120"/>
      <w:bookmarkStart w:id="5129" w:name="_Toc45184027"/>
      <w:bookmarkStart w:id="5130" w:name="_Toc47342869"/>
      <w:bookmarkStart w:id="5131" w:name="_Toc51769571"/>
      <w:bookmarkStart w:id="5132" w:name="_Toc201157654"/>
      <w:bookmarkEnd w:id="5126"/>
      <w:r w:rsidRPr="00873B6C">
        <w:t>5.37</w:t>
      </w:r>
      <w:r w:rsidRPr="00873B6C">
        <w:tab/>
        <w:t>Support for high data rate low latency services</w:t>
      </w:r>
      <w:r w:rsidR="002C4A81" w:rsidRPr="00873B6C">
        <w:t>, eXtended Reality (XR) and interactive media services</w:t>
      </w:r>
      <w:bookmarkEnd w:id="5132"/>
    </w:p>
    <w:p w14:paraId="5E61C078" w14:textId="77777777" w:rsidR="002C4A81" w:rsidRPr="00873B6C" w:rsidRDefault="002C4A81" w:rsidP="002C4A81">
      <w:pPr>
        <w:pStyle w:val="Heading3"/>
      </w:pPr>
      <w:bookmarkStart w:id="5133" w:name="_CR5_37_1"/>
      <w:bookmarkStart w:id="5134" w:name="_Toc201157655"/>
      <w:bookmarkEnd w:id="5133"/>
      <w:r w:rsidRPr="00873B6C">
        <w:t>5.37.1</w:t>
      </w:r>
      <w:r w:rsidRPr="00873B6C">
        <w:tab/>
        <w:t>General</w:t>
      </w:r>
      <w:bookmarkEnd w:id="5134"/>
    </w:p>
    <w:p w14:paraId="70B1466B" w14:textId="37AFB0D7" w:rsidR="002C4A81" w:rsidRPr="00873B6C" w:rsidRDefault="002C4A81" w:rsidP="002C4A81">
      <w:r w:rsidRPr="00873B6C">
        <w:t xml:space="preserve">This clause provides an overview of 5GS functionalities for support of XR services (AR/VR applications) and interactive media services that require high data rate and low latency communication, e.g. cloud gaming and tactile/multi-modal communication services according to service requirements documented in </w:t>
      </w:r>
      <w:r w:rsidR="00972E70" w:rsidRPr="00873B6C">
        <w:t>TS 22.261 [</w:t>
      </w:r>
      <w:r w:rsidRPr="00873B6C">
        <w:t>2]. The standardized 5QI characteristics for such interactive services are provided in Table 5.7.4-1 and TSCAI is used to describe the related traffic characteristics as defined in clause 5.27.2. Further enhancements for these interactive media services are as follows:</w:t>
      </w:r>
    </w:p>
    <w:p w14:paraId="5BE77832" w14:textId="1E91B28C" w:rsidR="002C4A81" w:rsidRPr="00873B6C" w:rsidRDefault="002C4A81" w:rsidP="00972E70">
      <w:pPr>
        <w:pStyle w:val="B1"/>
      </w:pPr>
      <w:r w:rsidRPr="00873B6C">
        <w:t>-</w:t>
      </w:r>
      <w:r w:rsidRPr="00873B6C">
        <w:tab/>
        <w:t>The 5GS may support QoS policy control for multi-modal traffic, see clause 5.37.</w:t>
      </w:r>
      <w:r w:rsidR="00C92133" w:rsidRPr="00873B6C">
        <w:t>2</w:t>
      </w:r>
      <w:r w:rsidRPr="00873B6C">
        <w:t>.</w:t>
      </w:r>
    </w:p>
    <w:p w14:paraId="59FB03C8" w14:textId="5084E748" w:rsidR="002C4A81" w:rsidRPr="00873B6C" w:rsidRDefault="002C4A81" w:rsidP="00972E70">
      <w:pPr>
        <w:pStyle w:val="B1"/>
      </w:pPr>
      <w:r w:rsidRPr="00873B6C">
        <w:t>-</w:t>
      </w:r>
      <w:r w:rsidRPr="00873B6C">
        <w:tab/>
        <w:t>The 5GS may support network information exposure which can be based on ECN markings for L4S, see clause 5.37.</w:t>
      </w:r>
      <w:r w:rsidR="00C92133" w:rsidRPr="00873B6C">
        <w:t>3</w:t>
      </w:r>
      <w:r w:rsidRPr="00873B6C">
        <w:t xml:space="preserve"> or 5GS exposure API, see clause 5.37.</w:t>
      </w:r>
      <w:r w:rsidR="00B17714" w:rsidRPr="00873B6C">
        <w:t>4</w:t>
      </w:r>
      <w:r w:rsidRPr="00873B6C">
        <w:t>.</w:t>
      </w:r>
    </w:p>
    <w:p w14:paraId="0DCD05E5" w14:textId="088FE78B" w:rsidR="002C4A81" w:rsidRPr="00873B6C" w:rsidRDefault="002C4A81" w:rsidP="00972E70">
      <w:pPr>
        <w:pStyle w:val="B1"/>
      </w:pPr>
      <w:r w:rsidRPr="00873B6C">
        <w:t>-</w:t>
      </w:r>
      <w:r w:rsidRPr="00873B6C">
        <w:tab/>
        <w:t>The 5GS may support PDU Set based QoS handling including PDU Set identification and marking, see clause 5.37.</w:t>
      </w:r>
      <w:r w:rsidR="00B17714" w:rsidRPr="00873B6C">
        <w:t>5</w:t>
      </w:r>
      <w:r w:rsidRPr="00873B6C">
        <w:t>.</w:t>
      </w:r>
    </w:p>
    <w:p w14:paraId="0D67EDCC" w14:textId="515740B1" w:rsidR="002C4A81" w:rsidRPr="00873B6C" w:rsidRDefault="002C4A81" w:rsidP="00972E70">
      <w:pPr>
        <w:pStyle w:val="B1"/>
      </w:pPr>
      <w:r w:rsidRPr="00873B6C">
        <w:t>-</w:t>
      </w:r>
      <w:r w:rsidRPr="00873B6C">
        <w:tab/>
        <w:t>The 5GS may ensure that the UL and DL packets together meet the requested round trip delay and also update the delay for UL and DL considering QoS monitoring results, see clause 5.37.</w:t>
      </w:r>
      <w:r w:rsidR="00B17714" w:rsidRPr="00873B6C">
        <w:t>6</w:t>
      </w:r>
      <w:r w:rsidRPr="00873B6C">
        <w:t>.</w:t>
      </w:r>
    </w:p>
    <w:p w14:paraId="671A6926" w14:textId="6620DA28" w:rsidR="002C4A81" w:rsidRPr="00873B6C" w:rsidRDefault="002C4A81" w:rsidP="00972E70">
      <w:pPr>
        <w:pStyle w:val="B1"/>
      </w:pPr>
      <w:r w:rsidRPr="00873B6C">
        <w:t>-</w:t>
      </w:r>
      <w:r w:rsidRPr="00873B6C">
        <w:tab/>
        <w:t>The 5GS may perform per-flow Packet Delay Variation (PDV) monitoring and policy control according to AF provided requirements, see clause 5.37.</w:t>
      </w:r>
      <w:r w:rsidR="00B17714" w:rsidRPr="00873B6C">
        <w:t>7</w:t>
      </w:r>
      <w:r w:rsidRPr="00873B6C">
        <w:t>.</w:t>
      </w:r>
    </w:p>
    <w:p w14:paraId="7B40BFED" w14:textId="25755A92" w:rsidR="002C4A81" w:rsidRPr="00873B6C" w:rsidRDefault="002C4A81" w:rsidP="00972E70">
      <w:pPr>
        <w:pStyle w:val="B1"/>
      </w:pPr>
      <w:r w:rsidRPr="00873B6C">
        <w:t>-</w:t>
      </w:r>
      <w:r w:rsidRPr="00873B6C">
        <w:tab/>
        <w:t>The 5GC may provide traffic assistance information to the NG-RAN to enable Connected mode DRX power saving, see clause 5.37.</w:t>
      </w:r>
      <w:r w:rsidR="00B17714" w:rsidRPr="00873B6C">
        <w:t>8</w:t>
      </w:r>
      <w:r w:rsidRPr="00873B6C">
        <w:t>.</w:t>
      </w:r>
    </w:p>
    <w:p w14:paraId="0C47D520" w14:textId="05526CBF" w:rsidR="00857A0D" w:rsidRPr="00873B6C" w:rsidRDefault="00857A0D" w:rsidP="00A4240B">
      <w:pPr>
        <w:pStyle w:val="NO"/>
      </w:pPr>
      <w:r w:rsidRPr="00873B6C">
        <w:t>NOTE:</w:t>
      </w:r>
      <w:r w:rsidRPr="00873B6C">
        <w:tab/>
        <w:t>Home-routed roaming deployments cannot always support the low latency communication requirements of XR services or interactive media services.</w:t>
      </w:r>
    </w:p>
    <w:p w14:paraId="294CB87B" w14:textId="2354EE54" w:rsidR="00B5050B" w:rsidRPr="00873B6C" w:rsidRDefault="00B5050B" w:rsidP="00B5050B">
      <w:pPr>
        <w:pStyle w:val="Heading3"/>
      </w:pPr>
      <w:bookmarkStart w:id="5135" w:name="_CR5_37_2"/>
      <w:bookmarkStart w:id="5136" w:name="_Toc201157656"/>
      <w:bookmarkEnd w:id="5135"/>
      <w:r w:rsidRPr="00873B6C">
        <w:t>5.37.2</w:t>
      </w:r>
      <w:r w:rsidRPr="00873B6C">
        <w:tab/>
        <w:t>Policy control enhancements to support multi-modal services</w:t>
      </w:r>
      <w:bookmarkEnd w:id="5136"/>
    </w:p>
    <w:p w14:paraId="5F2B132E" w14:textId="792F0999" w:rsidR="007E4CBA" w:rsidRPr="00873B6C" w:rsidRDefault="007E4CBA" w:rsidP="00B5050B">
      <w:r w:rsidRPr="00873B6C">
        <w:t>A multi-modal service is a communication service that consists of several data flows that relate to each other and that are subject to application coordination. The data flows can transfer different types of data (for example audio, video, positioning, haptic data) and may come from different sources</w:t>
      </w:r>
      <w:r w:rsidR="008D6138">
        <w:t xml:space="preserve"> </w:t>
      </w:r>
      <w:r w:rsidRPr="00873B6C">
        <w:t>(e.g. a single UE, a single device or multiple devices connected to the single UE, or multiple UEs).</w:t>
      </w:r>
    </w:p>
    <w:p w14:paraId="63A17F5E" w14:textId="42FAB60F" w:rsidR="008D6138" w:rsidRPr="00873B6C" w:rsidRDefault="008D6138" w:rsidP="008D6138">
      <w:pPr>
        <w:pStyle w:val="NO"/>
      </w:pPr>
      <w:r w:rsidRPr="00873B6C">
        <w:t>NOTE</w:t>
      </w:r>
      <w:r>
        <w:t> 1</w:t>
      </w:r>
      <w:r w:rsidRPr="00873B6C">
        <w:t>:</w:t>
      </w:r>
      <w:r w:rsidRPr="00873B6C">
        <w:tab/>
      </w:r>
      <w:r>
        <w:t>The term "data flow" used in this clause describes a service data flow from the perspective of the AF.</w:t>
      </w:r>
    </w:p>
    <w:p w14:paraId="7356A572" w14:textId="296B3B65" w:rsidR="00B5050B" w:rsidRPr="00873B6C" w:rsidRDefault="00B5050B" w:rsidP="00B5050B">
      <w:r w:rsidRPr="00873B6C">
        <w:lastRenderedPageBreak/>
        <w:t xml:space="preserve">For the single UE case, </w:t>
      </w:r>
      <w:r w:rsidR="007E4CBA" w:rsidRPr="00873B6C">
        <w:t xml:space="preserve">it is </w:t>
      </w:r>
      <w:r w:rsidRPr="00873B6C">
        <w:t>expected that those data flows are closely related and require strong application coordination for</w:t>
      </w:r>
      <w:r w:rsidR="007E4CBA" w:rsidRPr="00873B6C">
        <w:t xml:space="preserve"> the proper execution</w:t>
      </w:r>
      <w:r w:rsidRPr="00873B6C">
        <w:t xml:space="preserve"> of the multi-modal application</w:t>
      </w:r>
      <w:r w:rsidR="007E4CBA" w:rsidRPr="00873B6C">
        <w:t xml:space="preserve"> and therefore, all those data flows</w:t>
      </w:r>
      <w:r w:rsidRPr="00873B6C">
        <w:t xml:space="preserve"> are transmitted in a single PDU </w:t>
      </w:r>
      <w:r w:rsidR="008D6138">
        <w:t>S</w:t>
      </w:r>
      <w:r w:rsidRPr="00873B6C">
        <w:t>ession.</w:t>
      </w:r>
    </w:p>
    <w:p w14:paraId="6C610FFF" w14:textId="4CF61A4C" w:rsidR="007E4CBA" w:rsidRPr="00873B6C" w:rsidRDefault="007E4CBA" w:rsidP="007E4CBA">
      <w:r w:rsidRPr="00873B6C">
        <w:t>The Nnef_AFsessionWithQoS service allows the AF to provide</w:t>
      </w:r>
      <w:r w:rsidR="008D6138">
        <w:t xml:space="preserve"> a Multi-modal Service ID and</w:t>
      </w:r>
      <w:r w:rsidRPr="00873B6C">
        <w:t xml:space="preserve"> at the same time, for each data flow that belongs to the multi-modal service, the</w:t>
      </w:r>
      <w:r w:rsidR="008D6138">
        <w:t xml:space="preserve"> QoS information and</w:t>
      </w:r>
      <w:r w:rsidRPr="00873B6C">
        <w:t xml:space="preserve"> service requirements and the QoS monitoring requirements:</w:t>
      </w:r>
      <w:r w:rsidR="008D6138">
        <w:t xml:space="preserve"> The Multi-modal Service ID is an explicit indication that data flows are related to a multi-modal service. The PCF uses the AF provided information to derive the correct PCC rules and to apply appropriate QoS policies and QoS Monitoring policies for the data flows that are part of a specific multi-modal application as described in clause 6.1.3.27.3 of TS 23.503 [45].</w:t>
      </w:r>
    </w:p>
    <w:p w14:paraId="26050780" w14:textId="6D3F55D2" w:rsidR="00B5050B" w:rsidRPr="00873B6C" w:rsidRDefault="00B5050B" w:rsidP="00972E70">
      <w:pPr>
        <w:pStyle w:val="NO"/>
      </w:pPr>
      <w:r w:rsidRPr="00873B6C">
        <w:t>NOTE</w:t>
      </w:r>
      <w:r w:rsidR="008D6138">
        <w:t> 2</w:t>
      </w:r>
      <w:r w:rsidRPr="00873B6C">
        <w:t>:</w:t>
      </w:r>
      <w:r w:rsidRPr="00873B6C">
        <w:tab/>
        <w:t>In order to start the</w:t>
      </w:r>
      <w:r w:rsidR="007E4CBA" w:rsidRPr="00873B6C">
        <w:t xml:space="preserve"> QoS</w:t>
      </w:r>
      <w:r w:rsidRPr="00873B6C">
        <w:t xml:space="preserve"> monitoring for</w:t>
      </w:r>
      <w:r w:rsidR="007E4CBA" w:rsidRPr="00873B6C">
        <w:t xml:space="preserve"> the</w:t>
      </w:r>
      <w:r w:rsidRPr="00873B6C">
        <w:t xml:space="preserve"> data flows associated to a multi-modal service within a certain period</w:t>
      </w:r>
      <w:r w:rsidR="007E4CBA" w:rsidRPr="00873B6C">
        <w:t xml:space="preserve"> of time</w:t>
      </w:r>
      <w:r w:rsidRPr="00873B6C">
        <w:t>, the PCF needs to receive the</w:t>
      </w:r>
      <w:r w:rsidR="007E4CBA" w:rsidRPr="00873B6C">
        <w:t xml:space="preserve"> QoS monitoring requirements for those data flows from AF within a single request or, in case of multiple requests, within a short period of time</w:t>
      </w:r>
      <w:r w:rsidRPr="00873B6C">
        <w:t>.</w:t>
      </w:r>
    </w:p>
    <w:p w14:paraId="7CD9E701" w14:textId="76E16368" w:rsidR="00B5050B" w:rsidRPr="00873B6C" w:rsidRDefault="00B5050B" w:rsidP="00B5050B">
      <w:r w:rsidRPr="00873B6C">
        <w:t>In addition to the features that are provided for the case that the</w:t>
      </w:r>
      <w:r w:rsidR="007E4CBA" w:rsidRPr="00873B6C">
        <w:t xml:space="preserve"> data</w:t>
      </w:r>
      <w:r w:rsidRPr="00873B6C">
        <w:t xml:space="preserve"> flows are associated with a single UE, the following features are provided for the case where the</w:t>
      </w:r>
      <w:r w:rsidR="007E4CBA" w:rsidRPr="00873B6C">
        <w:t xml:space="preserve"> data</w:t>
      </w:r>
      <w:r w:rsidRPr="00873B6C">
        <w:t xml:space="preserve"> flows are associated with more than one UE:</w:t>
      </w:r>
    </w:p>
    <w:p w14:paraId="4E7FFE3C" w14:textId="31377925" w:rsidR="00B5050B" w:rsidRPr="00873B6C" w:rsidRDefault="00B5050B" w:rsidP="00972E70">
      <w:pPr>
        <w:pStyle w:val="B1"/>
      </w:pPr>
      <w:r w:rsidRPr="00873B6C">
        <w:t>-</w:t>
      </w:r>
      <w:r w:rsidRPr="00873B6C">
        <w:tab/>
        <w:t>The same DNN/S-NSSAI combination for the multi-modal service should be selected</w:t>
      </w:r>
      <w:r w:rsidR="007E4CBA" w:rsidRPr="00873B6C">
        <w:t xml:space="preserve"> by each of the involved</w:t>
      </w:r>
      <w:r w:rsidRPr="00873B6C">
        <w:t xml:space="preserve"> UEs. The URSP Rule evaluation framework is used to ensure that the same DNN/S-NSSAI is selected.</w:t>
      </w:r>
    </w:p>
    <w:p w14:paraId="1F491ACA" w14:textId="166CF7A7" w:rsidR="00B5050B" w:rsidRPr="00873B6C" w:rsidRDefault="00B5050B" w:rsidP="00972E70">
      <w:pPr>
        <w:pStyle w:val="B1"/>
      </w:pPr>
      <w:r w:rsidRPr="00873B6C">
        <w:t>-</w:t>
      </w:r>
      <w:r w:rsidRPr="00873B6C">
        <w:tab/>
        <w:t>The AF</w:t>
      </w:r>
      <w:r w:rsidR="007E4CBA" w:rsidRPr="00873B6C">
        <w:t xml:space="preserve"> should use</w:t>
      </w:r>
      <w:r w:rsidRPr="00873B6C">
        <w:t xml:space="preserve"> the same Multi-modal Service ID</w:t>
      </w:r>
      <w:r w:rsidR="007E4CBA" w:rsidRPr="00873B6C">
        <w:t xml:space="preserve"> in the interactions with the PCF(s) for all the involved UEs</w:t>
      </w:r>
      <w:r w:rsidRPr="00873B6C">
        <w:t xml:space="preserve"> that</w:t>
      </w:r>
      <w:r w:rsidR="007E4CBA" w:rsidRPr="00873B6C">
        <w:t xml:space="preserve"> relate to</w:t>
      </w:r>
      <w:r w:rsidRPr="00873B6C">
        <w:t xml:space="preserve"> a multi-modal service. The PCF may take this information into account (e.g. to </w:t>
      </w:r>
      <w:r w:rsidR="007E4CBA" w:rsidRPr="00873B6C">
        <w:t xml:space="preserve">apply </w:t>
      </w:r>
      <w:r w:rsidRPr="00873B6C">
        <w:t>a specific QoS</w:t>
      </w:r>
      <w:r w:rsidR="007E4CBA" w:rsidRPr="00873B6C">
        <w:t xml:space="preserve"> policy</w:t>
      </w:r>
      <w:r w:rsidRPr="00873B6C">
        <w:t>) when processing each</w:t>
      </w:r>
      <w:r w:rsidR="007E4CBA" w:rsidRPr="00873B6C">
        <w:t xml:space="preserve"> AF request</w:t>
      </w:r>
      <w:r w:rsidRPr="00873B6C">
        <w:t xml:space="preserve"> independently. The data flows contribute to the service experience, but</w:t>
      </w:r>
      <w:r w:rsidR="007E4CBA" w:rsidRPr="00873B6C">
        <w:t xml:space="preserve"> are</w:t>
      </w:r>
      <w:r w:rsidRPr="00873B6C">
        <w:t xml:space="preserve"> still valid stand-alone,</w:t>
      </w:r>
      <w:r w:rsidR="007E4CBA" w:rsidRPr="00873B6C">
        <w:t xml:space="preserve"> as they are</w:t>
      </w:r>
      <w:r w:rsidRPr="00873B6C">
        <w:t xml:space="preserve"> transmitted over separate PDU </w:t>
      </w:r>
      <w:r w:rsidR="007E4CBA" w:rsidRPr="00873B6C">
        <w:t>S</w:t>
      </w:r>
      <w:r w:rsidRPr="00873B6C">
        <w:t>essions</w:t>
      </w:r>
      <w:r w:rsidR="007E4CBA" w:rsidRPr="00873B6C">
        <w:t xml:space="preserve"> to/from the involved</w:t>
      </w:r>
      <w:r w:rsidRPr="00873B6C">
        <w:t xml:space="preserve"> UEs.</w:t>
      </w:r>
    </w:p>
    <w:p w14:paraId="52958CCD" w14:textId="27B8E90E" w:rsidR="00B5050B" w:rsidRPr="00873B6C" w:rsidRDefault="00B5050B" w:rsidP="00972E70">
      <w:pPr>
        <w:pStyle w:val="B1"/>
      </w:pPr>
      <w:r w:rsidRPr="00873B6C">
        <w:t>-</w:t>
      </w:r>
      <w:r w:rsidRPr="00873B6C">
        <w:tab/>
      </w:r>
      <w:r w:rsidR="00A13197" w:rsidRPr="00873B6C">
        <w:t xml:space="preserve">If </w:t>
      </w:r>
      <w:r w:rsidRPr="00873B6C">
        <w:t>multiple PCFs are involved, the PCFs take policy decisions according to the input provided by the AF. There is no support for policy coordination among the multiple PCFs</w:t>
      </w:r>
      <w:r w:rsidR="00A13197" w:rsidRPr="00873B6C">
        <w:t xml:space="preserve"> in this Release of the specification</w:t>
      </w:r>
      <w:r w:rsidRPr="00873B6C">
        <w:t xml:space="preserve">. Policy decisions are taken by each PCF separately on a per PDU </w:t>
      </w:r>
      <w:r w:rsidR="007E4CBA" w:rsidRPr="00873B6C">
        <w:t>S</w:t>
      </w:r>
      <w:r w:rsidRPr="00873B6C">
        <w:t>ession basis.</w:t>
      </w:r>
    </w:p>
    <w:p w14:paraId="78E2C005" w14:textId="0FC01073" w:rsidR="00D409DD" w:rsidRPr="00873B6C" w:rsidRDefault="00D409DD" w:rsidP="00D409DD">
      <w:pPr>
        <w:pStyle w:val="Heading3"/>
      </w:pPr>
      <w:bookmarkStart w:id="5137" w:name="_CR5_37_3"/>
      <w:bookmarkStart w:id="5138" w:name="_Toc201157657"/>
      <w:bookmarkEnd w:id="5137"/>
      <w:r w:rsidRPr="00873B6C">
        <w:t>5.37.3</w:t>
      </w:r>
      <w:r w:rsidRPr="00873B6C">
        <w:tab/>
        <w:t>Support of ECN marking for L4S to expose the congestion information</w:t>
      </w:r>
      <w:bookmarkEnd w:id="5138"/>
    </w:p>
    <w:p w14:paraId="3AC89D07" w14:textId="77777777" w:rsidR="00D409DD" w:rsidRPr="00873B6C" w:rsidRDefault="00D409DD" w:rsidP="00972E70">
      <w:pPr>
        <w:pStyle w:val="Heading4"/>
      </w:pPr>
      <w:bookmarkStart w:id="5139" w:name="_CR5_37_3_1"/>
      <w:bookmarkStart w:id="5140" w:name="_Toc201157658"/>
      <w:bookmarkEnd w:id="5139"/>
      <w:r w:rsidRPr="00873B6C">
        <w:t>5.37.3.1</w:t>
      </w:r>
      <w:r w:rsidRPr="00873B6C">
        <w:tab/>
        <w:t>General</w:t>
      </w:r>
      <w:bookmarkEnd w:id="5140"/>
    </w:p>
    <w:p w14:paraId="30A46C4D" w14:textId="3DE6FA74" w:rsidR="00D409DD" w:rsidRPr="00873B6C" w:rsidRDefault="00D409DD" w:rsidP="00D409DD">
      <w:r w:rsidRPr="00873B6C">
        <w:t>L4S (Low Latency, Low Loss and Scalable Throughput) is described in IETF RFC 9330 [159], IETF RFC 9331 [160] and IETF RFC 9332 [161]. It exposes congestion information by marking ECN bits in the IP header of the user IP packets between the UE and the application server to trigger application layer rate adaptation.</w:t>
      </w:r>
    </w:p>
    <w:p w14:paraId="333C198E" w14:textId="730BF445" w:rsidR="00D409DD" w:rsidRPr="00873B6C" w:rsidRDefault="00D409DD" w:rsidP="00D409DD">
      <w:r w:rsidRPr="00873B6C">
        <w:t xml:space="preserve">In 5G System, ECN marking for L4S may be supported. ECN marking for L4S is enabled on a per QoS Flow basis in the uplink and/or downlink direction and may be used for GBR and non-GBR QoS Flows. ECN marking for the L4S in the IP header is supported in either the NG-RAN (see clause 5.37.3.2 and </w:t>
      </w:r>
      <w:r w:rsidR="00972E70" w:rsidRPr="00873B6C">
        <w:t>TS 38.300 [</w:t>
      </w:r>
      <w:r w:rsidRPr="00873B6C">
        <w:t>27]), or in the PSA UPF (see clause 5.37.3.3).</w:t>
      </w:r>
    </w:p>
    <w:p w14:paraId="744FC048" w14:textId="2D409003" w:rsidR="00D409DD" w:rsidRPr="00873B6C" w:rsidRDefault="00D409DD" w:rsidP="00972E70">
      <w:pPr>
        <w:pStyle w:val="NO"/>
      </w:pPr>
      <w:r w:rsidRPr="00873B6C">
        <w:t>NOTE 1:</w:t>
      </w:r>
      <w:r w:rsidRPr="00873B6C">
        <w:tab/>
      </w:r>
      <w:r w:rsidR="0054077B" w:rsidRPr="00873B6C">
        <w:t>Based on operator's network configuration and policies, SMF decides w</w:t>
      </w:r>
      <w:r w:rsidRPr="00873B6C">
        <w:t>hether NG-RAN or PSA UPF based ECN marking for L4S is used.</w:t>
      </w:r>
    </w:p>
    <w:p w14:paraId="6DFBFE76" w14:textId="15B8F393" w:rsidR="00D409DD" w:rsidRPr="00873B6C" w:rsidRDefault="00D409DD" w:rsidP="00D409DD">
      <w:r w:rsidRPr="00873B6C">
        <w:t>In the case of ECN marking for L4S by</w:t>
      </w:r>
      <w:r w:rsidR="00386935" w:rsidRPr="00873B6C">
        <w:t xml:space="preserve"> PSA</w:t>
      </w:r>
      <w:r w:rsidRPr="00873B6C">
        <w:t xml:space="preserve"> UPF, the NG-RAN is instructed to perform congestion information monitoring</w:t>
      </w:r>
      <w:r w:rsidR="0054077B" w:rsidRPr="00873B6C">
        <w:t xml:space="preserve"> and report to the PSA UPF the congestion information (i.e. a percentage of packets that UPF uses for ECN marking for L4S) of the QoS Flow on UL and/or DL directions via GTP-U header extension to PSA UPF</w:t>
      </w:r>
      <w:r w:rsidR="00AF2D89" w:rsidRPr="00873B6C">
        <w:t xml:space="preserve"> and accordingly, the PSA UPF may mark the UL and/or DL direction packets of the QoS Flow</w:t>
      </w:r>
      <w:r w:rsidRPr="00873B6C">
        <w:t>.</w:t>
      </w:r>
    </w:p>
    <w:p w14:paraId="6A842E65" w14:textId="078B07F3" w:rsidR="00D409DD" w:rsidRPr="00873B6C" w:rsidRDefault="00D409DD" w:rsidP="00972E70">
      <w:pPr>
        <w:pStyle w:val="NO"/>
      </w:pPr>
      <w:r w:rsidRPr="00873B6C">
        <w:t>NOTE 2:</w:t>
      </w:r>
      <w:r w:rsidRPr="00873B6C">
        <w:tab/>
        <w:t xml:space="preserve">As for any QoS </w:t>
      </w:r>
      <w:r w:rsidR="0054077B" w:rsidRPr="00873B6C">
        <w:t>F</w:t>
      </w:r>
      <w:r w:rsidRPr="00873B6C">
        <w:t>low, QoS rules in the UE and PDRs in the PSA UPF control which packets are bound to the L4S enabled QoS flow. The Packet Filter Set in the QoS rule or PDR can use packet filter(s) in clause 5.7.6.2 (e.g.</w:t>
      </w:r>
      <w:r w:rsidR="0054077B" w:rsidRPr="00873B6C">
        <w:t xml:space="preserve"> match packets with</w:t>
      </w:r>
      <w:r w:rsidRPr="00873B6C">
        <w:t xml:space="preserve"> ECT(1) or</w:t>
      </w:r>
      <w:r w:rsidR="0054077B" w:rsidRPr="00873B6C">
        <w:t xml:space="preserve"> CE (See RFC 9331 [160]) together with</w:t>
      </w:r>
      <w:r w:rsidRPr="00873B6C">
        <w:t xml:space="preserve"> IP 5 tuple) to steer traffic to an L4S enabled QoS Flow.</w:t>
      </w:r>
    </w:p>
    <w:p w14:paraId="4BBDD278" w14:textId="44DA3A61" w:rsidR="00D409DD" w:rsidRPr="00873B6C" w:rsidRDefault="00D409DD" w:rsidP="00972E70">
      <w:pPr>
        <w:pStyle w:val="NO"/>
      </w:pPr>
      <w:r w:rsidRPr="00873B6C">
        <w:t>NOTE 3:</w:t>
      </w:r>
      <w:r w:rsidRPr="00873B6C">
        <w:tab/>
        <w:t xml:space="preserve">A QoS </w:t>
      </w:r>
      <w:r w:rsidR="0054077B" w:rsidRPr="00873B6C">
        <w:t>F</w:t>
      </w:r>
      <w:r w:rsidRPr="00873B6C">
        <w:t xml:space="preserve">low may be enabled with ECN marking for L4S requirement e.g. statically when a PDU session is established based on configuration in SMF or PCF, or dynamically based on detection of the L4S traffic </w:t>
      </w:r>
      <w:r w:rsidR="0054077B" w:rsidRPr="00873B6C">
        <w:t>(</w:t>
      </w:r>
      <w:r w:rsidRPr="00873B6C">
        <w:t xml:space="preserve">e.g. </w:t>
      </w:r>
      <w:r w:rsidR="0054077B" w:rsidRPr="00873B6C">
        <w:t xml:space="preserve">match packets with </w:t>
      </w:r>
      <w:r w:rsidRPr="00873B6C">
        <w:t>ECT(1) or</w:t>
      </w:r>
      <w:r w:rsidR="0054077B" w:rsidRPr="00873B6C">
        <w:t xml:space="preserve"> CE (See RFC 9331 [160]) together with</w:t>
      </w:r>
      <w:r w:rsidRPr="00873B6C">
        <w:t xml:space="preserve"> IP 5 tuple</w:t>
      </w:r>
      <w:r w:rsidR="0054077B" w:rsidRPr="00873B6C">
        <w:t>)</w:t>
      </w:r>
      <w:r w:rsidRPr="00873B6C">
        <w:t xml:space="preserve"> in the IP header whereby SMF or PCF triggers a setup of a QoS Flow enabled for L4S, or by requests by an AF.</w:t>
      </w:r>
    </w:p>
    <w:p w14:paraId="521CC157" w14:textId="7386D0E6" w:rsidR="00D409DD" w:rsidRPr="00873B6C" w:rsidRDefault="00D409DD" w:rsidP="00972E70">
      <w:pPr>
        <w:pStyle w:val="NO"/>
      </w:pPr>
      <w:r w:rsidRPr="00873B6C">
        <w:lastRenderedPageBreak/>
        <w:t>NOTE 4:</w:t>
      </w:r>
      <w:r w:rsidRPr="00873B6C">
        <w:tab/>
        <w:t>To support this functionality, the UE needs to support L4S feedback as described in IETF RFC 9330 [159], which is not in the scope of 3GPP.</w:t>
      </w:r>
    </w:p>
    <w:p w14:paraId="55462415" w14:textId="6314D0B2" w:rsidR="00386935" w:rsidRPr="00873B6C" w:rsidRDefault="00386935" w:rsidP="00386935">
      <w:r w:rsidRPr="00873B6C">
        <w:t>When serving PSA UPF or NG-RAN is changed e.g. due to inter-NG-RAN handover or PSA UPF relocation, target NG-RAN and target PSA UPF</w:t>
      </w:r>
      <w:r w:rsidR="0054077B" w:rsidRPr="00873B6C">
        <w:t>, if supported,</w:t>
      </w:r>
      <w:r w:rsidRPr="00873B6C">
        <w:t xml:space="preserve"> should</w:t>
      </w:r>
      <w:r w:rsidR="0054077B" w:rsidRPr="00873B6C">
        <w:t xml:space="preserve"> continue to perform</w:t>
      </w:r>
      <w:r w:rsidRPr="00873B6C">
        <w:t xml:space="preserve"> ECN marking for L4S for the QoS Flow. However, if not available (i.e. ECN marking for L4S is not supported in both, target NG-RAN and target PSA UPF), AF should be notified</w:t>
      </w:r>
      <w:r w:rsidR="00516747" w:rsidRPr="00873B6C">
        <w:t xml:space="preserve"> that ECN marking for L4S can no longer be performed if</w:t>
      </w:r>
      <w:r w:rsidR="00A10084" w:rsidRPr="00873B6C">
        <w:t xml:space="preserve"> ECN marking for L4S had been enabled for the QoS Flow based on AF request</w:t>
      </w:r>
      <w:r w:rsidRPr="00873B6C">
        <w:t>.</w:t>
      </w:r>
      <w:r w:rsidR="00516747" w:rsidRPr="00873B6C">
        <w:t xml:space="preserve"> When ECN marking for L4S is supported again either in target NG-RAN or in target PSA UPF, AF should be notified that ECN marking for L4S can be performed again if ECN marking for L4S had been enabled for the QoS Flow based on AF request.</w:t>
      </w:r>
    </w:p>
    <w:p w14:paraId="09CF493C" w14:textId="77777777" w:rsidR="00D409DD" w:rsidRPr="00873B6C" w:rsidRDefault="00D409DD" w:rsidP="00972E70">
      <w:pPr>
        <w:pStyle w:val="Heading4"/>
      </w:pPr>
      <w:bookmarkStart w:id="5141" w:name="_CR5_37_3_2"/>
      <w:bookmarkStart w:id="5142" w:name="_Toc201157659"/>
      <w:bookmarkEnd w:id="5141"/>
      <w:r w:rsidRPr="00873B6C">
        <w:t>5.37.3.2</w:t>
      </w:r>
      <w:r w:rsidRPr="00873B6C">
        <w:tab/>
        <w:t>Support of ECN marking for L4S in NG-RAN</w:t>
      </w:r>
      <w:bookmarkEnd w:id="5142"/>
    </w:p>
    <w:p w14:paraId="5DB02F6E" w14:textId="0C9EC879" w:rsidR="00D409DD" w:rsidRPr="00873B6C" w:rsidRDefault="00D409DD" w:rsidP="00D409DD">
      <w:r w:rsidRPr="00873B6C">
        <w:t xml:space="preserve">ECN marking for L4S may be supported in NG-RAN as specified in </w:t>
      </w:r>
      <w:r w:rsidR="00972E70" w:rsidRPr="00873B6C">
        <w:t>TS 38.300 [</w:t>
      </w:r>
      <w:r w:rsidRPr="00873B6C">
        <w:t>27].</w:t>
      </w:r>
    </w:p>
    <w:p w14:paraId="5891E77F" w14:textId="47FBF1BA" w:rsidR="00D409DD" w:rsidRPr="00873B6C" w:rsidRDefault="00D409DD" w:rsidP="00D409DD">
      <w:r w:rsidRPr="00873B6C">
        <w:t>To enable ECN marking for L4S in NG-RAN, dedicated QoS Flow(s) are used for carrying L4S enabled IP traffic. The SMF may</w:t>
      </w:r>
      <w:r w:rsidR="00A10084" w:rsidRPr="00873B6C">
        <w:t xml:space="preserve"> be instructed</w:t>
      </w:r>
      <w:r w:rsidRPr="00873B6C">
        <w:t>, based on</w:t>
      </w:r>
      <w:r w:rsidR="00A10084" w:rsidRPr="00873B6C">
        <w:t xml:space="preserve"> either dynamic or predefined</w:t>
      </w:r>
      <w:r w:rsidRPr="00873B6C">
        <w:t xml:space="preserve"> PCC </w:t>
      </w:r>
      <w:r w:rsidR="0054077B" w:rsidRPr="00873B6C">
        <w:t>r</w:t>
      </w:r>
      <w:r w:rsidRPr="00873B6C">
        <w:t>ule</w:t>
      </w:r>
      <w:r w:rsidR="00A10084" w:rsidRPr="00873B6C">
        <w:t>, to</w:t>
      </w:r>
      <w:r w:rsidRPr="00873B6C">
        <w:t xml:space="preserve"> provide an indication for ECN marking for L4S to NG-RAN for a corresponding QoS Flow(s)</w:t>
      </w:r>
      <w:r w:rsidR="00A10084" w:rsidRPr="00873B6C">
        <w:t xml:space="preserve"> in UL and</w:t>
      </w:r>
      <w:r w:rsidR="0054077B" w:rsidRPr="00873B6C">
        <w:t>/or</w:t>
      </w:r>
      <w:r w:rsidR="00A10084" w:rsidRPr="00873B6C">
        <w:t xml:space="preserve"> DL directions. In </w:t>
      </w:r>
      <w:r w:rsidRPr="00873B6C">
        <w:t xml:space="preserve">the absence of such </w:t>
      </w:r>
      <w:r w:rsidR="00A10084" w:rsidRPr="00873B6C">
        <w:t>PCC rule</w:t>
      </w:r>
      <w:r w:rsidR="0054077B" w:rsidRPr="00873B6C">
        <w:t>,</w:t>
      </w:r>
      <w:r w:rsidR="00A10084" w:rsidRPr="00873B6C">
        <w:t xml:space="preserve"> </w:t>
      </w:r>
      <w:r w:rsidRPr="00873B6C">
        <w:t xml:space="preserve">the use of </w:t>
      </w:r>
      <w:r w:rsidR="00A10084" w:rsidRPr="00873B6C">
        <w:t xml:space="preserve">ECN marking for L4S in NG-RAN </w:t>
      </w:r>
      <w:r w:rsidRPr="00873B6C">
        <w:t xml:space="preserve">on a QoS </w:t>
      </w:r>
      <w:r w:rsidR="0054077B" w:rsidRPr="00873B6C">
        <w:t>F</w:t>
      </w:r>
      <w:r w:rsidRPr="00873B6C">
        <w:t>low is controlled by a coordinated configuration in NG-RAN and 5GC.</w:t>
      </w:r>
    </w:p>
    <w:p w14:paraId="50D8B544" w14:textId="2739EC1E" w:rsidR="00857A0D" w:rsidRPr="00873B6C" w:rsidRDefault="00857A0D" w:rsidP="00A4240B">
      <w:pPr>
        <w:pStyle w:val="NO"/>
      </w:pPr>
      <w:r w:rsidRPr="00873B6C">
        <w:t>NOTE:</w:t>
      </w:r>
      <w:r w:rsidRPr="00873B6C">
        <w:tab/>
        <w:t>In home-routed roaming scenarios, a coordinated configuration in NG-RAN and 5GC would require an appropriate SLA between the HPLMN and the VPLMN.</w:t>
      </w:r>
    </w:p>
    <w:p w14:paraId="4BB98AD4" w14:textId="6999EAFC" w:rsidR="00D409DD" w:rsidRPr="00873B6C" w:rsidRDefault="00D409DD" w:rsidP="00D409DD">
      <w:r w:rsidRPr="00873B6C">
        <w:t>The criteria based on which NG-RAN decides to mark ECN bits for L4S is NG-RAN implementation specific.</w:t>
      </w:r>
    </w:p>
    <w:p w14:paraId="46A3627B" w14:textId="29EE6E1D" w:rsidR="00386935" w:rsidRPr="00873B6C" w:rsidRDefault="00386935" w:rsidP="00386935">
      <w:r w:rsidRPr="00873B6C">
        <w:t>In the case of inter NG-RAN UE mobility, if the ECN marking for L4S has been enabled on source NG-RAN, but the target NG-RAN does not support ECN marking for L4S, then the SMF may, if supported, enable ECN marking for L4S in PSA UPF as defined in clause 5.37.3.3.</w:t>
      </w:r>
    </w:p>
    <w:p w14:paraId="15BB6D9D" w14:textId="77777777" w:rsidR="00D409DD" w:rsidRPr="00873B6C" w:rsidRDefault="00D409DD" w:rsidP="00972E70">
      <w:pPr>
        <w:pStyle w:val="Heading4"/>
      </w:pPr>
      <w:bookmarkStart w:id="5143" w:name="_CR5_37_3_3"/>
      <w:bookmarkStart w:id="5144" w:name="_Toc201157660"/>
      <w:bookmarkEnd w:id="5143"/>
      <w:r w:rsidRPr="00873B6C">
        <w:t>5.37.3.3</w:t>
      </w:r>
      <w:r w:rsidRPr="00873B6C">
        <w:tab/>
        <w:t>Support of ECN marking for L4S in PSA UPF</w:t>
      </w:r>
      <w:bookmarkEnd w:id="5144"/>
    </w:p>
    <w:p w14:paraId="7B1389C5" w14:textId="6DBFA36D" w:rsidR="00D409DD" w:rsidRPr="00873B6C" w:rsidRDefault="00D409DD" w:rsidP="00D409DD">
      <w:r w:rsidRPr="00873B6C">
        <w:t>To enable ECN marking for L4S by a PSA UPF, a QoS Flow level ECN marking for L4S indicator may be sent by SMF to PSA UPF over N4. SMF also indicates to NG-RAN to report the congestion information (i.e. a percentage of packets that UPF uses for ECN marking for L4S) of the QoS Flow on UL and/or DL directions via GTP-U header extension to PSA UPF</w:t>
      </w:r>
      <w:r w:rsidR="00AF2D89" w:rsidRPr="00873B6C">
        <w:t xml:space="preserve"> and accordingly, the PSA UPF may mark the UL and/or DL direction packets of the QoS Flow</w:t>
      </w:r>
      <w:r w:rsidRPr="00873B6C">
        <w:t>. If there is no UL packet when report for DL and/or UL needs to be provided, NG-RAN may generate an UL Dummy GTP-U Packet for such a reporting.</w:t>
      </w:r>
    </w:p>
    <w:p w14:paraId="2E146C13" w14:textId="581B2753" w:rsidR="00A10084" w:rsidRPr="00873B6C" w:rsidRDefault="00A10084" w:rsidP="00D409DD">
      <w:r w:rsidRPr="00873B6C">
        <w:t xml:space="preserve">The SMF may be instructed, based on either dynamic or predefined PCC </w:t>
      </w:r>
      <w:r w:rsidR="0054077B" w:rsidRPr="00873B6C">
        <w:t>r</w:t>
      </w:r>
      <w:r w:rsidRPr="00873B6C">
        <w:t>ule, to provide an indication for ECN marking for L4S to PSA UPF for a corresponding QoS Flow(s) in UL and</w:t>
      </w:r>
      <w:r w:rsidR="0054077B" w:rsidRPr="00873B6C">
        <w:t>/or</w:t>
      </w:r>
      <w:r w:rsidRPr="00873B6C">
        <w:t xml:space="preserve"> DL directions.</w:t>
      </w:r>
    </w:p>
    <w:p w14:paraId="1615B2FD" w14:textId="644580BB" w:rsidR="00D409DD" w:rsidRPr="00873B6C" w:rsidRDefault="00D409DD" w:rsidP="00D409DD">
      <w:r w:rsidRPr="00873B6C">
        <w:t>Upon successful activation of congestion information reporting for UL and/or DL</w:t>
      </w:r>
      <w:r w:rsidR="0054077B" w:rsidRPr="00873B6C">
        <w:t xml:space="preserve"> directions</w:t>
      </w:r>
      <w:r w:rsidRPr="00873B6C">
        <w:t xml:space="preserve">, PSA UPF uses information sent by NG-RAN in GTP-U header extension (see </w:t>
      </w:r>
      <w:r w:rsidR="00972E70" w:rsidRPr="00873B6C">
        <w:t>TS 38.415 [</w:t>
      </w:r>
      <w:r w:rsidRPr="00873B6C">
        <w:t xml:space="preserve">116] and </w:t>
      </w:r>
      <w:r w:rsidR="00972E70" w:rsidRPr="00873B6C">
        <w:t>TS 38.300 [</w:t>
      </w:r>
      <w:r w:rsidRPr="00873B6C">
        <w:t>27]) to perform ECN bits marking for L4S for the corresponding direction.</w:t>
      </w:r>
    </w:p>
    <w:p w14:paraId="0A3AFE5E" w14:textId="05D7BF37" w:rsidR="00386935" w:rsidRPr="00873B6C" w:rsidRDefault="00386935" w:rsidP="00386935">
      <w:pPr>
        <w:pStyle w:val="NO"/>
      </w:pPr>
      <w:r w:rsidRPr="00873B6C">
        <w:t>NOTE:</w:t>
      </w:r>
      <w:r w:rsidRPr="00873B6C">
        <w:tab/>
        <w:t>How the congestion information is converted to ECN markings is UPF implementation specific.</w:t>
      </w:r>
    </w:p>
    <w:p w14:paraId="6734187A" w14:textId="77777777" w:rsidR="00386935" w:rsidRPr="00873B6C" w:rsidRDefault="00386935" w:rsidP="00386935">
      <w:r w:rsidRPr="00873B6C">
        <w:t>The criteria based on which NG-RAN decides to provide the congestion information is up to NG-RAN implementation.</w:t>
      </w:r>
    </w:p>
    <w:p w14:paraId="1B3F9C11" w14:textId="4D3F6D0D" w:rsidR="00386935" w:rsidRPr="00873B6C" w:rsidRDefault="00386935" w:rsidP="00386935">
      <w:r w:rsidRPr="00873B6C">
        <w:t>In the case of PSA UPF relocation, if the ECN marking for L4S has been enabled on source PSA UPF</w:t>
      </w:r>
      <w:r w:rsidR="0054077B" w:rsidRPr="00873B6C">
        <w:t>,</w:t>
      </w:r>
      <w:r w:rsidRPr="00873B6C">
        <w:t xml:space="preserve"> SMF should select a target PSA UPF supporting ECN marking for L4S. If the target PSA UPF does not support ECN marking for L4S, then SMF may, if supported, switch to ECN marking for L4S in target NG-RAN by following clause 5.37.3.2. In such case, the target NG-RAN stops sending congestion information to the target PSA UPF.</w:t>
      </w:r>
    </w:p>
    <w:p w14:paraId="3650002F" w14:textId="121C2995" w:rsidR="00386935" w:rsidRPr="00873B6C" w:rsidRDefault="00386935" w:rsidP="00386935">
      <w:r w:rsidRPr="00873B6C">
        <w:t xml:space="preserve">In the case of inter NG-RAN UE mobility, if the congestion information reporting has been enabled on source NG-RAN while the target NG-RAN does not support congestion information reporting, then the SMF shall inform PSA UPF to stop ECN marking for L4S. </w:t>
      </w:r>
      <w:r w:rsidR="0054077B" w:rsidRPr="00873B6C">
        <w:t xml:space="preserve">If ECN marking for L4S is supported by the target NG-RAN, the </w:t>
      </w:r>
      <w:r w:rsidRPr="00873B6C">
        <w:t>SMF may</w:t>
      </w:r>
      <w:r w:rsidR="0054077B" w:rsidRPr="00873B6C">
        <w:t xml:space="preserve"> instruct the target NG-RAN to perform</w:t>
      </w:r>
      <w:r w:rsidRPr="00873B6C">
        <w:t xml:space="preserve"> ECN marking for L4S in NG-RAN by following clause 5.37.3.2. For a given QoS Flow, if the target NG-RAN supports congestion information reporting, the target NG-RAN shall report congestion information to UPF once it is available.</w:t>
      </w:r>
    </w:p>
    <w:p w14:paraId="521B5428" w14:textId="54EFAFE0" w:rsidR="00C92133" w:rsidRPr="00873B6C" w:rsidRDefault="00C92133" w:rsidP="00C92133">
      <w:pPr>
        <w:pStyle w:val="Heading3"/>
      </w:pPr>
      <w:bookmarkStart w:id="5145" w:name="_CR5_37_4"/>
      <w:bookmarkStart w:id="5146" w:name="_Toc201157661"/>
      <w:bookmarkEnd w:id="5145"/>
      <w:r w:rsidRPr="00873B6C">
        <w:lastRenderedPageBreak/>
        <w:t>5.37.4</w:t>
      </w:r>
      <w:r w:rsidRPr="00873B6C">
        <w:tab/>
        <w:t>Network Exposure of 5GS information</w:t>
      </w:r>
      <w:bookmarkEnd w:id="5146"/>
    </w:p>
    <w:p w14:paraId="7D78600A" w14:textId="77777777" w:rsidR="00C92133" w:rsidRPr="00873B6C" w:rsidRDefault="00C92133" w:rsidP="00C92133">
      <w:r w:rsidRPr="00873B6C">
        <w:t>5GS and XR/media services cooperate to provide a better user experience using External Network Exposure.</w:t>
      </w:r>
    </w:p>
    <w:p w14:paraId="0E0953DA" w14:textId="3FEDD861" w:rsidR="00C92133" w:rsidRPr="00873B6C" w:rsidRDefault="00C92133" w:rsidP="00C92133">
      <w:r w:rsidRPr="00873B6C">
        <w:t>Based on the AF request, the 5GS can</w:t>
      </w:r>
      <w:r w:rsidR="002506F3" w:rsidRPr="00873B6C">
        <w:t xml:space="preserve"> expose the following information</w:t>
      </w:r>
      <w:r w:rsidRPr="00873B6C">
        <w:t xml:space="preserve"> based on the QoS Monitoring as defined in clause 5.33.3 and/or clause 5.45:</w:t>
      </w:r>
    </w:p>
    <w:p w14:paraId="184F0A32" w14:textId="45D26AC1" w:rsidR="00644F65" w:rsidRPr="00873B6C" w:rsidRDefault="00C92133" w:rsidP="00972E70">
      <w:pPr>
        <w:pStyle w:val="B1"/>
      </w:pPr>
      <w:r w:rsidRPr="00873B6C">
        <w:t>-</w:t>
      </w:r>
      <w:r w:rsidRPr="00873B6C">
        <w:tab/>
      </w:r>
      <w:r w:rsidR="00644F65" w:rsidRPr="00873B6C">
        <w:t xml:space="preserve">The </w:t>
      </w:r>
      <w:r w:rsidR="002506F3" w:rsidRPr="00873B6C">
        <w:t>UL and/or DL</w:t>
      </w:r>
      <w:r w:rsidRPr="00873B6C">
        <w:t xml:space="preserve"> congestion information</w:t>
      </w:r>
      <w:r w:rsidR="002506F3" w:rsidRPr="00873B6C">
        <w:t xml:space="preserve"> monitoring (see clause 5.45.3)</w:t>
      </w:r>
      <w:r w:rsidR="00644F65" w:rsidRPr="00873B6C">
        <w:t>.</w:t>
      </w:r>
    </w:p>
    <w:p w14:paraId="16E27B2F" w14:textId="31B6E879" w:rsidR="00C92133" w:rsidRPr="00873B6C" w:rsidRDefault="00644F65" w:rsidP="00972E70">
      <w:pPr>
        <w:pStyle w:val="B1"/>
      </w:pPr>
      <w:r w:rsidRPr="00873B6C">
        <w:tab/>
        <w:t>B</w:t>
      </w:r>
      <w:r w:rsidR="00C92133" w:rsidRPr="00873B6C">
        <w:t>ased on the PCC rule from PCF, the SMF requests the NG-RAN to report</w:t>
      </w:r>
      <w:r w:rsidR="002506F3" w:rsidRPr="00873B6C">
        <w:t xml:space="preserve"> </w:t>
      </w:r>
      <w:r w:rsidR="003D49E0" w:rsidRPr="00873B6C">
        <w:t xml:space="preserve">congestion </w:t>
      </w:r>
      <w:r w:rsidR="002506F3" w:rsidRPr="00873B6C">
        <w:t>information</w:t>
      </w:r>
      <w:r w:rsidR="003D49E0" w:rsidRPr="00873B6C">
        <w:t xml:space="preserve"> (i.e. a percentage of congestion level for exposure)</w:t>
      </w:r>
      <w:r w:rsidR="00C92133" w:rsidRPr="00873B6C">
        <w:t xml:space="preserve"> via GTP-U header to PSA UPF</w:t>
      </w:r>
      <w:r w:rsidR="0054077B" w:rsidRPr="00873B6C">
        <w:t>.</w:t>
      </w:r>
      <w:r w:rsidR="002506F3" w:rsidRPr="00873B6C">
        <w:t xml:space="preserve"> This </w:t>
      </w:r>
      <w:r w:rsidR="00C92133" w:rsidRPr="00873B6C">
        <w:t>NG-RAN</w:t>
      </w:r>
      <w:r w:rsidR="002506F3" w:rsidRPr="00873B6C">
        <w:t xml:space="preserve"> reported</w:t>
      </w:r>
      <w:r w:rsidR="003D49E0" w:rsidRPr="00873B6C">
        <w:t xml:space="preserve"> congestion</w:t>
      </w:r>
      <w:r w:rsidR="00C92133" w:rsidRPr="00873B6C">
        <w:t xml:space="preserve"> information</w:t>
      </w:r>
      <w:r w:rsidR="002506F3" w:rsidRPr="00873B6C">
        <w:t xml:space="preserve"> is </w:t>
      </w:r>
      <w:r w:rsidR="003D49E0" w:rsidRPr="00873B6C">
        <w:t xml:space="preserve">sent to the PSA UPF in a common information element </w:t>
      </w:r>
      <w:r w:rsidR="002506F3" w:rsidRPr="00873B6C">
        <w:t>to support congestion information exposure and</w:t>
      </w:r>
      <w:r w:rsidR="00C92133" w:rsidRPr="00873B6C">
        <w:t xml:space="preserve"> to support ECN marking for L4S in PSA UPF as described in clause 5.37.3.3</w:t>
      </w:r>
      <w:r w:rsidR="002506F3" w:rsidRPr="00873B6C">
        <w:t>. In the case of congestion information exposure, the PSA UPF</w:t>
      </w:r>
      <w:r w:rsidR="003D49E0" w:rsidRPr="00873B6C">
        <w:t xml:space="preserve"> interprets the RAN reported information as the percentage of congestion level for exposure and</w:t>
      </w:r>
      <w:r w:rsidR="002506F3" w:rsidRPr="00873B6C">
        <w:t xml:space="preserve"> exposes the</w:t>
      </w:r>
      <w:r w:rsidR="003D49E0" w:rsidRPr="00873B6C">
        <w:t xml:space="preserve"> corresponding</w:t>
      </w:r>
      <w:r w:rsidR="002506F3" w:rsidRPr="00873B6C">
        <w:t xml:space="preserve"> UL and/or DL congestion information </w:t>
      </w:r>
      <w:r w:rsidR="00C92133" w:rsidRPr="00873B6C">
        <w:t>via Nupf_EventExposure service or via SMF/PCF/NEF as described in clause 5.8.2.18.</w:t>
      </w:r>
      <w:r w:rsidR="002506F3" w:rsidRPr="00873B6C">
        <w:t xml:space="preserve"> It can be applied to a Non-GBR or GBR QoS </w:t>
      </w:r>
      <w:r w:rsidR="0054077B" w:rsidRPr="00873B6C">
        <w:t>F</w:t>
      </w:r>
      <w:r w:rsidR="002506F3" w:rsidRPr="00873B6C">
        <w:t>low.</w:t>
      </w:r>
      <w:r w:rsidR="003D49E0" w:rsidRPr="00873B6C">
        <w:t xml:space="preserve"> In the case of ECN marking for L4S in PSA UPF, the PSA UPF interprets the RAN reported information as percentage of packets that UPF uses for ECN marking for L4S as described in clause 5.37.3.3.</w:t>
      </w:r>
    </w:p>
    <w:p w14:paraId="62D54B86" w14:textId="77777777" w:rsidR="00644F65" w:rsidRPr="00873B6C" w:rsidRDefault="00C92133" w:rsidP="00972E70">
      <w:pPr>
        <w:pStyle w:val="B1"/>
      </w:pPr>
      <w:r w:rsidRPr="00873B6C">
        <w:t>-</w:t>
      </w:r>
      <w:r w:rsidRPr="00873B6C">
        <w:tab/>
      </w:r>
      <w:r w:rsidR="00644F65" w:rsidRPr="00873B6C">
        <w:t xml:space="preserve">The UL and/or DL </w:t>
      </w:r>
      <w:r w:rsidRPr="00873B6C">
        <w:t>Data rate information</w:t>
      </w:r>
      <w:r w:rsidR="002506F3" w:rsidRPr="00873B6C">
        <w:t xml:space="preserve"> </w:t>
      </w:r>
      <w:r w:rsidR="00644F65" w:rsidRPr="00873B6C">
        <w:t>(see clause 5.45.4).</w:t>
      </w:r>
    </w:p>
    <w:p w14:paraId="2C7FD728" w14:textId="7052790B" w:rsidR="00644F65" w:rsidRPr="00873B6C" w:rsidRDefault="003D49E0" w:rsidP="00972E70">
      <w:pPr>
        <w:pStyle w:val="B1"/>
      </w:pPr>
      <w:r w:rsidRPr="00873B6C">
        <w:tab/>
      </w:r>
      <w:r w:rsidR="00644F65" w:rsidRPr="00873B6C">
        <w:t>Based on the PCC rule from PCF, the SMF requests the PSA UPF to measure and report the information. They may be exposed to the AF directly by PSA UPF via Nupf_EventExposure service or via SMF/PCF/NEF as described in clause 5.8.2.18.</w:t>
      </w:r>
    </w:p>
    <w:p w14:paraId="06199255" w14:textId="5101376F" w:rsidR="00644F65" w:rsidRPr="00873B6C" w:rsidRDefault="00644F65" w:rsidP="00972E70">
      <w:pPr>
        <w:pStyle w:val="B1"/>
      </w:pPr>
      <w:r w:rsidRPr="00873B6C">
        <w:t>-</w:t>
      </w:r>
      <w:r w:rsidRPr="00873B6C">
        <w:tab/>
        <w:t>The round trip delay for two service data flows considering the UL direction of a service data flow and the DL direction of another service data flow in the same PDU Session.</w:t>
      </w:r>
    </w:p>
    <w:p w14:paraId="386EC6A5" w14:textId="2FCC3B66" w:rsidR="00644F65" w:rsidRPr="00873B6C" w:rsidRDefault="00644F65" w:rsidP="00972E70">
      <w:pPr>
        <w:pStyle w:val="B1"/>
      </w:pPr>
      <w:r w:rsidRPr="00873B6C">
        <w:tab/>
        <w:t>It is determined based on the QoS Monitoring for packet delay of individual QoS Flows as described in clause 5.33.3. The PCF derives the separate QoS monitoring policies for each direction packet delay (see clause 5.33.3) based on AF request and local policy. The PCF provides the two QoS Monitoring policies in the PCC rules for the service data flows. The PSA UPF reports the delay information per QoS Flow to the SMF. The SMF reports to PCF. The PCF derives round trip delay information based on the two direction's packet delay result for the service data flows and exposes the information to the AF directly or via NEF.</w:t>
      </w:r>
    </w:p>
    <w:p w14:paraId="5E27E7A7" w14:textId="77777777" w:rsidR="00644F65" w:rsidRPr="00873B6C" w:rsidRDefault="00644F65" w:rsidP="00972E70">
      <w:pPr>
        <w:pStyle w:val="B1"/>
      </w:pPr>
      <w:r w:rsidRPr="00873B6C">
        <w:t>-</w:t>
      </w:r>
      <w:r w:rsidRPr="00873B6C">
        <w:tab/>
        <w:t>The round trip delay for one service data flow.</w:t>
      </w:r>
    </w:p>
    <w:p w14:paraId="132727FB" w14:textId="6143F355" w:rsidR="00644F65" w:rsidRPr="00873B6C" w:rsidRDefault="00644F65" w:rsidP="00972E70">
      <w:pPr>
        <w:pStyle w:val="B1"/>
      </w:pPr>
      <w:r w:rsidRPr="00873B6C">
        <w:tab/>
        <w:t>If the service data flow is mapped to two QoS Flows (i.e. the UL traffic and DL traffic of the service data flow are separated into two QoS flows respectively) in the same PDU Session, similarly to the round trip delay for two service data flows over two QoS flows, the PCF triggers QoS Monitoring for each direction packet delay of individual QoS flows respectively and derives round trip delay based on the two direction QoS flows' packet delay monitored result.</w:t>
      </w:r>
    </w:p>
    <w:p w14:paraId="77386705" w14:textId="7B255D5D" w:rsidR="00C92133" w:rsidRPr="00873B6C" w:rsidRDefault="00C92133" w:rsidP="00972E70">
      <w:pPr>
        <w:pStyle w:val="NO"/>
      </w:pPr>
      <w:r w:rsidRPr="00873B6C">
        <w:t>NOTE:</w:t>
      </w:r>
      <w:r w:rsidRPr="00873B6C">
        <w:tab/>
        <w:t xml:space="preserve">How PCF calculates the requested round trip delay for multiple QoS </w:t>
      </w:r>
      <w:r w:rsidR="0054077B" w:rsidRPr="00873B6C">
        <w:t>F</w:t>
      </w:r>
      <w:r w:rsidRPr="00873B6C">
        <w:t xml:space="preserve">lows from delays of individual QoS Flows is not </w:t>
      </w:r>
      <w:r w:rsidR="0054077B" w:rsidRPr="00873B6C">
        <w:t xml:space="preserve">specified </w:t>
      </w:r>
      <w:r w:rsidRPr="00873B6C">
        <w:t>in this specification.</w:t>
      </w:r>
    </w:p>
    <w:p w14:paraId="0FE08796" w14:textId="7C1940B1" w:rsidR="00C92133" w:rsidRPr="00873B6C" w:rsidRDefault="00C92133" w:rsidP="00C92133">
      <w:r w:rsidRPr="00873B6C">
        <w:t xml:space="preserve">The AF may provide the Alternative QoS parameter set requirements and Averaging Window to the NEF/PCF for the GBR QoS Flow as specified in clause 4.15.6.6 of </w:t>
      </w:r>
      <w:r w:rsidR="00972E70" w:rsidRPr="00873B6C">
        <w:t>TS 23.502 [</w:t>
      </w:r>
      <w:r w:rsidRPr="00873B6C">
        <w:t>3].</w:t>
      </w:r>
    </w:p>
    <w:p w14:paraId="2D07E2FF" w14:textId="0A160BD1" w:rsidR="00C92133" w:rsidRPr="00873B6C" w:rsidRDefault="00C92133" w:rsidP="00C92133">
      <w:pPr>
        <w:pStyle w:val="Heading3"/>
      </w:pPr>
      <w:bookmarkStart w:id="5147" w:name="_CR5_37_5"/>
      <w:bookmarkStart w:id="5148" w:name="_Toc201157662"/>
      <w:bookmarkEnd w:id="5147"/>
      <w:r w:rsidRPr="00873B6C">
        <w:t>5.37.5</w:t>
      </w:r>
      <w:r w:rsidRPr="00873B6C">
        <w:tab/>
        <w:t>PDU Set based Handling</w:t>
      </w:r>
      <w:bookmarkEnd w:id="5148"/>
    </w:p>
    <w:p w14:paraId="229C199F" w14:textId="245C6B68" w:rsidR="00C92133" w:rsidRPr="00873B6C" w:rsidRDefault="00C92133" w:rsidP="00972E70">
      <w:pPr>
        <w:pStyle w:val="Heading4"/>
      </w:pPr>
      <w:bookmarkStart w:id="5149" w:name="_CR5_37_5_1"/>
      <w:bookmarkStart w:id="5150" w:name="_Toc201157663"/>
      <w:bookmarkEnd w:id="5149"/>
      <w:r w:rsidRPr="00873B6C">
        <w:t>5.37.5.1</w:t>
      </w:r>
      <w:r w:rsidRPr="00873B6C">
        <w:tab/>
        <w:t>General</w:t>
      </w:r>
      <w:bookmarkEnd w:id="5150"/>
    </w:p>
    <w:p w14:paraId="781D6089" w14:textId="391F3D21" w:rsidR="00C92133" w:rsidRPr="00873B6C" w:rsidRDefault="00C92133" w:rsidP="00C92133">
      <w:r w:rsidRPr="00873B6C">
        <w:t xml:space="preserve">A PDU Set is comprised of one or more PDUs carrying an application layer payload such as a video frame or video slice. The PDU Set based QoS handling by the NG-RAN is determined by PDU Set QoS </w:t>
      </w:r>
      <w:r w:rsidR="00A10084" w:rsidRPr="00873B6C">
        <w:t>P</w:t>
      </w:r>
      <w:r w:rsidRPr="00873B6C">
        <w:t xml:space="preserve">arameters </w:t>
      </w:r>
      <w:r w:rsidR="0029208C" w:rsidRPr="00873B6C">
        <w:t>in the QoS profile of the QoS Flow (</w:t>
      </w:r>
      <w:r w:rsidRPr="00873B6C">
        <w:t>specified in clause 5.7.7</w:t>
      </w:r>
      <w:r w:rsidR="0029208C" w:rsidRPr="00873B6C">
        <w:t>)</w:t>
      </w:r>
      <w:r w:rsidRPr="00873B6C">
        <w:t xml:space="preserve"> and PDU Set </w:t>
      </w:r>
      <w:r w:rsidR="00965644" w:rsidRPr="00873B6C">
        <w:t>I</w:t>
      </w:r>
      <w:r w:rsidRPr="00873B6C">
        <w:t>nformation provided by the PSA UPF</w:t>
      </w:r>
      <w:r w:rsidR="0029208C" w:rsidRPr="00873B6C">
        <w:t xml:space="preserve"> via N3/N9 interface</w:t>
      </w:r>
      <w:r w:rsidRPr="00873B6C">
        <w:t xml:space="preserve"> as described in clause 5.37.5.2.</w:t>
      </w:r>
      <w:r w:rsidR="00A10084" w:rsidRPr="00873B6C">
        <w:t xml:space="preserve"> The PDU Set based Handling can be applied for GBR and non-GBR QoS Flows.</w:t>
      </w:r>
      <w:r w:rsidR="00AF2D89" w:rsidRPr="00873B6C">
        <w:t xml:space="preserve"> </w:t>
      </w:r>
      <w:r w:rsidR="00644F65" w:rsidRPr="00873B6C">
        <w:t xml:space="preserve">The AF should </w:t>
      </w:r>
      <w:r w:rsidRPr="00873B6C">
        <w:t xml:space="preserve">provide PDU Set related assistance information for dynamic PCC control. One or more of the following PDU Set related assistance information may be provided to the NEF/PCF using the AF session with required QoS procedures in clauses 4.15.6.6 and 4.15.6.6a of </w:t>
      </w:r>
      <w:r w:rsidR="00972E70" w:rsidRPr="00873B6C">
        <w:t>TS 23.502 [</w:t>
      </w:r>
      <w:r w:rsidRPr="00873B6C">
        <w:t>3].</w:t>
      </w:r>
    </w:p>
    <w:p w14:paraId="1A0D6F78" w14:textId="42A505E9" w:rsidR="00C92133" w:rsidRPr="00873B6C" w:rsidRDefault="00C92133" w:rsidP="00972E70">
      <w:pPr>
        <w:pStyle w:val="B1"/>
      </w:pPr>
      <w:r w:rsidRPr="00873B6C">
        <w:t>-</w:t>
      </w:r>
      <w:r w:rsidRPr="00873B6C">
        <w:tab/>
        <w:t xml:space="preserve">PDU Set QoS </w:t>
      </w:r>
      <w:r w:rsidR="00A10084" w:rsidRPr="00873B6C">
        <w:t>P</w:t>
      </w:r>
      <w:r w:rsidRPr="00873B6C">
        <w:t>arameters as described in clause 5.7.7</w:t>
      </w:r>
    </w:p>
    <w:p w14:paraId="79EE97E3" w14:textId="3D813CBE" w:rsidR="00644F65" w:rsidRPr="00873B6C" w:rsidRDefault="00A2272A" w:rsidP="00A2272A">
      <w:pPr>
        <w:pStyle w:val="B1"/>
      </w:pPr>
      <w:r w:rsidRPr="00873B6C">
        <w:lastRenderedPageBreak/>
        <w:t>-</w:t>
      </w:r>
      <w:r w:rsidRPr="00873B6C">
        <w:tab/>
        <w:t>Protocol Description: Indicates</w:t>
      </w:r>
      <w:r w:rsidR="00644F65" w:rsidRPr="00873B6C">
        <w:t xml:space="preserve"> the</w:t>
      </w:r>
      <w:r w:rsidRPr="00873B6C">
        <w:t xml:space="preserve"> transport protocol</w:t>
      </w:r>
      <w:r w:rsidR="00644F65" w:rsidRPr="00873B6C">
        <w:t xml:space="preserve"> used by the service data flow</w:t>
      </w:r>
      <w:r w:rsidRPr="00873B6C">
        <w:t xml:space="preserve"> (e.g. RTP, SRTP)</w:t>
      </w:r>
      <w:r w:rsidR="00644F65" w:rsidRPr="00873B6C">
        <w:t xml:space="preserve"> and information, e.g. the following:</w:t>
      </w:r>
    </w:p>
    <w:p w14:paraId="1090BE4F" w14:textId="4A9DE08D" w:rsidR="00644F65" w:rsidRPr="00873B6C" w:rsidRDefault="00644F65" w:rsidP="00FA7D5B">
      <w:pPr>
        <w:pStyle w:val="B2"/>
      </w:pPr>
      <w:r w:rsidRPr="00873B6C">
        <w:t>-</w:t>
      </w:r>
      <w:r w:rsidRPr="00873B6C">
        <w:tab/>
        <w:t>RTP [185] or SRTP [186];</w:t>
      </w:r>
    </w:p>
    <w:p w14:paraId="3759608A" w14:textId="77777777" w:rsidR="00644F65" w:rsidRPr="00873B6C" w:rsidRDefault="00644F65" w:rsidP="00FA7D5B">
      <w:pPr>
        <w:pStyle w:val="B2"/>
      </w:pPr>
      <w:r w:rsidRPr="00873B6C">
        <w:t>-</w:t>
      </w:r>
      <w:r w:rsidRPr="00873B6C">
        <w:tab/>
        <w:t>RTP or SRTP with RTP Header Extensions, including:</w:t>
      </w:r>
    </w:p>
    <w:p w14:paraId="7E1DF3AA" w14:textId="77777777" w:rsidR="00644F65" w:rsidRPr="00873B6C" w:rsidRDefault="00644F65" w:rsidP="00FA7D5B">
      <w:pPr>
        <w:pStyle w:val="B3"/>
      </w:pPr>
      <w:r w:rsidRPr="00873B6C">
        <w:t>-</w:t>
      </w:r>
      <w:r w:rsidRPr="00873B6C">
        <w:tab/>
        <w:t>RTP Header Extensions for PDU Set Marking as defined in TS 26.522 [179];</w:t>
      </w:r>
    </w:p>
    <w:p w14:paraId="1D0C6F1E" w14:textId="2AFDB9B3" w:rsidR="00644F65" w:rsidRPr="00873B6C" w:rsidRDefault="00644F65" w:rsidP="00FA7D5B">
      <w:pPr>
        <w:pStyle w:val="B3"/>
      </w:pPr>
      <w:r w:rsidRPr="00873B6C">
        <w:t>-</w:t>
      </w:r>
      <w:r w:rsidRPr="00873B6C">
        <w:tab/>
        <w:t>Other RTP Header Extensions as defined RFC 8285 [189];</w:t>
      </w:r>
    </w:p>
    <w:p w14:paraId="7D0A21BC" w14:textId="77777777" w:rsidR="00644F65" w:rsidRPr="00873B6C" w:rsidRDefault="00644F65" w:rsidP="00FA7D5B">
      <w:pPr>
        <w:pStyle w:val="B2"/>
      </w:pPr>
      <w:r w:rsidRPr="00873B6C">
        <w:t>-</w:t>
      </w:r>
      <w:r w:rsidRPr="00873B6C">
        <w:tab/>
        <w:t>RTP or SRTP without RTP Header Extensions, but together with RTP Payload Format (e.g. H.264 [187] or H.265 [188]);</w:t>
      </w:r>
    </w:p>
    <w:p w14:paraId="5B0ACF63" w14:textId="6A5C92DE" w:rsidR="00644F65" w:rsidRPr="00873B6C" w:rsidRDefault="00644F65" w:rsidP="00FA7D5B">
      <w:pPr>
        <w:pStyle w:val="B2"/>
      </w:pPr>
      <w:r w:rsidRPr="00873B6C">
        <w:t>-</w:t>
      </w:r>
      <w:r w:rsidRPr="00873B6C">
        <w:tab/>
        <w:t>RTP or SRTP with RTP Header Extensions for PDU Set Marking as defined in TS 26.522 [179]</w:t>
      </w:r>
      <w:r w:rsidR="00472CD7" w:rsidRPr="00873B6C">
        <w:t xml:space="preserve"> and</w:t>
      </w:r>
      <w:r w:rsidRPr="00873B6C">
        <w:t xml:space="preserve"> together with RTP Payload Format (e.g. H.264 [187] or H.265 [188]);</w:t>
      </w:r>
    </w:p>
    <w:p w14:paraId="42D33A0C" w14:textId="1C87ECAE" w:rsidR="00644F65" w:rsidRPr="00873B6C" w:rsidRDefault="00644F65" w:rsidP="00FA7D5B">
      <w:pPr>
        <w:pStyle w:val="B2"/>
      </w:pPr>
      <w:r w:rsidRPr="00873B6C">
        <w:t>-</w:t>
      </w:r>
      <w:r w:rsidRPr="00873B6C">
        <w:tab/>
        <w:t>RTP or SRTP with other RTP Header Extensions following RFC 8285 [189]</w:t>
      </w:r>
      <w:r w:rsidR="00472CD7" w:rsidRPr="00873B6C">
        <w:t xml:space="preserve"> and</w:t>
      </w:r>
      <w:r w:rsidRPr="00873B6C">
        <w:t xml:space="preserve"> together with RTP Payload Format (e.g. H.264 [187] or H.265 [188]).</w:t>
      </w:r>
    </w:p>
    <w:p w14:paraId="1BACCD27" w14:textId="3896D6F7" w:rsidR="00AF2D89" w:rsidRPr="00873B6C" w:rsidRDefault="00AF2D89" w:rsidP="00AF2D89">
      <w:pPr>
        <w:pStyle w:val="NO"/>
      </w:pPr>
      <w:r w:rsidRPr="00873B6C">
        <w:t>NOTE 1:</w:t>
      </w:r>
      <w:r w:rsidRPr="00873B6C">
        <w:tab/>
        <w:t>With the Protocol Description options combining SRTP together with RTP Payload Format the UPF can still obtain some of the PDU Set information from the RTP Header (refer to Annex A of TS 26.522 [179]).</w:t>
      </w:r>
    </w:p>
    <w:p w14:paraId="676EB966" w14:textId="435B365D" w:rsidR="00644F65" w:rsidRPr="00873B6C" w:rsidRDefault="00965644" w:rsidP="00745A3E">
      <w:pPr>
        <w:pStyle w:val="B1"/>
      </w:pPr>
      <w:r w:rsidRPr="00873B6C">
        <w:tab/>
      </w:r>
      <w:r w:rsidR="00644F65" w:rsidRPr="00873B6C">
        <w:t>When RTP Header Extensions for PDU Set Marking (as defined in TS 26.522 [179] or other RTP header extensions as defined in RFC 8285 [189] is included, the differentiation between different RTP Header Extension Types should be supported.</w:t>
      </w:r>
    </w:p>
    <w:p w14:paraId="21BFB7E0" w14:textId="75D2C606" w:rsidR="00644F65" w:rsidRPr="00873B6C" w:rsidRDefault="00965644" w:rsidP="00745A3E">
      <w:pPr>
        <w:pStyle w:val="B1"/>
      </w:pPr>
      <w:r w:rsidRPr="00873B6C">
        <w:tab/>
      </w:r>
      <w:r w:rsidR="00644F65" w:rsidRPr="00873B6C">
        <w:t>When RTP Payload Format is included, the differentiation between different RTP Payload Formats should be supported.</w:t>
      </w:r>
    </w:p>
    <w:p w14:paraId="01A4E7F2" w14:textId="0010694E" w:rsidR="00644F65" w:rsidRPr="00873B6C" w:rsidRDefault="00644F65" w:rsidP="00FA7D5B">
      <w:pPr>
        <w:pStyle w:val="NO"/>
      </w:pPr>
      <w:r w:rsidRPr="00873B6C">
        <w:t>NOTE </w:t>
      </w:r>
      <w:r w:rsidR="00AF2D89" w:rsidRPr="00873B6C">
        <w:t>2</w:t>
      </w:r>
      <w:r w:rsidRPr="00873B6C">
        <w:t>:</w:t>
      </w:r>
      <w:r w:rsidRPr="00873B6C">
        <w:tab/>
        <w:t xml:space="preserve">Multiplexing of different transport protocols and different media traffic for differentiated PDU Set </w:t>
      </w:r>
      <w:r w:rsidR="00965644" w:rsidRPr="00873B6C">
        <w:t xml:space="preserve">based </w:t>
      </w:r>
      <w:r w:rsidRPr="00873B6C">
        <w:t>handling is not supported in the current Release.</w:t>
      </w:r>
    </w:p>
    <w:p w14:paraId="5DF8CF68" w14:textId="7C1485AF" w:rsidR="00456BDF" w:rsidRPr="00873B6C" w:rsidRDefault="00456BDF" w:rsidP="00C92133">
      <w:r w:rsidRPr="00873B6C">
        <w:t>The Protocol Description can be UL only, DL only or UL and DL. The Protocol Description for UL and DL traffic may be different.</w:t>
      </w:r>
    </w:p>
    <w:p w14:paraId="33694151" w14:textId="10A48DC3" w:rsidR="00C92133" w:rsidRPr="00873B6C" w:rsidRDefault="00C92133" w:rsidP="00C92133">
      <w:r w:rsidRPr="00873B6C">
        <w:t>AF provided PDU Set QoS Parameters and</w:t>
      </w:r>
      <w:r w:rsidR="00456BDF" w:rsidRPr="00873B6C">
        <w:t xml:space="preserve"> UL and/or DL</w:t>
      </w:r>
      <w:r w:rsidRPr="00873B6C">
        <w:t xml:space="preserve"> Protocol Description may be used in determining</w:t>
      </w:r>
      <w:r w:rsidR="00644F65" w:rsidRPr="00873B6C">
        <w:t xml:space="preserve"> the</w:t>
      </w:r>
      <w:r w:rsidR="00A13197" w:rsidRPr="00873B6C">
        <w:t xml:space="preserve"> PCC Rule</w:t>
      </w:r>
      <w:r w:rsidRPr="00873B6C">
        <w:t xml:space="preserve"> by the PCF</w:t>
      </w:r>
      <w:r w:rsidR="00571B2E" w:rsidRPr="00873B6C">
        <w:t xml:space="preserve"> as defined in clause 6.1.3.27.4 of TS 23.503 [45]</w:t>
      </w:r>
      <w:r w:rsidRPr="00873B6C">
        <w:t xml:space="preserve"> and</w:t>
      </w:r>
      <w:r w:rsidR="00A13197" w:rsidRPr="00873B6C">
        <w:t xml:space="preserve"> the</w:t>
      </w:r>
      <w:r w:rsidR="00456BDF" w:rsidRPr="00873B6C">
        <w:t xml:space="preserve"> DL</w:t>
      </w:r>
      <w:r w:rsidR="00A13197" w:rsidRPr="00873B6C">
        <w:t xml:space="preserve"> Protocol Description may be used for</w:t>
      </w:r>
      <w:r w:rsidRPr="00873B6C">
        <w:t xml:space="preserve"> identifying the PDU Set </w:t>
      </w:r>
      <w:r w:rsidR="00965644" w:rsidRPr="00873B6C">
        <w:t>I</w:t>
      </w:r>
      <w:r w:rsidRPr="00873B6C">
        <w:t>nformation</w:t>
      </w:r>
      <w:r w:rsidR="00AF2D89" w:rsidRPr="00873B6C">
        <w:t xml:space="preserve"> and PDU Set Information marking</w:t>
      </w:r>
      <w:r w:rsidRPr="00873B6C">
        <w:t xml:space="preserve"> by the PSA UPF.</w:t>
      </w:r>
    </w:p>
    <w:p w14:paraId="04D1DD72" w14:textId="179B42E8" w:rsidR="00A13197" w:rsidRPr="00873B6C" w:rsidRDefault="00A13197" w:rsidP="00A13197">
      <w:r w:rsidRPr="00873B6C">
        <w:t>When the</w:t>
      </w:r>
      <w:r w:rsidR="0029208C" w:rsidRPr="00873B6C">
        <w:t xml:space="preserve"> SMF receives</w:t>
      </w:r>
      <w:r w:rsidRPr="00873B6C">
        <w:t xml:space="preserve"> </w:t>
      </w:r>
      <w:r w:rsidR="00644F65" w:rsidRPr="00873B6C">
        <w:t xml:space="preserve">the </w:t>
      </w:r>
      <w:r w:rsidRPr="00873B6C">
        <w:t>PCC rule</w:t>
      </w:r>
      <w:r w:rsidR="00644F65" w:rsidRPr="00873B6C">
        <w:t>, the SMF performs binding of the PCC rule to one QoS Flow as described in clause 6.1.3.2.4 of TS 23.503 [45].</w:t>
      </w:r>
      <w:r w:rsidR="00AF2D89" w:rsidRPr="00873B6C">
        <w:t xml:space="preserve"> At least one of the following shall be included in the PCC rule to enable PDU Set based</w:t>
      </w:r>
      <w:r w:rsidR="0036079D">
        <w:t xml:space="preserve"> QoS</w:t>
      </w:r>
      <w:r w:rsidR="00AF2D89" w:rsidRPr="00873B6C">
        <w:t xml:space="preserve"> handling: 1) a PSIHI and/or 2) both PSDB and PSER. Based on the PCC rule</w:t>
      </w:r>
      <w:r w:rsidR="0029208C" w:rsidRPr="00873B6C">
        <w:t>,</w:t>
      </w:r>
      <w:r w:rsidRPr="00873B6C">
        <w:t xml:space="preserve"> the SMF</w:t>
      </w:r>
      <w:r w:rsidR="0029208C" w:rsidRPr="00873B6C">
        <w:t xml:space="preserve"> adds the PDU Set QoS </w:t>
      </w:r>
      <w:r w:rsidR="00965644" w:rsidRPr="00873B6C">
        <w:t>P</w:t>
      </w:r>
      <w:r w:rsidR="0029208C" w:rsidRPr="00873B6C">
        <w:t>arameters to the</w:t>
      </w:r>
      <w:r w:rsidRPr="00873B6C">
        <w:t xml:space="preserve"> QoS Profile </w:t>
      </w:r>
      <w:r w:rsidR="0029208C" w:rsidRPr="00873B6C">
        <w:t xml:space="preserve">of </w:t>
      </w:r>
      <w:r w:rsidRPr="00873B6C">
        <w:t>the QoS Flow</w:t>
      </w:r>
      <w:r w:rsidR="0029208C" w:rsidRPr="00873B6C">
        <w:t xml:space="preserve"> as described in clause 6.2.2.4 of TS 23.503 [45]</w:t>
      </w:r>
      <w:r w:rsidRPr="00873B6C">
        <w:t>. Alternatively, the SMF may be configured to support PDU Set</w:t>
      </w:r>
      <w:r w:rsidR="00A10084" w:rsidRPr="00873B6C">
        <w:t xml:space="preserve"> based</w:t>
      </w:r>
      <w:r w:rsidRPr="00873B6C">
        <w:t xml:space="preserve"> </w:t>
      </w:r>
      <w:r w:rsidR="00A10084" w:rsidRPr="00873B6C">
        <w:t>Handling</w:t>
      </w:r>
      <w:r w:rsidRPr="00873B6C">
        <w:t xml:space="preserve"> without receiving PCC rules from a PCF.</w:t>
      </w:r>
    </w:p>
    <w:p w14:paraId="41172D99" w14:textId="56CA59E3" w:rsidR="00A13197" w:rsidRPr="00873B6C" w:rsidRDefault="0029208C" w:rsidP="00A13197">
      <w:r w:rsidRPr="00873B6C">
        <w:t xml:space="preserve">For the downlink direction, the </w:t>
      </w:r>
      <w:r w:rsidR="00A13197" w:rsidRPr="00873B6C">
        <w:t>PSA UPF identifies PDUs that belong to PDU Sets</w:t>
      </w:r>
      <w:r w:rsidRPr="00873B6C">
        <w:t xml:space="preserve"> and marks them accordingly as described in clause 5.37.5.2</w:t>
      </w:r>
      <w:r w:rsidR="00A13197" w:rsidRPr="00873B6C">
        <w:t>. If the</w:t>
      </w:r>
      <w:r w:rsidR="0054077B" w:rsidRPr="00873B6C">
        <w:t xml:space="preserve"> PSA</w:t>
      </w:r>
      <w:r w:rsidR="00A13197" w:rsidRPr="00873B6C">
        <w:t xml:space="preserve"> UPF receives a PDU that does not belong to a PDU Set based on Protocol Description for PDU Set identification, then the</w:t>
      </w:r>
      <w:r w:rsidR="0054077B" w:rsidRPr="00873B6C">
        <w:t xml:space="preserve"> PSA</w:t>
      </w:r>
      <w:r w:rsidR="00A13197" w:rsidRPr="00873B6C">
        <w:t xml:space="preserve"> UPF still maps it to a PDU Set and determines the PDU Set Information as described in clause 5.37.5.2.</w:t>
      </w:r>
    </w:p>
    <w:p w14:paraId="6257D4EC" w14:textId="5132409C" w:rsidR="00A13197" w:rsidRPr="00873B6C" w:rsidRDefault="00A13197" w:rsidP="005A13C0">
      <w:pPr>
        <w:pStyle w:val="NO"/>
      </w:pPr>
      <w:r w:rsidRPr="00873B6C">
        <w:t>NOTE</w:t>
      </w:r>
      <w:r w:rsidR="00893B12" w:rsidRPr="00873B6C">
        <w:t> </w:t>
      </w:r>
      <w:r w:rsidR="00AF2D89" w:rsidRPr="00873B6C">
        <w:t>3</w:t>
      </w:r>
      <w:r w:rsidRPr="00873B6C">
        <w:t>:</w:t>
      </w:r>
      <w:r w:rsidRPr="00873B6C">
        <w:tab/>
        <w:t>If the PSA UPF receives a PDU that does not belong to a PDU Set, then it is assumed that the UPF determines the PDU Set Importance value based on pre-configuration.</w:t>
      </w:r>
    </w:p>
    <w:p w14:paraId="55969368" w14:textId="0DA0EB18" w:rsidR="00893B12" w:rsidRPr="00873B6C" w:rsidRDefault="00893B12" w:rsidP="00FA7D5B">
      <w:r w:rsidRPr="00873B6C">
        <w:t>For the uplink direction, the UE may identify PDU Sets</w:t>
      </w:r>
      <w:r w:rsidR="00472CD7" w:rsidRPr="00873B6C">
        <w:t xml:space="preserve"> and</w:t>
      </w:r>
      <w:r w:rsidRPr="00873B6C">
        <w:t xml:space="preserve"> how this is done is left up to UE implementation. The SMF may send</w:t>
      </w:r>
      <w:r w:rsidR="00456BDF" w:rsidRPr="00873B6C">
        <w:t xml:space="preserve"> the UL</w:t>
      </w:r>
      <w:r w:rsidRPr="00873B6C">
        <w:t xml:space="preserve"> Protocol Description associated with the QoS rule to UE.</w:t>
      </w:r>
    </w:p>
    <w:p w14:paraId="0CA1ECCD" w14:textId="0FE59317" w:rsidR="00893B12" w:rsidRPr="00873B6C" w:rsidRDefault="00893B12" w:rsidP="00893B12">
      <w:pPr>
        <w:pStyle w:val="NO"/>
      </w:pPr>
      <w:r w:rsidRPr="00873B6C">
        <w:t>NOTE </w:t>
      </w:r>
      <w:r w:rsidR="00AF2D89" w:rsidRPr="00873B6C">
        <w:t>4</w:t>
      </w:r>
      <w:r w:rsidRPr="00873B6C">
        <w:t>:</w:t>
      </w:r>
      <w:r w:rsidRPr="00873B6C">
        <w:tab/>
        <w:t>Using the Protocol Description or not is left to UE implementation. The use of Protocol Description does not impact QoS Flow Mapping in the UE.</w:t>
      </w:r>
    </w:p>
    <w:p w14:paraId="594C210D" w14:textId="75489AD7" w:rsidR="00FB6BEB" w:rsidRPr="00873B6C" w:rsidRDefault="00FB6BEB" w:rsidP="00FB6BEB">
      <w:r w:rsidRPr="00873B6C">
        <w:t>In this Release, the PDU Set based handling is supported in 5GS for UE registered in 3GPP access for single access PDU Session with IP PDU Session Type.</w:t>
      </w:r>
    </w:p>
    <w:p w14:paraId="37DBD116" w14:textId="2ECF01E9" w:rsidR="00C92133" w:rsidRPr="00873B6C" w:rsidRDefault="00C92133" w:rsidP="00972E70">
      <w:pPr>
        <w:pStyle w:val="Heading4"/>
      </w:pPr>
      <w:bookmarkStart w:id="5151" w:name="_CR5_37_5_2"/>
      <w:bookmarkStart w:id="5152" w:name="_Toc201157664"/>
      <w:bookmarkEnd w:id="5151"/>
      <w:r w:rsidRPr="00873B6C">
        <w:lastRenderedPageBreak/>
        <w:t>5.37.5.2</w:t>
      </w:r>
      <w:r w:rsidRPr="00873B6C">
        <w:tab/>
        <w:t>PDU Set Information and Identification</w:t>
      </w:r>
      <w:bookmarkEnd w:id="5152"/>
    </w:p>
    <w:p w14:paraId="06F10C8B" w14:textId="1830987E" w:rsidR="00C92133" w:rsidRPr="00873B6C" w:rsidRDefault="00C92133" w:rsidP="00C92133">
      <w:r w:rsidRPr="00873B6C">
        <w:t xml:space="preserve">To support PDU Set based handling, the PSA UPF identifies PDUs that belong to </w:t>
      </w:r>
      <w:r w:rsidR="00CA290C" w:rsidRPr="00873B6C">
        <w:t xml:space="preserve">a </w:t>
      </w:r>
      <w:r w:rsidRPr="00873B6C">
        <w:t>PDU Set and determines the below PDU Set Information</w:t>
      </w:r>
      <w:r w:rsidR="00CA290C" w:rsidRPr="00873B6C">
        <w:t xml:space="preserve"> and</w:t>
      </w:r>
      <w:r w:rsidRPr="00873B6C">
        <w:t xml:space="preserve"> sends </w:t>
      </w:r>
      <w:r w:rsidR="00CA290C" w:rsidRPr="00873B6C">
        <w:t xml:space="preserve">it </w:t>
      </w:r>
      <w:r w:rsidRPr="00873B6C">
        <w:t>to the NG-RAN in the GTP-U header. The PDU Set information is used by the NG-RAN for PDU Set based handling as described above.</w:t>
      </w:r>
    </w:p>
    <w:p w14:paraId="687AD1E9" w14:textId="77777777" w:rsidR="00C92133" w:rsidRPr="00873B6C" w:rsidRDefault="00C92133" w:rsidP="00C92133">
      <w:r w:rsidRPr="00873B6C">
        <w:t>The PDU Set Information comprises:</w:t>
      </w:r>
    </w:p>
    <w:p w14:paraId="4AD3D84C" w14:textId="77777777" w:rsidR="00C92133" w:rsidRPr="00873B6C" w:rsidRDefault="00C92133" w:rsidP="00972E70">
      <w:pPr>
        <w:pStyle w:val="B1"/>
      </w:pPr>
      <w:r w:rsidRPr="00873B6C">
        <w:t>-</w:t>
      </w:r>
      <w:r w:rsidRPr="00873B6C">
        <w:tab/>
        <w:t>PDU Set Sequence Number.</w:t>
      </w:r>
    </w:p>
    <w:p w14:paraId="3C1DB0BA" w14:textId="77777777" w:rsidR="00C92133" w:rsidRPr="00873B6C" w:rsidRDefault="00C92133" w:rsidP="00972E70">
      <w:pPr>
        <w:pStyle w:val="B1"/>
      </w:pPr>
      <w:r w:rsidRPr="00873B6C">
        <w:t>-</w:t>
      </w:r>
      <w:r w:rsidRPr="00873B6C">
        <w:tab/>
        <w:t>Indication of End PDU of the PDU Set.</w:t>
      </w:r>
    </w:p>
    <w:p w14:paraId="5A11B698" w14:textId="77777777" w:rsidR="00C92133" w:rsidRPr="00873B6C" w:rsidRDefault="00C92133" w:rsidP="00972E70">
      <w:pPr>
        <w:pStyle w:val="B1"/>
      </w:pPr>
      <w:r w:rsidRPr="00873B6C">
        <w:t>-</w:t>
      </w:r>
      <w:r w:rsidRPr="00873B6C">
        <w:tab/>
        <w:t>PDU Sequence Number within a PDU Set.</w:t>
      </w:r>
    </w:p>
    <w:p w14:paraId="7496DC0D" w14:textId="77777777" w:rsidR="00C92133" w:rsidRPr="00873B6C" w:rsidRDefault="00C92133" w:rsidP="00972E70">
      <w:pPr>
        <w:pStyle w:val="B1"/>
      </w:pPr>
      <w:r w:rsidRPr="00873B6C">
        <w:t>-</w:t>
      </w:r>
      <w:r w:rsidRPr="00873B6C">
        <w:tab/>
        <w:t>PDU Set Size in bytes.</w:t>
      </w:r>
    </w:p>
    <w:p w14:paraId="5A84E212" w14:textId="77777777" w:rsidR="00C92133" w:rsidRPr="00873B6C" w:rsidRDefault="00C92133" w:rsidP="00972E70">
      <w:pPr>
        <w:pStyle w:val="B1"/>
      </w:pPr>
      <w:r w:rsidRPr="00873B6C">
        <w:t>-</w:t>
      </w:r>
      <w:r w:rsidRPr="00873B6C">
        <w:tab/>
        <w:t>PDU Set Importance, which identifies the relative importance of a PDU Set compared to other PDU Sets within a QoS Flow.</w:t>
      </w:r>
    </w:p>
    <w:p w14:paraId="36E1B66A" w14:textId="7F3CA63C" w:rsidR="00C92133" w:rsidRPr="00873B6C" w:rsidRDefault="00C92133" w:rsidP="00C92133">
      <w:r w:rsidRPr="00873B6C">
        <w:t>The NG-RAN may use the</w:t>
      </w:r>
      <w:r w:rsidR="00A51A83" w:rsidRPr="00873B6C">
        <w:t xml:space="preserve"> Priority Level (see clause 5.7.3.3) across QoS Flows and</w:t>
      </w:r>
      <w:r w:rsidRPr="00873B6C">
        <w:t xml:space="preserve"> PDU Set Importance within a QoS Flow for PDU Set level packet discarding in presence of congestion.</w:t>
      </w:r>
    </w:p>
    <w:p w14:paraId="38A026D3" w14:textId="4E2D57FB" w:rsidR="00A51A83" w:rsidRPr="00873B6C" w:rsidRDefault="00A51A83" w:rsidP="00A51A83">
      <w:pPr>
        <w:pStyle w:val="NO"/>
      </w:pPr>
      <w:r w:rsidRPr="00873B6C">
        <w:t>NOTE 1:</w:t>
      </w:r>
      <w:r w:rsidRPr="00873B6C">
        <w:tab/>
        <w:t>In addition to considering the PDU Set Importance within a QoS Flow, NG-RAN could also consider the relative PDU Set Importance across QoS Flows of the same Priority Level when determining which PDU Set needs to be discarded, which is up to implementation and configuration of operator.</w:t>
      </w:r>
    </w:p>
    <w:p w14:paraId="224F4EE4" w14:textId="79882413" w:rsidR="00C92133" w:rsidRPr="00873B6C" w:rsidRDefault="00C92133" w:rsidP="00972E70">
      <w:pPr>
        <w:pStyle w:val="NO"/>
      </w:pPr>
      <w:r w:rsidRPr="00873B6C">
        <w:t>NOTE</w:t>
      </w:r>
      <w:r w:rsidR="00571B2E" w:rsidRPr="00873B6C">
        <w:t> </w:t>
      </w:r>
      <w:r w:rsidR="00A51A83" w:rsidRPr="00873B6C">
        <w:t>2</w:t>
      </w:r>
      <w:r w:rsidRPr="00873B6C">
        <w:t>:</w:t>
      </w:r>
      <w:r w:rsidRPr="00873B6C">
        <w:tab/>
        <w:t>The PDU Set Information can be different for different PDU Sets within a QoS Flow.</w:t>
      </w:r>
    </w:p>
    <w:p w14:paraId="579233DA" w14:textId="04114594" w:rsidR="00C92133" w:rsidRPr="00873B6C" w:rsidRDefault="00AF2D89" w:rsidP="00C92133">
      <w:r w:rsidRPr="00873B6C">
        <w:t>If the NG-RAN has provided a PDU Set based handling support Indication indicating that PDU Set</w:t>
      </w:r>
      <w:r w:rsidR="0036079D">
        <w:t xml:space="preserve"> based</w:t>
      </w:r>
      <w:r w:rsidRPr="00873B6C">
        <w:t xml:space="preserve"> handling is supported and a Protocol Description together with 1) a PSIHI and/or 2) PSDB and PSER is included in the PCC rule, the </w:t>
      </w:r>
      <w:r w:rsidR="00C92133" w:rsidRPr="00873B6C">
        <w:t>SMF instructs PSA UPF to perform PDU Set marking and may provide the PSA UPF the</w:t>
      </w:r>
      <w:r w:rsidR="00456BDF" w:rsidRPr="00873B6C">
        <w:t xml:space="preserve"> DL</w:t>
      </w:r>
      <w:r w:rsidR="00C92133" w:rsidRPr="00873B6C">
        <w:t xml:space="preserve"> Protocol Description used by the service data flow. The</w:t>
      </w:r>
      <w:r w:rsidR="00456BDF" w:rsidRPr="00873B6C">
        <w:t xml:space="preserve"> DL</w:t>
      </w:r>
      <w:r w:rsidR="00C92133" w:rsidRPr="00873B6C">
        <w:t xml:space="preserve"> Protocol Description may be received in the PCC rule, based on information provided by the AF or by PCF local policies as described in clause 5.37.5.1.</w:t>
      </w:r>
    </w:p>
    <w:p w14:paraId="1EDC26C9" w14:textId="12A517CB" w:rsidR="00C92133" w:rsidRPr="00873B6C" w:rsidRDefault="00C92133" w:rsidP="00C92133">
      <w:r w:rsidRPr="00873B6C">
        <w:t xml:space="preserve">PSA UPF can identify the PDU Set </w:t>
      </w:r>
      <w:r w:rsidR="00571B2E" w:rsidRPr="00873B6C">
        <w:t>I</w:t>
      </w:r>
      <w:r w:rsidRPr="00873B6C">
        <w:t>nformation using the</w:t>
      </w:r>
      <w:r w:rsidR="00456BDF" w:rsidRPr="00873B6C">
        <w:t xml:space="preserve"> DL</w:t>
      </w:r>
      <w:r w:rsidRPr="00873B6C">
        <w:t xml:space="preserve"> Protocol Description and the received</w:t>
      </w:r>
      <w:r w:rsidR="00A2272A" w:rsidRPr="00873B6C">
        <w:t xml:space="preserve"> transport protocol headers and payload</w:t>
      </w:r>
      <w:r w:rsidRPr="00873B6C">
        <w:t xml:space="preserve"> or using implementation specific means.</w:t>
      </w:r>
      <w:r w:rsidR="00571B2E" w:rsidRPr="00873B6C">
        <w:t xml:space="preserve"> The details of the RTP/SRTP headers, header extensions and/or payloads used to identify PDU Set Information are defined in TS 26.522 [179].</w:t>
      </w:r>
    </w:p>
    <w:p w14:paraId="75654FE7" w14:textId="1B56E47B" w:rsidR="00C92133" w:rsidRPr="00873B6C" w:rsidRDefault="00C92133" w:rsidP="00C92133">
      <w:r w:rsidRPr="00873B6C">
        <w:t>For each DL PDU received on N6 for which PDU Set based handling is indicated from the SMF, the PSA UPF applies the rules for PDU Set identification and provides</w:t>
      </w:r>
      <w:r w:rsidR="0054077B" w:rsidRPr="00873B6C">
        <w:t xml:space="preserve"> the available</w:t>
      </w:r>
      <w:r w:rsidRPr="00873B6C">
        <w:t xml:space="preserve"> PDU Set Information to the RAN in the GTP-U header.</w:t>
      </w:r>
    </w:p>
    <w:p w14:paraId="061E4784" w14:textId="11FA171C" w:rsidR="00644F65" w:rsidRPr="00873B6C" w:rsidRDefault="00644F65" w:rsidP="00644F65">
      <w:pPr>
        <w:pStyle w:val="NO"/>
      </w:pPr>
      <w:r w:rsidRPr="00873B6C">
        <w:t>NOTE 3:</w:t>
      </w:r>
      <w:r w:rsidRPr="00873B6C">
        <w:tab/>
        <w:t>The PSA UPF is expected to assign a unique PDU Set Sequence Number in the GTP-U header to each PDU Set of the QoS Flow.</w:t>
      </w:r>
    </w:p>
    <w:p w14:paraId="249BC1CA" w14:textId="5761C9EF" w:rsidR="003D25E4" w:rsidRPr="00873B6C" w:rsidRDefault="003D25E4" w:rsidP="003D25E4">
      <w:pPr>
        <w:pStyle w:val="Heading4"/>
      </w:pPr>
      <w:bookmarkStart w:id="5153" w:name="_CR5_37_5_3"/>
      <w:bookmarkStart w:id="5154" w:name="_Toc201157665"/>
      <w:bookmarkEnd w:id="5153"/>
      <w:r w:rsidRPr="00873B6C">
        <w:t>5.37.5.3</w:t>
      </w:r>
      <w:r w:rsidRPr="00873B6C">
        <w:tab/>
        <w:t>Non-homogenous support of PDU set based handling in NG-RAN</w:t>
      </w:r>
      <w:bookmarkEnd w:id="5154"/>
    </w:p>
    <w:p w14:paraId="77FE5DCF" w14:textId="522E28C2" w:rsidR="00591B52" w:rsidRPr="00873B6C" w:rsidRDefault="00AF2D89" w:rsidP="003D25E4">
      <w:r w:rsidRPr="00873B6C">
        <w:t xml:space="preserve">The SMF, by </w:t>
      </w:r>
      <w:r w:rsidR="003D25E4" w:rsidRPr="00873B6C">
        <w:t>sending PDU Set QoS parameter</w:t>
      </w:r>
      <w:r w:rsidRPr="00873B6C">
        <w:t>s</w:t>
      </w:r>
      <w:r w:rsidR="003D25E4" w:rsidRPr="00873B6C">
        <w:t xml:space="preserve"> to the NG-RAN</w:t>
      </w:r>
      <w:r w:rsidRPr="00873B6C">
        <w:t xml:space="preserve"> as described in clause 5.7.7.1</w:t>
      </w:r>
      <w:r w:rsidR="003D25E4" w:rsidRPr="00873B6C">
        <w:t>, requests the NG-RAN to activate PDU Set</w:t>
      </w:r>
      <w:r w:rsidR="0036079D">
        <w:t xml:space="preserve"> based</w:t>
      </w:r>
      <w:r w:rsidR="003D25E4" w:rsidRPr="00873B6C">
        <w:t xml:space="preserve"> QoS handling for a given QoS </w:t>
      </w:r>
      <w:r w:rsidR="00516747" w:rsidRPr="00873B6C">
        <w:t>F</w:t>
      </w:r>
      <w:r w:rsidR="003D25E4" w:rsidRPr="00873B6C">
        <w:t>low and the NG-RAN provides the SMF with</w:t>
      </w:r>
      <w:r w:rsidR="00516747" w:rsidRPr="00873B6C">
        <w:t xml:space="preserve"> a PDU Set Based Handling Support Indication if</w:t>
      </w:r>
      <w:r w:rsidR="003D25E4" w:rsidRPr="00873B6C">
        <w:t xml:space="preserve"> the PDU Set</w:t>
      </w:r>
      <w:r w:rsidR="00591B52" w:rsidRPr="00873B6C">
        <w:t xml:space="preserve"> based handling is supported. Based on this</w:t>
      </w:r>
      <w:r w:rsidR="0054077B" w:rsidRPr="00873B6C">
        <w:t xml:space="preserve"> indication</w:t>
      </w:r>
      <w:r w:rsidR="00591B52" w:rsidRPr="00873B6C">
        <w:t>, SMF may activate the PDU Set identification and marking in the PSA UPF.</w:t>
      </w:r>
    </w:p>
    <w:p w14:paraId="2EC472B0" w14:textId="4D9C18DB" w:rsidR="003D25E4" w:rsidRPr="00873B6C" w:rsidRDefault="00516747" w:rsidP="003D25E4">
      <w:r w:rsidRPr="00873B6C">
        <w:t xml:space="preserve">During </w:t>
      </w:r>
      <w:r w:rsidR="00FB6BEB" w:rsidRPr="00873B6C">
        <w:t xml:space="preserve">mobility procedures that result in the change of NG-RAN, </w:t>
      </w:r>
      <w:r w:rsidR="003D25E4" w:rsidRPr="00873B6C">
        <w:t>the target NG-RAN provides to the SMF</w:t>
      </w:r>
      <w:r w:rsidRPr="00873B6C">
        <w:t xml:space="preserve"> a PDU Set Based Handling Support Indication if it </w:t>
      </w:r>
      <w:r w:rsidR="003D25E4" w:rsidRPr="00873B6C">
        <w:t>supports PDU Set based handling, as specified in TS 38.413 [34]. Based on the</w:t>
      </w:r>
      <w:r w:rsidR="00FB6BEB" w:rsidRPr="00873B6C">
        <w:t xml:space="preserve"> target</w:t>
      </w:r>
      <w:r w:rsidR="003D25E4" w:rsidRPr="00873B6C">
        <w:t xml:space="preserve"> NG-RAN indication, the SMF</w:t>
      </w:r>
      <w:r w:rsidR="00591B52" w:rsidRPr="00873B6C">
        <w:t xml:space="preserve"> may, upon completion of the </w:t>
      </w:r>
      <w:r w:rsidR="00FB6BEB" w:rsidRPr="00873B6C">
        <w:t xml:space="preserve">mobility </w:t>
      </w:r>
      <w:r w:rsidR="00591B52" w:rsidRPr="00873B6C">
        <w:t>procedure, initiate the PDU Session modification procedure to provide PDU Set QoS parameters to NG-RAN and</w:t>
      </w:r>
      <w:r w:rsidR="0054077B" w:rsidRPr="00873B6C">
        <w:t xml:space="preserve"> may</w:t>
      </w:r>
      <w:r w:rsidR="003D25E4" w:rsidRPr="00873B6C">
        <w:t xml:space="preserve"> configure the PSA UPF to activate the PDU Set identification and marking.</w:t>
      </w:r>
      <w:r w:rsidRPr="00873B6C">
        <w:t xml:space="preserve"> If the PDU Set Based Handling Support Indication is not received from the target NG-RAN and PDU Set identification and marking is active in the PSA UPF, the SMF may deactivate it.</w:t>
      </w:r>
    </w:p>
    <w:p w14:paraId="146B32F7" w14:textId="59BA82B3" w:rsidR="003D25E4" w:rsidRPr="00873B6C" w:rsidRDefault="003D25E4" w:rsidP="003D25E4">
      <w:r w:rsidRPr="00873B6C">
        <w:t>In the case where the PSA UPF identifies and marks PDUs with PDU Set information in GTP-U header</w:t>
      </w:r>
      <w:r w:rsidR="0054077B" w:rsidRPr="00873B6C">
        <w:t>,</w:t>
      </w:r>
      <w:r w:rsidRPr="00873B6C">
        <w:t xml:space="preserve"> it shall start doing so from a complete PDU Set.</w:t>
      </w:r>
    </w:p>
    <w:p w14:paraId="40328FFB" w14:textId="460E107F" w:rsidR="009E78C1" w:rsidRPr="00873B6C" w:rsidRDefault="009E78C1" w:rsidP="009E78C1">
      <w:pPr>
        <w:pStyle w:val="Heading3"/>
      </w:pPr>
      <w:bookmarkStart w:id="5155" w:name="_CR5_37_6"/>
      <w:bookmarkStart w:id="5156" w:name="_Toc201157666"/>
      <w:bookmarkEnd w:id="5155"/>
      <w:r w:rsidRPr="00873B6C">
        <w:lastRenderedPageBreak/>
        <w:t>5.37.</w:t>
      </w:r>
      <w:r w:rsidR="00B17714" w:rsidRPr="00873B6C">
        <w:t>6</w:t>
      </w:r>
      <w:r w:rsidRPr="00873B6C">
        <w:tab/>
        <w:t>UL/DL policy control based on round-trip latency requirement</w:t>
      </w:r>
      <w:bookmarkEnd w:id="5156"/>
    </w:p>
    <w:p w14:paraId="3008737E" w14:textId="02C63C7A" w:rsidR="009E78C1" w:rsidRPr="00873B6C" w:rsidRDefault="009E78C1" w:rsidP="009E78C1">
      <w:r w:rsidRPr="00873B6C">
        <w:t>For XR and other interactive media services that require very low Round-Trip (RT) latency, Uplink-Downlink</w:t>
      </w:r>
      <w:r w:rsidR="007D1AB8" w:rsidRPr="00873B6C">
        <w:t xml:space="preserve"> policy control may be</w:t>
      </w:r>
      <w:r w:rsidRPr="00873B6C">
        <w:t xml:space="preserve"> supported to meet the RT latency requirement. RT latency requirement is the upper bound for the sum of UL delay and DL delay of a</w:t>
      </w:r>
      <w:r w:rsidR="009F0D6B" w:rsidRPr="00873B6C">
        <w:t xml:space="preserve"> single</w:t>
      </w:r>
      <w:r w:rsidR="008D6138">
        <w:t xml:space="preserve"> service</w:t>
      </w:r>
      <w:r w:rsidRPr="00873B6C">
        <w:t xml:space="preserve"> data flow</w:t>
      </w:r>
      <w:r w:rsidR="009F0D6B" w:rsidRPr="00873B6C">
        <w:t xml:space="preserve"> or two different</w:t>
      </w:r>
      <w:r w:rsidR="008D6138">
        <w:t xml:space="preserve"> service</w:t>
      </w:r>
      <w:r w:rsidR="009F0D6B" w:rsidRPr="00873B6C">
        <w:t xml:space="preserve"> data flows</w:t>
      </w:r>
      <w:r w:rsidRPr="00873B6C">
        <w:t xml:space="preserve"> between UE and N6 termination point at the UPF. PCF may support Uplink-Downlink</w:t>
      </w:r>
      <w:r w:rsidR="007D1AB8" w:rsidRPr="00873B6C">
        <w:t xml:space="preserve"> policy control based on</w:t>
      </w:r>
      <w:r w:rsidRPr="00873B6C">
        <w:t xml:space="preserve"> RT latency requirement based on an RT latency indication from AF</w:t>
      </w:r>
      <w:r w:rsidR="009F0D6B" w:rsidRPr="00873B6C">
        <w:t xml:space="preserve"> (as defined in clause 6.1.3.27.2 of TS 23.503 [45])</w:t>
      </w:r>
      <w:r w:rsidRPr="00873B6C">
        <w:t xml:space="preserve"> during the AF session with the required QoS procedure as defined in clause 4.15.6.6 of </w:t>
      </w:r>
      <w:r w:rsidR="00972E70" w:rsidRPr="00873B6C">
        <w:t>TS 23.502 [</w:t>
      </w:r>
      <w:r w:rsidRPr="00873B6C">
        <w:t>3].</w:t>
      </w:r>
    </w:p>
    <w:p w14:paraId="3564AAEA" w14:textId="684B11FA" w:rsidR="009E78C1" w:rsidRPr="00873B6C" w:rsidRDefault="009E78C1" w:rsidP="009E78C1">
      <w:r w:rsidRPr="00873B6C">
        <w:t>The AF can provide an RT latency indication with a single direction delay requirement between the UE and the PSA UPF expressed as the QoS Reference parameter or individual QoS parameter</w:t>
      </w:r>
      <w:r w:rsidR="007D1AB8" w:rsidRPr="00873B6C">
        <w:t>s</w:t>
      </w:r>
      <w:r w:rsidRPr="00873B6C">
        <w:t xml:space="preserve"> (as defined in clause 6.1.3.22 of </w:t>
      </w:r>
      <w:r w:rsidR="00972E70" w:rsidRPr="00873B6C">
        <w:t>TS 23.503 [</w:t>
      </w:r>
      <w:r w:rsidRPr="00873B6C">
        <w:t>45]). The RT latency indication indicates the need to meet the RT latency requirement</w:t>
      </w:r>
      <w:r w:rsidR="007D1AB8" w:rsidRPr="00873B6C">
        <w:t xml:space="preserve"> for</w:t>
      </w:r>
      <w:r w:rsidR="008D6138">
        <w:t xml:space="preserve"> the service</w:t>
      </w:r>
      <w:r w:rsidR="007D1AB8" w:rsidRPr="00873B6C">
        <w:t xml:space="preserve"> data flow</w:t>
      </w:r>
      <w:r w:rsidRPr="00873B6C">
        <w:t>,</w:t>
      </w:r>
      <w:r w:rsidR="007D1AB8" w:rsidRPr="00873B6C">
        <w:t xml:space="preserve"> i.e.</w:t>
      </w:r>
      <w:r w:rsidRPr="00873B6C">
        <w:t xml:space="preserve"> doubling of the single direction delay requirement between the UE and the PSA UPF expressed by the QoS Reference parameter or individual QoS parameter.</w:t>
      </w:r>
    </w:p>
    <w:p w14:paraId="475DCAF1" w14:textId="457AF6F3" w:rsidR="007D1AB8" w:rsidRPr="00873B6C" w:rsidRDefault="009E78C1" w:rsidP="009E78C1">
      <w:r w:rsidRPr="00873B6C">
        <w:t>PCF determines the</w:t>
      </w:r>
      <w:r w:rsidR="008D6138">
        <w:t xml:space="preserve"> service</w:t>
      </w:r>
      <w:r w:rsidRPr="00873B6C">
        <w:t xml:space="preserve"> data flow's UL PDB and DL PDB based on the RT latency requirement. The UL PDB and DL PDB can be unequal, but their sum shall not exceed the RT latency requirement. The PCF shall generate two PCC rules</w:t>
      </w:r>
      <w:r w:rsidR="007D1AB8" w:rsidRPr="00873B6C">
        <w:t>, one for UL QoS flow for UL traffic of the</w:t>
      </w:r>
      <w:r w:rsidR="008D6138">
        <w:t xml:space="preserve"> service</w:t>
      </w:r>
      <w:r w:rsidR="007D1AB8" w:rsidRPr="00873B6C">
        <w:t xml:space="preserve"> data flow and one for DL QoS flow for DL traffic of the</w:t>
      </w:r>
      <w:r w:rsidR="008D6138">
        <w:t xml:space="preserve"> service</w:t>
      </w:r>
      <w:r w:rsidR="007D1AB8" w:rsidRPr="00873B6C">
        <w:t xml:space="preserve"> data flow, respectively. PCF shall assign the 5QIs for each of these two PCC rules according to the derived UL PDB and DL PDB.</w:t>
      </w:r>
    </w:p>
    <w:p w14:paraId="49016A7E" w14:textId="68D61FF1" w:rsidR="009E78C1" w:rsidRPr="00873B6C" w:rsidRDefault="009E78C1" w:rsidP="009E78C1">
      <w:r w:rsidRPr="00873B6C">
        <w:t xml:space="preserve">To support UL and DL delay tracking, the QoS monitoring for UL packet delay and the DL packet delay (as defined in clause 6.1.3.21 of </w:t>
      </w:r>
      <w:r w:rsidR="00972E70" w:rsidRPr="00873B6C">
        <w:t>TS 23.503 [</w:t>
      </w:r>
      <w:r w:rsidRPr="00873B6C">
        <w:t xml:space="preserve">45]) shall be triggered respectively to request tracking the UL packet delay of the QoS flow used in UL and DL packet delay of the QoS flow used in DL independently. Based on the QoS monitoring results, the PCF may </w:t>
      </w:r>
      <w:r w:rsidR="007D1AB8" w:rsidRPr="00873B6C">
        <w:t>re</w:t>
      </w:r>
      <w:r w:rsidRPr="00873B6C">
        <w:t>adjust the UL PDB and/or DL PDB under the consideration of the RT latency requirement to better fit the new situation.</w:t>
      </w:r>
    </w:p>
    <w:p w14:paraId="79C63CBB" w14:textId="130CEADC" w:rsidR="009F0D6B" w:rsidRPr="00873B6C" w:rsidRDefault="009F0D6B" w:rsidP="00FA7D5B">
      <w:r w:rsidRPr="00873B6C">
        <w:t>The Uplink-Downlink policy control based on round-trip latency requirement for two unidirectional service data flows is described in clause 6.1.3.27.2 of TS 23.503 [45].</w:t>
      </w:r>
    </w:p>
    <w:p w14:paraId="64FFCBB6" w14:textId="62D75434" w:rsidR="009E78C1" w:rsidRPr="00873B6C" w:rsidRDefault="009E78C1" w:rsidP="00972E70">
      <w:pPr>
        <w:pStyle w:val="NO"/>
      </w:pPr>
      <w:r w:rsidRPr="00873B6C">
        <w:t>NOTE:</w:t>
      </w:r>
      <w:r w:rsidRPr="00873B6C">
        <w:tab/>
        <w:t>How the PCF derives the round-trip latency and takes policy decisions is up to</w:t>
      </w:r>
      <w:r w:rsidR="007D1AB8" w:rsidRPr="00873B6C">
        <w:t xml:space="preserve"> the</w:t>
      </w:r>
      <w:r w:rsidRPr="00873B6C">
        <w:t xml:space="preserve"> implementation.</w:t>
      </w:r>
    </w:p>
    <w:p w14:paraId="58DC8BB5" w14:textId="16EB562E" w:rsidR="00C92133" w:rsidRPr="00873B6C" w:rsidRDefault="00C92133" w:rsidP="00C92133">
      <w:pPr>
        <w:pStyle w:val="Heading3"/>
      </w:pPr>
      <w:bookmarkStart w:id="5157" w:name="_CR5_37_7"/>
      <w:bookmarkStart w:id="5158" w:name="_Toc201157667"/>
      <w:bookmarkEnd w:id="5157"/>
      <w:r w:rsidRPr="00873B6C">
        <w:t>5.37.7</w:t>
      </w:r>
      <w:r w:rsidRPr="00873B6C">
        <w:tab/>
        <w:t>5GS Packet Delay Variation monitoring and reporting</w:t>
      </w:r>
      <w:bookmarkEnd w:id="5158"/>
    </w:p>
    <w:p w14:paraId="1FE88AE1" w14:textId="32964FF1" w:rsidR="00C92133" w:rsidRPr="00873B6C" w:rsidRDefault="00C92133" w:rsidP="00972E70">
      <w:pPr>
        <w:pStyle w:val="Heading4"/>
      </w:pPr>
      <w:bookmarkStart w:id="5159" w:name="_CR5_37_7_1"/>
      <w:bookmarkStart w:id="5160" w:name="_Toc201157668"/>
      <w:bookmarkEnd w:id="5159"/>
      <w:r w:rsidRPr="00873B6C">
        <w:t>5.37.7.1</w:t>
      </w:r>
      <w:r w:rsidRPr="00873B6C">
        <w:tab/>
        <w:t>General</w:t>
      </w:r>
      <w:bookmarkEnd w:id="5160"/>
    </w:p>
    <w:p w14:paraId="37249156" w14:textId="78726B69" w:rsidR="00C92133" w:rsidRPr="00873B6C" w:rsidRDefault="00C92133" w:rsidP="00C92133">
      <w:r w:rsidRPr="00873B6C">
        <w:t>The 5GS Packet Delay Variation is the variation of packet delay measured between UE and PSA UPF. The AF may send the requirement for Packet Delay Variation monitoring to 5GS together with the requirement for packet delay measurement, as described in clause 6.1.3.2</w:t>
      </w:r>
      <w:r w:rsidR="00494FD0" w:rsidRPr="00873B6C">
        <w:t>6</w:t>
      </w:r>
      <w:r w:rsidRPr="00873B6C">
        <w:t xml:space="preserve"> of </w:t>
      </w:r>
      <w:r w:rsidR="00972E70" w:rsidRPr="00873B6C">
        <w:t>TS 23.503 [45</w:t>
      </w:r>
      <w:r w:rsidRPr="00873B6C">
        <w:t>].</w:t>
      </w:r>
    </w:p>
    <w:p w14:paraId="10E8618B" w14:textId="345589DA" w:rsidR="00C92133" w:rsidRPr="00873B6C" w:rsidRDefault="00C92133" w:rsidP="00C92133">
      <w:r w:rsidRPr="00873B6C">
        <w:t>Upon AF request for Packet Delay Variation monitoring</w:t>
      </w:r>
      <w:r w:rsidR="002506F3" w:rsidRPr="00873B6C">
        <w:t xml:space="preserve"> together with packet delay monitoring</w:t>
      </w:r>
      <w:r w:rsidRPr="00873B6C">
        <w:t>, the PCF triggers the QoS monitoring procedure</w:t>
      </w:r>
      <w:r w:rsidR="00472CD7" w:rsidRPr="00873B6C">
        <w:t xml:space="preserve"> and</w:t>
      </w:r>
      <w:r w:rsidRPr="00873B6C">
        <w:t xml:space="preserve"> </w:t>
      </w:r>
      <w:r w:rsidR="00494FD0" w:rsidRPr="00873B6C">
        <w:t xml:space="preserve">obtains </w:t>
      </w:r>
      <w:r w:rsidRPr="00873B6C">
        <w:t xml:space="preserve">the UL, DL or RT QoS Monitoring result from the SMF. </w:t>
      </w:r>
      <w:r w:rsidR="00494FD0" w:rsidRPr="00873B6C">
        <w:t xml:space="preserve">After receiving the QoS Monitoring result, the </w:t>
      </w:r>
      <w:r w:rsidRPr="00873B6C">
        <w:t>PCF derives the 5GS Packet Delay Variation based on the QoS Monitoring result and then reports to the AF/NEF both packet delay measurements and Packet Delay Variation.</w:t>
      </w:r>
    </w:p>
    <w:p w14:paraId="6376104C" w14:textId="7E3F3C0F" w:rsidR="00494FD0" w:rsidRPr="00873B6C" w:rsidRDefault="00494FD0" w:rsidP="00745A3E">
      <w:r w:rsidRPr="00873B6C">
        <w:t>The details of the QoS Monitoring and QoS Monitoring for packet delay are described in clauses 5.45 and 5.33.3.</w:t>
      </w:r>
    </w:p>
    <w:p w14:paraId="3DF2C80B" w14:textId="23392CBD" w:rsidR="00C92133" w:rsidRPr="00873B6C" w:rsidRDefault="00C92133" w:rsidP="00972E70">
      <w:pPr>
        <w:pStyle w:val="NO"/>
      </w:pPr>
      <w:r w:rsidRPr="00873B6C">
        <w:t>NOTE:</w:t>
      </w:r>
      <w:r w:rsidRPr="00873B6C">
        <w:tab/>
        <w:t>The derivation of 5GS Packet Delay Variation by PCF, based on QoS Monitoring, is implementation dependent. The Packet Delay Variation calculation method needs to be the same within the PLMN, based on operator policy.</w:t>
      </w:r>
    </w:p>
    <w:p w14:paraId="15BCF8CC" w14:textId="3EF43ED6" w:rsidR="002506F3" w:rsidRPr="00873B6C" w:rsidRDefault="002506F3" w:rsidP="005A13C0">
      <w:r w:rsidRPr="00873B6C">
        <w:t>QoS Monitoring is used to obtain measurement of QoS parameters of individual QoS Flows. PCF determines the measurements required based on input from AF and enables the measurements by generating an authorized QoS Monitoring Policy for the PCC Rule as specified in clause 6.1.3.21 of TS 23.503 [45].</w:t>
      </w:r>
    </w:p>
    <w:p w14:paraId="77411FFA" w14:textId="67FFBE1E" w:rsidR="00C92133" w:rsidRPr="00873B6C" w:rsidRDefault="00C92133" w:rsidP="00972E70">
      <w:pPr>
        <w:pStyle w:val="Heading3"/>
      </w:pPr>
      <w:bookmarkStart w:id="5161" w:name="_CR5_37_8"/>
      <w:bookmarkStart w:id="5162" w:name="_Toc201157669"/>
      <w:bookmarkEnd w:id="5161"/>
      <w:r w:rsidRPr="00873B6C">
        <w:t>5.37.8</w:t>
      </w:r>
      <w:r w:rsidRPr="00873B6C">
        <w:tab/>
        <w:t>UE power saving management</w:t>
      </w:r>
      <w:bookmarkEnd w:id="5162"/>
    </w:p>
    <w:p w14:paraId="1874BFF2" w14:textId="055087D3" w:rsidR="00C92133" w:rsidRPr="00873B6C" w:rsidRDefault="00C92133" w:rsidP="00972E70">
      <w:pPr>
        <w:pStyle w:val="Heading4"/>
      </w:pPr>
      <w:bookmarkStart w:id="5163" w:name="_CR5_37_8_1"/>
      <w:bookmarkStart w:id="5164" w:name="_Toc201157670"/>
      <w:bookmarkEnd w:id="5163"/>
      <w:r w:rsidRPr="00873B6C">
        <w:t>5.37.8.1</w:t>
      </w:r>
      <w:r w:rsidRPr="00873B6C">
        <w:tab/>
        <w:t>General</w:t>
      </w:r>
      <w:bookmarkEnd w:id="5164"/>
    </w:p>
    <w:p w14:paraId="51F476B6" w14:textId="71189DD4" w:rsidR="00C92133" w:rsidRPr="00873B6C" w:rsidRDefault="00C92133" w:rsidP="00C92133">
      <w:r w:rsidRPr="00873B6C">
        <w:t>The following traffic assistance information may be provided by the CN to NG</w:t>
      </w:r>
      <w:r w:rsidR="00354C8E" w:rsidRPr="00873B6C">
        <w:t>-</w:t>
      </w:r>
      <w:r w:rsidRPr="00873B6C">
        <w:t>RAN in order to configure UE power saving management scheme for connected mode DRX:</w:t>
      </w:r>
    </w:p>
    <w:p w14:paraId="2A7B0F1E" w14:textId="77777777" w:rsidR="00C92133" w:rsidRPr="00873B6C" w:rsidRDefault="00C92133" w:rsidP="00972E70">
      <w:pPr>
        <w:pStyle w:val="B1"/>
      </w:pPr>
      <w:r w:rsidRPr="00873B6C">
        <w:lastRenderedPageBreak/>
        <w:t>-</w:t>
      </w:r>
      <w:r w:rsidRPr="00873B6C">
        <w:tab/>
        <w:t>UL and/or DL Periodicity;</w:t>
      </w:r>
    </w:p>
    <w:p w14:paraId="4DFFB40F" w14:textId="77777777" w:rsidR="00C92133" w:rsidRPr="00873B6C" w:rsidRDefault="00C92133" w:rsidP="00972E70">
      <w:pPr>
        <w:pStyle w:val="B1"/>
      </w:pPr>
      <w:r w:rsidRPr="00873B6C">
        <w:t>-</w:t>
      </w:r>
      <w:r w:rsidRPr="00873B6C">
        <w:tab/>
        <w:t>N6 Jitter Information associated with the DL Periodicity;</w:t>
      </w:r>
    </w:p>
    <w:p w14:paraId="65AB8C32" w14:textId="77777777" w:rsidR="00C92133" w:rsidRPr="00873B6C" w:rsidRDefault="00C92133" w:rsidP="00972E70">
      <w:pPr>
        <w:pStyle w:val="B1"/>
      </w:pPr>
      <w:r w:rsidRPr="00873B6C">
        <w:t>-</w:t>
      </w:r>
      <w:r w:rsidRPr="00873B6C">
        <w:tab/>
        <w:t>Indication of End of Data Burst.</w:t>
      </w:r>
    </w:p>
    <w:p w14:paraId="27404112" w14:textId="01A47633" w:rsidR="00A13197" w:rsidRPr="00873B6C" w:rsidRDefault="00A13197" w:rsidP="005A13C0">
      <w:r w:rsidRPr="00873B6C">
        <w:t>The UL and/or DL Periodicity and N6 Jitter Information associated with the DL Periodicity are provided by the CN to NG RAN via TSCAI.</w:t>
      </w:r>
    </w:p>
    <w:p w14:paraId="012E57D3" w14:textId="5716F84B" w:rsidR="00C92133" w:rsidRPr="00873B6C" w:rsidRDefault="00C92133" w:rsidP="00972E70">
      <w:pPr>
        <w:pStyle w:val="Heading4"/>
      </w:pPr>
      <w:bookmarkStart w:id="5165" w:name="_CR5_37_8_2"/>
      <w:bookmarkStart w:id="5166" w:name="_Toc201157671"/>
      <w:bookmarkEnd w:id="5165"/>
      <w:r w:rsidRPr="00873B6C">
        <w:t>5.37.8.2</w:t>
      </w:r>
      <w:r w:rsidRPr="00873B6C">
        <w:tab/>
        <w:t>Periodicity and N6 Jitter Information associated with Periodicity</w:t>
      </w:r>
      <w:bookmarkEnd w:id="5166"/>
    </w:p>
    <w:p w14:paraId="69EBDE37" w14:textId="283494DD" w:rsidR="00C92133" w:rsidRPr="00873B6C" w:rsidRDefault="00354C8E" w:rsidP="00C92133">
      <w:r w:rsidRPr="00873B6C">
        <w:t xml:space="preserve">In the procedures for setting up or updating an AF session </w:t>
      </w:r>
      <w:r w:rsidR="00C92133" w:rsidRPr="00873B6C">
        <w:t>with QoS, the 5G System may be provided with</w:t>
      </w:r>
      <w:r w:rsidR="00E26BE3" w:rsidRPr="00873B6C">
        <w:t xml:space="preserve"> UL/DL</w:t>
      </w:r>
      <w:r w:rsidR="00C92133" w:rsidRPr="00873B6C">
        <w:t xml:space="preserve"> Periodicity information for NG</w:t>
      </w:r>
      <w:r w:rsidRPr="00873B6C">
        <w:t>-</w:t>
      </w:r>
      <w:r w:rsidR="00C92133" w:rsidRPr="00873B6C">
        <w:t>RAN to configure UE power management for connected mode DRX. The</w:t>
      </w:r>
      <w:r w:rsidR="00E26BE3" w:rsidRPr="00873B6C">
        <w:t xml:space="preserve"> UL/DL</w:t>
      </w:r>
      <w:r w:rsidR="00C92133" w:rsidRPr="00873B6C">
        <w:t xml:space="preserve"> Periodicity information is provided by the AF to the PCF via NEF or directly to the PCF when the AF is trusted.</w:t>
      </w:r>
    </w:p>
    <w:p w14:paraId="49331FE4" w14:textId="7F77522A" w:rsidR="00500903" w:rsidRPr="00873B6C" w:rsidRDefault="00500903" w:rsidP="00500903">
      <w:pPr>
        <w:pStyle w:val="NO"/>
      </w:pPr>
      <w:r w:rsidRPr="00873B6C">
        <w:t>NOTE 1:</w:t>
      </w:r>
      <w:r w:rsidRPr="00873B6C">
        <w:tab/>
        <w:t>AF can provide the updated periodicity and 5G system can provide the updated UL/DL periodicity to NG-RAN.</w:t>
      </w:r>
    </w:p>
    <w:p w14:paraId="3276DAA2" w14:textId="7943B917" w:rsidR="00354C8E" w:rsidRPr="00873B6C" w:rsidRDefault="00354C8E" w:rsidP="00354C8E">
      <w:r w:rsidRPr="00873B6C">
        <w:t>If</w:t>
      </w:r>
      <w:r w:rsidR="00E26BE3" w:rsidRPr="00873B6C">
        <w:t xml:space="preserve"> UL/DL</w:t>
      </w:r>
      <w:r w:rsidRPr="00873B6C">
        <w:t xml:space="preserve"> Periodicity information is available at the PCF, the PCF sends the Periodicity information received from the AF/NEF to the SMF</w:t>
      </w:r>
      <w:r w:rsidR="00E26BE3" w:rsidRPr="00873B6C">
        <w:t>. In</w:t>
      </w:r>
      <w:r w:rsidRPr="00873B6C">
        <w:t xml:space="preserve"> accordance with the operator's local policies,</w:t>
      </w:r>
      <w:r w:rsidR="00E26BE3" w:rsidRPr="00873B6C">
        <w:t xml:space="preserve"> the PCF may</w:t>
      </w:r>
      <w:r w:rsidRPr="00873B6C">
        <w:t xml:space="preserve"> include an indication for SMF to request the UPF to perform N6 Traffic Parameter(s) measurement (i.e. N6 </w:t>
      </w:r>
      <w:r w:rsidR="00E26BE3" w:rsidRPr="00873B6C">
        <w:t>J</w:t>
      </w:r>
      <w:r w:rsidRPr="00873B6C">
        <w:t>itter</w:t>
      </w:r>
      <w:r w:rsidR="00E26BE3" w:rsidRPr="00873B6C">
        <w:t xml:space="preserve"> Information associated with the DL Periodicity</w:t>
      </w:r>
      <w:r w:rsidRPr="00873B6C">
        <w:t xml:space="preserve"> and if not provided by the AF, UL/DL periodicity) within the PCC Rules.</w:t>
      </w:r>
    </w:p>
    <w:p w14:paraId="230A2A57" w14:textId="4FFF6A6E" w:rsidR="00354C8E" w:rsidRPr="00873B6C" w:rsidRDefault="00354C8E" w:rsidP="00C92133">
      <w:r w:rsidRPr="00873B6C">
        <w:t>Upon reception of a PCC rule with Periodicity information, the SMF determines the TSCAI and forwards it to the NG-RAN. If the PCC rule indicates to perform N6 Traffic Parameter measurements, the SMF shall request the UPF to monitor and periodically</w:t>
      </w:r>
      <w:r w:rsidR="00500903" w:rsidRPr="00873B6C">
        <w:t xml:space="preserve"> or event-triggered</w:t>
      </w:r>
      <w:r w:rsidRPr="00873B6C">
        <w:t xml:space="preserve"> report the N6 Traffic Parameters (i.e. the N6 </w:t>
      </w:r>
      <w:r w:rsidR="00E26BE3" w:rsidRPr="00873B6C">
        <w:t>J</w:t>
      </w:r>
      <w:r w:rsidRPr="00873B6C">
        <w:t xml:space="preserve">itter </w:t>
      </w:r>
      <w:r w:rsidR="00E26BE3" w:rsidRPr="00873B6C">
        <w:t xml:space="preserve">Information </w:t>
      </w:r>
      <w:r w:rsidRPr="00873B6C">
        <w:t xml:space="preserve">associated with the DL Periodicity and, if not provided by the AF, UL/DL periodicity) using the N4 Session Modification procedure, see clause 5.8.5.11. If the measurement of N6 </w:t>
      </w:r>
      <w:r w:rsidR="00E26BE3" w:rsidRPr="00873B6C">
        <w:t>J</w:t>
      </w:r>
      <w:r w:rsidRPr="00873B6C">
        <w:t>itter</w:t>
      </w:r>
      <w:r w:rsidR="00E26BE3" w:rsidRPr="00873B6C">
        <w:t xml:space="preserve"> Information</w:t>
      </w:r>
      <w:r w:rsidRPr="00873B6C">
        <w:t xml:space="preserve"> associated with the DL Periodicity is required and the DL Periodicity is available at the SMF, the SMF also sends the DL Periodicity to the UPF. The UPF reports the measured N6 Traffic Parameters to SMF via N4 interface.</w:t>
      </w:r>
    </w:p>
    <w:p w14:paraId="57F2E129" w14:textId="240B4229" w:rsidR="00354C8E" w:rsidRPr="00873B6C" w:rsidRDefault="00354C8E" w:rsidP="00972E70">
      <w:pPr>
        <w:pStyle w:val="NO"/>
      </w:pPr>
      <w:r w:rsidRPr="00873B6C">
        <w:t>NOTE </w:t>
      </w:r>
      <w:r w:rsidR="00500903" w:rsidRPr="00873B6C">
        <w:t>2</w:t>
      </w:r>
      <w:r w:rsidRPr="00873B6C">
        <w:t>:</w:t>
      </w:r>
      <w:r w:rsidRPr="00873B6C">
        <w:tab/>
        <w:t>How the UPF derives the N6 jitter and periodicity (i.e. when periodicity is not provided by the AF) is implementation dependent.</w:t>
      </w:r>
    </w:p>
    <w:p w14:paraId="135A499A" w14:textId="5972AF57" w:rsidR="00354C8E" w:rsidRPr="00873B6C" w:rsidRDefault="00354C8E" w:rsidP="00C92133">
      <w:r w:rsidRPr="00873B6C">
        <w:t xml:space="preserve">At reception of measured N6 Traffic Parameter(s) from the UPF in the N4 Session Level Report, the SMF includes the N6 </w:t>
      </w:r>
      <w:r w:rsidR="00E26BE3" w:rsidRPr="00873B6C">
        <w:t>J</w:t>
      </w:r>
      <w:r w:rsidRPr="00873B6C">
        <w:t xml:space="preserve">itter </w:t>
      </w:r>
      <w:r w:rsidR="00E26BE3" w:rsidRPr="00873B6C">
        <w:t xml:space="preserve">Information associated with the DL Periodicity </w:t>
      </w:r>
      <w:r w:rsidRPr="00873B6C">
        <w:t>together with the DL periodicity and the UL periodicity if not provided by the AF in the TSCAI and forwards it to the NG-RAN in an NGAP message, see clause 5.27.2.</w:t>
      </w:r>
    </w:p>
    <w:p w14:paraId="2A2AD3FD" w14:textId="5EF5ED58" w:rsidR="00C92133" w:rsidRPr="00873B6C" w:rsidRDefault="00C92133" w:rsidP="00972E70">
      <w:pPr>
        <w:pStyle w:val="NO"/>
      </w:pPr>
      <w:r w:rsidRPr="00873B6C">
        <w:t>NOTE </w:t>
      </w:r>
      <w:r w:rsidR="00500903" w:rsidRPr="00873B6C">
        <w:t>3</w:t>
      </w:r>
      <w:r w:rsidRPr="00873B6C">
        <w:t>:</w:t>
      </w:r>
      <w:r w:rsidRPr="00873B6C">
        <w:tab/>
        <w:t>In order to prevent frequent updates from the UPF, the UPF sends the N6 Jitter Measurement Report periodically or only when the</w:t>
      </w:r>
      <w:r w:rsidR="00354C8E" w:rsidRPr="00873B6C">
        <w:t xml:space="preserve"> N6</w:t>
      </w:r>
      <w:r w:rsidRPr="00873B6C">
        <w:t xml:space="preserve"> jitter is larger than a threshold.</w:t>
      </w:r>
    </w:p>
    <w:p w14:paraId="31EBB938" w14:textId="2557FB8D" w:rsidR="00354C8E" w:rsidRPr="00873B6C" w:rsidRDefault="00354C8E" w:rsidP="00354C8E">
      <w:r w:rsidRPr="00873B6C">
        <w:t xml:space="preserve">The N6 </w:t>
      </w:r>
      <w:r w:rsidR="00E26BE3" w:rsidRPr="00873B6C">
        <w:t>J</w:t>
      </w:r>
      <w:r w:rsidRPr="00873B6C">
        <w:t>itter</w:t>
      </w:r>
      <w:r w:rsidR="00E26BE3" w:rsidRPr="00873B6C">
        <w:t xml:space="preserve"> Information associated with the DL Periodicity</w:t>
      </w:r>
      <w:r w:rsidRPr="00873B6C">
        <w:t xml:space="preserve"> indicates the</w:t>
      </w:r>
      <w:r w:rsidR="00E26BE3" w:rsidRPr="00873B6C">
        <w:t xml:space="preserve"> range of the</w:t>
      </w:r>
      <w:r w:rsidRPr="00873B6C">
        <w:t xml:space="preserve"> positive or negative deviation of the arrival time of first</w:t>
      </w:r>
      <w:r w:rsidR="00E26BE3" w:rsidRPr="00873B6C">
        <w:t xml:space="preserve"> arrived</w:t>
      </w:r>
      <w:r w:rsidRPr="00873B6C">
        <w:t xml:space="preserve"> packet of a Data Burst compared to the ideal Data Burst start time which is determined based on the DL periodicity.</w:t>
      </w:r>
    </w:p>
    <w:p w14:paraId="4813662E" w14:textId="2EB83770" w:rsidR="00C92133" w:rsidRPr="00873B6C" w:rsidRDefault="00C92133" w:rsidP="00972E70">
      <w:pPr>
        <w:pStyle w:val="Heading4"/>
      </w:pPr>
      <w:bookmarkStart w:id="5167" w:name="_CR5_37_8_3"/>
      <w:bookmarkStart w:id="5168" w:name="_Toc201157672"/>
      <w:bookmarkEnd w:id="5167"/>
      <w:r w:rsidRPr="00873B6C">
        <w:t>5.37.8.3</w:t>
      </w:r>
      <w:r w:rsidRPr="00873B6C">
        <w:tab/>
        <w:t>End of Data Burst Indication</w:t>
      </w:r>
      <w:bookmarkEnd w:id="5168"/>
    </w:p>
    <w:p w14:paraId="2B43C150" w14:textId="2C816E2B" w:rsidR="00C92133" w:rsidRPr="00873B6C" w:rsidRDefault="00C92133" w:rsidP="00C92133">
      <w:r w:rsidRPr="00873B6C">
        <w:t>An indication of End of Data Burst may be provided to the NG-RAN by the</w:t>
      </w:r>
      <w:r w:rsidR="00F1595A" w:rsidRPr="00873B6C">
        <w:t xml:space="preserve"> PSA</w:t>
      </w:r>
      <w:r w:rsidRPr="00873B6C">
        <w:t xml:space="preserve"> UPF, e.g. to configure UE power management schemes like connected mode DRX.</w:t>
      </w:r>
    </w:p>
    <w:p w14:paraId="1D0534FC" w14:textId="58ED3AEA" w:rsidR="00C92133" w:rsidRPr="00873B6C" w:rsidRDefault="00E26BE3" w:rsidP="00C92133">
      <w:r w:rsidRPr="00873B6C">
        <w:t xml:space="preserve">Based on the End of Data Burst Marking Indication in a PCC rule and/or on local operator policies, </w:t>
      </w:r>
      <w:r w:rsidR="00C92133" w:rsidRPr="00873B6C">
        <w:t>SMF should request the</w:t>
      </w:r>
      <w:r w:rsidR="00F1595A" w:rsidRPr="00873B6C">
        <w:t xml:space="preserve"> PSA</w:t>
      </w:r>
      <w:r w:rsidR="00C92133" w:rsidRPr="00873B6C">
        <w:t xml:space="preserve"> UPF to detect the last PDU of the data burst and mark the End of Data burst in the GTP-U header of the last PDU in downlink.</w:t>
      </w:r>
      <w:r w:rsidR="00A2272A" w:rsidRPr="00873B6C">
        <w:t xml:space="preserve"> The SMF may provide the PSA UPF the</w:t>
      </w:r>
      <w:r w:rsidRPr="00873B6C">
        <w:t xml:space="preserve"> End of Data Burst Marking Indication and</w:t>
      </w:r>
      <w:r w:rsidR="00A2272A" w:rsidRPr="00873B6C">
        <w:t xml:space="preserve"> Protocol Description used by the service data flow. The Protocol Description may be received in the PCC rule, based on information provided by the AF or by PCF local policies as described in clause 5.37.5.1.</w:t>
      </w:r>
    </w:p>
    <w:p w14:paraId="6BCE63F0" w14:textId="3294E627" w:rsidR="00C92133" w:rsidRPr="00873B6C" w:rsidRDefault="00C92133" w:rsidP="00C92133">
      <w:r w:rsidRPr="00873B6C">
        <w:t>According to the request and information from the SMF, the UPF identifies the last PDU of a Data burst in the DL traffic</w:t>
      </w:r>
      <w:r w:rsidR="00F1595A" w:rsidRPr="00873B6C">
        <w:t xml:space="preserve"> using the DL Protocol Description and the received transport protocol headers as defined in TS 26.522 [179] or using implementation specific means</w:t>
      </w:r>
      <w:r w:rsidRPr="00873B6C">
        <w:t xml:space="preserve"> and provides an End of Data Burst indication to the NG-RAN </w:t>
      </w:r>
      <w:r w:rsidR="00F1595A" w:rsidRPr="00873B6C">
        <w:t xml:space="preserve">in </w:t>
      </w:r>
      <w:r w:rsidRPr="00873B6C">
        <w:t>GTP-U</w:t>
      </w:r>
      <w:r w:rsidR="00F1595A" w:rsidRPr="00873B6C">
        <w:t xml:space="preserve"> header</w:t>
      </w:r>
      <w:r w:rsidRPr="00873B6C">
        <w:t xml:space="preserve"> of the last PDU of </w:t>
      </w:r>
      <w:r w:rsidR="00F1595A" w:rsidRPr="00873B6C">
        <w:t xml:space="preserve">the </w:t>
      </w:r>
      <w:r w:rsidRPr="00873B6C">
        <w:t>Data burst.</w:t>
      </w:r>
    </w:p>
    <w:p w14:paraId="1E42ABA7" w14:textId="77777777" w:rsidR="00C92133" w:rsidRPr="00873B6C" w:rsidRDefault="00C92133" w:rsidP="00972E70">
      <w:pPr>
        <w:pStyle w:val="NO"/>
      </w:pPr>
      <w:r w:rsidRPr="00873B6C">
        <w:t>NOTE:</w:t>
      </w:r>
      <w:r w:rsidRPr="00873B6C">
        <w:tab/>
        <w:t>There can be some packets from the Data Burst received by NG-RAN after the PDU with End of Data Burst Indication if packets are received out of sequence.</w:t>
      </w:r>
    </w:p>
    <w:p w14:paraId="224AC6B9" w14:textId="77BA4694" w:rsidR="00C922CA" w:rsidRPr="00873B6C" w:rsidRDefault="00C922CA" w:rsidP="00C922CA">
      <w:pPr>
        <w:pStyle w:val="Heading2"/>
      </w:pPr>
      <w:bookmarkStart w:id="5169" w:name="_CR5_38"/>
      <w:bookmarkStart w:id="5170" w:name="_Toc201157673"/>
      <w:bookmarkEnd w:id="5169"/>
      <w:r w:rsidRPr="00873B6C">
        <w:lastRenderedPageBreak/>
        <w:t>5.38</w:t>
      </w:r>
      <w:r w:rsidRPr="00873B6C">
        <w:tab/>
        <w:t>Support for Multi-USIM UE</w:t>
      </w:r>
      <w:bookmarkEnd w:id="5170"/>
    </w:p>
    <w:p w14:paraId="125E441E" w14:textId="77777777" w:rsidR="00C922CA" w:rsidRPr="00873B6C" w:rsidRDefault="00C922CA" w:rsidP="00562E84">
      <w:pPr>
        <w:pStyle w:val="Heading3"/>
      </w:pPr>
      <w:bookmarkStart w:id="5171" w:name="_CR5_38_1"/>
      <w:bookmarkStart w:id="5172" w:name="_Toc201157674"/>
      <w:bookmarkEnd w:id="5171"/>
      <w:r w:rsidRPr="00873B6C">
        <w:t>5.38.1</w:t>
      </w:r>
      <w:r w:rsidRPr="00873B6C">
        <w:tab/>
        <w:t>General</w:t>
      </w:r>
      <w:bookmarkEnd w:id="5172"/>
    </w:p>
    <w:p w14:paraId="3EFD970A" w14:textId="1B4C78CD" w:rsidR="00C922CA" w:rsidRPr="00873B6C" w:rsidRDefault="00C922CA" w:rsidP="00C922CA">
      <w:r w:rsidRPr="00873B6C">
        <w:t>A network and a</w:t>
      </w:r>
      <w:r w:rsidR="00F84AAF" w:rsidRPr="00873B6C">
        <w:t xml:space="preserve"> Multi-USIM</w:t>
      </w:r>
      <w:r w:rsidRPr="00873B6C">
        <w:t xml:space="preserve"> UE may support one or more of the following </w:t>
      </w:r>
      <w:r w:rsidR="008546A1" w:rsidRPr="00873B6C">
        <w:t xml:space="preserve">features </w:t>
      </w:r>
      <w:r w:rsidRPr="00873B6C">
        <w:t>for Multi-USIM UE operation:</w:t>
      </w:r>
    </w:p>
    <w:p w14:paraId="63D79D85" w14:textId="1F8835FD" w:rsidR="00C922CA" w:rsidRPr="00873B6C" w:rsidRDefault="00C922CA" w:rsidP="00562E84">
      <w:pPr>
        <w:pStyle w:val="B1"/>
      </w:pPr>
      <w:r w:rsidRPr="00873B6C">
        <w:t>-</w:t>
      </w:r>
      <w:r w:rsidRPr="00873B6C">
        <w:tab/>
        <w:t xml:space="preserve">Connection </w:t>
      </w:r>
      <w:r w:rsidR="008546A1" w:rsidRPr="00873B6C">
        <w:t>R</w:t>
      </w:r>
      <w:r w:rsidRPr="00873B6C">
        <w:t>elease as described in clause 5.38.2;</w:t>
      </w:r>
    </w:p>
    <w:p w14:paraId="0C87FE8E" w14:textId="77777777" w:rsidR="00C922CA" w:rsidRPr="00873B6C" w:rsidRDefault="00C922CA" w:rsidP="00562E84">
      <w:pPr>
        <w:pStyle w:val="B1"/>
      </w:pPr>
      <w:r w:rsidRPr="00873B6C">
        <w:t>-</w:t>
      </w:r>
      <w:r w:rsidRPr="00873B6C">
        <w:tab/>
        <w:t>Paging Cause Indication for Voice Service, as described in clause 5.38.3;</w:t>
      </w:r>
    </w:p>
    <w:p w14:paraId="6E6F8ACE" w14:textId="5E99CE35" w:rsidR="00C922CA" w:rsidRPr="00873B6C" w:rsidRDefault="00C922CA" w:rsidP="00562E84">
      <w:pPr>
        <w:pStyle w:val="B1"/>
      </w:pPr>
      <w:r w:rsidRPr="00873B6C">
        <w:t>-</w:t>
      </w:r>
      <w:r w:rsidRPr="00873B6C">
        <w:tab/>
        <w:t xml:space="preserve">Reject </w:t>
      </w:r>
      <w:r w:rsidR="008546A1" w:rsidRPr="00873B6C">
        <w:t>P</w:t>
      </w:r>
      <w:r w:rsidRPr="00873B6C">
        <w:t xml:space="preserve">aging </w:t>
      </w:r>
      <w:r w:rsidR="008546A1" w:rsidRPr="00873B6C">
        <w:t>R</w:t>
      </w:r>
      <w:r w:rsidRPr="00873B6C">
        <w:t>equest, as described in clause 5.38.4;</w:t>
      </w:r>
    </w:p>
    <w:p w14:paraId="7DC7D9D4" w14:textId="296501E4" w:rsidR="00C922CA" w:rsidRPr="00873B6C" w:rsidRDefault="00C922CA" w:rsidP="00562E84">
      <w:pPr>
        <w:pStyle w:val="B1"/>
      </w:pPr>
      <w:r w:rsidRPr="00873B6C">
        <w:t>-</w:t>
      </w:r>
      <w:r w:rsidRPr="00873B6C">
        <w:tab/>
        <w:t>Paging Restriction, as described in clause 5.38.5</w:t>
      </w:r>
      <w:r w:rsidR="006648CD" w:rsidRPr="00873B6C">
        <w:t>;</w:t>
      </w:r>
    </w:p>
    <w:p w14:paraId="212CCA32" w14:textId="4469C81D" w:rsidR="006648CD" w:rsidRPr="00873B6C" w:rsidRDefault="006648CD" w:rsidP="006648CD">
      <w:pPr>
        <w:pStyle w:val="B1"/>
      </w:pPr>
      <w:r w:rsidRPr="00873B6C">
        <w:t>-</w:t>
      </w:r>
      <w:r w:rsidRPr="00873B6C">
        <w:tab/>
        <w:t>Paging Timing Collision Control, as described in clause 5.38.6.</w:t>
      </w:r>
    </w:p>
    <w:p w14:paraId="4F032228" w14:textId="0485CEFB" w:rsidR="00C922CA" w:rsidRPr="00873B6C" w:rsidRDefault="00C922CA" w:rsidP="00C922CA">
      <w:r w:rsidRPr="00873B6C">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873B6C">
        <w:t xml:space="preserve"> (except for the Paging Timing Collision Control feature)</w:t>
      </w:r>
      <w:r w:rsidRPr="00873B6C">
        <w:t xml:space="preserve">. Based on the received indication of </w:t>
      </w:r>
      <w:r w:rsidR="008546A1" w:rsidRPr="00873B6C">
        <w:t xml:space="preserve">the </w:t>
      </w:r>
      <w:r w:rsidRPr="00873B6C">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873B6C">
        <w:t>re</w:t>
      </w:r>
      <w:r w:rsidRPr="00873B6C">
        <w:t>turns to hav</w:t>
      </w:r>
      <w:r w:rsidR="008546A1" w:rsidRPr="00873B6C">
        <w:t xml:space="preserve">ing </w:t>
      </w:r>
      <w:r w:rsidRPr="00873B6C">
        <w:t>only one USIM active from a Multi-USIM UE that previously indicated to the network</w:t>
      </w:r>
      <w:r w:rsidR="008546A1" w:rsidRPr="00873B6C">
        <w:t xml:space="preserve"> it</w:t>
      </w:r>
      <w:r w:rsidRPr="00873B6C">
        <w:t xml:space="preserve"> supported Multi-USIM feature(s), the UE shall indicate all the Multi-USIM features are not supported to the network for th</w:t>
      </w:r>
      <w:r w:rsidR="008546A1" w:rsidRPr="00873B6C">
        <w:t xml:space="preserve">at </w:t>
      </w:r>
      <w:r w:rsidRPr="00873B6C">
        <w:t>USIM. The AMF shall</w:t>
      </w:r>
      <w:r w:rsidR="008546A1" w:rsidRPr="00873B6C">
        <w:t xml:space="preserve"> only</w:t>
      </w:r>
      <w:r w:rsidRPr="00873B6C">
        <w:t xml:space="preserve"> indicate the support of Paging Restriction feature together with the support of either Connection Release feature or Reject Paging</w:t>
      </w:r>
      <w:r w:rsidR="008546A1" w:rsidRPr="00873B6C">
        <w:t xml:space="preserve"> Request</w:t>
      </w:r>
      <w:r w:rsidRPr="00873B6C">
        <w:t xml:space="preserve"> feature.</w:t>
      </w:r>
    </w:p>
    <w:p w14:paraId="78140FD5" w14:textId="5E3E498F" w:rsidR="00C922CA" w:rsidRPr="00873B6C" w:rsidRDefault="00C922CA" w:rsidP="00C922CA">
      <w:r w:rsidRPr="00873B6C">
        <w:t xml:space="preserve">The Multi-USIM UE includes the support of individual features for Connection </w:t>
      </w:r>
      <w:r w:rsidR="008546A1" w:rsidRPr="00873B6C">
        <w:t>R</w:t>
      </w:r>
      <w:r w:rsidRPr="00873B6C">
        <w:t xml:space="preserve">elease, Paging Cause Indication for Voice Service, Reject </w:t>
      </w:r>
      <w:r w:rsidR="008546A1" w:rsidRPr="00873B6C">
        <w:t>P</w:t>
      </w:r>
      <w:r w:rsidRPr="00873B6C">
        <w:t xml:space="preserve">aging </w:t>
      </w:r>
      <w:r w:rsidR="008546A1" w:rsidRPr="00873B6C">
        <w:t>R</w:t>
      </w:r>
      <w:r w:rsidRPr="00873B6C">
        <w:t>equest and Paging Restriction as specified in clause 5.4.4a.</w:t>
      </w:r>
    </w:p>
    <w:p w14:paraId="4CC13AC4" w14:textId="2C6A3D92" w:rsidR="006648CD" w:rsidRPr="00873B6C" w:rsidRDefault="006648CD" w:rsidP="00461850">
      <w:pPr>
        <w:pStyle w:val="NO"/>
      </w:pPr>
      <w:r w:rsidRPr="00873B6C">
        <w:t>NOTE:</w:t>
      </w:r>
      <w:r w:rsidRPr="00873B6C">
        <w:tab/>
        <w:t>The Paging Timing Collision Control feature being based on the Mobility Registration Update</w:t>
      </w:r>
      <w:r w:rsidR="00472CD7" w:rsidRPr="00873B6C">
        <w:t xml:space="preserve"> and</w:t>
      </w:r>
      <w:r w:rsidRPr="00873B6C">
        <w:t xml:space="preserve"> it doesn't require capability exchange between the UE and network.</w:t>
      </w:r>
    </w:p>
    <w:p w14:paraId="554A4B49" w14:textId="1E370517" w:rsidR="006648CD" w:rsidRPr="00873B6C" w:rsidRDefault="006648CD" w:rsidP="00C922CA">
      <w:r w:rsidRPr="00873B6C">
        <w:t>The network shall not indicate support for any Multi-USIM feature to the UE as part of the Emergency Registration procedure.</w:t>
      </w:r>
    </w:p>
    <w:p w14:paraId="160D0242" w14:textId="23065621" w:rsidR="00C922CA" w:rsidRPr="00873B6C" w:rsidRDefault="00C922CA" w:rsidP="00C922CA">
      <w:r w:rsidRPr="00873B6C">
        <w:t xml:space="preserve">A Multi-USIM UE shall use a separate PEI for each USIM when it registers </w:t>
      </w:r>
      <w:r w:rsidR="00F84AAF" w:rsidRPr="00873B6C">
        <w:t xml:space="preserve">with </w:t>
      </w:r>
      <w:r w:rsidRPr="00873B6C">
        <w:t>the network.</w:t>
      </w:r>
    </w:p>
    <w:p w14:paraId="460B0F53" w14:textId="1698CA8B" w:rsidR="00C922CA" w:rsidRPr="00873B6C" w:rsidRDefault="00C922CA" w:rsidP="00562E84">
      <w:pPr>
        <w:pStyle w:val="Heading3"/>
      </w:pPr>
      <w:bookmarkStart w:id="5173" w:name="_CR5_38_2"/>
      <w:bookmarkStart w:id="5174" w:name="_Toc201157675"/>
      <w:bookmarkEnd w:id="5173"/>
      <w:r w:rsidRPr="00873B6C">
        <w:t>5.38.2</w:t>
      </w:r>
      <w:r w:rsidRPr="00873B6C">
        <w:tab/>
        <w:t xml:space="preserve">Connection </w:t>
      </w:r>
      <w:r w:rsidR="008546A1" w:rsidRPr="00873B6C">
        <w:t>R</w:t>
      </w:r>
      <w:r w:rsidRPr="00873B6C">
        <w:t>elease</w:t>
      </w:r>
      <w:bookmarkEnd w:id="5174"/>
    </w:p>
    <w:p w14:paraId="0E0E4D0B" w14:textId="151C37D3" w:rsidR="00C922CA" w:rsidRPr="00873B6C" w:rsidRDefault="00C922CA" w:rsidP="00C922CA">
      <w:r w:rsidRPr="00873B6C">
        <w:t xml:space="preserve">A Multi-USIM UE may request the network to release the UE from </w:t>
      </w:r>
      <w:r w:rsidR="00511811" w:rsidRPr="00873B6C">
        <w:t xml:space="preserve">RRC_CONNECTED </w:t>
      </w:r>
      <w:r w:rsidRPr="00873B6C">
        <w:t>state</w:t>
      </w:r>
      <w:r w:rsidR="00366291" w:rsidRPr="00873B6C">
        <w:t xml:space="preserve"> in 3GPP access</w:t>
      </w:r>
      <w:r w:rsidRPr="00873B6C">
        <w:t xml:space="preserve"> for a USIM due to activity on another USIM</w:t>
      </w:r>
      <w:r w:rsidR="00366291" w:rsidRPr="00873B6C">
        <w:t xml:space="preserve"> in 3GPP access</w:t>
      </w:r>
      <w:r w:rsidRPr="00873B6C">
        <w:t xml:space="preserve">, if both UE and network indicate </w:t>
      </w:r>
      <w:r w:rsidR="008546A1" w:rsidRPr="00873B6C">
        <w:t xml:space="preserve">the Connection Release </w:t>
      </w:r>
      <w:r w:rsidRPr="00873B6C">
        <w:t>feature is supported to each other.</w:t>
      </w:r>
    </w:p>
    <w:p w14:paraId="3C7A1E22" w14:textId="76964808" w:rsidR="00C922CA" w:rsidRPr="00873B6C" w:rsidRDefault="00366291" w:rsidP="00C922CA">
      <w:r w:rsidRPr="00873B6C">
        <w:t xml:space="preserve">In the case of NAS connection release procedure, the </w:t>
      </w:r>
      <w:r w:rsidR="00C922CA" w:rsidRPr="00873B6C">
        <w:t xml:space="preserve">UE indicates that it requests to be released from </w:t>
      </w:r>
      <w:r w:rsidR="00511811" w:rsidRPr="00873B6C">
        <w:t xml:space="preserve">RRC_CONNECTED </w:t>
      </w:r>
      <w:r w:rsidR="00C922CA" w:rsidRPr="00873B6C">
        <w:t>state, by initiating either a Service Request procedure</w:t>
      </w:r>
      <w:r w:rsidR="00C60901" w:rsidRPr="00873B6C">
        <w:t xml:space="preserve"> over 3GPP access</w:t>
      </w:r>
      <w:r w:rsidR="00C922CA" w:rsidRPr="00873B6C">
        <w:t xml:space="preserve"> or a Registration procedure</w:t>
      </w:r>
      <w:r w:rsidR="00C60901" w:rsidRPr="00873B6C">
        <w:t xml:space="preserve"> over 3GPP access</w:t>
      </w:r>
      <w:r w:rsidR="00C922CA" w:rsidRPr="00873B6C">
        <w:t xml:space="preserve"> (</w:t>
      </w:r>
      <w:r w:rsidR="00F84AAF" w:rsidRPr="00873B6C">
        <w:t xml:space="preserve">if </w:t>
      </w:r>
      <w:r w:rsidR="00C922CA" w:rsidRPr="00873B6C">
        <w:t>case the UE needs to perform Registration Update at the same time with this network</w:t>
      </w:r>
      <w:r w:rsidR="00F84AAF" w:rsidRPr="00873B6C">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873B6C">
        <w:t xml:space="preserve">), </w:t>
      </w:r>
      <w:r w:rsidR="008546A1" w:rsidRPr="00873B6C">
        <w:t xml:space="preserve">by </w:t>
      </w:r>
      <w:r w:rsidR="00C922CA" w:rsidRPr="00873B6C">
        <w:t>including a Release</w:t>
      </w:r>
      <w:r w:rsidR="008546A1" w:rsidRPr="00873B6C">
        <w:t xml:space="preserve"> Request</w:t>
      </w:r>
      <w:r w:rsidR="00C922CA" w:rsidRPr="00873B6C">
        <w:t xml:space="preserve"> Indication. If supported by the UE</w:t>
      </w:r>
      <w:r w:rsidR="008546A1" w:rsidRPr="00873B6C">
        <w:t xml:space="preserve"> and network</w:t>
      </w:r>
      <w:r w:rsidR="00C922CA" w:rsidRPr="00873B6C">
        <w:t>, the UE may also provide, only together with the Release</w:t>
      </w:r>
      <w:r w:rsidR="008546A1" w:rsidRPr="00873B6C">
        <w:t xml:space="preserve"> Request</w:t>
      </w:r>
      <w:r w:rsidR="00C922CA" w:rsidRPr="00873B6C">
        <w:t xml:space="preserve"> Indication, Paging Restriction Information, as specified in clause 5.38.5, which requests the network to restrict paging.</w:t>
      </w:r>
      <w:r w:rsidR="006310D8" w:rsidRPr="00873B6C">
        <w:t xml:space="preserve"> If the UE is performing an Emergency Registration then it shall not include a Release Request Indication.</w:t>
      </w:r>
    </w:p>
    <w:p w14:paraId="0AB1F235" w14:textId="0B1483A4" w:rsidR="00366291" w:rsidRPr="00873B6C" w:rsidRDefault="00366291" w:rsidP="00C74FFE">
      <w:r w:rsidRPr="00873B6C">
        <w:t xml:space="preserve">For NR/5G access, an AS method for the UE to request the network to release the UE from </w:t>
      </w:r>
      <w:r w:rsidR="00511811" w:rsidRPr="00873B6C">
        <w:t xml:space="preserve">RRC_CONNECTED </w:t>
      </w:r>
      <w:r w:rsidRPr="00873B6C">
        <w:t xml:space="preserve">state is specified in </w:t>
      </w:r>
      <w:r w:rsidR="00972E70" w:rsidRPr="00873B6C">
        <w:t>TS 38.300 [</w:t>
      </w:r>
      <w:r w:rsidRPr="00873B6C">
        <w:t>27]. This mechanism does not allow the UE to indicate Paging Restrictions.</w:t>
      </w:r>
    </w:p>
    <w:p w14:paraId="0C2EC426" w14:textId="4EB3585E" w:rsidR="00366291" w:rsidRPr="00873B6C" w:rsidRDefault="00366291" w:rsidP="00562E84">
      <w:pPr>
        <w:pStyle w:val="NO"/>
      </w:pPr>
      <w:r w:rsidRPr="00873B6C">
        <w:t>NOTE 1:</w:t>
      </w:r>
      <w:r w:rsidRPr="00873B6C">
        <w:tab/>
        <w:t>When both the access stratum and NAS based approaches for requesting the connection release are supported by the UE and the network, it depends on the UE implementation which of the two to use (for example: based on the preferred end state (</w:t>
      </w:r>
      <w:r w:rsidR="00511811" w:rsidRPr="00873B6C">
        <w:t xml:space="preserve">RRC_INACTIVE </w:t>
      </w:r>
      <w:r w:rsidRPr="00873B6C">
        <w:t xml:space="preserve">or </w:t>
      </w:r>
      <w:r w:rsidR="00511811" w:rsidRPr="00873B6C">
        <w:t>RRC_</w:t>
      </w:r>
      <w:r w:rsidRPr="00873B6C">
        <w:t>IDLE) and whether Paging Restriction Information is to be provided).</w:t>
      </w:r>
    </w:p>
    <w:p w14:paraId="77890B35" w14:textId="26AB5483" w:rsidR="00C922CA" w:rsidRPr="00873B6C" w:rsidRDefault="00C922CA" w:rsidP="00562E84">
      <w:pPr>
        <w:pStyle w:val="NO"/>
      </w:pPr>
      <w:r w:rsidRPr="00873B6C">
        <w:lastRenderedPageBreak/>
        <w:t>NOTE</w:t>
      </w:r>
      <w:r w:rsidR="00366291" w:rsidRPr="00873B6C">
        <w:t> 2</w:t>
      </w:r>
      <w:r w:rsidRPr="00873B6C">
        <w:t>:</w:t>
      </w:r>
      <w:r w:rsidRPr="00873B6C">
        <w:tab/>
        <w:t xml:space="preserve">When there is no PLMN-wide support for the Connection Release feature, it can occur that upon </w:t>
      </w:r>
      <w:r w:rsidR="008546A1" w:rsidRPr="00873B6C">
        <w:t>M</w:t>
      </w:r>
      <w:r w:rsidRPr="00873B6C">
        <w:t xml:space="preserve">obility </w:t>
      </w:r>
      <w:r w:rsidR="008546A1" w:rsidRPr="00873B6C">
        <w:t>Registration U</w:t>
      </w:r>
      <w:r w:rsidRPr="00873B6C">
        <w:t xml:space="preserve">pdate with Release </w:t>
      </w:r>
      <w:r w:rsidR="008546A1" w:rsidRPr="00873B6C">
        <w:t>R</w:t>
      </w:r>
      <w:r w:rsidRPr="00873B6C">
        <w:t>equest</w:t>
      </w:r>
      <w:r w:rsidR="008546A1" w:rsidRPr="00873B6C">
        <w:t xml:space="preserve"> indication</w:t>
      </w:r>
      <w:r w:rsidRPr="00873B6C">
        <w:t xml:space="preserve"> the UE is not released by the network. The UE behaviour, when it detects that the network does not support the feature in a new RA, is outside the scope of this specification.</w:t>
      </w:r>
    </w:p>
    <w:p w14:paraId="1B5D2B15" w14:textId="7CF42DE9" w:rsidR="00C922CA" w:rsidRPr="00873B6C" w:rsidRDefault="00C922CA" w:rsidP="004E7C02">
      <w:pPr>
        <w:pStyle w:val="Heading3"/>
      </w:pPr>
      <w:bookmarkStart w:id="5175" w:name="_CR5_38_3"/>
      <w:bookmarkStart w:id="5176" w:name="_Toc201157676"/>
      <w:bookmarkEnd w:id="5175"/>
      <w:r w:rsidRPr="00873B6C">
        <w:t>5.38.3</w:t>
      </w:r>
      <w:r w:rsidRPr="00873B6C">
        <w:tab/>
        <w:t xml:space="preserve">Paging </w:t>
      </w:r>
      <w:r w:rsidR="008546A1" w:rsidRPr="00873B6C">
        <w:t>C</w:t>
      </w:r>
      <w:r w:rsidRPr="00873B6C">
        <w:t xml:space="preserve">ause </w:t>
      </w:r>
      <w:r w:rsidR="008546A1" w:rsidRPr="00873B6C">
        <w:t>I</w:t>
      </w:r>
      <w:r w:rsidRPr="00873B6C">
        <w:t xml:space="preserve">ndication for </w:t>
      </w:r>
      <w:r w:rsidR="008546A1" w:rsidRPr="00873B6C">
        <w:t>V</w:t>
      </w:r>
      <w:r w:rsidRPr="00873B6C">
        <w:t xml:space="preserve">oice </w:t>
      </w:r>
      <w:r w:rsidR="008546A1" w:rsidRPr="00873B6C">
        <w:t>S</w:t>
      </w:r>
      <w:r w:rsidRPr="00873B6C">
        <w:t>ervice</w:t>
      </w:r>
      <w:bookmarkEnd w:id="5176"/>
    </w:p>
    <w:p w14:paraId="257843C4" w14:textId="29CB9570" w:rsidR="00C922CA" w:rsidRPr="00873B6C" w:rsidRDefault="00F84AAF" w:rsidP="00C922CA">
      <w:r w:rsidRPr="00873B6C">
        <w:t xml:space="preserve">A Multi-USIM </w:t>
      </w:r>
      <w:r w:rsidR="00C922CA" w:rsidRPr="00873B6C">
        <w:t>UE and the network may support Paging Cause Indication for Voice Service feature.</w:t>
      </w:r>
    </w:p>
    <w:p w14:paraId="6E94C82E" w14:textId="77777777" w:rsidR="00C922CA" w:rsidRPr="00873B6C" w:rsidRDefault="00C922CA" w:rsidP="00C922CA">
      <w:r w:rsidRPr="00873B6C">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873B6C" w:rsidRDefault="00C922CA" w:rsidP="00C922CA">
      <w:r w:rsidRPr="00873B6C">
        <w:t>Upon reception of the Voice Service Indication in NGAP Paging Message from AMF, the NG-RAN supporting Paging Cause Indication for Voice Service should include the Voice Service Indication in the Uu Paging message to the UE.</w:t>
      </w:r>
    </w:p>
    <w:p w14:paraId="28B68AE9" w14:textId="50880C33" w:rsidR="00C922CA" w:rsidRPr="00873B6C" w:rsidRDefault="00C922CA" w:rsidP="00C922CA">
      <w:r w:rsidRPr="00873B6C">
        <w:t>When the UE context</w:t>
      </w:r>
      <w:r w:rsidR="008546A1" w:rsidRPr="00873B6C">
        <w:t xml:space="preserve"> in the AMF</w:t>
      </w:r>
      <w:r w:rsidRPr="00873B6C">
        <w:t xml:space="preserve"> indicates Paging Cause Indication for Voice Service feature is supported, in order to require NG RAN to deliver the Voice Service Indication in RAN paging for</w:t>
      </w:r>
      <w:r w:rsidR="008546A1" w:rsidRPr="00873B6C">
        <w:t xml:space="preserve"> the</w:t>
      </w:r>
      <w:r w:rsidRPr="00873B6C">
        <w:t xml:space="preserve"> UE in </w:t>
      </w:r>
      <w:r w:rsidR="00511811" w:rsidRPr="00873B6C">
        <w:t xml:space="preserve">RRC_INACTIVE </w:t>
      </w:r>
      <w:r w:rsidRPr="00873B6C">
        <w:t>state, the AMF provides an indication indicating the Paging Cause Indication for Voice Service feature is supported to the NG-RAN. Upon reception</w:t>
      </w:r>
      <w:r w:rsidR="008546A1" w:rsidRPr="00873B6C">
        <w:t xml:space="preserve"> of</w:t>
      </w:r>
      <w:r w:rsidRPr="00873B6C">
        <w:t xml:space="preserve"> the indication, the NG-RAN </w:t>
      </w:r>
      <w:r w:rsidR="008546A1" w:rsidRPr="00873B6C">
        <w:t xml:space="preserve">that </w:t>
      </w:r>
      <w:r w:rsidRPr="00873B6C">
        <w:t>support</w:t>
      </w:r>
      <w:r w:rsidR="008546A1" w:rsidRPr="00873B6C">
        <w:t xml:space="preserve">s </w:t>
      </w:r>
      <w:r w:rsidRPr="00873B6C">
        <w:t>the</w:t>
      </w:r>
      <w:r w:rsidR="008546A1" w:rsidRPr="00873B6C">
        <w:t xml:space="preserve"> feature stores a</w:t>
      </w:r>
      <w:r w:rsidRPr="00873B6C">
        <w:t xml:space="preserve"> Paging Cause Indication for Voice Service indication in</w:t>
      </w:r>
      <w:r w:rsidR="008546A1" w:rsidRPr="00873B6C">
        <w:t xml:space="preserve"> its </w:t>
      </w:r>
      <w:r w:rsidRPr="00873B6C">
        <w:t>the UE context. For a UE in</w:t>
      </w:r>
      <w:r w:rsidR="00511811" w:rsidRPr="00873B6C">
        <w:t xml:space="preserve"> RRC_INACTIVE</w:t>
      </w:r>
      <w:r w:rsidRPr="00873B6C">
        <w:t>,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6C48E989" w:rsidR="00C922CA" w:rsidRPr="00873B6C" w:rsidRDefault="00C922CA" w:rsidP="00C922CA">
      <w:r w:rsidRPr="00873B6C">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873B6C">
        <w:t xml:space="preserve"> How the UE distinguishes the Paging from a </w:t>
      </w:r>
      <w:r w:rsidR="006310D8" w:rsidRPr="00873B6C">
        <w:t xml:space="preserve">RAN </w:t>
      </w:r>
      <w:r w:rsidR="0010039C" w:rsidRPr="00873B6C">
        <w:t xml:space="preserve">that does not support the Paging Cause Indication for Voice Service feature and Paging without the Voice Service Indication is defined in </w:t>
      </w:r>
      <w:r w:rsidR="00972E70" w:rsidRPr="00873B6C">
        <w:t>TS 38.331 [</w:t>
      </w:r>
      <w:r w:rsidR="0010039C" w:rsidRPr="00873B6C">
        <w:t>28].</w:t>
      </w:r>
      <w:r w:rsidR="006310D8" w:rsidRPr="00873B6C">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w:t>
      </w:r>
      <w:r w:rsidR="00472CD7" w:rsidRPr="00873B6C">
        <w:t xml:space="preserve"> and</w:t>
      </w:r>
      <w:r w:rsidR="006310D8" w:rsidRPr="00873B6C">
        <w:t xml:space="preserve"> by 5GC, as indicated in the MUSIM capability exchange with the AMF.</w:t>
      </w:r>
    </w:p>
    <w:p w14:paraId="5BFCAC60" w14:textId="2FAFFC9F" w:rsidR="006310D8" w:rsidRPr="00873B6C" w:rsidRDefault="006310D8" w:rsidP="001B7C50">
      <w:r w:rsidRPr="00873B6C">
        <w:t xml:space="preserve">The UE uses the Paging Cause Indication for Voice Service as described in </w:t>
      </w:r>
      <w:r w:rsidR="00972E70" w:rsidRPr="00873B6C">
        <w:t>TS 24.501 [</w:t>
      </w:r>
      <w:r w:rsidRPr="00873B6C">
        <w:t xml:space="preserve">47] and </w:t>
      </w:r>
      <w:r w:rsidR="00972E70" w:rsidRPr="00873B6C">
        <w:t>TS 38.331 [</w:t>
      </w:r>
      <w:r w:rsidRPr="00873B6C">
        <w:t>28].</w:t>
      </w:r>
    </w:p>
    <w:p w14:paraId="086FA6E9" w14:textId="1C2BEBAA" w:rsidR="00C922CA" w:rsidRPr="00873B6C" w:rsidRDefault="00C922CA" w:rsidP="00562E84">
      <w:pPr>
        <w:pStyle w:val="Heading3"/>
      </w:pPr>
      <w:bookmarkStart w:id="5177" w:name="_CR5_38_4"/>
      <w:bookmarkStart w:id="5178" w:name="_Toc201157677"/>
      <w:bookmarkEnd w:id="5177"/>
      <w:r w:rsidRPr="00873B6C">
        <w:t>5.38.4</w:t>
      </w:r>
      <w:r w:rsidRPr="00873B6C">
        <w:tab/>
        <w:t xml:space="preserve">Reject </w:t>
      </w:r>
      <w:r w:rsidR="008546A1" w:rsidRPr="00873B6C">
        <w:t>P</w:t>
      </w:r>
      <w:r w:rsidRPr="00873B6C">
        <w:t xml:space="preserve">aging </w:t>
      </w:r>
      <w:r w:rsidR="008546A1" w:rsidRPr="00873B6C">
        <w:t>R</w:t>
      </w:r>
      <w:r w:rsidRPr="00873B6C">
        <w:t>equest</w:t>
      </w:r>
      <w:bookmarkEnd w:id="5178"/>
    </w:p>
    <w:p w14:paraId="318E4D38" w14:textId="5F8BAEE1" w:rsidR="00C922CA" w:rsidRPr="00873B6C" w:rsidRDefault="00C922CA" w:rsidP="00C922CA">
      <w:r w:rsidRPr="00873B6C">
        <w:t>A Multi-USIM UE may set</w:t>
      </w:r>
      <w:r w:rsidR="008546A1" w:rsidRPr="00873B6C">
        <w:t xml:space="preserve"> </w:t>
      </w:r>
      <w:r w:rsidRPr="00873B6C">
        <w:t>up</w:t>
      </w:r>
      <w:r w:rsidR="008546A1" w:rsidRPr="00873B6C">
        <w:t xml:space="preserve"> a</w:t>
      </w:r>
      <w:r w:rsidRPr="00873B6C">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873B6C">
        <w:t xml:space="preserve">the Reject Paging Request </w:t>
      </w:r>
      <w:r w:rsidRPr="00873B6C">
        <w:t>feature is supported to each other.</w:t>
      </w:r>
    </w:p>
    <w:p w14:paraId="2840759C" w14:textId="20A7E7CD" w:rsidR="00C922CA" w:rsidRPr="00873B6C" w:rsidRDefault="00C922CA" w:rsidP="00C922CA">
      <w:r w:rsidRPr="00873B6C">
        <w:t xml:space="preserve">Upon being paged by the network, the Multi-USIM UE in CM-IDLE state attempts to send a Service Request message to </w:t>
      </w:r>
      <w:r w:rsidR="008546A1" w:rsidRPr="00873B6C">
        <w:t xml:space="preserve">the paging </w:t>
      </w:r>
      <w:r w:rsidRPr="00873B6C">
        <w:t>network including the Reject Paging Indication</w:t>
      </w:r>
      <w:r w:rsidR="008546A1" w:rsidRPr="00873B6C">
        <w:t xml:space="preserve"> as the response to the paging</w:t>
      </w:r>
      <w:r w:rsidRPr="00873B6C">
        <w:t>, unless it is unable to do so, e.g. due to UE implementation constraints. In addition to the Reject Paging Indication, the UE may include Paging Restriction Information as specified in clause 5.38.5 in the Service Request message, if supported by UE</w:t>
      </w:r>
      <w:r w:rsidR="008546A1" w:rsidRPr="00873B6C">
        <w:t xml:space="preserve"> and network.</w:t>
      </w:r>
    </w:p>
    <w:p w14:paraId="0665E67B" w14:textId="00386999" w:rsidR="006F101E" w:rsidRPr="00873B6C" w:rsidRDefault="006F101E" w:rsidP="00433EFC">
      <w:pPr>
        <w:pStyle w:val="NO"/>
      </w:pPr>
      <w:r w:rsidRPr="00873B6C">
        <w:t>NOTE:</w:t>
      </w:r>
      <w:r w:rsidRPr="00873B6C">
        <w:tab/>
        <w:t xml:space="preserve">A Multi-USIM UE in RRC_INACTIVE state can decide to not initiate the RRC connection resumption procedure, e.g. when it decides not to respond to the paging message due to UE implementation constraints as specified in </w:t>
      </w:r>
      <w:r w:rsidR="00972E70" w:rsidRPr="00873B6C">
        <w:t>TS 24.501 [</w:t>
      </w:r>
      <w:r w:rsidRPr="00873B6C">
        <w:t xml:space="preserve">47] and </w:t>
      </w:r>
      <w:r w:rsidR="00972E70" w:rsidRPr="00873B6C">
        <w:t>TS 38.331 [</w:t>
      </w:r>
      <w:r w:rsidRPr="00873B6C">
        <w:t>28].</w:t>
      </w:r>
    </w:p>
    <w:p w14:paraId="4FFA0F44" w14:textId="2430FCFB" w:rsidR="00C922CA" w:rsidRPr="00873B6C" w:rsidRDefault="00C922CA" w:rsidP="00562E84">
      <w:pPr>
        <w:pStyle w:val="Heading3"/>
      </w:pPr>
      <w:bookmarkStart w:id="5179" w:name="_CR5_38_5"/>
      <w:bookmarkStart w:id="5180" w:name="_Toc201157678"/>
      <w:bookmarkEnd w:id="5179"/>
      <w:r w:rsidRPr="00873B6C">
        <w:t>5.38.5</w:t>
      </w:r>
      <w:r w:rsidRPr="00873B6C">
        <w:tab/>
        <w:t xml:space="preserve">Paging </w:t>
      </w:r>
      <w:r w:rsidR="008546A1" w:rsidRPr="00873B6C">
        <w:t>R</w:t>
      </w:r>
      <w:r w:rsidRPr="00873B6C">
        <w:t>estriction</w:t>
      </w:r>
      <w:bookmarkEnd w:id="5180"/>
    </w:p>
    <w:p w14:paraId="2AEEBA1F" w14:textId="2F570143" w:rsidR="00F84AAF" w:rsidRPr="00873B6C" w:rsidRDefault="00F84AAF" w:rsidP="00C922CA">
      <w:r w:rsidRPr="00873B6C">
        <w:t xml:space="preserve">A Multi-USIM </w:t>
      </w:r>
      <w:r w:rsidR="00C922CA" w:rsidRPr="00873B6C">
        <w:t xml:space="preserve">UE and the network may support Paging Restriction. </w:t>
      </w:r>
      <w:r w:rsidRPr="00873B6C">
        <w:t xml:space="preserve">A Multi-USIM </w:t>
      </w:r>
      <w:r w:rsidR="00C922CA" w:rsidRPr="00873B6C">
        <w:t>UE, if the AMF indicates that the network supports Paging Restriction feature, may indicate Paging Restriction Information in the Service Request or Registration Request message</w:t>
      </w:r>
      <w:r w:rsidRPr="00873B6C">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873B6C">
        <w:t xml:space="preserve"> as specified in clauses 5.38.2 and 5.38.4.</w:t>
      </w:r>
    </w:p>
    <w:p w14:paraId="15887184" w14:textId="72BE0FBB" w:rsidR="00F84AAF" w:rsidRPr="00873B6C" w:rsidRDefault="00F84AAF" w:rsidP="00C922CA">
      <w:r w:rsidRPr="00873B6C">
        <w:lastRenderedPageBreak/>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rsidRPr="00873B6C">
        <w:t xml:space="preserve"> Registration</w:t>
      </w:r>
      <w:r w:rsidRPr="00873B6C">
        <w:t xml:space="preserve"> Accept or Service Accept message.</w:t>
      </w:r>
    </w:p>
    <w:p w14:paraId="10B101C1" w14:textId="77777777" w:rsidR="00F84AAF" w:rsidRPr="00873B6C" w:rsidRDefault="00F84AAF" w:rsidP="00C922CA">
      <w:r w:rsidRPr="00873B6C">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873B6C" w:rsidRDefault="00C922CA" w:rsidP="00C922CA">
      <w:r w:rsidRPr="00873B6C">
        <w:t>The Paging Restriction Information may indicate any of the following:</w:t>
      </w:r>
    </w:p>
    <w:p w14:paraId="43B054CE" w14:textId="78A0814D" w:rsidR="00C922CA" w:rsidRPr="00873B6C" w:rsidRDefault="00C922CA" w:rsidP="00562E84">
      <w:pPr>
        <w:pStyle w:val="B1"/>
      </w:pPr>
      <w:r w:rsidRPr="00873B6C">
        <w:t>a)</w:t>
      </w:r>
      <w:r w:rsidRPr="00873B6C">
        <w:tab/>
        <w:t>all paging is restricted; or</w:t>
      </w:r>
    </w:p>
    <w:p w14:paraId="73C66D6F" w14:textId="369029F2" w:rsidR="00C922CA" w:rsidRPr="00873B6C" w:rsidRDefault="00C922CA" w:rsidP="00562E84">
      <w:pPr>
        <w:pStyle w:val="B1"/>
      </w:pPr>
      <w:r w:rsidRPr="00873B6C">
        <w:t>b)</w:t>
      </w:r>
      <w:r w:rsidRPr="00873B6C">
        <w:tab/>
        <w:t>all paging is restricted, except paging for voice service (IMS voice); or</w:t>
      </w:r>
    </w:p>
    <w:p w14:paraId="4CC12D2D" w14:textId="5A98C36C" w:rsidR="00C922CA" w:rsidRPr="00873B6C" w:rsidRDefault="00C922CA" w:rsidP="00562E84">
      <w:pPr>
        <w:pStyle w:val="B1"/>
      </w:pPr>
      <w:r w:rsidRPr="00873B6C">
        <w:t>c)</w:t>
      </w:r>
      <w:r w:rsidRPr="00873B6C">
        <w:tab/>
        <w:t>all paging is restricted, except for certain PDU Session(s); or</w:t>
      </w:r>
    </w:p>
    <w:p w14:paraId="51D22BA4" w14:textId="77777777" w:rsidR="00C922CA" w:rsidRPr="00873B6C" w:rsidRDefault="00C922CA" w:rsidP="00562E84">
      <w:pPr>
        <w:pStyle w:val="B1"/>
      </w:pPr>
      <w:r w:rsidRPr="00873B6C">
        <w:t>d)</w:t>
      </w:r>
      <w:r w:rsidRPr="00873B6C">
        <w:tab/>
        <w:t>all paging is restricted, except paging for voice service (IMS voice) and certain PDU session(s).</w:t>
      </w:r>
    </w:p>
    <w:p w14:paraId="0A9EC4F2" w14:textId="5855BB92" w:rsidR="00C922CA" w:rsidRPr="00873B6C" w:rsidRDefault="00C922CA" w:rsidP="00562E84">
      <w:pPr>
        <w:pStyle w:val="NO"/>
      </w:pPr>
      <w:r w:rsidRPr="00873B6C">
        <w:t>NOTE 1:</w:t>
      </w:r>
      <w:r w:rsidRPr="00873B6C">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873B6C">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873B6C" w:rsidRDefault="00C922CA" w:rsidP="00562E84">
      <w:pPr>
        <w:pStyle w:val="NO"/>
      </w:pPr>
      <w:r w:rsidRPr="00873B6C">
        <w:t>NOTE 2:</w:t>
      </w:r>
      <w:r w:rsidRPr="00873B6C">
        <w:tab/>
        <w:t xml:space="preserve">In the case of roaming, the Paging Restrictions for voice service implied by bullet b) and d) depends on the existence of an agreement with the HPLMN to support voice service via IMS. Hence the support of </w:t>
      </w:r>
      <w:r w:rsidR="008546A1" w:rsidRPr="00873B6C">
        <w:t>P</w:t>
      </w:r>
      <w:r w:rsidRPr="00873B6C">
        <w:t xml:space="preserve">aging </w:t>
      </w:r>
      <w:r w:rsidR="008546A1" w:rsidRPr="00873B6C">
        <w:t>R</w:t>
      </w:r>
      <w:r w:rsidRPr="00873B6C">
        <w:t>estrictions in bullets b) and d) takes the IMS voice service agreement into consideration.</w:t>
      </w:r>
    </w:p>
    <w:p w14:paraId="3BAF8E28" w14:textId="022DD976" w:rsidR="00F84AAF" w:rsidRPr="00873B6C" w:rsidRDefault="00F84AAF" w:rsidP="00F84AAF">
      <w:pPr>
        <w:pStyle w:val="NO"/>
      </w:pPr>
      <w:r w:rsidRPr="00873B6C">
        <w:t>NOTE 3:</w:t>
      </w:r>
      <w:r w:rsidRPr="00873B6C">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873B6C" w:rsidRDefault="006648CD" w:rsidP="006648CD">
      <w:pPr>
        <w:pStyle w:val="Heading3"/>
      </w:pPr>
      <w:bookmarkStart w:id="5181" w:name="_CR5_38_6"/>
      <w:bookmarkStart w:id="5182" w:name="_Toc201157679"/>
      <w:bookmarkEnd w:id="5181"/>
      <w:r w:rsidRPr="00873B6C">
        <w:t>5.38.6</w:t>
      </w:r>
      <w:r w:rsidRPr="00873B6C">
        <w:tab/>
        <w:t>Paging Timing Collision Control</w:t>
      </w:r>
      <w:bookmarkEnd w:id="5182"/>
    </w:p>
    <w:p w14:paraId="76ED15D1" w14:textId="77777777" w:rsidR="006648CD" w:rsidRPr="00873B6C" w:rsidRDefault="006648CD" w:rsidP="006648CD">
      <w:r w:rsidRPr="00873B6C">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873B6C" w:rsidRDefault="006648CD" w:rsidP="00461850">
      <w:pPr>
        <w:pStyle w:val="NO"/>
      </w:pPr>
      <w:r w:rsidRPr="00873B6C">
        <w:t>NOTE:</w:t>
      </w:r>
      <w:r w:rsidRPr="00873B6C">
        <w:tab/>
        <w:t>It is recommended to avoid excessive signalling load from UE due to this procedure.</w:t>
      </w:r>
    </w:p>
    <w:p w14:paraId="138884DA" w14:textId="7AF27B6B" w:rsidR="00BA212C" w:rsidRPr="00873B6C" w:rsidRDefault="00BA212C" w:rsidP="00BA212C">
      <w:pPr>
        <w:pStyle w:val="Heading2"/>
      </w:pPr>
      <w:bookmarkStart w:id="5183" w:name="_CR5_39"/>
      <w:bookmarkStart w:id="5184" w:name="_Toc201157680"/>
      <w:bookmarkEnd w:id="5183"/>
      <w:r w:rsidRPr="00873B6C">
        <w:t>5.39</w:t>
      </w:r>
      <w:r w:rsidRPr="00873B6C">
        <w:tab/>
        <w:t>Remote provisioning of credentials for NSSAA or secondary authentication/authorization</w:t>
      </w:r>
      <w:bookmarkEnd w:id="5184"/>
    </w:p>
    <w:p w14:paraId="4988DE2E" w14:textId="77777777" w:rsidR="00BA212C" w:rsidRPr="00873B6C" w:rsidRDefault="00BA212C" w:rsidP="00562E84">
      <w:pPr>
        <w:pStyle w:val="Heading3"/>
      </w:pPr>
      <w:bookmarkStart w:id="5185" w:name="_CR5_39_1"/>
      <w:bookmarkStart w:id="5186" w:name="_Toc201157681"/>
      <w:bookmarkEnd w:id="5185"/>
      <w:r w:rsidRPr="00873B6C">
        <w:t>5.39.1</w:t>
      </w:r>
      <w:r w:rsidRPr="00873B6C">
        <w:tab/>
        <w:t>General</w:t>
      </w:r>
      <w:bookmarkEnd w:id="5186"/>
    </w:p>
    <w:p w14:paraId="41C16682" w14:textId="0210CB00" w:rsidR="00BA212C" w:rsidRPr="00873B6C" w:rsidRDefault="00BA212C" w:rsidP="00BA212C">
      <w:r w:rsidRPr="00873B6C">
        <w:t>The</w:t>
      </w:r>
      <w:r w:rsidR="006310D8" w:rsidRPr="00873B6C">
        <w:t xml:space="preserve"> UE's subscribed network (i.e.</w:t>
      </w:r>
      <w:r w:rsidRPr="00873B6C">
        <w:t xml:space="preserve"> HPLMN</w:t>
      </w:r>
      <w:r w:rsidR="006310D8" w:rsidRPr="00873B6C">
        <w:t>, or subscribed SNPN)</w:t>
      </w:r>
      <w:r w:rsidRPr="00873B6C">
        <w:t xml:space="preserve"> may provide functionalities to provision or update the credentials used for NSSAA or credentials</w:t>
      </w:r>
      <w:r w:rsidR="00F00626" w:rsidRPr="00873B6C">
        <w:t xml:space="preserve"> used</w:t>
      </w:r>
      <w:r w:rsidRPr="00873B6C">
        <w:t xml:space="preserve"> for secondary authentication/authorization to the UE. The provisioning procedure</w:t>
      </w:r>
      <w:r w:rsidR="006310D8" w:rsidRPr="00873B6C">
        <w:t xml:space="preserve"> is supported</w:t>
      </w:r>
      <w:r w:rsidRPr="00873B6C">
        <w:t xml:space="preserve"> via User Plane.</w:t>
      </w:r>
    </w:p>
    <w:p w14:paraId="19C88F69" w14:textId="71B55FE4" w:rsidR="00BA212C" w:rsidRPr="00873B6C" w:rsidRDefault="00BA212C" w:rsidP="00BA212C">
      <w:r w:rsidRPr="00873B6C">
        <w:t xml:space="preserve">For User Plane </w:t>
      </w:r>
      <w:r w:rsidR="00E47495" w:rsidRPr="00873B6C">
        <w:t>Remote P</w:t>
      </w:r>
      <w:r w:rsidRPr="00873B6C">
        <w:t xml:space="preserve">rovisioning, the UE establishes a PDU </w:t>
      </w:r>
      <w:r w:rsidR="00F00626" w:rsidRPr="00873B6C">
        <w:t>S</w:t>
      </w:r>
      <w:r w:rsidRPr="00873B6C">
        <w:t>ession that is used for remote provisioning, e.g. by using DNN(s)/S-NSSAI(s) which can access the</w:t>
      </w:r>
      <w:r w:rsidR="00F00626" w:rsidRPr="00873B6C">
        <w:t xml:space="preserve"> PVS</w:t>
      </w:r>
      <w:r w:rsidRPr="00873B6C">
        <w:t>.</w:t>
      </w:r>
      <w:r w:rsidR="00DA3BBC" w:rsidRPr="00873B6C">
        <w:t xml:space="preserve"> The AMF selects an SMF used for remote provisioning using the SMF discovery and selection functionality as described in clause 6.3.2.</w:t>
      </w:r>
      <w:r w:rsidRPr="00873B6C">
        <w:t xml:space="preserve"> If the SMF is configured with the</w:t>
      </w:r>
      <w:r w:rsidR="00A46717" w:rsidRPr="00873B6C">
        <w:t xml:space="preserve"> PVS</w:t>
      </w:r>
      <w:r w:rsidRPr="00873B6C">
        <w:t xml:space="preserve"> address(es)</w:t>
      </w:r>
      <w:r w:rsidR="00A46717" w:rsidRPr="00873B6C">
        <w:t xml:space="preserve"> and/or PVS FQDN(s)</w:t>
      </w:r>
      <w:r w:rsidRPr="00873B6C">
        <w:t>, the SMF shall send the</w:t>
      </w:r>
      <w:r w:rsidR="00DA3BBC" w:rsidRPr="00873B6C">
        <w:t xml:space="preserve"> PVS address(es) and/or PVS FQDN(s)</w:t>
      </w:r>
      <w:r w:rsidRPr="00873B6C">
        <w:t xml:space="preserve"> per DNN/S-NSSAI to </w:t>
      </w:r>
      <w:r w:rsidRPr="00873B6C">
        <w:lastRenderedPageBreak/>
        <w:t xml:space="preserve">the UE via PCO during PDU Session </w:t>
      </w:r>
      <w:r w:rsidR="00FC0C60" w:rsidRPr="00873B6C">
        <w:t>E</w:t>
      </w:r>
      <w:r w:rsidRPr="00873B6C">
        <w:t>stablishment procedure</w:t>
      </w:r>
      <w:r w:rsidR="00DA3BBC" w:rsidRPr="00873B6C">
        <w:t>, based on the UE's subscribed DNN(s)/S-NSSAI(s)</w:t>
      </w:r>
      <w:r w:rsidR="00FC0C60" w:rsidRPr="00873B6C">
        <w:t xml:space="preserve"> and the UE's request of PVS information from the network</w:t>
      </w:r>
      <w:r w:rsidRPr="00873B6C">
        <w:t>. Alternatively, the UE may be configured with an address of a</w:t>
      </w:r>
      <w:r w:rsidR="00F00626" w:rsidRPr="00873B6C">
        <w:t xml:space="preserve"> PVS</w:t>
      </w:r>
      <w:r w:rsidRPr="00873B6C">
        <w:t xml:space="preserve"> or the</w:t>
      </w:r>
      <w:r w:rsidR="00F00626" w:rsidRPr="00873B6C">
        <w:t xml:space="preserve"> PVS</w:t>
      </w:r>
      <w:r w:rsidRPr="00873B6C">
        <w:t xml:space="preserve"> may subscribe for UE Reachability Notification and may use the Application Triggering procedure as specified in </w:t>
      </w:r>
      <w:r w:rsidR="00972E70" w:rsidRPr="00873B6C">
        <w:t>TS 23.502 [</w:t>
      </w:r>
      <w:r w:rsidRPr="00873B6C">
        <w:t xml:space="preserve">3] to trigger the UE to initiate the setup of </w:t>
      </w:r>
      <w:r w:rsidR="00F00626" w:rsidRPr="00873B6C">
        <w:t xml:space="preserve">a </w:t>
      </w:r>
      <w:r w:rsidRPr="00873B6C">
        <w:t>connection for remote provisioning.</w:t>
      </w:r>
    </w:p>
    <w:p w14:paraId="4D42333C" w14:textId="2AD0BEFA" w:rsidR="00A46717" w:rsidRPr="00873B6C" w:rsidRDefault="00A46717" w:rsidP="00A46717">
      <w:pPr>
        <w:pStyle w:val="Heading3"/>
      </w:pPr>
      <w:bookmarkStart w:id="5187" w:name="_CR5_39_2"/>
      <w:bookmarkStart w:id="5188" w:name="_Toc201157682"/>
      <w:bookmarkEnd w:id="5187"/>
      <w:r w:rsidRPr="00873B6C">
        <w:t>5.39.2</w:t>
      </w:r>
      <w:r w:rsidRPr="00873B6C">
        <w:tab/>
        <w:t>Configuration for the UE</w:t>
      </w:r>
      <w:bookmarkEnd w:id="5188"/>
    </w:p>
    <w:p w14:paraId="68AEDA48" w14:textId="0060E64A" w:rsidR="00A46717" w:rsidRPr="00873B6C" w:rsidRDefault="00A46717" w:rsidP="00A46717">
      <w:r w:rsidRPr="00873B6C">
        <w:t>In order to enable UP Remote Provisioning of credentials for NSSAA or secondary authentication/authorization, UE Configuration Data for UP Remote Provisioning are either pre-configured on the UE or provided by the network</w:t>
      </w:r>
      <w:r w:rsidR="00F00626" w:rsidRPr="00873B6C">
        <w:t xml:space="preserve"> to the UE</w:t>
      </w:r>
      <w:r w:rsidRPr="00873B6C">
        <w:t>. UE Configuration Data for UP Remote Provisioning provided by the network take precedence over corresponding configuration data stored in the UE.</w:t>
      </w:r>
    </w:p>
    <w:p w14:paraId="2555E67D" w14:textId="77777777" w:rsidR="00A46717" w:rsidRPr="00873B6C" w:rsidRDefault="00A46717" w:rsidP="00A46717">
      <w:r w:rsidRPr="00873B6C">
        <w:t>UE Configuration Data for UP Remote Provisioning consist of PVS IP address(es) and/or PVS FQDN(s). The PVS IP address or PVS FQDN may be associated with dedicated DNN(s) and/or S-NSSAI(s).</w:t>
      </w:r>
    </w:p>
    <w:p w14:paraId="33142407" w14:textId="3A648A18" w:rsidR="00A46717" w:rsidRPr="00873B6C" w:rsidRDefault="00A46717" w:rsidP="00A46717">
      <w:r w:rsidRPr="00873B6C">
        <w:t>If the UE does not have any PVS IP address or PVS FQDN after the establishment</w:t>
      </w:r>
      <w:r w:rsidR="00F00626" w:rsidRPr="00873B6C">
        <w:t xml:space="preserve"> of a</w:t>
      </w:r>
      <w:r w:rsidRPr="00873B6C">
        <w:t xml:space="preserve"> PDU Session used for UP remote provisioning, the UE may construct an FQDN for PVS discovery as defined in </w:t>
      </w:r>
      <w:r w:rsidR="00972E70" w:rsidRPr="00873B6C">
        <w:t>TS 23.003 [</w:t>
      </w:r>
      <w:r w:rsidRPr="00873B6C">
        <w:t>19].</w:t>
      </w:r>
    </w:p>
    <w:p w14:paraId="55AD47E4" w14:textId="77777777" w:rsidR="00A46717" w:rsidRPr="00873B6C" w:rsidRDefault="00A46717" w:rsidP="00A46717">
      <w:r w:rsidRPr="00873B6C">
        <w:t>The UE Configuration Data for UP Remote Provisioning may be stored in the ME.</w:t>
      </w:r>
    </w:p>
    <w:p w14:paraId="4EFE2F2D" w14:textId="5690B1AE" w:rsidR="00A46717" w:rsidRPr="00873B6C" w:rsidRDefault="00A46717" w:rsidP="00A46717">
      <w:r w:rsidRPr="00873B6C">
        <w:t>The UE Configuration Data for UP Remote Provisioning (i.e. PVS IP address(es) or PVS FQDN(s)) associated with dedicated DNN(s) and/or S-NSSAI(s) may be locally configured in the SMF</w:t>
      </w:r>
      <w:r w:rsidR="00FC0C60" w:rsidRPr="00873B6C">
        <w:t>. The UE Configuration Data for UP Remote Provisioning, if available, shall</w:t>
      </w:r>
      <w:r w:rsidRPr="00873B6C">
        <w:t xml:space="preserve"> be provided to the UE during the establishment of any PDU Session used for UP Remote Provisioning as part of Protocol Configuration Options (PCO) in the PDU Session Establishment Response</w:t>
      </w:r>
      <w:r w:rsidR="00FC0C60" w:rsidRPr="00873B6C">
        <w:t>, if the UE has requested the PVS information via PCO in the PDU Session Establishment Request</w:t>
      </w:r>
      <w:r w:rsidRPr="00873B6C">
        <w:t>.</w:t>
      </w:r>
    </w:p>
    <w:p w14:paraId="2B165E7F" w14:textId="506F5798" w:rsidR="00F8101C" w:rsidRPr="00873B6C" w:rsidRDefault="00F8101C" w:rsidP="00F8101C">
      <w:pPr>
        <w:pStyle w:val="Heading2"/>
      </w:pPr>
      <w:bookmarkStart w:id="5189" w:name="_CR5_40"/>
      <w:bookmarkStart w:id="5190" w:name="_Toc201157683"/>
      <w:bookmarkEnd w:id="5189"/>
      <w:r w:rsidRPr="00873B6C">
        <w:t>5.40</w:t>
      </w:r>
      <w:r w:rsidRPr="00873B6C">
        <w:tab/>
        <w:t>Support of Disaster Roaming with Minimization of Service Interruption</w:t>
      </w:r>
      <w:bookmarkEnd w:id="5190"/>
    </w:p>
    <w:p w14:paraId="0CD74C42" w14:textId="77777777" w:rsidR="00F8101C" w:rsidRPr="00873B6C" w:rsidRDefault="00F8101C" w:rsidP="00C74FFE">
      <w:pPr>
        <w:pStyle w:val="Heading3"/>
      </w:pPr>
      <w:bookmarkStart w:id="5191" w:name="_CR5_40_1"/>
      <w:bookmarkStart w:id="5192" w:name="_Toc201157684"/>
      <w:bookmarkEnd w:id="5191"/>
      <w:r w:rsidRPr="00873B6C">
        <w:t>5.40.1</w:t>
      </w:r>
      <w:r w:rsidRPr="00873B6C">
        <w:tab/>
        <w:t>General</w:t>
      </w:r>
      <w:bookmarkEnd w:id="5192"/>
    </w:p>
    <w:p w14:paraId="0ADDA40E" w14:textId="154E38D2" w:rsidR="00F8101C" w:rsidRPr="00873B6C" w:rsidRDefault="00F8101C" w:rsidP="00F8101C">
      <w:r w:rsidRPr="00873B6C">
        <w:t>Subject to operator policy and national/regional regulations, 5GS provides Disaster Roaming service for the UEs from PLMN(s) with Disaster Condition. The UE shall attempt Disaster Roaming only if:</w:t>
      </w:r>
    </w:p>
    <w:p w14:paraId="1A5153B8" w14:textId="3FAADBDC" w:rsidR="00DA3BBC" w:rsidRPr="00873B6C" w:rsidRDefault="00DA3BBC" w:rsidP="00C74FFE">
      <w:pPr>
        <w:pStyle w:val="B1"/>
      </w:pPr>
      <w:r w:rsidRPr="00873B6C">
        <w:t>-</w:t>
      </w:r>
      <w:r w:rsidRPr="00873B6C">
        <w:tab/>
        <w:t xml:space="preserve">there is no available PLMN which is allowable (see </w:t>
      </w:r>
      <w:r w:rsidR="00972E70" w:rsidRPr="00873B6C">
        <w:t>TS 23.122 [</w:t>
      </w:r>
      <w:r w:rsidRPr="00873B6C">
        <w:t>17]);</w:t>
      </w:r>
    </w:p>
    <w:p w14:paraId="14BB4EE7" w14:textId="77777777" w:rsidR="00DA3BBC" w:rsidRPr="00873B6C" w:rsidRDefault="00DA3BBC" w:rsidP="00C74FFE">
      <w:pPr>
        <w:pStyle w:val="B1"/>
      </w:pPr>
      <w:r w:rsidRPr="00873B6C">
        <w:t>-</w:t>
      </w:r>
      <w:r w:rsidRPr="00873B6C">
        <w:tab/>
        <w:t>the UE is not in RM-REGISTERED and CM-CONNECTED state over non-3GPP access connected to 5GCN;</w:t>
      </w:r>
    </w:p>
    <w:p w14:paraId="4517E6EC" w14:textId="77777777" w:rsidR="00DA3BBC" w:rsidRPr="00873B6C" w:rsidRDefault="00DA3BBC" w:rsidP="00C74FFE">
      <w:pPr>
        <w:pStyle w:val="B1"/>
      </w:pPr>
      <w:r w:rsidRPr="00873B6C">
        <w:t>-</w:t>
      </w:r>
      <w:r w:rsidRPr="00873B6C">
        <w:tab/>
        <w:t>the UE cannot get service over non-3GPP access through ePDG;</w:t>
      </w:r>
    </w:p>
    <w:p w14:paraId="786B89F6" w14:textId="7D24C128" w:rsidR="000E5655" w:rsidRPr="00873B6C" w:rsidRDefault="000E5655" w:rsidP="00C74FFE">
      <w:pPr>
        <w:pStyle w:val="B1"/>
      </w:pPr>
      <w:r w:rsidRPr="00873B6C">
        <w:t>-</w:t>
      </w:r>
      <w:r w:rsidRPr="00873B6C">
        <w:tab/>
        <w:t>the UE supports Disaster Roaming service;</w:t>
      </w:r>
    </w:p>
    <w:p w14:paraId="587BFCCB" w14:textId="07FD442B" w:rsidR="00F8101C" w:rsidRPr="00873B6C" w:rsidRDefault="00F8101C" w:rsidP="00C74FFE">
      <w:pPr>
        <w:pStyle w:val="B1"/>
      </w:pPr>
      <w:r w:rsidRPr="00873B6C">
        <w:t>-</w:t>
      </w:r>
      <w:r w:rsidRPr="00873B6C">
        <w:tab/>
        <w:t>the UE has been configured by the HPLMN with</w:t>
      </w:r>
      <w:r w:rsidR="000E5655" w:rsidRPr="00873B6C">
        <w:t xml:space="preserve"> an indication of whether Disaster roaming is enabled in the UE set to "disaster roaming is enabled in the UE" as specified in clause 5.40.2</w:t>
      </w:r>
      <w:r w:rsidRPr="00873B6C">
        <w:t>; and</w:t>
      </w:r>
    </w:p>
    <w:p w14:paraId="0DA186F5" w14:textId="77777777" w:rsidR="00F8101C" w:rsidRPr="00873B6C" w:rsidRDefault="00F8101C" w:rsidP="00C74FFE">
      <w:pPr>
        <w:pStyle w:val="B1"/>
      </w:pPr>
      <w:r w:rsidRPr="00873B6C">
        <w:t>-</w:t>
      </w:r>
      <w:r w:rsidRPr="00873B6C">
        <w:tab/>
        <w:t>a PLMN without Disaster Condition is able to accept Disaster Inbound Roamers from the PLMN with Disaster Condition.</w:t>
      </w:r>
    </w:p>
    <w:p w14:paraId="09C549E7" w14:textId="49DEA0B8" w:rsidR="00F8101C" w:rsidRPr="00873B6C" w:rsidRDefault="00F8101C" w:rsidP="00F8101C">
      <w:r w:rsidRPr="00873B6C">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873B6C" w:rsidRDefault="00F8101C" w:rsidP="00C74FFE">
      <w:pPr>
        <w:pStyle w:val="Heading3"/>
      </w:pPr>
      <w:bookmarkStart w:id="5193" w:name="_CR5_40_2"/>
      <w:bookmarkStart w:id="5194" w:name="_Toc201157685"/>
      <w:bookmarkEnd w:id="5193"/>
      <w:r w:rsidRPr="00873B6C">
        <w:t>5.40.2</w:t>
      </w:r>
      <w:r w:rsidRPr="00873B6C">
        <w:tab/>
        <w:t>UE configuration and provisioning for Disaster Roaming</w:t>
      </w:r>
      <w:bookmarkEnd w:id="5194"/>
    </w:p>
    <w:p w14:paraId="7D3DB204" w14:textId="77777777" w:rsidR="00F8101C" w:rsidRPr="00873B6C" w:rsidRDefault="00F8101C" w:rsidP="00F8101C">
      <w:r w:rsidRPr="00873B6C">
        <w:t>A UE supporting Disaster Roaming is configured with the following information:</w:t>
      </w:r>
    </w:p>
    <w:p w14:paraId="03B0ACDE" w14:textId="4B2393A3" w:rsidR="000E5655" w:rsidRPr="00873B6C" w:rsidRDefault="000E5655" w:rsidP="000E5655">
      <w:pPr>
        <w:pStyle w:val="B1"/>
      </w:pPr>
      <w:r w:rsidRPr="00873B6C">
        <w:t>-</w:t>
      </w:r>
      <w:r w:rsidRPr="00873B6C">
        <w:tab/>
        <w:t>Optionally, indication of whether disaster roaming is enabled in the UE;</w:t>
      </w:r>
    </w:p>
    <w:p w14:paraId="2EE3B28D" w14:textId="48FBE4E5" w:rsidR="000E5655" w:rsidRPr="00873B6C" w:rsidRDefault="000E5655" w:rsidP="000E5655">
      <w:pPr>
        <w:pStyle w:val="B1"/>
      </w:pPr>
      <w:r w:rsidRPr="00873B6C">
        <w:t>-</w:t>
      </w:r>
      <w:r w:rsidRPr="00873B6C">
        <w:tab/>
        <w:t>Optionally, indication of 'applicability of "lists of PLMN(s) to be used in disaster condition" provided by a VPLMN';</w:t>
      </w:r>
    </w:p>
    <w:p w14:paraId="203A9D4D" w14:textId="7E931E2C" w:rsidR="00F8101C" w:rsidRPr="00873B6C" w:rsidRDefault="00F8101C" w:rsidP="00C74FFE">
      <w:pPr>
        <w:pStyle w:val="B1"/>
      </w:pPr>
      <w:r w:rsidRPr="00873B6C">
        <w:lastRenderedPageBreak/>
        <w:t>-</w:t>
      </w:r>
      <w:r w:rsidRPr="00873B6C">
        <w:tab/>
      </w:r>
      <w:r w:rsidR="00627C2F" w:rsidRPr="00873B6C">
        <w:t>Optionally, l</w:t>
      </w:r>
      <w:r w:rsidRPr="00873B6C">
        <w:t>ist of PLMN(s) to be used in Disaster Condition.</w:t>
      </w:r>
    </w:p>
    <w:p w14:paraId="3CFF534D" w14:textId="275880D1" w:rsidR="00627C2F" w:rsidRPr="00873B6C" w:rsidRDefault="00627C2F" w:rsidP="00F8101C">
      <w:r w:rsidRPr="00873B6C">
        <w:t>The Activation of Disaster Roaming is performed by the HPLMN</w:t>
      </w:r>
      <w:r w:rsidR="00A84CD4" w:rsidRPr="00873B6C">
        <w:t xml:space="preserve"> by setting the indication of whether Disaster roaming is enabled in the UE to "disaster roaming is enabled in the UE"</w:t>
      </w:r>
      <w:r w:rsidRPr="00873B6C">
        <w:t xml:space="preserve"> using the UE Parameters Update Procedure as defined in </w:t>
      </w:r>
      <w:r w:rsidR="00972E70" w:rsidRPr="00873B6C">
        <w:t>TS 23.502 [</w:t>
      </w:r>
      <w:r w:rsidRPr="00873B6C">
        <w:t>3].</w:t>
      </w:r>
      <w:r w:rsidR="00A84CD4" w:rsidRPr="00873B6C">
        <w:t xml:space="preserve"> The UE shall only perform disaster roaming if the HPLMN has configured the UE with the indication of whether disaster roaming is enabled in the UE and set the indication to "disaster roaming is enabled in the UE".</w:t>
      </w:r>
      <w:r w:rsidR="00E47495" w:rsidRPr="00873B6C">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353045CB" w:rsidR="00F8101C" w:rsidRPr="00873B6C" w:rsidRDefault="00F8101C" w:rsidP="00F8101C">
      <w:r w:rsidRPr="00873B6C">
        <w:t>The</w:t>
      </w:r>
      <w:r w:rsidR="00627C2F" w:rsidRPr="00873B6C">
        <w:t xml:space="preserve"> optional</w:t>
      </w:r>
      <w:r w:rsidRPr="00873B6C">
        <w:t xml:space="preserve"> 'list of PLMN(s) to be used in Disaster Condition' may be pre-configured in USIM or provided by</w:t>
      </w:r>
      <w:r w:rsidR="00627C2F" w:rsidRPr="00873B6C">
        <w:t xml:space="preserve"> the</w:t>
      </w:r>
      <w:r w:rsidRPr="00873B6C">
        <w:t xml:space="preserve"> HPLMN</w:t>
      </w:r>
      <w:r w:rsidR="00627C2F" w:rsidRPr="00873B6C">
        <w:t xml:space="preserve"> during and</w:t>
      </w:r>
      <w:r w:rsidRPr="00873B6C">
        <w:t xml:space="preserve"> after a successful registration procedure over 3GPP access or non-3GPP access</w:t>
      </w:r>
      <w:r w:rsidR="00627C2F" w:rsidRPr="00873B6C">
        <w:t xml:space="preserve"> via Registration Request procedure or UE Configuration Update procedure as defined in </w:t>
      </w:r>
      <w:r w:rsidR="00972E70" w:rsidRPr="00873B6C">
        <w:t>TS 23.502 [</w:t>
      </w:r>
      <w:r w:rsidR="00627C2F" w:rsidRPr="00873B6C">
        <w:t>3]</w:t>
      </w:r>
      <w:r w:rsidRPr="00873B6C">
        <w:t>. The 'list of PLMN(s) to be used in Disaster Condition' may be configured over non-3GPP access before disaster condition has occurred.</w:t>
      </w:r>
    </w:p>
    <w:p w14:paraId="2CE7A297" w14:textId="1B6D2656" w:rsidR="00F8101C" w:rsidRPr="00873B6C" w:rsidRDefault="00F8101C" w:rsidP="00F8101C">
      <w:r w:rsidRPr="00873B6C">
        <w:t xml:space="preserve">While roaming (i.e. not in HPLMN), the Registered PLMN may provide the 'list of PLMN(s) to be used in </w:t>
      </w:r>
      <w:r w:rsidR="00627C2F" w:rsidRPr="00873B6C">
        <w:t>D</w:t>
      </w:r>
      <w:r w:rsidRPr="00873B6C">
        <w:t xml:space="preserve">isaster </w:t>
      </w:r>
      <w:r w:rsidR="00627C2F" w:rsidRPr="00873B6C">
        <w:t>C</w:t>
      </w:r>
      <w:r w:rsidRPr="00873B6C">
        <w:t>ondition</w:t>
      </w:r>
      <w:r w:rsidR="00627C2F" w:rsidRPr="00873B6C">
        <w:t>' during and</w:t>
      </w:r>
      <w:r w:rsidRPr="00873B6C">
        <w:t xml:space="preserve"> after a successful registration procedure to the UE</w:t>
      </w:r>
      <w:r w:rsidR="00627C2F" w:rsidRPr="00873B6C">
        <w:t xml:space="preserve"> via Registration Request procedure or UE Configuration Update procedure as specified in </w:t>
      </w:r>
      <w:r w:rsidR="00972E70" w:rsidRPr="00873B6C">
        <w:t>TS 23.502 [</w:t>
      </w:r>
      <w:r w:rsidR="00627C2F" w:rsidRPr="00873B6C">
        <w:t>3]</w:t>
      </w:r>
      <w:r w:rsidRPr="00873B6C">
        <w:t>. This list shall not alter any list provided by the HPLMN</w:t>
      </w:r>
      <w:r w:rsidR="00A84CD4" w:rsidRPr="00873B6C">
        <w:t xml:space="preserve"> and shall only be used if the UE is configured by the HPLMN using the UE Parameters Update Procedure as defined in </w:t>
      </w:r>
      <w:r w:rsidR="00972E70" w:rsidRPr="00873B6C">
        <w:t>TS 23.502 [</w:t>
      </w:r>
      <w:r w:rsidR="00A84CD4" w:rsidRPr="00873B6C">
        <w:t>3] with the indication of 'applicability of "lists of PLMN(s) to be used in disaster condition" provided by a VPLMN' set to "True"</w:t>
      </w:r>
      <w:r w:rsidRPr="00873B6C">
        <w:t>.</w:t>
      </w:r>
    </w:p>
    <w:p w14:paraId="5C5D10D2" w14:textId="461DA8C0" w:rsidR="00F8101C" w:rsidRPr="00873B6C" w:rsidRDefault="00F8101C" w:rsidP="00F8101C">
      <w:r w:rsidRPr="00873B6C">
        <w:t xml:space="preserve">The details of the UE behaviour regarding the usage of this list are described in </w:t>
      </w:r>
      <w:r w:rsidR="00972E70" w:rsidRPr="00873B6C">
        <w:t>TS 23.122 [</w:t>
      </w:r>
      <w:r w:rsidRPr="00873B6C">
        <w:t xml:space="preserve">17] and </w:t>
      </w:r>
      <w:r w:rsidR="00972E70" w:rsidRPr="00873B6C">
        <w:t>TS 24.501 [</w:t>
      </w:r>
      <w:r w:rsidRPr="00873B6C">
        <w:t>47].</w:t>
      </w:r>
      <w:r w:rsidR="00627C2F" w:rsidRPr="00873B6C">
        <w:t xml:space="preserve"> If the UE is not configured with 'list of PLMN(s) to be used in Disaster Condition'</w:t>
      </w:r>
      <w:r w:rsidR="00A84CD4" w:rsidRPr="00873B6C">
        <w:t>, the UE</w:t>
      </w:r>
      <w:r w:rsidR="00627C2F" w:rsidRPr="00873B6C">
        <w:t xml:space="preserve"> follows the procedure described in </w:t>
      </w:r>
      <w:r w:rsidR="00972E70" w:rsidRPr="00873B6C">
        <w:t>TS 23.122 [</w:t>
      </w:r>
      <w:r w:rsidR="00627C2F" w:rsidRPr="00873B6C">
        <w:t>17] to select PLMN to be used in Disaster Condition.</w:t>
      </w:r>
    </w:p>
    <w:p w14:paraId="2F61932D" w14:textId="09DDAA60" w:rsidR="006E7E83" w:rsidRPr="00873B6C" w:rsidRDefault="006E7E83" w:rsidP="0073598F">
      <w:r w:rsidRPr="00873B6C">
        <w:t xml:space="preserve">The HPLMN may use UE Parameters Update Procedure as defined in </w:t>
      </w:r>
      <w:r w:rsidR="00972E70" w:rsidRPr="00873B6C">
        <w:t>TS 23.502 [</w:t>
      </w:r>
      <w:r w:rsidRPr="00873B6C">
        <w:t xml:space="preserve">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w:t>
      </w:r>
      <w:r w:rsidR="00972E70" w:rsidRPr="00873B6C">
        <w:t>TS 23.502 [</w:t>
      </w:r>
      <w:r w:rsidRPr="00873B6C">
        <w:t>3].</w:t>
      </w:r>
    </w:p>
    <w:p w14:paraId="5C229BF5" w14:textId="25CFC913" w:rsidR="00F8101C" w:rsidRPr="00873B6C" w:rsidRDefault="00F8101C" w:rsidP="00C74FFE">
      <w:pPr>
        <w:pStyle w:val="Heading3"/>
      </w:pPr>
      <w:bookmarkStart w:id="5195" w:name="_CR5_40_3"/>
      <w:bookmarkStart w:id="5196" w:name="_Toc201157686"/>
      <w:bookmarkEnd w:id="5195"/>
      <w:r w:rsidRPr="00873B6C">
        <w:t>5.40.3</w:t>
      </w:r>
      <w:r w:rsidRPr="00873B6C">
        <w:tab/>
        <w:t>Disaster Condition Notification and Determination</w:t>
      </w:r>
      <w:bookmarkEnd w:id="5196"/>
    </w:p>
    <w:p w14:paraId="706901F7" w14:textId="1BC8ED85" w:rsidR="00F8101C" w:rsidRPr="00873B6C" w:rsidRDefault="00F8101C" w:rsidP="00F8101C">
      <w:r w:rsidRPr="00873B6C">
        <w:t>The NG-RAN in the PLMN that provides Disaster Roaming service, broadcasts an indication of accessibility for Disaster Roaming service</w:t>
      </w:r>
      <w:r w:rsidR="00472CD7" w:rsidRPr="00873B6C">
        <w:t xml:space="preserve"> and</w:t>
      </w:r>
      <w:r w:rsidRPr="00873B6C">
        <w:t xml:space="preserve"> optionally, a </w:t>
      </w:r>
      <w:r w:rsidR="00627C2F" w:rsidRPr="00873B6C">
        <w:t>'</w:t>
      </w:r>
      <w:r w:rsidRPr="00873B6C">
        <w:t>list of</w:t>
      </w:r>
      <w:r w:rsidR="00627C2F" w:rsidRPr="00873B6C">
        <w:t xml:space="preserve"> one or more</w:t>
      </w:r>
      <w:r w:rsidRPr="00873B6C">
        <w:t xml:space="preserve"> PLMN(s) with Disaster Condition for which Disaster Roaming service is offered by the </w:t>
      </w:r>
      <w:r w:rsidR="00627C2F" w:rsidRPr="00873B6C">
        <w:t xml:space="preserve">available </w:t>
      </w:r>
      <w:r w:rsidRPr="00873B6C">
        <w:t>PLMN</w:t>
      </w:r>
      <w:r w:rsidR="00627C2F" w:rsidRPr="00873B6C">
        <w:t>'</w:t>
      </w:r>
      <w:r w:rsidRPr="00873B6C">
        <w:t xml:space="preserve"> in the impacted area</w:t>
      </w:r>
      <w:r w:rsidR="0053150F" w:rsidRPr="00873B6C">
        <w:t xml:space="preserve"> as described in </w:t>
      </w:r>
      <w:r w:rsidR="00972E70" w:rsidRPr="00873B6C">
        <w:t>TS 38.304 [</w:t>
      </w:r>
      <w:r w:rsidR="0053150F" w:rsidRPr="00873B6C">
        <w:t xml:space="preserve">50] and </w:t>
      </w:r>
      <w:r w:rsidR="00972E70" w:rsidRPr="00873B6C">
        <w:t>TS 38.331 [</w:t>
      </w:r>
      <w:r w:rsidR="0053150F" w:rsidRPr="00873B6C">
        <w:t>28]</w:t>
      </w:r>
      <w:r w:rsidRPr="00873B6C">
        <w:t>.</w:t>
      </w:r>
    </w:p>
    <w:p w14:paraId="379F3874" w14:textId="4C08087E" w:rsidR="00F8101C" w:rsidRPr="00873B6C" w:rsidRDefault="00F8101C" w:rsidP="00F8101C">
      <w:r w:rsidRPr="00873B6C">
        <w:t>A UE determines the Disaster Condition based on the information broadcasted from the NG-RAN providing Disaster Roaming service</w:t>
      </w:r>
      <w:r w:rsidR="00472CD7" w:rsidRPr="00873B6C">
        <w:t xml:space="preserve"> and</w:t>
      </w:r>
      <w:r w:rsidRPr="00873B6C">
        <w:t xml:space="preserve"> performs the network selection and the access control for the Disaster Roaming as described in </w:t>
      </w:r>
      <w:r w:rsidR="00972E70" w:rsidRPr="00873B6C">
        <w:t>TS 23.122 [</w:t>
      </w:r>
      <w:r w:rsidRPr="00873B6C">
        <w:t xml:space="preserve">17] and </w:t>
      </w:r>
      <w:r w:rsidR="00972E70" w:rsidRPr="00873B6C">
        <w:t>TS 24.501 [</w:t>
      </w:r>
      <w:r w:rsidRPr="00873B6C">
        <w:t>47].</w:t>
      </w:r>
    </w:p>
    <w:p w14:paraId="23033CE8" w14:textId="41A6C699" w:rsidR="00F8101C" w:rsidRPr="00873B6C" w:rsidRDefault="00F8101C" w:rsidP="00C74FFE">
      <w:pPr>
        <w:pStyle w:val="NO"/>
      </w:pPr>
      <w:r w:rsidRPr="00873B6C">
        <w:t>NOTE 1:</w:t>
      </w:r>
      <w:r w:rsidRPr="00873B6C">
        <w:tab/>
        <w:t>How a PLMN is notified that another PLMN is a PLMN with Disaster Condition and how a PLMN is notified of the area where the associated Disaster Condition applies is managed by the government agencies or the authorities</w:t>
      </w:r>
      <w:r w:rsidR="00472CD7" w:rsidRPr="00873B6C">
        <w:t xml:space="preserve"> and</w:t>
      </w:r>
      <w:r w:rsidRPr="00873B6C">
        <w:t xml:space="preserve"> is out of scope of 3GPP.</w:t>
      </w:r>
    </w:p>
    <w:p w14:paraId="2E32A0C4" w14:textId="4348DAB7" w:rsidR="00F8101C" w:rsidRPr="00873B6C" w:rsidRDefault="00F8101C" w:rsidP="00C74FFE">
      <w:pPr>
        <w:pStyle w:val="NO"/>
      </w:pPr>
      <w:r w:rsidRPr="00873B6C">
        <w:t>NOTE 2:</w:t>
      </w:r>
      <w:r w:rsidRPr="00873B6C">
        <w:tab/>
        <w:t>The broadcast for Disaster Roaming service from the NG-RAN occurs only during the Disaster Condition.</w:t>
      </w:r>
    </w:p>
    <w:p w14:paraId="0CB43379" w14:textId="77777777" w:rsidR="00F8101C" w:rsidRPr="00873B6C" w:rsidRDefault="00F8101C" w:rsidP="00C74FFE">
      <w:pPr>
        <w:pStyle w:val="Heading3"/>
      </w:pPr>
      <w:bookmarkStart w:id="5197" w:name="_CR5_40_4"/>
      <w:bookmarkStart w:id="5198" w:name="_Toc201157687"/>
      <w:bookmarkEnd w:id="5197"/>
      <w:r w:rsidRPr="00873B6C">
        <w:t>5.40.4</w:t>
      </w:r>
      <w:r w:rsidRPr="00873B6C">
        <w:tab/>
        <w:t>Registration for Disaster Roaming service</w:t>
      </w:r>
      <w:bookmarkEnd w:id="5198"/>
    </w:p>
    <w:p w14:paraId="4FF9A979" w14:textId="6241B1C9" w:rsidR="00F8101C" w:rsidRPr="00873B6C" w:rsidRDefault="00F8101C" w:rsidP="00F8101C">
      <w:r w:rsidRPr="00873B6C">
        <w:t>For a UE to receive Disaster Roaming service from a PLMN providing Disaster Roaming service, the UE sends a NAS Registration Request message with Registration Type value "Disaster Roaming</w:t>
      </w:r>
      <w:r w:rsidR="0010576F" w:rsidRPr="00873B6C">
        <w:t xml:space="preserve"> Initial Registration" or "Disaster Roaming Mobility Registration Update</w:t>
      </w:r>
      <w:r w:rsidRPr="00873B6C">
        <w:t>":</w:t>
      </w:r>
    </w:p>
    <w:p w14:paraId="1D24B98E" w14:textId="294563FA" w:rsidR="00426DE4" w:rsidRPr="00873B6C" w:rsidRDefault="00F8101C" w:rsidP="00C74FFE">
      <w:pPr>
        <w:pStyle w:val="B1"/>
      </w:pPr>
      <w:r w:rsidRPr="00873B6C">
        <w:t>-</w:t>
      </w:r>
      <w:r w:rsidRPr="00873B6C">
        <w:tab/>
        <w:t>When the AMF in the PLMN providing Disaster Roaming service receives a NAS Registration Request with Registration Type set to "Disaster Roaming</w:t>
      </w:r>
      <w:r w:rsidR="0010576F" w:rsidRPr="00873B6C">
        <w:t xml:space="preserve"> Initial Registration" or "Disaster Roaming Mobility Registration Update</w:t>
      </w:r>
      <w:r w:rsidRPr="00873B6C">
        <w:t>"</w:t>
      </w:r>
      <w:r w:rsidR="00426DE4" w:rsidRPr="00873B6C">
        <w:t>;</w:t>
      </w:r>
    </w:p>
    <w:p w14:paraId="39F38EA4" w14:textId="5B3ABD12" w:rsidR="00426DE4" w:rsidRPr="00873B6C" w:rsidRDefault="00426DE4" w:rsidP="00C74FFE">
      <w:pPr>
        <w:pStyle w:val="B1"/>
      </w:pPr>
      <w:r w:rsidRPr="00873B6C">
        <w:t>-</w:t>
      </w:r>
      <w:r w:rsidRPr="00873B6C">
        <w:tab/>
      </w:r>
      <w:r w:rsidR="00F8101C" w:rsidRPr="00873B6C">
        <w:t>the AMF controls if the UE is allowed to access Disaster Roaming service in the area with Disaster Condition as specified in</w:t>
      </w:r>
      <w:r w:rsidR="00972BA6" w:rsidRPr="00873B6C">
        <w:t xml:space="preserve"> clause 4.2.2.2.2</w:t>
      </w:r>
      <w:r w:rsidR="00F8101C" w:rsidRPr="00873B6C">
        <w:t xml:space="preserve"> </w:t>
      </w:r>
      <w:r w:rsidR="00972BA6" w:rsidRPr="00873B6C">
        <w:t xml:space="preserve">of </w:t>
      </w:r>
      <w:r w:rsidR="00972E70" w:rsidRPr="00873B6C">
        <w:t>TS 23.502 [</w:t>
      </w:r>
      <w:r w:rsidR="00F8101C" w:rsidRPr="00873B6C">
        <w:t>3]</w:t>
      </w:r>
      <w:r w:rsidRPr="00873B6C">
        <w:t>;</w:t>
      </w:r>
    </w:p>
    <w:p w14:paraId="7D84AE96" w14:textId="1AF3490C" w:rsidR="00F8101C" w:rsidRPr="00873B6C" w:rsidRDefault="00426DE4" w:rsidP="00C74FFE">
      <w:pPr>
        <w:pStyle w:val="B1"/>
      </w:pPr>
      <w:r w:rsidRPr="00873B6C">
        <w:lastRenderedPageBreak/>
        <w:t>-</w:t>
      </w:r>
      <w:r w:rsidRPr="00873B6C">
        <w:tab/>
        <w:t>the AMF may provide the Disaster Roaming service indication to AUSF and UDM as specified in</w:t>
      </w:r>
      <w:r w:rsidR="00972BA6" w:rsidRPr="00873B6C">
        <w:t xml:space="preserve"> clause 4.2.2.2.2</w:t>
      </w:r>
      <w:r w:rsidRPr="00873B6C">
        <w:t xml:space="preserve"> </w:t>
      </w:r>
      <w:r w:rsidR="00972BA6" w:rsidRPr="00873B6C">
        <w:t xml:space="preserve">of </w:t>
      </w:r>
      <w:r w:rsidR="00972E70" w:rsidRPr="00873B6C">
        <w:t>TS 23.502 [</w:t>
      </w:r>
      <w:r w:rsidRPr="00873B6C">
        <w:t xml:space="preserve">3] and </w:t>
      </w:r>
      <w:r w:rsidR="00972E70" w:rsidRPr="00873B6C">
        <w:t>TS 33.501 [</w:t>
      </w:r>
      <w:r w:rsidRPr="00873B6C">
        <w:t>29]</w:t>
      </w:r>
      <w:r w:rsidR="00F8101C" w:rsidRPr="00873B6C">
        <w:t>.</w:t>
      </w:r>
      <w:r w:rsidR="00972BA6" w:rsidRPr="00873B6C">
        <w:t xml:space="preserve"> The AMF may provide the Disaster Roaming service indication to SMF as specified in clause 4.3.2 of </w:t>
      </w:r>
      <w:r w:rsidR="00972E70" w:rsidRPr="00873B6C">
        <w:t>TS 23.502 [</w:t>
      </w:r>
      <w:r w:rsidR="00972BA6" w:rsidRPr="00873B6C">
        <w:t>3].</w:t>
      </w:r>
    </w:p>
    <w:p w14:paraId="391BCE4D" w14:textId="2CCB81A6" w:rsidR="00426DE4" w:rsidRPr="00873B6C" w:rsidRDefault="00426DE4" w:rsidP="00461850">
      <w:pPr>
        <w:pStyle w:val="NO"/>
      </w:pPr>
      <w:r w:rsidRPr="00873B6C">
        <w:t>NOTE 1:</w:t>
      </w:r>
      <w:r w:rsidRPr="00873B6C">
        <w:tab/>
        <w:t>The AUSF and the UDM are configured with Disaster Condition via OAM based on operator policy and the request by the government agencies. Based on this local configuration</w:t>
      </w:r>
      <w:r w:rsidR="00972BA6" w:rsidRPr="00873B6C">
        <w:t xml:space="preserve"> and/or the Disaster Roaming service indication</w:t>
      </w:r>
      <w:r w:rsidRPr="00873B6C">
        <w:t>, the AUSF can execute authentication of the UE</w:t>
      </w:r>
      <w:r w:rsidR="00472CD7" w:rsidRPr="00873B6C">
        <w:t xml:space="preserve"> and</w:t>
      </w:r>
      <w:r w:rsidRPr="00873B6C">
        <w:t xml:space="preserve"> the UDM can provides the subscription data for a Disaster Roaming service to the AMF</w:t>
      </w:r>
      <w:r w:rsidR="005309E6" w:rsidRPr="00873B6C">
        <w:t xml:space="preserve"> and/or the SMF</w:t>
      </w:r>
      <w:r w:rsidRPr="00873B6C">
        <w:t>.</w:t>
      </w:r>
    </w:p>
    <w:p w14:paraId="0E0FA779" w14:textId="4C22493C" w:rsidR="00F8101C" w:rsidRPr="00873B6C" w:rsidRDefault="00F8101C" w:rsidP="00F8101C">
      <w:r w:rsidRPr="00873B6C">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873B6C" w:rsidRDefault="00F8101C" w:rsidP="00F8101C">
      <w:r w:rsidRPr="00873B6C">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391AC71E" w:rsidR="00F8101C" w:rsidRPr="00873B6C" w:rsidRDefault="00F8101C" w:rsidP="00F8101C">
      <w:r w:rsidRPr="00873B6C">
        <w:t>The AMF in the PLMN providing Disaster Roaming service provides the mobility restriction list to the NG-RAN as specified in clause 5.3.4.1.1 considering the area with Disaster Condition</w:t>
      </w:r>
      <w:r w:rsidR="00472CD7" w:rsidRPr="00873B6C">
        <w:t xml:space="preserve"> and</w:t>
      </w:r>
      <w:r w:rsidRPr="00873B6C">
        <w:t xml:space="preserve"> also indicating that EPC is not an allowed core network.</w:t>
      </w:r>
    </w:p>
    <w:p w14:paraId="2DCE0465" w14:textId="66C4B29C" w:rsidR="0053150F" w:rsidRPr="00873B6C" w:rsidRDefault="0053150F" w:rsidP="00461850">
      <w:pPr>
        <w:pStyle w:val="NO"/>
      </w:pPr>
      <w:r w:rsidRPr="00873B6C">
        <w:t>NOTE </w:t>
      </w:r>
      <w:r w:rsidR="009D1A77" w:rsidRPr="00873B6C">
        <w:t>2</w:t>
      </w:r>
      <w:r w:rsidRPr="00873B6C">
        <w:t>:</w:t>
      </w:r>
      <w:r w:rsidRPr="00873B6C">
        <w:tab/>
        <w:t>From the perspective of emergency services, a UE is following procedures</w:t>
      </w:r>
      <w:r w:rsidR="006F101E" w:rsidRPr="00873B6C">
        <w:t xml:space="preserve"> as described in clause 4.24 of </w:t>
      </w:r>
      <w:r w:rsidR="00972E70" w:rsidRPr="00873B6C">
        <w:t>TS 24.501 [</w:t>
      </w:r>
      <w:r w:rsidR="006F101E" w:rsidRPr="00873B6C">
        <w:t>47]</w:t>
      </w:r>
      <w:r w:rsidRPr="00873B6C">
        <w:t xml:space="preserve"> when registered for Disaster Roaming service.</w:t>
      </w:r>
    </w:p>
    <w:p w14:paraId="2F7580F1" w14:textId="69DD12FD" w:rsidR="00BA4B57" w:rsidRPr="00873B6C" w:rsidRDefault="00BA4B57" w:rsidP="00BA4B57">
      <w:pPr>
        <w:pStyle w:val="NO"/>
      </w:pPr>
      <w:r w:rsidRPr="00873B6C">
        <w:t>NOTE 3:</w:t>
      </w:r>
      <w:r w:rsidRPr="00873B6C">
        <w:tab/>
        <w:t>When the UE is registered for Disaster Roaming service, SMS over NAS can be supported with the procedures as described in clause 4.13.3.1 of TS 23.502 [3] based on subscription data.</w:t>
      </w:r>
    </w:p>
    <w:p w14:paraId="0ED780C8" w14:textId="489240D5" w:rsidR="00F8101C" w:rsidRPr="00873B6C" w:rsidRDefault="00F8101C" w:rsidP="00C74FFE">
      <w:pPr>
        <w:pStyle w:val="Heading3"/>
      </w:pPr>
      <w:bookmarkStart w:id="5199" w:name="_CR5_40_5"/>
      <w:bookmarkStart w:id="5200" w:name="_Toc201157688"/>
      <w:bookmarkEnd w:id="5199"/>
      <w:r w:rsidRPr="00873B6C">
        <w:t>5.40.5</w:t>
      </w:r>
      <w:r w:rsidRPr="00873B6C">
        <w:tab/>
        <w:t>Handling when a Disaster Condition is no longer applicable</w:t>
      </w:r>
      <w:bookmarkEnd w:id="5200"/>
    </w:p>
    <w:p w14:paraId="27EBBE82" w14:textId="01ED76FF" w:rsidR="00F8101C" w:rsidRPr="00873B6C" w:rsidRDefault="00F8101C" w:rsidP="00F8101C">
      <w:r w:rsidRPr="00873B6C">
        <w:t xml:space="preserve">When a UE detects a Disaster Condition is no longer applicable, the UE performs PLMN selection as described in </w:t>
      </w:r>
      <w:r w:rsidR="00972E70" w:rsidRPr="00873B6C">
        <w:t>TS 23.122 [</w:t>
      </w:r>
      <w:r w:rsidRPr="00873B6C">
        <w:t xml:space="preserve">17] and </w:t>
      </w:r>
      <w:r w:rsidR="00972E70" w:rsidRPr="00873B6C">
        <w:t>TS 24.501 [</w:t>
      </w:r>
      <w:r w:rsidRPr="00873B6C">
        <w:t>47] and may return to the PLMN previously with Disaster Condition.</w:t>
      </w:r>
    </w:p>
    <w:p w14:paraId="63FBF8B0" w14:textId="77777777" w:rsidR="00F8101C" w:rsidRPr="00873B6C" w:rsidRDefault="00F8101C" w:rsidP="00F8101C">
      <w:r w:rsidRPr="00873B6C">
        <w:t>A PLMN providing Disaster Roaming:</w:t>
      </w:r>
    </w:p>
    <w:p w14:paraId="5C211631" w14:textId="2025E285" w:rsidR="00F8101C" w:rsidRPr="00873B6C" w:rsidRDefault="00F8101C" w:rsidP="00C74FFE">
      <w:pPr>
        <w:pStyle w:val="B1"/>
      </w:pPr>
      <w:r w:rsidRPr="00873B6C">
        <w:t>-</w:t>
      </w:r>
      <w:r w:rsidRPr="00873B6C">
        <w:tab/>
        <w:t>May trigger the</w:t>
      </w:r>
      <w:r w:rsidR="00824EE1" w:rsidRPr="00873B6C">
        <w:t xml:space="preserve"> Disaster Inbound Roaming</w:t>
      </w:r>
      <w:r w:rsidRPr="00873B6C">
        <w:t xml:space="preserve"> UEs to return to the PLMN previously with Disaster Condition when the Disaster Inbound Roamers attempt to transit to 5GMM-CONNECTED mode.</w:t>
      </w:r>
    </w:p>
    <w:p w14:paraId="20298DCF" w14:textId="41DC7C58" w:rsidR="00824EE1" w:rsidRPr="00873B6C" w:rsidRDefault="00824EE1" w:rsidP="00C74FFE">
      <w:pPr>
        <w:pStyle w:val="B1"/>
      </w:pPr>
      <w:r w:rsidRPr="00873B6C">
        <w:t>-</w:t>
      </w:r>
      <w:r w:rsidRPr="00873B6C">
        <w:tab/>
        <w:t>May trigger the Disaster Inbound Roaming UEs to return to the PLMN previously with Disaster Condition by triggering Deregistration</w:t>
      </w:r>
      <w:r w:rsidR="006E7E83" w:rsidRPr="00873B6C">
        <w:t xml:space="preserve"> procedure</w:t>
      </w:r>
      <w:r w:rsidRPr="00873B6C">
        <w:t>.</w:t>
      </w:r>
    </w:p>
    <w:p w14:paraId="02E1116D" w14:textId="26F28C55" w:rsidR="009D1A77" w:rsidRPr="00873B6C" w:rsidRDefault="009D1A77" w:rsidP="00C74FFE">
      <w:pPr>
        <w:pStyle w:val="B1"/>
      </w:pPr>
      <w:r w:rsidRPr="00873B6C">
        <w:t>-</w:t>
      </w:r>
      <w:r w:rsidRPr="00873B6C">
        <w:tab/>
        <w:t>May trigger the Disaster Inbound Roaming UEs to return to the PLMN previously with Disaster Condition by rejecting Registration</w:t>
      </w:r>
      <w:r w:rsidR="006E7E83" w:rsidRPr="00873B6C">
        <w:t xml:space="preserve"> Request message</w:t>
      </w:r>
      <w:r w:rsidRPr="00873B6C">
        <w:t>.</w:t>
      </w:r>
    </w:p>
    <w:p w14:paraId="5347C75B" w14:textId="48AACCF6" w:rsidR="009D1A77" w:rsidRPr="00873B6C" w:rsidRDefault="009D1A77" w:rsidP="00C74FFE">
      <w:pPr>
        <w:pStyle w:val="B1"/>
      </w:pPr>
      <w:r w:rsidRPr="00873B6C">
        <w:t>-</w:t>
      </w:r>
      <w:r w:rsidRPr="00873B6C">
        <w:tab/>
        <w:t>May trigger the Disaster Inbound Roaming UEs to return to the PLMN previously with Disaster Condition by rejecting Service Request</w:t>
      </w:r>
      <w:r w:rsidR="006E7E83" w:rsidRPr="00873B6C">
        <w:t xml:space="preserve"> message</w:t>
      </w:r>
      <w:r w:rsidRPr="00873B6C">
        <w:t>.</w:t>
      </w:r>
    </w:p>
    <w:p w14:paraId="5E6C489E" w14:textId="5F40C80F" w:rsidR="00F8101C" w:rsidRPr="00873B6C" w:rsidRDefault="00F8101C" w:rsidP="00C74FFE">
      <w:pPr>
        <w:pStyle w:val="B1"/>
      </w:pPr>
      <w:r w:rsidRPr="00873B6C">
        <w:t>-</w:t>
      </w:r>
      <w:r w:rsidRPr="00873B6C">
        <w:tab/>
        <w:t>Shall organise the return of the Disaster Roaming UEs in a manner that does not cause overload (e.g. of signalling) in the PLMN that previously had the Disaster Condition.</w:t>
      </w:r>
    </w:p>
    <w:p w14:paraId="41EA3BCF" w14:textId="0A386A42" w:rsidR="0053150F" w:rsidRPr="00873B6C" w:rsidRDefault="0053150F" w:rsidP="0053150F">
      <w:pPr>
        <w:pStyle w:val="B1"/>
      </w:pPr>
      <w:r w:rsidRPr="00873B6C">
        <w:t>-</w:t>
      </w:r>
      <w:r w:rsidRPr="00873B6C">
        <w:tab/>
        <w:t>Stop broadcasting of providing Disaster Roaming service as specified in clause 5.40.3.</w:t>
      </w:r>
    </w:p>
    <w:p w14:paraId="3CF5C02D" w14:textId="6DEC6B37" w:rsidR="006E7E83" w:rsidRPr="00873B6C" w:rsidRDefault="006E7E83" w:rsidP="006E7E83">
      <w:pPr>
        <w:pStyle w:val="B1"/>
      </w:pPr>
      <w:r w:rsidRPr="00873B6C">
        <w:t>-</w:t>
      </w:r>
      <w:r w:rsidRPr="00873B6C">
        <w:tab/>
        <w:t xml:space="preserve">May determine that the disaster condition has ended and the UE which is registered for disaster roaming services has an emergency PDU session, the AMF initiates the UE configuration update procedure to indicate that the UE is registered for emergency services as described in </w:t>
      </w:r>
      <w:r w:rsidR="00972E70" w:rsidRPr="00873B6C">
        <w:t>TS 24.501 [</w:t>
      </w:r>
      <w:r w:rsidRPr="00873B6C">
        <w:t>47].</w:t>
      </w:r>
    </w:p>
    <w:p w14:paraId="5F0D6392" w14:textId="5B3DDBD1" w:rsidR="00183D3D" w:rsidRPr="00873B6C" w:rsidRDefault="00183D3D" w:rsidP="00183D3D">
      <w:pPr>
        <w:pStyle w:val="B1"/>
      </w:pPr>
      <w:r w:rsidRPr="00873B6C">
        <w:t>-</w:t>
      </w:r>
      <w:r w:rsidRPr="00873B6C">
        <w:tab/>
        <w:t xml:space="preserve">May determine that the disaster condition has ended and inform the UE by initiating the UE configuration update procedure indicating re-registration from UE is required as specified in clause 5.4.4 of </w:t>
      </w:r>
      <w:r w:rsidR="00972E70" w:rsidRPr="00873B6C">
        <w:t>TS 24.501 [</w:t>
      </w:r>
      <w:r w:rsidRPr="00873B6C">
        <w:t>47] if the UE is in CM-CONNECTED mode.</w:t>
      </w:r>
    </w:p>
    <w:p w14:paraId="7E886E0C" w14:textId="77777777" w:rsidR="00F8101C" w:rsidRPr="00873B6C" w:rsidRDefault="00F8101C" w:rsidP="00C74FFE">
      <w:pPr>
        <w:pStyle w:val="NO"/>
      </w:pPr>
      <w:r w:rsidRPr="00873B6C">
        <w:t>NOTE:</w:t>
      </w:r>
      <w:r w:rsidRPr="00873B6C">
        <w:tab/>
        <w:t>Whether and how long the PLMN waits before paging the Disaster Inbound Roamers upon being notified that a Disaster Condition no longer applies is up to operator's policy.</w:t>
      </w:r>
    </w:p>
    <w:p w14:paraId="6D5C82C6" w14:textId="1111D74D" w:rsidR="006E7E83" w:rsidRPr="00873B6C" w:rsidRDefault="006E7E83" w:rsidP="0073598F">
      <w:r w:rsidRPr="00873B6C">
        <w:lastRenderedPageBreak/>
        <w:t>The HPLMN i.e. the UDM may trigger the Disaster Inbound Roaming UEs to return to the PLMN previously with Disaster Condition by triggering Deregistration procedure.</w:t>
      </w:r>
    </w:p>
    <w:p w14:paraId="5ECD6FA0" w14:textId="1C6F1A9C" w:rsidR="00F8101C" w:rsidRPr="00873B6C" w:rsidRDefault="00F8101C" w:rsidP="00C74FFE">
      <w:pPr>
        <w:pStyle w:val="Heading3"/>
      </w:pPr>
      <w:bookmarkStart w:id="5201" w:name="_CR5_40_6"/>
      <w:bookmarkStart w:id="5202" w:name="_Toc201157689"/>
      <w:bookmarkEnd w:id="5201"/>
      <w:r w:rsidRPr="00873B6C">
        <w:t>5.40.6</w:t>
      </w:r>
      <w:r w:rsidRPr="00873B6C">
        <w:tab/>
        <w:t>Prevention of signalling overload related to Disaster Condition and Disaster Roaming service</w:t>
      </w:r>
      <w:bookmarkEnd w:id="5202"/>
    </w:p>
    <w:p w14:paraId="592F07EC" w14:textId="4EC3F009" w:rsidR="00F8101C" w:rsidRPr="00873B6C" w:rsidRDefault="00F8101C" w:rsidP="00F8101C">
      <w:r w:rsidRPr="00873B6C">
        <w:t>The load control, congestion and overload control mechanism specified in clause 5.19</w:t>
      </w:r>
      <w:r w:rsidR="00DA3BBC" w:rsidRPr="00873B6C">
        <w:t xml:space="preserve"> and access control and barring specified in clause 5.2.5</w:t>
      </w:r>
      <w:r w:rsidRPr="00873B6C">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873B6C" w:rsidRDefault="00F8101C" w:rsidP="00F8101C">
      <w:r w:rsidRPr="00873B6C">
        <w:t>To prevent signalling overload in PLMN providing Disaster Roaming, the HPLMN or registered PLMN:</w:t>
      </w:r>
    </w:p>
    <w:p w14:paraId="210D35AF" w14:textId="672B1DB7" w:rsidR="00F8101C" w:rsidRPr="00873B6C" w:rsidRDefault="00F8101C" w:rsidP="00C74FFE">
      <w:pPr>
        <w:pStyle w:val="B1"/>
      </w:pPr>
      <w:r w:rsidRPr="00873B6C">
        <w:t>-</w:t>
      </w:r>
      <w:r w:rsidRPr="00873B6C">
        <w:tab/>
        <w:t xml:space="preserve">may </w:t>
      </w:r>
      <w:r w:rsidR="00627C2F" w:rsidRPr="00873B6C">
        <w:t xml:space="preserve">provide </w:t>
      </w:r>
      <w:r w:rsidRPr="00873B6C">
        <w:t>the UE in a prioritized manner with the list of PLMNs described in clause 5.40.2 for Disaster Roaming;</w:t>
      </w:r>
    </w:p>
    <w:p w14:paraId="636F5775" w14:textId="65A93ADC" w:rsidR="00F8101C" w:rsidRPr="00873B6C" w:rsidRDefault="00F8101C" w:rsidP="00C74FFE">
      <w:pPr>
        <w:pStyle w:val="B1"/>
      </w:pPr>
      <w:r w:rsidRPr="00873B6C">
        <w:t>-</w:t>
      </w:r>
      <w:r w:rsidRPr="00873B6C">
        <w:tab/>
        <w:t>may</w:t>
      </w:r>
      <w:r w:rsidR="00627C2F" w:rsidRPr="00873B6C">
        <w:t xml:space="preserve"> provide disaster roaming wait range information to control</w:t>
      </w:r>
      <w:r w:rsidRPr="00873B6C">
        <w:t xml:space="preserve"> when the UE can initiate the registration for Disaster Roaming service upon arriving in the PLMN providing Disaster Roaming service</w:t>
      </w:r>
      <w:r w:rsidR="00627C2F" w:rsidRPr="00873B6C">
        <w:t xml:space="preserve"> as specified in </w:t>
      </w:r>
      <w:r w:rsidR="00972E70" w:rsidRPr="00873B6C">
        <w:t>TS 23.122 [</w:t>
      </w:r>
      <w:r w:rsidR="00627C2F" w:rsidRPr="00873B6C">
        <w:t xml:space="preserve">17] and </w:t>
      </w:r>
      <w:r w:rsidR="00972E70" w:rsidRPr="00873B6C">
        <w:t>TS 24.501 [</w:t>
      </w:r>
      <w:r w:rsidR="00627C2F" w:rsidRPr="00873B6C">
        <w:t>47]</w:t>
      </w:r>
      <w:r w:rsidRPr="00873B6C">
        <w:t>; and</w:t>
      </w:r>
    </w:p>
    <w:p w14:paraId="280AD6FC" w14:textId="5AFFB39B" w:rsidR="00F8101C" w:rsidRPr="00873B6C" w:rsidRDefault="00F8101C" w:rsidP="00C74FFE">
      <w:pPr>
        <w:pStyle w:val="B1"/>
      </w:pPr>
      <w:r w:rsidRPr="00873B6C">
        <w:t>-</w:t>
      </w:r>
      <w:r w:rsidRPr="00873B6C">
        <w:tab/>
        <w:t xml:space="preserve">applies Access Identity 3 for Disaster Roaming service request as specified in </w:t>
      </w:r>
      <w:r w:rsidR="00972E70" w:rsidRPr="00873B6C">
        <w:t>TS 24.501 [</w:t>
      </w:r>
      <w:r w:rsidRPr="00873B6C">
        <w:t>47].</w:t>
      </w:r>
    </w:p>
    <w:p w14:paraId="0283C9F1" w14:textId="77777777" w:rsidR="00F8101C" w:rsidRPr="00873B6C" w:rsidRDefault="00F8101C" w:rsidP="00C74FFE">
      <w:pPr>
        <w:pStyle w:val="NO"/>
      </w:pPr>
      <w:r w:rsidRPr="00873B6C">
        <w:t>NOTE:</w:t>
      </w:r>
      <w:r w:rsidRPr="00873B6C">
        <w:tab/>
        <w:t>The mechanisms available at the AMF and the SMF for mitigation of overload and congestion are used for 5GSM congestion mitigation during the Disaster Roaming.</w:t>
      </w:r>
    </w:p>
    <w:p w14:paraId="74E1B0E8" w14:textId="1220FF3C" w:rsidR="00F8101C" w:rsidRPr="00873B6C" w:rsidRDefault="00F8101C" w:rsidP="00F8101C">
      <w:r w:rsidRPr="00873B6C">
        <w:t>To prevent signalling overload by returning UEs in PLMN previously with Disaster Condition which is no long applicable, the</w:t>
      </w:r>
      <w:r w:rsidR="00627C2F" w:rsidRPr="00873B6C">
        <w:t xml:space="preserve"> HPLMN or registered PLMN</w:t>
      </w:r>
      <w:r w:rsidRPr="00873B6C">
        <w:t>:</w:t>
      </w:r>
    </w:p>
    <w:p w14:paraId="17303CCF" w14:textId="69F4000A" w:rsidR="00F8101C" w:rsidRPr="00873B6C" w:rsidRDefault="00F8101C" w:rsidP="00C74FFE">
      <w:pPr>
        <w:pStyle w:val="B1"/>
      </w:pPr>
      <w:r w:rsidRPr="00873B6C">
        <w:t>-</w:t>
      </w:r>
      <w:r w:rsidRPr="00873B6C">
        <w:tab/>
        <w:t>may</w:t>
      </w:r>
      <w:r w:rsidR="00627C2F" w:rsidRPr="00873B6C">
        <w:t xml:space="preserve"> provide disaster return wait range information to control</w:t>
      </w:r>
      <w:r w:rsidRPr="00873B6C">
        <w:t xml:space="preserve"> when the UE can initiate the registration upon returning to the PLMN previously with Disaster Condition</w:t>
      </w:r>
      <w:r w:rsidR="00627C2F" w:rsidRPr="00873B6C">
        <w:t xml:space="preserve"> as specified in </w:t>
      </w:r>
      <w:r w:rsidR="00972E70" w:rsidRPr="00873B6C">
        <w:t>TS 23.122 [</w:t>
      </w:r>
      <w:r w:rsidR="00627C2F" w:rsidRPr="00873B6C">
        <w:t xml:space="preserve">17] and </w:t>
      </w:r>
      <w:r w:rsidR="00972E70" w:rsidRPr="00873B6C">
        <w:t>TS 24.501 [</w:t>
      </w:r>
      <w:r w:rsidR="00627C2F" w:rsidRPr="00873B6C">
        <w:t>47]</w:t>
      </w:r>
      <w:r w:rsidRPr="00873B6C">
        <w:t>.</w:t>
      </w:r>
    </w:p>
    <w:p w14:paraId="7FED3605" w14:textId="6E639B0D" w:rsidR="00A46717" w:rsidRPr="00873B6C" w:rsidRDefault="00A46717" w:rsidP="00A46717">
      <w:pPr>
        <w:pStyle w:val="Heading2"/>
      </w:pPr>
      <w:bookmarkStart w:id="5203" w:name="_CR5_41"/>
      <w:bookmarkStart w:id="5204" w:name="_Toc201157690"/>
      <w:bookmarkEnd w:id="5203"/>
      <w:r w:rsidRPr="00873B6C">
        <w:t>5.41</w:t>
      </w:r>
      <w:r w:rsidRPr="00873B6C">
        <w:tab/>
        <w:t>NR RedCap</w:t>
      </w:r>
      <w:r w:rsidR="00153C7D" w:rsidRPr="00873B6C">
        <w:t xml:space="preserve"> and NR eRedCap</w:t>
      </w:r>
      <w:r w:rsidRPr="00873B6C">
        <w:t xml:space="preserve"> UEs differentiation</w:t>
      </w:r>
      <w:bookmarkEnd w:id="5204"/>
    </w:p>
    <w:p w14:paraId="37DE4246" w14:textId="2C64E651" w:rsidR="00A46717" w:rsidRPr="00873B6C" w:rsidRDefault="00A46717" w:rsidP="00A46717">
      <w:r w:rsidRPr="00873B6C">
        <w:t>This functionality is used by the network to identify traffic to/from UEs accessing over NR RedCap</w:t>
      </w:r>
      <w:r w:rsidR="00153C7D" w:rsidRPr="00873B6C">
        <w:t xml:space="preserve"> or NR eRedCap</w:t>
      </w:r>
      <w:r w:rsidRPr="00873B6C">
        <w:t>, e.g. for charging differentiation.</w:t>
      </w:r>
    </w:p>
    <w:p w14:paraId="0AD5EA30" w14:textId="0AA03ABC" w:rsidR="00A46717" w:rsidRPr="00873B6C" w:rsidRDefault="00A46717" w:rsidP="00A46717">
      <w:r w:rsidRPr="00873B6C">
        <w:t>An NR RedCap UE</w:t>
      </w:r>
      <w:r w:rsidR="00153C7D" w:rsidRPr="00873B6C">
        <w:t xml:space="preserve"> or NR eRedCap UE</w:t>
      </w:r>
      <w:r w:rsidRPr="00873B6C">
        <w:t xml:space="preserve"> using NR shall provide an NR RedCap indication</w:t>
      </w:r>
      <w:r w:rsidR="00153C7D" w:rsidRPr="00873B6C">
        <w:t xml:space="preserve"> or respectively an NR eRedCap indication</w:t>
      </w:r>
      <w:r w:rsidRPr="00873B6C">
        <w:t xml:space="preserve"> to the NG-RAN during RRC Connection Establishment procedure as defined in </w:t>
      </w:r>
      <w:r w:rsidR="00972E70" w:rsidRPr="00873B6C">
        <w:t>TS 38.300 [</w:t>
      </w:r>
      <w:r w:rsidRPr="00873B6C">
        <w:t>2</w:t>
      </w:r>
      <w:r w:rsidR="0054498C" w:rsidRPr="00873B6C">
        <w:t>7</w:t>
      </w:r>
      <w:r w:rsidRPr="00873B6C">
        <w:t>].</w:t>
      </w:r>
    </w:p>
    <w:p w14:paraId="42612142" w14:textId="5A9C10A1" w:rsidR="00A46717" w:rsidRPr="00873B6C" w:rsidRDefault="00A46717" w:rsidP="00A46717">
      <w:r w:rsidRPr="00873B6C">
        <w:t>When the UE has provided an NR RedCap indication</w:t>
      </w:r>
      <w:r w:rsidR="00153C7D" w:rsidRPr="00873B6C">
        <w:t xml:space="preserve"> indicating support of NR RedCap</w:t>
      </w:r>
      <w:r w:rsidRPr="00873B6C">
        <w:t xml:space="preserve"> to the NG-RAN during RRC Connection Establishment, the NG-RAN shall provide an NR RedCap Indication to the AMF in the Initial UE Message (see clause 4.2.2.2.1 of </w:t>
      </w:r>
      <w:r w:rsidR="00972E70" w:rsidRPr="00873B6C">
        <w:t>TS 23.502 [</w:t>
      </w:r>
      <w:r w:rsidRPr="00873B6C">
        <w:t xml:space="preserve">3] and </w:t>
      </w:r>
      <w:r w:rsidR="00972E70" w:rsidRPr="00873B6C">
        <w:t>TS 38.413 [</w:t>
      </w:r>
      <w:r w:rsidRPr="00873B6C">
        <w:t>34]).</w:t>
      </w:r>
    </w:p>
    <w:p w14:paraId="6C3E596C" w14:textId="793EA1EA" w:rsidR="00153C7D" w:rsidRPr="00873B6C" w:rsidRDefault="00153C7D" w:rsidP="00A46717">
      <w:r w:rsidRPr="00873B6C">
        <w:t>When the UE has provided an NR eRedCap indication indicating support of NR eRedCap to the NG-RAN during RRC Connection Establishment, the NG-RAN shall provide an NR eRedCap Indication to the AMF in the Initial UE Message (see clause 4.2.2.2.1 of TS 23.502 [3] and TS 38.413 [34]).</w:t>
      </w:r>
    </w:p>
    <w:p w14:paraId="67E6845F" w14:textId="144CBFCE" w:rsidR="00A46717" w:rsidRPr="00873B6C" w:rsidRDefault="00A46717" w:rsidP="00A46717">
      <w:r w:rsidRPr="00873B6C">
        <w:t>When the AMF receives an NR RedCap Indication</w:t>
      </w:r>
      <w:r w:rsidR="00153C7D" w:rsidRPr="00873B6C">
        <w:t xml:space="preserve"> or NR eRedCap Indication</w:t>
      </w:r>
      <w:r w:rsidRPr="00873B6C">
        <w:t xml:space="preserve"> from NG-RAN in an Initial UE Message, the AMF shall store the NR RedCap Indication</w:t>
      </w:r>
      <w:r w:rsidR="00153C7D" w:rsidRPr="00873B6C">
        <w:t xml:space="preserve"> or NR RedCap Indication</w:t>
      </w:r>
      <w:r w:rsidRPr="00873B6C">
        <w:t xml:space="preserve"> in the UE context, consider that the RAT type is NR RedCap</w:t>
      </w:r>
      <w:r w:rsidR="00153C7D" w:rsidRPr="00873B6C">
        <w:t xml:space="preserve"> or NR eRedCap</w:t>
      </w:r>
      <w:r w:rsidRPr="00873B6C">
        <w:t xml:space="preserve"> and signal it accordingly to the SMSF during registration procedure for SMS over NAS, to the SMF during PDU Session Establishment or PDU Session Modification procedure.</w:t>
      </w:r>
      <w:r w:rsidR="00CD22D1" w:rsidRPr="00873B6C">
        <w:t xml:space="preserve"> The PCF can also receive the NR RedCap or NR eRedCap RAT type when applicable from the AMF using the PCRT on Access Type change specified in clause 6.1.2.5 of TS 23.503 [45] during AM Policy Association Establishment or AM Policy Association Modification procedure</w:t>
      </w:r>
      <w:r w:rsidR="00472CD7" w:rsidRPr="00873B6C">
        <w:t xml:space="preserve"> and</w:t>
      </w:r>
      <w:r w:rsidR="00CD22D1" w:rsidRPr="00873B6C">
        <w:t xml:space="preserve"> from the SMF using the PCRT on Access Type change specified in clause 6.1.3.5 of TS 23.503 [45] during SM Policy Association Establishment or SM Policy Association Modification procedure.</w:t>
      </w:r>
    </w:p>
    <w:p w14:paraId="02D6724E" w14:textId="11523267" w:rsidR="00627C2F" w:rsidRPr="00873B6C" w:rsidRDefault="00627C2F" w:rsidP="00A46717">
      <w:r w:rsidRPr="00873B6C">
        <w:t>During handover from E-UTRA to NR, the target NG-RAN (i.e. gNB) provides the NR RedCap indication</w:t>
      </w:r>
      <w:r w:rsidR="00153C7D" w:rsidRPr="00873B6C">
        <w:t xml:space="preserve"> or NR eRedCap indication</w:t>
      </w:r>
      <w:r w:rsidRPr="00873B6C">
        <w:t xml:space="preserve">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w:t>
      </w:r>
      <w:r w:rsidR="00972E70" w:rsidRPr="00873B6C">
        <w:t>TS 38.300 [</w:t>
      </w:r>
      <w:r w:rsidRPr="00873B6C">
        <w:t>27].</w:t>
      </w:r>
    </w:p>
    <w:p w14:paraId="3BA94DB5" w14:textId="307075EC" w:rsidR="00A46717" w:rsidRPr="00873B6C" w:rsidRDefault="00A46717" w:rsidP="00A46717">
      <w:r w:rsidRPr="00873B6C">
        <w:t>The NFs interacting with CHF shall include the NR RedCap</w:t>
      </w:r>
      <w:r w:rsidR="00153C7D" w:rsidRPr="00873B6C">
        <w:t xml:space="preserve"> or NR eRedCap</w:t>
      </w:r>
      <w:r w:rsidRPr="00873B6C">
        <w:t xml:space="preserve"> as RAT type.</w:t>
      </w:r>
    </w:p>
    <w:p w14:paraId="318AB5B3" w14:textId="5A7AE4A3" w:rsidR="00A46717" w:rsidRPr="00873B6C" w:rsidRDefault="00A46717" w:rsidP="00A46717">
      <w:r w:rsidRPr="00873B6C">
        <w:lastRenderedPageBreak/>
        <w:t>Upon AMF change, the source AMF shall provide the "NR RedCap Indication"</w:t>
      </w:r>
      <w:r w:rsidR="00153C7D" w:rsidRPr="00873B6C">
        <w:t xml:space="preserve"> or "NR eRedCap Indication"</w:t>
      </w:r>
      <w:r w:rsidRPr="00873B6C">
        <w:t xml:space="preserve"> to the target AMF.</w:t>
      </w:r>
    </w:p>
    <w:p w14:paraId="4582F93B" w14:textId="46E6AAF8" w:rsidR="00CD22D1" w:rsidRPr="00873B6C" w:rsidRDefault="00CD22D1" w:rsidP="00CD22D1">
      <w:r w:rsidRPr="00873B6C">
        <w:t>If a UE supports either NR RedCap or NR eRedCap as specified in TS 38.306 [69] and the UE NG-RAN Radio Capability information changes following the procedure in clause 5.4.4.1, when the UE performs RRC Connection Establishment procedure, the UE shall report the NR RedCap indication or NR eRedCap indication that applies to the new Radio Capability.</w:t>
      </w:r>
    </w:p>
    <w:p w14:paraId="2D145B17" w14:textId="5FB2DDA5" w:rsidR="00D841E1" w:rsidRPr="00873B6C" w:rsidRDefault="00D841E1" w:rsidP="00D841E1">
      <w:pPr>
        <w:pStyle w:val="Heading2"/>
      </w:pPr>
      <w:bookmarkStart w:id="5205" w:name="_CR5_42"/>
      <w:bookmarkStart w:id="5206" w:name="_Toc201157691"/>
      <w:bookmarkEnd w:id="5205"/>
      <w:r w:rsidRPr="00873B6C">
        <w:t>5.42</w:t>
      </w:r>
      <w:r w:rsidRPr="00873B6C">
        <w:tab/>
        <w:t>Support of Non-seamless WLAN offload</w:t>
      </w:r>
      <w:bookmarkEnd w:id="5206"/>
    </w:p>
    <w:p w14:paraId="33F9AD5B" w14:textId="77777777" w:rsidR="00D841E1" w:rsidRPr="00873B6C" w:rsidRDefault="00D841E1" w:rsidP="00D841E1">
      <w:r w:rsidRPr="00873B6C">
        <w:t>Non-seamless WLAN offload is an optional capability of a UE supporting WLAN radio access.</w:t>
      </w:r>
    </w:p>
    <w:p w14:paraId="17FB359C" w14:textId="77777777" w:rsidR="00D841E1" w:rsidRPr="00873B6C" w:rsidRDefault="00D841E1" w:rsidP="00D841E1">
      <w:r w:rsidRPr="00873B6C">
        <w:t>The architecture to support authentication for Non-seamless WLAN offload in 5GS is defined in clause 4.2.15.</w:t>
      </w:r>
    </w:p>
    <w:p w14:paraId="20B9632B" w14:textId="376A088D" w:rsidR="00D841E1" w:rsidRPr="00873B6C" w:rsidRDefault="00D45059" w:rsidP="00D841E1">
      <w:r w:rsidRPr="00873B6C">
        <w:t xml:space="preserve">A </w:t>
      </w:r>
      <w:r w:rsidR="00D841E1" w:rsidRPr="00873B6C">
        <w:t xml:space="preserve">UE supporting </w:t>
      </w:r>
      <w:r w:rsidRPr="00873B6C">
        <w:t>N</w:t>
      </w:r>
      <w:r w:rsidR="00D841E1" w:rsidRPr="00873B6C">
        <w:t xml:space="preserve">on-seamless WLAN offload may, while connected to WLAN access, route specific data flows via the WLAN access without traversing the 5GC. These UE data flows are identified using URSP configuration for Non-Seamless Offload, or UE Local Configurations as defined in </w:t>
      </w:r>
      <w:r w:rsidR="00972E70" w:rsidRPr="00873B6C">
        <w:t>TS 23.503 [</w:t>
      </w:r>
      <w:r w:rsidR="00D841E1" w:rsidRPr="00873B6C">
        <w:t>45]. For these data flows, the UE uses the local IP address allocated by the WLAN access network and no IP address preservation is provided between WLAN and NG-RAN.</w:t>
      </w:r>
    </w:p>
    <w:p w14:paraId="19A8A326" w14:textId="6CBA3BF5" w:rsidR="00D841E1" w:rsidRPr="00873B6C" w:rsidRDefault="00D841E1" w:rsidP="00D841E1">
      <w:r w:rsidRPr="00873B6C">
        <w:t xml:space="preserve">For performing the </w:t>
      </w:r>
      <w:r w:rsidR="00D45059" w:rsidRPr="00873B6C">
        <w:t>N</w:t>
      </w:r>
      <w:r w:rsidRPr="00873B6C">
        <w:t xml:space="preserve">on-seamless WLAN offload, the UE needs to acquire a local IP address </w:t>
      </w:r>
      <w:r w:rsidR="00D45059" w:rsidRPr="00873B6C">
        <w:t xml:space="preserve">from the </w:t>
      </w:r>
      <w:r w:rsidRPr="00873B6C">
        <w:t>WLAN access</w:t>
      </w:r>
      <w:r w:rsidR="00D45059" w:rsidRPr="00873B6C">
        <w:t xml:space="preserve"> network</w:t>
      </w:r>
      <w:r w:rsidRPr="00873B6C">
        <w:t xml:space="preserve"> and it is not required to connect to an N3IWF, ePDG or TNGF. If the WLAN</w:t>
      </w:r>
      <w:r w:rsidR="00D45059" w:rsidRPr="00873B6C">
        <w:t xml:space="preserve"> access</w:t>
      </w:r>
      <w:r w:rsidRPr="00873B6C">
        <w:t xml:space="preserve"> network is configured to require the 5GS based access authentication of the UE for connecting to the WLAN, the UE performs</w:t>
      </w:r>
      <w:r w:rsidR="00D45059" w:rsidRPr="00873B6C">
        <w:t xml:space="preserve"> the</w:t>
      </w:r>
      <w:r w:rsidRPr="00873B6C">
        <w:t xml:space="preserve"> authentication procedure for Non-seamless WLAN offload in 5GS defined in clause 4.2.15 and in Annex S of </w:t>
      </w:r>
      <w:r w:rsidR="00972E70" w:rsidRPr="00873B6C">
        <w:t>TS 33.501 [</w:t>
      </w:r>
      <w:r w:rsidRPr="00873B6C">
        <w:t>29]. After successful authentication, the UE is not considered to be entered in 5GS Registered state. The UE can send and receive traffic not traversing the 5GC</w:t>
      </w:r>
      <w:r w:rsidR="00D45059" w:rsidRPr="00873B6C">
        <w:t xml:space="preserve"> </w:t>
      </w:r>
      <w:r w:rsidRPr="00873B6C">
        <w:t>and which is not under the control of</w:t>
      </w:r>
      <w:r w:rsidR="00D45059" w:rsidRPr="00873B6C">
        <w:t xml:space="preserve"> the</w:t>
      </w:r>
      <w:r w:rsidRPr="00873B6C">
        <w:t xml:space="preserve"> 5GC.</w:t>
      </w:r>
    </w:p>
    <w:p w14:paraId="6C672C72" w14:textId="440CC51A" w:rsidR="00B7520E" w:rsidRPr="00873B6C" w:rsidRDefault="00B7520E" w:rsidP="00D841E1">
      <w:r w:rsidRPr="00873B6C">
        <w:t>A non-3GPP access network may be connected via SWa' to multiple PLMNs for 5G NSWO. In a roaming scenario the HPLMN may be reached by the UE via a WLAN access connected to more than one VPLMN. Therefore, a UE when roaming shall be able to indicate a specific selected VPLMN using decorated NAI for 5G NSWO</w:t>
      </w:r>
      <w:r w:rsidR="00F13E92" w:rsidRPr="00873B6C">
        <w:t>, as specified in clauses 28.7.9.1 and 28.7.9.2 of TS 23.003 [19],</w:t>
      </w:r>
      <w:r w:rsidRPr="00873B6C">
        <w:t xml:space="preserve"> through which the NSWO request should be sent towards the HPLMN.</w:t>
      </w:r>
    </w:p>
    <w:p w14:paraId="057FC1E0" w14:textId="77777777" w:rsidR="009F0D6B" w:rsidRPr="00873B6C" w:rsidRDefault="009F0D6B" w:rsidP="00D841E1">
      <w:r w:rsidRPr="00873B6C">
        <w:t>A non-3GPP access network may be connected to multiple SNPNs different from the Credentials Holder for 5G NSWO. When using the credentials owned by CH, the UE shall be able to indicate a specific selected SNPN (e.g. using decorated NAI for 5G NSWO) through which the NSWO request should be sent towards the CH in the following scenarios:</w:t>
      </w:r>
    </w:p>
    <w:p w14:paraId="7CAE850B" w14:textId="77777777" w:rsidR="009F0D6B" w:rsidRPr="00873B6C" w:rsidRDefault="009F0D6B" w:rsidP="00FA7D5B">
      <w:pPr>
        <w:pStyle w:val="B1"/>
      </w:pPr>
      <w:r w:rsidRPr="00873B6C">
        <w:t>-</w:t>
      </w:r>
      <w:r w:rsidRPr="00873B6C">
        <w:tab/>
        <w:t>The CH hosts AUSF/UDM and the CH is reached by the UE via a WLAN access connected to a SNPN different from the CH as defined in Figure 4.2.15-3a.</w:t>
      </w:r>
    </w:p>
    <w:p w14:paraId="293D19D3" w14:textId="77777777" w:rsidR="009F0D6B" w:rsidRPr="00873B6C" w:rsidRDefault="009F0D6B" w:rsidP="00FA7D5B">
      <w:pPr>
        <w:pStyle w:val="B1"/>
      </w:pPr>
      <w:r w:rsidRPr="00873B6C">
        <w:t>-</w:t>
      </w:r>
      <w:r w:rsidRPr="00873B6C">
        <w:tab/>
        <w:t>The CH hosts AAA server and the CH is reached by the UE via a WLAN access connected to the AAA proxy in specific SNPN as defined in Figure 4.2.15-3b.</w:t>
      </w:r>
    </w:p>
    <w:p w14:paraId="0D0B9667" w14:textId="127EE5A8" w:rsidR="00D841E1" w:rsidRPr="00873B6C" w:rsidRDefault="00D841E1" w:rsidP="00D841E1">
      <w:r w:rsidRPr="00873B6C">
        <w:t>A UE connected to a WLAN access network using 5GS credentials (as shown in Figure 4.2.15-1), may also be connected to</w:t>
      </w:r>
      <w:r w:rsidR="00D45059" w:rsidRPr="00873B6C">
        <w:t xml:space="preserve"> the</w:t>
      </w:r>
      <w:r w:rsidRPr="00873B6C">
        <w:t xml:space="preserve"> 5GC</w:t>
      </w:r>
      <w:r w:rsidR="00D45059" w:rsidRPr="00873B6C">
        <w:t>, for example to establish a PDU session</w:t>
      </w:r>
      <w:r w:rsidRPr="00873B6C">
        <w:t xml:space="preserve">. </w:t>
      </w:r>
      <w:r w:rsidR="00D45059" w:rsidRPr="00873B6C">
        <w:t xml:space="preserve">For example, the </w:t>
      </w:r>
      <w:r w:rsidRPr="00873B6C">
        <w:t>UE may connect to</w:t>
      </w:r>
      <w:r w:rsidR="00D45059" w:rsidRPr="00873B6C">
        <w:t xml:space="preserve"> the</w:t>
      </w:r>
      <w:r w:rsidRPr="00873B6C">
        <w:t xml:space="preserve"> 5GC either via another access type (such as NG-RAN), or via the same WLAN access network </w:t>
      </w:r>
      <w:r w:rsidR="00D45059" w:rsidRPr="00873B6C">
        <w:t xml:space="preserve">by </w:t>
      </w:r>
      <w:r w:rsidRPr="00873B6C">
        <w:t xml:space="preserve">performing the 5GS registration via </w:t>
      </w:r>
      <w:r w:rsidR="00D45059" w:rsidRPr="00873B6C">
        <w:t>U</w:t>
      </w:r>
      <w:r w:rsidRPr="00873B6C">
        <w:t xml:space="preserve">ntrusted non-3GPP access procedure (using N3IWF) or interworking between ePDG connected to EPC and 5GS (using ePDG) defined in </w:t>
      </w:r>
      <w:r w:rsidR="00972E70" w:rsidRPr="00873B6C">
        <w:t>TS 23.502 [</w:t>
      </w:r>
      <w:r w:rsidRPr="00873B6C">
        <w:t>3].</w:t>
      </w:r>
    </w:p>
    <w:p w14:paraId="03E99237" w14:textId="57497557" w:rsidR="00D841E1" w:rsidRPr="00873B6C" w:rsidRDefault="00D841E1" w:rsidP="00D841E1">
      <w:r w:rsidRPr="00873B6C">
        <w:t xml:space="preserve">When a UE is connected to a WLAN access network </w:t>
      </w:r>
      <w:r w:rsidR="00D45059" w:rsidRPr="00873B6C">
        <w:t xml:space="preserve">(e.g. </w:t>
      </w:r>
      <w:r w:rsidRPr="00873B6C">
        <w:t>using 5GS credentials</w:t>
      </w:r>
      <w:r w:rsidR="00D45059" w:rsidRPr="00873B6C">
        <w:t>)</w:t>
      </w:r>
      <w:r w:rsidRPr="00873B6C">
        <w:t xml:space="preserve"> and using an </w:t>
      </w:r>
      <w:r w:rsidR="00D45059" w:rsidRPr="00873B6C">
        <w:t>U</w:t>
      </w:r>
      <w:r w:rsidRPr="00873B6C">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1EA15E59" w:rsidR="00D45059" w:rsidRPr="00873B6C" w:rsidRDefault="00D45059" w:rsidP="00D45059">
      <w:r w:rsidRPr="00873B6C">
        <w:t xml:space="preserve">A UE may use the Registration procedure for Trusted non-3GPP access defined in clause 4.12a.2.2 of </w:t>
      </w:r>
      <w:r w:rsidR="00972E70" w:rsidRPr="00873B6C">
        <w:t>TS 23.502 [</w:t>
      </w:r>
      <w:r w:rsidR="00695DF1" w:rsidRPr="00873B6C">
        <w:t>3</w:t>
      </w:r>
      <w:r w:rsidRPr="00873B6C">
        <w:t>] and then determine to send some traffic (to be subject to Non-seamless WLAN offload) outside of the IPSec tunnel established with the TNGF.</w:t>
      </w:r>
    </w:p>
    <w:p w14:paraId="589FDEB5" w14:textId="0D7BBD1D" w:rsidR="00D45059" w:rsidRPr="00873B6C" w:rsidRDefault="00D45059" w:rsidP="0073598F">
      <w:pPr>
        <w:pStyle w:val="NO"/>
      </w:pPr>
      <w:r w:rsidRPr="00873B6C">
        <w:t>NOTE:</w:t>
      </w:r>
      <w:r w:rsidRPr="00873B6C">
        <w:tab/>
        <w:t>A UE cannot first connect to a WLAN access network using 5GS credentials and without performing 5GS registration</w:t>
      </w:r>
      <w:r w:rsidR="00472CD7" w:rsidRPr="00873B6C">
        <w:t xml:space="preserve"> and</w:t>
      </w:r>
      <w:r w:rsidRPr="00873B6C">
        <w:t xml:space="preserve">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w:t>
      </w:r>
      <w:r w:rsidR="00972E70" w:rsidRPr="00873B6C">
        <w:t>TS 23.502 [</w:t>
      </w:r>
      <w:r w:rsidR="00695DF1" w:rsidRPr="00873B6C">
        <w:t>3</w:t>
      </w:r>
      <w:r w:rsidRPr="00873B6C">
        <w:t>].</w:t>
      </w:r>
    </w:p>
    <w:p w14:paraId="74A30E77" w14:textId="7583D271" w:rsidR="00D45059" w:rsidRPr="00873B6C" w:rsidRDefault="00D45059" w:rsidP="00D45059">
      <w:r w:rsidRPr="00873B6C">
        <w:lastRenderedPageBreak/>
        <w:t xml:space="preserve">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w:t>
      </w:r>
      <w:r w:rsidR="00972E70" w:rsidRPr="00873B6C">
        <w:t>TS 23.003 [</w:t>
      </w:r>
      <w:r w:rsidRPr="00873B6C">
        <w:t>19]).</w:t>
      </w:r>
    </w:p>
    <w:p w14:paraId="6E9306EE" w14:textId="0950FE1F" w:rsidR="00D45059" w:rsidRPr="00873B6C" w:rsidRDefault="00D45059" w:rsidP="00D45059">
      <w:r w:rsidRPr="00873B6C">
        <w:t xml:space="preserve">The NAI format for 5G NSWO is defined in </w:t>
      </w:r>
      <w:r w:rsidR="00972E70" w:rsidRPr="00873B6C">
        <w:t>TS 23.003 [</w:t>
      </w:r>
      <w:r w:rsidRPr="00873B6C">
        <w:t>19].</w:t>
      </w:r>
    </w:p>
    <w:p w14:paraId="3FED4130" w14:textId="140C2930" w:rsidR="004817F2" w:rsidRPr="00873B6C" w:rsidRDefault="004817F2" w:rsidP="004817F2">
      <w:pPr>
        <w:pStyle w:val="Heading2"/>
      </w:pPr>
      <w:bookmarkStart w:id="5207" w:name="_CR5_43"/>
      <w:bookmarkStart w:id="5208" w:name="_Toc201157692"/>
      <w:bookmarkEnd w:id="5207"/>
      <w:r w:rsidRPr="00873B6C">
        <w:t>5.43</w:t>
      </w:r>
      <w:r w:rsidRPr="00873B6C">
        <w:tab/>
        <w:t>Support for 5G Satellite Backhaul</w:t>
      </w:r>
      <w:bookmarkEnd w:id="5208"/>
    </w:p>
    <w:p w14:paraId="3194C126" w14:textId="23570A32" w:rsidR="004817F2" w:rsidRPr="00873B6C" w:rsidRDefault="004817F2" w:rsidP="004817F2">
      <w:pPr>
        <w:pStyle w:val="Heading3"/>
      </w:pPr>
      <w:bookmarkStart w:id="5209" w:name="_CR5_43_1"/>
      <w:bookmarkStart w:id="5210" w:name="_Toc201157693"/>
      <w:bookmarkEnd w:id="5209"/>
      <w:r w:rsidRPr="00873B6C">
        <w:t>5.43.1</w:t>
      </w:r>
      <w:r w:rsidRPr="00873B6C">
        <w:tab/>
        <w:t>General</w:t>
      </w:r>
      <w:bookmarkEnd w:id="5210"/>
    </w:p>
    <w:p w14:paraId="56C09D0D" w14:textId="77777777" w:rsidR="00A92B4B" w:rsidRPr="00873B6C" w:rsidRDefault="00A92B4B" w:rsidP="004817F2">
      <w:r w:rsidRPr="00873B6C">
        <w:t>Satellite may be used as part of the backhaul between (R)AN and 5GC. The 5G System supports to report of usage of satellite backhaul as described in clause 5.43.2.</w:t>
      </w:r>
    </w:p>
    <w:p w14:paraId="0FF7D406" w14:textId="4F9B7902" w:rsidR="00A92B4B" w:rsidRPr="00873B6C" w:rsidRDefault="00A92B4B" w:rsidP="004817F2">
      <w:r w:rsidRPr="00873B6C">
        <w:t>For some deployments, UPF may be deployed on the satellite. In these cases, edge computing or local switch via UPF deployed on the satellite may be performed as described in clauses 5.43.2 and 5.43.3. Deployments with satellite backhaul and edge computing with UPF on the ground is supported as described in clause 5.13, i.e. without satellite backhaul specific requirements.</w:t>
      </w:r>
    </w:p>
    <w:p w14:paraId="5D2EE193" w14:textId="4EF50E07" w:rsidR="004817F2" w:rsidRPr="00873B6C" w:rsidRDefault="00A92B4B" w:rsidP="00A92B4B">
      <w:pPr>
        <w:pStyle w:val="Heading3"/>
      </w:pPr>
      <w:bookmarkStart w:id="5211" w:name="_CR5_43_2"/>
      <w:bookmarkStart w:id="5212" w:name="_Toc201157694"/>
      <w:bookmarkEnd w:id="5211"/>
      <w:r w:rsidRPr="00873B6C">
        <w:t>5.43.2</w:t>
      </w:r>
      <w:r w:rsidRPr="00873B6C">
        <w:tab/>
        <w:t>Edge Computing via UPF deployed on satellite</w:t>
      </w:r>
      <w:bookmarkEnd w:id="5212"/>
    </w:p>
    <w:p w14:paraId="5D3D716F" w14:textId="521F597F" w:rsidR="00A92B4B" w:rsidRPr="00873B6C" w:rsidRDefault="00A92B4B" w:rsidP="00A92B4B">
      <w:r w:rsidRPr="00873B6C">
        <w:t>This clause only applies to the case where Edge Computing is deployed with UPF and Edge Computing services on-board the satellite. The UPF deployed on satellite can act as UL CL/BP/local PSA UPF or act as PSA UPF.</w:t>
      </w:r>
    </w:p>
    <w:p w14:paraId="202F4650" w14:textId="0A5A9990" w:rsidR="00A92B4B" w:rsidRPr="00873B6C" w:rsidRDefault="00A92B4B" w:rsidP="00695DF1">
      <w:pPr>
        <w:pStyle w:val="NO"/>
      </w:pPr>
      <w:r w:rsidRPr="00873B6C">
        <w:t>NOTE 1:</w:t>
      </w:r>
      <w:r w:rsidRPr="00873B6C">
        <w:tab/>
        <w:t>In this Release, Edge Computing via UPF deployed on satellite only applies to GEO satellite backhaul.</w:t>
      </w:r>
    </w:p>
    <w:p w14:paraId="049AB393" w14:textId="124D3545" w:rsidR="00A92B4B" w:rsidRPr="00873B6C" w:rsidRDefault="000C6BFB" w:rsidP="00A92B4B">
      <w:r w:rsidRPr="00873B6C">
        <w:t xml:space="preserve">To select </w:t>
      </w:r>
      <w:r w:rsidR="00A92B4B" w:rsidRPr="00873B6C">
        <w:t>the UPF deployed on satellite as PSA, the following enhancements apply:</w:t>
      </w:r>
    </w:p>
    <w:p w14:paraId="68796C92" w14:textId="6EB3A35C" w:rsidR="00A92B4B" w:rsidRPr="00873B6C" w:rsidRDefault="00A92B4B" w:rsidP="00695DF1">
      <w:pPr>
        <w:pStyle w:val="B1"/>
      </w:pPr>
      <w:r w:rsidRPr="00873B6C">
        <w:t>-</w:t>
      </w:r>
      <w:r w:rsidRPr="00873B6C">
        <w:tab/>
        <w:t>If the UE is accessing gNB with satellite backhaul</w:t>
      </w:r>
      <w:r w:rsidR="00472CD7" w:rsidRPr="00873B6C">
        <w:t xml:space="preserve"> and</w:t>
      </w:r>
      <w:r w:rsidRPr="00873B6C">
        <w:t xml:space="preserve"> AMF is aware</w:t>
      </w:r>
      <w:r w:rsidR="000C6BFB" w:rsidRPr="00873B6C">
        <w:t xml:space="preserve"> of</w:t>
      </w:r>
      <w:r w:rsidRPr="00873B6C">
        <w:t xml:space="preserve"> the satellite backhaul category, the AMF sends the satellite backhaul category to the PCF. If GEO satellite backhaul category is indicated, the PCF may take it into account to generate or update the URSP rule as defined in clause 6.1.2.2 of </w:t>
      </w:r>
      <w:r w:rsidR="00972E70" w:rsidRPr="00873B6C">
        <w:t>TS 23.503 [</w:t>
      </w:r>
      <w:r w:rsidRPr="00873B6C">
        <w:t>45] to including an appropriate Route Selection Descriptor for services deployed on GEO satellite, which further enable PDU Session Establishment with PSA UPF on the satellite.</w:t>
      </w:r>
    </w:p>
    <w:p w14:paraId="2C51CD18" w14:textId="3E4E75D5" w:rsidR="00A92B4B" w:rsidRPr="00873B6C" w:rsidRDefault="000C6BFB" w:rsidP="00A92B4B">
      <w:r w:rsidRPr="00873B6C">
        <w:t xml:space="preserve">Based on GEO satellite ID provided by the AMF, </w:t>
      </w:r>
      <w:r w:rsidR="00A92B4B" w:rsidRPr="00873B6C">
        <w:t>the SMF performs</w:t>
      </w:r>
      <w:r w:rsidR="00F05BA4" w:rsidRPr="00873B6C">
        <w:t xml:space="preserve"> PSA UPF selection or</w:t>
      </w:r>
      <w:r w:rsidR="00A92B4B" w:rsidRPr="00873B6C">
        <w:t xml:space="preserve"> UL CL/BP/local PSA selection and insertion during the PDU Session Establishment procedure as described in clause 4.3.2 of </w:t>
      </w:r>
      <w:r w:rsidR="00972E70" w:rsidRPr="00873B6C">
        <w:t>TS 23.502 [</w:t>
      </w:r>
      <w:r w:rsidR="00A92B4B" w:rsidRPr="00873B6C">
        <w:t xml:space="preserve">3] or PDU Session Modification procedure as described in clause 4.3.3 of </w:t>
      </w:r>
      <w:r w:rsidR="00972E70" w:rsidRPr="00873B6C">
        <w:t>TS 23.502 [</w:t>
      </w:r>
      <w:r w:rsidR="00A92B4B" w:rsidRPr="00873B6C">
        <w:t>3]</w:t>
      </w:r>
      <w:r w:rsidRPr="00873B6C">
        <w:t xml:space="preserve"> to select the UPF deployed on the GEO satellite if available</w:t>
      </w:r>
      <w:r w:rsidR="00A92B4B" w:rsidRPr="00873B6C">
        <w:t>, which includes:</w:t>
      </w:r>
    </w:p>
    <w:p w14:paraId="4B1339A0" w14:textId="76132914" w:rsidR="00A92B4B" w:rsidRPr="00873B6C" w:rsidRDefault="00A92B4B" w:rsidP="00A92B4B">
      <w:pPr>
        <w:pStyle w:val="B1"/>
      </w:pPr>
      <w:r w:rsidRPr="00873B6C">
        <w:t>-</w:t>
      </w:r>
      <w:r w:rsidRPr="00873B6C">
        <w:tab/>
        <w:t>Based on configuration, the AMF may determine the GEO Satellite ID serving the UE and send it to the SMF. If GEO satellite ID changes, e.g. due to UE handover to an gNB using different GEO satellite as part of backhaul, the AMF may update the latest GEO Satellite ID to the SMF.</w:t>
      </w:r>
    </w:p>
    <w:p w14:paraId="6F2875E7" w14:textId="38CC5BD7" w:rsidR="00A92B4B" w:rsidRPr="00873B6C" w:rsidRDefault="00A92B4B" w:rsidP="00695DF1">
      <w:pPr>
        <w:pStyle w:val="NO"/>
      </w:pPr>
      <w:r w:rsidRPr="00873B6C">
        <w:t>NOTE 2:</w:t>
      </w:r>
      <w:r w:rsidRPr="00873B6C">
        <w:tab/>
        <w:t>It is assumed that AMF determines the GEO Satellite ID based on local configuration, e.g. based on Global RAN Node IDs associated with satellite backhaul.</w:t>
      </w:r>
    </w:p>
    <w:p w14:paraId="1F024C81" w14:textId="67F805C4" w:rsidR="00A92B4B" w:rsidRPr="00873B6C" w:rsidRDefault="00A92B4B" w:rsidP="00A92B4B">
      <w:pPr>
        <w:pStyle w:val="B1"/>
      </w:pPr>
      <w:r w:rsidRPr="00873B6C">
        <w:t>-</w:t>
      </w:r>
      <w:r w:rsidRPr="00873B6C">
        <w:tab/>
        <w:t>The SMF determines DNAI based on local configuration</w:t>
      </w:r>
      <w:r w:rsidR="00FB1520" w:rsidRPr="00873B6C">
        <w:t>, DNN or S-NSSAI or both</w:t>
      </w:r>
      <w:r w:rsidRPr="00873B6C">
        <w:t xml:space="preserve"> and the GEO Satellite ID received from AMF.</w:t>
      </w:r>
    </w:p>
    <w:p w14:paraId="76A565F6" w14:textId="16A06729" w:rsidR="00A92B4B" w:rsidRPr="00873B6C" w:rsidRDefault="00A92B4B" w:rsidP="00695DF1">
      <w:pPr>
        <w:pStyle w:val="NO"/>
      </w:pPr>
      <w:r w:rsidRPr="00873B6C">
        <w:t>NOTE 3:</w:t>
      </w:r>
      <w:r w:rsidRPr="00873B6C">
        <w:tab/>
        <w:t>It</w:t>
      </w:r>
      <w:r w:rsidR="00FB1520" w:rsidRPr="00873B6C">
        <w:t xml:space="preserve"> is </w:t>
      </w:r>
      <w:r w:rsidRPr="00873B6C">
        <w:t xml:space="preserve">assumed that </w:t>
      </w:r>
      <w:r w:rsidR="00FB1520" w:rsidRPr="00873B6C">
        <w:t xml:space="preserve">one or more </w:t>
      </w:r>
      <w:r w:rsidRPr="00873B6C">
        <w:t>DNAI value</w:t>
      </w:r>
      <w:r w:rsidR="00FB1520" w:rsidRPr="00873B6C">
        <w:t>s are</w:t>
      </w:r>
      <w:r w:rsidRPr="00873B6C">
        <w:t xml:space="preserve"> assigned for each GEO Satellite ID by the operator. SMF is locally configured with mapping relationship between DNAI and GEO Satellite ID.</w:t>
      </w:r>
    </w:p>
    <w:p w14:paraId="7165ED29" w14:textId="732156BE" w:rsidR="00A92B4B" w:rsidRPr="00873B6C" w:rsidRDefault="00A92B4B" w:rsidP="00A92B4B">
      <w:pPr>
        <w:pStyle w:val="B1"/>
      </w:pPr>
      <w:r w:rsidRPr="00873B6C">
        <w:t>-</w:t>
      </w:r>
      <w:r w:rsidRPr="00873B6C">
        <w:tab/>
        <w:t xml:space="preserve">If the UE is allowed to access the service(s) according to the EAS Deployment Information as described in clause 6.2.3.4 of </w:t>
      </w:r>
      <w:r w:rsidR="00972E70" w:rsidRPr="00873B6C">
        <w:t>TS 23.548 [</w:t>
      </w:r>
      <w:r w:rsidRPr="00873B6C">
        <w:t>130], the SMF selects the</w:t>
      </w:r>
      <w:r w:rsidR="00F05BA4" w:rsidRPr="00873B6C">
        <w:t xml:space="preserve"> PSA UPF or</w:t>
      </w:r>
      <w:r w:rsidRPr="00873B6C">
        <w:t xml:space="preserve"> UL CL/BP/local PSA based on the DNAI corresponding to the GEO Satellite ID and other factors as described in clause 6.2.3.2 of </w:t>
      </w:r>
      <w:r w:rsidR="00972E70" w:rsidRPr="00873B6C">
        <w:t>TS 23.548 [</w:t>
      </w:r>
      <w:r w:rsidRPr="00873B6C">
        <w:t>130].</w:t>
      </w:r>
    </w:p>
    <w:p w14:paraId="351EFA6A" w14:textId="6679B98B" w:rsidR="00FB1520" w:rsidRPr="00873B6C" w:rsidRDefault="00FB1520" w:rsidP="00FB1520">
      <w:pPr>
        <w:pStyle w:val="NO"/>
      </w:pPr>
      <w:r w:rsidRPr="00873B6C">
        <w:t>NOTE 4:</w:t>
      </w:r>
      <w:r w:rsidRPr="00873B6C">
        <w:tab/>
        <w:t>EASDF may be deployed on satellite based on local configuration.</w:t>
      </w:r>
    </w:p>
    <w:p w14:paraId="53803F7F" w14:textId="3AA98F82" w:rsidR="00A92B4B" w:rsidRPr="00873B6C" w:rsidRDefault="00A92B4B" w:rsidP="00A92B4B">
      <w:pPr>
        <w:pStyle w:val="Heading3"/>
      </w:pPr>
      <w:bookmarkStart w:id="5213" w:name="_CR5_43_3"/>
      <w:bookmarkStart w:id="5214" w:name="_Toc201157695"/>
      <w:bookmarkEnd w:id="5213"/>
      <w:r w:rsidRPr="00873B6C">
        <w:lastRenderedPageBreak/>
        <w:t>5.43.3</w:t>
      </w:r>
      <w:r w:rsidRPr="00873B6C">
        <w:tab/>
        <w:t>Local switch for UE-to-UE communications via UPF deployed on GEO satellite</w:t>
      </w:r>
      <w:bookmarkEnd w:id="5214"/>
    </w:p>
    <w:p w14:paraId="350B4C00" w14:textId="5BBA44C3" w:rsidR="00A92B4B" w:rsidRPr="00873B6C" w:rsidRDefault="00A92B4B" w:rsidP="00A92B4B">
      <w:pPr>
        <w:pStyle w:val="Heading4"/>
      </w:pPr>
      <w:bookmarkStart w:id="5215" w:name="_CR5_43_3_1"/>
      <w:bookmarkStart w:id="5216" w:name="_Toc201157696"/>
      <w:bookmarkEnd w:id="5215"/>
      <w:r w:rsidRPr="00873B6C">
        <w:t>5.43.3.1</w:t>
      </w:r>
      <w:r w:rsidRPr="00873B6C">
        <w:tab/>
        <w:t>General</w:t>
      </w:r>
      <w:bookmarkEnd w:id="5216"/>
    </w:p>
    <w:p w14:paraId="629C2200" w14:textId="32E11E1A" w:rsidR="00A92B4B" w:rsidRPr="00873B6C" w:rsidRDefault="00A92B4B" w:rsidP="00A92B4B">
      <w:r w:rsidRPr="00873B6C">
        <w:t>The UE to UE traffic may be locally routed by UPF(s) deployed on satellite (i.e. through local switch) to the target UE without traversing back to the satellite gateway on the ground.</w:t>
      </w:r>
    </w:p>
    <w:p w14:paraId="0A33C99D" w14:textId="77777777" w:rsidR="00A92B4B" w:rsidRPr="00873B6C" w:rsidRDefault="00A92B4B" w:rsidP="00A92B4B">
      <w:r w:rsidRPr="00873B6C">
        <w:t>Local switching via UPF(s) deployed on satellite in this clause only applies on GEO satellite backhaul case and considers only DNNs and slices for 5G VN.</w:t>
      </w:r>
    </w:p>
    <w:p w14:paraId="0DB6CD79" w14:textId="0E48DD38" w:rsidR="00A92B4B" w:rsidRPr="00873B6C" w:rsidRDefault="00A92B4B" w:rsidP="00A92B4B">
      <w:r w:rsidRPr="00873B6C">
        <w:t>N19 tunnel may be established between two UPFs deployed on different satellites</w:t>
      </w:r>
      <w:r w:rsidR="00985055" w:rsidRPr="00873B6C">
        <w:t xml:space="preserve"> for traffic between UEs</w:t>
      </w:r>
      <w:r w:rsidRPr="00873B6C">
        <w:t>.</w:t>
      </w:r>
      <w:r w:rsidR="00985055" w:rsidRPr="00873B6C">
        <w:t xml:space="preserve"> Also, N6 may be used for carrying traffic between UPFs deployed on different satellites.</w:t>
      </w:r>
    </w:p>
    <w:p w14:paraId="6D25E685" w14:textId="77777777" w:rsidR="00A92B4B" w:rsidRPr="00873B6C" w:rsidRDefault="00A92B4B" w:rsidP="00A92B4B">
      <w:r w:rsidRPr="00873B6C">
        <w:t>Only a single SMF is supported for local switching and N19 forwarding, i.e. both UEs are served by the same SMF.</w:t>
      </w:r>
    </w:p>
    <w:p w14:paraId="7C9744BC" w14:textId="1C5B54E9" w:rsidR="00A92B4B" w:rsidRPr="00873B6C" w:rsidRDefault="00A92B4B" w:rsidP="00695DF1">
      <w:pPr>
        <w:pStyle w:val="NO"/>
      </w:pPr>
      <w:r w:rsidRPr="00873B6C">
        <w:t>NOTE:</w:t>
      </w:r>
      <w:r w:rsidRPr="00873B6C">
        <w:tab/>
        <w:t xml:space="preserve">The latency optimisation that can be gained by inter-satellite </w:t>
      </w:r>
      <w:r w:rsidR="00985055" w:rsidRPr="00873B6C">
        <w:t xml:space="preserve">link </w:t>
      </w:r>
      <w:r w:rsidRPr="00873B6C">
        <w:t>between UPFs on different GEO satellites depends on the distance between the satellites that can be substantial, depending on the number of deployed satellites.</w:t>
      </w:r>
    </w:p>
    <w:p w14:paraId="36090074" w14:textId="352E9E72" w:rsidR="00A92B4B" w:rsidRPr="00873B6C" w:rsidRDefault="00A92B4B" w:rsidP="00A92B4B">
      <w:r w:rsidRPr="00873B6C">
        <w:t>Clause 5.43.3.2 describes the case of PSA UPF deployed on satellite, clause 5.43.3.3 describes the case of UL</w:t>
      </w:r>
      <w:r w:rsidR="000046DD" w:rsidRPr="00873B6C">
        <w:t xml:space="preserve"> </w:t>
      </w:r>
      <w:r w:rsidRPr="00873B6C">
        <w:t>CL</w:t>
      </w:r>
      <w:r w:rsidR="000046DD" w:rsidRPr="00873B6C">
        <w:t>/BP</w:t>
      </w:r>
      <w:r w:rsidRPr="00873B6C">
        <w:t xml:space="preserve"> and local PSA deployed on satellite (PSA UPF is on the ground). Selection of PSA UPF or UL CL/BP/local PSA on satellite is described in clause 6.3.3</w:t>
      </w:r>
      <w:r w:rsidR="00985055" w:rsidRPr="00873B6C">
        <w:t xml:space="preserve"> and determination of DNAI to select the UPF deployed on the corresponding GEO satellite reuses the mechanism described in clause 5.43.2</w:t>
      </w:r>
      <w:r w:rsidRPr="00873B6C">
        <w:t>.</w:t>
      </w:r>
    </w:p>
    <w:p w14:paraId="5C4099A8" w14:textId="2736203F" w:rsidR="00985055" w:rsidRPr="00873B6C" w:rsidRDefault="00985055" w:rsidP="00985055">
      <w:r w:rsidRPr="00873B6C">
        <w:t xml:space="preserve">A combination of DNN/S-NSSAI is assigned by the operator for the communications between UEs where backhaul with UPF is deployed on GEO satellite, the URSP is described in </w:t>
      </w:r>
      <w:r w:rsidR="00972E70" w:rsidRPr="00873B6C">
        <w:t>TS 23.503 [</w:t>
      </w:r>
      <w:r w:rsidRPr="00873B6C">
        <w:t>45] and its configuration to enable the selection PSA UPF on the GEO satellite reuses the mechanism described in clause 5.43.2.</w:t>
      </w:r>
    </w:p>
    <w:p w14:paraId="7EDE05BD" w14:textId="75DAF064" w:rsidR="00A92B4B" w:rsidRPr="00873B6C" w:rsidRDefault="00A92B4B" w:rsidP="00A92B4B">
      <w:pPr>
        <w:pStyle w:val="Heading4"/>
      </w:pPr>
      <w:bookmarkStart w:id="5217" w:name="_CR5_43_3_2"/>
      <w:bookmarkStart w:id="5218" w:name="_Toc201157697"/>
      <w:bookmarkEnd w:id="5217"/>
      <w:r w:rsidRPr="00873B6C">
        <w:t>5.43.3.2</w:t>
      </w:r>
      <w:r w:rsidRPr="00873B6C">
        <w:tab/>
        <w:t>Local switch with PSA UPF deployed on satellite</w:t>
      </w:r>
      <w:bookmarkEnd w:id="5218"/>
    </w:p>
    <w:p w14:paraId="79A590EC" w14:textId="2042D437" w:rsidR="00A92B4B" w:rsidRPr="00873B6C" w:rsidRDefault="00A92B4B" w:rsidP="00A92B4B">
      <w:r w:rsidRPr="00873B6C">
        <w:t>If SMF selects the UPF deployed on satellite as PSA of UE's PDU Session, the SMF configures the UE's N4 session to forward/detect packet to/from the internal interface as</w:t>
      </w:r>
      <w:r w:rsidR="00985055" w:rsidRPr="00873B6C">
        <w:t xml:space="preserve"> specified for</w:t>
      </w:r>
      <w:r w:rsidRPr="00873B6C">
        <w:t xml:space="preserve"> the configuration for the 5GVN group member's N4 Session in clause 5.8.2.13.1 (Support for unicast traffic forwarding of a 5G VN).</w:t>
      </w:r>
    </w:p>
    <w:p w14:paraId="4AB50115" w14:textId="27BE5AC3" w:rsidR="00985055" w:rsidRPr="00873B6C" w:rsidRDefault="00985055" w:rsidP="00A92B4B">
      <w:r w:rsidRPr="00873B6C">
        <w:t>SMF may reuse the mechanism described in clause 5.8.2.13.1 to configure group-level N4 session rules for each N19 tunnel.</w:t>
      </w:r>
    </w:p>
    <w:p w14:paraId="2B88C6B4" w14:textId="6C2AC92B" w:rsidR="00A92B4B" w:rsidRPr="00873B6C" w:rsidRDefault="00A92B4B" w:rsidP="00A92B4B">
      <w:r w:rsidRPr="00873B6C">
        <w:t>For establishing N19 tunnel between the</w:t>
      </w:r>
      <w:r w:rsidR="000046DD" w:rsidRPr="00873B6C">
        <w:t xml:space="preserve"> PSA</w:t>
      </w:r>
      <w:r w:rsidRPr="00873B6C">
        <w:t xml:space="preserve"> UPFs onboard the satellite, the</w:t>
      </w:r>
      <w:r w:rsidR="000046DD" w:rsidRPr="00873B6C">
        <w:t xml:space="preserve"> PSA</w:t>
      </w:r>
      <w:r w:rsidRPr="00873B6C">
        <w:t xml:space="preserve"> UPFs are controlled by the same SMF.</w:t>
      </w:r>
    </w:p>
    <w:p w14:paraId="4F7CA834" w14:textId="5A5A73CF" w:rsidR="00A92B4B" w:rsidRPr="00873B6C" w:rsidRDefault="00A92B4B" w:rsidP="00695DF1">
      <w:pPr>
        <w:pStyle w:val="B1"/>
      </w:pPr>
      <w:r w:rsidRPr="00873B6C">
        <w:t>-</w:t>
      </w:r>
      <w:r w:rsidRPr="00873B6C">
        <w:tab/>
        <w:t>To process packets between UE and servers residing in DN, SMF configures rules to route traffic via N6 as described in clause 5.8.2.13.1.</w:t>
      </w:r>
    </w:p>
    <w:p w14:paraId="32049EBC" w14:textId="0164CBF0" w:rsidR="00A92B4B" w:rsidRPr="00873B6C" w:rsidRDefault="00A92B4B" w:rsidP="00A92B4B">
      <w:r w:rsidRPr="00873B6C">
        <w:t>The group-level N4 session is per DNN and</w:t>
      </w:r>
      <w:r w:rsidR="00985055" w:rsidRPr="00873B6C">
        <w:t xml:space="preserve"> S-NSSAI</w:t>
      </w:r>
      <w:r w:rsidRPr="00873B6C">
        <w:t>. The SMF can create, update or delete the group-level N4 Session, i.e</w:t>
      </w:r>
      <w:r w:rsidR="006514B8" w:rsidRPr="00873B6C">
        <w:t>.</w:t>
      </w:r>
      <w:r w:rsidRPr="00873B6C">
        <w:t xml:space="preserve"> add or delete N4 rules, allocate or release the N19 tunnel resources based on operator deployment, e.g. based on GEO satellite's pla</w:t>
      </w:r>
      <w:r w:rsidR="00985055" w:rsidRPr="00873B6C">
        <w:t>n</w:t>
      </w:r>
      <w:r w:rsidRPr="00873B6C">
        <w:t>ned obsolescence or new GEO satellite setup.</w:t>
      </w:r>
    </w:p>
    <w:p w14:paraId="6E768D34" w14:textId="0269D8F5" w:rsidR="00985055" w:rsidRPr="00873B6C" w:rsidRDefault="00985055" w:rsidP="00985055">
      <w:r w:rsidRPr="00873B6C">
        <w:t>N6 may be used for carrying traffic between PSA UPFs deployed on different satellites. If N6 is used, SMF configures corresponding N4 rules for processing traffic to/from N6.</w:t>
      </w:r>
    </w:p>
    <w:p w14:paraId="22CB09CA" w14:textId="59C66D1F" w:rsidR="00A92B4B" w:rsidRPr="00873B6C" w:rsidRDefault="00A92B4B" w:rsidP="00A92B4B">
      <w:pPr>
        <w:pStyle w:val="Heading4"/>
      </w:pPr>
      <w:bookmarkStart w:id="5219" w:name="_CR5_43_3_3"/>
      <w:bookmarkStart w:id="5220" w:name="_Toc201157698"/>
      <w:bookmarkEnd w:id="5219"/>
      <w:r w:rsidRPr="00873B6C">
        <w:t>5.43.3.3</w:t>
      </w:r>
      <w:r w:rsidRPr="00873B6C">
        <w:tab/>
        <w:t>Local switch</w:t>
      </w:r>
      <w:r w:rsidR="00985055" w:rsidRPr="00873B6C">
        <w:t>ing</w:t>
      </w:r>
      <w:r w:rsidRPr="00873B6C">
        <w:t xml:space="preserve"> with UL</w:t>
      </w:r>
      <w:r w:rsidR="00985055" w:rsidRPr="00873B6C">
        <w:t xml:space="preserve"> </w:t>
      </w:r>
      <w:r w:rsidRPr="00873B6C">
        <w:t>CL/BP and local PSA UPF deployed on satellite</w:t>
      </w:r>
      <w:bookmarkEnd w:id="5220"/>
    </w:p>
    <w:p w14:paraId="182DBAD8" w14:textId="1C6DA395" w:rsidR="00A92B4B" w:rsidRPr="00873B6C" w:rsidRDefault="000C6BFB" w:rsidP="00A92B4B">
      <w:r w:rsidRPr="00873B6C">
        <w:t xml:space="preserve">If </w:t>
      </w:r>
      <w:r w:rsidR="00A92B4B" w:rsidRPr="00873B6C">
        <w:t>the UEs</w:t>
      </w:r>
      <w:r w:rsidRPr="00873B6C">
        <w:t xml:space="preserve"> using GEO satellite backhaul</w:t>
      </w:r>
      <w:r w:rsidR="00A92B4B" w:rsidRPr="00873B6C">
        <w:t xml:space="preserve"> are served by the same SMF</w:t>
      </w:r>
      <w:r w:rsidRPr="00873B6C">
        <w:t xml:space="preserve"> and the GEO satellite(s) serving the UEs has UPF deployed</w:t>
      </w:r>
      <w:r w:rsidR="00A92B4B" w:rsidRPr="00873B6C">
        <w:t>, the SMF</w:t>
      </w:r>
      <w:r w:rsidR="00985055" w:rsidRPr="00873B6C">
        <w:t xml:space="preserve"> may</w:t>
      </w:r>
      <w:r w:rsidR="00A92B4B" w:rsidRPr="00873B6C">
        <w:t xml:space="preserve"> determine to activate local switching and N19 forwarding for the UEs, based on:</w:t>
      </w:r>
    </w:p>
    <w:p w14:paraId="2FBF678B" w14:textId="2338F9CF" w:rsidR="00A92B4B" w:rsidRPr="00873B6C" w:rsidRDefault="00A92B4B" w:rsidP="00695DF1">
      <w:pPr>
        <w:pStyle w:val="B1"/>
      </w:pPr>
      <w:r w:rsidRPr="00873B6C">
        <w:t>1)</w:t>
      </w:r>
      <w:r w:rsidRPr="00873B6C">
        <w:tab/>
        <w:t>AF request including of UE</w:t>
      </w:r>
      <w:r w:rsidR="00985055" w:rsidRPr="00873B6C">
        <w:t xml:space="preserve"> identifier</w:t>
      </w:r>
      <w:r w:rsidRPr="00873B6C">
        <w:t>s which require communication</w:t>
      </w:r>
      <w:r w:rsidR="00985055" w:rsidRPr="00873B6C">
        <w:t xml:space="preserve"> between UEs as described in clause 5.29.2</w:t>
      </w:r>
      <w:r w:rsidRPr="00873B6C">
        <w:t>;</w:t>
      </w:r>
      <w:r w:rsidR="000C6BFB" w:rsidRPr="00873B6C">
        <w:t xml:space="preserve"> and/or</w:t>
      </w:r>
    </w:p>
    <w:p w14:paraId="74D7F0E6" w14:textId="44A5BAB6" w:rsidR="00A92B4B" w:rsidRPr="00873B6C" w:rsidRDefault="00A92B4B" w:rsidP="00695DF1">
      <w:pPr>
        <w:pStyle w:val="B1"/>
      </w:pPr>
      <w:r w:rsidRPr="00873B6C">
        <w:t>2)</w:t>
      </w:r>
      <w:r w:rsidRPr="00873B6C">
        <w:tab/>
      </w:r>
      <w:r w:rsidR="000046DD" w:rsidRPr="00873B6C">
        <w:t xml:space="preserve">Destination </w:t>
      </w:r>
      <w:r w:rsidRPr="00873B6C">
        <w:t>IP</w:t>
      </w:r>
      <w:r w:rsidR="000046DD" w:rsidRPr="00873B6C">
        <w:t xml:space="preserve"> address(es) </w:t>
      </w:r>
      <w:r w:rsidRPr="00873B6C">
        <w:t>reported by on-ground PSA UPF as current reporting mechanism in clause </w:t>
      </w:r>
      <w:r w:rsidR="003D4653" w:rsidRPr="00873B6C">
        <w:t>5.8.5</w:t>
      </w:r>
      <w:r w:rsidRPr="00873B6C">
        <w:t xml:space="preserve">.7. </w:t>
      </w:r>
      <w:r w:rsidR="000046DD" w:rsidRPr="00873B6C">
        <w:t xml:space="preserve">To enable the destination IP address(es) reporting, </w:t>
      </w:r>
      <w:r w:rsidRPr="00873B6C">
        <w:t>SMF configures the on-ground P</w:t>
      </w:r>
      <w:r w:rsidR="000046DD" w:rsidRPr="00873B6C">
        <w:t>S</w:t>
      </w:r>
      <w:r w:rsidRPr="00873B6C">
        <w:t>A UPF to detect UL packets with destination IP addresses which belong to the current UPF address pool.</w:t>
      </w:r>
    </w:p>
    <w:p w14:paraId="32BB383A" w14:textId="11B972AC" w:rsidR="00A92B4B" w:rsidRPr="00873B6C" w:rsidRDefault="00985055" w:rsidP="00A92B4B">
      <w:r w:rsidRPr="00873B6C">
        <w:lastRenderedPageBreak/>
        <w:t xml:space="preserve">If the </w:t>
      </w:r>
      <w:r w:rsidR="00A92B4B" w:rsidRPr="00873B6C">
        <w:t xml:space="preserve">SMF determines that </w:t>
      </w:r>
      <w:r w:rsidRPr="00873B6C">
        <w:t xml:space="preserve">the </w:t>
      </w:r>
      <w:r w:rsidR="00A92B4B" w:rsidRPr="00873B6C">
        <w:t>UEs</w:t>
      </w:r>
      <w:r w:rsidR="000046DD" w:rsidRPr="00873B6C">
        <w:t xml:space="preserve"> (i.e. corresponding to AF request in bullet 1) and</w:t>
      </w:r>
      <w:r w:rsidR="000C6BFB" w:rsidRPr="00873B6C">
        <w:t>/or the</w:t>
      </w:r>
      <w:r w:rsidR="000046DD" w:rsidRPr="00873B6C">
        <w:t xml:space="preserve"> Destination IP address(es) reported in bullet 2))</w:t>
      </w:r>
      <w:r w:rsidRPr="00873B6C">
        <w:t xml:space="preserve"> are under the same GEO satellite (or multiple connectable GEO satellites) based on GEO Satellite ID(s) reported by AMF</w:t>
      </w:r>
      <w:r w:rsidR="00A92B4B" w:rsidRPr="00873B6C">
        <w:t xml:space="preserve"> and</w:t>
      </w:r>
      <w:r w:rsidRPr="00873B6C">
        <w:t xml:space="preserve"> the</w:t>
      </w:r>
      <w:r w:rsidR="00A92B4B" w:rsidRPr="00873B6C">
        <w:t xml:space="preserve"> UEs are allowed to access the DNAIs corresponding to the GEO satellite</w:t>
      </w:r>
      <w:r w:rsidRPr="00873B6C">
        <w:t xml:space="preserve"> ID</w:t>
      </w:r>
      <w:r w:rsidR="00A92B4B" w:rsidRPr="00873B6C">
        <w:t>s, for each UE communicating with target UE(s) in the communication group, the SMF</w:t>
      </w:r>
      <w:r w:rsidR="000046DD" w:rsidRPr="00873B6C">
        <w:t xml:space="preserve"> may</w:t>
      </w:r>
      <w:r w:rsidR="00A92B4B" w:rsidRPr="00873B6C">
        <w:t xml:space="preserve"> select</w:t>
      </w:r>
      <w:r w:rsidRPr="00873B6C">
        <w:t xml:space="preserve"> and insert</w:t>
      </w:r>
      <w:r w:rsidR="00A92B4B" w:rsidRPr="00873B6C">
        <w:t xml:space="preserve"> the UPF deployed on GEO satellite according to the DNAI as UL</w:t>
      </w:r>
      <w:r w:rsidRPr="00873B6C">
        <w:t xml:space="preserve"> </w:t>
      </w:r>
      <w:r w:rsidR="00A92B4B" w:rsidRPr="00873B6C">
        <w:t>CL/BP and L-PSA</w:t>
      </w:r>
      <w:r w:rsidR="00472CD7" w:rsidRPr="00873B6C">
        <w:t xml:space="preserve"> and</w:t>
      </w:r>
      <w:r w:rsidR="00A92B4B" w:rsidRPr="00873B6C">
        <w:t xml:space="preserve"> configures UL</w:t>
      </w:r>
      <w:r w:rsidRPr="00873B6C">
        <w:t xml:space="preserve"> </w:t>
      </w:r>
      <w:r w:rsidR="00A92B4B" w:rsidRPr="00873B6C">
        <w:t>CL/BP with the following rule:</w:t>
      </w:r>
    </w:p>
    <w:p w14:paraId="76D658D8" w14:textId="292D17EB" w:rsidR="00A92B4B" w:rsidRPr="00873B6C" w:rsidRDefault="00985055" w:rsidP="00695DF1">
      <w:pPr>
        <w:pStyle w:val="B1"/>
      </w:pPr>
      <w:r w:rsidRPr="00873B6C">
        <w:t>-</w:t>
      </w:r>
      <w:r w:rsidR="00A92B4B" w:rsidRPr="00873B6C">
        <w:tab/>
        <w:t>Route the data traffic received from the UE and destined to IP address(es) of the target UE(s) to the L-PSA.</w:t>
      </w:r>
    </w:p>
    <w:p w14:paraId="2C266E24" w14:textId="41FB537C" w:rsidR="00A92B4B" w:rsidRPr="00873B6C" w:rsidRDefault="00985055" w:rsidP="00695DF1">
      <w:pPr>
        <w:pStyle w:val="B1"/>
      </w:pPr>
      <w:r w:rsidRPr="00873B6C">
        <w:t>-</w:t>
      </w:r>
      <w:r w:rsidR="00A92B4B" w:rsidRPr="00873B6C">
        <w:tab/>
        <w:t>Route other data traffic received from the UE to the PSA</w:t>
      </w:r>
      <w:r w:rsidRPr="00873B6C">
        <w:t xml:space="preserve"> UPF</w:t>
      </w:r>
      <w:r w:rsidR="00A92B4B" w:rsidRPr="00873B6C">
        <w:t xml:space="preserve"> of the UE's PDU Session.</w:t>
      </w:r>
    </w:p>
    <w:p w14:paraId="2E612B76" w14:textId="4BC10907" w:rsidR="000C6BFB" w:rsidRPr="00873B6C" w:rsidRDefault="000C6BFB" w:rsidP="000C6BFB">
      <w:pPr>
        <w:pStyle w:val="NO"/>
      </w:pPr>
      <w:r w:rsidRPr="00873B6C">
        <w:t>NOTE 1:</w:t>
      </w:r>
      <w:r w:rsidRPr="00873B6C">
        <w:tab/>
        <w:t>The SMF determines the GEO satellites are connectable based on configuration.</w:t>
      </w:r>
    </w:p>
    <w:p w14:paraId="245FEAC1" w14:textId="05788BE0" w:rsidR="00A92B4B" w:rsidRPr="00873B6C" w:rsidRDefault="00A92B4B" w:rsidP="00A92B4B">
      <w:r w:rsidRPr="00873B6C">
        <w:t>The SMF configures the Local PSA with local forwarding rules to forward the data traffic to the target UEs directly. If the selected L-PSAs are different for the UEs in the communication group, N19 tunnel is established between the L-PSAs. For establishing N19 tunnel between the UPFs onboard the satellite, the UPFs are controlled by the same SMF.</w:t>
      </w:r>
      <w:r w:rsidR="00985055" w:rsidRPr="00873B6C">
        <w:t xml:space="preserve"> If UEs are members of the same</w:t>
      </w:r>
      <w:r w:rsidRPr="00873B6C">
        <w:t xml:space="preserve"> 5G VN group,</w:t>
      </w:r>
      <w:r w:rsidR="00985055" w:rsidRPr="00873B6C">
        <w:t xml:space="preserve"> the SMF may</w:t>
      </w:r>
      <w:r w:rsidRPr="00873B6C">
        <w:t xml:space="preserve"> configure the local data forwarding rules on L-PSA(s)</w:t>
      </w:r>
      <w:r w:rsidR="00985055" w:rsidRPr="00873B6C">
        <w:t xml:space="preserve"> using</w:t>
      </w:r>
      <w:r w:rsidRPr="00873B6C">
        <w:t xml:space="preserve"> 5GVN user plane handing mechanism in clause 5.8.2.13.1 (Support for unicast traffic forwarding of a 5G VN).</w:t>
      </w:r>
    </w:p>
    <w:p w14:paraId="192C219B" w14:textId="601B887C" w:rsidR="00A92B4B" w:rsidRPr="00873B6C" w:rsidRDefault="00A92B4B" w:rsidP="00695DF1">
      <w:pPr>
        <w:pStyle w:val="NO"/>
      </w:pPr>
      <w:r w:rsidRPr="00873B6C">
        <w:t>NOTE</w:t>
      </w:r>
      <w:r w:rsidR="000C6BFB" w:rsidRPr="00873B6C">
        <w:t> 2</w:t>
      </w:r>
      <w:r w:rsidRPr="00873B6C">
        <w:t>:</w:t>
      </w:r>
      <w:r w:rsidRPr="00873B6C">
        <w:tab/>
        <w:t>The selected UPF deployed on satellite can be inserted as UL</w:t>
      </w:r>
      <w:r w:rsidR="00985055" w:rsidRPr="00873B6C">
        <w:t xml:space="preserve"> </w:t>
      </w:r>
      <w:r w:rsidRPr="00873B6C">
        <w:t>CL/BP/L-PSA reusing existing UL</w:t>
      </w:r>
      <w:r w:rsidR="00985055" w:rsidRPr="00873B6C">
        <w:t xml:space="preserve"> </w:t>
      </w:r>
      <w:r w:rsidRPr="00873B6C">
        <w:t xml:space="preserve">CL/BP insertion procedures defined in </w:t>
      </w:r>
      <w:r w:rsidR="00972E70" w:rsidRPr="00873B6C">
        <w:t>TS 23.502 [</w:t>
      </w:r>
      <w:r w:rsidRPr="00873B6C">
        <w:t xml:space="preserve">3] or </w:t>
      </w:r>
      <w:r w:rsidR="00972E70" w:rsidRPr="00873B6C">
        <w:t>TS 23.548 [</w:t>
      </w:r>
      <w:r w:rsidR="00695DF1" w:rsidRPr="00873B6C">
        <w:t>130</w:t>
      </w:r>
      <w:r w:rsidRPr="00873B6C">
        <w:t>].</w:t>
      </w:r>
    </w:p>
    <w:p w14:paraId="15A9F83C" w14:textId="3EE121EA" w:rsidR="00985055" w:rsidRPr="00873B6C" w:rsidRDefault="00985055" w:rsidP="00972E70">
      <w:r w:rsidRPr="00873B6C">
        <w:t>N6 may be used for carrying traffic between L-PSA UPFs deployed on different satellites. If N6 is used, SMF configures corresponding N4 rules for processing traffic to/from N6.</w:t>
      </w:r>
    </w:p>
    <w:p w14:paraId="581D1E60" w14:textId="37CB8494" w:rsidR="00A92B4B" w:rsidRPr="00873B6C" w:rsidRDefault="00A92B4B" w:rsidP="00A92B4B">
      <w:pPr>
        <w:pStyle w:val="Heading3"/>
      </w:pPr>
      <w:bookmarkStart w:id="5221" w:name="_CR5_43_4"/>
      <w:bookmarkStart w:id="5222" w:name="_Toc201157699"/>
      <w:bookmarkEnd w:id="5221"/>
      <w:r w:rsidRPr="00873B6C">
        <w:t>5.43.4</w:t>
      </w:r>
      <w:r w:rsidRPr="00873B6C">
        <w:tab/>
        <w:t>Reporting of satellite backhaul to SMF</w:t>
      </w:r>
      <w:bookmarkEnd w:id="5222"/>
    </w:p>
    <w:p w14:paraId="52A848FA" w14:textId="44382418" w:rsidR="00A92B4B" w:rsidRPr="00873B6C" w:rsidRDefault="00A92B4B" w:rsidP="00A92B4B">
      <w:r w:rsidRPr="00873B6C">
        <w:t xml:space="preserve">If the AMF is aware that a satellite backhaul is used towards 5G AN, the AMF may report this to SMF as part of the PDU Session establishment procedure as described in clause 4.3.2 of </w:t>
      </w:r>
      <w:r w:rsidR="00972E70" w:rsidRPr="00873B6C">
        <w:t>TS 23.502 [</w:t>
      </w:r>
      <w:r w:rsidRPr="00873B6C">
        <w:t xml:space="preserve">3]. If AMF is aware that satellite backhaul category changes (e.g. at handover), the AMF reports the current </w:t>
      </w:r>
      <w:r w:rsidR="0028472D" w:rsidRPr="00873B6C">
        <w:t xml:space="preserve">Satellite </w:t>
      </w:r>
      <w:r w:rsidRPr="00873B6C">
        <w:t>backhaul category to SMF.</w:t>
      </w:r>
      <w:r w:rsidR="0028472D" w:rsidRPr="00873B6C">
        <w:t xml:space="preserve"> The SMF reports it to the PCF when the "Satellite backhaul category change" PCRT was armed as specified in TS 23.503 [45], or notifies it to other NFs if requested as described in clause 5.2.8.3 of TS 23.502 [3]. When the backhaul network changes from a type of satellite to terrestrial network, the AMF reports that non-satellite backhaul network is used with the Satellite backhaul category.</w:t>
      </w:r>
    </w:p>
    <w:p w14:paraId="04ECF294" w14:textId="710BC8C4" w:rsidR="00A92B4B" w:rsidRPr="00873B6C" w:rsidRDefault="00A92B4B" w:rsidP="00A92B4B">
      <w:r w:rsidRPr="00873B6C">
        <w:t>Satellite backhaul category refers to the type of the satellite</w:t>
      </w:r>
      <w:r w:rsidR="0028472D" w:rsidRPr="00873B6C">
        <w:t xml:space="preserve"> (i.e. GEO, MEO, LEO or OTHERSAT, DYNAMIC_GEO, DYNAMIC_MEO, DYNAMIC_LEO</w:t>
      </w:r>
      <w:r w:rsidR="00472CD7" w:rsidRPr="00873B6C">
        <w:t xml:space="preserve"> and</w:t>
      </w:r>
      <w:r w:rsidR="0028472D" w:rsidRPr="00873B6C">
        <w:t xml:space="preserve"> DYNAMIC_OTHERSAT)</w:t>
      </w:r>
      <w:r w:rsidRPr="00873B6C">
        <w:t xml:space="preserve"> used in the backhaul</w:t>
      </w:r>
      <w:r w:rsidR="0001193E" w:rsidRPr="00873B6C">
        <w:t xml:space="preserve"> as specified in clause 5.4.3.39 of TS 29.571 [183]</w:t>
      </w:r>
      <w:r w:rsidRPr="00873B6C">
        <w:t>.</w:t>
      </w:r>
      <w:r w:rsidR="0028472D" w:rsidRPr="00873B6C">
        <w:t xml:space="preserve"> The dynamic satellite backhaul category (i.e. DYNAMIC_GEO, DYNAMIC_MEO, DYNAMIC_LEO</w:t>
      </w:r>
      <w:r w:rsidR="00472CD7" w:rsidRPr="00873B6C">
        <w:t xml:space="preserve"> and</w:t>
      </w:r>
      <w:r w:rsidR="0028472D" w:rsidRPr="00873B6C">
        <w:t xml:space="preserve"> DYNAMIC_OTHERSAT) refers that i.e. capabilities (latency and/or bandwidth) of the satellite backhaul change over time due to e.g. use of varying inter-satellite links as part of backhaul.</w:t>
      </w:r>
      <w:r w:rsidRPr="00873B6C">
        <w:t xml:space="preserve"> Only a single backhaul category can be indicated.</w:t>
      </w:r>
    </w:p>
    <w:p w14:paraId="16DCDEBD" w14:textId="77777777" w:rsidR="00A92B4B" w:rsidRPr="00873B6C" w:rsidRDefault="00A92B4B" w:rsidP="00695DF1">
      <w:pPr>
        <w:pStyle w:val="NO"/>
      </w:pPr>
      <w:r w:rsidRPr="00873B6C">
        <w:t>NOTE:</w:t>
      </w:r>
      <w:r w:rsidRPr="00873B6C">
        <w:tab/>
        <w:t>It is assumed that the AMF can determine the Satellite backhaul category for the notification to the SMF based on local configuration, e.g. based on Global RAN Node IDs associated with satellite backhaul.</w:t>
      </w:r>
    </w:p>
    <w:p w14:paraId="42AFA4C7" w14:textId="5FAD2B70" w:rsidR="00A92B4B" w:rsidRPr="00873B6C" w:rsidRDefault="00A92B4B" w:rsidP="00A92B4B">
      <w:pPr>
        <w:pStyle w:val="Heading3"/>
      </w:pPr>
      <w:bookmarkStart w:id="5223" w:name="_CR5_43_5"/>
      <w:bookmarkStart w:id="5224" w:name="_Toc201157700"/>
      <w:bookmarkEnd w:id="5223"/>
      <w:r w:rsidRPr="00873B6C">
        <w:t>5.43.5</w:t>
      </w:r>
      <w:r w:rsidRPr="00873B6C">
        <w:tab/>
        <w:t>QoS monitoring when dynamic Satellite Backhaul is used</w:t>
      </w:r>
      <w:bookmarkEnd w:id="5224"/>
    </w:p>
    <w:p w14:paraId="563B5C64" w14:textId="4064FC0F" w:rsidR="00A92B4B" w:rsidRPr="00873B6C" w:rsidRDefault="00A92B4B" w:rsidP="00A92B4B">
      <w:r w:rsidRPr="00873B6C">
        <w:t xml:space="preserve">If dynamic satellite backhaul is used, QoS monitoring </w:t>
      </w:r>
      <w:r w:rsidR="0028472D" w:rsidRPr="00873B6C">
        <w:t xml:space="preserve">may </w:t>
      </w:r>
      <w:r w:rsidRPr="00873B6C">
        <w:t xml:space="preserve">be used to </w:t>
      </w:r>
      <w:r w:rsidR="00A51A83" w:rsidRPr="00873B6C">
        <w:t xml:space="preserve">measure </w:t>
      </w:r>
      <w:r w:rsidRPr="00873B6C">
        <w:t>packet delay as specified in clause </w:t>
      </w:r>
      <w:r w:rsidR="00A51A83" w:rsidRPr="00873B6C">
        <w:t>5.45.2</w:t>
      </w:r>
      <w:r w:rsidRPr="00873B6C">
        <w:t>.</w:t>
      </w:r>
    </w:p>
    <w:p w14:paraId="52DB9398" w14:textId="4F5D9105" w:rsidR="00A51A83" w:rsidRPr="00873B6C" w:rsidRDefault="00A51A83" w:rsidP="00A92B4B">
      <w:r w:rsidRPr="00873B6C">
        <w:t>If the Satellite backhaul category received from SMF indicates dynamic satellite backhaul is used, the PCF may</w:t>
      </w:r>
      <w:r w:rsidR="0029208C" w:rsidRPr="00873B6C">
        <w:t>, based on PCF local policy or configuration,</w:t>
      </w:r>
      <w:r w:rsidRPr="00873B6C">
        <w:t xml:space="preserve"> request QoS monitoring for the packet delay between UE and PSA UPF as specified in clause 5.45.2.</w:t>
      </w:r>
      <w:r w:rsidR="0029208C" w:rsidRPr="00873B6C">
        <w:t xml:space="preserve"> The AF</w:t>
      </w:r>
      <w:r w:rsidR="0028472D" w:rsidRPr="00873B6C">
        <w:t xml:space="preserve"> may</w:t>
      </w:r>
      <w:r w:rsidR="0029208C" w:rsidRPr="00873B6C">
        <w:t xml:space="preserve"> trigger QoS monitoring by requesting QoS monitoring report from the PCF e.g. when the AF has received</w:t>
      </w:r>
      <w:r w:rsidR="0028472D" w:rsidRPr="00873B6C">
        <w:t xml:space="preserve"> a</w:t>
      </w:r>
      <w:r w:rsidR="0029208C" w:rsidRPr="00873B6C">
        <w:t xml:space="preserve"> dynamic satellite backhaul</w:t>
      </w:r>
      <w:r w:rsidR="0028472D" w:rsidRPr="00873B6C">
        <w:t xml:space="preserve"> category</w:t>
      </w:r>
      <w:r w:rsidR="0029208C" w:rsidRPr="00873B6C">
        <w:t>.</w:t>
      </w:r>
    </w:p>
    <w:p w14:paraId="6579CD54" w14:textId="61D46E75" w:rsidR="005656CA" w:rsidRPr="00873B6C" w:rsidRDefault="005656CA" w:rsidP="005A13C0">
      <w:pPr>
        <w:pStyle w:val="NO"/>
      </w:pPr>
      <w:r w:rsidRPr="00873B6C">
        <w:t>NOTE:</w:t>
      </w:r>
      <w:r w:rsidRPr="00873B6C">
        <w:tab/>
        <w:t>PCF handling of satellite backhaul category indication and possible QoS monitoring is specified in TS 23.503 [45].</w:t>
      </w:r>
    </w:p>
    <w:p w14:paraId="712BD1E2" w14:textId="77777777" w:rsidR="0030234B" w:rsidRPr="00873B6C" w:rsidRDefault="0030234B" w:rsidP="0030234B">
      <w:pPr>
        <w:pStyle w:val="Heading2"/>
      </w:pPr>
      <w:bookmarkStart w:id="5225" w:name="_CR5_44"/>
      <w:bookmarkStart w:id="5226" w:name="_Toc201157701"/>
      <w:bookmarkEnd w:id="5225"/>
      <w:r w:rsidRPr="00873B6C">
        <w:lastRenderedPageBreak/>
        <w:t>5.44</w:t>
      </w:r>
      <w:r w:rsidRPr="00873B6C">
        <w:tab/>
        <w:t>Support of Personal IoT network service</w:t>
      </w:r>
      <w:bookmarkEnd w:id="5226"/>
    </w:p>
    <w:p w14:paraId="12DB8BB1" w14:textId="77777777" w:rsidR="0030234B" w:rsidRPr="00873B6C" w:rsidRDefault="0030234B" w:rsidP="00972E70">
      <w:pPr>
        <w:pStyle w:val="Heading3"/>
      </w:pPr>
      <w:bookmarkStart w:id="5227" w:name="_CR5_44_1"/>
      <w:bookmarkStart w:id="5228" w:name="_Toc201157702"/>
      <w:bookmarkEnd w:id="5227"/>
      <w:r w:rsidRPr="00873B6C">
        <w:t>5.44.1</w:t>
      </w:r>
      <w:r w:rsidRPr="00873B6C">
        <w:tab/>
        <w:t>General</w:t>
      </w:r>
      <w:bookmarkEnd w:id="5228"/>
    </w:p>
    <w:p w14:paraId="5945D746" w14:textId="737C669E" w:rsidR="00A51A83" w:rsidRPr="00873B6C" w:rsidRDefault="00A51A83" w:rsidP="0030234B">
      <w:r w:rsidRPr="00873B6C">
        <w:t>Personal IoT Network (PIN) provides local connectivity between PIN</w:t>
      </w:r>
      <w:r w:rsidR="00500903" w:rsidRPr="00873B6C">
        <w:t>Es,</w:t>
      </w:r>
      <w:r w:rsidRPr="00873B6C">
        <w:t xml:space="preserve"> i.e. UEs and/or non-3GPP devices. PIN</w:t>
      </w:r>
      <w:r w:rsidR="00500903" w:rsidRPr="00873B6C">
        <w:t>Es</w:t>
      </w:r>
      <w:r w:rsidRPr="00873B6C">
        <w:t xml:space="preserve"> communicate using PIN direct communication, PIN indirect communication and the PIN-DN communication. The management of the PIN direct communication is out of the scope of this specification. For the PIN indirect communication and PIN-DN communication, the data traffic and</w:t>
      </w:r>
      <w:r w:rsidR="00500903" w:rsidRPr="00873B6C">
        <w:t xml:space="preserve"> PIN</w:t>
      </w:r>
      <w:r w:rsidRPr="00873B6C">
        <w:t xml:space="preserve"> management traffic pass via a</w:t>
      </w:r>
      <w:r w:rsidR="00500903" w:rsidRPr="00873B6C">
        <w:t xml:space="preserve"> PEGC</w:t>
      </w:r>
      <w:r w:rsidRPr="00873B6C">
        <w:t>. With the support of the PEGC registered to 5G network, the PIN</w:t>
      </w:r>
      <w:r w:rsidR="00500903" w:rsidRPr="00873B6C">
        <w:t>Es</w:t>
      </w:r>
      <w:r w:rsidRPr="00873B6C">
        <w:t xml:space="preserve"> have access to the 5G network services and may communicate with other PIN</w:t>
      </w:r>
      <w:r w:rsidR="00500903" w:rsidRPr="00873B6C">
        <w:t>Es</w:t>
      </w:r>
      <w:r w:rsidR="00A10084" w:rsidRPr="00873B6C">
        <w:t xml:space="preserve"> within the PIN or with the DN</w:t>
      </w:r>
      <w:r w:rsidRPr="00873B6C">
        <w:t xml:space="preserve"> via 5G</w:t>
      </w:r>
      <w:r w:rsidR="00500903" w:rsidRPr="00873B6C">
        <w:t xml:space="preserve"> network</w:t>
      </w:r>
      <w:r w:rsidRPr="00873B6C">
        <w:t>. A PEGC may support multiple PINs.</w:t>
      </w:r>
      <w:r w:rsidR="00A13197" w:rsidRPr="00873B6C">
        <w:t xml:space="preserve"> For each PIN, a dedicated </w:t>
      </w:r>
      <w:r w:rsidR="00500903" w:rsidRPr="00873B6C">
        <w:t>(</w:t>
      </w:r>
      <w:r w:rsidR="00A13197" w:rsidRPr="00873B6C">
        <w:t>DNN</w:t>
      </w:r>
      <w:r w:rsidR="00500903" w:rsidRPr="00873B6C">
        <w:t xml:space="preserve">, </w:t>
      </w:r>
      <w:r w:rsidR="00A13197" w:rsidRPr="00873B6C">
        <w:t>S-NSSAI</w:t>
      </w:r>
      <w:r w:rsidR="00500903" w:rsidRPr="00873B6C">
        <w:t>) combination</w:t>
      </w:r>
      <w:r w:rsidR="00A13197" w:rsidRPr="00873B6C">
        <w:t xml:space="preserve"> shall be configured.</w:t>
      </w:r>
    </w:p>
    <w:p w14:paraId="5335AF74" w14:textId="0EF96695" w:rsidR="0030234B" w:rsidRPr="00873B6C" w:rsidRDefault="0030234B" w:rsidP="0030234B">
      <w:r w:rsidRPr="00873B6C">
        <w:t>PIN and PIN</w:t>
      </w:r>
      <w:r w:rsidR="00500903" w:rsidRPr="00873B6C">
        <w:t>Es</w:t>
      </w:r>
      <w:r w:rsidRPr="00873B6C">
        <w:t xml:space="preserve"> are managed by specific</w:t>
      </w:r>
      <w:r w:rsidR="00500903" w:rsidRPr="00873B6C">
        <w:t xml:space="preserve"> PEMC</w:t>
      </w:r>
      <w:r w:rsidRPr="00873B6C">
        <w:t xml:space="preserve"> </w:t>
      </w:r>
      <w:r w:rsidR="00A13197" w:rsidRPr="00873B6C">
        <w:t xml:space="preserve">with support </w:t>
      </w:r>
      <w:r w:rsidR="00A10084" w:rsidRPr="00873B6C">
        <w:t xml:space="preserve">of </w:t>
      </w:r>
      <w:r w:rsidRPr="00873B6C">
        <w:t>an AF</w:t>
      </w:r>
      <w:r w:rsidR="00A51A83" w:rsidRPr="00873B6C">
        <w:t>,</w:t>
      </w:r>
      <w:r w:rsidRPr="00873B6C">
        <w:t xml:space="preserve"> if AF</w:t>
      </w:r>
      <w:r w:rsidR="00717746" w:rsidRPr="00873B6C">
        <w:t xml:space="preserve"> (Application Server and PIN server as specified in TS 23.542 [181]) is</w:t>
      </w:r>
      <w:r w:rsidRPr="00873B6C">
        <w:t xml:space="preserve"> deployed. A PIN includes at least one PEGC and at least one PEMC. The management of the PIN </w:t>
      </w:r>
      <w:r w:rsidR="00114986" w:rsidRPr="00873B6C">
        <w:t>(i.e. the management of PIN creation, deletion and update)</w:t>
      </w:r>
      <w:r w:rsidRPr="00873B6C">
        <w:t xml:space="preserve"> and PIN</w:t>
      </w:r>
      <w:r w:rsidR="00500903" w:rsidRPr="00873B6C">
        <w:t>E</w:t>
      </w:r>
      <w:r w:rsidRPr="00873B6C">
        <w:t xml:space="preserve"> (including the management role distribution between PEMC and AF) is out of the scope of this specification.</w:t>
      </w:r>
    </w:p>
    <w:p w14:paraId="09316CE5" w14:textId="10E124E5" w:rsidR="0030234B" w:rsidRPr="00873B6C" w:rsidRDefault="0030234B" w:rsidP="0030234B">
      <w:r w:rsidRPr="00873B6C">
        <w:t>The PEGC is a UE with subscription data related to PIN within the 5GS</w:t>
      </w:r>
      <w:r w:rsidR="00A10084" w:rsidRPr="00873B6C">
        <w:t xml:space="preserve"> (i.e.</w:t>
      </w:r>
      <w:r w:rsidR="00500903" w:rsidRPr="00873B6C">
        <w:t xml:space="preserve"> dedicated</w:t>
      </w:r>
      <w:r w:rsidR="00A10084" w:rsidRPr="00873B6C">
        <w:t xml:space="preserve"> (DNN, S-NSSAI) combination(s) for PIN)</w:t>
      </w:r>
      <w:r w:rsidRPr="00873B6C">
        <w:t xml:space="preserve"> and </w:t>
      </w:r>
      <w:r w:rsidR="00A13197" w:rsidRPr="00873B6C">
        <w:t xml:space="preserve">shall </w:t>
      </w:r>
      <w:r w:rsidRPr="00873B6C">
        <w:t>register to 5G</w:t>
      </w:r>
      <w:r w:rsidR="00500903" w:rsidRPr="00873B6C">
        <w:t xml:space="preserve"> network</w:t>
      </w:r>
      <w:r w:rsidR="00A13197" w:rsidRPr="00873B6C">
        <w:t xml:space="preserve"> as UE in order to</w:t>
      </w:r>
      <w:r w:rsidR="00141A61" w:rsidRPr="00873B6C">
        <w:t xml:space="preserve"> support PIN indirect communication and PIN-DN communication</w:t>
      </w:r>
      <w:r w:rsidR="00A13197" w:rsidRPr="00873B6C">
        <w:t xml:space="preserve"> via dedicated PDU session. The UE acting as</w:t>
      </w:r>
      <w:r w:rsidRPr="00873B6C">
        <w:t xml:space="preserve"> PEMC does not have subscription data related to PIN within the 5GS and behaves as normal UE if it is registered in 5GS.</w:t>
      </w:r>
    </w:p>
    <w:p w14:paraId="2EB61ED7" w14:textId="49435445" w:rsidR="00A13197" w:rsidRPr="00873B6C" w:rsidRDefault="0030234B" w:rsidP="0030234B">
      <w:r w:rsidRPr="00873B6C">
        <w:t>An AF for PIN may be deployed to support the PIN service. The AF for PIN may communicate with</w:t>
      </w:r>
      <w:r w:rsidR="00717746" w:rsidRPr="00873B6C">
        <w:t xml:space="preserve"> PIN</w:t>
      </w:r>
      <w:r w:rsidR="00500903" w:rsidRPr="00873B6C">
        <w:t>Es</w:t>
      </w:r>
      <w:r w:rsidR="00717746" w:rsidRPr="00873B6C">
        <w:t>, including</w:t>
      </w:r>
      <w:r w:rsidRPr="00873B6C">
        <w:t xml:space="preserve"> PEMC and PEGC</w:t>
      </w:r>
      <w:r w:rsidR="00717746" w:rsidRPr="00873B6C">
        <w:t>,</w:t>
      </w:r>
      <w:r w:rsidRPr="00873B6C">
        <w:t xml:space="preserve"> via application layer for management of the PIN which is transported as user plane data transparently to 5G</w:t>
      </w:r>
      <w:r w:rsidR="00500903" w:rsidRPr="00873B6C">
        <w:t xml:space="preserve"> network</w:t>
      </w:r>
      <w:r w:rsidR="00A13197" w:rsidRPr="00873B6C">
        <w:t xml:space="preserve"> and</w:t>
      </w:r>
      <w:r w:rsidR="00500903" w:rsidRPr="00873B6C">
        <w:t xml:space="preserve"> the AF for PIN may communicate</w:t>
      </w:r>
      <w:r w:rsidR="00A13197" w:rsidRPr="00873B6C">
        <w:t xml:space="preserve"> with the 5GC via NEF.</w:t>
      </w:r>
    </w:p>
    <w:p w14:paraId="199E162D" w14:textId="05721A6B" w:rsidR="00A13197" w:rsidRPr="00873B6C" w:rsidRDefault="00A13197" w:rsidP="0030234B">
      <w:r w:rsidRPr="00873B6C">
        <w:t xml:space="preserve">The PEMC can manage </w:t>
      </w:r>
      <w:r w:rsidR="00500903" w:rsidRPr="00873B6C">
        <w:t xml:space="preserve">a </w:t>
      </w:r>
      <w:r w:rsidRPr="00873B6C">
        <w:t>PIN via</w:t>
      </w:r>
      <w:r w:rsidR="00141A61" w:rsidRPr="00873B6C">
        <w:t xml:space="preserve"> PIN direction communication or PIN indirect communication</w:t>
      </w:r>
      <w:r w:rsidRPr="00873B6C">
        <w:t xml:space="preserve"> with the other</w:t>
      </w:r>
      <w:r w:rsidR="00500903" w:rsidRPr="00873B6C">
        <w:t xml:space="preserve"> PINEs</w:t>
      </w:r>
      <w:r w:rsidRPr="00873B6C">
        <w:t xml:space="preserve"> of</w:t>
      </w:r>
      <w:r w:rsidR="00500903" w:rsidRPr="00873B6C">
        <w:t xml:space="preserve"> the</w:t>
      </w:r>
      <w:r w:rsidRPr="00873B6C">
        <w:t xml:space="preserve"> PIN or via</w:t>
      </w:r>
      <w:r w:rsidR="00141A61" w:rsidRPr="00873B6C">
        <w:t xml:space="preserve"> PIN-DN communication</w:t>
      </w:r>
      <w:r w:rsidRPr="00873B6C">
        <w:t xml:space="preserve"> with </w:t>
      </w:r>
      <w:r w:rsidR="00500903" w:rsidRPr="00873B6C">
        <w:t xml:space="preserve">an </w:t>
      </w:r>
      <w:r w:rsidRPr="00873B6C">
        <w:t>AF</w:t>
      </w:r>
      <w:r w:rsidR="00500903" w:rsidRPr="00873B6C">
        <w:t xml:space="preserve"> for PIN</w:t>
      </w:r>
      <w:r w:rsidRPr="00873B6C">
        <w:t xml:space="preserve"> which enables the exchange of information with 5GC.</w:t>
      </w:r>
    </w:p>
    <w:p w14:paraId="33138D2C" w14:textId="056C33E5" w:rsidR="0030234B" w:rsidRPr="00873B6C" w:rsidRDefault="0030234B" w:rsidP="0030234B">
      <w:r w:rsidRPr="00873B6C">
        <w:t>The 5GC is enhanced to support the delivery of UE policy related to PIN service for PEGC (as specified in clause 5.44.</w:t>
      </w:r>
      <w:r w:rsidR="00680C07" w:rsidRPr="00873B6C">
        <w:t>2</w:t>
      </w:r>
      <w:r w:rsidRPr="00873B6C">
        <w:t>) and to support the PDU session management for PIN service (as specified in clause 5.44.</w:t>
      </w:r>
      <w:r w:rsidR="00680C07" w:rsidRPr="00873B6C">
        <w:t>3</w:t>
      </w:r>
      <w:r w:rsidRPr="00873B6C">
        <w:t>).</w:t>
      </w:r>
    </w:p>
    <w:p w14:paraId="6492A8C5" w14:textId="230F9470" w:rsidR="00141A61" w:rsidRPr="00873B6C" w:rsidRDefault="00141A61" w:rsidP="0030234B">
      <w:r w:rsidRPr="00873B6C">
        <w:t>See information in Annex P for the relation between PIN and 5GS. The PINE, PEMC and PEGC application layer functionalities are defined in TS 23.542 [181] and are transparent in 5G</w:t>
      </w:r>
      <w:r w:rsidR="00500903" w:rsidRPr="00873B6C">
        <w:t xml:space="preserve"> network</w:t>
      </w:r>
      <w:r w:rsidRPr="00873B6C">
        <w:t>.</w:t>
      </w:r>
    </w:p>
    <w:p w14:paraId="0DD49097" w14:textId="668FACF0" w:rsidR="0030234B" w:rsidRPr="00873B6C" w:rsidRDefault="0030234B" w:rsidP="0030234B">
      <w:r w:rsidRPr="00873B6C">
        <w:t>The support of</w:t>
      </w:r>
      <w:r w:rsidR="00A2272A" w:rsidRPr="00873B6C">
        <w:t xml:space="preserve"> PIN by</w:t>
      </w:r>
      <w:r w:rsidRPr="00873B6C">
        <w:t xml:space="preserve"> 5G-RG</w:t>
      </w:r>
      <w:r w:rsidR="00A2272A" w:rsidRPr="00873B6C">
        <w:t xml:space="preserve"> and FN-RG</w:t>
      </w:r>
      <w:r w:rsidRPr="00873B6C">
        <w:t xml:space="preserve"> is not</w:t>
      </w:r>
      <w:r w:rsidR="00A2272A" w:rsidRPr="00873B6C">
        <w:t xml:space="preserve"> specified</w:t>
      </w:r>
      <w:r w:rsidRPr="00873B6C">
        <w:t>.</w:t>
      </w:r>
    </w:p>
    <w:p w14:paraId="0C73DC50" w14:textId="6657C761" w:rsidR="00A2272A" w:rsidRPr="00873B6C" w:rsidRDefault="00A2272A" w:rsidP="00A2272A">
      <w:r w:rsidRPr="00873B6C">
        <w:t>Redundant PDU session for URLLC is not supported in conjunction with PIN.</w:t>
      </w:r>
    </w:p>
    <w:p w14:paraId="1F4D8A7B" w14:textId="6A403035" w:rsidR="006514B8" w:rsidRPr="00873B6C" w:rsidRDefault="006514B8" w:rsidP="006514B8">
      <w:pPr>
        <w:pStyle w:val="Heading3"/>
      </w:pPr>
      <w:bookmarkStart w:id="5229" w:name="_CR5_44_2"/>
      <w:bookmarkStart w:id="5230" w:name="_Toc201157703"/>
      <w:bookmarkEnd w:id="5229"/>
      <w:r w:rsidRPr="00873B6C">
        <w:t>5.44.2</w:t>
      </w:r>
      <w:r w:rsidRPr="00873B6C">
        <w:tab/>
        <w:t>UE policy delivery for PIN</w:t>
      </w:r>
      <w:bookmarkEnd w:id="5230"/>
    </w:p>
    <w:p w14:paraId="3B865D8F" w14:textId="4E6A35AA" w:rsidR="006514B8" w:rsidRPr="00873B6C" w:rsidRDefault="006514B8" w:rsidP="00972E70">
      <w:r w:rsidRPr="00873B6C">
        <w:t>For a PEGC registered in the 5G</w:t>
      </w:r>
      <w:r w:rsidR="00500903" w:rsidRPr="00873B6C">
        <w:t xml:space="preserve"> network</w:t>
      </w:r>
      <w:r w:rsidRPr="00873B6C">
        <w:t>, the 5G</w:t>
      </w:r>
      <w:r w:rsidR="00500903" w:rsidRPr="00873B6C">
        <w:t xml:space="preserve"> network</w:t>
      </w:r>
      <w:r w:rsidRPr="00873B6C">
        <w:t xml:space="preserve"> supports the provisioning of URSP rules that include a PIN ID as Traffic Descriptor. URSP rules with a PIN ID in the Traffic Descriptor are sent to the </w:t>
      </w:r>
      <w:r w:rsidR="00500903" w:rsidRPr="00873B6C">
        <w:t xml:space="preserve">PEGC </w:t>
      </w:r>
      <w:r w:rsidRPr="00873B6C">
        <w:t xml:space="preserve">based on the information provided from an AF for PIN as specified in </w:t>
      </w:r>
      <w:r w:rsidR="00972E70" w:rsidRPr="00873B6C">
        <w:t>TS 23.502 [</w:t>
      </w:r>
      <w:r w:rsidRPr="00873B6C">
        <w:t xml:space="preserve">3] and </w:t>
      </w:r>
      <w:r w:rsidR="00972E70" w:rsidRPr="00873B6C">
        <w:t>TS 23.503 [</w:t>
      </w:r>
      <w:r w:rsidRPr="00873B6C">
        <w:t>45] for policy delivery.</w:t>
      </w:r>
    </w:p>
    <w:p w14:paraId="2ED3F2D2" w14:textId="1CAFE333" w:rsidR="006514B8" w:rsidRPr="00873B6C" w:rsidRDefault="006514B8" w:rsidP="006514B8">
      <w:pPr>
        <w:pStyle w:val="Heading3"/>
      </w:pPr>
      <w:bookmarkStart w:id="5231" w:name="_CR5_44_3"/>
      <w:bookmarkStart w:id="5232" w:name="_Toc201157704"/>
      <w:bookmarkEnd w:id="5231"/>
      <w:r w:rsidRPr="00873B6C">
        <w:t>5.44.3</w:t>
      </w:r>
      <w:r w:rsidRPr="00873B6C">
        <w:tab/>
        <w:t>Session management enhancement for PIN service support</w:t>
      </w:r>
      <w:bookmarkEnd w:id="5232"/>
    </w:p>
    <w:p w14:paraId="48DA6B6C" w14:textId="3BE4E30B" w:rsidR="006514B8" w:rsidRPr="00873B6C" w:rsidRDefault="006514B8" w:rsidP="006514B8">
      <w:pPr>
        <w:pStyle w:val="Heading4"/>
      </w:pPr>
      <w:bookmarkStart w:id="5233" w:name="_CR5_44_3_1"/>
      <w:bookmarkStart w:id="5234" w:name="_Toc201157705"/>
      <w:bookmarkEnd w:id="5233"/>
      <w:r w:rsidRPr="00873B6C">
        <w:t>5.44.3.1</w:t>
      </w:r>
      <w:r w:rsidRPr="00873B6C">
        <w:tab/>
        <w:t>PDU Session Establishment for PIN</w:t>
      </w:r>
      <w:bookmarkEnd w:id="5234"/>
    </w:p>
    <w:p w14:paraId="6E8035FA" w14:textId="5B999079" w:rsidR="006514B8" w:rsidRPr="00873B6C" w:rsidRDefault="006514B8" w:rsidP="006514B8">
      <w:r w:rsidRPr="00873B6C">
        <w:t xml:space="preserve">When a PDU Session associated with a PIN is established by PEGC, an SMF is selected according to clause 4.3.2.2.3 of </w:t>
      </w:r>
      <w:r w:rsidR="00972E70" w:rsidRPr="00873B6C">
        <w:t>TS 23.502 [</w:t>
      </w:r>
      <w:r w:rsidRPr="00873B6C">
        <w:t>3]</w:t>
      </w:r>
      <w:r w:rsidR="00141A61" w:rsidRPr="00873B6C">
        <w:t xml:space="preserve"> based on </w:t>
      </w:r>
      <w:r w:rsidR="00500903" w:rsidRPr="00873B6C">
        <w:t>(</w:t>
      </w:r>
      <w:r w:rsidR="00141A61" w:rsidRPr="00873B6C">
        <w:t>DNN</w:t>
      </w:r>
      <w:r w:rsidR="00500903" w:rsidRPr="00873B6C">
        <w:t>, S-NSSAI) combination</w:t>
      </w:r>
      <w:r w:rsidRPr="00873B6C">
        <w:t>. The PEGC may use IP address allocation methods as specified in clause 5.8.2 (e.g. IPv6 Prefix Delegation feature).</w:t>
      </w:r>
    </w:p>
    <w:p w14:paraId="0AEF83E1" w14:textId="2D486A5E" w:rsidR="00386935" w:rsidRPr="00873B6C" w:rsidRDefault="00386935" w:rsidP="00386935">
      <w:r w:rsidRPr="00873B6C">
        <w:t>One PEGC may serve more than one PIN. The PEGC may use a single or multiple PDU sessions to serve multiple PINs. One PDU Session may be shared by more than one PIN served by the PEGC, if differentiation or isolation for the traffics to/from different PINs via</w:t>
      </w:r>
      <w:r w:rsidR="00500903" w:rsidRPr="00873B6C">
        <w:t xml:space="preserve"> the</w:t>
      </w:r>
      <w:r w:rsidRPr="00873B6C">
        <w:t xml:space="preserve"> PEGC is not required in 5GS. Otherwise, different </w:t>
      </w:r>
      <w:r w:rsidR="00500903" w:rsidRPr="00873B6C">
        <w:t>(</w:t>
      </w:r>
      <w:r w:rsidRPr="00873B6C">
        <w:t>DNN</w:t>
      </w:r>
      <w:r w:rsidR="00500903" w:rsidRPr="00873B6C">
        <w:t xml:space="preserve">, </w:t>
      </w:r>
      <w:r w:rsidRPr="00873B6C">
        <w:t>S-NSSAI</w:t>
      </w:r>
      <w:r w:rsidR="00500903" w:rsidRPr="00873B6C">
        <w:t>) combination</w:t>
      </w:r>
      <w:r w:rsidRPr="00873B6C">
        <w:t>s shall be applied to distinguish the PINs by different PDU sessions of the PEGC.</w:t>
      </w:r>
    </w:p>
    <w:p w14:paraId="6CC3C7ED" w14:textId="11970740" w:rsidR="006514B8" w:rsidRPr="00873B6C" w:rsidRDefault="003D25E4" w:rsidP="006514B8">
      <w:r w:rsidRPr="00873B6C">
        <w:t>One PIN can be served by only one PDU session in the PEGC</w:t>
      </w:r>
      <w:r w:rsidR="006514B8" w:rsidRPr="00873B6C">
        <w:t>.</w:t>
      </w:r>
      <w:r w:rsidR="00A13197" w:rsidRPr="00873B6C">
        <w:t xml:space="preserve"> If there are multiple PDU sessions for a PIN from different PEGCs connecting to the same UPF, the same mechanism for local switching in the UPF as defined for 5G VN group communication, as described in clause 5.8.2.13, may be applied.</w:t>
      </w:r>
    </w:p>
    <w:p w14:paraId="611978F8" w14:textId="21163DD5" w:rsidR="006514B8" w:rsidRPr="00873B6C" w:rsidRDefault="006514B8" w:rsidP="00972E70">
      <w:pPr>
        <w:pStyle w:val="Heading4"/>
      </w:pPr>
      <w:bookmarkStart w:id="5235" w:name="_CR5_44_3_2"/>
      <w:bookmarkStart w:id="5236" w:name="_Toc201157706"/>
      <w:bookmarkEnd w:id="5235"/>
      <w:r w:rsidRPr="00873B6C">
        <w:lastRenderedPageBreak/>
        <w:t>5.44.3.2</w:t>
      </w:r>
      <w:r w:rsidRPr="00873B6C">
        <w:tab/>
        <w:t>Session management related policy control</w:t>
      </w:r>
      <w:bookmarkEnd w:id="5236"/>
    </w:p>
    <w:p w14:paraId="7EF9E83D" w14:textId="7E91E94F" w:rsidR="006514B8" w:rsidRPr="00873B6C" w:rsidRDefault="006514B8" w:rsidP="006514B8">
      <w:r w:rsidRPr="00873B6C">
        <w:t xml:space="preserve">For PIN </w:t>
      </w:r>
      <w:r w:rsidR="00141A61" w:rsidRPr="00873B6C">
        <w:t xml:space="preserve">indirect communication and PIN-DN communication </w:t>
      </w:r>
      <w:r w:rsidRPr="00873B6C">
        <w:t>via PEGC</w:t>
      </w:r>
      <w:r w:rsidR="00500903" w:rsidRPr="00873B6C">
        <w:t xml:space="preserve"> and 5G network</w:t>
      </w:r>
      <w:r w:rsidRPr="00873B6C">
        <w:t xml:space="preserve"> with PDU session, the 5G</w:t>
      </w:r>
      <w:r w:rsidR="00500903" w:rsidRPr="00873B6C">
        <w:t xml:space="preserve"> network</w:t>
      </w:r>
      <w:r w:rsidRPr="00873B6C">
        <w:t xml:space="preserve"> supports the</w:t>
      </w:r>
      <w:r w:rsidR="00141A61" w:rsidRPr="00873B6C">
        <w:t xml:space="preserve"> session</w:t>
      </w:r>
      <w:r w:rsidRPr="00873B6C">
        <w:t xml:space="preserve"> policy control. The policy control is based on session management procedures as specified in </w:t>
      </w:r>
      <w:r w:rsidR="00972E70" w:rsidRPr="00873B6C">
        <w:t>TS 23.502 [</w:t>
      </w:r>
      <w:r w:rsidRPr="00873B6C">
        <w:t xml:space="preserve">3] and </w:t>
      </w:r>
      <w:r w:rsidR="00972E70" w:rsidRPr="00873B6C">
        <w:t>TS 23.503 [</w:t>
      </w:r>
      <w:r w:rsidRPr="00873B6C">
        <w:t>45].</w:t>
      </w:r>
    </w:p>
    <w:p w14:paraId="4492E000" w14:textId="6FF8F8BC" w:rsidR="00C86B51" w:rsidRPr="00873B6C" w:rsidRDefault="00C86B51" w:rsidP="00C86B51">
      <w:r w:rsidRPr="00873B6C">
        <w:t>An AF</w:t>
      </w:r>
      <w:r w:rsidR="00500903" w:rsidRPr="00873B6C">
        <w:t xml:space="preserve"> for PIN</w:t>
      </w:r>
      <w:r w:rsidRPr="00873B6C">
        <w:t xml:space="preserve"> may provide QoS parameters for PIN traffic to 5GC as specified in clauses 4.15.6.6, 4.15.6.6a</w:t>
      </w:r>
      <w:r w:rsidR="00472CD7" w:rsidRPr="00873B6C">
        <w:t xml:space="preserve"> and</w:t>
      </w:r>
      <w:r w:rsidRPr="00873B6C">
        <w:t xml:space="preserve"> 4.15.6.14 of TS 23.502 [3].</w:t>
      </w:r>
    </w:p>
    <w:p w14:paraId="3A643AED" w14:textId="2BD0EFFB" w:rsidR="00C86B51" w:rsidRPr="00873B6C" w:rsidRDefault="00C86B51" w:rsidP="00C86B51">
      <w:r w:rsidRPr="00873B6C">
        <w:t>An AF</w:t>
      </w:r>
      <w:r w:rsidR="00500903" w:rsidRPr="00873B6C">
        <w:t xml:space="preserve"> for PIN</w:t>
      </w:r>
      <w:r w:rsidRPr="00873B6C">
        <w:t xml:space="preserve"> may influence traffic routing for PDU sessions for PIN-DN communication as specified in clause 5.6.7 and in clause 4.3.6 of TS 23.502 [3].</w:t>
      </w:r>
    </w:p>
    <w:p w14:paraId="607F67DB" w14:textId="38151C75" w:rsidR="004969CB" w:rsidRPr="00873B6C" w:rsidRDefault="004969CB" w:rsidP="004969CB">
      <w:pPr>
        <w:pStyle w:val="Heading4"/>
      </w:pPr>
      <w:bookmarkStart w:id="5237" w:name="_CR5_44_3_3"/>
      <w:bookmarkStart w:id="5238" w:name="_Toc201157707"/>
      <w:bookmarkEnd w:id="5237"/>
      <w:r w:rsidRPr="00873B6C">
        <w:t>5.44.3.3</w:t>
      </w:r>
      <w:r w:rsidRPr="00873B6C">
        <w:tab/>
        <w:t>Non-3GPP QoS Assistance Information</w:t>
      </w:r>
      <w:bookmarkEnd w:id="5238"/>
    </w:p>
    <w:p w14:paraId="0F473501" w14:textId="01845BA9" w:rsidR="004969CB" w:rsidRPr="00873B6C" w:rsidRDefault="004969CB" w:rsidP="004969CB">
      <w:r w:rsidRPr="00873B6C">
        <w:t>QoS experienced by</w:t>
      </w:r>
      <w:r w:rsidR="00500903" w:rsidRPr="00873B6C">
        <w:t xml:space="preserve"> a</w:t>
      </w:r>
      <w:r w:rsidRPr="00873B6C">
        <w:t xml:space="preserve"> PINE connected behind a PEGC depends on the end-to-end path between </w:t>
      </w:r>
      <w:r w:rsidR="00500903" w:rsidRPr="00873B6C">
        <w:t xml:space="preserve">the </w:t>
      </w:r>
      <w:r w:rsidRPr="00873B6C">
        <w:t>PINE and the</w:t>
      </w:r>
      <w:r w:rsidR="00500903" w:rsidRPr="00873B6C">
        <w:t xml:space="preserve"> DN</w:t>
      </w:r>
      <w:r w:rsidRPr="00873B6C">
        <w:t>, i.e. depends on the QoS differentiation in both the 3GPP network and the non-3GPP network attached to the PEGC. Non-3GPP QoS Assistance Information (N3QAI) enables the PEGC to perform QoS differentiation for PINEs in the non-3GPP network behind the PEGC.</w:t>
      </w:r>
    </w:p>
    <w:p w14:paraId="44C6DA3E" w14:textId="2A8544FB" w:rsidR="004969CB" w:rsidRPr="00873B6C" w:rsidRDefault="004969CB" w:rsidP="004969CB">
      <w:r w:rsidRPr="00873B6C">
        <w:t>During PDU session establishment and PDU session modification</w:t>
      </w:r>
      <w:r w:rsidR="00500903" w:rsidRPr="00873B6C">
        <w:t xml:space="preserve"> procedure</w:t>
      </w:r>
      <w:r w:rsidRPr="00873B6C">
        <w:t>, if the SMF provides the PEGC with QoS flow descriptions, the SMF may additionally signal N3QAI for each QoS flow to the PEGC</w:t>
      </w:r>
      <w:r w:rsidR="00120E23" w:rsidRPr="00873B6C">
        <w:t xml:space="preserve"> based on the (DNN, S-NSSAI) combination of the PDU Session</w:t>
      </w:r>
      <w:r w:rsidRPr="00873B6C">
        <w:t>. Based on the N3QAI together with QoS rule information, the PEGC may reserve resources in the non-3GPP network. N3QAI consists of the following QoS information: QoS characteristics, GFBR/MFBR, Maximum Packet Loss Rate.</w:t>
      </w:r>
    </w:p>
    <w:p w14:paraId="31575689" w14:textId="77777777" w:rsidR="004969CB" w:rsidRPr="00873B6C" w:rsidRDefault="004969CB" w:rsidP="004969CB">
      <w:r w:rsidRPr="00873B6C">
        <w:t>How to enforce QoS based on the N3QAI in the non-3GPP network is considered outside the scope of 3GPP.</w:t>
      </w:r>
    </w:p>
    <w:p w14:paraId="1CF17E03" w14:textId="27A50E2D" w:rsidR="004969CB" w:rsidRPr="00873B6C" w:rsidRDefault="004969CB" w:rsidP="004969CB">
      <w:pPr>
        <w:pStyle w:val="Heading4"/>
      </w:pPr>
      <w:bookmarkStart w:id="5239" w:name="_CR5_44_3_4"/>
      <w:bookmarkStart w:id="5240" w:name="_Toc201157708"/>
      <w:bookmarkEnd w:id="5239"/>
      <w:r w:rsidRPr="00873B6C">
        <w:t>5.44.3.4</w:t>
      </w:r>
      <w:r w:rsidRPr="00873B6C">
        <w:tab/>
        <w:t>Non-3GPP delay budget between PINE and PEGC</w:t>
      </w:r>
      <w:bookmarkEnd w:id="5240"/>
    </w:p>
    <w:p w14:paraId="5B4CF305" w14:textId="4DBD1D83" w:rsidR="004969CB" w:rsidRPr="00873B6C" w:rsidRDefault="00120E23" w:rsidP="004969CB">
      <w:r w:rsidRPr="00873B6C">
        <w:t>For PIN</w:t>
      </w:r>
      <w:r w:rsidR="00141A61" w:rsidRPr="00873B6C">
        <w:t xml:space="preserve"> indirect communication and PIN-DN communication</w:t>
      </w:r>
      <w:r w:rsidR="00500903" w:rsidRPr="00873B6C">
        <w:t xml:space="preserve"> of a PINE</w:t>
      </w:r>
      <w:r w:rsidRPr="00873B6C">
        <w:t xml:space="preserve"> via</w:t>
      </w:r>
      <w:r w:rsidR="00500903" w:rsidRPr="00873B6C">
        <w:t xml:space="preserve"> a</w:t>
      </w:r>
      <w:r w:rsidRPr="00873B6C">
        <w:t xml:space="preserve"> PEGC and 5G</w:t>
      </w:r>
      <w:r w:rsidR="00500903" w:rsidRPr="00873B6C">
        <w:t xml:space="preserve"> network</w:t>
      </w:r>
      <w:r w:rsidRPr="00873B6C">
        <w:t>, n</w:t>
      </w:r>
      <w:r w:rsidR="004969CB" w:rsidRPr="00873B6C">
        <w:t xml:space="preserve">on-3GPP delay is the delay between the PEGC and the PINE. 5GC may need to be aware of the non-3GPP delay and compensate for this delay in 5GS. The compensation is achieved by </w:t>
      </w:r>
      <w:r w:rsidR="00FA5436" w:rsidRPr="00873B6C">
        <w:t xml:space="preserve">adjusting the dynamic CN </w:t>
      </w:r>
      <w:r w:rsidR="004969CB" w:rsidRPr="00873B6C">
        <w:t>PDB for the 3GPP network by the non-3GPP delay</w:t>
      </w:r>
      <w:r w:rsidR="00FA5436" w:rsidRPr="00873B6C">
        <w:t xml:space="preserve"> (i.e. the network determined original PDB value is unchanged, but it needs to cover non-3GPP delay, besides the AN PDB and CN PDB)</w:t>
      </w:r>
      <w:r w:rsidR="004969CB" w:rsidRPr="00873B6C">
        <w:t>.</w:t>
      </w:r>
    </w:p>
    <w:p w14:paraId="278D0B5A" w14:textId="6B22107E" w:rsidR="004969CB" w:rsidRPr="00873B6C" w:rsidRDefault="004969CB" w:rsidP="004969CB">
      <w:r w:rsidRPr="00873B6C">
        <w:t xml:space="preserve">If the PEGC supports </w:t>
      </w:r>
      <w:r w:rsidR="00893B12" w:rsidRPr="00873B6C">
        <w:t xml:space="preserve">providing </w:t>
      </w:r>
      <w:r w:rsidRPr="00873B6C">
        <w:t>of the non-3GPP delay budget for a specific</w:t>
      </w:r>
      <w:r w:rsidR="00120E23" w:rsidRPr="00873B6C">
        <w:t xml:space="preserve"> </w:t>
      </w:r>
      <w:r w:rsidR="00893B12" w:rsidRPr="00873B6C">
        <w:t xml:space="preserve">QoS </w:t>
      </w:r>
      <w:r w:rsidRPr="00873B6C">
        <w:t>flow</w:t>
      </w:r>
      <w:r w:rsidR="00893B12" w:rsidRPr="00873B6C">
        <w:t xml:space="preserve"> of the PIN traffic</w:t>
      </w:r>
      <w:r w:rsidRPr="00873B6C">
        <w:t xml:space="preserve">, the PEGC may </w:t>
      </w:r>
      <w:r w:rsidR="00893B12" w:rsidRPr="00873B6C">
        <w:t xml:space="preserve">provide a non-3GPP delay budget to SMF by using </w:t>
      </w:r>
      <w:r w:rsidRPr="00873B6C">
        <w:t>the UE requested PDU Session Modification procedure.</w:t>
      </w:r>
      <w:r w:rsidR="00120E23" w:rsidRPr="00873B6C">
        <w:t xml:space="preserve"> Based on the (DNN, S-NSSAI) combination of the PDU Session, the SMF</w:t>
      </w:r>
      <w:r w:rsidR="00893B12" w:rsidRPr="00873B6C">
        <w:t xml:space="preserve"> may, according to operator policy and implementation, consider the non-3GPP delay budget when signalling the dynamic CN PDB to NG-RAN. The</w:t>
      </w:r>
      <w:r w:rsidR="00120E23" w:rsidRPr="00873B6C">
        <w:t xml:space="preserve"> dynamic CN PDB</w:t>
      </w:r>
      <w:r w:rsidR="00893B12" w:rsidRPr="00873B6C">
        <w:t xml:space="preserve"> signalled to the NG-RAN may be calculated as the sum of the value of dynamic CN PDB</w:t>
      </w:r>
      <w:r w:rsidR="00120E23" w:rsidRPr="00873B6C">
        <w:t xml:space="preserve"> for the related GBR QoS flow </w:t>
      </w:r>
      <w:r w:rsidR="00893B12" w:rsidRPr="00873B6C">
        <w:t xml:space="preserve">and </w:t>
      </w:r>
      <w:r w:rsidR="00120E23" w:rsidRPr="00873B6C">
        <w:t>the requested non-3GPP delay budge. If the dynamic CN PDB changes in the SMF (e.g</w:t>
      </w:r>
      <w:r w:rsidR="00965644" w:rsidRPr="00873B6C">
        <w:t>.</w:t>
      </w:r>
      <w:r w:rsidR="00120E23" w:rsidRPr="00873B6C">
        <w:t xml:space="preserve"> when an I-UPF is inserted by the SMF), based on the (DNN, S-NSSAI) combination of the PDU Session, the SMF</w:t>
      </w:r>
      <w:r w:rsidR="00893B12" w:rsidRPr="00873B6C">
        <w:t xml:space="preserve"> may</w:t>
      </w:r>
      <w:r w:rsidR="00120E23" w:rsidRPr="00873B6C">
        <w:t xml:space="preserve"> appl</w:t>
      </w:r>
      <w:r w:rsidR="00893B12" w:rsidRPr="00873B6C">
        <w:t xml:space="preserve">y </w:t>
      </w:r>
      <w:r w:rsidR="00120E23" w:rsidRPr="00873B6C">
        <w:t>the non-3GPP delay budget again before signalling the dynamic CN PDB to NG-RAN. The non-3GPP delay budget does not impact the QoS flow binding in SMF.</w:t>
      </w:r>
    </w:p>
    <w:p w14:paraId="5EA81CC0" w14:textId="14DF9847" w:rsidR="00120E23" w:rsidRPr="00873B6C" w:rsidRDefault="00120E23" w:rsidP="00120E23">
      <w:pPr>
        <w:pStyle w:val="NO"/>
      </w:pPr>
      <w:r w:rsidRPr="00873B6C">
        <w:t>NOTE:</w:t>
      </w:r>
      <w:r w:rsidRPr="00873B6C">
        <w:tab/>
        <w:t>For deployments that support a PEGC to request a non-3GPP delay budget it is assumed that RAN is locally configured to give precedence to the CN PDB value received via N2 signalling as specified in clause 5.7.3.4.</w:t>
      </w:r>
    </w:p>
    <w:p w14:paraId="4BE5D81D" w14:textId="5246F381" w:rsidR="004969CB" w:rsidRPr="00873B6C" w:rsidRDefault="004969CB" w:rsidP="004969CB">
      <w:r w:rsidRPr="00873B6C">
        <w:t>It is assumed that the PEGC will limit the frequency of triggering the UE-initiated PDU Session Modification request to provide the non-3GPP delay budget to the network to avoid unnecessary signalling.</w:t>
      </w:r>
    </w:p>
    <w:p w14:paraId="7E9DF1B3" w14:textId="60491C42" w:rsidR="00120E23" w:rsidRPr="00873B6C" w:rsidRDefault="00120E23" w:rsidP="00120E23">
      <w:pPr>
        <w:pStyle w:val="Heading3"/>
      </w:pPr>
      <w:bookmarkStart w:id="5241" w:name="_CR5_44_4"/>
      <w:bookmarkStart w:id="5242" w:name="_Toc201157709"/>
      <w:bookmarkEnd w:id="5241"/>
      <w:r w:rsidRPr="00873B6C">
        <w:t>5.44.4</w:t>
      </w:r>
      <w:r w:rsidRPr="00873B6C">
        <w:tab/>
        <w:t>Identifiers for PIN</w:t>
      </w:r>
      <w:bookmarkEnd w:id="5242"/>
    </w:p>
    <w:p w14:paraId="690895F0" w14:textId="764FA23B" w:rsidR="0001796C" w:rsidRPr="00873B6C" w:rsidRDefault="00120E23" w:rsidP="005A13C0">
      <w:r w:rsidRPr="00873B6C">
        <w:t>A PIN is managed at the PIN application layer.</w:t>
      </w:r>
      <w:r w:rsidR="00E26BE3" w:rsidRPr="00873B6C">
        <w:t xml:space="preserve"> A unique PIN ID in a PLMN is designated to a PIN, e.g. by PIN</w:t>
      </w:r>
      <w:r w:rsidR="00500903" w:rsidRPr="00873B6C">
        <w:t xml:space="preserve"> server</w:t>
      </w:r>
      <w:r w:rsidR="00E26BE3" w:rsidRPr="00873B6C">
        <w:t xml:space="preserve"> as specified in TS 23.542 [181].</w:t>
      </w:r>
      <w:r w:rsidRPr="00873B6C">
        <w:t xml:space="preserve"> In 5GS </w:t>
      </w:r>
      <w:r w:rsidR="00E26BE3" w:rsidRPr="00873B6C">
        <w:t xml:space="preserve">the </w:t>
      </w:r>
      <w:r w:rsidRPr="00873B6C">
        <w:t>PIN ID is only used in the traffic descriptor of URSP rules, for routing traffic of specific PIN towards a dedicated (DNN, S-NSSAI) combination</w:t>
      </w:r>
      <w:r w:rsidR="00E26BE3" w:rsidRPr="00873B6C">
        <w:t xml:space="preserve"> as specified in clause 6.6.2 of TS 23.503 [45]</w:t>
      </w:r>
      <w:r w:rsidRPr="00873B6C">
        <w:t>.</w:t>
      </w:r>
    </w:p>
    <w:p w14:paraId="45BC8BBF" w14:textId="680FAC8A" w:rsidR="00120E23" w:rsidRPr="00873B6C" w:rsidRDefault="00120E23" w:rsidP="005A13C0">
      <w:r w:rsidRPr="00873B6C">
        <w:t xml:space="preserve">If a PIN contains more than one PEGCs, the list of PEGCs may be grouped together following the 5G VN group management principles as specified in clause 5.29.2. Then the PEGCs of a PIN can be identified by an External Group ID by </w:t>
      </w:r>
      <w:r w:rsidR="00500903" w:rsidRPr="00873B6C">
        <w:t xml:space="preserve">an </w:t>
      </w:r>
      <w:r w:rsidRPr="00873B6C">
        <w:t>AF for PIN. The AF for PIN may use the External Group ID to manage the list of PEGC</w:t>
      </w:r>
      <w:r w:rsidR="00141A61" w:rsidRPr="00873B6C">
        <w:t>s</w:t>
      </w:r>
      <w:r w:rsidRPr="00873B6C">
        <w:t xml:space="preserve"> that are part of a </w:t>
      </w:r>
      <w:r w:rsidRPr="00873B6C">
        <w:lastRenderedPageBreak/>
        <w:t>PIN and for providing URSP guidance</w:t>
      </w:r>
      <w:r w:rsidR="00141A61" w:rsidRPr="00873B6C">
        <w:t xml:space="preserve"> (as specified in clause 5.44.2)</w:t>
      </w:r>
      <w:r w:rsidRPr="00873B6C">
        <w:t xml:space="preserve"> and/or QoS requests applicable to all the PEGCs</w:t>
      </w:r>
      <w:r w:rsidR="00141A61" w:rsidRPr="00873B6C">
        <w:t xml:space="preserve"> (as specified in clause 5.44.3)</w:t>
      </w:r>
      <w:r w:rsidRPr="00873B6C">
        <w:t>.</w:t>
      </w:r>
    </w:p>
    <w:p w14:paraId="67DFBC87" w14:textId="685310F4" w:rsidR="00893B12" w:rsidRPr="00873B6C" w:rsidRDefault="00893B12" w:rsidP="00FA7D5B">
      <w:pPr>
        <w:pStyle w:val="NO"/>
      </w:pPr>
      <w:r w:rsidRPr="00873B6C">
        <w:t>NOTE:</w:t>
      </w:r>
      <w:r w:rsidRPr="00873B6C">
        <w:tab/>
        <w:t>The PEMCs can also be grouped together with the PEGCs using the 5G VN group management functionality for enabling the PEMCs to communicate with PEGCs via UPF local switch in order to manage the PIN.</w:t>
      </w:r>
    </w:p>
    <w:p w14:paraId="41643D50" w14:textId="204A926A" w:rsidR="003B7084" w:rsidRPr="00873B6C" w:rsidRDefault="003B7084" w:rsidP="003B7084">
      <w:pPr>
        <w:pStyle w:val="Heading2"/>
      </w:pPr>
      <w:bookmarkStart w:id="5243" w:name="_CR5_45"/>
      <w:bookmarkStart w:id="5244" w:name="_Toc201157710"/>
      <w:bookmarkEnd w:id="5243"/>
      <w:r w:rsidRPr="00873B6C">
        <w:t>5.45</w:t>
      </w:r>
      <w:r w:rsidRPr="00873B6C">
        <w:tab/>
        <w:t>QoS Monitoring</w:t>
      </w:r>
      <w:bookmarkEnd w:id="5244"/>
    </w:p>
    <w:p w14:paraId="4F0263A2" w14:textId="17296D63" w:rsidR="001029D4" w:rsidRPr="00873B6C" w:rsidRDefault="001029D4" w:rsidP="00972E70">
      <w:pPr>
        <w:pStyle w:val="Heading3"/>
      </w:pPr>
      <w:bookmarkStart w:id="5245" w:name="_CR5_45_1"/>
      <w:bookmarkStart w:id="5246" w:name="_Toc201157711"/>
      <w:bookmarkEnd w:id="5245"/>
      <w:r w:rsidRPr="00873B6C">
        <w:t>5.45.1</w:t>
      </w:r>
      <w:r w:rsidRPr="00873B6C">
        <w:tab/>
        <w:t>General</w:t>
      </w:r>
      <w:bookmarkEnd w:id="5246"/>
    </w:p>
    <w:p w14:paraId="29B52BA0" w14:textId="2B778F85" w:rsidR="001029D4" w:rsidRPr="00873B6C" w:rsidRDefault="001029D4" w:rsidP="001029D4">
      <w:r w:rsidRPr="00873B6C">
        <w:t>QoS monitoring comprises of measurements of QoS</w:t>
      </w:r>
      <w:r w:rsidR="00644F65" w:rsidRPr="00873B6C">
        <w:t xml:space="preserve"> monitoring</w:t>
      </w:r>
      <w:r w:rsidRPr="00873B6C">
        <w:t xml:space="preserve"> parameters</w:t>
      </w:r>
      <w:r w:rsidR="00FB1520" w:rsidRPr="00873B6C">
        <w:t xml:space="preserve"> and reports of the measurement result</w:t>
      </w:r>
      <w:r w:rsidRPr="00873B6C">
        <w:t xml:space="preserve"> for a QoS Flow and can be enabled based on 3rd party application requests and/or operator policies configured in the PCF.</w:t>
      </w:r>
      <w:r w:rsidR="00644F65" w:rsidRPr="00873B6C">
        <w:t xml:space="preserve"> Event Reporting from PCF is specified in clause 6.1.3.18 of TS 23.503 [45] and User Plane QoS Flow related QoS monitoring and reporting in clause 5.8.2.18.</w:t>
      </w:r>
    </w:p>
    <w:p w14:paraId="421C47CB" w14:textId="260E647F" w:rsidR="00FB1520" w:rsidRPr="00873B6C" w:rsidRDefault="00FB1520" w:rsidP="001029D4">
      <w:r w:rsidRPr="00873B6C">
        <w:t>The AF may request measurements for one or more of the following QoS</w:t>
      </w:r>
      <w:r w:rsidR="00644F65" w:rsidRPr="00873B6C">
        <w:t xml:space="preserve"> monitoring</w:t>
      </w:r>
      <w:r w:rsidRPr="00873B6C">
        <w:t xml:space="preserve"> parameters, which may trigger QoS monitoring for service data flow(s):</w:t>
      </w:r>
    </w:p>
    <w:p w14:paraId="293F0A94" w14:textId="47874D58" w:rsidR="00FB1520" w:rsidRPr="00873B6C" w:rsidRDefault="00FB1520" w:rsidP="005A13C0">
      <w:pPr>
        <w:pStyle w:val="B1"/>
      </w:pPr>
      <w:r w:rsidRPr="00873B6C">
        <w:t>-</w:t>
      </w:r>
      <w:r w:rsidRPr="00873B6C">
        <w:tab/>
        <w:t>UL packet delay, DL packet delay, round trip packet delay</w:t>
      </w:r>
      <w:r w:rsidR="00644F65" w:rsidRPr="00873B6C">
        <w:t xml:space="preserve"> for a service data flow</w:t>
      </w:r>
      <w:r w:rsidRPr="00873B6C">
        <w:t>, see clause 5.45.2.</w:t>
      </w:r>
    </w:p>
    <w:p w14:paraId="09365A1C" w14:textId="77777777" w:rsidR="00FB1520" w:rsidRPr="00873B6C" w:rsidRDefault="00FB1520" w:rsidP="005A13C0">
      <w:pPr>
        <w:pStyle w:val="B1"/>
      </w:pPr>
      <w:r w:rsidRPr="00873B6C">
        <w:t>-</w:t>
      </w:r>
      <w:r w:rsidRPr="00873B6C">
        <w:tab/>
        <w:t>Congestion, see clause 5.45.3.</w:t>
      </w:r>
    </w:p>
    <w:p w14:paraId="33C59BE7" w14:textId="77777777" w:rsidR="00FB1520" w:rsidRPr="00873B6C" w:rsidRDefault="00FB1520" w:rsidP="005A13C0">
      <w:pPr>
        <w:pStyle w:val="B1"/>
      </w:pPr>
      <w:r w:rsidRPr="00873B6C">
        <w:t>-</w:t>
      </w:r>
      <w:r w:rsidRPr="00873B6C">
        <w:tab/>
        <w:t>Data Rate, see clause 5.45.4.</w:t>
      </w:r>
    </w:p>
    <w:p w14:paraId="3271B723" w14:textId="77777777" w:rsidR="00FB1520" w:rsidRPr="00873B6C" w:rsidRDefault="00FB1520" w:rsidP="005A13C0">
      <w:pPr>
        <w:pStyle w:val="B1"/>
      </w:pPr>
      <w:r w:rsidRPr="00873B6C">
        <w:t>-</w:t>
      </w:r>
      <w:r w:rsidRPr="00873B6C">
        <w:tab/>
        <w:t>Packet Delay Variation, see clause 5.37.7.</w:t>
      </w:r>
    </w:p>
    <w:p w14:paraId="36FF1366" w14:textId="317CB14D" w:rsidR="00FB1520" w:rsidRPr="00873B6C" w:rsidRDefault="00FB1520" w:rsidP="005A13C0">
      <w:pPr>
        <w:pStyle w:val="B1"/>
      </w:pPr>
      <w:r w:rsidRPr="00873B6C">
        <w:t>-</w:t>
      </w:r>
      <w:r w:rsidRPr="00873B6C">
        <w:tab/>
        <w:t>Round trip packet delay</w:t>
      </w:r>
      <w:r w:rsidR="00644F65" w:rsidRPr="00873B6C">
        <w:t xml:space="preserve"> considering UL on a service data flow and DL of another service data flow</w:t>
      </w:r>
      <w:r w:rsidRPr="00873B6C">
        <w:t>, see clause 5.37.4.</w:t>
      </w:r>
    </w:p>
    <w:p w14:paraId="3E0C163C" w14:textId="77777777" w:rsidR="00644F65" w:rsidRPr="00873B6C" w:rsidRDefault="00644F65" w:rsidP="001029D4">
      <w:r w:rsidRPr="00873B6C">
        <w:t>The following AF requested QoS requirements may trigger QoS monitoring for service data flow(s):</w:t>
      </w:r>
    </w:p>
    <w:p w14:paraId="3FDBC751" w14:textId="77777777" w:rsidR="00644F65" w:rsidRPr="00873B6C" w:rsidRDefault="00644F65" w:rsidP="00FA7D5B">
      <w:pPr>
        <w:pStyle w:val="B1"/>
      </w:pPr>
      <w:r w:rsidRPr="00873B6C">
        <w:t>-</w:t>
      </w:r>
      <w:r w:rsidRPr="00873B6C">
        <w:tab/>
        <w:t>Round-trip latency requirement, see clause 5.37.6.</w:t>
      </w:r>
    </w:p>
    <w:p w14:paraId="26575093" w14:textId="70BDE3DF" w:rsidR="001029D4" w:rsidRPr="00873B6C" w:rsidRDefault="001029D4" w:rsidP="001029D4">
      <w:r w:rsidRPr="00873B6C">
        <w:t xml:space="preserve">The PCF may generate the authorized QoS Monitoring policy for a service data flow based on the QoS Monitoring request received from the AF (as described in clause 6.1.3.21 of </w:t>
      </w:r>
      <w:r w:rsidR="00972E70" w:rsidRPr="00873B6C">
        <w:t>TS 23.503 [</w:t>
      </w:r>
      <w:r w:rsidRPr="00873B6C">
        <w:t>45])</w:t>
      </w:r>
      <w:r w:rsidR="0029208C" w:rsidRPr="00873B6C">
        <w:t xml:space="preserve"> or based on PCF local policy or configuration reasons, such as PCF awareness of dynamic satellite backhaul connection</w:t>
      </w:r>
      <w:r w:rsidRPr="00873B6C">
        <w:t>. The PCF includes the authorized QoS Monitoring policy in the PCC rule and provides it to the SMF.</w:t>
      </w:r>
    </w:p>
    <w:p w14:paraId="4FCEA42B" w14:textId="68587E5B" w:rsidR="00FB1520" w:rsidRPr="00873B6C" w:rsidRDefault="00FB1520" w:rsidP="001029D4">
      <w:r w:rsidRPr="00873B6C">
        <w:t>The QoS</w:t>
      </w:r>
      <w:r w:rsidR="00644F65" w:rsidRPr="00873B6C">
        <w:t xml:space="preserve"> monitoring</w:t>
      </w:r>
      <w:r w:rsidRPr="00873B6C">
        <w:t xml:space="preserve"> parameter(s) that can be measured by means of QoS monitoring are listed below. The QoS monitoring policy in PCC rule (described in clause 6.3.1 of TS 23.503 [45]) may include the following:</w:t>
      </w:r>
    </w:p>
    <w:p w14:paraId="5803C741" w14:textId="77777777" w:rsidR="00FB1520" w:rsidRPr="00873B6C" w:rsidRDefault="00FB1520" w:rsidP="005A13C0">
      <w:pPr>
        <w:pStyle w:val="B1"/>
      </w:pPr>
      <w:r w:rsidRPr="00873B6C">
        <w:t>-</w:t>
      </w:r>
      <w:r w:rsidRPr="00873B6C">
        <w:tab/>
        <w:t>UL packet delay, DL packet delay, round trip packet delay, see clause 5.45.2.</w:t>
      </w:r>
    </w:p>
    <w:p w14:paraId="2D3A2FCF" w14:textId="77777777" w:rsidR="00FB1520" w:rsidRPr="00873B6C" w:rsidRDefault="00FB1520" w:rsidP="005A13C0">
      <w:pPr>
        <w:pStyle w:val="B1"/>
      </w:pPr>
      <w:r w:rsidRPr="00873B6C">
        <w:t>-</w:t>
      </w:r>
      <w:r w:rsidRPr="00873B6C">
        <w:tab/>
        <w:t>Congestion, see clause 5.45.3.</w:t>
      </w:r>
    </w:p>
    <w:p w14:paraId="05DBF6E9" w14:textId="77777777" w:rsidR="00FB1520" w:rsidRPr="00873B6C" w:rsidRDefault="00FB1520" w:rsidP="005A13C0">
      <w:pPr>
        <w:pStyle w:val="B1"/>
      </w:pPr>
      <w:r w:rsidRPr="00873B6C">
        <w:t>-</w:t>
      </w:r>
      <w:r w:rsidRPr="00873B6C">
        <w:tab/>
        <w:t>Data Rate, see clause 5.45.4.</w:t>
      </w:r>
    </w:p>
    <w:p w14:paraId="7372B5CC" w14:textId="17AA9E88" w:rsidR="00644F65" w:rsidRPr="00873B6C" w:rsidRDefault="001029D4" w:rsidP="001029D4">
      <w:r w:rsidRPr="00873B6C">
        <w:t>The SMF configures the UPF to perform QoS monitoring for the QoS Flow and to report the monitoring results as described in clause 5.8.2.18 with parameters determined by the SMF based on the authorized QoS Monitoring policy received from the PCF or local configuration</w:t>
      </w:r>
      <w:r w:rsidR="0029208C" w:rsidRPr="00873B6C">
        <w:t xml:space="preserve"> or both</w:t>
      </w:r>
      <w:r w:rsidRPr="00873B6C">
        <w:t>.</w:t>
      </w:r>
    </w:p>
    <w:p w14:paraId="7EBADAC2" w14:textId="1DE34DB0" w:rsidR="001029D4" w:rsidRPr="00873B6C" w:rsidRDefault="00FB1520" w:rsidP="001029D4">
      <w:r w:rsidRPr="00873B6C">
        <w:t>The SMF may also configure RAN to measure the QoS</w:t>
      </w:r>
      <w:r w:rsidR="00644F65" w:rsidRPr="00873B6C">
        <w:t xml:space="preserve"> monitoring</w:t>
      </w:r>
      <w:r w:rsidRPr="00873B6C">
        <w:t xml:space="preserve"> parameters</w:t>
      </w:r>
      <w:r w:rsidR="00644F65" w:rsidRPr="00873B6C">
        <w:t xml:space="preserve"> by sending QoS monitoring request</w:t>
      </w:r>
      <w:r w:rsidRPr="00873B6C">
        <w:t xml:space="preserve"> based on the authorized QoS Monitoring policy received from the PCF and/or local configuration.</w:t>
      </w:r>
      <w:r w:rsidR="00644F65" w:rsidRPr="00873B6C">
        <w:t xml:space="preserve"> The QoS monitoring request to the NG RAN for different parameters is as defined in clause 5.45.2 and 5.45.3.</w:t>
      </w:r>
    </w:p>
    <w:p w14:paraId="61674FFE" w14:textId="58D8F03B" w:rsidR="001029D4" w:rsidRPr="00873B6C" w:rsidRDefault="001029D4" w:rsidP="001029D4">
      <w:r w:rsidRPr="00873B6C">
        <w:t>The following clauses describe the QoS</w:t>
      </w:r>
      <w:r w:rsidR="00644F65" w:rsidRPr="00873B6C">
        <w:t xml:space="preserve"> monitoring</w:t>
      </w:r>
      <w:r w:rsidRPr="00873B6C">
        <w:t xml:space="preserve"> parameters which can be measured and any specific actions or constraints for their measurement.</w:t>
      </w:r>
    </w:p>
    <w:p w14:paraId="5374A581" w14:textId="608BDC94" w:rsidR="001029D4" w:rsidRPr="00873B6C" w:rsidRDefault="001029D4" w:rsidP="00972E70">
      <w:pPr>
        <w:pStyle w:val="NO"/>
      </w:pPr>
      <w:r w:rsidRPr="00873B6C">
        <w:t>NOTE:</w:t>
      </w:r>
      <w:r w:rsidRPr="00873B6C">
        <w:tab/>
        <w:t>The QoS</w:t>
      </w:r>
      <w:r w:rsidR="00644F65" w:rsidRPr="00873B6C">
        <w:t xml:space="preserve"> monitoring</w:t>
      </w:r>
      <w:r w:rsidRPr="00873B6C">
        <w:t xml:space="preserve"> parameter which can be measured are parameters which describe the QoS experienced in the 5GS by the application, i.e. they are not restricted to the 5G QoS Parameters defined in clause 5.7.2.</w:t>
      </w:r>
    </w:p>
    <w:p w14:paraId="3CFE24B9" w14:textId="35A03109" w:rsidR="001029D4" w:rsidRPr="00873B6C" w:rsidRDefault="001029D4" w:rsidP="00972E70">
      <w:pPr>
        <w:pStyle w:val="Heading3"/>
      </w:pPr>
      <w:bookmarkStart w:id="5247" w:name="_CR5_45_2"/>
      <w:bookmarkStart w:id="5248" w:name="_Toc201157712"/>
      <w:bookmarkEnd w:id="5247"/>
      <w:r w:rsidRPr="00873B6C">
        <w:lastRenderedPageBreak/>
        <w:t>5.45.2</w:t>
      </w:r>
      <w:r w:rsidRPr="00873B6C">
        <w:tab/>
        <w:t>Packet delay monitoring</w:t>
      </w:r>
      <w:bookmarkEnd w:id="5248"/>
    </w:p>
    <w:p w14:paraId="7CD3A565" w14:textId="77777777" w:rsidR="001029D4" w:rsidRPr="00873B6C" w:rsidRDefault="001029D4" w:rsidP="001029D4">
      <w:r w:rsidRPr="00873B6C">
        <w:t>QoS Monitoring for packet delay allows for the measurement of UL packet delay, DL packet delay or round trip packet delay between UE and PSA UPF. The details of the QoS Monitoring for packet delay are described in clause 5.33.3.</w:t>
      </w:r>
    </w:p>
    <w:p w14:paraId="5BFA9A66" w14:textId="07908CCB" w:rsidR="00FB1520" w:rsidRPr="00873B6C" w:rsidRDefault="00FB1520" w:rsidP="00FA7D5B">
      <w:r w:rsidRPr="00873B6C">
        <w:t>The PCF may calculate Packet Delay Variation (clause 5.37.7) and the round trip packet delay when UL and DL are on different QoS flows (clause 5.37.4) based on packet delay monitoring results of QoS flows.</w:t>
      </w:r>
    </w:p>
    <w:p w14:paraId="626A5D01" w14:textId="2AC03508" w:rsidR="002B09F2" w:rsidRPr="00873B6C" w:rsidRDefault="002B09F2" w:rsidP="00972E70">
      <w:pPr>
        <w:pStyle w:val="Heading3"/>
      </w:pPr>
      <w:bookmarkStart w:id="5249" w:name="_CR5_45_3"/>
      <w:bookmarkStart w:id="5250" w:name="_Toc201157713"/>
      <w:bookmarkEnd w:id="5249"/>
      <w:r w:rsidRPr="00873B6C">
        <w:t>5.45.</w:t>
      </w:r>
      <w:r w:rsidR="001029D4" w:rsidRPr="00873B6C">
        <w:t>3</w:t>
      </w:r>
      <w:r w:rsidRPr="00873B6C">
        <w:tab/>
        <w:t>Congestion information monitoring</w:t>
      </w:r>
      <w:bookmarkEnd w:id="5250"/>
    </w:p>
    <w:p w14:paraId="1E514C74" w14:textId="69FCCD57" w:rsidR="002B09F2" w:rsidRPr="00873B6C" w:rsidRDefault="002B09F2" w:rsidP="003B7084">
      <w:r w:rsidRPr="00873B6C">
        <w:t>The NG-RAN may be required to provide the UL and/or DL QoS Flow congestion information</w:t>
      </w:r>
      <w:r w:rsidR="00644F65" w:rsidRPr="00873B6C">
        <w:t xml:space="preserve"> to UPF</w:t>
      </w:r>
      <w:r w:rsidRPr="00873B6C">
        <w:t xml:space="preserve"> (i.e. a percentage of congestion level for exposure). The UPF may be required to monitor</w:t>
      </w:r>
      <w:r w:rsidR="00644F65" w:rsidRPr="00873B6C">
        <w:t xml:space="preserve"> and expose</w:t>
      </w:r>
      <w:r w:rsidRPr="00873B6C">
        <w:t xml:space="preserve"> the UL and/or DL QoS Flow congestion information reported from the NG-RAN.</w:t>
      </w:r>
    </w:p>
    <w:p w14:paraId="7FA6D26D" w14:textId="1C22A079" w:rsidR="00644F65" w:rsidRPr="00873B6C" w:rsidRDefault="002B09F2" w:rsidP="003B7084">
      <w:r w:rsidRPr="00873B6C">
        <w:t>QoS monitoring request</w:t>
      </w:r>
      <w:r w:rsidR="00644F65" w:rsidRPr="00873B6C">
        <w:t xml:space="preserve"> for congestion information provided by the SMF</w:t>
      </w:r>
      <w:r w:rsidRPr="00873B6C">
        <w:t xml:space="preserve"> to the NG-RAN</w:t>
      </w:r>
      <w:r w:rsidR="00644F65" w:rsidRPr="00873B6C">
        <w:t xml:space="preserve"> is to trigger the</w:t>
      </w:r>
      <w:r w:rsidRPr="00873B6C">
        <w:t xml:space="preserve"> NG-RAN</w:t>
      </w:r>
      <w:r w:rsidR="00644F65" w:rsidRPr="00873B6C">
        <w:t xml:space="preserve"> to measure and report </w:t>
      </w:r>
      <w:r w:rsidRPr="00873B6C">
        <w:t>UL and/or DL QoS Flow congestion information to PSA UPF as defined in 5.37.3.</w:t>
      </w:r>
    </w:p>
    <w:p w14:paraId="2CD53EC8" w14:textId="0A9F78C6" w:rsidR="00644F65" w:rsidRPr="00873B6C" w:rsidRDefault="00644F65" w:rsidP="00FA7D5B">
      <w:pPr>
        <w:pStyle w:val="NO"/>
      </w:pPr>
      <w:r w:rsidRPr="00873B6C">
        <w:t>NOTE 1:</w:t>
      </w:r>
      <w:r w:rsidRPr="00873B6C">
        <w:tab/>
        <w:t>How the RAN measures and reports the congestion information is up to RAN implementation.</w:t>
      </w:r>
    </w:p>
    <w:p w14:paraId="4F31E2F3" w14:textId="09052703" w:rsidR="00644F65" w:rsidRPr="00873B6C" w:rsidRDefault="00644F65" w:rsidP="00FA7D5B">
      <w:pPr>
        <w:pStyle w:val="NO"/>
      </w:pPr>
      <w:r w:rsidRPr="00873B6C">
        <w:t>NOTE 2:</w:t>
      </w:r>
      <w:r w:rsidRPr="00873B6C">
        <w:tab/>
        <w:t>It is assumed that the RAN reports whenever there is a change in the percentage of packets to be marked with ECN for L4S marking and/or congestion information. The granularity of change in percentage determination is up to RAN implementation.</w:t>
      </w:r>
    </w:p>
    <w:p w14:paraId="514D1042" w14:textId="5DB3DE1E" w:rsidR="00644F65" w:rsidRPr="00873B6C" w:rsidRDefault="00644F65" w:rsidP="003B7084">
      <w:r w:rsidRPr="00873B6C">
        <w:t xml:space="preserve">For the reporting of the congestion information from PSA UPF, the periodical reporting is not applied and only the </w:t>
      </w:r>
      <w:r w:rsidRPr="00873B6C">
        <w:rPr>
          <w:i/>
          <w:iCs/>
        </w:rPr>
        <w:t>Reporting frequency</w:t>
      </w:r>
      <w:r w:rsidRPr="00873B6C">
        <w:t xml:space="preserve"> 'event triggered' applies, see clause 5.8.2.18.</w:t>
      </w:r>
    </w:p>
    <w:p w14:paraId="1E723BA5" w14:textId="49BBF472" w:rsidR="002B09F2" w:rsidRPr="00873B6C" w:rsidRDefault="002B09F2" w:rsidP="003B7084">
      <w:r w:rsidRPr="00873B6C">
        <w:t>The PSA UPF reports the received UL and/or DL QoS Flow congestion information to the target NF as instructed by the QoS Monitoring request</w:t>
      </w:r>
      <w:r w:rsidR="00644F65" w:rsidRPr="00873B6C">
        <w:t xml:space="preserve"> (see clause 5.8.2.18)</w:t>
      </w:r>
      <w:r w:rsidRPr="00873B6C">
        <w:t xml:space="preserve"> from the SMF.</w:t>
      </w:r>
    </w:p>
    <w:p w14:paraId="384E53F8" w14:textId="5A4209A4" w:rsidR="00386935" w:rsidRPr="00873B6C" w:rsidRDefault="00386935" w:rsidP="00386935">
      <w:r w:rsidRPr="00873B6C">
        <w:t xml:space="preserve">Only ECN marking for L4S in </w:t>
      </w:r>
      <w:r w:rsidR="00883CA6" w:rsidRPr="00873B6C">
        <w:t>NG-</w:t>
      </w:r>
      <w:r w:rsidRPr="00873B6C">
        <w:t xml:space="preserve">RAN </w:t>
      </w:r>
      <w:r w:rsidR="00883CA6" w:rsidRPr="00873B6C">
        <w:t>(</w:t>
      </w:r>
      <w:r w:rsidRPr="00873B6C">
        <w:t>as described in clause 5.37.3) or QoS monitoring of congestion information may be requested to NG-RAN for a QoS Flow.</w:t>
      </w:r>
      <w:r w:rsidR="00883CA6" w:rsidRPr="00873B6C">
        <w:t xml:space="preserve"> QoS Monitoring of congestion information for exposure and ECN marking for L4S (in NG-RAN or UPF)</w:t>
      </w:r>
      <w:r w:rsidRPr="00873B6C">
        <w:t xml:space="preserve"> are mutually exclusive, therefore, measurements of Congestion information on a QoS Flow are not </w:t>
      </w:r>
      <w:r w:rsidR="00883CA6" w:rsidRPr="00873B6C">
        <w:t xml:space="preserve">exposed </w:t>
      </w:r>
      <w:r w:rsidRPr="00873B6C">
        <w:t>in QoS Monitoring reports if SMF enables ECN marking for L4S (see clause</w:t>
      </w:r>
      <w:r w:rsidR="00883CA6" w:rsidRPr="00873B6C">
        <w:t xml:space="preserve">s </w:t>
      </w:r>
      <w:r w:rsidRPr="00873B6C">
        <w:t>5.37.3</w:t>
      </w:r>
      <w:r w:rsidR="00883CA6" w:rsidRPr="00873B6C">
        <w:t xml:space="preserve"> and 5.37.4</w:t>
      </w:r>
      <w:r w:rsidRPr="00873B6C">
        <w:t>).</w:t>
      </w:r>
    </w:p>
    <w:p w14:paraId="6C6A7E29" w14:textId="2BCB11DB" w:rsidR="002B09F2" w:rsidRPr="00873B6C" w:rsidRDefault="002B09F2" w:rsidP="00972E70">
      <w:pPr>
        <w:pStyle w:val="Heading3"/>
      </w:pPr>
      <w:bookmarkStart w:id="5251" w:name="_CR5_45_4"/>
      <w:bookmarkStart w:id="5252" w:name="_Toc201157714"/>
      <w:bookmarkEnd w:id="5251"/>
      <w:r w:rsidRPr="00873B6C">
        <w:t>5.45.</w:t>
      </w:r>
      <w:r w:rsidR="001029D4" w:rsidRPr="00873B6C">
        <w:t>4</w:t>
      </w:r>
      <w:r w:rsidRPr="00873B6C">
        <w:tab/>
        <w:t>Data rate monitoring</w:t>
      </w:r>
      <w:bookmarkEnd w:id="5252"/>
    </w:p>
    <w:p w14:paraId="30BCBC96" w14:textId="66ECDCCE" w:rsidR="002B09F2" w:rsidRPr="00873B6C" w:rsidRDefault="002B09F2" w:rsidP="003B7084">
      <w:r w:rsidRPr="00873B6C">
        <w:t>The QoS Monitoring</w:t>
      </w:r>
      <w:r w:rsidR="003D25E4" w:rsidRPr="00873B6C">
        <w:t xml:space="preserve"> for data rate allows the measurement of</w:t>
      </w:r>
      <w:r w:rsidRPr="00873B6C">
        <w:t xml:space="preserve"> the UL and/or DL data rate per QoS flow</w:t>
      </w:r>
      <w:r w:rsidR="003D25E4" w:rsidRPr="00873B6C">
        <w:t xml:space="preserve"> at</w:t>
      </w:r>
      <w:r w:rsidR="00644F65" w:rsidRPr="00873B6C">
        <w:t xml:space="preserve"> the PSA</w:t>
      </w:r>
      <w:r w:rsidR="003D25E4" w:rsidRPr="00873B6C">
        <w:t xml:space="preserve"> UPF and </w:t>
      </w:r>
      <w:r w:rsidRPr="00873B6C">
        <w:t>it can be applied to a Non-GBR or GBR QoS flow.</w:t>
      </w:r>
      <w:r w:rsidR="003D25E4" w:rsidRPr="00873B6C">
        <w:t xml:space="preserve"> The data rate is measured over a monitoring averaging window with a standardized value.</w:t>
      </w:r>
    </w:p>
    <w:p w14:paraId="52EFF1E0" w14:textId="4F1D8009" w:rsidR="002B09F2" w:rsidRPr="00873B6C" w:rsidRDefault="00644F65" w:rsidP="003B7084">
      <w:r w:rsidRPr="00873B6C">
        <w:t xml:space="preserve">The SMF may configure the UPF to perform and report QoS monitoring for data rates as described in clause 5.8.2.18. </w:t>
      </w:r>
      <w:r w:rsidR="002B09F2" w:rsidRPr="00873B6C">
        <w:t>According to the QoS Monitoring request for UL and/or DL data rate from</w:t>
      </w:r>
      <w:r w:rsidRPr="00873B6C">
        <w:t xml:space="preserve"> the</w:t>
      </w:r>
      <w:r w:rsidR="002B09F2" w:rsidRPr="00873B6C">
        <w:t xml:space="preserve"> SMF,</w:t>
      </w:r>
      <w:r w:rsidRPr="00873B6C">
        <w:t xml:space="preserve"> the</w:t>
      </w:r>
      <w:r w:rsidR="002B09F2" w:rsidRPr="00873B6C">
        <w:t xml:space="preserve"> UPF is required to initiate data rate measurement for a QoS Flow</w:t>
      </w:r>
      <w:r w:rsidR="003D25E4" w:rsidRPr="00873B6C">
        <w:t xml:space="preserve"> and to</w:t>
      </w:r>
      <w:r w:rsidR="002B09F2" w:rsidRPr="00873B6C">
        <w:t xml:space="preserve"> report the measured data rate as instructed.</w:t>
      </w:r>
    </w:p>
    <w:p w14:paraId="1E913DBD" w14:textId="1F5F5BF6" w:rsidR="002B09F2" w:rsidRPr="00873B6C" w:rsidRDefault="002B09F2" w:rsidP="00972E70">
      <w:pPr>
        <w:pStyle w:val="Heading3"/>
      </w:pPr>
      <w:bookmarkStart w:id="5253" w:name="_CR5_45_5"/>
      <w:bookmarkStart w:id="5254" w:name="_Toc201157715"/>
      <w:bookmarkEnd w:id="5253"/>
      <w:r w:rsidRPr="00873B6C">
        <w:t>5.45.</w:t>
      </w:r>
      <w:r w:rsidR="001029D4" w:rsidRPr="00873B6C">
        <w:t>5</w:t>
      </w:r>
      <w:r w:rsidR="003D25E4" w:rsidRPr="00873B6C">
        <w:tab/>
        <w:t>Void</w:t>
      </w:r>
      <w:bookmarkEnd w:id="5254"/>
    </w:p>
    <w:p w14:paraId="3A132085" w14:textId="1B5740B8" w:rsidR="002B09F2" w:rsidRPr="00873B6C" w:rsidRDefault="002B09F2" w:rsidP="003B7084"/>
    <w:p w14:paraId="22980822" w14:textId="77777777" w:rsidR="006514B8" w:rsidRPr="00873B6C" w:rsidRDefault="006514B8" w:rsidP="006514B8">
      <w:pPr>
        <w:pStyle w:val="Heading2"/>
      </w:pPr>
      <w:bookmarkStart w:id="5255" w:name="_CR5_46"/>
      <w:bookmarkStart w:id="5256" w:name="_Toc201157716"/>
      <w:bookmarkEnd w:id="5255"/>
      <w:r w:rsidRPr="00873B6C">
        <w:t>5.46</w:t>
      </w:r>
      <w:r w:rsidRPr="00873B6C">
        <w:tab/>
        <w:t>Assistance to AI/ML Operations in the Application Layer</w:t>
      </w:r>
      <w:bookmarkEnd w:id="5256"/>
    </w:p>
    <w:p w14:paraId="745F0570" w14:textId="77777777" w:rsidR="006514B8" w:rsidRPr="00873B6C" w:rsidRDefault="006514B8" w:rsidP="00972E70">
      <w:pPr>
        <w:pStyle w:val="Heading3"/>
      </w:pPr>
      <w:bookmarkStart w:id="5257" w:name="_CR5_46_1"/>
      <w:bookmarkStart w:id="5258" w:name="_Toc201157717"/>
      <w:bookmarkEnd w:id="5257"/>
      <w:r w:rsidRPr="00873B6C">
        <w:t>5.46.1</w:t>
      </w:r>
      <w:r w:rsidRPr="00873B6C">
        <w:tab/>
        <w:t>General</w:t>
      </w:r>
      <w:bookmarkEnd w:id="5258"/>
    </w:p>
    <w:p w14:paraId="22F16738" w14:textId="27AE8F7D" w:rsidR="009B42A2" w:rsidRPr="00873B6C" w:rsidRDefault="009B42A2" w:rsidP="009B42A2">
      <w:r w:rsidRPr="00873B6C">
        <w:t>This clause describes the list of 5GC enablers to support the following AI/ML operations in the Application layer over the 5G System:</w:t>
      </w:r>
    </w:p>
    <w:p w14:paraId="354E8CA5" w14:textId="77777777" w:rsidR="009B42A2" w:rsidRPr="00873B6C" w:rsidRDefault="009B42A2" w:rsidP="005A13C0">
      <w:pPr>
        <w:pStyle w:val="B1"/>
      </w:pPr>
      <w:r w:rsidRPr="00873B6C">
        <w:t>-</w:t>
      </w:r>
      <w:r w:rsidRPr="00873B6C">
        <w:tab/>
        <w:t>AI/ML operation splitting between AI/ML endpoints;</w:t>
      </w:r>
    </w:p>
    <w:p w14:paraId="5438A508" w14:textId="77777777" w:rsidR="009B42A2" w:rsidRPr="00873B6C" w:rsidRDefault="009B42A2" w:rsidP="005A13C0">
      <w:pPr>
        <w:pStyle w:val="B1"/>
      </w:pPr>
      <w:r w:rsidRPr="00873B6C">
        <w:t>-</w:t>
      </w:r>
      <w:r w:rsidRPr="00873B6C">
        <w:tab/>
        <w:t>AI/ML model/data distribution and sharing;</w:t>
      </w:r>
    </w:p>
    <w:p w14:paraId="12257C43" w14:textId="77777777" w:rsidR="009B42A2" w:rsidRPr="00873B6C" w:rsidRDefault="009B42A2" w:rsidP="005A13C0">
      <w:pPr>
        <w:pStyle w:val="B1"/>
      </w:pPr>
      <w:r w:rsidRPr="00873B6C">
        <w:t>-</w:t>
      </w:r>
      <w:r w:rsidRPr="00873B6C">
        <w:tab/>
        <w:t>Distributed/Federated Learning.</w:t>
      </w:r>
    </w:p>
    <w:p w14:paraId="416614E2" w14:textId="3BC8B76A" w:rsidR="009B42A2" w:rsidRPr="00873B6C" w:rsidRDefault="009B42A2" w:rsidP="005A13C0">
      <w:pPr>
        <w:pStyle w:val="NO"/>
      </w:pPr>
      <w:r w:rsidRPr="00873B6C">
        <w:lastRenderedPageBreak/>
        <w:t>NOTE 1:</w:t>
      </w:r>
      <w:r w:rsidRPr="00873B6C">
        <w:tab/>
        <w:t>Requirements on</w:t>
      </w:r>
      <w:r w:rsidR="0004047F" w:rsidRPr="00873B6C">
        <w:t xml:space="preserve"> 5G System assistance to</w:t>
      </w:r>
      <w:r w:rsidRPr="00873B6C">
        <w:t xml:space="preserve"> AI/ML operations</w:t>
      </w:r>
      <w:r w:rsidR="0004047F" w:rsidRPr="00873B6C">
        <w:t xml:space="preserve"> in the Application layer</w:t>
      </w:r>
      <w:r w:rsidRPr="00873B6C">
        <w:t xml:space="preserve"> are specified in clause 6.40 of TS 22.261 [2].</w:t>
      </w:r>
    </w:p>
    <w:p w14:paraId="02537363" w14:textId="55BCE89A" w:rsidR="009B42A2" w:rsidRPr="00873B6C" w:rsidRDefault="009B42A2" w:rsidP="009B42A2">
      <w:r w:rsidRPr="00873B6C">
        <w:t xml:space="preserve">The AF may subscribe to NEF monitoring events as described in clause 4.15.3.2.3 </w:t>
      </w:r>
      <w:r w:rsidR="0004047F" w:rsidRPr="00873B6C">
        <w:t xml:space="preserve">of </w:t>
      </w:r>
      <w:r w:rsidRPr="00873B6C">
        <w:t>TS 23.502 [3]</w:t>
      </w:r>
      <w:r w:rsidR="0004047F" w:rsidRPr="00873B6C">
        <w:t xml:space="preserve"> in order</w:t>
      </w:r>
      <w:r w:rsidRPr="00873B6C">
        <w:t xml:space="preserve"> to assist its application AI/ML operations. For example, the AF may subscribe to session inactivity time monitoring event</w:t>
      </w:r>
      <w:r w:rsidR="0004047F" w:rsidRPr="00873B6C">
        <w:t xml:space="preserve"> in order</w:t>
      </w:r>
      <w:r w:rsidRPr="00873B6C">
        <w:t xml:space="preserve"> to assist the AI/ML application server in scheduling available UE(s) to participate in the AI/ML operation (e.g. Federated Learning). In addition, the AF may subscribe to NEF to be notified on the traffic volume exchanged between the UE and the AI/ML application server</w:t>
      </w:r>
      <w:r w:rsidR="0004047F" w:rsidRPr="00873B6C">
        <w:t xml:space="preserve"> in order</w:t>
      </w:r>
      <w:r w:rsidRPr="00873B6C">
        <w:t xml:space="preserve"> to assist the AF with the transfer of AI/ML data.</w:t>
      </w:r>
    </w:p>
    <w:p w14:paraId="209EB2AB" w14:textId="48A4C0D8" w:rsidR="009B42A2" w:rsidRPr="00873B6C" w:rsidRDefault="009B42A2" w:rsidP="009B42A2">
      <w:r w:rsidRPr="00873B6C">
        <w:t>The AF that aims to provide an AI/ML operation may request assistance from the 5GC as described in clause 5.46.2</w:t>
      </w:r>
      <w:r w:rsidR="0004047F" w:rsidRPr="00873B6C">
        <w:t>. The AF initially provides</w:t>
      </w:r>
      <w:r w:rsidRPr="00873B6C">
        <w:t xml:space="preserve"> a list of target member UE(s)</w:t>
      </w:r>
      <w:r w:rsidR="0004047F" w:rsidRPr="00873B6C">
        <w:t xml:space="preserve"> and at least one filtering criterion</w:t>
      </w:r>
      <w:r w:rsidRPr="00873B6C">
        <w:t xml:space="preserve">, </w:t>
      </w:r>
      <w:r w:rsidR="0004047F" w:rsidRPr="00873B6C">
        <w:t xml:space="preserve">when </w:t>
      </w:r>
      <w:r w:rsidRPr="00873B6C">
        <w:t xml:space="preserve">subscribing to the NEF to be notified about </w:t>
      </w:r>
      <w:r w:rsidR="0004047F" w:rsidRPr="00873B6C">
        <w:t xml:space="preserve">a </w:t>
      </w:r>
      <w:r w:rsidRPr="00873B6C">
        <w:t>subset list of UE(s) (i.e. list of candidate UE(s)) that fulfil certain filtering criteria. Details of the procedures are described in clause 4.15.13 of TS 23.502 [3]. This subset list of UE(s) may become the member UE(s) used in</w:t>
      </w:r>
      <w:r w:rsidR="0004047F" w:rsidRPr="00873B6C">
        <w:t xml:space="preserve"> the</w:t>
      </w:r>
      <w:r w:rsidRPr="00873B6C">
        <w:t xml:space="preserve"> AI/ML operation depending on the AF</w:t>
      </w:r>
      <w:r w:rsidR="00FA5436" w:rsidRPr="00873B6C">
        <w:t>'s final decision, considering its internal logic</w:t>
      </w:r>
      <w:r w:rsidRPr="00873B6C">
        <w:t>. Alternatively, the AF may select the list of UEs for the AI/ML operation without NEF involvement as described in Annex I of TS 23.502 [3]: in this case, the AF determines a list of UEs without any assistance from the NEF</w:t>
      </w:r>
      <w:r w:rsidR="0004047F" w:rsidRPr="00873B6C">
        <w:t xml:space="preserve"> and</w:t>
      </w:r>
      <w:r w:rsidRPr="00873B6C">
        <w:t xml:space="preserve"> may use</w:t>
      </w:r>
      <w:r w:rsidR="0004047F" w:rsidRPr="00873B6C">
        <w:t>, for example,</w:t>
      </w:r>
      <w:r w:rsidRPr="00873B6C">
        <w:t xml:space="preserve"> NWDAF</w:t>
      </w:r>
      <w:r w:rsidR="0004047F" w:rsidRPr="00873B6C">
        <w:t xml:space="preserve"> analytics to assist</w:t>
      </w:r>
      <w:r w:rsidRPr="00873B6C">
        <w:t xml:space="preserve"> with the AI/ML operation over 5G </w:t>
      </w:r>
      <w:r w:rsidR="0004047F" w:rsidRPr="00873B6C">
        <w:t>S</w:t>
      </w:r>
      <w:r w:rsidRPr="00873B6C">
        <w:t>ystem.</w:t>
      </w:r>
    </w:p>
    <w:p w14:paraId="7AF8FC04" w14:textId="77777777" w:rsidR="009B42A2" w:rsidRPr="00873B6C" w:rsidRDefault="009B42A2" w:rsidP="009B42A2">
      <w:r w:rsidRPr="00873B6C">
        <w:t>The AF may request the network to provide a recommended time window for the AI/ML operation using the Planned Data Transfer with QoS (PDTQ) requirements and procedures as described in clause 6.1.2.7 of TS 23.503 [45] and in clause 4.16.15 of TS 23.502 [3].</w:t>
      </w:r>
    </w:p>
    <w:p w14:paraId="33A7E5C1" w14:textId="7386FD7A" w:rsidR="009B42A2" w:rsidRPr="00873B6C" w:rsidRDefault="009B42A2" w:rsidP="009B42A2">
      <w:r w:rsidRPr="00873B6C">
        <w:t>At the time or during the AI/ML operation, the AF may request the serving NEF to provide QoS for a list of UEs</w:t>
      </w:r>
      <w:r w:rsidR="007F79AC" w:rsidRPr="00873B6C">
        <w:t>. E</w:t>
      </w:r>
      <w:r w:rsidRPr="00873B6C">
        <w:t>ach UE</w:t>
      </w:r>
      <w:r w:rsidR="007F79AC" w:rsidRPr="00873B6C">
        <w:t xml:space="preserve"> is</w:t>
      </w:r>
      <w:r w:rsidRPr="00873B6C">
        <w:t xml:space="preserve"> identified by its UE IP address. The AF may subscribe to QoS Monitoring which may include also Consolidated Data Rate monitoring as described in clause 5.45 and in clause 4.15.6.13 of TS 23.502 [3] for those AF requests for QoS that result in a successful resource allocation. The AF provides QoS parameters that are derived from the performance requirements listed in clause 7.10 of TS 22.261 [2].</w:t>
      </w:r>
    </w:p>
    <w:p w14:paraId="037F2BED" w14:textId="5352E0BC" w:rsidR="009B42A2" w:rsidRPr="00873B6C" w:rsidRDefault="009B42A2" w:rsidP="009B42A2">
      <w:r w:rsidRPr="00873B6C">
        <w:t>As</w:t>
      </w:r>
      <w:r w:rsidR="007F79AC" w:rsidRPr="00873B6C">
        <w:t xml:space="preserve"> a</w:t>
      </w:r>
      <w:r w:rsidRPr="00873B6C">
        <w:t xml:space="preserve"> result of the</w:t>
      </w:r>
      <w:r w:rsidR="007F79AC" w:rsidRPr="00873B6C">
        <w:t xml:space="preserve"> AF</w:t>
      </w:r>
      <w:r w:rsidRPr="00873B6C">
        <w:t xml:space="preserve"> subscription to NEF to provide the subset list of UE(s) that fulfil certain filtering criteria, the AF may be notified about changes in the subset list of UE(s)</w:t>
      </w:r>
      <w:r w:rsidR="007F79AC" w:rsidRPr="00873B6C">
        <w:t xml:space="preserve"> and in such a case</w:t>
      </w:r>
      <w:r w:rsidRPr="00873B6C">
        <w:t xml:space="preserve"> the AF</w:t>
      </w:r>
      <w:r w:rsidR="00FA5436" w:rsidRPr="00873B6C">
        <w:t xml:space="preserve"> may determine a updated list of UEs used in the AI/ML operation from the new subset list of UE(s) provided by NEF</w:t>
      </w:r>
      <w:r w:rsidR="00472CD7" w:rsidRPr="00873B6C">
        <w:t xml:space="preserve"> and</w:t>
      </w:r>
      <w:r w:rsidR="00FA5436" w:rsidRPr="00873B6C">
        <w:t xml:space="preserve"> the AF</w:t>
      </w:r>
      <w:r w:rsidRPr="00873B6C">
        <w:t xml:space="preserve"> may request a new recommended time window for the AI/ML operation using the Planned Data Transfer with QoS (PDTQ) requirements as described in clause 6.1.2.7 of TS 23.503 [45] and in clause 4.1</w:t>
      </w:r>
      <w:r w:rsidR="007F79AC" w:rsidRPr="00873B6C">
        <w:t>6</w:t>
      </w:r>
      <w:r w:rsidRPr="00873B6C">
        <w:t>.1</w:t>
      </w:r>
      <w:r w:rsidR="007F79AC" w:rsidRPr="00873B6C">
        <w:t>5</w:t>
      </w:r>
      <w:r w:rsidRPr="00873B6C">
        <w:t xml:space="preserve"> of TS 23.502 [3]. The AF may request the NEF to provide QoS for the updated list of UEs, each identified by UE IP address, that results in QoS resources previously allocated to some UE</w:t>
      </w:r>
      <w:r w:rsidR="007F79AC" w:rsidRPr="00873B6C">
        <w:t>s to</w:t>
      </w:r>
      <w:r w:rsidRPr="00873B6C">
        <w:t xml:space="preserve"> be released, while</w:t>
      </w:r>
      <w:r w:rsidR="007F79AC" w:rsidRPr="00873B6C">
        <w:t xml:space="preserve"> QoS resources for</w:t>
      </w:r>
      <w:r w:rsidRPr="00873B6C">
        <w:t xml:space="preserve"> other UE</w:t>
      </w:r>
      <w:r w:rsidR="007F79AC" w:rsidRPr="00873B6C">
        <w:t>s to be allocated</w:t>
      </w:r>
      <w:r w:rsidRPr="00873B6C">
        <w:t xml:space="preserve"> and QoS monitoring</w:t>
      </w:r>
      <w:r w:rsidR="007F79AC" w:rsidRPr="00873B6C">
        <w:t xml:space="preserve"> to be initiated</w:t>
      </w:r>
      <w:r w:rsidRPr="00873B6C">
        <w:t>.</w:t>
      </w:r>
    </w:p>
    <w:p w14:paraId="71BDDFED" w14:textId="337867D1" w:rsidR="009B42A2" w:rsidRPr="00873B6C" w:rsidRDefault="009B42A2" w:rsidP="009B42A2">
      <w:r w:rsidRPr="00873B6C">
        <w:t>The AF may also subscribe</w:t>
      </w:r>
      <w:r w:rsidR="007F79AC" w:rsidRPr="00873B6C">
        <w:t xml:space="preserve"> to</w:t>
      </w:r>
      <w:r w:rsidRPr="00873B6C">
        <w:t>, or request Network Data Analytics as defined in TS 23.288 [86], such as End-to-end data volume transfer time analytics, DN performance analytics, Network performance analytics, UE mobility analytics, WLAN performance analytics etc.</w:t>
      </w:r>
      <w:r w:rsidR="007F79AC" w:rsidRPr="00873B6C">
        <w:t xml:space="preserve"> in order</w:t>
      </w:r>
      <w:r w:rsidRPr="00873B6C">
        <w:t xml:space="preserve"> to assist its AI/ML operations.</w:t>
      </w:r>
    </w:p>
    <w:p w14:paraId="7EA18A49" w14:textId="4C04363D" w:rsidR="009B42A2" w:rsidRPr="00873B6C" w:rsidRDefault="009B42A2" w:rsidP="009B42A2">
      <w:r w:rsidRPr="00873B6C">
        <w:t>The AF hosting an AI/ML based application may provision the Expected UE Behaviour parameters captured in Table 4.15.6.3-1 of TS 23.502 [3] and/or the Application-Specific Expected UE Behaviour parameter(s) captured in Table 4.15.6.3</w:t>
      </w:r>
      <w:r w:rsidR="00D71283" w:rsidRPr="00873B6C">
        <w:t>f</w:t>
      </w:r>
      <w:r w:rsidRPr="00873B6C">
        <w:t>-1 of TS 23.502 [3] to the 5GC. The parameters may be provisioned with corresponding confidence and/or accuracy levels</w:t>
      </w:r>
      <w:r w:rsidR="00472CD7" w:rsidRPr="00873B6C">
        <w:t xml:space="preserve"> and</w:t>
      </w:r>
      <w:r w:rsidRPr="00873B6C">
        <w:t xml:space="preserve"> a threshold may also be provided to the UDM by the NF (e.g. AMF or SMF) subscribing to such externally provisioned parameters as described in clause 4.15.6.2 of TS 23.502 [3].</w:t>
      </w:r>
    </w:p>
    <w:p w14:paraId="40D53D74" w14:textId="0AE64BAB" w:rsidR="009B42A2" w:rsidRPr="00873B6C" w:rsidRDefault="00D71283" w:rsidP="009B42A2">
      <w:r w:rsidRPr="00873B6C">
        <w:t>In addition, the following principles apply when 5GS assists the AI/ML operation at the application layer:</w:t>
      </w:r>
    </w:p>
    <w:p w14:paraId="02A1EB4B" w14:textId="76BE42BC" w:rsidR="007C2ADF" w:rsidRPr="00873B6C" w:rsidRDefault="007C2ADF" w:rsidP="00972E70">
      <w:pPr>
        <w:pStyle w:val="B1"/>
      </w:pPr>
      <w:r w:rsidRPr="00873B6C">
        <w:t>-</w:t>
      </w:r>
      <w:r w:rsidRPr="00873B6C">
        <w:tab/>
        <w:t>AF</w:t>
      </w:r>
      <w:r w:rsidR="007F79AC" w:rsidRPr="00873B6C">
        <w:t xml:space="preserve"> requesting</w:t>
      </w:r>
      <w:r w:rsidRPr="00873B6C">
        <w:t xml:space="preserve"> 5GS assistance to AI/ML operations in the application layer shall be authorized by the 5GC using</w:t>
      </w:r>
      <w:r w:rsidR="007F79AC" w:rsidRPr="00873B6C">
        <w:t xml:space="preserve"> the</w:t>
      </w:r>
      <w:r w:rsidRPr="00873B6C">
        <w:t xml:space="preserve"> existing mechanisms.</w:t>
      </w:r>
    </w:p>
    <w:p w14:paraId="6F15D528" w14:textId="7C13193C" w:rsidR="007C2ADF" w:rsidRPr="00873B6C" w:rsidRDefault="007C2ADF" w:rsidP="00972E70">
      <w:pPr>
        <w:pStyle w:val="NO"/>
      </w:pPr>
      <w:r w:rsidRPr="00873B6C">
        <w:t>NOTE</w:t>
      </w:r>
      <w:r w:rsidR="00D71283" w:rsidRPr="00873B6C">
        <w:t> 2</w:t>
      </w:r>
      <w:r w:rsidRPr="00873B6C">
        <w:t>:</w:t>
      </w:r>
      <w:r w:rsidRPr="00873B6C">
        <w:tab/>
        <w:t xml:space="preserve">In this Release, assistance to AI/ML operations in the application layer is not supported </w:t>
      </w:r>
      <w:r w:rsidR="007F79AC" w:rsidRPr="00873B6C">
        <w:t xml:space="preserve">for </w:t>
      </w:r>
      <w:r w:rsidRPr="00873B6C">
        <w:t>roaming UEs.</w:t>
      </w:r>
    </w:p>
    <w:p w14:paraId="144ECA93" w14:textId="370B606F" w:rsidR="005656CA" w:rsidRPr="00873B6C" w:rsidRDefault="005656CA" w:rsidP="005656CA">
      <w:pPr>
        <w:pStyle w:val="NO"/>
      </w:pPr>
      <w:r w:rsidRPr="00873B6C">
        <w:t>NOTE 3:</w:t>
      </w:r>
      <w:r w:rsidRPr="00873B6C">
        <w:tab/>
        <w:t xml:space="preserve">Policy and charging control as defined in TS 23.503 [45] can be used for traffic related to AI/ML operations as described in clause 6.40.1 of TS 22.261 [2]. </w:t>
      </w:r>
      <w:r w:rsidR="003B4BD9" w:rsidRPr="00873B6C">
        <w:t xml:space="preserve">Capabilities based on Flow Based Charging can be used together with an appropriate PCF configuration for charging differentiation between AI/ML traffic and other type of traffic from the same application. As long as the AF can provide different filter information as described in TS 23.503 [45] for the AI/ML traffic and the other type of traffic from the same application in the procedures utilized for the resource request, the PCF can assign different rating groups (i.e. charging key) or rating group + service-ids based on an appropriate PCF configuration. </w:t>
      </w:r>
      <w:r w:rsidRPr="00873B6C">
        <w:t>The UPF will then handle such traffic accordingly. This enables charging of AI/ML traffic according to operator's policies.</w:t>
      </w:r>
    </w:p>
    <w:p w14:paraId="4F2AB3FA" w14:textId="77777777" w:rsidR="007C2ADF" w:rsidRPr="00873B6C" w:rsidRDefault="007C2ADF" w:rsidP="00972E70">
      <w:pPr>
        <w:pStyle w:val="B1"/>
      </w:pPr>
      <w:r w:rsidRPr="00873B6C">
        <w:lastRenderedPageBreak/>
        <w:t>-</w:t>
      </w:r>
      <w:r w:rsidRPr="00873B6C">
        <w:tab/>
        <w:t>Application AI/ML decisions and their internal operation logic reside at the AF and UE application client and is out of scope of 3GPP.</w:t>
      </w:r>
    </w:p>
    <w:p w14:paraId="1BFEE054" w14:textId="2FBDA89C" w:rsidR="007C2ADF" w:rsidRPr="00873B6C" w:rsidRDefault="007C2ADF" w:rsidP="00972E70">
      <w:pPr>
        <w:pStyle w:val="B1"/>
      </w:pPr>
      <w:r w:rsidRPr="00873B6C">
        <w:t>-</w:t>
      </w:r>
      <w:r w:rsidRPr="00873B6C">
        <w:tab/>
        <w:t>Based on application logic, it is the application decision whether to request assistance from 5GC</w:t>
      </w:r>
      <w:r w:rsidR="00FA5436" w:rsidRPr="00873B6C">
        <w:t>,</w:t>
      </w:r>
      <w:r w:rsidRPr="00873B6C">
        <w:t xml:space="preserve"> e.g. for the purpose of selection of</w:t>
      </w:r>
      <w:r w:rsidR="007F79AC" w:rsidRPr="00873B6C">
        <w:t xml:space="preserve"> Member</w:t>
      </w:r>
      <w:r w:rsidRPr="00873B6C">
        <w:t xml:space="preserve"> UEs that participate in certain AI/ML operation.</w:t>
      </w:r>
    </w:p>
    <w:p w14:paraId="7BEF98D8" w14:textId="65E5A7C8" w:rsidR="007C2ADF" w:rsidRPr="00873B6C" w:rsidRDefault="007C2ADF" w:rsidP="00972E70">
      <w:pPr>
        <w:pStyle w:val="B1"/>
      </w:pPr>
      <w:r w:rsidRPr="00873B6C">
        <w:t>-</w:t>
      </w:r>
      <w:r w:rsidRPr="00873B6C">
        <w:tab/>
        <w:t>In this Release, 5GS assistance to AI/ML operations in the application layer</w:t>
      </w:r>
      <w:r w:rsidR="003B4BD9" w:rsidRPr="00873B6C">
        <w:t xml:space="preserve"> is</w:t>
      </w:r>
      <w:r w:rsidRPr="00873B6C">
        <w:t xml:space="preserve"> conducted within a single slice.</w:t>
      </w:r>
    </w:p>
    <w:p w14:paraId="447B0156" w14:textId="673A7328" w:rsidR="006514B8" w:rsidRPr="00873B6C" w:rsidRDefault="006514B8" w:rsidP="006514B8">
      <w:pPr>
        <w:pStyle w:val="Heading3"/>
      </w:pPr>
      <w:bookmarkStart w:id="5259" w:name="_CR5_46_2"/>
      <w:bookmarkStart w:id="5260" w:name="_Toc201157718"/>
      <w:bookmarkEnd w:id="5259"/>
      <w:r w:rsidRPr="00873B6C">
        <w:t>5.46.2</w:t>
      </w:r>
      <w:r w:rsidRPr="00873B6C">
        <w:tab/>
      </w:r>
      <w:r w:rsidR="00A13197" w:rsidRPr="00873B6C">
        <w:t xml:space="preserve">Member UE </w:t>
      </w:r>
      <w:r w:rsidRPr="00873B6C">
        <w:t>selection assistance functionality for application operation</w:t>
      </w:r>
      <w:bookmarkEnd w:id="5260"/>
    </w:p>
    <w:p w14:paraId="4431482A" w14:textId="0BF629AF" w:rsidR="00A13197" w:rsidRPr="00873B6C" w:rsidRDefault="006514B8" w:rsidP="006514B8">
      <w:r w:rsidRPr="00873B6C">
        <w:t xml:space="preserve">5G </w:t>
      </w:r>
      <w:r w:rsidR="007F79AC" w:rsidRPr="00873B6C">
        <w:t>S</w:t>
      </w:r>
      <w:r w:rsidRPr="00873B6C">
        <w:t xml:space="preserve">ystem may support </w:t>
      </w:r>
      <w:r w:rsidR="00A13197" w:rsidRPr="00873B6C">
        <w:t xml:space="preserve">Member UE </w:t>
      </w:r>
      <w:r w:rsidRPr="00873B6C">
        <w:t>selection assistance functionality to assist the AF</w:t>
      </w:r>
      <w:r w:rsidR="00A13197" w:rsidRPr="00873B6C">
        <w:t xml:space="preserve"> to select</w:t>
      </w:r>
      <w:r w:rsidRPr="00873B6C">
        <w:t xml:space="preserve"> member UE(s) that can be used in application operations such as AI/ML based applications (e.g. Federated Learning)</w:t>
      </w:r>
      <w:r w:rsidR="00FA5436" w:rsidRPr="00873B6C">
        <w:t xml:space="preserve"> as specified in clause 5.46.1</w:t>
      </w:r>
      <w:r w:rsidR="00A13197" w:rsidRPr="00873B6C">
        <w:t xml:space="preserve"> according to the AF's inputs</w:t>
      </w:r>
      <w:r w:rsidRPr="00873B6C">
        <w:t>.</w:t>
      </w:r>
    </w:p>
    <w:p w14:paraId="61D2B44C" w14:textId="4C2F4F0F" w:rsidR="006514B8" w:rsidRPr="00873B6C" w:rsidRDefault="006514B8" w:rsidP="006514B8">
      <w:r w:rsidRPr="00873B6C">
        <w:t xml:space="preserve">The </w:t>
      </w:r>
      <w:r w:rsidR="00A13197" w:rsidRPr="00873B6C">
        <w:t xml:space="preserve">Member UE </w:t>
      </w:r>
      <w:r w:rsidRPr="00873B6C">
        <w:t>selection assistance functionality shall be hosted by NEF</w:t>
      </w:r>
      <w:r w:rsidR="00472CD7" w:rsidRPr="00873B6C">
        <w:t xml:space="preserve"> and</w:t>
      </w:r>
      <w:r w:rsidRPr="00873B6C">
        <w:t xml:space="preserve"> the features of the </w:t>
      </w:r>
      <w:r w:rsidR="00A13197" w:rsidRPr="00873B6C">
        <w:t xml:space="preserve">Member UE </w:t>
      </w:r>
      <w:r w:rsidRPr="00873B6C">
        <w:t>selection assistance functionality hosted by</w:t>
      </w:r>
      <w:r w:rsidR="007F79AC" w:rsidRPr="00873B6C">
        <w:t xml:space="preserve"> the</w:t>
      </w:r>
      <w:r w:rsidRPr="00873B6C">
        <w:t xml:space="preserve"> NEF include (see clause 4.15.13 of </w:t>
      </w:r>
      <w:r w:rsidR="00972E70" w:rsidRPr="00873B6C">
        <w:t>TS 23.502 [</w:t>
      </w:r>
      <w:r w:rsidRPr="00873B6C">
        <w:t xml:space="preserve">3] for details of </w:t>
      </w:r>
      <w:r w:rsidR="00A13197" w:rsidRPr="00873B6C">
        <w:t xml:space="preserve">Member UE </w:t>
      </w:r>
      <w:r w:rsidRPr="00873B6C">
        <w:t>selection procedures):</w:t>
      </w:r>
    </w:p>
    <w:p w14:paraId="685E892F" w14:textId="5BE4AE83" w:rsidR="006514B8" w:rsidRPr="00873B6C" w:rsidRDefault="006514B8" w:rsidP="00972E70">
      <w:pPr>
        <w:pStyle w:val="B1"/>
      </w:pPr>
      <w:r w:rsidRPr="00873B6C">
        <w:t>-</w:t>
      </w:r>
      <w:r w:rsidRPr="00873B6C">
        <w:tab/>
        <w:t>Receiving a request from the AF that shall include a list of target member UE(s)</w:t>
      </w:r>
      <w:r w:rsidR="007F79AC" w:rsidRPr="00873B6C">
        <w:t xml:space="preserve"> (which may not necessarily be a part of the subsequent updated request)</w:t>
      </w:r>
      <w:r w:rsidRPr="00873B6C">
        <w:t>, optionally (a) time window(s)</w:t>
      </w:r>
      <w:r w:rsidR="00472CD7" w:rsidRPr="00873B6C">
        <w:t xml:space="preserve"> and</w:t>
      </w:r>
      <w:r w:rsidRPr="00873B6C">
        <w:t xml:space="preserve"> one or more filtering criteria as specified in Table 4.15.13.2-1 of </w:t>
      </w:r>
      <w:r w:rsidR="00972E70" w:rsidRPr="00873B6C">
        <w:t>TS 23.502 [</w:t>
      </w:r>
      <w:r w:rsidRPr="00873B6C">
        <w:t>3] (e.g. UE</w:t>
      </w:r>
      <w:r w:rsidR="000046DD" w:rsidRPr="00873B6C">
        <w:t xml:space="preserve"> current</w:t>
      </w:r>
      <w:r w:rsidRPr="00873B6C">
        <w:t xml:space="preserve"> location</w:t>
      </w:r>
      <w:r w:rsidR="000046DD" w:rsidRPr="00873B6C">
        <w:t>, UE historical location</w:t>
      </w:r>
      <w:r w:rsidR="007F79AC" w:rsidRPr="00873B6C">
        <w:t>,</w:t>
      </w:r>
      <w:r w:rsidR="000046DD" w:rsidRPr="00873B6C">
        <w:t xml:space="preserve"> UE</w:t>
      </w:r>
      <w:r w:rsidRPr="00873B6C">
        <w:t xml:space="preserve"> direction,</w:t>
      </w:r>
      <w:r w:rsidR="003D25E4" w:rsidRPr="00873B6C">
        <w:t xml:space="preserve"> UE separation distance,</w:t>
      </w:r>
      <w:r w:rsidRPr="00873B6C">
        <w:t xml:space="preserve"> QoS requirements, DNN, preferred access/RAT type, Desired</w:t>
      </w:r>
      <w:r w:rsidR="000046DD" w:rsidRPr="00873B6C">
        <w:t xml:space="preserve"> end-to-end data volume transfer time</w:t>
      </w:r>
      <w:r w:rsidRPr="00873B6C">
        <w:t xml:space="preserve"> performance</w:t>
      </w:r>
      <w:r w:rsidR="00A13197" w:rsidRPr="00873B6C">
        <w:t>, or Service Experience</w:t>
      </w:r>
      <w:r w:rsidRPr="00873B6C">
        <w:t>).</w:t>
      </w:r>
    </w:p>
    <w:p w14:paraId="2756CA1E" w14:textId="460519FD" w:rsidR="006514B8" w:rsidRPr="00873B6C" w:rsidRDefault="006514B8" w:rsidP="00972E70">
      <w:pPr>
        <w:pStyle w:val="B1"/>
      </w:pPr>
      <w:r w:rsidRPr="00873B6C">
        <w:t>-</w:t>
      </w:r>
      <w:r w:rsidRPr="00873B6C">
        <w:tab/>
        <w:t>Referring to the filtering criteria provided by the AF</w:t>
      </w:r>
      <w:r w:rsidR="007F79AC" w:rsidRPr="00873B6C">
        <w:t xml:space="preserve"> and then</w:t>
      </w:r>
      <w:r w:rsidRPr="00873B6C">
        <w:t xml:space="preserve"> interact</w:t>
      </w:r>
      <w:r w:rsidR="007F79AC" w:rsidRPr="00873B6C">
        <w:t xml:space="preserve">ing </w:t>
      </w:r>
      <w:r w:rsidRPr="00873B6C">
        <w:t>with 5GC NFs using existing services</w:t>
      </w:r>
      <w:r w:rsidR="007F79AC" w:rsidRPr="00873B6C">
        <w:t xml:space="preserve"> in order</w:t>
      </w:r>
      <w:r w:rsidRPr="00873B6C">
        <w:t xml:space="preserve"> to </w:t>
      </w:r>
      <w:r w:rsidR="004119E4" w:rsidRPr="00873B6C">
        <w:t xml:space="preserve">have </w:t>
      </w:r>
      <w:r w:rsidRPr="00873B6C">
        <w:t>the corresponding data</w:t>
      </w:r>
      <w:r w:rsidR="007F79AC" w:rsidRPr="00873B6C">
        <w:t xml:space="preserve"> for</w:t>
      </w:r>
      <w:r w:rsidR="004119E4" w:rsidRPr="00873B6C">
        <w:t xml:space="preserve"> all the UEs in the list of target member UE</w:t>
      </w:r>
      <w:r w:rsidRPr="00873B6C">
        <w:t xml:space="preserve"> from relevant 5GC NFs (e.g. PCF, NWDAF</w:t>
      </w:r>
      <w:r w:rsidR="007F79AC" w:rsidRPr="00873B6C">
        <w:t>,</w:t>
      </w:r>
      <w:r w:rsidRPr="00873B6C">
        <w:t xml:space="preserve"> AMF</w:t>
      </w:r>
      <w:r w:rsidR="007F79AC" w:rsidRPr="00873B6C">
        <w:t>, SMF</w:t>
      </w:r>
      <w:r w:rsidRPr="00873B6C">
        <w:t>) to derive the list(s) of candidate UE(s) (i.e. UE(s) among the list of target member UE(s) provided by the AF)</w:t>
      </w:r>
      <w:r w:rsidR="007F79AC" w:rsidRPr="00873B6C">
        <w:t xml:space="preserve"> which fulfil the filtering criteria</w:t>
      </w:r>
      <w:r w:rsidRPr="00873B6C">
        <w:t>.</w:t>
      </w:r>
    </w:p>
    <w:p w14:paraId="5FA6D3B7" w14:textId="16ACE96F" w:rsidR="006514B8" w:rsidRPr="00873B6C" w:rsidRDefault="006514B8" w:rsidP="00972E70">
      <w:pPr>
        <w:pStyle w:val="B1"/>
      </w:pPr>
      <w:r w:rsidRPr="00873B6C">
        <w:t>-</w:t>
      </w:r>
      <w:r w:rsidRPr="00873B6C">
        <w:tab/>
        <w:t xml:space="preserve">Providing the AF with the </w:t>
      </w:r>
      <w:r w:rsidR="00A13197" w:rsidRPr="00873B6C">
        <w:t xml:space="preserve">Member UE </w:t>
      </w:r>
      <w:r w:rsidRPr="00873B6C">
        <w:t>selection assistance information, including one or more lists of candidate UE(s)</w:t>
      </w:r>
      <w:r w:rsidR="00472CD7" w:rsidRPr="00873B6C">
        <w:t xml:space="preserve"> and</w:t>
      </w:r>
      <w:r w:rsidRPr="00873B6C">
        <w:t xml:space="preserve"> optionally other additional information (e.g. one or more recommended time window(s) for performing the application operation, QoS of each target UE, UE(s) location, Access/RAT type</w:t>
      </w:r>
      <w:r w:rsidR="00A13197" w:rsidRPr="00873B6C">
        <w:t>, or Service Experience</w:t>
      </w:r>
      <w:r w:rsidR="00FA5436" w:rsidRPr="00873B6C">
        <w:t>)</w:t>
      </w:r>
      <w:r w:rsidRPr="00873B6C">
        <w:t>.</w:t>
      </w:r>
      <w:r w:rsidR="007F79AC" w:rsidRPr="00873B6C">
        <w:t xml:space="preserve"> NEF may also provide the number of UEs per each filtering criterion that do not fulfil the corresponding filtering criterion.</w:t>
      </w:r>
    </w:p>
    <w:p w14:paraId="7B837C7B" w14:textId="4CC2CB7D" w:rsidR="006514B8" w:rsidRPr="00873B6C" w:rsidRDefault="006514B8" w:rsidP="006514B8">
      <w:r w:rsidRPr="00873B6C">
        <w:t xml:space="preserve">The </w:t>
      </w:r>
      <w:r w:rsidR="00A13197" w:rsidRPr="00873B6C">
        <w:t xml:space="preserve">Member UE </w:t>
      </w:r>
      <w:r w:rsidRPr="00873B6C">
        <w:t xml:space="preserve">selection assistance information provided by the NEF </w:t>
      </w:r>
      <w:r w:rsidR="007F79AC" w:rsidRPr="00873B6C">
        <w:t xml:space="preserve">may </w:t>
      </w:r>
      <w:r w:rsidRPr="00873B6C">
        <w:t>be used by the AF to select member UE</w:t>
      </w:r>
      <w:r w:rsidR="000046DD" w:rsidRPr="00873B6C">
        <w:t>(</w:t>
      </w:r>
      <w:r w:rsidRPr="00873B6C">
        <w:t>s</w:t>
      </w:r>
      <w:r w:rsidR="000046DD" w:rsidRPr="00873B6C">
        <w:t>) used in application</w:t>
      </w:r>
      <w:r w:rsidR="007F79AC" w:rsidRPr="00873B6C">
        <w:t xml:space="preserve"> AI/ML</w:t>
      </w:r>
      <w:r w:rsidR="000046DD" w:rsidRPr="00873B6C">
        <w:t xml:space="preserve"> operation</w:t>
      </w:r>
      <w:r w:rsidRPr="00873B6C">
        <w:t>. (See clause 5.2.6.3</w:t>
      </w:r>
      <w:r w:rsidR="007F79AC" w:rsidRPr="00873B6C">
        <w:t>2</w:t>
      </w:r>
      <w:r w:rsidRPr="00873B6C">
        <w:t xml:space="preserve"> of </w:t>
      </w:r>
      <w:r w:rsidR="00972E70" w:rsidRPr="00873B6C">
        <w:t>TS 23.502 [</w:t>
      </w:r>
      <w:r w:rsidRPr="00873B6C">
        <w:t>3] for details of parameters)</w:t>
      </w:r>
      <w:r w:rsidR="007F79AC" w:rsidRPr="00873B6C">
        <w:t>.</w:t>
      </w:r>
    </w:p>
    <w:p w14:paraId="31BBBC85" w14:textId="2B2A59D0" w:rsidR="006514B8" w:rsidRPr="00873B6C" w:rsidRDefault="006514B8" w:rsidP="00972E70">
      <w:pPr>
        <w:pStyle w:val="NO"/>
      </w:pPr>
      <w:r w:rsidRPr="00873B6C">
        <w:t>NOTE:</w:t>
      </w:r>
      <w:r w:rsidRPr="00873B6C">
        <w:tab/>
      </w:r>
      <w:r w:rsidR="003B4BD9" w:rsidRPr="00873B6C">
        <w:t xml:space="preserve">The </w:t>
      </w:r>
      <w:r w:rsidRPr="00873B6C">
        <w:t xml:space="preserve">AF can </w:t>
      </w:r>
      <w:r w:rsidR="007F79AC" w:rsidRPr="00873B6C">
        <w:t xml:space="preserve">decide </w:t>
      </w:r>
      <w:r w:rsidRPr="00873B6C">
        <w:t xml:space="preserve">whether to use the </w:t>
      </w:r>
      <w:r w:rsidR="00A13197" w:rsidRPr="00873B6C">
        <w:t xml:space="preserve">Member UE </w:t>
      </w:r>
      <w:r w:rsidRPr="00873B6C">
        <w:t>selection assistance functionality provided by NEF.</w:t>
      </w:r>
    </w:p>
    <w:p w14:paraId="2DAD3496" w14:textId="6805464F" w:rsidR="006514B8" w:rsidRPr="00873B6C" w:rsidRDefault="00FA5436" w:rsidP="006514B8">
      <w:r w:rsidRPr="00873B6C">
        <w:t xml:space="preserve">Without using the Member UE selection assistance functionality, </w:t>
      </w:r>
      <w:r w:rsidR="006514B8" w:rsidRPr="00873B6C">
        <w:t xml:space="preserve">AF in either trusted or untrusted domain can select the </w:t>
      </w:r>
      <w:r w:rsidR="00A13197" w:rsidRPr="00873B6C">
        <w:t>Member UE</w:t>
      </w:r>
      <w:r w:rsidRPr="00873B6C">
        <w:t>(</w:t>
      </w:r>
      <w:r w:rsidR="00A13197" w:rsidRPr="00873B6C">
        <w:t>s</w:t>
      </w:r>
      <w:r w:rsidRPr="00873B6C">
        <w:t>)</w:t>
      </w:r>
      <w:r w:rsidR="007F79AC" w:rsidRPr="00873B6C">
        <w:t xml:space="preserve"> for</w:t>
      </w:r>
      <w:r w:rsidR="00A13197" w:rsidRPr="00873B6C">
        <w:t xml:space="preserve"> </w:t>
      </w:r>
      <w:r w:rsidR="006514B8" w:rsidRPr="00873B6C">
        <w:t xml:space="preserve">e.g. participating in federating learning operation, by collecting the corresponding data using network exposure information as described in clause 4.15 of </w:t>
      </w:r>
      <w:r w:rsidR="00972E70" w:rsidRPr="00873B6C">
        <w:t>TS 23.502 [</w:t>
      </w:r>
      <w:r w:rsidR="006514B8" w:rsidRPr="00873B6C">
        <w:t>3], e.g. UE location reporting from the AMF, user plane information from the UPF and</w:t>
      </w:r>
      <w:r w:rsidRPr="00873B6C">
        <w:t xml:space="preserve"> network</w:t>
      </w:r>
      <w:r w:rsidR="006514B8" w:rsidRPr="00873B6C">
        <w:t xml:space="preserve"> data analytics from NWDAF.</w:t>
      </w:r>
    </w:p>
    <w:p w14:paraId="6688B024" w14:textId="07379085" w:rsidR="00494FD0" w:rsidRPr="00873B6C" w:rsidRDefault="00494FD0" w:rsidP="00494FD0">
      <w:pPr>
        <w:pStyle w:val="Heading2"/>
      </w:pPr>
      <w:bookmarkStart w:id="5261" w:name="_CR5_47"/>
      <w:bookmarkStart w:id="5262" w:name="_Toc201157719"/>
      <w:bookmarkEnd w:id="5261"/>
      <w:r w:rsidRPr="00873B6C">
        <w:t>5.47</w:t>
      </w:r>
      <w:r w:rsidRPr="00873B6C">
        <w:tab/>
        <w:t>Support for Network Controlled Repeater (NCR)</w:t>
      </w:r>
      <w:bookmarkEnd w:id="5262"/>
    </w:p>
    <w:p w14:paraId="098B109B" w14:textId="77777777" w:rsidR="00494FD0" w:rsidRPr="00873B6C" w:rsidRDefault="00494FD0" w:rsidP="00494FD0">
      <w:r w:rsidRPr="00873B6C">
        <w:t>A Network-Controlled Repeater node, referred to as NCR-node, is an RF repeater that enables wireless amplifying-and-forwarding functionality in NG-RAN as defined in TS 38.300 [27].</w:t>
      </w:r>
    </w:p>
    <w:p w14:paraId="48BF67E5" w14:textId="77777777" w:rsidR="00494FD0" w:rsidRPr="00873B6C" w:rsidRDefault="00494FD0" w:rsidP="00494FD0">
      <w:r w:rsidRPr="00873B6C">
        <w:t>In NCR operation, the NCR-MT as defined in TS 38.300 [27] interacts with the 5GC using procedures defined for UE. The following aspects are enhanced to support the NCR operation:</w:t>
      </w:r>
    </w:p>
    <w:p w14:paraId="3F89DDBD" w14:textId="1707B390" w:rsidR="00494FD0" w:rsidRPr="00873B6C" w:rsidRDefault="00494FD0" w:rsidP="00745A3E">
      <w:pPr>
        <w:pStyle w:val="B1"/>
      </w:pPr>
      <w:r w:rsidRPr="00873B6C">
        <w:t>-</w:t>
      </w:r>
      <w:r w:rsidRPr="00873B6C">
        <w:tab/>
        <w:t>The UE Subscription data as defined in clause 5.2.3 of TS 23.502 [3] is enhanced to include the authorization information for the NCR operation;</w:t>
      </w:r>
    </w:p>
    <w:p w14:paraId="6C0C57BD" w14:textId="77777777" w:rsidR="00494FD0" w:rsidRPr="00873B6C" w:rsidRDefault="00494FD0" w:rsidP="00745A3E">
      <w:pPr>
        <w:pStyle w:val="B1"/>
      </w:pPr>
      <w:r w:rsidRPr="00873B6C">
        <w:t>-</w:t>
      </w:r>
      <w:r w:rsidRPr="00873B6C">
        <w:tab/>
        <w:t>During the UE Registration procedure, the AMF is enhanced to perform authorization of the NCR based on subscription information from UDM. The AMF uses Initial UE Context Setup procedure to provide NCR authorization status information to NG-RAN.</w:t>
      </w:r>
    </w:p>
    <w:p w14:paraId="6A821A35" w14:textId="77777777" w:rsidR="00494FD0" w:rsidRPr="00873B6C" w:rsidRDefault="00494FD0" w:rsidP="00745A3E">
      <w:pPr>
        <w:pStyle w:val="B1"/>
      </w:pPr>
      <w:r w:rsidRPr="00873B6C">
        <w:t>-</w:t>
      </w:r>
      <w:r w:rsidRPr="00873B6C">
        <w:tab/>
        <w:t>If the authorization status of NCR-MT changes after initial registration, the AMF uses the UE Context Modification procedure to NG-RAN to update the NG-RAN with the new authorization status.</w:t>
      </w:r>
    </w:p>
    <w:p w14:paraId="3F2AA37E" w14:textId="491C2751" w:rsidR="00D40151" w:rsidRPr="00873B6C" w:rsidRDefault="00D40151" w:rsidP="00D40151">
      <w:pPr>
        <w:pStyle w:val="Heading1"/>
      </w:pPr>
      <w:bookmarkStart w:id="5263" w:name="_CR6"/>
      <w:bookmarkStart w:id="5264" w:name="_Toc201157720"/>
      <w:bookmarkEnd w:id="5263"/>
      <w:r w:rsidRPr="00873B6C">
        <w:lastRenderedPageBreak/>
        <w:t>6</w:t>
      </w:r>
      <w:r w:rsidRPr="00873B6C">
        <w:tab/>
        <w:t>Network Functions</w:t>
      </w:r>
      <w:bookmarkEnd w:id="5093"/>
      <w:bookmarkEnd w:id="5127"/>
      <w:bookmarkEnd w:id="5128"/>
      <w:bookmarkEnd w:id="5129"/>
      <w:bookmarkEnd w:id="5130"/>
      <w:bookmarkEnd w:id="5131"/>
      <w:bookmarkEnd w:id="5264"/>
    </w:p>
    <w:p w14:paraId="61CEE9EB" w14:textId="77777777" w:rsidR="00D40151" w:rsidRPr="00873B6C" w:rsidRDefault="00D40151" w:rsidP="00D40151">
      <w:pPr>
        <w:pStyle w:val="Heading2"/>
      </w:pPr>
      <w:bookmarkStart w:id="5265" w:name="_CR6_1"/>
      <w:bookmarkStart w:id="5266" w:name="_Toc20150182"/>
      <w:bookmarkStart w:id="5267" w:name="_Toc27846990"/>
      <w:bookmarkStart w:id="5268" w:name="_Toc36188121"/>
      <w:bookmarkStart w:id="5269" w:name="_Toc45184028"/>
      <w:bookmarkStart w:id="5270" w:name="_Toc47342870"/>
      <w:bookmarkStart w:id="5271" w:name="_Toc51769572"/>
      <w:bookmarkStart w:id="5272" w:name="_Toc201157721"/>
      <w:bookmarkEnd w:id="5265"/>
      <w:r w:rsidRPr="00873B6C">
        <w:t>6.1</w:t>
      </w:r>
      <w:r w:rsidRPr="00873B6C">
        <w:tab/>
        <w:t>General</w:t>
      </w:r>
      <w:bookmarkEnd w:id="5266"/>
      <w:bookmarkEnd w:id="5267"/>
      <w:bookmarkEnd w:id="5268"/>
      <w:bookmarkEnd w:id="5269"/>
      <w:bookmarkEnd w:id="5270"/>
      <w:bookmarkEnd w:id="5271"/>
      <w:bookmarkEnd w:id="5272"/>
    </w:p>
    <w:p w14:paraId="59F0D1B5" w14:textId="0970FB28" w:rsidR="00D40151" w:rsidRPr="00873B6C" w:rsidRDefault="00D40151" w:rsidP="00D40151">
      <w:r w:rsidRPr="00873B6C">
        <w:t>Clause 6 provides the functional description of the Network Functions and network entities and the principles for Network Function and Network Function Service discovery and selection.</w:t>
      </w:r>
    </w:p>
    <w:p w14:paraId="45737E40" w14:textId="06F11D77" w:rsidR="00160667" w:rsidRPr="00873B6C" w:rsidRDefault="00160667" w:rsidP="00160667">
      <w:bookmarkStart w:id="5273" w:name="_Toc20150183"/>
      <w:bookmarkStart w:id="5274" w:name="_Toc27846991"/>
      <w:bookmarkStart w:id="5275" w:name="_Toc36188122"/>
      <w:bookmarkStart w:id="5276" w:name="_Toc45184029"/>
      <w:bookmarkStart w:id="5277" w:name="_Toc47342871"/>
      <w:bookmarkStart w:id="5278" w:name="_Toc51769573"/>
      <w:r w:rsidRPr="00873B6C">
        <w:t xml:space="preserve">NG-RAN functions and entities are described in </w:t>
      </w:r>
      <w:r w:rsidR="00972E70" w:rsidRPr="00873B6C">
        <w:t>TS 38.300 [</w:t>
      </w:r>
      <w:r w:rsidRPr="00873B6C">
        <w:t xml:space="preserve">27] and </w:t>
      </w:r>
      <w:r w:rsidR="00972E70" w:rsidRPr="00873B6C">
        <w:t>TS 38.401 [</w:t>
      </w:r>
      <w:r w:rsidRPr="00873B6C">
        <w:t>42].</w:t>
      </w:r>
    </w:p>
    <w:p w14:paraId="152719BA" w14:textId="42BC6B75" w:rsidR="00160667" w:rsidRPr="00873B6C" w:rsidRDefault="00160667" w:rsidP="00160667">
      <w:r w:rsidRPr="00873B6C">
        <w:t xml:space="preserve">Security functions and entities are described in </w:t>
      </w:r>
      <w:r w:rsidR="00972E70" w:rsidRPr="00873B6C">
        <w:t>TS 33.501 [</w:t>
      </w:r>
      <w:r w:rsidRPr="00873B6C">
        <w:t xml:space="preserve">29] and </w:t>
      </w:r>
      <w:r w:rsidR="00972E70" w:rsidRPr="00873B6C">
        <w:t>TS 33.535 [</w:t>
      </w:r>
      <w:r w:rsidRPr="00873B6C">
        <w:t>124].</w:t>
      </w:r>
    </w:p>
    <w:p w14:paraId="2223FF3C" w14:textId="41E70BDA" w:rsidR="00160667" w:rsidRPr="00873B6C" w:rsidRDefault="00160667" w:rsidP="00160667">
      <w:r w:rsidRPr="00873B6C">
        <w:t xml:space="preserve">5G Media streaming functions are described in </w:t>
      </w:r>
      <w:r w:rsidR="00972E70" w:rsidRPr="00873B6C">
        <w:t>TS 26.501 [</w:t>
      </w:r>
      <w:r w:rsidRPr="00873B6C">
        <w:t>135].</w:t>
      </w:r>
    </w:p>
    <w:p w14:paraId="06A9F7D5" w14:textId="081053FE" w:rsidR="00D40151" w:rsidRPr="00873B6C" w:rsidRDefault="00D40151" w:rsidP="00D40151">
      <w:pPr>
        <w:pStyle w:val="Heading2"/>
      </w:pPr>
      <w:bookmarkStart w:id="5279" w:name="_CR6_2"/>
      <w:bookmarkStart w:id="5280" w:name="_Toc201157722"/>
      <w:bookmarkEnd w:id="5279"/>
      <w:r w:rsidRPr="00873B6C">
        <w:t>6.2</w:t>
      </w:r>
      <w:r w:rsidRPr="00873B6C">
        <w:tab/>
        <w:t>Network Function Functional description</w:t>
      </w:r>
      <w:bookmarkEnd w:id="5273"/>
      <w:bookmarkEnd w:id="5274"/>
      <w:bookmarkEnd w:id="5275"/>
      <w:bookmarkEnd w:id="5276"/>
      <w:bookmarkEnd w:id="5277"/>
      <w:bookmarkEnd w:id="5278"/>
      <w:bookmarkEnd w:id="5280"/>
    </w:p>
    <w:p w14:paraId="41954925" w14:textId="77777777" w:rsidR="00D40151" w:rsidRPr="00873B6C" w:rsidRDefault="00D40151" w:rsidP="00D40151">
      <w:pPr>
        <w:pStyle w:val="Heading3"/>
      </w:pPr>
      <w:bookmarkStart w:id="5281" w:name="_CR6_2_1"/>
      <w:bookmarkStart w:id="5282" w:name="_Toc20150184"/>
      <w:bookmarkStart w:id="5283" w:name="_Toc27846992"/>
      <w:bookmarkStart w:id="5284" w:name="_Toc36188123"/>
      <w:bookmarkStart w:id="5285" w:name="_Toc45184030"/>
      <w:bookmarkStart w:id="5286" w:name="_Toc47342872"/>
      <w:bookmarkStart w:id="5287" w:name="_Toc51769574"/>
      <w:bookmarkStart w:id="5288" w:name="_Toc201157723"/>
      <w:bookmarkEnd w:id="5281"/>
      <w:r w:rsidRPr="00873B6C">
        <w:t>6.2.1</w:t>
      </w:r>
      <w:r w:rsidRPr="00873B6C">
        <w:tab/>
        <w:t>AMF</w:t>
      </w:r>
      <w:bookmarkEnd w:id="5282"/>
      <w:bookmarkEnd w:id="5283"/>
      <w:bookmarkEnd w:id="5284"/>
      <w:bookmarkEnd w:id="5285"/>
      <w:bookmarkEnd w:id="5286"/>
      <w:bookmarkEnd w:id="5287"/>
      <w:bookmarkEnd w:id="5288"/>
    </w:p>
    <w:p w14:paraId="1723F513" w14:textId="77777777" w:rsidR="00D40151" w:rsidRPr="00873B6C" w:rsidRDefault="00D40151" w:rsidP="00D40151">
      <w:r w:rsidRPr="00873B6C">
        <w:t>The Access and Mobility Management function (AMF) includes the following functionality. Some or all of the AMF functionalities may be supported in a single instance of an AMF:</w:t>
      </w:r>
    </w:p>
    <w:p w14:paraId="597D8B34" w14:textId="77777777" w:rsidR="00D40151" w:rsidRPr="00873B6C" w:rsidRDefault="00D40151" w:rsidP="00D40151">
      <w:pPr>
        <w:pStyle w:val="B1"/>
      </w:pPr>
      <w:r w:rsidRPr="00873B6C">
        <w:t>-</w:t>
      </w:r>
      <w:r w:rsidRPr="00873B6C">
        <w:tab/>
        <w:t>Termination of RAN CP interface (N2).</w:t>
      </w:r>
    </w:p>
    <w:p w14:paraId="405237A9" w14:textId="77777777" w:rsidR="00D40151" w:rsidRPr="00873B6C" w:rsidRDefault="00D40151" w:rsidP="00D40151">
      <w:pPr>
        <w:pStyle w:val="B1"/>
      </w:pPr>
      <w:r w:rsidRPr="00873B6C">
        <w:t>-</w:t>
      </w:r>
      <w:r w:rsidRPr="00873B6C">
        <w:tab/>
        <w:t>Termination of NAS (N1), NAS ciphering and integrity protection.</w:t>
      </w:r>
    </w:p>
    <w:p w14:paraId="2D2E2C35" w14:textId="77777777" w:rsidR="00D40151" w:rsidRPr="00873B6C" w:rsidRDefault="00D40151" w:rsidP="00D40151">
      <w:pPr>
        <w:pStyle w:val="B1"/>
      </w:pPr>
      <w:r w:rsidRPr="00873B6C">
        <w:t>-</w:t>
      </w:r>
      <w:r w:rsidRPr="00873B6C">
        <w:tab/>
        <w:t>Registration management.</w:t>
      </w:r>
    </w:p>
    <w:p w14:paraId="5F62B09D" w14:textId="77777777" w:rsidR="00D40151" w:rsidRPr="00873B6C" w:rsidRDefault="00D40151" w:rsidP="00D40151">
      <w:pPr>
        <w:pStyle w:val="B1"/>
      </w:pPr>
      <w:r w:rsidRPr="00873B6C">
        <w:t>-</w:t>
      </w:r>
      <w:r w:rsidRPr="00873B6C">
        <w:tab/>
        <w:t>Connection management.</w:t>
      </w:r>
    </w:p>
    <w:p w14:paraId="681E5C30" w14:textId="77777777" w:rsidR="00D40151" w:rsidRPr="00873B6C" w:rsidRDefault="00D40151" w:rsidP="00D40151">
      <w:pPr>
        <w:pStyle w:val="B1"/>
      </w:pPr>
      <w:r w:rsidRPr="00873B6C">
        <w:t>-</w:t>
      </w:r>
      <w:r w:rsidRPr="00873B6C">
        <w:tab/>
        <w:t>Reachability management.</w:t>
      </w:r>
    </w:p>
    <w:p w14:paraId="6FC37F84" w14:textId="77777777" w:rsidR="00D40151" w:rsidRPr="00873B6C" w:rsidRDefault="00D40151" w:rsidP="00D40151">
      <w:pPr>
        <w:pStyle w:val="B1"/>
      </w:pPr>
      <w:r w:rsidRPr="00873B6C">
        <w:t>-</w:t>
      </w:r>
      <w:r w:rsidRPr="00873B6C">
        <w:tab/>
        <w:t>Mobility Management.</w:t>
      </w:r>
    </w:p>
    <w:p w14:paraId="39FFE23D" w14:textId="77777777" w:rsidR="00D40151" w:rsidRPr="00873B6C" w:rsidRDefault="00D40151" w:rsidP="00D40151">
      <w:pPr>
        <w:pStyle w:val="B1"/>
      </w:pPr>
      <w:r w:rsidRPr="00873B6C">
        <w:t>-</w:t>
      </w:r>
      <w:r w:rsidRPr="00873B6C">
        <w:tab/>
        <w:t>Lawful intercept (for AMF events and interface to LI System).</w:t>
      </w:r>
    </w:p>
    <w:p w14:paraId="28971E98" w14:textId="77777777" w:rsidR="00D40151" w:rsidRPr="00873B6C" w:rsidRDefault="00D40151" w:rsidP="00D40151">
      <w:pPr>
        <w:pStyle w:val="B1"/>
      </w:pPr>
      <w:r w:rsidRPr="00873B6C">
        <w:t>-</w:t>
      </w:r>
      <w:r w:rsidRPr="00873B6C">
        <w:tab/>
        <w:t>Provide transport for SM messages between UE and SMF.</w:t>
      </w:r>
    </w:p>
    <w:p w14:paraId="487D7E4A" w14:textId="77777777" w:rsidR="00D40151" w:rsidRPr="00873B6C" w:rsidRDefault="00D40151" w:rsidP="00D40151">
      <w:pPr>
        <w:pStyle w:val="B1"/>
      </w:pPr>
      <w:r w:rsidRPr="00873B6C">
        <w:t>-</w:t>
      </w:r>
      <w:r w:rsidRPr="00873B6C">
        <w:tab/>
        <w:t>Transparent proxy for routing SM messages.</w:t>
      </w:r>
    </w:p>
    <w:p w14:paraId="1162CB41" w14:textId="77777777" w:rsidR="00D40151" w:rsidRPr="00873B6C" w:rsidRDefault="00D40151" w:rsidP="00D40151">
      <w:pPr>
        <w:pStyle w:val="B1"/>
      </w:pPr>
      <w:r w:rsidRPr="00873B6C">
        <w:t>-</w:t>
      </w:r>
      <w:r w:rsidRPr="00873B6C">
        <w:tab/>
        <w:t>Access Authentication.</w:t>
      </w:r>
    </w:p>
    <w:p w14:paraId="161C4572" w14:textId="77777777" w:rsidR="00D40151" w:rsidRPr="00873B6C" w:rsidRDefault="00D40151" w:rsidP="00D40151">
      <w:pPr>
        <w:pStyle w:val="B1"/>
      </w:pPr>
      <w:r w:rsidRPr="00873B6C">
        <w:t>-</w:t>
      </w:r>
      <w:r w:rsidRPr="00873B6C">
        <w:tab/>
        <w:t>Access Authorization.</w:t>
      </w:r>
    </w:p>
    <w:p w14:paraId="55A0EF2B" w14:textId="77777777" w:rsidR="00D40151" w:rsidRPr="00873B6C" w:rsidRDefault="00D40151" w:rsidP="00D40151">
      <w:pPr>
        <w:pStyle w:val="B1"/>
      </w:pPr>
      <w:r w:rsidRPr="00873B6C">
        <w:t>-</w:t>
      </w:r>
      <w:r w:rsidRPr="00873B6C">
        <w:tab/>
      </w:r>
      <w:r w:rsidRPr="00873B6C">
        <w:rPr>
          <w:lang w:eastAsia="zh-CN"/>
        </w:rPr>
        <w:t>Provide transport for</w:t>
      </w:r>
      <w:r w:rsidRPr="00873B6C">
        <w:t xml:space="preserve"> SMS messages</w:t>
      </w:r>
      <w:r w:rsidRPr="00873B6C">
        <w:rPr>
          <w:lang w:eastAsia="zh-CN"/>
        </w:rPr>
        <w:t xml:space="preserve"> between UE and SMSF.</w:t>
      </w:r>
    </w:p>
    <w:p w14:paraId="1A042CC6" w14:textId="3EF72498" w:rsidR="00D40151" w:rsidRPr="00873B6C" w:rsidRDefault="00D40151" w:rsidP="00D40151">
      <w:pPr>
        <w:pStyle w:val="B1"/>
      </w:pPr>
      <w:r w:rsidRPr="00873B6C">
        <w:t>-</w:t>
      </w:r>
      <w:r w:rsidRPr="00873B6C">
        <w:tab/>
        <w:t xml:space="preserve">Security Anchor Functionality (SEAF) as specified in </w:t>
      </w:r>
      <w:r w:rsidR="00972E70" w:rsidRPr="00873B6C">
        <w:t>TS 33.501 [</w:t>
      </w:r>
      <w:r w:rsidRPr="00873B6C">
        <w:t>29].</w:t>
      </w:r>
    </w:p>
    <w:p w14:paraId="2D366DD7" w14:textId="77777777" w:rsidR="00D40151" w:rsidRPr="00873B6C" w:rsidRDefault="00D40151" w:rsidP="00D40151">
      <w:pPr>
        <w:pStyle w:val="B1"/>
      </w:pPr>
      <w:r w:rsidRPr="00873B6C">
        <w:t>-</w:t>
      </w:r>
      <w:r w:rsidRPr="00873B6C">
        <w:tab/>
        <w:t>Location Services management for regulatory services.</w:t>
      </w:r>
    </w:p>
    <w:p w14:paraId="1C2096A4" w14:textId="77777777" w:rsidR="00D40151" w:rsidRPr="00873B6C" w:rsidRDefault="00D40151" w:rsidP="00D40151">
      <w:pPr>
        <w:pStyle w:val="B1"/>
        <w:rPr>
          <w:lang w:eastAsia="zh-CN"/>
        </w:rPr>
      </w:pPr>
      <w:r w:rsidRPr="00873B6C">
        <w:t>-</w:t>
      </w:r>
      <w:r w:rsidRPr="00873B6C">
        <w:tab/>
      </w:r>
      <w:r w:rsidRPr="00873B6C">
        <w:rPr>
          <w:lang w:eastAsia="zh-CN"/>
        </w:rPr>
        <w:t>Provide transport for</w:t>
      </w:r>
      <w:r w:rsidRPr="00873B6C">
        <w:t xml:space="preserve"> Location Services messages</w:t>
      </w:r>
      <w:r w:rsidRPr="00873B6C">
        <w:rPr>
          <w:lang w:eastAsia="zh-CN"/>
        </w:rPr>
        <w:t xml:space="preserve"> between UE and LMF as well as between RAN and LMF.</w:t>
      </w:r>
    </w:p>
    <w:p w14:paraId="293FDAA3" w14:textId="77777777" w:rsidR="00D40151" w:rsidRPr="00873B6C" w:rsidRDefault="00D40151" w:rsidP="00D40151">
      <w:pPr>
        <w:pStyle w:val="B1"/>
      </w:pPr>
      <w:r w:rsidRPr="00873B6C">
        <w:t>-</w:t>
      </w:r>
      <w:r w:rsidRPr="00873B6C">
        <w:tab/>
        <w:t>EPS Bearer ID allocation for interworking with EPS.</w:t>
      </w:r>
    </w:p>
    <w:p w14:paraId="11B35684" w14:textId="77777777" w:rsidR="00D40151" w:rsidRPr="00873B6C" w:rsidRDefault="00D40151" w:rsidP="00D40151">
      <w:pPr>
        <w:pStyle w:val="B1"/>
      </w:pPr>
      <w:r w:rsidRPr="00873B6C">
        <w:t>-</w:t>
      </w:r>
      <w:r w:rsidRPr="00873B6C">
        <w:tab/>
        <w:t>UE mobility event notification.</w:t>
      </w:r>
    </w:p>
    <w:p w14:paraId="0577C4C8" w14:textId="5EC4E646" w:rsidR="00B04F2B" w:rsidRPr="00873B6C" w:rsidRDefault="00B04F2B" w:rsidP="00D40151">
      <w:pPr>
        <w:pStyle w:val="B1"/>
      </w:pPr>
      <w:r w:rsidRPr="00873B6C">
        <w:t>-</w:t>
      </w:r>
      <w:r w:rsidRPr="00873B6C">
        <w:tab/>
        <w:t>S-NSSAIs per TA mapping notification.</w:t>
      </w:r>
    </w:p>
    <w:p w14:paraId="280ABB61" w14:textId="2E5EC9FD" w:rsidR="00D40151" w:rsidRPr="00873B6C" w:rsidRDefault="00D40151" w:rsidP="00D40151">
      <w:pPr>
        <w:pStyle w:val="B1"/>
      </w:pPr>
      <w:r w:rsidRPr="00873B6C">
        <w:t>-</w:t>
      </w:r>
      <w:r w:rsidRPr="00873B6C">
        <w:tab/>
        <w:t>Support for Control Plane CIoT 5GS Optimisation.</w:t>
      </w:r>
    </w:p>
    <w:p w14:paraId="3EC33F45" w14:textId="77777777" w:rsidR="00D40151" w:rsidRPr="00873B6C" w:rsidRDefault="00D40151" w:rsidP="00D40151">
      <w:pPr>
        <w:pStyle w:val="B1"/>
      </w:pPr>
      <w:r w:rsidRPr="00873B6C">
        <w:t>-</w:t>
      </w:r>
      <w:r w:rsidRPr="00873B6C">
        <w:tab/>
        <w:t>Support for User Plane CIoT 5GS Optimisation.</w:t>
      </w:r>
    </w:p>
    <w:p w14:paraId="5CB5407D" w14:textId="3077DEC4" w:rsidR="00CD64F1" w:rsidRPr="00873B6C" w:rsidRDefault="00CD64F1" w:rsidP="00D40151">
      <w:pPr>
        <w:pStyle w:val="B1"/>
      </w:pPr>
      <w:r w:rsidRPr="00873B6C">
        <w:t>-</w:t>
      </w:r>
      <w:r w:rsidRPr="00873B6C">
        <w:tab/>
        <w:t>Support for restriction of use of Enhanced Coverage.</w:t>
      </w:r>
    </w:p>
    <w:p w14:paraId="635F1B65" w14:textId="2B57A72D" w:rsidR="00D40151" w:rsidRPr="00873B6C" w:rsidRDefault="00D40151" w:rsidP="00D40151">
      <w:pPr>
        <w:pStyle w:val="B1"/>
      </w:pPr>
      <w:r w:rsidRPr="00873B6C">
        <w:t>-</w:t>
      </w:r>
      <w:r w:rsidRPr="00873B6C">
        <w:tab/>
        <w:t>Provisioning of external parameters (Expected UE Behaviour parameters or Network Configuration parameters).</w:t>
      </w:r>
    </w:p>
    <w:p w14:paraId="52AAF005" w14:textId="77777777" w:rsidR="00D40151" w:rsidRPr="00873B6C" w:rsidRDefault="00D40151" w:rsidP="00D40151">
      <w:pPr>
        <w:pStyle w:val="B1"/>
      </w:pPr>
      <w:r w:rsidRPr="00873B6C">
        <w:lastRenderedPageBreak/>
        <w:t>-</w:t>
      </w:r>
      <w:r w:rsidRPr="00873B6C">
        <w:tab/>
        <w:t>Support for Network Slice-Specific Authentication and Authorization.</w:t>
      </w:r>
    </w:p>
    <w:p w14:paraId="2373CE3E" w14:textId="4D5161B2" w:rsidR="008A60FE" w:rsidRPr="00873B6C" w:rsidRDefault="008A60FE" w:rsidP="00323277">
      <w:pPr>
        <w:pStyle w:val="B1"/>
      </w:pPr>
      <w:r w:rsidRPr="00873B6C">
        <w:t>-</w:t>
      </w:r>
      <w:r w:rsidRPr="00873B6C">
        <w:tab/>
      </w:r>
      <w:r w:rsidR="00A346EF" w:rsidRPr="00873B6C">
        <w:t>Support for charging</w:t>
      </w:r>
      <w:r w:rsidRPr="00873B6C">
        <w:t>.</w:t>
      </w:r>
    </w:p>
    <w:p w14:paraId="1272E151" w14:textId="2B75B16C" w:rsidR="007B6EB9" w:rsidRPr="00873B6C" w:rsidRDefault="007B6EB9" w:rsidP="007B6EB9">
      <w:pPr>
        <w:pStyle w:val="B1"/>
      </w:pPr>
      <w:r w:rsidRPr="00873B6C">
        <w:t>-</w:t>
      </w:r>
      <w:r w:rsidRPr="00873B6C">
        <w:tab/>
        <w:t>Controlling the 5G access stratum-based time distribution based on UE's subscription data.</w:t>
      </w:r>
    </w:p>
    <w:p w14:paraId="380CF336" w14:textId="4187C944" w:rsidR="00386935" w:rsidRPr="00873B6C" w:rsidRDefault="00386935" w:rsidP="00386935">
      <w:pPr>
        <w:pStyle w:val="B1"/>
      </w:pPr>
      <w:r w:rsidRPr="00873B6C">
        <w:t>-</w:t>
      </w:r>
      <w:r w:rsidRPr="00873B6C">
        <w:tab/>
        <w:t>Controlling the gNB's time synchronization status reporting and subscription.</w:t>
      </w:r>
    </w:p>
    <w:p w14:paraId="02C6D31A" w14:textId="20DB9870" w:rsidR="00D40151" w:rsidRPr="00873B6C" w:rsidRDefault="00D40151" w:rsidP="00D40151">
      <w:pPr>
        <w:pStyle w:val="NO"/>
        <w:rPr>
          <w:iCs/>
        </w:rPr>
      </w:pPr>
      <w:r w:rsidRPr="00873B6C">
        <w:rPr>
          <w:iCs/>
        </w:rPr>
        <w:t>NOTE 1:</w:t>
      </w:r>
      <w:r w:rsidRPr="00873B6C">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873B6C" w:rsidRDefault="00D40151" w:rsidP="00D40151">
      <w:r w:rsidRPr="00873B6C">
        <w:t>In addition to the functionalities of the AMF described above, the AMF may include the following functionality to support non-3GPP access networks:</w:t>
      </w:r>
    </w:p>
    <w:p w14:paraId="49CA0801" w14:textId="74F9299A" w:rsidR="00D40151" w:rsidRPr="00873B6C" w:rsidRDefault="00D40151" w:rsidP="00D40151">
      <w:pPr>
        <w:pStyle w:val="B1"/>
        <w:rPr>
          <w:rFonts w:eastAsia="Malgun Gothic"/>
          <w:lang w:eastAsia="ko-KR"/>
        </w:rPr>
      </w:pPr>
      <w:r w:rsidRPr="00873B6C">
        <w:t>-</w:t>
      </w:r>
      <w:r w:rsidRPr="00873B6C">
        <w:tab/>
        <w:t>Support of N2 interface</w:t>
      </w:r>
      <w:r w:rsidRPr="00873B6C">
        <w:rPr>
          <w:rFonts w:eastAsia="Malgun Gothic"/>
          <w:lang w:eastAsia="ko-KR"/>
        </w:rPr>
        <w:t xml:space="preserve"> with N3IWF/TNGF. Over this interface, some information (e.g. 3GPP Cell Identification) and procedures (e.g. Handover related) defined over 3GPP access may not apply</w:t>
      </w:r>
      <w:r w:rsidR="00472CD7" w:rsidRPr="00873B6C">
        <w:rPr>
          <w:rFonts w:eastAsia="Malgun Gothic"/>
          <w:lang w:eastAsia="ko-KR"/>
        </w:rPr>
        <w:t xml:space="preserve"> and</w:t>
      </w:r>
      <w:r w:rsidRPr="00873B6C">
        <w:rPr>
          <w:rFonts w:eastAsia="Malgun Gothic"/>
          <w:lang w:eastAsia="ko-KR"/>
        </w:rPr>
        <w:t xml:space="preserve"> non-3GPP access specific information may be applied that do not apply to 3GPP accesses.</w:t>
      </w:r>
    </w:p>
    <w:p w14:paraId="66A1FC6E" w14:textId="77777777" w:rsidR="00D40151" w:rsidRPr="00873B6C" w:rsidRDefault="00D40151" w:rsidP="00D40151">
      <w:pPr>
        <w:pStyle w:val="B1"/>
        <w:rPr>
          <w:rFonts w:eastAsia="Malgun Gothic"/>
          <w:lang w:eastAsia="ko-KR"/>
        </w:rPr>
      </w:pPr>
      <w:r w:rsidRPr="00873B6C">
        <w:t>-</w:t>
      </w:r>
      <w:r w:rsidRPr="00873B6C">
        <w:tab/>
        <w:t>Support of NAS signalling with a UE over N3IWF/TNGF. Some procedures supported by NAS signalling over 3GPP access may be not applicable to untrusted non-3GPP (e.g. Paging) access.</w:t>
      </w:r>
    </w:p>
    <w:p w14:paraId="6F5E01A4" w14:textId="77777777" w:rsidR="00D40151" w:rsidRPr="00873B6C" w:rsidRDefault="00D40151" w:rsidP="00D40151">
      <w:pPr>
        <w:pStyle w:val="B1"/>
        <w:rPr>
          <w:rFonts w:eastAsia="MS Mincho"/>
        </w:rPr>
      </w:pPr>
      <w:r w:rsidRPr="00873B6C">
        <w:t>-</w:t>
      </w:r>
      <w:r w:rsidRPr="00873B6C">
        <w:tab/>
        <w:t>Support of authentication of UEs connected over N3IWF/TNGF.</w:t>
      </w:r>
    </w:p>
    <w:p w14:paraId="0471F02F" w14:textId="3051A37D" w:rsidR="00D40151" w:rsidRPr="00873B6C" w:rsidRDefault="00D40151" w:rsidP="00D40151">
      <w:pPr>
        <w:pStyle w:val="B1"/>
      </w:pPr>
      <w:r w:rsidRPr="00873B6C">
        <w:t>-</w:t>
      </w:r>
      <w:r w:rsidRPr="00873B6C">
        <w:tab/>
        <w:t>Management of mobility, authentication</w:t>
      </w:r>
      <w:r w:rsidR="00472CD7" w:rsidRPr="00873B6C">
        <w:t xml:space="preserve"> and</w:t>
      </w:r>
      <w:r w:rsidRPr="00873B6C">
        <w:t xml:space="preserve"> separate security context state(s) of a UE connected via a non-3GPP access or connected via a 3GPP access and a non-3GPP access simultaneously.</w:t>
      </w:r>
    </w:p>
    <w:p w14:paraId="2217FB71" w14:textId="77777777" w:rsidR="00D40151" w:rsidRPr="00873B6C" w:rsidRDefault="00D40151" w:rsidP="00D40151">
      <w:pPr>
        <w:pStyle w:val="B1"/>
      </w:pPr>
      <w:r w:rsidRPr="00873B6C">
        <w:t>-</w:t>
      </w:r>
      <w:r w:rsidRPr="00873B6C">
        <w:tab/>
        <w:t>Support as described in clause </w:t>
      </w:r>
      <w:r w:rsidRPr="00873B6C">
        <w:rPr>
          <w:lang w:eastAsia="zh-CN"/>
        </w:rPr>
        <w:t xml:space="preserve">5.3.2.3 </w:t>
      </w:r>
      <w:r w:rsidRPr="00873B6C">
        <w:t>a co-ordinated RM management context valid over a 3GPP access and a Non 3GPP access.</w:t>
      </w:r>
    </w:p>
    <w:p w14:paraId="0D15D2A7" w14:textId="77777777" w:rsidR="00D40151" w:rsidRPr="00873B6C" w:rsidRDefault="00D40151" w:rsidP="00D40151">
      <w:pPr>
        <w:pStyle w:val="B1"/>
        <w:rPr>
          <w:iCs/>
        </w:rPr>
      </w:pPr>
      <w:r w:rsidRPr="00873B6C">
        <w:t>-</w:t>
      </w:r>
      <w:r w:rsidRPr="00873B6C">
        <w:tab/>
        <w:t>Support as described in clause </w:t>
      </w:r>
      <w:r w:rsidRPr="00873B6C">
        <w:rPr>
          <w:lang w:eastAsia="zh-CN"/>
        </w:rPr>
        <w:t xml:space="preserve">5.3.3.4 </w:t>
      </w:r>
      <w:r w:rsidRPr="00873B6C">
        <w:t>dedicated CM management contexts for the UE for connectivity over non-3GPP access.</w:t>
      </w:r>
    </w:p>
    <w:p w14:paraId="43A2FF23" w14:textId="25E27886" w:rsidR="0069561D" w:rsidRPr="00873B6C" w:rsidRDefault="0069561D" w:rsidP="0069561D">
      <w:pPr>
        <w:pStyle w:val="B1"/>
        <w:rPr>
          <w:iCs/>
        </w:rPr>
      </w:pPr>
      <w:r w:rsidRPr="00873B6C">
        <w:rPr>
          <w:iCs/>
        </w:rPr>
        <w:t>-</w:t>
      </w:r>
      <w:r w:rsidRPr="00873B6C">
        <w:rPr>
          <w:iCs/>
        </w:rPr>
        <w:tab/>
        <w:t>Determine whether the serving N3IWF</w:t>
      </w:r>
      <w:r w:rsidR="00587044" w:rsidRPr="00873B6C">
        <w:rPr>
          <w:iCs/>
        </w:rPr>
        <w:t>/TNGF</w:t>
      </w:r>
      <w:r w:rsidRPr="00873B6C">
        <w:rPr>
          <w:iCs/>
        </w:rPr>
        <w:t xml:space="preserve"> is appropriate based on the slices supported by the N3IWFs</w:t>
      </w:r>
      <w:r w:rsidR="00587044" w:rsidRPr="00873B6C">
        <w:rPr>
          <w:iCs/>
        </w:rPr>
        <w:t>/TNGFs</w:t>
      </w:r>
      <w:r w:rsidRPr="00873B6C">
        <w:rPr>
          <w:iCs/>
        </w:rPr>
        <w:t xml:space="preserve"> as specified in clause 6.3.6</w:t>
      </w:r>
      <w:r w:rsidR="00587044" w:rsidRPr="00873B6C">
        <w:rPr>
          <w:iCs/>
        </w:rPr>
        <w:t xml:space="preserve"> and clause 6.3.12 respectively</w:t>
      </w:r>
      <w:r w:rsidRPr="00873B6C">
        <w:rPr>
          <w:iCs/>
        </w:rPr>
        <w:t>.</w:t>
      </w:r>
    </w:p>
    <w:p w14:paraId="193F17C7" w14:textId="77777777" w:rsidR="00D40151" w:rsidRPr="00873B6C" w:rsidRDefault="00D40151" w:rsidP="00D40151">
      <w:pPr>
        <w:pStyle w:val="NO"/>
        <w:rPr>
          <w:iCs/>
        </w:rPr>
      </w:pPr>
      <w:r w:rsidRPr="00873B6C">
        <w:rPr>
          <w:iCs/>
        </w:rPr>
        <w:t>NOTE 2:</w:t>
      </w:r>
      <w:r w:rsidRPr="00873B6C">
        <w:rPr>
          <w:iCs/>
        </w:rPr>
        <w:tab/>
        <w:t>Not all of the functionalities are required to be supported in an instance of a Network Slice.</w:t>
      </w:r>
    </w:p>
    <w:p w14:paraId="247FEF3B" w14:textId="3461E310" w:rsidR="00D40151" w:rsidRPr="00873B6C" w:rsidRDefault="00D40151" w:rsidP="00D40151">
      <w:pPr>
        <w:rPr>
          <w:iCs/>
        </w:rPr>
      </w:pPr>
      <w:r w:rsidRPr="00873B6C">
        <w:t>In addition to the functionalities of the AMF described above, the AMF may include</w:t>
      </w:r>
      <w:r w:rsidRPr="00873B6C">
        <w:rPr>
          <w:rFonts w:eastAsia="SimSun"/>
          <w:lang w:eastAsia="zh-CN"/>
        </w:rPr>
        <w:t xml:space="preserve"> policy related</w:t>
      </w:r>
      <w:r w:rsidRPr="00873B6C">
        <w:t xml:space="preserve"> functionalit</w:t>
      </w:r>
      <w:r w:rsidRPr="00873B6C">
        <w:rPr>
          <w:rFonts w:eastAsia="SimSun"/>
          <w:lang w:eastAsia="zh-CN"/>
        </w:rPr>
        <w:t>ies</w:t>
      </w:r>
      <w:r w:rsidRPr="00873B6C">
        <w:t xml:space="preserve"> </w:t>
      </w:r>
      <w:r w:rsidRPr="00873B6C">
        <w:rPr>
          <w:rFonts w:eastAsia="SimSun"/>
          <w:lang w:eastAsia="zh-CN"/>
        </w:rPr>
        <w:t xml:space="preserve">as described in </w:t>
      </w:r>
      <w:r w:rsidRPr="00873B6C">
        <w:rPr>
          <w:lang w:eastAsia="ko-KR"/>
        </w:rPr>
        <w:t>clause</w:t>
      </w:r>
      <w:r w:rsidRPr="00873B6C">
        <w:rPr>
          <w:rFonts w:eastAsia="SimSun"/>
          <w:lang w:eastAsia="zh-CN"/>
        </w:rPr>
        <w:t xml:space="preserve"> 6.2.8 </w:t>
      </w:r>
      <w:r w:rsidR="00131D56" w:rsidRPr="00873B6C">
        <w:rPr>
          <w:rFonts w:eastAsia="SimSun"/>
          <w:lang w:eastAsia="zh-CN"/>
        </w:rPr>
        <w:t>of</w:t>
      </w:r>
      <w:r w:rsidRPr="00873B6C">
        <w:rPr>
          <w:rFonts w:eastAsia="SimSun"/>
          <w:lang w:eastAsia="zh-CN"/>
        </w:rPr>
        <w:t xml:space="preserve"> </w:t>
      </w:r>
      <w:r w:rsidR="00972E70" w:rsidRPr="00873B6C">
        <w:rPr>
          <w:rFonts w:eastAsia="SimSun"/>
          <w:lang w:eastAsia="zh-CN"/>
        </w:rPr>
        <w:t>TS 23.503 [</w:t>
      </w:r>
      <w:r w:rsidRPr="00873B6C">
        <w:rPr>
          <w:rFonts w:eastAsia="SimSun"/>
          <w:lang w:eastAsia="zh-CN"/>
        </w:rPr>
        <w:t>45].</w:t>
      </w:r>
    </w:p>
    <w:p w14:paraId="5B097E47" w14:textId="5310CDE1" w:rsidR="00D40151" w:rsidRPr="00873B6C" w:rsidRDefault="00D40151" w:rsidP="00D40151">
      <w:pPr>
        <w:rPr>
          <w:iCs/>
        </w:rPr>
      </w:pPr>
      <w:bookmarkStart w:id="5289" w:name="_Toc20150185"/>
      <w:bookmarkStart w:id="5290" w:name="_Toc27846993"/>
      <w:r w:rsidRPr="00873B6C">
        <w:rPr>
          <w:iCs/>
        </w:rPr>
        <w:t>The AMF uses the N14 interface for AMF re-allocation and AMF to AMF information transfer. This interface may be either intra-PLMN or inter-PLMN (e.g. in the case of inter-PLMN mobility).</w:t>
      </w:r>
    </w:p>
    <w:p w14:paraId="163E4D73" w14:textId="77777777" w:rsidR="00D40151" w:rsidRPr="00873B6C" w:rsidRDefault="00D40151" w:rsidP="00D40151">
      <w:pPr>
        <w:rPr>
          <w:iCs/>
        </w:rPr>
      </w:pPr>
      <w:bookmarkStart w:id="5291" w:name="_Toc36188124"/>
      <w:r w:rsidRPr="00873B6C">
        <w:rPr>
          <w:iCs/>
        </w:rPr>
        <w:t>In addition to the functionality of the AMF described above, the AMF may include the following functionality to support monitoring in roaming scenarios:</w:t>
      </w:r>
    </w:p>
    <w:p w14:paraId="6F2DFE94" w14:textId="77777777" w:rsidR="00D40151" w:rsidRPr="00873B6C" w:rsidRDefault="00D40151" w:rsidP="00D40151">
      <w:pPr>
        <w:pStyle w:val="B1"/>
      </w:pPr>
      <w:r w:rsidRPr="00873B6C">
        <w:t>-</w:t>
      </w:r>
      <w:r w:rsidRPr="00873B6C">
        <w:tab/>
        <w:t>Normalization of reports according to roaming agreements between VPLMN and HPLMN (e.g. change the location granularity in a report from cell level to a level that is appropriate for the HPLMN); and</w:t>
      </w:r>
    </w:p>
    <w:p w14:paraId="528C70BF" w14:textId="77777777" w:rsidR="00D40151" w:rsidRPr="00873B6C" w:rsidRDefault="00D40151" w:rsidP="00D40151">
      <w:pPr>
        <w:pStyle w:val="B1"/>
      </w:pPr>
      <w:r w:rsidRPr="00873B6C">
        <w:t>-</w:t>
      </w:r>
      <w:r w:rsidRPr="00873B6C">
        <w:tab/>
        <w:t>Generation of charging/accounting information for Monitoring Event Reports that are sent to the HPLMN.</w:t>
      </w:r>
    </w:p>
    <w:p w14:paraId="21954EB7" w14:textId="01AB0E49" w:rsidR="00967FB9" w:rsidRPr="00873B6C" w:rsidRDefault="00967FB9" w:rsidP="00323277">
      <w:bookmarkStart w:id="5292" w:name="_Toc45184031"/>
      <w:bookmarkStart w:id="5293" w:name="_Toc47342873"/>
      <w:bookmarkStart w:id="5294" w:name="_Toc51769575"/>
      <w:r w:rsidRPr="00873B6C">
        <w:t>In addition to the functionality of the AMF described above, the AMF may provide support for Network Slice restriction and Network Slice instance restriction based on NWDAF analytics.</w:t>
      </w:r>
    </w:p>
    <w:p w14:paraId="509425A2" w14:textId="2114E84A" w:rsidR="00F8101C" w:rsidRPr="00873B6C" w:rsidRDefault="00F8101C" w:rsidP="00F8101C">
      <w:r w:rsidRPr="00873B6C">
        <w:t>In addition to the functionalities of the AMF described above, the AMF may provide support for the Disaster Roaming as described in clause 5.40.</w:t>
      </w:r>
    </w:p>
    <w:p w14:paraId="395AC976" w14:textId="77777777" w:rsidR="00A1192D" w:rsidRPr="00873B6C" w:rsidRDefault="00A1192D" w:rsidP="00A1192D">
      <w:r w:rsidRPr="00873B6C">
        <w:t>In addition to the functionalities of the AMF described above, the AMF may also include following functionalities to support Network Slice Admission Control:</w:t>
      </w:r>
    </w:p>
    <w:p w14:paraId="00282C71" w14:textId="38913E40" w:rsidR="00A1192D" w:rsidRPr="00873B6C" w:rsidRDefault="00A1192D" w:rsidP="00C74FFE">
      <w:pPr>
        <w:pStyle w:val="B1"/>
      </w:pPr>
      <w:r w:rsidRPr="00873B6C">
        <w:t>-</w:t>
      </w:r>
      <w:r w:rsidRPr="00873B6C">
        <w:tab/>
        <w:t>Support of</w:t>
      </w:r>
      <w:r w:rsidR="00B37A78" w:rsidRPr="00873B6C">
        <w:t xml:space="preserve"> NSAC for maximum</w:t>
      </w:r>
      <w:r w:rsidRPr="00873B6C">
        <w:t xml:space="preserve"> number of UEs as defined in clause</w:t>
      </w:r>
      <w:r w:rsidR="00DA3BBC" w:rsidRPr="00873B6C">
        <w:t xml:space="preserve">s </w:t>
      </w:r>
      <w:r w:rsidRPr="00873B6C">
        <w:t>5.15.11.1</w:t>
      </w:r>
      <w:r w:rsidR="00DA3BBC" w:rsidRPr="00873B6C">
        <w:t xml:space="preserve"> and 5.15.11.3</w:t>
      </w:r>
      <w:r w:rsidRPr="00873B6C">
        <w:t>.</w:t>
      </w:r>
    </w:p>
    <w:p w14:paraId="26AE8500" w14:textId="77777777" w:rsidR="00616F73" w:rsidRPr="00873B6C" w:rsidRDefault="00616F73" w:rsidP="00616F73">
      <w:r w:rsidRPr="00873B6C">
        <w:t>In addition to the functionality of the AMF described above, the AMF may include the following functionality to support SNPNs:</w:t>
      </w:r>
    </w:p>
    <w:p w14:paraId="4545F9D1" w14:textId="300E51DB" w:rsidR="00616F73" w:rsidRPr="00873B6C" w:rsidRDefault="00616F73" w:rsidP="00C74FFE">
      <w:pPr>
        <w:pStyle w:val="B1"/>
      </w:pPr>
      <w:r w:rsidRPr="00873B6C">
        <w:t>-</w:t>
      </w:r>
      <w:r w:rsidRPr="00873B6C">
        <w:tab/>
        <w:t>Support for Onboarding of UEs for SNPNs.</w:t>
      </w:r>
    </w:p>
    <w:p w14:paraId="1337327F" w14:textId="77777777" w:rsidR="00E06501" w:rsidRPr="00873B6C" w:rsidRDefault="00E06501" w:rsidP="0073598F">
      <w:r w:rsidRPr="00873B6C">
        <w:lastRenderedPageBreak/>
        <w:t>In addition to the functionalities of the AMF described above, the AMF may also include following functionalities to support satellite backhaul:</w:t>
      </w:r>
    </w:p>
    <w:p w14:paraId="4798E59D" w14:textId="5D85798C" w:rsidR="00E06501" w:rsidRPr="00873B6C" w:rsidRDefault="00E06501" w:rsidP="00E06501">
      <w:pPr>
        <w:pStyle w:val="B1"/>
      </w:pPr>
      <w:r w:rsidRPr="00873B6C">
        <w:t>-</w:t>
      </w:r>
      <w:r w:rsidRPr="00873B6C">
        <w:tab/>
        <w:t>Support for reporting satellite backhaul category and its modification based on AMF local configuration to SMF as defined in clause </w:t>
      </w:r>
      <w:r w:rsidR="0001193E" w:rsidRPr="00873B6C">
        <w:t>5.43.4</w:t>
      </w:r>
      <w:r w:rsidRPr="00873B6C">
        <w:t>.</w:t>
      </w:r>
    </w:p>
    <w:p w14:paraId="578A232A" w14:textId="32472ACE" w:rsidR="00D409DD" w:rsidRPr="00873B6C" w:rsidRDefault="00D409DD" w:rsidP="00D409DD">
      <w:r w:rsidRPr="00873B6C">
        <w:t>In addition to the functionalities of the AMF described above, the AMF may provide support for Network Slice instance change for PDU sessions as defined in clause 5.15.5.3.</w:t>
      </w:r>
    </w:p>
    <w:p w14:paraId="40D4CB82" w14:textId="5E390A06" w:rsidR="00D01473" w:rsidRPr="00873B6C" w:rsidRDefault="00D01473" w:rsidP="00D01473">
      <w:r w:rsidRPr="00873B6C">
        <w:t>In addition to the functionalities of the AMF described above, the AMF may also support functionalities for Partial Network Slice support in a Registration Area as described in clause 5.15.17.</w:t>
      </w:r>
    </w:p>
    <w:p w14:paraId="4F55B1B9" w14:textId="49CBD8CE" w:rsidR="00335A94" w:rsidRPr="00873B6C" w:rsidRDefault="00335A94" w:rsidP="00335A94">
      <w:r w:rsidRPr="00873B6C">
        <w:t>In addition to the functionalities of the AMF described above, the AMF may also include functionalities to support NS-AoS not matching deployed Tracking Areas as described in clause 5.15.18.</w:t>
      </w:r>
    </w:p>
    <w:p w14:paraId="624E17A6" w14:textId="78FCBF39" w:rsidR="003E03C2" w:rsidRPr="00873B6C" w:rsidRDefault="003E03C2" w:rsidP="003E03C2">
      <w:r w:rsidRPr="00873B6C">
        <w:t>In addition to the functionalities of the AMF described above, the AMF may also include functionalities to support Network Slice Replacement as described in clause 5.15.19.</w:t>
      </w:r>
    </w:p>
    <w:p w14:paraId="53AE9D36" w14:textId="56FD5C03" w:rsidR="000C6BFB" w:rsidRPr="00873B6C" w:rsidRDefault="000C6BFB" w:rsidP="000C6BFB">
      <w:r w:rsidRPr="00873B6C">
        <w:t>In addition to the functionalities of the AMF described above, the AMF may also include functionalities to enforce the LADN Service Area per LADN DNN and S-NSSAI for a UE as described in clause 5.6.5a, as well as to enforce the LADN Service Area per LADN DNN for a UE in clause 5.6.5.</w:t>
      </w:r>
    </w:p>
    <w:p w14:paraId="70CE2853" w14:textId="22EE0DD4" w:rsidR="00D40151" w:rsidRPr="00873B6C" w:rsidRDefault="00D40151" w:rsidP="00D40151">
      <w:pPr>
        <w:pStyle w:val="Heading3"/>
      </w:pPr>
      <w:bookmarkStart w:id="5295" w:name="_CR6_2_2"/>
      <w:bookmarkStart w:id="5296" w:name="_Toc201157724"/>
      <w:bookmarkEnd w:id="5295"/>
      <w:r w:rsidRPr="00873B6C">
        <w:t>6.2.2</w:t>
      </w:r>
      <w:r w:rsidRPr="00873B6C">
        <w:tab/>
        <w:t>SMF</w:t>
      </w:r>
      <w:bookmarkEnd w:id="5289"/>
      <w:bookmarkEnd w:id="5290"/>
      <w:bookmarkEnd w:id="5291"/>
      <w:bookmarkEnd w:id="5292"/>
      <w:bookmarkEnd w:id="5293"/>
      <w:bookmarkEnd w:id="5294"/>
      <w:bookmarkEnd w:id="5296"/>
    </w:p>
    <w:p w14:paraId="2FEDE94C" w14:textId="77777777" w:rsidR="00D40151" w:rsidRPr="00873B6C" w:rsidRDefault="00D40151" w:rsidP="00D40151">
      <w:r w:rsidRPr="00873B6C">
        <w:t>The Session Management function (SMF) includes the following functionality. Some or all of the SMF functionalities may be supported in a single instance of a SMF:</w:t>
      </w:r>
    </w:p>
    <w:p w14:paraId="551BC6E0" w14:textId="77777777" w:rsidR="00D40151" w:rsidRPr="00873B6C" w:rsidRDefault="00D40151" w:rsidP="00D40151">
      <w:pPr>
        <w:pStyle w:val="B1"/>
        <w:rPr>
          <w:rFonts w:eastAsia="SimSun"/>
        </w:rPr>
      </w:pPr>
      <w:r w:rsidRPr="00873B6C">
        <w:rPr>
          <w:rFonts w:eastAsia="SimSun"/>
        </w:rPr>
        <w:t>-</w:t>
      </w:r>
      <w:r w:rsidRPr="00873B6C">
        <w:rPr>
          <w:rFonts w:eastAsia="SimSun"/>
        </w:rPr>
        <w:tab/>
        <w:t xml:space="preserve">Session Management </w:t>
      </w:r>
      <w:r w:rsidRPr="00873B6C">
        <w:rPr>
          <w:lang w:eastAsia="zh-CN"/>
        </w:rPr>
        <w:t>e.g. Session Establishment, modify and release, including tunnel maintain between UPF and AN node</w:t>
      </w:r>
      <w:r w:rsidRPr="00873B6C">
        <w:rPr>
          <w:rFonts w:eastAsia="SimSun"/>
        </w:rPr>
        <w:t>.</w:t>
      </w:r>
    </w:p>
    <w:p w14:paraId="25A9570B" w14:textId="77777777" w:rsidR="00D40151" w:rsidRPr="00873B6C" w:rsidRDefault="00D40151" w:rsidP="00D40151">
      <w:pPr>
        <w:pStyle w:val="B1"/>
        <w:rPr>
          <w:rFonts w:eastAsia="SimSun"/>
        </w:rPr>
      </w:pPr>
      <w:r w:rsidRPr="00873B6C">
        <w:rPr>
          <w:rFonts w:eastAsia="SimSun"/>
        </w:rPr>
        <w:t>-</w:t>
      </w:r>
      <w:r w:rsidRPr="00873B6C">
        <w:rPr>
          <w:rFonts w:eastAsia="SimSun"/>
        </w:rPr>
        <w:tab/>
        <w:t>UE IP address allocation &amp; management (including optional Authorization). The UE IP address may be received from a UPF or from an external data network.</w:t>
      </w:r>
    </w:p>
    <w:p w14:paraId="6C7D0866" w14:textId="77777777" w:rsidR="00D40151" w:rsidRPr="00873B6C" w:rsidRDefault="00D40151" w:rsidP="00D40151">
      <w:pPr>
        <w:pStyle w:val="B1"/>
        <w:rPr>
          <w:rFonts w:eastAsia="SimSun"/>
        </w:rPr>
      </w:pPr>
      <w:r w:rsidRPr="00873B6C">
        <w:rPr>
          <w:rFonts w:eastAsia="SimSun"/>
        </w:rPr>
        <w:t>-</w:t>
      </w:r>
      <w:r w:rsidRPr="00873B6C">
        <w:rPr>
          <w:rFonts w:eastAsia="SimSun"/>
        </w:rPr>
        <w:tab/>
        <w:t>DHCPv4 (server and client) and DHCPv6 (server and client) functions.</w:t>
      </w:r>
    </w:p>
    <w:p w14:paraId="13B8353B" w14:textId="77777777" w:rsidR="00D40151" w:rsidRPr="00873B6C" w:rsidRDefault="00D40151" w:rsidP="00D40151">
      <w:pPr>
        <w:pStyle w:val="B1"/>
        <w:rPr>
          <w:rFonts w:eastAsia="SimSun"/>
        </w:rPr>
      </w:pPr>
      <w:r w:rsidRPr="00873B6C">
        <w:t>-</w:t>
      </w:r>
      <w:r w:rsidRPr="00873B6C">
        <w:tab/>
        <w:t>Functionality to respond to Address Resolution Protocol (</w:t>
      </w:r>
      <w:r w:rsidRPr="00873B6C">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873B6C" w:rsidRDefault="00D40151" w:rsidP="00D40151">
      <w:pPr>
        <w:pStyle w:val="B1"/>
        <w:rPr>
          <w:rFonts w:eastAsia="SimSun"/>
        </w:rPr>
      </w:pPr>
      <w:r w:rsidRPr="00873B6C">
        <w:rPr>
          <w:rFonts w:eastAsia="SimSun"/>
        </w:rPr>
        <w:t>-</w:t>
      </w:r>
      <w:r w:rsidRPr="00873B6C">
        <w:rPr>
          <w:rFonts w:eastAsia="SimSun"/>
        </w:rPr>
        <w:tab/>
        <w:t>Selection and control of UP function</w:t>
      </w:r>
      <w:r w:rsidRPr="00873B6C">
        <w:t>, including controlling the UPF to proxy ARP or IPv6 Neighbour Discovery, or to forward all ARP/IPv6 Neighbour Solicitation traffic to the SMF, for Ethernet PDU Sessions</w:t>
      </w:r>
      <w:r w:rsidRPr="00873B6C">
        <w:rPr>
          <w:rFonts w:eastAsia="SimSun"/>
        </w:rPr>
        <w:t>.</w:t>
      </w:r>
    </w:p>
    <w:p w14:paraId="2CA2DFE7" w14:textId="77777777" w:rsidR="00D40151" w:rsidRPr="00873B6C" w:rsidRDefault="00D40151" w:rsidP="00D40151">
      <w:pPr>
        <w:pStyle w:val="B1"/>
        <w:rPr>
          <w:rFonts w:eastAsia="SimSun"/>
        </w:rPr>
      </w:pPr>
      <w:r w:rsidRPr="00873B6C">
        <w:t>-</w:t>
      </w:r>
      <w:r w:rsidRPr="00873B6C">
        <w:tab/>
        <w:t>Configures traffic steering at UPF to route traffic to proper destination.</w:t>
      </w:r>
    </w:p>
    <w:p w14:paraId="7F745CA2" w14:textId="484FE216" w:rsidR="00D40151" w:rsidRPr="00873B6C" w:rsidRDefault="00D40151" w:rsidP="00D40151">
      <w:pPr>
        <w:pStyle w:val="B1"/>
        <w:rPr>
          <w:rFonts w:eastAsia="SimSun"/>
        </w:rPr>
      </w:pPr>
      <w:r w:rsidRPr="00873B6C">
        <w:rPr>
          <w:rFonts w:eastAsia="SimSun"/>
        </w:rPr>
        <w:t>-</w:t>
      </w:r>
      <w:r w:rsidRPr="00873B6C">
        <w:rPr>
          <w:rFonts w:eastAsia="SimSun"/>
        </w:rPr>
        <w:tab/>
        <w:t>5G VN group management, e.g. maintain the topology of the involved PSA UPFs, establish and release the N19 tunnels between PSA UPFs, configure traffic forwarding at UPF to apply local switching, N6-based forwarding or N19-based forwarding</w:t>
      </w:r>
      <w:r w:rsidR="00FB1520" w:rsidRPr="00873B6C">
        <w:rPr>
          <w:rFonts w:eastAsia="SimSun"/>
        </w:rPr>
        <w:t>, manage traffic forwarding in the case that a SMF Set or multiple SMF Sets are serving a 5G VN</w:t>
      </w:r>
      <w:r w:rsidRPr="00873B6C">
        <w:rPr>
          <w:rFonts w:eastAsia="SimSun"/>
        </w:rPr>
        <w:t>.</w:t>
      </w:r>
    </w:p>
    <w:p w14:paraId="2E12AA24" w14:textId="77777777" w:rsidR="00D40151" w:rsidRPr="00873B6C" w:rsidRDefault="00D40151" w:rsidP="00D40151">
      <w:pPr>
        <w:pStyle w:val="B1"/>
        <w:rPr>
          <w:rFonts w:eastAsia="SimSun"/>
        </w:rPr>
      </w:pPr>
      <w:r w:rsidRPr="00873B6C">
        <w:rPr>
          <w:rFonts w:eastAsia="SimSun"/>
        </w:rPr>
        <w:t>-</w:t>
      </w:r>
      <w:r w:rsidRPr="00873B6C">
        <w:rPr>
          <w:rFonts w:eastAsia="SimSun"/>
        </w:rPr>
        <w:tab/>
        <w:t>Termination of interfaces towards Policy control functions.</w:t>
      </w:r>
    </w:p>
    <w:p w14:paraId="1D15E126" w14:textId="77777777" w:rsidR="00D40151" w:rsidRPr="00873B6C" w:rsidRDefault="00D40151" w:rsidP="00D40151">
      <w:pPr>
        <w:pStyle w:val="B1"/>
        <w:rPr>
          <w:rFonts w:eastAsia="SimSun"/>
        </w:rPr>
      </w:pPr>
      <w:r w:rsidRPr="00873B6C">
        <w:rPr>
          <w:rFonts w:eastAsia="SimSun"/>
        </w:rPr>
        <w:t>-</w:t>
      </w:r>
      <w:r w:rsidRPr="00873B6C">
        <w:rPr>
          <w:rFonts w:eastAsia="SimSun"/>
        </w:rPr>
        <w:tab/>
        <w:t>Lawful intercept (for SM events and interface to LI System).</w:t>
      </w:r>
    </w:p>
    <w:p w14:paraId="6B6B3FE0" w14:textId="3DE2FBE8" w:rsidR="00D40151" w:rsidRPr="00873B6C" w:rsidRDefault="00D40151" w:rsidP="00D40151">
      <w:pPr>
        <w:pStyle w:val="B1"/>
      </w:pPr>
      <w:r w:rsidRPr="00873B6C">
        <w:t>-</w:t>
      </w:r>
      <w:r w:rsidRPr="00873B6C">
        <w:tab/>
      </w:r>
      <w:r w:rsidR="00A346EF" w:rsidRPr="00873B6C">
        <w:t>Support for charging</w:t>
      </w:r>
      <w:r w:rsidRPr="00873B6C">
        <w:t>.</w:t>
      </w:r>
    </w:p>
    <w:p w14:paraId="0C7E62BF" w14:textId="77777777" w:rsidR="00D40151" w:rsidRPr="00873B6C" w:rsidRDefault="00D40151" w:rsidP="00D40151">
      <w:pPr>
        <w:pStyle w:val="B1"/>
        <w:rPr>
          <w:rFonts w:eastAsia="SimSun"/>
        </w:rPr>
      </w:pPr>
      <w:r w:rsidRPr="00873B6C">
        <w:rPr>
          <w:rFonts w:eastAsia="SimSun"/>
        </w:rPr>
        <w:t>-</w:t>
      </w:r>
      <w:r w:rsidRPr="00873B6C">
        <w:rPr>
          <w:rFonts w:eastAsia="SimSun"/>
        </w:rPr>
        <w:tab/>
        <w:t>Control and coordination of charging data collection at UPF.</w:t>
      </w:r>
    </w:p>
    <w:p w14:paraId="679F024A" w14:textId="77777777" w:rsidR="00D40151" w:rsidRPr="00873B6C" w:rsidRDefault="00D40151" w:rsidP="00D40151">
      <w:pPr>
        <w:pStyle w:val="B1"/>
        <w:rPr>
          <w:rFonts w:eastAsia="SimSun"/>
        </w:rPr>
      </w:pPr>
      <w:r w:rsidRPr="00873B6C">
        <w:rPr>
          <w:rFonts w:eastAsia="SimSun"/>
        </w:rPr>
        <w:t>-</w:t>
      </w:r>
      <w:r w:rsidRPr="00873B6C">
        <w:rPr>
          <w:rFonts w:eastAsia="SimSun"/>
        </w:rPr>
        <w:tab/>
        <w:t>Termination of SM parts of NAS messages.</w:t>
      </w:r>
    </w:p>
    <w:p w14:paraId="5A27C6F8" w14:textId="77777777" w:rsidR="00D40151" w:rsidRPr="00873B6C" w:rsidRDefault="00D40151" w:rsidP="00D40151">
      <w:pPr>
        <w:pStyle w:val="B1"/>
        <w:rPr>
          <w:rFonts w:eastAsia="SimSun"/>
        </w:rPr>
      </w:pPr>
      <w:r w:rsidRPr="00873B6C">
        <w:rPr>
          <w:rFonts w:eastAsia="SimSun"/>
        </w:rPr>
        <w:t>-</w:t>
      </w:r>
      <w:r w:rsidRPr="00873B6C">
        <w:rPr>
          <w:rFonts w:eastAsia="SimSun"/>
        </w:rPr>
        <w:tab/>
        <w:t>Downlink Data Notification.</w:t>
      </w:r>
    </w:p>
    <w:p w14:paraId="4308FC20" w14:textId="77777777" w:rsidR="00D40151" w:rsidRPr="00873B6C" w:rsidRDefault="00D40151" w:rsidP="00D40151">
      <w:pPr>
        <w:pStyle w:val="B1"/>
        <w:rPr>
          <w:rFonts w:eastAsia="SimSun"/>
        </w:rPr>
      </w:pPr>
      <w:r w:rsidRPr="00873B6C">
        <w:rPr>
          <w:rFonts w:eastAsia="SimSun"/>
        </w:rPr>
        <w:t>-</w:t>
      </w:r>
      <w:r w:rsidRPr="00873B6C">
        <w:rPr>
          <w:rFonts w:eastAsia="SimSun"/>
        </w:rPr>
        <w:tab/>
        <w:t>Initiator of AN specific SM information, sent via AMF over N2 to AN.</w:t>
      </w:r>
    </w:p>
    <w:p w14:paraId="4ABD1DE8" w14:textId="77777777" w:rsidR="00D40151" w:rsidRPr="00873B6C" w:rsidRDefault="00D40151" w:rsidP="00D40151">
      <w:pPr>
        <w:pStyle w:val="B1"/>
        <w:rPr>
          <w:rFonts w:eastAsia="SimSun"/>
        </w:rPr>
      </w:pPr>
      <w:r w:rsidRPr="00873B6C">
        <w:rPr>
          <w:lang w:eastAsia="zh-CN"/>
        </w:rPr>
        <w:t>-</w:t>
      </w:r>
      <w:r w:rsidRPr="00873B6C">
        <w:rPr>
          <w:lang w:eastAsia="zh-CN"/>
        </w:rPr>
        <w:tab/>
        <w:t xml:space="preserve">Determine </w:t>
      </w:r>
      <w:r w:rsidRPr="00873B6C">
        <w:t>SSC</w:t>
      </w:r>
      <w:r w:rsidRPr="00873B6C">
        <w:rPr>
          <w:rFonts w:eastAsia="MS Mincho"/>
        </w:rPr>
        <w:t xml:space="preserve"> mode of a session.</w:t>
      </w:r>
    </w:p>
    <w:p w14:paraId="543135A8" w14:textId="77777777" w:rsidR="00D40151" w:rsidRPr="00873B6C" w:rsidRDefault="00D40151" w:rsidP="00D40151">
      <w:pPr>
        <w:pStyle w:val="B1"/>
        <w:rPr>
          <w:rFonts w:eastAsia="SimSun"/>
        </w:rPr>
      </w:pPr>
      <w:r w:rsidRPr="00873B6C">
        <w:rPr>
          <w:rFonts w:eastAsia="SimSun"/>
        </w:rPr>
        <w:lastRenderedPageBreak/>
        <w:t>-</w:t>
      </w:r>
      <w:r w:rsidRPr="00873B6C">
        <w:rPr>
          <w:rFonts w:eastAsia="SimSun"/>
        </w:rPr>
        <w:tab/>
        <w:t>Support for Control Plane CIoT 5GS Optimisation.</w:t>
      </w:r>
    </w:p>
    <w:p w14:paraId="7EE448D7" w14:textId="77777777" w:rsidR="00D40151" w:rsidRPr="00873B6C" w:rsidRDefault="00D40151" w:rsidP="00D40151">
      <w:pPr>
        <w:pStyle w:val="B1"/>
        <w:rPr>
          <w:rFonts w:eastAsia="SimSun"/>
        </w:rPr>
      </w:pPr>
      <w:r w:rsidRPr="00873B6C">
        <w:rPr>
          <w:rFonts w:eastAsia="SimSun"/>
        </w:rPr>
        <w:t>-</w:t>
      </w:r>
      <w:r w:rsidRPr="00873B6C">
        <w:rPr>
          <w:rFonts w:eastAsia="SimSun"/>
        </w:rPr>
        <w:tab/>
        <w:t>Support of header compression.</w:t>
      </w:r>
    </w:p>
    <w:p w14:paraId="16CB6601" w14:textId="77777777" w:rsidR="00D40151" w:rsidRPr="00873B6C" w:rsidRDefault="00D40151" w:rsidP="00D40151">
      <w:pPr>
        <w:pStyle w:val="B1"/>
        <w:rPr>
          <w:rFonts w:eastAsia="SimSun"/>
        </w:rPr>
      </w:pPr>
      <w:r w:rsidRPr="00873B6C">
        <w:rPr>
          <w:rFonts w:eastAsia="SimSun"/>
        </w:rPr>
        <w:t>-</w:t>
      </w:r>
      <w:r w:rsidRPr="00873B6C">
        <w:rPr>
          <w:rFonts w:eastAsia="SimSun"/>
        </w:rPr>
        <w:tab/>
        <w:t>Act as I-SMF in deployments where I-SMF can be inserted, removed and relocated.</w:t>
      </w:r>
    </w:p>
    <w:p w14:paraId="1414FE9F" w14:textId="77777777" w:rsidR="00D40151" w:rsidRPr="00873B6C" w:rsidRDefault="00D40151" w:rsidP="00D40151">
      <w:pPr>
        <w:pStyle w:val="B1"/>
        <w:rPr>
          <w:rFonts w:eastAsia="SimSun"/>
        </w:rPr>
      </w:pPr>
      <w:r w:rsidRPr="00873B6C">
        <w:rPr>
          <w:rFonts w:eastAsia="SimSun"/>
        </w:rPr>
        <w:t>-</w:t>
      </w:r>
      <w:r w:rsidRPr="00873B6C">
        <w:rPr>
          <w:rFonts w:eastAsia="SimSun"/>
        </w:rPr>
        <w:tab/>
        <w:t>Provisioning of external parameters (Expected UE Behaviour parameters or Network Configuration parameters).</w:t>
      </w:r>
    </w:p>
    <w:p w14:paraId="0478CD77" w14:textId="77777777" w:rsidR="00D40151" w:rsidRPr="00873B6C" w:rsidRDefault="00D40151" w:rsidP="00D40151">
      <w:pPr>
        <w:pStyle w:val="B1"/>
        <w:rPr>
          <w:rFonts w:eastAsia="SimSun"/>
        </w:rPr>
      </w:pPr>
      <w:r w:rsidRPr="00873B6C">
        <w:rPr>
          <w:rFonts w:eastAsia="SimSun"/>
        </w:rPr>
        <w:t>-</w:t>
      </w:r>
      <w:r w:rsidRPr="00873B6C">
        <w:rPr>
          <w:rFonts w:eastAsia="SimSun"/>
        </w:rPr>
        <w:tab/>
        <w:t>Support P-CSCF discovery for IMS services.</w:t>
      </w:r>
    </w:p>
    <w:p w14:paraId="296F0E72" w14:textId="1F261DA3" w:rsidR="00D40151" w:rsidRPr="00873B6C" w:rsidRDefault="00D40151" w:rsidP="00D40151">
      <w:pPr>
        <w:pStyle w:val="B1"/>
        <w:rPr>
          <w:rFonts w:eastAsia="SimSun"/>
        </w:rPr>
      </w:pPr>
      <w:r w:rsidRPr="00873B6C">
        <w:rPr>
          <w:rFonts w:eastAsia="SimSun"/>
        </w:rPr>
        <w:t>-</w:t>
      </w:r>
      <w:r w:rsidRPr="00873B6C">
        <w:rPr>
          <w:rFonts w:eastAsia="SimSun"/>
        </w:rPr>
        <w:tab/>
      </w:r>
      <w:r w:rsidR="00CD64F1" w:rsidRPr="00873B6C">
        <w:rPr>
          <w:rFonts w:eastAsia="SimSun"/>
        </w:rPr>
        <w:t>Act as V-SMF with following r</w:t>
      </w:r>
      <w:r w:rsidRPr="00873B6C">
        <w:rPr>
          <w:rFonts w:eastAsia="SimSun"/>
        </w:rPr>
        <w:t>oaming functionalit</w:t>
      </w:r>
      <w:r w:rsidR="00CD64F1" w:rsidRPr="00873B6C">
        <w:rPr>
          <w:rFonts w:eastAsia="SimSun"/>
        </w:rPr>
        <w:t>ies</w:t>
      </w:r>
      <w:r w:rsidRPr="00873B6C">
        <w:rPr>
          <w:rFonts w:eastAsia="SimSun"/>
        </w:rPr>
        <w:t>:</w:t>
      </w:r>
    </w:p>
    <w:p w14:paraId="2489F871" w14:textId="77777777" w:rsidR="00D40151" w:rsidRPr="00873B6C" w:rsidRDefault="00D40151" w:rsidP="00D40151">
      <w:pPr>
        <w:pStyle w:val="B2"/>
      </w:pPr>
      <w:r w:rsidRPr="00873B6C">
        <w:rPr>
          <w:rFonts w:eastAsia="SimSun"/>
          <w:lang w:eastAsia="zh-CN"/>
        </w:rPr>
        <w:t>-</w:t>
      </w:r>
      <w:r w:rsidRPr="00873B6C">
        <w:rPr>
          <w:rFonts w:eastAsia="SimSun"/>
          <w:lang w:eastAsia="zh-CN"/>
        </w:rPr>
        <w:tab/>
      </w:r>
      <w:r w:rsidRPr="00873B6C">
        <w:t>Handle local enforcement to apply QoS SLAs (VPLMN).</w:t>
      </w:r>
    </w:p>
    <w:p w14:paraId="5C0CD666" w14:textId="47E6CC5F" w:rsidR="00D40151" w:rsidRPr="00873B6C" w:rsidRDefault="00D40151" w:rsidP="00D40151">
      <w:pPr>
        <w:pStyle w:val="B2"/>
      </w:pPr>
      <w:r w:rsidRPr="00873B6C">
        <w:rPr>
          <w:rFonts w:eastAsia="SimSun"/>
          <w:lang w:eastAsia="zh-CN"/>
        </w:rPr>
        <w:t>-</w:t>
      </w:r>
      <w:r w:rsidRPr="00873B6C">
        <w:rPr>
          <w:rFonts w:eastAsia="SimSun"/>
          <w:lang w:eastAsia="zh-CN"/>
        </w:rPr>
        <w:tab/>
      </w:r>
      <w:r w:rsidRPr="00873B6C">
        <w:t>Charging (VPLMN).</w:t>
      </w:r>
    </w:p>
    <w:p w14:paraId="7389EE9A" w14:textId="77777777" w:rsidR="00D40151" w:rsidRPr="00873B6C" w:rsidRDefault="00D40151" w:rsidP="00D40151">
      <w:pPr>
        <w:pStyle w:val="B2"/>
      </w:pPr>
      <w:r w:rsidRPr="00873B6C">
        <w:rPr>
          <w:rFonts w:eastAsia="SimSun"/>
          <w:lang w:eastAsia="zh-CN"/>
        </w:rPr>
        <w:t>-</w:t>
      </w:r>
      <w:r w:rsidRPr="00873B6C">
        <w:rPr>
          <w:rFonts w:eastAsia="SimSun"/>
          <w:lang w:eastAsia="zh-CN"/>
        </w:rPr>
        <w:tab/>
      </w:r>
      <w:r w:rsidRPr="00873B6C">
        <w:t>Lawful intercept (in VPLMN for SM events and interface to LI System).</w:t>
      </w:r>
    </w:p>
    <w:p w14:paraId="0D938B33" w14:textId="77777777" w:rsidR="00D40151" w:rsidRPr="00873B6C" w:rsidRDefault="00D40151" w:rsidP="00733F50">
      <w:pPr>
        <w:pStyle w:val="B1"/>
      </w:pPr>
      <w:r w:rsidRPr="00873B6C">
        <w:t>-</w:t>
      </w:r>
      <w:r w:rsidRPr="00873B6C">
        <w:tab/>
        <w:t>Support for interaction with external DN for transport of signalling for PDU Session authentication/authorization by external DN.</w:t>
      </w:r>
    </w:p>
    <w:p w14:paraId="704FE3BD" w14:textId="2C353CC8" w:rsidR="00D40151" w:rsidRPr="00873B6C" w:rsidRDefault="00D40151" w:rsidP="00733F50">
      <w:pPr>
        <w:pStyle w:val="B1"/>
      </w:pPr>
      <w:r w:rsidRPr="00873B6C">
        <w:t>-</w:t>
      </w:r>
      <w:r w:rsidRPr="00873B6C">
        <w:tab/>
        <w:t>Instructs UPF and NG-RAN to perform redundant transmission on N3/N9 interfaces.</w:t>
      </w:r>
    </w:p>
    <w:p w14:paraId="224DB0E7" w14:textId="77777777" w:rsidR="002062D8" w:rsidRPr="00873B6C" w:rsidRDefault="002062D8" w:rsidP="002062D8">
      <w:pPr>
        <w:pStyle w:val="B1"/>
      </w:pPr>
      <w:r w:rsidRPr="00873B6C">
        <w:t>-</w:t>
      </w:r>
      <w:r w:rsidRPr="00873B6C">
        <w:tab/>
        <w:t>Generation of the TSC Assistance Information based on the TSC Assistance Container received from the PCF.</w:t>
      </w:r>
    </w:p>
    <w:p w14:paraId="19884824" w14:textId="77777777" w:rsidR="002062D8" w:rsidRPr="00873B6C" w:rsidRDefault="002062D8" w:rsidP="002062D8">
      <w:pPr>
        <w:pStyle w:val="B1"/>
      </w:pPr>
      <w:r w:rsidRPr="00873B6C">
        <w:t>-</w:t>
      </w:r>
      <w:r w:rsidRPr="00873B6C">
        <w:tab/>
        <w:t>Support for RAN feedback for BAT offset and adjusted periodicity as defined in clause 5.27.2.5.</w:t>
      </w:r>
    </w:p>
    <w:p w14:paraId="43E0BD0D" w14:textId="77777777" w:rsidR="00D40151" w:rsidRPr="00873B6C" w:rsidRDefault="00D40151" w:rsidP="00D40151">
      <w:pPr>
        <w:pStyle w:val="NO"/>
        <w:rPr>
          <w:iCs/>
        </w:rPr>
      </w:pPr>
      <w:r w:rsidRPr="00873B6C">
        <w:rPr>
          <w:iCs/>
        </w:rPr>
        <w:t>NOTE:</w:t>
      </w:r>
      <w:r w:rsidRPr="00873B6C">
        <w:rPr>
          <w:iCs/>
        </w:rPr>
        <w:tab/>
        <w:t>Not all of the functionalities are required to be supported in an instance of a Network Slice.</w:t>
      </w:r>
    </w:p>
    <w:p w14:paraId="1FC16B13" w14:textId="4AA25689" w:rsidR="00D40151" w:rsidRPr="00873B6C" w:rsidRDefault="00D40151" w:rsidP="00D40151">
      <w:pPr>
        <w:rPr>
          <w:iCs/>
        </w:rPr>
      </w:pPr>
      <w:r w:rsidRPr="00873B6C">
        <w:t>In addition to the functionalities of the SMF described above, the SMF may include</w:t>
      </w:r>
      <w:r w:rsidRPr="00873B6C">
        <w:rPr>
          <w:rFonts w:eastAsia="SimSun"/>
          <w:lang w:eastAsia="zh-CN"/>
        </w:rPr>
        <w:t xml:space="preserve"> policy related</w:t>
      </w:r>
      <w:r w:rsidRPr="00873B6C">
        <w:t xml:space="preserve"> functionalit</w:t>
      </w:r>
      <w:r w:rsidRPr="00873B6C">
        <w:rPr>
          <w:rFonts w:eastAsia="SimSun"/>
          <w:lang w:eastAsia="zh-CN"/>
        </w:rPr>
        <w:t>ies</w:t>
      </w:r>
      <w:r w:rsidRPr="00873B6C">
        <w:t xml:space="preserve"> </w:t>
      </w:r>
      <w:r w:rsidRPr="00873B6C">
        <w:rPr>
          <w:rFonts w:eastAsia="SimSun"/>
          <w:lang w:eastAsia="zh-CN"/>
        </w:rPr>
        <w:t xml:space="preserve">as described in </w:t>
      </w:r>
      <w:r w:rsidRPr="00873B6C">
        <w:rPr>
          <w:lang w:eastAsia="ko-KR"/>
        </w:rPr>
        <w:t>clause </w:t>
      </w:r>
      <w:r w:rsidRPr="00873B6C">
        <w:rPr>
          <w:rFonts w:eastAsia="SimSun"/>
          <w:lang w:eastAsia="zh-CN"/>
        </w:rPr>
        <w:t xml:space="preserve">6.2.2 </w:t>
      </w:r>
      <w:r w:rsidR="00131D56" w:rsidRPr="00873B6C">
        <w:rPr>
          <w:rFonts w:eastAsia="SimSun"/>
          <w:lang w:eastAsia="zh-CN"/>
        </w:rPr>
        <w:t>of</w:t>
      </w:r>
      <w:r w:rsidRPr="00873B6C">
        <w:rPr>
          <w:rFonts w:eastAsia="SimSun"/>
          <w:lang w:eastAsia="zh-CN"/>
        </w:rPr>
        <w:t xml:space="preserve"> </w:t>
      </w:r>
      <w:r w:rsidR="00972E70" w:rsidRPr="00873B6C">
        <w:rPr>
          <w:rFonts w:eastAsia="SimSun"/>
          <w:lang w:eastAsia="zh-CN"/>
        </w:rPr>
        <w:t>TS 23.503 [</w:t>
      </w:r>
      <w:r w:rsidRPr="00873B6C">
        <w:rPr>
          <w:rFonts w:eastAsia="SimSun"/>
          <w:lang w:eastAsia="zh-CN"/>
        </w:rPr>
        <w:t>45].</w:t>
      </w:r>
    </w:p>
    <w:p w14:paraId="5A357917" w14:textId="77777777" w:rsidR="00D40151" w:rsidRPr="00873B6C" w:rsidRDefault="00D40151" w:rsidP="00D40151">
      <w:bookmarkStart w:id="5297" w:name="_Toc20150186"/>
      <w:bookmarkStart w:id="5298" w:name="_Toc27846994"/>
      <w:bookmarkStart w:id="5299" w:name="_Toc36188125"/>
      <w:r w:rsidRPr="00873B6C">
        <w:t>In addition to the functionality of the SMF described above, the SMF may include the following functionality to support monitoring in roaming scenarios:</w:t>
      </w:r>
    </w:p>
    <w:p w14:paraId="5073423E" w14:textId="77777777" w:rsidR="00D40151" w:rsidRPr="00873B6C" w:rsidRDefault="00D40151" w:rsidP="00D40151">
      <w:pPr>
        <w:pStyle w:val="B1"/>
      </w:pPr>
      <w:r w:rsidRPr="00873B6C">
        <w:t>-</w:t>
      </w:r>
      <w:r w:rsidRPr="00873B6C">
        <w:tab/>
        <w:t>Normalization of reports according to roaming agreements between VPLMN and HPLMN; and</w:t>
      </w:r>
    </w:p>
    <w:p w14:paraId="70C12B06" w14:textId="624971F9" w:rsidR="00D40151" w:rsidRPr="00873B6C" w:rsidRDefault="00D40151" w:rsidP="00D40151">
      <w:pPr>
        <w:pStyle w:val="B1"/>
      </w:pPr>
      <w:r w:rsidRPr="00873B6C">
        <w:t>-</w:t>
      </w:r>
      <w:r w:rsidRPr="00873B6C">
        <w:tab/>
        <w:t>Generation of charging information for Monitoring Event Reports that are sent to the HPLMN.</w:t>
      </w:r>
    </w:p>
    <w:p w14:paraId="4E4F8ACE" w14:textId="5768D93A" w:rsidR="00B04F2B" w:rsidRPr="00873B6C" w:rsidRDefault="00B04F2B" w:rsidP="00B04F2B">
      <w:bookmarkStart w:id="5300" w:name="_Toc45184032"/>
      <w:bookmarkStart w:id="5301" w:name="_Toc47342874"/>
      <w:bookmarkStart w:id="5302" w:name="_Toc51769576"/>
      <w:r w:rsidRPr="00873B6C">
        <w:t xml:space="preserve">The SMF may also include following functionalities to support Edge Computing enhancements (further defined in </w:t>
      </w:r>
      <w:r w:rsidR="00972E70" w:rsidRPr="00873B6C">
        <w:t>TS 23.548 [</w:t>
      </w:r>
      <w:r w:rsidRPr="00873B6C">
        <w:t>130]):</w:t>
      </w:r>
    </w:p>
    <w:p w14:paraId="24B6391D" w14:textId="4346CBF4" w:rsidR="00B04F2B" w:rsidRPr="00873B6C" w:rsidRDefault="00B04F2B" w:rsidP="00562E84">
      <w:pPr>
        <w:pStyle w:val="B1"/>
      </w:pPr>
      <w:r w:rsidRPr="00873B6C">
        <w:t>-</w:t>
      </w:r>
      <w:r w:rsidRPr="00873B6C">
        <w:tab/>
        <w:t>Selection of EASDF</w:t>
      </w:r>
      <w:r w:rsidR="00CD22D1" w:rsidRPr="00873B6C">
        <w:t>, obtain and/or provision DNS security information of the EASDF</w:t>
      </w:r>
      <w:r w:rsidRPr="00873B6C">
        <w:t xml:space="preserve"> and provision of its address to the UE as the DNS Server for the PDU session;</w:t>
      </w:r>
    </w:p>
    <w:p w14:paraId="6F26B6CC" w14:textId="50205C16" w:rsidR="00B04F2B" w:rsidRPr="00873B6C" w:rsidRDefault="00B04F2B" w:rsidP="00562E84">
      <w:pPr>
        <w:pStyle w:val="B1"/>
      </w:pPr>
      <w:r w:rsidRPr="00873B6C">
        <w:t>-</w:t>
      </w:r>
      <w:r w:rsidRPr="00873B6C">
        <w:tab/>
        <w:t xml:space="preserve">Usage of EASDF services as defined in </w:t>
      </w:r>
      <w:r w:rsidR="00972E70" w:rsidRPr="00873B6C">
        <w:t>TS 23.548 [</w:t>
      </w:r>
      <w:r w:rsidRPr="00873B6C">
        <w:t>130];</w:t>
      </w:r>
    </w:p>
    <w:p w14:paraId="131438FE" w14:textId="72E96B3F" w:rsidR="00B04F2B" w:rsidRPr="00873B6C" w:rsidRDefault="00B04F2B" w:rsidP="00562E84">
      <w:pPr>
        <w:pStyle w:val="B1"/>
      </w:pPr>
      <w:r w:rsidRPr="00873B6C">
        <w:t>-</w:t>
      </w:r>
      <w:r w:rsidRPr="00873B6C">
        <w:tab/>
        <w:t xml:space="preserve">For supporting the Application Layer Architecture defined in </w:t>
      </w:r>
      <w:r w:rsidR="00972E70" w:rsidRPr="00873B6C">
        <w:t>TS 23.558 [</w:t>
      </w:r>
      <w:r w:rsidRPr="00873B6C">
        <w:t>134]: Provision and updates of ECS Address Configuration Information to the UE</w:t>
      </w:r>
      <w:r w:rsidR="003D49E0" w:rsidRPr="00873B6C">
        <w:t>;</w:t>
      </w:r>
    </w:p>
    <w:p w14:paraId="13C8F245" w14:textId="18C003B8" w:rsidR="003D49E0" w:rsidRPr="00873B6C" w:rsidRDefault="003D49E0" w:rsidP="003D49E0">
      <w:pPr>
        <w:pStyle w:val="B1"/>
      </w:pPr>
      <w:r w:rsidRPr="00873B6C">
        <w:t>-</w:t>
      </w:r>
      <w:r w:rsidRPr="00873B6C">
        <w:tab/>
        <w:t>For supporting the HR-SBO as defined in clause 6.7 of TS 23.548 [130].</w:t>
      </w:r>
    </w:p>
    <w:p w14:paraId="56F27EC9" w14:textId="77777777" w:rsidR="00A1192D" w:rsidRPr="00873B6C" w:rsidRDefault="00A1192D" w:rsidP="00A1192D">
      <w:r w:rsidRPr="00873B6C">
        <w:t>The SMF and SMF+ PGW-C may also include following functionalities to support Network Slice Admission Control:</w:t>
      </w:r>
    </w:p>
    <w:p w14:paraId="2C715CA4" w14:textId="1853E9B5" w:rsidR="00A1192D" w:rsidRPr="00873B6C" w:rsidRDefault="00A1192D" w:rsidP="00C74FFE">
      <w:pPr>
        <w:pStyle w:val="B1"/>
      </w:pPr>
      <w:r w:rsidRPr="00873B6C">
        <w:t>-</w:t>
      </w:r>
      <w:r w:rsidRPr="00873B6C">
        <w:tab/>
        <w:t>Support of</w:t>
      </w:r>
      <w:r w:rsidR="00B37A78" w:rsidRPr="00873B6C">
        <w:t xml:space="preserve"> NSAC for maximum</w:t>
      </w:r>
      <w:r w:rsidRPr="00873B6C">
        <w:t xml:space="preserve"> number of PDU sessions as defined in clauses 5.15.11.2</w:t>
      </w:r>
      <w:r w:rsidR="00DA3BBC" w:rsidRPr="00873B6C">
        <w:t>, 5.15.11.3</w:t>
      </w:r>
      <w:r w:rsidRPr="00873B6C">
        <w:t xml:space="preserve"> and 5.15.11.5.</w:t>
      </w:r>
    </w:p>
    <w:p w14:paraId="2C9C1BB1" w14:textId="4897C0A5" w:rsidR="00A1192D" w:rsidRPr="00873B6C" w:rsidRDefault="00A1192D" w:rsidP="00C74FFE">
      <w:pPr>
        <w:pStyle w:val="B1"/>
      </w:pPr>
      <w:r w:rsidRPr="00873B6C">
        <w:t>-</w:t>
      </w:r>
      <w:r w:rsidRPr="00873B6C">
        <w:tab/>
        <w:t>Support of</w:t>
      </w:r>
      <w:r w:rsidR="00B37A78" w:rsidRPr="00873B6C">
        <w:t xml:space="preserve"> NSAC for maximum</w:t>
      </w:r>
      <w:r w:rsidRPr="00873B6C">
        <w:t xml:space="preserve"> number of UEs as defined in clause</w:t>
      </w:r>
      <w:r w:rsidR="00DA3BBC" w:rsidRPr="00873B6C">
        <w:t xml:space="preserve">s 5.15.11.3 and </w:t>
      </w:r>
      <w:r w:rsidRPr="00873B6C">
        <w:t>5.15.11.5.</w:t>
      </w:r>
    </w:p>
    <w:p w14:paraId="1B8C04F8" w14:textId="77777777" w:rsidR="004969CB" w:rsidRPr="00873B6C" w:rsidRDefault="004969CB" w:rsidP="004969CB">
      <w:r w:rsidRPr="00873B6C">
        <w:t>The SMF may also include following functionalities:</w:t>
      </w:r>
    </w:p>
    <w:p w14:paraId="63916A6D" w14:textId="6864E0F0" w:rsidR="004969CB" w:rsidRPr="00873B6C" w:rsidRDefault="004969CB" w:rsidP="00972E70">
      <w:pPr>
        <w:pStyle w:val="B1"/>
      </w:pPr>
      <w:r w:rsidRPr="00873B6C">
        <w:t>-</w:t>
      </w:r>
      <w:r w:rsidRPr="00873B6C">
        <w:tab/>
        <w:t>Providing per-QoS flow Non-3GPP QoS assistance information to the UE (e.g. PEGC)</w:t>
      </w:r>
      <w:r w:rsidR="00120E23" w:rsidRPr="00873B6C">
        <w:t xml:space="preserve"> and formulation of the CN PDB based on non-3GPP delay budget from UE (e.g. PEGC) as described in clause 5.44.3.4</w:t>
      </w:r>
      <w:r w:rsidRPr="00873B6C">
        <w:t>.</w:t>
      </w:r>
    </w:p>
    <w:p w14:paraId="13656349" w14:textId="7A6577AF" w:rsidR="00965644" w:rsidRPr="00873B6C" w:rsidRDefault="00965644" w:rsidP="00965644">
      <w:pPr>
        <w:pStyle w:val="B1"/>
      </w:pPr>
      <w:r w:rsidRPr="00873B6C">
        <w:t>-</w:t>
      </w:r>
      <w:r w:rsidRPr="00873B6C">
        <w:tab/>
        <w:t>Support of PDU Set based handling as described in clause 5.37.5.</w:t>
      </w:r>
    </w:p>
    <w:p w14:paraId="7E330213" w14:textId="654B6381" w:rsidR="003E03C2" w:rsidRPr="00873B6C" w:rsidRDefault="003E03C2" w:rsidP="003E03C2">
      <w:r w:rsidRPr="00873B6C">
        <w:t>In addition to the functionalities of the SMF described above, the SMF may also include functionalities to support Network Slice Replacement as described in clause 5.15.19.</w:t>
      </w:r>
    </w:p>
    <w:p w14:paraId="285C0370" w14:textId="6B5A80A1" w:rsidR="00517FBD" w:rsidRPr="00873B6C" w:rsidRDefault="00517FBD" w:rsidP="00517FBD">
      <w:r w:rsidRPr="00873B6C">
        <w:lastRenderedPageBreak/>
        <w:t>The SMF may also include functionalities to support indirect UPF event exposure service subscription on behalf of the consumer NF(s) as described in clause 4.15.4.5 of TS 23.502 [3].</w:t>
      </w:r>
    </w:p>
    <w:p w14:paraId="3D9C719A" w14:textId="4C5D5E0A" w:rsidR="00D40151" w:rsidRPr="00873B6C" w:rsidRDefault="00D40151" w:rsidP="00D40151">
      <w:pPr>
        <w:pStyle w:val="Heading3"/>
      </w:pPr>
      <w:bookmarkStart w:id="5303" w:name="_CR6_2_3"/>
      <w:bookmarkStart w:id="5304" w:name="_Toc201157725"/>
      <w:bookmarkEnd w:id="5303"/>
      <w:r w:rsidRPr="00873B6C">
        <w:t>6.2.3</w:t>
      </w:r>
      <w:r w:rsidRPr="00873B6C">
        <w:tab/>
        <w:t>UPF</w:t>
      </w:r>
      <w:bookmarkEnd w:id="5297"/>
      <w:bookmarkEnd w:id="5298"/>
      <w:bookmarkEnd w:id="5299"/>
      <w:bookmarkEnd w:id="5300"/>
      <w:bookmarkEnd w:id="5301"/>
      <w:bookmarkEnd w:id="5302"/>
      <w:bookmarkEnd w:id="5304"/>
    </w:p>
    <w:p w14:paraId="35BEF47E" w14:textId="77777777" w:rsidR="00D40151" w:rsidRPr="00873B6C" w:rsidRDefault="00D40151" w:rsidP="00D40151">
      <w:r w:rsidRPr="00873B6C">
        <w:t>The User plane function (UPF) includes the following functionality. Some or all of the UPF functionalities may be supported in a single instance of a UPF:</w:t>
      </w:r>
    </w:p>
    <w:p w14:paraId="79B64D8D" w14:textId="77777777" w:rsidR="00D40151" w:rsidRPr="00873B6C" w:rsidRDefault="00D40151" w:rsidP="00D40151">
      <w:pPr>
        <w:pStyle w:val="B1"/>
      </w:pPr>
      <w:r w:rsidRPr="00873B6C">
        <w:t>-</w:t>
      </w:r>
      <w:r w:rsidRPr="00873B6C">
        <w:tab/>
        <w:t>Anchor point for Intra-/Inter-RAT mobility (when applicable).</w:t>
      </w:r>
    </w:p>
    <w:p w14:paraId="61CA1ADF" w14:textId="77777777" w:rsidR="00D40151" w:rsidRPr="00873B6C" w:rsidRDefault="00D40151" w:rsidP="00D40151">
      <w:pPr>
        <w:pStyle w:val="B1"/>
      </w:pPr>
      <w:r w:rsidRPr="00873B6C">
        <w:t>-</w:t>
      </w:r>
      <w:r w:rsidRPr="00873B6C">
        <w:tab/>
        <w:t>Allocation of UE IP address/prefix (if supported) in response to SMF request.</w:t>
      </w:r>
    </w:p>
    <w:p w14:paraId="2175D892" w14:textId="77777777" w:rsidR="00D40151" w:rsidRPr="00873B6C" w:rsidRDefault="00D40151" w:rsidP="00D40151">
      <w:pPr>
        <w:pStyle w:val="B1"/>
      </w:pPr>
      <w:r w:rsidRPr="00873B6C">
        <w:t>-</w:t>
      </w:r>
      <w:r w:rsidRPr="00873B6C">
        <w:tab/>
        <w:t>External PDU Session point of interconnect to Data Network.</w:t>
      </w:r>
    </w:p>
    <w:p w14:paraId="410220AC" w14:textId="77777777" w:rsidR="00D40151" w:rsidRPr="00873B6C" w:rsidRDefault="00D40151" w:rsidP="00D40151">
      <w:pPr>
        <w:pStyle w:val="B1"/>
      </w:pPr>
      <w:r w:rsidRPr="00873B6C">
        <w:t>-</w:t>
      </w:r>
      <w:r w:rsidRPr="00873B6C">
        <w:tab/>
        <w:t xml:space="preserve">Packet routing &amp; forwarding (e.g. </w:t>
      </w:r>
      <w:r w:rsidRPr="00873B6C">
        <w:rPr>
          <w:rFonts w:eastAsia="SimSun"/>
          <w:lang w:eastAsia="zh-CN"/>
        </w:rPr>
        <w:t xml:space="preserve">support of </w:t>
      </w:r>
      <w:r w:rsidRPr="00873B6C">
        <w:t>Uplink classifier to rout</w:t>
      </w:r>
      <w:r w:rsidRPr="00873B6C">
        <w:rPr>
          <w:rFonts w:eastAsia="SimSun"/>
          <w:lang w:eastAsia="zh-CN"/>
        </w:rPr>
        <w:t>e</w:t>
      </w:r>
      <w:r w:rsidRPr="00873B6C">
        <w:t xml:space="preserve"> traffic flows to </w:t>
      </w:r>
      <w:r w:rsidRPr="00873B6C">
        <w:rPr>
          <w:rFonts w:eastAsia="SimSun"/>
          <w:lang w:eastAsia="zh-CN"/>
        </w:rPr>
        <w:t xml:space="preserve">an instance of </w:t>
      </w:r>
      <w:r w:rsidRPr="00873B6C">
        <w:t xml:space="preserve">a data network, </w:t>
      </w:r>
      <w:r w:rsidRPr="00873B6C">
        <w:rPr>
          <w:rFonts w:eastAsia="SimSun"/>
          <w:lang w:eastAsia="zh-CN"/>
        </w:rPr>
        <w:t xml:space="preserve">support of </w:t>
      </w:r>
      <w:r w:rsidRPr="00873B6C">
        <w:t>Branching point to support multi-homed PDU Session, support of traffic forwarding within a 5G VN group (UPF local switching, via N6, via N19)).</w:t>
      </w:r>
    </w:p>
    <w:p w14:paraId="09AC32D7" w14:textId="77777777" w:rsidR="00D40151" w:rsidRPr="00873B6C" w:rsidRDefault="00D40151" w:rsidP="00D40151">
      <w:pPr>
        <w:pStyle w:val="B1"/>
      </w:pPr>
      <w:r w:rsidRPr="00873B6C">
        <w:t>-</w:t>
      </w:r>
      <w:r w:rsidRPr="00873B6C">
        <w:tab/>
        <w:t>Packet inspection (e.g. Application detection based on service data flow template and the optional PFDs received from the SMF in addition).</w:t>
      </w:r>
    </w:p>
    <w:p w14:paraId="2E27191B" w14:textId="77777777" w:rsidR="00D40151" w:rsidRPr="00873B6C" w:rsidRDefault="00D40151" w:rsidP="00D40151">
      <w:pPr>
        <w:pStyle w:val="B1"/>
      </w:pPr>
      <w:r w:rsidRPr="00873B6C">
        <w:rPr>
          <w:rFonts w:eastAsia="SimSun"/>
          <w:lang w:eastAsia="zh-CN"/>
        </w:rPr>
        <w:t>-</w:t>
      </w:r>
      <w:r w:rsidRPr="00873B6C">
        <w:rPr>
          <w:rFonts w:eastAsia="SimSun"/>
          <w:lang w:eastAsia="zh-CN"/>
        </w:rPr>
        <w:tab/>
        <w:t xml:space="preserve">User Plane part of policy rule enforcement, e.g. Gating, Redirection, </w:t>
      </w:r>
      <w:r w:rsidRPr="00873B6C">
        <w:rPr>
          <w:lang w:eastAsia="zh-CN"/>
        </w:rPr>
        <w:t>Traffic steering</w:t>
      </w:r>
      <w:r w:rsidRPr="00873B6C">
        <w:rPr>
          <w:rFonts w:eastAsia="SimSun"/>
          <w:lang w:eastAsia="zh-CN"/>
        </w:rPr>
        <w:t>).</w:t>
      </w:r>
    </w:p>
    <w:p w14:paraId="2CFAE0B9" w14:textId="77777777" w:rsidR="00D40151" w:rsidRPr="00873B6C" w:rsidRDefault="00D40151" w:rsidP="00D40151">
      <w:pPr>
        <w:pStyle w:val="B1"/>
      </w:pPr>
      <w:r w:rsidRPr="00873B6C">
        <w:t>-</w:t>
      </w:r>
      <w:r w:rsidRPr="00873B6C">
        <w:tab/>
        <w:t>Lawful intercept (UP collection).</w:t>
      </w:r>
    </w:p>
    <w:p w14:paraId="2F8BF0B9" w14:textId="77777777" w:rsidR="00D40151" w:rsidRPr="00873B6C" w:rsidRDefault="00D40151" w:rsidP="00D40151">
      <w:pPr>
        <w:pStyle w:val="B1"/>
      </w:pPr>
      <w:r w:rsidRPr="00873B6C">
        <w:t>-</w:t>
      </w:r>
      <w:r w:rsidRPr="00873B6C">
        <w:tab/>
        <w:t>Traffic usage reporting.</w:t>
      </w:r>
    </w:p>
    <w:p w14:paraId="269EC90B" w14:textId="77777777" w:rsidR="00D40151" w:rsidRPr="00873B6C" w:rsidRDefault="00D40151" w:rsidP="00D40151">
      <w:pPr>
        <w:pStyle w:val="B1"/>
        <w:rPr>
          <w:lang w:eastAsia="zh-CN"/>
        </w:rPr>
      </w:pPr>
      <w:r w:rsidRPr="00873B6C">
        <w:rPr>
          <w:lang w:eastAsia="zh-CN"/>
        </w:rPr>
        <w:t>-</w:t>
      </w:r>
      <w:r w:rsidRPr="00873B6C">
        <w:rPr>
          <w:lang w:eastAsia="zh-CN"/>
        </w:rPr>
        <w:tab/>
        <w:t>QoS handling for user plane, e.g. UL/DL rate enforcement, Reflective QoS marking in DL.</w:t>
      </w:r>
    </w:p>
    <w:p w14:paraId="34936AB0" w14:textId="77777777" w:rsidR="00D40151" w:rsidRPr="00873B6C" w:rsidRDefault="00D40151" w:rsidP="00D40151">
      <w:pPr>
        <w:pStyle w:val="B1"/>
      </w:pPr>
      <w:r w:rsidRPr="00873B6C">
        <w:t>-</w:t>
      </w:r>
      <w:r w:rsidRPr="00873B6C">
        <w:tab/>
        <w:t>Uplink Traffic verification (SDF to QoS Flow mapping).</w:t>
      </w:r>
    </w:p>
    <w:p w14:paraId="1670A48D" w14:textId="77777777" w:rsidR="00D40151" w:rsidRPr="00873B6C" w:rsidRDefault="00D40151" w:rsidP="00D40151">
      <w:pPr>
        <w:pStyle w:val="B1"/>
      </w:pPr>
      <w:r w:rsidRPr="00873B6C">
        <w:rPr>
          <w:lang w:eastAsia="zh-CN"/>
        </w:rPr>
        <w:t>-</w:t>
      </w:r>
      <w:r w:rsidRPr="00873B6C">
        <w:rPr>
          <w:lang w:eastAsia="zh-CN"/>
        </w:rPr>
        <w:tab/>
      </w:r>
      <w:r w:rsidRPr="00873B6C">
        <w:t>Transport level packet marking in the uplink and downlink.</w:t>
      </w:r>
    </w:p>
    <w:p w14:paraId="7A657B0D" w14:textId="77777777" w:rsidR="00D40151" w:rsidRPr="00873B6C" w:rsidRDefault="00D40151" w:rsidP="00D40151">
      <w:pPr>
        <w:pStyle w:val="B1"/>
        <w:rPr>
          <w:lang w:eastAsia="zh-CN"/>
        </w:rPr>
      </w:pPr>
      <w:r w:rsidRPr="00873B6C">
        <w:t>-</w:t>
      </w:r>
      <w:r w:rsidRPr="00873B6C">
        <w:tab/>
      </w:r>
      <w:r w:rsidRPr="00873B6C">
        <w:rPr>
          <w:lang w:eastAsia="zh-CN"/>
        </w:rPr>
        <w:t>Downlink packet buffering and downlink data notification triggering.</w:t>
      </w:r>
    </w:p>
    <w:p w14:paraId="222EAD04" w14:textId="77777777" w:rsidR="00D40151" w:rsidRPr="00873B6C" w:rsidRDefault="00D40151" w:rsidP="00D40151">
      <w:pPr>
        <w:pStyle w:val="B1"/>
        <w:rPr>
          <w:lang w:eastAsia="zh-CN"/>
        </w:rPr>
      </w:pPr>
      <w:r w:rsidRPr="00873B6C">
        <w:rPr>
          <w:lang w:eastAsia="zh-CN"/>
        </w:rPr>
        <w:t>-</w:t>
      </w:r>
      <w:r w:rsidRPr="00873B6C">
        <w:rPr>
          <w:lang w:eastAsia="zh-CN"/>
        </w:rPr>
        <w:tab/>
        <w:t>Sending and forwarding of one or more "end marker" to the source NG-RAN node.</w:t>
      </w:r>
    </w:p>
    <w:p w14:paraId="73B03FB4" w14:textId="77777777" w:rsidR="00D40151" w:rsidRPr="00873B6C" w:rsidRDefault="00D40151" w:rsidP="00D40151">
      <w:pPr>
        <w:pStyle w:val="B1"/>
      </w:pPr>
      <w:r w:rsidRPr="00873B6C">
        <w:rPr>
          <w:lang w:eastAsia="zh-CN"/>
        </w:rPr>
        <w:t>-</w:t>
      </w:r>
      <w:r w:rsidRPr="00873B6C">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873B6C" w:rsidRDefault="00D40151" w:rsidP="00D40151">
      <w:pPr>
        <w:pStyle w:val="B1"/>
        <w:rPr>
          <w:lang w:eastAsia="zh-CN"/>
        </w:rPr>
      </w:pPr>
      <w:r w:rsidRPr="00873B6C">
        <w:rPr>
          <w:lang w:eastAsia="zh-CN"/>
        </w:rPr>
        <w:t>-</w:t>
      </w:r>
      <w:r w:rsidRPr="00873B6C">
        <w:rPr>
          <w:lang w:eastAsia="zh-CN"/>
        </w:rPr>
        <w:tab/>
        <w:t>Packet duplication in downlink direction and elimination in uplink direction in GTP-U layer.</w:t>
      </w:r>
    </w:p>
    <w:p w14:paraId="58535547" w14:textId="719DD104" w:rsidR="00D40151" w:rsidRPr="00873B6C" w:rsidRDefault="00D40151" w:rsidP="00D40151">
      <w:pPr>
        <w:pStyle w:val="B1"/>
        <w:rPr>
          <w:lang w:eastAsia="zh-CN"/>
        </w:rPr>
      </w:pPr>
      <w:r w:rsidRPr="00873B6C">
        <w:rPr>
          <w:lang w:eastAsia="zh-CN"/>
        </w:rPr>
        <w:t>-</w:t>
      </w:r>
      <w:r w:rsidRPr="00873B6C">
        <w:rPr>
          <w:lang w:eastAsia="zh-CN"/>
        </w:rPr>
        <w:tab/>
        <w:t>NW-TT functionality.</w:t>
      </w:r>
    </w:p>
    <w:p w14:paraId="0FFB6EBF" w14:textId="77777777" w:rsidR="00D40151" w:rsidRPr="00873B6C" w:rsidRDefault="00D40151" w:rsidP="00D40151">
      <w:pPr>
        <w:pStyle w:val="B1"/>
        <w:rPr>
          <w:lang w:eastAsia="zh-CN"/>
        </w:rPr>
      </w:pPr>
      <w:r w:rsidRPr="00873B6C">
        <w:rPr>
          <w:lang w:eastAsia="zh-CN"/>
        </w:rPr>
        <w:t>-</w:t>
      </w:r>
      <w:r w:rsidRPr="00873B6C">
        <w:rPr>
          <w:lang w:eastAsia="zh-CN"/>
        </w:rPr>
        <w:tab/>
        <w:t>High latency communication, see clause 5.31.8.</w:t>
      </w:r>
    </w:p>
    <w:p w14:paraId="3BD442B8" w14:textId="77777777" w:rsidR="00D40151" w:rsidRPr="00873B6C" w:rsidRDefault="00D40151" w:rsidP="00D40151">
      <w:pPr>
        <w:pStyle w:val="B1"/>
        <w:rPr>
          <w:lang w:eastAsia="zh-CN"/>
        </w:rPr>
      </w:pPr>
      <w:r w:rsidRPr="00873B6C">
        <w:rPr>
          <w:lang w:eastAsia="zh-CN"/>
        </w:rPr>
        <w:t>-</w:t>
      </w:r>
      <w:r w:rsidRPr="00873B6C">
        <w:rPr>
          <w:lang w:eastAsia="zh-CN"/>
        </w:rPr>
        <w:tab/>
        <w:t>ATSSS Steering functionality to steer the MA PDU Session traffic, refer to clause 5.32.6.</w:t>
      </w:r>
    </w:p>
    <w:p w14:paraId="5910628F" w14:textId="77777777" w:rsidR="00D40151" w:rsidRPr="00873B6C" w:rsidRDefault="00D40151" w:rsidP="00D40151">
      <w:pPr>
        <w:pStyle w:val="NO"/>
        <w:rPr>
          <w:iCs/>
        </w:rPr>
      </w:pPr>
      <w:r w:rsidRPr="00873B6C">
        <w:t>NOTE:</w:t>
      </w:r>
      <w:r w:rsidRPr="00873B6C">
        <w:tab/>
        <w:t>Not all of the UPF functionalities are required to be supported in an instance of user plane function of a Network Slice.</w:t>
      </w:r>
    </w:p>
    <w:p w14:paraId="64A2005B" w14:textId="77777777" w:rsidR="00D40151" w:rsidRPr="00873B6C" w:rsidRDefault="00D40151" w:rsidP="00D40151">
      <w:pPr>
        <w:pStyle w:val="B1"/>
        <w:rPr>
          <w:lang w:eastAsia="zh-CN"/>
        </w:rPr>
      </w:pPr>
      <w:bookmarkStart w:id="5305" w:name="_Toc20150187"/>
      <w:bookmarkStart w:id="5306" w:name="_Toc27846995"/>
      <w:r w:rsidRPr="00873B6C">
        <w:rPr>
          <w:lang w:eastAsia="zh-CN"/>
        </w:rPr>
        <w:t>-</w:t>
      </w:r>
      <w:r w:rsidRPr="00873B6C">
        <w:rPr>
          <w:lang w:eastAsia="zh-CN"/>
        </w:rPr>
        <w:tab/>
        <w:t>Inter PLMN UP Security (IPUPS) functionality, specified in clause 5.8.2.14.</w:t>
      </w:r>
    </w:p>
    <w:p w14:paraId="1BFACB1A" w14:textId="653457B7" w:rsidR="003E5241" w:rsidRPr="00873B6C" w:rsidRDefault="003E5241" w:rsidP="00412DC3">
      <w:pPr>
        <w:pStyle w:val="B1"/>
        <w:rPr>
          <w:lang w:eastAsia="zh-CN"/>
        </w:rPr>
      </w:pPr>
      <w:bookmarkStart w:id="5307" w:name="_Toc36188126"/>
      <w:bookmarkStart w:id="5308" w:name="_Toc45184033"/>
      <w:bookmarkStart w:id="5309" w:name="_Toc47342875"/>
      <w:bookmarkStart w:id="5310" w:name="_Toc51769577"/>
      <w:r w:rsidRPr="00873B6C">
        <w:rPr>
          <w:lang w:eastAsia="zh-CN"/>
        </w:rPr>
        <w:t>-</w:t>
      </w:r>
      <w:r w:rsidRPr="00873B6C">
        <w:rPr>
          <w:lang w:eastAsia="zh-CN"/>
        </w:rPr>
        <w:tab/>
      </w:r>
      <w:r w:rsidR="000C6BFB" w:rsidRPr="00873B6C">
        <w:rPr>
          <w:lang w:eastAsia="zh-CN"/>
        </w:rPr>
        <w:t>E</w:t>
      </w:r>
      <w:r w:rsidRPr="00873B6C">
        <w:rPr>
          <w:lang w:eastAsia="zh-CN"/>
        </w:rPr>
        <w:t>vent exposure, including exposure of network information, i.e. the QoS monitoring information, as specified in clause </w:t>
      </w:r>
      <w:r w:rsidR="003D4653" w:rsidRPr="00873B6C">
        <w:rPr>
          <w:lang w:eastAsia="zh-CN"/>
        </w:rPr>
        <w:t>5.8.2.18</w:t>
      </w:r>
      <w:r w:rsidR="00511811" w:rsidRPr="00873B6C">
        <w:rPr>
          <w:lang w:eastAsia="zh-CN"/>
        </w:rPr>
        <w:t>,</w:t>
      </w:r>
      <w:r w:rsidRPr="00873B6C">
        <w:rPr>
          <w:lang w:eastAsia="zh-CN"/>
        </w:rPr>
        <w:t xml:space="preserve"> events as specified in clause 5.2.26.2 of </w:t>
      </w:r>
      <w:r w:rsidR="00972E70" w:rsidRPr="00873B6C">
        <w:rPr>
          <w:lang w:eastAsia="zh-CN"/>
        </w:rPr>
        <w:t>TS 23.502 [</w:t>
      </w:r>
      <w:r w:rsidRPr="00873B6C">
        <w:rPr>
          <w:lang w:eastAsia="zh-CN"/>
        </w:rPr>
        <w:t xml:space="preserve">3], exposure of data collected for analytics, as specified in clause 5.2.26.2 of </w:t>
      </w:r>
      <w:r w:rsidR="00972E70" w:rsidRPr="00873B6C">
        <w:rPr>
          <w:lang w:eastAsia="zh-CN"/>
        </w:rPr>
        <w:t>TS 23.502 [</w:t>
      </w:r>
      <w:r w:rsidRPr="00873B6C">
        <w:rPr>
          <w:lang w:eastAsia="zh-CN"/>
        </w:rPr>
        <w:t>3]</w:t>
      </w:r>
      <w:r w:rsidR="00511811" w:rsidRPr="00873B6C">
        <w:rPr>
          <w:lang w:eastAsia="zh-CN"/>
        </w:rPr>
        <w:t xml:space="preserve"> and exposure of the TSC management information as specified in clause </w:t>
      </w:r>
      <w:r w:rsidR="003D4653" w:rsidRPr="00873B6C">
        <w:rPr>
          <w:lang w:eastAsia="zh-CN"/>
        </w:rPr>
        <w:t>5.8.5</w:t>
      </w:r>
      <w:r w:rsidR="00511811" w:rsidRPr="00873B6C">
        <w:rPr>
          <w:lang w:eastAsia="zh-CN"/>
        </w:rPr>
        <w:t>.14</w:t>
      </w:r>
      <w:r w:rsidRPr="00873B6C">
        <w:rPr>
          <w:lang w:eastAsia="zh-CN"/>
        </w:rPr>
        <w:t>.</w:t>
      </w:r>
    </w:p>
    <w:p w14:paraId="2730BA27" w14:textId="0C10980D" w:rsidR="00C86B51" w:rsidRPr="00873B6C" w:rsidRDefault="00C86B51" w:rsidP="00AB1E8D">
      <w:pPr>
        <w:pStyle w:val="B1"/>
        <w:rPr>
          <w:lang w:eastAsia="zh-CN"/>
        </w:rPr>
      </w:pPr>
      <w:r w:rsidRPr="00873B6C">
        <w:rPr>
          <w:lang w:eastAsia="zh-CN"/>
        </w:rPr>
        <w:t>-</w:t>
      </w:r>
      <w:r w:rsidRPr="00873B6C">
        <w:rPr>
          <w:lang w:eastAsia="zh-CN"/>
        </w:rPr>
        <w:tab/>
        <w:t>Exposure of the UE</w:t>
      </w:r>
      <w:r w:rsidR="000C6BFB" w:rsidRPr="00873B6C">
        <w:rPr>
          <w:lang w:eastAsia="zh-CN"/>
        </w:rPr>
        <w:t xml:space="preserve"> information, e.g. UE</w:t>
      </w:r>
      <w:r w:rsidRPr="00873B6C">
        <w:rPr>
          <w:lang w:eastAsia="zh-CN"/>
        </w:rPr>
        <w:t xml:space="preserve"> IP address translation information as specified in clause 5.2.26.3 of TS 23.502 [3] and clause 4.15.10 of TS 23.502 [3] if Network address translation (i.e. NAT) functionality of the UE IP address is deployed within UPF.</w:t>
      </w:r>
    </w:p>
    <w:p w14:paraId="626CC249" w14:textId="470E6824" w:rsidR="00AB1E8D" w:rsidRPr="00873B6C" w:rsidRDefault="00AB1E8D" w:rsidP="00AB1E8D">
      <w:pPr>
        <w:pStyle w:val="B1"/>
        <w:rPr>
          <w:lang w:eastAsia="zh-CN"/>
        </w:rPr>
      </w:pPr>
      <w:r w:rsidRPr="00873B6C">
        <w:rPr>
          <w:lang w:eastAsia="zh-CN"/>
        </w:rPr>
        <w:t>-</w:t>
      </w:r>
      <w:r w:rsidRPr="00873B6C">
        <w:rPr>
          <w:lang w:eastAsia="zh-CN"/>
        </w:rPr>
        <w:tab/>
        <w:t>Support PDU Set</w:t>
      </w:r>
      <w:r w:rsidR="0036079D">
        <w:rPr>
          <w:lang w:eastAsia="zh-CN"/>
        </w:rPr>
        <w:t xml:space="preserve"> based</w:t>
      </w:r>
      <w:r w:rsidRPr="00873B6C">
        <w:rPr>
          <w:lang w:eastAsia="zh-CN"/>
        </w:rPr>
        <w:t xml:space="preserve"> </w:t>
      </w:r>
      <w:r w:rsidR="0036079D">
        <w:rPr>
          <w:lang w:eastAsia="zh-CN"/>
        </w:rPr>
        <w:t>h</w:t>
      </w:r>
      <w:r w:rsidRPr="00873B6C">
        <w:rPr>
          <w:lang w:eastAsia="zh-CN"/>
        </w:rPr>
        <w:t>andling as defined in clause 5.37.</w:t>
      </w:r>
      <w:r w:rsidR="00C92133" w:rsidRPr="00873B6C">
        <w:rPr>
          <w:lang w:eastAsia="zh-CN"/>
        </w:rPr>
        <w:t>5</w:t>
      </w:r>
      <w:r w:rsidRPr="00873B6C">
        <w:rPr>
          <w:lang w:eastAsia="zh-CN"/>
        </w:rPr>
        <w:t>.</w:t>
      </w:r>
    </w:p>
    <w:p w14:paraId="35F49F4A" w14:textId="77777777" w:rsidR="00D40151" w:rsidRPr="00873B6C" w:rsidRDefault="00D40151" w:rsidP="00D40151">
      <w:pPr>
        <w:pStyle w:val="Heading3"/>
      </w:pPr>
      <w:bookmarkStart w:id="5311" w:name="_CR6_2_4"/>
      <w:bookmarkStart w:id="5312" w:name="_Toc201157726"/>
      <w:bookmarkEnd w:id="5311"/>
      <w:r w:rsidRPr="00873B6C">
        <w:lastRenderedPageBreak/>
        <w:t>6.2.4</w:t>
      </w:r>
      <w:r w:rsidRPr="00873B6C">
        <w:tab/>
        <w:t>PCF</w:t>
      </w:r>
      <w:bookmarkEnd w:id="5305"/>
      <w:bookmarkEnd w:id="5306"/>
      <w:bookmarkEnd w:id="5307"/>
      <w:bookmarkEnd w:id="5308"/>
      <w:bookmarkEnd w:id="5309"/>
      <w:bookmarkEnd w:id="5310"/>
      <w:bookmarkEnd w:id="5312"/>
    </w:p>
    <w:p w14:paraId="048FB9DF" w14:textId="77777777" w:rsidR="00D40151" w:rsidRPr="00873B6C" w:rsidRDefault="00D40151" w:rsidP="00D40151">
      <w:r w:rsidRPr="00873B6C">
        <w:t>The Policy Control Function (PCF) includes the following functionality:</w:t>
      </w:r>
    </w:p>
    <w:p w14:paraId="18DA4747" w14:textId="77777777" w:rsidR="00D40151" w:rsidRPr="00873B6C" w:rsidRDefault="00D40151" w:rsidP="00D40151">
      <w:pPr>
        <w:pStyle w:val="B1"/>
      </w:pPr>
      <w:r w:rsidRPr="00873B6C">
        <w:t>-</w:t>
      </w:r>
      <w:r w:rsidRPr="00873B6C">
        <w:tab/>
        <w:t>Supports unified policy framework to govern network behaviour.</w:t>
      </w:r>
    </w:p>
    <w:p w14:paraId="08ED292A" w14:textId="77777777" w:rsidR="00D40151" w:rsidRPr="00873B6C" w:rsidRDefault="00D40151" w:rsidP="00D40151">
      <w:pPr>
        <w:pStyle w:val="B1"/>
      </w:pPr>
      <w:r w:rsidRPr="00873B6C">
        <w:t>-</w:t>
      </w:r>
      <w:r w:rsidRPr="00873B6C">
        <w:tab/>
        <w:t>Provides policy rules to Control Plane function(s) to enforce them.</w:t>
      </w:r>
    </w:p>
    <w:p w14:paraId="0D50F6D8" w14:textId="77777777" w:rsidR="00D40151" w:rsidRPr="00873B6C" w:rsidRDefault="00D40151" w:rsidP="00D40151">
      <w:pPr>
        <w:pStyle w:val="B1"/>
      </w:pPr>
      <w:r w:rsidRPr="00873B6C">
        <w:t>-</w:t>
      </w:r>
      <w:r w:rsidRPr="00873B6C">
        <w:tab/>
        <w:t>Accesses subscription information relevant for policy decisions in a Unified Data Repository (UDR).</w:t>
      </w:r>
    </w:p>
    <w:p w14:paraId="39A28EFC" w14:textId="594EAEEA" w:rsidR="00AB1E8D" w:rsidRPr="00873B6C" w:rsidRDefault="00AB1E8D" w:rsidP="00AB1E8D">
      <w:pPr>
        <w:pStyle w:val="B1"/>
      </w:pPr>
      <w:r w:rsidRPr="00873B6C">
        <w:t>-</w:t>
      </w:r>
      <w:r w:rsidRPr="00873B6C">
        <w:tab/>
        <w:t xml:space="preserve">Support PDU Set </w:t>
      </w:r>
      <w:r w:rsidR="0036079D">
        <w:t>based h</w:t>
      </w:r>
      <w:r w:rsidRPr="00873B6C">
        <w:t>andling as defined in clause 5.37.</w:t>
      </w:r>
      <w:r w:rsidR="00C92133" w:rsidRPr="00873B6C">
        <w:t>5</w:t>
      </w:r>
      <w:r w:rsidRPr="00873B6C">
        <w:t>.</w:t>
      </w:r>
    </w:p>
    <w:p w14:paraId="761A73FD" w14:textId="77777777" w:rsidR="00D40151" w:rsidRPr="00873B6C" w:rsidRDefault="00D40151" w:rsidP="00D40151">
      <w:pPr>
        <w:pStyle w:val="B1"/>
        <w:rPr>
          <w:rFonts w:eastAsia="SimSun"/>
          <w:lang w:eastAsia="zh-CN"/>
        </w:rPr>
      </w:pPr>
      <w:r w:rsidRPr="00873B6C">
        <w:rPr>
          <w:rFonts w:eastAsia="SimSun"/>
          <w:lang w:eastAsia="zh-CN"/>
        </w:rPr>
        <w:t>NOTE:</w:t>
      </w:r>
      <w:r w:rsidRPr="00873B6C">
        <w:rPr>
          <w:rFonts w:eastAsia="SimSun"/>
          <w:lang w:eastAsia="zh-CN"/>
        </w:rPr>
        <w:tab/>
        <w:t>The PCF accesses the UDR located in the same PLMN as the PCF.</w:t>
      </w:r>
    </w:p>
    <w:p w14:paraId="6FE0A19A" w14:textId="08A19075" w:rsidR="00D40151" w:rsidRPr="00873B6C" w:rsidRDefault="00D40151" w:rsidP="00D40151">
      <w:r w:rsidRPr="00873B6C">
        <w:t xml:space="preserve">The details of the PCF functionality are defined in clause 6.2.1 of </w:t>
      </w:r>
      <w:r w:rsidR="00972E70" w:rsidRPr="00873B6C">
        <w:t>TS 23.503 [</w:t>
      </w:r>
      <w:r w:rsidRPr="00873B6C">
        <w:t>45].</w:t>
      </w:r>
    </w:p>
    <w:p w14:paraId="17A471FB" w14:textId="7E928D75" w:rsidR="00D40151" w:rsidRPr="00873B6C" w:rsidRDefault="00D40151" w:rsidP="00D40151">
      <w:pPr>
        <w:pStyle w:val="Heading3"/>
      </w:pPr>
      <w:bookmarkStart w:id="5313" w:name="_CR6_2_5"/>
      <w:bookmarkStart w:id="5314" w:name="_Toc20150188"/>
      <w:bookmarkStart w:id="5315" w:name="_Toc27846996"/>
      <w:bookmarkStart w:id="5316" w:name="_Toc36188127"/>
      <w:bookmarkStart w:id="5317" w:name="_Toc45184034"/>
      <w:bookmarkStart w:id="5318" w:name="_Toc47342876"/>
      <w:bookmarkStart w:id="5319" w:name="_Toc51769578"/>
      <w:bookmarkStart w:id="5320" w:name="_Toc201157727"/>
      <w:bookmarkEnd w:id="5313"/>
      <w:r w:rsidRPr="00873B6C">
        <w:t>6.2.5</w:t>
      </w:r>
      <w:r w:rsidRPr="00873B6C">
        <w:tab/>
        <w:t>NEF</w:t>
      </w:r>
      <w:bookmarkEnd w:id="5314"/>
      <w:bookmarkEnd w:id="5315"/>
      <w:bookmarkEnd w:id="5316"/>
      <w:bookmarkEnd w:id="5317"/>
      <w:bookmarkEnd w:id="5318"/>
      <w:bookmarkEnd w:id="5319"/>
      <w:bookmarkEnd w:id="5320"/>
    </w:p>
    <w:p w14:paraId="5749CE85" w14:textId="32B9A648" w:rsidR="00704A9E" w:rsidRPr="00873B6C" w:rsidRDefault="00704A9E" w:rsidP="00733F50">
      <w:pPr>
        <w:pStyle w:val="Heading4"/>
      </w:pPr>
      <w:bookmarkStart w:id="5321" w:name="_CR6_2_5_0"/>
      <w:bookmarkStart w:id="5322" w:name="_Toc201157728"/>
      <w:bookmarkEnd w:id="5321"/>
      <w:r w:rsidRPr="00873B6C">
        <w:t>6.2.5.0</w:t>
      </w:r>
      <w:r w:rsidRPr="00873B6C">
        <w:tab/>
        <w:t>NEF functionality</w:t>
      </w:r>
      <w:bookmarkEnd w:id="5322"/>
    </w:p>
    <w:p w14:paraId="1AB5665B" w14:textId="77777777" w:rsidR="00D40151" w:rsidRPr="00873B6C" w:rsidRDefault="00D40151" w:rsidP="00D40151">
      <w:r w:rsidRPr="00873B6C">
        <w:t>The Network Exposure Function (NEF) supports the following independent functionality:</w:t>
      </w:r>
    </w:p>
    <w:p w14:paraId="3C245F11" w14:textId="77777777" w:rsidR="00D40151" w:rsidRPr="00873B6C" w:rsidRDefault="00D40151" w:rsidP="00D40151">
      <w:pPr>
        <w:pStyle w:val="B1"/>
        <w:rPr>
          <w:lang w:eastAsia="zh-CN"/>
        </w:rPr>
      </w:pPr>
      <w:r w:rsidRPr="00873B6C">
        <w:t>-</w:t>
      </w:r>
      <w:r w:rsidRPr="00873B6C">
        <w:tab/>
      </w:r>
      <w:r w:rsidRPr="00873B6C">
        <w:rPr>
          <w:lang w:eastAsia="zh-CN"/>
        </w:rPr>
        <w:t>Exposure of capabilities and events:</w:t>
      </w:r>
    </w:p>
    <w:p w14:paraId="5A5FD6E2" w14:textId="77777777" w:rsidR="00D40151" w:rsidRPr="00873B6C" w:rsidRDefault="00D40151" w:rsidP="00562E84">
      <w:pPr>
        <w:pStyle w:val="B2"/>
      </w:pPr>
      <w:r w:rsidRPr="00873B6C">
        <w:tab/>
        <w:t>NF capabilities and events may be securely exposed by NEF for e.g. 3rd party, Application Functions, Edge Computing as described in clause 5.13.</w:t>
      </w:r>
    </w:p>
    <w:p w14:paraId="29C36F6C" w14:textId="77777777" w:rsidR="00D40151" w:rsidRPr="00873B6C" w:rsidRDefault="00D40151" w:rsidP="00562E84">
      <w:pPr>
        <w:pStyle w:val="B2"/>
      </w:pPr>
      <w:r w:rsidRPr="00873B6C">
        <w:tab/>
        <w:t>NEF stores/retrieves information as structured data using a standardized interface (Nudr) to the Unified Data Repository (UDR).</w:t>
      </w:r>
    </w:p>
    <w:p w14:paraId="49965B79" w14:textId="77777777" w:rsidR="00D40151" w:rsidRPr="00873B6C" w:rsidRDefault="00D40151" w:rsidP="00D40151">
      <w:pPr>
        <w:pStyle w:val="B1"/>
        <w:rPr>
          <w:lang w:eastAsia="zh-CN"/>
        </w:rPr>
      </w:pPr>
      <w:r w:rsidRPr="00873B6C">
        <w:t>-</w:t>
      </w:r>
      <w:r w:rsidRPr="00873B6C">
        <w:tab/>
      </w:r>
      <w:r w:rsidRPr="00873B6C">
        <w:rPr>
          <w:lang w:eastAsia="zh-CN"/>
        </w:rPr>
        <w:t>Secure provision of information from external application to 3GPP network:</w:t>
      </w:r>
    </w:p>
    <w:p w14:paraId="2840179C" w14:textId="61581892" w:rsidR="00D40151" w:rsidRPr="00873B6C" w:rsidRDefault="00D40151" w:rsidP="00562E84">
      <w:pPr>
        <w:pStyle w:val="B2"/>
      </w:pPr>
      <w:r w:rsidRPr="00873B6C">
        <w:tab/>
        <w:t xml:space="preserve">It provides a means for the Application Functions to securely provide information to 3GPP network, e.g. Expected UE Behaviour, </w:t>
      </w:r>
      <w:r w:rsidR="00704A9E" w:rsidRPr="00873B6C">
        <w:t>5G-VN</w:t>
      </w:r>
      <w:r w:rsidRPr="00873B6C">
        <w:t xml:space="preserve"> group information</w:t>
      </w:r>
      <w:r w:rsidR="008D5A3F" w:rsidRPr="00873B6C">
        <w:t>, time synchronization service information</w:t>
      </w:r>
      <w:r w:rsidRPr="00873B6C">
        <w:t xml:space="preserve"> and</w:t>
      </w:r>
      <w:r w:rsidR="00AB1E8D" w:rsidRPr="00873B6C">
        <w:t xml:space="preserve"> PDU Set</w:t>
      </w:r>
      <w:r w:rsidR="0036079D">
        <w:t xml:space="preserve"> based</w:t>
      </w:r>
      <w:r w:rsidR="00AB1E8D" w:rsidRPr="00873B6C">
        <w:t xml:space="preserve"> handling</w:t>
      </w:r>
      <w:r w:rsidRPr="00873B6C">
        <w:t xml:space="preserve"> service specific information. In that case the NEF may authenticate and authorize and assist in throttling the Application Functions.</w:t>
      </w:r>
    </w:p>
    <w:p w14:paraId="3DD68FAB" w14:textId="77777777" w:rsidR="00D40151" w:rsidRPr="00873B6C" w:rsidRDefault="00D40151" w:rsidP="00D40151">
      <w:pPr>
        <w:pStyle w:val="B1"/>
      </w:pPr>
      <w:r w:rsidRPr="00873B6C">
        <w:t>-</w:t>
      </w:r>
      <w:r w:rsidRPr="00873B6C">
        <w:tab/>
        <w:t>Translation of internal-external information:</w:t>
      </w:r>
    </w:p>
    <w:p w14:paraId="6B525E59" w14:textId="77777777" w:rsidR="00D40151" w:rsidRPr="00873B6C" w:rsidRDefault="00D40151" w:rsidP="00562E84">
      <w:pPr>
        <w:pStyle w:val="B2"/>
      </w:pPr>
      <w:r w:rsidRPr="00873B6C">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873B6C" w:rsidRDefault="00D40151" w:rsidP="00562E84">
      <w:pPr>
        <w:pStyle w:val="B2"/>
      </w:pPr>
      <w:r w:rsidRPr="00873B6C">
        <w:tab/>
        <w:t>In particular, NEF handles masking of network and user sensitive information to external AF's according to the network policy.</w:t>
      </w:r>
    </w:p>
    <w:p w14:paraId="592457E0" w14:textId="624C096F" w:rsidR="00160667" w:rsidRPr="00873B6C" w:rsidRDefault="00160667" w:rsidP="00562E84">
      <w:pPr>
        <w:pStyle w:val="B2"/>
      </w:pPr>
      <w:r w:rsidRPr="00873B6C">
        <w:t>-</w:t>
      </w:r>
      <w:r w:rsidRPr="00873B6C">
        <w:tab/>
        <w:t>Redirecting the AF to a more suitable NEF/L-NEF e.g. when serving an AF request for local information exposure and detecting there is a more appropriate NEF instance to serve the AF's request.</w:t>
      </w:r>
    </w:p>
    <w:p w14:paraId="0DE50F6C" w14:textId="77292FE9" w:rsidR="00D40151" w:rsidRPr="00873B6C" w:rsidRDefault="00D40151" w:rsidP="00562E84">
      <w:pPr>
        <w:pStyle w:val="B2"/>
      </w:pPr>
      <w:r w:rsidRPr="00873B6C">
        <w:t>-</w:t>
      </w:r>
      <w:r w:rsidRPr="00873B6C">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w:t>
      </w:r>
      <w:r w:rsidR="00472CD7" w:rsidRPr="00873B6C">
        <w:t xml:space="preserve"> and</w:t>
      </w:r>
      <w:r w:rsidRPr="00873B6C">
        <w:t xml:space="preserve"> used for other purposes such as analytics.</w:t>
      </w:r>
    </w:p>
    <w:p w14:paraId="278D54BD" w14:textId="5E9B660F" w:rsidR="00D40151" w:rsidRPr="00873B6C" w:rsidRDefault="00D40151" w:rsidP="00562E84">
      <w:pPr>
        <w:pStyle w:val="B2"/>
      </w:pPr>
      <w:r w:rsidRPr="00873B6C">
        <w:t>-</w:t>
      </w:r>
      <w:r w:rsidRPr="00873B6C">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972E70" w:rsidRPr="00873B6C">
        <w:t>TS 23.503 [</w:t>
      </w:r>
      <w:r w:rsidRPr="00873B6C">
        <w:t>45].</w:t>
      </w:r>
    </w:p>
    <w:p w14:paraId="73F89A78" w14:textId="4F5F0E79" w:rsidR="00D40151" w:rsidRPr="00873B6C" w:rsidRDefault="00D40151" w:rsidP="00562E84">
      <w:pPr>
        <w:pStyle w:val="B2"/>
      </w:pPr>
      <w:r w:rsidRPr="00873B6C">
        <w:t>-</w:t>
      </w:r>
      <w:r w:rsidRPr="00873B6C">
        <w:tab/>
        <w:t xml:space="preserve">A NEF may also support a </w:t>
      </w:r>
      <w:r w:rsidR="00704A9E" w:rsidRPr="00873B6C">
        <w:t>5G-VN</w:t>
      </w:r>
      <w:r w:rsidRPr="00873B6C">
        <w:t xml:space="preserve"> Group Management Function: The </w:t>
      </w:r>
      <w:r w:rsidR="00704A9E" w:rsidRPr="00873B6C">
        <w:t>5G-VN</w:t>
      </w:r>
      <w:r w:rsidRPr="00873B6C">
        <w:t xml:space="preserve"> Group Management Function in the NEF may store the </w:t>
      </w:r>
      <w:r w:rsidR="00704A9E" w:rsidRPr="00873B6C">
        <w:t>5G-VN</w:t>
      </w:r>
      <w:r w:rsidRPr="00873B6C">
        <w:t xml:space="preserve"> group information in the UDR via UDM as described in </w:t>
      </w:r>
      <w:r w:rsidR="00972E70" w:rsidRPr="00873B6C">
        <w:t>TS 23.502 [</w:t>
      </w:r>
      <w:r w:rsidRPr="00873B6C">
        <w:t>3].</w:t>
      </w:r>
    </w:p>
    <w:p w14:paraId="6B742CAE" w14:textId="77777777" w:rsidR="00A13197" w:rsidRPr="00873B6C" w:rsidRDefault="00A13197" w:rsidP="00A13197">
      <w:pPr>
        <w:pStyle w:val="B2"/>
      </w:pPr>
      <w:r w:rsidRPr="00873B6C">
        <w:t>-</w:t>
      </w:r>
      <w:r w:rsidRPr="00873B6C">
        <w:tab/>
        <w:t>Support management of ECS Address Information.</w:t>
      </w:r>
    </w:p>
    <w:p w14:paraId="62E30F09" w14:textId="77777777" w:rsidR="00A13197" w:rsidRPr="00873B6C" w:rsidRDefault="00A13197" w:rsidP="00A13197">
      <w:pPr>
        <w:pStyle w:val="B2"/>
      </w:pPr>
      <w:r w:rsidRPr="00873B6C">
        <w:t>-</w:t>
      </w:r>
      <w:r w:rsidRPr="00873B6C">
        <w:tab/>
        <w:t>Support management of relationship between DNAI and EAS Address Information.</w:t>
      </w:r>
    </w:p>
    <w:p w14:paraId="234AD632" w14:textId="77777777" w:rsidR="00D40151" w:rsidRPr="00873B6C" w:rsidRDefault="00D40151" w:rsidP="00D40151">
      <w:pPr>
        <w:pStyle w:val="B1"/>
      </w:pPr>
      <w:r w:rsidRPr="00873B6C">
        <w:lastRenderedPageBreak/>
        <w:t>-</w:t>
      </w:r>
      <w:r w:rsidRPr="00873B6C">
        <w:tab/>
        <w:t>Exposure of analytics:</w:t>
      </w:r>
    </w:p>
    <w:p w14:paraId="09080586" w14:textId="511F314D" w:rsidR="00D40151" w:rsidRPr="00873B6C" w:rsidRDefault="00D40151" w:rsidP="00562E84">
      <w:pPr>
        <w:pStyle w:val="B2"/>
      </w:pPr>
      <w:r w:rsidRPr="00873B6C">
        <w:tab/>
        <w:t xml:space="preserve">NWDAF analytics may be securely exposed by NEF for external party, as specified in </w:t>
      </w:r>
      <w:r w:rsidR="00972E70" w:rsidRPr="00873B6C">
        <w:t>TS 23.288 [</w:t>
      </w:r>
      <w:r w:rsidRPr="00873B6C">
        <w:t>86].</w:t>
      </w:r>
    </w:p>
    <w:p w14:paraId="13C8927D" w14:textId="77777777" w:rsidR="00D40151" w:rsidRPr="00873B6C" w:rsidRDefault="00D40151" w:rsidP="00D40151">
      <w:pPr>
        <w:pStyle w:val="B1"/>
      </w:pPr>
      <w:r w:rsidRPr="00873B6C">
        <w:t>-</w:t>
      </w:r>
      <w:r w:rsidRPr="00873B6C">
        <w:tab/>
        <w:t>Retrieval of data from external party by NWDAF:</w:t>
      </w:r>
    </w:p>
    <w:p w14:paraId="10A890B7" w14:textId="53A44612" w:rsidR="00D40151" w:rsidRPr="00873B6C" w:rsidRDefault="00D40151" w:rsidP="00562E84">
      <w:pPr>
        <w:pStyle w:val="B2"/>
      </w:pPr>
      <w:r w:rsidRPr="00873B6C">
        <w:tab/>
        <w:t xml:space="preserve">Data provided by the external party may be collected by NWDAF via NEF for analytics generation purpose. NEF handles and forwards requests and notifications between NWDAF and AF, as specified in </w:t>
      </w:r>
      <w:r w:rsidR="00972E70" w:rsidRPr="00873B6C">
        <w:t>TS 23.288 [</w:t>
      </w:r>
      <w:r w:rsidRPr="00873B6C">
        <w:t>86].</w:t>
      </w:r>
    </w:p>
    <w:p w14:paraId="2DC48503" w14:textId="77777777" w:rsidR="00D40151" w:rsidRPr="00873B6C" w:rsidRDefault="00D40151" w:rsidP="00D40151">
      <w:pPr>
        <w:pStyle w:val="B1"/>
      </w:pPr>
      <w:r w:rsidRPr="00873B6C">
        <w:t>-</w:t>
      </w:r>
      <w:r w:rsidRPr="00873B6C">
        <w:tab/>
        <w:t>Support of Non-IP Data Delivery:</w:t>
      </w:r>
    </w:p>
    <w:p w14:paraId="672F9755" w14:textId="4BE70093" w:rsidR="00D40151" w:rsidRPr="00873B6C" w:rsidRDefault="00D40151" w:rsidP="00562E84">
      <w:pPr>
        <w:pStyle w:val="B2"/>
      </w:pPr>
      <w:r w:rsidRPr="00873B6C">
        <w:tab/>
        <w:t xml:space="preserve">NEF provides a means for management of NIDD configuration and delivery of MO/MT unstructured data by exposing the NIDD APIs as described in </w:t>
      </w:r>
      <w:r w:rsidR="00972E70" w:rsidRPr="00873B6C">
        <w:t>TS 23.502 [</w:t>
      </w:r>
      <w:r w:rsidRPr="00873B6C">
        <w:t>3] on the N33/Nnef reference point. See clause 5.31.5.</w:t>
      </w:r>
    </w:p>
    <w:p w14:paraId="7B8CCE2A" w14:textId="63CE2A26" w:rsidR="008A60FE" w:rsidRPr="00873B6C" w:rsidRDefault="008A60FE" w:rsidP="00562E84">
      <w:pPr>
        <w:pStyle w:val="B2"/>
      </w:pPr>
      <w:r w:rsidRPr="00873B6C">
        <w:t>-</w:t>
      </w:r>
      <w:r w:rsidRPr="00873B6C">
        <w:tab/>
        <w:t>Charging data collection and support of charging interfaces.</w:t>
      </w:r>
    </w:p>
    <w:p w14:paraId="3A44DFDA" w14:textId="09558C54" w:rsidR="006514B8" w:rsidRPr="00873B6C" w:rsidRDefault="006514B8" w:rsidP="00562E84">
      <w:pPr>
        <w:pStyle w:val="B1"/>
      </w:pPr>
      <w:r w:rsidRPr="00873B6C">
        <w:t>-</w:t>
      </w:r>
      <w:r w:rsidRPr="00873B6C">
        <w:tab/>
        <w:t xml:space="preserve">Support of </w:t>
      </w:r>
      <w:r w:rsidR="00A13197" w:rsidRPr="00873B6C">
        <w:t xml:space="preserve">Member UE </w:t>
      </w:r>
      <w:r w:rsidRPr="00873B6C">
        <w:t>selection assistance functionality:</w:t>
      </w:r>
    </w:p>
    <w:p w14:paraId="4C2762E5" w14:textId="7044B7E4" w:rsidR="006514B8" w:rsidRPr="00873B6C" w:rsidRDefault="006514B8" w:rsidP="00972E70">
      <w:pPr>
        <w:pStyle w:val="B2"/>
      </w:pPr>
      <w:r w:rsidRPr="00873B6C">
        <w:t>-</w:t>
      </w:r>
      <w:r w:rsidRPr="00873B6C">
        <w:tab/>
        <w:t>NEF may provide one or more list(s) of candidate UE(s) (among the list of target member UE(s) provided by the AF) and additional information to the AF based on the parameters contained in the request from the AF as described in clause 5.46.2</w:t>
      </w:r>
      <w:r w:rsidR="007F79AC" w:rsidRPr="00873B6C">
        <w:t>. NEF supports the translation of the member</w:t>
      </w:r>
      <w:r w:rsidR="009B42A2" w:rsidRPr="00873B6C">
        <w:t xml:space="preserve"> UE selection filtering criteria parameters</w:t>
      </w:r>
      <w:r w:rsidR="007F79AC" w:rsidRPr="00873B6C">
        <w:t xml:space="preserve"> received</w:t>
      </w:r>
      <w:r w:rsidR="009B42A2" w:rsidRPr="00873B6C">
        <w:t xml:space="preserve"> from the AF to the corresponding event or analytics filters that can be understood by the 5GC NFs for event</w:t>
      </w:r>
      <w:r w:rsidR="007F79AC" w:rsidRPr="00873B6C">
        <w:t>s</w:t>
      </w:r>
      <w:r w:rsidR="009B42A2" w:rsidRPr="00873B6C">
        <w:t xml:space="preserve"> or analytics related data collection. NEF interacts with 5GC NFs using existing services</w:t>
      </w:r>
      <w:r w:rsidR="007F79AC" w:rsidRPr="00873B6C">
        <w:t xml:space="preserve"> in order</w:t>
      </w:r>
      <w:r w:rsidR="009B42A2" w:rsidRPr="00873B6C">
        <w:t xml:space="preserve"> to collect the corresponding data</w:t>
      </w:r>
      <w:r w:rsidR="007F79AC" w:rsidRPr="00873B6C">
        <w:t xml:space="preserve"> and then</w:t>
      </w:r>
      <w:r w:rsidR="009B42A2" w:rsidRPr="00873B6C">
        <w:t xml:space="preserve"> derive the list(s) of candidate UE(s) and other assistance information as described in clause 4.15.13 of TS 23.502 [3]</w:t>
      </w:r>
      <w:r w:rsidRPr="00873B6C">
        <w:t>.</w:t>
      </w:r>
    </w:p>
    <w:p w14:paraId="15DA5104" w14:textId="174FA2A9" w:rsidR="002A3DAF" w:rsidRPr="00873B6C" w:rsidRDefault="002A3DAF" w:rsidP="00562E84">
      <w:pPr>
        <w:pStyle w:val="B1"/>
      </w:pPr>
      <w:r w:rsidRPr="00873B6C">
        <w:t>-</w:t>
      </w:r>
      <w:r w:rsidRPr="00873B6C">
        <w:tab/>
        <w:t>Support of Multi-member AF session with required QoS for a set of UEs identified by a list of UE addresses:</w:t>
      </w:r>
    </w:p>
    <w:p w14:paraId="2C27E0C8" w14:textId="38A12D4F" w:rsidR="002A3DAF" w:rsidRPr="00873B6C" w:rsidRDefault="002A3DAF" w:rsidP="005A13C0">
      <w:pPr>
        <w:pStyle w:val="B2"/>
      </w:pPr>
      <w:r w:rsidRPr="00873B6C">
        <w:t>-</w:t>
      </w:r>
      <w:r w:rsidRPr="00873B6C">
        <w:tab/>
        <w:t>Details are specified in clause 4.15.6.13 of TS 23.502 [3].</w:t>
      </w:r>
    </w:p>
    <w:p w14:paraId="40BCC158" w14:textId="7362B0DC" w:rsidR="00C84B6D" w:rsidRPr="00873B6C" w:rsidRDefault="00C84B6D" w:rsidP="00562E84">
      <w:pPr>
        <w:pStyle w:val="B1"/>
      </w:pPr>
      <w:r w:rsidRPr="00873B6C">
        <w:t>-</w:t>
      </w:r>
      <w:r w:rsidRPr="00873B6C">
        <w:tab/>
        <w:t>Support of UAS NF functionality:</w:t>
      </w:r>
    </w:p>
    <w:p w14:paraId="7D62D37B" w14:textId="27CBB181" w:rsidR="00C84B6D" w:rsidRPr="00873B6C" w:rsidRDefault="00C84B6D" w:rsidP="00562E84">
      <w:pPr>
        <w:pStyle w:val="B2"/>
      </w:pPr>
      <w:r w:rsidRPr="00873B6C">
        <w:tab/>
        <w:t xml:space="preserve">Details are defined in </w:t>
      </w:r>
      <w:r w:rsidR="00972E70" w:rsidRPr="00873B6C">
        <w:t>TS 23.256 [</w:t>
      </w:r>
      <w:r w:rsidRPr="00873B6C">
        <w:t>136].</w:t>
      </w:r>
    </w:p>
    <w:p w14:paraId="539F6B8E" w14:textId="77777777" w:rsidR="007C344D" w:rsidRPr="00873B6C" w:rsidRDefault="007C344D" w:rsidP="00C74FFE">
      <w:pPr>
        <w:pStyle w:val="B1"/>
      </w:pPr>
      <w:r w:rsidRPr="00873B6C">
        <w:t>-</w:t>
      </w:r>
      <w:r w:rsidRPr="00873B6C">
        <w:tab/>
        <w:t>Support of EAS deployment functionality:</w:t>
      </w:r>
    </w:p>
    <w:p w14:paraId="3A8CB97D" w14:textId="147463F2" w:rsidR="007C344D" w:rsidRPr="00873B6C" w:rsidRDefault="007C344D" w:rsidP="00C74FFE">
      <w:pPr>
        <w:pStyle w:val="B2"/>
      </w:pPr>
      <w:r w:rsidRPr="00873B6C">
        <w:tab/>
        <w:t xml:space="preserve">Details are defined in </w:t>
      </w:r>
      <w:r w:rsidR="00972E70" w:rsidRPr="00873B6C">
        <w:t>TS 23.548 [</w:t>
      </w:r>
      <w:r w:rsidRPr="00873B6C">
        <w:t>130].</w:t>
      </w:r>
    </w:p>
    <w:p w14:paraId="06D7281F" w14:textId="77777777" w:rsidR="00183D3D" w:rsidRPr="00873B6C" w:rsidRDefault="00183D3D" w:rsidP="00433EFC">
      <w:pPr>
        <w:pStyle w:val="B1"/>
      </w:pPr>
      <w:r w:rsidRPr="00873B6C">
        <w:t>-</w:t>
      </w:r>
      <w:r w:rsidRPr="00873B6C">
        <w:tab/>
        <w:t>Support of SBI-based MO SM transmit for MSISDN-less MO SMS:</w:t>
      </w:r>
    </w:p>
    <w:p w14:paraId="155B090C" w14:textId="596244D6" w:rsidR="00183D3D" w:rsidRPr="00873B6C" w:rsidRDefault="00183D3D" w:rsidP="00433EFC">
      <w:pPr>
        <w:pStyle w:val="B2"/>
      </w:pPr>
      <w:r w:rsidRPr="00873B6C">
        <w:tab/>
        <w:t xml:space="preserve">Details are defined in </w:t>
      </w:r>
      <w:r w:rsidR="00972E70" w:rsidRPr="00873B6C">
        <w:t>TS 23.540 [</w:t>
      </w:r>
      <w:r w:rsidRPr="00873B6C">
        <w:t>142].</w:t>
      </w:r>
    </w:p>
    <w:p w14:paraId="2DB5EDEB" w14:textId="3A991BC1" w:rsidR="00AB1E8D" w:rsidRPr="00873B6C" w:rsidRDefault="00AB1E8D" w:rsidP="00AB1E8D">
      <w:pPr>
        <w:pStyle w:val="B1"/>
      </w:pPr>
      <w:r w:rsidRPr="00873B6C">
        <w:t>-</w:t>
      </w:r>
      <w:r w:rsidRPr="00873B6C">
        <w:tab/>
        <w:t>Support PDU Set</w:t>
      </w:r>
      <w:r w:rsidR="0036079D">
        <w:t xml:space="preserve"> based</w:t>
      </w:r>
      <w:r w:rsidRPr="00873B6C">
        <w:t xml:space="preserve"> </w:t>
      </w:r>
      <w:r w:rsidR="0036079D">
        <w:t>h</w:t>
      </w:r>
      <w:r w:rsidRPr="00873B6C">
        <w:t>andling as defined in clause 5.37.</w:t>
      </w:r>
      <w:r w:rsidR="00C92133" w:rsidRPr="00873B6C">
        <w:t>5</w:t>
      </w:r>
      <w:r w:rsidRPr="00873B6C">
        <w:t>.</w:t>
      </w:r>
    </w:p>
    <w:p w14:paraId="5680C4FD" w14:textId="77777777" w:rsidR="0029208C" w:rsidRPr="00873B6C" w:rsidRDefault="0029208C" w:rsidP="0029208C">
      <w:pPr>
        <w:pStyle w:val="B1"/>
      </w:pPr>
      <w:r w:rsidRPr="00873B6C">
        <w:t>-</w:t>
      </w:r>
      <w:r w:rsidRPr="00873B6C">
        <w:tab/>
        <w:t>Support management of common EAS and common DNAI:</w:t>
      </w:r>
    </w:p>
    <w:p w14:paraId="2511F8A6" w14:textId="77777777" w:rsidR="0029208C" w:rsidRPr="00873B6C" w:rsidRDefault="0029208C" w:rsidP="00D64A02">
      <w:pPr>
        <w:pStyle w:val="B2"/>
      </w:pPr>
      <w:r w:rsidRPr="00873B6C">
        <w:tab/>
        <w:t>Details are defined in TS 23.548 [130].</w:t>
      </w:r>
    </w:p>
    <w:p w14:paraId="27CD9084" w14:textId="072AF08D" w:rsidR="00D40151" w:rsidRPr="00873B6C" w:rsidRDefault="00D40151" w:rsidP="00D40151">
      <w:r w:rsidRPr="00873B6C">
        <w:t>A specific NEF instance may support one or more of the functionalities described above and consequently an individual NEF may support a subset of the APIs specified for capability exposure.</w:t>
      </w:r>
    </w:p>
    <w:p w14:paraId="142DDC5E" w14:textId="77777777" w:rsidR="00D40151" w:rsidRPr="00873B6C" w:rsidRDefault="00D40151" w:rsidP="00D40151">
      <w:pPr>
        <w:pStyle w:val="NO"/>
      </w:pPr>
      <w:r w:rsidRPr="00873B6C">
        <w:t>NOTE:</w:t>
      </w:r>
      <w:r w:rsidRPr="00873B6C">
        <w:tab/>
      </w:r>
      <w:r w:rsidRPr="00873B6C">
        <w:rPr>
          <w:rFonts w:eastAsia="SimSun"/>
          <w:lang w:eastAsia="zh-CN"/>
        </w:rPr>
        <w:t>The NEF can access the UDR located in the same PLMN as the NEF</w:t>
      </w:r>
      <w:r w:rsidRPr="00873B6C">
        <w:t>.</w:t>
      </w:r>
    </w:p>
    <w:p w14:paraId="3E6BAF68" w14:textId="77777777" w:rsidR="00D40151" w:rsidRPr="00873B6C" w:rsidRDefault="00D40151" w:rsidP="00D40151">
      <w:r w:rsidRPr="00873B6C">
        <w:t>The services provided by the NEF are specified in clause 7.2.8.</w:t>
      </w:r>
    </w:p>
    <w:p w14:paraId="3F08F293" w14:textId="77777777" w:rsidR="00D40151" w:rsidRPr="00873B6C" w:rsidRDefault="00D40151" w:rsidP="00D40151">
      <w:r w:rsidRPr="00873B6C">
        <w:t>For external exposure of services related to specific UE(s), the NEF resides in the HPLMN. Depending on operator agreements, the NEF in the HPLMN may have interface(s) with NF(s) in the VPLMN.</w:t>
      </w:r>
    </w:p>
    <w:p w14:paraId="554EC6E5" w14:textId="77777777" w:rsidR="00D40151" w:rsidRPr="00873B6C" w:rsidRDefault="00D40151" w:rsidP="00D40151">
      <w:r w:rsidRPr="00873B6C">
        <w:t>When a UE is capable of switching between EPC and 5GC, an SCEF+NEF is used for service exposure. See clause 5.17.5 for a description of the SCEF+NEF.</w:t>
      </w:r>
    </w:p>
    <w:p w14:paraId="4A3122B2" w14:textId="77777777" w:rsidR="00D40151" w:rsidRPr="00873B6C" w:rsidRDefault="00D40151" w:rsidP="00D40151">
      <w:pPr>
        <w:pStyle w:val="Heading4"/>
      </w:pPr>
      <w:bookmarkStart w:id="5323" w:name="_CR6_2_5_1"/>
      <w:bookmarkStart w:id="5324" w:name="_Toc20150189"/>
      <w:bookmarkStart w:id="5325" w:name="_Toc27846997"/>
      <w:bookmarkStart w:id="5326" w:name="_Toc36188128"/>
      <w:bookmarkStart w:id="5327" w:name="_Toc45184035"/>
      <w:bookmarkStart w:id="5328" w:name="_Toc47342877"/>
      <w:bookmarkStart w:id="5329" w:name="_Toc51769579"/>
      <w:bookmarkStart w:id="5330" w:name="_Toc201157729"/>
      <w:bookmarkEnd w:id="5323"/>
      <w:r w:rsidRPr="00873B6C">
        <w:t>6.2.5.1</w:t>
      </w:r>
      <w:r w:rsidRPr="00873B6C">
        <w:tab/>
        <w:t>Support for CAPIF</w:t>
      </w:r>
      <w:bookmarkEnd w:id="5324"/>
      <w:bookmarkEnd w:id="5325"/>
      <w:bookmarkEnd w:id="5326"/>
      <w:bookmarkEnd w:id="5327"/>
      <w:bookmarkEnd w:id="5328"/>
      <w:bookmarkEnd w:id="5329"/>
      <w:bookmarkEnd w:id="5330"/>
    </w:p>
    <w:p w14:paraId="5A0CE8E5" w14:textId="3374E4FE" w:rsidR="00D40151" w:rsidRPr="00873B6C" w:rsidRDefault="00D40151" w:rsidP="00D40151">
      <w:pPr>
        <w:rPr>
          <w:lang w:eastAsia="x-none"/>
        </w:rPr>
      </w:pPr>
      <w:r w:rsidRPr="00873B6C">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972E70" w:rsidRPr="00873B6C">
        <w:rPr>
          <w:lang w:eastAsia="x-none"/>
        </w:rPr>
        <w:t>TS 23.222 [</w:t>
      </w:r>
      <w:r w:rsidRPr="00873B6C">
        <w:rPr>
          <w:lang w:eastAsia="x-none"/>
        </w:rPr>
        <w:t>64].</w:t>
      </w:r>
    </w:p>
    <w:p w14:paraId="3C4F780D" w14:textId="77777777" w:rsidR="00D40151" w:rsidRPr="00873B6C" w:rsidRDefault="00D40151" w:rsidP="00D40151">
      <w:pPr>
        <w:pStyle w:val="Heading3"/>
      </w:pPr>
      <w:bookmarkStart w:id="5331" w:name="_CR6_2_5a"/>
      <w:bookmarkStart w:id="5332" w:name="_Toc20150190"/>
      <w:bookmarkStart w:id="5333" w:name="_Toc27846998"/>
      <w:bookmarkStart w:id="5334" w:name="_Toc36188129"/>
      <w:bookmarkStart w:id="5335" w:name="_Toc45184036"/>
      <w:bookmarkStart w:id="5336" w:name="_Toc47342878"/>
      <w:bookmarkStart w:id="5337" w:name="_Toc51769580"/>
      <w:bookmarkStart w:id="5338" w:name="_Toc201157730"/>
      <w:bookmarkEnd w:id="5331"/>
      <w:r w:rsidRPr="00873B6C">
        <w:lastRenderedPageBreak/>
        <w:t>6.2.5a</w:t>
      </w:r>
      <w:r w:rsidRPr="00873B6C">
        <w:tab/>
        <w:t>Void</w:t>
      </w:r>
      <w:bookmarkEnd w:id="5332"/>
      <w:bookmarkEnd w:id="5333"/>
      <w:bookmarkEnd w:id="5334"/>
      <w:bookmarkEnd w:id="5335"/>
      <w:bookmarkEnd w:id="5336"/>
      <w:bookmarkEnd w:id="5337"/>
      <w:bookmarkEnd w:id="5338"/>
    </w:p>
    <w:p w14:paraId="4FBD62EA" w14:textId="77777777" w:rsidR="00D40151" w:rsidRPr="00873B6C" w:rsidRDefault="00D40151" w:rsidP="00D40151"/>
    <w:p w14:paraId="2F887CD5" w14:textId="77777777" w:rsidR="00D40151" w:rsidRPr="00873B6C" w:rsidRDefault="00D40151" w:rsidP="00D40151">
      <w:pPr>
        <w:pStyle w:val="Heading3"/>
      </w:pPr>
      <w:bookmarkStart w:id="5339" w:name="_CR6_2_6"/>
      <w:bookmarkStart w:id="5340" w:name="_Toc20150191"/>
      <w:bookmarkStart w:id="5341" w:name="_Toc27846999"/>
      <w:bookmarkStart w:id="5342" w:name="_Toc36188130"/>
      <w:bookmarkStart w:id="5343" w:name="_Toc45184037"/>
      <w:bookmarkStart w:id="5344" w:name="_Toc47342879"/>
      <w:bookmarkStart w:id="5345" w:name="_Toc51769581"/>
      <w:bookmarkStart w:id="5346" w:name="_Toc201157731"/>
      <w:bookmarkEnd w:id="5339"/>
      <w:r w:rsidRPr="00873B6C">
        <w:t>6.2.6</w:t>
      </w:r>
      <w:r w:rsidRPr="00873B6C">
        <w:tab/>
        <w:t>NRF</w:t>
      </w:r>
      <w:bookmarkEnd w:id="5340"/>
      <w:bookmarkEnd w:id="5341"/>
      <w:bookmarkEnd w:id="5342"/>
      <w:bookmarkEnd w:id="5343"/>
      <w:bookmarkEnd w:id="5344"/>
      <w:bookmarkEnd w:id="5345"/>
      <w:bookmarkEnd w:id="5346"/>
    </w:p>
    <w:p w14:paraId="2229B858" w14:textId="77777777" w:rsidR="00D40151" w:rsidRPr="00873B6C" w:rsidRDefault="00D40151" w:rsidP="00D40151">
      <w:pPr>
        <w:pStyle w:val="Heading4"/>
      </w:pPr>
      <w:bookmarkStart w:id="5347" w:name="_CR6_2_6_1"/>
      <w:bookmarkStart w:id="5348" w:name="_Toc45184038"/>
      <w:bookmarkStart w:id="5349" w:name="_Toc47342880"/>
      <w:bookmarkStart w:id="5350" w:name="_Toc51769582"/>
      <w:bookmarkStart w:id="5351" w:name="_Toc201157732"/>
      <w:bookmarkEnd w:id="5347"/>
      <w:r w:rsidRPr="00873B6C">
        <w:t>6.2.6.1</w:t>
      </w:r>
      <w:r w:rsidRPr="00873B6C">
        <w:tab/>
        <w:t>General</w:t>
      </w:r>
      <w:bookmarkEnd w:id="5348"/>
      <w:bookmarkEnd w:id="5349"/>
      <w:bookmarkEnd w:id="5350"/>
      <w:bookmarkEnd w:id="5351"/>
    </w:p>
    <w:p w14:paraId="3591CDF4" w14:textId="77777777" w:rsidR="00D40151" w:rsidRPr="00873B6C" w:rsidRDefault="00D40151" w:rsidP="00D40151">
      <w:r w:rsidRPr="00873B6C">
        <w:t>The Network Repository Function (NRF) supports the following functionality:</w:t>
      </w:r>
    </w:p>
    <w:p w14:paraId="38C5D6BA" w14:textId="18CB75EA" w:rsidR="006E7E83" w:rsidRPr="00873B6C" w:rsidRDefault="006E7E83" w:rsidP="00D40151">
      <w:pPr>
        <w:pStyle w:val="B1"/>
      </w:pPr>
      <w:r w:rsidRPr="00873B6C">
        <w:t>-</w:t>
      </w:r>
      <w:r w:rsidRPr="00873B6C">
        <w:tab/>
        <w:t>Supports service discovery of NRF services and their endpoint addresses by the NRF bootstrapping service.</w:t>
      </w:r>
    </w:p>
    <w:p w14:paraId="3596D625" w14:textId="2109979E" w:rsidR="00D40151" w:rsidRPr="00873B6C" w:rsidRDefault="00D40151" w:rsidP="00D40151">
      <w:pPr>
        <w:pStyle w:val="B1"/>
      </w:pPr>
      <w:r w:rsidRPr="00873B6C">
        <w:t>-</w:t>
      </w:r>
      <w:r w:rsidRPr="00873B6C">
        <w:tab/>
        <w:t>Supports service discovery function. Receive NF Discovery Request from NF instance or SCP</w:t>
      </w:r>
      <w:r w:rsidR="00472CD7" w:rsidRPr="00873B6C">
        <w:t xml:space="preserve"> and</w:t>
      </w:r>
      <w:r w:rsidRPr="00873B6C">
        <w:t xml:space="preserve"> provides the information of the discovered NF instances (be discovered) to the NF instance or SCP.</w:t>
      </w:r>
    </w:p>
    <w:p w14:paraId="76A20E5F" w14:textId="77777777" w:rsidR="00D40151" w:rsidRPr="00873B6C" w:rsidRDefault="00D40151" w:rsidP="00D40151">
      <w:pPr>
        <w:pStyle w:val="B1"/>
        <w:rPr>
          <w:rFonts w:eastAsia="DengXian"/>
        </w:rPr>
      </w:pPr>
      <w:r w:rsidRPr="00873B6C">
        <w:rPr>
          <w:rFonts w:eastAsia="DengXian"/>
        </w:rPr>
        <w:t>-</w:t>
      </w:r>
      <w:r w:rsidRPr="00873B6C">
        <w:rPr>
          <w:rFonts w:eastAsia="DengXian"/>
        </w:rPr>
        <w:tab/>
        <w:t>Supports P-CSCF discovery (specialized case of AF discovery by SMF).</w:t>
      </w:r>
    </w:p>
    <w:p w14:paraId="420E56E9" w14:textId="77777777" w:rsidR="00D40151" w:rsidRPr="00873B6C" w:rsidRDefault="00D40151" w:rsidP="00D40151">
      <w:pPr>
        <w:pStyle w:val="B1"/>
      </w:pPr>
      <w:r w:rsidRPr="00873B6C">
        <w:rPr>
          <w:rFonts w:eastAsia="DengXian"/>
        </w:rPr>
        <w:t>-</w:t>
      </w:r>
      <w:r w:rsidRPr="00873B6C">
        <w:rPr>
          <w:rFonts w:eastAsia="DengXian"/>
        </w:rPr>
        <w:tab/>
        <w:t>Maintains</w:t>
      </w:r>
      <w:r w:rsidRPr="00873B6C">
        <w:t xml:space="preserve"> the NF profile of available NF instances and their supported services.</w:t>
      </w:r>
    </w:p>
    <w:p w14:paraId="3B2900FC" w14:textId="77777777" w:rsidR="00D40151" w:rsidRPr="00873B6C" w:rsidRDefault="00D40151" w:rsidP="00D40151">
      <w:pPr>
        <w:pStyle w:val="B1"/>
        <w:rPr>
          <w:rFonts w:eastAsia="DengXian"/>
        </w:rPr>
      </w:pPr>
      <w:r w:rsidRPr="00873B6C">
        <w:rPr>
          <w:rFonts w:eastAsia="DengXian"/>
        </w:rPr>
        <w:t>-</w:t>
      </w:r>
      <w:r w:rsidRPr="00873B6C">
        <w:rPr>
          <w:rFonts w:eastAsia="DengXian"/>
        </w:rPr>
        <w:tab/>
        <w:t>Maintains SCP profile of available SCP instances.</w:t>
      </w:r>
    </w:p>
    <w:p w14:paraId="2F17A34E" w14:textId="77777777" w:rsidR="00D40151" w:rsidRPr="00873B6C" w:rsidRDefault="00D40151" w:rsidP="00D40151">
      <w:pPr>
        <w:pStyle w:val="B1"/>
        <w:rPr>
          <w:rFonts w:eastAsia="DengXian"/>
        </w:rPr>
      </w:pPr>
      <w:r w:rsidRPr="00873B6C">
        <w:rPr>
          <w:rFonts w:eastAsia="DengXian"/>
        </w:rPr>
        <w:t>-</w:t>
      </w:r>
      <w:r w:rsidRPr="00873B6C">
        <w:rPr>
          <w:rFonts w:eastAsia="DengXian"/>
        </w:rPr>
        <w:tab/>
        <w:t>Supports SCP discovery by SCP instances.</w:t>
      </w:r>
    </w:p>
    <w:p w14:paraId="38E0C66C" w14:textId="77777777" w:rsidR="00D40151" w:rsidRPr="00873B6C" w:rsidRDefault="00D40151" w:rsidP="00D40151">
      <w:pPr>
        <w:pStyle w:val="B1"/>
        <w:rPr>
          <w:rFonts w:eastAsia="DengXian"/>
        </w:rPr>
      </w:pPr>
      <w:r w:rsidRPr="00873B6C">
        <w:rPr>
          <w:rFonts w:eastAsia="DengXian"/>
        </w:rPr>
        <w:t>-</w:t>
      </w:r>
      <w:r w:rsidRPr="00873B6C">
        <w:rPr>
          <w:rFonts w:eastAsia="DengXian"/>
        </w:rPr>
        <w:tab/>
        <w:t>Notifies about newly registered/updated/ deregistered NF and SCP instances along with its potential NF services to the subscribed NF service consumer or SCP.</w:t>
      </w:r>
    </w:p>
    <w:p w14:paraId="2228E3F8" w14:textId="77777777" w:rsidR="00D40151" w:rsidRPr="00873B6C" w:rsidRDefault="00D40151" w:rsidP="00D40151">
      <w:pPr>
        <w:pStyle w:val="B1"/>
        <w:rPr>
          <w:rFonts w:eastAsia="DengXian"/>
        </w:rPr>
      </w:pPr>
      <w:r w:rsidRPr="00873B6C">
        <w:rPr>
          <w:rFonts w:eastAsia="DengXian"/>
        </w:rPr>
        <w:t>-</w:t>
      </w:r>
      <w:r w:rsidRPr="00873B6C">
        <w:rPr>
          <w:rFonts w:eastAsia="DengXian"/>
        </w:rPr>
        <w:tab/>
        <w:t>Maintains the health status of NFs and SCP.</w:t>
      </w:r>
    </w:p>
    <w:p w14:paraId="15BE668E" w14:textId="77777777" w:rsidR="00D40151" w:rsidRPr="00873B6C" w:rsidRDefault="00D40151" w:rsidP="00D40151">
      <w:pPr>
        <w:rPr>
          <w:lang w:eastAsia="zh-CN"/>
        </w:rPr>
      </w:pPr>
      <w:r w:rsidRPr="00873B6C">
        <w:rPr>
          <w:lang w:eastAsia="zh-CN"/>
        </w:rPr>
        <w:t>In the context of Network Slicing, based on network implementation, multiple NRFs can be deployed at different levels (see clause 5.15.5):</w:t>
      </w:r>
    </w:p>
    <w:p w14:paraId="447117AC" w14:textId="77777777" w:rsidR="00D40151" w:rsidRPr="00873B6C" w:rsidRDefault="00D40151" w:rsidP="00D40151">
      <w:pPr>
        <w:pStyle w:val="B1"/>
        <w:rPr>
          <w:lang w:eastAsia="zh-CN"/>
        </w:rPr>
      </w:pPr>
      <w:r w:rsidRPr="00873B6C">
        <w:rPr>
          <w:lang w:eastAsia="zh-CN"/>
        </w:rPr>
        <w:t>-</w:t>
      </w:r>
      <w:r w:rsidRPr="00873B6C">
        <w:rPr>
          <w:lang w:eastAsia="zh-CN"/>
        </w:rPr>
        <w:tab/>
        <w:t>PLMN level (the NRF is configured with information for the whole PLMN),</w:t>
      </w:r>
    </w:p>
    <w:p w14:paraId="41A60344" w14:textId="77777777" w:rsidR="00D40151" w:rsidRPr="00873B6C" w:rsidRDefault="00D40151" w:rsidP="00D40151">
      <w:pPr>
        <w:pStyle w:val="B1"/>
        <w:rPr>
          <w:lang w:eastAsia="zh-CN"/>
        </w:rPr>
      </w:pPr>
      <w:r w:rsidRPr="00873B6C">
        <w:rPr>
          <w:lang w:eastAsia="zh-CN"/>
        </w:rPr>
        <w:t>-</w:t>
      </w:r>
      <w:r w:rsidRPr="00873B6C">
        <w:rPr>
          <w:lang w:eastAsia="zh-CN"/>
        </w:rPr>
        <w:tab/>
        <w:t>shared-slice level (the NRF is configured with information belonging to a set of Network Slices),</w:t>
      </w:r>
    </w:p>
    <w:p w14:paraId="18D8231E" w14:textId="77777777" w:rsidR="00D40151" w:rsidRPr="00873B6C" w:rsidRDefault="00D40151" w:rsidP="00D40151">
      <w:pPr>
        <w:pStyle w:val="B1"/>
        <w:rPr>
          <w:lang w:eastAsia="zh-CN"/>
        </w:rPr>
      </w:pPr>
      <w:r w:rsidRPr="00873B6C">
        <w:rPr>
          <w:lang w:eastAsia="zh-CN"/>
        </w:rPr>
        <w:t>-</w:t>
      </w:r>
      <w:r w:rsidRPr="00873B6C">
        <w:rPr>
          <w:lang w:eastAsia="zh-CN"/>
        </w:rPr>
        <w:tab/>
        <w:t>slice-specific level (the NRF is configured with information belonging to an S-NSSAI).</w:t>
      </w:r>
    </w:p>
    <w:p w14:paraId="36C80074" w14:textId="77777777" w:rsidR="00D40151" w:rsidRPr="00873B6C" w:rsidRDefault="00D40151" w:rsidP="00D40151">
      <w:pPr>
        <w:rPr>
          <w:lang w:eastAsia="zh-CN"/>
        </w:rPr>
      </w:pPr>
      <w:r w:rsidRPr="00873B6C">
        <w:rPr>
          <w:lang w:eastAsia="zh-CN"/>
        </w:rPr>
        <w:t>In the context of roaming, multiple NRFs may be deployed in the different networks (see clause 4.2.4):</w:t>
      </w:r>
    </w:p>
    <w:p w14:paraId="31C631B7" w14:textId="77777777" w:rsidR="00D40151" w:rsidRPr="00873B6C" w:rsidRDefault="00D40151" w:rsidP="00D40151">
      <w:pPr>
        <w:pStyle w:val="B1"/>
        <w:rPr>
          <w:lang w:eastAsia="zh-CN"/>
        </w:rPr>
      </w:pPr>
      <w:r w:rsidRPr="00873B6C">
        <w:rPr>
          <w:lang w:eastAsia="zh-CN"/>
        </w:rPr>
        <w:t>-</w:t>
      </w:r>
      <w:r w:rsidRPr="00873B6C">
        <w:rPr>
          <w:lang w:eastAsia="zh-CN"/>
        </w:rPr>
        <w:tab/>
        <w:t>the NRF(s) in the Visited PLMN (known as the vNRF) configured with information for the visited PLMN.</w:t>
      </w:r>
    </w:p>
    <w:p w14:paraId="1B6E0F93" w14:textId="77777777" w:rsidR="00D40151" w:rsidRPr="00873B6C" w:rsidRDefault="00D40151" w:rsidP="00D40151">
      <w:pPr>
        <w:pStyle w:val="B1"/>
        <w:rPr>
          <w:lang w:eastAsia="zh-CN"/>
        </w:rPr>
      </w:pPr>
      <w:r w:rsidRPr="00873B6C">
        <w:rPr>
          <w:lang w:eastAsia="zh-CN"/>
        </w:rPr>
        <w:t>-</w:t>
      </w:r>
      <w:r w:rsidRPr="00873B6C">
        <w:rPr>
          <w:lang w:eastAsia="zh-CN"/>
        </w:rPr>
        <w:tab/>
        <w:t>the NRF(s) in the Home PLMN (known as the hNRF) configured with information for the home PLMN, referenced by the vNRF via the N27 interface.</w:t>
      </w:r>
    </w:p>
    <w:p w14:paraId="685848ED" w14:textId="77777777" w:rsidR="00D40151" w:rsidRPr="00873B6C" w:rsidRDefault="00D40151" w:rsidP="00D40151">
      <w:pPr>
        <w:pStyle w:val="Heading4"/>
      </w:pPr>
      <w:bookmarkStart w:id="5352" w:name="_CR6_2_6_2"/>
      <w:bookmarkStart w:id="5353" w:name="_Toc45184039"/>
      <w:bookmarkStart w:id="5354" w:name="_Toc47342881"/>
      <w:bookmarkStart w:id="5355" w:name="_Toc51769583"/>
      <w:bookmarkStart w:id="5356" w:name="_Toc201157733"/>
      <w:bookmarkEnd w:id="5352"/>
      <w:r w:rsidRPr="00873B6C">
        <w:t>6.2.6.2</w:t>
      </w:r>
      <w:r w:rsidRPr="00873B6C">
        <w:tab/>
        <w:t>NF profile</w:t>
      </w:r>
      <w:bookmarkEnd w:id="5353"/>
      <w:bookmarkEnd w:id="5354"/>
      <w:bookmarkEnd w:id="5355"/>
      <w:bookmarkEnd w:id="5356"/>
    </w:p>
    <w:p w14:paraId="1DF293BA" w14:textId="77777777" w:rsidR="00D40151" w:rsidRPr="00873B6C" w:rsidRDefault="00D40151" w:rsidP="00D40151">
      <w:pPr>
        <w:rPr>
          <w:lang w:eastAsia="zh-CN"/>
        </w:rPr>
      </w:pPr>
      <w:r w:rsidRPr="00873B6C">
        <w:rPr>
          <w:lang w:eastAsia="zh-CN"/>
        </w:rPr>
        <w:t>NF profile of NF instance maintained in an NRF includes the following information:</w:t>
      </w:r>
    </w:p>
    <w:p w14:paraId="7E1A020F" w14:textId="77777777" w:rsidR="00D40151" w:rsidRPr="00873B6C" w:rsidRDefault="00D40151" w:rsidP="00D40151">
      <w:pPr>
        <w:pStyle w:val="B1"/>
        <w:rPr>
          <w:lang w:eastAsia="zh-CN"/>
        </w:rPr>
      </w:pPr>
      <w:r w:rsidRPr="00873B6C">
        <w:t>-</w:t>
      </w:r>
      <w:r w:rsidRPr="00873B6C">
        <w:tab/>
      </w:r>
      <w:r w:rsidRPr="00873B6C">
        <w:rPr>
          <w:lang w:eastAsia="zh-CN"/>
        </w:rPr>
        <w:t>NF instance ID.</w:t>
      </w:r>
    </w:p>
    <w:p w14:paraId="46CE0231" w14:textId="77777777" w:rsidR="00D40151" w:rsidRPr="00873B6C" w:rsidRDefault="00D40151" w:rsidP="00D40151">
      <w:pPr>
        <w:pStyle w:val="B1"/>
        <w:rPr>
          <w:lang w:eastAsia="zh-CN"/>
        </w:rPr>
      </w:pPr>
      <w:r w:rsidRPr="00873B6C">
        <w:t>-</w:t>
      </w:r>
      <w:r w:rsidRPr="00873B6C">
        <w:tab/>
      </w:r>
      <w:r w:rsidRPr="00873B6C">
        <w:rPr>
          <w:lang w:eastAsia="zh-CN"/>
        </w:rPr>
        <w:t>NF type.</w:t>
      </w:r>
    </w:p>
    <w:p w14:paraId="6836FEAB" w14:textId="45F0F26B" w:rsidR="00D40151" w:rsidRPr="00873B6C" w:rsidRDefault="00D40151" w:rsidP="00D40151">
      <w:pPr>
        <w:pStyle w:val="B1"/>
        <w:rPr>
          <w:lang w:eastAsia="zh-CN"/>
        </w:rPr>
      </w:pPr>
      <w:r w:rsidRPr="00873B6C">
        <w:t>-</w:t>
      </w:r>
      <w:r w:rsidRPr="00873B6C">
        <w:tab/>
      </w:r>
      <w:r w:rsidRPr="00873B6C">
        <w:rPr>
          <w:lang w:eastAsia="zh-CN"/>
        </w:rPr>
        <w:t>PLMN ID</w:t>
      </w:r>
      <w:r w:rsidR="00EC761C" w:rsidRPr="00873B6C">
        <w:rPr>
          <w:lang w:eastAsia="zh-CN"/>
        </w:rPr>
        <w:t xml:space="preserve"> in the case of PLMN, PLMN ID + NID in the case of SNPN</w:t>
      </w:r>
      <w:r w:rsidRPr="00873B6C">
        <w:rPr>
          <w:lang w:eastAsia="zh-CN"/>
        </w:rPr>
        <w:t>.</w:t>
      </w:r>
    </w:p>
    <w:p w14:paraId="20D4E367" w14:textId="77777777" w:rsidR="00D40151" w:rsidRPr="00873B6C" w:rsidRDefault="00D40151" w:rsidP="00D40151">
      <w:pPr>
        <w:pStyle w:val="B1"/>
        <w:rPr>
          <w:lang w:eastAsia="zh-CN"/>
        </w:rPr>
      </w:pPr>
      <w:r w:rsidRPr="00873B6C">
        <w:t>-</w:t>
      </w:r>
      <w:r w:rsidRPr="00873B6C">
        <w:tab/>
        <w:t xml:space="preserve">Network Slice related </w:t>
      </w:r>
      <w:r w:rsidRPr="00873B6C">
        <w:rPr>
          <w:lang w:eastAsia="zh-CN"/>
        </w:rPr>
        <w:t>Identifier(s) e.g. S-NSSAI, NSI ID.</w:t>
      </w:r>
    </w:p>
    <w:p w14:paraId="2224B4DF" w14:textId="77777777" w:rsidR="00D40151" w:rsidRPr="00873B6C" w:rsidRDefault="00D40151" w:rsidP="00D40151">
      <w:pPr>
        <w:pStyle w:val="B1"/>
        <w:rPr>
          <w:lang w:eastAsia="zh-CN"/>
        </w:rPr>
      </w:pPr>
      <w:r w:rsidRPr="00873B6C">
        <w:t>-</w:t>
      </w:r>
      <w:r w:rsidRPr="00873B6C">
        <w:tab/>
      </w:r>
      <w:r w:rsidRPr="00873B6C">
        <w:rPr>
          <w:lang w:eastAsia="zh-CN"/>
        </w:rPr>
        <w:t>FQDN or IP address of NF.</w:t>
      </w:r>
    </w:p>
    <w:p w14:paraId="753B894E" w14:textId="77777777" w:rsidR="00D40151" w:rsidRPr="00873B6C" w:rsidRDefault="00D40151" w:rsidP="00D40151">
      <w:pPr>
        <w:pStyle w:val="B1"/>
        <w:rPr>
          <w:lang w:eastAsia="zh-CN"/>
        </w:rPr>
      </w:pPr>
      <w:r w:rsidRPr="00873B6C">
        <w:t>-</w:t>
      </w:r>
      <w:r w:rsidRPr="00873B6C">
        <w:tab/>
        <w:t xml:space="preserve">NF </w:t>
      </w:r>
      <w:r w:rsidRPr="00873B6C">
        <w:rPr>
          <w:lang w:eastAsia="zh-CN"/>
        </w:rPr>
        <w:t>capacity information.</w:t>
      </w:r>
    </w:p>
    <w:p w14:paraId="080F5B51" w14:textId="77777777"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NF priority information.</w:t>
      </w:r>
    </w:p>
    <w:p w14:paraId="502EEE25" w14:textId="7F002AED" w:rsidR="00D40151" w:rsidRPr="00873B6C" w:rsidRDefault="00D40151" w:rsidP="00D40151">
      <w:pPr>
        <w:pStyle w:val="NO"/>
        <w:rPr>
          <w:rFonts w:eastAsia="Malgun Gothic"/>
          <w:lang w:eastAsia="ko-KR"/>
        </w:rPr>
      </w:pPr>
      <w:r w:rsidRPr="00873B6C">
        <w:rPr>
          <w:rFonts w:eastAsia="Malgun Gothic"/>
          <w:lang w:eastAsia="ko-KR"/>
        </w:rPr>
        <w:t>NOTE 1:</w:t>
      </w:r>
      <w:r w:rsidRPr="00873B6C">
        <w:rPr>
          <w:rFonts w:eastAsia="Malgun Gothic"/>
          <w:lang w:eastAsia="ko-KR"/>
        </w:rPr>
        <w:tab/>
        <w:t xml:space="preserve">This parameter is used for AMF selection, if applicable, as specified in clause 6.3.5. See clause 6.1.6.2.2 of </w:t>
      </w:r>
      <w:r w:rsidR="00972E70" w:rsidRPr="00873B6C">
        <w:rPr>
          <w:rFonts w:eastAsia="Malgun Gothic"/>
          <w:lang w:eastAsia="ko-KR"/>
        </w:rPr>
        <w:t>TS 29.510 [</w:t>
      </w:r>
      <w:r w:rsidRPr="00873B6C">
        <w:rPr>
          <w:rFonts w:eastAsia="Malgun Gothic"/>
          <w:lang w:eastAsia="ko-KR"/>
        </w:rPr>
        <w:t>58] for its detailed use.</w:t>
      </w:r>
    </w:p>
    <w:p w14:paraId="3372D25D" w14:textId="77777777" w:rsidR="00D40151" w:rsidRPr="00873B6C" w:rsidRDefault="00D40151" w:rsidP="00D40151">
      <w:pPr>
        <w:pStyle w:val="B1"/>
        <w:rPr>
          <w:rFonts w:eastAsia="Malgun Gothic"/>
        </w:rPr>
      </w:pPr>
      <w:r w:rsidRPr="00873B6C">
        <w:rPr>
          <w:rFonts w:eastAsia="Malgun Gothic"/>
        </w:rPr>
        <w:lastRenderedPageBreak/>
        <w:t>-</w:t>
      </w:r>
      <w:r w:rsidRPr="00873B6C">
        <w:rPr>
          <w:rFonts w:eastAsia="Malgun Gothic"/>
        </w:rPr>
        <w:tab/>
        <w:t>NF Set ID.</w:t>
      </w:r>
    </w:p>
    <w:p w14:paraId="56FD1A37" w14:textId="77777777" w:rsidR="00D40151" w:rsidRPr="00873B6C" w:rsidRDefault="00D40151" w:rsidP="00D40151">
      <w:pPr>
        <w:pStyle w:val="B1"/>
        <w:rPr>
          <w:rFonts w:eastAsia="Malgun Gothic"/>
        </w:rPr>
      </w:pPr>
      <w:r w:rsidRPr="00873B6C">
        <w:rPr>
          <w:rFonts w:eastAsia="Malgun Gothic"/>
        </w:rPr>
        <w:t>-</w:t>
      </w:r>
      <w:r w:rsidRPr="00873B6C">
        <w:rPr>
          <w:rFonts w:eastAsia="Malgun Gothic"/>
        </w:rPr>
        <w:tab/>
        <w:t>NF Service Set ID of the NF service instance.</w:t>
      </w:r>
    </w:p>
    <w:p w14:paraId="46E3A76B" w14:textId="77777777" w:rsidR="00D40151" w:rsidRPr="00873B6C" w:rsidRDefault="00D40151" w:rsidP="00D40151">
      <w:pPr>
        <w:pStyle w:val="B1"/>
        <w:rPr>
          <w:lang w:eastAsia="zh-CN"/>
        </w:rPr>
      </w:pPr>
      <w:r w:rsidRPr="00873B6C">
        <w:rPr>
          <w:rFonts w:eastAsia="Malgun Gothic"/>
        </w:rPr>
        <w:t>-</w:t>
      </w:r>
      <w:r w:rsidRPr="00873B6C">
        <w:tab/>
        <w:t>NF Specific Service authorization information.</w:t>
      </w:r>
    </w:p>
    <w:p w14:paraId="269A7BE1" w14:textId="77777777" w:rsidR="00D40151" w:rsidRPr="00873B6C" w:rsidRDefault="00D40151" w:rsidP="00D40151">
      <w:pPr>
        <w:pStyle w:val="B1"/>
        <w:rPr>
          <w:lang w:eastAsia="zh-CN"/>
        </w:rPr>
      </w:pPr>
      <w:r w:rsidRPr="00873B6C">
        <w:t>-</w:t>
      </w:r>
      <w:r w:rsidRPr="00873B6C">
        <w:tab/>
        <w:t xml:space="preserve">if applicable, </w:t>
      </w:r>
      <w:r w:rsidRPr="00873B6C">
        <w:rPr>
          <w:lang w:eastAsia="zh-CN"/>
        </w:rPr>
        <w:t>Names of supported services.</w:t>
      </w:r>
    </w:p>
    <w:p w14:paraId="0F8F2F92" w14:textId="77777777" w:rsidR="00D40151" w:rsidRPr="00873B6C" w:rsidRDefault="00D40151" w:rsidP="00D40151">
      <w:pPr>
        <w:pStyle w:val="B1"/>
        <w:rPr>
          <w:lang w:eastAsia="zh-CN"/>
        </w:rPr>
      </w:pPr>
      <w:r w:rsidRPr="00873B6C">
        <w:t>-</w:t>
      </w:r>
      <w:r w:rsidRPr="00873B6C">
        <w:tab/>
      </w:r>
      <w:r w:rsidRPr="00873B6C">
        <w:rPr>
          <w:lang w:eastAsia="zh-CN"/>
        </w:rPr>
        <w:t>Endpoint Address(es) of instance(s) of each supported service.</w:t>
      </w:r>
    </w:p>
    <w:p w14:paraId="0320BCCC" w14:textId="77777777" w:rsidR="00D40151" w:rsidRPr="00873B6C" w:rsidRDefault="00D40151" w:rsidP="00D40151">
      <w:pPr>
        <w:pStyle w:val="B1"/>
        <w:rPr>
          <w:lang w:eastAsia="zh-CN"/>
        </w:rPr>
      </w:pPr>
      <w:r w:rsidRPr="00873B6C">
        <w:rPr>
          <w:lang w:eastAsia="zh-CN"/>
        </w:rPr>
        <w:t>-</w:t>
      </w:r>
      <w:r w:rsidRPr="00873B6C">
        <w:rPr>
          <w:lang w:eastAsia="zh-CN"/>
        </w:rPr>
        <w:tab/>
        <w:t>Identification of stored data/information.</w:t>
      </w:r>
    </w:p>
    <w:p w14:paraId="19F79FE6" w14:textId="54B4D1B9" w:rsidR="00D40151" w:rsidRPr="00873B6C" w:rsidRDefault="00D40151" w:rsidP="00D40151">
      <w:pPr>
        <w:pStyle w:val="NO"/>
        <w:rPr>
          <w:lang w:eastAsia="zh-CN"/>
        </w:rPr>
      </w:pPr>
      <w:r w:rsidRPr="00873B6C">
        <w:rPr>
          <w:lang w:eastAsia="zh-CN"/>
        </w:rPr>
        <w:t>NOTE </w:t>
      </w:r>
      <w:r w:rsidRPr="00873B6C">
        <w:rPr>
          <w:rFonts w:eastAsia="Malgun Gothic"/>
          <w:lang w:eastAsia="zh-CN"/>
        </w:rPr>
        <w:t>2</w:t>
      </w:r>
      <w:r w:rsidRPr="00873B6C">
        <w:rPr>
          <w:lang w:eastAsia="zh-CN"/>
        </w:rPr>
        <w:t>:</w:t>
      </w:r>
      <w:r w:rsidRPr="00873B6C">
        <w:rPr>
          <w:lang w:eastAsia="zh-CN"/>
        </w:rPr>
        <w:tab/>
        <w:t>This is only applicable for a UDR profile. See applicable input parameters for Nnrf_NFManagement_NFRegister service operation in</w:t>
      </w:r>
      <w:r w:rsidR="00131D56" w:rsidRPr="00873B6C">
        <w:rPr>
          <w:lang w:eastAsia="zh-CN"/>
        </w:rPr>
        <w:t xml:space="preserve"> clause 5.2.7.2.2</w:t>
      </w:r>
      <w:r w:rsidRPr="00873B6C">
        <w:rPr>
          <w:lang w:eastAsia="zh-CN"/>
        </w:rPr>
        <w:t xml:space="preserve"> </w:t>
      </w:r>
      <w:r w:rsidR="00131D56" w:rsidRPr="00873B6C">
        <w:rPr>
          <w:lang w:eastAsia="zh-CN"/>
        </w:rPr>
        <w:t xml:space="preserve">of </w:t>
      </w:r>
      <w:r w:rsidR="00972E70" w:rsidRPr="00873B6C">
        <w:rPr>
          <w:lang w:eastAsia="zh-CN"/>
        </w:rPr>
        <w:t>TS 23.502 [</w:t>
      </w:r>
      <w:r w:rsidRPr="00873B6C">
        <w:rPr>
          <w:lang w:eastAsia="zh-CN"/>
        </w:rPr>
        <w:t>3]. This information applicability to other NF profiles is implementation specific.</w:t>
      </w:r>
    </w:p>
    <w:p w14:paraId="4BBE0077" w14:textId="4B029638" w:rsidR="00D40151" w:rsidRPr="00873B6C" w:rsidRDefault="00D40151" w:rsidP="00D40151">
      <w:pPr>
        <w:pStyle w:val="B1"/>
        <w:rPr>
          <w:lang w:eastAsia="zh-CN"/>
        </w:rPr>
      </w:pPr>
      <w:r w:rsidRPr="00873B6C">
        <w:rPr>
          <w:lang w:eastAsia="zh-CN"/>
        </w:rPr>
        <w:t>-</w:t>
      </w:r>
      <w:r w:rsidRPr="00873B6C">
        <w:rPr>
          <w:lang w:eastAsia="zh-CN"/>
        </w:rPr>
        <w:tab/>
        <w:t>Other service parameter, e.</w:t>
      </w:r>
      <w:r w:rsidR="000E35F2" w:rsidRPr="00873B6C">
        <w:rPr>
          <w:lang w:eastAsia="zh-CN"/>
        </w:rPr>
        <w:t>g.</w:t>
      </w:r>
      <w:r w:rsidRPr="00873B6C">
        <w:rPr>
          <w:lang w:eastAsia="zh-CN"/>
        </w:rPr>
        <w:t xml:space="preserve"> DNN or DNN list, notification endpoint for each type of notification that the NF service is interested in receiving.</w:t>
      </w:r>
    </w:p>
    <w:p w14:paraId="5324B1C4" w14:textId="77777777" w:rsidR="00D40151" w:rsidRPr="00873B6C" w:rsidRDefault="00D40151" w:rsidP="00D40151">
      <w:pPr>
        <w:pStyle w:val="B1"/>
      </w:pPr>
      <w:r w:rsidRPr="00873B6C">
        <w:t>-</w:t>
      </w:r>
      <w:r w:rsidRPr="00873B6C">
        <w:tab/>
        <w:t>Location information for the NF instance.</w:t>
      </w:r>
    </w:p>
    <w:p w14:paraId="41C4928E" w14:textId="314245BF" w:rsidR="00D40151" w:rsidRPr="00873B6C" w:rsidRDefault="00D40151" w:rsidP="00D40151">
      <w:pPr>
        <w:pStyle w:val="NO"/>
      </w:pPr>
      <w:r w:rsidRPr="00873B6C">
        <w:t>NOTE </w:t>
      </w:r>
      <w:r w:rsidRPr="00873B6C">
        <w:rPr>
          <w:rFonts w:eastAsia="Malgun Gothic"/>
        </w:rPr>
        <w:t>3</w:t>
      </w:r>
      <w:r w:rsidRPr="00873B6C">
        <w:t>:</w:t>
      </w:r>
      <w:r w:rsidRPr="00873B6C">
        <w:tab/>
        <w:t xml:space="preserve">This information is operator specific. Examples of such information can be geographical location, data </w:t>
      </w:r>
      <w:r w:rsidR="0047544D" w:rsidRPr="00873B6C">
        <w:t>centre</w:t>
      </w:r>
      <w:r w:rsidRPr="00873B6C">
        <w:t>.</w:t>
      </w:r>
    </w:p>
    <w:p w14:paraId="2D373012" w14:textId="77777777" w:rsidR="00D40151" w:rsidRPr="00873B6C" w:rsidRDefault="00D40151" w:rsidP="00D40151">
      <w:pPr>
        <w:pStyle w:val="B1"/>
      </w:pPr>
      <w:r w:rsidRPr="00873B6C">
        <w:t>-</w:t>
      </w:r>
      <w:r w:rsidRPr="00873B6C">
        <w:tab/>
        <w:t>TAI(s).</w:t>
      </w:r>
    </w:p>
    <w:p w14:paraId="393BFE41" w14:textId="77777777" w:rsidR="00D40151" w:rsidRPr="00873B6C" w:rsidRDefault="00D40151" w:rsidP="00D40151">
      <w:pPr>
        <w:pStyle w:val="B1"/>
      </w:pPr>
      <w:r w:rsidRPr="00873B6C">
        <w:t>-</w:t>
      </w:r>
      <w:r w:rsidRPr="00873B6C">
        <w:tab/>
        <w:t>NF load information.</w:t>
      </w:r>
    </w:p>
    <w:p w14:paraId="4D95C3AD" w14:textId="390D2203" w:rsidR="00D40151" w:rsidRPr="00873B6C" w:rsidRDefault="00D40151" w:rsidP="00D40151">
      <w:pPr>
        <w:pStyle w:val="B1"/>
      </w:pPr>
      <w:r w:rsidRPr="00873B6C">
        <w:t>-</w:t>
      </w:r>
      <w:r w:rsidRPr="00873B6C">
        <w:tab/>
        <w:t>Routing Indicator,</w:t>
      </w:r>
      <w:r w:rsidR="00616F73" w:rsidRPr="00873B6C">
        <w:t xml:space="preserve"> Home Network Public Key identifier,</w:t>
      </w:r>
      <w:r w:rsidRPr="00873B6C">
        <w:t xml:space="preserve"> for UDM and AUSF.</w:t>
      </w:r>
    </w:p>
    <w:p w14:paraId="3DA0E2D7" w14:textId="602B30E3" w:rsidR="00DA3BBC" w:rsidRPr="00873B6C" w:rsidRDefault="00DA3BBC" w:rsidP="00D40151">
      <w:pPr>
        <w:pStyle w:val="B1"/>
      </w:pPr>
      <w:r w:rsidRPr="00873B6C">
        <w:t>-</w:t>
      </w:r>
      <w:r w:rsidRPr="00873B6C">
        <w:tab/>
        <w:t>For UDM, AUSF and NSSAAF in the case of access to an SNPN using credentials owned by a Credentials Holder with AAA Server, identification of Credentials Holder (i.e. the realm of the Network Specific Identifier based SUPI).</w:t>
      </w:r>
    </w:p>
    <w:p w14:paraId="6576EBAD" w14:textId="0E28EC37" w:rsidR="00616F73" w:rsidRPr="00873B6C" w:rsidRDefault="00616F73" w:rsidP="00D40151">
      <w:pPr>
        <w:pStyle w:val="B1"/>
      </w:pPr>
      <w:r w:rsidRPr="00873B6C">
        <w:t>-</w:t>
      </w:r>
      <w:r w:rsidRPr="00873B6C">
        <w:tab/>
        <w:t>For UDM and AUSF</w:t>
      </w:r>
      <w:r w:rsidR="00472CD7" w:rsidRPr="00873B6C">
        <w:t xml:space="preserve"> and</w:t>
      </w:r>
      <w:r w:rsidRPr="00873B6C">
        <w:t xml:space="preserve"> if UDM/AUSF is used for access to an SNPN using credentials owned by a Credentials Holder, identification of Credentials Holder (i.e. the realm if Network Specific Identifier based SUPI </w:t>
      </w:r>
      <w:r w:rsidR="00DA3BBC" w:rsidRPr="00873B6C">
        <w:t xml:space="preserve">is </w:t>
      </w:r>
      <w:r w:rsidRPr="00873B6C">
        <w:t xml:space="preserve">used or the MCC and MNC if IMSI based SUPI </w:t>
      </w:r>
      <w:r w:rsidR="00DA3BBC" w:rsidRPr="00873B6C">
        <w:t xml:space="preserve">is </w:t>
      </w:r>
      <w:r w:rsidRPr="00873B6C">
        <w:t>used); see clause 5.30.2.1.</w:t>
      </w:r>
    </w:p>
    <w:p w14:paraId="3D9BF9FD" w14:textId="77777777" w:rsidR="00DA3BBC" w:rsidRPr="00873B6C" w:rsidRDefault="00DA3BBC" w:rsidP="00D40151">
      <w:pPr>
        <w:pStyle w:val="B1"/>
      </w:pPr>
      <w:r w:rsidRPr="00873B6C">
        <w:t>-</w:t>
      </w:r>
      <w:r w:rsidRPr="00873B6C">
        <w:tab/>
        <w:t>For AUSF and NSSAAF in the case of SNPN Onboarding using a DCS with AAA server, identification of DCS (i.e. the realm of the Network Specific Identifier based SUPI).</w:t>
      </w:r>
    </w:p>
    <w:p w14:paraId="04216BF0" w14:textId="74B2409F" w:rsidR="00DA3BBC" w:rsidRPr="00873B6C" w:rsidRDefault="00DA3BBC" w:rsidP="00D40151">
      <w:pPr>
        <w:pStyle w:val="B1"/>
      </w:pPr>
      <w:r w:rsidRPr="00873B6C">
        <w:t>-</w:t>
      </w:r>
      <w:r w:rsidRPr="00873B6C">
        <w:tab/>
        <w:t>For UDM and AUSF</w:t>
      </w:r>
      <w:r w:rsidR="00472CD7" w:rsidRPr="00873B6C">
        <w:t xml:space="preserve"> and</w:t>
      </w:r>
      <w:r w:rsidRPr="00873B6C">
        <w:t xml:space="preserve"> if UDM/AUSF is used as DCS in the case of SNPN Onboarding, identification of DCS (i.e. the realm if Network Specific Identifier based SUPI, or the MCC and MNC if IMSI based SUPI).</w:t>
      </w:r>
    </w:p>
    <w:p w14:paraId="0580A94E" w14:textId="51FD7940" w:rsidR="00D40151" w:rsidRPr="00873B6C" w:rsidRDefault="00D40151" w:rsidP="00D40151">
      <w:pPr>
        <w:pStyle w:val="B1"/>
      </w:pPr>
      <w:r w:rsidRPr="00873B6C">
        <w:t>-</w:t>
      </w:r>
      <w:r w:rsidRPr="00873B6C">
        <w:tab/>
        <w:t>One or more GUAMI(s), in the case of AMF.</w:t>
      </w:r>
    </w:p>
    <w:p w14:paraId="3CBA504B" w14:textId="1F3AC860" w:rsidR="002C4A81" w:rsidRPr="00873B6C" w:rsidRDefault="002C4A81" w:rsidP="00D40151">
      <w:pPr>
        <w:pStyle w:val="B1"/>
      </w:pPr>
      <w:r w:rsidRPr="00873B6C">
        <w:t>-</w:t>
      </w:r>
      <w:r w:rsidRPr="00873B6C">
        <w:tab/>
        <w:t xml:space="preserve">For the UPF, see clause 5.2.7.2.2 of </w:t>
      </w:r>
      <w:r w:rsidR="00972E70" w:rsidRPr="00873B6C">
        <w:t>TS 23.502 [</w:t>
      </w:r>
      <w:r w:rsidRPr="00873B6C">
        <w:t>3].</w:t>
      </w:r>
    </w:p>
    <w:p w14:paraId="772D691C" w14:textId="77777777" w:rsidR="00D40151" w:rsidRPr="00873B6C" w:rsidRDefault="00D40151" w:rsidP="00D40151">
      <w:pPr>
        <w:pStyle w:val="B1"/>
      </w:pPr>
      <w:r w:rsidRPr="00873B6C">
        <w:t>-</w:t>
      </w:r>
      <w:r w:rsidRPr="00873B6C">
        <w:tab/>
        <w:t>UDM Group ID, range(s) of SUPIs, range(s) of GPSIs, range(s) of internal group identifiers, range(s) of external group identifiers for UDM.</w:t>
      </w:r>
    </w:p>
    <w:p w14:paraId="24265F78" w14:textId="77777777" w:rsidR="00D40151" w:rsidRPr="00873B6C" w:rsidRDefault="00D40151" w:rsidP="00D40151">
      <w:pPr>
        <w:pStyle w:val="B1"/>
      </w:pPr>
      <w:r w:rsidRPr="00873B6C">
        <w:t>-</w:t>
      </w:r>
      <w:r w:rsidRPr="00873B6C">
        <w:tab/>
        <w:t>UDR Group ID, range(s) of SUPIs, range(s) of GPSIs, range(s) of external group identifiers for UDR.</w:t>
      </w:r>
    </w:p>
    <w:p w14:paraId="6F2941A7" w14:textId="77777777" w:rsidR="00D40151" w:rsidRPr="00873B6C" w:rsidRDefault="00D40151" w:rsidP="00D40151">
      <w:pPr>
        <w:pStyle w:val="B1"/>
      </w:pPr>
      <w:r w:rsidRPr="00873B6C">
        <w:t>-</w:t>
      </w:r>
      <w:r w:rsidRPr="00873B6C">
        <w:tab/>
        <w:t>AUSF Group ID, range(s) of SUPIs for AUSF.</w:t>
      </w:r>
    </w:p>
    <w:p w14:paraId="1CC89350" w14:textId="77777777" w:rsidR="00D40151" w:rsidRPr="00873B6C" w:rsidRDefault="00D40151" w:rsidP="00D40151">
      <w:pPr>
        <w:pStyle w:val="B1"/>
      </w:pPr>
      <w:r w:rsidRPr="00873B6C">
        <w:t>-</w:t>
      </w:r>
      <w:r w:rsidRPr="00873B6C">
        <w:tab/>
        <w:t>PCF Group ID, range(s) of SUPIs for PCF.</w:t>
      </w:r>
    </w:p>
    <w:p w14:paraId="55C8306A" w14:textId="77777777" w:rsidR="00D40151" w:rsidRPr="00873B6C" w:rsidRDefault="00D40151" w:rsidP="00D40151">
      <w:pPr>
        <w:pStyle w:val="B1"/>
      </w:pPr>
      <w:r w:rsidRPr="00873B6C">
        <w:t>-</w:t>
      </w:r>
      <w:r w:rsidRPr="00873B6C">
        <w:tab/>
        <w:t>HSS Group ID, set(s) of IMPIs, set(s) of IMPU, set(s) of IMSIs, set(s) of PSIs, set(s) of MSISDN for HSS.</w:t>
      </w:r>
    </w:p>
    <w:p w14:paraId="3DBFF5D3" w14:textId="5A337E8A" w:rsidR="00472CD7" w:rsidRPr="00873B6C" w:rsidRDefault="00472CD7" w:rsidP="00D40151">
      <w:pPr>
        <w:pStyle w:val="B1"/>
      </w:pPr>
      <w:r w:rsidRPr="00873B6C">
        <w:t>-</w:t>
      </w:r>
      <w:r w:rsidRPr="00873B6C">
        <w:tab/>
        <w:t>CHF Group ID(s), range(s) of SUPIs, range(s) of GPSI(s), list of PLMN(s) for CHF, as defined in clause 6.1 of TS 32.290 [67] and TS 29.510 [58].</w:t>
      </w:r>
    </w:p>
    <w:p w14:paraId="0DE02CFD" w14:textId="2B1773BD" w:rsidR="00591B52" w:rsidRPr="00873B6C" w:rsidRDefault="00D40151" w:rsidP="00D40151">
      <w:pPr>
        <w:pStyle w:val="B1"/>
      </w:pPr>
      <w:r w:rsidRPr="00873B6C">
        <w:t>-</w:t>
      </w:r>
      <w:r w:rsidRPr="00873B6C">
        <w:tab/>
      </w:r>
      <w:r w:rsidR="00A725B6" w:rsidRPr="00873B6C">
        <w:t>For NWDAF</w:t>
      </w:r>
      <w:r w:rsidR="00591B52" w:rsidRPr="00873B6C">
        <w:t>, the following information are supported</w:t>
      </w:r>
      <w:r w:rsidR="00A725B6" w:rsidRPr="00873B6C">
        <w:t>:</w:t>
      </w:r>
    </w:p>
    <w:p w14:paraId="41358D95" w14:textId="157AD808" w:rsidR="00591B52" w:rsidRPr="00873B6C" w:rsidRDefault="00591B52" w:rsidP="00D64A02">
      <w:pPr>
        <w:pStyle w:val="B2"/>
      </w:pPr>
      <w:r w:rsidRPr="00873B6C">
        <w:t>-</w:t>
      </w:r>
      <w:r w:rsidRPr="00873B6C">
        <w:tab/>
      </w:r>
      <w:r w:rsidR="00D40151" w:rsidRPr="00873B6C">
        <w:t>Analytics ID(s)</w:t>
      </w:r>
      <w:r w:rsidR="00405088" w:rsidRPr="00873B6C">
        <w:t xml:space="preserve"> </w:t>
      </w:r>
      <w:r w:rsidRPr="00873B6C">
        <w:t>(</w:t>
      </w:r>
      <w:r w:rsidR="00405088" w:rsidRPr="00873B6C">
        <w:t>possibly per service</w:t>
      </w:r>
      <w:r w:rsidRPr="00873B6C">
        <w:t>).</w:t>
      </w:r>
    </w:p>
    <w:p w14:paraId="638DFA1C" w14:textId="601E686E" w:rsidR="00591B52" w:rsidRPr="00873B6C" w:rsidRDefault="00591B52" w:rsidP="00D64A02">
      <w:pPr>
        <w:pStyle w:val="B2"/>
      </w:pPr>
      <w:r w:rsidRPr="00873B6C">
        <w:t>-</w:t>
      </w:r>
      <w:r w:rsidRPr="00873B6C">
        <w:tab/>
      </w:r>
      <w:r w:rsidR="00D40151" w:rsidRPr="00873B6C">
        <w:t>NWDAF Serving Area information</w:t>
      </w:r>
      <w:r w:rsidR="00BA4B57" w:rsidRPr="00873B6C">
        <w:t xml:space="preserve"> (refer to clause 6.3.13)</w:t>
      </w:r>
      <w:r w:rsidRPr="00873B6C">
        <w:t>.</w:t>
      </w:r>
    </w:p>
    <w:p w14:paraId="112E54A4" w14:textId="39CF7DE4" w:rsidR="00591B52" w:rsidRPr="00873B6C" w:rsidRDefault="00591B52" w:rsidP="00D64A02">
      <w:pPr>
        <w:pStyle w:val="B2"/>
      </w:pPr>
      <w:r w:rsidRPr="00873B6C">
        <w:lastRenderedPageBreak/>
        <w:t>-</w:t>
      </w:r>
      <w:r w:rsidRPr="00873B6C">
        <w:tab/>
      </w:r>
      <w:r w:rsidR="00821D9E" w:rsidRPr="00873B6C">
        <w:t>Supported Analytics Delay per Analytics ID</w:t>
      </w:r>
      <w:r w:rsidR="00A725B6" w:rsidRPr="00873B6C">
        <w:t xml:space="preserve"> (if available)</w:t>
      </w:r>
      <w:r w:rsidRPr="00873B6C">
        <w:t>.</w:t>
      </w:r>
    </w:p>
    <w:p w14:paraId="3BD6FB0D" w14:textId="49CBE466" w:rsidR="00591B52" w:rsidRPr="00873B6C" w:rsidRDefault="00591B52" w:rsidP="00D64A02">
      <w:pPr>
        <w:pStyle w:val="B2"/>
      </w:pPr>
      <w:r w:rsidRPr="00873B6C">
        <w:t>-</w:t>
      </w:r>
      <w:r w:rsidRPr="00873B6C">
        <w:tab/>
      </w:r>
      <w:r w:rsidR="00F92505" w:rsidRPr="00873B6C">
        <w:t>NF types of the NF data sources, NF Set IDs of the NF data sources,</w:t>
      </w:r>
      <w:r w:rsidR="00D40151" w:rsidRPr="00873B6C">
        <w:t xml:space="preserve"> if available</w:t>
      </w:r>
      <w:r w:rsidRPr="00873B6C">
        <w:t>.</w:t>
      </w:r>
    </w:p>
    <w:p w14:paraId="146DFFF3" w14:textId="2E0600C9" w:rsidR="00591B52" w:rsidRPr="00873B6C" w:rsidRDefault="00591B52" w:rsidP="00D64A02">
      <w:pPr>
        <w:pStyle w:val="B2"/>
      </w:pPr>
      <w:r w:rsidRPr="00873B6C">
        <w:t>-</w:t>
      </w:r>
      <w:r w:rsidRPr="00873B6C">
        <w:tab/>
      </w:r>
      <w:r w:rsidR="00A725B6" w:rsidRPr="00873B6C">
        <w:t>Analytics aggregation capability (if available)</w:t>
      </w:r>
      <w:r w:rsidRPr="00873B6C">
        <w:t>.</w:t>
      </w:r>
    </w:p>
    <w:p w14:paraId="21837E88" w14:textId="3758EFCB" w:rsidR="00591B52" w:rsidRPr="00873B6C" w:rsidRDefault="00591B52" w:rsidP="00D64A02">
      <w:pPr>
        <w:pStyle w:val="B2"/>
      </w:pPr>
      <w:r w:rsidRPr="00873B6C">
        <w:t>-</w:t>
      </w:r>
      <w:r w:rsidRPr="00873B6C">
        <w:tab/>
      </w:r>
      <w:r w:rsidR="00A725B6" w:rsidRPr="00873B6C">
        <w:t>Analytics metadata provisioning capability (if available)</w:t>
      </w:r>
      <w:r w:rsidRPr="00873B6C">
        <w:t>.</w:t>
      </w:r>
    </w:p>
    <w:p w14:paraId="0F803220" w14:textId="16D7462D" w:rsidR="004119E4" w:rsidRPr="00873B6C" w:rsidRDefault="00591B52" w:rsidP="00D64A02">
      <w:pPr>
        <w:pStyle w:val="B2"/>
      </w:pPr>
      <w:r w:rsidRPr="00873B6C">
        <w:t>-</w:t>
      </w:r>
      <w:r w:rsidRPr="00873B6C">
        <w:tab/>
      </w:r>
      <w:r w:rsidR="00A725B6" w:rsidRPr="00873B6C">
        <w:t>ML model Filter information parameters</w:t>
      </w:r>
      <w:r w:rsidR="004119E4" w:rsidRPr="00873B6C">
        <w:t xml:space="preserve"> include</w:t>
      </w:r>
      <w:r w:rsidR="00A725B6" w:rsidRPr="00873B6C">
        <w:t xml:space="preserve"> S-NSSAI(s) and Area(s) of Interest for the trained ML model(s) per Analytics ID(s)</w:t>
      </w:r>
      <w:r w:rsidR="004119E4" w:rsidRPr="00873B6C">
        <w:t>.</w:t>
      </w:r>
    </w:p>
    <w:p w14:paraId="78B409DD" w14:textId="29EF62EF" w:rsidR="00591B52" w:rsidRPr="00873B6C" w:rsidRDefault="004119E4" w:rsidP="00D64A02">
      <w:pPr>
        <w:pStyle w:val="B2"/>
      </w:pPr>
      <w:r w:rsidRPr="00873B6C">
        <w:t>-</w:t>
      </w:r>
      <w:r w:rsidRPr="00873B6C">
        <w:tab/>
      </w:r>
      <w:r w:rsidR="00591B52" w:rsidRPr="00873B6C">
        <w:t>ML Model Interoperability indicator</w:t>
      </w:r>
      <w:r w:rsidR="00A725B6" w:rsidRPr="00873B6C">
        <w:t xml:space="preserve"> (if available)</w:t>
      </w:r>
      <w:r w:rsidRPr="00873B6C">
        <w:t xml:space="preserve"> per Analytics ID(s)</w:t>
      </w:r>
      <w:r w:rsidR="00591B52" w:rsidRPr="00873B6C">
        <w:t>.</w:t>
      </w:r>
    </w:p>
    <w:p w14:paraId="7B27BF87" w14:textId="30363D7F" w:rsidR="00591B52" w:rsidRPr="00873B6C" w:rsidRDefault="00591B52" w:rsidP="00D64A02">
      <w:pPr>
        <w:pStyle w:val="B2"/>
      </w:pPr>
      <w:r w:rsidRPr="00873B6C">
        <w:t>-</w:t>
      </w:r>
      <w:r w:rsidRPr="00873B6C">
        <w:tab/>
      </w:r>
      <w:r w:rsidR="00114986" w:rsidRPr="00873B6C">
        <w:t>FL capability information per analytics ID including</w:t>
      </w:r>
      <w:r w:rsidR="001151EB" w:rsidRPr="00873B6C">
        <w:t xml:space="preserve"> FL capability type (i.e. FL server</w:t>
      </w:r>
      <w:r w:rsidR="000C6BFB" w:rsidRPr="00873B6C">
        <w:t xml:space="preserve"> </w:t>
      </w:r>
      <w:r w:rsidR="003D49E0" w:rsidRPr="00873B6C">
        <w:t>and/</w:t>
      </w:r>
      <w:r w:rsidR="001151EB" w:rsidRPr="00873B6C">
        <w:t>or FL client, if available)</w:t>
      </w:r>
      <w:r w:rsidRPr="00873B6C">
        <w:t>.</w:t>
      </w:r>
    </w:p>
    <w:p w14:paraId="126B4C82" w14:textId="3AAE48FF" w:rsidR="00591B52" w:rsidRPr="00873B6C" w:rsidRDefault="00591B52" w:rsidP="00D64A02">
      <w:pPr>
        <w:pStyle w:val="B2"/>
      </w:pPr>
      <w:r w:rsidRPr="00873B6C">
        <w:t>-</w:t>
      </w:r>
      <w:r w:rsidRPr="00873B6C">
        <w:tab/>
      </w:r>
      <w:r w:rsidR="001151EB" w:rsidRPr="00873B6C">
        <w:t>Time interval supporting FL (if available)</w:t>
      </w:r>
      <w:r w:rsidRPr="00873B6C">
        <w:t>.</w:t>
      </w:r>
    </w:p>
    <w:p w14:paraId="29996103" w14:textId="4B33430A" w:rsidR="00591B52" w:rsidRPr="00873B6C" w:rsidRDefault="00591B52" w:rsidP="00D64A02">
      <w:pPr>
        <w:pStyle w:val="B2"/>
      </w:pPr>
      <w:r w:rsidRPr="00873B6C">
        <w:t>-</w:t>
      </w:r>
      <w:r w:rsidRPr="00873B6C">
        <w:tab/>
      </w:r>
      <w:r w:rsidR="009B42A2" w:rsidRPr="00873B6C">
        <w:t>Accuracy checking capability</w:t>
      </w:r>
      <w:r w:rsidRPr="00873B6C">
        <w:t xml:space="preserve"> for ML model accuracy monitoring or Analytics Accuracy Monitoring</w:t>
      </w:r>
      <w:r w:rsidR="009B42A2" w:rsidRPr="00873B6C">
        <w:t xml:space="preserve"> (if available)</w:t>
      </w:r>
      <w:r w:rsidRPr="00873B6C">
        <w:t>.</w:t>
      </w:r>
    </w:p>
    <w:p w14:paraId="7BF62FDD" w14:textId="1FD661F6" w:rsidR="00D40151" w:rsidRPr="00873B6C" w:rsidRDefault="00591B52" w:rsidP="00D64A02">
      <w:pPr>
        <w:pStyle w:val="B2"/>
      </w:pPr>
      <w:r w:rsidRPr="00873B6C">
        <w:t>-</w:t>
      </w:r>
      <w:r w:rsidRPr="00873B6C">
        <w:tab/>
        <w:t>R</w:t>
      </w:r>
      <w:r w:rsidR="006E26ED" w:rsidRPr="00873B6C">
        <w:t>oaming exchange capability (if available)</w:t>
      </w:r>
      <w:r w:rsidR="00D40151" w:rsidRPr="00873B6C">
        <w:t>.</w:t>
      </w:r>
    </w:p>
    <w:p w14:paraId="2E973DED" w14:textId="79A7C657" w:rsidR="00D40151" w:rsidRPr="00873B6C" w:rsidRDefault="00D40151" w:rsidP="00D40151">
      <w:pPr>
        <w:pStyle w:val="NO"/>
      </w:pPr>
      <w:r w:rsidRPr="00873B6C">
        <w:t>NOTE 4:</w:t>
      </w:r>
      <w:r w:rsidRPr="00873B6C">
        <w:tab/>
        <w:t>The NWDAF's Serving Area information is common to all its supported Analytics IDs.</w:t>
      </w:r>
    </w:p>
    <w:p w14:paraId="27B07908" w14:textId="4BCEEF65" w:rsidR="00821D9E" w:rsidRPr="00873B6C" w:rsidRDefault="00821D9E" w:rsidP="00821D9E">
      <w:pPr>
        <w:pStyle w:val="NO"/>
      </w:pPr>
      <w:r w:rsidRPr="00873B6C">
        <w:t>NOTE 5:</w:t>
      </w:r>
      <w:r w:rsidRPr="00873B6C">
        <w:tab/>
        <w:t>The Analytics IDs supported by the NWDAF may be associated with a Supported Analytics Delay</w:t>
      </w:r>
      <w:r w:rsidR="00B04F2B" w:rsidRPr="00873B6C">
        <w:t xml:space="preserve"> i.e. the Analytics report can be generated with a time (including data collection delay and inference delay) in less than or equal to the Supported Analytics Delay</w:t>
      </w:r>
      <w:r w:rsidRPr="00873B6C">
        <w:t>.</w:t>
      </w:r>
    </w:p>
    <w:p w14:paraId="403904FA" w14:textId="690471DF" w:rsidR="00821D9E" w:rsidRPr="00873B6C" w:rsidRDefault="00821D9E" w:rsidP="00821D9E">
      <w:pPr>
        <w:pStyle w:val="NO"/>
      </w:pPr>
      <w:r w:rsidRPr="00873B6C">
        <w:t>NOTE 6:</w:t>
      </w:r>
      <w:r w:rsidRPr="00873B6C">
        <w:tab/>
        <w:t>The determination of Supported Analytics Delay</w:t>
      </w:r>
      <w:r w:rsidR="00472CD7" w:rsidRPr="00873B6C">
        <w:t xml:space="preserve"> and</w:t>
      </w:r>
      <w:r w:rsidRPr="00873B6C">
        <w:t xml:space="preserve"> how the NWDAF avoid updating its Supported Analytics Delay in NRF frequently is NWDAF implementation specific.</w:t>
      </w:r>
    </w:p>
    <w:p w14:paraId="7B2F84AF" w14:textId="42AE4D2F" w:rsidR="00D40151" w:rsidRPr="00873B6C" w:rsidRDefault="00D40151" w:rsidP="00D40151">
      <w:pPr>
        <w:pStyle w:val="B1"/>
      </w:pPr>
      <w:r w:rsidRPr="00873B6C">
        <w:t>-</w:t>
      </w:r>
      <w:r w:rsidRPr="00873B6C">
        <w:tab/>
        <w:t>Event ID(s) supported by AFs, in the case of NEF.</w:t>
      </w:r>
    </w:p>
    <w:p w14:paraId="0FDED9B6" w14:textId="656184A4" w:rsidR="003E5241" w:rsidRPr="00873B6C" w:rsidRDefault="003E5241" w:rsidP="00D40151">
      <w:pPr>
        <w:pStyle w:val="B1"/>
      </w:pPr>
      <w:r w:rsidRPr="00873B6C">
        <w:t>-</w:t>
      </w:r>
      <w:r w:rsidRPr="00873B6C">
        <w:tab/>
        <w:t>Event Exposure service supported event ID(s) by UPF.</w:t>
      </w:r>
    </w:p>
    <w:p w14:paraId="69023ABD" w14:textId="03B34807" w:rsidR="00D40151" w:rsidRPr="00873B6C" w:rsidRDefault="00D40151" w:rsidP="00D40151">
      <w:pPr>
        <w:pStyle w:val="B1"/>
      </w:pPr>
      <w:r w:rsidRPr="00873B6C">
        <w:t>-</w:t>
      </w:r>
      <w:r w:rsidRPr="00873B6C">
        <w:tab/>
        <w:t xml:space="preserve">Application </w:t>
      </w:r>
      <w:r w:rsidR="00704A9E" w:rsidRPr="00873B6C">
        <w:t>Identifier</w:t>
      </w:r>
      <w:r w:rsidRPr="00873B6C">
        <w:t>(s) supported by AFs, in the case of NEF.</w:t>
      </w:r>
    </w:p>
    <w:p w14:paraId="15944698" w14:textId="77777777" w:rsidR="00D40151" w:rsidRPr="00873B6C" w:rsidRDefault="00D40151" w:rsidP="00D40151">
      <w:pPr>
        <w:pStyle w:val="B1"/>
      </w:pPr>
      <w:r w:rsidRPr="00873B6C">
        <w:t>-</w:t>
      </w:r>
      <w:r w:rsidRPr="00873B6C">
        <w:tab/>
        <w:t>Range(s) of External Identifiers, or range(s) of External Group Identifiers, or the domain names served by the NEF, in the case of NEF.</w:t>
      </w:r>
    </w:p>
    <w:p w14:paraId="7464F834" w14:textId="6FB6426E" w:rsidR="00D40151" w:rsidRPr="00873B6C" w:rsidRDefault="00D40151" w:rsidP="00D40151">
      <w:pPr>
        <w:pStyle w:val="NO"/>
      </w:pPr>
      <w:r w:rsidRPr="00873B6C">
        <w:t>NOTE </w:t>
      </w:r>
      <w:r w:rsidR="00821D9E" w:rsidRPr="00873B6C">
        <w:t>7</w:t>
      </w:r>
      <w:r w:rsidRPr="00873B6C">
        <w:t>:</w:t>
      </w:r>
      <w:r w:rsidRPr="00873B6C">
        <w:tab/>
        <w:t xml:space="preserve">This is applicable when NEF exposes AF information for analytics purpose as detailed in </w:t>
      </w:r>
      <w:r w:rsidR="00972E70" w:rsidRPr="00873B6C">
        <w:t>TS 23.288 [</w:t>
      </w:r>
      <w:r w:rsidRPr="00873B6C">
        <w:t>86].</w:t>
      </w:r>
    </w:p>
    <w:p w14:paraId="6092CB90" w14:textId="661491CF" w:rsidR="00D40151" w:rsidRPr="00873B6C" w:rsidRDefault="00D40151" w:rsidP="00D40151">
      <w:pPr>
        <w:pStyle w:val="NO"/>
      </w:pPr>
      <w:r w:rsidRPr="00873B6C">
        <w:t>NOTE </w:t>
      </w:r>
      <w:r w:rsidR="00821D9E" w:rsidRPr="00873B6C">
        <w:t>8</w:t>
      </w:r>
      <w:r w:rsidRPr="00873B6C">
        <w:t>:</w:t>
      </w:r>
      <w:r w:rsidRPr="00873B6C">
        <w:tab/>
        <w:t>It is expected service authorization information is usually provided by OA&amp;M system</w:t>
      </w:r>
      <w:r w:rsidR="00472CD7" w:rsidRPr="00873B6C">
        <w:t xml:space="preserve"> and</w:t>
      </w:r>
      <w:r w:rsidRPr="00873B6C">
        <w:t xml:space="preserve"> it can also be included in the NF profile in the case that e.g. an NF instance has an exceptional service authorization information.</w:t>
      </w:r>
    </w:p>
    <w:p w14:paraId="7A984A12" w14:textId="10A36AED" w:rsidR="00D40151" w:rsidRPr="00873B6C" w:rsidRDefault="00D40151" w:rsidP="00D40151">
      <w:pPr>
        <w:pStyle w:val="NO"/>
      </w:pPr>
      <w:r w:rsidRPr="00873B6C">
        <w:t>NOTE </w:t>
      </w:r>
      <w:r w:rsidR="00821D9E" w:rsidRPr="00873B6C">
        <w:t>9</w:t>
      </w:r>
      <w:r w:rsidRPr="00873B6C">
        <w:t>:</w:t>
      </w:r>
      <w:r w:rsidRPr="00873B6C">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0CB76579" w:rsidR="00D40151" w:rsidRPr="00873B6C" w:rsidRDefault="00D40151" w:rsidP="00D40151">
      <w:pPr>
        <w:pStyle w:val="B1"/>
      </w:pPr>
      <w:r w:rsidRPr="00873B6C">
        <w:t>-</w:t>
      </w:r>
      <w:r w:rsidRPr="00873B6C">
        <w:tab/>
        <w:t xml:space="preserve">IP domain list as described in clause 6.1.6.2.21 of </w:t>
      </w:r>
      <w:r w:rsidR="00972E70" w:rsidRPr="00873B6C">
        <w:t>TS 29.510 [</w:t>
      </w:r>
      <w:r w:rsidRPr="00873B6C">
        <w:t>58], Range(s) of (UE) IPv4 addresses or Range(s) of (UE) IPv6 prefixes</w:t>
      </w:r>
      <w:r w:rsidR="00AA610D" w:rsidRPr="00873B6C">
        <w:t>, Range(s) of SUPIs or Range(s) of GPSIs</w:t>
      </w:r>
      <w:r w:rsidR="00CB6EDC" w:rsidRPr="00873B6C">
        <w:t xml:space="preserve"> or a BSF Group ID</w:t>
      </w:r>
      <w:r w:rsidRPr="00873B6C">
        <w:t>, in the case of BSF.</w:t>
      </w:r>
    </w:p>
    <w:p w14:paraId="29EA754B" w14:textId="77777777" w:rsidR="00D40151" w:rsidRPr="00873B6C" w:rsidRDefault="00D40151" w:rsidP="00D40151">
      <w:pPr>
        <w:pStyle w:val="B1"/>
      </w:pPr>
      <w:bookmarkStart w:id="5357" w:name="_Toc45184040"/>
      <w:bookmarkStart w:id="5358" w:name="_Toc47342882"/>
      <w:bookmarkStart w:id="5359" w:name="_Toc20150192"/>
      <w:bookmarkStart w:id="5360" w:name="_Toc27847000"/>
      <w:bookmarkStart w:id="5361" w:name="_Toc36188131"/>
      <w:r w:rsidRPr="00873B6C">
        <w:t>-</w:t>
      </w:r>
      <w:r w:rsidRPr="00873B6C">
        <w:tab/>
        <w:t>SCP Domain the NF belongs to.</w:t>
      </w:r>
    </w:p>
    <w:p w14:paraId="408E7D87" w14:textId="6DF06053" w:rsidR="001F3682" w:rsidRPr="00873B6C" w:rsidRDefault="001F3682" w:rsidP="001F3682">
      <w:pPr>
        <w:pStyle w:val="B1"/>
      </w:pPr>
      <w:bookmarkStart w:id="5362" w:name="_Toc51769584"/>
      <w:r w:rsidRPr="00873B6C">
        <w:t>-</w:t>
      </w:r>
      <w:r w:rsidRPr="00873B6C">
        <w:tab/>
        <w:t>DCCF Serving Area information, NF types of the data sources, NF Set IDs of the data sources,</w:t>
      </w:r>
      <w:r w:rsidR="00B04F2B" w:rsidRPr="00873B6C">
        <w:t xml:space="preserve"> if available,</w:t>
      </w:r>
      <w:r w:rsidRPr="00873B6C">
        <w:t xml:space="preserve"> in the case of DCCF.</w:t>
      </w:r>
    </w:p>
    <w:p w14:paraId="2DA79E19" w14:textId="0F4F1518" w:rsidR="006101B9" w:rsidRPr="00873B6C" w:rsidRDefault="006101B9" w:rsidP="006101B9">
      <w:pPr>
        <w:pStyle w:val="B1"/>
      </w:pPr>
      <w:r w:rsidRPr="00873B6C">
        <w:t>-</w:t>
      </w:r>
      <w:r w:rsidRPr="00873B6C">
        <w:tab/>
        <w:t>Supported DNAI list, in the case of SMF.</w:t>
      </w:r>
    </w:p>
    <w:p w14:paraId="6AF969E8" w14:textId="41680740" w:rsidR="00DA3BBC" w:rsidRPr="00873B6C" w:rsidRDefault="00DA3BBC" w:rsidP="00DA3BBC">
      <w:pPr>
        <w:pStyle w:val="B1"/>
      </w:pPr>
      <w:r w:rsidRPr="00873B6C">
        <w:t>-</w:t>
      </w:r>
      <w:r w:rsidRPr="00873B6C">
        <w:tab/>
        <w:t>For SNPN, capability to support SNPN Onboarding in the case of AMF and</w:t>
      </w:r>
      <w:r w:rsidR="00E06501" w:rsidRPr="00873B6C">
        <w:t xml:space="preserve"> capability to support User Plane Remote Provisioning in the case of</w:t>
      </w:r>
      <w:r w:rsidRPr="00873B6C">
        <w:t xml:space="preserve"> SMF.</w:t>
      </w:r>
    </w:p>
    <w:p w14:paraId="2EDC02DD" w14:textId="4EEDDFB6" w:rsidR="003E5241" w:rsidRPr="00873B6C" w:rsidRDefault="003E5241" w:rsidP="00246EB9">
      <w:pPr>
        <w:pStyle w:val="B1"/>
      </w:pPr>
      <w:r w:rsidRPr="00873B6C">
        <w:t>-</w:t>
      </w:r>
      <w:r w:rsidRPr="00873B6C">
        <w:tab/>
        <w:t>IP address range, DNAI for UPF.</w:t>
      </w:r>
    </w:p>
    <w:p w14:paraId="7FC1AFF8" w14:textId="2349DC24" w:rsidR="00CD22D1" w:rsidRPr="00873B6C" w:rsidRDefault="00CD22D1" w:rsidP="00246EB9">
      <w:pPr>
        <w:pStyle w:val="B1"/>
      </w:pPr>
      <w:r w:rsidRPr="00873B6C">
        <w:lastRenderedPageBreak/>
        <w:t>-</w:t>
      </w:r>
      <w:r w:rsidRPr="00873B6C">
        <w:tab/>
        <w:t>Supported DNS security protocols, in the case of EASDF.</w:t>
      </w:r>
    </w:p>
    <w:p w14:paraId="23DA088D" w14:textId="30D89465" w:rsidR="00246EB9" w:rsidRPr="00873B6C" w:rsidRDefault="00246EB9" w:rsidP="00246EB9">
      <w:pPr>
        <w:pStyle w:val="B1"/>
      </w:pPr>
      <w:r w:rsidRPr="00873B6C">
        <w:t>-</w:t>
      </w:r>
      <w:r w:rsidRPr="00873B6C">
        <w:tab/>
        <w:t xml:space="preserve">Additional V2X related NF profile parameters are defined in </w:t>
      </w:r>
      <w:r w:rsidR="00972E70" w:rsidRPr="00873B6C">
        <w:t>TS 23.287 [</w:t>
      </w:r>
      <w:r w:rsidRPr="00873B6C">
        <w:t>121].</w:t>
      </w:r>
    </w:p>
    <w:p w14:paraId="7E86D665" w14:textId="00DAB315" w:rsidR="00246EB9" w:rsidRPr="00873B6C" w:rsidRDefault="00246EB9" w:rsidP="00246EB9">
      <w:pPr>
        <w:pStyle w:val="B1"/>
      </w:pPr>
      <w:r w:rsidRPr="00873B6C">
        <w:t>-</w:t>
      </w:r>
      <w:r w:rsidRPr="00873B6C">
        <w:tab/>
        <w:t xml:space="preserve">Additional ProSe related NF profile parameters are defined in </w:t>
      </w:r>
      <w:r w:rsidR="00972E70" w:rsidRPr="00873B6C">
        <w:t>TS 23.304 [</w:t>
      </w:r>
      <w:r w:rsidRPr="00873B6C">
        <w:t>128].</w:t>
      </w:r>
    </w:p>
    <w:p w14:paraId="15DBE458" w14:textId="48C73099" w:rsidR="00246EB9" w:rsidRPr="00873B6C" w:rsidRDefault="00246EB9" w:rsidP="00246EB9">
      <w:pPr>
        <w:pStyle w:val="B1"/>
      </w:pPr>
      <w:r w:rsidRPr="00873B6C">
        <w:t>-</w:t>
      </w:r>
      <w:r w:rsidRPr="00873B6C">
        <w:tab/>
        <w:t xml:space="preserve">Additional MBS related NF profile parameters are defined in </w:t>
      </w:r>
      <w:r w:rsidR="00972E70" w:rsidRPr="00873B6C">
        <w:t>TS 23.247 [</w:t>
      </w:r>
      <w:r w:rsidRPr="00873B6C">
        <w:t>129].</w:t>
      </w:r>
    </w:p>
    <w:p w14:paraId="2FD3BCFE" w14:textId="3A50A3E4" w:rsidR="00246EB9" w:rsidRPr="00873B6C" w:rsidRDefault="00246EB9" w:rsidP="00246EB9">
      <w:pPr>
        <w:pStyle w:val="B1"/>
      </w:pPr>
      <w:r w:rsidRPr="00873B6C">
        <w:t>-</w:t>
      </w:r>
      <w:r w:rsidRPr="00873B6C">
        <w:tab/>
        <w:t xml:space="preserve">Additional UAS related NF profile parameters are defined in </w:t>
      </w:r>
      <w:r w:rsidR="00972E70" w:rsidRPr="00873B6C">
        <w:t>TS 23.256 [</w:t>
      </w:r>
      <w:r w:rsidRPr="00873B6C">
        <w:t>136].</w:t>
      </w:r>
    </w:p>
    <w:p w14:paraId="74000CBF" w14:textId="68CAAF38" w:rsidR="00A13197" w:rsidRPr="00873B6C" w:rsidRDefault="00A13197" w:rsidP="00A13197">
      <w:pPr>
        <w:pStyle w:val="B1"/>
      </w:pPr>
      <w:r w:rsidRPr="00873B6C">
        <w:t>-</w:t>
      </w:r>
      <w:r w:rsidRPr="00873B6C">
        <w:tab/>
        <w:t>Additional Ranging based services and Sidelink Positioning related NF profile parameters are defined in TS 23.586 [180].</w:t>
      </w:r>
    </w:p>
    <w:p w14:paraId="27870EA3" w14:textId="27B13756" w:rsidR="00893B12" w:rsidRPr="00873B6C" w:rsidRDefault="00893B12" w:rsidP="00893B12">
      <w:pPr>
        <w:pStyle w:val="B1"/>
      </w:pPr>
      <w:r w:rsidRPr="00873B6C">
        <w:t>-</w:t>
      </w:r>
      <w:r w:rsidRPr="00873B6C">
        <w:tab/>
        <w:t>For additional information in PCF profile, see clause 5.2.7.2.2 of TS 23.502 [3].</w:t>
      </w:r>
    </w:p>
    <w:p w14:paraId="22A283A2" w14:textId="77777777" w:rsidR="00D40151" w:rsidRPr="00873B6C" w:rsidRDefault="00D40151" w:rsidP="00D40151">
      <w:pPr>
        <w:pStyle w:val="Heading4"/>
      </w:pPr>
      <w:bookmarkStart w:id="5363" w:name="_CR6_2_6_3"/>
      <w:bookmarkStart w:id="5364" w:name="_Toc201157734"/>
      <w:bookmarkEnd w:id="5363"/>
      <w:r w:rsidRPr="00873B6C">
        <w:t>6.2.6.3</w:t>
      </w:r>
      <w:r w:rsidRPr="00873B6C">
        <w:tab/>
        <w:t>SCP profile</w:t>
      </w:r>
      <w:bookmarkEnd w:id="5357"/>
      <w:bookmarkEnd w:id="5358"/>
      <w:bookmarkEnd w:id="5362"/>
      <w:bookmarkEnd w:id="5364"/>
    </w:p>
    <w:p w14:paraId="4FA098F8" w14:textId="77777777" w:rsidR="00D40151" w:rsidRPr="00873B6C" w:rsidRDefault="00D40151" w:rsidP="00D40151">
      <w:pPr>
        <w:rPr>
          <w:lang w:eastAsia="x-none"/>
        </w:rPr>
      </w:pPr>
      <w:r w:rsidRPr="00873B6C">
        <w:rPr>
          <w:lang w:eastAsia="x-none"/>
        </w:rPr>
        <w:t>SCP profile maintained in an NRF includes the following information:</w:t>
      </w:r>
    </w:p>
    <w:p w14:paraId="5F1947FF" w14:textId="77777777" w:rsidR="00D40151" w:rsidRPr="00873B6C" w:rsidRDefault="00D40151" w:rsidP="00D40151">
      <w:pPr>
        <w:pStyle w:val="B1"/>
      </w:pPr>
      <w:r w:rsidRPr="00873B6C">
        <w:t>-</w:t>
      </w:r>
      <w:r w:rsidRPr="00873B6C">
        <w:tab/>
        <w:t>SCP ID.</w:t>
      </w:r>
    </w:p>
    <w:p w14:paraId="67EBDCAC" w14:textId="77777777" w:rsidR="00D40151" w:rsidRPr="00873B6C" w:rsidRDefault="00D40151" w:rsidP="00D40151">
      <w:pPr>
        <w:pStyle w:val="B1"/>
      </w:pPr>
      <w:r w:rsidRPr="00873B6C">
        <w:t>-</w:t>
      </w:r>
      <w:r w:rsidRPr="00873B6C">
        <w:tab/>
        <w:t>FQDN or IP address of SCP.</w:t>
      </w:r>
    </w:p>
    <w:p w14:paraId="5E7DA6EC" w14:textId="77777777" w:rsidR="00D40151" w:rsidRPr="00873B6C" w:rsidRDefault="00D40151" w:rsidP="00D40151">
      <w:pPr>
        <w:pStyle w:val="B1"/>
      </w:pPr>
      <w:r w:rsidRPr="00873B6C">
        <w:t>-</w:t>
      </w:r>
      <w:r w:rsidRPr="00873B6C">
        <w:tab/>
        <w:t>Indication that the profile is of an SCP (e.g. NF type parameter set to type SCP).</w:t>
      </w:r>
    </w:p>
    <w:p w14:paraId="15798FEB" w14:textId="77777777" w:rsidR="00D40151" w:rsidRPr="00873B6C" w:rsidRDefault="00D40151" w:rsidP="00D40151">
      <w:pPr>
        <w:pStyle w:val="B1"/>
      </w:pPr>
      <w:r w:rsidRPr="00873B6C">
        <w:t>-</w:t>
      </w:r>
      <w:r w:rsidRPr="00873B6C">
        <w:tab/>
        <w:t>SCP capacity information.</w:t>
      </w:r>
    </w:p>
    <w:p w14:paraId="7392D839" w14:textId="77777777" w:rsidR="00D40151" w:rsidRPr="00873B6C" w:rsidRDefault="00D40151" w:rsidP="00D40151">
      <w:pPr>
        <w:pStyle w:val="B1"/>
      </w:pPr>
      <w:r w:rsidRPr="00873B6C">
        <w:t>-</w:t>
      </w:r>
      <w:r w:rsidRPr="00873B6C">
        <w:tab/>
        <w:t>SCP load information.</w:t>
      </w:r>
    </w:p>
    <w:p w14:paraId="637E0934" w14:textId="77777777" w:rsidR="00D40151" w:rsidRPr="00873B6C" w:rsidRDefault="00D40151" w:rsidP="00D40151">
      <w:pPr>
        <w:pStyle w:val="B1"/>
      </w:pPr>
      <w:r w:rsidRPr="00873B6C">
        <w:t>-</w:t>
      </w:r>
      <w:r w:rsidRPr="00873B6C">
        <w:tab/>
        <w:t>SCP priority.</w:t>
      </w:r>
    </w:p>
    <w:p w14:paraId="7533EB86" w14:textId="37043063" w:rsidR="00D40151" w:rsidRPr="00873B6C" w:rsidRDefault="00D40151" w:rsidP="00D40151">
      <w:pPr>
        <w:pStyle w:val="B1"/>
      </w:pPr>
      <w:r w:rsidRPr="00873B6C">
        <w:t>-</w:t>
      </w:r>
      <w:r w:rsidRPr="00873B6C">
        <w:tab/>
        <w:t>Location information for the SCP (see locality in</w:t>
      </w:r>
      <w:r w:rsidR="00D602DF" w:rsidRPr="00873B6C">
        <w:t xml:space="preserve"> clause 6.1.6.2.2</w:t>
      </w:r>
      <w:r w:rsidRPr="00873B6C">
        <w:t xml:space="preserve"> </w:t>
      </w:r>
      <w:r w:rsidR="00D602DF" w:rsidRPr="00873B6C">
        <w:t xml:space="preserve">of </w:t>
      </w:r>
      <w:r w:rsidR="00972E70" w:rsidRPr="00873B6C">
        <w:t>TS 29.510 [</w:t>
      </w:r>
      <w:r w:rsidRPr="00873B6C">
        <w:t>58]).</w:t>
      </w:r>
    </w:p>
    <w:p w14:paraId="63DF7980" w14:textId="20D2AB1D" w:rsidR="00D40151" w:rsidRPr="00873B6C" w:rsidRDefault="00D40151" w:rsidP="00D40151">
      <w:pPr>
        <w:pStyle w:val="B1"/>
      </w:pPr>
      <w:r w:rsidRPr="00873B6C">
        <w:t>-</w:t>
      </w:r>
      <w:r w:rsidRPr="00873B6C">
        <w:tab/>
        <w:t>Served Location(s) (see servingScope in</w:t>
      </w:r>
      <w:r w:rsidR="00D602DF" w:rsidRPr="00873B6C">
        <w:t xml:space="preserve"> clause 6.1.6.2.2</w:t>
      </w:r>
      <w:r w:rsidRPr="00873B6C">
        <w:t xml:space="preserve"> </w:t>
      </w:r>
      <w:r w:rsidR="00D602DF" w:rsidRPr="00873B6C">
        <w:t xml:space="preserve">of </w:t>
      </w:r>
      <w:r w:rsidR="00972E70" w:rsidRPr="00873B6C">
        <w:t>TS 29.510 [</w:t>
      </w:r>
      <w:r w:rsidRPr="00873B6C">
        <w:t>58]).</w:t>
      </w:r>
    </w:p>
    <w:p w14:paraId="0F450D3A" w14:textId="77777777" w:rsidR="00D40151" w:rsidRPr="00873B6C" w:rsidRDefault="00D40151" w:rsidP="00D40151">
      <w:pPr>
        <w:pStyle w:val="B1"/>
      </w:pPr>
      <w:r w:rsidRPr="00873B6C">
        <w:t>-</w:t>
      </w:r>
      <w:r w:rsidRPr="00873B6C">
        <w:tab/>
        <w:t>Network Slice related Identifier(s) e.g. S-NSSAI, NSI ID.</w:t>
      </w:r>
    </w:p>
    <w:p w14:paraId="671928DC" w14:textId="77777777" w:rsidR="00D40151" w:rsidRPr="00873B6C" w:rsidRDefault="00D40151" w:rsidP="00D40151">
      <w:pPr>
        <w:pStyle w:val="B1"/>
      </w:pPr>
      <w:r w:rsidRPr="00873B6C">
        <w:t>-</w:t>
      </w:r>
      <w:r w:rsidRPr="00873B6C">
        <w:tab/>
        <w:t>Remote PLMNs reachable through SCP.</w:t>
      </w:r>
    </w:p>
    <w:p w14:paraId="4B416201" w14:textId="77777777" w:rsidR="00D40151" w:rsidRPr="00873B6C" w:rsidRDefault="00D40151" w:rsidP="00D40151">
      <w:pPr>
        <w:pStyle w:val="B1"/>
      </w:pPr>
      <w:r w:rsidRPr="00873B6C">
        <w:t>-</w:t>
      </w:r>
      <w:r w:rsidRPr="00873B6C">
        <w:tab/>
        <w:t>Endpoint addresses accessible via the SCP.</w:t>
      </w:r>
    </w:p>
    <w:p w14:paraId="2659914A" w14:textId="77777777" w:rsidR="00D40151" w:rsidRPr="00873B6C" w:rsidRDefault="00D40151" w:rsidP="00D40151">
      <w:pPr>
        <w:pStyle w:val="B1"/>
      </w:pPr>
      <w:r w:rsidRPr="00873B6C">
        <w:t>-</w:t>
      </w:r>
      <w:r w:rsidRPr="00873B6C">
        <w:tab/>
        <w:t>NF sets of NFs served by the SCP.</w:t>
      </w:r>
    </w:p>
    <w:p w14:paraId="55277DF4" w14:textId="77777777" w:rsidR="00D40151" w:rsidRPr="00873B6C" w:rsidRDefault="00D40151" w:rsidP="00D40151">
      <w:pPr>
        <w:pStyle w:val="B1"/>
      </w:pPr>
      <w:r w:rsidRPr="00873B6C">
        <w:t>-</w:t>
      </w:r>
      <w:r w:rsidRPr="00873B6C">
        <w:tab/>
        <w:t>SCP Domain the SCP belongs to. If an SCP belongs to more than one SCP Domain, the SCP will be able bridge these domains, i.e. sending messages between these domains.</w:t>
      </w:r>
    </w:p>
    <w:p w14:paraId="6717CAB6" w14:textId="6E1DF471" w:rsidR="00D40151" w:rsidRPr="00873B6C" w:rsidRDefault="00D40151" w:rsidP="00D40151">
      <w:pPr>
        <w:pStyle w:val="NO"/>
      </w:pPr>
      <w:r w:rsidRPr="00873B6C">
        <w:t>NOTE:</w:t>
      </w:r>
      <w:r w:rsidRPr="00873B6C">
        <w:tab/>
        <w:t xml:space="preserve">Service definition defines optional and mandatory parameters, see </w:t>
      </w:r>
      <w:r w:rsidR="00972E70" w:rsidRPr="00873B6C">
        <w:t>TS 23.502 [</w:t>
      </w:r>
      <w:r w:rsidRPr="00873B6C">
        <w:t>3].</w:t>
      </w:r>
    </w:p>
    <w:p w14:paraId="16C8967D" w14:textId="77777777" w:rsidR="00D40151" w:rsidRPr="00873B6C" w:rsidRDefault="00D40151" w:rsidP="00D40151">
      <w:pPr>
        <w:pStyle w:val="Heading3"/>
      </w:pPr>
      <w:bookmarkStart w:id="5365" w:name="_CR6_2_7"/>
      <w:bookmarkStart w:id="5366" w:name="_Toc45184041"/>
      <w:bookmarkStart w:id="5367" w:name="_Toc47342883"/>
      <w:bookmarkStart w:id="5368" w:name="_Toc51769585"/>
      <w:bookmarkStart w:id="5369" w:name="_Toc201157735"/>
      <w:bookmarkEnd w:id="5365"/>
      <w:r w:rsidRPr="00873B6C">
        <w:t>6.2.7</w:t>
      </w:r>
      <w:r w:rsidRPr="00873B6C">
        <w:tab/>
        <w:t>UDM</w:t>
      </w:r>
      <w:bookmarkEnd w:id="5359"/>
      <w:bookmarkEnd w:id="5360"/>
      <w:bookmarkEnd w:id="5361"/>
      <w:bookmarkEnd w:id="5366"/>
      <w:bookmarkEnd w:id="5367"/>
      <w:bookmarkEnd w:id="5368"/>
      <w:bookmarkEnd w:id="5369"/>
    </w:p>
    <w:p w14:paraId="2842023E" w14:textId="77777777" w:rsidR="00D40151" w:rsidRPr="00873B6C" w:rsidRDefault="00D40151" w:rsidP="00D40151">
      <w:r w:rsidRPr="00873B6C">
        <w:t xml:space="preserve">The Unified Data Management (UDM) </w:t>
      </w:r>
      <w:r w:rsidRPr="00873B6C">
        <w:rPr>
          <w:lang w:eastAsia="zh-CN"/>
        </w:rPr>
        <w:t xml:space="preserve">includes </w:t>
      </w:r>
      <w:r w:rsidRPr="00873B6C">
        <w:t>support for the following functionality:</w:t>
      </w:r>
    </w:p>
    <w:p w14:paraId="075CCD48" w14:textId="77777777" w:rsidR="00D40151" w:rsidRPr="00873B6C" w:rsidRDefault="00D40151" w:rsidP="00D40151">
      <w:pPr>
        <w:pStyle w:val="B1"/>
      </w:pPr>
      <w:r w:rsidRPr="00873B6C">
        <w:rPr>
          <w:lang w:eastAsia="zh-CN"/>
        </w:rPr>
        <w:t>-</w:t>
      </w:r>
      <w:r w:rsidRPr="00873B6C">
        <w:rPr>
          <w:lang w:eastAsia="zh-CN"/>
        </w:rPr>
        <w:tab/>
        <w:t xml:space="preserve">Generation of 3GPP AKA </w:t>
      </w:r>
      <w:r w:rsidRPr="00873B6C">
        <w:t>Authentication Credentials.</w:t>
      </w:r>
    </w:p>
    <w:p w14:paraId="0E3C04F2" w14:textId="77777777" w:rsidR="00D40151" w:rsidRPr="00873B6C" w:rsidRDefault="00D40151" w:rsidP="00D40151">
      <w:pPr>
        <w:pStyle w:val="B1"/>
        <w:tabs>
          <w:tab w:val="left" w:pos="1298"/>
          <w:tab w:val="left" w:pos="3432"/>
        </w:tabs>
      </w:pPr>
      <w:r w:rsidRPr="00873B6C">
        <w:t>-</w:t>
      </w:r>
      <w:r w:rsidRPr="00873B6C">
        <w:tab/>
        <w:t>User Identification Handling (e.g. storage and management of SUPI for each subscriber in the 5G system).</w:t>
      </w:r>
    </w:p>
    <w:p w14:paraId="2F967DD3" w14:textId="77777777" w:rsidR="00D40151" w:rsidRPr="00873B6C" w:rsidRDefault="00D40151" w:rsidP="00D40151">
      <w:pPr>
        <w:pStyle w:val="B1"/>
        <w:tabs>
          <w:tab w:val="left" w:pos="1298"/>
          <w:tab w:val="left" w:pos="3432"/>
        </w:tabs>
      </w:pPr>
      <w:r w:rsidRPr="00873B6C">
        <w:t>-</w:t>
      </w:r>
      <w:r w:rsidRPr="00873B6C">
        <w:tab/>
        <w:t>Support of de-concealment of privacy-protected subscription identifier (SUCI).</w:t>
      </w:r>
    </w:p>
    <w:p w14:paraId="3B65CD30" w14:textId="77777777" w:rsidR="00D40151" w:rsidRPr="00873B6C" w:rsidRDefault="00D40151" w:rsidP="00D40151">
      <w:pPr>
        <w:pStyle w:val="B1"/>
        <w:tabs>
          <w:tab w:val="left" w:pos="1298"/>
          <w:tab w:val="left" w:pos="3432"/>
        </w:tabs>
      </w:pPr>
      <w:r w:rsidRPr="00873B6C">
        <w:t>-</w:t>
      </w:r>
      <w:r w:rsidRPr="00873B6C">
        <w:tab/>
        <w:t>Access authorization based on subscription data (e.g. roaming restrictions).</w:t>
      </w:r>
    </w:p>
    <w:p w14:paraId="4B7D737E" w14:textId="77777777" w:rsidR="00D40151" w:rsidRPr="00873B6C" w:rsidRDefault="00D40151" w:rsidP="00D40151">
      <w:pPr>
        <w:pStyle w:val="B1"/>
      </w:pPr>
      <w:r w:rsidRPr="00873B6C">
        <w:t>-</w:t>
      </w:r>
      <w:r w:rsidRPr="00873B6C">
        <w:tab/>
        <w:t>UE's Serving NF Registration Management (e.g. storing serving AMF for UE, storing serving SMF for UE's PDU Session).</w:t>
      </w:r>
    </w:p>
    <w:p w14:paraId="26C48670" w14:textId="77777777" w:rsidR="00D40151" w:rsidRPr="00873B6C" w:rsidRDefault="00D40151" w:rsidP="00D40151">
      <w:pPr>
        <w:pStyle w:val="B1"/>
      </w:pPr>
      <w:r w:rsidRPr="00873B6C">
        <w:t>-</w:t>
      </w:r>
      <w:r w:rsidRPr="00873B6C">
        <w:tab/>
        <w:t>Support to service/session continuity e.g. by keeping SMF/DNN assignment of ongoing sessions.</w:t>
      </w:r>
    </w:p>
    <w:p w14:paraId="5C662C1C" w14:textId="77777777" w:rsidR="00D40151" w:rsidRPr="00873B6C" w:rsidRDefault="00D40151" w:rsidP="00D40151">
      <w:pPr>
        <w:pStyle w:val="B1"/>
      </w:pPr>
      <w:r w:rsidRPr="00873B6C">
        <w:t>-</w:t>
      </w:r>
      <w:r w:rsidRPr="00873B6C">
        <w:tab/>
        <w:t>MT-SMS delivery support.</w:t>
      </w:r>
    </w:p>
    <w:p w14:paraId="56B71B91" w14:textId="77777777" w:rsidR="00D40151" w:rsidRPr="00873B6C" w:rsidRDefault="00D40151" w:rsidP="00D40151">
      <w:pPr>
        <w:pStyle w:val="B1"/>
      </w:pPr>
      <w:r w:rsidRPr="00873B6C">
        <w:lastRenderedPageBreak/>
        <w:t>-</w:t>
      </w:r>
      <w:r w:rsidRPr="00873B6C">
        <w:tab/>
        <w:t>Lawful Intercept Functionality (especially in outbound roaming case where UDM is the only point of contact for LI).</w:t>
      </w:r>
    </w:p>
    <w:p w14:paraId="49A96B02" w14:textId="77777777" w:rsidR="00D40151" w:rsidRPr="00873B6C" w:rsidRDefault="00D40151" w:rsidP="00D40151">
      <w:pPr>
        <w:pStyle w:val="B1"/>
      </w:pPr>
      <w:r w:rsidRPr="00873B6C">
        <w:t>-</w:t>
      </w:r>
      <w:r w:rsidRPr="00873B6C">
        <w:tab/>
        <w:t>Subscription management.</w:t>
      </w:r>
    </w:p>
    <w:p w14:paraId="037B03B2" w14:textId="77777777" w:rsidR="00D40151" w:rsidRPr="00873B6C" w:rsidRDefault="00D40151" w:rsidP="00D40151">
      <w:pPr>
        <w:pStyle w:val="B1"/>
      </w:pPr>
      <w:r w:rsidRPr="00873B6C">
        <w:t>-</w:t>
      </w:r>
      <w:r w:rsidRPr="00873B6C">
        <w:tab/>
        <w:t>SMS management.</w:t>
      </w:r>
    </w:p>
    <w:p w14:paraId="21498095" w14:textId="08183E12" w:rsidR="00D40151" w:rsidRPr="00873B6C" w:rsidRDefault="00D40151" w:rsidP="00D40151">
      <w:pPr>
        <w:pStyle w:val="B1"/>
      </w:pPr>
      <w:r w:rsidRPr="00873B6C">
        <w:t>-</w:t>
      </w:r>
      <w:r w:rsidRPr="00873B6C">
        <w:tab/>
      </w:r>
      <w:r w:rsidR="00704A9E" w:rsidRPr="00873B6C">
        <w:t>5G-VN</w:t>
      </w:r>
      <w:r w:rsidRPr="00873B6C">
        <w:t xml:space="preserve"> group management handling.</w:t>
      </w:r>
    </w:p>
    <w:p w14:paraId="1BD6A175" w14:textId="77777777" w:rsidR="00D40151" w:rsidRPr="00873B6C" w:rsidRDefault="00D40151" w:rsidP="00D40151">
      <w:pPr>
        <w:pStyle w:val="B1"/>
      </w:pPr>
      <w:r w:rsidRPr="00873B6C">
        <w:t>-</w:t>
      </w:r>
      <w:r w:rsidRPr="00873B6C">
        <w:tab/>
        <w:t>Support of external parameter provisioning (Expected UE Behaviour parameters or Network Configuration parameters).</w:t>
      </w:r>
    </w:p>
    <w:p w14:paraId="7F21E3CA" w14:textId="19097B24" w:rsidR="00426DE4" w:rsidRPr="00873B6C" w:rsidRDefault="00426DE4" w:rsidP="00426DE4">
      <w:pPr>
        <w:pStyle w:val="B1"/>
      </w:pPr>
      <w:r w:rsidRPr="00873B6C">
        <w:t>-</w:t>
      </w:r>
      <w:r w:rsidRPr="00873B6C">
        <w:tab/>
        <w:t>Support for the Disaster Roaming as described in clause 5.40.</w:t>
      </w:r>
    </w:p>
    <w:p w14:paraId="7531F00E" w14:textId="2848357E" w:rsidR="007B6EB9" w:rsidRPr="00873B6C" w:rsidRDefault="007B6EB9" w:rsidP="007B6EB9">
      <w:pPr>
        <w:pStyle w:val="B1"/>
      </w:pPr>
      <w:r w:rsidRPr="00873B6C">
        <w:t>-</w:t>
      </w:r>
      <w:r w:rsidRPr="00873B6C">
        <w:tab/>
        <w:t>Support for the control of time synchronization service based on subscription data as described in clause 5.27.1.1</w:t>
      </w:r>
      <w:r w:rsidR="001151EB" w:rsidRPr="00873B6C">
        <w:t>1</w:t>
      </w:r>
      <w:r w:rsidRPr="00873B6C">
        <w:t>.</w:t>
      </w:r>
    </w:p>
    <w:p w14:paraId="13FCCA5E" w14:textId="77777777" w:rsidR="00D40151" w:rsidRPr="00873B6C" w:rsidRDefault="00D40151" w:rsidP="00D40151">
      <w:pPr>
        <w:rPr>
          <w:lang w:eastAsia="zh-CN"/>
        </w:rPr>
      </w:pPr>
      <w:r w:rsidRPr="00873B6C">
        <w:t>To provide this functionality, the UDM uses</w:t>
      </w:r>
      <w:r w:rsidRPr="00873B6C">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208632FA" w:rsidR="00D40151" w:rsidRPr="00873B6C" w:rsidRDefault="00D40151" w:rsidP="00D40151">
      <w:pPr>
        <w:pStyle w:val="NO"/>
        <w:tabs>
          <w:tab w:val="left" w:pos="5529"/>
        </w:tabs>
      </w:pPr>
      <w:r w:rsidRPr="00873B6C">
        <w:t>NOTE</w:t>
      </w:r>
      <w:r w:rsidRPr="00873B6C">
        <w:rPr>
          <w:rFonts w:eastAsia="SimSun"/>
          <w:lang w:eastAsia="zh-CN"/>
        </w:rPr>
        <w:t> 1</w:t>
      </w:r>
      <w:r w:rsidRPr="00873B6C">
        <w:t>:</w:t>
      </w:r>
      <w:r w:rsidRPr="00873B6C">
        <w:tab/>
      </w:r>
      <w:r w:rsidRPr="00873B6C">
        <w:rPr>
          <w:rFonts w:eastAsia="SimSun"/>
          <w:lang w:eastAsia="zh-CN"/>
        </w:rPr>
        <w:t xml:space="preserve">The interaction between UDM and HSS, when they are deployed as separate network functions, is defined in </w:t>
      </w:r>
      <w:r w:rsidR="00972E70" w:rsidRPr="00873B6C">
        <w:rPr>
          <w:rFonts w:eastAsia="SimSun"/>
          <w:lang w:eastAsia="zh-CN"/>
        </w:rPr>
        <w:t>TS 23.632 [</w:t>
      </w:r>
      <w:r w:rsidRPr="00873B6C">
        <w:rPr>
          <w:rFonts w:eastAsia="SimSun"/>
          <w:lang w:eastAsia="zh-CN"/>
        </w:rPr>
        <w:t xml:space="preserve">102] and </w:t>
      </w:r>
      <w:r w:rsidR="00972E70" w:rsidRPr="00873B6C">
        <w:rPr>
          <w:rFonts w:eastAsia="SimSun"/>
          <w:lang w:eastAsia="zh-CN"/>
        </w:rPr>
        <w:t>TS 29.563 [</w:t>
      </w:r>
      <w:r w:rsidRPr="00873B6C">
        <w:rPr>
          <w:rFonts w:eastAsia="SimSun"/>
          <w:lang w:eastAsia="zh-CN"/>
        </w:rPr>
        <w:t>103] or it is implementation specific</w:t>
      </w:r>
      <w:r w:rsidRPr="00873B6C">
        <w:t>.</w:t>
      </w:r>
    </w:p>
    <w:p w14:paraId="75E80F94" w14:textId="07166A94" w:rsidR="00D40151" w:rsidRPr="00873B6C" w:rsidRDefault="00D40151" w:rsidP="00D40151">
      <w:pPr>
        <w:pStyle w:val="NO"/>
      </w:pPr>
      <w:r w:rsidRPr="00873B6C">
        <w:t>NOTE</w:t>
      </w:r>
      <w:r w:rsidRPr="00873B6C">
        <w:rPr>
          <w:rFonts w:eastAsia="SimSun"/>
          <w:lang w:eastAsia="zh-CN"/>
        </w:rPr>
        <w:t> 2</w:t>
      </w:r>
      <w:r w:rsidRPr="00873B6C">
        <w:t>:</w:t>
      </w:r>
      <w:r w:rsidRPr="00873B6C">
        <w:tab/>
      </w:r>
      <w:r w:rsidRPr="00873B6C">
        <w:rPr>
          <w:rFonts w:eastAsia="SimSun"/>
          <w:lang w:eastAsia="zh-CN"/>
        </w:rPr>
        <w:t>The UDM is located in the HPLMN of the subscribers it serves</w:t>
      </w:r>
      <w:r w:rsidR="00472CD7" w:rsidRPr="00873B6C">
        <w:rPr>
          <w:rFonts w:eastAsia="SimSun"/>
          <w:lang w:eastAsia="zh-CN"/>
        </w:rPr>
        <w:t xml:space="preserve"> and</w:t>
      </w:r>
      <w:r w:rsidRPr="00873B6C">
        <w:rPr>
          <w:rFonts w:eastAsia="SimSun"/>
          <w:lang w:eastAsia="zh-CN"/>
        </w:rPr>
        <w:t xml:space="preserve"> access the information of the UDR located in the same PLMN</w:t>
      </w:r>
      <w:r w:rsidRPr="00873B6C">
        <w:t>.</w:t>
      </w:r>
    </w:p>
    <w:p w14:paraId="62AA9F8B" w14:textId="77777777" w:rsidR="00D40151" w:rsidRPr="00873B6C" w:rsidRDefault="00D40151" w:rsidP="00D40151">
      <w:pPr>
        <w:pStyle w:val="Heading3"/>
      </w:pPr>
      <w:bookmarkStart w:id="5370" w:name="_CR6_2_8"/>
      <w:bookmarkStart w:id="5371" w:name="_Toc20150193"/>
      <w:bookmarkStart w:id="5372" w:name="_Toc27847001"/>
      <w:bookmarkStart w:id="5373" w:name="_Toc36188132"/>
      <w:bookmarkStart w:id="5374" w:name="_Toc45184042"/>
      <w:bookmarkStart w:id="5375" w:name="_Toc47342884"/>
      <w:bookmarkStart w:id="5376" w:name="_Toc51769586"/>
      <w:bookmarkStart w:id="5377" w:name="_Toc201157736"/>
      <w:bookmarkEnd w:id="5370"/>
      <w:r w:rsidRPr="00873B6C">
        <w:t>6.2.8</w:t>
      </w:r>
      <w:r w:rsidRPr="00873B6C">
        <w:tab/>
        <w:t>AUSF</w:t>
      </w:r>
      <w:bookmarkEnd w:id="5371"/>
      <w:bookmarkEnd w:id="5372"/>
      <w:bookmarkEnd w:id="5373"/>
      <w:bookmarkEnd w:id="5374"/>
      <w:bookmarkEnd w:id="5375"/>
      <w:bookmarkEnd w:id="5376"/>
      <w:bookmarkEnd w:id="5377"/>
    </w:p>
    <w:p w14:paraId="46B77E39" w14:textId="77777777" w:rsidR="00D40151" w:rsidRPr="00873B6C" w:rsidRDefault="00D40151" w:rsidP="00D40151">
      <w:r w:rsidRPr="00873B6C">
        <w:t>The Authentication Server Function (AUSF) supports the following functionality:</w:t>
      </w:r>
    </w:p>
    <w:p w14:paraId="08722BAC" w14:textId="0DD7B115" w:rsidR="00D40151" w:rsidRPr="00873B6C" w:rsidRDefault="00D40151" w:rsidP="00D40151">
      <w:pPr>
        <w:pStyle w:val="B1"/>
      </w:pPr>
      <w:r w:rsidRPr="00873B6C">
        <w:rPr>
          <w:lang w:eastAsia="zh-CN"/>
        </w:rPr>
        <w:t>-</w:t>
      </w:r>
      <w:r w:rsidRPr="00873B6C">
        <w:rPr>
          <w:lang w:eastAsia="zh-CN"/>
        </w:rPr>
        <w:tab/>
        <w:t>Supports</w:t>
      </w:r>
      <w:r w:rsidRPr="00873B6C">
        <w:t xml:space="preserve"> authentication for 3GPP access and untrusted non-3GPP access as specified in </w:t>
      </w:r>
      <w:r w:rsidR="00972E70" w:rsidRPr="00873B6C">
        <w:t>TS 33.501 [</w:t>
      </w:r>
      <w:r w:rsidRPr="00873B6C">
        <w:t>29].</w:t>
      </w:r>
    </w:p>
    <w:p w14:paraId="7D83035C" w14:textId="7BC9EA8C" w:rsidR="00426DE4" w:rsidRPr="00873B6C" w:rsidRDefault="00426DE4" w:rsidP="00426DE4">
      <w:pPr>
        <w:pStyle w:val="B1"/>
      </w:pPr>
      <w:bookmarkStart w:id="5378" w:name="_Toc20150194"/>
      <w:bookmarkStart w:id="5379" w:name="_Toc27847002"/>
      <w:bookmarkStart w:id="5380" w:name="_Toc36188133"/>
      <w:bookmarkStart w:id="5381" w:name="_Toc45184043"/>
      <w:bookmarkStart w:id="5382" w:name="_Toc47342885"/>
      <w:bookmarkStart w:id="5383" w:name="_Toc51769587"/>
      <w:r w:rsidRPr="00873B6C">
        <w:t>-</w:t>
      </w:r>
      <w:r w:rsidRPr="00873B6C">
        <w:tab/>
        <w:t xml:space="preserve">Supports authentication of UE for a Disaster Roaming service as specified in </w:t>
      </w:r>
      <w:r w:rsidR="00972E70" w:rsidRPr="00873B6C">
        <w:t>TS 33.501 [</w:t>
      </w:r>
      <w:r w:rsidRPr="00873B6C">
        <w:t>29].</w:t>
      </w:r>
    </w:p>
    <w:p w14:paraId="1F022C98" w14:textId="77777777" w:rsidR="00D40151" w:rsidRPr="00873B6C" w:rsidRDefault="00D40151" w:rsidP="00D40151">
      <w:pPr>
        <w:pStyle w:val="Heading3"/>
      </w:pPr>
      <w:bookmarkStart w:id="5384" w:name="_CR6_2_9"/>
      <w:bookmarkStart w:id="5385" w:name="_Toc201157737"/>
      <w:bookmarkEnd w:id="5384"/>
      <w:r w:rsidRPr="00873B6C">
        <w:t>6.2.9</w:t>
      </w:r>
      <w:r w:rsidRPr="00873B6C">
        <w:tab/>
        <w:t>N3IWF</w:t>
      </w:r>
      <w:bookmarkEnd w:id="5378"/>
      <w:bookmarkEnd w:id="5379"/>
      <w:bookmarkEnd w:id="5380"/>
      <w:bookmarkEnd w:id="5381"/>
      <w:bookmarkEnd w:id="5382"/>
      <w:bookmarkEnd w:id="5383"/>
      <w:bookmarkEnd w:id="5385"/>
    </w:p>
    <w:p w14:paraId="31758528" w14:textId="77777777" w:rsidR="00D40151" w:rsidRPr="00873B6C" w:rsidRDefault="00D40151" w:rsidP="00D40151">
      <w:r w:rsidRPr="00873B6C">
        <w:t>The functionality of N3IWF in the case of untrusted non-3GPP access includes the following:</w:t>
      </w:r>
    </w:p>
    <w:p w14:paraId="04822361" w14:textId="77777777" w:rsidR="00D40151" w:rsidRPr="00873B6C" w:rsidRDefault="00D40151" w:rsidP="00D40151">
      <w:pPr>
        <w:pStyle w:val="B1"/>
      </w:pPr>
      <w:r w:rsidRPr="00873B6C">
        <w:t>-</w:t>
      </w:r>
      <w:r w:rsidRPr="00873B6C">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873B6C" w:rsidRDefault="00D40151" w:rsidP="00D40151">
      <w:pPr>
        <w:pStyle w:val="B1"/>
      </w:pPr>
      <w:r w:rsidRPr="00873B6C">
        <w:t>-</w:t>
      </w:r>
      <w:r w:rsidRPr="00873B6C">
        <w:tab/>
        <w:t>Termination of N2 and N3 interfaces to 5G Core Network for control</w:t>
      </w:r>
      <w:r w:rsidRPr="00873B6C" w:rsidDel="00EA7500">
        <w:t xml:space="preserve"> </w:t>
      </w:r>
      <w:r w:rsidRPr="00873B6C">
        <w:t>- plane and user-plane respectively.</w:t>
      </w:r>
    </w:p>
    <w:p w14:paraId="3B721436" w14:textId="77777777" w:rsidR="00D40151" w:rsidRPr="00873B6C" w:rsidRDefault="00D40151" w:rsidP="00D40151">
      <w:pPr>
        <w:pStyle w:val="B1"/>
      </w:pPr>
      <w:r w:rsidRPr="00873B6C">
        <w:t>-</w:t>
      </w:r>
      <w:r w:rsidRPr="00873B6C">
        <w:tab/>
        <w:t>Relaying uplink and downlink control-plane NAS (N1) signalling between the UE and AMF.</w:t>
      </w:r>
    </w:p>
    <w:p w14:paraId="227E323D" w14:textId="77777777" w:rsidR="00D40151" w:rsidRPr="00873B6C" w:rsidRDefault="00D40151" w:rsidP="00D40151">
      <w:pPr>
        <w:pStyle w:val="B1"/>
      </w:pPr>
      <w:r w:rsidRPr="00873B6C">
        <w:t>-</w:t>
      </w:r>
      <w:r w:rsidRPr="00873B6C">
        <w:tab/>
        <w:t>Handling of N2 signalling from SMF (relayed by AMF) related to PDU Sessions and QoS.</w:t>
      </w:r>
    </w:p>
    <w:p w14:paraId="5E5A00BC" w14:textId="77777777" w:rsidR="00D40151" w:rsidRPr="00873B6C" w:rsidRDefault="00D40151" w:rsidP="00D40151">
      <w:pPr>
        <w:pStyle w:val="B1"/>
      </w:pPr>
      <w:r w:rsidRPr="00873B6C">
        <w:t>-</w:t>
      </w:r>
      <w:r w:rsidRPr="00873B6C">
        <w:tab/>
        <w:t>Establishment of IPsec Security Association (IPsec SA) to support PDU Session traffic.</w:t>
      </w:r>
    </w:p>
    <w:p w14:paraId="3DDB1D70" w14:textId="77777777" w:rsidR="00D40151" w:rsidRPr="00873B6C" w:rsidRDefault="00D40151" w:rsidP="00D40151">
      <w:pPr>
        <w:pStyle w:val="B1"/>
      </w:pPr>
      <w:r w:rsidRPr="00873B6C">
        <w:t>-</w:t>
      </w:r>
      <w:r w:rsidRPr="00873B6C">
        <w:tab/>
        <w:t>Relaying uplink and downlink user-plane packets between the UE and UPF. This involves:</w:t>
      </w:r>
    </w:p>
    <w:p w14:paraId="1A05362B" w14:textId="6F0134C0" w:rsidR="00D40151" w:rsidRPr="00873B6C" w:rsidRDefault="00D40151" w:rsidP="00D40151">
      <w:pPr>
        <w:pStyle w:val="B2"/>
        <w:rPr>
          <w:rFonts w:eastAsia="MS Mincho"/>
        </w:rPr>
      </w:pPr>
      <w:r w:rsidRPr="00873B6C">
        <w:t>-</w:t>
      </w:r>
      <w:r w:rsidRPr="00873B6C">
        <w:tab/>
        <w:t>De-capsulation/ encapsulation of packets for IPSec and N3 tunnelling</w:t>
      </w:r>
      <w:r w:rsidR="00A51A83" w:rsidRPr="00873B6C">
        <w:t>.</w:t>
      </w:r>
    </w:p>
    <w:p w14:paraId="54FBD959" w14:textId="20AF1A52" w:rsidR="00D40151" w:rsidRPr="00873B6C" w:rsidRDefault="00D40151" w:rsidP="00D40151">
      <w:pPr>
        <w:pStyle w:val="B1"/>
      </w:pPr>
      <w:r w:rsidRPr="00873B6C">
        <w:t>-</w:t>
      </w:r>
      <w:r w:rsidRPr="00873B6C">
        <w:tab/>
        <w:t>Enforcing QoS corresponding to N3 packet marking</w:t>
      </w:r>
      <w:r w:rsidR="00A51A83" w:rsidRPr="00873B6C">
        <w:t xml:space="preserve"> (e.g. DSCP)</w:t>
      </w:r>
      <w:r w:rsidRPr="00873B6C">
        <w:t>, taking into account QoS requirements associated to such marking received over N2</w:t>
      </w:r>
      <w:r w:rsidR="00A51A83" w:rsidRPr="00873B6C">
        <w:t>. QoS includes 5QI, the Priority Level (if explicitly signalled) and optionally, the ARP priority level.</w:t>
      </w:r>
    </w:p>
    <w:p w14:paraId="55C6CCAE" w14:textId="77777777" w:rsidR="00A51A83" w:rsidRPr="00873B6C" w:rsidRDefault="00A51A83" w:rsidP="005A13C0">
      <w:pPr>
        <w:pStyle w:val="NO"/>
      </w:pPr>
      <w:r w:rsidRPr="00873B6C">
        <w:t>NOTE:</w:t>
      </w:r>
      <w:r w:rsidRPr="00873B6C">
        <w:tab/>
        <w:t>Based on operator policy and/or regional/national regulations, the N3IWF can apply a different DSCP value to the outer ESP tunnel packet than the DSCP value of the inner IP packet.</w:t>
      </w:r>
    </w:p>
    <w:p w14:paraId="084C6C14" w14:textId="5479706C" w:rsidR="00A51A83" w:rsidRPr="00873B6C" w:rsidRDefault="00A51A83" w:rsidP="00D40151">
      <w:pPr>
        <w:pStyle w:val="B1"/>
      </w:pPr>
      <w:r w:rsidRPr="00873B6C">
        <w:t>-</w:t>
      </w:r>
      <w:r w:rsidRPr="00873B6C">
        <w:tab/>
        <w:t>Packet marking, e.g. setting the DSCP value based on the Establishment cause on N2</w:t>
      </w:r>
      <w:r w:rsidR="00472CD7" w:rsidRPr="00873B6C">
        <w:t xml:space="preserve"> and</w:t>
      </w:r>
      <w:r w:rsidRPr="00873B6C">
        <w:t xml:space="preserve"> based on 5QI, the Priority Level (if explicitly signalled) and optionally, the ARP priority level on N3.</w:t>
      </w:r>
    </w:p>
    <w:p w14:paraId="6AE20A07" w14:textId="77777777" w:rsidR="00D40151" w:rsidRPr="00873B6C" w:rsidRDefault="00D40151" w:rsidP="00D40151">
      <w:pPr>
        <w:pStyle w:val="B1"/>
      </w:pPr>
      <w:r w:rsidRPr="00873B6C">
        <w:lastRenderedPageBreak/>
        <w:t>-</w:t>
      </w:r>
      <w:r w:rsidRPr="00873B6C">
        <w:tab/>
        <w:t>Local mobility anchor within untrusted non-3GPP access networks using MOBIKE per IETF RFC 4555 [57].</w:t>
      </w:r>
    </w:p>
    <w:p w14:paraId="7CA79F4F" w14:textId="77777777" w:rsidR="00D40151" w:rsidRPr="00873B6C" w:rsidRDefault="00D40151" w:rsidP="00D40151">
      <w:pPr>
        <w:pStyle w:val="B1"/>
        <w:rPr>
          <w:rFonts w:eastAsia="MS Mincho"/>
        </w:rPr>
      </w:pPr>
      <w:r w:rsidRPr="00873B6C">
        <w:t>-</w:t>
      </w:r>
      <w:r w:rsidRPr="00873B6C">
        <w:tab/>
        <w:t>Supporting AMF selection.</w:t>
      </w:r>
    </w:p>
    <w:p w14:paraId="459781C6" w14:textId="77777777" w:rsidR="00D40151" w:rsidRPr="00873B6C" w:rsidRDefault="00D40151" w:rsidP="00D40151">
      <w:pPr>
        <w:pStyle w:val="Heading3"/>
      </w:pPr>
      <w:bookmarkStart w:id="5386" w:name="_CR6_2_9A"/>
      <w:bookmarkStart w:id="5387" w:name="_Toc20150195"/>
      <w:bookmarkStart w:id="5388" w:name="_Toc27847003"/>
      <w:bookmarkStart w:id="5389" w:name="_Toc36188134"/>
      <w:bookmarkStart w:id="5390" w:name="_Toc45184044"/>
      <w:bookmarkStart w:id="5391" w:name="_Toc47342886"/>
      <w:bookmarkStart w:id="5392" w:name="_Toc51769588"/>
      <w:bookmarkStart w:id="5393" w:name="_Toc201157738"/>
      <w:bookmarkEnd w:id="5386"/>
      <w:r w:rsidRPr="00873B6C">
        <w:t>6.2.9A</w:t>
      </w:r>
      <w:r w:rsidRPr="00873B6C">
        <w:tab/>
        <w:t>TNGF</w:t>
      </w:r>
      <w:bookmarkEnd w:id="5387"/>
      <w:bookmarkEnd w:id="5388"/>
      <w:bookmarkEnd w:id="5389"/>
      <w:bookmarkEnd w:id="5390"/>
      <w:bookmarkEnd w:id="5391"/>
      <w:bookmarkEnd w:id="5392"/>
      <w:bookmarkEnd w:id="5393"/>
    </w:p>
    <w:p w14:paraId="605A6E4E" w14:textId="77777777" w:rsidR="00D40151" w:rsidRPr="00873B6C" w:rsidRDefault="00D40151" w:rsidP="00D40151">
      <w:r w:rsidRPr="00873B6C">
        <w:t>The functionality of TNGF in the case of trusted non-3GPP access includes the following:</w:t>
      </w:r>
    </w:p>
    <w:p w14:paraId="08469D53" w14:textId="77777777" w:rsidR="00D40151" w:rsidRPr="00873B6C" w:rsidRDefault="00D40151" w:rsidP="00D40151">
      <w:pPr>
        <w:pStyle w:val="B1"/>
      </w:pPr>
      <w:r w:rsidRPr="00873B6C">
        <w:t>-</w:t>
      </w:r>
      <w:r w:rsidRPr="00873B6C">
        <w:tab/>
        <w:t>Terminates the N2 and N3 interfaces.</w:t>
      </w:r>
    </w:p>
    <w:p w14:paraId="180E3DB7" w14:textId="77777777" w:rsidR="00D40151" w:rsidRPr="00873B6C" w:rsidRDefault="00D40151" w:rsidP="00D40151">
      <w:pPr>
        <w:pStyle w:val="B1"/>
      </w:pPr>
      <w:r w:rsidRPr="00873B6C">
        <w:t>-</w:t>
      </w:r>
      <w:r w:rsidRPr="00873B6C">
        <w:tab/>
        <w:t>Terminates the EAP-5G signalling and behaves as authenticator when the UE attempts to register to 5GC via the TNAN.</w:t>
      </w:r>
    </w:p>
    <w:p w14:paraId="756250AC" w14:textId="77777777" w:rsidR="00D40151" w:rsidRPr="00873B6C" w:rsidRDefault="00D40151" w:rsidP="00D40151">
      <w:pPr>
        <w:pStyle w:val="B1"/>
      </w:pPr>
      <w:r w:rsidRPr="00873B6C">
        <w:t>-</w:t>
      </w:r>
      <w:r w:rsidRPr="00873B6C">
        <w:tab/>
        <w:t>Implements the AMF selection procedure.</w:t>
      </w:r>
    </w:p>
    <w:p w14:paraId="57BDC35B" w14:textId="77777777" w:rsidR="00D40151" w:rsidRPr="00873B6C" w:rsidRDefault="00D40151" w:rsidP="00D40151">
      <w:pPr>
        <w:pStyle w:val="B1"/>
      </w:pPr>
      <w:r w:rsidRPr="00873B6C">
        <w:t>-</w:t>
      </w:r>
      <w:r w:rsidRPr="00873B6C">
        <w:tab/>
        <w:t>Transparently relays NAS messages between the UE and the AMF, via NWt.</w:t>
      </w:r>
    </w:p>
    <w:p w14:paraId="25FC510D" w14:textId="77777777" w:rsidR="00D40151" w:rsidRPr="00873B6C" w:rsidRDefault="00D40151" w:rsidP="00D40151">
      <w:pPr>
        <w:pStyle w:val="B1"/>
      </w:pPr>
      <w:r w:rsidRPr="00873B6C">
        <w:t>-</w:t>
      </w:r>
      <w:r w:rsidRPr="00873B6C">
        <w:tab/>
        <w:t>Handles N2 signalling with SMF (relayed by AMF) for supporting PDU sessions and QoS.</w:t>
      </w:r>
    </w:p>
    <w:p w14:paraId="5BBE3524" w14:textId="77777777" w:rsidR="00D40151" w:rsidRPr="00873B6C" w:rsidRDefault="00D40151" w:rsidP="00D40151">
      <w:pPr>
        <w:pStyle w:val="B1"/>
      </w:pPr>
      <w:r w:rsidRPr="00873B6C">
        <w:t>-</w:t>
      </w:r>
      <w:r w:rsidRPr="00873B6C">
        <w:tab/>
        <w:t>Transparently relays PDU data units between the UE and UPF(s).</w:t>
      </w:r>
    </w:p>
    <w:p w14:paraId="2B09829E" w14:textId="77777777" w:rsidR="00D40151" w:rsidRPr="00873B6C" w:rsidRDefault="00D40151" w:rsidP="00D40151">
      <w:pPr>
        <w:pStyle w:val="B1"/>
      </w:pPr>
      <w:r w:rsidRPr="00873B6C">
        <w:t>-</w:t>
      </w:r>
      <w:r w:rsidRPr="00873B6C">
        <w:tab/>
        <w:t>Implements a local mobility anchor within the TNAN.</w:t>
      </w:r>
    </w:p>
    <w:p w14:paraId="00F6C487" w14:textId="5081E4FD" w:rsidR="00A51A83" w:rsidRPr="00873B6C" w:rsidRDefault="00A51A83" w:rsidP="00A51A83">
      <w:pPr>
        <w:pStyle w:val="B1"/>
      </w:pPr>
      <w:bookmarkStart w:id="5394" w:name="_Toc20150196"/>
      <w:bookmarkStart w:id="5395" w:name="_Toc27847004"/>
      <w:bookmarkStart w:id="5396" w:name="_Toc36188135"/>
      <w:bookmarkStart w:id="5397" w:name="_Toc45184045"/>
      <w:bookmarkStart w:id="5398" w:name="_Toc47342887"/>
      <w:bookmarkStart w:id="5399" w:name="_Toc51769589"/>
      <w:r w:rsidRPr="00873B6C">
        <w:t>-</w:t>
      </w:r>
      <w:r w:rsidRPr="00873B6C">
        <w:tab/>
        <w:t>Packet marking in the downlink</w:t>
      </w:r>
      <w:r w:rsidR="00472CD7" w:rsidRPr="00873B6C">
        <w:t xml:space="preserve"> and</w:t>
      </w:r>
      <w:r w:rsidRPr="00873B6C">
        <w:t xml:space="preserve"> the uplink on N2 and N3, as for the N3IWF (clause 6.2.9).</w:t>
      </w:r>
    </w:p>
    <w:p w14:paraId="2CF65F73" w14:textId="77777777" w:rsidR="00D40151" w:rsidRPr="00873B6C" w:rsidRDefault="00D40151" w:rsidP="00D40151">
      <w:pPr>
        <w:pStyle w:val="Heading3"/>
      </w:pPr>
      <w:bookmarkStart w:id="5400" w:name="_CR6_2_10"/>
      <w:bookmarkStart w:id="5401" w:name="_Toc201157739"/>
      <w:bookmarkEnd w:id="5400"/>
      <w:r w:rsidRPr="00873B6C">
        <w:t>6.2.10</w:t>
      </w:r>
      <w:r w:rsidRPr="00873B6C">
        <w:tab/>
        <w:t>AF</w:t>
      </w:r>
      <w:bookmarkEnd w:id="5394"/>
      <w:bookmarkEnd w:id="5395"/>
      <w:bookmarkEnd w:id="5396"/>
      <w:bookmarkEnd w:id="5397"/>
      <w:bookmarkEnd w:id="5398"/>
      <w:bookmarkEnd w:id="5399"/>
      <w:bookmarkEnd w:id="5401"/>
    </w:p>
    <w:p w14:paraId="02B89A7E" w14:textId="77777777" w:rsidR="00D40151" w:rsidRPr="00873B6C" w:rsidRDefault="00D40151" w:rsidP="00D40151">
      <w:r w:rsidRPr="00873B6C">
        <w:t>The Application Function (AF) interacts with the 3GPP Core Network in order to provide services, for example to support the following:</w:t>
      </w:r>
    </w:p>
    <w:p w14:paraId="7F0B93D5" w14:textId="5208127E" w:rsidR="00D40151" w:rsidRPr="00873B6C" w:rsidRDefault="00D40151" w:rsidP="00D40151">
      <w:pPr>
        <w:pStyle w:val="B1"/>
      </w:pPr>
      <w:r w:rsidRPr="00873B6C">
        <w:t>-</w:t>
      </w:r>
      <w:r w:rsidRPr="00873B6C">
        <w:tab/>
        <w:t>Application</w:t>
      </w:r>
      <w:r w:rsidR="00D409DD" w:rsidRPr="00873B6C">
        <w:t xml:space="preserve"> Function</w:t>
      </w:r>
      <w:r w:rsidRPr="00873B6C">
        <w:t xml:space="preserve"> influence on traffic routing (see clause 5.6.7);</w:t>
      </w:r>
    </w:p>
    <w:p w14:paraId="47408BD8" w14:textId="57036C40" w:rsidR="00D409DD" w:rsidRPr="00873B6C" w:rsidRDefault="00D409DD" w:rsidP="00D40151">
      <w:pPr>
        <w:pStyle w:val="B1"/>
      </w:pPr>
      <w:r w:rsidRPr="00873B6C">
        <w:t>-</w:t>
      </w:r>
      <w:r w:rsidRPr="00873B6C">
        <w:tab/>
        <w:t>Application Function influence on Service Function Chaining (see clause 5.6.16</w:t>
      </w:r>
      <w:r w:rsidR="000046DD" w:rsidRPr="00873B6C">
        <w:t>.2</w:t>
      </w:r>
      <w:r w:rsidRPr="00873B6C">
        <w:t>);</w:t>
      </w:r>
    </w:p>
    <w:p w14:paraId="7A335E32" w14:textId="35603791" w:rsidR="00D40151" w:rsidRPr="00873B6C" w:rsidRDefault="00D40151" w:rsidP="00D40151">
      <w:pPr>
        <w:pStyle w:val="B1"/>
      </w:pPr>
      <w:r w:rsidRPr="00873B6C">
        <w:t>-</w:t>
      </w:r>
      <w:r w:rsidRPr="00873B6C">
        <w:tab/>
        <w:t>Accessing Network Exposure Function (see clause 5.20);</w:t>
      </w:r>
    </w:p>
    <w:p w14:paraId="1FB192D6" w14:textId="04745118" w:rsidR="00D40151" w:rsidRPr="00873B6C" w:rsidRDefault="00D40151" w:rsidP="00D40151">
      <w:pPr>
        <w:pStyle w:val="B1"/>
      </w:pPr>
      <w:r w:rsidRPr="00873B6C">
        <w:t>-</w:t>
      </w:r>
      <w:r w:rsidRPr="00873B6C">
        <w:tab/>
        <w:t>Interacting with the Policy</w:t>
      </w:r>
      <w:r w:rsidR="000046DD" w:rsidRPr="00873B6C">
        <w:t xml:space="preserve"> and charging control</w:t>
      </w:r>
      <w:r w:rsidRPr="00873B6C">
        <w:t xml:space="preserve"> framework (see clause 5.14);</w:t>
      </w:r>
    </w:p>
    <w:p w14:paraId="6B33F84D" w14:textId="6C4C4901" w:rsidR="000E35F2" w:rsidRPr="00873B6C" w:rsidRDefault="000E35F2" w:rsidP="00D40151">
      <w:pPr>
        <w:pStyle w:val="B1"/>
      </w:pPr>
      <w:r w:rsidRPr="00873B6C">
        <w:t>-</w:t>
      </w:r>
      <w:r w:rsidRPr="00873B6C">
        <w:tab/>
        <w:t>Time synchronization service (see clause 5.27.1.</w:t>
      </w:r>
      <w:r w:rsidR="005309E6" w:rsidRPr="00873B6C">
        <w:t>8</w:t>
      </w:r>
      <w:r w:rsidRPr="00873B6C">
        <w:t>);</w:t>
      </w:r>
    </w:p>
    <w:p w14:paraId="7A5ADA27" w14:textId="2DBDF385" w:rsidR="00D40151" w:rsidRPr="00873B6C" w:rsidRDefault="00D40151" w:rsidP="00D40151">
      <w:pPr>
        <w:pStyle w:val="B1"/>
      </w:pPr>
      <w:r w:rsidRPr="00873B6C">
        <w:t>-</w:t>
      </w:r>
      <w:r w:rsidRPr="00873B6C">
        <w:tab/>
        <w:t>IMS interactions with 5GC (see clause 5.16).</w:t>
      </w:r>
    </w:p>
    <w:p w14:paraId="7C5B6CD4" w14:textId="1ECA7F4D" w:rsidR="00AB1E8D" w:rsidRPr="00873B6C" w:rsidRDefault="00AB1E8D" w:rsidP="00AB1E8D">
      <w:pPr>
        <w:pStyle w:val="B1"/>
      </w:pPr>
      <w:r w:rsidRPr="00873B6C">
        <w:t>-</w:t>
      </w:r>
      <w:r w:rsidRPr="00873B6C">
        <w:tab/>
        <w:t>Support PDU Set</w:t>
      </w:r>
      <w:r w:rsidR="0036079D">
        <w:t xml:space="preserve"> based</w:t>
      </w:r>
      <w:r w:rsidRPr="00873B6C">
        <w:t xml:space="preserve"> </w:t>
      </w:r>
      <w:r w:rsidR="0036079D">
        <w:t>h</w:t>
      </w:r>
      <w:r w:rsidRPr="00873B6C">
        <w:t>andling as defined in clause 5.37.</w:t>
      </w:r>
      <w:r w:rsidR="00C92133" w:rsidRPr="00873B6C">
        <w:t>5</w:t>
      </w:r>
      <w:r w:rsidRPr="00873B6C">
        <w:t>.</w:t>
      </w:r>
    </w:p>
    <w:p w14:paraId="0A701623" w14:textId="77777777" w:rsidR="00D40151" w:rsidRPr="00873B6C" w:rsidRDefault="00D40151" w:rsidP="00D40151">
      <w:r w:rsidRPr="00873B6C">
        <w:t>Based on operator deployment, Application Functions considered to be trusted by the operator can be allowed to interact directly with relevant Network Functions.</w:t>
      </w:r>
    </w:p>
    <w:p w14:paraId="090DFBE2" w14:textId="77777777" w:rsidR="00D40151" w:rsidRPr="00873B6C" w:rsidRDefault="00D40151" w:rsidP="00D40151">
      <w:r w:rsidRPr="00873B6C">
        <w:t>Application Functions not allowed by the operator to access directly the Network Functions shall use the external exposure framework (see clause 7.3) via the NEF to interact with relevant Network Functions.</w:t>
      </w:r>
    </w:p>
    <w:p w14:paraId="7884C54B" w14:textId="77777777" w:rsidR="00D40151" w:rsidRPr="00873B6C" w:rsidRDefault="00D40151" w:rsidP="00D40151">
      <w:r w:rsidRPr="00873B6C">
        <w:t>The functionality and purpose of Application Functions are only defined in this specification with respect to their interaction with the 3GPP Core Network.</w:t>
      </w:r>
    </w:p>
    <w:p w14:paraId="1891D74B" w14:textId="77777777" w:rsidR="00D40151" w:rsidRPr="00873B6C" w:rsidRDefault="00D40151" w:rsidP="00D40151">
      <w:pPr>
        <w:pStyle w:val="Heading3"/>
      </w:pPr>
      <w:bookmarkStart w:id="5402" w:name="_CR6_2_11"/>
      <w:bookmarkStart w:id="5403" w:name="_Toc20150197"/>
      <w:bookmarkStart w:id="5404" w:name="_Toc27847005"/>
      <w:bookmarkStart w:id="5405" w:name="_Toc36188136"/>
      <w:bookmarkStart w:id="5406" w:name="_Toc45184046"/>
      <w:bookmarkStart w:id="5407" w:name="_Toc47342888"/>
      <w:bookmarkStart w:id="5408" w:name="_Toc51769590"/>
      <w:bookmarkStart w:id="5409" w:name="_Toc201157740"/>
      <w:bookmarkEnd w:id="5402"/>
      <w:r w:rsidRPr="00873B6C">
        <w:t>6.2.11</w:t>
      </w:r>
      <w:r w:rsidRPr="00873B6C">
        <w:tab/>
        <w:t>UDR</w:t>
      </w:r>
      <w:bookmarkEnd w:id="5403"/>
      <w:bookmarkEnd w:id="5404"/>
      <w:bookmarkEnd w:id="5405"/>
      <w:bookmarkEnd w:id="5406"/>
      <w:bookmarkEnd w:id="5407"/>
      <w:bookmarkEnd w:id="5408"/>
      <w:bookmarkEnd w:id="5409"/>
    </w:p>
    <w:p w14:paraId="2DFD1444" w14:textId="77777777" w:rsidR="00D40151" w:rsidRPr="00873B6C" w:rsidRDefault="00D40151" w:rsidP="00D40151">
      <w:r w:rsidRPr="00873B6C">
        <w:t>The Unified Data Repository (UDR) supports the following functionality:</w:t>
      </w:r>
    </w:p>
    <w:p w14:paraId="60FF3B22" w14:textId="77777777" w:rsidR="00D40151" w:rsidRPr="00873B6C" w:rsidRDefault="00D40151" w:rsidP="00D40151">
      <w:pPr>
        <w:pStyle w:val="B1"/>
        <w:rPr>
          <w:lang w:eastAsia="zh-CN"/>
        </w:rPr>
      </w:pPr>
      <w:r w:rsidRPr="00873B6C">
        <w:t>-</w:t>
      </w:r>
      <w:r w:rsidRPr="00873B6C">
        <w:tab/>
        <w:t xml:space="preserve">Storage and retrieval of </w:t>
      </w:r>
      <w:r w:rsidRPr="00873B6C">
        <w:rPr>
          <w:lang w:eastAsia="zh-CN"/>
        </w:rPr>
        <w:t xml:space="preserve">subscription data </w:t>
      </w:r>
      <w:r w:rsidRPr="00873B6C">
        <w:t xml:space="preserve">by the </w:t>
      </w:r>
      <w:r w:rsidRPr="00873B6C">
        <w:rPr>
          <w:lang w:eastAsia="zh-CN"/>
        </w:rPr>
        <w:t>UDM</w:t>
      </w:r>
      <w:r w:rsidRPr="00873B6C">
        <w:t>.</w:t>
      </w:r>
    </w:p>
    <w:p w14:paraId="3A8C7DAA" w14:textId="77777777" w:rsidR="00D40151" w:rsidRPr="00873B6C" w:rsidRDefault="00D40151" w:rsidP="00D40151">
      <w:pPr>
        <w:pStyle w:val="B1"/>
        <w:rPr>
          <w:lang w:eastAsia="zh-CN"/>
        </w:rPr>
      </w:pPr>
      <w:r w:rsidRPr="00873B6C">
        <w:t>-</w:t>
      </w:r>
      <w:r w:rsidRPr="00873B6C">
        <w:tab/>
        <w:t xml:space="preserve">Storage and retrieval of </w:t>
      </w:r>
      <w:r w:rsidRPr="00873B6C">
        <w:rPr>
          <w:lang w:eastAsia="zh-CN"/>
        </w:rPr>
        <w:t>policy data</w:t>
      </w:r>
      <w:r w:rsidRPr="00873B6C">
        <w:t xml:space="preserve"> by the </w:t>
      </w:r>
      <w:r w:rsidRPr="00873B6C">
        <w:rPr>
          <w:lang w:eastAsia="zh-CN"/>
        </w:rPr>
        <w:t>PCF</w:t>
      </w:r>
      <w:r w:rsidRPr="00873B6C">
        <w:t>.</w:t>
      </w:r>
    </w:p>
    <w:p w14:paraId="3ABDB554" w14:textId="77777777" w:rsidR="00D40151" w:rsidRPr="00873B6C" w:rsidRDefault="00D40151" w:rsidP="00D40151">
      <w:pPr>
        <w:pStyle w:val="B1"/>
      </w:pPr>
      <w:r w:rsidRPr="00873B6C">
        <w:t>-</w:t>
      </w:r>
      <w:r w:rsidRPr="00873B6C">
        <w:tab/>
        <w:t>Storage and retrieval of structured data for exposure.</w:t>
      </w:r>
    </w:p>
    <w:p w14:paraId="1AE237CD" w14:textId="3CCE9929" w:rsidR="00D40151" w:rsidRPr="00873B6C" w:rsidRDefault="00D40151" w:rsidP="00D40151">
      <w:pPr>
        <w:pStyle w:val="B1"/>
      </w:pPr>
      <w:r w:rsidRPr="00873B6C">
        <w:t>-</w:t>
      </w:r>
      <w:r w:rsidRPr="00873B6C">
        <w:tab/>
      </w:r>
      <w:r w:rsidRPr="00873B6C">
        <w:rPr>
          <w:lang w:eastAsia="zh-CN"/>
        </w:rPr>
        <w:t>Application data (including</w:t>
      </w:r>
      <w:r w:rsidRPr="00873B6C">
        <w:rPr>
          <w:bCs/>
        </w:rPr>
        <w:t xml:space="preserve"> Packet Flow Descriptions (PFDs) for application detection</w:t>
      </w:r>
      <w:r w:rsidRPr="00873B6C">
        <w:rPr>
          <w:lang w:eastAsia="zh-CN"/>
        </w:rPr>
        <w:t xml:space="preserve">, AF request information for multiple UEs, </w:t>
      </w:r>
      <w:r w:rsidR="00704A9E" w:rsidRPr="00873B6C">
        <w:rPr>
          <w:lang w:eastAsia="zh-CN"/>
        </w:rPr>
        <w:t>5G-VN</w:t>
      </w:r>
      <w:r w:rsidRPr="00873B6C">
        <w:rPr>
          <w:lang w:eastAsia="zh-CN"/>
        </w:rPr>
        <w:t xml:space="preserve"> group information for </w:t>
      </w:r>
      <w:r w:rsidR="00704A9E" w:rsidRPr="00873B6C">
        <w:rPr>
          <w:lang w:eastAsia="zh-CN"/>
        </w:rPr>
        <w:t>5G-VN</w:t>
      </w:r>
      <w:r w:rsidRPr="00873B6C">
        <w:rPr>
          <w:lang w:eastAsia="zh-CN"/>
        </w:rPr>
        <w:t xml:space="preserve"> management)</w:t>
      </w:r>
      <w:r w:rsidRPr="00873B6C">
        <w:t>.</w:t>
      </w:r>
    </w:p>
    <w:p w14:paraId="7383769B" w14:textId="77777777" w:rsidR="00D40151" w:rsidRPr="00873B6C" w:rsidRDefault="00D40151" w:rsidP="00D40151">
      <w:pPr>
        <w:pStyle w:val="B1"/>
        <w:rPr>
          <w:lang w:eastAsia="zh-CN"/>
        </w:rPr>
      </w:pPr>
      <w:r w:rsidRPr="00873B6C">
        <w:rPr>
          <w:lang w:eastAsia="zh-CN"/>
        </w:rPr>
        <w:lastRenderedPageBreak/>
        <w:t>-</w:t>
      </w:r>
      <w:r w:rsidRPr="00873B6C">
        <w:rPr>
          <w:lang w:eastAsia="zh-CN"/>
        </w:rPr>
        <w:tab/>
        <w:t>Storage and retrieval of NF Group ID corresponding to subscriber identifier (e.g. IMPI, IMPU, SUPI).</w:t>
      </w:r>
    </w:p>
    <w:p w14:paraId="156A0EEC" w14:textId="77777777" w:rsidR="00D40151" w:rsidRPr="00873B6C" w:rsidRDefault="00D40151" w:rsidP="00D40151">
      <w:r w:rsidRPr="00873B6C">
        <w:rPr>
          <w:lang w:eastAsia="zh-CN"/>
        </w:rPr>
        <w:t>The Unified Data Repository is located in the same PLMN as the NF service consumers storing in and retrieving data from it using Nudr. Nudr is an intra-PLMN interface.</w:t>
      </w:r>
    </w:p>
    <w:p w14:paraId="20CB3BE4" w14:textId="77777777" w:rsidR="00D40151" w:rsidRPr="00873B6C" w:rsidRDefault="00D40151" w:rsidP="00D40151">
      <w:pPr>
        <w:pStyle w:val="NO"/>
      </w:pPr>
      <w:r w:rsidRPr="00873B6C">
        <w:t>NOTE 1:</w:t>
      </w:r>
      <w:r w:rsidRPr="00873B6C">
        <w:tab/>
        <w:t>Deployments can choose to collocate UDR with UDSF.</w:t>
      </w:r>
    </w:p>
    <w:p w14:paraId="2FC57099" w14:textId="77777777" w:rsidR="00D40151" w:rsidRPr="00873B6C" w:rsidRDefault="00D40151" w:rsidP="00D40151">
      <w:pPr>
        <w:pStyle w:val="Heading3"/>
      </w:pPr>
      <w:bookmarkStart w:id="5410" w:name="_CR6_2_12"/>
      <w:bookmarkStart w:id="5411" w:name="_Toc20150198"/>
      <w:bookmarkStart w:id="5412" w:name="_Toc27847006"/>
      <w:bookmarkStart w:id="5413" w:name="_Toc36188137"/>
      <w:bookmarkStart w:id="5414" w:name="_Toc45184047"/>
      <w:bookmarkStart w:id="5415" w:name="_Toc47342889"/>
      <w:bookmarkStart w:id="5416" w:name="_Toc51769591"/>
      <w:bookmarkStart w:id="5417" w:name="_Toc201157741"/>
      <w:bookmarkEnd w:id="5410"/>
      <w:r w:rsidRPr="00873B6C">
        <w:t>6.2.12</w:t>
      </w:r>
      <w:r w:rsidRPr="00873B6C">
        <w:tab/>
        <w:t>UDSF</w:t>
      </w:r>
      <w:bookmarkEnd w:id="5411"/>
      <w:bookmarkEnd w:id="5412"/>
      <w:bookmarkEnd w:id="5413"/>
      <w:bookmarkEnd w:id="5414"/>
      <w:bookmarkEnd w:id="5415"/>
      <w:bookmarkEnd w:id="5416"/>
      <w:bookmarkEnd w:id="5417"/>
    </w:p>
    <w:p w14:paraId="447D5E18" w14:textId="77777777" w:rsidR="00D40151" w:rsidRPr="00873B6C" w:rsidRDefault="00D40151" w:rsidP="00D40151">
      <w:r w:rsidRPr="00873B6C">
        <w:t>The UDSF is an optional function that supports the following functionality:</w:t>
      </w:r>
    </w:p>
    <w:p w14:paraId="188FA79F" w14:textId="67A7B1B1" w:rsidR="00D40151" w:rsidRPr="00873B6C" w:rsidRDefault="00D40151" w:rsidP="00D40151">
      <w:pPr>
        <w:pStyle w:val="B1"/>
      </w:pPr>
      <w:r w:rsidRPr="00873B6C">
        <w:t>-</w:t>
      </w:r>
      <w:r w:rsidRPr="00873B6C">
        <w:tab/>
        <w:t>Storage and retrieval of information as unstructured data by any NF</w:t>
      </w:r>
      <w:r w:rsidR="006F101E" w:rsidRPr="00873B6C">
        <w:t>. Notify a NF consumer if information validity has expired</w:t>
      </w:r>
      <w:r w:rsidRPr="00873B6C">
        <w:t>.</w:t>
      </w:r>
    </w:p>
    <w:p w14:paraId="1A7702C4" w14:textId="1346B2D0" w:rsidR="006F101E" w:rsidRPr="00873B6C" w:rsidRDefault="006F101E" w:rsidP="00433EFC">
      <w:pPr>
        <w:pStyle w:val="B1"/>
      </w:pPr>
      <w:r w:rsidRPr="00873B6C">
        <w:t>-</w:t>
      </w:r>
      <w:r w:rsidRPr="00873B6C">
        <w:tab/>
        <w:t>Timer service to any NF.</w:t>
      </w:r>
    </w:p>
    <w:p w14:paraId="5A1E3DA0" w14:textId="5D477C43" w:rsidR="00D40151" w:rsidRPr="00873B6C"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873B6C">
        <w:t>NOTE 1:</w:t>
      </w:r>
      <w:r w:rsidRPr="00873B6C">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873B6C"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873B6C">
        <w:t>NOTE 2:</w:t>
      </w:r>
      <w:r w:rsidRPr="00873B6C">
        <w:tab/>
        <w:t>Deployments can choose to collocate UDSF with UDR.</w:t>
      </w:r>
    </w:p>
    <w:p w14:paraId="08F2E727" w14:textId="77777777" w:rsidR="00D40151" w:rsidRPr="00873B6C" w:rsidRDefault="00D40151" w:rsidP="00D40151">
      <w:pPr>
        <w:pStyle w:val="Heading3"/>
      </w:pPr>
      <w:bookmarkStart w:id="5418" w:name="_CR6_2_13"/>
      <w:bookmarkStart w:id="5419" w:name="_Toc20150199"/>
      <w:bookmarkStart w:id="5420" w:name="_Toc27847007"/>
      <w:bookmarkStart w:id="5421" w:name="_Toc36188138"/>
      <w:bookmarkStart w:id="5422" w:name="_Toc45184048"/>
      <w:bookmarkStart w:id="5423" w:name="_Toc47342890"/>
      <w:bookmarkStart w:id="5424" w:name="_Toc51769592"/>
      <w:bookmarkStart w:id="5425" w:name="_Toc201157742"/>
      <w:bookmarkEnd w:id="5418"/>
      <w:r w:rsidRPr="00873B6C">
        <w:t>6.2.13</w:t>
      </w:r>
      <w:r w:rsidRPr="00873B6C">
        <w:tab/>
        <w:t>SMSF</w:t>
      </w:r>
      <w:bookmarkEnd w:id="5419"/>
      <w:bookmarkEnd w:id="5420"/>
      <w:bookmarkEnd w:id="5421"/>
      <w:bookmarkEnd w:id="5422"/>
      <w:bookmarkEnd w:id="5423"/>
      <w:bookmarkEnd w:id="5424"/>
      <w:bookmarkEnd w:id="5425"/>
    </w:p>
    <w:p w14:paraId="699A7D9C" w14:textId="77777777" w:rsidR="00D40151" w:rsidRPr="00873B6C" w:rsidRDefault="00D40151" w:rsidP="00D40151">
      <w:r w:rsidRPr="00873B6C">
        <w:t>The SMSF supports the following functionality to support SMS over NAS:</w:t>
      </w:r>
    </w:p>
    <w:p w14:paraId="66D1BD95" w14:textId="77777777" w:rsidR="00D40151" w:rsidRPr="00873B6C" w:rsidRDefault="00D40151" w:rsidP="00D40151">
      <w:pPr>
        <w:pStyle w:val="B1"/>
      </w:pPr>
      <w:r w:rsidRPr="00873B6C">
        <w:t>-</w:t>
      </w:r>
      <w:r w:rsidRPr="00873B6C">
        <w:tab/>
        <w:t>SMS management subscription data checking and conducting SMS delivery accordingly.</w:t>
      </w:r>
    </w:p>
    <w:p w14:paraId="1762FD42" w14:textId="590D13D3" w:rsidR="00D40151" w:rsidRPr="00873B6C" w:rsidRDefault="00D40151" w:rsidP="00D40151">
      <w:pPr>
        <w:pStyle w:val="B1"/>
      </w:pPr>
      <w:r w:rsidRPr="00873B6C">
        <w:t>-</w:t>
      </w:r>
      <w:r w:rsidRPr="00873B6C">
        <w:tab/>
        <w:t xml:space="preserve">SM-RP/SM-CP with the UE (see </w:t>
      </w:r>
      <w:r w:rsidR="00972E70" w:rsidRPr="00873B6C">
        <w:t>TS 24.011 [</w:t>
      </w:r>
      <w:r w:rsidRPr="00873B6C">
        <w:t>6]).</w:t>
      </w:r>
    </w:p>
    <w:p w14:paraId="4B9A97AE" w14:textId="77777777" w:rsidR="00D40151" w:rsidRPr="00873B6C" w:rsidRDefault="00D40151" w:rsidP="00D40151">
      <w:pPr>
        <w:pStyle w:val="B1"/>
      </w:pPr>
      <w:r w:rsidRPr="00873B6C">
        <w:t>-</w:t>
      </w:r>
      <w:r w:rsidRPr="00873B6C">
        <w:tab/>
        <w:t>Relay the SM from UE toward SMS-GMSC/IWMSC/SMS-Router.</w:t>
      </w:r>
    </w:p>
    <w:p w14:paraId="04B9CBBA" w14:textId="77777777" w:rsidR="00D40151" w:rsidRPr="00873B6C" w:rsidRDefault="00D40151" w:rsidP="00D40151">
      <w:pPr>
        <w:pStyle w:val="B1"/>
      </w:pPr>
      <w:r w:rsidRPr="00873B6C">
        <w:t>-</w:t>
      </w:r>
      <w:r w:rsidRPr="00873B6C">
        <w:tab/>
        <w:t>Relay the SM from SMS-GMSC/IWMSC/SMS-Router toward the UE.</w:t>
      </w:r>
    </w:p>
    <w:p w14:paraId="66C9460E" w14:textId="31A3CEAC" w:rsidR="00D40151" w:rsidRPr="00873B6C" w:rsidRDefault="00D40151" w:rsidP="00D40151">
      <w:pPr>
        <w:pStyle w:val="B1"/>
      </w:pPr>
      <w:r w:rsidRPr="00873B6C">
        <w:t>-</w:t>
      </w:r>
      <w:r w:rsidRPr="00873B6C">
        <w:tab/>
        <w:t>SMS</w:t>
      </w:r>
      <w:r w:rsidR="00A346EF" w:rsidRPr="00873B6C">
        <w:t xml:space="preserve"> charging</w:t>
      </w:r>
      <w:r w:rsidRPr="00873B6C">
        <w:t>.</w:t>
      </w:r>
    </w:p>
    <w:p w14:paraId="52917CB9" w14:textId="77777777" w:rsidR="00D40151" w:rsidRPr="00873B6C" w:rsidRDefault="00D40151" w:rsidP="00D40151">
      <w:pPr>
        <w:pStyle w:val="B1"/>
      </w:pPr>
      <w:r w:rsidRPr="00873B6C">
        <w:t>-</w:t>
      </w:r>
      <w:r w:rsidRPr="00873B6C">
        <w:tab/>
        <w:t>Lawful Interception.</w:t>
      </w:r>
    </w:p>
    <w:p w14:paraId="326AA5CA" w14:textId="77777777" w:rsidR="00D40151" w:rsidRPr="00873B6C" w:rsidRDefault="00D40151" w:rsidP="00D40151">
      <w:pPr>
        <w:pStyle w:val="B1"/>
      </w:pPr>
      <w:r w:rsidRPr="00873B6C">
        <w:t>-</w:t>
      </w:r>
      <w:r w:rsidRPr="00873B6C">
        <w:tab/>
        <w:t>Interaction with AMF and SMS-GMSC for notification procedure that the UE is unavailable for SMS transfer (i.e, notifies SMS-GMSC to inform UDM when UE is unavailable for SMS).</w:t>
      </w:r>
    </w:p>
    <w:p w14:paraId="40671564" w14:textId="77777777" w:rsidR="00D40151" w:rsidRPr="00873B6C" w:rsidRDefault="00D40151" w:rsidP="00D40151">
      <w:pPr>
        <w:pStyle w:val="Heading3"/>
      </w:pPr>
      <w:bookmarkStart w:id="5426" w:name="_CR6_2_14"/>
      <w:bookmarkStart w:id="5427" w:name="_Toc20150200"/>
      <w:bookmarkStart w:id="5428" w:name="_Toc27847008"/>
      <w:bookmarkStart w:id="5429" w:name="_Toc36188139"/>
      <w:bookmarkStart w:id="5430" w:name="_Toc45184049"/>
      <w:bookmarkStart w:id="5431" w:name="_Toc47342891"/>
      <w:bookmarkStart w:id="5432" w:name="_Toc51769593"/>
      <w:bookmarkStart w:id="5433" w:name="_Toc201157743"/>
      <w:bookmarkEnd w:id="5426"/>
      <w:r w:rsidRPr="00873B6C">
        <w:t>6.2.14</w:t>
      </w:r>
      <w:r w:rsidRPr="00873B6C">
        <w:tab/>
        <w:t>NSSF</w:t>
      </w:r>
      <w:bookmarkEnd w:id="5427"/>
      <w:bookmarkEnd w:id="5428"/>
      <w:bookmarkEnd w:id="5429"/>
      <w:bookmarkEnd w:id="5430"/>
      <w:bookmarkEnd w:id="5431"/>
      <w:bookmarkEnd w:id="5432"/>
      <w:bookmarkEnd w:id="5433"/>
    </w:p>
    <w:p w14:paraId="4DAC8374" w14:textId="77777777" w:rsidR="00D40151" w:rsidRPr="00873B6C" w:rsidRDefault="00D40151" w:rsidP="00D40151">
      <w:r w:rsidRPr="00873B6C">
        <w:t>The Network Slice Selection Function (NSSF) supports the following functionality:</w:t>
      </w:r>
    </w:p>
    <w:p w14:paraId="6E3BE915" w14:textId="77777777" w:rsidR="00D40151" w:rsidRPr="00873B6C" w:rsidRDefault="00D40151" w:rsidP="00D40151">
      <w:pPr>
        <w:pStyle w:val="B1"/>
        <w:rPr>
          <w:lang w:eastAsia="zh-CN"/>
        </w:rPr>
      </w:pPr>
      <w:r w:rsidRPr="00873B6C">
        <w:rPr>
          <w:lang w:eastAsia="zh-CN"/>
        </w:rPr>
        <w:t>-</w:t>
      </w:r>
      <w:r w:rsidRPr="00873B6C">
        <w:rPr>
          <w:lang w:eastAsia="zh-CN"/>
        </w:rPr>
        <w:tab/>
        <w:t>Selecting the set of Network Slice instances serving the UE;</w:t>
      </w:r>
    </w:p>
    <w:p w14:paraId="0B69B2B5" w14:textId="77777777" w:rsidR="00D40151" w:rsidRPr="00873B6C" w:rsidRDefault="00D40151" w:rsidP="00D40151">
      <w:pPr>
        <w:pStyle w:val="B1"/>
        <w:rPr>
          <w:lang w:eastAsia="zh-CN"/>
        </w:rPr>
      </w:pPr>
      <w:r w:rsidRPr="00873B6C">
        <w:rPr>
          <w:lang w:eastAsia="zh-CN"/>
        </w:rPr>
        <w:t>-</w:t>
      </w:r>
      <w:r w:rsidRPr="00873B6C">
        <w:rPr>
          <w:lang w:eastAsia="zh-CN"/>
        </w:rPr>
        <w:tab/>
        <w:t>Determining the Allowed NSSAI and, if needed, the mapping to the Subscribed S-NSSAIs;</w:t>
      </w:r>
    </w:p>
    <w:p w14:paraId="70F988C4" w14:textId="77777777" w:rsidR="00D40151" w:rsidRPr="00873B6C" w:rsidRDefault="00D40151" w:rsidP="00D40151">
      <w:pPr>
        <w:pStyle w:val="B1"/>
        <w:rPr>
          <w:lang w:eastAsia="zh-CN"/>
        </w:rPr>
      </w:pPr>
      <w:r w:rsidRPr="00873B6C">
        <w:rPr>
          <w:lang w:eastAsia="zh-CN"/>
        </w:rPr>
        <w:t>-</w:t>
      </w:r>
      <w:r w:rsidRPr="00873B6C">
        <w:rPr>
          <w:lang w:eastAsia="zh-CN"/>
        </w:rPr>
        <w:tab/>
        <w:t>Determining the Configured NSSAI and, if needed, the mapping to the Subscribed S-NSSAIs;</w:t>
      </w:r>
    </w:p>
    <w:p w14:paraId="3000BE31" w14:textId="224F7E59" w:rsidR="00D40151" w:rsidRPr="00873B6C" w:rsidRDefault="00D40151" w:rsidP="00D40151">
      <w:pPr>
        <w:pStyle w:val="B1"/>
        <w:rPr>
          <w:lang w:eastAsia="zh-CN"/>
        </w:rPr>
      </w:pPr>
      <w:r w:rsidRPr="00873B6C">
        <w:rPr>
          <w:lang w:eastAsia="zh-CN"/>
        </w:rPr>
        <w:t>-</w:t>
      </w:r>
      <w:r w:rsidRPr="00873B6C">
        <w:rPr>
          <w:lang w:eastAsia="zh-CN"/>
        </w:rPr>
        <w:tab/>
        <w:t>Determining the AMF Set to be used to serve the UE, or, based on configuration, a list of candidate AMF(s), possibly by querying the NRF</w:t>
      </w:r>
      <w:r w:rsidR="00967FB9" w:rsidRPr="00873B6C">
        <w:rPr>
          <w:lang w:eastAsia="zh-CN"/>
        </w:rPr>
        <w:t>;</w:t>
      </w:r>
    </w:p>
    <w:p w14:paraId="2750D056" w14:textId="4B5605D6" w:rsidR="00967FB9" w:rsidRPr="00873B6C" w:rsidRDefault="00967FB9" w:rsidP="00323277">
      <w:pPr>
        <w:pStyle w:val="B1"/>
      </w:pPr>
      <w:bookmarkStart w:id="5434" w:name="_Toc20150201"/>
      <w:bookmarkStart w:id="5435" w:name="_Toc27847009"/>
      <w:bookmarkStart w:id="5436" w:name="_Toc36188140"/>
      <w:bookmarkStart w:id="5437" w:name="_Toc45184050"/>
      <w:bookmarkStart w:id="5438" w:name="_Toc47342892"/>
      <w:bookmarkStart w:id="5439" w:name="_Toc51769594"/>
      <w:r w:rsidRPr="00873B6C">
        <w:t>-</w:t>
      </w:r>
      <w:r w:rsidRPr="00873B6C">
        <w:tab/>
        <w:t>The NSSF may provide support for Network Slice restriction and Network Slice instance restriction based on NWDAF analytics.</w:t>
      </w:r>
    </w:p>
    <w:p w14:paraId="1951B68B" w14:textId="55694A33" w:rsidR="00AB1E8D" w:rsidRPr="00873B6C" w:rsidRDefault="00AB1E8D" w:rsidP="00AB1E8D">
      <w:pPr>
        <w:pStyle w:val="B1"/>
      </w:pPr>
      <w:r w:rsidRPr="00873B6C">
        <w:t>-</w:t>
      </w:r>
      <w:r w:rsidRPr="00873B6C">
        <w:tab/>
        <w:t>Determining whether an S-NSSAI has to be replaced and providing to the AMF the indication that the S-NSSAI is unavailable and a corresponding Alternative S-NSSAI, e.g. based on received NWDAF analytics (e.g. for Service Experience for a Network Slice or Slice load level), or local trigger from the OAM system.</w:t>
      </w:r>
    </w:p>
    <w:p w14:paraId="278D225D" w14:textId="0BE9E708" w:rsidR="00D40151" w:rsidRPr="00873B6C" w:rsidRDefault="00D40151" w:rsidP="00D40151">
      <w:pPr>
        <w:pStyle w:val="Heading3"/>
      </w:pPr>
      <w:bookmarkStart w:id="5440" w:name="_CR6_2_15"/>
      <w:bookmarkStart w:id="5441" w:name="_Toc201157744"/>
      <w:bookmarkEnd w:id="5440"/>
      <w:r w:rsidRPr="00873B6C">
        <w:t>6.2.</w:t>
      </w:r>
      <w:r w:rsidRPr="00873B6C">
        <w:rPr>
          <w:lang w:eastAsia="zh-CN"/>
        </w:rPr>
        <w:t>15</w:t>
      </w:r>
      <w:r w:rsidRPr="00873B6C">
        <w:tab/>
        <w:t>5G-</w:t>
      </w:r>
      <w:r w:rsidRPr="00873B6C">
        <w:rPr>
          <w:lang w:eastAsia="zh-CN"/>
        </w:rPr>
        <w:t>EIR</w:t>
      </w:r>
      <w:bookmarkEnd w:id="5434"/>
      <w:bookmarkEnd w:id="5435"/>
      <w:bookmarkEnd w:id="5436"/>
      <w:bookmarkEnd w:id="5437"/>
      <w:bookmarkEnd w:id="5438"/>
      <w:bookmarkEnd w:id="5439"/>
      <w:bookmarkEnd w:id="5441"/>
    </w:p>
    <w:p w14:paraId="6C6C04FA" w14:textId="77777777" w:rsidR="00D40151" w:rsidRPr="00873B6C" w:rsidRDefault="00D40151" w:rsidP="00D40151">
      <w:r w:rsidRPr="00873B6C">
        <w:t>The 5G-</w:t>
      </w:r>
      <w:r w:rsidRPr="00873B6C">
        <w:rPr>
          <w:lang w:eastAsia="zh-CN"/>
        </w:rPr>
        <w:t>EIR</w:t>
      </w:r>
      <w:r w:rsidRPr="00873B6C">
        <w:t xml:space="preserve"> is an optional </w:t>
      </w:r>
      <w:r w:rsidRPr="00873B6C">
        <w:rPr>
          <w:lang w:eastAsia="zh-CN"/>
        </w:rPr>
        <w:t xml:space="preserve">network </w:t>
      </w:r>
      <w:r w:rsidRPr="00873B6C">
        <w:t>function that supports the following functionality:</w:t>
      </w:r>
    </w:p>
    <w:p w14:paraId="0707D7B2" w14:textId="54FECE2B" w:rsidR="00D40151" w:rsidRPr="00873B6C" w:rsidRDefault="00D40151" w:rsidP="00D40151">
      <w:pPr>
        <w:pStyle w:val="B1"/>
      </w:pPr>
      <w:r w:rsidRPr="00873B6C">
        <w:lastRenderedPageBreak/>
        <w:t>-</w:t>
      </w:r>
      <w:r w:rsidRPr="00873B6C">
        <w:tab/>
      </w:r>
      <w:r w:rsidRPr="00873B6C">
        <w:rPr>
          <w:lang w:eastAsia="zh-CN"/>
        </w:rPr>
        <w:t>C</w:t>
      </w:r>
      <w:r w:rsidRPr="00873B6C">
        <w:t xml:space="preserve">heck the status </w:t>
      </w:r>
      <w:r w:rsidRPr="00873B6C">
        <w:rPr>
          <w:lang w:eastAsia="zh-CN"/>
        </w:rPr>
        <w:t xml:space="preserve">of </w:t>
      </w:r>
      <w:r w:rsidRPr="00873B6C">
        <w:t>PEI (e.g. to check that it has not been</w:t>
      </w:r>
      <w:r w:rsidR="000E35F2" w:rsidRPr="00873B6C">
        <w:t xml:space="preserve"> prohibited</w:t>
      </w:r>
      <w:r w:rsidRPr="00873B6C">
        <w:t>).</w:t>
      </w:r>
    </w:p>
    <w:p w14:paraId="52EA784B" w14:textId="77777777" w:rsidR="00D40151" w:rsidRPr="00873B6C" w:rsidRDefault="00D40151" w:rsidP="00D40151">
      <w:pPr>
        <w:pStyle w:val="Heading3"/>
      </w:pPr>
      <w:bookmarkStart w:id="5442" w:name="_CR6_2_16"/>
      <w:bookmarkStart w:id="5443" w:name="_Toc20150202"/>
      <w:bookmarkStart w:id="5444" w:name="_Toc27847010"/>
      <w:bookmarkStart w:id="5445" w:name="_Toc36188141"/>
      <w:bookmarkStart w:id="5446" w:name="_Toc45184051"/>
      <w:bookmarkStart w:id="5447" w:name="_Toc47342893"/>
      <w:bookmarkStart w:id="5448" w:name="_Toc51769595"/>
      <w:bookmarkStart w:id="5449" w:name="_Toc201157745"/>
      <w:bookmarkEnd w:id="5442"/>
      <w:r w:rsidRPr="00873B6C">
        <w:t>6.2.16</w:t>
      </w:r>
      <w:r w:rsidRPr="00873B6C">
        <w:tab/>
        <w:t>LMF</w:t>
      </w:r>
      <w:bookmarkEnd w:id="5443"/>
      <w:bookmarkEnd w:id="5444"/>
      <w:bookmarkEnd w:id="5445"/>
      <w:bookmarkEnd w:id="5446"/>
      <w:bookmarkEnd w:id="5447"/>
      <w:bookmarkEnd w:id="5448"/>
      <w:bookmarkEnd w:id="5449"/>
    </w:p>
    <w:p w14:paraId="0815AAAB" w14:textId="17768145" w:rsidR="00D40151" w:rsidRPr="00873B6C" w:rsidRDefault="00D40151" w:rsidP="00D40151">
      <w:pPr>
        <w:rPr>
          <w:lang w:eastAsia="zh-CN"/>
        </w:rPr>
      </w:pPr>
      <w:r w:rsidRPr="00873B6C">
        <w:rPr>
          <w:lang w:eastAsia="zh-CN"/>
        </w:rPr>
        <w:t xml:space="preserve">The functionality of LMF is defined in clause 4.3.8 of </w:t>
      </w:r>
      <w:r w:rsidR="00972E70" w:rsidRPr="00873B6C">
        <w:rPr>
          <w:lang w:eastAsia="zh-CN"/>
        </w:rPr>
        <w:t>TS 23.273 [</w:t>
      </w:r>
      <w:r w:rsidRPr="00873B6C">
        <w:rPr>
          <w:lang w:eastAsia="zh-CN"/>
        </w:rPr>
        <w:t>87].</w:t>
      </w:r>
    </w:p>
    <w:p w14:paraId="4241184B" w14:textId="77777777" w:rsidR="00D40151" w:rsidRPr="00873B6C" w:rsidRDefault="00D40151" w:rsidP="00D40151">
      <w:pPr>
        <w:pStyle w:val="Heading3"/>
      </w:pPr>
      <w:bookmarkStart w:id="5450" w:name="_CR6_2_16A"/>
      <w:bookmarkStart w:id="5451" w:name="_Toc20150203"/>
      <w:bookmarkStart w:id="5452" w:name="_Toc27847011"/>
      <w:bookmarkStart w:id="5453" w:name="_Toc36188142"/>
      <w:bookmarkStart w:id="5454" w:name="_Toc45184052"/>
      <w:bookmarkStart w:id="5455" w:name="_Toc47342894"/>
      <w:bookmarkStart w:id="5456" w:name="_Toc51769596"/>
      <w:bookmarkStart w:id="5457" w:name="_Toc201157746"/>
      <w:bookmarkEnd w:id="5450"/>
      <w:r w:rsidRPr="00873B6C">
        <w:t>6.2.16A</w:t>
      </w:r>
      <w:r w:rsidRPr="00873B6C">
        <w:tab/>
        <w:t>GMLC</w:t>
      </w:r>
      <w:bookmarkEnd w:id="5451"/>
      <w:bookmarkEnd w:id="5452"/>
      <w:bookmarkEnd w:id="5453"/>
      <w:bookmarkEnd w:id="5454"/>
      <w:bookmarkEnd w:id="5455"/>
      <w:bookmarkEnd w:id="5456"/>
      <w:bookmarkEnd w:id="5457"/>
    </w:p>
    <w:p w14:paraId="564DDB99" w14:textId="775C0B3E" w:rsidR="00D40151" w:rsidRPr="00873B6C" w:rsidRDefault="00D40151" w:rsidP="00D40151">
      <w:r w:rsidRPr="00873B6C">
        <w:t xml:space="preserve">The functionality of GMLC is defined in clause 4.3.8 of </w:t>
      </w:r>
      <w:r w:rsidR="00972E70" w:rsidRPr="00873B6C">
        <w:t>TS 23.273 [</w:t>
      </w:r>
      <w:r w:rsidRPr="00873B6C">
        <w:t>87].</w:t>
      </w:r>
    </w:p>
    <w:p w14:paraId="03EE5B12" w14:textId="77777777" w:rsidR="00D40151" w:rsidRPr="00873B6C" w:rsidRDefault="00D40151" w:rsidP="00D40151">
      <w:pPr>
        <w:pStyle w:val="Heading3"/>
      </w:pPr>
      <w:bookmarkStart w:id="5458" w:name="_CR6_2_17"/>
      <w:bookmarkStart w:id="5459" w:name="_Toc20150204"/>
      <w:bookmarkStart w:id="5460" w:name="_Toc27847012"/>
      <w:bookmarkStart w:id="5461" w:name="_Toc36188143"/>
      <w:bookmarkStart w:id="5462" w:name="_Toc45184053"/>
      <w:bookmarkStart w:id="5463" w:name="_Toc47342895"/>
      <w:bookmarkStart w:id="5464" w:name="_Toc51769597"/>
      <w:bookmarkStart w:id="5465" w:name="_Toc201157747"/>
      <w:bookmarkEnd w:id="5458"/>
      <w:r w:rsidRPr="00873B6C">
        <w:t>6.2.</w:t>
      </w:r>
      <w:r w:rsidRPr="00873B6C">
        <w:rPr>
          <w:lang w:eastAsia="zh-CN"/>
        </w:rPr>
        <w:t>17</w:t>
      </w:r>
      <w:r w:rsidRPr="00873B6C">
        <w:tab/>
        <w:t>SEPP</w:t>
      </w:r>
      <w:bookmarkEnd w:id="5459"/>
      <w:bookmarkEnd w:id="5460"/>
      <w:bookmarkEnd w:id="5461"/>
      <w:bookmarkEnd w:id="5462"/>
      <w:bookmarkEnd w:id="5463"/>
      <w:bookmarkEnd w:id="5464"/>
      <w:bookmarkEnd w:id="5465"/>
    </w:p>
    <w:p w14:paraId="6A2876E3" w14:textId="77777777" w:rsidR="00D40151" w:rsidRPr="00873B6C" w:rsidRDefault="00D40151" w:rsidP="00D40151">
      <w:r w:rsidRPr="00873B6C">
        <w:t>The Security Edge Protection Proxy (SEPP) is a non-transparent proxy and supports the following functionality:</w:t>
      </w:r>
    </w:p>
    <w:p w14:paraId="2D65C8E5" w14:textId="77777777" w:rsidR="00D40151" w:rsidRPr="00873B6C" w:rsidRDefault="00D40151" w:rsidP="00D40151">
      <w:pPr>
        <w:pStyle w:val="B1"/>
      </w:pPr>
      <w:r w:rsidRPr="00873B6C">
        <w:t>-</w:t>
      </w:r>
      <w:r w:rsidRPr="00873B6C">
        <w:tab/>
        <w:t>Message filtering and policing on inter-PLMN control plane interfaces.</w:t>
      </w:r>
    </w:p>
    <w:p w14:paraId="34D8B848" w14:textId="77777777" w:rsidR="00D40151" w:rsidRPr="00873B6C" w:rsidRDefault="00D40151" w:rsidP="00D40151">
      <w:pPr>
        <w:pStyle w:val="NO"/>
      </w:pPr>
      <w:r w:rsidRPr="00873B6C">
        <w:t>NOTE:</w:t>
      </w:r>
      <w:r w:rsidRPr="00873B6C">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873B6C" w:rsidRDefault="00D40151" w:rsidP="00D40151">
      <w:pPr>
        <w:pStyle w:val="B1"/>
      </w:pPr>
      <w:r w:rsidRPr="00873B6C">
        <w:t>-</w:t>
      </w:r>
      <w:r w:rsidRPr="00873B6C">
        <w:tab/>
        <w:t>Topology hiding.</w:t>
      </w:r>
    </w:p>
    <w:p w14:paraId="3AA57B30" w14:textId="6FCDEB50" w:rsidR="00D40151" w:rsidRPr="00873B6C" w:rsidRDefault="00D40151" w:rsidP="00D40151">
      <w:r w:rsidRPr="00873B6C">
        <w:t xml:space="preserve">Detailed functionality of SEPP, related flows and the N32 reference point, are specified in </w:t>
      </w:r>
      <w:r w:rsidR="00972E70" w:rsidRPr="00873B6C">
        <w:t>TS 33.501 [</w:t>
      </w:r>
      <w:r w:rsidRPr="00873B6C">
        <w:t>29].</w:t>
      </w:r>
    </w:p>
    <w:p w14:paraId="7973C25E" w14:textId="28822F39" w:rsidR="00D40151" w:rsidRPr="00873B6C" w:rsidRDefault="00D40151" w:rsidP="00D40151">
      <w:r w:rsidRPr="00873B6C">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972E70" w:rsidRPr="00873B6C">
        <w:t>TS 29.500 [</w:t>
      </w:r>
      <w:r w:rsidRPr="00873B6C">
        <w:t xml:space="preserve">49] and </w:t>
      </w:r>
      <w:r w:rsidR="00972E70" w:rsidRPr="00873B6C">
        <w:t>TS 33.501 [</w:t>
      </w:r>
      <w:r w:rsidRPr="00873B6C">
        <w:t>29].</w:t>
      </w:r>
    </w:p>
    <w:p w14:paraId="68F4797F" w14:textId="77777777" w:rsidR="00D40151" w:rsidRPr="00873B6C" w:rsidRDefault="00D40151" w:rsidP="00D40151">
      <w:pPr>
        <w:pStyle w:val="Heading3"/>
      </w:pPr>
      <w:bookmarkStart w:id="5466" w:name="_CR6_2_18"/>
      <w:bookmarkStart w:id="5467" w:name="_Toc20150205"/>
      <w:bookmarkStart w:id="5468" w:name="_Toc27847013"/>
      <w:bookmarkStart w:id="5469" w:name="_Toc36188144"/>
      <w:bookmarkStart w:id="5470" w:name="_Toc45184054"/>
      <w:bookmarkStart w:id="5471" w:name="_Toc47342896"/>
      <w:bookmarkStart w:id="5472" w:name="_Toc51769598"/>
      <w:bookmarkStart w:id="5473" w:name="_Toc201157748"/>
      <w:bookmarkEnd w:id="5466"/>
      <w:r w:rsidRPr="00873B6C">
        <w:t>6.2.18</w:t>
      </w:r>
      <w:r w:rsidRPr="00873B6C">
        <w:tab/>
        <w:t>Network Data Analytics Function (NWDAF)</w:t>
      </w:r>
      <w:bookmarkEnd w:id="5467"/>
      <w:bookmarkEnd w:id="5468"/>
      <w:bookmarkEnd w:id="5469"/>
      <w:bookmarkEnd w:id="5470"/>
      <w:bookmarkEnd w:id="5471"/>
      <w:bookmarkEnd w:id="5472"/>
      <w:bookmarkEnd w:id="5473"/>
    </w:p>
    <w:p w14:paraId="348228BD" w14:textId="3B5FB1D3" w:rsidR="0047544D" w:rsidRPr="00873B6C" w:rsidRDefault="0047544D" w:rsidP="00D40151">
      <w:r w:rsidRPr="00873B6C">
        <w:t>The Network Data Analytics Function (NWDAF) includes one or more of the following functionalities:</w:t>
      </w:r>
    </w:p>
    <w:p w14:paraId="5FB3ECA0" w14:textId="77777777" w:rsidR="00D40151" w:rsidRPr="00873B6C" w:rsidRDefault="00D40151" w:rsidP="00D40151">
      <w:pPr>
        <w:pStyle w:val="B1"/>
      </w:pPr>
      <w:r w:rsidRPr="00873B6C">
        <w:t>-</w:t>
      </w:r>
      <w:r w:rsidRPr="00873B6C">
        <w:tab/>
        <w:t>Support data collection from NFs and AFs;</w:t>
      </w:r>
    </w:p>
    <w:p w14:paraId="1489A34C" w14:textId="77777777" w:rsidR="00D40151" w:rsidRPr="00873B6C" w:rsidRDefault="00D40151" w:rsidP="00D40151">
      <w:pPr>
        <w:pStyle w:val="B1"/>
      </w:pPr>
      <w:r w:rsidRPr="00873B6C">
        <w:t>-</w:t>
      </w:r>
      <w:r w:rsidRPr="00873B6C">
        <w:tab/>
        <w:t>Support data collection from OAM;</w:t>
      </w:r>
    </w:p>
    <w:p w14:paraId="582027AE" w14:textId="77777777" w:rsidR="00591B52" w:rsidRPr="00873B6C" w:rsidRDefault="00591B52" w:rsidP="00D40151">
      <w:pPr>
        <w:pStyle w:val="B1"/>
      </w:pPr>
      <w:r w:rsidRPr="00873B6C">
        <w:t>-</w:t>
      </w:r>
      <w:r w:rsidRPr="00873B6C">
        <w:tab/>
        <w:t>Support retrieval of information from data repositories (e.g. UDR via UDM for subscriber-related information or via NEF(PFDF) for PFD information);</w:t>
      </w:r>
    </w:p>
    <w:p w14:paraId="4647FDF2" w14:textId="77777777" w:rsidR="00591B52" w:rsidRPr="00873B6C" w:rsidRDefault="00591B52" w:rsidP="00D40151">
      <w:pPr>
        <w:pStyle w:val="B1"/>
      </w:pPr>
      <w:r w:rsidRPr="00873B6C">
        <w:t>-</w:t>
      </w:r>
      <w:r w:rsidRPr="00873B6C">
        <w:tab/>
        <w:t>Support data collection of location information from LCS system;</w:t>
      </w:r>
    </w:p>
    <w:p w14:paraId="7F4A6708" w14:textId="649F1726" w:rsidR="00D40151" w:rsidRPr="00873B6C" w:rsidRDefault="00D40151" w:rsidP="00D40151">
      <w:pPr>
        <w:pStyle w:val="B1"/>
      </w:pPr>
      <w:r w:rsidRPr="00873B6C">
        <w:t>-</w:t>
      </w:r>
      <w:r w:rsidRPr="00873B6C">
        <w:tab/>
        <w:t>NWDAF service registration and metadata exposure to NFs</w:t>
      </w:r>
      <w:r w:rsidR="0047544D" w:rsidRPr="00873B6C">
        <w:t xml:space="preserve"> and </w:t>
      </w:r>
      <w:r w:rsidRPr="00873B6C">
        <w:t>AFs;</w:t>
      </w:r>
    </w:p>
    <w:p w14:paraId="645FA899" w14:textId="793793EE" w:rsidR="00D40151" w:rsidRPr="00873B6C" w:rsidRDefault="00D40151" w:rsidP="00D40151">
      <w:pPr>
        <w:pStyle w:val="B1"/>
      </w:pPr>
      <w:r w:rsidRPr="00873B6C">
        <w:t>-</w:t>
      </w:r>
      <w:r w:rsidRPr="00873B6C">
        <w:tab/>
        <w:t>Support analytics information provisioning to NFs</w:t>
      </w:r>
      <w:r w:rsidR="0047544D" w:rsidRPr="00873B6C">
        <w:t xml:space="preserve"> and</w:t>
      </w:r>
      <w:r w:rsidRPr="00873B6C">
        <w:t xml:space="preserve"> AF</w:t>
      </w:r>
      <w:r w:rsidR="0047544D" w:rsidRPr="00873B6C">
        <w:t>s;</w:t>
      </w:r>
    </w:p>
    <w:p w14:paraId="3724F415" w14:textId="3D29F88C" w:rsidR="00500903" w:rsidRPr="00873B6C" w:rsidRDefault="00500903" w:rsidP="00500903">
      <w:pPr>
        <w:pStyle w:val="B1"/>
      </w:pPr>
      <w:r w:rsidRPr="00873B6C">
        <w:t>-</w:t>
      </w:r>
      <w:r w:rsidRPr="00873B6C">
        <w:tab/>
        <w:t>Support analytics collection from MDAF;</w:t>
      </w:r>
    </w:p>
    <w:p w14:paraId="1A1F13D5" w14:textId="1878B9C1" w:rsidR="0047544D" w:rsidRPr="00873B6C" w:rsidRDefault="0047544D" w:rsidP="00323277">
      <w:pPr>
        <w:pStyle w:val="B1"/>
      </w:pPr>
      <w:r w:rsidRPr="00873B6C">
        <w:t>-</w:t>
      </w:r>
      <w:r w:rsidRPr="00873B6C">
        <w:tab/>
        <w:t>Support Machine Learning (ML) model training and provisioning to NWDAF</w:t>
      </w:r>
      <w:r w:rsidR="00500903" w:rsidRPr="00873B6C">
        <w:t xml:space="preserve"> </w:t>
      </w:r>
      <w:r w:rsidRPr="00873B6C">
        <w:t>containing</w:t>
      </w:r>
      <w:r w:rsidR="00500903" w:rsidRPr="00873B6C">
        <w:t xml:space="preserve"> AnLF or NWDAF containing MTLF</w:t>
      </w:r>
      <w:r w:rsidR="009B42A2" w:rsidRPr="00873B6C">
        <w:t>;</w:t>
      </w:r>
    </w:p>
    <w:p w14:paraId="3628E0F1" w14:textId="38143C2A" w:rsidR="00500903" w:rsidRPr="00873B6C" w:rsidRDefault="00500903" w:rsidP="009B42A2">
      <w:pPr>
        <w:pStyle w:val="B1"/>
      </w:pPr>
      <w:r w:rsidRPr="00873B6C">
        <w:t>-</w:t>
      </w:r>
      <w:r w:rsidRPr="00873B6C">
        <w:tab/>
        <w:t>Support ML Model storage to and retrieval from ADRF;</w:t>
      </w:r>
    </w:p>
    <w:p w14:paraId="32EF00E2" w14:textId="10876B37" w:rsidR="00591B52" w:rsidRPr="00873B6C" w:rsidRDefault="00591B52" w:rsidP="009B42A2">
      <w:pPr>
        <w:pStyle w:val="B1"/>
      </w:pPr>
      <w:r w:rsidRPr="00873B6C">
        <w:t>-</w:t>
      </w:r>
      <w:r w:rsidRPr="00873B6C">
        <w:tab/>
        <w:t>Support bulked data related to Analytics ID(s) provisioning for NFs;</w:t>
      </w:r>
    </w:p>
    <w:p w14:paraId="7A721324" w14:textId="665DAE27" w:rsidR="009B42A2" w:rsidRPr="00873B6C" w:rsidRDefault="009B42A2" w:rsidP="009B42A2">
      <w:pPr>
        <w:pStyle w:val="B1"/>
      </w:pPr>
      <w:r w:rsidRPr="00873B6C">
        <w:t>-</w:t>
      </w:r>
      <w:r w:rsidRPr="00873B6C">
        <w:tab/>
        <w:t>Support accuracy information about Analytics IDs provisioning for NFs;</w:t>
      </w:r>
    </w:p>
    <w:p w14:paraId="05554444" w14:textId="3F7EEA79" w:rsidR="009B42A2" w:rsidRPr="00873B6C" w:rsidRDefault="009B42A2" w:rsidP="009B42A2">
      <w:pPr>
        <w:pStyle w:val="B1"/>
      </w:pPr>
      <w:r w:rsidRPr="00873B6C">
        <w:t>-</w:t>
      </w:r>
      <w:r w:rsidRPr="00873B6C">
        <w:tab/>
        <w:t>Support accuracy information</w:t>
      </w:r>
      <w:r w:rsidR="00591B52" w:rsidRPr="00873B6C">
        <w:t xml:space="preserve"> or accuracy degradation</w:t>
      </w:r>
      <w:r w:rsidRPr="00873B6C">
        <w:t xml:space="preserve"> about ML model provisioning for NFs</w:t>
      </w:r>
      <w:r w:rsidR="00BE0437" w:rsidRPr="00873B6C">
        <w:t>;</w:t>
      </w:r>
    </w:p>
    <w:p w14:paraId="786413FD" w14:textId="02F5EF90" w:rsidR="006E26ED" w:rsidRPr="00873B6C" w:rsidRDefault="006E26ED" w:rsidP="006E26ED">
      <w:pPr>
        <w:pStyle w:val="B1"/>
      </w:pPr>
      <w:r w:rsidRPr="00873B6C">
        <w:t>-</w:t>
      </w:r>
      <w:r w:rsidRPr="00873B6C">
        <w:tab/>
        <w:t>Support roaming exchange capability to exchange data and analytics between PLMNs</w:t>
      </w:r>
      <w:r w:rsidR="00BE0437" w:rsidRPr="00873B6C">
        <w:t>;</w:t>
      </w:r>
    </w:p>
    <w:p w14:paraId="782D9153" w14:textId="4BC3E739" w:rsidR="00BE0437" w:rsidRPr="00873B6C" w:rsidRDefault="00BE0437" w:rsidP="00BE0437">
      <w:pPr>
        <w:pStyle w:val="B1"/>
      </w:pPr>
      <w:r w:rsidRPr="00873B6C">
        <w:t>-</w:t>
      </w:r>
      <w:r w:rsidRPr="00873B6C">
        <w:tab/>
        <w:t>Support Federated Learning (FL) to train an ML model among multiple NWDAFs (containing MTLF).</w:t>
      </w:r>
    </w:p>
    <w:p w14:paraId="44D3D7D0" w14:textId="65D2B1AC" w:rsidR="00D40151" w:rsidRPr="00873B6C" w:rsidRDefault="00D40151" w:rsidP="00D40151">
      <w:r w:rsidRPr="00873B6C">
        <w:lastRenderedPageBreak/>
        <w:t xml:space="preserve">The details of the NWDAF functionality are defined in </w:t>
      </w:r>
      <w:r w:rsidR="00972E70" w:rsidRPr="00873B6C">
        <w:t>TS 23.288 [</w:t>
      </w:r>
      <w:r w:rsidRPr="00873B6C">
        <w:t>86].</w:t>
      </w:r>
    </w:p>
    <w:p w14:paraId="628D8277" w14:textId="5403E2FB" w:rsidR="0047544D" w:rsidRPr="00873B6C" w:rsidRDefault="0047544D" w:rsidP="00D40151">
      <w:pPr>
        <w:pStyle w:val="NO"/>
      </w:pPr>
      <w:r w:rsidRPr="00873B6C">
        <w:t>NOTE 1:</w:t>
      </w:r>
      <w:r w:rsidRPr="00873B6C">
        <w:tab/>
        <w:t>Some or all of the NWDAF functionalities can be supported in a single instance of an NWDAF.</w:t>
      </w:r>
    </w:p>
    <w:p w14:paraId="0E0B256D" w14:textId="6FFE61CD" w:rsidR="00D40151" w:rsidRPr="00873B6C" w:rsidRDefault="00D40151" w:rsidP="00D40151">
      <w:pPr>
        <w:pStyle w:val="NO"/>
      </w:pPr>
      <w:r w:rsidRPr="00873B6C">
        <w:t>NOTE</w:t>
      </w:r>
      <w:r w:rsidR="0047544D" w:rsidRPr="00873B6C">
        <w:t> 2</w:t>
      </w:r>
      <w:r w:rsidRPr="00873B6C">
        <w:t>:</w:t>
      </w:r>
      <w:r w:rsidRPr="00873B6C">
        <w:tab/>
        <w:t>NWDAF functionality beyond its support for Nnwdaf is out of scope of 3GPP.</w:t>
      </w:r>
    </w:p>
    <w:p w14:paraId="5CA7786C" w14:textId="77777777" w:rsidR="00D40151" w:rsidRPr="00873B6C" w:rsidRDefault="00D40151" w:rsidP="00D40151">
      <w:pPr>
        <w:pStyle w:val="Heading3"/>
      </w:pPr>
      <w:bookmarkStart w:id="5474" w:name="_CR6_2_19"/>
      <w:bookmarkStart w:id="5475" w:name="_Toc20150206"/>
      <w:bookmarkStart w:id="5476" w:name="_Toc27847014"/>
      <w:bookmarkStart w:id="5477" w:name="_Toc36188145"/>
      <w:bookmarkStart w:id="5478" w:name="_Toc45184055"/>
      <w:bookmarkStart w:id="5479" w:name="_Toc47342897"/>
      <w:bookmarkStart w:id="5480" w:name="_Toc51769599"/>
      <w:bookmarkStart w:id="5481" w:name="_Toc201157749"/>
      <w:bookmarkEnd w:id="5474"/>
      <w:r w:rsidRPr="00873B6C">
        <w:t>6.2.19</w:t>
      </w:r>
      <w:r w:rsidRPr="00873B6C">
        <w:tab/>
        <w:t>SCP</w:t>
      </w:r>
      <w:bookmarkEnd w:id="5475"/>
      <w:bookmarkEnd w:id="5476"/>
      <w:bookmarkEnd w:id="5477"/>
      <w:bookmarkEnd w:id="5478"/>
      <w:bookmarkEnd w:id="5479"/>
      <w:bookmarkEnd w:id="5480"/>
      <w:bookmarkEnd w:id="5481"/>
    </w:p>
    <w:p w14:paraId="1FC3BF6C" w14:textId="77777777" w:rsidR="00D40151" w:rsidRPr="00873B6C" w:rsidRDefault="00D40151" w:rsidP="00D40151">
      <w:r w:rsidRPr="00873B6C">
        <w:t>The Service Communication Proxy (SCP) includes one or more of the following functionalities. Some or all of the SCP functionalities may be supported in a single instance of an SCP:</w:t>
      </w:r>
    </w:p>
    <w:p w14:paraId="33935333" w14:textId="77777777" w:rsidR="00D40151" w:rsidRPr="00873B6C" w:rsidRDefault="00D40151" w:rsidP="00D40151">
      <w:pPr>
        <w:pStyle w:val="B1"/>
      </w:pPr>
      <w:r w:rsidRPr="00873B6C">
        <w:t>-</w:t>
      </w:r>
      <w:r w:rsidRPr="00873B6C">
        <w:tab/>
        <w:t>Indirect Communication (see clause 7.1.1 for details).</w:t>
      </w:r>
    </w:p>
    <w:p w14:paraId="35EB9183" w14:textId="77777777" w:rsidR="00D40151" w:rsidRPr="00873B6C" w:rsidRDefault="00D40151" w:rsidP="00D40151">
      <w:pPr>
        <w:pStyle w:val="B1"/>
      </w:pPr>
      <w:r w:rsidRPr="00873B6C">
        <w:t>-</w:t>
      </w:r>
      <w:r w:rsidRPr="00873B6C">
        <w:tab/>
        <w:t>Delegated Discovery (see clauses 7.1.1 and 6.3.1 for details).</w:t>
      </w:r>
    </w:p>
    <w:p w14:paraId="293A1B18" w14:textId="77777777" w:rsidR="00D40151" w:rsidRPr="00873B6C" w:rsidRDefault="00D40151" w:rsidP="00D40151">
      <w:pPr>
        <w:pStyle w:val="B1"/>
      </w:pPr>
      <w:r w:rsidRPr="00873B6C">
        <w:t>-</w:t>
      </w:r>
      <w:r w:rsidRPr="00873B6C">
        <w:tab/>
        <w:t>Message forwarding and routing to destination NF/NF service.</w:t>
      </w:r>
    </w:p>
    <w:p w14:paraId="352E2CA7" w14:textId="77777777" w:rsidR="00D40151" w:rsidRPr="00873B6C" w:rsidRDefault="00D40151" w:rsidP="00D40151">
      <w:pPr>
        <w:pStyle w:val="B1"/>
      </w:pPr>
      <w:r w:rsidRPr="00873B6C">
        <w:t>-</w:t>
      </w:r>
      <w:r w:rsidRPr="00873B6C">
        <w:tab/>
        <w:t>Message forwarding and routing to a next hop SCP.</w:t>
      </w:r>
    </w:p>
    <w:p w14:paraId="4773E0B4" w14:textId="77777777" w:rsidR="00D40151" w:rsidRPr="00873B6C" w:rsidRDefault="00D40151" w:rsidP="00D40151">
      <w:pPr>
        <w:pStyle w:val="B1"/>
      </w:pPr>
      <w:r w:rsidRPr="00873B6C">
        <w:t>-</w:t>
      </w:r>
      <w:r w:rsidRPr="00873B6C">
        <w:tab/>
        <w:t>Communication security (e.g. authorization of the NF Service Consumer to access the NF Service Producer API), load balancing, monitoring, overload control, etc.</w:t>
      </w:r>
    </w:p>
    <w:p w14:paraId="438031A8" w14:textId="77777777" w:rsidR="00D40151" w:rsidRPr="00873B6C" w:rsidRDefault="00D40151" w:rsidP="00D40151">
      <w:pPr>
        <w:pStyle w:val="B1"/>
      </w:pPr>
      <w:r w:rsidRPr="00873B6C">
        <w:t>-</w:t>
      </w:r>
      <w:r w:rsidRPr="00873B6C">
        <w:tab/>
        <w:t>Optionally interact with UDR, to resolve the UDM Group ID/UDR Group ID/AUSF Group ID/PCF Group ID/CHF Group ID/HSS Group ID based on UE identity, e.g. SUPI or IMPI/IMPU (see clause 6.3.1 for details).</w:t>
      </w:r>
    </w:p>
    <w:p w14:paraId="27FDD2D3" w14:textId="17A2CCE5" w:rsidR="00D40151" w:rsidRPr="00873B6C" w:rsidRDefault="00D40151" w:rsidP="00D40151">
      <w:pPr>
        <w:pStyle w:val="NO"/>
      </w:pPr>
      <w:r w:rsidRPr="00873B6C">
        <w:t>NOTE 1:</w:t>
      </w:r>
      <w:r w:rsidRPr="00873B6C">
        <w:tab/>
        <w:t xml:space="preserve">Communication security, e.g. authorization of the NF Service Consumer to access the NF Service Producer's API is specified in </w:t>
      </w:r>
      <w:r w:rsidR="00972E70" w:rsidRPr="00873B6C">
        <w:t>TS 33.501 [</w:t>
      </w:r>
      <w:r w:rsidRPr="00873B6C">
        <w:t>29].</w:t>
      </w:r>
    </w:p>
    <w:p w14:paraId="4F8DA57E" w14:textId="77777777" w:rsidR="00D40151" w:rsidRPr="00873B6C" w:rsidRDefault="00D40151" w:rsidP="00D40151">
      <w:pPr>
        <w:pStyle w:val="NO"/>
      </w:pPr>
      <w:r w:rsidRPr="00873B6C">
        <w:t>NOTE 2:</w:t>
      </w:r>
      <w:r w:rsidRPr="00873B6C">
        <w:tab/>
        <w:t>Load balancing, monitoring, overload control functionality provided by the SCP is left up to implementation.</w:t>
      </w:r>
    </w:p>
    <w:p w14:paraId="0812BF80" w14:textId="77777777" w:rsidR="00D40151" w:rsidRPr="00873B6C" w:rsidRDefault="00D40151" w:rsidP="00D40151">
      <w:r w:rsidRPr="00873B6C">
        <w:t>The SCP may be deployed in a distributed manner.</w:t>
      </w:r>
    </w:p>
    <w:p w14:paraId="5249341E" w14:textId="77777777" w:rsidR="00D40151" w:rsidRPr="00873B6C" w:rsidRDefault="00D40151" w:rsidP="00D40151">
      <w:pPr>
        <w:pStyle w:val="NO"/>
      </w:pPr>
      <w:r w:rsidRPr="00873B6C">
        <w:t>NOTE 3:</w:t>
      </w:r>
      <w:r w:rsidRPr="00873B6C">
        <w:tab/>
        <w:t>More than one SCP can be present in the communication path between NF Services.</w:t>
      </w:r>
    </w:p>
    <w:p w14:paraId="5D613997" w14:textId="77777777" w:rsidR="00D40151" w:rsidRPr="00873B6C" w:rsidRDefault="00D40151" w:rsidP="00D40151">
      <w:r w:rsidRPr="00873B6C">
        <w:t>SCPs can be deployed at PLMN level, shared-slice level and slice-specific level. It is left to operator deployment to ensure that SCPs can communicate with relevant NRFs.</w:t>
      </w:r>
    </w:p>
    <w:p w14:paraId="75EB35C3" w14:textId="77777777" w:rsidR="00D40151" w:rsidRPr="00873B6C" w:rsidRDefault="00D40151" w:rsidP="00D40151">
      <w:bookmarkStart w:id="5482" w:name="_Toc20150207"/>
      <w:bookmarkStart w:id="5483" w:name="_Toc27847015"/>
      <w:bookmarkStart w:id="5484" w:name="_Toc36188146"/>
      <w:r w:rsidRPr="00873B6C">
        <w:t>In order to enable SCPs to route messages through several SCPs (i.e. next SCP hop discovery, see clause 6.3.16), an SCP may register its profile in the NRF. Alternatively, local configuration may be used.</w:t>
      </w:r>
    </w:p>
    <w:p w14:paraId="5B7A66DC" w14:textId="77777777" w:rsidR="00D40151" w:rsidRPr="00873B6C" w:rsidRDefault="00D40151" w:rsidP="00D40151">
      <w:pPr>
        <w:pStyle w:val="Heading3"/>
      </w:pPr>
      <w:bookmarkStart w:id="5485" w:name="_CR6_2_20"/>
      <w:bookmarkStart w:id="5486" w:name="_Toc45184056"/>
      <w:bookmarkStart w:id="5487" w:name="_Toc47342898"/>
      <w:bookmarkStart w:id="5488" w:name="_Toc51769600"/>
      <w:bookmarkStart w:id="5489" w:name="_Toc201157750"/>
      <w:bookmarkEnd w:id="5485"/>
      <w:r w:rsidRPr="00873B6C">
        <w:t>6.2.20</w:t>
      </w:r>
      <w:r w:rsidRPr="00873B6C">
        <w:tab/>
        <w:t>W-AGF</w:t>
      </w:r>
      <w:bookmarkEnd w:id="5482"/>
      <w:bookmarkEnd w:id="5483"/>
      <w:bookmarkEnd w:id="5484"/>
      <w:bookmarkEnd w:id="5486"/>
      <w:bookmarkEnd w:id="5487"/>
      <w:bookmarkEnd w:id="5488"/>
      <w:bookmarkEnd w:id="5489"/>
    </w:p>
    <w:p w14:paraId="01C8EADB" w14:textId="5DF2A5EC" w:rsidR="00D40151" w:rsidRPr="00873B6C" w:rsidRDefault="00D40151" w:rsidP="00D40151">
      <w:r w:rsidRPr="00873B6C">
        <w:t xml:space="preserve">The functionality of W-AGF is specified in </w:t>
      </w:r>
      <w:r w:rsidR="00972E70" w:rsidRPr="00873B6C">
        <w:t>TS 23.316 [</w:t>
      </w:r>
      <w:r w:rsidRPr="00873B6C">
        <w:t>84].</w:t>
      </w:r>
    </w:p>
    <w:p w14:paraId="13E67A60" w14:textId="77777777" w:rsidR="00D40151" w:rsidRPr="00873B6C" w:rsidRDefault="00D40151" w:rsidP="00D40151">
      <w:pPr>
        <w:pStyle w:val="Heading3"/>
      </w:pPr>
      <w:bookmarkStart w:id="5490" w:name="_CR6_2_21"/>
      <w:bookmarkStart w:id="5491" w:name="_Toc20150208"/>
      <w:bookmarkStart w:id="5492" w:name="_Toc27847016"/>
      <w:bookmarkStart w:id="5493" w:name="_Toc36188147"/>
      <w:bookmarkStart w:id="5494" w:name="_Toc45184057"/>
      <w:bookmarkStart w:id="5495" w:name="_Toc47342899"/>
      <w:bookmarkStart w:id="5496" w:name="_Toc51769601"/>
      <w:bookmarkStart w:id="5497" w:name="_Toc201157751"/>
      <w:bookmarkEnd w:id="5490"/>
      <w:r w:rsidRPr="00873B6C">
        <w:t>6.2.21</w:t>
      </w:r>
      <w:r w:rsidRPr="00873B6C">
        <w:tab/>
        <w:t>UE radio Capability Management Function (UCMF)</w:t>
      </w:r>
      <w:bookmarkEnd w:id="5491"/>
      <w:bookmarkEnd w:id="5492"/>
      <w:bookmarkEnd w:id="5493"/>
      <w:bookmarkEnd w:id="5494"/>
      <w:bookmarkEnd w:id="5495"/>
      <w:bookmarkEnd w:id="5496"/>
      <w:bookmarkEnd w:id="5497"/>
    </w:p>
    <w:p w14:paraId="0BF16BCE" w14:textId="77777777" w:rsidR="00D40151" w:rsidRPr="00873B6C" w:rsidRDefault="00D40151" w:rsidP="00D40151">
      <w:r w:rsidRPr="00873B6C">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04D5F051" w:rsidR="00D40151" w:rsidRPr="00873B6C" w:rsidRDefault="00D40151" w:rsidP="00D40151">
      <w:r w:rsidRPr="00873B6C">
        <w:t xml:space="preserve">Provisioning of Manufacturer-assigned UE Radio Capability ID entries in the UCMF is performed from an AF that interacts with the UCMF either directly or via the NEF (or via Network Management) using a procedure defined in </w:t>
      </w:r>
      <w:r w:rsidR="00972E70" w:rsidRPr="00873B6C">
        <w:t>TS 23.502 [</w:t>
      </w:r>
      <w:r w:rsidRPr="00873B6C">
        <w:t xml:space="preserve">3]. A UCMF that serves both EPS and 5GS shall require provisioning the UE Radio Capability ID with the </w:t>
      </w:r>
      <w:r w:rsidR="00972E70" w:rsidRPr="00873B6C">
        <w:t>TS 36.331 [</w:t>
      </w:r>
      <w:r w:rsidRPr="00873B6C">
        <w:t xml:space="preserve">51] format or </w:t>
      </w:r>
      <w:r w:rsidR="00972E70" w:rsidRPr="00873B6C">
        <w:t>TS 38.331 [</w:t>
      </w:r>
      <w:r w:rsidRPr="00873B6C">
        <w:t>28] format or both the formats of the UE radio capabilities.</w:t>
      </w:r>
    </w:p>
    <w:p w14:paraId="61A96CCE" w14:textId="77777777" w:rsidR="00D40151" w:rsidRPr="00873B6C" w:rsidRDefault="00D40151" w:rsidP="00D40151">
      <w:r w:rsidRPr="00873B6C">
        <w:t>The UCMF also assigns the PLMN-assigned UE Radio Capability ID values.</w:t>
      </w:r>
    </w:p>
    <w:p w14:paraId="3BBFFB1F" w14:textId="77777777" w:rsidR="00D40151" w:rsidRPr="00873B6C" w:rsidRDefault="00D40151" w:rsidP="00D40151">
      <w:r w:rsidRPr="00873B6C">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873B6C" w:rsidRDefault="00D40151" w:rsidP="00D40151">
      <w:bookmarkStart w:id="5498" w:name="_Toc20150209"/>
      <w:r w:rsidRPr="00873B6C">
        <w:t>The UCMF stores a Version ID value for the PLMN assigned UE Radio Capability IDs so it is included in the PLMN assigned UE Radio Capability IDs it assigns. This shall be configured in the UCMF.</w:t>
      </w:r>
    </w:p>
    <w:p w14:paraId="70E9F44D" w14:textId="4BE31127" w:rsidR="00D40151" w:rsidRPr="00873B6C" w:rsidRDefault="00D40151" w:rsidP="00D40151">
      <w:r w:rsidRPr="00873B6C">
        <w:lastRenderedPageBreak/>
        <w:t>The UCMF may be provisioned with a dictionary of Manufacturer-assigned UE Radio Capability IDs which include a "Vendor ID" that applies to the Manufacturers of these UE</w:t>
      </w:r>
      <w:r w:rsidR="00472CD7" w:rsidRPr="00873B6C">
        <w:t xml:space="preserve"> and</w:t>
      </w:r>
      <w:r w:rsidRPr="00873B6C">
        <w:t xml:space="preserve"> a list of TACs for which the PLMN has obtained-Manufacturer-assigned UE Radio Capability IDs.</w:t>
      </w:r>
    </w:p>
    <w:p w14:paraId="5A4E1C6A" w14:textId="77777777" w:rsidR="00D40151" w:rsidRPr="00873B6C" w:rsidRDefault="00D40151" w:rsidP="00D40151">
      <w:r w:rsidRPr="00873B6C">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1EB485ED" w:rsidR="00D40151" w:rsidRPr="00873B6C" w:rsidRDefault="00D40151" w:rsidP="00D40151">
      <w:r w:rsidRPr="00873B6C">
        <w:t>For the case that the PLMN is configured to store PLMN assigned IDs in the Manufacturer Assigned operation requested list defined in clause 4.4.1a, the UCMF does not remove from storage any PLMN assigned UE Radio Capability ID no longer used</w:t>
      </w:r>
      <w:r w:rsidR="00472CD7" w:rsidRPr="00873B6C">
        <w:t xml:space="preserve"> and</w:t>
      </w:r>
      <w:r w:rsidRPr="00873B6C">
        <w:t xml:space="preserve"> rather quarantines it to avoid any future reassignment.</w:t>
      </w:r>
    </w:p>
    <w:p w14:paraId="6962FFD8" w14:textId="15FDED38" w:rsidR="00E83620" w:rsidRPr="00873B6C" w:rsidRDefault="00E83620" w:rsidP="00C74FFE">
      <w:bookmarkStart w:id="5499" w:name="_Toc36188148"/>
      <w:bookmarkStart w:id="5500" w:name="_Toc45184058"/>
      <w:bookmarkStart w:id="5501" w:name="_Toc47342900"/>
      <w:bookmarkStart w:id="5502" w:name="_Toc51769602"/>
      <w:bookmarkStart w:id="5503" w:name="_Toc27847017"/>
      <w:r w:rsidRPr="00873B6C">
        <w:t>A UCMF dictionary entry shall include also the related UE Radio Capability for Paging for each RAT.</w:t>
      </w:r>
    </w:p>
    <w:p w14:paraId="32B6BEDC" w14:textId="5E25C0D1" w:rsidR="00D40151" w:rsidRPr="00873B6C" w:rsidRDefault="00D40151" w:rsidP="00D40151">
      <w:pPr>
        <w:pStyle w:val="Heading3"/>
      </w:pPr>
      <w:bookmarkStart w:id="5504" w:name="_CR6_2_22"/>
      <w:bookmarkStart w:id="5505" w:name="_Toc201157752"/>
      <w:bookmarkEnd w:id="5504"/>
      <w:r w:rsidRPr="00873B6C">
        <w:t>6.2.22</w:t>
      </w:r>
      <w:r w:rsidRPr="00873B6C">
        <w:tab/>
        <w:t>TWIF</w:t>
      </w:r>
      <w:bookmarkEnd w:id="5499"/>
      <w:bookmarkEnd w:id="5500"/>
      <w:bookmarkEnd w:id="5501"/>
      <w:bookmarkEnd w:id="5502"/>
      <w:bookmarkEnd w:id="5505"/>
    </w:p>
    <w:p w14:paraId="27C4DE35" w14:textId="77777777" w:rsidR="00D40151" w:rsidRPr="00873B6C" w:rsidRDefault="00D40151" w:rsidP="00D40151">
      <w:r w:rsidRPr="00873B6C">
        <w:t>The functionality of Trusted WLAN Interworking Function (TWIF) is specified in clause 4.2.8.5.3.</w:t>
      </w:r>
    </w:p>
    <w:p w14:paraId="468D65E4" w14:textId="77777777" w:rsidR="00D40151" w:rsidRPr="00873B6C" w:rsidRDefault="00D40151" w:rsidP="00D40151">
      <w:pPr>
        <w:pStyle w:val="Heading3"/>
      </w:pPr>
      <w:bookmarkStart w:id="5506" w:name="_CR6_2_23"/>
      <w:bookmarkStart w:id="5507" w:name="_Toc45184059"/>
      <w:bookmarkStart w:id="5508" w:name="_Toc47342901"/>
      <w:bookmarkStart w:id="5509" w:name="_Toc51769603"/>
      <w:bookmarkStart w:id="5510" w:name="_Toc36188149"/>
      <w:bookmarkStart w:id="5511" w:name="_Toc201157753"/>
      <w:bookmarkEnd w:id="5506"/>
      <w:r w:rsidRPr="00873B6C">
        <w:t>6.2.23</w:t>
      </w:r>
      <w:r w:rsidRPr="00873B6C">
        <w:tab/>
        <w:t>NSSAAF</w:t>
      </w:r>
      <w:bookmarkEnd w:id="5507"/>
      <w:bookmarkEnd w:id="5508"/>
      <w:bookmarkEnd w:id="5509"/>
      <w:bookmarkEnd w:id="5511"/>
    </w:p>
    <w:p w14:paraId="398ABABA" w14:textId="72A553C4" w:rsidR="00D40151" w:rsidRPr="00873B6C" w:rsidRDefault="00D40151" w:rsidP="00D40151">
      <w:r w:rsidRPr="00873B6C">
        <w:t>The Network Slice</w:t>
      </w:r>
      <w:r w:rsidR="00AF315F" w:rsidRPr="00873B6C">
        <w:t>-s</w:t>
      </w:r>
      <w:r w:rsidRPr="00873B6C">
        <w:t>pecific</w:t>
      </w:r>
      <w:r w:rsidR="00AF315F" w:rsidRPr="00873B6C">
        <w:t xml:space="preserve"> and SNPN</w:t>
      </w:r>
      <w:r w:rsidRPr="00873B6C">
        <w:t xml:space="preserve"> Authentication and Authorization Function (NSSAAF) supports the following functionality:</w:t>
      </w:r>
    </w:p>
    <w:p w14:paraId="1A2A3A1B" w14:textId="61A39350" w:rsidR="00D40151" w:rsidRPr="00873B6C" w:rsidRDefault="00D40151" w:rsidP="00D40151">
      <w:pPr>
        <w:pStyle w:val="B1"/>
      </w:pPr>
      <w:r w:rsidRPr="00873B6C">
        <w:t>-</w:t>
      </w:r>
      <w:r w:rsidRPr="00873B6C">
        <w:tab/>
        <w:t xml:space="preserve">Support for Network Slice-Specific Authentication and Authorization as specified in </w:t>
      </w:r>
      <w:r w:rsidR="00972E70" w:rsidRPr="00873B6C">
        <w:t>TS 23.502 [</w:t>
      </w:r>
      <w:r w:rsidRPr="00873B6C">
        <w:t>3] with a AAA Server (AAA-S). If the AAA-S belongs to a third party, the NSSAAF may contact the AAA-S via a AAA proxy (AAA-P).</w:t>
      </w:r>
    </w:p>
    <w:p w14:paraId="43890D3F" w14:textId="4EF64345" w:rsidR="00AF315F" w:rsidRPr="00873B6C" w:rsidRDefault="00AF315F" w:rsidP="00AF315F">
      <w:pPr>
        <w:pStyle w:val="B1"/>
      </w:pPr>
      <w:bookmarkStart w:id="5512" w:name="_Toc45184060"/>
      <w:bookmarkStart w:id="5513" w:name="_Toc47342902"/>
      <w:bookmarkStart w:id="5514" w:name="_Toc51769604"/>
      <w:r w:rsidRPr="00873B6C">
        <w:t>-</w:t>
      </w:r>
      <w:r w:rsidRPr="00873B6C">
        <w:tab/>
        <w:t>Support for access to SNPN using credentials from Credentials Holder using AAA server (AAA-S) as specified in clause 5.30.2.9.2</w:t>
      </w:r>
      <w:r w:rsidR="00B37A78" w:rsidRPr="00873B6C">
        <w:t xml:space="preserve"> or using credentials from Default Credentials Server using AAA server (AAA-S) as specified in clause 5.30.2.10.2</w:t>
      </w:r>
      <w:r w:rsidRPr="00873B6C">
        <w:t>. If the Credentials Holder</w:t>
      </w:r>
      <w:r w:rsidR="00B37A78" w:rsidRPr="00873B6C">
        <w:t xml:space="preserve"> or Default Credentials Server</w:t>
      </w:r>
      <w:r w:rsidRPr="00873B6C">
        <w:t xml:space="preserve"> belongs to a third party, the NSSAAF may contact the AAA server via a AAA proxy (AAA-P).</w:t>
      </w:r>
    </w:p>
    <w:p w14:paraId="2C970113" w14:textId="104B017A" w:rsidR="00AF315F" w:rsidRPr="00873B6C" w:rsidRDefault="00AF315F" w:rsidP="00562E84">
      <w:pPr>
        <w:pStyle w:val="NO"/>
      </w:pPr>
      <w:r w:rsidRPr="00873B6C">
        <w:t>NOTE:</w:t>
      </w:r>
      <w:r w:rsidRPr="00873B6C">
        <w:tab/>
        <w:t>When the NSSA</w:t>
      </w:r>
      <w:r w:rsidR="00616F73" w:rsidRPr="00873B6C">
        <w:t>A</w:t>
      </w:r>
      <w:r w:rsidRPr="00873B6C">
        <w:t xml:space="preserve">F is deployed in a PLMN, </w:t>
      </w:r>
      <w:r w:rsidR="006648CD" w:rsidRPr="00873B6C">
        <w:t xml:space="preserve">the NSSAAF </w:t>
      </w:r>
      <w:r w:rsidRPr="00873B6C">
        <w:t>supports Network Slice-Specific Authentication and Authorization, while when the NSSA</w:t>
      </w:r>
      <w:r w:rsidR="00616F73" w:rsidRPr="00873B6C">
        <w:t>A</w:t>
      </w:r>
      <w:r w:rsidRPr="00873B6C">
        <w:t xml:space="preserve">F is deployed in a SNPN </w:t>
      </w:r>
      <w:r w:rsidR="006648CD" w:rsidRPr="00873B6C">
        <w:t xml:space="preserve">the NSSAAF can </w:t>
      </w:r>
      <w:r w:rsidRPr="00873B6C">
        <w:t>support Network Slice-Specific Authentication and Authorization and/or</w:t>
      </w:r>
      <w:r w:rsidR="006648CD" w:rsidRPr="00873B6C">
        <w:t xml:space="preserve"> the NSSAAF can support</w:t>
      </w:r>
      <w:r w:rsidRPr="00873B6C">
        <w:t xml:space="preserve"> access to SNPN using credentials from Credentials Holder</w:t>
      </w:r>
      <w:r w:rsidR="006648CD" w:rsidRPr="00873B6C">
        <w:t>.</w:t>
      </w:r>
    </w:p>
    <w:p w14:paraId="4A813BF2" w14:textId="43D427C6" w:rsidR="00D63C5A" w:rsidRPr="00873B6C" w:rsidRDefault="00D63C5A" w:rsidP="00D63C5A">
      <w:pPr>
        <w:pStyle w:val="Heading3"/>
      </w:pPr>
      <w:bookmarkStart w:id="5515" w:name="_CR6_2_24"/>
      <w:bookmarkStart w:id="5516" w:name="_Toc201157754"/>
      <w:bookmarkEnd w:id="5515"/>
      <w:r w:rsidRPr="00873B6C">
        <w:t>6.2.24</w:t>
      </w:r>
      <w:r w:rsidRPr="00873B6C">
        <w:tab/>
        <w:t>DCCF</w:t>
      </w:r>
      <w:bookmarkEnd w:id="5516"/>
    </w:p>
    <w:p w14:paraId="617EFD75" w14:textId="77777777" w:rsidR="00D63C5A" w:rsidRPr="00873B6C" w:rsidRDefault="00D63C5A" w:rsidP="00D63C5A">
      <w:r w:rsidRPr="00873B6C">
        <w:t>The Data Collection Coordination Function (DCCF) supports the following functionality:</w:t>
      </w:r>
    </w:p>
    <w:p w14:paraId="081641AE" w14:textId="77777777" w:rsidR="00D63C5A" w:rsidRPr="00873B6C" w:rsidRDefault="00D63C5A" w:rsidP="00323277">
      <w:pPr>
        <w:pStyle w:val="B1"/>
      </w:pPr>
      <w:r w:rsidRPr="00873B6C">
        <w:t>-</w:t>
      </w:r>
      <w:r w:rsidRPr="00873B6C">
        <w:tab/>
        <w:t>Determining Data Sources that can provide data for a received data request.</w:t>
      </w:r>
    </w:p>
    <w:p w14:paraId="7F36F2B1" w14:textId="77777777" w:rsidR="00D63C5A" w:rsidRPr="00873B6C" w:rsidRDefault="00D63C5A" w:rsidP="00323277">
      <w:pPr>
        <w:pStyle w:val="B1"/>
      </w:pPr>
      <w:r w:rsidRPr="00873B6C">
        <w:t>-</w:t>
      </w:r>
      <w:r w:rsidRPr="00873B6C">
        <w:tab/>
        <w:t>Determining whether data is already being collected from a data source.</w:t>
      </w:r>
    </w:p>
    <w:p w14:paraId="1044C28D" w14:textId="77777777" w:rsidR="00D63C5A" w:rsidRPr="00873B6C" w:rsidRDefault="00D63C5A" w:rsidP="00323277">
      <w:pPr>
        <w:pStyle w:val="B1"/>
      </w:pPr>
      <w:r w:rsidRPr="00873B6C">
        <w:t>-</w:t>
      </w:r>
      <w:r w:rsidRPr="00873B6C">
        <w:tab/>
        <w:t>Instructing a Messaging Framework to send data to consumers or notification endpoints.</w:t>
      </w:r>
    </w:p>
    <w:p w14:paraId="469DF27B" w14:textId="77777777" w:rsidR="00D63C5A" w:rsidRPr="00873B6C" w:rsidRDefault="00D63C5A" w:rsidP="00323277">
      <w:pPr>
        <w:pStyle w:val="B1"/>
      </w:pPr>
      <w:r w:rsidRPr="00873B6C">
        <w:t>-</w:t>
      </w:r>
      <w:r w:rsidRPr="00873B6C">
        <w:tab/>
        <w:t>Instructing a Messaging Framework to do formatting and processing of the data sent via the Messaging Framework.</w:t>
      </w:r>
    </w:p>
    <w:p w14:paraId="33710C28" w14:textId="77777777" w:rsidR="00D63C5A" w:rsidRPr="00873B6C" w:rsidRDefault="00D63C5A" w:rsidP="00323277">
      <w:pPr>
        <w:pStyle w:val="B1"/>
      </w:pPr>
      <w:r w:rsidRPr="00873B6C">
        <w:t>-</w:t>
      </w:r>
      <w:r w:rsidRPr="00873B6C">
        <w:tab/>
        <w:t>Formatting and processing of data.</w:t>
      </w:r>
    </w:p>
    <w:p w14:paraId="07A897C4" w14:textId="77777777" w:rsidR="00D63C5A" w:rsidRPr="00873B6C" w:rsidRDefault="00D63C5A" w:rsidP="00323277">
      <w:pPr>
        <w:pStyle w:val="B1"/>
      </w:pPr>
      <w:r w:rsidRPr="00873B6C">
        <w:t>-</w:t>
      </w:r>
      <w:r w:rsidRPr="00873B6C">
        <w:tab/>
        <w:t>Sending data to consumers or notification endpoints.</w:t>
      </w:r>
    </w:p>
    <w:p w14:paraId="5CA1761F" w14:textId="77777777" w:rsidR="00D63C5A" w:rsidRPr="00873B6C" w:rsidRDefault="00D63C5A" w:rsidP="00323277">
      <w:pPr>
        <w:pStyle w:val="B1"/>
      </w:pPr>
      <w:r w:rsidRPr="00873B6C">
        <w:t>-</w:t>
      </w:r>
      <w:r w:rsidRPr="00873B6C">
        <w:tab/>
        <w:t>Registering NWDAFs and ADRFs that are already receiving data from a Data Source.</w:t>
      </w:r>
    </w:p>
    <w:p w14:paraId="05489C2B" w14:textId="10E98148" w:rsidR="00D63C5A" w:rsidRPr="00873B6C" w:rsidRDefault="00D63C5A" w:rsidP="00D63C5A">
      <w:r w:rsidRPr="00873B6C">
        <w:t xml:space="preserve">The DCCF functionality is specified in </w:t>
      </w:r>
      <w:r w:rsidR="00972E70" w:rsidRPr="00873B6C">
        <w:t>TS 23.288 [</w:t>
      </w:r>
      <w:r w:rsidRPr="00873B6C">
        <w:t>86].</w:t>
      </w:r>
    </w:p>
    <w:p w14:paraId="6E697579" w14:textId="77777777" w:rsidR="00D63C5A" w:rsidRPr="00873B6C" w:rsidRDefault="00D63C5A" w:rsidP="00323277">
      <w:pPr>
        <w:pStyle w:val="Heading3"/>
      </w:pPr>
      <w:bookmarkStart w:id="5517" w:name="_CR6_2_25"/>
      <w:bookmarkStart w:id="5518" w:name="_Toc201157755"/>
      <w:bookmarkEnd w:id="5517"/>
      <w:r w:rsidRPr="00873B6C">
        <w:t>6.2.25</w:t>
      </w:r>
      <w:r w:rsidRPr="00873B6C">
        <w:tab/>
        <w:t>MFAF</w:t>
      </w:r>
      <w:bookmarkEnd w:id="5518"/>
    </w:p>
    <w:p w14:paraId="5D83CA98" w14:textId="77777777" w:rsidR="00D63C5A" w:rsidRPr="00873B6C" w:rsidRDefault="00D63C5A" w:rsidP="00D63C5A">
      <w:r w:rsidRPr="00873B6C">
        <w:t>The Messaging Framework Adaptor Function (MFAF) supports the following functionality:</w:t>
      </w:r>
    </w:p>
    <w:p w14:paraId="30681DC7" w14:textId="77777777" w:rsidR="00D63C5A" w:rsidRPr="00873B6C" w:rsidRDefault="00D63C5A" w:rsidP="00323277">
      <w:pPr>
        <w:pStyle w:val="B1"/>
      </w:pPr>
      <w:r w:rsidRPr="00873B6C">
        <w:lastRenderedPageBreak/>
        <w:t>-</w:t>
      </w:r>
      <w:r w:rsidRPr="00873B6C">
        <w:tab/>
        <w:t>Interfacing with a DCCF that controls how a messaging framework will process, format and send data to consumers or notification endpoints.</w:t>
      </w:r>
    </w:p>
    <w:p w14:paraId="4DC7131D" w14:textId="77777777" w:rsidR="00D63C5A" w:rsidRPr="00873B6C" w:rsidRDefault="00D63C5A" w:rsidP="00323277">
      <w:pPr>
        <w:pStyle w:val="B1"/>
      </w:pPr>
      <w:r w:rsidRPr="00873B6C">
        <w:t>-</w:t>
      </w:r>
      <w:r w:rsidRPr="00873B6C">
        <w:tab/>
        <w:t>Receiving data from Data Sources via services offered by those Data Sources.</w:t>
      </w:r>
    </w:p>
    <w:p w14:paraId="33969111" w14:textId="77777777" w:rsidR="00D63C5A" w:rsidRPr="00873B6C" w:rsidRDefault="00D63C5A" w:rsidP="00323277">
      <w:pPr>
        <w:pStyle w:val="B1"/>
      </w:pPr>
      <w:r w:rsidRPr="00873B6C">
        <w:t>-</w:t>
      </w:r>
      <w:r w:rsidRPr="00873B6C">
        <w:tab/>
        <w:t>Sending data received from Data Sources to a messaging framework (outside the scope of 3GPP).</w:t>
      </w:r>
    </w:p>
    <w:p w14:paraId="12E028B0" w14:textId="77777777" w:rsidR="00D63C5A" w:rsidRPr="00873B6C" w:rsidRDefault="00D63C5A" w:rsidP="00323277">
      <w:pPr>
        <w:pStyle w:val="B1"/>
      </w:pPr>
      <w:r w:rsidRPr="00873B6C">
        <w:t>-</w:t>
      </w:r>
      <w:r w:rsidRPr="00873B6C">
        <w:tab/>
        <w:t>Receiving data from a messaging framework (outside the scope of 3GPP).</w:t>
      </w:r>
    </w:p>
    <w:p w14:paraId="6D7F997A" w14:textId="77777777" w:rsidR="00D63C5A" w:rsidRPr="00873B6C" w:rsidRDefault="00D63C5A" w:rsidP="00323277">
      <w:pPr>
        <w:pStyle w:val="B1"/>
      </w:pPr>
      <w:r w:rsidRPr="00873B6C">
        <w:t>-</w:t>
      </w:r>
      <w:r w:rsidRPr="00873B6C">
        <w:tab/>
        <w:t>Processing, formatting and sending data to specified consumers or notification endpoints.</w:t>
      </w:r>
    </w:p>
    <w:p w14:paraId="4E4EEEE9" w14:textId="4C5C2E20" w:rsidR="00D63C5A" w:rsidRPr="00873B6C" w:rsidRDefault="00D63C5A" w:rsidP="00323277">
      <w:pPr>
        <w:pStyle w:val="NO"/>
      </w:pPr>
      <w:r w:rsidRPr="00873B6C">
        <w:t>NOTE:</w:t>
      </w:r>
      <w:r w:rsidRPr="00873B6C">
        <w:tab/>
        <w:t>The internal logic of Messaging Framework is outside the scope of 3GPP, only MFAF and the interface between MFAF and other 3GPP defined NF is under 3GPP scope.</w:t>
      </w:r>
    </w:p>
    <w:p w14:paraId="685160EC" w14:textId="630B907B" w:rsidR="00D63C5A" w:rsidRPr="00873B6C" w:rsidRDefault="00D63C5A" w:rsidP="00D63C5A">
      <w:r w:rsidRPr="00873B6C">
        <w:t xml:space="preserve">The MFAF functionality is specified in </w:t>
      </w:r>
      <w:r w:rsidR="00972E70" w:rsidRPr="00873B6C">
        <w:t>TS 23.288 [</w:t>
      </w:r>
      <w:r w:rsidRPr="00873B6C">
        <w:t>86].</w:t>
      </w:r>
    </w:p>
    <w:p w14:paraId="40DCE555" w14:textId="331964CC" w:rsidR="00D63C5A" w:rsidRPr="00873B6C" w:rsidRDefault="00D63C5A" w:rsidP="00323277">
      <w:pPr>
        <w:pStyle w:val="Heading3"/>
      </w:pPr>
      <w:bookmarkStart w:id="5519" w:name="_CR6_2_26"/>
      <w:bookmarkStart w:id="5520" w:name="_Toc201157756"/>
      <w:bookmarkEnd w:id="5519"/>
      <w:r w:rsidRPr="00873B6C">
        <w:t>6.2.26</w:t>
      </w:r>
      <w:r w:rsidRPr="00873B6C">
        <w:tab/>
        <w:t>ADRF</w:t>
      </w:r>
      <w:bookmarkEnd w:id="5520"/>
    </w:p>
    <w:p w14:paraId="46639AED" w14:textId="77777777" w:rsidR="00D63C5A" w:rsidRPr="00873B6C" w:rsidRDefault="00D63C5A" w:rsidP="00D63C5A">
      <w:r w:rsidRPr="00873B6C">
        <w:t>The Analytics Data Repository Function (ADRF) supports the following functionality:</w:t>
      </w:r>
    </w:p>
    <w:p w14:paraId="5B262AFD" w14:textId="77777777" w:rsidR="00D63C5A" w:rsidRPr="00873B6C" w:rsidRDefault="00D63C5A" w:rsidP="00323277">
      <w:pPr>
        <w:pStyle w:val="B1"/>
      </w:pPr>
      <w:r w:rsidRPr="00873B6C">
        <w:t>-</w:t>
      </w:r>
      <w:r w:rsidRPr="00873B6C">
        <w:tab/>
        <w:t>Storage and retrieval of analytics generated by NWDAFs and collected data.</w:t>
      </w:r>
    </w:p>
    <w:p w14:paraId="68CFC726" w14:textId="5FAF8296" w:rsidR="009E78C1" w:rsidRPr="00873B6C" w:rsidRDefault="009E78C1" w:rsidP="009E78C1">
      <w:pPr>
        <w:pStyle w:val="B1"/>
      </w:pPr>
      <w:r w:rsidRPr="00873B6C">
        <w:t>-</w:t>
      </w:r>
      <w:r w:rsidRPr="00873B6C">
        <w:tab/>
        <w:t>Storage and retrieval of ML model files trained by NWDAFs containing MTLF.</w:t>
      </w:r>
    </w:p>
    <w:p w14:paraId="1CBB8370" w14:textId="6DC0D130" w:rsidR="00D63C5A" w:rsidRPr="00873B6C" w:rsidRDefault="00D63C5A" w:rsidP="00D63C5A">
      <w:r w:rsidRPr="00873B6C">
        <w:t xml:space="preserve">The Analytics Data Repository Function (ADRF) is specified in </w:t>
      </w:r>
      <w:r w:rsidR="00972E70" w:rsidRPr="00873B6C">
        <w:t>TS 23.288 [</w:t>
      </w:r>
      <w:r w:rsidRPr="00873B6C">
        <w:t>86].</w:t>
      </w:r>
    </w:p>
    <w:p w14:paraId="24165E02" w14:textId="23030730" w:rsidR="00607A94" w:rsidRPr="00873B6C" w:rsidRDefault="00607A94" w:rsidP="00607A94">
      <w:pPr>
        <w:pStyle w:val="Heading3"/>
      </w:pPr>
      <w:bookmarkStart w:id="5521" w:name="_CR6_2_27"/>
      <w:bookmarkStart w:id="5522" w:name="_Toc201157757"/>
      <w:bookmarkEnd w:id="5521"/>
      <w:r w:rsidRPr="00873B6C">
        <w:t>6.2.27</w:t>
      </w:r>
      <w:r w:rsidRPr="00873B6C">
        <w:tab/>
        <w:t>MB-SMF</w:t>
      </w:r>
      <w:bookmarkEnd w:id="5522"/>
    </w:p>
    <w:p w14:paraId="06E591B9" w14:textId="404C4AC4" w:rsidR="00607A94" w:rsidRPr="00873B6C" w:rsidRDefault="00607A94" w:rsidP="00607A94">
      <w:r w:rsidRPr="00873B6C">
        <w:t xml:space="preserve">The functionality of MB-SMF is specified in </w:t>
      </w:r>
      <w:r w:rsidR="00972E70" w:rsidRPr="00873B6C">
        <w:t>TS 23.247 [</w:t>
      </w:r>
      <w:r w:rsidRPr="00873B6C">
        <w:t>129].</w:t>
      </w:r>
    </w:p>
    <w:p w14:paraId="107D257B" w14:textId="743C7BDD" w:rsidR="00607A94" w:rsidRPr="00873B6C" w:rsidRDefault="00607A94" w:rsidP="00C74FFE">
      <w:pPr>
        <w:pStyle w:val="Heading3"/>
      </w:pPr>
      <w:bookmarkStart w:id="5523" w:name="_CR6_2_27a"/>
      <w:bookmarkStart w:id="5524" w:name="_Toc201157758"/>
      <w:bookmarkEnd w:id="5523"/>
      <w:r w:rsidRPr="00873B6C">
        <w:t>6.2.27</w:t>
      </w:r>
      <w:r w:rsidR="00366291" w:rsidRPr="00873B6C">
        <w:t>a</w:t>
      </w:r>
      <w:r w:rsidRPr="00873B6C">
        <w:tab/>
        <w:t>MB-UPF</w:t>
      </w:r>
      <w:bookmarkEnd w:id="5524"/>
    </w:p>
    <w:p w14:paraId="04944DFF" w14:textId="01353733" w:rsidR="00607A94" w:rsidRPr="00873B6C" w:rsidRDefault="00607A94" w:rsidP="00607A94">
      <w:r w:rsidRPr="00873B6C">
        <w:t xml:space="preserve">The functionality of MB-UPF is specified in </w:t>
      </w:r>
      <w:r w:rsidR="00972E70" w:rsidRPr="00873B6C">
        <w:t>TS 23.247 [</w:t>
      </w:r>
      <w:r w:rsidRPr="00873B6C">
        <w:t>129].</w:t>
      </w:r>
    </w:p>
    <w:p w14:paraId="117659A7" w14:textId="4F68D641" w:rsidR="00607A94" w:rsidRPr="00873B6C" w:rsidRDefault="00607A94" w:rsidP="00C74FFE">
      <w:pPr>
        <w:pStyle w:val="Heading3"/>
      </w:pPr>
      <w:bookmarkStart w:id="5525" w:name="_CR6_2_27b"/>
      <w:bookmarkStart w:id="5526" w:name="_Toc201157759"/>
      <w:bookmarkEnd w:id="5525"/>
      <w:r w:rsidRPr="00873B6C">
        <w:t>6.2.27</w:t>
      </w:r>
      <w:r w:rsidR="00366291" w:rsidRPr="00873B6C">
        <w:t>b</w:t>
      </w:r>
      <w:r w:rsidRPr="00873B6C">
        <w:tab/>
        <w:t>MBSF</w:t>
      </w:r>
      <w:bookmarkEnd w:id="5526"/>
    </w:p>
    <w:p w14:paraId="0FB01CD9" w14:textId="60D676BB" w:rsidR="00607A94" w:rsidRPr="00873B6C" w:rsidRDefault="00607A94" w:rsidP="00607A94">
      <w:r w:rsidRPr="00873B6C">
        <w:t xml:space="preserve">The functionality of MBSF is specified in </w:t>
      </w:r>
      <w:r w:rsidR="00972E70" w:rsidRPr="00873B6C">
        <w:t>TS 23.247 [</w:t>
      </w:r>
      <w:r w:rsidRPr="00873B6C">
        <w:t>129].</w:t>
      </w:r>
    </w:p>
    <w:p w14:paraId="6AAE1D88" w14:textId="03F056F4" w:rsidR="00607A94" w:rsidRPr="00873B6C" w:rsidRDefault="00607A94" w:rsidP="00C74FFE">
      <w:pPr>
        <w:pStyle w:val="Heading3"/>
      </w:pPr>
      <w:bookmarkStart w:id="5527" w:name="_CR6_2_27c"/>
      <w:bookmarkStart w:id="5528" w:name="_Toc201157760"/>
      <w:bookmarkEnd w:id="5527"/>
      <w:r w:rsidRPr="00873B6C">
        <w:t>6.2.27</w:t>
      </w:r>
      <w:r w:rsidR="00366291" w:rsidRPr="00873B6C">
        <w:t>c</w:t>
      </w:r>
      <w:r w:rsidRPr="00873B6C">
        <w:tab/>
        <w:t>MBSTF</w:t>
      </w:r>
      <w:bookmarkEnd w:id="5528"/>
    </w:p>
    <w:p w14:paraId="307FD3C4" w14:textId="534E9869" w:rsidR="00607A94" w:rsidRPr="00873B6C" w:rsidRDefault="00607A94" w:rsidP="00607A94">
      <w:r w:rsidRPr="00873B6C">
        <w:t xml:space="preserve">The functionality of MBSTF is specified in </w:t>
      </w:r>
      <w:r w:rsidR="00972E70" w:rsidRPr="00873B6C">
        <w:t>TS 23.247 [</w:t>
      </w:r>
      <w:r w:rsidRPr="00873B6C">
        <w:t>129].</w:t>
      </w:r>
    </w:p>
    <w:p w14:paraId="52A0D204" w14:textId="20EFD164" w:rsidR="00B93E3D" w:rsidRPr="00873B6C" w:rsidRDefault="00B93E3D" w:rsidP="00B93E3D">
      <w:pPr>
        <w:pStyle w:val="Heading3"/>
        <w:rPr>
          <w:lang w:eastAsia="zh-CN"/>
        </w:rPr>
      </w:pPr>
      <w:bookmarkStart w:id="5529" w:name="_CR6_2_28"/>
      <w:bookmarkStart w:id="5530" w:name="_Toc201157761"/>
      <w:bookmarkEnd w:id="5529"/>
      <w:r w:rsidRPr="00873B6C">
        <w:rPr>
          <w:lang w:eastAsia="zh-CN"/>
        </w:rPr>
        <w:t>6.2.28</w:t>
      </w:r>
      <w:r w:rsidRPr="00873B6C">
        <w:rPr>
          <w:lang w:eastAsia="zh-CN"/>
        </w:rPr>
        <w:tab/>
        <w:t>NSACF</w:t>
      </w:r>
      <w:bookmarkEnd w:id="5530"/>
    </w:p>
    <w:p w14:paraId="1F89C6AB" w14:textId="77777777" w:rsidR="00B93E3D" w:rsidRPr="00873B6C" w:rsidRDefault="00B93E3D" w:rsidP="00B93E3D">
      <w:pPr>
        <w:rPr>
          <w:lang w:eastAsia="zh-CN"/>
        </w:rPr>
      </w:pPr>
      <w:r w:rsidRPr="00873B6C">
        <w:rPr>
          <w:lang w:eastAsia="zh-CN"/>
        </w:rPr>
        <w:t>The Network Slice Admission Control Function (NSACF) supports the following functionality:</w:t>
      </w:r>
    </w:p>
    <w:p w14:paraId="5E93C70B" w14:textId="77777777" w:rsidR="00B93E3D" w:rsidRPr="00873B6C" w:rsidRDefault="00B93E3D" w:rsidP="00562E84">
      <w:pPr>
        <w:pStyle w:val="B1"/>
        <w:rPr>
          <w:lang w:eastAsia="zh-CN"/>
        </w:rPr>
      </w:pPr>
      <w:r w:rsidRPr="00873B6C">
        <w:rPr>
          <w:lang w:eastAsia="zh-CN"/>
        </w:rPr>
        <w:t>-</w:t>
      </w:r>
      <w:r w:rsidRPr="00873B6C">
        <w:rPr>
          <w:lang w:eastAsia="zh-CN"/>
        </w:rPr>
        <w:tab/>
        <w:t>Support of monitoring and controlling the number of registered UEs per network slice.</w:t>
      </w:r>
    </w:p>
    <w:p w14:paraId="0C9EA1C7" w14:textId="63AFAA18" w:rsidR="002506F3" w:rsidRPr="00873B6C" w:rsidRDefault="002506F3" w:rsidP="00562E84">
      <w:pPr>
        <w:pStyle w:val="B1"/>
        <w:rPr>
          <w:lang w:eastAsia="zh-CN"/>
        </w:rPr>
      </w:pPr>
      <w:r w:rsidRPr="00873B6C">
        <w:rPr>
          <w:lang w:eastAsia="zh-CN"/>
        </w:rPr>
        <w:t>-</w:t>
      </w:r>
      <w:r w:rsidRPr="00873B6C">
        <w:rPr>
          <w:lang w:eastAsia="zh-CN"/>
        </w:rPr>
        <w:tab/>
        <w:t>Support of monitoring and controlling the number of UEs with at least one PDU Session/PDN Connection per network slice in case of EPC interworking.</w:t>
      </w:r>
    </w:p>
    <w:p w14:paraId="00DF6421" w14:textId="250D5C67" w:rsidR="00B93E3D" w:rsidRPr="00873B6C" w:rsidRDefault="00B93E3D" w:rsidP="00562E84">
      <w:pPr>
        <w:pStyle w:val="B1"/>
        <w:rPr>
          <w:lang w:eastAsia="zh-CN"/>
        </w:rPr>
      </w:pPr>
      <w:r w:rsidRPr="00873B6C">
        <w:rPr>
          <w:lang w:eastAsia="zh-CN"/>
        </w:rPr>
        <w:t>-</w:t>
      </w:r>
      <w:r w:rsidRPr="00873B6C">
        <w:rPr>
          <w:lang w:eastAsia="zh-CN"/>
        </w:rPr>
        <w:tab/>
        <w:t>Support of monitoring and controlling the number of established PDU Sessions per network slice.</w:t>
      </w:r>
    </w:p>
    <w:p w14:paraId="44AFB964" w14:textId="77777777" w:rsidR="00B93E3D" w:rsidRPr="00873B6C" w:rsidRDefault="00B93E3D" w:rsidP="00562E84">
      <w:pPr>
        <w:pStyle w:val="B1"/>
        <w:rPr>
          <w:lang w:eastAsia="zh-CN"/>
        </w:rPr>
      </w:pPr>
      <w:r w:rsidRPr="00873B6C">
        <w:rPr>
          <w:lang w:eastAsia="zh-CN"/>
        </w:rPr>
        <w:t>-</w:t>
      </w:r>
      <w:r w:rsidRPr="00873B6C">
        <w:rPr>
          <w:lang w:eastAsia="zh-CN"/>
        </w:rPr>
        <w:tab/>
        <w:t>Support of event based Network Slice status notification and reports to a consumer NF.</w:t>
      </w:r>
    </w:p>
    <w:p w14:paraId="5A8DA828" w14:textId="6A3ADD91" w:rsidR="002C4A81" w:rsidRPr="00873B6C" w:rsidRDefault="002C4A81" w:rsidP="002C4A81">
      <w:pPr>
        <w:pStyle w:val="B1"/>
        <w:rPr>
          <w:lang w:eastAsia="zh-CN"/>
        </w:rPr>
      </w:pPr>
      <w:r w:rsidRPr="00873B6C">
        <w:rPr>
          <w:lang w:eastAsia="zh-CN"/>
        </w:rPr>
        <w:t>-</w:t>
      </w:r>
      <w:r w:rsidRPr="00873B6C">
        <w:rPr>
          <w:lang w:eastAsia="zh-CN"/>
        </w:rPr>
        <w:tab/>
        <w:t>Acting as a Centralized NSACF in PLMNs deploying a centralized architecture as described in clause</w:t>
      </w:r>
      <w:r w:rsidR="007B0B8F" w:rsidRPr="00873B6C">
        <w:rPr>
          <w:lang w:eastAsia="zh-CN"/>
        </w:rPr>
        <w:t> </w:t>
      </w:r>
      <w:r w:rsidRPr="00873B6C">
        <w:rPr>
          <w:lang w:eastAsia="zh-CN"/>
        </w:rPr>
        <w:t>5.15.11.0.</w:t>
      </w:r>
    </w:p>
    <w:p w14:paraId="66B902A6" w14:textId="77777777" w:rsidR="002C4A81" w:rsidRPr="00873B6C" w:rsidRDefault="002C4A81" w:rsidP="002C4A81">
      <w:pPr>
        <w:pStyle w:val="B1"/>
        <w:rPr>
          <w:lang w:eastAsia="zh-CN"/>
        </w:rPr>
      </w:pPr>
      <w:r w:rsidRPr="00873B6C">
        <w:rPr>
          <w:lang w:eastAsia="zh-CN"/>
        </w:rPr>
        <w:t>-</w:t>
      </w:r>
      <w:r w:rsidRPr="00873B6C">
        <w:rPr>
          <w:lang w:eastAsia="zh-CN"/>
        </w:rPr>
        <w:tab/>
        <w:t>Support of different type of NSAC modes for roaming UEs for the number of UEs per network slice.</w:t>
      </w:r>
    </w:p>
    <w:p w14:paraId="62A78CCB" w14:textId="77777777" w:rsidR="002C4A81" w:rsidRPr="00873B6C" w:rsidRDefault="002C4A81" w:rsidP="002C4A81">
      <w:pPr>
        <w:pStyle w:val="B1"/>
        <w:rPr>
          <w:lang w:eastAsia="zh-CN"/>
        </w:rPr>
      </w:pPr>
      <w:r w:rsidRPr="00873B6C">
        <w:rPr>
          <w:lang w:eastAsia="zh-CN"/>
        </w:rPr>
        <w:t>-</w:t>
      </w:r>
      <w:r w:rsidRPr="00873B6C">
        <w:rPr>
          <w:lang w:eastAsia="zh-CN"/>
        </w:rPr>
        <w:tab/>
        <w:t>Support of different type of NSAC modes for roaming UEs for the number of PDU Sessions per network slice.</w:t>
      </w:r>
    </w:p>
    <w:p w14:paraId="12A9C0F5" w14:textId="44707435" w:rsidR="00AD480D" w:rsidRPr="00873B6C" w:rsidRDefault="00AD480D" w:rsidP="00972E70">
      <w:pPr>
        <w:pStyle w:val="B1"/>
      </w:pPr>
      <w:r w:rsidRPr="00873B6C">
        <w:t>-</w:t>
      </w:r>
      <w:r w:rsidRPr="00873B6C">
        <w:tab/>
        <w:t>Acting as a Primary NSACF in PLMNs deploying a hierarchal architecture as described in clause 5.15.11.0.</w:t>
      </w:r>
    </w:p>
    <w:p w14:paraId="453DE0E1" w14:textId="7823DB87" w:rsidR="00B93E3D" w:rsidRPr="00873B6C" w:rsidRDefault="00B93E3D" w:rsidP="00B93E3D">
      <w:pPr>
        <w:rPr>
          <w:lang w:eastAsia="zh-CN"/>
        </w:rPr>
      </w:pPr>
      <w:r w:rsidRPr="00873B6C">
        <w:rPr>
          <w:lang w:eastAsia="zh-CN"/>
        </w:rPr>
        <w:lastRenderedPageBreak/>
        <w:t>The details of the NSACF functionality are defined in clause 5.15.11.</w:t>
      </w:r>
    </w:p>
    <w:p w14:paraId="576E110B" w14:textId="73240F40" w:rsidR="00055D0B" w:rsidRPr="00873B6C" w:rsidRDefault="00055D0B" w:rsidP="00055D0B">
      <w:pPr>
        <w:pStyle w:val="Heading3"/>
        <w:rPr>
          <w:lang w:eastAsia="zh-CN"/>
        </w:rPr>
      </w:pPr>
      <w:bookmarkStart w:id="5531" w:name="_CR6_2_29"/>
      <w:bookmarkStart w:id="5532" w:name="_Toc201157762"/>
      <w:bookmarkEnd w:id="5531"/>
      <w:r w:rsidRPr="00873B6C">
        <w:rPr>
          <w:lang w:eastAsia="zh-CN"/>
        </w:rPr>
        <w:t>6.2.29</w:t>
      </w:r>
      <w:r w:rsidRPr="00873B6C">
        <w:rPr>
          <w:lang w:eastAsia="zh-CN"/>
        </w:rPr>
        <w:tab/>
        <w:t>TSCTSF</w:t>
      </w:r>
      <w:bookmarkEnd w:id="5532"/>
    </w:p>
    <w:p w14:paraId="26159698" w14:textId="20D1BAF9" w:rsidR="00055D0B" w:rsidRPr="00873B6C" w:rsidRDefault="00055D0B" w:rsidP="00055D0B">
      <w:pPr>
        <w:rPr>
          <w:lang w:eastAsia="zh-CN"/>
        </w:rPr>
      </w:pPr>
      <w:r w:rsidRPr="00873B6C">
        <w:rPr>
          <w:lang w:eastAsia="zh-CN"/>
        </w:rPr>
        <w:t xml:space="preserve">The </w:t>
      </w:r>
      <w:r w:rsidR="00A46717" w:rsidRPr="00873B6C">
        <w:rPr>
          <w:lang w:eastAsia="zh-CN"/>
        </w:rPr>
        <w:t>Time Sensitive Communication and Time Synchronization Function (</w:t>
      </w:r>
      <w:r w:rsidRPr="00873B6C">
        <w:rPr>
          <w:lang w:eastAsia="zh-CN"/>
        </w:rPr>
        <w:t>TSCTSF</w:t>
      </w:r>
      <w:r w:rsidR="00A46717" w:rsidRPr="00873B6C">
        <w:rPr>
          <w:lang w:eastAsia="zh-CN"/>
        </w:rPr>
        <w:t>)</w:t>
      </w:r>
      <w:r w:rsidRPr="00873B6C">
        <w:rPr>
          <w:lang w:eastAsia="zh-CN"/>
        </w:rPr>
        <w:t xml:space="preserve"> supports the following functionality:</w:t>
      </w:r>
    </w:p>
    <w:p w14:paraId="7EF6B261" w14:textId="1BF212AB" w:rsidR="00055D0B" w:rsidRPr="00873B6C" w:rsidRDefault="00055D0B" w:rsidP="00562E84">
      <w:pPr>
        <w:pStyle w:val="B1"/>
        <w:rPr>
          <w:lang w:eastAsia="zh-CN"/>
        </w:rPr>
      </w:pPr>
      <w:r w:rsidRPr="00873B6C">
        <w:rPr>
          <w:lang w:eastAsia="zh-CN"/>
        </w:rPr>
        <w:t>-</w:t>
      </w:r>
      <w:r w:rsidRPr="00873B6C">
        <w:rPr>
          <w:lang w:eastAsia="zh-CN"/>
        </w:rPr>
        <w:tab/>
        <w:t>Associating the time synchronization service request</w:t>
      </w:r>
      <w:r w:rsidR="005309E6" w:rsidRPr="00873B6C">
        <w:rPr>
          <w:lang w:eastAsia="zh-CN"/>
        </w:rPr>
        <w:t xml:space="preserve"> (see clause 5.27.1.8)</w:t>
      </w:r>
      <w:r w:rsidRPr="00873B6C">
        <w:rPr>
          <w:lang w:eastAsia="zh-CN"/>
        </w:rPr>
        <w:t xml:space="preserve"> from the NF consumer to the AF sessions with the PCF (the session between the PCF and TSCTSF).</w:t>
      </w:r>
    </w:p>
    <w:p w14:paraId="6A04F353" w14:textId="77777777" w:rsidR="007B6EB9" w:rsidRPr="00873B6C" w:rsidRDefault="007B6EB9" w:rsidP="00562E84">
      <w:pPr>
        <w:pStyle w:val="B1"/>
        <w:rPr>
          <w:lang w:eastAsia="zh-CN"/>
        </w:rPr>
      </w:pPr>
      <w:r w:rsidRPr="00873B6C">
        <w:rPr>
          <w:lang w:eastAsia="zh-CN"/>
        </w:rPr>
        <w:t>-</w:t>
      </w:r>
      <w:r w:rsidRPr="00873B6C">
        <w:rPr>
          <w:lang w:eastAsia="zh-CN"/>
        </w:rPr>
        <w:tab/>
        <w:t>Controlling time synchronization service request from the NF consumer, (g)PTP-based time distribution and ASTI-based time distribution based on subscription data. The TSCTSF may be pre-configured with one or several PTP instance configurations. For each PTP instance configuration, it may contain:</w:t>
      </w:r>
    </w:p>
    <w:p w14:paraId="6B113D70" w14:textId="77777777" w:rsidR="007B6EB9" w:rsidRPr="00873B6C" w:rsidRDefault="007B6EB9" w:rsidP="00695DF1">
      <w:pPr>
        <w:pStyle w:val="B2"/>
        <w:rPr>
          <w:lang w:eastAsia="zh-CN"/>
        </w:rPr>
      </w:pPr>
      <w:r w:rsidRPr="00873B6C">
        <w:rPr>
          <w:lang w:eastAsia="zh-CN"/>
        </w:rPr>
        <w:t>-</w:t>
      </w:r>
      <w:r w:rsidRPr="00873B6C">
        <w:rPr>
          <w:lang w:eastAsia="zh-CN"/>
        </w:rPr>
        <w:tab/>
        <w:t>a reference to the PTP instance configuration.</w:t>
      </w:r>
    </w:p>
    <w:p w14:paraId="2AAAB2F6" w14:textId="77777777" w:rsidR="007B6EB9" w:rsidRPr="00873B6C" w:rsidRDefault="007B6EB9" w:rsidP="00695DF1">
      <w:pPr>
        <w:pStyle w:val="B2"/>
        <w:rPr>
          <w:lang w:eastAsia="zh-CN"/>
        </w:rPr>
      </w:pPr>
      <w:r w:rsidRPr="00873B6C">
        <w:rPr>
          <w:lang w:eastAsia="zh-CN"/>
        </w:rPr>
        <w:t>-</w:t>
      </w:r>
      <w:r w:rsidRPr="00873B6C">
        <w:rPr>
          <w:lang w:eastAsia="zh-CN"/>
        </w:rPr>
        <w:tab/>
        <w:t>PTP profile.</w:t>
      </w:r>
    </w:p>
    <w:p w14:paraId="2E203E0F" w14:textId="77777777" w:rsidR="007B6EB9" w:rsidRPr="00873B6C" w:rsidRDefault="007B6EB9" w:rsidP="00695DF1">
      <w:pPr>
        <w:pStyle w:val="B2"/>
        <w:rPr>
          <w:lang w:eastAsia="zh-CN"/>
        </w:rPr>
      </w:pPr>
      <w:r w:rsidRPr="00873B6C">
        <w:rPr>
          <w:lang w:eastAsia="zh-CN"/>
        </w:rPr>
        <w:t>-</w:t>
      </w:r>
      <w:r w:rsidRPr="00873B6C">
        <w:rPr>
          <w:lang w:eastAsia="zh-CN"/>
        </w:rPr>
        <w:tab/>
        <w:t>PTP domain.</w:t>
      </w:r>
    </w:p>
    <w:p w14:paraId="48090FCA" w14:textId="364DAAA9" w:rsidR="003A5CE6" w:rsidRPr="00873B6C" w:rsidRDefault="003A5CE6" w:rsidP="00562E84">
      <w:pPr>
        <w:pStyle w:val="B1"/>
        <w:rPr>
          <w:lang w:eastAsia="zh-CN"/>
        </w:rPr>
      </w:pPr>
      <w:r w:rsidRPr="00873B6C">
        <w:rPr>
          <w:lang w:eastAsia="zh-CN"/>
        </w:rPr>
        <w:t>-</w:t>
      </w:r>
      <w:r w:rsidRPr="00873B6C">
        <w:rPr>
          <w:lang w:eastAsia="zh-CN"/>
        </w:rPr>
        <w:tab/>
        <w:t>Detecting and reporting time synchronization service status based on NG-RAN and UPF/NW-TT timing synchronization status information and reporting status updates.</w:t>
      </w:r>
    </w:p>
    <w:p w14:paraId="30B9B679" w14:textId="1A29936A" w:rsidR="00055D0B" w:rsidRPr="00873B6C" w:rsidRDefault="00055D0B" w:rsidP="00562E84">
      <w:pPr>
        <w:pStyle w:val="B1"/>
        <w:rPr>
          <w:lang w:eastAsia="zh-CN"/>
        </w:rPr>
      </w:pPr>
      <w:r w:rsidRPr="00873B6C">
        <w:rPr>
          <w:lang w:eastAsia="zh-CN"/>
        </w:rPr>
        <w:t>-</w:t>
      </w:r>
      <w:r w:rsidRPr="00873B6C">
        <w:rPr>
          <w:lang w:eastAsia="zh-CN"/>
        </w:rPr>
        <w:tab/>
        <w:t>Managing the DS-TT and NW-TT via exchange of PMIC and UMIC as described in Annex K.</w:t>
      </w:r>
    </w:p>
    <w:p w14:paraId="3158ECC5" w14:textId="5A6C38AE" w:rsidR="00055D0B" w:rsidRPr="00873B6C" w:rsidRDefault="00055D0B" w:rsidP="00562E84">
      <w:pPr>
        <w:pStyle w:val="B1"/>
        <w:rPr>
          <w:lang w:eastAsia="zh-CN"/>
        </w:rPr>
      </w:pPr>
      <w:r w:rsidRPr="00873B6C">
        <w:rPr>
          <w:lang w:eastAsia="zh-CN"/>
        </w:rPr>
        <w:t>-</w:t>
      </w:r>
      <w:r w:rsidRPr="00873B6C">
        <w:rPr>
          <w:lang w:eastAsia="zh-CN"/>
        </w:rPr>
        <w:tab/>
        <w:t xml:space="preserve">Detecting availability of </w:t>
      </w:r>
      <w:r w:rsidR="003F2E5D" w:rsidRPr="00873B6C">
        <w:rPr>
          <w:lang w:eastAsia="zh-CN"/>
        </w:rPr>
        <w:t>5GS B</w:t>
      </w:r>
      <w:r w:rsidRPr="00873B6C">
        <w:rPr>
          <w:lang w:eastAsia="zh-CN"/>
        </w:rPr>
        <w:t>ridge</w:t>
      </w:r>
      <w:r w:rsidR="00E23065" w:rsidRPr="00873B6C">
        <w:rPr>
          <w:lang w:eastAsia="zh-CN"/>
        </w:rPr>
        <w:t>/Router</w:t>
      </w:r>
      <w:r w:rsidRPr="00873B6C">
        <w:rPr>
          <w:lang w:eastAsia="zh-CN"/>
        </w:rPr>
        <w:t xml:space="preserve"> information (including user plane node ID that applies also for IP</w:t>
      </w:r>
      <w:r w:rsidR="003F2E5D" w:rsidRPr="00873B6C">
        <w:rPr>
          <w:lang w:eastAsia="zh-CN"/>
        </w:rPr>
        <w:t xml:space="preserve"> type</w:t>
      </w:r>
      <w:r w:rsidRPr="00873B6C">
        <w:rPr>
          <w:lang w:eastAsia="zh-CN"/>
        </w:rPr>
        <w:t xml:space="preserve"> PDU Sessions) as reported by PCF for both </w:t>
      </w:r>
      <w:r w:rsidR="00426DE4" w:rsidRPr="00873B6C">
        <w:rPr>
          <w:lang w:eastAsia="zh-CN"/>
        </w:rPr>
        <w:t xml:space="preserve">Ethernet </w:t>
      </w:r>
      <w:r w:rsidRPr="00873B6C">
        <w:rPr>
          <w:lang w:eastAsia="zh-CN"/>
        </w:rPr>
        <w:t>and IP</w:t>
      </w:r>
      <w:r w:rsidR="00426DE4" w:rsidRPr="00873B6C">
        <w:rPr>
          <w:lang w:eastAsia="zh-CN"/>
        </w:rPr>
        <w:t xml:space="preserve"> type</w:t>
      </w:r>
      <w:r w:rsidRPr="00873B6C">
        <w:rPr>
          <w:lang w:eastAsia="zh-CN"/>
        </w:rPr>
        <w:t xml:space="preserve"> PDU Session</w:t>
      </w:r>
      <w:r w:rsidR="00426DE4" w:rsidRPr="00873B6C">
        <w:rPr>
          <w:lang w:eastAsia="zh-CN"/>
        </w:rPr>
        <w:t>s</w:t>
      </w:r>
      <w:r w:rsidR="005309E6" w:rsidRPr="00873B6C">
        <w:rPr>
          <w:lang w:eastAsia="zh-CN"/>
        </w:rPr>
        <w:t xml:space="preserve"> (including the need to (un)subscribe 5GS Bridge</w:t>
      </w:r>
      <w:r w:rsidR="00E23065" w:rsidRPr="00873B6C">
        <w:rPr>
          <w:lang w:eastAsia="zh-CN"/>
        </w:rPr>
        <w:t>/Router</w:t>
      </w:r>
      <w:r w:rsidR="005309E6" w:rsidRPr="00873B6C">
        <w:rPr>
          <w:lang w:eastAsia="zh-CN"/>
        </w:rPr>
        <w:t xml:space="preserve"> information Notification from PCF)</w:t>
      </w:r>
      <w:r w:rsidRPr="00873B6C">
        <w:rPr>
          <w:lang w:eastAsia="zh-CN"/>
        </w:rPr>
        <w:t>.</w:t>
      </w:r>
    </w:p>
    <w:p w14:paraId="6D4AF63E" w14:textId="6167707E" w:rsidR="00055D0B" w:rsidRPr="00873B6C" w:rsidRDefault="00055D0B" w:rsidP="00461850">
      <w:pPr>
        <w:pStyle w:val="B1"/>
        <w:rPr>
          <w:lang w:eastAsia="zh-CN"/>
        </w:rPr>
      </w:pPr>
      <w:r w:rsidRPr="00873B6C">
        <w:rPr>
          <w:lang w:eastAsia="zh-CN"/>
        </w:rPr>
        <w:t>-</w:t>
      </w:r>
      <w:r w:rsidRPr="00873B6C">
        <w:rPr>
          <w:lang w:eastAsia="zh-CN"/>
        </w:rPr>
        <w:tab/>
      </w:r>
      <w:r w:rsidR="00426DE4" w:rsidRPr="00873B6C">
        <w:rPr>
          <w:lang w:eastAsia="zh-CN"/>
        </w:rPr>
        <w:t>C</w:t>
      </w:r>
      <w:r w:rsidR="00A46717" w:rsidRPr="00873B6C">
        <w:rPr>
          <w:lang w:eastAsia="zh-CN"/>
        </w:rPr>
        <w:t xml:space="preserve">reating </w:t>
      </w:r>
      <w:r w:rsidR="00426DE4" w:rsidRPr="00873B6C">
        <w:rPr>
          <w:lang w:eastAsia="zh-CN"/>
        </w:rPr>
        <w:t xml:space="preserve">the </w:t>
      </w:r>
      <w:r w:rsidRPr="00873B6C">
        <w:rPr>
          <w:lang w:eastAsia="zh-CN"/>
        </w:rPr>
        <w:t xml:space="preserve">TSC </w:t>
      </w:r>
      <w:r w:rsidR="00426DE4" w:rsidRPr="00873B6C">
        <w:rPr>
          <w:lang w:eastAsia="zh-CN"/>
        </w:rPr>
        <w:t>A</w:t>
      </w:r>
      <w:r w:rsidRPr="00873B6C">
        <w:rPr>
          <w:lang w:eastAsia="zh-CN"/>
        </w:rPr>
        <w:t xml:space="preserve">ssistance </w:t>
      </w:r>
      <w:r w:rsidR="00426DE4" w:rsidRPr="00873B6C">
        <w:rPr>
          <w:lang w:eastAsia="zh-CN"/>
        </w:rPr>
        <w:t>C</w:t>
      </w:r>
      <w:r w:rsidRPr="00873B6C">
        <w:rPr>
          <w:lang w:eastAsia="zh-CN"/>
        </w:rPr>
        <w:t>ontainer based on individual traffic pattern parameters from</w:t>
      </w:r>
      <w:r w:rsidR="00426DE4" w:rsidRPr="00873B6C">
        <w:rPr>
          <w:lang w:eastAsia="zh-CN"/>
        </w:rPr>
        <w:t xml:space="preserve"> the</w:t>
      </w:r>
      <w:r w:rsidRPr="00873B6C">
        <w:rPr>
          <w:lang w:eastAsia="zh-CN"/>
        </w:rPr>
        <w:t xml:space="preserve"> NEF/AF</w:t>
      </w:r>
      <w:r w:rsidR="00E23065" w:rsidRPr="00873B6C">
        <w:rPr>
          <w:lang w:eastAsia="zh-CN"/>
        </w:rPr>
        <w:t xml:space="preserve"> or DetNet controller</w:t>
      </w:r>
      <w:r w:rsidRPr="00873B6C">
        <w:rPr>
          <w:lang w:eastAsia="zh-CN"/>
        </w:rPr>
        <w:t xml:space="preserve"> and </w:t>
      </w:r>
      <w:r w:rsidR="00426DE4" w:rsidRPr="00873B6C">
        <w:rPr>
          <w:lang w:eastAsia="zh-CN"/>
        </w:rPr>
        <w:t xml:space="preserve">providing </w:t>
      </w:r>
      <w:r w:rsidRPr="00873B6C">
        <w:rPr>
          <w:lang w:eastAsia="zh-CN"/>
        </w:rPr>
        <w:t>it to</w:t>
      </w:r>
      <w:r w:rsidR="00426DE4" w:rsidRPr="00873B6C">
        <w:rPr>
          <w:lang w:eastAsia="zh-CN"/>
        </w:rPr>
        <w:t xml:space="preserve"> the</w:t>
      </w:r>
      <w:r w:rsidRPr="00873B6C">
        <w:rPr>
          <w:lang w:eastAsia="zh-CN"/>
        </w:rPr>
        <w:t xml:space="preserve"> PCF.</w:t>
      </w:r>
    </w:p>
    <w:p w14:paraId="71410A20" w14:textId="6F0A9E8C" w:rsidR="00055D0B" w:rsidRPr="00873B6C" w:rsidRDefault="00055D0B" w:rsidP="00461850">
      <w:pPr>
        <w:pStyle w:val="B1"/>
        <w:rPr>
          <w:lang w:eastAsia="zh-CN"/>
        </w:rPr>
      </w:pPr>
      <w:r w:rsidRPr="00873B6C">
        <w:rPr>
          <w:lang w:eastAsia="zh-CN"/>
        </w:rPr>
        <w:t>-</w:t>
      </w:r>
      <w:r w:rsidRPr="00873B6C">
        <w:rPr>
          <w:lang w:eastAsia="zh-CN"/>
        </w:rPr>
        <w:tab/>
      </w:r>
      <w:r w:rsidR="00426DE4" w:rsidRPr="00873B6C">
        <w:rPr>
          <w:lang w:eastAsia="zh-CN"/>
        </w:rPr>
        <w:t>D</w:t>
      </w:r>
      <w:r w:rsidR="00A46717" w:rsidRPr="00873B6C">
        <w:rPr>
          <w:lang w:eastAsia="zh-CN"/>
        </w:rPr>
        <w:t>etermining the</w:t>
      </w:r>
      <w:r w:rsidR="00426DE4" w:rsidRPr="00873B6C">
        <w:rPr>
          <w:lang w:eastAsia="zh-CN"/>
        </w:rPr>
        <w:t xml:space="preserve"> Requested PDB by subtracting</w:t>
      </w:r>
      <w:r w:rsidRPr="00873B6C">
        <w:rPr>
          <w:lang w:eastAsia="zh-CN"/>
        </w:rPr>
        <w:t xml:space="preserve"> the </w:t>
      </w:r>
      <w:r w:rsidR="00426DE4" w:rsidRPr="00873B6C">
        <w:rPr>
          <w:lang w:eastAsia="zh-CN"/>
        </w:rPr>
        <w:t>UE-</w:t>
      </w:r>
      <w:r w:rsidRPr="00873B6C">
        <w:rPr>
          <w:lang w:eastAsia="zh-CN"/>
        </w:rPr>
        <w:t xml:space="preserve">DS-TT </w:t>
      </w:r>
      <w:r w:rsidR="00426DE4" w:rsidRPr="00873B6C">
        <w:rPr>
          <w:lang w:eastAsia="zh-CN"/>
        </w:rPr>
        <w:t>R</w:t>
      </w:r>
      <w:r w:rsidRPr="00873B6C">
        <w:rPr>
          <w:lang w:eastAsia="zh-CN"/>
        </w:rPr>
        <w:t xml:space="preserve">esidence </w:t>
      </w:r>
      <w:r w:rsidR="00426DE4" w:rsidRPr="00873B6C">
        <w:rPr>
          <w:lang w:eastAsia="zh-CN"/>
        </w:rPr>
        <w:t>T</w:t>
      </w:r>
      <w:r w:rsidRPr="00873B6C">
        <w:rPr>
          <w:lang w:eastAsia="zh-CN"/>
        </w:rPr>
        <w:t>ime from the</w:t>
      </w:r>
      <w:r w:rsidR="00426DE4" w:rsidRPr="00873B6C">
        <w:rPr>
          <w:lang w:eastAsia="zh-CN"/>
        </w:rPr>
        <w:t xml:space="preserve"> Requested</w:t>
      </w:r>
      <w:r w:rsidRPr="00873B6C">
        <w:rPr>
          <w:lang w:eastAsia="zh-CN"/>
        </w:rPr>
        <w:t xml:space="preserve"> 5GS </w:t>
      </w:r>
      <w:r w:rsidR="003F2E5D" w:rsidRPr="00873B6C">
        <w:rPr>
          <w:lang w:eastAsia="zh-CN"/>
        </w:rPr>
        <w:t>D</w:t>
      </w:r>
      <w:r w:rsidRPr="00873B6C">
        <w:rPr>
          <w:lang w:eastAsia="zh-CN"/>
        </w:rPr>
        <w:t>elay provided by</w:t>
      </w:r>
      <w:r w:rsidR="00426DE4" w:rsidRPr="00873B6C">
        <w:rPr>
          <w:lang w:eastAsia="zh-CN"/>
        </w:rPr>
        <w:t xml:space="preserve"> the</w:t>
      </w:r>
      <w:r w:rsidRPr="00873B6C">
        <w:rPr>
          <w:lang w:eastAsia="zh-CN"/>
        </w:rPr>
        <w:t xml:space="preserve"> NEF/AF</w:t>
      </w:r>
      <w:r w:rsidR="00E23065" w:rsidRPr="00873B6C">
        <w:rPr>
          <w:lang w:eastAsia="zh-CN"/>
        </w:rPr>
        <w:t xml:space="preserve"> or DetNet controller</w:t>
      </w:r>
      <w:r w:rsidRPr="00873B6C">
        <w:rPr>
          <w:lang w:eastAsia="zh-CN"/>
        </w:rPr>
        <w:t xml:space="preserve"> and </w:t>
      </w:r>
      <w:r w:rsidR="00426DE4" w:rsidRPr="00873B6C">
        <w:rPr>
          <w:lang w:eastAsia="zh-CN"/>
        </w:rPr>
        <w:t xml:space="preserve">providing the determined Requested PDB </w:t>
      </w:r>
      <w:r w:rsidRPr="00873B6C">
        <w:rPr>
          <w:lang w:eastAsia="zh-CN"/>
        </w:rPr>
        <w:t>to</w:t>
      </w:r>
      <w:r w:rsidR="00426DE4" w:rsidRPr="00873B6C">
        <w:rPr>
          <w:lang w:eastAsia="zh-CN"/>
        </w:rPr>
        <w:t xml:space="preserve"> the</w:t>
      </w:r>
      <w:r w:rsidRPr="00873B6C">
        <w:rPr>
          <w:lang w:eastAsia="zh-CN"/>
        </w:rPr>
        <w:t xml:space="preserve"> PCF.</w:t>
      </w:r>
    </w:p>
    <w:p w14:paraId="7596B17A" w14:textId="3C5EA47D" w:rsidR="001151EB" w:rsidRPr="00873B6C" w:rsidRDefault="001151EB" w:rsidP="001151EB">
      <w:pPr>
        <w:pStyle w:val="B1"/>
        <w:rPr>
          <w:lang w:eastAsia="zh-CN"/>
        </w:rPr>
      </w:pPr>
      <w:r w:rsidRPr="00873B6C">
        <w:rPr>
          <w:lang w:eastAsia="zh-CN"/>
        </w:rPr>
        <w:t>-</w:t>
      </w:r>
      <w:r w:rsidRPr="00873B6C">
        <w:rPr>
          <w:lang w:eastAsia="zh-CN"/>
        </w:rPr>
        <w:tab/>
        <w:t>Discovering the AMFs serving the list of TA(s) that comprise the spatial validity condition from the NRF</w:t>
      </w:r>
      <w:r w:rsidR="00FB6BEB" w:rsidRPr="00873B6C">
        <w:rPr>
          <w:lang w:eastAsia="zh-CN"/>
        </w:rPr>
        <w:t xml:space="preserve"> or AMFs serving the UE(s) from the UDM</w:t>
      </w:r>
      <w:r w:rsidRPr="00873B6C">
        <w:rPr>
          <w:lang w:eastAsia="zh-CN"/>
        </w:rPr>
        <w:t xml:space="preserve"> and subscribing to the discovered AMF(s) to receive notifications about presence of the UE in an Area of Interes</w:t>
      </w:r>
      <w:r w:rsidR="00F13E92" w:rsidRPr="00873B6C">
        <w:rPr>
          <w:lang w:eastAsia="zh-CN"/>
        </w:rPr>
        <w:t>t</w:t>
      </w:r>
      <w:r w:rsidRPr="00873B6C">
        <w:rPr>
          <w:lang w:eastAsia="zh-CN"/>
        </w:rPr>
        <w:t>.</w:t>
      </w:r>
    </w:p>
    <w:p w14:paraId="59F476F1" w14:textId="77777777" w:rsidR="00386935" w:rsidRPr="00873B6C" w:rsidRDefault="00386935" w:rsidP="001151EB">
      <w:pPr>
        <w:pStyle w:val="B1"/>
        <w:rPr>
          <w:lang w:eastAsia="zh-CN"/>
        </w:rPr>
      </w:pPr>
      <w:r w:rsidRPr="00873B6C">
        <w:rPr>
          <w:lang w:eastAsia="zh-CN"/>
        </w:rPr>
        <w:t>-</w:t>
      </w:r>
      <w:r w:rsidRPr="00873B6C">
        <w:rPr>
          <w:lang w:eastAsia="zh-CN"/>
        </w:rPr>
        <w:tab/>
        <w:t>Discovering the AMF(s) serving a UE or a list of TA(s) and subscribing to gNB's node-level timing synchronization status.</w:t>
      </w:r>
    </w:p>
    <w:p w14:paraId="68FCB3B6" w14:textId="77777777" w:rsidR="00386935" w:rsidRPr="00873B6C" w:rsidRDefault="00386935" w:rsidP="001151EB">
      <w:pPr>
        <w:pStyle w:val="B1"/>
        <w:rPr>
          <w:lang w:eastAsia="zh-CN"/>
        </w:rPr>
      </w:pPr>
      <w:r w:rsidRPr="00873B6C">
        <w:rPr>
          <w:lang w:eastAsia="zh-CN"/>
        </w:rPr>
        <w:t>-</w:t>
      </w:r>
      <w:r w:rsidRPr="00873B6C">
        <w:rPr>
          <w:lang w:eastAsia="zh-CN"/>
        </w:rPr>
        <w:tab/>
        <w:t>Obtaining gNB's and UPF's node-level timing synchronization status information as defined in clause 5.27.1.12.</w:t>
      </w:r>
    </w:p>
    <w:p w14:paraId="3DFAFE1E" w14:textId="1283E534" w:rsidR="001151EB" w:rsidRPr="00873B6C" w:rsidRDefault="001151EB" w:rsidP="001151EB">
      <w:pPr>
        <w:pStyle w:val="B1"/>
        <w:rPr>
          <w:lang w:eastAsia="zh-CN"/>
        </w:rPr>
      </w:pPr>
      <w:r w:rsidRPr="00873B6C">
        <w:rPr>
          <w:lang w:eastAsia="zh-CN"/>
        </w:rPr>
        <w:t>-</w:t>
      </w:r>
      <w:r w:rsidRPr="00873B6C">
        <w:rPr>
          <w:lang w:eastAsia="zh-CN"/>
        </w:rPr>
        <w:tab/>
        <w:t>Determining the spatial validity condition from the requested coverage area by the NEF/AF and enforcing time synchronization service for the requested coverage area.</w:t>
      </w:r>
    </w:p>
    <w:p w14:paraId="2973195D" w14:textId="77777777" w:rsidR="00B7083B" w:rsidRPr="00873B6C" w:rsidRDefault="00B7083B" w:rsidP="00B7083B">
      <w:pPr>
        <w:pStyle w:val="B1"/>
        <w:rPr>
          <w:lang w:eastAsia="zh-CN"/>
        </w:rPr>
      </w:pPr>
      <w:r w:rsidRPr="00873B6C">
        <w:rPr>
          <w:lang w:eastAsia="zh-CN"/>
        </w:rPr>
        <w:t>-</w:t>
      </w:r>
      <w:r w:rsidRPr="00873B6C">
        <w:rPr>
          <w:lang w:eastAsia="zh-CN"/>
        </w:rPr>
        <w:tab/>
        <w:t>Support for RAN feedback for BAT offset and adjusted periodicity as defined in clause 5.27.2.5.</w:t>
      </w:r>
    </w:p>
    <w:p w14:paraId="70AA8870" w14:textId="3540A3F0" w:rsidR="00E23065" w:rsidRPr="00873B6C" w:rsidRDefault="00E23065" w:rsidP="00E23065">
      <w:pPr>
        <w:pStyle w:val="B1"/>
        <w:rPr>
          <w:lang w:eastAsia="zh-CN"/>
        </w:rPr>
      </w:pPr>
      <w:r w:rsidRPr="00873B6C">
        <w:rPr>
          <w:lang w:eastAsia="zh-CN"/>
        </w:rPr>
        <w:t>-</w:t>
      </w:r>
      <w:r w:rsidRPr="00873B6C">
        <w:rPr>
          <w:lang w:eastAsia="zh-CN"/>
        </w:rPr>
        <w:tab/>
        <w:t xml:space="preserve">In </w:t>
      </w:r>
      <w:r w:rsidR="002062D8" w:rsidRPr="00873B6C">
        <w:rPr>
          <w:lang w:eastAsia="zh-CN"/>
        </w:rPr>
        <w:t xml:space="preserve">the </w:t>
      </w:r>
      <w:r w:rsidRPr="00873B6C">
        <w:rPr>
          <w:lang w:eastAsia="zh-CN"/>
        </w:rPr>
        <w:t>case of support of integration with IETF Deterministic Networking (as depicted in clauses 4.4.8.4 and 5.28.5), acting as a stateful translator function between a DetNet controller and 5G System Network Functions and Procedures, including the NW-TT. This includes exposing the information about the 5GS router to the DetNet controller and mapping 5GS router configuration parameters provided by the DetNet controller to 5G System parameters. The details are defined in clause 5.28.5.</w:t>
      </w:r>
    </w:p>
    <w:p w14:paraId="232D29D3" w14:textId="33108DA7" w:rsidR="00160667" w:rsidRPr="00873B6C" w:rsidRDefault="00160667" w:rsidP="00160667">
      <w:pPr>
        <w:pStyle w:val="Heading3"/>
        <w:rPr>
          <w:lang w:eastAsia="zh-CN"/>
        </w:rPr>
      </w:pPr>
      <w:bookmarkStart w:id="5533" w:name="_CR6_2_30"/>
      <w:bookmarkStart w:id="5534" w:name="_Toc201157763"/>
      <w:bookmarkEnd w:id="5533"/>
      <w:r w:rsidRPr="00873B6C">
        <w:rPr>
          <w:lang w:eastAsia="zh-CN"/>
        </w:rPr>
        <w:t>6.2.30</w:t>
      </w:r>
      <w:r w:rsidRPr="00873B6C">
        <w:rPr>
          <w:lang w:eastAsia="zh-CN"/>
        </w:rPr>
        <w:tab/>
        <w:t>5G DDNMF</w:t>
      </w:r>
      <w:bookmarkEnd w:id="5534"/>
    </w:p>
    <w:p w14:paraId="0A406219" w14:textId="34FD5C0D" w:rsidR="00160667" w:rsidRPr="00873B6C" w:rsidRDefault="00160667" w:rsidP="00562E84">
      <w:pPr>
        <w:rPr>
          <w:lang w:eastAsia="zh-CN"/>
        </w:rPr>
      </w:pPr>
      <w:r w:rsidRPr="00873B6C">
        <w:rPr>
          <w:lang w:eastAsia="zh-CN"/>
        </w:rPr>
        <w:t xml:space="preserve">The functionality of 5G DDNMF is defined in </w:t>
      </w:r>
      <w:r w:rsidR="00972E70" w:rsidRPr="00873B6C">
        <w:rPr>
          <w:lang w:eastAsia="zh-CN"/>
        </w:rPr>
        <w:t>TS 23.304 [</w:t>
      </w:r>
      <w:r w:rsidRPr="00873B6C">
        <w:rPr>
          <w:lang w:eastAsia="zh-CN"/>
        </w:rPr>
        <w:t>128].</w:t>
      </w:r>
    </w:p>
    <w:p w14:paraId="161F52AF" w14:textId="73F7421D" w:rsidR="00C84B6D" w:rsidRPr="00873B6C" w:rsidRDefault="00C84B6D" w:rsidP="00C84B6D">
      <w:pPr>
        <w:pStyle w:val="Heading3"/>
        <w:rPr>
          <w:lang w:eastAsia="zh-CN"/>
        </w:rPr>
      </w:pPr>
      <w:bookmarkStart w:id="5535" w:name="_CR6_2_31"/>
      <w:bookmarkStart w:id="5536" w:name="_Toc201157764"/>
      <w:bookmarkEnd w:id="5535"/>
      <w:r w:rsidRPr="00873B6C">
        <w:rPr>
          <w:lang w:eastAsia="zh-CN"/>
        </w:rPr>
        <w:t>6.2.31</w:t>
      </w:r>
      <w:r w:rsidRPr="00873B6C">
        <w:rPr>
          <w:lang w:eastAsia="zh-CN"/>
        </w:rPr>
        <w:tab/>
        <w:t>EASDF</w:t>
      </w:r>
      <w:bookmarkEnd w:id="5536"/>
    </w:p>
    <w:p w14:paraId="6FB049BE" w14:textId="278797C1" w:rsidR="00C84B6D" w:rsidRPr="00873B6C" w:rsidRDefault="00C84B6D" w:rsidP="00562E84">
      <w:pPr>
        <w:rPr>
          <w:lang w:eastAsia="zh-CN"/>
        </w:rPr>
      </w:pPr>
      <w:r w:rsidRPr="00873B6C">
        <w:rPr>
          <w:lang w:eastAsia="zh-CN"/>
        </w:rPr>
        <w:t xml:space="preserve">The functionality of EASDF is defined in </w:t>
      </w:r>
      <w:r w:rsidR="00972E70" w:rsidRPr="00873B6C">
        <w:rPr>
          <w:lang w:eastAsia="zh-CN"/>
        </w:rPr>
        <w:t>TS 23.548 [</w:t>
      </w:r>
      <w:r w:rsidRPr="00873B6C">
        <w:rPr>
          <w:lang w:eastAsia="zh-CN"/>
        </w:rPr>
        <w:t>130].</w:t>
      </w:r>
    </w:p>
    <w:p w14:paraId="3126BF91" w14:textId="24C37180" w:rsidR="007B3699" w:rsidRPr="00873B6C" w:rsidRDefault="007B3699" w:rsidP="007B3699">
      <w:pPr>
        <w:pStyle w:val="Heading3"/>
        <w:rPr>
          <w:lang w:eastAsia="zh-CN"/>
        </w:rPr>
      </w:pPr>
      <w:bookmarkStart w:id="5537" w:name="_CR6_2_32"/>
      <w:bookmarkStart w:id="5538" w:name="_Toc201157765"/>
      <w:bookmarkEnd w:id="5537"/>
      <w:r w:rsidRPr="00873B6C">
        <w:rPr>
          <w:lang w:eastAsia="zh-CN"/>
        </w:rPr>
        <w:lastRenderedPageBreak/>
        <w:t>6.2.32</w:t>
      </w:r>
      <w:r w:rsidRPr="00873B6C">
        <w:rPr>
          <w:lang w:eastAsia="zh-CN"/>
        </w:rPr>
        <w:tab/>
        <w:t>TSN AF</w:t>
      </w:r>
      <w:bookmarkEnd w:id="5538"/>
    </w:p>
    <w:p w14:paraId="6DBA257A" w14:textId="688D16E5" w:rsidR="007B3699" w:rsidRPr="00873B6C" w:rsidRDefault="007B3699" w:rsidP="007B3699">
      <w:pPr>
        <w:rPr>
          <w:lang w:eastAsia="zh-CN"/>
        </w:rPr>
      </w:pPr>
      <w:r w:rsidRPr="00873B6C">
        <w:rPr>
          <w:lang w:eastAsia="zh-CN"/>
        </w:rPr>
        <w:t>The TSN AF supports control plane translator functionality for the integration of the 5GS with a TSN network, this involves e.g.:</w:t>
      </w:r>
    </w:p>
    <w:p w14:paraId="47EE4F4A" w14:textId="77777777" w:rsidR="007B3699" w:rsidRPr="00873B6C" w:rsidRDefault="007B3699" w:rsidP="00C74FFE">
      <w:pPr>
        <w:pStyle w:val="B1"/>
        <w:rPr>
          <w:lang w:eastAsia="zh-CN"/>
        </w:rPr>
      </w:pPr>
      <w:r w:rsidRPr="00873B6C">
        <w:rPr>
          <w:lang w:eastAsia="zh-CN"/>
        </w:rPr>
        <w:t>-</w:t>
      </w:r>
      <w:r w:rsidRPr="00873B6C">
        <w:rPr>
          <w:lang w:eastAsia="zh-CN"/>
        </w:rPr>
        <w:tab/>
        <w:t>5GS Bridge management.</w:t>
      </w:r>
    </w:p>
    <w:p w14:paraId="5AB06FF9" w14:textId="77777777" w:rsidR="007B3699" w:rsidRPr="00873B6C" w:rsidRDefault="007B3699" w:rsidP="00C74FFE">
      <w:pPr>
        <w:pStyle w:val="B1"/>
        <w:rPr>
          <w:lang w:eastAsia="zh-CN"/>
        </w:rPr>
      </w:pPr>
      <w:r w:rsidRPr="00873B6C">
        <w:rPr>
          <w:lang w:eastAsia="zh-CN"/>
        </w:rPr>
        <w:t>-</w:t>
      </w:r>
      <w:r w:rsidRPr="00873B6C">
        <w:rPr>
          <w:lang w:eastAsia="zh-CN"/>
        </w:rPr>
        <w:tab/>
        <w:t>Port and bridge management information exchange with DS-TT or NW-TT.</w:t>
      </w:r>
    </w:p>
    <w:p w14:paraId="2581B484" w14:textId="77777777" w:rsidR="007B3699" w:rsidRPr="00873B6C" w:rsidRDefault="007B3699" w:rsidP="00C74FFE">
      <w:pPr>
        <w:pStyle w:val="B1"/>
        <w:rPr>
          <w:lang w:eastAsia="zh-CN"/>
        </w:rPr>
      </w:pPr>
      <w:r w:rsidRPr="00873B6C">
        <w:rPr>
          <w:lang w:eastAsia="zh-CN"/>
        </w:rPr>
        <w:t>-</w:t>
      </w:r>
      <w:r w:rsidRPr="00873B6C">
        <w:rPr>
          <w:lang w:eastAsia="zh-CN"/>
        </w:rPr>
        <w:tab/>
        <w:t>Interactions with the CNC for 5GS Bridge configuration and reporting.</w:t>
      </w:r>
    </w:p>
    <w:p w14:paraId="448B11F7" w14:textId="5EEB2DA6" w:rsidR="007B3699" w:rsidRPr="00873B6C" w:rsidRDefault="007B3699" w:rsidP="00C74FFE">
      <w:pPr>
        <w:pStyle w:val="B1"/>
        <w:rPr>
          <w:lang w:eastAsia="zh-CN"/>
        </w:rPr>
      </w:pPr>
      <w:r w:rsidRPr="00873B6C">
        <w:rPr>
          <w:lang w:eastAsia="zh-CN"/>
        </w:rPr>
        <w:t>-</w:t>
      </w:r>
      <w:r w:rsidRPr="00873B6C">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Pr="00873B6C" w:rsidRDefault="00D45059" w:rsidP="00D45059">
      <w:pPr>
        <w:pStyle w:val="Heading3"/>
        <w:rPr>
          <w:lang w:eastAsia="zh-CN"/>
        </w:rPr>
      </w:pPr>
      <w:bookmarkStart w:id="5539" w:name="_CR6_2_33"/>
      <w:bookmarkStart w:id="5540" w:name="_Toc201157766"/>
      <w:bookmarkEnd w:id="5539"/>
      <w:r w:rsidRPr="00873B6C">
        <w:rPr>
          <w:lang w:eastAsia="zh-CN"/>
        </w:rPr>
        <w:t>6.2.33</w:t>
      </w:r>
      <w:r w:rsidRPr="00873B6C">
        <w:rPr>
          <w:lang w:eastAsia="zh-CN"/>
        </w:rPr>
        <w:tab/>
        <w:t>NSWOF</w:t>
      </w:r>
      <w:bookmarkEnd w:id="5540"/>
    </w:p>
    <w:p w14:paraId="62582E06" w14:textId="37202780" w:rsidR="00D45059" w:rsidRPr="00873B6C" w:rsidRDefault="00D45059" w:rsidP="0073598F">
      <w:pPr>
        <w:rPr>
          <w:lang w:eastAsia="zh-CN"/>
        </w:rPr>
      </w:pPr>
      <w:r w:rsidRPr="00873B6C">
        <w:rPr>
          <w:lang w:eastAsia="zh-CN"/>
        </w:rPr>
        <w:t xml:space="preserve">The NSWOF interfaces the WLAN access network using the SWa interface as defined in </w:t>
      </w:r>
      <w:r w:rsidR="00972E70" w:rsidRPr="00873B6C">
        <w:rPr>
          <w:lang w:eastAsia="zh-CN"/>
        </w:rPr>
        <w:t>TS 23.402 [</w:t>
      </w:r>
      <w:r w:rsidRPr="00873B6C">
        <w:rPr>
          <w:lang w:eastAsia="zh-CN"/>
        </w:rPr>
        <w:t>43] and interfaces the AUSF using the Nausf SBI performing protocol translation and AUSF discovery (see clause 6.3.4).</w:t>
      </w:r>
    </w:p>
    <w:p w14:paraId="6103CAB0" w14:textId="77777777" w:rsidR="00D40151" w:rsidRPr="00873B6C" w:rsidRDefault="00D40151" w:rsidP="00D40151">
      <w:pPr>
        <w:pStyle w:val="Heading2"/>
      </w:pPr>
      <w:bookmarkStart w:id="5541" w:name="_CR6_3"/>
      <w:bookmarkStart w:id="5542" w:name="_Toc201157767"/>
      <w:bookmarkEnd w:id="5541"/>
      <w:r w:rsidRPr="00873B6C">
        <w:t>6.3</w:t>
      </w:r>
      <w:r w:rsidRPr="00873B6C">
        <w:tab/>
        <w:t>Principles for Network Function and Network Function Service discovery and selection</w:t>
      </w:r>
      <w:bookmarkEnd w:id="5498"/>
      <w:bookmarkEnd w:id="5503"/>
      <w:bookmarkEnd w:id="5510"/>
      <w:bookmarkEnd w:id="5512"/>
      <w:bookmarkEnd w:id="5513"/>
      <w:bookmarkEnd w:id="5514"/>
      <w:bookmarkEnd w:id="5542"/>
    </w:p>
    <w:p w14:paraId="6983BA92" w14:textId="77777777" w:rsidR="00D40151" w:rsidRPr="00873B6C" w:rsidRDefault="00D40151" w:rsidP="00D40151">
      <w:pPr>
        <w:pStyle w:val="Heading3"/>
        <w:rPr>
          <w:lang w:eastAsia="zh-CN"/>
        </w:rPr>
      </w:pPr>
      <w:bookmarkStart w:id="5543" w:name="_CR6_3_1"/>
      <w:bookmarkStart w:id="5544" w:name="_Toc20150210"/>
      <w:bookmarkStart w:id="5545" w:name="_Toc27847018"/>
      <w:bookmarkStart w:id="5546" w:name="_Toc36188150"/>
      <w:bookmarkStart w:id="5547" w:name="_Toc45184061"/>
      <w:bookmarkStart w:id="5548" w:name="_Toc47342903"/>
      <w:bookmarkStart w:id="5549" w:name="_Toc51769605"/>
      <w:bookmarkStart w:id="5550" w:name="_Toc201157768"/>
      <w:bookmarkEnd w:id="5543"/>
      <w:r w:rsidRPr="00873B6C">
        <w:rPr>
          <w:lang w:eastAsia="zh-CN"/>
        </w:rPr>
        <w:t>6.3.1</w:t>
      </w:r>
      <w:r w:rsidRPr="00873B6C">
        <w:rPr>
          <w:lang w:eastAsia="zh-CN"/>
        </w:rPr>
        <w:tab/>
        <w:t>General</w:t>
      </w:r>
      <w:bookmarkEnd w:id="5544"/>
      <w:bookmarkEnd w:id="5545"/>
      <w:bookmarkEnd w:id="5546"/>
      <w:bookmarkEnd w:id="5547"/>
      <w:bookmarkEnd w:id="5548"/>
      <w:bookmarkEnd w:id="5549"/>
      <w:bookmarkEnd w:id="5550"/>
    </w:p>
    <w:p w14:paraId="7D995DCF" w14:textId="1FA4B4DF" w:rsidR="00D40151" w:rsidRPr="00873B6C" w:rsidRDefault="00D40151" w:rsidP="00D40151">
      <w:pPr>
        <w:rPr>
          <w:lang w:eastAsia="zh-CN"/>
        </w:rPr>
      </w:pPr>
      <w:r w:rsidRPr="00873B6C">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873B6C">
        <w:rPr>
          <w:lang w:eastAsia="zh-CN"/>
        </w:rPr>
        <w:t xml:space="preserve"> clauses 4.17.4, 4.17.5, 4.17.9 and 4.17.10</w:t>
      </w:r>
      <w:r w:rsidRPr="00873B6C">
        <w:rPr>
          <w:lang w:eastAsia="zh-CN"/>
        </w:rPr>
        <w:t xml:space="preserve"> </w:t>
      </w:r>
      <w:r w:rsidR="00131D56" w:rsidRPr="00873B6C">
        <w:rPr>
          <w:lang w:eastAsia="zh-CN"/>
        </w:rPr>
        <w:t xml:space="preserve">of </w:t>
      </w:r>
      <w:r w:rsidR="00972E70" w:rsidRPr="00873B6C">
        <w:rPr>
          <w:lang w:eastAsia="zh-CN"/>
        </w:rPr>
        <w:t>TS 23.502 [</w:t>
      </w:r>
      <w:r w:rsidRPr="00873B6C">
        <w:rPr>
          <w:lang w:eastAsia="zh-CN"/>
        </w:rPr>
        <w:t>3].</w:t>
      </w:r>
    </w:p>
    <w:p w14:paraId="7FB0C82E" w14:textId="77777777" w:rsidR="00D40151" w:rsidRPr="00873B6C" w:rsidRDefault="00D40151" w:rsidP="00D40151">
      <w:pPr>
        <w:rPr>
          <w:lang w:eastAsia="zh-CN"/>
        </w:rPr>
      </w:pPr>
      <w:r w:rsidRPr="00873B6C">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873B6C">
        <w:t xml:space="preserve"> </w:t>
      </w:r>
      <w:r w:rsidRPr="00873B6C">
        <w:rPr>
          <w:lang w:eastAsia="zh-CN"/>
        </w:rPr>
        <w:t>is the logical function that is used to support the functionality of NF and NF service discovery and status notification as specified in clause 6.2.6.</w:t>
      </w:r>
    </w:p>
    <w:p w14:paraId="3BFC81D3" w14:textId="77777777" w:rsidR="00D40151" w:rsidRPr="00873B6C" w:rsidRDefault="00D40151" w:rsidP="00D40151">
      <w:pPr>
        <w:pStyle w:val="NO"/>
        <w:rPr>
          <w:lang w:eastAsia="zh-CN"/>
        </w:rPr>
      </w:pPr>
      <w:r w:rsidRPr="00873B6C">
        <w:rPr>
          <w:lang w:eastAsia="zh-CN"/>
        </w:rPr>
        <w:t>NOTE 1:</w:t>
      </w:r>
      <w:r w:rsidRPr="00873B6C">
        <w:rPr>
          <w:lang w:eastAsia="zh-CN"/>
        </w:rPr>
        <w:tab/>
        <w:t>NRF can be colocated together with SCP e.g. for communication option D, depicted in Annex E.</w:t>
      </w:r>
    </w:p>
    <w:p w14:paraId="610D51E5" w14:textId="76D3C840" w:rsidR="00D40151" w:rsidRPr="00873B6C" w:rsidRDefault="00D40151" w:rsidP="00D40151">
      <w:pPr>
        <w:rPr>
          <w:lang w:eastAsia="zh-CN"/>
        </w:rPr>
      </w:pPr>
      <w:r w:rsidRPr="00873B6C">
        <w:rPr>
          <w:lang w:eastAsia="zh-CN"/>
        </w:rPr>
        <w:t xml:space="preserve">In order for the requested NF type or NF service to be discovered via the NRF, the NF instance need to be registered in the NRF. This is done by sending a </w:t>
      </w:r>
      <w:r w:rsidRPr="00873B6C">
        <w:rPr>
          <w:noProof/>
          <w:lang w:eastAsia="zh-CN"/>
        </w:rPr>
        <w:t>Nnrf_NFManagement_NFRegister</w:t>
      </w:r>
      <w:r w:rsidRPr="00873B6C">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873B6C">
        <w:rPr>
          <w:lang w:eastAsia="zh-CN"/>
        </w:rPr>
        <w:t xml:space="preserve"> clause 4.17.1</w:t>
      </w:r>
      <w:r w:rsidRPr="00873B6C">
        <w:rPr>
          <w:lang w:eastAsia="zh-CN"/>
        </w:rPr>
        <w:t xml:space="preserve"> </w:t>
      </w:r>
      <w:r w:rsidR="00131D56" w:rsidRPr="00873B6C">
        <w:rPr>
          <w:lang w:eastAsia="zh-CN"/>
        </w:rPr>
        <w:t xml:space="preserve">of </w:t>
      </w:r>
      <w:r w:rsidR="00972E70" w:rsidRPr="00873B6C">
        <w:rPr>
          <w:lang w:eastAsia="zh-CN"/>
        </w:rPr>
        <w:t>TS 23.502 [</w:t>
      </w:r>
      <w:r w:rsidRPr="00873B6C">
        <w:rPr>
          <w:lang w:eastAsia="zh-CN"/>
        </w:rPr>
        <w:t>3].</w:t>
      </w:r>
    </w:p>
    <w:p w14:paraId="570B9AA7" w14:textId="364888F7" w:rsidR="00D40151" w:rsidRPr="00873B6C" w:rsidRDefault="00D40151" w:rsidP="00D40151">
      <w:pPr>
        <w:rPr>
          <w:lang w:eastAsia="zh-CN"/>
        </w:rPr>
      </w:pPr>
      <w:r w:rsidRPr="00873B6C">
        <w:rPr>
          <w:lang w:eastAsia="zh-CN"/>
        </w:rPr>
        <w:t>In order for the requester NF or SCP to obtain information about the NF and/or NF service(s) registered or configured in a PLMN/slice, based on local configuration the</w:t>
      </w:r>
      <w:r w:rsidRPr="00873B6C">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873B6C">
        <w:rPr>
          <w:lang w:eastAsia="zh-CN"/>
        </w:rPr>
        <w:t xml:space="preserve"> For the detailed service parameter(s) used for specific NF and NF service discovery refer to clause 5.2.7.3.2 of </w:t>
      </w:r>
      <w:r w:rsidR="00972E70" w:rsidRPr="00873B6C">
        <w:rPr>
          <w:lang w:eastAsia="zh-CN"/>
        </w:rPr>
        <w:t>TS 23.502 [</w:t>
      </w:r>
      <w:r w:rsidRPr="00873B6C">
        <w:rPr>
          <w:lang w:eastAsia="zh-CN"/>
        </w:rPr>
        <w:t>3]. The requester NF may also provide NF Set related information to enable reselection of NF instances within the NF set.</w:t>
      </w:r>
      <w:r w:rsidR="00DF6095" w:rsidRPr="00873B6C">
        <w:rPr>
          <w:lang w:eastAsia="zh-CN"/>
        </w:rPr>
        <w:t xml:space="preserve"> The requester NF may also provide the required supported features of the NF.</w:t>
      </w:r>
    </w:p>
    <w:p w14:paraId="7338D80D" w14:textId="77777777" w:rsidR="00D40151" w:rsidRPr="00873B6C" w:rsidRDefault="00D40151" w:rsidP="00D40151">
      <w:pPr>
        <w:rPr>
          <w:lang w:eastAsia="zh-CN"/>
        </w:rPr>
      </w:pPr>
      <w:r w:rsidRPr="00873B6C">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873B6C" w:rsidRDefault="00D40151" w:rsidP="00D40151">
      <w:pPr>
        <w:rPr>
          <w:lang w:eastAsia="zh-CN"/>
        </w:rPr>
      </w:pPr>
      <w:r w:rsidRPr="00873B6C">
        <w:rPr>
          <w:lang w:eastAsia="zh-CN"/>
        </w:rPr>
        <w:t>In the case of Indirect Communication, a NF Service Consumer employs an SCP which routes the request to the intended target of the request.</w:t>
      </w:r>
    </w:p>
    <w:p w14:paraId="3A346ADB" w14:textId="77777777" w:rsidR="00D40151" w:rsidRPr="00873B6C" w:rsidRDefault="00D40151" w:rsidP="00D40151">
      <w:pPr>
        <w:rPr>
          <w:lang w:eastAsia="zh-CN"/>
        </w:rPr>
      </w:pPr>
      <w:r w:rsidRPr="00873B6C">
        <w:rPr>
          <w:lang w:eastAsia="zh-CN"/>
        </w:rPr>
        <w:lastRenderedPageBreak/>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873B6C" w:rsidRDefault="00D40151" w:rsidP="00D40151">
      <w:pPr>
        <w:pStyle w:val="NO"/>
        <w:rPr>
          <w:lang w:eastAsia="zh-CN"/>
        </w:rPr>
      </w:pPr>
      <w:r w:rsidRPr="00873B6C">
        <w:rPr>
          <w:lang w:eastAsia="zh-CN"/>
        </w:rPr>
        <w:t>NOTE 2:</w:t>
      </w:r>
      <w:r w:rsidRPr="00873B6C">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873B6C" w:rsidRDefault="00D40151" w:rsidP="00D40151">
      <w:pPr>
        <w:rPr>
          <w:lang w:eastAsia="zh-CN"/>
        </w:rPr>
      </w:pPr>
      <w:r w:rsidRPr="00873B6C">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B07F0B8" w:rsidR="00D40151" w:rsidRPr="00873B6C" w:rsidRDefault="00D40151" w:rsidP="00D40151">
      <w:pPr>
        <w:pStyle w:val="NO"/>
        <w:rPr>
          <w:lang w:eastAsia="zh-CN"/>
        </w:rPr>
      </w:pPr>
      <w:r w:rsidRPr="00873B6C">
        <w:rPr>
          <w:lang w:eastAsia="zh-CN"/>
        </w:rPr>
        <w:t>NOTE 3:</w:t>
      </w:r>
      <w:r w:rsidRPr="00873B6C">
        <w:rPr>
          <w:lang w:eastAsia="zh-CN"/>
        </w:rPr>
        <w:tab/>
        <w:t xml:space="preserve">Refer to </w:t>
      </w:r>
      <w:r w:rsidR="00972E70" w:rsidRPr="00873B6C">
        <w:rPr>
          <w:lang w:eastAsia="zh-CN"/>
        </w:rPr>
        <w:t>TS 29.510 [</w:t>
      </w:r>
      <w:r w:rsidRPr="00873B6C">
        <w:rPr>
          <w:lang w:eastAsia="zh-CN"/>
        </w:rPr>
        <w:t>58] for details on using the validity period.</w:t>
      </w:r>
    </w:p>
    <w:p w14:paraId="20F2C25F" w14:textId="50830BB8" w:rsidR="00D40151" w:rsidRPr="00873B6C" w:rsidRDefault="00D40151" w:rsidP="00D40151">
      <w:pPr>
        <w:rPr>
          <w:lang w:eastAsia="zh-CN"/>
        </w:rPr>
      </w:pPr>
      <w:r w:rsidRPr="00873B6C">
        <w:rPr>
          <w:lang w:eastAsia="zh-CN"/>
        </w:rPr>
        <w:t>In the case of Direct Communication, the requester NF uses the discovery result to select NF instance and a NF service instance that is able to provide a requested NF Service (e.</w:t>
      </w:r>
      <w:r w:rsidR="000E35F2" w:rsidRPr="00873B6C">
        <w:rPr>
          <w:lang w:eastAsia="zh-CN"/>
        </w:rPr>
        <w:t>g.</w:t>
      </w:r>
      <w:r w:rsidRPr="00873B6C">
        <w:rPr>
          <w:lang w:eastAsia="zh-CN"/>
        </w:rPr>
        <w:t xml:space="preserve"> a service instance of the PCF that can provide Policy Authorization).</w:t>
      </w:r>
    </w:p>
    <w:p w14:paraId="1C178C62" w14:textId="77777777" w:rsidR="00D40151" w:rsidRPr="00873B6C" w:rsidRDefault="00D40151" w:rsidP="00D40151">
      <w:pPr>
        <w:rPr>
          <w:lang w:eastAsia="zh-CN"/>
        </w:rPr>
      </w:pPr>
      <w:r w:rsidRPr="00873B6C">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873B6C" w:rsidRDefault="00D40151" w:rsidP="00D40151">
      <w:pPr>
        <w:rPr>
          <w:lang w:eastAsia="zh-CN"/>
        </w:rPr>
      </w:pPr>
      <w:r w:rsidRPr="00873B6C">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873B6C" w:rsidRDefault="00D40151" w:rsidP="00D40151">
      <w:pPr>
        <w:rPr>
          <w:lang w:eastAsia="zh-CN"/>
        </w:rPr>
      </w:pPr>
      <w:r w:rsidRPr="00873B6C">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873B6C" w:rsidRDefault="00D40151" w:rsidP="00D40151">
      <w:pPr>
        <w:pStyle w:val="NO"/>
        <w:rPr>
          <w:lang w:eastAsia="zh-CN"/>
        </w:rPr>
      </w:pPr>
      <w:r w:rsidRPr="00873B6C">
        <w:rPr>
          <w:lang w:eastAsia="zh-CN"/>
        </w:rPr>
        <w:t>NOTE 4:</w:t>
      </w:r>
      <w:r w:rsidRPr="00873B6C">
        <w:rPr>
          <w:lang w:eastAsia="zh-CN"/>
        </w:rPr>
        <w:tab/>
        <w:t>In a given PLMN, Direct Communication, Indirect Communication, or both may apply.</w:t>
      </w:r>
    </w:p>
    <w:p w14:paraId="5398C79E" w14:textId="2BBE7B55" w:rsidR="00D40151" w:rsidRPr="00873B6C" w:rsidRDefault="00D40151" w:rsidP="00D40151">
      <w:bookmarkStart w:id="5551" w:name="_Toc20150211"/>
      <w:r w:rsidRPr="00873B6C">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873B6C">
        <w:t xml:space="preserve"> clauses 4.17.7 and 4.17.8</w:t>
      </w:r>
      <w:r w:rsidRPr="00873B6C">
        <w:t xml:space="preserve"> </w:t>
      </w:r>
      <w:r w:rsidR="00131D56" w:rsidRPr="00873B6C">
        <w:t xml:space="preserve">of </w:t>
      </w:r>
      <w:r w:rsidR="00972E70" w:rsidRPr="00873B6C">
        <w:t>TS 23.502 [</w:t>
      </w:r>
      <w:r w:rsidRPr="00873B6C">
        <w:t>3].</w:t>
      </w:r>
    </w:p>
    <w:p w14:paraId="272ED649" w14:textId="44737036" w:rsidR="00D40151" w:rsidRPr="00873B6C" w:rsidRDefault="00D40151" w:rsidP="00D40151">
      <w:r w:rsidRPr="00873B6C">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972E70" w:rsidRPr="00873B6C">
        <w:t>TS 23.502 [</w:t>
      </w:r>
      <w:r w:rsidRPr="00873B6C">
        <w:t>3].</w:t>
      </w:r>
    </w:p>
    <w:p w14:paraId="4ADF78D9" w14:textId="0C0913B2" w:rsidR="00D40151" w:rsidRPr="00873B6C" w:rsidRDefault="00D40151" w:rsidP="00D40151">
      <w:pPr>
        <w:pStyle w:val="NO"/>
      </w:pPr>
      <w:r w:rsidRPr="00873B6C">
        <w:t>NOTE 5:</w:t>
      </w:r>
      <w:r w:rsidRPr="00873B6C">
        <w:tab/>
        <w:t xml:space="preserve">See </w:t>
      </w:r>
      <w:r w:rsidR="00972E70" w:rsidRPr="00873B6C">
        <w:t>TS 29.510 [</w:t>
      </w:r>
      <w:r w:rsidRPr="00873B6C">
        <w:t>58] for details on using the target PLMN ID specific query to reach the NRF in the remote PLMN.</w:t>
      </w:r>
    </w:p>
    <w:p w14:paraId="7A2BFDDC" w14:textId="77777777" w:rsidR="00D40151" w:rsidRPr="00873B6C" w:rsidRDefault="00D40151" w:rsidP="00D40151">
      <w:r w:rsidRPr="00873B6C">
        <w:t>For topology hiding, see clause 6.2.17.</w:t>
      </w:r>
    </w:p>
    <w:p w14:paraId="04B6E9BF" w14:textId="77777777" w:rsidR="00D40151" w:rsidRPr="00873B6C" w:rsidRDefault="00D40151" w:rsidP="00D40151">
      <w:pPr>
        <w:pStyle w:val="Heading4"/>
      </w:pPr>
      <w:bookmarkStart w:id="5552" w:name="_CR6_3_1_0"/>
      <w:bookmarkStart w:id="5553" w:name="_Toc27847019"/>
      <w:bookmarkStart w:id="5554" w:name="_Toc36188151"/>
      <w:bookmarkStart w:id="5555" w:name="_Toc45184062"/>
      <w:bookmarkStart w:id="5556" w:name="_Toc47342904"/>
      <w:bookmarkStart w:id="5557" w:name="_Toc51769606"/>
      <w:bookmarkStart w:id="5558" w:name="_Toc201157769"/>
      <w:bookmarkEnd w:id="5552"/>
      <w:r w:rsidRPr="00873B6C">
        <w:t>6.3.1.0</w:t>
      </w:r>
      <w:r w:rsidRPr="00873B6C">
        <w:tab/>
        <w:t>Principles for Binding, Selection and Reselection</w:t>
      </w:r>
      <w:bookmarkEnd w:id="5551"/>
      <w:bookmarkEnd w:id="5553"/>
      <w:bookmarkEnd w:id="5554"/>
      <w:bookmarkEnd w:id="5555"/>
      <w:bookmarkEnd w:id="5556"/>
      <w:bookmarkEnd w:id="5557"/>
      <w:bookmarkEnd w:id="5558"/>
    </w:p>
    <w:p w14:paraId="7831EB92" w14:textId="77777777" w:rsidR="00D40151" w:rsidRPr="00873B6C" w:rsidRDefault="00D40151" w:rsidP="00D40151">
      <w:pPr>
        <w:rPr>
          <w:lang w:eastAsia="x-none"/>
        </w:rPr>
      </w:pPr>
      <w:r w:rsidRPr="00873B6C">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873B6C" w:rsidRDefault="00D40151" w:rsidP="00D40151">
      <w:pPr>
        <w:rPr>
          <w:lang w:eastAsia="x-none"/>
        </w:rPr>
      </w:pPr>
      <w:r w:rsidRPr="00873B6C">
        <w:rPr>
          <w:lang w:eastAsia="x-none"/>
        </w:rPr>
        <w:lastRenderedPageBreak/>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873B6C" w:rsidRDefault="00D40151" w:rsidP="00D40151">
      <w:pPr>
        <w:rPr>
          <w:lang w:eastAsia="x-none"/>
        </w:rPr>
      </w:pPr>
      <w:r w:rsidRPr="00873B6C">
        <w:rPr>
          <w:lang w:eastAsia="x-none"/>
        </w:rPr>
        <w:t>The Binding Indication contains the information in Table 6.3.1.0-1.</w:t>
      </w:r>
    </w:p>
    <w:p w14:paraId="43151968" w14:textId="77777777" w:rsidR="00D40151" w:rsidRPr="00873B6C" w:rsidRDefault="00D40151" w:rsidP="00D40151">
      <w:pPr>
        <w:rPr>
          <w:lang w:eastAsia="x-none"/>
        </w:rPr>
      </w:pPr>
      <w:r w:rsidRPr="00873B6C">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873B6C" w:rsidRDefault="00D40151" w:rsidP="00D40151">
      <w:pPr>
        <w:pStyle w:val="NO"/>
      </w:pPr>
      <w:r w:rsidRPr="00873B6C">
        <w:t>NOTE 1:</w:t>
      </w:r>
      <w:r w:rsidRPr="00873B6C">
        <w:tab/>
        <w:t>Subscription request messages can contain both a Binding Indication and a Routing Binding Indication.</w:t>
      </w:r>
    </w:p>
    <w:p w14:paraId="0FF07C5B" w14:textId="77777777" w:rsidR="00D40151" w:rsidRPr="00873B6C" w:rsidRDefault="00D40151" w:rsidP="00D40151">
      <w:pPr>
        <w:rPr>
          <w:lang w:eastAsia="x-none"/>
        </w:rPr>
      </w:pPr>
      <w:r w:rsidRPr="00873B6C">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2068726A" w:rsidR="00D40151" w:rsidRPr="00873B6C" w:rsidRDefault="00D40151" w:rsidP="00D40151">
      <w:pPr>
        <w:rPr>
          <w:lang w:eastAsia="x-none"/>
        </w:rPr>
      </w:pPr>
      <w:r w:rsidRPr="00873B6C">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w:t>
      </w:r>
      <w:r w:rsidR="00472CD7" w:rsidRPr="00873B6C">
        <w:rPr>
          <w:lang w:eastAsia="x-none"/>
        </w:rPr>
        <w:t xml:space="preserve"> and</w:t>
      </w:r>
      <w:r w:rsidRPr="00873B6C">
        <w:rPr>
          <w:lang w:eastAsia="x-none"/>
        </w:rPr>
        <w:t xml:space="preserve"> may also include the service name. The NF Service Set ID, NF service instance ID</w:t>
      </w:r>
      <w:r w:rsidR="00472CD7" w:rsidRPr="00873B6C">
        <w:rPr>
          <w:lang w:eastAsia="x-none"/>
        </w:rPr>
        <w:t xml:space="preserve"> and</w:t>
      </w:r>
      <w:r w:rsidRPr="00873B6C">
        <w:rPr>
          <w:lang w:eastAsia="x-none"/>
        </w:rPr>
        <w:t xml:space="preserve"> service name relate to the service of the NF service consumer that will handle the notification.</w:t>
      </w:r>
    </w:p>
    <w:p w14:paraId="6FC873F5" w14:textId="77777777" w:rsidR="00D40151" w:rsidRPr="00873B6C" w:rsidRDefault="00D40151" w:rsidP="00D40151">
      <w:pPr>
        <w:pStyle w:val="NO"/>
      </w:pPr>
      <w:r w:rsidRPr="00873B6C">
        <w:t>NOTE 2:</w:t>
      </w:r>
      <w:r w:rsidRPr="00873B6C">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873B6C" w:rsidRDefault="00D40151" w:rsidP="00D40151">
      <w:pPr>
        <w:rPr>
          <w:lang w:eastAsia="x-none"/>
        </w:rPr>
      </w:pPr>
      <w:r w:rsidRPr="00873B6C">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873B6C" w:rsidRDefault="00D40151" w:rsidP="00D40151">
      <w:pPr>
        <w:pStyle w:val="B1"/>
      </w:pPr>
      <w:r w:rsidRPr="00873B6C">
        <w:t>-</w:t>
      </w:r>
      <w:r w:rsidRPr="00873B6C">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873B6C" w:rsidRDefault="00D40151" w:rsidP="00D40151">
      <w:pPr>
        <w:pStyle w:val="B1"/>
      </w:pPr>
      <w:r w:rsidRPr="00873B6C">
        <w:t>-</w:t>
      </w:r>
      <w:r w:rsidRPr="00873B6C">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873B6C" w:rsidRDefault="00D40151" w:rsidP="00D40151">
      <w:pPr>
        <w:rPr>
          <w:lang w:eastAsia="x-none"/>
        </w:rPr>
      </w:pPr>
      <w:r w:rsidRPr="00873B6C">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873B6C" w:rsidRDefault="00D40151" w:rsidP="00D40151">
      <w:pPr>
        <w:pStyle w:val="B1"/>
      </w:pPr>
      <w:r w:rsidRPr="00873B6C">
        <w:t>-</w:t>
      </w:r>
      <w:r w:rsidRPr="00873B6C">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873B6C" w:rsidRDefault="00D40151" w:rsidP="00D40151">
      <w:pPr>
        <w:pStyle w:val="B1"/>
      </w:pPr>
      <w:r w:rsidRPr="00873B6C">
        <w:t>-</w:t>
      </w:r>
      <w:r w:rsidRPr="00873B6C">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2ADB167" w:rsidR="00D40151" w:rsidRPr="00873B6C" w:rsidRDefault="00D40151" w:rsidP="00D40151">
      <w:r w:rsidRPr="00873B6C">
        <w:lastRenderedPageBreak/>
        <w:t xml:space="preserve">For subscription to notifications via another network function, a separate Binding Indication for subscription related events may be provided by the NF service consumer (see clause 4.17.12.4 of </w:t>
      </w:r>
      <w:r w:rsidR="00972E70" w:rsidRPr="00873B6C">
        <w:t>TS 23.502 [</w:t>
      </w:r>
      <w:r w:rsidRPr="00873B6C">
        <w:t>3]) and if provided shall be associated with an applicability indicating notification for subscription related events.</w:t>
      </w:r>
    </w:p>
    <w:p w14:paraId="50619ABB" w14:textId="77777777" w:rsidR="00D40151" w:rsidRPr="00873B6C" w:rsidRDefault="00D40151" w:rsidP="00D40151">
      <w:r w:rsidRPr="00873B6C">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504B47CB" w:rsidR="00D40151" w:rsidRPr="00873B6C" w:rsidRDefault="00D40151" w:rsidP="00D40151">
      <w:r w:rsidRPr="00873B6C">
        <w:t>For NF Set or NF Instance level of binding, a Binding Indication for notifications and other services may be combined if it relates to the same service</w:t>
      </w:r>
      <w:r w:rsidR="00472CD7" w:rsidRPr="00873B6C">
        <w:t xml:space="preserve"> and</w:t>
      </w:r>
      <w:r w:rsidRPr="00873B6C">
        <w:t xml:space="preserve"> that combined Binding Indication shall then be associated with an applicability indicating all scenarios that the Binding Indication relates to (For this purpose, the applicability can indicate a combination of values).</w:t>
      </w:r>
    </w:p>
    <w:p w14:paraId="1A23F99B" w14:textId="4E487C50" w:rsidR="00D40151" w:rsidRPr="00873B6C" w:rsidRDefault="00D40151" w:rsidP="00D40151">
      <w:r w:rsidRPr="00873B6C">
        <w:t xml:space="preserve">If no applicability is indicated in a request or subscribe messages, a Binding Indication in that messages is applicable for notification to all events except for the subscription related event (see clause 4.17.12.4 of </w:t>
      </w:r>
      <w:r w:rsidR="00972E70" w:rsidRPr="00873B6C">
        <w:t>TS 23.502 [</w:t>
      </w:r>
      <w:r w:rsidRPr="00873B6C">
        <w:t>3]).</w:t>
      </w:r>
    </w:p>
    <w:p w14:paraId="712B7404" w14:textId="77777777" w:rsidR="00D40151" w:rsidRPr="00873B6C" w:rsidRDefault="00D40151" w:rsidP="00D40151">
      <w:pPr>
        <w:pStyle w:val="NO"/>
      </w:pPr>
      <w:r w:rsidRPr="00873B6C">
        <w:t>NOTE 3:</w:t>
      </w:r>
      <w:r w:rsidRPr="00873B6C">
        <w:tab/>
        <w:t>Such a request message can be used for implicit subscription.</w:t>
      </w:r>
    </w:p>
    <w:p w14:paraId="2B0EACF3" w14:textId="7F9BE545" w:rsidR="00D40151" w:rsidRPr="00873B6C" w:rsidRDefault="00D40151" w:rsidP="00D40151">
      <w:pPr>
        <w:pStyle w:val="NO"/>
      </w:pPr>
      <w:r w:rsidRPr="00873B6C">
        <w:t>NOTE 4:</w:t>
      </w:r>
      <w:r w:rsidRPr="00873B6C">
        <w:tab/>
        <w:t>Request messages can contain both the Binding Indications for services and for notifications</w:t>
      </w:r>
      <w:r w:rsidR="00472CD7" w:rsidRPr="00873B6C">
        <w:t xml:space="preserve"> and</w:t>
      </w:r>
      <w:r w:rsidRPr="00873B6C">
        <w:t xml:space="preserve"> in addition, the Routing Binding Indication in the case of indirect communication.</w:t>
      </w:r>
    </w:p>
    <w:p w14:paraId="1A70590D" w14:textId="6ABC0577" w:rsidR="00426DE4" w:rsidRPr="00873B6C" w:rsidRDefault="00426DE4" w:rsidP="00D40151">
      <w:pPr>
        <w:rPr>
          <w:lang w:eastAsia="x-none"/>
        </w:rPr>
      </w:pPr>
      <w:r w:rsidRPr="00873B6C">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w:t>
      </w:r>
      <w:r w:rsidR="00972E70" w:rsidRPr="00873B6C">
        <w:rPr>
          <w:lang w:eastAsia="x-none"/>
        </w:rPr>
        <w:t>TS 29.500 [</w:t>
      </w:r>
      <w:r w:rsidRPr="00873B6C">
        <w:rPr>
          <w:lang w:eastAsia="x-none"/>
        </w:rPr>
        <w:t>49].</w:t>
      </w:r>
    </w:p>
    <w:p w14:paraId="6D0DA48A" w14:textId="53993209" w:rsidR="00D40151" w:rsidRPr="00873B6C" w:rsidRDefault="00D40151" w:rsidP="00D40151">
      <w:pPr>
        <w:rPr>
          <w:lang w:eastAsia="x-none"/>
        </w:rPr>
      </w:pPr>
      <w:r w:rsidRPr="00873B6C">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972E70" w:rsidRPr="00873B6C">
        <w:rPr>
          <w:lang w:eastAsia="x-none"/>
        </w:rPr>
        <w:t>TS 23.502 [</w:t>
      </w:r>
      <w:r w:rsidRPr="00873B6C">
        <w:rPr>
          <w:lang w:eastAsia="x-none"/>
        </w:rPr>
        <w:t>3]</w:t>
      </w:r>
      <w:r w:rsidR="00426DE4" w:rsidRPr="00873B6C">
        <w:rPr>
          <w:lang w:eastAsia="x-none"/>
        </w:rPr>
        <w:t>.</w:t>
      </w:r>
    </w:p>
    <w:p w14:paraId="3F6E402A" w14:textId="77777777" w:rsidR="00D40151" w:rsidRPr="00873B6C" w:rsidRDefault="00D40151" w:rsidP="00D40151">
      <w:pPr>
        <w:pStyle w:val="TH"/>
        <w:rPr>
          <w:lang w:eastAsia="zh-CN"/>
        </w:rPr>
      </w:pPr>
      <w:bookmarkStart w:id="5559" w:name="_CRTable6_3_1_01"/>
      <w:r w:rsidRPr="00873B6C">
        <w:rPr>
          <w:lang w:eastAsia="zh-CN"/>
        </w:rPr>
        <w:lastRenderedPageBreak/>
        <w:t xml:space="preserve">Table </w:t>
      </w:r>
      <w:bookmarkEnd w:id="5559"/>
      <w:r w:rsidRPr="00873B6C">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873B6C" w14:paraId="5546A112" w14:textId="77777777" w:rsidTr="00FD5C4A">
        <w:trPr>
          <w:cantSplit/>
          <w:jc w:val="center"/>
        </w:trPr>
        <w:tc>
          <w:tcPr>
            <w:tcW w:w="2400" w:type="dxa"/>
            <w:shd w:val="clear" w:color="auto" w:fill="auto"/>
          </w:tcPr>
          <w:p w14:paraId="03A052D1" w14:textId="77777777" w:rsidR="00D40151" w:rsidRPr="00873B6C" w:rsidRDefault="00D40151" w:rsidP="009D14FB">
            <w:pPr>
              <w:pStyle w:val="TAH"/>
              <w:rPr>
                <w:lang w:eastAsia="zh-CN"/>
              </w:rPr>
            </w:pPr>
            <w:r w:rsidRPr="00873B6C">
              <w:rPr>
                <w:lang w:eastAsia="zh-CN"/>
              </w:rPr>
              <w:t>Level of Binding Indication</w:t>
            </w:r>
          </w:p>
        </w:tc>
        <w:tc>
          <w:tcPr>
            <w:tcW w:w="2407" w:type="dxa"/>
            <w:shd w:val="clear" w:color="auto" w:fill="auto"/>
          </w:tcPr>
          <w:p w14:paraId="3895E14F" w14:textId="77777777" w:rsidR="00D40151" w:rsidRPr="00873B6C" w:rsidRDefault="00D40151" w:rsidP="009D14FB">
            <w:pPr>
              <w:pStyle w:val="TAH"/>
              <w:rPr>
                <w:lang w:eastAsia="zh-CN"/>
              </w:rPr>
            </w:pPr>
            <w:r w:rsidRPr="00873B6C">
              <w:rPr>
                <w:lang w:eastAsia="zh-CN"/>
              </w:rPr>
              <w:t>The NF Consumer / Notification sender / SCP selects</w:t>
            </w:r>
          </w:p>
        </w:tc>
        <w:tc>
          <w:tcPr>
            <w:tcW w:w="2416" w:type="dxa"/>
            <w:shd w:val="clear" w:color="auto" w:fill="auto"/>
          </w:tcPr>
          <w:p w14:paraId="68F1752E" w14:textId="77777777" w:rsidR="00D40151" w:rsidRPr="00873B6C" w:rsidRDefault="00D40151" w:rsidP="009D14FB">
            <w:pPr>
              <w:pStyle w:val="TAH"/>
              <w:rPr>
                <w:lang w:eastAsia="zh-CN"/>
              </w:rPr>
            </w:pPr>
            <w:r w:rsidRPr="00873B6C">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873B6C" w:rsidRDefault="00D40151" w:rsidP="009D14FB">
            <w:pPr>
              <w:pStyle w:val="TAH"/>
              <w:rPr>
                <w:lang w:eastAsia="zh-CN"/>
              </w:rPr>
            </w:pPr>
            <w:r w:rsidRPr="00873B6C">
              <w:rPr>
                <w:lang w:eastAsia="zh-CN"/>
              </w:rPr>
              <w:t>Binding information for selection and re-selection</w:t>
            </w:r>
          </w:p>
        </w:tc>
      </w:tr>
      <w:tr w:rsidR="00D40151" w:rsidRPr="00873B6C" w14:paraId="3D9580D9" w14:textId="77777777" w:rsidTr="00FD5C4A">
        <w:trPr>
          <w:cantSplit/>
          <w:jc w:val="center"/>
        </w:trPr>
        <w:tc>
          <w:tcPr>
            <w:tcW w:w="2400" w:type="dxa"/>
            <w:shd w:val="clear" w:color="auto" w:fill="auto"/>
          </w:tcPr>
          <w:p w14:paraId="119E23FB" w14:textId="77777777" w:rsidR="00D40151" w:rsidRPr="00873B6C" w:rsidRDefault="00D40151" w:rsidP="009D14FB">
            <w:pPr>
              <w:pStyle w:val="TAL"/>
              <w:rPr>
                <w:b/>
                <w:lang w:eastAsia="zh-CN"/>
              </w:rPr>
            </w:pPr>
            <w:bookmarkStart w:id="5560" w:name="_PERM_MCCTEMPBM_CRPT99180005___2" w:colFirst="2" w:colLast="2"/>
            <w:bookmarkStart w:id="5561" w:name="_PERM_MCCTEMPBM_CRPT40600005___2" w:colFirst="2" w:colLast="2"/>
            <w:bookmarkStart w:id="5562" w:name="_PERM_MCCTEMPBM_CRPT31810005___2" w:colFirst="2" w:colLast="2"/>
            <w:bookmarkStart w:id="5563" w:name="_PERM_MCCTEMPBM_CRPT38860010___2" w:colFirst="2" w:colLast="2"/>
            <w:bookmarkStart w:id="5564" w:name="_PERM_MCCTEMPBM_CRPT75020005___2" w:colFirst="2" w:colLast="2"/>
            <w:bookmarkStart w:id="5565" w:name="_PERM_MCCTEMPBM_CRPT37790005___2" w:colFirst="2" w:colLast="2"/>
            <w:bookmarkStart w:id="5566" w:name="_PERM_MCCTEMPBM_CRPT73640005___2" w:colFirst="2" w:colLast="2"/>
            <w:r w:rsidRPr="00873B6C">
              <w:rPr>
                <w:b/>
                <w:lang w:eastAsia="zh-CN"/>
              </w:rPr>
              <w:t>NF Service Instance</w:t>
            </w:r>
          </w:p>
        </w:tc>
        <w:tc>
          <w:tcPr>
            <w:tcW w:w="2407" w:type="dxa"/>
            <w:shd w:val="clear" w:color="auto" w:fill="auto"/>
          </w:tcPr>
          <w:p w14:paraId="7AD711FF" w14:textId="77777777" w:rsidR="00D40151" w:rsidRPr="00873B6C" w:rsidRDefault="00D40151" w:rsidP="009D14FB">
            <w:pPr>
              <w:pStyle w:val="TAL"/>
              <w:rPr>
                <w:lang w:eastAsia="zh-CN"/>
              </w:rPr>
            </w:pPr>
            <w:r w:rsidRPr="00873B6C">
              <w:rPr>
                <w:lang w:eastAsia="zh-CN"/>
              </w:rPr>
              <w:t>The indicated NF Service Instance</w:t>
            </w:r>
          </w:p>
        </w:tc>
        <w:tc>
          <w:tcPr>
            <w:tcW w:w="2416" w:type="dxa"/>
            <w:shd w:val="clear" w:color="auto" w:fill="auto"/>
          </w:tcPr>
          <w:p w14:paraId="27DA5E39" w14:textId="77777777" w:rsidR="00D40151" w:rsidRPr="00873B6C" w:rsidRDefault="00D40151" w:rsidP="009D14FB">
            <w:pPr>
              <w:pStyle w:val="TAL"/>
              <w:rPr>
                <w:lang w:eastAsia="zh-CN"/>
              </w:rPr>
            </w:pPr>
            <w:r w:rsidRPr="00873B6C">
              <w:rPr>
                <w:lang w:eastAsia="zh-CN"/>
              </w:rPr>
              <w:t>An equivalent NF Service instance:</w:t>
            </w:r>
          </w:p>
          <w:p w14:paraId="7F5D6A79" w14:textId="77777777" w:rsidR="00D40151" w:rsidRPr="00873B6C" w:rsidRDefault="00D40151" w:rsidP="009D14FB">
            <w:pPr>
              <w:pStyle w:val="TAL"/>
              <w:ind w:left="317" w:hanging="317"/>
              <w:rPr>
                <w:lang w:eastAsia="zh-CN"/>
              </w:rPr>
            </w:pPr>
            <w:r w:rsidRPr="00873B6C">
              <w:rPr>
                <w:lang w:eastAsia="zh-CN"/>
              </w:rPr>
              <w:t>-</w:t>
            </w:r>
            <w:r w:rsidRPr="00873B6C">
              <w:rPr>
                <w:lang w:eastAsia="zh-CN"/>
              </w:rPr>
              <w:tab/>
              <w:t>within the NF Service Set (if applicable)</w:t>
            </w:r>
          </w:p>
          <w:p w14:paraId="3DCAA5E2" w14:textId="77777777" w:rsidR="00D40151" w:rsidRPr="00873B6C" w:rsidRDefault="00D40151" w:rsidP="009D14FB">
            <w:pPr>
              <w:pStyle w:val="TAL"/>
              <w:ind w:left="317" w:hanging="317"/>
              <w:rPr>
                <w:lang w:eastAsia="zh-CN"/>
              </w:rPr>
            </w:pPr>
            <w:r w:rsidRPr="00873B6C">
              <w:rPr>
                <w:lang w:eastAsia="zh-CN"/>
              </w:rPr>
              <w:t>-</w:t>
            </w:r>
            <w:r w:rsidRPr="00873B6C">
              <w:rPr>
                <w:lang w:eastAsia="zh-CN"/>
              </w:rPr>
              <w:tab/>
              <w:t>within the NF instance</w:t>
            </w:r>
          </w:p>
          <w:p w14:paraId="224AA7BE" w14:textId="77777777" w:rsidR="00D40151" w:rsidRPr="00873B6C" w:rsidRDefault="00D40151" w:rsidP="009D14FB">
            <w:pPr>
              <w:pStyle w:val="TAL"/>
              <w:ind w:left="317" w:hanging="317"/>
              <w:rPr>
                <w:lang w:eastAsia="zh-CN"/>
              </w:rPr>
            </w:pPr>
            <w:r w:rsidRPr="00873B6C">
              <w:rPr>
                <w:lang w:eastAsia="zh-CN"/>
              </w:rPr>
              <w:t>-</w:t>
            </w:r>
            <w:r w:rsidRPr="00873B6C">
              <w:rPr>
                <w:lang w:eastAsia="zh-CN"/>
              </w:rPr>
              <w:tab/>
              <w:t>within the NF Set (if applicable)</w:t>
            </w:r>
          </w:p>
        </w:tc>
        <w:tc>
          <w:tcPr>
            <w:tcW w:w="2408" w:type="dxa"/>
            <w:shd w:val="clear" w:color="auto" w:fill="auto"/>
          </w:tcPr>
          <w:p w14:paraId="2511F94B" w14:textId="77777777" w:rsidR="00D40151" w:rsidRPr="00873B6C" w:rsidRDefault="00D40151" w:rsidP="009D14FB">
            <w:pPr>
              <w:pStyle w:val="TAL"/>
              <w:rPr>
                <w:lang w:eastAsia="zh-CN"/>
              </w:rPr>
            </w:pPr>
            <w:r w:rsidRPr="00873B6C">
              <w:rPr>
                <w:lang w:eastAsia="zh-CN"/>
              </w:rPr>
              <w:t>NF Service Instance ID, NF Service Set ID, NF Instance ID, NF Set ID, Service name (NOTE 4)</w:t>
            </w:r>
          </w:p>
        </w:tc>
      </w:tr>
      <w:bookmarkEnd w:id="5560"/>
      <w:bookmarkEnd w:id="5561"/>
      <w:bookmarkEnd w:id="5562"/>
      <w:bookmarkEnd w:id="5563"/>
      <w:bookmarkEnd w:id="5564"/>
      <w:bookmarkEnd w:id="5565"/>
      <w:bookmarkEnd w:id="5566"/>
      <w:tr w:rsidR="00D40151" w:rsidRPr="00873B6C" w14:paraId="181F2D0B" w14:textId="77777777" w:rsidTr="00FD5C4A">
        <w:trPr>
          <w:cantSplit/>
          <w:jc w:val="center"/>
        </w:trPr>
        <w:tc>
          <w:tcPr>
            <w:tcW w:w="2400" w:type="dxa"/>
            <w:shd w:val="clear" w:color="auto" w:fill="auto"/>
          </w:tcPr>
          <w:p w14:paraId="2B7CCD11" w14:textId="77777777" w:rsidR="00D40151" w:rsidRPr="00873B6C" w:rsidRDefault="00D40151" w:rsidP="009D14FB">
            <w:pPr>
              <w:pStyle w:val="TAL"/>
              <w:rPr>
                <w:b/>
                <w:lang w:eastAsia="zh-CN"/>
              </w:rPr>
            </w:pPr>
            <w:r w:rsidRPr="00873B6C">
              <w:rPr>
                <w:b/>
                <w:lang w:eastAsia="zh-CN"/>
              </w:rPr>
              <w:t>NF Service Set</w:t>
            </w:r>
          </w:p>
        </w:tc>
        <w:tc>
          <w:tcPr>
            <w:tcW w:w="2407" w:type="dxa"/>
            <w:shd w:val="clear" w:color="auto" w:fill="auto"/>
          </w:tcPr>
          <w:p w14:paraId="6DD3BC8C" w14:textId="77777777" w:rsidR="00D40151" w:rsidRPr="00873B6C" w:rsidRDefault="00D40151" w:rsidP="009D14FB">
            <w:pPr>
              <w:pStyle w:val="TAL"/>
              <w:rPr>
                <w:lang w:eastAsia="zh-CN"/>
              </w:rPr>
            </w:pPr>
            <w:r w:rsidRPr="00873B6C">
              <w:rPr>
                <w:lang w:eastAsia="zh-CN"/>
              </w:rPr>
              <w:t>Any NF Service instance within the indicated NF Service Set</w:t>
            </w:r>
          </w:p>
        </w:tc>
        <w:tc>
          <w:tcPr>
            <w:tcW w:w="2416" w:type="dxa"/>
            <w:shd w:val="clear" w:color="auto" w:fill="auto"/>
          </w:tcPr>
          <w:p w14:paraId="6EF5299D" w14:textId="77777777" w:rsidR="00D40151" w:rsidRPr="00873B6C" w:rsidRDefault="00D40151" w:rsidP="009D14FB">
            <w:pPr>
              <w:pStyle w:val="TAL"/>
              <w:rPr>
                <w:lang w:eastAsia="zh-CN"/>
              </w:rPr>
            </w:pPr>
            <w:r w:rsidRPr="00873B6C">
              <w:rPr>
                <w:lang w:eastAsia="zh-CN"/>
              </w:rPr>
              <w:t>Any NF Service instance within an equivalent NF Service Set within the NF Set (if applicable)</w:t>
            </w:r>
          </w:p>
          <w:p w14:paraId="4E4A5575" w14:textId="77777777" w:rsidR="00D40151" w:rsidRPr="00873B6C" w:rsidRDefault="00D40151" w:rsidP="009D14FB">
            <w:pPr>
              <w:pStyle w:val="TAL"/>
              <w:rPr>
                <w:lang w:eastAsia="zh-CN"/>
              </w:rPr>
            </w:pPr>
            <w:r w:rsidRPr="00873B6C">
              <w:rPr>
                <w:lang w:eastAsia="zh-CN"/>
              </w:rPr>
              <w:t>(Note 2)</w:t>
            </w:r>
          </w:p>
          <w:p w14:paraId="14BD593A" w14:textId="77777777" w:rsidR="00D40151" w:rsidRPr="00873B6C" w:rsidRDefault="00D40151" w:rsidP="009D14FB">
            <w:pPr>
              <w:pStyle w:val="TAL"/>
              <w:rPr>
                <w:lang w:eastAsia="zh-CN"/>
              </w:rPr>
            </w:pPr>
          </w:p>
        </w:tc>
        <w:tc>
          <w:tcPr>
            <w:tcW w:w="2408" w:type="dxa"/>
            <w:shd w:val="clear" w:color="auto" w:fill="auto"/>
          </w:tcPr>
          <w:p w14:paraId="3F14B2E1" w14:textId="77777777" w:rsidR="00D40151" w:rsidRPr="00873B6C" w:rsidRDefault="00D40151" w:rsidP="009D14FB">
            <w:pPr>
              <w:pStyle w:val="TAL"/>
              <w:rPr>
                <w:lang w:eastAsia="zh-CN"/>
              </w:rPr>
            </w:pPr>
            <w:r w:rsidRPr="00873B6C">
              <w:rPr>
                <w:lang w:eastAsia="zh-CN"/>
              </w:rPr>
              <w:t>NF Service Set ID, NF Instance ID, NF Set ID, Service name (NOTE 4)</w:t>
            </w:r>
          </w:p>
        </w:tc>
      </w:tr>
      <w:tr w:rsidR="00D40151" w:rsidRPr="00873B6C" w14:paraId="45668310" w14:textId="77777777" w:rsidTr="00FD5C4A">
        <w:trPr>
          <w:cantSplit/>
          <w:jc w:val="center"/>
        </w:trPr>
        <w:tc>
          <w:tcPr>
            <w:tcW w:w="2400" w:type="dxa"/>
            <w:shd w:val="clear" w:color="auto" w:fill="auto"/>
          </w:tcPr>
          <w:p w14:paraId="7F0FC786" w14:textId="77777777" w:rsidR="00D40151" w:rsidRPr="00873B6C" w:rsidRDefault="00D40151" w:rsidP="009D14FB">
            <w:pPr>
              <w:pStyle w:val="TAL"/>
              <w:rPr>
                <w:b/>
                <w:lang w:eastAsia="zh-CN"/>
              </w:rPr>
            </w:pPr>
            <w:r w:rsidRPr="00873B6C">
              <w:rPr>
                <w:b/>
                <w:lang w:eastAsia="zh-CN"/>
              </w:rPr>
              <w:t>NF Instance</w:t>
            </w:r>
          </w:p>
        </w:tc>
        <w:tc>
          <w:tcPr>
            <w:tcW w:w="2407" w:type="dxa"/>
            <w:shd w:val="clear" w:color="auto" w:fill="auto"/>
          </w:tcPr>
          <w:p w14:paraId="1B66594A" w14:textId="77777777" w:rsidR="00D40151" w:rsidRPr="00873B6C" w:rsidRDefault="00D40151" w:rsidP="009D14FB">
            <w:pPr>
              <w:pStyle w:val="TAL"/>
              <w:rPr>
                <w:lang w:eastAsia="zh-CN"/>
              </w:rPr>
            </w:pPr>
            <w:r w:rsidRPr="00873B6C">
              <w:rPr>
                <w:lang w:eastAsia="zh-CN"/>
              </w:rPr>
              <w:t>Any equivalent NF Service instance within the NF instance.</w:t>
            </w:r>
          </w:p>
        </w:tc>
        <w:tc>
          <w:tcPr>
            <w:tcW w:w="2416" w:type="dxa"/>
            <w:shd w:val="clear" w:color="auto" w:fill="auto"/>
          </w:tcPr>
          <w:p w14:paraId="407C3E3B" w14:textId="77777777" w:rsidR="00D40151" w:rsidRPr="00873B6C" w:rsidRDefault="00D40151" w:rsidP="009D14FB">
            <w:pPr>
              <w:pStyle w:val="TAL"/>
              <w:rPr>
                <w:lang w:eastAsia="zh-CN"/>
              </w:rPr>
            </w:pPr>
            <w:r w:rsidRPr="00873B6C">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873B6C" w:rsidRDefault="00D40151" w:rsidP="009D14FB">
            <w:pPr>
              <w:pStyle w:val="TAL"/>
              <w:rPr>
                <w:lang w:eastAsia="zh-CN"/>
              </w:rPr>
            </w:pPr>
            <w:r w:rsidRPr="00873B6C">
              <w:rPr>
                <w:lang w:eastAsia="zh-CN"/>
              </w:rPr>
              <w:t>NF Instance ID, NF Set ID, Service name (NOTE 4)</w:t>
            </w:r>
          </w:p>
        </w:tc>
      </w:tr>
      <w:tr w:rsidR="00D40151" w:rsidRPr="00873B6C" w14:paraId="2FA747A4" w14:textId="77777777" w:rsidTr="00FD5C4A">
        <w:trPr>
          <w:cantSplit/>
          <w:jc w:val="center"/>
        </w:trPr>
        <w:tc>
          <w:tcPr>
            <w:tcW w:w="2400" w:type="dxa"/>
            <w:shd w:val="clear" w:color="auto" w:fill="auto"/>
          </w:tcPr>
          <w:p w14:paraId="08BECC04" w14:textId="77777777" w:rsidR="00D40151" w:rsidRPr="00873B6C" w:rsidRDefault="00D40151" w:rsidP="009D14FB">
            <w:pPr>
              <w:pStyle w:val="TAL"/>
              <w:rPr>
                <w:b/>
                <w:lang w:eastAsia="zh-CN"/>
              </w:rPr>
            </w:pPr>
            <w:r w:rsidRPr="00873B6C">
              <w:rPr>
                <w:b/>
                <w:lang w:eastAsia="zh-CN"/>
              </w:rPr>
              <w:t>NF Set</w:t>
            </w:r>
          </w:p>
        </w:tc>
        <w:tc>
          <w:tcPr>
            <w:tcW w:w="2407" w:type="dxa"/>
            <w:shd w:val="clear" w:color="auto" w:fill="auto"/>
          </w:tcPr>
          <w:p w14:paraId="1AA568B5" w14:textId="77777777" w:rsidR="00D40151" w:rsidRPr="00873B6C" w:rsidRDefault="00D40151" w:rsidP="009D14FB">
            <w:pPr>
              <w:pStyle w:val="TAL"/>
              <w:rPr>
                <w:lang w:eastAsia="zh-CN"/>
              </w:rPr>
            </w:pPr>
            <w:r w:rsidRPr="00873B6C">
              <w:rPr>
                <w:lang w:eastAsia="zh-CN"/>
              </w:rPr>
              <w:t>Any equivalent NF Service instance within the indicated NF Set</w:t>
            </w:r>
          </w:p>
        </w:tc>
        <w:tc>
          <w:tcPr>
            <w:tcW w:w="2416" w:type="dxa"/>
            <w:shd w:val="clear" w:color="auto" w:fill="auto"/>
          </w:tcPr>
          <w:p w14:paraId="56AEA485" w14:textId="77777777" w:rsidR="00D40151" w:rsidRPr="00873B6C" w:rsidRDefault="00D40151" w:rsidP="009D14FB">
            <w:pPr>
              <w:pStyle w:val="TAL"/>
              <w:rPr>
                <w:lang w:eastAsia="zh-CN"/>
              </w:rPr>
            </w:pPr>
            <w:r w:rsidRPr="00873B6C">
              <w:rPr>
                <w:lang w:eastAsia="zh-CN"/>
              </w:rPr>
              <w:t>Any equivalent NF Service instance within the NF Set</w:t>
            </w:r>
          </w:p>
        </w:tc>
        <w:tc>
          <w:tcPr>
            <w:tcW w:w="2408" w:type="dxa"/>
            <w:shd w:val="clear" w:color="auto" w:fill="auto"/>
          </w:tcPr>
          <w:p w14:paraId="04EA6813" w14:textId="77777777" w:rsidR="00D40151" w:rsidRPr="00873B6C" w:rsidRDefault="00D40151" w:rsidP="009D14FB">
            <w:pPr>
              <w:pStyle w:val="TAL"/>
              <w:rPr>
                <w:lang w:eastAsia="zh-CN"/>
              </w:rPr>
            </w:pPr>
            <w:r w:rsidRPr="00873B6C">
              <w:rPr>
                <w:lang w:eastAsia="zh-CN"/>
              </w:rPr>
              <w:t>NF Set ID, Service name (NOTE 4)</w:t>
            </w:r>
          </w:p>
        </w:tc>
      </w:tr>
      <w:tr w:rsidR="00D40151" w:rsidRPr="00873B6C" w14:paraId="4441E0B6" w14:textId="77777777" w:rsidTr="00FD5C4A">
        <w:trPr>
          <w:cantSplit/>
          <w:jc w:val="center"/>
        </w:trPr>
        <w:tc>
          <w:tcPr>
            <w:tcW w:w="9631" w:type="dxa"/>
            <w:gridSpan w:val="4"/>
            <w:shd w:val="clear" w:color="auto" w:fill="auto"/>
          </w:tcPr>
          <w:p w14:paraId="3F7434E5" w14:textId="77777777" w:rsidR="00D40151" w:rsidRPr="00873B6C" w:rsidRDefault="00D40151" w:rsidP="009D14FB">
            <w:pPr>
              <w:pStyle w:val="TAN"/>
              <w:rPr>
                <w:lang w:eastAsia="zh-CN"/>
              </w:rPr>
            </w:pPr>
            <w:r w:rsidRPr="00873B6C">
              <w:rPr>
                <w:lang w:eastAsia="zh-CN"/>
              </w:rPr>
              <w:t>NOTE 1:</w:t>
            </w:r>
            <w:r w:rsidRPr="00873B6C">
              <w:rPr>
                <w:lang w:eastAsia="zh-CN"/>
              </w:rPr>
              <w:tab/>
              <w:t>if the Binding Indication is not available, the NF Consumer routes the service request to the target based on routing information available.</w:t>
            </w:r>
          </w:p>
          <w:p w14:paraId="681E189E" w14:textId="77777777" w:rsidR="00D40151" w:rsidRPr="00873B6C" w:rsidRDefault="00D40151" w:rsidP="009D14FB">
            <w:pPr>
              <w:pStyle w:val="TAN"/>
              <w:rPr>
                <w:lang w:eastAsia="zh-CN"/>
              </w:rPr>
            </w:pPr>
            <w:r w:rsidRPr="00873B6C">
              <w:rPr>
                <w:lang w:eastAsia="zh-CN"/>
              </w:rPr>
              <w:t>NOTE 2:</w:t>
            </w:r>
            <w:r w:rsidRPr="00873B6C">
              <w:rPr>
                <w:lang w:eastAsia="zh-CN"/>
              </w:rPr>
              <w:tab/>
              <w:t>NF Service Sets in different NFs are considered equivalent if they include same type and variant (e.g. identical NF Service Set ID) of NF Services.</w:t>
            </w:r>
          </w:p>
          <w:p w14:paraId="65A36706" w14:textId="77777777" w:rsidR="00D40151" w:rsidRPr="00873B6C" w:rsidRDefault="00D40151" w:rsidP="009D14FB">
            <w:pPr>
              <w:pStyle w:val="TAN"/>
              <w:rPr>
                <w:lang w:eastAsia="zh-CN"/>
              </w:rPr>
            </w:pPr>
            <w:r w:rsidRPr="00873B6C">
              <w:rPr>
                <w:lang w:eastAsia="zh-CN"/>
              </w:rPr>
              <w:t>NOTE 3:</w:t>
            </w:r>
            <w:r w:rsidRPr="00873B6C">
              <w:rPr>
                <w:lang w:eastAsia="zh-CN"/>
              </w:rPr>
              <w:tab/>
              <w:t>If a Routing Binding Indication is not available, the SCP routes the service request to the target based on available routing information.</w:t>
            </w:r>
          </w:p>
          <w:p w14:paraId="48B43429" w14:textId="77777777" w:rsidR="00D40151" w:rsidRPr="00873B6C" w:rsidRDefault="00D40151" w:rsidP="009D14FB">
            <w:pPr>
              <w:pStyle w:val="TAN"/>
              <w:rPr>
                <w:lang w:eastAsia="zh-CN"/>
              </w:rPr>
            </w:pPr>
            <w:r w:rsidRPr="00873B6C">
              <w:rPr>
                <w:lang w:eastAsia="zh-CN"/>
              </w:rPr>
              <w:t>NOTE 4:</w:t>
            </w:r>
            <w:r w:rsidRPr="00873B6C">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873B6C" w:rsidRDefault="00D40151" w:rsidP="00D40151">
      <w:pPr>
        <w:rPr>
          <w:lang w:eastAsia="zh-CN"/>
        </w:rPr>
      </w:pPr>
    </w:p>
    <w:p w14:paraId="46CB336F" w14:textId="77777777" w:rsidR="00D40151" w:rsidRPr="00873B6C" w:rsidRDefault="00D40151" w:rsidP="00D40151">
      <w:pPr>
        <w:pStyle w:val="Heading4"/>
      </w:pPr>
      <w:bookmarkStart w:id="5567" w:name="_CR6_3_1_1"/>
      <w:bookmarkStart w:id="5568" w:name="_Toc20150212"/>
      <w:bookmarkStart w:id="5569" w:name="_Toc27847020"/>
      <w:bookmarkStart w:id="5570" w:name="_Toc36188152"/>
      <w:bookmarkStart w:id="5571" w:name="_Toc45184063"/>
      <w:bookmarkStart w:id="5572" w:name="_Toc47342905"/>
      <w:bookmarkStart w:id="5573" w:name="_Toc51769607"/>
      <w:bookmarkStart w:id="5574" w:name="_Toc201157770"/>
      <w:bookmarkEnd w:id="5567"/>
      <w:r w:rsidRPr="00873B6C">
        <w:t>6.3.1.1</w:t>
      </w:r>
      <w:r w:rsidRPr="00873B6C">
        <w:tab/>
        <w:t>NF Discovery and Selection aspects relevant with indirect communication</w:t>
      </w:r>
      <w:bookmarkEnd w:id="5568"/>
      <w:bookmarkEnd w:id="5569"/>
      <w:bookmarkEnd w:id="5570"/>
      <w:bookmarkEnd w:id="5571"/>
      <w:bookmarkEnd w:id="5572"/>
      <w:bookmarkEnd w:id="5573"/>
      <w:bookmarkEnd w:id="5574"/>
    </w:p>
    <w:p w14:paraId="7C8113CB" w14:textId="77777777" w:rsidR="00D40151" w:rsidRPr="00873B6C" w:rsidRDefault="00D40151" w:rsidP="00D40151">
      <w:r w:rsidRPr="00873B6C">
        <w:t>For indirect communication shown in Annex E, the SCP performs the following functionalities regarding Network Function and Network Function Service discovery and selection:</w:t>
      </w:r>
    </w:p>
    <w:p w14:paraId="7EE15737" w14:textId="77777777" w:rsidR="00D40151" w:rsidRPr="00873B6C" w:rsidRDefault="00D40151" w:rsidP="00D40151">
      <w:pPr>
        <w:pStyle w:val="B1"/>
      </w:pPr>
      <w:r w:rsidRPr="00873B6C">
        <w:t>-</w:t>
      </w:r>
      <w:r w:rsidRPr="00873B6C">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873B6C" w:rsidRDefault="00D40151" w:rsidP="00D40151">
      <w:pPr>
        <w:pStyle w:val="B1"/>
      </w:pPr>
      <w:r w:rsidRPr="00873B6C">
        <w:t>-</w:t>
      </w:r>
      <w:r w:rsidRPr="00873B6C">
        <w:tab/>
        <w:t>If the request recipient had previously provided a Binding Indication, then the request sender shall include a Routing Binding Indication with the same contents in subsequent related requests.</w:t>
      </w:r>
    </w:p>
    <w:p w14:paraId="7EF6A882" w14:textId="77777777" w:rsidR="00D40151" w:rsidRPr="00873B6C" w:rsidRDefault="00D40151" w:rsidP="00D40151">
      <w:pPr>
        <w:pStyle w:val="Heading4"/>
      </w:pPr>
      <w:bookmarkStart w:id="5575" w:name="_CR6_3_1_2"/>
      <w:bookmarkStart w:id="5576" w:name="_Toc20150213"/>
      <w:bookmarkStart w:id="5577" w:name="_Toc27847021"/>
      <w:bookmarkStart w:id="5578" w:name="_Toc36188153"/>
      <w:bookmarkStart w:id="5579" w:name="_Toc45184064"/>
      <w:bookmarkStart w:id="5580" w:name="_Toc47342906"/>
      <w:bookmarkStart w:id="5581" w:name="_Toc51769608"/>
      <w:bookmarkStart w:id="5582" w:name="_Toc201157771"/>
      <w:bookmarkEnd w:id="5575"/>
      <w:r w:rsidRPr="00873B6C">
        <w:t>6.3.1.2</w:t>
      </w:r>
      <w:r w:rsidRPr="00873B6C">
        <w:tab/>
        <w:t>Location information</w:t>
      </w:r>
      <w:bookmarkEnd w:id="5576"/>
      <w:bookmarkEnd w:id="5577"/>
      <w:bookmarkEnd w:id="5578"/>
      <w:bookmarkEnd w:id="5579"/>
      <w:bookmarkEnd w:id="5580"/>
      <w:bookmarkEnd w:id="5581"/>
      <w:bookmarkEnd w:id="5582"/>
    </w:p>
    <w:p w14:paraId="57AB6DC6" w14:textId="77777777" w:rsidR="00D40151" w:rsidRPr="00873B6C" w:rsidRDefault="00D40151" w:rsidP="00D40151">
      <w:pPr>
        <w:rPr>
          <w:lang w:eastAsia="x-none"/>
        </w:rPr>
      </w:pPr>
      <w:r w:rsidRPr="00873B6C">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873B6C" w:rsidRDefault="00D40151" w:rsidP="00D40151">
      <w:pPr>
        <w:rPr>
          <w:lang w:eastAsia="x-none"/>
        </w:rPr>
      </w:pPr>
      <w:r w:rsidRPr="00873B6C">
        <w:rPr>
          <w:lang w:eastAsia="x-none"/>
        </w:rPr>
        <w:t>The location information may be used to select the NF service instance or NF instance from a particular network location based on local configuration.</w:t>
      </w:r>
    </w:p>
    <w:p w14:paraId="03212996" w14:textId="5652E947" w:rsidR="00D40151" w:rsidRPr="00873B6C" w:rsidRDefault="00D40151" w:rsidP="00D40151">
      <w:pPr>
        <w:pStyle w:val="NO"/>
      </w:pPr>
      <w:r w:rsidRPr="00873B6C">
        <w:t>NOTE:</w:t>
      </w:r>
      <w:r w:rsidRPr="00873B6C">
        <w:tab/>
        <w:t xml:space="preserve">The location information in </w:t>
      </w:r>
      <w:r w:rsidR="00972E70" w:rsidRPr="00873B6C">
        <w:t>TS 29.510 [</w:t>
      </w:r>
      <w:r w:rsidRPr="00873B6C">
        <w:t>58] specifies the granularity of location information. It is up to each deployment to determine the granularity of location information to be used.</w:t>
      </w:r>
    </w:p>
    <w:p w14:paraId="2A4505EF" w14:textId="77777777" w:rsidR="00D40151" w:rsidRPr="00873B6C" w:rsidRDefault="00D40151" w:rsidP="00D40151">
      <w:pPr>
        <w:pStyle w:val="Heading3"/>
      </w:pPr>
      <w:bookmarkStart w:id="5583" w:name="_CR6_3_2"/>
      <w:bookmarkStart w:id="5584" w:name="_Toc20150214"/>
      <w:bookmarkStart w:id="5585" w:name="_Toc27847022"/>
      <w:bookmarkStart w:id="5586" w:name="_Toc36188154"/>
      <w:bookmarkStart w:id="5587" w:name="_Toc45184065"/>
      <w:bookmarkStart w:id="5588" w:name="_Toc47342907"/>
      <w:bookmarkStart w:id="5589" w:name="_Toc51769609"/>
      <w:bookmarkStart w:id="5590" w:name="_Toc201157772"/>
      <w:bookmarkEnd w:id="5583"/>
      <w:r w:rsidRPr="00873B6C">
        <w:t>6.3.2</w:t>
      </w:r>
      <w:r w:rsidRPr="00873B6C">
        <w:tab/>
        <w:t>SMF discovery and selection</w:t>
      </w:r>
      <w:bookmarkEnd w:id="5584"/>
      <w:bookmarkEnd w:id="5585"/>
      <w:bookmarkEnd w:id="5586"/>
      <w:bookmarkEnd w:id="5587"/>
      <w:bookmarkEnd w:id="5588"/>
      <w:bookmarkEnd w:id="5589"/>
      <w:bookmarkEnd w:id="5590"/>
    </w:p>
    <w:p w14:paraId="35015C46" w14:textId="0CE61557" w:rsidR="00D40151" w:rsidRPr="00873B6C" w:rsidRDefault="00D40151" w:rsidP="00D40151">
      <w:r w:rsidRPr="00873B6C">
        <w:t xml:space="preserve">The SMF selection functionality is supported by the AMF and SCP and is used to allocate an SMF that shall manage the PDU Session. The SMF selection procedures are described in clause 4.3.2.2.3 of </w:t>
      </w:r>
      <w:r w:rsidR="00972E70" w:rsidRPr="00873B6C">
        <w:t>TS 23.502 [</w:t>
      </w:r>
      <w:r w:rsidRPr="00873B6C">
        <w:t>3].</w:t>
      </w:r>
    </w:p>
    <w:p w14:paraId="103DA7A0" w14:textId="77777777" w:rsidR="00D40151" w:rsidRPr="00873B6C" w:rsidRDefault="00D40151" w:rsidP="00D40151">
      <w:r w:rsidRPr="00873B6C">
        <w:lastRenderedPageBreak/>
        <w:t>The SMF discovery and selection functionality follows the principles stated in clause 6.3.1.</w:t>
      </w:r>
    </w:p>
    <w:p w14:paraId="28544F76" w14:textId="77777777" w:rsidR="00D40151" w:rsidRPr="00873B6C" w:rsidRDefault="00D40151" w:rsidP="00D40151">
      <w:r w:rsidRPr="00873B6C">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0E3E5573" w:rsidR="00D40151" w:rsidRPr="00873B6C" w:rsidRDefault="00D40151" w:rsidP="00D40151">
      <w:pPr>
        <w:pStyle w:val="NO"/>
      </w:pPr>
      <w:r w:rsidRPr="00873B6C">
        <w:t>NOTE 1:</w:t>
      </w:r>
      <w:r w:rsidRPr="00873B6C">
        <w:tab/>
        <w:t xml:space="preserve">Protocol aspects of the access to NRF are specified in </w:t>
      </w:r>
      <w:r w:rsidR="00972E70" w:rsidRPr="00873B6C">
        <w:t>TS 29.510 [</w:t>
      </w:r>
      <w:r w:rsidRPr="00873B6C">
        <w:t>58].</w:t>
      </w:r>
    </w:p>
    <w:p w14:paraId="54CF5920" w14:textId="77777777" w:rsidR="00D40151" w:rsidRPr="00873B6C" w:rsidRDefault="00D40151" w:rsidP="00D40151">
      <w:r w:rsidRPr="00873B6C">
        <w:t>The SMF selection functionality is applicable to both 3GPP access and non-3GPP access.</w:t>
      </w:r>
    </w:p>
    <w:p w14:paraId="319B0DDF" w14:textId="77777777" w:rsidR="00D40151" w:rsidRPr="00873B6C" w:rsidRDefault="00D40151" w:rsidP="00D40151">
      <w:r w:rsidRPr="00873B6C">
        <w:t>The SMF selection for Emergency services is described in clause 5.16.4.5.</w:t>
      </w:r>
    </w:p>
    <w:p w14:paraId="246FF769" w14:textId="77777777" w:rsidR="00D40151" w:rsidRPr="00873B6C" w:rsidRDefault="00D40151" w:rsidP="00D40151">
      <w:r w:rsidRPr="00873B6C">
        <w:t>The following factors may be considered during the SMF selection:</w:t>
      </w:r>
    </w:p>
    <w:p w14:paraId="767330FC" w14:textId="77777777" w:rsidR="00D40151" w:rsidRPr="00873B6C" w:rsidRDefault="00D40151" w:rsidP="00D40151">
      <w:pPr>
        <w:pStyle w:val="B1"/>
      </w:pPr>
      <w:r w:rsidRPr="00873B6C">
        <w:t>a)</w:t>
      </w:r>
      <w:r w:rsidRPr="00873B6C">
        <w:tab/>
        <w:t>Selected Data Network Name (DNN). In the case of the home routed roaming, the DNN is not applied for the V-SMF selection.</w:t>
      </w:r>
    </w:p>
    <w:p w14:paraId="3C2B3C71" w14:textId="0DD1125E" w:rsidR="00D40151" w:rsidRPr="00873B6C" w:rsidRDefault="00D40151" w:rsidP="00D40151">
      <w:pPr>
        <w:pStyle w:val="B1"/>
      </w:pPr>
      <w:r w:rsidRPr="00873B6C">
        <w:t>b)</w:t>
      </w:r>
      <w:r w:rsidRPr="00873B6C">
        <w:tab/>
        <w:t>S-NSSAI of the HPLMN (for non-roaming and home-routed roaming scenarios)</w:t>
      </w:r>
      <w:r w:rsidR="00472CD7" w:rsidRPr="00873B6C">
        <w:t xml:space="preserve"> and</w:t>
      </w:r>
      <w:r w:rsidRPr="00873B6C">
        <w:t xml:space="preserve"> S-NSSAI of the VPLMN (for roaming with local breakout and home-routed roaming scenarios).</w:t>
      </w:r>
    </w:p>
    <w:p w14:paraId="61BA8F7E" w14:textId="77777777" w:rsidR="00D40151" w:rsidRPr="00873B6C" w:rsidRDefault="00D40151" w:rsidP="00D40151">
      <w:pPr>
        <w:pStyle w:val="B1"/>
      </w:pPr>
      <w:r w:rsidRPr="00873B6C">
        <w:t>c)</w:t>
      </w:r>
      <w:r w:rsidRPr="00873B6C">
        <w:tab/>
        <w:t>NSI-ID.</w:t>
      </w:r>
    </w:p>
    <w:p w14:paraId="4D1FC9D0" w14:textId="77777777" w:rsidR="00D40151" w:rsidRPr="00873B6C" w:rsidRDefault="00D40151" w:rsidP="00D40151">
      <w:pPr>
        <w:pStyle w:val="NO"/>
      </w:pPr>
      <w:r w:rsidRPr="00873B6C">
        <w:t>NOTE 2:</w:t>
      </w:r>
      <w:r w:rsidRPr="00873B6C">
        <w:tab/>
        <w:t>The use of NSI -ID in the network is optional and depends on the deployment choices of the operator. If used, the NSI ID is associated with S-NSSAI.</w:t>
      </w:r>
    </w:p>
    <w:p w14:paraId="578DFFC3" w14:textId="77777777" w:rsidR="00D40151" w:rsidRPr="00873B6C" w:rsidRDefault="00D40151" w:rsidP="00D40151">
      <w:pPr>
        <w:pStyle w:val="B1"/>
      </w:pPr>
      <w:r w:rsidRPr="00873B6C">
        <w:t>d)</w:t>
      </w:r>
      <w:r w:rsidRPr="00873B6C">
        <w:tab/>
        <w:t>Access technology being used by the UE.</w:t>
      </w:r>
    </w:p>
    <w:p w14:paraId="7D99B573" w14:textId="77777777" w:rsidR="00D40151" w:rsidRPr="00873B6C" w:rsidRDefault="00D40151" w:rsidP="00D40151">
      <w:pPr>
        <w:pStyle w:val="B1"/>
      </w:pPr>
      <w:r w:rsidRPr="00873B6C">
        <w:t>e)</w:t>
      </w:r>
      <w:r w:rsidRPr="00873B6C">
        <w:tab/>
        <w:t>Support for Control Plane CIoT 5GS Optimisation.</w:t>
      </w:r>
    </w:p>
    <w:p w14:paraId="0CD30646" w14:textId="77777777" w:rsidR="00D40151" w:rsidRPr="00873B6C" w:rsidRDefault="00D40151" w:rsidP="00D40151">
      <w:pPr>
        <w:pStyle w:val="B1"/>
      </w:pPr>
      <w:r w:rsidRPr="00873B6C">
        <w:t>f)</w:t>
      </w:r>
      <w:r w:rsidRPr="00873B6C">
        <w:tab/>
        <w:t>Subscription information from UDM, e.g.</w:t>
      </w:r>
    </w:p>
    <w:p w14:paraId="16A46AE6" w14:textId="77777777" w:rsidR="00D40151" w:rsidRPr="00873B6C" w:rsidRDefault="00D40151" w:rsidP="00D40151">
      <w:pPr>
        <w:pStyle w:val="B2"/>
      </w:pPr>
      <w:r w:rsidRPr="00873B6C">
        <w:t>-</w:t>
      </w:r>
      <w:r w:rsidRPr="00873B6C">
        <w:tab/>
        <w:t>per DNN: whether LBO roaming is allowed.</w:t>
      </w:r>
    </w:p>
    <w:p w14:paraId="441B6E25" w14:textId="2447FF37" w:rsidR="00D51D1B" w:rsidRPr="00873B6C" w:rsidRDefault="00D51D1B" w:rsidP="00D40151">
      <w:pPr>
        <w:pStyle w:val="B2"/>
      </w:pPr>
      <w:r w:rsidRPr="00873B6C">
        <w:t>-</w:t>
      </w:r>
      <w:r w:rsidRPr="00873B6C">
        <w:tab/>
        <w:t>per DNN: whether HR-SBO roaming is allowed.</w:t>
      </w:r>
    </w:p>
    <w:p w14:paraId="3CA5A743" w14:textId="6611634D" w:rsidR="00D40151" w:rsidRPr="00873B6C" w:rsidRDefault="00D40151" w:rsidP="00D40151">
      <w:pPr>
        <w:pStyle w:val="B2"/>
      </w:pPr>
      <w:r w:rsidRPr="00873B6C">
        <w:t>-</w:t>
      </w:r>
      <w:r w:rsidRPr="00873B6C">
        <w:tab/>
        <w:t>per S-NSSAI: the subscribed DNN(s).</w:t>
      </w:r>
    </w:p>
    <w:p w14:paraId="3A0E8789" w14:textId="77777777" w:rsidR="00D40151" w:rsidRPr="00873B6C" w:rsidRDefault="00D40151" w:rsidP="00D40151">
      <w:pPr>
        <w:pStyle w:val="B2"/>
      </w:pPr>
      <w:r w:rsidRPr="00873B6C">
        <w:t>-</w:t>
      </w:r>
      <w:r w:rsidRPr="00873B6C">
        <w:tab/>
        <w:t>per (S-NSSAI, subscribed DNN): whether LBO roaming is allowed.</w:t>
      </w:r>
    </w:p>
    <w:p w14:paraId="40C38EB5" w14:textId="540DA0AF" w:rsidR="00D51D1B" w:rsidRPr="00873B6C" w:rsidRDefault="00D51D1B" w:rsidP="00D40151">
      <w:pPr>
        <w:pStyle w:val="B2"/>
      </w:pPr>
      <w:r w:rsidRPr="00873B6C">
        <w:t>-</w:t>
      </w:r>
      <w:r w:rsidRPr="00873B6C">
        <w:tab/>
        <w:t>per (S-NSSAI, subscribed DNN): whether HR-SBO roaming is allowed.</w:t>
      </w:r>
    </w:p>
    <w:p w14:paraId="5A727693" w14:textId="34EB4505" w:rsidR="00D40151" w:rsidRPr="00873B6C" w:rsidRDefault="00D40151" w:rsidP="00D40151">
      <w:pPr>
        <w:pStyle w:val="B2"/>
      </w:pPr>
      <w:r w:rsidRPr="00873B6C">
        <w:t>-</w:t>
      </w:r>
      <w:r w:rsidRPr="00873B6C">
        <w:tab/>
        <w:t>per (S-NSSAI, subscribed DNN): whether EPC interworking is supported.</w:t>
      </w:r>
    </w:p>
    <w:p w14:paraId="743BBD24" w14:textId="77777777" w:rsidR="00D40151" w:rsidRPr="00873B6C" w:rsidRDefault="00D40151" w:rsidP="00D40151">
      <w:pPr>
        <w:pStyle w:val="B2"/>
      </w:pPr>
      <w:r w:rsidRPr="00873B6C">
        <w:t>-</w:t>
      </w:r>
      <w:r w:rsidRPr="00873B6C">
        <w:tab/>
        <w:t>per (S-NSSAI, subscribed DNN): whether selecting the same SMF for all PDU sessions to the same S-NSSAI and DNN is required.</w:t>
      </w:r>
    </w:p>
    <w:p w14:paraId="41FA0094" w14:textId="14D9F2F2" w:rsidR="00FB1520" w:rsidRPr="00873B6C" w:rsidRDefault="00FB1520" w:rsidP="00FB1520">
      <w:pPr>
        <w:pStyle w:val="B2"/>
      </w:pPr>
      <w:r w:rsidRPr="00873B6C">
        <w:t>-</w:t>
      </w:r>
      <w:r w:rsidRPr="00873B6C">
        <w:tab/>
        <w:t>per (S-NSSAI, DNN) associated with 5G VN group: Service Area (LADN service area) for the 5G VN group. In the case of SMF selection for a PDU Session targeting 5G VN group, the AMF may prefer candidate SMF(s) that have an intersection with the LADN service area of the 5G VN group.</w:t>
      </w:r>
    </w:p>
    <w:p w14:paraId="32D402D1" w14:textId="77777777" w:rsidR="00D40151" w:rsidRPr="00873B6C" w:rsidRDefault="00D40151" w:rsidP="00D40151">
      <w:pPr>
        <w:pStyle w:val="B1"/>
      </w:pPr>
      <w:r w:rsidRPr="00873B6C">
        <w:t>g)</w:t>
      </w:r>
      <w:r w:rsidRPr="00873B6C">
        <w:tab/>
        <w:t>Void.</w:t>
      </w:r>
    </w:p>
    <w:p w14:paraId="0A7CE5C5" w14:textId="77777777" w:rsidR="00D40151" w:rsidRPr="00873B6C" w:rsidRDefault="00D40151" w:rsidP="00D40151">
      <w:pPr>
        <w:pStyle w:val="B1"/>
      </w:pPr>
      <w:r w:rsidRPr="00873B6C">
        <w:t>h)</w:t>
      </w:r>
      <w:r w:rsidRPr="00873B6C">
        <w:tab/>
        <w:t>Local operator policies.</w:t>
      </w:r>
    </w:p>
    <w:p w14:paraId="748761DF" w14:textId="77777777" w:rsidR="00D40151" w:rsidRPr="00873B6C" w:rsidRDefault="00D40151" w:rsidP="00D40151">
      <w:pPr>
        <w:pStyle w:val="NO"/>
      </w:pPr>
      <w:r w:rsidRPr="00873B6C">
        <w:t>NOTE 3:</w:t>
      </w:r>
      <w:r w:rsidRPr="00873B6C">
        <w:tab/>
        <w:t>These policies can take into account whether the SMF to be selected is an I-SMF or a V-SMF or a SMF.</w:t>
      </w:r>
    </w:p>
    <w:p w14:paraId="08C2A7C5" w14:textId="77777777" w:rsidR="00D40151" w:rsidRPr="00873B6C" w:rsidRDefault="00D40151" w:rsidP="00D40151">
      <w:pPr>
        <w:pStyle w:val="B1"/>
      </w:pPr>
      <w:r w:rsidRPr="00873B6C">
        <w:t>i)</w:t>
      </w:r>
      <w:r w:rsidRPr="00873B6C">
        <w:tab/>
        <w:t>Load conditions of the candidate SMFs.</w:t>
      </w:r>
    </w:p>
    <w:p w14:paraId="2EAAD881" w14:textId="07B8338A" w:rsidR="00D40151" w:rsidRPr="00873B6C" w:rsidRDefault="00D40151" w:rsidP="00D40151">
      <w:pPr>
        <w:pStyle w:val="B1"/>
      </w:pPr>
      <w:r w:rsidRPr="00873B6C">
        <w:t>j)</w:t>
      </w:r>
      <w:r w:rsidRPr="00873B6C">
        <w:tab/>
        <w:t xml:space="preserve">Analytics (i.e. statistics or predictions) for candidate SMFs' load as received from NWDAF (see </w:t>
      </w:r>
      <w:r w:rsidR="00972E70" w:rsidRPr="00873B6C">
        <w:t>TS 23.288 [</w:t>
      </w:r>
      <w:r w:rsidRPr="00873B6C">
        <w:t>86]), if NWDAF is deployed.</w:t>
      </w:r>
    </w:p>
    <w:p w14:paraId="6B409F95" w14:textId="77777777" w:rsidR="00D40151" w:rsidRPr="00873B6C" w:rsidRDefault="00D40151" w:rsidP="00D40151">
      <w:pPr>
        <w:pStyle w:val="B1"/>
        <w:rPr>
          <w:lang w:val="fr-FR"/>
        </w:rPr>
      </w:pPr>
      <w:r w:rsidRPr="00873B6C">
        <w:rPr>
          <w:lang w:val="fr-FR"/>
        </w:rPr>
        <w:t>k)</w:t>
      </w:r>
      <w:r w:rsidRPr="00873B6C">
        <w:rPr>
          <w:lang w:val="fr-FR"/>
        </w:rPr>
        <w:tab/>
        <w:t>UE location (i.e. TA).</w:t>
      </w:r>
    </w:p>
    <w:p w14:paraId="2937055A" w14:textId="77777777" w:rsidR="00D40151" w:rsidRPr="00873B6C" w:rsidRDefault="00D40151" w:rsidP="00D40151">
      <w:pPr>
        <w:pStyle w:val="B1"/>
      </w:pPr>
      <w:r w:rsidRPr="00873B6C">
        <w:t>l)</w:t>
      </w:r>
      <w:r w:rsidRPr="00873B6C">
        <w:tab/>
        <w:t>Service Area of the candidate SMFs.</w:t>
      </w:r>
    </w:p>
    <w:p w14:paraId="3ED508AA" w14:textId="77777777" w:rsidR="00D40151" w:rsidRPr="00873B6C" w:rsidRDefault="00D40151" w:rsidP="00D40151">
      <w:pPr>
        <w:pStyle w:val="B1"/>
      </w:pPr>
      <w:r w:rsidRPr="00873B6C">
        <w:lastRenderedPageBreak/>
        <w:t>m)</w:t>
      </w:r>
      <w:r w:rsidRPr="00873B6C">
        <w:tab/>
        <w:t>Capability of the SMF to support a MA PDU Session.</w:t>
      </w:r>
    </w:p>
    <w:p w14:paraId="0DBA39BA" w14:textId="77777777" w:rsidR="00D40151" w:rsidRPr="00873B6C" w:rsidRDefault="00D40151" w:rsidP="00D40151">
      <w:pPr>
        <w:pStyle w:val="B1"/>
      </w:pPr>
      <w:r w:rsidRPr="00873B6C">
        <w:t>n)</w:t>
      </w:r>
      <w:r w:rsidRPr="00873B6C">
        <w:tab/>
        <w:t>If interworking with EPS is required.</w:t>
      </w:r>
    </w:p>
    <w:p w14:paraId="5836DFDF" w14:textId="13E311FE" w:rsidR="00CD64F1" w:rsidRPr="00873B6C" w:rsidRDefault="00CD64F1" w:rsidP="00733F50">
      <w:pPr>
        <w:pStyle w:val="B1"/>
      </w:pPr>
      <w:r w:rsidRPr="00873B6C">
        <w:t>o)</w:t>
      </w:r>
      <w:r w:rsidRPr="00873B6C">
        <w:tab/>
        <w:t>Preference of V-SMF support. This is applicable only for V-SMF selection in the case of home routed roaming.</w:t>
      </w:r>
    </w:p>
    <w:p w14:paraId="211BF479" w14:textId="2F2E797D" w:rsidR="006101B9" w:rsidRPr="00873B6C" w:rsidRDefault="006101B9" w:rsidP="006101B9">
      <w:pPr>
        <w:pStyle w:val="B1"/>
      </w:pPr>
      <w:r w:rsidRPr="00873B6C">
        <w:t>p)</w:t>
      </w:r>
      <w:r w:rsidRPr="00873B6C">
        <w:tab/>
        <w:t>Target DNAI.</w:t>
      </w:r>
    </w:p>
    <w:p w14:paraId="1F86EF72" w14:textId="7A73629F" w:rsidR="0010039C" w:rsidRPr="00873B6C" w:rsidRDefault="0010039C" w:rsidP="0010039C">
      <w:pPr>
        <w:pStyle w:val="B1"/>
      </w:pPr>
      <w:r w:rsidRPr="00873B6C">
        <w:t>q)</w:t>
      </w:r>
      <w:r w:rsidRPr="00873B6C">
        <w:tab/>
        <w:t>Capability of the SMF to support</w:t>
      </w:r>
      <w:r w:rsidR="003F2E5D" w:rsidRPr="00873B6C">
        <w:t xml:space="preserve"> User Plane Remote Provisioning (see clause 5.30.2.10.4.3)</w:t>
      </w:r>
      <w:r w:rsidRPr="00873B6C">
        <w:t>.</w:t>
      </w:r>
    </w:p>
    <w:p w14:paraId="2120D10A" w14:textId="4CD7C28F" w:rsidR="00DA3BBC" w:rsidRPr="00873B6C" w:rsidRDefault="00DA3BBC" w:rsidP="00DA3BBC">
      <w:pPr>
        <w:pStyle w:val="B1"/>
      </w:pPr>
      <w:r w:rsidRPr="00873B6C">
        <w:t>r)</w:t>
      </w:r>
      <w:r w:rsidRPr="00873B6C">
        <w:tab/>
        <w:t>Supported DNAI list.</w:t>
      </w:r>
    </w:p>
    <w:p w14:paraId="14888556" w14:textId="1E22EB81" w:rsidR="00D51D1B" w:rsidRPr="00873B6C" w:rsidRDefault="00D51D1B" w:rsidP="00D51D1B">
      <w:pPr>
        <w:pStyle w:val="B1"/>
      </w:pPr>
      <w:r w:rsidRPr="00873B6C">
        <w:t>s)</w:t>
      </w:r>
      <w:r w:rsidRPr="00873B6C">
        <w:tab/>
        <w:t xml:space="preserve">HR-SBO support (according to clause 6.7 of </w:t>
      </w:r>
      <w:r w:rsidR="00972E70" w:rsidRPr="00873B6C">
        <w:t>TS 23.548 [</w:t>
      </w:r>
      <w:r w:rsidRPr="00873B6C">
        <w:t>130]).</w:t>
      </w:r>
    </w:p>
    <w:p w14:paraId="1E558E07" w14:textId="4BA5C507" w:rsidR="00BC24B5" w:rsidRPr="00873B6C" w:rsidRDefault="00BC24B5" w:rsidP="00BC24B5">
      <w:pPr>
        <w:pStyle w:val="B1"/>
      </w:pPr>
      <w:r w:rsidRPr="00873B6C">
        <w:t>t)</w:t>
      </w:r>
      <w:r w:rsidRPr="00873B6C">
        <w:tab/>
        <w:t>Capability of the SMF (V-SMF and H-SMF) to support non-3GPP access path switching.</w:t>
      </w:r>
    </w:p>
    <w:p w14:paraId="3C45517D" w14:textId="24C91D4D" w:rsidR="00D40151" w:rsidRPr="00873B6C" w:rsidRDefault="00D40151" w:rsidP="00D40151">
      <w:r w:rsidRPr="00873B6C">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873B6C" w:rsidRDefault="00D40151" w:rsidP="00D40151">
      <w:r w:rsidRPr="00873B6C">
        <w:t>In the case of delegated discovery, the AMF, shall send all the available factors a)-d), k) and n) to the SCP.</w:t>
      </w:r>
    </w:p>
    <w:p w14:paraId="12071886" w14:textId="77777777" w:rsidR="00D40151" w:rsidRPr="00873B6C" w:rsidRDefault="00D40151" w:rsidP="00D40151">
      <w:r w:rsidRPr="00873B6C">
        <w:t>In addition, the AMF may indicate to the SCP which NRF to use (in the case of NRF dedicated to the target slice).</w:t>
      </w:r>
    </w:p>
    <w:p w14:paraId="35447D62" w14:textId="11CA7469" w:rsidR="00D40151" w:rsidRPr="00873B6C" w:rsidRDefault="00D40151" w:rsidP="00D40151">
      <w:r w:rsidRPr="00873B6C">
        <w:t>If there is an existing PDU Session and the UE requests to establish another PDU Session to the same DNN and S-NSSAI of the HPLMN</w:t>
      </w:r>
      <w:r w:rsidR="00472CD7" w:rsidRPr="00873B6C">
        <w:t xml:space="preserve"> and</w:t>
      </w:r>
      <w:r w:rsidRPr="00873B6C">
        <w:t xml:space="preserve">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873B6C">
        <w:t>g.</w:t>
      </w:r>
      <w:r w:rsidRPr="00873B6C">
        <w:t xml:space="preserve"> a SMF starts to no more take new PDU Sessions).</w:t>
      </w:r>
    </w:p>
    <w:p w14:paraId="1F8AF4FE" w14:textId="27D93CFC" w:rsidR="00D40151" w:rsidRPr="00873B6C" w:rsidRDefault="00D40151" w:rsidP="00D40151">
      <w:r w:rsidRPr="00873B6C">
        <w:t xml:space="preserve">In the home-routed roaming case, the SMF selection functionality selects an SMF in VPLMN based on the S-NSSAI of the VPLMN, as well as an SMF in HPLMN based on the S-NSSAI of the HPLMN. This is specified in clause 4.3.2.2.3.3 of </w:t>
      </w:r>
      <w:r w:rsidR="00972E70" w:rsidRPr="00873B6C">
        <w:t>TS 23.502 [</w:t>
      </w:r>
      <w:r w:rsidRPr="00873B6C">
        <w:t>3].</w:t>
      </w:r>
    </w:p>
    <w:p w14:paraId="7774D1AE" w14:textId="420298AF" w:rsidR="00114986" w:rsidRPr="00873B6C" w:rsidRDefault="00114986" w:rsidP="00D40151">
      <w:r w:rsidRPr="00873B6C">
        <w:t>If the HR-SBO roaming is allowed for the PDU Session, the DNN is also considered for V-SMF selection.</w:t>
      </w:r>
    </w:p>
    <w:p w14:paraId="30E56654" w14:textId="4DEF7BFF" w:rsidR="00D40151" w:rsidRPr="00873B6C" w:rsidRDefault="00D40151" w:rsidP="00D40151">
      <w:r w:rsidRPr="00873B6C">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873B6C" w:rsidRDefault="00D40151" w:rsidP="00D40151">
      <w:r w:rsidRPr="00873B6C">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873B6C" w:rsidRDefault="00D40151" w:rsidP="00D40151">
      <w:pPr>
        <w:pStyle w:val="B1"/>
      </w:pPr>
      <w:r w:rsidRPr="00873B6C">
        <w:t>-</w:t>
      </w:r>
      <w:r w:rsidRPr="00873B6C">
        <w:tab/>
        <w:t>If the AMF does discovery, the SMF selection functionality in AMF selects an SMF from the VPLMN.</w:t>
      </w:r>
    </w:p>
    <w:p w14:paraId="484C4EA6" w14:textId="77777777" w:rsidR="00D40151" w:rsidRPr="00873B6C" w:rsidRDefault="00D40151" w:rsidP="00D40151">
      <w:pPr>
        <w:pStyle w:val="B1"/>
      </w:pPr>
      <w:r w:rsidRPr="00873B6C">
        <w:t>-</w:t>
      </w:r>
      <w:r w:rsidRPr="00873B6C">
        <w:tab/>
        <w:t>If delegated discovery is used, the SCP selects an SMF from the VPLMN.</w:t>
      </w:r>
    </w:p>
    <w:p w14:paraId="3272062E" w14:textId="77777777" w:rsidR="00D40151" w:rsidRPr="00873B6C" w:rsidRDefault="00D40151" w:rsidP="00D40151">
      <w:r w:rsidRPr="00873B6C">
        <w:t>If an SMF in the VPLMN cannot be derived for the DNN and S-NSSAI of the VPLMN, or if the subscription does not allow for handling the PDU Session in the VPLMN using LBO, then the following applies:</w:t>
      </w:r>
    </w:p>
    <w:p w14:paraId="5B63DE50" w14:textId="27137D61" w:rsidR="00D40151" w:rsidRPr="00873B6C" w:rsidRDefault="00D40151" w:rsidP="00D40151">
      <w:pPr>
        <w:pStyle w:val="B1"/>
      </w:pPr>
      <w:r w:rsidRPr="00873B6C">
        <w:t>-</w:t>
      </w:r>
      <w:r w:rsidRPr="00873B6C">
        <w:tab/>
        <w:t>If the AMF does discovery, both an SMF in VPLMN and an SMF in HPLMN are selected</w:t>
      </w:r>
      <w:r w:rsidR="00472CD7" w:rsidRPr="00873B6C">
        <w:t xml:space="preserve"> and</w:t>
      </w:r>
      <w:r w:rsidRPr="00873B6C">
        <w:t xml:space="preserve"> the DNN and S-NSSAI of the HPLMN is used to derive an SMF identifier from the HPLMN.</w:t>
      </w:r>
    </w:p>
    <w:p w14:paraId="21548778" w14:textId="77777777" w:rsidR="00D40151" w:rsidRPr="00873B6C" w:rsidRDefault="00D40151" w:rsidP="00D40151">
      <w:pPr>
        <w:pStyle w:val="B1"/>
      </w:pPr>
      <w:r w:rsidRPr="00873B6C">
        <w:t>-</w:t>
      </w:r>
      <w:r w:rsidRPr="00873B6C">
        <w:tab/>
        <w:t>If delegated discovery is used:</w:t>
      </w:r>
    </w:p>
    <w:p w14:paraId="42DDC95B" w14:textId="77777777" w:rsidR="00D40151" w:rsidRPr="00873B6C" w:rsidRDefault="00D40151" w:rsidP="00D40151">
      <w:pPr>
        <w:pStyle w:val="B2"/>
      </w:pPr>
      <w:r w:rsidRPr="00873B6C">
        <w:t>-</w:t>
      </w:r>
      <w:r w:rsidRPr="00873B6C">
        <w:tab/>
        <w:t>The AMF performs discovery and selection of H-SMF from NRF. The AMF may indicate the maximum number of H-SMF instances to be returned from NRF, i.e. SMF selection at NRF.</w:t>
      </w:r>
    </w:p>
    <w:p w14:paraId="51827BD4" w14:textId="53E44B24" w:rsidR="00D40151" w:rsidRPr="00873B6C" w:rsidRDefault="00D40151" w:rsidP="00D40151">
      <w:pPr>
        <w:pStyle w:val="B2"/>
      </w:pPr>
      <w:r w:rsidRPr="00873B6C">
        <w:lastRenderedPageBreak/>
        <w:t>-</w:t>
      </w:r>
      <w:r w:rsidRPr="00873B6C">
        <w:tab/>
        <w:t>The AMF sends Nsmf_PDUSession_CreateSMContext Request to SCP, which includes the endpoint (e.g. URI) of the selected H-SMF</w:t>
      </w:r>
      <w:r w:rsidR="00472CD7" w:rsidRPr="00873B6C">
        <w:t xml:space="preserve"> and</w:t>
      </w:r>
      <w:r w:rsidRPr="00873B6C">
        <w:t xml:space="preserve"> the discovery and selection parameters as defined in this clause, i.e. parameter for V-SMF selection. The SCP performs discovery and selection of the V-SMF and forwards the request to the selected V-SMF.</w:t>
      </w:r>
    </w:p>
    <w:p w14:paraId="15D550B4" w14:textId="77777777" w:rsidR="00D40151" w:rsidRPr="00873B6C" w:rsidRDefault="00D40151" w:rsidP="00D40151">
      <w:pPr>
        <w:pStyle w:val="B2"/>
      </w:pPr>
      <w:r w:rsidRPr="00873B6C">
        <w:t>-</w:t>
      </w:r>
      <w:r w:rsidRPr="00873B6C">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873B6C" w:rsidRDefault="00D40151" w:rsidP="00D40151">
      <w:pPr>
        <w:pStyle w:val="B2"/>
      </w:pPr>
      <w:r w:rsidRPr="00873B6C">
        <w:t>-</w:t>
      </w:r>
      <w:r w:rsidRPr="00873B6C">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873B6C" w:rsidRDefault="00D40151" w:rsidP="00D40151">
      <w:r w:rsidRPr="00873B6C">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873B6C" w:rsidRDefault="00D40151" w:rsidP="00D40151">
      <w:r w:rsidRPr="00873B6C">
        <w:t>The AMF selects SMF(s) considering support for CIoT 5GS optimisations (e.g. Control Plane CIoT 5GS Optimisation).</w:t>
      </w:r>
    </w:p>
    <w:p w14:paraId="5EE5D922" w14:textId="7D977D59" w:rsidR="00DA3BBC" w:rsidRPr="00873B6C" w:rsidRDefault="00DA3BBC" w:rsidP="00D40151">
      <w:r w:rsidRPr="00873B6C">
        <w:t xml:space="preserve">In the case of </w:t>
      </w:r>
      <w:r w:rsidR="003F2E5D" w:rsidRPr="00873B6C">
        <w:t>o</w:t>
      </w:r>
      <w:r w:rsidRPr="00873B6C">
        <w:t>nboarding</w:t>
      </w:r>
      <w:r w:rsidR="003F2E5D" w:rsidRPr="00873B6C">
        <w:t xml:space="preserve"> of UEs for SNPNs, when the UE is registered for SNPN onboarding</w:t>
      </w:r>
      <w:r w:rsidRPr="00873B6C">
        <w:t xml:space="preserve"> the AMF selects SMF(s)</w:t>
      </w:r>
      <w:r w:rsidR="003F2E5D" w:rsidRPr="00873B6C">
        <w:t xml:space="preserve"> of Onboarding Network</w:t>
      </w:r>
      <w:r w:rsidRPr="00873B6C">
        <w:t xml:space="preserve"> considering the Capability of SMF to support</w:t>
      </w:r>
      <w:r w:rsidR="003F2E5D" w:rsidRPr="00873B6C">
        <w:t xml:space="preserve"> User Plane Remote Provisioning</w:t>
      </w:r>
      <w:r w:rsidRPr="00873B6C">
        <w:t>.</w:t>
      </w:r>
    </w:p>
    <w:p w14:paraId="728BF383" w14:textId="3DA786A9" w:rsidR="00D40151" w:rsidRPr="00873B6C" w:rsidRDefault="00D40151" w:rsidP="00D40151">
      <w:r w:rsidRPr="00873B6C">
        <w:t>Additional details of AMF selection of an I-SMF are described in clause 5.34.</w:t>
      </w:r>
    </w:p>
    <w:p w14:paraId="7E09CB31" w14:textId="77777777" w:rsidR="00D40151" w:rsidRPr="00873B6C" w:rsidRDefault="00D40151" w:rsidP="00D40151">
      <w:r w:rsidRPr="00873B6C">
        <w:t>In the case of home routed scenario, the AMF selects a new V-SMF if it determines that the current V-SMF cannot serve the UE location. The selection/relocation is same as an I-SMF selection/relocation as described in clause 5.34.</w:t>
      </w:r>
    </w:p>
    <w:p w14:paraId="2C10B60F" w14:textId="50832DE8" w:rsidR="008056BA" w:rsidRPr="00873B6C" w:rsidRDefault="008056BA" w:rsidP="008056BA">
      <w:bookmarkStart w:id="5591" w:name="_Toc20150215"/>
      <w:bookmarkStart w:id="5592" w:name="_Toc27847023"/>
      <w:bookmarkStart w:id="5593" w:name="_Toc36188155"/>
      <w:bookmarkStart w:id="5594" w:name="_Toc45184066"/>
      <w:bookmarkStart w:id="5595" w:name="_Toc47342908"/>
      <w:bookmarkStart w:id="5596" w:name="_Toc51769610"/>
      <w:r w:rsidRPr="00873B6C">
        <w:t>In the case of SMF event exposure service for any UE and in deployments with I-SMF, the DNAI and/or AoI are not used in the SMF discovery request by the UPF event consumer.</w:t>
      </w:r>
    </w:p>
    <w:p w14:paraId="58C51880" w14:textId="38F584E7" w:rsidR="00D40151" w:rsidRPr="00873B6C" w:rsidRDefault="00D40151" w:rsidP="00D40151">
      <w:pPr>
        <w:pStyle w:val="Heading3"/>
      </w:pPr>
      <w:bookmarkStart w:id="5597" w:name="_CR6_3_3"/>
      <w:bookmarkStart w:id="5598" w:name="_Toc201157773"/>
      <w:bookmarkEnd w:id="5597"/>
      <w:r w:rsidRPr="00873B6C">
        <w:t>6.3.3</w:t>
      </w:r>
      <w:r w:rsidRPr="00873B6C">
        <w:tab/>
        <w:t>User Plane Function Selection</w:t>
      </w:r>
      <w:bookmarkEnd w:id="5591"/>
      <w:bookmarkEnd w:id="5592"/>
      <w:bookmarkEnd w:id="5593"/>
      <w:bookmarkEnd w:id="5594"/>
      <w:bookmarkEnd w:id="5595"/>
      <w:bookmarkEnd w:id="5596"/>
      <w:bookmarkEnd w:id="5598"/>
    </w:p>
    <w:p w14:paraId="1C49D087" w14:textId="77777777" w:rsidR="00D40151" w:rsidRPr="00873B6C" w:rsidRDefault="00D40151" w:rsidP="00D40151">
      <w:pPr>
        <w:pStyle w:val="Heading4"/>
      </w:pPr>
      <w:bookmarkStart w:id="5599" w:name="_CR6_3_3_1"/>
      <w:bookmarkStart w:id="5600" w:name="_Toc20150216"/>
      <w:bookmarkStart w:id="5601" w:name="_Toc27847024"/>
      <w:bookmarkStart w:id="5602" w:name="_Toc36188156"/>
      <w:bookmarkStart w:id="5603" w:name="_Toc45184067"/>
      <w:bookmarkStart w:id="5604" w:name="_Toc47342909"/>
      <w:bookmarkStart w:id="5605" w:name="_Toc51769611"/>
      <w:bookmarkStart w:id="5606" w:name="_Toc201157774"/>
      <w:bookmarkEnd w:id="5599"/>
      <w:r w:rsidRPr="00873B6C">
        <w:t>6.3.3.1</w:t>
      </w:r>
      <w:r w:rsidRPr="00873B6C">
        <w:tab/>
        <w:t>Overview</w:t>
      </w:r>
      <w:bookmarkEnd w:id="5600"/>
      <w:bookmarkEnd w:id="5601"/>
      <w:bookmarkEnd w:id="5602"/>
      <w:bookmarkEnd w:id="5603"/>
      <w:bookmarkEnd w:id="5604"/>
      <w:bookmarkEnd w:id="5605"/>
      <w:bookmarkEnd w:id="5606"/>
    </w:p>
    <w:p w14:paraId="56D17F58" w14:textId="4A6C23AE" w:rsidR="00D40151" w:rsidRPr="00873B6C" w:rsidRDefault="00D40151" w:rsidP="00D40151">
      <w:r w:rsidRPr="00873B6C">
        <w:t>The selection and reselection of the UPF</w:t>
      </w:r>
      <w:r w:rsidR="007C2ADF" w:rsidRPr="00873B6C">
        <w:t xml:space="preserve"> for PDU session establishment, UE mobility or UE traffic offloading</w:t>
      </w:r>
      <w:r w:rsidRPr="00873B6C">
        <w:t xml:space="preserve">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086B2677" w:rsidR="00D40151" w:rsidRPr="00873B6C" w:rsidRDefault="00CD22D1" w:rsidP="00D40151">
      <w:r w:rsidRPr="00873B6C">
        <w:t xml:space="preserve">When the </w:t>
      </w:r>
      <w:r w:rsidR="007C2ADF" w:rsidRPr="00873B6C">
        <w:t>UPF selection for PDU session establishment</w:t>
      </w:r>
      <w:r w:rsidRPr="00873B6C">
        <w:t xml:space="preserve"> takes place</w:t>
      </w:r>
      <w:r w:rsidR="007C2ADF" w:rsidRPr="00873B6C">
        <w:t xml:space="preserve"> in </w:t>
      </w:r>
      <w:r w:rsidR="00D40151" w:rsidRPr="00873B6C">
        <w:t>home routed roaming case, the UPF(s) in home PLMN is selected by SMF(s) in HPLMN</w:t>
      </w:r>
      <w:r w:rsidR="00472CD7" w:rsidRPr="00873B6C">
        <w:t xml:space="preserve"> and</w:t>
      </w:r>
      <w:r w:rsidR="00D40151" w:rsidRPr="00873B6C">
        <w:t xml:space="preserve"> the UPF(s) in the VPLMN is selected by SMF(s) in VPLMN. The exact set of parameters used for the selection mechanism is deployment specific and controlled by the operator configuration.</w:t>
      </w:r>
    </w:p>
    <w:p w14:paraId="65FAA118" w14:textId="6AFF9557" w:rsidR="00D40151" w:rsidRPr="00873B6C" w:rsidRDefault="00D40151" w:rsidP="00D40151">
      <w:r w:rsidRPr="00873B6C">
        <w:t>The UPF selection</w:t>
      </w:r>
      <w:r w:rsidR="007C2ADF" w:rsidRPr="00873B6C">
        <w:t xml:space="preserve"> for PDU session establishment, UE mobility or UE traffic offloading</w:t>
      </w:r>
      <w:r w:rsidRPr="00873B6C">
        <w:t xml:space="preserve"> involves:</w:t>
      </w:r>
    </w:p>
    <w:p w14:paraId="5B030E6D" w14:textId="2581BAF3" w:rsidR="00D40151" w:rsidRPr="00873B6C" w:rsidRDefault="00D40151" w:rsidP="00D40151">
      <w:pPr>
        <w:pStyle w:val="B1"/>
      </w:pPr>
      <w:r w:rsidRPr="00873B6C">
        <w:t>-</w:t>
      </w:r>
      <w:r w:rsidRPr="00873B6C">
        <w:tab/>
      </w:r>
      <w:r w:rsidR="00CD22D1" w:rsidRPr="00873B6C">
        <w:t>A</w:t>
      </w:r>
      <w:r w:rsidRPr="00873B6C">
        <w:t xml:space="preserve"> step of SMF Provisioning of available UPF(s)</w:t>
      </w:r>
      <w:r w:rsidR="00CD22D1" w:rsidRPr="00873B6C">
        <w:t xml:space="preserve"> (details are described in clause 6.3.3.2)</w:t>
      </w:r>
      <w:r w:rsidRPr="00873B6C">
        <w:t>. This step may take place while there is no PDU Session to establish and</w:t>
      </w:r>
      <w:r w:rsidR="00CD22D1" w:rsidRPr="00873B6C">
        <w:t xml:space="preserve"> is</w:t>
      </w:r>
      <w:r w:rsidRPr="00873B6C">
        <w:t xml:space="preserve"> followed by N4 Node Level procedures defined in clause 4.4.3 of </w:t>
      </w:r>
      <w:r w:rsidR="00972E70" w:rsidRPr="00873B6C">
        <w:t>TS 23.502 [</w:t>
      </w:r>
      <w:r w:rsidRPr="00873B6C">
        <w:t>3] where the UPF and the SMF may exchange information such as the support of optional functionalities and capabilities.</w:t>
      </w:r>
    </w:p>
    <w:p w14:paraId="1F4D5D57" w14:textId="7CEDCC4C" w:rsidR="00D40151" w:rsidRPr="00873B6C" w:rsidRDefault="00D40151" w:rsidP="00D40151">
      <w:pPr>
        <w:pStyle w:val="B1"/>
      </w:pPr>
      <w:r w:rsidRPr="00873B6C">
        <w:t>-</w:t>
      </w:r>
      <w:r w:rsidRPr="00873B6C">
        <w:tab/>
        <w:t>A step of selection of an UPF for a particular PDU Session</w:t>
      </w:r>
      <w:r w:rsidR="00CD22D1" w:rsidRPr="00873B6C">
        <w:t xml:space="preserve"> (details are described in clause 6.3.3.3) which</w:t>
      </w:r>
      <w:r w:rsidRPr="00873B6C">
        <w:t xml:space="preserve"> is followed by N4 session management procedures defined in clause 4.4.1 of </w:t>
      </w:r>
      <w:r w:rsidR="00972E70" w:rsidRPr="00873B6C">
        <w:t>TS 23.502 [</w:t>
      </w:r>
      <w:r w:rsidRPr="00873B6C">
        <w:t>3].</w:t>
      </w:r>
    </w:p>
    <w:p w14:paraId="63150B9A" w14:textId="6BFFA0D3" w:rsidR="007C2ADF" w:rsidRPr="00873B6C" w:rsidRDefault="00CD22D1" w:rsidP="007C2ADF">
      <w:bookmarkStart w:id="5607" w:name="_Toc20150217"/>
      <w:bookmarkStart w:id="5608" w:name="_Toc27847025"/>
      <w:bookmarkStart w:id="5609" w:name="_Toc36188157"/>
      <w:bookmarkStart w:id="5610" w:name="_Toc45184068"/>
      <w:bookmarkStart w:id="5611" w:name="_Toc47342910"/>
      <w:bookmarkStart w:id="5612" w:name="_Toc51769612"/>
      <w:r w:rsidRPr="00873B6C">
        <w:t xml:space="preserve">The selection and reselection of the UPF is also performed by an NF (other than the SMF) in order to </w:t>
      </w:r>
      <w:r w:rsidR="007C2ADF" w:rsidRPr="00873B6C">
        <w:t>collect the data from the UPF as defined in clause 5.8.2.17</w:t>
      </w:r>
      <w:r w:rsidRPr="00873B6C">
        <w:t>. In this case</w:t>
      </w:r>
      <w:r w:rsidR="007C2ADF" w:rsidRPr="00873B6C">
        <w:t>, the related dedicated UPF is discovered and selected as follow</w:t>
      </w:r>
      <w:r w:rsidRPr="00873B6C">
        <w:t>s</w:t>
      </w:r>
      <w:r w:rsidR="007C2ADF" w:rsidRPr="00873B6C">
        <w:t>:</w:t>
      </w:r>
    </w:p>
    <w:p w14:paraId="0B497086" w14:textId="51551658" w:rsidR="007C2ADF" w:rsidRPr="00873B6C" w:rsidRDefault="007C2ADF" w:rsidP="00972E70">
      <w:pPr>
        <w:pStyle w:val="B1"/>
      </w:pPr>
      <w:r w:rsidRPr="00873B6C">
        <w:t>-</w:t>
      </w:r>
      <w:r w:rsidRPr="00873B6C">
        <w:tab/>
        <w:t>When the NF consumer or SCP directly subscribes to the UPF</w:t>
      </w:r>
      <w:r w:rsidR="00CD22D1" w:rsidRPr="00873B6C">
        <w:t xml:space="preserve"> (if allowed by the conditions defined in clause 5.8.2.17)</w:t>
      </w:r>
      <w:r w:rsidRPr="00873B6C">
        <w:t>, the NF consumer or SCP queries the NRF including the related discovery parameter</w:t>
      </w:r>
      <w:r w:rsidR="00CD22D1" w:rsidRPr="00873B6C">
        <w:t>s</w:t>
      </w:r>
      <w:r w:rsidRPr="00873B6C">
        <w:t>. The NRF returns the UPF(s) which meet(s) the discovery request.</w:t>
      </w:r>
    </w:p>
    <w:p w14:paraId="5A03C04F" w14:textId="7D50972F" w:rsidR="007C2ADF" w:rsidRPr="00873B6C" w:rsidRDefault="007C2ADF" w:rsidP="00972E70">
      <w:pPr>
        <w:pStyle w:val="B1"/>
      </w:pPr>
      <w:r w:rsidRPr="00873B6C">
        <w:t>-</w:t>
      </w:r>
      <w:r w:rsidRPr="00873B6C">
        <w:tab/>
        <w:t xml:space="preserve">When the NF consumer or SCP shall subscribe via the SMF, the NF consumer gets the serving SMF information from the UDM per SUPI, DNN and S-NSSAI. After that, the NF consumer sends a subscription to the indicated </w:t>
      </w:r>
      <w:r w:rsidRPr="00873B6C">
        <w:lastRenderedPageBreak/>
        <w:t>SMF and the SMF identifies the related UPF(s) using the parameters of the subscription (e.g. target flow description, AoI, etc.) and transfers the related event subscription information to the identified UPF(s). If the NF consumer does not know the SUPI but only the UE IP address, it may need to invoke the BSF to get the SUPI corresponding to the triplet (</w:t>
      </w:r>
      <w:r w:rsidR="00CD22D1" w:rsidRPr="00873B6C">
        <w:t xml:space="preserve">UE </w:t>
      </w:r>
      <w:r w:rsidRPr="00873B6C">
        <w:t>IP address, DNN and S-NSSAI).</w:t>
      </w:r>
    </w:p>
    <w:p w14:paraId="7602A21A" w14:textId="2CC6B912" w:rsidR="00D40151" w:rsidRPr="00873B6C" w:rsidRDefault="00D40151" w:rsidP="00D40151">
      <w:pPr>
        <w:pStyle w:val="Heading4"/>
      </w:pPr>
      <w:bookmarkStart w:id="5613" w:name="_CR6_3_3_2"/>
      <w:bookmarkStart w:id="5614" w:name="_Toc201157775"/>
      <w:bookmarkEnd w:id="5613"/>
      <w:r w:rsidRPr="00873B6C">
        <w:t>6.3.3.2</w:t>
      </w:r>
      <w:r w:rsidRPr="00873B6C">
        <w:tab/>
        <w:t>SMF Provisioning of available UPF(s)</w:t>
      </w:r>
      <w:bookmarkEnd w:id="5607"/>
      <w:bookmarkEnd w:id="5608"/>
      <w:bookmarkEnd w:id="5609"/>
      <w:bookmarkEnd w:id="5610"/>
      <w:bookmarkEnd w:id="5611"/>
      <w:bookmarkEnd w:id="5612"/>
      <w:bookmarkEnd w:id="5614"/>
    </w:p>
    <w:p w14:paraId="5E11B4EE" w14:textId="2C0F6874" w:rsidR="00D40151" w:rsidRPr="00873B6C" w:rsidRDefault="00D40151" w:rsidP="00D40151">
      <w:r w:rsidRPr="00873B6C">
        <w:t>SMF may be locally configured with the information about the available UPFs, e.g. by OAM system when</w:t>
      </w:r>
      <w:r w:rsidR="00CD22D1" w:rsidRPr="00873B6C">
        <w:t xml:space="preserve"> a</w:t>
      </w:r>
      <w:r w:rsidRPr="00873B6C">
        <w:t xml:space="preserve"> UPF is instantiated or removed</w:t>
      </w:r>
      <w:r w:rsidR="00CD22D1" w:rsidRPr="00873B6C">
        <w:t>, or the SMF may become aware of a UPF via a UPF initiated N4 Association establishment (as described in clause 4.4.3 of TS 23.502 [3])</w:t>
      </w:r>
      <w:r w:rsidRPr="00873B6C">
        <w:t>.</w:t>
      </w:r>
    </w:p>
    <w:p w14:paraId="68570778" w14:textId="719F6F42" w:rsidR="00D40151" w:rsidRPr="00873B6C" w:rsidRDefault="00D40151" w:rsidP="00D40151">
      <w:pPr>
        <w:pStyle w:val="NO"/>
      </w:pPr>
      <w:r w:rsidRPr="00873B6C">
        <w:t>NOTE 1:</w:t>
      </w:r>
      <w:r w:rsidRPr="00873B6C">
        <w:tab/>
        <w:t xml:space="preserve">UPF information </w:t>
      </w:r>
      <w:r w:rsidRPr="00873B6C">
        <w:rPr>
          <w:rFonts w:eastAsia="SimSun"/>
        </w:rPr>
        <w:t>can</w:t>
      </w:r>
      <w:r w:rsidRPr="00873B6C">
        <w:t xml:space="preserve"> be updated e.g. by OAM system any time after the initial provisioning, or UPF itself updates its information to the SMF</w:t>
      </w:r>
      <w:r w:rsidR="00CD22D1" w:rsidRPr="00873B6C">
        <w:t xml:space="preserve"> via N4</w:t>
      </w:r>
      <w:r w:rsidRPr="00873B6C">
        <w:t xml:space="preserve"> node level</w:t>
      </w:r>
      <w:r w:rsidR="00CD22D1" w:rsidRPr="00873B6C">
        <w:t xml:space="preserve"> procedures anytime after N4 Association establishment</w:t>
      </w:r>
      <w:r w:rsidRPr="00873B6C">
        <w:t>.</w:t>
      </w:r>
    </w:p>
    <w:p w14:paraId="6DC66DD8" w14:textId="1052E005" w:rsidR="00D40151" w:rsidRPr="00873B6C" w:rsidRDefault="00D40151" w:rsidP="00D40151">
      <w:r w:rsidRPr="00873B6C">
        <w:t>The UPF selection functionality in the SMF may optionally utilize the NRF to discover UPF(s). In this case, the SMF issues a request to the NRF that may include following parameters: DNN, S-NSSAI, SMF Area Identity,</w:t>
      </w:r>
      <w:r w:rsidR="0054077B" w:rsidRPr="00873B6C">
        <w:t xml:space="preserve"> the requested functionalities and capabilities (e.g.</w:t>
      </w:r>
      <w:r w:rsidRPr="00873B6C">
        <w:t xml:space="preserve"> ATSSS steering capabilities</w:t>
      </w:r>
      <w:r w:rsidR="0054077B" w:rsidRPr="00873B6C">
        <w:t>, functionality associated with high data rate low latency service etc.)</w:t>
      </w:r>
      <w:r w:rsidRPr="00873B6C">
        <w:t>. In its answer, the NRF provides the NF profile(s) that include(s) the IP address(es) or the FQDN of the N4 interface of corresponding UPF(s) to the SMF.</w:t>
      </w:r>
    </w:p>
    <w:p w14:paraId="7070DCD8" w14:textId="77777777" w:rsidR="00D40151" w:rsidRPr="00873B6C" w:rsidRDefault="00D40151" w:rsidP="00D40151">
      <w:r w:rsidRPr="00873B6C">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668CD39" w:rsidR="00D40151" w:rsidRPr="00873B6C" w:rsidRDefault="00D40151" w:rsidP="00D40151">
      <w:r w:rsidRPr="00873B6C">
        <w:t xml:space="preserve">The NRF may be configured by OAM with information on the available UPF(s) or the UPF(s) may register its/their NF profile(s) in the NRF. This is further defined in </w:t>
      </w:r>
      <w:r w:rsidR="00131D56" w:rsidRPr="00873B6C">
        <w:t xml:space="preserve">clause 4.17 of </w:t>
      </w:r>
      <w:r w:rsidR="00972E70" w:rsidRPr="00873B6C">
        <w:t>TS 23.502 [</w:t>
      </w:r>
      <w:r w:rsidRPr="00873B6C">
        <w:t>3].</w:t>
      </w:r>
    </w:p>
    <w:p w14:paraId="743FCA02" w14:textId="55C97134" w:rsidR="00D40151" w:rsidRPr="00873B6C" w:rsidRDefault="00D40151" w:rsidP="00D40151">
      <w:pPr>
        <w:pStyle w:val="Heading4"/>
      </w:pPr>
      <w:bookmarkStart w:id="5615" w:name="_CR6_3_3_3"/>
      <w:bookmarkStart w:id="5616" w:name="_Toc20150218"/>
      <w:bookmarkStart w:id="5617" w:name="_Toc27847026"/>
      <w:bookmarkStart w:id="5618" w:name="_Toc36188158"/>
      <w:bookmarkStart w:id="5619" w:name="_Toc45184069"/>
      <w:bookmarkStart w:id="5620" w:name="_Toc47342911"/>
      <w:bookmarkStart w:id="5621" w:name="_Toc51769613"/>
      <w:bookmarkStart w:id="5622" w:name="_Toc201157776"/>
      <w:bookmarkEnd w:id="5615"/>
      <w:r w:rsidRPr="00873B6C">
        <w:t>6.3.3.3</w:t>
      </w:r>
      <w:r w:rsidRPr="00873B6C">
        <w:tab/>
        <w:t>Selection of an UPF for a particular PDU Session</w:t>
      </w:r>
      <w:bookmarkEnd w:id="5616"/>
      <w:bookmarkEnd w:id="5617"/>
      <w:bookmarkEnd w:id="5618"/>
      <w:bookmarkEnd w:id="5619"/>
      <w:bookmarkEnd w:id="5620"/>
      <w:bookmarkEnd w:id="5621"/>
      <w:bookmarkEnd w:id="5622"/>
    </w:p>
    <w:p w14:paraId="39A7264E" w14:textId="77777777" w:rsidR="00D40151" w:rsidRPr="00873B6C" w:rsidRDefault="00D40151" w:rsidP="00D40151">
      <w:r w:rsidRPr="00873B6C">
        <w:t>The following parameter(s) and information may be considered by the SMF for UPF selection and re-selection:</w:t>
      </w:r>
    </w:p>
    <w:p w14:paraId="5C755B2C" w14:textId="77777777" w:rsidR="00D40151" w:rsidRPr="00873B6C" w:rsidRDefault="00D40151" w:rsidP="00D40151">
      <w:pPr>
        <w:pStyle w:val="B1"/>
      </w:pPr>
      <w:r w:rsidRPr="00873B6C">
        <w:t>-</w:t>
      </w:r>
      <w:r w:rsidRPr="00873B6C">
        <w:tab/>
        <w:t>UPF's dynamic load.</w:t>
      </w:r>
    </w:p>
    <w:p w14:paraId="1D3782D9" w14:textId="0D67BD65" w:rsidR="00D40151" w:rsidRPr="00873B6C" w:rsidRDefault="00D40151" w:rsidP="00D40151">
      <w:pPr>
        <w:pStyle w:val="B1"/>
      </w:pPr>
      <w:r w:rsidRPr="00873B6C">
        <w:t>-</w:t>
      </w:r>
      <w:r w:rsidRPr="00873B6C">
        <w:tab/>
        <w:t>Analytics (i.e. statistics or predictions) for UPF load</w:t>
      </w:r>
      <w:r w:rsidR="00405088" w:rsidRPr="00873B6C">
        <w:t>, Service Experience analytics</w:t>
      </w:r>
      <w:r w:rsidR="000F5D21" w:rsidRPr="00873B6C">
        <w:t xml:space="preserve"> and/or DN Performance analytics</w:t>
      </w:r>
      <w:r w:rsidR="00405088" w:rsidRPr="00873B6C">
        <w:t xml:space="preserve"> per UP path (including UPF and/or DNAI and/or AS instance)</w:t>
      </w:r>
      <w:r w:rsidRPr="00873B6C">
        <w:t xml:space="preserve"> and UE related analytics (UE mobility, UE communication</w:t>
      </w:r>
      <w:r w:rsidR="00472CD7" w:rsidRPr="00873B6C">
        <w:t xml:space="preserve"> and</w:t>
      </w:r>
      <w:r w:rsidRPr="00873B6C">
        <w:t xml:space="preserve"> expected UE behavioural parameters) as received from NWDAF (see </w:t>
      </w:r>
      <w:r w:rsidR="00972E70" w:rsidRPr="00873B6C">
        <w:t>TS 23.288 [</w:t>
      </w:r>
      <w:r w:rsidRPr="00873B6C">
        <w:t>86]), if NWDAF is deployed.</w:t>
      </w:r>
    </w:p>
    <w:p w14:paraId="75A38CD4" w14:textId="77777777" w:rsidR="00D40151" w:rsidRPr="00873B6C" w:rsidRDefault="00D40151" w:rsidP="00D40151">
      <w:pPr>
        <w:pStyle w:val="B1"/>
      </w:pPr>
      <w:r w:rsidRPr="00873B6C">
        <w:t>-</w:t>
      </w:r>
      <w:r w:rsidRPr="00873B6C">
        <w:tab/>
        <w:t>UPF's relative static capacity among UPFs supporting the same DNN.</w:t>
      </w:r>
    </w:p>
    <w:p w14:paraId="1E5EA498" w14:textId="77777777" w:rsidR="00D40151" w:rsidRPr="00873B6C" w:rsidRDefault="00D40151" w:rsidP="00D40151">
      <w:pPr>
        <w:pStyle w:val="B1"/>
      </w:pPr>
      <w:r w:rsidRPr="00873B6C">
        <w:t>-</w:t>
      </w:r>
      <w:r w:rsidRPr="00873B6C">
        <w:tab/>
        <w:t>UPF location available at the SMF.</w:t>
      </w:r>
    </w:p>
    <w:p w14:paraId="2FDD0D32" w14:textId="77777777" w:rsidR="00D40151" w:rsidRPr="00873B6C" w:rsidRDefault="00D40151" w:rsidP="00D40151">
      <w:pPr>
        <w:pStyle w:val="B1"/>
      </w:pPr>
      <w:r w:rsidRPr="00873B6C">
        <w:t>-</w:t>
      </w:r>
      <w:r w:rsidRPr="00873B6C">
        <w:tab/>
        <w:t>UE location information.</w:t>
      </w:r>
    </w:p>
    <w:p w14:paraId="4E5016EC" w14:textId="77777777" w:rsidR="00D40151" w:rsidRPr="00873B6C" w:rsidRDefault="00D40151" w:rsidP="00D40151">
      <w:pPr>
        <w:pStyle w:val="B1"/>
      </w:pPr>
      <w:r w:rsidRPr="00873B6C">
        <w:t>-</w:t>
      </w:r>
      <w:r w:rsidRPr="00873B6C">
        <w:tab/>
        <w:t>Capability of the UPF and the functionality required for the particular UE session: An appropriate UPF can be selected by matching the functionality and features required for an UE.</w:t>
      </w:r>
    </w:p>
    <w:p w14:paraId="718C3AD1" w14:textId="77777777" w:rsidR="00D40151" w:rsidRPr="00873B6C" w:rsidRDefault="00D40151" w:rsidP="00D40151">
      <w:pPr>
        <w:pStyle w:val="B1"/>
      </w:pPr>
      <w:r w:rsidRPr="00873B6C">
        <w:t>-</w:t>
      </w:r>
      <w:r w:rsidRPr="00873B6C">
        <w:tab/>
        <w:t>Data Network Name (DNN).</w:t>
      </w:r>
    </w:p>
    <w:p w14:paraId="2BB95106" w14:textId="77777777" w:rsidR="00D40151" w:rsidRPr="00873B6C" w:rsidRDefault="00D40151" w:rsidP="00D40151">
      <w:pPr>
        <w:pStyle w:val="B1"/>
      </w:pPr>
      <w:r w:rsidRPr="00873B6C">
        <w:t>-</w:t>
      </w:r>
      <w:r w:rsidRPr="00873B6C">
        <w:tab/>
        <w:t>PDU Session Type (i.e. IPv4, IPv6, IPv4v6, Ethernet Type or Unstructured Type) and if applicable, the static IP address/prefix.</w:t>
      </w:r>
    </w:p>
    <w:p w14:paraId="7F6618A2" w14:textId="77777777" w:rsidR="00D40151" w:rsidRPr="00873B6C" w:rsidRDefault="00D40151" w:rsidP="00D40151">
      <w:pPr>
        <w:pStyle w:val="B1"/>
      </w:pPr>
      <w:r w:rsidRPr="00873B6C">
        <w:t>-</w:t>
      </w:r>
      <w:r w:rsidRPr="00873B6C">
        <w:tab/>
        <w:t>SSC mode selected for the PDU Session.</w:t>
      </w:r>
    </w:p>
    <w:p w14:paraId="0ACC0DAB" w14:textId="77777777" w:rsidR="00D40151" w:rsidRPr="00873B6C" w:rsidRDefault="00D40151" w:rsidP="00D40151">
      <w:pPr>
        <w:pStyle w:val="B1"/>
      </w:pPr>
      <w:r w:rsidRPr="00873B6C">
        <w:t>-</w:t>
      </w:r>
      <w:r w:rsidRPr="00873B6C">
        <w:tab/>
        <w:t>UE subscription profile in UDM.</w:t>
      </w:r>
    </w:p>
    <w:p w14:paraId="513514B0" w14:textId="77777777" w:rsidR="00D40151" w:rsidRPr="00873B6C" w:rsidRDefault="00D40151" w:rsidP="00D40151">
      <w:pPr>
        <w:pStyle w:val="B1"/>
      </w:pPr>
      <w:r w:rsidRPr="00873B6C">
        <w:t>-</w:t>
      </w:r>
      <w:r w:rsidRPr="00873B6C">
        <w:tab/>
        <w:t>DNAI as included in the PCC Rules and described in clause 5.6.7.</w:t>
      </w:r>
    </w:p>
    <w:p w14:paraId="7C678D49" w14:textId="77777777" w:rsidR="00D40151" w:rsidRPr="00873B6C" w:rsidRDefault="00D40151" w:rsidP="00D40151">
      <w:pPr>
        <w:pStyle w:val="B1"/>
      </w:pPr>
      <w:r w:rsidRPr="00873B6C">
        <w:t>-</w:t>
      </w:r>
      <w:r w:rsidRPr="00873B6C">
        <w:tab/>
        <w:t>Local operator policies.</w:t>
      </w:r>
    </w:p>
    <w:p w14:paraId="2BA41232" w14:textId="77777777" w:rsidR="00D40151" w:rsidRPr="00873B6C" w:rsidRDefault="00D40151" w:rsidP="00D40151">
      <w:pPr>
        <w:pStyle w:val="B1"/>
      </w:pPr>
      <w:r w:rsidRPr="00873B6C">
        <w:t>-</w:t>
      </w:r>
      <w:r w:rsidRPr="00873B6C">
        <w:tab/>
        <w:t>S-NSSAI.</w:t>
      </w:r>
    </w:p>
    <w:p w14:paraId="505AD890" w14:textId="77777777" w:rsidR="00D40151" w:rsidRPr="00873B6C" w:rsidRDefault="00D40151" w:rsidP="00D40151">
      <w:pPr>
        <w:pStyle w:val="B1"/>
      </w:pPr>
      <w:r w:rsidRPr="00873B6C">
        <w:t>-</w:t>
      </w:r>
      <w:r w:rsidRPr="00873B6C">
        <w:tab/>
        <w:t>Access technology being used by the UE.</w:t>
      </w:r>
    </w:p>
    <w:p w14:paraId="4832E254" w14:textId="77777777" w:rsidR="00D40151" w:rsidRPr="00873B6C" w:rsidRDefault="00D40151" w:rsidP="00D40151">
      <w:pPr>
        <w:pStyle w:val="B1"/>
      </w:pPr>
      <w:r w:rsidRPr="00873B6C">
        <w:lastRenderedPageBreak/>
        <w:t>-</w:t>
      </w:r>
      <w:r w:rsidRPr="00873B6C">
        <w:tab/>
        <w:t>Information related to user plane topology and user plane terminations, that may be deduced from:</w:t>
      </w:r>
    </w:p>
    <w:p w14:paraId="63219E6F" w14:textId="77777777" w:rsidR="00D40151" w:rsidRPr="00873B6C" w:rsidRDefault="00D40151" w:rsidP="00D40151">
      <w:pPr>
        <w:pStyle w:val="B2"/>
      </w:pPr>
      <w:r w:rsidRPr="00873B6C">
        <w:t>-</w:t>
      </w:r>
      <w:r w:rsidRPr="00873B6C">
        <w:tab/>
        <w:t>5G-AN-provided identities (e.g. CellID, TAI), available UPF(s) and DNAI(s);</w:t>
      </w:r>
    </w:p>
    <w:p w14:paraId="1BC7F413" w14:textId="77777777" w:rsidR="00D40151" w:rsidRPr="00873B6C" w:rsidRDefault="00D40151" w:rsidP="00D40151">
      <w:pPr>
        <w:pStyle w:val="B1"/>
      </w:pPr>
      <w:r w:rsidRPr="00873B6C">
        <w:t>-</w:t>
      </w:r>
      <w:r w:rsidRPr="00873B6C">
        <w:tab/>
        <w:t>Identifiers (i.e. a FQDN and/or IP address(es)) of N3 terminations provided by a W-AGF or a TNGF or a TWIF;</w:t>
      </w:r>
    </w:p>
    <w:p w14:paraId="6649A0BD" w14:textId="7898BF26" w:rsidR="00CD22D1" w:rsidRPr="00873B6C" w:rsidRDefault="00CD22D1" w:rsidP="005163AE">
      <w:pPr>
        <w:pStyle w:val="NO"/>
      </w:pPr>
      <w:r w:rsidRPr="00873B6C">
        <w:t>NOTE 1:</w:t>
      </w:r>
      <w:r w:rsidRPr="00873B6C">
        <w:tab/>
        <w:t>A W-AGF or a TNGF may provide Identifiers of its N3 terminations when forwarding over N2 uplink NAS signalling to the 5GC. The AMF may relay this information to the SMF, as part of session management signalling for a new PDU Session.</w:t>
      </w:r>
    </w:p>
    <w:p w14:paraId="60EB3805" w14:textId="50B5B766" w:rsidR="00D40151" w:rsidRPr="00873B6C" w:rsidRDefault="00D40151" w:rsidP="00D40151">
      <w:pPr>
        <w:pStyle w:val="B1"/>
      </w:pPr>
      <w:r w:rsidRPr="00873B6C">
        <w:t>-</w:t>
      </w:r>
      <w:r w:rsidRPr="00873B6C">
        <w:tab/>
        <w:t>Information regarding the user plane interfaces of UPF(s). This information may be acquired by the SMF using N4;</w:t>
      </w:r>
    </w:p>
    <w:p w14:paraId="3AD0FDB8" w14:textId="77777777" w:rsidR="00D40151" w:rsidRPr="00873B6C" w:rsidRDefault="00D40151" w:rsidP="00D40151">
      <w:pPr>
        <w:pStyle w:val="B1"/>
      </w:pPr>
      <w:r w:rsidRPr="00873B6C">
        <w:t>-</w:t>
      </w:r>
      <w:r w:rsidRPr="00873B6C">
        <w:tab/>
        <w:t>Information regarding the N3 User Plane termination(s) of the AN serving the UE. This may be deduced from 5G-AN-provided identities (e.g. CellID, TAI);</w:t>
      </w:r>
    </w:p>
    <w:p w14:paraId="7EA256E1" w14:textId="77777777" w:rsidR="00D40151" w:rsidRPr="00873B6C" w:rsidRDefault="00D40151" w:rsidP="00D40151">
      <w:pPr>
        <w:pStyle w:val="B1"/>
      </w:pPr>
      <w:r w:rsidRPr="00873B6C">
        <w:t>-</w:t>
      </w:r>
      <w:r w:rsidRPr="00873B6C">
        <w:tab/>
        <w:t>Information regarding the N9 User Plane termination(s) of UPF(s) if needed;</w:t>
      </w:r>
    </w:p>
    <w:p w14:paraId="34EBEA2E" w14:textId="77777777" w:rsidR="00D40151" w:rsidRPr="00873B6C" w:rsidRDefault="00D40151" w:rsidP="00D40151">
      <w:pPr>
        <w:pStyle w:val="B1"/>
      </w:pPr>
      <w:r w:rsidRPr="00873B6C">
        <w:t>-</w:t>
      </w:r>
      <w:r w:rsidRPr="00873B6C">
        <w:tab/>
        <w:t>Information regarding the User plane termination(s) corresponding to DNAI(s).</w:t>
      </w:r>
    </w:p>
    <w:p w14:paraId="5983A4AD" w14:textId="77777777" w:rsidR="00D40151" w:rsidRPr="00873B6C" w:rsidRDefault="00D40151" w:rsidP="00D40151">
      <w:pPr>
        <w:pStyle w:val="B1"/>
      </w:pPr>
      <w:r w:rsidRPr="00873B6C">
        <w:t>-</w:t>
      </w:r>
      <w:r w:rsidRPr="00873B6C">
        <w:tab/>
        <w:t>RSN, support for redundant GTP-U path or support for redundant transport path in the transport layer (as in clause 5.33.2) when redundant UP handling is applicable.</w:t>
      </w:r>
    </w:p>
    <w:p w14:paraId="2A516301" w14:textId="727645FD" w:rsidR="00D40151" w:rsidRPr="00873B6C" w:rsidRDefault="00D40151" w:rsidP="00D40151">
      <w:pPr>
        <w:pStyle w:val="B1"/>
      </w:pPr>
      <w:r w:rsidRPr="00873B6C">
        <w:t>-</w:t>
      </w:r>
      <w:r w:rsidRPr="00873B6C">
        <w:tab/>
        <w:t>Information regarding the ATSSS Steering Capability of the UE session (</w:t>
      </w:r>
      <w:r w:rsidR="007C2ADF" w:rsidRPr="00873B6C">
        <w:t xml:space="preserve">e.g. any combination of </w:t>
      </w:r>
      <w:r w:rsidRPr="00873B6C">
        <w:t>ATSSS-LL capability, MPTCP capability,</w:t>
      </w:r>
      <w:r w:rsidR="007C2ADF" w:rsidRPr="00873B6C">
        <w:t xml:space="preserve"> MPQUIC capability</w:t>
      </w:r>
      <w:r w:rsidRPr="00873B6C">
        <w:t>) and information on the UPF support of RTT measurements without PMF.</w:t>
      </w:r>
    </w:p>
    <w:p w14:paraId="0F4FF542" w14:textId="77777777" w:rsidR="00D40151" w:rsidRPr="00873B6C" w:rsidRDefault="00D40151" w:rsidP="00D40151">
      <w:pPr>
        <w:pStyle w:val="B1"/>
      </w:pPr>
      <w:r w:rsidRPr="00873B6C">
        <w:t>-</w:t>
      </w:r>
      <w:r w:rsidRPr="00873B6C">
        <w:tab/>
        <w:t>Support for UPF allocation of IP address/prefix.</w:t>
      </w:r>
    </w:p>
    <w:p w14:paraId="09809AEE" w14:textId="77777777" w:rsidR="00D40151" w:rsidRPr="00873B6C" w:rsidRDefault="00D40151" w:rsidP="00D40151">
      <w:pPr>
        <w:pStyle w:val="B1"/>
      </w:pPr>
      <w:r w:rsidRPr="00873B6C">
        <w:t>-</w:t>
      </w:r>
      <w:r w:rsidRPr="00873B6C">
        <w:tab/>
        <w:t>Support of the IPUPS functionality, specified in clause 5.8.2.14.</w:t>
      </w:r>
    </w:p>
    <w:p w14:paraId="25C4478C" w14:textId="77777777" w:rsidR="00D40151" w:rsidRPr="00873B6C" w:rsidRDefault="00D40151" w:rsidP="00D40151">
      <w:pPr>
        <w:pStyle w:val="B1"/>
      </w:pPr>
      <w:r w:rsidRPr="00873B6C">
        <w:t>-</w:t>
      </w:r>
      <w:r w:rsidRPr="00873B6C">
        <w:tab/>
        <w:t>Support for High latency communication (see clause 5.31.8).</w:t>
      </w:r>
    </w:p>
    <w:p w14:paraId="5FBDFEA4" w14:textId="56F55A83" w:rsidR="00386935" w:rsidRPr="00873B6C" w:rsidRDefault="00386935" w:rsidP="00562E84">
      <w:pPr>
        <w:pStyle w:val="B1"/>
        <w:rPr>
          <w:lang w:eastAsia="zh-CN"/>
        </w:rPr>
      </w:pPr>
      <w:r w:rsidRPr="00873B6C">
        <w:rPr>
          <w:lang w:eastAsia="zh-CN"/>
        </w:rPr>
        <w:t>-</w:t>
      </w:r>
      <w:r w:rsidRPr="00873B6C">
        <w:rPr>
          <w:lang w:eastAsia="zh-CN"/>
        </w:rPr>
        <w:tab/>
        <w:t>Support for</w:t>
      </w:r>
      <w:r w:rsidR="00357584" w:rsidRPr="00873B6C">
        <w:rPr>
          <w:lang w:eastAsia="zh-CN"/>
        </w:rPr>
        <w:t xml:space="preserve"> functionality associated with high data rate low latency services, eXtended Reality (XR) and interactive media services, specified in clause 5.37 (for example,</w:t>
      </w:r>
      <w:r w:rsidRPr="00873B6C">
        <w:rPr>
          <w:lang w:eastAsia="zh-CN"/>
        </w:rPr>
        <w:t xml:space="preserve"> ECN marking for L4S, specified in clause 5.37.3</w:t>
      </w:r>
      <w:r w:rsidR="00357584" w:rsidRPr="00873B6C">
        <w:rPr>
          <w:lang w:eastAsia="zh-CN"/>
        </w:rPr>
        <w:t>, PDU Set Marking, specified in clause 5.37.5, UE power saving management, specified in clause 5.37.8)</w:t>
      </w:r>
      <w:r w:rsidRPr="00873B6C">
        <w:rPr>
          <w:lang w:eastAsia="zh-CN"/>
        </w:rPr>
        <w:t>.</w:t>
      </w:r>
    </w:p>
    <w:p w14:paraId="593BFBFA" w14:textId="23827B39" w:rsidR="00681FC7" w:rsidRPr="00873B6C" w:rsidRDefault="00681FC7" w:rsidP="00562E84">
      <w:pPr>
        <w:pStyle w:val="B1"/>
        <w:rPr>
          <w:lang w:eastAsia="zh-CN"/>
        </w:rPr>
      </w:pPr>
      <w:r w:rsidRPr="00873B6C">
        <w:rPr>
          <w:lang w:eastAsia="zh-CN"/>
        </w:rPr>
        <w:t>-</w:t>
      </w:r>
      <w:r w:rsidRPr="00873B6C">
        <w:rPr>
          <w:lang w:eastAsia="zh-CN"/>
        </w:rPr>
        <w:tab/>
        <w:t>User Plane Latency Requirements within AF request (see clause 5.6.7.1 and</w:t>
      </w:r>
      <w:r w:rsidR="00D602DF" w:rsidRPr="00873B6C">
        <w:rPr>
          <w:lang w:eastAsia="zh-CN"/>
        </w:rPr>
        <w:t xml:space="preserve"> clause 6.3.6</w:t>
      </w:r>
      <w:r w:rsidRPr="00873B6C">
        <w:rPr>
          <w:lang w:eastAsia="zh-CN"/>
        </w:rPr>
        <w:t xml:space="preserve"> </w:t>
      </w:r>
      <w:r w:rsidR="00D602DF" w:rsidRPr="00873B6C">
        <w:rPr>
          <w:lang w:eastAsia="zh-CN"/>
        </w:rPr>
        <w:t xml:space="preserve">of </w:t>
      </w:r>
      <w:r w:rsidR="00972E70" w:rsidRPr="00873B6C">
        <w:rPr>
          <w:lang w:eastAsia="zh-CN"/>
        </w:rPr>
        <w:t>TS 23.548 [</w:t>
      </w:r>
      <w:r w:rsidRPr="00873B6C">
        <w:rPr>
          <w:lang w:eastAsia="zh-CN"/>
        </w:rPr>
        <w:t>130]).</w:t>
      </w:r>
    </w:p>
    <w:p w14:paraId="7B7CAB36" w14:textId="1D6E987D" w:rsidR="00114986" w:rsidRPr="00873B6C" w:rsidRDefault="00114986" w:rsidP="00114986">
      <w:pPr>
        <w:pStyle w:val="B1"/>
        <w:rPr>
          <w:lang w:eastAsia="zh-CN"/>
        </w:rPr>
      </w:pPr>
      <w:r w:rsidRPr="00873B6C">
        <w:rPr>
          <w:lang w:eastAsia="zh-CN"/>
        </w:rPr>
        <w:t>-</w:t>
      </w:r>
      <w:r w:rsidRPr="00873B6C">
        <w:rPr>
          <w:lang w:eastAsia="zh-CN"/>
        </w:rPr>
        <w:tab/>
        <w:t>List of supported Event ID(s) for exposure of UPF-related information via service based interface (see clause 7.2.29 and clause 5.2.26.2 of TS 23.502 [3]).</w:t>
      </w:r>
    </w:p>
    <w:p w14:paraId="75F98A57" w14:textId="39547F3D" w:rsidR="00D40151" w:rsidRPr="00873B6C" w:rsidRDefault="00D40151" w:rsidP="00D40151">
      <w:pPr>
        <w:pStyle w:val="NO"/>
        <w:rPr>
          <w:lang w:eastAsia="zh-CN"/>
        </w:rPr>
      </w:pPr>
      <w:r w:rsidRPr="00873B6C">
        <w:rPr>
          <w:lang w:eastAsia="zh-CN"/>
        </w:rPr>
        <w:t>NOTE </w:t>
      </w:r>
      <w:r w:rsidR="00CD22D1" w:rsidRPr="00873B6C">
        <w:rPr>
          <w:lang w:eastAsia="zh-CN"/>
        </w:rPr>
        <w:t>2</w:t>
      </w:r>
      <w:r w:rsidRPr="00873B6C">
        <w:rPr>
          <w:lang w:eastAsia="zh-CN"/>
        </w:rPr>
        <w:t>:</w:t>
      </w:r>
      <w:r w:rsidRPr="00873B6C">
        <w:rPr>
          <w:lang w:eastAsia="zh-CN"/>
        </w:rPr>
        <w:tab/>
        <w:t>How the SMF determines information about the user plane network topology from information listed above</w:t>
      </w:r>
      <w:r w:rsidR="00472CD7" w:rsidRPr="00873B6C">
        <w:rPr>
          <w:lang w:eastAsia="zh-CN"/>
        </w:rPr>
        <w:t xml:space="preserve"> and</w:t>
      </w:r>
      <w:r w:rsidRPr="00873B6C">
        <w:rPr>
          <w:lang w:eastAsia="zh-CN"/>
        </w:rPr>
        <w:t xml:space="preserve"> what information is considered by the SMF, is based on operator configuration.</w:t>
      </w:r>
    </w:p>
    <w:p w14:paraId="013D2C90" w14:textId="6E59696E" w:rsidR="00D40151" w:rsidRPr="00873B6C" w:rsidRDefault="00D40151" w:rsidP="00D40151">
      <w:pPr>
        <w:pStyle w:val="NO"/>
        <w:rPr>
          <w:lang w:eastAsia="zh-CN"/>
        </w:rPr>
      </w:pPr>
      <w:r w:rsidRPr="00873B6C">
        <w:rPr>
          <w:lang w:eastAsia="zh-CN"/>
        </w:rPr>
        <w:t>NOTE </w:t>
      </w:r>
      <w:r w:rsidR="00CD22D1" w:rsidRPr="00873B6C">
        <w:rPr>
          <w:lang w:eastAsia="zh-CN"/>
        </w:rPr>
        <w:t>3</w:t>
      </w:r>
      <w:r w:rsidRPr="00873B6C">
        <w:rPr>
          <w:lang w:eastAsia="zh-CN"/>
        </w:rPr>
        <w:t>:</w:t>
      </w:r>
      <w:r w:rsidRPr="00873B6C">
        <w:rPr>
          <w:lang w:eastAsia="zh-CN"/>
        </w:rPr>
        <w:tab/>
        <w:t>In this release the SMF uses no additional parameters for UPF selection for a PDU Session serving TSC</w:t>
      </w:r>
      <w:r w:rsidR="00120E23" w:rsidRPr="00873B6C">
        <w:rPr>
          <w:lang w:eastAsia="zh-CN"/>
        </w:rPr>
        <w:t xml:space="preserve"> or Deterministic Networking</w:t>
      </w:r>
      <w:r w:rsidRPr="00873B6C">
        <w:rPr>
          <w:lang w:eastAsia="zh-CN"/>
        </w:rPr>
        <w:t>. If a PDU Session needs to connect to a specific UPF hosting a specific TSN 5GS bridge</w:t>
      </w:r>
      <w:r w:rsidR="00120E23" w:rsidRPr="00873B6C">
        <w:rPr>
          <w:lang w:eastAsia="zh-CN"/>
        </w:rPr>
        <w:t xml:space="preserve"> or 5GS router</w:t>
      </w:r>
      <w:r w:rsidRPr="00873B6C">
        <w:rPr>
          <w:lang w:eastAsia="zh-CN"/>
        </w:rPr>
        <w:t>, this can be achieved e.g. by using a dedicated DNN/S-NSSAI combination.</w:t>
      </w:r>
    </w:p>
    <w:p w14:paraId="48D6FBFF" w14:textId="15FCF14D" w:rsidR="00CD22D1" w:rsidRPr="00873B6C" w:rsidRDefault="00CD22D1" w:rsidP="00CD22D1">
      <w:pPr>
        <w:rPr>
          <w:lang w:eastAsia="zh-CN"/>
        </w:rPr>
      </w:pPr>
      <w:bookmarkStart w:id="5623" w:name="_Toc20150219"/>
      <w:bookmarkStart w:id="5624" w:name="_Toc27847027"/>
      <w:bookmarkStart w:id="5625" w:name="_Toc36188159"/>
      <w:bookmarkStart w:id="5626" w:name="_Toc45184070"/>
      <w:bookmarkStart w:id="5627" w:name="_Toc47342912"/>
      <w:bookmarkStart w:id="5628" w:name="_Toc51769614"/>
      <w:r w:rsidRPr="00873B6C">
        <w:rPr>
          <w:lang w:eastAsia="zh-CN"/>
        </w:rPr>
        <w:t>If there is an existing PDU Session</w:t>
      </w:r>
      <w:r w:rsidR="00472CD7" w:rsidRPr="00873B6C">
        <w:rPr>
          <w:lang w:eastAsia="zh-CN"/>
        </w:rPr>
        <w:t xml:space="preserve"> and</w:t>
      </w:r>
      <w:r w:rsidRPr="00873B6C">
        <w:rPr>
          <w:lang w:eastAsia="zh-CN"/>
        </w:rPr>
        <w:t xml:space="preserve"> the SMF receives another PDU Session request to the same DNN and S-NSSAI</w:t>
      </w:r>
      <w:r w:rsidR="00472CD7" w:rsidRPr="00873B6C">
        <w:rPr>
          <w:lang w:eastAsia="zh-CN"/>
        </w:rPr>
        <w:t xml:space="preserve"> and</w:t>
      </w:r>
      <w:r w:rsidRPr="00873B6C">
        <w:rPr>
          <w:lang w:eastAsia="zh-CN"/>
        </w:rPr>
        <w:t xml:space="preserve"> if the SMF determines that interworking with EPC is supported for this PDU Session (as specified in clause 4.11.5 of TS 23.502 [3]), the SMF should select the same UPF if it supports all capabilities required for the new PDU Session. Otherwise, if the SMF determines that interworking with EPC is not supported for the new PDU Session or the UPF of the existing PDU Session does not support all capabilities required for the new PDU Session, a different UPF may be selected according to operator policy.</w:t>
      </w:r>
    </w:p>
    <w:p w14:paraId="7A8E3030" w14:textId="77777777" w:rsidR="00CD22D1" w:rsidRPr="00873B6C" w:rsidRDefault="00CD22D1" w:rsidP="00CD22D1">
      <w:pPr>
        <w:rPr>
          <w:lang w:eastAsia="zh-CN"/>
        </w:rPr>
      </w:pPr>
      <w:r w:rsidRPr="00873B6C">
        <w:rPr>
          <w:lang w:eastAsia="zh-CN"/>
        </w:rPr>
        <w:t>For the same DNN and S-NSSAI if different UPFs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0167C82F" w14:textId="77777777" w:rsidR="00D40151" w:rsidRPr="00873B6C" w:rsidRDefault="00D40151" w:rsidP="00D40151">
      <w:pPr>
        <w:pStyle w:val="Heading3"/>
        <w:rPr>
          <w:rFonts w:eastAsia="Malgun Gothic"/>
          <w:lang w:eastAsia="ko-KR"/>
        </w:rPr>
      </w:pPr>
      <w:bookmarkStart w:id="5629" w:name="_CR6_3_4"/>
      <w:bookmarkStart w:id="5630" w:name="_Toc201157777"/>
      <w:bookmarkEnd w:id="5629"/>
      <w:r w:rsidRPr="00873B6C">
        <w:rPr>
          <w:lang w:eastAsia="zh-CN"/>
        </w:rPr>
        <w:t>6.3.</w:t>
      </w:r>
      <w:r w:rsidRPr="00873B6C">
        <w:rPr>
          <w:rFonts w:eastAsia="Malgun Gothic"/>
          <w:lang w:eastAsia="ko-KR"/>
        </w:rPr>
        <w:t>4</w:t>
      </w:r>
      <w:r w:rsidRPr="00873B6C">
        <w:rPr>
          <w:lang w:eastAsia="zh-CN"/>
        </w:rPr>
        <w:tab/>
      </w:r>
      <w:r w:rsidRPr="00873B6C">
        <w:rPr>
          <w:rFonts w:eastAsia="Malgun Gothic"/>
          <w:lang w:eastAsia="ko-KR"/>
        </w:rPr>
        <w:t>AUSF discovery and selection</w:t>
      </w:r>
      <w:bookmarkEnd w:id="5623"/>
      <w:bookmarkEnd w:id="5624"/>
      <w:bookmarkEnd w:id="5625"/>
      <w:bookmarkEnd w:id="5626"/>
      <w:bookmarkEnd w:id="5627"/>
      <w:bookmarkEnd w:id="5628"/>
      <w:bookmarkEnd w:id="5630"/>
    </w:p>
    <w:p w14:paraId="05776611" w14:textId="77777777" w:rsidR="00D40151" w:rsidRPr="00873B6C" w:rsidRDefault="00D40151" w:rsidP="00D40151">
      <w:r w:rsidRPr="00873B6C">
        <w:t>In the case of NF consumer based discovery and selection, the following applies:</w:t>
      </w:r>
    </w:p>
    <w:p w14:paraId="509351BC" w14:textId="799AC730" w:rsidR="00D40151" w:rsidRPr="00873B6C" w:rsidRDefault="00D40151" w:rsidP="00D40151">
      <w:pPr>
        <w:pStyle w:val="B1"/>
      </w:pPr>
      <w:r w:rsidRPr="00873B6C">
        <w:lastRenderedPageBreak/>
        <w:t>-</w:t>
      </w:r>
      <w:r w:rsidRPr="00873B6C">
        <w:tab/>
        <w:t xml:space="preserve">The </w:t>
      </w:r>
      <w:r w:rsidRPr="00873B6C">
        <w:rPr>
          <w:rFonts w:eastAsia="Malgun Gothic"/>
          <w:lang w:eastAsia="ko-KR"/>
        </w:rPr>
        <w:t>AMF</w:t>
      </w:r>
      <w:r w:rsidR="00D45059" w:rsidRPr="00873B6C">
        <w:rPr>
          <w:rFonts w:eastAsia="Malgun Gothic"/>
          <w:lang w:eastAsia="ko-KR"/>
        </w:rPr>
        <w:t xml:space="preserve"> and the NSWOF</w:t>
      </w:r>
      <w:r w:rsidRPr="00873B6C">
        <w:rPr>
          <w:rFonts w:eastAsia="Malgun Gothic"/>
          <w:lang w:eastAsia="ko-KR"/>
        </w:rPr>
        <w:t xml:space="preserve"> perform AUSF</w:t>
      </w:r>
      <w:r w:rsidRPr="00873B6C">
        <w:t xml:space="preserve"> selection to allocate an </w:t>
      </w:r>
      <w:r w:rsidRPr="00873B6C">
        <w:rPr>
          <w:rFonts w:eastAsia="Malgun Gothic"/>
          <w:lang w:eastAsia="ko-KR"/>
        </w:rPr>
        <w:t xml:space="preserve">AUSF Instance </w:t>
      </w:r>
      <w:r w:rsidRPr="00873B6C">
        <w:t>that</w:t>
      </w:r>
      <w:r w:rsidRPr="00873B6C">
        <w:rPr>
          <w:rFonts w:eastAsia="Malgun Gothic"/>
          <w:lang w:eastAsia="ko-KR"/>
        </w:rPr>
        <w:t xml:space="preserve"> performs authentication between the UE and 5G CN in the HPLMN</w:t>
      </w:r>
      <w:r w:rsidRPr="00873B6C">
        <w:t>. The AMF</w:t>
      </w:r>
      <w:r w:rsidR="00D45059" w:rsidRPr="00873B6C">
        <w:t xml:space="preserve"> and the NSWOF</w:t>
      </w:r>
      <w:r w:rsidRPr="00873B6C">
        <w:t xml:space="preserve"> shall utilize the </w:t>
      </w:r>
      <w:r w:rsidRPr="00873B6C">
        <w:rPr>
          <w:rFonts w:eastAsia="Malgun Gothic"/>
          <w:lang w:eastAsia="ko-KR"/>
        </w:rPr>
        <w:t>NRF</w:t>
      </w:r>
      <w:r w:rsidRPr="00873B6C">
        <w:t xml:space="preserve"> to discover the </w:t>
      </w:r>
      <w:r w:rsidRPr="00873B6C">
        <w:rPr>
          <w:rFonts w:eastAsia="Malgun Gothic"/>
          <w:lang w:eastAsia="ko-KR"/>
        </w:rPr>
        <w:t>AUSF</w:t>
      </w:r>
      <w:r w:rsidRPr="00873B6C">
        <w:t xml:space="preserve"> instance(s) unless </w:t>
      </w:r>
      <w:r w:rsidRPr="00873B6C">
        <w:rPr>
          <w:rFonts w:eastAsia="Malgun Gothic"/>
          <w:lang w:eastAsia="ko-KR"/>
        </w:rPr>
        <w:t>AUSF</w:t>
      </w:r>
      <w:r w:rsidRPr="00873B6C">
        <w:t xml:space="preserve"> information is available by other means, e.g. locally configured on AMF</w:t>
      </w:r>
      <w:r w:rsidR="00D45059" w:rsidRPr="00873B6C">
        <w:t xml:space="preserve"> and on NSWOF</w:t>
      </w:r>
      <w:r w:rsidRPr="00873B6C">
        <w:t>. The AUSF selection function in the AMF</w:t>
      </w:r>
      <w:r w:rsidR="00D45059" w:rsidRPr="00873B6C">
        <w:t xml:space="preserve"> and in the NSWOF</w:t>
      </w:r>
      <w:r w:rsidRPr="00873B6C">
        <w:t xml:space="preserve"> selects</w:t>
      </w:r>
      <w:r w:rsidRPr="00873B6C">
        <w:rPr>
          <w:rFonts w:eastAsia="Malgun Gothic"/>
          <w:lang w:eastAsia="ko-KR"/>
        </w:rPr>
        <w:t xml:space="preserve"> an AUSF instance based on the available AUSF instances (obtained from the NRF or locally configured in the AMF).</w:t>
      </w:r>
    </w:p>
    <w:p w14:paraId="3EB385CA" w14:textId="6703B20F" w:rsidR="00D40151" w:rsidRPr="00873B6C" w:rsidRDefault="00D40151" w:rsidP="00D40151">
      <w:pPr>
        <w:pStyle w:val="B1"/>
      </w:pPr>
      <w:r w:rsidRPr="00873B6C">
        <w:t>-</w:t>
      </w:r>
      <w:r w:rsidRPr="00873B6C">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w:t>
      </w:r>
      <w:r w:rsidR="00472CD7" w:rsidRPr="00873B6C">
        <w:t xml:space="preserve"> and</w:t>
      </w:r>
      <w:r w:rsidRPr="00873B6C">
        <w:t xml:space="preserve"> information stored (by the UDM) from a previously successful authentication.</w:t>
      </w:r>
    </w:p>
    <w:p w14:paraId="0820692F" w14:textId="77777777" w:rsidR="00D40151" w:rsidRPr="00873B6C" w:rsidRDefault="00D40151" w:rsidP="00D40151">
      <w:r w:rsidRPr="00873B6C">
        <w:rPr>
          <w:rFonts w:eastAsia="Malgun Gothic"/>
          <w:lang w:eastAsia="ko-KR"/>
        </w:rPr>
        <w:t>AUSF</w:t>
      </w:r>
      <w:r w:rsidRPr="00873B6C">
        <w:t xml:space="preserve"> selection is applicable to both 3GPP access and non-3GPP access.</w:t>
      </w:r>
    </w:p>
    <w:p w14:paraId="5E6FD889" w14:textId="77777777" w:rsidR="00D40151" w:rsidRPr="00873B6C" w:rsidRDefault="00D40151" w:rsidP="00D40151">
      <w:r w:rsidRPr="00873B6C">
        <w:t xml:space="preserve">The </w:t>
      </w:r>
      <w:r w:rsidRPr="00873B6C">
        <w:rPr>
          <w:rFonts w:eastAsia="Malgun Gothic"/>
          <w:lang w:eastAsia="ko-KR"/>
        </w:rPr>
        <w:t>AUSF</w:t>
      </w:r>
      <w:r w:rsidRPr="00873B6C">
        <w:t xml:space="preserve"> selection function in AUSF NF consumers or in SCP should consider one of the following factors when available:</w:t>
      </w:r>
    </w:p>
    <w:p w14:paraId="03D2DCE9" w14:textId="49A15BC2" w:rsidR="00D40151" w:rsidRPr="00873B6C" w:rsidRDefault="00D40151" w:rsidP="00D40151">
      <w:pPr>
        <w:pStyle w:val="B1"/>
        <w:rPr>
          <w:lang w:eastAsia="ko-KR"/>
        </w:rPr>
      </w:pPr>
      <w:r w:rsidRPr="00873B6C">
        <w:rPr>
          <w:lang w:eastAsia="ko-KR"/>
        </w:rPr>
        <w:t>1.</w:t>
      </w:r>
      <w:r w:rsidRPr="00873B6C">
        <w:rPr>
          <w:lang w:eastAsia="ko-KR"/>
        </w:rPr>
        <w:tab/>
        <w:t>Home Network Identifier (e.g. MNC and MCC</w:t>
      </w:r>
      <w:r w:rsidR="000E35F2" w:rsidRPr="00873B6C">
        <w:rPr>
          <w:lang w:eastAsia="ko-KR"/>
        </w:rPr>
        <w:t>, realm</w:t>
      </w:r>
      <w:r w:rsidRPr="00873B6C">
        <w:rPr>
          <w:lang w:eastAsia="ko-KR"/>
        </w:rPr>
        <w:t>) of SUCI/SUPI (by an NF consumer in the Serving network) along with</w:t>
      </w:r>
      <w:r w:rsidR="000E35F2" w:rsidRPr="00873B6C">
        <w:rPr>
          <w:lang w:eastAsia="ko-KR"/>
        </w:rPr>
        <w:t xml:space="preserve"> the selected</w:t>
      </w:r>
      <w:r w:rsidRPr="00873B6C">
        <w:rPr>
          <w:lang w:eastAsia="ko-KR"/>
        </w:rPr>
        <w:t xml:space="preserve"> NID (provided by the NG-RAN) in the case of SNPN</w:t>
      </w:r>
      <w:r w:rsidR="00616F73" w:rsidRPr="00873B6C">
        <w:rPr>
          <w:lang w:eastAsia="ko-KR"/>
        </w:rPr>
        <w:t>,</w:t>
      </w:r>
      <w:r w:rsidRPr="00873B6C">
        <w:rPr>
          <w:lang w:eastAsia="ko-KR"/>
        </w:rPr>
        <w:t xml:space="preserve"> Routing Indicator</w:t>
      </w:r>
      <w:r w:rsidR="00616F73" w:rsidRPr="00873B6C">
        <w:rPr>
          <w:lang w:eastAsia="ko-KR"/>
        </w:rPr>
        <w:t xml:space="preserve"> and optionally Home Network Public Key identifier (e.g. in the case that Routing Indicator is not enough to provide SUPI range granularity)</w:t>
      </w:r>
      <w:r w:rsidRPr="00873B6C">
        <w:rPr>
          <w:lang w:eastAsia="ko-KR"/>
        </w:rPr>
        <w:t>.</w:t>
      </w:r>
    </w:p>
    <w:p w14:paraId="4B7181A7" w14:textId="277A7F04" w:rsidR="00D40151" w:rsidRPr="00873B6C" w:rsidRDefault="00D40151" w:rsidP="00D40151">
      <w:pPr>
        <w:pStyle w:val="NO"/>
      </w:pPr>
      <w:r w:rsidRPr="00873B6C">
        <w:t>NOTE 1:</w:t>
      </w:r>
      <w:r w:rsidRPr="00873B6C">
        <w:tab/>
        <w:t>The UE provides the</w:t>
      </w:r>
      <w:r w:rsidR="00616F73" w:rsidRPr="00873B6C">
        <w:t xml:space="preserve"> SUCI, which contains the Routing Indicator and Home Network Public Key identifier</w:t>
      </w:r>
      <w:r w:rsidRPr="00873B6C">
        <w:t xml:space="preserve"> as defined in </w:t>
      </w:r>
      <w:r w:rsidR="00972E70" w:rsidRPr="00873B6C">
        <w:t>TS 23.003 [</w:t>
      </w:r>
      <w:r w:rsidRPr="00873B6C">
        <w:t>19]</w:t>
      </w:r>
      <w:r w:rsidR="00616F73" w:rsidRPr="00873B6C">
        <w:t>,</w:t>
      </w:r>
      <w:r w:rsidRPr="00873B6C">
        <w:t xml:space="preserve"> </w:t>
      </w:r>
      <w:r w:rsidR="00D45059" w:rsidRPr="00873B6C">
        <w:t xml:space="preserve">to the AMF </w:t>
      </w:r>
      <w:r w:rsidRPr="00873B6C">
        <w:t>during initial registration</w:t>
      </w:r>
      <w:r w:rsidR="00D45059" w:rsidRPr="00873B6C">
        <w:t xml:space="preserve"> and to the NSWOF during NSWO authentication</w:t>
      </w:r>
      <w:r w:rsidRPr="00873B6C">
        <w:t>. The AMF can provide the UE's Routing Indicator</w:t>
      </w:r>
      <w:r w:rsidR="00616F73" w:rsidRPr="00873B6C">
        <w:t xml:space="preserve"> and optionally Home Network Public Key identifier</w:t>
      </w:r>
      <w:r w:rsidRPr="00873B6C">
        <w:t xml:space="preserve"> to other AMFs as described in </w:t>
      </w:r>
      <w:r w:rsidR="00972E70" w:rsidRPr="00873B6C">
        <w:t>TS 23.502 [</w:t>
      </w:r>
      <w:r w:rsidRPr="00873B6C">
        <w:t>3].</w:t>
      </w:r>
    </w:p>
    <w:p w14:paraId="4F9E7EBA" w14:textId="1D7673C1" w:rsidR="00616F73" w:rsidRPr="00873B6C" w:rsidRDefault="00616F73" w:rsidP="00D40151">
      <w:pPr>
        <w:pStyle w:val="NO"/>
      </w:pPr>
      <w:r w:rsidRPr="00873B6C">
        <w:t>NOTE 2:</w:t>
      </w:r>
      <w:r w:rsidRPr="00873B6C">
        <w:tab/>
        <w:t>The usage of Home Network Public Key identifier for AUSF discovery is limited to the scenario where the AUSF NF consumers belong to the same PLMN as AUSF.</w:t>
      </w:r>
    </w:p>
    <w:p w14:paraId="5C87C78C" w14:textId="7C05736C" w:rsidR="00D40151" w:rsidRPr="00873B6C" w:rsidRDefault="00D40151" w:rsidP="00D40151">
      <w:pPr>
        <w:pStyle w:val="NO"/>
      </w:pPr>
      <w:r w:rsidRPr="00873B6C">
        <w:t>NOTE </w:t>
      </w:r>
      <w:r w:rsidR="00616F73" w:rsidRPr="00873B6C">
        <w:t>3</w:t>
      </w:r>
      <w:r w:rsidRPr="00873B6C">
        <w:t>:</w:t>
      </w:r>
      <w:r w:rsidRPr="00873B6C">
        <w:tab/>
        <w:t>In the case of SNPN</w:t>
      </w:r>
      <w:r w:rsidR="000E35F2" w:rsidRPr="00873B6C">
        <w:t xml:space="preserve"> and if the UE provides</w:t>
      </w:r>
      <w:r w:rsidR="00E83620" w:rsidRPr="00873B6C">
        <w:t xml:space="preserve"> an</w:t>
      </w:r>
      <w:r w:rsidR="000E35F2" w:rsidRPr="00873B6C">
        <w:t xml:space="preserve"> IMSI</w:t>
      </w:r>
      <w:r w:rsidR="00E83620" w:rsidRPr="00873B6C">
        <w:t xml:space="preserve"> type</w:t>
      </w:r>
      <w:r w:rsidR="000E35F2" w:rsidRPr="00873B6C">
        <w:t xml:space="preserve"> SUCI to the AMF and</w:t>
      </w:r>
      <w:r w:rsidR="00B96062" w:rsidRPr="00873B6C">
        <w:t xml:space="preserve"> the SUCI provided by UE or the SUPI derived from the SUCI</w:t>
      </w:r>
      <w:r w:rsidR="000E35F2" w:rsidRPr="00873B6C">
        <w:t xml:space="preserve"> is for an SNPN served by the AMF</w:t>
      </w:r>
      <w:r w:rsidRPr="00873B6C">
        <w:t>, the AMF uses the selected NID provided by the NG-RAN together with the selected PLMN ID (from</w:t>
      </w:r>
      <w:r w:rsidR="00E83620" w:rsidRPr="00873B6C">
        <w:t xml:space="preserve"> IMSI</w:t>
      </w:r>
      <w:r w:rsidRPr="00873B6C">
        <w:t>)</w:t>
      </w:r>
      <w:r w:rsidR="00E83620" w:rsidRPr="00873B6C">
        <w:t xml:space="preserve"> or the Routing Indicator provided by the UE within the SUCI for selection of AUSF</w:t>
      </w:r>
      <w:r w:rsidRPr="00873B6C">
        <w:t>.</w:t>
      </w:r>
      <w:r w:rsidR="000E35F2" w:rsidRPr="00873B6C">
        <w:t xml:space="preserve"> In the case of SNPN and the UE provides</w:t>
      </w:r>
      <w:r w:rsidR="00E83620" w:rsidRPr="00873B6C">
        <w:t xml:space="preserve"> an</w:t>
      </w:r>
      <w:r w:rsidR="000E35F2" w:rsidRPr="00873B6C">
        <w:t xml:space="preserve"> NSI</w:t>
      </w:r>
      <w:r w:rsidR="00E83620" w:rsidRPr="00873B6C">
        <w:t xml:space="preserve"> type</w:t>
      </w:r>
      <w:r w:rsidR="000E35F2" w:rsidRPr="00873B6C">
        <w:t xml:space="preserve"> SUCI to the AMF, the AMF uses the Home Network Identifier</w:t>
      </w:r>
      <w:r w:rsidR="003B4D25" w:rsidRPr="00873B6C">
        <w:t xml:space="preserve"> and Routing Indicator of SUCI/SUPI</w:t>
      </w:r>
      <w:r w:rsidR="000E35F2" w:rsidRPr="00873B6C">
        <w:t xml:space="preserve"> for selection of AUSF.</w:t>
      </w:r>
    </w:p>
    <w:p w14:paraId="5FFF2491" w14:textId="7FEA44FA" w:rsidR="00D40151" w:rsidRPr="00873B6C" w:rsidRDefault="00D40151" w:rsidP="00D40151">
      <w:pPr>
        <w:pStyle w:val="B1"/>
      </w:pPr>
      <w:r w:rsidRPr="00873B6C">
        <w:tab/>
        <w:t xml:space="preserve">When the UE's Routing Indicator is set to its default value as defined in </w:t>
      </w:r>
      <w:r w:rsidR="00972E70" w:rsidRPr="00873B6C">
        <w:t>TS 23.003 [</w:t>
      </w:r>
      <w:r w:rsidRPr="00873B6C">
        <w:t>19], the AUSF NF consumer can select any AUSF instance within the home network for the UE.</w:t>
      </w:r>
    </w:p>
    <w:p w14:paraId="5A2ABF4B" w14:textId="77777777" w:rsidR="00D40151" w:rsidRPr="00873B6C" w:rsidRDefault="00D40151" w:rsidP="00D40151">
      <w:pPr>
        <w:pStyle w:val="B1"/>
      </w:pPr>
      <w:r w:rsidRPr="00873B6C">
        <w:t>2.</w:t>
      </w:r>
      <w:r w:rsidRPr="00873B6C">
        <w:tab/>
        <w:t>AUSF Group ID the UE's SUPI belongs to.</w:t>
      </w:r>
    </w:p>
    <w:p w14:paraId="34F97A50" w14:textId="6604C791" w:rsidR="00D40151" w:rsidRPr="00873B6C" w:rsidRDefault="00D40151" w:rsidP="00D40151">
      <w:pPr>
        <w:pStyle w:val="NO"/>
      </w:pPr>
      <w:r w:rsidRPr="00873B6C">
        <w:t>NOTE </w:t>
      </w:r>
      <w:r w:rsidR="00616F73" w:rsidRPr="00873B6C">
        <w:t>4</w:t>
      </w:r>
      <w:r w:rsidRPr="00873B6C">
        <w:t>:</w:t>
      </w:r>
      <w:r w:rsidRPr="00873B6C">
        <w:tab/>
        <w:t xml:space="preserve">The AMF can infer the AUSF Group ID the UE's SUPI belongs to, based on the results of AUSF discovery procedures with NRF. The AMF provides the AUSF Group ID the SUPI belongs to other AMFs as described in </w:t>
      </w:r>
      <w:r w:rsidR="00972E70" w:rsidRPr="00873B6C">
        <w:t>TS 23.502 [</w:t>
      </w:r>
      <w:r w:rsidRPr="00873B6C">
        <w:t>3].</w:t>
      </w:r>
    </w:p>
    <w:p w14:paraId="61D60F46" w14:textId="77777777" w:rsidR="00D40151" w:rsidRPr="00873B6C" w:rsidRDefault="00D40151" w:rsidP="00D40151">
      <w:pPr>
        <w:pStyle w:val="B1"/>
      </w:pPr>
      <w:r w:rsidRPr="00873B6C">
        <w:t>3.</w:t>
      </w:r>
      <w:r w:rsidRPr="00873B6C">
        <w:tab/>
        <w:t>SUPI; e.g. the AMF selects an AUSF instance based on the SUPI range the UE's SUPI belongs to or based on the results of a discovery procedure with NRF using the UE's SUPI as input for AUSF discovery.</w:t>
      </w:r>
    </w:p>
    <w:p w14:paraId="3D9310CB" w14:textId="6B295924" w:rsidR="00182EE7" w:rsidRPr="00873B6C" w:rsidRDefault="00182EE7" w:rsidP="00562E84">
      <w:pPr>
        <w:pStyle w:val="NO"/>
      </w:pPr>
      <w:r w:rsidRPr="00873B6C">
        <w:t>NOTE </w:t>
      </w:r>
      <w:r w:rsidR="00616F73" w:rsidRPr="00873B6C">
        <w:t>5</w:t>
      </w:r>
      <w:r w:rsidRPr="00873B6C">
        <w:t>:</w:t>
      </w:r>
      <w:r w:rsidRPr="00873B6C">
        <w:tab/>
        <w:t>In the case of Onboarding via ON-SNPN, AUSF instances supporting UE onboarding can be registered in NRF or locally configured in the AMF. The AMF in ON-SNPN can discover and select AUSF instance(s) supporting UE onboarding based on the</w:t>
      </w:r>
      <w:r w:rsidR="003F2E5D" w:rsidRPr="00873B6C">
        <w:t xml:space="preserve"> MCC and MNC or</w:t>
      </w:r>
      <w:r w:rsidRPr="00873B6C">
        <w:t xml:space="preserve"> realm part</w:t>
      </w:r>
      <w:r w:rsidR="003F2E5D" w:rsidRPr="00873B6C">
        <w:t xml:space="preserve"> in Home Network Identifier</w:t>
      </w:r>
      <w:r w:rsidRPr="00873B6C">
        <w:t xml:space="preserve"> of the SUCI/SUPI provided by the onboarding UE.</w:t>
      </w:r>
    </w:p>
    <w:p w14:paraId="6C14E3D1" w14:textId="1EFBD124" w:rsidR="00D40151" w:rsidRPr="00873B6C" w:rsidRDefault="00D40151" w:rsidP="00D40151">
      <w:r w:rsidRPr="00873B6C">
        <w:t>In the case of delegated discovery and selection in SCP, the AUSF NF consumer shall send all available factors to the SCP.</w:t>
      </w:r>
    </w:p>
    <w:p w14:paraId="7874BEA3" w14:textId="77777777" w:rsidR="00D40151" w:rsidRPr="00873B6C" w:rsidRDefault="00D40151" w:rsidP="00D40151">
      <w:pPr>
        <w:pStyle w:val="Heading3"/>
      </w:pPr>
      <w:bookmarkStart w:id="5631" w:name="_CR6_3_5"/>
      <w:bookmarkStart w:id="5632" w:name="_Toc20150220"/>
      <w:bookmarkStart w:id="5633" w:name="_Toc27847028"/>
      <w:bookmarkStart w:id="5634" w:name="_Toc36188160"/>
      <w:bookmarkStart w:id="5635" w:name="_Toc45184071"/>
      <w:bookmarkStart w:id="5636" w:name="_Toc47342913"/>
      <w:bookmarkStart w:id="5637" w:name="_Toc51769615"/>
      <w:bookmarkStart w:id="5638" w:name="_Toc201157778"/>
      <w:bookmarkEnd w:id="5631"/>
      <w:r w:rsidRPr="00873B6C">
        <w:t>6.3.5</w:t>
      </w:r>
      <w:r w:rsidRPr="00873B6C">
        <w:tab/>
        <w:t>AMF discovery and selection</w:t>
      </w:r>
      <w:bookmarkEnd w:id="5632"/>
      <w:bookmarkEnd w:id="5633"/>
      <w:bookmarkEnd w:id="5634"/>
      <w:bookmarkEnd w:id="5635"/>
      <w:bookmarkEnd w:id="5636"/>
      <w:bookmarkEnd w:id="5637"/>
      <w:bookmarkEnd w:id="5638"/>
    </w:p>
    <w:p w14:paraId="31C25AD8" w14:textId="77777777" w:rsidR="00D40151" w:rsidRPr="00873B6C" w:rsidRDefault="00D40151" w:rsidP="00D40151">
      <w:r w:rsidRPr="00873B6C">
        <w:t>The AMF discovery and selection functionality is applicable to both 3GPP access and non-3GPP access.</w:t>
      </w:r>
    </w:p>
    <w:p w14:paraId="0823CC0A" w14:textId="77777777" w:rsidR="00D40151" w:rsidRPr="00873B6C" w:rsidRDefault="00D40151" w:rsidP="00D40151">
      <w:r w:rsidRPr="00873B6C">
        <w:t xml:space="preserve">The AMF selection functionality can be supported by the 5G-AN (e.g. RAN, N3IWF) and is used to select an AMF instance for a given UE. An </w:t>
      </w:r>
      <w:r w:rsidRPr="00873B6C">
        <w:rPr>
          <w:lang w:eastAsia="ko-KR"/>
        </w:rPr>
        <w:t>AMF supports the AMF selection functionality to select an AMF for relocation or because the initially selected AMF was not an appropriate AMF to serve the UE (e.g. due to change of Allowed NSSAI).</w:t>
      </w:r>
      <w:r w:rsidRPr="00873B6C">
        <w:rPr>
          <w:lang w:eastAsia="zh-CN"/>
        </w:rPr>
        <w:t xml:space="preserve"> Other </w:t>
      </w:r>
      <w:r w:rsidRPr="00873B6C">
        <w:rPr>
          <w:lang w:eastAsia="zh-CN"/>
        </w:rPr>
        <w:lastRenderedPageBreak/>
        <w:t>CP NF(s), e.g. SMF, supports</w:t>
      </w:r>
      <w:r w:rsidRPr="00873B6C">
        <w:rPr>
          <w:lang w:eastAsia="ko-KR"/>
        </w:rPr>
        <w:t xml:space="preserve"> the AMF selection functionality</w:t>
      </w:r>
      <w:r w:rsidRPr="00873B6C">
        <w:rPr>
          <w:lang w:eastAsia="zh-CN"/>
        </w:rPr>
        <w:t xml:space="preserve"> to select an AMF from the AMF set when the original AMF serving a UE is unavailable.</w:t>
      </w:r>
    </w:p>
    <w:p w14:paraId="59BBF7D0" w14:textId="03491F26" w:rsidR="001151EB" w:rsidRPr="00873B6C" w:rsidRDefault="001151EB" w:rsidP="00D40151">
      <w:r w:rsidRPr="00873B6C">
        <w:t>The TSCTSF shall use the AMF discovery functionality to determine the AMFs serving the TAs in the spatial validity condition provided by the AF.</w:t>
      </w:r>
    </w:p>
    <w:p w14:paraId="60575E9E" w14:textId="54D064E8" w:rsidR="00D40151" w:rsidRPr="00873B6C" w:rsidRDefault="00D40151" w:rsidP="00D40151">
      <w:r w:rsidRPr="00873B6C">
        <w:t>5G-AN selects an AMF Set and an AMF from the AMF Set under the following circumstances:</w:t>
      </w:r>
    </w:p>
    <w:p w14:paraId="12D5BC14" w14:textId="77777777" w:rsidR="00D40151" w:rsidRPr="00873B6C" w:rsidRDefault="00D40151" w:rsidP="00D40151">
      <w:pPr>
        <w:pStyle w:val="B1"/>
      </w:pPr>
      <w:r w:rsidRPr="00873B6C">
        <w:t>1)</w:t>
      </w:r>
      <w:r w:rsidRPr="00873B6C">
        <w:tab/>
        <w:t>When the UE provides no 5G-S-TMSI nor the GUAMI</w:t>
      </w:r>
      <w:r w:rsidRPr="00873B6C" w:rsidDel="007E2E77">
        <w:t xml:space="preserve"> </w:t>
      </w:r>
      <w:r w:rsidRPr="00873B6C">
        <w:t>to the 5G-AN.</w:t>
      </w:r>
    </w:p>
    <w:p w14:paraId="2C9CF53A" w14:textId="77777777" w:rsidR="00D40151" w:rsidRPr="00873B6C" w:rsidRDefault="00D40151" w:rsidP="00D40151">
      <w:pPr>
        <w:pStyle w:val="B1"/>
      </w:pPr>
      <w:r w:rsidRPr="00873B6C">
        <w:t>2)</w:t>
      </w:r>
      <w:r w:rsidRPr="00873B6C">
        <w:tab/>
        <w:t>When the UE provides 5G-S-TMSI or GUAMI</w:t>
      </w:r>
      <w:r w:rsidRPr="00873B6C" w:rsidDel="007E2E77">
        <w:t xml:space="preserve"> </w:t>
      </w:r>
      <w:r w:rsidRPr="00873B6C">
        <w:t>but the routing information (i.e. AMF identified based on AMF Set ID, AMF pointer) present in the 5G-S-TMSI or GUAMI</w:t>
      </w:r>
      <w:r w:rsidRPr="00873B6C" w:rsidDel="007E2E77">
        <w:t xml:space="preserve"> </w:t>
      </w:r>
      <w:r w:rsidRPr="00873B6C">
        <w:t>is not sufficient and/or not usable (e.g. UE provides GUAMI with an AMF region ID from a different region).</w:t>
      </w:r>
    </w:p>
    <w:p w14:paraId="1C78811F" w14:textId="77777777" w:rsidR="00D40151" w:rsidRPr="00873B6C" w:rsidRDefault="00D40151" w:rsidP="00D40151">
      <w:pPr>
        <w:pStyle w:val="B1"/>
      </w:pPr>
      <w:r w:rsidRPr="00873B6C">
        <w:t>3)</w:t>
      </w:r>
      <w:r w:rsidRPr="00873B6C">
        <w:tab/>
        <w:t>AMF has instructed AN that the AMF (identified by GUAMI</w:t>
      </w:r>
      <w:r w:rsidRPr="00873B6C">
        <w:rPr>
          <w:lang w:eastAsia="zh-CN"/>
        </w:rPr>
        <w:t>(s)</w:t>
      </w:r>
      <w:r w:rsidRPr="00873B6C">
        <w:t>) is unavailable</w:t>
      </w:r>
      <w:r w:rsidRPr="00873B6C">
        <w:rPr>
          <w:lang w:eastAsia="zh-CN"/>
        </w:rPr>
        <w:t xml:space="preserve"> and no target AMF is identified </w:t>
      </w:r>
      <w:r w:rsidRPr="00873B6C">
        <w:t>and/or AN has detected that the AMF has failed.</w:t>
      </w:r>
    </w:p>
    <w:p w14:paraId="5F56E397" w14:textId="17D43CF9" w:rsidR="00DC49BB" w:rsidRPr="00873B6C" w:rsidRDefault="00DC49BB" w:rsidP="00323277">
      <w:pPr>
        <w:pStyle w:val="B1"/>
      </w:pPr>
      <w:r w:rsidRPr="00873B6C">
        <w:t>4)</w:t>
      </w:r>
      <w:r w:rsidRPr="00873B6C">
        <w:tab/>
        <w:t>When the UE attempts to establish a signalling connection</w:t>
      </w:r>
      <w:r w:rsidR="00472CD7" w:rsidRPr="00873B6C">
        <w:t xml:space="preserve"> and</w:t>
      </w:r>
      <w:r w:rsidRPr="00873B6C">
        <w:t xml:space="preserve"> the following conditions are met:</w:t>
      </w:r>
    </w:p>
    <w:p w14:paraId="1A409C77" w14:textId="18BE952B" w:rsidR="00DC49BB" w:rsidRPr="00873B6C" w:rsidRDefault="00DC49BB" w:rsidP="00323277">
      <w:pPr>
        <w:pStyle w:val="B2"/>
      </w:pPr>
      <w:r w:rsidRPr="00873B6C">
        <w:t>-</w:t>
      </w:r>
      <w:r w:rsidRPr="00873B6C">
        <w:tab/>
        <w:t>the 5G-AN knows in what country the UE is located; and</w:t>
      </w:r>
    </w:p>
    <w:p w14:paraId="34FC0B65" w14:textId="174EE5ED" w:rsidR="00DC49BB" w:rsidRPr="00873B6C" w:rsidRDefault="00DC49BB" w:rsidP="00323277">
      <w:pPr>
        <w:pStyle w:val="B2"/>
      </w:pPr>
      <w:r w:rsidRPr="00873B6C">
        <w:t>-</w:t>
      </w:r>
      <w:r w:rsidRPr="00873B6C">
        <w:tab/>
        <w:t>the 5G-AN is connected to AMFs serving different PLMNs of different countries; and</w:t>
      </w:r>
    </w:p>
    <w:p w14:paraId="28F49465" w14:textId="0CEA4906" w:rsidR="00DC49BB" w:rsidRPr="00873B6C" w:rsidRDefault="00DC49BB" w:rsidP="00323277">
      <w:pPr>
        <w:pStyle w:val="B2"/>
      </w:pPr>
      <w:r w:rsidRPr="00873B6C">
        <w:t>-</w:t>
      </w:r>
      <w:r w:rsidRPr="00873B6C">
        <w:tab/>
        <w:t>the UE provides a 5G-S-TMSI or GUAMI, which indicates an AMF serving a different country to where the UE is currently located; and</w:t>
      </w:r>
    </w:p>
    <w:p w14:paraId="3BB3301F" w14:textId="77777777" w:rsidR="00DC49BB" w:rsidRPr="00873B6C" w:rsidRDefault="00DC49BB" w:rsidP="00323277">
      <w:pPr>
        <w:pStyle w:val="B2"/>
      </w:pPr>
      <w:r w:rsidRPr="00873B6C">
        <w:t>-</w:t>
      </w:r>
      <w:r w:rsidRPr="00873B6C">
        <w:tab/>
        <w:t>the 5G-AN is configured to enforce selection of the AMF based on the country the UE is currently located.</w:t>
      </w:r>
    </w:p>
    <w:p w14:paraId="00581F91" w14:textId="26B35811" w:rsidR="00DC49BB" w:rsidRPr="00873B6C" w:rsidRDefault="00DC49BB" w:rsidP="00323277">
      <w:pPr>
        <w:pStyle w:val="B1"/>
      </w:pPr>
      <w:r w:rsidRPr="00873B6C">
        <w:tab/>
        <w:t xml:space="preserve">Then the 5G-AN shall select an AMF serving a PLMN corresponding to the UE's current location. How 5G-AN selects the AMF in this case is defined in </w:t>
      </w:r>
      <w:r w:rsidR="00972E70" w:rsidRPr="00873B6C">
        <w:t>TS 38.410 [</w:t>
      </w:r>
      <w:r w:rsidRPr="00873B6C">
        <w:t>125].</w:t>
      </w:r>
    </w:p>
    <w:p w14:paraId="08DF1820" w14:textId="77777777" w:rsidR="00DC49BB" w:rsidRPr="00873B6C" w:rsidRDefault="00DC49BB" w:rsidP="00323277">
      <w:pPr>
        <w:pStyle w:val="NO"/>
      </w:pPr>
      <w:r w:rsidRPr="00873B6C">
        <w:t>NOTE:</w:t>
      </w:r>
      <w:r w:rsidRPr="00873B6C">
        <w:tab/>
        <w:t>AMF selection case 4) does not apply if 5G-AN nodes serves one country only.</w:t>
      </w:r>
    </w:p>
    <w:p w14:paraId="55FE4DF0" w14:textId="4FBFB712" w:rsidR="00D40151" w:rsidRPr="00873B6C" w:rsidRDefault="00D40151" w:rsidP="00D40151">
      <w:r w:rsidRPr="00873B6C">
        <w:t>In the case of NF Service Consumer based discovery and selection, the CP NF selects an AMF from the AMF Set under the following circumstances:</w:t>
      </w:r>
    </w:p>
    <w:p w14:paraId="1800DB90" w14:textId="77777777" w:rsidR="00D40151" w:rsidRPr="00873B6C" w:rsidRDefault="00D40151" w:rsidP="00D40151">
      <w:pPr>
        <w:pStyle w:val="B1"/>
      </w:pPr>
      <w:r w:rsidRPr="00873B6C">
        <w:t>-</w:t>
      </w:r>
      <w:r w:rsidRPr="00873B6C">
        <w:tab/>
        <w:t>When the AMF has instructed CP NF that a certain AMF identified by GUAMI</w:t>
      </w:r>
      <w:r w:rsidRPr="00873B6C">
        <w:rPr>
          <w:lang w:eastAsia="zh-CN"/>
        </w:rPr>
        <w:t>(s)</w:t>
      </w:r>
      <w:r w:rsidRPr="00873B6C">
        <w:t xml:space="preserve"> is unavailable and the CP NF was not notified of target AMF;</w:t>
      </w:r>
      <w:r w:rsidRPr="00873B6C">
        <w:rPr>
          <w:lang w:eastAsia="zh-CN"/>
        </w:rPr>
        <w:t xml:space="preserve"> </w:t>
      </w:r>
      <w:r w:rsidRPr="00873B6C">
        <w:t>and/or</w:t>
      </w:r>
    </w:p>
    <w:p w14:paraId="73F3E1F3" w14:textId="77777777" w:rsidR="00D40151" w:rsidRPr="00873B6C" w:rsidRDefault="00D40151" w:rsidP="00D40151">
      <w:pPr>
        <w:pStyle w:val="B1"/>
      </w:pPr>
      <w:r w:rsidRPr="00873B6C">
        <w:t>-</w:t>
      </w:r>
      <w:r w:rsidRPr="00873B6C">
        <w:tab/>
        <w:t>CP NF has detected that the AMF has failed;</w:t>
      </w:r>
      <w:r w:rsidRPr="00873B6C">
        <w:rPr>
          <w:lang w:eastAsia="zh-CN"/>
        </w:rPr>
        <w:t xml:space="preserve"> </w:t>
      </w:r>
      <w:r w:rsidRPr="00873B6C">
        <w:t>and/or</w:t>
      </w:r>
    </w:p>
    <w:p w14:paraId="6E3021C8" w14:textId="2A5D63E0" w:rsidR="00D40151" w:rsidRPr="00873B6C" w:rsidRDefault="00D40151" w:rsidP="00D40151">
      <w:pPr>
        <w:pStyle w:val="B1"/>
      </w:pPr>
      <w:r w:rsidRPr="00873B6C">
        <w:t>-</w:t>
      </w:r>
      <w:r w:rsidRPr="00873B6C">
        <w:tab/>
        <w:t>When the selected AMF does not support the UE's Preferred Network Behaviour</w:t>
      </w:r>
      <w:r w:rsidR="00E06501" w:rsidRPr="00873B6C">
        <w:t>; and/or</w:t>
      </w:r>
    </w:p>
    <w:p w14:paraId="22D18087" w14:textId="24A5DF11" w:rsidR="008B15DC" w:rsidRPr="00873B6C" w:rsidRDefault="008B15DC" w:rsidP="0073598F">
      <w:pPr>
        <w:pStyle w:val="B1"/>
      </w:pPr>
      <w:r w:rsidRPr="00873B6C">
        <w:t>-</w:t>
      </w:r>
      <w:r w:rsidRPr="00873B6C">
        <w:tab/>
        <w:t>When the selected AMF does not support the High Latency communication for NR RedCap UE.</w:t>
      </w:r>
    </w:p>
    <w:p w14:paraId="478CF542" w14:textId="5229A5FB" w:rsidR="00D40151" w:rsidRPr="00873B6C" w:rsidRDefault="00D40151" w:rsidP="00D40151">
      <w:r w:rsidRPr="00873B6C">
        <w:t>In the case of delegated discovery and associated selection, the SCP selects an AMF from the corresponding AMF Set under the following circumstances:</w:t>
      </w:r>
    </w:p>
    <w:p w14:paraId="05A9CBB5" w14:textId="77777777" w:rsidR="00D40151" w:rsidRPr="00873B6C" w:rsidRDefault="00D40151" w:rsidP="00D40151">
      <w:pPr>
        <w:pStyle w:val="B1"/>
      </w:pPr>
      <w:r w:rsidRPr="00873B6C">
        <w:t>-</w:t>
      </w:r>
      <w:r w:rsidRPr="00873B6C">
        <w:tab/>
        <w:t>The SCP gets an indication "select new AMF within SET" from the CP NF; and/or</w:t>
      </w:r>
    </w:p>
    <w:p w14:paraId="5DF8935A" w14:textId="77777777" w:rsidR="00D40151" w:rsidRPr="00873B6C" w:rsidRDefault="00D40151" w:rsidP="00D40151">
      <w:pPr>
        <w:pStyle w:val="B1"/>
      </w:pPr>
      <w:r w:rsidRPr="00873B6C">
        <w:t>-</w:t>
      </w:r>
      <w:r w:rsidRPr="00873B6C">
        <w:tab/>
        <w:t>SCP has detected that the AMF has failed.</w:t>
      </w:r>
    </w:p>
    <w:p w14:paraId="2439D12B" w14:textId="77777777" w:rsidR="00D40151" w:rsidRPr="00873B6C" w:rsidRDefault="00D40151" w:rsidP="00D40151">
      <w:r w:rsidRPr="00873B6C">
        <w:t>The AMF selection functionality in the 5G-AN may consider the following factors for selecting the AMF Set:</w:t>
      </w:r>
    </w:p>
    <w:p w14:paraId="591A208F" w14:textId="77777777" w:rsidR="00D40151" w:rsidRPr="00873B6C" w:rsidRDefault="00D40151" w:rsidP="00D40151">
      <w:pPr>
        <w:pStyle w:val="B1"/>
        <w:rPr>
          <w:lang w:eastAsia="zh-CN"/>
        </w:rPr>
      </w:pPr>
      <w:r w:rsidRPr="00873B6C">
        <w:rPr>
          <w:rFonts w:eastAsia="MS Mincho"/>
        </w:rPr>
        <w:t>-</w:t>
      </w:r>
      <w:r w:rsidRPr="00873B6C">
        <w:rPr>
          <w:rFonts w:eastAsia="MS Mincho"/>
        </w:rPr>
        <w:tab/>
        <w:t xml:space="preserve">AMF Region ID and AMF Set ID </w:t>
      </w:r>
      <w:r w:rsidRPr="00873B6C">
        <w:rPr>
          <w:lang w:eastAsia="zh-CN"/>
        </w:rPr>
        <w:t>derived from</w:t>
      </w:r>
      <w:r w:rsidRPr="00873B6C">
        <w:rPr>
          <w:rFonts w:eastAsia="MS Mincho"/>
        </w:rPr>
        <w:t xml:space="preserve"> GUAMI;</w:t>
      </w:r>
    </w:p>
    <w:p w14:paraId="5A5FE1CB" w14:textId="77777777" w:rsidR="00D40151" w:rsidRPr="00873B6C" w:rsidRDefault="00D40151" w:rsidP="00D40151">
      <w:pPr>
        <w:pStyle w:val="B1"/>
      </w:pPr>
      <w:r w:rsidRPr="00873B6C">
        <w:t>-</w:t>
      </w:r>
      <w:r w:rsidRPr="00873B6C">
        <w:tab/>
        <w:t>Requested NSSAI;</w:t>
      </w:r>
    </w:p>
    <w:p w14:paraId="2B660C67" w14:textId="77777777" w:rsidR="00D40151" w:rsidRPr="00873B6C" w:rsidRDefault="00D40151" w:rsidP="00D40151">
      <w:pPr>
        <w:pStyle w:val="B1"/>
      </w:pPr>
      <w:r w:rsidRPr="00873B6C">
        <w:t>-</w:t>
      </w:r>
      <w:r w:rsidRPr="00873B6C">
        <w:tab/>
        <w:t>Local operator policies;</w:t>
      </w:r>
    </w:p>
    <w:p w14:paraId="04F6953A" w14:textId="77777777" w:rsidR="00D40151" w:rsidRPr="00873B6C" w:rsidRDefault="00D40151" w:rsidP="00D40151">
      <w:pPr>
        <w:pStyle w:val="B1"/>
      </w:pPr>
      <w:r w:rsidRPr="00873B6C">
        <w:t>-</w:t>
      </w:r>
      <w:r w:rsidRPr="00873B6C">
        <w:tab/>
        <w:t>5G CIoT features indicated in RRC signalling by the UE;</w:t>
      </w:r>
    </w:p>
    <w:p w14:paraId="02C78254" w14:textId="77777777" w:rsidR="00D40151" w:rsidRPr="00873B6C" w:rsidRDefault="00D40151" w:rsidP="00D40151">
      <w:pPr>
        <w:pStyle w:val="B1"/>
      </w:pPr>
      <w:r w:rsidRPr="00873B6C">
        <w:t>-</w:t>
      </w:r>
      <w:r w:rsidRPr="00873B6C">
        <w:tab/>
        <w:t>IAB-indication;</w:t>
      </w:r>
    </w:p>
    <w:p w14:paraId="3ADF8318" w14:textId="11B193C7" w:rsidR="00D40151" w:rsidRPr="00873B6C" w:rsidRDefault="00D40151" w:rsidP="00D40151">
      <w:pPr>
        <w:pStyle w:val="B1"/>
      </w:pPr>
      <w:r w:rsidRPr="00873B6C">
        <w:t>-</w:t>
      </w:r>
      <w:r w:rsidRPr="00873B6C">
        <w:tab/>
        <w:t>NB-IoT RAT Type;</w:t>
      </w:r>
    </w:p>
    <w:p w14:paraId="2BB4FA80" w14:textId="647EF59C" w:rsidR="00D40151" w:rsidRPr="00873B6C" w:rsidRDefault="00D40151" w:rsidP="00D40151">
      <w:pPr>
        <w:pStyle w:val="B1"/>
      </w:pPr>
      <w:r w:rsidRPr="00873B6C">
        <w:t>-</w:t>
      </w:r>
      <w:r w:rsidRPr="00873B6C">
        <w:tab/>
        <w:t>Category M Indication</w:t>
      </w:r>
      <w:r w:rsidR="00182EE7" w:rsidRPr="00873B6C">
        <w:t>;</w:t>
      </w:r>
    </w:p>
    <w:p w14:paraId="71447C17" w14:textId="6B596D19" w:rsidR="008B15DC" w:rsidRPr="00873B6C" w:rsidRDefault="008B15DC" w:rsidP="00182EE7">
      <w:pPr>
        <w:pStyle w:val="B1"/>
      </w:pPr>
      <w:r w:rsidRPr="00873B6C">
        <w:lastRenderedPageBreak/>
        <w:t>-</w:t>
      </w:r>
      <w:r w:rsidRPr="00873B6C">
        <w:tab/>
        <w:t>NR RedCap Indication;</w:t>
      </w:r>
    </w:p>
    <w:p w14:paraId="51100613" w14:textId="4E22A86F" w:rsidR="00182EE7" w:rsidRPr="00873B6C" w:rsidRDefault="00182EE7" w:rsidP="00182EE7">
      <w:pPr>
        <w:pStyle w:val="B1"/>
      </w:pPr>
      <w:r w:rsidRPr="00873B6C">
        <w:t>-</w:t>
      </w:r>
      <w:r w:rsidRPr="00873B6C">
        <w:tab/>
      </w:r>
      <w:r w:rsidR="003B4D25" w:rsidRPr="00873B6C">
        <w:t xml:space="preserve">SNPN </w:t>
      </w:r>
      <w:r w:rsidRPr="00873B6C">
        <w:t>Onboarding</w:t>
      </w:r>
      <w:r w:rsidR="003B4D25" w:rsidRPr="00873B6C">
        <w:t xml:space="preserve"> indication as</w:t>
      </w:r>
      <w:r w:rsidRPr="00873B6C">
        <w:t xml:space="preserve"> indicated in </w:t>
      </w:r>
      <w:r w:rsidR="007E4CBA" w:rsidRPr="00873B6C">
        <w:t xml:space="preserve">5G-AN </w:t>
      </w:r>
      <w:r w:rsidRPr="00873B6C">
        <w:t>signalling by the UE</w:t>
      </w:r>
      <w:r w:rsidR="003D49E0" w:rsidRPr="00873B6C">
        <w:t>;</w:t>
      </w:r>
    </w:p>
    <w:p w14:paraId="28F503A4" w14:textId="58663DF3" w:rsidR="003D49E0" w:rsidRPr="00873B6C" w:rsidRDefault="003D49E0" w:rsidP="003D49E0">
      <w:pPr>
        <w:pStyle w:val="B1"/>
      </w:pPr>
      <w:r w:rsidRPr="00873B6C">
        <w:t>-</w:t>
      </w:r>
      <w:r w:rsidRPr="00873B6C">
        <w:tab/>
        <w:t>Mobile IAB-indication.</w:t>
      </w:r>
    </w:p>
    <w:p w14:paraId="58FAD59E" w14:textId="77777777" w:rsidR="00D40151" w:rsidRPr="00873B6C" w:rsidRDefault="00D40151" w:rsidP="00D40151">
      <w:r w:rsidRPr="00873B6C">
        <w:t>AMF selection functionality in the 5G-AN or CP NFs or SCP considers the following factors for selecting an AMF from AMF Set:</w:t>
      </w:r>
    </w:p>
    <w:p w14:paraId="29E1F56D" w14:textId="77777777" w:rsidR="00D40151" w:rsidRPr="00873B6C" w:rsidRDefault="00D40151" w:rsidP="00D40151">
      <w:pPr>
        <w:pStyle w:val="B1"/>
      </w:pPr>
      <w:r w:rsidRPr="00873B6C">
        <w:t>-</w:t>
      </w:r>
      <w:r w:rsidRPr="00873B6C">
        <w:tab/>
        <w:t>Availability of candidate AMF(s).</w:t>
      </w:r>
    </w:p>
    <w:p w14:paraId="5C912712" w14:textId="77777777" w:rsidR="00D40151" w:rsidRPr="00873B6C" w:rsidRDefault="00D40151" w:rsidP="00D40151">
      <w:pPr>
        <w:pStyle w:val="B1"/>
      </w:pPr>
      <w:r w:rsidRPr="00873B6C">
        <w:t>-</w:t>
      </w:r>
      <w:r w:rsidRPr="00873B6C">
        <w:tab/>
        <w:t>Load balancing across candidate AMF(s) (e.g. considering weight factors of candidate AMFs in the AMF Set).</w:t>
      </w:r>
    </w:p>
    <w:p w14:paraId="4794BA86" w14:textId="77777777" w:rsidR="00D40151" w:rsidRPr="00873B6C" w:rsidRDefault="00D40151" w:rsidP="00D40151">
      <w:pPr>
        <w:pStyle w:val="B1"/>
      </w:pPr>
      <w:r w:rsidRPr="00873B6C">
        <w:t>-</w:t>
      </w:r>
      <w:r w:rsidRPr="00873B6C">
        <w:tab/>
        <w:t>In 5G-AN, 5G CIoT features indicated in RRC signalling by the UE.</w:t>
      </w:r>
    </w:p>
    <w:p w14:paraId="048F2293" w14:textId="50AFE208" w:rsidR="003B4D25" w:rsidRPr="00873B6C" w:rsidRDefault="003B4D25" w:rsidP="003B4D25">
      <w:pPr>
        <w:pStyle w:val="B1"/>
      </w:pPr>
      <w:r w:rsidRPr="00873B6C">
        <w:t>-</w:t>
      </w:r>
      <w:r w:rsidRPr="00873B6C">
        <w:tab/>
        <w:t xml:space="preserve">In 5G-AN, SNPN Onboarding indication as indicated in </w:t>
      </w:r>
      <w:r w:rsidR="007E4CBA" w:rsidRPr="00873B6C">
        <w:t xml:space="preserve">5G-AN </w:t>
      </w:r>
      <w:r w:rsidRPr="00873B6C">
        <w:t>signalling by the UE.</w:t>
      </w:r>
    </w:p>
    <w:p w14:paraId="2FC4907B" w14:textId="77777777" w:rsidR="00D40151" w:rsidRPr="00873B6C" w:rsidRDefault="00D40151" w:rsidP="00D40151">
      <w:r w:rsidRPr="00873B6C">
        <w:t>When the UE accesses the 5G-AN with a 5G-S-TMSI or GUAMI that identifies more than one AMF (as configured during N2 setup procedure), the 5G-AN selects the AMF considering the weight factors.</w:t>
      </w:r>
    </w:p>
    <w:p w14:paraId="22E78472" w14:textId="11D1201B" w:rsidR="00D40151" w:rsidRPr="00873B6C" w:rsidRDefault="00D40151" w:rsidP="00D40151">
      <w:r w:rsidRPr="00873B6C">
        <w:t>When 5G-S-TMSI or GUAMI provided by the UE to the 5G-AN contains an AMF Set ID that is usable</w:t>
      </w:r>
      <w:r w:rsidR="00472CD7" w:rsidRPr="00873B6C">
        <w:t xml:space="preserve"> and</w:t>
      </w:r>
      <w:r w:rsidRPr="00873B6C">
        <w:t xml:space="preserve">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873B6C" w:rsidRDefault="00D40151" w:rsidP="00D40151">
      <w:r w:rsidRPr="00873B6C">
        <w:t>The discovery and selection of AMF in the CP NFs or SCP follows the principle in clause 6.3.1</w:t>
      </w:r>
    </w:p>
    <w:p w14:paraId="31896163" w14:textId="77777777" w:rsidR="00D40151" w:rsidRPr="00873B6C" w:rsidRDefault="00D40151" w:rsidP="00D40151">
      <w:r w:rsidRPr="00873B6C">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873B6C" w:rsidRDefault="00D40151" w:rsidP="00D40151">
      <w:r w:rsidRPr="00873B6C">
        <w:t>When NF Service Consumer performs discovery and selection the following applies:</w:t>
      </w:r>
    </w:p>
    <w:p w14:paraId="41244735" w14:textId="72A13B1E" w:rsidR="00D40151" w:rsidRPr="00873B6C" w:rsidRDefault="00D40151" w:rsidP="00D40151">
      <w:pPr>
        <w:pStyle w:val="B1"/>
        <w:rPr>
          <w:rFonts w:eastAsia="MS Mincho"/>
        </w:rPr>
      </w:pPr>
      <w:r w:rsidRPr="00873B6C">
        <w:t>-</w:t>
      </w:r>
      <w:r w:rsidRPr="00873B6C">
        <w:tab/>
        <w:t xml:space="preserve">In the case of AMF discovery and selection functionality in AMF or other CP NFs use </w:t>
      </w:r>
      <w:r w:rsidRPr="00873B6C">
        <w:rPr>
          <w:lang w:eastAsia="zh-CN"/>
        </w:rPr>
        <w:t>GUAMI</w:t>
      </w:r>
      <w:r w:rsidR="00EC761C" w:rsidRPr="00873B6C">
        <w:rPr>
          <w:lang w:eastAsia="zh-CN"/>
        </w:rPr>
        <w:t xml:space="preserve"> (in the SNPN case, along with NID of the SNPN that owns the AMF instances to be discovered and selected)</w:t>
      </w:r>
      <w:r w:rsidRPr="00873B6C">
        <w:rPr>
          <w:lang w:eastAsia="zh-CN"/>
        </w:rPr>
        <w:t xml:space="preserve"> or TAI </w:t>
      </w:r>
      <w:r w:rsidRPr="00873B6C">
        <w:t>to discover the AMF instance(s), the NRF provides the NF profile of the associated AMF instance(s)</w:t>
      </w:r>
      <w:r w:rsidRPr="00873B6C">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873B6C">
        <w:t xml:space="preserve"> a list of NF profiles of </w:t>
      </w:r>
      <w:r w:rsidRPr="00873B6C">
        <w:rPr>
          <w:lang w:eastAsia="zh-CN"/>
        </w:rPr>
        <w:t xml:space="preserve">candidate </w:t>
      </w:r>
      <w:r w:rsidRPr="00873B6C">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873B6C" w:rsidRDefault="00D40151" w:rsidP="00D40151">
      <w:pPr>
        <w:pStyle w:val="B1"/>
      </w:pPr>
      <w:r w:rsidRPr="00873B6C">
        <w:t>-</w:t>
      </w:r>
      <w:r w:rsidRPr="00873B6C">
        <w:tab/>
        <w:t xml:space="preserve">In the case of AMF discovery and selection functionality in AMF use </w:t>
      </w:r>
      <w:r w:rsidRPr="00873B6C">
        <w:rPr>
          <w:lang w:eastAsia="zh-CN"/>
        </w:rPr>
        <w:t xml:space="preserve">AMF Set </w:t>
      </w:r>
      <w:r w:rsidRPr="00873B6C">
        <w:t>to discover AMF instance(s), the NRF provides a list of NF profiles of AMF instances in the same AMF Set.</w:t>
      </w:r>
    </w:p>
    <w:p w14:paraId="6C4583CE" w14:textId="77777777" w:rsidR="00D40151" w:rsidRPr="00873B6C" w:rsidRDefault="00D40151" w:rsidP="00D40151">
      <w:pPr>
        <w:pStyle w:val="B1"/>
        <w:rPr>
          <w:rFonts w:eastAsia="MS Mincho"/>
        </w:rPr>
      </w:pPr>
      <w:r w:rsidRPr="00873B6C">
        <w:t>-</w:t>
      </w:r>
      <w:r w:rsidRPr="00873B6C">
        <w:tab/>
        <w:t>At intra-PLMN mobility, the AMF discovery and selection functionality in AMF may us</w:t>
      </w:r>
      <w:r w:rsidRPr="00873B6C">
        <w:rPr>
          <w:lang w:eastAsia="zh-CN"/>
        </w:rPr>
        <w:t>e</w:t>
      </w:r>
      <w:r w:rsidRPr="00873B6C">
        <w:t xml:space="preserve"> AMF Set</w:t>
      </w:r>
      <w:r w:rsidRPr="00873B6C">
        <w:rPr>
          <w:rFonts w:eastAsia="MS Mincho"/>
        </w:rPr>
        <w:t xml:space="preserve"> ID, AMF Region ID, the target </w:t>
      </w:r>
      <w:r w:rsidRPr="00873B6C">
        <w:rPr>
          <w:lang w:eastAsia="zh-CN"/>
        </w:rPr>
        <w:t>location</w:t>
      </w:r>
      <w:r w:rsidRPr="00873B6C">
        <w:rPr>
          <w:rFonts w:eastAsia="MS Mincho"/>
        </w:rPr>
        <w:t xml:space="preserve"> </w:t>
      </w:r>
      <w:r w:rsidRPr="00873B6C">
        <w:rPr>
          <w:lang w:eastAsia="zh-CN"/>
        </w:rPr>
        <w:t>information, S-NSSAI(s) of Allowed NSSAI</w:t>
      </w:r>
      <w:r w:rsidRPr="00873B6C">
        <w:rPr>
          <w:rFonts w:eastAsia="MS Mincho"/>
        </w:rPr>
        <w:t xml:space="preserve"> to discover </w:t>
      </w:r>
      <w:r w:rsidRPr="00873B6C">
        <w:rPr>
          <w:lang w:eastAsia="zh-CN"/>
        </w:rPr>
        <w:t xml:space="preserve">target </w:t>
      </w:r>
      <w:r w:rsidRPr="00873B6C">
        <w:rPr>
          <w:rFonts w:eastAsia="MS Mincho"/>
        </w:rPr>
        <w:t>AMF instance(s)</w:t>
      </w:r>
      <w:r w:rsidRPr="00873B6C">
        <w:rPr>
          <w:lang w:eastAsia="zh-CN"/>
        </w:rPr>
        <w:t>.</w:t>
      </w:r>
      <w:r w:rsidRPr="00873B6C">
        <w:rPr>
          <w:rFonts w:eastAsia="MS Mincho"/>
        </w:rPr>
        <w:t xml:space="preserve"> </w:t>
      </w:r>
      <w:r w:rsidRPr="00873B6C">
        <w:rPr>
          <w:lang w:eastAsia="zh-CN"/>
        </w:rPr>
        <w:t>T</w:t>
      </w:r>
      <w:r w:rsidRPr="00873B6C">
        <w:rPr>
          <w:rFonts w:eastAsia="MS Mincho"/>
        </w:rPr>
        <w:t xml:space="preserve">he NRF provides </w:t>
      </w:r>
      <w:r w:rsidRPr="00873B6C">
        <w:rPr>
          <w:lang w:eastAsia="zh-CN"/>
        </w:rPr>
        <w:t>the target NF profiles matching the discovery</w:t>
      </w:r>
      <w:r w:rsidRPr="00873B6C">
        <w:rPr>
          <w:rFonts w:eastAsia="MS Mincho"/>
        </w:rPr>
        <w:t>.</w:t>
      </w:r>
    </w:p>
    <w:p w14:paraId="085A5EE9" w14:textId="1C0659B3" w:rsidR="00EC761C" w:rsidRPr="00873B6C" w:rsidRDefault="00EC761C" w:rsidP="00D40151">
      <w:pPr>
        <w:pStyle w:val="B1"/>
        <w:rPr>
          <w:rFonts w:eastAsia="MS Mincho"/>
        </w:rPr>
      </w:pPr>
      <w:r w:rsidRPr="00873B6C">
        <w:rPr>
          <w:rFonts w:eastAsia="MS Mincho"/>
        </w:rPr>
        <w:t>-</w:t>
      </w:r>
      <w:r w:rsidRPr="00873B6C">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873B6C">
        <w:rPr>
          <w:rFonts w:eastAsia="MS Mincho"/>
        </w:rPr>
        <w:t xml:space="preserve">, AMF support of SNPN </w:t>
      </w:r>
      <w:r w:rsidR="00DA3BBC" w:rsidRPr="00873B6C">
        <w:rPr>
          <w:rFonts w:eastAsia="MS Mincho"/>
        </w:rPr>
        <w:t>O</w:t>
      </w:r>
      <w:r w:rsidR="003B4D25" w:rsidRPr="00873B6C">
        <w:rPr>
          <w:rFonts w:eastAsia="MS Mincho"/>
        </w:rPr>
        <w:t>nboarding</w:t>
      </w:r>
      <w:r w:rsidR="00DA3BBC" w:rsidRPr="00873B6C">
        <w:rPr>
          <w:rFonts w:eastAsia="MS Mincho"/>
        </w:rPr>
        <w:t xml:space="preserve"> (if the UE is registered for SNPN Onboarding)</w:t>
      </w:r>
      <w:r w:rsidRPr="00873B6C">
        <w:rPr>
          <w:rFonts w:eastAsia="MS Mincho"/>
        </w:rPr>
        <w:t xml:space="preserve"> to discover target AMF instance(s). The NRF provides the target NF profiles matching the discovery.</w:t>
      </w:r>
    </w:p>
    <w:p w14:paraId="41DE6CE6" w14:textId="3F91D108" w:rsidR="00D40151" w:rsidRPr="00873B6C" w:rsidRDefault="00D40151" w:rsidP="00D40151">
      <w:pPr>
        <w:pStyle w:val="B1"/>
      </w:pPr>
      <w:r w:rsidRPr="00873B6C">
        <w:rPr>
          <w:rFonts w:eastAsia="MS Mincho"/>
        </w:rPr>
        <w:t>-</w:t>
      </w:r>
      <w:r w:rsidRPr="00873B6C">
        <w:rPr>
          <w:rFonts w:eastAsia="MS Mincho"/>
        </w:rPr>
        <w:tab/>
      </w:r>
      <w:r w:rsidRPr="00873B6C">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873B6C">
        <w:rPr>
          <w:lang w:eastAsia="zh-CN"/>
        </w:rPr>
        <w:t>After the Handover procedure t</w:t>
      </w:r>
      <w:r w:rsidRPr="00873B6C">
        <w:t xml:space="preserve">he AMF may select a different AMF instance as specified in clause 4.2.2.2.3 </w:t>
      </w:r>
      <w:r w:rsidR="00131D56" w:rsidRPr="00873B6C">
        <w:t>of</w:t>
      </w:r>
      <w:r w:rsidRPr="00873B6C">
        <w:t xml:space="preserve"> </w:t>
      </w:r>
      <w:r w:rsidR="00972E70" w:rsidRPr="00873B6C">
        <w:t>TS 23.502 [</w:t>
      </w:r>
      <w:r w:rsidRPr="00873B6C">
        <w:t>3]</w:t>
      </w:r>
      <w:r w:rsidRPr="00873B6C">
        <w:rPr>
          <w:lang w:eastAsia="zh-CN"/>
        </w:rPr>
        <w:t>.</w:t>
      </w:r>
    </w:p>
    <w:p w14:paraId="0D047F29" w14:textId="77777777" w:rsidR="00D40151" w:rsidRPr="00873B6C" w:rsidRDefault="00D40151" w:rsidP="00D40151">
      <w:pPr>
        <w:rPr>
          <w:rFonts w:eastAsia="Malgun Gothic"/>
          <w:lang w:eastAsia="ko-KR"/>
        </w:rPr>
      </w:pPr>
      <w:r w:rsidRPr="00873B6C">
        <w:rPr>
          <w:rFonts w:eastAsia="Malgun Gothic"/>
          <w:lang w:eastAsia="ko-KR"/>
        </w:rPr>
        <w:t>In the context of Network Slicing, the AMF selection is described in clause 5.15.5.2.1.</w:t>
      </w:r>
    </w:p>
    <w:p w14:paraId="008F05F0" w14:textId="77777777" w:rsidR="00D40151" w:rsidRPr="00873B6C" w:rsidRDefault="00D40151" w:rsidP="00D40151">
      <w:pPr>
        <w:rPr>
          <w:rFonts w:eastAsia="Malgun Gothic"/>
          <w:lang w:eastAsia="ko-KR"/>
        </w:rPr>
      </w:pPr>
      <w:r w:rsidRPr="00873B6C">
        <w:rPr>
          <w:rFonts w:eastAsia="Malgun Gothic"/>
          <w:lang w:eastAsia="ko-KR"/>
        </w:rPr>
        <w:lastRenderedPageBreak/>
        <w:t>When delegated discovery and associated selection is used, the following applies:</w:t>
      </w:r>
    </w:p>
    <w:p w14:paraId="09E38AF4" w14:textId="77777777"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873B6C" w:rsidRDefault="00D40151" w:rsidP="00D40151">
      <w:pPr>
        <w:pStyle w:val="B2"/>
        <w:rPr>
          <w:rFonts w:eastAsia="Malgun Gothic"/>
          <w:lang w:eastAsia="ko-KR"/>
        </w:rPr>
      </w:pPr>
      <w:r w:rsidRPr="00873B6C">
        <w:rPr>
          <w:rFonts w:eastAsia="Malgun Gothic"/>
          <w:lang w:eastAsia="ko-KR"/>
        </w:rPr>
        <w:t>-</w:t>
      </w:r>
      <w:r w:rsidRPr="00873B6C">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873B6C" w:rsidRDefault="00D40151" w:rsidP="00D40151">
      <w:pPr>
        <w:pStyle w:val="B2"/>
        <w:rPr>
          <w:rFonts w:eastAsia="Malgun Gothic"/>
          <w:lang w:eastAsia="ko-KR"/>
        </w:rPr>
      </w:pPr>
      <w:r w:rsidRPr="00873B6C">
        <w:rPr>
          <w:rFonts w:eastAsia="Malgun Gothic"/>
          <w:lang w:eastAsia="ko-KR"/>
        </w:rPr>
        <w:t>-</w:t>
      </w:r>
      <w:r w:rsidRPr="00873B6C">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873B6C" w:rsidRDefault="00D40151" w:rsidP="00D40151">
      <w:pPr>
        <w:pStyle w:val="B2"/>
        <w:rPr>
          <w:rFonts w:eastAsia="Malgun Gothic"/>
          <w:lang w:eastAsia="ko-KR"/>
        </w:rPr>
      </w:pPr>
      <w:r w:rsidRPr="00873B6C">
        <w:rPr>
          <w:rFonts w:eastAsia="Malgun Gothic"/>
          <w:lang w:eastAsia="ko-KR"/>
        </w:rPr>
        <w:t>-</w:t>
      </w:r>
      <w:r w:rsidRPr="00873B6C">
        <w:rPr>
          <w:rFonts w:eastAsia="Malgun Gothic"/>
          <w:lang w:eastAsia="ko-KR"/>
        </w:rPr>
        <w:tab/>
        <w:t>If no AMF service instances related to the indicated GUAMI</w:t>
      </w:r>
      <w:r w:rsidR="00EC761C" w:rsidRPr="00873B6C">
        <w:rPr>
          <w:rFonts w:eastAsia="Malgun Gothic"/>
          <w:lang w:eastAsia="ko-KR"/>
        </w:rPr>
        <w:t xml:space="preserve"> (in the SNPN case, along with NID of the SNPN that owns the AMF instances to be discovered and selected)</w:t>
      </w:r>
      <w:r w:rsidRPr="00873B6C">
        <w:rPr>
          <w:rFonts w:eastAsia="Malgun Gothic"/>
          <w:lang w:eastAsia="ko-KR"/>
        </w:rPr>
        <w:t xml:space="preserve"> can be found the SCP selects an AMF instance from the AMF Set; or</w:t>
      </w:r>
    </w:p>
    <w:p w14:paraId="5B7617C9" w14:textId="77777777" w:rsidR="00D40151" w:rsidRPr="00873B6C" w:rsidRDefault="00D40151" w:rsidP="00D40151">
      <w:pPr>
        <w:pStyle w:val="B2"/>
        <w:rPr>
          <w:rFonts w:eastAsia="Malgun Gothic"/>
          <w:lang w:eastAsia="ko-KR"/>
        </w:rPr>
      </w:pPr>
      <w:r w:rsidRPr="00873B6C">
        <w:rPr>
          <w:rFonts w:eastAsia="Malgun Gothic"/>
          <w:lang w:eastAsia="ko-KR"/>
        </w:rPr>
        <w:t>-</w:t>
      </w:r>
      <w:r w:rsidRPr="00873B6C">
        <w:rPr>
          <w:rFonts w:eastAsia="Malgun Gothic"/>
          <w:lang w:eastAsia="ko-KR"/>
        </w:rPr>
        <w:tab/>
        <w:t>AMF Pointer value used by more than one AMF, SCP selects one of the AMF instances associated with the AMF Pointer.</w:t>
      </w:r>
    </w:p>
    <w:p w14:paraId="5C7B6743" w14:textId="77777777"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If the CP NF includes AMF Set ID in the request, the SCP selects AMF/AMF service instances in the provided AMF Set.</w:t>
      </w:r>
    </w:p>
    <w:p w14:paraId="05356F1A" w14:textId="2D2E52A5"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At intra-PLMN mobility, if a target AMF instance needs to be selected, the AMF</w:t>
      </w:r>
      <w:r w:rsidR="00CD64F1" w:rsidRPr="00873B6C">
        <w:rPr>
          <w:rFonts w:eastAsia="Malgun Gothic"/>
          <w:lang w:eastAsia="ko-KR"/>
        </w:rPr>
        <w:t xml:space="preserve"> may</w:t>
      </w:r>
      <w:r w:rsidRPr="00873B6C">
        <w:rPr>
          <w:rFonts w:eastAsia="Malgun Gothic"/>
          <w:lang w:eastAsia="ko-KR"/>
        </w:rPr>
        <w:t xml:space="preserve"> provide AMF Set ID, AMF Region ID</w:t>
      </w:r>
      <w:r w:rsidR="00472CD7" w:rsidRPr="00873B6C">
        <w:rPr>
          <w:rFonts w:eastAsia="Malgun Gothic"/>
          <w:lang w:eastAsia="ko-KR"/>
        </w:rPr>
        <w:t xml:space="preserve"> and</w:t>
      </w:r>
      <w:r w:rsidRPr="00873B6C">
        <w:rPr>
          <w:rFonts w:eastAsia="Malgun Gothic"/>
          <w:lang w:eastAsia="ko-KR"/>
        </w:rPr>
        <w:t xml:space="preserve"> the target location information, S-NSSAI(s) of Allowed NSSAI in the request, optionally NRF to use. The SCP will select a target AMF instance</w:t>
      </w:r>
      <w:r w:rsidR="00CD64F1" w:rsidRPr="00873B6C">
        <w:rPr>
          <w:rFonts w:eastAsia="Malgun Gothic"/>
          <w:lang w:eastAsia="ko-KR"/>
        </w:rPr>
        <w:t xml:space="preserve"> matching the discovery</w:t>
      </w:r>
      <w:r w:rsidRPr="00873B6C">
        <w:rPr>
          <w:rFonts w:eastAsia="Malgun Gothic"/>
          <w:lang w:eastAsia="ko-KR"/>
        </w:rPr>
        <w:t>.</w:t>
      </w:r>
    </w:p>
    <w:p w14:paraId="3D9EF987" w14:textId="60B78AF0" w:rsidR="00EC761C" w:rsidRPr="00873B6C" w:rsidRDefault="00EC761C" w:rsidP="00D40151">
      <w:pPr>
        <w:pStyle w:val="B1"/>
        <w:rPr>
          <w:rFonts w:eastAsia="Malgun Gothic"/>
          <w:lang w:eastAsia="ko-KR"/>
        </w:rPr>
      </w:pPr>
      <w:r w:rsidRPr="00873B6C">
        <w:rPr>
          <w:rFonts w:eastAsia="Malgun Gothic"/>
          <w:lang w:eastAsia="ko-KR"/>
        </w:rPr>
        <w:t>-</w:t>
      </w:r>
      <w:r w:rsidRPr="00873B6C">
        <w:rPr>
          <w:rFonts w:eastAsia="Malgun Gothic"/>
          <w:lang w:eastAsia="ko-KR"/>
        </w:rPr>
        <w:tab/>
        <w:t>At intra-SNPN mobility, if a target AMF instance needs to be selected, the AMF may provide AMF Set ID, AMF Region ID along with NID of the SNPN that owns the AMF instances to be discovered and selected</w:t>
      </w:r>
      <w:r w:rsidR="00472CD7" w:rsidRPr="00873B6C">
        <w:rPr>
          <w:rFonts w:eastAsia="Malgun Gothic"/>
          <w:lang w:eastAsia="ko-KR"/>
        </w:rPr>
        <w:t xml:space="preserve"> and</w:t>
      </w:r>
      <w:r w:rsidRPr="00873B6C">
        <w:rPr>
          <w:rFonts w:eastAsia="Malgun Gothic"/>
          <w:lang w:eastAsia="ko-KR"/>
        </w:rPr>
        <w:t xml:space="preserve"> the target location information, S-NSSAI(s) of Allowed NSSAI</w:t>
      </w:r>
      <w:r w:rsidR="003B4D25" w:rsidRPr="00873B6C">
        <w:rPr>
          <w:rFonts w:eastAsia="Malgun Gothic"/>
          <w:lang w:eastAsia="ko-KR"/>
        </w:rPr>
        <w:t xml:space="preserve">, AMF support of SNPN </w:t>
      </w:r>
      <w:r w:rsidR="00DA3BBC" w:rsidRPr="00873B6C">
        <w:rPr>
          <w:rFonts w:eastAsia="Malgun Gothic"/>
          <w:lang w:eastAsia="ko-KR"/>
        </w:rPr>
        <w:t>O</w:t>
      </w:r>
      <w:r w:rsidR="003B4D25" w:rsidRPr="00873B6C">
        <w:rPr>
          <w:rFonts w:eastAsia="Malgun Gothic"/>
          <w:lang w:eastAsia="ko-KR"/>
        </w:rPr>
        <w:t>nboarding</w:t>
      </w:r>
      <w:r w:rsidRPr="00873B6C">
        <w:rPr>
          <w:rFonts w:eastAsia="Malgun Gothic"/>
          <w:lang w:eastAsia="ko-KR"/>
        </w:rPr>
        <w:t xml:space="preserve"> in the request</w:t>
      </w:r>
      <w:r w:rsidR="00DA3BBC" w:rsidRPr="00873B6C">
        <w:rPr>
          <w:rFonts w:eastAsia="Malgun Gothic"/>
          <w:lang w:eastAsia="ko-KR"/>
        </w:rPr>
        <w:t xml:space="preserve"> (if the UE is registered for SNPN Onboarding)</w:t>
      </w:r>
      <w:r w:rsidRPr="00873B6C">
        <w:rPr>
          <w:rFonts w:eastAsia="Malgun Gothic"/>
          <w:lang w:eastAsia="ko-KR"/>
        </w:rPr>
        <w:t>, optionally NRF to use. The SCP will select a target AMF instance matching the discovery.</w:t>
      </w:r>
    </w:p>
    <w:p w14:paraId="6DF3F24A" w14:textId="3C91BA25"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873B6C" w:rsidRDefault="00D40151" w:rsidP="00D40151">
      <w:pPr>
        <w:pStyle w:val="Heading3"/>
        <w:rPr>
          <w:rFonts w:eastAsia="Malgun Gothic"/>
          <w:lang w:eastAsia="ko-KR"/>
        </w:rPr>
      </w:pPr>
      <w:bookmarkStart w:id="5639" w:name="_CR6_3_6"/>
      <w:bookmarkStart w:id="5640" w:name="_Toc20150221"/>
      <w:bookmarkStart w:id="5641" w:name="_Toc27847029"/>
      <w:bookmarkStart w:id="5642" w:name="_Toc36188161"/>
      <w:bookmarkStart w:id="5643" w:name="_Toc45184072"/>
      <w:bookmarkStart w:id="5644" w:name="_Toc47342914"/>
      <w:bookmarkStart w:id="5645" w:name="_Toc51769616"/>
      <w:bookmarkStart w:id="5646" w:name="_Toc201157779"/>
      <w:bookmarkEnd w:id="5639"/>
      <w:r w:rsidRPr="00873B6C">
        <w:rPr>
          <w:rFonts w:eastAsia="Malgun Gothic"/>
          <w:lang w:eastAsia="ko-KR"/>
        </w:rPr>
        <w:t>6.3.6</w:t>
      </w:r>
      <w:r w:rsidRPr="00873B6C">
        <w:tab/>
      </w:r>
      <w:r w:rsidRPr="00873B6C">
        <w:rPr>
          <w:rFonts w:eastAsia="Malgun Gothic"/>
          <w:lang w:eastAsia="ko-KR"/>
        </w:rPr>
        <w:t>N3IWF</w:t>
      </w:r>
      <w:r w:rsidRPr="00873B6C">
        <w:t xml:space="preserve"> </w:t>
      </w:r>
      <w:r w:rsidRPr="00873B6C">
        <w:rPr>
          <w:rFonts w:eastAsia="Malgun Gothic"/>
          <w:lang w:eastAsia="ko-KR"/>
        </w:rPr>
        <w:t>s</w:t>
      </w:r>
      <w:r w:rsidRPr="00873B6C">
        <w:t>election</w:t>
      </w:r>
      <w:bookmarkEnd w:id="5640"/>
      <w:bookmarkEnd w:id="5641"/>
      <w:bookmarkEnd w:id="5642"/>
      <w:bookmarkEnd w:id="5643"/>
      <w:bookmarkEnd w:id="5644"/>
      <w:bookmarkEnd w:id="5645"/>
      <w:bookmarkEnd w:id="5646"/>
    </w:p>
    <w:p w14:paraId="7DFB2DF3" w14:textId="77777777" w:rsidR="00D40151" w:rsidRPr="00873B6C" w:rsidRDefault="00D40151" w:rsidP="00D40151">
      <w:pPr>
        <w:pStyle w:val="Heading4"/>
      </w:pPr>
      <w:bookmarkStart w:id="5647" w:name="_CR6_3_6_1"/>
      <w:bookmarkStart w:id="5648" w:name="_Toc20150222"/>
      <w:bookmarkStart w:id="5649" w:name="_Toc27847030"/>
      <w:bookmarkStart w:id="5650" w:name="_Toc36188162"/>
      <w:bookmarkStart w:id="5651" w:name="_Toc45184073"/>
      <w:bookmarkStart w:id="5652" w:name="_Toc47342915"/>
      <w:bookmarkStart w:id="5653" w:name="_Toc51769617"/>
      <w:bookmarkStart w:id="5654" w:name="_Toc201157780"/>
      <w:bookmarkEnd w:id="5647"/>
      <w:r w:rsidRPr="00873B6C">
        <w:rPr>
          <w:lang w:eastAsia="ko-KR"/>
        </w:rPr>
        <w:t>6.3.6.1</w:t>
      </w:r>
      <w:r w:rsidRPr="00873B6C">
        <w:tab/>
        <w:t>General</w:t>
      </w:r>
      <w:bookmarkEnd w:id="5648"/>
      <w:bookmarkEnd w:id="5649"/>
      <w:bookmarkEnd w:id="5650"/>
      <w:bookmarkEnd w:id="5651"/>
      <w:bookmarkEnd w:id="5652"/>
      <w:bookmarkEnd w:id="5653"/>
      <w:bookmarkEnd w:id="5654"/>
    </w:p>
    <w:p w14:paraId="281EB851" w14:textId="7AFE725E" w:rsidR="00D40151" w:rsidRPr="00873B6C" w:rsidRDefault="00D40151" w:rsidP="00D40151">
      <w:r w:rsidRPr="00873B6C">
        <w:t xml:space="preserve">When the UE supports connectivity with N3IWF but does not support connectivity with ePDG, as specified in </w:t>
      </w:r>
      <w:r w:rsidR="00972E70" w:rsidRPr="00873B6C">
        <w:t>TS 23.402 [</w:t>
      </w:r>
      <w:r w:rsidRPr="00873B6C">
        <w:t>43], the UE shall perform the procedure in clause 6.3.6.2 for selecting an N3IWF.</w:t>
      </w:r>
    </w:p>
    <w:p w14:paraId="3D91CAC6" w14:textId="5FADEEF0" w:rsidR="00D40151" w:rsidRPr="00873B6C" w:rsidRDefault="00D40151" w:rsidP="00D40151">
      <w:r w:rsidRPr="00873B6C">
        <w:t xml:space="preserve">When the UE supports connectivity with N3IWF, as well as with ePDG, as specified in </w:t>
      </w:r>
      <w:r w:rsidR="00972E70" w:rsidRPr="00873B6C">
        <w:t>TS 23.402 [</w:t>
      </w:r>
      <w:r w:rsidRPr="00873B6C">
        <w:t>43], the UE shall perform the procedure in clause 6.3.6.3 for selecting either an N3IWF or an ePDG, i.e. for selecting a non-3GPP access node.</w:t>
      </w:r>
    </w:p>
    <w:p w14:paraId="1D1CF57C" w14:textId="77777777" w:rsidR="00D40151" w:rsidRPr="00873B6C" w:rsidRDefault="00D40151" w:rsidP="00D40151">
      <w:pPr>
        <w:rPr>
          <w:lang w:eastAsia="ko-KR"/>
        </w:rPr>
      </w:pPr>
      <w:r w:rsidRPr="00873B6C">
        <w:rPr>
          <w:lang w:eastAsia="ko-KR"/>
        </w:rPr>
        <w:t>In both cases above the UE can be configured by the HPLMN with the same information that includes:</w:t>
      </w:r>
    </w:p>
    <w:p w14:paraId="7B024A91" w14:textId="1371D509" w:rsidR="00D40151" w:rsidRPr="00873B6C" w:rsidRDefault="00D40151" w:rsidP="00D40151">
      <w:pPr>
        <w:pStyle w:val="B1"/>
        <w:rPr>
          <w:lang w:eastAsia="ko-KR"/>
        </w:rPr>
      </w:pPr>
      <w:r w:rsidRPr="00873B6C">
        <w:rPr>
          <w:lang w:eastAsia="ko-KR"/>
        </w:rPr>
        <w:t>1)</w:t>
      </w:r>
      <w:r w:rsidRPr="00873B6C">
        <w:rPr>
          <w:lang w:eastAsia="ko-KR"/>
        </w:rPr>
        <w:tab/>
        <w:t>ePDG identifier configuration: It contains the FQDN or IP address of the ePDG in the HPLMN, as specified in</w:t>
      </w:r>
      <w:r w:rsidR="00131D56" w:rsidRPr="00873B6C">
        <w:rPr>
          <w:lang w:eastAsia="ko-KR"/>
        </w:rPr>
        <w:t xml:space="preserve"> clause 4.5.4.3 of</w:t>
      </w:r>
      <w:r w:rsidRPr="00873B6C">
        <w:rPr>
          <w:lang w:eastAsia="ko-KR"/>
        </w:rPr>
        <w:t xml:space="preserve"> </w:t>
      </w:r>
      <w:r w:rsidR="00972E70" w:rsidRPr="00873B6C">
        <w:rPr>
          <w:lang w:eastAsia="ko-KR"/>
        </w:rPr>
        <w:t>TS 23.402 [</w:t>
      </w:r>
      <w:r w:rsidRPr="00873B6C">
        <w:rPr>
          <w:lang w:eastAsia="ko-KR"/>
        </w:rPr>
        <w:t>43]. This is used only when the UE supports connectivity with ePDG and attempts to select an ePDG. It is ignored in all other cases.</w:t>
      </w:r>
    </w:p>
    <w:p w14:paraId="21F3A98B" w14:textId="77777777" w:rsidR="00D40151" w:rsidRPr="00873B6C" w:rsidRDefault="00D40151" w:rsidP="00D40151">
      <w:pPr>
        <w:pStyle w:val="B1"/>
        <w:rPr>
          <w:lang w:eastAsia="ko-KR"/>
        </w:rPr>
      </w:pPr>
      <w:r w:rsidRPr="00873B6C">
        <w:rPr>
          <w:lang w:eastAsia="ko-KR"/>
        </w:rPr>
        <w:t>2)</w:t>
      </w:r>
      <w:r w:rsidRPr="00873B6C">
        <w:rPr>
          <w:lang w:eastAsia="ko-KR"/>
        </w:rPr>
        <w:tab/>
        <w:t>N3IWF identifier configuration: It contains the FQDN or IP address of the N3IWF in the HPLMN.</w:t>
      </w:r>
    </w:p>
    <w:p w14:paraId="70C46FBB" w14:textId="698B4E31" w:rsidR="0069561D" w:rsidRPr="00873B6C" w:rsidRDefault="0069561D" w:rsidP="00D40151">
      <w:pPr>
        <w:pStyle w:val="B1"/>
        <w:rPr>
          <w:lang w:eastAsia="ko-KR"/>
        </w:rPr>
      </w:pPr>
      <w:r w:rsidRPr="00873B6C">
        <w:rPr>
          <w:lang w:eastAsia="ko-KR"/>
        </w:rPr>
        <w:t>3)</w:t>
      </w:r>
      <w:r w:rsidRPr="00873B6C">
        <w:rPr>
          <w:lang w:eastAsia="ko-KR"/>
        </w:rPr>
        <w:tab/>
        <w:t>Extended Home N3IWF identifier configuration: It contains one or multiple tuples of FQDN/IP address of the N3IWF in the HPLMN and the S-NSSAIs supported by this N3IWF.</w:t>
      </w:r>
    </w:p>
    <w:p w14:paraId="1BBBFF8E" w14:textId="5F1FA327" w:rsidR="00D40151" w:rsidRPr="00873B6C" w:rsidRDefault="0069561D" w:rsidP="00D40151">
      <w:pPr>
        <w:pStyle w:val="B1"/>
        <w:rPr>
          <w:lang w:eastAsia="ko-KR"/>
        </w:rPr>
      </w:pPr>
      <w:r w:rsidRPr="00873B6C">
        <w:rPr>
          <w:lang w:eastAsia="ko-KR"/>
        </w:rPr>
        <w:t>4</w:t>
      </w:r>
      <w:r w:rsidR="00D40151" w:rsidRPr="00873B6C">
        <w:rPr>
          <w:lang w:eastAsia="ko-KR"/>
        </w:rPr>
        <w:t>)</w:t>
      </w:r>
      <w:r w:rsidR="00D40151" w:rsidRPr="00873B6C">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873B6C">
        <w:rPr>
          <w:lang w:eastAsia="ko-KR"/>
        </w:rPr>
        <w:t xml:space="preserve">clause 4.5.4.4 of </w:t>
      </w:r>
      <w:r w:rsidR="00972E70" w:rsidRPr="00873B6C">
        <w:rPr>
          <w:lang w:eastAsia="ko-KR"/>
        </w:rPr>
        <w:t>TS 23.402 [</w:t>
      </w:r>
      <w:r w:rsidR="00D40151" w:rsidRPr="00873B6C">
        <w:rPr>
          <w:lang w:eastAsia="ko-KR"/>
        </w:rPr>
        <w:t>43]) should be used when discovering the address of an ePDG or N3IWF in this PLMN. The list of PLMNs shall include the HPLMN and shall include an "any PLMN" entry, which matches any PLMN the UE is connected to except the HPLMN.</w:t>
      </w:r>
    </w:p>
    <w:p w14:paraId="5E199149" w14:textId="141A6281" w:rsidR="0069561D" w:rsidRPr="00873B6C" w:rsidRDefault="0069561D" w:rsidP="00695DF1">
      <w:pPr>
        <w:pStyle w:val="B1"/>
        <w:rPr>
          <w:lang w:eastAsia="ko-KR"/>
        </w:rPr>
      </w:pPr>
      <w:r w:rsidRPr="00873B6C">
        <w:rPr>
          <w:lang w:eastAsia="ko-KR"/>
        </w:rPr>
        <w:lastRenderedPageBreak/>
        <w:t>5)</w:t>
      </w:r>
      <w:r w:rsidRPr="00873B6C">
        <w:rPr>
          <w:lang w:eastAsia="ko-KR"/>
        </w:rPr>
        <w:tab/>
        <w:t>Slice-specific N3IWF prefix configuration: It contains one or multiple tuples consisting of:</w:t>
      </w:r>
    </w:p>
    <w:p w14:paraId="6E0E3CBE" w14:textId="77777777" w:rsidR="0069561D" w:rsidRPr="00873B6C" w:rsidRDefault="0069561D" w:rsidP="00695DF1">
      <w:pPr>
        <w:pStyle w:val="B2"/>
        <w:rPr>
          <w:lang w:eastAsia="ko-KR"/>
        </w:rPr>
      </w:pPr>
      <w:r w:rsidRPr="00873B6C">
        <w:rPr>
          <w:lang w:eastAsia="ko-KR"/>
        </w:rPr>
        <w:t>-</w:t>
      </w:r>
      <w:r w:rsidRPr="00873B6C">
        <w:rPr>
          <w:lang w:eastAsia="ko-KR"/>
        </w:rPr>
        <w:tab/>
        <w:t>List of supported S-NSSAIs;</w:t>
      </w:r>
    </w:p>
    <w:p w14:paraId="5033D837" w14:textId="77777777" w:rsidR="0069561D" w:rsidRPr="00873B6C" w:rsidRDefault="0069561D" w:rsidP="00695DF1">
      <w:pPr>
        <w:pStyle w:val="B2"/>
        <w:rPr>
          <w:lang w:eastAsia="ko-KR"/>
        </w:rPr>
      </w:pPr>
      <w:r w:rsidRPr="00873B6C">
        <w:rPr>
          <w:lang w:eastAsia="ko-KR"/>
        </w:rPr>
        <w:t>-</w:t>
      </w:r>
      <w:r w:rsidRPr="00873B6C">
        <w:rPr>
          <w:lang w:eastAsia="ko-KR"/>
        </w:rPr>
        <w:tab/>
        <w:t>Prefix for the Prefixed N3IWF OI or TA FQDNs.</w:t>
      </w:r>
    </w:p>
    <w:p w14:paraId="7263DEC7" w14:textId="7CA1826D" w:rsidR="0069561D" w:rsidRPr="00873B6C" w:rsidRDefault="0069561D" w:rsidP="00695DF1">
      <w:pPr>
        <w:pStyle w:val="NO"/>
        <w:rPr>
          <w:lang w:eastAsia="ko-KR"/>
        </w:rPr>
      </w:pPr>
      <w:r w:rsidRPr="00873B6C">
        <w:rPr>
          <w:lang w:eastAsia="ko-KR"/>
        </w:rPr>
        <w:t>NOTE 1:</w:t>
      </w:r>
      <w:r w:rsidRPr="00873B6C">
        <w:rPr>
          <w:lang w:eastAsia="ko-KR"/>
        </w:rPr>
        <w:tab/>
        <w:t>Extended Home N3IWF identifier configuration and Slice-specific N3IWF prefix configuration are assumed to be provided to the UE as part of ANDSP.</w:t>
      </w:r>
    </w:p>
    <w:p w14:paraId="1647BE0F" w14:textId="4CC3EB1C" w:rsidR="00D40151" w:rsidRPr="00873B6C" w:rsidRDefault="00D40151" w:rsidP="00D40151">
      <w:pPr>
        <w:rPr>
          <w:lang w:eastAsia="ko-KR"/>
        </w:rPr>
      </w:pPr>
      <w:r w:rsidRPr="00873B6C">
        <w:rPr>
          <w:lang w:eastAsia="ko-KR"/>
        </w:rPr>
        <w:t>The ePDG identifier configuration</w:t>
      </w:r>
      <w:r w:rsidR="0069561D" w:rsidRPr="00873B6C">
        <w:rPr>
          <w:lang w:eastAsia="ko-KR"/>
        </w:rPr>
        <w:t>,</w:t>
      </w:r>
      <w:r w:rsidRPr="00873B6C">
        <w:rPr>
          <w:lang w:eastAsia="ko-KR"/>
        </w:rPr>
        <w:t xml:space="preserve"> the N3IWF identifier configuration</w:t>
      </w:r>
      <w:r w:rsidR="0069561D" w:rsidRPr="00873B6C">
        <w:rPr>
          <w:lang w:eastAsia="ko-KR"/>
        </w:rPr>
        <w:t>, the Extended Home N3IWF identifier configuration and the Slice-specific N3IWF Prefix Configuration</w:t>
      </w:r>
      <w:r w:rsidRPr="00873B6C">
        <w:rPr>
          <w:lang w:eastAsia="ko-KR"/>
        </w:rPr>
        <w:t xml:space="preserve"> are optional parameters, while the Non-3GPP access node selection information is required and shall include at least the HPLMN and the "any PLMN" entry.</w:t>
      </w:r>
    </w:p>
    <w:p w14:paraId="59530643" w14:textId="77777777" w:rsidR="00D40151" w:rsidRPr="00873B6C" w:rsidRDefault="00D40151" w:rsidP="00D40151">
      <w:pPr>
        <w:rPr>
          <w:lang w:eastAsia="ko-KR"/>
        </w:rPr>
      </w:pPr>
      <w:r w:rsidRPr="00873B6C">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22D59952" w:rsidR="00D40151" w:rsidRPr="00873B6C" w:rsidRDefault="00D40151" w:rsidP="00D40151">
      <w:pPr>
        <w:rPr>
          <w:lang w:eastAsia="ko-KR"/>
        </w:rPr>
      </w:pPr>
      <w:r w:rsidRPr="00873B6C">
        <w:rPr>
          <w:lang w:eastAsia="ko-KR"/>
        </w:rPr>
        <w:t>If the N3IWF identifier configuration</w:t>
      </w:r>
      <w:r w:rsidR="0069561D" w:rsidRPr="00873B6C">
        <w:rPr>
          <w:lang w:eastAsia="ko-KR"/>
        </w:rPr>
        <w:t xml:space="preserve"> or the Extended Home N3IWF identifier configuration</w:t>
      </w:r>
      <w:r w:rsidRPr="00873B6C">
        <w:rPr>
          <w:lang w:eastAsia="ko-KR"/>
        </w:rPr>
        <w:t xml:space="preserve"> is configured in the UE, then, when the UE decides to select an N3IWF in the HPLMN (according to the procedure in clause 6.3.6.3 for combined N3IWF/ePDG selection and the procedure in clause 6.3.6.2 for </w:t>
      </w:r>
      <w:r w:rsidRPr="00873B6C">
        <w:t xml:space="preserve">Stand-alone </w:t>
      </w:r>
      <w:r w:rsidRPr="00873B6C">
        <w:rPr>
          <w:lang w:eastAsia="ko-KR"/>
        </w:rPr>
        <w:t>N3IWF</w:t>
      </w:r>
      <w:r w:rsidRPr="00873B6C">
        <w:t xml:space="preserve"> </w:t>
      </w:r>
      <w:r w:rsidRPr="00873B6C">
        <w:rPr>
          <w:lang w:eastAsia="ko-KR"/>
        </w:rPr>
        <w:t>s</w:t>
      </w:r>
      <w:r w:rsidRPr="00873B6C">
        <w:t>election</w:t>
      </w:r>
      <w:r w:rsidRPr="00873B6C">
        <w:rPr>
          <w:lang w:eastAsia="ko-KR"/>
        </w:rPr>
        <w:t>), the UE shall use the</w:t>
      </w:r>
      <w:r w:rsidR="0069561D" w:rsidRPr="00873B6C">
        <w:rPr>
          <w:lang w:eastAsia="ko-KR"/>
        </w:rPr>
        <w:t xml:space="preserve"> Extended Home N3IWF identifier configuration, if available</w:t>
      </w:r>
      <w:r w:rsidR="00472CD7" w:rsidRPr="00873B6C">
        <w:rPr>
          <w:lang w:eastAsia="ko-KR"/>
        </w:rPr>
        <w:t xml:space="preserve"> and</w:t>
      </w:r>
      <w:r w:rsidR="0069561D" w:rsidRPr="00873B6C">
        <w:rPr>
          <w:lang w:eastAsia="ko-KR"/>
        </w:rPr>
        <w:t xml:space="preserve"> otherwise the</w:t>
      </w:r>
      <w:r w:rsidRPr="00873B6C">
        <w:rPr>
          <w:lang w:eastAsia="ko-KR"/>
        </w:rPr>
        <w:t xml:space="preserve"> N3IWF identifier configuration to find the IP address of the N3IWF in the HPLMN and shall ignore the FQDN parameter of the HPLMN in the Non-3GPP access node selection information.</w:t>
      </w:r>
    </w:p>
    <w:p w14:paraId="7B1E7B34" w14:textId="530D080A" w:rsidR="0069561D" w:rsidRPr="00873B6C" w:rsidRDefault="0069561D" w:rsidP="0047544D">
      <w:pPr>
        <w:rPr>
          <w:lang w:eastAsia="ko-KR"/>
        </w:rPr>
      </w:pPr>
      <w:bookmarkStart w:id="5655" w:name="_Toc20150223"/>
      <w:bookmarkStart w:id="5656" w:name="_Toc27847031"/>
      <w:bookmarkStart w:id="5657" w:name="_Toc36188163"/>
      <w:bookmarkStart w:id="5658" w:name="_Toc45184074"/>
      <w:bookmarkStart w:id="5659" w:name="_Toc47342916"/>
      <w:bookmarkStart w:id="5660" w:name="_Toc51769618"/>
      <w:r w:rsidRPr="00873B6C">
        <w:rPr>
          <w:lang w:eastAsia="ko-KR"/>
        </w:rPr>
        <w:t>The HPLMN's PCF takes the UE's subscribed S-NSSAIs into account when providing Extended Home N3IWF identifier configuration and/or Slice-specific N3IWF Prefix Configuration to the UE.</w:t>
      </w:r>
    </w:p>
    <w:p w14:paraId="0593FE13" w14:textId="131F6F82" w:rsidR="0047544D" w:rsidRPr="00873B6C" w:rsidRDefault="0069561D" w:rsidP="0047544D">
      <w:pPr>
        <w:rPr>
          <w:lang w:eastAsia="ko-KR"/>
        </w:rPr>
      </w:pPr>
      <w:r w:rsidRPr="00873B6C">
        <w:rPr>
          <w:lang w:eastAsia="ko-KR"/>
        </w:rPr>
        <w:t xml:space="preserve"> If a UE does not support the Extended Home N3IWF identifier configuration and the Slice-specific N3IWF Prefix Configuration, then the </w:t>
      </w:r>
      <w:r w:rsidR="0047544D" w:rsidRPr="00873B6C">
        <w:rPr>
          <w:lang w:eastAsia="ko-KR"/>
        </w:rPr>
        <w:t>HPLMN provides to the UE the Non-3GPP access node selection information and the N3IWF identifier configuration by taking into account the UE's subscribed S-NSSAIs.</w:t>
      </w:r>
    </w:p>
    <w:p w14:paraId="5CB128BE" w14:textId="11C50720" w:rsidR="0047544D" w:rsidRPr="00873B6C" w:rsidRDefault="0047544D" w:rsidP="00323277">
      <w:pPr>
        <w:pStyle w:val="NO"/>
        <w:rPr>
          <w:lang w:eastAsia="ko-KR"/>
        </w:rPr>
      </w:pPr>
      <w:r w:rsidRPr="00873B6C">
        <w:rPr>
          <w:lang w:eastAsia="ko-KR"/>
        </w:rPr>
        <w:t>NOTE 2:</w:t>
      </w:r>
      <w:r w:rsidRPr="00873B6C">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104F81E9" w14:textId="77777777" w:rsidR="0069561D" w:rsidRPr="00873B6C" w:rsidRDefault="0069561D" w:rsidP="0069561D">
      <w:pPr>
        <w:rPr>
          <w:lang w:eastAsia="ko-KR"/>
        </w:rPr>
      </w:pPr>
      <w:r w:rsidRPr="00873B6C">
        <w:rPr>
          <w:lang w:eastAsia="ko-KR"/>
        </w:rPr>
        <w:t>The UE can be configured by the VPLMN with the following information applicable for the V-PLMN:</w:t>
      </w:r>
    </w:p>
    <w:p w14:paraId="4E38B1E3" w14:textId="36E2F9B1" w:rsidR="0069561D" w:rsidRPr="00873B6C" w:rsidRDefault="0069561D" w:rsidP="00695DF1">
      <w:pPr>
        <w:pStyle w:val="B1"/>
        <w:rPr>
          <w:lang w:eastAsia="ko-KR"/>
        </w:rPr>
      </w:pPr>
      <w:r w:rsidRPr="00873B6C">
        <w:rPr>
          <w:lang w:eastAsia="ko-KR"/>
        </w:rPr>
        <w:tab/>
        <w:t>Slice-specific N3IWF prefix configuration: It contains one or multiple tuples consisting of:</w:t>
      </w:r>
    </w:p>
    <w:p w14:paraId="46346AA2" w14:textId="77777777" w:rsidR="0069561D" w:rsidRPr="00873B6C" w:rsidRDefault="0069561D" w:rsidP="00695DF1">
      <w:pPr>
        <w:pStyle w:val="B2"/>
        <w:rPr>
          <w:lang w:eastAsia="ko-KR"/>
        </w:rPr>
      </w:pPr>
      <w:r w:rsidRPr="00873B6C">
        <w:rPr>
          <w:lang w:eastAsia="ko-KR"/>
        </w:rPr>
        <w:t>-</w:t>
      </w:r>
      <w:r w:rsidRPr="00873B6C">
        <w:rPr>
          <w:lang w:eastAsia="ko-KR"/>
        </w:rPr>
        <w:tab/>
        <w:t>List of supported S-NSSAIs;</w:t>
      </w:r>
    </w:p>
    <w:p w14:paraId="3139001B" w14:textId="77777777" w:rsidR="0069561D" w:rsidRPr="00873B6C" w:rsidRDefault="0069561D" w:rsidP="00695DF1">
      <w:pPr>
        <w:pStyle w:val="B2"/>
        <w:rPr>
          <w:lang w:eastAsia="ko-KR"/>
        </w:rPr>
      </w:pPr>
      <w:r w:rsidRPr="00873B6C">
        <w:rPr>
          <w:lang w:eastAsia="ko-KR"/>
        </w:rPr>
        <w:t>-</w:t>
      </w:r>
      <w:r w:rsidRPr="00873B6C">
        <w:rPr>
          <w:lang w:eastAsia="ko-KR"/>
        </w:rPr>
        <w:tab/>
        <w:t>Prefix for the Prefixed N3IWF OI or TA FQDNs.</w:t>
      </w:r>
    </w:p>
    <w:p w14:paraId="2B7854F4" w14:textId="77777777" w:rsidR="0069561D" w:rsidRPr="00873B6C" w:rsidRDefault="0069561D" w:rsidP="0069561D">
      <w:pPr>
        <w:rPr>
          <w:lang w:eastAsia="ko-KR"/>
        </w:rPr>
      </w:pPr>
      <w:r w:rsidRPr="00873B6C">
        <w:rPr>
          <w:lang w:eastAsia="ko-KR"/>
        </w:rPr>
        <w:t>To enable the V-PCF to provide the UE with Slice-specific N3IWF prefix configuration, the AMF provides the V-PCF with the Configured NSSAI for the serving PLMN during the UE Policy Association Establishment/Modification procedure.</w:t>
      </w:r>
    </w:p>
    <w:p w14:paraId="5FFC0ED2" w14:textId="0BBCEBAF" w:rsidR="0069561D" w:rsidRPr="00873B6C" w:rsidRDefault="0069561D" w:rsidP="00695DF1">
      <w:pPr>
        <w:pStyle w:val="NO"/>
        <w:rPr>
          <w:lang w:eastAsia="ko-KR"/>
        </w:rPr>
      </w:pPr>
      <w:r w:rsidRPr="00873B6C">
        <w:rPr>
          <w:lang w:eastAsia="ko-KR"/>
        </w:rPr>
        <w:t>NOTE 3:</w:t>
      </w:r>
      <w:r w:rsidRPr="00873B6C">
        <w:rPr>
          <w:lang w:eastAsia="ko-KR"/>
        </w:rPr>
        <w:tab/>
        <w:t>In non-roaming cases, the UE PCF already receives the subscribed NSSAI from the UDR. Therefore, there is no need for the AMF to provide the Configured NSSAI to the PCF in the non-roaming case.</w:t>
      </w:r>
    </w:p>
    <w:p w14:paraId="34340683" w14:textId="29A3B1F0" w:rsidR="0069561D" w:rsidRPr="00873B6C" w:rsidRDefault="0069561D" w:rsidP="00695DF1">
      <w:pPr>
        <w:pStyle w:val="NO"/>
        <w:rPr>
          <w:lang w:eastAsia="ko-KR"/>
        </w:rPr>
      </w:pPr>
      <w:r w:rsidRPr="00873B6C">
        <w:rPr>
          <w:lang w:eastAsia="ko-KR"/>
        </w:rPr>
        <w:t>NOTE 4:</w:t>
      </w:r>
      <w:r w:rsidRPr="00873B6C">
        <w:rPr>
          <w:lang w:eastAsia="ko-KR"/>
        </w:rPr>
        <w:tab/>
        <w:t>PCF (V-PCF in the roaming case) is assumed to be locally configured with information about the slices supported by the different N3IWFs in the serving PLMN.</w:t>
      </w:r>
    </w:p>
    <w:p w14:paraId="158B98B0" w14:textId="7325D264" w:rsidR="0069561D" w:rsidRPr="00873B6C" w:rsidRDefault="0069561D" w:rsidP="0069561D">
      <w:pPr>
        <w:rPr>
          <w:lang w:eastAsia="ko-KR"/>
        </w:rPr>
      </w:pPr>
      <w:r w:rsidRPr="00873B6C">
        <w:rPr>
          <w:lang w:eastAsia="ko-KR"/>
        </w:rPr>
        <w:t>During the registration procedure the AMF may determine if the N3IWF selected by the UE is suitable for the S-NSSAI(s) requested by the UE considering the UE subscription. If the AMF determines that a different N3IWF should be selected</w:t>
      </w:r>
      <w:r w:rsidR="00114986" w:rsidRPr="00873B6C">
        <w:rPr>
          <w:lang w:eastAsia="ko-KR"/>
        </w:rPr>
        <w:t xml:space="preserve"> as described in clause 4.12.2.2 of TS 23.502 [3]</w:t>
      </w:r>
      <w:r w:rsidRPr="00873B6C">
        <w:rPr>
          <w:lang w:eastAsia="ko-KR"/>
        </w:rPr>
        <w:t>, the AMF:</w:t>
      </w:r>
    </w:p>
    <w:p w14:paraId="4B8477B1" w14:textId="09991F4D" w:rsidR="0069561D" w:rsidRPr="00873B6C" w:rsidRDefault="0069561D" w:rsidP="00695DF1">
      <w:pPr>
        <w:pStyle w:val="B1"/>
        <w:rPr>
          <w:lang w:eastAsia="ko-KR"/>
        </w:rPr>
      </w:pPr>
      <w:r w:rsidRPr="00873B6C">
        <w:rPr>
          <w:lang w:eastAsia="ko-KR"/>
        </w:rPr>
        <w:t>-</w:t>
      </w:r>
      <w:r w:rsidRPr="00873B6C">
        <w:rPr>
          <w:lang w:eastAsia="ko-KR"/>
        </w:rPr>
        <w:tab/>
        <w:t>may, if the UE supports slice-based N3IWF selection, trigger</w:t>
      </w:r>
      <w:r w:rsidR="00114986" w:rsidRPr="00873B6C">
        <w:rPr>
          <w:lang w:eastAsia="ko-KR"/>
        </w:rPr>
        <w:t>s</w:t>
      </w:r>
      <w:r w:rsidRPr="00873B6C">
        <w:rPr>
          <w:lang w:eastAsia="ko-KR"/>
        </w:rPr>
        <w:t xml:space="preserve"> the UE Policy Association Establishment or UE Policy Association Update procedure to provide the UE with updated N3IWF selection information; when the AMF is informed</w:t>
      </w:r>
      <w:r w:rsidR="00114986" w:rsidRPr="00873B6C">
        <w:rPr>
          <w:lang w:eastAsia="ko-KR"/>
        </w:rPr>
        <w:t xml:space="preserve"> by the PCF</w:t>
      </w:r>
      <w:r w:rsidRPr="00873B6C">
        <w:rPr>
          <w:lang w:eastAsia="ko-KR"/>
        </w:rPr>
        <w:t xml:space="preserve"> that the update of</w:t>
      </w:r>
      <w:r w:rsidR="00114986" w:rsidRPr="00873B6C">
        <w:rPr>
          <w:lang w:eastAsia="ko-KR"/>
        </w:rPr>
        <w:t xml:space="preserve"> UE policy</w:t>
      </w:r>
      <w:r w:rsidRPr="00873B6C">
        <w:rPr>
          <w:lang w:eastAsia="ko-KR"/>
        </w:rPr>
        <w:t xml:space="preserve"> information</w:t>
      </w:r>
      <w:r w:rsidR="00114986" w:rsidRPr="00873B6C">
        <w:rPr>
          <w:lang w:eastAsia="ko-KR"/>
        </w:rPr>
        <w:t xml:space="preserve"> on the UE</w:t>
      </w:r>
      <w:r w:rsidRPr="00873B6C">
        <w:rPr>
          <w:lang w:eastAsia="ko-KR"/>
        </w:rPr>
        <w:t xml:space="preserve"> is completed</w:t>
      </w:r>
      <w:r w:rsidR="00114986" w:rsidRPr="00873B6C">
        <w:rPr>
          <w:lang w:eastAsia="ko-KR"/>
        </w:rPr>
        <w:t xml:space="preserve"> as described in clause 4.12.2.2.2 of TS 23.502 [3]</w:t>
      </w:r>
      <w:r w:rsidRPr="00873B6C">
        <w:rPr>
          <w:lang w:eastAsia="ko-KR"/>
        </w:rPr>
        <w:t>, the AMF release</w:t>
      </w:r>
      <w:r w:rsidR="00114986" w:rsidRPr="00873B6C">
        <w:rPr>
          <w:lang w:eastAsia="ko-KR"/>
        </w:rPr>
        <w:t>s</w:t>
      </w:r>
      <w:r w:rsidRPr="00873B6C">
        <w:rPr>
          <w:lang w:eastAsia="ko-KR"/>
        </w:rPr>
        <w:t xml:space="preserve"> UE Policy Association</w:t>
      </w:r>
      <w:r w:rsidR="00114986" w:rsidRPr="00873B6C">
        <w:rPr>
          <w:lang w:eastAsia="ko-KR"/>
        </w:rPr>
        <w:t xml:space="preserve"> if the UE is not registered over 3GPP access</w:t>
      </w:r>
      <w:r w:rsidRPr="00873B6C">
        <w:rPr>
          <w:lang w:eastAsia="ko-KR"/>
        </w:rPr>
        <w:t xml:space="preserve"> before proceeding to the Registration Reject</w:t>
      </w:r>
      <w:r w:rsidR="00114986" w:rsidRPr="00873B6C">
        <w:rPr>
          <w:lang w:eastAsia="ko-KR"/>
        </w:rPr>
        <w:t xml:space="preserve"> over untrusted non-3GPP access</w:t>
      </w:r>
      <w:r w:rsidRPr="00873B6C">
        <w:rPr>
          <w:lang w:eastAsia="ko-KR"/>
        </w:rPr>
        <w:t>;</w:t>
      </w:r>
    </w:p>
    <w:p w14:paraId="3B41D806" w14:textId="394A334C" w:rsidR="0069561D" w:rsidRPr="00873B6C" w:rsidRDefault="0069561D" w:rsidP="00695DF1">
      <w:pPr>
        <w:pStyle w:val="B1"/>
        <w:rPr>
          <w:lang w:eastAsia="ko-KR"/>
        </w:rPr>
      </w:pPr>
      <w:r w:rsidRPr="00873B6C">
        <w:rPr>
          <w:lang w:eastAsia="ko-KR"/>
        </w:rPr>
        <w:t>-</w:t>
      </w:r>
      <w:r w:rsidRPr="00873B6C">
        <w:rPr>
          <w:lang w:eastAsia="ko-KR"/>
        </w:rPr>
        <w:tab/>
        <w:t xml:space="preserve">shall send a Registration Reject message to the UE. The AMF may include target N3IWF information (FQDN and/or IP address) in the Registration Reject so that the UE can, if supported by the UE, use the target N3IWF </w:t>
      </w:r>
      <w:r w:rsidRPr="00873B6C">
        <w:rPr>
          <w:lang w:eastAsia="ko-KR"/>
        </w:rPr>
        <w:lastRenderedPageBreak/>
        <w:t>information to select the N3IWF to register to 5GC</w:t>
      </w:r>
      <w:r w:rsidR="00114986" w:rsidRPr="00873B6C">
        <w:rPr>
          <w:lang w:eastAsia="ko-KR"/>
        </w:rPr>
        <w:t xml:space="preserve"> if the UE wishes to send the same Requested NSSAI as during the previous Registration Request</w:t>
      </w:r>
      <w:r w:rsidRPr="00873B6C">
        <w:rPr>
          <w:lang w:eastAsia="ko-KR"/>
        </w:rPr>
        <w:t>. The target N3IWF information only applies to the one N3IWF selection performed by the UE just after receiving the Registration Reject.</w:t>
      </w:r>
    </w:p>
    <w:p w14:paraId="435DF902" w14:textId="77777777" w:rsidR="0069561D" w:rsidRPr="00873B6C" w:rsidRDefault="0069561D" w:rsidP="0069561D">
      <w:pPr>
        <w:rPr>
          <w:lang w:eastAsia="ko-KR"/>
        </w:rPr>
      </w:pPr>
      <w:r w:rsidRPr="00873B6C">
        <w:rPr>
          <w:lang w:eastAsia="ko-KR"/>
        </w:rPr>
        <w:t>The AMF may determine the N3IWF based on the list of supported TAs and the corresponding list of supported slices for each TA obtained as defined in clause 5.15.8.</w:t>
      </w:r>
    </w:p>
    <w:p w14:paraId="15E01262" w14:textId="1CD98381" w:rsidR="00114986" w:rsidRPr="00873B6C" w:rsidRDefault="00114986" w:rsidP="00114986">
      <w:pPr>
        <w:pStyle w:val="NO"/>
        <w:rPr>
          <w:lang w:eastAsia="ko-KR"/>
        </w:rPr>
      </w:pPr>
      <w:r w:rsidRPr="00873B6C">
        <w:rPr>
          <w:lang w:eastAsia="ko-KR"/>
        </w:rPr>
        <w:t>NOTE 5:</w:t>
      </w:r>
      <w:r w:rsidRPr="00873B6C">
        <w:rPr>
          <w:lang w:eastAsia="ko-KR"/>
        </w:rPr>
        <w:tab/>
        <w:t>The operator is assumed to ensure that UEs that do not support slice-based N3IWF selection always select an N3IWF that supports at least one slice requested by the UE. This is to avoid unnecessary and potentially repetitive rejections of those UEs. To ensure this, the operator is assumed to provide identifiers of N3IWFs that only support a subset of the slices configured in the network only to UEs that support slice-based N3IWF selection.</w:t>
      </w:r>
    </w:p>
    <w:p w14:paraId="4089987F" w14:textId="257737AC" w:rsidR="00D40151" w:rsidRPr="00873B6C" w:rsidRDefault="00D40151" w:rsidP="00D40151">
      <w:pPr>
        <w:pStyle w:val="Heading4"/>
      </w:pPr>
      <w:bookmarkStart w:id="5661" w:name="_CR6_3_6_2"/>
      <w:bookmarkStart w:id="5662" w:name="_Toc201157781"/>
      <w:bookmarkEnd w:id="5661"/>
      <w:r w:rsidRPr="00873B6C">
        <w:rPr>
          <w:lang w:eastAsia="ko-KR"/>
        </w:rPr>
        <w:t>6.3.6.2</w:t>
      </w:r>
      <w:r w:rsidRPr="00873B6C">
        <w:tab/>
        <w:t xml:space="preserve">Stand-alone </w:t>
      </w:r>
      <w:r w:rsidRPr="00873B6C">
        <w:rPr>
          <w:lang w:eastAsia="ko-KR"/>
        </w:rPr>
        <w:t>N3IWF</w:t>
      </w:r>
      <w:r w:rsidRPr="00873B6C">
        <w:t xml:space="preserve"> </w:t>
      </w:r>
      <w:r w:rsidRPr="00873B6C">
        <w:rPr>
          <w:lang w:eastAsia="ko-KR"/>
        </w:rPr>
        <w:t>s</w:t>
      </w:r>
      <w:r w:rsidRPr="00873B6C">
        <w:t>election</w:t>
      </w:r>
      <w:bookmarkEnd w:id="5655"/>
      <w:bookmarkEnd w:id="5656"/>
      <w:bookmarkEnd w:id="5657"/>
      <w:bookmarkEnd w:id="5658"/>
      <w:bookmarkEnd w:id="5659"/>
      <w:bookmarkEnd w:id="5660"/>
      <w:bookmarkEnd w:id="5662"/>
    </w:p>
    <w:p w14:paraId="79AC0451" w14:textId="4310546F" w:rsidR="00D40151" w:rsidRPr="00873B6C" w:rsidRDefault="00D40151" w:rsidP="00D40151">
      <w:pPr>
        <w:rPr>
          <w:rFonts w:eastAsia="Malgun Gothic"/>
        </w:rPr>
      </w:pPr>
      <w:r w:rsidRPr="00873B6C">
        <w:t xml:space="preserve">The UE performs </w:t>
      </w:r>
      <w:r w:rsidRPr="00873B6C">
        <w:rPr>
          <w:rFonts w:eastAsia="Malgun Gothic"/>
        </w:rPr>
        <w:t>N3IWF</w:t>
      </w:r>
      <w:r w:rsidRPr="00873B6C">
        <w:t xml:space="preserve"> selection based on </w:t>
      </w:r>
      <w:r w:rsidRPr="00873B6C">
        <w:rPr>
          <w:rFonts w:eastAsia="Malgun Gothic"/>
        </w:rPr>
        <w:t xml:space="preserve">the ePDG selection procedure as specified in </w:t>
      </w:r>
      <w:r w:rsidR="00D602DF" w:rsidRPr="00873B6C">
        <w:rPr>
          <w:rFonts w:eastAsia="Malgun Gothic"/>
        </w:rPr>
        <w:t>clause 4.5.4</w:t>
      </w:r>
      <w:r w:rsidRPr="00873B6C">
        <w:rPr>
          <w:rFonts w:eastAsia="Malgun Gothic"/>
        </w:rPr>
        <w:t xml:space="preserve"> </w:t>
      </w:r>
      <w:r w:rsidR="00D602DF" w:rsidRPr="00873B6C">
        <w:t>of</w:t>
      </w:r>
      <w:r w:rsidR="00D602DF" w:rsidRPr="00873B6C">
        <w:rPr>
          <w:rFonts w:eastAsia="Malgun Gothic"/>
        </w:rPr>
        <w:t xml:space="preserve"> </w:t>
      </w:r>
      <w:r w:rsidR="00972E70" w:rsidRPr="00873B6C">
        <w:rPr>
          <w:rFonts w:eastAsia="Malgun Gothic"/>
        </w:rPr>
        <w:t>TS 23.402 [</w:t>
      </w:r>
      <w:r w:rsidRPr="00873B6C">
        <w:rPr>
          <w:rFonts w:eastAsia="Malgun Gothic"/>
        </w:rPr>
        <w:t>43] except for the following differences:</w:t>
      </w:r>
    </w:p>
    <w:p w14:paraId="572EA2DE" w14:textId="77777777"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2C82952E"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The ePDG Operator Identifier (OI) FQDN format is substituted by with N3IWF OI FQDN format as</w:t>
      </w:r>
      <w:r w:rsidRPr="00873B6C">
        <w:t xml:space="preserve"> specified in </w:t>
      </w:r>
      <w:r w:rsidR="00972E70" w:rsidRPr="00873B6C">
        <w:t>TS 23.003 [</w:t>
      </w:r>
      <w:r w:rsidRPr="00873B6C">
        <w:rPr>
          <w:rFonts w:eastAsia="Malgun Gothic"/>
          <w:lang w:eastAsia="ko-KR"/>
        </w:rPr>
        <w:t>19</w:t>
      </w:r>
      <w:r w:rsidRPr="00873B6C">
        <w:t>]</w:t>
      </w:r>
      <w:r w:rsidRPr="00873B6C">
        <w:rPr>
          <w:rFonts w:eastAsia="Malgun Gothic"/>
          <w:lang w:eastAsia="ko-KR"/>
        </w:rPr>
        <w:t>.</w:t>
      </w:r>
    </w:p>
    <w:p w14:paraId="14B97F5C" w14:textId="4D3B1874" w:rsidR="001F5968" w:rsidRPr="00873B6C" w:rsidRDefault="001F5968" w:rsidP="00D40151">
      <w:pPr>
        <w:pStyle w:val="B1"/>
        <w:rPr>
          <w:rFonts w:eastAsia="Malgun Gothic"/>
          <w:lang w:eastAsia="ko-KR"/>
        </w:rPr>
      </w:pPr>
      <w:r w:rsidRPr="00873B6C">
        <w:rPr>
          <w:rFonts w:eastAsia="Malgun Gothic"/>
          <w:lang w:eastAsia="ko-KR"/>
        </w:rPr>
        <w:t>-</w:t>
      </w:r>
      <w:r w:rsidRPr="00873B6C">
        <w:rPr>
          <w:rFonts w:eastAsia="Malgun Gothic"/>
          <w:lang w:eastAsia="ko-KR"/>
        </w:rPr>
        <w:tab/>
        <w:t>If the UE is configured with Slice-specific N3IWF prefix configuration, then the UE shall construct the Prefixed N3IWF OI FQDN or the Prefixed N3IWF TA FQDN as specified in</w:t>
      </w:r>
      <w:r w:rsidR="00060FE0" w:rsidRPr="00873B6C">
        <w:rPr>
          <w:rFonts w:eastAsia="Malgun Gothic"/>
          <w:lang w:eastAsia="ko-KR"/>
        </w:rPr>
        <w:t xml:space="preserve"> clauses 28.3.2.2.8 and 28.3.2.2.9 of</w:t>
      </w:r>
      <w:r w:rsidRPr="00873B6C">
        <w:rPr>
          <w:rFonts w:eastAsia="Malgun Gothic"/>
          <w:lang w:eastAsia="ko-KR"/>
        </w:rPr>
        <w:t xml:space="preserve"> </w:t>
      </w:r>
      <w:r w:rsidR="00972E70" w:rsidRPr="00873B6C">
        <w:rPr>
          <w:rFonts w:eastAsia="Malgun Gothic"/>
          <w:lang w:eastAsia="ko-KR"/>
        </w:rPr>
        <w:t>TS 23.003 [</w:t>
      </w:r>
      <w:r w:rsidRPr="00873B6C">
        <w:rPr>
          <w:rFonts w:eastAsia="Malgun Gothic"/>
          <w:lang w:eastAsia="ko-KR"/>
        </w:rPr>
        <w:t>19] instead of the N3IWF OI FQDN and the N3IWF TA FQDN, respectively. To determine the prefix, the UE selects the Slice-specific N3IWF prefix configuration for the selected PLMN that contains S-NSSAIs that match all (or most, in case there is no full match) of the S-NSSAIs that the UE is going to include in the Requested NSSAI in the subsequent Registration procedure.</w:t>
      </w:r>
    </w:p>
    <w:p w14:paraId="2CB2895E" w14:textId="77777777" w:rsidR="001F5968" w:rsidRPr="00873B6C" w:rsidRDefault="001F5968" w:rsidP="00D40151">
      <w:pPr>
        <w:pStyle w:val="B1"/>
        <w:rPr>
          <w:rFonts w:eastAsia="Malgun Gothic"/>
          <w:lang w:eastAsia="ko-KR"/>
        </w:rPr>
      </w:pPr>
      <w:r w:rsidRPr="00873B6C">
        <w:rPr>
          <w:rFonts w:eastAsia="Malgun Gothic"/>
          <w:lang w:eastAsia="ko-KR"/>
        </w:rPr>
        <w:t>-</w:t>
      </w:r>
      <w:r w:rsidRPr="00873B6C">
        <w:rPr>
          <w:rFonts w:eastAsia="Malgun Gothic"/>
          <w:lang w:eastAsia="ko-KR"/>
        </w:rPr>
        <w:tab/>
        <w:t>The ePDG identifier configuration is substituted by the N3IWF identifier configuration and the Extended Home N3IWF identifier configuration. The Extended Home N3IWF identifier configuration takes precedence over the N3IWF identifier configuration. If the UE is located in the home country and the UE is configured with Extended Home N3IWF identifier configuration, then the UE uses the Extended Home N3IWF identifier configuration to select an N3IWF:</w:t>
      </w:r>
    </w:p>
    <w:p w14:paraId="14EB4212" w14:textId="39878D5E" w:rsidR="001F5968" w:rsidRPr="00873B6C" w:rsidRDefault="001F5968" w:rsidP="00695DF1">
      <w:pPr>
        <w:pStyle w:val="B2"/>
        <w:rPr>
          <w:rFonts w:eastAsia="Malgun Gothic"/>
          <w:lang w:eastAsia="ko-KR"/>
        </w:rPr>
      </w:pPr>
      <w:r w:rsidRPr="00873B6C">
        <w:rPr>
          <w:rFonts w:eastAsia="Malgun Gothic"/>
          <w:lang w:eastAsia="ko-KR"/>
        </w:rPr>
        <w:t>-</w:t>
      </w:r>
      <w:r w:rsidRPr="00873B6C">
        <w:rPr>
          <w:rFonts w:eastAsia="Malgun Gothic"/>
          <w:lang w:eastAsia="ko-KR"/>
        </w:rPr>
        <w:tab/>
        <w:t>The UE uses the FQDN or IP address from the Extended Home N3IWF identifier configuration that matches all (or most, if there is no full match) of the S-NSSAIs that the UE is going to request in the subsequent Registration.</w:t>
      </w:r>
    </w:p>
    <w:p w14:paraId="12BF62C2" w14:textId="65EAE46F"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 xml:space="preserve">The ePDG selection information </w:t>
      </w:r>
      <w:r w:rsidR="001F5968" w:rsidRPr="00873B6C">
        <w:rPr>
          <w:rFonts w:eastAsia="Malgun Gothic"/>
          <w:lang w:eastAsia="ko-KR"/>
        </w:rPr>
        <w:t xml:space="preserve">is </w:t>
      </w:r>
      <w:r w:rsidRPr="00873B6C">
        <w:rPr>
          <w:rFonts w:eastAsia="Malgun Gothic"/>
          <w:lang w:eastAsia="ko-KR"/>
        </w:rPr>
        <w:t>substituted by the Non-3GPP access node selection information</w:t>
      </w:r>
      <w:r w:rsidR="001F5968" w:rsidRPr="00873B6C">
        <w:rPr>
          <w:rFonts w:eastAsia="Malgun Gothic"/>
          <w:lang w:eastAsia="ko-KR"/>
        </w:rPr>
        <w:t xml:space="preserve"> and slice-specific N3IWF prefix information</w:t>
      </w:r>
      <w:r w:rsidRPr="00873B6C">
        <w:rPr>
          <w:rFonts w:eastAsia="Malgun Gothic"/>
          <w:lang w:eastAsia="ko-KR"/>
        </w:rPr>
        <w:t>. The UE shall give preference to the N3IWF in all PLMNs in the Non-3GPP access node selection information independent of the "Preference" parameter.</w:t>
      </w:r>
    </w:p>
    <w:p w14:paraId="6A2A3A2D" w14:textId="75B88F95" w:rsidR="00B93E3D" w:rsidRPr="00873B6C" w:rsidRDefault="00B93E3D" w:rsidP="00562E84">
      <w:pPr>
        <w:pStyle w:val="B1"/>
        <w:rPr>
          <w:lang w:eastAsia="zh-CN"/>
        </w:rPr>
      </w:pPr>
      <w:r w:rsidRPr="00873B6C">
        <w:rPr>
          <w:lang w:eastAsia="zh-CN"/>
        </w:rPr>
        <w:t>-</w:t>
      </w:r>
      <w:r w:rsidRPr="00873B6C">
        <w:rPr>
          <w:lang w:eastAsia="zh-CN"/>
        </w:rPr>
        <w:tab/>
        <w:t xml:space="preserve">If the UE determines to be located in a country other than its home country (called the visited country), then instead of </w:t>
      </w:r>
      <w:r w:rsidR="00D602DF" w:rsidRPr="00873B6C">
        <w:rPr>
          <w:lang w:eastAsia="zh-CN"/>
        </w:rPr>
        <w:t xml:space="preserve">clause 4.5.4.4, bullet 3 of </w:t>
      </w:r>
      <w:r w:rsidR="00972E70" w:rsidRPr="00873B6C">
        <w:rPr>
          <w:lang w:eastAsia="zh-CN"/>
        </w:rPr>
        <w:t>TS 23.402 [</w:t>
      </w:r>
      <w:r w:rsidRPr="00873B6C">
        <w:rPr>
          <w:lang w:eastAsia="zh-CN"/>
        </w:rPr>
        <w:t>43], the following applies:</w:t>
      </w:r>
    </w:p>
    <w:p w14:paraId="7933290A" w14:textId="339AD251" w:rsidR="00B93E3D" w:rsidRPr="00873B6C" w:rsidRDefault="00B93E3D" w:rsidP="00562E84">
      <w:pPr>
        <w:pStyle w:val="B2"/>
        <w:rPr>
          <w:lang w:eastAsia="zh-CN"/>
        </w:rPr>
      </w:pPr>
      <w:r w:rsidRPr="00873B6C">
        <w:rPr>
          <w:lang w:eastAsia="zh-CN"/>
        </w:rPr>
        <w:t>a)</w:t>
      </w:r>
      <w:r w:rsidRPr="00873B6C">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873B6C">
        <w:rPr>
          <w:lang w:eastAsia="zh-CN"/>
        </w:rPr>
        <w:t xml:space="preserve"> clause 4.5.4.5</w:t>
      </w:r>
      <w:r w:rsidRPr="00873B6C">
        <w:rPr>
          <w:lang w:eastAsia="zh-CN"/>
        </w:rPr>
        <w:t xml:space="preserve"> </w:t>
      </w:r>
      <w:r w:rsidR="00131D56" w:rsidRPr="00873B6C">
        <w:rPr>
          <w:lang w:eastAsia="zh-CN"/>
        </w:rPr>
        <w:t xml:space="preserve">of </w:t>
      </w:r>
      <w:r w:rsidR="00972E70" w:rsidRPr="00873B6C">
        <w:rPr>
          <w:lang w:eastAsia="zh-CN"/>
        </w:rPr>
        <w:t>TS 23.402 [</w:t>
      </w:r>
      <w:r w:rsidRPr="00873B6C">
        <w:rPr>
          <w:lang w:eastAsia="zh-CN"/>
        </w:rPr>
        <w:t>43].</w:t>
      </w:r>
    </w:p>
    <w:p w14:paraId="4EA849EE" w14:textId="5694EA45" w:rsidR="00B93E3D" w:rsidRPr="00873B6C" w:rsidRDefault="00B93E3D" w:rsidP="00562E84">
      <w:pPr>
        <w:pStyle w:val="B2"/>
        <w:rPr>
          <w:lang w:eastAsia="zh-CN"/>
        </w:rPr>
      </w:pPr>
      <w:r w:rsidRPr="00873B6C">
        <w:rPr>
          <w:lang w:eastAsia="zh-CN"/>
        </w:rPr>
        <w:t>b)</w:t>
      </w:r>
      <w:r w:rsidRPr="00873B6C">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873B6C">
        <w:rPr>
          <w:lang w:eastAsia="zh-CN"/>
        </w:rPr>
        <w:t xml:space="preserve"> clause 4.5.4.5</w:t>
      </w:r>
      <w:r w:rsidRPr="00873B6C">
        <w:rPr>
          <w:lang w:eastAsia="zh-CN"/>
        </w:rPr>
        <w:t xml:space="preserve"> </w:t>
      </w:r>
      <w:r w:rsidR="00131D56" w:rsidRPr="00873B6C">
        <w:rPr>
          <w:lang w:eastAsia="zh-CN"/>
        </w:rPr>
        <w:t xml:space="preserve">of </w:t>
      </w:r>
      <w:r w:rsidR="00972E70" w:rsidRPr="00873B6C">
        <w:rPr>
          <w:lang w:eastAsia="zh-CN"/>
        </w:rPr>
        <w:t>TS 23.402 [</w:t>
      </w:r>
      <w:r w:rsidRPr="00873B6C">
        <w:rPr>
          <w:lang w:eastAsia="zh-CN"/>
        </w:rPr>
        <w:t>43]</w:t>
      </w:r>
      <w:r w:rsidR="001F5968" w:rsidRPr="00873B6C">
        <w:rPr>
          <w:lang w:eastAsia="zh-CN"/>
        </w:rPr>
        <w:t xml:space="preserve"> with the difference that the UE shall construct the Prefixed N3IWF OI FQDN if the UE is configured with Slice-specific N3IWF prefix configuration for the selected PLMN</w:t>
      </w:r>
      <w:r w:rsidRPr="00873B6C">
        <w:rPr>
          <w:lang w:eastAsia="zh-CN"/>
        </w:rPr>
        <w:t>.</w:t>
      </w:r>
    </w:p>
    <w:p w14:paraId="55D12EA5" w14:textId="02D3461F" w:rsidR="00CD64F1" w:rsidRPr="00873B6C" w:rsidRDefault="00CD64F1" w:rsidP="00D40151">
      <w:pPr>
        <w:rPr>
          <w:lang w:eastAsia="zh-CN"/>
        </w:rPr>
      </w:pPr>
      <w:r w:rsidRPr="00873B6C">
        <w:rPr>
          <w:lang w:eastAsia="zh-CN"/>
        </w:rPr>
        <w:lastRenderedPageBreak/>
        <w:t>If the UE is accessing PLMN services via SNPN, the UE uses the procedure defined in thi</w:t>
      </w:r>
      <w:r w:rsidR="00323277" w:rsidRPr="00873B6C">
        <w:rPr>
          <w:lang w:eastAsia="zh-CN"/>
        </w:rPr>
        <w:t xml:space="preserve">s clause </w:t>
      </w:r>
      <w:r w:rsidRPr="00873B6C">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873B6C" w:rsidRDefault="00CD64F1" w:rsidP="00CD64F1">
      <w:pPr>
        <w:pStyle w:val="Heading4"/>
      </w:pPr>
      <w:bookmarkStart w:id="5663" w:name="_CR6_3_6_2a"/>
      <w:bookmarkStart w:id="5664" w:name="_Toc20150224"/>
      <w:bookmarkStart w:id="5665" w:name="_Toc27847032"/>
      <w:bookmarkStart w:id="5666" w:name="_Toc36188164"/>
      <w:bookmarkStart w:id="5667" w:name="_Toc45184075"/>
      <w:bookmarkStart w:id="5668" w:name="_Toc47342917"/>
      <w:bookmarkStart w:id="5669" w:name="_Toc51769619"/>
      <w:bookmarkStart w:id="5670" w:name="_Toc201157782"/>
      <w:bookmarkEnd w:id="5663"/>
      <w:r w:rsidRPr="00873B6C">
        <w:t>6.3.6.2a</w:t>
      </w:r>
      <w:r w:rsidRPr="00873B6C">
        <w:tab/>
        <w:t>SNPN N3IWF selection</w:t>
      </w:r>
      <w:bookmarkEnd w:id="5670"/>
    </w:p>
    <w:p w14:paraId="4B19F87F" w14:textId="10468F32" w:rsidR="00CD64F1" w:rsidRPr="00873B6C" w:rsidRDefault="001F5968" w:rsidP="00CD64F1">
      <w:pPr>
        <w:rPr>
          <w:rFonts w:eastAsia="Malgun Gothic"/>
        </w:rPr>
      </w:pPr>
      <w:r w:rsidRPr="00873B6C">
        <w:rPr>
          <w:rFonts w:eastAsia="Malgun Gothic"/>
        </w:rPr>
        <w:t xml:space="preserve">This </w:t>
      </w:r>
      <w:r w:rsidR="00CD64F1" w:rsidRPr="00873B6C">
        <w:rPr>
          <w:rFonts w:eastAsia="Malgun Gothic"/>
        </w:rPr>
        <w:t>procedure applies when the UE is accessing the SNPN N3IWF</w:t>
      </w:r>
      <w:r w:rsidR="00D51D1B" w:rsidRPr="00873B6C">
        <w:rPr>
          <w:rFonts w:eastAsia="Malgun Gothic"/>
        </w:rPr>
        <w:t xml:space="preserve"> in its subscribed SNPN</w:t>
      </w:r>
      <w:r w:rsidR="00CD64F1" w:rsidRPr="00873B6C">
        <w:rPr>
          <w:rFonts w:eastAsia="Malgun Gothic"/>
        </w:rPr>
        <w:t xml:space="preserve"> via a PLMN</w:t>
      </w:r>
      <w:r w:rsidRPr="00873B6C">
        <w:rPr>
          <w:rFonts w:eastAsia="Malgun Gothic"/>
        </w:rPr>
        <w:t xml:space="preserve"> or directly via untrusted non-3GPP access</w:t>
      </w:r>
      <w:r w:rsidR="00CD64F1" w:rsidRPr="00873B6C">
        <w:rPr>
          <w:rFonts w:eastAsia="Malgun Gothic"/>
        </w:rPr>
        <w:t>.</w:t>
      </w:r>
    </w:p>
    <w:p w14:paraId="2CE81AD7" w14:textId="77777777" w:rsidR="00CD64F1" w:rsidRPr="00873B6C" w:rsidRDefault="00CD64F1" w:rsidP="00CD64F1">
      <w:pPr>
        <w:rPr>
          <w:rFonts w:eastAsia="Malgun Gothic"/>
        </w:rPr>
      </w:pPr>
      <w:r w:rsidRPr="00873B6C">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873B6C" w:rsidRDefault="00CD64F1" w:rsidP="00733F50">
      <w:pPr>
        <w:pStyle w:val="NO"/>
        <w:rPr>
          <w:rFonts w:eastAsia="Malgun Gothic"/>
        </w:rPr>
      </w:pPr>
      <w:r w:rsidRPr="00873B6C">
        <w:rPr>
          <w:rFonts w:eastAsia="Malgun Gothic"/>
        </w:rPr>
        <w:t>NOTE 1:</w:t>
      </w:r>
      <w:r w:rsidRPr="00873B6C">
        <w:rPr>
          <w:rFonts w:eastAsia="Malgun Gothic"/>
        </w:rPr>
        <w:tab/>
        <w:t>It is up to UE implementation how to determine the country in which the UE is located.</w:t>
      </w:r>
    </w:p>
    <w:p w14:paraId="4D0C60D2" w14:textId="001B0CF4" w:rsidR="00D51D1B" w:rsidRPr="00873B6C" w:rsidRDefault="00D51D1B" w:rsidP="00CD64F1">
      <w:pPr>
        <w:rPr>
          <w:rFonts w:eastAsia="Malgun Gothic"/>
        </w:rPr>
      </w:pPr>
      <w:r w:rsidRPr="00873B6C">
        <w:rPr>
          <w:rFonts w:eastAsia="Malgun Gothic"/>
        </w:rPr>
        <w:t xml:space="preserve">The UE is configured with one N3IWF address and the MCC of the country where the configured N3IWF is located as defined in </w:t>
      </w:r>
      <w:r w:rsidR="00972E70" w:rsidRPr="00873B6C">
        <w:rPr>
          <w:rFonts w:eastAsia="Malgun Gothic"/>
        </w:rPr>
        <w:t>TS 24.502 [</w:t>
      </w:r>
      <w:r w:rsidRPr="00873B6C">
        <w:rPr>
          <w:rFonts w:eastAsia="Malgun Gothic"/>
        </w:rPr>
        <w:t>48].</w:t>
      </w:r>
    </w:p>
    <w:p w14:paraId="22922037" w14:textId="2B468FEE" w:rsidR="00CD64F1" w:rsidRPr="00873B6C" w:rsidRDefault="00CD64F1" w:rsidP="00CD64F1">
      <w:pPr>
        <w:rPr>
          <w:rFonts w:eastAsia="Malgun Gothic"/>
        </w:rPr>
      </w:pPr>
      <w:r w:rsidRPr="00873B6C">
        <w:rPr>
          <w:rFonts w:eastAsia="Malgun Gothic"/>
        </w:rPr>
        <w:t>If the UE determines that it is located in the country where the configured N3IWF is located, then the UE uses the configured N3IWF FQDN to select an N3IWF deployed in the SNPN.</w:t>
      </w:r>
    </w:p>
    <w:p w14:paraId="328A0476" w14:textId="3E67F053" w:rsidR="00CD64F1" w:rsidRPr="00873B6C" w:rsidRDefault="00CD64F1" w:rsidP="00CD64F1">
      <w:pPr>
        <w:rPr>
          <w:rFonts w:eastAsia="Malgun Gothic"/>
        </w:rPr>
      </w:pPr>
      <w:r w:rsidRPr="00873B6C">
        <w:rPr>
          <w:rFonts w:eastAsia="Malgun Gothic"/>
        </w:rPr>
        <w:t>If the UE determines that it is located in a country</w:t>
      </w:r>
      <w:r w:rsidR="00D51D1B" w:rsidRPr="00873B6C">
        <w:rPr>
          <w:rFonts w:eastAsia="Malgun Gothic"/>
        </w:rPr>
        <w:t xml:space="preserve"> (called the visited country)</w:t>
      </w:r>
      <w:r w:rsidRPr="00873B6C">
        <w:rPr>
          <w:rFonts w:eastAsia="Malgun Gothic"/>
        </w:rPr>
        <w:t xml:space="preserve"> different from the country where the configured N3IWF is located, then:</w:t>
      </w:r>
    </w:p>
    <w:p w14:paraId="1019E424" w14:textId="61A1D6CF" w:rsidR="00CD64F1" w:rsidRPr="00873B6C" w:rsidRDefault="00CD64F1" w:rsidP="00CD64F1">
      <w:pPr>
        <w:pStyle w:val="B1"/>
        <w:rPr>
          <w:rFonts w:eastAsia="Malgun Gothic"/>
        </w:rPr>
      </w:pPr>
      <w:r w:rsidRPr="00873B6C">
        <w:rPr>
          <w:rFonts w:eastAsia="Malgun Gothic"/>
        </w:rPr>
        <w:t>-</w:t>
      </w:r>
      <w:r w:rsidRPr="00873B6C">
        <w:rPr>
          <w:rFonts w:eastAsia="Malgun Gothic"/>
        </w:rPr>
        <w:tab/>
        <w:t>The UE shall construct an FQDN consisting of the SNPN ID of the</w:t>
      </w:r>
      <w:r w:rsidR="00D51D1B" w:rsidRPr="00873B6C">
        <w:rPr>
          <w:rFonts w:eastAsia="Malgun Gothic"/>
        </w:rPr>
        <w:t xml:space="preserve"> subscribed</w:t>
      </w:r>
      <w:r w:rsidRPr="00873B6C">
        <w:rPr>
          <w:rFonts w:eastAsia="Malgun Gothic"/>
        </w:rPr>
        <w:t xml:space="preserve"> SNPN and the Visited Country FQDN and indicating the query is for SNPN, as specified in </w:t>
      </w:r>
      <w:r w:rsidR="00972E70" w:rsidRPr="00873B6C">
        <w:rPr>
          <w:rFonts w:eastAsia="Malgun Gothic"/>
        </w:rPr>
        <w:t>TS 23.003 [</w:t>
      </w:r>
      <w:r w:rsidRPr="00873B6C">
        <w:rPr>
          <w:rFonts w:eastAsia="Malgun Gothic"/>
        </w:rPr>
        <w:t>19] and perform a DNS query for the resulting FQDN.</w:t>
      </w:r>
    </w:p>
    <w:p w14:paraId="54796FC2" w14:textId="77777777" w:rsidR="00CD64F1" w:rsidRPr="00873B6C" w:rsidRDefault="00CD64F1" w:rsidP="00CD64F1">
      <w:pPr>
        <w:pStyle w:val="B1"/>
        <w:rPr>
          <w:rFonts w:eastAsia="Malgun Gothic"/>
        </w:rPr>
      </w:pPr>
      <w:r w:rsidRPr="00873B6C">
        <w:rPr>
          <w:rFonts w:eastAsia="Malgun Gothic"/>
        </w:rPr>
        <w:t>-</w:t>
      </w:r>
      <w:r w:rsidRPr="00873B6C">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873B6C" w:rsidRDefault="00CD64F1" w:rsidP="00CD64F1">
      <w:pPr>
        <w:pStyle w:val="B1"/>
        <w:rPr>
          <w:rFonts w:eastAsia="Malgun Gothic"/>
        </w:rPr>
      </w:pPr>
      <w:r w:rsidRPr="00873B6C">
        <w:rPr>
          <w:rFonts w:eastAsia="Malgun Gothic"/>
        </w:rPr>
        <w:t>-</w:t>
      </w:r>
      <w:r w:rsidRPr="00873B6C">
        <w:rPr>
          <w:rFonts w:eastAsia="Malgun Gothic"/>
        </w:rPr>
        <w:tab/>
        <w:t>If no DNS response is received, the UE shall stop the N3IWF selection.</w:t>
      </w:r>
    </w:p>
    <w:p w14:paraId="47B7872D" w14:textId="14FAB126" w:rsidR="00CD64F1" w:rsidRPr="00873B6C" w:rsidRDefault="00CD64F1" w:rsidP="00733F50">
      <w:pPr>
        <w:pStyle w:val="NO"/>
        <w:rPr>
          <w:rFonts w:eastAsia="Malgun Gothic"/>
        </w:rPr>
      </w:pPr>
      <w:r w:rsidRPr="00873B6C">
        <w:rPr>
          <w:rFonts w:eastAsia="Malgun Gothic"/>
        </w:rPr>
        <w:t>NOTE 2:</w:t>
      </w:r>
      <w:r w:rsidRPr="00873B6C">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44EE5526" w:rsidR="00CD64F1" w:rsidRPr="00873B6C" w:rsidRDefault="00CD64F1" w:rsidP="00CD64F1">
      <w:pPr>
        <w:pStyle w:val="B1"/>
        <w:rPr>
          <w:rFonts w:eastAsia="Malgun Gothic"/>
        </w:rPr>
      </w:pPr>
      <w:r w:rsidRPr="00873B6C">
        <w:rPr>
          <w:rFonts w:eastAsia="Malgun Gothic"/>
        </w:rPr>
        <w:t>-</w:t>
      </w:r>
      <w:r w:rsidRPr="00873B6C">
        <w:rPr>
          <w:rFonts w:eastAsia="Malgun Gothic"/>
        </w:rPr>
        <w:tab/>
        <w:t>If the DNS response contains one or more records, then the UE determines that the visited country mandates the selection of an N3IWF in this country. Each record in the DNS response shall contain the identity of an N3IWF of the</w:t>
      </w:r>
      <w:r w:rsidR="00D51D1B" w:rsidRPr="00873B6C">
        <w:rPr>
          <w:rFonts w:eastAsia="Malgun Gothic"/>
        </w:rPr>
        <w:t xml:space="preserve"> UE's subscribed</w:t>
      </w:r>
      <w:r w:rsidRPr="00873B6C">
        <w:rPr>
          <w:rFonts w:eastAsia="Malgun Gothic"/>
        </w:rPr>
        <w:t xml:space="preserve"> SNPN in the visited country which may be used for N3IWF selection. In this case:</w:t>
      </w:r>
    </w:p>
    <w:p w14:paraId="4780D350" w14:textId="77777777" w:rsidR="00CD64F1" w:rsidRPr="00873B6C" w:rsidRDefault="00CD64F1" w:rsidP="00CD64F1">
      <w:pPr>
        <w:pStyle w:val="B2"/>
        <w:rPr>
          <w:rFonts w:eastAsia="Malgun Gothic"/>
        </w:rPr>
      </w:pPr>
      <w:r w:rsidRPr="00873B6C">
        <w:rPr>
          <w:rFonts w:eastAsia="Malgun Gothic"/>
        </w:rPr>
        <w:t>-</w:t>
      </w:r>
      <w:r w:rsidRPr="00873B6C">
        <w:rPr>
          <w:rFonts w:eastAsia="Malgun Gothic"/>
        </w:rPr>
        <w:tab/>
        <w:t>The UE shall select an N3IWF included in the DNS response based on its own implementation means.</w:t>
      </w:r>
    </w:p>
    <w:p w14:paraId="4E8A1F3E" w14:textId="77777777" w:rsidR="00CD64F1" w:rsidRPr="00873B6C" w:rsidRDefault="00CD64F1" w:rsidP="00CD64F1">
      <w:pPr>
        <w:pStyle w:val="B2"/>
        <w:rPr>
          <w:rFonts w:eastAsia="Malgun Gothic"/>
        </w:rPr>
      </w:pPr>
      <w:r w:rsidRPr="00873B6C">
        <w:rPr>
          <w:rFonts w:eastAsia="Malgun Gothic"/>
        </w:rPr>
        <w:t>-</w:t>
      </w:r>
      <w:r w:rsidRPr="00873B6C">
        <w:rPr>
          <w:rFonts w:eastAsia="Malgun Gothic"/>
        </w:rPr>
        <w:tab/>
        <w:t>If the UE cannot select any N3IWF included in the DNS response, then the UE shall stop the N3IWF selection.</w:t>
      </w:r>
    </w:p>
    <w:p w14:paraId="6B0F2313" w14:textId="77777777" w:rsidR="00CD64F1" w:rsidRPr="00873B6C" w:rsidRDefault="00CD64F1" w:rsidP="00CD64F1">
      <w:pPr>
        <w:pStyle w:val="NO"/>
        <w:rPr>
          <w:rFonts w:eastAsia="Malgun Gothic"/>
        </w:rPr>
      </w:pPr>
      <w:r w:rsidRPr="00873B6C">
        <w:rPr>
          <w:rFonts w:eastAsia="Malgun Gothic"/>
        </w:rPr>
        <w:t>NOTE 3:</w:t>
      </w:r>
      <w:r w:rsidRPr="00873B6C">
        <w:rPr>
          <w:rFonts w:eastAsia="Malgun Gothic"/>
        </w:rPr>
        <w:tab/>
        <w:t>Visited countries which mandate the selection of an N3IWF in the country are assumed to configure the DNS as follows:</w:t>
      </w:r>
    </w:p>
    <w:p w14:paraId="1E644F92" w14:textId="77777777" w:rsidR="00CD64F1" w:rsidRPr="00873B6C" w:rsidRDefault="00CD64F1" w:rsidP="00733F50">
      <w:pPr>
        <w:pStyle w:val="B4"/>
        <w:rPr>
          <w:rFonts w:eastAsia="Malgun Gothic"/>
        </w:rPr>
      </w:pPr>
      <w:r w:rsidRPr="00873B6C">
        <w:rPr>
          <w:rFonts w:eastAsia="Malgun Gothic"/>
        </w:rPr>
        <w:t>(i)</w:t>
      </w:r>
      <w:r w:rsidRPr="00873B6C">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873B6C" w:rsidRDefault="00CD64F1" w:rsidP="00733F50">
      <w:pPr>
        <w:pStyle w:val="B4"/>
        <w:rPr>
          <w:rFonts w:eastAsia="Malgun Gothic"/>
        </w:rPr>
      </w:pPr>
      <w:r w:rsidRPr="00873B6C">
        <w:rPr>
          <w:rFonts w:eastAsia="Malgun Gothic"/>
        </w:rPr>
        <w:t>(ii)</w:t>
      </w:r>
      <w:r w:rsidRPr="00873B6C">
        <w:rPr>
          <w:rFonts w:eastAsia="Malgun Gothic"/>
        </w:rPr>
        <w:tab/>
        <w:t>for SNPNs that have dedicated N3IWFs in the country, the DNS response contains the identities of the SNPN's N3IWFs in the visited country;</w:t>
      </w:r>
    </w:p>
    <w:p w14:paraId="38E47517" w14:textId="4252C080" w:rsidR="00CD64F1" w:rsidRPr="00873B6C" w:rsidRDefault="00CD64F1" w:rsidP="00733F50">
      <w:pPr>
        <w:pStyle w:val="B4"/>
        <w:rPr>
          <w:rFonts w:eastAsia="Malgun Gothic"/>
        </w:rPr>
      </w:pPr>
      <w:r w:rsidRPr="00873B6C">
        <w:rPr>
          <w:rFonts w:eastAsia="Malgun Gothic"/>
        </w:rPr>
        <w:t>(iii)</w:t>
      </w:r>
      <w:r w:rsidRPr="00873B6C">
        <w:rPr>
          <w:rFonts w:eastAsia="Malgun Gothic"/>
        </w:rPr>
        <w:tab/>
        <w:t>for SNPNs that are exempt from the requirement to select an N3IWF in the visited country, the DNS response contains no records.</w:t>
      </w:r>
    </w:p>
    <w:p w14:paraId="054D082D" w14:textId="60B29F23" w:rsidR="00182EE7" w:rsidRPr="00873B6C" w:rsidRDefault="00182EE7" w:rsidP="00CD64F1">
      <w:pPr>
        <w:pStyle w:val="NO"/>
        <w:rPr>
          <w:rFonts w:eastAsia="Malgun Gothic"/>
        </w:rPr>
      </w:pPr>
      <w:r w:rsidRPr="00873B6C">
        <w:rPr>
          <w:rFonts w:eastAsia="Malgun Gothic"/>
        </w:rPr>
        <w:t>NOTE 4:</w:t>
      </w:r>
      <w:r w:rsidRPr="00873B6C">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873B6C" w:rsidRDefault="00CD64F1" w:rsidP="00CD64F1">
      <w:pPr>
        <w:pStyle w:val="NO"/>
        <w:rPr>
          <w:rFonts w:eastAsia="Malgun Gothic"/>
        </w:rPr>
      </w:pPr>
      <w:r w:rsidRPr="00873B6C">
        <w:rPr>
          <w:rFonts w:eastAsia="Malgun Gothic"/>
        </w:rPr>
        <w:lastRenderedPageBreak/>
        <w:t>NOTE </w:t>
      </w:r>
      <w:r w:rsidR="00182EE7" w:rsidRPr="00873B6C">
        <w:rPr>
          <w:rFonts w:eastAsia="Malgun Gothic"/>
        </w:rPr>
        <w:t>5</w:t>
      </w:r>
      <w:r w:rsidRPr="00873B6C">
        <w:rPr>
          <w:rFonts w:eastAsia="Malgun Gothic"/>
        </w:rPr>
        <w:t>:</w:t>
      </w:r>
      <w:r w:rsidRPr="00873B6C">
        <w:rPr>
          <w:rFonts w:eastAsia="Malgun Gothic"/>
        </w:rPr>
        <w:tab/>
        <w:t>The identity of an SNPN's N3IWF in the visited country can be any FQDN, i.e. is not required to include the SNPN ID.</w:t>
      </w:r>
    </w:p>
    <w:p w14:paraId="0A9A4C12" w14:textId="6EE94325" w:rsidR="00CD64F1" w:rsidRPr="00873B6C" w:rsidRDefault="00CD64F1" w:rsidP="00CD64F1">
      <w:pPr>
        <w:pStyle w:val="NO"/>
        <w:rPr>
          <w:rFonts w:eastAsia="Malgun Gothic"/>
        </w:rPr>
      </w:pPr>
      <w:r w:rsidRPr="00873B6C">
        <w:rPr>
          <w:rFonts w:eastAsia="Malgun Gothic"/>
        </w:rPr>
        <w:t>NOTE </w:t>
      </w:r>
      <w:r w:rsidR="00182EE7" w:rsidRPr="00873B6C">
        <w:rPr>
          <w:rFonts w:eastAsia="Malgun Gothic"/>
        </w:rPr>
        <w:t>6</w:t>
      </w:r>
      <w:r w:rsidRPr="00873B6C">
        <w:rPr>
          <w:rFonts w:eastAsia="Malgun Gothic"/>
        </w:rPr>
        <w:t>:</w:t>
      </w:r>
      <w:r w:rsidRPr="00873B6C">
        <w:rPr>
          <w:rFonts w:eastAsia="Malgun Gothic"/>
        </w:rPr>
        <w:tab/>
        <w:t>It is assumed that the AMF, SMF, UPF are located in the same country as the N3IWF</w:t>
      </w:r>
      <w:r w:rsidR="00D51D1B" w:rsidRPr="00873B6C">
        <w:rPr>
          <w:rFonts w:eastAsia="Malgun Gothic"/>
        </w:rPr>
        <w:t xml:space="preserve"> and belong to the subscribed SNPN of the UE</w:t>
      </w:r>
      <w:r w:rsidRPr="00873B6C">
        <w:rPr>
          <w:rFonts w:eastAsia="Malgun Gothic"/>
        </w:rPr>
        <w:t>.</w:t>
      </w:r>
    </w:p>
    <w:p w14:paraId="2DD29C64" w14:textId="77777777" w:rsidR="00D40151" w:rsidRPr="00873B6C" w:rsidRDefault="00D40151" w:rsidP="00D40151">
      <w:pPr>
        <w:pStyle w:val="Heading4"/>
      </w:pPr>
      <w:bookmarkStart w:id="5671" w:name="_CR6_3_6_3"/>
      <w:bookmarkStart w:id="5672" w:name="_Toc201157783"/>
      <w:bookmarkEnd w:id="5671"/>
      <w:r w:rsidRPr="00873B6C">
        <w:t>6.3.6.3</w:t>
      </w:r>
      <w:r w:rsidRPr="00873B6C">
        <w:tab/>
        <w:t>Combined N3IWF/ePDG Selection</w:t>
      </w:r>
      <w:bookmarkEnd w:id="5664"/>
      <w:bookmarkEnd w:id="5665"/>
      <w:bookmarkEnd w:id="5666"/>
      <w:bookmarkEnd w:id="5667"/>
      <w:bookmarkEnd w:id="5668"/>
      <w:bookmarkEnd w:id="5669"/>
      <w:bookmarkEnd w:id="5672"/>
    </w:p>
    <w:p w14:paraId="03C6810C" w14:textId="77777777" w:rsidR="00D40151" w:rsidRPr="00873B6C" w:rsidRDefault="00D40151" w:rsidP="00D40151">
      <w:r w:rsidRPr="00873B6C">
        <w:t>When the UE wants to select a non-3GPP access node (either an N3IWF or an ePDG), the UE shall perform the following procedure:</w:t>
      </w:r>
    </w:p>
    <w:p w14:paraId="12909FD5" w14:textId="77777777" w:rsidR="00517B35" w:rsidRPr="00873B6C" w:rsidRDefault="00517B35" w:rsidP="00562E84">
      <w:pPr>
        <w:pStyle w:val="B1"/>
      </w:pPr>
      <w:r w:rsidRPr="00873B6C">
        <w:t>1)</w:t>
      </w:r>
      <w:r w:rsidRPr="00873B6C">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873B6C" w:rsidRDefault="00517B35" w:rsidP="00562E84">
      <w:pPr>
        <w:pStyle w:val="B1"/>
      </w:pPr>
      <w:r w:rsidRPr="00873B6C">
        <w:t>2)</w:t>
      </w:r>
      <w:r w:rsidRPr="00873B6C">
        <w:tab/>
        <w:t>If the UE determines to be located in its home country, then:</w:t>
      </w:r>
    </w:p>
    <w:p w14:paraId="19376B21" w14:textId="77777777" w:rsidR="00517B35" w:rsidRPr="00873B6C" w:rsidRDefault="00517B35" w:rsidP="001B7C50">
      <w:pPr>
        <w:pStyle w:val="B2"/>
      </w:pPr>
      <w:r w:rsidRPr="00873B6C">
        <w:t>a)</w:t>
      </w:r>
      <w:r w:rsidRPr="00873B6C">
        <w:tab/>
        <w:t>The UE shall select the HPLMN. If the UE fails to connect to an ePDG/N3IWF in the HPLMN, then the UE shall stop the non-3GPP access node selection.</w:t>
      </w:r>
    </w:p>
    <w:p w14:paraId="32A46BED" w14:textId="6387AECA" w:rsidR="00B93E3D" w:rsidRPr="00873B6C" w:rsidRDefault="00517B35" w:rsidP="00562E84">
      <w:pPr>
        <w:pStyle w:val="B1"/>
      </w:pPr>
      <w:r w:rsidRPr="00873B6C">
        <w:t>3)</w:t>
      </w:r>
      <w:r w:rsidR="00B93E3D" w:rsidRPr="00873B6C">
        <w:tab/>
        <w:t>If the UE determines to be located in a country other than its home country (called the visited country), then:</w:t>
      </w:r>
    </w:p>
    <w:p w14:paraId="115F5A73" w14:textId="25A39C96" w:rsidR="00B93E3D" w:rsidRPr="00873B6C" w:rsidRDefault="00B93E3D" w:rsidP="00562E84">
      <w:pPr>
        <w:pStyle w:val="B2"/>
      </w:pPr>
      <w:r w:rsidRPr="00873B6C">
        <w:t>a)</w:t>
      </w:r>
      <w:r w:rsidRPr="00873B6C">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873B6C">
        <w:t xml:space="preserve"> bullet 3c) below</w:t>
      </w:r>
      <w:r w:rsidRPr="00873B6C">
        <w:t>.</w:t>
      </w:r>
    </w:p>
    <w:p w14:paraId="42EEEE17" w14:textId="78600D00" w:rsidR="00B93E3D" w:rsidRPr="00873B6C" w:rsidRDefault="00B93E3D" w:rsidP="00562E84">
      <w:pPr>
        <w:pStyle w:val="B2"/>
      </w:pPr>
      <w:r w:rsidRPr="00873B6C">
        <w:t>b)</w:t>
      </w:r>
      <w:r w:rsidRPr="00873B6C">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873B6C">
        <w:t xml:space="preserve"> bullet 3c) below</w:t>
      </w:r>
      <w:r w:rsidRPr="00873B6C">
        <w:t>.</w:t>
      </w:r>
    </w:p>
    <w:p w14:paraId="356FEE62" w14:textId="77777777" w:rsidR="00517B35" w:rsidRPr="00873B6C" w:rsidRDefault="00517B35" w:rsidP="00517B35">
      <w:pPr>
        <w:pStyle w:val="B2"/>
      </w:pPr>
      <w:r w:rsidRPr="00873B6C">
        <w:t>c)</w:t>
      </w:r>
      <w:r w:rsidRPr="00873B6C">
        <w:tab/>
        <w:t>The UE shall select a PLMN as follows:</w:t>
      </w:r>
    </w:p>
    <w:p w14:paraId="327FB592" w14:textId="77777777" w:rsidR="00517B35" w:rsidRPr="00873B6C" w:rsidRDefault="00517B35" w:rsidP="001B7C50">
      <w:pPr>
        <w:pStyle w:val="B3"/>
      </w:pPr>
      <w:r w:rsidRPr="00873B6C">
        <w:t>i)</w:t>
      </w:r>
      <w:r w:rsidRPr="00873B6C">
        <w:tab/>
        <w:t>The UE shall determine if the non-3GPP access node selection is required for an IMS service or for a non-IMS service. The means of that determination are implementation specific.</w:t>
      </w:r>
    </w:p>
    <w:p w14:paraId="12C55B88" w14:textId="585497AF" w:rsidR="00517B35" w:rsidRPr="00873B6C" w:rsidRDefault="00517B35" w:rsidP="001B7C50">
      <w:pPr>
        <w:pStyle w:val="B3"/>
      </w:pPr>
      <w:r w:rsidRPr="00873B6C">
        <w:t>ii)</w:t>
      </w:r>
      <w:r w:rsidRPr="00873B6C">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972E70" w:rsidRPr="00873B6C">
        <w:t>TS 23.402 [</w:t>
      </w:r>
      <w:r w:rsidRPr="00873B6C">
        <w:t>43].</w:t>
      </w:r>
    </w:p>
    <w:p w14:paraId="37DDC94A" w14:textId="77777777" w:rsidR="00517B35" w:rsidRPr="00873B6C" w:rsidRDefault="00517B35" w:rsidP="001B7C50">
      <w:pPr>
        <w:pStyle w:val="B3"/>
      </w:pPr>
      <w:r w:rsidRPr="00873B6C">
        <w:t>iii)</w:t>
      </w:r>
      <w:r w:rsidRPr="00873B6C">
        <w:tab/>
        <w:t>If the UE determines that the non-3GPP access node selection is required for an IMS service, the UE shall select a PLMN as follows:</w:t>
      </w:r>
    </w:p>
    <w:p w14:paraId="4B37BBE6" w14:textId="7F95C889" w:rsidR="00517B35" w:rsidRPr="00873B6C" w:rsidRDefault="00517B35" w:rsidP="001B7C50">
      <w:pPr>
        <w:pStyle w:val="B4"/>
      </w:pPr>
      <w:r w:rsidRPr="00873B6C">
        <w:t>-</w:t>
      </w:r>
      <w:r w:rsidRPr="00873B6C">
        <w:tab/>
        <w:t xml:space="preserve">First, the UE shall perform a DNS query using the Visited Country FQDN for N3IWF, as specified in </w:t>
      </w:r>
      <w:r w:rsidR="00972E70" w:rsidRPr="00873B6C">
        <w:t>TS 23.003 [</w:t>
      </w:r>
      <w:r w:rsidRPr="00873B6C">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5DAC344D" w:rsidR="00517B35" w:rsidRPr="00873B6C" w:rsidRDefault="00517B35" w:rsidP="001B7C50">
      <w:pPr>
        <w:pStyle w:val="B4"/>
      </w:pPr>
      <w:r w:rsidRPr="00873B6C">
        <w:t>-</w:t>
      </w:r>
      <w:r w:rsidRPr="00873B6C">
        <w:tab/>
        <w:t xml:space="preserve">Then, the UE shall perform a DNS query using the Visited Country FQDN for ePDG, as specified in </w:t>
      </w:r>
      <w:r w:rsidR="00972E70" w:rsidRPr="00873B6C">
        <w:t>TS 23.003 [</w:t>
      </w:r>
      <w:r w:rsidRPr="00873B6C">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873B6C" w:rsidRDefault="00517B35" w:rsidP="001B7C50">
      <w:pPr>
        <w:pStyle w:val="B4"/>
      </w:pPr>
      <w:r w:rsidRPr="00873B6C">
        <w:t>-</w:t>
      </w:r>
      <w:r w:rsidRPr="00873B6C">
        <w:tab/>
        <w:t>If the UE does not receive a DNS response in none of the above two DNS queries, then the UE shall stop the non-3GPP access node selection. Otherwise, the next steps are executed.</w:t>
      </w:r>
    </w:p>
    <w:p w14:paraId="14B8FA61" w14:textId="77777777" w:rsidR="00517B35" w:rsidRPr="00873B6C" w:rsidRDefault="00517B35" w:rsidP="001B7C50">
      <w:pPr>
        <w:pStyle w:val="B4"/>
      </w:pPr>
      <w:r w:rsidRPr="00873B6C">
        <w:t>-</w:t>
      </w:r>
      <w:r w:rsidRPr="00873B6C">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873B6C" w:rsidRDefault="00517B35" w:rsidP="001B7C50">
      <w:pPr>
        <w:pStyle w:val="B4"/>
      </w:pPr>
      <w:r w:rsidRPr="00873B6C">
        <w:lastRenderedPageBreak/>
        <w:t>-</w:t>
      </w:r>
      <w:r w:rsidRPr="00873B6C">
        <w:tab/>
        <w:t>If the candidate list of PLMNs is empty, then:</w:t>
      </w:r>
    </w:p>
    <w:p w14:paraId="5C831A9A" w14:textId="77777777" w:rsidR="00517B35" w:rsidRPr="00873B6C" w:rsidRDefault="00517B35" w:rsidP="001B7C50">
      <w:pPr>
        <w:pStyle w:val="B5"/>
      </w:pPr>
      <w:r w:rsidRPr="00873B6C">
        <w:t>-</w:t>
      </w:r>
      <w:r w:rsidRPr="00873B6C">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873B6C" w:rsidRDefault="00517B35" w:rsidP="001B7C50">
      <w:pPr>
        <w:pStyle w:val="B5"/>
      </w:pPr>
      <w:r w:rsidRPr="00873B6C">
        <w:t>-</w:t>
      </w:r>
      <w:r w:rsidRPr="00873B6C">
        <w:tab/>
        <w:t>Otherwise, the UE shall select the HPLMN.</w:t>
      </w:r>
    </w:p>
    <w:p w14:paraId="293DB3C9" w14:textId="77777777" w:rsidR="00517B35" w:rsidRPr="00873B6C" w:rsidRDefault="00517B35" w:rsidP="001B7C50">
      <w:pPr>
        <w:pStyle w:val="B4"/>
      </w:pPr>
      <w:r w:rsidRPr="00873B6C">
        <w:t>-</w:t>
      </w:r>
      <w:r w:rsidRPr="00873B6C">
        <w:tab/>
        <w:t>If the candidate list of PLMNs is not empty, then:</w:t>
      </w:r>
    </w:p>
    <w:p w14:paraId="4E089923" w14:textId="77777777" w:rsidR="00517B35" w:rsidRPr="00873B6C" w:rsidRDefault="00517B35" w:rsidP="001B7C50">
      <w:pPr>
        <w:pStyle w:val="B5"/>
      </w:pPr>
      <w:r w:rsidRPr="00873B6C">
        <w:t>-</w:t>
      </w:r>
      <w:r w:rsidRPr="00873B6C">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873B6C" w:rsidRDefault="00517B35" w:rsidP="001B7C50">
      <w:pPr>
        <w:pStyle w:val="B5"/>
      </w:pPr>
      <w:r w:rsidRPr="00873B6C">
        <w:t>-</w:t>
      </w:r>
      <w:r w:rsidRPr="00873B6C">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873B6C" w:rsidRDefault="00517B35" w:rsidP="001B7C50">
      <w:pPr>
        <w:pStyle w:val="B5"/>
      </w:pPr>
      <w:r w:rsidRPr="00873B6C">
        <w:t>-</w:t>
      </w:r>
      <w:r w:rsidRPr="00873B6C">
        <w:tab/>
        <w:t>If the UE cannot select a non-3GPP access node in any of the PLMNs included in the candidate list of PLMNs, then the UE shall stop the non-3GPP access node selection.</w:t>
      </w:r>
    </w:p>
    <w:p w14:paraId="1AB7AB8D" w14:textId="264952FA" w:rsidR="00D40151" w:rsidRPr="00873B6C" w:rsidRDefault="00D40151" w:rsidP="00D40151">
      <w:r w:rsidRPr="00873B6C">
        <w:t>In the selected PLMN the UE shall attempt to select a non-3GPP access node as follows:</w:t>
      </w:r>
    </w:p>
    <w:p w14:paraId="133D0203" w14:textId="77777777" w:rsidR="00D40151" w:rsidRPr="00873B6C" w:rsidRDefault="00D40151" w:rsidP="00D40151">
      <w:pPr>
        <w:pStyle w:val="B1"/>
      </w:pPr>
      <w:r w:rsidRPr="00873B6C">
        <w:t>1.</w:t>
      </w:r>
      <w:r w:rsidRPr="00873B6C">
        <w:tab/>
        <w:t>The UE shall determine if the non-3GPP access node selection is required for an IMS service or for a non-IMS service. The means of that determination are implementation-specific.</w:t>
      </w:r>
    </w:p>
    <w:p w14:paraId="2682F300" w14:textId="71BC5CD1" w:rsidR="00D40151" w:rsidRPr="00873B6C" w:rsidRDefault="00D40151" w:rsidP="00D40151">
      <w:pPr>
        <w:pStyle w:val="B1"/>
      </w:pPr>
      <w:r w:rsidRPr="00873B6C">
        <w:t>2.</w:t>
      </w:r>
      <w:r w:rsidRPr="00873B6C">
        <w:tab/>
        <w:t>When the selection is required for</w:t>
      </w:r>
      <w:r w:rsidR="00704A9E" w:rsidRPr="00873B6C">
        <w:t xml:space="preserve"> </w:t>
      </w:r>
      <w:r w:rsidRPr="00873B6C">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873B6C" w:rsidRDefault="00D40151" w:rsidP="00D40151">
      <w:pPr>
        <w:pStyle w:val="B1"/>
      </w:pPr>
      <w:r w:rsidRPr="00873B6C">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873B6C" w:rsidRDefault="00D40151" w:rsidP="00D40151">
      <w:pPr>
        <w:pStyle w:val="B1"/>
      </w:pPr>
      <w:r w:rsidRPr="00873B6C">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873B6C">
        <w:t xml:space="preserve"> bullet 3c) above</w:t>
      </w:r>
      <w:r w:rsidRPr="00873B6C">
        <w:t>.</w:t>
      </w:r>
    </w:p>
    <w:p w14:paraId="6504F850" w14:textId="5C040522" w:rsidR="00D40151" w:rsidRPr="00873B6C" w:rsidRDefault="00D40151" w:rsidP="00D40151">
      <w:pPr>
        <w:pStyle w:val="B1"/>
      </w:pPr>
      <w:r w:rsidRPr="00873B6C">
        <w:t>3.</w:t>
      </w:r>
      <w:r w:rsidRPr="00873B6C">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873B6C">
        <w:t xml:space="preserve"> clause 4.5.4.4</w:t>
      </w:r>
      <w:r w:rsidRPr="00873B6C">
        <w:t xml:space="preserve"> </w:t>
      </w:r>
      <w:r w:rsidR="00131D56" w:rsidRPr="00873B6C">
        <w:t xml:space="preserve">of </w:t>
      </w:r>
      <w:r w:rsidR="00972E70" w:rsidRPr="00873B6C">
        <w:t>TS 23.402 [</w:t>
      </w:r>
      <w:r w:rsidRPr="00873B6C">
        <w:t>43]</w:t>
      </w:r>
      <w:r w:rsidR="00472CD7" w:rsidRPr="00873B6C">
        <w:t xml:space="preserve"> and</w:t>
      </w:r>
      <w:r w:rsidRPr="00873B6C">
        <w:t xml:space="preserve"> shall attempt to select an N3IWF in this PLMN. If the UE fails to select an N3IWF in any PLMN, the UE may attempt to select an ePDG according to the procedure specified in</w:t>
      </w:r>
      <w:r w:rsidR="00131D56" w:rsidRPr="00873B6C">
        <w:t xml:space="preserve"> clause 4.5.4.5</w:t>
      </w:r>
      <w:r w:rsidRPr="00873B6C">
        <w:t xml:space="preserve"> </w:t>
      </w:r>
      <w:r w:rsidR="00131D56" w:rsidRPr="00873B6C">
        <w:t xml:space="preserve">of </w:t>
      </w:r>
      <w:r w:rsidR="00972E70" w:rsidRPr="00873B6C">
        <w:t>TS 23.402 [</w:t>
      </w:r>
      <w:r w:rsidRPr="00873B6C">
        <w:t>43].</w:t>
      </w:r>
    </w:p>
    <w:p w14:paraId="0AB6F0DA" w14:textId="77777777" w:rsidR="00D40151" w:rsidRPr="00873B6C" w:rsidRDefault="00D40151" w:rsidP="00D40151">
      <w:r w:rsidRPr="00873B6C">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873B6C" w:rsidRDefault="00D40151" w:rsidP="00D40151">
      <w:pPr>
        <w:pStyle w:val="B1"/>
      </w:pPr>
      <w:r w:rsidRPr="00873B6C">
        <w:t>-</w:t>
      </w:r>
      <w:r w:rsidRPr="00873B6C">
        <w:tab/>
        <w:t>an ePDG or N3IWF TAI FQDN based on the 5GS TAI, when the UE is registered to the 5GS; or</w:t>
      </w:r>
    </w:p>
    <w:p w14:paraId="42566C67" w14:textId="77777777" w:rsidR="00D40151" w:rsidRPr="00873B6C" w:rsidRDefault="00D40151" w:rsidP="00D40151">
      <w:pPr>
        <w:pStyle w:val="B1"/>
      </w:pPr>
      <w:r w:rsidRPr="00873B6C">
        <w:t>-</w:t>
      </w:r>
      <w:r w:rsidRPr="00873B6C">
        <w:tab/>
        <w:t>an ePDG or N3IWF TAI FQDN based on the EPS TAI, when the UE is registered to EPS.</w:t>
      </w:r>
    </w:p>
    <w:p w14:paraId="08898363" w14:textId="77777777" w:rsidR="00D40151" w:rsidRPr="00873B6C" w:rsidRDefault="00D40151" w:rsidP="00D40151">
      <w:pPr>
        <w:pStyle w:val="NO"/>
      </w:pPr>
      <w:r w:rsidRPr="00873B6C">
        <w:lastRenderedPageBreak/>
        <w:t>NOTE:</w:t>
      </w:r>
      <w:r w:rsidRPr="00873B6C">
        <w:tab/>
        <w:t>A UE performing both a selection for an IMS service and a selection for a non-IMS service could get simultaneously attached to a N3IWF and to an ePDG in the same PLMN or in different PLMNs.</w:t>
      </w:r>
    </w:p>
    <w:p w14:paraId="709D551B" w14:textId="7DEF6B3F" w:rsidR="001F5968" w:rsidRPr="00873B6C" w:rsidRDefault="001F5968" w:rsidP="001F5968">
      <w:bookmarkStart w:id="5673" w:name="_Toc20150225"/>
      <w:bookmarkStart w:id="5674" w:name="_Toc27847033"/>
      <w:bookmarkStart w:id="5675" w:name="_Toc36188165"/>
      <w:bookmarkStart w:id="5676" w:name="_Toc45184076"/>
      <w:bookmarkStart w:id="5677" w:name="_Toc47342918"/>
      <w:bookmarkStart w:id="5678" w:name="_Toc51769620"/>
      <w:r w:rsidRPr="00873B6C">
        <w:t xml:space="preserve">If the UE is configured with Slice-specific N3IWF prefix configuration, then the UE shall construct the Prefixed N3IWF OI FQDN or the Prefixed N3IWF TA FQDN as specified in </w:t>
      </w:r>
      <w:r w:rsidR="00972E70" w:rsidRPr="00873B6C">
        <w:t>TS 23.003 [</w:t>
      </w:r>
      <w:r w:rsidRPr="00873B6C">
        <w:t>19] instead of the N3IWF OI FQDN and the N3IWF TA FQDN, respectively. Further details on constructing the Prefixed N3IWF OI and TA FQDN are described in clause 6.3.6.2.</w:t>
      </w:r>
    </w:p>
    <w:p w14:paraId="1E8229E2" w14:textId="0189945D" w:rsidR="00D40151" w:rsidRPr="00873B6C" w:rsidRDefault="00D40151" w:rsidP="00D40151">
      <w:pPr>
        <w:pStyle w:val="Heading4"/>
      </w:pPr>
      <w:bookmarkStart w:id="5679" w:name="_CR6_3_6_4"/>
      <w:bookmarkStart w:id="5680" w:name="_Toc201157784"/>
      <w:bookmarkEnd w:id="5679"/>
      <w:r w:rsidRPr="00873B6C">
        <w:t>6.3.6.4</w:t>
      </w:r>
      <w:r w:rsidRPr="00873B6C">
        <w:tab/>
        <w:t>PLMN</w:t>
      </w:r>
      <w:r w:rsidR="00E3255E" w:rsidRPr="00873B6C">
        <w:t xml:space="preserve"> and non-3GPP access node</w:t>
      </w:r>
      <w:r w:rsidRPr="00873B6C">
        <w:t xml:space="preserve"> Selection for emergency services</w:t>
      </w:r>
      <w:bookmarkEnd w:id="5673"/>
      <w:bookmarkEnd w:id="5674"/>
      <w:bookmarkEnd w:id="5675"/>
      <w:bookmarkEnd w:id="5676"/>
      <w:bookmarkEnd w:id="5677"/>
      <w:bookmarkEnd w:id="5678"/>
      <w:bookmarkEnd w:id="5680"/>
    </w:p>
    <w:p w14:paraId="08FD1055" w14:textId="79D5D3FC" w:rsidR="00E3255E" w:rsidRPr="00873B6C" w:rsidRDefault="00E3255E" w:rsidP="00562E84">
      <w:pPr>
        <w:pStyle w:val="Heading5"/>
      </w:pPr>
      <w:bookmarkStart w:id="5681" w:name="_CR6_3_6_4_1"/>
      <w:bookmarkStart w:id="5682" w:name="_Toc201157785"/>
      <w:bookmarkEnd w:id="5681"/>
      <w:r w:rsidRPr="00873B6C">
        <w:t>6.3.6.4.1</w:t>
      </w:r>
      <w:r w:rsidRPr="00873B6C">
        <w:tab/>
        <w:t>General</w:t>
      </w:r>
      <w:bookmarkEnd w:id="5682"/>
    </w:p>
    <w:p w14:paraId="028D906E" w14:textId="5288FFD6" w:rsidR="00D40151" w:rsidRPr="00873B6C" w:rsidRDefault="00D40151" w:rsidP="00D40151">
      <w:pPr>
        <w:rPr>
          <w:lang w:eastAsia="x-none"/>
        </w:rPr>
      </w:pPr>
      <w:r w:rsidRPr="00873B6C">
        <w:rPr>
          <w:lang w:eastAsia="x-none"/>
        </w:rPr>
        <w:t>UE initiates PLMN</w:t>
      </w:r>
      <w:r w:rsidR="00E3255E" w:rsidRPr="00873B6C">
        <w:rPr>
          <w:lang w:eastAsia="x-none"/>
        </w:rPr>
        <w:t xml:space="preserve"> and non-3GPP access node</w:t>
      </w:r>
      <w:r w:rsidRPr="00873B6C">
        <w:rPr>
          <w:lang w:eastAsia="x-none"/>
        </w:rPr>
        <w:t xml:space="preserve"> selection for emergency services when it detects a user request for emergency session and determines that untrusted non-3GPP access shall be used for the emergency access.</w:t>
      </w:r>
    </w:p>
    <w:p w14:paraId="099F7106" w14:textId="337CBA94" w:rsidR="00E3255E" w:rsidRPr="00873B6C" w:rsidRDefault="00E3255E" w:rsidP="00D40151">
      <w:pPr>
        <w:rPr>
          <w:lang w:eastAsia="x-none"/>
        </w:rPr>
      </w:pPr>
      <w:r w:rsidRPr="00873B6C">
        <w:rPr>
          <w:lang w:eastAsia="x-none"/>
        </w:rPr>
        <w:t xml:space="preserve">When the UE supports connectivity with N3IWF but does not support connectivity with ePDG, as specified in </w:t>
      </w:r>
      <w:r w:rsidR="00972E70" w:rsidRPr="00873B6C">
        <w:rPr>
          <w:lang w:eastAsia="x-none"/>
        </w:rPr>
        <w:t>TS 23.402 [</w:t>
      </w:r>
      <w:r w:rsidRPr="00873B6C">
        <w:rPr>
          <w:lang w:eastAsia="x-none"/>
        </w:rPr>
        <w:t>43], the UE shall perform the procedure in clause 6.3.6.4.2 for selecting an N3IWF.</w:t>
      </w:r>
    </w:p>
    <w:p w14:paraId="5D80656A" w14:textId="70987DF5" w:rsidR="00E3255E" w:rsidRPr="00873B6C" w:rsidRDefault="00E3255E" w:rsidP="00D40151">
      <w:pPr>
        <w:rPr>
          <w:lang w:eastAsia="x-none"/>
        </w:rPr>
      </w:pPr>
      <w:r w:rsidRPr="00873B6C">
        <w:rPr>
          <w:lang w:eastAsia="x-none"/>
        </w:rPr>
        <w:t xml:space="preserve">When the UE supports connectivity with N3IWF, as well as with ePDG, as specified in </w:t>
      </w:r>
      <w:r w:rsidR="00972E70" w:rsidRPr="00873B6C">
        <w:rPr>
          <w:lang w:eastAsia="x-none"/>
        </w:rPr>
        <w:t>TS 23.402 [</w:t>
      </w:r>
      <w:r w:rsidRPr="00873B6C">
        <w:rPr>
          <w:lang w:eastAsia="x-none"/>
        </w:rPr>
        <w:t>43], the UE shall perform the procedure in clause 6.3.6.4.3 for selecting either an N3IWF or an ePDG, i.e. for selecting a non-3GPP access node.</w:t>
      </w:r>
    </w:p>
    <w:p w14:paraId="479C2376" w14:textId="77777777" w:rsidR="00E3255E" w:rsidRPr="00873B6C" w:rsidRDefault="00E3255E" w:rsidP="00562E84">
      <w:pPr>
        <w:pStyle w:val="Heading5"/>
      </w:pPr>
      <w:bookmarkStart w:id="5683" w:name="_CR6_3_6_4_2"/>
      <w:bookmarkStart w:id="5684" w:name="_Toc201157786"/>
      <w:bookmarkEnd w:id="5683"/>
      <w:r w:rsidRPr="00873B6C">
        <w:t>6.3.6.4.2</w:t>
      </w:r>
      <w:r w:rsidRPr="00873B6C">
        <w:tab/>
        <w:t>Stand-alone N3IWF selection</w:t>
      </w:r>
      <w:bookmarkEnd w:id="5684"/>
    </w:p>
    <w:p w14:paraId="3BC8952D" w14:textId="77777777" w:rsidR="00E3255E" w:rsidRPr="00873B6C" w:rsidRDefault="00E3255E" w:rsidP="00D40151">
      <w:pPr>
        <w:rPr>
          <w:lang w:eastAsia="x-none"/>
        </w:rPr>
      </w:pPr>
      <w:r w:rsidRPr="00873B6C">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873B6C" w:rsidRDefault="00E3255E" w:rsidP="00D40151">
      <w:pPr>
        <w:rPr>
          <w:lang w:eastAsia="x-none"/>
        </w:rPr>
      </w:pPr>
      <w:r w:rsidRPr="00873B6C">
        <w:rPr>
          <w:lang w:eastAsia="x-none"/>
        </w:rPr>
        <w:t>If the UE is equipped with a UICC:</w:t>
      </w:r>
    </w:p>
    <w:p w14:paraId="2EC6641A" w14:textId="77777777" w:rsidR="00E3255E" w:rsidRPr="00873B6C" w:rsidRDefault="00E3255E" w:rsidP="00562E84">
      <w:pPr>
        <w:pStyle w:val="B1"/>
      </w:pPr>
      <w:r w:rsidRPr="00873B6C">
        <w:t>-</w:t>
      </w:r>
      <w:r w:rsidRPr="00873B6C">
        <w:tab/>
        <w:t>The UE determines whether it is located in the home country or a visited country;</w:t>
      </w:r>
    </w:p>
    <w:p w14:paraId="5661722A" w14:textId="77777777" w:rsidR="00E3255E" w:rsidRPr="00873B6C" w:rsidRDefault="00E3255E" w:rsidP="00562E84">
      <w:pPr>
        <w:pStyle w:val="B1"/>
      </w:pPr>
      <w:r w:rsidRPr="00873B6C">
        <w:t>-</w:t>
      </w:r>
      <w:r w:rsidRPr="00873B6C">
        <w:tab/>
        <w:t>If the UE is located in the home country, then the UE selects the Home PLMN for emergency services and selects an N3IWF based on the procedure defined in clause 6.3.6.2.</w:t>
      </w:r>
    </w:p>
    <w:p w14:paraId="2349E38B" w14:textId="210FF61C" w:rsidR="00E3255E" w:rsidRPr="00873B6C" w:rsidRDefault="00E3255E" w:rsidP="00562E84">
      <w:pPr>
        <w:pStyle w:val="B1"/>
      </w:pPr>
      <w:r w:rsidRPr="00873B6C">
        <w:t>-</w:t>
      </w:r>
      <w:r w:rsidRPr="00873B6C">
        <w:tab/>
        <w:t xml:space="preserve">If the UE is located in a visited country, the UE performs a DNS query using the Visited Country Emergency N3IWF FQDN, as specified in </w:t>
      </w:r>
      <w:r w:rsidR="00972E70" w:rsidRPr="00873B6C">
        <w:t>TS 23.003 [</w:t>
      </w:r>
      <w:r w:rsidRPr="00873B6C">
        <w:t>19] to determine which PLMNs in the visited country support emergency services in non-3GPP access via N3IWF; and:</w:t>
      </w:r>
    </w:p>
    <w:p w14:paraId="4040B060" w14:textId="77777777" w:rsidR="00E3255E" w:rsidRPr="00873B6C" w:rsidRDefault="00E3255E" w:rsidP="00562E84">
      <w:pPr>
        <w:pStyle w:val="B2"/>
      </w:pPr>
      <w:r w:rsidRPr="00873B6C">
        <w:t>-</w:t>
      </w:r>
      <w:r w:rsidRPr="00873B6C">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873B6C" w:rsidRDefault="00E3255E" w:rsidP="00562E84">
      <w:pPr>
        <w:pStyle w:val="B2"/>
      </w:pPr>
      <w:r w:rsidRPr="00873B6C">
        <w:t>-</w:t>
      </w:r>
      <w:r w:rsidRPr="00873B6C">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873B6C" w:rsidRDefault="00E3255E" w:rsidP="00562E84">
      <w:pPr>
        <w:pStyle w:val="B1"/>
      </w:pPr>
      <w:r w:rsidRPr="00873B6C">
        <w:t>-</w:t>
      </w:r>
      <w:r w:rsidRPr="00873B6C">
        <w:tab/>
        <w:t>Once the UE has selected a PLMN the UE shall select an N3IWF for the selected PLMN as follows:</w:t>
      </w:r>
    </w:p>
    <w:p w14:paraId="14E084B1" w14:textId="75CDD968" w:rsidR="00E3255E" w:rsidRPr="00873B6C" w:rsidRDefault="00E3255E" w:rsidP="00562E84">
      <w:pPr>
        <w:pStyle w:val="B2"/>
      </w:pPr>
      <w:r w:rsidRPr="00873B6C">
        <w:t>-</w:t>
      </w:r>
      <w:r w:rsidRPr="00873B6C">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873B6C" w:rsidRDefault="00E3255E" w:rsidP="00562E84">
      <w:pPr>
        <w:pStyle w:val="B2"/>
      </w:pPr>
      <w:r w:rsidRPr="00873B6C">
        <w:t>-</w:t>
      </w:r>
      <w:r w:rsidRPr="00873B6C">
        <w:tab/>
        <w:t>If non-3GPP Access Node Selection Information is not available for the selected PLMN the UE constructs the Operator Identifier based N3IWF FQDN for the selected PLMN.</w:t>
      </w:r>
    </w:p>
    <w:p w14:paraId="7D4352EB" w14:textId="77777777" w:rsidR="00E3255E" w:rsidRPr="00873B6C" w:rsidRDefault="00E3255E" w:rsidP="00562E84">
      <w:pPr>
        <w:pStyle w:val="B1"/>
      </w:pPr>
      <w:r w:rsidRPr="00873B6C">
        <w:t>-</w:t>
      </w:r>
      <w:r w:rsidRPr="00873B6C">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873B6C" w:rsidRDefault="00E3255E" w:rsidP="00D40151">
      <w:pPr>
        <w:rPr>
          <w:lang w:eastAsia="x-none"/>
        </w:rPr>
      </w:pPr>
      <w:r w:rsidRPr="00873B6C">
        <w:rPr>
          <w:lang w:eastAsia="x-none"/>
        </w:rPr>
        <w:lastRenderedPageBreak/>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873B6C" w:rsidRDefault="00E3255E" w:rsidP="00D40151">
      <w:pPr>
        <w:rPr>
          <w:lang w:eastAsia="x-none"/>
        </w:rPr>
      </w:pPr>
      <w:r w:rsidRPr="00873B6C">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873B6C" w:rsidRDefault="00E3255E" w:rsidP="00E3255E">
      <w:pPr>
        <w:pStyle w:val="Heading5"/>
      </w:pPr>
      <w:bookmarkStart w:id="5685" w:name="_CR6_3_6_3_3"/>
      <w:bookmarkStart w:id="5686" w:name="_Toc201157787"/>
      <w:bookmarkEnd w:id="5685"/>
      <w:r w:rsidRPr="00873B6C">
        <w:t>6.3.6.3.3</w:t>
      </w:r>
      <w:r w:rsidRPr="00873B6C">
        <w:tab/>
        <w:t>Combined N3IWF/ePDG Selection</w:t>
      </w:r>
      <w:bookmarkEnd w:id="5686"/>
    </w:p>
    <w:p w14:paraId="784BBD88" w14:textId="0ACD2E97" w:rsidR="00E3255E" w:rsidRPr="00873B6C" w:rsidRDefault="00E3255E">
      <w:r w:rsidRPr="00873B6C">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C3B8207" w:rsidR="00D40151" w:rsidRPr="00873B6C" w:rsidRDefault="00E3255E" w:rsidP="00D40151">
      <w:pPr>
        <w:rPr>
          <w:lang w:eastAsia="x-none"/>
        </w:rPr>
      </w:pPr>
      <w:r w:rsidRPr="00873B6C">
        <w:rPr>
          <w:lang w:eastAsia="x-none"/>
        </w:rPr>
        <w:t xml:space="preserve">If </w:t>
      </w:r>
      <w:r w:rsidR="00D40151" w:rsidRPr="00873B6C">
        <w:rPr>
          <w:lang w:eastAsia="x-none"/>
        </w:rPr>
        <w:t>the UE is attached to EPC via an ePDG that has indicated support for the emergency services and is located in the same country</w:t>
      </w:r>
      <w:r w:rsidRPr="00873B6C">
        <w:rPr>
          <w:lang w:eastAsia="x-none"/>
        </w:rPr>
        <w:t xml:space="preserve"> as the country in which</w:t>
      </w:r>
      <w:r w:rsidR="00D40151" w:rsidRPr="00873B6C">
        <w:rPr>
          <w:lang w:eastAsia="x-none"/>
        </w:rPr>
        <w:t xml:space="preserve"> the UE is currently located, the UE</w:t>
      </w:r>
      <w:r w:rsidRPr="00873B6C">
        <w:rPr>
          <w:lang w:eastAsia="x-none"/>
        </w:rPr>
        <w:t xml:space="preserve"> reuses the existing ePDG connection for emergency services. Otherwise, the UE</w:t>
      </w:r>
      <w:r w:rsidR="00D40151" w:rsidRPr="00873B6C">
        <w:rPr>
          <w:lang w:eastAsia="x-none"/>
        </w:rPr>
        <w:t xml:space="preserve"> terminates the existing ePDG connection, if any</w:t>
      </w:r>
      <w:r w:rsidR="00472CD7" w:rsidRPr="00873B6C">
        <w:rPr>
          <w:lang w:eastAsia="x-none"/>
        </w:rPr>
        <w:t xml:space="preserve"> and</w:t>
      </w:r>
      <w:r w:rsidR="00D40151" w:rsidRPr="00873B6C">
        <w:rPr>
          <w:lang w:eastAsia="x-none"/>
        </w:rPr>
        <w:t xml:space="preserve"> performs PLMN</w:t>
      </w:r>
      <w:r w:rsidRPr="00873B6C">
        <w:rPr>
          <w:lang w:eastAsia="x-none"/>
        </w:rPr>
        <w:t xml:space="preserve"> and N3IWF or ePDG</w:t>
      </w:r>
      <w:r w:rsidR="00D40151" w:rsidRPr="00873B6C">
        <w:rPr>
          <w:lang w:eastAsia="x-none"/>
        </w:rPr>
        <w:t xml:space="preserve"> selection for emergency services.</w:t>
      </w:r>
    </w:p>
    <w:p w14:paraId="40C29F5C" w14:textId="1D3F4E49" w:rsidR="00D40151" w:rsidRPr="00873B6C" w:rsidRDefault="00D40151" w:rsidP="00D40151">
      <w:pPr>
        <w:rPr>
          <w:lang w:eastAsia="x-none"/>
        </w:rPr>
      </w:pPr>
      <w:r w:rsidRPr="00873B6C">
        <w:rPr>
          <w:lang w:eastAsia="x-none"/>
        </w:rPr>
        <w:t>PLMN</w:t>
      </w:r>
      <w:r w:rsidR="00E3255E" w:rsidRPr="00873B6C">
        <w:rPr>
          <w:lang w:eastAsia="x-none"/>
        </w:rPr>
        <w:t xml:space="preserve"> and N3IWF or ePDG</w:t>
      </w:r>
      <w:r w:rsidRPr="00873B6C">
        <w:rPr>
          <w:lang w:eastAsia="x-none"/>
        </w:rPr>
        <w:t xml:space="preserve"> selection for emergency services is performed as follows:</w:t>
      </w:r>
    </w:p>
    <w:p w14:paraId="0BD5158F" w14:textId="08A8CDBE" w:rsidR="00E3255E" w:rsidRPr="00873B6C" w:rsidRDefault="00E3255E" w:rsidP="00562E84">
      <w:r w:rsidRPr="00873B6C">
        <w:t>If the UE is equipped with a UICC:</w:t>
      </w:r>
    </w:p>
    <w:p w14:paraId="05685971" w14:textId="6432CC50" w:rsidR="00D40151" w:rsidRPr="00873B6C" w:rsidRDefault="00D40151" w:rsidP="00D40151">
      <w:pPr>
        <w:pStyle w:val="B1"/>
      </w:pPr>
      <w:r w:rsidRPr="00873B6C">
        <w:t>-</w:t>
      </w:r>
      <w:r w:rsidRPr="00873B6C">
        <w:tab/>
        <w:t>The UE determines whether it is located in the home country or a visited country;</w:t>
      </w:r>
    </w:p>
    <w:p w14:paraId="7E5A381A" w14:textId="77777777" w:rsidR="00E3255E" w:rsidRPr="00873B6C" w:rsidRDefault="00E3255E" w:rsidP="00D40151">
      <w:pPr>
        <w:pStyle w:val="B1"/>
      </w:pPr>
      <w:r w:rsidRPr="00873B6C">
        <w:t>-</w:t>
      </w:r>
      <w:r w:rsidRPr="00873B6C">
        <w:tab/>
        <w:t>If the UE is located in the home country the UE selects the Home PLMN for emergency services and selects an N3IWF or ePDG as follows:</w:t>
      </w:r>
    </w:p>
    <w:p w14:paraId="5D5B5931" w14:textId="77777777" w:rsidR="00E3255E" w:rsidRPr="00873B6C" w:rsidRDefault="00E3255E" w:rsidP="00562E84">
      <w:pPr>
        <w:pStyle w:val="B2"/>
      </w:pPr>
      <w:r w:rsidRPr="00873B6C">
        <w:t>-</w:t>
      </w:r>
      <w:r w:rsidRPr="00873B6C">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873B6C" w:rsidRDefault="00E3255E" w:rsidP="00562E84">
      <w:pPr>
        <w:pStyle w:val="B2"/>
      </w:pPr>
      <w:r w:rsidRPr="00873B6C">
        <w:t>-</w:t>
      </w:r>
      <w:r w:rsidRPr="00873B6C">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66F1D513" w:rsidR="00D40151" w:rsidRPr="00873B6C" w:rsidRDefault="00D40151" w:rsidP="00D40151">
      <w:pPr>
        <w:pStyle w:val="B1"/>
      </w:pPr>
      <w:r w:rsidRPr="00873B6C">
        <w:t>-</w:t>
      </w:r>
      <w:r w:rsidRPr="00873B6C">
        <w:tab/>
        <w:t>If the UE is located in a visited country, the UE performs a DNS query using the Visited Country Emergency FQDN</w:t>
      </w:r>
      <w:r w:rsidR="00E3255E" w:rsidRPr="00873B6C">
        <w:t xml:space="preserve"> for N3IWF and using the Visited Country Emergency FQDN for ePDG</w:t>
      </w:r>
      <w:r w:rsidRPr="00873B6C">
        <w:t xml:space="preserve">, as specified in </w:t>
      </w:r>
      <w:r w:rsidR="00972E70" w:rsidRPr="00873B6C">
        <w:t>TS 23.003 [</w:t>
      </w:r>
      <w:r w:rsidRPr="00873B6C">
        <w:t>19] to determine which PLMNs in the visited country support emergency services in non-3GPP access.</w:t>
      </w:r>
    </w:p>
    <w:p w14:paraId="40970E80" w14:textId="68B05C9D" w:rsidR="00D40151" w:rsidRPr="00873B6C" w:rsidRDefault="00D40151" w:rsidP="00D40151">
      <w:pPr>
        <w:pStyle w:val="B2"/>
      </w:pPr>
      <w:r w:rsidRPr="00873B6C">
        <w:t>-</w:t>
      </w:r>
      <w:r w:rsidRPr="00873B6C">
        <w:tab/>
        <w:t>If the DNS response</w:t>
      </w:r>
      <w:r w:rsidR="00E3255E" w:rsidRPr="00873B6C">
        <w:t>s</w:t>
      </w:r>
      <w:r w:rsidRPr="00873B6C">
        <w:t xml:space="preserve"> contain one or more records, the UE selects a PLMN that supports emergency services in non-3GPP access for the UE. Each record in the DNS response</w:t>
      </w:r>
      <w:r w:rsidR="00E3255E" w:rsidRPr="00873B6C">
        <w:t>s</w:t>
      </w:r>
      <w:r w:rsidRPr="00873B6C">
        <w:t xml:space="preserve"> shall contain the identity of a PLMN in the visited country supporting emergency services in non-3GPP access</w:t>
      </w:r>
      <w:r w:rsidR="00E3255E" w:rsidRPr="00873B6C">
        <w:t xml:space="preserve"> via ePDG or N3IWF</w:t>
      </w:r>
      <w:r w:rsidRPr="00873B6C">
        <w:t>.</w:t>
      </w:r>
    </w:p>
    <w:p w14:paraId="7E142B4C" w14:textId="50DDD0FF" w:rsidR="00D40151" w:rsidRPr="00873B6C" w:rsidRDefault="00D40151" w:rsidP="00D40151">
      <w:pPr>
        <w:pStyle w:val="B2"/>
      </w:pPr>
      <w:r w:rsidRPr="00873B6C">
        <w:t>-</w:t>
      </w:r>
      <w:r w:rsidRPr="00873B6C">
        <w:tab/>
        <w:t>The UE shall consider these PLMNs based on their priorities in the Non-3GPP Access Node Selection Information. If the UE cannot select a PLMN in the Non-3GPP Access Node Selection Information</w:t>
      </w:r>
      <w:r w:rsidR="00E3255E" w:rsidRPr="00873B6C">
        <w:t xml:space="preserve"> or if non-3GPP Access Node Selection Information is not available, the UE</w:t>
      </w:r>
      <w:r w:rsidRPr="00873B6C">
        <w:t xml:space="preserve"> shall attempt to select any PLMN in the list of PLMNs returned in the DNS response.</w:t>
      </w:r>
    </w:p>
    <w:p w14:paraId="1CCE3B67" w14:textId="77777777" w:rsidR="00E3255E" w:rsidRPr="00873B6C" w:rsidRDefault="00E3255E" w:rsidP="00D40151">
      <w:pPr>
        <w:pStyle w:val="B2"/>
      </w:pPr>
      <w:r w:rsidRPr="00873B6C">
        <w:t>-</w:t>
      </w:r>
      <w:r w:rsidRPr="00873B6C">
        <w:tab/>
        <w:t>Once the UE has selected a PLMN the UE shall select an N3IWF or ePDG for the selected PLMN as follows:</w:t>
      </w:r>
    </w:p>
    <w:p w14:paraId="7BB9C93C" w14:textId="77777777" w:rsidR="00E3255E" w:rsidRPr="00873B6C" w:rsidRDefault="00E3255E" w:rsidP="00562E84">
      <w:pPr>
        <w:pStyle w:val="B3"/>
      </w:pPr>
      <w:r w:rsidRPr="00873B6C">
        <w:t>-</w:t>
      </w:r>
      <w:r w:rsidRPr="00873B6C">
        <w:tab/>
        <w:t xml:space="preserve">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w:t>
      </w:r>
      <w:r w:rsidRPr="00873B6C">
        <w:lastRenderedPageBreak/>
        <w:t>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873B6C" w:rsidRDefault="00E3255E" w:rsidP="00562E84">
      <w:pPr>
        <w:pStyle w:val="B3"/>
      </w:pPr>
      <w:r w:rsidRPr="00873B6C">
        <w:t>-</w:t>
      </w:r>
      <w:r w:rsidRPr="00873B6C">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873B6C" w:rsidRDefault="00D40151" w:rsidP="00D40151">
      <w:pPr>
        <w:pStyle w:val="B2"/>
      </w:pPr>
      <w:r w:rsidRPr="00873B6C">
        <w:t>-</w:t>
      </w:r>
      <w:r w:rsidRPr="00873B6C">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873B6C" w:rsidRDefault="00D40151" w:rsidP="00D40151">
      <w:r w:rsidRPr="00873B6C">
        <w:t>If the UE is not equipped with a UICC, the UE shall perform the emergency ePDG/N3IWF selection procedure</w:t>
      </w:r>
      <w:r w:rsidR="00E3255E" w:rsidRPr="00873B6C">
        <w:t xml:space="preserve"> above as if always in a visited country and</w:t>
      </w:r>
      <w:r w:rsidRPr="00873B6C">
        <w:t xml:space="preserve"> without using the Non-3GPP Access Node Selection Information, i.e</w:t>
      </w:r>
      <w:r w:rsidR="000E35F2" w:rsidRPr="00873B6C">
        <w:t>.</w:t>
      </w:r>
      <w:r w:rsidRPr="00873B6C">
        <w:t xml:space="preserve"> the UE may construct the Operator Identifier FQDN</w:t>
      </w:r>
      <w:r w:rsidR="00E3255E" w:rsidRPr="00873B6C">
        <w:t xml:space="preserve"> for N3IWF or ePDG</w:t>
      </w:r>
      <w:r w:rsidRPr="00873B6C">
        <w:t xml:space="preserve"> based on a PLMN ID obtained via implementation specific means.</w:t>
      </w:r>
    </w:p>
    <w:p w14:paraId="2E4E0974" w14:textId="77777777" w:rsidR="00D40151" w:rsidRPr="00873B6C" w:rsidRDefault="00D40151" w:rsidP="00D40151">
      <w:r w:rsidRPr="00873B6C">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873B6C" w:rsidRDefault="00D40151" w:rsidP="00D40151">
      <w:pPr>
        <w:pStyle w:val="Heading3"/>
        <w:rPr>
          <w:rFonts w:eastAsia="Malgun Gothic"/>
          <w:lang w:eastAsia="ko-KR"/>
        </w:rPr>
      </w:pPr>
      <w:bookmarkStart w:id="5687" w:name="_CR6_3_7"/>
      <w:bookmarkStart w:id="5688" w:name="_Toc20150226"/>
      <w:bookmarkStart w:id="5689" w:name="_Toc27847034"/>
      <w:bookmarkStart w:id="5690" w:name="_Toc36188166"/>
      <w:bookmarkStart w:id="5691" w:name="_Toc45184077"/>
      <w:bookmarkStart w:id="5692" w:name="_Toc47342919"/>
      <w:bookmarkStart w:id="5693" w:name="_Toc51769621"/>
      <w:bookmarkStart w:id="5694" w:name="_Toc201157788"/>
      <w:bookmarkEnd w:id="5687"/>
      <w:r w:rsidRPr="00873B6C">
        <w:rPr>
          <w:lang w:eastAsia="zh-CN"/>
        </w:rPr>
        <w:t>6.3.</w:t>
      </w:r>
      <w:r w:rsidRPr="00873B6C">
        <w:rPr>
          <w:rFonts w:eastAsia="Malgun Gothic"/>
          <w:lang w:eastAsia="ko-KR"/>
        </w:rPr>
        <w:t>7</w:t>
      </w:r>
      <w:r w:rsidRPr="00873B6C">
        <w:rPr>
          <w:lang w:eastAsia="zh-CN"/>
        </w:rPr>
        <w:tab/>
      </w:r>
      <w:r w:rsidRPr="00873B6C">
        <w:rPr>
          <w:rFonts w:eastAsia="Malgun Gothic"/>
          <w:lang w:eastAsia="ko-KR"/>
        </w:rPr>
        <w:t>PCF discovery and selection</w:t>
      </w:r>
      <w:bookmarkEnd w:id="5688"/>
      <w:bookmarkEnd w:id="5689"/>
      <w:bookmarkEnd w:id="5690"/>
      <w:bookmarkEnd w:id="5691"/>
      <w:bookmarkEnd w:id="5692"/>
      <w:bookmarkEnd w:id="5693"/>
      <w:bookmarkEnd w:id="5694"/>
    </w:p>
    <w:p w14:paraId="1F4A60D6" w14:textId="77777777" w:rsidR="00D40151" w:rsidRPr="00873B6C" w:rsidRDefault="00D40151" w:rsidP="00D40151">
      <w:pPr>
        <w:pStyle w:val="Heading4"/>
      </w:pPr>
      <w:bookmarkStart w:id="5695" w:name="_CR6_3_7_0"/>
      <w:bookmarkStart w:id="5696" w:name="_Toc20150227"/>
      <w:bookmarkStart w:id="5697" w:name="_Toc27847035"/>
      <w:bookmarkStart w:id="5698" w:name="_Toc36188167"/>
      <w:bookmarkStart w:id="5699" w:name="_Toc45184078"/>
      <w:bookmarkStart w:id="5700" w:name="_Toc47342920"/>
      <w:bookmarkStart w:id="5701" w:name="_Toc51769622"/>
      <w:bookmarkStart w:id="5702" w:name="_Toc201157789"/>
      <w:bookmarkEnd w:id="5695"/>
      <w:r w:rsidRPr="00873B6C">
        <w:t>6.3.7.0</w:t>
      </w:r>
      <w:r w:rsidRPr="00873B6C">
        <w:tab/>
        <w:t>General principles</w:t>
      </w:r>
      <w:bookmarkEnd w:id="5696"/>
      <w:bookmarkEnd w:id="5697"/>
      <w:bookmarkEnd w:id="5698"/>
      <w:bookmarkEnd w:id="5699"/>
      <w:bookmarkEnd w:id="5700"/>
      <w:bookmarkEnd w:id="5701"/>
      <w:bookmarkEnd w:id="5702"/>
    </w:p>
    <w:p w14:paraId="0371A227" w14:textId="77777777" w:rsidR="00D40151" w:rsidRPr="00873B6C" w:rsidRDefault="00D40151" w:rsidP="00D40151">
      <w:r w:rsidRPr="00873B6C">
        <w:t>Clause 6.3.7.0 describes the underlying principles for PCF selection and discovery:</w:t>
      </w:r>
    </w:p>
    <w:p w14:paraId="39666352" w14:textId="77777777" w:rsidR="00D40151" w:rsidRPr="00873B6C" w:rsidRDefault="00D40151" w:rsidP="00D40151">
      <w:pPr>
        <w:pStyle w:val="B1"/>
      </w:pPr>
      <w:r w:rsidRPr="00873B6C">
        <w:t>-</w:t>
      </w:r>
      <w:r w:rsidRPr="00873B6C">
        <w:tab/>
        <w:t>There may be multiple and separately addressable PCFs in a PLMN.</w:t>
      </w:r>
    </w:p>
    <w:p w14:paraId="27FD20A0" w14:textId="77777777" w:rsidR="00D40151" w:rsidRPr="00873B6C" w:rsidRDefault="00D40151" w:rsidP="00D40151">
      <w:pPr>
        <w:pStyle w:val="B1"/>
      </w:pPr>
      <w:r w:rsidRPr="00873B6C">
        <w:t>-</w:t>
      </w:r>
      <w:r w:rsidRPr="00873B6C">
        <w:tab/>
        <w:t>The PCF must be able to correlate the AF service session established over N5 or Rx with the associated PDU Session (Session binding) handled over N7.</w:t>
      </w:r>
    </w:p>
    <w:p w14:paraId="34D959D1" w14:textId="77777777" w:rsidR="00D40151" w:rsidRPr="00873B6C" w:rsidRDefault="00D40151" w:rsidP="00D40151">
      <w:pPr>
        <w:pStyle w:val="B1"/>
      </w:pPr>
      <w:r w:rsidRPr="00873B6C">
        <w:t>-</w:t>
      </w:r>
      <w:r w:rsidRPr="00873B6C">
        <w:tab/>
        <w:t>It shall be possible to deploy a network so that the PCF may serve only specific DN(s). For example, Policy Control may be enabled on a per DNN basis.</w:t>
      </w:r>
    </w:p>
    <w:p w14:paraId="1157698A" w14:textId="77777777" w:rsidR="00D40151" w:rsidRPr="00873B6C" w:rsidRDefault="00D40151" w:rsidP="00D40151">
      <w:pPr>
        <w:pStyle w:val="B1"/>
      </w:pPr>
      <w:r w:rsidRPr="00873B6C">
        <w:t>-</w:t>
      </w:r>
      <w:r w:rsidRPr="00873B6C">
        <w:tab/>
        <w:t>Unique identification of a PDU Session in the PCF shall be possible based on the (UE ID, DNN)-tuple, the (UE (IP or MAC) Address(es), DNN)-tuple and the (UE ID, UE (IP or MAC) Address(es), DNN).</w:t>
      </w:r>
    </w:p>
    <w:p w14:paraId="617898F7" w14:textId="77777777" w:rsidR="00D40151" w:rsidRPr="00873B6C" w:rsidRDefault="00D40151" w:rsidP="00D40151">
      <w:pPr>
        <w:pStyle w:val="Heading4"/>
        <w:rPr>
          <w:rFonts w:eastAsia="Malgun Gothic"/>
          <w:lang w:eastAsia="ko-KR"/>
        </w:rPr>
      </w:pPr>
      <w:bookmarkStart w:id="5703" w:name="_CR6_3_7_1"/>
      <w:bookmarkStart w:id="5704" w:name="_Toc20150228"/>
      <w:bookmarkStart w:id="5705" w:name="_Toc27847036"/>
      <w:bookmarkStart w:id="5706" w:name="_Toc36188168"/>
      <w:bookmarkStart w:id="5707" w:name="_Toc45184079"/>
      <w:bookmarkStart w:id="5708" w:name="_Toc47342921"/>
      <w:bookmarkStart w:id="5709" w:name="_Toc51769623"/>
      <w:bookmarkStart w:id="5710" w:name="_Toc201157790"/>
      <w:bookmarkEnd w:id="5703"/>
      <w:r w:rsidRPr="00873B6C">
        <w:rPr>
          <w:lang w:eastAsia="zh-CN"/>
        </w:rPr>
        <w:t>6.3.7</w:t>
      </w:r>
      <w:r w:rsidRPr="00873B6C">
        <w:rPr>
          <w:rFonts w:eastAsia="Malgun Gothic"/>
          <w:lang w:eastAsia="ko-KR"/>
        </w:rPr>
        <w:t>.1</w:t>
      </w:r>
      <w:r w:rsidRPr="00873B6C">
        <w:rPr>
          <w:lang w:eastAsia="zh-CN"/>
        </w:rPr>
        <w:tab/>
      </w:r>
      <w:r w:rsidRPr="00873B6C">
        <w:rPr>
          <w:rFonts w:eastAsia="Malgun Gothic"/>
          <w:lang w:eastAsia="ko-KR"/>
        </w:rPr>
        <w:t>PCF discovery and selection for a UE or a PDU Session</w:t>
      </w:r>
      <w:bookmarkEnd w:id="5704"/>
      <w:bookmarkEnd w:id="5705"/>
      <w:bookmarkEnd w:id="5706"/>
      <w:bookmarkEnd w:id="5707"/>
      <w:bookmarkEnd w:id="5708"/>
      <w:bookmarkEnd w:id="5709"/>
      <w:bookmarkEnd w:id="5710"/>
    </w:p>
    <w:p w14:paraId="6A9120A8" w14:textId="285251EC" w:rsidR="00D40151" w:rsidRPr="00873B6C" w:rsidRDefault="00D40151" w:rsidP="00D40151">
      <w:r w:rsidRPr="00873B6C">
        <w:t>PCF discovery and selection functionality is implemented in AMF, SMF</w:t>
      </w:r>
      <w:r w:rsidR="00893B12" w:rsidRPr="00873B6C">
        <w:t>,</w:t>
      </w:r>
      <w:r w:rsidRPr="00873B6C">
        <w:t xml:space="preserve"> SCP</w:t>
      </w:r>
      <w:r w:rsidR="00893B12" w:rsidRPr="00873B6C">
        <w:t xml:space="preserve"> and PCF</w:t>
      </w:r>
      <w:r w:rsidR="00F1595A" w:rsidRPr="00873B6C">
        <w:t xml:space="preserve"> for the PDU Session</w:t>
      </w:r>
      <w:r w:rsidRPr="00873B6C">
        <w:t xml:space="preserve"> and follows the principles in clause 6.3.1.</w:t>
      </w:r>
    </w:p>
    <w:p w14:paraId="5C9EC092" w14:textId="28C8EB20" w:rsidR="00D40151" w:rsidRPr="00873B6C" w:rsidRDefault="00D40151" w:rsidP="00D40151">
      <w:r w:rsidRPr="00873B6C">
        <w:t>When the NF service consumer performs</w:t>
      </w:r>
      <w:r w:rsidR="00A43299" w:rsidRPr="00873B6C">
        <w:t xml:space="preserve"> PCF</w:t>
      </w:r>
      <w:r w:rsidRPr="00873B6C">
        <w:t xml:space="preserve"> discovery and selection for a UE, the following applies:</w:t>
      </w:r>
    </w:p>
    <w:p w14:paraId="514E7E53" w14:textId="77777777" w:rsidR="00D40151" w:rsidRPr="00873B6C" w:rsidRDefault="00D40151" w:rsidP="00D40151">
      <w:pPr>
        <w:pStyle w:val="B1"/>
      </w:pPr>
      <w:r w:rsidRPr="00873B6C">
        <w:t>-</w:t>
      </w:r>
      <w:r w:rsidRPr="00873B6C">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44286F" w14:textId="5CE04C8E" w:rsidR="00893B12" w:rsidRPr="00873B6C" w:rsidRDefault="00D40151" w:rsidP="00D40151">
      <w:r w:rsidRPr="00873B6C">
        <w:t xml:space="preserve">In the non roaming case, the AMF selects a PCF instance for AM </w:t>
      </w:r>
      <w:r w:rsidR="00A43299" w:rsidRPr="00873B6C">
        <w:t>P</w:t>
      </w:r>
      <w:r w:rsidRPr="00873B6C">
        <w:t xml:space="preserve">olicy </w:t>
      </w:r>
      <w:r w:rsidR="00A43299" w:rsidRPr="00873B6C">
        <w:t>A</w:t>
      </w:r>
      <w:r w:rsidRPr="00873B6C">
        <w:t xml:space="preserve">ssociation and selects the same PCF instance for UE </w:t>
      </w:r>
      <w:r w:rsidR="00A43299" w:rsidRPr="00873B6C">
        <w:t>P</w:t>
      </w:r>
      <w:r w:rsidRPr="00873B6C">
        <w:t xml:space="preserve">olicy </w:t>
      </w:r>
      <w:r w:rsidR="00A43299" w:rsidRPr="00873B6C">
        <w:t>A</w:t>
      </w:r>
      <w:r w:rsidRPr="00873B6C">
        <w:t xml:space="preserve">ssociation. In the roaming case, the AMF selects a V-PCF instance for AM </w:t>
      </w:r>
      <w:r w:rsidR="00A43299" w:rsidRPr="00873B6C">
        <w:t>P</w:t>
      </w:r>
      <w:r w:rsidRPr="00873B6C">
        <w:t xml:space="preserve">olicy </w:t>
      </w:r>
      <w:r w:rsidR="00A43299" w:rsidRPr="00873B6C">
        <w:t>A</w:t>
      </w:r>
      <w:r w:rsidRPr="00873B6C">
        <w:t xml:space="preserve">ssociation and selects the same V-PCF instance for UE </w:t>
      </w:r>
      <w:r w:rsidR="00A43299" w:rsidRPr="00873B6C">
        <w:t>P</w:t>
      </w:r>
      <w:r w:rsidRPr="00873B6C">
        <w:t xml:space="preserve">olicy </w:t>
      </w:r>
      <w:r w:rsidR="00A43299" w:rsidRPr="00873B6C">
        <w:t>A</w:t>
      </w:r>
      <w:r w:rsidRPr="00873B6C">
        <w:t>ssociation.</w:t>
      </w:r>
    </w:p>
    <w:p w14:paraId="1F44D322" w14:textId="6B3BFE04" w:rsidR="00893B12" w:rsidRPr="00873B6C" w:rsidRDefault="00893B12" w:rsidP="00D40151">
      <w:r w:rsidRPr="00873B6C">
        <w:t xml:space="preserve">The PCF for </w:t>
      </w:r>
      <w:r w:rsidR="00A43299" w:rsidRPr="00873B6C">
        <w:t xml:space="preserve">the </w:t>
      </w:r>
      <w:r w:rsidRPr="00873B6C">
        <w:t xml:space="preserve">PDU Session selects a (V-)PCF instance for UE </w:t>
      </w:r>
      <w:r w:rsidR="00A43299" w:rsidRPr="00873B6C">
        <w:t>P</w:t>
      </w:r>
      <w:r w:rsidRPr="00873B6C">
        <w:t xml:space="preserve">olicy </w:t>
      </w:r>
      <w:r w:rsidR="00A43299" w:rsidRPr="00873B6C">
        <w:t>A</w:t>
      </w:r>
      <w:r w:rsidRPr="00873B6C">
        <w:t>ssociation.</w:t>
      </w:r>
    </w:p>
    <w:p w14:paraId="4B511576" w14:textId="40A54495" w:rsidR="00D40151" w:rsidRPr="00873B6C" w:rsidRDefault="00D40151" w:rsidP="00D40151">
      <w:r w:rsidRPr="00873B6C">
        <w:t>The following factors may be considered at PCF discovery and selection for Access and Mobility policies and UE policies:</w:t>
      </w:r>
    </w:p>
    <w:p w14:paraId="00B12B82" w14:textId="77777777" w:rsidR="00D40151" w:rsidRPr="00873B6C" w:rsidRDefault="00D40151" w:rsidP="00D40151">
      <w:pPr>
        <w:pStyle w:val="B1"/>
      </w:pPr>
      <w:r w:rsidRPr="00873B6C">
        <w:lastRenderedPageBreak/>
        <w:t>-</w:t>
      </w:r>
      <w:r w:rsidRPr="00873B6C">
        <w:tab/>
        <w:t>SUPI; the AMF selects a PCF instance based on the SUPI range the UE's SUPI belongs to or based on the results of a discovery procedure with NRF using the UE's SUPI as input for PCF discovery.</w:t>
      </w:r>
    </w:p>
    <w:p w14:paraId="27DED353" w14:textId="77777777" w:rsidR="00D40151" w:rsidRPr="00873B6C" w:rsidRDefault="00D40151" w:rsidP="00D40151">
      <w:pPr>
        <w:pStyle w:val="B1"/>
      </w:pPr>
      <w:r w:rsidRPr="00873B6C">
        <w:t>-</w:t>
      </w:r>
      <w:r w:rsidRPr="00873B6C">
        <w:tab/>
        <w:t>S-NSSAI(s). In the roaming case, the AMF selects the V-PCF instance based on the S-NSSAI(s) of the VPLMN and selects the H-PCF instance based on the S-NSSAI(s) of the HPLMN.</w:t>
      </w:r>
    </w:p>
    <w:p w14:paraId="2A5DDA5E" w14:textId="77777777" w:rsidR="00D40151" w:rsidRPr="00873B6C" w:rsidRDefault="00D40151" w:rsidP="00D40151">
      <w:pPr>
        <w:pStyle w:val="B1"/>
      </w:pPr>
      <w:r w:rsidRPr="00873B6C">
        <w:t>-</w:t>
      </w:r>
      <w:r w:rsidRPr="00873B6C">
        <w:tab/>
        <w:t>PCF Set ID.</w:t>
      </w:r>
    </w:p>
    <w:p w14:paraId="6D8F0480" w14:textId="77777777" w:rsidR="00D40151" w:rsidRPr="00873B6C" w:rsidRDefault="00D40151" w:rsidP="00D40151">
      <w:pPr>
        <w:pStyle w:val="B1"/>
      </w:pPr>
      <w:r w:rsidRPr="00873B6C">
        <w:t>-</w:t>
      </w:r>
      <w:r w:rsidRPr="00873B6C">
        <w:tab/>
        <w:t>PCF Group ID of the UE's SUPI.</w:t>
      </w:r>
    </w:p>
    <w:p w14:paraId="22AC9B79" w14:textId="64972E0C" w:rsidR="00D40151" w:rsidRPr="00873B6C" w:rsidRDefault="00D40151" w:rsidP="00D40151">
      <w:pPr>
        <w:pStyle w:val="NO"/>
      </w:pPr>
      <w:r w:rsidRPr="00873B6C">
        <w:t>NOTE 1:</w:t>
      </w:r>
      <w:r w:rsidRPr="00873B6C">
        <w:tab/>
        <w:t xml:space="preserve">The AMF can infer the PCF Group ID the UE's SUPI belongs to, based on the results of PCF discovery procedures with NRF. The AMF provides the PCF Group ID the SUPI belongs to to other PCF NF consumers as described in </w:t>
      </w:r>
      <w:r w:rsidR="00972E70" w:rsidRPr="00873B6C">
        <w:t>TS 23.502 [</w:t>
      </w:r>
      <w:r w:rsidRPr="00873B6C">
        <w:t>3].</w:t>
      </w:r>
    </w:p>
    <w:p w14:paraId="52D541A7" w14:textId="77777777" w:rsidR="00D40151" w:rsidRPr="00873B6C" w:rsidRDefault="00D40151" w:rsidP="00D40151">
      <w:pPr>
        <w:pStyle w:val="B1"/>
      </w:pPr>
      <w:r w:rsidRPr="00873B6C">
        <w:t>-</w:t>
      </w:r>
      <w:r w:rsidRPr="00873B6C">
        <w:tab/>
        <w:t>DNN replacement capability of the PCF.</w:t>
      </w:r>
    </w:p>
    <w:p w14:paraId="4CF9F268" w14:textId="1AC9214D" w:rsidR="003E03C2" w:rsidRPr="00873B6C" w:rsidRDefault="003E03C2" w:rsidP="00323277">
      <w:pPr>
        <w:pStyle w:val="B1"/>
      </w:pPr>
      <w:r w:rsidRPr="00873B6C">
        <w:t>-</w:t>
      </w:r>
      <w:r w:rsidRPr="00873B6C">
        <w:tab/>
        <w:t>Slice replacement capability of the PCF.</w:t>
      </w:r>
    </w:p>
    <w:p w14:paraId="49DC3DE9" w14:textId="190E19A1" w:rsidR="00FD5C4A" w:rsidRPr="00873B6C" w:rsidRDefault="00FD5C4A" w:rsidP="00323277">
      <w:pPr>
        <w:pStyle w:val="B1"/>
      </w:pPr>
      <w:r w:rsidRPr="00873B6C">
        <w:t>-</w:t>
      </w:r>
      <w:r w:rsidRPr="00873B6C">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E0AEEEC" w14:textId="684AA077" w:rsidR="00893B12" w:rsidRPr="00873B6C" w:rsidRDefault="00893B12" w:rsidP="00893B12">
      <w:pPr>
        <w:pStyle w:val="B1"/>
      </w:pPr>
      <w:r w:rsidRPr="00873B6C">
        <w:t>-</w:t>
      </w:r>
      <w:r w:rsidRPr="00873B6C">
        <w:tab/>
        <w:t>URSP delivery in EPS capability of the PCF.</w:t>
      </w:r>
    </w:p>
    <w:p w14:paraId="5A44958F" w14:textId="472FDEE5" w:rsidR="00D40151" w:rsidRPr="00873B6C" w:rsidRDefault="00D40151" w:rsidP="00D40151">
      <w:r w:rsidRPr="00873B6C">
        <w:t>When the NF service consumer performs</w:t>
      </w:r>
      <w:r w:rsidR="00A43299" w:rsidRPr="00873B6C">
        <w:t xml:space="preserve"> PCF</w:t>
      </w:r>
      <w:r w:rsidRPr="00873B6C">
        <w:t xml:space="preserve"> discovery and selection for a PDU Session, the following applies:</w:t>
      </w:r>
    </w:p>
    <w:p w14:paraId="142A6C63" w14:textId="77777777" w:rsidR="00D40151" w:rsidRPr="00873B6C" w:rsidRDefault="00D40151" w:rsidP="00D40151">
      <w:pPr>
        <w:pStyle w:val="B1"/>
      </w:pPr>
      <w:r w:rsidRPr="00873B6C">
        <w:t>-</w:t>
      </w:r>
      <w:r w:rsidRPr="00873B6C">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8CE08D" w:rsidR="00D40151" w:rsidRPr="00873B6C" w:rsidRDefault="00D40151" w:rsidP="00D40151">
      <w:pPr>
        <w:pStyle w:val="B1"/>
      </w:pPr>
      <w:r w:rsidRPr="00873B6C">
        <w:tab/>
        <w:t xml:space="preserve">The following factors may be considered at PCF discovery and selection for a PDU </w:t>
      </w:r>
      <w:r w:rsidR="00A43299" w:rsidRPr="00873B6C">
        <w:t>S</w:t>
      </w:r>
      <w:r w:rsidRPr="00873B6C">
        <w:t>ession:</w:t>
      </w:r>
    </w:p>
    <w:p w14:paraId="4867D03A" w14:textId="77777777" w:rsidR="00D40151" w:rsidRPr="00873B6C" w:rsidRDefault="00D40151" w:rsidP="00D40151">
      <w:pPr>
        <w:pStyle w:val="B2"/>
      </w:pPr>
      <w:r w:rsidRPr="00873B6C">
        <w:t>a)</w:t>
      </w:r>
      <w:r w:rsidRPr="00873B6C">
        <w:tab/>
        <w:t>Local operator policies.</w:t>
      </w:r>
    </w:p>
    <w:p w14:paraId="51AC2147" w14:textId="77777777" w:rsidR="00D40151" w:rsidRPr="00873B6C" w:rsidRDefault="00D40151" w:rsidP="00D40151">
      <w:pPr>
        <w:pStyle w:val="B2"/>
      </w:pPr>
      <w:r w:rsidRPr="00873B6C">
        <w:t>b)</w:t>
      </w:r>
      <w:r w:rsidRPr="00873B6C">
        <w:tab/>
        <w:t>Selected Data Network Name (DNN).</w:t>
      </w:r>
    </w:p>
    <w:p w14:paraId="53858353" w14:textId="77777777" w:rsidR="00D40151" w:rsidRPr="00873B6C" w:rsidRDefault="00D40151" w:rsidP="00D40151">
      <w:pPr>
        <w:pStyle w:val="B2"/>
      </w:pPr>
      <w:r w:rsidRPr="00873B6C">
        <w:t>c)</w:t>
      </w:r>
      <w:r w:rsidRPr="00873B6C">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873B6C" w:rsidRDefault="00D40151" w:rsidP="00D40151">
      <w:pPr>
        <w:pStyle w:val="B2"/>
      </w:pPr>
      <w:r w:rsidRPr="00873B6C">
        <w:t>d)</w:t>
      </w:r>
      <w:r w:rsidRPr="00873B6C">
        <w:tab/>
        <w:t>SUPI; the SMF selects a PCF instance based on the SUPI range the UE's SUPI belongs to or based on the results of a discovery procedure with NRF using the UE's SUPI as input for PCF discovery.</w:t>
      </w:r>
    </w:p>
    <w:p w14:paraId="15F16B64" w14:textId="77777777" w:rsidR="00D40151" w:rsidRPr="00873B6C" w:rsidRDefault="00D40151" w:rsidP="00D40151">
      <w:pPr>
        <w:pStyle w:val="B2"/>
      </w:pPr>
      <w:r w:rsidRPr="00873B6C">
        <w:t>e)</w:t>
      </w:r>
      <w:r w:rsidRPr="00873B6C">
        <w:tab/>
        <w:t>PCF selected by the AMF for the UE.</w:t>
      </w:r>
    </w:p>
    <w:p w14:paraId="69B18848" w14:textId="728F8039" w:rsidR="00D40151" w:rsidRPr="00873B6C" w:rsidRDefault="00D40151" w:rsidP="00D40151">
      <w:pPr>
        <w:pStyle w:val="B2"/>
      </w:pPr>
      <w:r w:rsidRPr="00873B6C">
        <w:t>f)</w:t>
      </w:r>
      <w:r w:rsidRPr="00873B6C">
        <w:tab/>
        <w:t xml:space="preserve">MA PDU Session capability of the PCF, for an MA PDU </w:t>
      </w:r>
      <w:r w:rsidR="00A43299" w:rsidRPr="00873B6C">
        <w:t>S</w:t>
      </w:r>
      <w:r w:rsidRPr="00873B6C">
        <w:t>ession.</w:t>
      </w:r>
    </w:p>
    <w:p w14:paraId="5AC631C2" w14:textId="77777777" w:rsidR="00D40151" w:rsidRPr="00873B6C" w:rsidRDefault="00D40151" w:rsidP="00D40151">
      <w:pPr>
        <w:pStyle w:val="B2"/>
      </w:pPr>
      <w:r w:rsidRPr="00873B6C">
        <w:t>g)</w:t>
      </w:r>
      <w:r w:rsidRPr="00873B6C">
        <w:tab/>
        <w:t>The PCF Group ID provided by the AMF to the SMF.</w:t>
      </w:r>
    </w:p>
    <w:p w14:paraId="006FC622" w14:textId="77777777" w:rsidR="00D40151" w:rsidRPr="00873B6C" w:rsidRDefault="00D40151" w:rsidP="00D40151">
      <w:pPr>
        <w:pStyle w:val="B2"/>
      </w:pPr>
      <w:r w:rsidRPr="00873B6C">
        <w:t>h)</w:t>
      </w:r>
      <w:r w:rsidRPr="00873B6C">
        <w:tab/>
        <w:t>PCF Set ID.</w:t>
      </w:r>
    </w:p>
    <w:p w14:paraId="2C223370" w14:textId="371C19A5" w:rsidR="00FD5C4A" w:rsidRPr="00873B6C" w:rsidRDefault="00FD5C4A" w:rsidP="00323277">
      <w:pPr>
        <w:pStyle w:val="B2"/>
      </w:pPr>
      <w:r w:rsidRPr="00873B6C">
        <w:t>i)</w:t>
      </w:r>
      <w:r w:rsidRPr="00873B6C">
        <w:tab/>
        <w:t>Same PCF Selection Indication.</w:t>
      </w:r>
    </w:p>
    <w:p w14:paraId="07B7125C" w14:textId="36F5E20D" w:rsidR="00893B12" w:rsidRPr="00873B6C" w:rsidRDefault="00893B12" w:rsidP="00893B12">
      <w:pPr>
        <w:pStyle w:val="B2"/>
      </w:pPr>
      <w:r w:rsidRPr="00873B6C">
        <w:t>j)</w:t>
      </w:r>
      <w:r w:rsidRPr="00873B6C">
        <w:tab/>
        <w:t>URSP delivery in EPS capability of the PCF.</w:t>
      </w:r>
    </w:p>
    <w:p w14:paraId="5B10B3FB" w14:textId="69821974" w:rsidR="00D40151" w:rsidRPr="00873B6C" w:rsidRDefault="00D40151" w:rsidP="00D40151">
      <w:r w:rsidRPr="00873B6C">
        <w:t>In the case of delegated discovery and selection in SCP, the SMF includes the factors b) - h)</w:t>
      </w:r>
      <w:r w:rsidR="00893B12" w:rsidRPr="00873B6C">
        <w:t>, j)</w:t>
      </w:r>
      <w:r w:rsidRPr="00873B6C">
        <w:t>, if available, in the first request.</w:t>
      </w:r>
    </w:p>
    <w:p w14:paraId="2AD595C7" w14:textId="0637066B" w:rsidR="00D40151" w:rsidRPr="00873B6C" w:rsidRDefault="00D40151" w:rsidP="00D40151">
      <w:r w:rsidRPr="00873B6C">
        <w:t xml:space="preserve">The selected PCF instance for serving the UE and the selected PCF instance for serving a PDU </w:t>
      </w:r>
      <w:r w:rsidR="00A43299" w:rsidRPr="00873B6C">
        <w:t>S</w:t>
      </w:r>
      <w:r w:rsidRPr="00873B6C">
        <w:t>ession of this UE may be the same or may be different.</w:t>
      </w:r>
    </w:p>
    <w:p w14:paraId="5EDFC051" w14:textId="245FFE45" w:rsidR="00D40151" w:rsidRPr="00873B6C" w:rsidRDefault="00D40151" w:rsidP="00D40151">
      <w:r w:rsidRPr="00873B6C">
        <w:t xml:space="preserve">In the following scenarios, information about the PCF instance that has been selected </w:t>
      </w:r>
      <w:r w:rsidR="00CD64F1" w:rsidRPr="00873B6C">
        <w:t>(</w:t>
      </w:r>
      <w:r w:rsidRPr="00873B6C">
        <w:t>i.e. the PCF ID</w:t>
      </w:r>
      <w:r w:rsidR="00CD64F1" w:rsidRPr="00873B6C">
        <w:t>, PCF Set Id</w:t>
      </w:r>
      <w:r w:rsidRPr="00873B6C">
        <w:t xml:space="preserve"> and</w:t>
      </w:r>
      <w:r w:rsidR="00CD64F1" w:rsidRPr="00873B6C">
        <w:t>,</w:t>
      </w:r>
      <w:r w:rsidRPr="00873B6C">
        <w:t xml:space="preserve"> if</w:t>
      </w:r>
      <w:r w:rsidR="00CD64F1" w:rsidRPr="00873B6C">
        <w:t xml:space="preserve"> PCF Set Id is not</w:t>
      </w:r>
      <w:r w:rsidRPr="00873B6C">
        <w:t xml:space="preserve"> available</w:t>
      </w:r>
      <w:r w:rsidR="00CD64F1" w:rsidRPr="00873B6C">
        <w:t>, the</w:t>
      </w:r>
      <w:r w:rsidRPr="00873B6C">
        <w:t xml:space="preserve"> PCF Group ID</w:t>
      </w:r>
      <w:r w:rsidR="00CD64F1" w:rsidRPr="00873B6C">
        <w:t xml:space="preserve"> (if available))</w:t>
      </w:r>
      <w:r w:rsidRPr="00873B6C">
        <w:t xml:space="preserve"> may be forwarded to another NF. If the NF service </w:t>
      </w:r>
      <w:r w:rsidRPr="00873B6C">
        <w:lastRenderedPageBreak/>
        <w:t xml:space="preserve">consumer performs discovery and selection, this NF may use this PCF instance. </w:t>
      </w:r>
      <w:r w:rsidR="00CD64F1" w:rsidRPr="00873B6C">
        <w:t xml:space="preserve">If the NF service consumer performs </w:t>
      </w:r>
      <w:r w:rsidRPr="00873B6C">
        <w:t>delegated discovery and selection, this NF may include PCF ID</w:t>
      </w:r>
      <w:r w:rsidR="00CD64F1" w:rsidRPr="00873B6C">
        <w:t>, PCF Set Id</w:t>
      </w:r>
      <w:r w:rsidRPr="00873B6C">
        <w:t xml:space="preserve"> and</w:t>
      </w:r>
      <w:r w:rsidR="00CD64F1" w:rsidRPr="00873B6C">
        <w:t>,</w:t>
      </w:r>
      <w:r w:rsidRPr="00873B6C">
        <w:t xml:space="preserve"> if</w:t>
      </w:r>
      <w:r w:rsidR="00CD64F1" w:rsidRPr="00873B6C">
        <w:t xml:space="preserve"> PCF Set Id is not</w:t>
      </w:r>
      <w:r w:rsidRPr="00873B6C">
        <w:t xml:space="preserve"> available</w:t>
      </w:r>
      <w:r w:rsidR="00CD64F1" w:rsidRPr="00873B6C">
        <w:t>, the</w:t>
      </w:r>
      <w:r w:rsidRPr="00873B6C">
        <w:t xml:space="preserve"> PCF Group ID</w:t>
      </w:r>
      <w:r w:rsidR="00CD64F1" w:rsidRPr="00873B6C">
        <w:t xml:space="preserve"> (if available)</w:t>
      </w:r>
      <w:r w:rsidRPr="00873B6C">
        <w:t xml:space="preserve"> in the request and the SCP may use this information to select the PCF instance (discovery may still be needed depending on what level of information is sent by the AMF, e.g. the</w:t>
      </w:r>
      <w:r w:rsidR="00BA4B57" w:rsidRPr="00873B6C">
        <w:t xml:space="preserve"> endpoint</w:t>
      </w:r>
      <w:r w:rsidRPr="00873B6C">
        <w:t xml:space="preserve"> address of the PCF instance may not be present):</w:t>
      </w:r>
    </w:p>
    <w:p w14:paraId="48E1D923" w14:textId="4C9E8703" w:rsidR="00D40151" w:rsidRPr="00873B6C" w:rsidRDefault="00D40151" w:rsidP="00D40151">
      <w:r w:rsidRPr="00873B6C">
        <w:t>When NF service consumer performs</w:t>
      </w:r>
      <w:r w:rsidR="00A43299" w:rsidRPr="00873B6C">
        <w:t xml:space="preserve"> PCF</w:t>
      </w:r>
      <w:r w:rsidRPr="00873B6C">
        <w:t xml:space="preserve"> discovery and selection, the following applies:</w:t>
      </w:r>
    </w:p>
    <w:p w14:paraId="1B53FB45" w14:textId="02D79121" w:rsidR="00D40151" w:rsidRPr="00873B6C" w:rsidRDefault="00D40151" w:rsidP="00D40151">
      <w:pPr>
        <w:pStyle w:val="B1"/>
      </w:pPr>
      <w:r w:rsidRPr="00873B6C">
        <w:t>-</w:t>
      </w:r>
      <w:r w:rsidRPr="00873B6C">
        <w:tab/>
        <w:t>During AMF relocation, the target AMF may receive a PCF ID</w:t>
      </w:r>
      <w:r w:rsidR="00CD64F1" w:rsidRPr="00873B6C">
        <w:t>, PCF Set Id</w:t>
      </w:r>
      <w:r w:rsidRPr="00873B6C">
        <w:t xml:space="preserve"> and</w:t>
      </w:r>
      <w:r w:rsidR="00CD64F1" w:rsidRPr="00873B6C">
        <w:t>,</w:t>
      </w:r>
      <w:r w:rsidRPr="00873B6C">
        <w:t xml:space="preserve"> if</w:t>
      </w:r>
      <w:r w:rsidR="00CD64F1" w:rsidRPr="00873B6C">
        <w:t xml:space="preserve"> PCF Set Id is not</w:t>
      </w:r>
      <w:r w:rsidRPr="00873B6C">
        <w:t xml:space="preserve"> available</w:t>
      </w:r>
      <w:r w:rsidR="00CD64F1" w:rsidRPr="00873B6C">
        <w:t>,</w:t>
      </w:r>
      <w:r w:rsidRPr="00873B6C">
        <w:t xml:space="preserve"> the PCF Group ID</w:t>
      </w:r>
      <w:r w:rsidR="00CD64F1" w:rsidRPr="00873B6C">
        <w:t xml:space="preserve"> (if available)</w:t>
      </w:r>
      <w:r w:rsidRPr="00873B6C">
        <w:t xml:space="preserve"> from the source AMF to enable the usage of the same PCF by the target AMF</w:t>
      </w:r>
      <w:r w:rsidR="00472CD7" w:rsidRPr="00873B6C">
        <w:t xml:space="preserve"> and</w:t>
      </w:r>
      <w:r w:rsidRPr="00873B6C">
        <w:t xml:space="preserve"> the target AMF may decide based on operator policy either to use the same PCF or select a new PCF.</w:t>
      </w:r>
    </w:p>
    <w:p w14:paraId="7FDB3A96" w14:textId="07FDE628" w:rsidR="00D40151" w:rsidRPr="00873B6C" w:rsidRDefault="00D40151" w:rsidP="00D40151">
      <w:pPr>
        <w:pStyle w:val="B1"/>
      </w:pPr>
      <w:r w:rsidRPr="00873B6C">
        <w:t>-</w:t>
      </w:r>
      <w:r w:rsidRPr="00873B6C">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873B6C">
        <w:t xml:space="preserve"> If combination of the DNN and S-NSSAI of the PDU </w:t>
      </w:r>
      <w:r w:rsidR="00A43299" w:rsidRPr="00873B6C">
        <w:t>S</w:t>
      </w:r>
      <w:r w:rsidR="00FD5C4A" w:rsidRPr="00873B6C">
        <w:t>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2C5B53B2" w:rsidR="00D40151" w:rsidRPr="00873B6C" w:rsidRDefault="00D40151" w:rsidP="00D40151">
      <w:pPr>
        <w:pStyle w:val="B1"/>
      </w:pPr>
      <w:r w:rsidRPr="00873B6C">
        <w:t>-</w:t>
      </w:r>
      <w:r w:rsidRPr="00873B6C">
        <w:tab/>
        <w:t xml:space="preserve">In the roaming case, the AMF may, based on operator policies, e.g. roaming agreement, select the H-PCF in addition to the V-PCF for a UE by performing the PCF discovery and selection as described above. The AMF </w:t>
      </w:r>
      <w:r w:rsidR="00BA4B57" w:rsidRPr="00873B6C">
        <w:t xml:space="preserve">may </w:t>
      </w:r>
      <w:r w:rsidRPr="00873B6C">
        <w:t>send the ID</w:t>
      </w:r>
      <w:r w:rsidR="00BA4B57" w:rsidRPr="00873B6C">
        <w:t xml:space="preserve"> and/or endpoint address (e.g. URI)</w:t>
      </w:r>
      <w:r w:rsidRPr="00873B6C">
        <w:t xml:space="preserve"> of the selected H-PCF instance to the V-PCF during the </w:t>
      </w:r>
      <w:r w:rsidR="00A43299" w:rsidRPr="00873B6C">
        <w:t>UE P</w:t>
      </w:r>
      <w:r w:rsidRPr="00873B6C">
        <w:t xml:space="preserve">olicy </w:t>
      </w:r>
      <w:r w:rsidR="00A43299" w:rsidRPr="00873B6C">
        <w:t>A</w:t>
      </w:r>
      <w:r w:rsidRPr="00873B6C">
        <w:t>ssociation establishment procedure.</w:t>
      </w:r>
    </w:p>
    <w:p w14:paraId="3FFF247B" w14:textId="216149ED" w:rsidR="00D40151" w:rsidRPr="00873B6C" w:rsidRDefault="00D40151" w:rsidP="00D40151">
      <w:r w:rsidRPr="00873B6C">
        <w:t xml:space="preserve">When the SMF receives a redirection indication with PCF ID from the PCF for the PDU </w:t>
      </w:r>
      <w:r w:rsidR="00A43299" w:rsidRPr="00873B6C">
        <w:t>S</w:t>
      </w:r>
      <w:r w:rsidRPr="00873B6C">
        <w:t xml:space="preserve">ession, the SMF shall terminate the current SM Policy </w:t>
      </w:r>
      <w:r w:rsidR="00A43299" w:rsidRPr="00873B6C">
        <w:t>A</w:t>
      </w:r>
      <w:r w:rsidRPr="00873B6C">
        <w:t xml:space="preserve">ssociation and reselects a PCF based on the received PCF ID. The SMF shall then establish an SM Policy </w:t>
      </w:r>
      <w:r w:rsidR="00A43299" w:rsidRPr="00873B6C">
        <w:t>A</w:t>
      </w:r>
      <w:r w:rsidRPr="00873B6C">
        <w:t>ssociation with the reselected PCF.</w:t>
      </w:r>
    </w:p>
    <w:p w14:paraId="3A275628" w14:textId="77777777" w:rsidR="00D40151" w:rsidRPr="00873B6C" w:rsidRDefault="00D40151" w:rsidP="00D40151">
      <w:r w:rsidRPr="00873B6C">
        <w:t>In the case of delegated discovery and selection in the SCP, the following applies:</w:t>
      </w:r>
    </w:p>
    <w:p w14:paraId="1220FD59" w14:textId="70448FFF" w:rsidR="00D40151" w:rsidRPr="00873B6C" w:rsidRDefault="00D40151" w:rsidP="00D40151">
      <w:pPr>
        <w:pStyle w:val="B1"/>
      </w:pPr>
      <w:r w:rsidRPr="00873B6C">
        <w:t>-</w:t>
      </w:r>
      <w:r w:rsidRPr="00873B6C">
        <w:tab/>
        <w:t>The selected PCF instance may include the</w:t>
      </w:r>
      <w:r w:rsidR="00CD64F1" w:rsidRPr="00873B6C">
        <w:t xml:space="preserve"> PCF Id, PCF Set Id and, if PCF Set Id is not available, the</w:t>
      </w:r>
      <w:r w:rsidRPr="00873B6C">
        <w:t xml:space="preserve"> PCF Group ID</w:t>
      </w:r>
      <w:r w:rsidR="00CD64F1" w:rsidRPr="00873B6C">
        <w:t xml:space="preserve"> (if available)</w:t>
      </w:r>
      <w:r w:rsidRPr="00873B6C">
        <w:t xml:space="preserve"> in the response to the AMF.</w:t>
      </w:r>
    </w:p>
    <w:p w14:paraId="16A3F762" w14:textId="77777777" w:rsidR="00D40151" w:rsidRPr="00873B6C" w:rsidRDefault="00D40151" w:rsidP="00D40151">
      <w:pPr>
        <w:pStyle w:val="NO"/>
      </w:pPr>
      <w:r w:rsidRPr="00873B6C">
        <w:t>NOTE 2:</w:t>
      </w:r>
      <w:r w:rsidRPr="00873B6C">
        <w:tab/>
        <w:t>The selected (V-)PCF instance can include the binding indication, including the (V-)PCF ID and possibly PCF Set ID in the response to the AMF as described in clause 6.3.1.0.</w:t>
      </w:r>
    </w:p>
    <w:p w14:paraId="2B5618FC" w14:textId="19D2BC5B" w:rsidR="00D40151" w:rsidRPr="00873B6C" w:rsidRDefault="00D40151" w:rsidP="00D40151">
      <w:pPr>
        <w:pStyle w:val="B1"/>
      </w:pPr>
      <w:r w:rsidRPr="00873B6C">
        <w:t>-</w:t>
      </w:r>
      <w:r w:rsidRPr="00873B6C">
        <w:tab/>
        <w:t xml:space="preserve">The AMF first establishes an AM </w:t>
      </w:r>
      <w:r w:rsidR="00A43299" w:rsidRPr="00873B6C">
        <w:t>P</w:t>
      </w:r>
      <w:r w:rsidRPr="00873B6C">
        <w:t xml:space="preserve">olicy </w:t>
      </w:r>
      <w:r w:rsidR="00A43299" w:rsidRPr="00873B6C">
        <w:t>A</w:t>
      </w:r>
      <w:r w:rsidRPr="00873B6C">
        <w:t xml:space="preserve">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w:t>
      </w:r>
      <w:r w:rsidR="00A43299" w:rsidRPr="00873B6C">
        <w:t>P</w:t>
      </w:r>
      <w:r w:rsidRPr="00873B6C">
        <w:t xml:space="preserve">olicy </w:t>
      </w:r>
      <w:r w:rsidR="00A43299" w:rsidRPr="00873B6C">
        <w:t>A</w:t>
      </w:r>
      <w:r w:rsidRPr="00873B6C">
        <w:t xml:space="preserve">ssociation towards the SCP. The SCP selects the (V-)PCF instance for UE </w:t>
      </w:r>
      <w:r w:rsidR="00A43299" w:rsidRPr="00873B6C">
        <w:t>P</w:t>
      </w:r>
      <w:r w:rsidRPr="00873B6C">
        <w:t xml:space="preserve">olicy </w:t>
      </w:r>
      <w:r w:rsidR="00A43299" w:rsidRPr="00873B6C">
        <w:t>A</w:t>
      </w:r>
      <w:r w:rsidRPr="00873B6C">
        <w:t>ssociation based on the received discovery and selection parameters.</w:t>
      </w:r>
    </w:p>
    <w:p w14:paraId="21093FBC" w14:textId="1DCC827F" w:rsidR="00D40151" w:rsidRPr="00873B6C" w:rsidRDefault="00D40151" w:rsidP="00D40151">
      <w:pPr>
        <w:pStyle w:val="B1"/>
      </w:pPr>
      <w:r w:rsidRPr="00873B6C">
        <w:t>-</w:t>
      </w:r>
      <w:r w:rsidRPr="00873B6C">
        <w:tab/>
        <w:t>During AMF relocation, the AMF may receive a PCF ID</w:t>
      </w:r>
      <w:r w:rsidR="00CD64F1" w:rsidRPr="00873B6C">
        <w:t>, PCF Set Id</w:t>
      </w:r>
      <w:r w:rsidRPr="00873B6C">
        <w:t xml:space="preserve"> and</w:t>
      </w:r>
      <w:r w:rsidR="00CD64F1" w:rsidRPr="00873B6C">
        <w:t>,</w:t>
      </w:r>
      <w:r w:rsidRPr="00873B6C">
        <w:t xml:space="preserve"> if</w:t>
      </w:r>
      <w:r w:rsidR="00CD64F1" w:rsidRPr="00873B6C">
        <w:t xml:space="preserve"> PCF Set Id is not</w:t>
      </w:r>
      <w:r w:rsidRPr="00873B6C">
        <w:t xml:space="preserve"> available</w:t>
      </w:r>
      <w:r w:rsidR="00CD64F1" w:rsidRPr="00873B6C">
        <w:t>, the</w:t>
      </w:r>
      <w:r w:rsidRPr="00873B6C">
        <w:t xml:space="preserve"> PCF Group ID</w:t>
      </w:r>
      <w:r w:rsidR="00CD64F1" w:rsidRPr="00873B6C">
        <w:t xml:space="preserve"> (if available)</w:t>
      </w:r>
      <w:r w:rsidRPr="00873B6C">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873B6C">
        <w:t xml:space="preserve"> PCF Set Id</w:t>
      </w:r>
      <w:r w:rsidR="00472CD7" w:rsidRPr="00873B6C">
        <w:t xml:space="preserve"> and</w:t>
      </w:r>
      <w:r w:rsidRPr="00873B6C">
        <w:t xml:space="preserve"> if</w:t>
      </w:r>
      <w:r w:rsidR="00CD64F1" w:rsidRPr="00873B6C">
        <w:t xml:space="preserve"> PCF Set Id is not</w:t>
      </w:r>
      <w:r w:rsidRPr="00873B6C">
        <w:t xml:space="preserve"> available</w:t>
      </w:r>
      <w:r w:rsidR="00CD64F1" w:rsidRPr="00873B6C">
        <w:t>,</w:t>
      </w:r>
      <w:r w:rsidRPr="00873B6C">
        <w:t xml:space="preserve"> the PCF Group ID</w:t>
      </w:r>
      <w:r w:rsidR="00CD64F1" w:rsidRPr="00873B6C">
        <w:t xml:space="preserve"> (if available)</w:t>
      </w:r>
      <w:r w:rsidRPr="00873B6C">
        <w:t xml:space="preserve"> as received from the source AMF in the AM </w:t>
      </w:r>
      <w:r w:rsidR="00A43299" w:rsidRPr="00873B6C">
        <w:t>P</w:t>
      </w:r>
      <w:r w:rsidRPr="00873B6C">
        <w:t xml:space="preserve">olicy </w:t>
      </w:r>
      <w:r w:rsidR="00A43299" w:rsidRPr="00873B6C">
        <w:t xml:space="preserve">Association </w:t>
      </w:r>
      <w:r w:rsidRPr="00873B6C">
        <w:t>update request to the SCP.</w:t>
      </w:r>
    </w:p>
    <w:p w14:paraId="7ADECE02" w14:textId="63734314" w:rsidR="00D40151" w:rsidRPr="00873B6C" w:rsidRDefault="00D40151" w:rsidP="00D40151">
      <w:pPr>
        <w:pStyle w:val="B1"/>
      </w:pPr>
      <w:r w:rsidRPr="00873B6C">
        <w:t>-</w:t>
      </w:r>
      <w:r w:rsidRPr="00873B6C">
        <w:tab/>
        <w:t>The AMF may, based on operator policies, forward the selected PCF ID</w:t>
      </w:r>
      <w:r w:rsidR="00CD64F1" w:rsidRPr="00873B6C">
        <w:t>, PCF Set Id</w:t>
      </w:r>
      <w:r w:rsidRPr="00873B6C">
        <w:t xml:space="preserve"> and</w:t>
      </w:r>
      <w:r w:rsidR="00CD64F1" w:rsidRPr="00873B6C">
        <w:t>,</w:t>
      </w:r>
      <w:r w:rsidRPr="00873B6C">
        <w:t xml:space="preserve"> if </w:t>
      </w:r>
      <w:r w:rsidR="00CD64F1" w:rsidRPr="00873B6C">
        <w:t xml:space="preserve">PCF Set Id is not </w:t>
      </w:r>
      <w:r w:rsidRPr="00873B6C">
        <w:t>available</w:t>
      </w:r>
      <w:r w:rsidR="00CD64F1" w:rsidRPr="00873B6C">
        <w:t>,</w:t>
      </w:r>
      <w:r w:rsidRPr="00873B6C">
        <w:t xml:space="preserve"> the PCF Group ID</w:t>
      </w:r>
      <w:r w:rsidR="00CD64F1" w:rsidRPr="00873B6C">
        <w:t xml:space="preserve"> (if available)</w:t>
      </w:r>
      <w:r w:rsidRPr="00873B6C">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377DA097" w:rsidR="00D40151" w:rsidRPr="00873B6C" w:rsidRDefault="00D40151" w:rsidP="00D40151">
      <w:pPr>
        <w:pStyle w:val="B1"/>
      </w:pPr>
      <w:r w:rsidRPr="00873B6C">
        <w:t>-</w:t>
      </w:r>
      <w:r w:rsidRPr="00873B6C">
        <w:tab/>
        <w:t>In the roaming case, the AMF performs discovery and selection of the H-PCF from NRF as described in this clause. The AMF may indicate the maximum number of H-PCF instances to be returned from NRF, i.e. H-PCF selection at NRF. The AMF uses the received V-PCF ID</w:t>
      </w:r>
      <w:r w:rsidR="00BA4B57" w:rsidRPr="00873B6C">
        <w:t xml:space="preserve"> and endpoint address (e.g. URI)</w:t>
      </w:r>
      <w:r w:rsidRPr="00873B6C">
        <w:t xml:space="preserve"> and available binding information received during the AM </w:t>
      </w:r>
      <w:r w:rsidR="00A43299" w:rsidRPr="00873B6C">
        <w:t>P</w:t>
      </w:r>
      <w:r w:rsidRPr="00873B6C">
        <w:t xml:space="preserve">olicy </w:t>
      </w:r>
      <w:r w:rsidR="00A43299" w:rsidRPr="00873B6C">
        <w:t>A</w:t>
      </w:r>
      <w:r w:rsidRPr="00873B6C">
        <w:t xml:space="preserve">ssociation procedure to send the UE </w:t>
      </w:r>
      <w:r w:rsidR="00A43299" w:rsidRPr="00873B6C">
        <w:t>P</w:t>
      </w:r>
      <w:r w:rsidRPr="00873B6C">
        <w:t xml:space="preserve">olicy </w:t>
      </w:r>
      <w:r w:rsidR="00A43299" w:rsidRPr="00873B6C">
        <w:t>A</w:t>
      </w:r>
      <w:r w:rsidRPr="00873B6C">
        <w:t>ssociation establishment request, which</w:t>
      </w:r>
      <w:r w:rsidR="00DD4756" w:rsidRPr="00873B6C">
        <w:t xml:space="preserve"> may</w:t>
      </w:r>
      <w:r w:rsidRPr="00873B6C">
        <w:t xml:space="preserve"> also include the H-PCF ID</w:t>
      </w:r>
      <w:r w:rsidR="00DD4756" w:rsidRPr="00873B6C">
        <w:t xml:space="preserve"> and/or endpoint address (e.g. URI)</w:t>
      </w:r>
      <w:r w:rsidRPr="00873B6C">
        <w:t xml:space="preserve">, to the SCP. The SCP discovers and selects the V-PCF. The V-PCF sends an UE </w:t>
      </w:r>
      <w:r w:rsidR="00A43299" w:rsidRPr="00873B6C">
        <w:t>P</w:t>
      </w:r>
      <w:r w:rsidRPr="00873B6C">
        <w:t xml:space="preserve">olicy </w:t>
      </w:r>
      <w:r w:rsidR="00A43299" w:rsidRPr="00873B6C">
        <w:t>A</w:t>
      </w:r>
      <w:r w:rsidRPr="00873B6C">
        <w:t xml:space="preserve">ssociation establishment request </w:t>
      </w:r>
      <w:r w:rsidRPr="00873B6C">
        <w:lastRenderedPageBreak/>
        <w:t>towards the HPLMN, which</w:t>
      </w:r>
      <w:r w:rsidR="00DD4756" w:rsidRPr="00873B6C">
        <w:t xml:space="preserve"> may</w:t>
      </w:r>
      <w:r w:rsidRPr="00873B6C">
        <w:t xml:space="preserve"> include the H-PCF ID</w:t>
      </w:r>
      <w:r w:rsidR="00DD4756" w:rsidRPr="00873B6C">
        <w:t xml:space="preserve"> and/or endpoint address (e.g. URI)</w:t>
      </w:r>
      <w:r w:rsidRPr="00873B6C">
        <w:t xml:space="preserve"> as a discovery and selection parameter to SCP.</w:t>
      </w:r>
    </w:p>
    <w:p w14:paraId="1183B3F0" w14:textId="77777777" w:rsidR="00D40151" w:rsidRPr="00873B6C" w:rsidRDefault="00D40151" w:rsidP="00D40151">
      <w:pPr>
        <w:pStyle w:val="Heading4"/>
        <w:rPr>
          <w:rFonts w:eastAsia="Malgun Gothic"/>
          <w:lang w:eastAsia="ko-KR"/>
        </w:rPr>
      </w:pPr>
      <w:bookmarkStart w:id="5711" w:name="_CR6_3_7_2"/>
      <w:bookmarkStart w:id="5712" w:name="_Toc20150229"/>
      <w:bookmarkStart w:id="5713" w:name="_Toc27847037"/>
      <w:bookmarkStart w:id="5714" w:name="_Toc36188169"/>
      <w:bookmarkStart w:id="5715" w:name="_Toc45184080"/>
      <w:bookmarkStart w:id="5716" w:name="_Toc47342922"/>
      <w:bookmarkStart w:id="5717" w:name="_Toc51769624"/>
      <w:bookmarkStart w:id="5718" w:name="_Toc201157791"/>
      <w:bookmarkEnd w:id="5711"/>
      <w:r w:rsidRPr="00873B6C">
        <w:rPr>
          <w:lang w:eastAsia="zh-CN"/>
        </w:rPr>
        <w:t>6.3.7</w:t>
      </w:r>
      <w:r w:rsidRPr="00873B6C">
        <w:rPr>
          <w:rFonts w:eastAsia="Malgun Gothic"/>
          <w:lang w:eastAsia="ko-KR"/>
        </w:rPr>
        <w:t>.2</w:t>
      </w:r>
      <w:r w:rsidRPr="00873B6C">
        <w:rPr>
          <w:lang w:eastAsia="zh-CN"/>
        </w:rPr>
        <w:tab/>
      </w:r>
      <w:r w:rsidRPr="00873B6C">
        <w:rPr>
          <w:rFonts w:eastAsia="Malgun Gothic"/>
          <w:lang w:eastAsia="ko-KR"/>
        </w:rPr>
        <w:t>Providing policy requirements that apply to multiple UE and hence to multiple PCF</w:t>
      </w:r>
      <w:bookmarkEnd w:id="5712"/>
      <w:bookmarkEnd w:id="5713"/>
      <w:bookmarkEnd w:id="5714"/>
      <w:bookmarkEnd w:id="5715"/>
      <w:bookmarkEnd w:id="5716"/>
      <w:bookmarkEnd w:id="5717"/>
      <w:bookmarkEnd w:id="5718"/>
    </w:p>
    <w:p w14:paraId="049AB7E3" w14:textId="0C1BACA6" w:rsidR="00D40151" w:rsidRPr="00873B6C" w:rsidRDefault="00D40151" w:rsidP="00D40151">
      <w:pPr>
        <w:rPr>
          <w:rFonts w:eastAsia="Malgun Gothic"/>
          <w:lang w:eastAsia="ko-KR"/>
        </w:rPr>
      </w:pPr>
      <w:r w:rsidRPr="00873B6C">
        <w:t xml:space="preserve">An authorized Application Function may, via the NEF, </w:t>
      </w:r>
      <w:r w:rsidRPr="00873B6C">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w:t>
      </w:r>
      <w:r w:rsidR="00472CD7" w:rsidRPr="00873B6C">
        <w:rPr>
          <w:rFonts w:eastAsia="Malgun Gothic"/>
          <w:lang w:eastAsia="ko-KR"/>
        </w:rPr>
        <w:t xml:space="preserve"> and</w:t>
      </w:r>
      <w:r w:rsidRPr="00873B6C">
        <w:rPr>
          <w:rFonts w:eastAsia="Malgun Gothic"/>
          <w:lang w:eastAsia="ko-KR"/>
        </w:rPr>
        <w:t xml:space="preserve"> they may apply to multiple PCF instance(s).</w:t>
      </w:r>
    </w:p>
    <w:p w14:paraId="3E8D2DB2" w14:textId="77777777" w:rsidR="00D40151" w:rsidRPr="00873B6C" w:rsidRDefault="00D40151" w:rsidP="00D40151">
      <w:pPr>
        <w:pStyle w:val="NO"/>
      </w:pPr>
      <w:r w:rsidRPr="00873B6C">
        <w:t>NOTE:</w:t>
      </w:r>
      <w:r w:rsidRPr="00873B6C">
        <w:tab/>
        <w:t>Application Function influence on traffic routing described in clause 5.6.7 is an example of such requirement.</w:t>
      </w:r>
    </w:p>
    <w:p w14:paraId="491EE246" w14:textId="77777777" w:rsidR="00D40151" w:rsidRPr="00873B6C" w:rsidRDefault="00D40151" w:rsidP="00D40151">
      <w:r w:rsidRPr="00873B6C">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50255425" w:rsidR="00D40151" w:rsidRPr="00873B6C" w:rsidRDefault="00D40151" w:rsidP="00D40151">
      <w:r w:rsidRPr="00873B6C">
        <w:t>PCF(s) that need to receive AF requests that targets a DNN (and slice)</w:t>
      </w:r>
      <w:r w:rsidR="00472CD7" w:rsidRPr="00873B6C">
        <w:t xml:space="preserve"> and</w:t>
      </w:r>
      <w:r w:rsidRPr="00873B6C">
        <w:t>/or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562B08E7" w:rsidR="00D40151" w:rsidRPr="00873B6C" w:rsidRDefault="00D40151" w:rsidP="00D40151">
      <w:r w:rsidRPr="00873B6C">
        <w:t>The PCF subscription to notifications of AF requests described above may take place during PDU Session Establishment or PDU Session Modification, when the PCF(s) receive request(s) from the SMF for policy information related to the DNN (and slice)</w:t>
      </w:r>
      <w:r w:rsidR="00472CD7" w:rsidRPr="00873B6C">
        <w:t xml:space="preserve"> and</w:t>
      </w:r>
      <w:r w:rsidRPr="00873B6C">
        <w:t>/or the Internal-Group Identifier of UEs. For the PCF(s) that have subscribed to such notifications, the UDR(s) notify the PCF(s) of any AF request update.</w:t>
      </w:r>
    </w:p>
    <w:p w14:paraId="1FBEF8A0" w14:textId="77777777" w:rsidR="00D40151" w:rsidRPr="00873B6C" w:rsidRDefault="00D40151" w:rsidP="00D40151">
      <w:r w:rsidRPr="00873B6C">
        <w:t>The NEF associates the AF request with information allowing to later modify or delete the AF request in the UDR; it associates the AF request with:</w:t>
      </w:r>
    </w:p>
    <w:p w14:paraId="7C54CEAA" w14:textId="77777777" w:rsidR="00D40151" w:rsidRPr="00873B6C" w:rsidRDefault="00D40151" w:rsidP="00D40151">
      <w:pPr>
        <w:pStyle w:val="B1"/>
      </w:pPr>
      <w:r w:rsidRPr="00873B6C">
        <w:t>-</w:t>
      </w:r>
      <w:r w:rsidRPr="00873B6C">
        <w:tab/>
        <w:t>When the AF request targets PDU Sessions established by "any UE": the DNN, the slicing information target of the AF request,</w:t>
      </w:r>
    </w:p>
    <w:p w14:paraId="5C8946F8" w14:textId="77777777" w:rsidR="00D40151" w:rsidRPr="00873B6C" w:rsidRDefault="00D40151" w:rsidP="00D40151">
      <w:pPr>
        <w:pStyle w:val="B1"/>
      </w:pPr>
      <w:r w:rsidRPr="00873B6C">
        <w:t>-</w:t>
      </w:r>
      <w:r w:rsidRPr="00873B6C">
        <w:tab/>
        <w:t>When the request targets PDU Sessions established by UE(s) belonging to an Internal-Group: the DNN, the slicing information and the Internal-Group Identifier target of the application request.</w:t>
      </w:r>
    </w:p>
    <w:p w14:paraId="197471A3" w14:textId="77777777" w:rsidR="00D40151" w:rsidRPr="00873B6C" w:rsidRDefault="00D40151" w:rsidP="00D40151">
      <w:pPr>
        <w:pStyle w:val="B1"/>
      </w:pPr>
      <w:r w:rsidRPr="00873B6C">
        <w:t>-</w:t>
      </w:r>
      <w:r w:rsidRPr="00873B6C">
        <w:tab/>
        <w:t>The AF transaction identifier in the AF request.</w:t>
      </w:r>
    </w:p>
    <w:p w14:paraId="23383004" w14:textId="77777777" w:rsidR="00D40151" w:rsidRPr="00873B6C" w:rsidRDefault="00D40151" w:rsidP="00D40151">
      <w:pPr>
        <w:pStyle w:val="Heading4"/>
        <w:rPr>
          <w:rFonts w:eastAsia="Malgun Gothic"/>
          <w:lang w:eastAsia="ko-KR"/>
        </w:rPr>
      </w:pPr>
      <w:bookmarkStart w:id="5719" w:name="_CR6_3_7_3"/>
      <w:bookmarkStart w:id="5720" w:name="_Toc20150230"/>
      <w:bookmarkStart w:id="5721" w:name="_Toc27847038"/>
      <w:bookmarkStart w:id="5722" w:name="_Toc36188170"/>
      <w:bookmarkStart w:id="5723" w:name="_Toc45184081"/>
      <w:bookmarkStart w:id="5724" w:name="_Toc47342923"/>
      <w:bookmarkStart w:id="5725" w:name="_Toc51769625"/>
      <w:bookmarkStart w:id="5726" w:name="_Toc201157792"/>
      <w:bookmarkEnd w:id="5719"/>
      <w:r w:rsidRPr="00873B6C">
        <w:rPr>
          <w:lang w:eastAsia="zh-CN"/>
        </w:rPr>
        <w:t>6.3.7</w:t>
      </w:r>
      <w:r w:rsidRPr="00873B6C">
        <w:rPr>
          <w:rFonts w:eastAsia="Malgun Gothic"/>
          <w:lang w:eastAsia="ko-KR"/>
        </w:rPr>
        <w:t>.3</w:t>
      </w:r>
      <w:r w:rsidRPr="00873B6C">
        <w:rPr>
          <w:lang w:eastAsia="zh-CN"/>
        </w:rPr>
        <w:tab/>
      </w:r>
      <w:r w:rsidRPr="00873B6C">
        <w:rPr>
          <w:rFonts w:eastAsia="Malgun Gothic"/>
          <w:lang w:eastAsia="ko-KR"/>
        </w:rPr>
        <w:t>Binding an AF request targeting a UE address to the relevant PCF</w:t>
      </w:r>
      <w:bookmarkEnd w:id="5720"/>
      <w:bookmarkEnd w:id="5721"/>
      <w:bookmarkEnd w:id="5722"/>
      <w:bookmarkEnd w:id="5723"/>
      <w:bookmarkEnd w:id="5724"/>
      <w:bookmarkEnd w:id="5725"/>
      <w:bookmarkEnd w:id="5726"/>
    </w:p>
    <w:p w14:paraId="3D96CCF7" w14:textId="4F123930" w:rsidR="00D40151" w:rsidRPr="00873B6C" w:rsidRDefault="00D40151" w:rsidP="00D40151">
      <w:r w:rsidRPr="00873B6C">
        <w:t>Binding an AF request</w:t>
      </w:r>
      <w:r w:rsidR="00A43299" w:rsidRPr="00873B6C">
        <w:t xml:space="preserve"> targeting a UE address</w:t>
      </w:r>
      <w:r w:rsidRPr="00873B6C">
        <w:t xml:space="preserve"> to the relevant PCF instance is described in</w:t>
      </w:r>
      <w:r w:rsidR="00A43299" w:rsidRPr="00873B6C">
        <w:t xml:space="preserve"> clause 6.1.1.2 of</w:t>
      </w:r>
      <w:r w:rsidRPr="00873B6C">
        <w:t xml:space="preserve"> </w:t>
      </w:r>
      <w:r w:rsidR="00972E70" w:rsidRPr="00873B6C">
        <w:t>TS 23.503 [</w:t>
      </w:r>
      <w:r w:rsidRPr="00873B6C">
        <w:t>45].</w:t>
      </w:r>
    </w:p>
    <w:p w14:paraId="640C4817" w14:textId="29E4E6D4" w:rsidR="001E021F" w:rsidRPr="00873B6C" w:rsidRDefault="001E021F" w:rsidP="001E021F">
      <w:pPr>
        <w:pStyle w:val="Heading4"/>
        <w:rPr>
          <w:rFonts w:eastAsia="Malgun Gothic"/>
          <w:lang w:eastAsia="ko-KR"/>
        </w:rPr>
      </w:pPr>
      <w:bookmarkStart w:id="5727" w:name="_CR6_3_7_4"/>
      <w:bookmarkStart w:id="5728" w:name="_Toc20150231"/>
      <w:bookmarkStart w:id="5729" w:name="_Toc27847039"/>
      <w:bookmarkStart w:id="5730" w:name="_Toc36188171"/>
      <w:bookmarkStart w:id="5731" w:name="_Toc45184082"/>
      <w:bookmarkStart w:id="5732" w:name="_Toc47342924"/>
      <w:bookmarkStart w:id="5733" w:name="_Toc51769626"/>
      <w:bookmarkStart w:id="5734" w:name="_Toc201157793"/>
      <w:bookmarkEnd w:id="5727"/>
      <w:r w:rsidRPr="00873B6C">
        <w:rPr>
          <w:lang w:eastAsia="zh-CN"/>
        </w:rPr>
        <w:t>6.3.7</w:t>
      </w:r>
      <w:r w:rsidRPr="00873B6C">
        <w:rPr>
          <w:rFonts w:eastAsia="Malgun Gothic"/>
          <w:lang w:eastAsia="ko-KR"/>
        </w:rPr>
        <w:t>.4</w:t>
      </w:r>
      <w:r w:rsidRPr="00873B6C">
        <w:rPr>
          <w:lang w:eastAsia="zh-CN"/>
        </w:rPr>
        <w:tab/>
        <w:t>Binding an AF request targeting a UE to the relevant PCF</w:t>
      </w:r>
      <w:bookmarkEnd w:id="5734"/>
    </w:p>
    <w:p w14:paraId="46369829" w14:textId="69868F74" w:rsidR="001E021F" w:rsidRPr="00873B6C" w:rsidRDefault="001E021F" w:rsidP="001E021F">
      <w:r w:rsidRPr="00873B6C">
        <w:t>Binding an AF request</w:t>
      </w:r>
      <w:r w:rsidR="00A43299" w:rsidRPr="00873B6C">
        <w:t xml:space="preserve"> targeting a UE</w:t>
      </w:r>
      <w:r w:rsidRPr="00873B6C">
        <w:t xml:space="preserve"> to the relevant PCF is described in</w:t>
      </w:r>
      <w:r w:rsidR="00A43299" w:rsidRPr="00873B6C">
        <w:t xml:space="preserve"> clause 6.1.1.2a of</w:t>
      </w:r>
      <w:r w:rsidRPr="00873B6C">
        <w:t xml:space="preserve"> </w:t>
      </w:r>
      <w:r w:rsidR="00972E70" w:rsidRPr="00873B6C">
        <w:t>TS 23.503 [</w:t>
      </w:r>
      <w:r w:rsidRPr="00873B6C">
        <w:t>45].</w:t>
      </w:r>
    </w:p>
    <w:p w14:paraId="5D41EC75" w14:textId="77777777" w:rsidR="00D40151" w:rsidRPr="00873B6C" w:rsidRDefault="00D40151" w:rsidP="00D40151">
      <w:pPr>
        <w:pStyle w:val="Heading3"/>
        <w:rPr>
          <w:rFonts w:eastAsia="Malgun Gothic"/>
          <w:lang w:eastAsia="ko-KR"/>
        </w:rPr>
      </w:pPr>
      <w:bookmarkStart w:id="5735" w:name="_CR6_3_8"/>
      <w:bookmarkStart w:id="5736" w:name="_Toc201157794"/>
      <w:bookmarkEnd w:id="5735"/>
      <w:r w:rsidRPr="00873B6C">
        <w:rPr>
          <w:lang w:eastAsia="zh-CN"/>
        </w:rPr>
        <w:t>6.3.8</w:t>
      </w:r>
      <w:r w:rsidRPr="00873B6C">
        <w:rPr>
          <w:lang w:eastAsia="zh-CN"/>
        </w:rPr>
        <w:tab/>
        <w:t>UDM</w:t>
      </w:r>
      <w:r w:rsidRPr="00873B6C">
        <w:rPr>
          <w:rFonts w:eastAsia="Malgun Gothic"/>
          <w:lang w:eastAsia="ko-KR"/>
        </w:rPr>
        <w:t xml:space="preserve"> </w:t>
      </w:r>
      <w:r w:rsidRPr="00873B6C">
        <w:rPr>
          <w:lang w:eastAsia="zh-CN"/>
        </w:rPr>
        <w:t>discovery and selection</w:t>
      </w:r>
      <w:bookmarkEnd w:id="5728"/>
      <w:bookmarkEnd w:id="5729"/>
      <w:bookmarkEnd w:id="5730"/>
      <w:bookmarkEnd w:id="5731"/>
      <w:bookmarkEnd w:id="5732"/>
      <w:bookmarkEnd w:id="5733"/>
      <w:bookmarkEnd w:id="5736"/>
    </w:p>
    <w:p w14:paraId="45191E58" w14:textId="77777777" w:rsidR="00D40151" w:rsidRPr="00873B6C" w:rsidRDefault="00D40151" w:rsidP="00D40151">
      <w:r w:rsidRPr="00873B6C">
        <w:t xml:space="preserve">The </w:t>
      </w:r>
      <w:r w:rsidRPr="00873B6C">
        <w:rPr>
          <w:lang w:eastAsia="zh-CN"/>
        </w:rPr>
        <w:t>NF consumer or the SCP</w:t>
      </w:r>
      <w:r w:rsidRPr="00873B6C">
        <w:rPr>
          <w:rFonts w:eastAsia="Malgun Gothic"/>
          <w:lang w:eastAsia="ko-KR"/>
        </w:rPr>
        <w:t xml:space="preserve"> performs </w:t>
      </w:r>
      <w:r w:rsidRPr="00873B6C">
        <w:rPr>
          <w:lang w:eastAsia="zh-CN"/>
        </w:rPr>
        <w:t>UDM</w:t>
      </w:r>
      <w:r w:rsidRPr="00873B6C">
        <w:t xml:space="preserve"> </w:t>
      </w:r>
      <w:r w:rsidRPr="00873B6C">
        <w:rPr>
          <w:lang w:eastAsia="zh-CN"/>
        </w:rPr>
        <w:t>discovery</w:t>
      </w:r>
      <w:r w:rsidRPr="00873B6C">
        <w:t xml:space="preserve"> to discover a </w:t>
      </w:r>
      <w:r w:rsidRPr="00873B6C">
        <w:rPr>
          <w:lang w:eastAsia="zh-CN"/>
        </w:rPr>
        <w:t>UDM instance</w:t>
      </w:r>
      <w:r w:rsidRPr="00873B6C">
        <w:rPr>
          <w:rFonts w:eastAsia="Malgun Gothic"/>
          <w:lang w:eastAsia="ko-KR"/>
        </w:rPr>
        <w:t xml:space="preserve"> </w:t>
      </w:r>
      <w:r w:rsidRPr="00873B6C">
        <w:t>that</w:t>
      </w:r>
      <w:r w:rsidRPr="00873B6C">
        <w:rPr>
          <w:rFonts w:eastAsia="Malgun Gothic"/>
          <w:lang w:eastAsia="ko-KR"/>
        </w:rPr>
        <w:t xml:space="preserve"> </w:t>
      </w:r>
      <w:r w:rsidRPr="00873B6C">
        <w:rPr>
          <w:lang w:eastAsia="zh-CN"/>
        </w:rPr>
        <w:t>manages the user subscriptions</w:t>
      </w:r>
      <w:r w:rsidRPr="00873B6C">
        <w:t>.</w:t>
      </w:r>
    </w:p>
    <w:p w14:paraId="6FADE7A3" w14:textId="77777777" w:rsidR="00D40151" w:rsidRPr="00873B6C" w:rsidRDefault="00D40151" w:rsidP="00D40151">
      <w:pPr>
        <w:rPr>
          <w:lang w:eastAsia="zh-CN"/>
        </w:rPr>
      </w:pPr>
      <w:r w:rsidRPr="00873B6C">
        <w:t xml:space="preserve">If the NF consumer performs discovery and selection, the NF consumers shall utilize the </w:t>
      </w:r>
      <w:r w:rsidRPr="00873B6C">
        <w:rPr>
          <w:rFonts w:eastAsia="Malgun Gothic"/>
          <w:lang w:eastAsia="ko-KR"/>
        </w:rPr>
        <w:t>NRF</w:t>
      </w:r>
      <w:r w:rsidRPr="00873B6C">
        <w:t xml:space="preserve"> to discover the </w:t>
      </w:r>
      <w:r w:rsidRPr="00873B6C">
        <w:rPr>
          <w:lang w:eastAsia="zh-CN"/>
        </w:rPr>
        <w:t>UDM</w:t>
      </w:r>
      <w:r w:rsidRPr="00873B6C">
        <w:t xml:space="preserve"> instance(s) unless </w:t>
      </w:r>
      <w:r w:rsidRPr="00873B6C">
        <w:rPr>
          <w:lang w:eastAsia="zh-CN"/>
        </w:rPr>
        <w:t>UDM</w:t>
      </w:r>
      <w:r w:rsidRPr="00873B6C">
        <w:t xml:space="preserve"> information is available by other means, e.g. locally configured on NF consumers. The UDM selection function in NF consumers selects</w:t>
      </w:r>
      <w:r w:rsidRPr="00873B6C">
        <w:rPr>
          <w:rFonts w:eastAsia="Malgun Gothic"/>
          <w:lang w:eastAsia="ko-KR"/>
        </w:rPr>
        <w:t xml:space="preserve"> a </w:t>
      </w:r>
      <w:r w:rsidRPr="00873B6C">
        <w:rPr>
          <w:lang w:eastAsia="zh-CN"/>
        </w:rPr>
        <w:t>UDM</w:t>
      </w:r>
      <w:r w:rsidRPr="00873B6C">
        <w:rPr>
          <w:rFonts w:eastAsia="Malgun Gothic"/>
          <w:lang w:eastAsia="ko-KR"/>
        </w:rPr>
        <w:t xml:space="preserve"> instance based on the available UDM instances (obtained from the NRF or locally configured)</w:t>
      </w:r>
      <w:r w:rsidRPr="00873B6C">
        <w:rPr>
          <w:lang w:eastAsia="zh-CN"/>
        </w:rPr>
        <w:t>.</w:t>
      </w:r>
    </w:p>
    <w:p w14:paraId="7D9C57F7" w14:textId="77777777" w:rsidR="00D40151" w:rsidRPr="00873B6C" w:rsidRDefault="00D40151" w:rsidP="00D40151">
      <w:r w:rsidRPr="00873B6C">
        <w:lastRenderedPageBreak/>
        <w:t xml:space="preserve">The </w:t>
      </w:r>
      <w:r w:rsidRPr="00873B6C">
        <w:rPr>
          <w:lang w:eastAsia="zh-CN"/>
        </w:rPr>
        <w:t>UDM</w:t>
      </w:r>
      <w:r w:rsidRPr="00873B6C">
        <w:t xml:space="preserve"> selection functionality</w:t>
      </w:r>
      <w:r w:rsidRPr="00873B6C">
        <w:rPr>
          <w:lang w:eastAsia="zh-CN"/>
        </w:rPr>
        <w:t xml:space="preserve"> </w:t>
      </w:r>
      <w:r w:rsidRPr="00873B6C">
        <w:t>is applicable to both 3GPP access and non-3GPP access.</w:t>
      </w:r>
    </w:p>
    <w:p w14:paraId="71E79364" w14:textId="77777777" w:rsidR="00D40151" w:rsidRPr="00873B6C" w:rsidRDefault="00D40151" w:rsidP="00D40151">
      <w:r w:rsidRPr="00873B6C">
        <w:t xml:space="preserve">The </w:t>
      </w:r>
      <w:r w:rsidRPr="00873B6C">
        <w:rPr>
          <w:lang w:eastAsia="zh-CN"/>
        </w:rPr>
        <w:t>UDM</w:t>
      </w:r>
      <w:r w:rsidRPr="00873B6C">
        <w:t xml:space="preserve"> </w:t>
      </w:r>
      <w:r w:rsidRPr="00873B6C">
        <w:rPr>
          <w:lang w:eastAsia="zh-CN"/>
        </w:rPr>
        <w:t>selection functionality in NF consumer or in SCP</w:t>
      </w:r>
      <w:r w:rsidRPr="00873B6C">
        <w:t xml:space="preserve"> should consider one of the following factors:</w:t>
      </w:r>
    </w:p>
    <w:p w14:paraId="5C0E5C7C" w14:textId="31D428C8" w:rsidR="00D40151" w:rsidRPr="00873B6C" w:rsidRDefault="00D40151" w:rsidP="00D40151">
      <w:pPr>
        <w:pStyle w:val="B1"/>
        <w:rPr>
          <w:lang w:eastAsia="ko-KR"/>
        </w:rPr>
      </w:pPr>
      <w:r w:rsidRPr="00873B6C">
        <w:rPr>
          <w:lang w:eastAsia="ko-KR"/>
        </w:rPr>
        <w:t>1.</w:t>
      </w:r>
      <w:r w:rsidRPr="00873B6C">
        <w:tab/>
      </w:r>
      <w:r w:rsidRPr="00873B6C">
        <w:rPr>
          <w:lang w:eastAsia="ko-KR"/>
        </w:rPr>
        <w:t>Home Network Identifier (e.g. MNC and MCC</w:t>
      </w:r>
      <w:r w:rsidR="000E35F2" w:rsidRPr="00873B6C">
        <w:rPr>
          <w:lang w:eastAsia="ko-KR"/>
        </w:rPr>
        <w:t>, realm</w:t>
      </w:r>
      <w:r w:rsidRPr="00873B6C">
        <w:rPr>
          <w:lang w:eastAsia="ko-KR"/>
        </w:rPr>
        <w:t>) of SUCI/SUPI, along with</w:t>
      </w:r>
      <w:r w:rsidR="000E35F2" w:rsidRPr="00873B6C">
        <w:rPr>
          <w:lang w:eastAsia="ko-KR"/>
        </w:rPr>
        <w:t xml:space="preserve"> the selected</w:t>
      </w:r>
      <w:r w:rsidRPr="00873B6C">
        <w:rPr>
          <w:lang w:eastAsia="ko-KR"/>
        </w:rPr>
        <w:t xml:space="preserve"> NID (provided by the NG-RAN) in the case of SNPN, UE's Routing Indicator</w:t>
      </w:r>
      <w:r w:rsidR="00616F73" w:rsidRPr="00873B6C">
        <w:rPr>
          <w:lang w:eastAsia="ko-KR"/>
        </w:rPr>
        <w:t xml:space="preserve"> and optionally Home Network Public Key identifier (e.g. in the case that Routing Indicator is not enough to provide SUPI range granularity)</w:t>
      </w:r>
      <w:r w:rsidRPr="00873B6C">
        <w:rPr>
          <w:lang w:eastAsia="ko-KR"/>
        </w:rPr>
        <w:t>.</w:t>
      </w:r>
    </w:p>
    <w:p w14:paraId="2DFEF650" w14:textId="6C8BE269" w:rsidR="00D40151" w:rsidRPr="00873B6C" w:rsidRDefault="00D40151" w:rsidP="00D40151">
      <w:pPr>
        <w:pStyle w:val="NO"/>
      </w:pPr>
      <w:r w:rsidRPr="00873B6C">
        <w:t>NOTE 1:</w:t>
      </w:r>
      <w:r w:rsidRPr="00873B6C">
        <w:tab/>
        <w:t>The UE provides the</w:t>
      </w:r>
      <w:r w:rsidR="00616F73" w:rsidRPr="00873B6C">
        <w:t xml:space="preserve"> SUCI</w:t>
      </w:r>
      <w:r w:rsidRPr="00873B6C">
        <w:t xml:space="preserve"> to the AMF</w:t>
      </w:r>
      <w:r w:rsidR="00616F73" w:rsidRPr="00873B6C">
        <w:t>, which contains the Routing Indicator and Home Network Public Key identifier</w:t>
      </w:r>
      <w:r w:rsidRPr="00873B6C">
        <w:t xml:space="preserve"> as defined in </w:t>
      </w:r>
      <w:r w:rsidR="00972E70" w:rsidRPr="00873B6C">
        <w:t>TS 23.003 [</w:t>
      </w:r>
      <w:r w:rsidRPr="00873B6C">
        <w:t>19] during initial registration. The AMF provides the UE's Routing Indicator</w:t>
      </w:r>
      <w:r w:rsidR="00616F73" w:rsidRPr="00873B6C">
        <w:t xml:space="preserve"> and optionally Home Network Public Key identifier</w:t>
      </w:r>
      <w:r w:rsidRPr="00873B6C">
        <w:t xml:space="preserve"> to other NF consumers (of UDM) as described in </w:t>
      </w:r>
      <w:r w:rsidR="00972E70" w:rsidRPr="00873B6C">
        <w:t>TS 23.502 [</w:t>
      </w:r>
      <w:r w:rsidRPr="00873B6C">
        <w:t>3].</w:t>
      </w:r>
    </w:p>
    <w:p w14:paraId="7C6CC3AE" w14:textId="4003350C" w:rsidR="00616F73" w:rsidRPr="00873B6C" w:rsidRDefault="00616F73" w:rsidP="00D40151">
      <w:pPr>
        <w:pStyle w:val="NO"/>
      </w:pPr>
      <w:r w:rsidRPr="00873B6C">
        <w:t>NOTE 2:</w:t>
      </w:r>
      <w:r w:rsidRPr="00873B6C">
        <w:tab/>
        <w:t>The usage of Home Network Public Key identifier for UDM discovery is limited to the scenario where the NF consumers belong to the same PLMN as AUSF.</w:t>
      </w:r>
    </w:p>
    <w:p w14:paraId="293C18CE" w14:textId="7EFD29EA" w:rsidR="00D40151" w:rsidRPr="00873B6C" w:rsidRDefault="00D40151" w:rsidP="00D40151">
      <w:pPr>
        <w:pStyle w:val="NO"/>
      </w:pPr>
      <w:r w:rsidRPr="00873B6C">
        <w:t>NOTE </w:t>
      </w:r>
      <w:r w:rsidR="00616F73" w:rsidRPr="00873B6C">
        <w:t>3</w:t>
      </w:r>
      <w:r w:rsidRPr="00873B6C">
        <w:t>:</w:t>
      </w:r>
      <w:r w:rsidRPr="00873B6C">
        <w:tab/>
        <w:t>In the case of SNPN</w:t>
      </w:r>
      <w:r w:rsidR="000E35F2" w:rsidRPr="00873B6C">
        <w:t xml:space="preserve"> and the UE provides</w:t>
      </w:r>
      <w:r w:rsidR="00E83620" w:rsidRPr="00873B6C">
        <w:t xml:space="preserve"> an</w:t>
      </w:r>
      <w:r w:rsidR="000E35F2" w:rsidRPr="00873B6C">
        <w:t xml:space="preserve"> IMSI</w:t>
      </w:r>
      <w:r w:rsidR="00E83620" w:rsidRPr="00873B6C">
        <w:t xml:space="preserve"> type</w:t>
      </w:r>
      <w:r w:rsidR="000E35F2" w:rsidRPr="00873B6C">
        <w:t xml:space="preserve"> SUCI to the AMF and</w:t>
      </w:r>
      <w:r w:rsidR="00B96062" w:rsidRPr="00873B6C">
        <w:t xml:space="preserve"> the SUCI provided by UE or the SUPI derived from the SUCI</w:t>
      </w:r>
      <w:r w:rsidR="000E35F2" w:rsidRPr="00873B6C">
        <w:t xml:space="preserve"> is for an SNPN served by the AMF</w:t>
      </w:r>
      <w:r w:rsidRPr="00873B6C">
        <w:t>, the AMF uses the selected NID provided by the NG-RAN together with the selected PLMN ID (from</w:t>
      </w:r>
      <w:r w:rsidR="00E83620" w:rsidRPr="00873B6C">
        <w:t xml:space="preserve"> IMSI) or the Routing Indicator provided by the UE within the SUCI for UDM selection</w:t>
      </w:r>
      <w:r w:rsidRPr="00873B6C">
        <w:t>.</w:t>
      </w:r>
      <w:r w:rsidR="000E35F2" w:rsidRPr="00873B6C">
        <w:t xml:space="preserve"> In the case of SNPN and the UE provides</w:t>
      </w:r>
      <w:r w:rsidR="00E83620" w:rsidRPr="00873B6C">
        <w:t xml:space="preserve"> an</w:t>
      </w:r>
      <w:r w:rsidR="000E35F2" w:rsidRPr="00873B6C">
        <w:t xml:space="preserve"> NSI</w:t>
      </w:r>
      <w:r w:rsidR="00E83620" w:rsidRPr="00873B6C">
        <w:t xml:space="preserve"> type</w:t>
      </w:r>
      <w:r w:rsidR="000E35F2" w:rsidRPr="00873B6C">
        <w:t xml:space="preserve"> SUCI to the AMF, the AMF uses the Home Network Identifier</w:t>
      </w:r>
      <w:r w:rsidR="00DA3BBC" w:rsidRPr="00873B6C">
        <w:t xml:space="preserve"> and Routing Indicator of SUCI/SUPI</w:t>
      </w:r>
      <w:r w:rsidR="000E35F2" w:rsidRPr="00873B6C">
        <w:t xml:space="preserve"> for selection of UDM.</w:t>
      </w:r>
    </w:p>
    <w:p w14:paraId="01906417" w14:textId="3684C3E3" w:rsidR="00D40151" w:rsidRPr="00873B6C" w:rsidRDefault="00D40151" w:rsidP="00D40151">
      <w:pPr>
        <w:pStyle w:val="B1"/>
      </w:pPr>
      <w:r w:rsidRPr="00873B6C">
        <w:tab/>
        <w:t xml:space="preserve">When the UE's Routing Indicator is set to its default value as defined in </w:t>
      </w:r>
      <w:r w:rsidR="00972E70" w:rsidRPr="00873B6C">
        <w:t>TS 23.003 [</w:t>
      </w:r>
      <w:r w:rsidRPr="00873B6C">
        <w:t>19], the UDM NF consumer can select any UDM instance within the home network of the SUCI/SUPI.</w:t>
      </w:r>
    </w:p>
    <w:p w14:paraId="1B5C8440" w14:textId="77777777" w:rsidR="00D40151" w:rsidRPr="00873B6C" w:rsidRDefault="00D40151" w:rsidP="00D40151">
      <w:pPr>
        <w:pStyle w:val="B1"/>
      </w:pPr>
      <w:r w:rsidRPr="00873B6C">
        <w:rPr>
          <w:lang w:eastAsia="zh-CN"/>
        </w:rPr>
        <w:t>2.</w:t>
      </w:r>
      <w:r w:rsidRPr="00873B6C">
        <w:rPr>
          <w:lang w:eastAsia="zh-CN"/>
        </w:rPr>
        <w:tab/>
        <w:t>UDM</w:t>
      </w:r>
      <w:r w:rsidRPr="00873B6C">
        <w:t xml:space="preserve"> Group ID </w:t>
      </w:r>
      <w:r w:rsidRPr="00873B6C">
        <w:rPr>
          <w:lang w:eastAsia="zh-CN"/>
        </w:rPr>
        <w:t>of</w:t>
      </w:r>
      <w:r w:rsidRPr="00873B6C">
        <w:t xml:space="preserve"> the UE's SUPI</w:t>
      </w:r>
      <w:r w:rsidRPr="00873B6C">
        <w:rPr>
          <w:lang w:eastAsia="zh-CN"/>
        </w:rPr>
        <w:t>.</w:t>
      </w:r>
    </w:p>
    <w:p w14:paraId="474A4013" w14:textId="039F736E" w:rsidR="00D40151" w:rsidRPr="00873B6C" w:rsidRDefault="00D40151" w:rsidP="00D40151">
      <w:pPr>
        <w:pStyle w:val="NO"/>
      </w:pPr>
      <w:r w:rsidRPr="00873B6C">
        <w:t>NOTE </w:t>
      </w:r>
      <w:r w:rsidR="00616F73" w:rsidRPr="00873B6C">
        <w:t>4</w:t>
      </w:r>
      <w:r w:rsidRPr="00873B6C">
        <w:t>:</w:t>
      </w:r>
      <w:r w:rsidRPr="00873B6C">
        <w:tab/>
        <w:t xml:space="preserve">The AMF can infer the UDM Group ID the UE's SUPI belongs to, based on the results of UDM discovery procedures with NRF. The AMF provides the UDM Group ID the SUPI belongs to other UDM NF consumers as described in </w:t>
      </w:r>
      <w:r w:rsidR="00972E70" w:rsidRPr="00873B6C">
        <w:t>TS 23.502 [</w:t>
      </w:r>
      <w:r w:rsidRPr="00873B6C">
        <w:t>3].</w:t>
      </w:r>
    </w:p>
    <w:p w14:paraId="0689006B" w14:textId="77777777" w:rsidR="00D40151" w:rsidRPr="00873B6C" w:rsidRDefault="00D40151" w:rsidP="00D40151">
      <w:pPr>
        <w:pStyle w:val="B1"/>
      </w:pPr>
      <w:r w:rsidRPr="00873B6C">
        <w:rPr>
          <w:lang w:eastAsia="ko-KR"/>
        </w:rPr>
        <w:t>3.</w:t>
      </w:r>
      <w:r w:rsidRPr="00873B6C">
        <w:rPr>
          <w:lang w:eastAsia="ko-KR"/>
        </w:rPr>
        <w:tab/>
        <w:t>SUPI or Internal Group ID;</w:t>
      </w:r>
      <w:r w:rsidRPr="00873B6C">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873B6C" w:rsidRDefault="00D40151" w:rsidP="00D40151">
      <w:pPr>
        <w:pStyle w:val="B1"/>
      </w:pPr>
      <w:r w:rsidRPr="00873B6C">
        <w:t>4.</w:t>
      </w:r>
      <w:r w:rsidRPr="00873B6C">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873B6C" w:rsidRDefault="00D40151" w:rsidP="00D40151">
      <w:r w:rsidRPr="00873B6C">
        <w:t>In the case of delegated discovery and selection in SCP, NF consumer shall include one of these factors in the request towards SCP.</w:t>
      </w:r>
    </w:p>
    <w:p w14:paraId="51DC615F" w14:textId="77777777" w:rsidR="00D40151" w:rsidRPr="00873B6C" w:rsidRDefault="00D40151" w:rsidP="00D40151">
      <w:pPr>
        <w:pStyle w:val="Heading3"/>
        <w:rPr>
          <w:lang w:eastAsia="ko-KR"/>
        </w:rPr>
      </w:pPr>
      <w:bookmarkStart w:id="5737" w:name="_CR6_3_9"/>
      <w:bookmarkStart w:id="5738" w:name="_Toc20150232"/>
      <w:bookmarkStart w:id="5739" w:name="_Toc27847040"/>
      <w:bookmarkStart w:id="5740" w:name="_Toc36188172"/>
      <w:bookmarkStart w:id="5741" w:name="_Toc45184083"/>
      <w:bookmarkStart w:id="5742" w:name="_Toc47342925"/>
      <w:bookmarkStart w:id="5743" w:name="_Toc51769627"/>
      <w:bookmarkStart w:id="5744" w:name="_Toc201157795"/>
      <w:bookmarkEnd w:id="5737"/>
      <w:r w:rsidRPr="00873B6C">
        <w:rPr>
          <w:lang w:eastAsia="zh-CN"/>
        </w:rPr>
        <w:t>6.3.9</w:t>
      </w:r>
      <w:r w:rsidRPr="00873B6C">
        <w:rPr>
          <w:lang w:eastAsia="zh-CN"/>
        </w:rPr>
        <w:tab/>
        <w:t>UDR</w:t>
      </w:r>
      <w:r w:rsidRPr="00873B6C">
        <w:rPr>
          <w:lang w:eastAsia="ko-KR"/>
        </w:rPr>
        <w:t xml:space="preserve"> </w:t>
      </w:r>
      <w:r w:rsidRPr="00873B6C">
        <w:rPr>
          <w:lang w:eastAsia="zh-CN"/>
        </w:rPr>
        <w:t>discovery</w:t>
      </w:r>
      <w:r w:rsidRPr="00873B6C">
        <w:rPr>
          <w:lang w:eastAsia="ko-KR"/>
        </w:rPr>
        <w:t xml:space="preserve"> and selection</w:t>
      </w:r>
      <w:bookmarkEnd w:id="5738"/>
      <w:bookmarkEnd w:id="5739"/>
      <w:bookmarkEnd w:id="5740"/>
      <w:bookmarkEnd w:id="5741"/>
      <w:bookmarkEnd w:id="5742"/>
      <w:bookmarkEnd w:id="5743"/>
      <w:bookmarkEnd w:id="5744"/>
    </w:p>
    <w:p w14:paraId="0E904E8F" w14:textId="0DD2768D" w:rsidR="00D40151" w:rsidRPr="00873B6C" w:rsidRDefault="00D40151" w:rsidP="00D40151">
      <w:r w:rsidRPr="00873B6C">
        <w:t>Multiple instances of UDR may be deployed, each one storing specific data or providing service to a specific set of NF consumers as described in clause 4.2.5.</w:t>
      </w:r>
      <w:r w:rsidR="00DF6095" w:rsidRPr="00873B6C">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873B6C" w:rsidRDefault="00D40151" w:rsidP="00D40151">
      <w:r w:rsidRPr="00873B6C">
        <w:t xml:space="preserve">If the NF service consumer performs discovery and selection, the </w:t>
      </w:r>
      <w:r w:rsidRPr="00873B6C">
        <w:rPr>
          <w:lang w:eastAsia="ko-KR"/>
        </w:rPr>
        <w:t>NF consumer</w:t>
      </w:r>
      <w:r w:rsidRPr="00873B6C">
        <w:t xml:space="preserve"> shall utilize the </w:t>
      </w:r>
      <w:r w:rsidRPr="00873B6C">
        <w:rPr>
          <w:lang w:eastAsia="ko-KR"/>
        </w:rPr>
        <w:t>NRF</w:t>
      </w:r>
      <w:r w:rsidRPr="00873B6C">
        <w:t xml:space="preserve"> to discover the appropriate </w:t>
      </w:r>
      <w:r w:rsidRPr="00873B6C">
        <w:rPr>
          <w:lang w:eastAsia="ko-KR"/>
        </w:rPr>
        <w:t xml:space="preserve">UDR </w:t>
      </w:r>
      <w:r w:rsidRPr="00873B6C">
        <w:t xml:space="preserve">instance(s) unless </w:t>
      </w:r>
      <w:r w:rsidRPr="00873B6C">
        <w:rPr>
          <w:lang w:eastAsia="ko-KR"/>
        </w:rPr>
        <w:t>UDR</w:t>
      </w:r>
      <w:r w:rsidRPr="00873B6C">
        <w:t xml:space="preserve"> instance information is available by other means, e.g. locally configured on NF consumer</w:t>
      </w:r>
      <w:r w:rsidRPr="00873B6C">
        <w:rPr>
          <w:lang w:eastAsia="ko-KR"/>
        </w:rPr>
        <w:t>.</w:t>
      </w:r>
      <w:r w:rsidRPr="00873B6C">
        <w:t xml:space="preserve"> The </w:t>
      </w:r>
      <w:r w:rsidRPr="00873B6C">
        <w:rPr>
          <w:lang w:eastAsia="zh-CN"/>
        </w:rPr>
        <w:t>UDR</w:t>
      </w:r>
      <w:r w:rsidRPr="00873B6C">
        <w:t xml:space="preserve"> selection function in NF consumers</w:t>
      </w:r>
      <w:r w:rsidRPr="00873B6C">
        <w:rPr>
          <w:lang w:eastAsia="zh-CN"/>
        </w:rPr>
        <w:t xml:space="preserve"> </w:t>
      </w:r>
      <w:r w:rsidRPr="00873B6C">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7B444E5F" w14:textId="1F215369" w:rsidR="00472CD7" w:rsidRPr="00873B6C" w:rsidRDefault="00472CD7" w:rsidP="00D40151">
      <w:r w:rsidRPr="00873B6C">
        <w:t>For the resolution of the NF Group ID corresponding to a subscriber identifier, the UDR NF consumer (e.g. NRF, SCP) shall select a UDR instance that supports the Nudr_GroupIDMap service.</w:t>
      </w:r>
    </w:p>
    <w:p w14:paraId="34F2C3C0" w14:textId="46E31F24" w:rsidR="00D40151" w:rsidRPr="00873B6C" w:rsidRDefault="00472CD7" w:rsidP="00D40151">
      <w:r w:rsidRPr="00873B6C">
        <w:t xml:space="preserve">For data management procedures, the </w:t>
      </w:r>
      <w:r w:rsidR="00D40151" w:rsidRPr="00873B6C">
        <w:rPr>
          <w:lang w:eastAsia="zh-CN"/>
        </w:rPr>
        <w:t>UDR</w:t>
      </w:r>
      <w:r w:rsidR="00D40151" w:rsidRPr="00873B6C">
        <w:t xml:space="preserve"> </w:t>
      </w:r>
      <w:r w:rsidR="00D40151" w:rsidRPr="00873B6C">
        <w:rPr>
          <w:lang w:eastAsia="zh-CN"/>
        </w:rPr>
        <w:t>selection function in UDR NF consumers considers the Data Set Identifier of the data to be managed in UDR (see UDR service definition in</w:t>
      </w:r>
      <w:r w:rsidR="00131D56" w:rsidRPr="00873B6C">
        <w:rPr>
          <w:lang w:eastAsia="zh-CN"/>
        </w:rPr>
        <w:t xml:space="preserve"> clause 5.2.12 of</w:t>
      </w:r>
      <w:r w:rsidR="00D40151" w:rsidRPr="00873B6C">
        <w:rPr>
          <w:lang w:eastAsia="zh-CN"/>
        </w:rPr>
        <w:t xml:space="preserve"> </w:t>
      </w:r>
      <w:r w:rsidR="00972E70" w:rsidRPr="00873B6C">
        <w:rPr>
          <w:lang w:eastAsia="zh-CN"/>
        </w:rPr>
        <w:t>TS 23.502 [</w:t>
      </w:r>
      <w:r w:rsidR="00D40151" w:rsidRPr="00873B6C">
        <w:rPr>
          <w:lang w:eastAsia="zh-CN"/>
        </w:rPr>
        <w:t xml:space="preserve">3]). Additionally, the </w:t>
      </w:r>
      <w:r w:rsidR="00D40151" w:rsidRPr="00873B6C">
        <w:rPr>
          <w:lang w:eastAsia="zh-CN"/>
        </w:rPr>
        <w:lastRenderedPageBreak/>
        <w:t>UDR selection function in UDR NF consumers should consider one of the following factors when available to the UDR NF consumer</w:t>
      </w:r>
      <w:r w:rsidR="00DF6095" w:rsidRPr="00873B6C">
        <w:rPr>
          <w:lang w:eastAsia="zh-CN"/>
        </w:rPr>
        <w:t xml:space="preserve"> when selecting a UDR that stores the required Data Set(s) and Data Subset(s)</w:t>
      </w:r>
      <w:r w:rsidR="00D40151" w:rsidRPr="00873B6C">
        <w:t>:</w:t>
      </w:r>
    </w:p>
    <w:p w14:paraId="604C68A7" w14:textId="77777777" w:rsidR="00D40151" w:rsidRPr="00873B6C" w:rsidRDefault="00D40151" w:rsidP="00D40151">
      <w:pPr>
        <w:pStyle w:val="B1"/>
        <w:rPr>
          <w:lang w:eastAsia="zh-CN"/>
        </w:rPr>
      </w:pPr>
      <w:r w:rsidRPr="00873B6C">
        <w:rPr>
          <w:lang w:eastAsia="zh-CN"/>
        </w:rPr>
        <w:t>1.</w:t>
      </w:r>
      <w:r w:rsidRPr="00873B6C">
        <w:rPr>
          <w:lang w:eastAsia="zh-CN"/>
        </w:rPr>
        <w:tab/>
        <w:t>UDR Group ID the UE's SUPI belongs to.</w:t>
      </w:r>
    </w:p>
    <w:p w14:paraId="6E57A894" w14:textId="77777777" w:rsidR="00D40151" w:rsidRPr="00873B6C" w:rsidRDefault="00D40151" w:rsidP="00D40151">
      <w:pPr>
        <w:pStyle w:val="B1"/>
        <w:rPr>
          <w:lang w:eastAsia="zh-CN"/>
        </w:rPr>
      </w:pPr>
      <w:r w:rsidRPr="00873B6C">
        <w:rPr>
          <w:lang w:eastAsia="zh-CN"/>
        </w:rPr>
        <w:t>2.</w:t>
      </w:r>
      <w:r w:rsidRPr="00873B6C">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873B6C" w:rsidRDefault="00D40151" w:rsidP="00D40151">
      <w:pPr>
        <w:pStyle w:val="B1"/>
        <w:rPr>
          <w:lang w:eastAsia="zh-CN"/>
        </w:rPr>
      </w:pPr>
      <w:r w:rsidRPr="00873B6C">
        <w:rPr>
          <w:lang w:eastAsia="zh-CN"/>
        </w:rPr>
        <w:t>3.</w:t>
      </w:r>
      <w:r w:rsidRPr="00873B6C">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Pr="00873B6C" w:rsidRDefault="00DF6095" w:rsidP="0073598F">
      <w:pPr>
        <w:pStyle w:val="B1"/>
      </w:pPr>
      <w:r w:rsidRPr="00873B6C">
        <w:t>4.</w:t>
      </w:r>
      <w:r w:rsidRPr="00873B6C">
        <w:tab/>
        <w:t>UDR capability to store application data that is applicable on any UE (i.e. all subscribers of the PLMN).</w:t>
      </w:r>
    </w:p>
    <w:p w14:paraId="61543EE8" w14:textId="04E2580F" w:rsidR="00D40151" w:rsidRPr="00873B6C" w:rsidRDefault="00D40151" w:rsidP="00D40151">
      <w:r w:rsidRPr="00873B6C">
        <w:t>In the case of delegated discovery and selection, the NF consumer shall include the available factors in the request towards SCP.</w:t>
      </w:r>
    </w:p>
    <w:p w14:paraId="77FE4636" w14:textId="77777777" w:rsidR="00D40151" w:rsidRPr="00873B6C" w:rsidRDefault="00D40151" w:rsidP="00D40151">
      <w:pPr>
        <w:pStyle w:val="Heading3"/>
      </w:pPr>
      <w:bookmarkStart w:id="5745" w:name="_CR6_3_10"/>
      <w:bookmarkStart w:id="5746" w:name="_Toc20150233"/>
      <w:bookmarkStart w:id="5747" w:name="_Toc27847041"/>
      <w:bookmarkStart w:id="5748" w:name="_Toc36188173"/>
      <w:bookmarkStart w:id="5749" w:name="_Toc45184084"/>
      <w:bookmarkStart w:id="5750" w:name="_Toc47342926"/>
      <w:bookmarkStart w:id="5751" w:name="_Toc51769628"/>
      <w:bookmarkStart w:id="5752" w:name="_Toc201157796"/>
      <w:bookmarkEnd w:id="5745"/>
      <w:r w:rsidRPr="00873B6C">
        <w:t>6.3.10</w:t>
      </w:r>
      <w:r w:rsidRPr="00873B6C">
        <w:tab/>
        <w:t>SMSF discovery and selection</w:t>
      </w:r>
      <w:bookmarkEnd w:id="5746"/>
      <w:bookmarkEnd w:id="5747"/>
      <w:bookmarkEnd w:id="5748"/>
      <w:bookmarkEnd w:id="5749"/>
      <w:bookmarkEnd w:id="5750"/>
      <w:bookmarkEnd w:id="5751"/>
      <w:bookmarkEnd w:id="5752"/>
    </w:p>
    <w:p w14:paraId="70D87016" w14:textId="77777777" w:rsidR="00D40151" w:rsidRPr="00873B6C" w:rsidRDefault="00D40151" w:rsidP="00D40151">
      <w:r w:rsidRPr="00873B6C">
        <w:t>The SMSF selection function is supported by the AMF and is used to allocate an SMSF instance that shall manage the SMS.</w:t>
      </w:r>
    </w:p>
    <w:p w14:paraId="3A51008A" w14:textId="77777777" w:rsidR="00D40151" w:rsidRPr="00873B6C" w:rsidRDefault="00D40151" w:rsidP="00D40151">
      <w:r w:rsidRPr="00873B6C">
        <w:t>If the "SMS supported" indication is included in the Registration Request by the UE, the AMF checks SMS subscription from the UDM for the UE on whether the SMS is allowed for the UE.</w:t>
      </w:r>
    </w:p>
    <w:p w14:paraId="508E9469" w14:textId="0766F381" w:rsidR="00D40151" w:rsidRPr="00873B6C" w:rsidRDefault="00D40151" w:rsidP="00D40151">
      <w:r w:rsidRPr="00873B6C">
        <w:t xml:space="preserve">If the SMS is allowed and the UE Context stored in AMF includes an SMSF address, the AMF uses the SMSF address included in UE Context (according to Table 5.2.2.2.2-1 of </w:t>
      </w:r>
      <w:r w:rsidR="00972E70" w:rsidRPr="00873B6C">
        <w:t>TS 23.502 [</w:t>
      </w:r>
      <w:r w:rsidRPr="00873B6C">
        <w:t>3]).</w:t>
      </w:r>
    </w:p>
    <w:p w14:paraId="08E057AA" w14:textId="77777777" w:rsidR="00D40151" w:rsidRPr="00873B6C" w:rsidRDefault="00D40151" w:rsidP="00D40151">
      <w:r w:rsidRPr="00873B6C">
        <w:t>If the SMS is allowed and the UE Context stored in AMF does not include an SMSF address, the AMF discovers and selects an SMSF to serve the UE.</w:t>
      </w:r>
    </w:p>
    <w:p w14:paraId="218FCE3B" w14:textId="77777777" w:rsidR="00D40151" w:rsidRPr="00873B6C" w:rsidRDefault="00D40151" w:rsidP="00D40151">
      <w:r w:rsidRPr="00873B6C">
        <w:t>The SMSF selection may be based on the following methods:</w:t>
      </w:r>
    </w:p>
    <w:p w14:paraId="24E76D20" w14:textId="30BA4928" w:rsidR="00D40151" w:rsidRPr="00873B6C" w:rsidRDefault="00D40151" w:rsidP="00D40151">
      <w:pPr>
        <w:pStyle w:val="B1"/>
      </w:pPr>
      <w:r w:rsidRPr="00873B6C">
        <w:t>-</w:t>
      </w:r>
      <w:r w:rsidRPr="00873B6C">
        <w:tab/>
        <w:t>SMSF instance(s) address(es) preconfigured in the AMF (i.e</w:t>
      </w:r>
      <w:r w:rsidR="000E35F2" w:rsidRPr="00873B6C">
        <w:t>.</w:t>
      </w:r>
      <w:r w:rsidRPr="00873B6C">
        <w:t xml:space="preserve"> SMSF FQDN or IP addresses); or</w:t>
      </w:r>
    </w:p>
    <w:p w14:paraId="5D52273C" w14:textId="77777777" w:rsidR="00D40151" w:rsidRPr="00873B6C" w:rsidRDefault="00D40151" w:rsidP="00D40151">
      <w:pPr>
        <w:pStyle w:val="B1"/>
      </w:pPr>
      <w:r w:rsidRPr="00873B6C">
        <w:t>-</w:t>
      </w:r>
      <w:r w:rsidRPr="00873B6C">
        <w:tab/>
        <w:t>SMSF information available in the serving PLMN if received from an old AMF or the UDM; or</w:t>
      </w:r>
    </w:p>
    <w:p w14:paraId="33B814FF" w14:textId="54925C59" w:rsidR="00D40151" w:rsidRPr="00873B6C" w:rsidRDefault="00D40151" w:rsidP="00D40151">
      <w:pPr>
        <w:pStyle w:val="B1"/>
      </w:pPr>
      <w:r w:rsidRPr="00873B6C">
        <w:t>-</w:t>
      </w:r>
      <w:r w:rsidRPr="00873B6C">
        <w:tab/>
        <w:t xml:space="preserve">The AMF invokes Nnrf_NFDiscovery service operation from NRF to discover SMSF instance as described in clause 5.2.7.3.2 of </w:t>
      </w:r>
      <w:r w:rsidR="00972E70" w:rsidRPr="00873B6C">
        <w:t>TS 23.502 [</w:t>
      </w:r>
      <w:r w:rsidRPr="00873B6C">
        <w:t>3].</w:t>
      </w:r>
    </w:p>
    <w:p w14:paraId="380A3934" w14:textId="77777777" w:rsidR="00D40151" w:rsidRPr="00873B6C" w:rsidRDefault="00D40151" w:rsidP="00D40151">
      <w:r w:rsidRPr="00873B6C">
        <w:t>For roaming scenario, the AMF discovers and selects an SMSF in VPLMN.</w:t>
      </w:r>
    </w:p>
    <w:p w14:paraId="7B414D10" w14:textId="77777777" w:rsidR="00D40151" w:rsidRPr="00873B6C" w:rsidRDefault="00D40151" w:rsidP="00D40151">
      <w:bookmarkStart w:id="5753" w:name="_Toc20150234"/>
      <w:r w:rsidRPr="00873B6C">
        <w:t>If the NF consumer performs discovery and selection via NRF, the SMSF selection function in the NF consumer selects a SMSF instance based on the available SMSF instances obtained from the NRF.</w:t>
      </w:r>
    </w:p>
    <w:p w14:paraId="13366277" w14:textId="77777777" w:rsidR="00D40151" w:rsidRPr="00873B6C" w:rsidRDefault="00D40151" w:rsidP="00D40151">
      <w:r w:rsidRPr="00873B6C">
        <w:t>In the case of delegated discovery and selection in SCP, the NF consumer shall include all available factors in the request towards SCP.</w:t>
      </w:r>
    </w:p>
    <w:p w14:paraId="286C2841" w14:textId="77777777" w:rsidR="00D40151" w:rsidRPr="00873B6C" w:rsidRDefault="00D40151" w:rsidP="00D40151">
      <w:pPr>
        <w:pStyle w:val="Heading3"/>
        <w:rPr>
          <w:lang w:eastAsia="zh-CN"/>
        </w:rPr>
      </w:pPr>
      <w:bookmarkStart w:id="5754" w:name="_CR6_3_11"/>
      <w:bookmarkStart w:id="5755" w:name="_Toc27847042"/>
      <w:bookmarkStart w:id="5756" w:name="_Toc36188174"/>
      <w:bookmarkStart w:id="5757" w:name="_Toc45184085"/>
      <w:bookmarkStart w:id="5758" w:name="_Toc47342927"/>
      <w:bookmarkStart w:id="5759" w:name="_Toc51769629"/>
      <w:bookmarkStart w:id="5760" w:name="_Toc201157797"/>
      <w:bookmarkEnd w:id="5754"/>
      <w:r w:rsidRPr="00873B6C">
        <w:t>6.3.11</w:t>
      </w:r>
      <w:r w:rsidRPr="00873B6C">
        <w:tab/>
        <w:t>CHF discovery and selection</w:t>
      </w:r>
      <w:bookmarkEnd w:id="5753"/>
      <w:bookmarkEnd w:id="5755"/>
      <w:bookmarkEnd w:id="5756"/>
      <w:bookmarkEnd w:id="5757"/>
      <w:bookmarkEnd w:id="5758"/>
      <w:bookmarkEnd w:id="5759"/>
      <w:bookmarkEnd w:id="5760"/>
    </w:p>
    <w:p w14:paraId="585101DB" w14:textId="140352F9" w:rsidR="00D40151" w:rsidRPr="00873B6C" w:rsidRDefault="00D40151" w:rsidP="00D40151">
      <w:pPr>
        <w:rPr>
          <w:noProof/>
          <w:lang w:eastAsia="zh-CN"/>
        </w:rPr>
      </w:pPr>
      <w:r w:rsidRPr="00873B6C">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w:t>
      </w:r>
      <w:r w:rsidR="003B7084" w:rsidRPr="00873B6C">
        <w:rPr>
          <w:noProof/>
          <w:lang w:eastAsia="zh-CN"/>
        </w:rPr>
        <w:t xml:space="preserve"> subscriber and/or a</w:t>
      </w:r>
      <w:r w:rsidRPr="00873B6C">
        <w:rPr>
          <w:noProof/>
          <w:lang w:eastAsia="zh-CN"/>
        </w:rPr>
        <w:t xml:space="preserve"> PDU Session of a subscriber.</w:t>
      </w:r>
    </w:p>
    <w:p w14:paraId="36C109E6" w14:textId="77777777" w:rsidR="00D40151" w:rsidRPr="00873B6C" w:rsidRDefault="00D40151" w:rsidP="00D40151">
      <w:pPr>
        <w:rPr>
          <w:noProof/>
          <w:lang w:eastAsia="zh-CN"/>
        </w:rPr>
      </w:pPr>
      <w:r w:rsidRPr="00873B6C">
        <w:rPr>
          <w:noProof/>
          <w:lang w:eastAsia="zh-CN"/>
        </w:rPr>
        <w:t>For the PCF to select the CHF, the address(es) of the CHF, including the Primary CHF address and the Secondary CHF address, may be:</w:t>
      </w:r>
    </w:p>
    <w:p w14:paraId="26A58024" w14:textId="7E7ADF4E" w:rsidR="00D40151" w:rsidRPr="00873B6C" w:rsidRDefault="00D40151" w:rsidP="00D40151">
      <w:pPr>
        <w:pStyle w:val="B1"/>
        <w:rPr>
          <w:rFonts w:eastAsia="SimSun"/>
          <w:noProof/>
          <w:lang w:eastAsia="zh-CN"/>
        </w:rPr>
      </w:pPr>
      <w:r w:rsidRPr="00873B6C">
        <w:rPr>
          <w:rFonts w:eastAsia="SimSun"/>
          <w:noProof/>
          <w:lang w:eastAsia="zh-CN"/>
        </w:rPr>
        <w:t>-</w:t>
      </w:r>
      <w:r w:rsidRPr="00873B6C">
        <w:rPr>
          <w:rFonts w:eastAsia="SimSun"/>
          <w:noProof/>
          <w:lang w:eastAsia="zh-CN"/>
        </w:rPr>
        <w:tab/>
        <w:t>st</w:t>
      </w:r>
      <w:r w:rsidRPr="00873B6C">
        <w:rPr>
          <w:noProof/>
          <w:lang w:eastAsia="zh-CN"/>
        </w:rPr>
        <w:t>o</w:t>
      </w:r>
      <w:r w:rsidRPr="00873B6C">
        <w:rPr>
          <w:rFonts w:eastAsia="SimSun"/>
          <w:noProof/>
          <w:lang w:eastAsia="zh-CN"/>
        </w:rPr>
        <w:t xml:space="preserve">red in the UDR as part </w:t>
      </w:r>
      <w:r w:rsidRPr="00873B6C">
        <w:rPr>
          <w:noProof/>
          <w:lang w:eastAsia="zh-CN"/>
        </w:rPr>
        <w:t>o</w:t>
      </w:r>
      <w:r w:rsidRPr="00873B6C">
        <w:rPr>
          <w:rFonts w:eastAsia="SimSun"/>
          <w:noProof/>
          <w:lang w:eastAsia="zh-CN"/>
        </w:rPr>
        <w:t>f the PDU Session p</w:t>
      </w:r>
      <w:r w:rsidRPr="00873B6C">
        <w:rPr>
          <w:noProof/>
          <w:lang w:eastAsia="zh-CN"/>
        </w:rPr>
        <w:t>o</w:t>
      </w:r>
      <w:r w:rsidRPr="00873B6C">
        <w:rPr>
          <w:rFonts w:eastAsia="SimSun"/>
          <w:noProof/>
          <w:lang w:eastAsia="zh-CN"/>
        </w:rPr>
        <w:t>licy c</w:t>
      </w:r>
      <w:r w:rsidRPr="00873B6C">
        <w:rPr>
          <w:noProof/>
          <w:lang w:eastAsia="zh-CN"/>
        </w:rPr>
        <w:t>o</w:t>
      </w:r>
      <w:r w:rsidRPr="00873B6C">
        <w:rPr>
          <w:rFonts w:eastAsia="SimSun"/>
          <w:noProof/>
          <w:lang w:eastAsia="zh-CN"/>
        </w:rPr>
        <w:t>ntr</w:t>
      </w:r>
      <w:r w:rsidRPr="00873B6C">
        <w:rPr>
          <w:noProof/>
          <w:lang w:eastAsia="zh-CN"/>
        </w:rPr>
        <w:t>o</w:t>
      </w:r>
      <w:r w:rsidRPr="00873B6C">
        <w:rPr>
          <w:rFonts w:eastAsia="SimSun"/>
          <w:noProof/>
          <w:lang w:eastAsia="zh-CN"/>
        </w:rPr>
        <w:t>l subscription inf</w:t>
      </w:r>
      <w:r w:rsidRPr="00873B6C">
        <w:rPr>
          <w:noProof/>
          <w:lang w:eastAsia="zh-CN"/>
        </w:rPr>
        <w:t>o</w:t>
      </w:r>
      <w:r w:rsidRPr="00873B6C">
        <w:rPr>
          <w:rFonts w:eastAsia="SimSun"/>
          <w:noProof/>
          <w:lang w:eastAsia="zh-CN"/>
        </w:rPr>
        <w:t>rmati</w:t>
      </w:r>
      <w:r w:rsidRPr="00873B6C">
        <w:rPr>
          <w:noProof/>
          <w:lang w:eastAsia="zh-CN"/>
        </w:rPr>
        <w:t>o</w:t>
      </w:r>
      <w:r w:rsidRPr="00873B6C">
        <w:rPr>
          <w:rFonts w:eastAsia="SimSun"/>
          <w:noProof/>
          <w:lang w:eastAsia="zh-CN"/>
        </w:rPr>
        <w:t xml:space="preserve">n as defined in clause 6.2.1.3 </w:t>
      </w:r>
      <w:r w:rsidRPr="00873B6C">
        <w:rPr>
          <w:noProof/>
          <w:lang w:eastAsia="zh-CN"/>
        </w:rPr>
        <w:t>o</w:t>
      </w:r>
      <w:r w:rsidRPr="00873B6C">
        <w:rPr>
          <w:rFonts w:eastAsia="SimSun"/>
          <w:noProof/>
          <w:lang w:eastAsia="zh-CN"/>
        </w:rPr>
        <w:t xml:space="preserve">f </w:t>
      </w:r>
      <w:r w:rsidR="00972E70" w:rsidRPr="00873B6C">
        <w:rPr>
          <w:rFonts w:eastAsia="SimSun"/>
          <w:noProof/>
          <w:lang w:eastAsia="zh-CN"/>
        </w:rPr>
        <w:t>TS 23.503 [</w:t>
      </w:r>
      <w:r w:rsidRPr="00873B6C">
        <w:rPr>
          <w:rFonts w:eastAsia="SimSun"/>
          <w:noProof/>
          <w:lang w:eastAsia="zh-CN"/>
        </w:rPr>
        <w:t>45].</w:t>
      </w:r>
    </w:p>
    <w:p w14:paraId="6C7E84E0" w14:textId="77777777" w:rsidR="00252264" w:rsidRPr="00873B6C" w:rsidRDefault="00252264" w:rsidP="00252264">
      <w:pPr>
        <w:pStyle w:val="B1"/>
        <w:rPr>
          <w:rFonts w:eastAsia="SimSun"/>
          <w:noProof/>
          <w:lang w:eastAsia="zh-CN"/>
        </w:rPr>
      </w:pPr>
      <w:r w:rsidRPr="00873B6C">
        <w:rPr>
          <w:rFonts w:eastAsia="SimSun"/>
          <w:noProof/>
          <w:lang w:eastAsia="zh-CN"/>
        </w:rPr>
        <w:t>-</w:t>
      </w:r>
      <w:r w:rsidRPr="00873B6C">
        <w:rPr>
          <w:rFonts w:eastAsia="SimSun"/>
          <w:noProof/>
          <w:lang w:eastAsia="zh-CN"/>
        </w:rPr>
        <w:tab/>
        <w:t>stored in the UDR as part of the UE context policy control subscription information as defined in clause 6.2.1.3 of TS 23.503 [45].</w:t>
      </w:r>
    </w:p>
    <w:p w14:paraId="32D9DF86" w14:textId="77777777" w:rsidR="00252264" w:rsidRPr="00873B6C" w:rsidRDefault="00252264" w:rsidP="00252264">
      <w:pPr>
        <w:pStyle w:val="B1"/>
        <w:rPr>
          <w:rFonts w:eastAsia="SimSun"/>
          <w:noProof/>
          <w:lang w:eastAsia="zh-CN"/>
        </w:rPr>
      </w:pPr>
      <w:r w:rsidRPr="00873B6C">
        <w:rPr>
          <w:rFonts w:eastAsia="SimSun"/>
          <w:noProof/>
          <w:lang w:eastAsia="zh-CN"/>
        </w:rPr>
        <w:lastRenderedPageBreak/>
        <w:t>-</w:t>
      </w:r>
      <w:r w:rsidRPr="00873B6C">
        <w:rPr>
          <w:rFonts w:eastAsia="SimSun"/>
          <w:noProof/>
          <w:lang w:eastAsia="zh-CN"/>
        </w:rPr>
        <w:tab/>
        <w:t>stored in the UDR as part of the Access and Mobility policy control subscription information as defined in clause 6.2.1.3 of TS 23.503 [45].</w:t>
      </w:r>
    </w:p>
    <w:p w14:paraId="3631B8C6" w14:textId="01B2DDD8" w:rsidR="00D40151" w:rsidRPr="00873B6C" w:rsidRDefault="00D40151" w:rsidP="00D40151">
      <w:pPr>
        <w:pStyle w:val="B1"/>
        <w:rPr>
          <w:rFonts w:eastAsia="SimSun"/>
          <w:noProof/>
          <w:lang w:eastAsia="zh-CN"/>
        </w:rPr>
      </w:pPr>
      <w:r w:rsidRPr="00873B6C">
        <w:rPr>
          <w:rFonts w:eastAsia="SimSun"/>
          <w:noProof/>
          <w:lang w:eastAsia="zh-CN"/>
        </w:rPr>
        <w:t>-</w:t>
      </w:r>
      <w:r w:rsidRPr="00873B6C">
        <w:rPr>
          <w:rFonts w:eastAsia="SimSun"/>
          <w:noProof/>
          <w:lang w:eastAsia="zh-CN"/>
        </w:rPr>
        <w:tab/>
        <w:t>l</w:t>
      </w:r>
      <w:r w:rsidRPr="00873B6C">
        <w:rPr>
          <w:noProof/>
          <w:lang w:eastAsia="zh-CN"/>
        </w:rPr>
        <w:t>o</w:t>
      </w:r>
      <w:r w:rsidRPr="00873B6C">
        <w:rPr>
          <w:rFonts w:eastAsia="SimSun"/>
          <w:noProof/>
          <w:lang w:eastAsia="zh-CN"/>
        </w:rPr>
        <w:t>cally c</w:t>
      </w:r>
      <w:r w:rsidRPr="00873B6C">
        <w:rPr>
          <w:noProof/>
          <w:lang w:eastAsia="zh-CN"/>
        </w:rPr>
        <w:t>o</w:t>
      </w:r>
      <w:r w:rsidRPr="00873B6C">
        <w:rPr>
          <w:rFonts w:eastAsia="SimSun"/>
          <w:noProof/>
          <w:lang w:eastAsia="zh-CN"/>
        </w:rPr>
        <w:t xml:space="preserve">nfigured in the PCF based </w:t>
      </w:r>
      <w:r w:rsidRPr="00873B6C">
        <w:rPr>
          <w:noProof/>
          <w:lang w:eastAsia="zh-CN"/>
        </w:rPr>
        <w:t>o</w:t>
      </w:r>
      <w:r w:rsidRPr="00873B6C">
        <w:rPr>
          <w:rFonts w:eastAsia="SimSun"/>
          <w:noProof/>
          <w:lang w:eastAsia="zh-CN"/>
        </w:rPr>
        <w:t xml:space="preserve">n </w:t>
      </w:r>
      <w:r w:rsidRPr="00873B6C">
        <w:rPr>
          <w:noProof/>
          <w:lang w:eastAsia="zh-CN"/>
        </w:rPr>
        <w:t>o</w:t>
      </w:r>
      <w:r w:rsidRPr="00873B6C">
        <w:rPr>
          <w:rFonts w:eastAsia="SimSun"/>
          <w:noProof/>
          <w:lang w:eastAsia="zh-CN"/>
        </w:rPr>
        <w:t>perat</w:t>
      </w:r>
      <w:r w:rsidRPr="00873B6C">
        <w:rPr>
          <w:noProof/>
          <w:lang w:eastAsia="zh-CN"/>
        </w:rPr>
        <w:t>o</w:t>
      </w:r>
      <w:r w:rsidRPr="00873B6C">
        <w:rPr>
          <w:rFonts w:eastAsia="SimSun"/>
          <w:noProof/>
          <w:lang w:eastAsia="zh-CN"/>
        </w:rPr>
        <w:t>r p</w:t>
      </w:r>
      <w:r w:rsidRPr="00873B6C">
        <w:rPr>
          <w:noProof/>
          <w:lang w:eastAsia="zh-CN"/>
        </w:rPr>
        <w:t>o</w:t>
      </w:r>
      <w:r w:rsidRPr="00873B6C">
        <w:rPr>
          <w:rFonts w:eastAsia="SimSun"/>
          <w:noProof/>
          <w:lang w:eastAsia="zh-CN"/>
        </w:rPr>
        <w:t>licies.</w:t>
      </w:r>
    </w:p>
    <w:p w14:paraId="2C8A59A6" w14:textId="2FF2D525" w:rsidR="00D40151" w:rsidRPr="00873B6C" w:rsidRDefault="00D40151" w:rsidP="00D40151">
      <w:pPr>
        <w:pStyle w:val="B1"/>
        <w:rPr>
          <w:rFonts w:eastAsia="SimSun"/>
          <w:noProof/>
          <w:lang w:eastAsia="zh-CN"/>
        </w:rPr>
      </w:pPr>
      <w:r w:rsidRPr="00873B6C">
        <w:rPr>
          <w:rFonts w:eastAsia="SimSun"/>
          <w:noProof/>
          <w:lang w:eastAsia="zh-CN"/>
        </w:rPr>
        <w:t>-</w:t>
      </w:r>
      <w:r w:rsidRPr="00873B6C">
        <w:rPr>
          <w:rFonts w:eastAsia="SimSun"/>
          <w:noProof/>
          <w:lang w:eastAsia="zh-CN"/>
        </w:rPr>
        <w:tab/>
        <w:t>disc</w:t>
      </w:r>
      <w:r w:rsidRPr="00873B6C">
        <w:rPr>
          <w:noProof/>
          <w:lang w:eastAsia="zh-CN"/>
        </w:rPr>
        <w:t>o</w:t>
      </w:r>
      <w:r w:rsidRPr="00873B6C">
        <w:rPr>
          <w:rFonts w:eastAsia="SimSun"/>
          <w:noProof/>
          <w:lang w:eastAsia="zh-CN"/>
        </w:rPr>
        <w:t xml:space="preserve">vered using NRF as described in in clause 6.1 </w:t>
      </w:r>
      <w:r w:rsidRPr="00873B6C">
        <w:rPr>
          <w:noProof/>
          <w:lang w:eastAsia="zh-CN"/>
        </w:rPr>
        <w:t>o</w:t>
      </w:r>
      <w:r w:rsidRPr="00873B6C">
        <w:rPr>
          <w:rFonts w:eastAsia="SimSun"/>
          <w:noProof/>
          <w:lang w:eastAsia="zh-CN"/>
        </w:rPr>
        <w:t xml:space="preserve">f </w:t>
      </w:r>
      <w:r w:rsidR="00972E70" w:rsidRPr="00873B6C">
        <w:rPr>
          <w:rFonts w:eastAsia="SimSun"/>
          <w:noProof/>
          <w:lang w:eastAsia="zh-CN"/>
        </w:rPr>
        <w:t>TS 32.290 [</w:t>
      </w:r>
      <w:r w:rsidRPr="00873B6C">
        <w:rPr>
          <w:rFonts w:eastAsia="SimSun"/>
          <w:noProof/>
          <w:lang w:eastAsia="zh-CN"/>
        </w:rPr>
        <w:t>67].</w:t>
      </w:r>
    </w:p>
    <w:p w14:paraId="3C3CE17C" w14:textId="2230B1C8" w:rsidR="00252264" w:rsidRPr="00873B6C" w:rsidRDefault="00252264" w:rsidP="005A13C0">
      <w:pPr>
        <w:pStyle w:val="NO"/>
        <w:rPr>
          <w:rFonts w:eastAsia="SimSun"/>
          <w:noProof/>
        </w:rPr>
      </w:pPr>
      <w:r w:rsidRPr="00873B6C">
        <w:rPr>
          <w:rFonts w:eastAsia="SimSun"/>
          <w:noProof/>
        </w:rPr>
        <w:t>NOTE 1:</w:t>
      </w:r>
      <w:r w:rsidRPr="00873B6C">
        <w:rPr>
          <w:rFonts w:eastAsia="SimSun"/>
          <w:noProof/>
        </w:rPr>
        <w:tab/>
        <w:t>The operator can perform the above UDR provisioning or local configuration in a consistent manner such that the same CHF address is used for SM policy, AM policy and UE policy. If NRF discovery is used, it is up to the PCF logic (or SCP logic when working in Delegated Discovery mode) and operator configuration to guarantee the CHF address consistency.</w:t>
      </w:r>
    </w:p>
    <w:p w14:paraId="529E075A" w14:textId="45327846" w:rsidR="00D40151" w:rsidRPr="00873B6C" w:rsidRDefault="00D40151" w:rsidP="00D40151">
      <w:pPr>
        <w:rPr>
          <w:rFonts w:eastAsia="SimSun"/>
          <w:noProof/>
          <w:lang w:eastAsia="zh-CN"/>
        </w:rPr>
      </w:pPr>
      <w:r w:rsidRPr="00873B6C">
        <w:rPr>
          <w:rFonts w:eastAsia="SimSun"/>
          <w:noProof/>
          <w:lang w:eastAsia="zh-CN"/>
        </w:rPr>
        <w:t>The address(es) of the CHF shall be applicable for all services provided by the CHF.</w:t>
      </w:r>
    </w:p>
    <w:p w14:paraId="138CDD91" w14:textId="77777777" w:rsidR="00D40151" w:rsidRPr="00873B6C" w:rsidRDefault="00D40151" w:rsidP="00D40151">
      <w:pPr>
        <w:rPr>
          <w:rFonts w:eastAsia="SimSun"/>
          <w:noProof/>
          <w:lang w:eastAsia="zh-CN"/>
        </w:rPr>
      </w:pPr>
      <w:r w:rsidRPr="00873B6C">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6C6CFF84" w:rsidR="00D40151" w:rsidRPr="00873B6C" w:rsidRDefault="00D40151" w:rsidP="00D40151">
      <w:pPr>
        <w:rPr>
          <w:rFonts w:eastAsia="SimSun"/>
          <w:noProof/>
          <w:lang w:eastAsia="zh-CN"/>
        </w:rPr>
      </w:pPr>
      <w:r w:rsidRPr="00873B6C">
        <w:rPr>
          <w:rFonts w:eastAsia="SimSun"/>
          <w:noProof/>
          <w:lang w:eastAsia="zh-CN"/>
        </w:rPr>
        <w:t>The CHF address(es) retrieved from the UDR and possible associated CHF instance ID(s) and CHF set ID(s) take precendence over the locally configured CHF address(es) and possible associated CHF instance ID(s) and CHF set ID(s)</w:t>
      </w:r>
      <w:r w:rsidR="00472CD7" w:rsidRPr="00873B6C">
        <w:rPr>
          <w:rFonts w:eastAsia="SimSun"/>
          <w:noProof/>
          <w:lang w:eastAsia="zh-CN"/>
        </w:rPr>
        <w:t xml:space="preserve"> and</w:t>
      </w:r>
      <w:r w:rsidRPr="00873B6C">
        <w:rPr>
          <w:rFonts w:eastAsia="SimSun"/>
          <w:noProof/>
          <w:lang w:eastAsia="zh-CN"/>
        </w:rPr>
        <w:t xml:space="preserve">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873B6C" w:rsidRDefault="00D40151" w:rsidP="00D40151">
      <w:pPr>
        <w:rPr>
          <w:rFonts w:eastAsia="SimSun"/>
          <w:noProof/>
          <w:lang w:eastAsia="zh-CN"/>
        </w:rPr>
      </w:pPr>
      <w:r w:rsidRPr="00873B6C">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873B6C" w:rsidRDefault="00D40151" w:rsidP="00D40151">
      <w:pPr>
        <w:rPr>
          <w:rFonts w:eastAsia="SimSun"/>
          <w:noProof/>
          <w:lang w:eastAsia="zh-CN"/>
        </w:rPr>
      </w:pPr>
      <w:r w:rsidRPr="00873B6C">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6C7806AB" w:rsidR="00D40151" w:rsidRPr="00873B6C" w:rsidRDefault="00D40151" w:rsidP="00D40151">
      <w:pPr>
        <w:rPr>
          <w:rFonts w:eastAsia="SimSun"/>
          <w:noProof/>
          <w:lang w:eastAsia="zh-CN"/>
        </w:rPr>
      </w:pPr>
      <w:r w:rsidRPr="00873B6C">
        <w:rPr>
          <w:rFonts w:eastAsia="SimSun"/>
          <w:noProof/>
          <w:lang w:eastAsia="zh-CN"/>
        </w:rPr>
        <w:t xml:space="preserve">To enable the SMF to select the same CHF that is selected by the PCF for </w:t>
      </w:r>
      <w:r w:rsidR="00F04A40" w:rsidRPr="00873B6C">
        <w:rPr>
          <w:rFonts w:eastAsia="SimSun"/>
          <w:noProof/>
          <w:lang w:eastAsia="zh-CN"/>
        </w:rPr>
        <w:t xml:space="preserve">the </w:t>
      </w:r>
      <w:r w:rsidRPr="00873B6C">
        <w:rPr>
          <w:rFonts w:eastAsia="SimSun"/>
          <w:noProof/>
          <w:lang w:eastAsia="zh-CN"/>
        </w:rPr>
        <w:t xml:space="preserve">PDU Session, the PCF provides the selected CHF address(es) and, if available, the associated CHF instance ID(s) and/or CHF set ID(s) in the PDU Session related policy information to the SMF as described in Table 6.4-1 of </w:t>
      </w:r>
      <w:r w:rsidR="00972E70" w:rsidRPr="00873B6C">
        <w:rPr>
          <w:rFonts w:eastAsia="SimSun"/>
          <w:noProof/>
          <w:lang w:eastAsia="zh-CN"/>
        </w:rPr>
        <w:t>TS 23.503 [</w:t>
      </w:r>
      <w:r w:rsidRPr="00873B6C">
        <w:rPr>
          <w:rFonts w:eastAsia="SimSun"/>
          <w:noProof/>
          <w:lang w:eastAsia="zh-CN"/>
        </w:rPr>
        <w:t>45] and the SMF applies</w:t>
      </w:r>
      <w:r w:rsidR="00FA5436" w:rsidRPr="00873B6C">
        <w:rPr>
          <w:rFonts w:eastAsia="SimSun"/>
          <w:noProof/>
          <w:lang w:eastAsia="zh-CN"/>
        </w:rPr>
        <w:t xml:space="preserve"> the CHF address and if available, the associated CHF instance ID(s) and/or CHF set ID(s) passed from the PCF</w:t>
      </w:r>
      <w:r w:rsidRPr="00873B6C">
        <w:rPr>
          <w:rFonts w:eastAsia="SimSun"/>
          <w:noProof/>
          <w:lang w:eastAsia="zh-CN"/>
        </w:rPr>
        <w:t xml:space="preserve"> as defined in clause 5.1.8 of </w:t>
      </w:r>
      <w:r w:rsidR="00972E70" w:rsidRPr="00873B6C">
        <w:rPr>
          <w:rFonts w:eastAsia="SimSun"/>
          <w:noProof/>
          <w:lang w:eastAsia="zh-CN"/>
        </w:rPr>
        <w:t>TS 32.255 [</w:t>
      </w:r>
      <w:r w:rsidRPr="00873B6C">
        <w:rPr>
          <w:rFonts w:eastAsia="SimSun"/>
          <w:noProof/>
          <w:lang w:eastAsia="zh-CN"/>
        </w:rPr>
        <w:t xml:space="preserve">68]. Otherwise, the SMF selection of the CHF as defined in clause 5.1.8 of </w:t>
      </w:r>
      <w:r w:rsidR="00972E70" w:rsidRPr="00873B6C">
        <w:rPr>
          <w:rFonts w:eastAsia="SimSun"/>
          <w:noProof/>
          <w:lang w:eastAsia="zh-CN"/>
        </w:rPr>
        <w:t>TS 32.255 [</w:t>
      </w:r>
      <w:r w:rsidRPr="00873B6C">
        <w:rPr>
          <w:rFonts w:eastAsia="SimSun"/>
          <w:noProof/>
          <w:lang w:eastAsia="zh-CN"/>
        </w:rPr>
        <w:t>68] applies.</w:t>
      </w:r>
    </w:p>
    <w:p w14:paraId="1910396F" w14:textId="53A4AFE7" w:rsidR="00FA5436" w:rsidRPr="00873B6C" w:rsidRDefault="00FA5436" w:rsidP="00D40151">
      <w:pPr>
        <w:rPr>
          <w:lang w:eastAsia="zh-CN"/>
        </w:rPr>
      </w:pPr>
      <w:bookmarkStart w:id="5761" w:name="_Toc20150235"/>
      <w:r w:rsidRPr="00873B6C">
        <w:rPr>
          <w:lang w:eastAsia="zh-CN"/>
        </w:rPr>
        <w:t xml:space="preserve">If operator policies indicates the AMF should select the same CHF that is selected by the PCF for </w:t>
      </w:r>
      <w:r w:rsidR="00F04A40" w:rsidRPr="00873B6C">
        <w:rPr>
          <w:lang w:eastAsia="zh-CN"/>
        </w:rPr>
        <w:t xml:space="preserve">the </w:t>
      </w:r>
      <w:r w:rsidRPr="00873B6C">
        <w:rPr>
          <w:lang w:eastAsia="zh-CN"/>
        </w:rPr>
        <w:t>UE, the PCF provides the selected CHF address(es) and, if available, the associated CHF instance ID(s) and/or CHF set ID(s) in the Access and mobility related policy information</w:t>
      </w:r>
      <w:r w:rsidR="00456BDF" w:rsidRPr="00873B6C">
        <w:rPr>
          <w:lang w:eastAsia="zh-CN"/>
        </w:rPr>
        <w:t xml:space="preserve"> and/or in the UE Policy Association supplementary information</w:t>
      </w:r>
      <w:r w:rsidRPr="00873B6C">
        <w:rPr>
          <w:lang w:eastAsia="zh-CN"/>
        </w:rPr>
        <w:t xml:space="preserve"> to the AMF as described in Table 6.5-1</w:t>
      </w:r>
      <w:r w:rsidR="00456BDF" w:rsidRPr="00873B6C">
        <w:rPr>
          <w:lang w:eastAsia="zh-CN"/>
        </w:rPr>
        <w:t xml:space="preserve"> and Table 6.6.7-1</w:t>
      </w:r>
      <w:r w:rsidRPr="00873B6C">
        <w:rPr>
          <w:lang w:eastAsia="zh-CN"/>
        </w:rPr>
        <w:t xml:space="preserve"> of TS 23.503 [45]</w:t>
      </w:r>
      <w:r w:rsidR="00456BDF" w:rsidRPr="00873B6C">
        <w:rPr>
          <w:lang w:eastAsia="zh-CN"/>
        </w:rPr>
        <w:t xml:space="preserve"> respectively</w:t>
      </w:r>
      <w:r w:rsidRPr="00873B6C">
        <w:rPr>
          <w:lang w:eastAsia="zh-CN"/>
        </w:rPr>
        <w:t xml:space="preserve"> and the AMF may apply the CHF address and, if available, the associated CHF instance ID(s) and/or CHF set ID(s) passed from the PCF as defined in clause 5.1.3 of TS 32.256 [114]. Otherwise, the AMF selection of the CHF as defined in clause 5.1.3 of TS 32.256 [114] applies.</w:t>
      </w:r>
    </w:p>
    <w:p w14:paraId="68B59670" w14:textId="73ECF74E" w:rsidR="00D40151" w:rsidRPr="00873B6C" w:rsidRDefault="00D40151" w:rsidP="00D40151">
      <w:pPr>
        <w:rPr>
          <w:lang w:eastAsia="zh-CN"/>
        </w:rPr>
      </w:pPr>
      <w:r w:rsidRPr="00873B6C">
        <w:rPr>
          <w:lang w:eastAsia="zh-CN"/>
        </w:rPr>
        <w:t xml:space="preserve">How the CHF is selected by the SMSF is defined in clause 5.4 of </w:t>
      </w:r>
      <w:r w:rsidR="00972E70" w:rsidRPr="00873B6C">
        <w:rPr>
          <w:lang w:eastAsia="zh-CN"/>
        </w:rPr>
        <w:t>TS 32.274 [</w:t>
      </w:r>
      <w:r w:rsidRPr="00873B6C">
        <w:rPr>
          <w:lang w:eastAsia="zh-CN"/>
        </w:rPr>
        <w:t>118].</w:t>
      </w:r>
    </w:p>
    <w:p w14:paraId="195927B9" w14:textId="77777777" w:rsidR="00D40151" w:rsidRPr="00873B6C" w:rsidRDefault="00D40151" w:rsidP="00D40151">
      <w:pPr>
        <w:rPr>
          <w:lang w:eastAsia="zh-CN"/>
        </w:rPr>
      </w:pPr>
      <w:r w:rsidRPr="00873B6C">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873B6C" w:rsidRDefault="00D40151" w:rsidP="00D40151">
      <w:pPr>
        <w:rPr>
          <w:lang w:eastAsia="zh-CN"/>
        </w:rPr>
      </w:pPr>
      <w:r w:rsidRPr="00873B6C">
        <w:rPr>
          <w:lang w:eastAsia="zh-CN"/>
        </w:rPr>
        <w:t>The CHF selection functionality in NF consumer or in SCP should consider one of the following factors:</w:t>
      </w:r>
    </w:p>
    <w:p w14:paraId="4BF37760" w14:textId="77777777" w:rsidR="00D40151" w:rsidRPr="00873B6C" w:rsidRDefault="00D40151" w:rsidP="00D40151">
      <w:pPr>
        <w:pStyle w:val="B1"/>
        <w:rPr>
          <w:lang w:eastAsia="zh-CN"/>
        </w:rPr>
      </w:pPr>
      <w:r w:rsidRPr="00873B6C">
        <w:rPr>
          <w:lang w:eastAsia="zh-CN"/>
        </w:rPr>
        <w:t>1.</w:t>
      </w:r>
      <w:r w:rsidRPr="00873B6C">
        <w:rPr>
          <w:lang w:eastAsia="zh-CN"/>
        </w:rPr>
        <w:tab/>
        <w:t>CHF Group ID of the UE's SUPI.</w:t>
      </w:r>
    </w:p>
    <w:p w14:paraId="563769B4" w14:textId="53AB0FD3" w:rsidR="00D40151" w:rsidRPr="00873B6C" w:rsidRDefault="00D40151" w:rsidP="00D40151">
      <w:pPr>
        <w:pStyle w:val="NO"/>
        <w:rPr>
          <w:lang w:eastAsia="zh-CN"/>
        </w:rPr>
      </w:pPr>
      <w:r w:rsidRPr="00873B6C">
        <w:rPr>
          <w:lang w:eastAsia="zh-CN"/>
        </w:rPr>
        <w:t>NOTE</w:t>
      </w:r>
      <w:r w:rsidR="00252264" w:rsidRPr="00873B6C">
        <w:rPr>
          <w:lang w:eastAsia="zh-CN"/>
        </w:rPr>
        <w:t> </w:t>
      </w:r>
      <w:r w:rsidR="00FA5436" w:rsidRPr="00873B6C">
        <w:rPr>
          <w:lang w:eastAsia="zh-CN"/>
        </w:rPr>
        <w:t>2</w:t>
      </w:r>
      <w:r w:rsidRPr="00873B6C">
        <w:rPr>
          <w:lang w:eastAsia="zh-CN"/>
        </w:rPr>
        <w:t>:</w:t>
      </w:r>
      <w:r w:rsidRPr="00873B6C">
        <w:rPr>
          <w:lang w:eastAsia="zh-CN"/>
        </w:rPr>
        <w:tab/>
        <w:t>The NF Consumer can infer the CHF Group ID the UE's SUPI belongs to, based on the results of CHF discovery procedures with NRF.</w:t>
      </w:r>
    </w:p>
    <w:p w14:paraId="26DEF157" w14:textId="77777777" w:rsidR="00D40151" w:rsidRPr="00873B6C" w:rsidRDefault="00D40151" w:rsidP="00D40151">
      <w:pPr>
        <w:pStyle w:val="B1"/>
        <w:rPr>
          <w:lang w:eastAsia="zh-CN"/>
        </w:rPr>
      </w:pPr>
      <w:r w:rsidRPr="00873B6C">
        <w:rPr>
          <w:lang w:eastAsia="zh-CN"/>
        </w:rPr>
        <w:t>2.</w:t>
      </w:r>
      <w:r w:rsidRPr="00873B6C">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873B6C" w:rsidRDefault="00D40151" w:rsidP="00D40151">
      <w:pPr>
        <w:rPr>
          <w:lang w:eastAsia="zh-CN"/>
        </w:rPr>
      </w:pPr>
      <w:r w:rsidRPr="00873B6C">
        <w:rPr>
          <w:lang w:eastAsia="zh-CN"/>
        </w:rPr>
        <w:t>In the case of delegated discovery and selection in SCP, the NF consumer shall include all available factors in the request towards SCP.</w:t>
      </w:r>
    </w:p>
    <w:p w14:paraId="31DFF442" w14:textId="77777777" w:rsidR="00D40151" w:rsidRPr="00873B6C" w:rsidRDefault="00D40151" w:rsidP="00D40151">
      <w:pPr>
        <w:pStyle w:val="Heading3"/>
        <w:rPr>
          <w:lang w:eastAsia="zh-CN"/>
        </w:rPr>
      </w:pPr>
      <w:bookmarkStart w:id="5762" w:name="_CR6_3_12"/>
      <w:bookmarkStart w:id="5763" w:name="_Toc27847043"/>
      <w:bookmarkStart w:id="5764" w:name="_Toc36188175"/>
      <w:bookmarkStart w:id="5765" w:name="_Toc45184086"/>
      <w:bookmarkStart w:id="5766" w:name="_Toc47342928"/>
      <w:bookmarkStart w:id="5767" w:name="_Toc51769630"/>
      <w:bookmarkStart w:id="5768" w:name="_Toc201157798"/>
      <w:bookmarkEnd w:id="5762"/>
      <w:r w:rsidRPr="00873B6C">
        <w:rPr>
          <w:lang w:eastAsia="zh-CN"/>
        </w:rPr>
        <w:lastRenderedPageBreak/>
        <w:t>6.3.12</w:t>
      </w:r>
      <w:r w:rsidRPr="00873B6C">
        <w:rPr>
          <w:lang w:eastAsia="zh-CN"/>
        </w:rPr>
        <w:tab/>
        <w:t>Trusted Non-3GPP Access Network selection</w:t>
      </w:r>
      <w:bookmarkEnd w:id="5761"/>
      <w:bookmarkEnd w:id="5763"/>
      <w:bookmarkEnd w:id="5764"/>
      <w:bookmarkEnd w:id="5765"/>
      <w:bookmarkEnd w:id="5766"/>
      <w:bookmarkEnd w:id="5767"/>
      <w:bookmarkEnd w:id="5768"/>
    </w:p>
    <w:p w14:paraId="77AA5A18" w14:textId="77777777" w:rsidR="00D40151" w:rsidRPr="00873B6C" w:rsidRDefault="00D40151" w:rsidP="00D40151">
      <w:pPr>
        <w:pStyle w:val="Heading4"/>
      </w:pPr>
      <w:bookmarkStart w:id="5769" w:name="_CR6_3_12_1"/>
      <w:bookmarkStart w:id="5770" w:name="_Toc20150236"/>
      <w:bookmarkStart w:id="5771" w:name="_Toc27847044"/>
      <w:bookmarkStart w:id="5772" w:name="_Toc36188176"/>
      <w:bookmarkStart w:id="5773" w:name="_Toc45184087"/>
      <w:bookmarkStart w:id="5774" w:name="_Toc47342929"/>
      <w:bookmarkStart w:id="5775" w:name="_Toc51769631"/>
      <w:bookmarkStart w:id="5776" w:name="_Toc201157799"/>
      <w:bookmarkEnd w:id="5769"/>
      <w:r w:rsidRPr="00873B6C">
        <w:t>6.3.12.1</w:t>
      </w:r>
      <w:r w:rsidRPr="00873B6C">
        <w:tab/>
        <w:t>General</w:t>
      </w:r>
      <w:bookmarkEnd w:id="5770"/>
      <w:bookmarkEnd w:id="5771"/>
      <w:bookmarkEnd w:id="5772"/>
      <w:bookmarkEnd w:id="5773"/>
      <w:bookmarkEnd w:id="5774"/>
      <w:bookmarkEnd w:id="5775"/>
      <w:bookmarkEnd w:id="5776"/>
    </w:p>
    <w:p w14:paraId="2438809C" w14:textId="77777777" w:rsidR="001F5968" w:rsidRPr="00873B6C" w:rsidRDefault="00D40151" w:rsidP="00D40151">
      <w:pPr>
        <w:rPr>
          <w:lang w:eastAsia="zh-CN"/>
        </w:rPr>
      </w:pPr>
      <w:r w:rsidRPr="00873B6C">
        <w:rPr>
          <w:lang w:eastAsia="zh-CN"/>
        </w:rPr>
        <w:t>Clause 6.3.12 specifies how a UE, which wants to establish connectivity via trusted non-3GPP access</w:t>
      </w:r>
      <w:r w:rsidR="001F5968" w:rsidRPr="00873B6C">
        <w:rPr>
          <w:lang w:eastAsia="zh-CN"/>
        </w:rPr>
        <w:t xml:space="preserve"> and is not operating in SNPN access mode</w:t>
      </w:r>
      <w:r w:rsidRPr="00873B6C">
        <w:rPr>
          <w:lang w:eastAsia="zh-CN"/>
        </w:rPr>
        <w:t>, selects a PLMN and a trusted non-3GPP access network (TNAN) to connect to.</w:t>
      </w:r>
    </w:p>
    <w:p w14:paraId="0EBE04B6" w14:textId="688F938F" w:rsidR="001F5968" w:rsidRPr="00873B6C" w:rsidRDefault="001F5968" w:rsidP="00695DF1">
      <w:pPr>
        <w:pStyle w:val="NO"/>
        <w:rPr>
          <w:lang w:eastAsia="zh-CN"/>
        </w:rPr>
      </w:pPr>
      <w:r w:rsidRPr="00873B6C">
        <w:rPr>
          <w:lang w:eastAsia="zh-CN"/>
        </w:rPr>
        <w:t>NOTE:</w:t>
      </w:r>
      <w:r w:rsidRPr="00873B6C">
        <w:rPr>
          <w:lang w:eastAsia="zh-CN"/>
        </w:rPr>
        <w:tab/>
        <w:t>For UE operating in SNPN access mode refer to clause 5.30.2.13.</w:t>
      </w:r>
    </w:p>
    <w:p w14:paraId="5D4F4DEB" w14:textId="3111299C" w:rsidR="00D40151" w:rsidRPr="00873B6C" w:rsidRDefault="00D40151" w:rsidP="00D40151">
      <w:pPr>
        <w:rPr>
          <w:lang w:eastAsia="zh-CN"/>
        </w:rPr>
      </w:pPr>
      <w:r w:rsidRPr="00873B6C">
        <w:rPr>
          <w:lang w:eastAsia="zh-CN"/>
        </w:rPr>
        <w:t>How the UE decides to use trusted non-3GPP access is not specified in this document. As an example, a UE may decide to use trusted non-3GPP access for connecting to 5GC in a specific PLMN based on:</w:t>
      </w:r>
    </w:p>
    <w:p w14:paraId="466D0C4F" w14:textId="77777777" w:rsidR="00D40151" w:rsidRPr="00873B6C" w:rsidRDefault="00D40151" w:rsidP="00D40151">
      <w:pPr>
        <w:pStyle w:val="B1"/>
        <w:rPr>
          <w:lang w:eastAsia="zh-CN"/>
        </w:rPr>
      </w:pPr>
      <w:r w:rsidRPr="00873B6C">
        <w:rPr>
          <w:lang w:eastAsia="zh-CN"/>
        </w:rPr>
        <w:t>-</w:t>
      </w:r>
      <w:r w:rsidRPr="00873B6C">
        <w:rPr>
          <w:lang w:eastAsia="zh-CN"/>
        </w:rPr>
        <w:tab/>
        <w:t>the UE implementation-specific criteria; or</w:t>
      </w:r>
    </w:p>
    <w:p w14:paraId="607E07AB" w14:textId="77777777" w:rsidR="00D40151" w:rsidRPr="00873B6C" w:rsidRDefault="00D40151" w:rsidP="00D40151">
      <w:pPr>
        <w:pStyle w:val="B1"/>
        <w:rPr>
          <w:lang w:eastAsia="zh-CN"/>
        </w:rPr>
      </w:pPr>
      <w:r w:rsidRPr="00873B6C">
        <w:rPr>
          <w:lang w:eastAsia="zh-CN"/>
        </w:rPr>
        <w:t>-</w:t>
      </w:r>
      <w:r w:rsidRPr="00873B6C">
        <w:rPr>
          <w:lang w:eastAsia="zh-CN"/>
        </w:rPr>
        <w:tab/>
        <w:t>the UE configuration, e.g. the UE may be configured to try first the trusted non-3GPP access procedures; or</w:t>
      </w:r>
    </w:p>
    <w:p w14:paraId="5DF90436" w14:textId="77777777" w:rsidR="00D40151" w:rsidRPr="00873B6C" w:rsidRDefault="00D40151" w:rsidP="00D40151">
      <w:pPr>
        <w:pStyle w:val="B1"/>
        <w:rPr>
          <w:lang w:eastAsia="zh-CN"/>
        </w:rPr>
      </w:pPr>
      <w:r w:rsidRPr="00873B6C">
        <w:rPr>
          <w:lang w:eastAsia="zh-CN"/>
        </w:rPr>
        <w:t>-</w:t>
      </w:r>
      <w:r w:rsidRPr="00873B6C">
        <w:rPr>
          <w:lang w:eastAsia="zh-CN"/>
        </w:rPr>
        <w:tab/>
        <w:t>the UE capabilities, e.g. the UE may support only the trusted non-3GPP access procedures; or</w:t>
      </w:r>
    </w:p>
    <w:p w14:paraId="35236455" w14:textId="77777777" w:rsidR="00D40151" w:rsidRPr="00873B6C" w:rsidRDefault="00D40151" w:rsidP="00D40151">
      <w:pPr>
        <w:pStyle w:val="B1"/>
        <w:rPr>
          <w:lang w:eastAsia="zh-CN"/>
        </w:rPr>
      </w:pPr>
      <w:r w:rsidRPr="00873B6C">
        <w:rPr>
          <w:lang w:eastAsia="zh-CN"/>
        </w:rPr>
        <w:t>-</w:t>
      </w:r>
      <w:r w:rsidRPr="00873B6C">
        <w:rPr>
          <w:lang w:eastAsia="zh-CN"/>
        </w:rPr>
        <w:tab/>
        <w:t>the advertised capabilities of the discovered non-3GPP access networks, e.g. one or more available non-3GPP access networks advertise support of trusted connectivity to 5GC in a specific PLMN.</w:t>
      </w:r>
    </w:p>
    <w:p w14:paraId="29CCED1E" w14:textId="2C80265B" w:rsidR="00D40151" w:rsidRPr="00873B6C" w:rsidRDefault="00D40151" w:rsidP="00D40151">
      <w:pPr>
        <w:rPr>
          <w:lang w:eastAsia="zh-CN"/>
        </w:rPr>
      </w:pPr>
      <w:r w:rsidRPr="00873B6C">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873B6C">
        <w:rPr>
          <w:lang w:eastAsia="zh-CN"/>
        </w:rPr>
        <w:t>.</w:t>
      </w:r>
      <w:r w:rsidRPr="00873B6C">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w:t>
      </w:r>
      <w:r w:rsidR="00472CD7" w:rsidRPr="00873B6C">
        <w:rPr>
          <w:lang w:eastAsia="zh-CN"/>
        </w:rPr>
        <w:t xml:space="preserve"> and</w:t>
      </w:r>
      <w:r w:rsidRPr="00873B6C">
        <w:rPr>
          <w:lang w:eastAsia="zh-CN"/>
        </w:rPr>
        <w:t xml:space="preserve"> (c) a connectivity type, i.e. either "5G connectivity" or "S2a connectivity".</w:t>
      </w:r>
    </w:p>
    <w:p w14:paraId="35B16261" w14:textId="77777777" w:rsidR="00D40151" w:rsidRPr="00873B6C" w:rsidRDefault="00D40151" w:rsidP="00D40151">
      <w:pPr>
        <w:rPr>
          <w:lang w:eastAsia="zh-CN"/>
        </w:rPr>
      </w:pPr>
      <w:r w:rsidRPr="00873B6C">
        <w:rPr>
          <w:lang w:eastAsia="zh-CN"/>
        </w:rPr>
        <w:t>Each non-3GPP access network may advertise one or more of the following PLMN lists:</w:t>
      </w:r>
    </w:p>
    <w:p w14:paraId="7117EBD7" w14:textId="1B0F1295" w:rsidR="00D40151" w:rsidRPr="00873B6C" w:rsidRDefault="00D40151" w:rsidP="00D40151">
      <w:pPr>
        <w:pStyle w:val="B1"/>
        <w:rPr>
          <w:lang w:eastAsia="zh-CN"/>
        </w:rPr>
      </w:pPr>
      <w:r w:rsidRPr="00873B6C">
        <w:rPr>
          <w:lang w:eastAsia="zh-CN"/>
        </w:rPr>
        <w:t>1)</w:t>
      </w:r>
      <w:r w:rsidRPr="00873B6C">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972E70" w:rsidRPr="00873B6C">
        <w:rPr>
          <w:lang w:eastAsia="zh-CN"/>
        </w:rPr>
        <w:t>TS 23.402 [</w:t>
      </w:r>
      <w:r w:rsidRPr="00873B6C">
        <w:rPr>
          <w:lang w:eastAsia="zh-CN"/>
        </w:rPr>
        <w:t>43].</w:t>
      </w:r>
    </w:p>
    <w:p w14:paraId="3DBF97AF" w14:textId="406A1FC9" w:rsidR="00D40151" w:rsidRPr="00873B6C" w:rsidRDefault="00D40151" w:rsidP="00D40151">
      <w:pPr>
        <w:pStyle w:val="B1"/>
        <w:rPr>
          <w:lang w:eastAsia="zh-CN"/>
        </w:rPr>
      </w:pPr>
      <w:r w:rsidRPr="00873B6C">
        <w:rPr>
          <w:lang w:eastAsia="zh-CN"/>
        </w:rPr>
        <w:t>2)</w:t>
      </w:r>
      <w:r w:rsidRPr="00873B6C">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873B6C">
        <w:rPr>
          <w:lang w:eastAsia="zh-CN"/>
        </w:rPr>
        <w:t xml:space="preserve"> clause 16</w:t>
      </w:r>
      <w:r w:rsidRPr="00873B6C">
        <w:rPr>
          <w:lang w:eastAsia="zh-CN"/>
        </w:rPr>
        <w:t xml:space="preserve"> </w:t>
      </w:r>
      <w:r w:rsidR="00D602DF" w:rsidRPr="00873B6C">
        <w:t>of</w:t>
      </w:r>
      <w:r w:rsidR="00D602DF" w:rsidRPr="00873B6C">
        <w:rPr>
          <w:lang w:eastAsia="zh-CN"/>
        </w:rPr>
        <w:t xml:space="preserve"> </w:t>
      </w:r>
      <w:r w:rsidR="00972E70" w:rsidRPr="00873B6C">
        <w:rPr>
          <w:lang w:eastAsia="zh-CN"/>
        </w:rPr>
        <w:t>TS 23.402 [</w:t>
      </w:r>
      <w:r w:rsidRPr="00873B6C">
        <w:rPr>
          <w:lang w:eastAsia="zh-CN"/>
        </w:rPr>
        <w:t>43].</w:t>
      </w:r>
    </w:p>
    <w:p w14:paraId="7A2AE2B9" w14:textId="77777777" w:rsidR="00D40151" w:rsidRPr="00873B6C" w:rsidRDefault="00D40151" w:rsidP="00D40151">
      <w:pPr>
        <w:pStyle w:val="B1"/>
        <w:rPr>
          <w:lang w:eastAsia="zh-CN"/>
        </w:rPr>
      </w:pPr>
      <w:r w:rsidRPr="00873B6C">
        <w:rPr>
          <w:lang w:eastAsia="zh-CN"/>
        </w:rPr>
        <w:t>3)</w:t>
      </w:r>
      <w:r w:rsidRPr="00873B6C">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560EA50E" w:rsidR="00D40151" w:rsidRPr="00873B6C" w:rsidRDefault="00D40151" w:rsidP="00D40151">
      <w:pPr>
        <w:rPr>
          <w:lang w:eastAsia="zh-CN"/>
        </w:rPr>
      </w:pPr>
      <w:r w:rsidRPr="00873B6C">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972E70" w:rsidRPr="00873B6C">
        <w:rPr>
          <w:lang w:eastAsia="zh-CN"/>
        </w:rPr>
        <w:t>TS 23.402 [</w:t>
      </w:r>
      <w:r w:rsidRPr="00873B6C">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873B6C" w:rsidRDefault="00D40151" w:rsidP="00D40151">
      <w:pPr>
        <w:rPr>
          <w:lang w:eastAsia="zh-CN"/>
        </w:rPr>
      </w:pPr>
      <w:r w:rsidRPr="00873B6C">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873B6C" w:rsidRDefault="00D40151" w:rsidP="00D40151">
      <w:pPr>
        <w:pStyle w:val="TH"/>
        <w:rPr>
          <w:lang w:eastAsia="zh-CN"/>
        </w:rPr>
      </w:pPr>
      <w:r w:rsidRPr="00873B6C">
        <w:object w:dxaOrig="10539" w:dyaOrig="10657" w14:anchorId="5AF5A100">
          <v:shape id="_x0000_i1122" type="#_x0000_t75" style="width:460.8pt;height:467.7pt" o:ole="">
            <v:imagedata r:id="rId203" o:title=""/>
          </v:shape>
          <o:OLEObject Type="Embed" ProgID="Visio.Drawing.11" ShapeID="_x0000_i1122" DrawAspect="Content" ObjectID="_1811772456" r:id="rId204"/>
        </w:object>
      </w:r>
    </w:p>
    <w:p w14:paraId="68172F74" w14:textId="77777777" w:rsidR="00D40151" w:rsidRPr="00873B6C" w:rsidRDefault="00D40151" w:rsidP="00D40151">
      <w:pPr>
        <w:pStyle w:val="TF"/>
        <w:rPr>
          <w:lang w:eastAsia="zh-CN"/>
        </w:rPr>
      </w:pPr>
      <w:bookmarkStart w:id="5777" w:name="_CRFigure6_3_12_11"/>
      <w:r w:rsidRPr="00873B6C">
        <w:rPr>
          <w:lang w:eastAsia="zh-CN"/>
        </w:rPr>
        <w:t xml:space="preserve">Figure </w:t>
      </w:r>
      <w:bookmarkEnd w:id="5777"/>
      <w:r w:rsidRPr="00873B6C">
        <w:rPr>
          <w:lang w:eastAsia="zh-CN"/>
        </w:rPr>
        <w:t>6.3.12.1-1: Example deployment scenario for trusted Non-3GPP access network selection</w:t>
      </w:r>
    </w:p>
    <w:p w14:paraId="5C846023" w14:textId="77777777" w:rsidR="00D40151" w:rsidRPr="00873B6C" w:rsidRDefault="00D40151" w:rsidP="00D40151">
      <w:pPr>
        <w:pStyle w:val="Heading4"/>
      </w:pPr>
      <w:bookmarkStart w:id="5778" w:name="_CR6_3_12_2"/>
      <w:bookmarkStart w:id="5779" w:name="_Toc20150237"/>
      <w:bookmarkStart w:id="5780" w:name="_Toc27847045"/>
      <w:bookmarkStart w:id="5781" w:name="_Toc36188177"/>
      <w:bookmarkStart w:id="5782" w:name="_Toc45184088"/>
      <w:bookmarkStart w:id="5783" w:name="_Toc47342930"/>
      <w:bookmarkStart w:id="5784" w:name="_Toc51769632"/>
      <w:bookmarkStart w:id="5785" w:name="_Toc201157800"/>
      <w:bookmarkEnd w:id="5778"/>
      <w:r w:rsidRPr="00873B6C">
        <w:t>6.3.12.2</w:t>
      </w:r>
      <w:r w:rsidRPr="00873B6C">
        <w:tab/>
        <w:t>Access Network Selection Procedure</w:t>
      </w:r>
      <w:bookmarkEnd w:id="5779"/>
      <w:bookmarkEnd w:id="5780"/>
      <w:bookmarkEnd w:id="5781"/>
      <w:bookmarkEnd w:id="5782"/>
      <w:bookmarkEnd w:id="5783"/>
      <w:bookmarkEnd w:id="5784"/>
      <w:bookmarkEnd w:id="5785"/>
    </w:p>
    <w:p w14:paraId="5D69073D" w14:textId="77777777" w:rsidR="00D40151" w:rsidRPr="00873B6C" w:rsidRDefault="00D40151" w:rsidP="00D40151">
      <w:pPr>
        <w:rPr>
          <w:lang w:eastAsia="x-none"/>
        </w:rPr>
      </w:pPr>
      <w:r w:rsidRPr="00873B6C">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873B6C" w:rsidRDefault="00D40151" w:rsidP="00D40151">
      <w:pPr>
        <w:pStyle w:val="B1"/>
      </w:pPr>
      <w:r w:rsidRPr="00873B6C">
        <w:t>Step 1:</w:t>
      </w:r>
      <w:r w:rsidRPr="00873B6C">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873B6C" w:rsidRDefault="00D40151" w:rsidP="00D40151">
      <w:pPr>
        <w:pStyle w:val="B2"/>
      </w:pPr>
      <w:r w:rsidRPr="00873B6C">
        <w:t>a.</w:t>
      </w:r>
      <w:r w:rsidRPr="00873B6C">
        <w:tab/>
        <w:t>In the example shown in Figure 6.3.12.1-1, the list of available PLMNs includes:</w:t>
      </w:r>
    </w:p>
    <w:p w14:paraId="36E06E1E" w14:textId="77777777" w:rsidR="00D40151" w:rsidRPr="00873B6C" w:rsidRDefault="00D40151" w:rsidP="00D40151">
      <w:pPr>
        <w:pStyle w:val="B3"/>
      </w:pPr>
      <w:r w:rsidRPr="00873B6C">
        <w:t>-</w:t>
      </w:r>
      <w:r w:rsidRPr="00873B6C">
        <w:tab/>
        <w:t>PLMN-a: "S2a connectivity", "5G connectivity"</w:t>
      </w:r>
    </w:p>
    <w:p w14:paraId="5AED40F3" w14:textId="77777777" w:rsidR="00D40151" w:rsidRPr="00873B6C" w:rsidRDefault="00D40151" w:rsidP="00D40151">
      <w:pPr>
        <w:pStyle w:val="B3"/>
      </w:pPr>
      <w:r w:rsidRPr="00873B6C">
        <w:t>-</w:t>
      </w:r>
      <w:r w:rsidRPr="00873B6C">
        <w:tab/>
        <w:t>PLMN-b: "5G connectivity"</w:t>
      </w:r>
    </w:p>
    <w:p w14:paraId="5AE19220" w14:textId="77777777" w:rsidR="00D40151" w:rsidRPr="00873B6C" w:rsidRDefault="00D40151" w:rsidP="00D40151">
      <w:pPr>
        <w:pStyle w:val="B3"/>
      </w:pPr>
      <w:r w:rsidRPr="00873B6C">
        <w:lastRenderedPageBreak/>
        <w:t>-</w:t>
      </w:r>
      <w:r w:rsidRPr="00873B6C">
        <w:tab/>
        <w:t>PLMN-c: "S2a connectivity", "5G connectivity"</w:t>
      </w:r>
    </w:p>
    <w:p w14:paraId="1AAFCC64" w14:textId="77777777" w:rsidR="00D40151" w:rsidRPr="00873B6C" w:rsidRDefault="00D40151" w:rsidP="00D40151">
      <w:pPr>
        <w:pStyle w:val="B3"/>
      </w:pPr>
      <w:r w:rsidRPr="00873B6C">
        <w:t>-</w:t>
      </w:r>
      <w:r w:rsidRPr="00873B6C">
        <w:tab/>
        <w:t>PLMN-d: "S2a connectivity"</w:t>
      </w:r>
    </w:p>
    <w:p w14:paraId="6540C7FB" w14:textId="77777777" w:rsidR="00D40151" w:rsidRPr="00873B6C" w:rsidRDefault="00D40151" w:rsidP="00D40151">
      <w:pPr>
        <w:pStyle w:val="B1"/>
      </w:pPr>
      <w:r w:rsidRPr="00873B6C">
        <w:t>Step 2:</w:t>
      </w:r>
      <w:r w:rsidRPr="00873B6C">
        <w:tab/>
        <w:t>The UE selects a PLMN that is included in the list of available PLMNs, as follows:</w:t>
      </w:r>
    </w:p>
    <w:p w14:paraId="0144D61C" w14:textId="77777777" w:rsidR="00D40151" w:rsidRPr="00873B6C" w:rsidRDefault="00D40151" w:rsidP="00D40151">
      <w:pPr>
        <w:pStyle w:val="B2"/>
      </w:pPr>
      <w:r w:rsidRPr="00873B6C">
        <w:t>a.</w:t>
      </w:r>
      <w:r w:rsidRPr="00873B6C">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873B6C" w:rsidRDefault="00D40151" w:rsidP="00D40151">
      <w:pPr>
        <w:pStyle w:val="B2"/>
      </w:pPr>
      <w:r w:rsidRPr="00873B6C">
        <w:t>b.</w:t>
      </w:r>
      <w:r w:rsidRPr="00873B6C">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873B6C" w:rsidRDefault="00D40151" w:rsidP="00D40151">
      <w:pPr>
        <w:pStyle w:val="B3"/>
      </w:pPr>
      <w:r w:rsidRPr="00873B6C">
        <w:t>i)</w:t>
      </w:r>
      <w:r w:rsidRPr="00873B6C">
        <w:tab/>
        <w:t>If the UE determines to be located in its home country, then:</w:t>
      </w:r>
    </w:p>
    <w:p w14:paraId="3AEFB786" w14:textId="77777777" w:rsidR="00D40151" w:rsidRPr="00873B6C" w:rsidRDefault="00D40151" w:rsidP="00D40151">
      <w:pPr>
        <w:pStyle w:val="B4"/>
      </w:pPr>
      <w:r w:rsidRPr="00873B6C">
        <w:t>-</w:t>
      </w:r>
      <w:r w:rsidRPr="00873B6C">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873B6C" w:rsidRDefault="00D40151" w:rsidP="00D40151">
      <w:pPr>
        <w:pStyle w:val="B3"/>
      </w:pPr>
      <w:r w:rsidRPr="00873B6C">
        <w:t>ii)</w:t>
      </w:r>
      <w:r w:rsidRPr="00873B6C">
        <w:tab/>
        <w:t>If the UE determines to be located in a visited country, then:</w:t>
      </w:r>
    </w:p>
    <w:p w14:paraId="21B750C2" w14:textId="77777777" w:rsidR="00D40151" w:rsidRPr="00873B6C" w:rsidRDefault="00D40151" w:rsidP="00D40151">
      <w:pPr>
        <w:pStyle w:val="B4"/>
      </w:pPr>
      <w:r w:rsidRPr="00873B6C">
        <w:t>-</w:t>
      </w:r>
      <w:r w:rsidRPr="00873B6C">
        <w:tab/>
        <w:t>The UE determines if it is mandatory to select a PLMN in the visited country, as follows:</w:t>
      </w:r>
    </w:p>
    <w:p w14:paraId="10A1F341" w14:textId="02509B3E" w:rsidR="00D40151" w:rsidRPr="00873B6C" w:rsidRDefault="00D40151" w:rsidP="00D40151">
      <w:pPr>
        <w:pStyle w:val="B5"/>
      </w:pPr>
      <w:r w:rsidRPr="00873B6C">
        <w:t>-</w:t>
      </w:r>
      <w:r w:rsidRPr="00873B6C">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972E70" w:rsidRPr="00873B6C">
        <w:t>TS 23.003 [</w:t>
      </w:r>
      <w:r w:rsidRPr="00873B6C">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873B6C" w:rsidRDefault="00D40151" w:rsidP="00D40151">
      <w:pPr>
        <w:pStyle w:val="B5"/>
      </w:pPr>
      <w:r w:rsidRPr="00873B6C">
        <w:t>-</w:t>
      </w:r>
      <w:r w:rsidRPr="00873B6C">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44617F16" w:rsidR="00D40151" w:rsidRPr="00873B6C" w:rsidRDefault="00D40151" w:rsidP="00D40151">
      <w:pPr>
        <w:pStyle w:val="B4"/>
      </w:pPr>
      <w:r w:rsidRPr="00873B6C">
        <w:t>-</w:t>
      </w:r>
      <w:r w:rsidRPr="00873B6C">
        <w:tab/>
        <w:t>If the UE determines that it is not mandatory to select a PLMN in the visited country</w:t>
      </w:r>
      <w:r w:rsidR="00472CD7" w:rsidRPr="00873B6C">
        <w:t xml:space="preserve"> and</w:t>
      </w:r>
      <w:r w:rsidRPr="00873B6C">
        <w:t xml:space="preserve"> the HPLMN or an E-HPLMN is included in the list of available PLMNs, then the UE selects the HPLMN or an E-HPLMN, whichever is included in the list of available PLMNs.</w:t>
      </w:r>
    </w:p>
    <w:p w14:paraId="6A2788A5" w14:textId="233ADF8D" w:rsidR="00D40151" w:rsidRPr="00873B6C" w:rsidRDefault="00D40151" w:rsidP="00D40151">
      <w:pPr>
        <w:pStyle w:val="B4"/>
      </w:pPr>
      <w:r w:rsidRPr="00873B6C">
        <w:t>-</w:t>
      </w:r>
      <w:r w:rsidRPr="00873B6C">
        <w:tab/>
        <w:t xml:space="preserve">Otherwise, the UE selects a PLMN in the visited country by considering, in priority order, the PLMNs, first, in the User Controlled PLMN Selector list and, next, in the Operator Controlled PLMN Selector list (see </w:t>
      </w:r>
      <w:r w:rsidR="00972E70" w:rsidRPr="00873B6C">
        <w:t>TS 23.122 [</w:t>
      </w:r>
      <w:r w:rsidRPr="00873B6C">
        <w:t>17]). The UE selects the highest priority PLMN in a PLMN Selector list that is also included in the list of available PLMNs;</w:t>
      </w:r>
    </w:p>
    <w:p w14:paraId="09B2182F" w14:textId="77777777" w:rsidR="00D40151" w:rsidRPr="00873B6C" w:rsidRDefault="00D40151" w:rsidP="00D40151">
      <w:pPr>
        <w:pStyle w:val="B5"/>
      </w:pPr>
      <w:r w:rsidRPr="00873B6C">
        <w:t>-</w:t>
      </w:r>
      <w:r w:rsidRPr="00873B6C">
        <w:tab/>
        <w:t>If the list of available PLMNs does not include a PLMN that is also included in a PLMN Selector list, the UE stops the procedure and may attempt to connect via untrusted non-3GPP access.</w:t>
      </w:r>
    </w:p>
    <w:p w14:paraId="10566851" w14:textId="77777777" w:rsidR="00D40151" w:rsidRPr="00873B6C" w:rsidRDefault="00D40151" w:rsidP="00D40151">
      <w:pPr>
        <w:pStyle w:val="B2"/>
      </w:pPr>
      <w:r w:rsidRPr="00873B6C">
        <w:t>c.</w:t>
      </w:r>
      <w:r w:rsidRPr="00873B6C">
        <w:tab/>
        <w:t>In the example shown in Figure 6.3.12.1-1, the UE may select PLMN-c, for which "S2a connectivity" and "5G connectivity" is supported.</w:t>
      </w:r>
    </w:p>
    <w:p w14:paraId="5DECA977" w14:textId="77777777" w:rsidR="00D40151" w:rsidRPr="00873B6C" w:rsidRDefault="00D40151" w:rsidP="00D40151">
      <w:pPr>
        <w:pStyle w:val="B1"/>
      </w:pPr>
      <w:r w:rsidRPr="00873B6C">
        <w:t>Step 3:</w:t>
      </w:r>
      <w:r w:rsidRPr="00873B6C">
        <w:tab/>
        <w:t>The UE selects the type of trusted connectivity ("S2a connectivity" or "5G connectivity") for connecting to the selected PLMN, as follows:</w:t>
      </w:r>
    </w:p>
    <w:p w14:paraId="5B2E235B" w14:textId="77777777" w:rsidR="00D40151" w:rsidRPr="00873B6C" w:rsidRDefault="00D40151" w:rsidP="00D40151">
      <w:pPr>
        <w:pStyle w:val="B2"/>
      </w:pPr>
      <w:r w:rsidRPr="00873B6C">
        <w:t>a.</w:t>
      </w:r>
      <w:r w:rsidRPr="00873B6C">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873B6C" w:rsidRDefault="00D40151" w:rsidP="00D40151">
      <w:pPr>
        <w:pStyle w:val="B2"/>
      </w:pPr>
      <w:r w:rsidRPr="00873B6C">
        <w:t>b.</w:t>
      </w:r>
      <w:r w:rsidRPr="00873B6C">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873B6C" w:rsidRDefault="00D40151" w:rsidP="00D40151">
      <w:pPr>
        <w:pStyle w:val="B2"/>
      </w:pPr>
      <w:r w:rsidRPr="00873B6C">
        <w:lastRenderedPageBreak/>
        <w:t>c.</w:t>
      </w:r>
      <w:r w:rsidRPr="00873B6C">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873B6C" w:rsidRDefault="00D40151" w:rsidP="00D40151">
      <w:pPr>
        <w:pStyle w:val="B1"/>
      </w:pPr>
      <w:r w:rsidRPr="00873B6C">
        <w:t>Step 4:</w:t>
      </w:r>
      <w:r w:rsidRPr="00873B6C">
        <w:tab/>
        <w:t>Finally, the UE selects a non-3GPP access network to connect to, as follows:</w:t>
      </w:r>
    </w:p>
    <w:p w14:paraId="1E718EAC" w14:textId="424240E7" w:rsidR="00D40151" w:rsidRPr="00873B6C" w:rsidRDefault="00D40151" w:rsidP="00D40151">
      <w:pPr>
        <w:pStyle w:val="B2"/>
      </w:pPr>
      <w:r w:rsidRPr="00873B6C">
        <w:t>a.</w:t>
      </w:r>
      <w:r w:rsidRPr="00873B6C">
        <w:tab/>
        <w:t xml:space="preserve">The UE puts the available non-3GPP access networks in priority order. For WLAN access, the UE constructs </w:t>
      </w:r>
      <w:r w:rsidR="00CD64F1" w:rsidRPr="00873B6C">
        <w:t xml:space="preserve">a </w:t>
      </w:r>
      <w:r w:rsidRPr="00873B6C">
        <w:t>prioritized list</w:t>
      </w:r>
      <w:r w:rsidR="00CD64F1" w:rsidRPr="00873B6C">
        <w:t xml:space="preserve"> of WLAN access networks</w:t>
      </w:r>
      <w:r w:rsidRPr="00873B6C">
        <w:t xml:space="preserve"> by using the WLANSP rules (if provided)</w:t>
      </w:r>
      <w:r w:rsidR="00CD64F1" w:rsidRPr="00873B6C">
        <w:t xml:space="preserve"> and the procedure specified in clause 6.6.1.3 of </w:t>
      </w:r>
      <w:r w:rsidR="00972E70" w:rsidRPr="00873B6C">
        <w:t>TS 23.503 [</w:t>
      </w:r>
      <w:r w:rsidR="00CD64F1" w:rsidRPr="00873B6C">
        <w:t>45].</w:t>
      </w:r>
      <w:r w:rsidR="00587044" w:rsidRPr="00873B6C">
        <w:t xml:space="preserve"> When the UE supports the selection of Trusted access supporting the network slices it desires to use and has received extended WLANSP rule as specified in clause 6.6.1.1 of </w:t>
      </w:r>
      <w:r w:rsidR="00972E70" w:rsidRPr="00873B6C">
        <w:t>TS 23.503 [</w:t>
      </w:r>
      <w:r w:rsidR="00587044" w:rsidRPr="00873B6C">
        <w:t>45], the UE selects the non-3GPP access network with the SSID(s) which can access to the TNGF supporting the S-NSSAI needed by the UE.</w:t>
      </w:r>
      <w:r w:rsidR="00CD64F1" w:rsidRPr="00873B6C">
        <w:t xml:space="preserve"> If the UE is not provided with WLANSP rules, the UE constructs the prioritized list of WLAN access networks by using an implementation specific procedure</w:t>
      </w:r>
      <w:r w:rsidRPr="00873B6C">
        <w:t>. For other types of non-3GPP access, the UE may use access specific information to construct this prioritized list.</w:t>
      </w:r>
    </w:p>
    <w:p w14:paraId="057B1296" w14:textId="77777777" w:rsidR="00D40151" w:rsidRPr="00873B6C" w:rsidRDefault="00D40151" w:rsidP="00D40151">
      <w:pPr>
        <w:pStyle w:val="B2"/>
      </w:pPr>
      <w:r w:rsidRPr="00873B6C">
        <w:t>b.</w:t>
      </w:r>
      <w:r w:rsidRPr="00873B6C">
        <w:tab/>
        <w:t>From the prioritized list of non-3GPP access networks, the UE selects the highest priority non-3GPP access network that supports the selected type of trusted connectivity to the selected PLMN.</w:t>
      </w:r>
    </w:p>
    <w:p w14:paraId="5D84BD83" w14:textId="77777777" w:rsidR="00D40151" w:rsidRPr="00873B6C" w:rsidRDefault="00D40151" w:rsidP="00D40151">
      <w:pPr>
        <w:pStyle w:val="B2"/>
      </w:pPr>
      <w:r w:rsidRPr="00873B6C">
        <w:t>c.</w:t>
      </w:r>
      <w:r w:rsidRPr="00873B6C">
        <w:tab/>
        <w:t>In the example shown in Figure 6.3.12.1-1, the UE selects either the WLAN access network 2 or the WLAN access network 4, whichever has the highest priority in the prioritized list of non-3GPP access networks.</w:t>
      </w:r>
    </w:p>
    <w:p w14:paraId="48672D32" w14:textId="59D6A5E9" w:rsidR="00D40151" w:rsidRPr="00873B6C" w:rsidRDefault="00D40151" w:rsidP="00D40151">
      <w:pPr>
        <w:pStyle w:val="B2"/>
      </w:pPr>
      <w:r w:rsidRPr="00873B6C">
        <w:t>d.</w:t>
      </w:r>
      <w:r w:rsidRPr="00873B6C">
        <w:tab/>
        <w:t>Over the selected non-3GPP access network, the UE starts the 5GC registration procedure specified in</w:t>
      </w:r>
      <w:r w:rsidR="00131D56" w:rsidRPr="00873B6C">
        <w:t xml:space="preserve"> clause 4.12a.2.2</w:t>
      </w:r>
      <w:r w:rsidRPr="00873B6C">
        <w:t xml:space="preserve"> </w:t>
      </w:r>
      <w:r w:rsidR="00131D56" w:rsidRPr="00873B6C">
        <w:t xml:space="preserve">of </w:t>
      </w:r>
      <w:r w:rsidR="00972E70" w:rsidRPr="00873B6C">
        <w:t>TS 23.502 [</w:t>
      </w:r>
      <w:r w:rsidR="00695DF1" w:rsidRPr="00873B6C">
        <w:t>3]</w:t>
      </w:r>
      <w:r w:rsidRPr="00873B6C">
        <w:t>.</w:t>
      </w:r>
    </w:p>
    <w:p w14:paraId="0302BF2E" w14:textId="77777777" w:rsidR="00587044" w:rsidRPr="00873B6C" w:rsidRDefault="00587044" w:rsidP="00587044">
      <w:pPr>
        <w:pStyle w:val="B2"/>
      </w:pPr>
      <w:bookmarkStart w:id="5786" w:name="_Toc20150238"/>
      <w:bookmarkStart w:id="5787" w:name="_Toc27847046"/>
      <w:bookmarkStart w:id="5788" w:name="_Toc36188178"/>
      <w:bookmarkStart w:id="5789" w:name="_Toc45184089"/>
      <w:bookmarkStart w:id="5790" w:name="_Toc47342931"/>
      <w:bookmarkStart w:id="5791" w:name="_Toc51769633"/>
      <w:r w:rsidRPr="00873B6C">
        <w:t>e.</w:t>
      </w:r>
      <w:r w:rsidRPr="00873B6C">
        <w:tab/>
        <w:t>If the AMF detects the UE is using a wrong TNGF, the AMF may trigger a UE policy update and reject the UE registration</w:t>
      </w:r>
    </w:p>
    <w:p w14:paraId="3FEB6F6B" w14:textId="42CC2F6D" w:rsidR="00587044" w:rsidRPr="00873B6C" w:rsidRDefault="00587044" w:rsidP="00972E70">
      <w:r w:rsidRPr="00873B6C">
        <w:t>During the registration procedure the AMF may determine if the TNGF selected by the UE is suitable for the S-NSSAI(s) requested by the UE considering the UE subscription. If the AMF determines that a different TNGF should be selected</w:t>
      </w:r>
      <w:r w:rsidR="00114986" w:rsidRPr="00873B6C">
        <w:t xml:space="preserve"> as described in clause 4.12a.2.2 of TS 23.502 [3]</w:t>
      </w:r>
      <w:r w:rsidRPr="00873B6C">
        <w:t>, the AMF:</w:t>
      </w:r>
    </w:p>
    <w:p w14:paraId="2D0579BE" w14:textId="74FAE5D9" w:rsidR="00587044" w:rsidRPr="00873B6C" w:rsidRDefault="00587044" w:rsidP="00972E70">
      <w:pPr>
        <w:pStyle w:val="B1"/>
      </w:pPr>
      <w:r w:rsidRPr="00873B6C">
        <w:t>-</w:t>
      </w:r>
      <w:r w:rsidRPr="00873B6C">
        <w:tab/>
        <w:t>may, if the UE supports slice-based TNGF selection, trigger</w:t>
      </w:r>
      <w:r w:rsidR="00114986" w:rsidRPr="00873B6C">
        <w:t>s</w:t>
      </w:r>
      <w:r w:rsidRPr="00873B6C">
        <w:t xml:space="preserve"> the UE Policy Association Establishment or UE Policy Association Update procedure to provide the UE with updated TNGF selection information; when the AMF is informed by the PCF that the update of</w:t>
      </w:r>
      <w:r w:rsidR="00114986" w:rsidRPr="00873B6C">
        <w:t xml:space="preserve"> UE policy</w:t>
      </w:r>
      <w:r w:rsidRPr="00873B6C">
        <w:t xml:space="preserve"> information on the UE is completed</w:t>
      </w:r>
      <w:r w:rsidR="00114986" w:rsidRPr="00873B6C">
        <w:t xml:space="preserve"> as described in clause 4.12a.2.2 of TS 23.502 [3]</w:t>
      </w:r>
      <w:r w:rsidRPr="00873B6C">
        <w:t>, the AMF release</w:t>
      </w:r>
      <w:r w:rsidR="00114986" w:rsidRPr="00873B6C">
        <w:t>s</w:t>
      </w:r>
      <w:r w:rsidRPr="00873B6C">
        <w:t xml:space="preserve"> UE Policy Association</w:t>
      </w:r>
      <w:r w:rsidR="00114986" w:rsidRPr="00873B6C">
        <w:t xml:space="preserve"> if the UE is not registered over 3GPP access before proceeding to the Registration Reject over trusted non-3GPP access</w:t>
      </w:r>
      <w:r w:rsidRPr="00873B6C">
        <w:t>;</w:t>
      </w:r>
    </w:p>
    <w:p w14:paraId="61CF8FD9" w14:textId="5DC18398" w:rsidR="00587044" w:rsidRPr="00873B6C" w:rsidRDefault="00587044" w:rsidP="00972E70">
      <w:pPr>
        <w:pStyle w:val="NO"/>
      </w:pPr>
      <w:r w:rsidRPr="00873B6C">
        <w:t>NOTE</w:t>
      </w:r>
      <w:r w:rsidR="00114986" w:rsidRPr="00873B6C">
        <w:t> 1</w:t>
      </w:r>
      <w:r w:rsidRPr="00873B6C">
        <w:t>:</w:t>
      </w:r>
      <w:r w:rsidRPr="00873B6C">
        <w:tab/>
        <w:t>To enable the V-PCF to provide the UE with Slice-specific TNGF selection information in the roaming case, the AMF provides the V-PCF with the Configured NSSAI for the serving PLMN during the UE Policy Association Establishment/Update procedure.</w:t>
      </w:r>
    </w:p>
    <w:p w14:paraId="754ACF4E" w14:textId="2722B94A" w:rsidR="00587044" w:rsidRPr="00873B6C" w:rsidRDefault="00587044" w:rsidP="00972E70">
      <w:pPr>
        <w:pStyle w:val="B1"/>
      </w:pPr>
      <w:r w:rsidRPr="00873B6C">
        <w:t>-</w:t>
      </w:r>
      <w:r w:rsidRPr="00873B6C">
        <w:tab/>
        <w:t>shall send a Registration Reject message to the UE. The AMF may include target TNAN information (SSID, TNGF ID) in the Registration Reject so that the UE can, if supported by the UE, use the target TNAN information to try again to register to 5GC</w:t>
      </w:r>
      <w:r w:rsidR="00114986" w:rsidRPr="00873B6C">
        <w:t xml:space="preserve"> if the UE wishes to send the same Requested NSSAI as during the previous Registration Request</w:t>
      </w:r>
      <w:r w:rsidRPr="00873B6C">
        <w:t>. The target TNAN information only applies to the one TNAN selection performed by the UE just after receiving the Registration Reject.</w:t>
      </w:r>
    </w:p>
    <w:p w14:paraId="193035D8" w14:textId="0E94F9BE" w:rsidR="00153C7D" w:rsidRPr="00873B6C" w:rsidRDefault="00153C7D" w:rsidP="00153C7D">
      <w:pPr>
        <w:pStyle w:val="NO"/>
      </w:pPr>
      <w:r w:rsidRPr="00873B6C">
        <w:t>NOTE 2:</w:t>
      </w:r>
      <w:r w:rsidRPr="00873B6C">
        <w:tab/>
        <w:t>A TNGF ID sent within a Registration Reject message to a UE trying to register over Trusted Non-3GPP access corresponds to a UE side interface of a TNGF while a TNGF Identifier of N3 terminations provided by a TNGF over N2 and defined in clause 6.3.3.3 corresponds to an internal 5GC identifier related with a TNGF.</w:t>
      </w:r>
    </w:p>
    <w:p w14:paraId="73D65A3D" w14:textId="4236C0C8" w:rsidR="00587044" w:rsidRPr="00873B6C" w:rsidRDefault="00587044" w:rsidP="00972E70">
      <w:r w:rsidRPr="00873B6C">
        <w:t>The AMF may determine the target TNAN based on the list of supported TAs and the corresponding list of supported slices for each TA obtained as defined in clause 5.15.8</w:t>
      </w:r>
      <w:r w:rsidR="00472CD7" w:rsidRPr="00873B6C">
        <w:t xml:space="preserve"> and</w:t>
      </w:r>
      <w:r w:rsidRPr="00873B6C">
        <w:t xml:space="preserve"> considering UE location.</w:t>
      </w:r>
    </w:p>
    <w:p w14:paraId="352A8770" w14:textId="2BA11DAD" w:rsidR="00114986" w:rsidRPr="00873B6C" w:rsidRDefault="00114986" w:rsidP="00114986">
      <w:pPr>
        <w:pStyle w:val="NO"/>
      </w:pPr>
      <w:r w:rsidRPr="00873B6C">
        <w:t>NOTE </w:t>
      </w:r>
      <w:r w:rsidR="00153C7D" w:rsidRPr="00873B6C">
        <w:t>3</w:t>
      </w:r>
      <w:r w:rsidRPr="00873B6C">
        <w:t>:</w:t>
      </w:r>
      <w:r w:rsidRPr="00873B6C">
        <w:tab/>
        <w:t>The operator is assumed to ensure that UEs that do not support slice-based TNGF selection always select a TNGF that supports at least one slice requested by the UE. This is to avoid unnecessary and potentially repetitive rejections of those UEs. To ensure this, the operator is assumed to provide identifiers of TNGFs that only support a subset of the slices configured in the network only to UEs that support slice-based TNGF selection.</w:t>
      </w:r>
    </w:p>
    <w:p w14:paraId="393DB281" w14:textId="77777777" w:rsidR="00D40151" w:rsidRPr="00873B6C" w:rsidRDefault="00D40151" w:rsidP="00D40151">
      <w:pPr>
        <w:pStyle w:val="Heading3"/>
      </w:pPr>
      <w:bookmarkStart w:id="5792" w:name="_CR6_3_12a"/>
      <w:bookmarkStart w:id="5793" w:name="_Toc201157801"/>
      <w:bookmarkEnd w:id="5792"/>
      <w:r w:rsidRPr="00873B6C">
        <w:lastRenderedPageBreak/>
        <w:t>6.3.12a</w:t>
      </w:r>
      <w:r w:rsidRPr="00873B6C">
        <w:tab/>
        <w:t>Access Network selection for devices that do not support 5GC NAS over WLAN</w:t>
      </w:r>
      <w:bookmarkEnd w:id="5786"/>
      <w:bookmarkEnd w:id="5787"/>
      <w:bookmarkEnd w:id="5788"/>
      <w:bookmarkEnd w:id="5789"/>
      <w:bookmarkEnd w:id="5790"/>
      <w:bookmarkEnd w:id="5791"/>
      <w:bookmarkEnd w:id="5793"/>
    </w:p>
    <w:p w14:paraId="0EF5C274" w14:textId="77777777" w:rsidR="00D40151" w:rsidRPr="00873B6C" w:rsidRDefault="00D40151" w:rsidP="00D40151">
      <w:pPr>
        <w:pStyle w:val="Heading4"/>
      </w:pPr>
      <w:bookmarkStart w:id="5794" w:name="_CR6_3_12a_1"/>
      <w:bookmarkStart w:id="5795" w:name="_Toc20150239"/>
      <w:bookmarkStart w:id="5796" w:name="_Toc27847047"/>
      <w:bookmarkStart w:id="5797" w:name="_Toc36188179"/>
      <w:bookmarkStart w:id="5798" w:name="_Toc45184090"/>
      <w:bookmarkStart w:id="5799" w:name="_Toc47342932"/>
      <w:bookmarkStart w:id="5800" w:name="_Toc51769634"/>
      <w:bookmarkStart w:id="5801" w:name="_Toc201157802"/>
      <w:bookmarkEnd w:id="5794"/>
      <w:r w:rsidRPr="00873B6C">
        <w:t>6.3.12a.1</w:t>
      </w:r>
      <w:r w:rsidRPr="00873B6C">
        <w:tab/>
        <w:t>General</w:t>
      </w:r>
      <w:bookmarkEnd w:id="5795"/>
      <w:bookmarkEnd w:id="5796"/>
      <w:bookmarkEnd w:id="5797"/>
      <w:bookmarkEnd w:id="5798"/>
      <w:bookmarkEnd w:id="5799"/>
      <w:bookmarkEnd w:id="5800"/>
      <w:bookmarkEnd w:id="5801"/>
    </w:p>
    <w:p w14:paraId="0531897A" w14:textId="2C32222A" w:rsidR="00D40151" w:rsidRPr="00873B6C" w:rsidRDefault="00D40151" w:rsidP="00D40151">
      <w:pPr>
        <w:rPr>
          <w:lang w:eastAsia="x-none"/>
        </w:rPr>
      </w:pPr>
      <w:r w:rsidRPr="00873B6C">
        <w:rPr>
          <w:lang w:eastAsia="x-none"/>
        </w:rPr>
        <w:t>As specified in clause 4.2.8.5, devices that do not support 5GC NAS signalling over WLAN access (referred to as "Non-5G-Capable over WLAN" devices, or N5CW devices for short), may access 5GC in a PLMN</w:t>
      </w:r>
      <w:r w:rsidR="002C4A81" w:rsidRPr="00873B6C">
        <w:rPr>
          <w:lang w:eastAsia="x-none"/>
        </w:rPr>
        <w:t xml:space="preserve"> or an SNPN</w:t>
      </w:r>
      <w:r w:rsidRPr="00873B6C">
        <w:rPr>
          <w:lang w:eastAsia="x-none"/>
        </w:rPr>
        <w:t xml:space="preserve">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02B4411E" w14:textId="41363413" w:rsidR="002C4A81" w:rsidRPr="00873B6C" w:rsidRDefault="002C4A81" w:rsidP="00972E70">
      <w:pPr>
        <w:pStyle w:val="NO"/>
      </w:pPr>
      <w:r w:rsidRPr="00873B6C">
        <w:t>NOTE:</w:t>
      </w:r>
      <w:r w:rsidRPr="00873B6C">
        <w:tab/>
        <w:t>For N5CW device accessing an SNPN refer to clause 5.30.2.15.</w:t>
      </w:r>
    </w:p>
    <w:p w14:paraId="5873BCAD" w14:textId="4B0DBE50" w:rsidR="00D40151" w:rsidRPr="00873B6C" w:rsidRDefault="00D40151" w:rsidP="00D40151">
      <w:pPr>
        <w:rPr>
          <w:lang w:eastAsia="x-none"/>
        </w:rPr>
      </w:pPr>
      <w:r w:rsidRPr="00873B6C">
        <w:rPr>
          <w:lang w:eastAsia="x-none"/>
        </w:rPr>
        <w:t>Each WLAN access network that provides "5G connectivity-without-NAS" advertises with ANQP a list of PLMNs with which "5G connectivity-without-NAS" is supported. This list is called PLMN List-4</w:t>
      </w:r>
      <w:r w:rsidR="00472CD7" w:rsidRPr="00873B6C">
        <w:rPr>
          <w:lang w:eastAsia="x-none"/>
        </w:rPr>
        <w:t xml:space="preserve"> and</w:t>
      </w:r>
      <w:r w:rsidRPr="00873B6C">
        <w:rPr>
          <w:lang w:eastAsia="x-none"/>
        </w:rPr>
        <w:t xml:space="preserve"> is different from the PLMN List-1, PLMN List-2 and PLMN List-3 defined in clause 6.3.12. A WLAN advertises the PLMN List-4, when the WLAN supports a TWIF function.</w:t>
      </w:r>
    </w:p>
    <w:p w14:paraId="6B1A0AE4" w14:textId="77777777" w:rsidR="00D40151" w:rsidRPr="00873B6C" w:rsidRDefault="00D40151" w:rsidP="00D40151">
      <w:pPr>
        <w:pStyle w:val="Heading4"/>
      </w:pPr>
      <w:bookmarkStart w:id="5802" w:name="_CR6_3_12a_2"/>
      <w:bookmarkStart w:id="5803" w:name="_Toc20150240"/>
      <w:bookmarkStart w:id="5804" w:name="_Toc27847048"/>
      <w:bookmarkStart w:id="5805" w:name="_Toc36188180"/>
      <w:bookmarkStart w:id="5806" w:name="_Toc45184091"/>
      <w:bookmarkStart w:id="5807" w:name="_Toc47342933"/>
      <w:bookmarkStart w:id="5808" w:name="_Toc51769635"/>
      <w:bookmarkStart w:id="5809" w:name="_Toc201157803"/>
      <w:bookmarkEnd w:id="5802"/>
      <w:r w:rsidRPr="00873B6C">
        <w:t>6.3.12a.2</w:t>
      </w:r>
      <w:r w:rsidRPr="00873B6C">
        <w:tab/>
        <w:t>Access Network Selection Procedure</w:t>
      </w:r>
      <w:bookmarkEnd w:id="5803"/>
      <w:bookmarkEnd w:id="5804"/>
      <w:bookmarkEnd w:id="5805"/>
      <w:bookmarkEnd w:id="5806"/>
      <w:bookmarkEnd w:id="5807"/>
      <w:bookmarkEnd w:id="5808"/>
      <w:bookmarkEnd w:id="5809"/>
    </w:p>
    <w:p w14:paraId="6120C90F" w14:textId="77777777" w:rsidR="00D40151" w:rsidRPr="00873B6C" w:rsidRDefault="00D40151" w:rsidP="00D40151">
      <w:pPr>
        <w:rPr>
          <w:lang w:eastAsia="x-none"/>
        </w:rPr>
      </w:pPr>
      <w:r w:rsidRPr="00873B6C">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873B6C" w:rsidRDefault="00D40151" w:rsidP="00D40151">
      <w:pPr>
        <w:pStyle w:val="B1"/>
      </w:pPr>
      <w:r w:rsidRPr="00873B6C">
        <w:t>Step 1:</w:t>
      </w:r>
      <w:r w:rsidRPr="00873B6C">
        <w:tab/>
        <w:t>The N5CW device constructs a list of available PLMNs. This list contains the PLMNs included in the PLMN List-4 advertised by all discovered WLAN access networks.</w:t>
      </w:r>
    </w:p>
    <w:p w14:paraId="1C5E43B2" w14:textId="77777777" w:rsidR="00D40151" w:rsidRPr="00873B6C" w:rsidRDefault="00D40151" w:rsidP="00D40151">
      <w:pPr>
        <w:pStyle w:val="B2"/>
      </w:pPr>
      <w:r w:rsidRPr="00873B6C">
        <w:t>a.</w:t>
      </w:r>
      <w:r w:rsidRPr="00873B6C">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873B6C" w:rsidRDefault="00D40151" w:rsidP="00D40151">
      <w:pPr>
        <w:pStyle w:val="B1"/>
      </w:pPr>
      <w:r w:rsidRPr="00873B6C">
        <w:t>Step 2:</w:t>
      </w:r>
      <w:r w:rsidRPr="00873B6C">
        <w:tab/>
        <w:t>The N5CW device selects a PLMN that is included in the list of available PLMNs as follows.</w:t>
      </w:r>
    </w:p>
    <w:p w14:paraId="2AE5F414" w14:textId="77777777" w:rsidR="00D40151" w:rsidRPr="00873B6C" w:rsidRDefault="00D40151" w:rsidP="00D40151">
      <w:pPr>
        <w:pStyle w:val="B2"/>
      </w:pPr>
      <w:r w:rsidRPr="00873B6C">
        <w:t>a.</w:t>
      </w:r>
      <w:r w:rsidRPr="00873B6C">
        <w:tab/>
        <w:t>If the N5CW device is connected to a PLMN via 3GPP access and this PLMN is included in the list of available PLMNs, then the N5CW device selects this PLMN.</w:t>
      </w:r>
    </w:p>
    <w:p w14:paraId="52D17A1B" w14:textId="77777777" w:rsidR="00D40151" w:rsidRPr="00873B6C" w:rsidRDefault="00D40151" w:rsidP="00D40151">
      <w:pPr>
        <w:pStyle w:val="B2"/>
      </w:pPr>
      <w:r w:rsidRPr="00873B6C">
        <w:t>b.</w:t>
      </w:r>
      <w:r w:rsidRPr="00873B6C">
        <w:tab/>
        <w:t>Otherwise (the N5CW device is not connected to a PLMN via 3GPP access, or the N5CW device is connected to a PLMN via 3GPP access but this PLMN is not in the list of available PLMNs):</w:t>
      </w:r>
    </w:p>
    <w:p w14:paraId="49464BA7" w14:textId="77777777" w:rsidR="00D40151" w:rsidRPr="00873B6C" w:rsidRDefault="00D40151" w:rsidP="00D40151">
      <w:pPr>
        <w:pStyle w:val="B3"/>
      </w:pPr>
      <w:r w:rsidRPr="00873B6C">
        <w:t>i)</w:t>
      </w:r>
      <w:r w:rsidRPr="00873B6C">
        <w:tab/>
        <w:t>If the N5CW device determines to be located in its home country, then:</w:t>
      </w:r>
    </w:p>
    <w:p w14:paraId="28D12A73" w14:textId="77777777" w:rsidR="00D40151" w:rsidRPr="00873B6C" w:rsidRDefault="00D40151" w:rsidP="00D40151">
      <w:pPr>
        <w:pStyle w:val="B4"/>
      </w:pPr>
      <w:r w:rsidRPr="00873B6C">
        <w:t>-</w:t>
      </w:r>
      <w:r w:rsidRPr="00873B6C">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873B6C" w:rsidRDefault="00D40151" w:rsidP="00D40151">
      <w:pPr>
        <w:pStyle w:val="B3"/>
      </w:pPr>
      <w:r w:rsidRPr="00873B6C">
        <w:t>ii)</w:t>
      </w:r>
      <w:r w:rsidRPr="00873B6C">
        <w:tab/>
        <w:t>If the N5CW device determines to be located in its visited country, then:</w:t>
      </w:r>
    </w:p>
    <w:p w14:paraId="366FA7FB" w14:textId="77777777" w:rsidR="00D40151" w:rsidRPr="00873B6C" w:rsidRDefault="00D40151" w:rsidP="00D40151">
      <w:pPr>
        <w:pStyle w:val="B4"/>
      </w:pPr>
      <w:r w:rsidRPr="00873B6C">
        <w:t>-</w:t>
      </w:r>
      <w:r w:rsidRPr="00873B6C">
        <w:tab/>
        <w:t>The N5CW device determines if it is mandatory to select a PLMN in the visited country, as follows:</w:t>
      </w:r>
    </w:p>
    <w:p w14:paraId="748C26D1" w14:textId="77777777" w:rsidR="00D40151" w:rsidRPr="00873B6C" w:rsidRDefault="00D40151" w:rsidP="00D40151">
      <w:pPr>
        <w:pStyle w:val="B5"/>
      </w:pPr>
      <w:r w:rsidRPr="00873B6C">
        <w:t>-</w:t>
      </w:r>
      <w:r w:rsidRPr="00873B6C">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873B6C" w:rsidRDefault="00D40151" w:rsidP="00D40151">
      <w:pPr>
        <w:pStyle w:val="B5"/>
      </w:pPr>
      <w:r w:rsidRPr="00873B6C">
        <w:t>-</w:t>
      </w:r>
      <w:r w:rsidRPr="00873B6C">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87C566A" w:rsidR="00D40151" w:rsidRPr="00873B6C" w:rsidRDefault="00D40151" w:rsidP="00D40151">
      <w:pPr>
        <w:pStyle w:val="B4"/>
      </w:pPr>
      <w:r w:rsidRPr="00873B6C">
        <w:lastRenderedPageBreak/>
        <w:t>-</w:t>
      </w:r>
      <w:r w:rsidRPr="00873B6C">
        <w:tab/>
        <w:t>If the N5CW device determines that it is not mandatory to select a PLMN in the visited country</w:t>
      </w:r>
      <w:r w:rsidR="00472CD7" w:rsidRPr="00873B6C">
        <w:t xml:space="preserve"> and</w:t>
      </w:r>
      <w:r w:rsidRPr="00873B6C">
        <w:t xml:space="preserve"> the HPLMN or an E-HPLMN is included in the list of available PLMNs, then the N5CW device selects the HPLMN or an E-HPLMN, whichever is included in the list of available PLMNs.</w:t>
      </w:r>
    </w:p>
    <w:p w14:paraId="3D8A6270" w14:textId="77777777" w:rsidR="00D40151" w:rsidRPr="00873B6C" w:rsidRDefault="00D40151" w:rsidP="00D40151">
      <w:pPr>
        <w:pStyle w:val="B4"/>
      </w:pPr>
      <w:r w:rsidRPr="00873B6C">
        <w:t>-</w:t>
      </w:r>
      <w:r w:rsidRPr="00873B6C">
        <w:tab/>
        <w:t>Otherwise, the N5CW device selects a PLMN in the visited country as follows:</w:t>
      </w:r>
    </w:p>
    <w:p w14:paraId="00EF2AFF" w14:textId="6FFF547C" w:rsidR="00D40151" w:rsidRPr="00873B6C" w:rsidRDefault="00D40151" w:rsidP="00D40151">
      <w:pPr>
        <w:pStyle w:val="B5"/>
      </w:pPr>
      <w:r w:rsidRPr="00873B6C">
        <w:t>-</w:t>
      </w:r>
      <w:r w:rsidRPr="00873B6C">
        <w:tab/>
        <w:t xml:space="preserve">If the N5CW device has a USIM, the UE selects a PLMN in the visited country by considering, in priority order, the PLMNs, first, in the User Controlled PLMN Selector list and, next, in the Operator Controlled PLMN Selector list (see </w:t>
      </w:r>
      <w:r w:rsidR="00972E70" w:rsidRPr="00873B6C">
        <w:t>TS 23.122 [</w:t>
      </w:r>
      <w:r w:rsidRPr="00873B6C">
        <w:t>17]).</w:t>
      </w:r>
    </w:p>
    <w:p w14:paraId="725136F9" w14:textId="77777777" w:rsidR="00D40151" w:rsidRPr="00873B6C" w:rsidRDefault="00D40151" w:rsidP="00D40151">
      <w:pPr>
        <w:pStyle w:val="B5"/>
      </w:pPr>
      <w:r w:rsidRPr="00873B6C">
        <w:t>-</w:t>
      </w:r>
      <w:r w:rsidRPr="00873B6C">
        <w:tab/>
        <w:t>If the N5CW device does not have a USIM, the N5CW device selects the highest priority PLMN in a pre-configured list, which is also included in the list of available PLMNs.</w:t>
      </w:r>
    </w:p>
    <w:p w14:paraId="30B6F375" w14:textId="77777777" w:rsidR="00D40151" w:rsidRPr="00873B6C" w:rsidRDefault="00D40151" w:rsidP="00D40151">
      <w:pPr>
        <w:pStyle w:val="B5"/>
      </w:pPr>
      <w:r w:rsidRPr="00873B6C">
        <w:t>-</w:t>
      </w:r>
      <w:r w:rsidRPr="00873B6C">
        <w:tab/>
        <w:t>If the list of available PLMNs does not include a PLMN that is also included in the pre-configured list(s), the N5CW device either stops the access network selection procedure, or may select a PLMN based on its own implementation.</w:t>
      </w:r>
    </w:p>
    <w:p w14:paraId="75A69E67" w14:textId="197073CB" w:rsidR="00D40151" w:rsidRPr="00873B6C" w:rsidRDefault="00D40151" w:rsidP="00D40151">
      <w:pPr>
        <w:pStyle w:val="B1"/>
      </w:pPr>
      <w:r w:rsidRPr="00873B6C">
        <w:t>Step 3:</w:t>
      </w:r>
      <w:r w:rsidRPr="00873B6C">
        <w:tab/>
        <w:t>Finally, the N5CW device selects a WLAN access network (e.g. an SSID) to connect to,</w:t>
      </w:r>
      <w:r w:rsidR="002C4A81" w:rsidRPr="00873B6C">
        <w:t xml:space="preserve"> following the procedure specified in clause 6.6.1.3 of </w:t>
      </w:r>
      <w:r w:rsidR="00972E70" w:rsidRPr="00873B6C">
        <w:t>TS 23.503 [</w:t>
      </w:r>
      <w:r w:rsidR="002C4A81" w:rsidRPr="00873B6C">
        <w:t>45], "UE procedure for selecting a WLAN access based on WLANSP rules", or any other implementation specific means.</w:t>
      </w:r>
    </w:p>
    <w:p w14:paraId="28BD8CB7" w14:textId="6D7C1EC7" w:rsidR="00D40151" w:rsidRPr="00873B6C" w:rsidRDefault="00D40151" w:rsidP="00D40151">
      <w:r w:rsidRPr="00873B6C">
        <w:t>After the N5CW device completes the above access network selection procedure, the N5CW device initiates the "Initial Registration and PDU Session Establishment" procedure specified in</w:t>
      </w:r>
      <w:r w:rsidR="00131D56" w:rsidRPr="00873B6C">
        <w:t xml:space="preserve"> clause 4.12b.2</w:t>
      </w:r>
      <w:r w:rsidRPr="00873B6C">
        <w:t xml:space="preserve"> </w:t>
      </w:r>
      <w:r w:rsidR="00131D56" w:rsidRPr="00873B6C">
        <w:t xml:space="preserve">of </w:t>
      </w:r>
      <w:r w:rsidR="00972E70" w:rsidRPr="00873B6C">
        <w:t>TS 23.502 [</w:t>
      </w:r>
      <w:r w:rsidR="00695DF1" w:rsidRPr="00873B6C">
        <w:t>3]</w:t>
      </w:r>
      <w:r w:rsidRPr="00873B6C">
        <w:t>.</w:t>
      </w:r>
    </w:p>
    <w:p w14:paraId="013F2B48" w14:textId="6641A9F2" w:rsidR="006F101E" w:rsidRPr="00873B6C" w:rsidRDefault="006F101E" w:rsidP="00D40151">
      <w:pPr>
        <w:pStyle w:val="Heading3"/>
      </w:pPr>
      <w:bookmarkStart w:id="5810" w:name="_CR6_3_12b"/>
      <w:bookmarkStart w:id="5811" w:name="_Toc20150241"/>
      <w:bookmarkStart w:id="5812" w:name="_Toc27847049"/>
      <w:bookmarkStart w:id="5813" w:name="_Toc36188181"/>
      <w:bookmarkStart w:id="5814" w:name="_Toc45184092"/>
      <w:bookmarkStart w:id="5815" w:name="_Toc47342934"/>
      <w:bookmarkStart w:id="5816" w:name="_Toc51769636"/>
      <w:bookmarkStart w:id="5817" w:name="_Toc201157804"/>
      <w:bookmarkEnd w:id="5810"/>
      <w:r w:rsidRPr="00873B6C">
        <w:t>6.3.12b</w:t>
      </w:r>
      <w:r w:rsidRPr="00873B6C">
        <w:tab/>
        <w:t>Access Network selection for 5G NSWO</w:t>
      </w:r>
      <w:bookmarkEnd w:id="5817"/>
    </w:p>
    <w:p w14:paraId="3701CA7C" w14:textId="77777777" w:rsidR="006F101E" w:rsidRPr="00873B6C" w:rsidRDefault="006F101E" w:rsidP="006F101E">
      <w:r w:rsidRPr="00873B6C">
        <w:t>In addition to the PLMN lists specified in clause 6.3.12 and in clause 6.3.12a, a WLAN access network may also advertise the following PLMN list:</w:t>
      </w:r>
    </w:p>
    <w:p w14:paraId="15166BEC" w14:textId="12FFE9E0" w:rsidR="006F101E" w:rsidRPr="00873B6C" w:rsidRDefault="006F101E" w:rsidP="00433EFC">
      <w:pPr>
        <w:pStyle w:val="B1"/>
      </w:pPr>
      <w:r w:rsidRPr="00873B6C">
        <w:t>-</w:t>
      </w:r>
      <w:r w:rsidRPr="00873B6C">
        <w:tab/>
        <w:t>A PLMN List-5, which includes</w:t>
      </w:r>
      <w:r w:rsidR="00141A61" w:rsidRPr="00873B6C">
        <w:t xml:space="preserve"> candidate</w:t>
      </w:r>
      <w:r w:rsidRPr="00873B6C">
        <w:t xml:space="preserve"> PLMNs with which "AAA connectivity to 5GC" is supported. A WLAN access network supports "AAA connectivity to 5GC" in a</w:t>
      </w:r>
      <w:r w:rsidR="00141A61" w:rsidRPr="00873B6C">
        <w:t xml:space="preserve"> candidate</w:t>
      </w:r>
      <w:r w:rsidRPr="00873B6C">
        <w:t xml:space="preserve"> PLMN when it deploys an AAA function that can connect with a NSWOF in this PLMN</w:t>
      </w:r>
      <w:r w:rsidR="00141A61" w:rsidRPr="00873B6C">
        <w:t xml:space="preserve"> or can connect with a NSWOF in another PLMN (i.e. HPLMN in roaming case) via AAA proxy</w:t>
      </w:r>
      <w:r w:rsidRPr="00873B6C">
        <w:t>. The NSWOF supports "WLAN connection using 5G credentials without 5GS registration", as defined in clause 4.2.15.</w:t>
      </w:r>
    </w:p>
    <w:p w14:paraId="3373C358" w14:textId="2192CF0A" w:rsidR="00141A61" w:rsidRPr="00873B6C" w:rsidRDefault="00141A61" w:rsidP="006F101E">
      <w:r w:rsidRPr="00873B6C">
        <w:t>If the UE selects a PLMN that is neither UE's HPLMN nor EHPLMN through which the NSWO request should be sent towards the HPLMN, the UE shall use the decorated NAI format as specified in clause 4.2.15 and in TS 23.003 [19].</w:t>
      </w:r>
    </w:p>
    <w:p w14:paraId="751B77AC" w14:textId="37397CC1" w:rsidR="00D51D1B" w:rsidRPr="00873B6C" w:rsidRDefault="00D51D1B" w:rsidP="006F101E">
      <w:r w:rsidRPr="00873B6C">
        <w:t>For access to SNPN or CH , a WLAN access network may also advertise the following SNPN list:</w:t>
      </w:r>
    </w:p>
    <w:p w14:paraId="29BDFD82" w14:textId="51A763B6" w:rsidR="00D51D1B" w:rsidRPr="00873B6C" w:rsidRDefault="00D51D1B" w:rsidP="00972E70">
      <w:pPr>
        <w:pStyle w:val="B1"/>
      </w:pPr>
      <w:r w:rsidRPr="00873B6C">
        <w:t>-</w:t>
      </w:r>
      <w:r w:rsidRPr="00873B6C">
        <w:tab/>
        <w:t>A SNPN List-5, which includes SNPNs with which "AAA connectivity to 5GC" is supported.</w:t>
      </w:r>
      <w:r w:rsidR="007E4CBA" w:rsidRPr="00873B6C">
        <w:t xml:space="preserve"> The SNPNs are the candidate serving SNPNs that the WLAN access network can connect with.</w:t>
      </w:r>
      <w:r w:rsidRPr="00873B6C">
        <w:t xml:space="preserve"> A WLAN access network supports "AAA connectivity to 5GC" in a SNPN when it deploys an AAA function that can connect with a NSWOF in this SNPN or</w:t>
      </w:r>
      <w:r w:rsidR="007E4CBA" w:rsidRPr="00873B6C">
        <w:t xml:space="preserve"> can connect with a NSWOF or AAA server in a</w:t>
      </w:r>
      <w:r w:rsidRPr="00873B6C">
        <w:t xml:space="preserve"> CH</w:t>
      </w:r>
      <w:r w:rsidR="007E4CBA" w:rsidRPr="00873B6C">
        <w:t xml:space="preserve"> via AAA Proxy</w:t>
      </w:r>
      <w:r w:rsidRPr="00873B6C">
        <w:t>. The SNPN or CH supports "WLAN connection using 5G credentials without 5GS registration", as defined in clause 4.2.15.</w:t>
      </w:r>
    </w:p>
    <w:p w14:paraId="6ACDB32C" w14:textId="51A7BB60" w:rsidR="007E4CBA" w:rsidRPr="00873B6C" w:rsidRDefault="007E4CBA" w:rsidP="00FA7D5B">
      <w:pPr>
        <w:pStyle w:val="NO"/>
      </w:pPr>
      <w:r w:rsidRPr="00873B6C">
        <w:t>NOTE:</w:t>
      </w:r>
      <w:r w:rsidRPr="00873B6C">
        <w:tab/>
        <w:t>The selected SNPN within the SNPN List-5 is interpreted as serving SNPN when the SNPN does not correspond to UE's subscribed SNPN.</w:t>
      </w:r>
    </w:p>
    <w:p w14:paraId="0A06E182" w14:textId="111196AA" w:rsidR="006F101E" w:rsidRPr="00873B6C" w:rsidRDefault="006F101E" w:rsidP="006F101E">
      <w:r w:rsidRPr="00873B6C">
        <w:t xml:space="preserve">When the UE wants to connect to a WLAN access network using the 5G NSWO procedure defined in </w:t>
      </w:r>
      <w:r w:rsidR="00972E70" w:rsidRPr="00873B6C">
        <w:t>TS 33.501 [</w:t>
      </w:r>
      <w:r w:rsidRPr="00873B6C">
        <w:t>29], Annex S, the UE may retrieve the PLMN List-5</w:t>
      </w:r>
      <w:r w:rsidR="00D51D1B" w:rsidRPr="00873B6C">
        <w:t xml:space="preserve"> or SNPN List-5</w:t>
      </w:r>
      <w:r w:rsidRPr="00873B6C">
        <w:t xml:space="preserve"> advertised by each discovered WLAN access network and may consider this list for selecting the WLAN access network to connect to. For example, if the UE identifies that the HPLMN</w:t>
      </w:r>
      <w:r w:rsidR="00D51D1B" w:rsidRPr="00873B6C">
        <w:t xml:space="preserve"> or CH</w:t>
      </w:r>
      <w:r w:rsidRPr="00873B6C">
        <w:t xml:space="preserve"> is included in the PLMN List-5</w:t>
      </w:r>
      <w:r w:rsidR="00D51D1B" w:rsidRPr="00873B6C">
        <w:t xml:space="preserve"> or SNPN List-5</w:t>
      </w:r>
      <w:r w:rsidRPr="00873B6C">
        <w:t xml:space="preserve"> advertised by a WLAN access network, the UE may select this WLAN access network to connect to using the 5G NSWO procedure.</w:t>
      </w:r>
    </w:p>
    <w:p w14:paraId="7D3B7EE9" w14:textId="502ED9CC" w:rsidR="006F101E" w:rsidRPr="00873B6C" w:rsidRDefault="006F101E" w:rsidP="006F101E">
      <w:r w:rsidRPr="00873B6C">
        <w:t>When the UE is configured by HPLMN</w:t>
      </w:r>
      <w:r w:rsidR="00D51D1B" w:rsidRPr="00873B6C">
        <w:t xml:space="preserve"> or CH</w:t>
      </w:r>
      <w:r w:rsidRPr="00873B6C">
        <w:t xml:space="preserve"> to use 5G NSWO for connecting to WLAN access networks using its 5G credentials (as defined in </w:t>
      </w:r>
      <w:r w:rsidR="00972E70" w:rsidRPr="00873B6C">
        <w:t>TS 33.501 [</w:t>
      </w:r>
      <w:r w:rsidRPr="00873B6C">
        <w:t>29]), the UE shall attempt to select a WLAN that supports 5G NSWO and shall only use the 5G NSWO procedure for connecting to the selected WLAN.</w:t>
      </w:r>
    </w:p>
    <w:p w14:paraId="24C4387E" w14:textId="542BFC75" w:rsidR="001F5968" w:rsidRPr="00873B6C" w:rsidRDefault="001F5968" w:rsidP="001F5968">
      <w:r w:rsidRPr="00873B6C">
        <w:t>A WLAN access network may also advertise a list of SNPNs which includes SNPNs with which "AAA connectivity to 5GC" is supported. A WLAN access network supports "AAA connectivity to 5GC" in an SNPN when it deploys an AAA function that can connect with a SNPN</w:t>
      </w:r>
      <w:r w:rsidR="00D51D1B" w:rsidRPr="00873B6C">
        <w:t xml:space="preserve"> or CH using any of the architectures defined in clause 4.2.15</w:t>
      </w:r>
      <w:r w:rsidRPr="00873B6C">
        <w:t xml:space="preserve">. When the UE operating in SNPN access mode wants to connect to a WLAN access network using the 5G NSWO procedure defined in Annex S of </w:t>
      </w:r>
      <w:r w:rsidR="00972E70" w:rsidRPr="00873B6C">
        <w:t>TS 33.501 [</w:t>
      </w:r>
      <w:r w:rsidRPr="00873B6C">
        <w:t xml:space="preserve">29], the UE may retrieve the SNPNs with which "AAA connectivity to 5GC" is </w:t>
      </w:r>
      <w:r w:rsidRPr="00873B6C">
        <w:lastRenderedPageBreak/>
        <w:t>supported that are advertised by each discovered WLAN access network and may consider this information for selecting the WLAN access network to which it attempts to connect.</w:t>
      </w:r>
    </w:p>
    <w:p w14:paraId="0ACC23D2" w14:textId="7A649F46" w:rsidR="00D40151" w:rsidRPr="00873B6C" w:rsidRDefault="00D40151" w:rsidP="00D40151">
      <w:pPr>
        <w:pStyle w:val="Heading3"/>
      </w:pPr>
      <w:bookmarkStart w:id="5818" w:name="_CR6_3_13"/>
      <w:bookmarkStart w:id="5819" w:name="_Toc201157805"/>
      <w:bookmarkEnd w:id="5818"/>
      <w:r w:rsidRPr="00873B6C">
        <w:t>6.3.13</w:t>
      </w:r>
      <w:r w:rsidRPr="00873B6C">
        <w:tab/>
        <w:t>NWDAF discovery and selection</w:t>
      </w:r>
      <w:bookmarkEnd w:id="5811"/>
      <w:bookmarkEnd w:id="5812"/>
      <w:bookmarkEnd w:id="5813"/>
      <w:bookmarkEnd w:id="5814"/>
      <w:bookmarkEnd w:id="5815"/>
      <w:bookmarkEnd w:id="5816"/>
      <w:bookmarkEnd w:id="5819"/>
    </w:p>
    <w:p w14:paraId="5486F2E0" w14:textId="77777777" w:rsidR="00D40151" w:rsidRPr="00873B6C" w:rsidRDefault="00D40151" w:rsidP="00D40151">
      <w:r w:rsidRPr="00873B6C">
        <w:t>Multiple instances of NWDAF may be deployed in a network.</w:t>
      </w:r>
    </w:p>
    <w:p w14:paraId="58204F12" w14:textId="1A4DB03C" w:rsidR="00D40151" w:rsidRPr="00873B6C" w:rsidRDefault="00D40151" w:rsidP="00D40151">
      <w:r w:rsidRPr="00873B6C">
        <w:t>The NF consumers shall utilize the NRF to discover NWDAF instance(s) unless NWDAF information is available by other means, e.g. locally configured on NF consumers.</w:t>
      </w:r>
      <w:r w:rsidR="00227007" w:rsidRPr="00873B6C">
        <w:t xml:space="preserve"> NF consumers may make an additional query to UDM, when supported, as detailed below.</w:t>
      </w:r>
      <w:r w:rsidRPr="00873B6C">
        <w:t xml:space="preserve"> The NWDAF selection function in NF consumers selects an NWDAF instance based on the available NWDAF instances.</w:t>
      </w:r>
    </w:p>
    <w:p w14:paraId="5B9E1F6B" w14:textId="77777777" w:rsidR="00821D9E" w:rsidRPr="00873B6C" w:rsidRDefault="00821D9E" w:rsidP="00821D9E">
      <w:r w:rsidRPr="00873B6C">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873B6C" w:rsidRDefault="00D40151" w:rsidP="00D40151">
      <w:r w:rsidRPr="00873B6C">
        <w:t>The following factors may be considered by the NF consumer for NWDAF selection:</w:t>
      </w:r>
    </w:p>
    <w:p w14:paraId="3A9C2506" w14:textId="77777777" w:rsidR="00D40151" w:rsidRPr="00873B6C" w:rsidRDefault="00D40151" w:rsidP="00D40151">
      <w:pPr>
        <w:pStyle w:val="B1"/>
      </w:pPr>
      <w:r w:rsidRPr="00873B6C">
        <w:t>-</w:t>
      </w:r>
      <w:r w:rsidRPr="00873B6C">
        <w:tab/>
        <w:t>S-NSSAI.</w:t>
      </w:r>
    </w:p>
    <w:p w14:paraId="13452D0D" w14:textId="77777777" w:rsidR="00D40151" w:rsidRPr="00873B6C" w:rsidRDefault="00D40151" w:rsidP="00D40151">
      <w:pPr>
        <w:pStyle w:val="B1"/>
      </w:pPr>
      <w:r w:rsidRPr="00873B6C">
        <w:t>-</w:t>
      </w:r>
      <w:r w:rsidRPr="00873B6C">
        <w:tab/>
        <w:t>Analytics ID(s).</w:t>
      </w:r>
    </w:p>
    <w:p w14:paraId="57612A7B" w14:textId="0FDABCE4" w:rsidR="00405088" w:rsidRPr="00873B6C" w:rsidRDefault="00405088" w:rsidP="00D40151">
      <w:pPr>
        <w:pStyle w:val="B1"/>
      </w:pPr>
      <w:r w:rsidRPr="00873B6C">
        <w:t>-</w:t>
      </w:r>
      <w:r w:rsidRPr="00873B6C">
        <w:tab/>
        <w:t>Supported service(s), possibly with their associated Analytics IDs.</w:t>
      </w:r>
    </w:p>
    <w:p w14:paraId="5FDE0557" w14:textId="6FAEB059" w:rsidR="00D40151" w:rsidRPr="00873B6C" w:rsidRDefault="00D40151" w:rsidP="00D40151">
      <w:pPr>
        <w:pStyle w:val="B1"/>
      </w:pPr>
      <w:r w:rsidRPr="00873B6C">
        <w:t>-</w:t>
      </w:r>
      <w:r w:rsidRPr="00873B6C">
        <w:tab/>
        <w:t>NWDAF Serving Area information, i.e. list of TAIs</w:t>
      </w:r>
      <w:r w:rsidR="00FA5436" w:rsidRPr="00873B6C">
        <w:t>,</w:t>
      </w:r>
      <w:r w:rsidRPr="00873B6C">
        <w:t xml:space="preserve"> for which the NWDAF can provide</w:t>
      </w:r>
      <w:r w:rsidR="00BA4B57" w:rsidRPr="00873B6C">
        <w:t xml:space="preserve"> services and collect data</w:t>
      </w:r>
      <w:r w:rsidR="009B42A2" w:rsidRPr="00873B6C">
        <w:t>; for each item of this list, a weight may be defined in the NWDAF NF profile to indicate the priority of the NWDAF to cover the TA</w:t>
      </w:r>
      <w:r w:rsidRPr="00873B6C">
        <w:t>.</w:t>
      </w:r>
      <w:r w:rsidR="002A4DF8" w:rsidRPr="00873B6C">
        <w:t xml:space="preserve"> If there exists AoI, then the NWDAF whose serving area covers the AoI may be selected.</w:t>
      </w:r>
    </w:p>
    <w:p w14:paraId="1B9A9E7C" w14:textId="77777777" w:rsidR="00405088" w:rsidRPr="00873B6C" w:rsidRDefault="00405088" w:rsidP="00405088">
      <w:pPr>
        <w:pStyle w:val="NO"/>
      </w:pPr>
      <w:bookmarkStart w:id="5820" w:name="_Toc20150242"/>
      <w:bookmarkStart w:id="5821" w:name="_Toc27847050"/>
      <w:bookmarkStart w:id="5822" w:name="_Toc36188182"/>
      <w:bookmarkStart w:id="5823" w:name="_Toc45184093"/>
      <w:bookmarkStart w:id="5824" w:name="_Toc47342935"/>
      <w:bookmarkStart w:id="5825" w:name="_Toc51769637"/>
      <w:r w:rsidRPr="00873B6C">
        <w:t>NOTE 1:</w:t>
      </w:r>
      <w:r w:rsidRPr="00873B6C">
        <w:tab/>
        <w:t>If all services provided by one NWDAF do not support the same Analytics ID, the NWDAF registers the Analytics IDs of the services at the service level.</w:t>
      </w:r>
    </w:p>
    <w:p w14:paraId="15BECEE5" w14:textId="77777777" w:rsidR="00405088" w:rsidRPr="00873B6C" w:rsidRDefault="00405088" w:rsidP="00405088">
      <w:pPr>
        <w:pStyle w:val="NO"/>
      </w:pPr>
      <w:r w:rsidRPr="00873B6C">
        <w:t>NOTE 2:</w:t>
      </w:r>
      <w:r w:rsidRPr="00873B6C">
        <w:tab/>
        <w:t>Analytics ID(s) at service level take precedence over Analytics ID(s) at NF level.</w:t>
      </w:r>
    </w:p>
    <w:p w14:paraId="5413E47B" w14:textId="77777777" w:rsidR="00405088" w:rsidRPr="00873B6C" w:rsidRDefault="00405088" w:rsidP="00405088">
      <w:pPr>
        <w:pStyle w:val="NO"/>
      </w:pPr>
      <w:r w:rsidRPr="00873B6C">
        <w:t>NOTE 3:</w:t>
      </w:r>
      <w:r w:rsidRPr="00873B6C">
        <w:tab/>
        <w:t>For discovery of NWDAF supporting Nnwdaf_AnalyticsSubscription or Nnwdaf_AnalyticsInfo services, the Analytics IDs at the NWDAF NF profile are used.</w:t>
      </w:r>
    </w:p>
    <w:p w14:paraId="6425CF95" w14:textId="77777777" w:rsidR="00B04F2B" w:rsidRPr="00873B6C" w:rsidRDefault="00F92505">
      <w:pPr>
        <w:pStyle w:val="B1"/>
      </w:pPr>
      <w:r w:rsidRPr="00873B6C">
        <w:t>-</w:t>
      </w:r>
      <w:r w:rsidRPr="00873B6C">
        <w:tab/>
        <w:t>(only when DCCF is hosted by NWDAF)</w:t>
      </w:r>
      <w:r w:rsidR="006D2D57" w:rsidRPr="00873B6C">
        <w:t>:</w:t>
      </w:r>
    </w:p>
    <w:p w14:paraId="273F6BEB" w14:textId="46CE8BD3" w:rsidR="00F92505" w:rsidRPr="00873B6C" w:rsidRDefault="00B04F2B" w:rsidP="00562E84">
      <w:pPr>
        <w:pStyle w:val="B2"/>
      </w:pPr>
      <w:r w:rsidRPr="00873B6C">
        <w:t>-</w:t>
      </w:r>
      <w:r w:rsidRPr="00873B6C">
        <w:tab/>
      </w:r>
      <w:r w:rsidR="00F92505" w:rsidRPr="00873B6C">
        <w:t>NF type of the data source.</w:t>
      </w:r>
    </w:p>
    <w:p w14:paraId="12FB5167" w14:textId="77777777" w:rsidR="00F92505" w:rsidRPr="00873B6C" w:rsidRDefault="00F92505" w:rsidP="00FA7D5B">
      <w:pPr>
        <w:pStyle w:val="B2"/>
      </w:pPr>
      <w:r w:rsidRPr="00873B6C">
        <w:t>-</w:t>
      </w:r>
      <w:r w:rsidRPr="00873B6C">
        <w:tab/>
        <w:t>NF Set ID of the data source.</w:t>
      </w:r>
    </w:p>
    <w:p w14:paraId="7135F491" w14:textId="14FDEFB2" w:rsidR="00F92505" w:rsidRPr="00873B6C" w:rsidRDefault="00F92505" w:rsidP="00323277">
      <w:pPr>
        <w:pStyle w:val="NO"/>
      </w:pPr>
      <w:r w:rsidRPr="00873B6C">
        <w:t>NOTE</w:t>
      </w:r>
      <w:r w:rsidR="00405088" w:rsidRPr="00873B6C">
        <w:t> 4</w:t>
      </w:r>
      <w:r w:rsidRPr="00873B6C">
        <w:t>:</w:t>
      </w:r>
      <w:r w:rsidRPr="00873B6C">
        <w:tab/>
      </w:r>
      <w:r w:rsidR="00B04F2B" w:rsidRPr="00873B6C">
        <w:t xml:space="preserve">Can </w:t>
      </w:r>
      <w:r w:rsidRPr="00873B6C">
        <w:t>be used when the NWDAF determines that it needs to discover another NWDAF which is responsible for co-ordinating the collection of required data. The NWDAF does a new discovery for a target NWDAF via NRF using NF Set ID</w:t>
      </w:r>
      <w:r w:rsidR="002A4DF8" w:rsidRPr="00873B6C">
        <w:t xml:space="preserve"> or NF type</w:t>
      </w:r>
      <w:r w:rsidRPr="00873B6C">
        <w:t xml:space="preserve"> of the data source</w:t>
      </w:r>
      <w:r w:rsidR="002A4DF8" w:rsidRPr="00873B6C">
        <w:t>, or using Area of Interest</w:t>
      </w:r>
      <w:r w:rsidRPr="00873B6C">
        <w:t>.</w:t>
      </w:r>
    </w:p>
    <w:p w14:paraId="66214BE3" w14:textId="2B23F637" w:rsidR="00B04F2B" w:rsidRPr="00873B6C" w:rsidRDefault="00B04F2B" w:rsidP="00B04F2B">
      <w:pPr>
        <w:pStyle w:val="NO"/>
      </w:pPr>
      <w:r w:rsidRPr="00873B6C">
        <w:t>NOTE 5:</w:t>
      </w:r>
      <w:r w:rsidRPr="00873B6C">
        <w:tab/>
        <w:t>For discovery of NWDAF supporting Nnwdaf_DataManagement service, at least the NWDAF Serving Area information from the NWDAF profile are used.</w:t>
      </w:r>
    </w:p>
    <w:p w14:paraId="5F76A6C3" w14:textId="08894112" w:rsidR="00B04F2B" w:rsidRPr="00873B6C" w:rsidRDefault="00B04F2B" w:rsidP="00562E84">
      <w:pPr>
        <w:pStyle w:val="NO"/>
      </w:pPr>
      <w:r w:rsidRPr="00873B6C">
        <w:t>NOTE 6:</w:t>
      </w:r>
      <w:r w:rsidRPr="00873B6C">
        <w:tab/>
        <w:t>The presence of NF type of data source or NF set ID of the data source denotes that the NWDAF can collect data from such NF Sets or NF Types.</w:t>
      </w:r>
    </w:p>
    <w:p w14:paraId="0BF38084" w14:textId="5C528E13" w:rsidR="00821D9E" w:rsidRPr="00873B6C" w:rsidRDefault="00821D9E" w:rsidP="00323277">
      <w:pPr>
        <w:pStyle w:val="B1"/>
      </w:pPr>
      <w:r w:rsidRPr="00873B6C">
        <w:t>-</w:t>
      </w:r>
      <w:r w:rsidRPr="00873B6C">
        <w:tab/>
        <w:t>Supported Analytics Delay of the requested Analytics ID(s) (see clause 6.2.6.2).</w:t>
      </w:r>
    </w:p>
    <w:p w14:paraId="69441309" w14:textId="43405D71" w:rsidR="00F1595A" w:rsidRPr="00873B6C" w:rsidRDefault="00F1595A" w:rsidP="00F1595A">
      <w:pPr>
        <w:pStyle w:val="B1"/>
      </w:pPr>
      <w:r w:rsidRPr="00873B6C">
        <w:t>-</w:t>
      </w:r>
      <w:r w:rsidRPr="00873B6C">
        <w:tab/>
        <w:t>Vendor ID(s) of potential target AnLF(s), e.g. used in transfer procedure.</w:t>
      </w:r>
    </w:p>
    <w:p w14:paraId="4B97DB74" w14:textId="5C6D427D" w:rsidR="001F3682" w:rsidRPr="00873B6C" w:rsidRDefault="001F3682" w:rsidP="00323277">
      <w:r w:rsidRPr="00873B6C">
        <w:t>In the case of multiple instances of NWDAFs deployment, following factors may also be considered:</w:t>
      </w:r>
    </w:p>
    <w:p w14:paraId="4DAEB2CB" w14:textId="61436124" w:rsidR="001F3682" w:rsidRPr="00873B6C" w:rsidRDefault="001F3682" w:rsidP="001F3682">
      <w:pPr>
        <w:pStyle w:val="B1"/>
      </w:pPr>
      <w:r w:rsidRPr="00873B6C">
        <w:t>-</w:t>
      </w:r>
      <w:r w:rsidRPr="00873B6C">
        <w:tab/>
        <w:t>NWDAF Capabilities:</w:t>
      </w:r>
    </w:p>
    <w:p w14:paraId="2F1F9776" w14:textId="2593897D" w:rsidR="001F3682" w:rsidRPr="00873B6C" w:rsidRDefault="001F3682" w:rsidP="00323277">
      <w:pPr>
        <w:pStyle w:val="B2"/>
      </w:pPr>
      <w:r w:rsidRPr="00873B6C">
        <w:t>-</w:t>
      </w:r>
      <w:r w:rsidRPr="00873B6C">
        <w:tab/>
        <w:t>Analytics aggregation capability.</w:t>
      </w:r>
    </w:p>
    <w:p w14:paraId="78C647C7" w14:textId="45C0C7ED" w:rsidR="001F3682" w:rsidRPr="00873B6C" w:rsidRDefault="001F3682" w:rsidP="00323277">
      <w:pPr>
        <w:pStyle w:val="B2"/>
      </w:pPr>
      <w:r w:rsidRPr="00873B6C">
        <w:t>-</w:t>
      </w:r>
      <w:r w:rsidRPr="00873B6C">
        <w:tab/>
        <w:t>Analytics metadata provisioning capability.</w:t>
      </w:r>
    </w:p>
    <w:p w14:paraId="66CA9D80" w14:textId="06B68FA8" w:rsidR="009B42A2" w:rsidRPr="00873B6C" w:rsidRDefault="009B42A2" w:rsidP="009B42A2">
      <w:pPr>
        <w:pStyle w:val="B2"/>
      </w:pPr>
      <w:r w:rsidRPr="00873B6C">
        <w:t>-</w:t>
      </w:r>
      <w:r w:rsidRPr="00873B6C">
        <w:tab/>
        <w:t>Accuracy checking capability</w:t>
      </w:r>
      <w:r w:rsidR="00AF2D89" w:rsidRPr="00873B6C">
        <w:t xml:space="preserve"> (i.e. analytics accuracy checking capability for the AnLF and/or ML Model accuracy checking capability for the MTLF as defined in clause 5C.1 of TS 23.288 [86])</w:t>
      </w:r>
      <w:r w:rsidRPr="00873B6C">
        <w:t>.</w:t>
      </w:r>
    </w:p>
    <w:p w14:paraId="444DF54E" w14:textId="4B898C4C" w:rsidR="00227007" w:rsidRPr="00873B6C" w:rsidRDefault="00227007" w:rsidP="009D42BF">
      <w:r w:rsidRPr="00873B6C">
        <w:lastRenderedPageBreak/>
        <w:t>Applicable when NF consumer cannot determine a suitable NWDAF instance based on NRF discovery response</w:t>
      </w:r>
      <w:r w:rsidR="00472CD7" w:rsidRPr="00873B6C">
        <w:t xml:space="preserve"> and</w:t>
      </w:r>
      <w:r w:rsidRPr="00873B6C">
        <w:t xml:space="preserve"> when NWDAF registration in UDM is supported, as defined in clause 5.2 of </w:t>
      </w:r>
      <w:r w:rsidR="00972E70" w:rsidRPr="00873B6C">
        <w:t>TS 23.288 [</w:t>
      </w:r>
      <w:r w:rsidRPr="00873B6C">
        <w:t>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873B6C" w:rsidRDefault="00227007" w:rsidP="00562E84">
      <w:pPr>
        <w:pStyle w:val="B1"/>
      </w:pPr>
      <w:r w:rsidRPr="00873B6C">
        <w:t>-</w:t>
      </w:r>
      <w:r w:rsidRPr="00873B6C">
        <w:tab/>
        <w:t>SUPI.</w:t>
      </w:r>
    </w:p>
    <w:p w14:paraId="7AC8565A" w14:textId="77777777" w:rsidR="00227007" w:rsidRPr="00873B6C" w:rsidRDefault="00227007" w:rsidP="00562E84">
      <w:pPr>
        <w:pStyle w:val="B1"/>
      </w:pPr>
      <w:r w:rsidRPr="00873B6C">
        <w:t>-</w:t>
      </w:r>
      <w:r w:rsidRPr="00873B6C">
        <w:tab/>
        <w:t>Analytics ID(s).</w:t>
      </w:r>
    </w:p>
    <w:p w14:paraId="5741DE18" w14:textId="08031EFC" w:rsidR="009D42BF" w:rsidRPr="00873B6C" w:rsidRDefault="009D42BF" w:rsidP="009D42BF">
      <w:r w:rsidRPr="00873B6C">
        <w:t>When selecting an NWDAF for ML model provisioning, the following additional factors may be considered by the NWDAF:</w:t>
      </w:r>
    </w:p>
    <w:p w14:paraId="7D1CC76D" w14:textId="0DB039AD" w:rsidR="00B04F2B" w:rsidRPr="00873B6C" w:rsidRDefault="00B04F2B" w:rsidP="00323277">
      <w:pPr>
        <w:pStyle w:val="B1"/>
      </w:pPr>
      <w:r w:rsidRPr="00873B6C">
        <w:t>-</w:t>
      </w:r>
      <w:r w:rsidRPr="00873B6C">
        <w:tab/>
        <w:t>The</w:t>
      </w:r>
      <w:r w:rsidR="00283ED6" w:rsidRPr="00873B6C">
        <w:t xml:space="preserve"> ML model Filter information parameters S-NSSAI(s) and Area(s) of Interest</w:t>
      </w:r>
      <w:r w:rsidRPr="00873B6C">
        <w:t xml:space="preserve"> (see clause 5.2, </w:t>
      </w:r>
      <w:r w:rsidR="00972E70" w:rsidRPr="00873B6C">
        <w:t>TS 23.288 [</w:t>
      </w:r>
      <w:r w:rsidRPr="00873B6C">
        <w:t>86]) for the trained ML model(s) per Analytics ID(s)</w:t>
      </w:r>
      <w:r w:rsidR="001151EB" w:rsidRPr="00873B6C">
        <w:t xml:space="preserve"> and ML Model Interoperability indicator</w:t>
      </w:r>
      <w:r w:rsidR="009E78C1" w:rsidRPr="00873B6C">
        <w:t xml:space="preserve"> per </w:t>
      </w:r>
      <w:r w:rsidR="00335A94" w:rsidRPr="00873B6C">
        <w:t>A</w:t>
      </w:r>
      <w:r w:rsidR="009E78C1" w:rsidRPr="00873B6C">
        <w:t>nalytics ID</w:t>
      </w:r>
      <w:r w:rsidRPr="00873B6C">
        <w:t>, if available.</w:t>
      </w:r>
    </w:p>
    <w:p w14:paraId="60D2FDA6" w14:textId="77777777" w:rsidR="001151EB" w:rsidRPr="00873B6C" w:rsidRDefault="001151EB" w:rsidP="001151EB">
      <w:r w:rsidRPr="00873B6C">
        <w:t>When selecting an NWDAF that supports Federated Learning, the following additional factors may be considered by the NWDAF:</w:t>
      </w:r>
    </w:p>
    <w:p w14:paraId="208F4033" w14:textId="326F1654" w:rsidR="001151EB" w:rsidRPr="00873B6C" w:rsidRDefault="001151EB" w:rsidP="00695DF1">
      <w:pPr>
        <w:pStyle w:val="B1"/>
      </w:pPr>
      <w:r w:rsidRPr="00873B6C">
        <w:t>-</w:t>
      </w:r>
      <w:r w:rsidRPr="00873B6C">
        <w:tab/>
        <w:t>Time Period of Interest</w:t>
      </w:r>
      <w:r w:rsidR="009E78C1" w:rsidRPr="00873B6C">
        <w:t>: time interval [start…end], during which the Federated Learning will be performed</w:t>
      </w:r>
      <w:r w:rsidRPr="00873B6C">
        <w:t>.</w:t>
      </w:r>
    </w:p>
    <w:p w14:paraId="0BC9928D" w14:textId="215B95E3" w:rsidR="001151EB" w:rsidRPr="00873B6C" w:rsidRDefault="001151EB" w:rsidP="00695DF1">
      <w:pPr>
        <w:pStyle w:val="B1"/>
      </w:pPr>
      <w:r w:rsidRPr="00873B6C">
        <w:t>-</w:t>
      </w:r>
      <w:r w:rsidRPr="00873B6C">
        <w:tab/>
        <w:t>when selecting FL client</w:t>
      </w:r>
      <w:r w:rsidR="000C6BFB" w:rsidRPr="00873B6C">
        <w:t xml:space="preserve"> NWDAF</w:t>
      </w:r>
      <w:r w:rsidRPr="00873B6C">
        <w:t>:</w:t>
      </w:r>
    </w:p>
    <w:p w14:paraId="7ED169D9" w14:textId="252EB871" w:rsidR="001151EB" w:rsidRPr="00873B6C" w:rsidRDefault="001151EB" w:rsidP="00695DF1">
      <w:pPr>
        <w:pStyle w:val="B2"/>
      </w:pPr>
      <w:r w:rsidRPr="00873B6C">
        <w:t>-</w:t>
      </w:r>
      <w:r w:rsidRPr="00873B6C">
        <w:tab/>
        <w:t>FL capability type as FL client</w:t>
      </w:r>
      <w:r w:rsidR="000C6BFB" w:rsidRPr="00873B6C">
        <w:t xml:space="preserve"> NWDAF</w:t>
      </w:r>
      <w:r w:rsidR="00335A94" w:rsidRPr="00873B6C">
        <w:t xml:space="preserve"> per Analytics ID</w:t>
      </w:r>
      <w:r w:rsidRPr="00873B6C">
        <w:t>.</w:t>
      </w:r>
    </w:p>
    <w:p w14:paraId="63A27E4C" w14:textId="59AA4C14" w:rsidR="00114986" w:rsidRPr="00873B6C" w:rsidRDefault="00114986" w:rsidP="00114986">
      <w:pPr>
        <w:pStyle w:val="B2"/>
      </w:pPr>
      <w:r w:rsidRPr="00873B6C">
        <w:t>-</w:t>
      </w:r>
      <w:r w:rsidRPr="00873B6C">
        <w:tab/>
        <w:t>NF type(s)</w:t>
      </w:r>
      <w:r w:rsidR="000C6BFB" w:rsidRPr="00873B6C">
        <w:t xml:space="preserve"> of the data source(s)</w:t>
      </w:r>
      <w:r w:rsidRPr="00873B6C">
        <w:t xml:space="preserve"> where data can be collected as input for local model training.</w:t>
      </w:r>
    </w:p>
    <w:p w14:paraId="4CD216AF" w14:textId="7A7F2100" w:rsidR="00114986" w:rsidRPr="00873B6C" w:rsidRDefault="00114986" w:rsidP="00114986">
      <w:pPr>
        <w:pStyle w:val="B2"/>
      </w:pPr>
      <w:r w:rsidRPr="00873B6C">
        <w:t>-</w:t>
      </w:r>
      <w:r w:rsidRPr="00873B6C">
        <w:tab/>
        <w:t>NF Set ID</w:t>
      </w:r>
      <w:r w:rsidR="000C6BFB" w:rsidRPr="00873B6C">
        <w:t>(s)</w:t>
      </w:r>
      <w:r w:rsidRPr="00873B6C">
        <w:t xml:space="preserve"> of the data source</w:t>
      </w:r>
      <w:r w:rsidR="000C6BFB" w:rsidRPr="00873B6C">
        <w:t>(s) where data can be collected as input for local model training</w:t>
      </w:r>
      <w:r w:rsidRPr="00873B6C">
        <w:t>.</w:t>
      </w:r>
    </w:p>
    <w:p w14:paraId="41DA82C0" w14:textId="4CF78389" w:rsidR="00141A61" w:rsidRPr="00873B6C" w:rsidRDefault="00141A61" w:rsidP="00141A61">
      <w:pPr>
        <w:pStyle w:val="B2"/>
      </w:pPr>
      <w:r w:rsidRPr="00873B6C">
        <w:t>-</w:t>
      </w:r>
      <w:r w:rsidRPr="00873B6C">
        <w:tab/>
        <w:t>ML Model Interoperability indicator.</w:t>
      </w:r>
    </w:p>
    <w:p w14:paraId="416B2F29" w14:textId="6A1BACA6" w:rsidR="001151EB" w:rsidRPr="00873B6C" w:rsidRDefault="001151EB" w:rsidP="00695DF1">
      <w:pPr>
        <w:pStyle w:val="B1"/>
      </w:pPr>
      <w:r w:rsidRPr="00873B6C">
        <w:t>-</w:t>
      </w:r>
      <w:r w:rsidRPr="00873B6C">
        <w:tab/>
        <w:t>when selecting FL server</w:t>
      </w:r>
      <w:r w:rsidR="000C6BFB" w:rsidRPr="00873B6C">
        <w:t xml:space="preserve"> NWDAF</w:t>
      </w:r>
      <w:r w:rsidRPr="00873B6C">
        <w:t>:</w:t>
      </w:r>
    </w:p>
    <w:p w14:paraId="53B21E8D" w14:textId="4623ECF8" w:rsidR="001151EB" w:rsidRPr="00873B6C" w:rsidRDefault="001151EB" w:rsidP="00695DF1">
      <w:pPr>
        <w:pStyle w:val="B2"/>
      </w:pPr>
      <w:r w:rsidRPr="00873B6C">
        <w:t>-</w:t>
      </w:r>
      <w:r w:rsidRPr="00873B6C">
        <w:tab/>
        <w:t>FL capability type as FL server</w:t>
      </w:r>
      <w:r w:rsidR="000C6BFB" w:rsidRPr="00873B6C">
        <w:t xml:space="preserve"> NWDAF</w:t>
      </w:r>
      <w:r w:rsidR="00335A94" w:rsidRPr="00873B6C">
        <w:t xml:space="preserve"> per Analytics ID</w:t>
      </w:r>
      <w:r w:rsidRPr="00873B6C">
        <w:t>.</w:t>
      </w:r>
    </w:p>
    <w:p w14:paraId="1E8B87BD" w14:textId="188B0323" w:rsidR="001151EB" w:rsidRPr="00873B6C" w:rsidRDefault="001151EB" w:rsidP="00695DF1">
      <w:pPr>
        <w:pStyle w:val="B2"/>
      </w:pPr>
      <w:r w:rsidRPr="00873B6C">
        <w:t>-</w:t>
      </w:r>
      <w:r w:rsidRPr="00873B6C">
        <w:tab/>
        <w:t xml:space="preserve">The ML model Filter information parameters S-NSSAI(s) and Area(s) of Interest (see clause 5.2 of </w:t>
      </w:r>
      <w:r w:rsidR="00972E70" w:rsidRPr="00873B6C">
        <w:t>TS 23.288 [</w:t>
      </w:r>
      <w:r w:rsidRPr="00873B6C">
        <w:t>86]) for the trained ML model(s) per Analytics ID(s), if available.</w:t>
      </w:r>
    </w:p>
    <w:p w14:paraId="21059651" w14:textId="0D3B98AA" w:rsidR="006E26ED" w:rsidRPr="00873B6C" w:rsidRDefault="006E26ED" w:rsidP="005A13C0">
      <w:r w:rsidRPr="00873B6C">
        <w:t>When selecting a NWDAF for roaming case, the detailed mechanism is defined in clause 5.2 of TS 23.288 [86].</w:t>
      </w:r>
    </w:p>
    <w:p w14:paraId="637FCE98" w14:textId="7E1FB23C" w:rsidR="00D40151" w:rsidRPr="00873B6C" w:rsidRDefault="00D40151" w:rsidP="00D40151">
      <w:pPr>
        <w:pStyle w:val="Heading3"/>
      </w:pPr>
      <w:bookmarkStart w:id="5826" w:name="_CR6_3_14"/>
      <w:bookmarkStart w:id="5827" w:name="_Toc201157806"/>
      <w:bookmarkEnd w:id="5826"/>
      <w:r w:rsidRPr="00873B6C">
        <w:t>6.3.14</w:t>
      </w:r>
      <w:r w:rsidRPr="00873B6C">
        <w:tab/>
        <w:t>NEF Discovery</w:t>
      </w:r>
      <w:bookmarkEnd w:id="5820"/>
      <w:bookmarkEnd w:id="5821"/>
      <w:bookmarkEnd w:id="5822"/>
      <w:bookmarkEnd w:id="5823"/>
      <w:bookmarkEnd w:id="5824"/>
      <w:bookmarkEnd w:id="5825"/>
      <w:bookmarkEnd w:id="5827"/>
    </w:p>
    <w:p w14:paraId="39257DF4" w14:textId="77777777" w:rsidR="00D40151" w:rsidRPr="00873B6C" w:rsidRDefault="00D40151" w:rsidP="00D40151">
      <w:r w:rsidRPr="00873B6C">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873B6C" w:rsidRDefault="00160667" w:rsidP="00562E84">
      <w:r w:rsidRPr="00873B6C">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873B6C" w:rsidRDefault="00160667" w:rsidP="00D40151">
      <w:pPr>
        <w:pStyle w:val="NO"/>
      </w:pPr>
      <w:r w:rsidRPr="00873B6C">
        <w:t>NOTE 1:</w:t>
      </w:r>
      <w:r w:rsidRPr="00873B6C">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873B6C" w:rsidRDefault="00160667" w:rsidP="00D40151">
      <w:pPr>
        <w:pStyle w:val="NO"/>
      </w:pPr>
      <w:r w:rsidRPr="00873B6C">
        <w:t>NOTE 2:</w:t>
      </w:r>
      <w:r w:rsidRPr="00873B6C">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873B6C" w:rsidRDefault="00D40151" w:rsidP="00D40151">
      <w:pPr>
        <w:pStyle w:val="NO"/>
      </w:pPr>
      <w:r w:rsidRPr="00873B6C">
        <w:t>NOTE</w:t>
      </w:r>
      <w:r w:rsidR="00160667" w:rsidRPr="00873B6C">
        <w:t> 3</w:t>
      </w:r>
      <w:r w:rsidRPr="00873B6C">
        <w:t>:</w:t>
      </w:r>
      <w:r w:rsidRPr="00873B6C">
        <w:tab/>
        <w:t>The NEF discovery and selection procedures described in thi</w:t>
      </w:r>
      <w:r w:rsidR="00323277" w:rsidRPr="00873B6C">
        <w:t xml:space="preserve">s clause </w:t>
      </w:r>
      <w:r w:rsidRPr="00873B6C">
        <w:t>are intended to be applied by NF consumers deployed within the operator's domain.</w:t>
      </w:r>
    </w:p>
    <w:p w14:paraId="33F7E4B4" w14:textId="4B1DA203" w:rsidR="006E26ED" w:rsidRPr="00873B6C" w:rsidRDefault="006E26ED" w:rsidP="006E26ED">
      <w:pPr>
        <w:pStyle w:val="NO"/>
      </w:pPr>
      <w:r w:rsidRPr="00873B6C">
        <w:lastRenderedPageBreak/>
        <w:t>NOTE 4:</w:t>
      </w:r>
      <w:r w:rsidRPr="00873B6C">
        <w:tab/>
        <w:t xml:space="preserve">The NEF supporting the capabilities can be configured in the AF or discovered by AF with the </w:t>
      </w:r>
      <w:r w:rsidR="007F79AC" w:rsidRPr="00873B6C">
        <w:t xml:space="preserve">assistance </w:t>
      </w:r>
      <w:r w:rsidRPr="00873B6C">
        <w:t>of NRF.</w:t>
      </w:r>
    </w:p>
    <w:p w14:paraId="1DA42898" w14:textId="278D7677" w:rsidR="00D40151" w:rsidRPr="00873B6C" w:rsidRDefault="00D40151" w:rsidP="00D40151">
      <w:r w:rsidRPr="00873B6C">
        <w:t>The following factors may be considered for NEF selection:</w:t>
      </w:r>
    </w:p>
    <w:p w14:paraId="3DB6199F" w14:textId="4ADD3A43" w:rsidR="00D40151" w:rsidRPr="00873B6C" w:rsidRDefault="00D40151" w:rsidP="00D40151">
      <w:pPr>
        <w:pStyle w:val="B1"/>
      </w:pPr>
      <w:r w:rsidRPr="00873B6C">
        <w:t>-</w:t>
      </w:r>
      <w:r w:rsidRPr="00873B6C">
        <w:tab/>
        <w:t>S-NSSAI(s)</w:t>
      </w:r>
      <w:r w:rsidR="007F79AC" w:rsidRPr="00873B6C">
        <w:t>;</w:t>
      </w:r>
    </w:p>
    <w:p w14:paraId="04D45924" w14:textId="2410E8C5" w:rsidR="00F84AAF" w:rsidRPr="00873B6C" w:rsidRDefault="00F84AAF" w:rsidP="00D40151">
      <w:pPr>
        <w:pStyle w:val="B1"/>
      </w:pPr>
      <w:r w:rsidRPr="00873B6C">
        <w:t>-</w:t>
      </w:r>
      <w:r w:rsidRPr="00873B6C">
        <w:tab/>
        <w:t>S-NSSAI and DNN corresponding to an untrusted AF</w:t>
      </w:r>
      <w:r w:rsidR="007F79AC" w:rsidRPr="00873B6C">
        <w:t>;</w:t>
      </w:r>
    </w:p>
    <w:p w14:paraId="0E01D0C4" w14:textId="37BE8B88" w:rsidR="00D40151" w:rsidRPr="00873B6C" w:rsidRDefault="00D40151" w:rsidP="00D40151">
      <w:pPr>
        <w:pStyle w:val="B1"/>
      </w:pPr>
      <w:r w:rsidRPr="00873B6C">
        <w:t>-</w:t>
      </w:r>
      <w:r w:rsidRPr="00873B6C">
        <w:tab/>
        <w:t>Event ID(s) supported by</w:t>
      </w:r>
      <w:r w:rsidR="00F84AAF" w:rsidRPr="00873B6C">
        <w:t xml:space="preserve"> an</w:t>
      </w:r>
      <w:r w:rsidRPr="00873B6C">
        <w:t xml:space="preserve"> AF (see clause 6.2.6, </w:t>
      </w:r>
      <w:r w:rsidR="00D602DF" w:rsidRPr="00873B6C">
        <w:t xml:space="preserve">clause 6.2.2.3 of </w:t>
      </w:r>
      <w:r w:rsidR="00972E70" w:rsidRPr="00873B6C">
        <w:t>TS 23.288 [</w:t>
      </w:r>
      <w:r w:rsidRPr="00873B6C">
        <w:t>86] and</w:t>
      </w:r>
      <w:r w:rsidR="00D602DF" w:rsidRPr="00873B6C">
        <w:t xml:space="preserve"> clause 5.2.19</w:t>
      </w:r>
      <w:r w:rsidRPr="00873B6C">
        <w:t xml:space="preserve"> </w:t>
      </w:r>
      <w:r w:rsidR="00D602DF" w:rsidRPr="00873B6C">
        <w:t xml:space="preserve">of </w:t>
      </w:r>
      <w:r w:rsidR="00972E70" w:rsidRPr="00873B6C">
        <w:t>TS 23.502 [</w:t>
      </w:r>
      <w:r w:rsidRPr="00873B6C">
        <w:t>3])</w:t>
      </w:r>
      <w:r w:rsidR="007F79AC" w:rsidRPr="00873B6C">
        <w:t>;</w:t>
      </w:r>
    </w:p>
    <w:p w14:paraId="76B2A72C" w14:textId="23FBC290" w:rsidR="00D40151" w:rsidRPr="00873B6C" w:rsidRDefault="00D40151" w:rsidP="00D40151">
      <w:pPr>
        <w:pStyle w:val="B1"/>
      </w:pPr>
      <w:r w:rsidRPr="00873B6C">
        <w:t>-</w:t>
      </w:r>
      <w:r w:rsidRPr="00873B6C">
        <w:tab/>
        <w:t>AF Instance ID, Application</w:t>
      </w:r>
      <w:r w:rsidR="00704A9E" w:rsidRPr="00873B6C">
        <w:t xml:space="preserve"> Identifier</w:t>
      </w:r>
      <w:r w:rsidR="007F79AC" w:rsidRPr="00873B6C">
        <w:t>;</w:t>
      </w:r>
    </w:p>
    <w:p w14:paraId="3EC43720" w14:textId="0C63E635" w:rsidR="00D40151" w:rsidRPr="00873B6C" w:rsidRDefault="00D40151" w:rsidP="00D40151">
      <w:pPr>
        <w:pStyle w:val="B1"/>
      </w:pPr>
      <w:r w:rsidRPr="00873B6C">
        <w:t>-</w:t>
      </w:r>
      <w:r w:rsidRPr="00873B6C">
        <w:tab/>
        <w:t>External Identifier, External Group Identifier, or domain name</w:t>
      </w:r>
      <w:r w:rsidR="007F79AC" w:rsidRPr="00873B6C">
        <w:t>;</w:t>
      </w:r>
    </w:p>
    <w:p w14:paraId="5B499B0A" w14:textId="6F833533" w:rsidR="00160667" w:rsidRPr="00873B6C" w:rsidRDefault="00160667" w:rsidP="00562E84">
      <w:pPr>
        <w:pStyle w:val="B1"/>
      </w:pPr>
      <w:bookmarkStart w:id="5828" w:name="_Toc36188183"/>
      <w:bookmarkStart w:id="5829" w:name="_Toc45184094"/>
      <w:bookmarkStart w:id="5830" w:name="_Toc47342936"/>
      <w:bookmarkStart w:id="5831" w:name="_Toc51769638"/>
      <w:bookmarkStart w:id="5832" w:name="_Toc20150243"/>
      <w:bookmarkStart w:id="5833" w:name="_Toc27847051"/>
      <w:r w:rsidRPr="00873B6C">
        <w:t>-</w:t>
      </w:r>
      <w:r w:rsidRPr="00873B6C">
        <w:tab/>
        <w:t>A request for local NEF selection</w:t>
      </w:r>
      <w:r w:rsidR="007F79AC" w:rsidRPr="00873B6C">
        <w:t>;</w:t>
      </w:r>
    </w:p>
    <w:p w14:paraId="3A0718A8" w14:textId="179CDD57" w:rsidR="00160667" w:rsidRPr="00873B6C" w:rsidRDefault="00160667" w:rsidP="00562E84">
      <w:pPr>
        <w:pStyle w:val="B1"/>
      </w:pPr>
      <w:r w:rsidRPr="00873B6C">
        <w:t>-</w:t>
      </w:r>
      <w:r w:rsidRPr="00873B6C">
        <w:tab/>
        <w:t>Location (see locality in</w:t>
      </w:r>
      <w:r w:rsidR="00D602DF" w:rsidRPr="00873B6C">
        <w:t xml:space="preserve"> clause 6.1.6.2.2</w:t>
      </w:r>
      <w:r w:rsidRPr="00873B6C">
        <w:t xml:space="preserve"> </w:t>
      </w:r>
      <w:r w:rsidR="00D602DF" w:rsidRPr="00873B6C">
        <w:t xml:space="preserve">of </w:t>
      </w:r>
      <w:r w:rsidR="00972E70" w:rsidRPr="00873B6C">
        <w:t>TS 29.510 [</w:t>
      </w:r>
      <w:r w:rsidRPr="00873B6C">
        <w:t>58])</w:t>
      </w:r>
      <w:r w:rsidR="007F79AC" w:rsidRPr="00873B6C">
        <w:t>;</w:t>
      </w:r>
    </w:p>
    <w:p w14:paraId="4E6642A0" w14:textId="77E41729" w:rsidR="00160667" w:rsidRPr="00873B6C" w:rsidRDefault="00160667" w:rsidP="00562E84">
      <w:pPr>
        <w:pStyle w:val="B1"/>
      </w:pPr>
      <w:r w:rsidRPr="00873B6C">
        <w:t>-</w:t>
      </w:r>
      <w:r w:rsidRPr="00873B6C">
        <w:tab/>
        <w:t>(for local NEF selection) List of supported TAI</w:t>
      </w:r>
      <w:r w:rsidR="007F79AC" w:rsidRPr="00873B6C">
        <w:t>;</w:t>
      </w:r>
    </w:p>
    <w:p w14:paraId="3CE7CBDF" w14:textId="045987D2" w:rsidR="00160667" w:rsidRPr="00873B6C" w:rsidRDefault="00160667" w:rsidP="00562E84">
      <w:pPr>
        <w:pStyle w:val="B1"/>
      </w:pPr>
      <w:r w:rsidRPr="00873B6C">
        <w:t>-</w:t>
      </w:r>
      <w:r w:rsidRPr="00873B6C">
        <w:tab/>
        <w:t>(for local NEF selection) List of supported DNAI</w:t>
      </w:r>
      <w:r w:rsidR="007F79AC" w:rsidRPr="00873B6C">
        <w:t>;</w:t>
      </w:r>
    </w:p>
    <w:p w14:paraId="02809217" w14:textId="79BC2394" w:rsidR="00DA3BBC" w:rsidRPr="00873B6C" w:rsidRDefault="00DA3BBC" w:rsidP="00DA3BBC">
      <w:pPr>
        <w:pStyle w:val="B1"/>
      </w:pPr>
      <w:r w:rsidRPr="00873B6C">
        <w:t>-</w:t>
      </w:r>
      <w:r w:rsidRPr="00873B6C">
        <w:tab/>
        <w:t>Capability of NEF to support UAS NF functionality for UUAA procedures</w:t>
      </w:r>
      <w:r w:rsidR="007F79AC" w:rsidRPr="00873B6C">
        <w:t>;</w:t>
      </w:r>
    </w:p>
    <w:p w14:paraId="5E3C1706" w14:textId="41ADEFFC" w:rsidR="002A3DAF" w:rsidRPr="00873B6C" w:rsidRDefault="002A3DAF" w:rsidP="002A3DAF">
      <w:pPr>
        <w:pStyle w:val="B1"/>
      </w:pPr>
      <w:r w:rsidRPr="00873B6C">
        <w:t>-</w:t>
      </w:r>
      <w:r w:rsidRPr="00873B6C">
        <w:tab/>
        <w:t>Capability of NEF to support Multi-member AF session with required QoS for a set of UEs identified by a list of UE addresses</w:t>
      </w:r>
      <w:r w:rsidR="007F79AC" w:rsidRPr="00873B6C">
        <w:t>;</w:t>
      </w:r>
    </w:p>
    <w:p w14:paraId="177B3DDB" w14:textId="1D7AA49F" w:rsidR="006E26ED" w:rsidRPr="00873B6C" w:rsidRDefault="006E26ED" w:rsidP="006E26ED">
      <w:pPr>
        <w:pStyle w:val="B1"/>
      </w:pPr>
      <w:r w:rsidRPr="00873B6C">
        <w:t>-</w:t>
      </w:r>
      <w:r w:rsidRPr="00873B6C">
        <w:tab/>
        <w:t>Capability of NEF to support member UE selection assistance functionality.</w:t>
      </w:r>
    </w:p>
    <w:p w14:paraId="490CB9D8" w14:textId="43FA850E" w:rsidR="0047544D" w:rsidRPr="00873B6C" w:rsidRDefault="0047544D" w:rsidP="0047544D">
      <w:r w:rsidRPr="00873B6C">
        <w:t xml:space="preserve">Local NEF instance(s) can be deployed close to UE access. For local NEF selection, the </w:t>
      </w:r>
      <w:r w:rsidR="00160667" w:rsidRPr="00873B6C">
        <w:t xml:space="preserve">location </w:t>
      </w:r>
      <w:r w:rsidRPr="00873B6C">
        <w:t xml:space="preserve">of the </w:t>
      </w:r>
      <w:r w:rsidR="00160667" w:rsidRPr="00873B6C">
        <w:t xml:space="preserve">local </w:t>
      </w:r>
      <w:r w:rsidRPr="00873B6C">
        <w:t>NEF instance (e.g. geographical location, data centre) may be used</w:t>
      </w:r>
      <w:r w:rsidR="00160667" w:rsidRPr="00873B6C">
        <w:t xml:space="preserve"> in conjunction with the location of L-PSA UPF or AF</w:t>
      </w:r>
      <w:r w:rsidRPr="00873B6C">
        <w:t>.</w:t>
      </w:r>
    </w:p>
    <w:p w14:paraId="08838F16" w14:textId="6C55750E" w:rsidR="00D40151" w:rsidRPr="00873B6C" w:rsidRDefault="00D40151" w:rsidP="00D40151">
      <w:pPr>
        <w:pStyle w:val="Heading3"/>
      </w:pPr>
      <w:bookmarkStart w:id="5834" w:name="_CR6_3_15"/>
      <w:bookmarkStart w:id="5835" w:name="_Toc201157807"/>
      <w:bookmarkEnd w:id="5834"/>
      <w:r w:rsidRPr="00873B6C">
        <w:t>6.3.15</w:t>
      </w:r>
      <w:r w:rsidRPr="00873B6C">
        <w:tab/>
        <w:t>UCMF Discovery and Selection</w:t>
      </w:r>
      <w:bookmarkEnd w:id="5828"/>
      <w:bookmarkEnd w:id="5829"/>
      <w:bookmarkEnd w:id="5830"/>
      <w:bookmarkEnd w:id="5831"/>
      <w:bookmarkEnd w:id="5835"/>
    </w:p>
    <w:p w14:paraId="3A14E4E8" w14:textId="77777777" w:rsidR="00D40151" w:rsidRPr="00873B6C" w:rsidRDefault="00D40151" w:rsidP="00D40151">
      <w:r w:rsidRPr="00873B6C">
        <w:t>The AMF, MME, NEF, AF, SCEF, SCS/AS may utilize the NRF to discover UCMF instance(s) unless UCMF information is available by other means, e.g. locally configured in UCMF services consumers.</w:t>
      </w:r>
    </w:p>
    <w:p w14:paraId="4E9E6EAC" w14:textId="77777777" w:rsidR="00D40151" w:rsidRPr="00873B6C" w:rsidRDefault="00D40151" w:rsidP="00D40151">
      <w:r w:rsidRPr="00873B6C">
        <w:t>In the case of delegated discovery and selection in SCP, the NF consumer shall forward the request towards SCP.</w:t>
      </w:r>
    </w:p>
    <w:p w14:paraId="2F08A6E2" w14:textId="77777777" w:rsidR="00D40151" w:rsidRPr="00873B6C" w:rsidRDefault="00D40151" w:rsidP="00D40151">
      <w:pPr>
        <w:pStyle w:val="Heading3"/>
      </w:pPr>
      <w:bookmarkStart w:id="5836" w:name="_CR6_3_16"/>
      <w:bookmarkStart w:id="5837" w:name="_Toc45184095"/>
      <w:bookmarkStart w:id="5838" w:name="_Toc47342937"/>
      <w:bookmarkStart w:id="5839" w:name="_Toc51769639"/>
      <w:bookmarkStart w:id="5840" w:name="_Toc36188184"/>
      <w:bookmarkStart w:id="5841" w:name="_Toc201157808"/>
      <w:bookmarkEnd w:id="5836"/>
      <w:r w:rsidRPr="00873B6C">
        <w:t>6.3.16</w:t>
      </w:r>
      <w:r w:rsidRPr="00873B6C">
        <w:tab/>
        <w:t>SCP discovery and selection</w:t>
      </w:r>
      <w:bookmarkEnd w:id="5837"/>
      <w:bookmarkEnd w:id="5838"/>
      <w:bookmarkEnd w:id="5839"/>
      <w:bookmarkEnd w:id="5841"/>
    </w:p>
    <w:p w14:paraId="79F7033D" w14:textId="77777777" w:rsidR="00D40151" w:rsidRPr="00873B6C" w:rsidRDefault="00D40151" w:rsidP="00D40151">
      <w:r w:rsidRPr="00873B6C">
        <w:t>An NF is configured with its serving SCP(s).</w:t>
      </w:r>
    </w:p>
    <w:p w14:paraId="144444E2" w14:textId="77777777" w:rsidR="00D40151" w:rsidRPr="00873B6C" w:rsidRDefault="00D40151" w:rsidP="00D40151">
      <w:r w:rsidRPr="00873B6C">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873B6C" w:rsidRDefault="00D40151" w:rsidP="00D40151">
      <w:r w:rsidRPr="00873B6C">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873B6C" w:rsidRDefault="00D40151" w:rsidP="00D40151">
      <w:r w:rsidRPr="00873B6C">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873B6C" w:rsidRDefault="00D40151" w:rsidP="00D40151">
      <w:pPr>
        <w:pStyle w:val="NO"/>
      </w:pPr>
      <w:r w:rsidRPr="00873B6C">
        <w:t>NOTE:</w:t>
      </w:r>
      <w:r w:rsidRPr="00873B6C">
        <w:tab/>
        <w:t>It is up to SCP implementation, deployment specific configuration and operator policies as to how the SCP will use information retrieved from the NRF to resolve the optimal route to a producer.</w:t>
      </w:r>
    </w:p>
    <w:p w14:paraId="426EA8F7" w14:textId="77777777" w:rsidR="00D40151" w:rsidRPr="00873B6C" w:rsidRDefault="00D40151" w:rsidP="00D40151">
      <w:r w:rsidRPr="00873B6C">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873B6C" w:rsidRDefault="00D40151" w:rsidP="00D40151">
      <w:pPr>
        <w:pStyle w:val="Heading3"/>
      </w:pPr>
      <w:bookmarkStart w:id="5842" w:name="_CR6_3_17"/>
      <w:bookmarkStart w:id="5843" w:name="_Toc45184096"/>
      <w:bookmarkStart w:id="5844" w:name="_Toc47342938"/>
      <w:bookmarkStart w:id="5845" w:name="_Toc51769640"/>
      <w:bookmarkStart w:id="5846" w:name="_Toc201157809"/>
      <w:bookmarkEnd w:id="5842"/>
      <w:r w:rsidRPr="00873B6C">
        <w:lastRenderedPageBreak/>
        <w:t>6.3.17</w:t>
      </w:r>
      <w:r w:rsidRPr="00873B6C">
        <w:tab/>
        <w:t>NSSAAF discovery and selection</w:t>
      </w:r>
      <w:bookmarkEnd w:id="5843"/>
      <w:bookmarkEnd w:id="5844"/>
      <w:bookmarkEnd w:id="5845"/>
      <w:bookmarkEnd w:id="5846"/>
    </w:p>
    <w:p w14:paraId="1867A7A6" w14:textId="77777777" w:rsidR="00D40151" w:rsidRPr="00873B6C" w:rsidRDefault="00D40151" w:rsidP="00D40151">
      <w:r w:rsidRPr="00873B6C">
        <w:t>In the case of NF consumer based discovery and selection, the following applies:</w:t>
      </w:r>
    </w:p>
    <w:p w14:paraId="5B9758C7" w14:textId="20E4166E" w:rsidR="00D40151" w:rsidRPr="00873B6C" w:rsidRDefault="00D40151" w:rsidP="00D40151">
      <w:pPr>
        <w:pStyle w:val="B1"/>
      </w:pPr>
      <w:r w:rsidRPr="00873B6C">
        <w:t>-</w:t>
      </w:r>
      <w:r w:rsidRPr="00873B6C">
        <w:tab/>
        <w:t xml:space="preserve">The </w:t>
      </w:r>
      <w:r w:rsidR="00AF315F" w:rsidRPr="00873B6C">
        <w:t xml:space="preserve">NF consumer (e.g. </w:t>
      </w:r>
      <w:r w:rsidRPr="00873B6C">
        <w:t>AMF</w:t>
      </w:r>
      <w:r w:rsidR="00AF315F" w:rsidRPr="00873B6C">
        <w:t>, AUSF)</w:t>
      </w:r>
      <w:r w:rsidRPr="00873B6C">
        <w:t xml:space="preserve"> performs NSSAAF selection to select an NSSAAF Instance that supports authentication between the UE and the AAA-S associated with the HPLMN</w:t>
      </w:r>
      <w:r w:rsidR="00AF315F" w:rsidRPr="00873B6C">
        <w:t xml:space="preserve"> or in the Credentials Holder in the case of SNPN</w:t>
      </w:r>
      <w:r w:rsidR="003F2E5D" w:rsidRPr="00873B6C">
        <w:t xml:space="preserve"> or in the DCS domain in the case of ON-SNPN</w:t>
      </w:r>
      <w:r w:rsidRPr="00873B6C">
        <w:t xml:space="preserve">. The </w:t>
      </w:r>
      <w:r w:rsidR="00AF315F" w:rsidRPr="00873B6C">
        <w:t xml:space="preserve">NF consumer </w:t>
      </w:r>
      <w:r w:rsidRPr="00873B6C">
        <w:t>shall utilize the NRF to discover the NSSAAF instance(s) unless NSSAAF information is available by other means, e.g. locally configured on</w:t>
      </w:r>
      <w:r w:rsidR="00AF315F" w:rsidRPr="00873B6C">
        <w:t xml:space="preserve"> the NF consumer</w:t>
      </w:r>
      <w:r w:rsidRPr="00873B6C">
        <w:t xml:space="preserve">. The NSSAAF selection function in the </w:t>
      </w:r>
      <w:r w:rsidR="00AF315F" w:rsidRPr="00873B6C">
        <w:t xml:space="preserve">NF consumer </w:t>
      </w:r>
      <w:r w:rsidRPr="00873B6C">
        <w:t>selects an NSSAAF instance based on the available NSSAAF instances (obtained from the NRF or locally configured in the</w:t>
      </w:r>
      <w:r w:rsidR="00AF315F" w:rsidRPr="00873B6C">
        <w:t xml:space="preserve"> NF consumer</w:t>
      </w:r>
      <w:r w:rsidRPr="00873B6C">
        <w:t>).</w:t>
      </w:r>
    </w:p>
    <w:p w14:paraId="5835C373" w14:textId="20429658" w:rsidR="00D40151" w:rsidRPr="00873B6C" w:rsidRDefault="00D40151" w:rsidP="00D40151">
      <w:r w:rsidRPr="00873B6C">
        <w:t>NSSAAF selection is applicable to both 3GPP access and non-3GPP access.</w:t>
      </w:r>
    </w:p>
    <w:p w14:paraId="219807F8" w14:textId="77777777" w:rsidR="00D40151" w:rsidRPr="00873B6C" w:rsidRDefault="00D40151" w:rsidP="00D40151">
      <w:r w:rsidRPr="00873B6C">
        <w:t>The NSSAAF selection function in NSSAAF NF consumers or in SCP should consider the following factor when it is available:</w:t>
      </w:r>
    </w:p>
    <w:p w14:paraId="60766BDD" w14:textId="3AC37396" w:rsidR="00D40151" w:rsidRPr="00873B6C" w:rsidRDefault="00D40151" w:rsidP="00D40151">
      <w:pPr>
        <w:pStyle w:val="B1"/>
      </w:pPr>
      <w:r w:rsidRPr="00873B6C">
        <w:t>1.</w:t>
      </w:r>
      <w:r w:rsidRPr="00873B6C">
        <w:tab/>
        <w:t>Home Network Identifier (e.g</w:t>
      </w:r>
      <w:r w:rsidR="000E35F2" w:rsidRPr="00873B6C">
        <w:t>.</w:t>
      </w:r>
      <w:r w:rsidRPr="00873B6C">
        <w:t xml:space="preserve"> MNC and MCC</w:t>
      </w:r>
      <w:r w:rsidR="00AF315F" w:rsidRPr="00873B6C">
        <w:t>, realm</w:t>
      </w:r>
      <w:r w:rsidRPr="00873B6C">
        <w:t>) of SUPI (by an NF consumer in the Serving network).</w:t>
      </w:r>
    </w:p>
    <w:p w14:paraId="6976B382" w14:textId="77777777" w:rsidR="006648CD" w:rsidRPr="00873B6C" w:rsidRDefault="006648CD" w:rsidP="00461850">
      <w:pPr>
        <w:pStyle w:val="B1"/>
      </w:pPr>
      <w:r w:rsidRPr="00873B6C">
        <w:t>2.</w:t>
      </w:r>
      <w:r w:rsidRPr="00873B6C">
        <w:tab/>
        <w:t>S-NSSAI of the HPLMN.</w:t>
      </w:r>
    </w:p>
    <w:p w14:paraId="07FDA9D1" w14:textId="77777777" w:rsidR="006648CD" w:rsidRPr="00873B6C" w:rsidRDefault="006648CD" w:rsidP="00461850">
      <w:pPr>
        <w:pStyle w:val="B1"/>
      </w:pPr>
      <w:r w:rsidRPr="00873B6C">
        <w:t>3.</w:t>
      </w:r>
      <w:r w:rsidRPr="00873B6C">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873B6C" w:rsidRDefault="006648CD" w:rsidP="00D40151">
      <w:r w:rsidRPr="00873B6C">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873B6C" w:rsidRDefault="00D40151" w:rsidP="00D40151">
      <w:r w:rsidRPr="00873B6C">
        <w:t>In the case of delegated discovery and selection in SCP, the NSSAAF NF consumer shall send all available factors to the SCP.</w:t>
      </w:r>
    </w:p>
    <w:p w14:paraId="3613B502" w14:textId="6BE7D25A" w:rsidR="008A60FE" w:rsidRPr="00873B6C" w:rsidRDefault="008A60FE" w:rsidP="008A60FE">
      <w:pPr>
        <w:pStyle w:val="Heading3"/>
      </w:pPr>
      <w:bookmarkStart w:id="5847" w:name="_CR6_3_18"/>
      <w:bookmarkStart w:id="5848" w:name="_Toc45184097"/>
      <w:bookmarkStart w:id="5849" w:name="_Toc47342939"/>
      <w:bookmarkStart w:id="5850" w:name="_Toc51769641"/>
      <w:bookmarkStart w:id="5851" w:name="_Toc201157810"/>
      <w:bookmarkEnd w:id="5847"/>
      <w:r w:rsidRPr="00873B6C">
        <w:t>6.3.18</w:t>
      </w:r>
      <w:r w:rsidRPr="00873B6C">
        <w:tab/>
        <w:t>5G-EIR discovery and selection</w:t>
      </w:r>
      <w:bookmarkEnd w:id="5851"/>
    </w:p>
    <w:p w14:paraId="2967D141" w14:textId="1AA5E26A" w:rsidR="008A60FE" w:rsidRPr="00873B6C" w:rsidRDefault="008A60FE" w:rsidP="008A60FE">
      <w:r w:rsidRPr="00873B6C">
        <w:t>A consumer NF of the 5G-EIR performs discovery of 5G-EIR using either configuration or NRF as specified in clause 6.3.1.</w:t>
      </w:r>
      <w:r w:rsidR="009D1A77" w:rsidRPr="00873B6C">
        <w:t xml:space="preserve"> The network is configured with the 5G-EIR to serve the PLMN of the NF consumer requesting the 5G-EIR service, i.e. no roaming interface is defined.</w:t>
      </w:r>
    </w:p>
    <w:p w14:paraId="5EA50054" w14:textId="77777777" w:rsidR="008A60FE" w:rsidRPr="00873B6C" w:rsidRDefault="008A60FE" w:rsidP="008A60FE">
      <w:r w:rsidRPr="00873B6C">
        <w:t>The 5G-EIR selection function in NF consumers is independent of Access Type.</w:t>
      </w:r>
    </w:p>
    <w:p w14:paraId="47A9ABAA" w14:textId="2E9C8B1D" w:rsidR="001F3682" w:rsidRPr="00873B6C" w:rsidRDefault="001F3682" w:rsidP="001F3682">
      <w:pPr>
        <w:pStyle w:val="Heading3"/>
      </w:pPr>
      <w:bookmarkStart w:id="5852" w:name="_CR6_3_19"/>
      <w:bookmarkStart w:id="5853" w:name="_Toc201157811"/>
      <w:bookmarkEnd w:id="5852"/>
      <w:r w:rsidRPr="00873B6C">
        <w:t>6.3.19</w:t>
      </w:r>
      <w:r w:rsidRPr="00873B6C">
        <w:tab/>
        <w:t>DCCF discovery and selection</w:t>
      </w:r>
      <w:bookmarkEnd w:id="5853"/>
    </w:p>
    <w:p w14:paraId="3E84908C" w14:textId="77777777" w:rsidR="001F3682" w:rsidRPr="00873B6C" w:rsidRDefault="001F3682" w:rsidP="001F3682">
      <w:r w:rsidRPr="00873B6C">
        <w:t>Multiple instances of DCCF may be deployed in a network.</w:t>
      </w:r>
    </w:p>
    <w:p w14:paraId="74637C59" w14:textId="77777777" w:rsidR="001F3682" w:rsidRPr="00873B6C" w:rsidRDefault="001F3682" w:rsidP="001F3682">
      <w:r w:rsidRPr="00873B6C">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873B6C" w:rsidRDefault="001F3682" w:rsidP="001F3682">
      <w:r w:rsidRPr="00873B6C">
        <w:t>The following factors may be considered by the NF consumer for DCCF selection:</w:t>
      </w:r>
    </w:p>
    <w:p w14:paraId="4EF842CD" w14:textId="77777777" w:rsidR="001F3682" w:rsidRPr="00873B6C" w:rsidRDefault="001F3682" w:rsidP="00323277">
      <w:pPr>
        <w:pStyle w:val="B1"/>
      </w:pPr>
      <w:r w:rsidRPr="00873B6C">
        <w:t>-</w:t>
      </w:r>
      <w:r w:rsidRPr="00873B6C">
        <w:tab/>
        <w:t>DCCF Serving Area information, i.e. list of TAIs for which the DCCF coordinates Data Sources.</w:t>
      </w:r>
    </w:p>
    <w:p w14:paraId="7C52474C" w14:textId="77777777" w:rsidR="001F3682" w:rsidRPr="00873B6C" w:rsidRDefault="001F3682" w:rsidP="00323277">
      <w:pPr>
        <w:pStyle w:val="B1"/>
      </w:pPr>
      <w:r w:rsidRPr="00873B6C">
        <w:t>-</w:t>
      </w:r>
      <w:r w:rsidRPr="00873B6C">
        <w:tab/>
        <w:t>S-NSSAI.</w:t>
      </w:r>
    </w:p>
    <w:p w14:paraId="632F50CB" w14:textId="77777777" w:rsidR="001F3682" w:rsidRPr="00873B6C" w:rsidRDefault="001F3682" w:rsidP="00323277">
      <w:pPr>
        <w:pStyle w:val="B1"/>
      </w:pPr>
      <w:r w:rsidRPr="00873B6C">
        <w:t>-</w:t>
      </w:r>
      <w:r w:rsidRPr="00873B6C">
        <w:tab/>
        <w:t>NF type of the data source.</w:t>
      </w:r>
    </w:p>
    <w:p w14:paraId="68208131" w14:textId="77777777" w:rsidR="001F3682" w:rsidRPr="00873B6C" w:rsidRDefault="001F3682" w:rsidP="00323277">
      <w:pPr>
        <w:pStyle w:val="B1"/>
      </w:pPr>
      <w:r w:rsidRPr="00873B6C">
        <w:t>-</w:t>
      </w:r>
      <w:r w:rsidRPr="00873B6C">
        <w:tab/>
        <w:t>NF Set ID of the data source.</w:t>
      </w:r>
    </w:p>
    <w:p w14:paraId="05E93524" w14:textId="77777777" w:rsidR="001F3682" w:rsidRPr="00873B6C" w:rsidRDefault="001F3682" w:rsidP="00323277">
      <w:pPr>
        <w:pStyle w:val="NO"/>
      </w:pPr>
      <w:r w:rsidRPr="00873B6C">
        <w:t>NOTE:</w:t>
      </w:r>
      <w:r w:rsidRPr="00873B6C">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6C9E9155" w14:textId="2602392C" w:rsidR="00354C8E" w:rsidRPr="00873B6C" w:rsidRDefault="00354C8E" w:rsidP="00354C8E">
      <w:pPr>
        <w:pStyle w:val="B1"/>
      </w:pPr>
      <w:r w:rsidRPr="00873B6C">
        <w:t>-</w:t>
      </w:r>
      <w:r w:rsidRPr="00873B6C">
        <w:tab/>
        <w:t>DCCF relocation capability: Support for relocating the data collection subscription among DCCFs.</w:t>
      </w:r>
    </w:p>
    <w:p w14:paraId="0ADD97FE" w14:textId="6BBF9C9E" w:rsidR="00D63C5A" w:rsidRPr="00873B6C" w:rsidRDefault="00D63C5A" w:rsidP="00D63C5A">
      <w:pPr>
        <w:pStyle w:val="Heading3"/>
      </w:pPr>
      <w:bookmarkStart w:id="5854" w:name="_CR6_3_20"/>
      <w:bookmarkStart w:id="5855" w:name="_Toc201157812"/>
      <w:bookmarkEnd w:id="5854"/>
      <w:r w:rsidRPr="00873B6C">
        <w:lastRenderedPageBreak/>
        <w:t>6.3.20</w:t>
      </w:r>
      <w:r w:rsidRPr="00873B6C">
        <w:tab/>
        <w:t>ADRF discovery and selection</w:t>
      </w:r>
      <w:bookmarkEnd w:id="5855"/>
    </w:p>
    <w:p w14:paraId="5C853DFA" w14:textId="77777777" w:rsidR="00D63C5A" w:rsidRPr="00873B6C" w:rsidRDefault="00D63C5A" w:rsidP="00D63C5A">
      <w:r w:rsidRPr="00873B6C">
        <w:t>Multiple instances of ADRF may be deployed in a network.</w:t>
      </w:r>
    </w:p>
    <w:p w14:paraId="1F0D713B" w14:textId="77777777" w:rsidR="00D63C5A" w:rsidRPr="00873B6C" w:rsidRDefault="00D63C5A" w:rsidP="00D63C5A">
      <w:r w:rsidRPr="00873B6C">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873B6C" w:rsidRDefault="00D63C5A" w:rsidP="00323277">
      <w:pPr>
        <w:pStyle w:val="NO"/>
      </w:pPr>
      <w:r w:rsidRPr="00873B6C">
        <w:t>NOTE:</w:t>
      </w:r>
      <w:r w:rsidRPr="00873B6C">
        <w:tab/>
        <w:t>When NF consumer is DCCF, the DCCF can have information available already from previous registrations of ADRFs. In this case, NRF discovery is not needed.</w:t>
      </w:r>
    </w:p>
    <w:p w14:paraId="1EB37163" w14:textId="7402853F" w:rsidR="00D63C5A" w:rsidRPr="00873B6C" w:rsidRDefault="00D63C5A" w:rsidP="00D63C5A">
      <w:r w:rsidRPr="00873B6C">
        <w:t>The following factor</w:t>
      </w:r>
      <w:r w:rsidR="009E78C1" w:rsidRPr="00873B6C">
        <w:t>s</w:t>
      </w:r>
      <w:r w:rsidRPr="00873B6C">
        <w:t xml:space="preserve"> may be considered by the NF consumer for ADRF selection:</w:t>
      </w:r>
    </w:p>
    <w:p w14:paraId="6F91558A" w14:textId="10334BE1" w:rsidR="00D63C5A" w:rsidRPr="00873B6C" w:rsidRDefault="00D63C5A" w:rsidP="00323277">
      <w:pPr>
        <w:pStyle w:val="B1"/>
      </w:pPr>
      <w:r w:rsidRPr="00873B6C">
        <w:t>-</w:t>
      </w:r>
      <w:r w:rsidRPr="00873B6C">
        <w:tab/>
        <w:t>S-NSSAI</w:t>
      </w:r>
      <w:r w:rsidR="00E83620" w:rsidRPr="00873B6C">
        <w:t>.</w:t>
      </w:r>
    </w:p>
    <w:p w14:paraId="6229FCDD" w14:textId="4FEDA1C9" w:rsidR="009E78C1" w:rsidRPr="00873B6C" w:rsidRDefault="009E78C1" w:rsidP="009E78C1">
      <w:pPr>
        <w:pStyle w:val="B1"/>
      </w:pPr>
      <w:r w:rsidRPr="00873B6C">
        <w:t>-</w:t>
      </w:r>
      <w:r w:rsidRPr="00873B6C">
        <w:tab/>
        <w:t>ML model storage capability.</w:t>
      </w:r>
    </w:p>
    <w:p w14:paraId="5F49C5F9" w14:textId="77777777" w:rsidR="00D63C5A" w:rsidRPr="00873B6C" w:rsidRDefault="00D63C5A" w:rsidP="00323277">
      <w:pPr>
        <w:pStyle w:val="Heading3"/>
      </w:pPr>
      <w:bookmarkStart w:id="5856" w:name="_CR6_3_21"/>
      <w:bookmarkStart w:id="5857" w:name="_Toc201157813"/>
      <w:bookmarkEnd w:id="5856"/>
      <w:r w:rsidRPr="00873B6C">
        <w:t>6.3.21</w:t>
      </w:r>
      <w:r w:rsidRPr="00873B6C">
        <w:tab/>
        <w:t>MFAF discovery and selection</w:t>
      </w:r>
      <w:bookmarkEnd w:id="5857"/>
    </w:p>
    <w:p w14:paraId="13167524" w14:textId="77777777" w:rsidR="00D63C5A" w:rsidRPr="00873B6C" w:rsidRDefault="00D63C5A" w:rsidP="00D63C5A">
      <w:r w:rsidRPr="00873B6C">
        <w:t>Multiple instances of MFAF may be deployed in a network.</w:t>
      </w:r>
    </w:p>
    <w:p w14:paraId="31CE3236" w14:textId="77777777" w:rsidR="00D63C5A" w:rsidRPr="00873B6C" w:rsidRDefault="00D63C5A" w:rsidP="00D63C5A">
      <w:r w:rsidRPr="00873B6C">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873B6C" w:rsidRDefault="00D63C5A" w:rsidP="00D63C5A">
      <w:r w:rsidRPr="00873B6C">
        <w:t>The following factors may be considered by the DCCF for MFAF selection:</w:t>
      </w:r>
    </w:p>
    <w:p w14:paraId="7074334C" w14:textId="77777777" w:rsidR="00D63C5A" w:rsidRPr="00873B6C" w:rsidRDefault="00D63C5A" w:rsidP="00323277">
      <w:pPr>
        <w:pStyle w:val="B1"/>
      </w:pPr>
      <w:r w:rsidRPr="00873B6C">
        <w:t>-</w:t>
      </w:r>
      <w:r w:rsidRPr="00873B6C">
        <w:tab/>
        <w:t>S-NSSAI;</w:t>
      </w:r>
    </w:p>
    <w:p w14:paraId="31E812F8" w14:textId="77777777" w:rsidR="00D63C5A" w:rsidRPr="00873B6C" w:rsidRDefault="00D63C5A" w:rsidP="00323277">
      <w:pPr>
        <w:pStyle w:val="B1"/>
      </w:pPr>
      <w:r w:rsidRPr="00873B6C">
        <w:t>-</w:t>
      </w:r>
      <w:r w:rsidRPr="00873B6C">
        <w:tab/>
        <w:t>NF Types of the Data Sources handled by the MFAF;</w:t>
      </w:r>
    </w:p>
    <w:p w14:paraId="586B1CBB" w14:textId="77777777" w:rsidR="00D63C5A" w:rsidRPr="00873B6C" w:rsidRDefault="00D63C5A" w:rsidP="00323277">
      <w:pPr>
        <w:pStyle w:val="B1"/>
      </w:pPr>
      <w:r w:rsidRPr="00873B6C">
        <w:t>-</w:t>
      </w:r>
      <w:r w:rsidRPr="00873B6C">
        <w:tab/>
        <w:t>NF Set IDs of the Data Sources handled by the MFAF;</w:t>
      </w:r>
    </w:p>
    <w:p w14:paraId="06B721FE" w14:textId="77777777" w:rsidR="00D63C5A" w:rsidRPr="00873B6C" w:rsidRDefault="00D63C5A" w:rsidP="00323277">
      <w:pPr>
        <w:pStyle w:val="B1"/>
      </w:pPr>
      <w:r w:rsidRPr="00873B6C">
        <w:t>-</w:t>
      </w:r>
      <w:r w:rsidRPr="00873B6C">
        <w:tab/>
        <w:t>MFAF Serving Area information, i.e. list of TAIs for which the MFAF may receive data from Data Sources.</w:t>
      </w:r>
    </w:p>
    <w:p w14:paraId="30E858A1" w14:textId="3EDF7E1B" w:rsidR="00D63C5A" w:rsidRPr="00873B6C" w:rsidRDefault="00757CAF" w:rsidP="00757CAF">
      <w:pPr>
        <w:pStyle w:val="Heading3"/>
      </w:pPr>
      <w:bookmarkStart w:id="5858" w:name="_CR6_3_22"/>
      <w:bookmarkStart w:id="5859" w:name="_Toc201157814"/>
      <w:bookmarkEnd w:id="5858"/>
      <w:r w:rsidRPr="00873B6C">
        <w:t>6.3.22</w:t>
      </w:r>
      <w:r w:rsidRPr="00873B6C">
        <w:tab/>
        <w:t>NSACF discovery and selection</w:t>
      </w:r>
      <w:bookmarkEnd w:id="5859"/>
    </w:p>
    <w:p w14:paraId="6E0B6775" w14:textId="34510BCC" w:rsidR="00757CAF" w:rsidRPr="00873B6C" w:rsidRDefault="00757CAF" w:rsidP="00757CAF">
      <w:r w:rsidRPr="00873B6C">
        <w:t>The NF consumers shall utilise the NRF to discover NSACF instance(s)</w:t>
      </w:r>
      <w:r w:rsidR="00AD480D" w:rsidRPr="00873B6C">
        <w:t>, including the NSACF acting as Primary NSACF role,</w:t>
      </w:r>
      <w:r w:rsidRPr="00873B6C">
        <w:t xml:space="preserve"> unless NSACF information is available by other means, e.g. locally configured in NF consumers.</w:t>
      </w:r>
    </w:p>
    <w:p w14:paraId="5BE35A06" w14:textId="779178E9" w:rsidR="00B93E3D" w:rsidRPr="00873B6C" w:rsidRDefault="004119E4" w:rsidP="00757CAF">
      <w:r w:rsidRPr="00873B6C">
        <w:t xml:space="preserve">The </w:t>
      </w:r>
      <w:r w:rsidR="00B93E3D" w:rsidRPr="00873B6C">
        <w:t>NSACF selection function in the</w:t>
      </w:r>
      <w:r w:rsidRPr="00873B6C">
        <w:t xml:space="preserve"> NSACF NF consumer</w:t>
      </w:r>
      <w:r w:rsidR="00B93E3D" w:rsidRPr="00873B6C">
        <w:t xml:space="preserve"> selects an NSACF instance based on the available NSACF instances, which are obtained from the NRF or locally configured in the</w:t>
      </w:r>
      <w:r w:rsidRPr="00873B6C">
        <w:t xml:space="preserve"> NSACF NF consumer</w:t>
      </w:r>
      <w:r w:rsidR="00B93E3D" w:rsidRPr="00873B6C">
        <w:t>.</w:t>
      </w:r>
    </w:p>
    <w:p w14:paraId="60B60B65" w14:textId="78DB437F" w:rsidR="00757CAF" w:rsidRPr="00873B6C" w:rsidRDefault="00757CAF" w:rsidP="00757CAF">
      <w:r w:rsidRPr="00873B6C">
        <w:t>The following factors may be considered by the NF consumer for NSACF</w:t>
      </w:r>
      <w:r w:rsidR="004119E4" w:rsidRPr="00873B6C">
        <w:t xml:space="preserve"> discovery and</w:t>
      </w:r>
      <w:r w:rsidRPr="00873B6C">
        <w:t xml:space="preserve"> selection:</w:t>
      </w:r>
    </w:p>
    <w:p w14:paraId="2ADA675E" w14:textId="77777777" w:rsidR="00757CAF" w:rsidRPr="00873B6C" w:rsidRDefault="00757CAF" w:rsidP="00323277">
      <w:pPr>
        <w:pStyle w:val="B1"/>
      </w:pPr>
      <w:r w:rsidRPr="00873B6C">
        <w:t>-</w:t>
      </w:r>
      <w:r w:rsidRPr="00873B6C">
        <w:tab/>
        <w:t>S-NSSAI(s).</w:t>
      </w:r>
    </w:p>
    <w:p w14:paraId="640432FA" w14:textId="631CC977" w:rsidR="00B93E3D" w:rsidRPr="00873B6C" w:rsidRDefault="00B93E3D" w:rsidP="00B93E3D">
      <w:pPr>
        <w:pStyle w:val="B1"/>
      </w:pPr>
      <w:r w:rsidRPr="00873B6C">
        <w:t>-</w:t>
      </w:r>
      <w:r w:rsidRPr="00873B6C">
        <w:tab/>
        <w:t>NSAC</w:t>
      </w:r>
      <w:r w:rsidR="00A25791" w:rsidRPr="00873B6C">
        <w:t xml:space="preserve"> </w:t>
      </w:r>
      <w:r w:rsidR="004119E4" w:rsidRPr="00873B6C">
        <w:t>Service Area Identifier</w:t>
      </w:r>
      <w:r w:rsidR="00AD480D" w:rsidRPr="00873B6C">
        <w:t>, or</w:t>
      </w:r>
      <w:r w:rsidR="004119E4" w:rsidRPr="00873B6C">
        <w:t xml:space="preserve"> a reserved value</w:t>
      </w:r>
      <w:r w:rsidR="00AD480D" w:rsidRPr="00873B6C">
        <w:t xml:space="preserve"> "Entire PLMN" for discovering the NSACF acting as Primary NSACF or central</w:t>
      </w:r>
      <w:r w:rsidR="004119E4" w:rsidRPr="00873B6C">
        <w:t>ized</w:t>
      </w:r>
      <w:r w:rsidR="00AD480D" w:rsidRPr="00873B6C">
        <w:t xml:space="preserve"> NSAC role.</w:t>
      </w:r>
      <w:r w:rsidRPr="00873B6C">
        <w:t xml:space="preserve"> The NSAC</w:t>
      </w:r>
      <w:r w:rsidR="004119E4" w:rsidRPr="00873B6C">
        <w:t xml:space="preserve"> S</w:t>
      </w:r>
      <w:r w:rsidRPr="00873B6C">
        <w:t xml:space="preserve">ervice </w:t>
      </w:r>
      <w:r w:rsidR="004119E4" w:rsidRPr="00873B6C">
        <w:t>A</w:t>
      </w:r>
      <w:r w:rsidRPr="00873B6C">
        <w:t>rea</w:t>
      </w:r>
      <w:r w:rsidR="004119E4" w:rsidRPr="00873B6C">
        <w:t xml:space="preserve"> Identifier is configured at the consumer NF and NSACF (see clause 5.15.11.0)</w:t>
      </w:r>
      <w:r w:rsidR="00A10084" w:rsidRPr="00873B6C">
        <w:t>.</w:t>
      </w:r>
      <w:r w:rsidR="004119E4" w:rsidRPr="00873B6C">
        <w:t xml:space="preserve"> Each Service Area Identifier is a unique and unambiguous identifier and a NSACF registers with the NRF the NSAC Service Area Identifier(s) of the NSAC Service Area(s) it serves. "Entire PLMN" is indicated in roaming case to the NRF of HPLMN by the VPLMN NF consumer when the VPLMN NF consumer needs to discover the HPLMN NSACF, or in non roaming case to select a Primary NSACF.</w:t>
      </w:r>
    </w:p>
    <w:p w14:paraId="663FAC00" w14:textId="4047C8A4" w:rsidR="00B93E3D" w:rsidRPr="00873B6C" w:rsidRDefault="00B93E3D">
      <w:pPr>
        <w:pStyle w:val="B1"/>
      </w:pPr>
      <w:r w:rsidRPr="00873B6C">
        <w:t>-</w:t>
      </w:r>
      <w:r w:rsidRPr="00873B6C">
        <w:tab/>
        <w:t>NSACF service capabilities:</w:t>
      </w:r>
    </w:p>
    <w:p w14:paraId="1C4E978C" w14:textId="1AFE1D96" w:rsidR="00B93E3D" w:rsidRPr="00873B6C" w:rsidRDefault="00B93E3D" w:rsidP="00562E84">
      <w:pPr>
        <w:pStyle w:val="B2"/>
      </w:pPr>
      <w:r w:rsidRPr="00873B6C">
        <w:t>-</w:t>
      </w:r>
      <w:r w:rsidRPr="00873B6C">
        <w:tab/>
        <w:t>Support monitoring and controlling the number of registered UEs per network slice for the network slice that is subject to NSAC.</w:t>
      </w:r>
    </w:p>
    <w:p w14:paraId="7518E4F9" w14:textId="5E9B1F20" w:rsidR="00A10084" w:rsidRPr="00873B6C" w:rsidRDefault="00A10084" w:rsidP="00562E84">
      <w:pPr>
        <w:pStyle w:val="B2"/>
      </w:pPr>
      <w:r w:rsidRPr="00873B6C">
        <w:t>-</w:t>
      </w:r>
      <w:r w:rsidRPr="00873B6C">
        <w:tab/>
        <w:t>Support, for network slices that are subject to NSAC and configured to support EPS counting, monitoring and controlling the number of registered UEs with at least one PDU session per network slice, as defined in clause 5.15.11.5a.</w:t>
      </w:r>
    </w:p>
    <w:p w14:paraId="62D7462F" w14:textId="5203C13B" w:rsidR="00B93E3D" w:rsidRPr="00873B6C" w:rsidRDefault="00B93E3D" w:rsidP="00562E84">
      <w:pPr>
        <w:pStyle w:val="B2"/>
      </w:pPr>
      <w:r w:rsidRPr="00873B6C">
        <w:lastRenderedPageBreak/>
        <w:t>-</w:t>
      </w:r>
      <w:r w:rsidRPr="00873B6C">
        <w:tab/>
        <w:t>Support monitoring and controlling the number of established PDU Sessions per network slice for the network slice that is subject to NSAC.</w:t>
      </w:r>
    </w:p>
    <w:p w14:paraId="00730F59" w14:textId="4E8632AC" w:rsidR="002C4A81" w:rsidRPr="00873B6C" w:rsidRDefault="002C4A81" w:rsidP="002C4A81">
      <w:pPr>
        <w:pStyle w:val="B1"/>
      </w:pPr>
      <w:r w:rsidRPr="00873B6C">
        <w:t>-</w:t>
      </w:r>
      <w:r w:rsidRPr="00873B6C">
        <w:tab/>
        <w:t>PLMN ID information in the case of roaming to contact the HPLMN</w:t>
      </w:r>
      <w:r w:rsidR="00A10084" w:rsidRPr="00873B6C">
        <w:t xml:space="preserve"> NSACF</w:t>
      </w:r>
      <w:r w:rsidRPr="00873B6C">
        <w:t xml:space="preserve"> for inbound roamers.</w:t>
      </w:r>
    </w:p>
    <w:p w14:paraId="06286DB1" w14:textId="6118410B" w:rsidR="00B93E3D" w:rsidRPr="00873B6C" w:rsidRDefault="00B93E3D" w:rsidP="00562E84">
      <w:r w:rsidRPr="00873B6C">
        <w:t>In the case of delegated discovery and selection in SCP, the NSACF NF consumer shall send all available</w:t>
      </w:r>
      <w:r w:rsidR="00A10084" w:rsidRPr="00873B6C">
        <w:t xml:space="preserve"> and applicable</w:t>
      </w:r>
      <w:r w:rsidRPr="00873B6C">
        <w:t xml:space="preserve"> factors to the SCP.</w:t>
      </w:r>
    </w:p>
    <w:p w14:paraId="407C6F92" w14:textId="07CB02DA" w:rsidR="00BA212C" w:rsidRPr="00873B6C" w:rsidRDefault="00BA212C" w:rsidP="00BA212C">
      <w:pPr>
        <w:pStyle w:val="Heading3"/>
      </w:pPr>
      <w:bookmarkStart w:id="5860" w:name="_CR6_3_23"/>
      <w:bookmarkStart w:id="5861" w:name="_Toc201157815"/>
      <w:bookmarkEnd w:id="5860"/>
      <w:r w:rsidRPr="00873B6C">
        <w:t>6.3.23</w:t>
      </w:r>
      <w:r w:rsidRPr="00873B6C">
        <w:tab/>
        <w:t>EASDF discovery and selection</w:t>
      </w:r>
      <w:bookmarkEnd w:id="5861"/>
    </w:p>
    <w:p w14:paraId="48295ED5" w14:textId="77777777" w:rsidR="00BA212C" w:rsidRPr="00873B6C" w:rsidRDefault="00BA212C" w:rsidP="00BA212C">
      <w:r w:rsidRPr="00873B6C">
        <w:t>Multiple instances of EASDF may be deployed in a network. NF consumers mentioned in this clause are SMF(s).</w:t>
      </w:r>
    </w:p>
    <w:p w14:paraId="3E3D0E17" w14:textId="77777777" w:rsidR="00BA212C" w:rsidRPr="00873B6C" w:rsidRDefault="00BA212C" w:rsidP="00BA212C">
      <w:r w:rsidRPr="00873B6C">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873B6C" w:rsidRDefault="00BA212C" w:rsidP="00BA212C">
      <w:r w:rsidRPr="00873B6C">
        <w:t>The following factors may be considered by the NF consumer or SCP for EASDF selection:</w:t>
      </w:r>
    </w:p>
    <w:p w14:paraId="56B1EDB1" w14:textId="77777777" w:rsidR="00BA212C" w:rsidRPr="00873B6C" w:rsidRDefault="00BA212C" w:rsidP="00562E84">
      <w:pPr>
        <w:pStyle w:val="B1"/>
      </w:pPr>
      <w:r w:rsidRPr="00873B6C">
        <w:t>-</w:t>
      </w:r>
      <w:r w:rsidRPr="00873B6C">
        <w:tab/>
        <w:t>S-NSSAI.</w:t>
      </w:r>
    </w:p>
    <w:p w14:paraId="12436C18" w14:textId="713D52A4" w:rsidR="00BA212C" w:rsidRPr="00873B6C" w:rsidRDefault="00BA212C" w:rsidP="00562E84">
      <w:pPr>
        <w:pStyle w:val="B1"/>
      </w:pPr>
      <w:r w:rsidRPr="00873B6C">
        <w:t>-</w:t>
      </w:r>
      <w:r w:rsidRPr="00873B6C">
        <w:tab/>
        <w:t>DNN.</w:t>
      </w:r>
    </w:p>
    <w:p w14:paraId="52837224" w14:textId="78E3D290" w:rsidR="00BA212C" w:rsidRPr="00873B6C" w:rsidRDefault="00BA212C" w:rsidP="00562E84">
      <w:pPr>
        <w:pStyle w:val="B1"/>
      </w:pPr>
      <w:r w:rsidRPr="00873B6C">
        <w:t>-</w:t>
      </w:r>
      <w:r w:rsidRPr="00873B6C">
        <w:tab/>
        <w:t>the N6 IP address of the EASDF.</w:t>
      </w:r>
    </w:p>
    <w:p w14:paraId="0AD2D4FC" w14:textId="77777777" w:rsidR="00BA212C" w:rsidRPr="00873B6C" w:rsidRDefault="00BA212C" w:rsidP="00562E84">
      <w:pPr>
        <w:pStyle w:val="NO"/>
      </w:pPr>
      <w:r w:rsidRPr="00873B6C">
        <w:t>NOTE:</w:t>
      </w:r>
      <w:r w:rsidRPr="00873B6C">
        <w:tab/>
        <w:t>The IP address of the EASDF is not used for EASDF discovery. It can be used is to select an EASDF that is "IP near" to the PSA of the PDU Session.</w:t>
      </w:r>
    </w:p>
    <w:p w14:paraId="4A3F1C31" w14:textId="5297F8F2" w:rsidR="00BA212C" w:rsidRPr="00873B6C" w:rsidRDefault="00BA212C" w:rsidP="00562E84">
      <w:pPr>
        <w:pStyle w:val="B1"/>
      </w:pPr>
      <w:r w:rsidRPr="00873B6C">
        <w:t>-</w:t>
      </w:r>
      <w:r w:rsidRPr="00873B6C">
        <w:tab/>
        <w:t>The N6 IP address of the PSA UPF.</w:t>
      </w:r>
    </w:p>
    <w:p w14:paraId="3653A143" w14:textId="46A86A76" w:rsidR="00BA212C" w:rsidRPr="00873B6C" w:rsidRDefault="00BA212C" w:rsidP="00562E84">
      <w:pPr>
        <w:pStyle w:val="B1"/>
      </w:pPr>
      <w:r w:rsidRPr="00873B6C">
        <w:t>-</w:t>
      </w:r>
      <w:r w:rsidRPr="00873B6C">
        <w:tab/>
        <w:t>Location as per NF profile.</w:t>
      </w:r>
    </w:p>
    <w:p w14:paraId="5B8101DE" w14:textId="3D0FD942" w:rsidR="00BA212C" w:rsidRPr="00873B6C" w:rsidRDefault="00BA212C" w:rsidP="00562E84">
      <w:pPr>
        <w:pStyle w:val="B1"/>
      </w:pPr>
      <w:r w:rsidRPr="00873B6C">
        <w:t>-</w:t>
      </w:r>
      <w:r w:rsidRPr="00873B6C">
        <w:tab/>
        <w:t>DNAI (if exist).</w:t>
      </w:r>
    </w:p>
    <w:p w14:paraId="70139D88" w14:textId="75358FAD" w:rsidR="00CD22D1" w:rsidRPr="00873B6C" w:rsidRDefault="00CD22D1" w:rsidP="00CD22D1">
      <w:pPr>
        <w:pStyle w:val="B1"/>
      </w:pPr>
      <w:r w:rsidRPr="00873B6C">
        <w:t>-</w:t>
      </w:r>
      <w:r w:rsidRPr="00873B6C">
        <w:tab/>
        <w:t>Supported DNS security protocols (if existing).</w:t>
      </w:r>
    </w:p>
    <w:p w14:paraId="0D697165" w14:textId="0D349F1A" w:rsidR="00055D0B" w:rsidRPr="00873B6C" w:rsidRDefault="00055D0B" w:rsidP="00055D0B">
      <w:pPr>
        <w:pStyle w:val="Heading3"/>
      </w:pPr>
      <w:bookmarkStart w:id="5862" w:name="_CR6_3_24"/>
      <w:bookmarkStart w:id="5863" w:name="_Toc201157816"/>
      <w:bookmarkEnd w:id="5862"/>
      <w:r w:rsidRPr="00873B6C">
        <w:t>6.3.24</w:t>
      </w:r>
      <w:r w:rsidRPr="00873B6C">
        <w:tab/>
        <w:t>TSCTSF Discovery</w:t>
      </w:r>
      <w:bookmarkEnd w:id="5863"/>
    </w:p>
    <w:p w14:paraId="4D22E855" w14:textId="05B3BEC0" w:rsidR="00055D0B" w:rsidRPr="00873B6C" w:rsidRDefault="00055D0B" w:rsidP="00055D0B">
      <w:r w:rsidRPr="00873B6C">
        <w:t>The NF</w:t>
      </w:r>
      <w:r w:rsidR="003F2E5D" w:rsidRPr="00873B6C">
        <w:t>s (e.g. NEF, AF and PCF)</w:t>
      </w:r>
      <w:r w:rsidRPr="00873B6C">
        <w:t xml:space="preserve"> may utilize the NRF to discover TSCTSF instance(s) unless TSCTSF information is available by other means, e.g. locally configured in</w:t>
      </w:r>
      <w:r w:rsidR="003F2E5D" w:rsidRPr="00873B6C">
        <w:t xml:space="preserve"> the requested</w:t>
      </w:r>
      <w:r w:rsidRPr="00873B6C">
        <w:t xml:space="preserve"> NF.</w:t>
      </w:r>
    </w:p>
    <w:p w14:paraId="4FCC262E" w14:textId="65B5D1AD" w:rsidR="00055D0B" w:rsidRPr="00873B6C" w:rsidRDefault="00055D0B" w:rsidP="00055D0B">
      <w:r w:rsidRPr="00873B6C">
        <w:t>The following factors may be considered for TSCTSF</w:t>
      </w:r>
      <w:r w:rsidR="0053150F" w:rsidRPr="00873B6C">
        <w:t xml:space="preserve"> discovery and</w:t>
      </w:r>
      <w:r w:rsidRPr="00873B6C">
        <w:t xml:space="preserve"> selection:</w:t>
      </w:r>
    </w:p>
    <w:p w14:paraId="5917B8AD" w14:textId="3D1E69BE" w:rsidR="0053150F" w:rsidRPr="00873B6C" w:rsidRDefault="0053150F" w:rsidP="00562E84">
      <w:pPr>
        <w:pStyle w:val="B1"/>
      </w:pPr>
      <w:r w:rsidRPr="00873B6C">
        <w:t>-</w:t>
      </w:r>
      <w:r w:rsidRPr="00873B6C">
        <w:tab/>
        <w:t>DNN and S-NSSAI</w:t>
      </w:r>
      <w:r w:rsidR="003F2E5D" w:rsidRPr="00873B6C">
        <w:t>.</w:t>
      </w:r>
      <w:r w:rsidRPr="00873B6C">
        <w:t xml:space="preserve"> When the NF discovers the TSCTSF for a DNN/S-NSSAI, the NRF provides </w:t>
      </w:r>
      <w:r w:rsidR="003F2E5D" w:rsidRPr="00873B6C">
        <w:t xml:space="preserve">the NF with </w:t>
      </w:r>
      <w:r w:rsidRPr="00873B6C">
        <w:t xml:space="preserve">NF profile(s) of TSCTSF instance(s) belonging to single TSCTSF Set for a given DNN/S-NSSAI. </w:t>
      </w:r>
      <w:r w:rsidR="003F2E5D" w:rsidRPr="00873B6C">
        <w:t xml:space="preserve">For example, the </w:t>
      </w:r>
      <w:r w:rsidRPr="00873B6C">
        <w:t>same TSCTSF Set shall be selected by the PCF serving PDU Sessions for this DNN and S-NSSAI to notify the TSCTSF for a PDU Session that is potentially impacted by the (g)PTP time synchronization service.</w:t>
      </w:r>
    </w:p>
    <w:p w14:paraId="062D0642" w14:textId="52CB7696" w:rsidR="0053150F" w:rsidRPr="00873B6C" w:rsidRDefault="0053150F" w:rsidP="00562E84">
      <w:pPr>
        <w:pStyle w:val="B1"/>
      </w:pPr>
      <w:r w:rsidRPr="00873B6C">
        <w:t>-</w:t>
      </w:r>
      <w:r w:rsidRPr="00873B6C">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873B6C" w:rsidRDefault="0053150F" w:rsidP="00562E84">
      <w:pPr>
        <w:pStyle w:val="B1"/>
      </w:pPr>
      <w:r w:rsidRPr="00873B6C">
        <w:t>-</w:t>
      </w:r>
      <w:r w:rsidRPr="00873B6C">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873B6C" w:rsidRDefault="00A46717" w:rsidP="00A46717">
      <w:r w:rsidRPr="00873B6C">
        <w:t>If the TSCTSF is locally configured in NF</w:t>
      </w:r>
      <w:r w:rsidR="003F2E5D" w:rsidRPr="00873B6C">
        <w:t>s</w:t>
      </w:r>
      <w:r w:rsidRPr="00873B6C">
        <w:t>, it shall be ensured that the same TSCTSF</w:t>
      </w:r>
      <w:r w:rsidR="0053150F" w:rsidRPr="00873B6C">
        <w:t xml:space="preserve"> Set</w:t>
      </w:r>
      <w:r w:rsidRPr="00873B6C">
        <w:t xml:space="preserve"> is </w:t>
      </w:r>
      <w:r w:rsidR="0053150F" w:rsidRPr="00873B6C">
        <w:t xml:space="preserve">configured </w:t>
      </w:r>
      <w:r w:rsidRPr="00873B6C">
        <w:t>in all NF</w:t>
      </w:r>
      <w:r w:rsidR="003F2E5D" w:rsidRPr="00873B6C">
        <w:t>s</w:t>
      </w:r>
      <w:r w:rsidRPr="00873B6C">
        <w:t xml:space="preserve"> (e.g. NEF, AF</w:t>
      </w:r>
      <w:r w:rsidR="003F2E5D" w:rsidRPr="00873B6C">
        <w:t xml:space="preserve"> and PCF</w:t>
      </w:r>
      <w:r w:rsidRPr="00873B6C">
        <w:t>) for the given DNN and S-NSSAI.</w:t>
      </w:r>
    </w:p>
    <w:p w14:paraId="417E9354" w14:textId="463FBB31" w:rsidR="0053150F" w:rsidRPr="00873B6C" w:rsidRDefault="0053150F" w:rsidP="00461850">
      <w:pPr>
        <w:pStyle w:val="NO"/>
      </w:pPr>
      <w:r w:rsidRPr="00873B6C">
        <w:t>NOTE:</w:t>
      </w:r>
      <w:r w:rsidRPr="00873B6C">
        <w:tab/>
        <w:t>Thus, it is assumed that there is only one TSCTSF Set for a given DNN/S-NSSAI in this Release of the specification.</w:t>
      </w:r>
    </w:p>
    <w:p w14:paraId="27605B59" w14:textId="54160B6A" w:rsidR="00C84B6D" w:rsidRPr="00873B6C" w:rsidRDefault="00C84B6D" w:rsidP="00C84B6D">
      <w:pPr>
        <w:pStyle w:val="Heading3"/>
      </w:pPr>
      <w:bookmarkStart w:id="5864" w:name="_CR6_3_25"/>
      <w:bookmarkStart w:id="5865" w:name="_Toc201157817"/>
      <w:bookmarkEnd w:id="5864"/>
      <w:r w:rsidRPr="00873B6C">
        <w:lastRenderedPageBreak/>
        <w:t>6.3.25</w:t>
      </w:r>
      <w:r w:rsidRPr="00873B6C">
        <w:tab/>
        <w:t>AF Discovery and Selection</w:t>
      </w:r>
      <w:bookmarkEnd w:id="5865"/>
    </w:p>
    <w:p w14:paraId="1354C7A3" w14:textId="1755131E" w:rsidR="00C84B6D" w:rsidRPr="00873B6C" w:rsidRDefault="00C84B6D" w:rsidP="00C84B6D">
      <w:r w:rsidRPr="00873B6C">
        <w:t>The NF consumers (e.g. NWDAF) may utilize the NRF to discover AF instance(s) in the MNO domain,</w:t>
      </w:r>
      <w:r w:rsidR="00366291" w:rsidRPr="00873B6C">
        <w:t xml:space="preserve"> i.e. trusted AF(s),</w:t>
      </w:r>
      <w:r w:rsidRPr="00873B6C">
        <w:t xml:space="preserve"> unless AF information is available by other means, e.g. locally configured in NF consumers. The NRF provides NF profile(s) of AF instance(s) to the NF consumers.</w:t>
      </w:r>
    </w:p>
    <w:p w14:paraId="37B9D8A8" w14:textId="77777777" w:rsidR="00C84B6D" w:rsidRPr="00873B6C" w:rsidRDefault="00C84B6D" w:rsidP="00C84B6D">
      <w:r w:rsidRPr="00873B6C">
        <w:t>The following factors may be considered for AF discovery and selection:</w:t>
      </w:r>
    </w:p>
    <w:p w14:paraId="2144C402" w14:textId="6620492E" w:rsidR="00366291" w:rsidRPr="00873B6C" w:rsidRDefault="00366291" w:rsidP="00562E84">
      <w:pPr>
        <w:pStyle w:val="B1"/>
      </w:pPr>
      <w:r w:rsidRPr="00873B6C">
        <w:t>-</w:t>
      </w:r>
      <w:r w:rsidRPr="00873B6C">
        <w:tab/>
        <w:t>One or multiple combination(s) of the S-NSSAI and DNN corresponding to an AF.</w:t>
      </w:r>
    </w:p>
    <w:p w14:paraId="36BB8B6C" w14:textId="71248665" w:rsidR="00C84B6D" w:rsidRPr="00873B6C" w:rsidRDefault="00C84B6D" w:rsidP="00562E84">
      <w:pPr>
        <w:pStyle w:val="B1"/>
      </w:pPr>
      <w:r w:rsidRPr="00873B6C">
        <w:t>-</w:t>
      </w:r>
      <w:r w:rsidRPr="00873B6C">
        <w:tab/>
        <w:t>Supported Application Id(s).</w:t>
      </w:r>
    </w:p>
    <w:p w14:paraId="66D41DF4" w14:textId="066A3C83" w:rsidR="00C84B6D" w:rsidRPr="00873B6C" w:rsidRDefault="00C84B6D" w:rsidP="00562E84">
      <w:pPr>
        <w:pStyle w:val="B1"/>
      </w:pPr>
      <w:r w:rsidRPr="00873B6C">
        <w:t>-</w:t>
      </w:r>
      <w:r w:rsidRPr="00873B6C">
        <w:tab/>
        <w:t xml:space="preserve">Event ID(s) Supported by </w:t>
      </w:r>
      <w:r w:rsidR="00366291" w:rsidRPr="00873B6C">
        <w:t xml:space="preserve">an </w:t>
      </w:r>
      <w:r w:rsidRPr="00873B6C">
        <w:t>AF.</w:t>
      </w:r>
    </w:p>
    <w:p w14:paraId="4D4C2A21" w14:textId="77777777" w:rsidR="00C84B6D" w:rsidRPr="00873B6C" w:rsidRDefault="00C84B6D" w:rsidP="00562E84">
      <w:pPr>
        <w:pStyle w:val="B1"/>
      </w:pPr>
      <w:r w:rsidRPr="00873B6C">
        <w:t>-</w:t>
      </w:r>
      <w:r w:rsidRPr="00873B6C">
        <w:tab/>
        <w:t>Internal-Group Identifier.</w:t>
      </w:r>
    </w:p>
    <w:p w14:paraId="4C7B8279" w14:textId="0616433E" w:rsidR="00C84B6D" w:rsidRPr="00873B6C" w:rsidRDefault="00C84B6D" w:rsidP="00C84B6D">
      <w:r w:rsidRPr="00873B6C">
        <w:t xml:space="preserve">The NF consumer (e.g. NWDAF) </w:t>
      </w:r>
      <w:r w:rsidR="00366291" w:rsidRPr="00873B6C">
        <w:t xml:space="preserve">may </w:t>
      </w:r>
      <w:r w:rsidRPr="00873B6C">
        <w:t>select an AF instance, in the MNO domain,</w:t>
      </w:r>
      <w:r w:rsidR="00366291" w:rsidRPr="00873B6C">
        <w:t xml:space="preserve"> considering one or multiple combination(s) of the S-NSSAI and DNN corresponding to an AF and</w:t>
      </w:r>
      <w:r w:rsidRPr="00873B6C">
        <w:t xml:space="preserve"> the EventID(s) </w:t>
      </w:r>
      <w:r w:rsidR="00366291" w:rsidRPr="00873B6C">
        <w:t xml:space="preserve">supported by an AF to </w:t>
      </w:r>
      <w:r w:rsidRPr="00873B6C">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Pr="00873B6C" w:rsidRDefault="006E7E83" w:rsidP="006E7E83">
      <w:pPr>
        <w:pStyle w:val="Heading3"/>
      </w:pPr>
      <w:bookmarkStart w:id="5866" w:name="_CR6_3_26"/>
      <w:bookmarkStart w:id="5867" w:name="_Toc201157818"/>
      <w:bookmarkEnd w:id="5866"/>
      <w:r w:rsidRPr="00873B6C">
        <w:t>6.3.26</w:t>
      </w:r>
      <w:r w:rsidRPr="00873B6C">
        <w:tab/>
        <w:t>NRF discovery and selection</w:t>
      </w:r>
      <w:bookmarkEnd w:id="5867"/>
    </w:p>
    <w:p w14:paraId="2A89CB81" w14:textId="77777777" w:rsidR="006E7E83" w:rsidRPr="00873B6C" w:rsidRDefault="006E7E83" w:rsidP="006E7E83">
      <w:r w:rsidRPr="00873B6C">
        <w:t>The following mechanisms may be used for discovery of NRF service instances and their endpoint addresses:</w:t>
      </w:r>
    </w:p>
    <w:p w14:paraId="50B67B57" w14:textId="77777777" w:rsidR="006E7E83" w:rsidRPr="00873B6C" w:rsidRDefault="006E7E83" w:rsidP="0073598F">
      <w:pPr>
        <w:pStyle w:val="B1"/>
      </w:pPr>
      <w:r w:rsidRPr="00873B6C">
        <w:t>-</w:t>
      </w:r>
      <w:r w:rsidRPr="00873B6C">
        <w:tab/>
        <w:t>NF consumers or SCP may have all the NRF services instances and their endpoint addresses locally configured.</w:t>
      </w:r>
    </w:p>
    <w:p w14:paraId="2FE4D488" w14:textId="77777777" w:rsidR="006E7E83" w:rsidRPr="00873B6C" w:rsidRDefault="006E7E83" w:rsidP="0073598F">
      <w:pPr>
        <w:pStyle w:val="B1"/>
      </w:pPr>
      <w:r w:rsidRPr="00873B6C">
        <w:t>-</w:t>
      </w:r>
      <w:r w:rsidRPr="00873B6C">
        <w:tab/>
        <w:t>NF consumers or SCP may have the endpoint address of a NRF discovery service locally configured and utilize it to discover the NRF(s) and get the NF profile(s) of the NRF(s).</w:t>
      </w:r>
    </w:p>
    <w:p w14:paraId="72CAE94B" w14:textId="74AFA23C" w:rsidR="006E7E83" w:rsidRPr="00873B6C" w:rsidRDefault="006E7E83" w:rsidP="0073598F">
      <w:pPr>
        <w:pStyle w:val="B1"/>
      </w:pPr>
      <w:r w:rsidRPr="00873B6C">
        <w:t>-</w:t>
      </w:r>
      <w:r w:rsidRPr="00873B6C">
        <w:tab/>
        <w:t>NF consumers (e.g. v-NRF) or SCP may have endpoint addresses of the NRF bootstrapping service and utilize it to discover the NRF service instances and their endpoint addresses. The NRF bootstrapping service is a version independent API, which may be especially useful over roaming interfaces.</w:t>
      </w:r>
    </w:p>
    <w:p w14:paraId="4D0E2FC5" w14:textId="56820B6E" w:rsidR="006E7E83" w:rsidRPr="00873B6C" w:rsidRDefault="006E7E83" w:rsidP="0073598F">
      <w:pPr>
        <w:pStyle w:val="B1"/>
      </w:pPr>
      <w:r w:rsidRPr="00873B6C">
        <w:t>-</w:t>
      </w:r>
      <w:r w:rsidRPr="00873B6C">
        <w:tab/>
        <w:t>The NF consumer, e.g. AMF, may use the Nnssf_NSSelection service to get the endpoint address of a NRF discovery service for a certain slice.</w:t>
      </w:r>
    </w:p>
    <w:p w14:paraId="5108A4B2" w14:textId="77777777" w:rsidR="00D40151" w:rsidRPr="00873B6C" w:rsidRDefault="00D40151" w:rsidP="00D40151">
      <w:pPr>
        <w:pStyle w:val="Heading1"/>
      </w:pPr>
      <w:bookmarkStart w:id="5868" w:name="_CR7"/>
      <w:bookmarkStart w:id="5869" w:name="_Toc201157819"/>
      <w:bookmarkEnd w:id="5868"/>
      <w:r w:rsidRPr="00873B6C">
        <w:t>7</w:t>
      </w:r>
      <w:r w:rsidRPr="00873B6C">
        <w:tab/>
        <w:t>Network Function Services and descriptions</w:t>
      </w:r>
      <w:bookmarkEnd w:id="5832"/>
      <w:bookmarkEnd w:id="5833"/>
      <w:bookmarkEnd w:id="5840"/>
      <w:bookmarkEnd w:id="5848"/>
      <w:bookmarkEnd w:id="5849"/>
      <w:bookmarkEnd w:id="5850"/>
      <w:bookmarkEnd w:id="5869"/>
    </w:p>
    <w:p w14:paraId="53A31F5F" w14:textId="77777777" w:rsidR="00D40151" w:rsidRPr="00873B6C" w:rsidRDefault="00D40151" w:rsidP="00D40151">
      <w:pPr>
        <w:pStyle w:val="Heading2"/>
      </w:pPr>
      <w:bookmarkStart w:id="5870" w:name="_CR7_1"/>
      <w:bookmarkStart w:id="5871" w:name="_Toc20150244"/>
      <w:bookmarkStart w:id="5872" w:name="_Toc27847052"/>
      <w:bookmarkStart w:id="5873" w:name="_Toc36188185"/>
      <w:bookmarkStart w:id="5874" w:name="_Toc45184098"/>
      <w:bookmarkStart w:id="5875" w:name="_Toc47342940"/>
      <w:bookmarkStart w:id="5876" w:name="_Toc51769642"/>
      <w:bookmarkStart w:id="5877" w:name="_Toc201157820"/>
      <w:bookmarkEnd w:id="5870"/>
      <w:r w:rsidRPr="00873B6C">
        <w:t>7.1</w:t>
      </w:r>
      <w:r w:rsidRPr="00873B6C">
        <w:tab/>
        <w:t>Network Function Service Framework</w:t>
      </w:r>
      <w:bookmarkEnd w:id="5871"/>
      <w:bookmarkEnd w:id="5872"/>
      <w:bookmarkEnd w:id="5873"/>
      <w:bookmarkEnd w:id="5874"/>
      <w:bookmarkEnd w:id="5875"/>
      <w:bookmarkEnd w:id="5876"/>
      <w:bookmarkEnd w:id="5877"/>
    </w:p>
    <w:p w14:paraId="33F77021" w14:textId="77777777" w:rsidR="00D40151" w:rsidRPr="00873B6C" w:rsidRDefault="00D40151" w:rsidP="00D40151">
      <w:pPr>
        <w:pStyle w:val="Heading3"/>
      </w:pPr>
      <w:bookmarkStart w:id="5878" w:name="_CR7_1_1"/>
      <w:bookmarkStart w:id="5879" w:name="_Toc20150245"/>
      <w:bookmarkStart w:id="5880" w:name="_Toc27847053"/>
      <w:bookmarkStart w:id="5881" w:name="_Toc36188186"/>
      <w:bookmarkStart w:id="5882" w:name="_Toc45184099"/>
      <w:bookmarkStart w:id="5883" w:name="_Toc47342941"/>
      <w:bookmarkStart w:id="5884" w:name="_Toc51769643"/>
      <w:bookmarkStart w:id="5885" w:name="_Toc201157821"/>
      <w:bookmarkEnd w:id="5878"/>
      <w:r w:rsidRPr="00873B6C">
        <w:t>7.1.1</w:t>
      </w:r>
      <w:r w:rsidRPr="00873B6C">
        <w:tab/>
        <w:t>General</w:t>
      </w:r>
      <w:bookmarkEnd w:id="5879"/>
      <w:bookmarkEnd w:id="5880"/>
      <w:bookmarkEnd w:id="5881"/>
      <w:bookmarkEnd w:id="5882"/>
      <w:bookmarkEnd w:id="5883"/>
      <w:bookmarkEnd w:id="5884"/>
      <w:bookmarkEnd w:id="5885"/>
    </w:p>
    <w:p w14:paraId="36957C0E" w14:textId="4AD65185" w:rsidR="00D40151" w:rsidRPr="00873B6C" w:rsidRDefault="00D40151" w:rsidP="00D40151">
      <w:pPr>
        <w:rPr>
          <w:rFonts w:eastAsia="SimSun"/>
          <w:lang w:eastAsia="zh-CN"/>
        </w:rPr>
      </w:pPr>
      <w:r w:rsidRPr="00873B6C">
        <w:rPr>
          <w:rFonts w:eastAsia="SimSun"/>
          <w:lang w:eastAsia="zh-CN"/>
        </w:rPr>
        <w:t>Service Framework functionalities include e.g. service registration/de-registration, consumer authorization, service discovery</w:t>
      </w:r>
      <w:r w:rsidR="00472CD7" w:rsidRPr="00873B6C">
        <w:rPr>
          <w:rFonts w:eastAsia="SimSun"/>
          <w:lang w:eastAsia="zh-CN"/>
        </w:rPr>
        <w:t xml:space="preserve"> and</w:t>
      </w:r>
      <w:r w:rsidRPr="00873B6C">
        <w:rPr>
          <w:rFonts w:eastAsia="SimSun"/>
          <w:lang w:eastAsia="zh-CN"/>
        </w:rPr>
        <w:t xml:space="preserve"> inter service communication, which include selection and message passing. Four communication options are listed in Annex E and can all co-exist within one and the same network.</w:t>
      </w:r>
    </w:p>
    <w:p w14:paraId="1FC4E54D" w14:textId="77777777" w:rsidR="00D40151" w:rsidRPr="00873B6C" w:rsidRDefault="00D40151" w:rsidP="00D40151">
      <w:pPr>
        <w:rPr>
          <w:rFonts w:eastAsia="SimSun"/>
          <w:lang w:eastAsia="zh-CN"/>
        </w:rPr>
      </w:pPr>
      <w:r w:rsidRPr="00873B6C">
        <w:rPr>
          <w:rFonts w:eastAsia="SimSun"/>
          <w:lang w:eastAsia="zh-CN"/>
        </w:rPr>
        <w:t xml:space="preserve">An NF service is one type of capability exposed by an NF (NF Service </w:t>
      </w:r>
      <w:r w:rsidRPr="00873B6C">
        <w:rPr>
          <w:lang w:eastAsia="zh-CN"/>
        </w:rPr>
        <w:t>Producer</w:t>
      </w:r>
      <w:r w:rsidRPr="00873B6C">
        <w:rPr>
          <w:rFonts w:eastAsia="SimSun"/>
          <w:lang w:eastAsia="zh-CN"/>
        </w:rPr>
        <w:t>) to other authorized NF (NF Service Consumer) through a service-based interface. A Network Function may expose one or more NF services. Following are criteria for specifying NF services:</w:t>
      </w:r>
    </w:p>
    <w:p w14:paraId="5F9D87FF" w14:textId="44052AA2" w:rsidR="00D40151" w:rsidRPr="00873B6C" w:rsidRDefault="00D40151" w:rsidP="00D40151">
      <w:pPr>
        <w:pStyle w:val="B1"/>
      </w:pPr>
      <w:r w:rsidRPr="00873B6C">
        <w:t>-</w:t>
      </w:r>
      <w:r w:rsidRPr="00873B6C">
        <w:tab/>
        <w:t>NF services are derived from the system procedures that describe end-to-end functionality, where applicable (see</w:t>
      </w:r>
      <w:r w:rsidR="00704A9E" w:rsidRPr="00873B6C">
        <w:t xml:space="preserve"> </w:t>
      </w:r>
      <w:r w:rsidR="00972E70" w:rsidRPr="00873B6C">
        <w:t>TS 23.502 [</w:t>
      </w:r>
      <w:r w:rsidRPr="00873B6C">
        <w:t xml:space="preserve">3], Annex B drafting rules). </w:t>
      </w:r>
      <w:r w:rsidRPr="00873B6C">
        <w:rPr>
          <w:lang w:eastAsia="zh-CN"/>
        </w:rPr>
        <w:t>Services may also be defined based on information flows from other 3GPP specifications.</w:t>
      </w:r>
    </w:p>
    <w:p w14:paraId="3977375A" w14:textId="77777777" w:rsidR="00D40151" w:rsidRPr="00873B6C" w:rsidRDefault="00D40151" w:rsidP="00D40151">
      <w:pPr>
        <w:pStyle w:val="B1"/>
      </w:pPr>
      <w:r w:rsidRPr="00873B6C">
        <w:t>-</w:t>
      </w:r>
      <w:r w:rsidRPr="00873B6C">
        <w:tab/>
        <w:t>System procedures can be described by a sequence of NF service invocations.</w:t>
      </w:r>
    </w:p>
    <w:p w14:paraId="2D9338E2" w14:textId="77777777" w:rsidR="00D40151" w:rsidRPr="00873B6C" w:rsidRDefault="00D40151" w:rsidP="00D40151">
      <w:r w:rsidRPr="00873B6C">
        <w:t xml:space="preserve">NF services may communicate directly between NF Service consumers and NF Service Producers, or indirectly via an SCP. Direct and Indirect Communication are illustrated in Figure 7.1.1-1. For more information, see Annex E and </w:t>
      </w:r>
      <w:r w:rsidRPr="00873B6C">
        <w:lastRenderedPageBreak/>
        <w:t>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873B6C" w:rsidRDefault="00D40151" w:rsidP="00D40151">
      <w:pPr>
        <w:pStyle w:val="NO"/>
      </w:pPr>
      <w:r w:rsidRPr="00873B6C">
        <w:t>NOTE:</w:t>
      </w:r>
      <w:r w:rsidRPr="00873B6C">
        <w:tab/>
        <w:t>The SCP can be deployed in a distributed manner.</w:t>
      </w:r>
    </w:p>
    <w:p w14:paraId="2B6AA06A" w14:textId="77777777" w:rsidR="00D40151" w:rsidRPr="00873B6C" w:rsidRDefault="00D40151" w:rsidP="00D40151">
      <w:r w:rsidRPr="00873B6C">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873B6C" w:rsidRDefault="00D40151" w:rsidP="00D40151">
      <w:r w:rsidRPr="00873B6C">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873B6C" w:rsidRDefault="00704A9E" w:rsidP="008A60FE">
      <w:pPr>
        <w:pStyle w:val="TH"/>
      </w:pPr>
      <w:r w:rsidRPr="00873B6C">
        <w:object w:dxaOrig="8274" w:dyaOrig="2354" w14:anchorId="1E133F06">
          <v:shape id="_x0000_i1123" type="#_x0000_t75" style="width:418.85pt;height:115.2pt" o:ole="">
            <v:imagedata r:id="rId205" o:title=""/>
          </v:shape>
          <o:OLEObject Type="Embed" ProgID="Word.Picture.8" ShapeID="_x0000_i1123" DrawAspect="Content" ObjectID="_1811772457" r:id="rId206"/>
        </w:object>
      </w:r>
    </w:p>
    <w:p w14:paraId="6751109E" w14:textId="427B26BC" w:rsidR="00D40151" w:rsidRPr="00873B6C" w:rsidRDefault="00D40151" w:rsidP="00D40151">
      <w:pPr>
        <w:pStyle w:val="TF"/>
      </w:pPr>
      <w:bookmarkStart w:id="5886" w:name="_CRFigure7_1_11"/>
      <w:r w:rsidRPr="00873B6C">
        <w:t xml:space="preserve">Figure </w:t>
      </w:r>
      <w:bookmarkEnd w:id="5886"/>
      <w:r w:rsidRPr="00873B6C">
        <w:t>7.1.1-1: NF/NF service inter communication</w:t>
      </w:r>
    </w:p>
    <w:p w14:paraId="2BF75BCF" w14:textId="77777777" w:rsidR="00D40151" w:rsidRPr="00873B6C" w:rsidRDefault="00D40151" w:rsidP="00D40151">
      <w:pPr>
        <w:pStyle w:val="Heading3"/>
        <w:rPr>
          <w:rFonts w:eastAsia="SimSun"/>
          <w:lang w:eastAsia="zh-CN"/>
        </w:rPr>
      </w:pPr>
      <w:bookmarkStart w:id="5887" w:name="_CR7_1_2"/>
      <w:bookmarkStart w:id="5888" w:name="_Toc20150246"/>
      <w:bookmarkStart w:id="5889" w:name="_Toc27847054"/>
      <w:bookmarkStart w:id="5890" w:name="_Toc36188187"/>
      <w:bookmarkStart w:id="5891" w:name="_Toc45184100"/>
      <w:bookmarkStart w:id="5892" w:name="_Toc47342942"/>
      <w:bookmarkStart w:id="5893" w:name="_Toc51769644"/>
      <w:bookmarkStart w:id="5894" w:name="_Toc201157822"/>
      <w:bookmarkEnd w:id="5887"/>
      <w:r w:rsidRPr="00873B6C">
        <w:t>7.1.2</w:t>
      </w:r>
      <w:r w:rsidRPr="00873B6C">
        <w:tab/>
        <w:t>NF Service Consumer - NF Service Producer interactions</w:t>
      </w:r>
      <w:bookmarkEnd w:id="5888"/>
      <w:bookmarkEnd w:id="5889"/>
      <w:bookmarkEnd w:id="5890"/>
      <w:bookmarkEnd w:id="5891"/>
      <w:bookmarkEnd w:id="5892"/>
      <w:bookmarkEnd w:id="5893"/>
      <w:bookmarkEnd w:id="5894"/>
    </w:p>
    <w:p w14:paraId="4B89E8F1" w14:textId="77777777" w:rsidR="00D40151" w:rsidRPr="00873B6C" w:rsidRDefault="00D40151" w:rsidP="00D40151">
      <w:pPr>
        <w:rPr>
          <w:rFonts w:eastAsia="SimSun"/>
          <w:lang w:eastAsia="zh-CN"/>
        </w:rPr>
      </w:pPr>
      <w:r w:rsidRPr="00873B6C">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873B6C" w:rsidRDefault="00D40151" w:rsidP="00D40151">
      <w:pPr>
        <w:pStyle w:val="B1"/>
      </w:pPr>
      <w:r w:rsidRPr="00873B6C">
        <w:t>-</w:t>
      </w:r>
      <w:r w:rsidRPr="00873B6C">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5895" w:name="_MON_1546752556"/>
    <w:bookmarkEnd w:id="5895"/>
    <w:p w14:paraId="7A9FB428" w14:textId="77777777" w:rsidR="00D40151" w:rsidRPr="00873B6C" w:rsidRDefault="00D40151" w:rsidP="00D40151">
      <w:pPr>
        <w:pStyle w:val="TH"/>
      </w:pPr>
      <w:r w:rsidRPr="00873B6C">
        <w:object w:dxaOrig="3702" w:dyaOrig="1838" w14:anchorId="3B6129C6">
          <v:shape id="_x0000_i1124" type="#_x0000_t75" style="width:188.45pt;height:93.3pt" o:ole="">
            <v:imagedata r:id="rId207" o:title=""/>
          </v:shape>
          <o:OLEObject Type="Embed" ProgID="Word.Picture.8" ShapeID="_x0000_i1124" DrawAspect="Content" ObjectID="_1811772458" r:id="rId208"/>
        </w:object>
      </w:r>
    </w:p>
    <w:p w14:paraId="5BCF6402" w14:textId="77777777" w:rsidR="00D40151" w:rsidRPr="00873B6C" w:rsidRDefault="00D40151" w:rsidP="00D40151">
      <w:pPr>
        <w:pStyle w:val="TF"/>
      </w:pPr>
      <w:bookmarkStart w:id="5896" w:name="_CRFigure7_1_21"/>
      <w:r w:rsidRPr="00873B6C">
        <w:t xml:space="preserve">Figure </w:t>
      </w:r>
      <w:bookmarkEnd w:id="5896"/>
      <w:r w:rsidRPr="00873B6C">
        <w:t>7.1.2-1: "Request-response" NF Service illustration</w:t>
      </w:r>
    </w:p>
    <w:p w14:paraId="3E3C75C5" w14:textId="3502FFD3" w:rsidR="00D40151" w:rsidRPr="00873B6C" w:rsidRDefault="00D40151" w:rsidP="00D40151">
      <w:pPr>
        <w:pStyle w:val="B1"/>
      </w:pPr>
      <w:r w:rsidRPr="00873B6C">
        <w:t>-</w:t>
      </w:r>
      <w:r w:rsidRPr="00873B6C">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w:t>
      </w:r>
      <w:r w:rsidR="0014088C" w:rsidRPr="00873B6C">
        <w:t xml:space="preserve">a </w:t>
      </w:r>
      <w:r w:rsidRPr="00873B6C">
        <w:t xml:space="preserve">Notification Target Address and a Notification Correlation ID (e.g. the </w:t>
      </w:r>
      <w:r w:rsidR="0014088C" w:rsidRPr="00873B6C">
        <w:t xml:space="preserve">callback </w:t>
      </w:r>
      <w:r w:rsidRPr="00873B6C">
        <w:t>URL) of the NF Service Consumer to which the event notification from the NF Service Producer should be sent to.</w:t>
      </w:r>
    </w:p>
    <w:p w14:paraId="307EE6A0" w14:textId="08381D43" w:rsidR="00D40151" w:rsidRPr="00873B6C" w:rsidRDefault="00D40151" w:rsidP="00D40151">
      <w:pPr>
        <w:pStyle w:val="NO"/>
      </w:pPr>
      <w:r w:rsidRPr="00873B6C">
        <w:lastRenderedPageBreak/>
        <w:t>NOTE 1:</w:t>
      </w:r>
      <w:r w:rsidRPr="00873B6C">
        <w:tab/>
        <w:t>The notification endpoint</w:t>
      </w:r>
      <w:r w:rsidR="0014088C" w:rsidRPr="00873B6C">
        <w:t xml:space="preserve"> can be a</w:t>
      </w:r>
      <w:r w:rsidRPr="00873B6C">
        <w:t xml:space="preserve"> URL </w:t>
      </w:r>
      <w:r w:rsidR="0014088C" w:rsidRPr="00873B6C">
        <w:t xml:space="preserve">and </w:t>
      </w:r>
      <w:r w:rsidRPr="00873B6C">
        <w:t>contain</w:t>
      </w:r>
      <w:r w:rsidR="0014088C" w:rsidRPr="00873B6C">
        <w:t>s</w:t>
      </w:r>
      <w:r w:rsidRPr="00873B6C">
        <w:t xml:space="preserve"> both the </w:t>
      </w:r>
      <w:r w:rsidR="0014088C" w:rsidRPr="00873B6C">
        <w:t>N</w:t>
      </w:r>
      <w:r w:rsidRPr="00873B6C">
        <w:t>otification</w:t>
      </w:r>
      <w:r w:rsidR="0014088C" w:rsidRPr="00873B6C">
        <w:t xml:space="preserve"> Target Address</w:t>
      </w:r>
      <w:r w:rsidRPr="00873B6C">
        <w:t xml:space="preserve"> and the Notification Correlation ID.</w:t>
      </w:r>
    </w:p>
    <w:p w14:paraId="0F625CB9" w14:textId="61A5A19B" w:rsidR="00D40151" w:rsidRPr="00873B6C" w:rsidRDefault="00D40151" w:rsidP="00D40151">
      <w:pPr>
        <w:pStyle w:val="B1"/>
        <w:rPr>
          <w:lang w:eastAsia="zh-CN"/>
        </w:rPr>
      </w:pPr>
      <w:r w:rsidRPr="00873B6C">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873B6C">
        <w:t>.</w:t>
      </w:r>
      <w:r w:rsidRPr="00873B6C">
        <w:t xml:space="preserve"> the information requested gets changed, reaches certain threshold etc.). </w:t>
      </w:r>
      <w:r w:rsidRPr="00873B6C">
        <w:rPr>
          <w:lang w:eastAsia="zh-CN"/>
        </w:rPr>
        <w:t>The subscription for notification can be done through one of the following ways:</w:t>
      </w:r>
    </w:p>
    <w:p w14:paraId="4B8BDB74" w14:textId="77777777" w:rsidR="00D40151" w:rsidRPr="00873B6C" w:rsidRDefault="00D40151" w:rsidP="00D40151">
      <w:pPr>
        <w:pStyle w:val="B2"/>
        <w:rPr>
          <w:lang w:eastAsia="zh-CN"/>
        </w:rPr>
      </w:pPr>
      <w:r w:rsidRPr="00873B6C">
        <w:rPr>
          <w:lang w:eastAsia="zh-CN"/>
        </w:rPr>
        <w:t>-</w:t>
      </w:r>
      <w:r w:rsidRPr="00873B6C">
        <w:rPr>
          <w:lang w:eastAsia="zh-CN"/>
        </w:rPr>
        <w:tab/>
        <w:t>Explicit subscription: A separate request/response exchange between the NF Service Consumer and the NF Service Producer; or</w:t>
      </w:r>
    </w:p>
    <w:p w14:paraId="4F6EDE76" w14:textId="77777777" w:rsidR="00D40151" w:rsidRPr="00873B6C" w:rsidRDefault="00D40151" w:rsidP="00D40151">
      <w:pPr>
        <w:pStyle w:val="B2"/>
        <w:rPr>
          <w:lang w:eastAsia="zh-CN"/>
        </w:rPr>
      </w:pPr>
      <w:r w:rsidRPr="00873B6C">
        <w:rPr>
          <w:lang w:eastAsia="zh-CN"/>
        </w:rPr>
        <w:t>-</w:t>
      </w:r>
      <w:r w:rsidRPr="00873B6C">
        <w:rPr>
          <w:lang w:eastAsia="zh-CN"/>
        </w:rPr>
        <w:tab/>
        <w:t>Implicit subscription: The subscription for notification is included as part of another NF service operation of the same NF Service; or</w:t>
      </w:r>
    </w:p>
    <w:p w14:paraId="6B592F3A" w14:textId="3706577D" w:rsidR="00D40151" w:rsidRPr="00873B6C" w:rsidRDefault="00D40151" w:rsidP="00D40151">
      <w:pPr>
        <w:pStyle w:val="B2"/>
        <w:rPr>
          <w:lang w:eastAsia="zh-CN"/>
        </w:rPr>
      </w:pPr>
      <w:r w:rsidRPr="00873B6C">
        <w:rPr>
          <w:lang w:eastAsia="zh-CN"/>
        </w:rPr>
        <w:t>-</w:t>
      </w:r>
      <w:r w:rsidRPr="00873B6C">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873B6C">
        <w:rPr>
          <w:lang w:eastAsia="zh-CN"/>
        </w:rPr>
        <w:t xml:space="preserve">clause 4.17.1 of </w:t>
      </w:r>
      <w:r w:rsidR="00972E70" w:rsidRPr="00873B6C">
        <w:rPr>
          <w:lang w:eastAsia="zh-CN"/>
        </w:rPr>
        <w:t>TS 23.502 [</w:t>
      </w:r>
      <w:r w:rsidRPr="00873B6C">
        <w:rPr>
          <w:lang w:eastAsia="zh-CN"/>
        </w:rPr>
        <w:t>3].</w:t>
      </w:r>
    </w:p>
    <w:p w14:paraId="5775C685" w14:textId="406ED4E7" w:rsidR="00D40151" w:rsidRPr="00873B6C" w:rsidRDefault="00D40151" w:rsidP="00D40151">
      <w:pPr>
        <w:pStyle w:val="B1"/>
        <w:rPr>
          <w:lang w:eastAsia="zh-CN"/>
        </w:rPr>
      </w:pPr>
      <w:r w:rsidRPr="00873B6C">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873B6C">
        <w:rPr>
          <w:lang w:eastAsia="zh-CN"/>
        </w:rPr>
        <w:t>notification</w:t>
      </w:r>
      <w:r w:rsidRPr="00873B6C">
        <w:rPr>
          <w:lang w:eastAsia="zh-CN"/>
        </w:rPr>
        <w:t xml:space="preserve"> requests. The binding indication is then used by the SCP to discover a suitable notification target.</w:t>
      </w:r>
    </w:p>
    <w:bookmarkStart w:id="5897" w:name="_MON_1546752585"/>
    <w:bookmarkEnd w:id="5897"/>
    <w:p w14:paraId="5C4DBF4C" w14:textId="77777777" w:rsidR="00D40151" w:rsidRPr="00873B6C" w:rsidRDefault="00D40151" w:rsidP="00D40151">
      <w:pPr>
        <w:pStyle w:val="TH"/>
        <w:rPr>
          <w:rFonts w:cs="Arial"/>
          <w:lang w:eastAsia="zh-CN"/>
        </w:rPr>
      </w:pPr>
      <w:r w:rsidRPr="00873B6C">
        <w:rPr>
          <w:lang w:eastAsia="zh-CN"/>
        </w:rPr>
        <w:object w:dxaOrig="3702" w:dyaOrig="1751" w14:anchorId="198C6D52">
          <v:shape id="_x0000_i1125" type="#_x0000_t75" style="width:188.45pt;height:85.75pt" o:ole="">
            <v:imagedata r:id="rId209" o:title=""/>
          </v:shape>
          <o:OLEObject Type="Embed" ProgID="Word.Picture.8" ShapeID="_x0000_i1125" DrawAspect="Content" ObjectID="_1811772459" r:id="rId210"/>
        </w:object>
      </w:r>
    </w:p>
    <w:p w14:paraId="2DB09E6D" w14:textId="77777777" w:rsidR="00D40151" w:rsidRPr="00873B6C" w:rsidRDefault="00D40151" w:rsidP="00D40151">
      <w:pPr>
        <w:pStyle w:val="TF"/>
      </w:pPr>
      <w:bookmarkStart w:id="5898" w:name="_CRFigure7_1_22"/>
      <w:r w:rsidRPr="00873B6C">
        <w:t xml:space="preserve">Figure </w:t>
      </w:r>
      <w:bookmarkEnd w:id="5898"/>
      <w:r w:rsidRPr="00873B6C">
        <w:t>7.1.2-2: "Subscribe-Notify" NF Service illustration 1</w:t>
      </w:r>
    </w:p>
    <w:p w14:paraId="6BBA90F0" w14:textId="77777777" w:rsidR="00D40151" w:rsidRPr="00873B6C" w:rsidRDefault="00D40151" w:rsidP="00D40151">
      <w:pPr>
        <w:pStyle w:val="B1"/>
      </w:pPr>
      <w:r w:rsidRPr="00873B6C">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5899" w:name="_MON_1560317298"/>
    <w:bookmarkEnd w:id="5899"/>
    <w:p w14:paraId="6F57431E" w14:textId="77777777" w:rsidR="00D40151" w:rsidRPr="00873B6C" w:rsidRDefault="00D40151" w:rsidP="00D40151">
      <w:pPr>
        <w:pStyle w:val="TH"/>
        <w:rPr>
          <w:rFonts w:cs="Arial"/>
          <w:lang w:eastAsia="zh-CN"/>
        </w:rPr>
      </w:pPr>
      <w:r w:rsidRPr="00873B6C">
        <w:rPr>
          <w:lang w:eastAsia="zh-CN"/>
        </w:rPr>
        <w:object w:dxaOrig="6519" w:dyaOrig="1750" w14:anchorId="3B4A94D7">
          <v:shape id="_x0000_i1126" type="#_x0000_t75" style="width:332.45pt;height:86.4pt" o:ole="">
            <v:imagedata r:id="rId211" o:title=""/>
          </v:shape>
          <o:OLEObject Type="Embed" ProgID="Word.Picture.8" ShapeID="_x0000_i1126" DrawAspect="Content" ObjectID="_1811772460" r:id="rId212"/>
        </w:object>
      </w:r>
    </w:p>
    <w:p w14:paraId="01B6C087" w14:textId="77777777" w:rsidR="00D40151" w:rsidRPr="00873B6C" w:rsidRDefault="00D40151" w:rsidP="00D40151">
      <w:pPr>
        <w:pStyle w:val="TF"/>
      </w:pPr>
      <w:bookmarkStart w:id="5900" w:name="_CRFigure7_1_23"/>
      <w:r w:rsidRPr="00873B6C">
        <w:t xml:space="preserve">Figure </w:t>
      </w:r>
      <w:bookmarkEnd w:id="5900"/>
      <w:r w:rsidRPr="00873B6C">
        <w:t>7.1.2-</w:t>
      </w:r>
      <w:r w:rsidRPr="00873B6C">
        <w:rPr>
          <w:lang w:eastAsia="zh-CN"/>
        </w:rPr>
        <w:t>3</w:t>
      </w:r>
      <w:r w:rsidRPr="00873B6C">
        <w:t>: "Subscribe-Notify" NF Service illustration</w:t>
      </w:r>
      <w:r w:rsidRPr="00873B6C">
        <w:rPr>
          <w:lang w:eastAsia="zh-CN"/>
        </w:rPr>
        <w:t xml:space="preserve"> 2</w:t>
      </w:r>
    </w:p>
    <w:p w14:paraId="5B049A70" w14:textId="3DBB5CD8" w:rsidR="00D40151" w:rsidRPr="00873B6C" w:rsidRDefault="00D40151" w:rsidP="00D40151">
      <w:pPr>
        <w:rPr>
          <w:lang w:eastAsia="zh-CN"/>
        </w:rPr>
      </w:pPr>
      <w:r w:rsidRPr="00873B6C">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w:t>
      </w:r>
      <w:r w:rsidR="00472CD7" w:rsidRPr="00873B6C">
        <w:rPr>
          <w:lang w:eastAsia="zh-CN"/>
        </w:rPr>
        <w:t xml:space="preserve"> and</w:t>
      </w:r>
      <w:r w:rsidRPr="00873B6C">
        <w:rPr>
          <w:lang w:eastAsia="zh-CN"/>
        </w:rPr>
        <w:t xml:space="preserve"> may do discovery and associated selection of the NF service producer on behalf of a NF service </w:t>
      </w:r>
      <w:r w:rsidRPr="00873B6C">
        <w:rPr>
          <w:lang w:eastAsia="zh-CN"/>
        </w:rPr>
        <w:lastRenderedPageBreak/>
        <w:t>consumer. Figure 7.1.2-4 shows the principle for a request-response interaction and figure 7.1.2-5 shows an example of a subscribe-notify interaction.</w:t>
      </w:r>
    </w:p>
    <w:p w14:paraId="2A7D1528" w14:textId="5298C3C7" w:rsidR="00131D56" w:rsidRPr="00873B6C" w:rsidRDefault="00131D56" w:rsidP="00182EE7">
      <w:pPr>
        <w:pStyle w:val="TH"/>
      </w:pPr>
      <w:r w:rsidRPr="00873B6C">
        <w:object w:dxaOrig="6585" w:dyaOrig="2415" w14:anchorId="1A6186CD">
          <v:shape id="_x0000_i1127" type="#_x0000_t75" style="width:333.1pt;height:122.1pt" o:ole="">
            <v:imagedata r:id="rId213" o:title=""/>
          </v:shape>
          <o:OLEObject Type="Embed" ProgID="Word.Picture.8" ShapeID="_x0000_i1127" DrawAspect="Content" ObjectID="_1811772461" r:id="rId214"/>
        </w:object>
      </w:r>
    </w:p>
    <w:p w14:paraId="1DDE009B" w14:textId="2DA04C27" w:rsidR="00D40151" w:rsidRPr="00873B6C" w:rsidRDefault="00D40151" w:rsidP="00D40151">
      <w:pPr>
        <w:pStyle w:val="TF"/>
      </w:pPr>
      <w:bookmarkStart w:id="5901" w:name="_CRFigure7_1_24"/>
      <w:r w:rsidRPr="00873B6C">
        <w:t xml:space="preserve">Figure </w:t>
      </w:r>
      <w:bookmarkEnd w:id="5901"/>
      <w:r w:rsidRPr="00873B6C">
        <w:t>7.1.2-4: Request response using Indirect Communication</w:t>
      </w:r>
    </w:p>
    <w:bookmarkStart w:id="5902" w:name="_MON_1685418305"/>
    <w:bookmarkEnd w:id="5902"/>
    <w:p w14:paraId="121072C6" w14:textId="3860D27D" w:rsidR="00131D56" w:rsidRPr="00873B6C" w:rsidRDefault="00131D56" w:rsidP="00131D56">
      <w:pPr>
        <w:pStyle w:val="TH"/>
      </w:pPr>
      <w:r w:rsidRPr="00873B6C">
        <w:object w:dxaOrig="9574" w:dyaOrig="2789" w14:anchorId="3A9C1CFA">
          <v:shape id="_x0000_i1128" type="#_x0000_t75" style="width:482.1pt;height:2in" o:ole="">
            <v:imagedata r:id="rId215" o:title=""/>
          </v:shape>
          <o:OLEObject Type="Embed" ProgID="Word.Picture.8" ShapeID="_x0000_i1128" DrawAspect="Content" ObjectID="_1811772462" r:id="rId216"/>
        </w:object>
      </w:r>
    </w:p>
    <w:p w14:paraId="2A8DD1D3" w14:textId="77777777" w:rsidR="00D40151" w:rsidRPr="00873B6C" w:rsidRDefault="00D40151" w:rsidP="00D40151">
      <w:pPr>
        <w:pStyle w:val="TF"/>
      </w:pPr>
      <w:bookmarkStart w:id="5903" w:name="_CRFigure7_1_25"/>
      <w:r w:rsidRPr="00873B6C">
        <w:t xml:space="preserve">Figure </w:t>
      </w:r>
      <w:bookmarkEnd w:id="5903"/>
      <w:r w:rsidRPr="00873B6C">
        <w:t>7.1.2-5: Subscribe-Notify using Indirect Communication</w:t>
      </w:r>
    </w:p>
    <w:p w14:paraId="1DB75576" w14:textId="77777777" w:rsidR="00D40151" w:rsidRPr="00873B6C" w:rsidRDefault="00D40151" w:rsidP="00D40151">
      <w:pPr>
        <w:pStyle w:val="NO"/>
        <w:rPr>
          <w:lang w:eastAsia="zh-CN"/>
        </w:rPr>
      </w:pPr>
      <w:r w:rsidRPr="00873B6C">
        <w:rPr>
          <w:lang w:eastAsia="zh-CN"/>
        </w:rPr>
        <w:t>NOTE:</w:t>
      </w:r>
      <w:r w:rsidRPr="00873B6C">
        <w:rPr>
          <w:lang w:eastAsia="zh-CN"/>
        </w:rPr>
        <w:tab/>
        <w:t>The subscribe request and notify request can be routed by different SCPs.</w:t>
      </w:r>
    </w:p>
    <w:p w14:paraId="1D564020" w14:textId="77777777" w:rsidR="00D40151" w:rsidRPr="00873B6C" w:rsidRDefault="00D40151" w:rsidP="00D40151">
      <w:pPr>
        <w:pStyle w:val="Heading3"/>
      </w:pPr>
      <w:bookmarkStart w:id="5904" w:name="_CR7_1_3"/>
      <w:bookmarkStart w:id="5905" w:name="_Toc20150247"/>
      <w:bookmarkStart w:id="5906" w:name="_Toc27847055"/>
      <w:bookmarkStart w:id="5907" w:name="_Toc36188188"/>
      <w:bookmarkStart w:id="5908" w:name="_Toc45184101"/>
      <w:bookmarkStart w:id="5909" w:name="_Toc47342943"/>
      <w:bookmarkStart w:id="5910" w:name="_Toc51769645"/>
      <w:bookmarkStart w:id="5911" w:name="_Toc201157823"/>
      <w:bookmarkEnd w:id="5904"/>
      <w:r w:rsidRPr="00873B6C">
        <w:t>7.1.3</w:t>
      </w:r>
      <w:r w:rsidRPr="00873B6C">
        <w:tab/>
        <w:t>Network Function Service discovery</w:t>
      </w:r>
      <w:bookmarkEnd w:id="5905"/>
      <w:bookmarkEnd w:id="5906"/>
      <w:bookmarkEnd w:id="5907"/>
      <w:bookmarkEnd w:id="5908"/>
      <w:bookmarkEnd w:id="5909"/>
      <w:bookmarkEnd w:id="5910"/>
      <w:bookmarkEnd w:id="5911"/>
    </w:p>
    <w:p w14:paraId="10E6BE34" w14:textId="77777777" w:rsidR="00D40151" w:rsidRPr="00873B6C" w:rsidRDefault="00D40151" w:rsidP="00D40151">
      <w:pPr>
        <w:rPr>
          <w:lang w:eastAsia="zh-CN"/>
        </w:rPr>
      </w:pPr>
      <w:r w:rsidRPr="00873B6C">
        <w:rPr>
          <w:lang w:eastAsia="zh-CN"/>
        </w:rPr>
        <w:t>A Control Plane N</w:t>
      </w:r>
      <w:r w:rsidRPr="00873B6C">
        <w:t xml:space="preserve">etwork function (NF) within the 5G Core network may expose its capabilities as services via its service based interface, which can be re-used by Control Plane </w:t>
      </w:r>
      <w:r w:rsidRPr="00873B6C">
        <w:rPr>
          <w:lang w:eastAsia="zh-CN"/>
        </w:rPr>
        <w:t xml:space="preserve">CN </w:t>
      </w:r>
      <w:r w:rsidRPr="00873B6C">
        <w:t>NFs.</w:t>
      </w:r>
    </w:p>
    <w:p w14:paraId="7F1B9BAA" w14:textId="77777777" w:rsidR="00D40151" w:rsidRPr="00873B6C" w:rsidRDefault="00D40151" w:rsidP="00D40151">
      <w:pPr>
        <w:rPr>
          <w:lang w:eastAsia="zh-CN"/>
        </w:rPr>
      </w:pPr>
      <w:r w:rsidRPr="00873B6C">
        <w:t xml:space="preserve">The NF service discovery enables a CN NF or SCP to discover NF instance(s) that provide the expected NF service(s). </w:t>
      </w:r>
      <w:r w:rsidRPr="00873B6C">
        <w:rPr>
          <w:lang w:eastAsia="zh-CN"/>
        </w:rPr>
        <w:t>The NF service discovery is implemented via the NF discovery functionality.</w:t>
      </w:r>
    </w:p>
    <w:p w14:paraId="612FD399" w14:textId="77777777" w:rsidR="00D40151" w:rsidRPr="00873B6C" w:rsidRDefault="00D40151" w:rsidP="00D40151">
      <w:pPr>
        <w:rPr>
          <w:lang w:eastAsia="zh-CN"/>
        </w:rPr>
      </w:pPr>
      <w:r w:rsidRPr="00873B6C">
        <w:rPr>
          <w:lang w:eastAsia="zh-CN"/>
        </w:rPr>
        <w:t>For more detail NF discovery refer to clause 6.3.1.</w:t>
      </w:r>
    </w:p>
    <w:p w14:paraId="02D584C1" w14:textId="77777777" w:rsidR="00D40151" w:rsidRPr="00873B6C" w:rsidRDefault="00D40151" w:rsidP="00D40151">
      <w:pPr>
        <w:pStyle w:val="Heading3"/>
      </w:pPr>
      <w:bookmarkStart w:id="5912" w:name="_CR7_1_4"/>
      <w:bookmarkStart w:id="5913" w:name="_Toc20150248"/>
      <w:bookmarkStart w:id="5914" w:name="_Toc27847056"/>
      <w:bookmarkStart w:id="5915" w:name="_Toc36188189"/>
      <w:bookmarkStart w:id="5916" w:name="_Toc45184102"/>
      <w:bookmarkStart w:id="5917" w:name="_Toc47342944"/>
      <w:bookmarkStart w:id="5918" w:name="_Toc51769646"/>
      <w:bookmarkStart w:id="5919" w:name="_Toc201157824"/>
      <w:bookmarkEnd w:id="5912"/>
      <w:r w:rsidRPr="00873B6C">
        <w:t>7.1.4</w:t>
      </w:r>
      <w:r w:rsidRPr="00873B6C">
        <w:tab/>
        <w:t>Network Function Service Authorization</w:t>
      </w:r>
      <w:bookmarkEnd w:id="5913"/>
      <w:bookmarkEnd w:id="5914"/>
      <w:bookmarkEnd w:id="5915"/>
      <w:bookmarkEnd w:id="5916"/>
      <w:bookmarkEnd w:id="5917"/>
      <w:bookmarkEnd w:id="5918"/>
      <w:bookmarkEnd w:id="5919"/>
    </w:p>
    <w:p w14:paraId="5452905E" w14:textId="77777777" w:rsidR="00D40151" w:rsidRPr="00873B6C" w:rsidRDefault="00D40151" w:rsidP="00D40151">
      <w:pPr>
        <w:rPr>
          <w:lang w:eastAsia="zh-CN"/>
        </w:rPr>
      </w:pPr>
      <w:r w:rsidRPr="00873B6C">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873B6C" w:rsidRDefault="00D40151" w:rsidP="00D40151">
      <w:pPr>
        <w:rPr>
          <w:lang w:eastAsia="zh-CN"/>
        </w:rPr>
      </w:pPr>
      <w:r w:rsidRPr="00873B6C">
        <w:rPr>
          <w:lang w:eastAsia="zh-CN"/>
        </w:rPr>
        <w:t xml:space="preserve">Service authorization information shall be configured as one of the components in NF profile of the NF Service Producer. It shall include </w:t>
      </w:r>
      <w:r w:rsidRPr="00873B6C">
        <w:t>the NF type (s) and NF realms/origins allowed to consume NF Service(s) of NF Service Producer.</w:t>
      </w:r>
    </w:p>
    <w:p w14:paraId="0C763724" w14:textId="77777777" w:rsidR="00D40151" w:rsidRPr="00873B6C" w:rsidRDefault="00D40151" w:rsidP="00D40151">
      <w:pPr>
        <w:rPr>
          <w:lang w:eastAsia="zh-CN"/>
        </w:rPr>
      </w:pPr>
      <w:r w:rsidRPr="00873B6C">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873B6C" w:rsidRDefault="00D40151" w:rsidP="00D40151">
      <w:pPr>
        <w:pStyle w:val="B1"/>
      </w:pPr>
      <w:r w:rsidRPr="00873B6C">
        <w:t>-</w:t>
      </w:r>
      <w:r w:rsidRPr="00873B6C">
        <w:tab/>
        <w:t>Check whether the NF Service Consumer is permitted to discover the requested NF Service Producer instance during the NF service discovery procedure. This is performed on a per NF granularity by NRF.</w:t>
      </w:r>
    </w:p>
    <w:p w14:paraId="38F03D6A" w14:textId="77777777" w:rsidR="00D40151" w:rsidRPr="00873B6C" w:rsidRDefault="00D40151" w:rsidP="00D40151">
      <w:pPr>
        <w:pStyle w:val="NO"/>
        <w:rPr>
          <w:lang w:eastAsia="zh-CN"/>
        </w:rPr>
      </w:pPr>
      <w:r w:rsidRPr="00873B6C">
        <w:t>NOTE 1:</w:t>
      </w:r>
      <w:r w:rsidRPr="00873B6C">
        <w:tab/>
        <w:t xml:space="preserve">When NF discovery is performed based on local configuration, </w:t>
      </w:r>
      <w:r w:rsidRPr="00873B6C">
        <w:rPr>
          <w:lang w:eastAsia="zh-CN"/>
        </w:rPr>
        <w:t>it is assumed that locally configured NFs are authorized.</w:t>
      </w:r>
    </w:p>
    <w:p w14:paraId="7370D6F5" w14:textId="77777777" w:rsidR="00D40151" w:rsidRPr="00873B6C" w:rsidRDefault="00D40151" w:rsidP="00D40151">
      <w:pPr>
        <w:pStyle w:val="B1"/>
      </w:pPr>
      <w:r w:rsidRPr="00873B6C">
        <w:lastRenderedPageBreak/>
        <w:t>-</w:t>
      </w:r>
      <w:r w:rsidRPr="00873B6C">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1E323D74" w:rsidR="00D40151" w:rsidRPr="00873B6C" w:rsidRDefault="00D40151" w:rsidP="00D40151">
      <w:pPr>
        <w:pStyle w:val="NO"/>
      </w:pPr>
      <w:r w:rsidRPr="00873B6C">
        <w:t>NOTE 2:</w:t>
      </w:r>
      <w:r w:rsidRPr="00873B6C">
        <w:tab/>
        <w:t xml:space="preserve">The security of the connection between NF Service Consumer and NF Service Producer is specified in </w:t>
      </w:r>
      <w:r w:rsidR="00972E70" w:rsidRPr="00873B6C">
        <w:t>TS 33.501 [</w:t>
      </w:r>
      <w:r w:rsidRPr="00873B6C">
        <w:t>29].</w:t>
      </w:r>
    </w:p>
    <w:p w14:paraId="7862E9E4" w14:textId="77777777" w:rsidR="00D40151" w:rsidRPr="00873B6C" w:rsidRDefault="00D40151" w:rsidP="00D40151">
      <w:pPr>
        <w:pStyle w:val="NO"/>
        <w:rPr>
          <w:lang w:eastAsia="zh-CN"/>
        </w:rPr>
      </w:pPr>
      <w:r w:rsidRPr="00873B6C">
        <w:t>NOTE 3:</w:t>
      </w:r>
      <w:r w:rsidRPr="00873B6C">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873B6C" w:rsidRDefault="00D40151" w:rsidP="00D40151">
      <w:pPr>
        <w:pStyle w:val="Heading3"/>
      </w:pPr>
      <w:bookmarkStart w:id="5920" w:name="_CR7_1_5"/>
      <w:bookmarkStart w:id="5921" w:name="_Toc20150249"/>
      <w:bookmarkStart w:id="5922" w:name="_Toc27847057"/>
      <w:bookmarkStart w:id="5923" w:name="_Toc36188190"/>
      <w:bookmarkStart w:id="5924" w:name="_Toc45184103"/>
      <w:bookmarkStart w:id="5925" w:name="_Toc47342945"/>
      <w:bookmarkStart w:id="5926" w:name="_Toc51769647"/>
      <w:bookmarkStart w:id="5927" w:name="_Toc201157825"/>
      <w:bookmarkEnd w:id="5920"/>
      <w:r w:rsidRPr="00873B6C">
        <w:t>7.1.5</w:t>
      </w:r>
      <w:r w:rsidRPr="00873B6C">
        <w:tab/>
        <w:t>Network Function and Network Function Service registration and de-registration</w:t>
      </w:r>
      <w:bookmarkEnd w:id="5921"/>
      <w:bookmarkEnd w:id="5922"/>
      <w:bookmarkEnd w:id="5923"/>
      <w:bookmarkEnd w:id="5924"/>
      <w:bookmarkEnd w:id="5925"/>
      <w:bookmarkEnd w:id="5926"/>
      <w:bookmarkEnd w:id="5927"/>
    </w:p>
    <w:p w14:paraId="5F51A871" w14:textId="77777777" w:rsidR="00D40151" w:rsidRPr="00873B6C" w:rsidRDefault="00D40151" w:rsidP="00D40151">
      <w:r w:rsidRPr="00873B6C">
        <w:t>For the NRF to properly maintain the information of available NF instances and their supported services, each NF instance informs the NRF of the list of NF services that it supports.</w:t>
      </w:r>
    </w:p>
    <w:p w14:paraId="5AB7D682" w14:textId="77777777" w:rsidR="00D40151" w:rsidRPr="00873B6C" w:rsidRDefault="00D40151" w:rsidP="00D40151">
      <w:pPr>
        <w:pStyle w:val="NO"/>
      </w:pPr>
      <w:r w:rsidRPr="00873B6C">
        <w:t>NOTE:</w:t>
      </w:r>
      <w:r w:rsidRPr="00873B6C">
        <w:tab/>
        <w:t>The NF informs the appropriate NRF based on configuration.</w:t>
      </w:r>
    </w:p>
    <w:p w14:paraId="59AD22CD" w14:textId="77777777" w:rsidR="00D40151" w:rsidRPr="00873B6C" w:rsidRDefault="00D40151" w:rsidP="00D40151">
      <w:r w:rsidRPr="00873B6C">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873B6C">
        <w:rPr>
          <w:lang w:eastAsia="zh-CN"/>
        </w:rPr>
        <w:t xml:space="preserve">The NF instance while registering the list of NF services it supports, for each NF service, may provide a notification endpoint information </w:t>
      </w:r>
      <w:r w:rsidRPr="00873B6C">
        <w:t xml:space="preserve">for each type of notification service that the NF service is prepared to consume, </w:t>
      </w:r>
      <w:r w:rsidRPr="00873B6C">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873B6C" w:rsidRDefault="00D40151" w:rsidP="00D40151">
      <w:r w:rsidRPr="00873B6C">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873B6C" w:rsidRDefault="00D40151" w:rsidP="00D40151">
      <w:pPr>
        <w:pStyle w:val="Heading2"/>
      </w:pPr>
      <w:bookmarkStart w:id="5928" w:name="_CR7_2"/>
      <w:bookmarkStart w:id="5929" w:name="_Toc20150250"/>
      <w:bookmarkStart w:id="5930" w:name="_Toc27847058"/>
      <w:bookmarkStart w:id="5931" w:name="_Toc36188191"/>
      <w:bookmarkStart w:id="5932" w:name="_Toc45184104"/>
      <w:bookmarkStart w:id="5933" w:name="_Toc47342946"/>
      <w:bookmarkStart w:id="5934" w:name="_Toc51769648"/>
      <w:bookmarkStart w:id="5935" w:name="_Toc201157826"/>
      <w:bookmarkEnd w:id="5928"/>
      <w:r w:rsidRPr="00873B6C">
        <w:t>7.2</w:t>
      </w:r>
      <w:r w:rsidRPr="00873B6C">
        <w:tab/>
        <w:t>Network Function Services</w:t>
      </w:r>
      <w:bookmarkEnd w:id="5929"/>
      <w:bookmarkEnd w:id="5930"/>
      <w:bookmarkEnd w:id="5931"/>
      <w:bookmarkEnd w:id="5932"/>
      <w:bookmarkEnd w:id="5933"/>
      <w:bookmarkEnd w:id="5934"/>
      <w:bookmarkEnd w:id="5935"/>
    </w:p>
    <w:p w14:paraId="0510AD84" w14:textId="77777777" w:rsidR="00D40151" w:rsidRPr="00873B6C" w:rsidRDefault="00D40151" w:rsidP="00D40151">
      <w:pPr>
        <w:pStyle w:val="Heading3"/>
      </w:pPr>
      <w:bookmarkStart w:id="5936" w:name="_CR7_2_1"/>
      <w:bookmarkStart w:id="5937" w:name="_Toc20150251"/>
      <w:bookmarkStart w:id="5938" w:name="_Toc27847059"/>
      <w:bookmarkStart w:id="5939" w:name="_Toc36188192"/>
      <w:bookmarkStart w:id="5940" w:name="_Toc45184105"/>
      <w:bookmarkStart w:id="5941" w:name="_Toc47342947"/>
      <w:bookmarkStart w:id="5942" w:name="_Toc51769649"/>
      <w:bookmarkStart w:id="5943" w:name="_Toc201157827"/>
      <w:bookmarkEnd w:id="5936"/>
      <w:r w:rsidRPr="00873B6C">
        <w:t>7.2.1</w:t>
      </w:r>
      <w:r w:rsidRPr="00873B6C">
        <w:tab/>
        <w:t>General</w:t>
      </w:r>
      <w:bookmarkEnd w:id="5937"/>
      <w:bookmarkEnd w:id="5938"/>
      <w:bookmarkEnd w:id="5939"/>
      <w:bookmarkEnd w:id="5940"/>
      <w:bookmarkEnd w:id="5941"/>
      <w:bookmarkEnd w:id="5942"/>
      <w:bookmarkEnd w:id="5943"/>
    </w:p>
    <w:p w14:paraId="6BDD6210" w14:textId="77777777" w:rsidR="00D40151" w:rsidRPr="00873B6C" w:rsidRDefault="00D40151" w:rsidP="00D40151">
      <w:pPr>
        <w:rPr>
          <w:lang w:eastAsia="zh-CN"/>
        </w:rPr>
      </w:pPr>
      <w:r w:rsidRPr="00873B6C">
        <w:rPr>
          <w:lang w:eastAsia="zh-CN"/>
        </w:rPr>
        <w:t>In the context of this specification, an NF service is offering a capability to authorised consumers.</w:t>
      </w:r>
    </w:p>
    <w:p w14:paraId="2707FA19" w14:textId="77777777" w:rsidR="00D40151" w:rsidRPr="00873B6C" w:rsidRDefault="00D40151" w:rsidP="00D40151">
      <w:pPr>
        <w:rPr>
          <w:lang w:eastAsia="zh-CN"/>
        </w:rPr>
      </w:pPr>
      <w:r w:rsidRPr="00873B6C">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873B6C" w:rsidRDefault="00D40151" w:rsidP="00D40151">
      <w:pPr>
        <w:rPr>
          <w:lang w:eastAsia="zh-CN"/>
        </w:rPr>
      </w:pPr>
      <w:r w:rsidRPr="00873B6C">
        <w:rPr>
          <w:lang w:eastAsia="zh-CN"/>
        </w:rPr>
        <w:t>The discovery of the NF instance and NF service instance is specified in clause 6.3.1.</w:t>
      </w:r>
    </w:p>
    <w:p w14:paraId="7260D6A6" w14:textId="77777777" w:rsidR="00D40151" w:rsidRPr="00873B6C" w:rsidRDefault="00D40151" w:rsidP="00D40151">
      <w:pPr>
        <w:pStyle w:val="NO"/>
        <w:rPr>
          <w:lang w:eastAsia="zh-CN"/>
        </w:rPr>
      </w:pPr>
      <w:r w:rsidRPr="00873B6C">
        <w:rPr>
          <w:lang w:eastAsia="zh-CN"/>
        </w:rPr>
        <w:t>NOTE 1:</w:t>
      </w:r>
      <w:r w:rsidRPr="00873B6C">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5944" w:name="_MON_1554128146"/>
    <w:bookmarkEnd w:id="5944"/>
    <w:p w14:paraId="08179BD0" w14:textId="77777777" w:rsidR="00D40151" w:rsidRPr="00873B6C" w:rsidRDefault="00D40151" w:rsidP="00D40151">
      <w:pPr>
        <w:pStyle w:val="TH"/>
        <w:rPr>
          <w:lang w:eastAsia="zh-CN"/>
        </w:rPr>
      </w:pPr>
      <w:r w:rsidRPr="00873B6C">
        <w:rPr>
          <w:lang w:eastAsia="zh-CN"/>
        </w:rPr>
        <w:object w:dxaOrig="5248" w:dyaOrig="2279" w14:anchorId="0F695714">
          <v:shape id="_x0000_i1129" type="#_x0000_t75" style="width:266.1pt;height:116.45pt" o:ole="">
            <v:imagedata r:id="rId217" o:title=""/>
          </v:shape>
          <o:OLEObject Type="Embed" ProgID="Word.Picture.8" ShapeID="_x0000_i1129" DrawAspect="Content" ObjectID="_1811772463" r:id="rId218"/>
        </w:object>
      </w:r>
    </w:p>
    <w:p w14:paraId="0CC137A2" w14:textId="77777777" w:rsidR="00D40151" w:rsidRPr="00873B6C" w:rsidRDefault="00D40151" w:rsidP="00D40151">
      <w:pPr>
        <w:pStyle w:val="TF"/>
        <w:rPr>
          <w:lang w:eastAsia="zh-CN"/>
        </w:rPr>
      </w:pPr>
      <w:bookmarkStart w:id="5945" w:name="_CRFigure7_2_11"/>
      <w:r w:rsidRPr="00873B6C">
        <w:rPr>
          <w:lang w:eastAsia="zh-CN"/>
        </w:rPr>
        <w:t>Figure </w:t>
      </w:r>
      <w:bookmarkEnd w:id="5945"/>
      <w:r w:rsidRPr="00873B6C">
        <w:rPr>
          <w:lang w:eastAsia="zh-CN"/>
        </w:rPr>
        <w:t>7.2.1-1:</w:t>
      </w:r>
      <w:r w:rsidRPr="00873B6C">
        <w:rPr>
          <w:lang w:eastAsia="zh-CN"/>
        </w:rPr>
        <w:tab/>
        <w:t>Network Function and NF Service</w:t>
      </w:r>
    </w:p>
    <w:p w14:paraId="6B7FF6C0" w14:textId="77777777" w:rsidR="00D40151" w:rsidRPr="00873B6C" w:rsidRDefault="00D40151" w:rsidP="00D40151">
      <w:pPr>
        <w:rPr>
          <w:lang w:eastAsia="zh-CN"/>
        </w:rPr>
      </w:pPr>
      <w:r w:rsidRPr="00873B6C">
        <w:rPr>
          <w:lang w:eastAsia="zh-CN"/>
        </w:rPr>
        <w:t>Each NF service shall be accessible by means of an interface. An interface may consist of one or several operations.</w:t>
      </w:r>
    </w:p>
    <w:bookmarkStart w:id="5946" w:name="_MON_1554128213"/>
    <w:bookmarkEnd w:id="5946"/>
    <w:p w14:paraId="272A06BB" w14:textId="77777777" w:rsidR="00D40151" w:rsidRPr="00873B6C" w:rsidRDefault="00D40151" w:rsidP="00D40151">
      <w:pPr>
        <w:pStyle w:val="TH"/>
        <w:rPr>
          <w:lang w:eastAsia="zh-CN"/>
        </w:rPr>
      </w:pPr>
      <w:r w:rsidRPr="00873B6C">
        <w:rPr>
          <w:lang w:eastAsia="zh-CN"/>
        </w:rPr>
        <w:object w:dxaOrig="5267" w:dyaOrig="3340" w14:anchorId="573E5C34">
          <v:shape id="_x0000_i1130" type="#_x0000_t75" style="width:266.1pt;height:165.9pt" o:ole="">
            <v:imagedata r:id="rId219" o:title=""/>
          </v:shape>
          <o:OLEObject Type="Embed" ProgID="Word.Picture.8" ShapeID="_x0000_i1130" DrawAspect="Content" ObjectID="_1811772464" r:id="rId220"/>
        </w:object>
      </w:r>
    </w:p>
    <w:p w14:paraId="12510BD4" w14:textId="77777777" w:rsidR="00D40151" w:rsidRPr="00873B6C" w:rsidRDefault="00D40151" w:rsidP="00D40151">
      <w:pPr>
        <w:pStyle w:val="TF"/>
        <w:rPr>
          <w:lang w:eastAsia="zh-CN"/>
        </w:rPr>
      </w:pPr>
      <w:bookmarkStart w:id="5947" w:name="_CRFigure7_2_12"/>
      <w:r w:rsidRPr="00873B6C">
        <w:rPr>
          <w:lang w:eastAsia="zh-CN"/>
        </w:rPr>
        <w:t>Figure </w:t>
      </w:r>
      <w:bookmarkEnd w:id="5947"/>
      <w:r w:rsidRPr="00873B6C">
        <w:rPr>
          <w:lang w:eastAsia="zh-CN"/>
        </w:rPr>
        <w:t>7.2.1-2:</w:t>
      </w:r>
      <w:r w:rsidRPr="00873B6C">
        <w:rPr>
          <w:lang w:eastAsia="zh-CN"/>
        </w:rPr>
        <w:tab/>
        <w:t>Network Function, NF Service and NF Service Operation</w:t>
      </w:r>
    </w:p>
    <w:p w14:paraId="4A3F79F7" w14:textId="75240912" w:rsidR="00D40151" w:rsidRPr="00873B6C" w:rsidRDefault="00D40151" w:rsidP="00D40151">
      <w:pPr>
        <w:rPr>
          <w:lang w:eastAsia="zh-CN"/>
        </w:rPr>
      </w:pPr>
      <w:r w:rsidRPr="00873B6C">
        <w:rPr>
          <w:lang w:eastAsia="zh-CN"/>
        </w:rPr>
        <w:t xml:space="preserve">System procedures, as specified in </w:t>
      </w:r>
      <w:r w:rsidR="00972E70" w:rsidRPr="00873B6C">
        <w:rPr>
          <w:lang w:eastAsia="zh-CN"/>
        </w:rPr>
        <w:t>TS 23.502 [</w:t>
      </w:r>
      <w:r w:rsidRPr="00873B6C">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5948" w:name="_MON_1554128042"/>
    <w:bookmarkEnd w:id="5948"/>
    <w:p w14:paraId="0036CA2F" w14:textId="77777777" w:rsidR="00D40151" w:rsidRPr="00873B6C" w:rsidRDefault="00D40151" w:rsidP="00D40151">
      <w:pPr>
        <w:pStyle w:val="TH"/>
        <w:rPr>
          <w:lang w:eastAsia="zh-CN"/>
        </w:rPr>
      </w:pPr>
      <w:r w:rsidRPr="00873B6C">
        <w:rPr>
          <w:lang w:eastAsia="zh-CN"/>
        </w:rPr>
        <w:object w:dxaOrig="9421" w:dyaOrig="3371" w14:anchorId="0E640ABD">
          <v:shape id="_x0000_i1131" type="#_x0000_t75" style="width:468.3pt;height:165.3pt" o:ole="">
            <v:imagedata r:id="rId221" o:title=""/>
          </v:shape>
          <o:OLEObject Type="Embed" ProgID="Word.Picture.8" ShapeID="_x0000_i1131" DrawAspect="Content" ObjectID="_1811772465" r:id="rId222"/>
        </w:object>
      </w:r>
    </w:p>
    <w:p w14:paraId="50F70B32" w14:textId="77777777" w:rsidR="00D40151" w:rsidRPr="00873B6C" w:rsidRDefault="00D40151" w:rsidP="00D40151">
      <w:pPr>
        <w:pStyle w:val="TF"/>
        <w:rPr>
          <w:lang w:eastAsia="zh-CN"/>
        </w:rPr>
      </w:pPr>
      <w:bookmarkStart w:id="5949" w:name="_CRFigure7_2_13"/>
      <w:r w:rsidRPr="00873B6C">
        <w:rPr>
          <w:lang w:eastAsia="zh-CN"/>
        </w:rPr>
        <w:t>Figure </w:t>
      </w:r>
      <w:bookmarkEnd w:id="5949"/>
      <w:r w:rsidRPr="00873B6C">
        <w:rPr>
          <w:lang w:eastAsia="zh-CN"/>
        </w:rPr>
        <w:t>7.2.1-3:</w:t>
      </w:r>
      <w:r w:rsidRPr="00873B6C">
        <w:rPr>
          <w:lang w:eastAsia="zh-CN"/>
        </w:rPr>
        <w:tab/>
        <w:t>System Procedures and NF Services</w:t>
      </w:r>
    </w:p>
    <w:p w14:paraId="307557C1" w14:textId="77777777" w:rsidR="00D40151" w:rsidRPr="00873B6C" w:rsidRDefault="00D40151" w:rsidP="00D40151">
      <w:pPr>
        <w:pStyle w:val="NO"/>
        <w:rPr>
          <w:rFonts w:eastAsia="SimSun"/>
          <w:lang w:eastAsia="zh-CN"/>
        </w:rPr>
      </w:pPr>
      <w:r w:rsidRPr="00873B6C">
        <w:rPr>
          <w:rFonts w:eastAsia="SimSun"/>
          <w:lang w:eastAsia="zh-CN"/>
        </w:rPr>
        <w:t>NOTE 2:</w:t>
      </w:r>
      <w:r w:rsidRPr="00873B6C">
        <w:rPr>
          <w:rFonts w:eastAsia="SimSun"/>
          <w:lang w:eastAsia="zh-CN"/>
        </w:rPr>
        <w:tab/>
        <w:t>The SCP can be used for indirect communication between NF/NF service instances. For simplicity the SCP is not shown in the procedure.</w:t>
      </w:r>
    </w:p>
    <w:p w14:paraId="20B46021" w14:textId="77777777" w:rsidR="00D40151" w:rsidRPr="00873B6C" w:rsidRDefault="00D40151" w:rsidP="00D40151">
      <w:pPr>
        <w:rPr>
          <w:rFonts w:eastAsia="SimSun"/>
          <w:lang w:eastAsia="zh-CN"/>
        </w:rPr>
      </w:pPr>
      <w:r w:rsidRPr="00873B6C">
        <w:rPr>
          <w:rFonts w:eastAsia="SimSun"/>
          <w:lang w:eastAsia="zh-CN"/>
        </w:rPr>
        <w:t>The following clauses provide for each NF the NF services it exposes through its service based interfaces.</w:t>
      </w:r>
    </w:p>
    <w:p w14:paraId="42D8A3BC" w14:textId="77777777" w:rsidR="00D40151" w:rsidRPr="00873B6C" w:rsidRDefault="00D40151" w:rsidP="00D40151">
      <w:pPr>
        <w:pStyle w:val="Heading3"/>
      </w:pPr>
      <w:bookmarkStart w:id="5950" w:name="_CR7_2_2"/>
      <w:bookmarkStart w:id="5951" w:name="_Toc20150252"/>
      <w:bookmarkStart w:id="5952" w:name="_Toc27847060"/>
      <w:bookmarkStart w:id="5953" w:name="_Toc36188193"/>
      <w:bookmarkStart w:id="5954" w:name="_Toc45184106"/>
      <w:bookmarkStart w:id="5955" w:name="_Toc47342948"/>
      <w:bookmarkStart w:id="5956" w:name="_Toc51769650"/>
      <w:bookmarkStart w:id="5957" w:name="_Toc201157828"/>
      <w:bookmarkEnd w:id="5950"/>
      <w:r w:rsidRPr="00873B6C">
        <w:t>7.2.2</w:t>
      </w:r>
      <w:r w:rsidRPr="00873B6C">
        <w:tab/>
        <w:t>AMF Services</w:t>
      </w:r>
      <w:bookmarkEnd w:id="5951"/>
      <w:bookmarkEnd w:id="5952"/>
      <w:bookmarkEnd w:id="5953"/>
      <w:bookmarkEnd w:id="5954"/>
      <w:bookmarkEnd w:id="5955"/>
      <w:bookmarkEnd w:id="5956"/>
      <w:bookmarkEnd w:id="5957"/>
    </w:p>
    <w:p w14:paraId="0C0E43A8" w14:textId="77777777" w:rsidR="00D40151" w:rsidRPr="00873B6C" w:rsidRDefault="00D40151" w:rsidP="00D40151">
      <w:pPr>
        <w:rPr>
          <w:rFonts w:eastAsia="SimSun"/>
          <w:lang w:eastAsia="zh-CN"/>
        </w:rPr>
      </w:pPr>
      <w:r w:rsidRPr="00873B6C">
        <w:rPr>
          <w:rFonts w:eastAsia="SimSun"/>
          <w:lang w:eastAsia="zh-CN"/>
        </w:rPr>
        <w:t>The following NF services are specified for AMF:</w:t>
      </w:r>
    </w:p>
    <w:p w14:paraId="1A464E23" w14:textId="77777777" w:rsidR="00D40151" w:rsidRPr="00873B6C" w:rsidRDefault="00D40151" w:rsidP="00D40151">
      <w:pPr>
        <w:pStyle w:val="TH"/>
      </w:pPr>
      <w:bookmarkStart w:id="5958" w:name="_CRTable7_2_21"/>
      <w:r w:rsidRPr="00873B6C">
        <w:lastRenderedPageBreak/>
        <w:t xml:space="preserve">Table </w:t>
      </w:r>
      <w:bookmarkEnd w:id="5958"/>
      <w:r w:rsidRPr="00873B6C">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873B6C" w14:paraId="06FAFF45" w14:textId="77777777" w:rsidTr="00FD5C4A">
        <w:trPr>
          <w:cantSplit/>
          <w:tblHeader/>
          <w:jc w:val="center"/>
        </w:trPr>
        <w:tc>
          <w:tcPr>
            <w:tcW w:w="1998" w:type="dxa"/>
          </w:tcPr>
          <w:p w14:paraId="163060D8" w14:textId="77777777" w:rsidR="00D40151" w:rsidRPr="00873B6C" w:rsidRDefault="00D40151" w:rsidP="009D14FB">
            <w:pPr>
              <w:pStyle w:val="TAH"/>
            </w:pPr>
            <w:r w:rsidRPr="00873B6C">
              <w:t>Service Name</w:t>
            </w:r>
          </w:p>
        </w:tc>
        <w:tc>
          <w:tcPr>
            <w:tcW w:w="4064" w:type="dxa"/>
          </w:tcPr>
          <w:p w14:paraId="590006EC" w14:textId="77777777" w:rsidR="00D40151" w:rsidRPr="00873B6C" w:rsidRDefault="00D40151" w:rsidP="009D14FB">
            <w:pPr>
              <w:pStyle w:val="TAH"/>
            </w:pPr>
            <w:r w:rsidRPr="00873B6C">
              <w:t>Description</w:t>
            </w:r>
          </w:p>
        </w:tc>
        <w:tc>
          <w:tcPr>
            <w:tcW w:w="1843" w:type="dxa"/>
          </w:tcPr>
          <w:p w14:paraId="71167E5F" w14:textId="5F0ADEA5" w:rsidR="00D40151" w:rsidRPr="00873B6C" w:rsidRDefault="00D40151" w:rsidP="009D14FB">
            <w:pPr>
              <w:pStyle w:val="TAH"/>
            </w:pPr>
            <w:r w:rsidRPr="00873B6C">
              <w:rPr>
                <w:lang w:eastAsia="zh-CN"/>
              </w:rPr>
              <w:t>Reference in TS 23.502 [3]</w:t>
            </w:r>
            <w:r w:rsidR="00BB2064" w:rsidRPr="00873B6C">
              <w:rPr>
                <w:lang w:eastAsia="zh-CN"/>
              </w:rPr>
              <w:t xml:space="preserve"> or indicated other TS</w:t>
            </w:r>
          </w:p>
        </w:tc>
      </w:tr>
      <w:tr w:rsidR="00D40151" w:rsidRPr="00873B6C" w14:paraId="7D618DF6" w14:textId="77777777" w:rsidTr="00FD5C4A">
        <w:trPr>
          <w:cantSplit/>
          <w:jc w:val="center"/>
        </w:trPr>
        <w:tc>
          <w:tcPr>
            <w:tcW w:w="1998" w:type="dxa"/>
          </w:tcPr>
          <w:p w14:paraId="661FBE2D" w14:textId="77777777" w:rsidR="00D40151" w:rsidRPr="00873B6C" w:rsidDel="00E01933" w:rsidRDefault="00D40151" w:rsidP="009D14FB">
            <w:pPr>
              <w:pStyle w:val="TAL"/>
              <w:rPr>
                <w:lang w:eastAsia="zh-CN"/>
              </w:rPr>
            </w:pPr>
            <w:r w:rsidRPr="00873B6C">
              <w:rPr>
                <w:lang w:eastAsia="zh-CN"/>
              </w:rPr>
              <w:t>Namf_Communication</w:t>
            </w:r>
          </w:p>
        </w:tc>
        <w:tc>
          <w:tcPr>
            <w:tcW w:w="4064" w:type="dxa"/>
          </w:tcPr>
          <w:p w14:paraId="6ACFA275" w14:textId="77777777" w:rsidR="00D40151" w:rsidRPr="00873B6C" w:rsidRDefault="00D40151" w:rsidP="009D14FB">
            <w:pPr>
              <w:pStyle w:val="TAL"/>
            </w:pPr>
            <w:r w:rsidRPr="00873B6C">
              <w:t>Enables an NF consumer to communicate with the UE and/or the AN through the AMF.</w:t>
            </w:r>
          </w:p>
          <w:p w14:paraId="3A9841BD" w14:textId="77777777" w:rsidR="00D40151" w:rsidRPr="00873B6C" w:rsidRDefault="00D40151" w:rsidP="009D14FB">
            <w:pPr>
              <w:pStyle w:val="TAL"/>
            </w:pPr>
            <w:r w:rsidRPr="00873B6C">
              <w:t>This service enables SMF to request EBI allocation to support interworking with EPS. This service also supports PWS functionality as described in TS 23.041 [46].</w:t>
            </w:r>
          </w:p>
        </w:tc>
        <w:tc>
          <w:tcPr>
            <w:tcW w:w="1843" w:type="dxa"/>
          </w:tcPr>
          <w:p w14:paraId="7E1EC467" w14:textId="77777777" w:rsidR="00D40151" w:rsidRPr="00873B6C" w:rsidRDefault="00D40151" w:rsidP="009D14FB">
            <w:pPr>
              <w:pStyle w:val="TAC"/>
              <w:rPr>
                <w:lang w:eastAsia="zh-CN"/>
              </w:rPr>
            </w:pPr>
            <w:r w:rsidRPr="00873B6C">
              <w:rPr>
                <w:lang w:eastAsia="zh-CN"/>
              </w:rPr>
              <w:t>5.2.2.2</w:t>
            </w:r>
          </w:p>
        </w:tc>
      </w:tr>
      <w:tr w:rsidR="00D40151" w:rsidRPr="00873B6C" w14:paraId="6A8BC529" w14:textId="77777777" w:rsidTr="00FD5C4A">
        <w:trPr>
          <w:cantSplit/>
          <w:jc w:val="center"/>
        </w:trPr>
        <w:tc>
          <w:tcPr>
            <w:tcW w:w="1998" w:type="dxa"/>
          </w:tcPr>
          <w:p w14:paraId="229021F6" w14:textId="77777777" w:rsidR="00D40151" w:rsidRPr="00873B6C" w:rsidRDefault="00D40151" w:rsidP="009D14FB">
            <w:pPr>
              <w:pStyle w:val="TAL"/>
            </w:pPr>
            <w:r w:rsidRPr="00873B6C">
              <w:t>Namf_EventExposure</w:t>
            </w:r>
          </w:p>
        </w:tc>
        <w:tc>
          <w:tcPr>
            <w:tcW w:w="4064" w:type="dxa"/>
          </w:tcPr>
          <w:p w14:paraId="0E739D22" w14:textId="77777777" w:rsidR="00D40151" w:rsidRPr="00873B6C" w:rsidRDefault="00D40151" w:rsidP="009D14FB">
            <w:pPr>
              <w:pStyle w:val="TAL"/>
            </w:pPr>
            <w:r w:rsidRPr="00873B6C">
              <w:t xml:space="preserve">Enables </w:t>
            </w:r>
            <w:r w:rsidRPr="00873B6C">
              <w:rPr>
                <w:lang w:eastAsia="zh-CN"/>
              </w:rPr>
              <w:t>other NF consumers to subscribe or get notified of the mobility related events and statistics.</w:t>
            </w:r>
          </w:p>
        </w:tc>
        <w:tc>
          <w:tcPr>
            <w:tcW w:w="1843" w:type="dxa"/>
          </w:tcPr>
          <w:p w14:paraId="045FCEC3" w14:textId="77777777" w:rsidR="00D40151" w:rsidRPr="00873B6C" w:rsidRDefault="00D40151" w:rsidP="009D14FB">
            <w:pPr>
              <w:pStyle w:val="TAC"/>
              <w:rPr>
                <w:lang w:eastAsia="zh-CN"/>
              </w:rPr>
            </w:pPr>
            <w:r w:rsidRPr="00873B6C">
              <w:rPr>
                <w:lang w:eastAsia="zh-CN"/>
              </w:rPr>
              <w:t>5.2.2.3</w:t>
            </w:r>
          </w:p>
        </w:tc>
      </w:tr>
      <w:tr w:rsidR="00D40151" w:rsidRPr="00873B6C" w14:paraId="5E1C81D9" w14:textId="77777777" w:rsidTr="00FD5C4A">
        <w:trPr>
          <w:cantSplit/>
          <w:jc w:val="center"/>
        </w:trPr>
        <w:tc>
          <w:tcPr>
            <w:tcW w:w="1998" w:type="dxa"/>
          </w:tcPr>
          <w:p w14:paraId="0F17AA30" w14:textId="77777777" w:rsidR="00D40151" w:rsidRPr="00873B6C" w:rsidRDefault="00D40151" w:rsidP="009D14FB">
            <w:pPr>
              <w:pStyle w:val="TAL"/>
            </w:pPr>
            <w:r w:rsidRPr="00873B6C">
              <w:t>Namf_MT</w:t>
            </w:r>
          </w:p>
        </w:tc>
        <w:tc>
          <w:tcPr>
            <w:tcW w:w="4064" w:type="dxa"/>
          </w:tcPr>
          <w:p w14:paraId="19E8A352" w14:textId="77777777" w:rsidR="00D40151" w:rsidRPr="00873B6C" w:rsidRDefault="00D40151" w:rsidP="009D14FB">
            <w:pPr>
              <w:pStyle w:val="TAL"/>
            </w:pPr>
            <w:r w:rsidRPr="00873B6C">
              <w:rPr>
                <w:lang w:eastAsia="ko-KR"/>
              </w:rPr>
              <w:t xml:space="preserve">Enables </w:t>
            </w:r>
            <w:r w:rsidRPr="00873B6C">
              <w:rPr>
                <w:rFonts w:eastAsia="SimSun"/>
              </w:rPr>
              <w:t>an NF consumer to make sure UE is reachable.</w:t>
            </w:r>
          </w:p>
        </w:tc>
        <w:tc>
          <w:tcPr>
            <w:tcW w:w="1843" w:type="dxa"/>
          </w:tcPr>
          <w:p w14:paraId="0CCE36E4" w14:textId="77777777" w:rsidR="00D40151" w:rsidRPr="00873B6C" w:rsidRDefault="00D40151" w:rsidP="009D14FB">
            <w:pPr>
              <w:pStyle w:val="TAC"/>
              <w:rPr>
                <w:lang w:eastAsia="zh-CN"/>
              </w:rPr>
            </w:pPr>
            <w:r w:rsidRPr="00873B6C">
              <w:rPr>
                <w:lang w:eastAsia="zh-CN"/>
              </w:rPr>
              <w:t>5.2.2.4</w:t>
            </w:r>
          </w:p>
        </w:tc>
      </w:tr>
      <w:tr w:rsidR="00D40151" w:rsidRPr="00873B6C" w14:paraId="56D76DAF" w14:textId="77777777" w:rsidTr="00FD5C4A">
        <w:trPr>
          <w:cantSplit/>
          <w:jc w:val="center"/>
        </w:trPr>
        <w:tc>
          <w:tcPr>
            <w:tcW w:w="1998" w:type="dxa"/>
          </w:tcPr>
          <w:p w14:paraId="06AE4471" w14:textId="77777777" w:rsidR="00D40151" w:rsidRPr="00873B6C" w:rsidRDefault="00D40151" w:rsidP="009D14FB">
            <w:pPr>
              <w:pStyle w:val="TAL"/>
            </w:pPr>
            <w:r w:rsidRPr="00873B6C">
              <w:t>Namf_Location</w:t>
            </w:r>
          </w:p>
        </w:tc>
        <w:tc>
          <w:tcPr>
            <w:tcW w:w="4064" w:type="dxa"/>
          </w:tcPr>
          <w:p w14:paraId="66845806" w14:textId="77777777" w:rsidR="00D40151" w:rsidRPr="00873B6C" w:rsidDel="00E94096" w:rsidRDefault="00D40151" w:rsidP="009D14FB">
            <w:pPr>
              <w:pStyle w:val="TAL"/>
              <w:rPr>
                <w:lang w:eastAsia="ko-KR"/>
              </w:rPr>
            </w:pPr>
            <w:r w:rsidRPr="00873B6C">
              <w:rPr>
                <w:lang w:eastAsia="ko-KR"/>
              </w:rPr>
              <w:t>Enables an NF consumer to request location information for a target UE.</w:t>
            </w:r>
          </w:p>
        </w:tc>
        <w:tc>
          <w:tcPr>
            <w:tcW w:w="1843" w:type="dxa"/>
          </w:tcPr>
          <w:p w14:paraId="7E31C820" w14:textId="77777777" w:rsidR="00D40151" w:rsidRPr="00873B6C" w:rsidRDefault="00D40151" w:rsidP="009D14FB">
            <w:pPr>
              <w:pStyle w:val="TAC"/>
              <w:rPr>
                <w:lang w:eastAsia="zh-CN"/>
              </w:rPr>
            </w:pPr>
            <w:r w:rsidRPr="00873B6C">
              <w:rPr>
                <w:lang w:eastAsia="zh-CN"/>
              </w:rPr>
              <w:t>5.2.2.5</w:t>
            </w:r>
          </w:p>
        </w:tc>
      </w:tr>
      <w:tr w:rsidR="00BB2064" w:rsidRPr="00873B6C" w14:paraId="26318666" w14:textId="77777777" w:rsidTr="00FD5C4A">
        <w:trPr>
          <w:cantSplit/>
          <w:jc w:val="center"/>
        </w:trPr>
        <w:tc>
          <w:tcPr>
            <w:tcW w:w="1998" w:type="dxa"/>
          </w:tcPr>
          <w:p w14:paraId="19836B2A" w14:textId="1FD41192" w:rsidR="00BB2064" w:rsidRPr="00873B6C" w:rsidRDefault="00BB2064" w:rsidP="009D14FB">
            <w:pPr>
              <w:pStyle w:val="TAL"/>
            </w:pPr>
            <w:r w:rsidRPr="00873B6C">
              <w:t>Namf_MBSBroadcast</w:t>
            </w:r>
          </w:p>
        </w:tc>
        <w:tc>
          <w:tcPr>
            <w:tcW w:w="4064" w:type="dxa"/>
          </w:tcPr>
          <w:p w14:paraId="61B2E812" w14:textId="603631D0" w:rsidR="00BB2064" w:rsidRPr="00873B6C" w:rsidRDefault="00BB2064" w:rsidP="009D14FB">
            <w:pPr>
              <w:pStyle w:val="TAL"/>
              <w:rPr>
                <w:lang w:eastAsia="ko-KR"/>
              </w:rPr>
            </w:pPr>
            <w:r w:rsidRPr="00873B6C">
              <w:rPr>
                <w:lang w:eastAsia="ko-KR"/>
              </w:rPr>
              <w:t>Enables the NF consumer to communicate with the NG-RAN for broadcast communication.</w:t>
            </w:r>
          </w:p>
        </w:tc>
        <w:tc>
          <w:tcPr>
            <w:tcW w:w="1843" w:type="dxa"/>
          </w:tcPr>
          <w:p w14:paraId="277DF520" w14:textId="2A59FCAE" w:rsidR="00BB2064" w:rsidRPr="00873B6C" w:rsidRDefault="00BB2064" w:rsidP="009D14FB">
            <w:pPr>
              <w:pStyle w:val="TAC"/>
              <w:rPr>
                <w:lang w:eastAsia="zh-CN"/>
              </w:rPr>
            </w:pPr>
            <w:r w:rsidRPr="00873B6C">
              <w:rPr>
                <w:lang w:eastAsia="zh-CN"/>
              </w:rPr>
              <w:t>TS 23.247 [129]</w:t>
            </w:r>
          </w:p>
        </w:tc>
      </w:tr>
      <w:tr w:rsidR="00BB2064" w:rsidRPr="00873B6C" w14:paraId="1AAC7315" w14:textId="77777777" w:rsidTr="00FD5C4A">
        <w:trPr>
          <w:cantSplit/>
          <w:jc w:val="center"/>
        </w:trPr>
        <w:tc>
          <w:tcPr>
            <w:tcW w:w="1998" w:type="dxa"/>
          </w:tcPr>
          <w:p w14:paraId="664F04EB" w14:textId="23D3AA24" w:rsidR="00BB2064" w:rsidRPr="00873B6C" w:rsidRDefault="00BB2064" w:rsidP="00BB2064">
            <w:pPr>
              <w:pStyle w:val="TAL"/>
            </w:pPr>
            <w:r w:rsidRPr="00873B6C">
              <w:t>Namf_MBSCommunication</w:t>
            </w:r>
          </w:p>
        </w:tc>
        <w:tc>
          <w:tcPr>
            <w:tcW w:w="4064" w:type="dxa"/>
          </w:tcPr>
          <w:p w14:paraId="007C9938" w14:textId="37C8A2A0" w:rsidR="00BB2064" w:rsidRPr="00873B6C" w:rsidRDefault="00BB2064" w:rsidP="00BB2064">
            <w:pPr>
              <w:pStyle w:val="TAL"/>
              <w:rPr>
                <w:lang w:eastAsia="ko-KR"/>
              </w:rPr>
            </w:pPr>
            <w:r w:rsidRPr="00873B6C">
              <w:rPr>
                <w:lang w:eastAsia="ko-KR"/>
              </w:rPr>
              <w:t>Enables NF consumer to communicate with the NG-RAN for multicast communication.</w:t>
            </w:r>
          </w:p>
        </w:tc>
        <w:tc>
          <w:tcPr>
            <w:tcW w:w="1843" w:type="dxa"/>
          </w:tcPr>
          <w:p w14:paraId="470EB7C2" w14:textId="79309D70" w:rsidR="00BB2064" w:rsidRPr="00873B6C" w:rsidRDefault="00BB2064" w:rsidP="00BB2064">
            <w:pPr>
              <w:pStyle w:val="TAC"/>
              <w:rPr>
                <w:lang w:eastAsia="zh-CN"/>
              </w:rPr>
            </w:pPr>
            <w:r w:rsidRPr="00873B6C">
              <w:rPr>
                <w:lang w:eastAsia="zh-CN"/>
              </w:rPr>
              <w:t>TS 23.247 [129]</w:t>
            </w:r>
          </w:p>
        </w:tc>
      </w:tr>
    </w:tbl>
    <w:p w14:paraId="2197A85F" w14:textId="77777777" w:rsidR="00D40151" w:rsidRPr="00873B6C" w:rsidRDefault="00D40151" w:rsidP="00D40151">
      <w:pPr>
        <w:pStyle w:val="FP"/>
      </w:pPr>
    </w:p>
    <w:p w14:paraId="5222F72A" w14:textId="77777777" w:rsidR="00D40151" w:rsidRPr="00873B6C" w:rsidRDefault="00D40151" w:rsidP="00D40151">
      <w:pPr>
        <w:pStyle w:val="Heading3"/>
      </w:pPr>
      <w:bookmarkStart w:id="5959" w:name="_CR7_2_3"/>
      <w:bookmarkStart w:id="5960" w:name="_Toc20150253"/>
      <w:bookmarkStart w:id="5961" w:name="_Toc27847061"/>
      <w:bookmarkStart w:id="5962" w:name="_Toc36188194"/>
      <w:bookmarkStart w:id="5963" w:name="_Toc45184107"/>
      <w:bookmarkStart w:id="5964" w:name="_Toc47342949"/>
      <w:bookmarkStart w:id="5965" w:name="_Toc51769651"/>
      <w:bookmarkStart w:id="5966" w:name="_Toc201157829"/>
      <w:bookmarkEnd w:id="5959"/>
      <w:r w:rsidRPr="00873B6C">
        <w:t>7.2.3</w:t>
      </w:r>
      <w:r w:rsidRPr="00873B6C">
        <w:tab/>
        <w:t>SMF Services</w:t>
      </w:r>
      <w:bookmarkEnd w:id="5960"/>
      <w:bookmarkEnd w:id="5961"/>
      <w:bookmarkEnd w:id="5962"/>
      <w:bookmarkEnd w:id="5963"/>
      <w:bookmarkEnd w:id="5964"/>
      <w:bookmarkEnd w:id="5965"/>
      <w:bookmarkEnd w:id="5966"/>
    </w:p>
    <w:p w14:paraId="2270D802" w14:textId="77777777" w:rsidR="00D40151" w:rsidRPr="00873B6C" w:rsidRDefault="00D40151" w:rsidP="00D40151">
      <w:r w:rsidRPr="00873B6C">
        <w:rPr>
          <w:rFonts w:eastAsia="SimSun"/>
          <w:lang w:eastAsia="zh-CN"/>
        </w:rPr>
        <w:t>The following NF services are specified for SMF:</w:t>
      </w:r>
    </w:p>
    <w:p w14:paraId="5E1B7EB8" w14:textId="77777777" w:rsidR="00D40151" w:rsidRPr="00873B6C" w:rsidRDefault="00D40151" w:rsidP="00D40151">
      <w:pPr>
        <w:pStyle w:val="TH"/>
      </w:pPr>
      <w:bookmarkStart w:id="5967" w:name="_CRTable7_2_31"/>
      <w:r w:rsidRPr="00873B6C">
        <w:t xml:space="preserve">Table </w:t>
      </w:r>
      <w:bookmarkEnd w:id="5967"/>
      <w:r w:rsidRPr="00873B6C">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873B6C" w14:paraId="43478E41" w14:textId="77777777" w:rsidTr="00FD5C4A">
        <w:trPr>
          <w:cantSplit/>
          <w:tblHeader/>
          <w:jc w:val="center"/>
        </w:trPr>
        <w:tc>
          <w:tcPr>
            <w:tcW w:w="2268" w:type="dxa"/>
          </w:tcPr>
          <w:p w14:paraId="5FD9494F" w14:textId="77777777" w:rsidR="00D40151" w:rsidRPr="00873B6C" w:rsidRDefault="00D40151" w:rsidP="009D14FB">
            <w:pPr>
              <w:pStyle w:val="TAH"/>
            </w:pPr>
            <w:r w:rsidRPr="00873B6C">
              <w:t>Service Name</w:t>
            </w:r>
          </w:p>
        </w:tc>
        <w:tc>
          <w:tcPr>
            <w:tcW w:w="3794" w:type="dxa"/>
          </w:tcPr>
          <w:p w14:paraId="2DDE4E31" w14:textId="77777777" w:rsidR="00D40151" w:rsidRPr="00873B6C" w:rsidRDefault="00D40151" w:rsidP="009D14FB">
            <w:pPr>
              <w:pStyle w:val="TAH"/>
            </w:pPr>
            <w:r w:rsidRPr="00873B6C">
              <w:t>Description</w:t>
            </w:r>
          </w:p>
        </w:tc>
        <w:tc>
          <w:tcPr>
            <w:tcW w:w="1843" w:type="dxa"/>
          </w:tcPr>
          <w:p w14:paraId="446A7642" w14:textId="77777777" w:rsidR="00D40151" w:rsidRPr="00873B6C" w:rsidRDefault="00D40151" w:rsidP="009D14FB">
            <w:pPr>
              <w:pStyle w:val="TAH"/>
            </w:pPr>
            <w:r w:rsidRPr="00873B6C">
              <w:rPr>
                <w:lang w:eastAsia="zh-CN"/>
              </w:rPr>
              <w:t>Reference in TS 23.502 [3]</w:t>
            </w:r>
          </w:p>
        </w:tc>
      </w:tr>
      <w:tr w:rsidR="00D40151" w:rsidRPr="00873B6C" w14:paraId="2863558A" w14:textId="77777777" w:rsidTr="00FD5C4A">
        <w:trPr>
          <w:cantSplit/>
          <w:jc w:val="center"/>
        </w:trPr>
        <w:tc>
          <w:tcPr>
            <w:tcW w:w="2268" w:type="dxa"/>
          </w:tcPr>
          <w:p w14:paraId="2B292A02" w14:textId="77777777" w:rsidR="00D40151" w:rsidRPr="00873B6C" w:rsidRDefault="00D40151" w:rsidP="009D14FB">
            <w:pPr>
              <w:pStyle w:val="TAL"/>
              <w:rPr>
                <w:lang w:eastAsia="zh-CN"/>
              </w:rPr>
            </w:pPr>
            <w:r w:rsidRPr="00873B6C">
              <w:rPr>
                <w:lang w:eastAsia="zh-CN"/>
              </w:rPr>
              <w:t>Nsmf_PDUSession</w:t>
            </w:r>
          </w:p>
        </w:tc>
        <w:tc>
          <w:tcPr>
            <w:tcW w:w="3794" w:type="dxa"/>
          </w:tcPr>
          <w:p w14:paraId="653D52C2" w14:textId="77777777" w:rsidR="00D40151" w:rsidRPr="00873B6C" w:rsidRDefault="00D40151" w:rsidP="009D14FB">
            <w:pPr>
              <w:pStyle w:val="TAL"/>
              <w:rPr>
                <w:lang w:eastAsia="zh-CN"/>
              </w:rPr>
            </w:pPr>
            <w:r w:rsidRPr="00873B6C">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873B6C" w:rsidRDefault="00D40151" w:rsidP="009D14FB">
            <w:pPr>
              <w:pStyle w:val="TAC"/>
              <w:rPr>
                <w:lang w:eastAsia="zh-CN"/>
              </w:rPr>
            </w:pPr>
            <w:r w:rsidRPr="00873B6C">
              <w:rPr>
                <w:lang w:eastAsia="zh-CN"/>
              </w:rPr>
              <w:t>5.2.8.2</w:t>
            </w:r>
          </w:p>
        </w:tc>
      </w:tr>
      <w:tr w:rsidR="00D40151" w:rsidRPr="00873B6C" w14:paraId="711F41DD" w14:textId="77777777" w:rsidTr="00FD5C4A">
        <w:trPr>
          <w:cantSplit/>
          <w:jc w:val="center"/>
        </w:trPr>
        <w:tc>
          <w:tcPr>
            <w:tcW w:w="2268" w:type="dxa"/>
          </w:tcPr>
          <w:p w14:paraId="05D56395" w14:textId="77777777" w:rsidR="00D40151" w:rsidRPr="00873B6C" w:rsidRDefault="00D40151" w:rsidP="009D14FB">
            <w:pPr>
              <w:pStyle w:val="TAL"/>
              <w:rPr>
                <w:lang w:eastAsia="zh-CN"/>
              </w:rPr>
            </w:pPr>
            <w:r w:rsidRPr="00873B6C">
              <w:rPr>
                <w:lang w:eastAsia="zh-CN"/>
              </w:rPr>
              <w:t>Nsmf_EventExposure</w:t>
            </w:r>
          </w:p>
        </w:tc>
        <w:tc>
          <w:tcPr>
            <w:tcW w:w="3794" w:type="dxa"/>
          </w:tcPr>
          <w:p w14:paraId="6659F370" w14:textId="77777777" w:rsidR="00D40151" w:rsidRPr="00873B6C" w:rsidRDefault="00D40151" w:rsidP="009D14FB">
            <w:pPr>
              <w:pStyle w:val="TAL"/>
            </w:pPr>
            <w:r w:rsidRPr="00873B6C">
              <w:t>This service exposes the events happening on the PDU Sessions to the consumer NFs.</w:t>
            </w:r>
          </w:p>
        </w:tc>
        <w:tc>
          <w:tcPr>
            <w:tcW w:w="1843" w:type="dxa"/>
          </w:tcPr>
          <w:p w14:paraId="23DD0541" w14:textId="77777777" w:rsidR="00D40151" w:rsidRPr="00873B6C" w:rsidRDefault="00D40151" w:rsidP="009D14FB">
            <w:pPr>
              <w:pStyle w:val="TAC"/>
              <w:rPr>
                <w:lang w:eastAsia="zh-CN"/>
              </w:rPr>
            </w:pPr>
            <w:r w:rsidRPr="00873B6C">
              <w:rPr>
                <w:lang w:eastAsia="zh-CN"/>
              </w:rPr>
              <w:t>5.2.8.3</w:t>
            </w:r>
          </w:p>
        </w:tc>
      </w:tr>
      <w:tr w:rsidR="00D40151" w:rsidRPr="00873B6C" w14:paraId="5F346842" w14:textId="77777777" w:rsidTr="00FD5C4A">
        <w:trPr>
          <w:cantSplit/>
          <w:jc w:val="center"/>
        </w:trPr>
        <w:tc>
          <w:tcPr>
            <w:tcW w:w="2268" w:type="dxa"/>
          </w:tcPr>
          <w:p w14:paraId="572E9E6A" w14:textId="77777777" w:rsidR="00D40151" w:rsidRPr="00873B6C" w:rsidRDefault="00D40151" w:rsidP="009D14FB">
            <w:pPr>
              <w:pStyle w:val="TAL"/>
              <w:rPr>
                <w:lang w:eastAsia="zh-CN"/>
              </w:rPr>
            </w:pPr>
            <w:r w:rsidRPr="00873B6C">
              <w:rPr>
                <w:lang w:eastAsia="zh-CN"/>
              </w:rPr>
              <w:t>Nsmf_NIDD</w:t>
            </w:r>
          </w:p>
        </w:tc>
        <w:tc>
          <w:tcPr>
            <w:tcW w:w="3794" w:type="dxa"/>
          </w:tcPr>
          <w:p w14:paraId="32802E56" w14:textId="77777777" w:rsidR="00D40151" w:rsidRPr="00873B6C" w:rsidRDefault="00D40151" w:rsidP="009D14FB">
            <w:pPr>
              <w:pStyle w:val="TAL"/>
            </w:pPr>
            <w:r w:rsidRPr="00873B6C">
              <w:t>This service is used for NIDD transfer between SMF and another NF.</w:t>
            </w:r>
          </w:p>
        </w:tc>
        <w:tc>
          <w:tcPr>
            <w:tcW w:w="1843" w:type="dxa"/>
          </w:tcPr>
          <w:p w14:paraId="7A7E6D4F" w14:textId="77777777" w:rsidR="00D40151" w:rsidRPr="00873B6C" w:rsidRDefault="00D40151" w:rsidP="009D14FB">
            <w:pPr>
              <w:pStyle w:val="TAC"/>
              <w:rPr>
                <w:lang w:eastAsia="zh-CN"/>
              </w:rPr>
            </w:pPr>
            <w:r w:rsidRPr="00873B6C">
              <w:rPr>
                <w:lang w:eastAsia="zh-CN"/>
              </w:rPr>
              <w:t>5.2.8.4</w:t>
            </w:r>
          </w:p>
        </w:tc>
      </w:tr>
      <w:tr w:rsidR="0001796C" w:rsidRPr="00873B6C" w14:paraId="23DB3E1B" w14:textId="77777777" w:rsidTr="00FD5C4A">
        <w:trPr>
          <w:cantSplit/>
          <w:jc w:val="center"/>
        </w:trPr>
        <w:tc>
          <w:tcPr>
            <w:tcW w:w="2268" w:type="dxa"/>
          </w:tcPr>
          <w:p w14:paraId="73B80AA2" w14:textId="247FBF07" w:rsidR="0001796C" w:rsidRPr="00873B6C" w:rsidRDefault="00141A61" w:rsidP="009D14FB">
            <w:pPr>
              <w:pStyle w:val="TAL"/>
              <w:rPr>
                <w:lang w:eastAsia="zh-CN"/>
              </w:rPr>
            </w:pPr>
            <w:r w:rsidRPr="00873B6C">
              <w:rPr>
                <w:lang w:eastAsia="zh-CN"/>
              </w:rPr>
              <w:t>Nsmf_TrafficCorrelation</w:t>
            </w:r>
          </w:p>
        </w:tc>
        <w:tc>
          <w:tcPr>
            <w:tcW w:w="3794" w:type="dxa"/>
          </w:tcPr>
          <w:p w14:paraId="767CE814" w14:textId="4EB56797" w:rsidR="0001796C" w:rsidRPr="00873B6C" w:rsidRDefault="00141A61" w:rsidP="009D14FB">
            <w:pPr>
              <w:pStyle w:val="TAL"/>
            </w:pPr>
            <w:r w:rsidRPr="00873B6C">
              <w:t>Used for SMF determined information related to the members of the set of UEs identified by traffic correlation ID as defined in clause 6.2.3.2.7 of TS 23.548 [130],</w:t>
            </w:r>
          </w:p>
        </w:tc>
        <w:tc>
          <w:tcPr>
            <w:tcW w:w="1843" w:type="dxa"/>
          </w:tcPr>
          <w:p w14:paraId="30E03197" w14:textId="232DFAC0" w:rsidR="0001796C" w:rsidRPr="00873B6C" w:rsidRDefault="00141A61" w:rsidP="009D14FB">
            <w:pPr>
              <w:pStyle w:val="TAC"/>
              <w:rPr>
                <w:lang w:eastAsia="zh-CN"/>
              </w:rPr>
            </w:pPr>
            <w:r w:rsidRPr="00873B6C">
              <w:rPr>
                <w:lang w:eastAsia="zh-CN"/>
              </w:rPr>
              <w:t>5.2.8.5</w:t>
            </w:r>
          </w:p>
        </w:tc>
      </w:tr>
    </w:tbl>
    <w:p w14:paraId="78908FDA" w14:textId="77777777" w:rsidR="00D40151" w:rsidRPr="00873B6C" w:rsidRDefault="00D40151" w:rsidP="00D40151">
      <w:pPr>
        <w:pStyle w:val="FP"/>
      </w:pPr>
    </w:p>
    <w:p w14:paraId="5CEBA344" w14:textId="77777777" w:rsidR="00D40151" w:rsidRPr="00873B6C" w:rsidRDefault="00D40151" w:rsidP="00D40151">
      <w:pPr>
        <w:pStyle w:val="Heading3"/>
      </w:pPr>
      <w:bookmarkStart w:id="5968" w:name="_CR7_2_4"/>
      <w:bookmarkStart w:id="5969" w:name="_Toc20150254"/>
      <w:bookmarkStart w:id="5970" w:name="_Toc27847062"/>
      <w:bookmarkStart w:id="5971" w:name="_Toc36188195"/>
      <w:bookmarkStart w:id="5972" w:name="_Toc45184108"/>
      <w:bookmarkStart w:id="5973" w:name="_Toc47342950"/>
      <w:bookmarkStart w:id="5974" w:name="_Toc51769652"/>
      <w:bookmarkStart w:id="5975" w:name="_Toc201157830"/>
      <w:bookmarkEnd w:id="5968"/>
      <w:r w:rsidRPr="00873B6C">
        <w:t>7.2.4</w:t>
      </w:r>
      <w:r w:rsidRPr="00873B6C">
        <w:tab/>
        <w:t>PCF Services</w:t>
      </w:r>
      <w:bookmarkEnd w:id="5969"/>
      <w:bookmarkEnd w:id="5970"/>
      <w:bookmarkEnd w:id="5971"/>
      <w:bookmarkEnd w:id="5972"/>
      <w:bookmarkEnd w:id="5973"/>
      <w:bookmarkEnd w:id="5974"/>
      <w:bookmarkEnd w:id="5975"/>
    </w:p>
    <w:p w14:paraId="56E35852" w14:textId="77777777" w:rsidR="00D40151" w:rsidRPr="00873B6C" w:rsidRDefault="00D40151" w:rsidP="00D40151">
      <w:pPr>
        <w:rPr>
          <w:rFonts w:eastAsia="SimSun"/>
          <w:lang w:eastAsia="zh-CN"/>
        </w:rPr>
      </w:pPr>
      <w:r w:rsidRPr="00873B6C">
        <w:rPr>
          <w:rFonts w:eastAsia="SimSun"/>
          <w:lang w:eastAsia="zh-CN"/>
        </w:rPr>
        <w:t>The following NF services are specified for PCF:</w:t>
      </w:r>
    </w:p>
    <w:p w14:paraId="6AC01BDA" w14:textId="77777777" w:rsidR="00D40151" w:rsidRPr="00873B6C" w:rsidRDefault="00D40151" w:rsidP="00D40151">
      <w:pPr>
        <w:pStyle w:val="TH"/>
      </w:pPr>
      <w:bookmarkStart w:id="5976" w:name="_CRTable7_2_41"/>
      <w:r w:rsidRPr="00873B6C">
        <w:lastRenderedPageBreak/>
        <w:t xml:space="preserve">Table </w:t>
      </w:r>
      <w:bookmarkEnd w:id="5976"/>
      <w:r w:rsidRPr="00873B6C">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873B6C" w14:paraId="02CB2A40" w14:textId="77777777" w:rsidTr="00FD5C4A">
        <w:trPr>
          <w:cantSplit/>
          <w:tblHeader/>
          <w:jc w:val="center"/>
        </w:trPr>
        <w:tc>
          <w:tcPr>
            <w:tcW w:w="2376" w:type="dxa"/>
          </w:tcPr>
          <w:p w14:paraId="66F960C5" w14:textId="77777777" w:rsidR="00D40151" w:rsidRPr="00873B6C" w:rsidRDefault="00D40151" w:rsidP="009D14FB">
            <w:pPr>
              <w:pStyle w:val="TAH"/>
            </w:pPr>
            <w:r w:rsidRPr="00873B6C">
              <w:t>Service Name</w:t>
            </w:r>
          </w:p>
        </w:tc>
        <w:tc>
          <w:tcPr>
            <w:tcW w:w="3686" w:type="dxa"/>
          </w:tcPr>
          <w:p w14:paraId="080258F6" w14:textId="77777777" w:rsidR="00D40151" w:rsidRPr="00873B6C" w:rsidRDefault="00D40151" w:rsidP="009D14FB">
            <w:pPr>
              <w:pStyle w:val="TAH"/>
            </w:pPr>
            <w:r w:rsidRPr="00873B6C">
              <w:t>Description</w:t>
            </w:r>
          </w:p>
        </w:tc>
        <w:tc>
          <w:tcPr>
            <w:tcW w:w="1843" w:type="dxa"/>
          </w:tcPr>
          <w:p w14:paraId="5D1B7E5A" w14:textId="029519B7" w:rsidR="00D40151" w:rsidRPr="00873B6C" w:rsidRDefault="00D40151" w:rsidP="009D14FB">
            <w:pPr>
              <w:pStyle w:val="TAH"/>
            </w:pPr>
            <w:r w:rsidRPr="00873B6C">
              <w:rPr>
                <w:rFonts w:eastAsia="SimSun"/>
                <w:lang w:eastAsia="zh-CN"/>
              </w:rPr>
              <w:t>Reference in TS 23.502 [3]</w:t>
            </w:r>
            <w:r w:rsidR="00C84B6D" w:rsidRPr="00873B6C">
              <w:rPr>
                <w:rFonts w:eastAsia="SimSun"/>
                <w:lang w:eastAsia="zh-CN"/>
              </w:rPr>
              <w:t xml:space="preserve"> or indicated other TS</w:t>
            </w:r>
          </w:p>
        </w:tc>
      </w:tr>
      <w:tr w:rsidR="00D40151" w:rsidRPr="00873B6C" w14:paraId="0EAE265F" w14:textId="77777777" w:rsidTr="00FD5C4A">
        <w:trPr>
          <w:cantSplit/>
          <w:jc w:val="center"/>
        </w:trPr>
        <w:tc>
          <w:tcPr>
            <w:tcW w:w="2376" w:type="dxa"/>
          </w:tcPr>
          <w:p w14:paraId="47208DC6" w14:textId="77777777" w:rsidR="00D40151" w:rsidRPr="00873B6C" w:rsidRDefault="00D40151" w:rsidP="009D14FB">
            <w:pPr>
              <w:pStyle w:val="TAL"/>
            </w:pPr>
            <w:r w:rsidRPr="00873B6C">
              <w:t>Npcf_AMPolicyControl</w:t>
            </w:r>
          </w:p>
        </w:tc>
        <w:tc>
          <w:tcPr>
            <w:tcW w:w="3686" w:type="dxa"/>
          </w:tcPr>
          <w:p w14:paraId="46EBCB6F" w14:textId="77777777" w:rsidR="00D40151" w:rsidRPr="00873B6C" w:rsidRDefault="00D40151" w:rsidP="009D14FB">
            <w:pPr>
              <w:pStyle w:val="TAL"/>
            </w:pPr>
            <w:r w:rsidRPr="00873B6C">
              <w:t xml:space="preserve">This PCF service provides </w:t>
            </w:r>
            <w:r w:rsidRPr="00873B6C">
              <w:rPr>
                <w:rFonts w:eastAsia="SimSun"/>
              </w:rPr>
              <w:t>Access Control, network selection and Mobility Management related policies, UE Route Selection Policies</w:t>
            </w:r>
            <w:r w:rsidRPr="00873B6C">
              <w:t xml:space="preserve"> to the NF consumers.</w:t>
            </w:r>
          </w:p>
        </w:tc>
        <w:tc>
          <w:tcPr>
            <w:tcW w:w="1843" w:type="dxa"/>
          </w:tcPr>
          <w:p w14:paraId="5EE83E62" w14:textId="77777777" w:rsidR="00D40151" w:rsidRPr="00873B6C" w:rsidRDefault="00D40151" w:rsidP="009D14FB">
            <w:pPr>
              <w:pStyle w:val="TAC"/>
              <w:rPr>
                <w:lang w:eastAsia="zh-CN"/>
              </w:rPr>
            </w:pPr>
            <w:r w:rsidRPr="00873B6C">
              <w:rPr>
                <w:lang w:eastAsia="zh-CN"/>
              </w:rPr>
              <w:t>5.2.5.2</w:t>
            </w:r>
          </w:p>
        </w:tc>
      </w:tr>
      <w:tr w:rsidR="00D40151" w:rsidRPr="00873B6C" w14:paraId="4F86CFDD" w14:textId="77777777" w:rsidTr="00FD5C4A">
        <w:trPr>
          <w:cantSplit/>
          <w:jc w:val="center"/>
        </w:trPr>
        <w:tc>
          <w:tcPr>
            <w:tcW w:w="2376" w:type="dxa"/>
          </w:tcPr>
          <w:p w14:paraId="4A02CC26" w14:textId="77777777" w:rsidR="00D40151" w:rsidRPr="00873B6C" w:rsidRDefault="00D40151" w:rsidP="009D14FB">
            <w:pPr>
              <w:pStyle w:val="TAL"/>
            </w:pPr>
            <w:r w:rsidRPr="00873B6C">
              <w:t>Npcf_SMPolicyControl</w:t>
            </w:r>
          </w:p>
        </w:tc>
        <w:tc>
          <w:tcPr>
            <w:tcW w:w="3686" w:type="dxa"/>
          </w:tcPr>
          <w:p w14:paraId="685EAC23" w14:textId="77777777" w:rsidR="00D40151" w:rsidRPr="00873B6C" w:rsidRDefault="00D40151" w:rsidP="009D14FB">
            <w:pPr>
              <w:pStyle w:val="TAL"/>
            </w:pPr>
            <w:r w:rsidRPr="00873B6C">
              <w:rPr>
                <w:rFonts w:eastAsia="SimSun"/>
              </w:rPr>
              <w:t xml:space="preserve">This PCF service provides session related policies to the </w:t>
            </w:r>
            <w:r w:rsidRPr="00873B6C">
              <w:t>NF consumers.</w:t>
            </w:r>
          </w:p>
        </w:tc>
        <w:tc>
          <w:tcPr>
            <w:tcW w:w="1843" w:type="dxa"/>
          </w:tcPr>
          <w:p w14:paraId="12FEAEDB" w14:textId="77777777" w:rsidR="00D40151" w:rsidRPr="00873B6C" w:rsidRDefault="00D40151" w:rsidP="009D14FB">
            <w:pPr>
              <w:pStyle w:val="TAC"/>
              <w:rPr>
                <w:lang w:eastAsia="zh-CN"/>
              </w:rPr>
            </w:pPr>
            <w:r w:rsidRPr="00873B6C">
              <w:rPr>
                <w:lang w:eastAsia="zh-CN"/>
              </w:rPr>
              <w:t>5.2.5.4</w:t>
            </w:r>
          </w:p>
        </w:tc>
      </w:tr>
      <w:tr w:rsidR="00D40151" w:rsidRPr="00873B6C" w14:paraId="32DD97A1" w14:textId="77777777" w:rsidTr="00FD5C4A">
        <w:trPr>
          <w:cantSplit/>
          <w:jc w:val="center"/>
        </w:trPr>
        <w:tc>
          <w:tcPr>
            <w:tcW w:w="2376" w:type="dxa"/>
          </w:tcPr>
          <w:p w14:paraId="01E135FE" w14:textId="77777777" w:rsidR="00D40151" w:rsidRPr="00873B6C" w:rsidRDefault="00D40151" w:rsidP="009D14FB">
            <w:pPr>
              <w:pStyle w:val="TAL"/>
            </w:pPr>
            <w:r w:rsidRPr="00873B6C">
              <w:t>Npcf_PolicyAuthorization</w:t>
            </w:r>
          </w:p>
        </w:tc>
        <w:tc>
          <w:tcPr>
            <w:tcW w:w="3686" w:type="dxa"/>
          </w:tcPr>
          <w:p w14:paraId="37E1098C" w14:textId="77777777" w:rsidR="00D40151" w:rsidRPr="00873B6C" w:rsidRDefault="00D40151" w:rsidP="009D14FB">
            <w:pPr>
              <w:pStyle w:val="TAL"/>
            </w:pPr>
            <w:r w:rsidRPr="00873B6C">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873B6C">
              <w:rPr>
                <w:lang w:eastAsia="zh-CN"/>
              </w:rPr>
              <w:t>access network</w:t>
            </w:r>
            <w:r w:rsidRPr="00873B6C">
              <w:rPr>
                <w:rFonts w:eastAsia="Batang"/>
              </w:rPr>
              <w:t xml:space="preserve"> information,</w:t>
            </w:r>
            <w:r w:rsidRPr="00873B6C">
              <w:t xml:space="preserve"> usage report etc.</w:t>
            </w:r>
          </w:p>
        </w:tc>
        <w:tc>
          <w:tcPr>
            <w:tcW w:w="1843" w:type="dxa"/>
          </w:tcPr>
          <w:p w14:paraId="4F380326" w14:textId="77777777" w:rsidR="00D40151" w:rsidRPr="00873B6C" w:rsidRDefault="00D40151" w:rsidP="009D14FB">
            <w:pPr>
              <w:pStyle w:val="TAC"/>
              <w:rPr>
                <w:lang w:eastAsia="zh-CN"/>
              </w:rPr>
            </w:pPr>
            <w:r w:rsidRPr="00873B6C">
              <w:rPr>
                <w:lang w:eastAsia="zh-CN"/>
              </w:rPr>
              <w:t>5.2.5.3</w:t>
            </w:r>
          </w:p>
        </w:tc>
      </w:tr>
      <w:tr w:rsidR="00D40151" w:rsidRPr="00873B6C" w14:paraId="24808EE8" w14:textId="77777777" w:rsidTr="00FD5C4A">
        <w:trPr>
          <w:cantSplit/>
          <w:jc w:val="center"/>
        </w:trPr>
        <w:tc>
          <w:tcPr>
            <w:tcW w:w="2376" w:type="dxa"/>
          </w:tcPr>
          <w:p w14:paraId="7A0ED89F" w14:textId="77777777" w:rsidR="00D40151" w:rsidRPr="00873B6C" w:rsidRDefault="00D40151" w:rsidP="009D14FB">
            <w:pPr>
              <w:pStyle w:val="TAL"/>
            </w:pPr>
            <w:r w:rsidRPr="00873B6C">
              <w:t>Npcf_BDTPolicyControl</w:t>
            </w:r>
          </w:p>
        </w:tc>
        <w:tc>
          <w:tcPr>
            <w:tcW w:w="3686" w:type="dxa"/>
          </w:tcPr>
          <w:p w14:paraId="26994380" w14:textId="77777777" w:rsidR="00D40151" w:rsidRPr="00873B6C" w:rsidRDefault="00D40151" w:rsidP="009D14FB">
            <w:pPr>
              <w:pStyle w:val="TAL"/>
            </w:pPr>
            <w:r w:rsidRPr="00873B6C">
              <w:t>This PCF service provides background data transfer policy negotiation and optionally notification for the renegotiation to the NF consumers.</w:t>
            </w:r>
          </w:p>
        </w:tc>
        <w:tc>
          <w:tcPr>
            <w:tcW w:w="1843" w:type="dxa"/>
          </w:tcPr>
          <w:p w14:paraId="60BF432A" w14:textId="77777777" w:rsidR="00D40151" w:rsidRPr="00873B6C" w:rsidRDefault="00D40151" w:rsidP="009D14FB">
            <w:pPr>
              <w:pStyle w:val="TAC"/>
              <w:rPr>
                <w:lang w:eastAsia="zh-CN"/>
              </w:rPr>
            </w:pPr>
            <w:r w:rsidRPr="00873B6C">
              <w:t>5.2.5.5</w:t>
            </w:r>
          </w:p>
        </w:tc>
      </w:tr>
      <w:tr w:rsidR="00D40151" w:rsidRPr="00873B6C" w14:paraId="067AD7BB" w14:textId="77777777" w:rsidTr="00FD5C4A">
        <w:trPr>
          <w:cantSplit/>
          <w:jc w:val="center"/>
        </w:trPr>
        <w:tc>
          <w:tcPr>
            <w:tcW w:w="2376" w:type="dxa"/>
          </w:tcPr>
          <w:p w14:paraId="72F71C4A" w14:textId="77777777" w:rsidR="00D40151" w:rsidRPr="00873B6C" w:rsidRDefault="00D40151" w:rsidP="009D14FB">
            <w:pPr>
              <w:pStyle w:val="TAL"/>
            </w:pPr>
            <w:r w:rsidRPr="00873B6C">
              <w:t>Npcf_UEPolicyControl</w:t>
            </w:r>
          </w:p>
        </w:tc>
        <w:tc>
          <w:tcPr>
            <w:tcW w:w="3686" w:type="dxa"/>
          </w:tcPr>
          <w:p w14:paraId="0D054410" w14:textId="77777777" w:rsidR="00D40151" w:rsidRPr="00873B6C" w:rsidRDefault="00D40151" w:rsidP="009D14FB">
            <w:pPr>
              <w:pStyle w:val="TAL"/>
            </w:pPr>
            <w:r w:rsidRPr="00873B6C">
              <w:t>This PCF service provides the management of UE Policy Association to the NF consumers.</w:t>
            </w:r>
          </w:p>
        </w:tc>
        <w:tc>
          <w:tcPr>
            <w:tcW w:w="1843" w:type="dxa"/>
          </w:tcPr>
          <w:p w14:paraId="1E10D2FC" w14:textId="77777777" w:rsidR="00D40151" w:rsidRPr="00873B6C" w:rsidRDefault="00D40151" w:rsidP="009D14FB">
            <w:pPr>
              <w:pStyle w:val="TAC"/>
            </w:pPr>
            <w:r w:rsidRPr="00873B6C">
              <w:t>5.2.5.6</w:t>
            </w:r>
          </w:p>
        </w:tc>
      </w:tr>
      <w:tr w:rsidR="00D40151" w:rsidRPr="00873B6C" w14:paraId="5A543767" w14:textId="77777777" w:rsidTr="00FD5C4A">
        <w:trPr>
          <w:cantSplit/>
          <w:jc w:val="center"/>
        </w:trPr>
        <w:tc>
          <w:tcPr>
            <w:tcW w:w="2376" w:type="dxa"/>
          </w:tcPr>
          <w:p w14:paraId="31B2CDAB" w14:textId="77777777" w:rsidR="00D40151" w:rsidRPr="00873B6C" w:rsidRDefault="00D40151" w:rsidP="009D14FB">
            <w:pPr>
              <w:pStyle w:val="TAL"/>
            </w:pPr>
            <w:r w:rsidRPr="00873B6C">
              <w:t>Npcf_EventExposure</w:t>
            </w:r>
          </w:p>
        </w:tc>
        <w:tc>
          <w:tcPr>
            <w:tcW w:w="3686" w:type="dxa"/>
          </w:tcPr>
          <w:p w14:paraId="3388DD75" w14:textId="77777777" w:rsidR="00D40151" w:rsidRPr="00873B6C" w:rsidRDefault="00D40151" w:rsidP="009D14FB">
            <w:pPr>
              <w:pStyle w:val="TAL"/>
            </w:pPr>
            <w:r w:rsidRPr="00873B6C">
              <w:t>This PCF service provide the support for event exposure.</w:t>
            </w:r>
          </w:p>
        </w:tc>
        <w:tc>
          <w:tcPr>
            <w:tcW w:w="1843" w:type="dxa"/>
          </w:tcPr>
          <w:p w14:paraId="24A49E28" w14:textId="77777777" w:rsidR="00D40151" w:rsidRPr="00873B6C" w:rsidRDefault="00D40151" w:rsidP="009D14FB">
            <w:pPr>
              <w:pStyle w:val="TAC"/>
            </w:pPr>
            <w:r w:rsidRPr="00873B6C">
              <w:t>5.2.5.7</w:t>
            </w:r>
          </w:p>
        </w:tc>
      </w:tr>
      <w:tr w:rsidR="00967FB9" w:rsidRPr="00873B6C" w14:paraId="39008328" w14:textId="77777777" w:rsidTr="00FD5C4A">
        <w:trPr>
          <w:cantSplit/>
          <w:jc w:val="center"/>
        </w:trPr>
        <w:tc>
          <w:tcPr>
            <w:tcW w:w="2376" w:type="dxa"/>
          </w:tcPr>
          <w:p w14:paraId="5DA8D0B1" w14:textId="5FC31268" w:rsidR="00967FB9" w:rsidRPr="00873B6C" w:rsidRDefault="00967FB9" w:rsidP="00967FB9">
            <w:pPr>
              <w:pStyle w:val="TAL"/>
            </w:pPr>
            <w:r w:rsidRPr="00873B6C">
              <w:t>Npcf_AMPolicyAuthorization</w:t>
            </w:r>
          </w:p>
        </w:tc>
        <w:tc>
          <w:tcPr>
            <w:tcW w:w="3686" w:type="dxa"/>
          </w:tcPr>
          <w:p w14:paraId="305B0CEA" w14:textId="75B6DD6E" w:rsidR="00967FB9" w:rsidRPr="00873B6C" w:rsidRDefault="00967FB9" w:rsidP="00967FB9">
            <w:pPr>
              <w:pStyle w:val="TAL"/>
            </w:pPr>
            <w:r w:rsidRPr="00873B6C">
              <w:t>The PCF authorises an AF request and uses it as input for deciding access and mobility management related policies for a UE.</w:t>
            </w:r>
          </w:p>
        </w:tc>
        <w:tc>
          <w:tcPr>
            <w:tcW w:w="1843" w:type="dxa"/>
          </w:tcPr>
          <w:p w14:paraId="300B3517" w14:textId="2B5E2675" w:rsidR="00967FB9" w:rsidRPr="00873B6C" w:rsidRDefault="00967FB9" w:rsidP="00967FB9">
            <w:pPr>
              <w:pStyle w:val="TAC"/>
            </w:pPr>
            <w:r w:rsidRPr="00873B6C">
              <w:t>5.2.5.8</w:t>
            </w:r>
          </w:p>
        </w:tc>
      </w:tr>
      <w:tr w:rsidR="00C84B6D" w:rsidRPr="00873B6C" w14:paraId="7592B901" w14:textId="77777777" w:rsidTr="00FD5C4A">
        <w:trPr>
          <w:cantSplit/>
          <w:jc w:val="center"/>
        </w:trPr>
        <w:tc>
          <w:tcPr>
            <w:tcW w:w="2376" w:type="dxa"/>
          </w:tcPr>
          <w:p w14:paraId="3B7C62E1" w14:textId="23F7D05C" w:rsidR="00C84B6D" w:rsidRPr="00873B6C" w:rsidRDefault="00C84B6D" w:rsidP="00967FB9">
            <w:pPr>
              <w:pStyle w:val="TAL"/>
            </w:pPr>
            <w:r w:rsidRPr="00873B6C">
              <w:t>Npcf_MBSPolicyControl</w:t>
            </w:r>
          </w:p>
        </w:tc>
        <w:tc>
          <w:tcPr>
            <w:tcW w:w="3686" w:type="dxa"/>
          </w:tcPr>
          <w:p w14:paraId="2DEA1A7F" w14:textId="1760B230" w:rsidR="00C84B6D" w:rsidRPr="00873B6C" w:rsidRDefault="00C84B6D" w:rsidP="00967FB9">
            <w:pPr>
              <w:pStyle w:val="TAL"/>
            </w:pPr>
            <w:r w:rsidRPr="00873B6C">
              <w:t>The PCF service provides MBS session related policies towards the MB-SMF.</w:t>
            </w:r>
          </w:p>
        </w:tc>
        <w:tc>
          <w:tcPr>
            <w:tcW w:w="1843" w:type="dxa"/>
          </w:tcPr>
          <w:p w14:paraId="09073BED" w14:textId="126FEA74" w:rsidR="00C84B6D" w:rsidRPr="00873B6C" w:rsidRDefault="00C84B6D" w:rsidP="00967FB9">
            <w:pPr>
              <w:pStyle w:val="TAC"/>
            </w:pPr>
            <w:r w:rsidRPr="00873B6C">
              <w:t>TS 23.247 [129]</w:t>
            </w:r>
          </w:p>
        </w:tc>
      </w:tr>
      <w:tr w:rsidR="00C84B6D" w:rsidRPr="00873B6C" w14:paraId="35EF5F8C" w14:textId="77777777" w:rsidTr="00FD5C4A">
        <w:trPr>
          <w:cantSplit/>
          <w:jc w:val="center"/>
        </w:trPr>
        <w:tc>
          <w:tcPr>
            <w:tcW w:w="2376" w:type="dxa"/>
          </w:tcPr>
          <w:p w14:paraId="6082667B" w14:textId="4DF73A71" w:rsidR="00C84B6D" w:rsidRPr="00873B6C" w:rsidRDefault="00C84B6D" w:rsidP="00C84B6D">
            <w:pPr>
              <w:pStyle w:val="TAL"/>
            </w:pPr>
            <w:r w:rsidRPr="00873B6C">
              <w:t>Npcf_MBSPolicyAuthorization</w:t>
            </w:r>
          </w:p>
        </w:tc>
        <w:tc>
          <w:tcPr>
            <w:tcW w:w="3686" w:type="dxa"/>
          </w:tcPr>
          <w:p w14:paraId="05A26A15" w14:textId="1E2D28CC" w:rsidR="00C84B6D" w:rsidRPr="00873B6C" w:rsidRDefault="00C84B6D" w:rsidP="00C84B6D">
            <w:pPr>
              <w:pStyle w:val="TAL"/>
            </w:pPr>
            <w:r w:rsidRPr="00873B6C">
              <w:t>This service authorizes an AF / NEF / MBSF request for an MBS service and t creates policies as requested by the authorized AF for the MBS Service.</w:t>
            </w:r>
          </w:p>
        </w:tc>
        <w:tc>
          <w:tcPr>
            <w:tcW w:w="1843" w:type="dxa"/>
          </w:tcPr>
          <w:p w14:paraId="42CC6299" w14:textId="26A196E6" w:rsidR="00C84B6D" w:rsidRPr="00873B6C" w:rsidRDefault="00C84B6D" w:rsidP="00C84B6D">
            <w:pPr>
              <w:pStyle w:val="TAC"/>
            </w:pPr>
            <w:r w:rsidRPr="00873B6C">
              <w:t>TS 23.247 [129]</w:t>
            </w:r>
          </w:p>
        </w:tc>
      </w:tr>
      <w:tr w:rsidR="00A92B4B" w:rsidRPr="00873B6C" w14:paraId="48195C7F" w14:textId="77777777" w:rsidTr="00FD5C4A">
        <w:trPr>
          <w:cantSplit/>
          <w:jc w:val="center"/>
        </w:trPr>
        <w:tc>
          <w:tcPr>
            <w:tcW w:w="2376" w:type="dxa"/>
          </w:tcPr>
          <w:p w14:paraId="6A566A67" w14:textId="12273C90" w:rsidR="00A92B4B" w:rsidRPr="00873B6C" w:rsidRDefault="00A92B4B" w:rsidP="00C84B6D">
            <w:pPr>
              <w:pStyle w:val="TAL"/>
            </w:pPr>
            <w:r w:rsidRPr="00873B6C">
              <w:t>Npcf_PDTQPolicyControl</w:t>
            </w:r>
          </w:p>
        </w:tc>
        <w:tc>
          <w:tcPr>
            <w:tcW w:w="3686" w:type="dxa"/>
          </w:tcPr>
          <w:p w14:paraId="103CD5AD" w14:textId="1C5842FC" w:rsidR="00A92B4B" w:rsidRPr="00873B6C" w:rsidRDefault="00A92B4B" w:rsidP="00C84B6D">
            <w:pPr>
              <w:pStyle w:val="TAL"/>
            </w:pPr>
            <w:r w:rsidRPr="00873B6C">
              <w:t>This PCF service provides negotiation for Planned Data Transfer with QoS requirements policy and optionally notification for the renegotiation to the NF consumers.</w:t>
            </w:r>
          </w:p>
        </w:tc>
        <w:tc>
          <w:tcPr>
            <w:tcW w:w="1843" w:type="dxa"/>
          </w:tcPr>
          <w:p w14:paraId="08DE02AD" w14:textId="67D784A4" w:rsidR="00A92B4B" w:rsidRPr="00873B6C" w:rsidRDefault="00A92B4B" w:rsidP="00C84B6D">
            <w:pPr>
              <w:pStyle w:val="TAC"/>
            </w:pPr>
            <w:r w:rsidRPr="00873B6C">
              <w:t>5.2.5.9</w:t>
            </w:r>
          </w:p>
        </w:tc>
      </w:tr>
    </w:tbl>
    <w:p w14:paraId="6BDE4035" w14:textId="77777777" w:rsidR="00D40151" w:rsidRPr="00873B6C" w:rsidRDefault="00D40151" w:rsidP="00D40151">
      <w:pPr>
        <w:pStyle w:val="FP"/>
      </w:pPr>
    </w:p>
    <w:p w14:paraId="485230A2" w14:textId="77777777" w:rsidR="00D40151" w:rsidRPr="00873B6C" w:rsidRDefault="00D40151" w:rsidP="00D40151">
      <w:pPr>
        <w:pStyle w:val="Heading3"/>
      </w:pPr>
      <w:bookmarkStart w:id="5977" w:name="_CR7_2_5"/>
      <w:bookmarkStart w:id="5978" w:name="_Toc20150255"/>
      <w:bookmarkStart w:id="5979" w:name="_Toc27847063"/>
      <w:bookmarkStart w:id="5980" w:name="_Toc36188196"/>
      <w:bookmarkStart w:id="5981" w:name="_Toc45184109"/>
      <w:bookmarkStart w:id="5982" w:name="_Toc47342951"/>
      <w:bookmarkStart w:id="5983" w:name="_Toc51769653"/>
      <w:bookmarkStart w:id="5984" w:name="_Toc201157831"/>
      <w:bookmarkEnd w:id="5977"/>
      <w:r w:rsidRPr="00873B6C">
        <w:t>7.2.5</w:t>
      </w:r>
      <w:r w:rsidRPr="00873B6C">
        <w:tab/>
        <w:t>UDM Services</w:t>
      </w:r>
      <w:bookmarkEnd w:id="5978"/>
      <w:bookmarkEnd w:id="5979"/>
      <w:bookmarkEnd w:id="5980"/>
      <w:bookmarkEnd w:id="5981"/>
      <w:bookmarkEnd w:id="5982"/>
      <w:bookmarkEnd w:id="5983"/>
      <w:bookmarkEnd w:id="5984"/>
    </w:p>
    <w:p w14:paraId="1420889A" w14:textId="77777777" w:rsidR="00D40151" w:rsidRPr="00873B6C" w:rsidRDefault="00D40151" w:rsidP="00D40151">
      <w:pPr>
        <w:rPr>
          <w:rFonts w:eastAsia="SimSun"/>
          <w:lang w:eastAsia="zh-CN"/>
        </w:rPr>
      </w:pPr>
      <w:r w:rsidRPr="00873B6C">
        <w:rPr>
          <w:rFonts w:eastAsia="SimSun"/>
          <w:lang w:eastAsia="zh-CN"/>
        </w:rPr>
        <w:t>The following NF services are specified for UDM:</w:t>
      </w:r>
    </w:p>
    <w:p w14:paraId="3F2535F1" w14:textId="77777777" w:rsidR="00D40151" w:rsidRPr="00873B6C" w:rsidRDefault="00D40151" w:rsidP="00D40151">
      <w:pPr>
        <w:pStyle w:val="TH"/>
      </w:pPr>
      <w:bookmarkStart w:id="5985" w:name="_CRTable7_2_51"/>
      <w:r w:rsidRPr="00873B6C">
        <w:lastRenderedPageBreak/>
        <w:t xml:space="preserve">Table </w:t>
      </w:r>
      <w:bookmarkEnd w:id="5985"/>
      <w:r w:rsidRPr="00873B6C">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873B6C" w14:paraId="27EDAAF9" w14:textId="77777777" w:rsidTr="00FD5C4A">
        <w:trPr>
          <w:cantSplit/>
          <w:tblHeader/>
          <w:jc w:val="center"/>
        </w:trPr>
        <w:tc>
          <w:tcPr>
            <w:tcW w:w="2376" w:type="dxa"/>
          </w:tcPr>
          <w:p w14:paraId="119328A8" w14:textId="77777777" w:rsidR="00D40151" w:rsidRPr="00873B6C" w:rsidRDefault="00D40151" w:rsidP="009D14FB">
            <w:pPr>
              <w:pStyle w:val="TAH"/>
            </w:pPr>
            <w:r w:rsidRPr="00873B6C">
              <w:t>Service Name</w:t>
            </w:r>
          </w:p>
        </w:tc>
        <w:tc>
          <w:tcPr>
            <w:tcW w:w="3686" w:type="dxa"/>
          </w:tcPr>
          <w:p w14:paraId="558B8128" w14:textId="77777777" w:rsidR="00D40151" w:rsidRPr="00873B6C" w:rsidRDefault="00D40151" w:rsidP="009D14FB">
            <w:pPr>
              <w:pStyle w:val="TAH"/>
            </w:pPr>
            <w:r w:rsidRPr="00873B6C">
              <w:t>Description</w:t>
            </w:r>
          </w:p>
        </w:tc>
        <w:tc>
          <w:tcPr>
            <w:tcW w:w="1843" w:type="dxa"/>
          </w:tcPr>
          <w:p w14:paraId="63E6CA59" w14:textId="3244B3F0" w:rsidR="00D40151" w:rsidRPr="00873B6C" w:rsidRDefault="00D40151" w:rsidP="009D14FB">
            <w:pPr>
              <w:pStyle w:val="TAH"/>
            </w:pPr>
            <w:r w:rsidRPr="00873B6C">
              <w:rPr>
                <w:rFonts w:eastAsia="SimSun"/>
                <w:lang w:eastAsia="zh-CN"/>
              </w:rPr>
              <w:t>Reference in TS 23.502 [3]</w:t>
            </w:r>
            <w:r w:rsidR="00AB1E8D" w:rsidRPr="00873B6C">
              <w:rPr>
                <w:rFonts w:eastAsia="SimSun"/>
                <w:lang w:eastAsia="zh-CN"/>
              </w:rPr>
              <w:t xml:space="preserve"> or indicated other TS</w:t>
            </w:r>
          </w:p>
        </w:tc>
      </w:tr>
      <w:tr w:rsidR="00D40151" w:rsidRPr="00873B6C" w14:paraId="3D7A81AB" w14:textId="77777777" w:rsidTr="00FD5C4A">
        <w:trPr>
          <w:cantSplit/>
          <w:jc w:val="center"/>
        </w:trPr>
        <w:tc>
          <w:tcPr>
            <w:tcW w:w="2376" w:type="dxa"/>
          </w:tcPr>
          <w:p w14:paraId="63C4E8D9" w14:textId="77777777" w:rsidR="00D40151" w:rsidRPr="00873B6C" w:rsidRDefault="00D40151" w:rsidP="009D14FB">
            <w:pPr>
              <w:pStyle w:val="TAL"/>
            </w:pPr>
            <w:bookmarkStart w:id="5986" w:name="_PERM_MCCTEMPBM_CRPT99180006___2" w:colFirst="1" w:colLast="1"/>
            <w:r w:rsidRPr="00873B6C">
              <w:rPr>
                <w:lang w:eastAsia="zh-CN"/>
              </w:rPr>
              <w:t>Nudm_UECM</w:t>
            </w:r>
          </w:p>
        </w:tc>
        <w:tc>
          <w:tcPr>
            <w:tcW w:w="3686" w:type="dxa"/>
          </w:tcPr>
          <w:p w14:paraId="1425B73C" w14:textId="77777777" w:rsidR="00D40151" w:rsidRPr="00873B6C" w:rsidRDefault="00D40151" w:rsidP="009D14FB">
            <w:pPr>
              <w:pStyle w:val="TAL"/>
              <w:ind w:left="290" w:hanging="290"/>
            </w:pPr>
            <w:r w:rsidRPr="00873B6C">
              <w:rPr>
                <w:lang w:eastAsia="zh-CN"/>
              </w:rPr>
              <w:t>1.</w:t>
            </w:r>
            <w:r w:rsidRPr="00873B6C">
              <w:rPr>
                <w:lang w:eastAsia="zh-CN"/>
              </w:rPr>
              <w:tab/>
              <w:t>Provide the NF consumer of the information related to UE's transaction information, e.g. UE's serving NF identifier, UE status, etc.</w:t>
            </w:r>
          </w:p>
          <w:p w14:paraId="05F32994" w14:textId="77777777" w:rsidR="00D40151" w:rsidRPr="00873B6C" w:rsidRDefault="00D40151" w:rsidP="009D14FB">
            <w:pPr>
              <w:pStyle w:val="TAL"/>
              <w:ind w:left="290" w:hanging="290"/>
              <w:rPr>
                <w:lang w:eastAsia="zh-CN"/>
              </w:rPr>
            </w:pPr>
            <w:r w:rsidRPr="00873B6C">
              <w:rPr>
                <w:lang w:eastAsia="zh-CN"/>
              </w:rPr>
              <w:t>2.</w:t>
            </w:r>
            <w:r w:rsidRPr="00873B6C">
              <w:rPr>
                <w:lang w:eastAsia="zh-CN"/>
              </w:rPr>
              <w:tab/>
              <w:t>Allow the NF consumer to register and deregister its information for the serving UE in the UDM.</w:t>
            </w:r>
          </w:p>
          <w:p w14:paraId="5C8ECFC1" w14:textId="77777777" w:rsidR="00D40151" w:rsidRPr="00873B6C" w:rsidRDefault="00D40151" w:rsidP="009D14FB">
            <w:pPr>
              <w:pStyle w:val="TAL"/>
              <w:ind w:left="290" w:hanging="290"/>
            </w:pPr>
            <w:r w:rsidRPr="00873B6C">
              <w:rPr>
                <w:lang w:eastAsia="zh-CN"/>
              </w:rPr>
              <w:t>3.</w:t>
            </w:r>
            <w:r w:rsidRPr="00873B6C">
              <w:rPr>
                <w:lang w:eastAsia="zh-CN"/>
              </w:rPr>
              <w:tab/>
            </w:r>
            <w:r w:rsidRPr="00873B6C">
              <w:t>Allow the NF consumer to update some UE context information in the UDM.</w:t>
            </w:r>
          </w:p>
        </w:tc>
        <w:tc>
          <w:tcPr>
            <w:tcW w:w="1843" w:type="dxa"/>
          </w:tcPr>
          <w:p w14:paraId="6DC519C5" w14:textId="77777777" w:rsidR="00D40151" w:rsidRPr="00873B6C" w:rsidRDefault="00D40151" w:rsidP="009D14FB">
            <w:pPr>
              <w:pStyle w:val="TAC"/>
            </w:pPr>
            <w:r w:rsidRPr="00873B6C">
              <w:rPr>
                <w:lang w:eastAsia="zh-CN"/>
              </w:rPr>
              <w:t>5.2.3.2</w:t>
            </w:r>
          </w:p>
        </w:tc>
      </w:tr>
      <w:tr w:rsidR="00D40151" w:rsidRPr="00873B6C" w14:paraId="4A9A5BBA" w14:textId="77777777" w:rsidTr="00FD5C4A">
        <w:trPr>
          <w:cantSplit/>
          <w:jc w:val="center"/>
        </w:trPr>
        <w:tc>
          <w:tcPr>
            <w:tcW w:w="2376" w:type="dxa"/>
          </w:tcPr>
          <w:p w14:paraId="1FCD5491" w14:textId="77777777" w:rsidR="00D40151" w:rsidRPr="00873B6C" w:rsidRDefault="00D40151" w:rsidP="009D14FB">
            <w:pPr>
              <w:pStyle w:val="TAL"/>
              <w:rPr>
                <w:lang w:eastAsia="zh-CN"/>
              </w:rPr>
            </w:pPr>
            <w:bookmarkStart w:id="5987" w:name="_PERM_MCCTEMPBM_CRPT99180007___2" w:colFirst="1" w:colLast="1"/>
            <w:bookmarkEnd w:id="5986"/>
            <w:r w:rsidRPr="00873B6C">
              <w:rPr>
                <w:lang w:eastAsia="zh-CN"/>
              </w:rPr>
              <w:t>Nudm_SDM</w:t>
            </w:r>
          </w:p>
        </w:tc>
        <w:tc>
          <w:tcPr>
            <w:tcW w:w="3686" w:type="dxa"/>
          </w:tcPr>
          <w:p w14:paraId="2331F12E" w14:textId="77777777" w:rsidR="00D40151" w:rsidRPr="00873B6C" w:rsidRDefault="00D40151" w:rsidP="009D14FB">
            <w:pPr>
              <w:pStyle w:val="TAL"/>
              <w:ind w:left="290" w:hanging="290"/>
              <w:rPr>
                <w:lang w:eastAsia="zh-CN"/>
              </w:rPr>
            </w:pPr>
            <w:r w:rsidRPr="00873B6C">
              <w:rPr>
                <w:lang w:eastAsia="zh-CN"/>
              </w:rPr>
              <w:t>1.</w:t>
            </w:r>
            <w:r w:rsidRPr="00873B6C">
              <w:rPr>
                <w:lang w:eastAsia="zh-CN"/>
              </w:rPr>
              <w:tab/>
              <w:t>Allow NF consumer to retrieve user subscription data when necessary.</w:t>
            </w:r>
          </w:p>
          <w:p w14:paraId="4DFE3585" w14:textId="77777777" w:rsidR="00D40151" w:rsidRPr="00873B6C" w:rsidRDefault="00D40151" w:rsidP="009D14FB">
            <w:pPr>
              <w:pStyle w:val="TAL"/>
              <w:ind w:left="290" w:hanging="290"/>
              <w:rPr>
                <w:lang w:eastAsia="zh-CN"/>
              </w:rPr>
            </w:pPr>
            <w:r w:rsidRPr="00873B6C">
              <w:rPr>
                <w:lang w:eastAsia="zh-CN"/>
              </w:rPr>
              <w:t>2.</w:t>
            </w:r>
            <w:r w:rsidRPr="00873B6C">
              <w:rPr>
                <w:lang w:eastAsia="zh-CN"/>
              </w:rPr>
              <w:tab/>
              <w:t>Provide updated user subscriber data to the subscribed NF consumer.</w:t>
            </w:r>
          </w:p>
        </w:tc>
        <w:tc>
          <w:tcPr>
            <w:tcW w:w="1843" w:type="dxa"/>
          </w:tcPr>
          <w:p w14:paraId="2C5817EB" w14:textId="77777777" w:rsidR="00D40151" w:rsidRPr="00873B6C" w:rsidRDefault="00D40151" w:rsidP="009D14FB">
            <w:pPr>
              <w:pStyle w:val="TAC"/>
              <w:rPr>
                <w:lang w:eastAsia="zh-CN"/>
              </w:rPr>
            </w:pPr>
            <w:r w:rsidRPr="00873B6C">
              <w:rPr>
                <w:lang w:eastAsia="zh-CN"/>
              </w:rPr>
              <w:t>5.2.3.3</w:t>
            </w:r>
          </w:p>
        </w:tc>
      </w:tr>
      <w:tr w:rsidR="00D40151" w:rsidRPr="00873B6C" w14:paraId="670C5789" w14:textId="77777777" w:rsidTr="00FD5C4A">
        <w:trPr>
          <w:cantSplit/>
          <w:jc w:val="center"/>
        </w:trPr>
        <w:tc>
          <w:tcPr>
            <w:tcW w:w="2376" w:type="dxa"/>
          </w:tcPr>
          <w:p w14:paraId="1EBDC1BE" w14:textId="77777777" w:rsidR="00D40151" w:rsidRPr="00873B6C" w:rsidRDefault="00D40151" w:rsidP="009D14FB">
            <w:pPr>
              <w:pStyle w:val="TAL"/>
              <w:rPr>
                <w:lang w:eastAsia="zh-CN"/>
              </w:rPr>
            </w:pPr>
            <w:bookmarkStart w:id="5988" w:name="_PERM_MCCTEMPBM_CRPT99180008___2" w:colFirst="1" w:colLast="1"/>
            <w:bookmarkEnd w:id="5987"/>
            <w:r w:rsidRPr="00873B6C">
              <w:rPr>
                <w:lang w:eastAsia="zh-CN"/>
              </w:rPr>
              <w:t>Nudm_UEAuthentication</w:t>
            </w:r>
          </w:p>
        </w:tc>
        <w:tc>
          <w:tcPr>
            <w:tcW w:w="3686" w:type="dxa"/>
          </w:tcPr>
          <w:p w14:paraId="70BE6153" w14:textId="77777777" w:rsidR="00D40151" w:rsidRPr="00873B6C" w:rsidRDefault="00D40151" w:rsidP="009D14FB">
            <w:pPr>
              <w:pStyle w:val="TAL"/>
              <w:ind w:left="290" w:hanging="290"/>
              <w:rPr>
                <w:lang w:eastAsia="zh-CN"/>
              </w:rPr>
            </w:pPr>
            <w:r w:rsidRPr="00873B6C">
              <w:rPr>
                <w:lang w:eastAsia="zh-CN"/>
              </w:rPr>
              <w:t>1.</w:t>
            </w:r>
            <w:r w:rsidRPr="00873B6C">
              <w:rPr>
                <w:lang w:eastAsia="zh-CN"/>
              </w:rPr>
              <w:tab/>
              <w:t>Provide updated authentication related subscriber data to the subscribed NF consumer.</w:t>
            </w:r>
          </w:p>
          <w:p w14:paraId="52A89C0C" w14:textId="77777777" w:rsidR="00D40151" w:rsidRPr="00873B6C" w:rsidRDefault="00D40151" w:rsidP="009D14FB">
            <w:pPr>
              <w:pStyle w:val="TAL"/>
              <w:ind w:left="290" w:hanging="290"/>
              <w:rPr>
                <w:lang w:eastAsia="zh-CN"/>
              </w:rPr>
            </w:pPr>
            <w:r w:rsidRPr="00873B6C">
              <w:rPr>
                <w:lang w:eastAsia="zh-CN"/>
              </w:rPr>
              <w:t>2.</w:t>
            </w:r>
            <w:r w:rsidRPr="00873B6C">
              <w:rPr>
                <w:lang w:eastAsia="zh-CN"/>
              </w:rPr>
              <w:tab/>
              <w:t>For AKA based authentication, this operation can be also used to recover from security context synchronization failure situations.</w:t>
            </w:r>
          </w:p>
          <w:p w14:paraId="29774B9B" w14:textId="77777777" w:rsidR="00D40151" w:rsidRPr="00873B6C" w:rsidRDefault="00D40151" w:rsidP="009D14FB">
            <w:pPr>
              <w:pStyle w:val="TAL"/>
              <w:ind w:left="290" w:hanging="290"/>
              <w:rPr>
                <w:lang w:eastAsia="zh-CN"/>
              </w:rPr>
            </w:pPr>
            <w:r w:rsidRPr="00873B6C">
              <w:rPr>
                <w:lang w:eastAsia="zh-CN"/>
              </w:rPr>
              <w:t>3.</w:t>
            </w:r>
            <w:r w:rsidRPr="00873B6C">
              <w:rPr>
                <w:lang w:eastAsia="zh-CN"/>
              </w:rPr>
              <w:tab/>
              <w:t>Used for being informed about the result of an authentication procedure with a UE.</w:t>
            </w:r>
          </w:p>
        </w:tc>
        <w:tc>
          <w:tcPr>
            <w:tcW w:w="1843" w:type="dxa"/>
          </w:tcPr>
          <w:p w14:paraId="609C4B94" w14:textId="77777777" w:rsidR="00D40151" w:rsidRPr="00873B6C" w:rsidRDefault="00D40151" w:rsidP="009D14FB">
            <w:pPr>
              <w:pStyle w:val="TAC"/>
              <w:rPr>
                <w:lang w:eastAsia="zh-CN"/>
              </w:rPr>
            </w:pPr>
            <w:r w:rsidRPr="00873B6C">
              <w:rPr>
                <w:lang w:eastAsia="zh-CN"/>
              </w:rPr>
              <w:t>5.2.3.4</w:t>
            </w:r>
          </w:p>
        </w:tc>
      </w:tr>
      <w:tr w:rsidR="00D40151" w:rsidRPr="00873B6C" w14:paraId="0A34375C" w14:textId="77777777" w:rsidTr="00FD5C4A">
        <w:trPr>
          <w:cantSplit/>
          <w:jc w:val="center"/>
        </w:trPr>
        <w:tc>
          <w:tcPr>
            <w:tcW w:w="2376" w:type="dxa"/>
          </w:tcPr>
          <w:p w14:paraId="5F871CC0" w14:textId="77777777" w:rsidR="00D40151" w:rsidRPr="00873B6C" w:rsidRDefault="00D40151" w:rsidP="009D14FB">
            <w:pPr>
              <w:pStyle w:val="TAL"/>
              <w:rPr>
                <w:lang w:eastAsia="zh-CN"/>
              </w:rPr>
            </w:pPr>
            <w:bookmarkStart w:id="5989" w:name="_PERM_MCCTEMPBM_CRPT99180009___2" w:colFirst="1" w:colLast="1"/>
            <w:bookmarkEnd w:id="5988"/>
            <w:r w:rsidRPr="00873B6C">
              <w:rPr>
                <w:lang w:eastAsia="zh-CN"/>
              </w:rPr>
              <w:t>Nudm_EventExposure</w:t>
            </w:r>
          </w:p>
        </w:tc>
        <w:tc>
          <w:tcPr>
            <w:tcW w:w="3686" w:type="dxa"/>
          </w:tcPr>
          <w:p w14:paraId="5D66E6DD" w14:textId="77777777" w:rsidR="00D40151" w:rsidRPr="00873B6C" w:rsidRDefault="00D40151" w:rsidP="009D14FB">
            <w:pPr>
              <w:pStyle w:val="TAL"/>
              <w:ind w:left="290" w:hanging="290"/>
              <w:rPr>
                <w:lang w:eastAsia="zh-CN"/>
              </w:rPr>
            </w:pPr>
            <w:r w:rsidRPr="00873B6C">
              <w:rPr>
                <w:lang w:eastAsia="zh-CN"/>
              </w:rPr>
              <w:t>1.</w:t>
            </w:r>
            <w:r w:rsidRPr="00873B6C">
              <w:rPr>
                <w:lang w:eastAsia="zh-CN"/>
              </w:rPr>
              <w:tab/>
              <w:t>Allow NF consumer to subscribe to receive an event.</w:t>
            </w:r>
          </w:p>
          <w:p w14:paraId="4FB38274" w14:textId="77777777" w:rsidR="00D40151" w:rsidRPr="00873B6C" w:rsidRDefault="00D40151" w:rsidP="009D14FB">
            <w:pPr>
              <w:pStyle w:val="TAL"/>
              <w:ind w:left="290" w:hanging="290"/>
              <w:rPr>
                <w:lang w:eastAsia="zh-CN"/>
              </w:rPr>
            </w:pPr>
            <w:r w:rsidRPr="00873B6C">
              <w:rPr>
                <w:lang w:eastAsia="zh-CN"/>
              </w:rPr>
              <w:t>2.</w:t>
            </w:r>
            <w:r w:rsidRPr="00873B6C">
              <w:rPr>
                <w:lang w:eastAsia="zh-CN"/>
              </w:rPr>
              <w:tab/>
              <w:t>Provide monitoring indication of the event to the subscribed NF consumer.</w:t>
            </w:r>
          </w:p>
        </w:tc>
        <w:tc>
          <w:tcPr>
            <w:tcW w:w="1843" w:type="dxa"/>
          </w:tcPr>
          <w:p w14:paraId="34A071A3" w14:textId="77777777" w:rsidR="00D40151" w:rsidRPr="00873B6C" w:rsidRDefault="00D40151" w:rsidP="009D14FB">
            <w:pPr>
              <w:pStyle w:val="TAC"/>
              <w:rPr>
                <w:lang w:eastAsia="zh-CN"/>
              </w:rPr>
            </w:pPr>
            <w:r w:rsidRPr="00873B6C">
              <w:rPr>
                <w:lang w:eastAsia="zh-CN"/>
              </w:rPr>
              <w:t>5.2.3.5</w:t>
            </w:r>
          </w:p>
        </w:tc>
      </w:tr>
      <w:bookmarkEnd w:id="5989"/>
      <w:tr w:rsidR="00D40151" w:rsidRPr="00873B6C" w14:paraId="70FC59E0" w14:textId="77777777" w:rsidTr="00FD5C4A">
        <w:trPr>
          <w:cantSplit/>
          <w:jc w:val="center"/>
        </w:trPr>
        <w:tc>
          <w:tcPr>
            <w:tcW w:w="2376" w:type="dxa"/>
          </w:tcPr>
          <w:p w14:paraId="103C804B" w14:textId="77777777" w:rsidR="00D40151" w:rsidRPr="00873B6C" w:rsidRDefault="00D40151" w:rsidP="009D14FB">
            <w:pPr>
              <w:pStyle w:val="TAL"/>
              <w:rPr>
                <w:lang w:eastAsia="zh-CN"/>
              </w:rPr>
            </w:pPr>
            <w:r w:rsidRPr="00873B6C">
              <w:rPr>
                <w:lang w:eastAsia="zh-CN"/>
              </w:rPr>
              <w:t>Nudm_ParameterProvision</w:t>
            </w:r>
          </w:p>
        </w:tc>
        <w:tc>
          <w:tcPr>
            <w:tcW w:w="3686" w:type="dxa"/>
          </w:tcPr>
          <w:p w14:paraId="7C1275BD" w14:textId="77777777" w:rsidR="00D40151" w:rsidRPr="00873B6C" w:rsidRDefault="00D40151" w:rsidP="009D14FB">
            <w:pPr>
              <w:pStyle w:val="TAL"/>
              <w:ind w:left="290" w:hanging="290"/>
              <w:rPr>
                <w:lang w:eastAsia="zh-CN"/>
              </w:rPr>
            </w:pPr>
            <w:bookmarkStart w:id="5990" w:name="_PERM_MCCTEMPBM_CRPT99180010___2"/>
            <w:r w:rsidRPr="00873B6C">
              <w:rPr>
                <w:lang w:eastAsia="zh-CN"/>
              </w:rPr>
              <w:t>1.</w:t>
            </w:r>
            <w:r w:rsidRPr="00873B6C">
              <w:rPr>
                <w:lang w:eastAsia="zh-CN"/>
              </w:rPr>
              <w:tab/>
              <w:t>To provision information which can be used for the UE in 5GS.</w:t>
            </w:r>
            <w:bookmarkEnd w:id="5990"/>
          </w:p>
        </w:tc>
        <w:tc>
          <w:tcPr>
            <w:tcW w:w="1843" w:type="dxa"/>
          </w:tcPr>
          <w:p w14:paraId="6B3BD236" w14:textId="77777777" w:rsidR="00D40151" w:rsidRPr="00873B6C" w:rsidRDefault="00D40151" w:rsidP="009D14FB">
            <w:pPr>
              <w:pStyle w:val="TAC"/>
              <w:rPr>
                <w:lang w:eastAsia="zh-CN"/>
              </w:rPr>
            </w:pPr>
            <w:r w:rsidRPr="00873B6C">
              <w:rPr>
                <w:lang w:eastAsia="zh-CN"/>
              </w:rPr>
              <w:t>5.2.3.6</w:t>
            </w:r>
          </w:p>
        </w:tc>
      </w:tr>
      <w:tr w:rsidR="00D40151" w:rsidRPr="00873B6C" w14:paraId="6FF5361F" w14:textId="77777777" w:rsidTr="00FD5C4A">
        <w:trPr>
          <w:cantSplit/>
          <w:jc w:val="center"/>
        </w:trPr>
        <w:tc>
          <w:tcPr>
            <w:tcW w:w="2376" w:type="dxa"/>
          </w:tcPr>
          <w:p w14:paraId="1C10D4BF" w14:textId="77777777" w:rsidR="00D40151" w:rsidRPr="00873B6C" w:rsidRDefault="00D40151" w:rsidP="009D14FB">
            <w:pPr>
              <w:pStyle w:val="TAL"/>
              <w:rPr>
                <w:lang w:eastAsia="zh-CN"/>
              </w:rPr>
            </w:pPr>
            <w:r w:rsidRPr="00873B6C">
              <w:rPr>
                <w:lang w:eastAsia="zh-CN"/>
              </w:rPr>
              <w:t>Nudm_NIDDAuthorisation</w:t>
            </w:r>
          </w:p>
        </w:tc>
        <w:tc>
          <w:tcPr>
            <w:tcW w:w="3686" w:type="dxa"/>
          </w:tcPr>
          <w:p w14:paraId="4CBE6C4B" w14:textId="77777777" w:rsidR="00D40151" w:rsidRPr="00873B6C" w:rsidRDefault="00D40151" w:rsidP="009D14FB">
            <w:pPr>
              <w:pStyle w:val="TAL"/>
              <w:ind w:left="290" w:hanging="290"/>
              <w:rPr>
                <w:lang w:eastAsia="zh-CN"/>
              </w:rPr>
            </w:pPr>
            <w:bookmarkStart w:id="5991" w:name="_PERM_MCCTEMPBM_CRPT99180011___2"/>
            <w:r w:rsidRPr="00873B6C">
              <w:rPr>
                <w:lang w:eastAsia="zh-CN"/>
              </w:rPr>
              <w:t>1.</w:t>
            </w:r>
            <w:r w:rsidRPr="00873B6C">
              <w:rPr>
                <w:lang w:eastAsia="zh-CN"/>
              </w:rPr>
              <w:tab/>
              <w:t>To authorise an NIDD configuration request for the received External Group Identifier or GPSI.</w:t>
            </w:r>
            <w:bookmarkEnd w:id="5991"/>
          </w:p>
        </w:tc>
        <w:tc>
          <w:tcPr>
            <w:tcW w:w="1843" w:type="dxa"/>
          </w:tcPr>
          <w:p w14:paraId="404D48F8" w14:textId="77777777" w:rsidR="00D40151" w:rsidRPr="00873B6C" w:rsidRDefault="00D40151" w:rsidP="009D14FB">
            <w:pPr>
              <w:pStyle w:val="TAC"/>
              <w:rPr>
                <w:lang w:eastAsia="zh-CN"/>
              </w:rPr>
            </w:pPr>
            <w:r w:rsidRPr="00873B6C">
              <w:rPr>
                <w:lang w:eastAsia="zh-CN"/>
              </w:rPr>
              <w:t>5.2.3.7</w:t>
            </w:r>
          </w:p>
        </w:tc>
      </w:tr>
      <w:tr w:rsidR="00616F73" w:rsidRPr="00873B6C" w14:paraId="2285D0F6" w14:textId="77777777" w:rsidTr="00FD5C4A">
        <w:trPr>
          <w:cantSplit/>
          <w:jc w:val="center"/>
        </w:trPr>
        <w:tc>
          <w:tcPr>
            <w:tcW w:w="2376" w:type="dxa"/>
          </w:tcPr>
          <w:p w14:paraId="7BFB7AB5" w14:textId="3FC621CA" w:rsidR="00616F73" w:rsidRPr="00873B6C" w:rsidRDefault="00616F73" w:rsidP="009D14FB">
            <w:pPr>
              <w:pStyle w:val="TAL"/>
              <w:rPr>
                <w:lang w:eastAsia="zh-CN"/>
              </w:rPr>
            </w:pPr>
            <w:r w:rsidRPr="00873B6C">
              <w:rPr>
                <w:lang w:eastAsia="zh-CN"/>
              </w:rPr>
              <w:t>Nudm_ ServiceSpecificAuthorisation</w:t>
            </w:r>
          </w:p>
        </w:tc>
        <w:tc>
          <w:tcPr>
            <w:tcW w:w="3686" w:type="dxa"/>
          </w:tcPr>
          <w:p w14:paraId="799F6A17" w14:textId="34CF8DFE" w:rsidR="00616F73" w:rsidRPr="00873B6C" w:rsidRDefault="00616F73" w:rsidP="009D14FB">
            <w:pPr>
              <w:pStyle w:val="TAL"/>
              <w:ind w:left="290" w:hanging="290"/>
              <w:rPr>
                <w:lang w:eastAsia="zh-CN"/>
              </w:rPr>
            </w:pPr>
            <w:bookmarkStart w:id="5992" w:name="_PERM_MCCTEMPBM_CRPT99180012___2"/>
            <w:r w:rsidRPr="00873B6C">
              <w:rPr>
                <w:lang w:eastAsia="zh-CN"/>
              </w:rPr>
              <w:t>1.</w:t>
            </w:r>
            <w:r w:rsidRPr="00873B6C">
              <w:rPr>
                <w:lang w:eastAsia="zh-CN"/>
              </w:rPr>
              <w:tab/>
              <w:t>To authorise for a specific service configuration.</w:t>
            </w:r>
            <w:bookmarkEnd w:id="5992"/>
          </w:p>
        </w:tc>
        <w:tc>
          <w:tcPr>
            <w:tcW w:w="1843" w:type="dxa"/>
          </w:tcPr>
          <w:p w14:paraId="73B5DA54" w14:textId="2E919614" w:rsidR="00616F73" w:rsidRPr="00873B6C" w:rsidRDefault="00616F73" w:rsidP="009D14FB">
            <w:pPr>
              <w:pStyle w:val="TAC"/>
              <w:rPr>
                <w:lang w:eastAsia="zh-CN"/>
              </w:rPr>
            </w:pPr>
            <w:r w:rsidRPr="00873B6C">
              <w:rPr>
                <w:lang w:eastAsia="zh-CN"/>
              </w:rPr>
              <w:t>5.2.3.8</w:t>
            </w:r>
          </w:p>
        </w:tc>
      </w:tr>
      <w:tr w:rsidR="00183D3D" w:rsidRPr="00873B6C" w14:paraId="57481DEA" w14:textId="77777777" w:rsidTr="00FD5C4A">
        <w:trPr>
          <w:cantSplit/>
          <w:jc w:val="center"/>
        </w:trPr>
        <w:tc>
          <w:tcPr>
            <w:tcW w:w="2376" w:type="dxa"/>
          </w:tcPr>
          <w:p w14:paraId="6E84E589" w14:textId="1ED9B527" w:rsidR="00183D3D" w:rsidRPr="00873B6C" w:rsidRDefault="00183D3D" w:rsidP="009D14FB">
            <w:pPr>
              <w:pStyle w:val="TAL"/>
              <w:rPr>
                <w:lang w:eastAsia="zh-CN"/>
              </w:rPr>
            </w:pPr>
            <w:r w:rsidRPr="00873B6C">
              <w:rPr>
                <w:lang w:eastAsia="zh-CN"/>
              </w:rPr>
              <w:t>Nudm_ReportSMDeliveryStatus</w:t>
            </w:r>
          </w:p>
        </w:tc>
        <w:tc>
          <w:tcPr>
            <w:tcW w:w="3686" w:type="dxa"/>
          </w:tcPr>
          <w:p w14:paraId="7B66B5D2" w14:textId="5F2F7C15" w:rsidR="00183D3D" w:rsidRPr="00873B6C" w:rsidRDefault="00183D3D" w:rsidP="009D14FB">
            <w:pPr>
              <w:pStyle w:val="TAL"/>
              <w:ind w:left="290" w:hanging="290"/>
              <w:rPr>
                <w:lang w:eastAsia="zh-CN"/>
              </w:rPr>
            </w:pPr>
            <w:bookmarkStart w:id="5993" w:name="_PERM_MCCTEMPBM_CRPT40600013___2"/>
            <w:r w:rsidRPr="00873B6C">
              <w:rPr>
                <w:lang w:eastAsia="zh-CN"/>
              </w:rPr>
              <w:t>1.</w:t>
            </w:r>
            <w:r w:rsidRPr="00873B6C">
              <w:rPr>
                <w:lang w:eastAsia="zh-CN"/>
              </w:rPr>
              <w:tab/>
              <w:t>To report the SM-Delivery Status to UDM.</w:t>
            </w:r>
            <w:bookmarkEnd w:id="5993"/>
          </w:p>
        </w:tc>
        <w:tc>
          <w:tcPr>
            <w:tcW w:w="1843" w:type="dxa"/>
          </w:tcPr>
          <w:p w14:paraId="2E5A3FA3" w14:textId="6315AAE3" w:rsidR="00183D3D" w:rsidRPr="00873B6C" w:rsidRDefault="00183D3D" w:rsidP="009D14FB">
            <w:pPr>
              <w:pStyle w:val="TAC"/>
              <w:rPr>
                <w:lang w:eastAsia="zh-CN"/>
              </w:rPr>
            </w:pPr>
            <w:r w:rsidRPr="00873B6C">
              <w:rPr>
                <w:lang w:eastAsia="zh-CN"/>
              </w:rPr>
              <w:t>5.2.3.9</w:t>
            </w:r>
          </w:p>
        </w:tc>
      </w:tr>
      <w:tr w:rsidR="00AB1E8D" w:rsidRPr="00873B6C" w14:paraId="0CA8D12A" w14:textId="77777777" w:rsidTr="00FD5C4A">
        <w:trPr>
          <w:cantSplit/>
          <w:jc w:val="center"/>
        </w:trPr>
        <w:tc>
          <w:tcPr>
            <w:tcW w:w="2376" w:type="dxa"/>
          </w:tcPr>
          <w:p w14:paraId="02BFF2E9" w14:textId="6A8B9B79" w:rsidR="00AB1E8D" w:rsidRPr="00873B6C" w:rsidRDefault="00AB1E8D" w:rsidP="009D14FB">
            <w:pPr>
              <w:pStyle w:val="TAL"/>
              <w:rPr>
                <w:lang w:eastAsia="zh-CN"/>
              </w:rPr>
            </w:pPr>
            <w:r w:rsidRPr="00873B6C">
              <w:rPr>
                <w:lang w:eastAsia="zh-CN"/>
              </w:rPr>
              <w:t>Nudm_MT</w:t>
            </w:r>
          </w:p>
        </w:tc>
        <w:tc>
          <w:tcPr>
            <w:tcW w:w="3686" w:type="dxa"/>
          </w:tcPr>
          <w:p w14:paraId="18D677B7" w14:textId="7CEF1D24" w:rsidR="00AB1E8D" w:rsidRPr="00873B6C" w:rsidRDefault="00AB1E8D" w:rsidP="009D14FB">
            <w:pPr>
              <w:pStyle w:val="TAL"/>
              <w:ind w:left="290" w:hanging="290"/>
              <w:rPr>
                <w:lang w:eastAsia="zh-CN"/>
              </w:rPr>
            </w:pPr>
            <w:bookmarkStart w:id="5994" w:name="_PERM_MCCTEMPBM_CRPT38860019___2"/>
            <w:r w:rsidRPr="00873B6C">
              <w:rPr>
                <w:lang w:eastAsia="zh-CN"/>
              </w:rPr>
              <w:t>1.</w:t>
            </w:r>
            <w:r w:rsidRPr="00873B6C">
              <w:rPr>
                <w:lang w:eastAsia="zh-CN"/>
              </w:rPr>
              <w:tab/>
              <w:t>UE state and domain selection info for terminating services.</w:t>
            </w:r>
            <w:bookmarkEnd w:id="5994"/>
          </w:p>
        </w:tc>
        <w:tc>
          <w:tcPr>
            <w:tcW w:w="1843" w:type="dxa"/>
          </w:tcPr>
          <w:p w14:paraId="76BB5B41" w14:textId="48CCFD66" w:rsidR="00AB1E8D" w:rsidRPr="00873B6C" w:rsidRDefault="00AB1E8D" w:rsidP="009D14FB">
            <w:pPr>
              <w:pStyle w:val="TAC"/>
              <w:rPr>
                <w:lang w:eastAsia="zh-CN"/>
              </w:rPr>
            </w:pPr>
            <w:r w:rsidRPr="00873B6C">
              <w:rPr>
                <w:lang w:eastAsia="zh-CN"/>
              </w:rPr>
              <w:t>TS 23.632 [102]</w:t>
            </w:r>
          </w:p>
        </w:tc>
      </w:tr>
      <w:tr w:rsidR="00CD22D1" w:rsidRPr="00873B6C" w14:paraId="0D8DE382" w14:textId="77777777" w:rsidTr="00FD5C4A">
        <w:trPr>
          <w:cantSplit/>
          <w:jc w:val="center"/>
        </w:trPr>
        <w:tc>
          <w:tcPr>
            <w:tcW w:w="2376" w:type="dxa"/>
          </w:tcPr>
          <w:p w14:paraId="69592E96" w14:textId="56E211C9" w:rsidR="00CD22D1" w:rsidRPr="00873B6C" w:rsidRDefault="00CD22D1" w:rsidP="00CD22D1">
            <w:pPr>
              <w:pStyle w:val="TAL"/>
              <w:rPr>
                <w:lang w:eastAsia="zh-CN"/>
              </w:rPr>
            </w:pPr>
            <w:r w:rsidRPr="00873B6C">
              <w:rPr>
                <w:lang w:eastAsia="zh-CN"/>
              </w:rPr>
              <w:t>Nudm_UEIdentifier</w:t>
            </w:r>
          </w:p>
        </w:tc>
        <w:tc>
          <w:tcPr>
            <w:tcW w:w="3686" w:type="dxa"/>
          </w:tcPr>
          <w:p w14:paraId="1D5D3019" w14:textId="0D6C2A5E" w:rsidR="00CD22D1" w:rsidRPr="00873B6C" w:rsidRDefault="00CD22D1" w:rsidP="00CD22D1">
            <w:pPr>
              <w:pStyle w:val="TAL"/>
              <w:ind w:left="290" w:hanging="290"/>
              <w:rPr>
                <w:lang w:eastAsia="zh-CN"/>
              </w:rPr>
            </w:pPr>
            <w:bookmarkStart w:id="5995" w:name="_PERM_MCCTEMPBM_CRPT37790015___2"/>
            <w:r w:rsidRPr="00873B6C">
              <w:rPr>
                <w:lang w:eastAsia="zh-CN"/>
              </w:rPr>
              <w:t>1.</w:t>
            </w:r>
            <w:r w:rsidRPr="00873B6C">
              <w:rPr>
                <w:lang w:eastAsia="zh-CN"/>
              </w:rPr>
              <w:tab/>
              <w:t>De-conceal the SUCI of a (Remote) UE to its SUPI</w:t>
            </w:r>
            <w:bookmarkEnd w:id="5995"/>
          </w:p>
        </w:tc>
        <w:tc>
          <w:tcPr>
            <w:tcW w:w="1843" w:type="dxa"/>
          </w:tcPr>
          <w:p w14:paraId="1B0AEF60" w14:textId="660D35D7" w:rsidR="00CD22D1" w:rsidRPr="00873B6C" w:rsidRDefault="00CD22D1" w:rsidP="00CD22D1">
            <w:pPr>
              <w:pStyle w:val="TAC"/>
              <w:rPr>
                <w:lang w:eastAsia="zh-CN"/>
              </w:rPr>
            </w:pPr>
            <w:r w:rsidRPr="00873B6C">
              <w:rPr>
                <w:lang w:eastAsia="zh-CN"/>
              </w:rPr>
              <w:t>Clause 7.4.3 of TS 33.503 [194]</w:t>
            </w:r>
          </w:p>
        </w:tc>
      </w:tr>
    </w:tbl>
    <w:p w14:paraId="2D2A2FE9" w14:textId="77777777" w:rsidR="00D40151" w:rsidRPr="00873B6C" w:rsidRDefault="00D40151" w:rsidP="00D40151">
      <w:pPr>
        <w:pStyle w:val="FP"/>
      </w:pPr>
    </w:p>
    <w:p w14:paraId="467CBFCE" w14:textId="77777777" w:rsidR="00D40151" w:rsidRPr="00873B6C" w:rsidRDefault="00D40151" w:rsidP="00D40151">
      <w:pPr>
        <w:pStyle w:val="Heading3"/>
      </w:pPr>
      <w:bookmarkStart w:id="5996" w:name="_CR7_2_6"/>
      <w:bookmarkStart w:id="5997" w:name="_Toc20150256"/>
      <w:bookmarkStart w:id="5998" w:name="_Toc27847064"/>
      <w:bookmarkStart w:id="5999" w:name="_Toc36188197"/>
      <w:bookmarkStart w:id="6000" w:name="_Toc45184110"/>
      <w:bookmarkStart w:id="6001" w:name="_Toc47342952"/>
      <w:bookmarkStart w:id="6002" w:name="_Toc51769654"/>
      <w:bookmarkStart w:id="6003" w:name="_Toc201157832"/>
      <w:bookmarkEnd w:id="5996"/>
      <w:r w:rsidRPr="00873B6C">
        <w:t>7.2.6</w:t>
      </w:r>
      <w:r w:rsidRPr="00873B6C">
        <w:tab/>
        <w:t>NRF Services</w:t>
      </w:r>
      <w:bookmarkEnd w:id="5997"/>
      <w:bookmarkEnd w:id="5998"/>
      <w:bookmarkEnd w:id="5999"/>
      <w:bookmarkEnd w:id="6000"/>
      <w:bookmarkEnd w:id="6001"/>
      <w:bookmarkEnd w:id="6002"/>
      <w:bookmarkEnd w:id="6003"/>
    </w:p>
    <w:p w14:paraId="3AD72A96" w14:textId="77777777" w:rsidR="00D40151" w:rsidRPr="00873B6C" w:rsidRDefault="00D40151" w:rsidP="00D40151">
      <w:pPr>
        <w:rPr>
          <w:rFonts w:eastAsia="SimSun"/>
          <w:lang w:eastAsia="zh-CN"/>
        </w:rPr>
      </w:pPr>
      <w:r w:rsidRPr="00873B6C">
        <w:rPr>
          <w:rFonts w:eastAsia="SimSun"/>
          <w:lang w:eastAsia="zh-CN"/>
        </w:rPr>
        <w:t>The following NF services are specified for NRF:</w:t>
      </w:r>
    </w:p>
    <w:p w14:paraId="6B8993C8" w14:textId="77777777" w:rsidR="00D40151" w:rsidRPr="00873B6C" w:rsidRDefault="00D40151" w:rsidP="00D40151">
      <w:pPr>
        <w:pStyle w:val="TH"/>
      </w:pPr>
      <w:bookmarkStart w:id="6004" w:name="_CRTable7_2_61"/>
      <w:r w:rsidRPr="00873B6C">
        <w:lastRenderedPageBreak/>
        <w:t xml:space="preserve">Table </w:t>
      </w:r>
      <w:bookmarkEnd w:id="6004"/>
      <w:r w:rsidRPr="00873B6C">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2E7A28C" w14:textId="77777777" w:rsidTr="00FD5C4A">
        <w:trPr>
          <w:cantSplit/>
          <w:tblHeader/>
          <w:jc w:val="center"/>
        </w:trPr>
        <w:tc>
          <w:tcPr>
            <w:tcW w:w="2235" w:type="dxa"/>
          </w:tcPr>
          <w:p w14:paraId="17F750F3" w14:textId="77777777" w:rsidR="00D40151" w:rsidRPr="00873B6C" w:rsidRDefault="00D40151" w:rsidP="009D14FB">
            <w:pPr>
              <w:pStyle w:val="TAH"/>
            </w:pPr>
            <w:r w:rsidRPr="00873B6C">
              <w:t>Service Name</w:t>
            </w:r>
          </w:p>
        </w:tc>
        <w:tc>
          <w:tcPr>
            <w:tcW w:w="3827" w:type="dxa"/>
          </w:tcPr>
          <w:p w14:paraId="05E94655" w14:textId="77777777" w:rsidR="00D40151" w:rsidRPr="00873B6C" w:rsidRDefault="00D40151" w:rsidP="009D14FB">
            <w:pPr>
              <w:pStyle w:val="TAH"/>
            </w:pPr>
            <w:r w:rsidRPr="00873B6C">
              <w:t>Description</w:t>
            </w:r>
          </w:p>
        </w:tc>
        <w:tc>
          <w:tcPr>
            <w:tcW w:w="1843" w:type="dxa"/>
          </w:tcPr>
          <w:p w14:paraId="613BEC5D" w14:textId="77777777" w:rsidR="00D40151" w:rsidRPr="00873B6C" w:rsidRDefault="00D40151" w:rsidP="009D14FB">
            <w:pPr>
              <w:pStyle w:val="TAH"/>
            </w:pPr>
            <w:r w:rsidRPr="00873B6C">
              <w:rPr>
                <w:rFonts w:eastAsia="SimSun"/>
                <w:lang w:eastAsia="zh-CN"/>
              </w:rPr>
              <w:t>Reference in TS 23.502 [3]</w:t>
            </w:r>
          </w:p>
        </w:tc>
      </w:tr>
      <w:tr w:rsidR="00D40151" w:rsidRPr="00873B6C" w14:paraId="78A082E7" w14:textId="77777777" w:rsidTr="00FD5C4A">
        <w:trPr>
          <w:cantSplit/>
          <w:jc w:val="center"/>
        </w:trPr>
        <w:tc>
          <w:tcPr>
            <w:tcW w:w="2235" w:type="dxa"/>
          </w:tcPr>
          <w:p w14:paraId="1B53AAE1" w14:textId="77777777" w:rsidR="00D40151" w:rsidRPr="00873B6C" w:rsidRDefault="00D40151" w:rsidP="009D14FB">
            <w:pPr>
              <w:pStyle w:val="TAL"/>
            </w:pPr>
            <w:r w:rsidRPr="00873B6C">
              <w:t>Nnrf_NFManagement</w:t>
            </w:r>
          </w:p>
        </w:tc>
        <w:tc>
          <w:tcPr>
            <w:tcW w:w="3827" w:type="dxa"/>
          </w:tcPr>
          <w:p w14:paraId="73CF414B" w14:textId="77777777" w:rsidR="00D40151" w:rsidRPr="00873B6C" w:rsidRDefault="00D40151" w:rsidP="009D14FB">
            <w:pPr>
              <w:pStyle w:val="TAL"/>
            </w:pPr>
            <w:r w:rsidRPr="00873B6C">
              <w:t xml:space="preserve">Provides support for register, deregister and update service to NF, NF services, SCP. </w:t>
            </w:r>
            <w:r w:rsidRPr="00873B6C">
              <w:rPr>
                <w:lang w:eastAsia="zh-CN"/>
              </w:rPr>
              <w:t xml:space="preserve">Provide NF service consumers and SCP with notifications of </w:t>
            </w:r>
            <w:r w:rsidRPr="00873B6C">
              <w:t>newly registered/updated/deregistered NF along with its NF services. Also Provide SCP with notifications of newly registered/updated/deregistered SCP.</w:t>
            </w:r>
          </w:p>
        </w:tc>
        <w:tc>
          <w:tcPr>
            <w:tcW w:w="1843" w:type="dxa"/>
          </w:tcPr>
          <w:p w14:paraId="7108C5FE" w14:textId="77777777" w:rsidR="00D40151" w:rsidRPr="00873B6C" w:rsidRDefault="00D40151" w:rsidP="009D14FB">
            <w:pPr>
              <w:pStyle w:val="TAC"/>
              <w:rPr>
                <w:rFonts w:eastAsia="SimSun"/>
                <w:lang w:eastAsia="zh-CN"/>
              </w:rPr>
            </w:pPr>
            <w:r w:rsidRPr="00873B6C">
              <w:rPr>
                <w:rFonts w:eastAsia="SimSun"/>
                <w:lang w:eastAsia="zh-CN"/>
              </w:rPr>
              <w:t>5.2.7.2</w:t>
            </w:r>
          </w:p>
        </w:tc>
      </w:tr>
      <w:tr w:rsidR="00D40151" w:rsidRPr="00873B6C" w14:paraId="79EBB4D7" w14:textId="77777777" w:rsidTr="00FD5C4A">
        <w:trPr>
          <w:cantSplit/>
          <w:jc w:val="center"/>
        </w:trPr>
        <w:tc>
          <w:tcPr>
            <w:tcW w:w="2235" w:type="dxa"/>
          </w:tcPr>
          <w:p w14:paraId="40CACBD5" w14:textId="77777777" w:rsidR="00D40151" w:rsidRPr="00873B6C" w:rsidRDefault="00D40151" w:rsidP="009D14FB">
            <w:pPr>
              <w:pStyle w:val="TAL"/>
            </w:pPr>
            <w:r w:rsidRPr="00873B6C">
              <w:t>Nnrf_NFDiscovery</w:t>
            </w:r>
          </w:p>
        </w:tc>
        <w:tc>
          <w:tcPr>
            <w:tcW w:w="3827" w:type="dxa"/>
          </w:tcPr>
          <w:p w14:paraId="3EFA8438" w14:textId="77777777" w:rsidR="00D40151" w:rsidRPr="00873B6C" w:rsidRDefault="00D40151" w:rsidP="009D14FB">
            <w:pPr>
              <w:pStyle w:val="TAL"/>
            </w:pPr>
            <w:r w:rsidRPr="00873B6C">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873B6C" w:rsidRDefault="00D40151" w:rsidP="009D14FB">
            <w:pPr>
              <w:pStyle w:val="TAC"/>
              <w:rPr>
                <w:rFonts w:eastAsia="SimSun"/>
                <w:lang w:eastAsia="zh-CN"/>
              </w:rPr>
            </w:pPr>
            <w:r w:rsidRPr="00873B6C">
              <w:rPr>
                <w:rFonts w:eastAsia="SimSun"/>
                <w:lang w:eastAsia="zh-CN"/>
              </w:rPr>
              <w:t>5.2.7.3</w:t>
            </w:r>
          </w:p>
        </w:tc>
      </w:tr>
      <w:tr w:rsidR="00D40151" w:rsidRPr="00873B6C" w14:paraId="2ECF71B7" w14:textId="77777777" w:rsidTr="00FD5C4A">
        <w:trPr>
          <w:cantSplit/>
          <w:jc w:val="center"/>
        </w:trPr>
        <w:tc>
          <w:tcPr>
            <w:tcW w:w="2235" w:type="dxa"/>
          </w:tcPr>
          <w:p w14:paraId="628590B1" w14:textId="77777777" w:rsidR="00D40151" w:rsidRPr="00873B6C" w:rsidRDefault="00D40151" w:rsidP="009D14FB">
            <w:pPr>
              <w:pStyle w:val="TAL"/>
            </w:pPr>
            <w:r w:rsidRPr="00873B6C">
              <w:t>Nnrf_AccessToken</w:t>
            </w:r>
          </w:p>
        </w:tc>
        <w:tc>
          <w:tcPr>
            <w:tcW w:w="3827" w:type="dxa"/>
          </w:tcPr>
          <w:p w14:paraId="390CC86B" w14:textId="77777777" w:rsidR="00D40151" w:rsidRPr="00873B6C" w:rsidRDefault="00D40151" w:rsidP="009D14FB">
            <w:pPr>
              <w:pStyle w:val="TAL"/>
            </w:pPr>
            <w:r w:rsidRPr="00873B6C">
              <w:t>Provides OAuth2 2.0 Access Tokens for NF to NF authorization as defined in TS 33.501 [29].</w:t>
            </w:r>
          </w:p>
        </w:tc>
        <w:tc>
          <w:tcPr>
            <w:tcW w:w="1843" w:type="dxa"/>
          </w:tcPr>
          <w:p w14:paraId="3A717CD9" w14:textId="77777777" w:rsidR="00D40151" w:rsidRPr="00873B6C" w:rsidRDefault="00D40151" w:rsidP="009D14FB">
            <w:pPr>
              <w:pStyle w:val="TAC"/>
              <w:rPr>
                <w:rFonts w:eastAsia="SimSun"/>
                <w:lang w:eastAsia="zh-CN"/>
              </w:rPr>
            </w:pPr>
            <w:r w:rsidRPr="00873B6C">
              <w:rPr>
                <w:rFonts w:eastAsia="SimSun"/>
                <w:lang w:eastAsia="zh-CN"/>
              </w:rPr>
              <w:t>5.2.7.4</w:t>
            </w:r>
          </w:p>
        </w:tc>
      </w:tr>
      <w:tr w:rsidR="00A10084" w:rsidRPr="00873B6C" w14:paraId="21C3324A" w14:textId="77777777" w:rsidTr="00FD5C4A">
        <w:trPr>
          <w:cantSplit/>
          <w:jc w:val="center"/>
        </w:trPr>
        <w:tc>
          <w:tcPr>
            <w:tcW w:w="2235" w:type="dxa"/>
          </w:tcPr>
          <w:p w14:paraId="78B38C5E" w14:textId="7DB9B9A5" w:rsidR="00A10084" w:rsidRPr="00873B6C" w:rsidRDefault="00A10084" w:rsidP="009D14FB">
            <w:pPr>
              <w:pStyle w:val="TAL"/>
            </w:pPr>
            <w:r w:rsidRPr="00873B6C">
              <w:t>Nnrf_Bootstrapping</w:t>
            </w:r>
          </w:p>
        </w:tc>
        <w:tc>
          <w:tcPr>
            <w:tcW w:w="3827" w:type="dxa"/>
          </w:tcPr>
          <w:p w14:paraId="1B1CE368" w14:textId="7255C1D8" w:rsidR="00A10084" w:rsidRPr="00873B6C" w:rsidRDefault="00A10084" w:rsidP="009D14FB">
            <w:pPr>
              <w:pStyle w:val="TAL"/>
            </w:pPr>
            <w:r w:rsidRPr="00873B6C">
              <w:t>Lets NF Service Consumers of the NRF know about the services endpoints it supports, the NRF Instance ID and NRF Set ID if the NRF is part of an NRF set.</w:t>
            </w:r>
          </w:p>
        </w:tc>
        <w:tc>
          <w:tcPr>
            <w:tcW w:w="1843" w:type="dxa"/>
          </w:tcPr>
          <w:p w14:paraId="3E4CC235" w14:textId="66BC9910" w:rsidR="00A10084" w:rsidRPr="00873B6C" w:rsidRDefault="00A10084" w:rsidP="009D14FB">
            <w:pPr>
              <w:pStyle w:val="TAC"/>
              <w:rPr>
                <w:rFonts w:eastAsia="SimSun"/>
                <w:lang w:eastAsia="zh-CN"/>
              </w:rPr>
            </w:pPr>
            <w:r w:rsidRPr="00873B6C">
              <w:rPr>
                <w:rFonts w:eastAsia="SimSun"/>
                <w:lang w:eastAsia="zh-CN"/>
              </w:rPr>
              <w:t>5.2.7.5</w:t>
            </w:r>
          </w:p>
        </w:tc>
      </w:tr>
    </w:tbl>
    <w:p w14:paraId="674A4DFF" w14:textId="77777777" w:rsidR="00D40151" w:rsidRPr="00873B6C" w:rsidRDefault="00D40151" w:rsidP="00D40151">
      <w:pPr>
        <w:pStyle w:val="FP"/>
      </w:pPr>
    </w:p>
    <w:p w14:paraId="289F2BA5" w14:textId="77777777" w:rsidR="00D40151" w:rsidRPr="00873B6C" w:rsidRDefault="00D40151" w:rsidP="00D40151">
      <w:pPr>
        <w:pStyle w:val="Heading3"/>
      </w:pPr>
      <w:bookmarkStart w:id="6005" w:name="_CR7_2_7"/>
      <w:bookmarkStart w:id="6006" w:name="_Toc20150257"/>
      <w:bookmarkStart w:id="6007" w:name="_Toc27847065"/>
      <w:bookmarkStart w:id="6008" w:name="_Toc36188198"/>
      <w:bookmarkStart w:id="6009" w:name="_Toc45184111"/>
      <w:bookmarkStart w:id="6010" w:name="_Toc47342953"/>
      <w:bookmarkStart w:id="6011" w:name="_Toc51769655"/>
      <w:bookmarkStart w:id="6012" w:name="_Toc201157833"/>
      <w:bookmarkEnd w:id="6005"/>
      <w:r w:rsidRPr="00873B6C">
        <w:t>7.2.7</w:t>
      </w:r>
      <w:r w:rsidRPr="00873B6C">
        <w:tab/>
        <w:t>AUSF Services</w:t>
      </w:r>
      <w:bookmarkEnd w:id="6006"/>
      <w:bookmarkEnd w:id="6007"/>
      <w:bookmarkEnd w:id="6008"/>
      <w:bookmarkEnd w:id="6009"/>
      <w:bookmarkEnd w:id="6010"/>
      <w:bookmarkEnd w:id="6011"/>
      <w:bookmarkEnd w:id="6012"/>
    </w:p>
    <w:p w14:paraId="7D5A2404" w14:textId="77777777" w:rsidR="00D40151" w:rsidRPr="00873B6C" w:rsidRDefault="00D40151" w:rsidP="00D40151">
      <w:pPr>
        <w:rPr>
          <w:rFonts w:eastAsia="SimSun"/>
          <w:lang w:eastAsia="zh-CN"/>
        </w:rPr>
      </w:pPr>
      <w:r w:rsidRPr="00873B6C">
        <w:rPr>
          <w:rFonts w:eastAsia="SimSun"/>
          <w:lang w:eastAsia="zh-CN"/>
        </w:rPr>
        <w:t>The following NF services are specified for AUSF:</w:t>
      </w:r>
    </w:p>
    <w:p w14:paraId="0624ADCF" w14:textId="77777777" w:rsidR="00D40151" w:rsidRPr="00873B6C" w:rsidRDefault="00D40151" w:rsidP="00D40151">
      <w:pPr>
        <w:pStyle w:val="TH"/>
      </w:pPr>
      <w:bookmarkStart w:id="6013" w:name="_CRTable7_2_71"/>
      <w:r w:rsidRPr="00873B6C">
        <w:t xml:space="preserve">Table </w:t>
      </w:r>
      <w:bookmarkEnd w:id="6013"/>
      <w:r w:rsidRPr="00873B6C">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3FB2ABDF" w14:textId="77777777" w:rsidTr="00FD5C4A">
        <w:trPr>
          <w:cantSplit/>
          <w:tblHeader/>
          <w:jc w:val="center"/>
        </w:trPr>
        <w:tc>
          <w:tcPr>
            <w:tcW w:w="2235" w:type="dxa"/>
          </w:tcPr>
          <w:p w14:paraId="482C9785" w14:textId="77777777" w:rsidR="00D40151" w:rsidRPr="00873B6C" w:rsidRDefault="00D40151" w:rsidP="009D14FB">
            <w:pPr>
              <w:pStyle w:val="TAH"/>
            </w:pPr>
            <w:r w:rsidRPr="00873B6C">
              <w:t>Service Name</w:t>
            </w:r>
          </w:p>
        </w:tc>
        <w:tc>
          <w:tcPr>
            <w:tcW w:w="3827" w:type="dxa"/>
          </w:tcPr>
          <w:p w14:paraId="71BDA16E" w14:textId="77777777" w:rsidR="00D40151" w:rsidRPr="00873B6C" w:rsidRDefault="00D40151" w:rsidP="009D14FB">
            <w:pPr>
              <w:pStyle w:val="TAH"/>
            </w:pPr>
            <w:r w:rsidRPr="00873B6C">
              <w:t>Description</w:t>
            </w:r>
          </w:p>
        </w:tc>
        <w:tc>
          <w:tcPr>
            <w:tcW w:w="1843" w:type="dxa"/>
          </w:tcPr>
          <w:p w14:paraId="12E6EA2E" w14:textId="77777777" w:rsidR="00D40151" w:rsidRPr="00873B6C" w:rsidRDefault="00D40151" w:rsidP="009D14FB">
            <w:pPr>
              <w:pStyle w:val="TAH"/>
            </w:pPr>
            <w:r w:rsidRPr="00873B6C">
              <w:rPr>
                <w:rFonts w:eastAsia="SimSun"/>
                <w:lang w:eastAsia="zh-CN"/>
              </w:rPr>
              <w:t>Reference in TS 23.502 [3]</w:t>
            </w:r>
          </w:p>
        </w:tc>
      </w:tr>
      <w:tr w:rsidR="00D40151" w:rsidRPr="00873B6C" w14:paraId="77740AF7" w14:textId="77777777" w:rsidTr="00FD5C4A">
        <w:trPr>
          <w:cantSplit/>
          <w:jc w:val="center"/>
        </w:trPr>
        <w:tc>
          <w:tcPr>
            <w:tcW w:w="2235" w:type="dxa"/>
          </w:tcPr>
          <w:p w14:paraId="44785697" w14:textId="18092896" w:rsidR="00D40151" w:rsidRPr="00873B6C" w:rsidRDefault="00D40151" w:rsidP="009D14FB">
            <w:pPr>
              <w:pStyle w:val="TAL"/>
            </w:pPr>
            <w:r w:rsidRPr="00873B6C">
              <w:t>Nausf</w:t>
            </w:r>
            <w:r w:rsidR="00A10084" w:rsidRPr="00873B6C">
              <w:t>_</w:t>
            </w:r>
            <w:r w:rsidRPr="00873B6C">
              <w:t>UEauthentication</w:t>
            </w:r>
          </w:p>
        </w:tc>
        <w:tc>
          <w:tcPr>
            <w:tcW w:w="3827" w:type="dxa"/>
          </w:tcPr>
          <w:p w14:paraId="579EAAC2" w14:textId="77777777" w:rsidR="00D40151" w:rsidRPr="00873B6C" w:rsidRDefault="00D40151" w:rsidP="009D14FB">
            <w:pPr>
              <w:pStyle w:val="TAL"/>
            </w:pPr>
            <w:r w:rsidRPr="00873B6C">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873B6C" w:rsidRDefault="00D40151" w:rsidP="009D14FB">
            <w:pPr>
              <w:pStyle w:val="TAC"/>
              <w:rPr>
                <w:rFonts w:eastAsia="SimSun"/>
                <w:lang w:eastAsia="zh-CN"/>
              </w:rPr>
            </w:pPr>
            <w:r w:rsidRPr="00873B6C">
              <w:t>5.2.10.2</w:t>
            </w:r>
          </w:p>
        </w:tc>
      </w:tr>
      <w:tr w:rsidR="00D40151" w:rsidRPr="00873B6C" w14:paraId="015CCEFF" w14:textId="77777777" w:rsidTr="00FD5C4A">
        <w:trPr>
          <w:cantSplit/>
          <w:jc w:val="center"/>
        </w:trPr>
        <w:tc>
          <w:tcPr>
            <w:tcW w:w="2235" w:type="dxa"/>
          </w:tcPr>
          <w:p w14:paraId="39D5A170" w14:textId="77777777" w:rsidR="00D40151" w:rsidRPr="00873B6C" w:rsidRDefault="00D40151" w:rsidP="009D14FB">
            <w:pPr>
              <w:pStyle w:val="TAL"/>
            </w:pPr>
            <w:r w:rsidRPr="00873B6C">
              <w:t>Nausf_SoRProtection</w:t>
            </w:r>
          </w:p>
        </w:tc>
        <w:tc>
          <w:tcPr>
            <w:tcW w:w="3827" w:type="dxa"/>
          </w:tcPr>
          <w:p w14:paraId="539F1B54" w14:textId="77777777" w:rsidR="00D40151" w:rsidRPr="00873B6C" w:rsidRDefault="00D40151" w:rsidP="009D14FB">
            <w:pPr>
              <w:pStyle w:val="TAL"/>
              <w:rPr>
                <w:lang w:eastAsia="zh-CN"/>
              </w:rPr>
            </w:pPr>
            <w:r w:rsidRPr="00873B6C">
              <w:rPr>
                <w:lang w:eastAsia="zh-CN"/>
              </w:rPr>
              <w:t>The AUSF provides protection of Steering of Roaming information service to the requester NF.</w:t>
            </w:r>
          </w:p>
        </w:tc>
        <w:tc>
          <w:tcPr>
            <w:tcW w:w="1843" w:type="dxa"/>
          </w:tcPr>
          <w:p w14:paraId="19E856F6" w14:textId="77777777" w:rsidR="00D40151" w:rsidRPr="00873B6C" w:rsidRDefault="00D40151" w:rsidP="009D14FB">
            <w:pPr>
              <w:pStyle w:val="TAC"/>
            </w:pPr>
            <w:r w:rsidRPr="00873B6C">
              <w:t>5.2.10.3</w:t>
            </w:r>
          </w:p>
        </w:tc>
      </w:tr>
      <w:tr w:rsidR="00A10084" w:rsidRPr="00873B6C" w14:paraId="09B6EED5" w14:textId="77777777" w:rsidTr="00FD5C4A">
        <w:trPr>
          <w:cantSplit/>
          <w:jc w:val="center"/>
        </w:trPr>
        <w:tc>
          <w:tcPr>
            <w:tcW w:w="2235" w:type="dxa"/>
          </w:tcPr>
          <w:p w14:paraId="45F0F39E" w14:textId="70E9CCDC" w:rsidR="00A10084" w:rsidRPr="00873B6C" w:rsidRDefault="00A10084" w:rsidP="009D14FB">
            <w:pPr>
              <w:pStyle w:val="TAL"/>
            </w:pPr>
            <w:r w:rsidRPr="00873B6C">
              <w:t>Nausf_UPUProtection</w:t>
            </w:r>
          </w:p>
        </w:tc>
        <w:tc>
          <w:tcPr>
            <w:tcW w:w="3827" w:type="dxa"/>
          </w:tcPr>
          <w:p w14:paraId="47BECC24" w14:textId="76C509F2" w:rsidR="00A10084" w:rsidRPr="00873B6C" w:rsidRDefault="00A10084" w:rsidP="009D14FB">
            <w:pPr>
              <w:pStyle w:val="TAL"/>
              <w:rPr>
                <w:lang w:eastAsia="zh-CN"/>
              </w:rPr>
            </w:pPr>
            <w:r w:rsidRPr="00873B6C">
              <w:rPr>
                <w:lang w:eastAsia="zh-CN"/>
              </w:rPr>
              <w:t>The AUSF provides the UE Parameters Update protection service to the requester NF.</w:t>
            </w:r>
          </w:p>
        </w:tc>
        <w:tc>
          <w:tcPr>
            <w:tcW w:w="1843" w:type="dxa"/>
          </w:tcPr>
          <w:p w14:paraId="7DAA4F73" w14:textId="194AD2B7" w:rsidR="00A10084" w:rsidRPr="00873B6C" w:rsidRDefault="00A10084" w:rsidP="009D14FB">
            <w:pPr>
              <w:pStyle w:val="TAC"/>
            </w:pPr>
            <w:r w:rsidRPr="00873B6C">
              <w:t>5.2.10.4</w:t>
            </w:r>
          </w:p>
        </w:tc>
      </w:tr>
    </w:tbl>
    <w:p w14:paraId="607DC5E1" w14:textId="77777777" w:rsidR="00D40151" w:rsidRPr="00873B6C" w:rsidRDefault="00D40151" w:rsidP="00D40151">
      <w:pPr>
        <w:pStyle w:val="FP"/>
      </w:pPr>
      <w:bookmarkStart w:id="6014" w:name="_Toc20150258"/>
      <w:bookmarkStart w:id="6015" w:name="_Toc27847066"/>
      <w:bookmarkStart w:id="6016" w:name="_Toc36188199"/>
    </w:p>
    <w:p w14:paraId="541D4040" w14:textId="77777777" w:rsidR="00D40151" w:rsidRPr="00873B6C" w:rsidRDefault="00D40151" w:rsidP="00D40151">
      <w:pPr>
        <w:pStyle w:val="Heading3"/>
      </w:pPr>
      <w:bookmarkStart w:id="6017" w:name="_CR7_2_8"/>
      <w:bookmarkStart w:id="6018" w:name="_Toc45184112"/>
      <w:bookmarkStart w:id="6019" w:name="_Toc47342954"/>
      <w:bookmarkStart w:id="6020" w:name="_Toc51769656"/>
      <w:bookmarkStart w:id="6021" w:name="_Toc201157834"/>
      <w:bookmarkEnd w:id="6017"/>
      <w:r w:rsidRPr="00873B6C">
        <w:t>7.2.8</w:t>
      </w:r>
      <w:r w:rsidRPr="00873B6C">
        <w:tab/>
        <w:t>NEF Services</w:t>
      </w:r>
      <w:bookmarkEnd w:id="6014"/>
      <w:bookmarkEnd w:id="6015"/>
      <w:bookmarkEnd w:id="6016"/>
      <w:bookmarkEnd w:id="6018"/>
      <w:bookmarkEnd w:id="6019"/>
      <w:bookmarkEnd w:id="6020"/>
      <w:bookmarkEnd w:id="6021"/>
    </w:p>
    <w:p w14:paraId="0136B1B1" w14:textId="77777777" w:rsidR="00D40151" w:rsidRPr="00873B6C" w:rsidRDefault="00D40151" w:rsidP="00D40151">
      <w:pPr>
        <w:rPr>
          <w:rFonts w:eastAsia="SimSun"/>
          <w:lang w:eastAsia="zh-CN"/>
        </w:rPr>
      </w:pPr>
      <w:r w:rsidRPr="00873B6C">
        <w:rPr>
          <w:rFonts w:eastAsia="SimSun"/>
          <w:lang w:eastAsia="zh-CN"/>
        </w:rPr>
        <w:t>The following NF services are specified for NEF:</w:t>
      </w:r>
    </w:p>
    <w:p w14:paraId="2A4B8FFF" w14:textId="77777777" w:rsidR="00D40151" w:rsidRPr="00873B6C" w:rsidRDefault="00D40151" w:rsidP="00D40151">
      <w:pPr>
        <w:pStyle w:val="TH"/>
      </w:pPr>
      <w:bookmarkStart w:id="6022" w:name="_CRTable7_2_81"/>
      <w:r w:rsidRPr="00873B6C">
        <w:lastRenderedPageBreak/>
        <w:t xml:space="preserve">Table </w:t>
      </w:r>
      <w:bookmarkEnd w:id="6022"/>
      <w:r w:rsidRPr="00873B6C">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873B6C" w14:paraId="3E1760CE" w14:textId="77777777" w:rsidTr="00FD5C4A">
        <w:trPr>
          <w:cantSplit/>
          <w:tblHeader/>
          <w:jc w:val="center"/>
        </w:trPr>
        <w:tc>
          <w:tcPr>
            <w:tcW w:w="2689" w:type="dxa"/>
          </w:tcPr>
          <w:p w14:paraId="2FDFE20F" w14:textId="77777777" w:rsidR="00D40151" w:rsidRPr="00873B6C" w:rsidRDefault="00D40151" w:rsidP="009D14FB">
            <w:pPr>
              <w:pStyle w:val="TAH"/>
            </w:pPr>
            <w:r w:rsidRPr="00873B6C">
              <w:lastRenderedPageBreak/>
              <w:t>Service Name</w:t>
            </w:r>
          </w:p>
        </w:tc>
        <w:tc>
          <w:tcPr>
            <w:tcW w:w="4110" w:type="dxa"/>
          </w:tcPr>
          <w:p w14:paraId="3AF0362C" w14:textId="77777777" w:rsidR="00D40151" w:rsidRPr="00873B6C" w:rsidRDefault="00D40151" w:rsidP="009D14FB">
            <w:pPr>
              <w:pStyle w:val="TAH"/>
            </w:pPr>
            <w:r w:rsidRPr="00873B6C">
              <w:t>Description</w:t>
            </w:r>
          </w:p>
        </w:tc>
        <w:tc>
          <w:tcPr>
            <w:tcW w:w="1843" w:type="dxa"/>
          </w:tcPr>
          <w:p w14:paraId="2C5B1A94" w14:textId="4DD24485" w:rsidR="00D40151" w:rsidRPr="00873B6C" w:rsidRDefault="00D40151" w:rsidP="009D14FB">
            <w:pPr>
              <w:pStyle w:val="TAH"/>
            </w:pPr>
            <w:r w:rsidRPr="00873B6C">
              <w:rPr>
                <w:rFonts w:eastAsia="SimSun"/>
                <w:lang w:eastAsia="zh-CN"/>
              </w:rPr>
              <w:t>Reference in TS 23.502 [3]</w:t>
            </w:r>
            <w:r w:rsidR="007C344D" w:rsidRPr="00873B6C">
              <w:rPr>
                <w:rFonts w:eastAsia="SimSun"/>
                <w:lang w:eastAsia="zh-CN"/>
              </w:rPr>
              <w:t xml:space="preserve"> or other TS</w:t>
            </w:r>
          </w:p>
        </w:tc>
      </w:tr>
      <w:tr w:rsidR="00D40151" w:rsidRPr="00873B6C" w14:paraId="3A557C1B" w14:textId="77777777" w:rsidTr="00FD5C4A">
        <w:trPr>
          <w:cantSplit/>
          <w:jc w:val="center"/>
        </w:trPr>
        <w:tc>
          <w:tcPr>
            <w:tcW w:w="2689" w:type="dxa"/>
          </w:tcPr>
          <w:p w14:paraId="21E98BCA" w14:textId="77777777" w:rsidR="00D40151" w:rsidRPr="00873B6C" w:rsidRDefault="00D40151" w:rsidP="009D14FB">
            <w:pPr>
              <w:pStyle w:val="TAL"/>
            </w:pPr>
            <w:r w:rsidRPr="00873B6C">
              <w:t>Nnef_EventExposure</w:t>
            </w:r>
          </w:p>
        </w:tc>
        <w:tc>
          <w:tcPr>
            <w:tcW w:w="4110" w:type="dxa"/>
          </w:tcPr>
          <w:p w14:paraId="17A48CC4" w14:textId="77777777" w:rsidR="00D40151" w:rsidRPr="00873B6C" w:rsidRDefault="00D40151" w:rsidP="009D14FB">
            <w:pPr>
              <w:pStyle w:val="TAL"/>
            </w:pPr>
            <w:r w:rsidRPr="00873B6C">
              <w:t>Provides support for event exposure.</w:t>
            </w:r>
          </w:p>
        </w:tc>
        <w:tc>
          <w:tcPr>
            <w:tcW w:w="1843" w:type="dxa"/>
          </w:tcPr>
          <w:p w14:paraId="1EB90084" w14:textId="77777777" w:rsidR="00D40151" w:rsidRPr="00873B6C" w:rsidRDefault="00D40151" w:rsidP="009D14FB">
            <w:pPr>
              <w:pStyle w:val="TAC"/>
              <w:rPr>
                <w:rFonts w:eastAsia="SimSun"/>
                <w:lang w:eastAsia="zh-CN"/>
              </w:rPr>
            </w:pPr>
            <w:r w:rsidRPr="00873B6C">
              <w:rPr>
                <w:rFonts w:eastAsia="SimSun"/>
                <w:lang w:eastAsia="zh-CN"/>
              </w:rPr>
              <w:t>5.2.6.2</w:t>
            </w:r>
          </w:p>
        </w:tc>
      </w:tr>
      <w:tr w:rsidR="00D40151" w:rsidRPr="00873B6C" w14:paraId="5534A790" w14:textId="77777777" w:rsidTr="00FD5C4A">
        <w:trPr>
          <w:cantSplit/>
          <w:jc w:val="center"/>
        </w:trPr>
        <w:tc>
          <w:tcPr>
            <w:tcW w:w="2689" w:type="dxa"/>
          </w:tcPr>
          <w:p w14:paraId="7C86DB77" w14:textId="77777777" w:rsidR="00D40151" w:rsidRPr="00873B6C" w:rsidRDefault="00D40151" w:rsidP="009D14FB">
            <w:pPr>
              <w:pStyle w:val="TAL"/>
            </w:pPr>
            <w:r w:rsidRPr="00873B6C">
              <w:t>Nnef_PFDManagement</w:t>
            </w:r>
          </w:p>
        </w:tc>
        <w:tc>
          <w:tcPr>
            <w:tcW w:w="4110" w:type="dxa"/>
          </w:tcPr>
          <w:p w14:paraId="5C9E6541" w14:textId="77777777" w:rsidR="00D40151" w:rsidRPr="00873B6C" w:rsidRDefault="00D40151" w:rsidP="009D14FB">
            <w:pPr>
              <w:pStyle w:val="TAL"/>
            </w:pPr>
            <w:r w:rsidRPr="00873B6C">
              <w:t>Provides support for PFDs management.</w:t>
            </w:r>
          </w:p>
        </w:tc>
        <w:tc>
          <w:tcPr>
            <w:tcW w:w="1843" w:type="dxa"/>
          </w:tcPr>
          <w:p w14:paraId="439F66B9" w14:textId="77777777" w:rsidR="00D40151" w:rsidRPr="00873B6C" w:rsidRDefault="00D40151" w:rsidP="009D14FB">
            <w:pPr>
              <w:pStyle w:val="TAC"/>
              <w:rPr>
                <w:rFonts w:eastAsia="SimSun"/>
                <w:lang w:eastAsia="zh-CN"/>
              </w:rPr>
            </w:pPr>
            <w:r w:rsidRPr="00873B6C">
              <w:rPr>
                <w:rFonts w:eastAsia="SimSun"/>
                <w:lang w:eastAsia="zh-CN"/>
              </w:rPr>
              <w:t>5.2.6.3</w:t>
            </w:r>
          </w:p>
        </w:tc>
      </w:tr>
      <w:tr w:rsidR="00D40151" w:rsidRPr="00873B6C" w14:paraId="6540CEAC" w14:textId="77777777" w:rsidTr="00FD5C4A">
        <w:trPr>
          <w:cantSplit/>
          <w:jc w:val="center"/>
        </w:trPr>
        <w:tc>
          <w:tcPr>
            <w:tcW w:w="2689" w:type="dxa"/>
          </w:tcPr>
          <w:p w14:paraId="600D2FC7" w14:textId="77777777" w:rsidR="00D40151" w:rsidRPr="00873B6C" w:rsidRDefault="00D40151" w:rsidP="009D14FB">
            <w:pPr>
              <w:pStyle w:val="TAL"/>
            </w:pPr>
            <w:r w:rsidRPr="00873B6C">
              <w:t>Nnef_ParameterProvision</w:t>
            </w:r>
          </w:p>
        </w:tc>
        <w:tc>
          <w:tcPr>
            <w:tcW w:w="4110" w:type="dxa"/>
          </w:tcPr>
          <w:p w14:paraId="74EED7C8" w14:textId="77777777" w:rsidR="00D40151" w:rsidRPr="00873B6C" w:rsidRDefault="00D40151" w:rsidP="009D14FB">
            <w:pPr>
              <w:pStyle w:val="TAL"/>
            </w:pPr>
            <w:r w:rsidRPr="00873B6C">
              <w:t>Provides support to provision information which can be used for the UE in 5GS.</w:t>
            </w:r>
          </w:p>
        </w:tc>
        <w:tc>
          <w:tcPr>
            <w:tcW w:w="1843" w:type="dxa"/>
          </w:tcPr>
          <w:p w14:paraId="09D9027B" w14:textId="77777777" w:rsidR="00D40151" w:rsidRPr="00873B6C" w:rsidRDefault="00D40151" w:rsidP="009D14FB">
            <w:pPr>
              <w:pStyle w:val="TAC"/>
              <w:rPr>
                <w:rFonts w:eastAsia="SimSun"/>
                <w:lang w:eastAsia="zh-CN"/>
              </w:rPr>
            </w:pPr>
            <w:r w:rsidRPr="00873B6C">
              <w:rPr>
                <w:rFonts w:eastAsia="SimSun"/>
                <w:lang w:eastAsia="zh-CN"/>
              </w:rPr>
              <w:t>5.2.6.4</w:t>
            </w:r>
          </w:p>
        </w:tc>
      </w:tr>
      <w:tr w:rsidR="00D40151" w:rsidRPr="00873B6C" w14:paraId="2B6533C1" w14:textId="77777777" w:rsidTr="00FD5C4A">
        <w:trPr>
          <w:cantSplit/>
          <w:jc w:val="center"/>
        </w:trPr>
        <w:tc>
          <w:tcPr>
            <w:tcW w:w="2689" w:type="dxa"/>
          </w:tcPr>
          <w:p w14:paraId="024579D9" w14:textId="77777777" w:rsidR="00D40151" w:rsidRPr="00873B6C" w:rsidRDefault="00D40151" w:rsidP="009D14FB">
            <w:pPr>
              <w:pStyle w:val="TAL"/>
            </w:pPr>
            <w:r w:rsidRPr="00873B6C">
              <w:t>Nnef_Trigger</w:t>
            </w:r>
          </w:p>
        </w:tc>
        <w:tc>
          <w:tcPr>
            <w:tcW w:w="4110" w:type="dxa"/>
          </w:tcPr>
          <w:p w14:paraId="3E6039BF" w14:textId="77777777" w:rsidR="00D40151" w:rsidRPr="00873B6C" w:rsidRDefault="00D40151" w:rsidP="009D14FB">
            <w:pPr>
              <w:pStyle w:val="TAL"/>
            </w:pPr>
            <w:r w:rsidRPr="00873B6C">
              <w:t>Provides support for device triggering.</w:t>
            </w:r>
          </w:p>
        </w:tc>
        <w:tc>
          <w:tcPr>
            <w:tcW w:w="1843" w:type="dxa"/>
          </w:tcPr>
          <w:p w14:paraId="0C942BE9" w14:textId="77777777" w:rsidR="00D40151" w:rsidRPr="00873B6C" w:rsidRDefault="00D40151" w:rsidP="009D14FB">
            <w:pPr>
              <w:pStyle w:val="TAC"/>
              <w:rPr>
                <w:rFonts w:eastAsia="SimSun"/>
                <w:lang w:eastAsia="zh-CN"/>
              </w:rPr>
            </w:pPr>
            <w:r w:rsidRPr="00873B6C">
              <w:rPr>
                <w:rFonts w:eastAsia="SimSun"/>
                <w:lang w:eastAsia="zh-CN"/>
              </w:rPr>
              <w:t>5.2.6.5</w:t>
            </w:r>
          </w:p>
        </w:tc>
      </w:tr>
      <w:tr w:rsidR="00D40151" w:rsidRPr="00873B6C" w14:paraId="286984E3" w14:textId="77777777" w:rsidTr="00FD5C4A">
        <w:trPr>
          <w:cantSplit/>
          <w:jc w:val="center"/>
        </w:trPr>
        <w:tc>
          <w:tcPr>
            <w:tcW w:w="2689" w:type="dxa"/>
          </w:tcPr>
          <w:p w14:paraId="647F5019" w14:textId="77777777" w:rsidR="00D40151" w:rsidRPr="00873B6C" w:rsidRDefault="00D40151" w:rsidP="009D14FB">
            <w:pPr>
              <w:pStyle w:val="TAL"/>
            </w:pPr>
            <w:r w:rsidRPr="00873B6C">
              <w:t>Nnef_BDTPNegotiation</w:t>
            </w:r>
          </w:p>
        </w:tc>
        <w:tc>
          <w:tcPr>
            <w:tcW w:w="4110" w:type="dxa"/>
          </w:tcPr>
          <w:p w14:paraId="0330B8E3" w14:textId="77777777" w:rsidR="00D40151" w:rsidRPr="00873B6C" w:rsidRDefault="00D40151" w:rsidP="009D14FB">
            <w:pPr>
              <w:pStyle w:val="TAL"/>
            </w:pPr>
            <w:r w:rsidRPr="00873B6C">
              <w:t>Provides support for background data transfer policy negotiation and optionally notification for the renegotiation.</w:t>
            </w:r>
          </w:p>
        </w:tc>
        <w:tc>
          <w:tcPr>
            <w:tcW w:w="1843" w:type="dxa"/>
          </w:tcPr>
          <w:p w14:paraId="7F317BDB" w14:textId="77777777" w:rsidR="00D40151" w:rsidRPr="00873B6C" w:rsidRDefault="00D40151" w:rsidP="009D14FB">
            <w:pPr>
              <w:pStyle w:val="TAC"/>
              <w:rPr>
                <w:rFonts w:eastAsia="SimSun"/>
                <w:lang w:eastAsia="zh-CN"/>
              </w:rPr>
            </w:pPr>
            <w:r w:rsidRPr="00873B6C">
              <w:rPr>
                <w:rFonts w:eastAsia="SimSun"/>
                <w:lang w:eastAsia="zh-CN"/>
              </w:rPr>
              <w:t>5.2.6.6</w:t>
            </w:r>
          </w:p>
        </w:tc>
      </w:tr>
      <w:tr w:rsidR="00D40151" w:rsidRPr="00873B6C" w14:paraId="3783A6A5" w14:textId="77777777" w:rsidTr="00FD5C4A">
        <w:trPr>
          <w:cantSplit/>
          <w:jc w:val="center"/>
        </w:trPr>
        <w:tc>
          <w:tcPr>
            <w:tcW w:w="2689" w:type="dxa"/>
          </w:tcPr>
          <w:p w14:paraId="731BBA79" w14:textId="77777777" w:rsidR="00D40151" w:rsidRPr="00873B6C" w:rsidRDefault="00D40151" w:rsidP="0082686E">
            <w:pPr>
              <w:pStyle w:val="TAL"/>
            </w:pPr>
            <w:r w:rsidRPr="00873B6C">
              <w:t>Nnef_TrafficInfluence</w:t>
            </w:r>
          </w:p>
        </w:tc>
        <w:tc>
          <w:tcPr>
            <w:tcW w:w="4110" w:type="dxa"/>
          </w:tcPr>
          <w:p w14:paraId="09CDB523" w14:textId="77777777" w:rsidR="00D40151" w:rsidRPr="00873B6C" w:rsidRDefault="00D40151" w:rsidP="009D14FB">
            <w:pPr>
              <w:pStyle w:val="TAL"/>
            </w:pPr>
            <w:r w:rsidRPr="00873B6C">
              <w:t>Provide the ability to influence traffic routing.</w:t>
            </w:r>
          </w:p>
        </w:tc>
        <w:tc>
          <w:tcPr>
            <w:tcW w:w="1843" w:type="dxa"/>
          </w:tcPr>
          <w:p w14:paraId="33AAB8E3" w14:textId="77777777" w:rsidR="00D40151" w:rsidRPr="00873B6C" w:rsidRDefault="00D40151" w:rsidP="009D14FB">
            <w:pPr>
              <w:pStyle w:val="TAC"/>
              <w:rPr>
                <w:rFonts w:eastAsia="SimSun"/>
                <w:lang w:eastAsia="zh-CN"/>
              </w:rPr>
            </w:pPr>
            <w:r w:rsidRPr="00873B6C">
              <w:rPr>
                <w:rFonts w:eastAsia="SimSun"/>
                <w:lang w:eastAsia="zh-CN"/>
              </w:rPr>
              <w:t>5.2.6.7</w:t>
            </w:r>
          </w:p>
        </w:tc>
      </w:tr>
      <w:tr w:rsidR="00D40151" w:rsidRPr="00873B6C" w14:paraId="48A5B242" w14:textId="77777777" w:rsidTr="00FD5C4A">
        <w:trPr>
          <w:cantSplit/>
          <w:jc w:val="center"/>
        </w:trPr>
        <w:tc>
          <w:tcPr>
            <w:tcW w:w="2689" w:type="dxa"/>
          </w:tcPr>
          <w:p w14:paraId="509CDB09" w14:textId="77777777" w:rsidR="00D40151" w:rsidRPr="00873B6C" w:rsidRDefault="00D40151" w:rsidP="0082686E">
            <w:pPr>
              <w:pStyle w:val="TAL"/>
            </w:pPr>
            <w:r w:rsidRPr="00873B6C">
              <w:t>Nnef_ChargeableParty</w:t>
            </w:r>
          </w:p>
        </w:tc>
        <w:tc>
          <w:tcPr>
            <w:tcW w:w="4110" w:type="dxa"/>
          </w:tcPr>
          <w:p w14:paraId="2C8BD2F8" w14:textId="77777777" w:rsidR="00D40151" w:rsidRPr="00873B6C" w:rsidRDefault="00D40151" w:rsidP="009D14FB">
            <w:pPr>
              <w:pStyle w:val="TAL"/>
            </w:pPr>
            <w:r w:rsidRPr="00873B6C">
              <w:t>Requests to become the chargeable party for a data session for a UE.</w:t>
            </w:r>
          </w:p>
        </w:tc>
        <w:tc>
          <w:tcPr>
            <w:tcW w:w="1843" w:type="dxa"/>
          </w:tcPr>
          <w:p w14:paraId="0B2940C0" w14:textId="77777777" w:rsidR="00D40151" w:rsidRPr="00873B6C" w:rsidRDefault="00D40151" w:rsidP="009D14FB">
            <w:pPr>
              <w:pStyle w:val="TAC"/>
              <w:rPr>
                <w:rFonts w:eastAsia="SimSun"/>
                <w:lang w:eastAsia="zh-CN"/>
              </w:rPr>
            </w:pPr>
            <w:r w:rsidRPr="00873B6C">
              <w:rPr>
                <w:rFonts w:eastAsia="SimSun"/>
                <w:lang w:eastAsia="zh-CN"/>
              </w:rPr>
              <w:t>5.2.6.8</w:t>
            </w:r>
          </w:p>
        </w:tc>
      </w:tr>
      <w:tr w:rsidR="00D40151" w:rsidRPr="00873B6C" w14:paraId="68F89FCE" w14:textId="77777777" w:rsidTr="00FD5C4A">
        <w:trPr>
          <w:cantSplit/>
          <w:jc w:val="center"/>
        </w:trPr>
        <w:tc>
          <w:tcPr>
            <w:tcW w:w="2689" w:type="dxa"/>
          </w:tcPr>
          <w:p w14:paraId="17B463C6" w14:textId="77777777" w:rsidR="00D40151" w:rsidRPr="00873B6C" w:rsidRDefault="00D40151" w:rsidP="0082686E">
            <w:pPr>
              <w:pStyle w:val="TAL"/>
            </w:pPr>
            <w:r w:rsidRPr="00873B6C">
              <w:t>Nnef_AFsessionWithQoS</w:t>
            </w:r>
          </w:p>
        </w:tc>
        <w:tc>
          <w:tcPr>
            <w:tcW w:w="4110" w:type="dxa"/>
          </w:tcPr>
          <w:p w14:paraId="7E645594" w14:textId="785BA52B" w:rsidR="00D40151" w:rsidRPr="00873B6C" w:rsidRDefault="00D40151" w:rsidP="009D14FB">
            <w:pPr>
              <w:pStyle w:val="TAL"/>
            </w:pPr>
            <w:r w:rsidRPr="00873B6C">
              <w:t>Requests the network to provide a specific QoS for an A</w:t>
            </w:r>
            <w:r w:rsidR="00022CB9" w:rsidRPr="00873B6C">
              <w:t>F</w:t>
            </w:r>
            <w:r w:rsidRPr="00873B6C">
              <w:t xml:space="preserve"> session.</w:t>
            </w:r>
          </w:p>
        </w:tc>
        <w:tc>
          <w:tcPr>
            <w:tcW w:w="1843" w:type="dxa"/>
          </w:tcPr>
          <w:p w14:paraId="6A3406E0" w14:textId="77777777" w:rsidR="00D40151" w:rsidRPr="00873B6C" w:rsidRDefault="00D40151" w:rsidP="009D14FB">
            <w:pPr>
              <w:pStyle w:val="TAC"/>
              <w:rPr>
                <w:rFonts w:eastAsia="SimSun"/>
                <w:lang w:eastAsia="zh-CN"/>
              </w:rPr>
            </w:pPr>
            <w:r w:rsidRPr="00873B6C">
              <w:rPr>
                <w:rFonts w:eastAsia="SimSun"/>
                <w:lang w:eastAsia="zh-CN"/>
              </w:rPr>
              <w:t>5.2.6.9</w:t>
            </w:r>
          </w:p>
        </w:tc>
      </w:tr>
      <w:tr w:rsidR="00D40151" w:rsidRPr="00873B6C" w14:paraId="0A988E13" w14:textId="77777777" w:rsidTr="00FD5C4A">
        <w:trPr>
          <w:cantSplit/>
          <w:jc w:val="center"/>
        </w:trPr>
        <w:tc>
          <w:tcPr>
            <w:tcW w:w="2689" w:type="dxa"/>
          </w:tcPr>
          <w:p w14:paraId="25179946" w14:textId="77777777" w:rsidR="00D40151" w:rsidRPr="00873B6C" w:rsidRDefault="00D40151" w:rsidP="0082686E">
            <w:pPr>
              <w:pStyle w:val="TAL"/>
            </w:pPr>
            <w:r w:rsidRPr="00873B6C">
              <w:t>Nnef_MSISDN-less_MO_SMS</w:t>
            </w:r>
          </w:p>
        </w:tc>
        <w:tc>
          <w:tcPr>
            <w:tcW w:w="4110" w:type="dxa"/>
          </w:tcPr>
          <w:p w14:paraId="155FDA70" w14:textId="77777777" w:rsidR="00D40151" w:rsidRPr="00873B6C" w:rsidRDefault="00D40151" w:rsidP="009D14FB">
            <w:pPr>
              <w:pStyle w:val="TAL"/>
            </w:pPr>
            <w:r w:rsidRPr="00873B6C">
              <w:t>Used by the NEF to send MSISDN-less MO SM to the AF.</w:t>
            </w:r>
          </w:p>
        </w:tc>
        <w:tc>
          <w:tcPr>
            <w:tcW w:w="1843" w:type="dxa"/>
          </w:tcPr>
          <w:p w14:paraId="194BC385" w14:textId="77777777" w:rsidR="00D40151" w:rsidRPr="00873B6C" w:rsidRDefault="00D40151" w:rsidP="009D14FB">
            <w:pPr>
              <w:pStyle w:val="TAC"/>
              <w:rPr>
                <w:rFonts w:eastAsia="SimSun"/>
                <w:lang w:eastAsia="zh-CN"/>
              </w:rPr>
            </w:pPr>
            <w:r w:rsidRPr="00873B6C">
              <w:rPr>
                <w:rFonts w:eastAsia="SimSun"/>
                <w:lang w:eastAsia="zh-CN"/>
              </w:rPr>
              <w:t>5.2.6.10</w:t>
            </w:r>
          </w:p>
        </w:tc>
      </w:tr>
      <w:tr w:rsidR="00D40151" w:rsidRPr="00873B6C" w14:paraId="00B7863A" w14:textId="77777777" w:rsidTr="00FD5C4A">
        <w:trPr>
          <w:cantSplit/>
          <w:jc w:val="center"/>
        </w:trPr>
        <w:tc>
          <w:tcPr>
            <w:tcW w:w="2689" w:type="dxa"/>
          </w:tcPr>
          <w:p w14:paraId="198F30B1" w14:textId="77777777" w:rsidR="00D40151" w:rsidRPr="00873B6C" w:rsidRDefault="00D40151" w:rsidP="0082686E">
            <w:pPr>
              <w:pStyle w:val="TAL"/>
            </w:pPr>
            <w:r w:rsidRPr="00873B6C">
              <w:t>Nnef_ServiceParameter</w:t>
            </w:r>
          </w:p>
        </w:tc>
        <w:tc>
          <w:tcPr>
            <w:tcW w:w="4110" w:type="dxa"/>
          </w:tcPr>
          <w:p w14:paraId="254BBC36" w14:textId="77777777" w:rsidR="00D40151" w:rsidRPr="00873B6C" w:rsidRDefault="00D40151" w:rsidP="009D14FB">
            <w:pPr>
              <w:pStyle w:val="TAL"/>
            </w:pPr>
            <w:r w:rsidRPr="00873B6C">
              <w:t>Provides support to provision service specific information.</w:t>
            </w:r>
          </w:p>
        </w:tc>
        <w:tc>
          <w:tcPr>
            <w:tcW w:w="1843" w:type="dxa"/>
          </w:tcPr>
          <w:p w14:paraId="65802926" w14:textId="77777777" w:rsidR="00D40151" w:rsidRPr="00873B6C" w:rsidRDefault="00D40151" w:rsidP="009D14FB">
            <w:pPr>
              <w:pStyle w:val="TAC"/>
              <w:rPr>
                <w:rFonts w:eastAsia="SimSun"/>
                <w:lang w:eastAsia="zh-CN"/>
              </w:rPr>
            </w:pPr>
            <w:r w:rsidRPr="00873B6C">
              <w:rPr>
                <w:rFonts w:eastAsia="SimSun"/>
                <w:lang w:eastAsia="zh-CN"/>
              </w:rPr>
              <w:t>5.2.6.11</w:t>
            </w:r>
          </w:p>
        </w:tc>
      </w:tr>
      <w:tr w:rsidR="00D40151" w:rsidRPr="00873B6C" w14:paraId="5A352ED3" w14:textId="77777777" w:rsidTr="00FD5C4A">
        <w:trPr>
          <w:cantSplit/>
          <w:jc w:val="center"/>
        </w:trPr>
        <w:tc>
          <w:tcPr>
            <w:tcW w:w="2689" w:type="dxa"/>
          </w:tcPr>
          <w:p w14:paraId="1BA5165F" w14:textId="77777777" w:rsidR="00D40151" w:rsidRPr="00873B6C" w:rsidRDefault="00D40151" w:rsidP="0082686E">
            <w:pPr>
              <w:pStyle w:val="TAL"/>
            </w:pPr>
            <w:r w:rsidRPr="00873B6C">
              <w:t>Nnef_APISupportCapability</w:t>
            </w:r>
          </w:p>
        </w:tc>
        <w:tc>
          <w:tcPr>
            <w:tcW w:w="4110" w:type="dxa"/>
          </w:tcPr>
          <w:p w14:paraId="2757EFF0" w14:textId="77777777" w:rsidR="00D40151" w:rsidRPr="00873B6C" w:rsidRDefault="00D40151" w:rsidP="009D14FB">
            <w:pPr>
              <w:pStyle w:val="TAL"/>
            </w:pPr>
            <w:r w:rsidRPr="00873B6C">
              <w:t>Provides support for awareness on availability or expected level of a service API.</w:t>
            </w:r>
          </w:p>
        </w:tc>
        <w:tc>
          <w:tcPr>
            <w:tcW w:w="1843" w:type="dxa"/>
          </w:tcPr>
          <w:p w14:paraId="739C9CB8" w14:textId="77777777" w:rsidR="00D40151" w:rsidRPr="00873B6C" w:rsidRDefault="00D40151" w:rsidP="009D14FB">
            <w:pPr>
              <w:pStyle w:val="TAC"/>
              <w:rPr>
                <w:rFonts w:eastAsia="SimSun"/>
                <w:lang w:eastAsia="zh-CN"/>
              </w:rPr>
            </w:pPr>
            <w:r w:rsidRPr="00873B6C">
              <w:rPr>
                <w:rFonts w:eastAsia="SimSun"/>
                <w:lang w:eastAsia="zh-CN"/>
              </w:rPr>
              <w:t>5.2.6.12</w:t>
            </w:r>
          </w:p>
        </w:tc>
      </w:tr>
      <w:tr w:rsidR="00D40151" w:rsidRPr="00873B6C" w14:paraId="6396F07C" w14:textId="77777777" w:rsidTr="00FD5C4A">
        <w:trPr>
          <w:cantSplit/>
          <w:jc w:val="center"/>
        </w:trPr>
        <w:tc>
          <w:tcPr>
            <w:tcW w:w="2689" w:type="dxa"/>
          </w:tcPr>
          <w:p w14:paraId="45522D25" w14:textId="77777777" w:rsidR="00D40151" w:rsidRPr="00873B6C" w:rsidRDefault="00D40151" w:rsidP="0082686E">
            <w:pPr>
              <w:pStyle w:val="TAL"/>
            </w:pPr>
            <w:r w:rsidRPr="00873B6C">
              <w:t>Nnef_NIDDConfiguration</w:t>
            </w:r>
          </w:p>
        </w:tc>
        <w:tc>
          <w:tcPr>
            <w:tcW w:w="4110" w:type="dxa"/>
          </w:tcPr>
          <w:p w14:paraId="7C9AABC5" w14:textId="77777777" w:rsidR="00D40151" w:rsidRPr="00873B6C" w:rsidRDefault="00D40151" w:rsidP="009D14FB">
            <w:pPr>
              <w:pStyle w:val="TAL"/>
            </w:pPr>
            <w:r w:rsidRPr="00873B6C">
              <w:t>Used for configuring necessary information for data delivery via the NIDD API.</w:t>
            </w:r>
          </w:p>
        </w:tc>
        <w:tc>
          <w:tcPr>
            <w:tcW w:w="1843" w:type="dxa"/>
          </w:tcPr>
          <w:p w14:paraId="54BCA1C5" w14:textId="77777777" w:rsidR="00D40151" w:rsidRPr="00873B6C" w:rsidRDefault="00D40151" w:rsidP="009D14FB">
            <w:pPr>
              <w:pStyle w:val="TAC"/>
              <w:rPr>
                <w:rFonts w:eastAsia="SimSun"/>
                <w:lang w:eastAsia="zh-CN"/>
              </w:rPr>
            </w:pPr>
            <w:r w:rsidRPr="00873B6C">
              <w:rPr>
                <w:rFonts w:eastAsia="SimSun"/>
                <w:lang w:eastAsia="zh-CN"/>
              </w:rPr>
              <w:t>5.2.6.13</w:t>
            </w:r>
          </w:p>
        </w:tc>
      </w:tr>
      <w:tr w:rsidR="00D40151" w:rsidRPr="00873B6C" w14:paraId="128D8E7F" w14:textId="77777777" w:rsidTr="00FD5C4A">
        <w:trPr>
          <w:cantSplit/>
          <w:jc w:val="center"/>
        </w:trPr>
        <w:tc>
          <w:tcPr>
            <w:tcW w:w="2689" w:type="dxa"/>
          </w:tcPr>
          <w:p w14:paraId="3094B0CC" w14:textId="77777777" w:rsidR="00D40151" w:rsidRPr="00873B6C" w:rsidRDefault="00D40151" w:rsidP="0082686E">
            <w:pPr>
              <w:pStyle w:val="TAL"/>
            </w:pPr>
            <w:r w:rsidRPr="00873B6C">
              <w:t>Nnef_NIDD</w:t>
            </w:r>
          </w:p>
        </w:tc>
        <w:tc>
          <w:tcPr>
            <w:tcW w:w="4110" w:type="dxa"/>
          </w:tcPr>
          <w:p w14:paraId="534F3D3A" w14:textId="77777777" w:rsidR="00D40151" w:rsidRPr="00873B6C" w:rsidRDefault="00D40151" w:rsidP="009D14FB">
            <w:pPr>
              <w:pStyle w:val="TAL"/>
            </w:pPr>
            <w:r w:rsidRPr="00873B6C">
              <w:t>Used for NEF anchored MO and MT unstructured data transport.</w:t>
            </w:r>
          </w:p>
        </w:tc>
        <w:tc>
          <w:tcPr>
            <w:tcW w:w="1843" w:type="dxa"/>
          </w:tcPr>
          <w:p w14:paraId="21ECBFFA" w14:textId="77777777" w:rsidR="00D40151" w:rsidRPr="00873B6C" w:rsidRDefault="00D40151" w:rsidP="009D14FB">
            <w:pPr>
              <w:pStyle w:val="TAC"/>
              <w:rPr>
                <w:rFonts w:eastAsia="SimSun"/>
                <w:lang w:eastAsia="zh-CN"/>
              </w:rPr>
            </w:pPr>
            <w:r w:rsidRPr="00873B6C">
              <w:rPr>
                <w:rFonts w:eastAsia="SimSun"/>
                <w:lang w:eastAsia="zh-CN"/>
              </w:rPr>
              <w:t>5.2.6.14</w:t>
            </w:r>
          </w:p>
        </w:tc>
      </w:tr>
      <w:tr w:rsidR="00D40151" w:rsidRPr="00873B6C" w14:paraId="134BB3A7" w14:textId="77777777" w:rsidTr="00FD5C4A">
        <w:trPr>
          <w:cantSplit/>
          <w:jc w:val="center"/>
        </w:trPr>
        <w:tc>
          <w:tcPr>
            <w:tcW w:w="2689" w:type="dxa"/>
          </w:tcPr>
          <w:p w14:paraId="5BA06C36" w14:textId="77777777" w:rsidR="00D40151" w:rsidRPr="00873B6C" w:rsidRDefault="00D40151" w:rsidP="0082686E">
            <w:pPr>
              <w:pStyle w:val="TAL"/>
            </w:pPr>
            <w:r w:rsidRPr="00873B6C">
              <w:t>Nnef_SMContext</w:t>
            </w:r>
          </w:p>
        </w:tc>
        <w:tc>
          <w:tcPr>
            <w:tcW w:w="4110" w:type="dxa"/>
          </w:tcPr>
          <w:p w14:paraId="346437CC" w14:textId="77777777" w:rsidR="00D40151" w:rsidRPr="00873B6C" w:rsidRDefault="00D40151" w:rsidP="009D14FB">
            <w:pPr>
              <w:pStyle w:val="TAL"/>
            </w:pPr>
            <w:r w:rsidRPr="00873B6C">
              <w:t>Provides the capability to create, update or release the SMF-NEF Connection.</w:t>
            </w:r>
          </w:p>
        </w:tc>
        <w:tc>
          <w:tcPr>
            <w:tcW w:w="1843" w:type="dxa"/>
          </w:tcPr>
          <w:p w14:paraId="03BD6155" w14:textId="77777777" w:rsidR="00D40151" w:rsidRPr="00873B6C" w:rsidRDefault="00D40151" w:rsidP="009D14FB">
            <w:pPr>
              <w:pStyle w:val="TAC"/>
              <w:rPr>
                <w:rFonts w:eastAsia="SimSun"/>
                <w:lang w:eastAsia="zh-CN"/>
              </w:rPr>
            </w:pPr>
            <w:r w:rsidRPr="00873B6C">
              <w:rPr>
                <w:rFonts w:eastAsia="SimSun"/>
                <w:lang w:eastAsia="zh-CN"/>
              </w:rPr>
              <w:t>5.2.6.15</w:t>
            </w:r>
          </w:p>
        </w:tc>
      </w:tr>
      <w:tr w:rsidR="00D40151" w:rsidRPr="00873B6C" w14:paraId="61831DFC" w14:textId="77777777" w:rsidTr="00FD5C4A">
        <w:trPr>
          <w:cantSplit/>
          <w:jc w:val="center"/>
        </w:trPr>
        <w:tc>
          <w:tcPr>
            <w:tcW w:w="2689" w:type="dxa"/>
          </w:tcPr>
          <w:p w14:paraId="5A37C2DE" w14:textId="77777777" w:rsidR="00D40151" w:rsidRPr="00873B6C" w:rsidRDefault="00D40151" w:rsidP="0082686E">
            <w:pPr>
              <w:pStyle w:val="TAL"/>
            </w:pPr>
            <w:r w:rsidRPr="00873B6C">
              <w:t>Nnef_AnalyticsExposure</w:t>
            </w:r>
          </w:p>
        </w:tc>
        <w:tc>
          <w:tcPr>
            <w:tcW w:w="4110" w:type="dxa"/>
          </w:tcPr>
          <w:p w14:paraId="283B9724" w14:textId="77777777" w:rsidR="00D40151" w:rsidRPr="00873B6C" w:rsidRDefault="00D40151" w:rsidP="009D14FB">
            <w:pPr>
              <w:pStyle w:val="TAL"/>
            </w:pPr>
            <w:r w:rsidRPr="00873B6C">
              <w:t>Provides support for exposure of network analytics.</w:t>
            </w:r>
          </w:p>
        </w:tc>
        <w:tc>
          <w:tcPr>
            <w:tcW w:w="1843" w:type="dxa"/>
          </w:tcPr>
          <w:p w14:paraId="1122076A" w14:textId="77777777" w:rsidR="00D40151" w:rsidRPr="00873B6C" w:rsidRDefault="00D40151" w:rsidP="009D14FB">
            <w:pPr>
              <w:pStyle w:val="TAC"/>
              <w:rPr>
                <w:rFonts w:eastAsia="SimSun"/>
                <w:lang w:eastAsia="zh-CN"/>
              </w:rPr>
            </w:pPr>
            <w:r w:rsidRPr="00873B6C">
              <w:rPr>
                <w:rFonts w:eastAsia="SimSun"/>
                <w:lang w:eastAsia="zh-CN"/>
              </w:rPr>
              <w:t>5.2.6.16</w:t>
            </w:r>
          </w:p>
        </w:tc>
      </w:tr>
      <w:tr w:rsidR="00D40151" w:rsidRPr="00873B6C" w14:paraId="3308D98C" w14:textId="77777777" w:rsidTr="00FD5C4A">
        <w:trPr>
          <w:cantSplit/>
          <w:jc w:val="center"/>
        </w:trPr>
        <w:tc>
          <w:tcPr>
            <w:tcW w:w="2689" w:type="dxa"/>
          </w:tcPr>
          <w:p w14:paraId="7E223A63" w14:textId="77777777" w:rsidR="00D40151" w:rsidRPr="00873B6C" w:rsidRDefault="00D40151" w:rsidP="0082686E">
            <w:pPr>
              <w:pStyle w:val="TAL"/>
            </w:pPr>
            <w:r w:rsidRPr="00873B6C">
              <w:t>Nnef_UCMFProvisioning</w:t>
            </w:r>
          </w:p>
        </w:tc>
        <w:tc>
          <w:tcPr>
            <w:tcW w:w="4110" w:type="dxa"/>
          </w:tcPr>
          <w:p w14:paraId="0226F31C" w14:textId="1B8FE329" w:rsidR="00D40151" w:rsidRPr="00873B6C" w:rsidRDefault="00D40151" w:rsidP="009D14FB">
            <w:pPr>
              <w:pStyle w:val="TAL"/>
            </w:pPr>
            <w:r w:rsidRPr="00873B6C">
              <w:t>Provides the ability to configure the UCMF with dictionary entries consisting of UE manufacturer-assigned UE Radio Capability IDs, the corresponding UE radio capabilities</w:t>
            </w:r>
            <w:r w:rsidR="00E83620" w:rsidRPr="00873B6C">
              <w:t>, the corresponding UE Radio Capability for Paging</w:t>
            </w:r>
            <w:r w:rsidRPr="00873B6C">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873B6C" w:rsidRDefault="00D40151" w:rsidP="009D14FB">
            <w:pPr>
              <w:pStyle w:val="TAC"/>
              <w:rPr>
                <w:rFonts w:eastAsia="SimSun"/>
                <w:lang w:eastAsia="zh-CN"/>
              </w:rPr>
            </w:pPr>
            <w:r w:rsidRPr="00873B6C">
              <w:rPr>
                <w:rFonts w:eastAsia="SimSun"/>
                <w:lang w:eastAsia="zh-CN"/>
              </w:rPr>
              <w:t>5.2.6.17</w:t>
            </w:r>
          </w:p>
        </w:tc>
      </w:tr>
      <w:tr w:rsidR="00D40151" w:rsidRPr="00873B6C" w14:paraId="4F5C8C19" w14:textId="77777777" w:rsidTr="00FD5C4A">
        <w:trPr>
          <w:cantSplit/>
          <w:jc w:val="center"/>
        </w:trPr>
        <w:tc>
          <w:tcPr>
            <w:tcW w:w="2689" w:type="dxa"/>
          </w:tcPr>
          <w:p w14:paraId="758E9AEF" w14:textId="77777777" w:rsidR="00D40151" w:rsidRPr="00873B6C" w:rsidRDefault="00D40151" w:rsidP="0082686E">
            <w:pPr>
              <w:pStyle w:val="TAL"/>
            </w:pPr>
            <w:r w:rsidRPr="00873B6C">
              <w:t>Nnef_ECRestriction</w:t>
            </w:r>
          </w:p>
        </w:tc>
        <w:tc>
          <w:tcPr>
            <w:tcW w:w="4110" w:type="dxa"/>
          </w:tcPr>
          <w:p w14:paraId="7ADAC32C" w14:textId="77777777" w:rsidR="00D40151" w:rsidRPr="00873B6C" w:rsidRDefault="00D40151" w:rsidP="009D14FB">
            <w:pPr>
              <w:pStyle w:val="TAL"/>
            </w:pPr>
            <w:r w:rsidRPr="00873B6C">
              <w:t>Provides support for queuing status of enhanced coverage restriction, or enable/disable enhanced coverage restriction per individual UEs.</w:t>
            </w:r>
          </w:p>
        </w:tc>
        <w:tc>
          <w:tcPr>
            <w:tcW w:w="1843" w:type="dxa"/>
          </w:tcPr>
          <w:p w14:paraId="357E7508" w14:textId="77777777" w:rsidR="00D40151" w:rsidRPr="00873B6C" w:rsidRDefault="00D40151" w:rsidP="009D14FB">
            <w:pPr>
              <w:pStyle w:val="TAC"/>
              <w:rPr>
                <w:rFonts w:eastAsia="SimSun"/>
                <w:lang w:eastAsia="zh-CN"/>
              </w:rPr>
            </w:pPr>
            <w:r w:rsidRPr="00873B6C">
              <w:rPr>
                <w:rFonts w:eastAsia="SimSun"/>
                <w:lang w:eastAsia="zh-CN"/>
              </w:rPr>
              <w:t>5.2.6.18</w:t>
            </w:r>
          </w:p>
        </w:tc>
      </w:tr>
      <w:tr w:rsidR="00D40151" w:rsidRPr="00873B6C" w14:paraId="15795EAB" w14:textId="77777777" w:rsidTr="00FD5C4A">
        <w:trPr>
          <w:cantSplit/>
          <w:jc w:val="center"/>
        </w:trPr>
        <w:tc>
          <w:tcPr>
            <w:tcW w:w="2689" w:type="dxa"/>
          </w:tcPr>
          <w:p w14:paraId="2C776CE8" w14:textId="77777777" w:rsidR="00D40151" w:rsidRPr="00873B6C" w:rsidRDefault="00D40151" w:rsidP="0082686E">
            <w:pPr>
              <w:pStyle w:val="TAL"/>
            </w:pPr>
            <w:r w:rsidRPr="00873B6C">
              <w:t>Nnef_ApplyPolicy</w:t>
            </w:r>
          </w:p>
        </w:tc>
        <w:tc>
          <w:tcPr>
            <w:tcW w:w="4110" w:type="dxa"/>
          </w:tcPr>
          <w:p w14:paraId="7C99C13E" w14:textId="77777777" w:rsidR="00D40151" w:rsidRPr="00873B6C" w:rsidRDefault="00D40151" w:rsidP="009D14FB">
            <w:pPr>
              <w:pStyle w:val="TAL"/>
            </w:pPr>
            <w:r w:rsidRPr="00873B6C">
              <w:t>Provides the capability to apply a previously negotiated Background Data Transfer Policy to a UE or a group of UEs.</w:t>
            </w:r>
          </w:p>
        </w:tc>
        <w:tc>
          <w:tcPr>
            <w:tcW w:w="1843" w:type="dxa"/>
          </w:tcPr>
          <w:p w14:paraId="319753DF" w14:textId="77777777" w:rsidR="00D40151" w:rsidRPr="00873B6C" w:rsidRDefault="00D40151" w:rsidP="009D14FB">
            <w:pPr>
              <w:pStyle w:val="TAC"/>
              <w:rPr>
                <w:rFonts w:eastAsia="SimSun"/>
                <w:lang w:eastAsia="zh-CN"/>
              </w:rPr>
            </w:pPr>
            <w:r w:rsidRPr="00873B6C">
              <w:rPr>
                <w:rFonts w:eastAsia="SimSun"/>
                <w:lang w:eastAsia="zh-CN"/>
              </w:rPr>
              <w:t>5.2.6.19</w:t>
            </w:r>
          </w:p>
        </w:tc>
      </w:tr>
      <w:tr w:rsidR="00D40151" w:rsidRPr="00873B6C" w14:paraId="4C88E09A" w14:textId="77777777" w:rsidTr="00FD5C4A">
        <w:trPr>
          <w:cantSplit/>
          <w:jc w:val="center"/>
        </w:trPr>
        <w:tc>
          <w:tcPr>
            <w:tcW w:w="2689" w:type="dxa"/>
          </w:tcPr>
          <w:p w14:paraId="6C3172A0" w14:textId="77777777" w:rsidR="00D40151" w:rsidRPr="00873B6C" w:rsidRDefault="00D40151" w:rsidP="0082686E">
            <w:pPr>
              <w:pStyle w:val="TAL"/>
            </w:pPr>
            <w:r w:rsidRPr="00873B6C">
              <w:t>Nnef_Location</w:t>
            </w:r>
          </w:p>
        </w:tc>
        <w:tc>
          <w:tcPr>
            <w:tcW w:w="4110" w:type="dxa"/>
          </w:tcPr>
          <w:p w14:paraId="40076048" w14:textId="77777777" w:rsidR="00D40151" w:rsidRPr="00873B6C" w:rsidRDefault="00D40151" w:rsidP="009D14FB">
            <w:pPr>
              <w:pStyle w:val="TAL"/>
            </w:pPr>
            <w:r w:rsidRPr="00873B6C">
              <w:t>Provides the capability to deliver UE location to AF.</w:t>
            </w:r>
          </w:p>
        </w:tc>
        <w:tc>
          <w:tcPr>
            <w:tcW w:w="1843" w:type="dxa"/>
          </w:tcPr>
          <w:p w14:paraId="7605833E" w14:textId="77777777" w:rsidR="00D40151" w:rsidRPr="00873B6C" w:rsidRDefault="00D40151" w:rsidP="009D14FB">
            <w:pPr>
              <w:pStyle w:val="TAC"/>
              <w:rPr>
                <w:rFonts w:eastAsia="SimSun"/>
                <w:lang w:eastAsia="zh-CN"/>
              </w:rPr>
            </w:pPr>
            <w:r w:rsidRPr="00873B6C">
              <w:rPr>
                <w:rFonts w:eastAsia="SimSun"/>
                <w:lang w:eastAsia="zh-CN"/>
              </w:rPr>
              <w:t>5.2.6.21</w:t>
            </w:r>
          </w:p>
        </w:tc>
      </w:tr>
      <w:tr w:rsidR="00967FB9" w:rsidRPr="00873B6C" w14:paraId="21214ADA" w14:textId="77777777" w:rsidTr="00FD5C4A">
        <w:trPr>
          <w:cantSplit/>
          <w:jc w:val="center"/>
        </w:trPr>
        <w:tc>
          <w:tcPr>
            <w:tcW w:w="2689" w:type="dxa"/>
          </w:tcPr>
          <w:p w14:paraId="0B88A8C1" w14:textId="580E9A0A" w:rsidR="00967FB9" w:rsidRPr="00873B6C" w:rsidRDefault="00967FB9" w:rsidP="0082686E">
            <w:pPr>
              <w:pStyle w:val="TAL"/>
            </w:pPr>
            <w:r w:rsidRPr="00873B6C">
              <w:t>Nnef_AMInfluence</w:t>
            </w:r>
          </w:p>
        </w:tc>
        <w:tc>
          <w:tcPr>
            <w:tcW w:w="4110" w:type="dxa"/>
          </w:tcPr>
          <w:p w14:paraId="14BE9D07" w14:textId="00673556" w:rsidR="00967FB9" w:rsidRPr="00873B6C" w:rsidRDefault="00967FB9" w:rsidP="00405088">
            <w:pPr>
              <w:pStyle w:val="TAL"/>
            </w:pPr>
            <w:r w:rsidRPr="00873B6C">
              <w:t>Provides the ability to influence access and mobility management related policies for one or multiple UEs.</w:t>
            </w:r>
          </w:p>
        </w:tc>
        <w:tc>
          <w:tcPr>
            <w:tcW w:w="1843" w:type="dxa"/>
          </w:tcPr>
          <w:p w14:paraId="6F9ACFC2" w14:textId="5F240CEC" w:rsidR="00967FB9" w:rsidRPr="00873B6C" w:rsidRDefault="00967FB9" w:rsidP="00405088">
            <w:pPr>
              <w:pStyle w:val="TAC"/>
              <w:rPr>
                <w:rFonts w:eastAsia="SimSun"/>
                <w:lang w:eastAsia="zh-CN"/>
              </w:rPr>
            </w:pPr>
            <w:r w:rsidRPr="00873B6C">
              <w:rPr>
                <w:rFonts w:eastAsia="SimSun"/>
                <w:lang w:eastAsia="zh-CN"/>
              </w:rPr>
              <w:t>5.2.6.22</w:t>
            </w:r>
          </w:p>
        </w:tc>
      </w:tr>
      <w:tr w:rsidR="00967FB9" w:rsidRPr="00873B6C" w14:paraId="35A14037" w14:textId="77777777" w:rsidTr="00FD5C4A">
        <w:trPr>
          <w:cantSplit/>
          <w:jc w:val="center"/>
        </w:trPr>
        <w:tc>
          <w:tcPr>
            <w:tcW w:w="2689" w:type="dxa"/>
          </w:tcPr>
          <w:p w14:paraId="15414CF6" w14:textId="05FC7DDE" w:rsidR="00967FB9" w:rsidRPr="00873B6C" w:rsidRDefault="00967FB9" w:rsidP="0082686E">
            <w:pPr>
              <w:pStyle w:val="TAL"/>
            </w:pPr>
            <w:r w:rsidRPr="00873B6C">
              <w:t>Nnef_AMPolicyAuthorization</w:t>
            </w:r>
          </w:p>
        </w:tc>
        <w:tc>
          <w:tcPr>
            <w:tcW w:w="4110" w:type="dxa"/>
          </w:tcPr>
          <w:p w14:paraId="053242F3" w14:textId="12790624" w:rsidR="00967FB9" w:rsidRPr="00873B6C" w:rsidRDefault="00967FB9" w:rsidP="00405088">
            <w:pPr>
              <w:pStyle w:val="TAL"/>
            </w:pPr>
            <w:r w:rsidRPr="00873B6C">
              <w:t>Provides the ability to provide inputs that can be used by the PCF for deciding access and mobility management related policies.</w:t>
            </w:r>
          </w:p>
        </w:tc>
        <w:tc>
          <w:tcPr>
            <w:tcW w:w="1843" w:type="dxa"/>
          </w:tcPr>
          <w:p w14:paraId="743F25FD" w14:textId="1641CFDD" w:rsidR="00967FB9" w:rsidRPr="00873B6C" w:rsidRDefault="00967FB9" w:rsidP="00405088">
            <w:pPr>
              <w:pStyle w:val="TAC"/>
              <w:rPr>
                <w:rFonts w:eastAsia="SimSun"/>
                <w:lang w:eastAsia="zh-CN"/>
              </w:rPr>
            </w:pPr>
            <w:r w:rsidRPr="00873B6C">
              <w:rPr>
                <w:rFonts w:eastAsia="SimSun"/>
                <w:lang w:eastAsia="zh-CN"/>
              </w:rPr>
              <w:t>5.2.6.23</w:t>
            </w:r>
          </w:p>
        </w:tc>
      </w:tr>
      <w:tr w:rsidR="00C05113" w:rsidRPr="00873B6C" w14:paraId="55EAFC84" w14:textId="77777777" w:rsidTr="00FD5C4A">
        <w:trPr>
          <w:cantSplit/>
          <w:jc w:val="center"/>
        </w:trPr>
        <w:tc>
          <w:tcPr>
            <w:tcW w:w="2689" w:type="dxa"/>
          </w:tcPr>
          <w:p w14:paraId="33E5AADB" w14:textId="5A1600AA" w:rsidR="00C05113" w:rsidRPr="00873B6C" w:rsidRDefault="00C05113" w:rsidP="0082686E">
            <w:pPr>
              <w:pStyle w:val="TAL"/>
            </w:pPr>
            <w:r w:rsidRPr="00873B6C">
              <w:t>Nnef_AKMA</w:t>
            </w:r>
          </w:p>
        </w:tc>
        <w:tc>
          <w:tcPr>
            <w:tcW w:w="4110" w:type="dxa"/>
          </w:tcPr>
          <w:p w14:paraId="0CD85F51" w14:textId="573AE17A" w:rsidR="00C05113" w:rsidRPr="00873B6C" w:rsidRDefault="00C05113" w:rsidP="009D14FB">
            <w:pPr>
              <w:pStyle w:val="TAL"/>
            </w:pPr>
            <w:r w:rsidRPr="00873B6C">
              <w:t>AKMA Application Key derivation service</w:t>
            </w:r>
            <w:r w:rsidR="007C344D" w:rsidRPr="00873B6C">
              <w:t>.</w:t>
            </w:r>
          </w:p>
        </w:tc>
        <w:tc>
          <w:tcPr>
            <w:tcW w:w="1843" w:type="dxa"/>
          </w:tcPr>
          <w:p w14:paraId="63CD4C0A" w14:textId="33F972BE" w:rsidR="00C05113" w:rsidRPr="00873B6C" w:rsidRDefault="00C05113" w:rsidP="009D14FB">
            <w:pPr>
              <w:pStyle w:val="TAC"/>
              <w:rPr>
                <w:rFonts w:eastAsia="SimSun"/>
                <w:lang w:eastAsia="zh-CN"/>
              </w:rPr>
            </w:pPr>
            <w:r w:rsidRPr="00873B6C">
              <w:rPr>
                <w:rFonts w:eastAsia="SimSun"/>
                <w:lang w:eastAsia="zh-CN"/>
              </w:rPr>
              <w:t>TS 33.535 [124]</w:t>
            </w:r>
          </w:p>
        </w:tc>
      </w:tr>
      <w:tr w:rsidR="0053150F" w:rsidRPr="00873B6C" w14:paraId="6BBD7814" w14:textId="77777777" w:rsidTr="00C9561D">
        <w:trPr>
          <w:cantSplit/>
          <w:jc w:val="center"/>
        </w:trPr>
        <w:tc>
          <w:tcPr>
            <w:tcW w:w="2689" w:type="dxa"/>
          </w:tcPr>
          <w:p w14:paraId="57B86D28" w14:textId="69B363FA" w:rsidR="0053150F" w:rsidRPr="00873B6C" w:rsidRDefault="0053150F" w:rsidP="0082686E">
            <w:pPr>
              <w:pStyle w:val="TAL"/>
            </w:pPr>
            <w:r w:rsidRPr="00873B6C">
              <w:t>Nnef_Authentication</w:t>
            </w:r>
          </w:p>
        </w:tc>
        <w:tc>
          <w:tcPr>
            <w:tcW w:w="4110" w:type="dxa"/>
          </w:tcPr>
          <w:p w14:paraId="59407D48" w14:textId="006FDAE1" w:rsidR="0053150F" w:rsidRPr="00873B6C" w:rsidRDefault="0053150F" w:rsidP="00C9561D">
            <w:pPr>
              <w:pStyle w:val="TAL"/>
            </w:pPr>
            <w:r w:rsidRPr="00873B6C">
              <w:t>This service enables the consumer to authenticate and authorize the Service Level Device Identity as described in TS 23.256 [136].</w:t>
            </w:r>
          </w:p>
        </w:tc>
        <w:tc>
          <w:tcPr>
            <w:tcW w:w="1843" w:type="dxa"/>
          </w:tcPr>
          <w:p w14:paraId="1A1326A0" w14:textId="1031E6D3" w:rsidR="0053150F" w:rsidRPr="00873B6C" w:rsidRDefault="0053150F" w:rsidP="00C9561D">
            <w:pPr>
              <w:pStyle w:val="TAC"/>
              <w:rPr>
                <w:rFonts w:eastAsia="SimSun"/>
                <w:lang w:eastAsia="zh-CN"/>
              </w:rPr>
            </w:pPr>
            <w:r w:rsidRPr="00873B6C">
              <w:rPr>
                <w:rFonts w:eastAsia="SimSun"/>
                <w:lang w:eastAsia="zh-CN"/>
              </w:rPr>
              <w:t>TS 23.256 [136]</w:t>
            </w:r>
          </w:p>
        </w:tc>
      </w:tr>
      <w:tr w:rsidR="0053150F" w:rsidRPr="00873B6C" w14:paraId="23D94392" w14:textId="77777777" w:rsidTr="00C9561D">
        <w:trPr>
          <w:cantSplit/>
          <w:jc w:val="center"/>
        </w:trPr>
        <w:tc>
          <w:tcPr>
            <w:tcW w:w="2689" w:type="dxa"/>
          </w:tcPr>
          <w:p w14:paraId="756179EE" w14:textId="4988B056" w:rsidR="0053150F" w:rsidRPr="00873B6C" w:rsidRDefault="0053150F" w:rsidP="0082686E">
            <w:pPr>
              <w:pStyle w:val="TAL"/>
            </w:pPr>
            <w:r w:rsidRPr="00873B6C">
              <w:t>Nnef_TimeSynchronization</w:t>
            </w:r>
          </w:p>
        </w:tc>
        <w:tc>
          <w:tcPr>
            <w:tcW w:w="4110" w:type="dxa"/>
          </w:tcPr>
          <w:p w14:paraId="378F9300" w14:textId="568CEC0B" w:rsidR="0053150F" w:rsidRPr="00873B6C" w:rsidRDefault="0053150F" w:rsidP="00C9561D">
            <w:pPr>
              <w:pStyle w:val="TAL"/>
            </w:pPr>
            <w:r w:rsidRPr="00873B6C">
              <w:t>Provides the ability to support for</w:t>
            </w:r>
            <w:r w:rsidR="00F50296" w:rsidRPr="00873B6C">
              <w:t xml:space="preserve"> (g)PTP or 5G access stratum based</w:t>
            </w:r>
            <w:r w:rsidRPr="00873B6C">
              <w:t xml:space="preserve"> time synchronization service.</w:t>
            </w:r>
          </w:p>
        </w:tc>
        <w:tc>
          <w:tcPr>
            <w:tcW w:w="1843" w:type="dxa"/>
          </w:tcPr>
          <w:p w14:paraId="1A074470" w14:textId="71BB40AC" w:rsidR="0053150F" w:rsidRPr="00873B6C" w:rsidRDefault="0053150F" w:rsidP="00C9561D">
            <w:pPr>
              <w:pStyle w:val="TAC"/>
              <w:rPr>
                <w:rFonts w:eastAsia="SimSun"/>
                <w:lang w:eastAsia="zh-CN"/>
              </w:rPr>
            </w:pPr>
            <w:r w:rsidRPr="00873B6C">
              <w:rPr>
                <w:rFonts w:eastAsia="SimSun"/>
                <w:lang w:eastAsia="zh-CN"/>
              </w:rPr>
              <w:t>5.2.6.25</w:t>
            </w:r>
          </w:p>
        </w:tc>
      </w:tr>
      <w:tr w:rsidR="007C344D" w:rsidRPr="00873B6C" w14:paraId="76C49F45" w14:textId="77777777" w:rsidTr="00FD5C4A">
        <w:trPr>
          <w:cantSplit/>
          <w:jc w:val="center"/>
        </w:trPr>
        <w:tc>
          <w:tcPr>
            <w:tcW w:w="2689" w:type="dxa"/>
          </w:tcPr>
          <w:p w14:paraId="5C90D041" w14:textId="048E9F99" w:rsidR="007C344D" w:rsidRPr="00873B6C" w:rsidRDefault="007C344D" w:rsidP="0082686E">
            <w:pPr>
              <w:pStyle w:val="TAL"/>
            </w:pPr>
            <w:r w:rsidRPr="00873B6C">
              <w:t>Nnef_EASDeployment</w:t>
            </w:r>
          </w:p>
        </w:tc>
        <w:tc>
          <w:tcPr>
            <w:tcW w:w="4110" w:type="dxa"/>
          </w:tcPr>
          <w:p w14:paraId="3A9234F1" w14:textId="4A6F4235" w:rsidR="007C344D" w:rsidRPr="00873B6C" w:rsidRDefault="007C344D" w:rsidP="007C344D">
            <w:pPr>
              <w:pStyle w:val="TAL"/>
            </w:pPr>
            <w:r w:rsidRPr="00873B6C">
              <w:t>EAS deployment service.</w:t>
            </w:r>
          </w:p>
        </w:tc>
        <w:tc>
          <w:tcPr>
            <w:tcW w:w="1843" w:type="dxa"/>
          </w:tcPr>
          <w:p w14:paraId="1605C789" w14:textId="66F12408" w:rsidR="007C344D" w:rsidRPr="00873B6C" w:rsidRDefault="007C344D" w:rsidP="007C344D">
            <w:pPr>
              <w:pStyle w:val="TAC"/>
              <w:rPr>
                <w:rFonts w:eastAsia="SimSun"/>
                <w:lang w:eastAsia="zh-CN"/>
              </w:rPr>
            </w:pPr>
            <w:r w:rsidRPr="00873B6C">
              <w:rPr>
                <w:rFonts w:eastAsia="SimSun"/>
                <w:lang w:eastAsia="zh-CN"/>
              </w:rPr>
              <w:t>5.2.6.26</w:t>
            </w:r>
          </w:p>
        </w:tc>
      </w:tr>
      <w:tr w:rsidR="00700DBF" w:rsidRPr="00873B6C" w14:paraId="25268608" w14:textId="77777777" w:rsidTr="00C9561D">
        <w:trPr>
          <w:cantSplit/>
          <w:jc w:val="center"/>
        </w:trPr>
        <w:tc>
          <w:tcPr>
            <w:tcW w:w="2689" w:type="dxa"/>
          </w:tcPr>
          <w:p w14:paraId="63492201" w14:textId="77777777" w:rsidR="00700DBF" w:rsidRPr="00873B6C" w:rsidRDefault="00700DBF" w:rsidP="0082686E">
            <w:pPr>
              <w:pStyle w:val="TAL"/>
            </w:pPr>
            <w:r w:rsidRPr="00873B6C">
              <w:lastRenderedPageBreak/>
              <w:t>Nnef_UEId</w:t>
            </w:r>
          </w:p>
        </w:tc>
        <w:tc>
          <w:tcPr>
            <w:tcW w:w="4110" w:type="dxa"/>
          </w:tcPr>
          <w:p w14:paraId="07AA59FB" w14:textId="0CD94074" w:rsidR="00700DBF" w:rsidRPr="00873B6C" w:rsidRDefault="00700DBF" w:rsidP="00C9561D">
            <w:pPr>
              <w:pStyle w:val="TAL"/>
            </w:pPr>
            <w:r w:rsidRPr="00873B6C">
              <w:t>UE Identifier service, which supports to retrieve</w:t>
            </w:r>
            <w:r w:rsidR="00883CA6" w:rsidRPr="00873B6C">
              <w:t xml:space="preserve"> an</w:t>
            </w:r>
            <w:r w:rsidRPr="00873B6C">
              <w:t xml:space="preserve"> AF specific UE Identifier based on</w:t>
            </w:r>
            <w:r w:rsidR="00883CA6" w:rsidRPr="00873B6C">
              <w:t xml:space="preserve"> the</w:t>
            </w:r>
            <w:r w:rsidRPr="00873B6C">
              <w:t xml:space="preserve"> UE address.</w:t>
            </w:r>
          </w:p>
        </w:tc>
        <w:tc>
          <w:tcPr>
            <w:tcW w:w="1843" w:type="dxa"/>
          </w:tcPr>
          <w:p w14:paraId="2D4AAEF4" w14:textId="77777777" w:rsidR="00700DBF" w:rsidRPr="00873B6C" w:rsidRDefault="00700DBF" w:rsidP="00C9561D">
            <w:pPr>
              <w:pStyle w:val="TAC"/>
              <w:rPr>
                <w:rFonts w:eastAsia="SimSun"/>
                <w:lang w:eastAsia="zh-CN"/>
              </w:rPr>
            </w:pPr>
            <w:r w:rsidRPr="00873B6C">
              <w:rPr>
                <w:rFonts w:eastAsia="SimSun"/>
                <w:lang w:eastAsia="zh-CN"/>
              </w:rPr>
              <w:t>5.2.6.27</w:t>
            </w:r>
          </w:p>
        </w:tc>
      </w:tr>
      <w:tr w:rsidR="00BB2064" w:rsidRPr="00873B6C" w14:paraId="6A38F569" w14:textId="77777777" w:rsidTr="00C9561D">
        <w:trPr>
          <w:cantSplit/>
          <w:jc w:val="center"/>
        </w:trPr>
        <w:tc>
          <w:tcPr>
            <w:tcW w:w="2689" w:type="dxa"/>
          </w:tcPr>
          <w:p w14:paraId="3437435E" w14:textId="53EB36B2" w:rsidR="00BB2064" w:rsidRPr="00873B6C" w:rsidRDefault="00BB2064" w:rsidP="0082686E">
            <w:pPr>
              <w:pStyle w:val="TAL"/>
            </w:pPr>
            <w:r w:rsidRPr="00873B6C">
              <w:t>Nnef_MBSTMGI</w:t>
            </w:r>
          </w:p>
        </w:tc>
        <w:tc>
          <w:tcPr>
            <w:tcW w:w="4110" w:type="dxa"/>
          </w:tcPr>
          <w:p w14:paraId="47204BDC" w14:textId="3E694000" w:rsidR="00BB2064" w:rsidRPr="00873B6C" w:rsidRDefault="00BB2064" w:rsidP="00C9561D">
            <w:pPr>
              <w:pStyle w:val="TAL"/>
            </w:pPr>
            <w:r w:rsidRPr="00873B6C">
              <w:t>Allows AF to request allocation/deallocation of TMGI(s) for MBS Session.</w:t>
            </w:r>
          </w:p>
        </w:tc>
        <w:tc>
          <w:tcPr>
            <w:tcW w:w="1843" w:type="dxa"/>
          </w:tcPr>
          <w:p w14:paraId="3D0B012D" w14:textId="18BB1271" w:rsidR="00BB2064" w:rsidRPr="00873B6C" w:rsidRDefault="00BB2064" w:rsidP="00C9561D">
            <w:pPr>
              <w:pStyle w:val="TAC"/>
              <w:rPr>
                <w:rFonts w:eastAsia="SimSun"/>
                <w:lang w:eastAsia="zh-CN"/>
              </w:rPr>
            </w:pPr>
            <w:r w:rsidRPr="00873B6C">
              <w:rPr>
                <w:rFonts w:eastAsia="SimSun"/>
                <w:lang w:eastAsia="zh-CN"/>
              </w:rPr>
              <w:t>TS 23.247 [129]</w:t>
            </w:r>
          </w:p>
        </w:tc>
      </w:tr>
      <w:tr w:rsidR="00BB2064" w:rsidRPr="00873B6C" w14:paraId="50C17151" w14:textId="77777777" w:rsidTr="00C9561D">
        <w:trPr>
          <w:cantSplit/>
          <w:jc w:val="center"/>
        </w:trPr>
        <w:tc>
          <w:tcPr>
            <w:tcW w:w="2689" w:type="dxa"/>
          </w:tcPr>
          <w:p w14:paraId="155D5112" w14:textId="5A00BE97" w:rsidR="00BB2064" w:rsidRPr="00873B6C" w:rsidRDefault="00BB2064" w:rsidP="0082686E">
            <w:pPr>
              <w:pStyle w:val="TAL"/>
            </w:pPr>
            <w:r w:rsidRPr="00873B6C">
              <w:t>Nnef_MBSSession</w:t>
            </w:r>
          </w:p>
        </w:tc>
        <w:tc>
          <w:tcPr>
            <w:tcW w:w="4110" w:type="dxa"/>
          </w:tcPr>
          <w:p w14:paraId="37FBDB08" w14:textId="261B1605" w:rsidR="00BB2064" w:rsidRPr="00873B6C" w:rsidRDefault="00BB2064" w:rsidP="00BB2064">
            <w:pPr>
              <w:pStyle w:val="TAL"/>
            </w:pPr>
            <w:r w:rsidRPr="00873B6C">
              <w:t>Allows AF to create, update and delete MBS Session.</w:t>
            </w:r>
          </w:p>
        </w:tc>
        <w:tc>
          <w:tcPr>
            <w:tcW w:w="1843" w:type="dxa"/>
          </w:tcPr>
          <w:p w14:paraId="540EA449" w14:textId="37E04806" w:rsidR="00BB2064" w:rsidRPr="00873B6C" w:rsidRDefault="00BB2064" w:rsidP="00BB2064">
            <w:pPr>
              <w:pStyle w:val="TAC"/>
              <w:rPr>
                <w:rFonts w:eastAsia="SimSun"/>
                <w:lang w:eastAsia="zh-CN"/>
              </w:rPr>
            </w:pPr>
            <w:r w:rsidRPr="00873B6C">
              <w:rPr>
                <w:rFonts w:eastAsia="SimSun"/>
                <w:lang w:eastAsia="zh-CN"/>
              </w:rPr>
              <w:t>TS 23.247 [129]</w:t>
            </w:r>
          </w:p>
        </w:tc>
      </w:tr>
      <w:tr w:rsidR="002C4A81" w:rsidRPr="00873B6C" w14:paraId="4B92F430" w14:textId="77777777" w:rsidTr="00C9561D">
        <w:trPr>
          <w:cantSplit/>
          <w:jc w:val="center"/>
        </w:trPr>
        <w:tc>
          <w:tcPr>
            <w:tcW w:w="2689" w:type="dxa"/>
          </w:tcPr>
          <w:p w14:paraId="6343A51E" w14:textId="46909150" w:rsidR="002C4A81" w:rsidRPr="00873B6C" w:rsidRDefault="002C4A81" w:rsidP="00C9561D">
            <w:pPr>
              <w:pStyle w:val="TAL"/>
            </w:pPr>
            <w:r w:rsidRPr="00873B6C">
              <w:t>Nnef_MBSGroupMsgDelivery</w:t>
            </w:r>
          </w:p>
        </w:tc>
        <w:tc>
          <w:tcPr>
            <w:tcW w:w="4110" w:type="dxa"/>
          </w:tcPr>
          <w:p w14:paraId="35226743" w14:textId="44806E8D" w:rsidR="002C4A81" w:rsidRPr="00873B6C" w:rsidRDefault="002C4A81" w:rsidP="00C9561D">
            <w:pPr>
              <w:pStyle w:val="TAL"/>
            </w:pPr>
            <w:r w:rsidRPr="00873B6C">
              <w:t>Allows AF to request to create, update and delete resource for group message delivery via MBS Session.</w:t>
            </w:r>
          </w:p>
        </w:tc>
        <w:tc>
          <w:tcPr>
            <w:tcW w:w="1843" w:type="dxa"/>
          </w:tcPr>
          <w:p w14:paraId="03E03662" w14:textId="06DF7297" w:rsidR="002C4A81" w:rsidRPr="00873B6C" w:rsidRDefault="002C4A81" w:rsidP="00C9561D">
            <w:pPr>
              <w:pStyle w:val="TAC"/>
              <w:rPr>
                <w:rFonts w:eastAsia="SimSun"/>
                <w:lang w:eastAsia="zh-CN"/>
              </w:rPr>
            </w:pPr>
            <w:r w:rsidRPr="00873B6C">
              <w:rPr>
                <w:rFonts w:eastAsia="SimSun"/>
                <w:lang w:eastAsia="zh-CN"/>
              </w:rPr>
              <w:t>TS 23.247 [129]</w:t>
            </w:r>
          </w:p>
        </w:tc>
      </w:tr>
      <w:tr w:rsidR="00F50296" w:rsidRPr="00873B6C" w14:paraId="1C18F9C5" w14:textId="77777777" w:rsidTr="00C9561D">
        <w:trPr>
          <w:cantSplit/>
          <w:jc w:val="center"/>
        </w:trPr>
        <w:tc>
          <w:tcPr>
            <w:tcW w:w="2689" w:type="dxa"/>
          </w:tcPr>
          <w:p w14:paraId="1F20B5E1" w14:textId="5B3D6B4A" w:rsidR="00F50296" w:rsidRPr="00873B6C" w:rsidRDefault="00F50296" w:rsidP="0082686E">
            <w:pPr>
              <w:pStyle w:val="TAL"/>
            </w:pPr>
            <w:r w:rsidRPr="00873B6C">
              <w:t>Nnef_ASTI</w:t>
            </w:r>
          </w:p>
        </w:tc>
        <w:tc>
          <w:tcPr>
            <w:tcW w:w="4110" w:type="dxa"/>
          </w:tcPr>
          <w:p w14:paraId="44EE3C2C" w14:textId="7D6F743B" w:rsidR="00F50296" w:rsidRPr="00873B6C" w:rsidRDefault="00F50296" w:rsidP="00BB2064">
            <w:pPr>
              <w:pStyle w:val="TAL"/>
            </w:pPr>
            <w:r w:rsidRPr="00873B6C">
              <w:t>Provides the ability to influence 5G access stratum based time distribution configuration.</w:t>
            </w:r>
          </w:p>
        </w:tc>
        <w:tc>
          <w:tcPr>
            <w:tcW w:w="1843" w:type="dxa"/>
          </w:tcPr>
          <w:p w14:paraId="0287501C" w14:textId="30D5E403" w:rsidR="00F50296" w:rsidRPr="00873B6C" w:rsidRDefault="00F50296" w:rsidP="00BB2064">
            <w:pPr>
              <w:pStyle w:val="TAC"/>
              <w:rPr>
                <w:rFonts w:eastAsia="SimSun"/>
                <w:lang w:eastAsia="zh-CN"/>
              </w:rPr>
            </w:pPr>
            <w:r w:rsidRPr="00873B6C">
              <w:rPr>
                <w:rFonts w:eastAsia="SimSun"/>
                <w:lang w:eastAsia="zh-CN"/>
              </w:rPr>
              <w:t>5.2.6.28</w:t>
            </w:r>
          </w:p>
        </w:tc>
      </w:tr>
      <w:tr w:rsidR="00183D3D" w:rsidRPr="00873B6C" w14:paraId="232B0D56" w14:textId="77777777" w:rsidTr="00C9561D">
        <w:trPr>
          <w:cantSplit/>
          <w:jc w:val="center"/>
        </w:trPr>
        <w:tc>
          <w:tcPr>
            <w:tcW w:w="2689" w:type="dxa"/>
          </w:tcPr>
          <w:p w14:paraId="469903B7" w14:textId="11E98423" w:rsidR="00183D3D" w:rsidRPr="00873B6C" w:rsidRDefault="00183D3D" w:rsidP="0082686E">
            <w:pPr>
              <w:pStyle w:val="TAL"/>
            </w:pPr>
            <w:r w:rsidRPr="00873B6C">
              <w:t>Nnef_SMService</w:t>
            </w:r>
          </w:p>
        </w:tc>
        <w:tc>
          <w:tcPr>
            <w:tcW w:w="4110" w:type="dxa"/>
          </w:tcPr>
          <w:p w14:paraId="77304C3C" w14:textId="76FFEED9" w:rsidR="00183D3D" w:rsidRPr="00873B6C" w:rsidRDefault="00183D3D" w:rsidP="00BB2064">
            <w:pPr>
              <w:pStyle w:val="TAL"/>
            </w:pPr>
            <w:r w:rsidRPr="00873B6C">
              <w:t>Used for SBI-based MO SM transmit through NEF for MSISDN-less MO SMS.</w:t>
            </w:r>
          </w:p>
        </w:tc>
        <w:tc>
          <w:tcPr>
            <w:tcW w:w="1843" w:type="dxa"/>
          </w:tcPr>
          <w:p w14:paraId="12E981F3" w14:textId="3C27B2F2" w:rsidR="00183D3D" w:rsidRPr="00873B6C" w:rsidRDefault="00183D3D" w:rsidP="00BB2064">
            <w:pPr>
              <w:pStyle w:val="TAC"/>
              <w:rPr>
                <w:rFonts w:eastAsia="SimSun"/>
                <w:lang w:eastAsia="zh-CN"/>
              </w:rPr>
            </w:pPr>
            <w:r w:rsidRPr="00873B6C">
              <w:rPr>
                <w:rFonts w:eastAsia="SimSun"/>
                <w:lang w:eastAsia="zh-CN"/>
              </w:rPr>
              <w:t>5.2.6.29</w:t>
            </w:r>
          </w:p>
        </w:tc>
      </w:tr>
      <w:tr w:rsidR="00A92B4B" w:rsidRPr="00873B6C" w14:paraId="42B9C119" w14:textId="77777777" w:rsidTr="00C9561D">
        <w:trPr>
          <w:cantSplit/>
          <w:jc w:val="center"/>
        </w:trPr>
        <w:tc>
          <w:tcPr>
            <w:tcW w:w="2689" w:type="dxa"/>
          </w:tcPr>
          <w:p w14:paraId="4A230C3C" w14:textId="0FED1965" w:rsidR="00A92B4B" w:rsidRPr="00873B6C" w:rsidRDefault="00A92B4B" w:rsidP="0082686E">
            <w:pPr>
              <w:pStyle w:val="TAL"/>
            </w:pPr>
            <w:r w:rsidRPr="00873B6C">
              <w:t>Nnef_PDTQPolicyNegotiation</w:t>
            </w:r>
          </w:p>
        </w:tc>
        <w:tc>
          <w:tcPr>
            <w:tcW w:w="4110" w:type="dxa"/>
          </w:tcPr>
          <w:p w14:paraId="3D993998" w14:textId="1B1B1972" w:rsidR="00A92B4B" w:rsidRPr="00873B6C" w:rsidRDefault="00A92B4B" w:rsidP="00BB2064">
            <w:pPr>
              <w:pStyle w:val="TAL"/>
            </w:pPr>
            <w:r w:rsidRPr="00873B6C">
              <w:t>Provides support for negotiation for Planned Data Transfer with QoS requirements policy and optionally notification for the renegotiation.</w:t>
            </w:r>
          </w:p>
        </w:tc>
        <w:tc>
          <w:tcPr>
            <w:tcW w:w="1843" w:type="dxa"/>
          </w:tcPr>
          <w:p w14:paraId="3A434BA5" w14:textId="429ED19F" w:rsidR="00A92B4B" w:rsidRPr="00873B6C" w:rsidRDefault="00A92B4B" w:rsidP="00BB2064">
            <w:pPr>
              <w:pStyle w:val="TAC"/>
              <w:rPr>
                <w:rFonts w:eastAsia="SimSun"/>
                <w:lang w:eastAsia="zh-CN"/>
              </w:rPr>
            </w:pPr>
            <w:r w:rsidRPr="00873B6C">
              <w:rPr>
                <w:rFonts w:eastAsia="SimSun"/>
                <w:lang w:eastAsia="zh-CN"/>
              </w:rPr>
              <w:t>5.2.6.30</w:t>
            </w:r>
          </w:p>
        </w:tc>
      </w:tr>
      <w:tr w:rsidR="006514B8" w:rsidRPr="00873B6C" w14:paraId="636957FE" w14:textId="77777777" w:rsidTr="00C9561D">
        <w:trPr>
          <w:cantSplit/>
          <w:jc w:val="center"/>
        </w:trPr>
        <w:tc>
          <w:tcPr>
            <w:tcW w:w="2689" w:type="dxa"/>
          </w:tcPr>
          <w:p w14:paraId="208510E1" w14:textId="7FB55AFB" w:rsidR="006514B8" w:rsidRPr="00873B6C" w:rsidRDefault="006514B8" w:rsidP="0082686E">
            <w:pPr>
              <w:pStyle w:val="TAL"/>
            </w:pPr>
            <w:r w:rsidRPr="00873B6C">
              <w:t>Nnef_Member</w:t>
            </w:r>
            <w:r w:rsidR="00A13197" w:rsidRPr="00873B6C">
              <w:t>UE</w:t>
            </w:r>
            <w:r w:rsidRPr="00873B6C">
              <w:t>SelectionAssistance</w:t>
            </w:r>
          </w:p>
        </w:tc>
        <w:tc>
          <w:tcPr>
            <w:tcW w:w="4110" w:type="dxa"/>
          </w:tcPr>
          <w:p w14:paraId="2BE55969" w14:textId="5A1EDFD3" w:rsidR="006514B8" w:rsidRPr="00873B6C" w:rsidRDefault="006514B8" w:rsidP="00BB2064">
            <w:pPr>
              <w:pStyle w:val="TAL"/>
            </w:pPr>
            <w:r w:rsidRPr="00873B6C">
              <w:t>Provides one or more list(s) of candidate UE(s) (among the list of target member UE(s) provided by the AF) and additional information based on the parameters contained in the request from the AF.</w:t>
            </w:r>
          </w:p>
        </w:tc>
        <w:tc>
          <w:tcPr>
            <w:tcW w:w="1843" w:type="dxa"/>
          </w:tcPr>
          <w:p w14:paraId="18A3EA89" w14:textId="33269E0C" w:rsidR="006514B8" w:rsidRPr="00873B6C" w:rsidRDefault="006514B8" w:rsidP="00BB2064">
            <w:pPr>
              <w:pStyle w:val="TAC"/>
              <w:rPr>
                <w:rFonts w:eastAsia="SimSun"/>
                <w:lang w:eastAsia="zh-CN"/>
              </w:rPr>
            </w:pPr>
            <w:r w:rsidRPr="00873B6C">
              <w:rPr>
                <w:rFonts w:eastAsia="SimSun"/>
                <w:lang w:eastAsia="zh-CN"/>
              </w:rPr>
              <w:t>5.2.6.31</w:t>
            </w:r>
          </w:p>
        </w:tc>
      </w:tr>
      <w:tr w:rsidR="003D4653" w:rsidRPr="00873B6C" w14:paraId="7E319280" w14:textId="77777777" w:rsidTr="00C9561D">
        <w:trPr>
          <w:cantSplit/>
          <w:jc w:val="center"/>
        </w:trPr>
        <w:tc>
          <w:tcPr>
            <w:tcW w:w="2689" w:type="dxa"/>
          </w:tcPr>
          <w:p w14:paraId="4ED18FAD" w14:textId="384FBC12" w:rsidR="003D4653" w:rsidRPr="00873B6C" w:rsidRDefault="003D4653" w:rsidP="0082686E">
            <w:pPr>
              <w:pStyle w:val="TAL"/>
            </w:pPr>
            <w:r w:rsidRPr="00873B6C">
              <w:t>Nnef_DNAIMapping</w:t>
            </w:r>
          </w:p>
        </w:tc>
        <w:tc>
          <w:tcPr>
            <w:tcW w:w="4110" w:type="dxa"/>
          </w:tcPr>
          <w:p w14:paraId="5881C2FA" w14:textId="7B523291" w:rsidR="003D4653" w:rsidRPr="00873B6C" w:rsidRDefault="003D4653" w:rsidP="00BB2064">
            <w:pPr>
              <w:pStyle w:val="TAL"/>
            </w:pPr>
            <w:r w:rsidRPr="00873B6C">
              <w:t>Allows AF to obtain DNAI.</w:t>
            </w:r>
          </w:p>
        </w:tc>
        <w:tc>
          <w:tcPr>
            <w:tcW w:w="1843" w:type="dxa"/>
          </w:tcPr>
          <w:p w14:paraId="0521D694" w14:textId="10929741" w:rsidR="003D4653" w:rsidRPr="00873B6C" w:rsidRDefault="003D4653" w:rsidP="00BB2064">
            <w:pPr>
              <w:pStyle w:val="TAC"/>
              <w:rPr>
                <w:rFonts w:eastAsia="SimSun"/>
                <w:lang w:eastAsia="zh-CN"/>
              </w:rPr>
            </w:pPr>
            <w:r w:rsidRPr="00873B6C">
              <w:rPr>
                <w:rFonts w:eastAsia="SimSun"/>
                <w:lang w:eastAsia="zh-CN"/>
              </w:rPr>
              <w:t>5.2.6.3</w:t>
            </w:r>
            <w:r w:rsidR="00A10084" w:rsidRPr="00873B6C">
              <w:rPr>
                <w:rFonts w:eastAsia="SimSun"/>
                <w:lang w:eastAsia="zh-CN"/>
              </w:rPr>
              <w:t>4</w:t>
            </w:r>
          </w:p>
        </w:tc>
      </w:tr>
      <w:tr w:rsidR="00B975A9" w:rsidRPr="00873B6C" w14:paraId="41446376" w14:textId="77777777" w:rsidTr="00C9561D">
        <w:trPr>
          <w:cantSplit/>
          <w:jc w:val="center"/>
        </w:trPr>
        <w:tc>
          <w:tcPr>
            <w:tcW w:w="2689" w:type="dxa"/>
          </w:tcPr>
          <w:p w14:paraId="0E0ACFA9" w14:textId="4676C8D3" w:rsidR="00B975A9" w:rsidRPr="00873B6C" w:rsidRDefault="00B975A9" w:rsidP="0082686E">
            <w:pPr>
              <w:pStyle w:val="TAL"/>
            </w:pPr>
            <w:r w:rsidRPr="00873B6C">
              <w:t>Nnef_TrafficInfluenceData</w:t>
            </w:r>
          </w:p>
        </w:tc>
        <w:tc>
          <w:tcPr>
            <w:tcW w:w="4110" w:type="dxa"/>
          </w:tcPr>
          <w:p w14:paraId="4FCD3779" w14:textId="55D888B3" w:rsidR="00B975A9" w:rsidRPr="00873B6C" w:rsidRDefault="00B975A9" w:rsidP="00BB2064">
            <w:pPr>
              <w:pStyle w:val="TAL"/>
            </w:pPr>
            <w:r w:rsidRPr="00873B6C">
              <w:t>Used in HR SBO as defined in TS 23.548 [</w:t>
            </w:r>
            <w:r w:rsidR="00972E70" w:rsidRPr="00873B6C">
              <w:t>130</w:t>
            </w:r>
            <w:r w:rsidRPr="00873B6C">
              <w:t>] to get AF Traffic Influence configuration from the V-NEF.</w:t>
            </w:r>
          </w:p>
        </w:tc>
        <w:tc>
          <w:tcPr>
            <w:tcW w:w="1843" w:type="dxa"/>
          </w:tcPr>
          <w:p w14:paraId="0ED5F5D3" w14:textId="62C15168" w:rsidR="00B975A9" w:rsidRPr="00873B6C" w:rsidRDefault="00B975A9" w:rsidP="00BB2064">
            <w:pPr>
              <w:pStyle w:val="TAC"/>
              <w:rPr>
                <w:rFonts w:eastAsia="SimSun"/>
                <w:lang w:eastAsia="zh-CN"/>
              </w:rPr>
            </w:pPr>
            <w:r w:rsidRPr="00873B6C">
              <w:rPr>
                <w:rFonts w:eastAsia="SimSun"/>
                <w:lang w:eastAsia="zh-CN"/>
              </w:rPr>
              <w:t>5.2.6.3</w:t>
            </w:r>
            <w:r w:rsidR="00A10084" w:rsidRPr="00873B6C">
              <w:rPr>
                <w:rFonts w:eastAsia="SimSun"/>
                <w:lang w:eastAsia="zh-CN"/>
              </w:rPr>
              <w:t>5</w:t>
            </w:r>
          </w:p>
        </w:tc>
      </w:tr>
      <w:tr w:rsidR="00A10084" w:rsidRPr="00873B6C" w14:paraId="20AB28D4" w14:textId="77777777" w:rsidTr="00C9561D">
        <w:trPr>
          <w:cantSplit/>
          <w:jc w:val="center"/>
        </w:trPr>
        <w:tc>
          <w:tcPr>
            <w:tcW w:w="2689" w:type="dxa"/>
          </w:tcPr>
          <w:p w14:paraId="200DA137" w14:textId="25148F31" w:rsidR="00A10084" w:rsidRPr="00873B6C" w:rsidRDefault="00A10084" w:rsidP="00C9561D">
            <w:pPr>
              <w:pStyle w:val="TAL"/>
            </w:pPr>
            <w:r w:rsidRPr="00873B6C">
              <w:t>Nnef_ECSAddress</w:t>
            </w:r>
          </w:p>
        </w:tc>
        <w:tc>
          <w:tcPr>
            <w:tcW w:w="4110" w:type="dxa"/>
          </w:tcPr>
          <w:p w14:paraId="45EE8502" w14:textId="32F28D57" w:rsidR="00A10084" w:rsidRPr="00873B6C" w:rsidRDefault="00A10084" w:rsidP="00C9561D">
            <w:pPr>
              <w:pStyle w:val="TAL"/>
            </w:pPr>
            <w:r w:rsidRPr="00873B6C">
              <w:t>This service is defined only for the support of HR-SBO. It allows AF to provide ECS Address Configuration Information for a group of UE or any UE to V-NEF. It allows V-SMF to subscribe and retrieve ECS Address Configuration Information.</w:t>
            </w:r>
          </w:p>
        </w:tc>
        <w:tc>
          <w:tcPr>
            <w:tcW w:w="1843" w:type="dxa"/>
          </w:tcPr>
          <w:p w14:paraId="6A71893F" w14:textId="055388EA" w:rsidR="00A10084" w:rsidRPr="00873B6C" w:rsidRDefault="00A10084" w:rsidP="00C9561D">
            <w:pPr>
              <w:pStyle w:val="TAC"/>
              <w:rPr>
                <w:rFonts w:eastAsia="SimSun"/>
                <w:lang w:eastAsia="zh-CN"/>
              </w:rPr>
            </w:pPr>
            <w:r w:rsidRPr="00873B6C">
              <w:rPr>
                <w:rFonts w:eastAsia="SimSun"/>
                <w:lang w:eastAsia="zh-CN"/>
              </w:rPr>
              <w:t>5.2.6.37</w:t>
            </w:r>
          </w:p>
        </w:tc>
      </w:tr>
    </w:tbl>
    <w:p w14:paraId="098FE4CE" w14:textId="77777777" w:rsidR="0001796C" w:rsidRPr="00873B6C" w:rsidRDefault="0001796C" w:rsidP="0001796C">
      <w:pPr>
        <w:pStyle w:val="FP"/>
      </w:pPr>
      <w:bookmarkStart w:id="6023" w:name="_Toc20150259"/>
      <w:bookmarkStart w:id="6024" w:name="_Toc27847067"/>
      <w:bookmarkStart w:id="6025" w:name="_Toc36188200"/>
      <w:bookmarkStart w:id="6026" w:name="_Toc45184113"/>
      <w:bookmarkStart w:id="6027" w:name="_Toc47342955"/>
      <w:bookmarkStart w:id="6028" w:name="_Toc51769657"/>
    </w:p>
    <w:p w14:paraId="1199E58E" w14:textId="77777777" w:rsidR="00D40151" w:rsidRPr="00873B6C" w:rsidRDefault="00D40151" w:rsidP="00D40151">
      <w:pPr>
        <w:pStyle w:val="Heading3"/>
      </w:pPr>
      <w:bookmarkStart w:id="6029" w:name="_CR7_2_8A"/>
      <w:bookmarkStart w:id="6030" w:name="_Toc201157835"/>
      <w:bookmarkEnd w:id="6029"/>
      <w:r w:rsidRPr="00873B6C">
        <w:t>7.2.8A</w:t>
      </w:r>
      <w:r w:rsidRPr="00873B6C">
        <w:tab/>
        <w:t>Void</w:t>
      </w:r>
      <w:bookmarkEnd w:id="6023"/>
      <w:bookmarkEnd w:id="6024"/>
      <w:bookmarkEnd w:id="6025"/>
      <w:bookmarkEnd w:id="6026"/>
      <w:bookmarkEnd w:id="6027"/>
      <w:bookmarkEnd w:id="6028"/>
      <w:bookmarkEnd w:id="6030"/>
    </w:p>
    <w:p w14:paraId="58084131" w14:textId="77777777" w:rsidR="00D40151" w:rsidRPr="00873B6C" w:rsidRDefault="00D40151" w:rsidP="00D40151"/>
    <w:p w14:paraId="4FB9CF04" w14:textId="77777777" w:rsidR="00D40151" w:rsidRPr="00873B6C" w:rsidRDefault="00D40151" w:rsidP="00D40151">
      <w:pPr>
        <w:pStyle w:val="Heading3"/>
      </w:pPr>
      <w:bookmarkStart w:id="6031" w:name="_CR7_2_9"/>
      <w:bookmarkStart w:id="6032" w:name="_Toc20150260"/>
      <w:bookmarkStart w:id="6033" w:name="_Toc27847068"/>
      <w:bookmarkStart w:id="6034" w:name="_Toc36188201"/>
      <w:bookmarkStart w:id="6035" w:name="_Toc45184114"/>
      <w:bookmarkStart w:id="6036" w:name="_Toc47342956"/>
      <w:bookmarkStart w:id="6037" w:name="_Toc51769658"/>
      <w:bookmarkStart w:id="6038" w:name="_Toc201157836"/>
      <w:bookmarkEnd w:id="6031"/>
      <w:r w:rsidRPr="00873B6C">
        <w:t>7.2.9</w:t>
      </w:r>
      <w:r w:rsidRPr="00873B6C">
        <w:tab/>
        <w:t>SM</w:t>
      </w:r>
      <w:r w:rsidRPr="00873B6C">
        <w:rPr>
          <w:lang w:eastAsia="zh-CN"/>
        </w:rPr>
        <w:t>S</w:t>
      </w:r>
      <w:r w:rsidRPr="00873B6C">
        <w:t>F Services</w:t>
      </w:r>
      <w:bookmarkEnd w:id="6032"/>
      <w:bookmarkEnd w:id="6033"/>
      <w:bookmarkEnd w:id="6034"/>
      <w:bookmarkEnd w:id="6035"/>
      <w:bookmarkEnd w:id="6036"/>
      <w:bookmarkEnd w:id="6037"/>
      <w:bookmarkEnd w:id="6038"/>
    </w:p>
    <w:p w14:paraId="26479A9B" w14:textId="77777777" w:rsidR="00D40151" w:rsidRPr="00873B6C" w:rsidRDefault="00D40151" w:rsidP="00D40151">
      <w:r w:rsidRPr="00873B6C">
        <w:rPr>
          <w:lang w:eastAsia="zh-CN"/>
        </w:rPr>
        <w:t>The following NF services are specified for SMSF:</w:t>
      </w:r>
    </w:p>
    <w:p w14:paraId="2402F118" w14:textId="77777777" w:rsidR="00D40151" w:rsidRPr="00873B6C" w:rsidRDefault="00D40151" w:rsidP="00D40151">
      <w:pPr>
        <w:pStyle w:val="TH"/>
      </w:pPr>
      <w:bookmarkStart w:id="6039" w:name="_CRTable7_2_91"/>
      <w:r w:rsidRPr="00873B6C">
        <w:t xml:space="preserve">Table </w:t>
      </w:r>
      <w:bookmarkEnd w:id="6039"/>
      <w:r w:rsidRPr="00873B6C">
        <w:t>7.2.</w:t>
      </w:r>
      <w:r w:rsidRPr="00873B6C">
        <w:rPr>
          <w:lang w:eastAsia="zh-CN"/>
        </w:rPr>
        <w:t>9</w:t>
      </w:r>
      <w:r w:rsidRPr="00873B6C">
        <w:t>-1: NF Services provided by SM</w:t>
      </w:r>
      <w:r w:rsidRPr="00873B6C">
        <w:rPr>
          <w:lang w:eastAsia="zh-CN"/>
        </w:rPr>
        <w:t>S</w:t>
      </w:r>
      <w:r w:rsidRPr="00873B6C">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F793708" w14:textId="77777777" w:rsidTr="00FD5C4A">
        <w:trPr>
          <w:cantSplit/>
          <w:tblHeader/>
          <w:jc w:val="center"/>
        </w:trPr>
        <w:tc>
          <w:tcPr>
            <w:tcW w:w="2235" w:type="dxa"/>
          </w:tcPr>
          <w:p w14:paraId="1FE7F5D2" w14:textId="77777777" w:rsidR="00D40151" w:rsidRPr="00873B6C" w:rsidRDefault="00D40151" w:rsidP="009D14FB">
            <w:pPr>
              <w:pStyle w:val="TAH"/>
            </w:pPr>
            <w:r w:rsidRPr="00873B6C">
              <w:t>Service Name</w:t>
            </w:r>
          </w:p>
        </w:tc>
        <w:tc>
          <w:tcPr>
            <w:tcW w:w="3827" w:type="dxa"/>
          </w:tcPr>
          <w:p w14:paraId="20CE3370" w14:textId="77777777" w:rsidR="00D40151" w:rsidRPr="00873B6C" w:rsidRDefault="00D40151" w:rsidP="009D14FB">
            <w:pPr>
              <w:pStyle w:val="TAH"/>
            </w:pPr>
            <w:r w:rsidRPr="00873B6C">
              <w:t>Description</w:t>
            </w:r>
          </w:p>
        </w:tc>
        <w:tc>
          <w:tcPr>
            <w:tcW w:w="1843" w:type="dxa"/>
          </w:tcPr>
          <w:p w14:paraId="2198015E" w14:textId="77777777" w:rsidR="00D40151" w:rsidRPr="00873B6C" w:rsidRDefault="00D40151" w:rsidP="009D14FB">
            <w:pPr>
              <w:pStyle w:val="TAH"/>
            </w:pPr>
            <w:r w:rsidRPr="00873B6C">
              <w:rPr>
                <w:lang w:eastAsia="zh-CN"/>
              </w:rPr>
              <w:t>Reference in TS 23.502 [3]</w:t>
            </w:r>
          </w:p>
        </w:tc>
      </w:tr>
      <w:tr w:rsidR="00D40151" w:rsidRPr="00873B6C" w14:paraId="205F7523" w14:textId="77777777" w:rsidTr="00FD5C4A">
        <w:trPr>
          <w:cantSplit/>
          <w:jc w:val="center"/>
        </w:trPr>
        <w:tc>
          <w:tcPr>
            <w:tcW w:w="2235" w:type="dxa"/>
          </w:tcPr>
          <w:p w14:paraId="48411D79" w14:textId="77777777" w:rsidR="00D40151" w:rsidRPr="00873B6C" w:rsidRDefault="00D40151" w:rsidP="009D14FB">
            <w:pPr>
              <w:pStyle w:val="TAL"/>
              <w:rPr>
                <w:lang w:eastAsia="zh-CN"/>
              </w:rPr>
            </w:pPr>
            <w:r w:rsidRPr="00873B6C">
              <w:rPr>
                <w:lang w:eastAsia="zh-CN"/>
              </w:rPr>
              <w:t>Nsmsf_SMService</w:t>
            </w:r>
          </w:p>
        </w:tc>
        <w:tc>
          <w:tcPr>
            <w:tcW w:w="3827" w:type="dxa"/>
          </w:tcPr>
          <w:p w14:paraId="55A5CD75" w14:textId="77777777" w:rsidR="00D40151" w:rsidRPr="00873B6C" w:rsidRDefault="00D40151" w:rsidP="009D14FB">
            <w:pPr>
              <w:pStyle w:val="TAL"/>
              <w:rPr>
                <w:lang w:eastAsia="zh-CN"/>
              </w:rPr>
            </w:pPr>
            <w:r w:rsidRPr="00873B6C">
              <w:rPr>
                <w:lang w:eastAsia="zh-CN"/>
              </w:rPr>
              <w:t>This service allows AMF to authorize SMS and activate SMS for the served user on SMSF.</w:t>
            </w:r>
          </w:p>
          <w:p w14:paraId="0514968F" w14:textId="7FB9776C" w:rsidR="00183D3D" w:rsidRPr="00873B6C" w:rsidRDefault="00183D3D" w:rsidP="009D14FB">
            <w:pPr>
              <w:pStyle w:val="TAL"/>
              <w:rPr>
                <w:lang w:eastAsia="zh-CN"/>
              </w:rPr>
            </w:pPr>
            <w:r w:rsidRPr="00873B6C">
              <w:rPr>
                <w:lang w:eastAsia="zh-CN"/>
              </w:rPr>
              <w:t>Additionally, this service allows downlink SMS message transmit from consumer NF to SMSF.</w:t>
            </w:r>
          </w:p>
        </w:tc>
        <w:tc>
          <w:tcPr>
            <w:tcW w:w="1843" w:type="dxa"/>
          </w:tcPr>
          <w:p w14:paraId="01E09923" w14:textId="77777777" w:rsidR="00D40151" w:rsidRPr="00873B6C" w:rsidRDefault="00D40151" w:rsidP="009D14FB">
            <w:pPr>
              <w:pStyle w:val="TAC"/>
              <w:rPr>
                <w:lang w:eastAsia="zh-CN"/>
              </w:rPr>
            </w:pPr>
            <w:r w:rsidRPr="00873B6C">
              <w:rPr>
                <w:lang w:eastAsia="zh-CN"/>
              </w:rPr>
              <w:t>5.2.9.2</w:t>
            </w:r>
          </w:p>
        </w:tc>
      </w:tr>
    </w:tbl>
    <w:p w14:paraId="091D73A5" w14:textId="77777777" w:rsidR="00D40151" w:rsidRPr="00873B6C" w:rsidRDefault="00D40151" w:rsidP="00D40151">
      <w:pPr>
        <w:pStyle w:val="FP"/>
      </w:pPr>
    </w:p>
    <w:p w14:paraId="49EA46B3" w14:textId="77777777" w:rsidR="00D40151" w:rsidRPr="00873B6C" w:rsidRDefault="00D40151" w:rsidP="00D40151">
      <w:pPr>
        <w:pStyle w:val="Heading3"/>
      </w:pPr>
      <w:bookmarkStart w:id="6040" w:name="_CR7_2_10"/>
      <w:bookmarkStart w:id="6041" w:name="_Toc20150261"/>
      <w:bookmarkStart w:id="6042" w:name="_Toc27847069"/>
      <w:bookmarkStart w:id="6043" w:name="_Toc36188202"/>
      <w:bookmarkStart w:id="6044" w:name="_Toc45184115"/>
      <w:bookmarkStart w:id="6045" w:name="_Toc47342957"/>
      <w:bookmarkStart w:id="6046" w:name="_Toc51769659"/>
      <w:bookmarkStart w:id="6047" w:name="_Toc201157837"/>
      <w:bookmarkEnd w:id="6040"/>
      <w:r w:rsidRPr="00873B6C">
        <w:t>7.2.10</w:t>
      </w:r>
      <w:r w:rsidRPr="00873B6C">
        <w:tab/>
        <w:t>UDR Services</w:t>
      </w:r>
      <w:bookmarkEnd w:id="6041"/>
      <w:bookmarkEnd w:id="6042"/>
      <w:bookmarkEnd w:id="6043"/>
      <w:bookmarkEnd w:id="6044"/>
      <w:bookmarkEnd w:id="6045"/>
      <w:bookmarkEnd w:id="6046"/>
      <w:bookmarkEnd w:id="6047"/>
    </w:p>
    <w:p w14:paraId="3BA71EFD" w14:textId="77777777" w:rsidR="00D40151" w:rsidRPr="00873B6C" w:rsidRDefault="00D40151" w:rsidP="00D40151">
      <w:r w:rsidRPr="00873B6C">
        <w:rPr>
          <w:lang w:eastAsia="zh-CN"/>
        </w:rPr>
        <w:t>The following NF services are specified for UDR:</w:t>
      </w:r>
    </w:p>
    <w:p w14:paraId="155CA136" w14:textId="77777777" w:rsidR="00D40151" w:rsidRPr="00873B6C" w:rsidRDefault="00D40151" w:rsidP="00D40151">
      <w:pPr>
        <w:pStyle w:val="TH"/>
      </w:pPr>
      <w:bookmarkStart w:id="6048" w:name="_CRTable7_2_101"/>
      <w:r w:rsidRPr="00873B6C">
        <w:lastRenderedPageBreak/>
        <w:t xml:space="preserve">Table </w:t>
      </w:r>
      <w:bookmarkEnd w:id="6048"/>
      <w:r w:rsidRPr="00873B6C">
        <w:t>7.2.</w:t>
      </w:r>
      <w:r w:rsidRPr="00873B6C">
        <w:rPr>
          <w:lang w:eastAsia="zh-CN"/>
        </w:rPr>
        <w:t>10</w:t>
      </w:r>
      <w:r w:rsidRPr="00873B6C">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873B6C" w:rsidRDefault="00D40151" w:rsidP="009D14FB">
            <w:pPr>
              <w:pStyle w:val="TAH"/>
            </w:pPr>
            <w:r w:rsidRPr="00873B6C">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873B6C" w:rsidRDefault="00D40151" w:rsidP="009D14FB">
            <w:pPr>
              <w:pStyle w:val="TAH"/>
            </w:pPr>
            <w:r w:rsidRPr="00873B6C">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873B6C" w:rsidRDefault="00D40151" w:rsidP="009D14FB">
            <w:pPr>
              <w:pStyle w:val="TAH"/>
              <w:rPr>
                <w:lang w:eastAsia="zh-CN"/>
              </w:rPr>
            </w:pPr>
            <w:r w:rsidRPr="00873B6C">
              <w:rPr>
                <w:lang w:eastAsia="zh-CN"/>
              </w:rPr>
              <w:t>Reference in TS 23.502 [3]</w:t>
            </w:r>
          </w:p>
        </w:tc>
      </w:tr>
      <w:tr w:rsidR="00D40151" w:rsidRPr="00873B6C"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873B6C" w:rsidRDefault="00D40151" w:rsidP="009D14FB">
            <w:pPr>
              <w:pStyle w:val="TAL"/>
            </w:pPr>
            <w:r w:rsidRPr="00873B6C">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873B6C" w:rsidRDefault="00D40151" w:rsidP="009D14FB">
            <w:pPr>
              <w:pStyle w:val="TAL"/>
            </w:pPr>
            <w:r w:rsidRPr="00873B6C">
              <w:t>Allows NF consumers to retrieve, create, update, subscribe for change notifications, unsubscribe for change notifications and delete data stored in the UDR, based on the set of data applicable to the consumer.</w:t>
            </w:r>
          </w:p>
          <w:p w14:paraId="65F158EC" w14:textId="77777777" w:rsidR="00D40151" w:rsidRPr="00873B6C" w:rsidRDefault="00D40151" w:rsidP="009D14FB">
            <w:pPr>
              <w:pStyle w:val="TAL"/>
            </w:pPr>
            <w:r w:rsidRPr="00873B6C">
              <w:t>This service may also be used to manage operator specific data.</w:t>
            </w:r>
          </w:p>
          <w:p w14:paraId="76ED315E" w14:textId="77777777" w:rsidR="00D40151" w:rsidRPr="00873B6C"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873B6C" w:rsidRDefault="00D40151" w:rsidP="009D14FB">
            <w:pPr>
              <w:pStyle w:val="TAC"/>
            </w:pPr>
            <w:r w:rsidRPr="00873B6C">
              <w:t>5.2.12.2</w:t>
            </w:r>
          </w:p>
        </w:tc>
      </w:tr>
      <w:tr w:rsidR="00D40151" w:rsidRPr="00873B6C"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873B6C" w:rsidRDefault="00D40151" w:rsidP="009D14FB">
            <w:pPr>
              <w:pStyle w:val="TAL"/>
            </w:pPr>
            <w:r w:rsidRPr="00873B6C">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873B6C" w:rsidRDefault="00D40151" w:rsidP="009D14FB">
            <w:pPr>
              <w:pStyle w:val="TAL"/>
            </w:pPr>
            <w:r w:rsidRPr="00873B6C">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122E93D4" w:rsidR="00D40151" w:rsidRPr="00873B6C" w:rsidRDefault="00D40151" w:rsidP="009D14FB">
            <w:pPr>
              <w:pStyle w:val="TAC"/>
            </w:pPr>
            <w:r w:rsidRPr="00873B6C">
              <w:t>5.2.12.</w:t>
            </w:r>
            <w:r w:rsidR="00472CD7" w:rsidRPr="00873B6C">
              <w:t>3</w:t>
            </w:r>
          </w:p>
        </w:tc>
      </w:tr>
    </w:tbl>
    <w:p w14:paraId="3BD82D6F" w14:textId="77777777" w:rsidR="00D40151" w:rsidRPr="00873B6C" w:rsidRDefault="00D40151" w:rsidP="00D40151">
      <w:pPr>
        <w:pStyle w:val="FP"/>
      </w:pPr>
    </w:p>
    <w:p w14:paraId="6F53C37A" w14:textId="77777777" w:rsidR="00D40151" w:rsidRPr="00873B6C" w:rsidRDefault="00D40151" w:rsidP="00D40151">
      <w:pPr>
        <w:pStyle w:val="Heading3"/>
        <w:rPr>
          <w:lang w:eastAsia="zh-CN"/>
        </w:rPr>
      </w:pPr>
      <w:bookmarkStart w:id="6049" w:name="_CR7_2_11"/>
      <w:bookmarkStart w:id="6050" w:name="_Toc20150262"/>
      <w:bookmarkStart w:id="6051" w:name="_Toc27847070"/>
      <w:bookmarkStart w:id="6052" w:name="_Toc36188203"/>
      <w:bookmarkStart w:id="6053" w:name="_Toc45184116"/>
      <w:bookmarkStart w:id="6054" w:name="_Toc47342958"/>
      <w:bookmarkStart w:id="6055" w:name="_Toc51769660"/>
      <w:bookmarkStart w:id="6056" w:name="_Toc201157838"/>
      <w:bookmarkEnd w:id="6049"/>
      <w:r w:rsidRPr="00873B6C">
        <w:rPr>
          <w:lang w:eastAsia="zh-CN"/>
        </w:rPr>
        <w:t>7.2.11</w:t>
      </w:r>
      <w:r w:rsidRPr="00873B6C">
        <w:rPr>
          <w:lang w:eastAsia="zh-CN"/>
        </w:rPr>
        <w:tab/>
        <w:t>5G-EIR Services</w:t>
      </w:r>
      <w:bookmarkEnd w:id="6050"/>
      <w:bookmarkEnd w:id="6051"/>
      <w:bookmarkEnd w:id="6052"/>
      <w:bookmarkEnd w:id="6053"/>
      <w:bookmarkEnd w:id="6054"/>
      <w:bookmarkEnd w:id="6055"/>
      <w:bookmarkEnd w:id="6056"/>
    </w:p>
    <w:p w14:paraId="7B7F1C73" w14:textId="77777777" w:rsidR="00D40151" w:rsidRPr="00873B6C" w:rsidRDefault="00D40151" w:rsidP="00D40151">
      <w:pPr>
        <w:rPr>
          <w:rFonts w:eastAsia="SimSun"/>
          <w:lang w:eastAsia="zh-CN"/>
        </w:rPr>
      </w:pPr>
      <w:r w:rsidRPr="00873B6C">
        <w:rPr>
          <w:rFonts w:eastAsia="SimSun"/>
          <w:lang w:eastAsia="zh-CN"/>
        </w:rPr>
        <w:t>The following NF services are specified for 5G-EIR:</w:t>
      </w:r>
    </w:p>
    <w:p w14:paraId="56734ECD" w14:textId="77777777" w:rsidR="00D40151" w:rsidRPr="00873B6C" w:rsidRDefault="00D40151" w:rsidP="00D40151">
      <w:pPr>
        <w:pStyle w:val="TH"/>
      </w:pPr>
      <w:bookmarkStart w:id="6057" w:name="_CRTable7_2_111"/>
      <w:r w:rsidRPr="00873B6C">
        <w:t xml:space="preserve">Table </w:t>
      </w:r>
      <w:bookmarkEnd w:id="6057"/>
      <w:r w:rsidRPr="00873B6C">
        <w:t>7.2.</w:t>
      </w:r>
      <w:r w:rsidRPr="00873B6C">
        <w:rPr>
          <w:lang w:eastAsia="zh-CN"/>
        </w:rPr>
        <w:t>11</w:t>
      </w:r>
      <w:r w:rsidRPr="00873B6C">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7873D3D5" w14:textId="77777777" w:rsidTr="00FD5C4A">
        <w:trPr>
          <w:cantSplit/>
          <w:tblHeader/>
          <w:jc w:val="center"/>
        </w:trPr>
        <w:tc>
          <w:tcPr>
            <w:tcW w:w="2235" w:type="dxa"/>
          </w:tcPr>
          <w:p w14:paraId="20A30563" w14:textId="77777777" w:rsidR="00D40151" w:rsidRPr="00873B6C" w:rsidRDefault="00D40151" w:rsidP="009D14FB">
            <w:pPr>
              <w:pStyle w:val="TAH"/>
            </w:pPr>
            <w:r w:rsidRPr="00873B6C">
              <w:t>Service Name</w:t>
            </w:r>
          </w:p>
        </w:tc>
        <w:tc>
          <w:tcPr>
            <w:tcW w:w="3827" w:type="dxa"/>
          </w:tcPr>
          <w:p w14:paraId="2912648F" w14:textId="77777777" w:rsidR="00D40151" w:rsidRPr="00873B6C" w:rsidRDefault="00D40151" w:rsidP="009D14FB">
            <w:pPr>
              <w:pStyle w:val="TAH"/>
            </w:pPr>
            <w:r w:rsidRPr="00873B6C">
              <w:t>Description</w:t>
            </w:r>
          </w:p>
        </w:tc>
        <w:tc>
          <w:tcPr>
            <w:tcW w:w="1843" w:type="dxa"/>
          </w:tcPr>
          <w:p w14:paraId="41A88144" w14:textId="77777777" w:rsidR="00D40151" w:rsidRPr="00873B6C" w:rsidRDefault="00D40151" w:rsidP="009D14FB">
            <w:pPr>
              <w:pStyle w:val="TAH"/>
            </w:pPr>
            <w:r w:rsidRPr="00873B6C">
              <w:rPr>
                <w:lang w:eastAsia="zh-CN"/>
              </w:rPr>
              <w:t>Reference in TS 23.502 [3]</w:t>
            </w:r>
          </w:p>
        </w:tc>
      </w:tr>
      <w:tr w:rsidR="00D40151" w:rsidRPr="00873B6C" w14:paraId="4C6AF87F" w14:textId="77777777" w:rsidTr="00FD5C4A">
        <w:trPr>
          <w:cantSplit/>
          <w:jc w:val="center"/>
        </w:trPr>
        <w:tc>
          <w:tcPr>
            <w:tcW w:w="2235" w:type="dxa"/>
          </w:tcPr>
          <w:p w14:paraId="0E92932F" w14:textId="77777777" w:rsidR="00D40151" w:rsidRPr="00873B6C" w:rsidRDefault="00D40151" w:rsidP="009D14FB">
            <w:pPr>
              <w:pStyle w:val="TAL"/>
              <w:rPr>
                <w:lang w:eastAsia="zh-CN"/>
              </w:rPr>
            </w:pPr>
            <w:r w:rsidRPr="00873B6C">
              <w:t>N5g-eir_</w:t>
            </w:r>
            <w:r w:rsidRPr="00873B6C">
              <w:rPr>
                <w:lang w:eastAsia="zh-CN"/>
              </w:rPr>
              <w:t>Equipment Identity</w:t>
            </w:r>
            <w:r w:rsidRPr="00873B6C">
              <w:t xml:space="preserve"> Check</w:t>
            </w:r>
          </w:p>
        </w:tc>
        <w:tc>
          <w:tcPr>
            <w:tcW w:w="3827" w:type="dxa"/>
          </w:tcPr>
          <w:p w14:paraId="28252ED8" w14:textId="5C2A82AB" w:rsidR="00D40151" w:rsidRPr="00873B6C" w:rsidRDefault="00D40151" w:rsidP="009D14FB">
            <w:pPr>
              <w:pStyle w:val="TAL"/>
            </w:pPr>
            <w:r w:rsidRPr="00873B6C">
              <w:t xml:space="preserve">This service enables the 5G-EIR to check the PEI and </w:t>
            </w:r>
            <w:r w:rsidRPr="00873B6C">
              <w:rPr>
                <w:rFonts w:eastAsia="SimSun"/>
                <w:lang w:eastAsia="zh-CN"/>
              </w:rPr>
              <w:t>check</w:t>
            </w:r>
            <w:r w:rsidRPr="00873B6C">
              <w:t xml:space="preserve"> whether the </w:t>
            </w:r>
            <w:r w:rsidRPr="00873B6C">
              <w:rPr>
                <w:rFonts w:eastAsia="SimSun"/>
                <w:lang w:eastAsia="zh-CN"/>
              </w:rPr>
              <w:t>PEI</w:t>
            </w:r>
            <w:r w:rsidRPr="00873B6C">
              <w:t xml:space="preserve"> is </w:t>
            </w:r>
            <w:r w:rsidRPr="00873B6C">
              <w:rPr>
                <w:rFonts w:eastAsia="SimSun"/>
                <w:lang w:eastAsia="zh-CN"/>
              </w:rPr>
              <w:t xml:space="preserve">in the </w:t>
            </w:r>
            <w:r w:rsidR="000E35F2" w:rsidRPr="00873B6C">
              <w:rPr>
                <w:rFonts w:eastAsia="SimSun"/>
                <w:lang w:eastAsia="zh-CN"/>
              </w:rPr>
              <w:t xml:space="preserve">prohibited </w:t>
            </w:r>
            <w:r w:rsidRPr="00873B6C">
              <w:rPr>
                <w:rFonts w:eastAsia="SimSun"/>
                <w:lang w:eastAsia="zh-CN"/>
              </w:rPr>
              <w:t>list or not</w:t>
            </w:r>
            <w:r w:rsidRPr="00873B6C">
              <w:t>.</w:t>
            </w:r>
          </w:p>
          <w:p w14:paraId="3582D3DC" w14:textId="77777777" w:rsidR="00D40151" w:rsidRPr="00873B6C" w:rsidRDefault="00D40151" w:rsidP="009D14FB">
            <w:pPr>
              <w:pStyle w:val="TAL"/>
              <w:rPr>
                <w:lang w:eastAsia="zh-CN"/>
              </w:rPr>
            </w:pPr>
          </w:p>
        </w:tc>
        <w:tc>
          <w:tcPr>
            <w:tcW w:w="1843" w:type="dxa"/>
          </w:tcPr>
          <w:p w14:paraId="77066C05" w14:textId="77777777" w:rsidR="00D40151" w:rsidRPr="00873B6C" w:rsidRDefault="00D40151" w:rsidP="009D14FB">
            <w:pPr>
              <w:pStyle w:val="TAC"/>
              <w:rPr>
                <w:lang w:eastAsia="zh-CN"/>
              </w:rPr>
            </w:pPr>
            <w:r w:rsidRPr="00873B6C">
              <w:t>5.2.4.2</w:t>
            </w:r>
          </w:p>
        </w:tc>
      </w:tr>
    </w:tbl>
    <w:p w14:paraId="3ECC0391" w14:textId="77777777" w:rsidR="00D40151" w:rsidRPr="00873B6C" w:rsidRDefault="00D40151" w:rsidP="00D40151">
      <w:pPr>
        <w:pStyle w:val="FP"/>
      </w:pPr>
    </w:p>
    <w:p w14:paraId="33B1ACF1" w14:textId="77777777" w:rsidR="00D40151" w:rsidRPr="00873B6C" w:rsidRDefault="00D40151" w:rsidP="00D40151">
      <w:pPr>
        <w:pStyle w:val="Heading3"/>
        <w:rPr>
          <w:lang w:eastAsia="zh-CN"/>
        </w:rPr>
      </w:pPr>
      <w:bookmarkStart w:id="6058" w:name="_CR7_2_12"/>
      <w:bookmarkStart w:id="6059" w:name="_Toc20150263"/>
      <w:bookmarkStart w:id="6060" w:name="_Toc27847071"/>
      <w:bookmarkStart w:id="6061" w:name="_Toc36188204"/>
      <w:bookmarkStart w:id="6062" w:name="_Toc45184117"/>
      <w:bookmarkStart w:id="6063" w:name="_Toc47342959"/>
      <w:bookmarkStart w:id="6064" w:name="_Toc51769661"/>
      <w:bookmarkStart w:id="6065" w:name="_Toc201157839"/>
      <w:bookmarkEnd w:id="6058"/>
      <w:r w:rsidRPr="00873B6C">
        <w:rPr>
          <w:lang w:eastAsia="zh-CN"/>
        </w:rPr>
        <w:t>7.2.12</w:t>
      </w:r>
      <w:r w:rsidRPr="00873B6C">
        <w:rPr>
          <w:lang w:eastAsia="zh-CN"/>
        </w:rPr>
        <w:tab/>
        <w:t>NWDAF Services</w:t>
      </w:r>
      <w:bookmarkEnd w:id="6059"/>
      <w:bookmarkEnd w:id="6060"/>
      <w:bookmarkEnd w:id="6061"/>
      <w:bookmarkEnd w:id="6062"/>
      <w:bookmarkEnd w:id="6063"/>
      <w:bookmarkEnd w:id="6064"/>
      <w:bookmarkEnd w:id="6065"/>
    </w:p>
    <w:p w14:paraId="4244562B" w14:textId="77777777" w:rsidR="00D40151" w:rsidRPr="00873B6C" w:rsidRDefault="00D40151" w:rsidP="00D40151">
      <w:pPr>
        <w:rPr>
          <w:rFonts w:eastAsia="SimSun"/>
          <w:lang w:eastAsia="zh-CN"/>
        </w:rPr>
      </w:pPr>
      <w:r w:rsidRPr="00873B6C">
        <w:rPr>
          <w:rFonts w:eastAsia="SimSun"/>
          <w:lang w:eastAsia="zh-CN"/>
        </w:rPr>
        <w:t>The following NF services are specified for NWDAF:</w:t>
      </w:r>
    </w:p>
    <w:p w14:paraId="52AA8770" w14:textId="77777777" w:rsidR="00D40151" w:rsidRPr="00873B6C" w:rsidRDefault="00D40151" w:rsidP="00D40151">
      <w:pPr>
        <w:pStyle w:val="TH"/>
      </w:pPr>
      <w:bookmarkStart w:id="6066" w:name="_CRTable7_2_121"/>
      <w:r w:rsidRPr="00873B6C">
        <w:lastRenderedPageBreak/>
        <w:t xml:space="preserve">Table </w:t>
      </w:r>
      <w:bookmarkEnd w:id="6066"/>
      <w:r w:rsidRPr="00873B6C">
        <w:t>7.2.</w:t>
      </w:r>
      <w:r w:rsidRPr="00873B6C">
        <w:rPr>
          <w:lang w:eastAsia="zh-CN"/>
        </w:rPr>
        <w:t>12</w:t>
      </w:r>
      <w:r w:rsidRPr="00873B6C">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873B6C" w14:paraId="01AC0AD1" w14:textId="77777777" w:rsidTr="005551CC">
        <w:trPr>
          <w:cantSplit/>
          <w:tblHeader/>
          <w:jc w:val="center"/>
        </w:trPr>
        <w:tc>
          <w:tcPr>
            <w:tcW w:w="2819" w:type="dxa"/>
          </w:tcPr>
          <w:p w14:paraId="731AA907" w14:textId="77777777" w:rsidR="00D40151" w:rsidRPr="00873B6C" w:rsidRDefault="00D40151" w:rsidP="009D14FB">
            <w:pPr>
              <w:pStyle w:val="TAH"/>
            </w:pPr>
            <w:r w:rsidRPr="00873B6C">
              <w:t>Service Name</w:t>
            </w:r>
          </w:p>
        </w:tc>
        <w:tc>
          <w:tcPr>
            <w:tcW w:w="3827" w:type="dxa"/>
          </w:tcPr>
          <w:p w14:paraId="60D36D79" w14:textId="77777777" w:rsidR="00D40151" w:rsidRPr="00873B6C" w:rsidRDefault="00D40151" w:rsidP="009D14FB">
            <w:pPr>
              <w:pStyle w:val="TAH"/>
            </w:pPr>
            <w:r w:rsidRPr="00873B6C">
              <w:t>Description</w:t>
            </w:r>
          </w:p>
        </w:tc>
        <w:tc>
          <w:tcPr>
            <w:tcW w:w="1843" w:type="dxa"/>
          </w:tcPr>
          <w:p w14:paraId="2A1BA595" w14:textId="77777777" w:rsidR="00D40151" w:rsidRPr="00873B6C" w:rsidRDefault="00D40151" w:rsidP="009D14FB">
            <w:pPr>
              <w:pStyle w:val="TAH"/>
            </w:pPr>
            <w:r w:rsidRPr="00873B6C">
              <w:rPr>
                <w:lang w:eastAsia="zh-CN"/>
              </w:rPr>
              <w:t>Reference in TS 23.288 [86]</w:t>
            </w:r>
          </w:p>
        </w:tc>
      </w:tr>
      <w:tr w:rsidR="00D40151" w:rsidRPr="00873B6C" w14:paraId="65BF8934" w14:textId="77777777" w:rsidTr="005551CC">
        <w:trPr>
          <w:cantSplit/>
          <w:jc w:val="center"/>
        </w:trPr>
        <w:tc>
          <w:tcPr>
            <w:tcW w:w="2819" w:type="dxa"/>
          </w:tcPr>
          <w:p w14:paraId="4027A48E" w14:textId="77777777" w:rsidR="00D40151" w:rsidRPr="00873B6C" w:rsidRDefault="00D40151" w:rsidP="009D14FB">
            <w:pPr>
              <w:pStyle w:val="TAL"/>
              <w:rPr>
                <w:lang w:eastAsia="zh-CN"/>
              </w:rPr>
            </w:pPr>
            <w:r w:rsidRPr="00873B6C">
              <w:t>Nnwdaf_AnalyticsSubscription</w:t>
            </w:r>
          </w:p>
        </w:tc>
        <w:tc>
          <w:tcPr>
            <w:tcW w:w="3827" w:type="dxa"/>
          </w:tcPr>
          <w:p w14:paraId="4BE0B102" w14:textId="77777777" w:rsidR="00D40151" w:rsidRPr="00873B6C" w:rsidRDefault="00D40151" w:rsidP="009D14FB">
            <w:pPr>
              <w:pStyle w:val="TAL"/>
              <w:rPr>
                <w:lang w:eastAsia="zh-CN"/>
              </w:rPr>
            </w:pPr>
            <w:r w:rsidRPr="00873B6C">
              <w:t>This service enables the NF service consumers to subscribe/unsubscribe for different type of analytics from NWDAF.</w:t>
            </w:r>
          </w:p>
        </w:tc>
        <w:tc>
          <w:tcPr>
            <w:tcW w:w="1843" w:type="dxa"/>
          </w:tcPr>
          <w:p w14:paraId="05F366E8" w14:textId="77777777" w:rsidR="00D40151" w:rsidRPr="00873B6C" w:rsidRDefault="00D40151" w:rsidP="009D14FB">
            <w:pPr>
              <w:pStyle w:val="TAC"/>
              <w:rPr>
                <w:lang w:eastAsia="zh-CN"/>
              </w:rPr>
            </w:pPr>
            <w:r w:rsidRPr="00873B6C">
              <w:rPr>
                <w:lang w:eastAsia="zh-CN"/>
              </w:rPr>
              <w:t>7.2</w:t>
            </w:r>
          </w:p>
        </w:tc>
      </w:tr>
      <w:tr w:rsidR="00D40151" w:rsidRPr="00873B6C" w14:paraId="3AAB22ED" w14:textId="77777777" w:rsidTr="005551CC">
        <w:trPr>
          <w:cantSplit/>
          <w:jc w:val="center"/>
        </w:trPr>
        <w:tc>
          <w:tcPr>
            <w:tcW w:w="2819" w:type="dxa"/>
          </w:tcPr>
          <w:p w14:paraId="7FFF6F32" w14:textId="77777777" w:rsidR="00D40151" w:rsidRPr="00873B6C" w:rsidRDefault="00D40151" w:rsidP="009D14FB">
            <w:pPr>
              <w:pStyle w:val="TAL"/>
            </w:pPr>
            <w:r w:rsidRPr="00873B6C">
              <w:t>Nnwdaf_AnalyticsInfo</w:t>
            </w:r>
          </w:p>
        </w:tc>
        <w:tc>
          <w:tcPr>
            <w:tcW w:w="3827" w:type="dxa"/>
          </w:tcPr>
          <w:p w14:paraId="0559D32B" w14:textId="7CB099C2" w:rsidR="00D40151" w:rsidRPr="00873B6C" w:rsidRDefault="00D40151" w:rsidP="009D14FB">
            <w:pPr>
              <w:pStyle w:val="TAL"/>
            </w:pPr>
            <w:r w:rsidRPr="00873B6C">
              <w:rPr>
                <w:lang w:eastAsia="ja-JP"/>
              </w:rPr>
              <w:t xml:space="preserve">This service enables the NF service consumers to request and get </w:t>
            </w:r>
            <w:r w:rsidRPr="00873B6C">
              <w:t>different type of analytics information</w:t>
            </w:r>
            <w:r w:rsidRPr="00873B6C">
              <w:rPr>
                <w:lang w:eastAsia="ja-JP"/>
              </w:rPr>
              <w:t xml:space="preserve"> from NWDAF</w:t>
            </w:r>
            <w:r w:rsidR="005551CC" w:rsidRPr="00873B6C">
              <w:rPr>
                <w:lang w:eastAsia="ja-JP"/>
              </w:rPr>
              <w:t xml:space="preserve"> or enables NWDAF to request transfer of analytics context from another NWDAF</w:t>
            </w:r>
            <w:r w:rsidRPr="00873B6C">
              <w:rPr>
                <w:lang w:eastAsia="ja-JP"/>
              </w:rPr>
              <w:t>.</w:t>
            </w:r>
          </w:p>
        </w:tc>
        <w:tc>
          <w:tcPr>
            <w:tcW w:w="1843" w:type="dxa"/>
          </w:tcPr>
          <w:p w14:paraId="6206D1CA" w14:textId="77777777" w:rsidR="00D40151" w:rsidRPr="00873B6C" w:rsidRDefault="00D40151" w:rsidP="009D14FB">
            <w:pPr>
              <w:pStyle w:val="TAC"/>
            </w:pPr>
            <w:r w:rsidRPr="00873B6C">
              <w:t>7.3</w:t>
            </w:r>
          </w:p>
        </w:tc>
      </w:tr>
      <w:tr w:rsidR="00405088" w:rsidRPr="00873B6C" w14:paraId="6AC510FF" w14:textId="77777777" w:rsidTr="005551CC">
        <w:trPr>
          <w:cantSplit/>
          <w:jc w:val="center"/>
        </w:trPr>
        <w:tc>
          <w:tcPr>
            <w:tcW w:w="2819" w:type="dxa"/>
          </w:tcPr>
          <w:p w14:paraId="65ACBBCC" w14:textId="40BF2725" w:rsidR="00405088" w:rsidRPr="00873B6C" w:rsidRDefault="00405088" w:rsidP="009D14FB">
            <w:pPr>
              <w:pStyle w:val="TAL"/>
            </w:pPr>
            <w:r w:rsidRPr="00873B6C">
              <w:t>Nnwdaf_DataManagement</w:t>
            </w:r>
          </w:p>
        </w:tc>
        <w:tc>
          <w:tcPr>
            <w:tcW w:w="3827" w:type="dxa"/>
          </w:tcPr>
          <w:p w14:paraId="2EAD6451" w14:textId="05460B5A" w:rsidR="00405088" w:rsidRPr="00873B6C" w:rsidRDefault="00405088" w:rsidP="009D14FB">
            <w:pPr>
              <w:pStyle w:val="TAL"/>
              <w:rPr>
                <w:lang w:eastAsia="ja-JP"/>
              </w:rPr>
            </w:pPr>
            <w:r w:rsidRPr="00873B6C">
              <w:rPr>
                <w:lang w:eastAsia="ja-JP"/>
              </w:rPr>
              <w:t>This service enables the NF service consumer to subscribe/unsubscribe and fetch data from NWDAF.</w:t>
            </w:r>
          </w:p>
        </w:tc>
        <w:tc>
          <w:tcPr>
            <w:tcW w:w="1843" w:type="dxa"/>
          </w:tcPr>
          <w:p w14:paraId="4CEE3DC8" w14:textId="2D9EDE23" w:rsidR="00405088" w:rsidRPr="00873B6C" w:rsidRDefault="00405088" w:rsidP="009D14FB">
            <w:pPr>
              <w:pStyle w:val="TAC"/>
            </w:pPr>
            <w:r w:rsidRPr="00873B6C">
              <w:t>7.4</w:t>
            </w:r>
          </w:p>
        </w:tc>
      </w:tr>
      <w:tr w:rsidR="005551CC" w:rsidRPr="00873B6C" w14:paraId="12005834" w14:textId="77777777" w:rsidTr="005551CC">
        <w:trPr>
          <w:cantSplit/>
          <w:jc w:val="center"/>
        </w:trPr>
        <w:tc>
          <w:tcPr>
            <w:tcW w:w="2819" w:type="dxa"/>
          </w:tcPr>
          <w:p w14:paraId="420802F0" w14:textId="5E3F24E7" w:rsidR="005551CC" w:rsidRPr="00873B6C" w:rsidRDefault="005551CC" w:rsidP="009D14FB">
            <w:pPr>
              <w:pStyle w:val="TAL"/>
            </w:pPr>
            <w:r w:rsidRPr="00873B6C">
              <w:t>Nnwdaf_MLModelProvision</w:t>
            </w:r>
          </w:p>
        </w:tc>
        <w:tc>
          <w:tcPr>
            <w:tcW w:w="3827" w:type="dxa"/>
          </w:tcPr>
          <w:p w14:paraId="486591FF" w14:textId="3BD9C2D4" w:rsidR="005551CC" w:rsidRPr="00873B6C" w:rsidRDefault="005551CC" w:rsidP="009D14FB">
            <w:pPr>
              <w:pStyle w:val="TAL"/>
              <w:rPr>
                <w:lang w:eastAsia="ja-JP"/>
              </w:rPr>
            </w:pPr>
            <w:r w:rsidRPr="00873B6C">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873B6C" w:rsidRDefault="005551CC" w:rsidP="009D14FB">
            <w:pPr>
              <w:pStyle w:val="TAC"/>
            </w:pPr>
            <w:r w:rsidRPr="00873B6C">
              <w:t>7.5</w:t>
            </w:r>
          </w:p>
        </w:tc>
      </w:tr>
      <w:tr w:rsidR="005551CC" w:rsidRPr="00873B6C" w14:paraId="1CCF279E" w14:textId="77777777" w:rsidTr="005551CC">
        <w:trPr>
          <w:cantSplit/>
          <w:jc w:val="center"/>
        </w:trPr>
        <w:tc>
          <w:tcPr>
            <w:tcW w:w="2819" w:type="dxa"/>
          </w:tcPr>
          <w:p w14:paraId="4A78BAB3" w14:textId="2C0FB759" w:rsidR="005551CC" w:rsidRPr="00873B6C" w:rsidRDefault="005551CC" w:rsidP="009D14FB">
            <w:pPr>
              <w:pStyle w:val="TAL"/>
            </w:pPr>
            <w:r w:rsidRPr="00873B6C">
              <w:t>Nnwdaf_MLModelInfo</w:t>
            </w:r>
          </w:p>
        </w:tc>
        <w:tc>
          <w:tcPr>
            <w:tcW w:w="3827" w:type="dxa"/>
          </w:tcPr>
          <w:p w14:paraId="149F3E92" w14:textId="323BA533" w:rsidR="005551CC" w:rsidRPr="00873B6C" w:rsidRDefault="005551CC" w:rsidP="009D14FB">
            <w:pPr>
              <w:pStyle w:val="TAL"/>
              <w:rPr>
                <w:lang w:eastAsia="ja-JP"/>
              </w:rPr>
            </w:pPr>
            <w:r w:rsidRPr="00873B6C">
              <w:rPr>
                <w:lang w:eastAsia="ja-JP"/>
              </w:rPr>
              <w:t>This service enables the consumer to request and get ML Model Information from NWDAF containing MTLF.</w:t>
            </w:r>
          </w:p>
        </w:tc>
        <w:tc>
          <w:tcPr>
            <w:tcW w:w="1843" w:type="dxa"/>
          </w:tcPr>
          <w:p w14:paraId="3C301CD7" w14:textId="193ACFF8" w:rsidR="005551CC" w:rsidRPr="00873B6C" w:rsidRDefault="005551CC" w:rsidP="009D14FB">
            <w:pPr>
              <w:pStyle w:val="TAC"/>
            </w:pPr>
            <w:r w:rsidRPr="00873B6C">
              <w:t>7.6</w:t>
            </w:r>
          </w:p>
        </w:tc>
      </w:tr>
      <w:tr w:rsidR="009B42A2" w:rsidRPr="00873B6C" w14:paraId="5A999A87" w14:textId="77777777" w:rsidTr="005551CC">
        <w:trPr>
          <w:cantSplit/>
          <w:jc w:val="center"/>
        </w:trPr>
        <w:tc>
          <w:tcPr>
            <w:tcW w:w="2819" w:type="dxa"/>
          </w:tcPr>
          <w:p w14:paraId="5045C667" w14:textId="6BDD68EC" w:rsidR="009B42A2" w:rsidRPr="00873B6C" w:rsidRDefault="009B42A2" w:rsidP="009D14FB">
            <w:pPr>
              <w:pStyle w:val="TAL"/>
            </w:pPr>
            <w:r w:rsidRPr="00873B6C">
              <w:t>Nnwdaf_MLModelMonitor</w:t>
            </w:r>
          </w:p>
        </w:tc>
        <w:tc>
          <w:tcPr>
            <w:tcW w:w="3827" w:type="dxa"/>
          </w:tcPr>
          <w:p w14:paraId="1FD94306" w14:textId="5521CBB6" w:rsidR="009B42A2" w:rsidRPr="00873B6C" w:rsidRDefault="009B42A2" w:rsidP="009D14FB">
            <w:pPr>
              <w:pStyle w:val="TAL"/>
              <w:rPr>
                <w:lang w:eastAsia="ja-JP"/>
              </w:rPr>
            </w:pPr>
            <w:r w:rsidRPr="00873B6C">
              <w:rPr>
                <w:lang w:eastAsia="ja-JP"/>
              </w:rPr>
              <w:t>This service enables the consumer to subscribe/unsubscribe for ML model accuracy information monitored by an NWDAF (i.e. NWDAF containing AnLF). The service also enables the NWDAF containing AnLF registers the use and monitoring capability for an ML model into the model provider NWDAF, i.e. NWDAF containing MTLF.</w:t>
            </w:r>
          </w:p>
        </w:tc>
        <w:tc>
          <w:tcPr>
            <w:tcW w:w="1843" w:type="dxa"/>
          </w:tcPr>
          <w:p w14:paraId="6CECFC58" w14:textId="4D8B9539" w:rsidR="009B42A2" w:rsidRPr="00873B6C" w:rsidRDefault="009B42A2" w:rsidP="009D14FB">
            <w:pPr>
              <w:pStyle w:val="TAC"/>
            </w:pPr>
            <w:r w:rsidRPr="00873B6C">
              <w:t>7.9</w:t>
            </w:r>
          </w:p>
        </w:tc>
      </w:tr>
      <w:tr w:rsidR="00BE0437" w:rsidRPr="00873B6C" w14:paraId="7B1C617B" w14:textId="77777777" w:rsidTr="00C9561D">
        <w:trPr>
          <w:cantSplit/>
          <w:jc w:val="center"/>
        </w:trPr>
        <w:tc>
          <w:tcPr>
            <w:tcW w:w="2819" w:type="dxa"/>
          </w:tcPr>
          <w:p w14:paraId="2681E037" w14:textId="7FFFA128" w:rsidR="00BE0437" w:rsidRPr="00873B6C" w:rsidRDefault="00BE0437" w:rsidP="00C9561D">
            <w:pPr>
              <w:pStyle w:val="TAL"/>
            </w:pPr>
            <w:r w:rsidRPr="00873B6C">
              <w:t>Nnwdaf_MLModelTraining</w:t>
            </w:r>
          </w:p>
        </w:tc>
        <w:tc>
          <w:tcPr>
            <w:tcW w:w="3827" w:type="dxa"/>
          </w:tcPr>
          <w:p w14:paraId="5F836C5B" w14:textId="105063A4" w:rsidR="00BE0437" w:rsidRPr="00873B6C" w:rsidRDefault="00BE0437" w:rsidP="00C9561D">
            <w:pPr>
              <w:pStyle w:val="TAL"/>
              <w:rPr>
                <w:lang w:eastAsia="ja-JP"/>
              </w:rPr>
            </w:pPr>
            <w:r w:rsidRPr="00873B6C">
              <w:rPr>
                <w:lang w:eastAsia="ja-JP"/>
              </w:rPr>
              <w:t>This service enables ML model training.</w:t>
            </w:r>
          </w:p>
        </w:tc>
        <w:tc>
          <w:tcPr>
            <w:tcW w:w="1843" w:type="dxa"/>
          </w:tcPr>
          <w:p w14:paraId="4FE0B8BF" w14:textId="773F4E1F" w:rsidR="00BE0437" w:rsidRPr="00873B6C" w:rsidRDefault="00BE0437" w:rsidP="00C9561D">
            <w:pPr>
              <w:pStyle w:val="TAC"/>
            </w:pPr>
            <w:r w:rsidRPr="00873B6C">
              <w:t>7.10</w:t>
            </w:r>
          </w:p>
        </w:tc>
      </w:tr>
      <w:tr w:rsidR="00BE0437" w:rsidRPr="00873B6C" w14:paraId="47FDEE03" w14:textId="77777777" w:rsidTr="00C9561D">
        <w:trPr>
          <w:cantSplit/>
          <w:jc w:val="center"/>
        </w:trPr>
        <w:tc>
          <w:tcPr>
            <w:tcW w:w="2819" w:type="dxa"/>
          </w:tcPr>
          <w:p w14:paraId="0AD4B3AF" w14:textId="1EB58F55" w:rsidR="00BE0437" w:rsidRPr="00873B6C" w:rsidRDefault="00BE0437" w:rsidP="00C9561D">
            <w:pPr>
              <w:pStyle w:val="TAL"/>
            </w:pPr>
            <w:r w:rsidRPr="00873B6C">
              <w:t>Nnwdaf_MLModelTrainingInfo</w:t>
            </w:r>
          </w:p>
        </w:tc>
        <w:tc>
          <w:tcPr>
            <w:tcW w:w="3827" w:type="dxa"/>
          </w:tcPr>
          <w:p w14:paraId="1CFDE7C4" w14:textId="0226F52F" w:rsidR="00BE0437" w:rsidRPr="00873B6C" w:rsidRDefault="00BE0437" w:rsidP="00C9561D">
            <w:pPr>
              <w:pStyle w:val="TAL"/>
              <w:rPr>
                <w:lang w:eastAsia="ja-JP"/>
              </w:rPr>
            </w:pPr>
            <w:r w:rsidRPr="00873B6C">
              <w:rPr>
                <w:lang w:eastAsia="ja-JP"/>
              </w:rPr>
              <w:t>This service enables the consumer to request for the information about ML model training based on the ML Model input parameter provided by the consumer.</w:t>
            </w:r>
          </w:p>
        </w:tc>
        <w:tc>
          <w:tcPr>
            <w:tcW w:w="1843" w:type="dxa"/>
          </w:tcPr>
          <w:p w14:paraId="53B0FD9A" w14:textId="3DE2683D" w:rsidR="00BE0437" w:rsidRPr="00873B6C" w:rsidRDefault="00BE0437" w:rsidP="00C9561D">
            <w:pPr>
              <w:pStyle w:val="TAC"/>
            </w:pPr>
            <w:r w:rsidRPr="00873B6C">
              <w:t>7.11</w:t>
            </w:r>
          </w:p>
        </w:tc>
      </w:tr>
      <w:tr w:rsidR="000046DD" w:rsidRPr="00873B6C" w14:paraId="58E6F4CC" w14:textId="77777777" w:rsidTr="005551CC">
        <w:trPr>
          <w:cantSplit/>
          <w:jc w:val="center"/>
        </w:trPr>
        <w:tc>
          <w:tcPr>
            <w:tcW w:w="2819" w:type="dxa"/>
          </w:tcPr>
          <w:p w14:paraId="1897AD8D" w14:textId="4183E988" w:rsidR="000046DD" w:rsidRPr="00873B6C" w:rsidRDefault="000046DD" w:rsidP="009D14FB">
            <w:pPr>
              <w:pStyle w:val="TAL"/>
            </w:pPr>
            <w:r w:rsidRPr="00873B6C">
              <w:t>Nnwdaf_RoamingAnalytics</w:t>
            </w:r>
          </w:p>
        </w:tc>
        <w:tc>
          <w:tcPr>
            <w:tcW w:w="3827" w:type="dxa"/>
          </w:tcPr>
          <w:p w14:paraId="0DE9B917" w14:textId="2F19D2A6" w:rsidR="000046DD" w:rsidRPr="00873B6C" w:rsidRDefault="000046DD" w:rsidP="009D14FB">
            <w:pPr>
              <w:pStyle w:val="TAL"/>
              <w:rPr>
                <w:lang w:eastAsia="ja-JP"/>
              </w:rPr>
            </w:pPr>
            <w:r w:rsidRPr="00873B6C">
              <w:rPr>
                <w:lang w:eastAsia="ja-JP"/>
              </w:rPr>
              <w:t>This service enables the consumer to request or to subscribe/unsubscribe for network data analytics related to roaming UE for NWDAF analytics.</w:t>
            </w:r>
          </w:p>
        </w:tc>
        <w:tc>
          <w:tcPr>
            <w:tcW w:w="1843" w:type="dxa"/>
          </w:tcPr>
          <w:p w14:paraId="5A6E6A0A" w14:textId="60024620" w:rsidR="000046DD" w:rsidRPr="00873B6C" w:rsidRDefault="000046DD" w:rsidP="009D14FB">
            <w:pPr>
              <w:pStyle w:val="TAC"/>
            </w:pPr>
            <w:r w:rsidRPr="00873B6C">
              <w:t>7.7</w:t>
            </w:r>
          </w:p>
        </w:tc>
      </w:tr>
      <w:tr w:rsidR="000046DD" w:rsidRPr="00873B6C" w14:paraId="799488A8" w14:textId="77777777" w:rsidTr="005551CC">
        <w:trPr>
          <w:cantSplit/>
          <w:jc w:val="center"/>
        </w:trPr>
        <w:tc>
          <w:tcPr>
            <w:tcW w:w="2819" w:type="dxa"/>
          </w:tcPr>
          <w:p w14:paraId="5C48CFB2" w14:textId="1FA3A081" w:rsidR="000046DD" w:rsidRPr="00873B6C" w:rsidRDefault="000046DD" w:rsidP="009D14FB">
            <w:pPr>
              <w:pStyle w:val="TAL"/>
            </w:pPr>
            <w:r w:rsidRPr="00873B6C">
              <w:t>Nnwdaf_RoamingData</w:t>
            </w:r>
          </w:p>
        </w:tc>
        <w:tc>
          <w:tcPr>
            <w:tcW w:w="3827" w:type="dxa"/>
          </w:tcPr>
          <w:p w14:paraId="7054BD52" w14:textId="0600AEB6" w:rsidR="000046DD" w:rsidRPr="00873B6C" w:rsidRDefault="000046DD" w:rsidP="009D14FB">
            <w:pPr>
              <w:pStyle w:val="TAL"/>
              <w:rPr>
                <w:lang w:eastAsia="ja-JP"/>
              </w:rPr>
            </w:pPr>
            <w:r w:rsidRPr="00873B6C">
              <w:rPr>
                <w:lang w:eastAsia="ja-JP"/>
              </w:rPr>
              <w:t>This service enables the consumer to subscribe/unsubscribe for input data related to roaming UE for NWDAF analytics.</w:t>
            </w:r>
          </w:p>
        </w:tc>
        <w:tc>
          <w:tcPr>
            <w:tcW w:w="1843" w:type="dxa"/>
          </w:tcPr>
          <w:p w14:paraId="7DEFF4F0" w14:textId="693533FD" w:rsidR="000046DD" w:rsidRPr="00873B6C" w:rsidRDefault="000046DD" w:rsidP="009D14FB">
            <w:pPr>
              <w:pStyle w:val="TAC"/>
            </w:pPr>
            <w:r w:rsidRPr="00873B6C">
              <w:t>7.8</w:t>
            </w:r>
          </w:p>
        </w:tc>
      </w:tr>
    </w:tbl>
    <w:p w14:paraId="5267B131" w14:textId="77777777" w:rsidR="00D40151" w:rsidRPr="00873B6C" w:rsidRDefault="00D40151" w:rsidP="00D40151">
      <w:pPr>
        <w:pStyle w:val="FP"/>
      </w:pPr>
    </w:p>
    <w:p w14:paraId="6F058F7F" w14:textId="77777777" w:rsidR="00D40151" w:rsidRPr="00873B6C" w:rsidRDefault="00D40151" w:rsidP="00D40151">
      <w:pPr>
        <w:pStyle w:val="Heading3"/>
      </w:pPr>
      <w:bookmarkStart w:id="6067" w:name="_CR7_2_13"/>
      <w:bookmarkStart w:id="6068" w:name="_Toc20150264"/>
      <w:bookmarkStart w:id="6069" w:name="_Toc27847072"/>
      <w:bookmarkStart w:id="6070" w:name="_Toc36188205"/>
      <w:bookmarkStart w:id="6071" w:name="_Toc45184118"/>
      <w:bookmarkStart w:id="6072" w:name="_Toc47342960"/>
      <w:bookmarkStart w:id="6073" w:name="_Toc51769662"/>
      <w:bookmarkStart w:id="6074" w:name="_Toc201157840"/>
      <w:bookmarkEnd w:id="6067"/>
      <w:r w:rsidRPr="00873B6C">
        <w:t>7.2.13</w:t>
      </w:r>
      <w:r w:rsidRPr="00873B6C">
        <w:tab/>
        <w:t>UDSF Services</w:t>
      </w:r>
      <w:bookmarkEnd w:id="6068"/>
      <w:bookmarkEnd w:id="6069"/>
      <w:bookmarkEnd w:id="6070"/>
      <w:bookmarkEnd w:id="6071"/>
      <w:bookmarkEnd w:id="6072"/>
      <w:bookmarkEnd w:id="6073"/>
      <w:bookmarkEnd w:id="6074"/>
    </w:p>
    <w:p w14:paraId="435EEE27" w14:textId="77777777" w:rsidR="00D40151" w:rsidRPr="00873B6C" w:rsidRDefault="00D40151" w:rsidP="00D40151">
      <w:pPr>
        <w:rPr>
          <w:lang w:eastAsia="zh-CN"/>
        </w:rPr>
      </w:pPr>
      <w:r w:rsidRPr="00873B6C">
        <w:rPr>
          <w:lang w:eastAsia="zh-CN"/>
        </w:rPr>
        <w:t>The following NF services are specified for UDSF:</w:t>
      </w:r>
    </w:p>
    <w:p w14:paraId="2BE3211D" w14:textId="77777777" w:rsidR="00D40151" w:rsidRPr="00873B6C" w:rsidRDefault="00D40151" w:rsidP="00D40151">
      <w:pPr>
        <w:pStyle w:val="TH"/>
      </w:pPr>
      <w:bookmarkStart w:id="6075" w:name="_CRTable7_2_131"/>
      <w:r w:rsidRPr="00873B6C">
        <w:t xml:space="preserve">Table </w:t>
      </w:r>
      <w:bookmarkEnd w:id="6075"/>
      <w:r w:rsidRPr="00873B6C">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29536062" w14:textId="77777777" w:rsidTr="00FD5C4A">
        <w:trPr>
          <w:cantSplit/>
          <w:tblHeader/>
          <w:jc w:val="center"/>
        </w:trPr>
        <w:tc>
          <w:tcPr>
            <w:tcW w:w="2235" w:type="dxa"/>
          </w:tcPr>
          <w:p w14:paraId="437A324C" w14:textId="77777777" w:rsidR="00D40151" w:rsidRPr="00873B6C" w:rsidRDefault="00D40151" w:rsidP="009D14FB">
            <w:pPr>
              <w:pStyle w:val="TAH"/>
            </w:pPr>
            <w:r w:rsidRPr="00873B6C">
              <w:t>Service Name</w:t>
            </w:r>
          </w:p>
        </w:tc>
        <w:tc>
          <w:tcPr>
            <w:tcW w:w="3827" w:type="dxa"/>
          </w:tcPr>
          <w:p w14:paraId="41E86281" w14:textId="77777777" w:rsidR="00D40151" w:rsidRPr="00873B6C" w:rsidRDefault="00D40151" w:rsidP="009D14FB">
            <w:pPr>
              <w:pStyle w:val="TAH"/>
            </w:pPr>
            <w:r w:rsidRPr="00873B6C">
              <w:t>Description</w:t>
            </w:r>
          </w:p>
        </w:tc>
        <w:tc>
          <w:tcPr>
            <w:tcW w:w="1843" w:type="dxa"/>
          </w:tcPr>
          <w:p w14:paraId="0B17C0FD" w14:textId="77777777" w:rsidR="00D40151" w:rsidRPr="00873B6C" w:rsidRDefault="00D40151" w:rsidP="009D14FB">
            <w:pPr>
              <w:pStyle w:val="TAH"/>
            </w:pPr>
            <w:r w:rsidRPr="00873B6C">
              <w:rPr>
                <w:lang w:eastAsia="zh-CN"/>
              </w:rPr>
              <w:t>Reference in TS 23.502 [3]</w:t>
            </w:r>
          </w:p>
        </w:tc>
      </w:tr>
      <w:tr w:rsidR="00D40151" w:rsidRPr="00873B6C" w14:paraId="16FAE828" w14:textId="77777777" w:rsidTr="00FD5C4A">
        <w:trPr>
          <w:cantSplit/>
          <w:jc w:val="center"/>
        </w:trPr>
        <w:tc>
          <w:tcPr>
            <w:tcW w:w="2235" w:type="dxa"/>
          </w:tcPr>
          <w:p w14:paraId="7EA56B76" w14:textId="77777777" w:rsidR="00D40151" w:rsidRPr="00873B6C" w:rsidRDefault="00D40151" w:rsidP="009D14FB">
            <w:pPr>
              <w:pStyle w:val="TAL"/>
              <w:rPr>
                <w:lang w:eastAsia="zh-CN"/>
              </w:rPr>
            </w:pPr>
            <w:r w:rsidRPr="00873B6C">
              <w:rPr>
                <w:lang w:eastAsia="zh-CN"/>
              </w:rPr>
              <w:t>Nudsf_UnstructuredDataManagement</w:t>
            </w:r>
          </w:p>
        </w:tc>
        <w:tc>
          <w:tcPr>
            <w:tcW w:w="3827" w:type="dxa"/>
          </w:tcPr>
          <w:p w14:paraId="2B18823C" w14:textId="1DE35323" w:rsidR="00D40151" w:rsidRPr="00873B6C" w:rsidRDefault="00D40151" w:rsidP="009D14FB">
            <w:pPr>
              <w:pStyle w:val="TAL"/>
              <w:rPr>
                <w:lang w:eastAsia="zh-CN"/>
              </w:rPr>
            </w:pPr>
            <w:r w:rsidRPr="00873B6C">
              <w:rPr>
                <w:lang w:eastAsia="zh-CN"/>
              </w:rPr>
              <w:t>Allows NF consumers to retrieve, create, update</w:t>
            </w:r>
            <w:r w:rsidR="00472CD7" w:rsidRPr="00873B6C">
              <w:rPr>
                <w:lang w:eastAsia="zh-CN"/>
              </w:rPr>
              <w:t xml:space="preserve"> and</w:t>
            </w:r>
            <w:r w:rsidRPr="00873B6C">
              <w:rPr>
                <w:lang w:eastAsia="zh-CN"/>
              </w:rPr>
              <w:t xml:space="preserve"> delete data stored in the UDSF.</w:t>
            </w:r>
          </w:p>
        </w:tc>
        <w:tc>
          <w:tcPr>
            <w:tcW w:w="1843" w:type="dxa"/>
          </w:tcPr>
          <w:p w14:paraId="6648EEB8" w14:textId="77777777" w:rsidR="00D40151" w:rsidRPr="00873B6C" w:rsidRDefault="00D40151" w:rsidP="009D14FB">
            <w:pPr>
              <w:pStyle w:val="TAC"/>
              <w:rPr>
                <w:lang w:eastAsia="zh-CN"/>
              </w:rPr>
            </w:pPr>
            <w:r w:rsidRPr="00873B6C">
              <w:rPr>
                <w:lang w:eastAsia="zh-CN"/>
              </w:rPr>
              <w:t>5.2.14.2</w:t>
            </w:r>
          </w:p>
        </w:tc>
      </w:tr>
      <w:tr w:rsidR="006F101E" w:rsidRPr="00873B6C" w14:paraId="2B21345E" w14:textId="77777777" w:rsidTr="00FD5C4A">
        <w:trPr>
          <w:cantSplit/>
          <w:jc w:val="center"/>
        </w:trPr>
        <w:tc>
          <w:tcPr>
            <w:tcW w:w="2235" w:type="dxa"/>
          </w:tcPr>
          <w:p w14:paraId="6C4C175A" w14:textId="04BC15D4" w:rsidR="006F101E" w:rsidRPr="00873B6C" w:rsidRDefault="006F101E" w:rsidP="009D14FB">
            <w:pPr>
              <w:pStyle w:val="TAL"/>
              <w:rPr>
                <w:lang w:eastAsia="zh-CN"/>
              </w:rPr>
            </w:pPr>
            <w:r w:rsidRPr="00873B6C">
              <w:rPr>
                <w:lang w:eastAsia="zh-CN"/>
              </w:rPr>
              <w:t>Nudsf_Timer</w:t>
            </w:r>
          </w:p>
        </w:tc>
        <w:tc>
          <w:tcPr>
            <w:tcW w:w="3827" w:type="dxa"/>
          </w:tcPr>
          <w:p w14:paraId="3E28C757" w14:textId="52AD0575" w:rsidR="006F101E" w:rsidRPr="00873B6C" w:rsidRDefault="006F101E" w:rsidP="009D14FB">
            <w:pPr>
              <w:pStyle w:val="TAL"/>
              <w:rPr>
                <w:lang w:eastAsia="zh-CN"/>
              </w:rPr>
            </w:pPr>
            <w:r w:rsidRPr="00873B6C">
              <w:rPr>
                <w:lang w:eastAsia="zh-CN"/>
              </w:rPr>
              <w:t>Allows NF consumers to start, stop, update</w:t>
            </w:r>
            <w:r w:rsidR="00472CD7" w:rsidRPr="00873B6C">
              <w:rPr>
                <w:lang w:eastAsia="zh-CN"/>
              </w:rPr>
              <w:t xml:space="preserve"> and</w:t>
            </w:r>
            <w:r w:rsidRPr="00873B6C">
              <w:rPr>
                <w:lang w:eastAsia="zh-CN"/>
              </w:rPr>
              <w:t xml:space="preserve"> search timers in UDSF. NF consumers may be notified about timer expiry.</w:t>
            </w:r>
          </w:p>
        </w:tc>
        <w:tc>
          <w:tcPr>
            <w:tcW w:w="1843" w:type="dxa"/>
          </w:tcPr>
          <w:p w14:paraId="3D7420F5" w14:textId="743582BC" w:rsidR="006F101E" w:rsidRPr="00873B6C" w:rsidRDefault="006F101E" w:rsidP="009D14FB">
            <w:pPr>
              <w:pStyle w:val="TAC"/>
              <w:rPr>
                <w:lang w:eastAsia="zh-CN"/>
              </w:rPr>
            </w:pPr>
            <w:r w:rsidRPr="00873B6C">
              <w:rPr>
                <w:lang w:eastAsia="zh-CN"/>
              </w:rPr>
              <w:t>5.2.14.3</w:t>
            </w:r>
          </w:p>
        </w:tc>
      </w:tr>
    </w:tbl>
    <w:p w14:paraId="32A8FBCE" w14:textId="77777777" w:rsidR="00D40151" w:rsidRPr="00873B6C" w:rsidRDefault="00D40151" w:rsidP="00D40151">
      <w:pPr>
        <w:pStyle w:val="FP"/>
      </w:pPr>
    </w:p>
    <w:p w14:paraId="17D0ED4C" w14:textId="77777777" w:rsidR="00D40151" w:rsidRPr="00873B6C" w:rsidRDefault="00D40151" w:rsidP="00D40151">
      <w:pPr>
        <w:pStyle w:val="Heading3"/>
      </w:pPr>
      <w:bookmarkStart w:id="6076" w:name="_CR7_2_14"/>
      <w:bookmarkStart w:id="6077" w:name="_Toc20150265"/>
      <w:bookmarkStart w:id="6078" w:name="_Toc27847073"/>
      <w:bookmarkStart w:id="6079" w:name="_Toc36188206"/>
      <w:bookmarkStart w:id="6080" w:name="_Toc45184119"/>
      <w:bookmarkStart w:id="6081" w:name="_Toc47342961"/>
      <w:bookmarkStart w:id="6082" w:name="_Toc51769663"/>
      <w:bookmarkStart w:id="6083" w:name="_Toc201157841"/>
      <w:bookmarkEnd w:id="6076"/>
      <w:r w:rsidRPr="00873B6C">
        <w:t>7.2.14</w:t>
      </w:r>
      <w:r w:rsidRPr="00873B6C">
        <w:tab/>
        <w:t>NSSF Services</w:t>
      </w:r>
      <w:bookmarkEnd w:id="6077"/>
      <w:bookmarkEnd w:id="6078"/>
      <w:bookmarkEnd w:id="6079"/>
      <w:bookmarkEnd w:id="6080"/>
      <w:bookmarkEnd w:id="6081"/>
      <w:bookmarkEnd w:id="6082"/>
      <w:bookmarkEnd w:id="6083"/>
    </w:p>
    <w:p w14:paraId="452C3FD2" w14:textId="77777777" w:rsidR="00D40151" w:rsidRPr="00873B6C" w:rsidRDefault="00D40151" w:rsidP="00D40151">
      <w:pPr>
        <w:rPr>
          <w:lang w:eastAsia="zh-CN"/>
        </w:rPr>
      </w:pPr>
      <w:r w:rsidRPr="00873B6C">
        <w:rPr>
          <w:lang w:eastAsia="zh-CN"/>
        </w:rPr>
        <w:t>The following NF services are specified for NSSF:</w:t>
      </w:r>
    </w:p>
    <w:p w14:paraId="4D993281" w14:textId="77777777" w:rsidR="00D40151" w:rsidRPr="00873B6C" w:rsidRDefault="00D40151" w:rsidP="00D40151">
      <w:pPr>
        <w:pStyle w:val="TH"/>
      </w:pPr>
      <w:bookmarkStart w:id="6084" w:name="_CRTable7_2_141"/>
      <w:r w:rsidRPr="00873B6C">
        <w:lastRenderedPageBreak/>
        <w:t xml:space="preserve">Table </w:t>
      </w:r>
      <w:bookmarkEnd w:id="6084"/>
      <w:r w:rsidRPr="00873B6C">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036B83BA" w14:textId="77777777" w:rsidTr="00FD5C4A">
        <w:trPr>
          <w:cantSplit/>
          <w:tblHeader/>
          <w:jc w:val="center"/>
        </w:trPr>
        <w:tc>
          <w:tcPr>
            <w:tcW w:w="2235" w:type="dxa"/>
          </w:tcPr>
          <w:p w14:paraId="09336931" w14:textId="77777777" w:rsidR="00D40151" w:rsidRPr="00873B6C" w:rsidRDefault="00D40151" w:rsidP="009D14FB">
            <w:pPr>
              <w:pStyle w:val="TAH"/>
            </w:pPr>
            <w:r w:rsidRPr="00873B6C">
              <w:t>Service Name</w:t>
            </w:r>
          </w:p>
        </w:tc>
        <w:tc>
          <w:tcPr>
            <w:tcW w:w="3827" w:type="dxa"/>
          </w:tcPr>
          <w:p w14:paraId="1457269D" w14:textId="77777777" w:rsidR="00D40151" w:rsidRPr="00873B6C" w:rsidRDefault="00D40151" w:rsidP="009D14FB">
            <w:pPr>
              <w:pStyle w:val="TAH"/>
            </w:pPr>
            <w:r w:rsidRPr="00873B6C">
              <w:t>Description</w:t>
            </w:r>
          </w:p>
        </w:tc>
        <w:tc>
          <w:tcPr>
            <w:tcW w:w="1843" w:type="dxa"/>
          </w:tcPr>
          <w:p w14:paraId="6E711625" w14:textId="77777777" w:rsidR="00D40151" w:rsidRPr="00873B6C" w:rsidRDefault="00D40151" w:rsidP="009D14FB">
            <w:pPr>
              <w:pStyle w:val="TAH"/>
            </w:pPr>
            <w:r w:rsidRPr="00873B6C">
              <w:rPr>
                <w:lang w:eastAsia="zh-CN"/>
              </w:rPr>
              <w:t>Reference in TS 23.502 [3]</w:t>
            </w:r>
          </w:p>
        </w:tc>
      </w:tr>
      <w:tr w:rsidR="00D40151" w:rsidRPr="00873B6C" w14:paraId="22FE9B42" w14:textId="77777777" w:rsidTr="00FD5C4A">
        <w:trPr>
          <w:cantSplit/>
          <w:jc w:val="center"/>
        </w:trPr>
        <w:tc>
          <w:tcPr>
            <w:tcW w:w="2235" w:type="dxa"/>
          </w:tcPr>
          <w:p w14:paraId="4EA93AD4" w14:textId="77777777" w:rsidR="00D40151" w:rsidRPr="00873B6C" w:rsidRDefault="00D40151" w:rsidP="009D14FB">
            <w:pPr>
              <w:pStyle w:val="TAL"/>
              <w:rPr>
                <w:lang w:eastAsia="zh-CN"/>
              </w:rPr>
            </w:pPr>
            <w:r w:rsidRPr="00873B6C">
              <w:rPr>
                <w:lang w:eastAsia="zh-CN"/>
              </w:rPr>
              <w:t>Nnssf_NSSelection</w:t>
            </w:r>
          </w:p>
        </w:tc>
        <w:tc>
          <w:tcPr>
            <w:tcW w:w="3827" w:type="dxa"/>
          </w:tcPr>
          <w:p w14:paraId="4D42C310" w14:textId="77777777" w:rsidR="00D40151" w:rsidRPr="00873B6C" w:rsidRDefault="00D40151" w:rsidP="009D14FB">
            <w:pPr>
              <w:pStyle w:val="TAL"/>
              <w:rPr>
                <w:lang w:eastAsia="zh-CN"/>
              </w:rPr>
            </w:pPr>
            <w:r w:rsidRPr="00873B6C">
              <w:rPr>
                <w:lang w:eastAsia="zh-CN"/>
              </w:rPr>
              <w:t>Provides the requested Network Slice information to the Requester.</w:t>
            </w:r>
          </w:p>
        </w:tc>
        <w:tc>
          <w:tcPr>
            <w:tcW w:w="1843" w:type="dxa"/>
          </w:tcPr>
          <w:p w14:paraId="154213CF" w14:textId="77777777" w:rsidR="00D40151" w:rsidRPr="00873B6C" w:rsidRDefault="00D40151" w:rsidP="009D14FB">
            <w:pPr>
              <w:pStyle w:val="TAC"/>
              <w:rPr>
                <w:lang w:eastAsia="zh-CN"/>
              </w:rPr>
            </w:pPr>
            <w:r w:rsidRPr="00873B6C">
              <w:rPr>
                <w:lang w:eastAsia="zh-CN"/>
              </w:rPr>
              <w:t>5.2.16.2</w:t>
            </w:r>
          </w:p>
        </w:tc>
      </w:tr>
      <w:tr w:rsidR="00D40151" w:rsidRPr="00873B6C" w14:paraId="2181A32B" w14:textId="77777777" w:rsidTr="00FD5C4A">
        <w:trPr>
          <w:cantSplit/>
          <w:jc w:val="center"/>
        </w:trPr>
        <w:tc>
          <w:tcPr>
            <w:tcW w:w="2235" w:type="dxa"/>
          </w:tcPr>
          <w:p w14:paraId="1C96E927" w14:textId="77777777" w:rsidR="00D40151" w:rsidRPr="00873B6C" w:rsidRDefault="00D40151" w:rsidP="009D14FB">
            <w:pPr>
              <w:pStyle w:val="TAL"/>
              <w:rPr>
                <w:lang w:eastAsia="zh-CN"/>
              </w:rPr>
            </w:pPr>
            <w:r w:rsidRPr="00873B6C">
              <w:rPr>
                <w:rFonts w:eastAsia="Yu Mincho"/>
                <w:lang w:eastAsia="ja-JP"/>
              </w:rPr>
              <w:t>Nnssf_NSSAIAvailability</w:t>
            </w:r>
          </w:p>
        </w:tc>
        <w:tc>
          <w:tcPr>
            <w:tcW w:w="3827" w:type="dxa"/>
          </w:tcPr>
          <w:p w14:paraId="647B3D28" w14:textId="77777777" w:rsidR="00D40151" w:rsidRPr="00873B6C" w:rsidRDefault="00D40151" w:rsidP="009D14FB">
            <w:pPr>
              <w:pStyle w:val="TAL"/>
              <w:rPr>
                <w:lang w:eastAsia="zh-CN"/>
              </w:rPr>
            </w:pPr>
            <w:r w:rsidRPr="00873B6C">
              <w:rPr>
                <w:rFonts w:eastAsia="Yu Mincho"/>
                <w:lang w:eastAsia="ja-JP"/>
              </w:rPr>
              <w:t>Provides NF consumer on the availability of S-NSSAIs on a per TA basis.</w:t>
            </w:r>
          </w:p>
        </w:tc>
        <w:tc>
          <w:tcPr>
            <w:tcW w:w="1843" w:type="dxa"/>
          </w:tcPr>
          <w:p w14:paraId="66E60604" w14:textId="77777777" w:rsidR="00D40151" w:rsidRPr="00873B6C" w:rsidRDefault="00D40151" w:rsidP="009D14FB">
            <w:pPr>
              <w:pStyle w:val="TAC"/>
              <w:rPr>
                <w:lang w:eastAsia="zh-CN"/>
              </w:rPr>
            </w:pPr>
            <w:r w:rsidRPr="00873B6C">
              <w:rPr>
                <w:rFonts w:eastAsia="Yu Mincho"/>
                <w:lang w:eastAsia="ja-JP"/>
              </w:rPr>
              <w:t>5.2.16.3</w:t>
            </w:r>
          </w:p>
        </w:tc>
      </w:tr>
    </w:tbl>
    <w:p w14:paraId="055D68B0" w14:textId="77777777" w:rsidR="00D40151" w:rsidRPr="00873B6C" w:rsidRDefault="00D40151" w:rsidP="00D40151">
      <w:pPr>
        <w:pStyle w:val="FP"/>
      </w:pPr>
    </w:p>
    <w:p w14:paraId="6B85E706" w14:textId="77777777" w:rsidR="00D40151" w:rsidRPr="00873B6C" w:rsidRDefault="00D40151" w:rsidP="00D40151">
      <w:pPr>
        <w:pStyle w:val="Heading3"/>
      </w:pPr>
      <w:bookmarkStart w:id="6085" w:name="_CR7_2_15"/>
      <w:bookmarkStart w:id="6086" w:name="_Toc20150266"/>
      <w:bookmarkStart w:id="6087" w:name="_Toc27847074"/>
      <w:bookmarkStart w:id="6088" w:name="_Toc36188207"/>
      <w:bookmarkStart w:id="6089" w:name="_Toc45184120"/>
      <w:bookmarkStart w:id="6090" w:name="_Toc47342962"/>
      <w:bookmarkStart w:id="6091" w:name="_Toc51769664"/>
      <w:bookmarkStart w:id="6092" w:name="_Toc201157842"/>
      <w:bookmarkEnd w:id="6085"/>
      <w:r w:rsidRPr="00873B6C">
        <w:t>7.2.15</w:t>
      </w:r>
      <w:r w:rsidRPr="00873B6C">
        <w:tab/>
        <w:t>BSF Services</w:t>
      </w:r>
      <w:bookmarkEnd w:id="6086"/>
      <w:bookmarkEnd w:id="6087"/>
      <w:bookmarkEnd w:id="6088"/>
      <w:bookmarkEnd w:id="6089"/>
      <w:bookmarkEnd w:id="6090"/>
      <w:bookmarkEnd w:id="6091"/>
      <w:bookmarkEnd w:id="6092"/>
    </w:p>
    <w:p w14:paraId="0AFCCF23" w14:textId="698C5B1E" w:rsidR="00D40151" w:rsidRPr="00873B6C" w:rsidRDefault="00D40151" w:rsidP="00D40151">
      <w:r w:rsidRPr="00873B6C">
        <w:t xml:space="preserve">The following NF services are specified for BSF as described in </w:t>
      </w:r>
      <w:r w:rsidR="00972E70" w:rsidRPr="00873B6C">
        <w:t>TS 23.503 [</w:t>
      </w:r>
      <w:r w:rsidRPr="00873B6C">
        <w:t>45]:</w:t>
      </w:r>
    </w:p>
    <w:p w14:paraId="1FA3323B" w14:textId="77777777" w:rsidR="00D40151" w:rsidRPr="00873B6C" w:rsidRDefault="00D40151" w:rsidP="00D40151">
      <w:pPr>
        <w:pStyle w:val="TH"/>
      </w:pPr>
      <w:bookmarkStart w:id="6093" w:name="_CRTable7_2_151"/>
      <w:r w:rsidRPr="00873B6C">
        <w:t xml:space="preserve">Table </w:t>
      </w:r>
      <w:bookmarkEnd w:id="6093"/>
      <w:r w:rsidRPr="00873B6C">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706EC4E8" w14:textId="77777777" w:rsidTr="00FD5C4A">
        <w:trPr>
          <w:cantSplit/>
          <w:tblHeader/>
          <w:jc w:val="center"/>
        </w:trPr>
        <w:tc>
          <w:tcPr>
            <w:tcW w:w="2235" w:type="dxa"/>
          </w:tcPr>
          <w:p w14:paraId="52CAC3F8" w14:textId="77777777" w:rsidR="00D40151" w:rsidRPr="00873B6C" w:rsidRDefault="00D40151" w:rsidP="009D14FB">
            <w:pPr>
              <w:pStyle w:val="TAH"/>
            </w:pPr>
            <w:r w:rsidRPr="00873B6C">
              <w:t>Service Name</w:t>
            </w:r>
          </w:p>
        </w:tc>
        <w:tc>
          <w:tcPr>
            <w:tcW w:w="3827" w:type="dxa"/>
          </w:tcPr>
          <w:p w14:paraId="47CCE652" w14:textId="77777777" w:rsidR="00D40151" w:rsidRPr="00873B6C" w:rsidRDefault="00D40151" w:rsidP="009D14FB">
            <w:pPr>
              <w:pStyle w:val="TAH"/>
            </w:pPr>
            <w:r w:rsidRPr="00873B6C">
              <w:t>Description</w:t>
            </w:r>
          </w:p>
        </w:tc>
        <w:tc>
          <w:tcPr>
            <w:tcW w:w="1843" w:type="dxa"/>
          </w:tcPr>
          <w:p w14:paraId="1AACC0D7" w14:textId="77777777" w:rsidR="00D40151" w:rsidRPr="00873B6C" w:rsidRDefault="00D40151" w:rsidP="009D14FB">
            <w:pPr>
              <w:pStyle w:val="TAH"/>
            </w:pPr>
            <w:r w:rsidRPr="00873B6C">
              <w:rPr>
                <w:lang w:eastAsia="zh-CN"/>
              </w:rPr>
              <w:t>Reference in TS 23.502 [3]</w:t>
            </w:r>
          </w:p>
        </w:tc>
      </w:tr>
      <w:tr w:rsidR="00D40151" w:rsidRPr="00873B6C" w14:paraId="6733B110" w14:textId="77777777" w:rsidTr="00FD5C4A">
        <w:trPr>
          <w:cantSplit/>
          <w:jc w:val="center"/>
        </w:trPr>
        <w:tc>
          <w:tcPr>
            <w:tcW w:w="2235" w:type="dxa"/>
          </w:tcPr>
          <w:p w14:paraId="6484D916" w14:textId="77777777" w:rsidR="00D40151" w:rsidRPr="00873B6C" w:rsidRDefault="00D40151" w:rsidP="009D14FB">
            <w:pPr>
              <w:pStyle w:val="TAL"/>
              <w:rPr>
                <w:lang w:eastAsia="zh-CN"/>
              </w:rPr>
            </w:pPr>
            <w:r w:rsidRPr="00873B6C">
              <w:t>Nbsf_Management</w:t>
            </w:r>
          </w:p>
        </w:tc>
        <w:tc>
          <w:tcPr>
            <w:tcW w:w="3827" w:type="dxa"/>
          </w:tcPr>
          <w:p w14:paraId="578914E8" w14:textId="35BA5E5C" w:rsidR="00D40151" w:rsidRPr="00873B6C" w:rsidRDefault="00D40151" w:rsidP="009D14FB">
            <w:pPr>
              <w:pStyle w:val="TAL"/>
              <w:rPr>
                <w:lang w:eastAsia="zh-CN"/>
              </w:rPr>
            </w:pPr>
            <w:r w:rsidRPr="00873B6C">
              <w:rPr>
                <w:lang w:eastAsia="zh-CN"/>
              </w:rPr>
              <w:t>Allows a PCF to register/deregister itself and to be discoverable by NF service consumers</w:t>
            </w:r>
            <w:r w:rsidR="00967FB9" w:rsidRPr="00873B6C">
              <w:rPr>
                <w:lang w:eastAsia="zh-CN"/>
              </w:rPr>
              <w:t xml:space="preserve"> (NOTE 1)</w:t>
            </w:r>
            <w:r w:rsidRPr="00873B6C">
              <w:rPr>
                <w:lang w:eastAsia="zh-CN"/>
              </w:rPr>
              <w:t>.</w:t>
            </w:r>
          </w:p>
        </w:tc>
        <w:tc>
          <w:tcPr>
            <w:tcW w:w="1843" w:type="dxa"/>
          </w:tcPr>
          <w:p w14:paraId="40F3E20C" w14:textId="77777777" w:rsidR="00D40151" w:rsidRPr="00873B6C" w:rsidRDefault="00D40151" w:rsidP="009D14FB">
            <w:pPr>
              <w:pStyle w:val="TAC"/>
              <w:rPr>
                <w:lang w:eastAsia="zh-CN"/>
              </w:rPr>
            </w:pPr>
            <w:r w:rsidRPr="00873B6C">
              <w:rPr>
                <w:lang w:eastAsia="zh-CN"/>
              </w:rPr>
              <w:t>5.2.13.2</w:t>
            </w:r>
          </w:p>
        </w:tc>
      </w:tr>
      <w:tr w:rsidR="00967FB9" w:rsidRPr="00873B6C" w14:paraId="1E8DB666" w14:textId="77777777" w:rsidTr="00FD5C4A">
        <w:trPr>
          <w:cantSplit/>
          <w:jc w:val="center"/>
        </w:trPr>
        <w:tc>
          <w:tcPr>
            <w:tcW w:w="7905" w:type="dxa"/>
            <w:gridSpan w:val="3"/>
          </w:tcPr>
          <w:p w14:paraId="5C28A6A4" w14:textId="3ADDF5C8" w:rsidR="00967FB9" w:rsidRPr="00873B6C" w:rsidRDefault="00967FB9" w:rsidP="00323277">
            <w:pPr>
              <w:pStyle w:val="TAN"/>
              <w:rPr>
                <w:lang w:eastAsia="zh-CN"/>
              </w:rPr>
            </w:pPr>
            <w:r w:rsidRPr="00873B6C">
              <w:rPr>
                <w:lang w:eastAsia="zh-CN"/>
              </w:rPr>
              <w:t>NOTE 1:</w:t>
            </w:r>
            <w:r w:rsidRPr="00873B6C">
              <w:rPr>
                <w:lang w:eastAsia="zh-CN"/>
              </w:rPr>
              <w:tab/>
              <w:t>There may be both</w:t>
            </w:r>
            <w:r w:rsidR="00F04A40" w:rsidRPr="00873B6C">
              <w:rPr>
                <w:lang w:eastAsia="zh-CN"/>
              </w:rPr>
              <w:t>, a</w:t>
            </w:r>
            <w:r w:rsidRPr="00873B6C">
              <w:rPr>
                <w:lang w:eastAsia="zh-CN"/>
              </w:rPr>
              <w:t xml:space="preserve"> PCF for </w:t>
            </w:r>
            <w:r w:rsidR="00F04A40" w:rsidRPr="00873B6C">
              <w:rPr>
                <w:lang w:eastAsia="zh-CN"/>
              </w:rPr>
              <w:t xml:space="preserve">the </w:t>
            </w:r>
            <w:r w:rsidRPr="00873B6C">
              <w:rPr>
                <w:lang w:eastAsia="zh-CN"/>
              </w:rPr>
              <w:t>PDU Session and</w:t>
            </w:r>
            <w:r w:rsidR="00F04A40" w:rsidRPr="00873B6C">
              <w:rPr>
                <w:lang w:eastAsia="zh-CN"/>
              </w:rPr>
              <w:t xml:space="preserve"> a</w:t>
            </w:r>
            <w:r w:rsidRPr="00873B6C">
              <w:rPr>
                <w:lang w:eastAsia="zh-CN"/>
              </w:rPr>
              <w:t xml:space="preserve"> PCF for </w:t>
            </w:r>
            <w:r w:rsidR="00F04A40" w:rsidRPr="00873B6C">
              <w:rPr>
                <w:lang w:eastAsia="zh-CN"/>
              </w:rPr>
              <w:t xml:space="preserve">the </w:t>
            </w:r>
            <w:r w:rsidRPr="00873B6C">
              <w:rPr>
                <w:lang w:eastAsia="zh-CN"/>
              </w:rPr>
              <w:t>UE. Each of them may separately and independently register itself at the BSF. Each of them may separately and independently be discovered by a consumer of the BSF.</w:t>
            </w:r>
          </w:p>
        </w:tc>
      </w:tr>
    </w:tbl>
    <w:p w14:paraId="451C9053" w14:textId="77777777" w:rsidR="00D40151" w:rsidRPr="00873B6C" w:rsidRDefault="00D40151" w:rsidP="00D40151">
      <w:pPr>
        <w:pStyle w:val="FP"/>
      </w:pPr>
    </w:p>
    <w:p w14:paraId="73D98E00" w14:textId="77777777" w:rsidR="00D40151" w:rsidRPr="00873B6C" w:rsidRDefault="00D40151" w:rsidP="00D40151">
      <w:pPr>
        <w:pStyle w:val="Heading3"/>
      </w:pPr>
      <w:bookmarkStart w:id="6094" w:name="_CR7_2_16"/>
      <w:bookmarkStart w:id="6095" w:name="_Toc20150267"/>
      <w:bookmarkStart w:id="6096" w:name="_Toc27847075"/>
      <w:bookmarkStart w:id="6097" w:name="_Toc36188208"/>
      <w:bookmarkStart w:id="6098" w:name="_Toc45184121"/>
      <w:bookmarkStart w:id="6099" w:name="_Toc47342963"/>
      <w:bookmarkStart w:id="6100" w:name="_Toc51769665"/>
      <w:bookmarkStart w:id="6101" w:name="_Toc201157843"/>
      <w:bookmarkEnd w:id="6094"/>
      <w:r w:rsidRPr="00873B6C">
        <w:t>7.2.16</w:t>
      </w:r>
      <w:r w:rsidRPr="00873B6C">
        <w:tab/>
        <w:t>LMF Services</w:t>
      </w:r>
      <w:bookmarkEnd w:id="6095"/>
      <w:bookmarkEnd w:id="6096"/>
      <w:bookmarkEnd w:id="6097"/>
      <w:bookmarkEnd w:id="6098"/>
      <w:bookmarkEnd w:id="6099"/>
      <w:bookmarkEnd w:id="6100"/>
      <w:bookmarkEnd w:id="6101"/>
    </w:p>
    <w:p w14:paraId="7C298BA2" w14:textId="77777777" w:rsidR="00D40151" w:rsidRPr="00873B6C" w:rsidRDefault="00D40151" w:rsidP="00D40151">
      <w:r w:rsidRPr="00873B6C">
        <w:t>The following NF services are specified for LMF:</w:t>
      </w:r>
    </w:p>
    <w:p w14:paraId="60DECCF2" w14:textId="77777777" w:rsidR="00D40151" w:rsidRPr="00873B6C" w:rsidRDefault="00D40151" w:rsidP="00D40151">
      <w:pPr>
        <w:pStyle w:val="TH"/>
      </w:pPr>
      <w:bookmarkStart w:id="6102" w:name="_CRTable7_2_161"/>
      <w:r w:rsidRPr="00873B6C">
        <w:t xml:space="preserve">Table </w:t>
      </w:r>
      <w:bookmarkEnd w:id="6102"/>
      <w:r w:rsidRPr="00873B6C">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5BD5847" w14:textId="77777777" w:rsidTr="00FD5C4A">
        <w:trPr>
          <w:cantSplit/>
          <w:tblHeader/>
          <w:jc w:val="center"/>
        </w:trPr>
        <w:tc>
          <w:tcPr>
            <w:tcW w:w="2235" w:type="dxa"/>
          </w:tcPr>
          <w:p w14:paraId="5E694CEF" w14:textId="77777777" w:rsidR="00D40151" w:rsidRPr="00873B6C" w:rsidRDefault="00D40151" w:rsidP="009D14FB">
            <w:pPr>
              <w:pStyle w:val="TAH"/>
            </w:pPr>
            <w:r w:rsidRPr="00873B6C">
              <w:t>Service Name</w:t>
            </w:r>
          </w:p>
        </w:tc>
        <w:tc>
          <w:tcPr>
            <w:tcW w:w="3827" w:type="dxa"/>
          </w:tcPr>
          <w:p w14:paraId="08B951AE" w14:textId="77777777" w:rsidR="00D40151" w:rsidRPr="00873B6C" w:rsidRDefault="00D40151" w:rsidP="009D14FB">
            <w:pPr>
              <w:pStyle w:val="TAH"/>
            </w:pPr>
            <w:r w:rsidRPr="00873B6C">
              <w:t>Description</w:t>
            </w:r>
          </w:p>
        </w:tc>
        <w:tc>
          <w:tcPr>
            <w:tcW w:w="1843" w:type="dxa"/>
          </w:tcPr>
          <w:p w14:paraId="487F466B" w14:textId="77777777" w:rsidR="00D40151" w:rsidRPr="00873B6C" w:rsidRDefault="00D40151" w:rsidP="009D14FB">
            <w:pPr>
              <w:pStyle w:val="TAH"/>
            </w:pPr>
            <w:r w:rsidRPr="00873B6C">
              <w:rPr>
                <w:lang w:eastAsia="zh-CN"/>
              </w:rPr>
              <w:t>Reference in TS 23.273 [87]</w:t>
            </w:r>
          </w:p>
        </w:tc>
      </w:tr>
      <w:tr w:rsidR="00D40151" w:rsidRPr="00873B6C" w14:paraId="6A91658D" w14:textId="77777777" w:rsidTr="00FD5C4A">
        <w:trPr>
          <w:cantSplit/>
          <w:jc w:val="center"/>
        </w:trPr>
        <w:tc>
          <w:tcPr>
            <w:tcW w:w="2235" w:type="dxa"/>
          </w:tcPr>
          <w:p w14:paraId="5BF07ABA" w14:textId="77777777" w:rsidR="00D40151" w:rsidRPr="00873B6C" w:rsidRDefault="00D40151" w:rsidP="009D14FB">
            <w:pPr>
              <w:pStyle w:val="TAL"/>
              <w:rPr>
                <w:lang w:eastAsia="zh-CN"/>
              </w:rPr>
            </w:pPr>
            <w:r w:rsidRPr="00873B6C">
              <w:t>Nlmf_Location</w:t>
            </w:r>
          </w:p>
        </w:tc>
        <w:tc>
          <w:tcPr>
            <w:tcW w:w="3827" w:type="dxa"/>
          </w:tcPr>
          <w:p w14:paraId="33A110BB" w14:textId="77777777" w:rsidR="00D40151" w:rsidRPr="00873B6C" w:rsidRDefault="00D40151" w:rsidP="009D14FB">
            <w:pPr>
              <w:pStyle w:val="TAL"/>
              <w:rPr>
                <w:lang w:eastAsia="zh-CN"/>
              </w:rPr>
            </w:pPr>
            <w:r w:rsidRPr="00873B6C">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5FC78BA4" w:rsidR="00D40151" w:rsidRPr="00873B6C" w:rsidRDefault="00D40151" w:rsidP="009D14FB">
            <w:pPr>
              <w:pStyle w:val="TAC"/>
              <w:rPr>
                <w:lang w:eastAsia="zh-CN"/>
              </w:rPr>
            </w:pPr>
            <w:r w:rsidRPr="00873B6C">
              <w:rPr>
                <w:lang w:eastAsia="zh-CN"/>
              </w:rPr>
              <w:t>8.3</w:t>
            </w:r>
            <w:r w:rsidR="00A10084" w:rsidRPr="00873B6C">
              <w:rPr>
                <w:lang w:eastAsia="zh-CN"/>
              </w:rPr>
              <w:t>.2</w:t>
            </w:r>
          </w:p>
        </w:tc>
      </w:tr>
      <w:tr w:rsidR="00A10084" w:rsidRPr="00873B6C" w14:paraId="2B2A8BEA" w14:textId="77777777" w:rsidTr="00FD5C4A">
        <w:trPr>
          <w:cantSplit/>
          <w:jc w:val="center"/>
        </w:trPr>
        <w:tc>
          <w:tcPr>
            <w:tcW w:w="2235" w:type="dxa"/>
          </w:tcPr>
          <w:p w14:paraId="734DAE74" w14:textId="5A45A13B" w:rsidR="00A10084" w:rsidRPr="00873B6C" w:rsidRDefault="00A10084" w:rsidP="009D14FB">
            <w:pPr>
              <w:pStyle w:val="TAL"/>
            </w:pPr>
            <w:r w:rsidRPr="00873B6C">
              <w:t>Nlmf_Broadcast</w:t>
            </w:r>
          </w:p>
        </w:tc>
        <w:tc>
          <w:tcPr>
            <w:tcW w:w="3827" w:type="dxa"/>
          </w:tcPr>
          <w:p w14:paraId="062A87F0" w14:textId="60694542" w:rsidR="00A10084" w:rsidRPr="00873B6C" w:rsidRDefault="00A10084" w:rsidP="009D14FB">
            <w:pPr>
              <w:pStyle w:val="TAL"/>
            </w:pPr>
            <w:r w:rsidRPr="00873B6C">
              <w:t>This service enables an NF to receive information related to broadcast of location assistance by an LMF.</w:t>
            </w:r>
          </w:p>
        </w:tc>
        <w:tc>
          <w:tcPr>
            <w:tcW w:w="1843" w:type="dxa"/>
          </w:tcPr>
          <w:p w14:paraId="28ADB5F7" w14:textId="43647CC0" w:rsidR="00A10084" w:rsidRPr="00873B6C" w:rsidRDefault="00A10084" w:rsidP="009D14FB">
            <w:pPr>
              <w:pStyle w:val="TAC"/>
              <w:rPr>
                <w:lang w:eastAsia="zh-CN"/>
              </w:rPr>
            </w:pPr>
            <w:r w:rsidRPr="00873B6C">
              <w:rPr>
                <w:lang w:eastAsia="zh-CN"/>
              </w:rPr>
              <w:t>8.3.3</w:t>
            </w:r>
          </w:p>
        </w:tc>
      </w:tr>
    </w:tbl>
    <w:p w14:paraId="66F1BB0C" w14:textId="77777777" w:rsidR="00D40151" w:rsidRPr="00873B6C" w:rsidRDefault="00D40151" w:rsidP="00D40151">
      <w:pPr>
        <w:pStyle w:val="FP"/>
      </w:pPr>
    </w:p>
    <w:p w14:paraId="62A1999E" w14:textId="77777777" w:rsidR="00D40151" w:rsidRPr="00873B6C" w:rsidRDefault="00D40151" w:rsidP="00D40151">
      <w:pPr>
        <w:pStyle w:val="Heading3"/>
      </w:pPr>
      <w:bookmarkStart w:id="6103" w:name="_CR7_2_16A"/>
      <w:bookmarkStart w:id="6104" w:name="_Toc20150268"/>
      <w:bookmarkStart w:id="6105" w:name="_Toc27847076"/>
      <w:bookmarkStart w:id="6106" w:name="_Toc36188209"/>
      <w:bookmarkStart w:id="6107" w:name="_Toc45184122"/>
      <w:bookmarkStart w:id="6108" w:name="_Toc47342964"/>
      <w:bookmarkStart w:id="6109" w:name="_Toc51769666"/>
      <w:bookmarkStart w:id="6110" w:name="_Toc201157844"/>
      <w:bookmarkEnd w:id="6103"/>
      <w:r w:rsidRPr="00873B6C">
        <w:t>7.2.16A</w:t>
      </w:r>
      <w:r w:rsidRPr="00873B6C">
        <w:tab/>
        <w:t>GMLC Services</w:t>
      </w:r>
      <w:bookmarkEnd w:id="6104"/>
      <w:bookmarkEnd w:id="6105"/>
      <w:bookmarkEnd w:id="6106"/>
      <w:bookmarkEnd w:id="6107"/>
      <w:bookmarkEnd w:id="6108"/>
      <w:bookmarkEnd w:id="6109"/>
      <w:bookmarkEnd w:id="6110"/>
    </w:p>
    <w:p w14:paraId="6C8F2F91" w14:textId="77777777" w:rsidR="00D40151" w:rsidRPr="00873B6C" w:rsidRDefault="00D40151" w:rsidP="00D40151">
      <w:r w:rsidRPr="00873B6C">
        <w:t>The following NF services are specified for GMLC:</w:t>
      </w:r>
    </w:p>
    <w:p w14:paraId="4C20C077" w14:textId="77777777" w:rsidR="00D40151" w:rsidRPr="00873B6C" w:rsidRDefault="00D40151" w:rsidP="00D40151">
      <w:pPr>
        <w:pStyle w:val="TH"/>
      </w:pPr>
      <w:bookmarkStart w:id="6111" w:name="_CRTable7_2_16A1"/>
      <w:r w:rsidRPr="00873B6C">
        <w:t xml:space="preserve">Table </w:t>
      </w:r>
      <w:bookmarkEnd w:id="6111"/>
      <w:r w:rsidRPr="00873B6C">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873B6C" w14:paraId="1C1B5357" w14:textId="77777777" w:rsidTr="00FD5C4A">
        <w:trPr>
          <w:cantSplit/>
          <w:tblHeader/>
          <w:jc w:val="center"/>
        </w:trPr>
        <w:tc>
          <w:tcPr>
            <w:tcW w:w="2376" w:type="dxa"/>
          </w:tcPr>
          <w:p w14:paraId="1F847990" w14:textId="77777777" w:rsidR="00D40151" w:rsidRPr="00873B6C" w:rsidRDefault="00D40151" w:rsidP="009D14FB">
            <w:pPr>
              <w:pStyle w:val="TAH"/>
            </w:pPr>
            <w:r w:rsidRPr="00873B6C">
              <w:t>Service Name</w:t>
            </w:r>
          </w:p>
        </w:tc>
        <w:tc>
          <w:tcPr>
            <w:tcW w:w="3828" w:type="dxa"/>
          </w:tcPr>
          <w:p w14:paraId="3838451B" w14:textId="77777777" w:rsidR="00D40151" w:rsidRPr="00873B6C" w:rsidRDefault="00D40151" w:rsidP="009D14FB">
            <w:pPr>
              <w:pStyle w:val="TAH"/>
            </w:pPr>
            <w:r w:rsidRPr="00873B6C">
              <w:t>Description</w:t>
            </w:r>
          </w:p>
        </w:tc>
        <w:tc>
          <w:tcPr>
            <w:tcW w:w="1701" w:type="dxa"/>
          </w:tcPr>
          <w:p w14:paraId="61BFF4B3" w14:textId="77777777" w:rsidR="00D40151" w:rsidRPr="00873B6C" w:rsidRDefault="00D40151" w:rsidP="009D14FB">
            <w:pPr>
              <w:pStyle w:val="TAH"/>
            </w:pPr>
            <w:r w:rsidRPr="00873B6C">
              <w:t>Reference in TS 23.273 [87]</w:t>
            </w:r>
          </w:p>
        </w:tc>
      </w:tr>
      <w:tr w:rsidR="00D40151" w:rsidRPr="00873B6C" w14:paraId="45A66931" w14:textId="77777777" w:rsidTr="00FD5C4A">
        <w:trPr>
          <w:cantSplit/>
          <w:jc w:val="center"/>
        </w:trPr>
        <w:tc>
          <w:tcPr>
            <w:tcW w:w="2376" w:type="dxa"/>
          </w:tcPr>
          <w:p w14:paraId="5F59020D" w14:textId="77777777" w:rsidR="00D40151" w:rsidRPr="00873B6C" w:rsidRDefault="00D40151" w:rsidP="009D14FB">
            <w:pPr>
              <w:pStyle w:val="TAL"/>
              <w:rPr>
                <w:lang w:eastAsia="zh-CN"/>
              </w:rPr>
            </w:pPr>
            <w:r w:rsidRPr="00873B6C">
              <w:rPr>
                <w:lang w:eastAsia="zh-CN"/>
              </w:rPr>
              <w:t>Ngmlc_Location</w:t>
            </w:r>
          </w:p>
        </w:tc>
        <w:tc>
          <w:tcPr>
            <w:tcW w:w="3828" w:type="dxa"/>
          </w:tcPr>
          <w:p w14:paraId="74B09791" w14:textId="77777777" w:rsidR="00D40151" w:rsidRPr="00873B6C" w:rsidRDefault="00D40151" w:rsidP="009D14FB">
            <w:pPr>
              <w:pStyle w:val="TAL"/>
              <w:rPr>
                <w:lang w:eastAsia="zh-CN"/>
              </w:rPr>
            </w:pPr>
            <w:r w:rsidRPr="00873B6C">
              <w:rPr>
                <w:lang w:eastAsia="zh-CN"/>
              </w:rPr>
              <w:t>This service enables an NF to request location determination for a target UE.</w:t>
            </w:r>
          </w:p>
        </w:tc>
        <w:tc>
          <w:tcPr>
            <w:tcW w:w="1701" w:type="dxa"/>
          </w:tcPr>
          <w:p w14:paraId="35B396A1" w14:textId="77777777" w:rsidR="00D40151" w:rsidRPr="00873B6C" w:rsidRDefault="00D40151" w:rsidP="009D14FB">
            <w:pPr>
              <w:pStyle w:val="TAC"/>
              <w:rPr>
                <w:lang w:eastAsia="zh-CN"/>
              </w:rPr>
            </w:pPr>
            <w:r w:rsidRPr="00873B6C">
              <w:rPr>
                <w:lang w:eastAsia="zh-CN"/>
              </w:rPr>
              <w:t>8.4</w:t>
            </w:r>
          </w:p>
        </w:tc>
      </w:tr>
    </w:tbl>
    <w:p w14:paraId="1C1E5A50" w14:textId="77777777" w:rsidR="00D40151" w:rsidRPr="00873B6C" w:rsidRDefault="00D40151" w:rsidP="00D40151"/>
    <w:p w14:paraId="537B7CEA" w14:textId="77777777" w:rsidR="00D40151" w:rsidRPr="00873B6C" w:rsidRDefault="00D40151" w:rsidP="00D40151">
      <w:pPr>
        <w:pStyle w:val="Heading3"/>
      </w:pPr>
      <w:bookmarkStart w:id="6112" w:name="_CR7_2_17"/>
      <w:bookmarkStart w:id="6113" w:name="_Toc20150269"/>
      <w:bookmarkStart w:id="6114" w:name="_Toc27847077"/>
      <w:bookmarkStart w:id="6115" w:name="_Toc36188210"/>
      <w:bookmarkStart w:id="6116" w:name="_Toc45184123"/>
      <w:bookmarkStart w:id="6117" w:name="_Toc47342965"/>
      <w:bookmarkStart w:id="6118" w:name="_Toc51769667"/>
      <w:bookmarkStart w:id="6119" w:name="_Toc201157845"/>
      <w:bookmarkEnd w:id="6112"/>
      <w:r w:rsidRPr="00873B6C">
        <w:t>7.2.17</w:t>
      </w:r>
      <w:r w:rsidRPr="00873B6C">
        <w:tab/>
        <w:t>CHF Services</w:t>
      </w:r>
      <w:bookmarkEnd w:id="6113"/>
      <w:bookmarkEnd w:id="6114"/>
      <w:bookmarkEnd w:id="6115"/>
      <w:bookmarkEnd w:id="6116"/>
      <w:bookmarkEnd w:id="6117"/>
      <w:bookmarkEnd w:id="6118"/>
      <w:bookmarkEnd w:id="6119"/>
    </w:p>
    <w:p w14:paraId="4373EC48" w14:textId="61C7CAC2" w:rsidR="00D40151" w:rsidRPr="00873B6C" w:rsidRDefault="00D40151" w:rsidP="00D40151">
      <w:r w:rsidRPr="00873B6C">
        <w:t>The following NF services</w:t>
      </w:r>
      <w:r w:rsidR="00A346EF" w:rsidRPr="00873B6C">
        <w:t xml:space="preserve"> for spending limits and charging</w:t>
      </w:r>
      <w:r w:rsidRPr="00873B6C">
        <w:t xml:space="preserve"> are specified for CHF.</w:t>
      </w:r>
    </w:p>
    <w:p w14:paraId="513C66BD" w14:textId="66F482A3" w:rsidR="00D40151" w:rsidRPr="00873B6C" w:rsidRDefault="00D40151" w:rsidP="00D40151">
      <w:pPr>
        <w:pStyle w:val="TH"/>
      </w:pPr>
      <w:bookmarkStart w:id="6120" w:name="_CRTable7_2_171"/>
      <w:r w:rsidRPr="00873B6C">
        <w:lastRenderedPageBreak/>
        <w:t xml:space="preserve">Table </w:t>
      </w:r>
      <w:bookmarkEnd w:id="6120"/>
      <w:r w:rsidRPr="00873B6C">
        <w:t>7.2.17-1: NF Service</w:t>
      </w:r>
      <w:r w:rsidR="00A346EF" w:rsidRPr="00873B6C">
        <w:t>s</w:t>
      </w:r>
      <w:r w:rsidRPr="00873B6C">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873B6C" w14:paraId="7929FE16" w14:textId="77777777" w:rsidTr="00FD5C4A">
        <w:trPr>
          <w:cantSplit/>
          <w:tblHeader/>
          <w:jc w:val="center"/>
        </w:trPr>
        <w:tc>
          <w:tcPr>
            <w:tcW w:w="2376" w:type="dxa"/>
          </w:tcPr>
          <w:p w14:paraId="153E3FAC" w14:textId="77777777" w:rsidR="00D40151" w:rsidRPr="00873B6C" w:rsidRDefault="00D40151" w:rsidP="009D14FB">
            <w:pPr>
              <w:pStyle w:val="TAH"/>
            </w:pPr>
            <w:r w:rsidRPr="00873B6C">
              <w:t>Service Name</w:t>
            </w:r>
          </w:p>
        </w:tc>
        <w:tc>
          <w:tcPr>
            <w:tcW w:w="3828" w:type="dxa"/>
          </w:tcPr>
          <w:p w14:paraId="101D6940" w14:textId="77777777" w:rsidR="00D40151" w:rsidRPr="00873B6C" w:rsidRDefault="00D40151" w:rsidP="009D14FB">
            <w:pPr>
              <w:pStyle w:val="TAH"/>
            </w:pPr>
            <w:r w:rsidRPr="00873B6C">
              <w:t>Description</w:t>
            </w:r>
          </w:p>
        </w:tc>
        <w:tc>
          <w:tcPr>
            <w:tcW w:w="1701" w:type="dxa"/>
          </w:tcPr>
          <w:p w14:paraId="535B85D4" w14:textId="3FC7BCB1" w:rsidR="00D40151" w:rsidRPr="00873B6C" w:rsidRDefault="00D40151" w:rsidP="009D14FB">
            <w:pPr>
              <w:pStyle w:val="TAH"/>
            </w:pPr>
            <w:r w:rsidRPr="00873B6C">
              <w:rPr>
                <w:lang w:eastAsia="zh-CN"/>
              </w:rPr>
              <w:t>Reference in TS 23.502 [3]</w:t>
            </w:r>
            <w:r w:rsidR="00A10084" w:rsidRPr="00873B6C">
              <w:rPr>
                <w:lang w:eastAsia="zh-CN"/>
              </w:rPr>
              <w:t xml:space="preserve"> or other TS</w:t>
            </w:r>
          </w:p>
        </w:tc>
      </w:tr>
      <w:tr w:rsidR="00D40151" w:rsidRPr="00873B6C" w14:paraId="4752159A" w14:textId="77777777" w:rsidTr="00FD5C4A">
        <w:trPr>
          <w:cantSplit/>
          <w:jc w:val="center"/>
        </w:trPr>
        <w:tc>
          <w:tcPr>
            <w:tcW w:w="2376" w:type="dxa"/>
          </w:tcPr>
          <w:p w14:paraId="5B059DA8" w14:textId="77777777" w:rsidR="00D40151" w:rsidRPr="00873B6C" w:rsidRDefault="00D40151" w:rsidP="009D14FB">
            <w:pPr>
              <w:pStyle w:val="TAL"/>
              <w:rPr>
                <w:lang w:eastAsia="zh-CN"/>
              </w:rPr>
            </w:pPr>
            <w:r w:rsidRPr="00873B6C">
              <w:t>Nchf_SpendingLimitControl</w:t>
            </w:r>
          </w:p>
        </w:tc>
        <w:tc>
          <w:tcPr>
            <w:tcW w:w="3828" w:type="dxa"/>
          </w:tcPr>
          <w:p w14:paraId="017E260E" w14:textId="59D0879A" w:rsidR="00D40151" w:rsidRPr="00873B6C" w:rsidRDefault="00D40151" w:rsidP="009D14FB">
            <w:pPr>
              <w:pStyle w:val="TAL"/>
              <w:rPr>
                <w:lang w:eastAsia="zh-CN"/>
              </w:rPr>
            </w:pPr>
            <w:r w:rsidRPr="00873B6C">
              <w:rPr>
                <w:lang w:eastAsia="zh-CN"/>
              </w:rPr>
              <w:t>This service enables transfer of policy counter status information relating to subscriber spending limits from CHF to NF consumer</w:t>
            </w:r>
            <w:r w:rsidR="00A346EF" w:rsidRPr="00873B6C">
              <w:rPr>
                <w:lang w:eastAsia="zh-CN"/>
              </w:rPr>
              <w:t xml:space="preserve"> and described in TS 23.503 [45].</w:t>
            </w:r>
          </w:p>
        </w:tc>
        <w:tc>
          <w:tcPr>
            <w:tcW w:w="1701" w:type="dxa"/>
          </w:tcPr>
          <w:p w14:paraId="5F868967" w14:textId="7BE06F6A" w:rsidR="00D40151" w:rsidRPr="00873B6C" w:rsidRDefault="00D40151" w:rsidP="009D14FB">
            <w:pPr>
              <w:pStyle w:val="TAC"/>
              <w:rPr>
                <w:lang w:eastAsia="zh-CN"/>
              </w:rPr>
            </w:pPr>
            <w:r w:rsidRPr="00873B6C">
              <w:rPr>
                <w:lang w:eastAsia="zh-CN"/>
              </w:rPr>
              <w:t>5.2.17</w:t>
            </w:r>
          </w:p>
        </w:tc>
      </w:tr>
      <w:tr w:rsidR="00A10084" w:rsidRPr="00873B6C" w14:paraId="797CE1C3" w14:textId="77777777" w:rsidTr="00FD5C4A">
        <w:trPr>
          <w:cantSplit/>
          <w:jc w:val="center"/>
        </w:trPr>
        <w:tc>
          <w:tcPr>
            <w:tcW w:w="2376" w:type="dxa"/>
          </w:tcPr>
          <w:p w14:paraId="33138A71" w14:textId="77777777" w:rsidR="00A10084" w:rsidRPr="00873B6C" w:rsidRDefault="00A10084" w:rsidP="00A10084">
            <w:pPr>
              <w:pStyle w:val="TAL"/>
            </w:pPr>
            <w:r w:rsidRPr="00873B6C">
              <w:t>Nchf_Converged_Charging</w:t>
            </w:r>
          </w:p>
        </w:tc>
        <w:tc>
          <w:tcPr>
            <w:tcW w:w="3828" w:type="dxa"/>
          </w:tcPr>
          <w:p w14:paraId="0FB2CE32" w14:textId="12BC69AD" w:rsidR="00A10084" w:rsidRPr="00873B6C" w:rsidRDefault="00A10084" w:rsidP="00A10084">
            <w:pPr>
              <w:pStyle w:val="TAL"/>
              <w:rPr>
                <w:lang w:eastAsia="zh-CN"/>
              </w:rPr>
            </w:pPr>
            <w:r w:rsidRPr="00873B6C">
              <w:rPr>
                <w:lang w:eastAsia="zh-CN"/>
              </w:rPr>
              <w:t>This service enables converged online and offline charging.</w:t>
            </w:r>
          </w:p>
        </w:tc>
        <w:tc>
          <w:tcPr>
            <w:tcW w:w="1701" w:type="dxa"/>
          </w:tcPr>
          <w:p w14:paraId="599D1008" w14:textId="612ED8CE" w:rsidR="00A10084" w:rsidRPr="00873B6C" w:rsidRDefault="00A10084" w:rsidP="00A10084">
            <w:pPr>
              <w:pStyle w:val="TAC"/>
              <w:rPr>
                <w:lang w:eastAsia="zh-CN"/>
              </w:rPr>
            </w:pPr>
            <w:r w:rsidRPr="00873B6C">
              <w:rPr>
                <w:lang w:eastAsia="zh-CN"/>
              </w:rPr>
              <w:t>TS 32.290 [67]</w:t>
            </w:r>
          </w:p>
        </w:tc>
      </w:tr>
      <w:tr w:rsidR="00A10084" w:rsidRPr="00873B6C" w14:paraId="15D4273F" w14:textId="77777777" w:rsidTr="00FD5C4A">
        <w:trPr>
          <w:cantSplit/>
          <w:jc w:val="center"/>
        </w:trPr>
        <w:tc>
          <w:tcPr>
            <w:tcW w:w="2376" w:type="dxa"/>
          </w:tcPr>
          <w:p w14:paraId="46EDF465" w14:textId="77777777" w:rsidR="00A10084" w:rsidRPr="00873B6C" w:rsidRDefault="00A10084" w:rsidP="00A10084">
            <w:pPr>
              <w:pStyle w:val="TAL"/>
            </w:pPr>
            <w:r w:rsidRPr="00873B6C">
              <w:t>Nchf_OfflineOnlyCharging</w:t>
            </w:r>
          </w:p>
        </w:tc>
        <w:tc>
          <w:tcPr>
            <w:tcW w:w="3828" w:type="dxa"/>
          </w:tcPr>
          <w:p w14:paraId="31C59897" w14:textId="5D403133" w:rsidR="00A10084" w:rsidRPr="00873B6C" w:rsidRDefault="00A10084" w:rsidP="00A10084">
            <w:pPr>
              <w:pStyle w:val="TAL"/>
              <w:rPr>
                <w:lang w:eastAsia="zh-CN"/>
              </w:rPr>
            </w:pPr>
            <w:r w:rsidRPr="00873B6C">
              <w:rPr>
                <w:lang w:eastAsia="zh-CN"/>
              </w:rPr>
              <w:t>This service enables only offline charging.</w:t>
            </w:r>
          </w:p>
        </w:tc>
        <w:tc>
          <w:tcPr>
            <w:tcW w:w="1701" w:type="dxa"/>
          </w:tcPr>
          <w:p w14:paraId="047BA0CA" w14:textId="02AC4D9E" w:rsidR="00A10084" w:rsidRPr="00873B6C" w:rsidRDefault="00A10084" w:rsidP="00A10084">
            <w:pPr>
              <w:pStyle w:val="TAC"/>
              <w:rPr>
                <w:lang w:eastAsia="zh-CN"/>
              </w:rPr>
            </w:pPr>
            <w:r w:rsidRPr="00873B6C">
              <w:rPr>
                <w:lang w:eastAsia="zh-CN"/>
              </w:rPr>
              <w:t>TS 32.290 [67]</w:t>
            </w:r>
          </w:p>
        </w:tc>
      </w:tr>
    </w:tbl>
    <w:p w14:paraId="06F268C4" w14:textId="77777777" w:rsidR="00D40151" w:rsidRPr="00873B6C" w:rsidRDefault="00D40151" w:rsidP="00D40151">
      <w:pPr>
        <w:pStyle w:val="FP"/>
      </w:pPr>
    </w:p>
    <w:p w14:paraId="1CA9E89E" w14:textId="77777777" w:rsidR="00D40151" w:rsidRPr="00873B6C" w:rsidRDefault="00D40151" w:rsidP="00D40151">
      <w:pPr>
        <w:pStyle w:val="Heading3"/>
      </w:pPr>
      <w:bookmarkStart w:id="6121" w:name="_CR7_2_18"/>
      <w:bookmarkStart w:id="6122" w:name="_Toc20150270"/>
      <w:bookmarkStart w:id="6123" w:name="_Toc27847078"/>
      <w:bookmarkStart w:id="6124" w:name="_Toc36188211"/>
      <w:bookmarkStart w:id="6125" w:name="_Toc45184124"/>
      <w:bookmarkStart w:id="6126" w:name="_Toc47342966"/>
      <w:bookmarkStart w:id="6127" w:name="_Toc51769668"/>
      <w:bookmarkStart w:id="6128" w:name="_Toc201157846"/>
      <w:bookmarkEnd w:id="6121"/>
      <w:r w:rsidRPr="00873B6C">
        <w:t>7.2.18</w:t>
      </w:r>
      <w:r w:rsidRPr="00873B6C">
        <w:tab/>
        <w:t>UCMF Services</w:t>
      </w:r>
      <w:bookmarkEnd w:id="6122"/>
      <w:bookmarkEnd w:id="6123"/>
      <w:bookmarkEnd w:id="6124"/>
      <w:bookmarkEnd w:id="6125"/>
      <w:bookmarkEnd w:id="6126"/>
      <w:bookmarkEnd w:id="6127"/>
      <w:bookmarkEnd w:id="6128"/>
    </w:p>
    <w:p w14:paraId="3D4DBED4" w14:textId="77777777" w:rsidR="00D40151" w:rsidRPr="00873B6C" w:rsidRDefault="00D40151" w:rsidP="00D40151">
      <w:r w:rsidRPr="00873B6C">
        <w:t>The following NF services are specified for UCMF:</w:t>
      </w:r>
    </w:p>
    <w:p w14:paraId="6A9EA527" w14:textId="77777777" w:rsidR="00D40151" w:rsidRPr="00873B6C" w:rsidRDefault="00D40151" w:rsidP="00D40151">
      <w:pPr>
        <w:pStyle w:val="TH"/>
      </w:pPr>
      <w:bookmarkStart w:id="6129" w:name="_CRTable7_2_181"/>
      <w:r w:rsidRPr="00873B6C">
        <w:t xml:space="preserve">Table </w:t>
      </w:r>
      <w:bookmarkEnd w:id="6129"/>
      <w:r w:rsidRPr="00873B6C">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2B905FF8" w14:textId="77777777" w:rsidTr="00FD5C4A">
        <w:trPr>
          <w:cantSplit/>
          <w:tblHeader/>
          <w:jc w:val="center"/>
        </w:trPr>
        <w:tc>
          <w:tcPr>
            <w:tcW w:w="2235" w:type="dxa"/>
          </w:tcPr>
          <w:p w14:paraId="6332B6B6" w14:textId="77777777" w:rsidR="00D40151" w:rsidRPr="00873B6C" w:rsidRDefault="00D40151" w:rsidP="009D14FB">
            <w:pPr>
              <w:pStyle w:val="TAH"/>
            </w:pPr>
            <w:r w:rsidRPr="00873B6C">
              <w:t>Service Name</w:t>
            </w:r>
          </w:p>
        </w:tc>
        <w:tc>
          <w:tcPr>
            <w:tcW w:w="3827" w:type="dxa"/>
          </w:tcPr>
          <w:p w14:paraId="2B985363" w14:textId="77777777" w:rsidR="00D40151" w:rsidRPr="00873B6C" w:rsidRDefault="00D40151" w:rsidP="009D14FB">
            <w:pPr>
              <w:pStyle w:val="TAH"/>
            </w:pPr>
            <w:r w:rsidRPr="00873B6C">
              <w:t>Description</w:t>
            </w:r>
          </w:p>
        </w:tc>
        <w:tc>
          <w:tcPr>
            <w:tcW w:w="1843" w:type="dxa"/>
          </w:tcPr>
          <w:p w14:paraId="0DC3CCB1" w14:textId="77777777" w:rsidR="00D40151" w:rsidRPr="00873B6C" w:rsidRDefault="00D40151" w:rsidP="009D14FB">
            <w:pPr>
              <w:pStyle w:val="TAH"/>
            </w:pPr>
            <w:r w:rsidRPr="00873B6C">
              <w:rPr>
                <w:lang w:eastAsia="zh-CN"/>
              </w:rPr>
              <w:t>Reference in TS 23.502 [3]</w:t>
            </w:r>
          </w:p>
        </w:tc>
      </w:tr>
      <w:tr w:rsidR="00D40151" w:rsidRPr="00873B6C" w14:paraId="0D7FD159" w14:textId="77777777" w:rsidTr="00FD5C4A">
        <w:trPr>
          <w:cantSplit/>
          <w:jc w:val="center"/>
        </w:trPr>
        <w:tc>
          <w:tcPr>
            <w:tcW w:w="2235" w:type="dxa"/>
          </w:tcPr>
          <w:p w14:paraId="5CBE7360" w14:textId="77777777" w:rsidR="00D40151" w:rsidRPr="00873B6C" w:rsidRDefault="00D40151" w:rsidP="009D14FB">
            <w:pPr>
              <w:pStyle w:val="TAL"/>
              <w:rPr>
                <w:lang w:eastAsia="zh-CN"/>
              </w:rPr>
            </w:pPr>
            <w:r w:rsidRPr="00873B6C">
              <w:rPr>
                <w:lang w:eastAsia="zh-CN"/>
              </w:rPr>
              <w:t>Nucmf_Provisioning</w:t>
            </w:r>
          </w:p>
        </w:tc>
        <w:tc>
          <w:tcPr>
            <w:tcW w:w="3827" w:type="dxa"/>
          </w:tcPr>
          <w:p w14:paraId="115D1241" w14:textId="783AF776" w:rsidR="00D40151" w:rsidRPr="00873B6C" w:rsidRDefault="00D40151" w:rsidP="009D14FB">
            <w:pPr>
              <w:pStyle w:val="TAL"/>
              <w:rPr>
                <w:lang w:eastAsia="zh-CN"/>
              </w:rPr>
            </w:pPr>
            <w:r w:rsidRPr="00873B6C">
              <w:rPr>
                <w:lang w:eastAsia="zh-CN"/>
              </w:rPr>
              <w:t>Allows the NF consumer to provision a dictionary entry in the UCMF consisting of a Manufacturer-assigned UE Radio Capability ID</w:t>
            </w:r>
            <w:r w:rsidR="00E83620" w:rsidRPr="00873B6C">
              <w:rPr>
                <w:lang w:eastAsia="zh-CN"/>
              </w:rPr>
              <w:t>, the corresponding UE Radio Capability for Paging</w:t>
            </w:r>
            <w:r w:rsidRPr="00873B6C">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873B6C" w:rsidRDefault="00D40151" w:rsidP="009D14FB">
            <w:pPr>
              <w:pStyle w:val="TAC"/>
              <w:rPr>
                <w:lang w:eastAsia="zh-CN"/>
              </w:rPr>
            </w:pPr>
            <w:r w:rsidRPr="00873B6C">
              <w:rPr>
                <w:lang w:eastAsia="zh-CN"/>
              </w:rPr>
              <w:t>5.2.18.2</w:t>
            </w:r>
          </w:p>
        </w:tc>
      </w:tr>
      <w:tr w:rsidR="00D40151" w:rsidRPr="00873B6C" w14:paraId="470F7893" w14:textId="77777777" w:rsidTr="00FD5C4A">
        <w:trPr>
          <w:cantSplit/>
          <w:jc w:val="center"/>
        </w:trPr>
        <w:tc>
          <w:tcPr>
            <w:tcW w:w="2235" w:type="dxa"/>
          </w:tcPr>
          <w:p w14:paraId="7B8F0D82" w14:textId="77777777" w:rsidR="00D40151" w:rsidRPr="00873B6C" w:rsidRDefault="00D40151" w:rsidP="009D14FB">
            <w:pPr>
              <w:pStyle w:val="TAL"/>
            </w:pPr>
            <w:r w:rsidRPr="00873B6C">
              <w:t>Nucmf_UECapabilityManagement</w:t>
            </w:r>
          </w:p>
        </w:tc>
        <w:tc>
          <w:tcPr>
            <w:tcW w:w="3827" w:type="dxa"/>
          </w:tcPr>
          <w:p w14:paraId="3A062DB0" w14:textId="5435378E" w:rsidR="00D40151" w:rsidRPr="00873B6C" w:rsidRDefault="00D40151" w:rsidP="009D14FB">
            <w:pPr>
              <w:pStyle w:val="TAL"/>
              <w:rPr>
                <w:lang w:eastAsia="zh-CN"/>
              </w:rPr>
            </w:pPr>
            <w:r w:rsidRPr="00873B6C">
              <w:rPr>
                <w:lang w:eastAsia="zh-CN"/>
              </w:rPr>
              <w:t>Allows the NF consumer to resolve UE Radio Capability ID (either Manufacturer-assigned or PLMN-assigned) into the corresponding UE radio capabilities</w:t>
            </w:r>
            <w:r w:rsidR="00E83620" w:rsidRPr="00873B6C">
              <w:rPr>
                <w:lang w:eastAsia="zh-CN"/>
              </w:rPr>
              <w:t xml:space="preserve"> and the corresponding UE Radio Capability for Paging</w:t>
            </w:r>
            <w:r w:rsidRPr="00873B6C">
              <w:rPr>
                <w:lang w:eastAsia="zh-CN"/>
              </w:rPr>
              <w:t>. The consumer shall indicate whether it requests a TS 36.331 [51] format or a TS 38.331 [28] format to be provided.</w:t>
            </w:r>
          </w:p>
          <w:p w14:paraId="1A137D5A" w14:textId="77777777" w:rsidR="00D40151" w:rsidRPr="00873B6C" w:rsidRDefault="00D40151" w:rsidP="009D14FB">
            <w:pPr>
              <w:pStyle w:val="TAL"/>
              <w:rPr>
                <w:lang w:eastAsia="zh-CN"/>
              </w:rPr>
            </w:pPr>
            <w:r w:rsidRPr="00873B6C">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873B6C" w:rsidRDefault="00D40151" w:rsidP="009D14FB">
            <w:pPr>
              <w:pStyle w:val="TAL"/>
              <w:rPr>
                <w:lang w:eastAsia="zh-CN"/>
              </w:rPr>
            </w:pPr>
            <w:r w:rsidRPr="00873B6C">
              <w:rPr>
                <w:lang w:eastAsia="zh-CN"/>
              </w:rPr>
              <w:t>Allows the NF consumer to subscribe or unsubscribe for notifications of UCMF dictionary entries.</w:t>
            </w:r>
          </w:p>
          <w:p w14:paraId="755E6963" w14:textId="77777777" w:rsidR="00D40151" w:rsidRPr="00873B6C" w:rsidRDefault="00D40151" w:rsidP="009D14FB">
            <w:pPr>
              <w:pStyle w:val="TAL"/>
              <w:rPr>
                <w:lang w:eastAsia="zh-CN"/>
              </w:rPr>
            </w:pPr>
            <w:r w:rsidRPr="00873B6C">
              <w:rPr>
                <w:lang w:eastAsia="zh-CN"/>
              </w:rPr>
              <w:t>Allows the NF consumer to be notified about creation and deletion of UCMF dictionary entries.</w:t>
            </w:r>
          </w:p>
        </w:tc>
        <w:tc>
          <w:tcPr>
            <w:tcW w:w="1843" w:type="dxa"/>
          </w:tcPr>
          <w:p w14:paraId="41FDF792" w14:textId="77777777" w:rsidR="00D40151" w:rsidRPr="00873B6C" w:rsidRDefault="00D40151" w:rsidP="009D14FB">
            <w:pPr>
              <w:pStyle w:val="TAC"/>
              <w:rPr>
                <w:lang w:eastAsia="zh-CN"/>
              </w:rPr>
            </w:pPr>
            <w:r w:rsidRPr="00873B6C">
              <w:rPr>
                <w:lang w:eastAsia="zh-CN"/>
              </w:rPr>
              <w:t>5.2.18.3</w:t>
            </w:r>
          </w:p>
        </w:tc>
      </w:tr>
    </w:tbl>
    <w:p w14:paraId="379185C1" w14:textId="77777777" w:rsidR="00D40151" w:rsidRPr="00873B6C" w:rsidRDefault="00D40151" w:rsidP="00D40151"/>
    <w:p w14:paraId="64C51B99" w14:textId="77777777" w:rsidR="00D40151" w:rsidRPr="00873B6C" w:rsidRDefault="00D40151" w:rsidP="00D40151">
      <w:pPr>
        <w:pStyle w:val="Heading3"/>
      </w:pPr>
      <w:bookmarkStart w:id="6130" w:name="_CR7_2_19"/>
      <w:bookmarkStart w:id="6131" w:name="_Toc20150271"/>
      <w:bookmarkStart w:id="6132" w:name="_Toc27847079"/>
      <w:bookmarkStart w:id="6133" w:name="_Toc36188212"/>
      <w:bookmarkStart w:id="6134" w:name="_Toc45184125"/>
      <w:bookmarkStart w:id="6135" w:name="_Toc47342967"/>
      <w:bookmarkStart w:id="6136" w:name="_Toc51769669"/>
      <w:bookmarkStart w:id="6137" w:name="_Toc201157847"/>
      <w:bookmarkEnd w:id="6130"/>
      <w:r w:rsidRPr="00873B6C">
        <w:t>7.2.19</w:t>
      </w:r>
      <w:r w:rsidRPr="00873B6C">
        <w:tab/>
        <w:t>AF Services</w:t>
      </w:r>
      <w:bookmarkEnd w:id="6131"/>
      <w:bookmarkEnd w:id="6132"/>
      <w:bookmarkEnd w:id="6133"/>
      <w:bookmarkEnd w:id="6134"/>
      <w:bookmarkEnd w:id="6135"/>
      <w:bookmarkEnd w:id="6136"/>
      <w:bookmarkEnd w:id="6137"/>
    </w:p>
    <w:p w14:paraId="78C0984B" w14:textId="77777777" w:rsidR="00D40151" w:rsidRPr="00873B6C" w:rsidRDefault="00D40151" w:rsidP="00D40151">
      <w:r w:rsidRPr="00873B6C">
        <w:t>The following NF services are specified for AF:</w:t>
      </w:r>
    </w:p>
    <w:p w14:paraId="0F9F5BAD" w14:textId="77777777" w:rsidR="00D40151" w:rsidRPr="00873B6C" w:rsidRDefault="00D40151" w:rsidP="00D40151">
      <w:pPr>
        <w:pStyle w:val="TH"/>
      </w:pPr>
      <w:bookmarkStart w:id="6138" w:name="_CRTable7_2_191"/>
      <w:r w:rsidRPr="00873B6C">
        <w:lastRenderedPageBreak/>
        <w:t xml:space="preserve">Table </w:t>
      </w:r>
      <w:bookmarkEnd w:id="6138"/>
      <w:r w:rsidRPr="00873B6C">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4D51F98" w14:textId="77777777" w:rsidTr="00FD5C4A">
        <w:trPr>
          <w:cantSplit/>
          <w:tblHeader/>
          <w:jc w:val="center"/>
        </w:trPr>
        <w:tc>
          <w:tcPr>
            <w:tcW w:w="2235" w:type="dxa"/>
          </w:tcPr>
          <w:p w14:paraId="6F8CBB02" w14:textId="77777777" w:rsidR="00D40151" w:rsidRPr="00873B6C" w:rsidRDefault="00D40151" w:rsidP="009D14FB">
            <w:pPr>
              <w:pStyle w:val="TAH"/>
            </w:pPr>
            <w:r w:rsidRPr="00873B6C">
              <w:t>Service Name</w:t>
            </w:r>
          </w:p>
        </w:tc>
        <w:tc>
          <w:tcPr>
            <w:tcW w:w="3827" w:type="dxa"/>
          </w:tcPr>
          <w:p w14:paraId="04EF40A7" w14:textId="77777777" w:rsidR="00D40151" w:rsidRPr="00873B6C" w:rsidRDefault="00D40151" w:rsidP="009D14FB">
            <w:pPr>
              <w:pStyle w:val="TAH"/>
            </w:pPr>
            <w:r w:rsidRPr="00873B6C">
              <w:t>Description</w:t>
            </w:r>
          </w:p>
        </w:tc>
        <w:tc>
          <w:tcPr>
            <w:tcW w:w="1843" w:type="dxa"/>
          </w:tcPr>
          <w:p w14:paraId="69900322" w14:textId="5F05ED89" w:rsidR="00D40151" w:rsidRPr="00873B6C" w:rsidRDefault="00D40151" w:rsidP="009D14FB">
            <w:pPr>
              <w:pStyle w:val="TAH"/>
            </w:pPr>
            <w:r w:rsidRPr="00873B6C">
              <w:rPr>
                <w:lang w:eastAsia="zh-CN"/>
              </w:rPr>
              <w:t>Reference in TS 23.502 [3]</w:t>
            </w:r>
            <w:r w:rsidR="0053150F" w:rsidRPr="00873B6C">
              <w:rPr>
                <w:lang w:eastAsia="zh-CN"/>
              </w:rPr>
              <w:t xml:space="preserve"> or other TS</w:t>
            </w:r>
          </w:p>
        </w:tc>
      </w:tr>
      <w:tr w:rsidR="00D40151" w:rsidRPr="00873B6C" w14:paraId="2D6F1208" w14:textId="77777777" w:rsidTr="00FD5C4A">
        <w:trPr>
          <w:cantSplit/>
          <w:jc w:val="center"/>
        </w:trPr>
        <w:tc>
          <w:tcPr>
            <w:tcW w:w="2235" w:type="dxa"/>
          </w:tcPr>
          <w:p w14:paraId="0F29E7CF" w14:textId="77777777" w:rsidR="00D40151" w:rsidRPr="00873B6C" w:rsidRDefault="00D40151" w:rsidP="009D14FB">
            <w:pPr>
              <w:pStyle w:val="TAL"/>
              <w:rPr>
                <w:lang w:eastAsia="zh-CN"/>
              </w:rPr>
            </w:pPr>
            <w:r w:rsidRPr="00873B6C">
              <w:rPr>
                <w:lang w:eastAsia="zh-CN"/>
              </w:rPr>
              <w:t>Naf_EventExposure</w:t>
            </w:r>
          </w:p>
        </w:tc>
        <w:tc>
          <w:tcPr>
            <w:tcW w:w="3827" w:type="dxa"/>
          </w:tcPr>
          <w:p w14:paraId="55AE9EA7" w14:textId="77777777" w:rsidR="00D40151" w:rsidRPr="00873B6C" w:rsidRDefault="00D40151" w:rsidP="009D14FB">
            <w:pPr>
              <w:pStyle w:val="TAL"/>
              <w:rPr>
                <w:lang w:eastAsia="zh-CN"/>
              </w:rPr>
            </w:pPr>
            <w:r w:rsidRPr="00873B6C">
              <w:rPr>
                <w:lang w:eastAsia="zh-CN"/>
              </w:rPr>
              <w:t>This service enables consumer NF(s) to subscribe or get notified of the event as described in TS 23.288 [86].</w:t>
            </w:r>
          </w:p>
        </w:tc>
        <w:tc>
          <w:tcPr>
            <w:tcW w:w="1843" w:type="dxa"/>
          </w:tcPr>
          <w:p w14:paraId="27095E30" w14:textId="77777777" w:rsidR="00D40151" w:rsidRPr="00873B6C" w:rsidRDefault="00D40151" w:rsidP="009D14FB">
            <w:pPr>
              <w:pStyle w:val="TAC"/>
              <w:rPr>
                <w:lang w:eastAsia="zh-CN"/>
              </w:rPr>
            </w:pPr>
            <w:r w:rsidRPr="00873B6C">
              <w:rPr>
                <w:lang w:eastAsia="zh-CN"/>
              </w:rPr>
              <w:t>5.2.19.2</w:t>
            </w:r>
          </w:p>
        </w:tc>
      </w:tr>
      <w:tr w:rsidR="007C0A9B" w:rsidRPr="00873B6C" w14:paraId="16CAE7ED" w14:textId="77777777" w:rsidTr="00FD5C4A">
        <w:trPr>
          <w:cantSplit/>
          <w:jc w:val="center"/>
        </w:trPr>
        <w:tc>
          <w:tcPr>
            <w:tcW w:w="2235" w:type="dxa"/>
          </w:tcPr>
          <w:p w14:paraId="479FD9FC" w14:textId="56E999D1" w:rsidR="007C0A9B" w:rsidRPr="00873B6C" w:rsidRDefault="007C0A9B" w:rsidP="009D14FB">
            <w:pPr>
              <w:pStyle w:val="TAL"/>
              <w:rPr>
                <w:lang w:eastAsia="zh-CN"/>
              </w:rPr>
            </w:pPr>
            <w:r w:rsidRPr="00873B6C">
              <w:rPr>
                <w:lang w:eastAsia="zh-CN"/>
              </w:rPr>
              <w:t>Naf_ProSe</w:t>
            </w:r>
          </w:p>
        </w:tc>
        <w:tc>
          <w:tcPr>
            <w:tcW w:w="3827" w:type="dxa"/>
          </w:tcPr>
          <w:p w14:paraId="5A7A7FDF" w14:textId="10CADCD1" w:rsidR="007C0A9B" w:rsidRPr="00873B6C" w:rsidRDefault="007C0A9B" w:rsidP="009D14FB">
            <w:pPr>
              <w:pStyle w:val="TAL"/>
              <w:rPr>
                <w:lang w:eastAsia="zh-CN"/>
              </w:rPr>
            </w:pPr>
            <w:r w:rsidRPr="00873B6C">
              <w:rPr>
                <w:lang w:eastAsia="zh-CN"/>
              </w:rPr>
              <w:t>This service</w:t>
            </w:r>
            <w:r w:rsidR="0053150F" w:rsidRPr="00873B6C">
              <w:rPr>
                <w:lang w:eastAsia="zh-CN"/>
              </w:rPr>
              <w:t xml:space="preserve"> is</w:t>
            </w:r>
            <w:r w:rsidRPr="00873B6C">
              <w:rPr>
                <w:lang w:eastAsia="zh-CN"/>
              </w:rPr>
              <w:t xml:space="preserve"> for ProSe services as described in TS 23.304 [128].</w:t>
            </w:r>
          </w:p>
        </w:tc>
        <w:tc>
          <w:tcPr>
            <w:tcW w:w="1843" w:type="dxa"/>
          </w:tcPr>
          <w:p w14:paraId="28887A5C" w14:textId="51860436" w:rsidR="007C0A9B" w:rsidRPr="00873B6C" w:rsidRDefault="0053150F" w:rsidP="009D14FB">
            <w:pPr>
              <w:pStyle w:val="TAC"/>
              <w:rPr>
                <w:lang w:eastAsia="zh-CN"/>
              </w:rPr>
            </w:pPr>
            <w:r w:rsidRPr="00873B6C">
              <w:rPr>
                <w:lang w:eastAsia="zh-CN"/>
              </w:rPr>
              <w:t>TS 23.304 [128]</w:t>
            </w:r>
          </w:p>
        </w:tc>
      </w:tr>
      <w:tr w:rsidR="0053150F" w:rsidRPr="00873B6C" w14:paraId="0BCCF349" w14:textId="77777777" w:rsidTr="00FD5C4A">
        <w:trPr>
          <w:cantSplit/>
          <w:jc w:val="center"/>
        </w:trPr>
        <w:tc>
          <w:tcPr>
            <w:tcW w:w="2235" w:type="dxa"/>
          </w:tcPr>
          <w:p w14:paraId="18E1C980" w14:textId="61F90797" w:rsidR="0053150F" w:rsidRPr="00873B6C" w:rsidRDefault="0053150F" w:rsidP="009D14FB">
            <w:pPr>
              <w:pStyle w:val="TAL"/>
              <w:rPr>
                <w:lang w:eastAsia="zh-CN"/>
              </w:rPr>
            </w:pPr>
            <w:r w:rsidRPr="00873B6C">
              <w:rPr>
                <w:lang w:eastAsia="zh-CN"/>
              </w:rPr>
              <w:t>Naf_Authentication</w:t>
            </w:r>
          </w:p>
        </w:tc>
        <w:tc>
          <w:tcPr>
            <w:tcW w:w="3827" w:type="dxa"/>
          </w:tcPr>
          <w:p w14:paraId="28FBFA16" w14:textId="799A95D6" w:rsidR="0053150F" w:rsidRPr="00873B6C" w:rsidRDefault="0053150F" w:rsidP="009D14FB">
            <w:pPr>
              <w:pStyle w:val="TAL"/>
              <w:rPr>
                <w:lang w:eastAsia="zh-CN"/>
              </w:rPr>
            </w:pPr>
            <w:r w:rsidRPr="00873B6C">
              <w:rPr>
                <w:lang w:eastAsia="zh-CN"/>
              </w:rPr>
              <w:t>This service enables the consumer to authenticate and authorize the Service Level Device Identity as described in TS 23.256 [136].</w:t>
            </w:r>
          </w:p>
        </w:tc>
        <w:tc>
          <w:tcPr>
            <w:tcW w:w="1843" w:type="dxa"/>
          </w:tcPr>
          <w:p w14:paraId="65B5D583" w14:textId="4E992197" w:rsidR="0053150F" w:rsidRPr="00873B6C" w:rsidDel="0053150F" w:rsidRDefault="0053150F" w:rsidP="009D14FB">
            <w:pPr>
              <w:pStyle w:val="TAC"/>
              <w:rPr>
                <w:lang w:eastAsia="zh-CN"/>
              </w:rPr>
            </w:pPr>
            <w:r w:rsidRPr="00873B6C">
              <w:rPr>
                <w:lang w:eastAsia="zh-CN"/>
              </w:rPr>
              <w:t>TS 23.256 [136]</w:t>
            </w:r>
          </w:p>
        </w:tc>
      </w:tr>
    </w:tbl>
    <w:p w14:paraId="19139865" w14:textId="77777777" w:rsidR="00D40151" w:rsidRPr="00873B6C" w:rsidRDefault="00D40151" w:rsidP="00D40151"/>
    <w:p w14:paraId="1FCA2C37" w14:textId="77777777" w:rsidR="00D40151" w:rsidRPr="00873B6C" w:rsidRDefault="00D40151" w:rsidP="00D40151">
      <w:pPr>
        <w:pStyle w:val="Heading3"/>
      </w:pPr>
      <w:bookmarkStart w:id="6139" w:name="_CR7_2_20"/>
      <w:bookmarkStart w:id="6140" w:name="_Toc45184126"/>
      <w:bookmarkStart w:id="6141" w:name="_Toc47342968"/>
      <w:bookmarkStart w:id="6142" w:name="_Toc51769670"/>
      <w:bookmarkStart w:id="6143" w:name="_Toc20150272"/>
      <w:bookmarkStart w:id="6144" w:name="_Toc27847080"/>
      <w:bookmarkStart w:id="6145" w:name="_Toc36188213"/>
      <w:bookmarkStart w:id="6146" w:name="_Toc201157848"/>
      <w:bookmarkEnd w:id="6139"/>
      <w:r w:rsidRPr="00873B6C">
        <w:t>7.2.20</w:t>
      </w:r>
      <w:r w:rsidRPr="00873B6C">
        <w:tab/>
        <w:t>NSSAAF Services</w:t>
      </w:r>
      <w:bookmarkEnd w:id="6140"/>
      <w:bookmarkEnd w:id="6141"/>
      <w:bookmarkEnd w:id="6142"/>
      <w:bookmarkEnd w:id="6146"/>
    </w:p>
    <w:p w14:paraId="2A0F056F" w14:textId="77777777" w:rsidR="00D40151" w:rsidRPr="00873B6C" w:rsidRDefault="00D40151" w:rsidP="00D40151">
      <w:r w:rsidRPr="00873B6C">
        <w:t>The following NF services are specified for NSSAAF:</w:t>
      </w:r>
    </w:p>
    <w:p w14:paraId="1D5049CB" w14:textId="77777777" w:rsidR="00D40151" w:rsidRPr="00873B6C" w:rsidRDefault="00D40151" w:rsidP="00D40151">
      <w:pPr>
        <w:pStyle w:val="TH"/>
      </w:pPr>
      <w:bookmarkStart w:id="6147" w:name="_CRTable7_2_201"/>
      <w:r w:rsidRPr="00873B6C">
        <w:t xml:space="preserve">Table </w:t>
      </w:r>
      <w:bookmarkEnd w:id="6147"/>
      <w:r w:rsidRPr="00873B6C">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DE95861" w14:textId="77777777" w:rsidTr="00FD5C4A">
        <w:trPr>
          <w:cantSplit/>
          <w:tblHeader/>
          <w:jc w:val="center"/>
        </w:trPr>
        <w:tc>
          <w:tcPr>
            <w:tcW w:w="2235" w:type="dxa"/>
          </w:tcPr>
          <w:p w14:paraId="2C2BBBC0" w14:textId="77777777" w:rsidR="00D40151" w:rsidRPr="00873B6C" w:rsidRDefault="00D40151" w:rsidP="009D14FB">
            <w:pPr>
              <w:pStyle w:val="TAH"/>
            </w:pPr>
            <w:r w:rsidRPr="00873B6C">
              <w:t>Service Name</w:t>
            </w:r>
          </w:p>
        </w:tc>
        <w:tc>
          <w:tcPr>
            <w:tcW w:w="3827" w:type="dxa"/>
          </w:tcPr>
          <w:p w14:paraId="24CE87C6" w14:textId="77777777" w:rsidR="00D40151" w:rsidRPr="00873B6C" w:rsidRDefault="00D40151" w:rsidP="009D14FB">
            <w:pPr>
              <w:pStyle w:val="TAH"/>
            </w:pPr>
            <w:r w:rsidRPr="00873B6C">
              <w:t>Description</w:t>
            </w:r>
          </w:p>
        </w:tc>
        <w:tc>
          <w:tcPr>
            <w:tcW w:w="1843" w:type="dxa"/>
          </w:tcPr>
          <w:p w14:paraId="223B744C" w14:textId="77777777" w:rsidR="00D40151" w:rsidRPr="00873B6C" w:rsidRDefault="00D40151" w:rsidP="009D14FB">
            <w:pPr>
              <w:pStyle w:val="TAH"/>
            </w:pPr>
            <w:r w:rsidRPr="00873B6C">
              <w:rPr>
                <w:lang w:eastAsia="zh-CN"/>
              </w:rPr>
              <w:t>Reference in TS 23.502 [3]</w:t>
            </w:r>
          </w:p>
        </w:tc>
      </w:tr>
      <w:tr w:rsidR="00D40151" w:rsidRPr="00873B6C" w14:paraId="3FEC56F0" w14:textId="77777777" w:rsidTr="00FD5C4A">
        <w:trPr>
          <w:cantSplit/>
          <w:jc w:val="center"/>
        </w:trPr>
        <w:tc>
          <w:tcPr>
            <w:tcW w:w="2235" w:type="dxa"/>
          </w:tcPr>
          <w:p w14:paraId="5BF07A19" w14:textId="77777777" w:rsidR="00D40151" w:rsidRPr="00873B6C" w:rsidRDefault="00D40151" w:rsidP="009D14FB">
            <w:pPr>
              <w:pStyle w:val="TAL"/>
              <w:rPr>
                <w:lang w:eastAsia="zh-CN"/>
              </w:rPr>
            </w:pPr>
            <w:r w:rsidRPr="00873B6C">
              <w:rPr>
                <w:lang w:eastAsia="zh-CN"/>
              </w:rPr>
              <w:t>Nnssaaf_NSSAA</w:t>
            </w:r>
          </w:p>
        </w:tc>
        <w:tc>
          <w:tcPr>
            <w:tcW w:w="3827" w:type="dxa"/>
          </w:tcPr>
          <w:p w14:paraId="3388EA66" w14:textId="77777777" w:rsidR="00D40151" w:rsidRPr="00873B6C" w:rsidRDefault="00D40151" w:rsidP="009D14FB">
            <w:pPr>
              <w:pStyle w:val="TAL"/>
              <w:rPr>
                <w:lang w:eastAsia="zh-CN"/>
              </w:rPr>
            </w:pPr>
            <w:r w:rsidRPr="00873B6C">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873B6C" w:rsidRDefault="00AF315F" w:rsidP="009D14FB">
            <w:pPr>
              <w:pStyle w:val="TAC"/>
              <w:rPr>
                <w:lang w:eastAsia="zh-CN"/>
              </w:rPr>
            </w:pPr>
            <w:r w:rsidRPr="00873B6C">
              <w:rPr>
                <w:lang w:eastAsia="zh-CN"/>
              </w:rPr>
              <w:t>5.2.20.2</w:t>
            </w:r>
          </w:p>
        </w:tc>
      </w:tr>
      <w:tr w:rsidR="00AF315F" w:rsidRPr="00873B6C" w14:paraId="0E250433" w14:textId="77777777" w:rsidTr="00FD5C4A">
        <w:trPr>
          <w:cantSplit/>
          <w:jc w:val="center"/>
        </w:trPr>
        <w:tc>
          <w:tcPr>
            <w:tcW w:w="2235" w:type="dxa"/>
          </w:tcPr>
          <w:p w14:paraId="4CEC1F9B" w14:textId="26C80784" w:rsidR="00AF315F" w:rsidRPr="00873B6C" w:rsidRDefault="00AF315F" w:rsidP="009D14FB">
            <w:pPr>
              <w:pStyle w:val="TAL"/>
              <w:rPr>
                <w:lang w:eastAsia="zh-CN"/>
              </w:rPr>
            </w:pPr>
            <w:r w:rsidRPr="00873B6C">
              <w:rPr>
                <w:lang w:eastAsia="zh-CN"/>
              </w:rPr>
              <w:t>Nnssaaf_AIW</w:t>
            </w:r>
          </w:p>
        </w:tc>
        <w:tc>
          <w:tcPr>
            <w:tcW w:w="3827" w:type="dxa"/>
          </w:tcPr>
          <w:p w14:paraId="19855DAB" w14:textId="3212C32E" w:rsidR="00AF315F" w:rsidRPr="00873B6C" w:rsidRDefault="00AF315F" w:rsidP="009D14FB">
            <w:pPr>
              <w:pStyle w:val="TAL"/>
              <w:rPr>
                <w:lang w:eastAsia="zh-CN"/>
              </w:rPr>
            </w:pPr>
            <w:r w:rsidRPr="00873B6C">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873B6C" w:rsidDel="00AF315F" w:rsidRDefault="00AF315F" w:rsidP="009D14FB">
            <w:pPr>
              <w:pStyle w:val="TAC"/>
              <w:rPr>
                <w:lang w:eastAsia="zh-CN"/>
              </w:rPr>
            </w:pPr>
            <w:r w:rsidRPr="00873B6C">
              <w:rPr>
                <w:lang w:eastAsia="zh-CN"/>
              </w:rPr>
              <w:t>5.2.20.</w:t>
            </w:r>
            <w:r w:rsidR="00112E2C" w:rsidRPr="00873B6C">
              <w:rPr>
                <w:lang w:eastAsia="zh-CN"/>
              </w:rPr>
              <w:t>3</w:t>
            </w:r>
          </w:p>
        </w:tc>
      </w:tr>
    </w:tbl>
    <w:p w14:paraId="68D000CA" w14:textId="77777777" w:rsidR="00D40151" w:rsidRPr="00873B6C" w:rsidRDefault="00D40151" w:rsidP="00D40151"/>
    <w:p w14:paraId="3BE82FED" w14:textId="7D098EEF" w:rsidR="00FD5C4A" w:rsidRPr="00873B6C" w:rsidRDefault="00FD5C4A" w:rsidP="00FD5C4A">
      <w:pPr>
        <w:pStyle w:val="Heading3"/>
      </w:pPr>
      <w:bookmarkStart w:id="6148" w:name="_CR7_2_21"/>
      <w:bookmarkStart w:id="6149" w:name="_Toc45184127"/>
      <w:bookmarkStart w:id="6150" w:name="_Toc47342969"/>
      <w:bookmarkStart w:id="6151" w:name="_Toc51769671"/>
      <w:bookmarkStart w:id="6152" w:name="_Toc201157849"/>
      <w:bookmarkEnd w:id="6148"/>
      <w:r w:rsidRPr="00873B6C">
        <w:t>7.2.21</w:t>
      </w:r>
      <w:r w:rsidRPr="00873B6C">
        <w:tab/>
        <w:t>DCCF Services</w:t>
      </w:r>
      <w:bookmarkEnd w:id="6152"/>
    </w:p>
    <w:p w14:paraId="28DE974B" w14:textId="77777777" w:rsidR="00FD5C4A" w:rsidRPr="00873B6C" w:rsidRDefault="00FD5C4A" w:rsidP="00FD5C4A">
      <w:r w:rsidRPr="00873B6C">
        <w:t>The following NF services are specified for DCCF:</w:t>
      </w:r>
    </w:p>
    <w:p w14:paraId="1B578938" w14:textId="77777777" w:rsidR="00FD5C4A" w:rsidRPr="00873B6C" w:rsidRDefault="00FD5C4A" w:rsidP="00323277">
      <w:pPr>
        <w:pStyle w:val="TH"/>
      </w:pPr>
      <w:bookmarkStart w:id="6153" w:name="_CRTable7_2_211"/>
      <w:r w:rsidRPr="00873B6C">
        <w:t xml:space="preserve">Table </w:t>
      </w:r>
      <w:bookmarkEnd w:id="6153"/>
      <w:r w:rsidRPr="00873B6C">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873B6C" w14:paraId="514548C0" w14:textId="77777777" w:rsidTr="00FD5C4A">
        <w:trPr>
          <w:cantSplit/>
          <w:tblHeader/>
          <w:jc w:val="center"/>
        </w:trPr>
        <w:tc>
          <w:tcPr>
            <w:tcW w:w="2235" w:type="dxa"/>
          </w:tcPr>
          <w:p w14:paraId="61E8C8FA" w14:textId="77777777" w:rsidR="00FD5C4A" w:rsidRPr="00873B6C" w:rsidRDefault="00FD5C4A" w:rsidP="0047544D">
            <w:pPr>
              <w:pStyle w:val="TAH"/>
            </w:pPr>
            <w:r w:rsidRPr="00873B6C">
              <w:t>Service Name</w:t>
            </w:r>
          </w:p>
        </w:tc>
        <w:tc>
          <w:tcPr>
            <w:tcW w:w="3827" w:type="dxa"/>
          </w:tcPr>
          <w:p w14:paraId="3A72F729" w14:textId="77777777" w:rsidR="00FD5C4A" w:rsidRPr="00873B6C" w:rsidRDefault="00FD5C4A" w:rsidP="0047544D">
            <w:pPr>
              <w:pStyle w:val="TAH"/>
            </w:pPr>
            <w:r w:rsidRPr="00873B6C">
              <w:t>Description</w:t>
            </w:r>
          </w:p>
        </w:tc>
        <w:tc>
          <w:tcPr>
            <w:tcW w:w="1843" w:type="dxa"/>
          </w:tcPr>
          <w:p w14:paraId="6780BFA7" w14:textId="60E77D04" w:rsidR="00FD5C4A" w:rsidRPr="00873B6C" w:rsidRDefault="00FD5C4A" w:rsidP="0047544D">
            <w:pPr>
              <w:pStyle w:val="TAH"/>
            </w:pPr>
            <w:r w:rsidRPr="00873B6C">
              <w:t>Reference in TS 23.288 [86]</w:t>
            </w:r>
          </w:p>
        </w:tc>
      </w:tr>
      <w:tr w:rsidR="00FD5C4A" w:rsidRPr="00873B6C" w14:paraId="09449DAA" w14:textId="77777777" w:rsidTr="00FD5C4A">
        <w:trPr>
          <w:cantSplit/>
          <w:jc w:val="center"/>
        </w:trPr>
        <w:tc>
          <w:tcPr>
            <w:tcW w:w="2235" w:type="dxa"/>
          </w:tcPr>
          <w:p w14:paraId="6A04DAD8" w14:textId="589C4788" w:rsidR="00FD5C4A" w:rsidRPr="00873B6C" w:rsidRDefault="00FD5C4A" w:rsidP="0047544D">
            <w:pPr>
              <w:pStyle w:val="TAL"/>
              <w:rPr>
                <w:lang w:eastAsia="zh-CN"/>
              </w:rPr>
            </w:pPr>
            <w:r w:rsidRPr="00873B6C">
              <w:rPr>
                <w:lang w:eastAsia="zh-CN"/>
              </w:rPr>
              <w:t>Ndccf_DataManagement</w:t>
            </w:r>
          </w:p>
        </w:tc>
        <w:tc>
          <w:tcPr>
            <w:tcW w:w="3827" w:type="dxa"/>
          </w:tcPr>
          <w:p w14:paraId="574C7C4A" w14:textId="5803169B" w:rsidR="00FD5C4A" w:rsidRPr="00873B6C" w:rsidRDefault="00FD5C4A" w:rsidP="0047544D">
            <w:pPr>
              <w:pStyle w:val="TAL"/>
              <w:rPr>
                <w:lang w:eastAsia="zh-CN"/>
              </w:rPr>
            </w:pPr>
            <w:r w:rsidRPr="00873B6C">
              <w:rPr>
                <w:lang w:eastAsia="zh-CN"/>
              </w:rPr>
              <w:t>This service enables a Data Consumer to request data</w:t>
            </w:r>
            <w:r w:rsidR="00472CD7" w:rsidRPr="00873B6C">
              <w:rPr>
                <w:lang w:eastAsia="zh-CN"/>
              </w:rPr>
              <w:t xml:space="preserve"> and</w:t>
            </w:r>
            <w:r w:rsidRPr="00873B6C">
              <w:rPr>
                <w:lang w:eastAsia="zh-CN"/>
              </w:rPr>
              <w:t xml:space="preserve"> have it delivered via a messaging framework or via the DCCF, while avoiding redundant requests to data sources.</w:t>
            </w:r>
          </w:p>
        </w:tc>
        <w:tc>
          <w:tcPr>
            <w:tcW w:w="1843" w:type="dxa"/>
          </w:tcPr>
          <w:p w14:paraId="2C490B56" w14:textId="67A76486" w:rsidR="00FD5C4A" w:rsidRPr="00873B6C" w:rsidRDefault="00681FC7" w:rsidP="0047544D">
            <w:pPr>
              <w:pStyle w:val="TAC"/>
              <w:rPr>
                <w:lang w:eastAsia="zh-CN"/>
              </w:rPr>
            </w:pPr>
            <w:r w:rsidRPr="00873B6C">
              <w:rPr>
                <w:lang w:eastAsia="zh-CN"/>
              </w:rPr>
              <w:t>8</w:t>
            </w:r>
            <w:r w:rsidR="005551CC" w:rsidRPr="00873B6C">
              <w:rPr>
                <w:lang w:eastAsia="zh-CN"/>
              </w:rPr>
              <w:t>.2</w:t>
            </w:r>
          </w:p>
        </w:tc>
      </w:tr>
      <w:tr w:rsidR="00FD5C4A" w:rsidRPr="00873B6C" w14:paraId="26716E8E" w14:textId="77777777" w:rsidTr="00FD5C4A">
        <w:trPr>
          <w:cantSplit/>
          <w:jc w:val="center"/>
        </w:trPr>
        <w:tc>
          <w:tcPr>
            <w:tcW w:w="2235" w:type="dxa"/>
          </w:tcPr>
          <w:p w14:paraId="26832C31" w14:textId="7CE35C97" w:rsidR="00FD5C4A" w:rsidRPr="00873B6C" w:rsidRDefault="00FD5C4A" w:rsidP="0047544D">
            <w:pPr>
              <w:pStyle w:val="TAL"/>
              <w:rPr>
                <w:lang w:eastAsia="zh-CN"/>
              </w:rPr>
            </w:pPr>
            <w:r w:rsidRPr="00873B6C">
              <w:rPr>
                <w:lang w:eastAsia="zh-CN"/>
              </w:rPr>
              <w:t>Ndccf_ContextManagement</w:t>
            </w:r>
          </w:p>
        </w:tc>
        <w:tc>
          <w:tcPr>
            <w:tcW w:w="3827" w:type="dxa"/>
          </w:tcPr>
          <w:p w14:paraId="11431BE3" w14:textId="0CEB4F51" w:rsidR="00FD5C4A" w:rsidRPr="00873B6C" w:rsidRDefault="00FD5C4A" w:rsidP="0047544D">
            <w:pPr>
              <w:pStyle w:val="TAL"/>
              <w:rPr>
                <w:lang w:eastAsia="zh-CN"/>
              </w:rPr>
            </w:pPr>
            <w:r w:rsidRPr="00873B6C">
              <w:rPr>
                <w:lang w:eastAsia="zh-CN"/>
              </w:rPr>
              <w:t>This service allows a network function to register/deregister the availability of data with the DCCF.</w:t>
            </w:r>
          </w:p>
        </w:tc>
        <w:tc>
          <w:tcPr>
            <w:tcW w:w="1843" w:type="dxa"/>
          </w:tcPr>
          <w:p w14:paraId="56917CE6" w14:textId="71B4800C" w:rsidR="00FD5C4A" w:rsidRPr="00873B6C" w:rsidRDefault="00681FC7" w:rsidP="0047544D">
            <w:pPr>
              <w:pStyle w:val="TAC"/>
              <w:rPr>
                <w:lang w:eastAsia="zh-CN"/>
              </w:rPr>
            </w:pPr>
            <w:r w:rsidRPr="00873B6C">
              <w:rPr>
                <w:lang w:eastAsia="zh-CN"/>
              </w:rPr>
              <w:t>8</w:t>
            </w:r>
            <w:r w:rsidR="005551CC" w:rsidRPr="00873B6C">
              <w:rPr>
                <w:lang w:eastAsia="zh-CN"/>
              </w:rPr>
              <w:t>.3</w:t>
            </w:r>
          </w:p>
        </w:tc>
      </w:tr>
    </w:tbl>
    <w:p w14:paraId="72BD6932" w14:textId="3C5AF5CB" w:rsidR="00FD5C4A" w:rsidRPr="00873B6C" w:rsidRDefault="00FD5C4A" w:rsidP="00323277">
      <w:pPr>
        <w:pStyle w:val="FP"/>
      </w:pPr>
    </w:p>
    <w:p w14:paraId="08943642" w14:textId="1860D857" w:rsidR="00FD5C4A" w:rsidRPr="00873B6C" w:rsidRDefault="00FD5C4A" w:rsidP="00323277">
      <w:pPr>
        <w:pStyle w:val="Heading3"/>
      </w:pPr>
      <w:bookmarkStart w:id="6154" w:name="_CR7_2_22"/>
      <w:bookmarkStart w:id="6155" w:name="_Toc201157850"/>
      <w:bookmarkEnd w:id="6154"/>
      <w:r w:rsidRPr="00873B6C">
        <w:t>7.2.22</w:t>
      </w:r>
      <w:r w:rsidRPr="00873B6C">
        <w:tab/>
        <w:t>MFAF Services</w:t>
      </w:r>
      <w:bookmarkEnd w:id="6155"/>
    </w:p>
    <w:p w14:paraId="297BDC42" w14:textId="51B82A5E" w:rsidR="00FD5C4A" w:rsidRPr="00873B6C" w:rsidRDefault="00FD5C4A" w:rsidP="00FD5C4A">
      <w:r w:rsidRPr="00873B6C">
        <w:t>The following NF services are specified for MFAF:</w:t>
      </w:r>
    </w:p>
    <w:p w14:paraId="0FBD99EF" w14:textId="42B3F3E5" w:rsidR="00FD5C4A" w:rsidRPr="00873B6C" w:rsidRDefault="00FD5C4A" w:rsidP="00FD5C4A">
      <w:pPr>
        <w:pStyle w:val="TH"/>
      </w:pPr>
      <w:bookmarkStart w:id="6156" w:name="_CRTable7_2_221"/>
      <w:r w:rsidRPr="00873B6C">
        <w:lastRenderedPageBreak/>
        <w:t xml:space="preserve">Table </w:t>
      </w:r>
      <w:bookmarkEnd w:id="6156"/>
      <w:r w:rsidRPr="00873B6C">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873B6C" w14:paraId="06EF8EF9" w14:textId="77777777" w:rsidTr="00FD5C4A">
        <w:trPr>
          <w:cantSplit/>
          <w:tblHeader/>
          <w:jc w:val="center"/>
        </w:trPr>
        <w:tc>
          <w:tcPr>
            <w:tcW w:w="2235" w:type="dxa"/>
          </w:tcPr>
          <w:p w14:paraId="77C72403" w14:textId="77777777" w:rsidR="00FD5C4A" w:rsidRPr="00873B6C" w:rsidRDefault="00FD5C4A" w:rsidP="0047544D">
            <w:pPr>
              <w:pStyle w:val="TAH"/>
            </w:pPr>
            <w:r w:rsidRPr="00873B6C">
              <w:t>Service Name</w:t>
            </w:r>
          </w:p>
        </w:tc>
        <w:tc>
          <w:tcPr>
            <w:tcW w:w="3827" w:type="dxa"/>
          </w:tcPr>
          <w:p w14:paraId="2DBD7E27" w14:textId="77777777" w:rsidR="00FD5C4A" w:rsidRPr="00873B6C" w:rsidRDefault="00FD5C4A" w:rsidP="0047544D">
            <w:pPr>
              <w:pStyle w:val="TAH"/>
            </w:pPr>
            <w:r w:rsidRPr="00873B6C">
              <w:t>Description</w:t>
            </w:r>
          </w:p>
        </w:tc>
        <w:tc>
          <w:tcPr>
            <w:tcW w:w="1843" w:type="dxa"/>
          </w:tcPr>
          <w:p w14:paraId="599D69C5" w14:textId="77777777" w:rsidR="00FD5C4A" w:rsidRPr="00873B6C" w:rsidRDefault="00FD5C4A" w:rsidP="0047544D">
            <w:pPr>
              <w:pStyle w:val="TAH"/>
            </w:pPr>
            <w:r w:rsidRPr="00873B6C">
              <w:t>Reference in TS 23.288 [86]</w:t>
            </w:r>
          </w:p>
        </w:tc>
      </w:tr>
      <w:tr w:rsidR="00FD5C4A" w:rsidRPr="00873B6C" w14:paraId="4FBBDEA2" w14:textId="77777777" w:rsidTr="00FD5C4A">
        <w:trPr>
          <w:cantSplit/>
          <w:jc w:val="center"/>
        </w:trPr>
        <w:tc>
          <w:tcPr>
            <w:tcW w:w="2235" w:type="dxa"/>
          </w:tcPr>
          <w:p w14:paraId="2F4CA938" w14:textId="56970501" w:rsidR="00FD5C4A" w:rsidRPr="00873B6C" w:rsidRDefault="00FD5C4A" w:rsidP="00FD5C4A">
            <w:pPr>
              <w:pStyle w:val="TAL"/>
              <w:rPr>
                <w:lang w:eastAsia="zh-CN"/>
              </w:rPr>
            </w:pPr>
            <w:r w:rsidRPr="00873B6C">
              <w:rPr>
                <w:lang w:eastAsia="zh-CN"/>
              </w:rPr>
              <w:t>Nmfaf_3daDataManagement</w:t>
            </w:r>
          </w:p>
        </w:tc>
        <w:tc>
          <w:tcPr>
            <w:tcW w:w="3827" w:type="dxa"/>
          </w:tcPr>
          <w:p w14:paraId="2B049D1D" w14:textId="4605F8FE" w:rsidR="00FD5C4A" w:rsidRPr="00873B6C" w:rsidRDefault="00FD5C4A" w:rsidP="00FD5C4A">
            <w:pPr>
              <w:pStyle w:val="TAL"/>
              <w:rPr>
                <w:lang w:eastAsia="zh-CN"/>
              </w:rPr>
            </w:pPr>
            <w:r w:rsidRPr="00873B6C">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873B6C" w:rsidRDefault="00681FC7" w:rsidP="00FD5C4A">
            <w:pPr>
              <w:pStyle w:val="TAC"/>
              <w:rPr>
                <w:lang w:eastAsia="zh-CN"/>
              </w:rPr>
            </w:pPr>
            <w:r w:rsidRPr="00873B6C">
              <w:rPr>
                <w:lang w:eastAsia="zh-CN"/>
              </w:rPr>
              <w:t>9</w:t>
            </w:r>
            <w:r w:rsidR="005551CC" w:rsidRPr="00873B6C">
              <w:rPr>
                <w:lang w:eastAsia="zh-CN"/>
              </w:rPr>
              <w:t>.2</w:t>
            </w:r>
          </w:p>
        </w:tc>
      </w:tr>
      <w:tr w:rsidR="00FD5C4A" w:rsidRPr="00873B6C" w14:paraId="6DBD1B10" w14:textId="77777777" w:rsidTr="00FD5C4A">
        <w:trPr>
          <w:cantSplit/>
          <w:jc w:val="center"/>
        </w:trPr>
        <w:tc>
          <w:tcPr>
            <w:tcW w:w="2235" w:type="dxa"/>
          </w:tcPr>
          <w:p w14:paraId="7558C317" w14:textId="1FABF961" w:rsidR="00FD5C4A" w:rsidRPr="00873B6C" w:rsidRDefault="00FD5C4A" w:rsidP="00FD5C4A">
            <w:pPr>
              <w:pStyle w:val="TAL"/>
              <w:rPr>
                <w:lang w:eastAsia="zh-CN"/>
              </w:rPr>
            </w:pPr>
            <w:r w:rsidRPr="00873B6C">
              <w:rPr>
                <w:lang w:eastAsia="zh-CN"/>
              </w:rPr>
              <w:t>Nmfaf_3caDataManagement</w:t>
            </w:r>
          </w:p>
        </w:tc>
        <w:tc>
          <w:tcPr>
            <w:tcW w:w="3827" w:type="dxa"/>
          </w:tcPr>
          <w:p w14:paraId="69414C2E" w14:textId="3442CD15" w:rsidR="00FD5C4A" w:rsidRPr="00873B6C" w:rsidRDefault="00FD5C4A" w:rsidP="00FD5C4A">
            <w:pPr>
              <w:pStyle w:val="TAL"/>
              <w:rPr>
                <w:lang w:eastAsia="zh-CN"/>
              </w:rPr>
            </w:pPr>
            <w:r w:rsidRPr="00873B6C">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873B6C" w:rsidRDefault="00681FC7" w:rsidP="00FD5C4A">
            <w:pPr>
              <w:pStyle w:val="TAC"/>
              <w:rPr>
                <w:lang w:eastAsia="zh-CN"/>
              </w:rPr>
            </w:pPr>
            <w:r w:rsidRPr="00873B6C">
              <w:rPr>
                <w:lang w:eastAsia="zh-CN"/>
              </w:rPr>
              <w:t>9</w:t>
            </w:r>
            <w:r w:rsidR="005551CC" w:rsidRPr="00873B6C">
              <w:rPr>
                <w:lang w:eastAsia="zh-CN"/>
              </w:rPr>
              <w:t>.3</w:t>
            </w:r>
          </w:p>
        </w:tc>
      </w:tr>
      <w:tr w:rsidR="00472CD7" w:rsidRPr="00873B6C" w14:paraId="3EDD12EF" w14:textId="77777777" w:rsidTr="00FD5C4A">
        <w:trPr>
          <w:cantSplit/>
          <w:jc w:val="center"/>
        </w:trPr>
        <w:tc>
          <w:tcPr>
            <w:tcW w:w="2235" w:type="dxa"/>
          </w:tcPr>
          <w:p w14:paraId="1D0A77CE" w14:textId="29EE5B2A" w:rsidR="00472CD7" w:rsidRPr="00873B6C" w:rsidRDefault="00472CD7" w:rsidP="00FD5C4A">
            <w:pPr>
              <w:pStyle w:val="TAL"/>
              <w:rPr>
                <w:lang w:eastAsia="zh-CN"/>
              </w:rPr>
            </w:pPr>
            <w:r w:rsidRPr="00873B6C">
              <w:rPr>
                <w:lang w:eastAsia="zh-CN"/>
              </w:rPr>
              <w:t>Nmfaf_ContextManagement</w:t>
            </w:r>
          </w:p>
        </w:tc>
        <w:tc>
          <w:tcPr>
            <w:tcW w:w="3827" w:type="dxa"/>
          </w:tcPr>
          <w:p w14:paraId="35A2E5D0" w14:textId="2E2A184E" w:rsidR="00472CD7" w:rsidRPr="00873B6C" w:rsidRDefault="00472CD7" w:rsidP="00FD5C4A">
            <w:pPr>
              <w:pStyle w:val="TAL"/>
              <w:rPr>
                <w:lang w:eastAsia="zh-CN"/>
              </w:rPr>
            </w:pPr>
            <w:r w:rsidRPr="00873B6C">
              <w:rPr>
                <w:lang w:eastAsia="zh-CN"/>
              </w:rPr>
              <w:t>This service allows the transfer of an MFAF UE context to a consumer (e.g. a target MFAF).</w:t>
            </w:r>
          </w:p>
        </w:tc>
        <w:tc>
          <w:tcPr>
            <w:tcW w:w="1843" w:type="dxa"/>
          </w:tcPr>
          <w:p w14:paraId="45573D72" w14:textId="00116AEF" w:rsidR="00472CD7" w:rsidRPr="00873B6C" w:rsidRDefault="00472CD7" w:rsidP="00FD5C4A">
            <w:pPr>
              <w:pStyle w:val="TAC"/>
              <w:rPr>
                <w:lang w:eastAsia="zh-CN"/>
              </w:rPr>
            </w:pPr>
            <w:r w:rsidRPr="00873B6C">
              <w:rPr>
                <w:lang w:eastAsia="zh-CN"/>
              </w:rPr>
              <w:t>9.4</w:t>
            </w:r>
          </w:p>
        </w:tc>
      </w:tr>
    </w:tbl>
    <w:p w14:paraId="0AC42E46" w14:textId="77777777" w:rsidR="00FD5C4A" w:rsidRPr="00873B6C" w:rsidRDefault="00FD5C4A" w:rsidP="00FD5C4A">
      <w:pPr>
        <w:pStyle w:val="FP"/>
      </w:pPr>
    </w:p>
    <w:p w14:paraId="3520D13C" w14:textId="7BA7A3DE" w:rsidR="00FD5C4A" w:rsidRPr="00873B6C" w:rsidRDefault="00FD5C4A" w:rsidP="00FD5C4A">
      <w:pPr>
        <w:pStyle w:val="Heading3"/>
      </w:pPr>
      <w:bookmarkStart w:id="6157" w:name="_CR7_2_23"/>
      <w:bookmarkStart w:id="6158" w:name="_Toc201157851"/>
      <w:bookmarkEnd w:id="6157"/>
      <w:r w:rsidRPr="00873B6C">
        <w:t>7.2.23</w:t>
      </w:r>
      <w:r w:rsidRPr="00873B6C">
        <w:tab/>
        <w:t>ADRF Services</w:t>
      </w:r>
      <w:bookmarkEnd w:id="6158"/>
    </w:p>
    <w:p w14:paraId="4707C024" w14:textId="15F711BF" w:rsidR="00FD5C4A" w:rsidRPr="00873B6C" w:rsidRDefault="00FD5C4A" w:rsidP="00FD5C4A">
      <w:r w:rsidRPr="00873B6C">
        <w:t>The following NF services are specified for ADRF:</w:t>
      </w:r>
    </w:p>
    <w:p w14:paraId="0F62FAA6" w14:textId="126FAAF2" w:rsidR="00FD5C4A" w:rsidRPr="00873B6C" w:rsidRDefault="00FD5C4A" w:rsidP="00FD5C4A">
      <w:pPr>
        <w:pStyle w:val="TH"/>
      </w:pPr>
      <w:bookmarkStart w:id="6159" w:name="_CRTable7_2_231"/>
      <w:r w:rsidRPr="00873B6C">
        <w:t xml:space="preserve">Table </w:t>
      </w:r>
      <w:bookmarkEnd w:id="6159"/>
      <w:r w:rsidRPr="00873B6C">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873B6C" w14:paraId="65C70585" w14:textId="77777777" w:rsidTr="005E258C">
        <w:trPr>
          <w:cantSplit/>
          <w:tblHeader/>
          <w:jc w:val="center"/>
        </w:trPr>
        <w:tc>
          <w:tcPr>
            <w:tcW w:w="3827" w:type="dxa"/>
          </w:tcPr>
          <w:p w14:paraId="6336766A" w14:textId="77777777" w:rsidR="00FD5C4A" w:rsidRPr="00873B6C" w:rsidRDefault="00FD5C4A" w:rsidP="0047544D">
            <w:pPr>
              <w:pStyle w:val="TAH"/>
            </w:pPr>
            <w:r w:rsidRPr="00873B6C">
              <w:t>Service Name</w:t>
            </w:r>
          </w:p>
        </w:tc>
        <w:tc>
          <w:tcPr>
            <w:tcW w:w="3253" w:type="dxa"/>
          </w:tcPr>
          <w:p w14:paraId="3B699E9E" w14:textId="77777777" w:rsidR="00FD5C4A" w:rsidRPr="00873B6C" w:rsidRDefault="00FD5C4A" w:rsidP="0047544D">
            <w:pPr>
              <w:pStyle w:val="TAH"/>
            </w:pPr>
            <w:r w:rsidRPr="00873B6C">
              <w:t>Description</w:t>
            </w:r>
          </w:p>
        </w:tc>
        <w:tc>
          <w:tcPr>
            <w:tcW w:w="1843" w:type="dxa"/>
          </w:tcPr>
          <w:p w14:paraId="5DF6F2A1" w14:textId="77777777" w:rsidR="00FD5C4A" w:rsidRPr="00873B6C" w:rsidRDefault="00FD5C4A" w:rsidP="0047544D">
            <w:pPr>
              <w:pStyle w:val="TAH"/>
            </w:pPr>
            <w:r w:rsidRPr="00873B6C">
              <w:t>Reference in TS 23.288 [86]</w:t>
            </w:r>
          </w:p>
        </w:tc>
      </w:tr>
      <w:tr w:rsidR="00FD5C4A" w:rsidRPr="00873B6C" w14:paraId="4A6733BE" w14:textId="77777777" w:rsidTr="005E258C">
        <w:trPr>
          <w:cantSplit/>
          <w:jc w:val="center"/>
        </w:trPr>
        <w:tc>
          <w:tcPr>
            <w:tcW w:w="3827" w:type="dxa"/>
          </w:tcPr>
          <w:p w14:paraId="1F2BA2E6" w14:textId="1F711479" w:rsidR="00FD5C4A" w:rsidRPr="00873B6C" w:rsidRDefault="00FD5C4A" w:rsidP="0047544D">
            <w:pPr>
              <w:pStyle w:val="TAL"/>
              <w:rPr>
                <w:lang w:eastAsia="zh-CN"/>
              </w:rPr>
            </w:pPr>
            <w:r w:rsidRPr="00873B6C">
              <w:rPr>
                <w:lang w:eastAsia="zh-CN"/>
              </w:rPr>
              <w:t>Nadrf_</w:t>
            </w:r>
            <w:r w:rsidR="00681FC7" w:rsidRPr="00873B6C">
              <w:rPr>
                <w:lang w:eastAsia="zh-CN"/>
              </w:rPr>
              <w:t>DataManagement</w:t>
            </w:r>
          </w:p>
        </w:tc>
        <w:tc>
          <w:tcPr>
            <w:tcW w:w="3253" w:type="dxa"/>
          </w:tcPr>
          <w:p w14:paraId="68151463" w14:textId="1F6ECCE4" w:rsidR="00FD5C4A" w:rsidRPr="00873B6C" w:rsidRDefault="00FD5C4A" w:rsidP="0047544D">
            <w:pPr>
              <w:pStyle w:val="TAL"/>
              <w:rPr>
                <w:lang w:eastAsia="zh-CN"/>
              </w:rPr>
            </w:pPr>
            <w:r w:rsidRPr="00873B6C">
              <w:rPr>
                <w:lang w:eastAsia="zh-CN"/>
              </w:rPr>
              <w:t>This service allows consumers to store</w:t>
            </w:r>
            <w:r w:rsidR="00E83620" w:rsidRPr="00873B6C">
              <w:rPr>
                <w:lang w:eastAsia="zh-CN"/>
              </w:rPr>
              <w:t>, retrieve and delete</w:t>
            </w:r>
            <w:r w:rsidRPr="00873B6C">
              <w:rPr>
                <w:lang w:eastAsia="zh-CN"/>
              </w:rPr>
              <w:t xml:space="preserve"> data</w:t>
            </w:r>
            <w:r w:rsidR="005551CC" w:rsidRPr="00873B6C">
              <w:rPr>
                <w:lang w:eastAsia="zh-CN"/>
              </w:rPr>
              <w:t xml:space="preserve"> or analytics</w:t>
            </w:r>
            <w:r w:rsidRPr="00873B6C">
              <w:rPr>
                <w:lang w:eastAsia="zh-CN"/>
              </w:rPr>
              <w:t xml:space="preserve"> in an ADRF.</w:t>
            </w:r>
          </w:p>
        </w:tc>
        <w:tc>
          <w:tcPr>
            <w:tcW w:w="1843" w:type="dxa"/>
          </w:tcPr>
          <w:p w14:paraId="0BBC1B12" w14:textId="218A5308" w:rsidR="00FD5C4A" w:rsidRPr="00873B6C" w:rsidRDefault="00E83620" w:rsidP="0047544D">
            <w:pPr>
              <w:pStyle w:val="TAC"/>
              <w:rPr>
                <w:lang w:eastAsia="zh-CN"/>
              </w:rPr>
            </w:pPr>
            <w:r w:rsidRPr="00873B6C">
              <w:rPr>
                <w:lang w:eastAsia="zh-CN"/>
              </w:rPr>
              <w:t>10</w:t>
            </w:r>
            <w:r w:rsidR="005551CC" w:rsidRPr="00873B6C">
              <w:rPr>
                <w:lang w:eastAsia="zh-CN"/>
              </w:rPr>
              <w:t>.2</w:t>
            </w:r>
          </w:p>
        </w:tc>
      </w:tr>
      <w:tr w:rsidR="000046DD" w:rsidRPr="00873B6C" w14:paraId="3D6EFA84" w14:textId="77777777" w:rsidTr="005E258C">
        <w:trPr>
          <w:cantSplit/>
          <w:jc w:val="center"/>
        </w:trPr>
        <w:tc>
          <w:tcPr>
            <w:tcW w:w="3827" w:type="dxa"/>
          </w:tcPr>
          <w:p w14:paraId="3E3A8F69" w14:textId="41A5F7CC" w:rsidR="000046DD" w:rsidRPr="00873B6C" w:rsidRDefault="000046DD" w:rsidP="0047544D">
            <w:pPr>
              <w:pStyle w:val="TAL"/>
              <w:rPr>
                <w:lang w:eastAsia="zh-CN"/>
              </w:rPr>
            </w:pPr>
            <w:r w:rsidRPr="00873B6C">
              <w:rPr>
                <w:lang w:eastAsia="zh-CN"/>
              </w:rPr>
              <w:t>Nadrf_MLModelManagement</w:t>
            </w:r>
          </w:p>
        </w:tc>
        <w:tc>
          <w:tcPr>
            <w:tcW w:w="3253" w:type="dxa"/>
          </w:tcPr>
          <w:p w14:paraId="679C8922" w14:textId="00134823" w:rsidR="000046DD" w:rsidRPr="00873B6C" w:rsidRDefault="000046DD" w:rsidP="0047544D">
            <w:pPr>
              <w:pStyle w:val="TAL"/>
              <w:rPr>
                <w:lang w:eastAsia="zh-CN"/>
              </w:rPr>
            </w:pPr>
            <w:r w:rsidRPr="00873B6C">
              <w:rPr>
                <w:lang w:eastAsia="zh-CN"/>
              </w:rPr>
              <w:t>This service allows consumers to store, retrieve and delete ML model(s) in an ADRF.</w:t>
            </w:r>
          </w:p>
        </w:tc>
        <w:tc>
          <w:tcPr>
            <w:tcW w:w="1843" w:type="dxa"/>
          </w:tcPr>
          <w:p w14:paraId="7B45BCF5" w14:textId="091A7E56" w:rsidR="000046DD" w:rsidRPr="00873B6C" w:rsidRDefault="000046DD" w:rsidP="0047544D">
            <w:pPr>
              <w:pStyle w:val="TAC"/>
              <w:rPr>
                <w:lang w:eastAsia="zh-CN"/>
              </w:rPr>
            </w:pPr>
            <w:r w:rsidRPr="00873B6C">
              <w:rPr>
                <w:lang w:eastAsia="zh-CN"/>
              </w:rPr>
              <w:t>10.3</w:t>
            </w:r>
          </w:p>
        </w:tc>
      </w:tr>
    </w:tbl>
    <w:p w14:paraId="7534E321" w14:textId="77777777" w:rsidR="00681FC7" w:rsidRPr="00873B6C" w:rsidRDefault="00681FC7" w:rsidP="00681FC7">
      <w:pPr>
        <w:pStyle w:val="FP"/>
      </w:pPr>
    </w:p>
    <w:p w14:paraId="75CF6EF4" w14:textId="572A6D8F" w:rsidR="006D2D57" w:rsidRPr="00873B6C" w:rsidRDefault="006D2D57" w:rsidP="006D2D57">
      <w:pPr>
        <w:pStyle w:val="Heading3"/>
      </w:pPr>
      <w:bookmarkStart w:id="6160" w:name="_CR7_2_24"/>
      <w:bookmarkStart w:id="6161" w:name="_Toc201157852"/>
      <w:bookmarkEnd w:id="6160"/>
      <w:r w:rsidRPr="00873B6C">
        <w:t>7.2.24</w:t>
      </w:r>
      <w:r w:rsidRPr="00873B6C">
        <w:tab/>
        <w:t>5G DDNMF Services</w:t>
      </w:r>
      <w:bookmarkEnd w:id="6161"/>
    </w:p>
    <w:p w14:paraId="11B9FDB7" w14:textId="448ED82E" w:rsidR="006D2D57" w:rsidRPr="00873B6C" w:rsidRDefault="006D2D57" w:rsidP="00323277">
      <w:r w:rsidRPr="00873B6C">
        <w:t>The 5G DDNMF supports the N5g-ddnmf service defined in</w:t>
      </w:r>
      <w:r w:rsidR="006B65B5" w:rsidRPr="00873B6C">
        <w:t xml:space="preserve"> clause 7.1 of</w:t>
      </w:r>
      <w:r w:rsidRPr="00873B6C">
        <w:t xml:space="preserve"> </w:t>
      </w:r>
      <w:r w:rsidR="00972E70" w:rsidRPr="00873B6C">
        <w:t>TS 23.304 [</w:t>
      </w:r>
      <w:r w:rsidRPr="00873B6C">
        <w:t>128].</w:t>
      </w:r>
    </w:p>
    <w:p w14:paraId="506734DE" w14:textId="1E367CDD" w:rsidR="00B96062" w:rsidRPr="00873B6C" w:rsidRDefault="00B96062" w:rsidP="00B96062">
      <w:pPr>
        <w:pStyle w:val="Heading3"/>
      </w:pPr>
      <w:bookmarkStart w:id="6162" w:name="_CR7_2_25"/>
      <w:bookmarkStart w:id="6163" w:name="_Toc201157853"/>
      <w:bookmarkEnd w:id="6162"/>
      <w:r w:rsidRPr="00873B6C">
        <w:t>7.2.25</w:t>
      </w:r>
      <w:r w:rsidRPr="00873B6C">
        <w:tab/>
        <w:t>EASDF Services</w:t>
      </w:r>
      <w:bookmarkEnd w:id="6163"/>
    </w:p>
    <w:p w14:paraId="46E013E4" w14:textId="14B8ACC0" w:rsidR="00B96062" w:rsidRPr="00873B6C" w:rsidRDefault="00B96062" w:rsidP="00B96062">
      <w:r w:rsidRPr="00873B6C">
        <w:t>The following NF services are specified for EASDF.</w:t>
      </w:r>
    </w:p>
    <w:p w14:paraId="363BF721" w14:textId="48B15F31" w:rsidR="00B96062" w:rsidRPr="00873B6C" w:rsidRDefault="00B96062">
      <w:pPr>
        <w:pStyle w:val="TH"/>
      </w:pPr>
      <w:bookmarkStart w:id="6164" w:name="_CRTable7_2_251"/>
      <w:r w:rsidRPr="00873B6C">
        <w:t xml:space="preserve">Table </w:t>
      </w:r>
      <w:bookmarkEnd w:id="6164"/>
      <w:r w:rsidRPr="00873B6C">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873B6C" w14:paraId="0C895253" w14:textId="77777777" w:rsidTr="005E258C">
        <w:trPr>
          <w:cantSplit/>
          <w:tblHeader/>
          <w:jc w:val="center"/>
        </w:trPr>
        <w:tc>
          <w:tcPr>
            <w:tcW w:w="3827" w:type="dxa"/>
          </w:tcPr>
          <w:p w14:paraId="2E96DC9C" w14:textId="3F4AC15A" w:rsidR="005E258C" w:rsidRPr="00873B6C" w:rsidRDefault="005E258C" w:rsidP="005E258C">
            <w:pPr>
              <w:pStyle w:val="TAH"/>
            </w:pPr>
            <w:r w:rsidRPr="00873B6C">
              <w:t>Service Name</w:t>
            </w:r>
          </w:p>
        </w:tc>
        <w:tc>
          <w:tcPr>
            <w:tcW w:w="3253" w:type="dxa"/>
          </w:tcPr>
          <w:p w14:paraId="6C9A2B01" w14:textId="3EC49382" w:rsidR="005E258C" w:rsidRPr="00873B6C" w:rsidRDefault="005E258C" w:rsidP="005E258C">
            <w:pPr>
              <w:pStyle w:val="TAH"/>
            </w:pPr>
            <w:r w:rsidRPr="00873B6C">
              <w:t>Description</w:t>
            </w:r>
          </w:p>
        </w:tc>
        <w:tc>
          <w:tcPr>
            <w:tcW w:w="1843" w:type="dxa"/>
          </w:tcPr>
          <w:p w14:paraId="7170B980" w14:textId="59B4D98D" w:rsidR="005E258C" w:rsidRPr="00873B6C" w:rsidRDefault="005E258C" w:rsidP="005E258C">
            <w:pPr>
              <w:pStyle w:val="TAH"/>
            </w:pPr>
            <w:r w:rsidRPr="00873B6C">
              <w:t>Reference in TS 23.548 [130]</w:t>
            </w:r>
          </w:p>
        </w:tc>
      </w:tr>
      <w:tr w:rsidR="005E258C" w:rsidRPr="00873B6C" w14:paraId="55A5433F" w14:textId="77777777" w:rsidTr="005E258C">
        <w:trPr>
          <w:cantSplit/>
          <w:jc w:val="center"/>
        </w:trPr>
        <w:tc>
          <w:tcPr>
            <w:tcW w:w="3827" w:type="dxa"/>
          </w:tcPr>
          <w:p w14:paraId="0B27E025" w14:textId="243761FC" w:rsidR="005E258C" w:rsidRPr="00873B6C" w:rsidRDefault="005E258C" w:rsidP="005E258C">
            <w:pPr>
              <w:pStyle w:val="TAL"/>
              <w:rPr>
                <w:lang w:eastAsia="zh-CN"/>
              </w:rPr>
            </w:pPr>
            <w:r w:rsidRPr="00873B6C">
              <w:rPr>
                <w:lang w:eastAsia="zh-CN"/>
              </w:rPr>
              <w:t>Neasdf_DNSContext</w:t>
            </w:r>
          </w:p>
        </w:tc>
        <w:tc>
          <w:tcPr>
            <w:tcW w:w="3253" w:type="dxa"/>
          </w:tcPr>
          <w:p w14:paraId="2BC054DF" w14:textId="74F221C5" w:rsidR="005E258C" w:rsidRPr="00873B6C" w:rsidRDefault="005E258C" w:rsidP="005E258C">
            <w:pPr>
              <w:pStyle w:val="TAL"/>
              <w:rPr>
                <w:lang w:eastAsia="zh-CN"/>
              </w:rPr>
            </w:pPr>
            <w:r w:rsidRPr="00873B6C">
              <w:rPr>
                <w:lang w:eastAsia="zh-CN"/>
              </w:rPr>
              <w:t>This service enables the consumer to create, update and delete DNS context in EASDF, or subscribe to DNS message reporting from EASDF</w:t>
            </w:r>
            <w:r w:rsidR="00CD22D1" w:rsidRPr="00873B6C">
              <w:rPr>
                <w:lang w:eastAsia="zh-CN"/>
              </w:rPr>
              <w:t xml:space="preserve"> and receives the DNS security information of EASDF</w:t>
            </w:r>
            <w:r w:rsidRPr="00873B6C">
              <w:rPr>
                <w:lang w:eastAsia="zh-CN"/>
              </w:rPr>
              <w:t>.</w:t>
            </w:r>
          </w:p>
          <w:p w14:paraId="13CEA271" w14:textId="0C84A9AF" w:rsidR="005E258C" w:rsidRPr="00873B6C" w:rsidRDefault="005E258C" w:rsidP="005E258C">
            <w:pPr>
              <w:pStyle w:val="TAL"/>
              <w:rPr>
                <w:lang w:eastAsia="zh-CN"/>
              </w:rPr>
            </w:pPr>
            <w:r w:rsidRPr="00873B6C">
              <w:rPr>
                <w:lang w:eastAsia="zh-CN"/>
              </w:rPr>
              <w:t>DNS contexts in EASDF include rules on how EASDF is to handle DNS messages.</w:t>
            </w:r>
          </w:p>
        </w:tc>
        <w:tc>
          <w:tcPr>
            <w:tcW w:w="1843" w:type="dxa"/>
          </w:tcPr>
          <w:p w14:paraId="793A88F6" w14:textId="1C991F86" w:rsidR="005E258C" w:rsidRPr="00873B6C" w:rsidRDefault="005E258C" w:rsidP="005E258C">
            <w:pPr>
              <w:pStyle w:val="TAC"/>
              <w:rPr>
                <w:lang w:eastAsia="zh-CN"/>
              </w:rPr>
            </w:pPr>
            <w:r w:rsidRPr="00873B6C">
              <w:rPr>
                <w:lang w:eastAsia="zh-CN"/>
              </w:rPr>
              <w:t>7.1.2</w:t>
            </w:r>
          </w:p>
        </w:tc>
      </w:tr>
      <w:tr w:rsidR="007C344D" w:rsidRPr="00873B6C" w14:paraId="15013C2B" w14:textId="77777777" w:rsidTr="005E258C">
        <w:trPr>
          <w:cantSplit/>
          <w:jc w:val="center"/>
        </w:trPr>
        <w:tc>
          <w:tcPr>
            <w:tcW w:w="3827" w:type="dxa"/>
          </w:tcPr>
          <w:p w14:paraId="74FB54DB" w14:textId="1D5C64A2" w:rsidR="007C344D" w:rsidRPr="00873B6C" w:rsidRDefault="007C344D" w:rsidP="005E258C">
            <w:pPr>
              <w:pStyle w:val="TAL"/>
              <w:rPr>
                <w:lang w:eastAsia="zh-CN"/>
              </w:rPr>
            </w:pPr>
            <w:r w:rsidRPr="00873B6C">
              <w:rPr>
                <w:lang w:eastAsia="zh-CN"/>
              </w:rPr>
              <w:t>Neasdf_</w:t>
            </w:r>
            <w:r w:rsidR="00DA3BBC" w:rsidRPr="00873B6C">
              <w:rPr>
                <w:lang w:eastAsia="zh-CN"/>
              </w:rPr>
              <w:t>BaselineDNSPattern</w:t>
            </w:r>
          </w:p>
        </w:tc>
        <w:tc>
          <w:tcPr>
            <w:tcW w:w="3253" w:type="dxa"/>
          </w:tcPr>
          <w:p w14:paraId="68F359A8" w14:textId="7C8D6C98" w:rsidR="007C344D" w:rsidRPr="00873B6C" w:rsidRDefault="007C344D" w:rsidP="005E258C">
            <w:pPr>
              <w:pStyle w:val="TAL"/>
              <w:rPr>
                <w:lang w:eastAsia="zh-CN"/>
              </w:rPr>
            </w:pPr>
            <w:r w:rsidRPr="00873B6C">
              <w:rPr>
                <w:lang w:eastAsia="zh-CN"/>
              </w:rPr>
              <w:t>This service enables the consumer to create, update and delete</w:t>
            </w:r>
            <w:r w:rsidR="00DA3BBC" w:rsidRPr="00873B6C">
              <w:rPr>
                <w:lang w:eastAsia="zh-CN"/>
              </w:rPr>
              <w:t xml:space="preserve"> BaselineDNSPattern</w:t>
            </w:r>
            <w:r w:rsidRPr="00873B6C">
              <w:rPr>
                <w:lang w:eastAsia="zh-CN"/>
              </w:rPr>
              <w:t xml:space="preserve"> in EASDF.</w:t>
            </w:r>
          </w:p>
        </w:tc>
        <w:tc>
          <w:tcPr>
            <w:tcW w:w="1843" w:type="dxa"/>
          </w:tcPr>
          <w:p w14:paraId="5AC364DC" w14:textId="04306A84" w:rsidR="007C344D" w:rsidRPr="00873B6C" w:rsidRDefault="007C344D" w:rsidP="005E258C">
            <w:pPr>
              <w:pStyle w:val="TAC"/>
              <w:rPr>
                <w:lang w:eastAsia="zh-CN"/>
              </w:rPr>
            </w:pPr>
            <w:r w:rsidRPr="00873B6C">
              <w:rPr>
                <w:lang w:eastAsia="zh-CN"/>
              </w:rPr>
              <w:t>7.1.3</w:t>
            </w:r>
          </w:p>
        </w:tc>
      </w:tr>
    </w:tbl>
    <w:p w14:paraId="2B60E34F" w14:textId="1D67E800" w:rsidR="00B96062" w:rsidRPr="00873B6C" w:rsidRDefault="00B96062" w:rsidP="00562E84"/>
    <w:p w14:paraId="123DA1BC" w14:textId="47D848D7" w:rsidR="00055D0B" w:rsidRPr="00873B6C" w:rsidRDefault="00055D0B" w:rsidP="00055D0B">
      <w:pPr>
        <w:pStyle w:val="Heading3"/>
      </w:pPr>
      <w:bookmarkStart w:id="6165" w:name="_CR7_2_26"/>
      <w:bookmarkStart w:id="6166" w:name="_Toc201157854"/>
      <w:bookmarkEnd w:id="6165"/>
      <w:r w:rsidRPr="00873B6C">
        <w:t>7.2.26</w:t>
      </w:r>
      <w:r w:rsidRPr="00873B6C">
        <w:tab/>
        <w:t>TSCTSF Services</w:t>
      </w:r>
      <w:bookmarkEnd w:id="6166"/>
    </w:p>
    <w:p w14:paraId="57E46C05" w14:textId="3B517CE2" w:rsidR="00055D0B" w:rsidRPr="00873B6C" w:rsidRDefault="00055D0B" w:rsidP="00055D0B">
      <w:r w:rsidRPr="00873B6C">
        <w:t>The following NF services are specified for TSCTSF.</w:t>
      </w:r>
    </w:p>
    <w:p w14:paraId="314B3864" w14:textId="77777777" w:rsidR="00055D0B" w:rsidRPr="00873B6C" w:rsidRDefault="00055D0B" w:rsidP="00562E84">
      <w:pPr>
        <w:pStyle w:val="TH"/>
      </w:pPr>
      <w:bookmarkStart w:id="6167" w:name="_CRTable7_2_261"/>
      <w:r w:rsidRPr="00873B6C">
        <w:lastRenderedPageBreak/>
        <w:t xml:space="preserve">Table </w:t>
      </w:r>
      <w:bookmarkEnd w:id="6167"/>
      <w:r w:rsidRPr="00873B6C">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873B6C" w14:paraId="4A5F694A" w14:textId="77777777" w:rsidTr="00960CDA">
        <w:trPr>
          <w:cantSplit/>
          <w:tblHeader/>
          <w:jc w:val="center"/>
        </w:trPr>
        <w:tc>
          <w:tcPr>
            <w:tcW w:w="3827" w:type="dxa"/>
          </w:tcPr>
          <w:p w14:paraId="6B1F7822" w14:textId="2B4FAF3D" w:rsidR="005E258C" w:rsidRPr="00873B6C" w:rsidRDefault="005E258C" w:rsidP="005E258C">
            <w:pPr>
              <w:pStyle w:val="TAH"/>
            </w:pPr>
            <w:r w:rsidRPr="00873B6C">
              <w:t>Service Name</w:t>
            </w:r>
          </w:p>
        </w:tc>
        <w:tc>
          <w:tcPr>
            <w:tcW w:w="3253" w:type="dxa"/>
          </w:tcPr>
          <w:p w14:paraId="31509B47" w14:textId="17E413D4" w:rsidR="005E258C" w:rsidRPr="00873B6C" w:rsidRDefault="005E258C" w:rsidP="005E258C">
            <w:pPr>
              <w:pStyle w:val="TAH"/>
            </w:pPr>
            <w:r w:rsidRPr="00873B6C">
              <w:t>Description</w:t>
            </w:r>
          </w:p>
        </w:tc>
        <w:tc>
          <w:tcPr>
            <w:tcW w:w="1843" w:type="dxa"/>
          </w:tcPr>
          <w:p w14:paraId="7C61AE0F" w14:textId="65FD4D43" w:rsidR="005E258C" w:rsidRPr="00873B6C" w:rsidRDefault="005E258C" w:rsidP="005E258C">
            <w:pPr>
              <w:pStyle w:val="TAH"/>
            </w:pPr>
            <w:r w:rsidRPr="00873B6C">
              <w:t>Reference in TS 23.502 [3]</w:t>
            </w:r>
          </w:p>
        </w:tc>
      </w:tr>
      <w:tr w:rsidR="005E258C" w:rsidRPr="00873B6C" w14:paraId="13FD13CA" w14:textId="77777777" w:rsidTr="00960CDA">
        <w:trPr>
          <w:cantSplit/>
          <w:jc w:val="center"/>
        </w:trPr>
        <w:tc>
          <w:tcPr>
            <w:tcW w:w="3827" w:type="dxa"/>
          </w:tcPr>
          <w:p w14:paraId="49570ED4" w14:textId="40BC6017" w:rsidR="005E258C" w:rsidRPr="00873B6C" w:rsidRDefault="005E258C" w:rsidP="005E258C">
            <w:pPr>
              <w:pStyle w:val="TAL"/>
              <w:rPr>
                <w:lang w:eastAsia="zh-CN"/>
              </w:rPr>
            </w:pPr>
            <w:r w:rsidRPr="00873B6C">
              <w:rPr>
                <w:lang w:eastAsia="zh-CN"/>
              </w:rPr>
              <w:t>Ntsctsf_TimeSynchronization</w:t>
            </w:r>
          </w:p>
        </w:tc>
        <w:tc>
          <w:tcPr>
            <w:tcW w:w="3253" w:type="dxa"/>
          </w:tcPr>
          <w:p w14:paraId="66F7222F" w14:textId="2FB60C7F" w:rsidR="005E258C" w:rsidRPr="00873B6C" w:rsidRDefault="005E258C" w:rsidP="005E258C">
            <w:pPr>
              <w:pStyle w:val="TAL"/>
              <w:rPr>
                <w:lang w:eastAsia="zh-CN"/>
              </w:rPr>
            </w:pPr>
            <w:r w:rsidRPr="00873B6C">
              <w:rPr>
                <w:lang w:eastAsia="zh-CN"/>
              </w:rPr>
              <w:t>Provides support for time synchronization service based on (g)PTP</w:t>
            </w:r>
            <w:r w:rsidR="0010039C" w:rsidRPr="00873B6C">
              <w:rPr>
                <w:lang w:eastAsia="zh-CN"/>
              </w:rPr>
              <w:t xml:space="preserve"> or 5G access stratum time distribution method</w:t>
            </w:r>
            <w:r w:rsidRPr="00873B6C">
              <w:rPr>
                <w:lang w:eastAsia="zh-CN"/>
              </w:rPr>
              <w:t xml:space="preserve"> as described in clause </w:t>
            </w:r>
            <w:r w:rsidR="00F50296" w:rsidRPr="00873B6C">
              <w:rPr>
                <w:lang w:eastAsia="zh-CN"/>
              </w:rPr>
              <w:t>5.27.1.8</w:t>
            </w:r>
            <w:r w:rsidRPr="00873B6C">
              <w:rPr>
                <w:lang w:eastAsia="zh-CN"/>
              </w:rPr>
              <w:t>. Allows the NF consumer to subscribe for the UE and 5GC capabilities for (g)PTP</w:t>
            </w:r>
            <w:r w:rsidR="0010039C" w:rsidRPr="00873B6C">
              <w:rPr>
                <w:lang w:eastAsia="zh-CN"/>
              </w:rPr>
              <w:t xml:space="preserve"> or 5G access stratum</w:t>
            </w:r>
            <w:r w:rsidRPr="00873B6C">
              <w:rPr>
                <w:lang w:eastAsia="zh-CN"/>
              </w:rPr>
              <w:t xml:space="preserve"> based time synchronization service</w:t>
            </w:r>
            <w:r w:rsidR="003A5CE6" w:rsidRPr="00873B6C">
              <w:rPr>
                <w:lang w:eastAsia="zh-CN"/>
              </w:rPr>
              <w:t xml:space="preserve"> or time synchronization status information updates</w:t>
            </w:r>
            <w:r w:rsidRPr="00873B6C">
              <w:rPr>
                <w:lang w:eastAsia="zh-CN"/>
              </w:rPr>
              <w:t>. Allows the NF consumer to configure the UEs and the 5GC for the (g)PTP based time synchronization service.</w:t>
            </w:r>
          </w:p>
        </w:tc>
        <w:tc>
          <w:tcPr>
            <w:tcW w:w="1843" w:type="dxa"/>
          </w:tcPr>
          <w:p w14:paraId="31E75D8F" w14:textId="65D4D832" w:rsidR="005E258C" w:rsidRPr="00873B6C" w:rsidRDefault="00F50296" w:rsidP="005E258C">
            <w:pPr>
              <w:pStyle w:val="TAC"/>
              <w:rPr>
                <w:lang w:eastAsia="zh-CN"/>
              </w:rPr>
            </w:pPr>
            <w:r w:rsidRPr="00873B6C">
              <w:rPr>
                <w:lang w:eastAsia="zh-CN"/>
              </w:rPr>
              <w:t>5.2.27.2</w:t>
            </w:r>
          </w:p>
        </w:tc>
      </w:tr>
      <w:tr w:rsidR="005E258C" w:rsidRPr="00873B6C" w14:paraId="5F1EE23D" w14:textId="77777777" w:rsidTr="00960CDA">
        <w:trPr>
          <w:cantSplit/>
          <w:jc w:val="center"/>
        </w:trPr>
        <w:tc>
          <w:tcPr>
            <w:tcW w:w="3827" w:type="dxa"/>
          </w:tcPr>
          <w:p w14:paraId="477A513F" w14:textId="3EDA31A0" w:rsidR="005E258C" w:rsidRPr="00873B6C" w:rsidRDefault="005E258C" w:rsidP="005E258C">
            <w:pPr>
              <w:pStyle w:val="TAL"/>
              <w:rPr>
                <w:lang w:eastAsia="zh-CN"/>
              </w:rPr>
            </w:pPr>
            <w:r w:rsidRPr="00873B6C">
              <w:rPr>
                <w:lang w:eastAsia="zh-CN"/>
              </w:rPr>
              <w:t>Ntsctsf_QoSand TSCAssistance</w:t>
            </w:r>
          </w:p>
        </w:tc>
        <w:tc>
          <w:tcPr>
            <w:tcW w:w="3253" w:type="dxa"/>
          </w:tcPr>
          <w:p w14:paraId="3A8BB780" w14:textId="53AE9D71" w:rsidR="005E258C" w:rsidRPr="00873B6C" w:rsidRDefault="005E258C" w:rsidP="005E258C">
            <w:pPr>
              <w:pStyle w:val="TAL"/>
              <w:rPr>
                <w:lang w:eastAsia="zh-CN"/>
              </w:rPr>
            </w:pPr>
            <w:r w:rsidRPr="00873B6C">
              <w:rPr>
                <w:lang w:eastAsia="zh-CN"/>
              </w:rPr>
              <w:t>Allows the NF consumer to provide QoS parameters and information to create TSC Assistance Container.</w:t>
            </w:r>
          </w:p>
        </w:tc>
        <w:tc>
          <w:tcPr>
            <w:tcW w:w="1843" w:type="dxa"/>
          </w:tcPr>
          <w:p w14:paraId="1D0B8CA2" w14:textId="3176E296" w:rsidR="00F50296" w:rsidRPr="00873B6C" w:rsidRDefault="00F50296" w:rsidP="005E258C">
            <w:pPr>
              <w:pStyle w:val="TAC"/>
              <w:rPr>
                <w:lang w:eastAsia="zh-CN"/>
              </w:rPr>
            </w:pPr>
            <w:r w:rsidRPr="00873B6C">
              <w:rPr>
                <w:lang w:eastAsia="zh-CN"/>
              </w:rPr>
              <w:t>5.2.27.3</w:t>
            </w:r>
          </w:p>
        </w:tc>
      </w:tr>
      <w:tr w:rsidR="00F50296" w:rsidRPr="00873B6C" w14:paraId="007C98B5" w14:textId="77777777" w:rsidTr="00960CDA">
        <w:trPr>
          <w:cantSplit/>
          <w:jc w:val="center"/>
        </w:trPr>
        <w:tc>
          <w:tcPr>
            <w:tcW w:w="3827" w:type="dxa"/>
          </w:tcPr>
          <w:p w14:paraId="5AB7E639" w14:textId="2FC8FB0F" w:rsidR="00F50296" w:rsidRPr="00873B6C" w:rsidRDefault="00F50296" w:rsidP="005E258C">
            <w:pPr>
              <w:pStyle w:val="TAL"/>
              <w:rPr>
                <w:lang w:eastAsia="zh-CN"/>
              </w:rPr>
            </w:pPr>
            <w:r w:rsidRPr="00873B6C">
              <w:rPr>
                <w:lang w:eastAsia="zh-CN"/>
              </w:rPr>
              <w:t>Ntsctsf_ASTI</w:t>
            </w:r>
          </w:p>
        </w:tc>
        <w:tc>
          <w:tcPr>
            <w:tcW w:w="3253" w:type="dxa"/>
          </w:tcPr>
          <w:p w14:paraId="5C080F64" w14:textId="4FCE5D9A" w:rsidR="00F50296" w:rsidRPr="00873B6C" w:rsidRDefault="00F50296" w:rsidP="005E258C">
            <w:pPr>
              <w:pStyle w:val="TAL"/>
              <w:rPr>
                <w:lang w:eastAsia="zh-CN"/>
              </w:rPr>
            </w:pPr>
            <w:r w:rsidRPr="00873B6C">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r w:rsidR="003A5CE6" w:rsidRPr="00873B6C">
              <w:rPr>
                <w:lang w:eastAsia="zh-CN"/>
              </w:rPr>
              <w:t xml:space="preserve"> and subscribe to time synchronization status information updates</w:t>
            </w:r>
            <w:r w:rsidRPr="00873B6C">
              <w:rPr>
                <w:lang w:eastAsia="zh-CN"/>
              </w:rPr>
              <w:t>.</w:t>
            </w:r>
          </w:p>
        </w:tc>
        <w:tc>
          <w:tcPr>
            <w:tcW w:w="1843" w:type="dxa"/>
          </w:tcPr>
          <w:p w14:paraId="3C4364BE" w14:textId="4CC6C05C" w:rsidR="00F50296" w:rsidRPr="00873B6C" w:rsidDel="00F50296" w:rsidRDefault="00F50296" w:rsidP="005E258C">
            <w:pPr>
              <w:pStyle w:val="TAC"/>
              <w:rPr>
                <w:lang w:eastAsia="zh-CN"/>
              </w:rPr>
            </w:pPr>
            <w:r w:rsidRPr="00873B6C">
              <w:rPr>
                <w:lang w:eastAsia="zh-CN"/>
              </w:rPr>
              <w:t>5.2.27.4</w:t>
            </w:r>
          </w:p>
        </w:tc>
      </w:tr>
    </w:tbl>
    <w:p w14:paraId="5450A052" w14:textId="77777777" w:rsidR="005E258C" w:rsidRPr="00873B6C" w:rsidRDefault="005E258C" w:rsidP="00562E84"/>
    <w:p w14:paraId="736830DD" w14:textId="36B67286" w:rsidR="00A1192D" w:rsidRPr="00873B6C" w:rsidRDefault="00A1192D" w:rsidP="00A1192D">
      <w:pPr>
        <w:pStyle w:val="Heading3"/>
      </w:pPr>
      <w:bookmarkStart w:id="6168" w:name="_CR7_2_27"/>
      <w:bookmarkStart w:id="6169" w:name="_Toc201157855"/>
      <w:bookmarkEnd w:id="6168"/>
      <w:r w:rsidRPr="00873B6C">
        <w:t>7.2.27</w:t>
      </w:r>
      <w:r w:rsidRPr="00873B6C">
        <w:tab/>
        <w:t>NSACF Services</w:t>
      </w:r>
      <w:bookmarkEnd w:id="6169"/>
    </w:p>
    <w:p w14:paraId="172FB7CA" w14:textId="77777777" w:rsidR="00A1192D" w:rsidRPr="00873B6C" w:rsidRDefault="00A1192D" w:rsidP="00A1192D">
      <w:r w:rsidRPr="00873B6C">
        <w:t>The following NF services are specified for NSACF:</w:t>
      </w:r>
    </w:p>
    <w:p w14:paraId="5284AC95" w14:textId="4C2CD8AE" w:rsidR="00A1192D" w:rsidRPr="00873B6C" w:rsidRDefault="00A1192D" w:rsidP="00C74FFE">
      <w:pPr>
        <w:pStyle w:val="TH"/>
      </w:pPr>
      <w:bookmarkStart w:id="6170" w:name="_CRTable7_2_271"/>
      <w:r w:rsidRPr="00873B6C">
        <w:t xml:space="preserve">Table </w:t>
      </w:r>
      <w:bookmarkEnd w:id="6170"/>
      <w:r w:rsidRPr="00873B6C">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873B6C" w14:paraId="3F052062" w14:textId="77777777" w:rsidTr="008546A1">
        <w:trPr>
          <w:cantSplit/>
          <w:tblHeader/>
          <w:jc w:val="center"/>
        </w:trPr>
        <w:tc>
          <w:tcPr>
            <w:tcW w:w="3827" w:type="dxa"/>
          </w:tcPr>
          <w:p w14:paraId="57F14601" w14:textId="77777777" w:rsidR="00A1192D" w:rsidRPr="00873B6C" w:rsidRDefault="00A1192D" w:rsidP="008546A1">
            <w:pPr>
              <w:pStyle w:val="TAH"/>
            </w:pPr>
            <w:r w:rsidRPr="00873B6C">
              <w:t>Service Name</w:t>
            </w:r>
          </w:p>
        </w:tc>
        <w:tc>
          <w:tcPr>
            <w:tcW w:w="3253" w:type="dxa"/>
          </w:tcPr>
          <w:p w14:paraId="5E177CD0" w14:textId="77777777" w:rsidR="00A1192D" w:rsidRPr="00873B6C" w:rsidRDefault="00A1192D" w:rsidP="008546A1">
            <w:pPr>
              <w:pStyle w:val="TAH"/>
            </w:pPr>
            <w:r w:rsidRPr="00873B6C">
              <w:t>Description</w:t>
            </w:r>
          </w:p>
        </w:tc>
        <w:tc>
          <w:tcPr>
            <w:tcW w:w="1843" w:type="dxa"/>
          </w:tcPr>
          <w:p w14:paraId="461C1958" w14:textId="77777777" w:rsidR="00A1192D" w:rsidRPr="00873B6C" w:rsidRDefault="00A1192D" w:rsidP="008546A1">
            <w:pPr>
              <w:pStyle w:val="TAH"/>
            </w:pPr>
            <w:r w:rsidRPr="00873B6C">
              <w:t>Reference in TS 23.502 [3]</w:t>
            </w:r>
          </w:p>
        </w:tc>
      </w:tr>
      <w:tr w:rsidR="00A1192D" w:rsidRPr="00873B6C" w14:paraId="57796971" w14:textId="77777777" w:rsidTr="008546A1">
        <w:trPr>
          <w:cantSplit/>
          <w:jc w:val="center"/>
        </w:trPr>
        <w:tc>
          <w:tcPr>
            <w:tcW w:w="3827" w:type="dxa"/>
          </w:tcPr>
          <w:p w14:paraId="42B81A28" w14:textId="2C62AFCD" w:rsidR="00A1192D" w:rsidRPr="00873B6C" w:rsidRDefault="00A1192D" w:rsidP="008546A1">
            <w:pPr>
              <w:pStyle w:val="TAL"/>
              <w:rPr>
                <w:lang w:eastAsia="zh-CN"/>
              </w:rPr>
            </w:pPr>
            <w:r w:rsidRPr="00873B6C">
              <w:rPr>
                <w:lang w:eastAsia="zh-CN"/>
              </w:rPr>
              <w:t>Nnsacf_NSAC</w:t>
            </w:r>
          </w:p>
        </w:tc>
        <w:tc>
          <w:tcPr>
            <w:tcW w:w="3253" w:type="dxa"/>
          </w:tcPr>
          <w:p w14:paraId="2BD0401B" w14:textId="1846AFF8" w:rsidR="00A1192D" w:rsidRPr="00873B6C" w:rsidRDefault="00A1192D" w:rsidP="008546A1">
            <w:pPr>
              <w:pStyle w:val="TAL"/>
              <w:rPr>
                <w:lang w:eastAsia="zh-CN"/>
              </w:rPr>
            </w:pPr>
            <w:r w:rsidRPr="00873B6C">
              <w:rPr>
                <w:lang w:eastAsia="zh-CN"/>
              </w:rPr>
              <w:t>This service enables consumer NF to check the availability per network slice and update the number of UEs registered with a network slice</w:t>
            </w:r>
            <w:r w:rsidR="002506F3" w:rsidRPr="00873B6C">
              <w:rPr>
                <w:lang w:eastAsia="zh-CN"/>
              </w:rPr>
              <w:t>, or the number of UEs with at least one PDU Session/PDN Connection established on a network slice in the case of EPC interworking,</w:t>
            </w:r>
            <w:r w:rsidRPr="00873B6C">
              <w:rPr>
                <w:lang w:eastAsia="zh-CN"/>
              </w:rPr>
              <w:t xml:space="preserve"> or the number of PDU Sessions established on a network slice.</w:t>
            </w:r>
          </w:p>
        </w:tc>
        <w:tc>
          <w:tcPr>
            <w:tcW w:w="1843" w:type="dxa"/>
          </w:tcPr>
          <w:p w14:paraId="6F3821E6" w14:textId="38781D86" w:rsidR="00A1192D" w:rsidRPr="00873B6C" w:rsidRDefault="00A1192D" w:rsidP="008546A1">
            <w:pPr>
              <w:pStyle w:val="TAC"/>
              <w:rPr>
                <w:lang w:eastAsia="zh-CN"/>
              </w:rPr>
            </w:pPr>
            <w:r w:rsidRPr="00873B6C">
              <w:rPr>
                <w:lang w:eastAsia="zh-CN"/>
              </w:rPr>
              <w:t>5.2.21.2</w:t>
            </w:r>
          </w:p>
        </w:tc>
      </w:tr>
      <w:tr w:rsidR="00A1192D" w:rsidRPr="00873B6C" w14:paraId="3E7D3FC7" w14:textId="77777777" w:rsidTr="008546A1">
        <w:trPr>
          <w:cantSplit/>
          <w:jc w:val="center"/>
        </w:trPr>
        <w:tc>
          <w:tcPr>
            <w:tcW w:w="3827" w:type="dxa"/>
          </w:tcPr>
          <w:p w14:paraId="0A03EA16" w14:textId="142010B7" w:rsidR="00A1192D" w:rsidRPr="00873B6C" w:rsidRDefault="00A1192D" w:rsidP="008546A1">
            <w:pPr>
              <w:pStyle w:val="TAL"/>
              <w:rPr>
                <w:lang w:eastAsia="zh-CN"/>
              </w:rPr>
            </w:pPr>
            <w:r w:rsidRPr="00873B6C">
              <w:rPr>
                <w:lang w:eastAsia="zh-CN"/>
              </w:rPr>
              <w:t>Nnsacf_SliceEventExposure</w:t>
            </w:r>
          </w:p>
        </w:tc>
        <w:tc>
          <w:tcPr>
            <w:tcW w:w="3253" w:type="dxa"/>
          </w:tcPr>
          <w:p w14:paraId="53381263" w14:textId="2C1431CE" w:rsidR="00A1192D" w:rsidRPr="00873B6C" w:rsidRDefault="00A1192D" w:rsidP="008546A1">
            <w:pPr>
              <w:pStyle w:val="TAL"/>
              <w:rPr>
                <w:lang w:eastAsia="zh-CN"/>
              </w:rPr>
            </w:pPr>
            <w:r w:rsidRPr="00873B6C">
              <w:rPr>
                <w:lang w:eastAsia="zh-CN"/>
              </w:rPr>
              <w:t>This service enables consumer NF(s) to subscribe and get notified of the event as described in clause 5.15.11.4.</w:t>
            </w:r>
          </w:p>
        </w:tc>
        <w:tc>
          <w:tcPr>
            <w:tcW w:w="1843" w:type="dxa"/>
          </w:tcPr>
          <w:p w14:paraId="29265450" w14:textId="77BF5C6E" w:rsidR="00A1192D" w:rsidRPr="00873B6C" w:rsidRDefault="00A1192D" w:rsidP="008546A1">
            <w:pPr>
              <w:pStyle w:val="TAC"/>
              <w:rPr>
                <w:lang w:eastAsia="zh-CN"/>
              </w:rPr>
            </w:pPr>
            <w:r w:rsidRPr="00873B6C">
              <w:rPr>
                <w:lang w:eastAsia="zh-CN"/>
              </w:rPr>
              <w:t>5.2.21.4</w:t>
            </w:r>
          </w:p>
        </w:tc>
      </w:tr>
    </w:tbl>
    <w:p w14:paraId="4A1FD704" w14:textId="77777777" w:rsidR="0053150F" w:rsidRPr="00873B6C" w:rsidRDefault="0053150F" w:rsidP="0053150F"/>
    <w:p w14:paraId="7321AD5C" w14:textId="2D83D4FA" w:rsidR="00BB2064" w:rsidRPr="00873B6C" w:rsidRDefault="00BB2064" w:rsidP="00BB2064">
      <w:pPr>
        <w:pStyle w:val="Heading3"/>
      </w:pPr>
      <w:bookmarkStart w:id="6171" w:name="_CR7_2_28"/>
      <w:bookmarkStart w:id="6172" w:name="_Toc201157856"/>
      <w:bookmarkEnd w:id="6171"/>
      <w:r w:rsidRPr="00873B6C">
        <w:t>7.2.28</w:t>
      </w:r>
      <w:r w:rsidRPr="00873B6C">
        <w:tab/>
        <w:t>MB-SMF Services</w:t>
      </w:r>
      <w:bookmarkEnd w:id="6172"/>
    </w:p>
    <w:p w14:paraId="6E048D58" w14:textId="3AD2E200" w:rsidR="00BB2064" w:rsidRPr="00873B6C" w:rsidRDefault="00BB2064" w:rsidP="00BB2064">
      <w:r w:rsidRPr="00873B6C">
        <w:t>The following NF service is specified for MB-SMF.</w:t>
      </w:r>
    </w:p>
    <w:p w14:paraId="3FAF4A9A" w14:textId="73D43E1D" w:rsidR="00BB2064" w:rsidRPr="00873B6C" w:rsidRDefault="00BB2064" w:rsidP="00BB2064">
      <w:pPr>
        <w:pStyle w:val="TH"/>
      </w:pPr>
      <w:bookmarkStart w:id="6173" w:name="_CRTable7_2_281"/>
      <w:r w:rsidRPr="00873B6C">
        <w:lastRenderedPageBreak/>
        <w:t xml:space="preserve">Table </w:t>
      </w:r>
      <w:bookmarkEnd w:id="6173"/>
      <w:r w:rsidRPr="00873B6C">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873B6C" w14:paraId="004EF15A" w14:textId="77777777" w:rsidTr="00C9561D">
        <w:trPr>
          <w:cantSplit/>
          <w:tblHeader/>
          <w:jc w:val="center"/>
        </w:trPr>
        <w:tc>
          <w:tcPr>
            <w:tcW w:w="3827" w:type="dxa"/>
          </w:tcPr>
          <w:p w14:paraId="42CDC37F" w14:textId="77777777" w:rsidR="00BB2064" w:rsidRPr="00873B6C" w:rsidRDefault="00BB2064" w:rsidP="00C9561D">
            <w:pPr>
              <w:pStyle w:val="TAH"/>
            </w:pPr>
            <w:r w:rsidRPr="00873B6C">
              <w:t>Service Name</w:t>
            </w:r>
          </w:p>
        </w:tc>
        <w:tc>
          <w:tcPr>
            <w:tcW w:w="3253" w:type="dxa"/>
          </w:tcPr>
          <w:p w14:paraId="6AD1B8E6" w14:textId="77777777" w:rsidR="00BB2064" w:rsidRPr="00873B6C" w:rsidRDefault="00BB2064" w:rsidP="00C9561D">
            <w:pPr>
              <w:pStyle w:val="TAH"/>
            </w:pPr>
            <w:r w:rsidRPr="00873B6C">
              <w:t>Description</w:t>
            </w:r>
          </w:p>
        </w:tc>
        <w:tc>
          <w:tcPr>
            <w:tcW w:w="1843" w:type="dxa"/>
          </w:tcPr>
          <w:p w14:paraId="0AAF40A0" w14:textId="693DE48F" w:rsidR="00BB2064" w:rsidRPr="00873B6C" w:rsidRDefault="00BB2064" w:rsidP="00C9561D">
            <w:pPr>
              <w:pStyle w:val="TAH"/>
            </w:pPr>
            <w:r w:rsidRPr="00873B6C">
              <w:t>Reference in TS 23.247 [129]</w:t>
            </w:r>
          </w:p>
        </w:tc>
      </w:tr>
      <w:tr w:rsidR="00BB2064" w:rsidRPr="00873B6C" w14:paraId="603216EA" w14:textId="77777777" w:rsidTr="00C9561D">
        <w:trPr>
          <w:cantSplit/>
          <w:jc w:val="center"/>
        </w:trPr>
        <w:tc>
          <w:tcPr>
            <w:tcW w:w="3827" w:type="dxa"/>
          </w:tcPr>
          <w:p w14:paraId="6F8DB826" w14:textId="561F9F71" w:rsidR="00BB2064" w:rsidRPr="00873B6C" w:rsidRDefault="00BB2064" w:rsidP="00C9561D">
            <w:pPr>
              <w:pStyle w:val="TAL"/>
              <w:rPr>
                <w:lang w:eastAsia="zh-CN"/>
              </w:rPr>
            </w:pPr>
            <w:r w:rsidRPr="00873B6C">
              <w:rPr>
                <w:lang w:eastAsia="zh-CN"/>
              </w:rPr>
              <w:t>Nmbsmf_TMGI</w:t>
            </w:r>
          </w:p>
        </w:tc>
        <w:tc>
          <w:tcPr>
            <w:tcW w:w="3253" w:type="dxa"/>
          </w:tcPr>
          <w:p w14:paraId="2ADE7B53" w14:textId="61B22AC5" w:rsidR="00BB2064" w:rsidRPr="00873B6C" w:rsidRDefault="00BB2064" w:rsidP="00C9561D">
            <w:pPr>
              <w:pStyle w:val="TAL"/>
              <w:rPr>
                <w:lang w:eastAsia="zh-CN"/>
              </w:rPr>
            </w:pPr>
            <w:r w:rsidRPr="00873B6C">
              <w:rPr>
                <w:lang w:eastAsia="zh-CN"/>
              </w:rPr>
              <w:t>This service enables NF service consumer to allocate, refresh and deallocate TMGI(s).</w:t>
            </w:r>
          </w:p>
        </w:tc>
        <w:tc>
          <w:tcPr>
            <w:tcW w:w="1843" w:type="dxa"/>
          </w:tcPr>
          <w:p w14:paraId="342DE835" w14:textId="31620CBD" w:rsidR="00BB2064" w:rsidRPr="00873B6C" w:rsidRDefault="00BB2064" w:rsidP="00C9561D">
            <w:pPr>
              <w:pStyle w:val="TAC"/>
              <w:rPr>
                <w:lang w:eastAsia="zh-CN"/>
              </w:rPr>
            </w:pPr>
            <w:r w:rsidRPr="00873B6C">
              <w:rPr>
                <w:lang w:eastAsia="zh-CN"/>
              </w:rPr>
              <w:t>9.1.2</w:t>
            </w:r>
          </w:p>
        </w:tc>
      </w:tr>
      <w:tr w:rsidR="00BB2064" w:rsidRPr="00873B6C" w14:paraId="4FEF751C" w14:textId="77777777" w:rsidTr="00C9561D">
        <w:trPr>
          <w:cantSplit/>
          <w:jc w:val="center"/>
        </w:trPr>
        <w:tc>
          <w:tcPr>
            <w:tcW w:w="3827" w:type="dxa"/>
          </w:tcPr>
          <w:p w14:paraId="7CA5EACB" w14:textId="12FB49D3" w:rsidR="00BB2064" w:rsidRPr="00873B6C" w:rsidRDefault="00BB2064" w:rsidP="00C9561D">
            <w:pPr>
              <w:pStyle w:val="TAL"/>
              <w:rPr>
                <w:lang w:eastAsia="zh-CN"/>
              </w:rPr>
            </w:pPr>
            <w:r w:rsidRPr="00873B6C">
              <w:rPr>
                <w:lang w:eastAsia="zh-CN"/>
              </w:rPr>
              <w:t>Nmbsmf_MBSSession</w:t>
            </w:r>
          </w:p>
        </w:tc>
        <w:tc>
          <w:tcPr>
            <w:tcW w:w="3253" w:type="dxa"/>
          </w:tcPr>
          <w:p w14:paraId="042D5B25" w14:textId="29264FFC" w:rsidR="00BB2064" w:rsidRPr="00873B6C" w:rsidRDefault="00BB2064" w:rsidP="00C9561D">
            <w:pPr>
              <w:pStyle w:val="TAL"/>
              <w:rPr>
                <w:lang w:eastAsia="zh-CN"/>
              </w:rPr>
            </w:pPr>
            <w:r w:rsidRPr="00873B6C">
              <w:rPr>
                <w:lang w:eastAsia="zh-CN"/>
              </w:rPr>
              <w:t>This service enables the consumer to create, update and delete the MBS Session.</w:t>
            </w:r>
          </w:p>
        </w:tc>
        <w:tc>
          <w:tcPr>
            <w:tcW w:w="1843" w:type="dxa"/>
          </w:tcPr>
          <w:p w14:paraId="5B0E5569" w14:textId="05627350" w:rsidR="00BB2064" w:rsidRPr="00873B6C" w:rsidRDefault="00BB2064" w:rsidP="00C9561D">
            <w:pPr>
              <w:pStyle w:val="TAC"/>
              <w:rPr>
                <w:lang w:eastAsia="zh-CN"/>
              </w:rPr>
            </w:pPr>
            <w:r w:rsidRPr="00873B6C">
              <w:rPr>
                <w:lang w:eastAsia="zh-CN"/>
              </w:rPr>
              <w:t>9.1.3</w:t>
            </w:r>
          </w:p>
        </w:tc>
      </w:tr>
    </w:tbl>
    <w:p w14:paraId="02B9A3A5" w14:textId="77777777" w:rsidR="00BB2064" w:rsidRPr="00873B6C" w:rsidRDefault="00BB2064" w:rsidP="00BB2064"/>
    <w:p w14:paraId="07E7E6FF" w14:textId="098D94FC" w:rsidR="003E5241" w:rsidRPr="00873B6C" w:rsidRDefault="003E5241" w:rsidP="003E5241">
      <w:pPr>
        <w:pStyle w:val="Heading3"/>
      </w:pPr>
      <w:bookmarkStart w:id="6174" w:name="_CR7_2_29"/>
      <w:bookmarkStart w:id="6175" w:name="_Toc201157857"/>
      <w:bookmarkEnd w:id="6174"/>
      <w:r w:rsidRPr="00873B6C">
        <w:t>7.2.29</w:t>
      </w:r>
      <w:r w:rsidRPr="00873B6C">
        <w:tab/>
        <w:t>UPF Services</w:t>
      </w:r>
      <w:bookmarkEnd w:id="6175"/>
    </w:p>
    <w:p w14:paraId="669568C0" w14:textId="4F11749C" w:rsidR="003E5241" w:rsidRPr="00873B6C" w:rsidRDefault="003E5241" w:rsidP="003E5241">
      <w:r w:rsidRPr="00873B6C">
        <w:t>The following NF service is specified for UPF.</w:t>
      </w:r>
    </w:p>
    <w:p w14:paraId="0CE07CB9" w14:textId="5AB663AB" w:rsidR="003E5241" w:rsidRPr="00873B6C" w:rsidRDefault="003E5241" w:rsidP="003E5241">
      <w:pPr>
        <w:pStyle w:val="TH"/>
      </w:pPr>
      <w:bookmarkStart w:id="6176" w:name="_CRTable7_2_291"/>
      <w:r w:rsidRPr="00873B6C">
        <w:t xml:space="preserve">Table </w:t>
      </w:r>
      <w:bookmarkEnd w:id="6176"/>
      <w:r w:rsidRPr="00873B6C">
        <w:t>7.2.29-1: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3E5241" w:rsidRPr="00873B6C" w14:paraId="20C3E009" w14:textId="77777777" w:rsidTr="00C9561D">
        <w:trPr>
          <w:cantSplit/>
          <w:tblHeader/>
          <w:jc w:val="center"/>
        </w:trPr>
        <w:tc>
          <w:tcPr>
            <w:tcW w:w="3827" w:type="dxa"/>
          </w:tcPr>
          <w:p w14:paraId="1B1D790F" w14:textId="77777777" w:rsidR="003E5241" w:rsidRPr="00873B6C" w:rsidRDefault="003E5241" w:rsidP="00C9561D">
            <w:pPr>
              <w:pStyle w:val="TAH"/>
            </w:pPr>
            <w:r w:rsidRPr="00873B6C">
              <w:t>Service Name</w:t>
            </w:r>
          </w:p>
        </w:tc>
        <w:tc>
          <w:tcPr>
            <w:tcW w:w="3253" w:type="dxa"/>
          </w:tcPr>
          <w:p w14:paraId="54BA0299" w14:textId="77777777" w:rsidR="003E5241" w:rsidRPr="00873B6C" w:rsidRDefault="003E5241" w:rsidP="00C9561D">
            <w:pPr>
              <w:pStyle w:val="TAH"/>
            </w:pPr>
            <w:r w:rsidRPr="00873B6C">
              <w:t>Description</w:t>
            </w:r>
          </w:p>
        </w:tc>
        <w:tc>
          <w:tcPr>
            <w:tcW w:w="1843" w:type="dxa"/>
          </w:tcPr>
          <w:p w14:paraId="7F0292BA" w14:textId="61159608" w:rsidR="003E5241" w:rsidRPr="00873B6C" w:rsidRDefault="003E5241" w:rsidP="00C9561D">
            <w:pPr>
              <w:pStyle w:val="TAH"/>
            </w:pPr>
            <w:r w:rsidRPr="00873B6C">
              <w:t>Reference in TS 23.502 [3]</w:t>
            </w:r>
          </w:p>
        </w:tc>
      </w:tr>
      <w:tr w:rsidR="003E5241" w:rsidRPr="00873B6C" w14:paraId="04B3C5A9" w14:textId="77777777" w:rsidTr="00C9561D">
        <w:trPr>
          <w:cantSplit/>
          <w:jc w:val="center"/>
        </w:trPr>
        <w:tc>
          <w:tcPr>
            <w:tcW w:w="3827" w:type="dxa"/>
          </w:tcPr>
          <w:p w14:paraId="1576737E" w14:textId="410EC04D" w:rsidR="003E5241" w:rsidRPr="00873B6C" w:rsidRDefault="003E5241" w:rsidP="00C9561D">
            <w:pPr>
              <w:pStyle w:val="TAL"/>
              <w:rPr>
                <w:lang w:eastAsia="zh-CN"/>
              </w:rPr>
            </w:pPr>
            <w:r w:rsidRPr="00873B6C">
              <w:rPr>
                <w:lang w:eastAsia="zh-CN"/>
              </w:rPr>
              <w:t>Nupf_EventExposure</w:t>
            </w:r>
          </w:p>
        </w:tc>
        <w:tc>
          <w:tcPr>
            <w:tcW w:w="3253" w:type="dxa"/>
          </w:tcPr>
          <w:p w14:paraId="7C39616A" w14:textId="48DF573C" w:rsidR="003E5241" w:rsidRPr="00873B6C" w:rsidRDefault="003E5241" w:rsidP="00C9561D">
            <w:pPr>
              <w:pStyle w:val="TAL"/>
              <w:rPr>
                <w:lang w:eastAsia="zh-CN"/>
              </w:rPr>
            </w:pPr>
            <w:r w:rsidRPr="00873B6C">
              <w:rPr>
                <w:lang w:eastAsia="zh-CN"/>
              </w:rPr>
              <w:t>This service exposes UPF related information to the consumer NFs.</w:t>
            </w:r>
          </w:p>
        </w:tc>
        <w:tc>
          <w:tcPr>
            <w:tcW w:w="1843" w:type="dxa"/>
          </w:tcPr>
          <w:p w14:paraId="405B2C00" w14:textId="0B65B31D" w:rsidR="003E5241" w:rsidRPr="00873B6C" w:rsidRDefault="003E5241" w:rsidP="00C9561D">
            <w:pPr>
              <w:pStyle w:val="TAC"/>
              <w:rPr>
                <w:lang w:eastAsia="zh-CN"/>
              </w:rPr>
            </w:pPr>
            <w:r w:rsidRPr="00873B6C">
              <w:rPr>
                <w:lang w:eastAsia="zh-CN"/>
              </w:rPr>
              <w:t>5.2.26.2</w:t>
            </w:r>
          </w:p>
        </w:tc>
      </w:tr>
      <w:tr w:rsidR="002C4A81" w:rsidRPr="00873B6C" w14:paraId="533D1F4D" w14:textId="77777777" w:rsidTr="00C9561D">
        <w:trPr>
          <w:cantSplit/>
          <w:jc w:val="center"/>
        </w:trPr>
        <w:tc>
          <w:tcPr>
            <w:tcW w:w="3827" w:type="dxa"/>
          </w:tcPr>
          <w:p w14:paraId="1F1B7305" w14:textId="6BC74A09" w:rsidR="002C4A81" w:rsidRPr="00873B6C" w:rsidRDefault="002C4A81" w:rsidP="00C9561D">
            <w:pPr>
              <w:pStyle w:val="TAL"/>
              <w:rPr>
                <w:lang w:eastAsia="zh-CN"/>
              </w:rPr>
            </w:pPr>
            <w:r w:rsidRPr="00873B6C">
              <w:rPr>
                <w:lang w:eastAsia="zh-CN"/>
              </w:rPr>
              <w:t>Nupf_Get</w:t>
            </w:r>
            <w:r w:rsidR="000C6BFB" w:rsidRPr="00873B6C">
              <w:rPr>
                <w:lang w:eastAsia="zh-CN"/>
              </w:rPr>
              <w:t>UEPrivateIPaddrAndIdentifiers</w:t>
            </w:r>
          </w:p>
        </w:tc>
        <w:tc>
          <w:tcPr>
            <w:tcW w:w="3253" w:type="dxa"/>
          </w:tcPr>
          <w:p w14:paraId="7B1852A4" w14:textId="5772285F" w:rsidR="002C4A81" w:rsidRPr="00873B6C" w:rsidRDefault="002C4A81" w:rsidP="00C9561D">
            <w:pPr>
              <w:pStyle w:val="TAL"/>
              <w:rPr>
                <w:lang w:eastAsia="zh-CN"/>
              </w:rPr>
            </w:pPr>
            <w:r w:rsidRPr="00873B6C">
              <w:rPr>
                <w:lang w:eastAsia="zh-CN"/>
              </w:rPr>
              <w:t>This service exposes UPF information related to NAT information</w:t>
            </w:r>
            <w:r w:rsidR="000C6BFB" w:rsidRPr="00873B6C">
              <w:rPr>
                <w:lang w:eastAsia="zh-CN"/>
              </w:rPr>
              <w:t xml:space="preserve"> and SUPI.</w:t>
            </w:r>
          </w:p>
        </w:tc>
        <w:tc>
          <w:tcPr>
            <w:tcW w:w="1843" w:type="dxa"/>
          </w:tcPr>
          <w:p w14:paraId="6F2756E2" w14:textId="26785D8F" w:rsidR="002C4A81" w:rsidRPr="00873B6C" w:rsidRDefault="002C4A81" w:rsidP="00C9561D">
            <w:pPr>
              <w:pStyle w:val="TAC"/>
              <w:rPr>
                <w:lang w:eastAsia="zh-CN"/>
              </w:rPr>
            </w:pPr>
            <w:r w:rsidRPr="00873B6C">
              <w:rPr>
                <w:lang w:eastAsia="zh-CN"/>
              </w:rPr>
              <w:t>5.2.26.3</w:t>
            </w:r>
          </w:p>
        </w:tc>
      </w:tr>
    </w:tbl>
    <w:p w14:paraId="1005A719" w14:textId="77777777" w:rsidR="003E5241" w:rsidRPr="00873B6C" w:rsidRDefault="003E5241" w:rsidP="003E5241"/>
    <w:p w14:paraId="0EBB29CA" w14:textId="77777777" w:rsidR="00D40151" w:rsidRPr="00873B6C" w:rsidRDefault="00D40151" w:rsidP="00D40151">
      <w:pPr>
        <w:pStyle w:val="Heading2"/>
      </w:pPr>
      <w:bookmarkStart w:id="6177" w:name="_CR7_3"/>
      <w:bookmarkStart w:id="6178" w:name="_Toc201157858"/>
      <w:bookmarkEnd w:id="6177"/>
      <w:r w:rsidRPr="00873B6C">
        <w:t>7.3</w:t>
      </w:r>
      <w:r w:rsidRPr="00873B6C">
        <w:tab/>
        <w:t>Exposure</w:t>
      </w:r>
      <w:bookmarkEnd w:id="6143"/>
      <w:bookmarkEnd w:id="6144"/>
      <w:bookmarkEnd w:id="6145"/>
      <w:bookmarkEnd w:id="6149"/>
      <w:bookmarkEnd w:id="6150"/>
      <w:bookmarkEnd w:id="6151"/>
      <w:bookmarkEnd w:id="6178"/>
    </w:p>
    <w:p w14:paraId="3D3EED25" w14:textId="6398B38B" w:rsidR="00D40151" w:rsidRPr="00873B6C" w:rsidRDefault="00D40151" w:rsidP="00D40151">
      <w:r w:rsidRPr="00873B6C">
        <w:rPr>
          <w:rFonts w:eastAsia="SimSun"/>
          <w:lang w:eastAsia="zh-CN"/>
        </w:rPr>
        <w:t>Network exposure is</w:t>
      </w:r>
      <w:r w:rsidRPr="00873B6C">
        <w:rPr>
          <w:rFonts w:eastAsia="Batang"/>
        </w:rPr>
        <w:t xml:space="preserve"> described in clause</w:t>
      </w:r>
      <w:r w:rsidR="003A5CE6" w:rsidRPr="00873B6C">
        <w:rPr>
          <w:rFonts w:eastAsia="Batang"/>
        </w:rPr>
        <w:t xml:space="preserve">s </w:t>
      </w:r>
      <w:r w:rsidRPr="00873B6C">
        <w:rPr>
          <w:rFonts w:eastAsia="Batang"/>
        </w:rPr>
        <w:t>5.20</w:t>
      </w:r>
      <w:r w:rsidR="003A5CE6" w:rsidRPr="00873B6C">
        <w:rPr>
          <w:rFonts w:eastAsia="Batang"/>
        </w:rPr>
        <w:t>, 5.20</w:t>
      </w:r>
      <w:r w:rsidR="00633BD1" w:rsidRPr="00873B6C">
        <w:rPr>
          <w:rFonts w:eastAsia="Batang"/>
        </w:rPr>
        <w:t>d</w:t>
      </w:r>
      <w:r w:rsidRPr="00873B6C">
        <w:rPr>
          <w:rFonts w:eastAsia="Batang"/>
        </w:rPr>
        <w:t xml:space="preserve"> and in</w:t>
      </w:r>
      <w:r w:rsidR="006B65B5" w:rsidRPr="00873B6C">
        <w:rPr>
          <w:rFonts w:eastAsia="Batang"/>
        </w:rPr>
        <w:t xml:space="preserve"> clause 4.15</w:t>
      </w:r>
      <w:r w:rsidRPr="00873B6C">
        <w:rPr>
          <w:rFonts w:eastAsia="Batang"/>
        </w:rPr>
        <w:t xml:space="preserve"> </w:t>
      </w:r>
      <w:r w:rsidR="006B65B5" w:rsidRPr="00873B6C">
        <w:rPr>
          <w:rFonts w:eastAsia="Batang"/>
        </w:rPr>
        <w:t xml:space="preserve">of </w:t>
      </w:r>
      <w:r w:rsidR="00972E70" w:rsidRPr="00873B6C">
        <w:rPr>
          <w:rFonts w:eastAsia="Batang"/>
        </w:rPr>
        <w:t>TS 23.502 [</w:t>
      </w:r>
      <w:r w:rsidRPr="00873B6C">
        <w:rPr>
          <w:rFonts w:eastAsia="Batang"/>
        </w:rPr>
        <w:t>3]</w:t>
      </w:r>
      <w:r w:rsidRPr="00873B6C">
        <w:rPr>
          <w:rFonts w:eastAsia="SimSun"/>
          <w:lang w:eastAsia="zh-CN"/>
        </w:rPr>
        <w:t>.</w:t>
      </w:r>
    </w:p>
    <w:p w14:paraId="321C7836" w14:textId="77777777" w:rsidR="00D40151" w:rsidRPr="00873B6C" w:rsidRDefault="00D40151" w:rsidP="00D40151">
      <w:pPr>
        <w:pStyle w:val="Heading1"/>
      </w:pPr>
      <w:bookmarkStart w:id="6179" w:name="_CR8"/>
      <w:bookmarkStart w:id="6180" w:name="_Toc20150273"/>
      <w:bookmarkStart w:id="6181" w:name="_Toc27847081"/>
      <w:bookmarkStart w:id="6182" w:name="_Toc36188214"/>
      <w:bookmarkStart w:id="6183" w:name="_Toc45184128"/>
      <w:bookmarkStart w:id="6184" w:name="_Toc47342970"/>
      <w:bookmarkStart w:id="6185" w:name="_Toc51769672"/>
      <w:bookmarkStart w:id="6186" w:name="_Toc201157859"/>
      <w:bookmarkEnd w:id="6179"/>
      <w:r w:rsidRPr="00873B6C">
        <w:t>8</w:t>
      </w:r>
      <w:r w:rsidRPr="00873B6C">
        <w:tab/>
        <w:t>Control and User Plane Protocol Stacks</w:t>
      </w:r>
      <w:bookmarkEnd w:id="6180"/>
      <w:bookmarkEnd w:id="6181"/>
      <w:bookmarkEnd w:id="6182"/>
      <w:bookmarkEnd w:id="6183"/>
      <w:bookmarkEnd w:id="6184"/>
      <w:bookmarkEnd w:id="6185"/>
      <w:bookmarkEnd w:id="6186"/>
    </w:p>
    <w:p w14:paraId="093C8C4F" w14:textId="77777777" w:rsidR="00D40151" w:rsidRPr="00873B6C" w:rsidRDefault="00D40151" w:rsidP="00D40151">
      <w:pPr>
        <w:pStyle w:val="Heading2"/>
      </w:pPr>
      <w:bookmarkStart w:id="6187" w:name="_CR8_1"/>
      <w:bookmarkStart w:id="6188" w:name="_Toc20150274"/>
      <w:bookmarkStart w:id="6189" w:name="_Toc27847082"/>
      <w:bookmarkStart w:id="6190" w:name="_Toc36188215"/>
      <w:bookmarkStart w:id="6191" w:name="_Toc45184129"/>
      <w:bookmarkStart w:id="6192" w:name="_Toc47342971"/>
      <w:bookmarkStart w:id="6193" w:name="_Toc51769673"/>
      <w:bookmarkStart w:id="6194" w:name="_Toc201157860"/>
      <w:bookmarkEnd w:id="6187"/>
      <w:r w:rsidRPr="00873B6C">
        <w:t>8.1</w:t>
      </w:r>
      <w:r w:rsidRPr="00873B6C">
        <w:tab/>
        <w:t>General</w:t>
      </w:r>
      <w:bookmarkEnd w:id="6188"/>
      <w:bookmarkEnd w:id="6189"/>
      <w:bookmarkEnd w:id="6190"/>
      <w:bookmarkEnd w:id="6191"/>
      <w:bookmarkEnd w:id="6192"/>
      <w:bookmarkEnd w:id="6193"/>
      <w:bookmarkEnd w:id="6194"/>
    </w:p>
    <w:p w14:paraId="72DF5A42" w14:textId="77777777" w:rsidR="00D40151" w:rsidRPr="00873B6C" w:rsidRDefault="00D40151" w:rsidP="00D40151">
      <w:pPr>
        <w:keepNext/>
      </w:pPr>
      <w:r w:rsidRPr="00873B6C">
        <w:t>Clause 8 specifies the overall protocol stacks between 5GS entities, e.g. between the UE and the 5GC Network Functions, between the 5G-AN and the 5GC Network Functions, or between the 5GC Network Functions.</w:t>
      </w:r>
    </w:p>
    <w:p w14:paraId="7D969294" w14:textId="77777777" w:rsidR="00D40151" w:rsidRPr="00873B6C" w:rsidRDefault="00D40151" w:rsidP="00D40151">
      <w:pPr>
        <w:pStyle w:val="Heading2"/>
      </w:pPr>
      <w:bookmarkStart w:id="6195" w:name="_CR8_2"/>
      <w:bookmarkStart w:id="6196" w:name="_Toc20150275"/>
      <w:bookmarkStart w:id="6197" w:name="_Toc27847083"/>
      <w:bookmarkStart w:id="6198" w:name="_Toc36188216"/>
      <w:bookmarkStart w:id="6199" w:name="_Toc45184130"/>
      <w:bookmarkStart w:id="6200" w:name="_Toc47342972"/>
      <w:bookmarkStart w:id="6201" w:name="_Toc51769674"/>
      <w:bookmarkStart w:id="6202" w:name="_Toc201157861"/>
      <w:bookmarkEnd w:id="6195"/>
      <w:r w:rsidRPr="00873B6C">
        <w:t>8.2</w:t>
      </w:r>
      <w:r w:rsidRPr="00873B6C">
        <w:tab/>
        <w:t>Control Plane Protocol Stacks</w:t>
      </w:r>
      <w:bookmarkEnd w:id="6196"/>
      <w:bookmarkEnd w:id="6197"/>
      <w:bookmarkEnd w:id="6198"/>
      <w:bookmarkEnd w:id="6199"/>
      <w:bookmarkEnd w:id="6200"/>
      <w:bookmarkEnd w:id="6201"/>
      <w:bookmarkEnd w:id="6202"/>
    </w:p>
    <w:p w14:paraId="14823AAB" w14:textId="77777777" w:rsidR="00D40151" w:rsidRPr="00873B6C" w:rsidRDefault="00D40151" w:rsidP="00D40151">
      <w:pPr>
        <w:pStyle w:val="Heading3"/>
        <w:rPr>
          <w:lang w:eastAsia="zh-CN"/>
        </w:rPr>
      </w:pPr>
      <w:bookmarkStart w:id="6203" w:name="_1407230184"/>
      <w:bookmarkStart w:id="6204" w:name="_CR8_2_1"/>
      <w:bookmarkStart w:id="6205" w:name="_Toc20150276"/>
      <w:bookmarkStart w:id="6206" w:name="_Toc27847084"/>
      <w:bookmarkStart w:id="6207" w:name="_Toc36188217"/>
      <w:bookmarkStart w:id="6208" w:name="_Toc45184131"/>
      <w:bookmarkStart w:id="6209" w:name="_Toc47342973"/>
      <w:bookmarkStart w:id="6210" w:name="_Toc51769675"/>
      <w:bookmarkStart w:id="6211" w:name="_Toc201157862"/>
      <w:bookmarkEnd w:id="6203"/>
      <w:bookmarkEnd w:id="6204"/>
      <w:r w:rsidRPr="00873B6C">
        <w:t>8.2.1</w:t>
      </w:r>
      <w:r w:rsidRPr="00873B6C">
        <w:tab/>
      </w:r>
      <w:r w:rsidRPr="00873B6C">
        <w:rPr>
          <w:lang w:eastAsia="zh-CN"/>
        </w:rPr>
        <w:t xml:space="preserve">Control Plane Protocol Stacks </w:t>
      </w:r>
      <w:r w:rsidRPr="00873B6C">
        <w:t xml:space="preserve">between the 5G-AN and the 5G Core: </w:t>
      </w:r>
      <w:r w:rsidRPr="00873B6C">
        <w:rPr>
          <w:lang w:eastAsia="zh-CN"/>
        </w:rPr>
        <w:t>N2</w:t>
      </w:r>
      <w:bookmarkEnd w:id="6205"/>
      <w:bookmarkEnd w:id="6206"/>
      <w:bookmarkEnd w:id="6207"/>
      <w:bookmarkEnd w:id="6208"/>
      <w:bookmarkEnd w:id="6209"/>
      <w:bookmarkEnd w:id="6210"/>
      <w:bookmarkEnd w:id="6211"/>
    </w:p>
    <w:p w14:paraId="6311722F" w14:textId="77777777" w:rsidR="00D40151" w:rsidRPr="00873B6C" w:rsidRDefault="00D40151" w:rsidP="00D40151">
      <w:pPr>
        <w:pStyle w:val="Heading4"/>
      </w:pPr>
      <w:bookmarkStart w:id="6212" w:name="_CR8_2_1_1"/>
      <w:bookmarkStart w:id="6213" w:name="_Toc20150277"/>
      <w:bookmarkStart w:id="6214" w:name="_Toc27847085"/>
      <w:bookmarkStart w:id="6215" w:name="_Toc36188218"/>
      <w:bookmarkStart w:id="6216" w:name="_Toc45184132"/>
      <w:bookmarkStart w:id="6217" w:name="_Toc47342974"/>
      <w:bookmarkStart w:id="6218" w:name="_Toc51769676"/>
      <w:bookmarkStart w:id="6219" w:name="_Toc201157863"/>
      <w:bookmarkEnd w:id="6212"/>
      <w:r w:rsidRPr="00873B6C">
        <w:t>8.2.1</w:t>
      </w:r>
      <w:r w:rsidRPr="00873B6C">
        <w:rPr>
          <w:lang w:eastAsia="zh-CN"/>
        </w:rPr>
        <w:t>.</w:t>
      </w:r>
      <w:r w:rsidRPr="00873B6C">
        <w:t>1</w:t>
      </w:r>
      <w:r w:rsidRPr="00873B6C">
        <w:tab/>
        <w:t>General</w:t>
      </w:r>
      <w:bookmarkEnd w:id="6213"/>
      <w:bookmarkEnd w:id="6214"/>
      <w:bookmarkEnd w:id="6215"/>
      <w:bookmarkEnd w:id="6216"/>
      <w:bookmarkEnd w:id="6217"/>
      <w:bookmarkEnd w:id="6218"/>
      <w:bookmarkEnd w:id="6219"/>
    </w:p>
    <w:p w14:paraId="2F565A87" w14:textId="135FCD65" w:rsidR="00D40151" w:rsidRPr="00873B6C" w:rsidRDefault="00D40151" w:rsidP="00D40151">
      <w:pPr>
        <w:pStyle w:val="NO"/>
      </w:pPr>
      <w:r w:rsidRPr="00873B6C">
        <w:t>NOTE 1:</w:t>
      </w:r>
      <w:r w:rsidRPr="00873B6C">
        <w:tab/>
        <w:t xml:space="preserve">N2 maps to NG-C as defined in </w:t>
      </w:r>
      <w:r w:rsidR="00972E70" w:rsidRPr="00873B6C">
        <w:t>TS 38.413 [</w:t>
      </w:r>
      <w:r w:rsidRPr="00873B6C">
        <w:t>34].</w:t>
      </w:r>
    </w:p>
    <w:p w14:paraId="1EDBC4A3" w14:textId="77777777" w:rsidR="00D40151" w:rsidRPr="00873B6C" w:rsidRDefault="00D40151" w:rsidP="00D40151">
      <w:r w:rsidRPr="00873B6C">
        <w:t>Following procedures are defined over N2:</w:t>
      </w:r>
    </w:p>
    <w:p w14:paraId="701361A7" w14:textId="77777777" w:rsidR="00D40151" w:rsidRPr="00873B6C" w:rsidRDefault="00D40151" w:rsidP="00D40151">
      <w:pPr>
        <w:pStyle w:val="B1"/>
      </w:pPr>
      <w:r w:rsidRPr="00873B6C">
        <w:t>-</w:t>
      </w:r>
      <w:r w:rsidRPr="00873B6C">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873B6C" w:rsidRDefault="00D40151" w:rsidP="00D40151">
      <w:pPr>
        <w:pStyle w:val="B1"/>
      </w:pPr>
      <w:r w:rsidRPr="00873B6C">
        <w:t>-</w:t>
      </w:r>
      <w:r w:rsidRPr="00873B6C">
        <w:tab/>
        <w:t>Procedures related with an individual UE:</w:t>
      </w:r>
    </w:p>
    <w:p w14:paraId="452D4802" w14:textId="77777777" w:rsidR="00D40151" w:rsidRPr="00873B6C" w:rsidRDefault="00D40151" w:rsidP="00D40151">
      <w:pPr>
        <w:pStyle w:val="B2"/>
      </w:pPr>
      <w:r w:rsidRPr="00873B6C">
        <w:t>-</w:t>
      </w:r>
      <w:r w:rsidRPr="00873B6C">
        <w:tab/>
        <w:t xml:space="preserve">Procedures related with NAS Transport. These procedures are intended to be applicable to any access but may correspond to messages that for UL NAS transport carry some access dependent information such as </w:t>
      </w:r>
      <w:r w:rsidRPr="00873B6C">
        <w:lastRenderedPageBreak/>
        <w:t>User Location Information (e.g. Cell-Id over 3GPP access or other kind of User Location Information for Non-3GPP access).</w:t>
      </w:r>
    </w:p>
    <w:p w14:paraId="75303E01" w14:textId="77777777" w:rsidR="00D40151" w:rsidRPr="00873B6C" w:rsidRDefault="00D40151" w:rsidP="00D40151">
      <w:pPr>
        <w:pStyle w:val="B2"/>
      </w:pPr>
      <w:r w:rsidRPr="00873B6C">
        <w:t>-</w:t>
      </w:r>
      <w:r w:rsidRPr="00873B6C">
        <w:tab/>
        <w:t>Procedures related with UE context management. These procedures are intended to be applicable to any access. The corresponding messages may carry:</w:t>
      </w:r>
    </w:p>
    <w:p w14:paraId="56C79EED" w14:textId="77777777" w:rsidR="00D40151" w:rsidRPr="00873B6C" w:rsidRDefault="00D40151" w:rsidP="00D40151">
      <w:pPr>
        <w:pStyle w:val="B3"/>
      </w:pPr>
      <w:r w:rsidRPr="00873B6C">
        <w:t>-</w:t>
      </w:r>
      <w:r w:rsidRPr="00873B6C">
        <w:tab/>
        <w:t>some information only on some access (such as Mobility Restriction List used only for 3GPP access).</w:t>
      </w:r>
    </w:p>
    <w:p w14:paraId="4328DFF6" w14:textId="77777777" w:rsidR="00D40151" w:rsidRPr="00873B6C" w:rsidRDefault="00D40151" w:rsidP="00D40151">
      <w:pPr>
        <w:pStyle w:val="B3"/>
      </w:pPr>
      <w:r w:rsidRPr="00873B6C">
        <w:t>-</w:t>
      </w:r>
      <w:r w:rsidRPr="00873B6C">
        <w:tab/>
        <w:t>some information (related e.g. with N3 addressing and with QoS requirements) that is to be transparently forwarded by AMF between the 5G-AN and the SMF.</w:t>
      </w:r>
    </w:p>
    <w:p w14:paraId="1224AF7F" w14:textId="77777777" w:rsidR="00D40151" w:rsidRPr="00873B6C" w:rsidRDefault="00D40151" w:rsidP="00D40151">
      <w:pPr>
        <w:pStyle w:val="B2"/>
      </w:pPr>
      <w:r w:rsidRPr="00873B6C">
        <w:t>-</w:t>
      </w:r>
      <w:r w:rsidRPr="00873B6C">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873B6C" w:rsidRDefault="00D40151" w:rsidP="00D40151">
      <w:pPr>
        <w:pStyle w:val="B2"/>
      </w:pPr>
      <w:r w:rsidRPr="00873B6C">
        <w:t>-</w:t>
      </w:r>
      <w:r w:rsidRPr="00873B6C">
        <w:tab/>
        <w:t>Procedures related with Hand-Over management. These procedures are intended for 3GPP access only.</w:t>
      </w:r>
    </w:p>
    <w:p w14:paraId="0F59BB20" w14:textId="77777777" w:rsidR="00D40151" w:rsidRPr="00873B6C" w:rsidRDefault="00D40151" w:rsidP="00D40151">
      <w:r w:rsidRPr="00873B6C">
        <w:t xml:space="preserve">The </w:t>
      </w:r>
      <w:r w:rsidRPr="00873B6C">
        <w:rPr>
          <w:lang w:eastAsia="zh-CN"/>
        </w:rPr>
        <w:t xml:space="preserve">Control Plane </w:t>
      </w:r>
      <w:r w:rsidRPr="00873B6C">
        <w:t>interface between the 5G-AN and the 5G Core supports:</w:t>
      </w:r>
    </w:p>
    <w:p w14:paraId="006C79A5" w14:textId="77777777" w:rsidR="00D40151" w:rsidRPr="00873B6C" w:rsidRDefault="00D40151" w:rsidP="00D40151">
      <w:pPr>
        <w:pStyle w:val="B1"/>
        <w:rPr>
          <w:lang w:eastAsia="zh-CN"/>
        </w:rPr>
      </w:pPr>
      <w:r w:rsidRPr="00873B6C">
        <w:t>-</w:t>
      </w:r>
      <w:r w:rsidRPr="00873B6C">
        <w:tab/>
        <w:t xml:space="preserve">The connection of multiple different kinds of 5G-AN (e.g. 3GPP RAN, N3IWF for Un-trusted access to 5GC) to the 5GC via a unique </w:t>
      </w:r>
      <w:r w:rsidRPr="00873B6C">
        <w:rPr>
          <w:lang w:eastAsia="zh-CN"/>
        </w:rPr>
        <w:t xml:space="preserve">Control Plane </w:t>
      </w:r>
      <w:r w:rsidRPr="00873B6C">
        <w:t xml:space="preserve">protocol: </w:t>
      </w:r>
      <w:r w:rsidRPr="00873B6C">
        <w:rPr>
          <w:lang w:eastAsia="zh-CN"/>
        </w:rPr>
        <w:t>A single NGAP protocol is used for both the 3GPP access and non-3GPP access;</w:t>
      </w:r>
    </w:p>
    <w:p w14:paraId="5C835933" w14:textId="77777777" w:rsidR="00D40151" w:rsidRPr="00873B6C" w:rsidRDefault="00D40151" w:rsidP="00D40151">
      <w:pPr>
        <w:pStyle w:val="B1"/>
        <w:rPr>
          <w:lang w:eastAsia="zh-CN"/>
        </w:rPr>
      </w:pPr>
      <w:r w:rsidRPr="00873B6C">
        <w:t>-</w:t>
      </w:r>
      <w:r w:rsidRPr="00873B6C">
        <w:tab/>
        <w:t>There is a unique N2 termination point in AMF per access for a given UE regardless of the number (possibly zero) of PDU Session</w:t>
      </w:r>
      <w:r w:rsidRPr="00873B6C">
        <w:rPr>
          <w:rFonts w:eastAsia="SimSun"/>
          <w:lang w:eastAsia="zh-CN"/>
        </w:rPr>
        <w:t>s</w:t>
      </w:r>
      <w:r w:rsidRPr="00873B6C">
        <w:t xml:space="preserve"> of </w:t>
      </w:r>
      <w:r w:rsidRPr="00873B6C">
        <w:rPr>
          <w:rFonts w:eastAsia="SimSun"/>
          <w:lang w:eastAsia="zh-CN"/>
        </w:rPr>
        <w:t>the</w:t>
      </w:r>
      <w:r w:rsidRPr="00873B6C">
        <w:t xml:space="preserve"> UE;</w:t>
      </w:r>
    </w:p>
    <w:p w14:paraId="3601E474" w14:textId="2D8C378C" w:rsidR="00D40151" w:rsidRPr="00873B6C" w:rsidRDefault="00D40151" w:rsidP="00D40151">
      <w:pPr>
        <w:pStyle w:val="B1"/>
      </w:pPr>
      <w:r w:rsidRPr="00873B6C">
        <w:t>-</w:t>
      </w:r>
      <w:r w:rsidRPr="00873B6C">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972E70" w:rsidRPr="00873B6C">
        <w:t>TS 23.502 [</w:t>
      </w:r>
      <w:r w:rsidRPr="00873B6C">
        <w:t>3] and this specification.</w:t>
      </w:r>
    </w:p>
    <w:p w14:paraId="01A5FCCD" w14:textId="77777777" w:rsidR="00D40151" w:rsidRPr="00873B6C" w:rsidRDefault="00D40151" w:rsidP="00D40151">
      <w:pPr>
        <w:pStyle w:val="NO"/>
      </w:pPr>
      <w:r w:rsidRPr="00873B6C">
        <w:t>NOTE 2:</w:t>
      </w:r>
      <w:r w:rsidRPr="00873B6C">
        <w:tab/>
        <w:t>The N2 SM information is exchanged between the SMF and the 5G-AN transparently to the AMF.</w:t>
      </w:r>
    </w:p>
    <w:p w14:paraId="57E002F6" w14:textId="77777777" w:rsidR="00D40151" w:rsidRPr="00873B6C" w:rsidRDefault="00D40151" w:rsidP="00D40151">
      <w:pPr>
        <w:pStyle w:val="Heading4"/>
        <w:rPr>
          <w:lang w:eastAsia="zh-CN"/>
        </w:rPr>
      </w:pPr>
      <w:bookmarkStart w:id="6220" w:name="_CR8_2_1_2"/>
      <w:bookmarkStart w:id="6221" w:name="_Toc20150278"/>
      <w:bookmarkStart w:id="6222" w:name="_Toc27847086"/>
      <w:bookmarkStart w:id="6223" w:name="_Toc36188219"/>
      <w:bookmarkStart w:id="6224" w:name="_Toc45184133"/>
      <w:bookmarkStart w:id="6225" w:name="_Toc47342975"/>
      <w:bookmarkStart w:id="6226" w:name="_Toc51769677"/>
      <w:bookmarkStart w:id="6227" w:name="_Toc201157864"/>
      <w:bookmarkEnd w:id="6220"/>
      <w:r w:rsidRPr="00873B6C">
        <w:rPr>
          <w:lang w:eastAsia="zh-CN"/>
        </w:rPr>
        <w:t>8</w:t>
      </w:r>
      <w:r w:rsidRPr="00873B6C">
        <w:t>.</w:t>
      </w:r>
      <w:r w:rsidRPr="00873B6C">
        <w:rPr>
          <w:lang w:eastAsia="zh-CN"/>
        </w:rPr>
        <w:t>2</w:t>
      </w:r>
      <w:r w:rsidRPr="00873B6C">
        <w:t>.1</w:t>
      </w:r>
      <w:r w:rsidRPr="00873B6C">
        <w:rPr>
          <w:lang w:eastAsia="zh-CN"/>
        </w:rPr>
        <w:t>.2</w:t>
      </w:r>
      <w:r w:rsidRPr="00873B6C">
        <w:tab/>
        <w:t>5G-AN - AMF</w:t>
      </w:r>
      <w:bookmarkEnd w:id="6221"/>
      <w:bookmarkEnd w:id="6222"/>
      <w:bookmarkEnd w:id="6223"/>
      <w:bookmarkEnd w:id="6224"/>
      <w:bookmarkEnd w:id="6225"/>
      <w:bookmarkEnd w:id="6226"/>
      <w:bookmarkEnd w:id="6227"/>
    </w:p>
    <w:p w14:paraId="47DE83F0" w14:textId="77777777" w:rsidR="00D40151" w:rsidRPr="00873B6C" w:rsidRDefault="00D40151" w:rsidP="00D40151">
      <w:pPr>
        <w:pStyle w:val="TH"/>
      </w:pPr>
      <w:r w:rsidRPr="00873B6C">
        <w:object w:dxaOrig="3759" w:dyaOrig="2625" w14:anchorId="2EFCB1F4">
          <v:shape id="_x0000_i1132" type="#_x0000_t75" style="width:187.85pt;height:130.25pt" o:ole="">
            <v:imagedata r:id="rId223" o:title=""/>
          </v:shape>
          <o:OLEObject Type="Embed" ProgID="Visio.Drawing.11" ShapeID="_x0000_i1132" DrawAspect="Content" ObjectID="_1811772466" r:id="rId224"/>
        </w:object>
      </w:r>
    </w:p>
    <w:p w14:paraId="3E787B0F" w14:textId="77777777" w:rsidR="00D40151" w:rsidRPr="00873B6C" w:rsidRDefault="00D40151" w:rsidP="00D40151">
      <w:pPr>
        <w:pStyle w:val="NF"/>
        <w:rPr>
          <w:b/>
        </w:rPr>
      </w:pPr>
      <w:r w:rsidRPr="00873B6C">
        <w:rPr>
          <w:b/>
        </w:rPr>
        <w:t>Legend:</w:t>
      </w:r>
    </w:p>
    <w:p w14:paraId="2F15C55E" w14:textId="77777777" w:rsidR="00D40151" w:rsidRPr="00873B6C" w:rsidRDefault="00D40151" w:rsidP="00D40151">
      <w:pPr>
        <w:pStyle w:val="NF"/>
        <w:rPr>
          <w:rFonts w:eastAsia="SimSun"/>
          <w:lang w:eastAsia="zh-CN"/>
        </w:rPr>
      </w:pPr>
      <w:r w:rsidRPr="00873B6C">
        <w:t>-</w:t>
      </w:r>
      <w:r w:rsidRPr="00873B6C">
        <w:tab/>
      </w:r>
      <w:r w:rsidRPr="00873B6C">
        <w:rPr>
          <w:rFonts w:eastAsia="SimSun"/>
          <w:b/>
          <w:lang w:eastAsia="zh-CN"/>
        </w:rPr>
        <w:t>NG Application Protocol (NG-AP):</w:t>
      </w:r>
      <w:r w:rsidRPr="00873B6C">
        <w:rPr>
          <w:rFonts w:eastAsia="SimSun"/>
          <w:lang w:eastAsia="zh-CN"/>
        </w:rPr>
        <w:t xml:space="preserve"> Application Layer Protocol between the 5G-AN node and the AMF. NG-AP is defined in TS</w:t>
      </w:r>
      <w:r w:rsidRPr="00873B6C">
        <w:t> 3</w:t>
      </w:r>
      <w:r w:rsidRPr="00873B6C">
        <w:rPr>
          <w:rFonts w:eastAsia="SimSun"/>
          <w:lang w:eastAsia="zh-CN"/>
        </w:rPr>
        <w:t>8.413</w:t>
      </w:r>
      <w:r w:rsidRPr="00873B6C">
        <w:t> </w:t>
      </w:r>
      <w:r w:rsidRPr="00873B6C">
        <w:rPr>
          <w:rFonts w:eastAsia="SimSun"/>
          <w:lang w:eastAsia="zh-CN"/>
        </w:rPr>
        <w:t>[34].</w:t>
      </w:r>
    </w:p>
    <w:p w14:paraId="71417598" w14:textId="77777777" w:rsidR="00D40151" w:rsidRPr="00873B6C" w:rsidRDefault="00D40151" w:rsidP="00D40151">
      <w:pPr>
        <w:pStyle w:val="NF"/>
        <w:rPr>
          <w:rFonts w:eastAsia="SimSun"/>
          <w:lang w:eastAsia="zh-CN"/>
        </w:rPr>
      </w:pPr>
      <w:r w:rsidRPr="00873B6C">
        <w:rPr>
          <w:rFonts w:eastAsia="SimSun"/>
          <w:lang w:eastAsia="zh-CN"/>
        </w:rPr>
        <w:t>-</w:t>
      </w:r>
      <w:r w:rsidRPr="00873B6C">
        <w:rPr>
          <w:rFonts w:eastAsia="SimSun"/>
          <w:lang w:eastAsia="zh-CN"/>
        </w:rPr>
        <w:tab/>
      </w:r>
      <w:r w:rsidRPr="00873B6C">
        <w:rPr>
          <w:rFonts w:eastAsia="SimSun"/>
          <w:b/>
          <w:lang w:eastAsia="zh-CN"/>
        </w:rPr>
        <w:t>Stream Control Transmission Protocol (SCTP):</w:t>
      </w:r>
      <w:r w:rsidRPr="00873B6C">
        <w:rPr>
          <w:rFonts w:eastAsia="SimSun"/>
          <w:lang w:eastAsia="zh-CN"/>
        </w:rPr>
        <w:t xml:space="preserve"> This protocol guarantees delivery of signalling messages between AMF and 5G-AN node (N2). SCTP is defined in </w:t>
      </w:r>
      <w:r w:rsidRPr="00873B6C">
        <w:t>RFC 4960 </w:t>
      </w:r>
      <w:r w:rsidRPr="00873B6C">
        <w:rPr>
          <w:rFonts w:eastAsia="SimSun"/>
          <w:lang w:eastAsia="zh-CN"/>
        </w:rPr>
        <w:t>[44].</w:t>
      </w:r>
    </w:p>
    <w:p w14:paraId="77494F3D" w14:textId="77777777" w:rsidR="00D40151" w:rsidRPr="00873B6C" w:rsidRDefault="00D40151" w:rsidP="00D40151">
      <w:pPr>
        <w:pStyle w:val="NF"/>
        <w:rPr>
          <w:rFonts w:eastAsia="SimSun"/>
          <w:lang w:eastAsia="zh-CN"/>
        </w:rPr>
      </w:pPr>
    </w:p>
    <w:p w14:paraId="5271BD49" w14:textId="77777777" w:rsidR="00D40151" w:rsidRPr="00873B6C" w:rsidRDefault="00D40151" w:rsidP="00D40151">
      <w:pPr>
        <w:pStyle w:val="TF"/>
        <w:rPr>
          <w:noProof/>
          <w:lang w:eastAsia="zh-CN"/>
        </w:rPr>
      </w:pPr>
      <w:bookmarkStart w:id="6228" w:name="_CRFigure8_2_1_21"/>
      <w:r w:rsidRPr="00873B6C">
        <w:t xml:space="preserve">Figure </w:t>
      </w:r>
      <w:bookmarkEnd w:id="6228"/>
      <w:r w:rsidRPr="00873B6C">
        <w:rPr>
          <w:lang w:eastAsia="zh-CN"/>
        </w:rPr>
        <w:t>8.2.1.2</w:t>
      </w:r>
      <w:r w:rsidRPr="00873B6C">
        <w:t>-</w:t>
      </w:r>
      <w:r w:rsidRPr="00873B6C">
        <w:rPr>
          <w:lang w:eastAsia="zh-CN"/>
        </w:rPr>
        <w:t>1</w:t>
      </w:r>
      <w:r w:rsidRPr="00873B6C">
        <w:t>:</w:t>
      </w:r>
      <w:r w:rsidRPr="00873B6C">
        <w:rPr>
          <w:noProof/>
          <w:lang w:eastAsia="zh-CN"/>
        </w:rPr>
        <w:t xml:space="preserve"> Control Plane between the 5G-AN and the AMF</w:t>
      </w:r>
    </w:p>
    <w:p w14:paraId="70778989" w14:textId="77777777" w:rsidR="00D40151" w:rsidRPr="00873B6C" w:rsidRDefault="00D40151" w:rsidP="00D40151">
      <w:pPr>
        <w:pStyle w:val="Heading4"/>
        <w:rPr>
          <w:lang w:eastAsia="zh-CN"/>
        </w:rPr>
      </w:pPr>
      <w:bookmarkStart w:id="6229" w:name="_CR8_2_1_3"/>
      <w:bookmarkStart w:id="6230" w:name="_Toc20150279"/>
      <w:bookmarkStart w:id="6231" w:name="_Toc27847087"/>
      <w:bookmarkStart w:id="6232" w:name="_Toc36188220"/>
      <w:bookmarkStart w:id="6233" w:name="_Toc45184134"/>
      <w:bookmarkStart w:id="6234" w:name="_Toc47342976"/>
      <w:bookmarkStart w:id="6235" w:name="_Toc51769678"/>
      <w:bookmarkStart w:id="6236" w:name="_Toc201157865"/>
      <w:bookmarkEnd w:id="6229"/>
      <w:r w:rsidRPr="00873B6C">
        <w:rPr>
          <w:lang w:eastAsia="zh-CN"/>
        </w:rPr>
        <w:lastRenderedPageBreak/>
        <w:t>8</w:t>
      </w:r>
      <w:r w:rsidRPr="00873B6C">
        <w:t>.</w:t>
      </w:r>
      <w:r w:rsidRPr="00873B6C">
        <w:rPr>
          <w:lang w:eastAsia="zh-CN"/>
        </w:rPr>
        <w:t>2</w:t>
      </w:r>
      <w:r w:rsidRPr="00873B6C">
        <w:t>.1</w:t>
      </w:r>
      <w:r w:rsidRPr="00873B6C">
        <w:rPr>
          <w:lang w:eastAsia="zh-CN"/>
        </w:rPr>
        <w:t>.3</w:t>
      </w:r>
      <w:r w:rsidRPr="00873B6C">
        <w:tab/>
        <w:t>5G-AN - SMF</w:t>
      </w:r>
      <w:bookmarkEnd w:id="6230"/>
      <w:bookmarkEnd w:id="6231"/>
      <w:bookmarkEnd w:id="6232"/>
      <w:bookmarkEnd w:id="6233"/>
      <w:bookmarkEnd w:id="6234"/>
      <w:bookmarkEnd w:id="6235"/>
      <w:bookmarkEnd w:id="6236"/>
    </w:p>
    <w:p w14:paraId="34E43BD0" w14:textId="77777777" w:rsidR="00D40151" w:rsidRPr="00873B6C" w:rsidRDefault="00D40151" w:rsidP="00D40151">
      <w:pPr>
        <w:pStyle w:val="TH"/>
        <w:rPr>
          <w:lang w:eastAsia="zh-CN"/>
        </w:rPr>
      </w:pPr>
      <w:r w:rsidRPr="00873B6C">
        <w:rPr>
          <w:b w:val="0"/>
        </w:rPr>
        <w:object w:dxaOrig="6310" w:dyaOrig="3051" w14:anchorId="2F43A772">
          <v:shape id="_x0000_i1133" type="#_x0000_t75" style="width:314.9pt;height:150.9pt" o:ole="">
            <v:imagedata r:id="rId225" o:title=""/>
          </v:shape>
          <o:OLEObject Type="Embed" ProgID="Visio.Drawing.11" ShapeID="_x0000_i1133" DrawAspect="Content" ObjectID="_1811772467" r:id="rId226"/>
        </w:object>
      </w:r>
    </w:p>
    <w:p w14:paraId="32D77BE5" w14:textId="77777777" w:rsidR="00D40151" w:rsidRPr="00873B6C" w:rsidRDefault="00D40151" w:rsidP="00D40151">
      <w:pPr>
        <w:pStyle w:val="NF"/>
        <w:rPr>
          <w:b/>
        </w:rPr>
      </w:pPr>
      <w:r w:rsidRPr="00873B6C">
        <w:rPr>
          <w:b/>
        </w:rPr>
        <w:t>Legend:</w:t>
      </w:r>
    </w:p>
    <w:p w14:paraId="0FB8D829" w14:textId="2D56E394" w:rsidR="00D40151" w:rsidRPr="00873B6C" w:rsidRDefault="00D40151" w:rsidP="00D40151">
      <w:pPr>
        <w:pStyle w:val="NF"/>
        <w:rPr>
          <w:rFonts w:eastAsia="SimSun"/>
          <w:lang w:eastAsia="zh-CN"/>
        </w:rPr>
      </w:pPr>
      <w:r w:rsidRPr="00873B6C">
        <w:t>-</w:t>
      </w:r>
      <w:r w:rsidRPr="00873B6C">
        <w:tab/>
      </w:r>
      <w:r w:rsidRPr="00873B6C">
        <w:rPr>
          <w:rFonts w:eastAsia="SimSun"/>
          <w:b/>
          <w:lang w:eastAsia="zh-CN"/>
        </w:rPr>
        <w:t>N2 SM information:</w:t>
      </w:r>
      <w:r w:rsidRPr="00873B6C">
        <w:rPr>
          <w:rFonts w:eastAsia="SimSun"/>
          <w:lang w:eastAsia="zh-CN"/>
        </w:rPr>
        <w:t xml:space="preserve"> This is the subset of NG-AP information that the AMF transparently relays between the 5G-AN and the SMF</w:t>
      </w:r>
      <w:r w:rsidR="00472CD7" w:rsidRPr="00873B6C">
        <w:rPr>
          <w:rFonts w:eastAsia="SimSun"/>
          <w:lang w:eastAsia="zh-CN"/>
        </w:rPr>
        <w:t xml:space="preserve"> and</w:t>
      </w:r>
      <w:r w:rsidRPr="00873B6C">
        <w:rPr>
          <w:rFonts w:eastAsia="SimSun"/>
          <w:lang w:eastAsia="zh-CN"/>
        </w:rPr>
        <w:t xml:space="preserve"> is included in the NG-AP messages and the N11 related messages.</w:t>
      </w:r>
    </w:p>
    <w:p w14:paraId="414959D0" w14:textId="77777777" w:rsidR="00D40151" w:rsidRPr="00873B6C" w:rsidRDefault="00D40151" w:rsidP="00D40151">
      <w:pPr>
        <w:pStyle w:val="NF"/>
        <w:rPr>
          <w:rFonts w:eastAsia="SimSun"/>
          <w:lang w:eastAsia="zh-CN"/>
        </w:rPr>
      </w:pPr>
    </w:p>
    <w:p w14:paraId="36074DE4" w14:textId="77777777" w:rsidR="00D40151" w:rsidRPr="00873B6C" w:rsidRDefault="00D40151" w:rsidP="00D40151">
      <w:pPr>
        <w:pStyle w:val="TF"/>
        <w:rPr>
          <w:noProof/>
          <w:lang w:eastAsia="zh-CN"/>
        </w:rPr>
      </w:pPr>
      <w:bookmarkStart w:id="6237" w:name="_CRFigure8_2_1_31"/>
      <w:r w:rsidRPr="00873B6C">
        <w:t xml:space="preserve">Figure </w:t>
      </w:r>
      <w:bookmarkEnd w:id="6237"/>
      <w:r w:rsidRPr="00873B6C">
        <w:rPr>
          <w:lang w:eastAsia="zh-CN"/>
        </w:rPr>
        <w:t>8.2.1.3</w:t>
      </w:r>
      <w:r w:rsidRPr="00873B6C">
        <w:t>-</w:t>
      </w:r>
      <w:r w:rsidRPr="00873B6C">
        <w:rPr>
          <w:lang w:eastAsia="zh-CN"/>
        </w:rPr>
        <w:t>1</w:t>
      </w:r>
      <w:r w:rsidRPr="00873B6C">
        <w:t>:</w:t>
      </w:r>
      <w:r w:rsidRPr="00873B6C">
        <w:rPr>
          <w:noProof/>
          <w:lang w:eastAsia="zh-CN"/>
        </w:rPr>
        <w:t xml:space="preserve"> Control Plane between the 5G-AN and the SMF</w:t>
      </w:r>
    </w:p>
    <w:p w14:paraId="5143E8B0" w14:textId="77777777" w:rsidR="00D40151" w:rsidRPr="00873B6C" w:rsidRDefault="00D40151" w:rsidP="00D40151">
      <w:pPr>
        <w:pStyle w:val="NO"/>
      </w:pPr>
      <w:r w:rsidRPr="00873B6C">
        <w:t>NOTE 1:</w:t>
      </w:r>
      <w:r w:rsidRPr="00873B6C">
        <w:tab/>
        <w:t>From the 5G-AN perspective, there is a single termination of N2 i.e. the AMF.</w:t>
      </w:r>
    </w:p>
    <w:p w14:paraId="35427F01" w14:textId="77777777" w:rsidR="00D40151" w:rsidRPr="00873B6C" w:rsidRDefault="00D40151" w:rsidP="00D40151">
      <w:pPr>
        <w:pStyle w:val="NO"/>
        <w:rPr>
          <w:rFonts w:eastAsia="SimSun"/>
          <w:lang w:eastAsia="zh-CN"/>
        </w:rPr>
      </w:pPr>
      <w:r w:rsidRPr="00873B6C">
        <w:t>NOTE 2:</w:t>
      </w:r>
      <w:r w:rsidRPr="00873B6C">
        <w:tab/>
        <w:t>For the protocol stack between the AMF and the SMF, see clause 8.2.3.</w:t>
      </w:r>
    </w:p>
    <w:p w14:paraId="530F25C0" w14:textId="77777777" w:rsidR="00D40151" w:rsidRPr="00873B6C" w:rsidRDefault="00D40151" w:rsidP="00D40151">
      <w:pPr>
        <w:pStyle w:val="Heading3"/>
        <w:rPr>
          <w:lang w:eastAsia="zh-CN"/>
        </w:rPr>
      </w:pPr>
      <w:bookmarkStart w:id="6238" w:name="_CR8_2_2"/>
      <w:bookmarkStart w:id="6239" w:name="_Toc20150280"/>
      <w:bookmarkStart w:id="6240" w:name="_Toc27847088"/>
      <w:bookmarkStart w:id="6241" w:name="_Toc36188221"/>
      <w:bookmarkStart w:id="6242" w:name="_Toc45184135"/>
      <w:bookmarkStart w:id="6243" w:name="_Toc47342977"/>
      <w:bookmarkStart w:id="6244" w:name="_Toc51769679"/>
      <w:bookmarkStart w:id="6245" w:name="_Toc201157866"/>
      <w:bookmarkEnd w:id="6238"/>
      <w:r w:rsidRPr="00873B6C">
        <w:rPr>
          <w:lang w:eastAsia="zh-CN"/>
        </w:rPr>
        <w:t>8</w:t>
      </w:r>
      <w:r w:rsidRPr="00873B6C">
        <w:t>.</w:t>
      </w:r>
      <w:r w:rsidRPr="00873B6C">
        <w:rPr>
          <w:lang w:eastAsia="zh-CN"/>
        </w:rPr>
        <w:t>2</w:t>
      </w:r>
      <w:r w:rsidRPr="00873B6C">
        <w:t>.2</w:t>
      </w:r>
      <w:r w:rsidRPr="00873B6C">
        <w:tab/>
        <w:t>Control Plane Protocol Stacks between the UE and the 5GC</w:t>
      </w:r>
      <w:bookmarkEnd w:id="6239"/>
      <w:bookmarkEnd w:id="6240"/>
      <w:bookmarkEnd w:id="6241"/>
      <w:bookmarkEnd w:id="6242"/>
      <w:bookmarkEnd w:id="6243"/>
      <w:bookmarkEnd w:id="6244"/>
      <w:bookmarkEnd w:id="6245"/>
    </w:p>
    <w:p w14:paraId="07280F2B" w14:textId="77777777" w:rsidR="00D40151" w:rsidRPr="00873B6C" w:rsidRDefault="00D40151" w:rsidP="00D40151">
      <w:pPr>
        <w:pStyle w:val="Heading4"/>
      </w:pPr>
      <w:bookmarkStart w:id="6246" w:name="_CR8_2_2_1"/>
      <w:bookmarkStart w:id="6247" w:name="_Toc20150281"/>
      <w:bookmarkStart w:id="6248" w:name="_Toc27847089"/>
      <w:bookmarkStart w:id="6249" w:name="_Toc36188222"/>
      <w:bookmarkStart w:id="6250" w:name="_Toc45184136"/>
      <w:bookmarkStart w:id="6251" w:name="_Toc47342978"/>
      <w:bookmarkStart w:id="6252" w:name="_Toc51769680"/>
      <w:bookmarkStart w:id="6253" w:name="_Toc201157867"/>
      <w:bookmarkEnd w:id="6246"/>
      <w:r w:rsidRPr="00873B6C">
        <w:t>8.2.2</w:t>
      </w:r>
      <w:r w:rsidRPr="00873B6C">
        <w:rPr>
          <w:lang w:eastAsia="zh-CN"/>
        </w:rPr>
        <w:t>.</w:t>
      </w:r>
      <w:r w:rsidRPr="00873B6C">
        <w:t>1</w:t>
      </w:r>
      <w:r w:rsidRPr="00873B6C">
        <w:tab/>
        <w:t>General</w:t>
      </w:r>
      <w:bookmarkEnd w:id="6247"/>
      <w:bookmarkEnd w:id="6248"/>
      <w:bookmarkEnd w:id="6249"/>
      <w:bookmarkEnd w:id="6250"/>
      <w:bookmarkEnd w:id="6251"/>
      <w:bookmarkEnd w:id="6252"/>
      <w:bookmarkEnd w:id="6253"/>
    </w:p>
    <w:p w14:paraId="26DAA4FD" w14:textId="77777777" w:rsidR="00D40151" w:rsidRPr="00873B6C" w:rsidRDefault="00D40151" w:rsidP="00D40151">
      <w:pPr>
        <w:rPr>
          <w:rFonts w:eastAsia="SimSun"/>
          <w:lang w:eastAsia="zh-CN"/>
        </w:rPr>
      </w:pPr>
      <w:r w:rsidRPr="00873B6C">
        <w:t>A single N1 NAS signalling connection is used for each access to which the UE is connected. The single N1 termination point is located in AMF</w:t>
      </w:r>
      <w:r w:rsidRPr="00873B6C">
        <w:rPr>
          <w:rFonts w:eastAsia="SimSun"/>
          <w:lang w:eastAsia="zh-CN"/>
        </w:rPr>
        <w:t>. The</w:t>
      </w:r>
      <w:r w:rsidRPr="00873B6C">
        <w:t xml:space="preserve"> single N1 NAS signalling connection is used for both Registration Management and Connection Management (RM/CM) and for SM-related messages and procedures for a UE</w:t>
      </w:r>
      <w:r w:rsidRPr="00873B6C">
        <w:rPr>
          <w:rFonts w:eastAsia="SimSun"/>
          <w:lang w:eastAsia="zh-CN"/>
        </w:rPr>
        <w:t>.</w:t>
      </w:r>
    </w:p>
    <w:p w14:paraId="2CF83283" w14:textId="77777777" w:rsidR="00D40151" w:rsidRPr="00873B6C" w:rsidRDefault="00D40151" w:rsidP="00D40151">
      <w:r w:rsidRPr="00873B6C">
        <w:t>The NAS protocol on N1 comprises a NAS-MM and a NAS-SM components.</w:t>
      </w:r>
    </w:p>
    <w:p w14:paraId="48B692B2" w14:textId="77777777" w:rsidR="00D40151" w:rsidRPr="00873B6C" w:rsidRDefault="00D40151" w:rsidP="00D40151">
      <w:r w:rsidRPr="00873B6C">
        <w:t>There are multiple cases of protocols between the UE and a core network function (excluding the AMF) that need to be transported over N1 via NAS-MM protocol. Such cases include:</w:t>
      </w:r>
    </w:p>
    <w:p w14:paraId="1F269EF7" w14:textId="77777777" w:rsidR="00D40151" w:rsidRPr="00873B6C" w:rsidRDefault="00D40151" w:rsidP="00D40151">
      <w:pPr>
        <w:pStyle w:val="B1"/>
        <w:rPr>
          <w:lang w:eastAsia="zh-CN"/>
        </w:rPr>
      </w:pPr>
      <w:r w:rsidRPr="00873B6C">
        <w:rPr>
          <w:lang w:eastAsia="zh-CN"/>
        </w:rPr>
        <w:t>-</w:t>
      </w:r>
      <w:r w:rsidRPr="00873B6C">
        <w:rPr>
          <w:lang w:eastAsia="zh-CN"/>
        </w:rPr>
        <w:tab/>
        <w:t>Session Management Signalling.</w:t>
      </w:r>
    </w:p>
    <w:p w14:paraId="27AD3D94" w14:textId="77777777" w:rsidR="00D40151" w:rsidRPr="00873B6C" w:rsidRDefault="00D40151" w:rsidP="00D40151">
      <w:pPr>
        <w:pStyle w:val="B1"/>
        <w:rPr>
          <w:lang w:eastAsia="zh-CN"/>
        </w:rPr>
      </w:pPr>
      <w:r w:rsidRPr="00873B6C">
        <w:rPr>
          <w:lang w:eastAsia="zh-CN"/>
        </w:rPr>
        <w:t>-</w:t>
      </w:r>
      <w:r w:rsidRPr="00873B6C">
        <w:rPr>
          <w:lang w:eastAsia="zh-CN"/>
        </w:rPr>
        <w:tab/>
        <w:t>SMS.</w:t>
      </w:r>
    </w:p>
    <w:p w14:paraId="3C20140F" w14:textId="77777777" w:rsidR="00D40151" w:rsidRPr="00873B6C" w:rsidRDefault="00D40151" w:rsidP="00D40151">
      <w:pPr>
        <w:pStyle w:val="B1"/>
        <w:rPr>
          <w:lang w:eastAsia="zh-CN"/>
        </w:rPr>
      </w:pPr>
      <w:r w:rsidRPr="00873B6C">
        <w:rPr>
          <w:lang w:eastAsia="zh-CN"/>
        </w:rPr>
        <w:t>-</w:t>
      </w:r>
      <w:r w:rsidRPr="00873B6C">
        <w:rPr>
          <w:lang w:eastAsia="zh-CN"/>
        </w:rPr>
        <w:tab/>
        <w:t>UE Policy.</w:t>
      </w:r>
    </w:p>
    <w:p w14:paraId="35AE4D41" w14:textId="77777777" w:rsidR="00D40151" w:rsidRPr="00873B6C" w:rsidRDefault="00D40151" w:rsidP="00D40151">
      <w:pPr>
        <w:pStyle w:val="B1"/>
        <w:rPr>
          <w:lang w:eastAsia="zh-CN"/>
        </w:rPr>
      </w:pPr>
      <w:r w:rsidRPr="00873B6C">
        <w:rPr>
          <w:lang w:eastAsia="zh-CN"/>
        </w:rPr>
        <w:t>-</w:t>
      </w:r>
      <w:r w:rsidRPr="00873B6C">
        <w:rPr>
          <w:lang w:eastAsia="zh-CN"/>
        </w:rPr>
        <w:tab/>
        <w:t>LCS.</w:t>
      </w:r>
    </w:p>
    <w:p w14:paraId="7AD68D3A" w14:textId="77777777" w:rsidR="00D40151" w:rsidRPr="00873B6C" w:rsidRDefault="00D40151" w:rsidP="00D40151">
      <w:r w:rsidRPr="00873B6C">
        <w:t>RM/CM NAS messages in NAS-MM and other types of NAS messages (e.g. SM), as well as the corresponding procedures, are decoupled.</w:t>
      </w:r>
    </w:p>
    <w:p w14:paraId="13F4E960" w14:textId="77777777" w:rsidR="00D40151" w:rsidRPr="00873B6C" w:rsidRDefault="00D40151" w:rsidP="00D40151">
      <w:r w:rsidRPr="00873B6C">
        <w:t>The NAS-MM supports generic capabilities:</w:t>
      </w:r>
    </w:p>
    <w:p w14:paraId="35A9D2BB" w14:textId="77777777" w:rsidR="00D40151" w:rsidRPr="00873B6C" w:rsidRDefault="00D40151" w:rsidP="00D40151">
      <w:pPr>
        <w:pStyle w:val="B1"/>
      </w:pPr>
      <w:r w:rsidRPr="00873B6C">
        <w:t>-</w:t>
      </w:r>
      <w:r w:rsidRPr="00873B6C">
        <w:tab/>
        <w:t>NAS procedures that terminate at the AMF. This includes:</w:t>
      </w:r>
    </w:p>
    <w:p w14:paraId="4F061504" w14:textId="77777777" w:rsidR="00D40151" w:rsidRPr="00873B6C" w:rsidRDefault="00D40151" w:rsidP="00D40151">
      <w:pPr>
        <w:pStyle w:val="B2"/>
      </w:pPr>
      <w:r w:rsidRPr="00873B6C">
        <w:t>-</w:t>
      </w:r>
      <w:r w:rsidRPr="00873B6C">
        <w:tab/>
        <w:t>Handles Registration Management and Connection Management state machines and procedures with the UE, including NAS transport; the AMF supports following capabilities:</w:t>
      </w:r>
    </w:p>
    <w:p w14:paraId="3761266D" w14:textId="66B1B215" w:rsidR="00D40151" w:rsidRPr="00873B6C" w:rsidRDefault="00D40151" w:rsidP="00D40151">
      <w:pPr>
        <w:pStyle w:val="B3"/>
      </w:pPr>
      <w:r w:rsidRPr="00873B6C">
        <w:t>-</w:t>
      </w:r>
      <w:r w:rsidRPr="00873B6C">
        <w:tab/>
        <w:t xml:space="preserve">Decide whether to accept the RM/CM part of N1 signalling during the </w:t>
      </w:r>
      <w:r w:rsidRPr="00873B6C">
        <w:rPr>
          <w:lang w:eastAsia="zh-CN"/>
        </w:rPr>
        <w:t>RM/CM</w:t>
      </w:r>
      <w:r w:rsidRPr="00873B6C">
        <w:t xml:space="preserve"> procedures without considering possibly combined other non NAS-MM messages (e.g</w:t>
      </w:r>
      <w:r w:rsidR="000E35F2" w:rsidRPr="00873B6C">
        <w:t>.</w:t>
      </w:r>
      <w:r w:rsidRPr="00873B6C">
        <w:t xml:space="preserve"> SM) in the same NAS signalling contents;</w:t>
      </w:r>
    </w:p>
    <w:p w14:paraId="250BF39F" w14:textId="73FE60FD" w:rsidR="00D40151" w:rsidRPr="00873B6C" w:rsidRDefault="00D40151" w:rsidP="00D40151">
      <w:pPr>
        <w:pStyle w:val="B3"/>
      </w:pPr>
      <w:r w:rsidRPr="00873B6C">
        <w:t>-</w:t>
      </w:r>
      <w:r w:rsidRPr="00873B6C">
        <w:tab/>
      </w:r>
      <w:r w:rsidRPr="00873B6C">
        <w:rPr>
          <w:lang w:eastAsia="zh-CN"/>
        </w:rPr>
        <w:t>Know if one NAS message should be routed to another NF (e.g</w:t>
      </w:r>
      <w:r w:rsidR="000E35F2" w:rsidRPr="00873B6C">
        <w:rPr>
          <w:lang w:eastAsia="zh-CN"/>
        </w:rPr>
        <w:t>.</w:t>
      </w:r>
      <w:r w:rsidRPr="00873B6C">
        <w:rPr>
          <w:lang w:eastAsia="zh-CN"/>
        </w:rPr>
        <w:t xml:space="preserve"> SMF), or locally processed with the NAS routing capabilities inside </w:t>
      </w:r>
      <w:r w:rsidRPr="00873B6C">
        <w:t xml:space="preserve">during the </w:t>
      </w:r>
      <w:r w:rsidRPr="00873B6C">
        <w:rPr>
          <w:lang w:eastAsia="zh-CN"/>
        </w:rPr>
        <w:t>RM/CM</w:t>
      </w:r>
      <w:r w:rsidRPr="00873B6C">
        <w:t xml:space="preserve"> procedures</w:t>
      </w:r>
      <w:r w:rsidRPr="00873B6C">
        <w:rPr>
          <w:lang w:eastAsia="zh-CN"/>
        </w:rPr>
        <w:t>;</w:t>
      </w:r>
    </w:p>
    <w:p w14:paraId="568DF44D" w14:textId="77777777" w:rsidR="00D40151" w:rsidRPr="00873B6C" w:rsidRDefault="00D40151" w:rsidP="00D40151">
      <w:pPr>
        <w:pStyle w:val="B2"/>
        <w:rPr>
          <w:rFonts w:eastAsia="MS Mincho"/>
        </w:rPr>
      </w:pPr>
      <w:r w:rsidRPr="00873B6C">
        <w:lastRenderedPageBreak/>
        <w:t>-</w:t>
      </w:r>
      <w:r w:rsidRPr="00873B6C">
        <w:tab/>
      </w:r>
      <w:r w:rsidRPr="00873B6C">
        <w:rPr>
          <w:lang w:eastAsia="zh-CN"/>
        </w:rPr>
        <w:t xml:space="preserve">Provide a </w:t>
      </w:r>
      <w:r w:rsidRPr="00873B6C">
        <w:t xml:space="preserve">secure </w:t>
      </w:r>
      <w:r w:rsidRPr="00873B6C">
        <w:rPr>
          <w:lang w:eastAsia="zh-CN"/>
        </w:rPr>
        <w:t>NAS signalling connection (integrity protection, ciphering) between the UE and the AMF, including for the transport of payload;</w:t>
      </w:r>
    </w:p>
    <w:p w14:paraId="1EE20A23" w14:textId="77777777" w:rsidR="00D40151" w:rsidRPr="00873B6C" w:rsidRDefault="00D40151" w:rsidP="00D40151">
      <w:pPr>
        <w:pStyle w:val="B2"/>
        <w:rPr>
          <w:rFonts w:eastAsia="MS Mincho"/>
        </w:rPr>
      </w:pPr>
      <w:r w:rsidRPr="00873B6C">
        <w:t>-</w:t>
      </w:r>
      <w:r w:rsidRPr="00873B6C">
        <w:tab/>
      </w:r>
      <w:r w:rsidRPr="00873B6C">
        <w:rPr>
          <w:lang w:eastAsia="zh-CN"/>
        </w:rPr>
        <w:t>Provide access control if it applies;</w:t>
      </w:r>
    </w:p>
    <w:p w14:paraId="60ABA439" w14:textId="0B3EA85A" w:rsidR="00D40151" w:rsidRPr="00873B6C" w:rsidRDefault="00D40151" w:rsidP="00D40151">
      <w:pPr>
        <w:pStyle w:val="B1"/>
        <w:rPr>
          <w:lang w:eastAsia="zh-CN"/>
        </w:rPr>
      </w:pPr>
      <w:r w:rsidRPr="00873B6C">
        <w:t>-</w:t>
      </w:r>
      <w:r w:rsidRPr="00873B6C">
        <w:tab/>
        <w:t>It is possible to transmit the other type of NAS message (e.g</w:t>
      </w:r>
      <w:r w:rsidR="000E35F2" w:rsidRPr="00873B6C">
        <w:t>.</w:t>
      </w:r>
      <w:r w:rsidRPr="00873B6C">
        <w:t xml:space="preserve"> NAS SM) together with an RM/CM NAS message by supporting NAS transport of different types of payload or messages that do not terminate at the AMF, </w:t>
      </w:r>
      <w:r w:rsidRPr="00873B6C">
        <w:rPr>
          <w:lang w:eastAsia="zh-CN"/>
        </w:rPr>
        <w:t>i.e. NAS-</w:t>
      </w:r>
      <w:r w:rsidRPr="00873B6C">
        <w:t>SM, SMS, UE Policy and LCS between the UE and the AMF. This includes</w:t>
      </w:r>
      <w:r w:rsidRPr="00873B6C">
        <w:rPr>
          <w:lang w:eastAsia="zh-CN"/>
        </w:rPr>
        <w:t>:</w:t>
      </w:r>
    </w:p>
    <w:p w14:paraId="33C811CC" w14:textId="77777777" w:rsidR="00D40151" w:rsidRPr="00873B6C" w:rsidRDefault="00D40151" w:rsidP="00D40151">
      <w:pPr>
        <w:pStyle w:val="B2"/>
      </w:pPr>
      <w:r w:rsidRPr="00873B6C">
        <w:t>-</w:t>
      </w:r>
      <w:r w:rsidRPr="00873B6C">
        <w:tab/>
        <w:t>Information about the Payload type;</w:t>
      </w:r>
    </w:p>
    <w:p w14:paraId="1D5F98F3" w14:textId="77777777" w:rsidR="00D40151" w:rsidRPr="00873B6C" w:rsidRDefault="00D40151" w:rsidP="00D40151">
      <w:pPr>
        <w:pStyle w:val="B2"/>
      </w:pPr>
      <w:r w:rsidRPr="00873B6C">
        <w:t>-</w:t>
      </w:r>
      <w:r w:rsidRPr="00873B6C">
        <w:tab/>
        <w:t>Additional Information for forwarding purposes</w:t>
      </w:r>
    </w:p>
    <w:p w14:paraId="777B73F2" w14:textId="77777777" w:rsidR="00D40151" w:rsidRPr="00873B6C" w:rsidRDefault="00D40151" w:rsidP="00D40151">
      <w:pPr>
        <w:pStyle w:val="B2"/>
      </w:pPr>
      <w:r w:rsidRPr="00873B6C">
        <w:t>-</w:t>
      </w:r>
      <w:r w:rsidRPr="00873B6C">
        <w:tab/>
        <w:t>The Payload (e.g. the SM message in the case of SM signalling);</w:t>
      </w:r>
    </w:p>
    <w:p w14:paraId="561C0AAA" w14:textId="77777777" w:rsidR="00D40151" w:rsidRPr="00873B6C" w:rsidRDefault="00D40151" w:rsidP="00D40151">
      <w:pPr>
        <w:pStyle w:val="B1"/>
        <w:rPr>
          <w:lang w:eastAsia="zh-CN"/>
        </w:rPr>
      </w:pPr>
      <w:r w:rsidRPr="00873B6C">
        <w:t>-</w:t>
      </w:r>
      <w:r w:rsidRPr="00873B6C">
        <w:tab/>
        <w:t>There is a Single NAS protocol that applies on both 3GPP and non-3GPP access</w:t>
      </w:r>
      <w:r w:rsidRPr="00873B6C">
        <w:rPr>
          <w:lang w:eastAsia="zh-CN"/>
        </w:rPr>
        <w:t>. When an UE is served by a single AMF while the UE is connected over multiple (3GPP/Non 3GPP) accesses, there is a N1 NAS signalling connection per access.</w:t>
      </w:r>
    </w:p>
    <w:p w14:paraId="0CD2106D" w14:textId="77777777" w:rsidR="00D40151" w:rsidRPr="00873B6C" w:rsidRDefault="00D40151" w:rsidP="00D40151">
      <w:r w:rsidRPr="00873B6C">
        <w:t>Security of the NAS messages is provided based on the security context established between the UE and the AMF.</w:t>
      </w:r>
    </w:p>
    <w:p w14:paraId="71CCD1F4" w14:textId="77777777" w:rsidR="00D40151" w:rsidRPr="00873B6C" w:rsidRDefault="00D40151" w:rsidP="00D40151">
      <w:pPr>
        <w:rPr>
          <w:lang w:eastAsia="zh-CN"/>
        </w:rPr>
      </w:pPr>
      <w:r w:rsidRPr="00873B6C">
        <w:t>Figure 8.2.2.1-1 depicts NAS transport of SM signalling, SMS, UE Policy and LCS.</w:t>
      </w:r>
    </w:p>
    <w:p w14:paraId="599F6BDC" w14:textId="77777777" w:rsidR="00D40151" w:rsidRPr="00873B6C" w:rsidRDefault="00D40151" w:rsidP="00D40151">
      <w:pPr>
        <w:pStyle w:val="TH"/>
      </w:pPr>
      <w:r w:rsidRPr="00873B6C">
        <w:object w:dxaOrig="9630" w:dyaOrig="5000" w14:anchorId="517B9708">
          <v:shape id="_x0000_i1134" type="#_x0000_t75" style="width:482.7pt;height:244.8pt" o:ole="">
            <v:imagedata r:id="rId227" o:title=""/>
          </v:shape>
          <o:OLEObject Type="Embed" ProgID="Word.Picture.8" ShapeID="_x0000_i1134" DrawAspect="Content" ObjectID="_1811772468" r:id="rId228"/>
        </w:object>
      </w:r>
    </w:p>
    <w:p w14:paraId="53F9B841" w14:textId="77777777" w:rsidR="00D40151" w:rsidRPr="00873B6C" w:rsidRDefault="00D40151" w:rsidP="00D40151">
      <w:pPr>
        <w:pStyle w:val="TF"/>
        <w:rPr>
          <w:noProof/>
          <w:lang w:eastAsia="zh-CN"/>
        </w:rPr>
      </w:pPr>
      <w:bookmarkStart w:id="6254" w:name="_CRFigure8_2_2_11NAStransportforSMSMSUE"/>
      <w:r w:rsidRPr="00873B6C">
        <w:t xml:space="preserve">Figure </w:t>
      </w:r>
      <w:bookmarkEnd w:id="6254"/>
      <w:r w:rsidRPr="00873B6C">
        <w:t>8.2.2.1-1 NAS transport for SM, SMS, UE Policy and LCS</w:t>
      </w:r>
    </w:p>
    <w:p w14:paraId="2E1E6D95" w14:textId="77777777" w:rsidR="00D40151" w:rsidRPr="00873B6C" w:rsidRDefault="00D40151" w:rsidP="00D40151">
      <w:pPr>
        <w:pStyle w:val="Heading4"/>
        <w:rPr>
          <w:lang w:eastAsia="zh-CN"/>
        </w:rPr>
      </w:pPr>
      <w:bookmarkStart w:id="6255" w:name="_CR8_2_2_2"/>
      <w:bookmarkStart w:id="6256" w:name="_Toc20150282"/>
      <w:bookmarkStart w:id="6257" w:name="_Toc27847090"/>
      <w:bookmarkStart w:id="6258" w:name="_Toc36188223"/>
      <w:bookmarkStart w:id="6259" w:name="_Toc45184137"/>
      <w:bookmarkStart w:id="6260" w:name="_Toc47342979"/>
      <w:bookmarkStart w:id="6261" w:name="_Toc51769681"/>
      <w:bookmarkStart w:id="6262" w:name="_Toc201157868"/>
      <w:bookmarkEnd w:id="6255"/>
      <w:r w:rsidRPr="00873B6C">
        <w:rPr>
          <w:lang w:eastAsia="zh-CN"/>
        </w:rPr>
        <w:lastRenderedPageBreak/>
        <w:t>8</w:t>
      </w:r>
      <w:r w:rsidRPr="00873B6C">
        <w:t>.</w:t>
      </w:r>
      <w:r w:rsidRPr="00873B6C">
        <w:rPr>
          <w:lang w:eastAsia="zh-CN"/>
        </w:rPr>
        <w:t>2</w:t>
      </w:r>
      <w:r w:rsidRPr="00873B6C">
        <w:t>.</w:t>
      </w:r>
      <w:r w:rsidRPr="00873B6C">
        <w:rPr>
          <w:lang w:eastAsia="zh-CN"/>
        </w:rPr>
        <w:t>2.2</w:t>
      </w:r>
      <w:r w:rsidRPr="00873B6C">
        <w:tab/>
        <w:t>UE - AMF</w:t>
      </w:r>
      <w:bookmarkEnd w:id="6256"/>
      <w:bookmarkEnd w:id="6257"/>
      <w:bookmarkEnd w:id="6258"/>
      <w:bookmarkEnd w:id="6259"/>
      <w:bookmarkEnd w:id="6260"/>
      <w:bookmarkEnd w:id="6261"/>
      <w:bookmarkEnd w:id="6262"/>
    </w:p>
    <w:p w14:paraId="605EAA0B" w14:textId="77777777" w:rsidR="00D40151" w:rsidRPr="00873B6C" w:rsidRDefault="00D40151" w:rsidP="00D40151">
      <w:pPr>
        <w:pStyle w:val="TH"/>
        <w:rPr>
          <w:lang w:eastAsia="zh-CN"/>
        </w:rPr>
      </w:pPr>
      <w:r w:rsidRPr="00873B6C">
        <w:rPr>
          <w:b w:val="0"/>
        </w:rPr>
        <w:object w:dxaOrig="7444" w:dyaOrig="3192" w14:anchorId="0D5DE6D9">
          <v:shape id="_x0000_i1135" type="#_x0000_t75" style="width:367.5pt;height:158.4pt" o:ole="">
            <v:imagedata r:id="rId229" o:title=""/>
          </v:shape>
          <o:OLEObject Type="Embed" ProgID="Visio.Drawing.11" ShapeID="_x0000_i1135" DrawAspect="Content" ObjectID="_1811772469" r:id="rId230"/>
        </w:object>
      </w:r>
    </w:p>
    <w:p w14:paraId="2AAE5BB0" w14:textId="77777777" w:rsidR="00D40151" w:rsidRPr="00873B6C" w:rsidRDefault="00D40151" w:rsidP="00D40151">
      <w:pPr>
        <w:pStyle w:val="NF"/>
        <w:rPr>
          <w:b/>
        </w:rPr>
      </w:pPr>
      <w:r w:rsidRPr="00873B6C">
        <w:rPr>
          <w:b/>
        </w:rPr>
        <w:t>Legend:</w:t>
      </w:r>
    </w:p>
    <w:p w14:paraId="7E0033CB" w14:textId="77777777" w:rsidR="00D40151" w:rsidRPr="00873B6C" w:rsidRDefault="00D40151" w:rsidP="00D40151">
      <w:pPr>
        <w:pStyle w:val="NF"/>
      </w:pPr>
      <w:r w:rsidRPr="00873B6C">
        <w:t>-</w:t>
      </w:r>
      <w:r w:rsidRPr="00873B6C">
        <w:tab/>
      </w:r>
      <w:r w:rsidRPr="00873B6C">
        <w:rPr>
          <w:b/>
        </w:rPr>
        <w:t>NAS-MM:</w:t>
      </w:r>
      <w:r w:rsidRPr="00873B6C">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873B6C" w:rsidRDefault="00D40151" w:rsidP="00D40151">
      <w:pPr>
        <w:pStyle w:val="NF"/>
        <w:rPr>
          <w:rFonts w:eastAsia="SimSun"/>
          <w:lang w:eastAsia="zh-CN"/>
        </w:rPr>
      </w:pPr>
      <w:r w:rsidRPr="00873B6C">
        <w:t>-</w:t>
      </w:r>
      <w:r w:rsidRPr="00873B6C">
        <w:tab/>
      </w:r>
      <w:r w:rsidRPr="00873B6C">
        <w:rPr>
          <w:b/>
        </w:rPr>
        <w:t>5G-AN Protocol layer:</w:t>
      </w:r>
      <w:r w:rsidRPr="00873B6C">
        <w:t xml:space="preserve"> This set of protocols/layers depends on the 5G-AN. In the case of NG-RAN</w:t>
      </w:r>
      <w:r w:rsidRPr="00873B6C">
        <w:rPr>
          <w:lang w:eastAsia="zh-CN"/>
        </w:rPr>
        <w:t>, t</w:t>
      </w:r>
      <w:r w:rsidRPr="00873B6C">
        <w:t>he radio protocol between the UE and the NG-RAN node (eNodeB or gNodeB) is specified in TS 36.300 [30] and TS 38.300 [27]. In the case of non-3GPP access, see clause 8.2.4.</w:t>
      </w:r>
    </w:p>
    <w:p w14:paraId="0C3DCAE3" w14:textId="77777777" w:rsidR="00D40151" w:rsidRPr="00873B6C" w:rsidRDefault="00D40151" w:rsidP="00D40151">
      <w:pPr>
        <w:pStyle w:val="NF"/>
        <w:rPr>
          <w:rFonts w:eastAsia="SimSun"/>
          <w:lang w:eastAsia="zh-CN"/>
        </w:rPr>
      </w:pPr>
    </w:p>
    <w:p w14:paraId="399D2674" w14:textId="77777777" w:rsidR="00D40151" w:rsidRPr="00873B6C" w:rsidRDefault="00D40151" w:rsidP="00D40151">
      <w:pPr>
        <w:pStyle w:val="TF"/>
        <w:rPr>
          <w:noProof/>
          <w:lang w:eastAsia="zh-CN"/>
        </w:rPr>
      </w:pPr>
      <w:bookmarkStart w:id="6263" w:name="_CRFigure8_2_2_21"/>
      <w:r w:rsidRPr="00873B6C">
        <w:t xml:space="preserve">Figure </w:t>
      </w:r>
      <w:bookmarkEnd w:id="6263"/>
      <w:r w:rsidRPr="00873B6C">
        <w:rPr>
          <w:lang w:eastAsia="zh-CN"/>
        </w:rPr>
        <w:t>8.2.2.2</w:t>
      </w:r>
      <w:r w:rsidRPr="00873B6C">
        <w:t>-</w:t>
      </w:r>
      <w:r w:rsidRPr="00873B6C">
        <w:rPr>
          <w:lang w:eastAsia="zh-CN"/>
        </w:rPr>
        <w:t>1</w:t>
      </w:r>
      <w:r w:rsidRPr="00873B6C">
        <w:t>:</w:t>
      </w:r>
      <w:r w:rsidRPr="00873B6C">
        <w:rPr>
          <w:noProof/>
          <w:lang w:eastAsia="zh-CN"/>
        </w:rPr>
        <w:t xml:space="preserve"> Control Plane between the UE and the AMF</w:t>
      </w:r>
    </w:p>
    <w:p w14:paraId="5CD90EA0" w14:textId="77777777" w:rsidR="00D40151" w:rsidRPr="00873B6C" w:rsidRDefault="00D40151" w:rsidP="00D40151">
      <w:pPr>
        <w:pStyle w:val="Heading4"/>
      </w:pPr>
      <w:bookmarkStart w:id="6264" w:name="_CR8_2_2_3"/>
      <w:bookmarkStart w:id="6265" w:name="_Toc20150283"/>
      <w:bookmarkStart w:id="6266" w:name="_Toc27847091"/>
      <w:bookmarkStart w:id="6267" w:name="_Toc36188224"/>
      <w:bookmarkStart w:id="6268" w:name="_Toc45184138"/>
      <w:bookmarkStart w:id="6269" w:name="_Toc47342980"/>
      <w:bookmarkStart w:id="6270" w:name="_Toc51769682"/>
      <w:bookmarkStart w:id="6271" w:name="_Toc201157869"/>
      <w:bookmarkEnd w:id="6264"/>
      <w:r w:rsidRPr="00873B6C">
        <w:rPr>
          <w:lang w:eastAsia="zh-CN"/>
        </w:rPr>
        <w:t>8</w:t>
      </w:r>
      <w:r w:rsidRPr="00873B6C">
        <w:t>.</w:t>
      </w:r>
      <w:r w:rsidRPr="00873B6C">
        <w:rPr>
          <w:lang w:eastAsia="zh-CN"/>
        </w:rPr>
        <w:t>2</w:t>
      </w:r>
      <w:r w:rsidRPr="00873B6C">
        <w:t>.</w:t>
      </w:r>
      <w:r w:rsidRPr="00873B6C">
        <w:rPr>
          <w:lang w:eastAsia="zh-CN"/>
        </w:rPr>
        <w:t>2.3</w:t>
      </w:r>
      <w:r w:rsidRPr="00873B6C">
        <w:tab/>
        <w:t>UE – SMF</w:t>
      </w:r>
      <w:bookmarkEnd w:id="6265"/>
      <w:bookmarkEnd w:id="6266"/>
      <w:bookmarkEnd w:id="6267"/>
      <w:bookmarkEnd w:id="6268"/>
      <w:bookmarkEnd w:id="6269"/>
      <w:bookmarkEnd w:id="6270"/>
      <w:bookmarkEnd w:id="6271"/>
    </w:p>
    <w:p w14:paraId="0E12EBD7" w14:textId="77777777" w:rsidR="00D40151" w:rsidRPr="00873B6C" w:rsidRDefault="00D40151" w:rsidP="00D40151">
      <w:r w:rsidRPr="00873B6C">
        <w:t>The NAS-SM supports the handling of Session Management between the UE and the SMF.</w:t>
      </w:r>
    </w:p>
    <w:p w14:paraId="06EE572C" w14:textId="77777777" w:rsidR="00D40151" w:rsidRPr="00873B6C" w:rsidRDefault="00D40151" w:rsidP="00D40151">
      <w:r w:rsidRPr="00873B6C">
        <w:t>The SM signalling message is handled, i.e. created and processed, in the NAS-SM layer of UE and the SMF. The content of the SM signalling message is not interpreted by the AMF.</w:t>
      </w:r>
    </w:p>
    <w:p w14:paraId="0092F214" w14:textId="77777777" w:rsidR="00D40151" w:rsidRPr="00873B6C" w:rsidRDefault="00D40151" w:rsidP="00D40151">
      <w:r w:rsidRPr="00873B6C">
        <w:t>The NAS-MM layer handles the SM signalling is as follows:</w:t>
      </w:r>
    </w:p>
    <w:p w14:paraId="205D9A7F" w14:textId="77777777" w:rsidR="00D40151" w:rsidRPr="00873B6C" w:rsidRDefault="00D40151" w:rsidP="00D40151">
      <w:pPr>
        <w:pStyle w:val="B1"/>
      </w:pPr>
      <w:r w:rsidRPr="00873B6C">
        <w:t>-</w:t>
      </w:r>
      <w:r w:rsidRPr="00873B6C">
        <w:tab/>
        <w:t>For transmission of SM signalling:</w:t>
      </w:r>
    </w:p>
    <w:p w14:paraId="41FCBA94" w14:textId="77777777" w:rsidR="00D40151" w:rsidRPr="00873B6C" w:rsidRDefault="00D40151" w:rsidP="00D40151">
      <w:pPr>
        <w:pStyle w:val="B2"/>
      </w:pPr>
      <w:r w:rsidRPr="00873B6C">
        <w:t>-</w:t>
      </w:r>
      <w:r w:rsidRPr="00873B6C">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873B6C" w:rsidRDefault="00D40151" w:rsidP="00D40151">
      <w:pPr>
        <w:pStyle w:val="B1"/>
      </w:pPr>
      <w:r w:rsidRPr="00873B6C">
        <w:t>-</w:t>
      </w:r>
      <w:r w:rsidRPr="00873B6C">
        <w:tab/>
        <w:t>For reception of SM signalling:</w:t>
      </w:r>
    </w:p>
    <w:p w14:paraId="51D7916A" w14:textId="453297EE" w:rsidR="00D40151" w:rsidRPr="00873B6C" w:rsidRDefault="00D40151" w:rsidP="00D40151">
      <w:pPr>
        <w:pStyle w:val="B2"/>
      </w:pPr>
      <w:r w:rsidRPr="00873B6C">
        <w:t>-</w:t>
      </w:r>
      <w:r w:rsidRPr="00873B6C">
        <w:tab/>
        <w:t>The receiving NAS-MM processes the NAS-MM part of the message, i.e. performs integrity check</w:t>
      </w:r>
      <w:r w:rsidR="00472CD7" w:rsidRPr="00873B6C">
        <w:t xml:space="preserve"> and</w:t>
      </w:r>
      <w:r w:rsidRPr="00873B6C">
        <w:t xml:space="preserve"> interprets the additional information to derive how and where to derive the SM signalling message.</w:t>
      </w:r>
    </w:p>
    <w:p w14:paraId="55F268E5" w14:textId="77777777" w:rsidR="00D40151" w:rsidRPr="00873B6C" w:rsidRDefault="00D40151" w:rsidP="00D40151">
      <w:r w:rsidRPr="00873B6C">
        <w:t>The SM message part shall include the PDU Session ID.</w:t>
      </w:r>
    </w:p>
    <w:p w14:paraId="4FAF0DC7" w14:textId="77777777" w:rsidR="00D40151" w:rsidRPr="00873B6C" w:rsidRDefault="00D40151" w:rsidP="00D40151">
      <w:pPr>
        <w:pStyle w:val="TH"/>
        <w:rPr>
          <w:lang w:eastAsia="zh-CN"/>
        </w:rPr>
      </w:pPr>
      <w:r w:rsidRPr="00873B6C">
        <w:rPr>
          <w:b w:val="0"/>
        </w:rPr>
        <w:object w:dxaOrig="9287" w:dyaOrig="3759" w14:anchorId="666DDD9C">
          <v:shape id="_x0000_i1136" type="#_x0000_t75" style="width:460.8pt;height:187.85pt" o:ole="">
            <v:imagedata r:id="rId231" o:title=""/>
          </v:shape>
          <o:OLEObject Type="Embed" ProgID="Visio.Drawing.11" ShapeID="_x0000_i1136" DrawAspect="Content" ObjectID="_1811772470" r:id="rId232"/>
        </w:object>
      </w:r>
    </w:p>
    <w:p w14:paraId="09B07D6A" w14:textId="77777777" w:rsidR="00D40151" w:rsidRPr="00873B6C" w:rsidRDefault="00D40151" w:rsidP="00D40151">
      <w:pPr>
        <w:pStyle w:val="NF"/>
        <w:rPr>
          <w:b/>
        </w:rPr>
      </w:pPr>
      <w:r w:rsidRPr="00873B6C">
        <w:rPr>
          <w:b/>
        </w:rPr>
        <w:t>Legend:</w:t>
      </w:r>
    </w:p>
    <w:p w14:paraId="52C7F11F" w14:textId="061C634E" w:rsidR="00D40151" w:rsidRPr="00873B6C" w:rsidRDefault="00D40151" w:rsidP="00D40151">
      <w:pPr>
        <w:pStyle w:val="NF"/>
        <w:rPr>
          <w:rFonts w:eastAsia="SimSun"/>
          <w:lang w:eastAsia="zh-CN"/>
        </w:rPr>
      </w:pPr>
      <w:r w:rsidRPr="00873B6C">
        <w:t>-</w:t>
      </w:r>
      <w:r w:rsidRPr="00873B6C">
        <w:tab/>
      </w:r>
      <w:r w:rsidRPr="00873B6C">
        <w:rPr>
          <w:b/>
        </w:rPr>
        <w:t>NAS-SM:</w:t>
      </w:r>
      <w:r w:rsidRPr="00873B6C">
        <w:t xml:space="preserve"> The NAS protocol for SM functionality supports user plane PDU Session Establishment, modification and release. It is transferred via the AMF</w:t>
      </w:r>
      <w:r w:rsidR="00472CD7" w:rsidRPr="00873B6C">
        <w:t xml:space="preserve"> and</w:t>
      </w:r>
      <w:r w:rsidRPr="00873B6C">
        <w:t xml:space="preserve"> transparent to the AMF. 5G NAS protocol is defined in TS 24.501 [47]</w:t>
      </w:r>
    </w:p>
    <w:p w14:paraId="5B7A1325" w14:textId="77777777" w:rsidR="00D40151" w:rsidRPr="00873B6C" w:rsidRDefault="00D40151" w:rsidP="00D40151">
      <w:pPr>
        <w:pStyle w:val="NF"/>
        <w:rPr>
          <w:rFonts w:eastAsia="SimSun"/>
          <w:lang w:eastAsia="zh-CN"/>
        </w:rPr>
      </w:pPr>
    </w:p>
    <w:p w14:paraId="753D46F5" w14:textId="77777777" w:rsidR="00D40151" w:rsidRPr="00873B6C" w:rsidRDefault="00D40151" w:rsidP="00D40151">
      <w:pPr>
        <w:pStyle w:val="TF"/>
        <w:rPr>
          <w:noProof/>
          <w:lang w:eastAsia="zh-CN"/>
        </w:rPr>
      </w:pPr>
      <w:bookmarkStart w:id="6272" w:name="_CRFigure8_2_2_31"/>
      <w:r w:rsidRPr="00873B6C">
        <w:t xml:space="preserve">Figure </w:t>
      </w:r>
      <w:bookmarkEnd w:id="6272"/>
      <w:r w:rsidRPr="00873B6C">
        <w:rPr>
          <w:lang w:eastAsia="zh-CN"/>
        </w:rPr>
        <w:t>8.2.2.3</w:t>
      </w:r>
      <w:r w:rsidRPr="00873B6C">
        <w:t>-</w:t>
      </w:r>
      <w:r w:rsidRPr="00873B6C">
        <w:rPr>
          <w:lang w:eastAsia="zh-CN"/>
        </w:rPr>
        <w:t>1</w:t>
      </w:r>
      <w:r w:rsidRPr="00873B6C">
        <w:t>:</w:t>
      </w:r>
      <w:r w:rsidRPr="00873B6C">
        <w:rPr>
          <w:noProof/>
          <w:lang w:eastAsia="zh-CN"/>
        </w:rPr>
        <w:t xml:space="preserve"> Control Plane protocol stack between the UE and the SMF</w:t>
      </w:r>
    </w:p>
    <w:p w14:paraId="4AD82103" w14:textId="77777777" w:rsidR="00D40151" w:rsidRPr="00873B6C" w:rsidRDefault="00D40151" w:rsidP="00D40151">
      <w:pPr>
        <w:pStyle w:val="Heading3"/>
        <w:rPr>
          <w:lang w:eastAsia="zh-CN"/>
        </w:rPr>
      </w:pPr>
      <w:bookmarkStart w:id="6273" w:name="_CR8_2_3"/>
      <w:bookmarkStart w:id="6274" w:name="_Toc20150284"/>
      <w:bookmarkStart w:id="6275" w:name="_Toc27847092"/>
      <w:bookmarkStart w:id="6276" w:name="_Toc36188225"/>
      <w:bookmarkStart w:id="6277" w:name="_Toc45184139"/>
      <w:bookmarkStart w:id="6278" w:name="_Toc47342981"/>
      <w:bookmarkStart w:id="6279" w:name="_Toc51769683"/>
      <w:bookmarkStart w:id="6280" w:name="_Toc201157870"/>
      <w:bookmarkEnd w:id="6273"/>
      <w:r w:rsidRPr="00873B6C">
        <w:rPr>
          <w:lang w:eastAsia="zh-CN"/>
        </w:rPr>
        <w:t>8</w:t>
      </w:r>
      <w:r w:rsidRPr="00873B6C">
        <w:t>.</w:t>
      </w:r>
      <w:r w:rsidRPr="00873B6C">
        <w:rPr>
          <w:lang w:eastAsia="zh-CN"/>
        </w:rPr>
        <w:t>2</w:t>
      </w:r>
      <w:r w:rsidRPr="00873B6C">
        <w:t>.3</w:t>
      </w:r>
      <w:r w:rsidRPr="00873B6C">
        <w:tab/>
        <w:t>Control Plane Protocol Stacks between the network functions in 5GC</w:t>
      </w:r>
      <w:bookmarkEnd w:id="6274"/>
      <w:bookmarkEnd w:id="6275"/>
      <w:bookmarkEnd w:id="6276"/>
      <w:bookmarkEnd w:id="6277"/>
      <w:bookmarkEnd w:id="6278"/>
      <w:bookmarkEnd w:id="6279"/>
      <w:bookmarkEnd w:id="6280"/>
    </w:p>
    <w:p w14:paraId="60773B3E" w14:textId="77777777" w:rsidR="00D40151" w:rsidRPr="00873B6C" w:rsidRDefault="00D40151" w:rsidP="00D40151">
      <w:pPr>
        <w:pStyle w:val="Heading4"/>
      </w:pPr>
      <w:bookmarkStart w:id="6281" w:name="_CR8_2_3_1"/>
      <w:bookmarkStart w:id="6282" w:name="_Toc20150285"/>
      <w:bookmarkStart w:id="6283" w:name="_Toc27847093"/>
      <w:bookmarkStart w:id="6284" w:name="_Toc36188226"/>
      <w:bookmarkStart w:id="6285" w:name="_Toc45184140"/>
      <w:bookmarkStart w:id="6286" w:name="_Toc47342982"/>
      <w:bookmarkStart w:id="6287" w:name="_Toc51769684"/>
      <w:bookmarkStart w:id="6288" w:name="_Toc201157871"/>
      <w:bookmarkEnd w:id="6281"/>
      <w:r w:rsidRPr="00873B6C">
        <w:rPr>
          <w:lang w:eastAsia="zh-CN"/>
        </w:rPr>
        <w:t>8</w:t>
      </w:r>
      <w:r w:rsidRPr="00873B6C">
        <w:t>.</w:t>
      </w:r>
      <w:r w:rsidRPr="00873B6C">
        <w:rPr>
          <w:lang w:eastAsia="zh-CN"/>
        </w:rPr>
        <w:t>2</w:t>
      </w:r>
      <w:r w:rsidRPr="00873B6C">
        <w:t>.</w:t>
      </w:r>
      <w:r w:rsidRPr="00873B6C">
        <w:rPr>
          <w:lang w:eastAsia="zh-CN"/>
        </w:rPr>
        <w:t>3.1</w:t>
      </w:r>
      <w:r w:rsidRPr="00873B6C">
        <w:tab/>
        <w:t>The Control Plane Protocol Stack for the service based interface</w:t>
      </w:r>
      <w:bookmarkEnd w:id="6282"/>
      <w:bookmarkEnd w:id="6283"/>
      <w:bookmarkEnd w:id="6284"/>
      <w:bookmarkEnd w:id="6285"/>
      <w:bookmarkEnd w:id="6286"/>
      <w:bookmarkEnd w:id="6287"/>
      <w:bookmarkEnd w:id="6288"/>
    </w:p>
    <w:p w14:paraId="59289A7B" w14:textId="3D5307FC" w:rsidR="00D40151" w:rsidRPr="00873B6C" w:rsidRDefault="00D40151" w:rsidP="00D40151">
      <w:pPr>
        <w:rPr>
          <w:rFonts w:eastAsia="Malgun Gothic"/>
          <w:lang w:eastAsia="ko-KR"/>
        </w:rPr>
      </w:pPr>
      <w:r w:rsidRPr="00873B6C">
        <w:rPr>
          <w:rFonts w:eastAsia="Malgun Gothic"/>
          <w:lang w:eastAsia="ko-KR"/>
        </w:rPr>
        <w:t xml:space="preserve">The control plane protocol(s) for the service-based interfaces listed in clause 4.2.6 is defined in the </w:t>
      </w:r>
      <w:r w:rsidR="00972E70" w:rsidRPr="00873B6C">
        <w:rPr>
          <w:rFonts w:eastAsia="Malgun Gothic"/>
          <w:lang w:eastAsia="ko-KR"/>
        </w:rPr>
        <w:t>TS 29.500 [</w:t>
      </w:r>
      <w:r w:rsidRPr="00873B6C">
        <w:rPr>
          <w:rFonts w:eastAsia="Malgun Gothic"/>
          <w:lang w:eastAsia="ko-KR"/>
        </w:rPr>
        <w:t>49]</w:t>
      </w:r>
    </w:p>
    <w:p w14:paraId="05BB3C2D" w14:textId="77777777" w:rsidR="00D40151" w:rsidRPr="00873B6C" w:rsidRDefault="00D40151" w:rsidP="00D40151">
      <w:pPr>
        <w:pStyle w:val="Heading4"/>
      </w:pPr>
      <w:bookmarkStart w:id="6289" w:name="_CR8_2_3_2"/>
      <w:bookmarkStart w:id="6290" w:name="_Toc20150286"/>
      <w:bookmarkStart w:id="6291" w:name="_Toc27847094"/>
      <w:bookmarkStart w:id="6292" w:name="_Toc36188227"/>
      <w:bookmarkStart w:id="6293" w:name="_Toc45184141"/>
      <w:bookmarkStart w:id="6294" w:name="_Toc47342983"/>
      <w:bookmarkStart w:id="6295" w:name="_Toc51769685"/>
      <w:bookmarkStart w:id="6296" w:name="_Toc201157872"/>
      <w:bookmarkEnd w:id="6289"/>
      <w:r w:rsidRPr="00873B6C">
        <w:rPr>
          <w:lang w:eastAsia="zh-CN"/>
        </w:rPr>
        <w:t>8</w:t>
      </w:r>
      <w:r w:rsidRPr="00873B6C">
        <w:t>.</w:t>
      </w:r>
      <w:r w:rsidRPr="00873B6C">
        <w:rPr>
          <w:lang w:eastAsia="zh-CN"/>
        </w:rPr>
        <w:t>2</w:t>
      </w:r>
      <w:r w:rsidRPr="00873B6C">
        <w:t>.</w:t>
      </w:r>
      <w:r w:rsidRPr="00873B6C">
        <w:rPr>
          <w:lang w:eastAsia="zh-CN"/>
        </w:rPr>
        <w:t>3.2</w:t>
      </w:r>
      <w:r w:rsidRPr="00873B6C">
        <w:tab/>
        <w:t>The Control Plane protocol stack for the N4 interface between SMF and UPF</w:t>
      </w:r>
      <w:bookmarkEnd w:id="6290"/>
      <w:bookmarkEnd w:id="6291"/>
      <w:bookmarkEnd w:id="6292"/>
      <w:bookmarkEnd w:id="6293"/>
      <w:bookmarkEnd w:id="6294"/>
      <w:bookmarkEnd w:id="6295"/>
      <w:bookmarkEnd w:id="6296"/>
    </w:p>
    <w:p w14:paraId="7B003581" w14:textId="2FCD9199" w:rsidR="00D40151" w:rsidRPr="00873B6C" w:rsidRDefault="00D40151" w:rsidP="00D40151">
      <w:pPr>
        <w:rPr>
          <w:rFonts w:eastAsia="Malgun Gothic"/>
          <w:lang w:eastAsia="ko-KR"/>
        </w:rPr>
      </w:pPr>
      <w:r w:rsidRPr="00873B6C">
        <w:rPr>
          <w:rFonts w:eastAsia="Malgun Gothic"/>
          <w:lang w:eastAsia="ko-KR"/>
        </w:rPr>
        <w:t xml:space="preserve">The control plane protocol for SMF-UPF (i.e. N4 reference point) is defined in </w:t>
      </w:r>
      <w:r w:rsidR="00972E70" w:rsidRPr="00873B6C">
        <w:rPr>
          <w:rFonts w:eastAsia="Malgun Gothic"/>
          <w:lang w:eastAsia="ko-KR"/>
        </w:rPr>
        <w:t>TS 29.244 [</w:t>
      </w:r>
      <w:r w:rsidRPr="00873B6C">
        <w:rPr>
          <w:rFonts w:eastAsia="Malgun Gothic"/>
          <w:lang w:eastAsia="ko-KR"/>
        </w:rPr>
        <w:t>65].</w:t>
      </w:r>
    </w:p>
    <w:p w14:paraId="521187AE" w14:textId="77777777" w:rsidR="00D40151" w:rsidRPr="00873B6C" w:rsidRDefault="00D40151" w:rsidP="00D40151">
      <w:pPr>
        <w:pStyle w:val="Heading3"/>
        <w:rPr>
          <w:lang w:eastAsia="zh-CN"/>
        </w:rPr>
      </w:pPr>
      <w:bookmarkStart w:id="6297" w:name="_CR8_2_4"/>
      <w:bookmarkStart w:id="6298" w:name="_Toc20150287"/>
      <w:bookmarkStart w:id="6299" w:name="_Toc27847095"/>
      <w:bookmarkStart w:id="6300" w:name="_Toc36188228"/>
      <w:bookmarkStart w:id="6301" w:name="_Toc45184142"/>
      <w:bookmarkStart w:id="6302" w:name="_Toc47342984"/>
      <w:bookmarkStart w:id="6303" w:name="_Toc51769686"/>
      <w:bookmarkStart w:id="6304" w:name="_Toc201157873"/>
      <w:bookmarkEnd w:id="6297"/>
      <w:r w:rsidRPr="00873B6C">
        <w:rPr>
          <w:lang w:eastAsia="zh-CN"/>
        </w:rPr>
        <w:t>8</w:t>
      </w:r>
      <w:r w:rsidRPr="00873B6C">
        <w:t>.</w:t>
      </w:r>
      <w:r w:rsidRPr="00873B6C">
        <w:rPr>
          <w:lang w:eastAsia="zh-CN"/>
        </w:rPr>
        <w:t>2</w:t>
      </w:r>
      <w:r w:rsidRPr="00873B6C">
        <w:t>.4</w:t>
      </w:r>
      <w:r w:rsidRPr="00873B6C">
        <w:tab/>
        <w:t>Control Plane</w:t>
      </w:r>
      <w:r w:rsidRPr="00873B6C">
        <w:rPr>
          <w:lang w:eastAsia="zh-CN"/>
        </w:rPr>
        <w:t xml:space="preserve"> for untrusted non 3GPP Access</w:t>
      </w:r>
      <w:bookmarkEnd w:id="6298"/>
      <w:bookmarkEnd w:id="6299"/>
      <w:bookmarkEnd w:id="6300"/>
      <w:bookmarkEnd w:id="6301"/>
      <w:bookmarkEnd w:id="6302"/>
      <w:bookmarkEnd w:id="6303"/>
      <w:bookmarkEnd w:id="6304"/>
    </w:p>
    <w:p w14:paraId="058EF4C2" w14:textId="77777777" w:rsidR="00D40151" w:rsidRPr="00873B6C" w:rsidRDefault="00D40151" w:rsidP="00D40151">
      <w:pPr>
        <w:pStyle w:val="TH"/>
      </w:pPr>
      <w:r w:rsidRPr="00873B6C">
        <w:object w:dxaOrig="7809" w:dyaOrig="2761" w14:anchorId="1FDB8E27">
          <v:shape id="_x0000_i1137" type="#_x0000_t75" style="width:5in;height:130.25pt" o:ole="">
            <v:imagedata r:id="rId233" o:title=""/>
          </v:shape>
          <o:OLEObject Type="Embed" ProgID="Visio.Drawing.11" ShapeID="_x0000_i1137" DrawAspect="Content" ObjectID="_1811772471" r:id="rId234"/>
        </w:object>
      </w:r>
    </w:p>
    <w:p w14:paraId="58506215" w14:textId="77777777" w:rsidR="00D40151" w:rsidRPr="00873B6C" w:rsidRDefault="00D40151" w:rsidP="00D40151">
      <w:pPr>
        <w:pStyle w:val="TF"/>
        <w:rPr>
          <w:noProof/>
          <w:lang w:eastAsia="zh-CN"/>
        </w:rPr>
      </w:pPr>
      <w:bookmarkStart w:id="6305" w:name="_CRFigure8_2_41"/>
      <w:r w:rsidRPr="00873B6C">
        <w:t>Figure </w:t>
      </w:r>
      <w:bookmarkEnd w:id="6305"/>
      <w:r w:rsidRPr="00873B6C">
        <w:rPr>
          <w:lang w:eastAsia="zh-CN"/>
        </w:rPr>
        <w:t>8.2.4</w:t>
      </w:r>
      <w:r w:rsidRPr="00873B6C">
        <w:t>-</w:t>
      </w:r>
      <w:r w:rsidRPr="00873B6C">
        <w:rPr>
          <w:lang w:eastAsia="zh-CN"/>
        </w:rPr>
        <w:t>1</w:t>
      </w:r>
      <w:r w:rsidRPr="00873B6C">
        <w:t>:</w:t>
      </w:r>
      <w:r w:rsidRPr="00873B6C">
        <w:rPr>
          <w:noProof/>
          <w:lang w:eastAsia="zh-CN"/>
        </w:rPr>
        <w:t xml:space="preserve"> Control Plane before the signalling IPsec SA is established between UE and N3IWF</w:t>
      </w:r>
    </w:p>
    <w:p w14:paraId="1ECFB4E5" w14:textId="77777777" w:rsidR="00D40151" w:rsidRPr="00873B6C" w:rsidRDefault="00D40151" w:rsidP="00D40151">
      <w:pPr>
        <w:pStyle w:val="TH"/>
      </w:pPr>
      <w:r w:rsidRPr="00873B6C">
        <w:object w:dxaOrig="7908" w:dyaOrig="2776" w14:anchorId="44E937E6">
          <v:shape id="_x0000_i1138" type="#_x0000_t75" style="width:396.3pt;height:136.5pt" o:ole="">
            <v:imagedata r:id="rId235" o:title=""/>
          </v:shape>
          <o:OLEObject Type="Embed" ProgID="Visio.Drawing.11" ShapeID="_x0000_i1138" DrawAspect="Content" ObjectID="_1811772472" r:id="rId236"/>
        </w:object>
      </w:r>
    </w:p>
    <w:p w14:paraId="215B72EF" w14:textId="77777777" w:rsidR="00D40151" w:rsidRPr="00873B6C" w:rsidRDefault="00D40151" w:rsidP="00D40151">
      <w:pPr>
        <w:pStyle w:val="TF"/>
        <w:rPr>
          <w:noProof/>
          <w:lang w:eastAsia="zh-CN"/>
        </w:rPr>
      </w:pPr>
      <w:bookmarkStart w:id="6306" w:name="_CRFigure8_2_42"/>
      <w:r w:rsidRPr="00873B6C">
        <w:t>Figure </w:t>
      </w:r>
      <w:bookmarkEnd w:id="6306"/>
      <w:r w:rsidRPr="00873B6C">
        <w:rPr>
          <w:lang w:eastAsia="zh-CN"/>
        </w:rPr>
        <w:t>8.2.4</w:t>
      </w:r>
      <w:r w:rsidRPr="00873B6C">
        <w:t>-</w:t>
      </w:r>
      <w:r w:rsidRPr="00873B6C">
        <w:rPr>
          <w:lang w:eastAsia="zh-CN"/>
        </w:rPr>
        <w:t>2</w:t>
      </w:r>
      <w:r w:rsidRPr="00873B6C">
        <w:t>:</w:t>
      </w:r>
      <w:r w:rsidRPr="00873B6C">
        <w:rPr>
          <w:noProof/>
          <w:lang w:eastAsia="zh-CN"/>
        </w:rPr>
        <w:t xml:space="preserve"> Control Plane after the signalling IPsec SA is established between UE and N3IWF</w:t>
      </w:r>
    </w:p>
    <w:p w14:paraId="4C550813" w14:textId="77777777" w:rsidR="00D40151" w:rsidRPr="00873B6C" w:rsidRDefault="00D40151" w:rsidP="00D40151">
      <w:r w:rsidRPr="00873B6C">
        <w:t>Large NAS messages may be fragmented by the "inner IP" layer or by TCP.</w:t>
      </w:r>
    </w:p>
    <w:p w14:paraId="7523A527" w14:textId="77777777" w:rsidR="00D40151" w:rsidRPr="00873B6C" w:rsidRDefault="00D40151" w:rsidP="00D40151">
      <w:pPr>
        <w:pStyle w:val="TH"/>
      </w:pPr>
      <w:r w:rsidRPr="00873B6C">
        <w:object w:dxaOrig="7908" w:dyaOrig="1864" w14:anchorId="42124234">
          <v:shape id="_x0000_i1139" type="#_x0000_t75" style="width:380.65pt;height:93.9pt" o:ole="">
            <v:imagedata r:id="rId237" o:title=""/>
          </v:shape>
          <o:OLEObject Type="Embed" ProgID="Visio.Drawing.11" ShapeID="_x0000_i1139" DrawAspect="Content" ObjectID="_1811772473" r:id="rId238"/>
        </w:object>
      </w:r>
    </w:p>
    <w:p w14:paraId="7383CAB7" w14:textId="77777777" w:rsidR="00D40151" w:rsidRPr="00873B6C" w:rsidRDefault="00D40151" w:rsidP="00D40151">
      <w:pPr>
        <w:pStyle w:val="TF"/>
        <w:rPr>
          <w:noProof/>
          <w:lang w:eastAsia="zh-CN"/>
        </w:rPr>
      </w:pPr>
      <w:bookmarkStart w:id="6307" w:name="_CRFigure8_2_43"/>
      <w:r w:rsidRPr="00873B6C">
        <w:t>Figure </w:t>
      </w:r>
      <w:bookmarkEnd w:id="6307"/>
      <w:r w:rsidRPr="00873B6C">
        <w:rPr>
          <w:lang w:eastAsia="zh-CN"/>
        </w:rPr>
        <w:t>8.2.4</w:t>
      </w:r>
      <w:r w:rsidRPr="00873B6C">
        <w:t>-</w:t>
      </w:r>
      <w:r w:rsidRPr="00873B6C">
        <w:rPr>
          <w:lang w:eastAsia="zh-CN"/>
        </w:rPr>
        <w:t>3</w:t>
      </w:r>
      <w:r w:rsidRPr="00873B6C">
        <w:t>:</w:t>
      </w:r>
      <w:r w:rsidRPr="00873B6C">
        <w:rPr>
          <w:noProof/>
          <w:lang w:eastAsia="zh-CN"/>
        </w:rPr>
        <w:t xml:space="preserve"> Control Plane for establishment of user-plane via N3IWF</w:t>
      </w:r>
    </w:p>
    <w:p w14:paraId="2204D0EF" w14:textId="77777777" w:rsidR="00D40151" w:rsidRPr="00873B6C" w:rsidRDefault="00D40151" w:rsidP="00D40151">
      <w:r w:rsidRPr="00873B6C">
        <w:t>In the above figures </w:t>
      </w:r>
      <w:r w:rsidRPr="00873B6C">
        <w:rPr>
          <w:lang w:eastAsia="zh-CN"/>
        </w:rPr>
        <w:t>8.2.4</w:t>
      </w:r>
      <w:r w:rsidRPr="00873B6C">
        <w:t>-</w:t>
      </w:r>
      <w:r w:rsidRPr="00873B6C">
        <w:rPr>
          <w:lang w:eastAsia="zh-CN"/>
        </w:rPr>
        <w:t>1, 8.2.4</w:t>
      </w:r>
      <w:r w:rsidRPr="00873B6C">
        <w:t>-</w:t>
      </w:r>
      <w:r w:rsidRPr="00873B6C">
        <w:rPr>
          <w:lang w:eastAsia="zh-CN"/>
        </w:rPr>
        <w:t>2 and 8.2.4</w:t>
      </w:r>
      <w:r w:rsidRPr="00873B6C">
        <w:t>-</w:t>
      </w:r>
      <w:r w:rsidRPr="00873B6C">
        <w:rPr>
          <w:lang w:eastAsia="zh-CN"/>
        </w:rPr>
        <w:t>3</w:t>
      </w:r>
      <w:r w:rsidRPr="00873B6C">
        <w:t>, the UDP protocol may be used between the UE and N3IWF to enable NAT traversal for IKEv2 and IPsec traffic.</w:t>
      </w:r>
    </w:p>
    <w:p w14:paraId="2DD01D71" w14:textId="6E9AB9B9" w:rsidR="00D40151" w:rsidRPr="00873B6C" w:rsidRDefault="00D40151" w:rsidP="00D40151">
      <w:pPr>
        <w:rPr>
          <w:lang w:eastAsia="zh-CN"/>
        </w:rPr>
      </w:pPr>
      <w:r w:rsidRPr="00873B6C">
        <w:rPr>
          <w:lang w:eastAsia="zh-CN"/>
        </w:rPr>
        <w:t>The "signalling IPsec SA" is defined in</w:t>
      </w:r>
      <w:r w:rsidR="006B65B5" w:rsidRPr="00873B6C">
        <w:rPr>
          <w:lang w:eastAsia="zh-CN"/>
        </w:rPr>
        <w:t xml:space="preserve"> clause 4.12.2 of</w:t>
      </w:r>
      <w:r w:rsidRPr="00873B6C">
        <w:rPr>
          <w:lang w:eastAsia="zh-CN"/>
        </w:rPr>
        <w:t xml:space="preserve"> </w:t>
      </w:r>
      <w:r w:rsidR="00972E70" w:rsidRPr="00873B6C">
        <w:rPr>
          <w:lang w:eastAsia="zh-CN"/>
        </w:rPr>
        <w:t>TS 23.502 [</w:t>
      </w:r>
      <w:r w:rsidRPr="00873B6C">
        <w:rPr>
          <w:lang w:eastAsia="zh-CN"/>
        </w:rPr>
        <w:t>3].</w:t>
      </w:r>
    </w:p>
    <w:p w14:paraId="24064FDE" w14:textId="77777777" w:rsidR="00D40151" w:rsidRPr="00873B6C" w:rsidRDefault="00D40151" w:rsidP="00D40151">
      <w:pPr>
        <w:pStyle w:val="Heading3"/>
        <w:rPr>
          <w:lang w:eastAsia="zh-CN"/>
        </w:rPr>
      </w:pPr>
      <w:bookmarkStart w:id="6308" w:name="_CR8_2_5"/>
      <w:bookmarkStart w:id="6309" w:name="_Toc20150288"/>
      <w:bookmarkStart w:id="6310" w:name="_Toc27847096"/>
      <w:bookmarkStart w:id="6311" w:name="_Toc36188229"/>
      <w:bookmarkStart w:id="6312" w:name="_Toc45184143"/>
      <w:bookmarkStart w:id="6313" w:name="_Toc47342985"/>
      <w:bookmarkStart w:id="6314" w:name="_Toc51769687"/>
      <w:bookmarkStart w:id="6315" w:name="_Toc201157874"/>
      <w:bookmarkEnd w:id="6308"/>
      <w:r w:rsidRPr="00873B6C">
        <w:rPr>
          <w:lang w:eastAsia="zh-CN"/>
        </w:rPr>
        <w:t>8.2.5</w:t>
      </w:r>
      <w:r w:rsidRPr="00873B6C">
        <w:rPr>
          <w:lang w:eastAsia="zh-CN"/>
        </w:rPr>
        <w:tab/>
        <w:t>Control Plane for trusted non-3GPP Access</w:t>
      </w:r>
      <w:bookmarkEnd w:id="6309"/>
      <w:bookmarkEnd w:id="6310"/>
      <w:bookmarkEnd w:id="6311"/>
      <w:bookmarkEnd w:id="6312"/>
      <w:bookmarkEnd w:id="6313"/>
      <w:bookmarkEnd w:id="6314"/>
      <w:bookmarkEnd w:id="6315"/>
    </w:p>
    <w:p w14:paraId="2132CCFE" w14:textId="77777777" w:rsidR="00D40151" w:rsidRPr="00873B6C" w:rsidRDefault="00D40151" w:rsidP="00D40151">
      <w:pPr>
        <w:pStyle w:val="TH"/>
        <w:rPr>
          <w:lang w:eastAsia="zh-CN"/>
        </w:rPr>
      </w:pPr>
      <w:r w:rsidRPr="00873B6C">
        <w:object w:dxaOrig="7809" w:dyaOrig="2372" w14:anchorId="5182A1F3">
          <v:shape id="_x0000_i1140" type="#_x0000_t75" style="width:390.05pt;height:115.85pt" o:ole="">
            <v:imagedata r:id="rId239" o:title=""/>
          </v:shape>
          <o:OLEObject Type="Embed" ProgID="Visio.Drawing.11" ShapeID="_x0000_i1140" DrawAspect="Content" ObjectID="_1811772474" r:id="rId240"/>
        </w:object>
      </w:r>
    </w:p>
    <w:p w14:paraId="34EF01D8" w14:textId="77777777" w:rsidR="00D40151" w:rsidRPr="00873B6C" w:rsidRDefault="00D40151" w:rsidP="00D40151">
      <w:pPr>
        <w:pStyle w:val="TF"/>
        <w:rPr>
          <w:lang w:eastAsia="zh-CN"/>
        </w:rPr>
      </w:pPr>
      <w:bookmarkStart w:id="6316" w:name="_CRFigure8_2_51"/>
      <w:r w:rsidRPr="00873B6C">
        <w:rPr>
          <w:lang w:eastAsia="zh-CN"/>
        </w:rPr>
        <w:t xml:space="preserve">Figure </w:t>
      </w:r>
      <w:bookmarkEnd w:id="6316"/>
      <w:r w:rsidRPr="00873B6C">
        <w:rPr>
          <w:lang w:eastAsia="zh-CN"/>
        </w:rPr>
        <w:t>8.2.5-1: Control Plane before the NWt connection is established between UE and TNGF</w:t>
      </w:r>
    </w:p>
    <w:p w14:paraId="50267F94" w14:textId="77777777" w:rsidR="00D40151" w:rsidRPr="00873B6C" w:rsidRDefault="00D40151" w:rsidP="00D40151">
      <w:pPr>
        <w:pStyle w:val="TH"/>
        <w:rPr>
          <w:lang w:eastAsia="zh-CN"/>
        </w:rPr>
      </w:pPr>
      <w:r w:rsidRPr="00873B6C">
        <w:object w:dxaOrig="7908" w:dyaOrig="2776" w14:anchorId="1B8BD80C">
          <v:shape id="_x0000_i1141" type="#_x0000_t75" style="width:396.3pt;height:136.5pt" o:ole="">
            <v:imagedata r:id="rId241" o:title=""/>
          </v:shape>
          <o:OLEObject Type="Embed" ProgID="Visio.Drawing.11" ShapeID="_x0000_i1141" DrawAspect="Content" ObjectID="_1811772475" r:id="rId242"/>
        </w:object>
      </w:r>
    </w:p>
    <w:p w14:paraId="6FF92EDF" w14:textId="77777777" w:rsidR="00D40151" w:rsidRPr="00873B6C" w:rsidRDefault="00D40151" w:rsidP="00D40151">
      <w:pPr>
        <w:pStyle w:val="TF"/>
        <w:rPr>
          <w:lang w:eastAsia="zh-CN"/>
        </w:rPr>
      </w:pPr>
      <w:bookmarkStart w:id="6317" w:name="_CRFigure8_2_52"/>
      <w:r w:rsidRPr="00873B6C">
        <w:rPr>
          <w:lang w:eastAsia="zh-CN"/>
        </w:rPr>
        <w:t xml:space="preserve">Figure </w:t>
      </w:r>
      <w:bookmarkEnd w:id="6317"/>
      <w:r w:rsidRPr="00873B6C">
        <w:rPr>
          <w:lang w:eastAsia="zh-CN"/>
        </w:rPr>
        <w:t>8.2.5-2: Control Plane after the NWt connection is established between UE and TNGF</w:t>
      </w:r>
    </w:p>
    <w:p w14:paraId="4588269C" w14:textId="77777777" w:rsidR="00D40151" w:rsidRPr="00873B6C" w:rsidRDefault="00D40151" w:rsidP="00D40151">
      <w:pPr>
        <w:rPr>
          <w:lang w:eastAsia="zh-CN"/>
        </w:rPr>
      </w:pPr>
      <w:r w:rsidRPr="00873B6C">
        <w:rPr>
          <w:lang w:eastAsia="zh-CN"/>
        </w:rPr>
        <w:lastRenderedPageBreak/>
        <w:t>Large NAS messages may be fragmented by the "inner IP" layer or by TCP.</w:t>
      </w:r>
    </w:p>
    <w:p w14:paraId="133E036B" w14:textId="77777777" w:rsidR="00D40151" w:rsidRPr="00873B6C" w:rsidRDefault="00D40151" w:rsidP="00D40151">
      <w:pPr>
        <w:pStyle w:val="TH"/>
        <w:rPr>
          <w:lang w:eastAsia="zh-CN"/>
        </w:rPr>
      </w:pPr>
      <w:r w:rsidRPr="00873B6C">
        <w:object w:dxaOrig="7908" w:dyaOrig="1864" w14:anchorId="5EEC05FF">
          <v:shape id="_x0000_i1142" type="#_x0000_t75" style="width:388.8pt;height:93.9pt" o:ole="">
            <v:imagedata r:id="rId243" o:title=""/>
          </v:shape>
          <o:OLEObject Type="Embed" ProgID="Visio.Drawing.11" ShapeID="_x0000_i1142" DrawAspect="Content" ObjectID="_1811772476" r:id="rId244"/>
        </w:object>
      </w:r>
    </w:p>
    <w:p w14:paraId="4D15E40E" w14:textId="77777777" w:rsidR="00D40151" w:rsidRPr="00873B6C" w:rsidRDefault="00D40151" w:rsidP="00D40151">
      <w:pPr>
        <w:pStyle w:val="TF"/>
        <w:rPr>
          <w:lang w:eastAsia="zh-CN"/>
        </w:rPr>
      </w:pPr>
      <w:bookmarkStart w:id="6318" w:name="_CRFigure8_2_53"/>
      <w:r w:rsidRPr="00873B6C">
        <w:rPr>
          <w:lang w:eastAsia="zh-CN"/>
        </w:rPr>
        <w:t xml:space="preserve">Figure </w:t>
      </w:r>
      <w:bookmarkEnd w:id="6318"/>
      <w:r w:rsidRPr="00873B6C">
        <w:rPr>
          <w:lang w:eastAsia="zh-CN"/>
        </w:rPr>
        <w:t>8.2.5-3: Control Plane for establishment of user-plane via TNGF</w:t>
      </w:r>
    </w:p>
    <w:p w14:paraId="5BDAD22A" w14:textId="77777777" w:rsidR="00D40151" w:rsidRPr="00873B6C" w:rsidRDefault="00D40151" w:rsidP="00D40151">
      <w:pPr>
        <w:rPr>
          <w:lang w:eastAsia="zh-CN"/>
        </w:rPr>
      </w:pPr>
      <w:r w:rsidRPr="00873B6C">
        <w:rPr>
          <w:lang w:eastAsia="zh-CN"/>
        </w:rPr>
        <w:t>In the above figures 8.2.5-2 and 8.2.5-3, the UDP protocol may be used between the UE and TNGF to enable NAT traversal for IKEv2 and IPsec traffic.</w:t>
      </w:r>
    </w:p>
    <w:p w14:paraId="74BD705E" w14:textId="340BD5D1" w:rsidR="00D40151" w:rsidRPr="00873B6C" w:rsidRDefault="00D40151" w:rsidP="00D40151">
      <w:pPr>
        <w:rPr>
          <w:lang w:eastAsia="zh-CN"/>
        </w:rPr>
      </w:pPr>
      <w:r w:rsidRPr="00873B6C">
        <w:rPr>
          <w:lang w:eastAsia="zh-CN"/>
        </w:rPr>
        <w:t xml:space="preserve">The NWt connection is defined in clause 4.2.8.3 and in clause 4.12a.2.2 of </w:t>
      </w:r>
      <w:r w:rsidR="00972E70" w:rsidRPr="00873B6C">
        <w:rPr>
          <w:lang w:eastAsia="zh-CN"/>
        </w:rPr>
        <w:t>TS 23.502 [</w:t>
      </w:r>
      <w:r w:rsidRPr="00873B6C">
        <w:rPr>
          <w:lang w:eastAsia="zh-CN"/>
        </w:rPr>
        <w:t>3].</w:t>
      </w:r>
    </w:p>
    <w:p w14:paraId="228CC18F" w14:textId="77777777" w:rsidR="00D40151" w:rsidRPr="00873B6C" w:rsidRDefault="00D40151" w:rsidP="00D40151">
      <w:pPr>
        <w:pStyle w:val="Heading3"/>
        <w:rPr>
          <w:lang w:eastAsia="zh-CN"/>
        </w:rPr>
      </w:pPr>
      <w:bookmarkStart w:id="6319" w:name="_CR8_2_6"/>
      <w:bookmarkStart w:id="6320" w:name="_Toc20150289"/>
      <w:bookmarkStart w:id="6321" w:name="_Toc27847097"/>
      <w:bookmarkStart w:id="6322" w:name="_Toc36188230"/>
      <w:bookmarkStart w:id="6323" w:name="_Toc45184144"/>
      <w:bookmarkStart w:id="6324" w:name="_Toc47342986"/>
      <w:bookmarkStart w:id="6325" w:name="_Toc51769688"/>
      <w:bookmarkStart w:id="6326" w:name="_Toc201157875"/>
      <w:bookmarkEnd w:id="6319"/>
      <w:r w:rsidRPr="00873B6C">
        <w:rPr>
          <w:lang w:eastAsia="zh-CN"/>
        </w:rPr>
        <w:t>8.2.6</w:t>
      </w:r>
      <w:r w:rsidRPr="00873B6C">
        <w:rPr>
          <w:lang w:eastAsia="zh-CN"/>
        </w:rPr>
        <w:tab/>
        <w:t>Control Plane for W-5GAN Access</w:t>
      </w:r>
      <w:bookmarkEnd w:id="6320"/>
      <w:bookmarkEnd w:id="6321"/>
      <w:bookmarkEnd w:id="6322"/>
      <w:bookmarkEnd w:id="6323"/>
      <w:bookmarkEnd w:id="6324"/>
      <w:bookmarkEnd w:id="6325"/>
      <w:bookmarkEnd w:id="6326"/>
    </w:p>
    <w:p w14:paraId="0CEA44B9" w14:textId="70355017" w:rsidR="00D40151" w:rsidRPr="00873B6C" w:rsidRDefault="00D40151" w:rsidP="00D40151">
      <w:pPr>
        <w:rPr>
          <w:lang w:eastAsia="zh-CN"/>
        </w:rPr>
      </w:pPr>
      <w:r w:rsidRPr="00873B6C">
        <w:rPr>
          <w:lang w:eastAsia="zh-CN"/>
        </w:rPr>
        <w:t xml:space="preserve">The control plane for W-5GAN is defined in clause 6 of </w:t>
      </w:r>
      <w:r w:rsidR="00972E70" w:rsidRPr="00873B6C">
        <w:rPr>
          <w:lang w:eastAsia="zh-CN"/>
        </w:rPr>
        <w:t>TS 23.316 [</w:t>
      </w:r>
      <w:r w:rsidRPr="00873B6C">
        <w:rPr>
          <w:lang w:eastAsia="zh-CN"/>
        </w:rPr>
        <w:t>84].</w:t>
      </w:r>
    </w:p>
    <w:p w14:paraId="53248852" w14:textId="258096C1" w:rsidR="00D52D28" w:rsidRPr="00873B6C" w:rsidRDefault="00D52D28" w:rsidP="00D52D28">
      <w:pPr>
        <w:pStyle w:val="Heading3"/>
        <w:rPr>
          <w:lang w:eastAsia="zh-CN"/>
        </w:rPr>
      </w:pPr>
      <w:bookmarkStart w:id="6327" w:name="_CR8_2_7"/>
      <w:bookmarkStart w:id="6328" w:name="_Toc20150290"/>
      <w:bookmarkStart w:id="6329" w:name="_Toc27847098"/>
      <w:bookmarkStart w:id="6330" w:name="_Toc36188231"/>
      <w:bookmarkStart w:id="6331" w:name="_Toc45184145"/>
      <w:bookmarkStart w:id="6332" w:name="_Toc47342987"/>
      <w:bookmarkStart w:id="6333" w:name="_Toc51769689"/>
      <w:bookmarkStart w:id="6334" w:name="_Toc201157876"/>
      <w:bookmarkEnd w:id="6327"/>
      <w:r w:rsidRPr="00873B6C">
        <w:rPr>
          <w:lang w:eastAsia="zh-CN"/>
        </w:rPr>
        <w:t>8.2.7</w:t>
      </w:r>
      <w:r w:rsidRPr="00873B6C">
        <w:rPr>
          <w:lang w:eastAsia="zh-CN"/>
        </w:rPr>
        <w:tab/>
        <w:t>Control Plane for Trusted WLAN Access for N5CW Device</w:t>
      </w:r>
      <w:bookmarkEnd w:id="6334"/>
    </w:p>
    <w:p w14:paraId="005F8F59" w14:textId="05EB5518" w:rsidR="00D52D28" w:rsidRPr="00873B6C" w:rsidRDefault="00D52D28" w:rsidP="008546A1">
      <w:pPr>
        <w:pStyle w:val="TH"/>
      </w:pPr>
      <w:r w:rsidRPr="00873B6C">
        <w:object w:dxaOrig="8789" w:dyaOrig="1982" w14:anchorId="1B289EC4">
          <v:shape id="_x0000_i1143" type="#_x0000_t75" style="width:437pt;height:100.8pt" o:ole="">
            <v:imagedata r:id="rId245" o:title=""/>
          </v:shape>
          <o:OLEObject Type="Embed" ProgID="Word.Picture.8" ShapeID="_x0000_i1143" DrawAspect="Content" ObjectID="_1811772477" r:id="rId246"/>
        </w:object>
      </w:r>
    </w:p>
    <w:p w14:paraId="6C07E551" w14:textId="3C886B71" w:rsidR="00D52D28" w:rsidRPr="00873B6C" w:rsidRDefault="00D52D28" w:rsidP="00D52D28">
      <w:pPr>
        <w:pStyle w:val="TF"/>
        <w:rPr>
          <w:lang w:eastAsia="zh-CN"/>
        </w:rPr>
      </w:pPr>
      <w:bookmarkStart w:id="6335" w:name="_CRFigure8_2_71"/>
      <w:r w:rsidRPr="00873B6C">
        <w:rPr>
          <w:lang w:eastAsia="zh-CN"/>
        </w:rPr>
        <w:t xml:space="preserve">Figure </w:t>
      </w:r>
      <w:bookmarkEnd w:id="6335"/>
      <w:r w:rsidRPr="00873B6C">
        <w:rPr>
          <w:lang w:eastAsia="zh-CN"/>
        </w:rPr>
        <w:t>8.2.7-1: Control Plane for trusted WLAN access for N5CW device</w:t>
      </w:r>
    </w:p>
    <w:p w14:paraId="59B4A6F0" w14:textId="00F587E6" w:rsidR="00D52D28" w:rsidRPr="00873B6C" w:rsidRDefault="00D52D28" w:rsidP="00562E84">
      <w:pPr>
        <w:rPr>
          <w:lang w:eastAsia="zh-CN"/>
        </w:rPr>
      </w:pPr>
      <w:r w:rsidRPr="00873B6C">
        <w:rPr>
          <w:lang w:eastAsia="zh-CN"/>
        </w:rPr>
        <w:t>The EAP protocol applies only for performing EAP-based access authentication procedure to connect to a trusted WLAN access network.</w:t>
      </w:r>
    </w:p>
    <w:p w14:paraId="125B2269" w14:textId="77777777" w:rsidR="00D40151" w:rsidRPr="00873B6C" w:rsidRDefault="00D40151" w:rsidP="00D40151">
      <w:pPr>
        <w:pStyle w:val="Heading2"/>
      </w:pPr>
      <w:bookmarkStart w:id="6336" w:name="_CR8_3"/>
      <w:bookmarkStart w:id="6337" w:name="_Toc201157877"/>
      <w:bookmarkEnd w:id="6336"/>
      <w:r w:rsidRPr="00873B6C">
        <w:t>8.3</w:t>
      </w:r>
      <w:r w:rsidRPr="00873B6C">
        <w:tab/>
        <w:t>User Plane Protocol Stacks</w:t>
      </w:r>
      <w:bookmarkEnd w:id="6328"/>
      <w:bookmarkEnd w:id="6329"/>
      <w:bookmarkEnd w:id="6330"/>
      <w:bookmarkEnd w:id="6331"/>
      <w:bookmarkEnd w:id="6332"/>
      <w:bookmarkEnd w:id="6333"/>
      <w:bookmarkEnd w:id="6337"/>
    </w:p>
    <w:p w14:paraId="4D43C845" w14:textId="77777777" w:rsidR="00D40151" w:rsidRPr="00873B6C" w:rsidRDefault="00D40151" w:rsidP="00D40151">
      <w:pPr>
        <w:pStyle w:val="Heading3"/>
        <w:rPr>
          <w:lang w:eastAsia="zh-CN"/>
        </w:rPr>
      </w:pPr>
      <w:bookmarkStart w:id="6338" w:name="_CR8_3_1"/>
      <w:bookmarkStart w:id="6339" w:name="_Toc20150291"/>
      <w:bookmarkStart w:id="6340" w:name="_Toc27847099"/>
      <w:bookmarkStart w:id="6341" w:name="_Toc36188232"/>
      <w:bookmarkStart w:id="6342" w:name="_Toc45184146"/>
      <w:bookmarkStart w:id="6343" w:name="_Toc47342988"/>
      <w:bookmarkStart w:id="6344" w:name="_Toc51769690"/>
      <w:bookmarkStart w:id="6345" w:name="_Toc201157878"/>
      <w:bookmarkEnd w:id="6338"/>
      <w:r w:rsidRPr="00873B6C">
        <w:rPr>
          <w:lang w:eastAsia="zh-CN"/>
        </w:rPr>
        <w:t>8.3.1</w:t>
      </w:r>
      <w:r w:rsidRPr="00873B6C">
        <w:tab/>
        <w:t>User Plane Protocol Stack for a PDU Session</w:t>
      </w:r>
      <w:bookmarkEnd w:id="6339"/>
      <w:bookmarkEnd w:id="6340"/>
      <w:bookmarkEnd w:id="6341"/>
      <w:bookmarkEnd w:id="6342"/>
      <w:bookmarkEnd w:id="6343"/>
      <w:bookmarkEnd w:id="6344"/>
      <w:bookmarkEnd w:id="6345"/>
    </w:p>
    <w:p w14:paraId="3C66ECC3" w14:textId="77777777" w:rsidR="00D40151" w:rsidRPr="00873B6C" w:rsidRDefault="00D40151" w:rsidP="00D40151">
      <w:pPr>
        <w:rPr>
          <w:lang w:eastAsia="zh-CN"/>
        </w:rPr>
      </w:pPr>
      <w:r w:rsidRPr="00873B6C">
        <w:rPr>
          <w:lang w:eastAsia="zh-CN"/>
        </w:rPr>
        <w:t xml:space="preserve">This clause illustrates the protocol stack for the User plane transport related with a </w:t>
      </w:r>
      <w:r w:rsidRPr="00873B6C">
        <w:t>PDU Session</w:t>
      </w:r>
      <w:r w:rsidRPr="00873B6C">
        <w:rPr>
          <w:lang w:eastAsia="zh-CN"/>
        </w:rPr>
        <w:t>.</w:t>
      </w:r>
    </w:p>
    <w:p w14:paraId="5395CBAE" w14:textId="77777777" w:rsidR="00D40151" w:rsidRPr="00873B6C" w:rsidRDefault="00D40151" w:rsidP="00D40151">
      <w:pPr>
        <w:pStyle w:val="TH"/>
        <w:rPr>
          <w:lang w:eastAsia="zh-CN"/>
        </w:rPr>
      </w:pPr>
      <w:r w:rsidRPr="00873B6C">
        <w:object w:dxaOrig="8506" w:dyaOrig="3510" w14:anchorId="1FAEE5F9">
          <v:shape id="_x0000_i1144" type="#_x0000_t75" style="width:425.75pt;height:180.3pt" o:ole="">
            <v:imagedata r:id="rId247" o:title=""/>
          </v:shape>
          <o:OLEObject Type="Embed" ProgID="Visio.Drawing.11" ShapeID="_x0000_i1144" DrawAspect="Content" ObjectID="_1811772478" r:id="rId248"/>
        </w:object>
      </w:r>
    </w:p>
    <w:p w14:paraId="34B3C00F" w14:textId="77777777" w:rsidR="00D40151" w:rsidRPr="00873B6C" w:rsidRDefault="00D40151" w:rsidP="00D40151">
      <w:pPr>
        <w:pStyle w:val="NF"/>
        <w:rPr>
          <w:b/>
        </w:rPr>
      </w:pPr>
      <w:r w:rsidRPr="00873B6C">
        <w:rPr>
          <w:b/>
        </w:rPr>
        <w:t>Legend:</w:t>
      </w:r>
    </w:p>
    <w:p w14:paraId="6EDBBDDD" w14:textId="77777777" w:rsidR="00D40151" w:rsidRPr="00873B6C" w:rsidRDefault="00D40151" w:rsidP="00D40151">
      <w:pPr>
        <w:pStyle w:val="NF"/>
      </w:pPr>
      <w:r w:rsidRPr="00873B6C">
        <w:t>-</w:t>
      </w:r>
      <w:r w:rsidRPr="00873B6C">
        <w:tab/>
      </w:r>
      <w:r w:rsidRPr="00873B6C">
        <w:rPr>
          <w:b/>
        </w:rPr>
        <w:t>PDU layer:</w:t>
      </w:r>
      <w:r w:rsidRPr="00873B6C">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873B6C" w:rsidRDefault="00D40151" w:rsidP="00D40151">
      <w:pPr>
        <w:pStyle w:val="NF"/>
      </w:pPr>
      <w:r w:rsidRPr="00873B6C">
        <w:rPr>
          <w:b/>
        </w:rPr>
        <w:t>-</w:t>
      </w:r>
      <w:r w:rsidRPr="00873B6C">
        <w:rPr>
          <w:b/>
        </w:rPr>
        <w:tab/>
        <w:t>GPRS Tunnelling Protocol for the user plane (GTP</w:t>
      </w:r>
      <w:r w:rsidRPr="00873B6C">
        <w:rPr>
          <w:b/>
        </w:rPr>
        <w:noBreakHyphen/>
        <w:t>U):</w:t>
      </w:r>
      <w:r w:rsidRPr="00873B6C">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873B6C" w:rsidRDefault="00D40151" w:rsidP="00D40151">
      <w:pPr>
        <w:pStyle w:val="NF"/>
      </w:pPr>
    </w:p>
    <w:p w14:paraId="1B1D9FE9" w14:textId="77777777" w:rsidR="00D40151" w:rsidRPr="00873B6C" w:rsidRDefault="00D40151" w:rsidP="00D40151">
      <w:pPr>
        <w:pStyle w:val="TF"/>
      </w:pPr>
      <w:bookmarkStart w:id="6346" w:name="_CRFigure8_3_11"/>
      <w:r w:rsidRPr="00873B6C">
        <w:t xml:space="preserve">Figure </w:t>
      </w:r>
      <w:bookmarkEnd w:id="6346"/>
      <w:r w:rsidRPr="00873B6C">
        <w:t>8.3.1-1: User Plane Protocol Stack</w:t>
      </w:r>
    </w:p>
    <w:p w14:paraId="5A8C70EE" w14:textId="77777777" w:rsidR="00D40151" w:rsidRPr="00873B6C" w:rsidRDefault="00D40151" w:rsidP="00D40151">
      <w:pPr>
        <w:pStyle w:val="B1"/>
      </w:pPr>
      <w:r w:rsidRPr="00873B6C">
        <w:t>-</w:t>
      </w:r>
      <w:r w:rsidRPr="00873B6C">
        <w:tab/>
      </w:r>
      <w:r w:rsidRPr="00873B6C">
        <w:rPr>
          <w:b/>
        </w:rPr>
        <w:t>5G-AN protocol stack</w:t>
      </w:r>
      <w:r w:rsidRPr="00873B6C">
        <w:t>: This set of protocols/layers depends on the AN:</w:t>
      </w:r>
    </w:p>
    <w:p w14:paraId="58D538A5" w14:textId="626EE822" w:rsidR="00D40151" w:rsidRPr="00873B6C" w:rsidRDefault="00D40151" w:rsidP="00D40151">
      <w:pPr>
        <w:pStyle w:val="B2"/>
      </w:pPr>
      <w:r w:rsidRPr="00873B6C">
        <w:t>-</w:t>
      </w:r>
      <w:r w:rsidRPr="00873B6C">
        <w:tab/>
        <w:t>When the 5G-AN is a 3GPP NG-RAN, these protocols/layers</w:t>
      </w:r>
      <w:r w:rsidRPr="00873B6C" w:rsidDel="00B76930">
        <w:t xml:space="preserve"> </w:t>
      </w:r>
      <w:r w:rsidRPr="00873B6C">
        <w:t xml:space="preserve">are defined in </w:t>
      </w:r>
      <w:r w:rsidR="00972E70" w:rsidRPr="00873B6C">
        <w:t>TS 38.401 [</w:t>
      </w:r>
      <w:r w:rsidRPr="00873B6C">
        <w:t xml:space="preserve">42]. The radio protocol between the UE and the 5G-AN node (eNodeB or gNodeB) is specified in </w:t>
      </w:r>
      <w:r w:rsidR="00972E70" w:rsidRPr="00873B6C">
        <w:t>TS 36.300 [</w:t>
      </w:r>
      <w:r w:rsidRPr="00873B6C">
        <w:t xml:space="preserve">30] and </w:t>
      </w:r>
      <w:r w:rsidR="00972E70" w:rsidRPr="00873B6C">
        <w:t>TS 38.300 [</w:t>
      </w:r>
      <w:r w:rsidRPr="00873B6C">
        <w:t>27].</w:t>
      </w:r>
    </w:p>
    <w:p w14:paraId="06EAF826" w14:textId="77777777" w:rsidR="00D40151" w:rsidRPr="00873B6C" w:rsidRDefault="00D40151" w:rsidP="00D40151">
      <w:pPr>
        <w:pStyle w:val="B2"/>
      </w:pPr>
      <w:r w:rsidRPr="00873B6C">
        <w:t>-</w:t>
      </w:r>
      <w:r w:rsidRPr="00873B6C">
        <w:tab/>
        <w:t>When the AN is an Untrusted non 3GPP access to 5GC the 5G-AN interfaces with the 5GC at a N3IWF defined in clause 4.3.2 and the 5G-AN protocol stack is defined in clause 8.3.2.</w:t>
      </w:r>
    </w:p>
    <w:p w14:paraId="7F3E73FC" w14:textId="77777777" w:rsidR="00D40151" w:rsidRPr="00873B6C" w:rsidRDefault="00D40151" w:rsidP="00D40151">
      <w:pPr>
        <w:pStyle w:val="B1"/>
      </w:pPr>
      <w:r w:rsidRPr="00873B6C">
        <w:t>-</w:t>
      </w:r>
      <w:r w:rsidRPr="00873B6C">
        <w:tab/>
      </w:r>
      <w:r w:rsidRPr="00873B6C">
        <w:rPr>
          <w:b/>
        </w:rPr>
        <w:t>UDP/IP:</w:t>
      </w:r>
      <w:r w:rsidRPr="00873B6C">
        <w:t xml:space="preserve"> These are the backbone network protocols.</w:t>
      </w:r>
    </w:p>
    <w:p w14:paraId="19F494DE" w14:textId="77777777" w:rsidR="00D40151" w:rsidRPr="00873B6C" w:rsidRDefault="00D40151" w:rsidP="00D40151">
      <w:pPr>
        <w:pStyle w:val="NO"/>
        <w:rPr>
          <w:lang w:eastAsia="zh-CN"/>
        </w:rPr>
      </w:pPr>
      <w:r w:rsidRPr="00873B6C">
        <w:t>NOTE 1:</w:t>
      </w:r>
      <w:r w:rsidRPr="00873B6C">
        <w:tab/>
      </w:r>
      <w:r w:rsidRPr="00873B6C">
        <w:rPr>
          <w:lang w:eastAsia="zh-CN"/>
        </w:rPr>
        <w:t>The number of UPF in the data path is not constrained by 3GPP specifications: there may be in the data path of a PDU Session 0, 1 or multiple UPF that do not support a PDU Session Anchor functionality for this PDU Session</w:t>
      </w:r>
      <w:r w:rsidRPr="00873B6C">
        <w:t>.</w:t>
      </w:r>
    </w:p>
    <w:p w14:paraId="56FFC81D" w14:textId="77777777" w:rsidR="00D40151" w:rsidRPr="00873B6C" w:rsidRDefault="00D40151" w:rsidP="00D40151">
      <w:pPr>
        <w:pStyle w:val="NO"/>
      </w:pPr>
      <w:r w:rsidRPr="00873B6C">
        <w:t>NOTE 2:</w:t>
      </w:r>
      <w:r w:rsidRPr="00873B6C">
        <w:tab/>
        <w:t>The "non PDU Session Anchor" UPF depicted in the Figure 8.3.1-1 is optional.</w:t>
      </w:r>
    </w:p>
    <w:p w14:paraId="2DACD49B" w14:textId="77777777" w:rsidR="00D40151" w:rsidRPr="00873B6C" w:rsidRDefault="00D40151" w:rsidP="00D40151">
      <w:pPr>
        <w:pStyle w:val="NO"/>
      </w:pPr>
      <w:r w:rsidRPr="00873B6C">
        <w:t>NOTE 3:</w:t>
      </w:r>
      <w:r w:rsidRPr="00873B6C">
        <w:tab/>
      </w:r>
      <w:r w:rsidRPr="00873B6C">
        <w:rPr>
          <w:lang w:eastAsia="zh-CN"/>
        </w:rPr>
        <w:t>The N9 interface may be intra-PLMN or inter PLMN (in the case of Home Routed deployment)</w:t>
      </w:r>
      <w:r w:rsidRPr="00873B6C">
        <w:t>.</w:t>
      </w:r>
    </w:p>
    <w:p w14:paraId="5A651081" w14:textId="77777777" w:rsidR="00D40151" w:rsidRPr="00873B6C" w:rsidRDefault="00D40151" w:rsidP="00D40151">
      <w:r w:rsidRPr="00873B6C">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873B6C" w:rsidRDefault="00D40151" w:rsidP="00D40151">
      <w:pPr>
        <w:pStyle w:val="NO"/>
      </w:pPr>
      <w:r w:rsidRPr="00873B6C">
        <w:t>NOTE 4:</w:t>
      </w:r>
      <w:r w:rsidRPr="00873B6C">
        <w:tab/>
        <w:t>Co-location of the UL CL or Branching Point with a PDU Session Anchor is a deployment option.</w:t>
      </w:r>
    </w:p>
    <w:p w14:paraId="44545FDD" w14:textId="77777777" w:rsidR="00D40151" w:rsidRPr="00873B6C" w:rsidRDefault="00D40151" w:rsidP="00D40151">
      <w:pPr>
        <w:pStyle w:val="Heading3"/>
        <w:rPr>
          <w:lang w:eastAsia="zh-CN"/>
        </w:rPr>
      </w:pPr>
      <w:bookmarkStart w:id="6347" w:name="_CR8_3_2"/>
      <w:bookmarkStart w:id="6348" w:name="_Toc20150292"/>
      <w:bookmarkStart w:id="6349" w:name="_Toc27847100"/>
      <w:bookmarkStart w:id="6350" w:name="_Toc36188233"/>
      <w:bookmarkStart w:id="6351" w:name="_Toc45184147"/>
      <w:bookmarkStart w:id="6352" w:name="_Toc47342989"/>
      <w:bookmarkStart w:id="6353" w:name="_Toc51769691"/>
      <w:bookmarkStart w:id="6354" w:name="_Toc201157879"/>
      <w:bookmarkEnd w:id="6347"/>
      <w:r w:rsidRPr="00873B6C">
        <w:rPr>
          <w:lang w:eastAsia="zh-CN"/>
        </w:rPr>
        <w:lastRenderedPageBreak/>
        <w:t>8</w:t>
      </w:r>
      <w:r w:rsidRPr="00873B6C">
        <w:t>.</w:t>
      </w:r>
      <w:r w:rsidRPr="00873B6C">
        <w:rPr>
          <w:lang w:eastAsia="zh-CN"/>
        </w:rPr>
        <w:t>3</w:t>
      </w:r>
      <w:r w:rsidRPr="00873B6C">
        <w:t>.</w:t>
      </w:r>
      <w:r w:rsidRPr="00873B6C">
        <w:rPr>
          <w:lang w:eastAsia="zh-CN"/>
        </w:rPr>
        <w:t>2</w:t>
      </w:r>
      <w:r w:rsidRPr="00873B6C">
        <w:tab/>
      </w:r>
      <w:r w:rsidRPr="00873B6C">
        <w:rPr>
          <w:lang w:eastAsia="zh-CN"/>
        </w:rPr>
        <w:t>User Plane for untrusted non-3GPP Access</w:t>
      </w:r>
      <w:bookmarkEnd w:id="6348"/>
      <w:bookmarkEnd w:id="6349"/>
      <w:bookmarkEnd w:id="6350"/>
      <w:bookmarkEnd w:id="6351"/>
      <w:bookmarkEnd w:id="6352"/>
      <w:bookmarkEnd w:id="6353"/>
      <w:bookmarkEnd w:id="6354"/>
    </w:p>
    <w:bookmarkStart w:id="6355" w:name="_MON_1546382590"/>
    <w:bookmarkStart w:id="6356" w:name="_MON_1546402358"/>
    <w:bookmarkStart w:id="6357" w:name="_MON_1548689771"/>
    <w:bookmarkStart w:id="6358" w:name="_MON_1545478660"/>
    <w:bookmarkEnd w:id="6355"/>
    <w:bookmarkEnd w:id="6356"/>
    <w:bookmarkEnd w:id="6357"/>
    <w:bookmarkEnd w:id="6358"/>
    <w:bookmarkStart w:id="6359" w:name="_MON_1546339004"/>
    <w:bookmarkEnd w:id="6359"/>
    <w:p w14:paraId="73EE6FBB" w14:textId="77777777" w:rsidR="00D40151" w:rsidRPr="00873B6C" w:rsidRDefault="00D40151" w:rsidP="00D40151">
      <w:pPr>
        <w:pStyle w:val="TH"/>
      </w:pPr>
      <w:r w:rsidRPr="00873B6C">
        <w:object w:dxaOrig="9207" w:dyaOrig="3237" w14:anchorId="13B94F3C">
          <v:shape id="_x0000_i1145" type="#_x0000_t75" style="width:460.15pt;height:164.05pt" o:ole="">
            <v:imagedata r:id="rId249" o:title=""/>
          </v:shape>
          <o:OLEObject Type="Embed" ProgID="Visio.Drawing.11" ShapeID="_x0000_i1145" DrawAspect="Content" ObjectID="_1811772479" r:id="rId250"/>
        </w:object>
      </w:r>
    </w:p>
    <w:p w14:paraId="1D415FF5" w14:textId="77777777" w:rsidR="00D40151" w:rsidRPr="00873B6C" w:rsidRDefault="00D40151" w:rsidP="00D40151">
      <w:pPr>
        <w:pStyle w:val="TF"/>
      </w:pPr>
      <w:bookmarkStart w:id="6360" w:name="_CRFigure8_3_21"/>
      <w:r w:rsidRPr="00873B6C">
        <w:t xml:space="preserve">Figure </w:t>
      </w:r>
      <w:bookmarkEnd w:id="6360"/>
      <w:r w:rsidRPr="00873B6C">
        <w:t>8.3.2-1: User Plane via N3IWF</w:t>
      </w:r>
    </w:p>
    <w:p w14:paraId="700AF9C4" w14:textId="77777777" w:rsidR="00D40151" w:rsidRPr="00873B6C" w:rsidRDefault="00D40151" w:rsidP="00D40151">
      <w:r w:rsidRPr="00873B6C">
        <w:t>Large GRE packets may be fragmented by the "inner IP" layer.</w:t>
      </w:r>
    </w:p>
    <w:p w14:paraId="701CC425" w14:textId="77777777" w:rsidR="00D40151" w:rsidRPr="00873B6C" w:rsidRDefault="00D40151" w:rsidP="00D40151">
      <w:pPr>
        <w:rPr>
          <w:lang w:eastAsia="zh-CN"/>
        </w:rPr>
      </w:pPr>
      <w:r w:rsidRPr="00873B6C">
        <w:t>Details about the PDU Layer, the N3 stack and the N9 stack are included in clause 8.3.1. The UDP protocol may be used below the IPsec layer to enable NAT traversal.</w:t>
      </w:r>
    </w:p>
    <w:p w14:paraId="1A9DA7AB" w14:textId="77777777" w:rsidR="00D40151" w:rsidRPr="00873B6C" w:rsidRDefault="00D40151" w:rsidP="00D40151">
      <w:pPr>
        <w:pStyle w:val="Heading3"/>
        <w:rPr>
          <w:lang w:eastAsia="zh-CN"/>
        </w:rPr>
      </w:pPr>
      <w:bookmarkStart w:id="6361" w:name="_CR8_3_3"/>
      <w:bookmarkStart w:id="6362" w:name="_Toc20150293"/>
      <w:bookmarkStart w:id="6363" w:name="_Toc27847101"/>
      <w:bookmarkStart w:id="6364" w:name="_Toc36188234"/>
      <w:bookmarkStart w:id="6365" w:name="_Toc45184148"/>
      <w:bookmarkStart w:id="6366" w:name="_Toc47342990"/>
      <w:bookmarkStart w:id="6367" w:name="_Toc51769692"/>
      <w:bookmarkStart w:id="6368" w:name="_Toc201157880"/>
      <w:bookmarkEnd w:id="6361"/>
      <w:r w:rsidRPr="00873B6C">
        <w:rPr>
          <w:lang w:eastAsia="zh-CN"/>
        </w:rPr>
        <w:t>8.3.3</w:t>
      </w:r>
      <w:r w:rsidRPr="00873B6C">
        <w:rPr>
          <w:lang w:eastAsia="zh-CN"/>
        </w:rPr>
        <w:tab/>
        <w:t>User Plane for trusted non-3GPP Access</w:t>
      </w:r>
      <w:bookmarkEnd w:id="6362"/>
      <w:bookmarkEnd w:id="6363"/>
      <w:bookmarkEnd w:id="6364"/>
      <w:bookmarkEnd w:id="6365"/>
      <w:bookmarkEnd w:id="6366"/>
      <w:bookmarkEnd w:id="6367"/>
      <w:bookmarkEnd w:id="6368"/>
    </w:p>
    <w:p w14:paraId="2D361813" w14:textId="77777777" w:rsidR="00D40151" w:rsidRPr="00873B6C" w:rsidRDefault="00D40151" w:rsidP="00D40151">
      <w:pPr>
        <w:pStyle w:val="TH"/>
      </w:pPr>
      <w:r w:rsidRPr="00873B6C">
        <w:object w:dxaOrig="9207" w:dyaOrig="3237" w14:anchorId="4721791A">
          <v:shape id="_x0000_i1146" type="#_x0000_t75" style="width:460.15pt;height:164.05pt" o:ole="">
            <v:imagedata r:id="rId251" o:title=""/>
          </v:shape>
          <o:OLEObject Type="Embed" ProgID="Visio.Drawing.11" ShapeID="_x0000_i1146" DrawAspect="Content" ObjectID="_1811772480" r:id="rId252"/>
        </w:object>
      </w:r>
    </w:p>
    <w:p w14:paraId="0F465949" w14:textId="2C2CED60" w:rsidR="00D40151" w:rsidRPr="00873B6C" w:rsidRDefault="00D40151" w:rsidP="00D40151">
      <w:pPr>
        <w:pStyle w:val="TF"/>
      </w:pPr>
      <w:bookmarkStart w:id="6369" w:name="_CRFigure8_3_31"/>
      <w:r w:rsidRPr="00873B6C">
        <w:t xml:space="preserve">Figure </w:t>
      </w:r>
      <w:bookmarkEnd w:id="6369"/>
      <w:r w:rsidRPr="00873B6C">
        <w:t>8.3.</w:t>
      </w:r>
      <w:r w:rsidR="00CA290C" w:rsidRPr="00873B6C">
        <w:t>3</w:t>
      </w:r>
      <w:r w:rsidRPr="00873B6C">
        <w:t>-1: User Plane via TNGF</w:t>
      </w:r>
    </w:p>
    <w:p w14:paraId="18DC0AD5" w14:textId="77777777" w:rsidR="00D40151" w:rsidRPr="00873B6C" w:rsidRDefault="00D40151" w:rsidP="00D40151">
      <w:r w:rsidRPr="00873B6C">
        <w:t>Large GRE packets may be fragmented by the "inner IP" layer.</w:t>
      </w:r>
    </w:p>
    <w:p w14:paraId="4C984187" w14:textId="77777777" w:rsidR="00D40151" w:rsidRPr="00873B6C" w:rsidRDefault="00D40151" w:rsidP="00D40151">
      <w:r w:rsidRPr="00873B6C">
        <w:t>Details about the PDU Layer, the N3 stack and the N9 stack are included in clause 8.3.1. The UDP protocol may be used below the IPsec layer to enable NAT traversal.</w:t>
      </w:r>
    </w:p>
    <w:p w14:paraId="0816C212" w14:textId="77777777" w:rsidR="00D40151" w:rsidRPr="00873B6C" w:rsidRDefault="00D40151" w:rsidP="00D40151">
      <w:pPr>
        <w:pStyle w:val="Heading3"/>
        <w:rPr>
          <w:lang w:eastAsia="zh-CN"/>
        </w:rPr>
      </w:pPr>
      <w:bookmarkStart w:id="6370" w:name="_CR8_3_4"/>
      <w:bookmarkStart w:id="6371" w:name="_Toc20150294"/>
      <w:bookmarkStart w:id="6372" w:name="_Toc27847102"/>
      <w:bookmarkStart w:id="6373" w:name="_Toc36188235"/>
      <w:bookmarkStart w:id="6374" w:name="_Toc45184149"/>
      <w:bookmarkStart w:id="6375" w:name="_Toc47342991"/>
      <w:bookmarkStart w:id="6376" w:name="_Toc51769693"/>
      <w:bookmarkStart w:id="6377" w:name="_Toc201157881"/>
      <w:bookmarkEnd w:id="6370"/>
      <w:r w:rsidRPr="00873B6C">
        <w:rPr>
          <w:lang w:eastAsia="zh-CN"/>
        </w:rPr>
        <w:t>8.3.4</w:t>
      </w:r>
      <w:r w:rsidRPr="00873B6C">
        <w:rPr>
          <w:lang w:eastAsia="zh-CN"/>
        </w:rPr>
        <w:tab/>
        <w:t>User Plane for W-5GAN Access</w:t>
      </w:r>
      <w:bookmarkEnd w:id="6371"/>
      <w:bookmarkEnd w:id="6372"/>
      <w:bookmarkEnd w:id="6373"/>
      <w:bookmarkEnd w:id="6374"/>
      <w:bookmarkEnd w:id="6375"/>
      <w:bookmarkEnd w:id="6376"/>
      <w:bookmarkEnd w:id="6377"/>
    </w:p>
    <w:p w14:paraId="6C1FE0D6" w14:textId="48CBF182" w:rsidR="00D40151" w:rsidRPr="00873B6C" w:rsidRDefault="00D40151" w:rsidP="00D40151">
      <w:pPr>
        <w:rPr>
          <w:lang w:eastAsia="zh-CN"/>
        </w:rPr>
      </w:pPr>
      <w:r w:rsidRPr="00873B6C">
        <w:rPr>
          <w:lang w:eastAsia="zh-CN"/>
        </w:rPr>
        <w:t>The user plane for W-5GAN is defined in clause 6 of</w:t>
      </w:r>
      <w:r w:rsidR="00704A9E" w:rsidRPr="00873B6C">
        <w:rPr>
          <w:lang w:eastAsia="zh-CN"/>
        </w:rPr>
        <w:t xml:space="preserve"> </w:t>
      </w:r>
      <w:r w:rsidR="00972E70" w:rsidRPr="00873B6C">
        <w:rPr>
          <w:lang w:eastAsia="zh-CN"/>
        </w:rPr>
        <w:t>TS 23.316 [</w:t>
      </w:r>
      <w:r w:rsidRPr="00873B6C">
        <w:rPr>
          <w:lang w:eastAsia="zh-CN"/>
        </w:rPr>
        <w:t>84].</w:t>
      </w:r>
    </w:p>
    <w:p w14:paraId="1E0169B4" w14:textId="77777777" w:rsidR="00D40151" w:rsidRPr="00873B6C" w:rsidRDefault="00D40151" w:rsidP="00D40151">
      <w:pPr>
        <w:pStyle w:val="Heading3"/>
        <w:rPr>
          <w:lang w:eastAsia="zh-CN"/>
        </w:rPr>
      </w:pPr>
      <w:bookmarkStart w:id="6378" w:name="_CR8_3_5"/>
      <w:bookmarkStart w:id="6379" w:name="_Toc20150295"/>
      <w:bookmarkStart w:id="6380" w:name="_Toc27847103"/>
      <w:bookmarkStart w:id="6381" w:name="_Toc36188236"/>
      <w:bookmarkStart w:id="6382" w:name="_Toc45184150"/>
      <w:bookmarkStart w:id="6383" w:name="_Toc47342992"/>
      <w:bookmarkStart w:id="6384" w:name="_Toc51769694"/>
      <w:bookmarkStart w:id="6385" w:name="_Toc201157882"/>
      <w:bookmarkEnd w:id="6378"/>
      <w:r w:rsidRPr="00873B6C">
        <w:rPr>
          <w:lang w:eastAsia="zh-CN"/>
        </w:rPr>
        <w:lastRenderedPageBreak/>
        <w:t>8.3.5</w:t>
      </w:r>
      <w:r w:rsidRPr="00873B6C">
        <w:rPr>
          <w:lang w:eastAsia="zh-CN"/>
        </w:rPr>
        <w:tab/>
        <w:t>User Plane for N19-based forwarding of a 5G VN group</w:t>
      </w:r>
      <w:bookmarkEnd w:id="6379"/>
      <w:bookmarkEnd w:id="6380"/>
      <w:bookmarkEnd w:id="6381"/>
      <w:bookmarkEnd w:id="6382"/>
      <w:bookmarkEnd w:id="6383"/>
      <w:bookmarkEnd w:id="6384"/>
      <w:bookmarkEnd w:id="6385"/>
    </w:p>
    <w:bookmarkStart w:id="6386" w:name="_MON_1546401238"/>
    <w:bookmarkEnd w:id="6386"/>
    <w:p w14:paraId="3740F0E3" w14:textId="77777777" w:rsidR="00D40151" w:rsidRPr="00873B6C" w:rsidRDefault="00D40151" w:rsidP="00D40151">
      <w:pPr>
        <w:pStyle w:val="TH"/>
        <w:rPr>
          <w:lang w:eastAsia="zh-CN"/>
        </w:rPr>
      </w:pPr>
      <w:r w:rsidRPr="00873B6C">
        <w:object w:dxaOrig="8506" w:dyaOrig="3510" w14:anchorId="6A2FBF26">
          <v:shape id="_x0000_i1147" type="#_x0000_t75" style="width:425.75pt;height:180.3pt" o:ole="">
            <v:imagedata r:id="rId253" o:title=""/>
          </v:shape>
          <o:OLEObject Type="Embed" ProgID="Visio.Drawing.11" ShapeID="_x0000_i1147" DrawAspect="Content" ObjectID="_1811772481" r:id="rId254"/>
        </w:object>
      </w:r>
    </w:p>
    <w:p w14:paraId="51660DC7" w14:textId="77777777" w:rsidR="00D40151" w:rsidRPr="00873B6C" w:rsidRDefault="00D40151" w:rsidP="00D40151">
      <w:pPr>
        <w:pStyle w:val="TF"/>
        <w:rPr>
          <w:lang w:eastAsia="zh-CN"/>
        </w:rPr>
      </w:pPr>
      <w:bookmarkStart w:id="6387" w:name="_CRFigure8_3_51"/>
      <w:r w:rsidRPr="00873B6C">
        <w:rPr>
          <w:lang w:eastAsia="zh-CN"/>
        </w:rPr>
        <w:t xml:space="preserve">Figure </w:t>
      </w:r>
      <w:bookmarkEnd w:id="6387"/>
      <w:r w:rsidRPr="00873B6C">
        <w:rPr>
          <w:lang w:eastAsia="zh-CN"/>
        </w:rPr>
        <w:t>8.3.5-1: User Plane for N19-based forwarding</w:t>
      </w:r>
    </w:p>
    <w:p w14:paraId="532B78EA" w14:textId="77777777" w:rsidR="00D40151" w:rsidRPr="00873B6C" w:rsidRDefault="00D40151" w:rsidP="00D40151">
      <w:pPr>
        <w:rPr>
          <w:lang w:eastAsia="zh-CN"/>
        </w:rPr>
      </w:pPr>
      <w:r w:rsidRPr="00873B6C">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873B6C" w:rsidRDefault="00D52D28" w:rsidP="00D52D28">
      <w:pPr>
        <w:pStyle w:val="Heading3"/>
        <w:rPr>
          <w:lang w:eastAsia="zh-CN"/>
        </w:rPr>
      </w:pPr>
      <w:bookmarkStart w:id="6388" w:name="_CR8_3_6"/>
      <w:bookmarkStart w:id="6389" w:name="_Toc201157883"/>
      <w:bookmarkEnd w:id="6388"/>
      <w:r w:rsidRPr="00873B6C">
        <w:rPr>
          <w:lang w:eastAsia="zh-CN"/>
        </w:rPr>
        <w:t>8.3.6</w:t>
      </w:r>
      <w:r w:rsidRPr="00873B6C">
        <w:rPr>
          <w:lang w:eastAsia="zh-CN"/>
        </w:rPr>
        <w:tab/>
        <w:t>User Plane for Trusted WLAN Access for N5CW Device</w:t>
      </w:r>
      <w:bookmarkEnd w:id="6389"/>
    </w:p>
    <w:p w14:paraId="06D2E562" w14:textId="6FDDC074" w:rsidR="00D52D28" w:rsidRPr="00873B6C" w:rsidRDefault="00D52D28" w:rsidP="008546A1">
      <w:pPr>
        <w:pStyle w:val="TH"/>
      </w:pPr>
      <w:r w:rsidRPr="00873B6C">
        <w:object w:dxaOrig="9072" w:dyaOrig="2549" w14:anchorId="51676678">
          <v:shape id="_x0000_i1148" type="#_x0000_t75" style="width:453.9pt;height:129.6pt" o:ole="">
            <v:imagedata r:id="rId255" o:title=""/>
          </v:shape>
          <o:OLEObject Type="Embed" ProgID="Word.Picture.8" ShapeID="_x0000_i1148" DrawAspect="Content" ObjectID="_1811772482" r:id="rId256"/>
        </w:object>
      </w:r>
    </w:p>
    <w:p w14:paraId="7AEE578B" w14:textId="77777777" w:rsidR="00D52D28" w:rsidRPr="00873B6C" w:rsidRDefault="00D52D28" w:rsidP="00D52D28">
      <w:pPr>
        <w:pStyle w:val="NF"/>
        <w:rPr>
          <w:b/>
          <w:bCs/>
          <w:lang w:eastAsia="zh-CN"/>
        </w:rPr>
      </w:pPr>
      <w:r w:rsidRPr="00873B6C">
        <w:rPr>
          <w:b/>
          <w:bCs/>
          <w:lang w:eastAsia="zh-CN"/>
        </w:rPr>
        <w:t>Legend:</w:t>
      </w:r>
    </w:p>
    <w:p w14:paraId="6060D689" w14:textId="77777777" w:rsidR="00D52D28" w:rsidRPr="00873B6C" w:rsidRDefault="00D52D28" w:rsidP="00D52D28">
      <w:pPr>
        <w:pStyle w:val="NF"/>
        <w:rPr>
          <w:lang w:eastAsia="zh-CN"/>
        </w:rPr>
      </w:pPr>
      <w:r w:rsidRPr="00873B6C">
        <w:rPr>
          <w:lang w:eastAsia="zh-CN"/>
        </w:rPr>
        <w:t>-</w:t>
      </w:r>
      <w:r w:rsidRPr="00873B6C">
        <w:rPr>
          <w:lang w:eastAsia="zh-CN"/>
        </w:rPr>
        <w:tab/>
        <w:t>Transport: this layer refers to the transport of PDUs between the N5CW device and TWIF (see clause 4.2.8.5.4).</w:t>
      </w:r>
    </w:p>
    <w:p w14:paraId="1A703A84" w14:textId="5EF7AF0C" w:rsidR="00D52D28" w:rsidRPr="00873B6C" w:rsidRDefault="00D52D28" w:rsidP="00D52D28">
      <w:pPr>
        <w:pStyle w:val="NF"/>
        <w:rPr>
          <w:lang w:eastAsia="zh-CN"/>
        </w:rPr>
      </w:pPr>
      <w:r w:rsidRPr="00873B6C">
        <w:rPr>
          <w:lang w:eastAsia="zh-CN"/>
        </w:rPr>
        <w:tab/>
        <w:t>In this Release of the specification, Trusted WLAN Access for N5CW Device only supports IP PDU Session type.</w:t>
      </w:r>
    </w:p>
    <w:p w14:paraId="5F033899" w14:textId="77777777" w:rsidR="00D52D28" w:rsidRPr="00873B6C" w:rsidRDefault="00D52D28" w:rsidP="00562E84">
      <w:pPr>
        <w:pStyle w:val="NF"/>
        <w:rPr>
          <w:lang w:eastAsia="zh-CN"/>
        </w:rPr>
      </w:pPr>
    </w:p>
    <w:p w14:paraId="7E7C0228" w14:textId="2692A704" w:rsidR="00D52D28" w:rsidRPr="00873B6C" w:rsidRDefault="00D52D28" w:rsidP="00D52D28">
      <w:pPr>
        <w:pStyle w:val="TF"/>
        <w:rPr>
          <w:lang w:eastAsia="zh-CN"/>
        </w:rPr>
      </w:pPr>
      <w:bookmarkStart w:id="6390" w:name="_CRFigure8_2_81"/>
      <w:r w:rsidRPr="00873B6C">
        <w:rPr>
          <w:lang w:eastAsia="zh-CN"/>
        </w:rPr>
        <w:t xml:space="preserve">Figure </w:t>
      </w:r>
      <w:bookmarkEnd w:id="6390"/>
      <w:r w:rsidRPr="00873B6C">
        <w:rPr>
          <w:lang w:eastAsia="zh-CN"/>
        </w:rPr>
        <w:t>8.2.8-1: User Plane for trusted WLAN access for N5CW device</w:t>
      </w:r>
    </w:p>
    <w:p w14:paraId="45CA78E2" w14:textId="77777777" w:rsidR="00D40151" w:rsidRPr="00873B6C" w:rsidRDefault="00D40151" w:rsidP="00D40151">
      <w:pPr>
        <w:pStyle w:val="Heading8"/>
        <w:rPr>
          <w:lang w:eastAsia="ja-JP"/>
        </w:rPr>
      </w:pPr>
      <w:bookmarkStart w:id="6391" w:name="_CRAnnexAinformative"/>
      <w:bookmarkEnd w:id="6391"/>
      <w:r w:rsidRPr="00873B6C">
        <w:br w:type="page"/>
      </w:r>
      <w:bookmarkStart w:id="6392" w:name="_Toc20150296"/>
      <w:bookmarkStart w:id="6393" w:name="_Toc27847104"/>
      <w:bookmarkStart w:id="6394" w:name="_Toc36188237"/>
      <w:bookmarkStart w:id="6395" w:name="_Toc45184151"/>
      <w:bookmarkStart w:id="6396" w:name="_Toc47342993"/>
      <w:bookmarkStart w:id="6397" w:name="_Toc51769695"/>
      <w:bookmarkStart w:id="6398" w:name="_Toc201157884"/>
      <w:r w:rsidRPr="00873B6C">
        <w:lastRenderedPageBreak/>
        <w:t>Annex A (informative):</w:t>
      </w:r>
      <w:r w:rsidRPr="00873B6C">
        <w:br/>
      </w:r>
      <w:r w:rsidRPr="00873B6C">
        <w:rPr>
          <w:lang w:eastAsia="ja-JP"/>
        </w:rPr>
        <w:t>Relationship between Service-Based Interfaces and Reference Points</w:t>
      </w:r>
      <w:bookmarkEnd w:id="6392"/>
      <w:bookmarkEnd w:id="6393"/>
      <w:bookmarkEnd w:id="6394"/>
      <w:bookmarkEnd w:id="6395"/>
      <w:bookmarkEnd w:id="6396"/>
      <w:bookmarkEnd w:id="6397"/>
      <w:bookmarkEnd w:id="6398"/>
    </w:p>
    <w:p w14:paraId="038C41B5" w14:textId="461DCF7C" w:rsidR="00D40151" w:rsidRPr="00873B6C" w:rsidRDefault="00D40151" w:rsidP="00D40151">
      <w:pPr>
        <w:rPr>
          <w:rFonts w:eastAsia="SimSun"/>
        </w:rPr>
      </w:pPr>
      <w:r w:rsidRPr="00873B6C">
        <w:rPr>
          <w:lang w:eastAsia="ja-JP"/>
        </w:rPr>
        <w:t xml:space="preserve">Service-Based </w:t>
      </w:r>
      <w:r w:rsidRPr="00873B6C">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972E70" w:rsidRPr="00873B6C">
        <w:rPr>
          <w:rFonts w:eastAsia="SimSun"/>
        </w:rPr>
        <w:t>TR 21.905 [</w:t>
      </w:r>
      <w:r w:rsidRPr="00873B6C">
        <w:rPr>
          <w:rFonts w:eastAsia="SimSun"/>
        </w:rPr>
        <w:t>1]). In figure A-1 the functional groups are equivalent to Network Functions.</w:t>
      </w:r>
    </w:p>
    <w:p w14:paraId="36C17ACC" w14:textId="77777777" w:rsidR="00D40151" w:rsidRPr="00873B6C" w:rsidRDefault="00D40151" w:rsidP="00D40151">
      <w:pPr>
        <w:rPr>
          <w:rFonts w:eastAsia="SimSun"/>
        </w:rPr>
      </w:pPr>
      <w:r w:rsidRPr="00873B6C">
        <w:rPr>
          <w:rFonts w:eastAsia="SimSun"/>
        </w:rPr>
        <w:t>A reference point can be replaced by one or more service-based interfaces which provide equivalent functionality.</w:t>
      </w:r>
    </w:p>
    <w:bookmarkStart w:id="6399" w:name="_MON_1554128775"/>
    <w:bookmarkEnd w:id="6399"/>
    <w:p w14:paraId="3790A6DF" w14:textId="77777777" w:rsidR="00D40151" w:rsidRPr="00873B6C" w:rsidRDefault="00D40151" w:rsidP="00D40151">
      <w:pPr>
        <w:pStyle w:val="TH"/>
        <w:rPr>
          <w:lang w:eastAsia="ja-JP"/>
        </w:rPr>
      </w:pPr>
      <w:r w:rsidRPr="00873B6C">
        <w:rPr>
          <w:lang w:eastAsia="ja-JP"/>
        </w:rPr>
        <w:object w:dxaOrig="3787" w:dyaOrig="2639" w14:anchorId="44C4F370">
          <v:shape id="_x0000_i1149" type="#_x0000_t75" style="width:187.2pt;height:129.6pt" o:ole="">
            <v:imagedata r:id="rId257" o:title=""/>
          </v:shape>
          <o:OLEObject Type="Embed" ProgID="Word.Picture.8" ShapeID="_x0000_i1149" DrawAspect="Content" ObjectID="_1811772483" r:id="rId258"/>
        </w:object>
      </w:r>
    </w:p>
    <w:p w14:paraId="435E8CC8" w14:textId="77777777" w:rsidR="00D40151" w:rsidRPr="00873B6C" w:rsidRDefault="00D40151" w:rsidP="00D40151">
      <w:pPr>
        <w:pStyle w:val="TF"/>
      </w:pPr>
      <w:bookmarkStart w:id="6400" w:name="_CRFigureA1"/>
      <w:r w:rsidRPr="00873B6C">
        <w:t xml:space="preserve">Figure </w:t>
      </w:r>
      <w:bookmarkEnd w:id="6400"/>
      <w:r w:rsidRPr="00873B6C">
        <w:t>A-1: Example show a Reference Point replaced by two Service based Interfaces</w:t>
      </w:r>
    </w:p>
    <w:bookmarkStart w:id="6401" w:name="_MON_1554128953"/>
    <w:bookmarkEnd w:id="6401"/>
    <w:p w14:paraId="1D4BB158" w14:textId="77777777" w:rsidR="00D40151" w:rsidRPr="00873B6C" w:rsidRDefault="00D40151" w:rsidP="00D40151">
      <w:pPr>
        <w:pStyle w:val="TH"/>
        <w:rPr>
          <w:lang w:eastAsia="ja-JP"/>
        </w:rPr>
      </w:pPr>
      <w:r w:rsidRPr="00873B6C">
        <w:rPr>
          <w:lang w:eastAsia="ja-JP"/>
        </w:rPr>
        <w:object w:dxaOrig="3787" w:dyaOrig="2639" w14:anchorId="52BBF956">
          <v:shape id="_x0000_i1150" type="#_x0000_t75" style="width:187.2pt;height:129.6pt" o:ole="">
            <v:imagedata r:id="rId259" o:title=""/>
          </v:shape>
          <o:OLEObject Type="Embed" ProgID="Word.Picture.8" ShapeID="_x0000_i1150" DrawAspect="Content" ObjectID="_1811772484" r:id="rId260"/>
        </w:object>
      </w:r>
    </w:p>
    <w:p w14:paraId="7BDF4AE4" w14:textId="77777777" w:rsidR="00D40151" w:rsidRPr="00873B6C" w:rsidRDefault="00D40151" w:rsidP="00D40151">
      <w:pPr>
        <w:pStyle w:val="TF"/>
      </w:pPr>
      <w:bookmarkStart w:id="6402" w:name="_CRFigureA2"/>
      <w:r w:rsidRPr="00873B6C">
        <w:t xml:space="preserve">Figure </w:t>
      </w:r>
      <w:bookmarkEnd w:id="6402"/>
      <w:r w:rsidRPr="00873B6C">
        <w:t>A-2: Example showing a Reference Point replaced by a single Service based Interface</w:t>
      </w:r>
    </w:p>
    <w:p w14:paraId="4049096F" w14:textId="77777777" w:rsidR="00D40151" w:rsidRPr="00873B6C" w:rsidRDefault="00D40151" w:rsidP="00D40151">
      <w:r w:rsidRPr="00873B6C">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6403" w:name="_MON_1554129120"/>
    <w:bookmarkEnd w:id="6403"/>
    <w:p w14:paraId="4CFBC3DC" w14:textId="77777777" w:rsidR="00D40151" w:rsidRPr="00873B6C" w:rsidRDefault="00D40151" w:rsidP="00D40151">
      <w:pPr>
        <w:pStyle w:val="TH"/>
      </w:pPr>
      <w:r w:rsidRPr="00873B6C">
        <w:object w:dxaOrig="3778" w:dyaOrig="2386" w14:anchorId="1059366E">
          <v:shape id="_x0000_i1151" type="#_x0000_t75" style="width:187.85pt;height:122.7pt" o:ole="">
            <v:imagedata r:id="rId261" o:title=""/>
          </v:shape>
          <o:OLEObject Type="Embed" ProgID="Word.Picture.8" ShapeID="_x0000_i1151" DrawAspect="Content" ObjectID="_1811772485" r:id="rId262"/>
        </w:object>
      </w:r>
    </w:p>
    <w:p w14:paraId="7195B545" w14:textId="77777777" w:rsidR="00D40151" w:rsidRPr="00873B6C" w:rsidRDefault="00D40151" w:rsidP="00D40151">
      <w:pPr>
        <w:pStyle w:val="TF"/>
      </w:pPr>
      <w:bookmarkStart w:id="6404" w:name="_CRFigureA3"/>
      <w:r w:rsidRPr="00873B6C">
        <w:t xml:space="preserve">Figure </w:t>
      </w:r>
      <w:bookmarkEnd w:id="6404"/>
      <w:r w:rsidRPr="00873B6C">
        <w:t>A-3: Reference Points vs. Service-based Interfaces representation of equal functionality on the interfaces</w:t>
      </w:r>
    </w:p>
    <w:p w14:paraId="17581CEB" w14:textId="77777777" w:rsidR="00D40151" w:rsidRPr="00873B6C" w:rsidRDefault="00D40151" w:rsidP="00D40151">
      <w:pPr>
        <w:rPr>
          <w:rFonts w:eastAsia="SimSun"/>
        </w:rPr>
      </w:pPr>
      <w:r w:rsidRPr="00873B6C">
        <w:rPr>
          <w:rFonts w:eastAsia="SimSun"/>
        </w:rPr>
        <w:t>A NF may expose one or more services through Service based interfaces.</w:t>
      </w:r>
    </w:p>
    <w:p w14:paraId="2A5A18CC" w14:textId="77777777" w:rsidR="00D40151" w:rsidRPr="00873B6C" w:rsidRDefault="00D40151" w:rsidP="00D40151">
      <w:pPr>
        <w:pStyle w:val="TH"/>
        <w:rPr>
          <w:lang w:eastAsia="ja-JP"/>
        </w:rPr>
      </w:pPr>
      <w:r w:rsidRPr="00873B6C">
        <w:object w:dxaOrig="7020" w:dyaOrig="2460" w14:anchorId="4989D9CD">
          <v:shape id="_x0000_i1152" type="#_x0000_t75" style="width:267.35pt;height:79.5pt" o:ole="">
            <v:imagedata r:id="rId263" o:title="" cropbottom="22655f" cropright="15878f"/>
          </v:shape>
          <o:OLEObject Type="Embed" ProgID="Visio.Drawing.15" ShapeID="_x0000_i1152" DrawAspect="Content" ObjectID="_1811772486" r:id="rId264"/>
        </w:object>
      </w:r>
    </w:p>
    <w:p w14:paraId="5D761124" w14:textId="77777777" w:rsidR="00D40151" w:rsidRPr="00873B6C" w:rsidRDefault="00D40151" w:rsidP="00D40151">
      <w:pPr>
        <w:pStyle w:val="TF"/>
      </w:pPr>
      <w:bookmarkStart w:id="6405" w:name="_CRFigureA4"/>
      <w:r w:rsidRPr="00873B6C">
        <w:t xml:space="preserve">Figure </w:t>
      </w:r>
      <w:bookmarkEnd w:id="6405"/>
      <w:r w:rsidRPr="00873B6C">
        <w:t>A-4: One or more Services exposed by one Network Function</w:t>
      </w:r>
    </w:p>
    <w:p w14:paraId="157C736A" w14:textId="77777777" w:rsidR="00D40151" w:rsidRPr="00873B6C" w:rsidRDefault="00D40151" w:rsidP="00D40151">
      <w:pPr>
        <w:pStyle w:val="Heading8"/>
      </w:pPr>
      <w:bookmarkStart w:id="6406" w:name="_CRAnnexBnormative"/>
      <w:bookmarkEnd w:id="6406"/>
      <w:r w:rsidRPr="00873B6C">
        <w:br w:type="page"/>
      </w:r>
      <w:bookmarkStart w:id="6407" w:name="_Toc20150297"/>
      <w:bookmarkStart w:id="6408" w:name="_Toc27847105"/>
      <w:bookmarkStart w:id="6409" w:name="_Toc36188238"/>
      <w:bookmarkStart w:id="6410" w:name="_Toc45184152"/>
      <w:bookmarkStart w:id="6411" w:name="_Toc47342994"/>
      <w:bookmarkStart w:id="6412" w:name="_Toc51769696"/>
      <w:bookmarkStart w:id="6413" w:name="_Toc201157885"/>
      <w:r w:rsidRPr="00873B6C">
        <w:lastRenderedPageBreak/>
        <w:t>Annex B (normative):</w:t>
      </w:r>
      <w:r w:rsidRPr="00873B6C">
        <w:br/>
        <w:t>Mapping between temporary identities</w:t>
      </w:r>
      <w:bookmarkEnd w:id="6407"/>
      <w:bookmarkEnd w:id="6408"/>
      <w:bookmarkEnd w:id="6409"/>
      <w:bookmarkEnd w:id="6410"/>
      <w:bookmarkEnd w:id="6411"/>
      <w:bookmarkEnd w:id="6412"/>
      <w:bookmarkEnd w:id="6413"/>
    </w:p>
    <w:p w14:paraId="62645B1C" w14:textId="77777777" w:rsidR="00D40151" w:rsidRPr="00873B6C" w:rsidRDefault="00D40151" w:rsidP="00D40151">
      <w:pPr>
        <w:rPr>
          <w:lang w:eastAsia="zh-CN"/>
        </w:rPr>
      </w:pPr>
      <w:r w:rsidRPr="00873B6C">
        <w:rPr>
          <w:lang w:eastAsia="zh-CN"/>
        </w:rPr>
        <w:t>When interworking procedures with N26 are used</w:t>
      </w:r>
      <w:r w:rsidRPr="00873B6C">
        <w:t xml:space="preserve"> and the UE performs </w:t>
      </w:r>
      <w:r w:rsidRPr="00873B6C">
        <w:rPr>
          <w:lang w:eastAsia="zh-CN"/>
        </w:rPr>
        <w:t>idle mode mobility from 5GC to EPC the following mapping from 5G GUTI to EPS GUTI applies:</w:t>
      </w:r>
    </w:p>
    <w:p w14:paraId="3F082474" w14:textId="77777777" w:rsidR="00D40151" w:rsidRPr="00873B6C" w:rsidRDefault="00D40151" w:rsidP="00D40151">
      <w:pPr>
        <w:pStyle w:val="B1"/>
      </w:pPr>
      <w:r w:rsidRPr="00873B6C">
        <w:t>-</w:t>
      </w:r>
      <w:r w:rsidRPr="00873B6C">
        <w:tab/>
        <w:t>5G &lt;MCC&gt; maps to EPS &lt;MCC&gt;</w:t>
      </w:r>
    </w:p>
    <w:p w14:paraId="366B4378" w14:textId="77777777" w:rsidR="00D40151" w:rsidRPr="00873B6C" w:rsidRDefault="00D40151" w:rsidP="00D40151">
      <w:pPr>
        <w:pStyle w:val="B1"/>
      </w:pPr>
      <w:r w:rsidRPr="00873B6C">
        <w:t>-</w:t>
      </w:r>
      <w:r w:rsidRPr="00873B6C">
        <w:tab/>
        <w:t>5G &lt;MNC&gt; maps to EPS &lt;MNC&gt;</w:t>
      </w:r>
    </w:p>
    <w:p w14:paraId="4C081774" w14:textId="77777777" w:rsidR="00D40151" w:rsidRPr="00873B6C" w:rsidRDefault="00D40151" w:rsidP="00D40151">
      <w:pPr>
        <w:pStyle w:val="B1"/>
      </w:pPr>
      <w:r w:rsidRPr="00873B6C">
        <w:t>-</w:t>
      </w:r>
      <w:r w:rsidRPr="00873B6C">
        <w:tab/>
        <w:t>5G &lt;</w:t>
      </w:r>
      <w:r w:rsidRPr="00873B6C">
        <w:rPr>
          <w:rFonts w:eastAsia="DengXian"/>
        </w:rPr>
        <w:t>AMF Region ID</w:t>
      </w:r>
      <w:r w:rsidRPr="00873B6C">
        <w:t>&gt; and 5G &lt;AMF Set ID&gt; maps to EPS &lt;MMEGI&gt; and part of EPS &lt;MMEC&gt;</w:t>
      </w:r>
    </w:p>
    <w:p w14:paraId="6D789434" w14:textId="77777777" w:rsidR="00D40151" w:rsidRPr="00873B6C" w:rsidRDefault="00D40151" w:rsidP="00D40151">
      <w:pPr>
        <w:pStyle w:val="B1"/>
      </w:pPr>
      <w:r w:rsidRPr="00873B6C">
        <w:t>-</w:t>
      </w:r>
      <w:r w:rsidRPr="00873B6C">
        <w:tab/>
        <w:t>5G &lt;</w:t>
      </w:r>
      <w:r w:rsidRPr="00873B6C">
        <w:rPr>
          <w:rFonts w:eastAsia="DengXian"/>
        </w:rPr>
        <w:t>AMF Pointer</w:t>
      </w:r>
      <w:r w:rsidRPr="00873B6C">
        <w:t>&gt; map to part of EPS &lt;MMEC&gt;</w:t>
      </w:r>
    </w:p>
    <w:p w14:paraId="45DA91A4" w14:textId="77777777" w:rsidR="00D40151" w:rsidRPr="00873B6C" w:rsidRDefault="00D40151" w:rsidP="00D40151">
      <w:pPr>
        <w:pStyle w:val="B1"/>
      </w:pPr>
      <w:r w:rsidRPr="00873B6C">
        <w:t>-</w:t>
      </w:r>
      <w:r w:rsidRPr="00873B6C">
        <w:tab/>
        <w:t>5G &lt;5G-TMSI&gt; maps to EPS &lt;M-TMSI&gt;</w:t>
      </w:r>
    </w:p>
    <w:p w14:paraId="6D121911" w14:textId="718E3767" w:rsidR="00D40151" w:rsidRPr="00873B6C" w:rsidRDefault="00D40151" w:rsidP="00D40151">
      <w:pPr>
        <w:pStyle w:val="NO"/>
      </w:pPr>
      <w:r w:rsidRPr="00873B6C">
        <w:t>NOTE 1:</w:t>
      </w:r>
      <w:r w:rsidRPr="00873B6C">
        <w:tab/>
        <w:t xml:space="preserve">The mapping described above does not necessarily imply the same size for the 5G GUTI and EPS GUTI fields that are mapped. The size of 5G GUTI fields and other mapping details will be defined in </w:t>
      </w:r>
      <w:r w:rsidR="00972E70" w:rsidRPr="00873B6C">
        <w:t>TS 23.003 [</w:t>
      </w:r>
      <w:r w:rsidRPr="00873B6C">
        <w:t>19].</w:t>
      </w:r>
    </w:p>
    <w:p w14:paraId="6A588EDE" w14:textId="77777777" w:rsidR="00D40151" w:rsidRPr="00873B6C" w:rsidRDefault="00D40151" w:rsidP="00D40151">
      <w:pPr>
        <w:pStyle w:val="NO"/>
      </w:pPr>
      <w:r w:rsidRPr="00873B6C">
        <w:t>NOTE 2:</w:t>
      </w:r>
      <w:r w:rsidRPr="00873B6C">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873B6C" w:rsidRDefault="00D40151" w:rsidP="00D40151">
      <w:pPr>
        <w:pStyle w:val="Heading8"/>
      </w:pPr>
      <w:bookmarkStart w:id="6414" w:name="_CRAnnexCinformative"/>
      <w:bookmarkEnd w:id="6414"/>
      <w:r w:rsidRPr="00873B6C">
        <w:br w:type="page"/>
      </w:r>
      <w:bookmarkStart w:id="6415" w:name="_Toc20150298"/>
      <w:bookmarkStart w:id="6416" w:name="_Toc27847106"/>
      <w:bookmarkStart w:id="6417" w:name="_Toc36188239"/>
      <w:bookmarkStart w:id="6418" w:name="_Toc45184153"/>
      <w:bookmarkStart w:id="6419" w:name="_Toc47342995"/>
      <w:bookmarkStart w:id="6420" w:name="_Toc51769697"/>
      <w:bookmarkStart w:id="6421" w:name="_Toc201157886"/>
      <w:r w:rsidRPr="00873B6C">
        <w:lastRenderedPageBreak/>
        <w:t>Annex C (informative):</w:t>
      </w:r>
      <w:r w:rsidRPr="00873B6C">
        <w:br/>
        <w:t>Guidelines and Principles for Compute-Storage Separation</w:t>
      </w:r>
      <w:bookmarkEnd w:id="6415"/>
      <w:bookmarkEnd w:id="6416"/>
      <w:bookmarkEnd w:id="6417"/>
      <w:bookmarkEnd w:id="6418"/>
      <w:bookmarkEnd w:id="6419"/>
      <w:bookmarkEnd w:id="6420"/>
      <w:bookmarkEnd w:id="6421"/>
    </w:p>
    <w:p w14:paraId="2AFEB40B" w14:textId="7E577591" w:rsidR="00D40151" w:rsidRPr="00873B6C" w:rsidRDefault="00D40151" w:rsidP="00D40151">
      <w:r w:rsidRPr="00873B6C">
        <w:t>5G System Architecture allows any NF/NF Service to store and retrieve its unstructured data (e.g. UE contexts) into/from a Storage entity (e.g. UDSF) as stated in clause 4.2.5 in this release of the specification. Thi</w:t>
      </w:r>
      <w:r w:rsidR="00323277" w:rsidRPr="00873B6C">
        <w:t xml:space="preserve">s clause </w:t>
      </w:r>
      <w:r w:rsidRPr="00873B6C">
        <w:t>highlights some assumptions, principles regarding NF/NF services that use this Storage entity for storing unstructured data:</w:t>
      </w:r>
    </w:p>
    <w:p w14:paraId="084DC86A" w14:textId="77777777" w:rsidR="00D40151" w:rsidRPr="00873B6C" w:rsidRDefault="00D40151" w:rsidP="00D40151">
      <w:pPr>
        <w:pStyle w:val="B1"/>
      </w:pPr>
      <w:r w:rsidRPr="00873B6C">
        <w:t>1.</w:t>
      </w:r>
      <w:r w:rsidRPr="00873B6C">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873B6C" w:rsidRDefault="00D40151" w:rsidP="00D40151">
      <w:pPr>
        <w:pStyle w:val="B1"/>
      </w:pPr>
      <w:r w:rsidRPr="00873B6C">
        <w:t>2.</w:t>
      </w:r>
      <w:r w:rsidRPr="00873B6C">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873B6C" w:rsidRDefault="00D40151" w:rsidP="00D40151">
      <w:pPr>
        <w:pStyle w:val="B1"/>
      </w:pPr>
      <w:r w:rsidRPr="00873B6C">
        <w:t>3.</w:t>
      </w:r>
      <w:r w:rsidRPr="00873B6C">
        <w:tab/>
        <w:t>Multiple NF/NF service instances may require to access the same stored data in the Storage entity (e.g. UE context), around the same time, then the resolution the race condition is implementation specific.</w:t>
      </w:r>
    </w:p>
    <w:p w14:paraId="73F93491" w14:textId="2584E0AB" w:rsidR="00D40151" w:rsidRPr="00873B6C" w:rsidRDefault="00D40151" w:rsidP="00D40151">
      <w:pPr>
        <w:pStyle w:val="B1"/>
      </w:pPr>
      <w:r w:rsidRPr="00873B6C">
        <w:t>4.</w:t>
      </w:r>
      <w:r w:rsidRPr="00873B6C">
        <w:tab/>
      </w:r>
      <w:r w:rsidR="0014088C" w:rsidRPr="00873B6C">
        <w:t xml:space="preserve">All NFs </w:t>
      </w:r>
      <w:r w:rsidRPr="00873B6C">
        <w:t xml:space="preserve">within the same </w:t>
      </w:r>
      <w:r w:rsidR="0014088C" w:rsidRPr="00873B6C">
        <w:t xml:space="preserve">NF </w:t>
      </w:r>
      <w:r w:rsidRPr="00873B6C">
        <w:t>Set are assumed to have access to the same unstructured data stored within the Storage entity.</w:t>
      </w:r>
    </w:p>
    <w:p w14:paraId="3A62815B" w14:textId="77777777" w:rsidR="00D40151" w:rsidRPr="00873B6C" w:rsidRDefault="00D40151" w:rsidP="00D40151">
      <w:pPr>
        <w:pStyle w:val="B1"/>
      </w:pPr>
      <w:r w:rsidRPr="00873B6C">
        <w:t>5.</w:t>
      </w:r>
      <w:r w:rsidRPr="00873B6C">
        <w:tab/>
        <w:t>AMF planned removal with UDSF (clause 5.21.2.2.1) and AMF auto-recovery (with UDSF option in clause 5.21.2.3) assume that a storage entity/UDSF is used either as a primary storage or secondary storage by the AMF for storing UE contexts.</w:t>
      </w:r>
    </w:p>
    <w:p w14:paraId="7B7D1626" w14:textId="207F0A9C" w:rsidR="0014088C" w:rsidRPr="00873B6C" w:rsidRDefault="0014088C" w:rsidP="0014088C">
      <w:pPr>
        <w:pStyle w:val="B1"/>
      </w:pPr>
      <w:r w:rsidRPr="00873B6C">
        <w:t>6.</w:t>
      </w:r>
      <w:r w:rsidRPr="00873B6C">
        <w:tab/>
        <w:t>It is up to implementation of the Storage entity to make sure that only NFs that are authorized for a certain data record can access this data record.</w:t>
      </w:r>
    </w:p>
    <w:p w14:paraId="70096270" w14:textId="77777777" w:rsidR="00D40151" w:rsidRPr="00873B6C" w:rsidRDefault="00D40151" w:rsidP="00D40151">
      <w:pPr>
        <w:pStyle w:val="Heading8"/>
      </w:pPr>
      <w:bookmarkStart w:id="6422" w:name="_CRAnnexDinformative"/>
      <w:bookmarkEnd w:id="6422"/>
      <w:r w:rsidRPr="00873B6C">
        <w:br w:type="page"/>
      </w:r>
      <w:bookmarkStart w:id="6423" w:name="_Toc20150299"/>
      <w:bookmarkStart w:id="6424" w:name="_Toc27847107"/>
      <w:bookmarkStart w:id="6425" w:name="_Toc36188240"/>
      <w:bookmarkStart w:id="6426" w:name="_Toc45184154"/>
      <w:bookmarkStart w:id="6427" w:name="_Toc47342996"/>
      <w:bookmarkStart w:id="6428" w:name="_Toc51769698"/>
      <w:bookmarkStart w:id="6429" w:name="_Toc201157887"/>
      <w:r w:rsidRPr="00873B6C">
        <w:lastRenderedPageBreak/>
        <w:t>Annex D (informative):</w:t>
      </w:r>
      <w:r w:rsidRPr="00873B6C">
        <w:br/>
        <w:t>5GS support for Non-Public Network deployment options</w:t>
      </w:r>
      <w:bookmarkEnd w:id="6423"/>
      <w:bookmarkEnd w:id="6424"/>
      <w:bookmarkEnd w:id="6425"/>
      <w:bookmarkEnd w:id="6426"/>
      <w:bookmarkEnd w:id="6427"/>
      <w:bookmarkEnd w:id="6428"/>
      <w:bookmarkEnd w:id="6429"/>
    </w:p>
    <w:p w14:paraId="33124F7C" w14:textId="77777777" w:rsidR="00D40151" w:rsidRPr="00873B6C" w:rsidRDefault="00D40151" w:rsidP="00D40151">
      <w:pPr>
        <w:pStyle w:val="Heading1"/>
      </w:pPr>
      <w:bookmarkStart w:id="6430" w:name="_CRD_1"/>
      <w:bookmarkStart w:id="6431" w:name="_Toc20150300"/>
      <w:bookmarkStart w:id="6432" w:name="_Toc27847108"/>
      <w:bookmarkStart w:id="6433" w:name="_Toc36188241"/>
      <w:bookmarkStart w:id="6434" w:name="_Toc45184155"/>
      <w:bookmarkStart w:id="6435" w:name="_Toc47342997"/>
      <w:bookmarkStart w:id="6436" w:name="_Toc51769699"/>
      <w:bookmarkStart w:id="6437" w:name="_Toc201157888"/>
      <w:bookmarkEnd w:id="6430"/>
      <w:r w:rsidRPr="00873B6C">
        <w:t>D.1</w:t>
      </w:r>
      <w:r w:rsidRPr="00873B6C">
        <w:tab/>
        <w:t>Introduction</w:t>
      </w:r>
      <w:bookmarkEnd w:id="6431"/>
      <w:bookmarkEnd w:id="6432"/>
      <w:bookmarkEnd w:id="6433"/>
      <w:bookmarkEnd w:id="6434"/>
      <w:bookmarkEnd w:id="6435"/>
      <w:bookmarkEnd w:id="6436"/>
      <w:bookmarkEnd w:id="6437"/>
    </w:p>
    <w:p w14:paraId="608017FE" w14:textId="77777777" w:rsidR="00D40151" w:rsidRPr="00873B6C" w:rsidRDefault="00D40151" w:rsidP="00D40151">
      <w:r w:rsidRPr="00873B6C">
        <w:t>This annex provides guidance on how 5GS features and capabilities can be used to support various Non-Public Network deployment options.</w:t>
      </w:r>
    </w:p>
    <w:p w14:paraId="36C914B7" w14:textId="77777777" w:rsidR="001E021F" w:rsidRPr="00873B6C" w:rsidRDefault="001E021F" w:rsidP="001E021F">
      <w:bookmarkStart w:id="6438" w:name="_Toc20150301"/>
      <w:bookmarkStart w:id="6439" w:name="_Toc27847109"/>
      <w:bookmarkStart w:id="6440" w:name="_Toc36188242"/>
      <w:bookmarkStart w:id="6441" w:name="_Toc45184156"/>
      <w:bookmarkStart w:id="6442" w:name="_Toc47342998"/>
      <w:bookmarkStart w:id="6443" w:name="_Toc51769700"/>
      <w:r w:rsidRPr="00873B6C">
        <w:rPr>
          <w:b/>
          <w:bCs/>
        </w:rPr>
        <w:t>Overlay network:</w:t>
      </w:r>
      <w:r w:rsidRPr="00873B6C">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873B6C" w:rsidRDefault="001E021F" w:rsidP="001E021F">
      <w:r w:rsidRPr="00873B6C">
        <w:rPr>
          <w:b/>
          <w:bCs/>
        </w:rPr>
        <w:t>Underlay network:</w:t>
      </w:r>
      <w:r w:rsidRPr="00873B6C">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873B6C" w:rsidRDefault="00D40151" w:rsidP="00D40151">
      <w:pPr>
        <w:pStyle w:val="Heading1"/>
      </w:pPr>
      <w:bookmarkStart w:id="6444" w:name="_CRD_2"/>
      <w:bookmarkStart w:id="6445" w:name="_Toc201157889"/>
      <w:bookmarkEnd w:id="6444"/>
      <w:r w:rsidRPr="00873B6C">
        <w:t>D.2</w:t>
      </w:r>
      <w:r w:rsidRPr="00873B6C">
        <w:tab/>
        <w:t>Support of Non-Public Network as a network slice of a PLMN</w:t>
      </w:r>
      <w:bookmarkEnd w:id="6438"/>
      <w:bookmarkEnd w:id="6439"/>
      <w:bookmarkEnd w:id="6440"/>
      <w:bookmarkEnd w:id="6441"/>
      <w:bookmarkEnd w:id="6442"/>
      <w:bookmarkEnd w:id="6443"/>
      <w:bookmarkEnd w:id="6445"/>
    </w:p>
    <w:p w14:paraId="1779BA34" w14:textId="77777777" w:rsidR="00412DC3" w:rsidRPr="00873B6C" w:rsidRDefault="00D40151" w:rsidP="00D40151">
      <w:r w:rsidRPr="00873B6C">
        <w:t>The PLMN operator can provide access to an NPN by using network slicing mechanisms.</w:t>
      </w:r>
    </w:p>
    <w:p w14:paraId="35384A98" w14:textId="15C6CB5A" w:rsidR="00412DC3" w:rsidRPr="00873B6C" w:rsidRDefault="00412DC3" w:rsidP="00562E84">
      <w:pPr>
        <w:pStyle w:val="NO"/>
      </w:pPr>
      <w:r w:rsidRPr="00873B6C">
        <w:t>NOTE:</w:t>
      </w:r>
      <w:r w:rsidRPr="00873B6C">
        <w:tab/>
        <w:t>Access to PLMN services can be supported in addition to PNI-NPN services, e.g. based on different S-NSSAI/DNN for different services.</w:t>
      </w:r>
    </w:p>
    <w:p w14:paraId="0E82258A" w14:textId="18454A18" w:rsidR="00D40151" w:rsidRPr="00873B6C" w:rsidRDefault="00D40151" w:rsidP="00D40151">
      <w:r w:rsidRPr="00873B6C">
        <w:t>The following are some considerations in such a PNI-NPN case:</w:t>
      </w:r>
    </w:p>
    <w:p w14:paraId="31E6E245" w14:textId="77777777" w:rsidR="00D40151" w:rsidRPr="00873B6C" w:rsidRDefault="00D40151" w:rsidP="00D40151">
      <w:pPr>
        <w:pStyle w:val="B1"/>
      </w:pPr>
      <w:r w:rsidRPr="00873B6C">
        <w:t>1.</w:t>
      </w:r>
      <w:r w:rsidRPr="00873B6C">
        <w:tab/>
        <w:t>The UE has subscription and credentials for the PLMN;</w:t>
      </w:r>
    </w:p>
    <w:p w14:paraId="01834152" w14:textId="77777777" w:rsidR="00D40151" w:rsidRPr="00873B6C" w:rsidRDefault="00D40151" w:rsidP="00D40151">
      <w:pPr>
        <w:pStyle w:val="B1"/>
      </w:pPr>
      <w:r w:rsidRPr="00873B6C">
        <w:t>2.</w:t>
      </w:r>
      <w:r w:rsidRPr="00873B6C">
        <w:tab/>
        <w:t>The PLMN and NPN service provider have an agreement of where the NPN Network Slice is to be deployed (i.e. in which TAs of the PLMN and optionally including support for roaming PLMNs);</w:t>
      </w:r>
    </w:p>
    <w:p w14:paraId="236D8882" w14:textId="77777777" w:rsidR="00D40151" w:rsidRPr="00873B6C" w:rsidRDefault="00D40151" w:rsidP="00D40151">
      <w:pPr>
        <w:pStyle w:val="B1"/>
      </w:pPr>
      <w:r w:rsidRPr="00873B6C">
        <w:t>3.</w:t>
      </w:r>
      <w:r w:rsidRPr="00873B6C">
        <w:tab/>
        <w:t>The PLMN subscription includes support for Subscribed S-NSSAI to be used for the NPN (see clause 5.15.3);</w:t>
      </w:r>
    </w:p>
    <w:p w14:paraId="3C1AB307" w14:textId="28B234EB" w:rsidR="00D40151" w:rsidRPr="00873B6C" w:rsidRDefault="00D40151" w:rsidP="00D40151">
      <w:pPr>
        <w:pStyle w:val="B1"/>
      </w:pPr>
      <w:r w:rsidRPr="00873B6C">
        <w:t>4.</w:t>
      </w:r>
      <w:r w:rsidRPr="00873B6C">
        <w:tab/>
        <w:t xml:space="preserve">The PLMN operator can offer possibilities for the NPN service provider to manage the NPN Network Slice according to </w:t>
      </w:r>
      <w:r w:rsidR="00972E70" w:rsidRPr="00873B6C">
        <w:t>TS 28.533 [</w:t>
      </w:r>
      <w:r w:rsidRPr="00873B6C">
        <w:t>79].</w:t>
      </w:r>
    </w:p>
    <w:p w14:paraId="6752E3AD" w14:textId="77777777" w:rsidR="00D40151" w:rsidRPr="00873B6C" w:rsidRDefault="00D40151" w:rsidP="00D40151">
      <w:pPr>
        <w:pStyle w:val="B1"/>
      </w:pPr>
      <w:r w:rsidRPr="00873B6C">
        <w:t>5.</w:t>
      </w:r>
      <w:r w:rsidRPr="00873B6C">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873B6C" w:rsidRDefault="00D40151" w:rsidP="00D40151">
      <w:pPr>
        <w:pStyle w:val="B1"/>
      </w:pPr>
      <w:r w:rsidRPr="00873B6C">
        <w:t>6.</w:t>
      </w:r>
      <w:r w:rsidRPr="00873B6C">
        <w:tab/>
        <w:t>The PLMN can configure the UE with Configured NSSAI for the Serving PLMN (see clause 5.15.4);</w:t>
      </w:r>
    </w:p>
    <w:p w14:paraId="6CB0480A" w14:textId="77777777" w:rsidR="00D40151" w:rsidRPr="00873B6C" w:rsidRDefault="00D40151" w:rsidP="00D40151">
      <w:pPr>
        <w:pStyle w:val="B1"/>
      </w:pPr>
      <w:r w:rsidRPr="00873B6C">
        <w:t>7.</w:t>
      </w:r>
      <w:r w:rsidRPr="00873B6C">
        <w:tab/>
        <w:t>The PLMN and NPN can perform a Network Slice specific authentication and authorization using additional NPN credentials;</w:t>
      </w:r>
    </w:p>
    <w:p w14:paraId="41C8A763" w14:textId="77777777" w:rsidR="00D40151" w:rsidRPr="00873B6C" w:rsidRDefault="00D40151" w:rsidP="00D40151">
      <w:pPr>
        <w:pStyle w:val="B1"/>
      </w:pPr>
      <w:r w:rsidRPr="00873B6C">
        <w:t>8.</w:t>
      </w:r>
      <w:r w:rsidRPr="00873B6C">
        <w:tab/>
        <w:t>The UE follows the logic as defined for Network Slicing, see clause 5.15;</w:t>
      </w:r>
    </w:p>
    <w:p w14:paraId="49CA4F44" w14:textId="77777777" w:rsidR="00D40151" w:rsidRPr="00873B6C" w:rsidRDefault="00D40151" w:rsidP="00D40151">
      <w:pPr>
        <w:pStyle w:val="B1"/>
      </w:pPr>
      <w:r w:rsidRPr="00873B6C">
        <w:t>9.</w:t>
      </w:r>
      <w:r w:rsidRPr="00873B6C">
        <w:tab/>
        <w:t>The network selection logic, access control etc are following the principles for PLMN selection; and</w:t>
      </w:r>
    </w:p>
    <w:p w14:paraId="714FB66C" w14:textId="77777777" w:rsidR="00D40151" w:rsidRPr="00873B6C" w:rsidRDefault="00D40151" w:rsidP="00D40151">
      <w:pPr>
        <w:pStyle w:val="B1"/>
      </w:pPr>
      <w:r w:rsidRPr="00873B6C">
        <w:t>10.</w:t>
      </w:r>
      <w:r w:rsidRPr="00873B6C">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C6B9FD2" w:rsidR="00D40151" w:rsidRPr="00873B6C" w:rsidRDefault="00D40151" w:rsidP="00D40151">
      <w:pPr>
        <w:pStyle w:val="B1"/>
      </w:pPr>
      <w:r w:rsidRPr="00873B6C">
        <w:t>11.</w:t>
      </w:r>
      <w:r w:rsidRPr="00873B6C">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972E70" w:rsidRPr="00873B6C">
        <w:t>TS 24.501 [</w:t>
      </w:r>
      <w:r w:rsidRPr="00873B6C">
        <w:t>47]) set to the S-NSSAI used for an NPN.</w:t>
      </w:r>
    </w:p>
    <w:p w14:paraId="61F3B279" w14:textId="77777777" w:rsidR="00D40151" w:rsidRPr="00873B6C" w:rsidRDefault="00D40151" w:rsidP="00D40151">
      <w:pPr>
        <w:pStyle w:val="B1"/>
      </w:pPr>
      <w:bookmarkStart w:id="6446" w:name="_Toc20150302"/>
      <w:r w:rsidRPr="00873B6C">
        <w:lastRenderedPageBreak/>
        <w:t>12.</w:t>
      </w:r>
      <w:r w:rsidRPr="00873B6C">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873B6C" w:rsidRDefault="00D40151" w:rsidP="00D40151">
      <w:pPr>
        <w:pStyle w:val="Heading1"/>
      </w:pPr>
      <w:bookmarkStart w:id="6447" w:name="_CRD_3"/>
      <w:bookmarkStart w:id="6448" w:name="_Toc27847110"/>
      <w:bookmarkStart w:id="6449" w:name="_Toc36188243"/>
      <w:bookmarkStart w:id="6450" w:name="_Toc45184157"/>
      <w:bookmarkStart w:id="6451" w:name="_Toc47342999"/>
      <w:bookmarkStart w:id="6452" w:name="_Toc51769701"/>
      <w:bookmarkStart w:id="6453" w:name="_Toc201157890"/>
      <w:bookmarkEnd w:id="6447"/>
      <w:r w:rsidRPr="00873B6C">
        <w:t>D.3</w:t>
      </w:r>
      <w:r w:rsidRPr="00873B6C">
        <w:tab/>
        <w:t>Support for access to PLMN services via Stand-alone Non-Public Network and access to Stand-alone Non Public Network services via PLMN</w:t>
      </w:r>
      <w:bookmarkEnd w:id="6446"/>
      <w:bookmarkEnd w:id="6448"/>
      <w:bookmarkEnd w:id="6449"/>
      <w:bookmarkEnd w:id="6450"/>
      <w:bookmarkEnd w:id="6451"/>
      <w:bookmarkEnd w:id="6452"/>
      <w:bookmarkEnd w:id="6453"/>
    </w:p>
    <w:p w14:paraId="3239B355" w14:textId="32D39D1E" w:rsidR="00704A9E" w:rsidRPr="00873B6C" w:rsidRDefault="00704A9E" w:rsidP="008A60FE">
      <w:pPr>
        <w:pStyle w:val="TH"/>
      </w:pPr>
      <w:r w:rsidRPr="00873B6C">
        <w:object w:dxaOrig="9646" w:dyaOrig="4739" w14:anchorId="3AADA257">
          <v:shape id="_x0000_i1153" type="#_x0000_t75" style="width:482.1pt;height:236.65pt" o:ole="">
            <v:imagedata r:id="rId265" o:title=""/>
          </v:shape>
          <o:OLEObject Type="Embed" ProgID="Word.Picture.8" ShapeID="_x0000_i1153" DrawAspect="Content" ObjectID="_1811772487" r:id="rId266"/>
        </w:object>
      </w:r>
    </w:p>
    <w:p w14:paraId="1833FEC8" w14:textId="56135143" w:rsidR="00D40151" w:rsidRPr="00873B6C" w:rsidRDefault="00D40151" w:rsidP="00D40151">
      <w:pPr>
        <w:pStyle w:val="TF"/>
      </w:pPr>
      <w:bookmarkStart w:id="6454" w:name="_CRFigureD_31"/>
      <w:r w:rsidRPr="00873B6C">
        <w:t xml:space="preserve">Figure </w:t>
      </w:r>
      <w:bookmarkEnd w:id="6454"/>
      <w:r w:rsidRPr="00873B6C">
        <w:t>D.3-1: Access to PLMN services via Stand-alone Non-Public Network</w:t>
      </w:r>
    </w:p>
    <w:p w14:paraId="1DC20385" w14:textId="77777777" w:rsidR="00D40151" w:rsidRPr="00873B6C" w:rsidRDefault="00D40151" w:rsidP="00D40151">
      <w:pPr>
        <w:pStyle w:val="NO"/>
      </w:pPr>
      <w:r w:rsidRPr="00873B6C">
        <w:t>NOTE 1:</w:t>
      </w:r>
      <w:r w:rsidRPr="00873B6C">
        <w:tab/>
        <w:t>The reference architecture in Figure D.3-1 and Figure D.3-2 only shows the network functions directly connected to the UPF or N3IWF and other parts of the architecture are same as defined in clause 4.2.</w:t>
      </w:r>
    </w:p>
    <w:p w14:paraId="370DB605" w14:textId="77777777" w:rsidR="00D40151" w:rsidRPr="00873B6C" w:rsidRDefault="00D40151" w:rsidP="00D40151">
      <w:r w:rsidRPr="00873B6C">
        <w:t>In order to obtain access to PLMN services when the UE is camping in NG-RAN of Stand-alone Non-Public Network, the UE obtains IP connectivity, discovers and establishes connectivity to an N3IWF in the PLMN.</w:t>
      </w:r>
    </w:p>
    <w:p w14:paraId="240CBA34" w14:textId="0673FFF5" w:rsidR="00D40151" w:rsidRPr="00873B6C" w:rsidRDefault="00D40151" w:rsidP="00D40151">
      <w:r w:rsidRPr="00873B6C">
        <w:t>In the Figure D.3-1, the N1 (for NPN) represents the reference point between UE and the AMF in Stand-alone Non-Public Network. The</w:t>
      </w:r>
      <w:r w:rsidR="00960CDA" w:rsidRPr="00873B6C">
        <w:t xml:space="preserve"> NWu</w:t>
      </w:r>
      <w:r w:rsidRPr="00873B6C">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873B6C" w:rsidRDefault="00704A9E" w:rsidP="00704A9E">
      <w:pPr>
        <w:pStyle w:val="TH"/>
      </w:pPr>
      <w:r w:rsidRPr="00873B6C">
        <w:object w:dxaOrig="9601" w:dyaOrig="4937" w14:anchorId="577824A9">
          <v:shape id="_x0000_i1154" type="#_x0000_t75" style="width:482.7pt;height:245.45pt" o:ole="">
            <v:imagedata r:id="rId267" o:title=""/>
          </v:shape>
          <o:OLEObject Type="Embed" ProgID="Word.Picture.8" ShapeID="_x0000_i1154" DrawAspect="Content" ObjectID="_1811772488" r:id="rId268"/>
        </w:object>
      </w:r>
    </w:p>
    <w:p w14:paraId="7B19D80F" w14:textId="77777777" w:rsidR="00D40151" w:rsidRPr="00873B6C" w:rsidRDefault="00D40151" w:rsidP="00D40151">
      <w:pPr>
        <w:pStyle w:val="TF"/>
      </w:pPr>
      <w:bookmarkStart w:id="6455" w:name="_CRFigureD_32"/>
      <w:r w:rsidRPr="00873B6C">
        <w:t xml:space="preserve">Figure </w:t>
      </w:r>
      <w:bookmarkEnd w:id="6455"/>
      <w:r w:rsidRPr="00873B6C">
        <w:t>D.3-2: Access to Stand-alone Non-Public Network services via PLMN</w:t>
      </w:r>
    </w:p>
    <w:p w14:paraId="2982B8C7" w14:textId="77777777" w:rsidR="00D40151" w:rsidRPr="00873B6C" w:rsidRDefault="00D40151" w:rsidP="00D40151">
      <w:r w:rsidRPr="00873B6C">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873B6C" w:rsidRDefault="00D40151" w:rsidP="00D40151">
      <w:r w:rsidRPr="00873B6C">
        <w:t>In Figure D.3-2, the N1 (for</w:t>
      </w:r>
      <w:r w:rsidR="00F00626" w:rsidRPr="00873B6C">
        <w:t xml:space="preserve"> PLMN</w:t>
      </w:r>
      <w:r w:rsidRPr="00873B6C">
        <w:t>) represents the reference point between UE and the AMF in the</w:t>
      </w:r>
      <w:r w:rsidR="00F00626" w:rsidRPr="00873B6C">
        <w:t xml:space="preserve"> PLMN</w:t>
      </w:r>
      <w:r w:rsidRPr="00873B6C">
        <w:t>. The NWu (for NPN) represents the reference point between the UE and the N3IWF in the stand-alone Non-Public Network for establishing a secure tunnel between UE and the N3IWF over the PLMN. The N1 (for</w:t>
      </w:r>
      <w:r w:rsidR="00F00626" w:rsidRPr="00873B6C">
        <w:t xml:space="preserve"> NPN</w:t>
      </w:r>
      <w:r w:rsidRPr="00873B6C">
        <w:t>) represents the reference point between UE and the AMF in</w:t>
      </w:r>
      <w:r w:rsidR="00F00626" w:rsidRPr="00873B6C">
        <w:t xml:space="preserve"> NPN</w:t>
      </w:r>
      <w:r w:rsidRPr="00873B6C">
        <w:t>.</w:t>
      </w:r>
    </w:p>
    <w:p w14:paraId="261C968B" w14:textId="2BDA0D55" w:rsidR="00960CDA" w:rsidRPr="00873B6C" w:rsidRDefault="00960CDA" w:rsidP="00960CDA">
      <w:bookmarkStart w:id="6456" w:name="_Toc20150303"/>
      <w:bookmarkStart w:id="6457" w:name="_Toc27847111"/>
      <w:bookmarkStart w:id="6458" w:name="_Toc36188244"/>
      <w:bookmarkStart w:id="6459" w:name="_Toc45184158"/>
      <w:bookmarkStart w:id="6460" w:name="_Toc47343000"/>
      <w:bookmarkStart w:id="6461" w:name="_Toc51769702"/>
      <w:r w:rsidRPr="00873B6C">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873B6C">
        <w:t>d</w:t>
      </w:r>
      <w:r w:rsidRPr="00873B6C">
        <w:t xml:space="preserve"> by the underlay network defined in clause 4.15 of </w:t>
      </w:r>
      <w:r w:rsidR="00972E70" w:rsidRPr="00873B6C">
        <w:t>TS 23.502 [</w:t>
      </w:r>
      <w:r w:rsidRPr="00873B6C">
        <w:t>3]. This interaction is subject of agreements between the overlay and the underlay network.</w:t>
      </w:r>
    </w:p>
    <w:p w14:paraId="2DCBFE19" w14:textId="77777777" w:rsidR="00D40151" w:rsidRPr="00873B6C" w:rsidRDefault="00D40151" w:rsidP="00D40151">
      <w:pPr>
        <w:pStyle w:val="Heading1"/>
      </w:pPr>
      <w:bookmarkStart w:id="6462" w:name="_CRD_4"/>
      <w:bookmarkStart w:id="6463" w:name="_Toc201157891"/>
      <w:bookmarkEnd w:id="6462"/>
      <w:r w:rsidRPr="00873B6C">
        <w:t>D.4</w:t>
      </w:r>
      <w:r w:rsidRPr="00873B6C">
        <w:tab/>
        <w:t>Support for UE capable of simultaneously connecting to an SNPN and a PLMN</w:t>
      </w:r>
      <w:bookmarkEnd w:id="6456"/>
      <w:bookmarkEnd w:id="6457"/>
      <w:bookmarkEnd w:id="6458"/>
      <w:bookmarkEnd w:id="6459"/>
      <w:bookmarkEnd w:id="6460"/>
      <w:bookmarkEnd w:id="6461"/>
      <w:bookmarkEnd w:id="6463"/>
    </w:p>
    <w:p w14:paraId="05DFD0B0" w14:textId="1C01A26F" w:rsidR="00D40151" w:rsidRPr="00873B6C" w:rsidRDefault="00D40151" w:rsidP="00D40151">
      <w:r w:rsidRPr="00873B6C">
        <w:t>When a UE capable of simultaneously connecting to an SNPN and a PLMN</w:t>
      </w:r>
      <w:r w:rsidR="00D51D1B" w:rsidRPr="00873B6C">
        <w:t xml:space="preserve"> and the UE</w:t>
      </w:r>
      <w:r w:rsidRPr="00873B6C">
        <w:t xml:space="preserve"> is not set to operate in SNPN access mode</w:t>
      </w:r>
      <w:r w:rsidR="00D51D1B" w:rsidRPr="00873B6C">
        <w:t xml:space="preserve"> for any of the Uu/Yt/NWu interfaces</w:t>
      </w:r>
      <w:r w:rsidRPr="00873B6C">
        <w:t>, the UE only performs PLMN selection procedures using the</w:t>
      </w:r>
      <w:r w:rsidR="00D51D1B" w:rsidRPr="00873B6C">
        <w:t xml:space="preserve"> corresponding</w:t>
      </w:r>
      <w:r w:rsidRPr="00873B6C">
        <w:t xml:space="preserve"> interface for connection to the PLMN.</w:t>
      </w:r>
    </w:p>
    <w:p w14:paraId="7655ADFA" w14:textId="77777777" w:rsidR="00D40151" w:rsidRPr="00873B6C" w:rsidRDefault="00D40151" w:rsidP="00D40151">
      <w:r w:rsidRPr="00873B6C">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873B6C" w:rsidRDefault="00D40151" w:rsidP="00D40151">
      <w:r w:rsidRPr="00873B6C">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873B6C" w:rsidRDefault="001E021F" w:rsidP="001E021F">
      <w:pPr>
        <w:pStyle w:val="Heading1"/>
      </w:pPr>
      <w:bookmarkStart w:id="6464" w:name="_CRD_5"/>
      <w:bookmarkStart w:id="6465" w:name="_Toc201157892"/>
      <w:bookmarkEnd w:id="6464"/>
      <w:r w:rsidRPr="00873B6C">
        <w:t>D.5</w:t>
      </w:r>
      <w:r w:rsidRPr="00873B6C">
        <w:tab/>
        <w:t>Support for keeping UE in CM-CONNECTED state in overlay network when accessing services via NWu</w:t>
      </w:r>
      <w:bookmarkEnd w:id="6465"/>
    </w:p>
    <w:p w14:paraId="1B22A7A0" w14:textId="77777777" w:rsidR="001E021F" w:rsidRPr="00873B6C" w:rsidRDefault="001E021F" w:rsidP="001E021F">
      <w:r w:rsidRPr="00873B6C">
        <w:t>When UE is accessing the overlay network via the underlay network as described in clause D.3, it is possible to keep the UE in CM-CONNECTED state in the overlay network:</w:t>
      </w:r>
    </w:p>
    <w:p w14:paraId="4DCEEE55" w14:textId="297FA63C" w:rsidR="001E021F" w:rsidRPr="00873B6C" w:rsidRDefault="001E021F" w:rsidP="00323277">
      <w:pPr>
        <w:pStyle w:val="B1"/>
      </w:pPr>
      <w:r w:rsidRPr="00873B6C">
        <w:lastRenderedPageBreak/>
        <w:t>-</w:t>
      </w:r>
      <w:r w:rsidRPr="00873B6C">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26463C7D" w:rsidR="001E021F" w:rsidRPr="00873B6C" w:rsidRDefault="001E021F" w:rsidP="00323277">
      <w:pPr>
        <w:pStyle w:val="B1"/>
      </w:pPr>
      <w:r w:rsidRPr="00873B6C">
        <w:t>-</w:t>
      </w:r>
      <w:r w:rsidRPr="00873B6C">
        <w:tab/>
        <w:t>IKEv2 liveness check procedure initiated either by UE or N3IWF as defined in</w:t>
      </w:r>
      <w:r w:rsidR="00960CDA" w:rsidRPr="00873B6C">
        <w:t xml:space="preserve"> clause 7.8 and clause 7.9 of</w:t>
      </w:r>
      <w:r w:rsidRPr="00873B6C">
        <w:t xml:space="preserve"> </w:t>
      </w:r>
      <w:r w:rsidR="00972E70" w:rsidRPr="00873B6C">
        <w:t>TS 24.502 [</w:t>
      </w:r>
      <w:r w:rsidRPr="00873B6C">
        <w:t>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873B6C" w:rsidRDefault="001E021F" w:rsidP="00323277">
      <w:pPr>
        <w:pStyle w:val="B1"/>
      </w:pPr>
      <w:r w:rsidRPr="00873B6C">
        <w:t>-</w:t>
      </w:r>
      <w:r w:rsidRPr="00873B6C">
        <w:tab/>
        <w:t>If NAT is used, so as to avoid a timeout of the NAT entries between the UPF in the underlay network and the N3IWF in the overlay network, NAT-Traversal mechanisms described in RFC 7296 [60] and NAT-Keepalive described in RFC</w:t>
      </w:r>
      <w:r w:rsidR="00A1192D" w:rsidRPr="00873B6C">
        <w:t> </w:t>
      </w:r>
      <w:r w:rsidRPr="00873B6C">
        <w:t>3948</w:t>
      </w:r>
      <w:r w:rsidR="00A1192D" w:rsidRPr="00873B6C">
        <w:t> [138]</w:t>
      </w:r>
      <w:r w:rsidRPr="00873B6C">
        <w:t xml:space="preserve"> are recommended.</w:t>
      </w:r>
    </w:p>
    <w:p w14:paraId="17AAA544" w14:textId="77777777" w:rsidR="001E021F" w:rsidRPr="00873B6C" w:rsidRDefault="001E021F" w:rsidP="00323277">
      <w:pPr>
        <w:pStyle w:val="B1"/>
      </w:pPr>
      <w:r w:rsidRPr="00873B6C">
        <w:t>-</w:t>
      </w:r>
      <w:r w:rsidRPr="00873B6C">
        <w:tab/>
        <w:t>AMF in overlay network keeps the UE in CM-CONNECTED state unless UE or N3IWF triggers the release.</w:t>
      </w:r>
    </w:p>
    <w:p w14:paraId="051D0AF9" w14:textId="05C12D8E" w:rsidR="001E021F" w:rsidRPr="00873B6C" w:rsidRDefault="001E021F" w:rsidP="00323277">
      <w:pPr>
        <w:pStyle w:val="B1"/>
      </w:pPr>
      <w:r w:rsidRPr="00873B6C">
        <w:t>-</w:t>
      </w:r>
      <w:r w:rsidRPr="00873B6C">
        <w:tab/>
        <w:t>The NG-RAN node in the underlay network can use the existing information to decide an appropriate RRC state for the UE (e.g. whether release a UE to</w:t>
      </w:r>
      <w:r w:rsidR="00511811" w:rsidRPr="00873B6C">
        <w:t xml:space="preserve"> RRC_INACTIVE</w:t>
      </w:r>
      <w:r w:rsidRPr="00873B6C">
        <w:t>).</w:t>
      </w:r>
    </w:p>
    <w:p w14:paraId="40A84FE0" w14:textId="32DC2760" w:rsidR="00967FB9" w:rsidRPr="00873B6C" w:rsidRDefault="00967FB9" w:rsidP="00967FB9">
      <w:pPr>
        <w:pStyle w:val="Heading1"/>
      </w:pPr>
      <w:bookmarkStart w:id="6466" w:name="_CRD_6"/>
      <w:bookmarkStart w:id="6467" w:name="_Toc201157893"/>
      <w:bookmarkEnd w:id="6466"/>
      <w:r w:rsidRPr="00873B6C">
        <w:t>D.6</w:t>
      </w:r>
      <w:r w:rsidRPr="00873B6C">
        <w:tab/>
        <w:t>Support for session/service continuity between SNPN and PLMN when using N3IWF</w:t>
      </w:r>
      <w:bookmarkEnd w:id="6467"/>
    </w:p>
    <w:p w14:paraId="18B1FE08" w14:textId="77777777" w:rsidR="00967FB9" w:rsidRPr="00873B6C" w:rsidRDefault="00967FB9" w:rsidP="00967FB9">
      <w:r w:rsidRPr="00873B6C">
        <w:t>Depending on the UE's radio capability and implementation, the following existing mechanisms can be used to allow session/service continuity between SNPN and PLMN:</w:t>
      </w:r>
    </w:p>
    <w:p w14:paraId="6E88E364" w14:textId="61AB060B" w:rsidR="00967FB9" w:rsidRPr="00873B6C" w:rsidRDefault="00967FB9" w:rsidP="00323277">
      <w:pPr>
        <w:pStyle w:val="B1"/>
      </w:pPr>
      <w:r w:rsidRPr="00873B6C">
        <w:t>-</w:t>
      </w:r>
      <w:r w:rsidRPr="00873B6C">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873B6C">
        <w:t>of</w:t>
      </w:r>
      <w:r w:rsidRPr="00873B6C">
        <w:t xml:space="preserve"> </w:t>
      </w:r>
      <w:r w:rsidR="00972E70" w:rsidRPr="00873B6C">
        <w:t>TS 23.502 [</w:t>
      </w:r>
      <w:r w:rsidRPr="00873B6C">
        <w:t>3], where one network is acting as non-3GPP access of the other network.</w:t>
      </w:r>
    </w:p>
    <w:p w14:paraId="7F73492C" w14:textId="77777777" w:rsidR="00967FB9" w:rsidRPr="00873B6C" w:rsidRDefault="00967FB9" w:rsidP="00323277">
      <w:pPr>
        <w:pStyle w:val="B1"/>
      </w:pPr>
      <w:r w:rsidRPr="00873B6C">
        <w:t>-</w:t>
      </w:r>
      <w:r w:rsidRPr="00873B6C">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6A238D01" w:rsidR="00967FB9" w:rsidRPr="00873B6C" w:rsidRDefault="00967FB9" w:rsidP="00323277">
      <w:pPr>
        <w:pStyle w:val="B2"/>
      </w:pPr>
      <w:r w:rsidRPr="00873B6C">
        <w:t>-</w:t>
      </w:r>
      <w:r w:rsidRPr="00873B6C">
        <w:tab/>
        <w:t xml:space="preserve">For PDU session on a single access, UE can register to the same 5GC via both Uu and NWu interfaces from two networks when it is possible, by following the procedure defined in clause 4.2.2 </w:t>
      </w:r>
      <w:r w:rsidR="00960CDA" w:rsidRPr="00873B6C">
        <w:t>of</w:t>
      </w:r>
      <w:r w:rsidRPr="00873B6C">
        <w:t xml:space="preserve"> </w:t>
      </w:r>
      <w:r w:rsidR="00972E70" w:rsidRPr="00873B6C">
        <w:t>TS 23.502 [</w:t>
      </w:r>
      <w:r w:rsidRPr="00873B6C">
        <w:t xml:space="preserve">3] if the registration is via Uu, or in clause 4.12.2 </w:t>
      </w:r>
      <w:r w:rsidR="00960CDA" w:rsidRPr="00873B6C">
        <w:t>of</w:t>
      </w:r>
      <w:r w:rsidRPr="00873B6C">
        <w:t xml:space="preserve"> </w:t>
      </w:r>
      <w:r w:rsidR="00972E70" w:rsidRPr="00873B6C">
        <w:t>TS 23.502 [</w:t>
      </w:r>
      <w:r w:rsidRPr="00873B6C">
        <w:t xml:space="preserve">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873B6C">
        <w:t>of</w:t>
      </w:r>
      <w:r w:rsidRPr="00873B6C">
        <w:t xml:space="preserve"> </w:t>
      </w:r>
      <w:r w:rsidR="00972E70" w:rsidRPr="00873B6C">
        <w:t>TS 23.502 [</w:t>
      </w:r>
      <w:r w:rsidRPr="00873B6C">
        <w:t>3] can be utilized.</w:t>
      </w:r>
    </w:p>
    <w:p w14:paraId="0A728E30" w14:textId="524BBC63" w:rsidR="00967FB9" w:rsidRPr="00873B6C" w:rsidRDefault="00967FB9" w:rsidP="00323277">
      <w:pPr>
        <w:pStyle w:val="B2"/>
      </w:pPr>
      <w:r w:rsidRPr="00873B6C">
        <w:t>-</w:t>
      </w:r>
      <w:r w:rsidRPr="00873B6C">
        <w:tab/>
        <w:t xml:space="preserve">For MA PDU session, if supported by UE and network, UE can register to the same 5GC via Uu and NWu interfaces and establish MA PDU session with ATSSS support to be anchored in the 5GC as defined in clause 4.22.2.2 </w:t>
      </w:r>
      <w:r w:rsidR="00960CDA" w:rsidRPr="00873B6C">
        <w:t>of</w:t>
      </w:r>
      <w:r w:rsidRPr="00873B6C">
        <w:t xml:space="preserve"> </w:t>
      </w:r>
      <w:r w:rsidR="00972E70" w:rsidRPr="00873B6C">
        <w:t>TS 23.502 [</w:t>
      </w:r>
      <w:r w:rsidRPr="00873B6C">
        <w:t xml:space="preserve">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873B6C">
        <w:t>of</w:t>
      </w:r>
      <w:r w:rsidRPr="00873B6C">
        <w:t xml:space="preserve"> </w:t>
      </w:r>
      <w:r w:rsidR="00972E70" w:rsidRPr="00873B6C">
        <w:t>TS 23.502 [</w:t>
      </w:r>
      <w:r w:rsidRPr="00873B6C">
        <w:t>3].</w:t>
      </w:r>
    </w:p>
    <w:p w14:paraId="140D1DC5" w14:textId="40166FCA" w:rsidR="00967FB9" w:rsidRPr="00873B6C" w:rsidRDefault="00967FB9" w:rsidP="00967FB9">
      <w:pPr>
        <w:pStyle w:val="TH"/>
      </w:pPr>
      <w:r w:rsidRPr="00873B6C">
        <w:object w:dxaOrig="10606" w:dyaOrig="6855" w14:anchorId="2E745610">
          <v:shape id="_x0000_i1155" type="#_x0000_t75" style="width:482.1pt;height:310.55pt" o:ole="">
            <v:imagedata r:id="rId269" o:title=""/>
          </v:shape>
          <o:OLEObject Type="Embed" ProgID="Visio.Drawing.15" ShapeID="_x0000_i1155" DrawAspect="Content" ObjectID="_1811772489" r:id="rId270"/>
        </w:object>
      </w:r>
    </w:p>
    <w:p w14:paraId="3AF6E51B" w14:textId="1D24A4B3" w:rsidR="00967FB9" w:rsidRPr="00873B6C" w:rsidRDefault="00967FB9" w:rsidP="00323277">
      <w:pPr>
        <w:pStyle w:val="TF"/>
      </w:pPr>
      <w:bookmarkStart w:id="6468" w:name="_CRFigureD_61"/>
      <w:r w:rsidRPr="00873B6C">
        <w:t xml:space="preserve">Figure </w:t>
      </w:r>
      <w:bookmarkEnd w:id="6468"/>
      <w:r w:rsidRPr="00873B6C">
        <w:t>D.6-1: MA PDU session with ATSSS support for dual radio UE accessing to Stand-alone Non-Public Network services via Uu and NWu interfaces</w:t>
      </w:r>
    </w:p>
    <w:p w14:paraId="05EA4EA8" w14:textId="62194A71" w:rsidR="00BA212C" w:rsidRPr="00873B6C" w:rsidRDefault="00BA212C" w:rsidP="00BA212C">
      <w:pPr>
        <w:pStyle w:val="Heading1"/>
      </w:pPr>
      <w:bookmarkStart w:id="6469" w:name="_CRD_7"/>
      <w:bookmarkStart w:id="6470" w:name="_Toc201157894"/>
      <w:bookmarkEnd w:id="6469"/>
      <w:r w:rsidRPr="00873B6C">
        <w:t>D.7</w:t>
      </w:r>
      <w:r w:rsidRPr="00873B6C">
        <w:tab/>
        <w:t>Guidance for underlay network to support QoS differentiation for User Plane IPsec Child SA</w:t>
      </w:r>
      <w:bookmarkEnd w:id="6470"/>
    </w:p>
    <w:p w14:paraId="7F49CCD4" w14:textId="069E12E3" w:rsidR="00BA212C" w:rsidRPr="00873B6C" w:rsidRDefault="00BA212C" w:rsidP="00BA212C">
      <w:pPr>
        <w:pStyle w:val="Heading2"/>
      </w:pPr>
      <w:bookmarkStart w:id="6471" w:name="_CRD_7_1"/>
      <w:bookmarkStart w:id="6472" w:name="_Toc201157895"/>
      <w:bookmarkEnd w:id="6471"/>
      <w:r w:rsidRPr="00873B6C">
        <w:t>D.7.1</w:t>
      </w:r>
      <w:r w:rsidRPr="00873B6C">
        <w:tab/>
        <w:t>Network initiated QoS</w:t>
      </w:r>
      <w:bookmarkEnd w:id="6472"/>
    </w:p>
    <w:p w14:paraId="753C6530" w14:textId="77777777" w:rsidR="00BA212C" w:rsidRPr="00873B6C" w:rsidRDefault="00BA212C" w:rsidP="00BA212C">
      <w:r w:rsidRPr="00873B6C">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873B6C" w:rsidRDefault="00BA212C" w:rsidP="00562E84">
      <w:pPr>
        <w:pStyle w:val="B1"/>
      </w:pPr>
      <w:r w:rsidRPr="00873B6C">
        <w:t>-</w:t>
      </w:r>
      <w:r w:rsidRPr="00873B6C">
        <w:tab/>
        <w:t>An overlay network service can have specific QoS requirement that needs to be fulfilled by the underlay network, based on SLA between the two networks.</w:t>
      </w:r>
    </w:p>
    <w:p w14:paraId="7A1FEB94" w14:textId="77777777" w:rsidR="00BA212C" w:rsidRPr="00873B6C" w:rsidRDefault="00BA212C" w:rsidP="00562E84">
      <w:pPr>
        <w:pStyle w:val="B1"/>
      </w:pPr>
      <w:r w:rsidRPr="00873B6C">
        <w:t>-</w:t>
      </w:r>
      <w:r w:rsidRPr="00873B6C">
        <w:tab/>
        <w:t>The SLA covers selective services of the overlay network which require QoS support in underlay network. The rest of the overlay network traffic could be handled in best efforts basis by underlay network.</w:t>
      </w:r>
    </w:p>
    <w:p w14:paraId="2787B1F8" w14:textId="5B3C302B" w:rsidR="00BA212C" w:rsidRPr="00873B6C" w:rsidRDefault="00BA212C" w:rsidP="00562E84">
      <w:pPr>
        <w:pStyle w:val="B1"/>
      </w:pPr>
      <w:r w:rsidRPr="00873B6C">
        <w:t>-</w:t>
      </w:r>
      <w:r w:rsidRPr="00873B6C">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873B6C">
        <w:t xml:space="preserve">of </w:t>
      </w:r>
      <w:r w:rsidR="00972E70" w:rsidRPr="00873B6C">
        <w:t>TS 29.513 [</w:t>
      </w:r>
      <w:r w:rsidRPr="00873B6C">
        <w:t>133]. The SLA also includes the N3IWF IP address of the overlay network.</w:t>
      </w:r>
    </w:p>
    <w:p w14:paraId="6BE5E972" w14:textId="77777777" w:rsidR="00BA212C" w:rsidRPr="00873B6C" w:rsidRDefault="00BA212C" w:rsidP="00562E84">
      <w:pPr>
        <w:pStyle w:val="B1"/>
      </w:pPr>
      <w:r w:rsidRPr="00873B6C">
        <w:t>-</w:t>
      </w:r>
      <w:r w:rsidRPr="00873B6C">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873B6C" w:rsidRDefault="00BA212C" w:rsidP="00562E84">
      <w:pPr>
        <w:pStyle w:val="B1"/>
      </w:pPr>
      <w:r w:rsidRPr="00873B6C">
        <w:lastRenderedPageBreak/>
        <w:t>-</w:t>
      </w:r>
      <w:r w:rsidRPr="00873B6C">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873B6C" w:rsidRDefault="00BA212C" w:rsidP="00562E84">
      <w:pPr>
        <w:pStyle w:val="B1"/>
      </w:pPr>
      <w:r w:rsidRPr="00873B6C">
        <w:t>-</w:t>
      </w:r>
      <w:r w:rsidRPr="00873B6C">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873B6C" w:rsidRDefault="00BA212C" w:rsidP="00562E84">
      <w:pPr>
        <w:pStyle w:val="B1"/>
      </w:pPr>
      <w:r w:rsidRPr="00873B6C">
        <w:t>-</w:t>
      </w:r>
      <w:r w:rsidRPr="00873B6C">
        <w:tab/>
        <w:t>N3IWF uses the QoS profile and the Session-AMBR it receives from SMF in overlay network along with the mapping agreed in the SLA to derive a specific DSCP value for the User Plane IPsec Child SA.</w:t>
      </w:r>
      <w:r w:rsidR="0053150F" w:rsidRPr="00873B6C">
        <w:t xml:space="preserve"> N3IWF assigns a specific DSCP value only to one User Plane IPsec Child SA for a UE at the same time.</w:t>
      </w:r>
      <w:r w:rsidRPr="00873B6C">
        <w:t xml:space="preserve"> UE (for UL) and N3IWF (for DL) will set the DSCP marking in the outer IP header of the User Plane IPsec Child SA accordingly.</w:t>
      </w:r>
    </w:p>
    <w:p w14:paraId="39B0168A" w14:textId="2F45F8CE" w:rsidR="00BA212C" w:rsidRPr="00873B6C" w:rsidRDefault="00BA212C" w:rsidP="00562E84">
      <w:pPr>
        <w:pStyle w:val="B1"/>
      </w:pPr>
      <w:r w:rsidRPr="00873B6C">
        <w:t>-</w:t>
      </w:r>
      <w:r w:rsidRPr="00873B6C">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873B6C">
        <w:t xml:space="preserve"> based on the N3IWF IP address and the DSCP value of the User Plane IPsec Child SA</w:t>
      </w:r>
      <w:r w:rsidR="00472CD7" w:rsidRPr="00873B6C">
        <w:t xml:space="preserve"> and</w:t>
      </w:r>
      <w:r w:rsidRPr="00873B6C">
        <w:t xml:space="preserve"> the SMF generates a QoS profile that triggers the PDU Session Modification procedure as described in </w:t>
      </w:r>
      <w:r w:rsidR="00960CDA" w:rsidRPr="00873B6C">
        <w:t xml:space="preserve">clause 4.3.3 of </w:t>
      </w:r>
      <w:r w:rsidR="00972E70" w:rsidRPr="00873B6C">
        <w:t>TS 23.502 [</w:t>
      </w:r>
      <w:r w:rsidRPr="00873B6C">
        <w:t>3]. The QoS parameters are derived from the mapping agreed in SLA based on the detected DSCP value.</w:t>
      </w:r>
    </w:p>
    <w:p w14:paraId="79474EE6" w14:textId="1DB1667A" w:rsidR="00BA212C" w:rsidRPr="00873B6C" w:rsidRDefault="00BA212C" w:rsidP="00BA212C">
      <w:pPr>
        <w:pStyle w:val="Heading2"/>
      </w:pPr>
      <w:bookmarkStart w:id="6473" w:name="_CRD_7_2"/>
      <w:bookmarkStart w:id="6474" w:name="_Toc201157896"/>
      <w:bookmarkEnd w:id="6473"/>
      <w:r w:rsidRPr="00873B6C">
        <w:t>D.7.2</w:t>
      </w:r>
      <w:r w:rsidRPr="00873B6C">
        <w:tab/>
        <w:t>UE initiated QoS</w:t>
      </w:r>
      <w:bookmarkEnd w:id="6474"/>
    </w:p>
    <w:p w14:paraId="6B0EE9C6" w14:textId="77777777" w:rsidR="00BA212C" w:rsidRPr="00873B6C" w:rsidRDefault="00BA212C" w:rsidP="00BA212C">
      <w:r w:rsidRPr="00873B6C">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0342A0CF" w:rsidR="00BA212C" w:rsidRPr="00873B6C" w:rsidRDefault="00BA212C" w:rsidP="00562E84">
      <w:pPr>
        <w:pStyle w:val="B1"/>
      </w:pPr>
      <w:r w:rsidRPr="00873B6C">
        <w:t>-</w:t>
      </w:r>
      <w:r w:rsidRPr="00873B6C">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873B6C">
        <w:t>according to clause 4.3.3</w:t>
      </w:r>
      <w:r w:rsidRPr="00873B6C">
        <w:t xml:space="preserve"> </w:t>
      </w:r>
      <w:r w:rsidR="00D602DF" w:rsidRPr="00873B6C">
        <w:t xml:space="preserve">of </w:t>
      </w:r>
      <w:r w:rsidR="00972E70" w:rsidRPr="00873B6C">
        <w:t>TS 23.502 [</w:t>
      </w:r>
      <w:r w:rsidRPr="00873B6C">
        <w:t xml:space="preserve">3]. UE receives the QoS Flow level QoS parameters (e.g. 5QI, GFBR, MFBR, as specified in </w:t>
      </w:r>
      <w:r w:rsidR="00972E70" w:rsidRPr="00873B6C">
        <w:t>TS 24.501 [</w:t>
      </w:r>
      <w:r w:rsidRPr="00873B6C">
        <w:t>47]) from SMF/PCF in overlay network for the QoS Flow which is created for the specific overlay network service.</w:t>
      </w:r>
    </w:p>
    <w:p w14:paraId="70C2551B" w14:textId="77777777" w:rsidR="00BA212C" w:rsidRPr="00873B6C" w:rsidRDefault="00BA212C" w:rsidP="00562E84">
      <w:pPr>
        <w:pStyle w:val="B1"/>
      </w:pPr>
      <w:r w:rsidRPr="00873B6C">
        <w:t>-</w:t>
      </w:r>
      <w:r w:rsidRPr="00873B6C">
        <w:tab/>
        <w:t>N3IWF in overlay network creates dedicated User Plane IPsec Child SA for each overlay network QoS Flow that requires underlay network QoS support.</w:t>
      </w:r>
    </w:p>
    <w:p w14:paraId="50A8CEDF" w14:textId="645697CB" w:rsidR="00BA212C" w:rsidRPr="00873B6C" w:rsidRDefault="00BA212C" w:rsidP="00562E84">
      <w:pPr>
        <w:pStyle w:val="B1"/>
      </w:pPr>
      <w:r w:rsidRPr="00873B6C">
        <w:t>-</w:t>
      </w:r>
      <w:r w:rsidRPr="00873B6C">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873B6C">
        <w:t xml:space="preserve">clause 4.3.3 of </w:t>
      </w:r>
      <w:r w:rsidR="00972E70" w:rsidRPr="00873B6C">
        <w:t>TS 23.502 [</w:t>
      </w:r>
      <w:r w:rsidRPr="00873B6C">
        <w:t>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873B6C" w:rsidRDefault="00BA212C" w:rsidP="00562E84">
      <w:pPr>
        <w:pStyle w:val="B1"/>
      </w:pPr>
      <w:r w:rsidRPr="00873B6C">
        <w:t>-</w:t>
      </w:r>
      <w:r w:rsidRPr="00873B6C">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79D61219" w:rsidR="00BA212C" w:rsidRPr="00873B6C" w:rsidRDefault="00BA212C" w:rsidP="00562E84">
      <w:pPr>
        <w:pStyle w:val="B1"/>
      </w:pPr>
      <w:r w:rsidRPr="00873B6C">
        <w:t>-</w:t>
      </w:r>
      <w:r w:rsidRPr="00873B6C">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873B6C">
        <w:t xml:space="preserve">clause 4.12.5, step 4a and 4c of </w:t>
      </w:r>
      <w:r w:rsidR="00972E70" w:rsidRPr="00873B6C">
        <w:t>TS 23.502 [</w:t>
      </w:r>
      <w:r w:rsidRPr="00873B6C">
        <w:t xml:space="preserve">3]). UE can include the DSCP value as an addition in the Packet Filter by initiating the PDU Session Modification procedure in the underlay network. PCF in the underlay network performs QoS authorization of UE QoS request considering the UE subscription </w:t>
      </w:r>
      <w:r w:rsidRPr="00873B6C">
        <w:lastRenderedPageBreak/>
        <w:t xml:space="preserve">and local configuration which takes into account the mapping in the SLA. Details of the mapping between DSCP values of the User Plane IPSec Child SAs and QoS requirement of the overlay network services is described in </w:t>
      </w:r>
      <w:r w:rsidR="00972E70" w:rsidRPr="00873B6C">
        <w:t>TS 29.513 [</w:t>
      </w:r>
      <w:r w:rsidRPr="00873B6C">
        <w:t>133].</w:t>
      </w:r>
    </w:p>
    <w:p w14:paraId="33956FC3" w14:textId="77777777" w:rsidR="00D40151" w:rsidRPr="00873B6C" w:rsidRDefault="00D40151" w:rsidP="00D40151">
      <w:pPr>
        <w:pStyle w:val="Heading8"/>
      </w:pPr>
      <w:bookmarkStart w:id="6475" w:name="_CRAnnexEinformative"/>
      <w:bookmarkEnd w:id="6475"/>
      <w:r w:rsidRPr="00873B6C">
        <w:br w:type="page"/>
      </w:r>
      <w:bookmarkStart w:id="6476" w:name="_Toc20150304"/>
      <w:bookmarkStart w:id="6477" w:name="_Toc27847112"/>
      <w:bookmarkStart w:id="6478" w:name="_Toc36188245"/>
      <w:bookmarkStart w:id="6479" w:name="_Toc45184159"/>
      <w:bookmarkStart w:id="6480" w:name="_Toc47343001"/>
      <w:bookmarkStart w:id="6481" w:name="_Toc51769703"/>
      <w:bookmarkStart w:id="6482" w:name="_Toc201157897"/>
      <w:r w:rsidRPr="00873B6C">
        <w:lastRenderedPageBreak/>
        <w:t>Annex E (informative):</w:t>
      </w:r>
      <w:r w:rsidRPr="00873B6C">
        <w:br/>
        <w:t>Communication models for NF/NF services interaction</w:t>
      </w:r>
      <w:bookmarkEnd w:id="6476"/>
      <w:bookmarkEnd w:id="6477"/>
      <w:bookmarkEnd w:id="6478"/>
      <w:bookmarkEnd w:id="6479"/>
      <w:bookmarkEnd w:id="6480"/>
      <w:bookmarkEnd w:id="6481"/>
      <w:bookmarkEnd w:id="6482"/>
    </w:p>
    <w:p w14:paraId="06ED4923" w14:textId="77777777" w:rsidR="00D40151" w:rsidRPr="00873B6C" w:rsidRDefault="00D40151" w:rsidP="00D40151">
      <w:pPr>
        <w:pStyle w:val="Heading1"/>
      </w:pPr>
      <w:bookmarkStart w:id="6483" w:name="_CRE_1"/>
      <w:bookmarkStart w:id="6484" w:name="_Toc20150305"/>
      <w:bookmarkStart w:id="6485" w:name="_Toc27847113"/>
      <w:bookmarkStart w:id="6486" w:name="_Toc36188246"/>
      <w:bookmarkStart w:id="6487" w:name="_Toc45184160"/>
      <w:bookmarkStart w:id="6488" w:name="_Toc47343002"/>
      <w:bookmarkStart w:id="6489" w:name="_Toc51769704"/>
      <w:bookmarkStart w:id="6490" w:name="_Toc201157898"/>
      <w:bookmarkEnd w:id="6483"/>
      <w:r w:rsidRPr="00873B6C">
        <w:t>E.1</w:t>
      </w:r>
      <w:r w:rsidRPr="00873B6C">
        <w:tab/>
        <w:t>General</w:t>
      </w:r>
      <w:bookmarkEnd w:id="6484"/>
      <w:bookmarkEnd w:id="6485"/>
      <w:bookmarkEnd w:id="6486"/>
      <w:bookmarkEnd w:id="6487"/>
      <w:bookmarkEnd w:id="6488"/>
      <w:bookmarkEnd w:id="6489"/>
      <w:bookmarkEnd w:id="6490"/>
    </w:p>
    <w:p w14:paraId="581B6728" w14:textId="77777777" w:rsidR="00D40151" w:rsidRPr="00873B6C" w:rsidRDefault="00D40151" w:rsidP="00D40151">
      <w:r w:rsidRPr="00873B6C">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873B6C" w:rsidRDefault="00D40151" w:rsidP="00D40151">
      <w:pPr>
        <w:pStyle w:val="TH"/>
      </w:pPr>
      <w:bookmarkStart w:id="6491" w:name="_CRTableE_11"/>
      <w:r w:rsidRPr="00873B6C">
        <w:t xml:space="preserve">Table </w:t>
      </w:r>
      <w:bookmarkEnd w:id="6491"/>
      <w:r w:rsidRPr="00873B6C">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873B6C"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873B6C" w:rsidRDefault="00D40151" w:rsidP="009D14FB">
            <w:pPr>
              <w:pStyle w:val="TAH"/>
            </w:pPr>
            <w:r w:rsidRPr="00873B6C">
              <w:t>Communication between consumer and producer</w:t>
            </w:r>
          </w:p>
        </w:tc>
        <w:tc>
          <w:tcPr>
            <w:tcW w:w="5078" w:type="dxa"/>
            <w:shd w:val="clear" w:color="auto" w:fill="auto"/>
          </w:tcPr>
          <w:p w14:paraId="4B6CCC2A" w14:textId="77777777" w:rsidR="00D40151" w:rsidRPr="00873B6C" w:rsidRDefault="00D40151" w:rsidP="009D14FB">
            <w:pPr>
              <w:pStyle w:val="TAH"/>
            </w:pPr>
            <w:r w:rsidRPr="00873B6C">
              <w:t>Service discovery and request routing</w:t>
            </w:r>
          </w:p>
        </w:tc>
        <w:tc>
          <w:tcPr>
            <w:tcW w:w="1937" w:type="dxa"/>
            <w:shd w:val="clear" w:color="auto" w:fill="auto"/>
          </w:tcPr>
          <w:p w14:paraId="27E14BE3" w14:textId="77777777" w:rsidR="00D40151" w:rsidRPr="00873B6C" w:rsidRDefault="00D40151" w:rsidP="009D14FB">
            <w:pPr>
              <w:pStyle w:val="TAH"/>
            </w:pPr>
            <w:r w:rsidRPr="00873B6C">
              <w:t>Communication model</w:t>
            </w:r>
          </w:p>
        </w:tc>
      </w:tr>
      <w:tr w:rsidR="00D40151" w:rsidRPr="00873B6C" w14:paraId="063737AE" w14:textId="77777777" w:rsidTr="00FD5C4A">
        <w:trPr>
          <w:cantSplit/>
          <w:jc w:val="center"/>
        </w:trPr>
        <w:tc>
          <w:tcPr>
            <w:tcW w:w="2616" w:type="dxa"/>
            <w:tcBorders>
              <w:bottom w:val="nil"/>
            </w:tcBorders>
            <w:shd w:val="clear" w:color="auto" w:fill="auto"/>
          </w:tcPr>
          <w:p w14:paraId="0902AEC3" w14:textId="77777777" w:rsidR="00D40151" w:rsidRPr="00873B6C" w:rsidRDefault="00D40151" w:rsidP="009D14FB">
            <w:pPr>
              <w:pStyle w:val="TAL"/>
            </w:pPr>
            <w:r w:rsidRPr="00873B6C">
              <w:t>Direct communication</w:t>
            </w:r>
          </w:p>
        </w:tc>
        <w:tc>
          <w:tcPr>
            <w:tcW w:w="5078" w:type="dxa"/>
            <w:shd w:val="clear" w:color="auto" w:fill="auto"/>
          </w:tcPr>
          <w:p w14:paraId="46F72649" w14:textId="77777777" w:rsidR="00D40151" w:rsidRPr="00873B6C" w:rsidRDefault="00D40151" w:rsidP="009D14FB">
            <w:pPr>
              <w:pStyle w:val="TAL"/>
            </w:pPr>
            <w:r w:rsidRPr="00873B6C">
              <w:t>No NRF or SCP; direct routing</w:t>
            </w:r>
          </w:p>
        </w:tc>
        <w:tc>
          <w:tcPr>
            <w:tcW w:w="1937" w:type="dxa"/>
            <w:shd w:val="clear" w:color="auto" w:fill="auto"/>
          </w:tcPr>
          <w:p w14:paraId="1284A83F" w14:textId="77777777" w:rsidR="00D40151" w:rsidRPr="00873B6C" w:rsidRDefault="00D40151" w:rsidP="009D14FB">
            <w:pPr>
              <w:pStyle w:val="TAC"/>
            </w:pPr>
            <w:r w:rsidRPr="00873B6C">
              <w:t>A</w:t>
            </w:r>
          </w:p>
        </w:tc>
      </w:tr>
      <w:tr w:rsidR="00D40151" w:rsidRPr="00873B6C" w14:paraId="4137FA58" w14:textId="77777777" w:rsidTr="00FD5C4A">
        <w:trPr>
          <w:cantSplit/>
          <w:jc w:val="center"/>
        </w:trPr>
        <w:tc>
          <w:tcPr>
            <w:tcW w:w="2616" w:type="dxa"/>
            <w:tcBorders>
              <w:top w:val="nil"/>
            </w:tcBorders>
            <w:shd w:val="clear" w:color="auto" w:fill="auto"/>
          </w:tcPr>
          <w:p w14:paraId="0F5FC9EF" w14:textId="77777777" w:rsidR="00D40151" w:rsidRPr="00873B6C" w:rsidRDefault="00D40151" w:rsidP="009D14FB">
            <w:pPr>
              <w:pStyle w:val="TAL"/>
            </w:pPr>
          </w:p>
        </w:tc>
        <w:tc>
          <w:tcPr>
            <w:tcW w:w="5078" w:type="dxa"/>
            <w:shd w:val="clear" w:color="auto" w:fill="auto"/>
          </w:tcPr>
          <w:p w14:paraId="68D28062" w14:textId="77777777" w:rsidR="00D40151" w:rsidRPr="00873B6C" w:rsidRDefault="00D40151" w:rsidP="009D14FB">
            <w:pPr>
              <w:pStyle w:val="TAL"/>
            </w:pPr>
            <w:r w:rsidRPr="00873B6C">
              <w:t>Discovery using NRF services; no SCP; direct routing</w:t>
            </w:r>
          </w:p>
        </w:tc>
        <w:tc>
          <w:tcPr>
            <w:tcW w:w="1937" w:type="dxa"/>
            <w:shd w:val="clear" w:color="auto" w:fill="auto"/>
          </w:tcPr>
          <w:p w14:paraId="6E941008" w14:textId="77777777" w:rsidR="00D40151" w:rsidRPr="00873B6C" w:rsidRDefault="00D40151" w:rsidP="009D14FB">
            <w:pPr>
              <w:pStyle w:val="TAC"/>
            </w:pPr>
            <w:r w:rsidRPr="00873B6C">
              <w:t>B</w:t>
            </w:r>
          </w:p>
        </w:tc>
      </w:tr>
      <w:tr w:rsidR="00D40151" w:rsidRPr="00873B6C" w14:paraId="78E54EC9" w14:textId="77777777" w:rsidTr="00FD5C4A">
        <w:trPr>
          <w:cantSplit/>
          <w:jc w:val="center"/>
        </w:trPr>
        <w:tc>
          <w:tcPr>
            <w:tcW w:w="2616" w:type="dxa"/>
            <w:tcBorders>
              <w:bottom w:val="nil"/>
            </w:tcBorders>
            <w:shd w:val="clear" w:color="auto" w:fill="auto"/>
          </w:tcPr>
          <w:p w14:paraId="1B8BCA21" w14:textId="77777777" w:rsidR="00D40151" w:rsidRPr="00873B6C" w:rsidRDefault="00D40151" w:rsidP="009D14FB">
            <w:pPr>
              <w:pStyle w:val="TAL"/>
            </w:pPr>
            <w:r w:rsidRPr="00873B6C">
              <w:t>Indirect communication</w:t>
            </w:r>
          </w:p>
        </w:tc>
        <w:tc>
          <w:tcPr>
            <w:tcW w:w="5078" w:type="dxa"/>
            <w:shd w:val="clear" w:color="auto" w:fill="auto"/>
          </w:tcPr>
          <w:p w14:paraId="5CD60464" w14:textId="77777777" w:rsidR="00D40151" w:rsidRPr="00873B6C" w:rsidRDefault="00D40151" w:rsidP="009D14FB">
            <w:pPr>
              <w:pStyle w:val="TAL"/>
            </w:pPr>
            <w:r w:rsidRPr="00873B6C">
              <w:t>Discovery using NRF services; selection for specific instance from the Set can be delegated to SCP. Routing via SCP</w:t>
            </w:r>
          </w:p>
        </w:tc>
        <w:tc>
          <w:tcPr>
            <w:tcW w:w="1937" w:type="dxa"/>
            <w:shd w:val="clear" w:color="auto" w:fill="auto"/>
          </w:tcPr>
          <w:p w14:paraId="19735735" w14:textId="77777777" w:rsidR="00D40151" w:rsidRPr="00873B6C" w:rsidRDefault="00D40151" w:rsidP="009D14FB">
            <w:pPr>
              <w:pStyle w:val="TAC"/>
            </w:pPr>
            <w:r w:rsidRPr="00873B6C">
              <w:t>C</w:t>
            </w:r>
          </w:p>
        </w:tc>
      </w:tr>
      <w:tr w:rsidR="00D40151" w:rsidRPr="00873B6C" w14:paraId="0F91166E" w14:textId="77777777" w:rsidTr="00FD5C4A">
        <w:trPr>
          <w:cantSplit/>
          <w:jc w:val="center"/>
        </w:trPr>
        <w:tc>
          <w:tcPr>
            <w:tcW w:w="2616" w:type="dxa"/>
            <w:tcBorders>
              <w:top w:val="nil"/>
            </w:tcBorders>
            <w:shd w:val="clear" w:color="auto" w:fill="auto"/>
          </w:tcPr>
          <w:p w14:paraId="100C809D" w14:textId="77777777" w:rsidR="00D40151" w:rsidRPr="00873B6C" w:rsidRDefault="00D40151" w:rsidP="009D14FB">
            <w:pPr>
              <w:pStyle w:val="TAL"/>
            </w:pPr>
          </w:p>
        </w:tc>
        <w:tc>
          <w:tcPr>
            <w:tcW w:w="5078" w:type="dxa"/>
            <w:shd w:val="clear" w:color="auto" w:fill="auto"/>
          </w:tcPr>
          <w:p w14:paraId="4AAEC9CC" w14:textId="77777777" w:rsidR="00D40151" w:rsidRPr="00873B6C" w:rsidRDefault="00D40151" w:rsidP="009D14FB">
            <w:pPr>
              <w:pStyle w:val="TAL"/>
            </w:pPr>
            <w:r w:rsidRPr="00873B6C">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873B6C" w:rsidRDefault="00D40151" w:rsidP="009D14FB">
            <w:pPr>
              <w:pStyle w:val="TAC"/>
            </w:pPr>
            <w:r w:rsidRPr="00873B6C">
              <w:t>D</w:t>
            </w:r>
          </w:p>
        </w:tc>
      </w:tr>
    </w:tbl>
    <w:p w14:paraId="4C162186" w14:textId="77777777" w:rsidR="00D40151" w:rsidRPr="00873B6C" w:rsidRDefault="00D40151" w:rsidP="00D40151"/>
    <w:p w14:paraId="0810E7ED" w14:textId="77777777" w:rsidR="00D40151" w:rsidRPr="00873B6C" w:rsidRDefault="00D40151" w:rsidP="00D40151">
      <w:r w:rsidRPr="00873B6C">
        <w:rPr>
          <w:b/>
        </w:rPr>
        <w:t>Model A - Direct communication without NRF interaction:</w:t>
      </w:r>
      <w:r w:rsidRPr="00873B6C">
        <w:t xml:space="preserve"> Neither NRF nor SCP are used. Consumers are configured with producers' "NF profiles" and directly communicate with a producer of their choice.</w:t>
      </w:r>
    </w:p>
    <w:p w14:paraId="0B9E2533" w14:textId="77777777" w:rsidR="00D40151" w:rsidRPr="00873B6C" w:rsidRDefault="00D40151" w:rsidP="00D40151">
      <w:r w:rsidRPr="00873B6C">
        <w:rPr>
          <w:b/>
        </w:rPr>
        <w:t>Model B - Direct communication with NRF interaction:</w:t>
      </w:r>
      <w:r w:rsidRPr="00873B6C">
        <w:t xml:space="preserve"> Consumers do discovery by querying the NRF. Based on the discovery result, the consumer does the selection. The consumer sends the request to the selected producer.</w:t>
      </w:r>
    </w:p>
    <w:p w14:paraId="4D05CE8C" w14:textId="77777777" w:rsidR="00D40151" w:rsidRPr="00873B6C" w:rsidRDefault="00D40151" w:rsidP="00D40151">
      <w:r w:rsidRPr="00873B6C">
        <w:rPr>
          <w:b/>
        </w:rPr>
        <w:t>Model C - Indirect communication without delegated discovery:</w:t>
      </w:r>
      <w:r w:rsidRPr="00873B6C">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873B6C" w:rsidRDefault="00D40151" w:rsidP="00D40151">
      <w:r w:rsidRPr="00873B6C">
        <w:rPr>
          <w:b/>
        </w:rPr>
        <w:t>Model D - Indirect communication with delegated discovery:</w:t>
      </w:r>
      <w:r w:rsidRPr="00873B6C">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873B6C" w:rsidRDefault="00D40151" w:rsidP="00D40151">
      <w:r w:rsidRPr="00873B6C">
        <w:t>Figure E.1-1 depicts the different communication models.</w:t>
      </w:r>
    </w:p>
    <w:p w14:paraId="2480474E" w14:textId="1CA87E3B" w:rsidR="00704A9E" w:rsidRPr="00873B6C" w:rsidRDefault="00704A9E" w:rsidP="00704A9E">
      <w:pPr>
        <w:pStyle w:val="TH"/>
      </w:pPr>
      <w:r w:rsidRPr="00873B6C">
        <w:object w:dxaOrig="9633" w:dyaOrig="5505" w14:anchorId="6EFE1533">
          <v:shape id="_x0000_i1156" type="#_x0000_t75" style="width:482.1pt;height:274.25pt" o:ole="">
            <v:imagedata r:id="rId271" o:title=""/>
          </v:shape>
          <o:OLEObject Type="Embed" ProgID="Word.Picture.8" ShapeID="_x0000_i1156" DrawAspect="Content" ObjectID="_1811772490" r:id="rId272"/>
        </w:object>
      </w:r>
    </w:p>
    <w:p w14:paraId="790DF0C3" w14:textId="77777777" w:rsidR="00D40151" w:rsidRPr="00873B6C" w:rsidRDefault="00D40151" w:rsidP="00D40151">
      <w:pPr>
        <w:pStyle w:val="TF"/>
      </w:pPr>
      <w:bookmarkStart w:id="6492" w:name="_CRFigureE_11"/>
      <w:r w:rsidRPr="00873B6C">
        <w:t xml:space="preserve">Figure </w:t>
      </w:r>
      <w:bookmarkEnd w:id="6492"/>
      <w:r w:rsidRPr="00873B6C">
        <w:t>E.1-1: Communication models for NF/NF services interaction</w:t>
      </w:r>
    </w:p>
    <w:p w14:paraId="26DA67C5" w14:textId="77777777" w:rsidR="00D40151" w:rsidRPr="00873B6C" w:rsidRDefault="00D40151" w:rsidP="00D40151">
      <w:pPr>
        <w:pStyle w:val="Heading8"/>
      </w:pPr>
      <w:bookmarkStart w:id="6493" w:name="_CRAnnexFinformative"/>
      <w:bookmarkEnd w:id="6493"/>
      <w:r w:rsidRPr="00873B6C">
        <w:br w:type="page"/>
      </w:r>
      <w:bookmarkStart w:id="6494" w:name="_Toc20150306"/>
      <w:bookmarkStart w:id="6495" w:name="_Toc27847114"/>
      <w:bookmarkStart w:id="6496" w:name="_Toc36188247"/>
      <w:bookmarkStart w:id="6497" w:name="_Toc45184161"/>
      <w:bookmarkStart w:id="6498" w:name="_Toc47343003"/>
      <w:bookmarkStart w:id="6499" w:name="_Toc51769705"/>
      <w:bookmarkStart w:id="6500" w:name="_Toc201157899"/>
      <w:r w:rsidRPr="00873B6C">
        <w:lastRenderedPageBreak/>
        <w:t>Annex F (informative):</w:t>
      </w:r>
      <w:r w:rsidRPr="00873B6C">
        <w:br/>
        <w:t>Redundant user plane paths based on multiple UEs per device</w:t>
      </w:r>
      <w:bookmarkEnd w:id="6494"/>
      <w:bookmarkEnd w:id="6495"/>
      <w:bookmarkEnd w:id="6496"/>
      <w:bookmarkEnd w:id="6497"/>
      <w:bookmarkEnd w:id="6498"/>
      <w:bookmarkEnd w:id="6499"/>
      <w:bookmarkEnd w:id="6500"/>
    </w:p>
    <w:p w14:paraId="23CBBF05" w14:textId="77777777" w:rsidR="00D40151" w:rsidRPr="00873B6C" w:rsidRDefault="00D40151" w:rsidP="00D40151">
      <w:r w:rsidRPr="00873B6C">
        <w:t>This clause describes an approach to realize multiple user plane paths in the system based on a device having multiple UEs and specific network deployments.</w:t>
      </w:r>
    </w:p>
    <w:p w14:paraId="5A6BDD1C" w14:textId="77777777" w:rsidR="00D40151" w:rsidRPr="00873B6C" w:rsidRDefault="00D40151" w:rsidP="00D40151">
      <w:r w:rsidRPr="00873B6C">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873B6C" w:rsidRDefault="00D40151" w:rsidP="00D40151">
      <w:r w:rsidRPr="00873B6C">
        <w:t>The UEs belonging to the same terminal device request the establishment of PDU Sessions that use independent RAN and CN network resources using the mechanisms outlined below.</w:t>
      </w:r>
    </w:p>
    <w:p w14:paraId="7DB1D0CF" w14:textId="77777777" w:rsidR="00D40151" w:rsidRPr="00873B6C" w:rsidRDefault="00D40151" w:rsidP="00D40151">
      <w:r w:rsidRPr="00873B6C">
        <w:t>This deployment option has a number of preconditions:</w:t>
      </w:r>
    </w:p>
    <w:p w14:paraId="29A48585" w14:textId="77777777" w:rsidR="00D40151" w:rsidRPr="00873B6C" w:rsidRDefault="00D40151" w:rsidP="00D40151">
      <w:pPr>
        <w:pStyle w:val="B1"/>
      </w:pPr>
      <w:r w:rsidRPr="00873B6C">
        <w:t>-</w:t>
      </w:r>
      <w:r w:rsidRPr="00873B6C">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873B6C" w:rsidRDefault="00D40151" w:rsidP="00D40151">
      <w:pPr>
        <w:pStyle w:val="B1"/>
      </w:pPr>
      <w:r w:rsidRPr="00873B6C">
        <w:t>-</w:t>
      </w:r>
      <w:r w:rsidRPr="00873B6C">
        <w:tab/>
        <w:t>Terminal devices integrate multiple UEs which can connect to different gNBs independently.</w:t>
      </w:r>
    </w:p>
    <w:p w14:paraId="32E714CC" w14:textId="77777777" w:rsidR="00D40151" w:rsidRPr="00873B6C" w:rsidRDefault="00D40151" w:rsidP="00D40151">
      <w:pPr>
        <w:pStyle w:val="B1"/>
      </w:pPr>
      <w:r w:rsidRPr="00873B6C">
        <w:t>-</w:t>
      </w:r>
      <w:r w:rsidRPr="00873B6C">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873B6C" w:rsidRDefault="00D40151" w:rsidP="00D40151">
      <w:pPr>
        <w:pStyle w:val="B1"/>
      </w:pPr>
      <w:r w:rsidRPr="00873B6C">
        <w:t>-</w:t>
      </w:r>
      <w:r w:rsidRPr="00873B6C">
        <w:tab/>
        <w:t>The core network UPF deployment is aligned with RAN deployment and supports redundant user plane paths.</w:t>
      </w:r>
    </w:p>
    <w:p w14:paraId="6648AEC3" w14:textId="77777777" w:rsidR="00D40151" w:rsidRPr="00873B6C" w:rsidRDefault="00D40151" w:rsidP="00D40151">
      <w:pPr>
        <w:pStyle w:val="B1"/>
      </w:pPr>
      <w:r w:rsidRPr="00873B6C">
        <w:t>-</w:t>
      </w:r>
      <w:r w:rsidRPr="00873B6C">
        <w:tab/>
        <w:t>The underlying transport topology is aligned with the RAN and UPF deployment and supports redundant user plane paths.</w:t>
      </w:r>
    </w:p>
    <w:p w14:paraId="0D655891" w14:textId="77777777" w:rsidR="00D40151" w:rsidRPr="00873B6C" w:rsidRDefault="00D40151" w:rsidP="00D40151">
      <w:pPr>
        <w:pStyle w:val="B1"/>
      </w:pPr>
      <w:r w:rsidRPr="00873B6C">
        <w:t>-</w:t>
      </w:r>
      <w:r w:rsidRPr="00873B6C">
        <w:tab/>
        <w:t>The physical network topology and geographical distribution of functions also supports the redundant user plane paths to the extent deemed necessary by the operator.</w:t>
      </w:r>
    </w:p>
    <w:p w14:paraId="04037178" w14:textId="45106BBC" w:rsidR="00D40151" w:rsidRPr="00873B6C" w:rsidRDefault="00D40151" w:rsidP="00D40151">
      <w:pPr>
        <w:pStyle w:val="B1"/>
      </w:pPr>
      <w:r w:rsidRPr="00873B6C">
        <w:t>-</w:t>
      </w:r>
      <w:r w:rsidRPr="00873B6C">
        <w:tab/>
        <w:t>The operation of the redundant user plane paths is made sufficiently independent, to the extent deemed necessary by the operator, e.g</w:t>
      </w:r>
      <w:r w:rsidR="000E35F2" w:rsidRPr="00873B6C">
        <w:t>.</w:t>
      </w:r>
      <w:r w:rsidRPr="00873B6C">
        <w:t xml:space="preserve"> independent power supplies.</w:t>
      </w:r>
    </w:p>
    <w:p w14:paraId="1324C451" w14:textId="77777777" w:rsidR="00D40151" w:rsidRPr="00873B6C" w:rsidRDefault="00D40151" w:rsidP="00D40151">
      <w:r w:rsidRPr="00873B6C">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873B6C" w:rsidRDefault="00D40151" w:rsidP="00D40151">
      <w:pPr>
        <w:pStyle w:val="TH"/>
      </w:pPr>
      <w:r w:rsidRPr="00873B6C">
        <w:object w:dxaOrig="5103" w:dyaOrig="3825" w14:anchorId="4727E705">
          <v:shape id="_x0000_i1157" type="#_x0000_t75" style="width:259.2pt;height:195.35pt" o:ole="">
            <v:imagedata r:id="rId273" o:title=""/>
          </v:shape>
          <o:OLEObject Type="Embed" ProgID="Word.Picture.8" ShapeID="_x0000_i1157" DrawAspect="Content" ObjectID="_1811772491" r:id="rId274"/>
        </w:object>
      </w:r>
    </w:p>
    <w:p w14:paraId="0A3500FC" w14:textId="77777777" w:rsidR="00D40151" w:rsidRPr="00873B6C" w:rsidRDefault="00D40151" w:rsidP="00D40151">
      <w:pPr>
        <w:pStyle w:val="TF"/>
      </w:pPr>
      <w:bookmarkStart w:id="6501" w:name="_CRFigureF1"/>
      <w:r w:rsidRPr="00873B6C">
        <w:t xml:space="preserve">Figure </w:t>
      </w:r>
      <w:bookmarkEnd w:id="6501"/>
      <w:r w:rsidRPr="00873B6C">
        <w:t>F-1: Architecture with redundancy based on multiple UEs in the device</w:t>
      </w:r>
    </w:p>
    <w:p w14:paraId="2E736E42" w14:textId="77777777" w:rsidR="00D40151" w:rsidRPr="00873B6C" w:rsidRDefault="00D40151" w:rsidP="00D40151">
      <w:r w:rsidRPr="00873B6C">
        <w:lastRenderedPageBreak/>
        <w:t>The approach comprises the following main components shown as example using NR in figure F-2.</w:t>
      </w:r>
    </w:p>
    <w:p w14:paraId="1D59A1FC" w14:textId="450452A8" w:rsidR="00D40151" w:rsidRPr="00873B6C" w:rsidRDefault="00D40151" w:rsidP="00D40151">
      <w:pPr>
        <w:pStyle w:val="B1"/>
      </w:pPr>
      <w:r w:rsidRPr="00873B6C">
        <w:t>-</w:t>
      </w:r>
      <w:r w:rsidRPr="00873B6C">
        <w:tab/>
      </w:r>
      <w:r w:rsidRPr="00873B6C">
        <w:rPr>
          <w:b/>
        </w:rPr>
        <w:t>gNB selection:</w:t>
      </w:r>
      <w:r w:rsidRPr="00873B6C">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w:t>
      </w:r>
      <w:r w:rsidR="00472CD7" w:rsidRPr="00873B6C">
        <w:t xml:space="preserve"> and</w:t>
      </w:r>
      <w:r w:rsidRPr="00873B6C">
        <w:t xml:space="preserve"> UE2 and the cells of gNB2 belong to reliability group B.</w:t>
      </w:r>
    </w:p>
    <w:p w14:paraId="12A80961" w14:textId="77777777" w:rsidR="00D40151" w:rsidRPr="00873B6C" w:rsidRDefault="00D40151" w:rsidP="00D40151">
      <w:pPr>
        <w:pStyle w:val="TH"/>
      </w:pPr>
      <w:r w:rsidRPr="00873B6C">
        <w:object w:dxaOrig="5245" w:dyaOrig="4108" w14:anchorId="60D68541">
          <v:shape id="_x0000_i1158" type="#_x0000_t75" style="width:258.55pt;height:209.75pt" o:ole="">
            <v:imagedata r:id="rId275" o:title=""/>
          </v:shape>
          <o:OLEObject Type="Embed" ProgID="Word.Picture.8" ShapeID="_x0000_i1158" DrawAspect="Content" ObjectID="_1811772492" r:id="rId276"/>
        </w:object>
      </w:r>
    </w:p>
    <w:p w14:paraId="537C96FE" w14:textId="77777777" w:rsidR="00D40151" w:rsidRPr="00873B6C" w:rsidRDefault="00D40151" w:rsidP="00D40151">
      <w:pPr>
        <w:pStyle w:val="TF"/>
      </w:pPr>
      <w:bookmarkStart w:id="6502" w:name="_CRFigureF2"/>
      <w:r w:rsidRPr="00873B6C">
        <w:t xml:space="preserve">Figure </w:t>
      </w:r>
      <w:bookmarkEnd w:id="6502"/>
      <w:r w:rsidRPr="00873B6C">
        <w:t>F-2: Reliability group-based redundancy concept in RAN</w:t>
      </w:r>
    </w:p>
    <w:p w14:paraId="6DB9766C" w14:textId="77777777" w:rsidR="00D40151" w:rsidRPr="00873B6C" w:rsidRDefault="00D40151" w:rsidP="00D40151">
      <w:r w:rsidRPr="00873B6C">
        <w:t>For determining the reliability grouping of a UE, one of the following methods or a combination of them can be used:</w:t>
      </w:r>
    </w:p>
    <w:p w14:paraId="7F00F981" w14:textId="77777777" w:rsidR="00D40151" w:rsidRPr="00873B6C" w:rsidRDefault="00D40151" w:rsidP="00D40151">
      <w:pPr>
        <w:pStyle w:val="B1"/>
      </w:pPr>
      <w:r w:rsidRPr="00873B6C">
        <w:t>-</w:t>
      </w:r>
      <w:r w:rsidRPr="00873B6C">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873B6C" w:rsidRDefault="00D40151" w:rsidP="00D40151">
      <w:pPr>
        <w:pStyle w:val="B1"/>
      </w:pPr>
      <w:r w:rsidRPr="00873B6C">
        <w:t>-</w:t>
      </w:r>
      <w:r w:rsidRPr="00873B6C">
        <w:tab/>
        <w:t>It could also be derived from existing system parameters (e.g</w:t>
      </w:r>
      <w:r w:rsidR="000E35F2" w:rsidRPr="00873B6C">
        <w:t>.</w:t>
      </w:r>
      <w:r w:rsidRPr="00873B6C">
        <w:t xml:space="preserve"> SUPI, PEI, S-NSSAI, RFSP) based on operator configuration.</w:t>
      </w:r>
    </w:p>
    <w:p w14:paraId="75FCA2D6" w14:textId="77777777" w:rsidR="00D40151" w:rsidRPr="00873B6C" w:rsidRDefault="00D40151" w:rsidP="00D40151">
      <w:r w:rsidRPr="00873B6C">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873B6C" w:rsidRDefault="00D40151" w:rsidP="00D40151">
      <w:pPr>
        <w:pStyle w:val="NO"/>
      </w:pPr>
      <w:r w:rsidRPr="00873B6C">
        <w:t>NOTE:</w:t>
      </w:r>
      <w:r w:rsidRPr="00873B6C">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873B6C" w:rsidRDefault="00D40151" w:rsidP="00D40151">
      <w:r w:rsidRPr="00873B6C">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873B6C" w:rsidRDefault="00D40151" w:rsidP="00D40151">
      <w:r w:rsidRPr="00873B6C">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873B6C" w:rsidRDefault="00D40151" w:rsidP="00D40151">
      <w:r w:rsidRPr="00873B6C">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873B6C" w:rsidRDefault="00D40151" w:rsidP="00D40151">
      <w:r w:rsidRPr="00873B6C">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873B6C" w:rsidRDefault="00D40151" w:rsidP="00D40151">
      <w:pPr>
        <w:pStyle w:val="B1"/>
      </w:pPr>
      <w:r w:rsidRPr="00873B6C">
        <w:lastRenderedPageBreak/>
        <w:t>-</w:t>
      </w:r>
      <w:r w:rsidRPr="00873B6C">
        <w:tab/>
      </w:r>
      <w:r w:rsidRPr="00873B6C">
        <w:rPr>
          <w:b/>
        </w:rPr>
        <w:t>UPF selection.</w:t>
      </w:r>
      <w:r w:rsidRPr="00873B6C">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873B6C" w:rsidRDefault="00D40151" w:rsidP="00D40151">
      <w:pPr>
        <w:pStyle w:val="B1"/>
      </w:pPr>
      <w:r w:rsidRPr="00873B6C">
        <w:t>-</w:t>
      </w:r>
      <w:r w:rsidRPr="00873B6C">
        <w:tab/>
      </w:r>
      <w:r w:rsidRPr="00873B6C">
        <w:rPr>
          <w:b/>
        </w:rPr>
        <w:t>Control plane.</w:t>
      </w:r>
      <w:r w:rsidRPr="00873B6C">
        <w:t xml:space="preserve"> The approach can optionally apply different control plane entities for the individual UEs within the device. This may be achieved by using:</w:t>
      </w:r>
    </w:p>
    <w:p w14:paraId="47979752" w14:textId="77777777" w:rsidR="00D40151" w:rsidRPr="00873B6C" w:rsidRDefault="00D40151" w:rsidP="00D40151">
      <w:pPr>
        <w:pStyle w:val="B2"/>
      </w:pPr>
      <w:r w:rsidRPr="00873B6C">
        <w:t>-</w:t>
      </w:r>
      <w:r w:rsidRPr="00873B6C">
        <w:tab/>
        <w:t>different DNNs for the individual UEs within the device to select different SMFs,</w:t>
      </w:r>
    </w:p>
    <w:p w14:paraId="1D94FBC9" w14:textId="77777777" w:rsidR="00D40151" w:rsidRPr="00873B6C" w:rsidRDefault="00D40151" w:rsidP="00D40151">
      <w:pPr>
        <w:pStyle w:val="B2"/>
      </w:pPr>
      <w:r w:rsidRPr="00873B6C">
        <w:t>-</w:t>
      </w:r>
      <w:r w:rsidRPr="00873B6C">
        <w:tab/>
        <w:t>or applying different slices for the individual UEs within the device either based on UE configuration or network subscription, to select different AMFs and/or SMFs.</w:t>
      </w:r>
    </w:p>
    <w:p w14:paraId="778BFD12" w14:textId="77777777" w:rsidR="00D40151" w:rsidRPr="00873B6C" w:rsidRDefault="00D40151" w:rsidP="00D40151">
      <w:pPr>
        <w:pStyle w:val="Heading8"/>
        <w:rPr>
          <w:lang w:eastAsia="ja-JP"/>
        </w:rPr>
      </w:pPr>
      <w:bookmarkStart w:id="6503" w:name="_CRAnnexGinformative"/>
      <w:bookmarkEnd w:id="6503"/>
      <w:r w:rsidRPr="00873B6C">
        <w:br w:type="page"/>
      </w:r>
      <w:bookmarkStart w:id="6504" w:name="_Toc20150307"/>
      <w:bookmarkStart w:id="6505" w:name="_Toc27847115"/>
      <w:bookmarkStart w:id="6506" w:name="_Toc36188248"/>
      <w:bookmarkStart w:id="6507" w:name="_Toc45184162"/>
      <w:bookmarkStart w:id="6508" w:name="_Toc47343004"/>
      <w:bookmarkStart w:id="6509" w:name="_Toc51769706"/>
      <w:bookmarkStart w:id="6510" w:name="_Toc201157900"/>
      <w:r w:rsidRPr="00873B6C">
        <w:lastRenderedPageBreak/>
        <w:t>Annex G (informative):</w:t>
      </w:r>
      <w:r w:rsidRPr="00873B6C">
        <w:br/>
      </w:r>
      <w:r w:rsidRPr="00873B6C">
        <w:rPr>
          <w:lang w:eastAsia="ja-JP"/>
        </w:rPr>
        <w:t>SCP Deployment Examples</w:t>
      </w:r>
      <w:bookmarkEnd w:id="6504"/>
      <w:bookmarkEnd w:id="6505"/>
      <w:bookmarkEnd w:id="6506"/>
      <w:bookmarkEnd w:id="6507"/>
      <w:bookmarkEnd w:id="6508"/>
      <w:bookmarkEnd w:id="6509"/>
      <w:bookmarkEnd w:id="6510"/>
    </w:p>
    <w:p w14:paraId="50789E70" w14:textId="77777777" w:rsidR="00D40151" w:rsidRPr="00873B6C" w:rsidRDefault="00D40151" w:rsidP="00D40151">
      <w:pPr>
        <w:pStyle w:val="Heading1"/>
        <w:rPr>
          <w:lang w:eastAsia="ja-JP"/>
        </w:rPr>
      </w:pPr>
      <w:bookmarkStart w:id="6511" w:name="_CRG_1"/>
      <w:bookmarkStart w:id="6512" w:name="_Toc20150308"/>
      <w:bookmarkStart w:id="6513" w:name="_Toc27847116"/>
      <w:bookmarkStart w:id="6514" w:name="_Toc36188249"/>
      <w:bookmarkStart w:id="6515" w:name="_Toc45184163"/>
      <w:bookmarkStart w:id="6516" w:name="_Toc47343005"/>
      <w:bookmarkStart w:id="6517" w:name="_Toc51769707"/>
      <w:bookmarkStart w:id="6518" w:name="_Ref7702887"/>
      <w:bookmarkStart w:id="6519" w:name="_Toc201157901"/>
      <w:bookmarkEnd w:id="6511"/>
      <w:r w:rsidRPr="00873B6C">
        <w:rPr>
          <w:lang w:eastAsia="ja-JP"/>
        </w:rPr>
        <w:t>G.1</w:t>
      </w:r>
      <w:r w:rsidRPr="00873B6C">
        <w:rPr>
          <w:lang w:eastAsia="ja-JP"/>
        </w:rPr>
        <w:tab/>
        <w:t>General</w:t>
      </w:r>
      <w:bookmarkEnd w:id="6512"/>
      <w:bookmarkEnd w:id="6513"/>
      <w:bookmarkEnd w:id="6514"/>
      <w:bookmarkEnd w:id="6515"/>
      <w:bookmarkEnd w:id="6516"/>
      <w:bookmarkEnd w:id="6517"/>
      <w:bookmarkEnd w:id="6519"/>
    </w:p>
    <w:p w14:paraId="3E63151D" w14:textId="77777777" w:rsidR="00D40151" w:rsidRPr="00873B6C" w:rsidRDefault="00D40151" w:rsidP="00D40151">
      <w:pPr>
        <w:rPr>
          <w:lang w:eastAsia="ja-JP"/>
        </w:rPr>
      </w:pPr>
      <w:r w:rsidRPr="00873B6C">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873B6C" w:rsidRDefault="00D40151" w:rsidP="00D40151">
      <w:pPr>
        <w:pStyle w:val="Heading1"/>
        <w:rPr>
          <w:lang w:eastAsia="ja-JP"/>
        </w:rPr>
      </w:pPr>
      <w:bookmarkStart w:id="6520" w:name="_CRG_2"/>
      <w:bookmarkStart w:id="6521" w:name="_Toc20150309"/>
      <w:bookmarkStart w:id="6522" w:name="_Toc27847117"/>
      <w:bookmarkStart w:id="6523" w:name="_Toc36188250"/>
      <w:bookmarkStart w:id="6524" w:name="_Toc45184164"/>
      <w:bookmarkStart w:id="6525" w:name="_Toc47343006"/>
      <w:bookmarkStart w:id="6526" w:name="_Toc51769708"/>
      <w:bookmarkStart w:id="6527" w:name="_Toc201157902"/>
      <w:bookmarkEnd w:id="6520"/>
      <w:r w:rsidRPr="00873B6C">
        <w:rPr>
          <w:lang w:eastAsia="ja-JP"/>
        </w:rPr>
        <w:t>G.2</w:t>
      </w:r>
      <w:r w:rsidRPr="00873B6C">
        <w:rPr>
          <w:lang w:eastAsia="ja-JP"/>
        </w:rPr>
        <w:tab/>
        <w:t>An SCP based on service mesh</w:t>
      </w:r>
      <w:bookmarkEnd w:id="6518"/>
      <w:bookmarkEnd w:id="6521"/>
      <w:bookmarkEnd w:id="6522"/>
      <w:bookmarkEnd w:id="6523"/>
      <w:bookmarkEnd w:id="6524"/>
      <w:bookmarkEnd w:id="6525"/>
      <w:bookmarkEnd w:id="6526"/>
      <w:bookmarkEnd w:id="6527"/>
    </w:p>
    <w:p w14:paraId="4CD06780" w14:textId="77777777" w:rsidR="00D40151" w:rsidRPr="00873B6C" w:rsidRDefault="00D40151" w:rsidP="00D40151">
      <w:pPr>
        <w:pStyle w:val="Heading2"/>
      </w:pPr>
      <w:bookmarkStart w:id="6528" w:name="_CRG_2_1"/>
      <w:bookmarkStart w:id="6529" w:name="_Toc20150310"/>
      <w:bookmarkStart w:id="6530" w:name="_Toc27847118"/>
      <w:bookmarkStart w:id="6531" w:name="_Toc36188251"/>
      <w:bookmarkStart w:id="6532" w:name="_Toc45184165"/>
      <w:bookmarkStart w:id="6533" w:name="_Toc47343007"/>
      <w:bookmarkStart w:id="6534" w:name="_Toc51769709"/>
      <w:bookmarkStart w:id="6535" w:name="_Toc201157903"/>
      <w:bookmarkEnd w:id="6528"/>
      <w:r w:rsidRPr="00873B6C">
        <w:t>G.2.1</w:t>
      </w:r>
      <w:r w:rsidRPr="00873B6C">
        <w:tab/>
        <w:t>Introduction</w:t>
      </w:r>
      <w:bookmarkEnd w:id="6529"/>
      <w:bookmarkEnd w:id="6530"/>
      <w:bookmarkEnd w:id="6531"/>
      <w:bookmarkEnd w:id="6532"/>
      <w:bookmarkEnd w:id="6533"/>
      <w:bookmarkEnd w:id="6534"/>
      <w:bookmarkEnd w:id="6535"/>
    </w:p>
    <w:p w14:paraId="721F8060" w14:textId="77777777" w:rsidR="00D40151" w:rsidRPr="00873B6C" w:rsidRDefault="00D40151" w:rsidP="00D40151">
      <w:r w:rsidRPr="00873B6C">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873B6C" w:rsidRDefault="00D40151" w:rsidP="00D40151">
      <w:r w:rsidRPr="00873B6C">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873B6C" w:rsidRDefault="00704A9E" w:rsidP="00704A9E">
      <w:pPr>
        <w:pStyle w:val="TH"/>
      </w:pPr>
      <w:r w:rsidRPr="00873B6C">
        <w:object w:dxaOrig="9601" w:dyaOrig="2821" w14:anchorId="61793FE6">
          <v:shape id="_x0000_i1159" type="#_x0000_t75" style="width:482.7pt;height:137.1pt" o:ole="">
            <v:imagedata r:id="rId277" o:title=""/>
          </v:shape>
          <o:OLEObject Type="Embed" ProgID="Word.Picture.8" ShapeID="_x0000_i1159" DrawAspect="Content" ObjectID="_1811772493" r:id="rId278"/>
        </w:object>
      </w:r>
    </w:p>
    <w:p w14:paraId="0579F796" w14:textId="77777777" w:rsidR="00D40151" w:rsidRPr="00873B6C" w:rsidRDefault="00D40151" w:rsidP="00D40151">
      <w:pPr>
        <w:pStyle w:val="TF"/>
      </w:pPr>
      <w:bookmarkStart w:id="6536" w:name="_CRFigureG_2_11"/>
      <w:r w:rsidRPr="00873B6C">
        <w:t xml:space="preserve">Figure </w:t>
      </w:r>
      <w:bookmarkEnd w:id="6536"/>
      <w:r w:rsidRPr="00873B6C">
        <w:t>G.2.1-1: Deployment unit: 5GC functionality and co-located Service Agent(s) implementing peripheral tasks</w:t>
      </w:r>
    </w:p>
    <w:p w14:paraId="331BDBEE" w14:textId="77777777" w:rsidR="00D40151" w:rsidRPr="00873B6C" w:rsidRDefault="00D40151" w:rsidP="00D40151">
      <w:r w:rsidRPr="00873B6C">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873B6C" w:rsidRDefault="00D40151" w:rsidP="00D40151">
      <w:r w:rsidRPr="00873B6C">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873B6C" w:rsidRDefault="00D40151" w:rsidP="00D40151">
      <w:r w:rsidRPr="00873B6C">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873B6C" w:rsidRDefault="00D40151" w:rsidP="00D40151">
      <w:r w:rsidRPr="00873B6C">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873B6C" w:rsidRDefault="00704A9E" w:rsidP="00704A9E">
      <w:pPr>
        <w:pStyle w:val="TH"/>
      </w:pPr>
      <w:r w:rsidRPr="00873B6C">
        <w:object w:dxaOrig="9616" w:dyaOrig="4682" w14:anchorId="7BE0F410">
          <v:shape id="_x0000_i1160" type="#_x0000_t75" style="width:480.85pt;height:237.9pt" o:ole="">
            <v:imagedata r:id="rId279" o:title=""/>
          </v:shape>
          <o:OLEObject Type="Embed" ProgID="Word.Picture.8" ShapeID="_x0000_i1160" DrawAspect="Content" ObjectID="_1811772494" r:id="rId280"/>
        </w:object>
      </w:r>
    </w:p>
    <w:p w14:paraId="485748E1" w14:textId="77777777" w:rsidR="00D40151" w:rsidRPr="00873B6C" w:rsidRDefault="00D40151" w:rsidP="00D40151">
      <w:pPr>
        <w:pStyle w:val="TF"/>
      </w:pPr>
      <w:bookmarkStart w:id="6537" w:name="_CRFigureG_2_12"/>
      <w:r w:rsidRPr="00873B6C">
        <w:t xml:space="preserve">Figure </w:t>
      </w:r>
      <w:bookmarkEnd w:id="6537"/>
      <w:r w:rsidRPr="00873B6C">
        <w:t>G.2.1-2: SCP Service mesh co-location with 5GC functionality</w:t>
      </w:r>
    </w:p>
    <w:p w14:paraId="5793AD96" w14:textId="77777777" w:rsidR="00D40151" w:rsidRPr="00873B6C" w:rsidRDefault="00D40151" w:rsidP="00D40151">
      <w:r w:rsidRPr="00873B6C">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873B6C" w:rsidRDefault="00704A9E" w:rsidP="00704A9E">
      <w:pPr>
        <w:pStyle w:val="TH"/>
      </w:pPr>
      <w:r w:rsidRPr="00873B6C">
        <w:object w:dxaOrig="6751" w:dyaOrig="4006" w14:anchorId="7C08113D">
          <v:shape id="_x0000_i1161" type="#_x0000_t75" style="width:338.1pt;height:201.6pt" o:ole="">
            <v:imagedata r:id="rId281" o:title=""/>
          </v:shape>
          <o:OLEObject Type="Embed" ProgID="Word.Picture.8" ShapeID="_x0000_i1161" DrawAspect="Content" ObjectID="_1811772495" r:id="rId282"/>
        </w:object>
      </w:r>
    </w:p>
    <w:p w14:paraId="163D5793" w14:textId="77777777" w:rsidR="00D40151" w:rsidRPr="00873B6C" w:rsidRDefault="00D40151" w:rsidP="00D40151">
      <w:pPr>
        <w:pStyle w:val="TF"/>
      </w:pPr>
      <w:bookmarkStart w:id="6538" w:name="_CRFigureG_2_13"/>
      <w:r w:rsidRPr="00873B6C">
        <w:t xml:space="preserve">Figure </w:t>
      </w:r>
      <w:bookmarkEnd w:id="6538"/>
      <w:r w:rsidRPr="00873B6C">
        <w:t>G.2.1-3: Detail of the NF-SCP boundary</w:t>
      </w:r>
    </w:p>
    <w:p w14:paraId="4A555B0C" w14:textId="77777777" w:rsidR="00D40151" w:rsidRPr="00873B6C" w:rsidRDefault="00D40151" w:rsidP="00D40151">
      <w:pPr>
        <w:pStyle w:val="Heading2"/>
      </w:pPr>
      <w:bookmarkStart w:id="6539" w:name="_CRG_2_2"/>
      <w:bookmarkStart w:id="6540" w:name="_Toc20150311"/>
      <w:bookmarkStart w:id="6541" w:name="_Toc27847119"/>
      <w:bookmarkStart w:id="6542" w:name="_Toc36188252"/>
      <w:bookmarkStart w:id="6543" w:name="_Toc45184166"/>
      <w:bookmarkStart w:id="6544" w:name="_Toc47343008"/>
      <w:bookmarkStart w:id="6545" w:name="_Toc51769710"/>
      <w:bookmarkStart w:id="6546" w:name="_Toc201157904"/>
      <w:bookmarkEnd w:id="6539"/>
      <w:r w:rsidRPr="00873B6C">
        <w:t>G.2.2</w:t>
      </w:r>
      <w:r w:rsidRPr="00873B6C">
        <w:tab/>
        <w:t>Communication across service mesh boundaries</w:t>
      </w:r>
      <w:bookmarkEnd w:id="6540"/>
      <w:bookmarkEnd w:id="6541"/>
      <w:bookmarkEnd w:id="6542"/>
      <w:bookmarkEnd w:id="6543"/>
      <w:bookmarkEnd w:id="6544"/>
      <w:bookmarkEnd w:id="6545"/>
      <w:bookmarkEnd w:id="6546"/>
    </w:p>
    <w:p w14:paraId="4792C17D" w14:textId="77777777" w:rsidR="00D40151" w:rsidRPr="00873B6C" w:rsidRDefault="00D40151" w:rsidP="00D40151">
      <w:r w:rsidRPr="00873B6C">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873B6C" w:rsidRDefault="00D40151" w:rsidP="00D40151">
      <w:r w:rsidRPr="00873B6C">
        <w:lastRenderedPageBreak/>
        <w:t>In such a deployment, as shown in Figure G.2.2.-1, after producer selection is performed, routing policies on the outgoing service mesh are only aware of the next hop.</w:t>
      </w:r>
    </w:p>
    <w:p w14:paraId="2CF44EFD" w14:textId="77777777" w:rsidR="00D40151" w:rsidRPr="00873B6C" w:rsidRDefault="00D40151" w:rsidP="00D40151">
      <w:r w:rsidRPr="00873B6C">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873B6C" w:rsidRDefault="00704A9E" w:rsidP="00704A9E">
      <w:pPr>
        <w:pStyle w:val="TH"/>
      </w:pPr>
      <w:r w:rsidRPr="00873B6C">
        <w:object w:dxaOrig="9586" w:dyaOrig="2938" w14:anchorId="6E9AD82B">
          <v:shape id="_x0000_i1162" type="#_x0000_t75" style="width:475.2pt;height:151.5pt" o:ole="">
            <v:imagedata r:id="rId283" o:title=""/>
          </v:shape>
          <o:OLEObject Type="Embed" ProgID="Word.Picture.8" ShapeID="_x0000_i1162" DrawAspect="Content" ObjectID="_1811772496" r:id="rId284"/>
        </w:object>
      </w:r>
    </w:p>
    <w:p w14:paraId="5CEBBAD9" w14:textId="77777777" w:rsidR="00D40151" w:rsidRPr="00873B6C" w:rsidRDefault="00D40151" w:rsidP="00D40151">
      <w:pPr>
        <w:pStyle w:val="TF"/>
      </w:pPr>
      <w:bookmarkStart w:id="6547" w:name="_CRFigureG_2_21"/>
      <w:r w:rsidRPr="00873B6C">
        <w:t xml:space="preserve">Figure </w:t>
      </w:r>
      <w:bookmarkEnd w:id="6547"/>
      <w:r w:rsidRPr="00873B6C">
        <w:t>G.2.2-1: Message routing across service mesh boundaries</w:t>
      </w:r>
    </w:p>
    <w:p w14:paraId="5A6C05E0" w14:textId="77777777" w:rsidR="00D40151" w:rsidRPr="00873B6C" w:rsidRDefault="00D40151" w:rsidP="00D40151">
      <w:pPr>
        <w:pStyle w:val="Heading1"/>
        <w:rPr>
          <w:lang w:eastAsia="ja-JP"/>
        </w:rPr>
      </w:pPr>
      <w:bookmarkStart w:id="6548" w:name="_CRG_3"/>
      <w:bookmarkStart w:id="6549" w:name="_Toc20150312"/>
      <w:bookmarkStart w:id="6550" w:name="_Toc27847120"/>
      <w:bookmarkStart w:id="6551" w:name="_Toc36188253"/>
      <w:bookmarkStart w:id="6552" w:name="_Toc45184167"/>
      <w:bookmarkStart w:id="6553" w:name="_Toc47343009"/>
      <w:bookmarkStart w:id="6554" w:name="_Toc51769711"/>
      <w:bookmarkStart w:id="6555" w:name="_Toc201157905"/>
      <w:bookmarkEnd w:id="6548"/>
      <w:r w:rsidRPr="00873B6C">
        <w:rPr>
          <w:lang w:eastAsia="ja-JP"/>
        </w:rPr>
        <w:t>G.3</w:t>
      </w:r>
      <w:r w:rsidRPr="00873B6C">
        <w:rPr>
          <w:lang w:eastAsia="ja-JP"/>
        </w:rPr>
        <w:tab/>
        <w:t>An SCP based on independent deployment units</w:t>
      </w:r>
      <w:bookmarkEnd w:id="6549"/>
      <w:bookmarkEnd w:id="6550"/>
      <w:bookmarkEnd w:id="6551"/>
      <w:bookmarkEnd w:id="6552"/>
      <w:bookmarkEnd w:id="6553"/>
      <w:bookmarkEnd w:id="6554"/>
      <w:bookmarkEnd w:id="6555"/>
    </w:p>
    <w:p w14:paraId="7D2A438E" w14:textId="77777777" w:rsidR="00D40151" w:rsidRPr="00873B6C" w:rsidRDefault="00D40151" w:rsidP="00D40151">
      <w:r w:rsidRPr="00873B6C">
        <w:t>This clause shows an overview of SCP deployment based on the 5GC functionality and SCP being deployed in independent deployment units.</w:t>
      </w:r>
    </w:p>
    <w:p w14:paraId="391CB2CD" w14:textId="7EBEFF30" w:rsidR="00704A9E" w:rsidRPr="00873B6C" w:rsidRDefault="00704A9E" w:rsidP="00704A9E">
      <w:pPr>
        <w:pStyle w:val="TH"/>
      </w:pPr>
      <w:r w:rsidRPr="00873B6C">
        <w:object w:dxaOrig="9616" w:dyaOrig="2866" w14:anchorId="76C33031">
          <v:shape id="_x0000_i1163" type="#_x0000_t75" style="width:480.85pt;height:2in" o:ole="">
            <v:imagedata r:id="rId285" o:title=""/>
          </v:shape>
          <o:OLEObject Type="Embed" ProgID="Word.Picture.8" ShapeID="_x0000_i1163" DrawAspect="Content" ObjectID="_1811772497" r:id="rId286"/>
        </w:object>
      </w:r>
    </w:p>
    <w:p w14:paraId="016FF859" w14:textId="77777777" w:rsidR="00D40151" w:rsidRPr="00873B6C" w:rsidRDefault="00D40151" w:rsidP="00D40151">
      <w:pPr>
        <w:pStyle w:val="TF"/>
      </w:pPr>
      <w:bookmarkStart w:id="6556" w:name="_CRFigureG_31"/>
      <w:r w:rsidRPr="00873B6C">
        <w:t xml:space="preserve">Figure </w:t>
      </w:r>
      <w:bookmarkEnd w:id="6556"/>
      <w:r w:rsidRPr="00873B6C">
        <w:t>G.3-1: Independent deployment units for SCP and 5GC functionality</w:t>
      </w:r>
    </w:p>
    <w:p w14:paraId="3F97148C" w14:textId="77777777" w:rsidR="00D40151" w:rsidRPr="00873B6C" w:rsidRDefault="00D40151" w:rsidP="00D40151">
      <w:r w:rsidRPr="00873B6C">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873B6C" w:rsidRDefault="00D40151" w:rsidP="00D40151">
      <w:r w:rsidRPr="00873B6C">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873B6C" w:rsidRDefault="00D40151" w:rsidP="00D40151">
      <w:pPr>
        <w:pStyle w:val="TH"/>
      </w:pPr>
      <w:r w:rsidRPr="00873B6C">
        <w:object w:dxaOrig="4824" w:dyaOrig="2709" w14:anchorId="107C7DE4">
          <v:shape id="_x0000_i1164" type="#_x0000_t75" style="width:237.9pt;height:137.1pt" o:ole="">
            <v:imagedata r:id="rId287" o:title=""/>
          </v:shape>
          <o:OLEObject Type="Embed" ProgID="Word.Picture.8" ShapeID="_x0000_i1164" DrawAspect="Content" ObjectID="_1811772498" r:id="rId288"/>
        </w:object>
      </w:r>
    </w:p>
    <w:p w14:paraId="721BF4F7" w14:textId="77777777" w:rsidR="00D40151" w:rsidRPr="00873B6C" w:rsidRDefault="00D40151" w:rsidP="00D40151">
      <w:pPr>
        <w:pStyle w:val="TF"/>
      </w:pPr>
      <w:bookmarkStart w:id="6557" w:name="_CRFigureG_32"/>
      <w:r w:rsidRPr="00873B6C">
        <w:t xml:space="preserve">Figure </w:t>
      </w:r>
      <w:bookmarkEnd w:id="6557"/>
      <w:r w:rsidRPr="00873B6C">
        <w:t>G.3-2: 5GC functionality and SCP co-location choices</w:t>
      </w:r>
    </w:p>
    <w:p w14:paraId="359192A7" w14:textId="77777777" w:rsidR="00D40151" w:rsidRPr="00873B6C" w:rsidRDefault="00D40151" w:rsidP="00D40151">
      <w:r w:rsidRPr="00873B6C">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6558" w:name="_Ref7693676"/>
    <w:bookmarkStart w:id="6559" w:name="_MON_1621022399"/>
    <w:bookmarkEnd w:id="6559"/>
    <w:p w14:paraId="2CB3F24D" w14:textId="77777777" w:rsidR="00D40151" w:rsidRPr="00873B6C" w:rsidRDefault="00D40151" w:rsidP="00D40151">
      <w:pPr>
        <w:pStyle w:val="TH"/>
      </w:pPr>
      <w:r w:rsidRPr="00873B6C">
        <w:object w:dxaOrig="8746" w:dyaOrig="3498" w14:anchorId="12F64E93">
          <v:shape id="_x0000_i1165" type="#_x0000_t75" style="width:436.4pt;height:171.55pt" o:ole="">
            <v:imagedata r:id="rId289" o:title=""/>
          </v:shape>
          <o:OLEObject Type="Embed" ProgID="Word.Picture.8" ShapeID="_x0000_i1165" DrawAspect="Content" ObjectID="_1811772499" r:id="rId290"/>
        </w:object>
      </w:r>
    </w:p>
    <w:p w14:paraId="0E634174" w14:textId="77777777" w:rsidR="00D40151" w:rsidRPr="00873B6C" w:rsidRDefault="00D40151" w:rsidP="00D40151">
      <w:pPr>
        <w:pStyle w:val="TF"/>
      </w:pPr>
      <w:bookmarkStart w:id="6560" w:name="_CRFigureG_33"/>
      <w:r w:rsidRPr="00873B6C">
        <w:t xml:space="preserve">Figure </w:t>
      </w:r>
      <w:bookmarkEnd w:id="6560"/>
      <w:r w:rsidRPr="00873B6C">
        <w:t>G.</w:t>
      </w:r>
      <w:bookmarkEnd w:id="6558"/>
      <w:r w:rsidRPr="00873B6C">
        <w:t>3-3: Overview of SCP deployment</w:t>
      </w:r>
    </w:p>
    <w:p w14:paraId="10D2AB94" w14:textId="77777777" w:rsidR="00D40151" w:rsidRPr="00873B6C" w:rsidRDefault="00D40151" w:rsidP="00D40151">
      <w:pPr>
        <w:pStyle w:val="Heading1"/>
      </w:pPr>
      <w:bookmarkStart w:id="6561" w:name="_CRG_4"/>
      <w:bookmarkStart w:id="6562" w:name="_Toc20150313"/>
      <w:bookmarkStart w:id="6563" w:name="_Toc27847121"/>
      <w:bookmarkStart w:id="6564" w:name="_Toc36188254"/>
      <w:bookmarkStart w:id="6565" w:name="_Toc45184168"/>
      <w:bookmarkStart w:id="6566" w:name="_Toc47343010"/>
      <w:bookmarkStart w:id="6567" w:name="_Toc51769712"/>
      <w:bookmarkStart w:id="6568" w:name="_Toc201157906"/>
      <w:bookmarkEnd w:id="6561"/>
      <w:r w:rsidRPr="00873B6C">
        <w:t>G.4</w:t>
      </w:r>
      <w:r w:rsidRPr="00873B6C">
        <w:tab/>
        <w:t>An SCP deployment example based on name-based routing</w:t>
      </w:r>
      <w:bookmarkEnd w:id="6562"/>
      <w:bookmarkEnd w:id="6563"/>
      <w:bookmarkEnd w:id="6564"/>
      <w:bookmarkEnd w:id="6565"/>
      <w:bookmarkEnd w:id="6566"/>
      <w:bookmarkEnd w:id="6567"/>
      <w:bookmarkEnd w:id="6568"/>
    </w:p>
    <w:p w14:paraId="7D0CF539" w14:textId="77777777" w:rsidR="00D40151" w:rsidRPr="00873B6C" w:rsidRDefault="00D40151" w:rsidP="00D40151">
      <w:pPr>
        <w:pStyle w:val="Heading2"/>
      </w:pPr>
      <w:bookmarkStart w:id="6569" w:name="_CRG_4_0"/>
      <w:bookmarkStart w:id="6570" w:name="_Toc20150314"/>
      <w:bookmarkStart w:id="6571" w:name="_Toc27847122"/>
      <w:bookmarkStart w:id="6572" w:name="_Toc36188255"/>
      <w:bookmarkStart w:id="6573" w:name="_Toc45184169"/>
      <w:bookmarkStart w:id="6574" w:name="_Toc47343011"/>
      <w:bookmarkStart w:id="6575" w:name="_Toc51769713"/>
      <w:bookmarkStart w:id="6576" w:name="_Toc201157907"/>
      <w:bookmarkEnd w:id="6569"/>
      <w:r w:rsidRPr="00873B6C">
        <w:t>G.4.0</w:t>
      </w:r>
      <w:r w:rsidRPr="00873B6C">
        <w:tab/>
        <w:t>General Information</w:t>
      </w:r>
      <w:bookmarkEnd w:id="6570"/>
      <w:bookmarkEnd w:id="6571"/>
      <w:bookmarkEnd w:id="6572"/>
      <w:bookmarkEnd w:id="6573"/>
      <w:bookmarkEnd w:id="6574"/>
      <w:bookmarkEnd w:id="6575"/>
      <w:bookmarkEnd w:id="6576"/>
    </w:p>
    <w:p w14:paraId="75288F34" w14:textId="77777777" w:rsidR="00D40151" w:rsidRPr="00873B6C" w:rsidRDefault="00D40151" w:rsidP="00D40151">
      <w:r w:rsidRPr="00873B6C">
        <w:t>This clause provides a deployment example for the SCP which is based on a name-based routing mechanism that provides IP over ICN capabilities such as those described in Xylomenos, George, et al. [G1].</w:t>
      </w:r>
    </w:p>
    <w:p w14:paraId="300AB5B4" w14:textId="77777777" w:rsidR="00D40151" w:rsidRPr="00873B6C" w:rsidRDefault="00D40151" w:rsidP="00D40151">
      <w:r w:rsidRPr="00873B6C">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873B6C" w:rsidRDefault="00D40151" w:rsidP="00D40151">
      <w:r w:rsidRPr="00873B6C">
        <w:t>5GC Functionalities communicate with the Service Router using standardized 3GPP SBIs.</w:t>
      </w:r>
    </w:p>
    <w:p w14:paraId="09B811D6" w14:textId="77777777" w:rsidR="00D40151" w:rsidRPr="00873B6C" w:rsidRDefault="00D40151" w:rsidP="00D40151">
      <w:r w:rsidRPr="00873B6C">
        <w:lastRenderedPageBreak/>
        <w:t>The Functionalities within the Service Deployment Cluster are containerized Service Functions.</w:t>
      </w:r>
    </w:p>
    <w:p w14:paraId="7591053F" w14:textId="77777777" w:rsidR="00D40151" w:rsidRPr="00873B6C" w:rsidRDefault="00D40151" w:rsidP="00D40151">
      <w:r w:rsidRPr="00873B6C">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873B6C" w:rsidRDefault="00D40151" w:rsidP="00D40151">
      <w:pPr>
        <w:pStyle w:val="TH"/>
      </w:pPr>
      <w:r w:rsidRPr="00873B6C">
        <w:object w:dxaOrig="6781" w:dyaOrig="3194" w14:anchorId="0E312077">
          <v:shape id="_x0000_i1166" type="#_x0000_t75" style="width:338.1pt;height:158.4pt" o:ole="">
            <v:imagedata r:id="rId291" o:title=""/>
          </v:shape>
          <o:OLEObject Type="Embed" ProgID="Word.Picture.8" ShapeID="_x0000_i1166" DrawAspect="Content" ObjectID="_1811772500" r:id="rId292"/>
        </w:object>
      </w:r>
    </w:p>
    <w:p w14:paraId="611B2312" w14:textId="77777777" w:rsidR="00D40151" w:rsidRPr="00873B6C" w:rsidRDefault="00D40151" w:rsidP="00D40151">
      <w:pPr>
        <w:pStyle w:val="TF"/>
      </w:pPr>
      <w:bookmarkStart w:id="6577" w:name="_CRFigureG_41"/>
      <w:r w:rsidRPr="00873B6C">
        <w:t xml:space="preserve">Figure </w:t>
      </w:r>
      <w:bookmarkEnd w:id="6577"/>
      <w:r w:rsidRPr="00873B6C">
        <w:t>G.4-1: Deployment unit: 5GC functionality and co-located Service Agent(s) implementing peripheral tasks</w:t>
      </w:r>
    </w:p>
    <w:p w14:paraId="691D4A32" w14:textId="77777777" w:rsidR="00D40151" w:rsidRPr="00873B6C" w:rsidRDefault="00D40151" w:rsidP="00D40151">
      <w:r w:rsidRPr="00873B6C">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873B6C" w:rsidRDefault="00D40151" w:rsidP="00D40151">
      <w:pPr>
        <w:pStyle w:val="Heading2"/>
      </w:pPr>
      <w:bookmarkStart w:id="6578" w:name="_CRG_4_1"/>
      <w:bookmarkStart w:id="6579" w:name="_Toc20150315"/>
      <w:bookmarkStart w:id="6580" w:name="_Toc27847123"/>
      <w:bookmarkStart w:id="6581" w:name="_Toc36188256"/>
      <w:bookmarkStart w:id="6582" w:name="_Toc45184170"/>
      <w:bookmarkStart w:id="6583" w:name="_Toc47343012"/>
      <w:bookmarkStart w:id="6584" w:name="_Toc51769714"/>
      <w:bookmarkStart w:id="6585" w:name="_Toc201157908"/>
      <w:bookmarkEnd w:id="6578"/>
      <w:r w:rsidRPr="00873B6C">
        <w:t>G.4.1</w:t>
      </w:r>
      <w:r w:rsidRPr="00873B6C">
        <w:tab/>
        <w:t>Service Registration and Service Discovery</w:t>
      </w:r>
      <w:bookmarkEnd w:id="6579"/>
      <w:bookmarkEnd w:id="6580"/>
      <w:bookmarkEnd w:id="6581"/>
      <w:bookmarkEnd w:id="6582"/>
      <w:bookmarkEnd w:id="6583"/>
      <w:bookmarkEnd w:id="6584"/>
      <w:bookmarkEnd w:id="6585"/>
    </w:p>
    <w:p w14:paraId="55F3B515" w14:textId="77777777" w:rsidR="00D40151" w:rsidRPr="00873B6C" w:rsidRDefault="00D40151" w:rsidP="00D40151">
      <w:r w:rsidRPr="00873B6C">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873B6C" w:rsidRDefault="00D40151" w:rsidP="00D40151">
      <w:r w:rsidRPr="00873B6C">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6586" w:name="_MON_1621022574"/>
    <w:bookmarkEnd w:id="6586"/>
    <w:p w14:paraId="4720E678" w14:textId="77777777" w:rsidR="00D40151" w:rsidRPr="00873B6C" w:rsidRDefault="00D40151" w:rsidP="00D40151">
      <w:pPr>
        <w:pStyle w:val="TH"/>
      </w:pPr>
      <w:r w:rsidRPr="00873B6C">
        <w:object w:dxaOrig="5656" w:dyaOrig="4516" w14:anchorId="0DB73E84">
          <v:shape id="_x0000_i1167" type="#_x0000_t75" style="width:281.1pt;height:222.25pt" o:ole="">
            <v:imagedata r:id="rId293" o:title=""/>
          </v:shape>
          <o:OLEObject Type="Embed" ProgID="Word.Picture.8" ShapeID="_x0000_i1167" DrawAspect="Content" ObjectID="_1811772501" r:id="rId294"/>
        </w:object>
      </w:r>
    </w:p>
    <w:p w14:paraId="54365A4B" w14:textId="77777777" w:rsidR="00D40151" w:rsidRPr="00873B6C" w:rsidRDefault="00D40151" w:rsidP="00D40151">
      <w:pPr>
        <w:pStyle w:val="TF"/>
      </w:pPr>
      <w:bookmarkStart w:id="6587" w:name="_CRFigureG_4_11"/>
      <w:r w:rsidRPr="00873B6C">
        <w:t xml:space="preserve">Figure </w:t>
      </w:r>
      <w:bookmarkEnd w:id="6587"/>
      <w:r w:rsidRPr="00873B6C">
        <w:t>G.4.1-1: Registering 5GC Functionalities in the SCP</w:t>
      </w:r>
    </w:p>
    <w:p w14:paraId="4432C63D" w14:textId="77777777" w:rsidR="00D40151" w:rsidRPr="00873B6C" w:rsidRDefault="00D40151" w:rsidP="00D40151">
      <w:pPr>
        <w:pStyle w:val="Heading2"/>
      </w:pPr>
      <w:bookmarkStart w:id="6588" w:name="_CRG_4_2"/>
      <w:bookmarkStart w:id="6589" w:name="_Toc20150316"/>
      <w:bookmarkStart w:id="6590" w:name="_Toc27847124"/>
      <w:bookmarkStart w:id="6591" w:name="_Toc36188257"/>
      <w:bookmarkStart w:id="6592" w:name="_Toc45184171"/>
      <w:bookmarkStart w:id="6593" w:name="_Toc47343013"/>
      <w:bookmarkStart w:id="6594" w:name="_Toc51769715"/>
      <w:bookmarkStart w:id="6595" w:name="_Toc201157909"/>
      <w:bookmarkEnd w:id="6588"/>
      <w:r w:rsidRPr="00873B6C">
        <w:t>G.4.2</w:t>
      </w:r>
      <w:r w:rsidRPr="00873B6C">
        <w:tab/>
        <w:t>Overview of Deployment Scenario</w:t>
      </w:r>
      <w:bookmarkEnd w:id="6589"/>
      <w:bookmarkEnd w:id="6590"/>
      <w:bookmarkEnd w:id="6591"/>
      <w:bookmarkEnd w:id="6592"/>
      <w:bookmarkEnd w:id="6593"/>
      <w:bookmarkEnd w:id="6594"/>
      <w:bookmarkEnd w:id="6595"/>
    </w:p>
    <w:p w14:paraId="6AEBE793" w14:textId="77777777" w:rsidR="00D40151" w:rsidRPr="00873B6C" w:rsidRDefault="00D40151" w:rsidP="00D40151">
      <w:r w:rsidRPr="00873B6C">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6596" w:name="_MON_1621022611"/>
    <w:bookmarkEnd w:id="6596"/>
    <w:p w14:paraId="771FF54D" w14:textId="77777777" w:rsidR="00D40151" w:rsidRPr="00873B6C" w:rsidRDefault="00D40151" w:rsidP="00D40151">
      <w:pPr>
        <w:pStyle w:val="TH"/>
      </w:pPr>
      <w:r w:rsidRPr="00873B6C">
        <w:object w:dxaOrig="7921" w:dyaOrig="3497" w14:anchorId="49E5F3CB">
          <v:shape id="_x0000_i1168" type="#_x0000_t75" style="width:397.55pt;height:172.8pt" o:ole="">
            <v:imagedata r:id="rId295" o:title=""/>
          </v:shape>
          <o:OLEObject Type="Embed" ProgID="Word.Picture.8" ShapeID="_x0000_i1168" DrawAspect="Content" ObjectID="_1811772502" r:id="rId296"/>
        </w:object>
      </w:r>
    </w:p>
    <w:p w14:paraId="20127167" w14:textId="77777777" w:rsidR="00D40151" w:rsidRPr="00873B6C" w:rsidRDefault="00D40151" w:rsidP="00D40151">
      <w:pPr>
        <w:pStyle w:val="TF"/>
      </w:pPr>
      <w:bookmarkStart w:id="6597" w:name="_CRFigureG_4_21"/>
      <w:r w:rsidRPr="00873B6C">
        <w:t xml:space="preserve">Figure </w:t>
      </w:r>
      <w:bookmarkEnd w:id="6597"/>
      <w:r w:rsidRPr="00873B6C">
        <w:t>G.4.2-1: (NbR-) SCP interconnects multiple deployment clusters with external NRF</w:t>
      </w:r>
    </w:p>
    <w:p w14:paraId="7E953B94" w14:textId="77777777" w:rsidR="00D40151" w:rsidRPr="00873B6C" w:rsidRDefault="00D40151" w:rsidP="00D40151">
      <w:pPr>
        <w:pStyle w:val="Heading2"/>
      </w:pPr>
      <w:bookmarkStart w:id="6598" w:name="_CRG_4_3"/>
      <w:bookmarkStart w:id="6599" w:name="_Toc20150317"/>
      <w:bookmarkStart w:id="6600" w:name="_Toc27847125"/>
      <w:bookmarkStart w:id="6601" w:name="_Toc36188258"/>
      <w:bookmarkStart w:id="6602" w:name="_Toc45184172"/>
      <w:bookmarkStart w:id="6603" w:name="_Toc47343014"/>
      <w:bookmarkStart w:id="6604" w:name="_Toc51769716"/>
      <w:bookmarkStart w:id="6605" w:name="_Toc201157910"/>
      <w:bookmarkEnd w:id="6598"/>
      <w:r w:rsidRPr="00873B6C">
        <w:t>G.4.3</w:t>
      </w:r>
      <w:r w:rsidRPr="00873B6C">
        <w:tab/>
        <w:t>References</w:t>
      </w:r>
      <w:bookmarkEnd w:id="6599"/>
      <w:bookmarkEnd w:id="6600"/>
      <w:bookmarkEnd w:id="6601"/>
      <w:bookmarkEnd w:id="6602"/>
      <w:bookmarkEnd w:id="6603"/>
      <w:bookmarkEnd w:id="6604"/>
      <w:bookmarkEnd w:id="6605"/>
    </w:p>
    <w:p w14:paraId="3E1BA1B0" w14:textId="77777777" w:rsidR="00D40151" w:rsidRPr="00873B6C" w:rsidRDefault="00D40151" w:rsidP="00D40151">
      <w:pPr>
        <w:pStyle w:val="EX"/>
      </w:pPr>
      <w:r w:rsidRPr="00873B6C">
        <w:t>[G1]</w:t>
      </w:r>
      <w:r w:rsidRPr="00873B6C">
        <w:tab/>
        <w:t>Xylomenos, George, et al.: "IP over ICN goes live", 2018 European Conference on Networks and Communications (EuCNC). IEEE, 2018.</w:t>
      </w:r>
    </w:p>
    <w:p w14:paraId="4516BFC5" w14:textId="6EF8F6AB" w:rsidR="00D40151" w:rsidRPr="00873B6C" w:rsidRDefault="00D40151" w:rsidP="00D40151">
      <w:pPr>
        <w:pStyle w:val="Heading8"/>
      </w:pPr>
      <w:bookmarkStart w:id="6606" w:name="_CRAnnexHnormative"/>
      <w:bookmarkEnd w:id="6606"/>
      <w:r w:rsidRPr="00873B6C">
        <w:br w:type="page"/>
      </w:r>
      <w:bookmarkStart w:id="6607" w:name="_Toc20150318"/>
      <w:bookmarkStart w:id="6608" w:name="_Toc27847126"/>
      <w:bookmarkStart w:id="6609" w:name="_Toc36188259"/>
      <w:bookmarkStart w:id="6610" w:name="_Toc45184173"/>
      <w:bookmarkStart w:id="6611" w:name="_Toc47343015"/>
      <w:bookmarkStart w:id="6612" w:name="_Toc51769717"/>
      <w:bookmarkStart w:id="6613" w:name="_Toc201157911"/>
      <w:r w:rsidRPr="00873B6C">
        <w:lastRenderedPageBreak/>
        <w:t>Annex H (normative):</w:t>
      </w:r>
      <w:r w:rsidRPr="00873B6C">
        <w:br/>
      </w:r>
      <w:bookmarkEnd w:id="6607"/>
      <w:r w:rsidR="006D2D57" w:rsidRPr="00873B6C">
        <w:t xml:space="preserve">PTP </w:t>
      </w:r>
      <w:r w:rsidRPr="00873B6C">
        <w:t>usage guidelines</w:t>
      </w:r>
      <w:bookmarkEnd w:id="6608"/>
      <w:bookmarkEnd w:id="6609"/>
      <w:bookmarkEnd w:id="6610"/>
      <w:bookmarkEnd w:id="6611"/>
      <w:bookmarkEnd w:id="6612"/>
      <w:bookmarkEnd w:id="6613"/>
    </w:p>
    <w:p w14:paraId="14C7B273" w14:textId="77777777" w:rsidR="00D40151" w:rsidRPr="00873B6C" w:rsidRDefault="00D40151" w:rsidP="00D40151">
      <w:pPr>
        <w:pStyle w:val="Heading1"/>
      </w:pPr>
      <w:bookmarkStart w:id="6614" w:name="_CRH_1"/>
      <w:bookmarkStart w:id="6615" w:name="_Toc27847127"/>
      <w:bookmarkStart w:id="6616" w:name="_Toc36188260"/>
      <w:bookmarkStart w:id="6617" w:name="_Toc45184174"/>
      <w:bookmarkStart w:id="6618" w:name="_Toc47343016"/>
      <w:bookmarkStart w:id="6619" w:name="_Toc51769718"/>
      <w:bookmarkStart w:id="6620" w:name="_Toc201157912"/>
      <w:bookmarkEnd w:id="6614"/>
      <w:r w:rsidRPr="00873B6C">
        <w:t>H.1</w:t>
      </w:r>
      <w:r w:rsidRPr="00873B6C">
        <w:tab/>
        <w:t>General</w:t>
      </w:r>
      <w:bookmarkEnd w:id="6615"/>
      <w:bookmarkEnd w:id="6616"/>
      <w:bookmarkEnd w:id="6617"/>
      <w:bookmarkEnd w:id="6618"/>
      <w:bookmarkEnd w:id="6619"/>
      <w:bookmarkEnd w:id="6620"/>
    </w:p>
    <w:p w14:paraId="4C159D00" w14:textId="77777777" w:rsidR="00D40151" w:rsidRPr="00873B6C" w:rsidRDefault="00D40151" w:rsidP="00D40151">
      <w:r w:rsidRPr="00873B6C">
        <w:t>This Annex provides guidelines on the use of certain specific IEEE parameters and protocol messages in the case of TSN as described in clause 5.27.</w:t>
      </w:r>
    </w:p>
    <w:p w14:paraId="7434DDD1" w14:textId="77777777" w:rsidR="00D40151" w:rsidRPr="00873B6C" w:rsidRDefault="00D40151" w:rsidP="00D40151">
      <w:pPr>
        <w:pStyle w:val="Heading1"/>
      </w:pPr>
      <w:bookmarkStart w:id="6621" w:name="_CRH_2"/>
      <w:bookmarkStart w:id="6622" w:name="_Toc27847128"/>
      <w:bookmarkStart w:id="6623" w:name="_Toc36188261"/>
      <w:bookmarkStart w:id="6624" w:name="_Toc45184175"/>
      <w:bookmarkStart w:id="6625" w:name="_Toc47343017"/>
      <w:bookmarkStart w:id="6626" w:name="_Toc51769719"/>
      <w:bookmarkStart w:id="6627" w:name="_Toc201157913"/>
      <w:bookmarkEnd w:id="6621"/>
      <w:r w:rsidRPr="00873B6C">
        <w:t>H.2</w:t>
      </w:r>
      <w:r w:rsidRPr="00873B6C">
        <w:tab/>
        <w:t>Signalling of ingress time for time synchronization</w:t>
      </w:r>
      <w:bookmarkEnd w:id="6622"/>
      <w:bookmarkEnd w:id="6623"/>
      <w:bookmarkEnd w:id="6624"/>
      <w:bookmarkEnd w:id="6625"/>
      <w:bookmarkEnd w:id="6626"/>
      <w:bookmarkEnd w:id="6627"/>
    </w:p>
    <w:p w14:paraId="2B2E8C72" w14:textId="2E43707E" w:rsidR="00D40151" w:rsidRPr="00873B6C" w:rsidRDefault="00D40151" w:rsidP="00D40151">
      <w:r w:rsidRPr="00873B6C">
        <w:t>The ingress time</w:t>
      </w:r>
      <w:r w:rsidR="008546A1" w:rsidRPr="00873B6C">
        <w:t>stamp (TSi) of the PTP event (e.g. Sync) message</w:t>
      </w:r>
      <w:r w:rsidRPr="00873B6C">
        <w:t xml:space="preserve"> is provided from the </w:t>
      </w:r>
      <w:r w:rsidR="006D2D57" w:rsidRPr="00873B6C">
        <w:t>ingress TT (</w:t>
      </w:r>
      <w:r w:rsidRPr="00873B6C">
        <w:t>NW-TT/UPF</w:t>
      </w:r>
      <w:r w:rsidR="006D2D57" w:rsidRPr="00873B6C">
        <w:t xml:space="preserve"> or DS-TT/UE)</w:t>
      </w:r>
      <w:r w:rsidR="002D6B6E" w:rsidRPr="00873B6C">
        <w:t xml:space="preserve"> to the egress TT</w:t>
      </w:r>
      <w:r w:rsidR="006D2D57" w:rsidRPr="00873B6C">
        <w:t>, if supported</w:t>
      </w:r>
      <w:r w:rsidR="002D6B6E" w:rsidRPr="00873B6C">
        <w:t xml:space="preserve"> in the PTP messages as described in clauses 5.27.1.2.2.1 and 5.27.1.2.2.2</w:t>
      </w:r>
      <w:r w:rsidRPr="00873B6C">
        <w:t xml:space="preserve"> using the Suffix field defined in clause 13.4 of IEEE Std 1588 [1</w:t>
      </w:r>
      <w:r w:rsidR="006D2D57" w:rsidRPr="00873B6C">
        <w:t>26</w:t>
      </w:r>
      <w:r w:rsidRPr="00873B6C">
        <w:t>]. The structure of the Suffix field follows the recommendation of clause 14.3 of IEEE Std 1588 [1</w:t>
      </w:r>
      <w:r w:rsidR="006D2D57" w:rsidRPr="00873B6C">
        <w:t>26</w:t>
      </w:r>
      <w:r w:rsidRPr="00873B6C">
        <w:t>], with an organizationId specific to 3GPP, an organizationSubType referring to an ingress timestamp</w:t>
      </w:r>
      <w:r w:rsidR="00472CD7" w:rsidRPr="00873B6C">
        <w:t xml:space="preserve"> and</w:t>
      </w:r>
      <w:r w:rsidRPr="00873B6C">
        <w:t xml:space="preserve"> data field that carries the ingress timestamp encoded as specified in clause 5.3.3 of IEEE Std 1588 [1</w:t>
      </w:r>
      <w:r w:rsidR="006D2D57" w:rsidRPr="00873B6C">
        <w:t>26</w:t>
      </w:r>
      <w:r w:rsidRPr="00873B6C">
        <w:t xml:space="preserve">]. </w:t>
      </w:r>
      <w:r w:rsidR="00972E70" w:rsidRPr="00873B6C">
        <w:t>TS 24.535 [</w:t>
      </w:r>
      <w:r w:rsidRPr="00873B6C">
        <w:t>117] specifies the</w:t>
      </w:r>
      <w:r w:rsidR="006D2D57" w:rsidRPr="00873B6C">
        <w:t xml:space="preserve"> coding of the ingress timestamp</w:t>
      </w:r>
      <w:r w:rsidRPr="00873B6C">
        <w:t xml:space="preserve"> in the </w:t>
      </w:r>
      <w:r w:rsidR="006D2D57" w:rsidRPr="00873B6C">
        <w:t>(</w:t>
      </w:r>
      <w:r w:rsidRPr="00873B6C">
        <w:t>g</w:t>
      </w:r>
      <w:r w:rsidR="006D2D57" w:rsidRPr="00873B6C">
        <w:t>)</w:t>
      </w:r>
      <w:r w:rsidRPr="00873B6C">
        <w:t>PTP message</w:t>
      </w:r>
      <w:r w:rsidR="006D2D57" w:rsidRPr="00873B6C">
        <w:t>s</w:t>
      </w:r>
      <w:r w:rsidR="008546A1" w:rsidRPr="00873B6C">
        <w:t xml:space="preserve"> between a DS-TT and a NW-TT</w:t>
      </w:r>
      <w:r w:rsidRPr="00873B6C">
        <w:t>.</w:t>
      </w:r>
    </w:p>
    <w:p w14:paraId="33CEAC16" w14:textId="4E48DAA8" w:rsidR="00D40151" w:rsidRPr="00873B6C" w:rsidRDefault="00D40151" w:rsidP="00D40151">
      <w:pPr>
        <w:pStyle w:val="Heading1"/>
      </w:pPr>
      <w:bookmarkStart w:id="6628" w:name="_CRH_3"/>
      <w:bookmarkStart w:id="6629" w:name="_Toc51769720"/>
      <w:bookmarkStart w:id="6630" w:name="_Toc201157914"/>
      <w:bookmarkEnd w:id="6628"/>
      <w:r w:rsidRPr="00873B6C">
        <w:t>H.3</w:t>
      </w:r>
      <w:r w:rsidR="006D2D57" w:rsidRPr="00873B6C">
        <w:tab/>
        <w:t>Void</w:t>
      </w:r>
      <w:bookmarkEnd w:id="6629"/>
      <w:bookmarkEnd w:id="6630"/>
    </w:p>
    <w:p w14:paraId="67540D64" w14:textId="54E74D82" w:rsidR="00D40151" w:rsidRPr="00873B6C" w:rsidRDefault="00D40151" w:rsidP="00D40151"/>
    <w:p w14:paraId="183B3B38" w14:textId="73A1DDCF" w:rsidR="006D2D57" w:rsidRPr="00873B6C" w:rsidRDefault="006D2D57" w:rsidP="006D2D57">
      <w:pPr>
        <w:pStyle w:val="Heading1"/>
      </w:pPr>
      <w:bookmarkStart w:id="6631" w:name="_CRH_4"/>
      <w:bookmarkStart w:id="6632" w:name="_Toc201157915"/>
      <w:bookmarkEnd w:id="6631"/>
      <w:r w:rsidRPr="00873B6C">
        <w:t>H.4</w:t>
      </w:r>
      <w:r w:rsidRPr="00873B6C">
        <w:tab/>
        <w:t>Path and Link delay measurements</w:t>
      </w:r>
      <w:bookmarkEnd w:id="6632"/>
    </w:p>
    <w:p w14:paraId="242779F5" w14:textId="5597D428" w:rsidR="006D2D57" w:rsidRPr="00873B6C" w:rsidRDefault="006D2D57" w:rsidP="006D2D57">
      <w:r w:rsidRPr="00873B6C">
        <w:t>The procedure described in this clause is applicable if DS-TT and NW-TT support operating as a boundary clock or as a time-aware system or as peer to peer Transparent Clock</w:t>
      </w:r>
      <w:r w:rsidR="00C950EF" w:rsidRPr="00873B6C">
        <w:t xml:space="preserve"> or end to end Transparent Clock</w:t>
      </w:r>
      <w:r w:rsidR="00472CD7" w:rsidRPr="00873B6C">
        <w:t xml:space="preserve"> and</w:t>
      </w:r>
      <w:r w:rsidRPr="00873B6C">
        <w:t xml:space="preserve"> when the PTP instance in 5GS is configured to operate as a time-aware system or as a Boundary Clock or as peer to peer Transparent Clock</w:t>
      </w:r>
      <w:r w:rsidR="00C950EF" w:rsidRPr="00873B6C">
        <w:t xml:space="preserve"> or as end to end Transparent Clock</w:t>
      </w:r>
      <w:r w:rsidRPr="00873B6C">
        <w:t>. Whether DS-TT/NW-TT support operating as a boundary clock</w:t>
      </w:r>
      <w:r w:rsidR="00C950EF" w:rsidRPr="00873B6C">
        <w:t xml:space="preserve"> or peer to peer Transparent Clock or end to end Transparent Clock</w:t>
      </w:r>
      <w:r w:rsidRPr="00873B6C">
        <w:t xml:space="preserve"> or as a time-aware system (support of the IEEE Std 802.1AS [104] PTP profile) may be determined as described in clause K.2.1.</w:t>
      </w:r>
    </w:p>
    <w:p w14:paraId="5E519EC0" w14:textId="77777777" w:rsidR="006D2D57" w:rsidRPr="00873B6C" w:rsidRDefault="006D2D57" w:rsidP="006D2D57">
      <w:r w:rsidRPr="00873B6C">
        <w:t>PTP ports in DS-TT and NW-TT may support the following delay measurement mechanisms:</w:t>
      </w:r>
    </w:p>
    <w:p w14:paraId="5C181B2D" w14:textId="5E8997F1" w:rsidR="006D2D57" w:rsidRPr="00873B6C" w:rsidRDefault="006D2D57" w:rsidP="00323277">
      <w:pPr>
        <w:pStyle w:val="B1"/>
      </w:pPr>
      <w:r w:rsidRPr="00873B6C">
        <w:t>-</w:t>
      </w:r>
      <w:r w:rsidRPr="00873B6C">
        <w:tab/>
        <w:t>Delay request-response mechanism as described in</w:t>
      </w:r>
      <w:r w:rsidR="00D602DF" w:rsidRPr="00873B6C">
        <w:t xml:space="preserve"> clause 11.3</w:t>
      </w:r>
      <w:r w:rsidRPr="00873B6C">
        <w:t xml:space="preserve"> </w:t>
      </w:r>
      <w:r w:rsidR="00D602DF" w:rsidRPr="00873B6C">
        <w:t xml:space="preserve">of </w:t>
      </w:r>
      <w:r w:rsidRPr="00873B6C">
        <w:t>IEEE Std 1588 [126];</w:t>
      </w:r>
    </w:p>
    <w:p w14:paraId="090FEEE3" w14:textId="5F96DF5A" w:rsidR="006D2D57" w:rsidRPr="00873B6C" w:rsidRDefault="006D2D57" w:rsidP="00323277">
      <w:pPr>
        <w:pStyle w:val="B1"/>
      </w:pPr>
      <w:r w:rsidRPr="00873B6C">
        <w:t>-</w:t>
      </w:r>
      <w:r w:rsidRPr="00873B6C">
        <w:tab/>
        <w:t>Peer-to-peer delay mechanism as defined in</w:t>
      </w:r>
      <w:r w:rsidR="00D602DF" w:rsidRPr="00873B6C">
        <w:t xml:space="preserve"> clause 11.4</w:t>
      </w:r>
      <w:r w:rsidRPr="00873B6C">
        <w:t xml:space="preserve"> </w:t>
      </w:r>
      <w:r w:rsidR="00D602DF" w:rsidRPr="00873B6C">
        <w:t xml:space="preserve">of </w:t>
      </w:r>
      <w:r w:rsidRPr="00873B6C">
        <w:t>IEEE Std 1588 [126];</w:t>
      </w:r>
    </w:p>
    <w:p w14:paraId="5D0122EB" w14:textId="561C44E0" w:rsidR="006D2D57" w:rsidRPr="00873B6C" w:rsidRDefault="006D2D57" w:rsidP="00323277">
      <w:pPr>
        <w:pStyle w:val="B1"/>
      </w:pPr>
      <w:r w:rsidRPr="00873B6C">
        <w:t>-</w:t>
      </w:r>
      <w:r w:rsidRPr="00873B6C">
        <w:tab/>
        <w:t>Common Mean Link Delay Service.</w:t>
      </w:r>
    </w:p>
    <w:p w14:paraId="5B6A419F" w14:textId="7FC59564" w:rsidR="006D2D57" w:rsidRPr="00873B6C" w:rsidRDefault="006D2D57">
      <w:r w:rsidRPr="00873B6C">
        <w:t>Depending on the measurement mechanisms supported by DS-TT and NW-TT as well as the configured clock mode of 5GS, the PTP ports in DS-TT and NW-TT are configured as follows:</w:t>
      </w:r>
    </w:p>
    <w:p w14:paraId="441F1B1D" w14:textId="5C30BC57" w:rsidR="006D2D57" w:rsidRPr="00873B6C" w:rsidRDefault="006D2D57" w:rsidP="00323277">
      <w:pPr>
        <w:pStyle w:val="B1"/>
      </w:pPr>
      <w:r w:rsidRPr="00873B6C">
        <w:t>-</w:t>
      </w:r>
      <w:r w:rsidRPr="00873B6C">
        <w:tab/>
        <w:t>PTP ports configured to operate as a time-aware system according to IEEE Std 802.1AS [104] may be configured to use the peer-to-peer delay mechanism or Common Mean Link Delay Service;</w:t>
      </w:r>
    </w:p>
    <w:p w14:paraId="1AE69AD9" w14:textId="3A0361A1" w:rsidR="006D2D57" w:rsidRPr="00873B6C" w:rsidRDefault="006D2D57" w:rsidP="00323277">
      <w:pPr>
        <w:pStyle w:val="B1"/>
      </w:pPr>
      <w:r w:rsidRPr="00873B6C">
        <w:t>-</w:t>
      </w:r>
      <w:r w:rsidRPr="00873B6C">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873B6C" w:rsidRDefault="002D6B6E" w:rsidP="00461850">
      <w:pPr>
        <w:pStyle w:val="B1"/>
      </w:pPr>
      <w:r w:rsidRPr="00873B6C">
        <w:t>-</w:t>
      </w:r>
      <w:r w:rsidRPr="00873B6C">
        <w:tab/>
      </w:r>
      <w:r w:rsidR="006D2D57" w:rsidRPr="00873B6C">
        <w:t>PTP ports in 5GS configured to operate as a peer-to-peer Transparent Clock according to IEEE Std 1588 [126] shall use the peer-to-peer delay mechanism.</w:t>
      </w:r>
    </w:p>
    <w:p w14:paraId="55F0615A" w14:textId="588BC66D" w:rsidR="006D2D57" w:rsidRPr="00873B6C" w:rsidRDefault="002D6B6E" w:rsidP="00461850">
      <w:pPr>
        <w:pStyle w:val="B1"/>
      </w:pPr>
      <w:r w:rsidRPr="00873B6C">
        <w:t>-</w:t>
      </w:r>
      <w:r w:rsidRPr="00873B6C">
        <w:tab/>
      </w:r>
      <w:r w:rsidR="006D2D57" w:rsidRPr="00873B6C">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873B6C">
        <w:t xml:space="preserve"> clause 10.2.2</w:t>
      </w:r>
      <w:r w:rsidR="006D2D57" w:rsidRPr="00873B6C">
        <w:t xml:space="preserve"> </w:t>
      </w:r>
      <w:r w:rsidR="00D602DF" w:rsidRPr="00873B6C">
        <w:t xml:space="preserve">of </w:t>
      </w:r>
      <w:r w:rsidR="006D2D57" w:rsidRPr="00873B6C">
        <w:t>IEEE Std 1588 [126].</w:t>
      </w:r>
    </w:p>
    <w:p w14:paraId="3529A335" w14:textId="758BD611" w:rsidR="006D2D57" w:rsidRPr="00873B6C" w:rsidRDefault="006D2D57" w:rsidP="006D2D57">
      <w:r w:rsidRPr="00873B6C">
        <w:lastRenderedPageBreak/>
        <w:t>If DS-TT and NW-TT support operating as an end-to-end Transparent Clock, then the residence time for</w:t>
      </w:r>
      <w:r w:rsidR="008546A1" w:rsidRPr="00873B6C">
        <w:t xml:space="preserve"> one-step</w:t>
      </w:r>
      <w:r w:rsidRPr="00873B6C">
        <w:t xml:space="preserve"> operation as an end-to-end Transparent Clock</w:t>
      </w:r>
      <w:r w:rsidR="00F00626" w:rsidRPr="00873B6C">
        <w:t xml:space="preserve"> for the path and link measurements</w:t>
      </w:r>
      <w:r w:rsidRPr="00873B6C">
        <w:t xml:space="preserve"> is calculated as follows:</w:t>
      </w:r>
    </w:p>
    <w:p w14:paraId="21187543" w14:textId="029AE219" w:rsidR="006D2D57" w:rsidRPr="00873B6C" w:rsidRDefault="006D2D57" w:rsidP="00323277">
      <w:pPr>
        <w:pStyle w:val="B1"/>
      </w:pPr>
      <w:r w:rsidRPr="00873B6C">
        <w:t>-</w:t>
      </w:r>
      <w:r w:rsidRPr="00873B6C">
        <w:tab/>
        <w:t>Upon reception of a PTP Delay_Req</w:t>
      </w:r>
      <w:r w:rsidR="00F00626" w:rsidRPr="00873B6C">
        <w:t>/Pdelay_Req/Pdely_Resp</w:t>
      </w:r>
      <w:r w:rsidRPr="00873B6C">
        <w:t xml:space="preserve"> message from the upstream PTP instance, the ingress TT (i.e. NW-TT or DS-TT) makes an ingress timestamping (TSi)</w:t>
      </w:r>
      <w:r w:rsidR="0036079D">
        <w:t xml:space="preserve"> using 5G internal system clock</w:t>
      </w:r>
      <w:r w:rsidRPr="00873B6C">
        <w:t xml:space="preserve"> for the message.</w:t>
      </w:r>
    </w:p>
    <w:p w14:paraId="65C71A76" w14:textId="77777777" w:rsidR="006D2D57" w:rsidRPr="00873B6C" w:rsidRDefault="006D2D57" w:rsidP="00323277">
      <w:pPr>
        <w:pStyle w:val="B1"/>
      </w:pPr>
      <w:r w:rsidRPr="00873B6C">
        <w:t>-</w:t>
      </w:r>
      <w:r w:rsidRPr="00873B6C">
        <w:tab/>
        <w:t>The ingress timestamp is conveyed to the egress TT via the PDU Session as described in clause H.2.</w:t>
      </w:r>
    </w:p>
    <w:p w14:paraId="6B32C960" w14:textId="565E2F74" w:rsidR="006D2D57" w:rsidRPr="00873B6C" w:rsidRDefault="006D2D57" w:rsidP="00323277">
      <w:pPr>
        <w:pStyle w:val="B1"/>
      </w:pPr>
      <w:r w:rsidRPr="00873B6C">
        <w:t>-</w:t>
      </w:r>
      <w:r w:rsidRPr="00873B6C">
        <w:tab/>
        <w:t>The PTP port in the egress TT then creates egress timestamping (TSe)</w:t>
      </w:r>
      <w:r w:rsidR="0036079D">
        <w:t xml:space="preserve"> using 5G internal system clock</w:t>
      </w:r>
      <w:r w:rsidRPr="00873B6C">
        <w:t xml:space="preserve"> for the PTP message for external PTP network. The difference between TSi and TSe is considered as the calculated residence time spent within the 5G system for this PTP message expressed in 5GS time.</w:t>
      </w:r>
      <w:r w:rsidR="0053150F" w:rsidRPr="00873B6C">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873B6C" w:rsidRDefault="006D2D57" w:rsidP="00323277">
      <w:pPr>
        <w:pStyle w:val="B1"/>
      </w:pPr>
      <w:r w:rsidRPr="00873B6C">
        <w:t>-</w:t>
      </w:r>
      <w:r w:rsidRPr="00873B6C">
        <w:tab/>
        <w:t>The PTP port in the egress TT modifies the payload of the PTP</w:t>
      </w:r>
      <w:r w:rsidR="008546A1" w:rsidRPr="00873B6C">
        <w:t xml:space="preserve"> Delay_Req</w:t>
      </w:r>
      <w:r w:rsidR="00F00626" w:rsidRPr="00873B6C">
        <w:t>/Pdelay_Req/Pdelay_Resp</w:t>
      </w:r>
      <w:r w:rsidRPr="00873B6C">
        <w:t xml:space="preserve"> message that it sends towards the downstream PTP instance as follows:</w:t>
      </w:r>
    </w:p>
    <w:p w14:paraId="5657D2F0" w14:textId="77777777" w:rsidR="006D2D57" w:rsidRPr="00873B6C" w:rsidRDefault="006D2D57" w:rsidP="00323277">
      <w:pPr>
        <w:pStyle w:val="B2"/>
      </w:pPr>
      <w:r w:rsidRPr="00873B6C">
        <w:t>-</w:t>
      </w:r>
      <w:r w:rsidRPr="00873B6C">
        <w:tab/>
        <w:t>Adds the calculated residence time to the correction field.</w:t>
      </w:r>
    </w:p>
    <w:p w14:paraId="145F1907" w14:textId="77777777" w:rsidR="006D2D57" w:rsidRPr="00873B6C" w:rsidRDefault="006D2D57" w:rsidP="00323277">
      <w:pPr>
        <w:pStyle w:val="B2"/>
      </w:pPr>
      <w:r w:rsidRPr="00873B6C">
        <w:t>-</w:t>
      </w:r>
      <w:r w:rsidRPr="00873B6C">
        <w:tab/>
        <w:t>Removes Suffix field that contains TSi.</w:t>
      </w:r>
    </w:p>
    <w:p w14:paraId="045F6D8E" w14:textId="69F60691" w:rsidR="008546A1" w:rsidRPr="00873B6C" w:rsidRDefault="008546A1" w:rsidP="00C74FFE">
      <w:r w:rsidRPr="00873B6C">
        <w:t>If DS-TT and NW-TT support operating as an end-to-end Transparent Clock, then the residence time for two-step operation as an end-to-end Transparent Clock</w:t>
      </w:r>
      <w:r w:rsidR="00F00626" w:rsidRPr="00873B6C">
        <w:t xml:space="preserve"> for the path and link measurements</w:t>
      </w:r>
      <w:r w:rsidRPr="00873B6C">
        <w:t xml:space="preserve"> is calculated as follows:</w:t>
      </w:r>
    </w:p>
    <w:p w14:paraId="7DDB58BC" w14:textId="00C5C758" w:rsidR="008546A1" w:rsidRPr="00873B6C" w:rsidRDefault="008546A1" w:rsidP="00C74FFE">
      <w:pPr>
        <w:pStyle w:val="B1"/>
      </w:pPr>
      <w:r w:rsidRPr="00873B6C">
        <w:t>-</w:t>
      </w:r>
      <w:r w:rsidRPr="00873B6C">
        <w:tab/>
        <w:t>Upon reception of a PTP Delay_Req</w:t>
      </w:r>
      <w:r w:rsidR="00F00626" w:rsidRPr="00873B6C">
        <w:t>/Pdelay_Req/Pdelay_Resp</w:t>
      </w:r>
      <w:r w:rsidRPr="00873B6C">
        <w:t xml:space="preserve"> message from the upstream PTP instance, the ingress TT (i.e. NW-TT or DS-TT) makes an ingress timestamping (TSi)</w:t>
      </w:r>
      <w:r w:rsidR="0036079D">
        <w:t xml:space="preserve"> using 5G internal system clock</w:t>
      </w:r>
      <w:r w:rsidRPr="00873B6C">
        <w:t xml:space="preserve"> for the message.</w:t>
      </w:r>
    </w:p>
    <w:p w14:paraId="58F5B32B" w14:textId="4CE64E29" w:rsidR="00F00626" w:rsidRPr="00873B6C" w:rsidRDefault="00F00626" w:rsidP="00C74FFE">
      <w:pPr>
        <w:pStyle w:val="B1"/>
      </w:pPr>
      <w:r w:rsidRPr="00873B6C">
        <w:t>-</w:t>
      </w:r>
      <w:r w:rsidRPr="00873B6C">
        <w:tab/>
        <w:t>If the ingress TT receives a Pdelay_Resp message with the twoStepFlag set to FALSE, then the ingress TT modifies the twoStepFlag to TRUE and creates a PTP Pdelay_Resp_Follow_U</w:t>
      </w:r>
      <w:r w:rsidR="008F2101" w:rsidRPr="00873B6C">
        <w:t>p</w:t>
      </w:r>
      <w:r w:rsidRPr="00873B6C">
        <w:t xml:space="preserve"> message.</w:t>
      </w:r>
    </w:p>
    <w:p w14:paraId="00E97BF0" w14:textId="769F510F" w:rsidR="008546A1" w:rsidRPr="00873B6C" w:rsidRDefault="008546A1" w:rsidP="00C74FFE">
      <w:pPr>
        <w:pStyle w:val="B1"/>
      </w:pPr>
      <w:r w:rsidRPr="00873B6C">
        <w:t>-</w:t>
      </w:r>
      <w:r w:rsidRPr="00873B6C">
        <w:tab/>
        <w:t>The ingress timestamp is conveyed to the egress TT via the PDU Session as described in clause H.2.</w:t>
      </w:r>
    </w:p>
    <w:p w14:paraId="6B86F56E" w14:textId="2A8DDAF9" w:rsidR="008546A1" w:rsidRPr="00873B6C" w:rsidRDefault="008546A1" w:rsidP="00C74FFE">
      <w:pPr>
        <w:pStyle w:val="B1"/>
      </w:pPr>
      <w:r w:rsidRPr="00873B6C">
        <w:t>-</w:t>
      </w:r>
      <w:r w:rsidRPr="00873B6C">
        <w:tab/>
        <w:t>The PTP port in the egress TT then creates egress timestamping (TSe)</w:t>
      </w:r>
      <w:r w:rsidR="0036079D">
        <w:t xml:space="preserve"> using 5G internal system clock</w:t>
      </w:r>
      <w:r w:rsidRPr="00873B6C">
        <w:t xml:space="preserve"> for the PTP message for external PTP network. The difference between TSi and TSe is considered as the calculated residence time spent within the 5G system for this PTP message expressed in 5GS time.</w:t>
      </w:r>
      <w:r w:rsidR="0053150F" w:rsidRPr="00873B6C">
        <w:t xml:space="preserve"> If needed, the PTP port in the egress TT converts the calculated residence time in 5GS into the residence time expressed in PTP GM time, e.g. by means of the factor as specified in Equation (6) of clause 12.2.2 of IEEE Std 1588 [126].</w:t>
      </w:r>
      <w:r w:rsidRPr="00873B6C">
        <w:t xml:space="preserve"> The egress TT then stores the calculated residence time</w:t>
      </w:r>
      <w:r w:rsidR="0053150F" w:rsidRPr="00873B6C">
        <w:t xml:space="preserve"> expressed in PTP GM time</w:t>
      </w:r>
      <w:r w:rsidRPr="00873B6C">
        <w:t xml:space="preserve"> and removes Suffix field that contains T</w:t>
      </w:r>
      <w:r w:rsidR="00F00626" w:rsidRPr="00873B6C">
        <w:t>S</w:t>
      </w:r>
      <w:r w:rsidRPr="00873B6C">
        <w:t>i before sending the PTP Delay_Req</w:t>
      </w:r>
      <w:r w:rsidR="00F00626" w:rsidRPr="00873B6C">
        <w:t>/Pdelay_Req/Pdelay_Resp</w:t>
      </w:r>
      <w:r w:rsidRPr="00873B6C">
        <w:t xml:space="preserve"> message towards the downstream PTP instance.</w:t>
      </w:r>
    </w:p>
    <w:p w14:paraId="7F7BC9AF" w14:textId="77777777" w:rsidR="008546A1" w:rsidRPr="00873B6C" w:rsidRDefault="008546A1" w:rsidP="00C74FFE">
      <w:pPr>
        <w:pStyle w:val="B1"/>
      </w:pPr>
      <w:r w:rsidRPr="00873B6C">
        <w:t>-</w:t>
      </w:r>
      <w:r w:rsidRPr="00873B6C">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873B6C" w:rsidRDefault="008546A1" w:rsidP="001B7C50">
      <w:pPr>
        <w:pStyle w:val="B2"/>
      </w:pPr>
      <w:r w:rsidRPr="00873B6C">
        <w:t>-</w:t>
      </w:r>
      <w:r w:rsidRPr="00873B6C">
        <w:tab/>
        <w:t>Adds the (previously stored) calculated residence time to the correction field.</w:t>
      </w:r>
    </w:p>
    <w:p w14:paraId="06EA974D" w14:textId="6713D77E" w:rsidR="00F00626" w:rsidRPr="00873B6C" w:rsidRDefault="00F00626" w:rsidP="00F00626">
      <w:pPr>
        <w:pStyle w:val="B1"/>
      </w:pPr>
      <w:r w:rsidRPr="00873B6C">
        <w:t>-</w:t>
      </w:r>
      <w:r w:rsidRPr="00873B6C">
        <w:tab/>
        <w:t>Upon reception (or local creation) of the PTP Pdelay_Resp_Follow_U</w:t>
      </w:r>
      <w:r w:rsidR="008F2101" w:rsidRPr="00873B6C">
        <w:t>p</w:t>
      </w:r>
      <w:r w:rsidRPr="00873B6C">
        <w:t xml:space="preserve"> message associated with the previously received PTP Pdelay_Resp message, the ingress TT for the PTP Pdelay_Resp_Follow_U</w:t>
      </w:r>
      <w:r w:rsidR="008F2101" w:rsidRPr="00873B6C">
        <w:t>p</w:t>
      </w:r>
      <w:r w:rsidRPr="00873B6C">
        <w:t xml:space="preserve"> message modifies the payload of the PTP Pdelay_Resp_Follow_U</w:t>
      </w:r>
      <w:r w:rsidR="008F2101" w:rsidRPr="00873B6C">
        <w:t>p</w:t>
      </w:r>
      <w:r w:rsidRPr="00873B6C">
        <w:t xml:space="preserve"> message that it sends towards the egress TT for the PTP Pdelay_Resp_Follow_U</w:t>
      </w:r>
      <w:r w:rsidR="008F2101" w:rsidRPr="00873B6C">
        <w:t>p</w:t>
      </w:r>
      <w:r w:rsidRPr="00873B6C">
        <w:t xml:space="preserve"> message as follows:</w:t>
      </w:r>
    </w:p>
    <w:p w14:paraId="70BB25A2" w14:textId="77777777" w:rsidR="00F00626" w:rsidRPr="00873B6C" w:rsidRDefault="00F00626" w:rsidP="00461850">
      <w:pPr>
        <w:pStyle w:val="B2"/>
      </w:pPr>
      <w:r w:rsidRPr="00873B6C">
        <w:t>-</w:t>
      </w:r>
      <w:r w:rsidRPr="00873B6C">
        <w:tab/>
        <w:t>Adds the (previously stored) calculated residence time of the associated PTP Pdelay_Req message to the correction field.</w:t>
      </w:r>
    </w:p>
    <w:p w14:paraId="569FAEB0" w14:textId="6A2E3984" w:rsidR="00F00626" w:rsidRPr="00873B6C" w:rsidRDefault="00F00626" w:rsidP="00F00626">
      <w:pPr>
        <w:pStyle w:val="B1"/>
      </w:pPr>
      <w:r w:rsidRPr="00873B6C">
        <w:t>-</w:t>
      </w:r>
      <w:r w:rsidRPr="00873B6C">
        <w:tab/>
        <w:t>Upon reception of the PTP Pdelay_Resp_Follow_U</w:t>
      </w:r>
      <w:r w:rsidR="008F2101" w:rsidRPr="00873B6C">
        <w:t>p</w:t>
      </w:r>
      <w:r w:rsidRPr="00873B6C">
        <w:t xml:space="preserve"> message associated with the PTP Pdelay_Resp, the egress TT for PTP Pdelay_Resp_Follow_U</w:t>
      </w:r>
      <w:r w:rsidR="008F2101" w:rsidRPr="00873B6C">
        <w:t>p</w:t>
      </w:r>
      <w:r w:rsidRPr="00873B6C">
        <w:t xml:space="preserve"> message modifies the payload of the PTP Pdelay_Resp_Follow_U</w:t>
      </w:r>
      <w:r w:rsidR="008F2101" w:rsidRPr="00873B6C">
        <w:t>p</w:t>
      </w:r>
      <w:r w:rsidRPr="00873B6C">
        <w:t xml:space="preserve"> message that it sends towards the downstream PTP instance as follows:</w:t>
      </w:r>
    </w:p>
    <w:p w14:paraId="46FD7313" w14:textId="77777777" w:rsidR="00F00626" w:rsidRPr="00873B6C" w:rsidRDefault="00F00626" w:rsidP="00461850">
      <w:pPr>
        <w:pStyle w:val="B2"/>
      </w:pPr>
      <w:r w:rsidRPr="00873B6C">
        <w:t>-</w:t>
      </w:r>
      <w:r w:rsidRPr="00873B6C">
        <w:tab/>
        <w:t>Adds the (previously stored) calculated residence time of the associated PTP Pdelay_Resp messages to the correction field.</w:t>
      </w:r>
    </w:p>
    <w:p w14:paraId="1E92A785" w14:textId="77777777" w:rsidR="00D40151" w:rsidRPr="00873B6C" w:rsidRDefault="00D40151" w:rsidP="00D40151">
      <w:pPr>
        <w:pStyle w:val="Heading8"/>
      </w:pPr>
      <w:bookmarkStart w:id="6633" w:name="_CRAnnexInormative"/>
      <w:bookmarkEnd w:id="6633"/>
      <w:r w:rsidRPr="00873B6C">
        <w:br w:type="page"/>
      </w:r>
      <w:bookmarkStart w:id="6634" w:name="_Toc27847129"/>
      <w:bookmarkStart w:id="6635" w:name="_Toc36188262"/>
      <w:bookmarkStart w:id="6636" w:name="_Toc45184176"/>
      <w:bookmarkStart w:id="6637" w:name="_Toc47343018"/>
      <w:bookmarkStart w:id="6638" w:name="_Toc51769721"/>
      <w:bookmarkStart w:id="6639" w:name="_Toc201157916"/>
      <w:r w:rsidRPr="00873B6C">
        <w:lastRenderedPageBreak/>
        <w:t>Annex I (normative):</w:t>
      </w:r>
      <w:r w:rsidRPr="00873B6C">
        <w:br/>
        <w:t>TSN usage guidelines</w:t>
      </w:r>
      <w:bookmarkEnd w:id="6634"/>
      <w:bookmarkEnd w:id="6635"/>
      <w:bookmarkEnd w:id="6636"/>
      <w:bookmarkEnd w:id="6637"/>
      <w:bookmarkEnd w:id="6638"/>
      <w:bookmarkEnd w:id="6639"/>
    </w:p>
    <w:p w14:paraId="7B316C42" w14:textId="77777777" w:rsidR="00D40151" w:rsidRPr="00873B6C" w:rsidRDefault="00D40151" w:rsidP="00D40151">
      <w:pPr>
        <w:pStyle w:val="Heading1"/>
      </w:pPr>
      <w:bookmarkStart w:id="6640" w:name="_CRI_1"/>
      <w:bookmarkStart w:id="6641" w:name="_Toc27847130"/>
      <w:bookmarkStart w:id="6642" w:name="_Toc36188263"/>
      <w:bookmarkStart w:id="6643" w:name="_Toc45184177"/>
      <w:bookmarkStart w:id="6644" w:name="_Toc47343019"/>
      <w:bookmarkStart w:id="6645" w:name="_Toc51769722"/>
      <w:bookmarkStart w:id="6646" w:name="_Toc201157917"/>
      <w:bookmarkEnd w:id="6640"/>
      <w:r w:rsidRPr="00873B6C">
        <w:t>I.1</w:t>
      </w:r>
      <w:r w:rsidRPr="00873B6C">
        <w:tab/>
        <w:t>Determination of traffic pattern information</w:t>
      </w:r>
      <w:bookmarkEnd w:id="6641"/>
      <w:bookmarkEnd w:id="6642"/>
      <w:bookmarkEnd w:id="6643"/>
      <w:bookmarkEnd w:id="6644"/>
      <w:bookmarkEnd w:id="6645"/>
      <w:bookmarkEnd w:id="6646"/>
    </w:p>
    <w:p w14:paraId="3213231A" w14:textId="77777777" w:rsidR="00D40151" w:rsidRPr="00873B6C" w:rsidRDefault="00D40151" w:rsidP="00D40151">
      <w:r w:rsidRPr="00873B6C">
        <w:t>As described in clause 5.27.2, the calculation of the TSCAI relies upon mapping of information for the TSN stream(s) based upon certain IEEE standard information.</w:t>
      </w:r>
    </w:p>
    <w:p w14:paraId="2336717E" w14:textId="77777777" w:rsidR="00D40151" w:rsidRPr="00873B6C" w:rsidRDefault="00D40151" w:rsidP="00D40151">
      <w:r w:rsidRPr="00873B6C">
        <w:t>Additional traffic pattern parameters such as maximum burst size and maximum flow bitrate can be mapped to MDBV and GFBR.</w:t>
      </w:r>
    </w:p>
    <w:p w14:paraId="7AACA877" w14:textId="77777777" w:rsidR="00D40151" w:rsidRPr="00873B6C" w:rsidRDefault="00D40151" w:rsidP="00D40151">
      <w:r w:rsidRPr="00873B6C">
        <w:t>The traffic pattern parameter determination based on PSFP (IEEE Std 802.1Q [98]), when available, is as follows:</w:t>
      </w:r>
    </w:p>
    <w:p w14:paraId="4CC7D830" w14:textId="014F00F4" w:rsidR="00D40151" w:rsidRPr="00873B6C" w:rsidRDefault="00D40151" w:rsidP="00D40151">
      <w:pPr>
        <w:pStyle w:val="B1"/>
      </w:pPr>
      <w:r w:rsidRPr="00873B6C">
        <w:t>-</w:t>
      </w:r>
      <w:r w:rsidRPr="00873B6C">
        <w:tab/>
        <w:t xml:space="preserve">Periodicity of a TSN stream is set equal to </w:t>
      </w:r>
      <w:r w:rsidR="007C1B83" w:rsidRPr="00873B6C">
        <w:t>StreamGate</w:t>
      </w:r>
      <w:r w:rsidRPr="00873B6C">
        <w:t xml:space="preserve">AdminCycleTime if there is only one </w:t>
      </w:r>
      <w:r w:rsidR="007C1B83" w:rsidRPr="00873B6C">
        <w:t>Stream</w:t>
      </w:r>
      <w:r w:rsidRPr="00873B6C">
        <w:t xml:space="preserve">GateControlEntry with a </w:t>
      </w:r>
      <w:r w:rsidR="007C1B83" w:rsidRPr="00873B6C">
        <w:t>StreamG</w:t>
      </w:r>
      <w:r w:rsidRPr="00873B6C">
        <w:t xml:space="preserve">ateStatesValue set to Open in the </w:t>
      </w:r>
      <w:r w:rsidR="007C1B83" w:rsidRPr="00873B6C">
        <w:t>StreamGate</w:t>
      </w:r>
      <w:r w:rsidRPr="00873B6C">
        <w:t xml:space="preserve">AdminControlList. If there is more than one </w:t>
      </w:r>
      <w:r w:rsidR="007C1B83" w:rsidRPr="00873B6C">
        <w:t>StreamGate</w:t>
      </w:r>
      <w:r w:rsidRPr="00873B6C">
        <w:t xml:space="preserve">GateControlEntry with a </w:t>
      </w:r>
      <w:r w:rsidR="007C1B83" w:rsidRPr="00873B6C">
        <w:t>StreamG</w:t>
      </w:r>
      <w:r w:rsidRPr="00873B6C">
        <w:t xml:space="preserve">ateStatesValue set to Open in the </w:t>
      </w:r>
      <w:r w:rsidR="007C1B83" w:rsidRPr="00873B6C">
        <w:t>StreamGate</w:t>
      </w:r>
      <w:r w:rsidRPr="00873B6C">
        <w:t xml:space="preserve">AdminControlList, then the Periodicity of the TSN Stream is set equal to sum of the timeIntervalValues from the first gate open instance to a next gate open instance in the </w:t>
      </w:r>
      <w:r w:rsidR="007C1B83" w:rsidRPr="00873B6C">
        <w:t>StreamGate</w:t>
      </w:r>
      <w:r w:rsidRPr="00873B6C">
        <w:t xml:space="preserve">AdminControlList. For aggregated TSN streams with same periodicity and compatible Burst Arrival Times, the periodicity of the aggregated flow of these TSN Streams is set equal to </w:t>
      </w:r>
      <w:r w:rsidR="007C1B83" w:rsidRPr="00873B6C">
        <w:t>StreamGate</w:t>
      </w:r>
      <w:r w:rsidRPr="00873B6C">
        <w:t>AdminCycleTime received from CNC for one of the TSN streams that are aggregated.</w:t>
      </w:r>
    </w:p>
    <w:p w14:paraId="29BD8620" w14:textId="4EE44AEF" w:rsidR="00D40151" w:rsidRPr="00873B6C" w:rsidRDefault="00D40151" w:rsidP="00D40151">
      <w:pPr>
        <w:pStyle w:val="NO"/>
      </w:pPr>
      <w:r w:rsidRPr="00873B6C">
        <w:t>NOTE</w:t>
      </w:r>
      <w:r w:rsidR="003A2901" w:rsidRPr="00873B6C">
        <w:t> 1</w:t>
      </w:r>
      <w:r w:rsidRPr="00873B6C">
        <w:t>:</w:t>
      </w:r>
      <w:r w:rsidRPr="00873B6C">
        <w:tab/>
        <w:t xml:space="preserve">Given that only TSN streams that have the same periodicity and compatible Burst Arrival Time can be aggregated, the </w:t>
      </w:r>
      <w:r w:rsidR="007C1B83" w:rsidRPr="00873B6C">
        <w:t>StreamGate</w:t>
      </w:r>
      <w:r w:rsidRPr="00873B6C">
        <w:t>AdminCycleTime for those TSN streams is assumed to be the same.</w:t>
      </w:r>
    </w:p>
    <w:p w14:paraId="66CF478C" w14:textId="77777777" w:rsidR="00D40151" w:rsidRPr="00873B6C" w:rsidRDefault="00D40151" w:rsidP="00D40151">
      <w:pPr>
        <w:pStyle w:val="B1"/>
      </w:pPr>
      <w:r w:rsidRPr="00873B6C">
        <w:t>-</w:t>
      </w:r>
      <w:r w:rsidRPr="00873B6C">
        <w:tab/>
        <w:t>Burst Arrival time of a TSN stream at the ingress port is determined based on the following conditions:</w:t>
      </w:r>
    </w:p>
    <w:p w14:paraId="38F8C277" w14:textId="02A5E473" w:rsidR="00D40151" w:rsidRPr="00873B6C" w:rsidRDefault="00D40151" w:rsidP="00D40151">
      <w:pPr>
        <w:pStyle w:val="B2"/>
      </w:pPr>
      <w:r w:rsidRPr="00873B6C">
        <w:t>-</w:t>
      </w:r>
      <w:r w:rsidRPr="00873B6C">
        <w:tab/>
        <w:t xml:space="preserve">The Burst Arrival Time of a TSN Stream should be set to </w:t>
      </w:r>
      <w:r w:rsidR="007C1B83" w:rsidRPr="00873B6C">
        <w:t>StreamGate</w:t>
      </w:r>
      <w:r w:rsidRPr="00873B6C">
        <w:t xml:space="preserve">AdminBaseTime plus the sum of the timeIntervalValues for which the </w:t>
      </w:r>
      <w:r w:rsidR="007C1B83" w:rsidRPr="00873B6C">
        <w:t>StreamG</w:t>
      </w:r>
      <w:r w:rsidRPr="00873B6C">
        <w:t xml:space="preserve">ateStatesValue is Closed in the </w:t>
      </w:r>
      <w:r w:rsidR="007C1B83" w:rsidRPr="00873B6C">
        <w:t>StreamGate</w:t>
      </w:r>
      <w:r w:rsidRPr="00873B6C">
        <w:t xml:space="preserve">AdminControlList until the first gate open time (i.e. until </w:t>
      </w:r>
      <w:r w:rsidR="007C1B83" w:rsidRPr="00873B6C">
        <w:t>StreamG</w:t>
      </w:r>
      <w:r w:rsidRPr="00873B6C">
        <w:t xml:space="preserve">ateStatesValue set to Open is found). If the </w:t>
      </w:r>
      <w:r w:rsidR="007C1B83" w:rsidRPr="00873B6C">
        <w:t>StreamG</w:t>
      </w:r>
      <w:r w:rsidRPr="00873B6C">
        <w:t xml:space="preserve">ateStatesValue is Open for the first timeIntervalValue, then the Burst Arrival time is set to </w:t>
      </w:r>
      <w:r w:rsidR="007C1B83" w:rsidRPr="00873B6C">
        <w:t>StreamGate</w:t>
      </w:r>
      <w:r w:rsidRPr="00873B6C">
        <w:t xml:space="preserve">AdminBaseTime. For aggregated TSN streams, the arrival time is calculated similarly, but using the time interval to the first </w:t>
      </w:r>
      <w:r w:rsidR="007C1B83" w:rsidRPr="00873B6C">
        <w:t>StreamG</w:t>
      </w:r>
      <w:r w:rsidRPr="00873B6C">
        <w:t>ateStatesValue that is Open from the aggregated TSN streams.</w:t>
      </w:r>
    </w:p>
    <w:p w14:paraId="3A492BB1" w14:textId="77777777" w:rsidR="00D40151" w:rsidRPr="00873B6C" w:rsidRDefault="00D40151" w:rsidP="00D40151">
      <w:pPr>
        <w:pStyle w:val="B1"/>
      </w:pPr>
      <w:r w:rsidRPr="00873B6C">
        <w:t>-</w:t>
      </w:r>
      <w:r w:rsidRPr="00873B6C">
        <w:tab/>
        <w:t>Burst Size of a TSN stream at the ingress port (which is useful to map to MDBV) is determined based on the following conditions:</w:t>
      </w:r>
    </w:p>
    <w:p w14:paraId="241E04B0" w14:textId="3B31EECB" w:rsidR="00D40151" w:rsidRPr="00873B6C" w:rsidRDefault="00D40151" w:rsidP="00D40151">
      <w:pPr>
        <w:pStyle w:val="B2"/>
      </w:pPr>
      <w:r w:rsidRPr="00873B6C">
        <w:t>-</w:t>
      </w:r>
      <w:r w:rsidRPr="00873B6C">
        <w:tab/>
        <w:t xml:space="preserve">The Burst Size may be determined from TSN Stream gate control operations in the </w:t>
      </w:r>
      <w:r w:rsidR="007C1B83" w:rsidRPr="00873B6C">
        <w:t>StreamGate</w:t>
      </w:r>
      <w:r w:rsidRPr="00873B6C">
        <w:t xml:space="preserve">AdminControlList. If in the </w:t>
      </w:r>
      <w:r w:rsidR="007C1B83" w:rsidRPr="00873B6C">
        <w:t>StreamGate</w:t>
      </w:r>
      <w:r w:rsidRPr="00873B6C">
        <w:t xml:space="preserve">AdminControlList, IntervalOctetMax is provided for a </w:t>
      </w:r>
      <w:r w:rsidR="007C1B83" w:rsidRPr="00873B6C">
        <w:t>Stream</w:t>
      </w:r>
      <w:r w:rsidRPr="00873B6C">
        <w:t xml:space="preserve">GateControlEntry with an "open" </w:t>
      </w:r>
      <w:r w:rsidR="007C1B83" w:rsidRPr="00873B6C">
        <w:t>StreamG</w:t>
      </w:r>
      <w:r w:rsidRPr="00873B6C">
        <w:t xml:space="preserve">ateStatesValue, the Burst Size is set to the IntervalOctetMax for that control list entry. If IntervalOctetMax is not provided, the Burst Size is set to the timeIntervalValue (converted from ns to s) of the </w:t>
      </w:r>
      <w:r w:rsidR="007C1B83" w:rsidRPr="00873B6C">
        <w:t>Stream</w:t>
      </w:r>
      <w:r w:rsidRPr="00873B6C">
        <w:t xml:space="preserve">GateControlEntry with an "open" </w:t>
      </w:r>
      <w:r w:rsidR="007C1B83" w:rsidRPr="00873B6C">
        <w:t>StreamG</w:t>
      </w:r>
      <w:r w:rsidRPr="00873B6C">
        <w:t>ateStatesValue multiplied by the port bitrate.</w:t>
      </w:r>
    </w:p>
    <w:p w14:paraId="2EA6902E" w14:textId="77777777" w:rsidR="00D40151" w:rsidRPr="00873B6C" w:rsidRDefault="00D40151" w:rsidP="00D40151">
      <w:pPr>
        <w:pStyle w:val="B2"/>
      </w:pPr>
      <w:r w:rsidRPr="00873B6C">
        <w:t>-</w:t>
      </w:r>
      <w:r w:rsidRPr="00873B6C">
        <w:tab/>
        <w:t>When multiple compatible TSN Streams are aggregated, the Burst Size is set to the sum of the Burst Sizes for each TSN stream as determined above.</w:t>
      </w:r>
    </w:p>
    <w:p w14:paraId="46F6100C" w14:textId="77777777" w:rsidR="00D40151" w:rsidRPr="00873B6C" w:rsidRDefault="00D40151" w:rsidP="00D40151">
      <w:pPr>
        <w:pStyle w:val="B1"/>
      </w:pPr>
      <w:r w:rsidRPr="00873B6C">
        <w:t>-</w:t>
      </w:r>
      <w:r w:rsidRPr="00873B6C">
        <w:tab/>
        <w:t>Maximum Flow Bitrate of a TSN stream (which is useful to map to GBR) is determined as follows:</w:t>
      </w:r>
    </w:p>
    <w:p w14:paraId="68D2864E" w14:textId="77870256" w:rsidR="00D40151" w:rsidRPr="00873B6C" w:rsidRDefault="00D40151" w:rsidP="00D40151">
      <w:pPr>
        <w:pStyle w:val="B2"/>
      </w:pPr>
      <w:r w:rsidRPr="00873B6C">
        <w:t>-</w:t>
      </w:r>
      <w:r w:rsidRPr="00873B6C">
        <w:tab/>
        <w:t xml:space="preserve">The Maximum Flow Bitrate of a TSN Stream is equal to the summation of all timeIntervalValue (converted from ns to s) with </w:t>
      </w:r>
      <w:r w:rsidR="007C1B83" w:rsidRPr="00873B6C">
        <w:t>StreamG</w:t>
      </w:r>
      <w:r w:rsidRPr="00873B6C">
        <w:t>ateStatesValue = Open, multiplied by the bitrate of the corresponding port</w:t>
      </w:r>
      <w:r w:rsidR="00472CD7" w:rsidRPr="00873B6C">
        <w:t xml:space="preserve"> and</w:t>
      </w:r>
      <w:r w:rsidRPr="00873B6C">
        <w:t xml:space="preserve"> divided by </w:t>
      </w:r>
      <w:r w:rsidR="007C1B83" w:rsidRPr="00873B6C">
        <w:t>StreamGate</w:t>
      </w:r>
      <w:r w:rsidRPr="00873B6C">
        <w:t>AdminCycleTime. For aggregated TSN streams, the same calculation is performed over the burst of aggregated streams (calculated using superposition, i.e</w:t>
      </w:r>
      <w:r w:rsidR="000E35F2" w:rsidRPr="00873B6C">
        <w:t>.</w:t>
      </w:r>
      <w:r w:rsidRPr="00873B6C">
        <w:t xml:space="preserve"> timeIntervalValue with </w:t>
      </w:r>
      <w:r w:rsidR="007C1B83" w:rsidRPr="00873B6C">
        <w:t>StreamG</w:t>
      </w:r>
      <w:r w:rsidRPr="00873B6C">
        <w:t>ateStatesValue = Open of every stream is summed up, as they are assumed to have same periodicity, compatible Burst arrival time</w:t>
      </w:r>
      <w:r w:rsidR="00472CD7" w:rsidRPr="00873B6C">
        <w:t xml:space="preserve"> and</w:t>
      </w:r>
      <w:r w:rsidRPr="00873B6C">
        <w:t xml:space="preserve"> same traffic class if they are to be aggregated.</w:t>
      </w:r>
    </w:p>
    <w:p w14:paraId="6F775864" w14:textId="1E213BE5" w:rsidR="00D40151" w:rsidRPr="00873B6C" w:rsidRDefault="00D40151" w:rsidP="00D40151">
      <w:pPr>
        <w:pStyle w:val="B1"/>
      </w:pPr>
      <w:r w:rsidRPr="00873B6C">
        <w:tab/>
        <w:t>When CNC configures the PSFP information to the TSN AF, the TSN AF may use local information (e.g. local configuration) to map the PSFP information to an ingress port</w:t>
      </w:r>
      <w:r w:rsidR="003A2901" w:rsidRPr="00873B6C">
        <w:t xml:space="preserve"> and/or egress port</w:t>
      </w:r>
      <w:r w:rsidRPr="00873B6C">
        <w:t xml:space="preserve"> of the 5GS bridge.</w:t>
      </w:r>
    </w:p>
    <w:p w14:paraId="5086F069" w14:textId="7FEB2589" w:rsidR="00D40151" w:rsidRPr="00873B6C" w:rsidRDefault="00D40151" w:rsidP="00D40151">
      <w:pPr>
        <w:pStyle w:val="NO"/>
      </w:pPr>
      <w:r w:rsidRPr="00873B6C">
        <w:lastRenderedPageBreak/>
        <w:t>NOTE </w:t>
      </w:r>
      <w:r w:rsidR="003A2901" w:rsidRPr="00873B6C">
        <w:t>2</w:t>
      </w:r>
      <w:r w:rsidRPr="00873B6C">
        <w:t>:</w:t>
      </w:r>
      <w:r w:rsidRPr="00873B6C">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873B6C">
        <w:t xml:space="preserve"> port</w:t>
      </w:r>
      <w:r w:rsidRPr="00873B6C">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873B6C">
        <w:t xml:space="preserve"> or egress</w:t>
      </w:r>
      <w:r w:rsidRPr="00873B6C">
        <w:t xml:space="preserve"> port is the associated DS-TT port.</w:t>
      </w:r>
    </w:p>
    <w:p w14:paraId="63C1BE30" w14:textId="77777777" w:rsidR="00D40151" w:rsidRPr="00873B6C" w:rsidRDefault="00D40151" w:rsidP="00D40151">
      <w:pPr>
        <w:pStyle w:val="Heading8"/>
      </w:pPr>
      <w:bookmarkStart w:id="6647" w:name="_CRAnnexJinformative"/>
      <w:bookmarkEnd w:id="6647"/>
      <w:r w:rsidRPr="00873B6C">
        <w:br w:type="page"/>
      </w:r>
      <w:bookmarkStart w:id="6648" w:name="_Toc36188264"/>
      <w:bookmarkStart w:id="6649" w:name="_Toc45184178"/>
      <w:bookmarkStart w:id="6650" w:name="_Toc47343020"/>
      <w:bookmarkStart w:id="6651" w:name="_Toc51769723"/>
      <w:bookmarkStart w:id="6652" w:name="_Toc201157918"/>
      <w:r w:rsidRPr="00873B6C">
        <w:lastRenderedPageBreak/>
        <w:t>Annex J (informative):</w:t>
      </w:r>
      <w:r w:rsidRPr="00873B6C">
        <w:br/>
        <w:t>Link MTU considerations</w:t>
      </w:r>
      <w:bookmarkEnd w:id="6648"/>
      <w:bookmarkEnd w:id="6649"/>
      <w:bookmarkEnd w:id="6650"/>
      <w:bookmarkEnd w:id="6651"/>
      <w:bookmarkEnd w:id="6652"/>
    </w:p>
    <w:p w14:paraId="1AAA33AC" w14:textId="77777777" w:rsidR="00D40151" w:rsidRPr="00873B6C" w:rsidRDefault="00D40151" w:rsidP="00D40151">
      <w:r w:rsidRPr="00873B6C">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873B6C" w:rsidRDefault="00D40151" w:rsidP="00D40151">
      <w:r w:rsidRPr="00873B6C">
        <w:t>One of the worst-case scenarios is when GTP packets, e.g</w:t>
      </w:r>
      <w:r w:rsidR="000E35F2" w:rsidRPr="00873B6C">
        <w:t>.</w:t>
      </w:r>
      <w:r w:rsidRPr="00873B6C">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873B6C" w:rsidRDefault="00D40151" w:rsidP="00D40151">
      <w:pPr>
        <w:pStyle w:val="B1"/>
      </w:pPr>
      <w:r w:rsidRPr="00873B6C">
        <w:t>-</w:t>
      </w:r>
      <w:r w:rsidRPr="00873B6C">
        <w:tab/>
        <w:t>IPv6 header, which is 40 octets;</w:t>
      </w:r>
    </w:p>
    <w:p w14:paraId="3457D70F" w14:textId="77777777" w:rsidR="00D40151" w:rsidRPr="00873B6C" w:rsidRDefault="00D40151" w:rsidP="00D40151">
      <w:pPr>
        <w:pStyle w:val="B1"/>
      </w:pPr>
      <w:r w:rsidRPr="00873B6C">
        <w:t>-</w:t>
      </w:r>
      <w:r w:rsidRPr="00873B6C">
        <w:tab/>
        <w:t>UDP overhead, which is 8 octets;</w:t>
      </w:r>
    </w:p>
    <w:p w14:paraId="28E22109" w14:textId="77777777" w:rsidR="00D40151" w:rsidRPr="00873B6C" w:rsidRDefault="00D40151" w:rsidP="00D40151">
      <w:pPr>
        <w:pStyle w:val="B1"/>
      </w:pPr>
      <w:r w:rsidRPr="00873B6C">
        <w:t>-</w:t>
      </w:r>
      <w:r w:rsidRPr="00873B6C">
        <w:tab/>
        <w:t>Extended GTP-U header, which is 16 octets.</w:t>
      </w:r>
    </w:p>
    <w:p w14:paraId="061A0DCC" w14:textId="2CB638AD" w:rsidR="00D40151" w:rsidRPr="00873B6C" w:rsidRDefault="00D40151" w:rsidP="00D40151">
      <w:pPr>
        <w:pStyle w:val="NO"/>
      </w:pPr>
      <w:r w:rsidRPr="00873B6C">
        <w:t>NOTE 1:</w:t>
      </w:r>
      <w:r w:rsidRPr="00873B6C">
        <w:tab/>
        <w:t>The sending of a Reflective QoS Indicator within a GTP-U header extension, or the use of Long PDCP PDU numbers at handover</w:t>
      </w:r>
      <w:r w:rsidR="00AF2D89" w:rsidRPr="00873B6C">
        <w:t xml:space="preserve"> , or the use of some other features specified in Release 17 or later Releases</w:t>
      </w:r>
      <w:r w:rsidRPr="00873B6C">
        <w:t xml:space="preserve"> will further increase the GTP-U header size (see </w:t>
      </w:r>
      <w:r w:rsidR="00972E70" w:rsidRPr="00873B6C">
        <w:t>TS 29.281 [</w:t>
      </w:r>
      <w:r w:rsidRPr="00873B6C">
        <w:t xml:space="preserve">75] and </w:t>
      </w:r>
      <w:r w:rsidR="00972E70" w:rsidRPr="00873B6C">
        <w:t>TS 38.415 [</w:t>
      </w:r>
      <w:r w:rsidRPr="00873B6C">
        <w:t>116]).</w:t>
      </w:r>
    </w:p>
    <w:p w14:paraId="05FC5C75" w14:textId="78C255A0" w:rsidR="00AF2D89" w:rsidRPr="00873B6C" w:rsidRDefault="00AF2D89" w:rsidP="00AF2D89">
      <w:pPr>
        <w:pStyle w:val="NO"/>
      </w:pPr>
      <w:r w:rsidRPr="00873B6C">
        <w:t>NOTE 2:</w:t>
      </w:r>
      <w:r w:rsidRPr="00873B6C">
        <w:tab/>
        <w:t>For UEs that start their PDN connection in EPS and can be subject to mobility to 5GS, the operator can use this smaller 5GS link MTU in EPS, rather than the EPS link MTU suggested by Annex C of TS 23.060 [56].</w:t>
      </w:r>
    </w:p>
    <w:p w14:paraId="308FEF14" w14:textId="53A406A7" w:rsidR="00D40151" w:rsidRPr="00873B6C" w:rsidRDefault="00D40151" w:rsidP="00D40151">
      <w:r w:rsidRPr="00873B6C">
        <w:t xml:space="preserve">In this scenario the GTP packet then further encapsulated into an IPSec tunnel. The actual IPSec tunnel overhead depends on the used encryption and integrity protection algorithms. </w:t>
      </w:r>
      <w:r w:rsidR="00972E70" w:rsidRPr="00873B6C">
        <w:t>TS 33.210 [</w:t>
      </w:r>
      <w:r w:rsidRPr="00873B6C">
        <w:t>115] mandates the support of AES-GMAC with a key length of 128 bits and the use of HMAC_SHA-1 for integrity protection. Therefore, the overhead with those algorithms is calculated as:</w:t>
      </w:r>
    </w:p>
    <w:p w14:paraId="1CD38CF0" w14:textId="77777777" w:rsidR="00D40151" w:rsidRPr="00873B6C" w:rsidRDefault="00D40151" w:rsidP="00D40151">
      <w:pPr>
        <w:pStyle w:val="B1"/>
      </w:pPr>
      <w:r w:rsidRPr="00873B6C">
        <w:t>-</w:t>
      </w:r>
      <w:r w:rsidRPr="00873B6C">
        <w:tab/>
        <w:t>IPv6 header, which is 40 octets;</w:t>
      </w:r>
    </w:p>
    <w:p w14:paraId="7AD28F47" w14:textId="77777777" w:rsidR="00D40151" w:rsidRPr="00873B6C" w:rsidRDefault="00D40151" w:rsidP="00D40151">
      <w:pPr>
        <w:pStyle w:val="B1"/>
      </w:pPr>
      <w:r w:rsidRPr="00873B6C">
        <w:t>-</w:t>
      </w:r>
      <w:r w:rsidRPr="00873B6C">
        <w:tab/>
        <w:t>IPSec Security Parameter Index and Sequence Number overhead, which is 4+4 octets;</w:t>
      </w:r>
    </w:p>
    <w:p w14:paraId="7ACF8A8E" w14:textId="77777777" w:rsidR="00D40151" w:rsidRPr="00873B6C" w:rsidRDefault="00D40151" w:rsidP="00D40151">
      <w:pPr>
        <w:pStyle w:val="B1"/>
      </w:pPr>
      <w:r w:rsidRPr="00873B6C">
        <w:t>-</w:t>
      </w:r>
      <w:r w:rsidRPr="00873B6C">
        <w:tab/>
        <w:t>Initialization Vector for the encryption algorithm, which is 16 octets;</w:t>
      </w:r>
    </w:p>
    <w:p w14:paraId="07035BDB" w14:textId="77777777" w:rsidR="00D40151" w:rsidRPr="00873B6C" w:rsidRDefault="00D40151" w:rsidP="00D40151">
      <w:pPr>
        <w:pStyle w:val="B1"/>
      </w:pPr>
      <w:r w:rsidRPr="00873B6C">
        <w:t>-</w:t>
      </w:r>
      <w:r w:rsidRPr="00873B6C">
        <w:tab/>
        <w:t>Padding to make the size of the encrypted payload a multiple of 16;</w:t>
      </w:r>
    </w:p>
    <w:p w14:paraId="26E79430" w14:textId="77777777" w:rsidR="00D40151" w:rsidRPr="00873B6C" w:rsidRDefault="00D40151" w:rsidP="00D40151">
      <w:pPr>
        <w:pStyle w:val="B1"/>
      </w:pPr>
      <w:r w:rsidRPr="00873B6C">
        <w:t>-</w:t>
      </w:r>
      <w:r w:rsidRPr="00873B6C">
        <w:tab/>
        <w:t>Padding Length and Next Header octets (2 octets);</w:t>
      </w:r>
    </w:p>
    <w:p w14:paraId="1D2CAEAF" w14:textId="77777777" w:rsidR="00D40151" w:rsidRPr="00873B6C" w:rsidRDefault="00D40151" w:rsidP="00D40151">
      <w:pPr>
        <w:pStyle w:val="B1"/>
      </w:pPr>
      <w:r w:rsidRPr="00873B6C">
        <w:t>-</w:t>
      </w:r>
      <w:r w:rsidRPr="00873B6C">
        <w:tab/>
        <w:t>Integrity Check Value, which is 12 octets.</w:t>
      </w:r>
    </w:p>
    <w:p w14:paraId="563640B8" w14:textId="77777777" w:rsidR="00D40151" w:rsidRPr="00873B6C" w:rsidRDefault="00D40151" w:rsidP="00D40151">
      <w:r w:rsidRPr="00873B6C">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6653" w:name="_MON_1361365701"/>
    <w:bookmarkEnd w:id="6653"/>
    <w:p w14:paraId="7A5DC82E" w14:textId="77777777" w:rsidR="00D40151" w:rsidRPr="00873B6C" w:rsidRDefault="00D40151" w:rsidP="00D40151">
      <w:pPr>
        <w:pStyle w:val="TH"/>
      </w:pPr>
      <w:r w:rsidRPr="00873B6C">
        <w:object w:dxaOrig="8625" w:dyaOrig="3945" w14:anchorId="15C6822C">
          <v:shape id="_x0000_i1169" type="#_x0000_t75" style="width:6in;height:202.85pt" o:ole="">
            <v:imagedata r:id="rId297" o:title=""/>
          </v:shape>
          <o:OLEObject Type="Embed" ProgID="Word.Picture.8" ShapeID="_x0000_i1169" DrawAspect="Content" ObjectID="_1811772503" r:id="rId298"/>
        </w:object>
      </w:r>
    </w:p>
    <w:p w14:paraId="7AD577C8" w14:textId="77777777" w:rsidR="00D40151" w:rsidRPr="00873B6C" w:rsidRDefault="00D40151" w:rsidP="00D40151">
      <w:pPr>
        <w:pStyle w:val="TF"/>
      </w:pPr>
      <w:bookmarkStart w:id="6654" w:name="_CRFigureJ1"/>
      <w:r w:rsidRPr="00873B6C">
        <w:t xml:space="preserve">Figure </w:t>
      </w:r>
      <w:bookmarkEnd w:id="6654"/>
      <w:r w:rsidRPr="00873B6C">
        <w:t>J-1: Overhead calculation for transport MTU=1500 octet</w:t>
      </w:r>
    </w:p>
    <w:p w14:paraId="6A612339" w14:textId="77777777" w:rsidR="00D40151" w:rsidRPr="00873B6C" w:rsidRDefault="00D40151" w:rsidP="00D40151">
      <w:r w:rsidRPr="00873B6C">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873B6C" w:rsidRDefault="00D40151" w:rsidP="00D40151">
      <w:r w:rsidRPr="00873B6C">
        <w:t>Note that using a link MTU value smaller than necessary would decrease the efficiency in the network. Moreover, a UE might also apply some tunnelling (e.g</w:t>
      </w:r>
      <w:r w:rsidR="000E35F2" w:rsidRPr="00873B6C">
        <w:t>.</w:t>
      </w:r>
      <w:r w:rsidRPr="00873B6C">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873B6C" w:rsidRDefault="00D40151" w:rsidP="00D40151">
      <w:r w:rsidRPr="00873B6C">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873B6C" w:rsidRDefault="00B00E92">
      <w:pPr>
        <w:spacing w:after="0"/>
      </w:pPr>
      <w:r w:rsidRPr="00873B6C">
        <w:br w:type="page"/>
      </w:r>
    </w:p>
    <w:p w14:paraId="399F8A69" w14:textId="6F916265" w:rsidR="00B00E92" w:rsidRPr="00873B6C" w:rsidRDefault="00B00E92" w:rsidP="00323277">
      <w:pPr>
        <w:pStyle w:val="Heading8"/>
      </w:pPr>
      <w:bookmarkStart w:id="6655" w:name="_CRAnnexKnormative"/>
      <w:bookmarkStart w:id="6656" w:name="_Toc201157919"/>
      <w:bookmarkEnd w:id="6655"/>
      <w:r w:rsidRPr="00873B6C">
        <w:lastRenderedPageBreak/>
        <w:t>Annex K (normative):</w:t>
      </w:r>
      <w:r w:rsidRPr="00873B6C">
        <w:br/>
        <w:t xml:space="preserve">Port and </w:t>
      </w:r>
      <w:r w:rsidR="00C4403A" w:rsidRPr="00873B6C">
        <w:t xml:space="preserve">user plane node </w:t>
      </w:r>
      <w:r w:rsidRPr="00873B6C">
        <w:t>management information exchange</w:t>
      </w:r>
      <w:bookmarkEnd w:id="6656"/>
    </w:p>
    <w:p w14:paraId="52ED2360" w14:textId="05434A6F" w:rsidR="00B00E92" w:rsidRPr="00873B6C" w:rsidRDefault="00B00E92" w:rsidP="00323277">
      <w:pPr>
        <w:pStyle w:val="Heading1"/>
      </w:pPr>
      <w:bookmarkStart w:id="6657" w:name="_CRK_1"/>
      <w:bookmarkStart w:id="6658" w:name="_Toc201157920"/>
      <w:bookmarkEnd w:id="6657"/>
      <w:r w:rsidRPr="00873B6C">
        <w:t>K.1</w:t>
      </w:r>
      <w:r w:rsidRPr="00873B6C">
        <w:tab/>
        <w:t xml:space="preserve">Standardized port and </w:t>
      </w:r>
      <w:r w:rsidR="00C4403A" w:rsidRPr="00873B6C">
        <w:t xml:space="preserve">user plane node </w:t>
      </w:r>
      <w:r w:rsidRPr="00873B6C">
        <w:t>management information</w:t>
      </w:r>
      <w:bookmarkEnd w:id="6658"/>
    </w:p>
    <w:p w14:paraId="124896B9" w14:textId="0B6882BB" w:rsidR="00A10084" w:rsidRPr="00873B6C" w:rsidRDefault="00A10084" w:rsidP="00D64A02">
      <w:r w:rsidRPr="00873B6C">
        <w:t>Table K.1-1 and Table K.1-2 list standardized port management information and user plane node management information, respectively.</w:t>
      </w:r>
    </w:p>
    <w:p w14:paraId="357CDD96" w14:textId="5E92477B" w:rsidR="00A10084" w:rsidRPr="00873B6C" w:rsidRDefault="00A10084" w:rsidP="00A10084">
      <w:pPr>
        <w:pStyle w:val="TH"/>
        <w:rPr>
          <w:lang w:val="fr-FR"/>
        </w:rPr>
      </w:pPr>
      <w:bookmarkStart w:id="6659" w:name="_CRTableK_11"/>
      <w:r w:rsidRPr="00873B6C">
        <w:rPr>
          <w:lang w:val="fr-FR"/>
        </w:rPr>
        <w:lastRenderedPageBreak/>
        <w:t xml:space="preserve">Table </w:t>
      </w:r>
      <w:bookmarkEnd w:id="6659"/>
      <w:r w:rsidRPr="00873B6C">
        <w:rPr>
          <w:lang w:val="fr-FR"/>
        </w:rPr>
        <w:t>K.1-1: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A10084" w:rsidRPr="00873B6C" w14:paraId="5EAB4297" w14:textId="77777777" w:rsidTr="00C9561D">
        <w:trPr>
          <w:cantSplit/>
          <w:jc w:val="center"/>
        </w:trPr>
        <w:tc>
          <w:tcPr>
            <w:tcW w:w="3735" w:type="dxa"/>
            <w:tcBorders>
              <w:bottom w:val="nil"/>
            </w:tcBorders>
            <w:shd w:val="clear" w:color="auto" w:fill="auto"/>
          </w:tcPr>
          <w:p w14:paraId="124DA56D" w14:textId="77777777" w:rsidR="00A10084" w:rsidRPr="00873B6C" w:rsidRDefault="00A10084" w:rsidP="00C9561D">
            <w:pPr>
              <w:pStyle w:val="TAH"/>
            </w:pPr>
            <w:r w:rsidRPr="00873B6C">
              <w:lastRenderedPageBreak/>
              <w:t>Port management information</w:t>
            </w:r>
          </w:p>
        </w:tc>
        <w:tc>
          <w:tcPr>
            <w:tcW w:w="1417" w:type="dxa"/>
            <w:gridSpan w:val="2"/>
            <w:shd w:val="clear" w:color="auto" w:fill="auto"/>
          </w:tcPr>
          <w:p w14:paraId="47D00995" w14:textId="77777777" w:rsidR="00A10084" w:rsidRPr="00873B6C" w:rsidRDefault="00A10084" w:rsidP="00C9561D">
            <w:pPr>
              <w:pStyle w:val="TAH"/>
            </w:pPr>
            <w:r w:rsidRPr="00873B6C">
              <w:t>Applicability (see NOTE 6)</w:t>
            </w:r>
          </w:p>
        </w:tc>
        <w:tc>
          <w:tcPr>
            <w:tcW w:w="1418" w:type="dxa"/>
            <w:tcBorders>
              <w:bottom w:val="nil"/>
            </w:tcBorders>
            <w:shd w:val="clear" w:color="auto" w:fill="auto"/>
          </w:tcPr>
          <w:p w14:paraId="130C81CF" w14:textId="77777777" w:rsidR="00A10084" w:rsidRPr="00873B6C" w:rsidRDefault="00A10084" w:rsidP="00C9561D">
            <w:pPr>
              <w:pStyle w:val="TAH"/>
            </w:pPr>
            <w:r w:rsidRPr="00873B6C">
              <w:t>Supported operations by TSN AF</w:t>
            </w:r>
          </w:p>
        </w:tc>
        <w:tc>
          <w:tcPr>
            <w:tcW w:w="1338" w:type="dxa"/>
            <w:tcBorders>
              <w:bottom w:val="nil"/>
            </w:tcBorders>
            <w:shd w:val="clear" w:color="auto" w:fill="auto"/>
          </w:tcPr>
          <w:p w14:paraId="61DC8C28" w14:textId="77777777" w:rsidR="00A10084" w:rsidRPr="00873B6C" w:rsidRDefault="00A10084" w:rsidP="00C9561D">
            <w:pPr>
              <w:pStyle w:val="TAH"/>
            </w:pPr>
            <w:r w:rsidRPr="00873B6C">
              <w:t>Supported operations by TSCTSF</w:t>
            </w:r>
          </w:p>
        </w:tc>
        <w:tc>
          <w:tcPr>
            <w:tcW w:w="2126" w:type="dxa"/>
            <w:tcBorders>
              <w:bottom w:val="nil"/>
            </w:tcBorders>
            <w:shd w:val="clear" w:color="auto" w:fill="auto"/>
          </w:tcPr>
          <w:p w14:paraId="64F9CFF1" w14:textId="77777777" w:rsidR="00A10084" w:rsidRPr="00873B6C" w:rsidRDefault="00A10084" w:rsidP="00C9561D">
            <w:pPr>
              <w:pStyle w:val="TAH"/>
            </w:pPr>
            <w:r w:rsidRPr="00873B6C">
              <w:t>Reference</w:t>
            </w:r>
          </w:p>
        </w:tc>
      </w:tr>
      <w:tr w:rsidR="00A10084" w:rsidRPr="00873B6C" w14:paraId="5AD6B1C5" w14:textId="77777777" w:rsidTr="00C9561D">
        <w:trPr>
          <w:cantSplit/>
          <w:jc w:val="center"/>
        </w:trPr>
        <w:tc>
          <w:tcPr>
            <w:tcW w:w="3735" w:type="dxa"/>
            <w:tcBorders>
              <w:top w:val="nil"/>
            </w:tcBorders>
            <w:shd w:val="clear" w:color="auto" w:fill="auto"/>
          </w:tcPr>
          <w:p w14:paraId="6B26863A" w14:textId="77777777" w:rsidR="00A10084" w:rsidRPr="00873B6C" w:rsidRDefault="00A10084" w:rsidP="00C9561D">
            <w:pPr>
              <w:pStyle w:val="TAH"/>
            </w:pPr>
          </w:p>
        </w:tc>
        <w:tc>
          <w:tcPr>
            <w:tcW w:w="709" w:type="dxa"/>
            <w:shd w:val="clear" w:color="auto" w:fill="auto"/>
          </w:tcPr>
          <w:p w14:paraId="3FF84413" w14:textId="77777777" w:rsidR="00A10084" w:rsidRPr="00873B6C" w:rsidRDefault="00A10084" w:rsidP="00C9561D">
            <w:pPr>
              <w:pStyle w:val="TAH"/>
            </w:pPr>
            <w:r w:rsidRPr="00873B6C">
              <w:t>DS-TT</w:t>
            </w:r>
          </w:p>
        </w:tc>
        <w:tc>
          <w:tcPr>
            <w:tcW w:w="708" w:type="dxa"/>
            <w:shd w:val="clear" w:color="auto" w:fill="auto"/>
          </w:tcPr>
          <w:p w14:paraId="3258610C" w14:textId="77777777" w:rsidR="00A10084" w:rsidRPr="00873B6C" w:rsidRDefault="00A10084" w:rsidP="00C9561D">
            <w:pPr>
              <w:pStyle w:val="TAH"/>
            </w:pPr>
            <w:r w:rsidRPr="00873B6C">
              <w:t>NW-TT</w:t>
            </w:r>
          </w:p>
        </w:tc>
        <w:tc>
          <w:tcPr>
            <w:tcW w:w="1418" w:type="dxa"/>
            <w:tcBorders>
              <w:top w:val="nil"/>
            </w:tcBorders>
            <w:shd w:val="clear" w:color="auto" w:fill="auto"/>
          </w:tcPr>
          <w:p w14:paraId="038FE287" w14:textId="77777777" w:rsidR="00A10084" w:rsidRPr="00873B6C" w:rsidRDefault="00A10084" w:rsidP="00C9561D">
            <w:pPr>
              <w:pStyle w:val="TAH"/>
            </w:pPr>
            <w:r w:rsidRPr="00873B6C">
              <w:t>(see NOTE 1)</w:t>
            </w:r>
          </w:p>
        </w:tc>
        <w:tc>
          <w:tcPr>
            <w:tcW w:w="1338" w:type="dxa"/>
            <w:tcBorders>
              <w:top w:val="nil"/>
            </w:tcBorders>
            <w:shd w:val="clear" w:color="auto" w:fill="auto"/>
          </w:tcPr>
          <w:p w14:paraId="41F20E5D" w14:textId="77777777" w:rsidR="00A10084" w:rsidRPr="00873B6C" w:rsidRDefault="00A10084" w:rsidP="00C9561D">
            <w:pPr>
              <w:pStyle w:val="TAH"/>
            </w:pPr>
            <w:r w:rsidRPr="00873B6C">
              <w:t>(see NOTE 1)</w:t>
            </w:r>
          </w:p>
        </w:tc>
        <w:tc>
          <w:tcPr>
            <w:tcW w:w="2126" w:type="dxa"/>
            <w:tcBorders>
              <w:top w:val="nil"/>
            </w:tcBorders>
            <w:shd w:val="clear" w:color="auto" w:fill="auto"/>
          </w:tcPr>
          <w:p w14:paraId="7E1DDDE6" w14:textId="77777777" w:rsidR="00A10084" w:rsidRPr="00873B6C" w:rsidRDefault="00A10084" w:rsidP="00C9561D">
            <w:pPr>
              <w:pStyle w:val="TAH"/>
            </w:pPr>
          </w:p>
        </w:tc>
      </w:tr>
      <w:tr w:rsidR="00A10084" w:rsidRPr="00873B6C" w14:paraId="6A213197" w14:textId="77777777" w:rsidTr="00C9561D">
        <w:trPr>
          <w:cantSplit/>
          <w:jc w:val="center"/>
        </w:trPr>
        <w:tc>
          <w:tcPr>
            <w:tcW w:w="3735" w:type="dxa"/>
            <w:shd w:val="clear" w:color="auto" w:fill="auto"/>
          </w:tcPr>
          <w:p w14:paraId="796EBE16" w14:textId="77777777" w:rsidR="00A10084" w:rsidRPr="00873B6C" w:rsidRDefault="00A10084" w:rsidP="00C9561D">
            <w:pPr>
              <w:pStyle w:val="TAL"/>
            </w:pPr>
            <w:r w:rsidRPr="00873B6C">
              <w:rPr>
                <w:b/>
              </w:rPr>
              <w:t>General</w:t>
            </w:r>
          </w:p>
        </w:tc>
        <w:tc>
          <w:tcPr>
            <w:tcW w:w="709" w:type="dxa"/>
            <w:shd w:val="clear" w:color="auto" w:fill="auto"/>
          </w:tcPr>
          <w:p w14:paraId="287F44EF" w14:textId="77777777" w:rsidR="00A10084" w:rsidRPr="00873B6C" w:rsidRDefault="00A10084" w:rsidP="00C9561D">
            <w:pPr>
              <w:pStyle w:val="TAC"/>
            </w:pPr>
          </w:p>
        </w:tc>
        <w:tc>
          <w:tcPr>
            <w:tcW w:w="708" w:type="dxa"/>
            <w:shd w:val="clear" w:color="auto" w:fill="auto"/>
          </w:tcPr>
          <w:p w14:paraId="358450E1" w14:textId="77777777" w:rsidR="00A10084" w:rsidRPr="00873B6C" w:rsidRDefault="00A10084" w:rsidP="00C9561D">
            <w:pPr>
              <w:pStyle w:val="TAC"/>
            </w:pPr>
          </w:p>
        </w:tc>
        <w:tc>
          <w:tcPr>
            <w:tcW w:w="1418" w:type="dxa"/>
            <w:shd w:val="clear" w:color="auto" w:fill="auto"/>
          </w:tcPr>
          <w:p w14:paraId="301F893A" w14:textId="77777777" w:rsidR="00A10084" w:rsidRPr="00873B6C" w:rsidRDefault="00A10084" w:rsidP="00C9561D">
            <w:pPr>
              <w:pStyle w:val="TAC"/>
            </w:pPr>
          </w:p>
        </w:tc>
        <w:tc>
          <w:tcPr>
            <w:tcW w:w="1338" w:type="dxa"/>
          </w:tcPr>
          <w:p w14:paraId="44E04678" w14:textId="77777777" w:rsidR="00A10084" w:rsidRPr="00873B6C" w:rsidRDefault="00A10084" w:rsidP="00C9561D">
            <w:pPr>
              <w:pStyle w:val="TAC"/>
            </w:pPr>
          </w:p>
        </w:tc>
        <w:tc>
          <w:tcPr>
            <w:tcW w:w="2126" w:type="dxa"/>
            <w:shd w:val="clear" w:color="auto" w:fill="auto"/>
          </w:tcPr>
          <w:p w14:paraId="6AFC3F9C" w14:textId="77777777" w:rsidR="00A10084" w:rsidRPr="00873B6C" w:rsidRDefault="00A10084" w:rsidP="00C9561D">
            <w:pPr>
              <w:pStyle w:val="TAC"/>
            </w:pPr>
          </w:p>
        </w:tc>
      </w:tr>
      <w:tr w:rsidR="00A10084" w:rsidRPr="00873B6C" w14:paraId="12C0CDB3" w14:textId="77777777" w:rsidTr="00C9561D">
        <w:trPr>
          <w:cantSplit/>
          <w:jc w:val="center"/>
        </w:trPr>
        <w:tc>
          <w:tcPr>
            <w:tcW w:w="3735" w:type="dxa"/>
            <w:shd w:val="clear" w:color="auto" w:fill="auto"/>
          </w:tcPr>
          <w:p w14:paraId="167859AE" w14:textId="77777777" w:rsidR="00A10084" w:rsidRPr="00873B6C" w:rsidRDefault="00A10084" w:rsidP="00C9561D">
            <w:pPr>
              <w:pStyle w:val="TAL"/>
              <w:rPr>
                <w:b/>
              </w:rPr>
            </w:pPr>
            <w:r w:rsidRPr="00873B6C">
              <w:t>Port management capabilities (see NOTE 2)</w:t>
            </w:r>
          </w:p>
        </w:tc>
        <w:tc>
          <w:tcPr>
            <w:tcW w:w="709" w:type="dxa"/>
            <w:shd w:val="clear" w:color="auto" w:fill="auto"/>
          </w:tcPr>
          <w:p w14:paraId="22152A4D" w14:textId="77777777" w:rsidR="00A10084" w:rsidRPr="00873B6C" w:rsidRDefault="00A10084" w:rsidP="00C9561D">
            <w:pPr>
              <w:pStyle w:val="TAC"/>
            </w:pPr>
            <w:r w:rsidRPr="00873B6C">
              <w:t>X</w:t>
            </w:r>
          </w:p>
        </w:tc>
        <w:tc>
          <w:tcPr>
            <w:tcW w:w="708" w:type="dxa"/>
            <w:shd w:val="clear" w:color="auto" w:fill="auto"/>
          </w:tcPr>
          <w:p w14:paraId="21048765" w14:textId="77777777" w:rsidR="00A10084" w:rsidRPr="00873B6C" w:rsidRDefault="00A10084" w:rsidP="00C9561D">
            <w:pPr>
              <w:pStyle w:val="TAC"/>
            </w:pPr>
            <w:r w:rsidRPr="00873B6C">
              <w:t>X</w:t>
            </w:r>
          </w:p>
        </w:tc>
        <w:tc>
          <w:tcPr>
            <w:tcW w:w="1418" w:type="dxa"/>
            <w:shd w:val="clear" w:color="auto" w:fill="auto"/>
          </w:tcPr>
          <w:p w14:paraId="45CAE2BE" w14:textId="77777777" w:rsidR="00A10084" w:rsidRPr="00873B6C" w:rsidRDefault="00A10084" w:rsidP="00C9561D">
            <w:pPr>
              <w:pStyle w:val="TAC"/>
            </w:pPr>
            <w:r w:rsidRPr="00873B6C">
              <w:t>R</w:t>
            </w:r>
          </w:p>
        </w:tc>
        <w:tc>
          <w:tcPr>
            <w:tcW w:w="1338" w:type="dxa"/>
          </w:tcPr>
          <w:p w14:paraId="13695D95" w14:textId="77777777" w:rsidR="00A10084" w:rsidRPr="00873B6C" w:rsidRDefault="00A10084" w:rsidP="00C9561D">
            <w:pPr>
              <w:pStyle w:val="TAC"/>
            </w:pPr>
            <w:r w:rsidRPr="00873B6C">
              <w:t>R</w:t>
            </w:r>
          </w:p>
        </w:tc>
        <w:tc>
          <w:tcPr>
            <w:tcW w:w="2126" w:type="dxa"/>
            <w:shd w:val="clear" w:color="auto" w:fill="auto"/>
          </w:tcPr>
          <w:p w14:paraId="4C37C657" w14:textId="77777777" w:rsidR="00A10084" w:rsidRPr="00873B6C" w:rsidRDefault="00A10084" w:rsidP="00C9561D">
            <w:pPr>
              <w:pStyle w:val="TAC"/>
            </w:pPr>
          </w:p>
        </w:tc>
      </w:tr>
      <w:tr w:rsidR="00A10084" w:rsidRPr="00873B6C" w14:paraId="3653C3AE" w14:textId="77777777" w:rsidTr="00C9561D">
        <w:trPr>
          <w:cantSplit/>
          <w:jc w:val="center"/>
        </w:trPr>
        <w:tc>
          <w:tcPr>
            <w:tcW w:w="3735" w:type="dxa"/>
            <w:shd w:val="clear" w:color="auto" w:fill="auto"/>
          </w:tcPr>
          <w:p w14:paraId="09A01A8E" w14:textId="77777777" w:rsidR="00A10084" w:rsidRPr="00873B6C" w:rsidRDefault="00A10084" w:rsidP="00C9561D">
            <w:pPr>
              <w:pStyle w:val="TAL"/>
            </w:pPr>
            <w:r w:rsidRPr="00873B6C">
              <w:rPr>
                <w:b/>
              </w:rPr>
              <w:t>Bridge delay related information</w:t>
            </w:r>
          </w:p>
        </w:tc>
        <w:tc>
          <w:tcPr>
            <w:tcW w:w="709" w:type="dxa"/>
            <w:shd w:val="clear" w:color="auto" w:fill="auto"/>
          </w:tcPr>
          <w:p w14:paraId="5E277AD9" w14:textId="77777777" w:rsidR="00A10084" w:rsidRPr="00873B6C" w:rsidRDefault="00A10084" w:rsidP="00C9561D">
            <w:pPr>
              <w:pStyle w:val="TAC"/>
            </w:pPr>
          </w:p>
        </w:tc>
        <w:tc>
          <w:tcPr>
            <w:tcW w:w="708" w:type="dxa"/>
            <w:shd w:val="clear" w:color="auto" w:fill="auto"/>
          </w:tcPr>
          <w:p w14:paraId="2BA0B8B1" w14:textId="77777777" w:rsidR="00A10084" w:rsidRPr="00873B6C" w:rsidRDefault="00A10084" w:rsidP="00C9561D">
            <w:pPr>
              <w:pStyle w:val="TAC"/>
            </w:pPr>
          </w:p>
        </w:tc>
        <w:tc>
          <w:tcPr>
            <w:tcW w:w="1418" w:type="dxa"/>
            <w:shd w:val="clear" w:color="auto" w:fill="auto"/>
          </w:tcPr>
          <w:p w14:paraId="4FDA1A51" w14:textId="77777777" w:rsidR="00A10084" w:rsidRPr="00873B6C" w:rsidRDefault="00A10084" w:rsidP="00C9561D">
            <w:pPr>
              <w:pStyle w:val="TAC"/>
            </w:pPr>
          </w:p>
        </w:tc>
        <w:tc>
          <w:tcPr>
            <w:tcW w:w="1338" w:type="dxa"/>
          </w:tcPr>
          <w:p w14:paraId="7D308238" w14:textId="77777777" w:rsidR="00A10084" w:rsidRPr="00873B6C" w:rsidRDefault="00A10084" w:rsidP="00C9561D">
            <w:pPr>
              <w:pStyle w:val="TAC"/>
            </w:pPr>
          </w:p>
        </w:tc>
        <w:tc>
          <w:tcPr>
            <w:tcW w:w="2126" w:type="dxa"/>
            <w:shd w:val="clear" w:color="auto" w:fill="auto"/>
          </w:tcPr>
          <w:p w14:paraId="490094A8" w14:textId="77777777" w:rsidR="00A10084" w:rsidRPr="00873B6C" w:rsidRDefault="00A10084" w:rsidP="00C9561D">
            <w:pPr>
              <w:pStyle w:val="TAC"/>
            </w:pPr>
          </w:p>
        </w:tc>
      </w:tr>
      <w:tr w:rsidR="00A10084" w:rsidRPr="00873B6C" w14:paraId="2B09CA15" w14:textId="77777777" w:rsidTr="00C9561D">
        <w:trPr>
          <w:cantSplit/>
          <w:jc w:val="center"/>
        </w:trPr>
        <w:tc>
          <w:tcPr>
            <w:tcW w:w="3735" w:type="dxa"/>
            <w:shd w:val="clear" w:color="auto" w:fill="auto"/>
          </w:tcPr>
          <w:p w14:paraId="4686AB19" w14:textId="77777777" w:rsidR="00A10084" w:rsidRPr="00873B6C" w:rsidRDefault="00A10084" w:rsidP="00C9561D">
            <w:pPr>
              <w:pStyle w:val="TAL"/>
              <w:rPr>
                <w:b/>
              </w:rPr>
            </w:pPr>
            <w:r w:rsidRPr="00873B6C">
              <w:t>txPropagationDelay</w:t>
            </w:r>
          </w:p>
        </w:tc>
        <w:tc>
          <w:tcPr>
            <w:tcW w:w="709" w:type="dxa"/>
            <w:shd w:val="clear" w:color="auto" w:fill="auto"/>
          </w:tcPr>
          <w:p w14:paraId="375EC376" w14:textId="77777777" w:rsidR="00A10084" w:rsidRPr="00873B6C" w:rsidRDefault="00A10084" w:rsidP="00C9561D">
            <w:pPr>
              <w:pStyle w:val="TAC"/>
            </w:pPr>
            <w:r w:rsidRPr="00873B6C">
              <w:t>X</w:t>
            </w:r>
          </w:p>
        </w:tc>
        <w:tc>
          <w:tcPr>
            <w:tcW w:w="708" w:type="dxa"/>
            <w:shd w:val="clear" w:color="auto" w:fill="auto"/>
          </w:tcPr>
          <w:p w14:paraId="497D567D" w14:textId="77777777" w:rsidR="00A10084" w:rsidRPr="00873B6C" w:rsidRDefault="00A10084" w:rsidP="00C9561D">
            <w:pPr>
              <w:pStyle w:val="TAC"/>
            </w:pPr>
            <w:r w:rsidRPr="00873B6C">
              <w:t>X</w:t>
            </w:r>
          </w:p>
        </w:tc>
        <w:tc>
          <w:tcPr>
            <w:tcW w:w="1418" w:type="dxa"/>
            <w:shd w:val="clear" w:color="auto" w:fill="auto"/>
          </w:tcPr>
          <w:p w14:paraId="686BE455" w14:textId="77777777" w:rsidR="00A10084" w:rsidRPr="00873B6C" w:rsidRDefault="00A10084" w:rsidP="00C9561D">
            <w:pPr>
              <w:pStyle w:val="TAC"/>
            </w:pPr>
            <w:r w:rsidRPr="00873B6C">
              <w:t>R</w:t>
            </w:r>
          </w:p>
        </w:tc>
        <w:tc>
          <w:tcPr>
            <w:tcW w:w="1338" w:type="dxa"/>
          </w:tcPr>
          <w:p w14:paraId="0E237270" w14:textId="77777777" w:rsidR="00A10084" w:rsidRPr="00873B6C" w:rsidRDefault="00A10084" w:rsidP="00C9561D">
            <w:pPr>
              <w:pStyle w:val="TAC"/>
            </w:pPr>
            <w:r w:rsidRPr="00873B6C">
              <w:rPr>
                <w:rFonts w:cs="Arial"/>
              </w:rPr>
              <w:t>-</w:t>
            </w:r>
          </w:p>
        </w:tc>
        <w:tc>
          <w:tcPr>
            <w:tcW w:w="2126" w:type="dxa"/>
            <w:shd w:val="clear" w:color="auto" w:fill="auto"/>
          </w:tcPr>
          <w:p w14:paraId="00E9F933" w14:textId="77777777" w:rsidR="00A10084" w:rsidRPr="00873B6C" w:rsidRDefault="00A10084" w:rsidP="00C9561D">
            <w:pPr>
              <w:pStyle w:val="TAC"/>
            </w:pPr>
            <w:r w:rsidRPr="00873B6C">
              <w:t>IEEE Std 802.1Q [98] clause 12.32.2.1</w:t>
            </w:r>
          </w:p>
        </w:tc>
      </w:tr>
      <w:tr w:rsidR="00A10084" w:rsidRPr="00873B6C" w14:paraId="544BDEAE" w14:textId="77777777" w:rsidTr="00C9561D">
        <w:trPr>
          <w:cantSplit/>
          <w:jc w:val="center"/>
        </w:trPr>
        <w:tc>
          <w:tcPr>
            <w:tcW w:w="3735" w:type="dxa"/>
            <w:shd w:val="clear" w:color="auto" w:fill="auto"/>
          </w:tcPr>
          <w:p w14:paraId="319A5615" w14:textId="77777777" w:rsidR="00A10084" w:rsidRPr="00873B6C" w:rsidRDefault="00A10084" w:rsidP="00C9561D">
            <w:pPr>
              <w:pStyle w:val="TAL"/>
              <w:rPr>
                <w:bCs/>
              </w:rPr>
            </w:pPr>
            <w:r w:rsidRPr="00873B6C">
              <w:rPr>
                <w:bCs/>
              </w:rPr>
              <w:t>txPropagationDelayDeltaThreshold (see NOTE 23)</w:t>
            </w:r>
          </w:p>
        </w:tc>
        <w:tc>
          <w:tcPr>
            <w:tcW w:w="709" w:type="dxa"/>
            <w:shd w:val="clear" w:color="auto" w:fill="auto"/>
          </w:tcPr>
          <w:p w14:paraId="08E5296E" w14:textId="77777777" w:rsidR="00A10084" w:rsidRPr="00873B6C" w:rsidRDefault="00A10084" w:rsidP="00C9561D">
            <w:pPr>
              <w:pStyle w:val="TAC"/>
            </w:pPr>
            <w:r w:rsidRPr="00873B6C">
              <w:t>X</w:t>
            </w:r>
          </w:p>
        </w:tc>
        <w:tc>
          <w:tcPr>
            <w:tcW w:w="708" w:type="dxa"/>
            <w:shd w:val="clear" w:color="auto" w:fill="auto"/>
          </w:tcPr>
          <w:p w14:paraId="5A7308DC" w14:textId="77777777" w:rsidR="00A10084" w:rsidRPr="00873B6C" w:rsidRDefault="00A10084" w:rsidP="00C9561D">
            <w:pPr>
              <w:pStyle w:val="TAC"/>
            </w:pPr>
            <w:r w:rsidRPr="00873B6C">
              <w:t>X</w:t>
            </w:r>
          </w:p>
        </w:tc>
        <w:tc>
          <w:tcPr>
            <w:tcW w:w="1418" w:type="dxa"/>
            <w:shd w:val="clear" w:color="auto" w:fill="auto"/>
          </w:tcPr>
          <w:p w14:paraId="0A27C258" w14:textId="77777777" w:rsidR="00A10084" w:rsidRPr="00873B6C" w:rsidRDefault="00A10084" w:rsidP="00C9561D">
            <w:pPr>
              <w:pStyle w:val="TAC"/>
            </w:pPr>
            <w:r w:rsidRPr="00873B6C">
              <w:t>RW</w:t>
            </w:r>
          </w:p>
        </w:tc>
        <w:tc>
          <w:tcPr>
            <w:tcW w:w="1338" w:type="dxa"/>
          </w:tcPr>
          <w:p w14:paraId="325760AB" w14:textId="77777777" w:rsidR="00A10084" w:rsidRPr="00873B6C" w:rsidRDefault="00A10084" w:rsidP="00C9561D">
            <w:pPr>
              <w:pStyle w:val="TAC"/>
            </w:pPr>
          </w:p>
        </w:tc>
        <w:tc>
          <w:tcPr>
            <w:tcW w:w="2126" w:type="dxa"/>
            <w:shd w:val="clear" w:color="auto" w:fill="auto"/>
          </w:tcPr>
          <w:p w14:paraId="5D244A86" w14:textId="77777777" w:rsidR="00A10084" w:rsidRPr="00873B6C" w:rsidRDefault="00A10084" w:rsidP="00C9561D">
            <w:pPr>
              <w:pStyle w:val="TAC"/>
            </w:pPr>
          </w:p>
        </w:tc>
      </w:tr>
      <w:tr w:rsidR="00A10084" w:rsidRPr="00873B6C" w14:paraId="30D5AC86" w14:textId="77777777" w:rsidTr="00C9561D">
        <w:trPr>
          <w:cantSplit/>
          <w:jc w:val="center"/>
        </w:trPr>
        <w:tc>
          <w:tcPr>
            <w:tcW w:w="3735" w:type="dxa"/>
            <w:shd w:val="clear" w:color="auto" w:fill="auto"/>
          </w:tcPr>
          <w:p w14:paraId="7DAA978B" w14:textId="77777777" w:rsidR="00A10084" w:rsidRPr="00873B6C" w:rsidRDefault="00A10084" w:rsidP="00C9561D">
            <w:pPr>
              <w:pStyle w:val="TAL"/>
            </w:pPr>
            <w:r w:rsidRPr="00873B6C">
              <w:rPr>
                <w:b/>
              </w:rPr>
              <w:t>Traffic class related information</w:t>
            </w:r>
          </w:p>
        </w:tc>
        <w:tc>
          <w:tcPr>
            <w:tcW w:w="709" w:type="dxa"/>
            <w:shd w:val="clear" w:color="auto" w:fill="auto"/>
          </w:tcPr>
          <w:p w14:paraId="1484A3A3" w14:textId="77777777" w:rsidR="00A10084" w:rsidRPr="00873B6C" w:rsidRDefault="00A10084" w:rsidP="00C9561D">
            <w:pPr>
              <w:pStyle w:val="TAC"/>
            </w:pPr>
          </w:p>
        </w:tc>
        <w:tc>
          <w:tcPr>
            <w:tcW w:w="708" w:type="dxa"/>
            <w:shd w:val="clear" w:color="auto" w:fill="auto"/>
          </w:tcPr>
          <w:p w14:paraId="3F866CAC" w14:textId="77777777" w:rsidR="00A10084" w:rsidRPr="00873B6C" w:rsidRDefault="00A10084" w:rsidP="00C9561D">
            <w:pPr>
              <w:pStyle w:val="TAC"/>
            </w:pPr>
          </w:p>
        </w:tc>
        <w:tc>
          <w:tcPr>
            <w:tcW w:w="1418" w:type="dxa"/>
            <w:shd w:val="clear" w:color="auto" w:fill="auto"/>
          </w:tcPr>
          <w:p w14:paraId="2303CEC3" w14:textId="77777777" w:rsidR="00A10084" w:rsidRPr="00873B6C" w:rsidRDefault="00A10084" w:rsidP="00C9561D">
            <w:pPr>
              <w:pStyle w:val="TAC"/>
            </w:pPr>
          </w:p>
        </w:tc>
        <w:tc>
          <w:tcPr>
            <w:tcW w:w="1338" w:type="dxa"/>
          </w:tcPr>
          <w:p w14:paraId="641FE53B" w14:textId="77777777" w:rsidR="00A10084" w:rsidRPr="00873B6C" w:rsidRDefault="00A10084" w:rsidP="00C9561D">
            <w:pPr>
              <w:pStyle w:val="TAC"/>
            </w:pPr>
          </w:p>
        </w:tc>
        <w:tc>
          <w:tcPr>
            <w:tcW w:w="2126" w:type="dxa"/>
            <w:shd w:val="clear" w:color="auto" w:fill="auto"/>
          </w:tcPr>
          <w:p w14:paraId="36A9F2D5" w14:textId="77777777" w:rsidR="00A10084" w:rsidRPr="00873B6C" w:rsidRDefault="00A10084" w:rsidP="00C9561D">
            <w:pPr>
              <w:pStyle w:val="TAC"/>
            </w:pPr>
          </w:p>
        </w:tc>
      </w:tr>
      <w:tr w:rsidR="00A10084" w:rsidRPr="00873B6C" w14:paraId="525583C4" w14:textId="77777777" w:rsidTr="00C9561D">
        <w:trPr>
          <w:cantSplit/>
          <w:jc w:val="center"/>
        </w:trPr>
        <w:tc>
          <w:tcPr>
            <w:tcW w:w="3735" w:type="dxa"/>
            <w:shd w:val="clear" w:color="auto" w:fill="auto"/>
          </w:tcPr>
          <w:p w14:paraId="10484DAD" w14:textId="77777777" w:rsidR="00A10084" w:rsidRPr="00873B6C" w:rsidRDefault="00A10084" w:rsidP="00C9561D">
            <w:pPr>
              <w:pStyle w:val="TAL"/>
              <w:rPr>
                <w:b/>
              </w:rPr>
            </w:pPr>
            <w:r w:rsidRPr="00873B6C">
              <w:t>Traffic class table</w:t>
            </w:r>
          </w:p>
        </w:tc>
        <w:tc>
          <w:tcPr>
            <w:tcW w:w="709" w:type="dxa"/>
            <w:shd w:val="clear" w:color="auto" w:fill="auto"/>
          </w:tcPr>
          <w:p w14:paraId="40D893C7" w14:textId="77777777" w:rsidR="00A10084" w:rsidRPr="00873B6C" w:rsidRDefault="00A10084" w:rsidP="00C9561D">
            <w:pPr>
              <w:pStyle w:val="TAC"/>
            </w:pPr>
            <w:r w:rsidRPr="00873B6C">
              <w:t>X</w:t>
            </w:r>
          </w:p>
        </w:tc>
        <w:tc>
          <w:tcPr>
            <w:tcW w:w="708" w:type="dxa"/>
            <w:shd w:val="clear" w:color="auto" w:fill="auto"/>
          </w:tcPr>
          <w:p w14:paraId="4FAA2065" w14:textId="77777777" w:rsidR="00A10084" w:rsidRPr="00873B6C" w:rsidRDefault="00A10084" w:rsidP="00C9561D">
            <w:pPr>
              <w:pStyle w:val="TAC"/>
            </w:pPr>
            <w:r w:rsidRPr="00873B6C">
              <w:t>X</w:t>
            </w:r>
          </w:p>
        </w:tc>
        <w:tc>
          <w:tcPr>
            <w:tcW w:w="1418" w:type="dxa"/>
            <w:shd w:val="clear" w:color="auto" w:fill="auto"/>
          </w:tcPr>
          <w:p w14:paraId="4CA99A22" w14:textId="77777777" w:rsidR="00A10084" w:rsidRPr="00873B6C" w:rsidRDefault="00A10084" w:rsidP="00C9561D">
            <w:pPr>
              <w:pStyle w:val="TAC"/>
            </w:pPr>
            <w:r w:rsidRPr="00873B6C">
              <w:t>RW</w:t>
            </w:r>
          </w:p>
        </w:tc>
        <w:tc>
          <w:tcPr>
            <w:tcW w:w="1338" w:type="dxa"/>
          </w:tcPr>
          <w:p w14:paraId="218AE338" w14:textId="77777777" w:rsidR="00A10084" w:rsidRPr="00873B6C" w:rsidRDefault="00A10084" w:rsidP="00C9561D">
            <w:pPr>
              <w:pStyle w:val="TAC"/>
            </w:pPr>
            <w:r w:rsidRPr="00873B6C">
              <w:rPr>
                <w:rFonts w:cs="Arial"/>
              </w:rPr>
              <w:t>-</w:t>
            </w:r>
          </w:p>
        </w:tc>
        <w:tc>
          <w:tcPr>
            <w:tcW w:w="2126" w:type="dxa"/>
            <w:shd w:val="clear" w:color="auto" w:fill="auto"/>
          </w:tcPr>
          <w:p w14:paraId="683B9F27" w14:textId="77777777" w:rsidR="00A10084" w:rsidRPr="00873B6C" w:rsidRDefault="00A10084" w:rsidP="00C9561D">
            <w:pPr>
              <w:pStyle w:val="TAC"/>
            </w:pPr>
            <w:r w:rsidRPr="00873B6C">
              <w:t>IEEE Std 802.1Q [98] clause 12.6.3 and clause 8.6.6.</w:t>
            </w:r>
          </w:p>
        </w:tc>
      </w:tr>
      <w:tr w:rsidR="00A10084" w:rsidRPr="00873B6C" w14:paraId="101E766D" w14:textId="77777777" w:rsidTr="00C9561D">
        <w:trPr>
          <w:cantSplit/>
          <w:jc w:val="center"/>
        </w:trPr>
        <w:tc>
          <w:tcPr>
            <w:tcW w:w="3735" w:type="dxa"/>
            <w:shd w:val="clear" w:color="auto" w:fill="auto"/>
          </w:tcPr>
          <w:p w14:paraId="35ACE5EC" w14:textId="77777777" w:rsidR="00A10084" w:rsidRPr="00873B6C" w:rsidRDefault="00A10084" w:rsidP="00C9561D">
            <w:pPr>
              <w:pStyle w:val="TAL"/>
            </w:pPr>
            <w:r w:rsidRPr="00873B6C">
              <w:rPr>
                <w:b/>
              </w:rPr>
              <w:t>Gate control information</w:t>
            </w:r>
          </w:p>
        </w:tc>
        <w:tc>
          <w:tcPr>
            <w:tcW w:w="709" w:type="dxa"/>
            <w:shd w:val="clear" w:color="auto" w:fill="auto"/>
          </w:tcPr>
          <w:p w14:paraId="44FD61E8" w14:textId="77777777" w:rsidR="00A10084" w:rsidRPr="00873B6C" w:rsidRDefault="00A10084" w:rsidP="00C9561D">
            <w:pPr>
              <w:pStyle w:val="TAC"/>
            </w:pPr>
          </w:p>
        </w:tc>
        <w:tc>
          <w:tcPr>
            <w:tcW w:w="708" w:type="dxa"/>
            <w:shd w:val="clear" w:color="auto" w:fill="auto"/>
          </w:tcPr>
          <w:p w14:paraId="47A1CC96" w14:textId="77777777" w:rsidR="00A10084" w:rsidRPr="00873B6C" w:rsidRDefault="00A10084" w:rsidP="00C9561D">
            <w:pPr>
              <w:pStyle w:val="TAC"/>
            </w:pPr>
          </w:p>
        </w:tc>
        <w:tc>
          <w:tcPr>
            <w:tcW w:w="1418" w:type="dxa"/>
            <w:shd w:val="clear" w:color="auto" w:fill="auto"/>
          </w:tcPr>
          <w:p w14:paraId="25325F06" w14:textId="77777777" w:rsidR="00A10084" w:rsidRPr="00873B6C" w:rsidRDefault="00A10084" w:rsidP="00C9561D">
            <w:pPr>
              <w:pStyle w:val="TAC"/>
            </w:pPr>
          </w:p>
        </w:tc>
        <w:tc>
          <w:tcPr>
            <w:tcW w:w="1338" w:type="dxa"/>
          </w:tcPr>
          <w:p w14:paraId="18743C6E" w14:textId="77777777" w:rsidR="00A10084" w:rsidRPr="00873B6C" w:rsidRDefault="00A10084" w:rsidP="00C9561D">
            <w:pPr>
              <w:pStyle w:val="TAC"/>
            </w:pPr>
          </w:p>
        </w:tc>
        <w:tc>
          <w:tcPr>
            <w:tcW w:w="2126" w:type="dxa"/>
            <w:shd w:val="clear" w:color="auto" w:fill="auto"/>
          </w:tcPr>
          <w:p w14:paraId="3E3EF3DF" w14:textId="77777777" w:rsidR="00A10084" w:rsidRPr="00873B6C" w:rsidRDefault="00A10084" w:rsidP="00C9561D">
            <w:pPr>
              <w:pStyle w:val="TAC"/>
            </w:pPr>
          </w:p>
        </w:tc>
      </w:tr>
      <w:tr w:rsidR="007E4CBA" w:rsidRPr="00873B6C" w14:paraId="7DB006DF" w14:textId="77777777" w:rsidTr="00C9561D">
        <w:trPr>
          <w:cantSplit/>
          <w:jc w:val="center"/>
        </w:trPr>
        <w:tc>
          <w:tcPr>
            <w:tcW w:w="3735" w:type="dxa"/>
            <w:shd w:val="clear" w:color="auto" w:fill="auto"/>
          </w:tcPr>
          <w:p w14:paraId="2490D029" w14:textId="0215A552" w:rsidR="007E4CBA" w:rsidRPr="00873B6C" w:rsidRDefault="007E4CBA" w:rsidP="00C9561D">
            <w:pPr>
              <w:pStyle w:val="TAL"/>
            </w:pPr>
            <w:r w:rsidRPr="00873B6C">
              <w:t>queueMaxSDUTable</w:t>
            </w:r>
          </w:p>
        </w:tc>
        <w:tc>
          <w:tcPr>
            <w:tcW w:w="709" w:type="dxa"/>
            <w:shd w:val="clear" w:color="auto" w:fill="auto"/>
          </w:tcPr>
          <w:p w14:paraId="628E7A0D" w14:textId="1266D9E7" w:rsidR="007E4CBA" w:rsidRPr="00873B6C" w:rsidRDefault="007E4CBA" w:rsidP="00C9561D">
            <w:pPr>
              <w:pStyle w:val="TAC"/>
            </w:pPr>
          </w:p>
        </w:tc>
        <w:tc>
          <w:tcPr>
            <w:tcW w:w="708" w:type="dxa"/>
            <w:shd w:val="clear" w:color="auto" w:fill="auto"/>
          </w:tcPr>
          <w:p w14:paraId="0EED37AA" w14:textId="079FA418" w:rsidR="007E4CBA" w:rsidRPr="00873B6C" w:rsidRDefault="007E4CBA" w:rsidP="00C9561D">
            <w:pPr>
              <w:pStyle w:val="TAC"/>
            </w:pPr>
          </w:p>
        </w:tc>
        <w:tc>
          <w:tcPr>
            <w:tcW w:w="1418" w:type="dxa"/>
            <w:shd w:val="clear" w:color="auto" w:fill="auto"/>
          </w:tcPr>
          <w:p w14:paraId="3D7D40A9" w14:textId="126D5697" w:rsidR="007E4CBA" w:rsidRPr="00873B6C" w:rsidRDefault="007E4CBA" w:rsidP="00C9561D">
            <w:pPr>
              <w:pStyle w:val="TAC"/>
            </w:pPr>
          </w:p>
        </w:tc>
        <w:tc>
          <w:tcPr>
            <w:tcW w:w="1338" w:type="dxa"/>
          </w:tcPr>
          <w:p w14:paraId="09266D50" w14:textId="2296E8CA" w:rsidR="007E4CBA" w:rsidRPr="00873B6C" w:rsidRDefault="007E4CBA" w:rsidP="00C9561D">
            <w:pPr>
              <w:pStyle w:val="TAC"/>
            </w:pPr>
          </w:p>
        </w:tc>
        <w:tc>
          <w:tcPr>
            <w:tcW w:w="2126" w:type="dxa"/>
            <w:shd w:val="clear" w:color="auto" w:fill="auto"/>
          </w:tcPr>
          <w:p w14:paraId="223C4857" w14:textId="57B8C499" w:rsidR="007E4CBA" w:rsidRPr="00873B6C" w:rsidRDefault="007E4CBA" w:rsidP="00C9561D">
            <w:pPr>
              <w:pStyle w:val="TAC"/>
            </w:pPr>
            <w:r w:rsidRPr="00873B6C">
              <w:t>IEEE Std 802.1Q [98], clause 12.29.1</w:t>
            </w:r>
          </w:p>
        </w:tc>
      </w:tr>
      <w:tr w:rsidR="007E4CBA" w:rsidRPr="00873B6C" w14:paraId="5D935A6E" w14:textId="77777777" w:rsidTr="00C9561D">
        <w:trPr>
          <w:cantSplit/>
          <w:jc w:val="center"/>
        </w:trPr>
        <w:tc>
          <w:tcPr>
            <w:tcW w:w="3735" w:type="dxa"/>
            <w:shd w:val="clear" w:color="auto" w:fill="auto"/>
          </w:tcPr>
          <w:p w14:paraId="65048DF9" w14:textId="2BBB3B00" w:rsidR="007E4CBA" w:rsidRPr="00873B6C" w:rsidRDefault="007E4CBA" w:rsidP="007E4CBA">
            <w:pPr>
              <w:pStyle w:val="TAL"/>
            </w:pPr>
            <w:r w:rsidRPr="00873B6C">
              <w:t>&gt; queueMaxSDU</w:t>
            </w:r>
          </w:p>
        </w:tc>
        <w:tc>
          <w:tcPr>
            <w:tcW w:w="709" w:type="dxa"/>
            <w:shd w:val="clear" w:color="auto" w:fill="auto"/>
          </w:tcPr>
          <w:p w14:paraId="7AC7781F" w14:textId="41933F0D" w:rsidR="007E4CBA" w:rsidRPr="00873B6C" w:rsidRDefault="007E4CBA" w:rsidP="007E4CBA">
            <w:pPr>
              <w:pStyle w:val="TAC"/>
            </w:pPr>
            <w:r w:rsidRPr="00873B6C">
              <w:t>X</w:t>
            </w:r>
          </w:p>
        </w:tc>
        <w:tc>
          <w:tcPr>
            <w:tcW w:w="708" w:type="dxa"/>
            <w:shd w:val="clear" w:color="auto" w:fill="auto"/>
          </w:tcPr>
          <w:p w14:paraId="51584854" w14:textId="48E69A22" w:rsidR="007E4CBA" w:rsidRPr="00873B6C" w:rsidRDefault="007E4CBA" w:rsidP="007E4CBA">
            <w:pPr>
              <w:pStyle w:val="TAC"/>
            </w:pPr>
            <w:r w:rsidRPr="00873B6C">
              <w:t>X</w:t>
            </w:r>
          </w:p>
        </w:tc>
        <w:tc>
          <w:tcPr>
            <w:tcW w:w="1418" w:type="dxa"/>
            <w:shd w:val="clear" w:color="auto" w:fill="auto"/>
          </w:tcPr>
          <w:p w14:paraId="42DB9D26" w14:textId="51B3DDF9" w:rsidR="007E4CBA" w:rsidRPr="00873B6C" w:rsidRDefault="007E4CBA" w:rsidP="007E4CBA">
            <w:pPr>
              <w:pStyle w:val="TAC"/>
            </w:pPr>
            <w:r w:rsidRPr="00873B6C">
              <w:t>RW</w:t>
            </w:r>
          </w:p>
        </w:tc>
        <w:tc>
          <w:tcPr>
            <w:tcW w:w="1338" w:type="dxa"/>
          </w:tcPr>
          <w:p w14:paraId="7E28A473" w14:textId="2CFECA86" w:rsidR="007E4CBA" w:rsidRPr="00873B6C" w:rsidRDefault="007E4CBA" w:rsidP="007E4CBA">
            <w:pPr>
              <w:pStyle w:val="TAC"/>
            </w:pPr>
          </w:p>
        </w:tc>
        <w:tc>
          <w:tcPr>
            <w:tcW w:w="2126" w:type="dxa"/>
            <w:shd w:val="clear" w:color="auto" w:fill="auto"/>
          </w:tcPr>
          <w:p w14:paraId="7839D453" w14:textId="35BCFD69" w:rsidR="007E4CBA" w:rsidRPr="00873B6C" w:rsidRDefault="007E4CBA" w:rsidP="007E4CBA">
            <w:pPr>
              <w:pStyle w:val="TAC"/>
            </w:pPr>
            <w:r w:rsidRPr="00873B6C">
              <w:t>IEEE Std 802.1Q [98], clause 12.29.1</w:t>
            </w:r>
          </w:p>
        </w:tc>
      </w:tr>
      <w:tr w:rsidR="007E4CBA" w:rsidRPr="00873B6C" w14:paraId="520F12C7" w14:textId="77777777" w:rsidTr="00C9561D">
        <w:trPr>
          <w:cantSplit/>
          <w:jc w:val="center"/>
        </w:trPr>
        <w:tc>
          <w:tcPr>
            <w:tcW w:w="3735" w:type="dxa"/>
            <w:shd w:val="clear" w:color="auto" w:fill="auto"/>
          </w:tcPr>
          <w:p w14:paraId="7901058D" w14:textId="3BBB17F3" w:rsidR="007E4CBA" w:rsidRPr="00873B6C" w:rsidRDefault="007E4CBA" w:rsidP="007E4CBA">
            <w:pPr>
              <w:pStyle w:val="TAL"/>
            </w:pPr>
            <w:r w:rsidRPr="00873B6C">
              <w:t>&gt; TransmissionOverrun (see NOTE 3)</w:t>
            </w:r>
          </w:p>
        </w:tc>
        <w:tc>
          <w:tcPr>
            <w:tcW w:w="709" w:type="dxa"/>
            <w:shd w:val="clear" w:color="auto" w:fill="auto"/>
          </w:tcPr>
          <w:p w14:paraId="373ED906" w14:textId="5375AB29" w:rsidR="007E4CBA" w:rsidRPr="00873B6C" w:rsidRDefault="007E4CBA" w:rsidP="007E4CBA">
            <w:pPr>
              <w:pStyle w:val="TAC"/>
            </w:pPr>
            <w:r w:rsidRPr="00873B6C">
              <w:t>X</w:t>
            </w:r>
          </w:p>
        </w:tc>
        <w:tc>
          <w:tcPr>
            <w:tcW w:w="708" w:type="dxa"/>
            <w:shd w:val="clear" w:color="auto" w:fill="auto"/>
          </w:tcPr>
          <w:p w14:paraId="01189D1D" w14:textId="64342E84" w:rsidR="007E4CBA" w:rsidRPr="00873B6C" w:rsidRDefault="007E4CBA" w:rsidP="007E4CBA">
            <w:pPr>
              <w:pStyle w:val="TAC"/>
            </w:pPr>
            <w:r w:rsidRPr="00873B6C">
              <w:t>X</w:t>
            </w:r>
          </w:p>
        </w:tc>
        <w:tc>
          <w:tcPr>
            <w:tcW w:w="1418" w:type="dxa"/>
            <w:shd w:val="clear" w:color="auto" w:fill="auto"/>
          </w:tcPr>
          <w:p w14:paraId="28502486" w14:textId="40E96A00" w:rsidR="007E4CBA" w:rsidRPr="00873B6C" w:rsidRDefault="007E4CBA" w:rsidP="007E4CBA">
            <w:pPr>
              <w:pStyle w:val="TAC"/>
            </w:pPr>
            <w:r w:rsidRPr="00873B6C">
              <w:t>R</w:t>
            </w:r>
          </w:p>
        </w:tc>
        <w:tc>
          <w:tcPr>
            <w:tcW w:w="1338" w:type="dxa"/>
          </w:tcPr>
          <w:p w14:paraId="2595EAFF" w14:textId="330A21EE" w:rsidR="007E4CBA" w:rsidRPr="00873B6C" w:rsidRDefault="007E4CBA" w:rsidP="007E4CBA">
            <w:pPr>
              <w:pStyle w:val="TAC"/>
            </w:pPr>
          </w:p>
        </w:tc>
        <w:tc>
          <w:tcPr>
            <w:tcW w:w="2126" w:type="dxa"/>
            <w:shd w:val="clear" w:color="auto" w:fill="auto"/>
          </w:tcPr>
          <w:p w14:paraId="0364EE1A" w14:textId="715E0A20" w:rsidR="007E4CBA" w:rsidRPr="00873B6C" w:rsidRDefault="007E4CBA" w:rsidP="007E4CBA">
            <w:pPr>
              <w:pStyle w:val="TAC"/>
            </w:pPr>
            <w:r w:rsidRPr="00873B6C">
              <w:t>IEEE Std 802.1Q [98], clause 12.29.1</w:t>
            </w:r>
          </w:p>
        </w:tc>
      </w:tr>
      <w:tr w:rsidR="007E4CBA" w:rsidRPr="00873B6C" w14:paraId="1F03E3DB" w14:textId="77777777" w:rsidTr="00C9561D">
        <w:trPr>
          <w:cantSplit/>
          <w:jc w:val="center"/>
        </w:trPr>
        <w:tc>
          <w:tcPr>
            <w:tcW w:w="3735" w:type="dxa"/>
            <w:shd w:val="clear" w:color="auto" w:fill="auto"/>
          </w:tcPr>
          <w:p w14:paraId="7BB1E0DA" w14:textId="77777777" w:rsidR="007E4CBA" w:rsidRPr="00873B6C" w:rsidRDefault="007E4CBA" w:rsidP="007E4CBA">
            <w:pPr>
              <w:pStyle w:val="TAL"/>
              <w:rPr>
                <w:b/>
              </w:rPr>
            </w:pPr>
            <w:r w:rsidRPr="00873B6C">
              <w:t>GateEnabled</w:t>
            </w:r>
          </w:p>
        </w:tc>
        <w:tc>
          <w:tcPr>
            <w:tcW w:w="709" w:type="dxa"/>
            <w:shd w:val="clear" w:color="auto" w:fill="auto"/>
          </w:tcPr>
          <w:p w14:paraId="720C004E" w14:textId="77777777" w:rsidR="007E4CBA" w:rsidRPr="00873B6C" w:rsidRDefault="007E4CBA" w:rsidP="007E4CBA">
            <w:pPr>
              <w:pStyle w:val="TAC"/>
            </w:pPr>
            <w:r w:rsidRPr="00873B6C">
              <w:t>X</w:t>
            </w:r>
          </w:p>
        </w:tc>
        <w:tc>
          <w:tcPr>
            <w:tcW w:w="708" w:type="dxa"/>
            <w:shd w:val="clear" w:color="auto" w:fill="auto"/>
          </w:tcPr>
          <w:p w14:paraId="5174ACF1" w14:textId="77777777" w:rsidR="007E4CBA" w:rsidRPr="00873B6C" w:rsidRDefault="007E4CBA" w:rsidP="007E4CBA">
            <w:pPr>
              <w:pStyle w:val="TAC"/>
            </w:pPr>
            <w:r w:rsidRPr="00873B6C">
              <w:t>X</w:t>
            </w:r>
          </w:p>
        </w:tc>
        <w:tc>
          <w:tcPr>
            <w:tcW w:w="1418" w:type="dxa"/>
            <w:shd w:val="clear" w:color="auto" w:fill="auto"/>
          </w:tcPr>
          <w:p w14:paraId="041B7617" w14:textId="77777777" w:rsidR="007E4CBA" w:rsidRPr="00873B6C" w:rsidRDefault="007E4CBA" w:rsidP="007E4CBA">
            <w:pPr>
              <w:pStyle w:val="TAC"/>
            </w:pPr>
            <w:r w:rsidRPr="00873B6C">
              <w:t>RW</w:t>
            </w:r>
          </w:p>
        </w:tc>
        <w:tc>
          <w:tcPr>
            <w:tcW w:w="1338" w:type="dxa"/>
          </w:tcPr>
          <w:p w14:paraId="2C8E1059" w14:textId="77777777" w:rsidR="007E4CBA" w:rsidRPr="00873B6C" w:rsidRDefault="007E4CBA" w:rsidP="007E4CBA">
            <w:pPr>
              <w:pStyle w:val="TAC"/>
            </w:pPr>
            <w:r w:rsidRPr="00873B6C">
              <w:t>-</w:t>
            </w:r>
          </w:p>
        </w:tc>
        <w:tc>
          <w:tcPr>
            <w:tcW w:w="2126" w:type="dxa"/>
            <w:shd w:val="clear" w:color="auto" w:fill="auto"/>
          </w:tcPr>
          <w:p w14:paraId="6115DE74" w14:textId="77777777" w:rsidR="007E4CBA" w:rsidRPr="00873B6C" w:rsidRDefault="007E4CBA" w:rsidP="007E4CBA">
            <w:pPr>
              <w:pStyle w:val="TAC"/>
            </w:pPr>
            <w:r w:rsidRPr="00873B6C">
              <w:t>IEEE Std 802.1Q [98] Table 12-32</w:t>
            </w:r>
          </w:p>
        </w:tc>
      </w:tr>
      <w:tr w:rsidR="007E4CBA" w:rsidRPr="00873B6C" w14:paraId="4E343661" w14:textId="77777777" w:rsidTr="00C9561D">
        <w:trPr>
          <w:cantSplit/>
          <w:jc w:val="center"/>
        </w:trPr>
        <w:tc>
          <w:tcPr>
            <w:tcW w:w="3735" w:type="dxa"/>
            <w:shd w:val="clear" w:color="auto" w:fill="auto"/>
          </w:tcPr>
          <w:p w14:paraId="523A825C" w14:textId="46CC4C8E" w:rsidR="007E4CBA" w:rsidRPr="00873B6C" w:rsidRDefault="007E4CBA" w:rsidP="007E4CBA">
            <w:pPr>
              <w:pStyle w:val="TAL"/>
            </w:pPr>
            <w:r w:rsidRPr="00873B6C">
              <w:t>AdminGateStates</w:t>
            </w:r>
          </w:p>
        </w:tc>
        <w:tc>
          <w:tcPr>
            <w:tcW w:w="709" w:type="dxa"/>
            <w:shd w:val="clear" w:color="auto" w:fill="auto"/>
          </w:tcPr>
          <w:p w14:paraId="29A7F76A" w14:textId="5CD8D6BF" w:rsidR="007E4CBA" w:rsidRPr="00873B6C" w:rsidRDefault="007E4CBA" w:rsidP="007E4CBA">
            <w:pPr>
              <w:pStyle w:val="TAC"/>
            </w:pPr>
            <w:r w:rsidRPr="00873B6C">
              <w:t>X</w:t>
            </w:r>
          </w:p>
        </w:tc>
        <w:tc>
          <w:tcPr>
            <w:tcW w:w="708" w:type="dxa"/>
            <w:shd w:val="clear" w:color="auto" w:fill="auto"/>
          </w:tcPr>
          <w:p w14:paraId="2BCB57E1" w14:textId="05B332F5" w:rsidR="007E4CBA" w:rsidRPr="00873B6C" w:rsidRDefault="007E4CBA" w:rsidP="007E4CBA">
            <w:pPr>
              <w:pStyle w:val="TAC"/>
            </w:pPr>
            <w:r w:rsidRPr="00873B6C">
              <w:t>X</w:t>
            </w:r>
          </w:p>
        </w:tc>
        <w:tc>
          <w:tcPr>
            <w:tcW w:w="1418" w:type="dxa"/>
            <w:shd w:val="clear" w:color="auto" w:fill="auto"/>
          </w:tcPr>
          <w:p w14:paraId="32F71952" w14:textId="46B6A51D" w:rsidR="007E4CBA" w:rsidRPr="00873B6C" w:rsidRDefault="007E4CBA" w:rsidP="007E4CBA">
            <w:pPr>
              <w:pStyle w:val="TAC"/>
            </w:pPr>
            <w:r w:rsidRPr="00873B6C">
              <w:t>RW</w:t>
            </w:r>
          </w:p>
        </w:tc>
        <w:tc>
          <w:tcPr>
            <w:tcW w:w="1338" w:type="dxa"/>
          </w:tcPr>
          <w:p w14:paraId="4C933CAC" w14:textId="77777777" w:rsidR="007E4CBA" w:rsidRPr="00873B6C" w:rsidRDefault="007E4CBA" w:rsidP="007E4CBA">
            <w:pPr>
              <w:pStyle w:val="TAC"/>
            </w:pPr>
          </w:p>
        </w:tc>
        <w:tc>
          <w:tcPr>
            <w:tcW w:w="2126" w:type="dxa"/>
            <w:shd w:val="clear" w:color="auto" w:fill="auto"/>
          </w:tcPr>
          <w:p w14:paraId="478B832D" w14:textId="684CE2C0" w:rsidR="007E4CBA" w:rsidRPr="00873B6C" w:rsidRDefault="007E4CBA" w:rsidP="007E4CBA">
            <w:pPr>
              <w:pStyle w:val="TAC"/>
            </w:pPr>
            <w:r w:rsidRPr="00873B6C">
              <w:t>IEEE Std 802.1Q [98] Table 12-32</w:t>
            </w:r>
          </w:p>
        </w:tc>
      </w:tr>
      <w:tr w:rsidR="007E4CBA" w:rsidRPr="00873B6C" w14:paraId="2A4A9DAF" w14:textId="77777777" w:rsidTr="00C9561D">
        <w:trPr>
          <w:cantSplit/>
          <w:jc w:val="center"/>
        </w:trPr>
        <w:tc>
          <w:tcPr>
            <w:tcW w:w="3735" w:type="dxa"/>
            <w:shd w:val="clear" w:color="auto" w:fill="auto"/>
          </w:tcPr>
          <w:p w14:paraId="7349089F" w14:textId="77777777" w:rsidR="007E4CBA" w:rsidRPr="00873B6C" w:rsidRDefault="007E4CBA" w:rsidP="007E4CBA">
            <w:pPr>
              <w:pStyle w:val="TAL"/>
            </w:pPr>
            <w:r w:rsidRPr="00873B6C">
              <w:t>AdminBaseTime</w:t>
            </w:r>
          </w:p>
        </w:tc>
        <w:tc>
          <w:tcPr>
            <w:tcW w:w="709" w:type="dxa"/>
            <w:shd w:val="clear" w:color="auto" w:fill="auto"/>
          </w:tcPr>
          <w:p w14:paraId="53DCA137" w14:textId="77777777" w:rsidR="007E4CBA" w:rsidRPr="00873B6C" w:rsidRDefault="007E4CBA" w:rsidP="007E4CBA">
            <w:pPr>
              <w:pStyle w:val="TAC"/>
            </w:pPr>
            <w:r w:rsidRPr="00873B6C">
              <w:t>X</w:t>
            </w:r>
          </w:p>
        </w:tc>
        <w:tc>
          <w:tcPr>
            <w:tcW w:w="708" w:type="dxa"/>
            <w:shd w:val="clear" w:color="auto" w:fill="auto"/>
          </w:tcPr>
          <w:p w14:paraId="522192B9" w14:textId="77777777" w:rsidR="007E4CBA" w:rsidRPr="00873B6C" w:rsidRDefault="007E4CBA" w:rsidP="007E4CBA">
            <w:pPr>
              <w:pStyle w:val="TAC"/>
            </w:pPr>
            <w:r w:rsidRPr="00873B6C">
              <w:t>X</w:t>
            </w:r>
          </w:p>
        </w:tc>
        <w:tc>
          <w:tcPr>
            <w:tcW w:w="1418" w:type="dxa"/>
            <w:shd w:val="clear" w:color="auto" w:fill="auto"/>
          </w:tcPr>
          <w:p w14:paraId="6D069194" w14:textId="77777777" w:rsidR="007E4CBA" w:rsidRPr="00873B6C" w:rsidRDefault="007E4CBA" w:rsidP="007E4CBA">
            <w:pPr>
              <w:pStyle w:val="TAC"/>
            </w:pPr>
            <w:r w:rsidRPr="00873B6C">
              <w:t>RW</w:t>
            </w:r>
          </w:p>
        </w:tc>
        <w:tc>
          <w:tcPr>
            <w:tcW w:w="1338" w:type="dxa"/>
          </w:tcPr>
          <w:p w14:paraId="300BDAD2" w14:textId="77777777" w:rsidR="007E4CBA" w:rsidRPr="00873B6C" w:rsidRDefault="007E4CBA" w:rsidP="007E4CBA">
            <w:pPr>
              <w:pStyle w:val="TAC"/>
            </w:pPr>
            <w:r w:rsidRPr="00873B6C">
              <w:t>-</w:t>
            </w:r>
          </w:p>
        </w:tc>
        <w:tc>
          <w:tcPr>
            <w:tcW w:w="2126" w:type="dxa"/>
            <w:shd w:val="clear" w:color="auto" w:fill="auto"/>
          </w:tcPr>
          <w:p w14:paraId="51D66E19" w14:textId="77777777" w:rsidR="007E4CBA" w:rsidRPr="00873B6C" w:rsidRDefault="007E4CBA" w:rsidP="007E4CBA">
            <w:pPr>
              <w:pStyle w:val="TAC"/>
            </w:pPr>
            <w:r w:rsidRPr="00873B6C">
              <w:t>IEEE Std 802.1Q [98] Table 12-32</w:t>
            </w:r>
          </w:p>
        </w:tc>
      </w:tr>
      <w:tr w:rsidR="007E4CBA" w:rsidRPr="00873B6C" w14:paraId="5938CC9E" w14:textId="77777777" w:rsidTr="00C9561D">
        <w:trPr>
          <w:cantSplit/>
          <w:jc w:val="center"/>
        </w:trPr>
        <w:tc>
          <w:tcPr>
            <w:tcW w:w="3735" w:type="dxa"/>
            <w:shd w:val="clear" w:color="auto" w:fill="auto"/>
          </w:tcPr>
          <w:p w14:paraId="0B900BEF" w14:textId="77777777" w:rsidR="007E4CBA" w:rsidRPr="00873B6C" w:rsidRDefault="007E4CBA" w:rsidP="007E4CBA">
            <w:pPr>
              <w:pStyle w:val="TAL"/>
            </w:pPr>
            <w:r w:rsidRPr="00873B6C">
              <w:t>AdminControlList</w:t>
            </w:r>
          </w:p>
        </w:tc>
        <w:tc>
          <w:tcPr>
            <w:tcW w:w="709" w:type="dxa"/>
            <w:shd w:val="clear" w:color="auto" w:fill="auto"/>
          </w:tcPr>
          <w:p w14:paraId="30267CA2" w14:textId="77777777" w:rsidR="007E4CBA" w:rsidRPr="00873B6C" w:rsidRDefault="007E4CBA" w:rsidP="007E4CBA">
            <w:pPr>
              <w:pStyle w:val="TAC"/>
            </w:pPr>
            <w:r w:rsidRPr="00873B6C">
              <w:t>X</w:t>
            </w:r>
          </w:p>
        </w:tc>
        <w:tc>
          <w:tcPr>
            <w:tcW w:w="708" w:type="dxa"/>
            <w:shd w:val="clear" w:color="auto" w:fill="auto"/>
          </w:tcPr>
          <w:p w14:paraId="4F881E27" w14:textId="77777777" w:rsidR="007E4CBA" w:rsidRPr="00873B6C" w:rsidRDefault="007E4CBA" w:rsidP="007E4CBA">
            <w:pPr>
              <w:pStyle w:val="TAC"/>
            </w:pPr>
            <w:r w:rsidRPr="00873B6C">
              <w:t>X</w:t>
            </w:r>
          </w:p>
        </w:tc>
        <w:tc>
          <w:tcPr>
            <w:tcW w:w="1418" w:type="dxa"/>
            <w:shd w:val="clear" w:color="auto" w:fill="auto"/>
          </w:tcPr>
          <w:p w14:paraId="33F9AD10" w14:textId="77777777" w:rsidR="007E4CBA" w:rsidRPr="00873B6C" w:rsidRDefault="007E4CBA" w:rsidP="007E4CBA">
            <w:pPr>
              <w:pStyle w:val="TAC"/>
            </w:pPr>
            <w:r w:rsidRPr="00873B6C">
              <w:t>RW</w:t>
            </w:r>
          </w:p>
        </w:tc>
        <w:tc>
          <w:tcPr>
            <w:tcW w:w="1338" w:type="dxa"/>
          </w:tcPr>
          <w:p w14:paraId="0C711210" w14:textId="77777777" w:rsidR="007E4CBA" w:rsidRPr="00873B6C" w:rsidRDefault="007E4CBA" w:rsidP="007E4CBA">
            <w:pPr>
              <w:pStyle w:val="TAC"/>
            </w:pPr>
            <w:r w:rsidRPr="00873B6C">
              <w:t>-</w:t>
            </w:r>
          </w:p>
        </w:tc>
        <w:tc>
          <w:tcPr>
            <w:tcW w:w="2126" w:type="dxa"/>
            <w:shd w:val="clear" w:color="auto" w:fill="auto"/>
          </w:tcPr>
          <w:p w14:paraId="68CE9BB8" w14:textId="77777777" w:rsidR="007E4CBA" w:rsidRPr="00873B6C" w:rsidRDefault="007E4CBA" w:rsidP="007E4CBA">
            <w:pPr>
              <w:pStyle w:val="TAC"/>
            </w:pPr>
            <w:r w:rsidRPr="00873B6C">
              <w:t>IEEE Std 802.1Q [98] Table 12-32</w:t>
            </w:r>
          </w:p>
        </w:tc>
      </w:tr>
      <w:tr w:rsidR="007E4CBA" w:rsidRPr="00873B6C" w14:paraId="567A13C0" w14:textId="77777777" w:rsidTr="00C9561D">
        <w:trPr>
          <w:cantSplit/>
          <w:jc w:val="center"/>
        </w:trPr>
        <w:tc>
          <w:tcPr>
            <w:tcW w:w="3735" w:type="dxa"/>
            <w:shd w:val="clear" w:color="auto" w:fill="auto"/>
          </w:tcPr>
          <w:p w14:paraId="730E9D04" w14:textId="77777777" w:rsidR="007E4CBA" w:rsidRPr="00873B6C" w:rsidRDefault="007E4CBA" w:rsidP="007E4CBA">
            <w:pPr>
              <w:pStyle w:val="TAL"/>
            </w:pPr>
            <w:r w:rsidRPr="00873B6C">
              <w:t>AdminCycleTime (see NOTE 3)</w:t>
            </w:r>
          </w:p>
        </w:tc>
        <w:tc>
          <w:tcPr>
            <w:tcW w:w="709" w:type="dxa"/>
            <w:shd w:val="clear" w:color="auto" w:fill="auto"/>
          </w:tcPr>
          <w:p w14:paraId="12AA9792" w14:textId="77777777" w:rsidR="007E4CBA" w:rsidRPr="00873B6C" w:rsidRDefault="007E4CBA" w:rsidP="007E4CBA">
            <w:pPr>
              <w:pStyle w:val="TAC"/>
            </w:pPr>
            <w:r w:rsidRPr="00873B6C">
              <w:t>X</w:t>
            </w:r>
          </w:p>
        </w:tc>
        <w:tc>
          <w:tcPr>
            <w:tcW w:w="708" w:type="dxa"/>
            <w:shd w:val="clear" w:color="auto" w:fill="auto"/>
          </w:tcPr>
          <w:p w14:paraId="35856BEB" w14:textId="77777777" w:rsidR="007E4CBA" w:rsidRPr="00873B6C" w:rsidRDefault="007E4CBA" w:rsidP="007E4CBA">
            <w:pPr>
              <w:pStyle w:val="TAC"/>
            </w:pPr>
            <w:r w:rsidRPr="00873B6C">
              <w:t>X</w:t>
            </w:r>
          </w:p>
        </w:tc>
        <w:tc>
          <w:tcPr>
            <w:tcW w:w="1418" w:type="dxa"/>
            <w:shd w:val="clear" w:color="auto" w:fill="auto"/>
          </w:tcPr>
          <w:p w14:paraId="5A89F2D5" w14:textId="77777777" w:rsidR="007E4CBA" w:rsidRPr="00873B6C" w:rsidRDefault="007E4CBA" w:rsidP="007E4CBA">
            <w:pPr>
              <w:pStyle w:val="TAC"/>
            </w:pPr>
            <w:r w:rsidRPr="00873B6C">
              <w:t>RW</w:t>
            </w:r>
          </w:p>
        </w:tc>
        <w:tc>
          <w:tcPr>
            <w:tcW w:w="1338" w:type="dxa"/>
          </w:tcPr>
          <w:p w14:paraId="7935B4C2" w14:textId="77777777" w:rsidR="007E4CBA" w:rsidRPr="00873B6C" w:rsidRDefault="007E4CBA" w:rsidP="007E4CBA">
            <w:pPr>
              <w:pStyle w:val="TAC"/>
            </w:pPr>
            <w:r w:rsidRPr="00873B6C">
              <w:t>-</w:t>
            </w:r>
          </w:p>
        </w:tc>
        <w:tc>
          <w:tcPr>
            <w:tcW w:w="2126" w:type="dxa"/>
            <w:shd w:val="clear" w:color="auto" w:fill="auto"/>
          </w:tcPr>
          <w:p w14:paraId="1C647F73" w14:textId="77777777" w:rsidR="007E4CBA" w:rsidRPr="00873B6C" w:rsidRDefault="007E4CBA" w:rsidP="007E4CBA">
            <w:pPr>
              <w:pStyle w:val="TAC"/>
            </w:pPr>
            <w:r w:rsidRPr="00873B6C">
              <w:t>IEEE Std 802.1Q [98] Table 12-32</w:t>
            </w:r>
          </w:p>
        </w:tc>
      </w:tr>
      <w:tr w:rsidR="007E4CBA" w:rsidRPr="00873B6C" w14:paraId="044F3E34" w14:textId="77777777" w:rsidTr="00C9561D">
        <w:trPr>
          <w:cantSplit/>
          <w:jc w:val="center"/>
        </w:trPr>
        <w:tc>
          <w:tcPr>
            <w:tcW w:w="3735" w:type="dxa"/>
            <w:shd w:val="clear" w:color="auto" w:fill="auto"/>
          </w:tcPr>
          <w:p w14:paraId="245496B3" w14:textId="77777777" w:rsidR="007E4CBA" w:rsidRPr="00873B6C" w:rsidRDefault="007E4CBA" w:rsidP="007E4CBA">
            <w:pPr>
              <w:pStyle w:val="TAL"/>
            </w:pPr>
            <w:r w:rsidRPr="00873B6C">
              <w:t>AdminControlListLength (see NOTE 3)</w:t>
            </w:r>
          </w:p>
        </w:tc>
        <w:tc>
          <w:tcPr>
            <w:tcW w:w="709" w:type="dxa"/>
            <w:shd w:val="clear" w:color="auto" w:fill="auto"/>
          </w:tcPr>
          <w:p w14:paraId="5C2624B9" w14:textId="77777777" w:rsidR="007E4CBA" w:rsidRPr="00873B6C" w:rsidRDefault="007E4CBA" w:rsidP="007E4CBA">
            <w:pPr>
              <w:pStyle w:val="TAC"/>
            </w:pPr>
            <w:r w:rsidRPr="00873B6C">
              <w:t>X</w:t>
            </w:r>
          </w:p>
        </w:tc>
        <w:tc>
          <w:tcPr>
            <w:tcW w:w="708" w:type="dxa"/>
            <w:shd w:val="clear" w:color="auto" w:fill="auto"/>
          </w:tcPr>
          <w:p w14:paraId="3E5BA2ED" w14:textId="77777777" w:rsidR="007E4CBA" w:rsidRPr="00873B6C" w:rsidRDefault="007E4CBA" w:rsidP="007E4CBA">
            <w:pPr>
              <w:pStyle w:val="TAC"/>
            </w:pPr>
            <w:r w:rsidRPr="00873B6C">
              <w:t>X</w:t>
            </w:r>
          </w:p>
        </w:tc>
        <w:tc>
          <w:tcPr>
            <w:tcW w:w="1418" w:type="dxa"/>
            <w:shd w:val="clear" w:color="auto" w:fill="auto"/>
          </w:tcPr>
          <w:p w14:paraId="5C863025" w14:textId="77777777" w:rsidR="007E4CBA" w:rsidRPr="00873B6C" w:rsidRDefault="007E4CBA" w:rsidP="007E4CBA">
            <w:pPr>
              <w:pStyle w:val="TAC"/>
            </w:pPr>
            <w:r w:rsidRPr="00873B6C">
              <w:t>RW</w:t>
            </w:r>
          </w:p>
        </w:tc>
        <w:tc>
          <w:tcPr>
            <w:tcW w:w="1338" w:type="dxa"/>
          </w:tcPr>
          <w:p w14:paraId="22F1D150" w14:textId="77777777" w:rsidR="007E4CBA" w:rsidRPr="00873B6C" w:rsidRDefault="007E4CBA" w:rsidP="007E4CBA">
            <w:pPr>
              <w:pStyle w:val="TAC"/>
            </w:pPr>
            <w:r w:rsidRPr="00873B6C">
              <w:t>-</w:t>
            </w:r>
          </w:p>
        </w:tc>
        <w:tc>
          <w:tcPr>
            <w:tcW w:w="2126" w:type="dxa"/>
            <w:shd w:val="clear" w:color="auto" w:fill="auto"/>
          </w:tcPr>
          <w:p w14:paraId="31F7A3AF" w14:textId="77777777" w:rsidR="007E4CBA" w:rsidRPr="00873B6C" w:rsidRDefault="007E4CBA" w:rsidP="007E4CBA">
            <w:pPr>
              <w:pStyle w:val="TAC"/>
            </w:pPr>
            <w:r w:rsidRPr="00873B6C">
              <w:t>IEEE Std 802.1Q [98] Table 12-32</w:t>
            </w:r>
          </w:p>
        </w:tc>
      </w:tr>
      <w:tr w:rsidR="007E4CBA" w:rsidRPr="00873B6C" w14:paraId="1DAE9260" w14:textId="77777777" w:rsidTr="00C9561D">
        <w:trPr>
          <w:cantSplit/>
          <w:jc w:val="center"/>
        </w:trPr>
        <w:tc>
          <w:tcPr>
            <w:tcW w:w="3735" w:type="dxa"/>
            <w:shd w:val="clear" w:color="auto" w:fill="auto"/>
          </w:tcPr>
          <w:p w14:paraId="6F120B42" w14:textId="77777777" w:rsidR="007E4CBA" w:rsidRPr="00873B6C" w:rsidRDefault="007E4CBA" w:rsidP="007E4CBA">
            <w:pPr>
              <w:pStyle w:val="TAL"/>
            </w:pPr>
            <w:r w:rsidRPr="00873B6C">
              <w:t>AdminCycleTimeExtension</w:t>
            </w:r>
          </w:p>
        </w:tc>
        <w:tc>
          <w:tcPr>
            <w:tcW w:w="709" w:type="dxa"/>
            <w:shd w:val="clear" w:color="auto" w:fill="auto"/>
          </w:tcPr>
          <w:p w14:paraId="2246CFED" w14:textId="77777777" w:rsidR="007E4CBA" w:rsidRPr="00873B6C" w:rsidRDefault="007E4CBA" w:rsidP="007E4CBA">
            <w:pPr>
              <w:pStyle w:val="TAC"/>
            </w:pPr>
            <w:r w:rsidRPr="00873B6C">
              <w:t>X</w:t>
            </w:r>
          </w:p>
        </w:tc>
        <w:tc>
          <w:tcPr>
            <w:tcW w:w="708" w:type="dxa"/>
            <w:shd w:val="clear" w:color="auto" w:fill="auto"/>
          </w:tcPr>
          <w:p w14:paraId="11A36EC6" w14:textId="77777777" w:rsidR="007E4CBA" w:rsidRPr="00873B6C" w:rsidRDefault="007E4CBA" w:rsidP="007E4CBA">
            <w:pPr>
              <w:pStyle w:val="TAC"/>
            </w:pPr>
            <w:r w:rsidRPr="00873B6C">
              <w:t>X</w:t>
            </w:r>
          </w:p>
        </w:tc>
        <w:tc>
          <w:tcPr>
            <w:tcW w:w="1418" w:type="dxa"/>
            <w:shd w:val="clear" w:color="auto" w:fill="auto"/>
          </w:tcPr>
          <w:p w14:paraId="45DD53D5" w14:textId="77777777" w:rsidR="007E4CBA" w:rsidRPr="00873B6C" w:rsidRDefault="007E4CBA" w:rsidP="007E4CBA">
            <w:pPr>
              <w:pStyle w:val="TAC"/>
            </w:pPr>
            <w:r w:rsidRPr="00873B6C">
              <w:t>RW</w:t>
            </w:r>
          </w:p>
        </w:tc>
        <w:tc>
          <w:tcPr>
            <w:tcW w:w="1338" w:type="dxa"/>
          </w:tcPr>
          <w:p w14:paraId="56E5EB2B" w14:textId="77777777" w:rsidR="007E4CBA" w:rsidRPr="00873B6C" w:rsidRDefault="007E4CBA" w:rsidP="007E4CBA">
            <w:pPr>
              <w:pStyle w:val="TAC"/>
            </w:pPr>
            <w:r w:rsidRPr="00873B6C">
              <w:t>-</w:t>
            </w:r>
          </w:p>
        </w:tc>
        <w:tc>
          <w:tcPr>
            <w:tcW w:w="2126" w:type="dxa"/>
            <w:shd w:val="clear" w:color="auto" w:fill="auto"/>
          </w:tcPr>
          <w:p w14:paraId="4D7BB3D3" w14:textId="77777777" w:rsidR="007E4CBA" w:rsidRPr="00873B6C" w:rsidRDefault="007E4CBA" w:rsidP="007E4CBA">
            <w:pPr>
              <w:pStyle w:val="TAC"/>
            </w:pPr>
            <w:r w:rsidRPr="00873B6C">
              <w:t>IEEE Std 802.1Q [98] Table 12-32</w:t>
            </w:r>
          </w:p>
        </w:tc>
      </w:tr>
      <w:tr w:rsidR="007E4CBA" w:rsidRPr="00873B6C" w14:paraId="614D2741" w14:textId="77777777" w:rsidTr="00C9561D">
        <w:trPr>
          <w:cantSplit/>
          <w:jc w:val="center"/>
        </w:trPr>
        <w:tc>
          <w:tcPr>
            <w:tcW w:w="3735" w:type="dxa"/>
            <w:shd w:val="clear" w:color="auto" w:fill="auto"/>
          </w:tcPr>
          <w:p w14:paraId="4D3235DB" w14:textId="77777777" w:rsidR="007E4CBA" w:rsidRPr="00873B6C" w:rsidRDefault="007E4CBA" w:rsidP="007E4CBA">
            <w:pPr>
              <w:pStyle w:val="TAL"/>
            </w:pPr>
            <w:r w:rsidRPr="00873B6C">
              <w:t>Tick granularity</w:t>
            </w:r>
          </w:p>
        </w:tc>
        <w:tc>
          <w:tcPr>
            <w:tcW w:w="709" w:type="dxa"/>
            <w:shd w:val="clear" w:color="auto" w:fill="auto"/>
          </w:tcPr>
          <w:p w14:paraId="1A48E941" w14:textId="77777777" w:rsidR="007E4CBA" w:rsidRPr="00873B6C" w:rsidRDefault="007E4CBA" w:rsidP="007E4CBA">
            <w:pPr>
              <w:pStyle w:val="TAC"/>
            </w:pPr>
            <w:r w:rsidRPr="00873B6C">
              <w:t>X</w:t>
            </w:r>
          </w:p>
        </w:tc>
        <w:tc>
          <w:tcPr>
            <w:tcW w:w="708" w:type="dxa"/>
            <w:shd w:val="clear" w:color="auto" w:fill="auto"/>
          </w:tcPr>
          <w:p w14:paraId="7A291C28" w14:textId="77777777" w:rsidR="007E4CBA" w:rsidRPr="00873B6C" w:rsidRDefault="007E4CBA" w:rsidP="007E4CBA">
            <w:pPr>
              <w:pStyle w:val="TAC"/>
            </w:pPr>
            <w:r w:rsidRPr="00873B6C">
              <w:t>X</w:t>
            </w:r>
          </w:p>
        </w:tc>
        <w:tc>
          <w:tcPr>
            <w:tcW w:w="1418" w:type="dxa"/>
            <w:shd w:val="clear" w:color="auto" w:fill="auto"/>
          </w:tcPr>
          <w:p w14:paraId="162A178E" w14:textId="77777777" w:rsidR="007E4CBA" w:rsidRPr="00873B6C" w:rsidRDefault="007E4CBA" w:rsidP="007E4CBA">
            <w:pPr>
              <w:pStyle w:val="TAC"/>
            </w:pPr>
            <w:r w:rsidRPr="00873B6C">
              <w:t>R</w:t>
            </w:r>
          </w:p>
        </w:tc>
        <w:tc>
          <w:tcPr>
            <w:tcW w:w="1338" w:type="dxa"/>
          </w:tcPr>
          <w:p w14:paraId="67D66126" w14:textId="77777777" w:rsidR="007E4CBA" w:rsidRPr="00873B6C" w:rsidRDefault="007E4CBA" w:rsidP="007E4CBA">
            <w:pPr>
              <w:pStyle w:val="TAC"/>
            </w:pPr>
            <w:r w:rsidRPr="00873B6C">
              <w:t>-</w:t>
            </w:r>
          </w:p>
        </w:tc>
        <w:tc>
          <w:tcPr>
            <w:tcW w:w="2126" w:type="dxa"/>
            <w:shd w:val="clear" w:color="auto" w:fill="auto"/>
          </w:tcPr>
          <w:p w14:paraId="2659E259" w14:textId="77777777" w:rsidR="007E4CBA" w:rsidRPr="00873B6C" w:rsidRDefault="007E4CBA" w:rsidP="007E4CBA">
            <w:pPr>
              <w:pStyle w:val="TAC"/>
            </w:pPr>
            <w:r w:rsidRPr="00873B6C">
              <w:t>IEEE Std 802.1Q [98] Table 12-32</w:t>
            </w:r>
          </w:p>
        </w:tc>
      </w:tr>
      <w:tr w:rsidR="007E4CBA" w:rsidRPr="00873B6C" w14:paraId="2EA210DA" w14:textId="77777777" w:rsidTr="00C9561D">
        <w:trPr>
          <w:cantSplit/>
          <w:jc w:val="center"/>
        </w:trPr>
        <w:tc>
          <w:tcPr>
            <w:tcW w:w="3735" w:type="dxa"/>
            <w:shd w:val="clear" w:color="auto" w:fill="auto"/>
          </w:tcPr>
          <w:p w14:paraId="67E7C7EC" w14:textId="77777777" w:rsidR="007E4CBA" w:rsidRPr="00873B6C" w:rsidRDefault="007E4CBA" w:rsidP="007E4CBA">
            <w:pPr>
              <w:pStyle w:val="TAL"/>
            </w:pPr>
            <w:r w:rsidRPr="00873B6C">
              <w:t>SupportedListMax</w:t>
            </w:r>
          </w:p>
        </w:tc>
        <w:tc>
          <w:tcPr>
            <w:tcW w:w="709" w:type="dxa"/>
            <w:shd w:val="clear" w:color="auto" w:fill="auto"/>
          </w:tcPr>
          <w:p w14:paraId="41ED845F" w14:textId="77777777" w:rsidR="007E4CBA" w:rsidRPr="00873B6C" w:rsidRDefault="007E4CBA" w:rsidP="007E4CBA">
            <w:pPr>
              <w:pStyle w:val="TAC"/>
            </w:pPr>
            <w:r w:rsidRPr="00873B6C">
              <w:t>X</w:t>
            </w:r>
          </w:p>
        </w:tc>
        <w:tc>
          <w:tcPr>
            <w:tcW w:w="708" w:type="dxa"/>
            <w:shd w:val="clear" w:color="auto" w:fill="auto"/>
          </w:tcPr>
          <w:p w14:paraId="4FFC0FF8" w14:textId="77777777" w:rsidR="007E4CBA" w:rsidRPr="00873B6C" w:rsidRDefault="007E4CBA" w:rsidP="007E4CBA">
            <w:pPr>
              <w:pStyle w:val="TAC"/>
            </w:pPr>
            <w:r w:rsidRPr="00873B6C">
              <w:t>X</w:t>
            </w:r>
          </w:p>
        </w:tc>
        <w:tc>
          <w:tcPr>
            <w:tcW w:w="1418" w:type="dxa"/>
            <w:shd w:val="clear" w:color="auto" w:fill="auto"/>
          </w:tcPr>
          <w:p w14:paraId="13FD86AC" w14:textId="77777777" w:rsidR="007E4CBA" w:rsidRPr="00873B6C" w:rsidRDefault="007E4CBA" w:rsidP="007E4CBA">
            <w:pPr>
              <w:pStyle w:val="TAC"/>
            </w:pPr>
            <w:r w:rsidRPr="00873B6C">
              <w:t>R</w:t>
            </w:r>
          </w:p>
        </w:tc>
        <w:tc>
          <w:tcPr>
            <w:tcW w:w="1338" w:type="dxa"/>
          </w:tcPr>
          <w:p w14:paraId="00242558" w14:textId="77777777" w:rsidR="007E4CBA" w:rsidRPr="00873B6C" w:rsidRDefault="007E4CBA" w:rsidP="007E4CBA">
            <w:pPr>
              <w:pStyle w:val="TAC"/>
            </w:pPr>
            <w:r w:rsidRPr="00873B6C">
              <w:t>-</w:t>
            </w:r>
          </w:p>
        </w:tc>
        <w:tc>
          <w:tcPr>
            <w:tcW w:w="2126" w:type="dxa"/>
            <w:shd w:val="clear" w:color="auto" w:fill="auto"/>
          </w:tcPr>
          <w:p w14:paraId="05B93E92" w14:textId="77777777" w:rsidR="007E4CBA" w:rsidRPr="00873B6C" w:rsidRDefault="007E4CBA" w:rsidP="007E4CBA">
            <w:pPr>
              <w:pStyle w:val="TAC"/>
            </w:pPr>
            <w:r w:rsidRPr="00873B6C">
              <w:t>IEEE Std 802.1Q [98] Table 12-32</w:t>
            </w:r>
          </w:p>
        </w:tc>
      </w:tr>
      <w:tr w:rsidR="007E4CBA" w:rsidRPr="00873B6C" w14:paraId="66BEE601" w14:textId="77777777" w:rsidTr="00C9561D">
        <w:trPr>
          <w:cantSplit/>
          <w:jc w:val="center"/>
        </w:trPr>
        <w:tc>
          <w:tcPr>
            <w:tcW w:w="3735" w:type="dxa"/>
            <w:shd w:val="clear" w:color="auto" w:fill="auto"/>
          </w:tcPr>
          <w:p w14:paraId="1A6D4AAF" w14:textId="77777777" w:rsidR="007E4CBA" w:rsidRPr="00873B6C" w:rsidRDefault="007E4CBA" w:rsidP="007E4CBA">
            <w:pPr>
              <w:pStyle w:val="TAL"/>
              <w:rPr>
                <w:b/>
              </w:rPr>
            </w:pPr>
            <w:r w:rsidRPr="00873B6C">
              <w:rPr>
                <w:b/>
              </w:rPr>
              <w:t>General Neighbor discovery configuration</w:t>
            </w:r>
          </w:p>
          <w:p w14:paraId="6DD6D3CE" w14:textId="77777777" w:rsidR="007E4CBA" w:rsidRPr="00873B6C" w:rsidRDefault="007E4CBA" w:rsidP="007E4CBA">
            <w:pPr>
              <w:pStyle w:val="TAL"/>
            </w:pPr>
            <w:r w:rsidRPr="00873B6C">
              <w:rPr>
                <w:b/>
                <w:bCs/>
              </w:rPr>
              <w:t>(NOTE 4)</w:t>
            </w:r>
          </w:p>
        </w:tc>
        <w:tc>
          <w:tcPr>
            <w:tcW w:w="709" w:type="dxa"/>
            <w:shd w:val="clear" w:color="auto" w:fill="auto"/>
          </w:tcPr>
          <w:p w14:paraId="65887F2E" w14:textId="77777777" w:rsidR="007E4CBA" w:rsidRPr="00873B6C" w:rsidRDefault="007E4CBA" w:rsidP="007E4CBA">
            <w:pPr>
              <w:pStyle w:val="TAC"/>
            </w:pPr>
          </w:p>
        </w:tc>
        <w:tc>
          <w:tcPr>
            <w:tcW w:w="708" w:type="dxa"/>
            <w:shd w:val="clear" w:color="auto" w:fill="auto"/>
          </w:tcPr>
          <w:p w14:paraId="4083FB2D" w14:textId="77777777" w:rsidR="007E4CBA" w:rsidRPr="00873B6C" w:rsidRDefault="007E4CBA" w:rsidP="007E4CBA">
            <w:pPr>
              <w:pStyle w:val="TAC"/>
            </w:pPr>
          </w:p>
        </w:tc>
        <w:tc>
          <w:tcPr>
            <w:tcW w:w="1418" w:type="dxa"/>
            <w:shd w:val="clear" w:color="auto" w:fill="auto"/>
          </w:tcPr>
          <w:p w14:paraId="2247C3AB" w14:textId="77777777" w:rsidR="007E4CBA" w:rsidRPr="00873B6C" w:rsidRDefault="007E4CBA" w:rsidP="007E4CBA">
            <w:pPr>
              <w:pStyle w:val="TAC"/>
            </w:pPr>
          </w:p>
        </w:tc>
        <w:tc>
          <w:tcPr>
            <w:tcW w:w="1338" w:type="dxa"/>
          </w:tcPr>
          <w:p w14:paraId="362A3430" w14:textId="77777777" w:rsidR="007E4CBA" w:rsidRPr="00873B6C" w:rsidRDefault="007E4CBA" w:rsidP="007E4CBA">
            <w:pPr>
              <w:pStyle w:val="TAC"/>
            </w:pPr>
          </w:p>
        </w:tc>
        <w:tc>
          <w:tcPr>
            <w:tcW w:w="2126" w:type="dxa"/>
            <w:shd w:val="clear" w:color="auto" w:fill="auto"/>
          </w:tcPr>
          <w:p w14:paraId="0C20F0B4" w14:textId="77777777" w:rsidR="007E4CBA" w:rsidRPr="00873B6C" w:rsidRDefault="007E4CBA" w:rsidP="007E4CBA">
            <w:pPr>
              <w:pStyle w:val="TAC"/>
            </w:pPr>
          </w:p>
        </w:tc>
      </w:tr>
      <w:tr w:rsidR="007E4CBA" w:rsidRPr="00873B6C" w14:paraId="5E7FA020" w14:textId="77777777" w:rsidTr="00C9561D">
        <w:trPr>
          <w:cantSplit/>
          <w:jc w:val="center"/>
        </w:trPr>
        <w:tc>
          <w:tcPr>
            <w:tcW w:w="3735" w:type="dxa"/>
            <w:shd w:val="clear" w:color="auto" w:fill="auto"/>
          </w:tcPr>
          <w:p w14:paraId="448AB28B" w14:textId="77777777" w:rsidR="007E4CBA" w:rsidRPr="00873B6C" w:rsidRDefault="007E4CBA" w:rsidP="007E4CBA">
            <w:pPr>
              <w:pStyle w:val="TAL"/>
              <w:rPr>
                <w:b/>
              </w:rPr>
            </w:pPr>
            <w:r w:rsidRPr="00873B6C">
              <w:t>adminStatus</w:t>
            </w:r>
          </w:p>
        </w:tc>
        <w:tc>
          <w:tcPr>
            <w:tcW w:w="709" w:type="dxa"/>
            <w:shd w:val="clear" w:color="auto" w:fill="auto"/>
          </w:tcPr>
          <w:p w14:paraId="17F053D8" w14:textId="77777777" w:rsidR="007E4CBA" w:rsidRPr="00873B6C" w:rsidRDefault="007E4CBA" w:rsidP="007E4CBA">
            <w:pPr>
              <w:pStyle w:val="TAC"/>
            </w:pPr>
            <w:r w:rsidRPr="00873B6C">
              <w:t>D</w:t>
            </w:r>
          </w:p>
        </w:tc>
        <w:tc>
          <w:tcPr>
            <w:tcW w:w="708" w:type="dxa"/>
            <w:shd w:val="clear" w:color="auto" w:fill="auto"/>
          </w:tcPr>
          <w:p w14:paraId="79CD34AC" w14:textId="77777777" w:rsidR="007E4CBA" w:rsidRPr="00873B6C" w:rsidRDefault="007E4CBA" w:rsidP="007E4CBA">
            <w:pPr>
              <w:pStyle w:val="TAC"/>
            </w:pPr>
            <w:r w:rsidRPr="00873B6C">
              <w:t>X</w:t>
            </w:r>
          </w:p>
        </w:tc>
        <w:tc>
          <w:tcPr>
            <w:tcW w:w="1418" w:type="dxa"/>
            <w:shd w:val="clear" w:color="auto" w:fill="auto"/>
          </w:tcPr>
          <w:p w14:paraId="506A94F5" w14:textId="77777777" w:rsidR="007E4CBA" w:rsidRPr="00873B6C" w:rsidRDefault="007E4CBA" w:rsidP="007E4CBA">
            <w:pPr>
              <w:pStyle w:val="TAC"/>
            </w:pPr>
            <w:r w:rsidRPr="00873B6C">
              <w:t>RW</w:t>
            </w:r>
          </w:p>
        </w:tc>
        <w:tc>
          <w:tcPr>
            <w:tcW w:w="1338" w:type="dxa"/>
          </w:tcPr>
          <w:p w14:paraId="23E15931" w14:textId="77777777" w:rsidR="007E4CBA" w:rsidRPr="00873B6C" w:rsidRDefault="007E4CBA" w:rsidP="007E4CBA">
            <w:pPr>
              <w:pStyle w:val="TAC"/>
            </w:pPr>
            <w:r w:rsidRPr="00873B6C">
              <w:t>-</w:t>
            </w:r>
          </w:p>
        </w:tc>
        <w:tc>
          <w:tcPr>
            <w:tcW w:w="2126" w:type="dxa"/>
            <w:shd w:val="clear" w:color="auto" w:fill="auto"/>
          </w:tcPr>
          <w:p w14:paraId="17276CA4" w14:textId="77777777" w:rsidR="007E4CBA" w:rsidRPr="00873B6C" w:rsidRDefault="007E4CBA" w:rsidP="007E4CBA">
            <w:pPr>
              <w:pStyle w:val="TAC"/>
            </w:pPr>
            <w:r w:rsidRPr="00873B6C">
              <w:t>IEEE Std 802.1AB [97] clause 9.2.5.1</w:t>
            </w:r>
          </w:p>
        </w:tc>
      </w:tr>
      <w:tr w:rsidR="007E4CBA" w:rsidRPr="00873B6C" w14:paraId="6ADFBF9B" w14:textId="77777777" w:rsidTr="00C9561D">
        <w:trPr>
          <w:cantSplit/>
          <w:jc w:val="center"/>
        </w:trPr>
        <w:tc>
          <w:tcPr>
            <w:tcW w:w="3735" w:type="dxa"/>
            <w:shd w:val="clear" w:color="auto" w:fill="auto"/>
          </w:tcPr>
          <w:p w14:paraId="612ECF94" w14:textId="77777777" w:rsidR="007E4CBA" w:rsidRPr="00873B6C" w:rsidRDefault="007E4CBA" w:rsidP="007E4CBA">
            <w:pPr>
              <w:pStyle w:val="TAL"/>
            </w:pPr>
            <w:r w:rsidRPr="00873B6C">
              <w:t>lldpV2LocChassisIdSubtype</w:t>
            </w:r>
          </w:p>
        </w:tc>
        <w:tc>
          <w:tcPr>
            <w:tcW w:w="709" w:type="dxa"/>
            <w:shd w:val="clear" w:color="auto" w:fill="auto"/>
          </w:tcPr>
          <w:p w14:paraId="5BDE4671" w14:textId="77777777" w:rsidR="007E4CBA" w:rsidRPr="00873B6C" w:rsidRDefault="007E4CBA" w:rsidP="007E4CBA">
            <w:pPr>
              <w:pStyle w:val="TAC"/>
            </w:pPr>
            <w:r w:rsidRPr="00873B6C">
              <w:t>D</w:t>
            </w:r>
          </w:p>
        </w:tc>
        <w:tc>
          <w:tcPr>
            <w:tcW w:w="708" w:type="dxa"/>
            <w:shd w:val="clear" w:color="auto" w:fill="auto"/>
          </w:tcPr>
          <w:p w14:paraId="7941498B" w14:textId="77777777" w:rsidR="007E4CBA" w:rsidRPr="00873B6C" w:rsidRDefault="007E4CBA" w:rsidP="007E4CBA">
            <w:pPr>
              <w:pStyle w:val="TAC"/>
            </w:pPr>
            <w:r w:rsidRPr="00873B6C">
              <w:t>X</w:t>
            </w:r>
          </w:p>
        </w:tc>
        <w:tc>
          <w:tcPr>
            <w:tcW w:w="1418" w:type="dxa"/>
            <w:shd w:val="clear" w:color="auto" w:fill="auto"/>
          </w:tcPr>
          <w:p w14:paraId="58AF5A4C" w14:textId="77777777" w:rsidR="007E4CBA" w:rsidRPr="00873B6C" w:rsidRDefault="007E4CBA" w:rsidP="007E4CBA">
            <w:pPr>
              <w:pStyle w:val="TAC"/>
            </w:pPr>
            <w:r w:rsidRPr="00873B6C">
              <w:t>RW</w:t>
            </w:r>
          </w:p>
        </w:tc>
        <w:tc>
          <w:tcPr>
            <w:tcW w:w="1338" w:type="dxa"/>
          </w:tcPr>
          <w:p w14:paraId="5A27F8BD" w14:textId="77777777" w:rsidR="007E4CBA" w:rsidRPr="00873B6C" w:rsidRDefault="007E4CBA" w:rsidP="007E4CBA">
            <w:pPr>
              <w:pStyle w:val="TAC"/>
            </w:pPr>
            <w:r w:rsidRPr="00873B6C">
              <w:t>-</w:t>
            </w:r>
          </w:p>
        </w:tc>
        <w:tc>
          <w:tcPr>
            <w:tcW w:w="2126" w:type="dxa"/>
            <w:shd w:val="clear" w:color="auto" w:fill="auto"/>
          </w:tcPr>
          <w:p w14:paraId="4A7E506A" w14:textId="77777777" w:rsidR="007E4CBA" w:rsidRPr="00873B6C" w:rsidRDefault="007E4CBA" w:rsidP="007E4CBA">
            <w:pPr>
              <w:pStyle w:val="TAC"/>
            </w:pPr>
            <w:r w:rsidRPr="00873B6C">
              <w:t>IEEE Std 802.1AB [97] Table 11-2</w:t>
            </w:r>
          </w:p>
        </w:tc>
      </w:tr>
      <w:tr w:rsidR="007E4CBA" w:rsidRPr="00873B6C" w14:paraId="4A0B332F" w14:textId="77777777" w:rsidTr="00C9561D">
        <w:trPr>
          <w:cantSplit/>
          <w:jc w:val="center"/>
        </w:trPr>
        <w:tc>
          <w:tcPr>
            <w:tcW w:w="3735" w:type="dxa"/>
            <w:shd w:val="clear" w:color="auto" w:fill="auto"/>
          </w:tcPr>
          <w:p w14:paraId="24C699FE" w14:textId="77777777" w:rsidR="007E4CBA" w:rsidRPr="00873B6C" w:rsidRDefault="007E4CBA" w:rsidP="007E4CBA">
            <w:pPr>
              <w:pStyle w:val="TAL"/>
            </w:pPr>
            <w:r w:rsidRPr="00873B6C">
              <w:t>lldpV2LocChassisId</w:t>
            </w:r>
          </w:p>
        </w:tc>
        <w:tc>
          <w:tcPr>
            <w:tcW w:w="709" w:type="dxa"/>
            <w:shd w:val="clear" w:color="auto" w:fill="auto"/>
          </w:tcPr>
          <w:p w14:paraId="720E6256" w14:textId="77777777" w:rsidR="007E4CBA" w:rsidRPr="00873B6C" w:rsidRDefault="007E4CBA" w:rsidP="007E4CBA">
            <w:pPr>
              <w:pStyle w:val="TAC"/>
            </w:pPr>
            <w:r w:rsidRPr="00873B6C">
              <w:t>D</w:t>
            </w:r>
          </w:p>
        </w:tc>
        <w:tc>
          <w:tcPr>
            <w:tcW w:w="708" w:type="dxa"/>
            <w:shd w:val="clear" w:color="auto" w:fill="auto"/>
          </w:tcPr>
          <w:p w14:paraId="2CDF7EDF" w14:textId="77777777" w:rsidR="007E4CBA" w:rsidRPr="00873B6C" w:rsidRDefault="007E4CBA" w:rsidP="007E4CBA">
            <w:pPr>
              <w:pStyle w:val="TAC"/>
            </w:pPr>
            <w:r w:rsidRPr="00873B6C">
              <w:t>X</w:t>
            </w:r>
          </w:p>
        </w:tc>
        <w:tc>
          <w:tcPr>
            <w:tcW w:w="1418" w:type="dxa"/>
            <w:shd w:val="clear" w:color="auto" w:fill="auto"/>
          </w:tcPr>
          <w:p w14:paraId="1512EDC8" w14:textId="77777777" w:rsidR="007E4CBA" w:rsidRPr="00873B6C" w:rsidRDefault="007E4CBA" w:rsidP="007E4CBA">
            <w:pPr>
              <w:pStyle w:val="TAC"/>
            </w:pPr>
            <w:r w:rsidRPr="00873B6C">
              <w:t>RW</w:t>
            </w:r>
          </w:p>
        </w:tc>
        <w:tc>
          <w:tcPr>
            <w:tcW w:w="1338" w:type="dxa"/>
          </w:tcPr>
          <w:p w14:paraId="1238D10C" w14:textId="77777777" w:rsidR="007E4CBA" w:rsidRPr="00873B6C" w:rsidRDefault="007E4CBA" w:rsidP="007E4CBA">
            <w:pPr>
              <w:pStyle w:val="TAC"/>
            </w:pPr>
            <w:r w:rsidRPr="00873B6C">
              <w:t>-</w:t>
            </w:r>
          </w:p>
        </w:tc>
        <w:tc>
          <w:tcPr>
            <w:tcW w:w="2126" w:type="dxa"/>
            <w:shd w:val="clear" w:color="auto" w:fill="auto"/>
          </w:tcPr>
          <w:p w14:paraId="28B88676" w14:textId="77777777" w:rsidR="007E4CBA" w:rsidRPr="00873B6C" w:rsidRDefault="007E4CBA" w:rsidP="007E4CBA">
            <w:pPr>
              <w:pStyle w:val="TAC"/>
            </w:pPr>
            <w:r w:rsidRPr="00873B6C">
              <w:t>IEEE Std 802.1AB [97] Table 11-2</w:t>
            </w:r>
          </w:p>
        </w:tc>
      </w:tr>
      <w:tr w:rsidR="007E4CBA" w:rsidRPr="00873B6C" w14:paraId="75CEE23A" w14:textId="77777777" w:rsidTr="00C9561D">
        <w:trPr>
          <w:cantSplit/>
          <w:jc w:val="center"/>
        </w:trPr>
        <w:tc>
          <w:tcPr>
            <w:tcW w:w="3735" w:type="dxa"/>
            <w:shd w:val="clear" w:color="auto" w:fill="auto"/>
          </w:tcPr>
          <w:p w14:paraId="2AB77581" w14:textId="77777777" w:rsidR="007E4CBA" w:rsidRPr="00873B6C" w:rsidRDefault="007E4CBA" w:rsidP="007E4CBA">
            <w:pPr>
              <w:pStyle w:val="TAL"/>
            </w:pPr>
            <w:r w:rsidRPr="00873B6C">
              <w:t>lldpV2MessageTxInterval</w:t>
            </w:r>
          </w:p>
        </w:tc>
        <w:tc>
          <w:tcPr>
            <w:tcW w:w="709" w:type="dxa"/>
            <w:shd w:val="clear" w:color="auto" w:fill="auto"/>
          </w:tcPr>
          <w:p w14:paraId="5B23B120" w14:textId="77777777" w:rsidR="007E4CBA" w:rsidRPr="00873B6C" w:rsidRDefault="007E4CBA" w:rsidP="007E4CBA">
            <w:pPr>
              <w:pStyle w:val="TAC"/>
            </w:pPr>
            <w:r w:rsidRPr="00873B6C">
              <w:t>D</w:t>
            </w:r>
          </w:p>
        </w:tc>
        <w:tc>
          <w:tcPr>
            <w:tcW w:w="708" w:type="dxa"/>
            <w:shd w:val="clear" w:color="auto" w:fill="auto"/>
          </w:tcPr>
          <w:p w14:paraId="034EFB9C" w14:textId="77777777" w:rsidR="007E4CBA" w:rsidRPr="00873B6C" w:rsidRDefault="007E4CBA" w:rsidP="007E4CBA">
            <w:pPr>
              <w:pStyle w:val="TAC"/>
            </w:pPr>
            <w:r w:rsidRPr="00873B6C">
              <w:t>X</w:t>
            </w:r>
          </w:p>
        </w:tc>
        <w:tc>
          <w:tcPr>
            <w:tcW w:w="1418" w:type="dxa"/>
            <w:shd w:val="clear" w:color="auto" w:fill="auto"/>
          </w:tcPr>
          <w:p w14:paraId="08174121" w14:textId="77777777" w:rsidR="007E4CBA" w:rsidRPr="00873B6C" w:rsidRDefault="007E4CBA" w:rsidP="007E4CBA">
            <w:pPr>
              <w:pStyle w:val="TAC"/>
            </w:pPr>
            <w:r w:rsidRPr="00873B6C">
              <w:t>RW</w:t>
            </w:r>
          </w:p>
        </w:tc>
        <w:tc>
          <w:tcPr>
            <w:tcW w:w="1338" w:type="dxa"/>
          </w:tcPr>
          <w:p w14:paraId="7F2A3DF8" w14:textId="77777777" w:rsidR="007E4CBA" w:rsidRPr="00873B6C" w:rsidRDefault="007E4CBA" w:rsidP="007E4CBA">
            <w:pPr>
              <w:pStyle w:val="TAC"/>
            </w:pPr>
            <w:r w:rsidRPr="00873B6C">
              <w:t>-</w:t>
            </w:r>
          </w:p>
        </w:tc>
        <w:tc>
          <w:tcPr>
            <w:tcW w:w="2126" w:type="dxa"/>
            <w:shd w:val="clear" w:color="auto" w:fill="auto"/>
          </w:tcPr>
          <w:p w14:paraId="12983FA9" w14:textId="77777777" w:rsidR="007E4CBA" w:rsidRPr="00873B6C" w:rsidRDefault="007E4CBA" w:rsidP="007E4CBA">
            <w:pPr>
              <w:pStyle w:val="TAC"/>
            </w:pPr>
            <w:r w:rsidRPr="00873B6C">
              <w:t>IEEE Std 802.1AB [97] Table 11-2</w:t>
            </w:r>
          </w:p>
        </w:tc>
      </w:tr>
      <w:tr w:rsidR="007E4CBA" w:rsidRPr="00873B6C" w14:paraId="5125B28D" w14:textId="77777777" w:rsidTr="00C9561D">
        <w:trPr>
          <w:cantSplit/>
          <w:jc w:val="center"/>
        </w:trPr>
        <w:tc>
          <w:tcPr>
            <w:tcW w:w="3735" w:type="dxa"/>
            <w:shd w:val="clear" w:color="auto" w:fill="auto"/>
          </w:tcPr>
          <w:p w14:paraId="1CC9AEE1" w14:textId="77777777" w:rsidR="007E4CBA" w:rsidRPr="00873B6C" w:rsidRDefault="007E4CBA" w:rsidP="007E4CBA">
            <w:pPr>
              <w:pStyle w:val="TAL"/>
            </w:pPr>
            <w:r w:rsidRPr="00873B6C">
              <w:t>lldpV2MessageTxHoldMultiplier</w:t>
            </w:r>
          </w:p>
        </w:tc>
        <w:tc>
          <w:tcPr>
            <w:tcW w:w="709" w:type="dxa"/>
            <w:shd w:val="clear" w:color="auto" w:fill="auto"/>
          </w:tcPr>
          <w:p w14:paraId="00469F1F" w14:textId="77777777" w:rsidR="007E4CBA" w:rsidRPr="00873B6C" w:rsidRDefault="007E4CBA" w:rsidP="007E4CBA">
            <w:pPr>
              <w:pStyle w:val="TAC"/>
            </w:pPr>
            <w:r w:rsidRPr="00873B6C">
              <w:t>D</w:t>
            </w:r>
          </w:p>
        </w:tc>
        <w:tc>
          <w:tcPr>
            <w:tcW w:w="708" w:type="dxa"/>
            <w:shd w:val="clear" w:color="auto" w:fill="auto"/>
          </w:tcPr>
          <w:p w14:paraId="30531046" w14:textId="77777777" w:rsidR="007E4CBA" w:rsidRPr="00873B6C" w:rsidRDefault="007E4CBA" w:rsidP="007E4CBA">
            <w:pPr>
              <w:pStyle w:val="TAC"/>
            </w:pPr>
            <w:r w:rsidRPr="00873B6C">
              <w:t>X</w:t>
            </w:r>
          </w:p>
        </w:tc>
        <w:tc>
          <w:tcPr>
            <w:tcW w:w="1418" w:type="dxa"/>
            <w:shd w:val="clear" w:color="auto" w:fill="auto"/>
          </w:tcPr>
          <w:p w14:paraId="7DA4271E" w14:textId="77777777" w:rsidR="007E4CBA" w:rsidRPr="00873B6C" w:rsidRDefault="007E4CBA" w:rsidP="007E4CBA">
            <w:pPr>
              <w:pStyle w:val="TAC"/>
            </w:pPr>
            <w:r w:rsidRPr="00873B6C">
              <w:t>RW</w:t>
            </w:r>
          </w:p>
        </w:tc>
        <w:tc>
          <w:tcPr>
            <w:tcW w:w="1338" w:type="dxa"/>
          </w:tcPr>
          <w:p w14:paraId="1D7DA263" w14:textId="77777777" w:rsidR="007E4CBA" w:rsidRPr="00873B6C" w:rsidRDefault="007E4CBA" w:rsidP="007E4CBA">
            <w:pPr>
              <w:pStyle w:val="TAC"/>
            </w:pPr>
            <w:r w:rsidRPr="00873B6C">
              <w:t>-</w:t>
            </w:r>
          </w:p>
        </w:tc>
        <w:tc>
          <w:tcPr>
            <w:tcW w:w="2126" w:type="dxa"/>
            <w:shd w:val="clear" w:color="auto" w:fill="auto"/>
          </w:tcPr>
          <w:p w14:paraId="77CB666F" w14:textId="77777777" w:rsidR="007E4CBA" w:rsidRPr="00873B6C" w:rsidRDefault="007E4CBA" w:rsidP="007E4CBA">
            <w:pPr>
              <w:pStyle w:val="TAC"/>
            </w:pPr>
            <w:r w:rsidRPr="00873B6C">
              <w:t>IEEE Std 802.1AB [97] Table 11-2</w:t>
            </w:r>
          </w:p>
        </w:tc>
      </w:tr>
      <w:tr w:rsidR="007E4CBA" w:rsidRPr="00873B6C" w14:paraId="66D20EB6" w14:textId="77777777" w:rsidTr="00C9561D">
        <w:trPr>
          <w:cantSplit/>
          <w:jc w:val="center"/>
        </w:trPr>
        <w:tc>
          <w:tcPr>
            <w:tcW w:w="3735" w:type="dxa"/>
            <w:shd w:val="clear" w:color="auto" w:fill="auto"/>
          </w:tcPr>
          <w:p w14:paraId="2E3F9960" w14:textId="77777777" w:rsidR="007E4CBA" w:rsidRPr="00873B6C" w:rsidRDefault="007E4CBA" w:rsidP="007E4CBA">
            <w:pPr>
              <w:pStyle w:val="TAL"/>
            </w:pPr>
            <w:r w:rsidRPr="00873B6C">
              <w:rPr>
                <w:b/>
                <w:bCs/>
              </w:rPr>
              <w:t>NW-TT port neighbor discovery configuration</w:t>
            </w:r>
          </w:p>
        </w:tc>
        <w:tc>
          <w:tcPr>
            <w:tcW w:w="709" w:type="dxa"/>
            <w:shd w:val="clear" w:color="auto" w:fill="auto"/>
          </w:tcPr>
          <w:p w14:paraId="58EBBCA8" w14:textId="77777777" w:rsidR="007E4CBA" w:rsidRPr="00873B6C" w:rsidRDefault="007E4CBA" w:rsidP="007E4CBA">
            <w:pPr>
              <w:pStyle w:val="TAC"/>
            </w:pPr>
          </w:p>
        </w:tc>
        <w:tc>
          <w:tcPr>
            <w:tcW w:w="708" w:type="dxa"/>
            <w:shd w:val="clear" w:color="auto" w:fill="auto"/>
          </w:tcPr>
          <w:p w14:paraId="66B16F7E" w14:textId="77777777" w:rsidR="007E4CBA" w:rsidRPr="00873B6C" w:rsidRDefault="007E4CBA" w:rsidP="007E4CBA">
            <w:pPr>
              <w:pStyle w:val="TAC"/>
            </w:pPr>
          </w:p>
        </w:tc>
        <w:tc>
          <w:tcPr>
            <w:tcW w:w="1418" w:type="dxa"/>
            <w:shd w:val="clear" w:color="auto" w:fill="auto"/>
          </w:tcPr>
          <w:p w14:paraId="400F1548" w14:textId="77777777" w:rsidR="007E4CBA" w:rsidRPr="00873B6C" w:rsidRDefault="007E4CBA" w:rsidP="007E4CBA">
            <w:pPr>
              <w:pStyle w:val="TAC"/>
            </w:pPr>
          </w:p>
        </w:tc>
        <w:tc>
          <w:tcPr>
            <w:tcW w:w="1338" w:type="dxa"/>
          </w:tcPr>
          <w:p w14:paraId="1DB04333" w14:textId="77777777" w:rsidR="007E4CBA" w:rsidRPr="00873B6C" w:rsidRDefault="007E4CBA" w:rsidP="007E4CBA">
            <w:pPr>
              <w:pStyle w:val="TAC"/>
            </w:pPr>
          </w:p>
        </w:tc>
        <w:tc>
          <w:tcPr>
            <w:tcW w:w="2126" w:type="dxa"/>
            <w:shd w:val="clear" w:color="auto" w:fill="auto"/>
          </w:tcPr>
          <w:p w14:paraId="0E0EBF6A" w14:textId="77777777" w:rsidR="007E4CBA" w:rsidRPr="00873B6C" w:rsidRDefault="007E4CBA" w:rsidP="007E4CBA">
            <w:pPr>
              <w:pStyle w:val="TAC"/>
            </w:pPr>
          </w:p>
        </w:tc>
      </w:tr>
      <w:tr w:rsidR="007E4CBA" w:rsidRPr="00873B6C" w14:paraId="76C141D9" w14:textId="77777777" w:rsidTr="00C9561D">
        <w:trPr>
          <w:cantSplit/>
          <w:jc w:val="center"/>
        </w:trPr>
        <w:tc>
          <w:tcPr>
            <w:tcW w:w="3735" w:type="dxa"/>
            <w:shd w:val="clear" w:color="auto" w:fill="auto"/>
          </w:tcPr>
          <w:p w14:paraId="238B47B7" w14:textId="77777777" w:rsidR="007E4CBA" w:rsidRPr="00873B6C" w:rsidRDefault="007E4CBA" w:rsidP="007E4CBA">
            <w:pPr>
              <w:pStyle w:val="TAL"/>
              <w:rPr>
                <w:b/>
                <w:bCs/>
              </w:rPr>
            </w:pPr>
            <w:r w:rsidRPr="00873B6C">
              <w:t>lldpV2LocPortIdSubtype</w:t>
            </w:r>
          </w:p>
        </w:tc>
        <w:tc>
          <w:tcPr>
            <w:tcW w:w="709" w:type="dxa"/>
            <w:shd w:val="clear" w:color="auto" w:fill="auto"/>
          </w:tcPr>
          <w:p w14:paraId="314B0B07" w14:textId="77777777" w:rsidR="007E4CBA" w:rsidRPr="00873B6C" w:rsidRDefault="007E4CBA" w:rsidP="007E4CBA">
            <w:pPr>
              <w:pStyle w:val="TAC"/>
            </w:pPr>
          </w:p>
        </w:tc>
        <w:tc>
          <w:tcPr>
            <w:tcW w:w="708" w:type="dxa"/>
            <w:shd w:val="clear" w:color="auto" w:fill="auto"/>
          </w:tcPr>
          <w:p w14:paraId="26F2D353" w14:textId="77777777" w:rsidR="007E4CBA" w:rsidRPr="00873B6C" w:rsidRDefault="007E4CBA" w:rsidP="007E4CBA">
            <w:pPr>
              <w:pStyle w:val="TAC"/>
            </w:pPr>
            <w:r w:rsidRPr="00873B6C">
              <w:t>X</w:t>
            </w:r>
          </w:p>
        </w:tc>
        <w:tc>
          <w:tcPr>
            <w:tcW w:w="1418" w:type="dxa"/>
            <w:shd w:val="clear" w:color="auto" w:fill="auto"/>
          </w:tcPr>
          <w:p w14:paraId="4CA1F171" w14:textId="77777777" w:rsidR="007E4CBA" w:rsidRPr="00873B6C" w:rsidRDefault="007E4CBA" w:rsidP="007E4CBA">
            <w:pPr>
              <w:pStyle w:val="TAC"/>
            </w:pPr>
            <w:r w:rsidRPr="00873B6C">
              <w:t>RW</w:t>
            </w:r>
          </w:p>
        </w:tc>
        <w:tc>
          <w:tcPr>
            <w:tcW w:w="1338" w:type="dxa"/>
          </w:tcPr>
          <w:p w14:paraId="7BB8512A" w14:textId="77777777" w:rsidR="007E4CBA" w:rsidRPr="00873B6C" w:rsidRDefault="007E4CBA" w:rsidP="007E4CBA">
            <w:pPr>
              <w:pStyle w:val="TAC"/>
            </w:pPr>
            <w:r w:rsidRPr="00873B6C">
              <w:t>-</w:t>
            </w:r>
          </w:p>
        </w:tc>
        <w:tc>
          <w:tcPr>
            <w:tcW w:w="2126" w:type="dxa"/>
            <w:shd w:val="clear" w:color="auto" w:fill="auto"/>
          </w:tcPr>
          <w:p w14:paraId="690EC5A5" w14:textId="77777777" w:rsidR="007E4CBA" w:rsidRPr="00873B6C" w:rsidRDefault="007E4CBA" w:rsidP="007E4CBA">
            <w:pPr>
              <w:pStyle w:val="TAC"/>
            </w:pPr>
            <w:r w:rsidRPr="00873B6C">
              <w:t>IEEE Std 802.1AB [97] Table 11-2</w:t>
            </w:r>
          </w:p>
        </w:tc>
      </w:tr>
      <w:tr w:rsidR="007E4CBA" w:rsidRPr="00873B6C" w14:paraId="79543D07" w14:textId="77777777" w:rsidTr="00C9561D">
        <w:trPr>
          <w:cantSplit/>
          <w:jc w:val="center"/>
        </w:trPr>
        <w:tc>
          <w:tcPr>
            <w:tcW w:w="3735" w:type="dxa"/>
            <w:shd w:val="clear" w:color="auto" w:fill="auto"/>
          </w:tcPr>
          <w:p w14:paraId="6F082C26" w14:textId="77777777" w:rsidR="007E4CBA" w:rsidRPr="00873B6C" w:rsidRDefault="007E4CBA" w:rsidP="007E4CBA">
            <w:pPr>
              <w:pStyle w:val="TAL"/>
            </w:pPr>
            <w:r w:rsidRPr="00873B6C">
              <w:t>lldpV2LocPortId</w:t>
            </w:r>
          </w:p>
        </w:tc>
        <w:tc>
          <w:tcPr>
            <w:tcW w:w="709" w:type="dxa"/>
            <w:shd w:val="clear" w:color="auto" w:fill="auto"/>
          </w:tcPr>
          <w:p w14:paraId="279293A2" w14:textId="77777777" w:rsidR="007E4CBA" w:rsidRPr="00873B6C" w:rsidRDefault="007E4CBA" w:rsidP="007E4CBA">
            <w:pPr>
              <w:pStyle w:val="TAC"/>
            </w:pPr>
          </w:p>
        </w:tc>
        <w:tc>
          <w:tcPr>
            <w:tcW w:w="708" w:type="dxa"/>
            <w:shd w:val="clear" w:color="auto" w:fill="auto"/>
          </w:tcPr>
          <w:p w14:paraId="3D3681FF" w14:textId="77777777" w:rsidR="007E4CBA" w:rsidRPr="00873B6C" w:rsidRDefault="007E4CBA" w:rsidP="007E4CBA">
            <w:pPr>
              <w:pStyle w:val="TAC"/>
            </w:pPr>
            <w:r w:rsidRPr="00873B6C">
              <w:t>X</w:t>
            </w:r>
          </w:p>
        </w:tc>
        <w:tc>
          <w:tcPr>
            <w:tcW w:w="1418" w:type="dxa"/>
            <w:shd w:val="clear" w:color="auto" w:fill="auto"/>
          </w:tcPr>
          <w:p w14:paraId="6F25ECCD" w14:textId="77777777" w:rsidR="007E4CBA" w:rsidRPr="00873B6C" w:rsidRDefault="007E4CBA" w:rsidP="007E4CBA">
            <w:pPr>
              <w:pStyle w:val="TAC"/>
            </w:pPr>
            <w:r w:rsidRPr="00873B6C">
              <w:t>RW</w:t>
            </w:r>
          </w:p>
        </w:tc>
        <w:tc>
          <w:tcPr>
            <w:tcW w:w="1338" w:type="dxa"/>
          </w:tcPr>
          <w:p w14:paraId="1CFA5429" w14:textId="77777777" w:rsidR="007E4CBA" w:rsidRPr="00873B6C" w:rsidRDefault="007E4CBA" w:rsidP="007E4CBA">
            <w:pPr>
              <w:pStyle w:val="TAC"/>
            </w:pPr>
            <w:r w:rsidRPr="00873B6C">
              <w:t>-</w:t>
            </w:r>
          </w:p>
        </w:tc>
        <w:tc>
          <w:tcPr>
            <w:tcW w:w="2126" w:type="dxa"/>
            <w:shd w:val="clear" w:color="auto" w:fill="auto"/>
          </w:tcPr>
          <w:p w14:paraId="4A7B5AB9" w14:textId="77777777" w:rsidR="007E4CBA" w:rsidRPr="00873B6C" w:rsidRDefault="007E4CBA" w:rsidP="007E4CBA">
            <w:pPr>
              <w:pStyle w:val="TAC"/>
            </w:pPr>
            <w:r w:rsidRPr="00873B6C">
              <w:t>IEEE Std 802.1AB [97] Table 11-2</w:t>
            </w:r>
          </w:p>
        </w:tc>
      </w:tr>
      <w:tr w:rsidR="00857A0D" w:rsidRPr="00873B6C" w14:paraId="2444F18F" w14:textId="77777777" w:rsidTr="001B6E20">
        <w:trPr>
          <w:cantSplit/>
          <w:jc w:val="center"/>
        </w:trPr>
        <w:tc>
          <w:tcPr>
            <w:tcW w:w="3735" w:type="dxa"/>
            <w:shd w:val="clear" w:color="auto" w:fill="auto"/>
          </w:tcPr>
          <w:p w14:paraId="4FAC07B1" w14:textId="19A04BC7" w:rsidR="00857A0D" w:rsidRPr="00873B6C" w:rsidRDefault="00857A0D" w:rsidP="00857A0D">
            <w:pPr>
              <w:pStyle w:val="TAL"/>
            </w:pPr>
            <w:r w:rsidRPr="00873B6C">
              <w:t>OtlvSet</w:t>
            </w:r>
          </w:p>
        </w:tc>
        <w:tc>
          <w:tcPr>
            <w:tcW w:w="709" w:type="dxa"/>
            <w:shd w:val="clear" w:color="auto" w:fill="auto"/>
          </w:tcPr>
          <w:p w14:paraId="15AFFC60" w14:textId="77777777" w:rsidR="00857A0D" w:rsidRPr="00873B6C" w:rsidRDefault="00857A0D" w:rsidP="00857A0D">
            <w:pPr>
              <w:pStyle w:val="TAC"/>
            </w:pPr>
          </w:p>
        </w:tc>
        <w:tc>
          <w:tcPr>
            <w:tcW w:w="708" w:type="dxa"/>
            <w:shd w:val="clear" w:color="auto" w:fill="auto"/>
          </w:tcPr>
          <w:p w14:paraId="1B71B802" w14:textId="0281EFEE" w:rsidR="00857A0D" w:rsidRPr="00873B6C" w:rsidRDefault="00857A0D" w:rsidP="00857A0D">
            <w:pPr>
              <w:pStyle w:val="TAC"/>
            </w:pPr>
            <w:r w:rsidRPr="00873B6C">
              <w:t>X</w:t>
            </w:r>
          </w:p>
        </w:tc>
        <w:tc>
          <w:tcPr>
            <w:tcW w:w="1418" w:type="dxa"/>
            <w:shd w:val="clear" w:color="auto" w:fill="auto"/>
          </w:tcPr>
          <w:p w14:paraId="74ACE2FD" w14:textId="4DDE1DD4" w:rsidR="00857A0D" w:rsidRPr="00873B6C" w:rsidRDefault="00857A0D" w:rsidP="00857A0D">
            <w:pPr>
              <w:pStyle w:val="TAC"/>
            </w:pPr>
            <w:r w:rsidRPr="00873B6C">
              <w:t>RW</w:t>
            </w:r>
          </w:p>
        </w:tc>
        <w:tc>
          <w:tcPr>
            <w:tcW w:w="1338" w:type="dxa"/>
          </w:tcPr>
          <w:p w14:paraId="278D01F1" w14:textId="5D2B39D7" w:rsidR="00857A0D" w:rsidRPr="00873B6C" w:rsidRDefault="00857A0D" w:rsidP="00857A0D">
            <w:pPr>
              <w:pStyle w:val="TAC"/>
            </w:pPr>
            <w:r w:rsidRPr="00873B6C">
              <w:t>-</w:t>
            </w:r>
          </w:p>
        </w:tc>
        <w:tc>
          <w:tcPr>
            <w:tcW w:w="2126" w:type="dxa"/>
            <w:shd w:val="clear" w:color="auto" w:fill="auto"/>
          </w:tcPr>
          <w:p w14:paraId="6790421B" w14:textId="1445C177" w:rsidR="00857A0D" w:rsidRPr="00873B6C" w:rsidRDefault="00857A0D" w:rsidP="00857A0D">
            <w:pPr>
              <w:pStyle w:val="TAC"/>
            </w:pPr>
            <w:r w:rsidRPr="00873B6C">
              <w:t>IEC/IEEE 60802 [195], clause 6.5.2.4.5 and clause 6.5.2.4.6.</w:t>
            </w:r>
          </w:p>
        </w:tc>
      </w:tr>
      <w:tr w:rsidR="00857A0D" w:rsidRPr="00873B6C" w14:paraId="309A27EE" w14:textId="77777777" w:rsidTr="00C9561D">
        <w:trPr>
          <w:cantSplit/>
          <w:jc w:val="center"/>
        </w:trPr>
        <w:tc>
          <w:tcPr>
            <w:tcW w:w="3735" w:type="dxa"/>
            <w:shd w:val="clear" w:color="auto" w:fill="auto"/>
          </w:tcPr>
          <w:p w14:paraId="2FB61CDF" w14:textId="77777777" w:rsidR="00857A0D" w:rsidRPr="00873B6C" w:rsidRDefault="00857A0D" w:rsidP="00857A0D">
            <w:pPr>
              <w:pStyle w:val="TAL"/>
            </w:pPr>
            <w:r w:rsidRPr="00873B6C">
              <w:rPr>
                <w:b/>
              </w:rPr>
              <w:t>DS-TT port neighbor discovery configuration</w:t>
            </w:r>
          </w:p>
        </w:tc>
        <w:tc>
          <w:tcPr>
            <w:tcW w:w="709" w:type="dxa"/>
            <w:shd w:val="clear" w:color="auto" w:fill="auto"/>
          </w:tcPr>
          <w:p w14:paraId="787E5D11" w14:textId="77777777" w:rsidR="00857A0D" w:rsidRPr="00873B6C" w:rsidRDefault="00857A0D" w:rsidP="00857A0D">
            <w:pPr>
              <w:pStyle w:val="TAC"/>
            </w:pPr>
          </w:p>
        </w:tc>
        <w:tc>
          <w:tcPr>
            <w:tcW w:w="708" w:type="dxa"/>
            <w:shd w:val="clear" w:color="auto" w:fill="auto"/>
          </w:tcPr>
          <w:p w14:paraId="22C54F03" w14:textId="77777777" w:rsidR="00857A0D" w:rsidRPr="00873B6C" w:rsidRDefault="00857A0D" w:rsidP="00857A0D">
            <w:pPr>
              <w:pStyle w:val="TAC"/>
            </w:pPr>
          </w:p>
        </w:tc>
        <w:tc>
          <w:tcPr>
            <w:tcW w:w="1418" w:type="dxa"/>
            <w:shd w:val="clear" w:color="auto" w:fill="auto"/>
          </w:tcPr>
          <w:p w14:paraId="0674E70E" w14:textId="77777777" w:rsidR="00857A0D" w:rsidRPr="00873B6C" w:rsidRDefault="00857A0D" w:rsidP="00857A0D">
            <w:pPr>
              <w:pStyle w:val="TAC"/>
            </w:pPr>
          </w:p>
        </w:tc>
        <w:tc>
          <w:tcPr>
            <w:tcW w:w="1338" w:type="dxa"/>
          </w:tcPr>
          <w:p w14:paraId="4DD0CA12" w14:textId="77777777" w:rsidR="00857A0D" w:rsidRPr="00873B6C" w:rsidRDefault="00857A0D" w:rsidP="00857A0D">
            <w:pPr>
              <w:pStyle w:val="TAC"/>
            </w:pPr>
          </w:p>
        </w:tc>
        <w:tc>
          <w:tcPr>
            <w:tcW w:w="2126" w:type="dxa"/>
            <w:shd w:val="clear" w:color="auto" w:fill="auto"/>
          </w:tcPr>
          <w:p w14:paraId="5DE4E10A" w14:textId="77777777" w:rsidR="00857A0D" w:rsidRPr="00873B6C" w:rsidRDefault="00857A0D" w:rsidP="00857A0D">
            <w:pPr>
              <w:pStyle w:val="TAC"/>
            </w:pPr>
          </w:p>
        </w:tc>
      </w:tr>
      <w:tr w:rsidR="00857A0D" w:rsidRPr="00873B6C" w14:paraId="5247BF6A" w14:textId="77777777" w:rsidTr="00C9561D">
        <w:trPr>
          <w:cantSplit/>
          <w:jc w:val="center"/>
        </w:trPr>
        <w:tc>
          <w:tcPr>
            <w:tcW w:w="3735" w:type="dxa"/>
            <w:shd w:val="clear" w:color="auto" w:fill="auto"/>
          </w:tcPr>
          <w:p w14:paraId="24FAB37F" w14:textId="77777777" w:rsidR="00857A0D" w:rsidRPr="00873B6C" w:rsidRDefault="00857A0D" w:rsidP="00857A0D">
            <w:pPr>
              <w:pStyle w:val="TAL"/>
              <w:rPr>
                <w:b/>
              </w:rPr>
            </w:pPr>
            <w:r w:rsidRPr="00873B6C">
              <w:lastRenderedPageBreak/>
              <w:t>lldpV2LocPortIdSubtype</w:t>
            </w:r>
          </w:p>
        </w:tc>
        <w:tc>
          <w:tcPr>
            <w:tcW w:w="709" w:type="dxa"/>
            <w:shd w:val="clear" w:color="auto" w:fill="auto"/>
          </w:tcPr>
          <w:p w14:paraId="40C4E767" w14:textId="77777777" w:rsidR="00857A0D" w:rsidRPr="00873B6C" w:rsidRDefault="00857A0D" w:rsidP="00857A0D">
            <w:pPr>
              <w:pStyle w:val="TAC"/>
            </w:pPr>
            <w:r w:rsidRPr="00873B6C">
              <w:t>D</w:t>
            </w:r>
          </w:p>
        </w:tc>
        <w:tc>
          <w:tcPr>
            <w:tcW w:w="708" w:type="dxa"/>
            <w:shd w:val="clear" w:color="auto" w:fill="auto"/>
          </w:tcPr>
          <w:p w14:paraId="5CEE3335" w14:textId="77777777" w:rsidR="00857A0D" w:rsidRPr="00873B6C" w:rsidRDefault="00857A0D" w:rsidP="00857A0D">
            <w:pPr>
              <w:pStyle w:val="TAC"/>
            </w:pPr>
          </w:p>
        </w:tc>
        <w:tc>
          <w:tcPr>
            <w:tcW w:w="1418" w:type="dxa"/>
            <w:shd w:val="clear" w:color="auto" w:fill="auto"/>
          </w:tcPr>
          <w:p w14:paraId="392F5B76" w14:textId="77777777" w:rsidR="00857A0D" w:rsidRPr="00873B6C" w:rsidRDefault="00857A0D" w:rsidP="00857A0D">
            <w:pPr>
              <w:pStyle w:val="TAC"/>
            </w:pPr>
            <w:r w:rsidRPr="00873B6C">
              <w:t>RW</w:t>
            </w:r>
          </w:p>
        </w:tc>
        <w:tc>
          <w:tcPr>
            <w:tcW w:w="1338" w:type="dxa"/>
          </w:tcPr>
          <w:p w14:paraId="68D48439" w14:textId="77777777" w:rsidR="00857A0D" w:rsidRPr="00873B6C" w:rsidRDefault="00857A0D" w:rsidP="00857A0D">
            <w:pPr>
              <w:pStyle w:val="TAC"/>
            </w:pPr>
            <w:r w:rsidRPr="00873B6C">
              <w:t>-</w:t>
            </w:r>
          </w:p>
        </w:tc>
        <w:tc>
          <w:tcPr>
            <w:tcW w:w="2126" w:type="dxa"/>
            <w:shd w:val="clear" w:color="auto" w:fill="auto"/>
          </w:tcPr>
          <w:p w14:paraId="3BE16E0D" w14:textId="77777777" w:rsidR="00857A0D" w:rsidRPr="00873B6C" w:rsidRDefault="00857A0D" w:rsidP="00857A0D">
            <w:pPr>
              <w:pStyle w:val="TAC"/>
            </w:pPr>
            <w:r w:rsidRPr="00873B6C">
              <w:t>IEEE Std 802.1AB [97] Table 11-2</w:t>
            </w:r>
          </w:p>
        </w:tc>
      </w:tr>
      <w:tr w:rsidR="00857A0D" w:rsidRPr="00873B6C" w14:paraId="464B3473" w14:textId="77777777" w:rsidTr="00C9561D">
        <w:trPr>
          <w:cantSplit/>
          <w:jc w:val="center"/>
        </w:trPr>
        <w:tc>
          <w:tcPr>
            <w:tcW w:w="3735" w:type="dxa"/>
            <w:shd w:val="clear" w:color="auto" w:fill="auto"/>
          </w:tcPr>
          <w:p w14:paraId="2587256B" w14:textId="77777777" w:rsidR="00857A0D" w:rsidRPr="00873B6C" w:rsidRDefault="00857A0D" w:rsidP="00857A0D">
            <w:pPr>
              <w:pStyle w:val="TAL"/>
            </w:pPr>
            <w:r w:rsidRPr="00873B6C">
              <w:t>lldpV2LocPortId</w:t>
            </w:r>
          </w:p>
        </w:tc>
        <w:tc>
          <w:tcPr>
            <w:tcW w:w="709" w:type="dxa"/>
            <w:shd w:val="clear" w:color="auto" w:fill="auto"/>
          </w:tcPr>
          <w:p w14:paraId="4CB34087" w14:textId="77777777" w:rsidR="00857A0D" w:rsidRPr="00873B6C" w:rsidRDefault="00857A0D" w:rsidP="00857A0D">
            <w:pPr>
              <w:pStyle w:val="TAC"/>
            </w:pPr>
            <w:r w:rsidRPr="00873B6C">
              <w:t>D</w:t>
            </w:r>
          </w:p>
        </w:tc>
        <w:tc>
          <w:tcPr>
            <w:tcW w:w="708" w:type="dxa"/>
            <w:shd w:val="clear" w:color="auto" w:fill="auto"/>
          </w:tcPr>
          <w:p w14:paraId="13BF5FE6" w14:textId="77777777" w:rsidR="00857A0D" w:rsidRPr="00873B6C" w:rsidRDefault="00857A0D" w:rsidP="00857A0D">
            <w:pPr>
              <w:pStyle w:val="TAC"/>
            </w:pPr>
          </w:p>
        </w:tc>
        <w:tc>
          <w:tcPr>
            <w:tcW w:w="1418" w:type="dxa"/>
            <w:shd w:val="clear" w:color="auto" w:fill="auto"/>
          </w:tcPr>
          <w:p w14:paraId="2FCEC0C4" w14:textId="77777777" w:rsidR="00857A0D" w:rsidRPr="00873B6C" w:rsidRDefault="00857A0D" w:rsidP="00857A0D">
            <w:pPr>
              <w:pStyle w:val="TAC"/>
            </w:pPr>
            <w:r w:rsidRPr="00873B6C">
              <w:t>RW</w:t>
            </w:r>
          </w:p>
        </w:tc>
        <w:tc>
          <w:tcPr>
            <w:tcW w:w="1338" w:type="dxa"/>
          </w:tcPr>
          <w:p w14:paraId="29C5DA40" w14:textId="77777777" w:rsidR="00857A0D" w:rsidRPr="00873B6C" w:rsidRDefault="00857A0D" w:rsidP="00857A0D">
            <w:pPr>
              <w:pStyle w:val="TAC"/>
            </w:pPr>
            <w:r w:rsidRPr="00873B6C">
              <w:t>-</w:t>
            </w:r>
          </w:p>
        </w:tc>
        <w:tc>
          <w:tcPr>
            <w:tcW w:w="2126" w:type="dxa"/>
            <w:shd w:val="clear" w:color="auto" w:fill="auto"/>
          </w:tcPr>
          <w:p w14:paraId="265281D3" w14:textId="77777777" w:rsidR="00857A0D" w:rsidRPr="00873B6C" w:rsidRDefault="00857A0D" w:rsidP="00857A0D">
            <w:pPr>
              <w:pStyle w:val="TAC"/>
            </w:pPr>
            <w:r w:rsidRPr="00873B6C">
              <w:t>IEEE Std 802.1AB [97] Table 11-2</w:t>
            </w:r>
          </w:p>
        </w:tc>
      </w:tr>
      <w:tr w:rsidR="00857A0D" w:rsidRPr="00873B6C" w14:paraId="11A4F1A1" w14:textId="77777777" w:rsidTr="005001B6">
        <w:trPr>
          <w:cantSplit/>
          <w:jc w:val="center"/>
        </w:trPr>
        <w:tc>
          <w:tcPr>
            <w:tcW w:w="3735" w:type="dxa"/>
            <w:shd w:val="clear" w:color="auto" w:fill="auto"/>
          </w:tcPr>
          <w:p w14:paraId="6C32EE2C" w14:textId="77777777" w:rsidR="00857A0D" w:rsidRPr="00873B6C" w:rsidRDefault="00857A0D" w:rsidP="00857A0D">
            <w:pPr>
              <w:pStyle w:val="TAL"/>
            </w:pPr>
            <w:r w:rsidRPr="00873B6C">
              <w:t>OtlvSet</w:t>
            </w:r>
          </w:p>
        </w:tc>
        <w:tc>
          <w:tcPr>
            <w:tcW w:w="709" w:type="dxa"/>
            <w:shd w:val="clear" w:color="auto" w:fill="auto"/>
          </w:tcPr>
          <w:p w14:paraId="78E8111B" w14:textId="40144794" w:rsidR="00857A0D" w:rsidRPr="00873B6C" w:rsidRDefault="00857A0D" w:rsidP="00857A0D">
            <w:pPr>
              <w:pStyle w:val="TAC"/>
            </w:pPr>
            <w:r w:rsidRPr="00873B6C">
              <w:t>D</w:t>
            </w:r>
          </w:p>
        </w:tc>
        <w:tc>
          <w:tcPr>
            <w:tcW w:w="708" w:type="dxa"/>
            <w:shd w:val="clear" w:color="auto" w:fill="auto"/>
          </w:tcPr>
          <w:p w14:paraId="79E53436" w14:textId="650AD6E0" w:rsidR="00857A0D" w:rsidRPr="00873B6C" w:rsidRDefault="00857A0D" w:rsidP="00857A0D">
            <w:pPr>
              <w:pStyle w:val="TAC"/>
            </w:pPr>
          </w:p>
        </w:tc>
        <w:tc>
          <w:tcPr>
            <w:tcW w:w="1418" w:type="dxa"/>
            <w:shd w:val="clear" w:color="auto" w:fill="auto"/>
          </w:tcPr>
          <w:p w14:paraId="6911021C" w14:textId="5F22EB57" w:rsidR="00857A0D" w:rsidRPr="00873B6C" w:rsidRDefault="00857A0D" w:rsidP="00857A0D">
            <w:pPr>
              <w:pStyle w:val="TAC"/>
            </w:pPr>
            <w:r w:rsidRPr="00873B6C">
              <w:t>RW</w:t>
            </w:r>
          </w:p>
        </w:tc>
        <w:tc>
          <w:tcPr>
            <w:tcW w:w="1338" w:type="dxa"/>
          </w:tcPr>
          <w:p w14:paraId="4C8AEE2C" w14:textId="77777777" w:rsidR="00857A0D" w:rsidRPr="00873B6C" w:rsidRDefault="00857A0D" w:rsidP="00857A0D">
            <w:pPr>
              <w:pStyle w:val="TAC"/>
            </w:pPr>
            <w:r w:rsidRPr="00873B6C">
              <w:t>-</w:t>
            </w:r>
          </w:p>
        </w:tc>
        <w:tc>
          <w:tcPr>
            <w:tcW w:w="2126" w:type="dxa"/>
            <w:shd w:val="clear" w:color="auto" w:fill="auto"/>
          </w:tcPr>
          <w:p w14:paraId="08DFED72" w14:textId="70011BD1" w:rsidR="00857A0D" w:rsidRPr="00873B6C" w:rsidRDefault="00857A0D" w:rsidP="00857A0D">
            <w:pPr>
              <w:pStyle w:val="TAC"/>
            </w:pPr>
            <w:r w:rsidRPr="00873B6C">
              <w:t>IEC/IEEE 60802 [195], clause 6.5.2.4.5 and clause 6.5.2.4.6.</w:t>
            </w:r>
          </w:p>
        </w:tc>
      </w:tr>
      <w:tr w:rsidR="00857A0D" w:rsidRPr="00873B6C" w14:paraId="7FCB7FDA" w14:textId="77777777" w:rsidTr="00C9561D">
        <w:trPr>
          <w:cantSplit/>
          <w:jc w:val="center"/>
        </w:trPr>
        <w:tc>
          <w:tcPr>
            <w:tcW w:w="3735" w:type="dxa"/>
            <w:shd w:val="clear" w:color="auto" w:fill="auto"/>
          </w:tcPr>
          <w:p w14:paraId="4E27ED7A" w14:textId="77777777" w:rsidR="00857A0D" w:rsidRPr="00873B6C" w:rsidRDefault="00857A0D" w:rsidP="00857A0D">
            <w:pPr>
              <w:pStyle w:val="TAL"/>
            </w:pPr>
            <w:r w:rsidRPr="00873B6C">
              <w:rPr>
                <w:b/>
              </w:rPr>
              <w:t>Neighbor discovery information for each discovered neighbor of NW-TT (NOTE 26)</w:t>
            </w:r>
          </w:p>
        </w:tc>
        <w:tc>
          <w:tcPr>
            <w:tcW w:w="709" w:type="dxa"/>
            <w:shd w:val="clear" w:color="auto" w:fill="auto"/>
          </w:tcPr>
          <w:p w14:paraId="6CCE4905" w14:textId="77777777" w:rsidR="00857A0D" w:rsidRPr="00873B6C" w:rsidRDefault="00857A0D" w:rsidP="00857A0D">
            <w:pPr>
              <w:pStyle w:val="TAC"/>
            </w:pPr>
          </w:p>
        </w:tc>
        <w:tc>
          <w:tcPr>
            <w:tcW w:w="708" w:type="dxa"/>
            <w:shd w:val="clear" w:color="auto" w:fill="auto"/>
          </w:tcPr>
          <w:p w14:paraId="40D42DA4" w14:textId="77777777" w:rsidR="00857A0D" w:rsidRPr="00873B6C" w:rsidRDefault="00857A0D" w:rsidP="00857A0D">
            <w:pPr>
              <w:pStyle w:val="TAC"/>
            </w:pPr>
          </w:p>
        </w:tc>
        <w:tc>
          <w:tcPr>
            <w:tcW w:w="1418" w:type="dxa"/>
            <w:shd w:val="clear" w:color="auto" w:fill="auto"/>
          </w:tcPr>
          <w:p w14:paraId="26E7CAEA" w14:textId="77777777" w:rsidR="00857A0D" w:rsidRPr="00873B6C" w:rsidRDefault="00857A0D" w:rsidP="00857A0D">
            <w:pPr>
              <w:pStyle w:val="TAC"/>
            </w:pPr>
          </w:p>
        </w:tc>
        <w:tc>
          <w:tcPr>
            <w:tcW w:w="1338" w:type="dxa"/>
          </w:tcPr>
          <w:p w14:paraId="256040C9" w14:textId="77777777" w:rsidR="00857A0D" w:rsidRPr="00873B6C" w:rsidRDefault="00857A0D" w:rsidP="00857A0D">
            <w:pPr>
              <w:pStyle w:val="TAC"/>
            </w:pPr>
          </w:p>
        </w:tc>
        <w:tc>
          <w:tcPr>
            <w:tcW w:w="2126" w:type="dxa"/>
            <w:shd w:val="clear" w:color="auto" w:fill="auto"/>
          </w:tcPr>
          <w:p w14:paraId="78A22752" w14:textId="77777777" w:rsidR="00857A0D" w:rsidRPr="00873B6C" w:rsidRDefault="00857A0D" w:rsidP="00857A0D">
            <w:pPr>
              <w:pStyle w:val="TAC"/>
            </w:pPr>
          </w:p>
        </w:tc>
      </w:tr>
      <w:tr w:rsidR="00857A0D" w:rsidRPr="00873B6C" w14:paraId="064BA6C3" w14:textId="77777777" w:rsidTr="00C9561D">
        <w:trPr>
          <w:cantSplit/>
          <w:jc w:val="center"/>
        </w:trPr>
        <w:tc>
          <w:tcPr>
            <w:tcW w:w="3735" w:type="dxa"/>
            <w:shd w:val="clear" w:color="auto" w:fill="auto"/>
          </w:tcPr>
          <w:p w14:paraId="3CF4D332" w14:textId="77777777" w:rsidR="00857A0D" w:rsidRPr="00873B6C" w:rsidRDefault="00857A0D" w:rsidP="00857A0D">
            <w:pPr>
              <w:pStyle w:val="TAL"/>
              <w:rPr>
                <w:b/>
              </w:rPr>
            </w:pPr>
            <w:r w:rsidRPr="00873B6C">
              <w:t>lldpV2RemChassisIdSubtype</w:t>
            </w:r>
          </w:p>
        </w:tc>
        <w:tc>
          <w:tcPr>
            <w:tcW w:w="709" w:type="dxa"/>
            <w:shd w:val="clear" w:color="auto" w:fill="auto"/>
          </w:tcPr>
          <w:p w14:paraId="1756E887" w14:textId="77777777" w:rsidR="00857A0D" w:rsidRPr="00873B6C" w:rsidRDefault="00857A0D" w:rsidP="00857A0D">
            <w:pPr>
              <w:pStyle w:val="TAC"/>
            </w:pPr>
          </w:p>
        </w:tc>
        <w:tc>
          <w:tcPr>
            <w:tcW w:w="708" w:type="dxa"/>
            <w:shd w:val="clear" w:color="auto" w:fill="auto"/>
          </w:tcPr>
          <w:p w14:paraId="7C2341D4" w14:textId="77777777" w:rsidR="00857A0D" w:rsidRPr="00873B6C" w:rsidRDefault="00857A0D" w:rsidP="00857A0D">
            <w:pPr>
              <w:pStyle w:val="TAC"/>
            </w:pPr>
            <w:r w:rsidRPr="00873B6C">
              <w:t>X</w:t>
            </w:r>
          </w:p>
        </w:tc>
        <w:tc>
          <w:tcPr>
            <w:tcW w:w="1418" w:type="dxa"/>
            <w:shd w:val="clear" w:color="auto" w:fill="auto"/>
          </w:tcPr>
          <w:p w14:paraId="6FA16A75" w14:textId="77777777" w:rsidR="00857A0D" w:rsidRPr="00873B6C" w:rsidRDefault="00857A0D" w:rsidP="00857A0D">
            <w:pPr>
              <w:pStyle w:val="TAC"/>
            </w:pPr>
            <w:r w:rsidRPr="00873B6C">
              <w:t>R</w:t>
            </w:r>
          </w:p>
        </w:tc>
        <w:tc>
          <w:tcPr>
            <w:tcW w:w="1338" w:type="dxa"/>
          </w:tcPr>
          <w:p w14:paraId="1E7E01DE" w14:textId="77777777" w:rsidR="00857A0D" w:rsidRPr="00873B6C" w:rsidRDefault="00857A0D" w:rsidP="00857A0D">
            <w:pPr>
              <w:pStyle w:val="TAC"/>
            </w:pPr>
            <w:r w:rsidRPr="00873B6C">
              <w:t>-</w:t>
            </w:r>
          </w:p>
        </w:tc>
        <w:tc>
          <w:tcPr>
            <w:tcW w:w="2126" w:type="dxa"/>
            <w:shd w:val="clear" w:color="auto" w:fill="auto"/>
          </w:tcPr>
          <w:p w14:paraId="631A62C2" w14:textId="77777777" w:rsidR="00857A0D" w:rsidRPr="00873B6C" w:rsidRDefault="00857A0D" w:rsidP="00857A0D">
            <w:pPr>
              <w:pStyle w:val="TAC"/>
            </w:pPr>
            <w:r w:rsidRPr="00873B6C">
              <w:t>IEEE Std 802.1AB [97] Table 11-2</w:t>
            </w:r>
          </w:p>
        </w:tc>
      </w:tr>
      <w:tr w:rsidR="00857A0D" w:rsidRPr="00873B6C" w14:paraId="4398ACE7" w14:textId="77777777" w:rsidTr="00C9561D">
        <w:trPr>
          <w:cantSplit/>
          <w:jc w:val="center"/>
        </w:trPr>
        <w:tc>
          <w:tcPr>
            <w:tcW w:w="3735" w:type="dxa"/>
            <w:shd w:val="clear" w:color="auto" w:fill="auto"/>
          </w:tcPr>
          <w:p w14:paraId="1F494B1A" w14:textId="77777777" w:rsidR="00857A0D" w:rsidRPr="00873B6C" w:rsidRDefault="00857A0D" w:rsidP="00857A0D">
            <w:pPr>
              <w:pStyle w:val="TAL"/>
            </w:pPr>
            <w:r w:rsidRPr="00873B6C">
              <w:t>lldpV2RemChassisId</w:t>
            </w:r>
          </w:p>
        </w:tc>
        <w:tc>
          <w:tcPr>
            <w:tcW w:w="709" w:type="dxa"/>
            <w:shd w:val="clear" w:color="auto" w:fill="auto"/>
          </w:tcPr>
          <w:p w14:paraId="59D2EA21" w14:textId="77777777" w:rsidR="00857A0D" w:rsidRPr="00873B6C" w:rsidRDefault="00857A0D" w:rsidP="00857A0D">
            <w:pPr>
              <w:pStyle w:val="TAC"/>
            </w:pPr>
          </w:p>
        </w:tc>
        <w:tc>
          <w:tcPr>
            <w:tcW w:w="708" w:type="dxa"/>
            <w:shd w:val="clear" w:color="auto" w:fill="auto"/>
          </w:tcPr>
          <w:p w14:paraId="0B6CCAFC" w14:textId="77777777" w:rsidR="00857A0D" w:rsidRPr="00873B6C" w:rsidRDefault="00857A0D" w:rsidP="00857A0D">
            <w:pPr>
              <w:pStyle w:val="TAC"/>
            </w:pPr>
            <w:r w:rsidRPr="00873B6C">
              <w:t>X</w:t>
            </w:r>
          </w:p>
        </w:tc>
        <w:tc>
          <w:tcPr>
            <w:tcW w:w="1418" w:type="dxa"/>
            <w:shd w:val="clear" w:color="auto" w:fill="auto"/>
          </w:tcPr>
          <w:p w14:paraId="67B3D49A" w14:textId="77777777" w:rsidR="00857A0D" w:rsidRPr="00873B6C" w:rsidRDefault="00857A0D" w:rsidP="00857A0D">
            <w:pPr>
              <w:pStyle w:val="TAC"/>
            </w:pPr>
            <w:r w:rsidRPr="00873B6C">
              <w:t>R</w:t>
            </w:r>
          </w:p>
        </w:tc>
        <w:tc>
          <w:tcPr>
            <w:tcW w:w="1338" w:type="dxa"/>
          </w:tcPr>
          <w:p w14:paraId="78EFF47B" w14:textId="77777777" w:rsidR="00857A0D" w:rsidRPr="00873B6C" w:rsidRDefault="00857A0D" w:rsidP="00857A0D">
            <w:pPr>
              <w:pStyle w:val="TAC"/>
            </w:pPr>
            <w:r w:rsidRPr="00873B6C">
              <w:t>-</w:t>
            </w:r>
          </w:p>
        </w:tc>
        <w:tc>
          <w:tcPr>
            <w:tcW w:w="2126" w:type="dxa"/>
            <w:shd w:val="clear" w:color="auto" w:fill="auto"/>
          </w:tcPr>
          <w:p w14:paraId="2882F90A" w14:textId="77777777" w:rsidR="00857A0D" w:rsidRPr="00873B6C" w:rsidRDefault="00857A0D" w:rsidP="00857A0D">
            <w:pPr>
              <w:pStyle w:val="TAC"/>
            </w:pPr>
            <w:r w:rsidRPr="00873B6C">
              <w:t>IEEE Std 802.1AB [97] Table 11-2</w:t>
            </w:r>
          </w:p>
        </w:tc>
      </w:tr>
      <w:tr w:rsidR="00857A0D" w:rsidRPr="00873B6C" w14:paraId="4F41D6C8" w14:textId="77777777" w:rsidTr="00C9561D">
        <w:trPr>
          <w:cantSplit/>
          <w:jc w:val="center"/>
        </w:trPr>
        <w:tc>
          <w:tcPr>
            <w:tcW w:w="3735" w:type="dxa"/>
            <w:shd w:val="clear" w:color="auto" w:fill="auto"/>
          </w:tcPr>
          <w:p w14:paraId="532E0391" w14:textId="77777777" w:rsidR="00857A0D" w:rsidRPr="00873B6C" w:rsidRDefault="00857A0D" w:rsidP="00857A0D">
            <w:pPr>
              <w:pStyle w:val="TAL"/>
            </w:pPr>
            <w:r w:rsidRPr="00873B6C">
              <w:t>lldpV2RemPortIdSubtype</w:t>
            </w:r>
          </w:p>
        </w:tc>
        <w:tc>
          <w:tcPr>
            <w:tcW w:w="709" w:type="dxa"/>
            <w:shd w:val="clear" w:color="auto" w:fill="auto"/>
          </w:tcPr>
          <w:p w14:paraId="274BAFDD" w14:textId="77777777" w:rsidR="00857A0D" w:rsidRPr="00873B6C" w:rsidRDefault="00857A0D" w:rsidP="00857A0D">
            <w:pPr>
              <w:pStyle w:val="TAC"/>
            </w:pPr>
          </w:p>
        </w:tc>
        <w:tc>
          <w:tcPr>
            <w:tcW w:w="708" w:type="dxa"/>
            <w:shd w:val="clear" w:color="auto" w:fill="auto"/>
          </w:tcPr>
          <w:p w14:paraId="1DA67120" w14:textId="77777777" w:rsidR="00857A0D" w:rsidRPr="00873B6C" w:rsidRDefault="00857A0D" w:rsidP="00857A0D">
            <w:pPr>
              <w:pStyle w:val="TAC"/>
            </w:pPr>
            <w:r w:rsidRPr="00873B6C">
              <w:t>X</w:t>
            </w:r>
          </w:p>
        </w:tc>
        <w:tc>
          <w:tcPr>
            <w:tcW w:w="1418" w:type="dxa"/>
            <w:shd w:val="clear" w:color="auto" w:fill="auto"/>
          </w:tcPr>
          <w:p w14:paraId="154EA92D" w14:textId="77777777" w:rsidR="00857A0D" w:rsidRPr="00873B6C" w:rsidRDefault="00857A0D" w:rsidP="00857A0D">
            <w:pPr>
              <w:pStyle w:val="TAC"/>
            </w:pPr>
            <w:r w:rsidRPr="00873B6C">
              <w:t>R</w:t>
            </w:r>
          </w:p>
        </w:tc>
        <w:tc>
          <w:tcPr>
            <w:tcW w:w="1338" w:type="dxa"/>
          </w:tcPr>
          <w:p w14:paraId="05BCE0F1" w14:textId="77777777" w:rsidR="00857A0D" w:rsidRPr="00873B6C" w:rsidRDefault="00857A0D" w:rsidP="00857A0D">
            <w:pPr>
              <w:pStyle w:val="TAC"/>
            </w:pPr>
            <w:r w:rsidRPr="00873B6C">
              <w:t>-</w:t>
            </w:r>
          </w:p>
        </w:tc>
        <w:tc>
          <w:tcPr>
            <w:tcW w:w="2126" w:type="dxa"/>
            <w:shd w:val="clear" w:color="auto" w:fill="auto"/>
          </w:tcPr>
          <w:p w14:paraId="3A0E3CDE" w14:textId="77777777" w:rsidR="00857A0D" w:rsidRPr="00873B6C" w:rsidRDefault="00857A0D" w:rsidP="00857A0D">
            <w:pPr>
              <w:pStyle w:val="TAC"/>
            </w:pPr>
            <w:r w:rsidRPr="00873B6C">
              <w:t>IEEE Std 802.1AB [97] Table 11-2</w:t>
            </w:r>
          </w:p>
        </w:tc>
      </w:tr>
      <w:tr w:rsidR="00857A0D" w:rsidRPr="00873B6C" w14:paraId="581A55E2" w14:textId="77777777" w:rsidTr="00C9561D">
        <w:trPr>
          <w:cantSplit/>
          <w:jc w:val="center"/>
        </w:trPr>
        <w:tc>
          <w:tcPr>
            <w:tcW w:w="3735" w:type="dxa"/>
            <w:shd w:val="clear" w:color="auto" w:fill="auto"/>
          </w:tcPr>
          <w:p w14:paraId="2BD99119" w14:textId="77777777" w:rsidR="00857A0D" w:rsidRPr="00873B6C" w:rsidRDefault="00857A0D" w:rsidP="00857A0D">
            <w:pPr>
              <w:pStyle w:val="TAL"/>
            </w:pPr>
            <w:r w:rsidRPr="00873B6C">
              <w:t>lldpV2RemPortId</w:t>
            </w:r>
          </w:p>
        </w:tc>
        <w:tc>
          <w:tcPr>
            <w:tcW w:w="709" w:type="dxa"/>
            <w:shd w:val="clear" w:color="auto" w:fill="auto"/>
          </w:tcPr>
          <w:p w14:paraId="54A028C6" w14:textId="77777777" w:rsidR="00857A0D" w:rsidRPr="00873B6C" w:rsidRDefault="00857A0D" w:rsidP="00857A0D">
            <w:pPr>
              <w:pStyle w:val="TAC"/>
            </w:pPr>
          </w:p>
        </w:tc>
        <w:tc>
          <w:tcPr>
            <w:tcW w:w="708" w:type="dxa"/>
            <w:shd w:val="clear" w:color="auto" w:fill="auto"/>
          </w:tcPr>
          <w:p w14:paraId="1F4912B7" w14:textId="77777777" w:rsidR="00857A0D" w:rsidRPr="00873B6C" w:rsidRDefault="00857A0D" w:rsidP="00857A0D">
            <w:pPr>
              <w:pStyle w:val="TAC"/>
            </w:pPr>
            <w:r w:rsidRPr="00873B6C">
              <w:t>X</w:t>
            </w:r>
          </w:p>
        </w:tc>
        <w:tc>
          <w:tcPr>
            <w:tcW w:w="1418" w:type="dxa"/>
            <w:shd w:val="clear" w:color="auto" w:fill="auto"/>
          </w:tcPr>
          <w:p w14:paraId="515FC7B4" w14:textId="77777777" w:rsidR="00857A0D" w:rsidRPr="00873B6C" w:rsidRDefault="00857A0D" w:rsidP="00857A0D">
            <w:pPr>
              <w:pStyle w:val="TAC"/>
            </w:pPr>
            <w:r w:rsidRPr="00873B6C">
              <w:t>R</w:t>
            </w:r>
          </w:p>
        </w:tc>
        <w:tc>
          <w:tcPr>
            <w:tcW w:w="1338" w:type="dxa"/>
          </w:tcPr>
          <w:p w14:paraId="627D1A55" w14:textId="77777777" w:rsidR="00857A0D" w:rsidRPr="00873B6C" w:rsidRDefault="00857A0D" w:rsidP="00857A0D">
            <w:pPr>
              <w:pStyle w:val="TAC"/>
            </w:pPr>
            <w:r w:rsidRPr="00873B6C">
              <w:t>-</w:t>
            </w:r>
          </w:p>
        </w:tc>
        <w:tc>
          <w:tcPr>
            <w:tcW w:w="2126" w:type="dxa"/>
            <w:shd w:val="clear" w:color="auto" w:fill="auto"/>
          </w:tcPr>
          <w:p w14:paraId="746815D4" w14:textId="77777777" w:rsidR="00857A0D" w:rsidRPr="00873B6C" w:rsidRDefault="00857A0D" w:rsidP="00857A0D">
            <w:pPr>
              <w:pStyle w:val="TAC"/>
            </w:pPr>
            <w:r w:rsidRPr="00873B6C">
              <w:t>IEEE Std 802.1AB [97] Table 11-2</w:t>
            </w:r>
          </w:p>
        </w:tc>
      </w:tr>
      <w:tr w:rsidR="00857A0D" w:rsidRPr="00873B6C" w14:paraId="60ADA71E" w14:textId="77777777" w:rsidTr="00C9561D">
        <w:trPr>
          <w:cantSplit/>
          <w:jc w:val="center"/>
        </w:trPr>
        <w:tc>
          <w:tcPr>
            <w:tcW w:w="3735" w:type="dxa"/>
            <w:shd w:val="clear" w:color="auto" w:fill="auto"/>
          </w:tcPr>
          <w:p w14:paraId="055DA04A" w14:textId="77777777" w:rsidR="00857A0D" w:rsidRPr="00873B6C" w:rsidRDefault="00857A0D" w:rsidP="00857A0D">
            <w:pPr>
              <w:pStyle w:val="TAL"/>
            </w:pPr>
            <w:r w:rsidRPr="00873B6C">
              <w:t>TTL</w:t>
            </w:r>
          </w:p>
        </w:tc>
        <w:tc>
          <w:tcPr>
            <w:tcW w:w="709" w:type="dxa"/>
            <w:shd w:val="clear" w:color="auto" w:fill="auto"/>
          </w:tcPr>
          <w:p w14:paraId="73DADA8C" w14:textId="77777777" w:rsidR="00857A0D" w:rsidRPr="00873B6C" w:rsidRDefault="00857A0D" w:rsidP="00857A0D">
            <w:pPr>
              <w:pStyle w:val="TAC"/>
            </w:pPr>
          </w:p>
        </w:tc>
        <w:tc>
          <w:tcPr>
            <w:tcW w:w="708" w:type="dxa"/>
            <w:shd w:val="clear" w:color="auto" w:fill="auto"/>
          </w:tcPr>
          <w:p w14:paraId="2DFF1862" w14:textId="77777777" w:rsidR="00857A0D" w:rsidRPr="00873B6C" w:rsidRDefault="00857A0D" w:rsidP="00857A0D">
            <w:pPr>
              <w:pStyle w:val="TAC"/>
            </w:pPr>
            <w:r w:rsidRPr="00873B6C">
              <w:t>X</w:t>
            </w:r>
          </w:p>
        </w:tc>
        <w:tc>
          <w:tcPr>
            <w:tcW w:w="1418" w:type="dxa"/>
            <w:shd w:val="clear" w:color="auto" w:fill="auto"/>
          </w:tcPr>
          <w:p w14:paraId="2E573441" w14:textId="77777777" w:rsidR="00857A0D" w:rsidRPr="00873B6C" w:rsidRDefault="00857A0D" w:rsidP="00857A0D">
            <w:pPr>
              <w:pStyle w:val="TAC"/>
            </w:pPr>
            <w:r w:rsidRPr="00873B6C">
              <w:t>R</w:t>
            </w:r>
          </w:p>
        </w:tc>
        <w:tc>
          <w:tcPr>
            <w:tcW w:w="1338" w:type="dxa"/>
          </w:tcPr>
          <w:p w14:paraId="627C747B" w14:textId="77777777" w:rsidR="00857A0D" w:rsidRPr="00873B6C" w:rsidRDefault="00857A0D" w:rsidP="00857A0D">
            <w:pPr>
              <w:pStyle w:val="TAC"/>
            </w:pPr>
            <w:r w:rsidRPr="00873B6C">
              <w:t>-</w:t>
            </w:r>
          </w:p>
        </w:tc>
        <w:tc>
          <w:tcPr>
            <w:tcW w:w="2126" w:type="dxa"/>
            <w:shd w:val="clear" w:color="auto" w:fill="auto"/>
          </w:tcPr>
          <w:p w14:paraId="5B8D8ED7" w14:textId="77777777" w:rsidR="00857A0D" w:rsidRPr="00873B6C" w:rsidRDefault="00857A0D" w:rsidP="00857A0D">
            <w:pPr>
              <w:pStyle w:val="TAC"/>
            </w:pPr>
            <w:r w:rsidRPr="00873B6C">
              <w:t>IEEE Std 802.1AB [97] clause 8.5.4</w:t>
            </w:r>
          </w:p>
        </w:tc>
      </w:tr>
      <w:tr w:rsidR="00857A0D" w:rsidRPr="00873B6C" w14:paraId="05BE440F" w14:textId="77777777" w:rsidTr="005659EE">
        <w:trPr>
          <w:cantSplit/>
          <w:jc w:val="center"/>
        </w:trPr>
        <w:tc>
          <w:tcPr>
            <w:tcW w:w="3735" w:type="dxa"/>
            <w:shd w:val="clear" w:color="auto" w:fill="auto"/>
          </w:tcPr>
          <w:p w14:paraId="53406CA8" w14:textId="77777777" w:rsidR="00857A0D" w:rsidRPr="00873B6C" w:rsidRDefault="00857A0D" w:rsidP="00857A0D">
            <w:pPr>
              <w:pStyle w:val="TAL"/>
            </w:pPr>
            <w:r w:rsidRPr="00873B6C">
              <w:t>OtlvSet</w:t>
            </w:r>
          </w:p>
        </w:tc>
        <w:tc>
          <w:tcPr>
            <w:tcW w:w="709" w:type="dxa"/>
            <w:shd w:val="clear" w:color="auto" w:fill="auto"/>
          </w:tcPr>
          <w:p w14:paraId="69954DA8" w14:textId="024ABB62" w:rsidR="00857A0D" w:rsidRPr="00873B6C" w:rsidRDefault="00857A0D" w:rsidP="00857A0D">
            <w:pPr>
              <w:pStyle w:val="TAC"/>
            </w:pPr>
          </w:p>
        </w:tc>
        <w:tc>
          <w:tcPr>
            <w:tcW w:w="708" w:type="dxa"/>
            <w:shd w:val="clear" w:color="auto" w:fill="auto"/>
          </w:tcPr>
          <w:p w14:paraId="1FD12410" w14:textId="08034053" w:rsidR="00857A0D" w:rsidRPr="00873B6C" w:rsidRDefault="00857A0D" w:rsidP="00857A0D">
            <w:pPr>
              <w:pStyle w:val="TAC"/>
            </w:pPr>
            <w:r w:rsidRPr="00873B6C">
              <w:t>X</w:t>
            </w:r>
          </w:p>
        </w:tc>
        <w:tc>
          <w:tcPr>
            <w:tcW w:w="1418" w:type="dxa"/>
            <w:shd w:val="clear" w:color="auto" w:fill="auto"/>
          </w:tcPr>
          <w:p w14:paraId="35614138" w14:textId="1DC4D17C" w:rsidR="00857A0D" w:rsidRPr="00873B6C" w:rsidRDefault="00857A0D" w:rsidP="00857A0D">
            <w:pPr>
              <w:pStyle w:val="TAC"/>
            </w:pPr>
            <w:r w:rsidRPr="00873B6C">
              <w:t>R</w:t>
            </w:r>
          </w:p>
        </w:tc>
        <w:tc>
          <w:tcPr>
            <w:tcW w:w="1338" w:type="dxa"/>
          </w:tcPr>
          <w:p w14:paraId="6F0FDF27" w14:textId="3B52F5B1" w:rsidR="00857A0D" w:rsidRPr="00873B6C" w:rsidRDefault="00857A0D" w:rsidP="00857A0D">
            <w:pPr>
              <w:pStyle w:val="TAC"/>
            </w:pPr>
            <w:r w:rsidRPr="00873B6C">
              <w:t>-</w:t>
            </w:r>
          </w:p>
        </w:tc>
        <w:tc>
          <w:tcPr>
            <w:tcW w:w="2126" w:type="dxa"/>
            <w:shd w:val="clear" w:color="auto" w:fill="auto"/>
          </w:tcPr>
          <w:p w14:paraId="4EF0C4E4" w14:textId="186E1848" w:rsidR="00857A0D" w:rsidRPr="00873B6C" w:rsidRDefault="00857A0D" w:rsidP="00857A0D">
            <w:pPr>
              <w:pStyle w:val="TAC"/>
            </w:pPr>
            <w:r w:rsidRPr="00873B6C">
              <w:t>IEC/IEEE 60802 [195], clause 6.5.2.4.5 and clause 6.5.2.4.6.</w:t>
            </w:r>
          </w:p>
        </w:tc>
      </w:tr>
      <w:tr w:rsidR="00857A0D" w:rsidRPr="00873B6C" w14:paraId="5C3A6B73" w14:textId="77777777" w:rsidTr="00C9561D">
        <w:trPr>
          <w:cantSplit/>
          <w:jc w:val="center"/>
        </w:trPr>
        <w:tc>
          <w:tcPr>
            <w:tcW w:w="3735" w:type="dxa"/>
            <w:shd w:val="clear" w:color="auto" w:fill="auto"/>
          </w:tcPr>
          <w:p w14:paraId="00F12203" w14:textId="77777777" w:rsidR="00857A0D" w:rsidRPr="00873B6C" w:rsidRDefault="00857A0D" w:rsidP="00857A0D">
            <w:pPr>
              <w:pStyle w:val="TAL"/>
              <w:rPr>
                <w:b/>
                <w:bCs/>
              </w:rPr>
            </w:pPr>
            <w:r w:rsidRPr="00873B6C">
              <w:rPr>
                <w:b/>
                <w:bCs/>
              </w:rPr>
              <w:t>Neighbor discovery information for each discovered neighbor of DS-TT</w:t>
            </w:r>
          </w:p>
          <w:p w14:paraId="3DB28716" w14:textId="77777777" w:rsidR="00857A0D" w:rsidRPr="00873B6C" w:rsidRDefault="00857A0D" w:rsidP="00857A0D">
            <w:pPr>
              <w:pStyle w:val="TAL"/>
            </w:pPr>
            <w:r w:rsidRPr="00873B6C">
              <w:rPr>
                <w:b/>
                <w:bCs/>
              </w:rPr>
              <w:t>(NOTE 5)</w:t>
            </w:r>
          </w:p>
        </w:tc>
        <w:tc>
          <w:tcPr>
            <w:tcW w:w="709" w:type="dxa"/>
            <w:shd w:val="clear" w:color="auto" w:fill="auto"/>
          </w:tcPr>
          <w:p w14:paraId="04F5211A" w14:textId="77777777" w:rsidR="00857A0D" w:rsidRPr="00873B6C" w:rsidRDefault="00857A0D" w:rsidP="00857A0D">
            <w:pPr>
              <w:pStyle w:val="TAC"/>
            </w:pPr>
          </w:p>
        </w:tc>
        <w:tc>
          <w:tcPr>
            <w:tcW w:w="708" w:type="dxa"/>
            <w:shd w:val="clear" w:color="auto" w:fill="auto"/>
          </w:tcPr>
          <w:p w14:paraId="4B0393AC" w14:textId="77777777" w:rsidR="00857A0D" w:rsidRPr="00873B6C" w:rsidRDefault="00857A0D" w:rsidP="00857A0D">
            <w:pPr>
              <w:pStyle w:val="TAC"/>
            </w:pPr>
          </w:p>
        </w:tc>
        <w:tc>
          <w:tcPr>
            <w:tcW w:w="1418" w:type="dxa"/>
            <w:shd w:val="clear" w:color="auto" w:fill="auto"/>
          </w:tcPr>
          <w:p w14:paraId="63451449" w14:textId="77777777" w:rsidR="00857A0D" w:rsidRPr="00873B6C" w:rsidRDefault="00857A0D" w:rsidP="00857A0D">
            <w:pPr>
              <w:pStyle w:val="TAC"/>
            </w:pPr>
          </w:p>
        </w:tc>
        <w:tc>
          <w:tcPr>
            <w:tcW w:w="1338" w:type="dxa"/>
          </w:tcPr>
          <w:p w14:paraId="6C281673" w14:textId="77777777" w:rsidR="00857A0D" w:rsidRPr="00873B6C" w:rsidRDefault="00857A0D" w:rsidP="00857A0D">
            <w:pPr>
              <w:pStyle w:val="TAC"/>
            </w:pPr>
          </w:p>
        </w:tc>
        <w:tc>
          <w:tcPr>
            <w:tcW w:w="2126" w:type="dxa"/>
            <w:shd w:val="clear" w:color="auto" w:fill="auto"/>
          </w:tcPr>
          <w:p w14:paraId="58F22320" w14:textId="77777777" w:rsidR="00857A0D" w:rsidRPr="00873B6C" w:rsidRDefault="00857A0D" w:rsidP="00857A0D">
            <w:pPr>
              <w:pStyle w:val="TAC"/>
            </w:pPr>
          </w:p>
        </w:tc>
      </w:tr>
      <w:tr w:rsidR="00857A0D" w:rsidRPr="00873B6C" w14:paraId="5C0194C9" w14:textId="77777777" w:rsidTr="00C9561D">
        <w:trPr>
          <w:cantSplit/>
          <w:jc w:val="center"/>
        </w:trPr>
        <w:tc>
          <w:tcPr>
            <w:tcW w:w="3735" w:type="dxa"/>
            <w:shd w:val="clear" w:color="auto" w:fill="auto"/>
          </w:tcPr>
          <w:p w14:paraId="4838F909" w14:textId="77777777" w:rsidR="00857A0D" w:rsidRPr="00873B6C" w:rsidRDefault="00857A0D" w:rsidP="00857A0D">
            <w:pPr>
              <w:pStyle w:val="TAL"/>
              <w:rPr>
                <w:b/>
                <w:bCs/>
              </w:rPr>
            </w:pPr>
            <w:r w:rsidRPr="00873B6C">
              <w:t>lldpV2RemChassisIdSubtype</w:t>
            </w:r>
          </w:p>
        </w:tc>
        <w:tc>
          <w:tcPr>
            <w:tcW w:w="709" w:type="dxa"/>
            <w:shd w:val="clear" w:color="auto" w:fill="auto"/>
          </w:tcPr>
          <w:p w14:paraId="4CB6BB71" w14:textId="77777777" w:rsidR="00857A0D" w:rsidRPr="00873B6C" w:rsidRDefault="00857A0D" w:rsidP="00857A0D">
            <w:pPr>
              <w:pStyle w:val="TAC"/>
            </w:pPr>
            <w:r w:rsidRPr="00873B6C">
              <w:t>D</w:t>
            </w:r>
          </w:p>
        </w:tc>
        <w:tc>
          <w:tcPr>
            <w:tcW w:w="708" w:type="dxa"/>
            <w:shd w:val="clear" w:color="auto" w:fill="auto"/>
          </w:tcPr>
          <w:p w14:paraId="1941AA7B" w14:textId="77777777" w:rsidR="00857A0D" w:rsidRPr="00873B6C" w:rsidRDefault="00857A0D" w:rsidP="00857A0D">
            <w:pPr>
              <w:pStyle w:val="TAC"/>
            </w:pPr>
          </w:p>
        </w:tc>
        <w:tc>
          <w:tcPr>
            <w:tcW w:w="1418" w:type="dxa"/>
            <w:shd w:val="clear" w:color="auto" w:fill="auto"/>
          </w:tcPr>
          <w:p w14:paraId="0735EEA7" w14:textId="77777777" w:rsidR="00857A0D" w:rsidRPr="00873B6C" w:rsidRDefault="00857A0D" w:rsidP="00857A0D">
            <w:pPr>
              <w:pStyle w:val="TAC"/>
            </w:pPr>
            <w:r w:rsidRPr="00873B6C">
              <w:t>R</w:t>
            </w:r>
          </w:p>
        </w:tc>
        <w:tc>
          <w:tcPr>
            <w:tcW w:w="1338" w:type="dxa"/>
          </w:tcPr>
          <w:p w14:paraId="3B113876" w14:textId="77777777" w:rsidR="00857A0D" w:rsidRPr="00873B6C" w:rsidRDefault="00857A0D" w:rsidP="00857A0D">
            <w:pPr>
              <w:pStyle w:val="TAC"/>
            </w:pPr>
            <w:r w:rsidRPr="00873B6C">
              <w:t>-</w:t>
            </w:r>
          </w:p>
        </w:tc>
        <w:tc>
          <w:tcPr>
            <w:tcW w:w="2126" w:type="dxa"/>
            <w:shd w:val="clear" w:color="auto" w:fill="auto"/>
          </w:tcPr>
          <w:p w14:paraId="1EAFDEC3" w14:textId="77777777" w:rsidR="00857A0D" w:rsidRPr="00873B6C" w:rsidRDefault="00857A0D" w:rsidP="00857A0D">
            <w:pPr>
              <w:pStyle w:val="TAC"/>
            </w:pPr>
            <w:r w:rsidRPr="00873B6C">
              <w:t>IEEE Std 802.1AB [97] Table 11-2</w:t>
            </w:r>
          </w:p>
        </w:tc>
      </w:tr>
      <w:tr w:rsidR="00857A0D" w:rsidRPr="00873B6C" w14:paraId="30BD7784" w14:textId="77777777" w:rsidTr="00C9561D">
        <w:trPr>
          <w:cantSplit/>
          <w:jc w:val="center"/>
        </w:trPr>
        <w:tc>
          <w:tcPr>
            <w:tcW w:w="3735" w:type="dxa"/>
            <w:shd w:val="clear" w:color="auto" w:fill="auto"/>
          </w:tcPr>
          <w:p w14:paraId="43B5DAD4" w14:textId="77777777" w:rsidR="00857A0D" w:rsidRPr="00873B6C" w:rsidRDefault="00857A0D" w:rsidP="00857A0D">
            <w:pPr>
              <w:pStyle w:val="TAL"/>
            </w:pPr>
            <w:r w:rsidRPr="00873B6C">
              <w:t>lldpV2RemChassisId</w:t>
            </w:r>
          </w:p>
        </w:tc>
        <w:tc>
          <w:tcPr>
            <w:tcW w:w="709" w:type="dxa"/>
            <w:shd w:val="clear" w:color="auto" w:fill="auto"/>
          </w:tcPr>
          <w:p w14:paraId="3298E1DD" w14:textId="77777777" w:rsidR="00857A0D" w:rsidRPr="00873B6C" w:rsidRDefault="00857A0D" w:rsidP="00857A0D">
            <w:pPr>
              <w:pStyle w:val="TAC"/>
            </w:pPr>
            <w:r w:rsidRPr="00873B6C">
              <w:t>D</w:t>
            </w:r>
          </w:p>
        </w:tc>
        <w:tc>
          <w:tcPr>
            <w:tcW w:w="708" w:type="dxa"/>
            <w:shd w:val="clear" w:color="auto" w:fill="auto"/>
          </w:tcPr>
          <w:p w14:paraId="2E1DB5E0" w14:textId="77777777" w:rsidR="00857A0D" w:rsidRPr="00873B6C" w:rsidRDefault="00857A0D" w:rsidP="00857A0D">
            <w:pPr>
              <w:pStyle w:val="TAC"/>
            </w:pPr>
          </w:p>
        </w:tc>
        <w:tc>
          <w:tcPr>
            <w:tcW w:w="1418" w:type="dxa"/>
            <w:shd w:val="clear" w:color="auto" w:fill="auto"/>
          </w:tcPr>
          <w:p w14:paraId="44D71D01" w14:textId="77777777" w:rsidR="00857A0D" w:rsidRPr="00873B6C" w:rsidRDefault="00857A0D" w:rsidP="00857A0D">
            <w:pPr>
              <w:pStyle w:val="TAC"/>
            </w:pPr>
            <w:r w:rsidRPr="00873B6C">
              <w:t>R</w:t>
            </w:r>
          </w:p>
        </w:tc>
        <w:tc>
          <w:tcPr>
            <w:tcW w:w="1338" w:type="dxa"/>
          </w:tcPr>
          <w:p w14:paraId="0B8085E9" w14:textId="77777777" w:rsidR="00857A0D" w:rsidRPr="00873B6C" w:rsidRDefault="00857A0D" w:rsidP="00857A0D">
            <w:pPr>
              <w:pStyle w:val="TAC"/>
            </w:pPr>
            <w:r w:rsidRPr="00873B6C">
              <w:t>-</w:t>
            </w:r>
          </w:p>
        </w:tc>
        <w:tc>
          <w:tcPr>
            <w:tcW w:w="2126" w:type="dxa"/>
            <w:shd w:val="clear" w:color="auto" w:fill="auto"/>
          </w:tcPr>
          <w:p w14:paraId="5C9DE740" w14:textId="77777777" w:rsidR="00857A0D" w:rsidRPr="00873B6C" w:rsidRDefault="00857A0D" w:rsidP="00857A0D">
            <w:pPr>
              <w:pStyle w:val="TAC"/>
            </w:pPr>
            <w:r w:rsidRPr="00873B6C">
              <w:t>IEEE Std 802.1AB [97] Table 11-2</w:t>
            </w:r>
          </w:p>
        </w:tc>
      </w:tr>
      <w:tr w:rsidR="00857A0D" w:rsidRPr="00873B6C" w14:paraId="36FAB973" w14:textId="77777777" w:rsidTr="00C9561D">
        <w:trPr>
          <w:cantSplit/>
          <w:jc w:val="center"/>
        </w:trPr>
        <w:tc>
          <w:tcPr>
            <w:tcW w:w="3735" w:type="dxa"/>
            <w:shd w:val="clear" w:color="auto" w:fill="auto"/>
          </w:tcPr>
          <w:p w14:paraId="6F9EC0B1" w14:textId="77777777" w:rsidR="00857A0D" w:rsidRPr="00873B6C" w:rsidRDefault="00857A0D" w:rsidP="00857A0D">
            <w:pPr>
              <w:pStyle w:val="TAL"/>
            </w:pPr>
            <w:r w:rsidRPr="00873B6C">
              <w:t>lldpV2RemPortIdSubtype</w:t>
            </w:r>
          </w:p>
        </w:tc>
        <w:tc>
          <w:tcPr>
            <w:tcW w:w="709" w:type="dxa"/>
            <w:shd w:val="clear" w:color="auto" w:fill="auto"/>
          </w:tcPr>
          <w:p w14:paraId="385339EA" w14:textId="77777777" w:rsidR="00857A0D" w:rsidRPr="00873B6C" w:rsidRDefault="00857A0D" w:rsidP="00857A0D">
            <w:pPr>
              <w:pStyle w:val="TAC"/>
            </w:pPr>
            <w:r w:rsidRPr="00873B6C">
              <w:t>D</w:t>
            </w:r>
          </w:p>
        </w:tc>
        <w:tc>
          <w:tcPr>
            <w:tcW w:w="708" w:type="dxa"/>
            <w:shd w:val="clear" w:color="auto" w:fill="auto"/>
          </w:tcPr>
          <w:p w14:paraId="6BE1AA56" w14:textId="77777777" w:rsidR="00857A0D" w:rsidRPr="00873B6C" w:rsidRDefault="00857A0D" w:rsidP="00857A0D">
            <w:pPr>
              <w:pStyle w:val="TAC"/>
            </w:pPr>
          </w:p>
        </w:tc>
        <w:tc>
          <w:tcPr>
            <w:tcW w:w="1418" w:type="dxa"/>
            <w:shd w:val="clear" w:color="auto" w:fill="auto"/>
          </w:tcPr>
          <w:p w14:paraId="4B508766" w14:textId="77777777" w:rsidR="00857A0D" w:rsidRPr="00873B6C" w:rsidRDefault="00857A0D" w:rsidP="00857A0D">
            <w:pPr>
              <w:pStyle w:val="TAC"/>
            </w:pPr>
            <w:r w:rsidRPr="00873B6C">
              <w:t>R</w:t>
            </w:r>
          </w:p>
        </w:tc>
        <w:tc>
          <w:tcPr>
            <w:tcW w:w="1338" w:type="dxa"/>
          </w:tcPr>
          <w:p w14:paraId="6B672C18" w14:textId="77777777" w:rsidR="00857A0D" w:rsidRPr="00873B6C" w:rsidRDefault="00857A0D" w:rsidP="00857A0D">
            <w:pPr>
              <w:pStyle w:val="TAC"/>
            </w:pPr>
            <w:r w:rsidRPr="00873B6C">
              <w:t>-</w:t>
            </w:r>
          </w:p>
        </w:tc>
        <w:tc>
          <w:tcPr>
            <w:tcW w:w="2126" w:type="dxa"/>
            <w:shd w:val="clear" w:color="auto" w:fill="auto"/>
          </w:tcPr>
          <w:p w14:paraId="70137EF7" w14:textId="77777777" w:rsidR="00857A0D" w:rsidRPr="00873B6C" w:rsidRDefault="00857A0D" w:rsidP="00857A0D">
            <w:pPr>
              <w:pStyle w:val="TAC"/>
            </w:pPr>
            <w:r w:rsidRPr="00873B6C">
              <w:t>IEEE Std 802.1AB [97] Table 11-2</w:t>
            </w:r>
          </w:p>
        </w:tc>
      </w:tr>
      <w:tr w:rsidR="00857A0D" w:rsidRPr="00873B6C" w14:paraId="78EFA414" w14:textId="77777777" w:rsidTr="00C9561D">
        <w:trPr>
          <w:cantSplit/>
          <w:jc w:val="center"/>
        </w:trPr>
        <w:tc>
          <w:tcPr>
            <w:tcW w:w="3735" w:type="dxa"/>
            <w:shd w:val="clear" w:color="auto" w:fill="auto"/>
          </w:tcPr>
          <w:p w14:paraId="4BA94406" w14:textId="77777777" w:rsidR="00857A0D" w:rsidRPr="00873B6C" w:rsidRDefault="00857A0D" w:rsidP="00857A0D">
            <w:pPr>
              <w:pStyle w:val="TAL"/>
            </w:pPr>
            <w:r w:rsidRPr="00873B6C">
              <w:t>lldpV2RemPortId</w:t>
            </w:r>
          </w:p>
        </w:tc>
        <w:tc>
          <w:tcPr>
            <w:tcW w:w="709" w:type="dxa"/>
            <w:shd w:val="clear" w:color="auto" w:fill="auto"/>
          </w:tcPr>
          <w:p w14:paraId="37A36C74" w14:textId="77777777" w:rsidR="00857A0D" w:rsidRPr="00873B6C" w:rsidRDefault="00857A0D" w:rsidP="00857A0D">
            <w:pPr>
              <w:pStyle w:val="TAC"/>
            </w:pPr>
            <w:r w:rsidRPr="00873B6C">
              <w:t>D</w:t>
            </w:r>
          </w:p>
        </w:tc>
        <w:tc>
          <w:tcPr>
            <w:tcW w:w="708" w:type="dxa"/>
            <w:shd w:val="clear" w:color="auto" w:fill="auto"/>
          </w:tcPr>
          <w:p w14:paraId="1384628E" w14:textId="77777777" w:rsidR="00857A0D" w:rsidRPr="00873B6C" w:rsidRDefault="00857A0D" w:rsidP="00857A0D">
            <w:pPr>
              <w:pStyle w:val="TAC"/>
            </w:pPr>
          </w:p>
        </w:tc>
        <w:tc>
          <w:tcPr>
            <w:tcW w:w="1418" w:type="dxa"/>
            <w:shd w:val="clear" w:color="auto" w:fill="auto"/>
          </w:tcPr>
          <w:p w14:paraId="58C58ED7" w14:textId="77777777" w:rsidR="00857A0D" w:rsidRPr="00873B6C" w:rsidRDefault="00857A0D" w:rsidP="00857A0D">
            <w:pPr>
              <w:pStyle w:val="TAC"/>
            </w:pPr>
            <w:r w:rsidRPr="00873B6C">
              <w:t>R</w:t>
            </w:r>
          </w:p>
        </w:tc>
        <w:tc>
          <w:tcPr>
            <w:tcW w:w="1338" w:type="dxa"/>
          </w:tcPr>
          <w:p w14:paraId="2E05C338" w14:textId="77777777" w:rsidR="00857A0D" w:rsidRPr="00873B6C" w:rsidRDefault="00857A0D" w:rsidP="00857A0D">
            <w:pPr>
              <w:pStyle w:val="TAC"/>
            </w:pPr>
            <w:r w:rsidRPr="00873B6C">
              <w:t>-</w:t>
            </w:r>
          </w:p>
        </w:tc>
        <w:tc>
          <w:tcPr>
            <w:tcW w:w="2126" w:type="dxa"/>
            <w:shd w:val="clear" w:color="auto" w:fill="auto"/>
          </w:tcPr>
          <w:p w14:paraId="2E1F1183" w14:textId="77777777" w:rsidR="00857A0D" w:rsidRPr="00873B6C" w:rsidRDefault="00857A0D" w:rsidP="00857A0D">
            <w:pPr>
              <w:pStyle w:val="TAC"/>
            </w:pPr>
            <w:r w:rsidRPr="00873B6C">
              <w:t>IEEE Std 802.1AB [97] Table 11-2</w:t>
            </w:r>
          </w:p>
        </w:tc>
      </w:tr>
      <w:tr w:rsidR="00857A0D" w:rsidRPr="00873B6C" w14:paraId="0E05C2E5" w14:textId="77777777" w:rsidTr="00C9561D">
        <w:trPr>
          <w:cantSplit/>
          <w:jc w:val="center"/>
        </w:trPr>
        <w:tc>
          <w:tcPr>
            <w:tcW w:w="3735" w:type="dxa"/>
            <w:shd w:val="clear" w:color="auto" w:fill="auto"/>
          </w:tcPr>
          <w:p w14:paraId="1C769D23" w14:textId="77777777" w:rsidR="00857A0D" w:rsidRPr="00873B6C" w:rsidRDefault="00857A0D" w:rsidP="00857A0D">
            <w:pPr>
              <w:pStyle w:val="TAL"/>
            </w:pPr>
            <w:r w:rsidRPr="00873B6C">
              <w:t>TTL</w:t>
            </w:r>
          </w:p>
        </w:tc>
        <w:tc>
          <w:tcPr>
            <w:tcW w:w="709" w:type="dxa"/>
            <w:shd w:val="clear" w:color="auto" w:fill="auto"/>
          </w:tcPr>
          <w:p w14:paraId="0D770396" w14:textId="77777777" w:rsidR="00857A0D" w:rsidRPr="00873B6C" w:rsidRDefault="00857A0D" w:rsidP="00857A0D">
            <w:pPr>
              <w:pStyle w:val="TAC"/>
            </w:pPr>
            <w:r w:rsidRPr="00873B6C">
              <w:t>D</w:t>
            </w:r>
          </w:p>
        </w:tc>
        <w:tc>
          <w:tcPr>
            <w:tcW w:w="708" w:type="dxa"/>
            <w:shd w:val="clear" w:color="auto" w:fill="auto"/>
          </w:tcPr>
          <w:p w14:paraId="29D149FD" w14:textId="77777777" w:rsidR="00857A0D" w:rsidRPr="00873B6C" w:rsidRDefault="00857A0D" w:rsidP="00857A0D">
            <w:pPr>
              <w:pStyle w:val="TAC"/>
            </w:pPr>
          </w:p>
        </w:tc>
        <w:tc>
          <w:tcPr>
            <w:tcW w:w="1418" w:type="dxa"/>
            <w:shd w:val="clear" w:color="auto" w:fill="auto"/>
          </w:tcPr>
          <w:p w14:paraId="5D104719" w14:textId="77777777" w:rsidR="00857A0D" w:rsidRPr="00873B6C" w:rsidRDefault="00857A0D" w:rsidP="00857A0D">
            <w:pPr>
              <w:pStyle w:val="TAC"/>
            </w:pPr>
            <w:r w:rsidRPr="00873B6C">
              <w:t>R</w:t>
            </w:r>
          </w:p>
        </w:tc>
        <w:tc>
          <w:tcPr>
            <w:tcW w:w="1338" w:type="dxa"/>
          </w:tcPr>
          <w:p w14:paraId="54848244" w14:textId="77777777" w:rsidR="00857A0D" w:rsidRPr="00873B6C" w:rsidRDefault="00857A0D" w:rsidP="00857A0D">
            <w:pPr>
              <w:pStyle w:val="TAC"/>
            </w:pPr>
            <w:r w:rsidRPr="00873B6C">
              <w:t>-</w:t>
            </w:r>
          </w:p>
        </w:tc>
        <w:tc>
          <w:tcPr>
            <w:tcW w:w="2126" w:type="dxa"/>
            <w:shd w:val="clear" w:color="auto" w:fill="auto"/>
          </w:tcPr>
          <w:p w14:paraId="7A865207" w14:textId="77777777" w:rsidR="00857A0D" w:rsidRPr="00873B6C" w:rsidRDefault="00857A0D" w:rsidP="00857A0D">
            <w:pPr>
              <w:pStyle w:val="TAC"/>
            </w:pPr>
            <w:r w:rsidRPr="00873B6C">
              <w:t>IEEE Std 802.1AB [97] clause 8.5.4.1</w:t>
            </w:r>
          </w:p>
        </w:tc>
      </w:tr>
      <w:tr w:rsidR="00857A0D" w:rsidRPr="00873B6C" w14:paraId="57FDFF4B" w14:textId="77777777" w:rsidTr="00E1787C">
        <w:trPr>
          <w:cantSplit/>
          <w:jc w:val="center"/>
        </w:trPr>
        <w:tc>
          <w:tcPr>
            <w:tcW w:w="3735" w:type="dxa"/>
            <w:shd w:val="clear" w:color="auto" w:fill="auto"/>
          </w:tcPr>
          <w:p w14:paraId="724A4E90" w14:textId="77777777" w:rsidR="00857A0D" w:rsidRPr="00873B6C" w:rsidRDefault="00857A0D" w:rsidP="00857A0D">
            <w:pPr>
              <w:pStyle w:val="TAL"/>
            </w:pPr>
            <w:r w:rsidRPr="00873B6C">
              <w:t>OtlvSet</w:t>
            </w:r>
          </w:p>
        </w:tc>
        <w:tc>
          <w:tcPr>
            <w:tcW w:w="709" w:type="dxa"/>
            <w:shd w:val="clear" w:color="auto" w:fill="auto"/>
          </w:tcPr>
          <w:p w14:paraId="27B4CE6B" w14:textId="0E81D656" w:rsidR="00857A0D" w:rsidRPr="00873B6C" w:rsidRDefault="00857A0D" w:rsidP="00857A0D">
            <w:pPr>
              <w:pStyle w:val="TAC"/>
            </w:pPr>
            <w:r w:rsidRPr="00873B6C">
              <w:t>D</w:t>
            </w:r>
          </w:p>
        </w:tc>
        <w:tc>
          <w:tcPr>
            <w:tcW w:w="708" w:type="dxa"/>
            <w:shd w:val="clear" w:color="auto" w:fill="auto"/>
          </w:tcPr>
          <w:p w14:paraId="5E5FAC1F" w14:textId="26085013" w:rsidR="00857A0D" w:rsidRPr="00873B6C" w:rsidRDefault="00857A0D" w:rsidP="00857A0D">
            <w:pPr>
              <w:pStyle w:val="TAC"/>
            </w:pPr>
          </w:p>
        </w:tc>
        <w:tc>
          <w:tcPr>
            <w:tcW w:w="1418" w:type="dxa"/>
            <w:shd w:val="clear" w:color="auto" w:fill="auto"/>
          </w:tcPr>
          <w:p w14:paraId="175B0585" w14:textId="7125441E" w:rsidR="00857A0D" w:rsidRPr="00873B6C" w:rsidRDefault="00857A0D" w:rsidP="00857A0D">
            <w:pPr>
              <w:pStyle w:val="TAC"/>
            </w:pPr>
            <w:r w:rsidRPr="00873B6C">
              <w:t>R</w:t>
            </w:r>
          </w:p>
        </w:tc>
        <w:tc>
          <w:tcPr>
            <w:tcW w:w="1338" w:type="dxa"/>
          </w:tcPr>
          <w:p w14:paraId="19EF7425" w14:textId="1F435831" w:rsidR="00857A0D" w:rsidRPr="00873B6C" w:rsidRDefault="00857A0D" w:rsidP="00857A0D">
            <w:pPr>
              <w:pStyle w:val="TAC"/>
            </w:pPr>
            <w:r w:rsidRPr="00873B6C">
              <w:t>-</w:t>
            </w:r>
          </w:p>
        </w:tc>
        <w:tc>
          <w:tcPr>
            <w:tcW w:w="2126" w:type="dxa"/>
            <w:shd w:val="clear" w:color="auto" w:fill="auto"/>
          </w:tcPr>
          <w:p w14:paraId="12476518" w14:textId="2E38D5D9" w:rsidR="00857A0D" w:rsidRPr="00873B6C" w:rsidRDefault="00857A0D" w:rsidP="00857A0D">
            <w:pPr>
              <w:pStyle w:val="TAC"/>
            </w:pPr>
            <w:r w:rsidRPr="00873B6C">
              <w:t>IEC/IEEE 60802 [195], clause 6.5.2.4.5 and clause 6.5.2.4.6.</w:t>
            </w:r>
          </w:p>
        </w:tc>
      </w:tr>
      <w:tr w:rsidR="00857A0D" w:rsidRPr="00873B6C" w14:paraId="0A6B8BF7" w14:textId="77777777" w:rsidTr="00C9561D">
        <w:trPr>
          <w:cantSplit/>
          <w:jc w:val="center"/>
        </w:trPr>
        <w:tc>
          <w:tcPr>
            <w:tcW w:w="3735" w:type="dxa"/>
            <w:shd w:val="clear" w:color="auto" w:fill="auto"/>
          </w:tcPr>
          <w:p w14:paraId="0E12717C" w14:textId="77777777" w:rsidR="00857A0D" w:rsidRPr="00873B6C" w:rsidRDefault="00857A0D" w:rsidP="00857A0D">
            <w:pPr>
              <w:pStyle w:val="TAL"/>
              <w:rPr>
                <w:b/>
              </w:rPr>
            </w:pPr>
            <w:r w:rsidRPr="00873B6C">
              <w:t>Information for deterministic networking for each NW-TT port (NOTE 27)</w:t>
            </w:r>
          </w:p>
        </w:tc>
        <w:tc>
          <w:tcPr>
            <w:tcW w:w="709" w:type="dxa"/>
            <w:shd w:val="clear" w:color="auto" w:fill="auto"/>
          </w:tcPr>
          <w:p w14:paraId="74984E8D" w14:textId="77777777" w:rsidR="00857A0D" w:rsidRPr="00873B6C" w:rsidRDefault="00857A0D" w:rsidP="00857A0D">
            <w:pPr>
              <w:pStyle w:val="TAC"/>
            </w:pPr>
          </w:p>
        </w:tc>
        <w:tc>
          <w:tcPr>
            <w:tcW w:w="708" w:type="dxa"/>
            <w:shd w:val="clear" w:color="auto" w:fill="auto"/>
          </w:tcPr>
          <w:p w14:paraId="120A7362" w14:textId="77777777" w:rsidR="00857A0D" w:rsidRPr="00873B6C" w:rsidRDefault="00857A0D" w:rsidP="00857A0D">
            <w:pPr>
              <w:pStyle w:val="TAC"/>
            </w:pPr>
          </w:p>
        </w:tc>
        <w:tc>
          <w:tcPr>
            <w:tcW w:w="1418" w:type="dxa"/>
            <w:shd w:val="clear" w:color="auto" w:fill="auto"/>
          </w:tcPr>
          <w:p w14:paraId="35F92954" w14:textId="77777777" w:rsidR="00857A0D" w:rsidRPr="00873B6C" w:rsidRDefault="00857A0D" w:rsidP="00857A0D">
            <w:pPr>
              <w:pStyle w:val="TAC"/>
            </w:pPr>
          </w:p>
        </w:tc>
        <w:tc>
          <w:tcPr>
            <w:tcW w:w="1338" w:type="dxa"/>
          </w:tcPr>
          <w:p w14:paraId="32B3543B" w14:textId="77777777" w:rsidR="00857A0D" w:rsidRPr="00873B6C" w:rsidRDefault="00857A0D" w:rsidP="00857A0D">
            <w:pPr>
              <w:pStyle w:val="TAC"/>
            </w:pPr>
          </w:p>
        </w:tc>
        <w:tc>
          <w:tcPr>
            <w:tcW w:w="2126" w:type="dxa"/>
            <w:shd w:val="clear" w:color="auto" w:fill="auto"/>
          </w:tcPr>
          <w:p w14:paraId="24B337AC" w14:textId="77777777" w:rsidR="00857A0D" w:rsidRPr="00873B6C" w:rsidRDefault="00857A0D" w:rsidP="00857A0D">
            <w:pPr>
              <w:pStyle w:val="TAC"/>
            </w:pPr>
          </w:p>
        </w:tc>
      </w:tr>
      <w:tr w:rsidR="00857A0D" w:rsidRPr="00873B6C" w14:paraId="42A7EED9" w14:textId="77777777" w:rsidTr="00C9561D">
        <w:trPr>
          <w:cantSplit/>
          <w:jc w:val="center"/>
        </w:trPr>
        <w:tc>
          <w:tcPr>
            <w:tcW w:w="3735" w:type="dxa"/>
            <w:shd w:val="clear" w:color="auto" w:fill="auto"/>
          </w:tcPr>
          <w:p w14:paraId="5AE54B56" w14:textId="77777777" w:rsidR="00857A0D" w:rsidRPr="00873B6C" w:rsidRDefault="00857A0D" w:rsidP="00857A0D">
            <w:pPr>
              <w:pStyle w:val="TAL"/>
            </w:pPr>
            <w:r w:rsidRPr="00873B6C">
              <w:t>Interface information</w:t>
            </w:r>
          </w:p>
        </w:tc>
        <w:tc>
          <w:tcPr>
            <w:tcW w:w="709" w:type="dxa"/>
            <w:shd w:val="clear" w:color="auto" w:fill="auto"/>
          </w:tcPr>
          <w:p w14:paraId="2987FC75" w14:textId="77777777" w:rsidR="00857A0D" w:rsidRPr="00873B6C" w:rsidRDefault="00857A0D" w:rsidP="00857A0D">
            <w:pPr>
              <w:pStyle w:val="TAC"/>
            </w:pPr>
          </w:p>
        </w:tc>
        <w:tc>
          <w:tcPr>
            <w:tcW w:w="708" w:type="dxa"/>
            <w:shd w:val="clear" w:color="auto" w:fill="auto"/>
          </w:tcPr>
          <w:p w14:paraId="60ECE2A7" w14:textId="77777777" w:rsidR="00857A0D" w:rsidRPr="00873B6C" w:rsidRDefault="00857A0D" w:rsidP="00857A0D">
            <w:pPr>
              <w:pStyle w:val="TAC"/>
            </w:pPr>
          </w:p>
        </w:tc>
        <w:tc>
          <w:tcPr>
            <w:tcW w:w="1418" w:type="dxa"/>
            <w:shd w:val="clear" w:color="auto" w:fill="auto"/>
          </w:tcPr>
          <w:p w14:paraId="7AC00BD0" w14:textId="77777777" w:rsidR="00857A0D" w:rsidRPr="00873B6C" w:rsidRDefault="00857A0D" w:rsidP="00857A0D">
            <w:pPr>
              <w:pStyle w:val="TAC"/>
            </w:pPr>
          </w:p>
        </w:tc>
        <w:tc>
          <w:tcPr>
            <w:tcW w:w="1338" w:type="dxa"/>
          </w:tcPr>
          <w:p w14:paraId="34922106" w14:textId="77777777" w:rsidR="00857A0D" w:rsidRPr="00873B6C" w:rsidRDefault="00857A0D" w:rsidP="00857A0D">
            <w:pPr>
              <w:pStyle w:val="TAC"/>
            </w:pPr>
          </w:p>
        </w:tc>
        <w:tc>
          <w:tcPr>
            <w:tcW w:w="2126" w:type="dxa"/>
            <w:shd w:val="clear" w:color="auto" w:fill="auto"/>
          </w:tcPr>
          <w:p w14:paraId="6509C3C3" w14:textId="77777777" w:rsidR="00857A0D" w:rsidRPr="00873B6C" w:rsidRDefault="00857A0D" w:rsidP="00857A0D">
            <w:pPr>
              <w:pStyle w:val="TAC"/>
            </w:pPr>
          </w:p>
        </w:tc>
      </w:tr>
      <w:tr w:rsidR="00857A0D" w:rsidRPr="00873B6C" w14:paraId="130CA660" w14:textId="77777777" w:rsidTr="00C9561D">
        <w:trPr>
          <w:cantSplit/>
          <w:jc w:val="center"/>
        </w:trPr>
        <w:tc>
          <w:tcPr>
            <w:tcW w:w="3735" w:type="dxa"/>
            <w:shd w:val="clear" w:color="auto" w:fill="auto"/>
          </w:tcPr>
          <w:p w14:paraId="3F82E0F6" w14:textId="77777777" w:rsidR="00857A0D" w:rsidRPr="00873B6C" w:rsidRDefault="00857A0D" w:rsidP="00857A0D">
            <w:pPr>
              <w:pStyle w:val="TAL"/>
            </w:pPr>
            <w:r w:rsidRPr="00873B6C">
              <w:t>Interface type</w:t>
            </w:r>
          </w:p>
        </w:tc>
        <w:tc>
          <w:tcPr>
            <w:tcW w:w="709" w:type="dxa"/>
            <w:shd w:val="clear" w:color="auto" w:fill="auto"/>
          </w:tcPr>
          <w:p w14:paraId="1AFD06F3" w14:textId="77777777" w:rsidR="00857A0D" w:rsidRPr="00873B6C" w:rsidRDefault="00857A0D" w:rsidP="00857A0D">
            <w:pPr>
              <w:pStyle w:val="TAC"/>
            </w:pPr>
          </w:p>
        </w:tc>
        <w:tc>
          <w:tcPr>
            <w:tcW w:w="708" w:type="dxa"/>
            <w:shd w:val="clear" w:color="auto" w:fill="auto"/>
          </w:tcPr>
          <w:p w14:paraId="780059FD" w14:textId="77777777" w:rsidR="00857A0D" w:rsidRPr="00873B6C" w:rsidRDefault="00857A0D" w:rsidP="00857A0D">
            <w:pPr>
              <w:pStyle w:val="TAC"/>
            </w:pPr>
            <w:r w:rsidRPr="00873B6C">
              <w:t>X</w:t>
            </w:r>
          </w:p>
        </w:tc>
        <w:tc>
          <w:tcPr>
            <w:tcW w:w="1418" w:type="dxa"/>
            <w:shd w:val="clear" w:color="auto" w:fill="auto"/>
          </w:tcPr>
          <w:p w14:paraId="40892437" w14:textId="77777777" w:rsidR="00857A0D" w:rsidRPr="00873B6C" w:rsidRDefault="00857A0D" w:rsidP="00857A0D">
            <w:pPr>
              <w:pStyle w:val="TAC"/>
            </w:pPr>
          </w:p>
        </w:tc>
        <w:tc>
          <w:tcPr>
            <w:tcW w:w="1338" w:type="dxa"/>
          </w:tcPr>
          <w:p w14:paraId="683F1BA2" w14:textId="77777777" w:rsidR="00857A0D" w:rsidRPr="00873B6C" w:rsidRDefault="00857A0D" w:rsidP="00857A0D">
            <w:pPr>
              <w:pStyle w:val="TAC"/>
            </w:pPr>
            <w:r w:rsidRPr="00873B6C">
              <w:t>R</w:t>
            </w:r>
          </w:p>
        </w:tc>
        <w:tc>
          <w:tcPr>
            <w:tcW w:w="2126" w:type="dxa"/>
            <w:shd w:val="clear" w:color="auto" w:fill="auto"/>
          </w:tcPr>
          <w:p w14:paraId="581404E5" w14:textId="77777777" w:rsidR="00857A0D" w:rsidRPr="00873B6C" w:rsidRDefault="00857A0D" w:rsidP="00857A0D">
            <w:pPr>
              <w:pStyle w:val="TAC"/>
            </w:pPr>
            <w:r w:rsidRPr="00873B6C">
              <w:t>IETF RFC 8343 [151]</w:t>
            </w:r>
          </w:p>
        </w:tc>
      </w:tr>
      <w:tr w:rsidR="00857A0D" w:rsidRPr="00873B6C" w14:paraId="570CE386" w14:textId="77777777" w:rsidTr="00C9561D">
        <w:trPr>
          <w:cantSplit/>
          <w:jc w:val="center"/>
        </w:trPr>
        <w:tc>
          <w:tcPr>
            <w:tcW w:w="3735" w:type="dxa"/>
            <w:shd w:val="clear" w:color="auto" w:fill="auto"/>
          </w:tcPr>
          <w:p w14:paraId="67577AE7" w14:textId="77777777" w:rsidR="00857A0D" w:rsidRPr="00873B6C" w:rsidRDefault="00857A0D" w:rsidP="00857A0D">
            <w:pPr>
              <w:pStyle w:val="TAL"/>
            </w:pPr>
            <w:r w:rsidRPr="00873B6C">
              <w:t>Interface enabled status</w:t>
            </w:r>
          </w:p>
        </w:tc>
        <w:tc>
          <w:tcPr>
            <w:tcW w:w="709" w:type="dxa"/>
            <w:shd w:val="clear" w:color="auto" w:fill="auto"/>
          </w:tcPr>
          <w:p w14:paraId="2212DB71" w14:textId="77777777" w:rsidR="00857A0D" w:rsidRPr="00873B6C" w:rsidRDefault="00857A0D" w:rsidP="00857A0D">
            <w:pPr>
              <w:pStyle w:val="TAC"/>
            </w:pPr>
          </w:p>
        </w:tc>
        <w:tc>
          <w:tcPr>
            <w:tcW w:w="708" w:type="dxa"/>
            <w:shd w:val="clear" w:color="auto" w:fill="auto"/>
          </w:tcPr>
          <w:p w14:paraId="48794AA1" w14:textId="77777777" w:rsidR="00857A0D" w:rsidRPr="00873B6C" w:rsidRDefault="00857A0D" w:rsidP="00857A0D">
            <w:pPr>
              <w:pStyle w:val="TAC"/>
            </w:pPr>
            <w:r w:rsidRPr="00873B6C">
              <w:t>X</w:t>
            </w:r>
          </w:p>
        </w:tc>
        <w:tc>
          <w:tcPr>
            <w:tcW w:w="1418" w:type="dxa"/>
            <w:shd w:val="clear" w:color="auto" w:fill="auto"/>
          </w:tcPr>
          <w:p w14:paraId="7030CE63" w14:textId="77777777" w:rsidR="00857A0D" w:rsidRPr="00873B6C" w:rsidRDefault="00857A0D" w:rsidP="00857A0D">
            <w:pPr>
              <w:pStyle w:val="TAC"/>
            </w:pPr>
          </w:p>
        </w:tc>
        <w:tc>
          <w:tcPr>
            <w:tcW w:w="1338" w:type="dxa"/>
          </w:tcPr>
          <w:p w14:paraId="1B6AAC3F" w14:textId="77777777" w:rsidR="00857A0D" w:rsidRPr="00873B6C" w:rsidRDefault="00857A0D" w:rsidP="00857A0D">
            <w:pPr>
              <w:pStyle w:val="TAC"/>
            </w:pPr>
            <w:r w:rsidRPr="00873B6C">
              <w:t>R</w:t>
            </w:r>
          </w:p>
        </w:tc>
        <w:tc>
          <w:tcPr>
            <w:tcW w:w="2126" w:type="dxa"/>
            <w:shd w:val="clear" w:color="auto" w:fill="auto"/>
          </w:tcPr>
          <w:p w14:paraId="665E9F29" w14:textId="77777777" w:rsidR="00857A0D" w:rsidRPr="00873B6C" w:rsidRDefault="00857A0D" w:rsidP="00857A0D">
            <w:pPr>
              <w:pStyle w:val="TAC"/>
            </w:pPr>
            <w:r w:rsidRPr="00873B6C">
              <w:t>IETF RFC 8343 [151]</w:t>
            </w:r>
          </w:p>
        </w:tc>
      </w:tr>
      <w:tr w:rsidR="00857A0D" w:rsidRPr="00873B6C" w14:paraId="2462BA26" w14:textId="77777777" w:rsidTr="00C9561D">
        <w:trPr>
          <w:cantSplit/>
          <w:jc w:val="center"/>
        </w:trPr>
        <w:tc>
          <w:tcPr>
            <w:tcW w:w="3735" w:type="dxa"/>
            <w:shd w:val="clear" w:color="auto" w:fill="auto"/>
          </w:tcPr>
          <w:p w14:paraId="248180A5" w14:textId="77777777" w:rsidR="00857A0D" w:rsidRPr="00873B6C" w:rsidRDefault="00857A0D" w:rsidP="00857A0D">
            <w:pPr>
              <w:pStyle w:val="TAL"/>
            </w:pPr>
            <w:r w:rsidRPr="00873B6C">
              <w:t>phys-address</w:t>
            </w:r>
          </w:p>
        </w:tc>
        <w:tc>
          <w:tcPr>
            <w:tcW w:w="709" w:type="dxa"/>
            <w:shd w:val="clear" w:color="auto" w:fill="auto"/>
          </w:tcPr>
          <w:p w14:paraId="1731022D" w14:textId="77777777" w:rsidR="00857A0D" w:rsidRPr="00873B6C" w:rsidRDefault="00857A0D" w:rsidP="00857A0D">
            <w:pPr>
              <w:pStyle w:val="TAC"/>
            </w:pPr>
          </w:p>
        </w:tc>
        <w:tc>
          <w:tcPr>
            <w:tcW w:w="708" w:type="dxa"/>
            <w:shd w:val="clear" w:color="auto" w:fill="auto"/>
          </w:tcPr>
          <w:p w14:paraId="4E2D2FB8" w14:textId="77777777" w:rsidR="00857A0D" w:rsidRPr="00873B6C" w:rsidRDefault="00857A0D" w:rsidP="00857A0D">
            <w:pPr>
              <w:pStyle w:val="TAC"/>
            </w:pPr>
            <w:r w:rsidRPr="00873B6C">
              <w:t>X</w:t>
            </w:r>
          </w:p>
        </w:tc>
        <w:tc>
          <w:tcPr>
            <w:tcW w:w="1418" w:type="dxa"/>
            <w:shd w:val="clear" w:color="auto" w:fill="auto"/>
          </w:tcPr>
          <w:p w14:paraId="368C889A" w14:textId="77777777" w:rsidR="00857A0D" w:rsidRPr="00873B6C" w:rsidRDefault="00857A0D" w:rsidP="00857A0D">
            <w:pPr>
              <w:pStyle w:val="TAC"/>
            </w:pPr>
          </w:p>
        </w:tc>
        <w:tc>
          <w:tcPr>
            <w:tcW w:w="1338" w:type="dxa"/>
          </w:tcPr>
          <w:p w14:paraId="48613EDB" w14:textId="77777777" w:rsidR="00857A0D" w:rsidRPr="00873B6C" w:rsidRDefault="00857A0D" w:rsidP="00857A0D">
            <w:pPr>
              <w:pStyle w:val="TAC"/>
            </w:pPr>
            <w:r w:rsidRPr="00873B6C">
              <w:t>R</w:t>
            </w:r>
          </w:p>
        </w:tc>
        <w:tc>
          <w:tcPr>
            <w:tcW w:w="2126" w:type="dxa"/>
            <w:shd w:val="clear" w:color="auto" w:fill="auto"/>
          </w:tcPr>
          <w:p w14:paraId="55B53944" w14:textId="77777777" w:rsidR="00857A0D" w:rsidRPr="00873B6C" w:rsidRDefault="00857A0D" w:rsidP="00857A0D">
            <w:pPr>
              <w:pStyle w:val="TAC"/>
            </w:pPr>
            <w:r w:rsidRPr="00873B6C">
              <w:t>IETF RFC 8343 [151]</w:t>
            </w:r>
          </w:p>
        </w:tc>
      </w:tr>
      <w:tr w:rsidR="00857A0D" w:rsidRPr="00873B6C" w14:paraId="41E0DD96" w14:textId="77777777" w:rsidTr="00C9561D">
        <w:trPr>
          <w:cantSplit/>
          <w:jc w:val="center"/>
        </w:trPr>
        <w:tc>
          <w:tcPr>
            <w:tcW w:w="3735" w:type="dxa"/>
            <w:shd w:val="clear" w:color="auto" w:fill="auto"/>
          </w:tcPr>
          <w:p w14:paraId="7A8C127A" w14:textId="77777777" w:rsidR="00857A0D" w:rsidRPr="00873B6C" w:rsidRDefault="00857A0D" w:rsidP="00857A0D">
            <w:pPr>
              <w:pStyle w:val="TAL"/>
              <w:rPr>
                <w:b/>
              </w:rPr>
            </w:pPr>
            <w:r w:rsidRPr="00873B6C">
              <w:t>IPv4 information</w:t>
            </w:r>
          </w:p>
        </w:tc>
        <w:tc>
          <w:tcPr>
            <w:tcW w:w="709" w:type="dxa"/>
            <w:shd w:val="clear" w:color="auto" w:fill="auto"/>
          </w:tcPr>
          <w:p w14:paraId="6AADC7E1" w14:textId="77777777" w:rsidR="00857A0D" w:rsidRPr="00873B6C" w:rsidRDefault="00857A0D" w:rsidP="00857A0D">
            <w:pPr>
              <w:pStyle w:val="TAC"/>
            </w:pPr>
          </w:p>
        </w:tc>
        <w:tc>
          <w:tcPr>
            <w:tcW w:w="708" w:type="dxa"/>
            <w:shd w:val="clear" w:color="auto" w:fill="auto"/>
          </w:tcPr>
          <w:p w14:paraId="27DA02CB" w14:textId="77777777" w:rsidR="00857A0D" w:rsidRPr="00873B6C" w:rsidRDefault="00857A0D" w:rsidP="00857A0D">
            <w:pPr>
              <w:pStyle w:val="TAC"/>
            </w:pPr>
          </w:p>
        </w:tc>
        <w:tc>
          <w:tcPr>
            <w:tcW w:w="1418" w:type="dxa"/>
            <w:shd w:val="clear" w:color="auto" w:fill="auto"/>
          </w:tcPr>
          <w:p w14:paraId="71A9E97B" w14:textId="77777777" w:rsidR="00857A0D" w:rsidRPr="00873B6C" w:rsidRDefault="00857A0D" w:rsidP="00857A0D">
            <w:pPr>
              <w:pStyle w:val="TAC"/>
            </w:pPr>
          </w:p>
        </w:tc>
        <w:tc>
          <w:tcPr>
            <w:tcW w:w="1338" w:type="dxa"/>
          </w:tcPr>
          <w:p w14:paraId="1E6EF551" w14:textId="77777777" w:rsidR="00857A0D" w:rsidRPr="00873B6C" w:rsidRDefault="00857A0D" w:rsidP="00857A0D">
            <w:pPr>
              <w:pStyle w:val="TAC"/>
            </w:pPr>
          </w:p>
        </w:tc>
        <w:tc>
          <w:tcPr>
            <w:tcW w:w="2126" w:type="dxa"/>
            <w:shd w:val="clear" w:color="auto" w:fill="auto"/>
          </w:tcPr>
          <w:p w14:paraId="21C5F1FB" w14:textId="77777777" w:rsidR="00857A0D" w:rsidRPr="00873B6C" w:rsidRDefault="00857A0D" w:rsidP="00857A0D">
            <w:pPr>
              <w:pStyle w:val="TAC"/>
            </w:pPr>
          </w:p>
        </w:tc>
      </w:tr>
      <w:tr w:rsidR="00857A0D" w:rsidRPr="00873B6C" w14:paraId="4039D659" w14:textId="77777777" w:rsidTr="00C9561D">
        <w:trPr>
          <w:cantSplit/>
          <w:jc w:val="center"/>
        </w:trPr>
        <w:tc>
          <w:tcPr>
            <w:tcW w:w="3735" w:type="dxa"/>
            <w:shd w:val="clear" w:color="auto" w:fill="auto"/>
          </w:tcPr>
          <w:p w14:paraId="6AA18E32" w14:textId="77777777" w:rsidR="00857A0D" w:rsidRPr="00873B6C" w:rsidRDefault="00857A0D" w:rsidP="00857A0D">
            <w:pPr>
              <w:pStyle w:val="TAL"/>
            </w:pPr>
            <w:r w:rsidRPr="00873B6C">
              <w:t>IPv4 enabled status</w:t>
            </w:r>
          </w:p>
        </w:tc>
        <w:tc>
          <w:tcPr>
            <w:tcW w:w="709" w:type="dxa"/>
            <w:shd w:val="clear" w:color="auto" w:fill="auto"/>
          </w:tcPr>
          <w:p w14:paraId="52D8F1AC" w14:textId="77777777" w:rsidR="00857A0D" w:rsidRPr="00873B6C" w:rsidRDefault="00857A0D" w:rsidP="00857A0D">
            <w:pPr>
              <w:pStyle w:val="TAC"/>
            </w:pPr>
          </w:p>
        </w:tc>
        <w:tc>
          <w:tcPr>
            <w:tcW w:w="708" w:type="dxa"/>
            <w:shd w:val="clear" w:color="auto" w:fill="auto"/>
          </w:tcPr>
          <w:p w14:paraId="67BC47B2" w14:textId="77777777" w:rsidR="00857A0D" w:rsidRPr="00873B6C" w:rsidRDefault="00857A0D" w:rsidP="00857A0D">
            <w:pPr>
              <w:pStyle w:val="TAC"/>
            </w:pPr>
            <w:r w:rsidRPr="00873B6C">
              <w:t>X</w:t>
            </w:r>
          </w:p>
        </w:tc>
        <w:tc>
          <w:tcPr>
            <w:tcW w:w="1418" w:type="dxa"/>
            <w:shd w:val="clear" w:color="auto" w:fill="auto"/>
          </w:tcPr>
          <w:p w14:paraId="3D176D4D" w14:textId="77777777" w:rsidR="00857A0D" w:rsidRPr="00873B6C" w:rsidRDefault="00857A0D" w:rsidP="00857A0D">
            <w:pPr>
              <w:pStyle w:val="TAC"/>
            </w:pPr>
          </w:p>
        </w:tc>
        <w:tc>
          <w:tcPr>
            <w:tcW w:w="1338" w:type="dxa"/>
          </w:tcPr>
          <w:p w14:paraId="46C9038E" w14:textId="77777777" w:rsidR="00857A0D" w:rsidRPr="00873B6C" w:rsidRDefault="00857A0D" w:rsidP="00857A0D">
            <w:pPr>
              <w:pStyle w:val="TAC"/>
            </w:pPr>
            <w:r w:rsidRPr="00873B6C">
              <w:t>R</w:t>
            </w:r>
          </w:p>
        </w:tc>
        <w:tc>
          <w:tcPr>
            <w:tcW w:w="2126" w:type="dxa"/>
            <w:shd w:val="clear" w:color="auto" w:fill="auto"/>
          </w:tcPr>
          <w:p w14:paraId="289A3D99" w14:textId="77777777" w:rsidR="00857A0D" w:rsidRPr="00873B6C" w:rsidRDefault="00857A0D" w:rsidP="00857A0D">
            <w:pPr>
              <w:pStyle w:val="TAC"/>
            </w:pPr>
            <w:r w:rsidRPr="00873B6C">
              <w:t>IETF RFC 8344 [152]</w:t>
            </w:r>
          </w:p>
        </w:tc>
      </w:tr>
      <w:tr w:rsidR="00857A0D" w:rsidRPr="00873B6C" w14:paraId="78932906" w14:textId="77777777" w:rsidTr="00C9561D">
        <w:trPr>
          <w:cantSplit/>
          <w:jc w:val="center"/>
        </w:trPr>
        <w:tc>
          <w:tcPr>
            <w:tcW w:w="3735" w:type="dxa"/>
            <w:shd w:val="clear" w:color="auto" w:fill="auto"/>
          </w:tcPr>
          <w:p w14:paraId="05E0DDEA" w14:textId="77777777" w:rsidR="00857A0D" w:rsidRPr="00873B6C" w:rsidRDefault="00857A0D" w:rsidP="00857A0D">
            <w:pPr>
              <w:pStyle w:val="TAL"/>
            </w:pPr>
            <w:r w:rsidRPr="00873B6C">
              <w:t>IPv4 forwarding status</w:t>
            </w:r>
          </w:p>
        </w:tc>
        <w:tc>
          <w:tcPr>
            <w:tcW w:w="709" w:type="dxa"/>
            <w:shd w:val="clear" w:color="auto" w:fill="auto"/>
          </w:tcPr>
          <w:p w14:paraId="1EAE1BB9" w14:textId="77777777" w:rsidR="00857A0D" w:rsidRPr="00873B6C" w:rsidRDefault="00857A0D" w:rsidP="00857A0D">
            <w:pPr>
              <w:pStyle w:val="TAC"/>
            </w:pPr>
          </w:p>
        </w:tc>
        <w:tc>
          <w:tcPr>
            <w:tcW w:w="708" w:type="dxa"/>
            <w:shd w:val="clear" w:color="auto" w:fill="auto"/>
          </w:tcPr>
          <w:p w14:paraId="186A4726" w14:textId="77777777" w:rsidR="00857A0D" w:rsidRPr="00873B6C" w:rsidRDefault="00857A0D" w:rsidP="00857A0D">
            <w:pPr>
              <w:pStyle w:val="TAC"/>
            </w:pPr>
            <w:r w:rsidRPr="00873B6C">
              <w:t>X</w:t>
            </w:r>
          </w:p>
        </w:tc>
        <w:tc>
          <w:tcPr>
            <w:tcW w:w="1418" w:type="dxa"/>
            <w:shd w:val="clear" w:color="auto" w:fill="auto"/>
          </w:tcPr>
          <w:p w14:paraId="40384676" w14:textId="77777777" w:rsidR="00857A0D" w:rsidRPr="00873B6C" w:rsidRDefault="00857A0D" w:rsidP="00857A0D">
            <w:pPr>
              <w:pStyle w:val="TAC"/>
            </w:pPr>
          </w:p>
        </w:tc>
        <w:tc>
          <w:tcPr>
            <w:tcW w:w="1338" w:type="dxa"/>
          </w:tcPr>
          <w:p w14:paraId="49F3E58C" w14:textId="77777777" w:rsidR="00857A0D" w:rsidRPr="00873B6C" w:rsidRDefault="00857A0D" w:rsidP="00857A0D">
            <w:pPr>
              <w:pStyle w:val="TAC"/>
            </w:pPr>
            <w:r w:rsidRPr="00873B6C">
              <w:t>R</w:t>
            </w:r>
          </w:p>
        </w:tc>
        <w:tc>
          <w:tcPr>
            <w:tcW w:w="2126" w:type="dxa"/>
            <w:shd w:val="clear" w:color="auto" w:fill="auto"/>
          </w:tcPr>
          <w:p w14:paraId="2CBA0D0B" w14:textId="77777777" w:rsidR="00857A0D" w:rsidRPr="00873B6C" w:rsidRDefault="00857A0D" w:rsidP="00857A0D">
            <w:pPr>
              <w:pStyle w:val="TAC"/>
            </w:pPr>
            <w:r w:rsidRPr="00873B6C">
              <w:t>IETF RFC 8344 [152]</w:t>
            </w:r>
          </w:p>
        </w:tc>
      </w:tr>
      <w:tr w:rsidR="00857A0D" w:rsidRPr="00873B6C" w14:paraId="48089D18" w14:textId="77777777" w:rsidTr="00C9561D">
        <w:trPr>
          <w:cantSplit/>
          <w:jc w:val="center"/>
        </w:trPr>
        <w:tc>
          <w:tcPr>
            <w:tcW w:w="3735" w:type="dxa"/>
            <w:shd w:val="clear" w:color="auto" w:fill="auto"/>
          </w:tcPr>
          <w:p w14:paraId="4099B6B4" w14:textId="77777777" w:rsidR="00857A0D" w:rsidRPr="00873B6C" w:rsidRDefault="00857A0D" w:rsidP="00857A0D">
            <w:pPr>
              <w:pStyle w:val="TAL"/>
            </w:pPr>
            <w:r w:rsidRPr="00873B6C">
              <w:t>IPv4 MTU</w:t>
            </w:r>
          </w:p>
        </w:tc>
        <w:tc>
          <w:tcPr>
            <w:tcW w:w="709" w:type="dxa"/>
            <w:shd w:val="clear" w:color="auto" w:fill="auto"/>
          </w:tcPr>
          <w:p w14:paraId="6402E40A" w14:textId="77777777" w:rsidR="00857A0D" w:rsidRPr="00873B6C" w:rsidRDefault="00857A0D" w:rsidP="00857A0D">
            <w:pPr>
              <w:pStyle w:val="TAC"/>
            </w:pPr>
          </w:p>
        </w:tc>
        <w:tc>
          <w:tcPr>
            <w:tcW w:w="708" w:type="dxa"/>
            <w:shd w:val="clear" w:color="auto" w:fill="auto"/>
          </w:tcPr>
          <w:p w14:paraId="5DF34CDE" w14:textId="77777777" w:rsidR="00857A0D" w:rsidRPr="00873B6C" w:rsidRDefault="00857A0D" w:rsidP="00857A0D">
            <w:pPr>
              <w:pStyle w:val="TAC"/>
            </w:pPr>
            <w:r w:rsidRPr="00873B6C">
              <w:t>X</w:t>
            </w:r>
          </w:p>
        </w:tc>
        <w:tc>
          <w:tcPr>
            <w:tcW w:w="1418" w:type="dxa"/>
            <w:shd w:val="clear" w:color="auto" w:fill="auto"/>
          </w:tcPr>
          <w:p w14:paraId="59D8B671" w14:textId="77777777" w:rsidR="00857A0D" w:rsidRPr="00873B6C" w:rsidRDefault="00857A0D" w:rsidP="00857A0D">
            <w:pPr>
              <w:pStyle w:val="TAC"/>
            </w:pPr>
          </w:p>
        </w:tc>
        <w:tc>
          <w:tcPr>
            <w:tcW w:w="1338" w:type="dxa"/>
          </w:tcPr>
          <w:p w14:paraId="69DBE610" w14:textId="77777777" w:rsidR="00857A0D" w:rsidRPr="00873B6C" w:rsidRDefault="00857A0D" w:rsidP="00857A0D">
            <w:pPr>
              <w:pStyle w:val="TAC"/>
            </w:pPr>
            <w:r w:rsidRPr="00873B6C">
              <w:t>R</w:t>
            </w:r>
          </w:p>
        </w:tc>
        <w:tc>
          <w:tcPr>
            <w:tcW w:w="2126" w:type="dxa"/>
            <w:shd w:val="clear" w:color="auto" w:fill="auto"/>
          </w:tcPr>
          <w:p w14:paraId="3415EBEC" w14:textId="77777777" w:rsidR="00857A0D" w:rsidRPr="00873B6C" w:rsidRDefault="00857A0D" w:rsidP="00857A0D">
            <w:pPr>
              <w:pStyle w:val="TAC"/>
            </w:pPr>
            <w:r w:rsidRPr="00873B6C">
              <w:t>IETF RFC 8344 [152]</w:t>
            </w:r>
          </w:p>
        </w:tc>
      </w:tr>
      <w:tr w:rsidR="00857A0D" w:rsidRPr="00873B6C" w14:paraId="433BF8FA" w14:textId="77777777" w:rsidTr="00C9561D">
        <w:trPr>
          <w:cantSplit/>
          <w:jc w:val="center"/>
        </w:trPr>
        <w:tc>
          <w:tcPr>
            <w:tcW w:w="3735" w:type="dxa"/>
            <w:shd w:val="clear" w:color="auto" w:fill="auto"/>
          </w:tcPr>
          <w:p w14:paraId="0D7F6BD4" w14:textId="77777777" w:rsidR="00857A0D" w:rsidRPr="00873B6C" w:rsidRDefault="00857A0D" w:rsidP="00857A0D">
            <w:pPr>
              <w:pStyle w:val="TAL"/>
            </w:pPr>
            <w:r w:rsidRPr="00873B6C">
              <w:t>Information for each IPv4 address</w:t>
            </w:r>
          </w:p>
        </w:tc>
        <w:tc>
          <w:tcPr>
            <w:tcW w:w="709" w:type="dxa"/>
            <w:shd w:val="clear" w:color="auto" w:fill="auto"/>
          </w:tcPr>
          <w:p w14:paraId="6C5849C7" w14:textId="77777777" w:rsidR="00857A0D" w:rsidRPr="00873B6C" w:rsidRDefault="00857A0D" w:rsidP="00857A0D">
            <w:pPr>
              <w:pStyle w:val="TAC"/>
            </w:pPr>
          </w:p>
        </w:tc>
        <w:tc>
          <w:tcPr>
            <w:tcW w:w="708" w:type="dxa"/>
            <w:shd w:val="clear" w:color="auto" w:fill="auto"/>
          </w:tcPr>
          <w:p w14:paraId="1213461D" w14:textId="77777777" w:rsidR="00857A0D" w:rsidRPr="00873B6C" w:rsidRDefault="00857A0D" w:rsidP="00857A0D">
            <w:pPr>
              <w:pStyle w:val="TAC"/>
            </w:pPr>
          </w:p>
        </w:tc>
        <w:tc>
          <w:tcPr>
            <w:tcW w:w="1418" w:type="dxa"/>
            <w:shd w:val="clear" w:color="auto" w:fill="auto"/>
          </w:tcPr>
          <w:p w14:paraId="087592E4" w14:textId="77777777" w:rsidR="00857A0D" w:rsidRPr="00873B6C" w:rsidRDefault="00857A0D" w:rsidP="00857A0D">
            <w:pPr>
              <w:pStyle w:val="TAC"/>
            </w:pPr>
          </w:p>
        </w:tc>
        <w:tc>
          <w:tcPr>
            <w:tcW w:w="1338" w:type="dxa"/>
          </w:tcPr>
          <w:p w14:paraId="2190EBD4" w14:textId="77777777" w:rsidR="00857A0D" w:rsidRPr="00873B6C" w:rsidRDefault="00857A0D" w:rsidP="00857A0D">
            <w:pPr>
              <w:pStyle w:val="TAC"/>
            </w:pPr>
          </w:p>
        </w:tc>
        <w:tc>
          <w:tcPr>
            <w:tcW w:w="2126" w:type="dxa"/>
            <w:shd w:val="clear" w:color="auto" w:fill="auto"/>
          </w:tcPr>
          <w:p w14:paraId="4FB3E3EE" w14:textId="77777777" w:rsidR="00857A0D" w:rsidRPr="00873B6C" w:rsidRDefault="00857A0D" w:rsidP="00857A0D">
            <w:pPr>
              <w:pStyle w:val="TAC"/>
            </w:pPr>
          </w:p>
        </w:tc>
      </w:tr>
      <w:tr w:rsidR="00857A0D" w:rsidRPr="00873B6C" w14:paraId="52444BD8" w14:textId="77777777" w:rsidTr="00C9561D">
        <w:trPr>
          <w:cantSplit/>
          <w:jc w:val="center"/>
        </w:trPr>
        <w:tc>
          <w:tcPr>
            <w:tcW w:w="3735" w:type="dxa"/>
            <w:shd w:val="clear" w:color="auto" w:fill="auto"/>
          </w:tcPr>
          <w:p w14:paraId="6ECB6EA7" w14:textId="77777777" w:rsidR="00857A0D" w:rsidRPr="00873B6C" w:rsidRDefault="00857A0D" w:rsidP="00857A0D">
            <w:pPr>
              <w:pStyle w:val="TAL"/>
              <w:rPr>
                <w:b/>
              </w:rPr>
            </w:pPr>
            <w:r w:rsidRPr="00873B6C">
              <w:t>IPv4 address</w:t>
            </w:r>
          </w:p>
        </w:tc>
        <w:tc>
          <w:tcPr>
            <w:tcW w:w="709" w:type="dxa"/>
            <w:shd w:val="clear" w:color="auto" w:fill="auto"/>
          </w:tcPr>
          <w:p w14:paraId="0D60E2B9" w14:textId="77777777" w:rsidR="00857A0D" w:rsidRPr="00873B6C" w:rsidRDefault="00857A0D" w:rsidP="00857A0D">
            <w:pPr>
              <w:pStyle w:val="TAC"/>
            </w:pPr>
          </w:p>
        </w:tc>
        <w:tc>
          <w:tcPr>
            <w:tcW w:w="708" w:type="dxa"/>
            <w:shd w:val="clear" w:color="auto" w:fill="auto"/>
          </w:tcPr>
          <w:p w14:paraId="58E695F8" w14:textId="77777777" w:rsidR="00857A0D" w:rsidRPr="00873B6C" w:rsidRDefault="00857A0D" w:rsidP="00857A0D">
            <w:pPr>
              <w:pStyle w:val="TAC"/>
            </w:pPr>
            <w:r w:rsidRPr="00873B6C">
              <w:t>X</w:t>
            </w:r>
          </w:p>
        </w:tc>
        <w:tc>
          <w:tcPr>
            <w:tcW w:w="1418" w:type="dxa"/>
            <w:shd w:val="clear" w:color="auto" w:fill="auto"/>
          </w:tcPr>
          <w:p w14:paraId="21141EDE" w14:textId="77777777" w:rsidR="00857A0D" w:rsidRPr="00873B6C" w:rsidRDefault="00857A0D" w:rsidP="00857A0D">
            <w:pPr>
              <w:pStyle w:val="TAC"/>
            </w:pPr>
          </w:p>
        </w:tc>
        <w:tc>
          <w:tcPr>
            <w:tcW w:w="1338" w:type="dxa"/>
          </w:tcPr>
          <w:p w14:paraId="1BF0E0F9" w14:textId="77777777" w:rsidR="00857A0D" w:rsidRPr="00873B6C" w:rsidRDefault="00857A0D" w:rsidP="00857A0D">
            <w:pPr>
              <w:pStyle w:val="TAC"/>
            </w:pPr>
            <w:r w:rsidRPr="00873B6C">
              <w:t>R</w:t>
            </w:r>
          </w:p>
        </w:tc>
        <w:tc>
          <w:tcPr>
            <w:tcW w:w="2126" w:type="dxa"/>
            <w:shd w:val="clear" w:color="auto" w:fill="auto"/>
          </w:tcPr>
          <w:p w14:paraId="02F37E63" w14:textId="77777777" w:rsidR="00857A0D" w:rsidRPr="00873B6C" w:rsidRDefault="00857A0D" w:rsidP="00857A0D">
            <w:pPr>
              <w:pStyle w:val="TAC"/>
            </w:pPr>
            <w:r w:rsidRPr="00873B6C">
              <w:t>IETF RFC 8344 [152]</w:t>
            </w:r>
          </w:p>
        </w:tc>
      </w:tr>
      <w:tr w:rsidR="00857A0D" w:rsidRPr="00873B6C" w14:paraId="1BCD346D" w14:textId="77777777" w:rsidTr="00C9561D">
        <w:trPr>
          <w:cantSplit/>
          <w:jc w:val="center"/>
        </w:trPr>
        <w:tc>
          <w:tcPr>
            <w:tcW w:w="3735" w:type="dxa"/>
            <w:shd w:val="clear" w:color="auto" w:fill="auto"/>
          </w:tcPr>
          <w:p w14:paraId="211E79EF" w14:textId="77777777" w:rsidR="00857A0D" w:rsidRPr="00873B6C" w:rsidRDefault="00857A0D" w:rsidP="00857A0D">
            <w:pPr>
              <w:pStyle w:val="TAL"/>
            </w:pPr>
            <w:r w:rsidRPr="00873B6C">
              <w:t>prefix-length</w:t>
            </w:r>
          </w:p>
        </w:tc>
        <w:tc>
          <w:tcPr>
            <w:tcW w:w="709" w:type="dxa"/>
            <w:shd w:val="clear" w:color="auto" w:fill="auto"/>
          </w:tcPr>
          <w:p w14:paraId="293895D9" w14:textId="77777777" w:rsidR="00857A0D" w:rsidRPr="00873B6C" w:rsidRDefault="00857A0D" w:rsidP="00857A0D">
            <w:pPr>
              <w:pStyle w:val="TAC"/>
            </w:pPr>
          </w:p>
        </w:tc>
        <w:tc>
          <w:tcPr>
            <w:tcW w:w="708" w:type="dxa"/>
            <w:shd w:val="clear" w:color="auto" w:fill="auto"/>
          </w:tcPr>
          <w:p w14:paraId="7AD97F5E" w14:textId="77777777" w:rsidR="00857A0D" w:rsidRPr="00873B6C" w:rsidRDefault="00857A0D" w:rsidP="00857A0D">
            <w:pPr>
              <w:pStyle w:val="TAC"/>
            </w:pPr>
            <w:r w:rsidRPr="00873B6C">
              <w:t>X</w:t>
            </w:r>
          </w:p>
        </w:tc>
        <w:tc>
          <w:tcPr>
            <w:tcW w:w="1418" w:type="dxa"/>
            <w:shd w:val="clear" w:color="auto" w:fill="auto"/>
          </w:tcPr>
          <w:p w14:paraId="04F83BAD" w14:textId="77777777" w:rsidR="00857A0D" w:rsidRPr="00873B6C" w:rsidRDefault="00857A0D" w:rsidP="00857A0D">
            <w:pPr>
              <w:pStyle w:val="TAC"/>
            </w:pPr>
          </w:p>
        </w:tc>
        <w:tc>
          <w:tcPr>
            <w:tcW w:w="1338" w:type="dxa"/>
          </w:tcPr>
          <w:p w14:paraId="42161F82" w14:textId="77777777" w:rsidR="00857A0D" w:rsidRPr="00873B6C" w:rsidRDefault="00857A0D" w:rsidP="00857A0D">
            <w:pPr>
              <w:pStyle w:val="TAC"/>
            </w:pPr>
            <w:r w:rsidRPr="00873B6C">
              <w:t>R</w:t>
            </w:r>
          </w:p>
        </w:tc>
        <w:tc>
          <w:tcPr>
            <w:tcW w:w="2126" w:type="dxa"/>
            <w:shd w:val="clear" w:color="auto" w:fill="auto"/>
          </w:tcPr>
          <w:p w14:paraId="65C398E3" w14:textId="77777777" w:rsidR="00857A0D" w:rsidRPr="00873B6C" w:rsidRDefault="00857A0D" w:rsidP="00857A0D">
            <w:pPr>
              <w:pStyle w:val="TAC"/>
            </w:pPr>
            <w:r w:rsidRPr="00873B6C">
              <w:t>IETF RFC 8344 [152]</w:t>
            </w:r>
          </w:p>
        </w:tc>
      </w:tr>
      <w:tr w:rsidR="00857A0D" w:rsidRPr="00873B6C" w14:paraId="6F42AC87" w14:textId="77777777" w:rsidTr="00C9561D">
        <w:trPr>
          <w:cantSplit/>
          <w:jc w:val="center"/>
        </w:trPr>
        <w:tc>
          <w:tcPr>
            <w:tcW w:w="3735" w:type="dxa"/>
            <w:shd w:val="clear" w:color="auto" w:fill="auto"/>
          </w:tcPr>
          <w:p w14:paraId="2A610C05" w14:textId="77777777" w:rsidR="00857A0D" w:rsidRPr="00873B6C" w:rsidRDefault="00857A0D" w:rsidP="00857A0D">
            <w:pPr>
              <w:pStyle w:val="TAL"/>
            </w:pPr>
            <w:r w:rsidRPr="00873B6C">
              <w:t>netmask</w:t>
            </w:r>
          </w:p>
        </w:tc>
        <w:tc>
          <w:tcPr>
            <w:tcW w:w="709" w:type="dxa"/>
            <w:shd w:val="clear" w:color="auto" w:fill="auto"/>
          </w:tcPr>
          <w:p w14:paraId="6816EE29" w14:textId="77777777" w:rsidR="00857A0D" w:rsidRPr="00873B6C" w:rsidRDefault="00857A0D" w:rsidP="00857A0D">
            <w:pPr>
              <w:pStyle w:val="TAC"/>
            </w:pPr>
          </w:p>
        </w:tc>
        <w:tc>
          <w:tcPr>
            <w:tcW w:w="708" w:type="dxa"/>
            <w:shd w:val="clear" w:color="auto" w:fill="auto"/>
          </w:tcPr>
          <w:p w14:paraId="52BB8CA3" w14:textId="77777777" w:rsidR="00857A0D" w:rsidRPr="00873B6C" w:rsidRDefault="00857A0D" w:rsidP="00857A0D">
            <w:pPr>
              <w:pStyle w:val="TAC"/>
            </w:pPr>
            <w:r w:rsidRPr="00873B6C">
              <w:t>X</w:t>
            </w:r>
          </w:p>
        </w:tc>
        <w:tc>
          <w:tcPr>
            <w:tcW w:w="1418" w:type="dxa"/>
            <w:shd w:val="clear" w:color="auto" w:fill="auto"/>
          </w:tcPr>
          <w:p w14:paraId="000F18B8" w14:textId="77777777" w:rsidR="00857A0D" w:rsidRPr="00873B6C" w:rsidRDefault="00857A0D" w:rsidP="00857A0D">
            <w:pPr>
              <w:pStyle w:val="TAC"/>
            </w:pPr>
          </w:p>
        </w:tc>
        <w:tc>
          <w:tcPr>
            <w:tcW w:w="1338" w:type="dxa"/>
          </w:tcPr>
          <w:p w14:paraId="5E33F39A" w14:textId="77777777" w:rsidR="00857A0D" w:rsidRPr="00873B6C" w:rsidRDefault="00857A0D" w:rsidP="00857A0D">
            <w:pPr>
              <w:pStyle w:val="TAC"/>
            </w:pPr>
            <w:r w:rsidRPr="00873B6C">
              <w:t>R</w:t>
            </w:r>
          </w:p>
        </w:tc>
        <w:tc>
          <w:tcPr>
            <w:tcW w:w="2126" w:type="dxa"/>
            <w:shd w:val="clear" w:color="auto" w:fill="auto"/>
          </w:tcPr>
          <w:p w14:paraId="0A1553F6" w14:textId="77777777" w:rsidR="00857A0D" w:rsidRPr="00873B6C" w:rsidRDefault="00857A0D" w:rsidP="00857A0D">
            <w:pPr>
              <w:pStyle w:val="TAC"/>
            </w:pPr>
            <w:r w:rsidRPr="00873B6C">
              <w:t>IETF RFC 8344 [152]</w:t>
            </w:r>
          </w:p>
        </w:tc>
      </w:tr>
      <w:tr w:rsidR="00857A0D" w:rsidRPr="00873B6C" w14:paraId="1DEFE4E2" w14:textId="77777777" w:rsidTr="00C9561D">
        <w:trPr>
          <w:cantSplit/>
          <w:jc w:val="center"/>
        </w:trPr>
        <w:tc>
          <w:tcPr>
            <w:tcW w:w="3735" w:type="dxa"/>
            <w:shd w:val="clear" w:color="auto" w:fill="auto"/>
          </w:tcPr>
          <w:p w14:paraId="6BE19EAB" w14:textId="77777777" w:rsidR="00857A0D" w:rsidRPr="00873B6C" w:rsidRDefault="00857A0D" w:rsidP="00857A0D">
            <w:pPr>
              <w:pStyle w:val="TAL"/>
            </w:pPr>
            <w:r w:rsidRPr="00873B6C">
              <w:t xml:space="preserve"> origin</w:t>
            </w:r>
          </w:p>
        </w:tc>
        <w:tc>
          <w:tcPr>
            <w:tcW w:w="709" w:type="dxa"/>
            <w:shd w:val="clear" w:color="auto" w:fill="auto"/>
          </w:tcPr>
          <w:p w14:paraId="4990E80D" w14:textId="77777777" w:rsidR="00857A0D" w:rsidRPr="00873B6C" w:rsidRDefault="00857A0D" w:rsidP="00857A0D">
            <w:pPr>
              <w:pStyle w:val="TAC"/>
            </w:pPr>
          </w:p>
        </w:tc>
        <w:tc>
          <w:tcPr>
            <w:tcW w:w="708" w:type="dxa"/>
            <w:shd w:val="clear" w:color="auto" w:fill="auto"/>
          </w:tcPr>
          <w:p w14:paraId="57232425" w14:textId="77777777" w:rsidR="00857A0D" w:rsidRPr="00873B6C" w:rsidRDefault="00857A0D" w:rsidP="00857A0D">
            <w:pPr>
              <w:pStyle w:val="TAC"/>
            </w:pPr>
            <w:r w:rsidRPr="00873B6C">
              <w:t>X</w:t>
            </w:r>
          </w:p>
        </w:tc>
        <w:tc>
          <w:tcPr>
            <w:tcW w:w="1418" w:type="dxa"/>
            <w:shd w:val="clear" w:color="auto" w:fill="auto"/>
          </w:tcPr>
          <w:p w14:paraId="7A2E8F15" w14:textId="77777777" w:rsidR="00857A0D" w:rsidRPr="00873B6C" w:rsidRDefault="00857A0D" w:rsidP="00857A0D">
            <w:pPr>
              <w:pStyle w:val="TAC"/>
            </w:pPr>
          </w:p>
        </w:tc>
        <w:tc>
          <w:tcPr>
            <w:tcW w:w="1338" w:type="dxa"/>
          </w:tcPr>
          <w:p w14:paraId="67340B31" w14:textId="77777777" w:rsidR="00857A0D" w:rsidRPr="00873B6C" w:rsidRDefault="00857A0D" w:rsidP="00857A0D">
            <w:pPr>
              <w:pStyle w:val="TAC"/>
            </w:pPr>
            <w:r w:rsidRPr="00873B6C">
              <w:t>R</w:t>
            </w:r>
          </w:p>
        </w:tc>
        <w:tc>
          <w:tcPr>
            <w:tcW w:w="2126" w:type="dxa"/>
            <w:shd w:val="clear" w:color="auto" w:fill="auto"/>
          </w:tcPr>
          <w:p w14:paraId="529E4CAA" w14:textId="77777777" w:rsidR="00857A0D" w:rsidRPr="00873B6C" w:rsidRDefault="00857A0D" w:rsidP="00857A0D">
            <w:pPr>
              <w:pStyle w:val="TAC"/>
            </w:pPr>
            <w:r w:rsidRPr="00873B6C">
              <w:t>IETF RFC 8344 [152]</w:t>
            </w:r>
          </w:p>
        </w:tc>
      </w:tr>
      <w:tr w:rsidR="00857A0D" w:rsidRPr="00873B6C" w14:paraId="395053D3" w14:textId="77777777" w:rsidTr="00C9561D">
        <w:trPr>
          <w:cantSplit/>
          <w:jc w:val="center"/>
        </w:trPr>
        <w:tc>
          <w:tcPr>
            <w:tcW w:w="3735" w:type="dxa"/>
            <w:shd w:val="clear" w:color="auto" w:fill="auto"/>
          </w:tcPr>
          <w:p w14:paraId="172C84C0" w14:textId="77777777" w:rsidR="00857A0D" w:rsidRPr="00873B6C" w:rsidRDefault="00857A0D" w:rsidP="00857A0D">
            <w:pPr>
              <w:pStyle w:val="TAL"/>
            </w:pPr>
            <w:r w:rsidRPr="00873B6C">
              <w:t>Information for each IPv4 neighbor</w:t>
            </w:r>
          </w:p>
        </w:tc>
        <w:tc>
          <w:tcPr>
            <w:tcW w:w="709" w:type="dxa"/>
            <w:shd w:val="clear" w:color="auto" w:fill="auto"/>
          </w:tcPr>
          <w:p w14:paraId="21ED7AA4" w14:textId="77777777" w:rsidR="00857A0D" w:rsidRPr="00873B6C" w:rsidRDefault="00857A0D" w:rsidP="00857A0D">
            <w:pPr>
              <w:pStyle w:val="TAC"/>
            </w:pPr>
          </w:p>
        </w:tc>
        <w:tc>
          <w:tcPr>
            <w:tcW w:w="708" w:type="dxa"/>
            <w:shd w:val="clear" w:color="auto" w:fill="auto"/>
          </w:tcPr>
          <w:p w14:paraId="2E86A498" w14:textId="77777777" w:rsidR="00857A0D" w:rsidRPr="00873B6C" w:rsidRDefault="00857A0D" w:rsidP="00857A0D">
            <w:pPr>
              <w:pStyle w:val="TAC"/>
            </w:pPr>
          </w:p>
        </w:tc>
        <w:tc>
          <w:tcPr>
            <w:tcW w:w="1418" w:type="dxa"/>
            <w:shd w:val="clear" w:color="auto" w:fill="auto"/>
          </w:tcPr>
          <w:p w14:paraId="7E652BD7" w14:textId="77777777" w:rsidR="00857A0D" w:rsidRPr="00873B6C" w:rsidRDefault="00857A0D" w:rsidP="00857A0D">
            <w:pPr>
              <w:pStyle w:val="TAC"/>
            </w:pPr>
          </w:p>
        </w:tc>
        <w:tc>
          <w:tcPr>
            <w:tcW w:w="1338" w:type="dxa"/>
          </w:tcPr>
          <w:p w14:paraId="0A4FC208" w14:textId="77777777" w:rsidR="00857A0D" w:rsidRPr="00873B6C" w:rsidRDefault="00857A0D" w:rsidP="00857A0D">
            <w:pPr>
              <w:pStyle w:val="TAC"/>
            </w:pPr>
          </w:p>
        </w:tc>
        <w:tc>
          <w:tcPr>
            <w:tcW w:w="2126" w:type="dxa"/>
            <w:shd w:val="clear" w:color="auto" w:fill="auto"/>
          </w:tcPr>
          <w:p w14:paraId="30D3682D" w14:textId="77777777" w:rsidR="00857A0D" w:rsidRPr="00873B6C" w:rsidRDefault="00857A0D" w:rsidP="00857A0D">
            <w:pPr>
              <w:pStyle w:val="TAC"/>
            </w:pPr>
          </w:p>
        </w:tc>
      </w:tr>
      <w:tr w:rsidR="00857A0D" w:rsidRPr="00873B6C" w14:paraId="421C6D08" w14:textId="77777777" w:rsidTr="00C9561D">
        <w:trPr>
          <w:cantSplit/>
          <w:jc w:val="center"/>
        </w:trPr>
        <w:tc>
          <w:tcPr>
            <w:tcW w:w="3735" w:type="dxa"/>
            <w:shd w:val="clear" w:color="auto" w:fill="auto"/>
          </w:tcPr>
          <w:p w14:paraId="59AC9872" w14:textId="77777777" w:rsidR="00857A0D" w:rsidRPr="00873B6C" w:rsidRDefault="00857A0D" w:rsidP="00857A0D">
            <w:pPr>
              <w:pStyle w:val="TAL"/>
              <w:rPr>
                <w:b/>
              </w:rPr>
            </w:pPr>
            <w:r w:rsidRPr="00873B6C">
              <w:t>IPv4 address</w:t>
            </w:r>
          </w:p>
        </w:tc>
        <w:tc>
          <w:tcPr>
            <w:tcW w:w="709" w:type="dxa"/>
            <w:shd w:val="clear" w:color="auto" w:fill="auto"/>
          </w:tcPr>
          <w:p w14:paraId="4D61429A" w14:textId="77777777" w:rsidR="00857A0D" w:rsidRPr="00873B6C" w:rsidRDefault="00857A0D" w:rsidP="00857A0D">
            <w:pPr>
              <w:pStyle w:val="TAC"/>
            </w:pPr>
          </w:p>
        </w:tc>
        <w:tc>
          <w:tcPr>
            <w:tcW w:w="708" w:type="dxa"/>
            <w:shd w:val="clear" w:color="auto" w:fill="auto"/>
          </w:tcPr>
          <w:p w14:paraId="2744EB15" w14:textId="77777777" w:rsidR="00857A0D" w:rsidRPr="00873B6C" w:rsidRDefault="00857A0D" w:rsidP="00857A0D">
            <w:pPr>
              <w:pStyle w:val="TAC"/>
            </w:pPr>
            <w:r w:rsidRPr="00873B6C">
              <w:t>X</w:t>
            </w:r>
          </w:p>
        </w:tc>
        <w:tc>
          <w:tcPr>
            <w:tcW w:w="1418" w:type="dxa"/>
            <w:shd w:val="clear" w:color="auto" w:fill="auto"/>
          </w:tcPr>
          <w:p w14:paraId="19FB5601" w14:textId="77777777" w:rsidR="00857A0D" w:rsidRPr="00873B6C" w:rsidRDefault="00857A0D" w:rsidP="00857A0D">
            <w:pPr>
              <w:pStyle w:val="TAC"/>
            </w:pPr>
          </w:p>
        </w:tc>
        <w:tc>
          <w:tcPr>
            <w:tcW w:w="1338" w:type="dxa"/>
          </w:tcPr>
          <w:p w14:paraId="5A1F21E1" w14:textId="77777777" w:rsidR="00857A0D" w:rsidRPr="00873B6C" w:rsidRDefault="00857A0D" w:rsidP="00857A0D">
            <w:pPr>
              <w:pStyle w:val="TAC"/>
            </w:pPr>
            <w:r w:rsidRPr="00873B6C">
              <w:t>R</w:t>
            </w:r>
          </w:p>
        </w:tc>
        <w:tc>
          <w:tcPr>
            <w:tcW w:w="2126" w:type="dxa"/>
            <w:shd w:val="clear" w:color="auto" w:fill="auto"/>
          </w:tcPr>
          <w:p w14:paraId="77639372" w14:textId="77777777" w:rsidR="00857A0D" w:rsidRPr="00873B6C" w:rsidRDefault="00857A0D" w:rsidP="00857A0D">
            <w:pPr>
              <w:pStyle w:val="TAC"/>
            </w:pPr>
            <w:r w:rsidRPr="00873B6C">
              <w:t>IETF RFC 8344 [152]</w:t>
            </w:r>
          </w:p>
        </w:tc>
      </w:tr>
      <w:tr w:rsidR="00857A0D" w:rsidRPr="00873B6C" w14:paraId="2C136885" w14:textId="77777777" w:rsidTr="00C9561D">
        <w:trPr>
          <w:cantSplit/>
          <w:jc w:val="center"/>
        </w:trPr>
        <w:tc>
          <w:tcPr>
            <w:tcW w:w="3735" w:type="dxa"/>
            <w:shd w:val="clear" w:color="auto" w:fill="auto"/>
          </w:tcPr>
          <w:p w14:paraId="578FA60B" w14:textId="77777777" w:rsidR="00857A0D" w:rsidRPr="00873B6C" w:rsidRDefault="00857A0D" w:rsidP="00857A0D">
            <w:pPr>
              <w:pStyle w:val="TAL"/>
            </w:pPr>
            <w:r w:rsidRPr="00873B6C">
              <w:t>link-layer-address</w:t>
            </w:r>
          </w:p>
        </w:tc>
        <w:tc>
          <w:tcPr>
            <w:tcW w:w="709" w:type="dxa"/>
            <w:shd w:val="clear" w:color="auto" w:fill="auto"/>
          </w:tcPr>
          <w:p w14:paraId="3CE1E18B" w14:textId="77777777" w:rsidR="00857A0D" w:rsidRPr="00873B6C" w:rsidRDefault="00857A0D" w:rsidP="00857A0D">
            <w:pPr>
              <w:pStyle w:val="TAC"/>
            </w:pPr>
          </w:p>
        </w:tc>
        <w:tc>
          <w:tcPr>
            <w:tcW w:w="708" w:type="dxa"/>
            <w:shd w:val="clear" w:color="auto" w:fill="auto"/>
          </w:tcPr>
          <w:p w14:paraId="40965A67" w14:textId="77777777" w:rsidR="00857A0D" w:rsidRPr="00873B6C" w:rsidRDefault="00857A0D" w:rsidP="00857A0D">
            <w:pPr>
              <w:pStyle w:val="TAC"/>
            </w:pPr>
            <w:r w:rsidRPr="00873B6C">
              <w:t>X</w:t>
            </w:r>
          </w:p>
        </w:tc>
        <w:tc>
          <w:tcPr>
            <w:tcW w:w="1418" w:type="dxa"/>
            <w:shd w:val="clear" w:color="auto" w:fill="auto"/>
          </w:tcPr>
          <w:p w14:paraId="6316F124" w14:textId="77777777" w:rsidR="00857A0D" w:rsidRPr="00873B6C" w:rsidRDefault="00857A0D" w:rsidP="00857A0D">
            <w:pPr>
              <w:pStyle w:val="TAC"/>
            </w:pPr>
          </w:p>
        </w:tc>
        <w:tc>
          <w:tcPr>
            <w:tcW w:w="1338" w:type="dxa"/>
          </w:tcPr>
          <w:p w14:paraId="022DD61D" w14:textId="77777777" w:rsidR="00857A0D" w:rsidRPr="00873B6C" w:rsidRDefault="00857A0D" w:rsidP="00857A0D">
            <w:pPr>
              <w:pStyle w:val="TAC"/>
            </w:pPr>
            <w:r w:rsidRPr="00873B6C">
              <w:t>R</w:t>
            </w:r>
          </w:p>
        </w:tc>
        <w:tc>
          <w:tcPr>
            <w:tcW w:w="2126" w:type="dxa"/>
            <w:shd w:val="clear" w:color="auto" w:fill="auto"/>
          </w:tcPr>
          <w:p w14:paraId="337BB675" w14:textId="77777777" w:rsidR="00857A0D" w:rsidRPr="00873B6C" w:rsidRDefault="00857A0D" w:rsidP="00857A0D">
            <w:pPr>
              <w:pStyle w:val="TAC"/>
            </w:pPr>
            <w:r w:rsidRPr="00873B6C">
              <w:t>IETF RFC 8344 [152]</w:t>
            </w:r>
          </w:p>
        </w:tc>
      </w:tr>
      <w:tr w:rsidR="00857A0D" w:rsidRPr="00873B6C" w14:paraId="065D012B" w14:textId="77777777" w:rsidTr="00C9561D">
        <w:trPr>
          <w:cantSplit/>
          <w:jc w:val="center"/>
        </w:trPr>
        <w:tc>
          <w:tcPr>
            <w:tcW w:w="3735" w:type="dxa"/>
            <w:shd w:val="clear" w:color="auto" w:fill="auto"/>
          </w:tcPr>
          <w:p w14:paraId="7F9D81C4" w14:textId="77777777" w:rsidR="00857A0D" w:rsidRPr="00873B6C" w:rsidRDefault="00857A0D" w:rsidP="00857A0D">
            <w:pPr>
              <w:pStyle w:val="TAL"/>
            </w:pPr>
            <w:r w:rsidRPr="00873B6C">
              <w:t>origin</w:t>
            </w:r>
          </w:p>
        </w:tc>
        <w:tc>
          <w:tcPr>
            <w:tcW w:w="709" w:type="dxa"/>
            <w:shd w:val="clear" w:color="auto" w:fill="auto"/>
          </w:tcPr>
          <w:p w14:paraId="58883908" w14:textId="77777777" w:rsidR="00857A0D" w:rsidRPr="00873B6C" w:rsidRDefault="00857A0D" w:rsidP="00857A0D">
            <w:pPr>
              <w:pStyle w:val="TAC"/>
            </w:pPr>
          </w:p>
        </w:tc>
        <w:tc>
          <w:tcPr>
            <w:tcW w:w="708" w:type="dxa"/>
            <w:shd w:val="clear" w:color="auto" w:fill="auto"/>
          </w:tcPr>
          <w:p w14:paraId="7D00D96B" w14:textId="77777777" w:rsidR="00857A0D" w:rsidRPr="00873B6C" w:rsidRDefault="00857A0D" w:rsidP="00857A0D">
            <w:pPr>
              <w:pStyle w:val="TAC"/>
            </w:pPr>
            <w:r w:rsidRPr="00873B6C">
              <w:t>X</w:t>
            </w:r>
          </w:p>
        </w:tc>
        <w:tc>
          <w:tcPr>
            <w:tcW w:w="1418" w:type="dxa"/>
            <w:shd w:val="clear" w:color="auto" w:fill="auto"/>
          </w:tcPr>
          <w:p w14:paraId="24A1E532" w14:textId="77777777" w:rsidR="00857A0D" w:rsidRPr="00873B6C" w:rsidRDefault="00857A0D" w:rsidP="00857A0D">
            <w:pPr>
              <w:pStyle w:val="TAC"/>
            </w:pPr>
          </w:p>
        </w:tc>
        <w:tc>
          <w:tcPr>
            <w:tcW w:w="1338" w:type="dxa"/>
          </w:tcPr>
          <w:p w14:paraId="71E2646F" w14:textId="77777777" w:rsidR="00857A0D" w:rsidRPr="00873B6C" w:rsidRDefault="00857A0D" w:rsidP="00857A0D">
            <w:pPr>
              <w:pStyle w:val="TAC"/>
            </w:pPr>
            <w:r w:rsidRPr="00873B6C">
              <w:t>R</w:t>
            </w:r>
          </w:p>
        </w:tc>
        <w:tc>
          <w:tcPr>
            <w:tcW w:w="2126" w:type="dxa"/>
            <w:shd w:val="clear" w:color="auto" w:fill="auto"/>
          </w:tcPr>
          <w:p w14:paraId="1533FC26" w14:textId="77777777" w:rsidR="00857A0D" w:rsidRPr="00873B6C" w:rsidRDefault="00857A0D" w:rsidP="00857A0D">
            <w:pPr>
              <w:pStyle w:val="TAC"/>
            </w:pPr>
            <w:r w:rsidRPr="00873B6C">
              <w:t>IETF RFC 8344 [152]</w:t>
            </w:r>
          </w:p>
        </w:tc>
      </w:tr>
      <w:tr w:rsidR="00857A0D" w:rsidRPr="00873B6C" w14:paraId="63006402" w14:textId="77777777" w:rsidTr="00C9561D">
        <w:trPr>
          <w:cantSplit/>
          <w:jc w:val="center"/>
        </w:trPr>
        <w:tc>
          <w:tcPr>
            <w:tcW w:w="3735" w:type="dxa"/>
            <w:shd w:val="clear" w:color="auto" w:fill="auto"/>
          </w:tcPr>
          <w:p w14:paraId="39028D69" w14:textId="77777777" w:rsidR="00857A0D" w:rsidRPr="00873B6C" w:rsidRDefault="00857A0D" w:rsidP="00857A0D">
            <w:pPr>
              <w:pStyle w:val="TAL"/>
            </w:pPr>
            <w:r w:rsidRPr="00873B6C">
              <w:t>IPv6 information</w:t>
            </w:r>
          </w:p>
        </w:tc>
        <w:tc>
          <w:tcPr>
            <w:tcW w:w="709" w:type="dxa"/>
            <w:shd w:val="clear" w:color="auto" w:fill="auto"/>
          </w:tcPr>
          <w:p w14:paraId="31F7D73A" w14:textId="77777777" w:rsidR="00857A0D" w:rsidRPr="00873B6C" w:rsidRDefault="00857A0D" w:rsidP="00857A0D">
            <w:pPr>
              <w:pStyle w:val="TAC"/>
            </w:pPr>
          </w:p>
        </w:tc>
        <w:tc>
          <w:tcPr>
            <w:tcW w:w="708" w:type="dxa"/>
            <w:shd w:val="clear" w:color="auto" w:fill="auto"/>
          </w:tcPr>
          <w:p w14:paraId="0C089CFF" w14:textId="77777777" w:rsidR="00857A0D" w:rsidRPr="00873B6C" w:rsidRDefault="00857A0D" w:rsidP="00857A0D">
            <w:pPr>
              <w:pStyle w:val="TAC"/>
            </w:pPr>
          </w:p>
        </w:tc>
        <w:tc>
          <w:tcPr>
            <w:tcW w:w="1418" w:type="dxa"/>
            <w:shd w:val="clear" w:color="auto" w:fill="auto"/>
          </w:tcPr>
          <w:p w14:paraId="417B9CB5" w14:textId="77777777" w:rsidR="00857A0D" w:rsidRPr="00873B6C" w:rsidRDefault="00857A0D" w:rsidP="00857A0D">
            <w:pPr>
              <w:pStyle w:val="TAC"/>
            </w:pPr>
          </w:p>
        </w:tc>
        <w:tc>
          <w:tcPr>
            <w:tcW w:w="1338" w:type="dxa"/>
          </w:tcPr>
          <w:p w14:paraId="3E379CD4" w14:textId="77777777" w:rsidR="00857A0D" w:rsidRPr="00873B6C" w:rsidRDefault="00857A0D" w:rsidP="00857A0D">
            <w:pPr>
              <w:pStyle w:val="TAC"/>
            </w:pPr>
          </w:p>
        </w:tc>
        <w:tc>
          <w:tcPr>
            <w:tcW w:w="2126" w:type="dxa"/>
            <w:shd w:val="clear" w:color="auto" w:fill="auto"/>
          </w:tcPr>
          <w:p w14:paraId="76883905" w14:textId="77777777" w:rsidR="00857A0D" w:rsidRPr="00873B6C" w:rsidRDefault="00857A0D" w:rsidP="00857A0D">
            <w:pPr>
              <w:pStyle w:val="TAC"/>
            </w:pPr>
          </w:p>
        </w:tc>
      </w:tr>
      <w:tr w:rsidR="00857A0D" w:rsidRPr="00873B6C" w14:paraId="5DAFFC6B" w14:textId="77777777" w:rsidTr="00C9561D">
        <w:trPr>
          <w:cantSplit/>
          <w:jc w:val="center"/>
        </w:trPr>
        <w:tc>
          <w:tcPr>
            <w:tcW w:w="3735" w:type="dxa"/>
            <w:shd w:val="clear" w:color="auto" w:fill="auto"/>
          </w:tcPr>
          <w:p w14:paraId="21098FD9" w14:textId="77777777" w:rsidR="00857A0D" w:rsidRPr="00873B6C" w:rsidRDefault="00857A0D" w:rsidP="00857A0D">
            <w:pPr>
              <w:pStyle w:val="TAL"/>
            </w:pPr>
            <w:r w:rsidRPr="00873B6C">
              <w:t>IPv6 enabled status</w:t>
            </w:r>
          </w:p>
        </w:tc>
        <w:tc>
          <w:tcPr>
            <w:tcW w:w="709" w:type="dxa"/>
            <w:shd w:val="clear" w:color="auto" w:fill="auto"/>
          </w:tcPr>
          <w:p w14:paraId="06E0399F" w14:textId="77777777" w:rsidR="00857A0D" w:rsidRPr="00873B6C" w:rsidRDefault="00857A0D" w:rsidP="00857A0D">
            <w:pPr>
              <w:pStyle w:val="TAC"/>
            </w:pPr>
          </w:p>
        </w:tc>
        <w:tc>
          <w:tcPr>
            <w:tcW w:w="708" w:type="dxa"/>
            <w:shd w:val="clear" w:color="auto" w:fill="auto"/>
          </w:tcPr>
          <w:p w14:paraId="630F4EAB" w14:textId="77777777" w:rsidR="00857A0D" w:rsidRPr="00873B6C" w:rsidRDefault="00857A0D" w:rsidP="00857A0D">
            <w:pPr>
              <w:pStyle w:val="TAC"/>
            </w:pPr>
            <w:r w:rsidRPr="00873B6C">
              <w:t>X</w:t>
            </w:r>
          </w:p>
        </w:tc>
        <w:tc>
          <w:tcPr>
            <w:tcW w:w="1418" w:type="dxa"/>
            <w:shd w:val="clear" w:color="auto" w:fill="auto"/>
          </w:tcPr>
          <w:p w14:paraId="5D49E204" w14:textId="77777777" w:rsidR="00857A0D" w:rsidRPr="00873B6C" w:rsidRDefault="00857A0D" w:rsidP="00857A0D">
            <w:pPr>
              <w:pStyle w:val="TAC"/>
            </w:pPr>
          </w:p>
        </w:tc>
        <w:tc>
          <w:tcPr>
            <w:tcW w:w="1338" w:type="dxa"/>
          </w:tcPr>
          <w:p w14:paraId="7670A2DE" w14:textId="77777777" w:rsidR="00857A0D" w:rsidRPr="00873B6C" w:rsidRDefault="00857A0D" w:rsidP="00857A0D">
            <w:pPr>
              <w:pStyle w:val="TAC"/>
            </w:pPr>
            <w:r w:rsidRPr="00873B6C">
              <w:t>R</w:t>
            </w:r>
          </w:p>
        </w:tc>
        <w:tc>
          <w:tcPr>
            <w:tcW w:w="2126" w:type="dxa"/>
            <w:shd w:val="clear" w:color="auto" w:fill="auto"/>
          </w:tcPr>
          <w:p w14:paraId="5A2522AC" w14:textId="77777777" w:rsidR="00857A0D" w:rsidRPr="00873B6C" w:rsidRDefault="00857A0D" w:rsidP="00857A0D">
            <w:pPr>
              <w:pStyle w:val="TAC"/>
            </w:pPr>
            <w:r w:rsidRPr="00873B6C">
              <w:t>IETF RFC 8344 [152]</w:t>
            </w:r>
          </w:p>
        </w:tc>
      </w:tr>
      <w:tr w:rsidR="00857A0D" w:rsidRPr="00873B6C" w14:paraId="01D63D24" w14:textId="77777777" w:rsidTr="00C9561D">
        <w:trPr>
          <w:cantSplit/>
          <w:jc w:val="center"/>
        </w:trPr>
        <w:tc>
          <w:tcPr>
            <w:tcW w:w="3735" w:type="dxa"/>
            <w:shd w:val="clear" w:color="auto" w:fill="auto"/>
          </w:tcPr>
          <w:p w14:paraId="43739034" w14:textId="77777777" w:rsidR="00857A0D" w:rsidRPr="00873B6C" w:rsidRDefault="00857A0D" w:rsidP="00857A0D">
            <w:pPr>
              <w:pStyle w:val="TAL"/>
              <w:rPr>
                <w:b/>
              </w:rPr>
            </w:pPr>
            <w:r w:rsidRPr="00873B6C">
              <w:t>IPv6 forwarding status</w:t>
            </w:r>
          </w:p>
        </w:tc>
        <w:tc>
          <w:tcPr>
            <w:tcW w:w="709" w:type="dxa"/>
            <w:shd w:val="clear" w:color="auto" w:fill="auto"/>
          </w:tcPr>
          <w:p w14:paraId="436FF3FB" w14:textId="77777777" w:rsidR="00857A0D" w:rsidRPr="00873B6C" w:rsidRDefault="00857A0D" w:rsidP="00857A0D">
            <w:pPr>
              <w:pStyle w:val="TAC"/>
            </w:pPr>
          </w:p>
        </w:tc>
        <w:tc>
          <w:tcPr>
            <w:tcW w:w="708" w:type="dxa"/>
            <w:shd w:val="clear" w:color="auto" w:fill="auto"/>
          </w:tcPr>
          <w:p w14:paraId="38EFBCE6" w14:textId="77777777" w:rsidR="00857A0D" w:rsidRPr="00873B6C" w:rsidRDefault="00857A0D" w:rsidP="00857A0D">
            <w:pPr>
              <w:pStyle w:val="TAC"/>
            </w:pPr>
            <w:r w:rsidRPr="00873B6C">
              <w:t>X</w:t>
            </w:r>
          </w:p>
        </w:tc>
        <w:tc>
          <w:tcPr>
            <w:tcW w:w="1418" w:type="dxa"/>
            <w:shd w:val="clear" w:color="auto" w:fill="auto"/>
          </w:tcPr>
          <w:p w14:paraId="602E9FCA" w14:textId="77777777" w:rsidR="00857A0D" w:rsidRPr="00873B6C" w:rsidRDefault="00857A0D" w:rsidP="00857A0D">
            <w:pPr>
              <w:pStyle w:val="TAC"/>
            </w:pPr>
          </w:p>
        </w:tc>
        <w:tc>
          <w:tcPr>
            <w:tcW w:w="1338" w:type="dxa"/>
          </w:tcPr>
          <w:p w14:paraId="77B4F939" w14:textId="77777777" w:rsidR="00857A0D" w:rsidRPr="00873B6C" w:rsidRDefault="00857A0D" w:rsidP="00857A0D">
            <w:pPr>
              <w:pStyle w:val="TAC"/>
            </w:pPr>
            <w:r w:rsidRPr="00873B6C">
              <w:t>R</w:t>
            </w:r>
          </w:p>
        </w:tc>
        <w:tc>
          <w:tcPr>
            <w:tcW w:w="2126" w:type="dxa"/>
            <w:shd w:val="clear" w:color="auto" w:fill="auto"/>
          </w:tcPr>
          <w:p w14:paraId="74C9EEAC" w14:textId="77777777" w:rsidR="00857A0D" w:rsidRPr="00873B6C" w:rsidRDefault="00857A0D" w:rsidP="00857A0D">
            <w:pPr>
              <w:pStyle w:val="TAC"/>
            </w:pPr>
            <w:r w:rsidRPr="00873B6C">
              <w:t>IETF RFC 8344 [152]</w:t>
            </w:r>
          </w:p>
        </w:tc>
      </w:tr>
      <w:tr w:rsidR="00857A0D" w:rsidRPr="00873B6C" w14:paraId="55928BD1" w14:textId="77777777" w:rsidTr="00C9561D">
        <w:trPr>
          <w:cantSplit/>
          <w:jc w:val="center"/>
        </w:trPr>
        <w:tc>
          <w:tcPr>
            <w:tcW w:w="3735" w:type="dxa"/>
            <w:shd w:val="clear" w:color="auto" w:fill="auto"/>
          </w:tcPr>
          <w:p w14:paraId="12F43CE9" w14:textId="77777777" w:rsidR="00857A0D" w:rsidRPr="00873B6C" w:rsidRDefault="00857A0D" w:rsidP="00857A0D">
            <w:pPr>
              <w:pStyle w:val="TAL"/>
            </w:pPr>
            <w:r w:rsidRPr="00873B6C">
              <w:t>IPv6 MTU</w:t>
            </w:r>
          </w:p>
        </w:tc>
        <w:tc>
          <w:tcPr>
            <w:tcW w:w="709" w:type="dxa"/>
            <w:shd w:val="clear" w:color="auto" w:fill="auto"/>
          </w:tcPr>
          <w:p w14:paraId="3ED17E47" w14:textId="77777777" w:rsidR="00857A0D" w:rsidRPr="00873B6C" w:rsidRDefault="00857A0D" w:rsidP="00857A0D">
            <w:pPr>
              <w:pStyle w:val="TAC"/>
            </w:pPr>
          </w:p>
        </w:tc>
        <w:tc>
          <w:tcPr>
            <w:tcW w:w="708" w:type="dxa"/>
            <w:shd w:val="clear" w:color="auto" w:fill="auto"/>
          </w:tcPr>
          <w:p w14:paraId="05E64D27" w14:textId="77777777" w:rsidR="00857A0D" w:rsidRPr="00873B6C" w:rsidRDefault="00857A0D" w:rsidP="00857A0D">
            <w:pPr>
              <w:pStyle w:val="TAC"/>
            </w:pPr>
            <w:r w:rsidRPr="00873B6C">
              <w:t>X</w:t>
            </w:r>
          </w:p>
        </w:tc>
        <w:tc>
          <w:tcPr>
            <w:tcW w:w="1418" w:type="dxa"/>
            <w:shd w:val="clear" w:color="auto" w:fill="auto"/>
          </w:tcPr>
          <w:p w14:paraId="6F2A7F19" w14:textId="77777777" w:rsidR="00857A0D" w:rsidRPr="00873B6C" w:rsidRDefault="00857A0D" w:rsidP="00857A0D">
            <w:pPr>
              <w:pStyle w:val="TAC"/>
            </w:pPr>
          </w:p>
        </w:tc>
        <w:tc>
          <w:tcPr>
            <w:tcW w:w="1338" w:type="dxa"/>
          </w:tcPr>
          <w:p w14:paraId="4C5AC92F" w14:textId="77777777" w:rsidR="00857A0D" w:rsidRPr="00873B6C" w:rsidRDefault="00857A0D" w:rsidP="00857A0D">
            <w:pPr>
              <w:pStyle w:val="TAC"/>
            </w:pPr>
            <w:r w:rsidRPr="00873B6C">
              <w:t>R</w:t>
            </w:r>
          </w:p>
        </w:tc>
        <w:tc>
          <w:tcPr>
            <w:tcW w:w="2126" w:type="dxa"/>
            <w:shd w:val="clear" w:color="auto" w:fill="auto"/>
          </w:tcPr>
          <w:p w14:paraId="51E4E784" w14:textId="77777777" w:rsidR="00857A0D" w:rsidRPr="00873B6C" w:rsidRDefault="00857A0D" w:rsidP="00857A0D">
            <w:pPr>
              <w:pStyle w:val="TAC"/>
            </w:pPr>
            <w:r w:rsidRPr="00873B6C">
              <w:t>IETF RFC 8344 [152]</w:t>
            </w:r>
          </w:p>
        </w:tc>
      </w:tr>
      <w:tr w:rsidR="00857A0D" w:rsidRPr="00873B6C" w14:paraId="311C970F" w14:textId="77777777" w:rsidTr="00C9561D">
        <w:trPr>
          <w:cantSplit/>
          <w:jc w:val="center"/>
        </w:trPr>
        <w:tc>
          <w:tcPr>
            <w:tcW w:w="3735" w:type="dxa"/>
            <w:shd w:val="clear" w:color="auto" w:fill="auto"/>
          </w:tcPr>
          <w:p w14:paraId="720ABB19" w14:textId="77777777" w:rsidR="00857A0D" w:rsidRPr="00873B6C" w:rsidRDefault="00857A0D" w:rsidP="00857A0D">
            <w:pPr>
              <w:pStyle w:val="TAL"/>
            </w:pPr>
            <w:r w:rsidRPr="00873B6C">
              <w:t>Information for each IPv6 address</w:t>
            </w:r>
          </w:p>
        </w:tc>
        <w:tc>
          <w:tcPr>
            <w:tcW w:w="709" w:type="dxa"/>
            <w:shd w:val="clear" w:color="auto" w:fill="auto"/>
          </w:tcPr>
          <w:p w14:paraId="20B896AF" w14:textId="77777777" w:rsidR="00857A0D" w:rsidRPr="00873B6C" w:rsidRDefault="00857A0D" w:rsidP="00857A0D">
            <w:pPr>
              <w:pStyle w:val="TAC"/>
            </w:pPr>
          </w:p>
        </w:tc>
        <w:tc>
          <w:tcPr>
            <w:tcW w:w="708" w:type="dxa"/>
            <w:shd w:val="clear" w:color="auto" w:fill="auto"/>
          </w:tcPr>
          <w:p w14:paraId="647980ED" w14:textId="77777777" w:rsidR="00857A0D" w:rsidRPr="00873B6C" w:rsidRDefault="00857A0D" w:rsidP="00857A0D">
            <w:pPr>
              <w:pStyle w:val="TAC"/>
            </w:pPr>
          </w:p>
        </w:tc>
        <w:tc>
          <w:tcPr>
            <w:tcW w:w="1418" w:type="dxa"/>
            <w:shd w:val="clear" w:color="auto" w:fill="auto"/>
          </w:tcPr>
          <w:p w14:paraId="2453FDA2" w14:textId="77777777" w:rsidR="00857A0D" w:rsidRPr="00873B6C" w:rsidRDefault="00857A0D" w:rsidP="00857A0D">
            <w:pPr>
              <w:pStyle w:val="TAC"/>
            </w:pPr>
          </w:p>
        </w:tc>
        <w:tc>
          <w:tcPr>
            <w:tcW w:w="1338" w:type="dxa"/>
          </w:tcPr>
          <w:p w14:paraId="4535FB28" w14:textId="77777777" w:rsidR="00857A0D" w:rsidRPr="00873B6C" w:rsidRDefault="00857A0D" w:rsidP="00857A0D">
            <w:pPr>
              <w:pStyle w:val="TAC"/>
            </w:pPr>
          </w:p>
        </w:tc>
        <w:tc>
          <w:tcPr>
            <w:tcW w:w="2126" w:type="dxa"/>
            <w:shd w:val="clear" w:color="auto" w:fill="auto"/>
          </w:tcPr>
          <w:p w14:paraId="42F0F610" w14:textId="77777777" w:rsidR="00857A0D" w:rsidRPr="00873B6C" w:rsidRDefault="00857A0D" w:rsidP="00857A0D">
            <w:pPr>
              <w:pStyle w:val="TAC"/>
            </w:pPr>
          </w:p>
        </w:tc>
      </w:tr>
      <w:tr w:rsidR="00857A0D" w:rsidRPr="00873B6C" w14:paraId="611B7BF9" w14:textId="77777777" w:rsidTr="00C9561D">
        <w:trPr>
          <w:cantSplit/>
          <w:jc w:val="center"/>
        </w:trPr>
        <w:tc>
          <w:tcPr>
            <w:tcW w:w="3735" w:type="dxa"/>
            <w:shd w:val="clear" w:color="auto" w:fill="auto"/>
          </w:tcPr>
          <w:p w14:paraId="30DBECB9" w14:textId="77777777" w:rsidR="00857A0D" w:rsidRPr="00873B6C" w:rsidRDefault="00857A0D" w:rsidP="00857A0D">
            <w:pPr>
              <w:pStyle w:val="TAL"/>
            </w:pPr>
            <w:r w:rsidRPr="00873B6C">
              <w:t>IPv6 address</w:t>
            </w:r>
          </w:p>
        </w:tc>
        <w:tc>
          <w:tcPr>
            <w:tcW w:w="709" w:type="dxa"/>
            <w:shd w:val="clear" w:color="auto" w:fill="auto"/>
          </w:tcPr>
          <w:p w14:paraId="0015399F" w14:textId="77777777" w:rsidR="00857A0D" w:rsidRPr="00873B6C" w:rsidRDefault="00857A0D" w:rsidP="00857A0D">
            <w:pPr>
              <w:pStyle w:val="TAC"/>
            </w:pPr>
          </w:p>
        </w:tc>
        <w:tc>
          <w:tcPr>
            <w:tcW w:w="708" w:type="dxa"/>
            <w:shd w:val="clear" w:color="auto" w:fill="auto"/>
          </w:tcPr>
          <w:p w14:paraId="49503605" w14:textId="77777777" w:rsidR="00857A0D" w:rsidRPr="00873B6C" w:rsidRDefault="00857A0D" w:rsidP="00857A0D">
            <w:pPr>
              <w:pStyle w:val="TAC"/>
            </w:pPr>
            <w:r w:rsidRPr="00873B6C">
              <w:t>X</w:t>
            </w:r>
          </w:p>
        </w:tc>
        <w:tc>
          <w:tcPr>
            <w:tcW w:w="1418" w:type="dxa"/>
            <w:shd w:val="clear" w:color="auto" w:fill="auto"/>
          </w:tcPr>
          <w:p w14:paraId="25352C92" w14:textId="77777777" w:rsidR="00857A0D" w:rsidRPr="00873B6C" w:rsidRDefault="00857A0D" w:rsidP="00857A0D">
            <w:pPr>
              <w:pStyle w:val="TAC"/>
            </w:pPr>
          </w:p>
        </w:tc>
        <w:tc>
          <w:tcPr>
            <w:tcW w:w="1338" w:type="dxa"/>
          </w:tcPr>
          <w:p w14:paraId="03FB9A7C" w14:textId="77777777" w:rsidR="00857A0D" w:rsidRPr="00873B6C" w:rsidRDefault="00857A0D" w:rsidP="00857A0D">
            <w:pPr>
              <w:pStyle w:val="TAC"/>
            </w:pPr>
            <w:r w:rsidRPr="00873B6C">
              <w:t>R</w:t>
            </w:r>
          </w:p>
        </w:tc>
        <w:tc>
          <w:tcPr>
            <w:tcW w:w="2126" w:type="dxa"/>
            <w:shd w:val="clear" w:color="auto" w:fill="auto"/>
          </w:tcPr>
          <w:p w14:paraId="6662386C" w14:textId="77777777" w:rsidR="00857A0D" w:rsidRPr="00873B6C" w:rsidRDefault="00857A0D" w:rsidP="00857A0D">
            <w:pPr>
              <w:pStyle w:val="TAC"/>
            </w:pPr>
            <w:r w:rsidRPr="00873B6C">
              <w:t>IETF RFC 8344 [152]</w:t>
            </w:r>
          </w:p>
        </w:tc>
      </w:tr>
      <w:tr w:rsidR="00857A0D" w:rsidRPr="00873B6C" w14:paraId="1B9F805C" w14:textId="77777777" w:rsidTr="00C9561D">
        <w:trPr>
          <w:cantSplit/>
          <w:jc w:val="center"/>
        </w:trPr>
        <w:tc>
          <w:tcPr>
            <w:tcW w:w="3735" w:type="dxa"/>
            <w:shd w:val="clear" w:color="auto" w:fill="auto"/>
          </w:tcPr>
          <w:p w14:paraId="766FD925" w14:textId="77777777" w:rsidR="00857A0D" w:rsidRPr="00873B6C" w:rsidRDefault="00857A0D" w:rsidP="00857A0D">
            <w:pPr>
              <w:pStyle w:val="TAL"/>
            </w:pPr>
            <w:r w:rsidRPr="00873B6C">
              <w:t>prefix-length</w:t>
            </w:r>
          </w:p>
        </w:tc>
        <w:tc>
          <w:tcPr>
            <w:tcW w:w="709" w:type="dxa"/>
            <w:shd w:val="clear" w:color="auto" w:fill="auto"/>
          </w:tcPr>
          <w:p w14:paraId="3BEA4A8A" w14:textId="77777777" w:rsidR="00857A0D" w:rsidRPr="00873B6C" w:rsidRDefault="00857A0D" w:rsidP="00857A0D">
            <w:pPr>
              <w:pStyle w:val="TAC"/>
            </w:pPr>
          </w:p>
        </w:tc>
        <w:tc>
          <w:tcPr>
            <w:tcW w:w="708" w:type="dxa"/>
            <w:shd w:val="clear" w:color="auto" w:fill="auto"/>
          </w:tcPr>
          <w:p w14:paraId="263A71C4" w14:textId="77777777" w:rsidR="00857A0D" w:rsidRPr="00873B6C" w:rsidRDefault="00857A0D" w:rsidP="00857A0D">
            <w:pPr>
              <w:pStyle w:val="TAC"/>
            </w:pPr>
            <w:r w:rsidRPr="00873B6C">
              <w:t>X</w:t>
            </w:r>
          </w:p>
        </w:tc>
        <w:tc>
          <w:tcPr>
            <w:tcW w:w="1418" w:type="dxa"/>
            <w:shd w:val="clear" w:color="auto" w:fill="auto"/>
          </w:tcPr>
          <w:p w14:paraId="2B2B39AE" w14:textId="77777777" w:rsidR="00857A0D" w:rsidRPr="00873B6C" w:rsidRDefault="00857A0D" w:rsidP="00857A0D">
            <w:pPr>
              <w:pStyle w:val="TAC"/>
            </w:pPr>
          </w:p>
        </w:tc>
        <w:tc>
          <w:tcPr>
            <w:tcW w:w="1338" w:type="dxa"/>
          </w:tcPr>
          <w:p w14:paraId="34509B02" w14:textId="77777777" w:rsidR="00857A0D" w:rsidRPr="00873B6C" w:rsidRDefault="00857A0D" w:rsidP="00857A0D">
            <w:pPr>
              <w:pStyle w:val="TAC"/>
            </w:pPr>
            <w:r w:rsidRPr="00873B6C">
              <w:t>R</w:t>
            </w:r>
          </w:p>
        </w:tc>
        <w:tc>
          <w:tcPr>
            <w:tcW w:w="2126" w:type="dxa"/>
            <w:shd w:val="clear" w:color="auto" w:fill="auto"/>
          </w:tcPr>
          <w:p w14:paraId="13576A8E" w14:textId="77777777" w:rsidR="00857A0D" w:rsidRPr="00873B6C" w:rsidRDefault="00857A0D" w:rsidP="00857A0D">
            <w:pPr>
              <w:pStyle w:val="TAC"/>
            </w:pPr>
            <w:r w:rsidRPr="00873B6C">
              <w:t>IETF RFC 8344 [152]</w:t>
            </w:r>
          </w:p>
        </w:tc>
      </w:tr>
      <w:tr w:rsidR="00857A0D" w:rsidRPr="00873B6C" w14:paraId="544F1855" w14:textId="77777777" w:rsidTr="00C9561D">
        <w:trPr>
          <w:cantSplit/>
          <w:jc w:val="center"/>
        </w:trPr>
        <w:tc>
          <w:tcPr>
            <w:tcW w:w="3735" w:type="dxa"/>
            <w:shd w:val="clear" w:color="auto" w:fill="auto"/>
          </w:tcPr>
          <w:p w14:paraId="510C1ACB" w14:textId="77777777" w:rsidR="00857A0D" w:rsidRPr="00873B6C" w:rsidRDefault="00857A0D" w:rsidP="00857A0D">
            <w:pPr>
              <w:pStyle w:val="TAL"/>
              <w:rPr>
                <w:b/>
              </w:rPr>
            </w:pPr>
            <w:r w:rsidRPr="00873B6C">
              <w:t>origin</w:t>
            </w:r>
          </w:p>
        </w:tc>
        <w:tc>
          <w:tcPr>
            <w:tcW w:w="709" w:type="dxa"/>
            <w:shd w:val="clear" w:color="auto" w:fill="auto"/>
          </w:tcPr>
          <w:p w14:paraId="586CC1A0" w14:textId="77777777" w:rsidR="00857A0D" w:rsidRPr="00873B6C" w:rsidRDefault="00857A0D" w:rsidP="00857A0D">
            <w:pPr>
              <w:pStyle w:val="TAC"/>
            </w:pPr>
          </w:p>
        </w:tc>
        <w:tc>
          <w:tcPr>
            <w:tcW w:w="708" w:type="dxa"/>
            <w:shd w:val="clear" w:color="auto" w:fill="auto"/>
          </w:tcPr>
          <w:p w14:paraId="5F4CF5D5" w14:textId="77777777" w:rsidR="00857A0D" w:rsidRPr="00873B6C" w:rsidRDefault="00857A0D" w:rsidP="00857A0D">
            <w:pPr>
              <w:pStyle w:val="TAC"/>
            </w:pPr>
            <w:r w:rsidRPr="00873B6C">
              <w:t>X</w:t>
            </w:r>
          </w:p>
        </w:tc>
        <w:tc>
          <w:tcPr>
            <w:tcW w:w="1418" w:type="dxa"/>
            <w:shd w:val="clear" w:color="auto" w:fill="auto"/>
          </w:tcPr>
          <w:p w14:paraId="267FDCFF" w14:textId="77777777" w:rsidR="00857A0D" w:rsidRPr="00873B6C" w:rsidRDefault="00857A0D" w:rsidP="00857A0D">
            <w:pPr>
              <w:pStyle w:val="TAC"/>
            </w:pPr>
          </w:p>
        </w:tc>
        <w:tc>
          <w:tcPr>
            <w:tcW w:w="1338" w:type="dxa"/>
          </w:tcPr>
          <w:p w14:paraId="124DFCB4" w14:textId="77777777" w:rsidR="00857A0D" w:rsidRPr="00873B6C" w:rsidRDefault="00857A0D" w:rsidP="00857A0D">
            <w:pPr>
              <w:pStyle w:val="TAC"/>
            </w:pPr>
            <w:r w:rsidRPr="00873B6C">
              <w:t>R</w:t>
            </w:r>
          </w:p>
        </w:tc>
        <w:tc>
          <w:tcPr>
            <w:tcW w:w="2126" w:type="dxa"/>
            <w:shd w:val="clear" w:color="auto" w:fill="auto"/>
          </w:tcPr>
          <w:p w14:paraId="54E4459A" w14:textId="77777777" w:rsidR="00857A0D" w:rsidRPr="00873B6C" w:rsidRDefault="00857A0D" w:rsidP="00857A0D">
            <w:pPr>
              <w:pStyle w:val="TAC"/>
            </w:pPr>
            <w:r w:rsidRPr="00873B6C">
              <w:t>IETF RFC 8344 [152]</w:t>
            </w:r>
          </w:p>
        </w:tc>
      </w:tr>
      <w:tr w:rsidR="00857A0D" w:rsidRPr="00873B6C" w14:paraId="472098C8" w14:textId="77777777" w:rsidTr="00C9561D">
        <w:trPr>
          <w:cantSplit/>
          <w:jc w:val="center"/>
        </w:trPr>
        <w:tc>
          <w:tcPr>
            <w:tcW w:w="3735" w:type="dxa"/>
            <w:shd w:val="clear" w:color="auto" w:fill="auto"/>
          </w:tcPr>
          <w:p w14:paraId="79656A97" w14:textId="77777777" w:rsidR="00857A0D" w:rsidRPr="00873B6C" w:rsidRDefault="00857A0D" w:rsidP="00857A0D">
            <w:pPr>
              <w:pStyle w:val="TAL"/>
            </w:pPr>
            <w:r w:rsidRPr="00873B6C">
              <w:lastRenderedPageBreak/>
              <w:t>status</w:t>
            </w:r>
          </w:p>
        </w:tc>
        <w:tc>
          <w:tcPr>
            <w:tcW w:w="709" w:type="dxa"/>
            <w:shd w:val="clear" w:color="auto" w:fill="auto"/>
          </w:tcPr>
          <w:p w14:paraId="42B70A68" w14:textId="77777777" w:rsidR="00857A0D" w:rsidRPr="00873B6C" w:rsidRDefault="00857A0D" w:rsidP="00857A0D">
            <w:pPr>
              <w:pStyle w:val="TAC"/>
            </w:pPr>
          </w:p>
        </w:tc>
        <w:tc>
          <w:tcPr>
            <w:tcW w:w="708" w:type="dxa"/>
            <w:shd w:val="clear" w:color="auto" w:fill="auto"/>
          </w:tcPr>
          <w:p w14:paraId="031712D3" w14:textId="77777777" w:rsidR="00857A0D" w:rsidRPr="00873B6C" w:rsidRDefault="00857A0D" w:rsidP="00857A0D">
            <w:pPr>
              <w:pStyle w:val="TAC"/>
            </w:pPr>
            <w:r w:rsidRPr="00873B6C">
              <w:t>X</w:t>
            </w:r>
          </w:p>
        </w:tc>
        <w:tc>
          <w:tcPr>
            <w:tcW w:w="1418" w:type="dxa"/>
            <w:shd w:val="clear" w:color="auto" w:fill="auto"/>
          </w:tcPr>
          <w:p w14:paraId="2739D05E" w14:textId="77777777" w:rsidR="00857A0D" w:rsidRPr="00873B6C" w:rsidRDefault="00857A0D" w:rsidP="00857A0D">
            <w:pPr>
              <w:pStyle w:val="TAC"/>
            </w:pPr>
          </w:p>
        </w:tc>
        <w:tc>
          <w:tcPr>
            <w:tcW w:w="1338" w:type="dxa"/>
          </w:tcPr>
          <w:p w14:paraId="6FFB63F7" w14:textId="77777777" w:rsidR="00857A0D" w:rsidRPr="00873B6C" w:rsidRDefault="00857A0D" w:rsidP="00857A0D">
            <w:pPr>
              <w:pStyle w:val="TAC"/>
            </w:pPr>
            <w:r w:rsidRPr="00873B6C">
              <w:t>R</w:t>
            </w:r>
          </w:p>
        </w:tc>
        <w:tc>
          <w:tcPr>
            <w:tcW w:w="2126" w:type="dxa"/>
            <w:shd w:val="clear" w:color="auto" w:fill="auto"/>
          </w:tcPr>
          <w:p w14:paraId="1A36E5F5" w14:textId="77777777" w:rsidR="00857A0D" w:rsidRPr="00873B6C" w:rsidRDefault="00857A0D" w:rsidP="00857A0D">
            <w:pPr>
              <w:pStyle w:val="TAC"/>
            </w:pPr>
            <w:r w:rsidRPr="00873B6C">
              <w:t>IETF RFC 8344 [152]</w:t>
            </w:r>
          </w:p>
        </w:tc>
      </w:tr>
      <w:tr w:rsidR="00857A0D" w:rsidRPr="00873B6C" w14:paraId="21E39244" w14:textId="77777777" w:rsidTr="00C9561D">
        <w:trPr>
          <w:cantSplit/>
          <w:jc w:val="center"/>
        </w:trPr>
        <w:tc>
          <w:tcPr>
            <w:tcW w:w="3735" w:type="dxa"/>
            <w:shd w:val="clear" w:color="auto" w:fill="auto"/>
          </w:tcPr>
          <w:p w14:paraId="48921403" w14:textId="77777777" w:rsidR="00857A0D" w:rsidRPr="00873B6C" w:rsidRDefault="00857A0D" w:rsidP="00857A0D">
            <w:pPr>
              <w:pStyle w:val="TAL"/>
            </w:pPr>
            <w:r w:rsidRPr="00873B6C">
              <w:t>Information for each IPv6 neighbor</w:t>
            </w:r>
          </w:p>
        </w:tc>
        <w:tc>
          <w:tcPr>
            <w:tcW w:w="709" w:type="dxa"/>
            <w:shd w:val="clear" w:color="auto" w:fill="auto"/>
          </w:tcPr>
          <w:p w14:paraId="27168B63" w14:textId="77777777" w:rsidR="00857A0D" w:rsidRPr="00873B6C" w:rsidRDefault="00857A0D" w:rsidP="00857A0D">
            <w:pPr>
              <w:pStyle w:val="TAC"/>
            </w:pPr>
          </w:p>
        </w:tc>
        <w:tc>
          <w:tcPr>
            <w:tcW w:w="708" w:type="dxa"/>
            <w:shd w:val="clear" w:color="auto" w:fill="auto"/>
          </w:tcPr>
          <w:p w14:paraId="26EE15B4" w14:textId="77777777" w:rsidR="00857A0D" w:rsidRPr="00873B6C" w:rsidRDefault="00857A0D" w:rsidP="00857A0D">
            <w:pPr>
              <w:pStyle w:val="TAC"/>
            </w:pPr>
          </w:p>
        </w:tc>
        <w:tc>
          <w:tcPr>
            <w:tcW w:w="1418" w:type="dxa"/>
            <w:shd w:val="clear" w:color="auto" w:fill="auto"/>
          </w:tcPr>
          <w:p w14:paraId="16C371D6" w14:textId="77777777" w:rsidR="00857A0D" w:rsidRPr="00873B6C" w:rsidRDefault="00857A0D" w:rsidP="00857A0D">
            <w:pPr>
              <w:pStyle w:val="TAC"/>
            </w:pPr>
          </w:p>
        </w:tc>
        <w:tc>
          <w:tcPr>
            <w:tcW w:w="1338" w:type="dxa"/>
          </w:tcPr>
          <w:p w14:paraId="62F2D13E" w14:textId="77777777" w:rsidR="00857A0D" w:rsidRPr="00873B6C" w:rsidRDefault="00857A0D" w:rsidP="00857A0D">
            <w:pPr>
              <w:pStyle w:val="TAC"/>
            </w:pPr>
          </w:p>
        </w:tc>
        <w:tc>
          <w:tcPr>
            <w:tcW w:w="2126" w:type="dxa"/>
            <w:shd w:val="clear" w:color="auto" w:fill="auto"/>
          </w:tcPr>
          <w:p w14:paraId="185221B3" w14:textId="77777777" w:rsidR="00857A0D" w:rsidRPr="00873B6C" w:rsidRDefault="00857A0D" w:rsidP="00857A0D">
            <w:pPr>
              <w:pStyle w:val="TAC"/>
            </w:pPr>
          </w:p>
        </w:tc>
      </w:tr>
      <w:tr w:rsidR="00857A0D" w:rsidRPr="00873B6C" w14:paraId="03BED7D8" w14:textId="77777777" w:rsidTr="00C9561D">
        <w:trPr>
          <w:cantSplit/>
          <w:jc w:val="center"/>
        </w:trPr>
        <w:tc>
          <w:tcPr>
            <w:tcW w:w="3735" w:type="dxa"/>
            <w:shd w:val="clear" w:color="auto" w:fill="auto"/>
          </w:tcPr>
          <w:p w14:paraId="326F040F" w14:textId="77777777" w:rsidR="00857A0D" w:rsidRPr="00873B6C" w:rsidRDefault="00857A0D" w:rsidP="00857A0D">
            <w:pPr>
              <w:pStyle w:val="TAL"/>
            </w:pPr>
            <w:r w:rsidRPr="00873B6C">
              <w:t>IPv6 address</w:t>
            </w:r>
          </w:p>
        </w:tc>
        <w:tc>
          <w:tcPr>
            <w:tcW w:w="709" w:type="dxa"/>
            <w:shd w:val="clear" w:color="auto" w:fill="auto"/>
          </w:tcPr>
          <w:p w14:paraId="67FB869E" w14:textId="77777777" w:rsidR="00857A0D" w:rsidRPr="00873B6C" w:rsidRDefault="00857A0D" w:rsidP="00857A0D">
            <w:pPr>
              <w:pStyle w:val="TAC"/>
            </w:pPr>
          </w:p>
        </w:tc>
        <w:tc>
          <w:tcPr>
            <w:tcW w:w="708" w:type="dxa"/>
            <w:shd w:val="clear" w:color="auto" w:fill="auto"/>
          </w:tcPr>
          <w:p w14:paraId="37684D11" w14:textId="77777777" w:rsidR="00857A0D" w:rsidRPr="00873B6C" w:rsidRDefault="00857A0D" w:rsidP="00857A0D">
            <w:pPr>
              <w:pStyle w:val="TAC"/>
            </w:pPr>
            <w:r w:rsidRPr="00873B6C">
              <w:t>X</w:t>
            </w:r>
          </w:p>
        </w:tc>
        <w:tc>
          <w:tcPr>
            <w:tcW w:w="1418" w:type="dxa"/>
            <w:shd w:val="clear" w:color="auto" w:fill="auto"/>
          </w:tcPr>
          <w:p w14:paraId="37614DB5" w14:textId="77777777" w:rsidR="00857A0D" w:rsidRPr="00873B6C" w:rsidRDefault="00857A0D" w:rsidP="00857A0D">
            <w:pPr>
              <w:pStyle w:val="TAC"/>
            </w:pPr>
          </w:p>
        </w:tc>
        <w:tc>
          <w:tcPr>
            <w:tcW w:w="1338" w:type="dxa"/>
          </w:tcPr>
          <w:p w14:paraId="2AEEEC00" w14:textId="77777777" w:rsidR="00857A0D" w:rsidRPr="00873B6C" w:rsidRDefault="00857A0D" w:rsidP="00857A0D">
            <w:pPr>
              <w:pStyle w:val="TAC"/>
            </w:pPr>
            <w:r w:rsidRPr="00873B6C">
              <w:t>R</w:t>
            </w:r>
          </w:p>
        </w:tc>
        <w:tc>
          <w:tcPr>
            <w:tcW w:w="2126" w:type="dxa"/>
            <w:shd w:val="clear" w:color="auto" w:fill="auto"/>
          </w:tcPr>
          <w:p w14:paraId="2AE08E46" w14:textId="77777777" w:rsidR="00857A0D" w:rsidRPr="00873B6C" w:rsidRDefault="00857A0D" w:rsidP="00857A0D">
            <w:pPr>
              <w:pStyle w:val="TAC"/>
            </w:pPr>
            <w:r w:rsidRPr="00873B6C">
              <w:t>IETF RFC 8344 [152]</w:t>
            </w:r>
          </w:p>
        </w:tc>
      </w:tr>
      <w:tr w:rsidR="00857A0D" w:rsidRPr="00873B6C" w14:paraId="67CEBF22" w14:textId="77777777" w:rsidTr="00C9561D">
        <w:trPr>
          <w:cantSplit/>
          <w:jc w:val="center"/>
        </w:trPr>
        <w:tc>
          <w:tcPr>
            <w:tcW w:w="3735" w:type="dxa"/>
            <w:shd w:val="clear" w:color="auto" w:fill="auto"/>
          </w:tcPr>
          <w:p w14:paraId="4B6B26BA" w14:textId="77777777" w:rsidR="00857A0D" w:rsidRPr="00873B6C" w:rsidRDefault="00857A0D" w:rsidP="00857A0D">
            <w:pPr>
              <w:pStyle w:val="TAL"/>
            </w:pPr>
            <w:r w:rsidRPr="00873B6C">
              <w:t>link-layer-address</w:t>
            </w:r>
          </w:p>
        </w:tc>
        <w:tc>
          <w:tcPr>
            <w:tcW w:w="709" w:type="dxa"/>
            <w:shd w:val="clear" w:color="auto" w:fill="auto"/>
          </w:tcPr>
          <w:p w14:paraId="68B97C51" w14:textId="77777777" w:rsidR="00857A0D" w:rsidRPr="00873B6C" w:rsidRDefault="00857A0D" w:rsidP="00857A0D">
            <w:pPr>
              <w:pStyle w:val="TAC"/>
            </w:pPr>
          </w:p>
        </w:tc>
        <w:tc>
          <w:tcPr>
            <w:tcW w:w="708" w:type="dxa"/>
            <w:shd w:val="clear" w:color="auto" w:fill="auto"/>
          </w:tcPr>
          <w:p w14:paraId="2EE32BF5" w14:textId="77777777" w:rsidR="00857A0D" w:rsidRPr="00873B6C" w:rsidRDefault="00857A0D" w:rsidP="00857A0D">
            <w:pPr>
              <w:pStyle w:val="TAC"/>
            </w:pPr>
            <w:r w:rsidRPr="00873B6C">
              <w:t>X</w:t>
            </w:r>
          </w:p>
        </w:tc>
        <w:tc>
          <w:tcPr>
            <w:tcW w:w="1418" w:type="dxa"/>
            <w:shd w:val="clear" w:color="auto" w:fill="auto"/>
          </w:tcPr>
          <w:p w14:paraId="5C1A2B7F" w14:textId="77777777" w:rsidR="00857A0D" w:rsidRPr="00873B6C" w:rsidRDefault="00857A0D" w:rsidP="00857A0D">
            <w:pPr>
              <w:pStyle w:val="TAC"/>
            </w:pPr>
          </w:p>
        </w:tc>
        <w:tc>
          <w:tcPr>
            <w:tcW w:w="1338" w:type="dxa"/>
          </w:tcPr>
          <w:p w14:paraId="73038AA4" w14:textId="77777777" w:rsidR="00857A0D" w:rsidRPr="00873B6C" w:rsidRDefault="00857A0D" w:rsidP="00857A0D">
            <w:pPr>
              <w:pStyle w:val="TAC"/>
            </w:pPr>
            <w:r w:rsidRPr="00873B6C">
              <w:t>R</w:t>
            </w:r>
          </w:p>
        </w:tc>
        <w:tc>
          <w:tcPr>
            <w:tcW w:w="2126" w:type="dxa"/>
            <w:shd w:val="clear" w:color="auto" w:fill="auto"/>
          </w:tcPr>
          <w:p w14:paraId="69EA97CF" w14:textId="77777777" w:rsidR="00857A0D" w:rsidRPr="00873B6C" w:rsidRDefault="00857A0D" w:rsidP="00857A0D">
            <w:pPr>
              <w:pStyle w:val="TAC"/>
            </w:pPr>
            <w:r w:rsidRPr="00873B6C">
              <w:t>IETF RFC 8344 [152]</w:t>
            </w:r>
          </w:p>
        </w:tc>
      </w:tr>
      <w:tr w:rsidR="00857A0D" w:rsidRPr="00873B6C" w14:paraId="31146406" w14:textId="77777777" w:rsidTr="00C9561D">
        <w:trPr>
          <w:cantSplit/>
          <w:jc w:val="center"/>
        </w:trPr>
        <w:tc>
          <w:tcPr>
            <w:tcW w:w="3735" w:type="dxa"/>
            <w:shd w:val="clear" w:color="auto" w:fill="auto"/>
          </w:tcPr>
          <w:p w14:paraId="01875A84" w14:textId="77777777" w:rsidR="00857A0D" w:rsidRPr="00873B6C" w:rsidRDefault="00857A0D" w:rsidP="00857A0D">
            <w:pPr>
              <w:pStyle w:val="TAL"/>
              <w:rPr>
                <w:b/>
              </w:rPr>
            </w:pPr>
            <w:r w:rsidRPr="00873B6C">
              <w:t>origin</w:t>
            </w:r>
          </w:p>
        </w:tc>
        <w:tc>
          <w:tcPr>
            <w:tcW w:w="709" w:type="dxa"/>
            <w:shd w:val="clear" w:color="auto" w:fill="auto"/>
          </w:tcPr>
          <w:p w14:paraId="40A8214A" w14:textId="77777777" w:rsidR="00857A0D" w:rsidRPr="00873B6C" w:rsidRDefault="00857A0D" w:rsidP="00857A0D">
            <w:pPr>
              <w:pStyle w:val="TAC"/>
            </w:pPr>
          </w:p>
        </w:tc>
        <w:tc>
          <w:tcPr>
            <w:tcW w:w="708" w:type="dxa"/>
            <w:shd w:val="clear" w:color="auto" w:fill="auto"/>
          </w:tcPr>
          <w:p w14:paraId="0D11FB97" w14:textId="77777777" w:rsidR="00857A0D" w:rsidRPr="00873B6C" w:rsidRDefault="00857A0D" w:rsidP="00857A0D">
            <w:pPr>
              <w:pStyle w:val="TAC"/>
            </w:pPr>
            <w:r w:rsidRPr="00873B6C">
              <w:t>X</w:t>
            </w:r>
          </w:p>
        </w:tc>
        <w:tc>
          <w:tcPr>
            <w:tcW w:w="1418" w:type="dxa"/>
            <w:shd w:val="clear" w:color="auto" w:fill="auto"/>
          </w:tcPr>
          <w:p w14:paraId="05ED776C" w14:textId="77777777" w:rsidR="00857A0D" w:rsidRPr="00873B6C" w:rsidRDefault="00857A0D" w:rsidP="00857A0D">
            <w:pPr>
              <w:pStyle w:val="TAC"/>
            </w:pPr>
          </w:p>
        </w:tc>
        <w:tc>
          <w:tcPr>
            <w:tcW w:w="1338" w:type="dxa"/>
          </w:tcPr>
          <w:p w14:paraId="020B1A1E" w14:textId="77777777" w:rsidR="00857A0D" w:rsidRPr="00873B6C" w:rsidRDefault="00857A0D" w:rsidP="00857A0D">
            <w:pPr>
              <w:pStyle w:val="TAC"/>
            </w:pPr>
            <w:r w:rsidRPr="00873B6C">
              <w:t>R</w:t>
            </w:r>
          </w:p>
        </w:tc>
        <w:tc>
          <w:tcPr>
            <w:tcW w:w="2126" w:type="dxa"/>
            <w:shd w:val="clear" w:color="auto" w:fill="auto"/>
          </w:tcPr>
          <w:p w14:paraId="7EF5A6FE" w14:textId="77777777" w:rsidR="00857A0D" w:rsidRPr="00873B6C" w:rsidRDefault="00857A0D" w:rsidP="00857A0D">
            <w:pPr>
              <w:pStyle w:val="TAC"/>
            </w:pPr>
            <w:r w:rsidRPr="00873B6C">
              <w:t>IETF RFC 8344 [152]</w:t>
            </w:r>
          </w:p>
        </w:tc>
      </w:tr>
      <w:tr w:rsidR="00857A0D" w:rsidRPr="00873B6C" w14:paraId="26FC81AA" w14:textId="77777777" w:rsidTr="00C9561D">
        <w:trPr>
          <w:cantSplit/>
          <w:jc w:val="center"/>
        </w:trPr>
        <w:tc>
          <w:tcPr>
            <w:tcW w:w="3735" w:type="dxa"/>
            <w:shd w:val="clear" w:color="auto" w:fill="auto"/>
          </w:tcPr>
          <w:p w14:paraId="764E0D6C" w14:textId="77777777" w:rsidR="00857A0D" w:rsidRPr="00873B6C" w:rsidRDefault="00857A0D" w:rsidP="00857A0D">
            <w:pPr>
              <w:pStyle w:val="TAL"/>
            </w:pPr>
            <w:r w:rsidRPr="00873B6C">
              <w:t>is-router</w:t>
            </w:r>
          </w:p>
        </w:tc>
        <w:tc>
          <w:tcPr>
            <w:tcW w:w="709" w:type="dxa"/>
            <w:shd w:val="clear" w:color="auto" w:fill="auto"/>
          </w:tcPr>
          <w:p w14:paraId="2B65E0DF" w14:textId="77777777" w:rsidR="00857A0D" w:rsidRPr="00873B6C" w:rsidRDefault="00857A0D" w:rsidP="00857A0D">
            <w:pPr>
              <w:pStyle w:val="TAC"/>
            </w:pPr>
          </w:p>
        </w:tc>
        <w:tc>
          <w:tcPr>
            <w:tcW w:w="708" w:type="dxa"/>
            <w:shd w:val="clear" w:color="auto" w:fill="auto"/>
          </w:tcPr>
          <w:p w14:paraId="7E708F91" w14:textId="77777777" w:rsidR="00857A0D" w:rsidRPr="00873B6C" w:rsidRDefault="00857A0D" w:rsidP="00857A0D">
            <w:pPr>
              <w:pStyle w:val="TAC"/>
            </w:pPr>
            <w:r w:rsidRPr="00873B6C">
              <w:t>X</w:t>
            </w:r>
          </w:p>
        </w:tc>
        <w:tc>
          <w:tcPr>
            <w:tcW w:w="1418" w:type="dxa"/>
            <w:shd w:val="clear" w:color="auto" w:fill="auto"/>
          </w:tcPr>
          <w:p w14:paraId="3F40B599" w14:textId="77777777" w:rsidR="00857A0D" w:rsidRPr="00873B6C" w:rsidRDefault="00857A0D" w:rsidP="00857A0D">
            <w:pPr>
              <w:pStyle w:val="TAC"/>
            </w:pPr>
          </w:p>
        </w:tc>
        <w:tc>
          <w:tcPr>
            <w:tcW w:w="1338" w:type="dxa"/>
          </w:tcPr>
          <w:p w14:paraId="3083753E" w14:textId="77777777" w:rsidR="00857A0D" w:rsidRPr="00873B6C" w:rsidRDefault="00857A0D" w:rsidP="00857A0D">
            <w:pPr>
              <w:pStyle w:val="TAC"/>
            </w:pPr>
            <w:r w:rsidRPr="00873B6C">
              <w:t>R</w:t>
            </w:r>
          </w:p>
        </w:tc>
        <w:tc>
          <w:tcPr>
            <w:tcW w:w="2126" w:type="dxa"/>
            <w:shd w:val="clear" w:color="auto" w:fill="auto"/>
          </w:tcPr>
          <w:p w14:paraId="3E358A04" w14:textId="77777777" w:rsidR="00857A0D" w:rsidRPr="00873B6C" w:rsidRDefault="00857A0D" w:rsidP="00857A0D">
            <w:pPr>
              <w:pStyle w:val="TAC"/>
            </w:pPr>
            <w:r w:rsidRPr="00873B6C">
              <w:t>IETF RFC 8344 [152]</w:t>
            </w:r>
          </w:p>
        </w:tc>
      </w:tr>
      <w:tr w:rsidR="00857A0D" w:rsidRPr="00873B6C" w14:paraId="552F97B4" w14:textId="77777777" w:rsidTr="00C9561D">
        <w:trPr>
          <w:cantSplit/>
          <w:jc w:val="center"/>
        </w:trPr>
        <w:tc>
          <w:tcPr>
            <w:tcW w:w="3735" w:type="dxa"/>
            <w:shd w:val="clear" w:color="auto" w:fill="auto"/>
          </w:tcPr>
          <w:p w14:paraId="400711CD" w14:textId="77777777" w:rsidR="00857A0D" w:rsidRPr="00873B6C" w:rsidRDefault="00857A0D" w:rsidP="00857A0D">
            <w:pPr>
              <w:pStyle w:val="TAL"/>
            </w:pPr>
            <w:r w:rsidRPr="00873B6C">
              <w:t>state</w:t>
            </w:r>
          </w:p>
        </w:tc>
        <w:tc>
          <w:tcPr>
            <w:tcW w:w="709" w:type="dxa"/>
            <w:shd w:val="clear" w:color="auto" w:fill="auto"/>
          </w:tcPr>
          <w:p w14:paraId="6A42C468" w14:textId="77777777" w:rsidR="00857A0D" w:rsidRPr="00873B6C" w:rsidRDefault="00857A0D" w:rsidP="00857A0D">
            <w:pPr>
              <w:pStyle w:val="TAC"/>
            </w:pPr>
          </w:p>
        </w:tc>
        <w:tc>
          <w:tcPr>
            <w:tcW w:w="708" w:type="dxa"/>
            <w:shd w:val="clear" w:color="auto" w:fill="auto"/>
          </w:tcPr>
          <w:p w14:paraId="1E75A8F1" w14:textId="77777777" w:rsidR="00857A0D" w:rsidRPr="00873B6C" w:rsidRDefault="00857A0D" w:rsidP="00857A0D">
            <w:pPr>
              <w:pStyle w:val="TAC"/>
            </w:pPr>
            <w:r w:rsidRPr="00873B6C">
              <w:t>X</w:t>
            </w:r>
          </w:p>
        </w:tc>
        <w:tc>
          <w:tcPr>
            <w:tcW w:w="1418" w:type="dxa"/>
            <w:shd w:val="clear" w:color="auto" w:fill="auto"/>
          </w:tcPr>
          <w:p w14:paraId="22DEF341" w14:textId="77777777" w:rsidR="00857A0D" w:rsidRPr="00873B6C" w:rsidRDefault="00857A0D" w:rsidP="00857A0D">
            <w:pPr>
              <w:pStyle w:val="TAC"/>
            </w:pPr>
          </w:p>
        </w:tc>
        <w:tc>
          <w:tcPr>
            <w:tcW w:w="1338" w:type="dxa"/>
          </w:tcPr>
          <w:p w14:paraId="5E26C5F3" w14:textId="77777777" w:rsidR="00857A0D" w:rsidRPr="00873B6C" w:rsidRDefault="00857A0D" w:rsidP="00857A0D">
            <w:pPr>
              <w:pStyle w:val="TAC"/>
            </w:pPr>
            <w:r w:rsidRPr="00873B6C">
              <w:t>R</w:t>
            </w:r>
          </w:p>
        </w:tc>
        <w:tc>
          <w:tcPr>
            <w:tcW w:w="2126" w:type="dxa"/>
            <w:shd w:val="clear" w:color="auto" w:fill="auto"/>
          </w:tcPr>
          <w:p w14:paraId="1084E41B" w14:textId="77777777" w:rsidR="00857A0D" w:rsidRPr="00873B6C" w:rsidRDefault="00857A0D" w:rsidP="00857A0D">
            <w:pPr>
              <w:pStyle w:val="TAC"/>
            </w:pPr>
            <w:r w:rsidRPr="00873B6C">
              <w:t>IETF RFC 8344 [152]</w:t>
            </w:r>
          </w:p>
        </w:tc>
      </w:tr>
      <w:tr w:rsidR="00857A0D" w:rsidRPr="00873B6C" w14:paraId="4E05F368" w14:textId="77777777" w:rsidTr="00C9561D">
        <w:trPr>
          <w:cantSplit/>
          <w:jc w:val="center"/>
        </w:trPr>
        <w:tc>
          <w:tcPr>
            <w:tcW w:w="3735" w:type="dxa"/>
            <w:shd w:val="clear" w:color="auto" w:fill="auto"/>
          </w:tcPr>
          <w:p w14:paraId="1DDBC190" w14:textId="77777777" w:rsidR="00857A0D" w:rsidRPr="00873B6C" w:rsidRDefault="00857A0D" w:rsidP="00857A0D">
            <w:pPr>
              <w:pStyle w:val="TAL"/>
              <w:rPr>
                <w:b/>
                <w:bCs/>
              </w:rPr>
            </w:pPr>
            <w:r w:rsidRPr="00873B6C">
              <w:rPr>
                <w:b/>
                <w:bCs/>
              </w:rPr>
              <w:t>Stream Parameters</w:t>
            </w:r>
          </w:p>
          <w:p w14:paraId="129D7DBE" w14:textId="77777777" w:rsidR="00857A0D" w:rsidRPr="00873B6C" w:rsidRDefault="00857A0D" w:rsidP="00857A0D">
            <w:pPr>
              <w:pStyle w:val="TAL"/>
            </w:pPr>
            <w:r w:rsidRPr="00873B6C">
              <w:rPr>
                <w:b/>
                <w:bCs/>
              </w:rPr>
              <w:t>(NOTE 11)</w:t>
            </w:r>
          </w:p>
        </w:tc>
        <w:tc>
          <w:tcPr>
            <w:tcW w:w="709" w:type="dxa"/>
            <w:shd w:val="clear" w:color="auto" w:fill="auto"/>
          </w:tcPr>
          <w:p w14:paraId="3EED9FFD" w14:textId="77777777" w:rsidR="00857A0D" w:rsidRPr="00873B6C" w:rsidRDefault="00857A0D" w:rsidP="00857A0D">
            <w:pPr>
              <w:pStyle w:val="TAC"/>
            </w:pPr>
          </w:p>
        </w:tc>
        <w:tc>
          <w:tcPr>
            <w:tcW w:w="708" w:type="dxa"/>
            <w:shd w:val="clear" w:color="auto" w:fill="auto"/>
          </w:tcPr>
          <w:p w14:paraId="3D1F8F11" w14:textId="77777777" w:rsidR="00857A0D" w:rsidRPr="00873B6C" w:rsidRDefault="00857A0D" w:rsidP="00857A0D">
            <w:pPr>
              <w:pStyle w:val="TAC"/>
            </w:pPr>
          </w:p>
        </w:tc>
        <w:tc>
          <w:tcPr>
            <w:tcW w:w="1418" w:type="dxa"/>
            <w:shd w:val="clear" w:color="auto" w:fill="auto"/>
          </w:tcPr>
          <w:p w14:paraId="7EC05710" w14:textId="77777777" w:rsidR="00857A0D" w:rsidRPr="00873B6C" w:rsidRDefault="00857A0D" w:rsidP="00857A0D">
            <w:pPr>
              <w:pStyle w:val="TAC"/>
            </w:pPr>
          </w:p>
        </w:tc>
        <w:tc>
          <w:tcPr>
            <w:tcW w:w="1338" w:type="dxa"/>
          </w:tcPr>
          <w:p w14:paraId="33D9037D" w14:textId="77777777" w:rsidR="00857A0D" w:rsidRPr="00873B6C" w:rsidRDefault="00857A0D" w:rsidP="00857A0D">
            <w:pPr>
              <w:pStyle w:val="TAC"/>
            </w:pPr>
          </w:p>
        </w:tc>
        <w:tc>
          <w:tcPr>
            <w:tcW w:w="2126" w:type="dxa"/>
            <w:shd w:val="clear" w:color="auto" w:fill="auto"/>
          </w:tcPr>
          <w:p w14:paraId="2767A3DC" w14:textId="77777777" w:rsidR="00857A0D" w:rsidRPr="00873B6C" w:rsidRDefault="00857A0D" w:rsidP="00857A0D">
            <w:pPr>
              <w:pStyle w:val="TAC"/>
            </w:pPr>
          </w:p>
        </w:tc>
      </w:tr>
      <w:tr w:rsidR="00857A0D" w:rsidRPr="00873B6C" w14:paraId="2099FAAF" w14:textId="77777777" w:rsidTr="00C9561D">
        <w:trPr>
          <w:cantSplit/>
          <w:jc w:val="center"/>
        </w:trPr>
        <w:tc>
          <w:tcPr>
            <w:tcW w:w="3735" w:type="dxa"/>
            <w:shd w:val="clear" w:color="auto" w:fill="auto"/>
          </w:tcPr>
          <w:p w14:paraId="5557B75E" w14:textId="77777777" w:rsidR="00857A0D" w:rsidRPr="00873B6C" w:rsidRDefault="00857A0D" w:rsidP="00857A0D">
            <w:pPr>
              <w:pStyle w:val="TAL"/>
              <w:rPr>
                <w:b/>
                <w:bCs/>
              </w:rPr>
            </w:pPr>
            <w:r w:rsidRPr="00873B6C">
              <w:t>MaxStreamFilterInstances</w:t>
            </w:r>
          </w:p>
        </w:tc>
        <w:tc>
          <w:tcPr>
            <w:tcW w:w="709" w:type="dxa"/>
            <w:shd w:val="clear" w:color="auto" w:fill="auto"/>
          </w:tcPr>
          <w:p w14:paraId="21228224" w14:textId="77777777" w:rsidR="00857A0D" w:rsidRPr="00873B6C" w:rsidRDefault="00857A0D" w:rsidP="00857A0D">
            <w:pPr>
              <w:pStyle w:val="TAC"/>
            </w:pPr>
            <w:r w:rsidRPr="00873B6C">
              <w:t>X</w:t>
            </w:r>
          </w:p>
        </w:tc>
        <w:tc>
          <w:tcPr>
            <w:tcW w:w="708" w:type="dxa"/>
            <w:shd w:val="clear" w:color="auto" w:fill="auto"/>
          </w:tcPr>
          <w:p w14:paraId="43E7759F" w14:textId="77777777" w:rsidR="00857A0D" w:rsidRPr="00873B6C" w:rsidRDefault="00857A0D" w:rsidP="00857A0D">
            <w:pPr>
              <w:pStyle w:val="TAC"/>
            </w:pPr>
          </w:p>
        </w:tc>
        <w:tc>
          <w:tcPr>
            <w:tcW w:w="1418" w:type="dxa"/>
            <w:shd w:val="clear" w:color="auto" w:fill="auto"/>
          </w:tcPr>
          <w:p w14:paraId="219826BC" w14:textId="77777777" w:rsidR="00857A0D" w:rsidRPr="00873B6C" w:rsidRDefault="00857A0D" w:rsidP="00857A0D">
            <w:pPr>
              <w:pStyle w:val="TAC"/>
            </w:pPr>
            <w:r w:rsidRPr="00873B6C">
              <w:t>R</w:t>
            </w:r>
          </w:p>
        </w:tc>
        <w:tc>
          <w:tcPr>
            <w:tcW w:w="1338" w:type="dxa"/>
          </w:tcPr>
          <w:p w14:paraId="6512C932" w14:textId="77777777" w:rsidR="00857A0D" w:rsidRPr="00873B6C" w:rsidRDefault="00857A0D" w:rsidP="00857A0D">
            <w:pPr>
              <w:pStyle w:val="TAC"/>
            </w:pPr>
            <w:r w:rsidRPr="00873B6C">
              <w:t>-</w:t>
            </w:r>
          </w:p>
        </w:tc>
        <w:tc>
          <w:tcPr>
            <w:tcW w:w="2126" w:type="dxa"/>
            <w:shd w:val="clear" w:color="auto" w:fill="auto"/>
          </w:tcPr>
          <w:p w14:paraId="1CBD6745" w14:textId="77777777" w:rsidR="00857A0D" w:rsidRPr="00873B6C" w:rsidRDefault="00857A0D" w:rsidP="00857A0D">
            <w:pPr>
              <w:pStyle w:val="TAC"/>
            </w:pPr>
            <w:r w:rsidRPr="00873B6C">
              <w:t>IEEE Std 802.1Q [98]</w:t>
            </w:r>
          </w:p>
          <w:p w14:paraId="292F8F52" w14:textId="77777777" w:rsidR="00857A0D" w:rsidRPr="00873B6C" w:rsidRDefault="00857A0D" w:rsidP="00857A0D">
            <w:pPr>
              <w:pStyle w:val="TAC"/>
            </w:pPr>
            <w:r w:rsidRPr="00873B6C">
              <w:t xml:space="preserve"> clause 12.31.1.1</w:t>
            </w:r>
          </w:p>
        </w:tc>
      </w:tr>
      <w:tr w:rsidR="00857A0D" w:rsidRPr="00873B6C" w14:paraId="4FA90516" w14:textId="77777777" w:rsidTr="00C9561D">
        <w:trPr>
          <w:cantSplit/>
          <w:jc w:val="center"/>
        </w:trPr>
        <w:tc>
          <w:tcPr>
            <w:tcW w:w="3735" w:type="dxa"/>
            <w:shd w:val="clear" w:color="auto" w:fill="auto"/>
          </w:tcPr>
          <w:p w14:paraId="4E32C066" w14:textId="77777777" w:rsidR="00857A0D" w:rsidRPr="00873B6C" w:rsidRDefault="00857A0D" w:rsidP="00857A0D">
            <w:pPr>
              <w:pStyle w:val="TAL"/>
            </w:pPr>
            <w:r w:rsidRPr="00873B6C">
              <w:t>MaxStreamGateInstances</w:t>
            </w:r>
          </w:p>
        </w:tc>
        <w:tc>
          <w:tcPr>
            <w:tcW w:w="709" w:type="dxa"/>
            <w:shd w:val="clear" w:color="auto" w:fill="auto"/>
          </w:tcPr>
          <w:p w14:paraId="0C0BE512" w14:textId="77777777" w:rsidR="00857A0D" w:rsidRPr="00873B6C" w:rsidRDefault="00857A0D" w:rsidP="00857A0D">
            <w:pPr>
              <w:pStyle w:val="TAC"/>
            </w:pPr>
            <w:r w:rsidRPr="00873B6C">
              <w:t>X</w:t>
            </w:r>
          </w:p>
        </w:tc>
        <w:tc>
          <w:tcPr>
            <w:tcW w:w="708" w:type="dxa"/>
            <w:shd w:val="clear" w:color="auto" w:fill="auto"/>
          </w:tcPr>
          <w:p w14:paraId="3F5F991D" w14:textId="77777777" w:rsidR="00857A0D" w:rsidRPr="00873B6C" w:rsidRDefault="00857A0D" w:rsidP="00857A0D">
            <w:pPr>
              <w:pStyle w:val="TAC"/>
            </w:pPr>
          </w:p>
        </w:tc>
        <w:tc>
          <w:tcPr>
            <w:tcW w:w="1418" w:type="dxa"/>
            <w:shd w:val="clear" w:color="auto" w:fill="auto"/>
          </w:tcPr>
          <w:p w14:paraId="5181C281" w14:textId="77777777" w:rsidR="00857A0D" w:rsidRPr="00873B6C" w:rsidRDefault="00857A0D" w:rsidP="00857A0D">
            <w:pPr>
              <w:pStyle w:val="TAC"/>
            </w:pPr>
            <w:r w:rsidRPr="00873B6C">
              <w:t>R</w:t>
            </w:r>
          </w:p>
        </w:tc>
        <w:tc>
          <w:tcPr>
            <w:tcW w:w="1338" w:type="dxa"/>
          </w:tcPr>
          <w:p w14:paraId="7A0FA7F3" w14:textId="77777777" w:rsidR="00857A0D" w:rsidRPr="00873B6C" w:rsidRDefault="00857A0D" w:rsidP="00857A0D">
            <w:pPr>
              <w:pStyle w:val="TAC"/>
            </w:pPr>
            <w:r w:rsidRPr="00873B6C">
              <w:t>-</w:t>
            </w:r>
          </w:p>
        </w:tc>
        <w:tc>
          <w:tcPr>
            <w:tcW w:w="2126" w:type="dxa"/>
            <w:shd w:val="clear" w:color="auto" w:fill="auto"/>
          </w:tcPr>
          <w:p w14:paraId="45AB145B" w14:textId="77777777" w:rsidR="00857A0D" w:rsidRPr="00873B6C" w:rsidRDefault="00857A0D" w:rsidP="00857A0D">
            <w:pPr>
              <w:pStyle w:val="TAC"/>
            </w:pPr>
            <w:r w:rsidRPr="00873B6C">
              <w:t>IEEE Std 802.1Q [98]</w:t>
            </w:r>
          </w:p>
          <w:p w14:paraId="4F38C34B" w14:textId="77777777" w:rsidR="00857A0D" w:rsidRPr="00873B6C" w:rsidRDefault="00857A0D" w:rsidP="00857A0D">
            <w:pPr>
              <w:pStyle w:val="TAC"/>
            </w:pPr>
            <w:r w:rsidRPr="00873B6C">
              <w:t xml:space="preserve"> clause 12.31.1.2</w:t>
            </w:r>
          </w:p>
        </w:tc>
      </w:tr>
      <w:tr w:rsidR="00857A0D" w:rsidRPr="00873B6C" w14:paraId="257F0E16" w14:textId="77777777" w:rsidTr="00C9561D">
        <w:trPr>
          <w:cantSplit/>
          <w:jc w:val="center"/>
        </w:trPr>
        <w:tc>
          <w:tcPr>
            <w:tcW w:w="3735" w:type="dxa"/>
            <w:shd w:val="clear" w:color="auto" w:fill="auto"/>
          </w:tcPr>
          <w:p w14:paraId="22350BF7" w14:textId="77777777" w:rsidR="00857A0D" w:rsidRPr="00873B6C" w:rsidRDefault="00857A0D" w:rsidP="00857A0D">
            <w:pPr>
              <w:pStyle w:val="TAL"/>
            </w:pPr>
            <w:r w:rsidRPr="00873B6C">
              <w:t>MaxFlowMeterInstances</w:t>
            </w:r>
          </w:p>
        </w:tc>
        <w:tc>
          <w:tcPr>
            <w:tcW w:w="709" w:type="dxa"/>
            <w:shd w:val="clear" w:color="auto" w:fill="auto"/>
          </w:tcPr>
          <w:p w14:paraId="6818B694" w14:textId="77777777" w:rsidR="00857A0D" w:rsidRPr="00873B6C" w:rsidRDefault="00857A0D" w:rsidP="00857A0D">
            <w:pPr>
              <w:pStyle w:val="TAC"/>
            </w:pPr>
            <w:r w:rsidRPr="00873B6C">
              <w:t>X</w:t>
            </w:r>
          </w:p>
        </w:tc>
        <w:tc>
          <w:tcPr>
            <w:tcW w:w="708" w:type="dxa"/>
            <w:shd w:val="clear" w:color="auto" w:fill="auto"/>
          </w:tcPr>
          <w:p w14:paraId="17214048" w14:textId="77777777" w:rsidR="00857A0D" w:rsidRPr="00873B6C" w:rsidRDefault="00857A0D" w:rsidP="00857A0D">
            <w:pPr>
              <w:pStyle w:val="TAC"/>
            </w:pPr>
          </w:p>
        </w:tc>
        <w:tc>
          <w:tcPr>
            <w:tcW w:w="1418" w:type="dxa"/>
            <w:shd w:val="clear" w:color="auto" w:fill="auto"/>
          </w:tcPr>
          <w:p w14:paraId="71ABCEF0" w14:textId="77777777" w:rsidR="00857A0D" w:rsidRPr="00873B6C" w:rsidRDefault="00857A0D" w:rsidP="00857A0D">
            <w:pPr>
              <w:pStyle w:val="TAC"/>
            </w:pPr>
            <w:r w:rsidRPr="00873B6C">
              <w:t>R</w:t>
            </w:r>
          </w:p>
        </w:tc>
        <w:tc>
          <w:tcPr>
            <w:tcW w:w="1338" w:type="dxa"/>
          </w:tcPr>
          <w:p w14:paraId="672EC3A6" w14:textId="77777777" w:rsidR="00857A0D" w:rsidRPr="00873B6C" w:rsidRDefault="00857A0D" w:rsidP="00857A0D">
            <w:pPr>
              <w:pStyle w:val="TAC"/>
            </w:pPr>
            <w:r w:rsidRPr="00873B6C">
              <w:t>-</w:t>
            </w:r>
          </w:p>
        </w:tc>
        <w:tc>
          <w:tcPr>
            <w:tcW w:w="2126" w:type="dxa"/>
            <w:shd w:val="clear" w:color="auto" w:fill="auto"/>
          </w:tcPr>
          <w:p w14:paraId="081497E4" w14:textId="77777777" w:rsidR="00857A0D" w:rsidRPr="00873B6C" w:rsidRDefault="00857A0D" w:rsidP="00857A0D">
            <w:pPr>
              <w:pStyle w:val="TAC"/>
            </w:pPr>
            <w:r w:rsidRPr="00873B6C">
              <w:t>IEEE Std 802.1Q [98]</w:t>
            </w:r>
          </w:p>
          <w:p w14:paraId="1913BE7A" w14:textId="77777777" w:rsidR="00857A0D" w:rsidRPr="00873B6C" w:rsidRDefault="00857A0D" w:rsidP="00857A0D">
            <w:pPr>
              <w:pStyle w:val="TAC"/>
            </w:pPr>
            <w:r w:rsidRPr="00873B6C">
              <w:t xml:space="preserve"> clause 12.31.1.3</w:t>
            </w:r>
          </w:p>
        </w:tc>
      </w:tr>
      <w:tr w:rsidR="00857A0D" w:rsidRPr="00873B6C" w14:paraId="10626AD1" w14:textId="77777777" w:rsidTr="00C9561D">
        <w:trPr>
          <w:cantSplit/>
          <w:jc w:val="center"/>
        </w:trPr>
        <w:tc>
          <w:tcPr>
            <w:tcW w:w="3735" w:type="dxa"/>
            <w:shd w:val="clear" w:color="auto" w:fill="auto"/>
          </w:tcPr>
          <w:p w14:paraId="164C2B93" w14:textId="77777777" w:rsidR="00857A0D" w:rsidRPr="00873B6C" w:rsidRDefault="00857A0D" w:rsidP="00857A0D">
            <w:pPr>
              <w:pStyle w:val="TAL"/>
            </w:pPr>
            <w:r w:rsidRPr="00873B6C">
              <w:t>SupportedListMax</w:t>
            </w:r>
          </w:p>
        </w:tc>
        <w:tc>
          <w:tcPr>
            <w:tcW w:w="709" w:type="dxa"/>
            <w:shd w:val="clear" w:color="auto" w:fill="auto"/>
          </w:tcPr>
          <w:p w14:paraId="0330681E" w14:textId="77777777" w:rsidR="00857A0D" w:rsidRPr="00873B6C" w:rsidRDefault="00857A0D" w:rsidP="00857A0D">
            <w:pPr>
              <w:pStyle w:val="TAC"/>
            </w:pPr>
            <w:r w:rsidRPr="00873B6C">
              <w:t>X</w:t>
            </w:r>
          </w:p>
        </w:tc>
        <w:tc>
          <w:tcPr>
            <w:tcW w:w="708" w:type="dxa"/>
            <w:shd w:val="clear" w:color="auto" w:fill="auto"/>
          </w:tcPr>
          <w:p w14:paraId="731705D6" w14:textId="77777777" w:rsidR="00857A0D" w:rsidRPr="00873B6C" w:rsidRDefault="00857A0D" w:rsidP="00857A0D">
            <w:pPr>
              <w:pStyle w:val="TAC"/>
            </w:pPr>
          </w:p>
        </w:tc>
        <w:tc>
          <w:tcPr>
            <w:tcW w:w="1418" w:type="dxa"/>
            <w:shd w:val="clear" w:color="auto" w:fill="auto"/>
          </w:tcPr>
          <w:p w14:paraId="5547D2C3" w14:textId="77777777" w:rsidR="00857A0D" w:rsidRPr="00873B6C" w:rsidRDefault="00857A0D" w:rsidP="00857A0D">
            <w:pPr>
              <w:pStyle w:val="TAC"/>
            </w:pPr>
            <w:r w:rsidRPr="00873B6C">
              <w:t>R</w:t>
            </w:r>
          </w:p>
        </w:tc>
        <w:tc>
          <w:tcPr>
            <w:tcW w:w="1338" w:type="dxa"/>
          </w:tcPr>
          <w:p w14:paraId="3F6D6286" w14:textId="77777777" w:rsidR="00857A0D" w:rsidRPr="00873B6C" w:rsidRDefault="00857A0D" w:rsidP="00857A0D">
            <w:pPr>
              <w:pStyle w:val="TAC"/>
            </w:pPr>
            <w:r w:rsidRPr="00873B6C">
              <w:t>-</w:t>
            </w:r>
          </w:p>
        </w:tc>
        <w:tc>
          <w:tcPr>
            <w:tcW w:w="2126" w:type="dxa"/>
            <w:shd w:val="clear" w:color="auto" w:fill="auto"/>
          </w:tcPr>
          <w:p w14:paraId="626986CB" w14:textId="77777777" w:rsidR="00857A0D" w:rsidRPr="00873B6C" w:rsidRDefault="00857A0D" w:rsidP="00857A0D">
            <w:pPr>
              <w:pStyle w:val="TAC"/>
            </w:pPr>
            <w:r w:rsidRPr="00873B6C">
              <w:t>IEEE Std 802.1Q [98]</w:t>
            </w:r>
          </w:p>
          <w:p w14:paraId="05650AF7" w14:textId="77777777" w:rsidR="00857A0D" w:rsidRPr="00873B6C" w:rsidRDefault="00857A0D" w:rsidP="00857A0D">
            <w:pPr>
              <w:pStyle w:val="TAC"/>
            </w:pPr>
            <w:r w:rsidRPr="00873B6C">
              <w:t xml:space="preserve"> clause 12.31.1.4</w:t>
            </w:r>
          </w:p>
        </w:tc>
      </w:tr>
      <w:tr w:rsidR="00857A0D" w:rsidRPr="00873B6C" w14:paraId="02DD8940" w14:textId="77777777" w:rsidTr="00C9561D">
        <w:trPr>
          <w:cantSplit/>
          <w:jc w:val="center"/>
        </w:trPr>
        <w:tc>
          <w:tcPr>
            <w:tcW w:w="3735" w:type="dxa"/>
            <w:shd w:val="clear" w:color="auto" w:fill="auto"/>
          </w:tcPr>
          <w:p w14:paraId="2AA89989" w14:textId="77777777" w:rsidR="00857A0D" w:rsidRPr="00873B6C" w:rsidRDefault="00857A0D" w:rsidP="00857A0D">
            <w:pPr>
              <w:pStyle w:val="TAL"/>
              <w:rPr>
                <w:b/>
                <w:bCs/>
              </w:rPr>
            </w:pPr>
            <w:r w:rsidRPr="00873B6C">
              <w:rPr>
                <w:b/>
                <w:bCs/>
              </w:rPr>
              <w:t>Per-Stream Filtering and Policing information</w:t>
            </w:r>
          </w:p>
          <w:p w14:paraId="2116ECCC" w14:textId="77777777" w:rsidR="00857A0D" w:rsidRPr="00873B6C" w:rsidRDefault="00857A0D" w:rsidP="00857A0D">
            <w:pPr>
              <w:pStyle w:val="TAL"/>
            </w:pPr>
            <w:r w:rsidRPr="00873B6C">
              <w:t>(NOTE 10)</w:t>
            </w:r>
          </w:p>
        </w:tc>
        <w:tc>
          <w:tcPr>
            <w:tcW w:w="709" w:type="dxa"/>
            <w:shd w:val="clear" w:color="auto" w:fill="auto"/>
          </w:tcPr>
          <w:p w14:paraId="0787014A" w14:textId="77777777" w:rsidR="00857A0D" w:rsidRPr="00873B6C" w:rsidRDefault="00857A0D" w:rsidP="00857A0D">
            <w:pPr>
              <w:pStyle w:val="TAC"/>
            </w:pPr>
          </w:p>
        </w:tc>
        <w:tc>
          <w:tcPr>
            <w:tcW w:w="708" w:type="dxa"/>
            <w:shd w:val="clear" w:color="auto" w:fill="auto"/>
          </w:tcPr>
          <w:p w14:paraId="614929AE" w14:textId="77777777" w:rsidR="00857A0D" w:rsidRPr="00873B6C" w:rsidRDefault="00857A0D" w:rsidP="00857A0D">
            <w:pPr>
              <w:pStyle w:val="TAC"/>
            </w:pPr>
          </w:p>
        </w:tc>
        <w:tc>
          <w:tcPr>
            <w:tcW w:w="1418" w:type="dxa"/>
            <w:shd w:val="clear" w:color="auto" w:fill="auto"/>
          </w:tcPr>
          <w:p w14:paraId="4ED0E216" w14:textId="77777777" w:rsidR="00857A0D" w:rsidRPr="00873B6C" w:rsidRDefault="00857A0D" w:rsidP="00857A0D">
            <w:pPr>
              <w:pStyle w:val="TAC"/>
            </w:pPr>
          </w:p>
        </w:tc>
        <w:tc>
          <w:tcPr>
            <w:tcW w:w="1338" w:type="dxa"/>
          </w:tcPr>
          <w:p w14:paraId="3E7E32B8" w14:textId="77777777" w:rsidR="00857A0D" w:rsidRPr="00873B6C" w:rsidRDefault="00857A0D" w:rsidP="00857A0D">
            <w:pPr>
              <w:pStyle w:val="TAC"/>
            </w:pPr>
          </w:p>
        </w:tc>
        <w:tc>
          <w:tcPr>
            <w:tcW w:w="2126" w:type="dxa"/>
            <w:shd w:val="clear" w:color="auto" w:fill="auto"/>
          </w:tcPr>
          <w:p w14:paraId="0A6C96B0" w14:textId="77777777" w:rsidR="00857A0D" w:rsidRPr="00873B6C" w:rsidRDefault="00857A0D" w:rsidP="00857A0D">
            <w:pPr>
              <w:pStyle w:val="TAC"/>
            </w:pPr>
          </w:p>
        </w:tc>
      </w:tr>
      <w:tr w:rsidR="00857A0D" w:rsidRPr="00873B6C" w14:paraId="3979F347" w14:textId="77777777" w:rsidTr="00C9561D">
        <w:trPr>
          <w:cantSplit/>
          <w:jc w:val="center"/>
        </w:trPr>
        <w:tc>
          <w:tcPr>
            <w:tcW w:w="3735" w:type="dxa"/>
            <w:shd w:val="clear" w:color="auto" w:fill="auto"/>
          </w:tcPr>
          <w:p w14:paraId="07E70F48" w14:textId="77777777" w:rsidR="00857A0D" w:rsidRPr="00873B6C" w:rsidRDefault="00857A0D" w:rsidP="00857A0D">
            <w:pPr>
              <w:pStyle w:val="TAL"/>
              <w:rPr>
                <w:bCs/>
              </w:rPr>
            </w:pPr>
            <w:r w:rsidRPr="00873B6C">
              <w:rPr>
                <w:bCs/>
              </w:rPr>
              <w:t>Stream Filter Instance Table</w:t>
            </w:r>
          </w:p>
          <w:p w14:paraId="4641E505" w14:textId="77777777" w:rsidR="00857A0D" w:rsidRPr="00873B6C" w:rsidRDefault="00857A0D" w:rsidP="00857A0D">
            <w:pPr>
              <w:pStyle w:val="TAL"/>
              <w:rPr>
                <w:b/>
                <w:bCs/>
              </w:rPr>
            </w:pPr>
            <w:r w:rsidRPr="00873B6C">
              <w:rPr>
                <w:bCs/>
              </w:rPr>
              <w:t>(NOTE 8)</w:t>
            </w:r>
          </w:p>
        </w:tc>
        <w:tc>
          <w:tcPr>
            <w:tcW w:w="709" w:type="dxa"/>
            <w:shd w:val="clear" w:color="auto" w:fill="auto"/>
          </w:tcPr>
          <w:p w14:paraId="68FBD38F" w14:textId="77777777" w:rsidR="00857A0D" w:rsidRPr="00873B6C" w:rsidRDefault="00857A0D" w:rsidP="00857A0D">
            <w:pPr>
              <w:pStyle w:val="TAC"/>
            </w:pPr>
          </w:p>
        </w:tc>
        <w:tc>
          <w:tcPr>
            <w:tcW w:w="708" w:type="dxa"/>
            <w:shd w:val="clear" w:color="auto" w:fill="auto"/>
          </w:tcPr>
          <w:p w14:paraId="1FF0154E" w14:textId="77777777" w:rsidR="00857A0D" w:rsidRPr="00873B6C" w:rsidRDefault="00857A0D" w:rsidP="00857A0D">
            <w:pPr>
              <w:pStyle w:val="TAC"/>
            </w:pPr>
          </w:p>
        </w:tc>
        <w:tc>
          <w:tcPr>
            <w:tcW w:w="1418" w:type="dxa"/>
            <w:shd w:val="clear" w:color="auto" w:fill="auto"/>
          </w:tcPr>
          <w:p w14:paraId="586E0A94" w14:textId="77777777" w:rsidR="00857A0D" w:rsidRPr="00873B6C" w:rsidRDefault="00857A0D" w:rsidP="00857A0D">
            <w:pPr>
              <w:pStyle w:val="TAC"/>
            </w:pPr>
          </w:p>
        </w:tc>
        <w:tc>
          <w:tcPr>
            <w:tcW w:w="1338" w:type="dxa"/>
          </w:tcPr>
          <w:p w14:paraId="1098C748" w14:textId="77777777" w:rsidR="00857A0D" w:rsidRPr="00873B6C" w:rsidRDefault="00857A0D" w:rsidP="00857A0D">
            <w:pPr>
              <w:pStyle w:val="TAC"/>
            </w:pPr>
            <w:r w:rsidRPr="00873B6C">
              <w:t>-</w:t>
            </w:r>
          </w:p>
        </w:tc>
        <w:tc>
          <w:tcPr>
            <w:tcW w:w="2126" w:type="dxa"/>
            <w:shd w:val="clear" w:color="auto" w:fill="auto"/>
          </w:tcPr>
          <w:p w14:paraId="5021BDC4" w14:textId="77777777" w:rsidR="00857A0D" w:rsidRPr="00873B6C" w:rsidRDefault="00857A0D" w:rsidP="00857A0D">
            <w:pPr>
              <w:pStyle w:val="TAC"/>
            </w:pPr>
            <w:r w:rsidRPr="00873B6C">
              <w:t>IEEE Std 802.1Q [98] Table 12-35</w:t>
            </w:r>
          </w:p>
        </w:tc>
      </w:tr>
      <w:tr w:rsidR="00857A0D" w:rsidRPr="00873B6C" w14:paraId="548CE383" w14:textId="77777777" w:rsidTr="00C9561D">
        <w:trPr>
          <w:cantSplit/>
          <w:jc w:val="center"/>
        </w:trPr>
        <w:tc>
          <w:tcPr>
            <w:tcW w:w="3735" w:type="dxa"/>
            <w:shd w:val="clear" w:color="auto" w:fill="auto"/>
          </w:tcPr>
          <w:p w14:paraId="1676B3ED" w14:textId="77777777" w:rsidR="00857A0D" w:rsidRPr="00873B6C" w:rsidRDefault="00857A0D" w:rsidP="00857A0D">
            <w:pPr>
              <w:pStyle w:val="TAL"/>
              <w:rPr>
                <w:b/>
                <w:bCs/>
              </w:rPr>
            </w:pPr>
            <w:r w:rsidRPr="00873B6C">
              <w:rPr>
                <w:bCs/>
              </w:rPr>
              <w:t xml:space="preserve">&gt; </w:t>
            </w:r>
            <w:r w:rsidRPr="00873B6C">
              <w:rPr>
                <w:lang w:eastAsia="ko-KR"/>
              </w:rPr>
              <w:t>StreamFilterInstanceIndex</w:t>
            </w:r>
          </w:p>
        </w:tc>
        <w:tc>
          <w:tcPr>
            <w:tcW w:w="709" w:type="dxa"/>
            <w:shd w:val="clear" w:color="auto" w:fill="auto"/>
          </w:tcPr>
          <w:p w14:paraId="62E1495C" w14:textId="77777777" w:rsidR="00857A0D" w:rsidRPr="00873B6C" w:rsidRDefault="00857A0D" w:rsidP="00857A0D">
            <w:pPr>
              <w:pStyle w:val="TAC"/>
            </w:pPr>
            <w:r w:rsidRPr="00873B6C">
              <w:rPr>
                <w:lang w:eastAsia="zh-CN"/>
              </w:rPr>
              <w:t>X</w:t>
            </w:r>
          </w:p>
        </w:tc>
        <w:tc>
          <w:tcPr>
            <w:tcW w:w="708" w:type="dxa"/>
            <w:shd w:val="clear" w:color="auto" w:fill="auto"/>
          </w:tcPr>
          <w:p w14:paraId="77C84C73" w14:textId="77777777" w:rsidR="00857A0D" w:rsidRPr="00873B6C" w:rsidRDefault="00857A0D" w:rsidP="00857A0D">
            <w:pPr>
              <w:pStyle w:val="TAC"/>
            </w:pPr>
            <w:r w:rsidRPr="00873B6C">
              <w:rPr>
                <w:lang w:eastAsia="zh-CN"/>
              </w:rPr>
              <w:t>X</w:t>
            </w:r>
          </w:p>
        </w:tc>
        <w:tc>
          <w:tcPr>
            <w:tcW w:w="1418" w:type="dxa"/>
            <w:shd w:val="clear" w:color="auto" w:fill="auto"/>
          </w:tcPr>
          <w:p w14:paraId="5A29C58C" w14:textId="77777777" w:rsidR="00857A0D" w:rsidRPr="00873B6C" w:rsidRDefault="00857A0D" w:rsidP="00857A0D">
            <w:pPr>
              <w:pStyle w:val="TAC"/>
            </w:pPr>
            <w:r w:rsidRPr="00873B6C">
              <w:rPr>
                <w:lang w:eastAsia="zh-CN"/>
              </w:rPr>
              <w:t>RW</w:t>
            </w:r>
          </w:p>
        </w:tc>
        <w:tc>
          <w:tcPr>
            <w:tcW w:w="1338" w:type="dxa"/>
          </w:tcPr>
          <w:p w14:paraId="0F8C69BF" w14:textId="77777777" w:rsidR="00857A0D" w:rsidRPr="00873B6C" w:rsidRDefault="00857A0D" w:rsidP="00857A0D">
            <w:pPr>
              <w:pStyle w:val="TAC"/>
            </w:pPr>
            <w:r w:rsidRPr="00873B6C">
              <w:t>-</w:t>
            </w:r>
          </w:p>
        </w:tc>
        <w:tc>
          <w:tcPr>
            <w:tcW w:w="2126" w:type="dxa"/>
            <w:shd w:val="clear" w:color="auto" w:fill="auto"/>
          </w:tcPr>
          <w:p w14:paraId="18C18EB8" w14:textId="77777777" w:rsidR="00857A0D" w:rsidRPr="00873B6C" w:rsidRDefault="00857A0D" w:rsidP="00857A0D">
            <w:pPr>
              <w:pStyle w:val="TAC"/>
            </w:pPr>
            <w:r w:rsidRPr="00873B6C">
              <w:t>IEEE Std 802.1Q [98] Table 12-35</w:t>
            </w:r>
          </w:p>
        </w:tc>
      </w:tr>
      <w:tr w:rsidR="00857A0D" w:rsidRPr="00873B6C" w14:paraId="325C66C0" w14:textId="77777777" w:rsidTr="00C9561D">
        <w:trPr>
          <w:cantSplit/>
          <w:jc w:val="center"/>
        </w:trPr>
        <w:tc>
          <w:tcPr>
            <w:tcW w:w="3735" w:type="dxa"/>
            <w:shd w:val="clear" w:color="auto" w:fill="auto"/>
          </w:tcPr>
          <w:p w14:paraId="3C00FB0C" w14:textId="77777777" w:rsidR="00857A0D" w:rsidRPr="00873B6C" w:rsidRDefault="00857A0D" w:rsidP="00857A0D">
            <w:pPr>
              <w:pStyle w:val="TAL"/>
              <w:rPr>
                <w:bCs/>
              </w:rPr>
            </w:pPr>
            <w:r w:rsidRPr="00873B6C">
              <w:rPr>
                <w:bCs/>
              </w:rPr>
              <w:t>&gt; Stream Identification type</w:t>
            </w:r>
          </w:p>
        </w:tc>
        <w:tc>
          <w:tcPr>
            <w:tcW w:w="709" w:type="dxa"/>
            <w:shd w:val="clear" w:color="auto" w:fill="auto"/>
          </w:tcPr>
          <w:p w14:paraId="0CABC8C4" w14:textId="77777777" w:rsidR="00857A0D" w:rsidRPr="00873B6C" w:rsidRDefault="00857A0D" w:rsidP="00857A0D">
            <w:pPr>
              <w:pStyle w:val="TAC"/>
            </w:pPr>
            <w:r w:rsidRPr="00873B6C">
              <w:rPr>
                <w:lang w:eastAsia="fr-FR"/>
              </w:rPr>
              <w:t>X</w:t>
            </w:r>
          </w:p>
        </w:tc>
        <w:tc>
          <w:tcPr>
            <w:tcW w:w="708" w:type="dxa"/>
            <w:shd w:val="clear" w:color="auto" w:fill="auto"/>
          </w:tcPr>
          <w:p w14:paraId="3541ACAB" w14:textId="77777777" w:rsidR="00857A0D" w:rsidRPr="00873B6C" w:rsidRDefault="00857A0D" w:rsidP="00857A0D">
            <w:pPr>
              <w:pStyle w:val="TAC"/>
            </w:pPr>
            <w:r w:rsidRPr="00873B6C">
              <w:rPr>
                <w:lang w:eastAsia="fr-FR"/>
              </w:rPr>
              <w:t>X</w:t>
            </w:r>
          </w:p>
        </w:tc>
        <w:tc>
          <w:tcPr>
            <w:tcW w:w="1418" w:type="dxa"/>
            <w:shd w:val="clear" w:color="auto" w:fill="auto"/>
          </w:tcPr>
          <w:p w14:paraId="3389EF11" w14:textId="77777777" w:rsidR="00857A0D" w:rsidRPr="00873B6C" w:rsidRDefault="00857A0D" w:rsidP="00857A0D">
            <w:pPr>
              <w:pStyle w:val="TAC"/>
            </w:pPr>
            <w:r w:rsidRPr="00873B6C">
              <w:rPr>
                <w:lang w:eastAsia="fr-FR"/>
              </w:rPr>
              <w:t>RW</w:t>
            </w:r>
          </w:p>
        </w:tc>
        <w:tc>
          <w:tcPr>
            <w:tcW w:w="1338" w:type="dxa"/>
          </w:tcPr>
          <w:p w14:paraId="4DA53BF0" w14:textId="77777777" w:rsidR="00857A0D" w:rsidRPr="00873B6C" w:rsidRDefault="00857A0D" w:rsidP="00857A0D">
            <w:pPr>
              <w:pStyle w:val="TAC"/>
            </w:pPr>
            <w:r w:rsidRPr="00873B6C">
              <w:t>-</w:t>
            </w:r>
          </w:p>
        </w:tc>
        <w:tc>
          <w:tcPr>
            <w:tcW w:w="2126" w:type="dxa"/>
            <w:shd w:val="clear" w:color="auto" w:fill="auto"/>
          </w:tcPr>
          <w:p w14:paraId="56F93B15" w14:textId="77777777" w:rsidR="00857A0D" w:rsidRPr="00873B6C" w:rsidRDefault="00857A0D" w:rsidP="00857A0D">
            <w:pPr>
              <w:pStyle w:val="TAC"/>
            </w:pPr>
            <w:r w:rsidRPr="00873B6C">
              <w:t>IEEE 802.1CB [83] clause 9.1.1.6</w:t>
            </w:r>
          </w:p>
        </w:tc>
      </w:tr>
      <w:tr w:rsidR="00857A0D" w:rsidRPr="00873B6C" w14:paraId="2E3D36F8" w14:textId="77777777" w:rsidTr="00C9561D">
        <w:trPr>
          <w:cantSplit/>
          <w:jc w:val="center"/>
        </w:trPr>
        <w:tc>
          <w:tcPr>
            <w:tcW w:w="3735" w:type="dxa"/>
            <w:shd w:val="clear" w:color="auto" w:fill="auto"/>
          </w:tcPr>
          <w:p w14:paraId="1DDEB097" w14:textId="77777777" w:rsidR="00857A0D" w:rsidRPr="00873B6C" w:rsidRDefault="00857A0D" w:rsidP="00857A0D">
            <w:pPr>
              <w:pStyle w:val="TAL"/>
              <w:rPr>
                <w:bCs/>
              </w:rPr>
            </w:pPr>
            <w:r w:rsidRPr="00873B6C">
              <w:rPr>
                <w:lang w:eastAsia="fr-FR"/>
              </w:rPr>
              <w:t>&gt; Stream Identification Controlling Parameters</w:t>
            </w:r>
          </w:p>
        </w:tc>
        <w:tc>
          <w:tcPr>
            <w:tcW w:w="709" w:type="dxa"/>
            <w:shd w:val="clear" w:color="auto" w:fill="auto"/>
          </w:tcPr>
          <w:p w14:paraId="0329465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17CDF0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E861FAA" w14:textId="77777777" w:rsidR="00857A0D" w:rsidRPr="00873B6C" w:rsidRDefault="00857A0D" w:rsidP="00857A0D">
            <w:pPr>
              <w:pStyle w:val="TAC"/>
              <w:rPr>
                <w:lang w:eastAsia="fr-FR"/>
              </w:rPr>
            </w:pPr>
            <w:r w:rsidRPr="00873B6C">
              <w:rPr>
                <w:lang w:eastAsia="fr-FR"/>
              </w:rPr>
              <w:t>RW</w:t>
            </w:r>
          </w:p>
        </w:tc>
        <w:tc>
          <w:tcPr>
            <w:tcW w:w="1338" w:type="dxa"/>
          </w:tcPr>
          <w:p w14:paraId="4A7985BD" w14:textId="77777777" w:rsidR="00857A0D" w:rsidRPr="00873B6C" w:rsidRDefault="00857A0D" w:rsidP="00857A0D">
            <w:pPr>
              <w:pStyle w:val="TAC"/>
              <w:rPr>
                <w:lang w:eastAsia="fr-FR"/>
              </w:rPr>
            </w:pPr>
            <w:r w:rsidRPr="00873B6C">
              <w:t>-</w:t>
            </w:r>
          </w:p>
        </w:tc>
        <w:tc>
          <w:tcPr>
            <w:tcW w:w="2126" w:type="dxa"/>
            <w:shd w:val="clear" w:color="auto" w:fill="auto"/>
          </w:tcPr>
          <w:p w14:paraId="330C7A5A" w14:textId="77777777" w:rsidR="00857A0D" w:rsidRPr="00873B6C" w:rsidRDefault="00857A0D" w:rsidP="00857A0D">
            <w:pPr>
              <w:pStyle w:val="TAC"/>
              <w:rPr>
                <w:lang w:eastAsia="fr-FR"/>
              </w:rPr>
            </w:pPr>
            <w:r w:rsidRPr="00873B6C">
              <w:rPr>
                <w:lang w:eastAsia="fr-FR"/>
              </w:rPr>
              <w:t>IEEE 802.1CB [83] clauses 9.1.2, 9.1.3, 9.1.4</w:t>
            </w:r>
          </w:p>
          <w:p w14:paraId="00BEAE9C" w14:textId="77777777" w:rsidR="00857A0D" w:rsidRPr="00873B6C" w:rsidRDefault="00857A0D" w:rsidP="00857A0D">
            <w:pPr>
              <w:pStyle w:val="TAC"/>
            </w:pPr>
            <w:r w:rsidRPr="00873B6C">
              <w:rPr>
                <w:lang w:eastAsia="fr-FR"/>
              </w:rPr>
              <w:t>(NOTE 12)</w:t>
            </w:r>
          </w:p>
        </w:tc>
      </w:tr>
      <w:tr w:rsidR="00857A0D" w:rsidRPr="00873B6C" w14:paraId="1B715146" w14:textId="77777777" w:rsidTr="00C9561D">
        <w:trPr>
          <w:cantSplit/>
          <w:jc w:val="center"/>
        </w:trPr>
        <w:tc>
          <w:tcPr>
            <w:tcW w:w="3735" w:type="dxa"/>
            <w:shd w:val="clear" w:color="auto" w:fill="auto"/>
          </w:tcPr>
          <w:p w14:paraId="7D728695" w14:textId="77777777" w:rsidR="00857A0D" w:rsidRPr="00873B6C" w:rsidRDefault="00857A0D" w:rsidP="00857A0D">
            <w:pPr>
              <w:pStyle w:val="TAL"/>
              <w:rPr>
                <w:lang w:eastAsia="fr-FR"/>
              </w:rPr>
            </w:pPr>
            <w:r w:rsidRPr="00873B6C">
              <w:rPr>
                <w:lang w:eastAsia="fr-FR"/>
              </w:rPr>
              <w:t>&gt; PrioritySpec</w:t>
            </w:r>
          </w:p>
        </w:tc>
        <w:tc>
          <w:tcPr>
            <w:tcW w:w="709" w:type="dxa"/>
            <w:shd w:val="clear" w:color="auto" w:fill="auto"/>
          </w:tcPr>
          <w:p w14:paraId="2DA1FA3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A0866B2"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F589147" w14:textId="77777777" w:rsidR="00857A0D" w:rsidRPr="00873B6C" w:rsidRDefault="00857A0D" w:rsidP="00857A0D">
            <w:pPr>
              <w:pStyle w:val="TAC"/>
              <w:rPr>
                <w:lang w:eastAsia="fr-FR"/>
              </w:rPr>
            </w:pPr>
            <w:r w:rsidRPr="00873B6C">
              <w:rPr>
                <w:lang w:eastAsia="fr-FR"/>
              </w:rPr>
              <w:t>RW</w:t>
            </w:r>
          </w:p>
        </w:tc>
        <w:tc>
          <w:tcPr>
            <w:tcW w:w="1338" w:type="dxa"/>
          </w:tcPr>
          <w:p w14:paraId="33CA5019" w14:textId="77777777" w:rsidR="00857A0D" w:rsidRPr="00873B6C" w:rsidRDefault="00857A0D" w:rsidP="00857A0D">
            <w:pPr>
              <w:pStyle w:val="TAC"/>
              <w:rPr>
                <w:lang w:eastAsia="fr-FR"/>
              </w:rPr>
            </w:pPr>
            <w:r w:rsidRPr="00873B6C">
              <w:t>-</w:t>
            </w:r>
          </w:p>
        </w:tc>
        <w:tc>
          <w:tcPr>
            <w:tcW w:w="2126" w:type="dxa"/>
            <w:shd w:val="clear" w:color="auto" w:fill="auto"/>
          </w:tcPr>
          <w:p w14:paraId="736F99EF" w14:textId="77777777" w:rsidR="00857A0D" w:rsidRPr="00873B6C" w:rsidRDefault="00857A0D" w:rsidP="00857A0D">
            <w:pPr>
              <w:pStyle w:val="TAC"/>
              <w:rPr>
                <w:lang w:eastAsia="fr-FR"/>
              </w:rPr>
            </w:pPr>
            <w:r w:rsidRPr="00873B6C">
              <w:rPr>
                <w:lang w:eastAsia="fr-FR"/>
              </w:rPr>
              <w:t>IEEE Std 802.1Q [98] Table 12-35</w:t>
            </w:r>
          </w:p>
        </w:tc>
      </w:tr>
      <w:tr w:rsidR="00857A0D" w:rsidRPr="00873B6C" w14:paraId="796FF975" w14:textId="77777777" w:rsidTr="00C9561D">
        <w:trPr>
          <w:cantSplit/>
          <w:jc w:val="center"/>
        </w:trPr>
        <w:tc>
          <w:tcPr>
            <w:tcW w:w="3735" w:type="dxa"/>
            <w:shd w:val="clear" w:color="auto" w:fill="auto"/>
          </w:tcPr>
          <w:p w14:paraId="6547B030" w14:textId="77777777" w:rsidR="00857A0D" w:rsidRPr="00873B6C" w:rsidRDefault="00857A0D" w:rsidP="00857A0D">
            <w:pPr>
              <w:pStyle w:val="TAL"/>
              <w:rPr>
                <w:lang w:eastAsia="fr-FR"/>
              </w:rPr>
            </w:pPr>
            <w:r w:rsidRPr="00873B6C">
              <w:rPr>
                <w:lang w:eastAsia="fr-FR"/>
              </w:rPr>
              <w:t>&gt; StreamGateInstanceID</w:t>
            </w:r>
          </w:p>
        </w:tc>
        <w:tc>
          <w:tcPr>
            <w:tcW w:w="709" w:type="dxa"/>
            <w:shd w:val="clear" w:color="auto" w:fill="auto"/>
          </w:tcPr>
          <w:p w14:paraId="0A3EFF6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DD8BD5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EE5029B" w14:textId="77777777" w:rsidR="00857A0D" w:rsidRPr="00873B6C" w:rsidRDefault="00857A0D" w:rsidP="00857A0D">
            <w:pPr>
              <w:pStyle w:val="TAC"/>
              <w:rPr>
                <w:lang w:eastAsia="fr-FR"/>
              </w:rPr>
            </w:pPr>
            <w:r w:rsidRPr="00873B6C">
              <w:rPr>
                <w:lang w:eastAsia="fr-FR"/>
              </w:rPr>
              <w:t>RW</w:t>
            </w:r>
          </w:p>
        </w:tc>
        <w:tc>
          <w:tcPr>
            <w:tcW w:w="1338" w:type="dxa"/>
          </w:tcPr>
          <w:p w14:paraId="62A1D723" w14:textId="77777777" w:rsidR="00857A0D" w:rsidRPr="00873B6C" w:rsidRDefault="00857A0D" w:rsidP="00857A0D">
            <w:pPr>
              <w:pStyle w:val="TAC"/>
              <w:rPr>
                <w:lang w:eastAsia="fr-FR"/>
              </w:rPr>
            </w:pPr>
            <w:r w:rsidRPr="00873B6C">
              <w:t>-</w:t>
            </w:r>
          </w:p>
        </w:tc>
        <w:tc>
          <w:tcPr>
            <w:tcW w:w="2126" w:type="dxa"/>
            <w:shd w:val="clear" w:color="auto" w:fill="auto"/>
          </w:tcPr>
          <w:p w14:paraId="75C74A08" w14:textId="77777777" w:rsidR="00857A0D" w:rsidRPr="00873B6C" w:rsidRDefault="00857A0D" w:rsidP="00857A0D">
            <w:pPr>
              <w:pStyle w:val="TAC"/>
              <w:rPr>
                <w:lang w:eastAsia="fr-FR"/>
              </w:rPr>
            </w:pPr>
            <w:r w:rsidRPr="00873B6C">
              <w:rPr>
                <w:lang w:eastAsia="fr-FR"/>
              </w:rPr>
              <w:t>IEEE Std 802.1Q [98] Table 12-35</w:t>
            </w:r>
          </w:p>
        </w:tc>
      </w:tr>
      <w:tr w:rsidR="00857A0D" w:rsidRPr="00873B6C" w14:paraId="0D6089A4" w14:textId="77777777" w:rsidTr="00C9561D">
        <w:trPr>
          <w:cantSplit/>
          <w:jc w:val="center"/>
        </w:trPr>
        <w:tc>
          <w:tcPr>
            <w:tcW w:w="3735" w:type="dxa"/>
            <w:shd w:val="clear" w:color="auto" w:fill="auto"/>
          </w:tcPr>
          <w:p w14:paraId="57C1F4B7" w14:textId="77777777" w:rsidR="00857A0D" w:rsidRPr="00873B6C" w:rsidRDefault="00857A0D" w:rsidP="00857A0D">
            <w:pPr>
              <w:pStyle w:val="TAL"/>
              <w:rPr>
                <w:bCs/>
              </w:rPr>
            </w:pPr>
            <w:r w:rsidRPr="00873B6C">
              <w:rPr>
                <w:bCs/>
              </w:rPr>
              <w:t>Stream Gate Instance Table</w:t>
            </w:r>
          </w:p>
          <w:p w14:paraId="46D5EA05" w14:textId="77777777" w:rsidR="00857A0D" w:rsidRPr="00873B6C" w:rsidRDefault="00857A0D" w:rsidP="00857A0D">
            <w:pPr>
              <w:pStyle w:val="TAL"/>
              <w:rPr>
                <w:lang w:eastAsia="fr-FR"/>
              </w:rPr>
            </w:pPr>
            <w:r w:rsidRPr="00873B6C">
              <w:rPr>
                <w:bCs/>
              </w:rPr>
              <w:t>(NOTE 9)</w:t>
            </w:r>
          </w:p>
        </w:tc>
        <w:tc>
          <w:tcPr>
            <w:tcW w:w="709" w:type="dxa"/>
            <w:shd w:val="clear" w:color="auto" w:fill="auto"/>
          </w:tcPr>
          <w:p w14:paraId="177F9DFB" w14:textId="77777777" w:rsidR="00857A0D" w:rsidRPr="00873B6C" w:rsidRDefault="00857A0D" w:rsidP="00857A0D">
            <w:pPr>
              <w:pStyle w:val="TAC"/>
              <w:rPr>
                <w:lang w:eastAsia="fr-FR"/>
              </w:rPr>
            </w:pPr>
          </w:p>
        </w:tc>
        <w:tc>
          <w:tcPr>
            <w:tcW w:w="708" w:type="dxa"/>
            <w:shd w:val="clear" w:color="auto" w:fill="auto"/>
          </w:tcPr>
          <w:p w14:paraId="15DC69B2" w14:textId="77777777" w:rsidR="00857A0D" w:rsidRPr="00873B6C" w:rsidRDefault="00857A0D" w:rsidP="00857A0D">
            <w:pPr>
              <w:pStyle w:val="TAC"/>
              <w:rPr>
                <w:lang w:eastAsia="fr-FR"/>
              </w:rPr>
            </w:pPr>
          </w:p>
        </w:tc>
        <w:tc>
          <w:tcPr>
            <w:tcW w:w="1418" w:type="dxa"/>
            <w:shd w:val="clear" w:color="auto" w:fill="auto"/>
          </w:tcPr>
          <w:p w14:paraId="43CF9E64" w14:textId="77777777" w:rsidR="00857A0D" w:rsidRPr="00873B6C" w:rsidRDefault="00857A0D" w:rsidP="00857A0D">
            <w:pPr>
              <w:pStyle w:val="TAC"/>
              <w:rPr>
                <w:lang w:eastAsia="fr-FR"/>
              </w:rPr>
            </w:pPr>
          </w:p>
        </w:tc>
        <w:tc>
          <w:tcPr>
            <w:tcW w:w="1338" w:type="dxa"/>
          </w:tcPr>
          <w:p w14:paraId="0EFC3C2C" w14:textId="77777777" w:rsidR="00857A0D" w:rsidRPr="00873B6C" w:rsidRDefault="00857A0D" w:rsidP="00857A0D">
            <w:pPr>
              <w:pStyle w:val="TAC"/>
            </w:pPr>
          </w:p>
        </w:tc>
        <w:tc>
          <w:tcPr>
            <w:tcW w:w="2126" w:type="dxa"/>
            <w:shd w:val="clear" w:color="auto" w:fill="auto"/>
          </w:tcPr>
          <w:p w14:paraId="7D9D0F4A" w14:textId="77777777" w:rsidR="00857A0D" w:rsidRPr="00873B6C" w:rsidRDefault="00857A0D" w:rsidP="00857A0D">
            <w:pPr>
              <w:pStyle w:val="TAC"/>
              <w:rPr>
                <w:lang w:eastAsia="fr-FR"/>
              </w:rPr>
            </w:pPr>
            <w:r w:rsidRPr="00873B6C">
              <w:t>IEEE Std 802.1Q [98] Table 12-33</w:t>
            </w:r>
          </w:p>
        </w:tc>
      </w:tr>
      <w:tr w:rsidR="00857A0D" w:rsidRPr="00873B6C" w14:paraId="0A7B4E08" w14:textId="77777777" w:rsidTr="00C9561D">
        <w:trPr>
          <w:cantSplit/>
          <w:jc w:val="center"/>
        </w:trPr>
        <w:tc>
          <w:tcPr>
            <w:tcW w:w="3735" w:type="dxa"/>
            <w:shd w:val="clear" w:color="auto" w:fill="auto"/>
          </w:tcPr>
          <w:p w14:paraId="4B8D0084" w14:textId="77777777" w:rsidR="00857A0D" w:rsidRPr="00873B6C" w:rsidRDefault="00857A0D" w:rsidP="00857A0D">
            <w:pPr>
              <w:pStyle w:val="TAL"/>
              <w:rPr>
                <w:bCs/>
              </w:rPr>
            </w:pPr>
            <w:r w:rsidRPr="00873B6C">
              <w:rPr>
                <w:bCs/>
              </w:rPr>
              <w:t>StreamGateInstanceIndex</w:t>
            </w:r>
          </w:p>
        </w:tc>
        <w:tc>
          <w:tcPr>
            <w:tcW w:w="709" w:type="dxa"/>
            <w:shd w:val="clear" w:color="auto" w:fill="auto"/>
          </w:tcPr>
          <w:p w14:paraId="7B599AA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78FA6B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CFB28BA" w14:textId="77777777" w:rsidR="00857A0D" w:rsidRPr="00873B6C" w:rsidRDefault="00857A0D" w:rsidP="00857A0D">
            <w:pPr>
              <w:pStyle w:val="TAC"/>
              <w:rPr>
                <w:lang w:eastAsia="fr-FR"/>
              </w:rPr>
            </w:pPr>
            <w:r w:rsidRPr="00873B6C">
              <w:rPr>
                <w:lang w:eastAsia="fr-FR"/>
              </w:rPr>
              <w:t>RW</w:t>
            </w:r>
          </w:p>
        </w:tc>
        <w:tc>
          <w:tcPr>
            <w:tcW w:w="1338" w:type="dxa"/>
          </w:tcPr>
          <w:p w14:paraId="6A56192C" w14:textId="77777777" w:rsidR="00857A0D" w:rsidRPr="00873B6C" w:rsidRDefault="00857A0D" w:rsidP="00857A0D">
            <w:pPr>
              <w:pStyle w:val="TAC"/>
            </w:pPr>
            <w:r w:rsidRPr="00873B6C">
              <w:t>-</w:t>
            </w:r>
          </w:p>
        </w:tc>
        <w:tc>
          <w:tcPr>
            <w:tcW w:w="2126" w:type="dxa"/>
            <w:shd w:val="clear" w:color="auto" w:fill="auto"/>
          </w:tcPr>
          <w:p w14:paraId="04109045" w14:textId="77777777" w:rsidR="00857A0D" w:rsidRPr="00873B6C" w:rsidRDefault="00857A0D" w:rsidP="00857A0D">
            <w:pPr>
              <w:pStyle w:val="TAC"/>
            </w:pPr>
            <w:r w:rsidRPr="00873B6C">
              <w:t>IEEE Std 802.1Q [98] Table 12-36</w:t>
            </w:r>
          </w:p>
        </w:tc>
      </w:tr>
      <w:tr w:rsidR="00857A0D" w:rsidRPr="00873B6C" w14:paraId="5B9201DA" w14:textId="77777777" w:rsidTr="00C9561D">
        <w:trPr>
          <w:cantSplit/>
          <w:jc w:val="center"/>
        </w:trPr>
        <w:tc>
          <w:tcPr>
            <w:tcW w:w="3735" w:type="dxa"/>
            <w:shd w:val="clear" w:color="auto" w:fill="auto"/>
          </w:tcPr>
          <w:p w14:paraId="376D4DC4" w14:textId="77777777" w:rsidR="00857A0D" w:rsidRPr="00873B6C" w:rsidRDefault="00857A0D" w:rsidP="00857A0D">
            <w:pPr>
              <w:pStyle w:val="TAL"/>
              <w:rPr>
                <w:bCs/>
              </w:rPr>
            </w:pPr>
            <w:r w:rsidRPr="00873B6C">
              <w:rPr>
                <w:bCs/>
              </w:rPr>
              <w:t>StreamGate</w:t>
            </w:r>
            <w:r w:rsidRPr="00873B6C">
              <w:rPr>
                <w:lang w:eastAsia="fr-FR"/>
              </w:rPr>
              <w:t>AdminBaseTime</w:t>
            </w:r>
          </w:p>
        </w:tc>
        <w:tc>
          <w:tcPr>
            <w:tcW w:w="709" w:type="dxa"/>
            <w:shd w:val="clear" w:color="auto" w:fill="auto"/>
          </w:tcPr>
          <w:p w14:paraId="774D2F4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71B467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C6AA8A2" w14:textId="77777777" w:rsidR="00857A0D" w:rsidRPr="00873B6C" w:rsidRDefault="00857A0D" w:rsidP="00857A0D">
            <w:pPr>
              <w:pStyle w:val="TAC"/>
              <w:rPr>
                <w:lang w:eastAsia="fr-FR"/>
              </w:rPr>
            </w:pPr>
            <w:r w:rsidRPr="00873B6C">
              <w:rPr>
                <w:lang w:eastAsia="fr-FR"/>
              </w:rPr>
              <w:t>RW</w:t>
            </w:r>
          </w:p>
        </w:tc>
        <w:tc>
          <w:tcPr>
            <w:tcW w:w="1338" w:type="dxa"/>
          </w:tcPr>
          <w:p w14:paraId="42D4162F" w14:textId="77777777" w:rsidR="00857A0D" w:rsidRPr="00873B6C" w:rsidRDefault="00857A0D" w:rsidP="00857A0D">
            <w:pPr>
              <w:pStyle w:val="TAC"/>
              <w:rPr>
                <w:lang w:eastAsia="fr-FR"/>
              </w:rPr>
            </w:pPr>
            <w:r w:rsidRPr="00873B6C">
              <w:t>-</w:t>
            </w:r>
          </w:p>
        </w:tc>
        <w:tc>
          <w:tcPr>
            <w:tcW w:w="2126" w:type="dxa"/>
            <w:shd w:val="clear" w:color="auto" w:fill="auto"/>
          </w:tcPr>
          <w:p w14:paraId="5D63DFEA" w14:textId="77777777" w:rsidR="00857A0D" w:rsidRPr="00873B6C" w:rsidRDefault="00857A0D" w:rsidP="00857A0D">
            <w:pPr>
              <w:pStyle w:val="TAC"/>
            </w:pPr>
            <w:r w:rsidRPr="00873B6C">
              <w:rPr>
                <w:lang w:eastAsia="fr-FR"/>
              </w:rPr>
              <w:t>IEEE Std 802.1Q [98] Table 12-36</w:t>
            </w:r>
          </w:p>
        </w:tc>
      </w:tr>
      <w:tr w:rsidR="00857A0D" w:rsidRPr="00873B6C" w14:paraId="5C2818AD" w14:textId="77777777" w:rsidTr="00C9561D">
        <w:trPr>
          <w:cantSplit/>
          <w:jc w:val="center"/>
        </w:trPr>
        <w:tc>
          <w:tcPr>
            <w:tcW w:w="3735" w:type="dxa"/>
            <w:shd w:val="clear" w:color="auto" w:fill="auto"/>
          </w:tcPr>
          <w:p w14:paraId="0B5DECFA" w14:textId="77777777" w:rsidR="00857A0D" w:rsidRPr="00873B6C" w:rsidRDefault="00857A0D" w:rsidP="00857A0D">
            <w:pPr>
              <w:pStyle w:val="TAL"/>
              <w:rPr>
                <w:lang w:eastAsia="fr-FR"/>
              </w:rPr>
            </w:pPr>
            <w:r w:rsidRPr="00873B6C">
              <w:rPr>
                <w:bCs/>
              </w:rPr>
              <w:t>StreamGate</w:t>
            </w:r>
            <w:r w:rsidRPr="00873B6C">
              <w:rPr>
                <w:lang w:eastAsia="fr-FR"/>
              </w:rPr>
              <w:t>AdminControlList</w:t>
            </w:r>
          </w:p>
        </w:tc>
        <w:tc>
          <w:tcPr>
            <w:tcW w:w="709" w:type="dxa"/>
            <w:shd w:val="clear" w:color="auto" w:fill="auto"/>
          </w:tcPr>
          <w:p w14:paraId="2D58F210"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84B0EF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28A6B62" w14:textId="77777777" w:rsidR="00857A0D" w:rsidRPr="00873B6C" w:rsidRDefault="00857A0D" w:rsidP="00857A0D">
            <w:pPr>
              <w:pStyle w:val="TAC"/>
              <w:rPr>
                <w:lang w:eastAsia="fr-FR"/>
              </w:rPr>
            </w:pPr>
            <w:r w:rsidRPr="00873B6C">
              <w:rPr>
                <w:lang w:eastAsia="fr-FR"/>
              </w:rPr>
              <w:t>RW</w:t>
            </w:r>
          </w:p>
        </w:tc>
        <w:tc>
          <w:tcPr>
            <w:tcW w:w="1338" w:type="dxa"/>
          </w:tcPr>
          <w:p w14:paraId="13464AEC" w14:textId="77777777" w:rsidR="00857A0D" w:rsidRPr="00873B6C" w:rsidRDefault="00857A0D" w:rsidP="00857A0D">
            <w:pPr>
              <w:pStyle w:val="TAC"/>
              <w:rPr>
                <w:lang w:eastAsia="fr-FR"/>
              </w:rPr>
            </w:pPr>
            <w:r w:rsidRPr="00873B6C">
              <w:t>-</w:t>
            </w:r>
          </w:p>
        </w:tc>
        <w:tc>
          <w:tcPr>
            <w:tcW w:w="2126" w:type="dxa"/>
            <w:shd w:val="clear" w:color="auto" w:fill="auto"/>
          </w:tcPr>
          <w:p w14:paraId="0AB4FBAF" w14:textId="77777777" w:rsidR="00857A0D" w:rsidRPr="00873B6C" w:rsidRDefault="00857A0D" w:rsidP="00857A0D">
            <w:pPr>
              <w:pStyle w:val="TAC"/>
              <w:rPr>
                <w:lang w:eastAsia="fr-FR"/>
              </w:rPr>
            </w:pPr>
            <w:r w:rsidRPr="00873B6C">
              <w:rPr>
                <w:lang w:eastAsia="fr-FR"/>
              </w:rPr>
              <w:t>IEEE Std 802.1Q [98] Table 12-36</w:t>
            </w:r>
          </w:p>
        </w:tc>
      </w:tr>
      <w:tr w:rsidR="00857A0D" w:rsidRPr="00873B6C" w14:paraId="33A117EF" w14:textId="77777777" w:rsidTr="00C9561D">
        <w:trPr>
          <w:cantSplit/>
          <w:jc w:val="center"/>
        </w:trPr>
        <w:tc>
          <w:tcPr>
            <w:tcW w:w="3735" w:type="dxa"/>
            <w:shd w:val="clear" w:color="auto" w:fill="auto"/>
          </w:tcPr>
          <w:p w14:paraId="09479638" w14:textId="77777777" w:rsidR="00857A0D" w:rsidRPr="00873B6C" w:rsidRDefault="00857A0D" w:rsidP="00857A0D">
            <w:pPr>
              <w:pStyle w:val="TAL"/>
              <w:rPr>
                <w:lang w:eastAsia="fr-FR"/>
              </w:rPr>
            </w:pPr>
            <w:r w:rsidRPr="00873B6C">
              <w:rPr>
                <w:bCs/>
              </w:rPr>
              <w:t>StreamGate</w:t>
            </w:r>
            <w:r w:rsidRPr="00873B6C">
              <w:rPr>
                <w:lang w:eastAsia="fr-FR"/>
              </w:rPr>
              <w:t>AdminCycleTime</w:t>
            </w:r>
          </w:p>
        </w:tc>
        <w:tc>
          <w:tcPr>
            <w:tcW w:w="709" w:type="dxa"/>
            <w:shd w:val="clear" w:color="auto" w:fill="auto"/>
          </w:tcPr>
          <w:p w14:paraId="1A5A8F0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F2CD6B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63694B6" w14:textId="77777777" w:rsidR="00857A0D" w:rsidRPr="00873B6C" w:rsidRDefault="00857A0D" w:rsidP="00857A0D">
            <w:pPr>
              <w:pStyle w:val="TAC"/>
              <w:rPr>
                <w:lang w:eastAsia="fr-FR"/>
              </w:rPr>
            </w:pPr>
            <w:r w:rsidRPr="00873B6C">
              <w:rPr>
                <w:lang w:eastAsia="fr-FR"/>
              </w:rPr>
              <w:t>RW</w:t>
            </w:r>
          </w:p>
        </w:tc>
        <w:tc>
          <w:tcPr>
            <w:tcW w:w="1338" w:type="dxa"/>
          </w:tcPr>
          <w:p w14:paraId="46F3B640" w14:textId="77777777" w:rsidR="00857A0D" w:rsidRPr="00873B6C" w:rsidRDefault="00857A0D" w:rsidP="00857A0D">
            <w:pPr>
              <w:pStyle w:val="TAC"/>
              <w:rPr>
                <w:lang w:eastAsia="fr-FR"/>
              </w:rPr>
            </w:pPr>
            <w:r w:rsidRPr="00873B6C">
              <w:t>-</w:t>
            </w:r>
          </w:p>
        </w:tc>
        <w:tc>
          <w:tcPr>
            <w:tcW w:w="2126" w:type="dxa"/>
            <w:shd w:val="clear" w:color="auto" w:fill="auto"/>
          </w:tcPr>
          <w:p w14:paraId="0EA38E91" w14:textId="77777777" w:rsidR="00857A0D" w:rsidRPr="00873B6C" w:rsidRDefault="00857A0D" w:rsidP="00857A0D">
            <w:pPr>
              <w:pStyle w:val="TAC"/>
              <w:rPr>
                <w:lang w:eastAsia="fr-FR"/>
              </w:rPr>
            </w:pPr>
            <w:r w:rsidRPr="00873B6C">
              <w:rPr>
                <w:lang w:eastAsia="fr-FR"/>
              </w:rPr>
              <w:t>IEEE Std 802.1Q [98] Table 12-36</w:t>
            </w:r>
          </w:p>
        </w:tc>
      </w:tr>
      <w:tr w:rsidR="00857A0D" w:rsidRPr="00873B6C" w14:paraId="0117E14F" w14:textId="77777777" w:rsidTr="00C9561D">
        <w:trPr>
          <w:cantSplit/>
          <w:jc w:val="center"/>
        </w:trPr>
        <w:tc>
          <w:tcPr>
            <w:tcW w:w="3735" w:type="dxa"/>
            <w:shd w:val="clear" w:color="auto" w:fill="auto"/>
          </w:tcPr>
          <w:p w14:paraId="461FFBB3" w14:textId="77777777" w:rsidR="00857A0D" w:rsidRPr="00873B6C" w:rsidRDefault="00857A0D" w:rsidP="00857A0D">
            <w:pPr>
              <w:pStyle w:val="TAL"/>
              <w:rPr>
                <w:lang w:eastAsia="fr-FR"/>
              </w:rPr>
            </w:pPr>
            <w:r w:rsidRPr="00873B6C">
              <w:rPr>
                <w:bCs/>
              </w:rPr>
              <w:t>StreamGate</w:t>
            </w:r>
            <w:r w:rsidRPr="00873B6C">
              <w:rPr>
                <w:lang w:eastAsia="fr-FR"/>
              </w:rPr>
              <w:t>TickGranularity</w:t>
            </w:r>
          </w:p>
        </w:tc>
        <w:tc>
          <w:tcPr>
            <w:tcW w:w="709" w:type="dxa"/>
            <w:shd w:val="clear" w:color="auto" w:fill="auto"/>
          </w:tcPr>
          <w:p w14:paraId="5407CDA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A687DE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5B27CF4" w14:textId="77777777" w:rsidR="00857A0D" w:rsidRPr="00873B6C" w:rsidRDefault="00857A0D" w:rsidP="00857A0D">
            <w:pPr>
              <w:pStyle w:val="TAC"/>
              <w:rPr>
                <w:lang w:eastAsia="fr-FR"/>
              </w:rPr>
            </w:pPr>
            <w:r w:rsidRPr="00873B6C">
              <w:rPr>
                <w:lang w:eastAsia="fr-FR"/>
              </w:rPr>
              <w:t>R</w:t>
            </w:r>
          </w:p>
        </w:tc>
        <w:tc>
          <w:tcPr>
            <w:tcW w:w="1338" w:type="dxa"/>
          </w:tcPr>
          <w:p w14:paraId="4B707069" w14:textId="77777777" w:rsidR="00857A0D" w:rsidRPr="00873B6C" w:rsidRDefault="00857A0D" w:rsidP="00857A0D">
            <w:pPr>
              <w:pStyle w:val="TAC"/>
              <w:rPr>
                <w:lang w:eastAsia="fr-FR"/>
              </w:rPr>
            </w:pPr>
            <w:r w:rsidRPr="00873B6C">
              <w:t>-</w:t>
            </w:r>
          </w:p>
        </w:tc>
        <w:tc>
          <w:tcPr>
            <w:tcW w:w="2126" w:type="dxa"/>
            <w:shd w:val="clear" w:color="auto" w:fill="auto"/>
          </w:tcPr>
          <w:p w14:paraId="339548D5" w14:textId="77777777" w:rsidR="00857A0D" w:rsidRPr="00873B6C" w:rsidRDefault="00857A0D" w:rsidP="00857A0D">
            <w:pPr>
              <w:pStyle w:val="TAC"/>
              <w:rPr>
                <w:lang w:eastAsia="fr-FR"/>
              </w:rPr>
            </w:pPr>
            <w:r w:rsidRPr="00873B6C">
              <w:rPr>
                <w:lang w:eastAsia="fr-FR"/>
              </w:rPr>
              <w:t>IEEE Std 802.1Q [98] Table 12-36</w:t>
            </w:r>
          </w:p>
        </w:tc>
      </w:tr>
      <w:tr w:rsidR="00857A0D" w:rsidRPr="00873B6C" w14:paraId="06C21FAD" w14:textId="77777777" w:rsidTr="00C9561D">
        <w:trPr>
          <w:cantSplit/>
          <w:jc w:val="center"/>
        </w:trPr>
        <w:tc>
          <w:tcPr>
            <w:tcW w:w="3735" w:type="dxa"/>
            <w:shd w:val="clear" w:color="auto" w:fill="auto"/>
          </w:tcPr>
          <w:p w14:paraId="0C2B4395" w14:textId="77777777" w:rsidR="00857A0D" w:rsidRPr="00873B6C" w:rsidRDefault="00857A0D" w:rsidP="00857A0D">
            <w:pPr>
              <w:pStyle w:val="TAL"/>
              <w:rPr>
                <w:lang w:eastAsia="fr-FR"/>
              </w:rPr>
            </w:pPr>
            <w:r w:rsidRPr="00873B6C">
              <w:rPr>
                <w:bCs/>
              </w:rPr>
              <w:t>StreamGate</w:t>
            </w:r>
            <w:r w:rsidRPr="00873B6C">
              <w:rPr>
                <w:lang w:eastAsia="fr-FR"/>
              </w:rPr>
              <w:t>AdminCycleTimeExtension</w:t>
            </w:r>
          </w:p>
        </w:tc>
        <w:tc>
          <w:tcPr>
            <w:tcW w:w="709" w:type="dxa"/>
            <w:shd w:val="clear" w:color="auto" w:fill="auto"/>
          </w:tcPr>
          <w:p w14:paraId="72CC613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5BAD8F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C21FA03" w14:textId="77777777" w:rsidR="00857A0D" w:rsidRPr="00873B6C" w:rsidRDefault="00857A0D" w:rsidP="00857A0D">
            <w:pPr>
              <w:pStyle w:val="TAC"/>
              <w:rPr>
                <w:lang w:eastAsia="fr-FR"/>
              </w:rPr>
            </w:pPr>
            <w:r w:rsidRPr="00873B6C">
              <w:rPr>
                <w:lang w:eastAsia="fr-FR"/>
              </w:rPr>
              <w:t>R</w:t>
            </w:r>
          </w:p>
        </w:tc>
        <w:tc>
          <w:tcPr>
            <w:tcW w:w="1338" w:type="dxa"/>
          </w:tcPr>
          <w:p w14:paraId="0E80F1C0" w14:textId="77777777" w:rsidR="00857A0D" w:rsidRPr="00873B6C" w:rsidRDefault="00857A0D" w:rsidP="00857A0D">
            <w:pPr>
              <w:pStyle w:val="TAC"/>
              <w:rPr>
                <w:lang w:eastAsia="fr-FR"/>
              </w:rPr>
            </w:pPr>
            <w:r w:rsidRPr="00873B6C">
              <w:t>-</w:t>
            </w:r>
          </w:p>
        </w:tc>
        <w:tc>
          <w:tcPr>
            <w:tcW w:w="2126" w:type="dxa"/>
            <w:shd w:val="clear" w:color="auto" w:fill="auto"/>
          </w:tcPr>
          <w:p w14:paraId="03C7101F" w14:textId="77777777" w:rsidR="00857A0D" w:rsidRPr="00873B6C" w:rsidRDefault="00857A0D" w:rsidP="00857A0D">
            <w:pPr>
              <w:pStyle w:val="TAC"/>
              <w:rPr>
                <w:lang w:eastAsia="fr-FR"/>
              </w:rPr>
            </w:pPr>
            <w:r w:rsidRPr="00873B6C">
              <w:rPr>
                <w:lang w:eastAsia="fr-FR"/>
              </w:rPr>
              <w:t>IEEE Std 802.1Q [98] Table 12-36</w:t>
            </w:r>
          </w:p>
        </w:tc>
      </w:tr>
      <w:tr w:rsidR="00857A0D" w:rsidRPr="00873B6C" w14:paraId="7ED36C6A" w14:textId="77777777" w:rsidTr="00C9561D">
        <w:trPr>
          <w:cantSplit/>
          <w:jc w:val="center"/>
        </w:trPr>
        <w:tc>
          <w:tcPr>
            <w:tcW w:w="3735" w:type="dxa"/>
            <w:shd w:val="clear" w:color="auto" w:fill="auto"/>
          </w:tcPr>
          <w:p w14:paraId="6045DBFB" w14:textId="77777777" w:rsidR="00857A0D" w:rsidRPr="00873B6C" w:rsidRDefault="00857A0D" w:rsidP="00857A0D">
            <w:pPr>
              <w:pStyle w:val="TAL"/>
              <w:rPr>
                <w:b/>
                <w:bCs/>
                <w:lang w:eastAsia="fr-FR"/>
              </w:rPr>
            </w:pPr>
            <w:r w:rsidRPr="00873B6C">
              <w:rPr>
                <w:b/>
                <w:bCs/>
                <w:lang w:eastAsia="fr-FR"/>
              </w:rPr>
              <w:t>Time Synchronization Information</w:t>
            </w:r>
          </w:p>
        </w:tc>
        <w:tc>
          <w:tcPr>
            <w:tcW w:w="709" w:type="dxa"/>
            <w:shd w:val="clear" w:color="auto" w:fill="auto"/>
          </w:tcPr>
          <w:p w14:paraId="7315057F" w14:textId="77777777" w:rsidR="00857A0D" w:rsidRPr="00873B6C" w:rsidRDefault="00857A0D" w:rsidP="00857A0D">
            <w:pPr>
              <w:pStyle w:val="TAC"/>
              <w:rPr>
                <w:lang w:eastAsia="fr-FR"/>
              </w:rPr>
            </w:pPr>
          </w:p>
        </w:tc>
        <w:tc>
          <w:tcPr>
            <w:tcW w:w="708" w:type="dxa"/>
            <w:shd w:val="clear" w:color="auto" w:fill="auto"/>
          </w:tcPr>
          <w:p w14:paraId="0880C6C3" w14:textId="77777777" w:rsidR="00857A0D" w:rsidRPr="00873B6C" w:rsidRDefault="00857A0D" w:rsidP="00857A0D">
            <w:pPr>
              <w:pStyle w:val="TAC"/>
              <w:rPr>
                <w:lang w:eastAsia="fr-FR"/>
              </w:rPr>
            </w:pPr>
          </w:p>
        </w:tc>
        <w:tc>
          <w:tcPr>
            <w:tcW w:w="1418" w:type="dxa"/>
            <w:shd w:val="clear" w:color="auto" w:fill="auto"/>
          </w:tcPr>
          <w:p w14:paraId="4F55D06D" w14:textId="77777777" w:rsidR="00857A0D" w:rsidRPr="00873B6C" w:rsidRDefault="00857A0D" w:rsidP="00857A0D">
            <w:pPr>
              <w:pStyle w:val="TAC"/>
              <w:rPr>
                <w:lang w:eastAsia="fr-FR"/>
              </w:rPr>
            </w:pPr>
          </w:p>
        </w:tc>
        <w:tc>
          <w:tcPr>
            <w:tcW w:w="1338" w:type="dxa"/>
          </w:tcPr>
          <w:p w14:paraId="2A29B82C" w14:textId="77777777" w:rsidR="00857A0D" w:rsidRPr="00873B6C" w:rsidRDefault="00857A0D" w:rsidP="00857A0D">
            <w:pPr>
              <w:pStyle w:val="TAC"/>
              <w:rPr>
                <w:lang w:eastAsia="fr-FR"/>
              </w:rPr>
            </w:pPr>
          </w:p>
        </w:tc>
        <w:tc>
          <w:tcPr>
            <w:tcW w:w="2126" w:type="dxa"/>
            <w:shd w:val="clear" w:color="auto" w:fill="auto"/>
          </w:tcPr>
          <w:p w14:paraId="1D8B29E8" w14:textId="77777777" w:rsidR="00857A0D" w:rsidRPr="00873B6C" w:rsidRDefault="00857A0D" w:rsidP="00857A0D">
            <w:pPr>
              <w:pStyle w:val="TAC"/>
              <w:rPr>
                <w:lang w:eastAsia="fr-FR"/>
              </w:rPr>
            </w:pPr>
          </w:p>
        </w:tc>
      </w:tr>
      <w:tr w:rsidR="00857A0D" w:rsidRPr="00873B6C" w14:paraId="04B1B7A4" w14:textId="77777777" w:rsidTr="00C9561D">
        <w:trPr>
          <w:cantSplit/>
          <w:jc w:val="center"/>
        </w:trPr>
        <w:tc>
          <w:tcPr>
            <w:tcW w:w="3735" w:type="dxa"/>
            <w:shd w:val="clear" w:color="auto" w:fill="auto"/>
          </w:tcPr>
          <w:p w14:paraId="0FF3151F" w14:textId="77777777" w:rsidR="00857A0D" w:rsidRPr="00873B6C" w:rsidRDefault="00857A0D" w:rsidP="00857A0D">
            <w:pPr>
              <w:pStyle w:val="TAL"/>
              <w:rPr>
                <w:lang w:eastAsia="fr-FR"/>
              </w:rPr>
            </w:pPr>
            <w:r w:rsidRPr="00873B6C">
              <w:rPr>
                <w:lang w:eastAsia="fr-FR"/>
              </w:rPr>
              <w:t>TSN Time domain number (NOTE 24)</w:t>
            </w:r>
          </w:p>
        </w:tc>
        <w:tc>
          <w:tcPr>
            <w:tcW w:w="709" w:type="dxa"/>
            <w:shd w:val="clear" w:color="auto" w:fill="auto"/>
          </w:tcPr>
          <w:p w14:paraId="7B7E0E6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DFBF5A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60B553E" w14:textId="77777777" w:rsidR="00857A0D" w:rsidRPr="00873B6C" w:rsidRDefault="00857A0D" w:rsidP="00857A0D">
            <w:pPr>
              <w:pStyle w:val="TAC"/>
              <w:rPr>
                <w:lang w:eastAsia="fr-FR"/>
              </w:rPr>
            </w:pPr>
            <w:r w:rsidRPr="00873B6C">
              <w:rPr>
                <w:lang w:eastAsia="fr-FR"/>
              </w:rPr>
              <w:t>RW</w:t>
            </w:r>
          </w:p>
        </w:tc>
        <w:tc>
          <w:tcPr>
            <w:tcW w:w="1338" w:type="dxa"/>
          </w:tcPr>
          <w:p w14:paraId="6BD1FBFE" w14:textId="77777777" w:rsidR="00857A0D" w:rsidRPr="00873B6C" w:rsidRDefault="00857A0D" w:rsidP="00857A0D">
            <w:pPr>
              <w:pStyle w:val="TAC"/>
              <w:rPr>
                <w:lang w:eastAsia="fr-FR"/>
              </w:rPr>
            </w:pPr>
          </w:p>
        </w:tc>
        <w:tc>
          <w:tcPr>
            <w:tcW w:w="2126" w:type="dxa"/>
            <w:shd w:val="clear" w:color="auto" w:fill="auto"/>
          </w:tcPr>
          <w:p w14:paraId="71BD429F" w14:textId="77777777" w:rsidR="00857A0D" w:rsidRPr="00873B6C" w:rsidRDefault="00857A0D" w:rsidP="00857A0D">
            <w:pPr>
              <w:pStyle w:val="TAC"/>
              <w:rPr>
                <w:lang w:eastAsia="fr-FR"/>
              </w:rPr>
            </w:pPr>
          </w:p>
        </w:tc>
      </w:tr>
      <w:tr w:rsidR="00857A0D" w:rsidRPr="00873B6C" w14:paraId="43B710F1" w14:textId="77777777" w:rsidTr="00C9561D">
        <w:trPr>
          <w:cantSplit/>
          <w:jc w:val="center"/>
        </w:trPr>
        <w:tc>
          <w:tcPr>
            <w:tcW w:w="3735" w:type="dxa"/>
            <w:shd w:val="clear" w:color="auto" w:fill="auto"/>
          </w:tcPr>
          <w:p w14:paraId="30DEB505" w14:textId="77777777" w:rsidR="00857A0D" w:rsidRPr="00873B6C" w:rsidRDefault="00857A0D" w:rsidP="00857A0D">
            <w:pPr>
              <w:pStyle w:val="TAL"/>
              <w:rPr>
                <w:lang w:eastAsia="fr-FR"/>
              </w:rPr>
            </w:pPr>
            <w:r w:rsidRPr="00873B6C">
              <w:rPr>
                <w:lang w:eastAsia="fr-FR"/>
              </w:rPr>
              <w:t>Supported PTP instance types (NOTE 13)</w:t>
            </w:r>
          </w:p>
        </w:tc>
        <w:tc>
          <w:tcPr>
            <w:tcW w:w="709" w:type="dxa"/>
            <w:shd w:val="clear" w:color="auto" w:fill="auto"/>
          </w:tcPr>
          <w:p w14:paraId="6AD33B4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49546E4" w14:textId="77777777" w:rsidR="00857A0D" w:rsidRPr="00873B6C" w:rsidRDefault="00857A0D" w:rsidP="00857A0D">
            <w:pPr>
              <w:pStyle w:val="TAC"/>
              <w:rPr>
                <w:lang w:eastAsia="fr-FR"/>
              </w:rPr>
            </w:pPr>
          </w:p>
        </w:tc>
        <w:tc>
          <w:tcPr>
            <w:tcW w:w="1418" w:type="dxa"/>
            <w:shd w:val="clear" w:color="auto" w:fill="auto"/>
          </w:tcPr>
          <w:p w14:paraId="2DCD72AB" w14:textId="77777777" w:rsidR="00857A0D" w:rsidRPr="00873B6C" w:rsidRDefault="00857A0D" w:rsidP="00857A0D">
            <w:pPr>
              <w:pStyle w:val="TAC"/>
              <w:rPr>
                <w:lang w:eastAsia="fr-FR"/>
              </w:rPr>
            </w:pPr>
            <w:r w:rsidRPr="00873B6C">
              <w:rPr>
                <w:lang w:eastAsia="fr-FR"/>
              </w:rPr>
              <w:t>R</w:t>
            </w:r>
          </w:p>
        </w:tc>
        <w:tc>
          <w:tcPr>
            <w:tcW w:w="1338" w:type="dxa"/>
          </w:tcPr>
          <w:p w14:paraId="3DB4DBCB"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5E60D422" w14:textId="77777777" w:rsidR="00857A0D" w:rsidRPr="00873B6C" w:rsidRDefault="00857A0D" w:rsidP="00857A0D">
            <w:pPr>
              <w:pStyle w:val="TAC"/>
              <w:rPr>
                <w:lang w:eastAsia="fr-FR"/>
              </w:rPr>
            </w:pPr>
            <w:r w:rsidRPr="00873B6C">
              <w:rPr>
                <w:lang w:eastAsia="fr-FR"/>
              </w:rPr>
              <w:t>IEEE Std 1588 [126] clause 8.2.1.5.5</w:t>
            </w:r>
          </w:p>
        </w:tc>
      </w:tr>
      <w:tr w:rsidR="00857A0D" w:rsidRPr="00873B6C" w14:paraId="7F93F42C" w14:textId="77777777" w:rsidTr="00C9561D">
        <w:trPr>
          <w:cantSplit/>
          <w:jc w:val="center"/>
        </w:trPr>
        <w:tc>
          <w:tcPr>
            <w:tcW w:w="3735" w:type="dxa"/>
            <w:shd w:val="clear" w:color="auto" w:fill="auto"/>
          </w:tcPr>
          <w:p w14:paraId="6111B94D" w14:textId="77777777" w:rsidR="00857A0D" w:rsidRPr="00873B6C" w:rsidRDefault="00857A0D" w:rsidP="00857A0D">
            <w:pPr>
              <w:pStyle w:val="TAL"/>
              <w:rPr>
                <w:lang w:eastAsia="fr-FR"/>
              </w:rPr>
            </w:pPr>
            <w:r w:rsidRPr="00873B6C">
              <w:rPr>
                <w:lang w:eastAsia="fr-FR"/>
              </w:rPr>
              <w:t>Supported transport types (NOTE 14)</w:t>
            </w:r>
          </w:p>
        </w:tc>
        <w:tc>
          <w:tcPr>
            <w:tcW w:w="709" w:type="dxa"/>
            <w:shd w:val="clear" w:color="auto" w:fill="auto"/>
          </w:tcPr>
          <w:p w14:paraId="7FFEB14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8E52AF1" w14:textId="77777777" w:rsidR="00857A0D" w:rsidRPr="00873B6C" w:rsidRDefault="00857A0D" w:rsidP="00857A0D">
            <w:pPr>
              <w:pStyle w:val="TAC"/>
              <w:rPr>
                <w:lang w:eastAsia="fr-FR"/>
              </w:rPr>
            </w:pPr>
          </w:p>
        </w:tc>
        <w:tc>
          <w:tcPr>
            <w:tcW w:w="1418" w:type="dxa"/>
            <w:shd w:val="clear" w:color="auto" w:fill="auto"/>
          </w:tcPr>
          <w:p w14:paraId="3AAD5A82" w14:textId="77777777" w:rsidR="00857A0D" w:rsidRPr="00873B6C" w:rsidRDefault="00857A0D" w:rsidP="00857A0D">
            <w:pPr>
              <w:pStyle w:val="TAC"/>
              <w:rPr>
                <w:lang w:eastAsia="fr-FR"/>
              </w:rPr>
            </w:pPr>
            <w:r w:rsidRPr="00873B6C">
              <w:rPr>
                <w:lang w:eastAsia="fr-FR"/>
              </w:rPr>
              <w:t>R</w:t>
            </w:r>
          </w:p>
        </w:tc>
        <w:tc>
          <w:tcPr>
            <w:tcW w:w="1338" w:type="dxa"/>
          </w:tcPr>
          <w:p w14:paraId="277609D7"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664440F" w14:textId="77777777" w:rsidR="00857A0D" w:rsidRPr="00873B6C" w:rsidRDefault="00857A0D" w:rsidP="00857A0D">
            <w:pPr>
              <w:pStyle w:val="TAC"/>
              <w:rPr>
                <w:lang w:eastAsia="fr-FR"/>
              </w:rPr>
            </w:pPr>
          </w:p>
        </w:tc>
      </w:tr>
      <w:tr w:rsidR="00857A0D" w:rsidRPr="00873B6C" w14:paraId="57C130C8" w14:textId="77777777" w:rsidTr="00C9561D">
        <w:trPr>
          <w:cantSplit/>
          <w:jc w:val="center"/>
        </w:trPr>
        <w:tc>
          <w:tcPr>
            <w:tcW w:w="3735" w:type="dxa"/>
            <w:shd w:val="clear" w:color="auto" w:fill="auto"/>
          </w:tcPr>
          <w:p w14:paraId="6A0B3E95" w14:textId="77777777" w:rsidR="00857A0D" w:rsidRPr="00873B6C" w:rsidRDefault="00857A0D" w:rsidP="00857A0D">
            <w:pPr>
              <w:pStyle w:val="TAL"/>
              <w:rPr>
                <w:lang w:eastAsia="fr-FR"/>
              </w:rPr>
            </w:pPr>
            <w:r w:rsidRPr="00873B6C">
              <w:rPr>
                <w:lang w:eastAsia="fr-FR"/>
              </w:rPr>
              <w:t>Supported delay mechanisms (NOTE 15)</w:t>
            </w:r>
          </w:p>
        </w:tc>
        <w:tc>
          <w:tcPr>
            <w:tcW w:w="709" w:type="dxa"/>
            <w:shd w:val="clear" w:color="auto" w:fill="auto"/>
          </w:tcPr>
          <w:p w14:paraId="4C6CCB0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4B65AF0" w14:textId="77777777" w:rsidR="00857A0D" w:rsidRPr="00873B6C" w:rsidRDefault="00857A0D" w:rsidP="00857A0D">
            <w:pPr>
              <w:pStyle w:val="TAC"/>
              <w:rPr>
                <w:lang w:eastAsia="fr-FR"/>
              </w:rPr>
            </w:pPr>
          </w:p>
        </w:tc>
        <w:tc>
          <w:tcPr>
            <w:tcW w:w="1418" w:type="dxa"/>
            <w:shd w:val="clear" w:color="auto" w:fill="auto"/>
          </w:tcPr>
          <w:p w14:paraId="62CB58EA" w14:textId="77777777" w:rsidR="00857A0D" w:rsidRPr="00873B6C" w:rsidRDefault="00857A0D" w:rsidP="00857A0D">
            <w:pPr>
              <w:pStyle w:val="TAC"/>
              <w:rPr>
                <w:lang w:eastAsia="fr-FR"/>
              </w:rPr>
            </w:pPr>
            <w:r w:rsidRPr="00873B6C">
              <w:rPr>
                <w:lang w:eastAsia="fr-FR"/>
              </w:rPr>
              <w:t>R</w:t>
            </w:r>
          </w:p>
        </w:tc>
        <w:tc>
          <w:tcPr>
            <w:tcW w:w="1338" w:type="dxa"/>
          </w:tcPr>
          <w:p w14:paraId="2E1EFDE6"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5FF21D0" w14:textId="77777777" w:rsidR="00857A0D" w:rsidRPr="00873B6C" w:rsidRDefault="00857A0D" w:rsidP="00857A0D">
            <w:pPr>
              <w:pStyle w:val="TAC"/>
              <w:rPr>
                <w:lang w:eastAsia="fr-FR"/>
              </w:rPr>
            </w:pPr>
            <w:r w:rsidRPr="00873B6C">
              <w:rPr>
                <w:lang w:eastAsia="fr-FR"/>
              </w:rPr>
              <w:t>IEEE Std 1588 [126] clause </w:t>
            </w:r>
            <w:r w:rsidRPr="00873B6C">
              <w:t>8.2.15.4.4</w:t>
            </w:r>
          </w:p>
        </w:tc>
      </w:tr>
      <w:tr w:rsidR="00857A0D" w:rsidRPr="00873B6C" w14:paraId="4413C891" w14:textId="77777777" w:rsidTr="00C9561D">
        <w:trPr>
          <w:cantSplit/>
          <w:jc w:val="center"/>
        </w:trPr>
        <w:tc>
          <w:tcPr>
            <w:tcW w:w="3735" w:type="dxa"/>
            <w:shd w:val="clear" w:color="auto" w:fill="auto"/>
          </w:tcPr>
          <w:p w14:paraId="29794B30" w14:textId="77777777" w:rsidR="00857A0D" w:rsidRPr="00873B6C" w:rsidRDefault="00857A0D" w:rsidP="00857A0D">
            <w:pPr>
              <w:pStyle w:val="TAL"/>
              <w:rPr>
                <w:lang w:eastAsia="fr-FR"/>
              </w:rPr>
            </w:pPr>
            <w:r w:rsidRPr="00873B6C">
              <w:rPr>
                <w:lang w:eastAsia="fr-FR"/>
              </w:rPr>
              <w:t>PTP grandmaster capable (NOTE 16)</w:t>
            </w:r>
          </w:p>
        </w:tc>
        <w:tc>
          <w:tcPr>
            <w:tcW w:w="709" w:type="dxa"/>
            <w:shd w:val="clear" w:color="auto" w:fill="auto"/>
          </w:tcPr>
          <w:p w14:paraId="2D4644C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BCA80E7" w14:textId="77777777" w:rsidR="00857A0D" w:rsidRPr="00873B6C" w:rsidRDefault="00857A0D" w:rsidP="00857A0D">
            <w:pPr>
              <w:pStyle w:val="TAC"/>
              <w:rPr>
                <w:lang w:eastAsia="fr-FR"/>
              </w:rPr>
            </w:pPr>
          </w:p>
        </w:tc>
        <w:tc>
          <w:tcPr>
            <w:tcW w:w="1418" w:type="dxa"/>
            <w:shd w:val="clear" w:color="auto" w:fill="auto"/>
          </w:tcPr>
          <w:p w14:paraId="22C0179B" w14:textId="77777777" w:rsidR="00857A0D" w:rsidRPr="00873B6C" w:rsidRDefault="00857A0D" w:rsidP="00857A0D">
            <w:pPr>
              <w:pStyle w:val="TAC"/>
              <w:rPr>
                <w:lang w:eastAsia="fr-FR"/>
              </w:rPr>
            </w:pPr>
            <w:r w:rsidRPr="00873B6C">
              <w:rPr>
                <w:lang w:eastAsia="fr-FR"/>
              </w:rPr>
              <w:t>R</w:t>
            </w:r>
          </w:p>
        </w:tc>
        <w:tc>
          <w:tcPr>
            <w:tcW w:w="1338" w:type="dxa"/>
          </w:tcPr>
          <w:p w14:paraId="3E56482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0F1C19BB" w14:textId="77777777" w:rsidR="00857A0D" w:rsidRPr="00873B6C" w:rsidRDefault="00857A0D" w:rsidP="00857A0D">
            <w:pPr>
              <w:pStyle w:val="TAC"/>
              <w:rPr>
                <w:lang w:eastAsia="fr-FR"/>
              </w:rPr>
            </w:pPr>
          </w:p>
        </w:tc>
      </w:tr>
      <w:tr w:rsidR="00857A0D" w:rsidRPr="00873B6C" w14:paraId="32FBDE7B" w14:textId="77777777" w:rsidTr="00C9561D">
        <w:trPr>
          <w:cantSplit/>
          <w:jc w:val="center"/>
        </w:trPr>
        <w:tc>
          <w:tcPr>
            <w:tcW w:w="3735" w:type="dxa"/>
            <w:shd w:val="clear" w:color="auto" w:fill="auto"/>
          </w:tcPr>
          <w:p w14:paraId="46022DE7" w14:textId="77777777" w:rsidR="00857A0D" w:rsidRPr="00873B6C" w:rsidRDefault="00857A0D" w:rsidP="00857A0D">
            <w:pPr>
              <w:pStyle w:val="TAL"/>
              <w:rPr>
                <w:lang w:eastAsia="fr-FR"/>
              </w:rPr>
            </w:pPr>
            <w:r w:rsidRPr="00873B6C">
              <w:rPr>
                <w:lang w:eastAsia="fr-FR"/>
              </w:rPr>
              <w:t>gPTP grandmaster capable (NOTE 17)</w:t>
            </w:r>
          </w:p>
        </w:tc>
        <w:tc>
          <w:tcPr>
            <w:tcW w:w="709" w:type="dxa"/>
            <w:shd w:val="clear" w:color="auto" w:fill="auto"/>
          </w:tcPr>
          <w:p w14:paraId="5CA7DED8"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F1CDBD6" w14:textId="77777777" w:rsidR="00857A0D" w:rsidRPr="00873B6C" w:rsidRDefault="00857A0D" w:rsidP="00857A0D">
            <w:pPr>
              <w:pStyle w:val="TAC"/>
              <w:rPr>
                <w:lang w:eastAsia="fr-FR"/>
              </w:rPr>
            </w:pPr>
          </w:p>
        </w:tc>
        <w:tc>
          <w:tcPr>
            <w:tcW w:w="1418" w:type="dxa"/>
            <w:shd w:val="clear" w:color="auto" w:fill="auto"/>
          </w:tcPr>
          <w:p w14:paraId="012A72A5" w14:textId="77777777" w:rsidR="00857A0D" w:rsidRPr="00873B6C" w:rsidRDefault="00857A0D" w:rsidP="00857A0D">
            <w:pPr>
              <w:pStyle w:val="TAC"/>
              <w:rPr>
                <w:lang w:eastAsia="fr-FR"/>
              </w:rPr>
            </w:pPr>
            <w:r w:rsidRPr="00873B6C">
              <w:rPr>
                <w:lang w:eastAsia="fr-FR"/>
              </w:rPr>
              <w:t>R</w:t>
            </w:r>
          </w:p>
        </w:tc>
        <w:tc>
          <w:tcPr>
            <w:tcW w:w="1338" w:type="dxa"/>
          </w:tcPr>
          <w:p w14:paraId="547CC582"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51B1F474" w14:textId="77777777" w:rsidR="00857A0D" w:rsidRPr="00873B6C" w:rsidRDefault="00857A0D" w:rsidP="00857A0D">
            <w:pPr>
              <w:pStyle w:val="TAC"/>
              <w:rPr>
                <w:lang w:eastAsia="fr-FR"/>
              </w:rPr>
            </w:pPr>
          </w:p>
        </w:tc>
      </w:tr>
      <w:tr w:rsidR="00857A0D" w:rsidRPr="00873B6C" w14:paraId="15FE7F89" w14:textId="77777777" w:rsidTr="00C9561D">
        <w:trPr>
          <w:cantSplit/>
          <w:jc w:val="center"/>
        </w:trPr>
        <w:tc>
          <w:tcPr>
            <w:tcW w:w="3735" w:type="dxa"/>
            <w:shd w:val="clear" w:color="auto" w:fill="auto"/>
          </w:tcPr>
          <w:p w14:paraId="0392F472" w14:textId="77777777" w:rsidR="00857A0D" w:rsidRPr="00873B6C" w:rsidRDefault="00857A0D" w:rsidP="00857A0D">
            <w:pPr>
              <w:pStyle w:val="TAL"/>
              <w:rPr>
                <w:lang w:eastAsia="fr-FR"/>
              </w:rPr>
            </w:pPr>
            <w:r w:rsidRPr="00873B6C">
              <w:rPr>
                <w:lang w:eastAsia="fr-FR"/>
              </w:rPr>
              <w:t>Supported PTP profiles (NOTE 18)</w:t>
            </w:r>
          </w:p>
        </w:tc>
        <w:tc>
          <w:tcPr>
            <w:tcW w:w="709" w:type="dxa"/>
            <w:shd w:val="clear" w:color="auto" w:fill="auto"/>
          </w:tcPr>
          <w:p w14:paraId="37B8722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9FF6F73" w14:textId="77777777" w:rsidR="00857A0D" w:rsidRPr="00873B6C" w:rsidRDefault="00857A0D" w:rsidP="00857A0D">
            <w:pPr>
              <w:pStyle w:val="TAC"/>
              <w:rPr>
                <w:lang w:eastAsia="fr-FR"/>
              </w:rPr>
            </w:pPr>
          </w:p>
        </w:tc>
        <w:tc>
          <w:tcPr>
            <w:tcW w:w="1418" w:type="dxa"/>
            <w:shd w:val="clear" w:color="auto" w:fill="auto"/>
          </w:tcPr>
          <w:p w14:paraId="1763543D" w14:textId="77777777" w:rsidR="00857A0D" w:rsidRPr="00873B6C" w:rsidRDefault="00857A0D" w:rsidP="00857A0D">
            <w:pPr>
              <w:pStyle w:val="TAC"/>
              <w:rPr>
                <w:lang w:eastAsia="fr-FR"/>
              </w:rPr>
            </w:pPr>
            <w:r w:rsidRPr="00873B6C">
              <w:rPr>
                <w:lang w:eastAsia="fr-FR"/>
              </w:rPr>
              <w:t>R</w:t>
            </w:r>
          </w:p>
        </w:tc>
        <w:tc>
          <w:tcPr>
            <w:tcW w:w="1338" w:type="dxa"/>
          </w:tcPr>
          <w:p w14:paraId="58A36A3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102FD4AC" w14:textId="77777777" w:rsidR="00857A0D" w:rsidRPr="00873B6C" w:rsidRDefault="00857A0D" w:rsidP="00857A0D">
            <w:pPr>
              <w:pStyle w:val="TAC"/>
              <w:rPr>
                <w:lang w:eastAsia="fr-FR"/>
              </w:rPr>
            </w:pPr>
          </w:p>
        </w:tc>
      </w:tr>
      <w:tr w:rsidR="00857A0D" w:rsidRPr="00873B6C" w14:paraId="39F89BF9" w14:textId="77777777" w:rsidTr="00C9561D">
        <w:trPr>
          <w:cantSplit/>
          <w:jc w:val="center"/>
        </w:trPr>
        <w:tc>
          <w:tcPr>
            <w:tcW w:w="3735" w:type="dxa"/>
            <w:shd w:val="clear" w:color="auto" w:fill="auto"/>
          </w:tcPr>
          <w:p w14:paraId="5F6F7552" w14:textId="77777777" w:rsidR="00857A0D" w:rsidRPr="00873B6C" w:rsidRDefault="00857A0D" w:rsidP="00857A0D">
            <w:pPr>
              <w:pStyle w:val="TAL"/>
              <w:rPr>
                <w:lang w:eastAsia="fr-FR"/>
              </w:rPr>
            </w:pPr>
            <w:r w:rsidRPr="00873B6C">
              <w:rPr>
                <w:lang w:eastAsia="fr-FR"/>
              </w:rPr>
              <w:t>Number of supported PTP instances</w:t>
            </w:r>
          </w:p>
        </w:tc>
        <w:tc>
          <w:tcPr>
            <w:tcW w:w="709" w:type="dxa"/>
            <w:shd w:val="clear" w:color="auto" w:fill="auto"/>
          </w:tcPr>
          <w:p w14:paraId="51F4C0B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59275AA" w14:textId="77777777" w:rsidR="00857A0D" w:rsidRPr="00873B6C" w:rsidRDefault="00857A0D" w:rsidP="00857A0D">
            <w:pPr>
              <w:pStyle w:val="TAC"/>
              <w:rPr>
                <w:lang w:eastAsia="fr-FR"/>
              </w:rPr>
            </w:pPr>
          </w:p>
        </w:tc>
        <w:tc>
          <w:tcPr>
            <w:tcW w:w="1418" w:type="dxa"/>
            <w:shd w:val="clear" w:color="auto" w:fill="auto"/>
          </w:tcPr>
          <w:p w14:paraId="4EB8C948" w14:textId="77777777" w:rsidR="00857A0D" w:rsidRPr="00873B6C" w:rsidRDefault="00857A0D" w:rsidP="00857A0D">
            <w:pPr>
              <w:pStyle w:val="TAC"/>
              <w:rPr>
                <w:lang w:eastAsia="fr-FR"/>
              </w:rPr>
            </w:pPr>
            <w:r w:rsidRPr="00873B6C">
              <w:rPr>
                <w:lang w:eastAsia="fr-FR"/>
              </w:rPr>
              <w:t>R</w:t>
            </w:r>
          </w:p>
        </w:tc>
        <w:tc>
          <w:tcPr>
            <w:tcW w:w="1338" w:type="dxa"/>
          </w:tcPr>
          <w:p w14:paraId="220EB6C9"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2986F884" w14:textId="77777777" w:rsidR="00857A0D" w:rsidRPr="00873B6C" w:rsidRDefault="00857A0D" w:rsidP="00857A0D">
            <w:pPr>
              <w:pStyle w:val="TAC"/>
              <w:rPr>
                <w:lang w:eastAsia="fr-FR"/>
              </w:rPr>
            </w:pPr>
          </w:p>
        </w:tc>
      </w:tr>
      <w:tr w:rsidR="00857A0D" w:rsidRPr="00873B6C" w14:paraId="12CE38BE" w14:textId="77777777" w:rsidTr="00C9561D">
        <w:trPr>
          <w:cantSplit/>
          <w:jc w:val="center"/>
        </w:trPr>
        <w:tc>
          <w:tcPr>
            <w:tcW w:w="3735" w:type="dxa"/>
            <w:shd w:val="clear" w:color="auto" w:fill="auto"/>
          </w:tcPr>
          <w:p w14:paraId="118465E5" w14:textId="77777777" w:rsidR="00857A0D" w:rsidRPr="00873B6C" w:rsidRDefault="00857A0D" w:rsidP="00857A0D">
            <w:pPr>
              <w:pStyle w:val="TAL"/>
              <w:rPr>
                <w:b/>
                <w:bCs/>
                <w:lang w:eastAsia="fr-FR"/>
              </w:rPr>
            </w:pPr>
            <w:r w:rsidRPr="00873B6C">
              <w:rPr>
                <w:b/>
                <w:bCs/>
                <w:lang w:eastAsia="fr-FR"/>
              </w:rPr>
              <w:t>PTP instance specification</w:t>
            </w:r>
          </w:p>
        </w:tc>
        <w:tc>
          <w:tcPr>
            <w:tcW w:w="709" w:type="dxa"/>
            <w:shd w:val="clear" w:color="auto" w:fill="auto"/>
          </w:tcPr>
          <w:p w14:paraId="1F45ABC7" w14:textId="77777777" w:rsidR="00857A0D" w:rsidRPr="00873B6C" w:rsidRDefault="00857A0D" w:rsidP="00857A0D">
            <w:pPr>
              <w:pStyle w:val="TAC"/>
              <w:rPr>
                <w:lang w:eastAsia="fr-FR"/>
              </w:rPr>
            </w:pPr>
          </w:p>
        </w:tc>
        <w:tc>
          <w:tcPr>
            <w:tcW w:w="708" w:type="dxa"/>
            <w:shd w:val="clear" w:color="auto" w:fill="auto"/>
          </w:tcPr>
          <w:p w14:paraId="4EDBC3DD" w14:textId="77777777" w:rsidR="00857A0D" w:rsidRPr="00873B6C" w:rsidRDefault="00857A0D" w:rsidP="00857A0D">
            <w:pPr>
              <w:pStyle w:val="TAC"/>
              <w:rPr>
                <w:lang w:eastAsia="fr-FR"/>
              </w:rPr>
            </w:pPr>
          </w:p>
        </w:tc>
        <w:tc>
          <w:tcPr>
            <w:tcW w:w="1418" w:type="dxa"/>
            <w:shd w:val="clear" w:color="auto" w:fill="auto"/>
          </w:tcPr>
          <w:p w14:paraId="5FF5D591" w14:textId="77777777" w:rsidR="00857A0D" w:rsidRPr="00873B6C" w:rsidRDefault="00857A0D" w:rsidP="00857A0D">
            <w:pPr>
              <w:pStyle w:val="TAC"/>
              <w:rPr>
                <w:lang w:eastAsia="fr-FR"/>
              </w:rPr>
            </w:pPr>
          </w:p>
        </w:tc>
        <w:tc>
          <w:tcPr>
            <w:tcW w:w="1338" w:type="dxa"/>
          </w:tcPr>
          <w:p w14:paraId="750F052C" w14:textId="77777777" w:rsidR="00857A0D" w:rsidRPr="00873B6C" w:rsidRDefault="00857A0D" w:rsidP="00857A0D">
            <w:pPr>
              <w:pStyle w:val="TAC"/>
              <w:rPr>
                <w:lang w:eastAsia="fr-FR"/>
              </w:rPr>
            </w:pPr>
          </w:p>
        </w:tc>
        <w:tc>
          <w:tcPr>
            <w:tcW w:w="2126" w:type="dxa"/>
            <w:shd w:val="clear" w:color="auto" w:fill="auto"/>
          </w:tcPr>
          <w:p w14:paraId="5C465F98" w14:textId="77777777" w:rsidR="00857A0D" w:rsidRPr="00873B6C" w:rsidRDefault="00857A0D" w:rsidP="00857A0D">
            <w:pPr>
              <w:pStyle w:val="TAC"/>
              <w:rPr>
                <w:lang w:eastAsia="fr-FR"/>
              </w:rPr>
            </w:pPr>
          </w:p>
        </w:tc>
      </w:tr>
      <w:tr w:rsidR="00857A0D" w:rsidRPr="00873B6C" w14:paraId="5D604968" w14:textId="77777777" w:rsidTr="00C9561D">
        <w:trPr>
          <w:cantSplit/>
          <w:jc w:val="center"/>
        </w:trPr>
        <w:tc>
          <w:tcPr>
            <w:tcW w:w="3735" w:type="dxa"/>
            <w:shd w:val="clear" w:color="auto" w:fill="auto"/>
          </w:tcPr>
          <w:p w14:paraId="0C63816E" w14:textId="77777777" w:rsidR="00857A0D" w:rsidRPr="00873B6C" w:rsidRDefault="00857A0D" w:rsidP="00857A0D">
            <w:pPr>
              <w:pStyle w:val="TAL"/>
              <w:rPr>
                <w:lang w:eastAsia="fr-FR"/>
              </w:rPr>
            </w:pPr>
            <w:r w:rsidRPr="00873B6C">
              <w:rPr>
                <w:lang w:eastAsia="fr-FR"/>
              </w:rPr>
              <w:t>PTP Instance ID (NOTE 25)</w:t>
            </w:r>
          </w:p>
        </w:tc>
        <w:tc>
          <w:tcPr>
            <w:tcW w:w="709" w:type="dxa"/>
            <w:shd w:val="clear" w:color="auto" w:fill="auto"/>
          </w:tcPr>
          <w:p w14:paraId="6069197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B031FD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1E9F9CA" w14:textId="77777777" w:rsidR="00857A0D" w:rsidRPr="00873B6C" w:rsidRDefault="00857A0D" w:rsidP="00857A0D">
            <w:pPr>
              <w:pStyle w:val="TAC"/>
              <w:rPr>
                <w:lang w:eastAsia="fr-FR"/>
              </w:rPr>
            </w:pPr>
            <w:r w:rsidRPr="00873B6C">
              <w:rPr>
                <w:lang w:eastAsia="fr-FR"/>
              </w:rPr>
              <w:t>RW</w:t>
            </w:r>
          </w:p>
        </w:tc>
        <w:tc>
          <w:tcPr>
            <w:tcW w:w="1338" w:type="dxa"/>
          </w:tcPr>
          <w:p w14:paraId="08207D1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16AE857" w14:textId="77777777" w:rsidR="00857A0D" w:rsidRPr="00873B6C" w:rsidRDefault="00857A0D" w:rsidP="00857A0D">
            <w:pPr>
              <w:pStyle w:val="TAC"/>
              <w:rPr>
                <w:lang w:eastAsia="fr-FR"/>
              </w:rPr>
            </w:pPr>
          </w:p>
        </w:tc>
      </w:tr>
      <w:tr w:rsidR="00857A0D" w:rsidRPr="00873B6C" w14:paraId="0C361F12" w14:textId="77777777" w:rsidTr="00C9561D">
        <w:trPr>
          <w:cantSplit/>
          <w:jc w:val="center"/>
        </w:trPr>
        <w:tc>
          <w:tcPr>
            <w:tcW w:w="3735" w:type="dxa"/>
            <w:shd w:val="clear" w:color="auto" w:fill="auto"/>
          </w:tcPr>
          <w:p w14:paraId="51ECF658" w14:textId="77777777" w:rsidR="00857A0D" w:rsidRPr="00873B6C" w:rsidRDefault="00857A0D" w:rsidP="00857A0D">
            <w:pPr>
              <w:pStyle w:val="TAL"/>
              <w:rPr>
                <w:lang w:eastAsia="fr-FR"/>
              </w:rPr>
            </w:pPr>
            <w:r w:rsidRPr="00873B6C">
              <w:rPr>
                <w:lang w:eastAsia="fr-FR"/>
              </w:rPr>
              <w:t>&gt; PTP profile (NOTE 19)</w:t>
            </w:r>
          </w:p>
        </w:tc>
        <w:tc>
          <w:tcPr>
            <w:tcW w:w="709" w:type="dxa"/>
            <w:shd w:val="clear" w:color="auto" w:fill="auto"/>
          </w:tcPr>
          <w:p w14:paraId="0AB3667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F6E8434" w14:textId="77777777" w:rsidR="00857A0D" w:rsidRPr="00873B6C" w:rsidRDefault="00857A0D" w:rsidP="00857A0D">
            <w:pPr>
              <w:pStyle w:val="TAC"/>
              <w:rPr>
                <w:lang w:eastAsia="fr-FR"/>
              </w:rPr>
            </w:pPr>
          </w:p>
        </w:tc>
        <w:tc>
          <w:tcPr>
            <w:tcW w:w="1418" w:type="dxa"/>
            <w:shd w:val="clear" w:color="auto" w:fill="auto"/>
          </w:tcPr>
          <w:p w14:paraId="6DD26F5E" w14:textId="77777777" w:rsidR="00857A0D" w:rsidRPr="00873B6C" w:rsidRDefault="00857A0D" w:rsidP="00857A0D">
            <w:pPr>
              <w:pStyle w:val="TAC"/>
              <w:rPr>
                <w:lang w:eastAsia="fr-FR"/>
              </w:rPr>
            </w:pPr>
            <w:r w:rsidRPr="00873B6C">
              <w:rPr>
                <w:lang w:eastAsia="fr-FR"/>
              </w:rPr>
              <w:t>RW</w:t>
            </w:r>
          </w:p>
        </w:tc>
        <w:tc>
          <w:tcPr>
            <w:tcW w:w="1338" w:type="dxa"/>
          </w:tcPr>
          <w:p w14:paraId="3D0756FE"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DA13333" w14:textId="77777777" w:rsidR="00857A0D" w:rsidRPr="00873B6C" w:rsidRDefault="00857A0D" w:rsidP="00857A0D">
            <w:pPr>
              <w:pStyle w:val="TAC"/>
              <w:rPr>
                <w:lang w:eastAsia="fr-FR"/>
              </w:rPr>
            </w:pPr>
          </w:p>
        </w:tc>
      </w:tr>
      <w:tr w:rsidR="00857A0D" w:rsidRPr="00873B6C" w14:paraId="550750BE" w14:textId="77777777" w:rsidTr="00C9561D">
        <w:trPr>
          <w:cantSplit/>
          <w:jc w:val="center"/>
        </w:trPr>
        <w:tc>
          <w:tcPr>
            <w:tcW w:w="3735" w:type="dxa"/>
            <w:shd w:val="clear" w:color="auto" w:fill="auto"/>
          </w:tcPr>
          <w:p w14:paraId="1352AC77" w14:textId="77777777" w:rsidR="00857A0D" w:rsidRPr="00873B6C" w:rsidRDefault="00857A0D" w:rsidP="00857A0D">
            <w:pPr>
              <w:pStyle w:val="TAL"/>
              <w:rPr>
                <w:lang w:eastAsia="fr-FR"/>
              </w:rPr>
            </w:pPr>
            <w:r w:rsidRPr="00873B6C">
              <w:rPr>
                <w:lang w:eastAsia="fr-FR"/>
              </w:rPr>
              <w:t>&gt; Transport type (NOTE 20)</w:t>
            </w:r>
          </w:p>
        </w:tc>
        <w:tc>
          <w:tcPr>
            <w:tcW w:w="709" w:type="dxa"/>
            <w:shd w:val="clear" w:color="auto" w:fill="auto"/>
          </w:tcPr>
          <w:p w14:paraId="65AF0A2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7263BFD" w14:textId="77777777" w:rsidR="00857A0D" w:rsidRPr="00873B6C" w:rsidRDefault="00857A0D" w:rsidP="00857A0D">
            <w:pPr>
              <w:pStyle w:val="TAC"/>
              <w:rPr>
                <w:lang w:eastAsia="fr-FR"/>
              </w:rPr>
            </w:pPr>
          </w:p>
        </w:tc>
        <w:tc>
          <w:tcPr>
            <w:tcW w:w="1418" w:type="dxa"/>
            <w:shd w:val="clear" w:color="auto" w:fill="auto"/>
          </w:tcPr>
          <w:p w14:paraId="60D81201" w14:textId="77777777" w:rsidR="00857A0D" w:rsidRPr="00873B6C" w:rsidRDefault="00857A0D" w:rsidP="00857A0D">
            <w:pPr>
              <w:pStyle w:val="TAC"/>
              <w:rPr>
                <w:lang w:eastAsia="fr-FR"/>
              </w:rPr>
            </w:pPr>
            <w:r w:rsidRPr="00873B6C">
              <w:rPr>
                <w:lang w:eastAsia="fr-FR"/>
              </w:rPr>
              <w:t>RW</w:t>
            </w:r>
          </w:p>
        </w:tc>
        <w:tc>
          <w:tcPr>
            <w:tcW w:w="1338" w:type="dxa"/>
          </w:tcPr>
          <w:p w14:paraId="5C3799F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C196367" w14:textId="77777777" w:rsidR="00857A0D" w:rsidRPr="00873B6C" w:rsidRDefault="00857A0D" w:rsidP="00857A0D">
            <w:pPr>
              <w:pStyle w:val="TAC"/>
              <w:rPr>
                <w:lang w:eastAsia="fr-FR"/>
              </w:rPr>
            </w:pPr>
          </w:p>
        </w:tc>
      </w:tr>
      <w:tr w:rsidR="00857A0D" w:rsidRPr="00873B6C" w14:paraId="44D57767" w14:textId="77777777" w:rsidTr="00C9561D">
        <w:trPr>
          <w:cantSplit/>
          <w:jc w:val="center"/>
        </w:trPr>
        <w:tc>
          <w:tcPr>
            <w:tcW w:w="3735" w:type="dxa"/>
            <w:shd w:val="clear" w:color="auto" w:fill="auto"/>
          </w:tcPr>
          <w:p w14:paraId="14B15933" w14:textId="77777777" w:rsidR="00857A0D" w:rsidRPr="00873B6C" w:rsidRDefault="00857A0D" w:rsidP="00857A0D">
            <w:pPr>
              <w:pStyle w:val="TAL"/>
              <w:rPr>
                <w:lang w:eastAsia="fr-FR"/>
              </w:rPr>
            </w:pPr>
            <w:r w:rsidRPr="00873B6C">
              <w:rPr>
                <w:lang w:eastAsia="fr-FR"/>
              </w:rPr>
              <w:t>&gt; Grandmaster enabled (NOTE 21)</w:t>
            </w:r>
          </w:p>
        </w:tc>
        <w:tc>
          <w:tcPr>
            <w:tcW w:w="709" w:type="dxa"/>
            <w:shd w:val="clear" w:color="auto" w:fill="auto"/>
          </w:tcPr>
          <w:p w14:paraId="72B7BAA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D7FF980" w14:textId="77777777" w:rsidR="00857A0D" w:rsidRPr="00873B6C" w:rsidRDefault="00857A0D" w:rsidP="00857A0D">
            <w:pPr>
              <w:pStyle w:val="TAC"/>
              <w:rPr>
                <w:lang w:eastAsia="fr-FR"/>
              </w:rPr>
            </w:pPr>
          </w:p>
        </w:tc>
        <w:tc>
          <w:tcPr>
            <w:tcW w:w="1418" w:type="dxa"/>
            <w:shd w:val="clear" w:color="auto" w:fill="auto"/>
          </w:tcPr>
          <w:p w14:paraId="019367C4" w14:textId="77777777" w:rsidR="00857A0D" w:rsidRPr="00873B6C" w:rsidRDefault="00857A0D" w:rsidP="00857A0D">
            <w:pPr>
              <w:pStyle w:val="TAC"/>
              <w:rPr>
                <w:lang w:eastAsia="fr-FR"/>
              </w:rPr>
            </w:pPr>
            <w:r w:rsidRPr="00873B6C">
              <w:rPr>
                <w:lang w:eastAsia="fr-FR"/>
              </w:rPr>
              <w:t>RW</w:t>
            </w:r>
          </w:p>
        </w:tc>
        <w:tc>
          <w:tcPr>
            <w:tcW w:w="1338" w:type="dxa"/>
          </w:tcPr>
          <w:p w14:paraId="0F00698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DDD10AD" w14:textId="77777777" w:rsidR="00857A0D" w:rsidRPr="00873B6C" w:rsidRDefault="00857A0D" w:rsidP="00857A0D">
            <w:pPr>
              <w:pStyle w:val="TAC"/>
              <w:rPr>
                <w:lang w:eastAsia="fr-FR"/>
              </w:rPr>
            </w:pPr>
          </w:p>
        </w:tc>
      </w:tr>
      <w:tr w:rsidR="00857A0D" w:rsidRPr="00873B6C" w14:paraId="6B1877E6" w14:textId="77777777" w:rsidTr="00C9561D">
        <w:trPr>
          <w:cantSplit/>
          <w:jc w:val="center"/>
        </w:trPr>
        <w:tc>
          <w:tcPr>
            <w:tcW w:w="3735" w:type="dxa"/>
            <w:shd w:val="clear" w:color="auto" w:fill="auto"/>
          </w:tcPr>
          <w:p w14:paraId="4C52959A" w14:textId="77777777" w:rsidR="00857A0D" w:rsidRPr="00873B6C" w:rsidRDefault="00857A0D" w:rsidP="00857A0D">
            <w:pPr>
              <w:pStyle w:val="TAL"/>
              <w:rPr>
                <w:b/>
                <w:bCs/>
                <w:lang w:eastAsia="fr-FR"/>
              </w:rPr>
            </w:pPr>
            <w:r w:rsidRPr="00873B6C">
              <w:rPr>
                <w:b/>
                <w:bCs/>
                <w:lang w:eastAsia="fr-FR"/>
              </w:rPr>
              <w:t>IEEE Std 1588 [126] data sets (NOTE 22)</w:t>
            </w:r>
          </w:p>
        </w:tc>
        <w:tc>
          <w:tcPr>
            <w:tcW w:w="709" w:type="dxa"/>
            <w:shd w:val="clear" w:color="auto" w:fill="auto"/>
          </w:tcPr>
          <w:p w14:paraId="17421BC0" w14:textId="77777777" w:rsidR="00857A0D" w:rsidRPr="00873B6C" w:rsidRDefault="00857A0D" w:rsidP="00857A0D">
            <w:pPr>
              <w:pStyle w:val="TAC"/>
              <w:rPr>
                <w:lang w:eastAsia="fr-FR"/>
              </w:rPr>
            </w:pPr>
          </w:p>
        </w:tc>
        <w:tc>
          <w:tcPr>
            <w:tcW w:w="708" w:type="dxa"/>
            <w:shd w:val="clear" w:color="auto" w:fill="auto"/>
          </w:tcPr>
          <w:p w14:paraId="5E2F5051" w14:textId="77777777" w:rsidR="00857A0D" w:rsidRPr="00873B6C" w:rsidRDefault="00857A0D" w:rsidP="00857A0D">
            <w:pPr>
              <w:pStyle w:val="TAC"/>
              <w:rPr>
                <w:lang w:eastAsia="fr-FR"/>
              </w:rPr>
            </w:pPr>
          </w:p>
        </w:tc>
        <w:tc>
          <w:tcPr>
            <w:tcW w:w="1418" w:type="dxa"/>
            <w:shd w:val="clear" w:color="auto" w:fill="auto"/>
          </w:tcPr>
          <w:p w14:paraId="58291CC6" w14:textId="77777777" w:rsidR="00857A0D" w:rsidRPr="00873B6C" w:rsidRDefault="00857A0D" w:rsidP="00857A0D">
            <w:pPr>
              <w:pStyle w:val="TAC"/>
              <w:rPr>
                <w:lang w:eastAsia="fr-FR"/>
              </w:rPr>
            </w:pPr>
          </w:p>
        </w:tc>
        <w:tc>
          <w:tcPr>
            <w:tcW w:w="1338" w:type="dxa"/>
          </w:tcPr>
          <w:p w14:paraId="3C41C09B" w14:textId="77777777" w:rsidR="00857A0D" w:rsidRPr="00873B6C" w:rsidRDefault="00857A0D" w:rsidP="00857A0D">
            <w:pPr>
              <w:pStyle w:val="TAC"/>
              <w:rPr>
                <w:lang w:eastAsia="fr-FR"/>
              </w:rPr>
            </w:pPr>
          </w:p>
        </w:tc>
        <w:tc>
          <w:tcPr>
            <w:tcW w:w="2126" w:type="dxa"/>
            <w:shd w:val="clear" w:color="auto" w:fill="auto"/>
          </w:tcPr>
          <w:p w14:paraId="4186CAA2" w14:textId="77777777" w:rsidR="00857A0D" w:rsidRPr="00873B6C" w:rsidRDefault="00857A0D" w:rsidP="00857A0D">
            <w:pPr>
              <w:pStyle w:val="TAC"/>
              <w:rPr>
                <w:lang w:eastAsia="fr-FR"/>
              </w:rPr>
            </w:pPr>
          </w:p>
        </w:tc>
      </w:tr>
      <w:tr w:rsidR="00857A0D" w:rsidRPr="00873B6C" w14:paraId="435B6638" w14:textId="77777777" w:rsidTr="00C9561D">
        <w:trPr>
          <w:cantSplit/>
          <w:jc w:val="center"/>
        </w:trPr>
        <w:tc>
          <w:tcPr>
            <w:tcW w:w="3735" w:type="dxa"/>
            <w:shd w:val="clear" w:color="auto" w:fill="auto"/>
          </w:tcPr>
          <w:p w14:paraId="24BCA499" w14:textId="77777777" w:rsidR="00857A0D" w:rsidRPr="00873B6C" w:rsidRDefault="00857A0D" w:rsidP="00857A0D">
            <w:pPr>
              <w:pStyle w:val="TAL"/>
              <w:rPr>
                <w:lang w:eastAsia="fr-FR"/>
              </w:rPr>
            </w:pPr>
            <w:r w:rsidRPr="00873B6C">
              <w:rPr>
                <w:lang w:eastAsia="fr-FR"/>
              </w:rPr>
              <w:lastRenderedPageBreak/>
              <w:t>&gt; defaultDS.clockIdentity</w:t>
            </w:r>
          </w:p>
        </w:tc>
        <w:tc>
          <w:tcPr>
            <w:tcW w:w="709" w:type="dxa"/>
            <w:shd w:val="clear" w:color="auto" w:fill="auto"/>
          </w:tcPr>
          <w:p w14:paraId="740346B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CBDB39A" w14:textId="77777777" w:rsidR="00857A0D" w:rsidRPr="00873B6C" w:rsidRDefault="00857A0D" w:rsidP="00857A0D">
            <w:pPr>
              <w:pStyle w:val="TAC"/>
              <w:rPr>
                <w:lang w:eastAsia="fr-FR"/>
              </w:rPr>
            </w:pPr>
          </w:p>
        </w:tc>
        <w:tc>
          <w:tcPr>
            <w:tcW w:w="1418" w:type="dxa"/>
            <w:shd w:val="clear" w:color="auto" w:fill="auto"/>
          </w:tcPr>
          <w:p w14:paraId="549FE6FF" w14:textId="77777777" w:rsidR="00857A0D" w:rsidRPr="00873B6C" w:rsidRDefault="00857A0D" w:rsidP="00857A0D">
            <w:pPr>
              <w:pStyle w:val="TAC"/>
              <w:rPr>
                <w:lang w:eastAsia="fr-FR"/>
              </w:rPr>
            </w:pPr>
            <w:r w:rsidRPr="00873B6C">
              <w:rPr>
                <w:lang w:eastAsia="fr-FR"/>
              </w:rPr>
              <w:t>RW</w:t>
            </w:r>
          </w:p>
        </w:tc>
        <w:tc>
          <w:tcPr>
            <w:tcW w:w="1338" w:type="dxa"/>
          </w:tcPr>
          <w:p w14:paraId="156DAC7E"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B7F07CF" w14:textId="77777777" w:rsidR="00857A0D" w:rsidRPr="00873B6C" w:rsidRDefault="00857A0D" w:rsidP="00857A0D">
            <w:pPr>
              <w:pStyle w:val="TAC"/>
              <w:rPr>
                <w:lang w:eastAsia="fr-FR"/>
              </w:rPr>
            </w:pPr>
            <w:r w:rsidRPr="00873B6C">
              <w:rPr>
                <w:lang w:eastAsia="fr-FR"/>
              </w:rPr>
              <w:t>IEEE Std 1588 [126] clause 8.2.1.2.2</w:t>
            </w:r>
          </w:p>
        </w:tc>
      </w:tr>
      <w:tr w:rsidR="00857A0D" w:rsidRPr="00873B6C" w14:paraId="41098326" w14:textId="77777777" w:rsidTr="00C9561D">
        <w:trPr>
          <w:cantSplit/>
          <w:jc w:val="center"/>
        </w:trPr>
        <w:tc>
          <w:tcPr>
            <w:tcW w:w="3735" w:type="dxa"/>
            <w:shd w:val="clear" w:color="auto" w:fill="auto"/>
          </w:tcPr>
          <w:p w14:paraId="246D39E7" w14:textId="77777777" w:rsidR="00857A0D" w:rsidRPr="00873B6C" w:rsidRDefault="00857A0D" w:rsidP="00857A0D">
            <w:pPr>
              <w:pStyle w:val="TAL"/>
              <w:rPr>
                <w:lang w:eastAsia="fr-FR"/>
              </w:rPr>
            </w:pPr>
            <w:r w:rsidRPr="00873B6C">
              <w:rPr>
                <w:lang w:eastAsia="fr-FR"/>
              </w:rPr>
              <w:t>&gt; defaultDS.clockQuality.clockClass</w:t>
            </w:r>
          </w:p>
        </w:tc>
        <w:tc>
          <w:tcPr>
            <w:tcW w:w="709" w:type="dxa"/>
            <w:shd w:val="clear" w:color="auto" w:fill="auto"/>
          </w:tcPr>
          <w:p w14:paraId="0D53184E"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7D82374" w14:textId="77777777" w:rsidR="00857A0D" w:rsidRPr="00873B6C" w:rsidRDefault="00857A0D" w:rsidP="00857A0D">
            <w:pPr>
              <w:pStyle w:val="TAC"/>
              <w:rPr>
                <w:lang w:eastAsia="fr-FR"/>
              </w:rPr>
            </w:pPr>
          </w:p>
        </w:tc>
        <w:tc>
          <w:tcPr>
            <w:tcW w:w="1418" w:type="dxa"/>
            <w:shd w:val="clear" w:color="auto" w:fill="auto"/>
          </w:tcPr>
          <w:p w14:paraId="49D4FF0B" w14:textId="77777777" w:rsidR="00857A0D" w:rsidRPr="00873B6C" w:rsidRDefault="00857A0D" w:rsidP="00857A0D">
            <w:pPr>
              <w:pStyle w:val="TAC"/>
              <w:rPr>
                <w:lang w:eastAsia="fr-FR"/>
              </w:rPr>
            </w:pPr>
            <w:r w:rsidRPr="00873B6C">
              <w:rPr>
                <w:lang w:eastAsia="fr-FR"/>
              </w:rPr>
              <w:t>RW</w:t>
            </w:r>
          </w:p>
        </w:tc>
        <w:tc>
          <w:tcPr>
            <w:tcW w:w="1338" w:type="dxa"/>
          </w:tcPr>
          <w:p w14:paraId="0B49240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FF83B59" w14:textId="77777777" w:rsidR="00857A0D" w:rsidRPr="00873B6C" w:rsidRDefault="00857A0D" w:rsidP="00857A0D">
            <w:pPr>
              <w:pStyle w:val="TAC"/>
              <w:rPr>
                <w:lang w:eastAsia="fr-FR"/>
              </w:rPr>
            </w:pPr>
            <w:r w:rsidRPr="00873B6C">
              <w:rPr>
                <w:lang w:eastAsia="fr-FR"/>
              </w:rPr>
              <w:t>IEEE Std 1588 [126] clause 8.2.1.3.1.2</w:t>
            </w:r>
          </w:p>
        </w:tc>
      </w:tr>
      <w:tr w:rsidR="00857A0D" w:rsidRPr="00873B6C" w14:paraId="20F22EC7" w14:textId="77777777" w:rsidTr="00C9561D">
        <w:trPr>
          <w:cantSplit/>
          <w:jc w:val="center"/>
        </w:trPr>
        <w:tc>
          <w:tcPr>
            <w:tcW w:w="3735" w:type="dxa"/>
            <w:shd w:val="clear" w:color="auto" w:fill="auto"/>
          </w:tcPr>
          <w:p w14:paraId="24F91D07" w14:textId="77777777" w:rsidR="00857A0D" w:rsidRPr="00873B6C" w:rsidRDefault="00857A0D" w:rsidP="00857A0D">
            <w:pPr>
              <w:pStyle w:val="TAL"/>
              <w:rPr>
                <w:lang w:eastAsia="fr-FR"/>
              </w:rPr>
            </w:pPr>
            <w:r w:rsidRPr="00873B6C">
              <w:rPr>
                <w:lang w:eastAsia="fr-FR"/>
              </w:rPr>
              <w:t>&gt; defaultDS.clockQuality.clockAccuracy</w:t>
            </w:r>
          </w:p>
        </w:tc>
        <w:tc>
          <w:tcPr>
            <w:tcW w:w="709" w:type="dxa"/>
            <w:shd w:val="clear" w:color="auto" w:fill="auto"/>
          </w:tcPr>
          <w:p w14:paraId="03DB4F5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F7E8BA1" w14:textId="77777777" w:rsidR="00857A0D" w:rsidRPr="00873B6C" w:rsidRDefault="00857A0D" w:rsidP="00857A0D">
            <w:pPr>
              <w:pStyle w:val="TAC"/>
              <w:rPr>
                <w:lang w:eastAsia="fr-FR"/>
              </w:rPr>
            </w:pPr>
          </w:p>
        </w:tc>
        <w:tc>
          <w:tcPr>
            <w:tcW w:w="1418" w:type="dxa"/>
            <w:shd w:val="clear" w:color="auto" w:fill="auto"/>
          </w:tcPr>
          <w:p w14:paraId="04BF519F" w14:textId="77777777" w:rsidR="00857A0D" w:rsidRPr="00873B6C" w:rsidRDefault="00857A0D" w:rsidP="00857A0D">
            <w:pPr>
              <w:pStyle w:val="TAC"/>
              <w:rPr>
                <w:lang w:eastAsia="fr-FR"/>
              </w:rPr>
            </w:pPr>
            <w:r w:rsidRPr="00873B6C">
              <w:rPr>
                <w:lang w:eastAsia="fr-FR"/>
              </w:rPr>
              <w:t>RW</w:t>
            </w:r>
          </w:p>
        </w:tc>
        <w:tc>
          <w:tcPr>
            <w:tcW w:w="1338" w:type="dxa"/>
          </w:tcPr>
          <w:p w14:paraId="3AAAE1B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8A299C6" w14:textId="77777777" w:rsidR="00857A0D" w:rsidRPr="00873B6C" w:rsidRDefault="00857A0D" w:rsidP="00857A0D">
            <w:pPr>
              <w:pStyle w:val="TAC"/>
              <w:rPr>
                <w:lang w:eastAsia="fr-FR"/>
              </w:rPr>
            </w:pPr>
            <w:r w:rsidRPr="00873B6C">
              <w:rPr>
                <w:lang w:eastAsia="fr-FR"/>
              </w:rPr>
              <w:t>IEEE Std 1588 [126] clause 8.2.1.3.1.3</w:t>
            </w:r>
          </w:p>
        </w:tc>
      </w:tr>
      <w:tr w:rsidR="00857A0D" w:rsidRPr="00873B6C" w14:paraId="7CE88508" w14:textId="77777777" w:rsidTr="00C9561D">
        <w:trPr>
          <w:cantSplit/>
          <w:jc w:val="center"/>
        </w:trPr>
        <w:tc>
          <w:tcPr>
            <w:tcW w:w="3735" w:type="dxa"/>
            <w:shd w:val="clear" w:color="auto" w:fill="auto"/>
          </w:tcPr>
          <w:p w14:paraId="05F946B6" w14:textId="77777777" w:rsidR="00857A0D" w:rsidRPr="00873B6C" w:rsidRDefault="00857A0D" w:rsidP="00857A0D">
            <w:pPr>
              <w:pStyle w:val="TAL"/>
              <w:rPr>
                <w:lang w:eastAsia="fr-FR"/>
              </w:rPr>
            </w:pPr>
            <w:r w:rsidRPr="00873B6C">
              <w:rPr>
                <w:lang w:eastAsia="fr-FR"/>
              </w:rPr>
              <w:t>&gt; defaultDS.clockQuality.offsetScaledLogVariance</w:t>
            </w:r>
          </w:p>
        </w:tc>
        <w:tc>
          <w:tcPr>
            <w:tcW w:w="709" w:type="dxa"/>
            <w:shd w:val="clear" w:color="auto" w:fill="auto"/>
          </w:tcPr>
          <w:p w14:paraId="471A735B"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CC84F96" w14:textId="77777777" w:rsidR="00857A0D" w:rsidRPr="00873B6C" w:rsidRDefault="00857A0D" w:rsidP="00857A0D">
            <w:pPr>
              <w:pStyle w:val="TAC"/>
              <w:rPr>
                <w:lang w:eastAsia="fr-FR"/>
              </w:rPr>
            </w:pPr>
          </w:p>
        </w:tc>
        <w:tc>
          <w:tcPr>
            <w:tcW w:w="1418" w:type="dxa"/>
            <w:shd w:val="clear" w:color="auto" w:fill="auto"/>
          </w:tcPr>
          <w:p w14:paraId="0BA20C0E" w14:textId="77777777" w:rsidR="00857A0D" w:rsidRPr="00873B6C" w:rsidRDefault="00857A0D" w:rsidP="00857A0D">
            <w:pPr>
              <w:pStyle w:val="TAC"/>
              <w:rPr>
                <w:lang w:eastAsia="fr-FR"/>
              </w:rPr>
            </w:pPr>
            <w:r w:rsidRPr="00873B6C">
              <w:rPr>
                <w:lang w:eastAsia="fr-FR"/>
              </w:rPr>
              <w:t>RW</w:t>
            </w:r>
          </w:p>
        </w:tc>
        <w:tc>
          <w:tcPr>
            <w:tcW w:w="1338" w:type="dxa"/>
          </w:tcPr>
          <w:p w14:paraId="62B5316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C351EB9" w14:textId="77777777" w:rsidR="00857A0D" w:rsidRPr="00873B6C" w:rsidRDefault="00857A0D" w:rsidP="00857A0D">
            <w:pPr>
              <w:pStyle w:val="TAC"/>
              <w:rPr>
                <w:lang w:eastAsia="fr-FR"/>
              </w:rPr>
            </w:pPr>
            <w:r w:rsidRPr="00873B6C">
              <w:rPr>
                <w:lang w:eastAsia="fr-FR"/>
              </w:rPr>
              <w:t>IEEE Std 1588 [126] clause 8.2.1.3.1.4</w:t>
            </w:r>
          </w:p>
        </w:tc>
      </w:tr>
      <w:tr w:rsidR="00857A0D" w:rsidRPr="00873B6C" w14:paraId="08073CB5" w14:textId="77777777" w:rsidTr="00C9561D">
        <w:trPr>
          <w:cantSplit/>
          <w:jc w:val="center"/>
        </w:trPr>
        <w:tc>
          <w:tcPr>
            <w:tcW w:w="3735" w:type="dxa"/>
            <w:shd w:val="clear" w:color="auto" w:fill="auto"/>
          </w:tcPr>
          <w:p w14:paraId="7F447E56" w14:textId="77777777" w:rsidR="00857A0D" w:rsidRPr="00873B6C" w:rsidRDefault="00857A0D" w:rsidP="00857A0D">
            <w:pPr>
              <w:pStyle w:val="TAL"/>
              <w:rPr>
                <w:lang w:eastAsia="fr-FR"/>
              </w:rPr>
            </w:pPr>
            <w:r w:rsidRPr="00873B6C">
              <w:rPr>
                <w:lang w:eastAsia="fr-FR"/>
              </w:rPr>
              <w:t>&gt; defaultDS.priority1</w:t>
            </w:r>
          </w:p>
        </w:tc>
        <w:tc>
          <w:tcPr>
            <w:tcW w:w="709" w:type="dxa"/>
            <w:shd w:val="clear" w:color="auto" w:fill="auto"/>
          </w:tcPr>
          <w:p w14:paraId="01AFA1F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9E4D918" w14:textId="77777777" w:rsidR="00857A0D" w:rsidRPr="00873B6C" w:rsidRDefault="00857A0D" w:rsidP="00857A0D">
            <w:pPr>
              <w:pStyle w:val="TAC"/>
              <w:rPr>
                <w:lang w:eastAsia="fr-FR"/>
              </w:rPr>
            </w:pPr>
          </w:p>
        </w:tc>
        <w:tc>
          <w:tcPr>
            <w:tcW w:w="1418" w:type="dxa"/>
            <w:shd w:val="clear" w:color="auto" w:fill="auto"/>
          </w:tcPr>
          <w:p w14:paraId="6B694430" w14:textId="77777777" w:rsidR="00857A0D" w:rsidRPr="00873B6C" w:rsidRDefault="00857A0D" w:rsidP="00857A0D">
            <w:pPr>
              <w:pStyle w:val="TAC"/>
              <w:rPr>
                <w:lang w:eastAsia="fr-FR"/>
              </w:rPr>
            </w:pPr>
            <w:r w:rsidRPr="00873B6C">
              <w:rPr>
                <w:lang w:eastAsia="fr-FR"/>
              </w:rPr>
              <w:t>RW</w:t>
            </w:r>
          </w:p>
        </w:tc>
        <w:tc>
          <w:tcPr>
            <w:tcW w:w="1338" w:type="dxa"/>
          </w:tcPr>
          <w:p w14:paraId="4069C772"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5152A5F" w14:textId="77777777" w:rsidR="00857A0D" w:rsidRPr="00873B6C" w:rsidRDefault="00857A0D" w:rsidP="00857A0D">
            <w:pPr>
              <w:pStyle w:val="TAC"/>
              <w:rPr>
                <w:lang w:eastAsia="fr-FR"/>
              </w:rPr>
            </w:pPr>
            <w:r w:rsidRPr="00873B6C">
              <w:rPr>
                <w:lang w:eastAsia="fr-FR"/>
              </w:rPr>
              <w:t>IEEE Std 1588 [126] clause 8.2.1.4.1</w:t>
            </w:r>
          </w:p>
        </w:tc>
      </w:tr>
      <w:tr w:rsidR="00857A0D" w:rsidRPr="00873B6C" w14:paraId="2C35F22A" w14:textId="77777777" w:rsidTr="00C9561D">
        <w:trPr>
          <w:cantSplit/>
          <w:jc w:val="center"/>
        </w:trPr>
        <w:tc>
          <w:tcPr>
            <w:tcW w:w="3735" w:type="dxa"/>
            <w:shd w:val="clear" w:color="auto" w:fill="auto"/>
          </w:tcPr>
          <w:p w14:paraId="18B09617" w14:textId="77777777" w:rsidR="00857A0D" w:rsidRPr="00873B6C" w:rsidRDefault="00857A0D" w:rsidP="00857A0D">
            <w:pPr>
              <w:pStyle w:val="TAL"/>
              <w:rPr>
                <w:lang w:eastAsia="fr-FR"/>
              </w:rPr>
            </w:pPr>
            <w:r w:rsidRPr="00873B6C">
              <w:rPr>
                <w:lang w:eastAsia="fr-FR"/>
              </w:rPr>
              <w:t>&gt; defaultDS.priority2</w:t>
            </w:r>
          </w:p>
        </w:tc>
        <w:tc>
          <w:tcPr>
            <w:tcW w:w="709" w:type="dxa"/>
            <w:shd w:val="clear" w:color="auto" w:fill="auto"/>
          </w:tcPr>
          <w:p w14:paraId="497ABBE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486AA8B" w14:textId="77777777" w:rsidR="00857A0D" w:rsidRPr="00873B6C" w:rsidRDefault="00857A0D" w:rsidP="00857A0D">
            <w:pPr>
              <w:pStyle w:val="TAC"/>
              <w:rPr>
                <w:lang w:eastAsia="fr-FR"/>
              </w:rPr>
            </w:pPr>
          </w:p>
        </w:tc>
        <w:tc>
          <w:tcPr>
            <w:tcW w:w="1418" w:type="dxa"/>
            <w:shd w:val="clear" w:color="auto" w:fill="auto"/>
          </w:tcPr>
          <w:p w14:paraId="3D493704" w14:textId="77777777" w:rsidR="00857A0D" w:rsidRPr="00873B6C" w:rsidRDefault="00857A0D" w:rsidP="00857A0D">
            <w:pPr>
              <w:pStyle w:val="TAC"/>
              <w:rPr>
                <w:lang w:eastAsia="fr-FR"/>
              </w:rPr>
            </w:pPr>
            <w:r w:rsidRPr="00873B6C">
              <w:rPr>
                <w:lang w:eastAsia="fr-FR"/>
              </w:rPr>
              <w:t>RW</w:t>
            </w:r>
          </w:p>
        </w:tc>
        <w:tc>
          <w:tcPr>
            <w:tcW w:w="1338" w:type="dxa"/>
          </w:tcPr>
          <w:p w14:paraId="3CD067D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22CD00B" w14:textId="77777777" w:rsidR="00857A0D" w:rsidRPr="00873B6C" w:rsidRDefault="00857A0D" w:rsidP="00857A0D">
            <w:pPr>
              <w:pStyle w:val="TAC"/>
              <w:rPr>
                <w:lang w:eastAsia="fr-FR"/>
              </w:rPr>
            </w:pPr>
            <w:r w:rsidRPr="00873B6C">
              <w:rPr>
                <w:lang w:eastAsia="fr-FR"/>
              </w:rPr>
              <w:t>IEEE Std 1588 [126] clause 8.2.1.4.2</w:t>
            </w:r>
          </w:p>
        </w:tc>
      </w:tr>
      <w:tr w:rsidR="00857A0D" w:rsidRPr="00873B6C" w14:paraId="2C49704E" w14:textId="77777777" w:rsidTr="00C9561D">
        <w:trPr>
          <w:cantSplit/>
          <w:jc w:val="center"/>
        </w:trPr>
        <w:tc>
          <w:tcPr>
            <w:tcW w:w="3735" w:type="dxa"/>
            <w:shd w:val="clear" w:color="auto" w:fill="auto"/>
          </w:tcPr>
          <w:p w14:paraId="2C9809A1" w14:textId="77777777" w:rsidR="00857A0D" w:rsidRPr="00873B6C" w:rsidRDefault="00857A0D" w:rsidP="00857A0D">
            <w:pPr>
              <w:pStyle w:val="TAL"/>
              <w:rPr>
                <w:lang w:eastAsia="fr-FR"/>
              </w:rPr>
            </w:pPr>
            <w:r w:rsidRPr="00873B6C">
              <w:rPr>
                <w:lang w:eastAsia="fr-FR"/>
              </w:rPr>
              <w:t>&gt; defaultDS.domainNumber</w:t>
            </w:r>
          </w:p>
        </w:tc>
        <w:tc>
          <w:tcPr>
            <w:tcW w:w="709" w:type="dxa"/>
            <w:shd w:val="clear" w:color="auto" w:fill="auto"/>
          </w:tcPr>
          <w:p w14:paraId="5FB62D3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AF0AA7B" w14:textId="77777777" w:rsidR="00857A0D" w:rsidRPr="00873B6C" w:rsidRDefault="00857A0D" w:rsidP="00857A0D">
            <w:pPr>
              <w:pStyle w:val="TAC"/>
              <w:rPr>
                <w:lang w:eastAsia="fr-FR"/>
              </w:rPr>
            </w:pPr>
          </w:p>
        </w:tc>
        <w:tc>
          <w:tcPr>
            <w:tcW w:w="1418" w:type="dxa"/>
            <w:shd w:val="clear" w:color="auto" w:fill="auto"/>
          </w:tcPr>
          <w:p w14:paraId="2DC9304A" w14:textId="77777777" w:rsidR="00857A0D" w:rsidRPr="00873B6C" w:rsidRDefault="00857A0D" w:rsidP="00857A0D">
            <w:pPr>
              <w:pStyle w:val="TAC"/>
              <w:rPr>
                <w:lang w:eastAsia="fr-FR"/>
              </w:rPr>
            </w:pPr>
            <w:r w:rsidRPr="00873B6C">
              <w:rPr>
                <w:lang w:eastAsia="fr-FR"/>
              </w:rPr>
              <w:t>RW</w:t>
            </w:r>
          </w:p>
        </w:tc>
        <w:tc>
          <w:tcPr>
            <w:tcW w:w="1338" w:type="dxa"/>
          </w:tcPr>
          <w:p w14:paraId="1A4E474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81016D9" w14:textId="77777777" w:rsidR="00857A0D" w:rsidRPr="00873B6C" w:rsidRDefault="00857A0D" w:rsidP="00857A0D">
            <w:pPr>
              <w:pStyle w:val="TAC"/>
              <w:rPr>
                <w:lang w:eastAsia="fr-FR"/>
              </w:rPr>
            </w:pPr>
            <w:r w:rsidRPr="00873B6C">
              <w:rPr>
                <w:lang w:eastAsia="fr-FR"/>
              </w:rPr>
              <w:t>IEEE Std 1588 [126] clause 8.2.1.4.3</w:t>
            </w:r>
          </w:p>
        </w:tc>
      </w:tr>
      <w:tr w:rsidR="00857A0D" w:rsidRPr="00873B6C" w14:paraId="5398D571" w14:textId="77777777" w:rsidTr="00C9561D">
        <w:trPr>
          <w:cantSplit/>
          <w:jc w:val="center"/>
        </w:trPr>
        <w:tc>
          <w:tcPr>
            <w:tcW w:w="3735" w:type="dxa"/>
            <w:shd w:val="clear" w:color="auto" w:fill="auto"/>
          </w:tcPr>
          <w:p w14:paraId="18662247" w14:textId="77777777" w:rsidR="00857A0D" w:rsidRPr="00873B6C" w:rsidRDefault="00857A0D" w:rsidP="00857A0D">
            <w:pPr>
              <w:pStyle w:val="TAL"/>
              <w:rPr>
                <w:lang w:eastAsia="fr-FR"/>
              </w:rPr>
            </w:pPr>
            <w:r w:rsidRPr="00873B6C">
              <w:rPr>
                <w:lang w:eastAsia="fr-FR"/>
              </w:rPr>
              <w:t>&gt; defaultDS.sdoId</w:t>
            </w:r>
          </w:p>
        </w:tc>
        <w:tc>
          <w:tcPr>
            <w:tcW w:w="709" w:type="dxa"/>
            <w:shd w:val="clear" w:color="auto" w:fill="auto"/>
          </w:tcPr>
          <w:p w14:paraId="213DAB4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5E08015" w14:textId="77777777" w:rsidR="00857A0D" w:rsidRPr="00873B6C" w:rsidRDefault="00857A0D" w:rsidP="00857A0D">
            <w:pPr>
              <w:pStyle w:val="TAC"/>
              <w:rPr>
                <w:lang w:eastAsia="fr-FR"/>
              </w:rPr>
            </w:pPr>
          </w:p>
        </w:tc>
        <w:tc>
          <w:tcPr>
            <w:tcW w:w="1418" w:type="dxa"/>
            <w:shd w:val="clear" w:color="auto" w:fill="auto"/>
          </w:tcPr>
          <w:p w14:paraId="209E95CC" w14:textId="77777777" w:rsidR="00857A0D" w:rsidRPr="00873B6C" w:rsidRDefault="00857A0D" w:rsidP="00857A0D">
            <w:pPr>
              <w:pStyle w:val="TAC"/>
              <w:rPr>
                <w:lang w:eastAsia="fr-FR"/>
              </w:rPr>
            </w:pPr>
            <w:r w:rsidRPr="00873B6C">
              <w:rPr>
                <w:lang w:eastAsia="fr-FR"/>
              </w:rPr>
              <w:t>RW</w:t>
            </w:r>
          </w:p>
        </w:tc>
        <w:tc>
          <w:tcPr>
            <w:tcW w:w="1338" w:type="dxa"/>
          </w:tcPr>
          <w:p w14:paraId="7EE589B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6E17D83" w14:textId="77777777" w:rsidR="00857A0D" w:rsidRPr="00873B6C" w:rsidRDefault="00857A0D" w:rsidP="00857A0D">
            <w:pPr>
              <w:pStyle w:val="TAC"/>
              <w:rPr>
                <w:lang w:eastAsia="fr-FR"/>
              </w:rPr>
            </w:pPr>
            <w:r w:rsidRPr="00873B6C">
              <w:rPr>
                <w:lang w:eastAsia="fr-FR"/>
              </w:rPr>
              <w:t>IEEE Std 1588 [126] clause 8.2.1.4.5</w:t>
            </w:r>
          </w:p>
        </w:tc>
      </w:tr>
      <w:tr w:rsidR="00857A0D" w:rsidRPr="00873B6C" w14:paraId="14B9C3D0" w14:textId="77777777" w:rsidTr="00C9561D">
        <w:trPr>
          <w:cantSplit/>
          <w:jc w:val="center"/>
        </w:trPr>
        <w:tc>
          <w:tcPr>
            <w:tcW w:w="3735" w:type="dxa"/>
            <w:shd w:val="clear" w:color="auto" w:fill="auto"/>
          </w:tcPr>
          <w:p w14:paraId="29413B80" w14:textId="77777777" w:rsidR="00857A0D" w:rsidRPr="00873B6C" w:rsidRDefault="00857A0D" w:rsidP="00857A0D">
            <w:pPr>
              <w:pStyle w:val="TAL"/>
              <w:rPr>
                <w:lang w:eastAsia="fr-FR"/>
              </w:rPr>
            </w:pPr>
            <w:r w:rsidRPr="00873B6C">
              <w:rPr>
                <w:lang w:eastAsia="fr-FR"/>
              </w:rPr>
              <w:t>&gt; defaultDS.instanceEnable</w:t>
            </w:r>
          </w:p>
        </w:tc>
        <w:tc>
          <w:tcPr>
            <w:tcW w:w="709" w:type="dxa"/>
            <w:shd w:val="clear" w:color="auto" w:fill="auto"/>
          </w:tcPr>
          <w:p w14:paraId="4694631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5AAF932" w14:textId="77777777" w:rsidR="00857A0D" w:rsidRPr="00873B6C" w:rsidRDefault="00857A0D" w:rsidP="00857A0D">
            <w:pPr>
              <w:pStyle w:val="TAC"/>
              <w:rPr>
                <w:lang w:eastAsia="fr-FR"/>
              </w:rPr>
            </w:pPr>
          </w:p>
        </w:tc>
        <w:tc>
          <w:tcPr>
            <w:tcW w:w="1418" w:type="dxa"/>
            <w:shd w:val="clear" w:color="auto" w:fill="auto"/>
          </w:tcPr>
          <w:p w14:paraId="4B26CCB4" w14:textId="77777777" w:rsidR="00857A0D" w:rsidRPr="00873B6C" w:rsidRDefault="00857A0D" w:rsidP="00857A0D">
            <w:pPr>
              <w:pStyle w:val="TAC"/>
              <w:rPr>
                <w:lang w:eastAsia="fr-FR"/>
              </w:rPr>
            </w:pPr>
            <w:r w:rsidRPr="00873B6C">
              <w:rPr>
                <w:lang w:eastAsia="fr-FR"/>
              </w:rPr>
              <w:t>RW</w:t>
            </w:r>
          </w:p>
        </w:tc>
        <w:tc>
          <w:tcPr>
            <w:tcW w:w="1338" w:type="dxa"/>
          </w:tcPr>
          <w:p w14:paraId="2A87F18E"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C4A9819" w14:textId="77777777" w:rsidR="00857A0D" w:rsidRPr="00873B6C" w:rsidRDefault="00857A0D" w:rsidP="00857A0D">
            <w:pPr>
              <w:pStyle w:val="TAC"/>
              <w:rPr>
                <w:lang w:eastAsia="fr-FR"/>
              </w:rPr>
            </w:pPr>
            <w:r w:rsidRPr="00873B6C">
              <w:rPr>
                <w:lang w:eastAsia="fr-FR"/>
              </w:rPr>
              <w:t>IEEE Std 1588 [126] clause 8.2.1.5.2</w:t>
            </w:r>
          </w:p>
        </w:tc>
      </w:tr>
      <w:tr w:rsidR="00857A0D" w:rsidRPr="00873B6C" w14:paraId="56F2CF2B" w14:textId="77777777" w:rsidTr="00C9561D">
        <w:trPr>
          <w:cantSplit/>
          <w:jc w:val="center"/>
        </w:trPr>
        <w:tc>
          <w:tcPr>
            <w:tcW w:w="3735" w:type="dxa"/>
            <w:shd w:val="clear" w:color="auto" w:fill="auto"/>
          </w:tcPr>
          <w:p w14:paraId="3599B60A" w14:textId="77777777" w:rsidR="00857A0D" w:rsidRPr="00873B6C" w:rsidRDefault="00857A0D" w:rsidP="00857A0D">
            <w:pPr>
              <w:pStyle w:val="TAL"/>
              <w:rPr>
                <w:lang w:eastAsia="fr-FR"/>
              </w:rPr>
            </w:pPr>
            <w:r w:rsidRPr="00873B6C">
              <w:rPr>
                <w:lang w:eastAsia="fr-FR"/>
              </w:rPr>
              <w:t>&gt; defaultDS.instanceType</w:t>
            </w:r>
          </w:p>
        </w:tc>
        <w:tc>
          <w:tcPr>
            <w:tcW w:w="709" w:type="dxa"/>
            <w:shd w:val="clear" w:color="auto" w:fill="auto"/>
          </w:tcPr>
          <w:p w14:paraId="64E96F4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A5FDCB9" w14:textId="77777777" w:rsidR="00857A0D" w:rsidRPr="00873B6C" w:rsidRDefault="00857A0D" w:rsidP="00857A0D">
            <w:pPr>
              <w:pStyle w:val="TAC"/>
              <w:rPr>
                <w:lang w:eastAsia="fr-FR"/>
              </w:rPr>
            </w:pPr>
          </w:p>
        </w:tc>
        <w:tc>
          <w:tcPr>
            <w:tcW w:w="1418" w:type="dxa"/>
            <w:shd w:val="clear" w:color="auto" w:fill="auto"/>
          </w:tcPr>
          <w:p w14:paraId="7AA399CB" w14:textId="77777777" w:rsidR="00857A0D" w:rsidRPr="00873B6C" w:rsidRDefault="00857A0D" w:rsidP="00857A0D">
            <w:pPr>
              <w:pStyle w:val="TAC"/>
              <w:rPr>
                <w:lang w:eastAsia="fr-FR"/>
              </w:rPr>
            </w:pPr>
            <w:r w:rsidRPr="00873B6C">
              <w:rPr>
                <w:lang w:eastAsia="fr-FR"/>
              </w:rPr>
              <w:t>RW</w:t>
            </w:r>
          </w:p>
        </w:tc>
        <w:tc>
          <w:tcPr>
            <w:tcW w:w="1338" w:type="dxa"/>
          </w:tcPr>
          <w:p w14:paraId="714FF2DC"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324D457" w14:textId="77777777" w:rsidR="00857A0D" w:rsidRPr="00873B6C" w:rsidRDefault="00857A0D" w:rsidP="00857A0D">
            <w:pPr>
              <w:pStyle w:val="TAC"/>
              <w:rPr>
                <w:lang w:eastAsia="fr-FR"/>
              </w:rPr>
            </w:pPr>
            <w:r w:rsidRPr="00873B6C">
              <w:rPr>
                <w:lang w:eastAsia="fr-FR"/>
              </w:rPr>
              <w:t>IEEE Std 1588 [126] clause 8.2.1.5.5</w:t>
            </w:r>
          </w:p>
        </w:tc>
      </w:tr>
      <w:tr w:rsidR="00857A0D" w:rsidRPr="00873B6C" w14:paraId="6C727CAB" w14:textId="77777777" w:rsidTr="00C9561D">
        <w:trPr>
          <w:cantSplit/>
          <w:jc w:val="center"/>
        </w:trPr>
        <w:tc>
          <w:tcPr>
            <w:tcW w:w="3735" w:type="dxa"/>
            <w:shd w:val="clear" w:color="auto" w:fill="auto"/>
          </w:tcPr>
          <w:p w14:paraId="3C027BFD" w14:textId="77777777" w:rsidR="00857A0D" w:rsidRPr="00873B6C" w:rsidRDefault="00857A0D" w:rsidP="00857A0D">
            <w:pPr>
              <w:pStyle w:val="TAL"/>
              <w:rPr>
                <w:lang w:eastAsia="fr-FR"/>
              </w:rPr>
            </w:pPr>
            <w:r w:rsidRPr="00873B6C">
              <w:rPr>
                <w:lang w:eastAsia="fr-FR"/>
              </w:rPr>
              <w:t>&gt; portDS.portIdentity</w:t>
            </w:r>
          </w:p>
        </w:tc>
        <w:tc>
          <w:tcPr>
            <w:tcW w:w="709" w:type="dxa"/>
            <w:shd w:val="clear" w:color="auto" w:fill="auto"/>
          </w:tcPr>
          <w:p w14:paraId="465B6AC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C1D4F22"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B718D37" w14:textId="77777777" w:rsidR="00857A0D" w:rsidRPr="00873B6C" w:rsidRDefault="00857A0D" w:rsidP="00857A0D">
            <w:pPr>
              <w:pStyle w:val="TAC"/>
              <w:rPr>
                <w:lang w:eastAsia="fr-FR"/>
              </w:rPr>
            </w:pPr>
            <w:r w:rsidRPr="00873B6C">
              <w:rPr>
                <w:lang w:eastAsia="fr-FR"/>
              </w:rPr>
              <w:t>RW</w:t>
            </w:r>
          </w:p>
        </w:tc>
        <w:tc>
          <w:tcPr>
            <w:tcW w:w="1338" w:type="dxa"/>
          </w:tcPr>
          <w:p w14:paraId="5E4343D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58F1055" w14:textId="77777777" w:rsidR="00857A0D" w:rsidRPr="00873B6C" w:rsidRDefault="00857A0D" w:rsidP="00857A0D">
            <w:pPr>
              <w:pStyle w:val="TAC"/>
              <w:rPr>
                <w:lang w:eastAsia="fr-FR"/>
              </w:rPr>
            </w:pPr>
            <w:r w:rsidRPr="00873B6C">
              <w:rPr>
                <w:lang w:eastAsia="fr-FR"/>
              </w:rPr>
              <w:t>IEEE Std 1588 [126] clause 8.2.15.2.1</w:t>
            </w:r>
          </w:p>
        </w:tc>
      </w:tr>
      <w:tr w:rsidR="00857A0D" w:rsidRPr="00873B6C" w14:paraId="18FD673F" w14:textId="77777777" w:rsidTr="00C9561D">
        <w:trPr>
          <w:cantSplit/>
          <w:jc w:val="center"/>
        </w:trPr>
        <w:tc>
          <w:tcPr>
            <w:tcW w:w="3735" w:type="dxa"/>
            <w:shd w:val="clear" w:color="auto" w:fill="auto"/>
          </w:tcPr>
          <w:p w14:paraId="7F25AC9F" w14:textId="77777777" w:rsidR="00857A0D" w:rsidRPr="00873B6C" w:rsidRDefault="00857A0D" w:rsidP="00857A0D">
            <w:pPr>
              <w:pStyle w:val="TAL"/>
              <w:rPr>
                <w:lang w:eastAsia="fr-FR"/>
              </w:rPr>
            </w:pPr>
            <w:r w:rsidRPr="00873B6C">
              <w:rPr>
                <w:lang w:eastAsia="fr-FR"/>
              </w:rPr>
              <w:t>&gt; portDS.portState</w:t>
            </w:r>
          </w:p>
        </w:tc>
        <w:tc>
          <w:tcPr>
            <w:tcW w:w="709" w:type="dxa"/>
            <w:shd w:val="clear" w:color="auto" w:fill="auto"/>
          </w:tcPr>
          <w:p w14:paraId="635C3D6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4ABA88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86DFBCC" w14:textId="77777777" w:rsidR="00857A0D" w:rsidRPr="00873B6C" w:rsidRDefault="00857A0D" w:rsidP="00857A0D">
            <w:pPr>
              <w:pStyle w:val="TAC"/>
              <w:rPr>
                <w:lang w:eastAsia="fr-FR"/>
              </w:rPr>
            </w:pPr>
            <w:r w:rsidRPr="00873B6C">
              <w:rPr>
                <w:lang w:eastAsia="fr-FR"/>
              </w:rPr>
              <w:t>R</w:t>
            </w:r>
          </w:p>
        </w:tc>
        <w:tc>
          <w:tcPr>
            <w:tcW w:w="1338" w:type="dxa"/>
          </w:tcPr>
          <w:p w14:paraId="1E617B08"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1CB9A50B" w14:textId="77777777" w:rsidR="00857A0D" w:rsidRPr="00873B6C" w:rsidRDefault="00857A0D" w:rsidP="00857A0D">
            <w:pPr>
              <w:pStyle w:val="TAC"/>
              <w:rPr>
                <w:lang w:eastAsia="fr-FR"/>
              </w:rPr>
            </w:pPr>
            <w:r w:rsidRPr="00873B6C">
              <w:rPr>
                <w:lang w:eastAsia="fr-FR"/>
              </w:rPr>
              <w:t>IEEE Std 1588 [126] clause 8.2.15.3.1</w:t>
            </w:r>
          </w:p>
        </w:tc>
      </w:tr>
      <w:tr w:rsidR="00857A0D" w:rsidRPr="00873B6C" w14:paraId="45B602E1" w14:textId="77777777" w:rsidTr="00C9561D">
        <w:trPr>
          <w:cantSplit/>
          <w:jc w:val="center"/>
        </w:trPr>
        <w:tc>
          <w:tcPr>
            <w:tcW w:w="3735" w:type="dxa"/>
            <w:shd w:val="clear" w:color="auto" w:fill="auto"/>
          </w:tcPr>
          <w:p w14:paraId="4C6EA3F8" w14:textId="77777777" w:rsidR="00857A0D" w:rsidRPr="00873B6C" w:rsidRDefault="00857A0D" w:rsidP="00857A0D">
            <w:pPr>
              <w:pStyle w:val="TAL"/>
              <w:rPr>
                <w:lang w:eastAsia="fr-FR"/>
              </w:rPr>
            </w:pPr>
            <w:r w:rsidRPr="00873B6C">
              <w:rPr>
                <w:lang w:eastAsia="fr-FR"/>
              </w:rPr>
              <w:t>&gt; portDS.logMinDelayReqInterval</w:t>
            </w:r>
          </w:p>
        </w:tc>
        <w:tc>
          <w:tcPr>
            <w:tcW w:w="709" w:type="dxa"/>
            <w:shd w:val="clear" w:color="auto" w:fill="auto"/>
          </w:tcPr>
          <w:p w14:paraId="4B9530E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58185D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4F7D82D" w14:textId="77777777" w:rsidR="00857A0D" w:rsidRPr="00873B6C" w:rsidRDefault="00857A0D" w:rsidP="00857A0D">
            <w:pPr>
              <w:pStyle w:val="TAC"/>
              <w:rPr>
                <w:lang w:eastAsia="fr-FR"/>
              </w:rPr>
            </w:pPr>
            <w:r w:rsidRPr="00873B6C">
              <w:rPr>
                <w:lang w:eastAsia="fr-FR"/>
              </w:rPr>
              <w:t>RW</w:t>
            </w:r>
          </w:p>
        </w:tc>
        <w:tc>
          <w:tcPr>
            <w:tcW w:w="1338" w:type="dxa"/>
          </w:tcPr>
          <w:p w14:paraId="732D1F1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50ED960" w14:textId="77777777" w:rsidR="00857A0D" w:rsidRPr="00873B6C" w:rsidRDefault="00857A0D" w:rsidP="00857A0D">
            <w:pPr>
              <w:pStyle w:val="TAC"/>
              <w:rPr>
                <w:lang w:eastAsia="fr-FR"/>
              </w:rPr>
            </w:pPr>
            <w:r w:rsidRPr="00873B6C">
              <w:rPr>
                <w:lang w:eastAsia="fr-FR"/>
              </w:rPr>
              <w:t>IEEE Std 1588 [126] clause 8.2.15.3.2</w:t>
            </w:r>
          </w:p>
        </w:tc>
      </w:tr>
      <w:tr w:rsidR="00857A0D" w:rsidRPr="00873B6C" w14:paraId="67A48336" w14:textId="77777777" w:rsidTr="00C9561D">
        <w:trPr>
          <w:cantSplit/>
          <w:jc w:val="center"/>
        </w:trPr>
        <w:tc>
          <w:tcPr>
            <w:tcW w:w="3735" w:type="dxa"/>
            <w:shd w:val="clear" w:color="auto" w:fill="auto"/>
          </w:tcPr>
          <w:p w14:paraId="729944C2" w14:textId="77777777" w:rsidR="00857A0D" w:rsidRPr="00873B6C" w:rsidRDefault="00857A0D" w:rsidP="00857A0D">
            <w:pPr>
              <w:pStyle w:val="TAL"/>
              <w:rPr>
                <w:lang w:eastAsia="fr-FR"/>
              </w:rPr>
            </w:pPr>
            <w:r w:rsidRPr="00873B6C">
              <w:rPr>
                <w:lang w:eastAsia="fr-FR"/>
              </w:rPr>
              <w:t>&gt; portDS.logAnnounceInterval</w:t>
            </w:r>
          </w:p>
        </w:tc>
        <w:tc>
          <w:tcPr>
            <w:tcW w:w="709" w:type="dxa"/>
            <w:shd w:val="clear" w:color="auto" w:fill="auto"/>
          </w:tcPr>
          <w:p w14:paraId="7CEFAA3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161841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515B2FC" w14:textId="77777777" w:rsidR="00857A0D" w:rsidRPr="00873B6C" w:rsidRDefault="00857A0D" w:rsidP="00857A0D">
            <w:pPr>
              <w:pStyle w:val="TAC"/>
              <w:rPr>
                <w:lang w:eastAsia="fr-FR"/>
              </w:rPr>
            </w:pPr>
            <w:r w:rsidRPr="00873B6C">
              <w:rPr>
                <w:lang w:eastAsia="fr-FR"/>
              </w:rPr>
              <w:t>RW</w:t>
            </w:r>
          </w:p>
        </w:tc>
        <w:tc>
          <w:tcPr>
            <w:tcW w:w="1338" w:type="dxa"/>
          </w:tcPr>
          <w:p w14:paraId="0C8049B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0988EA1" w14:textId="77777777" w:rsidR="00857A0D" w:rsidRPr="00873B6C" w:rsidRDefault="00857A0D" w:rsidP="00857A0D">
            <w:pPr>
              <w:pStyle w:val="TAC"/>
              <w:rPr>
                <w:lang w:eastAsia="fr-FR"/>
              </w:rPr>
            </w:pPr>
            <w:r w:rsidRPr="00873B6C">
              <w:rPr>
                <w:lang w:eastAsia="fr-FR"/>
              </w:rPr>
              <w:t>IEEE Std 1588 [126] clause 8.2.15.4.1</w:t>
            </w:r>
          </w:p>
        </w:tc>
      </w:tr>
      <w:tr w:rsidR="00857A0D" w:rsidRPr="00873B6C" w14:paraId="7142C91E" w14:textId="77777777" w:rsidTr="00C9561D">
        <w:trPr>
          <w:cantSplit/>
          <w:jc w:val="center"/>
        </w:trPr>
        <w:tc>
          <w:tcPr>
            <w:tcW w:w="3735" w:type="dxa"/>
            <w:shd w:val="clear" w:color="auto" w:fill="auto"/>
          </w:tcPr>
          <w:p w14:paraId="2D4AAED2" w14:textId="77777777" w:rsidR="00857A0D" w:rsidRPr="00873B6C" w:rsidRDefault="00857A0D" w:rsidP="00857A0D">
            <w:pPr>
              <w:pStyle w:val="TAL"/>
              <w:rPr>
                <w:lang w:eastAsia="fr-FR"/>
              </w:rPr>
            </w:pPr>
            <w:r w:rsidRPr="00873B6C">
              <w:rPr>
                <w:lang w:eastAsia="fr-FR"/>
              </w:rPr>
              <w:t>&gt; portDS.announceReceiptTimeout</w:t>
            </w:r>
          </w:p>
        </w:tc>
        <w:tc>
          <w:tcPr>
            <w:tcW w:w="709" w:type="dxa"/>
            <w:shd w:val="clear" w:color="auto" w:fill="auto"/>
          </w:tcPr>
          <w:p w14:paraId="25217FF6" w14:textId="77777777" w:rsidR="00857A0D" w:rsidRPr="00873B6C" w:rsidRDefault="00857A0D" w:rsidP="00857A0D">
            <w:pPr>
              <w:pStyle w:val="TAC"/>
              <w:rPr>
                <w:lang w:eastAsia="fr-FR"/>
              </w:rPr>
            </w:pPr>
          </w:p>
        </w:tc>
        <w:tc>
          <w:tcPr>
            <w:tcW w:w="708" w:type="dxa"/>
            <w:shd w:val="clear" w:color="auto" w:fill="auto"/>
          </w:tcPr>
          <w:p w14:paraId="1136D9C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04CB5B5" w14:textId="77777777" w:rsidR="00857A0D" w:rsidRPr="00873B6C" w:rsidRDefault="00857A0D" w:rsidP="00857A0D">
            <w:pPr>
              <w:pStyle w:val="TAC"/>
              <w:rPr>
                <w:lang w:eastAsia="fr-FR"/>
              </w:rPr>
            </w:pPr>
            <w:r w:rsidRPr="00873B6C">
              <w:rPr>
                <w:lang w:eastAsia="fr-FR"/>
              </w:rPr>
              <w:t>RW</w:t>
            </w:r>
          </w:p>
        </w:tc>
        <w:tc>
          <w:tcPr>
            <w:tcW w:w="1338" w:type="dxa"/>
          </w:tcPr>
          <w:p w14:paraId="19E38625"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89E056C" w14:textId="77777777" w:rsidR="00857A0D" w:rsidRPr="00873B6C" w:rsidRDefault="00857A0D" w:rsidP="00857A0D">
            <w:pPr>
              <w:pStyle w:val="TAC"/>
              <w:rPr>
                <w:lang w:eastAsia="fr-FR"/>
              </w:rPr>
            </w:pPr>
            <w:r w:rsidRPr="00873B6C">
              <w:rPr>
                <w:lang w:eastAsia="fr-FR"/>
              </w:rPr>
              <w:t>IEEE Std 1588 [126] clause 8.2.15.4.2</w:t>
            </w:r>
          </w:p>
        </w:tc>
      </w:tr>
      <w:tr w:rsidR="00857A0D" w:rsidRPr="00873B6C" w14:paraId="790F36F2" w14:textId="77777777" w:rsidTr="00C9561D">
        <w:trPr>
          <w:cantSplit/>
          <w:jc w:val="center"/>
        </w:trPr>
        <w:tc>
          <w:tcPr>
            <w:tcW w:w="3735" w:type="dxa"/>
            <w:shd w:val="clear" w:color="auto" w:fill="auto"/>
          </w:tcPr>
          <w:p w14:paraId="2A2A81DB" w14:textId="77777777" w:rsidR="00857A0D" w:rsidRPr="00873B6C" w:rsidRDefault="00857A0D" w:rsidP="00857A0D">
            <w:pPr>
              <w:pStyle w:val="TAL"/>
              <w:rPr>
                <w:lang w:eastAsia="fr-FR"/>
              </w:rPr>
            </w:pPr>
            <w:r w:rsidRPr="00873B6C">
              <w:rPr>
                <w:lang w:eastAsia="fr-FR"/>
              </w:rPr>
              <w:t>&gt; portDS.logSyncInterval</w:t>
            </w:r>
          </w:p>
        </w:tc>
        <w:tc>
          <w:tcPr>
            <w:tcW w:w="709" w:type="dxa"/>
            <w:shd w:val="clear" w:color="auto" w:fill="auto"/>
          </w:tcPr>
          <w:p w14:paraId="3BC46F1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9E5EE6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4F923EB" w14:textId="77777777" w:rsidR="00857A0D" w:rsidRPr="00873B6C" w:rsidRDefault="00857A0D" w:rsidP="00857A0D">
            <w:pPr>
              <w:pStyle w:val="TAC"/>
              <w:rPr>
                <w:lang w:eastAsia="fr-FR"/>
              </w:rPr>
            </w:pPr>
            <w:r w:rsidRPr="00873B6C">
              <w:rPr>
                <w:lang w:eastAsia="fr-FR"/>
              </w:rPr>
              <w:t>RW</w:t>
            </w:r>
          </w:p>
        </w:tc>
        <w:tc>
          <w:tcPr>
            <w:tcW w:w="1338" w:type="dxa"/>
          </w:tcPr>
          <w:p w14:paraId="64E3B121"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E0F3920" w14:textId="77777777" w:rsidR="00857A0D" w:rsidRPr="00873B6C" w:rsidRDefault="00857A0D" w:rsidP="00857A0D">
            <w:pPr>
              <w:pStyle w:val="TAC"/>
              <w:rPr>
                <w:lang w:eastAsia="fr-FR"/>
              </w:rPr>
            </w:pPr>
            <w:r w:rsidRPr="00873B6C">
              <w:rPr>
                <w:lang w:eastAsia="fr-FR"/>
              </w:rPr>
              <w:t>IEEE Std 1588 [126] clause 8.2.15.4.3</w:t>
            </w:r>
          </w:p>
        </w:tc>
      </w:tr>
      <w:tr w:rsidR="00857A0D" w:rsidRPr="00873B6C" w14:paraId="5497249E" w14:textId="77777777" w:rsidTr="00C9561D">
        <w:trPr>
          <w:cantSplit/>
          <w:jc w:val="center"/>
        </w:trPr>
        <w:tc>
          <w:tcPr>
            <w:tcW w:w="3735" w:type="dxa"/>
            <w:shd w:val="clear" w:color="auto" w:fill="auto"/>
          </w:tcPr>
          <w:p w14:paraId="57BBD634" w14:textId="77777777" w:rsidR="00857A0D" w:rsidRPr="00873B6C" w:rsidRDefault="00857A0D" w:rsidP="00857A0D">
            <w:pPr>
              <w:pStyle w:val="TAL"/>
              <w:rPr>
                <w:lang w:eastAsia="fr-FR"/>
              </w:rPr>
            </w:pPr>
            <w:r w:rsidRPr="00873B6C">
              <w:rPr>
                <w:lang w:eastAsia="fr-FR"/>
              </w:rPr>
              <w:t>&gt; portDS.delayMechanism</w:t>
            </w:r>
          </w:p>
        </w:tc>
        <w:tc>
          <w:tcPr>
            <w:tcW w:w="709" w:type="dxa"/>
            <w:shd w:val="clear" w:color="auto" w:fill="auto"/>
          </w:tcPr>
          <w:p w14:paraId="5C155F2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AEF77D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FD445F3" w14:textId="77777777" w:rsidR="00857A0D" w:rsidRPr="00873B6C" w:rsidRDefault="00857A0D" w:rsidP="00857A0D">
            <w:pPr>
              <w:pStyle w:val="TAC"/>
              <w:rPr>
                <w:lang w:eastAsia="fr-FR"/>
              </w:rPr>
            </w:pPr>
            <w:r w:rsidRPr="00873B6C">
              <w:rPr>
                <w:lang w:eastAsia="fr-FR"/>
              </w:rPr>
              <w:t>RW</w:t>
            </w:r>
          </w:p>
        </w:tc>
        <w:tc>
          <w:tcPr>
            <w:tcW w:w="1338" w:type="dxa"/>
          </w:tcPr>
          <w:p w14:paraId="5D8C3785"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73AC4A7" w14:textId="77777777" w:rsidR="00857A0D" w:rsidRPr="00873B6C" w:rsidRDefault="00857A0D" w:rsidP="00857A0D">
            <w:pPr>
              <w:pStyle w:val="TAC"/>
              <w:rPr>
                <w:lang w:eastAsia="fr-FR"/>
              </w:rPr>
            </w:pPr>
            <w:r w:rsidRPr="00873B6C">
              <w:rPr>
                <w:lang w:eastAsia="fr-FR"/>
              </w:rPr>
              <w:t>IEEE Std 1588 [126] clause 8.2.15.4.4</w:t>
            </w:r>
          </w:p>
        </w:tc>
      </w:tr>
      <w:tr w:rsidR="00857A0D" w:rsidRPr="00873B6C" w14:paraId="06D3348A" w14:textId="77777777" w:rsidTr="00C9561D">
        <w:trPr>
          <w:cantSplit/>
          <w:jc w:val="center"/>
        </w:trPr>
        <w:tc>
          <w:tcPr>
            <w:tcW w:w="3735" w:type="dxa"/>
            <w:shd w:val="clear" w:color="auto" w:fill="auto"/>
          </w:tcPr>
          <w:p w14:paraId="45649518" w14:textId="77777777" w:rsidR="00857A0D" w:rsidRPr="00873B6C" w:rsidRDefault="00857A0D" w:rsidP="00857A0D">
            <w:pPr>
              <w:pStyle w:val="TAL"/>
              <w:rPr>
                <w:lang w:eastAsia="fr-FR"/>
              </w:rPr>
            </w:pPr>
            <w:r w:rsidRPr="00873B6C">
              <w:rPr>
                <w:lang w:eastAsia="fr-FR"/>
              </w:rPr>
              <w:t>&gt; portDS.logMinPdelayReqInterval</w:t>
            </w:r>
          </w:p>
        </w:tc>
        <w:tc>
          <w:tcPr>
            <w:tcW w:w="709" w:type="dxa"/>
            <w:shd w:val="clear" w:color="auto" w:fill="auto"/>
          </w:tcPr>
          <w:p w14:paraId="3EB88F70"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9638DB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B413B2B" w14:textId="77777777" w:rsidR="00857A0D" w:rsidRPr="00873B6C" w:rsidRDefault="00857A0D" w:rsidP="00857A0D">
            <w:pPr>
              <w:pStyle w:val="TAC"/>
              <w:rPr>
                <w:lang w:eastAsia="fr-FR"/>
              </w:rPr>
            </w:pPr>
            <w:r w:rsidRPr="00873B6C">
              <w:rPr>
                <w:lang w:eastAsia="fr-FR"/>
              </w:rPr>
              <w:t>RW</w:t>
            </w:r>
          </w:p>
        </w:tc>
        <w:tc>
          <w:tcPr>
            <w:tcW w:w="1338" w:type="dxa"/>
          </w:tcPr>
          <w:p w14:paraId="60879A3D"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D350A26" w14:textId="77777777" w:rsidR="00857A0D" w:rsidRPr="00873B6C" w:rsidRDefault="00857A0D" w:rsidP="00857A0D">
            <w:pPr>
              <w:pStyle w:val="TAC"/>
              <w:rPr>
                <w:lang w:eastAsia="fr-FR"/>
              </w:rPr>
            </w:pPr>
            <w:r w:rsidRPr="00873B6C">
              <w:rPr>
                <w:lang w:eastAsia="fr-FR"/>
              </w:rPr>
              <w:t>IEEE Std 1588 [126] clause 8.2.15.4.5</w:t>
            </w:r>
          </w:p>
        </w:tc>
      </w:tr>
      <w:tr w:rsidR="00857A0D" w:rsidRPr="00873B6C" w14:paraId="00D33990" w14:textId="77777777" w:rsidTr="00C9561D">
        <w:trPr>
          <w:cantSplit/>
          <w:jc w:val="center"/>
        </w:trPr>
        <w:tc>
          <w:tcPr>
            <w:tcW w:w="3735" w:type="dxa"/>
            <w:shd w:val="clear" w:color="auto" w:fill="auto"/>
          </w:tcPr>
          <w:p w14:paraId="6F9358B6" w14:textId="77777777" w:rsidR="00857A0D" w:rsidRPr="00873B6C" w:rsidRDefault="00857A0D" w:rsidP="00857A0D">
            <w:pPr>
              <w:pStyle w:val="TAL"/>
              <w:rPr>
                <w:lang w:eastAsia="fr-FR"/>
              </w:rPr>
            </w:pPr>
            <w:r w:rsidRPr="00873B6C">
              <w:rPr>
                <w:lang w:eastAsia="fr-FR"/>
              </w:rPr>
              <w:t>&gt; portDS.versionNumber</w:t>
            </w:r>
          </w:p>
        </w:tc>
        <w:tc>
          <w:tcPr>
            <w:tcW w:w="709" w:type="dxa"/>
            <w:shd w:val="clear" w:color="auto" w:fill="auto"/>
          </w:tcPr>
          <w:p w14:paraId="02BF425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E61DA8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B0A3B3B" w14:textId="77777777" w:rsidR="00857A0D" w:rsidRPr="00873B6C" w:rsidRDefault="00857A0D" w:rsidP="00857A0D">
            <w:pPr>
              <w:pStyle w:val="TAC"/>
              <w:rPr>
                <w:lang w:eastAsia="fr-FR"/>
              </w:rPr>
            </w:pPr>
            <w:r w:rsidRPr="00873B6C">
              <w:rPr>
                <w:lang w:eastAsia="fr-FR"/>
              </w:rPr>
              <w:t>RW</w:t>
            </w:r>
          </w:p>
        </w:tc>
        <w:tc>
          <w:tcPr>
            <w:tcW w:w="1338" w:type="dxa"/>
          </w:tcPr>
          <w:p w14:paraId="228EEF1F"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07843F0" w14:textId="77777777" w:rsidR="00857A0D" w:rsidRPr="00873B6C" w:rsidRDefault="00857A0D" w:rsidP="00857A0D">
            <w:pPr>
              <w:pStyle w:val="TAC"/>
              <w:rPr>
                <w:lang w:eastAsia="fr-FR"/>
              </w:rPr>
            </w:pPr>
            <w:r w:rsidRPr="00873B6C">
              <w:rPr>
                <w:lang w:eastAsia="fr-FR"/>
              </w:rPr>
              <w:t>IEEE Std 1588 [126] clause 8.2.15.4.6</w:t>
            </w:r>
          </w:p>
        </w:tc>
      </w:tr>
      <w:tr w:rsidR="00857A0D" w:rsidRPr="00873B6C" w14:paraId="49944650" w14:textId="77777777" w:rsidTr="00C9561D">
        <w:trPr>
          <w:cantSplit/>
          <w:jc w:val="center"/>
        </w:trPr>
        <w:tc>
          <w:tcPr>
            <w:tcW w:w="3735" w:type="dxa"/>
            <w:shd w:val="clear" w:color="auto" w:fill="auto"/>
          </w:tcPr>
          <w:p w14:paraId="425407F4" w14:textId="77777777" w:rsidR="00857A0D" w:rsidRPr="00873B6C" w:rsidRDefault="00857A0D" w:rsidP="00857A0D">
            <w:pPr>
              <w:pStyle w:val="TAL"/>
              <w:rPr>
                <w:lang w:eastAsia="fr-FR"/>
              </w:rPr>
            </w:pPr>
            <w:r w:rsidRPr="00873B6C">
              <w:rPr>
                <w:lang w:eastAsia="fr-FR"/>
              </w:rPr>
              <w:t>&gt; portDS.minorVersionNumber</w:t>
            </w:r>
          </w:p>
        </w:tc>
        <w:tc>
          <w:tcPr>
            <w:tcW w:w="709" w:type="dxa"/>
            <w:shd w:val="clear" w:color="auto" w:fill="auto"/>
          </w:tcPr>
          <w:p w14:paraId="2CC1EFC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718D6A6"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EEF75F8" w14:textId="77777777" w:rsidR="00857A0D" w:rsidRPr="00873B6C" w:rsidRDefault="00857A0D" w:rsidP="00857A0D">
            <w:pPr>
              <w:pStyle w:val="TAC"/>
              <w:rPr>
                <w:lang w:eastAsia="fr-FR"/>
              </w:rPr>
            </w:pPr>
            <w:r w:rsidRPr="00873B6C">
              <w:rPr>
                <w:lang w:eastAsia="fr-FR"/>
              </w:rPr>
              <w:t>RW</w:t>
            </w:r>
          </w:p>
        </w:tc>
        <w:tc>
          <w:tcPr>
            <w:tcW w:w="1338" w:type="dxa"/>
          </w:tcPr>
          <w:p w14:paraId="438D98DD"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A2E342C" w14:textId="77777777" w:rsidR="00857A0D" w:rsidRPr="00873B6C" w:rsidRDefault="00857A0D" w:rsidP="00857A0D">
            <w:pPr>
              <w:pStyle w:val="TAC"/>
              <w:rPr>
                <w:lang w:eastAsia="fr-FR"/>
              </w:rPr>
            </w:pPr>
            <w:r w:rsidRPr="00873B6C">
              <w:rPr>
                <w:lang w:eastAsia="fr-FR"/>
              </w:rPr>
              <w:t>IEEE Std 1588 [126] clause 8.2.15.4.7</w:t>
            </w:r>
          </w:p>
        </w:tc>
      </w:tr>
      <w:tr w:rsidR="00857A0D" w:rsidRPr="00873B6C" w14:paraId="2C6D6181" w14:textId="77777777" w:rsidTr="00C9561D">
        <w:trPr>
          <w:cantSplit/>
          <w:jc w:val="center"/>
        </w:trPr>
        <w:tc>
          <w:tcPr>
            <w:tcW w:w="3735" w:type="dxa"/>
            <w:shd w:val="clear" w:color="auto" w:fill="auto"/>
          </w:tcPr>
          <w:p w14:paraId="585A4C18" w14:textId="77777777" w:rsidR="00857A0D" w:rsidRPr="00873B6C" w:rsidRDefault="00857A0D" w:rsidP="00857A0D">
            <w:pPr>
              <w:pStyle w:val="TAL"/>
              <w:rPr>
                <w:lang w:eastAsia="fr-FR"/>
              </w:rPr>
            </w:pPr>
            <w:r w:rsidRPr="00873B6C">
              <w:rPr>
                <w:lang w:eastAsia="fr-FR"/>
              </w:rPr>
              <w:t>&gt; portDS.delayAsymmetry</w:t>
            </w:r>
          </w:p>
        </w:tc>
        <w:tc>
          <w:tcPr>
            <w:tcW w:w="709" w:type="dxa"/>
            <w:shd w:val="clear" w:color="auto" w:fill="auto"/>
          </w:tcPr>
          <w:p w14:paraId="1B26172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F53E6C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0C81F93" w14:textId="77777777" w:rsidR="00857A0D" w:rsidRPr="00873B6C" w:rsidRDefault="00857A0D" w:rsidP="00857A0D">
            <w:pPr>
              <w:pStyle w:val="TAC"/>
              <w:rPr>
                <w:lang w:eastAsia="fr-FR"/>
              </w:rPr>
            </w:pPr>
            <w:r w:rsidRPr="00873B6C">
              <w:rPr>
                <w:lang w:eastAsia="fr-FR"/>
              </w:rPr>
              <w:t>RW</w:t>
            </w:r>
          </w:p>
        </w:tc>
        <w:tc>
          <w:tcPr>
            <w:tcW w:w="1338" w:type="dxa"/>
          </w:tcPr>
          <w:p w14:paraId="487043B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5E279F5" w14:textId="77777777" w:rsidR="00857A0D" w:rsidRPr="00873B6C" w:rsidRDefault="00857A0D" w:rsidP="00857A0D">
            <w:pPr>
              <w:pStyle w:val="TAC"/>
              <w:rPr>
                <w:lang w:eastAsia="fr-FR"/>
              </w:rPr>
            </w:pPr>
            <w:r w:rsidRPr="00873B6C">
              <w:rPr>
                <w:lang w:eastAsia="fr-FR"/>
              </w:rPr>
              <w:t>IEEE Std 1588 [126] clause 8.2.15.4.8</w:t>
            </w:r>
          </w:p>
        </w:tc>
      </w:tr>
      <w:tr w:rsidR="00857A0D" w:rsidRPr="00873B6C" w14:paraId="77140833" w14:textId="77777777" w:rsidTr="00C9561D">
        <w:trPr>
          <w:cantSplit/>
          <w:jc w:val="center"/>
        </w:trPr>
        <w:tc>
          <w:tcPr>
            <w:tcW w:w="3735" w:type="dxa"/>
            <w:shd w:val="clear" w:color="auto" w:fill="auto"/>
          </w:tcPr>
          <w:p w14:paraId="7B425FDC" w14:textId="77777777" w:rsidR="00857A0D" w:rsidRPr="00873B6C" w:rsidRDefault="00857A0D" w:rsidP="00857A0D">
            <w:pPr>
              <w:pStyle w:val="TAL"/>
              <w:rPr>
                <w:lang w:eastAsia="fr-FR"/>
              </w:rPr>
            </w:pPr>
            <w:r w:rsidRPr="00873B6C">
              <w:rPr>
                <w:lang w:eastAsia="fr-FR"/>
              </w:rPr>
              <w:t>&gt; portDS.portEnable</w:t>
            </w:r>
          </w:p>
        </w:tc>
        <w:tc>
          <w:tcPr>
            <w:tcW w:w="709" w:type="dxa"/>
            <w:shd w:val="clear" w:color="auto" w:fill="auto"/>
          </w:tcPr>
          <w:p w14:paraId="3C647E7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655A679"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EE07614" w14:textId="77777777" w:rsidR="00857A0D" w:rsidRPr="00873B6C" w:rsidRDefault="00857A0D" w:rsidP="00857A0D">
            <w:pPr>
              <w:pStyle w:val="TAC"/>
              <w:rPr>
                <w:lang w:eastAsia="fr-FR"/>
              </w:rPr>
            </w:pPr>
            <w:r w:rsidRPr="00873B6C">
              <w:rPr>
                <w:lang w:eastAsia="fr-FR"/>
              </w:rPr>
              <w:t>RW</w:t>
            </w:r>
          </w:p>
        </w:tc>
        <w:tc>
          <w:tcPr>
            <w:tcW w:w="1338" w:type="dxa"/>
          </w:tcPr>
          <w:p w14:paraId="141EBC81"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A324F2A" w14:textId="77777777" w:rsidR="00857A0D" w:rsidRPr="00873B6C" w:rsidRDefault="00857A0D" w:rsidP="00857A0D">
            <w:pPr>
              <w:pStyle w:val="TAC"/>
              <w:rPr>
                <w:lang w:eastAsia="fr-FR"/>
              </w:rPr>
            </w:pPr>
            <w:r w:rsidRPr="00873B6C">
              <w:rPr>
                <w:lang w:eastAsia="fr-FR"/>
              </w:rPr>
              <w:t>IEEE Std 1588 [126] clause 8.2.15.5.1</w:t>
            </w:r>
          </w:p>
        </w:tc>
      </w:tr>
      <w:tr w:rsidR="00857A0D" w:rsidRPr="00873B6C" w14:paraId="4C8B4A27" w14:textId="77777777" w:rsidTr="00C9561D">
        <w:trPr>
          <w:cantSplit/>
          <w:jc w:val="center"/>
        </w:trPr>
        <w:tc>
          <w:tcPr>
            <w:tcW w:w="3735" w:type="dxa"/>
            <w:shd w:val="clear" w:color="auto" w:fill="auto"/>
          </w:tcPr>
          <w:p w14:paraId="568B75CD" w14:textId="77777777" w:rsidR="00857A0D" w:rsidRPr="00873B6C" w:rsidRDefault="00857A0D" w:rsidP="00857A0D">
            <w:pPr>
              <w:pStyle w:val="TAL"/>
              <w:rPr>
                <w:lang w:eastAsia="fr-FR"/>
              </w:rPr>
            </w:pPr>
            <w:r w:rsidRPr="00873B6C">
              <w:rPr>
                <w:lang w:eastAsia="fr-FR"/>
              </w:rPr>
              <w:t>&gt; timePropertiesDS.currentUtcOffset</w:t>
            </w:r>
          </w:p>
        </w:tc>
        <w:tc>
          <w:tcPr>
            <w:tcW w:w="709" w:type="dxa"/>
            <w:shd w:val="clear" w:color="auto" w:fill="auto"/>
          </w:tcPr>
          <w:p w14:paraId="3F331B4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6A96807" w14:textId="77777777" w:rsidR="00857A0D" w:rsidRPr="00873B6C" w:rsidRDefault="00857A0D" w:rsidP="00857A0D">
            <w:pPr>
              <w:pStyle w:val="TAC"/>
              <w:rPr>
                <w:lang w:eastAsia="fr-FR"/>
              </w:rPr>
            </w:pPr>
          </w:p>
        </w:tc>
        <w:tc>
          <w:tcPr>
            <w:tcW w:w="1418" w:type="dxa"/>
            <w:shd w:val="clear" w:color="auto" w:fill="auto"/>
          </w:tcPr>
          <w:p w14:paraId="4C089F19" w14:textId="77777777" w:rsidR="00857A0D" w:rsidRPr="00873B6C" w:rsidRDefault="00857A0D" w:rsidP="00857A0D">
            <w:pPr>
              <w:pStyle w:val="TAC"/>
              <w:rPr>
                <w:lang w:eastAsia="fr-FR"/>
              </w:rPr>
            </w:pPr>
            <w:r w:rsidRPr="00873B6C">
              <w:rPr>
                <w:lang w:eastAsia="fr-FR"/>
              </w:rPr>
              <w:t>RW</w:t>
            </w:r>
          </w:p>
        </w:tc>
        <w:tc>
          <w:tcPr>
            <w:tcW w:w="1338" w:type="dxa"/>
          </w:tcPr>
          <w:p w14:paraId="01CC51A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6657020" w14:textId="77777777" w:rsidR="00857A0D" w:rsidRPr="00873B6C" w:rsidRDefault="00857A0D" w:rsidP="00857A0D">
            <w:pPr>
              <w:pStyle w:val="TAC"/>
              <w:rPr>
                <w:lang w:eastAsia="fr-FR"/>
              </w:rPr>
            </w:pPr>
            <w:r w:rsidRPr="00873B6C">
              <w:rPr>
                <w:lang w:eastAsia="fr-FR"/>
              </w:rPr>
              <w:t>IEEE Std 1588 [126] clause 8.2.4.2</w:t>
            </w:r>
          </w:p>
        </w:tc>
      </w:tr>
      <w:tr w:rsidR="00857A0D" w:rsidRPr="00873B6C" w14:paraId="40992569" w14:textId="77777777" w:rsidTr="00C9561D">
        <w:trPr>
          <w:cantSplit/>
          <w:jc w:val="center"/>
        </w:trPr>
        <w:tc>
          <w:tcPr>
            <w:tcW w:w="3735" w:type="dxa"/>
            <w:shd w:val="clear" w:color="auto" w:fill="auto"/>
          </w:tcPr>
          <w:p w14:paraId="16A89270" w14:textId="77777777" w:rsidR="00857A0D" w:rsidRPr="00873B6C" w:rsidRDefault="00857A0D" w:rsidP="00857A0D">
            <w:pPr>
              <w:pStyle w:val="TAL"/>
              <w:rPr>
                <w:lang w:eastAsia="fr-FR"/>
              </w:rPr>
            </w:pPr>
            <w:r w:rsidRPr="00873B6C">
              <w:rPr>
                <w:lang w:eastAsia="fr-FR"/>
              </w:rPr>
              <w:t>&gt; timePropertiesDS.timeSource</w:t>
            </w:r>
          </w:p>
        </w:tc>
        <w:tc>
          <w:tcPr>
            <w:tcW w:w="709" w:type="dxa"/>
            <w:shd w:val="clear" w:color="auto" w:fill="auto"/>
          </w:tcPr>
          <w:p w14:paraId="5C06851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12D8CBF" w14:textId="77777777" w:rsidR="00857A0D" w:rsidRPr="00873B6C" w:rsidRDefault="00857A0D" w:rsidP="00857A0D">
            <w:pPr>
              <w:pStyle w:val="TAC"/>
              <w:rPr>
                <w:lang w:eastAsia="fr-FR"/>
              </w:rPr>
            </w:pPr>
          </w:p>
        </w:tc>
        <w:tc>
          <w:tcPr>
            <w:tcW w:w="1418" w:type="dxa"/>
            <w:shd w:val="clear" w:color="auto" w:fill="auto"/>
          </w:tcPr>
          <w:p w14:paraId="4B7D1B61" w14:textId="77777777" w:rsidR="00857A0D" w:rsidRPr="00873B6C" w:rsidRDefault="00857A0D" w:rsidP="00857A0D">
            <w:pPr>
              <w:pStyle w:val="TAC"/>
              <w:rPr>
                <w:lang w:eastAsia="fr-FR"/>
              </w:rPr>
            </w:pPr>
            <w:r w:rsidRPr="00873B6C">
              <w:rPr>
                <w:lang w:eastAsia="fr-FR"/>
              </w:rPr>
              <w:t>RW</w:t>
            </w:r>
          </w:p>
        </w:tc>
        <w:tc>
          <w:tcPr>
            <w:tcW w:w="1338" w:type="dxa"/>
          </w:tcPr>
          <w:p w14:paraId="1990479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F170149" w14:textId="77777777" w:rsidR="00857A0D" w:rsidRPr="00873B6C" w:rsidRDefault="00857A0D" w:rsidP="00857A0D">
            <w:pPr>
              <w:pStyle w:val="TAC"/>
              <w:rPr>
                <w:lang w:eastAsia="fr-FR"/>
              </w:rPr>
            </w:pPr>
            <w:r w:rsidRPr="00873B6C">
              <w:rPr>
                <w:lang w:eastAsia="fr-FR"/>
              </w:rPr>
              <w:t>IEEE Std 1588 [126] clause 8.2.4.9</w:t>
            </w:r>
          </w:p>
        </w:tc>
      </w:tr>
      <w:tr w:rsidR="00857A0D" w:rsidRPr="00873B6C" w14:paraId="340E3BF4" w14:textId="77777777" w:rsidTr="00C9561D">
        <w:trPr>
          <w:cantSplit/>
          <w:jc w:val="center"/>
        </w:trPr>
        <w:tc>
          <w:tcPr>
            <w:tcW w:w="3735" w:type="dxa"/>
            <w:shd w:val="clear" w:color="auto" w:fill="auto"/>
          </w:tcPr>
          <w:p w14:paraId="4E3D0975" w14:textId="77777777" w:rsidR="00857A0D" w:rsidRPr="00873B6C" w:rsidRDefault="00857A0D" w:rsidP="00857A0D">
            <w:pPr>
              <w:pStyle w:val="TAL"/>
              <w:rPr>
                <w:lang w:eastAsia="fr-FR"/>
              </w:rPr>
            </w:pPr>
            <w:r w:rsidRPr="00873B6C">
              <w:rPr>
                <w:lang w:eastAsia="fr-FR"/>
              </w:rPr>
              <w:t>&gt; externalPortConfigurationPortDS.desiredState</w:t>
            </w:r>
          </w:p>
        </w:tc>
        <w:tc>
          <w:tcPr>
            <w:tcW w:w="709" w:type="dxa"/>
            <w:shd w:val="clear" w:color="auto" w:fill="auto"/>
          </w:tcPr>
          <w:p w14:paraId="16A09EF4" w14:textId="77777777" w:rsidR="00857A0D" w:rsidRPr="00873B6C" w:rsidRDefault="00857A0D" w:rsidP="00857A0D">
            <w:pPr>
              <w:pStyle w:val="TAC"/>
              <w:rPr>
                <w:lang w:eastAsia="fr-FR"/>
              </w:rPr>
            </w:pPr>
          </w:p>
        </w:tc>
        <w:tc>
          <w:tcPr>
            <w:tcW w:w="708" w:type="dxa"/>
            <w:shd w:val="clear" w:color="auto" w:fill="auto"/>
          </w:tcPr>
          <w:p w14:paraId="2AFEBB20" w14:textId="77777777" w:rsidR="00857A0D" w:rsidRPr="00873B6C" w:rsidRDefault="00857A0D" w:rsidP="00857A0D">
            <w:pPr>
              <w:pStyle w:val="TAC"/>
              <w:rPr>
                <w:lang w:eastAsia="fr-FR"/>
              </w:rPr>
            </w:pPr>
          </w:p>
        </w:tc>
        <w:tc>
          <w:tcPr>
            <w:tcW w:w="1418" w:type="dxa"/>
            <w:shd w:val="clear" w:color="auto" w:fill="auto"/>
          </w:tcPr>
          <w:p w14:paraId="095D9538" w14:textId="77777777" w:rsidR="00857A0D" w:rsidRPr="00873B6C" w:rsidRDefault="00857A0D" w:rsidP="00857A0D">
            <w:pPr>
              <w:pStyle w:val="TAC"/>
              <w:rPr>
                <w:lang w:eastAsia="fr-FR"/>
              </w:rPr>
            </w:pPr>
            <w:r w:rsidRPr="00873B6C">
              <w:rPr>
                <w:lang w:eastAsia="fr-FR"/>
              </w:rPr>
              <w:t>RW</w:t>
            </w:r>
          </w:p>
        </w:tc>
        <w:tc>
          <w:tcPr>
            <w:tcW w:w="1338" w:type="dxa"/>
          </w:tcPr>
          <w:p w14:paraId="6632299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D731C37" w14:textId="77777777" w:rsidR="00857A0D" w:rsidRPr="00873B6C" w:rsidRDefault="00857A0D" w:rsidP="00857A0D">
            <w:pPr>
              <w:pStyle w:val="TAC"/>
              <w:rPr>
                <w:lang w:eastAsia="fr-FR"/>
              </w:rPr>
            </w:pPr>
            <w:r w:rsidRPr="00873B6C">
              <w:rPr>
                <w:lang w:eastAsia="fr-FR"/>
              </w:rPr>
              <w:t>IEEE Std 1588 [126] clause 15.5.3.7.15.1</w:t>
            </w:r>
          </w:p>
        </w:tc>
      </w:tr>
      <w:tr w:rsidR="00857A0D" w:rsidRPr="00873B6C" w14:paraId="479B9EB5" w14:textId="77777777" w:rsidTr="00C9561D">
        <w:trPr>
          <w:cantSplit/>
          <w:jc w:val="center"/>
        </w:trPr>
        <w:tc>
          <w:tcPr>
            <w:tcW w:w="3735" w:type="dxa"/>
            <w:shd w:val="clear" w:color="auto" w:fill="auto"/>
          </w:tcPr>
          <w:p w14:paraId="211ECE8B" w14:textId="77777777" w:rsidR="00857A0D" w:rsidRPr="00873B6C" w:rsidRDefault="00857A0D" w:rsidP="00857A0D">
            <w:pPr>
              <w:pStyle w:val="TAL"/>
              <w:rPr>
                <w:b/>
                <w:bCs/>
                <w:lang w:eastAsia="fr-FR"/>
              </w:rPr>
            </w:pPr>
            <w:r w:rsidRPr="00873B6C">
              <w:rPr>
                <w:b/>
                <w:bCs/>
                <w:lang w:eastAsia="fr-FR"/>
              </w:rPr>
              <w:t>IEEE Std 802.1AS [104] data sets (NOTE 22)</w:t>
            </w:r>
          </w:p>
        </w:tc>
        <w:tc>
          <w:tcPr>
            <w:tcW w:w="709" w:type="dxa"/>
            <w:shd w:val="clear" w:color="auto" w:fill="auto"/>
          </w:tcPr>
          <w:p w14:paraId="35E6683D" w14:textId="77777777" w:rsidR="00857A0D" w:rsidRPr="00873B6C" w:rsidRDefault="00857A0D" w:rsidP="00857A0D">
            <w:pPr>
              <w:pStyle w:val="TAC"/>
              <w:rPr>
                <w:lang w:eastAsia="fr-FR"/>
              </w:rPr>
            </w:pPr>
          </w:p>
        </w:tc>
        <w:tc>
          <w:tcPr>
            <w:tcW w:w="708" w:type="dxa"/>
            <w:shd w:val="clear" w:color="auto" w:fill="auto"/>
          </w:tcPr>
          <w:p w14:paraId="6339B969" w14:textId="77777777" w:rsidR="00857A0D" w:rsidRPr="00873B6C" w:rsidRDefault="00857A0D" w:rsidP="00857A0D">
            <w:pPr>
              <w:pStyle w:val="TAC"/>
              <w:rPr>
                <w:lang w:eastAsia="fr-FR"/>
              </w:rPr>
            </w:pPr>
          </w:p>
        </w:tc>
        <w:tc>
          <w:tcPr>
            <w:tcW w:w="1418" w:type="dxa"/>
            <w:shd w:val="clear" w:color="auto" w:fill="auto"/>
          </w:tcPr>
          <w:p w14:paraId="388AD566" w14:textId="77777777" w:rsidR="00857A0D" w:rsidRPr="00873B6C" w:rsidRDefault="00857A0D" w:rsidP="00857A0D">
            <w:pPr>
              <w:pStyle w:val="TAC"/>
              <w:rPr>
                <w:lang w:eastAsia="fr-FR"/>
              </w:rPr>
            </w:pPr>
          </w:p>
        </w:tc>
        <w:tc>
          <w:tcPr>
            <w:tcW w:w="1338" w:type="dxa"/>
          </w:tcPr>
          <w:p w14:paraId="4129853E" w14:textId="77777777" w:rsidR="00857A0D" w:rsidRPr="00873B6C" w:rsidRDefault="00857A0D" w:rsidP="00857A0D">
            <w:pPr>
              <w:pStyle w:val="TAC"/>
              <w:rPr>
                <w:lang w:eastAsia="fr-FR"/>
              </w:rPr>
            </w:pPr>
          </w:p>
        </w:tc>
        <w:tc>
          <w:tcPr>
            <w:tcW w:w="2126" w:type="dxa"/>
            <w:shd w:val="clear" w:color="auto" w:fill="auto"/>
          </w:tcPr>
          <w:p w14:paraId="70E97788" w14:textId="77777777" w:rsidR="00857A0D" w:rsidRPr="00873B6C" w:rsidRDefault="00857A0D" w:rsidP="00857A0D">
            <w:pPr>
              <w:pStyle w:val="TAC"/>
              <w:rPr>
                <w:lang w:eastAsia="fr-FR"/>
              </w:rPr>
            </w:pPr>
          </w:p>
        </w:tc>
      </w:tr>
      <w:tr w:rsidR="00857A0D" w:rsidRPr="00873B6C" w14:paraId="39D6B426" w14:textId="77777777" w:rsidTr="00C9561D">
        <w:trPr>
          <w:cantSplit/>
          <w:jc w:val="center"/>
        </w:trPr>
        <w:tc>
          <w:tcPr>
            <w:tcW w:w="3735" w:type="dxa"/>
            <w:shd w:val="clear" w:color="auto" w:fill="auto"/>
          </w:tcPr>
          <w:p w14:paraId="38245ACC" w14:textId="77777777" w:rsidR="00857A0D" w:rsidRPr="00873B6C" w:rsidRDefault="00857A0D" w:rsidP="00857A0D">
            <w:pPr>
              <w:pStyle w:val="TAL"/>
              <w:rPr>
                <w:lang w:eastAsia="fr-FR"/>
              </w:rPr>
            </w:pPr>
            <w:r w:rsidRPr="00873B6C">
              <w:rPr>
                <w:lang w:eastAsia="fr-FR"/>
              </w:rPr>
              <w:t>&gt; defaultDS.clockIdentity</w:t>
            </w:r>
          </w:p>
        </w:tc>
        <w:tc>
          <w:tcPr>
            <w:tcW w:w="709" w:type="dxa"/>
            <w:shd w:val="clear" w:color="auto" w:fill="auto"/>
          </w:tcPr>
          <w:p w14:paraId="65BC242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DC45A36" w14:textId="77777777" w:rsidR="00857A0D" w:rsidRPr="00873B6C" w:rsidRDefault="00857A0D" w:rsidP="00857A0D">
            <w:pPr>
              <w:pStyle w:val="TAC"/>
              <w:rPr>
                <w:lang w:eastAsia="fr-FR"/>
              </w:rPr>
            </w:pPr>
          </w:p>
        </w:tc>
        <w:tc>
          <w:tcPr>
            <w:tcW w:w="1418" w:type="dxa"/>
            <w:shd w:val="clear" w:color="auto" w:fill="auto"/>
          </w:tcPr>
          <w:p w14:paraId="70C5CC97" w14:textId="77777777" w:rsidR="00857A0D" w:rsidRPr="00873B6C" w:rsidRDefault="00857A0D" w:rsidP="00857A0D">
            <w:pPr>
              <w:pStyle w:val="TAC"/>
              <w:rPr>
                <w:lang w:eastAsia="fr-FR"/>
              </w:rPr>
            </w:pPr>
            <w:r w:rsidRPr="00873B6C">
              <w:rPr>
                <w:lang w:eastAsia="fr-FR"/>
              </w:rPr>
              <w:t>RW</w:t>
            </w:r>
          </w:p>
        </w:tc>
        <w:tc>
          <w:tcPr>
            <w:tcW w:w="1338" w:type="dxa"/>
          </w:tcPr>
          <w:p w14:paraId="6F46AA2C"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4FB5ACA" w14:textId="77777777" w:rsidR="00857A0D" w:rsidRPr="00873B6C" w:rsidRDefault="00857A0D" w:rsidP="00857A0D">
            <w:pPr>
              <w:pStyle w:val="TAC"/>
              <w:rPr>
                <w:lang w:eastAsia="fr-FR"/>
              </w:rPr>
            </w:pPr>
            <w:r w:rsidRPr="00873B6C">
              <w:rPr>
                <w:lang w:eastAsia="fr-FR"/>
              </w:rPr>
              <w:t>IEEE Std 802.1AS [104] clause 14.2.2</w:t>
            </w:r>
          </w:p>
        </w:tc>
      </w:tr>
      <w:tr w:rsidR="00857A0D" w:rsidRPr="00873B6C" w14:paraId="66CAFF7D" w14:textId="77777777" w:rsidTr="00C9561D">
        <w:trPr>
          <w:cantSplit/>
          <w:jc w:val="center"/>
        </w:trPr>
        <w:tc>
          <w:tcPr>
            <w:tcW w:w="3735" w:type="dxa"/>
            <w:shd w:val="clear" w:color="auto" w:fill="auto"/>
          </w:tcPr>
          <w:p w14:paraId="7CC9FB8E" w14:textId="77777777" w:rsidR="00857A0D" w:rsidRPr="00873B6C" w:rsidRDefault="00857A0D" w:rsidP="00857A0D">
            <w:pPr>
              <w:pStyle w:val="TAL"/>
              <w:rPr>
                <w:lang w:eastAsia="fr-FR"/>
              </w:rPr>
            </w:pPr>
            <w:r w:rsidRPr="00873B6C">
              <w:rPr>
                <w:lang w:eastAsia="fr-FR"/>
              </w:rPr>
              <w:t>&gt; defaultDS.clockQuality.clockClass</w:t>
            </w:r>
          </w:p>
        </w:tc>
        <w:tc>
          <w:tcPr>
            <w:tcW w:w="709" w:type="dxa"/>
            <w:shd w:val="clear" w:color="auto" w:fill="auto"/>
          </w:tcPr>
          <w:p w14:paraId="6BC46A0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9254B1D" w14:textId="77777777" w:rsidR="00857A0D" w:rsidRPr="00873B6C" w:rsidRDefault="00857A0D" w:rsidP="00857A0D">
            <w:pPr>
              <w:pStyle w:val="TAC"/>
              <w:rPr>
                <w:lang w:eastAsia="fr-FR"/>
              </w:rPr>
            </w:pPr>
          </w:p>
        </w:tc>
        <w:tc>
          <w:tcPr>
            <w:tcW w:w="1418" w:type="dxa"/>
            <w:shd w:val="clear" w:color="auto" w:fill="auto"/>
          </w:tcPr>
          <w:p w14:paraId="56BF8202" w14:textId="77777777" w:rsidR="00857A0D" w:rsidRPr="00873B6C" w:rsidRDefault="00857A0D" w:rsidP="00857A0D">
            <w:pPr>
              <w:pStyle w:val="TAC"/>
              <w:rPr>
                <w:lang w:eastAsia="fr-FR"/>
              </w:rPr>
            </w:pPr>
            <w:r w:rsidRPr="00873B6C">
              <w:rPr>
                <w:lang w:eastAsia="fr-FR"/>
              </w:rPr>
              <w:t>RW</w:t>
            </w:r>
          </w:p>
        </w:tc>
        <w:tc>
          <w:tcPr>
            <w:tcW w:w="1338" w:type="dxa"/>
          </w:tcPr>
          <w:p w14:paraId="0BEB64D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08844F9" w14:textId="77777777" w:rsidR="00857A0D" w:rsidRPr="00873B6C" w:rsidRDefault="00857A0D" w:rsidP="00857A0D">
            <w:pPr>
              <w:pStyle w:val="TAC"/>
              <w:rPr>
                <w:lang w:eastAsia="fr-FR"/>
              </w:rPr>
            </w:pPr>
            <w:r w:rsidRPr="00873B6C">
              <w:rPr>
                <w:lang w:eastAsia="fr-FR"/>
              </w:rPr>
              <w:t>IEEE Std 802.1AS [104] clause 14.2.4.2</w:t>
            </w:r>
          </w:p>
        </w:tc>
      </w:tr>
      <w:tr w:rsidR="00857A0D" w:rsidRPr="00873B6C" w14:paraId="1C9A6AC8" w14:textId="77777777" w:rsidTr="00C9561D">
        <w:trPr>
          <w:cantSplit/>
          <w:jc w:val="center"/>
        </w:trPr>
        <w:tc>
          <w:tcPr>
            <w:tcW w:w="3735" w:type="dxa"/>
            <w:shd w:val="clear" w:color="auto" w:fill="auto"/>
          </w:tcPr>
          <w:p w14:paraId="14B841FE" w14:textId="77777777" w:rsidR="00857A0D" w:rsidRPr="00873B6C" w:rsidRDefault="00857A0D" w:rsidP="00857A0D">
            <w:pPr>
              <w:pStyle w:val="TAL"/>
              <w:rPr>
                <w:lang w:eastAsia="fr-FR"/>
              </w:rPr>
            </w:pPr>
            <w:r w:rsidRPr="00873B6C">
              <w:rPr>
                <w:lang w:eastAsia="fr-FR"/>
              </w:rPr>
              <w:t>&gt; defaultDS.clockQuality.clockAccuracy</w:t>
            </w:r>
          </w:p>
        </w:tc>
        <w:tc>
          <w:tcPr>
            <w:tcW w:w="709" w:type="dxa"/>
            <w:shd w:val="clear" w:color="auto" w:fill="auto"/>
          </w:tcPr>
          <w:p w14:paraId="7BC8701B"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381BCE9" w14:textId="77777777" w:rsidR="00857A0D" w:rsidRPr="00873B6C" w:rsidRDefault="00857A0D" w:rsidP="00857A0D">
            <w:pPr>
              <w:pStyle w:val="TAC"/>
              <w:rPr>
                <w:lang w:eastAsia="fr-FR"/>
              </w:rPr>
            </w:pPr>
          </w:p>
        </w:tc>
        <w:tc>
          <w:tcPr>
            <w:tcW w:w="1418" w:type="dxa"/>
            <w:shd w:val="clear" w:color="auto" w:fill="auto"/>
          </w:tcPr>
          <w:p w14:paraId="33390F49" w14:textId="77777777" w:rsidR="00857A0D" w:rsidRPr="00873B6C" w:rsidRDefault="00857A0D" w:rsidP="00857A0D">
            <w:pPr>
              <w:pStyle w:val="TAC"/>
              <w:rPr>
                <w:lang w:eastAsia="fr-FR"/>
              </w:rPr>
            </w:pPr>
            <w:r w:rsidRPr="00873B6C">
              <w:rPr>
                <w:lang w:eastAsia="fr-FR"/>
              </w:rPr>
              <w:t>RW</w:t>
            </w:r>
          </w:p>
        </w:tc>
        <w:tc>
          <w:tcPr>
            <w:tcW w:w="1338" w:type="dxa"/>
          </w:tcPr>
          <w:p w14:paraId="2F0C38C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2EB6BFD" w14:textId="77777777" w:rsidR="00857A0D" w:rsidRPr="00873B6C" w:rsidRDefault="00857A0D" w:rsidP="00857A0D">
            <w:pPr>
              <w:pStyle w:val="TAC"/>
              <w:rPr>
                <w:lang w:eastAsia="fr-FR"/>
              </w:rPr>
            </w:pPr>
            <w:r w:rsidRPr="00873B6C">
              <w:rPr>
                <w:lang w:eastAsia="fr-FR"/>
              </w:rPr>
              <w:t>IEEE Std 802.1AS [104] clause 14.2.4.3</w:t>
            </w:r>
          </w:p>
        </w:tc>
      </w:tr>
      <w:tr w:rsidR="00857A0D" w:rsidRPr="00873B6C" w14:paraId="5D5E453E" w14:textId="77777777" w:rsidTr="00C9561D">
        <w:trPr>
          <w:cantSplit/>
          <w:jc w:val="center"/>
        </w:trPr>
        <w:tc>
          <w:tcPr>
            <w:tcW w:w="3735" w:type="dxa"/>
            <w:shd w:val="clear" w:color="auto" w:fill="auto"/>
          </w:tcPr>
          <w:p w14:paraId="6AFF3207" w14:textId="77777777" w:rsidR="00857A0D" w:rsidRPr="00873B6C" w:rsidRDefault="00857A0D" w:rsidP="00857A0D">
            <w:pPr>
              <w:pStyle w:val="TAL"/>
              <w:rPr>
                <w:lang w:eastAsia="fr-FR"/>
              </w:rPr>
            </w:pPr>
            <w:r w:rsidRPr="00873B6C">
              <w:rPr>
                <w:lang w:eastAsia="fr-FR"/>
              </w:rPr>
              <w:t>&gt; defaultDS.clockQuality.offsetScaledLogVariance</w:t>
            </w:r>
          </w:p>
        </w:tc>
        <w:tc>
          <w:tcPr>
            <w:tcW w:w="709" w:type="dxa"/>
            <w:shd w:val="clear" w:color="auto" w:fill="auto"/>
          </w:tcPr>
          <w:p w14:paraId="5B2F304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C5CDA42" w14:textId="77777777" w:rsidR="00857A0D" w:rsidRPr="00873B6C" w:rsidRDefault="00857A0D" w:rsidP="00857A0D">
            <w:pPr>
              <w:pStyle w:val="TAC"/>
              <w:rPr>
                <w:lang w:eastAsia="fr-FR"/>
              </w:rPr>
            </w:pPr>
          </w:p>
        </w:tc>
        <w:tc>
          <w:tcPr>
            <w:tcW w:w="1418" w:type="dxa"/>
            <w:shd w:val="clear" w:color="auto" w:fill="auto"/>
          </w:tcPr>
          <w:p w14:paraId="512DD91D" w14:textId="77777777" w:rsidR="00857A0D" w:rsidRPr="00873B6C" w:rsidRDefault="00857A0D" w:rsidP="00857A0D">
            <w:pPr>
              <w:pStyle w:val="TAC"/>
              <w:rPr>
                <w:lang w:eastAsia="fr-FR"/>
              </w:rPr>
            </w:pPr>
            <w:r w:rsidRPr="00873B6C">
              <w:rPr>
                <w:lang w:eastAsia="fr-FR"/>
              </w:rPr>
              <w:t>RW</w:t>
            </w:r>
          </w:p>
        </w:tc>
        <w:tc>
          <w:tcPr>
            <w:tcW w:w="1338" w:type="dxa"/>
          </w:tcPr>
          <w:p w14:paraId="66EEFDC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98AD019" w14:textId="77777777" w:rsidR="00857A0D" w:rsidRPr="00873B6C" w:rsidRDefault="00857A0D" w:rsidP="00857A0D">
            <w:pPr>
              <w:pStyle w:val="TAC"/>
              <w:rPr>
                <w:lang w:eastAsia="fr-FR"/>
              </w:rPr>
            </w:pPr>
            <w:r w:rsidRPr="00873B6C">
              <w:rPr>
                <w:lang w:eastAsia="fr-FR"/>
              </w:rPr>
              <w:t>IEEE Std 802.1AS [104] clause 14.2.4.4</w:t>
            </w:r>
          </w:p>
        </w:tc>
      </w:tr>
      <w:tr w:rsidR="00857A0D" w:rsidRPr="00873B6C" w14:paraId="238471DB" w14:textId="77777777" w:rsidTr="00C9561D">
        <w:trPr>
          <w:cantSplit/>
          <w:jc w:val="center"/>
        </w:trPr>
        <w:tc>
          <w:tcPr>
            <w:tcW w:w="3735" w:type="dxa"/>
            <w:shd w:val="clear" w:color="auto" w:fill="auto"/>
          </w:tcPr>
          <w:p w14:paraId="0493469A" w14:textId="77777777" w:rsidR="00857A0D" w:rsidRPr="00873B6C" w:rsidRDefault="00857A0D" w:rsidP="00857A0D">
            <w:pPr>
              <w:pStyle w:val="TAL"/>
              <w:rPr>
                <w:lang w:eastAsia="fr-FR"/>
              </w:rPr>
            </w:pPr>
            <w:r w:rsidRPr="00873B6C">
              <w:rPr>
                <w:lang w:eastAsia="fr-FR"/>
              </w:rPr>
              <w:lastRenderedPageBreak/>
              <w:t>&gt; defaultDS.priority1</w:t>
            </w:r>
          </w:p>
        </w:tc>
        <w:tc>
          <w:tcPr>
            <w:tcW w:w="709" w:type="dxa"/>
            <w:shd w:val="clear" w:color="auto" w:fill="auto"/>
          </w:tcPr>
          <w:p w14:paraId="210824B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0753EBF" w14:textId="77777777" w:rsidR="00857A0D" w:rsidRPr="00873B6C" w:rsidRDefault="00857A0D" w:rsidP="00857A0D">
            <w:pPr>
              <w:pStyle w:val="TAC"/>
              <w:rPr>
                <w:lang w:eastAsia="fr-FR"/>
              </w:rPr>
            </w:pPr>
          </w:p>
        </w:tc>
        <w:tc>
          <w:tcPr>
            <w:tcW w:w="1418" w:type="dxa"/>
            <w:shd w:val="clear" w:color="auto" w:fill="auto"/>
          </w:tcPr>
          <w:p w14:paraId="3CF4FD0E" w14:textId="77777777" w:rsidR="00857A0D" w:rsidRPr="00873B6C" w:rsidRDefault="00857A0D" w:rsidP="00857A0D">
            <w:pPr>
              <w:pStyle w:val="TAC"/>
              <w:rPr>
                <w:lang w:eastAsia="fr-FR"/>
              </w:rPr>
            </w:pPr>
            <w:r w:rsidRPr="00873B6C">
              <w:rPr>
                <w:lang w:eastAsia="fr-FR"/>
              </w:rPr>
              <w:t>RW</w:t>
            </w:r>
          </w:p>
        </w:tc>
        <w:tc>
          <w:tcPr>
            <w:tcW w:w="1338" w:type="dxa"/>
          </w:tcPr>
          <w:p w14:paraId="1D9CC97F"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2EAC496" w14:textId="77777777" w:rsidR="00857A0D" w:rsidRPr="00873B6C" w:rsidRDefault="00857A0D" w:rsidP="00857A0D">
            <w:pPr>
              <w:pStyle w:val="TAC"/>
              <w:rPr>
                <w:lang w:eastAsia="fr-FR"/>
              </w:rPr>
            </w:pPr>
            <w:r w:rsidRPr="00873B6C">
              <w:rPr>
                <w:lang w:eastAsia="fr-FR"/>
              </w:rPr>
              <w:t>IEEE Std 802.1AS [104] clause 14.2.5</w:t>
            </w:r>
          </w:p>
        </w:tc>
      </w:tr>
      <w:tr w:rsidR="00857A0D" w:rsidRPr="00873B6C" w14:paraId="7B02F285" w14:textId="77777777" w:rsidTr="00C9561D">
        <w:trPr>
          <w:cantSplit/>
          <w:jc w:val="center"/>
        </w:trPr>
        <w:tc>
          <w:tcPr>
            <w:tcW w:w="3735" w:type="dxa"/>
            <w:shd w:val="clear" w:color="auto" w:fill="auto"/>
          </w:tcPr>
          <w:p w14:paraId="2B109D5A" w14:textId="77777777" w:rsidR="00857A0D" w:rsidRPr="00873B6C" w:rsidRDefault="00857A0D" w:rsidP="00857A0D">
            <w:pPr>
              <w:pStyle w:val="TAL"/>
              <w:rPr>
                <w:lang w:eastAsia="fr-FR"/>
              </w:rPr>
            </w:pPr>
            <w:r w:rsidRPr="00873B6C">
              <w:t>&gt; defaultDS.priority2</w:t>
            </w:r>
          </w:p>
        </w:tc>
        <w:tc>
          <w:tcPr>
            <w:tcW w:w="709" w:type="dxa"/>
            <w:shd w:val="clear" w:color="auto" w:fill="auto"/>
          </w:tcPr>
          <w:p w14:paraId="3771416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EE7506F" w14:textId="77777777" w:rsidR="00857A0D" w:rsidRPr="00873B6C" w:rsidRDefault="00857A0D" w:rsidP="00857A0D">
            <w:pPr>
              <w:pStyle w:val="TAC"/>
              <w:rPr>
                <w:lang w:eastAsia="fr-FR"/>
              </w:rPr>
            </w:pPr>
          </w:p>
        </w:tc>
        <w:tc>
          <w:tcPr>
            <w:tcW w:w="1418" w:type="dxa"/>
            <w:shd w:val="clear" w:color="auto" w:fill="auto"/>
          </w:tcPr>
          <w:p w14:paraId="5B056C64" w14:textId="77777777" w:rsidR="00857A0D" w:rsidRPr="00873B6C" w:rsidRDefault="00857A0D" w:rsidP="00857A0D">
            <w:pPr>
              <w:pStyle w:val="TAC"/>
              <w:rPr>
                <w:lang w:eastAsia="fr-FR"/>
              </w:rPr>
            </w:pPr>
            <w:r w:rsidRPr="00873B6C">
              <w:rPr>
                <w:lang w:eastAsia="fr-FR"/>
              </w:rPr>
              <w:t>RW</w:t>
            </w:r>
          </w:p>
        </w:tc>
        <w:tc>
          <w:tcPr>
            <w:tcW w:w="1338" w:type="dxa"/>
          </w:tcPr>
          <w:p w14:paraId="7A1C2FC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6613A36" w14:textId="77777777" w:rsidR="00857A0D" w:rsidRPr="00873B6C" w:rsidRDefault="00857A0D" w:rsidP="00857A0D">
            <w:pPr>
              <w:pStyle w:val="TAC"/>
              <w:rPr>
                <w:lang w:eastAsia="fr-FR"/>
              </w:rPr>
            </w:pPr>
            <w:r w:rsidRPr="00873B6C">
              <w:rPr>
                <w:lang w:eastAsia="fr-FR"/>
              </w:rPr>
              <w:t>IEEE Std 802.1AS [104] clause 14.2.6</w:t>
            </w:r>
          </w:p>
        </w:tc>
      </w:tr>
      <w:tr w:rsidR="00857A0D" w:rsidRPr="00873B6C" w14:paraId="12E9E863" w14:textId="77777777" w:rsidTr="00C9561D">
        <w:trPr>
          <w:cantSplit/>
          <w:jc w:val="center"/>
        </w:trPr>
        <w:tc>
          <w:tcPr>
            <w:tcW w:w="3735" w:type="dxa"/>
            <w:shd w:val="clear" w:color="auto" w:fill="auto"/>
          </w:tcPr>
          <w:p w14:paraId="3B1ECE67" w14:textId="77777777" w:rsidR="00857A0D" w:rsidRPr="00873B6C" w:rsidRDefault="00857A0D" w:rsidP="00857A0D">
            <w:pPr>
              <w:pStyle w:val="TAL"/>
            </w:pPr>
            <w:r w:rsidRPr="00873B6C">
              <w:rPr>
                <w:lang w:eastAsia="fr-FR"/>
              </w:rPr>
              <w:t>&gt; defaultDS.timeSource</w:t>
            </w:r>
          </w:p>
        </w:tc>
        <w:tc>
          <w:tcPr>
            <w:tcW w:w="709" w:type="dxa"/>
            <w:shd w:val="clear" w:color="auto" w:fill="auto"/>
          </w:tcPr>
          <w:p w14:paraId="27E1297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3FFE710" w14:textId="77777777" w:rsidR="00857A0D" w:rsidRPr="00873B6C" w:rsidRDefault="00857A0D" w:rsidP="00857A0D">
            <w:pPr>
              <w:pStyle w:val="TAC"/>
              <w:rPr>
                <w:lang w:eastAsia="fr-FR"/>
              </w:rPr>
            </w:pPr>
          </w:p>
        </w:tc>
        <w:tc>
          <w:tcPr>
            <w:tcW w:w="1418" w:type="dxa"/>
            <w:shd w:val="clear" w:color="auto" w:fill="auto"/>
          </w:tcPr>
          <w:p w14:paraId="0B5012D4" w14:textId="77777777" w:rsidR="00857A0D" w:rsidRPr="00873B6C" w:rsidRDefault="00857A0D" w:rsidP="00857A0D">
            <w:pPr>
              <w:pStyle w:val="TAC"/>
              <w:rPr>
                <w:lang w:eastAsia="fr-FR"/>
              </w:rPr>
            </w:pPr>
            <w:r w:rsidRPr="00873B6C">
              <w:rPr>
                <w:lang w:eastAsia="fr-FR"/>
              </w:rPr>
              <w:t>RW</w:t>
            </w:r>
          </w:p>
        </w:tc>
        <w:tc>
          <w:tcPr>
            <w:tcW w:w="1338" w:type="dxa"/>
          </w:tcPr>
          <w:p w14:paraId="19EF037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164CBC5" w14:textId="77777777" w:rsidR="00857A0D" w:rsidRPr="00873B6C" w:rsidRDefault="00857A0D" w:rsidP="00857A0D">
            <w:pPr>
              <w:pStyle w:val="TAC"/>
              <w:rPr>
                <w:lang w:eastAsia="fr-FR"/>
              </w:rPr>
            </w:pPr>
            <w:r w:rsidRPr="00873B6C">
              <w:rPr>
                <w:lang w:eastAsia="fr-FR"/>
              </w:rPr>
              <w:t>IEEE Std 802.1AS [104] clause 14.2.15</w:t>
            </w:r>
          </w:p>
        </w:tc>
      </w:tr>
      <w:tr w:rsidR="00857A0D" w:rsidRPr="00873B6C" w14:paraId="4D8EA793" w14:textId="77777777" w:rsidTr="00C9561D">
        <w:trPr>
          <w:cantSplit/>
          <w:jc w:val="center"/>
        </w:trPr>
        <w:tc>
          <w:tcPr>
            <w:tcW w:w="3735" w:type="dxa"/>
            <w:shd w:val="clear" w:color="auto" w:fill="auto"/>
          </w:tcPr>
          <w:p w14:paraId="3284CAB3" w14:textId="77777777" w:rsidR="00857A0D" w:rsidRPr="00873B6C" w:rsidRDefault="00857A0D" w:rsidP="00857A0D">
            <w:pPr>
              <w:pStyle w:val="TAL"/>
              <w:rPr>
                <w:lang w:eastAsia="fr-FR"/>
              </w:rPr>
            </w:pPr>
            <w:r w:rsidRPr="00873B6C">
              <w:rPr>
                <w:lang w:eastAsia="fr-FR"/>
              </w:rPr>
              <w:t>&gt; defaultDS.domainNumber</w:t>
            </w:r>
          </w:p>
        </w:tc>
        <w:tc>
          <w:tcPr>
            <w:tcW w:w="709" w:type="dxa"/>
            <w:shd w:val="clear" w:color="auto" w:fill="auto"/>
          </w:tcPr>
          <w:p w14:paraId="2B6104D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4046D96" w14:textId="77777777" w:rsidR="00857A0D" w:rsidRPr="00873B6C" w:rsidRDefault="00857A0D" w:rsidP="00857A0D">
            <w:pPr>
              <w:pStyle w:val="TAC"/>
              <w:rPr>
                <w:lang w:eastAsia="fr-FR"/>
              </w:rPr>
            </w:pPr>
          </w:p>
        </w:tc>
        <w:tc>
          <w:tcPr>
            <w:tcW w:w="1418" w:type="dxa"/>
            <w:shd w:val="clear" w:color="auto" w:fill="auto"/>
          </w:tcPr>
          <w:p w14:paraId="78ECE6C6" w14:textId="77777777" w:rsidR="00857A0D" w:rsidRPr="00873B6C" w:rsidRDefault="00857A0D" w:rsidP="00857A0D">
            <w:pPr>
              <w:pStyle w:val="TAC"/>
              <w:rPr>
                <w:lang w:eastAsia="fr-FR"/>
              </w:rPr>
            </w:pPr>
            <w:r w:rsidRPr="00873B6C">
              <w:rPr>
                <w:lang w:eastAsia="fr-FR"/>
              </w:rPr>
              <w:t>RW</w:t>
            </w:r>
          </w:p>
        </w:tc>
        <w:tc>
          <w:tcPr>
            <w:tcW w:w="1338" w:type="dxa"/>
          </w:tcPr>
          <w:p w14:paraId="335E22D5"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D6B043F" w14:textId="77777777" w:rsidR="00857A0D" w:rsidRPr="00873B6C" w:rsidRDefault="00857A0D" w:rsidP="00857A0D">
            <w:pPr>
              <w:pStyle w:val="TAC"/>
              <w:rPr>
                <w:lang w:eastAsia="fr-FR"/>
              </w:rPr>
            </w:pPr>
            <w:r w:rsidRPr="00873B6C">
              <w:rPr>
                <w:lang w:eastAsia="fr-FR"/>
              </w:rPr>
              <w:t>IEEE Std 802.1AS [104] clause 14.2.16</w:t>
            </w:r>
          </w:p>
        </w:tc>
      </w:tr>
      <w:tr w:rsidR="00857A0D" w:rsidRPr="00873B6C" w14:paraId="53E1CFB4" w14:textId="77777777" w:rsidTr="00C9561D">
        <w:trPr>
          <w:cantSplit/>
          <w:jc w:val="center"/>
        </w:trPr>
        <w:tc>
          <w:tcPr>
            <w:tcW w:w="3735" w:type="dxa"/>
            <w:shd w:val="clear" w:color="auto" w:fill="auto"/>
          </w:tcPr>
          <w:p w14:paraId="74BF7F33" w14:textId="77777777" w:rsidR="00857A0D" w:rsidRPr="00873B6C" w:rsidRDefault="00857A0D" w:rsidP="00857A0D">
            <w:pPr>
              <w:pStyle w:val="TAL"/>
              <w:rPr>
                <w:lang w:eastAsia="fr-FR"/>
              </w:rPr>
            </w:pPr>
            <w:r w:rsidRPr="00873B6C">
              <w:rPr>
                <w:lang w:eastAsia="fr-FR"/>
              </w:rPr>
              <w:t>&gt; defaultDS.sdoId</w:t>
            </w:r>
          </w:p>
        </w:tc>
        <w:tc>
          <w:tcPr>
            <w:tcW w:w="709" w:type="dxa"/>
            <w:shd w:val="clear" w:color="auto" w:fill="auto"/>
          </w:tcPr>
          <w:p w14:paraId="717FCEB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F297694" w14:textId="77777777" w:rsidR="00857A0D" w:rsidRPr="00873B6C" w:rsidRDefault="00857A0D" w:rsidP="00857A0D">
            <w:pPr>
              <w:pStyle w:val="TAC"/>
              <w:rPr>
                <w:lang w:eastAsia="fr-FR"/>
              </w:rPr>
            </w:pPr>
          </w:p>
        </w:tc>
        <w:tc>
          <w:tcPr>
            <w:tcW w:w="1418" w:type="dxa"/>
            <w:shd w:val="clear" w:color="auto" w:fill="auto"/>
          </w:tcPr>
          <w:p w14:paraId="04B6E59C" w14:textId="77777777" w:rsidR="00857A0D" w:rsidRPr="00873B6C" w:rsidRDefault="00857A0D" w:rsidP="00857A0D">
            <w:pPr>
              <w:pStyle w:val="TAC"/>
              <w:rPr>
                <w:lang w:eastAsia="fr-FR"/>
              </w:rPr>
            </w:pPr>
            <w:r w:rsidRPr="00873B6C">
              <w:rPr>
                <w:lang w:eastAsia="fr-FR"/>
              </w:rPr>
              <w:t>RW</w:t>
            </w:r>
          </w:p>
        </w:tc>
        <w:tc>
          <w:tcPr>
            <w:tcW w:w="1338" w:type="dxa"/>
          </w:tcPr>
          <w:p w14:paraId="77933CF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6974292" w14:textId="77777777" w:rsidR="00857A0D" w:rsidRPr="00873B6C" w:rsidRDefault="00857A0D" w:rsidP="00857A0D">
            <w:pPr>
              <w:pStyle w:val="TAC"/>
              <w:rPr>
                <w:lang w:eastAsia="fr-FR"/>
              </w:rPr>
            </w:pPr>
            <w:r w:rsidRPr="00873B6C">
              <w:rPr>
                <w:lang w:eastAsia="fr-FR"/>
              </w:rPr>
              <w:t>IEEE Std 802.1AS [104] clause 14.2.4.3</w:t>
            </w:r>
          </w:p>
        </w:tc>
      </w:tr>
      <w:tr w:rsidR="00857A0D" w:rsidRPr="00873B6C" w14:paraId="53B14555" w14:textId="77777777" w:rsidTr="00C9561D">
        <w:trPr>
          <w:cantSplit/>
          <w:jc w:val="center"/>
        </w:trPr>
        <w:tc>
          <w:tcPr>
            <w:tcW w:w="3735" w:type="dxa"/>
            <w:shd w:val="clear" w:color="auto" w:fill="auto"/>
          </w:tcPr>
          <w:p w14:paraId="18E9FF1D" w14:textId="77777777" w:rsidR="00857A0D" w:rsidRPr="00873B6C" w:rsidRDefault="00857A0D" w:rsidP="00857A0D">
            <w:pPr>
              <w:pStyle w:val="TAL"/>
              <w:rPr>
                <w:lang w:eastAsia="fr-FR"/>
              </w:rPr>
            </w:pPr>
            <w:r w:rsidRPr="00873B6C">
              <w:rPr>
                <w:lang w:eastAsia="fr-FR"/>
              </w:rPr>
              <w:t>&gt; defaultDS.instanceEnable</w:t>
            </w:r>
          </w:p>
        </w:tc>
        <w:tc>
          <w:tcPr>
            <w:tcW w:w="709" w:type="dxa"/>
            <w:shd w:val="clear" w:color="auto" w:fill="auto"/>
          </w:tcPr>
          <w:p w14:paraId="63ECC36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D10B497" w14:textId="77777777" w:rsidR="00857A0D" w:rsidRPr="00873B6C" w:rsidRDefault="00857A0D" w:rsidP="00857A0D">
            <w:pPr>
              <w:pStyle w:val="TAC"/>
              <w:rPr>
                <w:lang w:eastAsia="fr-FR"/>
              </w:rPr>
            </w:pPr>
          </w:p>
        </w:tc>
        <w:tc>
          <w:tcPr>
            <w:tcW w:w="1418" w:type="dxa"/>
            <w:shd w:val="clear" w:color="auto" w:fill="auto"/>
          </w:tcPr>
          <w:p w14:paraId="54ECAF7D" w14:textId="77777777" w:rsidR="00857A0D" w:rsidRPr="00873B6C" w:rsidRDefault="00857A0D" w:rsidP="00857A0D">
            <w:pPr>
              <w:pStyle w:val="TAC"/>
              <w:rPr>
                <w:lang w:eastAsia="fr-FR"/>
              </w:rPr>
            </w:pPr>
            <w:r w:rsidRPr="00873B6C">
              <w:rPr>
                <w:lang w:eastAsia="fr-FR"/>
              </w:rPr>
              <w:t>RW</w:t>
            </w:r>
          </w:p>
        </w:tc>
        <w:tc>
          <w:tcPr>
            <w:tcW w:w="1338" w:type="dxa"/>
          </w:tcPr>
          <w:p w14:paraId="171535D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3BE3984" w14:textId="77777777" w:rsidR="00857A0D" w:rsidRPr="00873B6C" w:rsidRDefault="00857A0D" w:rsidP="00857A0D">
            <w:pPr>
              <w:pStyle w:val="TAC"/>
              <w:rPr>
                <w:lang w:eastAsia="fr-FR"/>
              </w:rPr>
            </w:pPr>
            <w:r w:rsidRPr="00873B6C">
              <w:rPr>
                <w:lang w:eastAsia="fr-FR"/>
              </w:rPr>
              <w:t>IEEE Std 802.1AS [104] clause 14.2.19</w:t>
            </w:r>
          </w:p>
        </w:tc>
      </w:tr>
      <w:tr w:rsidR="00857A0D" w:rsidRPr="00873B6C" w14:paraId="08808DFB" w14:textId="77777777" w:rsidTr="00C9561D">
        <w:trPr>
          <w:cantSplit/>
          <w:jc w:val="center"/>
        </w:trPr>
        <w:tc>
          <w:tcPr>
            <w:tcW w:w="3735" w:type="dxa"/>
            <w:shd w:val="clear" w:color="auto" w:fill="auto"/>
          </w:tcPr>
          <w:p w14:paraId="52BDB98D" w14:textId="77777777" w:rsidR="00857A0D" w:rsidRPr="00873B6C" w:rsidRDefault="00857A0D" w:rsidP="00857A0D">
            <w:pPr>
              <w:pStyle w:val="TAL"/>
              <w:rPr>
                <w:lang w:eastAsia="fr-FR"/>
              </w:rPr>
            </w:pPr>
            <w:r w:rsidRPr="00873B6C">
              <w:rPr>
                <w:lang w:eastAsia="fr-FR"/>
              </w:rPr>
              <w:t>&gt; portDS.portIdentity</w:t>
            </w:r>
          </w:p>
        </w:tc>
        <w:tc>
          <w:tcPr>
            <w:tcW w:w="709" w:type="dxa"/>
            <w:shd w:val="clear" w:color="auto" w:fill="auto"/>
          </w:tcPr>
          <w:p w14:paraId="538430BC" w14:textId="77777777" w:rsidR="00857A0D" w:rsidRPr="00873B6C" w:rsidRDefault="00857A0D" w:rsidP="00857A0D">
            <w:pPr>
              <w:pStyle w:val="TAC"/>
              <w:rPr>
                <w:lang w:eastAsia="fr-FR"/>
              </w:rPr>
            </w:pPr>
          </w:p>
        </w:tc>
        <w:tc>
          <w:tcPr>
            <w:tcW w:w="708" w:type="dxa"/>
            <w:shd w:val="clear" w:color="auto" w:fill="auto"/>
          </w:tcPr>
          <w:p w14:paraId="114E865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C83D275" w14:textId="77777777" w:rsidR="00857A0D" w:rsidRPr="00873B6C" w:rsidRDefault="00857A0D" w:rsidP="00857A0D">
            <w:pPr>
              <w:pStyle w:val="TAC"/>
              <w:rPr>
                <w:lang w:eastAsia="fr-FR"/>
              </w:rPr>
            </w:pPr>
            <w:r w:rsidRPr="00873B6C">
              <w:rPr>
                <w:lang w:eastAsia="fr-FR"/>
              </w:rPr>
              <w:t>RW</w:t>
            </w:r>
          </w:p>
        </w:tc>
        <w:tc>
          <w:tcPr>
            <w:tcW w:w="1338" w:type="dxa"/>
          </w:tcPr>
          <w:p w14:paraId="382D7DBD"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43D8E15" w14:textId="77777777" w:rsidR="00857A0D" w:rsidRPr="00873B6C" w:rsidRDefault="00857A0D" w:rsidP="00857A0D">
            <w:pPr>
              <w:pStyle w:val="TAC"/>
              <w:rPr>
                <w:lang w:eastAsia="fr-FR"/>
              </w:rPr>
            </w:pPr>
            <w:r w:rsidRPr="00873B6C">
              <w:rPr>
                <w:lang w:eastAsia="fr-FR"/>
              </w:rPr>
              <w:t>IEEE Std 802.1AS [104] clause 14.8.2</w:t>
            </w:r>
          </w:p>
        </w:tc>
      </w:tr>
      <w:tr w:rsidR="00857A0D" w:rsidRPr="00873B6C" w14:paraId="4AC355FB" w14:textId="77777777" w:rsidTr="00C9561D">
        <w:trPr>
          <w:cantSplit/>
          <w:jc w:val="center"/>
        </w:trPr>
        <w:tc>
          <w:tcPr>
            <w:tcW w:w="3735" w:type="dxa"/>
            <w:shd w:val="clear" w:color="auto" w:fill="auto"/>
          </w:tcPr>
          <w:p w14:paraId="46D37B33" w14:textId="77777777" w:rsidR="00857A0D" w:rsidRPr="00873B6C" w:rsidRDefault="00857A0D" w:rsidP="00857A0D">
            <w:pPr>
              <w:pStyle w:val="TAL"/>
              <w:rPr>
                <w:lang w:eastAsia="fr-FR"/>
              </w:rPr>
            </w:pPr>
            <w:r w:rsidRPr="00873B6C">
              <w:rPr>
                <w:lang w:eastAsia="fr-FR"/>
              </w:rPr>
              <w:t>&gt; portDS.portState</w:t>
            </w:r>
          </w:p>
        </w:tc>
        <w:tc>
          <w:tcPr>
            <w:tcW w:w="709" w:type="dxa"/>
            <w:shd w:val="clear" w:color="auto" w:fill="auto"/>
          </w:tcPr>
          <w:p w14:paraId="3A2A2307" w14:textId="77777777" w:rsidR="00857A0D" w:rsidRPr="00873B6C" w:rsidRDefault="00857A0D" w:rsidP="00857A0D">
            <w:pPr>
              <w:pStyle w:val="TAC"/>
              <w:rPr>
                <w:lang w:eastAsia="fr-FR"/>
              </w:rPr>
            </w:pPr>
          </w:p>
        </w:tc>
        <w:tc>
          <w:tcPr>
            <w:tcW w:w="708" w:type="dxa"/>
            <w:shd w:val="clear" w:color="auto" w:fill="auto"/>
          </w:tcPr>
          <w:p w14:paraId="7D8E92A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19D7CC4" w14:textId="77777777" w:rsidR="00857A0D" w:rsidRPr="00873B6C" w:rsidRDefault="00857A0D" w:rsidP="00857A0D">
            <w:pPr>
              <w:pStyle w:val="TAC"/>
              <w:rPr>
                <w:lang w:eastAsia="fr-FR"/>
              </w:rPr>
            </w:pPr>
            <w:r w:rsidRPr="00873B6C">
              <w:rPr>
                <w:lang w:eastAsia="fr-FR"/>
              </w:rPr>
              <w:t>R</w:t>
            </w:r>
          </w:p>
        </w:tc>
        <w:tc>
          <w:tcPr>
            <w:tcW w:w="1338" w:type="dxa"/>
          </w:tcPr>
          <w:p w14:paraId="71C85287"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2D12F164" w14:textId="77777777" w:rsidR="00857A0D" w:rsidRPr="00873B6C" w:rsidRDefault="00857A0D" w:rsidP="00857A0D">
            <w:pPr>
              <w:pStyle w:val="TAC"/>
              <w:rPr>
                <w:lang w:eastAsia="fr-FR"/>
              </w:rPr>
            </w:pPr>
            <w:r w:rsidRPr="00873B6C">
              <w:rPr>
                <w:lang w:eastAsia="fr-FR"/>
              </w:rPr>
              <w:t>IEEE Std 802.1AS [104] clause 14.8.3</w:t>
            </w:r>
          </w:p>
        </w:tc>
      </w:tr>
      <w:tr w:rsidR="00857A0D" w:rsidRPr="00873B6C" w14:paraId="13911C5C" w14:textId="77777777" w:rsidTr="00C9561D">
        <w:trPr>
          <w:cantSplit/>
          <w:jc w:val="center"/>
        </w:trPr>
        <w:tc>
          <w:tcPr>
            <w:tcW w:w="3735" w:type="dxa"/>
            <w:shd w:val="clear" w:color="auto" w:fill="auto"/>
          </w:tcPr>
          <w:p w14:paraId="42C6510E" w14:textId="77777777" w:rsidR="00857A0D" w:rsidRPr="00873B6C" w:rsidRDefault="00857A0D" w:rsidP="00857A0D">
            <w:pPr>
              <w:pStyle w:val="TAL"/>
              <w:rPr>
                <w:lang w:eastAsia="fr-FR"/>
              </w:rPr>
            </w:pPr>
            <w:r w:rsidRPr="00873B6C">
              <w:rPr>
                <w:lang w:eastAsia="fr-FR"/>
              </w:rPr>
              <w:t>&gt; portDS.ptpPortEnabled</w:t>
            </w:r>
          </w:p>
        </w:tc>
        <w:tc>
          <w:tcPr>
            <w:tcW w:w="709" w:type="dxa"/>
            <w:shd w:val="clear" w:color="auto" w:fill="auto"/>
          </w:tcPr>
          <w:p w14:paraId="4D205BE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D719FC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B0A80DC" w14:textId="77777777" w:rsidR="00857A0D" w:rsidRPr="00873B6C" w:rsidRDefault="00857A0D" w:rsidP="00857A0D">
            <w:pPr>
              <w:pStyle w:val="TAC"/>
              <w:rPr>
                <w:lang w:eastAsia="fr-FR"/>
              </w:rPr>
            </w:pPr>
            <w:r w:rsidRPr="00873B6C">
              <w:rPr>
                <w:lang w:eastAsia="fr-FR"/>
              </w:rPr>
              <w:t>RW</w:t>
            </w:r>
          </w:p>
        </w:tc>
        <w:tc>
          <w:tcPr>
            <w:tcW w:w="1338" w:type="dxa"/>
          </w:tcPr>
          <w:p w14:paraId="1CFE585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4906C21" w14:textId="77777777" w:rsidR="00857A0D" w:rsidRPr="00873B6C" w:rsidRDefault="00857A0D" w:rsidP="00857A0D">
            <w:pPr>
              <w:pStyle w:val="TAC"/>
              <w:rPr>
                <w:lang w:eastAsia="fr-FR"/>
              </w:rPr>
            </w:pPr>
            <w:r w:rsidRPr="00873B6C">
              <w:rPr>
                <w:lang w:eastAsia="fr-FR"/>
              </w:rPr>
              <w:t>IEEE Std 802.1AS [104] clause 14.8.4</w:t>
            </w:r>
          </w:p>
        </w:tc>
      </w:tr>
      <w:tr w:rsidR="00857A0D" w:rsidRPr="00873B6C" w14:paraId="594DBC9E" w14:textId="77777777" w:rsidTr="00C9561D">
        <w:trPr>
          <w:cantSplit/>
          <w:jc w:val="center"/>
        </w:trPr>
        <w:tc>
          <w:tcPr>
            <w:tcW w:w="3735" w:type="dxa"/>
            <w:shd w:val="clear" w:color="auto" w:fill="auto"/>
          </w:tcPr>
          <w:p w14:paraId="40F9BE41" w14:textId="77777777" w:rsidR="00857A0D" w:rsidRPr="00873B6C" w:rsidRDefault="00857A0D" w:rsidP="00857A0D">
            <w:pPr>
              <w:pStyle w:val="TAL"/>
              <w:rPr>
                <w:lang w:eastAsia="fr-FR"/>
              </w:rPr>
            </w:pPr>
            <w:r w:rsidRPr="00873B6C">
              <w:rPr>
                <w:lang w:eastAsia="fr-FR"/>
              </w:rPr>
              <w:t>&gt; portDS.delayMechanism</w:t>
            </w:r>
          </w:p>
        </w:tc>
        <w:tc>
          <w:tcPr>
            <w:tcW w:w="709" w:type="dxa"/>
            <w:shd w:val="clear" w:color="auto" w:fill="auto"/>
          </w:tcPr>
          <w:p w14:paraId="48048C5E"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189DA4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08881E1" w14:textId="77777777" w:rsidR="00857A0D" w:rsidRPr="00873B6C" w:rsidRDefault="00857A0D" w:rsidP="00857A0D">
            <w:pPr>
              <w:pStyle w:val="TAC"/>
              <w:rPr>
                <w:lang w:eastAsia="fr-FR"/>
              </w:rPr>
            </w:pPr>
            <w:r w:rsidRPr="00873B6C">
              <w:rPr>
                <w:lang w:eastAsia="fr-FR"/>
              </w:rPr>
              <w:t>RW</w:t>
            </w:r>
          </w:p>
        </w:tc>
        <w:tc>
          <w:tcPr>
            <w:tcW w:w="1338" w:type="dxa"/>
          </w:tcPr>
          <w:p w14:paraId="1FEB80B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8B59624" w14:textId="77777777" w:rsidR="00857A0D" w:rsidRPr="00873B6C" w:rsidRDefault="00857A0D" w:rsidP="00857A0D">
            <w:pPr>
              <w:pStyle w:val="TAC"/>
              <w:rPr>
                <w:lang w:eastAsia="fr-FR"/>
              </w:rPr>
            </w:pPr>
            <w:r w:rsidRPr="00873B6C">
              <w:rPr>
                <w:lang w:eastAsia="fr-FR"/>
              </w:rPr>
              <w:t>IEEE Std 802.1AS [104] clause 14.8.5</w:t>
            </w:r>
          </w:p>
        </w:tc>
      </w:tr>
      <w:tr w:rsidR="00857A0D" w:rsidRPr="00873B6C" w14:paraId="0524E7E3" w14:textId="77777777" w:rsidTr="00C9561D">
        <w:trPr>
          <w:cantSplit/>
          <w:jc w:val="center"/>
        </w:trPr>
        <w:tc>
          <w:tcPr>
            <w:tcW w:w="3735" w:type="dxa"/>
            <w:shd w:val="clear" w:color="auto" w:fill="auto"/>
          </w:tcPr>
          <w:p w14:paraId="1649D590" w14:textId="77777777" w:rsidR="00857A0D" w:rsidRPr="00873B6C" w:rsidRDefault="00857A0D" w:rsidP="00857A0D">
            <w:pPr>
              <w:pStyle w:val="TAL"/>
              <w:rPr>
                <w:lang w:eastAsia="fr-FR"/>
              </w:rPr>
            </w:pPr>
            <w:r w:rsidRPr="00873B6C">
              <w:rPr>
                <w:lang w:eastAsia="fr-FR"/>
              </w:rPr>
              <w:t>&gt; portDS.isMeasuringDelay</w:t>
            </w:r>
          </w:p>
        </w:tc>
        <w:tc>
          <w:tcPr>
            <w:tcW w:w="709" w:type="dxa"/>
            <w:shd w:val="clear" w:color="auto" w:fill="auto"/>
          </w:tcPr>
          <w:p w14:paraId="2992B8D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CC9436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02ABA14" w14:textId="77777777" w:rsidR="00857A0D" w:rsidRPr="00873B6C" w:rsidRDefault="00857A0D" w:rsidP="00857A0D">
            <w:pPr>
              <w:pStyle w:val="TAC"/>
              <w:rPr>
                <w:lang w:eastAsia="fr-FR"/>
              </w:rPr>
            </w:pPr>
            <w:r w:rsidRPr="00873B6C">
              <w:rPr>
                <w:lang w:eastAsia="fr-FR"/>
              </w:rPr>
              <w:t>R</w:t>
            </w:r>
          </w:p>
        </w:tc>
        <w:tc>
          <w:tcPr>
            <w:tcW w:w="1338" w:type="dxa"/>
          </w:tcPr>
          <w:p w14:paraId="12316304"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0BB04A73" w14:textId="77777777" w:rsidR="00857A0D" w:rsidRPr="00873B6C" w:rsidRDefault="00857A0D" w:rsidP="00857A0D">
            <w:pPr>
              <w:pStyle w:val="TAC"/>
              <w:rPr>
                <w:lang w:eastAsia="fr-FR"/>
              </w:rPr>
            </w:pPr>
            <w:r w:rsidRPr="00873B6C">
              <w:rPr>
                <w:lang w:eastAsia="fr-FR"/>
              </w:rPr>
              <w:t>IEEE Std 802.1AS [104] clause 14.8.6</w:t>
            </w:r>
          </w:p>
        </w:tc>
      </w:tr>
      <w:tr w:rsidR="00857A0D" w:rsidRPr="00873B6C" w14:paraId="3F273CE2" w14:textId="77777777" w:rsidTr="00C9561D">
        <w:trPr>
          <w:cantSplit/>
          <w:jc w:val="center"/>
        </w:trPr>
        <w:tc>
          <w:tcPr>
            <w:tcW w:w="3735" w:type="dxa"/>
            <w:shd w:val="clear" w:color="auto" w:fill="auto"/>
          </w:tcPr>
          <w:p w14:paraId="73E0953A" w14:textId="77777777" w:rsidR="00857A0D" w:rsidRPr="00873B6C" w:rsidRDefault="00857A0D" w:rsidP="00857A0D">
            <w:pPr>
              <w:pStyle w:val="TAL"/>
              <w:rPr>
                <w:lang w:eastAsia="fr-FR"/>
              </w:rPr>
            </w:pPr>
            <w:r w:rsidRPr="00873B6C">
              <w:rPr>
                <w:lang w:eastAsia="fr-FR"/>
              </w:rPr>
              <w:t>&gt; portDS.asCapable</w:t>
            </w:r>
          </w:p>
        </w:tc>
        <w:tc>
          <w:tcPr>
            <w:tcW w:w="709" w:type="dxa"/>
            <w:shd w:val="clear" w:color="auto" w:fill="auto"/>
          </w:tcPr>
          <w:p w14:paraId="09C9C0E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BF9B72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5F53D12" w14:textId="77777777" w:rsidR="00857A0D" w:rsidRPr="00873B6C" w:rsidRDefault="00857A0D" w:rsidP="00857A0D">
            <w:pPr>
              <w:pStyle w:val="TAC"/>
              <w:rPr>
                <w:lang w:eastAsia="fr-FR"/>
              </w:rPr>
            </w:pPr>
            <w:r w:rsidRPr="00873B6C">
              <w:rPr>
                <w:lang w:eastAsia="fr-FR"/>
              </w:rPr>
              <w:t>R</w:t>
            </w:r>
          </w:p>
        </w:tc>
        <w:tc>
          <w:tcPr>
            <w:tcW w:w="1338" w:type="dxa"/>
          </w:tcPr>
          <w:p w14:paraId="3C34C1D1"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4EFC4671" w14:textId="77777777" w:rsidR="00857A0D" w:rsidRPr="00873B6C" w:rsidRDefault="00857A0D" w:rsidP="00857A0D">
            <w:pPr>
              <w:pStyle w:val="TAC"/>
              <w:rPr>
                <w:lang w:eastAsia="fr-FR"/>
              </w:rPr>
            </w:pPr>
            <w:r w:rsidRPr="00873B6C">
              <w:rPr>
                <w:lang w:eastAsia="fr-FR"/>
              </w:rPr>
              <w:t>IEEE Std 802.1AS [104] clause 14.8.7</w:t>
            </w:r>
          </w:p>
        </w:tc>
      </w:tr>
      <w:tr w:rsidR="00857A0D" w:rsidRPr="00873B6C" w14:paraId="0CFE1409" w14:textId="77777777" w:rsidTr="00C9561D">
        <w:trPr>
          <w:cantSplit/>
          <w:jc w:val="center"/>
        </w:trPr>
        <w:tc>
          <w:tcPr>
            <w:tcW w:w="3735" w:type="dxa"/>
            <w:shd w:val="clear" w:color="auto" w:fill="auto"/>
          </w:tcPr>
          <w:p w14:paraId="5F579027" w14:textId="77777777" w:rsidR="00857A0D" w:rsidRPr="00873B6C" w:rsidRDefault="00857A0D" w:rsidP="00857A0D">
            <w:pPr>
              <w:pStyle w:val="TAL"/>
              <w:rPr>
                <w:lang w:eastAsia="fr-FR"/>
              </w:rPr>
            </w:pPr>
            <w:r w:rsidRPr="00873B6C">
              <w:rPr>
                <w:lang w:eastAsia="fr-FR"/>
              </w:rPr>
              <w:t>&gt; portDS.meanLinkDelay</w:t>
            </w:r>
          </w:p>
        </w:tc>
        <w:tc>
          <w:tcPr>
            <w:tcW w:w="709" w:type="dxa"/>
            <w:shd w:val="clear" w:color="auto" w:fill="auto"/>
          </w:tcPr>
          <w:p w14:paraId="3D42112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A987E4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731285C" w14:textId="77777777" w:rsidR="00857A0D" w:rsidRPr="00873B6C" w:rsidRDefault="00857A0D" w:rsidP="00857A0D">
            <w:pPr>
              <w:pStyle w:val="TAC"/>
              <w:rPr>
                <w:lang w:eastAsia="fr-FR"/>
              </w:rPr>
            </w:pPr>
            <w:r w:rsidRPr="00873B6C">
              <w:rPr>
                <w:lang w:eastAsia="fr-FR"/>
              </w:rPr>
              <w:t>R</w:t>
            </w:r>
          </w:p>
        </w:tc>
        <w:tc>
          <w:tcPr>
            <w:tcW w:w="1338" w:type="dxa"/>
          </w:tcPr>
          <w:p w14:paraId="73E61E98"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5E30B0DE" w14:textId="77777777" w:rsidR="00857A0D" w:rsidRPr="00873B6C" w:rsidRDefault="00857A0D" w:rsidP="00857A0D">
            <w:pPr>
              <w:pStyle w:val="TAC"/>
              <w:rPr>
                <w:lang w:eastAsia="fr-FR"/>
              </w:rPr>
            </w:pPr>
            <w:r w:rsidRPr="00873B6C">
              <w:rPr>
                <w:lang w:eastAsia="fr-FR"/>
              </w:rPr>
              <w:t>IEEE Std 802.1AS [104] clause 14.8.8</w:t>
            </w:r>
          </w:p>
        </w:tc>
      </w:tr>
      <w:tr w:rsidR="00857A0D" w:rsidRPr="00873B6C" w14:paraId="4747ED0B" w14:textId="77777777" w:rsidTr="00C9561D">
        <w:trPr>
          <w:cantSplit/>
          <w:jc w:val="center"/>
        </w:trPr>
        <w:tc>
          <w:tcPr>
            <w:tcW w:w="3735" w:type="dxa"/>
            <w:shd w:val="clear" w:color="auto" w:fill="auto"/>
          </w:tcPr>
          <w:p w14:paraId="0A535984" w14:textId="77777777" w:rsidR="00857A0D" w:rsidRPr="00873B6C" w:rsidRDefault="00857A0D" w:rsidP="00857A0D">
            <w:pPr>
              <w:pStyle w:val="TAL"/>
              <w:rPr>
                <w:lang w:eastAsia="fr-FR"/>
              </w:rPr>
            </w:pPr>
            <w:r w:rsidRPr="00873B6C">
              <w:rPr>
                <w:lang w:eastAsia="fr-FR"/>
              </w:rPr>
              <w:t>&gt; portDS.meanLinkDelayThresh</w:t>
            </w:r>
          </w:p>
        </w:tc>
        <w:tc>
          <w:tcPr>
            <w:tcW w:w="709" w:type="dxa"/>
            <w:shd w:val="clear" w:color="auto" w:fill="auto"/>
          </w:tcPr>
          <w:p w14:paraId="3A9DD1EE"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38B5B0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430AF0E" w14:textId="77777777" w:rsidR="00857A0D" w:rsidRPr="00873B6C" w:rsidRDefault="00857A0D" w:rsidP="00857A0D">
            <w:pPr>
              <w:pStyle w:val="TAC"/>
              <w:rPr>
                <w:lang w:eastAsia="fr-FR"/>
              </w:rPr>
            </w:pPr>
            <w:r w:rsidRPr="00873B6C">
              <w:rPr>
                <w:lang w:eastAsia="fr-FR"/>
              </w:rPr>
              <w:t>RW</w:t>
            </w:r>
          </w:p>
        </w:tc>
        <w:tc>
          <w:tcPr>
            <w:tcW w:w="1338" w:type="dxa"/>
          </w:tcPr>
          <w:p w14:paraId="7AB881CD"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3588DE3" w14:textId="77777777" w:rsidR="00857A0D" w:rsidRPr="00873B6C" w:rsidRDefault="00857A0D" w:rsidP="00857A0D">
            <w:pPr>
              <w:pStyle w:val="TAC"/>
              <w:rPr>
                <w:lang w:eastAsia="fr-FR"/>
              </w:rPr>
            </w:pPr>
            <w:r w:rsidRPr="00873B6C">
              <w:rPr>
                <w:lang w:eastAsia="fr-FR"/>
              </w:rPr>
              <w:t>IEEE Std 802.1AS [104] clause 14.8.9</w:t>
            </w:r>
          </w:p>
        </w:tc>
      </w:tr>
      <w:tr w:rsidR="00857A0D" w:rsidRPr="00873B6C" w14:paraId="38823040" w14:textId="77777777" w:rsidTr="00C9561D">
        <w:trPr>
          <w:cantSplit/>
          <w:jc w:val="center"/>
        </w:trPr>
        <w:tc>
          <w:tcPr>
            <w:tcW w:w="3735" w:type="dxa"/>
            <w:shd w:val="clear" w:color="auto" w:fill="auto"/>
          </w:tcPr>
          <w:p w14:paraId="2D5DA5F3" w14:textId="77777777" w:rsidR="00857A0D" w:rsidRPr="00873B6C" w:rsidRDefault="00857A0D" w:rsidP="00857A0D">
            <w:pPr>
              <w:pStyle w:val="TAL"/>
              <w:rPr>
                <w:lang w:eastAsia="fr-FR"/>
              </w:rPr>
            </w:pPr>
            <w:r w:rsidRPr="00873B6C">
              <w:rPr>
                <w:lang w:eastAsia="fr-FR"/>
              </w:rPr>
              <w:t>&gt; portDS.delayAsymmetry</w:t>
            </w:r>
          </w:p>
        </w:tc>
        <w:tc>
          <w:tcPr>
            <w:tcW w:w="709" w:type="dxa"/>
            <w:shd w:val="clear" w:color="auto" w:fill="auto"/>
          </w:tcPr>
          <w:p w14:paraId="7CB424C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5F3EDC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9F53B44" w14:textId="77777777" w:rsidR="00857A0D" w:rsidRPr="00873B6C" w:rsidRDefault="00857A0D" w:rsidP="00857A0D">
            <w:pPr>
              <w:pStyle w:val="TAC"/>
              <w:rPr>
                <w:lang w:eastAsia="fr-FR"/>
              </w:rPr>
            </w:pPr>
            <w:r w:rsidRPr="00873B6C">
              <w:rPr>
                <w:lang w:eastAsia="fr-FR"/>
              </w:rPr>
              <w:t>RW</w:t>
            </w:r>
          </w:p>
        </w:tc>
        <w:tc>
          <w:tcPr>
            <w:tcW w:w="1338" w:type="dxa"/>
          </w:tcPr>
          <w:p w14:paraId="6FEF68F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E9B57C0" w14:textId="77777777" w:rsidR="00857A0D" w:rsidRPr="00873B6C" w:rsidRDefault="00857A0D" w:rsidP="00857A0D">
            <w:pPr>
              <w:pStyle w:val="TAC"/>
              <w:rPr>
                <w:lang w:eastAsia="fr-FR"/>
              </w:rPr>
            </w:pPr>
            <w:r w:rsidRPr="00873B6C">
              <w:rPr>
                <w:lang w:eastAsia="fr-FR"/>
              </w:rPr>
              <w:t>IEEE Std 802.1AS [104] clause 14.8.10</w:t>
            </w:r>
          </w:p>
        </w:tc>
      </w:tr>
      <w:tr w:rsidR="00857A0D" w:rsidRPr="00873B6C" w14:paraId="376134C6" w14:textId="77777777" w:rsidTr="00C9561D">
        <w:trPr>
          <w:cantSplit/>
          <w:jc w:val="center"/>
        </w:trPr>
        <w:tc>
          <w:tcPr>
            <w:tcW w:w="3735" w:type="dxa"/>
            <w:shd w:val="clear" w:color="auto" w:fill="auto"/>
          </w:tcPr>
          <w:p w14:paraId="7581D65F" w14:textId="77777777" w:rsidR="00857A0D" w:rsidRPr="00873B6C" w:rsidRDefault="00857A0D" w:rsidP="00857A0D">
            <w:pPr>
              <w:pStyle w:val="TAL"/>
              <w:rPr>
                <w:lang w:eastAsia="fr-FR"/>
              </w:rPr>
            </w:pPr>
            <w:r w:rsidRPr="00873B6C">
              <w:rPr>
                <w:lang w:eastAsia="fr-FR"/>
              </w:rPr>
              <w:t>&gt; portDS.neighborRateRatio</w:t>
            </w:r>
          </w:p>
        </w:tc>
        <w:tc>
          <w:tcPr>
            <w:tcW w:w="709" w:type="dxa"/>
            <w:shd w:val="clear" w:color="auto" w:fill="auto"/>
          </w:tcPr>
          <w:p w14:paraId="1109F38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5D01CA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BE7ABEC" w14:textId="77777777" w:rsidR="00857A0D" w:rsidRPr="00873B6C" w:rsidRDefault="00857A0D" w:rsidP="00857A0D">
            <w:pPr>
              <w:pStyle w:val="TAC"/>
              <w:rPr>
                <w:lang w:eastAsia="fr-FR"/>
              </w:rPr>
            </w:pPr>
            <w:r w:rsidRPr="00873B6C">
              <w:rPr>
                <w:lang w:eastAsia="fr-FR"/>
              </w:rPr>
              <w:t>R</w:t>
            </w:r>
          </w:p>
        </w:tc>
        <w:tc>
          <w:tcPr>
            <w:tcW w:w="1338" w:type="dxa"/>
          </w:tcPr>
          <w:p w14:paraId="61BB6F99"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6EB52BE0" w14:textId="77777777" w:rsidR="00857A0D" w:rsidRPr="00873B6C" w:rsidRDefault="00857A0D" w:rsidP="00857A0D">
            <w:pPr>
              <w:pStyle w:val="TAC"/>
              <w:rPr>
                <w:lang w:eastAsia="fr-FR"/>
              </w:rPr>
            </w:pPr>
            <w:r w:rsidRPr="00873B6C">
              <w:rPr>
                <w:lang w:eastAsia="fr-FR"/>
              </w:rPr>
              <w:t>IEEE Std 802.1AS [104] clause 14.8.11</w:t>
            </w:r>
          </w:p>
        </w:tc>
      </w:tr>
      <w:tr w:rsidR="00857A0D" w:rsidRPr="00873B6C" w14:paraId="4769698B" w14:textId="77777777" w:rsidTr="00C9561D">
        <w:trPr>
          <w:cantSplit/>
          <w:jc w:val="center"/>
        </w:trPr>
        <w:tc>
          <w:tcPr>
            <w:tcW w:w="3735" w:type="dxa"/>
            <w:shd w:val="clear" w:color="auto" w:fill="auto"/>
          </w:tcPr>
          <w:p w14:paraId="27326846" w14:textId="77777777" w:rsidR="00857A0D" w:rsidRPr="00873B6C" w:rsidRDefault="00857A0D" w:rsidP="00857A0D">
            <w:pPr>
              <w:pStyle w:val="TAL"/>
              <w:rPr>
                <w:lang w:eastAsia="fr-FR"/>
              </w:rPr>
            </w:pPr>
            <w:r w:rsidRPr="00873B6C">
              <w:rPr>
                <w:lang w:eastAsia="fr-FR"/>
              </w:rPr>
              <w:t>&gt; portDS.initialLogAnnounceInterval</w:t>
            </w:r>
          </w:p>
        </w:tc>
        <w:tc>
          <w:tcPr>
            <w:tcW w:w="709" w:type="dxa"/>
            <w:shd w:val="clear" w:color="auto" w:fill="auto"/>
          </w:tcPr>
          <w:p w14:paraId="53D6FED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9FAC3B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433F065" w14:textId="77777777" w:rsidR="00857A0D" w:rsidRPr="00873B6C" w:rsidRDefault="00857A0D" w:rsidP="00857A0D">
            <w:pPr>
              <w:pStyle w:val="TAC"/>
              <w:rPr>
                <w:lang w:eastAsia="fr-FR"/>
              </w:rPr>
            </w:pPr>
            <w:r w:rsidRPr="00873B6C">
              <w:rPr>
                <w:lang w:eastAsia="fr-FR"/>
              </w:rPr>
              <w:t>RW</w:t>
            </w:r>
          </w:p>
        </w:tc>
        <w:tc>
          <w:tcPr>
            <w:tcW w:w="1338" w:type="dxa"/>
          </w:tcPr>
          <w:p w14:paraId="779A182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D9D5241" w14:textId="77777777" w:rsidR="00857A0D" w:rsidRPr="00873B6C" w:rsidRDefault="00857A0D" w:rsidP="00857A0D">
            <w:pPr>
              <w:pStyle w:val="TAC"/>
              <w:rPr>
                <w:lang w:eastAsia="fr-FR"/>
              </w:rPr>
            </w:pPr>
            <w:r w:rsidRPr="00873B6C">
              <w:rPr>
                <w:lang w:eastAsia="fr-FR"/>
              </w:rPr>
              <w:t>IEEE Std 802.1AS [104] clause 14.8.12</w:t>
            </w:r>
          </w:p>
        </w:tc>
      </w:tr>
      <w:tr w:rsidR="00857A0D" w:rsidRPr="00873B6C" w14:paraId="2E5C8BA5" w14:textId="77777777" w:rsidTr="00C9561D">
        <w:trPr>
          <w:cantSplit/>
          <w:jc w:val="center"/>
        </w:trPr>
        <w:tc>
          <w:tcPr>
            <w:tcW w:w="3735" w:type="dxa"/>
            <w:shd w:val="clear" w:color="auto" w:fill="auto"/>
          </w:tcPr>
          <w:p w14:paraId="3202E2EC" w14:textId="77777777" w:rsidR="00857A0D" w:rsidRPr="00873B6C" w:rsidRDefault="00857A0D" w:rsidP="00857A0D">
            <w:pPr>
              <w:pStyle w:val="TAL"/>
              <w:rPr>
                <w:lang w:eastAsia="fr-FR"/>
              </w:rPr>
            </w:pPr>
            <w:r w:rsidRPr="00873B6C">
              <w:rPr>
                <w:lang w:eastAsia="fr-FR"/>
              </w:rPr>
              <w:t>&gt; portDS.currentLogAnnounceInterval</w:t>
            </w:r>
          </w:p>
        </w:tc>
        <w:tc>
          <w:tcPr>
            <w:tcW w:w="709" w:type="dxa"/>
            <w:shd w:val="clear" w:color="auto" w:fill="auto"/>
          </w:tcPr>
          <w:p w14:paraId="33C8410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47302A8"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B39B674" w14:textId="77777777" w:rsidR="00857A0D" w:rsidRPr="00873B6C" w:rsidRDefault="00857A0D" w:rsidP="00857A0D">
            <w:pPr>
              <w:pStyle w:val="TAC"/>
              <w:rPr>
                <w:lang w:eastAsia="fr-FR"/>
              </w:rPr>
            </w:pPr>
            <w:r w:rsidRPr="00873B6C">
              <w:rPr>
                <w:lang w:eastAsia="fr-FR"/>
              </w:rPr>
              <w:t>R</w:t>
            </w:r>
          </w:p>
        </w:tc>
        <w:tc>
          <w:tcPr>
            <w:tcW w:w="1338" w:type="dxa"/>
          </w:tcPr>
          <w:p w14:paraId="20196EAA"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0AB7203D" w14:textId="77777777" w:rsidR="00857A0D" w:rsidRPr="00873B6C" w:rsidRDefault="00857A0D" w:rsidP="00857A0D">
            <w:pPr>
              <w:pStyle w:val="TAC"/>
              <w:rPr>
                <w:lang w:eastAsia="fr-FR"/>
              </w:rPr>
            </w:pPr>
            <w:r w:rsidRPr="00873B6C">
              <w:rPr>
                <w:lang w:eastAsia="fr-FR"/>
              </w:rPr>
              <w:t>IEEE Std 802.1AS [104] clause 14.8.13</w:t>
            </w:r>
          </w:p>
        </w:tc>
      </w:tr>
      <w:tr w:rsidR="00857A0D" w:rsidRPr="00873B6C" w14:paraId="6996F572" w14:textId="77777777" w:rsidTr="00C9561D">
        <w:trPr>
          <w:cantSplit/>
          <w:jc w:val="center"/>
        </w:trPr>
        <w:tc>
          <w:tcPr>
            <w:tcW w:w="3735" w:type="dxa"/>
            <w:shd w:val="clear" w:color="auto" w:fill="auto"/>
          </w:tcPr>
          <w:p w14:paraId="2F65F75C" w14:textId="77777777" w:rsidR="00857A0D" w:rsidRPr="00873B6C" w:rsidRDefault="00857A0D" w:rsidP="00857A0D">
            <w:pPr>
              <w:pStyle w:val="TAL"/>
              <w:rPr>
                <w:lang w:eastAsia="fr-FR"/>
              </w:rPr>
            </w:pPr>
            <w:r w:rsidRPr="00873B6C">
              <w:rPr>
                <w:lang w:eastAsia="fr-FR"/>
              </w:rPr>
              <w:t>&gt; portDS.useMgtSettableLogAnnounceInterval</w:t>
            </w:r>
          </w:p>
        </w:tc>
        <w:tc>
          <w:tcPr>
            <w:tcW w:w="709" w:type="dxa"/>
            <w:shd w:val="clear" w:color="auto" w:fill="auto"/>
          </w:tcPr>
          <w:p w14:paraId="75CF43A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B638FED"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5952F5F" w14:textId="77777777" w:rsidR="00857A0D" w:rsidRPr="00873B6C" w:rsidRDefault="00857A0D" w:rsidP="00857A0D">
            <w:pPr>
              <w:pStyle w:val="TAC"/>
              <w:rPr>
                <w:lang w:eastAsia="fr-FR"/>
              </w:rPr>
            </w:pPr>
            <w:r w:rsidRPr="00873B6C">
              <w:rPr>
                <w:lang w:eastAsia="fr-FR"/>
              </w:rPr>
              <w:t>RW</w:t>
            </w:r>
          </w:p>
        </w:tc>
        <w:tc>
          <w:tcPr>
            <w:tcW w:w="1338" w:type="dxa"/>
          </w:tcPr>
          <w:p w14:paraId="674712CC"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CA8FA4C" w14:textId="77777777" w:rsidR="00857A0D" w:rsidRPr="00873B6C" w:rsidRDefault="00857A0D" w:rsidP="00857A0D">
            <w:pPr>
              <w:pStyle w:val="TAC"/>
              <w:rPr>
                <w:lang w:eastAsia="fr-FR"/>
              </w:rPr>
            </w:pPr>
            <w:r w:rsidRPr="00873B6C">
              <w:rPr>
                <w:lang w:eastAsia="fr-FR"/>
              </w:rPr>
              <w:t>IEEE Std 802.1AS [104] clause 14.8.14</w:t>
            </w:r>
          </w:p>
        </w:tc>
      </w:tr>
      <w:tr w:rsidR="00857A0D" w:rsidRPr="00873B6C" w14:paraId="07598A87" w14:textId="77777777" w:rsidTr="00C9561D">
        <w:trPr>
          <w:cantSplit/>
          <w:jc w:val="center"/>
        </w:trPr>
        <w:tc>
          <w:tcPr>
            <w:tcW w:w="3735" w:type="dxa"/>
            <w:shd w:val="clear" w:color="auto" w:fill="auto"/>
          </w:tcPr>
          <w:p w14:paraId="5F530D53" w14:textId="77777777" w:rsidR="00857A0D" w:rsidRPr="00873B6C" w:rsidRDefault="00857A0D" w:rsidP="00857A0D">
            <w:pPr>
              <w:pStyle w:val="TAL"/>
              <w:rPr>
                <w:lang w:eastAsia="fr-FR"/>
              </w:rPr>
            </w:pPr>
            <w:r w:rsidRPr="00873B6C">
              <w:rPr>
                <w:lang w:eastAsia="fr-FR"/>
              </w:rPr>
              <w:t>&gt; portDS.mgtSettableLogAnnounceInterval</w:t>
            </w:r>
          </w:p>
        </w:tc>
        <w:tc>
          <w:tcPr>
            <w:tcW w:w="709" w:type="dxa"/>
            <w:shd w:val="clear" w:color="auto" w:fill="auto"/>
          </w:tcPr>
          <w:p w14:paraId="10330D1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18AAA7D"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FBB438C" w14:textId="77777777" w:rsidR="00857A0D" w:rsidRPr="00873B6C" w:rsidRDefault="00857A0D" w:rsidP="00857A0D">
            <w:pPr>
              <w:pStyle w:val="TAC"/>
              <w:rPr>
                <w:lang w:eastAsia="fr-FR"/>
              </w:rPr>
            </w:pPr>
            <w:r w:rsidRPr="00873B6C">
              <w:rPr>
                <w:lang w:eastAsia="fr-FR"/>
              </w:rPr>
              <w:t>RW</w:t>
            </w:r>
          </w:p>
        </w:tc>
        <w:tc>
          <w:tcPr>
            <w:tcW w:w="1338" w:type="dxa"/>
          </w:tcPr>
          <w:p w14:paraId="1E1B05F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DBF84E2" w14:textId="77777777" w:rsidR="00857A0D" w:rsidRPr="00873B6C" w:rsidRDefault="00857A0D" w:rsidP="00857A0D">
            <w:pPr>
              <w:pStyle w:val="TAC"/>
              <w:rPr>
                <w:lang w:eastAsia="fr-FR"/>
              </w:rPr>
            </w:pPr>
            <w:r w:rsidRPr="00873B6C">
              <w:rPr>
                <w:lang w:eastAsia="fr-FR"/>
              </w:rPr>
              <w:t>IEEE Std 802.1AS [104] clause 14.8.15</w:t>
            </w:r>
          </w:p>
        </w:tc>
      </w:tr>
      <w:tr w:rsidR="00857A0D" w:rsidRPr="00873B6C" w14:paraId="6C8B638B" w14:textId="77777777" w:rsidTr="00C9561D">
        <w:trPr>
          <w:cantSplit/>
          <w:jc w:val="center"/>
        </w:trPr>
        <w:tc>
          <w:tcPr>
            <w:tcW w:w="3735" w:type="dxa"/>
            <w:shd w:val="clear" w:color="auto" w:fill="auto"/>
          </w:tcPr>
          <w:p w14:paraId="112407E8" w14:textId="77777777" w:rsidR="00857A0D" w:rsidRPr="00873B6C" w:rsidRDefault="00857A0D" w:rsidP="00857A0D">
            <w:pPr>
              <w:pStyle w:val="TAL"/>
              <w:rPr>
                <w:lang w:eastAsia="fr-FR"/>
              </w:rPr>
            </w:pPr>
            <w:r w:rsidRPr="00873B6C">
              <w:rPr>
                <w:lang w:eastAsia="fr-FR"/>
              </w:rPr>
              <w:t>&gt; portDS.announceReceiptTimeout</w:t>
            </w:r>
          </w:p>
        </w:tc>
        <w:tc>
          <w:tcPr>
            <w:tcW w:w="709" w:type="dxa"/>
            <w:shd w:val="clear" w:color="auto" w:fill="auto"/>
          </w:tcPr>
          <w:p w14:paraId="2E4FFEDD" w14:textId="77777777" w:rsidR="00857A0D" w:rsidRPr="00873B6C" w:rsidRDefault="00857A0D" w:rsidP="00857A0D">
            <w:pPr>
              <w:pStyle w:val="TAC"/>
              <w:rPr>
                <w:lang w:eastAsia="fr-FR"/>
              </w:rPr>
            </w:pPr>
          </w:p>
        </w:tc>
        <w:tc>
          <w:tcPr>
            <w:tcW w:w="708" w:type="dxa"/>
            <w:shd w:val="clear" w:color="auto" w:fill="auto"/>
          </w:tcPr>
          <w:p w14:paraId="4DF124D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7206EE1" w14:textId="77777777" w:rsidR="00857A0D" w:rsidRPr="00873B6C" w:rsidRDefault="00857A0D" w:rsidP="00857A0D">
            <w:pPr>
              <w:pStyle w:val="TAC"/>
              <w:rPr>
                <w:lang w:eastAsia="fr-FR"/>
              </w:rPr>
            </w:pPr>
            <w:r w:rsidRPr="00873B6C">
              <w:rPr>
                <w:lang w:eastAsia="fr-FR"/>
              </w:rPr>
              <w:t>RW</w:t>
            </w:r>
          </w:p>
        </w:tc>
        <w:tc>
          <w:tcPr>
            <w:tcW w:w="1338" w:type="dxa"/>
          </w:tcPr>
          <w:p w14:paraId="724A8ED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156DDE5" w14:textId="77777777" w:rsidR="00857A0D" w:rsidRPr="00873B6C" w:rsidRDefault="00857A0D" w:rsidP="00857A0D">
            <w:pPr>
              <w:pStyle w:val="TAC"/>
              <w:rPr>
                <w:lang w:eastAsia="fr-FR"/>
              </w:rPr>
            </w:pPr>
            <w:r w:rsidRPr="00873B6C">
              <w:rPr>
                <w:lang w:eastAsia="fr-FR"/>
              </w:rPr>
              <w:t>IEEE Std 802.1AS [104] clause 14.8.16</w:t>
            </w:r>
          </w:p>
        </w:tc>
      </w:tr>
      <w:tr w:rsidR="00857A0D" w:rsidRPr="00873B6C" w14:paraId="2C1BB546" w14:textId="77777777" w:rsidTr="00C9561D">
        <w:trPr>
          <w:cantSplit/>
          <w:jc w:val="center"/>
        </w:trPr>
        <w:tc>
          <w:tcPr>
            <w:tcW w:w="3735" w:type="dxa"/>
            <w:shd w:val="clear" w:color="auto" w:fill="auto"/>
          </w:tcPr>
          <w:p w14:paraId="3A76C508" w14:textId="77777777" w:rsidR="00857A0D" w:rsidRPr="00873B6C" w:rsidRDefault="00857A0D" w:rsidP="00857A0D">
            <w:pPr>
              <w:pStyle w:val="TAL"/>
              <w:rPr>
                <w:lang w:eastAsia="fr-FR"/>
              </w:rPr>
            </w:pPr>
            <w:r w:rsidRPr="00873B6C">
              <w:rPr>
                <w:lang w:eastAsia="fr-FR"/>
              </w:rPr>
              <w:t>&gt; portDS.initialLogSyncInterval</w:t>
            </w:r>
          </w:p>
        </w:tc>
        <w:tc>
          <w:tcPr>
            <w:tcW w:w="709" w:type="dxa"/>
            <w:shd w:val="clear" w:color="auto" w:fill="auto"/>
          </w:tcPr>
          <w:p w14:paraId="79718F5B"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49592E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930FFFB" w14:textId="77777777" w:rsidR="00857A0D" w:rsidRPr="00873B6C" w:rsidRDefault="00857A0D" w:rsidP="00857A0D">
            <w:pPr>
              <w:pStyle w:val="TAC"/>
              <w:rPr>
                <w:lang w:eastAsia="fr-FR"/>
              </w:rPr>
            </w:pPr>
            <w:r w:rsidRPr="00873B6C">
              <w:rPr>
                <w:lang w:eastAsia="fr-FR"/>
              </w:rPr>
              <w:t>RW</w:t>
            </w:r>
          </w:p>
        </w:tc>
        <w:tc>
          <w:tcPr>
            <w:tcW w:w="1338" w:type="dxa"/>
          </w:tcPr>
          <w:p w14:paraId="77D9212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FD93D90" w14:textId="77777777" w:rsidR="00857A0D" w:rsidRPr="00873B6C" w:rsidRDefault="00857A0D" w:rsidP="00857A0D">
            <w:pPr>
              <w:pStyle w:val="TAC"/>
              <w:rPr>
                <w:lang w:eastAsia="fr-FR"/>
              </w:rPr>
            </w:pPr>
            <w:r w:rsidRPr="00873B6C">
              <w:rPr>
                <w:lang w:eastAsia="fr-FR"/>
              </w:rPr>
              <w:t>IEEE Std 802.1AS [104] clause 14.8.17</w:t>
            </w:r>
          </w:p>
        </w:tc>
      </w:tr>
      <w:tr w:rsidR="00857A0D" w:rsidRPr="00873B6C" w14:paraId="2CF627B2" w14:textId="77777777" w:rsidTr="00C9561D">
        <w:trPr>
          <w:cantSplit/>
          <w:jc w:val="center"/>
        </w:trPr>
        <w:tc>
          <w:tcPr>
            <w:tcW w:w="3735" w:type="dxa"/>
            <w:shd w:val="clear" w:color="auto" w:fill="auto"/>
          </w:tcPr>
          <w:p w14:paraId="3E0610DA" w14:textId="77777777" w:rsidR="00857A0D" w:rsidRPr="00873B6C" w:rsidRDefault="00857A0D" w:rsidP="00857A0D">
            <w:pPr>
              <w:pStyle w:val="TAL"/>
              <w:rPr>
                <w:lang w:eastAsia="fr-FR"/>
              </w:rPr>
            </w:pPr>
            <w:r w:rsidRPr="00873B6C">
              <w:rPr>
                <w:lang w:eastAsia="fr-FR"/>
              </w:rPr>
              <w:lastRenderedPageBreak/>
              <w:t>&gt; portDS.currentLogSyncInterval</w:t>
            </w:r>
          </w:p>
        </w:tc>
        <w:tc>
          <w:tcPr>
            <w:tcW w:w="709" w:type="dxa"/>
            <w:shd w:val="clear" w:color="auto" w:fill="auto"/>
          </w:tcPr>
          <w:p w14:paraId="09C14D8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7C898D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59D98E0" w14:textId="77777777" w:rsidR="00857A0D" w:rsidRPr="00873B6C" w:rsidRDefault="00857A0D" w:rsidP="00857A0D">
            <w:pPr>
              <w:pStyle w:val="TAC"/>
              <w:rPr>
                <w:lang w:eastAsia="fr-FR"/>
              </w:rPr>
            </w:pPr>
            <w:r w:rsidRPr="00873B6C">
              <w:rPr>
                <w:lang w:eastAsia="fr-FR"/>
              </w:rPr>
              <w:t>R</w:t>
            </w:r>
          </w:p>
        </w:tc>
        <w:tc>
          <w:tcPr>
            <w:tcW w:w="1338" w:type="dxa"/>
          </w:tcPr>
          <w:p w14:paraId="49FE9880"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472D3925" w14:textId="77777777" w:rsidR="00857A0D" w:rsidRPr="00873B6C" w:rsidRDefault="00857A0D" w:rsidP="00857A0D">
            <w:pPr>
              <w:pStyle w:val="TAC"/>
              <w:rPr>
                <w:lang w:eastAsia="fr-FR"/>
              </w:rPr>
            </w:pPr>
            <w:r w:rsidRPr="00873B6C">
              <w:rPr>
                <w:lang w:eastAsia="fr-FR"/>
              </w:rPr>
              <w:t>IEEE Std 802.1AS [104] clause 14.8.18</w:t>
            </w:r>
          </w:p>
        </w:tc>
      </w:tr>
      <w:tr w:rsidR="00857A0D" w:rsidRPr="00873B6C" w14:paraId="277EC6D4" w14:textId="77777777" w:rsidTr="00C9561D">
        <w:trPr>
          <w:cantSplit/>
          <w:jc w:val="center"/>
        </w:trPr>
        <w:tc>
          <w:tcPr>
            <w:tcW w:w="3735" w:type="dxa"/>
            <w:shd w:val="clear" w:color="auto" w:fill="auto"/>
          </w:tcPr>
          <w:p w14:paraId="7A5D96AD" w14:textId="77777777" w:rsidR="00857A0D" w:rsidRPr="00873B6C" w:rsidRDefault="00857A0D" w:rsidP="00857A0D">
            <w:pPr>
              <w:pStyle w:val="TAL"/>
              <w:rPr>
                <w:lang w:eastAsia="fr-FR"/>
              </w:rPr>
            </w:pPr>
            <w:r w:rsidRPr="00873B6C">
              <w:rPr>
                <w:lang w:eastAsia="fr-FR"/>
              </w:rPr>
              <w:t>&gt; portDS.useMgtSettableLogSyncInterval</w:t>
            </w:r>
          </w:p>
        </w:tc>
        <w:tc>
          <w:tcPr>
            <w:tcW w:w="709" w:type="dxa"/>
            <w:shd w:val="clear" w:color="auto" w:fill="auto"/>
          </w:tcPr>
          <w:p w14:paraId="736A61D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338134D"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949529B" w14:textId="77777777" w:rsidR="00857A0D" w:rsidRPr="00873B6C" w:rsidRDefault="00857A0D" w:rsidP="00857A0D">
            <w:pPr>
              <w:pStyle w:val="TAC"/>
              <w:rPr>
                <w:lang w:eastAsia="fr-FR"/>
              </w:rPr>
            </w:pPr>
            <w:r w:rsidRPr="00873B6C">
              <w:rPr>
                <w:lang w:eastAsia="fr-FR"/>
              </w:rPr>
              <w:t>RW</w:t>
            </w:r>
          </w:p>
        </w:tc>
        <w:tc>
          <w:tcPr>
            <w:tcW w:w="1338" w:type="dxa"/>
          </w:tcPr>
          <w:p w14:paraId="7CF2D1C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A66DED2" w14:textId="77777777" w:rsidR="00857A0D" w:rsidRPr="00873B6C" w:rsidRDefault="00857A0D" w:rsidP="00857A0D">
            <w:pPr>
              <w:pStyle w:val="TAC"/>
              <w:rPr>
                <w:lang w:eastAsia="fr-FR"/>
              </w:rPr>
            </w:pPr>
            <w:r w:rsidRPr="00873B6C">
              <w:rPr>
                <w:lang w:eastAsia="fr-FR"/>
              </w:rPr>
              <w:t>IEEE Std 802.1AS [104] clause 14.8.19</w:t>
            </w:r>
          </w:p>
        </w:tc>
      </w:tr>
      <w:tr w:rsidR="00857A0D" w:rsidRPr="00873B6C" w14:paraId="31223FB6" w14:textId="77777777" w:rsidTr="00C9561D">
        <w:trPr>
          <w:cantSplit/>
          <w:jc w:val="center"/>
        </w:trPr>
        <w:tc>
          <w:tcPr>
            <w:tcW w:w="3735" w:type="dxa"/>
            <w:shd w:val="clear" w:color="auto" w:fill="auto"/>
          </w:tcPr>
          <w:p w14:paraId="459E70C2" w14:textId="77777777" w:rsidR="00857A0D" w:rsidRPr="00873B6C" w:rsidRDefault="00857A0D" w:rsidP="00857A0D">
            <w:pPr>
              <w:pStyle w:val="TAL"/>
              <w:rPr>
                <w:lang w:eastAsia="fr-FR"/>
              </w:rPr>
            </w:pPr>
            <w:r w:rsidRPr="00873B6C">
              <w:rPr>
                <w:lang w:eastAsia="fr-FR"/>
              </w:rPr>
              <w:t>&gt; portDS.mgtSettableLogSyncInterval</w:t>
            </w:r>
          </w:p>
        </w:tc>
        <w:tc>
          <w:tcPr>
            <w:tcW w:w="709" w:type="dxa"/>
            <w:shd w:val="clear" w:color="auto" w:fill="auto"/>
          </w:tcPr>
          <w:p w14:paraId="6A588FB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28EB6D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80897D8" w14:textId="77777777" w:rsidR="00857A0D" w:rsidRPr="00873B6C" w:rsidRDefault="00857A0D" w:rsidP="00857A0D">
            <w:pPr>
              <w:pStyle w:val="TAC"/>
              <w:rPr>
                <w:lang w:eastAsia="fr-FR"/>
              </w:rPr>
            </w:pPr>
            <w:r w:rsidRPr="00873B6C">
              <w:rPr>
                <w:lang w:eastAsia="fr-FR"/>
              </w:rPr>
              <w:t>RW</w:t>
            </w:r>
          </w:p>
        </w:tc>
        <w:tc>
          <w:tcPr>
            <w:tcW w:w="1338" w:type="dxa"/>
          </w:tcPr>
          <w:p w14:paraId="1CB5EF1F"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AA32DD7" w14:textId="77777777" w:rsidR="00857A0D" w:rsidRPr="00873B6C" w:rsidRDefault="00857A0D" w:rsidP="00857A0D">
            <w:pPr>
              <w:pStyle w:val="TAC"/>
              <w:rPr>
                <w:lang w:eastAsia="fr-FR"/>
              </w:rPr>
            </w:pPr>
            <w:r w:rsidRPr="00873B6C">
              <w:rPr>
                <w:lang w:eastAsia="fr-FR"/>
              </w:rPr>
              <w:t>IEEE Std 802.1AS [104] clause 14.8.20</w:t>
            </w:r>
          </w:p>
        </w:tc>
      </w:tr>
      <w:tr w:rsidR="00857A0D" w:rsidRPr="00873B6C" w14:paraId="0D6EE0A1" w14:textId="77777777" w:rsidTr="00C9561D">
        <w:trPr>
          <w:cantSplit/>
          <w:jc w:val="center"/>
        </w:trPr>
        <w:tc>
          <w:tcPr>
            <w:tcW w:w="3735" w:type="dxa"/>
            <w:shd w:val="clear" w:color="auto" w:fill="auto"/>
          </w:tcPr>
          <w:p w14:paraId="09F30236" w14:textId="77777777" w:rsidR="00857A0D" w:rsidRPr="00873B6C" w:rsidRDefault="00857A0D" w:rsidP="00857A0D">
            <w:pPr>
              <w:pStyle w:val="TAL"/>
              <w:rPr>
                <w:lang w:eastAsia="fr-FR"/>
              </w:rPr>
            </w:pPr>
            <w:r w:rsidRPr="00873B6C">
              <w:rPr>
                <w:lang w:eastAsia="fr-FR"/>
              </w:rPr>
              <w:t>&gt; portDS.syncReceiptTimeout</w:t>
            </w:r>
          </w:p>
        </w:tc>
        <w:tc>
          <w:tcPr>
            <w:tcW w:w="709" w:type="dxa"/>
            <w:shd w:val="clear" w:color="auto" w:fill="auto"/>
          </w:tcPr>
          <w:p w14:paraId="4AA883F8" w14:textId="77777777" w:rsidR="00857A0D" w:rsidRPr="00873B6C" w:rsidRDefault="00857A0D" w:rsidP="00857A0D">
            <w:pPr>
              <w:pStyle w:val="TAC"/>
              <w:rPr>
                <w:lang w:eastAsia="fr-FR"/>
              </w:rPr>
            </w:pPr>
          </w:p>
        </w:tc>
        <w:tc>
          <w:tcPr>
            <w:tcW w:w="708" w:type="dxa"/>
            <w:shd w:val="clear" w:color="auto" w:fill="auto"/>
          </w:tcPr>
          <w:p w14:paraId="3DDB9D5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D2F905C" w14:textId="77777777" w:rsidR="00857A0D" w:rsidRPr="00873B6C" w:rsidRDefault="00857A0D" w:rsidP="00857A0D">
            <w:pPr>
              <w:pStyle w:val="TAC"/>
              <w:rPr>
                <w:lang w:eastAsia="fr-FR"/>
              </w:rPr>
            </w:pPr>
            <w:r w:rsidRPr="00873B6C">
              <w:rPr>
                <w:lang w:eastAsia="fr-FR"/>
              </w:rPr>
              <w:t>RW</w:t>
            </w:r>
          </w:p>
        </w:tc>
        <w:tc>
          <w:tcPr>
            <w:tcW w:w="1338" w:type="dxa"/>
          </w:tcPr>
          <w:p w14:paraId="14C1E20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D0900C1" w14:textId="77777777" w:rsidR="00857A0D" w:rsidRPr="00873B6C" w:rsidRDefault="00857A0D" w:rsidP="00857A0D">
            <w:pPr>
              <w:pStyle w:val="TAC"/>
              <w:rPr>
                <w:lang w:eastAsia="fr-FR"/>
              </w:rPr>
            </w:pPr>
            <w:r w:rsidRPr="00873B6C">
              <w:rPr>
                <w:lang w:eastAsia="fr-FR"/>
              </w:rPr>
              <w:t>IEEE Std 802.1AS [104] clause 14.8.21</w:t>
            </w:r>
          </w:p>
        </w:tc>
      </w:tr>
      <w:tr w:rsidR="00857A0D" w:rsidRPr="00873B6C" w14:paraId="1E91ADE3" w14:textId="77777777" w:rsidTr="00C9561D">
        <w:trPr>
          <w:cantSplit/>
          <w:jc w:val="center"/>
        </w:trPr>
        <w:tc>
          <w:tcPr>
            <w:tcW w:w="3735" w:type="dxa"/>
            <w:shd w:val="clear" w:color="auto" w:fill="auto"/>
          </w:tcPr>
          <w:p w14:paraId="71AC4558" w14:textId="77777777" w:rsidR="00857A0D" w:rsidRPr="00873B6C" w:rsidRDefault="00857A0D" w:rsidP="00857A0D">
            <w:pPr>
              <w:pStyle w:val="TAL"/>
              <w:rPr>
                <w:lang w:eastAsia="fr-FR"/>
              </w:rPr>
            </w:pPr>
            <w:r w:rsidRPr="00873B6C">
              <w:rPr>
                <w:lang w:eastAsia="fr-FR"/>
              </w:rPr>
              <w:t>&gt; portDS.syncReceiptTimeoutTimeInterval</w:t>
            </w:r>
          </w:p>
        </w:tc>
        <w:tc>
          <w:tcPr>
            <w:tcW w:w="709" w:type="dxa"/>
            <w:shd w:val="clear" w:color="auto" w:fill="auto"/>
          </w:tcPr>
          <w:p w14:paraId="78ED3E65" w14:textId="77777777" w:rsidR="00857A0D" w:rsidRPr="00873B6C" w:rsidRDefault="00857A0D" w:rsidP="00857A0D">
            <w:pPr>
              <w:pStyle w:val="TAC"/>
              <w:rPr>
                <w:lang w:eastAsia="fr-FR"/>
              </w:rPr>
            </w:pPr>
          </w:p>
        </w:tc>
        <w:tc>
          <w:tcPr>
            <w:tcW w:w="708" w:type="dxa"/>
            <w:shd w:val="clear" w:color="auto" w:fill="auto"/>
          </w:tcPr>
          <w:p w14:paraId="407FAB9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CE6A647" w14:textId="77777777" w:rsidR="00857A0D" w:rsidRPr="00873B6C" w:rsidRDefault="00857A0D" w:rsidP="00857A0D">
            <w:pPr>
              <w:pStyle w:val="TAC"/>
              <w:rPr>
                <w:lang w:eastAsia="fr-FR"/>
              </w:rPr>
            </w:pPr>
            <w:r w:rsidRPr="00873B6C">
              <w:rPr>
                <w:lang w:eastAsia="fr-FR"/>
              </w:rPr>
              <w:t>RW</w:t>
            </w:r>
          </w:p>
        </w:tc>
        <w:tc>
          <w:tcPr>
            <w:tcW w:w="1338" w:type="dxa"/>
          </w:tcPr>
          <w:p w14:paraId="3785FD9C"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A5F216A" w14:textId="77777777" w:rsidR="00857A0D" w:rsidRPr="00873B6C" w:rsidRDefault="00857A0D" w:rsidP="00857A0D">
            <w:pPr>
              <w:pStyle w:val="TAC"/>
              <w:rPr>
                <w:lang w:eastAsia="fr-FR"/>
              </w:rPr>
            </w:pPr>
            <w:r w:rsidRPr="00873B6C">
              <w:rPr>
                <w:lang w:eastAsia="fr-FR"/>
              </w:rPr>
              <w:t>IEEE Std 802.1AS [104] clause 14.8.22</w:t>
            </w:r>
          </w:p>
        </w:tc>
      </w:tr>
      <w:tr w:rsidR="00857A0D" w:rsidRPr="00873B6C" w14:paraId="653B5F6A" w14:textId="77777777" w:rsidTr="00C9561D">
        <w:trPr>
          <w:cantSplit/>
          <w:jc w:val="center"/>
        </w:trPr>
        <w:tc>
          <w:tcPr>
            <w:tcW w:w="3735" w:type="dxa"/>
            <w:shd w:val="clear" w:color="auto" w:fill="auto"/>
          </w:tcPr>
          <w:p w14:paraId="55C890CA" w14:textId="77777777" w:rsidR="00857A0D" w:rsidRPr="00873B6C" w:rsidRDefault="00857A0D" w:rsidP="00857A0D">
            <w:pPr>
              <w:pStyle w:val="TAL"/>
              <w:rPr>
                <w:lang w:eastAsia="fr-FR"/>
              </w:rPr>
            </w:pPr>
            <w:r w:rsidRPr="00873B6C">
              <w:rPr>
                <w:lang w:eastAsia="fr-FR"/>
              </w:rPr>
              <w:t>&gt; portDS.initialLogPdelayReqInterval</w:t>
            </w:r>
          </w:p>
        </w:tc>
        <w:tc>
          <w:tcPr>
            <w:tcW w:w="709" w:type="dxa"/>
            <w:shd w:val="clear" w:color="auto" w:fill="auto"/>
          </w:tcPr>
          <w:p w14:paraId="0A677F7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F927351"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05EB7E6" w14:textId="77777777" w:rsidR="00857A0D" w:rsidRPr="00873B6C" w:rsidRDefault="00857A0D" w:rsidP="00857A0D">
            <w:pPr>
              <w:pStyle w:val="TAC"/>
              <w:rPr>
                <w:lang w:eastAsia="fr-FR"/>
              </w:rPr>
            </w:pPr>
            <w:r w:rsidRPr="00873B6C">
              <w:rPr>
                <w:lang w:eastAsia="fr-FR"/>
              </w:rPr>
              <w:t>RW</w:t>
            </w:r>
          </w:p>
        </w:tc>
        <w:tc>
          <w:tcPr>
            <w:tcW w:w="1338" w:type="dxa"/>
          </w:tcPr>
          <w:p w14:paraId="7CC1EBB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67C9A62" w14:textId="77777777" w:rsidR="00857A0D" w:rsidRPr="00873B6C" w:rsidRDefault="00857A0D" w:rsidP="00857A0D">
            <w:pPr>
              <w:pStyle w:val="TAC"/>
              <w:rPr>
                <w:lang w:eastAsia="fr-FR"/>
              </w:rPr>
            </w:pPr>
            <w:r w:rsidRPr="00873B6C">
              <w:rPr>
                <w:lang w:eastAsia="fr-FR"/>
              </w:rPr>
              <w:t>IEEE Std 802.1AS [104] clause 14.8.23</w:t>
            </w:r>
          </w:p>
        </w:tc>
      </w:tr>
      <w:tr w:rsidR="00857A0D" w:rsidRPr="00873B6C" w14:paraId="33D2F80E" w14:textId="77777777" w:rsidTr="00C9561D">
        <w:trPr>
          <w:cantSplit/>
          <w:jc w:val="center"/>
        </w:trPr>
        <w:tc>
          <w:tcPr>
            <w:tcW w:w="3735" w:type="dxa"/>
            <w:shd w:val="clear" w:color="auto" w:fill="auto"/>
          </w:tcPr>
          <w:p w14:paraId="31C86017" w14:textId="77777777" w:rsidR="00857A0D" w:rsidRPr="00873B6C" w:rsidRDefault="00857A0D" w:rsidP="00857A0D">
            <w:pPr>
              <w:pStyle w:val="TAL"/>
              <w:rPr>
                <w:lang w:eastAsia="fr-FR"/>
              </w:rPr>
            </w:pPr>
            <w:r w:rsidRPr="00873B6C">
              <w:rPr>
                <w:lang w:eastAsia="fr-FR"/>
              </w:rPr>
              <w:t>&gt; portDS.currentLogPdelayReqInterval</w:t>
            </w:r>
          </w:p>
        </w:tc>
        <w:tc>
          <w:tcPr>
            <w:tcW w:w="709" w:type="dxa"/>
            <w:shd w:val="clear" w:color="auto" w:fill="auto"/>
          </w:tcPr>
          <w:p w14:paraId="6F1B327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16CC0F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433E919" w14:textId="77777777" w:rsidR="00857A0D" w:rsidRPr="00873B6C" w:rsidRDefault="00857A0D" w:rsidP="00857A0D">
            <w:pPr>
              <w:pStyle w:val="TAC"/>
              <w:rPr>
                <w:lang w:eastAsia="fr-FR"/>
              </w:rPr>
            </w:pPr>
            <w:r w:rsidRPr="00873B6C">
              <w:rPr>
                <w:lang w:eastAsia="fr-FR"/>
              </w:rPr>
              <w:t>R</w:t>
            </w:r>
          </w:p>
        </w:tc>
        <w:tc>
          <w:tcPr>
            <w:tcW w:w="1338" w:type="dxa"/>
          </w:tcPr>
          <w:p w14:paraId="1682395B"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1CDF0BC3" w14:textId="77777777" w:rsidR="00857A0D" w:rsidRPr="00873B6C" w:rsidRDefault="00857A0D" w:rsidP="00857A0D">
            <w:pPr>
              <w:pStyle w:val="TAC"/>
              <w:rPr>
                <w:lang w:eastAsia="fr-FR"/>
              </w:rPr>
            </w:pPr>
            <w:r w:rsidRPr="00873B6C">
              <w:rPr>
                <w:lang w:eastAsia="fr-FR"/>
              </w:rPr>
              <w:t>IEEE Std 802.1AS [104] clause 14.8.24</w:t>
            </w:r>
          </w:p>
        </w:tc>
      </w:tr>
      <w:tr w:rsidR="00857A0D" w:rsidRPr="00873B6C" w14:paraId="2AC44EFB" w14:textId="77777777" w:rsidTr="00C9561D">
        <w:trPr>
          <w:cantSplit/>
          <w:jc w:val="center"/>
        </w:trPr>
        <w:tc>
          <w:tcPr>
            <w:tcW w:w="3735" w:type="dxa"/>
            <w:shd w:val="clear" w:color="auto" w:fill="auto"/>
          </w:tcPr>
          <w:p w14:paraId="3F82FE1D" w14:textId="77777777" w:rsidR="00857A0D" w:rsidRPr="00873B6C" w:rsidRDefault="00857A0D" w:rsidP="00857A0D">
            <w:pPr>
              <w:pStyle w:val="TAL"/>
              <w:rPr>
                <w:lang w:eastAsia="fr-FR"/>
              </w:rPr>
            </w:pPr>
            <w:r w:rsidRPr="00873B6C">
              <w:rPr>
                <w:lang w:eastAsia="fr-FR"/>
              </w:rPr>
              <w:t>&gt; portDS.useMgtSettableLogPdelayReqInterval</w:t>
            </w:r>
          </w:p>
        </w:tc>
        <w:tc>
          <w:tcPr>
            <w:tcW w:w="709" w:type="dxa"/>
            <w:shd w:val="clear" w:color="auto" w:fill="auto"/>
          </w:tcPr>
          <w:p w14:paraId="1F5B6DE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1935EA8"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DA3078E" w14:textId="77777777" w:rsidR="00857A0D" w:rsidRPr="00873B6C" w:rsidRDefault="00857A0D" w:rsidP="00857A0D">
            <w:pPr>
              <w:pStyle w:val="TAC"/>
              <w:rPr>
                <w:lang w:eastAsia="fr-FR"/>
              </w:rPr>
            </w:pPr>
            <w:r w:rsidRPr="00873B6C">
              <w:rPr>
                <w:lang w:eastAsia="fr-FR"/>
              </w:rPr>
              <w:t>RW</w:t>
            </w:r>
          </w:p>
        </w:tc>
        <w:tc>
          <w:tcPr>
            <w:tcW w:w="1338" w:type="dxa"/>
          </w:tcPr>
          <w:p w14:paraId="5265B91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37A6D6A" w14:textId="77777777" w:rsidR="00857A0D" w:rsidRPr="00873B6C" w:rsidRDefault="00857A0D" w:rsidP="00857A0D">
            <w:pPr>
              <w:pStyle w:val="TAC"/>
              <w:rPr>
                <w:lang w:eastAsia="fr-FR"/>
              </w:rPr>
            </w:pPr>
            <w:r w:rsidRPr="00873B6C">
              <w:rPr>
                <w:lang w:eastAsia="fr-FR"/>
              </w:rPr>
              <w:t>IEEE Std 802.1AS [104] clause 14.8.25</w:t>
            </w:r>
          </w:p>
        </w:tc>
      </w:tr>
      <w:tr w:rsidR="00857A0D" w:rsidRPr="00873B6C" w14:paraId="503A0E06" w14:textId="77777777" w:rsidTr="00C9561D">
        <w:trPr>
          <w:cantSplit/>
          <w:jc w:val="center"/>
        </w:trPr>
        <w:tc>
          <w:tcPr>
            <w:tcW w:w="3735" w:type="dxa"/>
            <w:shd w:val="clear" w:color="auto" w:fill="auto"/>
          </w:tcPr>
          <w:p w14:paraId="4816B3FF" w14:textId="77777777" w:rsidR="00857A0D" w:rsidRPr="00873B6C" w:rsidRDefault="00857A0D" w:rsidP="00857A0D">
            <w:pPr>
              <w:pStyle w:val="TAL"/>
              <w:rPr>
                <w:lang w:eastAsia="fr-FR"/>
              </w:rPr>
            </w:pPr>
            <w:r w:rsidRPr="00873B6C">
              <w:rPr>
                <w:lang w:eastAsia="fr-FR"/>
              </w:rPr>
              <w:t>&gt; portDS.mgtSettableLogPdelayReqInterval</w:t>
            </w:r>
          </w:p>
        </w:tc>
        <w:tc>
          <w:tcPr>
            <w:tcW w:w="709" w:type="dxa"/>
            <w:shd w:val="clear" w:color="auto" w:fill="auto"/>
          </w:tcPr>
          <w:p w14:paraId="2A041C0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AB4CD1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52D48FF" w14:textId="77777777" w:rsidR="00857A0D" w:rsidRPr="00873B6C" w:rsidRDefault="00857A0D" w:rsidP="00857A0D">
            <w:pPr>
              <w:pStyle w:val="TAC"/>
              <w:rPr>
                <w:lang w:eastAsia="fr-FR"/>
              </w:rPr>
            </w:pPr>
            <w:r w:rsidRPr="00873B6C">
              <w:rPr>
                <w:lang w:eastAsia="fr-FR"/>
              </w:rPr>
              <w:t>RW</w:t>
            </w:r>
          </w:p>
        </w:tc>
        <w:tc>
          <w:tcPr>
            <w:tcW w:w="1338" w:type="dxa"/>
          </w:tcPr>
          <w:p w14:paraId="35561D81"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3B6A08D" w14:textId="77777777" w:rsidR="00857A0D" w:rsidRPr="00873B6C" w:rsidRDefault="00857A0D" w:rsidP="00857A0D">
            <w:pPr>
              <w:pStyle w:val="TAC"/>
              <w:rPr>
                <w:lang w:eastAsia="fr-FR"/>
              </w:rPr>
            </w:pPr>
            <w:r w:rsidRPr="00873B6C">
              <w:rPr>
                <w:lang w:eastAsia="fr-FR"/>
              </w:rPr>
              <w:t>IEEE Std 802.1AS [104] clause 14.8.26</w:t>
            </w:r>
          </w:p>
        </w:tc>
      </w:tr>
      <w:tr w:rsidR="00857A0D" w:rsidRPr="00873B6C" w14:paraId="7066CD19" w14:textId="77777777" w:rsidTr="00C9561D">
        <w:trPr>
          <w:cantSplit/>
          <w:jc w:val="center"/>
        </w:trPr>
        <w:tc>
          <w:tcPr>
            <w:tcW w:w="3735" w:type="dxa"/>
            <w:shd w:val="clear" w:color="auto" w:fill="auto"/>
          </w:tcPr>
          <w:p w14:paraId="5E38DCFC" w14:textId="77777777" w:rsidR="00857A0D" w:rsidRPr="00873B6C" w:rsidRDefault="00857A0D" w:rsidP="00857A0D">
            <w:pPr>
              <w:pStyle w:val="TAL"/>
              <w:rPr>
                <w:lang w:eastAsia="fr-FR"/>
              </w:rPr>
            </w:pPr>
            <w:r w:rsidRPr="00873B6C">
              <w:rPr>
                <w:lang w:eastAsia="fr-FR"/>
              </w:rPr>
              <w:t>&gt; portDS.initialLogGptpCapableMessageInterval</w:t>
            </w:r>
          </w:p>
        </w:tc>
        <w:tc>
          <w:tcPr>
            <w:tcW w:w="709" w:type="dxa"/>
            <w:shd w:val="clear" w:color="auto" w:fill="auto"/>
          </w:tcPr>
          <w:p w14:paraId="4682A37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CC5BFA2"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955748E" w14:textId="77777777" w:rsidR="00857A0D" w:rsidRPr="00873B6C" w:rsidRDefault="00857A0D" w:rsidP="00857A0D">
            <w:pPr>
              <w:pStyle w:val="TAC"/>
              <w:rPr>
                <w:lang w:eastAsia="fr-FR"/>
              </w:rPr>
            </w:pPr>
            <w:r w:rsidRPr="00873B6C">
              <w:rPr>
                <w:lang w:eastAsia="fr-FR"/>
              </w:rPr>
              <w:t>RW</w:t>
            </w:r>
          </w:p>
        </w:tc>
        <w:tc>
          <w:tcPr>
            <w:tcW w:w="1338" w:type="dxa"/>
          </w:tcPr>
          <w:p w14:paraId="0E65491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EB211EE" w14:textId="77777777" w:rsidR="00857A0D" w:rsidRPr="00873B6C" w:rsidRDefault="00857A0D" w:rsidP="00857A0D">
            <w:pPr>
              <w:pStyle w:val="TAC"/>
              <w:rPr>
                <w:lang w:eastAsia="fr-FR"/>
              </w:rPr>
            </w:pPr>
            <w:r w:rsidRPr="00873B6C">
              <w:rPr>
                <w:lang w:eastAsia="fr-FR"/>
              </w:rPr>
              <w:t>IEEE Std 802.1AS [104] clause 14.8.27</w:t>
            </w:r>
          </w:p>
        </w:tc>
      </w:tr>
      <w:tr w:rsidR="00857A0D" w:rsidRPr="00873B6C" w14:paraId="36C6A25F" w14:textId="77777777" w:rsidTr="00C9561D">
        <w:trPr>
          <w:cantSplit/>
          <w:jc w:val="center"/>
        </w:trPr>
        <w:tc>
          <w:tcPr>
            <w:tcW w:w="3735" w:type="dxa"/>
            <w:shd w:val="clear" w:color="auto" w:fill="auto"/>
          </w:tcPr>
          <w:p w14:paraId="32D718AA" w14:textId="77777777" w:rsidR="00857A0D" w:rsidRPr="00873B6C" w:rsidRDefault="00857A0D" w:rsidP="00857A0D">
            <w:pPr>
              <w:pStyle w:val="TAL"/>
              <w:rPr>
                <w:lang w:eastAsia="fr-FR"/>
              </w:rPr>
            </w:pPr>
            <w:r w:rsidRPr="00873B6C">
              <w:rPr>
                <w:lang w:eastAsia="fr-FR"/>
              </w:rPr>
              <w:t>&gt; portDS.currentLogGptpCapableMessageInterval</w:t>
            </w:r>
          </w:p>
        </w:tc>
        <w:tc>
          <w:tcPr>
            <w:tcW w:w="709" w:type="dxa"/>
            <w:shd w:val="clear" w:color="auto" w:fill="auto"/>
          </w:tcPr>
          <w:p w14:paraId="00DA10D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8C4F53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6FF915A" w14:textId="77777777" w:rsidR="00857A0D" w:rsidRPr="00873B6C" w:rsidRDefault="00857A0D" w:rsidP="00857A0D">
            <w:pPr>
              <w:pStyle w:val="TAC"/>
              <w:rPr>
                <w:lang w:eastAsia="fr-FR"/>
              </w:rPr>
            </w:pPr>
            <w:r w:rsidRPr="00873B6C">
              <w:rPr>
                <w:lang w:eastAsia="fr-FR"/>
              </w:rPr>
              <w:t>R</w:t>
            </w:r>
          </w:p>
        </w:tc>
        <w:tc>
          <w:tcPr>
            <w:tcW w:w="1338" w:type="dxa"/>
          </w:tcPr>
          <w:p w14:paraId="5577F73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65505A6" w14:textId="77777777" w:rsidR="00857A0D" w:rsidRPr="00873B6C" w:rsidRDefault="00857A0D" w:rsidP="00857A0D">
            <w:pPr>
              <w:pStyle w:val="TAC"/>
              <w:rPr>
                <w:lang w:eastAsia="fr-FR"/>
              </w:rPr>
            </w:pPr>
            <w:r w:rsidRPr="00873B6C">
              <w:rPr>
                <w:lang w:eastAsia="fr-FR"/>
              </w:rPr>
              <w:t>IEEE Std 802.1AS [104] clause 14.8.28</w:t>
            </w:r>
          </w:p>
        </w:tc>
      </w:tr>
      <w:tr w:rsidR="00857A0D" w:rsidRPr="00873B6C" w14:paraId="000678F7" w14:textId="77777777" w:rsidTr="00C9561D">
        <w:trPr>
          <w:cantSplit/>
          <w:jc w:val="center"/>
        </w:trPr>
        <w:tc>
          <w:tcPr>
            <w:tcW w:w="3735" w:type="dxa"/>
            <w:shd w:val="clear" w:color="auto" w:fill="auto"/>
          </w:tcPr>
          <w:p w14:paraId="7D4FF418" w14:textId="77777777" w:rsidR="00857A0D" w:rsidRPr="00873B6C" w:rsidRDefault="00857A0D" w:rsidP="00857A0D">
            <w:pPr>
              <w:pStyle w:val="TAL"/>
              <w:rPr>
                <w:lang w:eastAsia="fr-FR"/>
              </w:rPr>
            </w:pPr>
            <w:r w:rsidRPr="00873B6C">
              <w:rPr>
                <w:lang w:eastAsia="fr-FR"/>
              </w:rPr>
              <w:t>&gt; portDS.useMgtSettableLogGptpCapableMessageInterval</w:t>
            </w:r>
          </w:p>
        </w:tc>
        <w:tc>
          <w:tcPr>
            <w:tcW w:w="709" w:type="dxa"/>
            <w:shd w:val="clear" w:color="auto" w:fill="auto"/>
          </w:tcPr>
          <w:p w14:paraId="7F5437E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CF16412"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398E793" w14:textId="77777777" w:rsidR="00857A0D" w:rsidRPr="00873B6C" w:rsidRDefault="00857A0D" w:rsidP="00857A0D">
            <w:pPr>
              <w:pStyle w:val="TAC"/>
              <w:rPr>
                <w:lang w:eastAsia="fr-FR"/>
              </w:rPr>
            </w:pPr>
            <w:r w:rsidRPr="00873B6C">
              <w:rPr>
                <w:lang w:eastAsia="fr-FR"/>
              </w:rPr>
              <w:t>RW</w:t>
            </w:r>
          </w:p>
        </w:tc>
        <w:tc>
          <w:tcPr>
            <w:tcW w:w="1338" w:type="dxa"/>
          </w:tcPr>
          <w:p w14:paraId="0BF8AE8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E4B0B89" w14:textId="77777777" w:rsidR="00857A0D" w:rsidRPr="00873B6C" w:rsidRDefault="00857A0D" w:rsidP="00857A0D">
            <w:pPr>
              <w:pStyle w:val="TAC"/>
              <w:rPr>
                <w:lang w:eastAsia="fr-FR"/>
              </w:rPr>
            </w:pPr>
            <w:r w:rsidRPr="00873B6C">
              <w:rPr>
                <w:lang w:eastAsia="fr-FR"/>
              </w:rPr>
              <w:t>IEEE Std 802.1AS [104] clause 14.8.29</w:t>
            </w:r>
          </w:p>
        </w:tc>
      </w:tr>
      <w:tr w:rsidR="00857A0D" w:rsidRPr="00873B6C" w14:paraId="2CA16F0D" w14:textId="77777777" w:rsidTr="00C9561D">
        <w:trPr>
          <w:cantSplit/>
          <w:jc w:val="center"/>
        </w:trPr>
        <w:tc>
          <w:tcPr>
            <w:tcW w:w="3735" w:type="dxa"/>
            <w:shd w:val="clear" w:color="auto" w:fill="auto"/>
          </w:tcPr>
          <w:p w14:paraId="135B4851" w14:textId="77777777" w:rsidR="00857A0D" w:rsidRPr="00873B6C" w:rsidRDefault="00857A0D" w:rsidP="00857A0D">
            <w:pPr>
              <w:pStyle w:val="TAL"/>
              <w:rPr>
                <w:lang w:eastAsia="fr-FR"/>
              </w:rPr>
            </w:pPr>
            <w:r w:rsidRPr="00873B6C">
              <w:rPr>
                <w:lang w:eastAsia="fr-FR"/>
              </w:rPr>
              <w:t>&gt; portDS.mgtSettableLogGptpCapableMessageInterval</w:t>
            </w:r>
          </w:p>
        </w:tc>
        <w:tc>
          <w:tcPr>
            <w:tcW w:w="709" w:type="dxa"/>
            <w:shd w:val="clear" w:color="auto" w:fill="auto"/>
          </w:tcPr>
          <w:p w14:paraId="2FF201D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23CDE3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4253D65" w14:textId="77777777" w:rsidR="00857A0D" w:rsidRPr="00873B6C" w:rsidRDefault="00857A0D" w:rsidP="00857A0D">
            <w:pPr>
              <w:pStyle w:val="TAC"/>
              <w:rPr>
                <w:lang w:eastAsia="fr-FR"/>
              </w:rPr>
            </w:pPr>
            <w:r w:rsidRPr="00873B6C">
              <w:rPr>
                <w:lang w:eastAsia="fr-FR"/>
              </w:rPr>
              <w:t>RW</w:t>
            </w:r>
          </w:p>
        </w:tc>
        <w:tc>
          <w:tcPr>
            <w:tcW w:w="1338" w:type="dxa"/>
          </w:tcPr>
          <w:p w14:paraId="43B110B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ADA8807" w14:textId="77777777" w:rsidR="00857A0D" w:rsidRPr="00873B6C" w:rsidRDefault="00857A0D" w:rsidP="00857A0D">
            <w:pPr>
              <w:pStyle w:val="TAC"/>
              <w:rPr>
                <w:lang w:eastAsia="fr-FR"/>
              </w:rPr>
            </w:pPr>
            <w:r w:rsidRPr="00873B6C">
              <w:rPr>
                <w:lang w:eastAsia="fr-FR"/>
              </w:rPr>
              <w:t>IEEE Std 802.1AS [104] clause 14.8.30</w:t>
            </w:r>
          </w:p>
        </w:tc>
      </w:tr>
      <w:tr w:rsidR="00857A0D" w:rsidRPr="00873B6C" w14:paraId="7F25FBF1" w14:textId="77777777" w:rsidTr="00C9561D">
        <w:trPr>
          <w:cantSplit/>
          <w:jc w:val="center"/>
        </w:trPr>
        <w:tc>
          <w:tcPr>
            <w:tcW w:w="3735" w:type="dxa"/>
            <w:shd w:val="clear" w:color="auto" w:fill="auto"/>
          </w:tcPr>
          <w:p w14:paraId="482E1EF6" w14:textId="77777777" w:rsidR="00857A0D" w:rsidRPr="00873B6C" w:rsidRDefault="00857A0D" w:rsidP="00857A0D">
            <w:pPr>
              <w:pStyle w:val="TAL"/>
              <w:rPr>
                <w:lang w:eastAsia="fr-FR"/>
              </w:rPr>
            </w:pPr>
            <w:r w:rsidRPr="00873B6C">
              <w:rPr>
                <w:lang w:eastAsia="fr-FR"/>
              </w:rPr>
              <w:t>&gt; portDS.initialComputeNeighborRateRatio</w:t>
            </w:r>
          </w:p>
        </w:tc>
        <w:tc>
          <w:tcPr>
            <w:tcW w:w="709" w:type="dxa"/>
            <w:shd w:val="clear" w:color="auto" w:fill="auto"/>
          </w:tcPr>
          <w:p w14:paraId="2C66AA0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99555C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109D7CA" w14:textId="77777777" w:rsidR="00857A0D" w:rsidRPr="00873B6C" w:rsidRDefault="00857A0D" w:rsidP="00857A0D">
            <w:pPr>
              <w:pStyle w:val="TAC"/>
              <w:rPr>
                <w:lang w:eastAsia="fr-FR"/>
              </w:rPr>
            </w:pPr>
            <w:r w:rsidRPr="00873B6C">
              <w:rPr>
                <w:lang w:eastAsia="fr-FR"/>
              </w:rPr>
              <w:t>RW</w:t>
            </w:r>
          </w:p>
        </w:tc>
        <w:tc>
          <w:tcPr>
            <w:tcW w:w="1338" w:type="dxa"/>
          </w:tcPr>
          <w:p w14:paraId="21A8484F"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FEAD624" w14:textId="77777777" w:rsidR="00857A0D" w:rsidRPr="00873B6C" w:rsidRDefault="00857A0D" w:rsidP="00857A0D">
            <w:pPr>
              <w:pStyle w:val="TAC"/>
              <w:rPr>
                <w:lang w:eastAsia="fr-FR"/>
              </w:rPr>
            </w:pPr>
            <w:r w:rsidRPr="00873B6C">
              <w:rPr>
                <w:lang w:eastAsia="fr-FR"/>
              </w:rPr>
              <w:t>IEEE Std 802.1AS [104] clause 14.8.31</w:t>
            </w:r>
          </w:p>
        </w:tc>
      </w:tr>
      <w:tr w:rsidR="00857A0D" w:rsidRPr="00873B6C" w14:paraId="18D5C3F6" w14:textId="77777777" w:rsidTr="00C9561D">
        <w:trPr>
          <w:cantSplit/>
          <w:jc w:val="center"/>
        </w:trPr>
        <w:tc>
          <w:tcPr>
            <w:tcW w:w="3735" w:type="dxa"/>
            <w:shd w:val="clear" w:color="auto" w:fill="auto"/>
          </w:tcPr>
          <w:p w14:paraId="6F3F36B9" w14:textId="77777777" w:rsidR="00857A0D" w:rsidRPr="00873B6C" w:rsidRDefault="00857A0D" w:rsidP="00857A0D">
            <w:pPr>
              <w:pStyle w:val="TAL"/>
              <w:rPr>
                <w:lang w:eastAsia="fr-FR"/>
              </w:rPr>
            </w:pPr>
            <w:r w:rsidRPr="00873B6C">
              <w:rPr>
                <w:lang w:eastAsia="fr-FR"/>
              </w:rPr>
              <w:t>&gt; portDS.currentComputeNeighborRateRatio</w:t>
            </w:r>
          </w:p>
        </w:tc>
        <w:tc>
          <w:tcPr>
            <w:tcW w:w="709" w:type="dxa"/>
            <w:shd w:val="clear" w:color="auto" w:fill="auto"/>
          </w:tcPr>
          <w:p w14:paraId="67233FE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E56918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A18B184" w14:textId="77777777" w:rsidR="00857A0D" w:rsidRPr="00873B6C" w:rsidRDefault="00857A0D" w:rsidP="00857A0D">
            <w:pPr>
              <w:pStyle w:val="TAC"/>
              <w:rPr>
                <w:lang w:eastAsia="fr-FR"/>
              </w:rPr>
            </w:pPr>
            <w:r w:rsidRPr="00873B6C">
              <w:rPr>
                <w:lang w:eastAsia="fr-FR"/>
              </w:rPr>
              <w:t>R</w:t>
            </w:r>
          </w:p>
        </w:tc>
        <w:tc>
          <w:tcPr>
            <w:tcW w:w="1338" w:type="dxa"/>
          </w:tcPr>
          <w:p w14:paraId="505F02D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67FE10C2" w14:textId="77777777" w:rsidR="00857A0D" w:rsidRPr="00873B6C" w:rsidRDefault="00857A0D" w:rsidP="00857A0D">
            <w:pPr>
              <w:pStyle w:val="TAC"/>
              <w:rPr>
                <w:lang w:eastAsia="fr-FR"/>
              </w:rPr>
            </w:pPr>
            <w:r w:rsidRPr="00873B6C">
              <w:rPr>
                <w:lang w:eastAsia="fr-FR"/>
              </w:rPr>
              <w:t>IEEE Std 802.1AS [104] clause 14.8.32</w:t>
            </w:r>
          </w:p>
        </w:tc>
      </w:tr>
      <w:tr w:rsidR="00857A0D" w:rsidRPr="00873B6C" w14:paraId="62548535" w14:textId="77777777" w:rsidTr="00C9561D">
        <w:trPr>
          <w:cantSplit/>
          <w:jc w:val="center"/>
        </w:trPr>
        <w:tc>
          <w:tcPr>
            <w:tcW w:w="3735" w:type="dxa"/>
            <w:shd w:val="clear" w:color="auto" w:fill="auto"/>
          </w:tcPr>
          <w:p w14:paraId="5BCB73E8" w14:textId="77777777" w:rsidR="00857A0D" w:rsidRPr="00873B6C" w:rsidRDefault="00857A0D" w:rsidP="00857A0D">
            <w:pPr>
              <w:pStyle w:val="TAL"/>
              <w:rPr>
                <w:lang w:eastAsia="fr-FR"/>
              </w:rPr>
            </w:pPr>
            <w:r w:rsidRPr="00873B6C">
              <w:rPr>
                <w:lang w:eastAsia="fr-FR"/>
              </w:rPr>
              <w:t>&gt; portDS.useMgtSettableComputeNeighborRateRatio</w:t>
            </w:r>
          </w:p>
        </w:tc>
        <w:tc>
          <w:tcPr>
            <w:tcW w:w="709" w:type="dxa"/>
            <w:shd w:val="clear" w:color="auto" w:fill="auto"/>
          </w:tcPr>
          <w:p w14:paraId="272A665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0A425DE"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44D7377" w14:textId="77777777" w:rsidR="00857A0D" w:rsidRPr="00873B6C" w:rsidRDefault="00857A0D" w:rsidP="00857A0D">
            <w:pPr>
              <w:pStyle w:val="TAC"/>
              <w:rPr>
                <w:lang w:eastAsia="fr-FR"/>
              </w:rPr>
            </w:pPr>
            <w:r w:rsidRPr="00873B6C">
              <w:rPr>
                <w:lang w:eastAsia="fr-FR"/>
              </w:rPr>
              <w:t>RW</w:t>
            </w:r>
          </w:p>
        </w:tc>
        <w:tc>
          <w:tcPr>
            <w:tcW w:w="1338" w:type="dxa"/>
          </w:tcPr>
          <w:p w14:paraId="3A53707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E0DCBE9" w14:textId="77777777" w:rsidR="00857A0D" w:rsidRPr="00873B6C" w:rsidRDefault="00857A0D" w:rsidP="00857A0D">
            <w:pPr>
              <w:pStyle w:val="TAC"/>
              <w:rPr>
                <w:lang w:eastAsia="fr-FR"/>
              </w:rPr>
            </w:pPr>
            <w:r w:rsidRPr="00873B6C">
              <w:rPr>
                <w:lang w:eastAsia="fr-FR"/>
              </w:rPr>
              <w:t>IEEE Std 802.1AS [104] clause 14.8.33</w:t>
            </w:r>
          </w:p>
        </w:tc>
      </w:tr>
      <w:tr w:rsidR="00857A0D" w:rsidRPr="00873B6C" w14:paraId="57DAC3CF" w14:textId="77777777" w:rsidTr="00C9561D">
        <w:trPr>
          <w:cantSplit/>
          <w:jc w:val="center"/>
        </w:trPr>
        <w:tc>
          <w:tcPr>
            <w:tcW w:w="3735" w:type="dxa"/>
            <w:shd w:val="clear" w:color="auto" w:fill="auto"/>
          </w:tcPr>
          <w:p w14:paraId="5F871ABE" w14:textId="77777777" w:rsidR="00857A0D" w:rsidRPr="00873B6C" w:rsidRDefault="00857A0D" w:rsidP="00857A0D">
            <w:pPr>
              <w:pStyle w:val="TAL"/>
              <w:rPr>
                <w:lang w:eastAsia="fr-FR"/>
              </w:rPr>
            </w:pPr>
            <w:r w:rsidRPr="00873B6C">
              <w:rPr>
                <w:lang w:eastAsia="fr-FR"/>
              </w:rPr>
              <w:t>&gt; portDS.mgtSettableComputeNeighborRateRatio</w:t>
            </w:r>
          </w:p>
        </w:tc>
        <w:tc>
          <w:tcPr>
            <w:tcW w:w="709" w:type="dxa"/>
            <w:shd w:val="clear" w:color="auto" w:fill="auto"/>
          </w:tcPr>
          <w:p w14:paraId="5D19D8B8"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39BE1B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E2DE46B" w14:textId="77777777" w:rsidR="00857A0D" w:rsidRPr="00873B6C" w:rsidRDefault="00857A0D" w:rsidP="00857A0D">
            <w:pPr>
              <w:pStyle w:val="TAC"/>
              <w:rPr>
                <w:lang w:eastAsia="fr-FR"/>
              </w:rPr>
            </w:pPr>
            <w:r w:rsidRPr="00873B6C">
              <w:rPr>
                <w:lang w:eastAsia="fr-FR"/>
              </w:rPr>
              <w:t>RW</w:t>
            </w:r>
          </w:p>
        </w:tc>
        <w:tc>
          <w:tcPr>
            <w:tcW w:w="1338" w:type="dxa"/>
          </w:tcPr>
          <w:p w14:paraId="51A0C1A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F31E2E9" w14:textId="77777777" w:rsidR="00857A0D" w:rsidRPr="00873B6C" w:rsidRDefault="00857A0D" w:rsidP="00857A0D">
            <w:pPr>
              <w:pStyle w:val="TAC"/>
              <w:rPr>
                <w:lang w:eastAsia="fr-FR"/>
              </w:rPr>
            </w:pPr>
            <w:r w:rsidRPr="00873B6C">
              <w:rPr>
                <w:lang w:eastAsia="fr-FR"/>
              </w:rPr>
              <w:t>IEEE Std 802.1AS [104] clause 14.8.34</w:t>
            </w:r>
          </w:p>
        </w:tc>
      </w:tr>
      <w:tr w:rsidR="00857A0D" w:rsidRPr="00873B6C" w14:paraId="5BAD6086" w14:textId="77777777" w:rsidTr="00C9561D">
        <w:trPr>
          <w:cantSplit/>
          <w:jc w:val="center"/>
        </w:trPr>
        <w:tc>
          <w:tcPr>
            <w:tcW w:w="3735" w:type="dxa"/>
            <w:shd w:val="clear" w:color="auto" w:fill="auto"/>
          </w:tcPr>
          <w:p w14:paraId="7E96BAC1" w14:textId="77777777" w:rsidR="00857A0D" w:rsidRPr="00873B6C" w:rsidRDefault="00857A0D" w:rsidP="00857A0D">
            <w:pPr>
              <w:pStyle w:val="TAL"/>
              <w:rPr>
                <w:lang w:eastAsia="fr-FR"/>
              </w:rPr>
            </w:pPr>
            <w:r w:rsidRPr="00873B6C">
              <w:rPr>
                <w:lang w:eastAsia="fr-FR"/>
              </w:rPr>
              <w:t>&gt; portDS.initialComputeMeanLinkDelay</w:t>
            </w:r>
          </w:p>
        </w:tc>
        <w:tc>
          <w:tcPr>
            <w:tcW w:w="709" w:type="dxa"/>
            <w:shd w:val="clear" w:color="auto" w:fill="auto"/>
          </w:tcPr>
          <w:p w14:paraId="7787872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558EBE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F5F3684" w14:textId="77777777" w:rsidR="00857A0D" w:rsidRPr="00873B6C" w:rsidRDefault="00857A0D" w:rsidP="00857A0D">
            <w:pPr>
              <w:pStyle w:val="TAC"/>
              <w:rPr>
                <w:lang w:eastAsia="fr-FR"/>
              </w:rPr>
            </w:pPr>
            <w:r w:rsidRPr="00873B6C">
              <w:rPr>
                <w:lang w:eastAsia="fr-FR"/>
              </w:rPr>
              <w:t>RW</w:t>
            </w:r>
          </w:p>
        </w:tc>
        <w:tc>
          <w:tcPr>
            <w:tcW w:w="1338" w:type="dxa"/>
          </w:tcPr>
          <w:p w14:paraId="62BB3CDE"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41B0576" w14:textId="77777777" w:rsidR="00857A0D" w:rsidRPr="00873B6C" w:rsidRDefault="00857A0D" w:rsidP="00857A0D">
            <w:pPr>
              <w:pStyle w:val="TAC"/>
              <w:rPr>
                <w:lang w:eastAsia="fr-FR"/>
              </w:rPr>
            </w:pPr>
            <w:r w:rsidRPr="00873B6C">
              <w:rPr>
                <w:lang w:eastAsia="fr-FR"/>
              </w:rPr>
              <w:t>IEEE Std 802.1AS [104] clause 14.8.35</w:t>
            </w:r>
          </w:p>
        </w:tc>
      </w:tr>
      <w:tr w:rsidR="00857A0D" w:rsidRPr="00873B6C" w14:paraId="67362C75" w14:textId="77777777" w:rsidTr="00C9561D">
        <w:trPr>
          <w:cantSplit/>
          <w:jc w:val="center"/>
        </w:trPr>
        <w:tc>
          <w:tcPr>
            <w:tcW w:w="3735" w:type="dxa"/>
            <w:shd w:val="clear" w:color="auto" w:fill="auto"/>
          </w:tcPr>
          <w:p w14:paraId="255CDAA9" w14:textId="77777777" w:rsidR="00857A0D" w:rsidRPr="00873B6C" w:rsidRDefault="00857A0D" w:rsidP="00857A0D">
            <w:pPr>
              <w:pStyle w:val="TAL"/>
              <w:rPr>
                <w:lang w:eastAsia="fr-FR"/>
              </w:rPr>
            </w:pPr>
            <w:r w:rsidRPr="00873B6C">
              <w:rPr>
                <w:lang w:eastAsia="fr-FR"/>
              </w:rPr>
              <w:t>&gt; portDS.currentComputeMeanLinkDelay</w:t>
            </w:r>
          </w:p>
        </w:tc>
        <w:tc>
          <w:tcPr>
            <w:tcW w:w="709" w:type="dxa"/>
            <w:shd w:val="clear" w:color="auto" w:fill="auto"/>
          </w:tcPr>
          <w:p w14:paraId="763D410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6F4E69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C3EED20" w14:textId="77777777" w:rsidR="00857A0D" w:rsidRPr="00873B6C" w:rsidRDefault="00857A0D" w:rsidP="00857A0D">
            <w:pPr>
              <w:pStyle w:val="TAC"/>
              <w:rPr>
                <w:lang w:eastAsia="fr-FR"/>
              </w:rPr>
            </w:pPr>
            <w:r w:rsidRPr="00873B6C">
              <w:rPr>
                <w:lang w:eastAsia="fr-FR"/>
              </w:rPr>
              <w:t>R</w:t>
            </w:r>
          </w:p>
        </w:tc>
        <w:tc>
          <w:tcPr>
            <w:tcW w:w="1338" w:type="dxa"/>
          </w:tcPr>
          <w:p w14:paraId="351B95EE"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E5392DD" w14:textId="77777777" w:rsidR="00857A0D" w:rsidRPr="00873B6C" w:rsidRDefault="00857A0D" w:rsidP="00857A0D">
            <w:pPr>
              <w:pStyle w:val="TAC"/>
              <w:rPr>
                <w:lang w:eastAsia="fr-FR"/>
              </w:rPr>
            </w:pPr>
            <w:r w:rsidRPr="00873B6C">
              <w:rPr>
                <w:lang w:eastAsia="fr-FR"/>
              </w:rPr>
              <w:t>IEEE Std 802.1AS [104] clause 14.8.36</w:t>
            </w:r>
          </w:p>
        </w:tc>
      </w:tr>
      <w:tr w:rsidR="00857A0D" w:rsidRPr="00873B6C" w14:paraId="559EDFBC" w14:textId="77777777" w:rsidTr="00C9561D">
        <w:trPr>
          <w:cantSplit/>
          <w:jc w:val="center"/>
        </w:trPr>
        <w:tc>
          <w:tcPr>
            <w:tcW w:w="3735" w:type="dxa"/>
            <w:shd w:val="clear" w:color="auto" w:fill="auto"/>
          </w:tcPr>
          <w:p w14:paraId="24546E3B" w14:textId="77777777" w:rsidR="00857A0D" w:rsidRPr="00873B6C" w:rsidRDefault="00857A0D" w:rsidP="00857A0D">
            <w:pPr>
              <w:pStyle w:val="TAL"/>
              <w:rPr>
                <w:lang w:eastAsia="fr-FR"/>
              </w:rPr>
            </w:pPr>
            <w:r w:rsidRPr="00873B6C">
              <w:rPr>
                <w:lang w:eastAsia="fr-FR"/>
              </w:rPr>
              <w:t>&gt; portDS.useMgtSettableComputeMeanLinkDelay</w:t>
            </w:r>
          </w:p>
        </w:tc>
        <w:tc>
          <w:tcPr>
            <w:tcW w:w="709" w:type="dxa"/>
            <w:shd w:val="clear" w:color="auto" w:fill="auto"/>
          </w:tcPr>
          <w:p w14:paraId="56158C3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3B148C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3423E4F" w14:textId="77777777" w:rsidR="00857A0D" w:rsidRPr="00873B6C" w:rsidRDefault="00857A0D" w:rsidP="00857A0D">
            <w:pPr>
              <w:pStyle w:val="TAC"/>
              <w:rPr>
                <w:lang w:eastAsia="fr-FR"/>
              </w:rPr>
            </w:pPr>
            <w:r w:rsidRPr="00873B6C">
              <w:rPr>
                <w:lang w:eastAsia="fr-FR"/>
              </w:rPr>
              <w:t>RW</w:t>
            </w:r>
          </w:p>
        </w:tc>
        <w:tc>
          <w:tcPr>
            <w:tcW w:w="1338" w:type="dxa"/>
          </w:tcPr>
          <w:p w14:paraId="6F5D16C4"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13F54A3" w14:textId="77777777" w:rsidR="00857A0D" w:rsidRPr="00873B6C" w:rsidRDefault="00857A0D" w:rsidP="00857A0D">
            <w:pPr>
              <w:pStyle w:val="TAC"/>
              <w:rPr>
                <w:lang w:eastAsia="fr-FR"/>
              </w:rPr>
            </w:pPr>
            <w:r w:rsidRPr="00873B6C">
              <w:rPr>
                <w:lang w:eastAsia="fr-FR"/>
              </w:rPr>
              <w:t>IEEE Std 802.1AS [104] clause 14.8.37</w:t>
            </w:r>
          </w:p>
        </w:tc>
      </w:tr>
      <w:tr w:rsidR="00857A0D" w:rsidRPr="00873B6C" w14:paraId="12869655" w14:textId="77777777" w:rsidTr="00C9561D">
        <w:trPr>
          <w:cantSplit/>
          <w:jc w:val="center"/>
        </w:trPr>
        <w:tc>
          <w:tcPr>
            <w:tcW w:w="3735" w:type="dxa"/>
            <w:shd w:val="clear" w:color="auto" w:fill="auto"/>
          </w:tcPr>
          <w:p w14:paraId="4AFA0610" w14:textId="77777777" w:rsidR="00857A0D" w:rsidRPr="00873B6C" w:rsidRDefault="00857A0D" w:rsidP="00857A0D">
            <w:pPr>
              <w:pStyle w:val="TAL"/>
              <w:rPr>
                <w:lang w:eastAsia="fr-FR"/>
              </w:rPr>
            </w:pPr>
            <w:r w:rsidRPr="00873B6C">
              <w:rPr>
                <w:lang w:eastAsia="fr-FR"/>
              </w:rPr>
              <w:t>&gt; portDS.mgtSettableComputeMeanLinkDelay</w:t>
            </w:r>
          </w:p>
        </w:tc>
        <w:tc>
          <w:tcPr>
            <w:tcW w:w="709" w:type="dxa"/>
            <w:shd w:val="clear" w:color="auto" w:fill="auto"/>
          </w:tcPr>
          <w:p w14:paraId="74C77AB0"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3BA9AD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8D2E8F8" w14:textId="77777777" w:rsidR="00857A0D" w:rsidRPr="00873B6C" w:rsidRDefault="00857A0D" w:rsidP="00857A0D">
            <w:pPr>
              <w:pStyle w:val="TAC"/>
              <w:rPr>
                <w:lang w:eastAsia="fr-FR"/>
              </w:rPr>
            </w:pPr>
            <w:r w:rsidRPr="00873B6C">
              <w:rPr>
                <w:lang w:eastAsia="fr-FR"/>
              </w:rPr>
              <w:t>RW</w:t>
            </w:r>
          </w:p>
        </w:tc>
        <w:tc>
          <w:tcPr>
            <w:tcW w:w="1338" w:type="dxa"/>
          </w:tcPr>
          <w:p w14:paraId="5E405B24"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5F5673E" w14:textId="77777777" w:rsidR="00857A0D" w:rsidRPr="00873B6C" w:rsidRDefault="00857A0D" w:rsidP="00857A0D">
            <w:pPr>
              <w:pStyle w:val="TAC"/>
              <w:rPr>
                <w:lang w:eastAsia="fr-FR"/>
              </w:rPr>
            </w:pPr>
            <w:r w:rsidRPr="00873B6C">
              <w:rPr>
                <w:lang w:eastAsia="fr-FR"/>
              </w:rPr>
              <w:t>IEEE Std 802.1AS [104] clause 14.8.38</w:t>
            </w:r>
          </w:p>
        </w:tc>
      </w:tr>
      <w:tr w:rsidR="00857A0D" w:rsidRPr="00873B6C" w14:paraId="3D6974E2" w14:textId="77777777" w:rsidTr="00C9561D">
        <w:trPr>
          <w:cantSplit/>
          <w:jc w:val="center"/>
        </w:trPr>
        <w:tc>
          <w:tcPr>
            <w:tcW w:w="3735" w:type="dxa"/>
            <w:shd w:val="clear" w:color="auto" w:fill="auto"/>
          </w:tcPr>
          <w:p w14:paraId="5042086E" w14:textId="77777777" w:rsidR="00857A0D" w:rsidRPr="00873B6C" w:rsidRDefault="00857A0D" w:rsidP="00857A0D">
            <w:pPr>
              <w:pStyle w:val="TAL"/>
              <w:rPr>
                <w:lang w:eastAsia="fr-FR"/>
              </w:rPr>
            </w:pPr>
            <w:r w:rsidRPr="00873B6C">
              <w:rPr>
                <w:lang w:eastAsia="fr-FR"/>
              </w:rPr>
              <w:t>&gt; portDS.allowedLostResponses</w:t>
            </w:r>
          </w:p>
        </w:tc>
        <w:tc>
          <w:tcPr>
            <w:tcW w:w="709" w:type="dxa"/>
            <w:shd w:val="clear" w:color="auto" w:fill="auto"/>
          </w:tcPr>
          <w:p w14:paraId="104A3DB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B2ED34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E6C01F1" w14:textId="77777777" w:rsidR="00857A0D" w:rsidRPr="00873B6C" w:rsidRDefault="00857A0D" w:rsidP="00857A0D">
            <w:pPr>
              <w:pStyle w:val="TAC"/>
              <w:rPr>
                <w:lang w:eastAsia="fr-FR"/>
              </w:rPr>
            </w:pPr>
            <w:r w:rsidRPr="00873B6C">
              <w:rPr>
                <w:lang w:eastAsia="fr-FR"/>
              </w:rPr>
              <w:t>RW</w:t>
            </w:r>
          </w:p>
        </w:tc>
        <w:tc>
          <w:tcPr>
            <w:tcW w:w="1338" w:type="dxa"/>
          </w:tcPr>
          <w:p w14:paraId="3093486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D4D66B2" w14:textId="77777777" w:rsidR="00857A0D" w:rsidRPr="00873B6C" w:rsidRDefault="00857A0D" w:rsidP="00857A0D">
            <w:pPr>
              <w:pStyle w:val="TAC"/>
              <w:rPr>
                <w:lang w:eastAsia="fr-FR"/>
              </w:rPr>
            </w:pPr>
            <w:r w:rsidRPr="00873B6C">
              <w:rPr>
                <w:lang w:eastAsia="fr-FR"/>
              </w:rPr>
              <w:t>IEEE Std 802.1AS [104] clause 14.8.39</w:t>
            </w:r>
          </w:p>
        </w:tc>
      </w:tr>
      <w:tr w:rsidR="00857A0D" w:rsidRPr="00873B6C" w14:paraId="26161D71" w14:textId="77777777" w:rsidTr="00C9561D">
        <w:trPr>
          <w:cantSplit/>
          <w:jc w:val="center"/>
        </w:trPr>
        <w:tc>
          <w:tcPr>
            <w:tcW w:w="3735" w:type="dxa"/>
            <w:shd w:val="clear" w:color="auto" w:fill="auto"/>
          </w:tcPr>
          <w:p w14:paraId="11B5E11D" w14:textId="77777777" w:rsidR="00857A0D" w:rsidRPr="00873B6C" w:rsidRDefault="00857A0D" w:rsidP="00857A0D">
            <w:pPr>
              <w:pStyle w:val="TAL"/>
              <w:rPr>
                <w:lang w:eastAsia="fr-FR"/>
              </w:rPr>
            </w:pPr>
            <w:r w:rsidRPr="00873B6C">
              <w:rPr>
                <w:lang w:eastAsia="fr-FR"/>
              </w:rPr>
              <w:lastRenderedPageBreak/>
              <w:t>&gt; portDS.allowedFaults</w:t>
            </w:r>
          </w:p>
        </w:tc>
        <w:tc>
          <w:tcPr>
            <w:tcW w:w="709" w:type="dxa"/>
            <w:shd w:val="clear" w:color="auto" w:fill="auto"/>
          </w:tcPr>
          <w:p w14:paraId="0989D54E"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7C8B48E"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9C36D4C" w14:textId="77777777" w:rsidR="00857A0D" w:rsidRPr="00873B6C" w:rsidRDefault="00857A0D" w:rsidP="00857A0D">
            <w:pPr>
              <w:pStyle w:val="TAC"/>
              <w:rPr>
                <w:lang w:eastAsia="fr-FR"/>
              </w:rPr>
            </w:pPr>
            <w:r w:rsidRPr="00873B6C">
              <w:rPr>
                <w:lang w:eastAsia="fr-FR"/>
              </w:rPr>
              <w:t>RW</w:t>
            </w:r>
          </w:p>
        </w:tc>
        <w:tc>
          <w:tcPr>
            <w:tcW w:w="1338" w:type="dxa"/>
          </w:tcPr>
          <w:p w14:paraId="1944E1E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29B97AB" w14:textId="77777777" w:rsidR="00857A0D" w:rsidRPr="00873B6C" w:rsidRDefault="00857A0D" w:rsidP="00857A0D">
            <w:pPr>
              <w:pStyle w:val="TAC"/>
              <w:rPr>
                <w:lang w:eastAsia="fr-FR"/>
              </w:rPr>
            </w:pPr>
            <w:r w:rsidRPr="00873B6C">
              <w:rPr>
                <w:lang w:eastAsia="fr-FR"/>
              </w:rPr>
              <w:t>IEEE Std 802.1AS [104] clause 14.8.40</w:t>
            </w:r>
          </w:p>
        </w:tc>
      </w:tr>
      <w:tr w:rsidR="00857A0D" w:rsidRPr="00873B6C" w14:paraId="4D3FC3D8" w14:textId="77777777" w:rsidTr="00C9561D">
        <w:trPr>
          <w:cantSplit/>
          <w:jc w:val="center"/>
        </w:trPr>
        <w:tc>
          <w:tcPr>
            <w:tcW w:w="3735" w:type="dxa"/>
            <w:shd w:val="clear" w:color="auto" w:fill="auto"/>
          </w:tcPr>
          <w:p w14:paraId="397432DF" w14:textId="77777777" w:rsidR="00857A0D" w:rsidRPr="00873B6C" w:rsidRDefault="00857A0D" w:rsidP="00857A0D">
            <w:pPr>
              <w:pStyle w:val="TAL"/>
              <w:rPr>
                <w:lang w:eastAsia="fr-FR"/>
              </w:rPr>
            </w:pPr>
            <w:r w:rsidRPr="00873B6C">
              <w:rPr>
                <w:lang w:eastAsia="fr-FR"/>
              </w:rPr>
              <w:t>&gt; portDS.gPtpCapableReceiptTimeout</w:t>
            </w:r>
          </w:p>
        </w:tc>
        <w:tc>
          <w:tcPr>
            <w:tcW w:w="709" w:type="dxa"/>
            <w:shd w:val="clear" w:color="auto" w:fill="auto"/>
          </w:tcPr>
          <w:p w14:paraId="39D0760B"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D4D667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D603D8A" w14:textId="77777777" w:rsidR="00857A0D" w:rsidRPr="00873B6C" w:rsidRDefault="00857A0D" w:rsidP="00857A0D">
            <w:pPr>
              <w:pStyle w:val="TAC"/>
              <w:rPr>
                <w:lang w:eastAsia="fr-FR"/>
              </w:rPr>
            </w:pPr>
            <w:r w:rsidRPr="00873B6C">
              <w:rPr>
                <w:lang w:eastAsia="fr-FR"/>
              </w:rPr>
              <w:t>RW</w:t>
            </w:r>
          </w:p>
        </w:tc>
        <w:tc>
          <w:tcPr>
            <w:tcW w:w="1338" w:type="dxa"/>
          </w:tcPr>
          <w:p w14:paraId="2025C95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4A94819" w14:textId="77777777" w:rsidR="00857A0D" w:rsidRPr="00873B6C" w:rsidRDefault="00857A0D" w:rsidP="00857A0D">
            <w:pPr>
              <w:pStyle w:val="TAC"/>
              <w:rPr>
                <w:lang w:eastAsia="fr-FR"/>
              </w:rPr>
            </w:pPr>
            <w:r w:rsidRPr="00873B6C">
              <w:rPr>
                <w:lang w:eastAsia="fr-FR"/>
              </w:rPr>
              <w:t>IEEE Std 802.1AS [104] clause 14.8.41</w:t>
            </w:r>
          </w:p>
        </w:tc>
      </w:tr>
      <w:tr w:rsidR="00857A0D" w:rsidRPr="00873B6C" w14:paraId="0E172CC5" w14:textId="77777777" w:rsidTr="00C9561D">
        <w:trPr>
          <w:cantSplit/>
          <w:jc w:val="center"/>
        </w:trPr>
        <w:tc>
          <w:tcPr>
            <w:tcW w:w="3735" w:type="dxa"/>
            <w:shd w:val="clear" w:color="auto" w:fill="auto"/>
          </w:tcPr>
          <w:p w14:paraId="22490A5D" w14:textId="77777777" w:rsidR="00857A0D" w:rsidRPr="00873B6C" w:rsidRDefault="00857A0D" w:rsidP="00857A0D">
            <w:pPr>
              <w:pStyle w:val="TAL"/>
              <w:rPr>
                <w:lang w:eastAsia="fr-FR"/>
              </w:rPr>
            </w:pPr>
            <w:r w:rsidRPr="00873B6C">
              <w:rPr>
                <w:lang w:eastAsia="fr-FR"/>
              </w:rPr>
              <w:t>&gt; portDS.versionNumber</w:t>
            </w:r>
          </w:p>
        </w:tc>
        <w:tc>
          <w:tcPr>
            <w:tcW w:w="709" w:type="dxa"/>
            <w:shd w:val="clear" w:color="auto" w:fill="auto"/>
          </w:tcPr>
          <w:p w14:paraId="671F63E8"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A48981E"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E0092C4" w14:textId="77777777" w:rsidR="00857A0D" w:rsidRPr="00873B6C" w:rsidRDefault="00857A0D" w:rsidP="00857A0D">
            <w:pPr>
              <w:pStyle w:val="TAC"/>
              <w:rPr>
                <w:lang w:eastAsia="fr-FR"/>
              </w:rPr>
            </w:pPr>
            <w:r w:rsidRPr="00873B6C">
              <w:rPr>
                <w:lang w:eastAsia="fr-FR"/>
              </w:rPr>
              <w:t>RW</w:t>
            </w:r>
          </w:p>
        </w:tc>
        <w:tc>
          <w:tcPr>
            <w:tcW w:w="1338" w:type="dxa"/>
          </w:tcPr>
          <w:p w14:paraId="470B10D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E91E552" w14:textId="77777777" w:rsidR="00857A0D" w:rsidRPr="00873B6C" w:rsidRDefault="00857A0D" w:rsidP="00857A0D">
            <w:pPr>
              <w:pStyle w:val="TAC"/>
              <w:rPr>
                <w:lang w:eastAsia="fr-FR"/>
              </w:rPr>
            </w:pPr>
            <w:r w:rsidRPr="00873B6C">
              <w:rPr>
                <w:lang w:eastAsia="fr-FR"/>
              </w:rPr>
              <w:t>IEEE Std 802.1AS [104] clause 14.8.42</w:t>
            </w:r>
          </w:p>
        </w:tc>
      </w:tr>
      <w:tr w:rsidR="00857A0D" w:rsidRPr="00873B6C" w14:paraId="51E47299" w14:textId="77777777" w:rsidTr="00C9561D">
        <w:trPr>
          <w:cantSplit/>
          <w:jc w:val="center"/>
        </w:trPr>
        <w:tc>
          <w:tcPr>
            <w:tcW w:w="3735" w:type="dxa"/>
            <w:shd w:val="clear" w:color="auto" w:fill="auto"/>
          </w:tcPr>
          <w:p w14:paraId="2A1D3AF7" w14:textId="77777777" w:rsidR="00857A0D" w:rsidRPr="00873B6C" w:rsidRDefault="00857A0D" w:rsidP="00857A0D">
            <w:pPr>
              <w:pStyle w:val="TAL"/>
              <w:rPr>
                <w:lang w:eastAsia="fr-FR"/>
              </w:rPr>
            </w:pPr>
            <w:r w:rsidRPr="00873B6C">
              <w:rPr>
                <w:lang w:eastAsia="fr-FR"/>
              </w:rPr>
              <w:t>&gt; portDS.nup</w:t>
            </w:r>
          </w:p>
        </w:tc>
        <w:tc>
          <w:tcPr>
            <w:tcW w:w="709" w:type="dxa"/>
            <w:shd w:val="clear" w:color="auto" w:fill="auto"/>
          </w:tcPr>
          <w:p w14:paraId="3E6BCE7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8DBFED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ACD9CD6" w14:textId="77777777" w:rsidR="00857A0D" w:rsidRPr="00873B6C" w:rsidRDefault="00857A0D" w:rsidP="00857A0D">
            <w:pPr>
              <w:pStyle w:val="TAC"/>
              <w:rPr>
                <w:lang w:eastAsia="fr-FR"/>
              </w:rPr>
            </w:pPr>
            <w:r w:rsidRPr="00873B6C">
              <w:rPr>
                <w:lang w:eastAsia="fr-FR"/>
              </w:rPr>
              <w:t>RW</w:t>
            </w:r>
          </w:p>
        </w:tc>
        <w:tc>
          <w:tcPr>
            <w:tcW w:w="1338" w:type="dxa"/>
          </w:tcPr>
          <w:p w14:paraId="7D067FD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D62C9CB" w14:textId="77777777" w:rsidR="00857A0D" w:rsidRPr="00873B6C" w:rsidRDefault="00857A0D" w:rsidP="00857A0D">
            <w:pPr>
              <w:pStyle w:val="TAC"/>
              <w:rPr>
                <w:lang w:eastAsia="fr-FR"/>
              </w:rPr>
            </w:pPr>
            <w:r w:rsidRPr="00873B6C">
              <w:rPr>
                <w:lang w:eastAsia="fr-FR"/>
              </w:rPr>
              <w:t>IEEE Std 802.1AS [104] clause 14.8.43</w:t>
            </w:r>
          </w:p>
        </w:tc>
      </w:tr>
      <w:tr w:rsidR="00857A0D" w:rsidRPr="00873B6C" w14:paraId="63760ACD" w14:textId="77777777" w:rsidTr="00C9561D">
        <w:trPr>
          <w:cantSplit/>
          <w:jc w:val="center"/>
        </w:trPr>
        <w:tc>
          <w:tcPr>
            <w:tcW w:w="3735" w:type="dxa"/>
            <w:shd w:val="clear" w:color="auto" w:fill="auto"/>
          </w:tcPr>
          <w:p w14:paraId="440D292E" w14:textId="77777777" w:rsidR="00857A0D" w:rsidRPr="00873B6C" w:rsidRDefault="00857A0D" w:rsidP="00857A0D">
            <w:pPr>
              <w:pStyle w:val="TAL"/>
              <w:rPr>
                <w:lang w:eastAsia="fr-FR"/>
              </w:rPr>
            </w:pPr>
            <w:r w:rsidRPr="00873B6C">
              <w:rPr>
                <w:lang w:eastAsia="fr-FR"/>
              </w:rPr>
              <w:t>&gt; portDS.ndown</w:t>
            </w:r>
          </w:p>
        </w:tc>
        <w:tc>
          <w:tcPr>
            <w:tcW w:w="709" w:type="dxa"/>
            <w:shd w:val="clear" w:color="auto" w:fill="auto"/>
          </w:tcPr>
          <w:p w14:paraId="47F19C2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AFF96B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A451C67" w14:textId="77777777" w:rsidR="00857A0D" w:rsidRPr="00873B6C" w:rsidRDefault="00857A0D" w:rsidP="00857A0D">
            <w:pPr>
              <w:pStyle w:val="TAC"/>
              <w:rPr>
                <w:lang w:eastAsia="fr-FR"/>
              </w:rPr>
            </w:pPr>
            <w:r w:rsidRPr="00873B6C">
              <w:rPr>
                <w:lang w:eastAsia="fr-FR"/>
              </w:rPr>
              <w:t>RW</w:t>
            </w:r>
          </w:p>
        </w:tc>
        <w:tc>
          <w:tcPr>
            <w:tcW w:w="1338" w:type="dxa"/>
          </w:tcPr>
          <w:p w14:paraId="285F914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5554647" w14:textId="77777777" w:rsidR="00857A0D" w:rsidRPr="00873B6C" w:rsidRDefault="00857A0D" w:rsidP="00857A0D">
            <w:pPr>
              <w:pStyle w:val="TAC"/>
              <w:rPr>
                <w:lang w:eastAsia="fr-FR"/>
              </w:rPr>
            </w:pPr>
            <w:r w:rsidRPr="00873B6C">
              <w:rPr>
                <w:lang w:eastAsia="fr-FR"/>
              </w:rPr>
              <w:t>IEEE Std 802.1AS [104] clause 14.8.44</w:t>
            </w:r>
          </w:p>
        </w:tc>
      </w:tr>
      <w:tr w:rsidR="00857A0D" w:rsidRPr="00873B6C" w14:paraId="2008B40E" w14:textId="77777777" w:rsidTr="00C9561D">
        <w:trPr>
          <w:cantSplit/>
          <w:jc w:val="center"/>
        </w:trPr>
        <w:tc>
          <w:tcPr>
            <w:tcW w:w="3735" w:type="dxa"/>
            <w:shd w:val="clear" w:color="auto" w:fill="auto"/>
          </w:tcPr>
          <w:p w14:paraId="428941CD" w14:textId="77777777" w:rsidR="00857A0D" w:rsidRPr="00873B6C" w:rsidRDefault="00857A0D" w:rsidP="00857A0D">
            <w:pPr>
              <w:pStyle w:val="TAL"/>
              <w:rPr>
                <w:lang w:eastAsia="fr-FR"/>
              </w:rPr>
            </w:pPr>
            <w:r w:rsidRPr="00873B6C">
              <w:rPr>
                <w:lang w:eastAsia="fr-FR"/>
              </w:rPr>
              <w:t>&gt; portDS.oneStepTxOper</w:t>
            </w:r>
          </w:p>
        </w:tc>
        <w:tc>
          <w:tcPr>
            <w:tcW w:w="709" w:type="dxa"/>
            <w:shd w:val="clear" w:color="auto" w:fill="auto"/>
          </w:tcPr>
          <w:p w14:paraId="26AE1B7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060240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35225AA" w14:textId="77777777" w:rsidR="00857A0D" w:rsidRPr="00873B6C" w:rsidRDefault="00857A0D" w:rsidP="00857A0D">
            <w:pPr>
              <w:pStyle w:val="TAC"/>
              <w:rPr>
                <w:lang w:eastAsia="fr-FR"/>
              </w:rPr>
            </w:pPr>
            <w:r w:rsidRPr="00873B6C">
              <w:rPr>
                <w:lang w:eastAsia="fr-FR"/>
              </w:rPr>
              <w:t>R</w:t>
            </w:r>
          </w:p>
        </w:tc>
        <w:tc>
          <w:tcPr>
            <w:tcW w:w="1338" w:type="dxa"/>
          </w:tcPr>
          <w:p w14:paraId="017BA26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F133C99" w14:textId="77777777" w:rsidR="00857A0D" w:rsidRPr="00873B6C" w:rsidRDefault="00857A0D" w:rsidP="00857A0D">
            <w:pPr>
              <w:pStyle w:val="TAC"/>
              <w:rPr>
                <w:lang w:eastAsia="fr-FR"/>
              </w:rPr>
            </w:pPr>
            <w:r w:rsidRPr="00873B6C">
              <w:rPr>
                <w:lang w:eastAsia="fr-FR"/>
              </w:rPr>
              <w:t>IEEE Std 802.1AS [104] clause 14.8.45</w:t>
            </w:r>
          </w:p>
        </w:tc>
      </w:tr>
      <w:tr w:rsidR="00857A0D" w:rsidRPr="00873B6C" w14:paraId="7FE1CA27" w14:textId="77777777" w:rsidTr="00C9561D">
        <w:trPr>
          <w:cantSplit/>
          <w:jc w:val="center"/>
        </w:trPr>
        <w:tc>
          <w:tcPr>
            <w:tcW w:w="3735" w:type="dxa"/>
            <w:shd w:val="clear" w:color="auto" w:fill="auto"/>
          </w:tcPr>
          <w:p w14:paraId="08F03429" w14:textId="77777777" w:rsidR="00857A0D" w:rsidRPr="00873B6C" w:rsidRDefault="00857A0D" w:rsidP="00857A0D">
            <w:pPr>
              <w:pStyle w:val="TAL"/>
              <w:rPr>
                <w:lang w:eastAsia="fr-FR"/>
              </w:rPr>
            </w:pPr>
            <w:r w:rsidRPr="00873B6C">
              <w:rPr>
                <w:lang w:eastAsia="fr-FR"/>
              </w:rPr>
              <w:t>&gt; portDS.oneStepReceive</w:t>
            </w:r>
          </w:p>
        </w:tc>
        <w:tc>
          <w:tcPr>
            <w:tcW w:w="709" w:type="dxa"/>
            <w:shd w:val="clear" w:color="auto" w:fill="auto"/>
          </w:tcPr>
          <w:p w14:paraId="020DCFC8"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6E8D8B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DCDB827" w14:textId="77777777" w:rsidR="00857A0D" w:rsidRPr="00873B6C" w:rsidRDefault="00857A0D" w:rsidP="00857A0D">
            <w:pPr>
              <w:pStyle w:val="TAC"/>
              <w:rPr>
                <w:lang w:eastAsia="fr-FR"/>
              </w:rPr>
            </w:pPr>
            <w:r w:rsidRPr="00873B6C">
              <w:rPr>
                <w:lang w:eastAsia="fr-FR"/>
              </w:rPr>
              <w:t>R</w:t>
            </w:r>
          </w:p>
        </w:tc>
        <w:tc>
          <w:tcPr>
            <w:tcW w:w="1338" w:type="dxa"/>
          </w:tcPr>
          <w:p w14:paraId="281E5CFA"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2FE1AE20" w14:textId="77777777" w:rsidR="00857A0D" w:rsidRPr="00873B6C" w:rsidRDefault="00857A0D" w:rsidP="00857A0D">
            <w:pPr>
              <w:pStyle w:val="TAC"/>
              <w:rPr>
                <w:lang w:eastAsia="fr-FR"/>
              </w:rPr>
            </w:pPr>
            <w:r w:rsidRPr="00873B6C">
              <w:rPr>
                <w:lang w:eastAsia="fr-FR"/>
              </w:rPr>
              <w:t>IEEE Std 802.1AS [104] clause 14.8.46</w:t>
            </w:r>
          </w:p>
        </w:tc>
      </w:tr>
      <w:tr w:rsidR="00857A0D" w:rsidRPr="00873B6C" w14:paraId="61F220D6" w14:textId="77777777" w:rsidTr="00C9561D">
        <w:trPr>
          <w:cantSplit/>
          <w:jc w:val="center"/>
        </w:trPr>
        <w:tc>
          <w:tcPr>
            <w:tcW w:w="3735" w:type="dxa"/>
            <w:shd w:val="clear" w:color="auto" w:fill="auto"/>
          </w:tcPr>
          <w:p w14:paraId="141533C8" w14:textId="77777777" w:rsidR="00857A0D" w:rsidRPr="00873B6C" w:rsidRDefault="00857A0D" w:rsidP="00857A0D">
            <w:pPr>
              <w:pStyle w:val="TAL"/>
              <w:rPr>
                <w:lang w:eastAsia="fr-FR"/>
              </w:rPr>
            </w:pPr>
            <w:r w:rsidRPr="00873B6C">
              <w:rPr>
                <w:lang w:eastAsia="fr-FR"/>
              </w:rPr>
              <w:t>&gt; portDS.oneStepTransmit</w:t>
            </w:r>
          </w:p>
        </w:tc>
        <w:tc>
          <w:tcPr>
            <w:tcW w:w="709" w:type="dxa"/>
            <w:shd w:val="clear" w:color="auto" w:fill="auto"/>
          </w:tcPr>
          <w:p w14:paraId="0C702BA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646FDF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C896F81" w14:textId="77777777" w:rsidR="00857A0D" w:rsidRPr="00873B6C" w:rsidRDefault="00857A0D" w:rsidP="00857A0D">
            <w:pPr>
              <w:pStyle w:val="TAC"/>
              <w:rPr>
                <w:lang w:eastAsia="fr-FR"/>
              </w:rPr>
            </w:pPr>
            <w:r w:rsidRPr="00873B6C">
              <w:rPr>
                <w:lang w:eastAsia="fr-FR"/>
              </w:rPr>
              <w:t>R</w:t>
            </w:r>
          </w:p>
        </w:tc>
        <w:tc>
          <w:tcPr>
            <w:tcW w:w="1338" w:type="dxa"/>
          </w:tcPr>
          <w:p w14:paraId="2F8776FD"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AEC9A8E" w14:textId="77777777" w:rsidR="00857A0D" w:rsidRPr="00873B6C" w:rsidRDefault="00857A0D" w:rsidP="00857A0D">
            <w:pPr>
              <w:pStyle w:val="TAC"/>
              <w:rPr>
                <w:lang w:eastAsia="fr-FR"/>
              </w:rPr>
            </w:pPr>
            <w:r w:rsidRPr="00873B6C">
              <w:rPr>
                <w:lang w:eastAsia="fr-FR"/>
              </w:rPr>
              <w:t>IEEE Std 802.1AS [104] clause 14.8.47</w:t>
            </w:r>
          </w:p>
        </w:tc>
      </w:tr>
      <w:tr w:rsidR="00857A0D" w:rsidRPr="00873B6C" w14:paraId="3469E8E5" w14:textId="77777777" w:rsidTr="00C9561D">
        <w:trPr>
          <w:cantSplit/>
          <w:jc w:val="center"/>
        </w:trPr>
        <w:tc>
          <w:tcPr>
            <w:tcW w:w="3735" w:type="dxa"/>
            <w:shd w:val="clear" w:color="auto" w:fill="auto"/>
          </w:tcPr>
          <w:p w14:paraId="20E29746" w14:textId="77777777" w:rsidR="00857A0D" w:rsidRPr="00873B6C" w:rsidRDefault="00857A0D" w:rsidP="00857A0D">
            <w:pPr>
              <w:pStyle w:val="TAL"/>
              <w:rPr>
                <w:lang w:eastAsia="fr-FR"/>
              </w:rPr>
            </w:pPr>
            <w:r w:rsidRPr="00873B6C">
              <w:rPr>
                <w:lang w:eastAsia="fr-FR"/>
              </w:rPr>
              <w:t>&gt; portDS.initialOneStepTxOper</w:t>
            </w:r>
          </w:p>
        </w:tc>
        <w:tc>
          <w:tcPr>
            <w:tcW w:w="709" w:type="dxa"/>
            <w:shd w:val="clear" w:color="auto" w:fill="auto"/>
          </w:tcPr>
          <w:p w14:paraId="2FD210A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8D4ACC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1F63D25" w14:textId="77777777" w:rsidR="00857A0D" w:rsidRPr="00873B6C" w:rsidRDefault="00857A0D" w:rsidP="00857A0D">
            <w:pPr>
              <w:pStyle w:val="TAC"/>
              <w:rPr>
                <w:lang w:eastAsia="fr-FR"/>
              </w:rPr>
            </w:pPr>
            <w:r w:rsidRPr="00873B6C">
              <w:rPr>
                <w:lang w:eastAsia="fr-FR"/>
              </w:rPr>
              <w:t>RW</w:t>
            </w:r>
          </w:p>
        </w:tc>
        <w:tc>
          <w:tcPr>
            <w:tcW w:w="1338" w:type="dxa"/>
          </w:tcPr>
          <w:p w14:paraId="5E9473E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02F5F5B" w14:textId="77777777" w:rsidR="00857A0D" w:rsidRPr="00873B6C" w:rsidRDefault="00857A0D" w:rsidP="00857A0D">
            <w:pPr>
              <w:pStyle w:val="TAC"/>
              <w:rPr>
                <w:lang w:eastAsia="fr-FR"/>
              </w:rPr>
            </w:pPr>
            <w:r w:rsidRPr="00873B6C">
              <w:rPr>
                <w:lang w:eastAsia="fr-FR"/>
              </w:rPr>
              <w:t>IEEE Std 802.1AS [104] clause 14.8.48</w:t>
            </w:r>
          </w:p>
        </w:tc>
      </w:tr>
      <w:tr w:rsidR="00857A0D" w:rsidRPr="00873B6C" w14:paraId="6012AE02" w14:textId="77777777" w:rsidTr="00C9561D">
        <w:trPr>
          <w:cantSplit/>
          <w:jc w:val="center"/>
        </w:trPr>
        <w:tc>
          <w:tcPr>
            <w:tcW w:w="3735" w:type="dxa"/>
            <w:shd w:val="clear" w:color="auto" w:fill="auto"/>
          </w:tcPr>
          <w:p w14:paraId="5E1873EE" w14:textId="77777777" w:rsidR="00857A0D" w:rsidRPr="00873B6C" w:rsidRDefault="00857A0D" w:rsidP="00857A0D">
            <w:pPr>
              <w:pStyle w:val="TAL"/>
              <w:rPr>
                <w:lang w:eastAsia="fr-FR"/>
              </w:rPr>
            </w:pPr>
            <w:r w:rsidRPr="00873B6C">
              <w:rPr>
                <w:lang w:eastAsia="fr-FR"/>
              </w:rPr>
              <w:t>&gt; portDS.currentOneStepTxOper</w:t>
            </w:r>
          </w:p>
        </w:tc>
        <w:tc>
          <w:tcPr>
            <w:tcW w:w="709" w:type="dxa"/>
            <w:shd w:val="clear" w:color="auto" w:fill="auto"/>
          </w:tcPr>
          <w:p w14:paraId="6B24586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C60A40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280E845" w14:textId="77777777" w:rsidR="00857A0D" w:rsidRPr="00873B6C" w:rsidRDefault="00857A0D" w:rsidP="00857A0D">
            <w:pPr>
              <w:pStyle w:val="TAC"/>
              <w:rPr>
                <w:lang w:eastAsia="fr-FR"/>
              </w:rPr>
            </w:pPr>
            <w:r w:rsidRPr="00873B6C">
              <w:rPr>
                <w:lang w:eastAsia="fr-FR"/>
              </w:rPr>
              <w:t>RW</w:t>
            </w:r>
          </w:p>
        </w:tc>
        <w:tc>
          <w:tcPr>
            <w:tcW w:w="1338" w:type="dxa"/>
          </w:tcPr>
          <w:p w14:paraId="365B8F8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19E46E5" w14:textId="77777777" w:rsidR="00857A0D" w:rsidRPr="00873B6C" w:rsidRDefault="00857A0D" w:rsidP="00857A0D">
            <w:pPr>
              <w:pStyle w:val="TAC"/>
              <w:rPr>
                <w:lang w:eastAsia="fr-FR"/>
              </w:rPr>
            </w:pPr>
            <w:r w:rsidRPr="00873B6C">
              <w:rPr>
                <w:lang w:eastAsia="fr-FR"/>
              </w:rPr>
              <w:t>IEEE Std 802.1AS [104] clause 14.8.49</w:t>
            </w:r>
          </w:p>
        </w:tc>
      </w:tr>
      <w:tr w:rsidR="00857A0D" w:rsidRPr="00873B6C" w14:paraId="5C3665E3" w14:textId="77777777" w:rsidTr="00C9561D">
        <w:trPr>
          <w:cantSplit/>
          <w:jc w:val="center"/>
        </w:trPr>
        <w:tc>
          <w:tcPr>
            <w:tcW w:w="3735" w:type="dxa"/>
            <w:shd w:val="clear" w:color="auto" w:fill="auto"/>
          </w:tcPr>
          <w:p w14:paraId="47AA7571" w14:textId="77777777" w:rsidR="00857A0D" w:rsidRPr="00873B6C" w:rsidRDefault="00857A0D" w:rsidP="00857A0D">
            <w:pPr>
              <w:pStyle w:val="TAL"/>
              <w:rPr>
                <w:lang w:eastAsia="fr-FR"/>
              </w:rPr>
            </w:pPr>
            <w:r w:rsidRPr="00873B6C">
              <w:rPr>
                <w:lang w:eastAsia="fr-FR"/>
              </w:rPr>
              <w:t>&gt; portDS.useMgtSettableOneStepTxOper</w:t>
            </w:r>
          </w:p>
        </w:tc>
        <w:tc>
          <w:tcPr>
            <w:tcW w:w="709" w:type="dxa"/>
            <w:shd w:val="clear" w:color="auto" w:fill="auto"/>
          </w:tcPr>
          <w:p w14:paraId="71684D6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96E9B6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34D55D4" w14:textId="77777777" w:rsidR="00857A0D" w:rsidRPr="00873B6C" w:rsidRDefault="00857A0D" w:rsidP="00857A0D">
            <w:pPr>
              <w:pStyle w:val="TAC"/>
              <w:rPr>
                <w:lang w:eastAsia="fr-FR"/>
              </w:rPr>
            </w:pPr>
            <w:r w:rsidRPr="00873B6C">
              <w:rPr>
                <w:lang w:eastAsia="fr-FR"/>
              </w:rPr>
              <w:t>RW</w:t>
            </w:r>
          </w:p>
        </w:tc>
        <w:tc>
          <w:tcPr>
            <w:tcW w:w="1338" w:type="dxa"/>
          </w:tcPr>
          <w:p w14:paraId="38E26674"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0815212" w14:textId="77777777" w:rsidR="00857A0D" w:rsidRPr="00873B6C" w:rsidRDefault="00857A0D" w:rsidP="00857A0D">
            <w:pPr>
              <w:pStyle w:val="TAC"/>
              <w:rPr>
                <w:lang w:eastAsia="fr-FR"/>
              </w:rPr>
            </w:pPr>
            <w:r w:rsidRPr="00873B6C">
              <w:rPr>
                <w:lang w:eastAsia="fr-FR"/>
              </w:rPr>
              <w:t>IEEE Std 802.1AS [104] clause 14.8.50</w:t>
            </w:r>
          </w:p>
        </w:tc>
      </w:tr>
      <w:tr w:rsidR="00857A0D" w:rsidRPr="00873B6C" w14:paraId="76C6D939" w14:textId="77777777" w:rsidTr="00C9561D">
        <w:trPr>
          <w:cantSplit/>
          <w:jc w:val="center"/>
        </w:trPr>
        <w:tc>
          <w:tcPr>
            <w:tcW w:w="3735" w:type="dxa"/>
            <w:shd w:val="clear" w:color="auto" w:fill="auto"/>
          </w:tcPr>
          <w:p w14:paraId="2DEF9E24" w14:textId="77777777" w:rsidR="00857A0D" w:rsidRPr="00873B6C" w:rsidRDefault="00857A0D" w:rsidP="00857A0D">
            <w:pPr>
              <w:pStyle w:val="TAL"/>
              <w:rPr>
                <w:lang w:eastAsia="fr-FR"/>
              </w:rPr>
            </w:pPr>
            <w:r w:rsidRPr="00873B6C">
              <w:rPr>
                <w:lang w:eastAsia="fr-FR"/>
              </w:rPr>
              <w:t>&gt; portDS.mgtSettableOneStepTxOper</w:t>
            </w:r>
          </w:p>
        </w:tc>
        <w:tc>
          <w:tcPr>
            <w:tcW w:w="709" w:type="dxa"/>
            <w:shd w:val="clear" w:color="auto" w:fill="auto"/>
          </w:tcPr>
          <w:p w14:paraId="5C929B6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F608D7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6200046" w14:textId="77777777" w:rsidR="00857A0D" w:rsidRPr="00873B6C" w:rsidRDefault="00857A0D" w:rsidP="00857A0D">
            <w:pPr>
              <w:pStyle w:val="TAC"/>
              <w:rPr>
                <w:lang w:eastAsia="fr-FR"/>
              </w:rPr>
            </w:pPr>
            <w:r w:rsidRPr="00873B6C">
              <w:rPr>
                <w:lang w:eastAsia="fr-FR"/>
              </w:rPr>
              <w:t>RW</w:t>
            </w:r>
          </w:p>
        </w:tc>
        <w:tc>
          <w:tcPr>
            <w:tcW w:w="1338" w:type="dxa"/>
          </w:tcPr>
          <w:p w14:paraId="04B7429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5826770" w14:textId="77777777" w:rsidR="00857A0D" w:rsidRPr="00873B6C" w:rsidRDefault="00857A0D" w:rsidP="00857A0D">
            <w:pPr>
              <w:pStyle w:val="TAC"/>
              <w:rPr>
                <w:lang w:eastAsia="fr-FR"/>
              </w:rPr>
            </w:pPr>
            <w:r w:rsidRPr="00873B6C">
              <w:rPr>
                <w:lang w:eastAsia="fr-FR"/>
              </w:rPr>
              <w:t>IEEE Std 802.1AS [104] clause 14.8.51</w:t>
            </w:r>
          </w:p>
        </w:tc>
      </w:tr>
      <w:tr w:rsidR="00857A0D" w:rsidRPr="00873B6C" w14:paraId="3F337628" w14:textId="77777777" w:rsidTr="00C9561D">
        <w:trPr>
          <w:cantSplit/>
          <w:jc w:val="center"/>
        </w:trPr>
        <w:tc>
          <w:tcPr>
            <w:tcW w:w="3735" w:type="dxa"/>
            <w:shd w:val="clear" w:color="auto" w:fill="auto"/>
          </w:tcPr>
          <w:p w14:paraId="45885FFC" w14:textId="77777777" w:rsidR="00857A0D" w:rsidRPr="00873B6C" w:rsidRDefault="00857A0D" w:rsidP="00857A0D">
            <w:pPr>
              <w:pStyle w:val="TAL"/>
              <w:rPr>
                <w:lang w:eastAsia="fr-FR"/>
              </w:rPr>
            </w:pPr>
            <w:r w:rsidRPr="00873B6C">
              <w:rPr>
                <w:lang w:eastAsia="fr-FR"/>
              </w:rPr>
              <w:t>&gt; portDS.syncLocked</w:t>
            </w:r>
          </w:p>
        </w:tc>
        <w:tc>
          <w:tcPr>
            <w:tcW w:w="709" w:type="dxa"/>
            <w:shd w:val="clear" w:color="auto" w:fill="auto"/>
          </w:tcPr>
          <w:p w14:paraId="1BD71F3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6D449B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91C735B" w14:textId="77777777" w:rsidR="00857A0D" w:rsidRPr="00873B6C" w:rsidRDefault="00857A0D" w:rsidP="00857A0D">
            <w:pPr>
              <w:pStyle w:val="TAC"/>
              <w:rPr>
                <w:lang w:eastAsia="fr-FR"/>
              </w:rPr>
            </w:pPr>
            <w:r w:rsidRPr="00873B6C">
              <w:rPr>
                <w:lang w:eastAsia="fr-FR"/>
              </w:rPr>
              <w:t>R</w:t>
            </w:r>
          </w:p>
        </w:tc>
        <w:tc>
          <w:tcPr>
            <w:tcW w:w="1338" w:type="dxa"/>
          </w:tcPr>
          <w:p w14:paraId="1382324B"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04D01E9F" w14:textId="77777777" w:rsidR="00857A0D" w:rsidRPr="00873B6C" w:rsidRDefault="00857A0D" w:rsidP="00857A0D">
            <w:pPr>
              <w:pStyle w:val="TAC"/>
              <w:rPr>
                <w:lang w:eastAsia="fr-FR"/>
              </w:rPr>
            </w:pPr>
            <w:r w:rsidRPr="00873B6C">
              <w:rPr>
                <w:lang w:eastAsia="fr-FR"/>
              </w:rPr>
              <w:t>IEEE Std 802.1AS [104] clause 14.8.52</w:t>
            </w:r>
          </w:p>
        </w:tc>
      </w:tr>
      <w:tr w:rsidR="00857A0D" w:rsidRPr="00873B6C" w14:paraId="2FAA3822" w14:textId="77777777" w:rsidTr="00C9561D">
        <w:trPr>
          <w:cantSplit/>
          <w:jc w:val="center"/>
        </w:trPr>
        <w:tc>
          <w:tcPr>
            <w:tcW w:w="3735" w:type="dxa"/>
            <w:shd w:val="clear" w:color="auto" w:fill="auto"/>
          </w:tcPr>
          <w:p w14:paraId="34489F71" w14:textId="77777777" w:rsidR="00857A0D" w:rsidRPr="00873B6C" w:rsidRDefault="00857A0D" w:rsidP="00857A0D">
            <w:pPr>
              <w:pStyle w:val="TAL"/>
              <w:rPr>
                <w:lang w:eastAsia="fr-FR"/>
              </w:rPr>
            </w:pPr>
            <w:r w:rsidRPr="00873B6C">
              <w:rPr>
                <w:lang w:eastAsia="fr-FR"/>
              </w:rPr>
              <w:t>&gt; portDS.pdelayTruncatedTimestampsArray</w:t>
            </w:r>
          </w:p>
        </w:tc>
        <w:tc>
          <w:tcPr>
            <w:tcW w:w="709" w:type="dxa"/>
            <w:shd w:val="clear" w:color="auto" w:fill="auto"/>
          </w:tcPr>
          <w:p w14:paraId="611993C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D464DE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D282568" w14:textId="77777777" w:rsidR="00857A0D" w:rsidRPr="00873B6C" w:rsidRDefault="00857A0D" w:rsidP="00857A0D">
            <w:pPr>
              <w:pStyle w:val="TAC"/>
              <w:rPr>
                <w:lang w:eastAsia="fr-FR"/>
              </w:rPr>
            </w:pPr>
            <w:r w:rsidRPr="00873B6C">
              <w:rPr>
                <w:lang w:eastAsia="fr-FR"/>
              </w:rPr>
              <w:t>RW</w:t>
            </w:r>
          </w:p>
        </w:tc>
        <w:tc>
          <w:tcPr>
            <w:tcW w:w="1338" w:type="dxa"/>
          </w:tcPr>
          <w:p w14:paraId="082FFC5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3F095A9" w14:textId="77777777" w:rsidR="00857A0D" w:rsidRPr="00873B6C" w:rsidRDefault="00857A0D" w:rsidP="00857A0D">
            <w:pPr>
              <w:pStyle w:val="TAC"/>
              <w:rPr>
                <w:lang w:eastAsia="fr-FR"/>
              </w:rPr>
            </w:pPr>
            <w:r w:rsidRPr="00873B6C">
              <w:rPr>
                <w:lang w:eastAsia="fr-FR"/>
              </w:rPr>
              <w:t>IEEE Std 802.1AS [104] clause 14.8.53</w:t>
            </w:r>
          </w:p>
        </w:tc>
      </w:tr>
      <w:tr w:rsidR="00857A0D" w:rsidRPr="00873B6C" w14:paraId="0F492838" w14:textId="77777777" w:rsidTr="00C9561D">
        <w:trPr>
          <w:cantSplit/>
          <w:jc w:val="center"/>
        </w:trPr>
        <w:tc>
          <w:tcPr>
            <w:tcW w:w="3735" w:type="dxa"/>
            <w:shd w:val="clear" w:color="auto" w:fill="auto"/>
          </w:tcPr>
          <w:p w14:paraId="30382B9F" w14:textId="77777777" w:rsidR="00857A0D" w:rsidRPr="00873B6C" w:rsidRDefault="00857A0D" w:rsidP="00857A0D">
            <w:pPr>
              <w:pStyle w:val="TAL"/>
              <w:rPr>
                <w:lang w:eastAsia="fr-FR"/>
              </w:rPr>
            </w:pPr>
            <w:r w:rsidRPr="00873B6C">
              <w:rPr>
                <w:lang w:eastAsia="fr-FR"/>
              </w:rPr>
              <w:t>&gt; portDS.minorVersionNumber</w:t>
            </w:r>
          </w:p>
        </w:tc>
        <w:tc>
          <w:tcPr>
            <w:tcW w:w="709" w:type="dxa"/>
            <w:shd w:val="clear" w:color="auto" w:fill="auto"/>
          </w:tcPr>
          <w:p w14:paraId="75EE403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02336F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20023E7" w14:textId="77777777" w:rsidR="00857A0D" w:rsidRPr="00873B6C" w:rsidRDefault="00857A0D" w:rsidP="00857A0D">
            <w:pPr>
              <w:pStyle w:val="TAC"/>
              <w:rPr>
                <w:lang w:eastAsia="fr-FR"/>
              </w:rPr>
            </w:pPr>
            <w:r w:rsidRPr="00873B6C">
              <w:rPr>
                <w:lang w:eastAsia="fr-FR"/>
              </w:rPr>
              <w:t>RW</w:t>
            </w:r>
          </w:p>
        </w:tc>
        <w:tc>
          <w:tcPr>
            <w:tcW w:w="1338" w:type="dxa"/>
          </w:tcPr>
          <w:p w14:paraId="0A6E390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18E686E" w14:textId="77777777" w:rsidR="00857A0D" w:rsidRPr="00873B6C" w:rsidRDefault="00857A0D" w:rsidP="00857A0D">
            <w:pPr>
              <w:pStyle w:val="TAC"/>
              <w:rPr>
                <w:lang w:eastAsia="fr-FR"/>
              </w:rPr>
            </w:pPr>
            <w:r w:rsidRPr="00873B6C">
              <w:rPr>
                <w:lang w:eastAsia="fr-FR"/>
              </w:rPr>
              <w:t>IEEE Std 802.1AS [104] clause 14.8.54</w:t>
            </w:r>
          </w:p>
        </w:tc>
      </w:tr>
      <w:tr w:rsidR="00857A0D" w:rsidRPr="00873B6C" w14:paraId="2B76D67B" w14:textId="77777777" w:rsidTr="00C9561D">
        <w:trPr>
          <w:cantSplit/>
          <w:jc w:val="center"/>
        </w:trPr>
        <w:tc>
          <w:tcPr>
            <w:tcW w:w="3735" w:type="dxa"/>
            <w:shd w:val="clear" w:color="auto" w:fill="auto"/>
          </w:tcPr>
          <w:p w14:paraId="0498A12C" w14:textId="77777777" w:rsidR="00857A0D" w:rsidRPr="00873B6C" w:rsidRDefault="00857A0D" w:rsidP="00857A0D">
            <w:pPr>
              <w:pStyle w:val="TAL"/>
              <w:rPr>
                <w:lang w:eastAsia="fr-FR"/>
              </w:rPr>
            </w:pPr>
            <w:r w:rsidRPr="00873B6C">
              <w:rPr>
                <w:lang w:eastAsia="fr-FR"/>
              </w:rPr>
              <w:t>&gt; timePropertiesDS.currentUtcOffset</w:t>
            </w:r>
          </w:p>
        </w:tc>
        <w:tc>
          <w:tcPr>
            <w:tcW w:w="709" w:type="dxa"/>
            <w:shd w:val="clear" w:color="auto" w:fill="auto"/>
          </w:tcPr>
          <w:p w14:paraId="6E6BCAA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84984CA" w14:textId="77777777" w:rsidR="00857A0D" w:rsidRPr="00873B6C" w:rsidRDefault="00857A0D" w:rsidP="00857A0D">
            <w:pPr>
              <w:pStyle w:val="TAC"/>
              <w:rPr>
                <w:lang w:eastAsia="fr-FR"/>
              </w:rPr>
            </w:pPr>
          </w:p>
        </w:tc>
        <w:tc>
          <w:tcPr>
            <w:tcW w:w="1418" w:type="dxa"/>
            <w:shd w:val="clear" w:color="auto" w:fill="auto"/>
          </w:tcPr>
          <w:p w14:paraId="77780E6C" w14:textId="77777777" w:rsidR="00857A0D" w:rsidRPr="00873B6C" w:rsidRDefault="00857A0D" w:rsidP="00857A0D">
            <w:pPr>
              <w:pStyle w:val="TAC"/>
              <w:rPr>
                <w:lang w:eastAsia="fr-FR"/>
              </w:rPr>
            </w:pPr>
            <w:r w:rsidRPr="00873B6C">
              <w:rPr>
                <w:lang w:eastAsia="fr-FR"/>
              </w:rPr>
              <w:t>RW</w:t>
            </w:r>
          </w:p>
        </w:tc>
        <w:tc>
          <w:tcPr>
            <w:tcW w:w="1338" w:type="dxa"/>
          </w:tcPr>
          <w:p w14:paraId="53CE4BA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C3940C7" w14:textId="77777777" w:rsidR="00857A0D" w:rsidRPr="00873B6C" w:rsidRDefault="00857A0D" w:rsidP="00857A0D">
            <w:pPr>
              <w:pStyle w:val="TAC"/>
              <w:rPr>
                <w:lang w:eastAsia="fr-FR"/>
              </w:rPr>
            </w:pPr>
            <w:r w:rsidRPr="00873B6C">
              <w:rPr>
                <w:lang w:eastAsia="fr-FR"/>
              </w:rPr>
              <w:t>IEEE Std 802.1AS [104] clause 14.5.2</w:t>
            </w:r>
          </w:p>
        </w:tc>
      </w:tr>
      <w:tr w:rsidR="00857A0D" w:rsidRPr="00873B6C" w14:paraId="63DDD36B" w14:textId="77777777" w:rsidTr="00C9561D">
        <w:trPr>
          <w:cantSplit/>
          <w:jc w:val="center"/>
        </w:trPr>
        <w:tc>
          <w:tcPr>
            <w:tcW w:w="3735" w:type="dxa"/>
            <w:shd w:val="clear" w:color="auto" w:fill="auto"/>
          </w:tcPr>
          <w:p w14:paraId="090EEB67" w14:textId="77777777" w:rsidR="00857A0D" w:rsidRPr="00873B6C" w:rsidRDefault="00857A0D" w:rsidP="00857A0D">
            <w:pPr>
              <w:pStyle w:val="TAL"/>
              <w:rPr>
                <w:lang w:eastAsia="fr-FR"/>
              </w:rPr>
            </w:pPr>
            <w:r w:rsidRPr="00873B6C">
              <w:rPr>
                <w:lang w:eastAsia="fr-FR"/>
              </w:rPr>
              <w:t>&gt; externalPortConfigurationPortDS.desiredState</w:t>
            </w:r>
          </w:p>
        </w:tc>
        <w:tc>
          <w:tcPr>
            <w:tcW w:w="709" w:type="dxa"/>
            <w:shd w:val="clear" w:color="auto" w:fill="auto"/>
          </w:tcPr>
          <w:p w14:paraId="1C69832C" w14:textId="77777777" w:rsidR="00857A0D" w:rsidRPr="00873B6C" w:rsidRDefault="00857A0D" w:rsidP="00857A0D">
            <w:pPr>
              <w:pStyle w:val="TAC"/>
              <w:rPr>
                <w:lang w:eastAsia="fr-FR"/>
              </w:rPr>
            </w:pPr>
          </w:p>
        </w:tc>
        <w:tc>
          <w:tcPr>
            <w:tcW w:w="708" w:type="dxa"/>
            <w:shd w:val="clear" w:color="auto" w:fill="auto"/>
          </w:tcPr>
          <w:p w14:paraId="16D9DDA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F19A2D1" w14:textId="77777777" w:rsidR="00857A0D" w:rsidRPr="00873B6C" w:rsidRDefault="00857A0D" w:rsidP="00857A0D">
            <w:pPr>
              <w:pStyle w:val="TAC"/>
              <w:rPr>
                <w:lang w:eastAsia="fr-FR"/>
              </w:rPr>
            </w:pPr>
            <w:r w:rsidRPr="00873B6C">
              <w:rPr>
                <w:lang w:eastAsia="fr-FR"/>
              </w:rPr>
              <w:t>RW</w:t>
            </w:r>
          </w:p>
        </w:tc>
        <w:tc>
          <w:tcPr>
            <w:tcW w:w="1338" w:type="dxa"/>
          </w:tcPr>
          <w:p w14:paraId="55880085"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D88CAED" w14:textId="77777777" w:rsidR="00857A0D" w:rsidRPr="00873B6C" w:rsidRDefault="00857A0D" w:rsidP="00857A0D">
            <w:pPr>
              <w:pStyle w:val="TAC"/>
              <w:rPr>
                <w:lang w:eastAsia="fr-FR"/>
              </w:rPr>
            </w:pPr>
            <w:r w:rsidRPr="00873B6C">
              <w:rPr>
                <w:lang w:eastAsia="fr-FR"/>
              </w:rPr>
              <w:t>IEEE Std 802.1AS [104] clause 14.12.2</w:t>
            </w:r>
          </w:p>
        </w:tc>
      </w:tr>
      <w:tr w:rsidR="00857A0D" w:rsidRPr="00873B6C" w14:paraId="0615AA0F" w14:textId="77777777" w:rsidTr="00C9561D">
        <w:trPr>
          <w:cantSplit/>
          <w:jc w:val="center"/>
        </w:trPr>
        <w:tc>
          <w:tcPr>
            <w:tcW w:w="10034" w:type="dxa"/>
            <w:gridSpan w:val="6"/>
            <w:shd w:val="clear" w:color="auto" w:fill="auto"/>
          </w:tcPr>
          <w:p w14:paraId="50048A3C" w14:textId="77777777" w:rsidR="00857A0D" w:rsidRPr="00873B6C" w:rsidRDefault="00857A0D" w:rsidP="00857A0D">
            <w:pPr>
              <w:pStyle w:val="TAN"/>
            </w:pPr>
            <w:r w:rsidRPr="00873B6C">
              <w:lastRenderedPageBreak/>
              <w:t>NOTE 1:</w:t>
            </w:r>
            <w:r w:rsidRPr="00873B6C">
              <w:tab/>
              <w:t>R = Read only access; RW = Read/Write access; ― = not supported.</w:t>
            </w:r>
          </w:p>
          <w:p w14:paraId="5937FBE2" w14:textId="77777777" w:rsidR="00857A0D" w:rsidRPr="00873B6C" w:rsidRDefault="00857A0D" w:rsidP="00857A0D">
            <w:pPr>
              <w:pStyle w:val="TAN"/>
            </w:pPr>
            <w:r w:rsidRPr="00873B6C">
              <w:t>NOTE 2:</w:t>
            </w:r>
            <w:r w:rsidRPr="00873B6C">
              <w:tab/>
              <w:t>Indicates which standardized and deployment-specific port management information is supported by DS-TT or NW-TT.</w:t>
            </w:r>
          </w:p>
          <w:p w14:paraId="53C6F002" w14:textId="75ABCA26" w:rsidR="00857A0D" w:rsidRPr="00873B6C" w:rsidRDefault="00857A0D" w:rsidP="00857A0D">
            <w:pPr>
              <w:pStyle w:val="TAN"/>
            </w:pPr>
            <w:r w:rsidRPr="00873B6C">
              <w:t>NOTE 3:</w:t>
            </w:r>
            <w:r w:rsidRPr="00873B6C">
              <w:tab/>
              <w:t>AdminCycleTime, AdminControlListLength and TransmissionOverrun are optional for gate control information.</w:t>
            </w:r>
          </w:p>
          <w:p w14:paraId="11F24D94" w14:textId="1030B5DB" w:rsidR="00857A0D" w:rsidRPr="00873B6C" w:rsidRDefault="00857A0D" w:rsidP="00857A0D">
            <w:pPr>
              <w:pStyle w:val="TAN"/>
            </w:pPr>
            <w:r w:rsidRPr="00873B6C">
              <w:t>NOTE 4:</w:t>
            </w:r>
            <w:r w:rsidRPr="00873B6C">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K.1-2)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796D9DF" w14:textId="62ABF8D9" w:rsidR="00857A0D" w:rsidRPr="00873B6C" w:rsidRDefault="00857A0D" w:rsidP="00857A0D">
            <w:pPr>
              <w:pStyle w:val="TAN"/>
            </w:pPr>
            <w:r w:rsidRPr="00873B6C">
              <w:t>NOTE 5:</w:t>
            </w:r>
            <w:r w:rsidRPr="00873B6C">
              <w:tab/>
              <w:t>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K.1-2), the NW-TT performing neighbor discovery on behalf on DS-TT.</w:t>
            </w:r>
          </w:p>
          <w:p w14:paraId="1130EED8" w14:textId="77777777" w:rsidR="00857A0D" w:rsidRPr="00873B6C" w:rsidRDefault="00857A0D" w:rsidP="00857A0D">
            <w:pPr>
              <w:pStyle w:val="TAN"/>
            </w:pPr>
            <w:r w:rsidRPr="00873B6C">
              <w:t>NOTE 6:</w:t>
            </w:r>
            <w:r w:rsidRPr="00873B6C">
              <w:tab/>
              <w:t>X = applicable; D = applicable when validation and generation of LLDP frames is processed at the DS-TT.</w:t>
            </w:r>
          </w:p>
          <w:p w14:paraId="1D479C1A" w14:textId="77777777" w:rsidR="00857A0D" w:rsidRPr="00873B6C" w:rsidRDefault="00857A0D" w:rsidP="00857A0D">
            <w:pPr>
              <w:pStyle w:val="TAN"/>
            </w:pPr>
            <w:r w:rsidRPr="00873B6C">
              <w:t>NOTE 7:</w:t>
            </w:r>
            <w:r w:rsidRPr="00873B6C">
              <w:tab/>
              <w:t>Void.</w:t>
            </w:r>
          </w:p>
          <w:p w14:paraId="5F3C5DCC" w14:textId="77777777" w:rsidR="00857A0D" w:rsidRPr="00873B6C" w:rsidRDefault="00857A0D" w:rsidP="00857A0D">
            <w:pPr>
              <w:pStyle w:val="TAN"/>
            </w:pPr>
            <w:r w:rsidRPr="00873B6C">
              <w:t>NOTE 8:</w:t>
            </w:r>
            <w:r w:rsidRPr="00873B6C">
              <w:tab/>
              <w:t>There is a Stream Filter Instance Table per Stream.</w:t>
            </w:r>
          </w:p>
          <w:p w14:paraId="29E73879" w14:textId="77777777" w:rsidR="00857A0D" w:rsidRPr="00873B6C" w:rsidRDefault="00857A0D" w:rsidP="00857A0D">
            <w:pPr>
              <w:pStyle w:val="TAN"/>
            </w:pPr>
            <w:r w:rsidRPr="00873B6C">
              <w:t>NOTE 9:</w:t>
            </w:r>
            <w:r w:rsidRPr="00873B6C">
              <w:tab/>
              <w:t>There is a Stream Gate Instance Table per Gate.</w:t>
            </w:r>
          </w:p>
          <w:p w14:paraId="266E39DF" w14:textId="77777777" w:rsidR="00857A0D" w:rsidRPr="00873B6C" w:rsidRDefault="00857A0D" w:rsidP="00857A0D">
            <w:pPr>
              <w:pStyle w:val="TAN"/>
            </w:pPr>
            <w:r w:rsidRPr="00873B6C">
              <w:t>NOTE 10:</w:t>
            </w:r>
            <w:r w:rsidRPr="00873B6C">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8.6.5.2.1 of IEEE Std 802.1Q [98].</w:t>
            </w:r>
          </w:p>
          <w:p w14:paraId="6DAEF787" w14:textId="77777777" w:rsidR="00857A0D" w:rsidRPr="00873B6C" w:rsidRDefault="00857A0D" w:rsidP="00857A0D">
            <w:pPr>
              <w:pStyle w:val="TAN"/>
            </w:pPr>
            <w:r w:rsidRPr="00873B6C">
              <w:t>NOTE 11:</w:t>
            </w:r>
            <w:r w:rsidRPr="00873B6C">
              <w:tab/>
              <w:t>TSN AF composes a Stream Parameter Table towards the CNC. It is up to TSN AF how it composes the Stream Parameter Table based on the numerical values as received from DS-TT and NW-TT port(s) and for the bridge for each individual parameter.</w:t>
            </w:r>
          </w:p>
          <w:p w14:paraId="6C5AD5E0" w14:textId="77777777" w:rsidR="00857A0D" w:rsidRPr="00873B6C" w:rsidRDefault="00857A0D" w:rsidP="00857A0D">
            <w:pPr>
              <w:pStyle w:val="TAN"/>
            </w:pPr>
            <w:r w:rsidRPr="00873B6C">
              <w:t>NOTE 12:</w:t>
            </w:r>
            <w:r w:rsidRPr="00873B6C">
              <w:tab/>
              <w:t>The set of Stream Identification Controlling Parameters depends on the Stream Identification type value as defined in IEEE Std 802.1CB [83] Table 9-1 and clauses 9.1.2, 9.1.3, 9.1.4.</w:t>
            </w:r>
          </w:p>
          <w:p w14:paraId="73CBD880" w14:textId="77777777" w:rsidR="00857A0D" w:rsidRPr="00873B6C" w:rsidRDefault="00857A0D" w:rsidP="00857A0D">
            <w:pPr>
              <w:pStyle w:val="TAN"/>
              <w:rPr>
                <w:lang w:eastAsia="fr-FR"/>
              </w:rPr>
            </w:pPr>
            <w:r w:rsidRPr="00873B6C">
              <w:rPr>
                <w:lang w:eastAsia="fr-FR"/>
              </w:rPr>
              <w:t>NOTE 13:</w:t>
            </w:r>
            <w:r w:rsidRPr="00873B6C">
              <w:rPr>
                <w:lang w:eastAsia="fr-FR"/>
              </w:rPr>
              <w:tab/>
              <w:t>Enumeration of supported PTP instance types. Allowed values as defined in clause 8.2.1.5.5 of IEEE Std 1588 [126].</w:t>
            </w:r>
          </w:p>
          <w:p w14:paraId="6E3D9684" w14:textId="77777777" w:rsidR="00857A0D" w:rsidRPr="00873B6C" w:rsidRDefault="00857A0D" w:rsidP="00857A0D">
            <w:pPr>
              <w:pStyle w:val="TAN"/>
              <w:rPr>
                <w:lang w:eastAsia="fr-FR"/>
              </w:rPr>
            </w:pPr>
            <w:r w:rsidRPr="00873B6C">
              <w:rPr>
                <w:lang w:eastAsia="fr-FR"/>
              </w:rPr>
              <w:t>NOTE 14:</w:t>
            </w:r>
            <w:r w:rsidRPr="00873B6C">
              <w:rPr>
                <w:lang w:eastAsia="fr-FR"/>
              </w:rPr>
              <w:tab/>
              <w:t>Enumeration of supported transport types. Allowed values: IPv4 (as defined in Annex C of IEEE Std 1588 [126]), IPv6 (as defined in IEEE Std 1588 [126] Annex D), Ethernet (as defined in Annex E of IEEE Std 1588 [126]).</w:t>
            </w:r>
          </w:p>
          <w:p w14:paraId="4BC43512" w14:textId="77777777" w:rsidR="00857A0D" w:rsidRPr="00873B6C" w:rsidRDefault="00857A0D" w:rsidP="00857A0D">
            <w:pPr>
              <w:pStyle w:val="TAN"/>
              <w:rPr>
                <w:lang w:eastAsia="fr-FR"/>
              </w:rPr>
            </w:pPr>
            <w:r w:rsidRPr="00873B6C">
              <w:rPr>
                <w:lang w:eastAsia="fr-FR"/>
              </w:rPr>
              <w:t>NOTE 15:</w:t>
            </w:r>
            <w:r w:rsidRPr="00873B6C">
              <w:rPr>
                <w:lang w:eastAsia="fr-FR"/>
              </w:rPr>
              <w:tab/>
              <w:t>Enumeration of supported PTP delay mechanisms. Allowed values as defined in clause 8.2.15.4.4 of IEEE Std 1588 [126].</w:t>
            </w:r>
          </w:p>
          <w:p w14:paraId="4134DBC4" w14:textId="77777777" w:rsidR="00857A0D" w:rsidRPr="00873B6C" w:rsidRDefault="00857A0D" w:rsidP="00857A0D">
            <w:pPr>
              <w:pStyle w:val="TAN"/>
              <w:rPr>
                <w:lang w:eastAsia="fr-FR"/>
              </w:rPr>
            </w:pPr>
            <w:r w:rsidRPr="00873B6C">
              <w:rPr>
                <w:lang w:eastAsia="fr-FR"/>
              </w:rPr>
              <w:t>NOTE 16:</w:t>
            </w:r>
            <w:r w:rsidRPr="00873B6C">
              <w:rPr>
                <w:lang w:eastAsia="fr-FR"/>
              </w:rPr>
              <w:tab/>
              <w:t>Indicates whether DS-TT supports acting as a PTP grandmaster.</w:t>
            </w:r>
          </w:p>
          <w:p w14:paraId="23DFBB15" w14:textId="77777777" w:rsidR="00857A0D" w:rsidRPr="00873B6C" w:rsidRDefault="00857A0D" w:rsidP="00857A0D">
            <w:pPr>
              <w:pStyle w:val="TAN"/>
              <w:rPr>
                <w:lang w:eastAsia="fr-FR"/>
              </w:rPr>
            </w:pPr>
            <w:r w:rsidRPr="00873B6C">
              <w:rPr>
                <w:lang w:eastAsia="fr-FR"/>
              </w:rPr>
              <w:t>NOTE 17:</w:t>
            </w:r>
            <w:r w:rsidRPr="00873B6C">
              <w:rPr>
                <w:lang w:eastAsia="fr-FR"/>
              </w:rPr>
              <w:tab/>
              <w:t>Indicates whether DS-TT supports acting as a gPTP grandmaster.</w:t>
            </w:r>
          </w:p>
          <w:p w14:paraId="5918D60A" w14:textId="77777777" w:rsidR="00857A0D" w:rsidRPr="00873B6C" w:rsidRDefault="00857A0D" w:rsidP="00857A0D">
            <w:pPr>
              <w:pStyle w:val="TAN"/>
              <w:rPr>
                <w:lang w:eastAsia="fr-FR"/>
              </w:rPr>
            </w:pPr>
            <w:r w:rsidRPr="00873B6C">
              <w:rPr>
                <w:lang w:eastAsia="fr-FR"/>
              </w:rPr>
              <w:t>NOTE 18:</w:t>
            </w:r>
            <w:r w:rsidRPr="00873B6C">
              <w:rPr>
                <w:lang w:eastAsia="fr-FR"/>
              </w:rPr>
              <w:tab/>
              <w:t>Enumeration of supported PTP profiles, each identified by PTP profile ID, as defined in clause 20.3.3 of IEEE Std 1588 [126].</w:t>
            </w:r>
          </w:p>
          <w:p w14:paraId="28D82D6D" w14:textId="77777777" w:rsidR="00857A0D" w:rsidRPr="00873B6C" w:rsidRDefault="00857A0D" w:rsidP="00857A0D">
            <w:pPr>
              <w:pStyle w:val="TAN"/>
              <w:rPr>
                <w:lang w:eastAsia="fr-FR"/>
              </w:rPr>
            </w:pPr>
            <w:r w:rsidRPr="00873B6C">
              <w:rPr>
                <w:lang w:eastAsia="fr-FR"/>
              </w:rPr>
              <w:t>NOTE 19:</w:t>
            </w:r>
            <w:r w:rsidRPr="00873B6C">
              <w:rPr>
                <w:lang w:eastAsia="fr-FR"/>
              </w:rPr>
              <w:tab/>
              <w:t>PTP profile to apply, identified by PTP profile ID, as defined in clause 20.3.3 of IEEE Std 1588 [126].</w:t>
            </w:r>
          </w:p>
          <w:p w14:paraId="085388BD" w14:textId="77777777" w:rsidR="00857A0D" w:rsidRPr="00873B6C" w:rsidRDefault="00857A0D" w:rsidP="00857A0D">
            <w:pPr>
              <w:pStyle w:val="TAN"/>
              <w:rPr>
                <w:lang w:eastAsia="fr-FR"/>
              </w:rPr>
            </w:pPr>
            <w:r w:rsidRPr="00873B6C">
              <w:rPr>
                <w:lang w:eastAsia="fr-FR"/>
              </w:rPr>
              <w:t>NOTE 20:</w:t>
            </w:r>
            <w:r w:rsidRPr="00873B6C">
              <w:rPr>
                <w:lang w:eastAsia="fr-FR"/>
              </w:rPr>
              <w:tab/>
              <w:t>Transport type to use. Allowed values: IPv4 (as defined in Annex C of IEEE Std 1588 [126]), IPv6 (as defined in IEEE Std 1588 [126] Annex D), Ethernet (as defined in Annex E of IEEE Std 1588 [126]).</w:t>
            </w:r>
          </w:p>
          <w:p w14:paraId="07B181D9" w14:textId="77777777" w:rsidR="00857A0D" w:rsidRPr="00873B6C" w:rsidRDefault="00857A0D" w:rsidP="00857A0D">
            <w:pPr>
              <w:pStyle w:val="TAN"/>
              <w:rPr>
                <w:lang w:eastAsia="fr-FR"/>
              </w:rPr>
            </w:pPr>
            <w:r w:rsidRPr="00873B6C">
              <w:rPr>
                <w:lang w:eastAsia="fr-FR"/>
              </w:rPr>
              <w:t>NOTE 21:</w:t>
            </w:r>
            <w:r w:rsidRPr="00873B6C">
              <w:rPr>
                <w:lang w:eastAsia="fr-FR"/>
              </w:rPr>
              <w:tab/>
              <w:t>Indicates whether to act as grandmaster or not, i.e. whether to send Announce, Sync and optionally Follow_Up messages.</w:t>
            </w:r>
          </w:p>
          <w:p w14:paraId="3FCF0460" w14:textId="77777777" w:rsidR="00857A0D" w:rsidRPr="00873B6C" w:rsidRDefault="00857A0D" w:rsidP="00857A0D">
            <w:pPr>
              <w:pStyle w:val="TAN"/>
              <w:rPr>
                <w:lang w:eastAsia="fr-FR"/>
              </w:rPr>
            </w:pPr>
            <w:r w:rsidRPr="00873B6C">
              <w:rPr>
                <w:lang w:eastAsia="fr-FR"/>
              </w:rPr>
              <w:t>NOTE 22:</w:t>
            </w:r>
            <w:r w:rsidRPr="00873B6C">
              <w:rPr>
                <w:lang w:eastAsia="fr-FR"/>
              </w:rPr>
              <w:tab/>
              <w:t>The IEEE Std 802.1AS [104] data sets apply if the IEEE 802.1AS PTP profile is used; otherwise the IEEE Std 1588 [126] data sets apply.</w:t>
            </w:r>
          </w:p>
          <w:p w14:paraId="03E7A69A" w14:textId="77777777" w:rsidR="00857A0D" w:rsidRPr="00873B6C" w:rsidRDefault="00857A0D" w:rsidP="00857A0D">
            <w:pPr>
              <w:pStyle w:val="TAN"/>
              <w:rPr>
                <w:lang w:eastAsia="fr-FR"/>
              </w:rPr>
            </w:pPr>
            <w:r w:rsidRPr="00873B6C">
              <w:rPr>
                <w:lang w:eastAsia="fr-FR"/>
              </w:rPr>
              <w:t>NOTE 23:</w:t>
            </w:r>
            <w:r w:rsidRPr="00873B6C">
              <w:rPr>
                <w:lang w:eastAsia="fr-FR"/>
              </w:rPr>
              <w:tab/>
              <w:t>Indicates how much the txPropagationDelay needs to change so that DS-TT/NW-TT report a change in txPropagationDelay to TSN AF. This is optional for NW-TT.</w:t>
            </w:r>
          </w:p>
          <w:p w14:paraId="68EF1F9C" w14:textId="77777777" w:rsidR="00857A0D" w:rsidRPr="00873B6C" w:rsidRDefault="00857A0D" w:rsidP="00857A0D">
            <w:pPr>
              <w:pStyle w:val="TAN"/>
              <w:rPr>
                <w:lang w:eastAsia="fr-FR"/>
              </w:rPr>
            </w:pPr>
            <w:r w:rsidRPr="00873B6C">
              <w:rPr>
                <w:lang w:eastAsia="fr-FR"/>
              </w:rPr>
              <w:t>NOTE 24:</w:t>
            </w:r>
            <w:r w:rsidRPr="00873B6C">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389C9052" w14:textId="77777777" w:rsidR="00857A0D" w:rsidRPr="00873B6C" w:rsidRDefault="00857A0D" w:rsidP="00857A0D">
            <w:pPr>
              <w:pStyle w:val="TAN"/>
              <w:rPr>
                <w:lang w:eastAsia="fr-FR"/>
              </w:rPr>
            </w:pPr>
            <w:r w:rsidRPr="00873B6C">
              <w:rPr>
                <w:lang w:eastAsia="fr-FR"/>
              </w:rPr>
              <w:t>NOTE 25:</w:t>
            </w:r>
            <w:r w:rsidRPr="00873B6C">
              <w:rPr>
                <w:lang w:eastAsia="fr-FR"/>
              </w:rPr>
              <w:tab/>
              <w:t>PTP Instance ID uniquely identifies a PTP instance within the user plane node.</w:t>
            </w:r>
          </w:p>
          <w:p w14:paraId="69595BCC" w14:textId="77777777" w:rsidR="00857A0D" w:rsidRPr="00873B6C" w:rsidRDefault="00857A0D" w:rsidP="00857A0D">
            <w:pPr>
              <w:pStyle w:val="TAN"/>
              <w:rPr>
                <w:lang w:eastAsia="fr-FR"/>
              </w:rPr>
            </w:pPr>
            <w:r w:rsidRPr="00873B6C">
              <w:rPr>
                <w:lang w:eastAsia="fr-FR"/>
              </w:rPr>
              <w:t>NOTE 26:</w:t>
            </w:r>
            <w:r w:rsidRPr="00873B6C">
              <w:rPr>
                <w:lang w:eastAsia="fr-FR"/>
              </w:rPr>
              <w:tab/>
              <w:t>TSN AF indicates the neighbor discovery information for each discovered neighbor of NW-TT port to CNC.</w:t>
            </w:r>
          </w:p>
          <w:p w14:paraId="2423A24A" w14:textId="77777777" w:rsidR="00857A0D" w:rsidRPr="00873B6C" w:rsidRDefault="00857A0D" w:rsidP="00857A0D">
            <w:pPr>
              <w:pStyle w:val="TAN"/>
              <w:rPr>
                <w:lang w:eastAsia="fr-FR"/>
              </w:rPr>
            </w:pPr>
            <w:r w:rsidRPr="00873B6C">
              <w:rPr>
                <w:lang w:eastAsia="fr-FR"/>
              </w:rPr>
              <w:t>NOTE 27:</w:t>
            </w:r>
            <w:r w:rsidRPr="00873B6C">
              <w:rPr>
                <w:lang w:eastAsia="fr-FR"/>
              </w:rPr>
              <w:tab/>
              <w:t>Applicable in case of interworking with IETF Deterministic Networking.</w:t>
            </w:r>
          </w:p>
        </w:tc>
      </w:tr>
    </w:tbl>
    <w:p w14:paraId="0829A545" w14:textId="77777777" w:rsidR="00A10084" w:rsidRPr="00873B6C" w:rsidRDefault="00A10084" w:rsidP="00A10084"/>
    <w:p w14:paraId="40B5F4CD" w14:textId="3FE3A39A" w:rsidR="00A10084" w:rsidRPr="00873B6C" w:rsidRDefault="00A10084" w:rsidP="00A10084">
      <w:pPr>
        <w:pStyle w:val="TH"/>
      </w:pPr>
      <w:bookmarkStart w:id="6660" w:name="_CRTableK_12"/>
      <w:r w:rsidRPr="00873B6C">
        <w:lastRenderedPageBreak/>
        <w:t xml:space="preserve">Table </w:t>
      </w:r>
      <w:bookmarkEnd w:id="6660"/>
      <w:r w:rsidRPr="00873B6C">
        <w:t>K.1-2: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A10084" w:rsidRPr="00873B6C" w14:paraId="3A16632F" w14:textId="77777777" w:rsidTr="00C9561D">
        <w:trPr>
          <w:cantSplit/>
          <w:jc w:val="center"/>
        </w:trPr>
        <w:tc>
          <w:tcPr>
            <w:tcW w:w="5000" w:type="dxa"/>
            <w:tcBorders>
              <w:bottom w:val="nil"/>
            </w:tcBorders>
            <w:shd w:val="clear" w:color="auto" w:fill="auto"/>
          </w:tcPr>
          <w:p w14:paraId="1F7D20CF" w14:textId="77777777" w:rsidR="00A10084" w:rsidRPr="00873B6C" w:rsidRDefault="00A10084" w:rsidP="00C9561D">
            <w:pPr>
              <w:pStyle w:val="TAH"/>
              <w:rPr>
                <w:lang w:val="fr-FR"/>
              </w:rPr>
            </w:pPr>
            <w:r w:rsidRPr="00873B6C">
              <w:rPr>
                <w:lang w:val="fr-FR"/>
              </w:rPr>
              <w:lastRenderedPageBreak/>
              <w:t>User plane node management information</w:t>
            </w:r>
          </w:p>
        </w:tc>
        <w:tc>
          <w:tcPr>
            <w:tcW w:w="1418" w:type="dxa"/>
            <w:tcBorders>
              <w:bottom w:val="nil"/>
            </w:tcBorders>
            <w:shd w:val="clear" w:color="auto" w:fill="auto"/>
          </w:tcPr>
          <w:p w14:paraId="1E6071DA" w14:textId="77777777" w:rsidR="00A10084" w:rsidRPr="00873B6C" w:rsidRDefault="00A10084" w:rsidP="00C9561D">
            <w:pPr>
              <w:pStyle w:val="TAH"/>
            </w:pPr>
            <w:r w:rsidRPr="00873B6C">
              <w:t>Supported operations by TSN AF</w:t>
            </w:r>
          </w:p>
        </w:tc>
        <w:tc>
          <w:tcPr>
            <w:tcW w:w="1338" w:type="dxa"/>
            <w:tcBorders>
              <w:bottom w:val="nil"/>
            </w:tcBorders>
            <w:shd w:val="clear" w:color="auto" w:fill="auto"/>
          </w:tcPr>
          <w:p w14:paraId="74FC8B10" w14:textId="77777777" w:rsidR="00A10084" w:rsidRPr="00873B6C" w:rsidRDefault="00A10084" w:rsidP="00C9561D">
            <w:pPr>
              <w:pStyle w:val="TAH"/>
            </w:pPr>
            <w:r w:rsidRPr="00873B6C">
              <w:t>Supported operations by TSCTSF</w:t>
            </w:r>
          </w:p>
        </w:tc>
        <w:tc>
          <w:tcPr>
            <w:tcW w:w="2126" w:type="dxa"/>
            <w:tcBorders>
              <w:bottom w:val="nil"/>
            </w:tcBorders>
            <w:shd w:val="clear" w:color="auto" w:fill="auto"/>
          </w:tcPr>
          <w:p w14:paraId="176FE0F9" w14:textId="77777777" w:rsidR="00A10084" w:rsidRPr="00873B6C" w:rsidRDefault="00A10084" w:rsidP="00C9561D">
            <w:pPr>
              <w:pStyle w:val="TAH"/>
            </w:pPr>
            <w:r w:rsidRPr="00873B6C">
              <w:t>Reference</w:t>
            </w:r>
          </w:p>
        </w:tc>
      </w:tr>
      <w:tr w:rsidR="00A10084" w:rsidRPr="00873B6C" w14:paraId="5CED6033" w14:textId="77777777" w:rsidTr="00C9561D">
        <w:trPr>
          <w:cantSplit/>
          <w:jc w:val="center"/>
        </w:trPr>
        <w:tc>
          <w:tcPr>
            <w:tcW w:w="5000" w:type="dxa"/>
            <w:tcBorders>
              <w:top w:val="nil"/>
            </w:tcBorders>
            <w:shd w:val="clear" w:color="auto" w:fill="auto"/>
          </w:tcPr>
          <w:p w14:paraId="07E7DACB" w14:textId="77777777" w:rsidR="00A10084" w:rsidRPr="00873B6C" w:rsidRDefault="00A10084" w:rsidP="00C9561D">
            <w:pPr>
              <w:pStyle w:val="TAH"/>
            </w:pPr>
          </w:p>
        </w:tc>
        <w:tc>
          <w:tcPr>
            <w:tcW w:w="1418" w:type="dxa"/>
            <w:tcBorders>
              <w:top w:val="nil"/>
            </w:tcBorders>
            <w:shd w:val="clear" w:color="auto" w:fill="auto"/>
          </w:tcPr>
          <w:p w14:paraId="64C1539E" w14:textId="77777777" w:rsidR="00A10084" w:rsidRPr="00873B6C" w:rsidRDefault="00A10084" w:rsidP="00C9561D">
            <w:pPr>
              <w:pStyle w:val="TAH"/>
            </w:pPr>
            <w:r w:rsidRPr="00873B6C">
              <w:t>(see NOTE 1)</w:t>
            </w:r>
          </w:p>
        </w:tc>
        <w:tc>
          <w:tcPr>
            <w:tcW w:w="1338" w:type="dxa"/>
            <w:tcBorders>
              <w:top w:val="nil"/>
            </w:tcBorders>
            <w:shd w:val="clear" w:color="auto" w:fill="auto"/>
          </w:tcPr>
          <w:p w14:paraId="67B1C53D" w14:textId="77777777" w:rsidR="00A10084" w:rsidRPr="00873B6C" w:rsidRDefault="00A10084" w:rsidP="00C9561D">
            <w:pPr>
              <w:pStyle w:val="TAH"/>
            </w:pPr>
            <w:r w:rsidRPr="00873B6C">
              <w:t>(see NOTE 1)</w:t>
            </w:r>
          </w:p>
        </w:tc>
        <w:tc>
          <w:tcPr>
            <w:tcW w:w="2126" w:type="dxa"/>
            <w:tcBorders>
              <w:top w:val="nil"/>
            </w:tcBorders>
            <w:shd w:val="clear" w:color="auto" w:fill="auto"/>
          </w:tcPr>
          <w:p w14:paraId="29E8A421" w14:textId="77777777" w:rsidR="00A10084" w:rsidRPr="00873B6C" w:rsidRDefault="00A10084" w:rsidP="00C9561D">
            <w:pPr>
              <w:pStyle w:val="TAH"/>
            </w:pPr>
          </w:p>
        </w:tc>
      </w:tr>
      <w:tr w:rsidR="00A10084" w:rsidRPr="00873B6C" w14:paraId="1794AACE" w14:textId="77777777" w:rsidTr="00C9561D">
        <w:trPr>
          <w:cantSplit/>
          <w:jc w:val="center"/>
        </w:trPr>
        <w:tc>
          <w:tcPr>
            <w:tcW w:w="5000" w:type="dxa"/>
            <w:shd w:val="clear" w:color="auto" w:fill="auto"/>
          </w:tcPr>
          <w:p w14:paraId="1990790B" w14:textId="77777777" w:rsidR="00A10084" w:rsidRPr="00873B6C" w:rsidRDefault="00A10084" w:rsidP="00C9561D">
            <w:pPr>
              <w:pStyle w:val="TAL"/>
            </w:pPr>
            <w:r w:rsidRPr="00873B6C">
              <w:rPr>
                <w:b/>
              </w:rPr>
              <w:t>Information for 5GS Bridge/Router</w:t>
            </w:r>
          </w:p>
        </w:tc>
        <w:tc>
          <w:tcPr>
            <w:tcW w:w="1418" w:type="dxa"/>
            <w:shd w:val="clear" w:color="auto" w:fill="auto"/>
          </w:tcPr>
          <w:p w14:paraId="56805FC7" w14:textId="77777777" w:rsidR="00A10084" w:rsidRPr="00873B6C" w:rsidRDefault="00A10084" w:rsidP="00C9561D">
            <w:pPr>
              <w:pStyle w:val="TAC"/>
            </w:pPr>
          </w:p>
        </w:tc>
        <w:tc>
          <w:tcPr>
            <w:tcW w:w="1338" w:type="dxa"/>
          </w:tcPr>
          <w:p w14:paraId="15E74BC2" w14:textId="77777777" w:rsidR="00A10084" w:rsidRPr="00873B6C" w:rsidRDefault="00A10084" w:rsidP="00C9561D">
            <w:pPr>
              <w:pStyle w:val="TAC"/>
            </w:pPr>
          </w:p>
        </w:tc>
        <w:tc>
          <w:tcPr>
            <w:tcW w:w="2126" w:type="dxa"/>
            <w:shd w:val="clear" w:color="auto" w:fill="auto"/>
          </w:tcPr>
          <w:p w14:paraId="65520B9E" w14:textId="77777777" w:rsidR="00A10084" w:rsidRPr="00873B6C" w:rsidRDefault="00A10084" w:rsidP="00C9561D">
            <w:pPr>
              <w:pStyle w:val="TAC"/>
            </w:pPr>
          </w:p>
        </w:tc>
      </w:tr>
      <w:tr w:rsidR="00A10084" w:rsidRPr="00873B6C" w14:paraId="01D691D3" w14:textId="77777777" w:rsidTr="00C9561D">
        <w:trPr>
          <w:cantSplit/>
          <w:jc w:val="center"/>
        </w:trPr>
        <w:tc>
          <w:tcPr>
            <w:tcW w:w="5000" w:type="dxa"/>
            <w:shd w:val="clear" w:color="auto" w:fill="auto"/>
          </w:tcPr>
          <w:p w14:paraId="3D6964B9" w14:textId="77777777" w:rsidR="00A10084" w:rsidRPr="00873B6C" w:rsidRDefault="00A10084" w:rsidP="00C9561D">
            <w:pPr>
              <w:pStyle w:val="TAL"/>
              <w:rPr>
                <w:b/>
              </w:rPr>
            </w:pPr>
            <w:r w:rsidRPr="00873B6C">
              <w:rPr>
                <w:bCs/>
              </w:rPr>
              <w:t>User plane node Address</w:t>
            </w:r>
          </w:p>
        </w:tc>
        <w:tc>
          <w:tcPr>
            <w:tcW w:w="1418" w:type="dxa"/>
            <w:shd w:val="clear" w:color="auto" w:fill="auto"/>
          </w:tcPr>
          <w:p w14:paraId="0F49D66A" w14:textId="77777777" w:rsidR="00A10084" w:rsidRPr="00873B6C" w:rsidRDefault="00A10084" w:rsidP="00C9561D">
            <w:pPr>
              <w:pStyle w:val="TAC"/>
            </w:pPr>
            <w:r w:rsidRPr="00873B6C">
              <w:t>R</w:t>
            </w:r>
          </w:p>
        </w:tc>
        <w:tc>
          <w:tcPr>
            <w:tcW w:w="1338" w:type="dxa"/>
          </w:tcPr>
          <w:p w14:paraId="1EB365BE" w14:textId="77777777" w:rsidR="00A10084" w:rsidRPr="00873B6C" w:rsidRDefault="00A10084" w:rsidP="00C9561D">
            <w:pPr>
              <w:pStyle w:val="TAC"/>
            </w:pPr>
            <w:r w:rsidRPr="00873B6C">
              <w:t>R</w:t>
            </w:r>
          </w:p>
        </w:tc>
        <w:tc>
          <w:tcPr>
            <w:tcW w:w="2126" w:type="dxa"/>
            <w:shd w:val="clear" w:color="auto" w:fill="auto"/>
          </w:tcPr>
          <w:p w14:paraId="6352FD91" w14:textId="77777777" w:rsidR="00A10084" w:rsidRPr="00873B6C" w:rsidRDefault="00A10084" w:rsidP="00C9561D">
            <w:pPr>
              <w:pStyle w:val="TAC"/>
            </w:pPr>
          </w:p>
        </w:tc>
      </w:tr>
      <w:tr w:rsidR="00A10084" w:rsidRPr="00873B6C" w14:paraId="4B84E849" w14:textId="77777777" w:rsidTr="00C9561D">
        <w:trPr>
          <w:cantSplit/>
          <w:jc w:val="center"/>
        </w:trPr>
        <w:tc>
          <w:tcPr>
            <w:tcW w:w="5000" w:type="dxa"/>
            <w:shd w:val="clear" w:color="auto" w:fill="auto"/>
          </w:tcPr>
          <w:p w14:paraId="1FA4FF94" w14:textId="77777777" w:rsidR="00A10084" w:rsidRPr="00873B6C" w:rsidDel="00C4403A" w:rsidRDefault="00A10084" w:rsidP="00C9561D">
            <w:pPr>
              <w:pStyle w:val="TAL"/>
              <w:rPr>
                <w:bCs/>
              </w:rPr>
            </w:pPr>
            <w:r w:rsidRPr="00873B6C">
              <w:rPr>
                <w:bCs/>
              </w:rPr>
              <w:t>User plane node ID</w:t>
            </w:r>
          </w:p>
        </w:tc>
        <w:tc>
          <w:tcPr>
            <w:tcW w:w="1418" w:type="dxa"/>
            <w:shd w:val="clear" w:color="auto" w:fill="auto"/>
          </w:tcPr>
          <w:p w14:paraId="17EDA5E4" w14:textId="77777777" w:rsidR="00A10084" w:rsidRPr="00873B6C" w:rsidRDefault="00A10084" w:rsidP="00C9561D">
            <w:pPr>
              <w:pStyle w:val="TAC"/>
            </w:pPr>
            <w:r w:rsidRPr="00873B6C">
              <w:t>R</w:t>
            </w:r>
          </w:p>
        </w:tc>
        <w:tc>
          <w:tcPr>
            <w:tcW w:w="1338" w:type="dxa"/>
          </w:tcPr>
          <w:p w14:paraId="1301CD22" w14:textId="77777777" w:rsidR="00A10084" w:rsidRPr="00873B6C" w:rsidRDefault="00A10084" w:rsidP="00C9561D">
            <w:pPr>
              <w:pStyle w:val="TAC"/>
            </w:pPr>
            <w:r w:rsidRPr="00873B6C">
              <w:t>R</w:t>
            </w:r>
          </w:p>
        </w:tc>
        <w:tc>
          <w:tcPr>
            <w:tcW w:w="2126" w:type="dxa"/>
            <w:shd w:val="clear" w:color="auto" w:fill="auto"/>
          </w:tcPr>
          <w:p w14:paraId="472758C2" w14:textId="77777777" w:rsidR="00A10084" w:rsidRPr="00873B6C" w:rsidRDefault="00A10084" w:rsidP="00C9561D">
            <w:pPr>
              <w:pStyle w:val="TAC"/>
            </w:pPr>
          </w:p>
        </w:tc>
      </w:tr>
      <w:tr w:rsidR="00A10084" w:rsidRPr="00873B6C" w14:paraId="1C4B89E8" w14:textId="77777777" w:rsidTr="00C9561D">
        <w:trPr>
          <w:cantSplit/>
          <w:jc w:val="center"/>
        </w:trPr>
        <w:tc>
          <w:tcPr>
            <w:tcW w:w="5000" w:type="dxa"/>
            <w:shd w:val="clear" w:color="auto" w:fill="auto"/>
          </w:tcPr>
          <w:p w14:paraId="44D0223E" w14:textId="77777777" w:rsidR="00A10084" w:rsidRPr="00873B6C" w:rsidDel="00C4403A" w:rsidRDefault="00A10084" w:rsidP="00C9561D">
            <w:pPr>
              <w:pStyle w:val="TAL"/>
              <w:rPr>
                <w:bCs/>
              </w:rPr>
            </w:pPr>
            <w:r w:rsidRPr="00873B6C">
              <w:rPr>
                <w:bCs/>
              </w:rPr>
              <w:t>NW-TT port numbers</w:t>
            </w:r>
          </w:p>
        </w:tc>
        <w:tc>
          <w:tcPr>
            <w:tcW w:w="1418" w:type="dxa"/>
            <w:shd w:val="clear" w:color="auto" w:fill="auto"/>
          </w:tcPr>
          <w:p w14:paraId="7FBE89AC" w14:textId="77777777" w:rsidR="00A10084" w:rsidRPr="00873B6C" w:rsidRDefault="00A10084" w:rsidP="00C9561D">
            <w:pPr>
              <w:pStyle w:val="TAC"/>
            </w:pPr>
            <w:r w:rsidRPr="00873B6C">
              <w:t>R</w:t>
            </w:r>
          </w:p>
        </w:tc>
        <w:tc>
          <w:tcPr>
            <w:tcW w:w="1338" w:type="dxa"/>
          </w:tcPr>
          <w:p w14:paraId="4BB493EE" w14:textId="77777777" w:rsidR="00A10084" w:rsidRPr="00873B6C" w:rsidRDefault="00A10084" w:rsidP="00C9561D">
            <w:pPr>
              <w:pStyle w:val="TAC"/>
            </w:pPr>
            <w:r w:rsidRPr="00873B6C">
              <w:t>R</w:t>
            </w:r>
          </w:p>
        </w:tc>
        <w:tc>
          <w:tcPr>
            <w:tcW w:w="2126" w:type="dxa"/>
            <w:shd w:val="clear" w:color="auto" w:fill="auto"/>
          </w:tcPr>
          <w:p w14:paraId="699BE275" w14:textId="77777777" w:rsidR="00A10084" w:rsidRPr="00873B6C" w:rsidRDefault="00A10084" w:rsidP="00C9561D">
            <w:pPr>
              <w:pStyle w:val="TAC"/>
            </w:pPr>
          </w:p>
        </w:tc>
      </w:tr>
      <w:tr w:rsidR="00A10084" w:rsidRPr="00873B6C" w14:paraId="0AAC008B" w14:textId="77777777" w:rsidTr="00C9561D">
        <w:trPr>
          <w:cantSplit/>
          <w:jc w:val="center"/>
        </w:trPr>
        <w:tc>
          <w:tcPr>
            <w:tcW w:w="5000" w:type="dxa"/>
            <w:shd w:val="clear" w:color="auto" w:fill="auto"/>
          </w:tcPr>
          <w:p w14:paraId="18F6563C" w14:textId="77777777" w:rsidR="00A10084" w:rsidRPr="00873B6C" w:rsidRDefault="00A10084" w:rsidP="00C9561D">
            <w:pPr>
              <w:pStyle w:val="TAL"/>
              <w:rPr>
                <w:bCs/>
              </w:rPr>
            </w:pPr>
            <w:r w:rsidRPr="00873B6C">
              <w:rPr>
                <w:b/>
              </w:rPr>
              <w:t>Traffic forwarding information</w:t>
            </w:r>
          </w:p>
        </w:tc>
        <w:tc>
          <w:tcPr>
            <w:tcW w:w="1418" w:type="dxa"/>
            <w:shd w:val="clear" w:color="auto" w:fill="auto"/>
          </w:tcPr>
          <w:p w14:paraId="3D57042E" w14:textId="77777777" w:rsidR="00A10084" w:rsidRPr="00873B6C" w:rsidRDefault="00A10084" w:rsidP="00C9561D">
            <w:pPr>
              <w:pStyle w:val="TAC"/>
            </w:pPr>
          </w:p>
        </w:tc>
        <w:tc>
          <w:tcPr>
            <w:tcW w:w="1338" w:type="dxa"/>
          </w:tcPr>
          <w:p w14:paraId="4E481E05" w14:textId="77777777" w:rsidR="00A10084" w:rsidRPr="00873B6C" w:rsidRDefault="00A10084" w:rsidP="00C9561D">
            <w:pPr>
              <w:pStyle w:val="TAC"/>
            </w:pPr>
          </w:p>
        </w:tc>
        <w:tc>
          <w:tcPr>
            <w:tcW w:w="2126" w:type="dxa"/>
            <w:shd w:val="clear" w:color="auto" w:fill="auto"/>
          </w:tcPr>
          <w:p w14:paraId="3FB48055" w14:textId="77777777" w:rsidR="00A10084" w:rsidRPr="00873B6C" w:rsidRDefault="00A10084" w:rsidP="00C9561D">
            <w:pPr>
              <w:pStyle w:val="TAC"/>
            </w:pPr>
          </w:p>
        </w:tc>
      </w:tr>
      <w:tr w:rsidR="00A10084" w:rsidRPr="00873B6C" w14:paraId="122EC10C" w14:textId="77777777" w:rsidTr="00C9561D">
        <w:trPr>
          <w:cantSplit/>
          <w:jc w:val="center"/>
        </w:trPr>
        <w:tc>
          <w:tcPr>
            <w:tcW w:w="5000" w:type="dxa"/>
            <w:shd w:val="clear" w:color="auto" w:fill="auto"/>
          </w:tcPr>
          <w:p w14:paraId="039D88CD" w14:textId="77777777" w:rsidR="00A10084" w:rsidRPr="00873B6C" w:rsidRDefault="00A10084" w:rsidP="00C9561D">
            <w:pPr>
              <w:pStyle w:val="TAL"/>
              <w:rPr>
                <w:b/>
              </w:rPr>
            </w:pPr>
            <w:r w:rsidRPr="00873B6C">
              <w:rPr>
                <w:bCs/>
              </w:rPr>
              <w:t>Static Filtering Entry (NOTE 3)</w:t>
            </w:r>
          </w:p>
        </w:tc>
        <w:tc>
          <w:tcPr>
            <w:tcW w:w="1418" w:type="dxa"/>
            <w:shd w:val="clear" w:color="auto" w:fill="auto"/>
          </w:tcPr>
          <w:p w14:paraId="4D95CBB5" w14:textId="77777777" w:rsidR="00A10084" w:rsidRPr="00873B6C" w:rsidRDefault="00A10084" w:rsidP="00C9561D">
            <w:pPr>
              <w:pStyle w:val="TAC"/>
            </w:pPr>
            <w:r w:rsidRPr="00873B6C">
              <w:t>RW</w:t>
            </w:r>
          </w:p>
        </w:tc>
        <w:tc>
          <w:tcPr>
            <w:tcW w:w="1338" w:type="dxa"/>
          </w:tcPr>
          <w:p w14:paraId="06B4B12E" w14:textId="77777777" w:rsidR="00A10084" w:rsidRPr="00873B6C" w:rsidRDefault="00A10084" w:rsidP="00C9561D">
            <w:pPr>
              <w:pStyle w:val="TAC"/>
            </w:pPr>
            <w:r w:rsidRPr="00873B6C">
              <w:t>-</w:t>
            </w:r>
          </w:p>
        </w:tc>
        <w:tc>
          <w:tcPr>
            <w:tcW w:w="2126" w:type="dxa"/>
            <w:shd w:val="clear" w:color="auto" w:fill="auto"/>
          </w:tcPr>
          <w:p w14:paraId="5CFDDDB1" w14:textId="77777777" w:rsidR="00A10084" w:rsidRPr="00873B6C" w:rsidRDefault="00A10084" w:rsidP="00C9561D">
            <w:pPr>
              <w:pStyle w:val="TAC"/>
            </w:pPr>
            <w:r w:rsidRPr="00873B6C">
              <w:t>IEEE Std 802.1Q [98] clause 8.8.1</w:t>
            </w:r>
          </w:p>
        </w:tc>
      </w:tr>
      <w:tr w:rsidR="00A10084" w:rsidRPr="00873B6C" w14:paraId="4A5E3E08" w14:textId="77777777" w:rsidTr="00C9561D">
        <w:trPr>
          <w:cantSplit/>
          <w:jc w:val="center"/>
        </w:trPr>
        <w:tc>
          <w:tcPr>
            <w:tcW w:w="5000" w:type="dxa"/>
            <w:shd w:val="clear" w:color="auto" w:fill="auto"/>
          </w:tcPr>
          <w:p w14:paraId="26B0927F" w14:textId="77777777" w:rsidR="00A10084" w:rsidRPr="00873B6C" w:rsidRDefault="00A10084" w:rsidP="00C9561D">
            <w:pPr>
              <w:pStyle w:val="TAL"/>
              <w:rPr>
                <w:b/>
              </w:rPr>
            </w:pPr>
            <w:r w:rsidRPr="00873B6C">
              <w:rPr>
                <w:b/>
              </w:rPr>
              <w:t>General Neighbor discovery configuration</w:t>
            </w:r>
          </w:p>
          <w:p w14:paraId="5EF0E142" w14:textId="77777777" w:rsidR="00A10084" w:rsidRPr="00873B6C" w:rsidRDefault="00A10084" w:rsidP="00C9561D">
            <w:pPr>
              <w:pStyle w:val="TAL"/>
              <w:rPr>
                <w:bCs/>
              </w:rPr>
            </w:pPr>
            <w:r w:rsidRPr="00873B6C">
              <w:rPr>
                <w:b/>
              </w:rPr>
              <w:t>(NOTE 2)</w:t>
            </w:r>
          </w:p>
        </w:tc>
        <w:tc>
          <w:tcPr>
            <w:tcW w:w="1418" w:type="dxa"/>
            <w:shd w:val="clear" w:color="auto" w:fill="auto"/>
          </w:tcPr>
          <w:p w14:paraId="59FE99FC" w14:textId="77777777" w:rsidR="00A10084" w:rsidRPr="00873B6C" w:rsidRDefault="00A10084" w:rsidP="00C9561D">
            <w:pPr>
              <w:pStyle w:val="TAC"/>
            </w:pPr>
          </w:p>
        </w:tc>
        <w:tc>
          <w:tcPr>
            <w:tcW w:w="1338" w:type="dxa"/>
          </w:tcPr>
          <w:p w14:paraId="17663FCD" w14:textId="77777777" w:rsidR="00A10084" w:rsidRPr="00873B6C" w:rsidRDefault="00A10084" w:rsidP="00C9561D">
            <w:pPr>
              <w:pStyle w:val="TAC"/>
            </w:pPr>
          </w:p>
        </w:tc>
        <w:tc>
          <w:tcPr>
            <w:tcW w:w="2126" w:type="dxa"/>
            <w:shd w:val="clear" w:color="auto" w:fill="auto"/>
          </w:tcPr>
          <w:p w14:paraId="48AA5A7D" w14:textId="77777777" w:rsidR="00A10084" w:rsidRPr="00873B6C" w:rsidRDefault="00A10084" w:rsidP="00C9561D">
            <w:pPr>
              <w:pStyle w:val="TAC"/>
            </w:pPr>
          </w:p>
        </w:tc>
      </w:tr>
      <w:tr w:rsidR="00A10084" w:rsidRPr="00873B6C" w14:paraId="5754C5C3" w14:textId="77777777" w:rsidTr="00C9561D">
        <w:trPr>
          <w:cantSplit/>
          <w:jc w:val="center"/>
        </w:trPr>
        <w:tc>
          <w:tcPr>
            <w:tcW w:w="5000" w:type="dxa"/>
            <w:shd w:val="clear" w:color="auto" w:fill="auto"/>
          </w:tcPr>
          <w:p w14:paraId="1C7EA3D5" w14:textId="77777777" w:rsidR="00A10084" w:rsidRPr="00873B6C" w:rsidRDefault="00A10084" w:rsidP="00C9561D">
            <w:pPr>
              <w:pStyle w:val="TAL"/>
              <w:rPr>
                <w:b/>
              </w:rPr>
            </w:pPr>
            <w:r w:rsidRPr="00873B6C">
              <w:rPr>
                <w:bCs/>
              </w:rPr>
              <w:t>adminStatus</w:t>
            </w:r>
          </w:p>
        </w:tc>
        <w:tc>
          <w:tcPr>
            <w:tcW w:w="1418" w:type="dxa"/>
            <w:shd w:val="clear" w:color="auto" w:fill="auto"/>
          </w:tcPr>
          <w:p w14:paraId="415FDD93" w14:textId="77777777" w:rsidR="00A10084" w:rsidRPr="00873B6C" w:rsidRDefault="00A10084" w:rsidP="00C9561D">
            <w:pPr>
              <w:pStyle w:val="TAC"/>
            </w:pPr>
            <w:r w:rsidRPr="00873B6C">
              <w:t>RW</w:t>
            </w:r>
          </w:p>
        </w:tc>
        <w:tc>
          <w:tcPr>
            <w:tcW w:w="1338" w:type="dxa"/>
          </w:tcPr>
          <w:p w14:paraId="15C416EA" w14:textId="77777777" w:rsidR="00A10084" w:rsidRPr="00873B6C" w:rsidRDefault="00A10084" w:rsidP="00C9561D">
            <w:pPr>
              <w:pStyle w:val="TAC"/>
            </w:pPr>
            <w:r w:rsidRPr="00873B6C">
              <w:t>-</w:t>
            </w:r>
          </w:p>
        </w:tc>
        <w:tc>
          <w:tcPr>
            <w:tcW w:w="2126" w:type="dxa"/>
            <w:shd w:val="clear" w:color="auto" w:fill="auto"/>
          </w:tcPr>
          <w:p w14:paraId="1EAFBF90" w14:textId="77777777" w:rsidR="00A10084" w:rsidRPr="00873B6C" w:rsidRDefault="00A10084" w:rsidP="00C9561D">
            <w:pPr>
              <w:pStyle w:val="TAC"/>
            </w:pPr>
            <w:r w:rsidRPr="00873B6C">
              <w:t>IEEE Std 802.1AB [97] clause 9.2.5.1</w:t>
            </w:r>
          </w:p>
        </w:tc>
      </w:tr>
      <w:tr w:rsidR="00A10084" w:rsidRPr="00873B6C" w14:paraId="13448056" w14:textId="77777777" w:rsidTr="00C9561D">
        <w:trPr>
          <w:cantSplit/>
          <w:jc w:val="center"/>
        </w:trPr>
        <w:tc>
          <w:tcPr>
            <w:tcW w:w="5000" w:type="dxa"/>
            <w:shd w:val="clear" w:color="auto" w:fill="auto"/>
          </w:tcPr>
          <w:p w14:paraId="6A33AA7F" w14:textId="77777777" w:rsidR="00A10084" w:rsidRPr="00873B6C" w:rsidRDefault="00A10084" w:rsidP="00C9561D">
            <w:pPr>
              <w:pStyle w:val="TAL"/>
              <w:rPr>
                <w:bCs/>
              </w:rPr>
            </w:pPr>
            <w:r w:rsidRPr="00873B6C">
              <w:rPr>
                <w:bCs/>
              </w:rPr>
              <w:t>lldpV2LocChassisIdSubtype</w:t>
            </w:r>
          </w:p>
        </w:tc>
        <w:tc>
          <w:tcPr>
            <w:tcW w:w="1418" w:type="dxa"/>
            <w:shd w:val="clear" w:color="auto" w:fill="auto"/>
          </w:tcPr>
          <w:p w14:paraId="5B20B01D" w14:textId="77777777" w:rsidR="00A10084" w:rsidRPr="00873B6C" w:rsidRDefault="00A10084" w:rsidP="00C9561D">
            <w:pPr>
              <w:pStyle w:val="TAC"/>
            </w:pPr>
            <w:r w:rsidRPr="00873B6C">
              <w:t>RW</w:t>
            </w:r>
          </w:p>
        </w:tc>
        <w:tc>
          <w:tcPr>
            <w:tcW w:w="1338" w:type="dxa"/>
          </w:tcPr>
          <w:p w14:paraId="10112A8B" w14:textId="77777777" w:rsidR="00A10084" w:rsidRPr="00873B6C" w:rsidRDefault="00A10084" w:rsidP="00C9561D">
            <w:pPr>
              <w:pStyle w:val="TAC"/>
            </w:pPr>
            <w:r w:rsidRPr="00873B6C">
              <w:t>-</w:t>
            </w:r>
          </w:p>
        </w:tc>
        <w:tc>
          <w:tcPr>
            <w:tcW w:w="2126" w:type="dxa"/>
            <w:shd w:val="clear" w:color="auto" w:fill="auto"/>
          </w:tcPr>
          <w:p w14:paraId="7D99E072" w14:textId="77777777" w:rsidR="00A10084" w:rsidRPr="00873B6C" w:rsidRDefault="00A10084" w:rsidP="00C9561D">
            <w:pPr>
              <w:pStyle w:val="TAC"/>
            </w:pPr>
            <w:r w:rsidRPr="00873B6C">
              <w:t>IEEE Std 802.1AB [97] Table 11-2</w:t>
            </w:r>
          </w:p>
        </w:tc>
      </w:tr>
      <w:tr w:rsidR="00A10084" w:rsidRPr="00873B6C" w14:paraId="07E4CE83" w14:textId="77777777" w:rsidTr="00C9561D">
        <w:trPr>
          <w:cantSplit/>
          <w:jc w:val="center"/>
        </w:trPr>
        <w:tc>
          <w:tcPr>
            <w:tcW w:w="5000" w:type="dxa"/>
            <w:shd w:val="clear" w:color="auto" w:fill="auto"/>
          </w:tcPr>
          <w:p w14:paraId="45FC0DBA" w14:textId="77777777" w:rsidR="00A10084" w:rsidRPr="00873B6C" w:rsidRDefault="00A10084" w:rsidP="00C9561D">
            <w:pPr>
              <w:pStyle w:val="TAL"/>
              <w:rPr>
                <w:bCs/>
              </w:rPr>
            </w:pPr>
            <w:r w:rsidRPr="00873B6C">
              <w:rPr>
                <w:bCs/>
              </w:rPr>
              <w:t>lldpV2LocChassisId</w:t>
            </w:r>
          </w:p>
        </w:tc>
        <w:tc>
          <w:tcPr>
            <w:tcW w:w="1418" w:type="dxa"/>
            <w:shd w:val="clear" w:color="auto" w:fill="auto"/>
          </w:tcPr>
          <w:p w14:paraId="71A77208" w14:textId="77777777" w:rsidR="00A10084" w:rsidRPr="00873B6C" w:rsidRDefault="00A10084" w:rsidP="00C9561D">
            <w:pPr>
              <w:pStyle w:val="TAC"/>
            </w:pPr>
            <w:r w:rsidRPr="00873B6C">
              <w:t>RW</w:t>
            </w:r>
          </w:p>
        </w:tc>
        <w:tc>
          <w:tcPr>
            <w:tcW w:w="1338" w:type="dxa"/>
          </w:tcPr>
          <w:p w14:paraId="3FCE9877" w14:textId="77777777" w:rsidR="00A10084" w:rsidRPr="00873B6C" w:rsidRDefault="00A10084" w:rsidP="00C9561D">
            <w:pPr>
              <w:pStyle w:val="TAC"/>
            </w:pPr>
            <w:r w:rsidRPr="00873B6C">
              <w:t>-</w:t>
            </w:r>
          </w:p>
        </w:tc>
        <w:tc>
          <w:tcPr>
            <w:tcW w:w="2126" w:type="dxa"/>
            <w:shd w:val="clear" w:color="auto" w:fill="auto"/>
          </w:tcPr>
          <w:p w14:paraId="73BBD4EF" w14:textId="77777777" w:rsidR="00A10084" w:rsidRPr="00873B6C" w:rsidRDefault="00A10084" w:rsidP="00C9561D">
            <w:pPr>
              <w:pStyle w:val="TAC"/>
            </w:pPr>
            <w:r w:rsidRPr="00873B6C">
              <w:t>IEEE Std 802.1AB [97] Table 11-2</w:t>
            </w:r>
          </w:p>
        </w:tc>
      </w:tr>
      <w:tr w:rsidR="00A10084" w:rsidRPr="00873B6C" w14:paraId="0C346769" w14:textId="77777777" w:rsidTr="00C9561D">
        <w:trPr>
          <w:cantSplit/>
          <w:jc w:val="center"/>
        </w:trPr>
        <w:tc>
          <w:tcPr>
            <w:tcW w:w="5000" w:type="dxa"/>
            <w:shd w:val="clear" w:color="auto" w:fill="auto"/>
          </w:tcPr>
          <w:p w14:paraId="6FD32A77" w14:textId="77777777" w:rsidR="00A10084" w:rsidRPr="00873B6C" w:rsidRDefault="00A10084" w:rsidP="00C9561D">
            <w:pPr>
              <w:pStyle w:val="TAL"/>
              <w:rPr>
                <w:bCs/>
              </w:rPr>
            </w:pPr>
            <w:r w:rsidRPr="00873B6C">
              <w:rPr>
                <w:bCs/>
              </w:rPr>
              <w:t>lldpV2MessageTxInterval</w:t>
            </w:r>
          </w:p>
        </w:tc>
        <w:tc>
          <w:tcPr>
            <w:tcW w:w="1418" w:type="dxa"/>
            <w:shd w:val="clear" w:color="auto" w:fill="auto"/>
          </w:tcPr>
          <w:p w14:paraId="1310FDE3" w14:textId="77777777" w:rsidR="00A10084" w:rsidRPr="00873B6C" w:rsidRDefault="00A10084" w:rsidP="00C9561D">
            <w:pPr>
              <w:pStyle w:val="TAC"/>
            </w:pPr>
            <w:r w:rsidRPr="00873B6C">
              <w:t>RW</w:t>
            </w:r>
          </w:p>
        </w:tc>
        <w:tc>
          <w:tcPr>
            <w:tcW w:w="1338" w:type="dxa"/>
          </w:tcPr>
          <w:p w14:paraId="0DE89B40" w14:textId="77777777" w:rsidR="00A10084" w:rsidRPr="00873B6C" w:rsidRDefault="00A10084" w:rsidP="00C9561D">
            <w:pPr>
              <w:pStyle w:val="TAC"/>
            </w:pPr>
            <w:r w:rsidRPr="00873B6C">
              <w:t>-</w:t>
            </w:r>
          </w:p>
        </w:tc>
        <w:tc>
          <w:tcPr>
            <w:tcW w:w="2126" w:type="dxa"/>
            <w:shd w:val="clear" w:color="auto" w:fill="auto"/>
          </w:tcPr>
          <w:p w14:paraId="2F98990D" w14:textId="77777777" w:rsidR="00A10084" w:rsidRPr="00873B6C" w:rsidRDefault="00A10084" w:rsidP="00C9561D">
            <w:pPr>
              <w:pStyle w:val="TAC"/>
            </w:pPr>
            <w:r w:rsidRPr="00873B6C">
              <w:t>IEEE Std 802.1AB [97] Table 11-2</w:t>
            </w:r>
          </w:p>
        </w:tc>
      </w:tr>
      <w:tr w:rsidR="00A10084" w:rsidRPr="00873B6C" w14:paraId="10886A06" w14:textId="77777777" w:rsidTr="00C9561D">
        <w:trPr>
          <w:cantSplit/>
          <w:jc w:val="center"/>
        </w:trPr>
        <w:tc>
          <w:tcPr>
            <w:tcW w:w="5000" w:type="dxa"/>
            <w:shd w:val="clear" w:color="auto" w:fill="auto"/>
          </w:tcPr>
          <w:p w14:paraId="516FD8E5" w14:textId="77777777" w:rsidR="00A10084" w:rsidRPr="00873B6C" w:rsidRDefault="00A10084" w:rsidP="00C9561D">
            <w:pPr>
              <w:pStyle w:val="TAL"/>
              <w:rPr>
                <w:bCs/>
              </w:rPr>
            </w:pPr>
            <w:r w:rsidRPr="00873B6C">
              <w:rPr>
                <w:bCs/>
              </w:rPr>
              <w:t>lldpV2MessageTxHoldMultiplier</w:t>
            </w:r>
          </w:p>
        </w:tc>
        <w:tc>
          <w:tcPr>
            <w:tcW w:w="1418" w:type="dxa"/>
            <w:shd w:val="clear" w:color="auto" w:fill="auto"/>
          </w:tcPr>
          <w:p w14:paraId="4AE0BA68" w14:textId="77777777" w:rsidR="00A10084" w:rsidRPr="00873B6C" w:rsidRDefault="00A10084" w:rsidP="00C9561D">
            <w:pPr>
              <w:pStyle w:val="TAC"/>
            </w:pPr>
            <w:r w:rsidRPr="00873B6C">
              <w:t>RW</w:t>
            </w:r>
          </w:p>
        </w:tc>
        <w:tc>
          <w:tcPr>
            <w:tcW w:w="1338" w:type="dxa"/>
          </w:tcPr>
          <w:p w14:paraId="2A5C133B" w14:textId="77777777" w:rsidR="00A10084" w:rsidRPr="00873B6C" w:rsidRDefault="00A10084" w:rsidP="00C9561D">
            <w:pPr>
              <w:pStyle w:val="TAC"/>
            </w:pPr>
            <w:r w:rsidRPr="00873B6C">
              <w:t>-</w:t>
            </w:r>
          </w:p>
        </w:tc>
        <w:tc>
          <w:tcPr>
            <w:tcW w:w="2126" w:type="dxa"/>
            <w:shd w:val="clear" w:color="auto" w:fill="auto"/>
          </w:tcPr>
          <w:p w14:paraId="295A840B" w14:textId="77777777" w:rsidR="00A10084" w:rsidRPr="00873B6C" w:rsidRDefault="00A10084" w:rsidP="00C9561D">
            <w:pPr>
              <w:pStyle w:val="TAC"/>
            </w:pPr>
            <w:r w:rsidRPr="00873B6C">
              <w:t>IEEE Std 802.1AB [97] Table 11-2</w:t>
            </w:r>
          </w:p>
        </w:tc>
      </w:tr>
      <w:tr w:rsidR="00A10084" w:rsidRPr="00873B6C" w14:paraId="65E01D60" w14:textId="77777777" w:rsidTr="00C9561D">
        <w:trPr>
          <w:cantSplit/>
          <w:jc w:val="center"/>
        </w:trPr>
        <w:tc>
          <w:tcPr>
            <w:tcW w:w="5000" w:type="dxa"/>
            <w:shd w:val="clear" w:color="auto" w:fill="auto"/>
          </w:tcPr>
          <w:p w14:paraId="5C581B5B" w14:textId="77777777" w:rsidR="00A10084" w:rsidRPr="00873B6C" w:rsidRDefault="00A10084" w:rsidP="00C9561D">
            <w:pPr>
              <w:pStyle w:val="TAL"/>
              <w:rPr>
                <w:bCs/>
              </w:rPr>
            </w:pPr>
            <w:r w:rsidRPr="00873B6C">
              <w:rPr>
                <w:b/>
              </w:rPr>
              <w:t>DS-TT port neighbor discovery configuration for DS-TT ports (NOTE 4)</w:t>
            </w:r>
          </w:p>
        </w:tc>
        <w:tc>
          <w:tcPr>
            <w:tcW w:w="1418" w:type="dxa"/>
            <w:shd w:val="clear" w:color="auto" w:fill="auto"/>
          </w:tcPr>
          <w:p w14:paraId="3B1E4E39" w14:textId="77777777" w:rsidR="00A10084" w:rsidRPr="00873B6C" w:rsidRDefault="00A10084" w:rsidP="00C9561D">
            <w:pPr>
              <w:pStyle w:val="TAC"/>
            </w:pPr>
          </w:p>
        </w:tc>
        <w:tc>
          <w:tcPr>
            <w:tcW w:w="1338" w:type="dxa"/>
          </w:tcPr>
          <w:p w14:paraId="14ABA438" w14:textId="77777777" w:rsidR="00A10084" w:rsidRPr="00873B6C" w:rsidRDefault="00A10084" w:rsidP="00C9561D">
            <w:pPr>
              <w:pStyle w:val="TAC"/>
            </w:pPr>
          </w:p>
        </w:tc>
        <w:tc>
          <w:tcPr>
            <w:tcW w:w="2126" w:type="dxa"/>
            <w:shd w:val="clear" w:color="auto" w:fill="auto"/>
          </w:tcPr>
          <w:p w14:paraId="17C7C513" w14:textId="77777777" w:rsidR="00A10084" w:rsidRPr="00873B6C" w:rsidRDefault="00A10084" w:rsidP="00C9561D">
            <w:pPr>
              <w:pStyle w:val="TAC"/>
            </w:pPr>
          </w:p>
        </w:tc>
      </w:tr>
      <w:tr w:rsidR="00A10084" w:rsidRPr="00873B6C" w14:paraId="5C5863CE" w14:textId="77777777" w:rsidTr="00C9561D">
        <w:trPr>
          <w:cantSplit/>
          <w:jc w:val="center"/>
        </w:trPr>
        <w:tc>
          <w:tcPr>
            <w:tcW w:w="5000" w:type="dxa"/>
            <w:shd w:val="clear" w:color="auto" w:fill="auto"/>
          </w:tcPr>
          <w:p w14:paraId="61D3E3E9" w14:textId="77777777" w:rsidR="00A10084" w:rsidRPr="00873B6C" w:rsidRDefault="00A10084" w:rsidP="00C9561D">
            <w:pPr>
              <w:pStyle w:val="TAL"/>
              <w:rPr>
                <w:b/>
              </w:rPr>
            </w:pPr>
            <w:r w:rsidRPr="00873B6C">
              <w:rPr>
                <w:b/>
              </w:rPr>
              <w:t>&gt;DS-TT port neighbor discovery configuration for each DS-TT port</w:t>
            </w:r>
          </w:p>
        </w:tc>
        <w:tc>
          <w:tcPr>
            <w:tcW w:w="1418" w:type="dxa"/>
            <w:shd w:val="clear" w:color="auto" w:fill="auto"/>
          </w:tcPr>
          <w:p w14:paraId="18DB3B09" w14:textId="77777777" w:rsidR="00A10084" w:rsidRPr="00873B6C" w:rsidRDefault="00A10084" w:rsidP="00C9561D">
            <w:pPr>
              <w:pStyle w:val="TAC"/>
            </w:pPr>
          </w:p>
        </w:tc>
        <w:tc>
          <w:tcPr>
            <w:tcW w:w="1338" w:type="dxa"/>
          </w:tcPr>
          <w:p w14:paraId="2D74967F" w14:textId="77777777" w:rsidR="00A10084" w:rsidRPr="00873B6C" w:rsidRDefault="00A10084" w:rsidP="00C9561D">
            <w:pPr>
              <w:pStyle w:val="TAC"/>
            </w:pPr>
          </w:p>
        </w:tc>
        <w:tc>
          <w:tcPr>
            <w:tcW w:w="2126" w:type="dxa"/>
            <w:shd w:val="clear" w:color="auto" w:fill="auto"/>
          </w:tcPr>
          <w:p w14:paraId="6CBE51E3" w14:textId="77777777" w:rsidR="00A10084" w:rsidRPr="00873B6C" w:rsidRDefault="00A10084" w:rsidP="00C9561D">
            <w:pPr>
              <w:pStyle w:val="TAC"/>
            </w:pPr>
          </w:p>
        </w:tc>
      </w:tr>
      <w:tr w:rsidR="00A10084" w:rsidRPr="00873B6C" w14:paraId="374C195C" w14:textId="77777777" w:rsidTr="00C9561D">
        <w:trPr>
          <w:cantSplit/>
          <w:jc w:val="center"/>
        </w:trPr>
        <w:tc>
          <w:tcPr>
            <w:tcW w:w="5000" w:type="dxa"/>
            <w:shd w:val="clear" w:color="auto" w:fill="auto"/>
          </w:tcPr>
          <w:p w14:paraId="45F9B6DE" w14:textId="77777777" w:rsidR="00A10084" w:rsidRPr="00873B6C" w:rsidRDefault="00A10084" w:rsidP="00C9561D">
            <w:pPr>
              <w:pStyle w:val="TAL"/>
              <w:rPr>
                <w:b/>
              </w:rPr>
            </w:pPr>
            <w:r w:rsidRPr="00873B6C">
              <w:rPr>
                <w:bCs/>
              </w:rPr>
              <w:t>&gt;&gt; DS-TT port number</w:t>
            </w:r>
          </w:p>
        </w:tc>
        <w:tc>
          <w:tcPr>
            <w:tcW w:w="1418" w:type="dxa"/>
            <w:shd w:val="clear" w:color="auto" w:fill="auto"/>
          </w:tcPr>
          <w:p w14:paraId="17E9451B" w14:textId="77777777" w:rsidR="00A10084" w:rsidRPr="00873B6C" w:rsidRDefault="00A10084" w:rsidP="00C9561D">
            <w:pPr>
              <w:pStyle w:val="TAC"/>
            </w:pPr>
            <w:r w:rsidRPr="00873B6C">
              <w:t>RW</w:t>
            </w:r>
          </w:p>
        </w:tc>
        <w:tc>
          <w:tcPr>
            <w:tcW w:w="1338" w:type="dxa"/>
          </w:tcPr>
          <w:p w14:paraId="6B0CEA35" w14:textId="77777777" w:rsidR="00A10084" w:rsidRPr="00873B6C" w:rsidRDefault="00A10084" w:rsidP="00C9561D">
            <w:pPr>
              <w:pStyle w:val="TAC"/>
            </w:pPr>
            <w:r w:rsidRPr="00873B6C">
              <w:t>-</w:t>
            </w:r>
          </w:p>
        </w:tc>
        <w:tc>
          <w:tcPr>
            <w:tcW w:w="2126" w:type="dxa"/>
            <w:shd w:val="clear" w:color="auto" w:fill="auto"/>
          </w:tcPr>
          <w:p w14:paraId="6981E571" w14:textId="77777777" w:rsidR="00A10084" w:rsidRPr="00873B6C" w:rsidRDefault="00A10084" w:rsidP="00C9561D">
            <w:pPr>
              <w:pStyle w:val="TAC"/>
            </w:pPr>
          </w:p>
        </w:tc>
      </w:tr>
      <w:tr w:rsidR="00A10084" w:rsidRPr="00873B6C" w14:paraId="4D39EBAE" w14:textId="77777777" w:rsidTr="00C9561D">
        <w:trPr>
          <w:cantSplit/>
          <w:jc w:val="center"/>
        </w:trPr>
        <w:tc>
          <w:tcPr>
            <w:tcW w:w="5000" w:type="dxa"/>
            <w:shd w:val="clear" w:color="auto" w:fill="auto"/>
          </w:tcPr>
          <w:p w14:paraId="7D75BB2E" w14:textId="77777777" w:rsidR="00A10084" w:rsidRPr="00873B6C" w:rsidRDefault="00A10084" w:rsidP="00C9561D">
            <w:pPr>
              <w:pStyle w:val="TAL"/>
              <w:rPr>
                <w:bCs/>
              </w:rPr>
            </w:pPr>
            <w:r w:rsidRPr="00873B6C">
              <w:rPr>
                <w:bCs/>
              </w:rPr>
              <w:t>&gt;&gt; lldpV2LocPortIdSubtype</w:t>
            </w:r>
          </w:p>
        </w:tc>
        <w:tc>
          <w:tcPr>
            <w:tcW w:w="1418" w:type="dxa"/>
            <w:shd w:val="clear" w:color="auto" w:fill="auto"/>
          </w:tcPr>
          <w:p w14:paraId="289ACEF8" w14:textId="77777777" w:rsidR="00A10084" w:rsidRPr="00873B6C" w:rsidRDefault="00A10084" w:rsidP="00C9561D">
            <w:pPr>
              <w:pStyle w:val="TAC"/>
            </w:pPr>
            <w:r w:rsidRPr="00873B6C">
              <w:t>RW</w:t>
            </w:r>
          </w:p>
        </w:tc>
        <w:tc>
          <w:tcPr>
            <w:tcW w:w="1338" w:type="dxa"/>
          </w:tcPr>
          <w:p w14:paraId="5602D24A" w14:textId="77777777" w:rsidR="00A10084" w:rsidRPr="00873B6C" w:rsidRDefault="00A10084" w:rsidP="00C9561D">
            <w:pPr>
              <w:pStyle w:val="TAC"/>
            </w:pPr>
            <w:r w:rsidRPr="00873B6C">
              <w:t>-</w:t>
            </w:r>
          </w:p>
        </w:tc>
        <w:tc>
          <w:tcPr>
            <w:tcW w:w="2126" w:type="dxa"/>
            <w:shd w:val="clear" w:color="auto" w:fill="auto"/>
          </w:tcPr>
          <w:p w14:paraId="454A44B0" w14:textId="77777777" w:rsidR="00A10084" w:rsidRPr="00873B6C" w:rsidRDefault="00A10084" w:rsidP="00C9561D">
            <w:pPr>
              <w:pStyle w:val="TAC"/>
            </w:pPr>
            <w:r w:rsidRPr="00873B6C">
              <w:t>IEEE Std 802.1AB [97] Table 11-2</w:t>
            </w:r>
          </w:p>
        </w:tc>
      </w:tr>
      <w:tr w:rsidR="00A10084" w:rsidRPr="00873B6C" w14:paraId="1FADE8DB" w14:textId="77777777" w:rsidTr="00C9561D">
        <w:trPr>
          <w:cantSplit/>
          <w:jc w:val="center"/>
        </w:trPr>
        <w:tc>
          <w:tcPr>
            <w:tcW w:w="5000" w:type="dxa"/>
            <w:shd w:val="clear" w:color="auto" w:fill="auto"/>
          </w:tcPr>
          <w:p w14:paraId="42134096" w14:textId="77777777" w:rsidR="00A10084" w:rsidRPr="00873B6C" w:rsidRDefault="00A10084" w:rsidP="00C9561D">
            <w:pPr>
              <w:pStyle w:val="TAL"/>
              <w:rPr>
                <w:bCs/>
              </w:rPr>
            </w:pPr>
            <w:r w:rsidRPr="00873B6C">
              <w:rPr>
                <w:bCs/>
              </w:rPr>
              <w:t>&gt;&gt; lldpV2LocPortId</w:t>
            </w:r>
          </w:p>
        </w:tc>
        <w:tc>
          <w:tcPr>
            <w:tcW w:w="1418" w:type="dxa"/>
            <w:shd w:val="clear" w:color="auto" w:fill="auto"/>
          </w:tcPr>
          <w:p w14:paraId="77A1942E" w14:textId="77777777" w:rsidR="00A10084" w:rsidRPr="00873B6C" w:rsidRDefault="00A10084" w:rsidP="00C9561D">
            <w:pPr>
              <w:pStyle w:val="TAC"/>
            </w:pPr>
            <w:r w:rsidRPr="00873B6C">
              <w:t>RW</w:t>
            </w:r>
          </w:p>
        </w:tc>
        <w:tc>
          <w:tcPr>
            <w:tcW w:w="1338" w:type="dxa"/>
          </w:tcPr>
          <w:p w14:paraId="0CBE92D0" w14:textId="77777777" w:rsidR="00A10084" w:rsidRPr="00873B6C" w:rsidRDefault="00A10084" w:rsidP="00C9561D">
            <w:pPr>
              <w:pStyle w:val="TAC"/>
            </w:pPr>
            <w:r w:rsidRPr="00873B6C">
              <w:t>-</w:t>
            </w:r>
          </w:p>
        </w:tc>
        <w:tc>
          <w:tcPr>
            <w:tcW w:w="2126" w:type="dxa"/>
            <w:shd w:val="clear" w:color="auto" w:fill="auto"/>
          </w:tcPr>
          <w:p w14:paraId="0612F0D6" w14:textId="77777777" w:rsidR="00A10084" w:rsidRPr="00873B6C" w:rsidRDefault="00A10084" w:rsidP="00C9561D">
            <w:pPr>
              <w:pStyle w:val="TAC"/>
            </w:pPr>
            <w:r w:rsidRPr="00873B6C">
              <w:t>IEEE Std 802.1AB [97] Table 11-2</w:t>
            </w:r>
          </w:p>
        </w:tc>
      </w:tr>
      <w:tr w:rsidR="00857A0D" w:rsidRPr="00873B6C" w14:paraId="53F5C993" w14:textId="77777777" w:rsidTr="00346427">
        <w:trPr>
          <w:cantSplit/>
          <w:jc w:val="center"/>
        </w:trPr>
        <w:tc>
          <w:tcPr>
            <w:tcW w:w="5000" w:type="dxa"/>
            <w:shd w:val="clear" w:color="auto" w:fill="auto"/>
          </w:tcPr>
          <w:p w14:paraId="4AEB0D78" w14:textId="4654E2C9" w:rsidR="00857A0D" w:rsidRPr="00873B6C" w:rsidRDefault="00857A0D" w:rsidP="00857A0D">
            <w:pPr>
              <w:pStyle w:val="TAL"/>
              <w:rPr>
                <w:bCs/>
              </w:rPr>
            </w:pPr>
            <w:r w:rsidRPr="00873B6C">
              <w:rPr>
                <w:bCs/>
              </w:rPr>
              <w:t>&gt;&gt; OtlvSet</w:t>
            </w:r>
          </w:p>
        </w:tc>
        <w:tc>
          <w:tcPr>
            <w:tcW w:w="1418" w:type="dxa"/>
            <w:shd w:val="clear" w:color="auto" w:fill="auto"/>
          </w:tcPr>
          <w:p w14:paraId="36709973" w14:textId="54187160" w:rsidR="00857A0D" w:rsidRPr="00873B6C" w:rsidRDefault="00857A0D" w:rsidP="00857A0D">
            <w:pPr>
              <w:pStyle w:val="TAC"/>
            </w:pPr>
            <w:r w:rsidRPr="00873B6C">
              <w:t>RW</w:t>
            </w:r>
          </w:p>
        </w:tc>
        <w:tc>
          <w:tcPr>
            <w:tcW w:w="1338" w:type="dxa"/>
          </w:tcPr>
          <w:p w14:paraId="18BB96FD" w14:textId="48C26211" w:rsidR="00857A0D" w:rsidRPr="00873B6C" w:rsidRDefault="00857A0D" w:rsidP="00857A0D">
            <w:pPr>
              <w:pStyle w:val="TAC"/>
            </w:pPr>
            <w:r w:rsidRPr="00873B6C">
              <w:t>-</w:t>
            </w:r>
          </w:p>
        </w:tc>
        <w:tc>
          <w:tcPr>
            <w:tcW w:w="2126" w:type="dxa"/>
            <w:shd w:val="clear" w:color="auto" w:fill="auto"/>
          </w:tcPr>
          <w:p w14:paraId="6F9C22F3" w14:textId="28AADF72" w:rsidR="00857A0D" w:rsidRPr="00873B6C" w:rsidRDefault="00857A0D" w:rsidP="00857A0D">
            <w:pPr>
              <w:pStyle w:val="TAC"/>
            </w:pPr>
            <w:r w:rsidRPr="00873B6C">
              <w:t>IEC/IEEE 60802 [195], clause 6.5.2.4.5 and clause 6.5.2.4.6.</w:t>
            </w:r>
          </w:p>
        </w:tc>
      </w:tr>
      <w:tr w:rsidR="00857A0D" w:rsidRPr="00873B6C" w14:paraId="4CCB60F8" w14:textId="77777777" w:rsidTr="00C9561D">
        <w:trPr>
          <w:cantSplit/>
          <w:jc w:val="center"/>
        </w:trPr>
        <w:tc>
          <w:tcPr>
            <w:tcW w:w="5000" w:type="dxa"/>
            <w:shd w:val="clear" w:color="auto" w:fill="auto"/>
          </w:tcPr>
          <w:p w14:paraId="6DCAEC5A" w14:textId="77777777" w:rsidR="00857A0D" w:rsidRPr="00873B6C" w:rsidRDefault="00857A0D" w:rsidP="00857A0D">
            <w:pPr>
              <w:pStyle w:val="TAL"/>
              <w:rPr>
                <w:b/>
              </w:rPr>
            </w:pPr>
            <w:r w:rsidRPr="00873B6C">
              <w:rPr>
                <w:b/>
              </w:rPr>
              <w:t>Discovered neighbor information for DS-TT ports</w:t>
            </w:r>
          </w:p>
          <w:p w14:paraId="1CDA2DE3" w14:textId="77777777" w:rsidR="00857A0D" w:rsidRPr="00873B6C" w:rsidRDefault="00857A0D" w:rsidP="00857A0D">
            <w:pPr>
              <w:pStyle w:val="TAL"/>
              <w:rPr>
                <w:bCs/>
              </w:rPr>
            </w:pPr>
            <w:r w:rsidRPr="00873B6C">
              <w:rPr>
                <w:b/>
              </w:rPr>
              <w:t>(NOTE 4)</w:t>
            </w:r>
          </w:p>
        </w:tc>
        <w:tc>
          <w:tcPr>
            <w:tcW w:w="1418" w:type="dxa"/>
            <w:shd w:val="clear" w:color="auto" w:fill="auto"/>
          </w:tcPr>
          <w:p w14:paraId="791F143C" w14:textId="77777777" w:rsidR="00857A0D" w:rsidRPr="00873B6C" w:rsidRDefault="00857A0D" w:rsidP="00857A0D">
            <w:pPr>
              <w:pStyle w:val="TAC"/>
            </w:pPr>
          </w:p>
        </w:tc>
        <w:tc>
          <w:tcPr>
            <w:tcW w:w="1338" w:type="dxa"/>
          </w:tcPr>
          <w:p w14:paraId="38583988" w14:textId="77777777" w:rsidR="00857A0D" w:rsidRPr="00873B6C" w:rsidRDefault="00857A0D" w:rsidP="00857A0D">
            <w:pPr>
              <w:pStyle w:val="TAC"/>
            </w:pPr>
          </w:p>
        </w:tc>
        <w:tc>
          <w:tcPr>
            <w:tcW w:w="2126" w:type="dxa"/>
            <w:shd w:val="clear" w:color="auto" w:fill="auto"/>
          </w:tcPr>
          <w:p w14:paraId="2BA3FA70" w14:textId="77777777" w:rsidR="00857A0D" w:rsidRPr="00873B6C" w:rsidRDefault="00857A0D" w:rsidP="00857A0D">
            <w:pPr>
              <w:pStyle w:val="TAC"/>
            </w:pPr>
          </w:p>
        </w:tc>
      </w:tr>
      <w:tr w:rsidR="00857A0D" w:rsidRPr="00873B6C" w14:paraId="0AA09B03" w14:textId="77777777" w:rsidTr="00C9561D">
        <w:trPr>
          <w:cantSplit/>
          <w:jc w:val="center"/>
        </w:trPr>
        <w:tc>
          <w:tcPr>
            <w:tcW w:w="5000" w:type="dxa"/>
            <w:shd w:val="clear" w:color="auto" w:fill="auto"/>
          </w:tcPr>
          <w:p w14:paraId="3153F278" w14:textId="77777777" w:rsidR="00857A0D" w:rsidRPr="00873B6C" w:rsidRDefault="00857A0D" w:rsidP="00857A0D">
            <w:pPr>
              <w:pStyle w:val="TAL"/>
              <w:rPr>
                <w:b/>
              </w:rPr>
            </w:pPr>
            <w:r w:rsidRPr="00873B6C">
              <w:rPr>
                <w:b/>
              </w:rPr>
              <w:t>&gt;Discovered neighbor information for each DS-TT port</w:t>
            </w:r>
          </w:p>
          <w:p w14:paraId="7C89C067" w14:textId="77777777" w:rsidR="00857A0D" w:rsidRPr="00873B6C" w:rsidRDefault="00857A0D" w:rsidP="00857A0D">
            <w:pPr>
              <w:pStyle w:val="TAL"/>
              <w:rPr>
                <w:b/>
              </w:rPr>
            </w:pPr>
            <w:r w:rsidRPr="00873B6C">
              <w:rPr>
                <w:b/>
              </w:rPr>
              <w:t>(NOTE 4)</w:t>
            </w:r>
          </w:p>
        </w:tc>
        <w:tc>
          <w:tcPr>
            <w:tcW w:w="1418" w:type="dxa"/>
            <w:shd w:val="clear" w:color="auto" w:fill="auto"/>
          </w:tcPr>
          <w:p w14:paraId="4BA73550" w14:textId="77777777" w:rsidR="00857A0D" w:rsidRPr="00873B6C" w:rsidRDefault="00857A0D" w:rsidP="00857A0D">
            <w:pPr>
              <w:pStyle w:val="TAC"/>
            </w:pPr>
          </w:p>
        </w:tc>
        <w:tc>
          <w:tcPr>
            <w:tcW w:w="1338" w:type="dxa"/>
          </w:tcPr>
          <w:p w14:paraId="68B52EAD" w14:textId="77777777" w:rsidR="00857A0D" w:rsidRPr="00873B6C" w:rsidRDefault="00857A0D" w:rsidP="00857A0D">
            <w:pPr>
              <w:pStyle w:val="TAC"/>
            </w:pPr>
          </w:p>
        </w:tc>
        <w:tc>
          <w:tcPr>
            <w:tcW w:w="2126" w:type="dxa"/>
            <w:shd w:val="clear" w:color="auto" w:fill="auto"/>
          </w:tcPr>
          <w:p w14:paraId="09CCA347" w14:textId="77777777" w:rsidR="00857A0D" w:rsidRPr="00873B6C" w:rsidRDefault="00857A0D" w:rsidP="00857A0D">
            <w:pPr>
              <w:pStyle w:val="TAC"/>
            </w:pPr>
          </w:p>
        </w:tc>
      </w:tr>
      <w:tr w:rsidR="00857A0D" w:rsidRPr="00873B6C" w14:paraId="684E84B8" w14:textId="77777777" w:rsidTr="00C9561D">
        <w:trPr>
          <w:cantSplit/>
          <w:jc w:val="center"/>
        </w:trPr>
        <w:tc>
          <w:tcPr>
            <w:tcW w:w="5000" w:type="dxa"/>
            <w:shd w:val="clear" w:color="auto" w:fill="auto"/>
          </w:tcPr>
          <w:p w14:paraId="4E6768C1" w14:textId="77777777" w:rsidR="00857A0D" w:rsidRPr="00873B6C" w:rsidRDefault="00857A0D" w:rsidP="00857A0D">
            <w:pPr>
              <w:pStyle w:val="TAL"/>
              <w:rPr>
                <w:b/>
              </w:rPr>
            </w:pPr>
            <w:r w:rsidRPr="00873B6C">
              <w:t>&gt;&gt; DS-TT port number</w:t>
            </w:r>
          </w:p>
        </w:tc>
        <w:tc>
          <w:tcPr>
            <w:tcW w:w="1418" w:type="dxa"/>
            <w:shd w:val="clear" w:color="auto" w:fill="auto"/>
          </w:tcPr>
          <w:p w14:paraId="702A8376" w14:textId="77777777" w:rsidR="00857A0D" w:rsidRPr="00873B6C" w:rsidRDefault="00857A0D" w:rsidP="00857A0D">
            <w:pPr>
              <w:pStyle w:val="TAC"/>
            </w:pPr>
            <w:r w:rsidRPr="00873B6C">
              <w:t>R</w:t>
            </w:r>
          </w:p>
        </w:tc>
        <w:tc>
          <w:tcPr>
            <w:tcW w:w="1338" w:type="dxa"/>
          </w:tcPr>
          <w:p w14:paraId="2A022D6B" w14:textId="77777777" w:rsidR="00857A0D" w:rsidRPr="00873B6C" w:rsidRDefault="00857A0D" w:rsidP="00857A0D">
            <w:pPr>
              <w:pStyle w:val="TAC"/>
            </w:pPr>
            <w:r w:rsidRPr="00873B6C">
              <w:t>-</w:t>
            </w:r>
          </w:p>
        </w:tc>
        <w:tc>
          <w:tcPr>
            <w:tcW w:w="2126" w:type="dxa"/>
            <w:shd w:val="clear" w:color="auto" w:fill="auto"/>
          </w:tcPr>
          <w:p w14:paraId="30953CE9" w14:textId="77777777" w:rsidR="00857A0D" w:rsidRPr="00873B6C" w:rsidRDefault="00857A0D" w:rsidP="00857A0D">
            <w:pPr>
              <w:pStyle w:val="TAC"/>
            </w:pPr>
          </w:p>
        </w:tc>
      </w:tr>
      <w:tr w:rsidR="00857A0D" w:rsidRPr="00873B6C" w14:paraId="69C3BF7D" w14:textId="77777777" w:rsidTr="00C9561D">
        <w:trPr>
          <w:cantSplit/>
          <w:jc w:val="center"/>
        </w:trPr>
        <w:tc>
          <w:tcPr>
            <w:tcW w:w="5000" w:type="dxa"/>
            <w:shd w:val="clear" w:color="auto" w:fill="auto"/>
          </w:tcPr>
          <w:p w14:paraId="27466B06" w14:textId="77777777" w:rsidR="00857A0D" w:rsidRPr="00873B6C" w:rsidRDefault="00857A0D" w:rsidP="00857A0D">
            <w:pPr>
              <w:pStyle w:val="TAL"/>
            </w:pPr>
            <w:r w:rsidRPr="00873B6C">
              <w:t>&gt;&gt; lldpV2RemChassisIdSubtype</w:t>
            </w:r>
          </w:p>
        </w:tc>
        <w:tc>
          <w:tcPr>
            <w:tcW w:w="1418" w:type="dxa"/>
            <w:shd w:val="clear" w:color="auto" w:fill="auto"/>
          </w:tcPr>
          <w:p w14:paraId="53849966" w14:textId="77777777" w:rsidR="00857A0D" w:rsidRPr="00873B6C" w:rsidRDefault="00857A0D" w:rsidP="00857A0D">
            <w:pPr>
              <w:pStyle w:val="TAC"/>
            </w:pPr>
            <w:r w:rsidRPr="00873B6C">
              <w:t>R</w:t>
            </w:r>
          </w:p>
        </w:tc>
        <w:tc>
          <w:tcPr>
            <w:tcW w:w="1338" w:type="dxa"/>
          </w:tcPr>
          <w:p w14:paraId="20FDBE31" w14:textId="77777777" w:rsidR="00857A0D" w:rsidRPr="00873B6C" w:rsidRDefault="00857A0D" w:rsidP="00857A0D">
            <w:pPr>
              <w:pStyle w:val="TAC"/>
            </w:pPr>
            <w:r w:rsidRPr="00873B6C">
              <w:t>-</w:t>
            </w:r>
          </w:p>
        </w:tc>
        <w:tc>
          <w:tcPr>
            <w:tcW w:w="2126" w:type="dxa"/>
            <w:shd w:val="clear" w:color="auto" w:fill="auto"/>
          </w:tcPr>
          <w:p w14:paraId="41761300" w14:textId="77777777" w:rsidR="00857A0D" w:rsidRPr="00873B6C" w:rsidRDefault="00857A0D" w:rsidP="00857A0D">
            <w:pPr>
              <w:pStyle w:val="TAC"/>
            </w:pPr>
            <w:r w:rsidRPr="00873B6C">
              <w:t>IEEE Std 802.1AB [97] Table 11-2</w:t>
            </w:r>
          </w:p>
        </w:tc>
      </w:tr>
      <w:tr w:rsidR="00857A0D" w:rsidRPr="00873B6C" w14:paraId="1B24ABBC" w14:textId="77777777" w:rsidTr="00C9561D">
        <w:trPr>
          <w:cantSplit/>
          <w:jc w:val="center"/>
        </w:trPr>
        <w:tc>
          <w:tcPr>
            <w:tcW w:w="5000" w:type="dxa"/>
            <w:shd w:val="clear" w:color="auto" w:fill="auto"/>
          </w:tcPr>
          <w:p w14:paraId="15960C1C" w14:textId="77777777" w:rsidR="00857A0D" w:rsidRPr="00873B6C" w:rsidRDefault="00857A0D" w:rsidP="00857A0D">
            <w:pPr>
              <w:pStyle w:val="TAL"/>
            </w:pPr>
            <w:r w:rsidRPr="00873B6C">
              <w:t>&gt;&gt; lldpV2RemChassisId</w:t>
            </w:r>
          </w:p>
        </w:tc>
        <w:tc>
          <w:tcPr>
            <w:tcW w:w="1418" w:type="dxa"/>
            <w:shd w:val="clear" w:color="auto" w:fill="auto"/>
          </w:tcPr>
          <w:p w14:paraId="385B3EA7" w14:textId="77777777" w:rsidR="00857A0D" w:rsidRPr="00873B6C" w:rsidRDefault="00857A0D" w:rsidP="00857A0D">
            <w:pPr>
              <w:pStyle w:val="TAC"/>
            </w:pPr>
            <w:r w:rsidRPr="00873B6C">
              <w:t>R</w:t>
            </w:r>
          </w:p>
        </w:tc>
        <w:tc>
          <w:tcPr>
            <w:tcW w:w="1338" w:type="dxa"/>
          </w:tcPr>
          <w:p w14:paraId="1F7F5427" w14:textId="77777777" w:rsidR="00857A0D" w:rsidRPr="00873B6C" w:rsidRDefault="00857A0D" w:rsidP="00857A0D">
            <w:pPr>
              <w:pStyle w:val="TAC"/>
            </w:pPr>
            <w:r w:rsidRPr="00873B6C">
              <w:t>-</w:t>
            </w:r>
          </w:p>
        </w:tc>
        <w:tc>
          <w:tcPr>
            <w:tcW w:w="2126" w:type="dxa"/>
            <w:shd w:val="clear" w:color="auto" w:fill="auto"/>
          </w:tcPr>
          <w:p w14:paraId="72CC1A95" w14:textId="77777777" w:rsidR="00857A0D" w:rsidRPr="00873B6C" w:rsidRDefault="00857A0D" w:rsidP="00857A0D">
            <w:pPr>
              <w:pStyle w:val="TAC"/>
            </w:pPr>
            <w:r w:rsidRPr="00873B6C">
              <w:t>IEEE Std 802.1AB [97] Table 11-2</w:t>
            </w:r>
          </w:p>
        </w:tc>
      </w:tr>
      <w:tr w:rsidR="00857A0D" w:rsidRPr="00873B6C" w14:paraId="7D054CFC" w14:textId="77777777" w:rsidTr="00C9561D">
        <w:trPr>
          <w:cantSplit/>
          <w:jc w:val="center"/>
        </w:trPr>
        <w:tc>
          <w:tcPr>
            <w:tcW w:w="5000" w:type="dxa"/>
            <w:shd w:val="clear" w:color="auto" w:fill="auto"/>
          </w:tcPr>
          <w:p w14:paraId="68DD0A76" w14:textId="77777777" w:rsidR="00857A0D" w:rsidRPr="00873B6C" w:rsidRDefault="00857A0D" w:rsidP="00857A0D">
            <w:pPr>
              <w:pStyle w:val="TAL"/>
            </w:pPr>
            <w:r w:rsidRPr="00873B6C">
              <w:t>&gt;&gt; lldpV2RemPortIdSubtype</w:t>
            </w:r>
          </w:p>
        </w:tc>
        <w:tc>
          <w:tcPr>
            <w:tcW w:w="1418" w:type="dxa"/>
            <w:shd w:val="clear" w:color="auto" w:fill="auto"/>
          </w:tcPr>
          <w:p w14:paraId="02E72F6E" w14:textId="77777777" w:rsidR="00857A0D" w:rsidRPr="00873B6C" w:rsidRDefault="00857A0D" w:rsidP="00857A0D">
            <w:pPr>
              <w:pStyle w:val="TAC"/>
            </w:pPr>
            <w:r w:rsidRPr="00873B6C">
              <w:t>R</w:t>
            </w:r>
          </w:p>
        </w:tc>
        <w:tc>
          <w:tcPr>
            <w:tcW w:w="1338" w:type="dxa"/>
          </w:tcPr>
          <w:p w14:paraId="7A134B46" w14:textId="77777777" w:rsidR="00857A0D" w:rsidRPr="00873B6C" w:rsidRDefault="00857A0D" w:rsidP="00857A0D">
            <w:pPr>
              <w:pStyle w:val="TAC"/>
            </w:pPr>
            <w:r w:rsidRPr="00873B6C">
              <w:t>-</w:t>
            </w:r>
          </w:p>
        </w:tc>
        <w:tc>
          <w:tcPr>
            <w:tcW w:w="2126" w:type="dxa"/>
            <w:shd w:val="clear" w:color="auto" w:fill="auto"/>
          </w:tcPr>
          <w:p w14:paraId="513BC51A" w14:textId="77777777" w:rsidR="00857A0D" w:rsidRPr="00873B6C" w:rsidRDefault="00857A0D" w:rsidP="00857A0D">
            <w:pPr>
              <w:pStyle w:val="TAC"/>
            </w:pPr>
            <w:r w:rsidRPr="00873B6C">
              <w:t>IEEE Std 802.1AB [97] Table 11-2</w:t>
            </w:r>
          </w:p>
        </w:tc>
      </w:tr>
      <w:tr w:rsidR="00857A0D" w:rsidRPr="00873B6C" w14:paraId="31E0052F" w14:textId="77777777" w:rsidTr="00C9561D">
        <w:trPr>
          <w:cantSplit/>
          <w:jc w:val="center"/>
        </w:trPr>
        <w:tc>
          <w:tcPr>
            <w:tcW w:w="5000" w:type="dxa"/>
            <w:shd w:val="clear" w:color="auto" w:fill="auto"/>
          </w:tcPr>
          <w:p w14:paraId="4F6757E2" w14:textId="77777777" w:rsidR="00857A0D" w:rsidRPr="00873B6C" w:rsidRDefault="00857A0D" w:rsidP="00857A0D">
            <w:pPr>
              <w:pStyle w:val="TAL"/>
            </w:pPr>
            <w:r w:rsidRPr="00873B6C">
              <w:t>&gt;&gt; lldpV2RemPortId</w:t>
            </w:r>
          </w:p>
        </w:tc>
        <w:tc>
          <w:tcPr>
            <w:tcW w:w="1418" w:type="dxa"/>
            <w:shd w:val="clear" w:color="auto" w:fill="auto"/>
          </w:tcPr>
          <w:p w14:paraId="4AA34827" w14:textId="77777777" w:rsidR="00857A0D" w:rsidRPr="00873B6C" w:rsidRDefault="00857A0D" w:rsidP="00857A0D">
            <w:pPr>
              <w:pStyle w:val="TAC"/>
            </w:pPr>
            <w:r w:rsidRPr="00873B6C">
              <w:t>R</w:t>
            </w:r>
          </w:p>
        </w:tc>
        <w:tc>
          <w:tcPr>
            <w:tcW w:w="1338" w:type="dxa"/>
          </w:tcPr>
          <w:p w14:paraId="7513CBD8" w14:textId="77777777" w:rsidR="00857A0D" w:rsidRPr="00873B6C" w:rsidRDefault="00857A0D" w:rsidP="00857A0D">
            <w:pPr>
              <w:pStyle w:val="TAC"/>
            </w:pPr>
            <w:r w:rsidRPr="00873B6C">
              <w:t>-</w:t>
            </w:r>
          </w:p>
        </w:tc>
        <w:tc>
          <w:tcPr>
            <w:tcW w:w="2126" w:type="dxa"/>
            <w:shd w:val="clear" w:color="auto" w:fill="auto"/>
          </w:tcPr>
          <w:p w14:paraId="138008D8" w14:textId="77777777" w:rsidR="00857A0D" w:rsidRPr="00873B6C" w:rsidRDefault="00857A0D" w:rsidP="00857A0D">
            <w:pPr>
              <w:pStyle w:val="TAC"/>
            </w:pPr>
            <w:r w:rsidRPr="00873B6C">
              <w:t>IEEE Std 802.1AB [97] Table 11-2</w:t>
            </w:r>
          </w:p>
        </w:tc>
      </w:tr>
      <w:tr w:rsidR="00857A0D" w:rsidRPr="00873B6C" w14:paraId="33F1AFE7" w14:textId="77777777" w:rsidTr="00C9561D">
        <w:trPr>
          <w:cantSplit/>
          <w:jc w:val="center"/>
        </w:trPr>
        <w:tc>
          <w:tcPr>
            <w:tcW w:w="5000" w:type="dxa"/>
            <w:shd w:val="clear" w:color="auto" w:fill="auto"/>
          </w:tcPr>
          <w:p w14:paraId="7A33B72F" w14:textId="77777777" w:rsidR="00857A0D" w:rsidRPr="00873B6C" w:rsidRDefault="00857A0D" w:rsidP="00857A0D">
            <w:pPr>
              <w:pStyle w:val="TAL"/>
            </w:pPr>
            <w:r w:rsidRPr="00873B6C">
              <w:t>&gt;&gt; TTL</w:t>
            </w:r>
          </w:p>
        </w:tc>
        <w:tc>
          <w:tcPr>
            <w:tcW w:w="1418" w:type="dxa"/>
            <w:shd w:val="clear" w:color="auto" w:fill="auto"/>
          </w:tcPr>
          <w:p w14:paraId="2D07817C" w14:textId="77777777" w:rsidR="00857A0D" w:rsidRPr="00873B6C" w:rsidRDefault="00857A0D" w:rsidP="00857A0D">
            <w:pPr>
              <w:pStyle w:val="TAC"/>
            </w:pPr>
            <w:r w:rsidRPr="00873B6C">
              <w:t>R</w:t>
            </w:r>
          </w:p>
        </w:tc>
        <w:tc>
          <w:tcPr>
            <w:tcW w:w="1338" w:type="dxa"/>
          </w:tcPr>
          <w:p w14:paraId="13FF2BD2" w14:textId="77777777" w:rsidR="00857A0D" w:rsidRPr="00873B6C" w:rsidRDefault="00857A0D" w:rsidP="00857A0D">
            <w:pPr>
              <w:pStyle w:val="TAC"/>
            </w:pPr>
            <w:r w:rsidRPr="00873B6C">
              <w:t>-</w:t>
            </w:r>
          </w:p>
        </w:tc>
        <w:tc>
          <w:tcPr>
            <w:tcW w:w="2126" w:type="dxa"/>
            <w:shd w:val="clear" w:color="auto" w:fill="auto"/>
          </w:tcPr>
          <w:p w14:paraId="3F40CC7D" w14:textId="77777777" w:rsidR="00857A0D" w:rsidRPr="00873B6C" w:rsidRDefault="00857A0D" w:rsidP="00857A0D">
            <w:pPr>
              <w:pStyle w:val="TAC"/>
            </w:pPr>
            <w:r w:rsidRPr="00873B6C">
              <w:t>IEEE Std 802.1AB [97] clause 8.5.4.1</w:t>
            </w:r>
          </w:p>
        </w:tc>
      </w:tr>
      <w:tr w:rsidR="00857A0D" w:rsidRPr="00873B6C" w14:paraId="63FFA00F" w14:textId="77777777" w:rsidTr="00E84E5A">
        <w:trPr>
          <w:cantSplit/>
          <w:jc w:val="center"/>
        </w:trPr>
        <w:tc>
          <w:tcPr>
            <w:tcW w:w="5000" w:type="dxa"/>
            <w:shd w:val="clear" w:color="auto" w:fill="auto"/>
          </w:tcPr>
          <w:p w14:paraId="5A34C3CD" w14:textId="77777777" w:rsidR="00857A0D" w:rsidRPr="00873B6C" w:rsidRDefault="00857A0D" w:rsidP="00857A0D">
            <w:pPr>
              <w:pStyle w:val="TAL"/>
              <w:rPr>
                <w:bCs/>
              </w:rPr>
            </w:pPr>
            <w:r w:rsidRPr="00873B6C">
              <w:rPr>
                <w:bCs/>
              </w:rPr>
              <w:t>&gt;&gt; OtlvSet</w:t>
            </w:r>
          </w:p>
        </w:tc>
        <w:tc>
          <w:tcPr>
            <w:tcW w:w="1418" w:type="dxa"/>
            <w:shd w:val="clear" w:color="auto" w:fill="auto"/>
          </w:tcPr>
          <w:p w14:paraId="35487168" w14:textId="1F96EA29" w:rsidR="00857A0D" w:rsidRPr="00873B6C" w:rsidRDefault="00857A0D" w:rsidP="00857A0D">
            <w:pPr>
              <w:pStyle w:val="TAC"/>
            </w:pPr>
            <w:r w:rsidRPr="00873B6C">
              <w:t>R</w:t>
            </w:r>
          </w:p>
        </w:tc>
        <w:tc>
          <w:tcPr>
            <w:tcW w:w="1338" w:type="dxa"/>
          </w:tcPr>
          <w:p w14:paraId="373365C5" w14:textId="10174894" w:rsidR="00857A0D" w:rsidRPr="00873B6C" w:rsidRDefault="00857A0D" w:rsidP="00857A0D">
            <w:pPr>
              <w:pStyle w:val="TAC"/>
            </w:pPr>
            <w:r w:rsidRPr="00873B6C">
              <w:t>-</w:t>
            </w:r>
          </w:p>
        </w:tc>
        <w:tc>
          <w:tcPr>
            <w:tcW w:w="2126" w:type="dxa"/>
            <w:shd w:val="clear" w:color="auto" w:fill="auto"/>
          </w:tcPr>
          <w:p w14:paraId="49D3F8E1" w14:textId="48C4616B" w:rsidR="00857A0D" w:rsidRPr="00873B6C" w:rsidRDefault="00857A0D" w:rsidP="00857A0D">
            <w:pPr>
              <w:pStyle w:val="TAC"/>
            </w:pPr>
            <w:r w:rsidRPr="00873B6C">
              <w:t>IEC/IEEE 60802 [195], clause 6.5.2.4.5 and clause 6.5.2.4.6.</w:t>
            </w:r>
          </w:p>
        </w:tc>
      </w:tr>
      <w:tr w:rsidR="00857A0D" w:rsidRPr="00873B6C" w14:paraId="149758F1" w14:textId="77777777" w:rsidTr="00C9561D">
        <w:trPr>
          <w:cantSplit/>
          <w:jc w:val="center"/>
        </w:trPr>
        <w:tc>
          <w:tcPr>
            <w:tcW w:w="5000" w:type="dxa"/>
            <w:shd w:val="clear" w:color="auto" w:fill="auto"/>
          </w:tcPr>
          <w:p w14:paraId="59F5F840" w14:textId="77777777" w:rsidR="00857A0D" w:rsidRPr="00873B6C" w:rsidRDefault="00857A0D" w:rsidP="00857A0D">
            <w:pPr>
              <w:pStyle w:val="TAL"/>
            </w:pPr>
            <w:r w:rsidRPr="00873B6C">
              <w:rPr>
                <w:b/>
              </w:rPr>
              <w:t>Stream Parameters (NOTE 5)</w:t>
            </w:r>
          </w:p>
        </w:tc>
        <w:tc>
          <w:tcPr>
            <w:tcW w:w="1418" w:type="dxa"/>
            <w:shd w:val="clear" w:color="auto" w:fill="auto"/>
          </w:tcPr>
          <w:p w14:paraId="4C418617" w14:textId="77777777" w:rsidR="00857A0D" w:rsidRPr="00873B6C" w:rsidRDefault="00857A0D" w:rsidP="00857A0D">
            <w:pPr>
              <w:pStyle w:val="TAC"/>
            </w:pPr>
          </w:p>
        </w:tc>
        <w:tc>
          <w:tcPr>
            <w:tcW w:w="1338" w:type="dxa"/>
          </w:tcPr>
          <w:p w14:paraId="08C20E34" w14:textId="77777777" w:rsidR="00857A0D" w:rsidRPr="00873B6C" w:rsidRDefault="00857A0D" w:rsidP="00857A0D">
            <w:pPr>
              <w:pStyle w:val="TAC"/>
            </w:pPr>
          </w:p>
        </w:tc>
        <w:tc>
          <w:tcPr>
            <w:tcW w:w="2126" w:type="dxa"/>
            <w:shd w:val="clear" w:color="auto" w:fill="auto"/>
          </w:tcPr>
          <w:p w14:paraId="17A79F4F" w14:textId="77777777" w:rsidR="00857A0D" w:rsidRPr="00873B6C" w:rsidRDefault="00857A0D" w:rsidP="00857A0D">
            <w:pPr>
              <w:pStyle w:val="TAC"/>
            </w:pPr>
          </w:p>
        </w:tc>
      </w:tr>
      <w:tr w:rsidR="00857A0D" w:rsidRPr="00873B6C" w14:paraId="0D68F9E5" w14:textId="77777777" w:rsidTr="00C9561D">
        <w:trPr>
          <w:cantSplit/>
          <w:jc w:val="center"/>
        </w:trPr>
        <w:tc>
          <w:tcPr>
            <w:tcW w:w="5000" w:type="dxa"/>
            <w:shd w:val="clear" w:color="auto" w:fill="auto"/>
          </w:tcPr>
          <w:p w14:paraId="0D3BD4B8" w14:textId="77777777" w:rsidR="00857A0D" w:rsidRPr="00873B6C" w:rsidRDefault="00857A0D" w:rsidP="00857A0D">
            <w:pPr>
              <w:pStyle w:val="TAL"/>
              <w:rPr>
                <w:b/>
              </w:rPr>
            </w:pPr>
            <w:r w:rsidRPr="00873B6C">
              <w:t>MaxStreamFilterInstances</w:t>
            </w:r>
          </w:p>
        </w:tc>
        <w:tc>
          <w:tcPr>
            <w:tcW w:w="1418" w:type="dxa"/>
            <w:shd w:val="clear" w:color="auto" w:fill="auto"/>
          </w:tcPr>
          <w:p w14:paraId="4B5C4F0A" w14:textId="77777777" w:rsidR="00857A0D" w:rsidRPr="00873B6C" w:rsidRDefault="00857A0D" w:rsidP="00857A0D">
            <w:pPr>
              <w:pStyle w:val="TAC"/>
            </w:pPr>
            <w:r w:rsidRPr="00873B6C">
              <w:t>R</w:t>
            </w:r>
          </w:p>
        </w:tc>
        <w:tc>
          <w:tcPr>
            <w:tcW w:w="1338" w:type="dxa"/>
          </w:tcPr>
          <w:p w14:paraId="2F511551" w14:textId="77777777" w:rsidR="00857A0D" w:rsidRPr="00873B6C" w:rsidRDefault="00857A0D" w:rsidP="00857A0D">
            <w:pPr>
              <w:pStyle w:val="TAC"/>
            </w:pPr>
            <w:r w:rsidRPr="00873B6C">
              <w:t>-</w:t>
            </w:r>
          </w:p>
        </w:tc>
        <w:tc>
          <w:tcPr>
            <w:tcW w:w="2126" w:type="dxa"/>
            <w:shd w:val="clear" w:color="auto" w:fill="auto"/>
          </w:tcPr>
          <w:p w14:paraId="54AB805E" w14:textId="77777777" w:rsidR="00857A0D" w:rsidRPr="00873B6C" w:rsidRDefault="00857A0D" w:rsidP="00857A0D">
            <w:pPr>
              <w:pStyle w:val="TAC"/>
            </w:pPr>
            <w:r w:rsidRPr="00873B6C">
              <w:t>IEEE Std 802.1Q [98]</w:t>
            </w:r>
          </w:p>
          <w:p w14:paraId="52687BFA" w14:textId="77777777" w:rsidR="00857A0D" w:rsidRPr="00873B6C" w:rsidRDefault="00857A0D" w:rsidP="00857A0D">
            <w:pPr>
              <w:pStyle w:val="TAC"/>
            </w:pPr>
            <w:r w:rsidRPr="00873B6C">
              <w:rPr>
                <w:rFonts w:cs="Arial"/>
                <w:szCs w:val="18"/>
              </w:rPr>
              <w:t>Table 12-34</w:t>
            </w:r>
          </w:p>
        </w:tc>
      </w:tr>
      <w:tr w:rsidR="00857A0D" w:rsidRPr="00873B6C" w14:paraId="445C83EE" w14:textId="77777777" w:rsidTr="00C9561D">
        <w:trPr>
          <w:cantSplit/>
          <w:jc w:val="center"/>
        </w:trPr>
        <w:tc>
          <w:tcPr>
            <w:tcW w:w="5000" w:type="dxa"/>
            <w:shd w:val="clear" w:color="auto" w:fill="auto"/>
          </w:tcPr>
          <w:p w14:paraId="0F477207" w14:textId="77777777" w:rsidR="00857A0D" w:rsidRPr="00873B6C" w:rsidRDefault="00857A0D" w:rsidP="00857A0D">
            <w:pPr>
              <w:pStyle w:val="TAL"/>
            </w:pPr>
            <w:r w:rsidRPr="00873B6C">
              <w:t>MaxStreamGateInstances</w:t>
            </w:r>
          </w:p>
        </w:tc>
        <w:tc>
          <w:tcPr>
            <w:tcW w:w="1418" w:type="dxa"/>
            <w:shd w:val="clear" w:color="auto" w:fill="auto"/>
          </w:tcPr>
          <w:p w14:paraId="42EE33FC" w14:textId="77777777" w:rsidR="00857A0D" w:rsidRPr="00873B6C" w:rsidRDefault="00857A0D" w:rsidP="00857A0D">
            <w:pPr>
              <w:pStyle w:val="TAC"/>
            </w:pPr>
            <w:r w:rsidRPr="00873B6C">
              <w:t>R</w:t>
            </w:r>
          </w:p>
        </w:tc>
        <w:tc>
          <w:tcPr>
            <w:tcW w:w="1338" w:type="dxa"/>
          </w:tcPr>
          <w:p w14:paraId="474D224A" w14:textId="77777777" w:rsidR="00857A0D" w:rsidRPr="00873B6C" w:rsidRDefault="00857A0D" w:rsidP="00857A0D">
            <w:pPr>
              <w:pStyle w:val="TAC"/>
            </w:pPr>
            <w:r w:rsidRPr="00873B6C">
              <w:t>-</w:t>
            </w:r>
          </w:p>
        </w:tc>
        <w:tc>
          <w:tcPr>
            <w:tcW w:w="2126" w:type="dxa"/>
            <w:shd w:val="clear" w:color="auto" w:fill="auto"/>
          </w:tcPr>
          <w:p w14:paraId="75293F41" w14:textId="77777777" w:rsidR="00857A0D" w:rsidRPr="00873B6C" w:rsidRDefault="00857A0D" w:rsidP="00857A0D">
            <w:pPr>
              <w:pStyle w:val="TAC"/>
            </w:pPr>
            <w:r w:rsidRPr="00873B6C">
              <w:t>IEEE Std 802.1Q [98]</w:t>
            </w:r>
          </w:p>
          <w:p w14:paraId="4A6CA0AA" w14:textId="77777777" w:rsidR="00857A0D" w:rsidRPr="00873B6C" w:rsidRDefault="00857A0D" w:rsidP="00857A0D">
            <w:pPr>
              <w:pStyle w:val="TAC"/>
            </w:pPr>
            <w:r w:rsidRPr="00873B6C">
              <w:rPr>
                <w:rFonts w:cs="Arial"/>
                <w:szCs w:val="18"/>
              </w:rPr>
              <w:t>Table 12-34</w:t>
            </w:r>
          </w:p>
        </w:tc>
      </w:tr>
      <w:tr w:rsidR="00857A0D" w:rsidRPr="00873B6C" w14:paraId="40EF43DC" w14:textId="77777777" w:rsidTr="00C9561D">
        <w:trPr>
          <w:cantSplit/>
          <w:jc w:val="center"/>
        </w:trPr>
        <w:tc>
          <w:tcPr>
            <w:tcW w:w="5000" w:type="dxa"/>
            <w:shd w:val="clear" w:color="auto" w:fill="auto"/>
          </w:tcPr>
          <w:p w14:paraId="2C3E2A10" w14:textId="77777777" w:rsidR="00857A0D" w:rsidRPr="00873B6C" w:rsidRDefault="00857A0D" w:rsidP="00857A0D">
            <w:pPr>
              <w:pStyle w:val="TAL"/>
            </w:pPr>
            <w:r w:rsidRPr="00873B6C">
              <w:t>MaxFlowMeterInstances</w:t>
            </w:r>
          </w:p>
        </w:tc>
        <w:tc>
          <w:tcPr>
            <w:tcW w:w="1418" w:type="dxa"/>
            <w:shd w:val="clear" w:color="auto" w:fill="auto"/>
          </w:tcPr>
          <w:p w14:paraId="67E0712A" w14:textId="77777777" w:rsidR="00857A0D" w:rsidRPr="00873B6C" w:rsidRDefault="00857A0D" w:rsidP="00857A0D">
            <w:pPr>
              <w:pStyle w:val="TAC"/>
            </w:pPr>
            <w:r w:rsidRPr="00873B6C">
              <w:t>R</w:t>
            </w:r>
          </w:p>
        </w:tc>
        <w:tc>
          <w:tcPr>
            <w:tcW w:w="1338" w:type="dxa"/>
          </w:tcPr>
          <w:p w14:paraId="286251CB" w14:textId="77777777" w:rsidR="00857A0D" w:rsidRPr="00873B6C" w:rsidRDefault="00857A0D" w:rsidP="00857A0D">
            <w:pPr>
              <w:pStyle w:val="TAC"/>
            </w:pPr>
            <w:r w:rsidRPr="00873B6C">
              <w:t>-</w:t>
            </w:r>
          </w:p>
        </w:tc>
        <w:tc>
          <w:tcPr>
            <w:tcW w:w="2126" w:type="dxa"/>
            <w:shd w:val="clear" w:color="auto" w:fill="auto"/>
          </w:tcPr>
          <w:p w14:paraId="5EE8A40C" w14:textId="77777777" w:rsidR="00857A0D" w:rsidRPr="00873B6C" w:rsidRDefault="00857A0D" w:rsidP="00857A0D">
            <w:pPr>
              <w:pStyle w:val="TAC"/>
            </w:pPr>
            <w:r w:rsidRPr="00873B6C">
              <w:t>IEEE Std 802.1Q [98]</w:t>
            </w:r>
          </w:p>
          <w:p w14:paraId="1DEA4F41" w14:textId="77777777" w:rsidR="00857A0D" w:rsidRPr="00873B6C" w:rsidRDefault="00857A0D" w:rsidP="00857A0D">
            <w:pPr>
              <w:pStyle w:val="TAC"/>
            </w:pPr>
            <w:r w:rsidRPr="00873B6C">
              <w:rPr>
                <w:rFonts w:cs="Arial"/>
                <w:szCs w:val="18"/>
              </w:rPr>
              <w:t>Table 12-34</w:t>
            </w:r>
          </w:p>
        </w:tc>
      </w:tr>
      <w:tr w:rsidR="00857A0D" w:rsidRPr="00873B6C" w14:paraId="3ED17FFB" w14:textId="77777777" w:rsidTr="00C9561D">
        <w:trPr>
          <w:cantSplit/>
          <w:jc w:val="center"/>
        </w:trPr>
        <w:tc>
          <w:tcPr>
            <w:tcW w:w="5000" w:type="dxa"/>
            <w:shd w:val="clear" w:color="auto" w:fill="auto"/>
          </w:tcPr>
          <w:p w14:paraId="360B2132" w14:textId="77777777" w:rsidR="00857A0D" w:rsidRPr="00873B6C" w:rsidRDefault="00857A0D" w:rsidP="00857A0D">
            <w:pPr>
              <w:pStyle w:val="TAL"/>
            </w:pPr>
            <w:r w:rsidRPr="00873B6C">
              <w:t>SupportedListMax</w:t>
            </w:r>
          </w:p>
        </w:tc>
        <w:tc>
          <w:tcPr>
            <w:tcW w:w="1418" w:type="dxa"/>
            <w:shd w:val="clear" w:color="auto" w:fill="auto"/>
          </w:tcPr>
          <w:p w14:paraId="64053F92" w14:textId="77777777" w:rsidR="00857A0D" w:rsidRPr="00873B6C" w:rsidRDefault="00857A0D" w:rsidP="00857A0D">
            <w:pPr>
              <w:pStyle w:val="TAC"/>
            </w:pPr>
            <w:r w:rsidRPr="00873B6C">
              <w:t>R</w:t>
            </w:r>
          </w:p>
        </w:tc>
        <w:tc>
          <w:tcPr>
            <w:tcW w:w="1338" w:type="dxa"/>
          </w:tcPr>
          <w:p w14:paraId="3864BE06" w14:textId="77777777" w:rsidR="00857A0D" w:rsidRPr="00873B6C" w:rsidRDefault="00857A0D" w:rsidP="00857A0D">
            <w:pPr>
              <w:pStyle w:val="TAC"/>
            </w:pPr>
            <w:r w:rsidRPr="00873B6C">
              <w:t>-</w:t>
            </w:r>
          </w:p>
        </w:tc>
        <w:tc>
          <w:tcPr>
            <w:tcW w:w="2126" w:type="dxa"/>
            <w:shd w:val="clear" w:color="auto" w:fill="auto"/>
          </w:tcPr>
          <w:p w14:paraId="0BDABAEF" w14:textId="77777777" w:rsidR="00857A0D" w:rsidRPr="00873B6C" w:rsidRDefault="00857A0D" w:rsidP="00857A0D">
            <w:pPr>
              <w:pStyle w:val="TAC"/>
            </w:pPr>
            <w:r w:rsidRPr="00873B6C">
              <w:t>IEEE Std 802.1Q [98]</w:t>
            </w:r>
          </w:p>
          <w:p w14:paraId="614212A0" w14:textId="77777777" w:rsidR="00857A0D" w:rsidRPr="00873B6C" w:rsidRDefault="00857A0D" w:rsidP="00857A0D">
            <w:pPr>
              <w:pStyle w:val="TAC"/>
            </w:pPr>
            <w:r w:rsidRPr="00873B6C">
              <w:rPr>
                <w:rFonts w:cs="Arial"/>
                <w:szCs w:val="18"/>
              </w:rPr>
              <w:t>Table 12-34</w:t>
            </w:r>
          </w:p>
        </w:tc>
      </w:tr>
      <w:tr w:rsidR="00857A0D" w:rsidRPr="00873B6C" w14:paraId="406DFE33" w14:textId="77777777" w:rsidTr="00C9561D">
        <w:trPr>
          <w:cantSplit/>
          <w:jc w:val="center"/>
        </w:trPr>
        <w:tc>
          <w:tcPr>
            <w:tcW w:w="5000" w:type="dxa"/>
            <w:shd w:val="clear" w:color="auto" w:fill="auto"/>
          </w:tcPr>
          <w:p w14:paraId="0627A3B1" w14:textId="77777777" w:rsidR="00857A0D" w:rsidRPr="00873B6C" w:rsidRDefault="00857A0D" w:rsidP="00857A0D">
            <w:pPr>
              <w:pStyle w:val="TAL"/>
            </w:pPr>
            <w:r w:rsidRPr="00873B6C">
              <w:rPr>
                <w:b/>
                <w:bCs/>
                <w:lang w:eastAsia="fr-FR"/>
              </w:rPr>
              <w:t>Time synchronization information</w:t>
            </w:r>
          </w:p>
        </w:tc>
        <w:tc>
          <w:tcPr>
            <w:tcW w:w="1418" w:type="dxa"/>
            <w:shd w:val="clear" w:color="auto" w:fill="auto"/>
          </w:tcPr>
          <w:p w14:paraId="39BF792B" w14:textId="77777777" w:rsidR="00857A0D" w:rsidRPr="00873B6C" w:rsidRDefault="00857A0D" w:rsidP="00857A0D">
            <w:pPr>
              <w:pStyle w:val="TAC"/>
            </w:pPr>
          </w:p>
        </w:tc>
        <w:tc>
          <w:tcPr>
            <w:tcW w:w="1338" w:type="dxa"/>
          </w:tcPr>
          <w:p w14:paraId="0198457C" w14:textId="77777777" w:rsidR="00857A0D" w:rsidRPr="00873B6C" w:rsidRDefault="00857A0D" w:rsidP="00857A0D">
            <w:pPr>
              <w:pStyle w:val="TAC"/>
            </w:pPr>
          </w:p>
        </w:tc>
        <w:tc>
          <w:tcPr>
            <w:tcW w:w="2126" w:type="dxa"/>
            <w:shd w:val="clear" w:color="auto" w:fill="auto"/>
          </w:tcPr>
          <w:p w14:paraId="49AE57E0" w14:textId="77777777" w:rsidR="00857A0D" w:rsidRPr="00873B6C" w:rsidRDefault="00857A0D" w:rsidP="00857A0D">
            <w:pPr>
              <w:pStyle w:val="TAC"/>
            </w:pPr>
          </w:p>
        </w:tc>
      </w:tr>
      <w:tr w:rsidR="00857A0D" w:rsidRPr="00873B6C" w14:paraId="338CDA64" w14:textId="77777777" w:rsidTr="00C9561D">
        <w:trPr>
          <w:cantSplit/>
          <w:jc w:val="center"/>
        </w:trPr>
        <w:tc>
          <w:tcPr>
            <w:tcW w:w="5000" w:type="dxa"/>
            <w:shd w:val="clear" w:color="auto" w:fill="auto"/>
          </w:tcPr>
          <w:p w14:paraId="56BDB6F4" w14:textId="77777777" w:rsidR="00857A0D" w:rsidRPr="00873B6C" w:rsidRDefault="00857A0D" w:rsidP="00857A0D">
            <w:pPr>
              <w:pStyle w:val="TAL"/>
              <w:rPr>
                <w:b/>
                <w:bCs/>
                <w:lang w:eastAsia="fr-FR"/>
              </w:rPr>
            </w:pPr>
            <w:r w:rsidRPr="00873B6C">
              <w:rPr>
                <w:lang w:eastAsia="fr-FR"/>
              </w:rPr>
              <w:t>Supported PTP instance types (NOTE 6)</w:t>
            </w:r>
          </w:p>
        </w:tc>
        <w:tc>
          <w:tcPr>
            <w:tcW w:w="1418" w:type="dxa"/>
            <w:shd w:val="clear" w:color="auto" w:fill="auto"/>
          </w:tcPr>
          <w:p w14:paraId="472092F8" w14:textId="77777777" w:rsidR="00857A0D" w:rsidRPr="00873B6C" w:rsidRDefault="00857A0D" w:rsidP="00857A0D">
            <w:pPr>
              <w:pStyle w:val="TAC"/>
            </w:pPr>
            <w:r w:rsidRPr="00873B6C">
              <w:t>R</w:t>
            </w:r>
          </w:p>
        </w:tc>
        <w:tc>
          <w:tcPr>
            <w:tcW w:w="1338" w:type="dxa"/>
          </w:tcPr>
          <w:p w14:paraId="47B31640" w14:textId="77777777" w:rsidR="00857A0D" w:rsidRPr="00873B6C" w:rsidRDefault="00857A0D" w:rsidP="00857A0D">
            <w:pPr>
              <w:pStyle w:val="TAC"/>
            </w:pPr>
            <w:r w:rsidRPr="00873B6C">
              <w:t>R</w:t>
            </w:r>
          </w:p>
        </w:tc>
        <w:tc>
          <w:tcPr>
            <w:tcW w:w="2126" w:type="dxa"/>
            <w:shd w:val="clear" w:color="auto" w:fill="auto"/>
          </w:tcPr>
          <w:p w14:paraId="3C696D24" w14:textId="77777777" w:rsidR="00857A0D" w:rsidRPr="00873B6C" w:rsidRDefault="00857A0D" w:rsidP="00857A0D">
            <w:pPr>
              <w:pStyle w:val="TAC"/>
            </w:pPr>
          </w:p>
        </w:tc>
      </w:tr>
      <w:tr w:rsidR="00857A0D" w:rsidRPr="00873B6C" w14:paraId="47390D7A" w14:textId="77777777" w:rsidTr="00C9561D">
        <w:trPr>
          <w:cantSplit/>
          <w:jc w:val="center"/>
        </w:trPr>
        <w:tc>
          <w:tcPr>
            <w:tcW w:w="5000" w:type="dxa"/>
            <w:shd w:val="clear" w:color="auto" w:fill="auto"/>
          </w:tcPr>
          <w:p w14:paraId="3DA2FFC7" w14:textId="77777777" w:rsidR="00857A0D" w:rsidRPr="00873B6C" w:rsidRDefault="00857A0D" w:rsidP="00857A0D">
            <w:pPr>
              <w:pStyle w:val="TAL"/>
              <w:rPr>
                <w:lang w:eastAsia="fr-FR"/>
              </w:rPr>
            </w:pPr>
            <w:r w:rsidRPr="00873B6C">
              <w:rPr>
                <w:lang w:eastAsia="fr-FR"/>
              </w:rPr>
              <w:t>Supported transport types (NOTE 7)</w:t>
            </w:r>
          </w:p>
        </w:tc>
        <w:tc>
          <w:tcPr>
            <w:tcW w:w="1418" w:type="dxa"/>
            <w:shd w:val="clear" w:color="auto" w:fill="auto"/>
          </w:tcPr>
          <w:p w14:paraId="313B39C7" w14:textId="77777777" w:rsidR="00857A0D" w:rsidRPr="00873B6C" w:rsidRDefault="00857A0D" w:rsidP="00857A0D">
            <w:pPr>
              <w:pStyle w:val="TAC"/>
            </w:pPr>
            <w:r w:rsidRPr="00873B6C">
              <w:t>R</w:t>
            </w:r>
          </w:p>
        </w:tc>
        <w:tc>
          <w:tcPr>
            <w:tcW w:w="1338" w:type="dxa"/>
          </w:tcPr>
          <w:p w14:paraId="482461E2" w14:textId="77777777" w:rsidR="00857A0D" w:rsidRPr="00873B6C" w:rsidRDefault="00857A0D" w:rsidP="00857A0D">
            <w:pPr>
              <w:pStyle w:val="TAC"/>
            </w:pPr>
            <w:r w:rsidRPr="00873B6C">
              <w:t>R</w:t>
            </w:r>
          </w:p>
        </w:tc>
        <w:tc>
          <w:tcPr>
            <w:tcW w:w="2126" w:type="dxa"/>
            <w:shd w:val="clear" w:color="auto" w:fill="auto"/>
          </w:tcPr>
          <w:p w14:paraId="36CBE5BB" w14:textId="77777777" w:rsidR="00857A0D" w:rsidRPr="00873B6C" w:rsidRDefault="00857A0D" w:rsidP="00857A0D">
            <w:pPr>
              <w:pStyle w:val="TAC"/>
            </w:pPr>
          </w:p>
        </w:tc>
      </w:tr>
      <w:tr w:rsidR="00857A0D" w:rsidRPr="00873B6C" w14:paraId="5EC8CE51" w14:textId="77777777" w:rsidTr="00C9561D">
        <w:trPr>
          <w:cantSplit/>
          <w:jc w:val="center"/>
        </w:trPr>
        <w:tc>
          <w:tcPr>
            <w:tcW w:w="5000" w:type="dxa"/>
            <w:shd w:val="clear" w:color="auto" w:fill="auto"/>
          </w:tcPr>
          <w:p w14:paraId="72C6D34A" w14:textId="77777777" w:rsidR="00857A0D" w:rsidRPr="00873B6C" w:rsidRDefault="00857A0D" w:rsidP="00857A0D">
            <w:pPr>
              <w:pStyle w:val="TAL"/>
              <w:rPr>
                <w:lang w:eastAsia="fr-FR"/>
              </w:rPr>
            </w:pPr>
            <w:r w:rsidRPr="00873B6C">
              <w:rPr>
                <w:lang w:eastAsia="fr-FR"/>
              </w:rPr>
              <w:t>Supported delay mechanisms (NOTE 8)</w:t>
            </w:r>
          </w:p>
        </w:tc>
        <w:tc>
          <w:tcPr>
            <w:tcW w:w="1418" w:type="dxa"/>
            <w:shd w:val="clear" w:color="auto" w:fill="auto"/>
          </w:tcPr>
          <w:p w14:paraId="50A4B325" w14:textId="77777777" w:rsidR="00857A0D" w:rsidRPr="00873B6C" w:rsidRDefault="00857A0D" w:rsidP="00857A0D">
            <w:pPr>
              <w:pStyle w:val="TAC"/>
            </w:pPr>
            <w:r w:rsidRPr="00873B6C">
              <w:t>R</w:t>
            </w:r>
          </w:p>
        </w:tc>
        <w:tc>
          <w:tcPr>
            <w:tcW w:w="1338" w:type="dxa"/>
          </w:tcPr>
          <w:p w14:paraId="5979769F" w14:textId="77777777" w:rsidR="00857A0D" w:rsidRPr="00873B6C" w:rsidRDefault="00857A0D" w:rsidP="00857A0D">
            <w:pPr>
              <w:pStyle w:val="TAC"/>
            </w:pPr>
            <w:r w:rsidRPr="00873B6C">
              <w:t>R</w:t>
            </w:r>
          </w:p>
        </w:tc>
        <w:tc>
          <w:tcPr>
            <w:tcW w:w="2126" w:type="dxa"/>
            <w:shd w:val="clear" w:color="auto" w:fill="auto"/>
          </w:tcPr>
          <w:p w14:paraId="23C885FC" w14:textId="77777777" w:rsidR="00857A0D" w:rsidRPr="00873B6C" w:rsidRDefault="00857A0D" w:rsidP="00857A0D">
            <w:pPr>
              <w:pStyle w:val="TAC"/>
            </w:pPr>
          </w:p>
        </w:tc>
      </w:tr>
      <w:tr w:rsidR="00857A0D" w:rsidRPr="00873B6C" w14:paraId="4BC37EB3" w14:textId="77777777" w:rsidTr="00C9561D">
        <w:trPr>
          <w:cantSplit/>
          <w:jc w:val="center"/>
        </w:trPr>
        <w:tc>
          <w:tcPr>
            <w:tcW w:w="5000" w:type="dxa"/>
            <w:shd w:val="clear" w:color="auto" w:fill="auto"/>
          </w:tcPr>
          <w:p w14:paraId="589FD4FD" w14:textId="77777777" w:rsidR="00857A0D" w:rsidRPr="00873B6C" w:rsidRDefault="00857A0D" w:rsidP="00857A0D">
            <w:pPr>
              <w:pStyle w:val="TAL"/>
              <w:rPr>
                <w:lang w:eastAsia="fr-FR"/>
              </w:rPr>
            </w:pPr>
            <w:r w:rsidRPr="00873B6C">
              <w:rPr>
                <w:lang w:eastAsia="fr-FR"/>
              </w:rPr>
              <w:t>PTP grandmaster capable (NOTE 9)</w:t>
            </w:r>
          </w:p>
        </w:tc>
        <w:tc>
          <w:tcPr>
            <w:tcW w:w="1418" w:type="dxa"/>
            <w:shd w:val="clear" w:color="auto" w:fill="auto"/>
          </w:tcPr>
          <w:p w14:paraId="06BAC667" w14:textId="77777777" w:rsidR="00857A0D" w:rsidRPr="00873B6C" w:rsidRDefault="00857A0D" w:rsidP="00857A0D">
            <w:pPr>
              <w:pStyle w:val="TAC"/>
            </w:pPr>
            <w:r w:rsidRPr="00873B6C">
              <w:t>R</w:t>
            </w:r>
          </w:p>
        </w:tc>
        <w:tc>
          <w:tcPr>
            <w:tcW w:w="1338" w:type="dxa"/>
          </w:tcPr>
          <w:p w14:paraId="465A24C0" w14:textId="77777777" w:rsidR="00857A0D" w:rsidRPr="00873B6C" w:rsidRDefault="00857A0D" w:rsidP="00857A0D">
            <w:pPr>
              <w:pStyle w:val="TAC"/>
            </w:pPr>
            <w:r w:rsidRPr="00873B6C">
              <w:t>R</w:t>
            </w:r>
          </w:p>
        </w:tc>
        <w:tc>
          <w:tcPr>
            <w:tcW w:w="2126" w:type="dxa"/>
            <w:shd w:val="clear" w:color="auto" w:fill="auto"/>
          </w:tcPr>
          <w:p w14:paraId="0B40B098" w14:textId="77777777" w:rsidR="00857A0D" w:rsidRPr="00873B6C" w:rsidRDefault="00857A0D" w:rsidP="00857A0D">
            <w:pPr>
              <w:pStyle w:val="TAC"/>
            </w:pPr>
          </w:p>
        </w:tc>
      </w:tr>
      <w:tr w:rsidR="00857A0D" w:rsidRPr="00873B6C" w14:paraId="3D443BD0" w14:textId="77777777" w:rsidTr="00C9561D">
        <w:trPr>
          <w:cantSplit/>
          <w:jc w:val="center"/>
        </w:trPr>
        <w:tc>
          <w:tcPr>
            <w:tcW w:w="5000" w:type="dxa"/>
            <w:shd w:val="clear" w:color="auto" w:fill="auto"/>
          </w:tcPr>
          <w:p w14:paraId="25E07DCF" w14:textId="77777777" w:rsidR="00857A0D" w:rsidRPr="00873B6C" w:rsidRDefault="00857A0D" w:rsidP="00857A0D">
            <w:pPr>
              <w:pStyle w:val="TAL"/>
              <w:rPr>
                <w:lang w:eastAsia="fr-FR"/>
              </w:rPr>
            </w:pPr>
            <w:r w:rsidRPr="00873B6C">
              <w:rPr>
                <w:lang w:eastAsia="fr-FR"/>
              </w:rPr>
              <w:lastRenderedPageBreak/>
              <w:t>gPTP grandmaster capable (NOTE 10)</w:t>
            </w:r>
          </w:p>
        </w:tc>
        <w:tc>
          <w:tcPr>
            <w:tcW w:w="1418" w:type="dxa"/>
            <w:shd w:val="clear" w:color="auto" w:fill="auto"/>
          </w:tcPr>
          <w:p w14:paraId="30472D71" w14:textId="77777777" w:rsidR="00857A0D" w:rsidRPr="00873B6C" w:rsidRDefault="00857A0D" w:rsidP="00857A0D">
            <w:pPr>
              <w:pStyle w:val="TAC"/>
            </w:pPr>
            <w:r w:rsidRPr="00873B6C">
              <w:t>R</w:t>
            </w:r>
          </w:p>
        </w:tc>
        <w:tc>
          <w:tcPr>
            <w:tcW w:w="1338" w:type="dxa"/>
          </w:tcPr>
          <w:p w14:paraId="35A70737" w14:textId="77777777" w:rsidR="00857A0D" w:rsidRPr="00873B6C" w:rsidRDefault="00857A0D" w:rsidP="00857A0D">
            <w:pPr>
              <w:pStyle w:val="TAC"/>
            </w:pPr>
            <w:r w:rsidRPr="00873B6C">
              <w:t>R</w:t>
            </w:r>
          </w:p>
        </w:tc>
        <w:tc>
          <w:tcPr>
            <w:tcW w:w="2126" w:type="dxa"/>
            <w:shd w:val="clear" w:color="auto" w:fill="auto"/>
          </w:tcPr>
          <w:p w14:paraId="63CCA78A" w14:textId="77777777" w:rsidR="00857A0D" w:rsidRPr="00873B6C" w:rsidRDefault="00857A0D" w:rsidP="00857A0D">
            <w:pPr>
              <w:pStyle w:val="TAC"/>
            </w:pPr>
          </w:p>
        </w:tc>
      </w:tr>
      <w:tr w:rsidR="00857A0D" w:rsidRPr="00873B6C" w14:paraId="5695595E" w14:textId="77777777" w:rsidTr="00C9561D">
        <w:trPr>
          <w:cantSplit/>
          <w:jc w:val="center"/>
        </w:trPr>
        <w:tc>
          <w:tcPr>
            <w:tcW w:w="5000" w:type="dxa"/>
            <w:shd w:val="clear" w:color="auto" w:fill="auto"/>
          </w:tcPr>
          <w:p w14:paraId="7DB77CDD" w14:textId="77777777" w:rsidR="00857A0D" w:rsidRPr="00873B6C" w:rsidRDefault="00857A0D" w:rsidP="00857A0D">
            <w:pPr>
              <w:pStyle w:val="TAL"/>
              <w:rPr>
                <w:lang w:eastAsia="fr-FR"/>
              </w:rPr>
            </w:pPr>
            <w:r w:rsidRPr="00873B6C">
              <w:rPr>
                <w:lang w:eastAsia="fr-FR"/>
              </w:rPr>
              <w:t>Supported PTP profiles (NOTE 11)</w:t>
            </w:r>
          </w:p>
        </w:tc>
        <w:tc>
          <w:tcPr>
            <w:tcW w:w="1418" w:type="dxa"/>
            <w:shd w:val="clear" w:color="auto" w:fill="auto"/>
          </w:tcPr>
          <w:p w14:paraId="033E367B" w14:textId="77777777" w:rsidR="00857A0D" w:rsidRPr="00873B6C" w:rsidRDefault="00857A0D" w:rsidP="00857A0D">
            <w:pPr>
              <w:pStyle w:val="TAC"/>
            </w:pPr>
            <w:r w:rsidRPr="00873B6C">
              <w:t>R</w:t>
            </w:r>
          </w:p>
        </w:tc>
        <w:tc>
          <w:tcPr>
            <w:tcW w:w="1338" w:type="dxa"/>
          </w:tcPr>
          <w:p w14:paraId="04BCBA78" w14:textId="77777777" w:rsidR="00857A0D" w:rsidRPr="00873B6C" w:rsidRDefault="00857A0D" w:rsidP="00857A0D">
            <w:pPr>
              <w:pStyle w:val="TAC"/>
            </w:pPr>
            <w:r w:rsidRPr="00873B6C">
              <w:t>R</w:t>
            </w:r>
          </w:p>
        </w:tc>
        <w:tc>
          <w:tcPr>
            <w:tcW w:w="2126" w:type="dxa"/>
            <w:shd w:val="clear" w:color="auto" w:fill="auto"/>
          </w:tcPr>
          <w:p w14:paraId="574A4065" w14:textId="77777777" w:rsidR="00857A0D" w:rsidRPr="00873B6C" w:rsidRDefault="00857A0D" w:rsidP="00857A0D">
            <w:pPr>
              <w:pStyle w:val="TAC"/>
            </w:pPr>
          </w:p>
        </w:tc>
      </w:tr>
      <w:tr w:rsidR="00857A0D" w:rsidRPr="00873B6C" w14:paraId="60AA64C3" w14:textId="77777777" w:rsidTr="00C9561D">
        <w:trPr>
          <w:cantSplit/>
          <w:jc w:val="center"/>
        </w:trPr>
        <w:tc>
          <w:tcPr>
            <w:tcW w:w="5000" w:type="dxa"/>
            <w:shd w:val="clear" w:color="auto" w:fill="auto"/>
          </w:tcPr>
          <w:p w14:paraId="3A925147" w14:textId="77777777" w:rsidR="00857A0D" w:rsidRPr="00873B6C" w:rsidRDefault="00857A0D" w:rsidP="00857A0D">
            <w:pPr>
              <w:pStyle w:val="TAL"/>
              <w:rPr>
                <w:lang w:eastAsia="fr-FR"/>
              </w:rPr>
            </w:pPr>
            <w:r w:rsidRPr="00873B6C">
              <w:rPr>
                <w:lang w:eastAsia="fr-FR"/>
              </w:rPr>
              <w:t>Number of supported PTP instances</w:t>
            </w:r>
          </w:p>
        </w:tc>
        <w:tc>
          <w:tcPr>
            <w:tcW w:w="1418" w:type="dxa"/>
            <w:shd w:val="clear" w:color="auto" w:fill="auto"/>
          </w:tcPr>
          <w:p w14:paraId="1A44DA60" w14:textId="77777777" w:rsidR="00857A0D" w:rsidRPr="00873B6C" w:rsidRDefault="00857A0D" w:rsidP="00857A0D">
            <w:pPr>
              <w:pStyle w:val="TAC"/>
            </w:pPr>
            <w:r w:rsidRPr="00873B6C">
              <w:t>R</w:t>
            </w:r>
          </w:p>
        </w:tc>
        <w:tc>
          <w:tcPr>
            <w:tcW w:w="1338" w:type="dxa"/>
          </w:tcPr>
          <w:p w14:paraId="5E7A5696" w14:textId="77777777" w:rsidR="00857A0D" w:rsidRPr="00873B6C" w:rsidRDefault="00857A0D" w:rsidP="00857A0D">
            <w:pPr>
              <w:pStyle w:val="TAC"/>
            </w:pPr>
            <w:r w:rsidRPr="00873B6C">
              <w:t>R</w:t>
            </w:r>
          </w:p>
        </w:tc>
        <w:tc>
          <w:tcPr>
            <w:tcW w:w="2126" w:type="dxa"/>
            <w:shd w:val="clear" w:color="auto" w:fill="auto"/>
          </w:tcPr>
          <w:p w14:paraId="16589DCC" w14:textId="77777777" w:rsidR="00857A0D" w:rsidRPr="00873B6C" w:rsidRDefault="00857A0D" w:rsidP="00857A0D">
            <w:pPr>
              <w:pStyle w:val="TAC"/>
            </w:pPr>
          </w:p>
        </w:tc>
      </w:tr>
      <w:tr w:rsidR="00857A0D" w:rsidRPr="00873B6C" w14:paraId="22EE3A2E" w14:textId="77777777" w:rsidTr="00C9561D">
        <w:trPr>
          <w:cantSplit/>
          <w:jc w:val="center"/>
        </w:trPr>
        <w:tc>
          <w:tcPr>
            <w:tcW w:w="5000" w:type="dxa"/>
            <w:shd w:val="clear" w:color="auto" w:fill="auto"/>
          </w:tcPr>
          <w:p w14:paraId="03E87BE3" w14:textId="77777777" w:rsidR="00857A0D" w:rsidRPr="00873B6C" w:rsidRDefault="00857A0D" w:rsidP="00857A0D">
            <w:pPr>
              <w:pStyle w:val="TAL"/>
              <w:rPr>
                <w:b/>
              </w:rPr>
            </w:pPr>
            <w:r w:rsidRPr="00873B6C">
              <w:rPr>
                <w:b/>
                <w:bCs/>
              </w:rPr>
              <w:t xml:space="preserve">Time synchronization information for PTP instances </w:t>
            </w:r>
            <w:r w:rsidRPr="00873B6C">
              <w:rPr>
                <w:b/>
                <w:bCs/>
                <w:lang w:eastAsia="fr-FR"/>
              </w:rPr>
              <w:t>(NOTE 16)</w:t>
            </w:r>
          </w:p>
        </w:tc>
        <w:tc>
          <w:tcPr>
            <w:tcW w:w="1418" w:type="dxa"/>
            <w:shd w:val="clear" w:color="auto" w:fill="auto"/>
          </w:tcPr>
          <w:p w14:paraId="08E56E4A" w14:textId="77777777" w:rsidR="00857A0D" w:rsidRPr="00873B6C" w:rsidDel="00182EE7" w:rsidRDefault="00857A0D" w:rsidP="00857A0D">
            <w:pPr>
              <w:pStyle w:val="TAC"/>
            </w:pPr>
          </w:p>
        </w:tc>
        <w:tc>
          <w:tcPr>
            <w:tcW w:w="1338" w:type="dxa"/>
          </w:tcPr>
          <w:p w14:paraId="64C4B08C" w14:textId="77777777" w:rsidR="00857A0D" w:rsidRPr="00873B6C" w:rsidRDefault="00857A0D" w:rsidP="00857A0D">
            <w:pPr>
              <w:pStyle w:val="TAC"/>
            </w:pPr>
          </w:p>
        </w:tc>
        <w:tc>
          <w:tcPr>
            <w:tcW w:w="2126" w:type="dxa"/>
            <w:shd w:val="clear" w:color="auto" w:fill="auto"/>
          </w:tcPr>
          <w:p w14:paraId="68B5D661" w14:textId="77777777" w:rsidR="00857A0D" w:rsidRPr="00873B6C" w:rsidRDefault="00857A0D" w:rsidP="00857A0D">
            <w:pPr>
              <w:pStyle w:val="TAC"/>
            </w:pPr>
          </w:p>
        </w:tc>
      </w:tr>
      <w:tr w:rsidR="00857A0D" w:rsidRPr="00873B6C" w14:paraId="6187B20C" w14:textId="77777777" w:rsidTr="00C9561D">
        <w:trPr>
          <w:cantSplit/>
          <w:jc w:val="center"/>
        </w:trPr>
        <w:tc>
          <w:tcPr>
            <w:tcW w:w="5000" w:type="dxa"/>
            <w:shd w:val="clear" w:color="auto" w:fill="auto"/>
          </w:tcPr>
          <w:p w14:paraId="283AC29D" w14:textId="77777777" w:rsidR="00857A0D" w:rsidRPr="00873B6C" w:rsidRDefault="00857A0D" w:rsidP="00857A0D">
            <w:pPr>
              <w:pStyle w:val="TAL"/>
              <w:rPr>
                <w:b/>
              </w:rPr>
            </w:pPr>
            <w:r w:rsidRPr="00873B6C">
              <w:rPr>
                <w:b/>
                <w:bCs/>
              </w:rPr>
              <w:t>&gt; PTP instance specification</w:t>
            </w:r>
          </w:p>
        </w:tc>
        <w:tc>
          <w:tcPr>
            <w:tcW w:w="1418" w:type="dxa"/>
            <w:shd w:val="clear" w:color="auto" w:fill="auto"/>
          </w:tcPr>
          <w:p w14:paraId="7148DAF2" w14:textId="77777777" w:rsidR="00857A0D" w:rsidRPr="00873B6C" w:rsidDel="00182EE7" w:rsidRDefault="00857A0D" w:rsidP="00857A0D">
            <w:pPr>
              <w:pStyle w:val="TAC"/>
            </w:pPr>
          </w:p>
        </w:tc>
        <w:tc>
          <w:tcPr>
            <w:tcW w:w="1338" w:type="dxa"/>
          </w:tcPr>
          <w:p w14:paraId="130474EC" w14:textId="77777777" w:rsidR="00857A0D" w:rsidRPr="00873B6C" w:rsidRDefault="00857A0D" w:rsidP="00857A0D">
            <w:pPr>
              <w:pStyle w:val="TAC"/>
            </w:pPr>
          </w:p>
        </w:tc>
        <w:tc>
          <w:tcPr>
            <w:tcW w:w="2126" w:type="dxa"/>
            <w:shd w:val="clear" w:color="auto" w:fill="auto"/>
          </w:tcPr>
          <w:p w14:paraId="2D0630B7" w14:textId="77777777" w:rsidR="00857A0D" w:rsidRPr="00873B6C" w:rsidRDefault="00857A0D" w:rsidP="00857A0D">
            <w:pPr>
              <w:pStyle w:val="TAC"/>
            </w:pPr>
          </w:p>
        </w:tc>
      </w:tr>
      <w:tr w:rsidR="00857A0D" w:rsidRPr="00873B6C" w14:paraId="70DB1140" w14:textId="77777777" w:rsidTr="00C9561D">
        <w:trPr>
          <w:cantSplit/>
          <w:jc w:val="center"/>
        </w:trPr>
        <w:tc>
          <w:tcPr>
            <w:tcW w:w="5000" w:type="dxa"/>
            <w:shd w:val="clear" w:color="auto" w:fill="auto"/>
          </w:tcPr>
          <w:p w14:paraId="2DC660D5" w14:textId="77777777" w:rsidR="00857A0D" w:rsidRPr="00873B6C" w:rsidRDefault="00857A0D" w:rsidP="00857A0D">
            <w:pPr>
              <w:pStyle w:val="TAL"/>
              <w:rPr>
                <w:b/>
              </w:rPr>
            </w:pPr>
            <w:r w:rsidRPr="00873B6C">
              <w:rPr>
                <w:lang w:eastAsia="fr-FR"/>
              </w:rPr>
              <w:t xml:space="preserve">&gt;&gt; PTP Instance ID (NOTE 17) </w:t>
            </w:r>
          </w:p>
        </w:tc>
        <w:tc>
          <w:tcPr>
            <w:tcW w:w="1418" w:type="dxa"/>
            <w:shd w:val="clear" w:color="auto" w:fill="auto"/>
          </w:tcPr>
          <w:p w14:paraId="2E7DA97E" w14:textId="77777777" w:rsidR="00857A0D" w:rsidRPr="00873B6C" w:rsidDel="00182EE7" w:rsidRDefault="00857A0D" w:rsidP="00857A0D">
            <w:pPr>
              <w:pStyle w:val="TAC"/>
            </w:pPr>
            <w:r w:rsidRPr="00873B6C">
              <w:rPr>
                <w:rFonts w:eastAsia="DengXian"/>
              </w:rPr>
              <w:t>RW</w:t>
            </w:r>
          </w:p>
        </w:tc>
        <w:tc>
          <w:tcPr>
            <w:tcW w:w="1338" w:type="dxa"/>
          </w:tcPr>
          <w:p w14:paraId="25DBFFA5" w14:textId="77777777" w:rsidR="00857A0D" w:rsidRPr="00873B6C" w:rsidRDefault="00857A0D" w:rsidP="00857A0D">
            <w:pPr>
              <w:pStyle w:val="TAC"/>
            </w:pPr>
            <w:r w:rsidRPr="00873B6C">
              <w:rPr>
                <w:rFonts w:eastAsia="DengXian"/>
              </w:rPr>
              <w:t>RW</w:t>
            </w:r>
          </w:p>
        </w:tc>
        <w:tc>
          <w:tcPr>
            <w:tcW w:w="2126" w:type="dxa"/>
            <w:shd w:val="clear" w:color="auto" w:fill="auto"/>
          </w:tcPr>
          <w:p w14:paraId="03EB319D" w14:textId="77777777" w:rsidR="00857A0D" w:rsidRPr="00873B6C" w:rsidRDefault="00857A0D" w:rsidP="00857A0D">
            <w:pPr>
              <w:pStyle w:val="TAC"/>
            </w:pPr>
          </w:p>
        </w:tc>
      </w:tr>
      <w:tr w:rsidR="00857A0D" w:rsidRPr="00873B6C" w14:paraId="539E171E" w14:textId="77777777" w:rsidTr="00C9561D">
        <w:trPr>
          <w:cantSplit/>
          <w:jc w:val="center"/>
        </w:trPr>
        <w:tc>
          <w:tcPr>
            <w:tcW w:w="5000" w:type="dxa"/>
            <w:shd w:val="clear" w:color="auto" w:fill="auto"/>
          </w:tcPr>
          <w:p w14:paraId="1F31AD74" w14:textId="77777777" w:rsidR="00857A0D" w:rsidRPr="00873B6C" w:rsidRDefault="00857A0D" w:rsidP="00857A0D">
            <w:pPr>
              <w:pStyle w:val="TAL"/>
              <w:rPr>
                <w:b/>
              </w:rPr>
            </w:pPr>
            <w:r w:rsidRPr="00873B6C">
              <w:rPr>
                <w:rFonts w:eastAsia="DengXian"/>
                <w:lang w:eastAsia="fr-FR"/>
              </w:rPr>
              <w:t>&gt;&gt; PTP profile (NOTE 12)</w:t>
            </w:r>
          </w:p>
        </w:tc>
        <w:tc>
          <w:tcPr>
            <w:tcW w:w="1418" w:type="dxa"/>
            <w:shd w:val="clear" w:color="auto" w:fill="auto"/>
          </w:tcPr>
          <w:p w14:paraId="4FD7EF84" w14:textId="77777777" w:rsidR="00857A0D" w:rsidRPr="00873B6C" w:rsidDel="00182EE7" w:rsidRDefault="00857A0D" w:rsidP="00857A0D">
            <w:pPr>
              <w:pStyle w:val="TAC"/>
            </w:pPr>
            <w:r w:rsidRPr="00873B6C">
              <w:rPr>
                <w:rFonts w:eastAsia="DengXian"/>
              </w:rPr>
              <w:t>RW</w:t>
            </w:r>
          </w:p>
        </w:tc>
        <w:tc>
          <w:tcPr>
            <w:tcW w:w="1338" w:type="dxa"/>
          </w:tcPr>
          <w:p w14:paraId="2A0C7385" w14:textId="77777777" w:rsidR="00857A0D" w:rsidRPr="00873B6C" w:rsidRDefault="00857A0D" w:rsidP="00857A0D">
            <w:pPr>
              <w:pStyle w:val="TAC"/>
            </w:pPr>
            <w:r w:rsidRPr="00873B6C">
              <w:rPr>
                <w:rFonts w:eastAsia="DengXian"/>
              </w:rPr>
              <w:t>RW</w:t>
            </w:r>
          </w:p>
        </w:tc>
        <w:tc>
          <w:tcPr>
            <w:tcW w:w="2126" w:type="dxa"/>
            <w:shd w:val="clear" w:color="auto" w:fill="auto"/>
          </w:tcPr>
          <w:p w14:paraId="3AB8839E" w14:textId="77777777" w:rsidR="00857A0D" w:rsidRPr="00873B6C" w:rsidRDefault="00857A0D" w:rsidP="00857A0D">
            <w:pPr>
              <w:pStyle w:val="TAC"/>
            </w:pPr>
          </w:p>
        </w:tc>
      </w:tr>
      <w:tr w:rsidR="00857A0D" w:rsidRPr="00873B6C" w14:paraId="6E02BF25" w14:textId="77777777" w:rsidTr="00C9561D">
        <w:trPr>
          <w:cantSplit/>
          <w:jc w:val="center"/>
        </w:trPr>
        <w:tc>
          <w:tcPr>
            <w:tcW w:w="5000" w:type="dxa"/>
            <w:shd w:val="clear" w:color="auto" w:fill="auto"/>
          </w:tcPr>
          <w:p w14:paraId="72E9C81D" w14:textId="77777777" w:rsidR="00857A0D" w:rsidRPr="00873B6C" w:rsidRDefault="00857A0D" w:rsidP="00857A0D">
            <w:pPr>
              <w:pStyle w:val="TAL"/>
              <w:rPr>
                <w:b/>
              </w:rPr>
            </w:pPr>
            <w:r w:rsidRPr="00873B6C">
              <w:rPr>
                <w:rFonts w:eastAsia="DengXian"/>
                <w:lang w:eastAsia="fr-FR"/>
              </w:rPr>
              <w:t>&gt;&gt; Transport type (NOTE 13)</w:t>
            </w:r>
          </w:p>
        </w:tc>
        <w:tc>
          <w:tcPr>
            <w:tcW w:w="1418" w:type="dxa"/>
            <w:shd w:val="clear" w:color="auto" w:fill="auto"/>
          </w:tcPr>
          <w:p w14:paraId="0DAF0829" w14:textId="77777777" w:rsidR="00857A0D" w:rsidRPr="00873B6C" w:rsidDel="00182EE7" w:rsidRDefault="00857A0D" w:rsidP="00857A0D">
            <w:pPr>
              <w:pStyle w:val="TAC"/>
            </w:pPr>
            <w:r w:rsidRPr="00873B6C">
              <w:rPr>
                <w:rFonts w:eastAsia="DengXian"/>
              </w:rPr>
              <w:t>RW</w:t>
            </w:r>
          </w:p>
        </w:tc>
        <w:tc>
          <w:tcPr>
            <w:tcW w:w="1338" w:type="dxa"/>
          </w:tcPr>
          <w:p w14:paraId="0ED8B7AF" w14:textId="77777777" w:rsidR="00857A0D" w:rsidRPr="00873B6C" w:rsidRDefault="00857A0D" w:rsidP="00857A0D">
            <w:pPr>
              <w:pStyle w:val="TAC"/>
            </w:pPr>
            <w:r w:rsidRPr="00873B6C">
              <w:rPr>
                <w:rFonts w:eastAsia="DengXian"/>
              </w:rPr>
              <w:t>RW</w:t>
            </w:r>
          </w:p>
        </w:tc>
        <w:tc>
          <w:tcPr>
            <w:tcW w:w="2126" w:type="dxa"/>
            <w:shd w:val="clear" w:color="auto" w:fill="auto"/>
          </w:tcPr>
          <w:p w14:paraId="2B0B5D30" w14:textId="77777777" w:rsidR="00857A0D" w:rsidRPr="00873B6C" w:rsidRDefault="00857A0D" w:rsidP="00857A0D">
            <w:pPr>
              <w:pStyle w:val="TAC"/>
            </w:pPr>
          </w:p>
        </w:tc>
      </w:tr>
      <w:tr w:rsidR="00857A0D" w:rsidRPr="00873B6C" w14:paraId="46C15502" w14:textId="77777777" w:rsidTr="00C9561D">
        <w:trPr>
          <w:cantSplit/>
          <w:jc w:val="center"/>
        </w:trPr>
        <w:tc>
          <w:tcPr>
            <w:tcW w:w="5000" w:type="dxa"/>
            <w:shd w:val="clear" w:color="auto" w:fill="auto"/>
          </w:tcPr>
          <w:p w14:paraId="7A6BDDEE" w14:textId="77777777" w:rsidR="00857A0D" w:rsidRPr="00873B6C" w:rsidRDefault="00857A0D" w:rsidP="00857A0D">
            <w:pPr>
              <w:pStyle w:val="TAL"/>
              <w:rPr>
                <w:b/>
              </w:rPr>
            </w:pPr>
            <w:r w:rsidRPr="00873B6C">
              <w:rPr>
                <w:rFonts w:eastAsia="DengXian"/>
                <w:lang w:eastAsia="zh-CN"/>
              </w:rPr>
              <w:t xml:space="preserve">&gt;&gt; </w:t>
            </w:r>
            <w:r w:rsidRPr="00873B6C">
              <w:rPr>
                <w:rFonts w:eastAsia="DengXian"/>
                <w:lang w:eastAsia="fr-FR"/>
              </w:rPr>
              <w:t>Grandmaster candidate enabled</w:t>
            </w:r>
          </w:p>
        </w:tc>
        <w:tc>
          <w:tcPr>
            <w:tcW w:w="1418" w:type="dxa"/>
            <w:shd w:val="clear" w:color="auto" w:fill="auto"/>
          </w:tcPr>
          <w:p w14:paraId="172DFE75" w14:textId="77777777" w:rsidR="00857A0D" w:rsidRPr="00873B6C" w:rsidDel="00182EE7" w:rsidRDefault="00857A0D" w:rsidP="00857A0D">
            <w:pPr>
              <w:pStyle w:val="TAC"/>
            </w:pPr>
            <w:r w:rsidRPr="00873B6C">
              <w:rPr>
                <w:rFonts w:eastAsia="DengXian"/>
                <w:lang w:eastAsia="zh-CN"/>
              </w:rPr>
              <w:t>RW</w:t>
            </w:r>
          </w:p>
        </w:tc>
        <w:tc>
          <w:tcPr>
            <w:tcW w:w="1338" w:type="dxa"/>
          </w:tcPr>
          <w:p w14:paraId="5A877FE1" w14:textId="77777777" w:rsidR="00857A0D" w:rsidRPr="00873B6C" w:rsidRDefault="00857A0D" w:rsidP="00857A0D">
            <w:pPr>
              <w:pStyle w:val="TAC"/>
            </w:pPr>
            <w:r w:rsidRPr="00873B6C">
              <w:rPr>
                <w:rFonts w:eastAsia="DengXian"/>
                <w:lang w:eastAsia="zh-CN"/>
              </w:rPr>
              <w:t>RW</w:t>
            </w:r>
          </w:p>
        </w:tc>
        <w:tc>
          <w:tcPr>
            <w:tcW w:w="2126" w:type="dxa"/>
            <w:shd w:val="clear" w:color="auto" w:fill="auto"/>
          </w:tcPr>
          <w:p w14:paraId="1B41CF7B" w14:textId="77777777" w:rsidR="00857A0D" w:rsidRPr="00873B6C" w:rsidRDefault="00857A0D" w:rsidP="00857A0D">
            <w:pPr>
              <w:pStyle w:val="TAC"/>
            </w:pPr>
          </w:p>
        </w:tc>
      </w:tr>
      <w:tr w:rsidR="00857A0D" w:rsidRPr="00873B6C" w14:paraId="1665DA73" w14:textId="77777777" w:rsidTr="00C9561D">
        <w:trPr>
          <w:cantSplit/>
          <w:jc w:val="center"/>
        </w:trPr>
        <w:tc>
          <w:tcPr>
            <w:tcW w:w="5000" w:type="dxa"/>
            <w:shd w:val="clear" w:color="auto" w:fill="auto"/>
          </w:tcPr>
          <w:p w14:paraId="01E717D4" w14:textId="77777777" w:rsidR="00857A0D" w:rsidRPr="00873B6C" w:rsidRDefault="00857A0D" w:rsidP="00857A0D">
            <w:pPr>
              <w:pStyle w:val="TAL"/>
              <w:rPr>
                <w:b/>
              </w:rPr>
            </w:pPr>
            <w:r w:rsidRPr="00873B6C">
              <w:rPr>
                <w:b/>
                <w:bCs/>
                <w:lang w:eastAsia="fr-FR"/>
              </w:rPr>
              <w:t>IEEE Std 1588 [126] data sets (NOTE 15)</w:t>
            </w:r>
          </w:p>
        </w:tc>
        <w:tc>
          <w:tcPr>
            <w:tcW w:w="1418" w:type="dxa"/>
            <w:shd w:val="clear" w:color="auto" w:fill="auto"/>
          </w:tcPr>
          <w:p w14:paraId="1989DB49" w14:textId="77777777" w:rsidR="00857A0D" w:rsidRPr="00873B6C" w:rsidDel="00182EE7" w:rsidRDefault="00857A0D" w:rsidP="00857A0D">
            <w:pPr>
              <w:pStyle w:val="TAC"/>
            </w:pPr>
          </w:p>
        </w:tc>
        <w:tc>
          <w:tcPr>
            <w:tcW w:w="1338" w:type="dxa"/>
          </w:tcPr>
          <w:p w14:paraId="58AE4CFF" w14:textId="77777777" w:rsidR="00857A0D" w:rsidRPr="00873B6C" w:rsidRDefault="00857A0D" w:rsidP="00857A0D">
            <w:pPr>
              <w:pStyle w:val="TAC"/>
            </w:pPr>
          </w:p>
        </w:tc>
        <w:tc>
          <w:tcPr>
            <w:tcW w:w="2126" w:type="dxa"/>
            <w:shd w:val="clear" w:color="auto" w:fill="auto"/>
          </w:tcPr>
          <w:p w14:paraId="31CCBC70" w14:textId="77777777" w:rsidR="00857A0D" w:rsidRPr="00873B6C" w:rsidRDefault="00857A0D" w:rsidP="00857A0D">
            <w:pPr>
              <w:pStyle w:val="TAC"/>
            </w:pPr>
          </w:p>
        </w:tc>
      </w:tr>
      <w:tr w:rsidR="00857A0D" w:rsidRPr="00873B6C" w14:paraId="1098E110" w14:textId="77777777" w:rsidTr="00C9561D">
        <w:trPr>
          <w:cantSplit/>
          <w:jc w:val="center"/>
        </w:trPr>
        <w:tc>
          <w:tcPr>
            <w:tcW w:w="5000" w:type="dxa"/>
            <w:shd w:val="clear" w:color="auto" w:fill="auto"/>
          </w:tcPr>
          <w:p w14:paraId="5C7A255F" w14:textId="77777777" w:rsidR="00857A0D" w:rsidRPr="00873B6C" w:rsidRDefault="00857A0D" w:rsidP="00857A0D">
            <w:pPr>
              <w:pStyle w:val="TAL"/>
              <w:rPr>
                <w:b/>
              </w:rPr>
            </w:pPr>
            <w:r w:rsidRPr="00873B6C">
              <w:rPr>
                <w:lang w:eastAsia="fr-FR"/>
              </w:rPr>
              <w:t>&gt;&gt; defaultDS.clockIdentity</w:t>
            </w:r>
          </w:p>
        </w:tc>
        <w:tc>
          <w:tcPr>
            <w:tcW w:w="1418" w:type="dxa"/>
            <w:shd w:val="clear" w:color="auto" w:fill="auto"/>
          </w:tcPr>
          <w:p w14:paraId="54F8A52C" w14:textId="77777777" w:rsidR="00857A0D" w:rsidRPr="00873B6C" w:rsidDel="00182EE7" w:rsidRDefault="00857A0D" w:rsidP="00857A0D">
            <w:pPr>
              <w:pStyle w:val="TAC"/>
            </w:pPr>
            <w:r w:rsidRPr="00873B6C">
              <w:rPr>
                <w:rFonts w:eastAsia="DengXian"/>
              </w:rPr>
              <w:t>RW</w:t>
            </w:r>
          </w:p>
        </w:tc>
        <w:tc>
          <w:tcPr>
            <w:tcW w:w="1338" w:type="dxa"/>
          </w:tcPr>
          <w:p w14:paraId="61E565E5" w14:textId="77777777" w:rsidR="00857A0D" w:rsidRPr="00873B6C" w:rsidRDefault="00857A0D" w:rsidP="00857A0D">
            <w:pPr>
              <w:pStyle w:val="TAC"/>
            </w:pPr>
            <w:r w:rsidRPr="00873B6C">
              <w:rPr>
                <w:rFonts w:eastAsia="DengXian"/>
              </w:rPr>
              <w:t>RW</w:t>
            </w:r>
          </w:p>
        </w:tc>
        <w:tc>
          <w:tcPr>
            <w:tcW w:w="2126" w:type="dxa"/>
            <w:shd w:val="clear" w:color="auto" w:fill="auto"/>
          </w:tcPr>
          <w:p w14:paraId="3882E506" w14:textId="77777777" w:rsidR="00857A0D" w:rsidRPr="00873B6C" w:rsidRDefault="00857A0D" w:rsidP="00857A0D">
            <w:pPr>
              <w:pStyle w:val="TAC"/>
            </w:pPr>
            <w:r w:rsidRPr="00873B6C">
              <w:rPr>
                <w:rFonts w:eastAsia="DengXian"/>
                <w:lang w:eastAsia="fr-FR"/>
              </w:rPr>
              <w:t>IEEE Std 1588 [126] clause 8.2.1.2.2</w:t>
            </w:r>
          </w:p>
        </w:tc>
      </w:tr>
      <w:tr w:rsidR="00857A0D" w:rsidRPr="00873B6C" w14:paraId="6545F76E" w14:textId="77777777" w:rsidTr="00C9561D">
        <w:trPr>
          <w:cantSplit/>
          <w:jc w:val="center"/>
        </w:trPr>
        <w:tc>
          <w:tcPr>
            <w:tcW w:w="5000" w:type="dxa"/>
            <w:shd w:val="clear" w:color="auto" w:fill="auto"/>
          </w:tcPr>
          <w:p w14:paraId="53FEDA09" w14:textId="77777777" w:rsidR="00857A0D" w:rsidRPr="00873B6C" w:rsidRDefault="00857A0D" w:rsidP="00857A0D">
            <w:pPr>
              <w:pStyle w:val="TAL"/>
              <w:rPr>
                <w:b/>
              </w:rPr>
            </w:pPr>
            <w:r w:rsidRPr="00873B6C">
              <w:rPr>
                <w:lang w:eastAsia="fr-FR"/>
              </w:rPr>
              <w:t>&gt;&gt; defaultDS.clockQuality.clockClass</w:t>
            </w:r>
          </w:p>
        </w:tc>
        <w:tc>
          <w:tcPr>
            <w:tcW w:w="1418" w:type="dxa"/>
            <w:shd w:val="clear" w:color="auto" w:fill="auto"/>
          </w:tcPr>
          <w:p w14:paraId="72FF6016" w14:textId="77777777" w:rsidR="00857A0D" w:rsidRPr="00873B6C" w:rsidDel="00182EE7" w:rsidRDefault="00857A0D" w:rsidP="00857A0D">
            <w:pPr>
              <w:pStyle w:val="TAC"/>
            </w:pPr>
            <w:r w:rsidRPr="00873B6C">
              <w:rPr>
                <w:rFonts w:eastAsia="DengXian"/>
              </w:rPr>
              <w:t>RW</w:t>
            </w:r>
          </w:p>
        </w:tc>
        <w:tc>
          <w:tcPr>
            <w:tcW w:w="1338" w:type="dxa"/>
          </w:tcPr>
          <w:p w14:paraId="4A161D82" w14:textId="77777777" w:rsidR="00857A0D" w:rsidRPr="00873B6C" w:rsidRDefault="00857A0D" w:rsidP="00857A0D">
            <w:pPr>
              <w:pStyle w:val="TAC"/>
            </w:pPr>
            <w:r w:rsidRPr="00873B6C">
              <w:rPr>
                <w:rFonts w:eastAsia="DengXian"/>
              </w:rPr>
              <w:t>RW</w:t>
            </w:r>
          </w:p>
        </w:tc>
        <w:tc>
          <w:tcPr>
            <w:tcW w:w="2126" w:type="dxa"/>
            <w:shd w:val="clear" w:color="auto" w:fill="auto"/>
          </w:tcPr>
          <w:p w14:paraId="4D76E542" w14:textId="77777777" w:rsidR="00857A0D" w:rsidRPr="00873B6C" w:rsidRDefault="00857A0D" w:rsidP="00857A0D">
            <w:pPr>
              <w:pStyle w:val="TAC"/>
            </w:pPr>
            <w:r w:rsidRPr="00873B6C">
              <w:rPr>
                <w:rFonts w:eastAsia="DengXian"/>
                <w:lang w:eastAsia="fr-FR"/>
              </w:rPr>
              <w:t>IEEE Std 1588 [126] clause 8.2.1.3.1.2</w:t>
            </w:r>
          </w:p>
        </w:tc>
      </w:tr>
      <w:tr w:rsidR="00857A0D" w:rsidRPr="00873B6C" w14:paraId="637996BB" w14:textId="77777777" w:rsidTr="00C9561D">
        <w:trPr>
          <w:cantSplit/>
          <w:jc w:val="center"/>
        </w:trPr>
        <w:tc>
          <w:tcPr>
            <w:tcW w:w="5000" w:type="dxa"/>
            <w:shd w:val="clear" w:color="auto" w:fill="auto"/>
          </w:tcPr>
          <w:p w14:paraId="48322ABA" w14:textId="77777777" w:rsidR="00857A0D" w:rsidRPr="00873B6C" w:rsidRDefault="00857A0D" w:rsidP="00857A0D">
            <w:pPr>
              <w:pStyle w:val="TAL"/>
              <w:rPr>
                <w:b/>
              </w:rPr>
            </w:pPr>
            <w:r w:rsidRPr="00873B6C">
              <w:rPr>
                <w:lang w:eastAsia="fr-FR"/>
              </w:rPr>
              <w:t>&gt;&gt; defaultDS.clockQuality.clockAccuracy</w:t>
            </w:r>
          </w:p>
        </w:tc>
        <w:tc>
          <w:tcPr>
            <w:tcW w:w="1418" w:type="dxa"/>
            <w:shd w:val="clear" w:color="auto" w:fill="auto"/>
          </w:tcPr>
          <w:p w14:paraId="479DED66" w14:textId="77777777" w:rsidR="00857A0D" w:rsidRPr="00873B6C" w:rsidDel="00182EE7" w:rsidRDefault="00857A0D" w:rsidP="00857A0D">
            <w:pPr>
              <w:pStyle w:val="TAC"/>
            </w:pPr>
            <w:r w:rsidRPr="00873B6C">
              <w:rPr>
                <w:rFonts w:eastAsia="DengXian"/>
              </w:rPr>
              <w:t>RW</w:t>
            </w:r>
          </w:p>
        </w:tc>
        <w:tc>
          <w:tcPr>
            <w:tcW w:w="1338" w:type="dxa"/>
          </w:tcPr>
          <w:p w14:paraId="10A93501" w14:textId="77777777" w:rsidR="00857A0D" w:rsidRPr="00873B6C" w:rsidRDefault="00857A0D" w:rsidP="00857A0D">
            <w:pPr>
              <w:pStyle w:val="TAC"/>
            </w:pPr>
            <w:r w:rsidRPr="00873B6C">
              <w:rPr>
                <w:rFonts w:eastAsia="DengXian"/>
              </w:rPr>
              <w:t>RW</w:t>
            </w:r>
          </w:p>
        </w:tc>
        <w:tc>
          <w:tcPr>
            <w:tcW w:w="2126" w:type="dxa"/>
            <w:shd w:val="clear" w:color="auto" w:fill="auto"/>
          </w:tcPr>
          <w:p w14:paraId="46631DC3" w14:textId="77777777" w:rsidR="00857A0D" w:rsidRPr="00873B6C" w:rsidRDefault="00857A0D" w:rsidP="00857A0D">
            <w:pPr>
              <w:pStyle w:val="TAC"/>
            </w:pPr>
            <w:r w:rsidRPr="00873B6C">
              <w:rPr>
                <w:rFonts w:eastAsia="DengXian"/>
                <w:lang w:eastAsia="fr-FR"/>
              </w:rPr>
              <w:t>IEEE Std 1588 [126] clause 8.2.1.3.1.3</w:t>
            </w:r>
          </w:p>
        </w:tc>
      </w:tr>
      <w:tr w:rsidR="00857A0D" w:rsidRPr="00873B6C" w14:paraId="172B9D45" w14:textId="77777777" w:rsidTr="00C9561D">
        <w:trPr>
          <w:cantSplit/>
          <w:jc w:val="center"/>
        </w:trPr>
        <w:tc>
          <w:tcPr>
            <w:tcW w:w="5000" w:type="dxa"/>
            <w:shd w:val="clear" w:color="auto" w:fill="auto"/>
          </w:tcPr>
          <w:p w14:paraId="4A987C6B" w14:textId="77777777" w:rsidR="00857A0D" w:rsidRPr="00873B6C" w:rsidRDefault="00857A0D" w:rsidP="00857A0D">
            <w:pPr>
              <w:pStyle w:val="TAL"/>
              <w:rPr>
                <w:b/>
              </w:rPr>
            </w:pPr>
            <w:r w:rsidRPr="00873B6C">
              <w:rPr>
                <w:lang w:eastAsia="fr-FR"/>
              </w:rPr>
              <w:t>&gt;&gt; defaultDS.clockQuality.offsetScaledLogVariance</w:t>
            </w:r>
          </w:p>
        </w:tc>
        <w:tc>
          <w:tcPr>
            <w:tcW w:w="1418" w:type="dxa"/>
            <w:shd w:val="clear" w:color="auto" w:fill="auto"/>
          </w:tcPr>
          <w:p w14:paraId="56E9F1B5" w14:textId="77777777" w:rsidR="00857A0D" w:rsidRPr="00873B6C" w:rsidDel="00182EE7" w:rsidRDefault="00857A0D" w:rsidP="00857A0D">
            <w:pPr>
              <w:pStyle w:val="TAC"/>
            </w:pPr>
            <w:r w:rsidRPr="00873B6C" w:rsidDel="00A863FD">
              <w:rPr>
                <w:rFonts w:eastAsia="DengXian"/>
              </w:rPr>
              <w:t>RW</w:t>
            </w:r>
          </w:p>
        </w:tc>
        <w:tc>
          <w:tcPr>
            <w:tcW w:w="1338" w:type="dxa"/>
          </w:tcPr>
          <w:p w14:paraId="67EA889D" w14:textId="77777777" w:rsidR="00857A0D" w:rsidRPr="00873B6C" w:rsidRDefault="00857A0D" w:rsidP="00857A0D">
            <w:pPr>
              <w:pStyle w:val="TAC"/>
            </w:pPr>
            <w:r w:rsidRPr="00873B6C">
              <w:rPr>
                <w:rFonts w:eastAsia="DengXian"/>
              </w:rPr>
              <w:t>RW</w:t>
            </w:r>
          </w:p>
        </w:tc>
        <w:tc>
          <w:tcPr>
            <w:tcW w:w="2126" w:type="dxa"/>
            <w:shd w:val="clear" w:color="auto" w:fill="auto"/>
          </w:tcPr>
          <w:p w14:paraId="2B87E366" w14:textId="77777777" w:rsidR="00857A0D" w:rsidRPr="00873B6C" w:rsidRDefault="00857A0D" w:rsidP="00857A0D">
            <w:pPr>
              <w:pStyle w:val="TAC"/>
            </w:pPr>
            <w:r w:rsidRPr="00873B6C">
              <w:rPr>
                <w:rFonts w:eastAsia="DengXian"/>
                <w:lang w:eastAsia="fr-FR"/>
              </w:rPr>
              <w:t>IEEE Std 1588 [126] clause 8.2.1.3.1.4</w:t>
            </w:r>
          </w:p>
        </w:tc>
      </w:tr>
      <w:tr w:rsidR="00857A0D" w:rsidRPr="00873B6C" w14:paraId="2AEA3095" w14:textId="77777777" w:rsidTr="00C9561D">
        <w:trPr>
          <w:cantSplit/>
          <w:jc w:val="center"/>
        </w:trPr>
        <w:tc>
          <w:tcPr>
            <w:tcW w:w="5000" w:type="dxa"/>
            <w:shd w:val="clear" w:color="auto" w:fill="auto"/>
          </w:tcPr>
          <w:p w14:paraId="7F3D120A" w14:textId="77777777" w:rsidR="00857A0D" w:rsidRPr="00873B6C" w:rsidRDefault="00857A0D" w:rsidP="00857A0D">
            <w:pPr>
              <w:pStyle w:val="TAL"/>
              <w:rPr>
                <w:b/>
              </w:rPr>
            </w:pPr>
            <w:r w:rsidRPr="00873B6C">
              <w:rPr>
                <w:lang w:eastAsia="fr-FR"/>
              </w:rPr>
              <w:t>&gt;&gt; defaultDS.priority1</w:t>
            </w:r>
          </w:p>
        </w:tc>
        <w:tc>
          <w:tcPr>
            <w:tcW w:w="1418" w:type="dxa"/>
            <w:shd w:val="clear" w:color="auto" w:fill="auto"/>
          </w:tcPr>
          <w:p w14:paraId="64EA0FC1" w14:textId="77777777" w:rsidR="00857A0D" w:rsidRPr="00873B6C" w:rsidDel="00182EE7" w:rsidRDefault="00857A0D" w:rsidP="00857A0D">
            <w:pPr>
              <w:pStyle w:val="TAC"/>
            </w:pPr>
            <w:r w:rsidRPr="00873B6C">
              <w:rPr>
                <w:rFonts w:eastAsia="DengXian"/>
              </w:rPr>
              <w:t>RW</w:t>
            </w:r>
          </w:p>
        </w:tc>
        <w:tc>
          <w:tcPr>
            <w:tcW w:w="1338" w:type="dxa"/>
          </w:tcPr>
          <w:p w14:paraId="026B3E5A" w14:textId="77777777" w:rsidR="00857A0D" w:rsidRPr="00873B6C" w:rsidRDefault="00857A0D" w:rsidP="00857A0D">
            <w:pPr>
              <w:pStyle w:val="TAC"/>
            </w:pPr>
            <w:r w:rsidRPr="00873B6C">
              <w:rPr>
                <w:rFonts w:eastAsia="DengXian"/>
              </w:rPr>
              <w:t>RW</w:t>
            </w:r>
          </w:p>
        </w:tc>
        <w:tc>
          <w:tcPr>
            <w:tcW w:w="2126" w:type="dxa"/>
            <w:shd w:val="clear" w:color="auto" w:fill="auto"/>
          </w:tcPr>
          <w:p w14:paraId="6743B100" w14:textId="77777777" w:rsidR="00857A0D" w:rsidRPr="00873B6C" w:rsidRDefault="00857A0D" w:rsidP="00857A0D">
            <w:pPr>
              <w:pStyle w:val="TAC"/>
            </w:pPr>
            <w:r w:rsidRPr="00873B6C">
              <w:rPr>
                <w:rFonts w:eastAsia="DengXian"/>
                <w:lang w:eastAsia="fr-FR"/>
              </w:rPr>
              <w:t>IEEE Std 1588 [126] clause 8.2.1.4.1</w:t>
            </w:r>
          </w:p>
        </w:tc>
      </w:tr>
      <w:tr w:rsidR="00857A0D" w:rsidRPr="00873B6C" w14:paraId="1D26E1F3" w14:textId="77777777" w:rsidTr="00C9561D">
        <w:trPr>
          <w:cantSplit/>
          <w:jc w:val="center"/>
        </w:trPr>
        <w:tc>
          <w:tcPr>
            <w:tcW w:w="5000" w:type="dxa"/>
            <w:shd w:val="clear" w:color="auto" w:fill="auto"/>
          </w:tcPr>
          <w:p w14:paraId="75569DF7" w14:textId="77777777" w:rsidR="00857A0D" w:rsidRPr="00873B6C" w:rsidRDefault="00857A0D" w:rsidP="00857A0D">
            <w:pPr>
              <w:pStyle w:val="TAL"/>
              <w:rPr>
                <w:b/>
              </w:rPr>
            </w:pPr>
            <w:r w:rsidRPr="00873B6C">
              <w:rPr>
                <w:lang w:eastAsia="fr-FR"/>
              </w:rPr>
              <w:t>&gt;&gt; defaultDS.priority2</w:t>
            </w:r>
          </w:p>
        </w:tc>
        <w:tc>
          <w:tcPr>
            <w:tcW w:w="1418" w:type="dxa"/>
            <w:shd w:val="clear" w:color="auto" w:fill="auto"/>
          </w:tcPr>
          <w:p w14:paraId="16F704C5" w14:textId="77777777" w:rsidR="00857A0D" w:rsidRPr="00873B6C" w:rsidDel="00182EE7" w:rsidRDefault="00857A0D" w:rsidP="00857A0D">
            <w:pPr>
              <w:pStyle w:val="TAC"/>
            </w:pPr>
            <w:r w:rsidRPr="00873B6C">
              <w:rPr>
                <w:rFonts w:eastAsia="DengXian"/>
              </w:rPr>
              <w:t>RW</w:t>
            </w:r>
          </w:p>
        </w:tc>
        <w:tc>
          <w:tcPr>
            <w:tcW w:w="1338" w:type="dxa"/>
          </w:tcPr>
          <w:p w14:paraId="1D7EACBF" w14:textId="77777777" w:rsidR="00857A0D" w:rsidRPr="00873B6C" w:rsidRDefault="00857A0D" w:rsidP="00857A0D">
            <w:pPr>
              <w:pStyle w:val="TAC"/>
            </w:pPr>
            <w:r w:rsidRPr="00873B6C">
              <w:rPr>
                <w:rFonts w:eastAsia="DengXian"/>
              </w:rPr>
              <w:t>RW</w:t>
            </w:r>
          </w:p>
        </w:tc>
        <w:tc>
          <w:tcPr>
            <w:tcW w:w="2126" w:type="dxa"/>
            <w:shd w:val="clear" w:color="auto" w:fill="auto"/>
          </w:tcPr>
          <w:p w14:paraId="1FB5D130" w14:textId="77777777" w:rsidR="00857A0D" w:rsidRPr="00873B6C" w:rsidRDefault="00857A0D" w:rsidP="00857A0D">
            <w:pPr>
              <w:pStyle w:val="TAC"/>
            </w:pPr>
            <w:r w:rsidRPr="00873B6C">
              <w:rPr>
                <w:rFonts w:eastAsia="DengXian"/>
                <w:lang w:eastAsia="fr-FR"/>
              </w:rPr>
              <w:t>IEEE Std 1588 [126] clause 8.2.1.4.2</w:t>
            </w:r>
          </w:p>
        </w:tc>
      </w:tr>
      <w:tr w:rsidR="00857A0D" w:rsidRPr="00873B6C" w14:paraId="67427AA7" w14:textId="77777777" w:rsidTr="00C9561D">
        <w:trPr>
          <w:cantSplit/>
          <w:jc w:val="center"/>
        </w:trPr>
        <w:tc>
          <w:tcPr>
            <w:tcW w:w="5000" w:type="dxa"/>
            <w:shd w:val="clear" w:color="auto" w:fill="auto"/>
          </w:tcPr>
          <w:p w14:paraId="77B6F400" w14:textId="77777777" w:rsidR="00857A0D" w:rsidRPr="00873B6C" w:rsidRDefault="00857A0D" w:rsidP="00857A0D">
            <w:pPr>
              <w:pStyle w:val="TAL"/>
              <w:rPr>
                <w:b/>
              </w:rPr>
            </w:pPr>
            <w:r w:rsidRPr="00873B6C">
              <w:rPr>
                <w:lang w:eastAsia="fr-FR"/>
              </w:rPr>
              <w:t>&gt;&gt; defaultDS.domainNumber</w:t>
            </w:r>
          </w:p>
        </w:tc>
        <w:tc>
          <w:tcPr>
            <w:tcW w:w="1418" w:type="dxa"/>
            <w:shd w:val="clear" w:color="auto" w:fill="auto"/>
          </w:tcPr>
          <w:p w14:paraId="40BBA434" w14:textId="77777777" w:rsidR="00857A0D" w:rsidRPr="00873B6C" w:rsidDel="00182EE7" w:rsidRDefault="00857A0D" w:rsidP="00857A0D">
            <w:pPr>
              <w:pStyle w:val="TAC"/>
            </w:pPr>
            <w:r w:rsidRPr="00873B6C">
              <w:rPr>
                <w:rFonts w:eastAsia="DengXian"/>
              </w:rPr>
              <w:t>RW</w:t>
            </w:r>
          </w:p>
        </w:tc>
        <w:tc>
          <w:tcPr>
            <w:tcW w:w="1338" w:type="dxa"/>
          </w:tcPr>
          <w:p w14:paraId="799730A2" w14:textId="77777777" w:rsidR="00857A0D" w:rsidRPr="00873B6C" w:rsidRDefault="00857A0D" w:rsidP="00857A0D">
            <w:pPr>
              <w:pStyle w:val="TAC"/>
            </w:pPr>
            <w:r w:rsidRPr="00873B6C">
              <w:rPr>
                <w:rFonts w:eastAsia="DengXian"/>
              </w:rPr>
              <w:t>RW</w:t>
            </w:r>
          </w:p>
        </w:tc>
        <w:tc>
          <w:tcPr>
            <w:tcW w:w="2126" w:type="dxa"/>
            <w:shd w:val="clear" w:color="auto" w:fill="auto"/>
          </w:tcPr>
          <w:p w14:paraId="3831BD93" w14:textId="77777777" w:rsidR="00857A0D" w:rsidRPr="00873B6C" w:rsidRDefault="00857A0D" w:rsidP="00857A0D">
            <w:pPr>
              <w:pStyle w:val="TAC"/>
            </w:pPr>
            <w:r w:rsidRPr="00873B6C">
              <w:rPr>
                <w:rFonts w:eastAsia="DengXian"/>
                <w:lang w:eastAsia="fr-FR"/>
              </w:rPr>
              <w:t>IEEE Std 1588 [126] clause 8.2.1.4.3</w:t>
            </w:r>
          </w:p>
        </w:tc>
      </w:tr>
      <w:tr w:rsidR="00857A0D" w:rsidRPr="00873B6C" w14:paraId="22CF85C2" w14:textId="77777777" w:rsidTr="00C9561D">
        <w:trPr>
          <w:cantSplit/>
          <w:jc w:val="center"/>
        </w:trPr>
        <w:tc>
          <w:tcPr>
            <w:tcW w:w="5000" w:type="dxa"/>
            <w:shd w:val="clear" w:color="auto" w:fill="auto"/>
          </w:tcPr>
          <w:p w14:paraId="7C685917" w14:textId="77777777" w:rsidR="00857A0D" w:rsidRPr="00873B6C" w:rsidRDefault="00857A0D" w:rsidP="00857A0D">
            <w:pPr>
              <w:pStyle w:val="TAL"/>
              <w:rPr>
                <w:b/>
              </w:rPr>
            </w:pPr>
            <w:r w:rsidRPr="00873B6C">
              <w:rPr>
                <w:lang w:eastAsia="fr-FR"/>
              </w:rPr>
              <w:t>&gt;&gt; defaultDS.sdoId</w:t>
            </w:r>
          </w:p>
        </w:tc>
        <w:tc>
          <w:tcPr>
            <w:tcW w:w="1418" w:type="dxa"/>
            <w:shd w:val="clear" w:color="auto" w:fill="auto"/>
          </w:tcPr>
          <w:p w14:paraId="4A2ED44C" w14:textId="77777777" w:rsidR="00857A0D" w:rsidRPr="00873B6C" w:rsidDel="00182EE7" w:rsidRDefault="00857A0D" w:rsidP="00857A0D">
            <w:pPr>
              <w:pStyle w:val="TAC"/>
            </w:pPr>
            <w:r w:rsidRPr="00873B6C" w:rsidDel="00A863FD">
              <w:rPr>
                <w:rFonts w:eastAsia="DengXian"/>
              </w:rPr>
              <w:t>RW</w:t>
            </w:r>
          </w:p>
        </w:tc>
        <w:tc>
          <w:tcPr>
            <w:tcW w:w="1338" w:type="dxa"/>
          </w:tcPr>
          <w:p w14:paraId="019334B7" w14:textId="77777777" w:rsidR="00857A0D" w:rsidRPr="00873B6C" w:rsidRDefault="00857A0D" w:rsidP="00857A0D">
            <w:pPr>
              <w:pStyle w:val="TAC"/>
            </w:pPr>
            <w:r w:rsidRPr="00873B6C">
              <w:rPr>
                <w:rFonts w:eastAsia="DengXian"/>
              </w:rPr>
              <w:t>RW</w:t>
            </w:r>
          </w:p>
        </w:tc>
        <w:tc>
          <w:tcPr>
            <w:tcW w:w="2126" w:type="dxa"/>
            <w:shd w:val="clear" w:color="auto" w:fill="auto"/>
          </w:tcPr>
          <w:p w14:paraId="075A0070" w14:textId="77777777" w:rsidR="00857A0D" w:rsidRPr="00873B6C" w:rsidRDefault="00857A0D" w:rsidP="00857A0D">
            <w:pPr>
              <w:pStyle w:val="TAC"/>
            </w:pPr>
            <w:r w:rsidRPr="00873B6C">
              <w:rPr>
                <w:rFonts w:eastAsia="DengXian"/>
                <w:lang w:eastAsia="fr-FR"/>
              </w:rPr>
              <w:t>IEEE Std 1588 [126] clause 8.2.1.4.5</w:t>
            </w:r>
          </w:p>
        </w:tc>
      </w:tr>
      <w:tr w:rsidR="00857A0D" w:rsidRPr="00873B6C" w14:paraId="31C0C6FD" w14:textId="77777777" w:rsidTr="00C9561D">
        <w:trPr>
          <w:cantSplit/>
          <w:jc w:val="center"/>
        </w:trPr>
        <w:tc>
          <w:tcPr>
            <w:tcW w:w="5000" w:type="dxa"/>
            <w:shd w:val="clear" w:color="auto" w:fill="auto"/>
          </w:tcPr>
          <w:p w14:paraId="0E4B23E1" w14:textId="77777777" w:rsidR="00857A0D" w:rsidRPr="00873B6C" w:rsidRDefault="00857A0D" w:rsidP="00857A0D">
            <w:pPr>
              <w:pStyle w:val="TAL"/>
              <w:rPr>
                <w:b/>
              </w:rPr>
            </w:pPr>
            <w:r w:rsidRPr="00873B6C">
              <w:rPr>
                <w:lang w:eastAsia="fr-FR"/>
              </w:rPr>
              <w:t>&gt;&gt; defaultDS.instanceEnable</w:t>
            </w:r>
          </w:p>
        </w:tc>
        <w:tc>
          <w:tcPr>
            <w:tcW w:w="1418" w:type="dxa"/>
            <w:shd w:val="clear" w:color="auto" w:fill="auto"/>
          </w:tcPr>
          <w:p w14:paraId="73AC3A00" w14:textId="77777777" w:rsidR="00857A0D" w:rsidRPr="00873B6C" w:rsidDel="00182EE7" w:rsidRDefault="00857A0D" w:rsidP="00857A0D">
            <w:pPr>
              <w:pStyle w:val="TAC"/>
            </w:pPr>
            <w:r w:rsidRPr="00873B6C">
              <w:rPr>
                <w:rFonts w:eastAsia="DengXian"/>
              </w:rPr>
              <w:t>RW</w:t>
            </w:r>
          </w:p>
        </w:tc>
        <w:tc>
          <w:tcPr>
            <w:tcW w:w="1338" w:type="dxa"/>
          </w:tcPr>
          <w:p w14:paraId="313A1098" w14:textId="77777777" w:rsidR="00857A0D" w:rsidRPr="00873B6C" w:rsidRDefault="00857A0D" w:rsidP="00857A0D">
            <w:pPr>
              <w:pStyle w:val="TAC"/>
            </w:pPr>
            <w:r w:rsidRPr="00873B6C">
              <w:rPr>
                <w:rFonts w:eastAsia="DengXian"/>
              </w:rPr>
              <w:t>RW</w:t>
            </w:r>
          </w:p>
        </w:tc>
        <w:tc>
          <w:tcPr>
            <w:tcW w:w="2126" w:type="dxa"/>
            <w:shd w:val="clear" w:color="auto" w:fill="auto"/>
          </w:tcPr>
          <w:p w14:paraId="1B9B5962" w14:textId="77777777" w:rsidR="00857A0D" w:rsidRPr="00873B6C" w:rsidRDefault="00857A0D" w:rsidP="00857A0D">
            <w:pPr>
              <w:pStyle w:val="TAC"/>
            </w:pPr>
            <w:r w:rsidRPr="00873B6C">
              <w:rPr>
                <w:rFonts w:eastAsia="DengXian"/>
                <w:lang w:eastAsia="fr-FR"/>
              </w:rPr>
              <w:t>IEEE Std 1588 [126] clause 8.2.1.5.2</w:t>
            </w:r>
          </w:p>
        </w:tc>
      </w:tr>
      <w:tr w:rsidR="00857A0D" w:rsidRPr="00873B6C" w14:paraId="6D0B11E6" w14:textId="77777777" w:rsidTr="00C9561D">
        <w:trPr>
          <w:cantSplit/>
          <w:jc w:val="center"/>
        </w:trPr>
        <w:tc>
          <w:tcPr>
            <w:tcW w:w="5000" w:type="dxa"/>
            <w:shd w:val="clear" w:color="auto" w:fill="auto"/>
          </w:tcPr>
          <w:p w14:paraId="4B9EAF34" w14:textId="77777777" w:rsidR="00857A0D" w:rsidRPr="00873B6C" w:rsidRDefault="00857A0D" w:rsidP="00857A0D">
            <w:pPr>
              <w:pStyle w:val="TAL"/>
              <w:rPr>
                <w:b/>
              </w:rPr>
            </w:pPr>
            <w:r w:rsidRPr="00873B6C">
              <w:rPr>
                <w:lang w:eastAsia="fr-FR"/>
              </w:rPr>
              <w:t>&gt;&gt; defaultDS.externalPortConfigurationEnabled</w:t>
            </w:r>
          </w:p>
        </w:tc>
        <w:tc>
          <w:tcPr>
            <w:tcW w:w="1418" w:type="dxa"/>
            <w:shd w:val="clear" w:color="auto" w:fill="auto"/>
          </w:tcPr>
          <w:p w14:paraId="21B428D2" w14:textId="77777777" w:rsidR="00857A0D" w:rsidRPr="00873B6C" w:rsidDel="00182EE7" w:rsidRDefault="00857A0D" w:rsidP="00857A0D">
            <w:pPr>
              <w:pStyle w:val="TAC"/>
            </w:pPr>
            <w:r w:rsidRPr="00873B6C">
              <w:rPr>
                <w:rFonts w:eastAsia="DengXian"/>
              </w:rPr>
              <w:t>RW</w:t>
            </w:r>
          </w:p>
        </w:tc>
        <w:tc>
          <w:tcPr>
            <w:tcW w:w="1338" w:type="dxa"/>
          </w:tcPr>
          <w:p w14:paraId="178ECC58" w14:textId="77777777" w:rsidR="00857A0D" w:rsidRPr="00873B6C" w:rsidRDefault="00857A0D" w:rsidP="00857A0D">
            <w:pPr>
              <w:pStyle w:val="TAC"/>
            </w:pPr>
            <w:r w:rsidRPr="00873B6C">
              <w:rPr>
                <w:rFonts w:eastAsia="DengXian"/>
              </w:rPr>
              <w:t>RW</w:t>
            </w:r>
          </w:p>
        </w:tc>
        <w:tc>
          <w:tcPr>
            <w:tcW w:w="2126" w:type="dxa"/>
            <w:shd w:val="clear" w:color="auto" w:fill="auto"/>
          </w:tcPr>
          <w:p w14:paraId="5C420D74" w14:textId="77777777" w:rsidR="00857A0D" w:rsidRPr="00873B6C" w:rsidRDefault="00857A0D" w:rsidP="00857A0D">
            <w:pPr>
              <w:pStyle w:val="TAC"/>
            </w:pPr>
            <w:r w:rsidRPr="00873B6C">
              <w:rPr>
                <w:rFonts w:eastAsia="DengXian"/>
                <w:lang w:eastAsia="fr-FR"/>
              </w:rPr>
              <w:t>IEEE Std 1588 [126] clause 8.2.1.5.3</w:t>
            </w:r>
          </w:p>
        </w:tc>
      </w:tr>
      <w:tr w:rsidR="00857A0D" w:rsidRPr="00873B6C" w14:paraId="4439B701" w14:textId="77777777" w:rsidTr="00C9561D">
        <w:trPr>
          <w:cantSplit/>
          <w:jc w:val="center"/>
        </w:trPr>
        <w:tc>
          <w:tcPr>
            <w:tcW w:w="5000" w:type="dxa"/>
            <w:shd w:val="clear" w:color="auto" w:fill="auto"/>
          </w:tcPr>
          <w:p w14:paraId="5CBAA0EF" w14:textId="77777777" w:rsidR="00857A0D" w:rsidRPr="00873B6C" w:rsidRDefault="00857A0D" w:rsidP="00857A0D">
            <w:pPr>
              <w:pStyle w:val="TAL"/>
              <w:rPr>
                <w:b/>
              </w:rPr>
            </w:pPr>
            <w:r w:rsidRPr="00873B6C">
              <w:rPr>
                <w:lang w:eastAsia="fr-FR"/>
              </w:rPr>
              <w:t>&gt;&gt; defaultDS.instanceType</w:t>
            </w:r>
          </w:p>
        </w:tc>
        <w:tc>
          <w:tcPr>
            <w:tcW w:w="1418" w:type="dxa"/>
            <w:shd w:val="clear" w:color="auto" w:fill="auto"/>
          </w:tcPr>
          <w:p w14:paraId="7EBCDEBE" w14:textId="77777777" w:rsidR="00857A0D" w:rsidRPr="00873B6C" w:rsidDel="00182EE7" w:rsidRDefault="00857A0D" w:rsidP="00857A0D">
            <w:pPr>
              <w:pStyle w:val="TAC"/>
            </w:pPr>
            <w:r w:rsidRPr="00873B6C">
              <w:rPr>
                <w:rFonts w:eastAsia="DengXian"/>
              </w:rPr>
              <w:t>RW</w:t>
            </w:r>
          </w:p>
        </w:tc>
        <w:tc>
          <w:tcPr>
            <w:tcW w:w="1338" w:type="dxa"/>
          </w:tcPr>
          <w:p w14:paraId="2EBA0AC6" w14:textId="77777777" w:rsidR="00857A0D" w:rsidRPr="00873B6C" w:rsidRDefault="00857A0D" w:rsidP="00857A0D">
            <w:pPr>
              <w:pStyle w:val="TAC"/>
            </w:pPr>
            <w:r w:rsidRPr="00873B6C">
              <w:rPr>
                <w:rFonts w:eastAsia="DengXian"/>
              </w:rPr>
              <w:t>RW</w:t>
            </w:r>
          </w:p>
        </w:tc>
        <w:tc>
          <w:tcPr>
            <w:tcW w:w="2126" w:type="dxa"/>
            <w:shd w:val="clear" w:color="auto" w:fill="auto"/>
          </w:tcPr>
          <w:p w14:paraId="323C0933" w14:textId="77777777" w:rsidR="00857A0D" w:rsidRPr="00873B6C" w:rsidRDefault="00857A0D" w:rsidP="00857A0D">
            <w:pPr>
              <w:pStyle w:val="TAC"/>
            </w:pPr>
            <w:r w:rsidRPr="00873B6C">
              <w:rPr>
                <w:rFonts w:eastAsia="DengXian"/>
                <w:lang w:eastAsia="fr-FR"/>
              </w:rPr>
              <w:t>IEEE Std 1588 [126] clause 8.2.1.5.5</w:t>
            </w:r>
          </w:p>
        </w:tc>
      </w:tr>
      <w:tr w:rsidR="00857A0D" w:rsidRPr="00873B6C" w14:paraId="7049BB76" w14:textId="77777777" w:rsidTr="00C9561D">
        <w:trPr>
          <w:cantSplit/>
          <w:jc w:val="center"/>
        </w:trPr>
        <w:tc>
          <w:tcPr>
            <w:tcW w:w="5000" w:type="dxa"/>
            <w:shd w:val="clear" w:color="auto" w:fill="auto"/>
          </w:tcPr>
          <w:p w14:paraId="752E7428" w14:textId="77777777" w:rsidR="00857A0D" w:rsidRPr="00873B6C" w:rsidRDefault="00857A0D" w:rsidP="00857A0D">
            <w:pPr>
              <w:pStyle w:val="TAL"/>
              <w:rPr>
                <w:b/>
              </w:rPr>
            </w:pPr>
            <w:r w:rsidRPr="00873B6C">
              <w:rPr>
                <w:lang w:eastAsia="fr-FR"/>
              </w:rPr>
              <w:t>&gt;&gt; timePropertiesDS.currentUtcOffset</w:t>
            </w:r>
          </w:p>
        </w:tc>
        <w:tc>
          <w:tcPr>
            <w:tcW w:w="1418" w:type="dxa"/>
            <w:shd w:val="clear" w:color="auto" w:fill="auto"/>
          </w:tcPr>
          <w:p w14:paraId="122B17B9" w14:textId="77777777" w:rsidR="00857A0D" w:rsidRPr="00873B6C" w:rsidDel="00182EE7" w:rsidRDefault="00857A0D" w:rsidP="00857A0D">
            <w:pPr>
              <w:pStyle w:val="TAC"/>
            </w:pPr>
            <w:r w:rsidRPr="00873B6C" w:rsidDel="00A863FD">
              <w:rPr>
                <w:rFonts w:eastAsia="DengXian"/>
              </w:rPr>
              <w:t>RW</w:t>
            </w:r>
          </w:p>
        </w:tc>
        <w:tc>
          <w:tcPr>
            <w:tcW w:w="1338" w:type="dxa"/>
          </w:tcPr>
          <w:p w14:paraId="1A39CAFB" w14:textId="77777777" w:rsidR="00857A0D" w:rsidRPr="00873B6C" w:rsidRDefault="00857A0D" w:rsidP="00857A0D">
            <w:pPr>
              <w:pStyle w:val="TAC"/>
            </w:pPr>
            <w:r w:rsidRPr="00873B6C">
              <w:rPr>
                <w:rFonts w:eastAsia="DengXian"/>
              </w:rPr>
              <w:t>RW</w:t>
            </w:r>
          </w:p>
        </w:tc>
        <w:tc>
          <w:tcPr>
            <w:tcW w:w="2126" w:type="dxa"/>
            <w:shd w:val="clear" w:color="auto" w:fill="auto"/>
          </w:tcPr>
          <w:p w14:paraId="362CD08F" w14:textId="77777777" w:rsidR="00857A0D" w:rsidRPr="00873B6C" w:rsidRDefault="00857A0D" w:rsidP="00857A0D">
            <w:pPr>
              <w:pStyle w:val="TAC"/>
            </w:pPr>
            <w:r w:rsidRPr="00873B6C">
              <w:rPr>
                <w:rFonts w:eastAsia="DengXian"/>
                <w:lang w:eastAsia="fr-FR"/>
              </w:rPr>
              <w:t>IEEE Std 1588 [126] clause 8.2.4.2</w:t>
            </w:r>
          </w:p>
        </w:tc>
      </w:tr>
      <w:tr w:rsidR="00857A0D" w:rsidRPr="00873B6C" w14:paraId="1A7E4861" w14:textId="77777777" w:rsidTr="00C9561D">
        <w:trPr>
          <w:cantSplit/>
          <w:jc w:val="center"/>
        </w:trPr>
        <w:tc>
          <w:tcPr>
            <w:tcW w:w="5000" w:type="dxa"/>
            <w:shd w:val="clear" w:color="auto" w:fill="auto"/>
          </w:tcPr>
          <w:p w14:paraId="57A9A2F0" w14:textId="77777777" w:rsidR="00857A0D" w:rsidRPr="00873B6C" w:rsidRDefault="00857A0D" w:rsidP="00857A0D">
            <w:pPr>
              <w:pStyle w:val="TAL"/>
              <w:rPr>
                <w:b/>
              </w:rPr>
            </w:pPr>
            <w:r w:rsidRPr="00873B6C">
              <w:rPr>
                <w:lang w:eastAsia="fr-FR"/>
              </w:rPr>
              <w:t>&gt;&gt; timePropertiesDS.timeSource</w:t>
            </w:r>
          </w:p>
        </w:tc>
        <w:tc>
          <w:tcPr>
            <w:tcW w:w="1418" w:type="dxa"/>
            <w:shd w:val="clear" w:color="auto" w:fill="auto"/>
          </w:tcPr>
          <w:p w14:paraId="21DCC1CF" w14:textId="77777777" w:rsidR="00857A0D" w:rsidRPr="00873B6C" w:rsidDel="00182EE7" w:rsidRDefault="00857A0D" w:rsidP="00857A0D">
            <w:pPr>
              <w:pStyle w:val="TAC"/>
            </w:pPr>
            <w:r w:rsidRPr="00873B6C">
              <w:rPr>
                <w:rFonts w:eastAsia="DengXian"/>
              </w:rPr>
              <w:t>RW</w:t>
            </w:r>
          </w:p>
        </w:tc>
        <w:tc>
          <w:tcPr>
            <w:tcW w:w="1338" w:type="dxa"/>
          </w:tcPr>
          <w:p w14:paraId="2D03D5E7" w14:textId="77777777" w:rsidR="00857A0D" w:rsidRPr="00873B6C" w:rsidRDefault="00857A0D" w:rsidP="00857A0D">
            <w:pPr>
              <w:pStyle w:val="TAC"/>
            </w:pPr>
            <w:r w:rsidRPr="00873B6C">
              <w:rPr>
                <w:rFonts w:eastAsia="DengXian"/>
              </w:rPr>
              <w:t>RW</w:t>
            </w:r>
          </w:p>
        </w:tc>
        <w:tc>
          <w:tcPr>
            <w:tcW w:w="2126" w:type="dxa"/>
            <w:shd w:val="clear" w:color="auto" w:fill="auto"/>
          </w:tcPr>
          <w:p w14:paraId="0731BF23" w14:textId="77777777" w:rsidR="00857A0D" w:rsidRPr="00873B6C" w:rsidRDefault="00857A0D" w:rsidP="00857A0D">
            <w:pPr>
              <w:pStyle w:val="TAC"/>
            </w:pPr>
            <w:r w:rsidRPr="00873B6C">
              <w:rPr>
                <w:rFonts w:eastAsia="DengXian"/>
                <w:lang w:eastAsia="fr-FR"/>
              </w:rPr>
              <w:t>IEEE Std 1588 [126] clause 8.2.4.9</w:t>
            </w:r>
          </w:p>
        </w:tc>
      </w:tr>
      <w:tr w:rsidR="00857A0D" w:rsidRPr="00873B6C" w14:paraId="036CF227" w14:textId="77777777" w:rsidTr="00C9561D">
        <w:trPr>
          <w:cantSplit/>
          <w:jc w:val="center"/>
        </w:trPr>
        <w:tc>
          <w:tcPr>
            <w:tcW w:w="5000" w:type="dxa"/>
            <w:shd w:val="clear" w:color="auto" w:fill="auto"/>
          </w:tcPr>
          <w:p w14:paraId="79AB8096" w14:textId="77777777" w:rsidR="00857A0D" w:rsidRPr="00873B6C" w:rsidRDefault="00857A0D" w:rsidP="00857A0D">
            <w:pPr>
              <w:pStyle w:val="TAL"/>
              <w:rPr>
                <w:b/>
              </w:rPr>
            </w:pPr>
            <w:r w:rsidRPr="00873B6C">
              <w:rPr>
                <w:b/>
                <w:bCs/>
                <w:lang w:eastAsia="fr-FR"/>
              </w:rPr>
              <w:t>IEEE Std 802.1AS [104] data sets (NOTE 15)</w:t>
            </w:r>
          </w:p>
        </w:tc>
        <w:tc>
          <w:tcPr>
            <w:tcW w:w="1418" w:type="dxa"/>
            <w:shd w:val="clear" w:color="auto" w:fill="auto"/>
          </w:tcPr>
          <w:p w14:paraId="4370E20B" w14:textId="77777777" w:rsidR="00857A0D" w:rsidRPr="00873B6C" w:rsidDel="00182EE7" w:rsidRDefault="00857A0D" w:rsidP="00857A0D">
            <w:pPr>
              <w:pStyle w:val="TAC"/>
            </w:pPr>
          </w:p>
        </w:tc>
        <w:tc>
          <w:tcPr>
            <w:tcW w:w="1338" w:type="dxa"/>
          </w:tcPr>
          <w:p w14:paraId="5C9C9B08" w14:textId="77777777" w:rsidR="00857A0D" w:rsidRPr="00873B6C" w:rsidRDefault="00857A0D" w:rsidP="00857A0D">
            <w:pPr>
              <w:pStyle w:val="TAC"/>
            </w:pPr>
          </w:p>
        </w:tc>
        <w:tc>
          <w:tcPr>
            <w:tcW w:w="2126" w:type="dxa"/>
            <w:shd w:val="clear" w:color="auto" w:fill="auto"/>
          </w:tcPr>
          <w:p w14:paraId="7EF47657" w14:textId="77777777" w:rsidR="00857A0D" w:rsidRPr="00873B6C" w:rsidRDefault="00857A0D" w:rsidP="00857A0D">
            <w:pPr>
              <w:pStyle w:val="TAC"/>
            </w:pPr>
          </w:p>
        </w:tc>
      </w:tr>
      <w:tr w:rsidR="00857A0D" w:rsidRPr="00873B6C" w14:paraId="2EDD7C40" w14:textId="77777777" w:rsidTr="00C9561D">
        <w:trPr>
          <w:cantSplit/>
          <w:jc w:val="center"/>
        </w:trPr>
        <w:tc>
          <w:tcPr>
            <w:tcW w:w="5000" w:type="dxa"/>
            <w:shd w:val="clear" w:color="auto" w:fill="auto"/>
          </w:tcPr>
          <w:p w14:paraId="0592701A" w14:textId="77777777" w:rsidR="00857A0D" w:rsidRPr="00873B6C" w:rsidRDefault="00857A0D" w:rsidP="00857A0D">
            <w:pPr>
              <w:pStyle w:val="TAL"/>
              <w:rPr>
                <w:b/>
              </w:rPr>
            </w:pPr>
            <w:r w:rsidRPr="00873B6C">
              <w:rPr>
                <w:lang w:eastAsia="fr-FR"/>
              </w:rPr>
              <w:t>&gt;&gt; defaultDS.clockIdentity</w:t>
            </w:r>
          </w:p>
        </w:tc>
        <w:tc>
          <w:tcPr>
            <w:tcW w:w="1418" w:type="dxa"/>
            <w:shd w:val="clear" w:color="auto" w:fill="auto"/>
          </w:tcPr>
          <w:p w14:paraId="5DE3562F" w14:textId="77777777" w:rsidR="00857A0D" w:rsidRPr="00873B6C" w:rsidDel="00182EE7" w:rsidRDefault="00857A0D" w:rsidP="00857A0D">
            <w:pPr>
              <w:pStyle w:val="TAC"/>
            </w:pPr>
            <w:r w:rsidRPr="00873B6C">
              <w:rPr>
                <w:rFonts w:eastAsia="DengXian"/>
              </w:rPr>
              <w:t>RW</w:t>
            </w:r>
          </w:p>
        </w:tc>
        <w:tc>
          <w:tcPr>
            <w:tcW w:w="1338" w:type="dxa"/>
          </w:tcPr>
          <w:p w14:paraId="756E2083" w14:textId="77777777" w:rsidR="00857A0D" w:rsidRPr="00873B6C" w:rsidRDefault="00857A0D" w:rsidP="00857A0D">
            <w:pPr>
              <w:pStyle w:val="TAC"/>
            </w:pPr>
            <w:r w:rsidRPr="00873B6C">
              <w:rPr>
                <w:rFonts w:eastAsia="DengXian"/>
              </w:rPr>
              <w:t>RW</w:t>
            </w:r>
          </w:p>
        </w:tc>
        <w:tc>
          <w:tcPr>
            <w:tcW w:w="2126" w:type="dxa"/>
            <w:shd w:val="clear" w:color="auto" w:fill="auto"/>
          </w:tcPr>
          <w:p w14:paraId="1CE240D2" w14:textId="77777777" w:rsidR="00857A0D" w:rsidRPr="00873B6C" w:rsidRDefault="00857A0D" w:rsidP="00857A0D">
            <w:pPr>
              <w:pStyle w:val="TAC"/>
            </w:pPr>
            <w:r w:rsidRPr="00873B6C">
              <w:rPr>
                <w:rFonts w:eastAsia="DengXian"/>
                <w:lang w:eastAsia="fr-FR"/>
              </w:rPr>
              <w:t>IEEE Std 802.1AS [104] clause 14.2.2</w:t>
            </w:r>
          </w:p>
        </w:tc>
      </w:tr>
      <w:tr w:rsidR="00857A0D" w:rsidRPr="00873B6C" w14:paraId="1A08A12D" w14:textId="77777777" w:rsidTr="00C9561D">
        <w:trPr>
          <w:cantSplit/>
          <w:jc w:val="center"/>
        </w:trPr>
        <w:tc>
          <w:tcPr>
            <w:tcW w:w="5000" w:type="dxa"/>
            <w:shd w:val="clear" w:color="auto" w:fill="auto"/>
          </w:tcPr>
          <w:p w14:paraId="01F4736D" w14:textId="77777777" w:rsidR="00857A0D" w:rsidRPr="00873B6C" w:rsidRDefault="00857A0D" w:rsidP="00857A0D">
            <w:pPr>
              <w:pStyle w:val="TAL"/>
              <w:rPr>
                <w:b/>
              </w:rPr>
            </w:pPr>
            <w:r w:rsidRPr="00873B6C">
              <w:rPr>
                <w:lang w:eastAsia="fr-FR"/>
              </w:rPr>
              <w:t>&gt;&gt; defaultDS.clockQuality.clockClass</w:t>
            </w:r>
          </w:p>
        </w:tc>
        <w:tc>
          <w:tcPr>
            <w:tcW w:w="1418" w:type="dxa"/>
            <w:shd w:val="clear" w:color="auto" w:fill="auto"/>
          </w:tcPr>
          <w:p w14:paraId="19FCDDB7" w14:textId="77777777" w:rsidR="00857A0D" w:rsidRPr="00873B6C" w:rsidDel="00182EE7" w:rsidRDefault="00857A0D" w:rsidP="00857A0D">
            <w:pPr>
              <w:pStyle w:val="TAC"/>
            </w:pPr>
            <w:r w:rsidRPr="00873B6C" w:rsidDel="00A863FD">
              <w:rPr>
                <w:rFonts w:eastAsia="DengXian"/>
              </w:rPr>
              <w:t>RW</w:t>
            </w:r>
          </w:p>
        </w:tc>
        <w:tc>
          <w:tcPr>
            <w:tcW w:w="1338" w:type="dxa"/>
          </w:tcPr>
          <w:p w14:paraId="14D2630B" w14:textId="77777777" w:rsidR="00857A0D" w:rsidRPr="00873B6C" w:rsidRDefault="00857A0D" w:rsidP="00857A0D">
            <w:pPr>
              <w:pStyle w:val="TAC"/>
            </w:pPr>
            <w:r w:rsidRPr="00873B6C">
              <w:rPr>
                <w:rFonts w:eastAsia="DengXian"/>
              </w:rPr>
              <w:t>RW</w:t>
            </w:r>
          </w:p>
        </w:tc>
        <w:tc>
          <w:tcPr>
            <w:tcW w:w="2126" w:type="dxa"/>
            <w:shd w:val="clear" w:color="auto" w:fill="auto"/>
          </w:tcPr>
          <w:p w14:paraId="662E51E5" w14:textId="77777777" w:rsidR="00857A0D" w:rsidRPr="00873B6C" w:rsidRDefault="00857A0D" w:rsidP="00857A0D">
            <w:pPr>
              <w:pStyle w:val="TAC"/>
            </w:pPr>
            <w:r w:rsidRPr="00873B6C">
              <w:rPr>
                <w:rFonts w:eastAsia="DengXian"/>
                <w:lang w:eastAsia="fr-FR"/>
              </w:rPr>
              <w:t>IEEE Std 802.1AS [104] clause 14.2.4.2</w:t>
            </w:r>
          </w:p>
        </w:tc>
      </w:tr>
      <w:tr w:rsidR="00857A0D" w:rsidRPr="00873B6C" w14:paraId="25227700" w14:textId="77777777" w:rsidTr="00C9561D">
        <w:trPr>
          <w:cantSplit/>
          <w:jc w:val="center"/>
        </w:trPr>
        <w:tc>
          <w:tcPr>
            <w:tcW w:w="5000" w:type="dxa"/>
            <w:shd w:val="clear" w:color="auto" w:fill="auto"/>
          </w:tcPr>
          <w:p w14:paraId="581BECCD" w14:textId="77777777" w:rsidR="00857A0D" w:rsidRPr="00873B6C" w:rsidRDefault="00857A0D" w:rsidP="00857A0D">
            <w:pPr>
              <w:pStyle w:val="TAL"/>
              <w:rPr>
                <w:b/>
              </w:rPr>
            </w:pPr>
            <w:r w:rsidRPr="00873B6C">
              <w:rPr>
                <w:lang w:eastAsia="fr-FR"/>
              </w:rPr>
              <w:t>&gt;&gt; defaultDS.clockQuality.clockAccuracy</w:t>
            </w:r>
          </w:p>
        </w:tc>
        <w:tc>
          <w:tcPr>
            <w:tcW w:w="1418" w:type="dxa"/>
            <w:shd w:val="clear" w:color="auto" w:fill="auto"/>
          </w:tcPr>
          <w:p w14:paraId="425849D1" w14:textId="77777777" w:rsidR="00857A0D" w:rsidRPr="00873B6C" w:rsidDel="00182EE7" w:rsidRDefault="00857A0D" w:rsidP="00857A0D">
            <w:pPr>
              <w:pStyle w:val="TAC"/>
            </w:pPr>
            <w:r w:rsidRPr="00873B6C">
              <w:rPr>
                <w:rFonts w:eastAsia="DengXian"/>
              </w:rPr>
              <w:t>RW</w:t>
            </w:r>
          </w:p>
        </w:tc>
        <w:tc>
          <w:tcPr>
            <w:tcW w:w="1338" w:type="dxa"/>
          </w:tcPr>
          <w:p w14:paraId="5014AC7E" w14:textId="77777777" w:rsidR="00857A0D" w:rsidRPr="00873B6C" w:rsidRDefault="00857A0D" w:rsidP="00857A0D">
            <w:pPr>
              <w:pStyle w:val="TAC"/>
            </w:pPr>
            <w:r w:rsidRPr="00873B6C">
              <w:rPr>
                <w:rFonts w:eastAsia="DengXian"/>
              </w:rPr>
              <w:t>RW</w:t>
            </w:r>
          </w:p>
        </w:tc>
        <w:tc>
          <w:tcPr>
            <w:tcW w:w="2126" w:type="dxa"/>
            <w:shd w:val="clear" w:color="auto" w:fill="auto"/>
          </w:tcPr>
          <w:p w14:paraId="442A483F" w14:textId="77777777" w:rsidR="00857A0D" w:rsidRPr="00873B6C" w:rsidRDefault="00857A0D" w:rsidP="00857A0D">
            <w:pPr>
              <w:pStyle w:val="TAC"/>
            </w:pPr>
            <w:r w:rsidRPr="00873B6C">
              <w:rPr>
                <w:rFonts w:eastAsia="DengXian"/>
                <w:lang w:eastAsia="fr-FR"/>
              </w:rPr>
              <w:t>IEEE Std 802.1AS [104] clause 14.2.4.3</w:t>
            </w:r>
          </w:p>
        </w:tc>
      </w:tr>
      <w:tr w:rsidR="00857A0D" w:rsidRPr="00873B6C" w14:paraId="5DB1A8DE" w14:textId="77777777" w:rsidTr="00C9561D">
        <w:trPr>
          <w:cantSplit/>
          <w:jc w:val="center"/>
        </w:trPr>
        <w:tc>
          <w:tcPr>
            <w:tcW w:w="5000" w:type="dxa"/>
            <w:shd w:val="clear" w:color="auto" w:fill="auto"/>
          </w:tcPr>
          <w:p w14:paraId="363BF3DF" w14:textId="77777777" w:rsidR="00857A0D" w:rsidRPr="00873B6C" w:rsidRDefault="00857A0D" w:rsidP="00857A0D">
            <w:pPr>
              <w:pStyle w:val="TAL"/>
              <w:rPr>
                <w:b/>
              </w:rPr>
            </w:pPr>
            <w:r w:rsidRPr="00873B6C">
              <w:rPr>
                <w:lang w:eastAsia="fr-FR"/>
              </w:rPr>
              <w:t>&gt;&gt; defaultDS.clockQuality.offsetScaledLogVariance</w:t>
            </w:r>
          </w:p>
        </w:tc>
        <w:tc>
          <w:tcPr>
            <w:tcW w:w="1418" w:type="dxa"/>
            <w:shd w:val="clear" w:color="auto" w:fill="auto"/>
          </w:tcPr>
          <w:p w14:paraId="350786AF" w14:textId="77777777" w:rsidR="00857A0D" w:rsidRPr="00873B6C" w:rsidDel="00182EE7" w:rsidRDefault="00857A0D" w:rsidP="00857A0D">
            <w:pPr>
              <w:pStyle w:val="TAC"/>
            </w:pPr>
            <w:r w:rsidRPr="00873B6C">
              <w:rPr>
                <w:rFonts w:eastAsia="DengXian"/>
              </w:rPr>
              <w:t>RW</w:t>
            </w:r>
          </w:p>
        </w:tc>
        <w:tc>
          <w:tcPr>
            <w:tcW w:w="1338" w:type="dxa"/>
          </w:tcPr>
          <w:p w14:paraId="7CC6A4CA" w14:textId="77777777" w:rsidR="00857A0D" w:rsidRPr="00873B6C" w:rsidRDefault="00857A0D" w:rsidP="00857A0D">
            <w:pPr>
              <w:pStyle w:val="TAC"/>
            </w:pPr>
            <w:r w:rsidRPr="00873B6C">
              <w:rPr>
                <w:rFonts w:eastAsia="DengXian"/>
              </w:rPr>
              <w:t>RW</w:t>
            </w:r>
          </w:p>
        </w:tc>
        <w:tc>
          <w:tcPr>
            <w:tcW w:w="2126" w:type="dxa"/>
            <w:shd w:val="clear" w:color="auto" w:fill="auto"/>
          </w:tcPr>
          <w:p w14:paraId="6BACC294" w14:textId="77777777" w:rsidR="00857A0D" w:rsidRPr="00873B6C" w:rsidRDefault="00857A0D" w:rsidP="00857A0D">
            <w:pPr>
              <w:pStyle w:val="TAC"/>
            </w:pPr>
            <w:r w:rsidRPr="00873B6C">
              <w:rPr>
                <w:rFonts w:eastAsia="DengXian"/>
                <w:lang w:eastAsia="fr-FR"/>
              </w:rPr>
              <w:t>IEEE Std 802.1AS [104] clause 14.2.4.4</w:t>
            </w:r>
          </w:p>
        </w:tc>
      </w:tr>
      <w:tr w:rsidR="00857A0D" w:rsidRPr="00873B6C" w14:paraId="202A8FD9" w14:textId="77777777" w:rsidTr="00C9561D">
        <w:trPr>
          <w:cantSplit/>
          <w:jc w:val="center"/>
        </w:trPr>
        <w:tc>
          <w:tcPr>
            <w:tcW w:w="5000" w:type="dxa"/>
            <w:shd w:val="clear" w:color="auto" w:fill="auto"/>
          </w:tcPr>
          <w:p w14:paraId="03A8254B" w14:textId="77777777" w:rsidR="00857A0D" w:rsidRPr="00873B6C" w:rsidRDefault="00857A0D" w:rsidP="00857A0D">
            <w:pPr>
              <w:pStyle w:val="TAL"/>
              <w:rPr>
                <w:b/>
              </w:rPr>
            </w:pPr>
            <w:r w:rsidRPr="00873B6C">
              <w:rPr>
                <w:lang w:eastAsia="fr-FR"/>
              </w:rPr>
              <w:t>&gt;&gt; defaultDS.priority1</w:t>
            </w:r>
          </w:p>
        </w:tc>
        <w:tc>
          <w:tcPr>
            <w:tcW w:w="1418" w:type="dxa"/>
            <w:shd w:val="clear" w:color="auto" w:fill="auto"/>
          </w:tcPr>
          <w:p w14:paraId="64AB5D26" w14:textId="77777777" w:rsidR="00857A0D" w:rsidRPr="00873B6C" w:rsidDel="00182EE7" w:rsidRDefault="00857A0D" w:rsidP="00857A0D">
            <w:pPr>
              <w:pStyle w:val="TAC"/>
            </w:pPr>
            <w:r w:rsidRPr="00873B6C">
              <w:rPr>
                <w:rFonts w:eastAsia="DengXian"/>
              </w:rPr>
              <w:t>RW</w:t>
            </w:r>
          </w:p>
        </w:tc>
        <w:tc>
          <w:tcPr>
            <w:tcW w:w="1338" w:type="dxa"/>
          </w:tcPr>
          <w:p w14:paraId="1D216FC5" w14:textId="77777777" w:rsidR="00857A0D" w:rsidRPr="00873B6C" w:rsidRDefault="00857A0D" w:rsidP="00857A0D">
            <w:pPr>
              <w:pStyle w:val="TAC"/>
            </w:pPr>
            <w:r w:rsidRPr="00873B6C">
              <w:rPr>
                <w:rFonts w:eastAsia="DengXian"/>
              </w:rPr>
              <w:t>RW</w:t>
            </w:r>
          </w:p>
        </w:tc>
        <w:tc>
          <w:tcPr>
            <w:tcW w:w="2126" w:type="dxa"/>
            <w:shd w:val="clear" w:color="auto" w:fill="auto"/>
          </w:tcPr>
          <w:p w14:paraId="26C9A0CD" w14:textId="77777777" w:rsidR="00857A0D" w:rsidRPr="00873B6C" w:rsidRDefault="00857A0D" w:rsidP="00857A0D">
            <w:pPr>
              <w:pStyle w:val="TAC"/>
            </w:pPr>
            <w:r w:rsidRPr="00873B6C">
              <w:rPr>
                <w:rFonts w:eastAsia="DengXian"/>
                <w:lang w:eastAsia="fr-FR"/>
              </w:rPr>
              <w:t>IEEE Std 802.1AS [104] clause 14.2.5</w:t>
            </w:r>
          </w:p>
        </w:tc>
      </w:tr>
      <w:tr w:rsidR="00857A0D" w:rsidRPr="00873B6C" w14:paraId="6A75901A" w14:textId="77777777" w:rsidTr="00C9561D">
        <w:trPr>
          <w:cantSplit/>
          <w:jc w:val="center"/>
        </w:trPr>
        <w:tc>
          <w:tcPr>
            <w:tcW w:w="5000" w:type="dxa"/>
            <w:shd w:val="clear" w:color="auto" w:fill="auto"/>
          </w:tcPr>
          <w:p w14:paraId="1BDD343A" w14:textId="77777777" w:rsidR="00857A0D" w:rsidRPr="00873B6C" w:rsidRDefault="00857A0D" w:rsidP="00857A0D">
            <w:pPr>
              <w:pStyle w:val="TAL"/>
              <w:rPr>
                <w:b/>
              </w:rPr>
            </w:pPr>
            <w:r w:rsidRPr="00873B6C">
              <w:t>&gt;&gt; defaultDS.priority2</w:t>
            </w:r>
          </w:p>
        </w:tc>
        <w:tc>
          <w:tcPr>
            <w:tcW w:w="1418" w:type="dxa"/>
            <w:shd w:val="clear" w:color="auto" w:fill="auto"/>
          </w:tcPr>
          <w:p w14:paraId="102957FC" w14:textId="77777777" w:rsidR="00857A0D" w:rsidRPr="00873B6C" w:rsidDel="00182EE7" w:rsidRDefault="00857A0D" w:rsidP="00857A0D">
            <w:pPr>
              <w:pStyle w:val="TAC"/>
            </w:pPr>
            <w:r w:rsidRPr="00873B6C" w:rsidDel="00A863FD">
              <w:rPr>
                <w:rFonts w:eastAsia="DengXian"/>
              </w:rPr>
              <w:t>RW</w:t>
            </w:r>
          </w:p>
        </w:tc>
        <w:tc>
          <w:tcPr>
            <w:tcW w:w="1338" w:type="dxa"/>
          </w:tcPr>
          <w:p w14:paraId="1D2119E4" w14:textId="77777777" w:rsidR="00857A0D" w:rsidRPr="00873B6C" w:rsidRDefault="00857A0D" w:rsidP="00857A0D">
            <w:pPr>
              <w:pStyle w:val="TAC"/>
            </w:pPr>
            <w:r w:rsidRPr="00873B6C">
              <w:rPr>
                <w:rFonts w:eastAsia="DengXian"/>
              </w:rPr>
              <w:t>RW</w:t>
            </w:r>
          </w:p>
        </w:tc>
        <w:tc>
          <w:tcPr>
            <w:tcW w:w="2126" w:type="dxa"/>
            <w:shd w:val="clear" w:color="auto" w:fill="auto"/>
          </w:tcPr>
          <w:p w14:paraId="19EB1446" w14:textId="77777777" w:rsidR="00857A0D" w:rsidRPr="00873B6C" w:rsidRDefault="00857A0D" w:rsidP="00857A0D">
            <w:pPr>
              <w:pStyle w:val="TAC"/>
            </w:pPr>
            <w:r w:rsidRPr="00873B6C">
              <w:rPr>
                <w:rFonts w:eastAsia="DengXian"/>
                <w:lang w:eastAsia="fr-FR"/>
              </w:rPr>
              <w:t>IEEE Std 802.1AS [104] clause 14.2.6</w:t>
            </w:r>
          </w:p>
        </w:tc>
      </w:tr>
      <w:tr w:rsidR="00857A0D" w:rsidRPr="00873B6C" w14:paraId="34A46ED3" w14:textId="77777777" w:rsidTr="00C9561D">
        <w:trPr>
          <w:cantSplit/>
          <w:jc w:val="center"/>
        </w:trPr>
        <w:tc>
          <w:tcPr>
            <w:tcW w:w="5000" w:type="dxa"/>
            <w:shd w:val="clear" w:color="auto" w:fill="auto"/>
          </w:tcPr>
          <w:p w14:paraId="3B262B02" w14:textId="77777777" w:rsidR="00857A0D" w:rsidRPr="00873B6C" w:rsidRDefault="00857A0D" w:rsidP="00857A0D">
            <w:pPr>
              <w:pStyle w:val="TAL"/>
              <w:rPr>
                <w:b/>
              </w:rPr>
            </w:pPr>
            <w:r w:rsidRPr="00873B6C">
              <w:rPr>
                <w:lang w:eastAsia="fr-FR"/>
              </w:rPr>
              <w:t>&gt;&gt; defaultDS.timeSource</w:t>
            </w:r>
          </w:p>
        </w:tc>
        <w:tc>
          <w:tcPr>
            <w:tcW w:w="1418" w:type="dxa"/>
            <w:shd w:val="clear" w:color="auto" w:fill="auto"/>
          </w:tcPr>
          <w:p w14:paraId="424CC557" w14:textId="77777777" w:rsidR="00857A0D" w:rsidRPr="00873B6C" w:rsidDel="00182EE7" w:rsidRDefault="00857A0D" w:rsidP="00857A0D">
            <w:pPr>
              <w:pStyle w:val="TAC"/>
            </w:pPr>
            <w:r w:rsidRPr="00873B6C">
              <w:rPr>
                <w:rFonts w:eastAsia="DengXian"/>
              </w:rPr>
              <w:t>RW</w:t>
            </w:r>
          </w:p>
        </w:tc>
        <w:tc>
          <w:tcPr>
            <w:tcW w:w="1338" w:type="dxa"/>
          </w:tcPr>
          <w:p w14:paraId="163B7DBD" w14:textId="77777777" w:rsidR="00857A0D" w:rsidRPr="00873B6C" w:rsidRDefault="00857A0D" w:rsidP="00857A0D">
            <w:pPr>
              <w:pStyle w:val="TAC"/>
            </w:pPr>
            <w:r w:rsidRPr="00873B6C">
              <w:rPr>
                <w:rFonts w:eastAsia="DengXian"/>
              </w:rPr>
              <w:t>RW</w:t>
            </w:r>
          </w:p>
        </w:tc>
        <w:tc>
          <w:tcPr>
            <w:tcW w:w="2126" w:type="dxa"/>
            <w:shd w:val="clear" w:color="auto" w:fill="auto"/>
          </w:tcPr>
          <w:p w14:paraId="03537B0E" w14:textId="77777777" w:rsidR="00857A0D" w:rsidRPr="00873B6C" w:rsidRDefault="00857A0D" w:rsidP="00857A0D">
            <w:pPr>
              <w:pStyle w:val="TAC"/>
            </w:pPr>
            <w:r w:rsidRPr="00873B6C">
              <w:rPr>
                <w:rFonts w:eastAsia="DengXian"/>
                <w:lang w:eastAsia="fr-FR"/>
              </w:rPr>
              <w:t>IEEE Std 802.1AS [104] clause 14.2.15</w:t>
            </w:r>
          </w:p>
        </w:tc>
      </w:tr>
      <w:tr w:rsidR="00857A0D" w:rsidRPr="00873B6C" w14:paraId="50DBD979" w14:textId="77777777" w:rsidTr="00C9561D">
        <w:trPr>
          <w:cantSplit/>
          <w:jc w:val="center"/>
        </w:trPr>
        <w:tc>
          <w:tcPr>
            <w:tcW w:w="5000" w:type="dxa"/>
            <w:shd w:val="clear" w:color="auto" w:fill="auto"/>
          </w:tcPr>
          <w:p w14:paraId="233C6AF9" w14:textId="77777777" w:rsidR="00857A0D" w:rsidRPr="00873B6C" w:rsidRDefault="00857A0D" w:rsidP="00857A0D">
            <w:pPr>
              <w:pStyle w:val="TAL"/>
              <w:rPr>
                <w:b/>
              </w:rPr>
            </w:pPr>
            <w:r w:rsidRPr="00873B6C">
              <w:rPr>
                <w:lang w:eastAsia="fr-FR"/>
              </w:rPr>
              <w:t>&gt;&gt; defaultDS.domainNumber</w:t>
            </w:r>
          </w:p>
        </w:tc>
        <w:tc>
          <w:tcPr>
            <w:tcW w:w="1418" w:type="dxa"/>
            <w:shd w:val="clear" w:color="auto" w:fill="auto"/>
          </w:tcPr>
          <w:p w14:paraId="5FE0A686" w14:textId="77777777" w:rsidR="00857A0D" w:rsidRPr="00873B6C" w:rsidDel="00182EE7" w:rsidRDefault="00857A0D" w:rsidP="00857A0D">
            <w:pPr>
              <w:pStyle w:val="TAC"/>
            </w:pPr>
            <w:r w:rsidRPr="00873B6C">
              <w:rPr>
                <w:rFonts w:eastAsia="DengXian"/>
              </w:rPr>
              <w:t>RW</w:t>
            </w:r>
          </w:p>
        </w:tc>
        <w:tc>
          <w:tcPr>
            <w:tcW w:w="1338" w:type="dxa"/>
          </w:tcPr>
          <w:p w14:paraId="48615B3D" w14:textId="77777777" w:rsidR="00857A0D" w:rsidRPr="00873B6C" w:rsidRDefault="00857A0D" w:rsidP="00857A0D">
            <w:pPr>
              <w:pStyle w:val="TAC"/>
            </w:pPr>
            <w:r w:rsidRPr="00873B6C">
              <w:rPr>
                <w:rFonts w:eastAsia="DengXian"/>
              </w:rPr>
              <w:t>RW</w:t>
            </w:r>
          </w:p>
        </w:tc>
        <w:tc>
          <w:tcPr>
            <w:tcW w:w="2126" w:type="dxa"/>
            <w:shd w:val="clear" w:color="auto" w:fill="auto"/>
          </w:tcPr>
          <w:p w14:paraId="59F616F7" w14:textId="77777777" w:rsidR="00857A0D" w:rsidRPr="00873B6C" w:rsidRDefault="00857A0D" w:rsidP="00857A0D">
            <w:pPr>
              <w:pStyle w:val="TAC"/>
            </w:pPr>
            <w:r w:rsidRPr="00873B6C">
              <w:rPr>
                <w:rFonts w:eastAsia="DengXian"/>
                <w:lang w:eastAsia="fr-FR"/>
              </w:rPr>
              <w:t>IEEE Std 802.1AS [104] clause 14.2.16</w:t>
            </w:r>
          </w:p>
        </w:tc>
      </w:tr>
      <w:tr w:rsidR="00857A0D" w:rsidRPr="00873B6C" w14:paraId="123221CB" w14:textId="77777777" w:rsidTr="00C9561D">
        <w:trPr>
          <w:cantSplit/>
          <w:jc w:val="center"/>
        </w:trPr>
        <w:tc>
          <w:tcPr>
            <w:tcW w:w="5000" w:type="dxa"/>
            <w:shd w:val="clear" w:color="auto" w:fill="auto"/>
          </w:tcPr>
          <w:p w14:paraId="1D32C556" w14:textId="77777777" w:rsidR="00857A0D" w:rsidRPr="00873B6C" w:rsidRDefault="00857A0D" w:rsidP="00857A0D">
            <w:pPr>
              <w:pStyle w:val="TAL"/>
              <w:rPr>
                <w:b/>
              </w:rPr>
            </w:pPr>
            <w:r w:rsidRPr="00873B6C">
              <w:rPr>
                <w:lang w:eastAsia="fr-FR"/>
              </w:rPr>
              <w:t>&gt;&gt; defaultDS.sdoId</w:t>
            </w:r>
          </w:p>
        </w:tc>
        <w:tc>
          <w:tcPr>
            <w:tcW w:w="1418" w:type="dxa"/>
            <w:shd w:val="clear" w:color="auto" w:fill="auto"/>
          </w:tcPr>
          <w:p w14:paraId="3FC92792" w14:textId="77777777" w:rsidR="00857A0D" w:rsidRPr="00873B6C" w:rsidDel="00182EE7" w:rsidRDefault="00857A0D" w:rsidP="00857A0D">
            <w:pPr>
              <w:pStyle w:val="TAC"/>
            </w:pPr>
            <w:r w:rsidRPr="00873B6C">
              <w:rPr>
                <w:rFonts w:eastAsia="DengXian"/>
              </w:rPr>
              <w:t>RW</w:t>
            </w:r>
          </w:p>
        </w:tc>
        <w:tc>
          <w:tcPr>
            <w:tcW w:w="1338" w:type="dxa"/>
          </w:tcPr>
          <w:p w14:paraId="22FFCFC7" w14:textId="77777777" w:rsidR="00857A0D" w:rsidRPr="00873B6C" w:rsidRDefault="00857A0D" w:rsidP="00857A0D">
            <w:pPr>
              <w:pStyle w:val="TAC"/>
            </w:pPr>
            <w:r w:rsidRPr="00873B6C">
              <w:rPr>
                <w:rFonts w:eastAsia="DengXian"/>
              </w:rPr>
              <w:t>RW</w:t>
            </w:r>
          </w:p>
        </w:tc>
        <w:tc>
          <w:tcPr>
            <w:tcW w:w="2126" w:type="dxa"/>
            <w:shd w:val="clear" w:color="auto" w:fill="auto"/>
          </w:tcPr>
          <w:p w14:paraId="4AD2C090" w14:textId="77777777" w:rsidR="00857A0D" w:rsidRPr="00873B6C" w:rsidRDefault="00857A0D" w:rsidP="00857A0D">
            <w:pPr>
              <w:pStyle w:val="TAC"/>
            </w:pPr>
            <w:r w:rsidRPr="00873B6C">
              <w:rPr>
                <w:rFonts w:eastAsia="DengXian"/>
                <w:lang w:eastAsia="fr-FR"/>
              </w:rPr>
              <w:t>IEEE Std 802.1AS [104] clause 14.2.18</w:t>
            </w:r>
          </w:p>
        </w:tc>
      </w:tr>
      <w:tr w:rsidR="00857A0D" w:rsidRPr="00873B6C" w14:paraId="2B4E338D" w14:textId="77777777" w:rsidTr="00C9561D">
        <w:trPr>
          <w:cantSplit/>
          <w:jc w:val="center"/>
        </w:trPr>
        <w:tc>
          <w:tcPr>
            <w:tcW w:w="5000" w:type="dxa"/>
            <w:shd w:val="clear" w:color="auto" w:fill="auto"/>
          </w:tcPr>
          <w:p w14:paraId="2847152E" w14:textId="77777777" w:rsidR="00857A0D" w:rsidRPr="00873B6C" w:rsidRDefault="00857A0D" w:rsidP="00857A0D">
            <w:pPr>
              <w:pStyle w:val="TAL"/>
              <w:rPr>
                <w:b/>
              </w:rPr>
            </w:pPr>
            <w:r w:rsidRPr="00873B6C">
              <w:rPr>
                <w:lang w:eastAsia="fr-FR"/>
              </w:rPr>
              <w:lastRenderedPageBreak/>
              <w:t>&gt;&gt;</w:t>
            </w:r>
            <w:r w:rsidRPr="00873B6C">
              <w:t xml:space="preserve"> </w:t>
            </w:r>
            <w:r w:rsidRPr="00873B6C">
              <w:rPr>
                <w:lang w:eastAsia="fr-FR"/>
              </w:rPr>
              <w:t>defaultDS.externalPortConfigurationEnabled</w:t>
            </w:r>
          </w:p>
        </w:tc>
        <w:tc>
          <w:tcPr>
            <w:tcW w:w="1418" w:type="dxa"/>
            <w:shd w:val="clear" w:color="auto" w:fill="auto"/>
          </w:tcPr>
          <w:p w14:paraId="4A045489" w14:textId="77777777" w:rsidR="00857A0D" w:rsidRPr="00873B6C" w:rsidDel="00182EE7" w:rsidRDefault="00857A0D" w:rsidP="00857A0D">
            <w:pPr>
              <w:pStyle w:val="TAC"/>
            </w:pPr>
            <w:r w:rsidRPr="00873B6C" w:rsidDel="00A863FD">
              <w:rPr>
                <w:rFonts w:eastAsia="DengXian"/>
              </w:rPr>
              <w:t>RW</w:t>
            </w:r>
          </w:p>
        </w:tc>
        <w:tc>
          <w:tcPr>
            <w:tcW w:w="1338" w:type="dxa"/>
          </w:tcPr>
          <w:p w14:paraId="232BE8E8" w14:textId="77777777" w:rsidR="00857A0D" w:rsidRPr="00873B6C" w:rsidRDefault="00857A0D" w:rsidP="00857A0D">
            <w:pPr>
              <w:pStyle w:val="TAC"/>
            </w:pPr>
            <w:r w:rsidRPr="00873B6C">
              <w:rPr>
                <w:rFonts w:eastAsia="DengXian"/>
              </w:rPr>
              <w:t>RW</w:t>
            </w:r>
          </w:p>
        </w:tc>
        <w:tc>
          <w:tcPr>
            <w:tcW w:w="2126" w:type="dxa"/>
            <w:shd w:val="clear" w:color="auto" w:fill="auto"/>
          </w:tcPr>
          <w:p w14:paraId="6692DDA7" w14:textId="77777777" w:rsidR="00857A0D" w:rsidRPr="00873B6C" w:rsidRDefault="00857A0D" w:rsidP="00857A0D">
            <w:pPr>
              <w:pStyle w:val="TAC"/>
            </w:pPr>
            <w:r w:rsidRPr="00873B6C">
              <w:rPr>
                <w:rFonts w:eastAsia="DengXian"/>
                <w:lang w:eastAsia="fr-FR"/>
              </w:rPr>
              <w:t>IEEE Std 802.1AS [104] clause 14.2.4.3</w:t>
            </w:r>
          </w:p>
        </w:tc>
      </w:tr>
      <w:tr w:rsidR="00857A0D" w:rsidRPr="00873B6C" w14:paraId="675D49B5" w14:textId="77777777" w:rsidTr="00C9561D">
        <w:trPr>
          <w:cantSplit/>
          <w:jc w:val="center"/>
        </w:trPr>
        <w:tc>
          <w:tcPr>
            <w:tcW w:w="5000" w:type="dxa"/>
            <w:shd w:val="clear" w:color="auto" w:fill="auto"/>
          </w:tcPr>
          <w:p w14:paraId="721C6091" w14:textId="77777777" w:rsidR="00857A0D" w:rsidRPr="00873B6C" w:rsidRDefault="00857A0D" w:rsidP="00857A0D">
            <w:pPr>
              <w:pStyle w:val="TAL"/>
              <w:rPr>
                <w:b/>
              </w:rPr>
            </w:pPr>
            <w:r w:rsidRPr="00873B6C">
              <w:rPr>
                <w:lang w:eastAsia="fr-FR"/>
              </w:rPr>
              <w:t>&gt;&gt; defaultDS.instanceEnable</w:t>
            </w:r>
          </w:p>
        </w:tc>
        <w:tc>
          <w:tcPr>
            <w:tcW w:w="1418" w:type="dxa"/>
            <w:shd w:val="clear" w:color="auto" w:fill="auto"/>
          </w:tcPr>
          <w:p w14:paraId="45B18B4B" w14:textId="77777777" w:rsidR="00857A0D" w:rsidRPr="00873B6C" w:rsidDel="00182EE7" w:rsidRDefault="00857A0D" w:rsidP="00857A0D">
            <w:pPr>
              <w:pStyle w:val="TAC"/>
            </w:pPr>
            <w:r w:rsidRPr="00873B6C" w:rsidDel="00A863FD">
              <w:rPr>
                <w:rFonts w:eastAsia="DengXian"/>
              </w:rPr>
              <w:t>RW</w:t>
            </w:r>
          </w:p>
        </w:tc>
        <w:tc>
          <w:tcPr>
            <w:tcW w:w="1338" w:type="dxa"/>
          </w:tcPr>
          <w:p w14:paraId="47399662" w14:textId="77777777" w:rsidR="00857A0D" w:rsidRPr="00873B6C" w:rsidRDefault="00857A0D" w:rsidP="00857A0D">
            <w:pPr>
              <w:pStyle w:val="TAC"/>
            </w:pPr>
            <w:r w:rsidRPr="00873B6C">
              <w:rPr>
                <w:rFonts w:eastAsia="DengXian"/>
              </w:rPr>
              <w:t>RW</w:t>
            </w:r>
          </w:p>
        </w:tc>
        <w:tc>
          <w:tcPr>
            <w:tcW w:w="2126" w:type="dxa"/>
            <w:shd w:val="clear" w:color="auto" w:fill="auto"/>
          </w:tcPr>
          <w:p w14:paraId="074B1B27" w14:textId="77777777" w:rsidR="00857A0D" w:rsidRPr="00873B6C" w:rsidRDefault="00857A0D" w:rsidP="00857A0D">
            <w:pPr>
              <w:pStyle w:val="TAC"/>
            </w:pPr>
            <w:r w:rsidRPr="00873B6C">
              <w:rPr>
                <w:rFonts w:eastAsia="DengXian"/>
                <w:lang w:eastAsia="fr-FR"/>
              </w:rPr>
              <w:t>IEEE Std 802.1AS [104] clause 14.2.19</w:t>
            </w:r>
          </w:p>
        </w:tc>
      </w:tr>
      <w:tr w:rsidR="00857A0D" w:rsidRPr="00873B6C" w14:paraId="35F0C71E" w14:textId="77777777" w:rsidTr="00C9561D">
        <w:trPr>
          <w:cantSplit/>
          <w:jc w:val="center"/>
        </w:trPr>
        <w:tc>
          <w:tcPr>
            <w:tcW w:w="5000" w:type="dxa"/>
            <w:shd w:val="clear" w:color="auto" w:fill="auto"/>
          </w:tcPr>
          <w:p w14:paraId="00E19AD8" w14:textId="77777777" w:rsidR="00857A0D" w:rsidRPr="00873B6C" w:rsidRDefault="00857A0D" w:rsidP="00857A0D">
            <w:pPr>
              <w:pStyle w:val="TAL"/>
              <w:rPr>
                <w:b/>
              </w:rPr>
            </w:pPr>
            <w:r w:rsidRPr="00873B6C">
              <w:rPr>
                <w:lang w:eastAsia="fr-FR"/>
              </w:rPr>
              <w:t>&gt;&gt; timePropertiesDS.currentUtcOffset</w:t>
            </w:r>
          </w:p>
        </w:tc>
        <w:tc>
          <w:tcPr>
            <w:tcW w:w="1418" w:type="dxa"/>
            <w:shd w:val="clear" w:color="auto" w:fill="auto"/>
          </w:tcPr>
          <w:p w14:paraId="69FE0E22" w14:textId="77777777" w:rsidR="00857A0D" w:rsidRPr="00873B6C" w:rsidDel="00182EE7" w:rsidRDefault="00857A0D" w:rsidP="00857A0D">
            <w:pPr>
              <w:pStyle w:val="TAC"/>
            </w:pPr>
            <w:r w:rsidRPr="00873B6C">
              <w:rPr>
                <w:rFonts w:eastAsia="DengXian"/>
              </w:rPr>
              <w:t>RW</w:t>
            </w:r>
          </w:p>
        </w:tc>
        <w:tc>
          <w:tcPr>
            <w:tcW w:w="1338" w:type="dxa"/>
          </w:tcPr>
          <w:p w14:paraId="52711AFF" w14:textId="77777777" w:rsidR="00857A0D" w:rsidRPr="00873B6C" w:rsidRDefault="00857A0D" w:rsidP="00857A0D">
            <w:pPr>
              <w:pStyle w:val="TAC"/>
            </w:pPr>
            <w:r w:rsidRPr="00873B6C">
              <w:rPr>
                <w:rFonts w:eastAsia="DengXian"/>
              </w:rPr>
              <w:t>RW</w:t>
            </w:r>
          </w:p>
        </w:tc>
        <w:tc>
          <w:tcPr>
            <w:tcW w:w="2126" w:type="dxa"/>
            <w:shd w:val="clear" w:color="auto" w:fill="auto"/>
          </w:tcPr>
          <w:p w14:paraId="58259C7A" w14:textId="77777777" w:rsidR="00857A0D" w:rsidRPr="00873B6C" w:rsidRDefault="00857A0D" w:rsidP="00857A0D">
            <w:pPr>
              <w:pStyle w:val="TAC"/>
            </w:pPr>
            <w:r w:rsidRPr="00873B6C">
              <w:rPr>
                <w:rFonts w:eastAsia="DengXian"/>
                <w:lang w:eastAsia="fr-FR"/>
              </w:rPr>
              <w:t>IEEE Std 802.1AS [104] clause 14.5.2</w:t>
            </w:r>
          </w:p>
        </w:tc>
      </w:tr>
      <w:tr w:rsidR="00857A0D" w:rsidRPr="00873B6C" w14:paraId="0648C5A7" w14:textId="77777777" w:rsidTr="00C9561D">
        <w:trPr>
          <w:cantSplit/>
          <w:jc w:val="center"/>
        </w:trPr>
        <w:tc>
          <w:tcPr>
            <w:tcW w:w="5000" w:type="dxa"/>
            <w:shd w:val="clear" w:color="auto" w:fill="auto"/>
          </w:tcPr>
          <w:p w14:paraId="711398B8" w14:textId="77777777" w:rsidR="00857A0D" w:rsidRPr="00873B6C" w:rsidDel="00182EE7" w:rsidRDefault="00857A0D" w:rsidP="00857A0D">
            <w:pPr>
              <w:pStyle w:val="TAL"/>
              <w:rPr>
                <w:lang w:eastAsia="fr-FR"/>
              </w:rPr>
            </w:pPr>
            <w:r w:rsidRPr="00873B6C">
              <w:rPr>
                <w:b/>
              </w:rPr>
              <w:t>Time synchronization information for DS-TT ports</w:t>
            </w:r>
          </w:p>
        </w:tc>
        <w:tc>
          <w:tcPr>
            <w:tcW w:w="1418" w:type="dxa"/>
            <w:shd w:val="clear" w:color="auto" w:fill="auto"/>
          </w:tcPr>
          <w:p w14:paraId="17D6CE58" w14:textId="77777777" w:rsidR="00857A0D" w:rsidRPr="00873B6C" w:rsidDel="00182EE7" w:rsidRDefault="00857A0D" w:rsidP="00857A0D">
            <w:pPr>
              <w:pStyle w:val="TAC"/>
            </w:pPr>
          </w:p>
        </w:tc>
        <w:tc>
          <w:tcPr>
            <w:tcW w:w="1338" w:type="dxa"/>
          </w:tcPr>
          <w:p w14:paraId="26B6D76B" w14:textId="77777777" w:rsidR="00857A0D" w:rsidRPr="00873B6C" w:rsidRDefault="00857A0D" w:rsidP="00857A0D">
            <w:pPr>
              <w:pStyle w:val="TAC"/>
            </w:pPr>
          </w:p>
        </w:tc>
        <w:tc>
          <w:tcPr>
            <w:tcW w:w="2126" w:type="dxa"/>
            <w:shd w:val="clear" w:color="auto" w:fill="auto"/>
          </w:tcPr>
          <w:p w14:paraId="4F72E85B" w14:textId="77777777" w:rsidR="00857A0D" w:rsidRPr="00873B6C" w:rsidRDefault="00857A0D" w:rsidP="00857A0D">
            <w:pPr>
              <w:pStyle w:val="TAC"/>
            </w:pPr>
          </w:p>
        </w:tc>
      </w:tr>
      <w:tr w:rsidR="00857A0D" w:rsidRPr="00873B6C" w14:paraId="2DA5C301" w14:textId="77777777" w:rsidTr="00C9561D">
        <w:trPr>
          <w:cantSplit/>
          <w:jc w:val="center"/>
        </w:trPr>
        <w:tc>
          <w:tcPr>
            <w:tcW w:w="5000" w:type="dxa"/>
            <w:shd w:val="clear" w:color="auto" w:fill="auto"/>
          </w:tcPr>
          <w:p w14:paraId="30D33BEF" w14:textId="77777777" w:rsidR="00857A0D" w:rsidRPr="00873B6C" w:rsidRDefault="00857A0D" w:rsidP="00857A0D">
            <w:pPr>
              <w:pStyle w:val="TAL"/>
              <w:rPr>
                <w:b/>
              </w:rPr>
            </w:pPr>
            <w:r w:rsidRPr="00873B6C">
              <w:rPr>
                <w:b/>
              </w:rPr>
              <w:t>&gt; Time synchronization information for each DS-TT port</w:t>
            </w:r>
          </w:p>
        </w:tc>
        <w:tc>
          <w:tcPr>
            <w:tcW w:w="1418" w:type="dxa"/>
            <w:shd w:val="clear" w:color="auto" w:fill="auto"/>
          </w:tcPr>
          <w:p w14:paraId="32AF165E" w14:textId="77777777" w:rsidR="00857A0D" w:rsidRPr="00873B6C" w:rsidDel="00182EE7" w:rsidRDefault="00857A0D" w:rsidP="00857A0D">
            <w:pPr>
              <w:pStyle w:val="TAC"/>
            </w:pPr>
          </w:p>
        </w:tc>
        <w:tc>
          <w:tcPr>
            <w:tcW w:w="1338" w:type="dxa"/>
          </w:tcPr>
          <w:p w14:paraId="01F9E620" w14:textId="77777777" w:rsidR="00857A0D" w:rsidRPr="00873B6C" w:rsidRDefault="00857A0D" w:rsidP="00857A0D">
            <w:pPr>
              <w:pStyle w:val="TAC"/>
            </w:pPr>
          </w:p>
        </w:tc>
        <w:tc>
          <w:tcPr>
            <w:tcW w:w="2126" w:type="dxa"/>
            <w:shd w:val="clear" w:color="auto" w:fill="auto"/>
          </w:tcPr>
          <w:p w14:paraId="6AFE0229" w14:textId="77777777" w:rsidR="00857A0D" w:rsidRPr="00873B6C" w:rsidRDefault="00857A0D" w:rsidP="00857A0D">
            <w:pPr>
              <w:pStyle w:val="TAC"/>
            </w:pPr>
          </w:p>
        </w:tc>
      </w:tr>
      <w:tr w:rsidR="00857A0D" w:rsidRPr="00873B6C" w14:paraId="5776F6E2" w14:textId="77777777" w:rsidTr="00C9561D">
        <w:trPr>
          <w:cantSplit/>
          <w:jc w:val="center"/>
        </w:trPr>
        <w:tc>
          <w:tcPr>
            <w:tcW w:w="5000" w:type="dxa"/>
            <w:shd w:val="clear" w:color="auto" w:fill="auto"/>
          </w:tcPr>
          <w:p w14:paraId="4B36BB54" w14:textId="77777777" w:rsidR="00857A0D" w:rsidRPr="00873B6C" w:rsidRDefault="00857A0D" w:rsidP="00857A0D">
            <w:pPr>
              <w:pStyle w:val="TAL"/>
              <w:rPr>
                <w:b/>
              </w:rPr>
            </w:pPr>
            <w:r w:rsidRPr="00873B6C">
              <w:t>&gt; DS-TT port number</w:t>
            </w:r>
          </w:p>
        </w:tc>
        <w:tc>
          <w:tcPr>
            <w:tcW w:w="1418" w:type="dxa"/>
            <w:shd w:val="clear" w:color="auto" w:fill="auto"/>
          </w:tcPr>
          <w:p w14:paraId="0DBD67AD" w14:textId="77777777" w:rsidR="00857A0D" w:rsidRPr="00873B6C" w:rsidDel="00182EE7" w:rsidRDefault="00857A0D" w:rsidP="00857A0D">
            <w:pPr>
              <w:pStyle w:val="TAC"/>
            </w:pPr>
            <w:r w:rsidRPr="00873B6C">
              <w:t>RW</w:t>
            </w:r>
          </w:p>
        </w:tc>
        <w:tc>
          <w:tcPr>
            <w:tcW w:w="1338" w:type="dxa"/>
          </w:tcPr>
          <w:p w14:paraId="363F0960" w14:textId="77777777" w:rsidR="00857A0D" w:rsidRPr="00873B6C" w:rsidRDefault="00857A0D" w:rsidP="00857A0D">
            <w:pPr>
              <w:pStyle w:val="TAC"/>
            </w:pPr>
            <w:r w:rsidRPr="00873B6C">
              <w:t>RW</w:t>
            </w:r>
          </w:p>
        </w:tc>
        <w:tc>
          <w:tcPr>
            <w:tcW w:w="2126" w:type="dxa"/>
            <w:shd w:val="clear" w:color="auto" w:fill="auto"/>
          </w:tcPr>
          <w:p w14:paraId="2B578430" w14:textId="77777777" w:rsidR="00857A0D" w:rsidRPr="00873B6C" w:rsidRDefault="00857A0D" w:rsidP="00857A0D">
            <w:pPr>
              <w:pStyle w:val="TAC"/>
            </w:pPr>
          </w:p>
        </w:tc>
      </w:tr>
      <w:tr w:rsidR="00857A0D" w:rsidRPr="00873B6C" w14:paraId="16832837" w14:textId="77777777" w:rsidTr="00C9561D">
        <w:trPr>
          <w:cantSplit/>
          <w:jc w:val="center"/>
        </w:trPr>
        <w:tc>
          <w:tcPr>
            <w:tcW w:w="5000" w:type="dxa"/>
            <w:shd w:val="clear" w:color="auto" w:fill="auto"/>
          </w:tcPr>
          <w:p w14:paraId="09EA26F4" w14:textId="77777777" w:rsidR="00857A0D" w:rsidRPr="00873B6C" w:rsidRDefault="00857A0D" w:rsidP="00857A0D">
            <w:pPr>
              <w:pStyle w:val="TAL"/>
            </w:pPr>
            <w:r w:rsidRPr="00873B6C">
              <w:rPr>
                <w:b/>
              </w:rPr>
              <w:t>&gt;&gt; Time synchronization information for each PTP Instance</w:t>
            </w:r>
          </w:p>
        </w:tc>
        <w:tc>
          <w:tcPr>
            <w:tcW w:w="1418" w:type="dxa"/>
            <w:shd w:val="clear" w:color="auto" w:fill="auto"/>
          </w:tcPr>
          <w:p w14:paraId="76E512DD" w14:textId="77777777" w:rsidR="00857A0D" w:rsidRPr="00873B6C" w:rsidRDefault="00857A0D" w:rsidP="00857A0D">
            <w:pPr>
              <w:pStyle w:val="TAC"/>
            </w:pPr>
          </w:p>
        </w:tc>
        <w:tc>
          <w:tcPr>
            <w:tcW w:w="1338" w:type="dxa"/>
          </w:tcPr>
          <w:p w14:paraId="4D119947" w14:textId="77777777" w:rsidR="00857A0D" w:rsidRPr="00873B6C" w:rsidRDefault="00857A0D" w:rsidP="00857A0D">
            <w:pPr>
              <w:pStyle w:val="TAC"/>
            </w:pPr>
          </w:p>
        </w:tc>
        <w:tc>
          <w:tcPr>
            <w:tcW w:w="2126" w:type="dxa"/>
            <w:shd w:val="clear" w:color="auto" w:fill="auto"/>
          </w:tcPr>
          <w:p w14:paraId="37320F56" w14:textId="77777777" w:rsidR="00857A0D" w:rsidRPr="00873B6C" w:rsidRDefault="00857A0D" w:rsidP="00857A0D">
            <w:pPr>
              <w:pStyle w:val="TAC"/>
            </w:pPr>
          </w:p>
        </w:tc>
      </w:tr>
      <w:tr w:rsidR="00857A0D" w:rsidRPr="00873B6C" w14:paraId="5D765324" w14:textId="77777777" w:rsidTr="00C9561D">
        <w:trPr>
          <w:cantSplit/>
          <w:jc w:val="center"/>
        </w:trPr>
        <w:tc>
          <w:tcPr>
            <w:tcW w:w="5000" w:type="dxa"/>
            <w:shd w:val="clear" w:color="auto" w:fill="auto"/>
          </w:tcPr>
          <w:p w14:paraId="40AA94E1" w14:textId="77777777" w:rsidR="00857A0D" w:rsidRPr="00873B6C" w:rsidRDefault="00857A0D" w:rsidP="00857A0D">
            <w:pPr>
              <w:pStyle w:val="TAL"/>
              <w:rPr>
                <w:b/>
              </w:rPr>
            </w:pPr>
            <w:r w:rsidRPr="00873B6C">
              <w:rPr>
                <w:lang w:eastAsia="fr-FR"/>
              </w:rPr>
              <w:t>&gt;&gt; PTP Instance ID (NOTE 17)</w:t>
            </w:r>
          </w:p>
        </w:tc>
        <w:tc>
          <w:tcPr>
            <w:tcW w:w="1418" w:type="dxa"/>
            <w:shd w:val="clear" w:color="auto" w:fill="auto"/>
          </w:tcPr>
          <w:p w14:paraId="6B1E5FD7" w14:textId="77777777" w:rsidR="00857A0D" w:rsidRPr="00873B6C" w:rsidRDefault="00857A0D" w:rsidP="00857A0D">
            <w:pPr>
              <w:pStyle w:val="TAC"/>
            </w:pPr>
            <w:r w:rsidRPr="00873B6C">
              <w:t>RW</w:t>
            </w:r>
          </w:p>
        </w:tc>
        <w:tc>
          <w:tcPr>
            <w:tcW w:w="1338" w:type="dxa"/>
          </w:tcPr>
          <w:p w14:paraId="074FAEB9" w14:textId="77777777" w:rsidR="00857A0D" w:rsidRPr="00873B6C" w:rsidRDefault="00857A0D" w:rsidP="00857A0D">
            <w:pPr>
              <w:pStyle w:val="TAC"/>
            </w:pPr>
            <w:r w:rsidRPr="00873B6C">
              <w:t>RW</w:t>
            </w:r>
          </w:p>
        </w:tc>
        <w:tc>
          <w:tcPr>
            <w:tcW w:w="2126" w:type="dxa"/>
            <w:shd w:val="clear" w:color="auto" w:fill="auto"/>
          </w:tcPr>
          <w:p w14:paraId="16EEAD2D" w14:textId="77777777" w:rsidR="00857A0D" w:rsidRPr="00873B6C" w:rsidRDefault="00857A0D" w:rsidP="00857A0D">
            <w:pPr>
              <w:pStyle w:val="TAC"/>
            </w:pPr>
          </w:p>
        </w:tc>
      </w:tr>
      <w:tr w:rsidR="00857A0D" w:rsidRPr="00873B6C" w14:paraId="159330F6" w14:textId="77777777" w:rsidTr="00C9561D">
        <w:trPr>
          <w:cantSplit/>
          <w:jc w:val="center"/>
        </w:trPr>
        <w:tc>
          <w:tcPr>
            <w:tcW w:w="5000" w:type="dxa"/>
            <w:shd w:val="clear" w:color="auto" w:fill="auto"/>
          </w:tcPr>
          <w:p w14:paraId="1F6063F9" w14:textId="77777777" w:rsidR="00857A0D" w:rsidRPr="00873B6C" w:rsidRDefault="00857A0D" w:rsidP="00857A0D">
            <w:pPr>
              <w:pStyle w:val="TAL"/>
              <w:rPr>
                <w:lang w:eastAsia="fr-FR"/>
              </w:rPr>
            </w:pPr>
            <w:r w:rsidRPr="00873B6C" w:rsidDel="00A863FD">
              <w:rPr>
                <w:lang w:eastAsia="fr-FR"/>
              </w:rPr>
              <w:t>&gt;&gt; Grandmaster on behalf of DS-TT enabled (NOTE 1</w:t>
            </w:r>
            <w:r w:rsidRPr="00873B6C">
              <w:rPr>
                <w:lang w:eastAsia="fr-FR"/>
              </w:rPr>
              <w:t>4</w:t>
            </w:r>
            <w:r w:rsidRPr="00873B6C" w:rsidDel="00A863FD">
              <w:rPr>
                <w:lang w:eastAsia="fr-FR"/>
              </w:rPr>
              <w:t>)</w:t>
            </w:r>
          </w:p>
        </w:tc>
        <w:tc>
          <w:tcPr>
            <w:tcW w:w="1418" w:type="dxa"/>
            <w:shd w:val="clear" w:color="auto" w:fill="auto"/>
          </w:tcPr>
          <w:p w14:paraId="4FE7FD68" w14:textId="77777777" w:rsidR="00857A0D" w:rsidRPr="00873B6C" w:rsidRDefault="00857A0D" w:rsidP="00857A0D">
            <w:pPr>
              <w:pStyle w:val="TAC"/>
            </w:pPr>
            <w:r w:rsidRPr="00873B6C" w:rsidDel="00A863FD">
              <w:t>RW</w:t>
            </w:r>
          </w:p>
        </w:tc>
        <w:tc>
          <w:tcPr>
            <w:tcW w:w="1338" w:type="dxa"/>
          </w:tcPr>
          <w:p w14:paraId="11F1503B" w14:textId="77777777" w:rsidR="00857A0D" w:rsidRPr="00873B6C" w:rsidRDefault="00857A0D" w:rsidP="00857A0D">
            <w:pPr>
              <w:pStyle w:val="TAC"/>
            </w:pPr>
            <w:r w:rsidRPr="00873B6C">
              <w:t>RW</w:t>
            </w:r>
          </w:p>
        </w:tc>
        <w:tc>
          <w:tcPr>
            <w:tcW w:w="2126" w:type="dxa"/>
            <w:shd w:val="clear" w:color="auto" w:fill="auto"/>
          </w:tcPr>
          <w:p w14:paraId="719FABEA" w14:textId="77777777" w:rsidR="00857A0D" w:rsidRPr="00873B6C" w:rsidRDefault="00857A0D" w:rsidP="00857A0D">
            <w:pPr>
              <w:pStyle w:val="TAC"/>
            </w:pPr>
          </w:p>
        </w:tc>
      </w:tr>
      <w:tr w:rsidR="00857A0D" w:rsidRPr="00873B6C" w14:paraId="435AB36E" w14:textId="77777777" w:rsidTr="00C9561D">
        <w:trPr>
          <w:cantSplit/>
          <w:jc w:val="center"/>
        </w:trPr>
        <w:tc>
          <w:tcPr>
            <w:tcW w:w="5000" w:type="dxa"/>
            <w:shd w:val="clear" w:color="auto" w:fill="auto"/>
          </w:tcPr>
          <w:p w14:paraId="4ACA1812" w14:textId="77777777" w:rsidR="00857A0D" w:rsidRPr="00873B6C" w:rsidDel="00A863FD" w:rsidRDefault="00857A0D" w:rsidP="00857A0D">
            <w:pPr>
              <w:pStyle w:val="TAL"/>
              <w:rPr>
                <w:lang w:eastAsia="fr-FR"/>
              </w:rPr>
            </w:pPr>
            <w:r w:rsidRPr="00873B6C">
              <w:rPr>
                <w:b/>
                <w:bCs/>
                <w:lang w:eastAsia="fr-FR"/>
              </w:rPr>
              <w:t>IEEE Std 1588 [126] data sets (NOTE 15)</w:t>
            </w:r>
          </w:p>
        </w:tc>
        <w:tc>
          <w:tcPr>
            <w:tcW w:w="1418" w:type="dxa"/>
            <w:shd w:val="clear" w:color="auto" w:fill="auto"/>
          </w:tcPr>
          <w:p w14:paraId="460A480D" w14:textId="77777777" w:rsidR="00857A0D" w:rsidRPr="00873B6C" w:rsidDel="00A863FD" w:rsidRDefault="00857A0D" w:rsidP="00857A0D">
            <w:pPr>
              <w:pStyle w:val="TAC"/>
            </w:pPr>
          </w:p>
        </w:tc>
        <w:tc>
          <w:tcPr>
            <w:tcW w:w="1338" w:type="dxa"/>
          </w:tcPr>
          <w:p w14:paraId="137AE894" w14:textId="77777777" w:rsidR="00857A0D" w:rsidRPr="00873B6C" w:rsidRDefault="00857A0D" w:rsidP="00857A0D">
            <w:pPr>
              <w:pStyle w:val="TAC"/>
            </w:pPr>
          </w:p>
        </w:tc>
        <w:tc>
          <w:tcPr>
            <w:tcW w:w="2126" w:type="dxa"/>
            <w:shd w:val="clear" w:color="auto" w:fill="auto"/>
          </w:tcPr>
          <w:p w14:paraId="6D391EAD" w14:textId="77777777" w:rsidR="00857A0D" w:rsidRPr="00873B6C" w:rsidRDefault="00857A0D" w:rsidP="00857A0D">
            <w:pPr>
              <w:pStyle w:val="TAC"/>
            </w:pPr>
          </w:p>
        </w:tc>
      </w:tr>
      <w:tr w:rsidR="00857A0D" w:rsidRPr="00873B6C" w14:paraId="595370E4" w14:textId="77777777" w:rsidTr="00C9561D">
        <w:trPr>
          <w:cantSplit/>
          <w:jc w:val="center"/>
        </w:trPr>
        <w:tc>
          <w:tcPr>
            <w:tcW w:w="5000" w:type="dxa"/>
            <w:shd w:val="clear" w:color="auto" w:fill="auto"/>
          </w:tcPr>
          <w:p w14:paraId="09A2620C" w14:textId="77777777" w:rsidR="00857A0D" w:rsidRPr="00873B6C" w:rsidRDefault="00857A0D" w:rsidP="00857A0D">
            <w:pPr>
              <w:pStyle w:val="TAL"/>
              <w:rPr>
                <w:lang w:eastAsia="fr-FR"/>
              </w:rPr>
            </w:pPr>
            <w:r w:rsidRPr="00873B6C">
              <w:rPr>
                <w:lang w:eastAsia="fr-FR"/>
              </w:rPr>
              <w:t>&gt;&gt; portDS.portIdentity</w:t>
            </w:r>
          </w:p>
        </w:tc>
        <w:tc>
          <w:tcPr>
            <w:tcW w:w="1418" w:type="dxa"/>
            <w:shd w:val="clear" w:color="auto" w:fill="auto"/>
          </w:tcPr>
          <w:p w14:paraId="35982D18" w14:textId="77777777" w:rsidR="00857A0D" w:rsidRPr="00873B6C" w:rsidRDefault="00857A0D" w:rsidP="00857A0D">
            <w:pPr>
              <w:pStyle w:val="TAC"/>
              <w:rPr>
                <w:lang w:eastAsia="fr-FR"/>
              </w:rPr>
            </w:pPr>
            <w:r w:rsidRPr="00873B6C">
              <w:rPr>
                <w:lang w:eastAsia="fr-FR"/>
              </w:rPr>
              <w:t>RW</w:t>
            </w:r>
          </w:p>
        </w:tc>
        <w:tc>
          <w:tcPr>
            <w:tcW w:w="1338" w:type="dxa"/>
          </w:tcPr>
          <w:p w14:paraId="2A06B72E" w14:textId="77777777" w:rsidR="00857A0D" w:rsidRPr="00873B6C" w:rsidRDefault="00857A0D" w:rsidP="00857A0D">
            <w:pPr>
              <w:pStyle w:val="TAC"/>
            </w:pPr>
            <w:r w:rsidRPr="00873B6C">
              <w:rPr>
                <w:lang w:eastAsia="fr-FR"/>
              </w:rPr>
              <w:t>RW</w:t>
            </w:r>
          </w:p>
        </w:tc>
        <w:tc>
          <w:tcPr>
            <w:tcW w:w="2126" w:type="dxa"/>
            <w:shd w:val="clear" w:color="auto" w:fill="auto"/>
          </w:tcPr>
          <w:p w14:paraId="5EAE21CC" w14:textId="77777777" w:rsidR="00857A0D" w:rsidRPr="00873B6C" w:rsidRDefault="00857A0D" w:rsidP="00857A0D">
            <w:pPr>
              <w:pStyle w:val="TAC"/>
            </w:pPr>
            <w:r w:rsidRPr="00873B6C">
              <w:rPr>
                <w:lang w:eastAsia="fr-FR"/>
              </w:rPr>
              <w:t>IEEE Std 1588 [126] clause 8.2.15.2.1</w:t>
            </w:r>
          </w:p>
        </w:tc>
      </w:tr>
      <w:tr w:rsidR="00857A0D" w:rsidRPr="00873B6C" w14:paraId="416EAFF2" w14:textId="77777777" w:rsidTr="00C9561D">
        <w:trPr>
          <w:cantSplit/>
          <w:jc w:val="center"/>
        </w:trPr>
        <w:tc>
          <w:tcPr>
            <w:tcW w:w="5000" w:type="dxa"/>
            <w:shd w:val="clear" w:color="auto" w:fill="auto"/>
          </w:tcPr>
          <w:p w14:paraId="711EB63D" w14:textId="77777777" w:rsidR="00857A0D" w:rsidRPr="00873B6C" w:rsidRDefault="00857A0D" w:rsidP="00857A0D">
            <w:pPr>
              <w:pStyle w:val="TAL"/>
              <w:rPr>
                <w:lang w:eastAsia="fr-FR"/>
              </w:rPr>
            </w:pPr>
            <w:r w:rsidRPr="00873B6C">
              <w:rPr>
                <w:lang w:eastAsia="fr-FR"/>
              </w:rPr>
              <w:t>&gt;&gt; portDS.portState</w:t>
            </w:r>
          </w:p>
        </w:tc>
        <w:tc>
          <w:tcPr>
            <w:tcW w:w="1418" w:type="dxa"/>
            <w:shd w:val="clear" w:color="auto" w:fill="auto"/>
          </w:tcPr>
          <w:p w14:paraId="42423314" w14:textId="77777777" w:rsidR="00857A0D" w:rsidRPr="00873B6C" w:rsidRDefault="00857A0D" w:rsidP="00857A0D">
            <w:pPr>
              <w:pStyle w:val="TAC"/>
              <w:rPr>
                <w:lang w:eastAsia="fr-FR"/>
              </w:rPr>
            </w:pPr>
            <w:r w:rsidRPr="00873B6C">
              <w:rPr>
                <w:lang w:eastAsia="fr-FR"/>
              </w:rPr>
              <w:t>R</w:t>
            </w:r>
          </w:p>
        </w:tc>
        <w:tc>
          <w:tcPr>
            <w:tcW w:w="1338" w:type="dxa"/>
          </w:tcPr>
          <w:p w14:paraId="00AE55EB" w14:textId="77777777" w:rsidR="00857A0D" w:rsidRPr="00873B6C" w:rsidRDefault="00857A0D" w:rsidP="00857A0D">
            <w:pPr>
              <w:pStyle w:val="TAC"/>
            </w:pPr>
            <w:r w:rsidRPr="00873B6C">
              <w:rPr>
                <w:lang w:eastAsia="fr-FR"/>
              </w:rPr>
              <w:t>R</w:t>
            </w:r>
          </w:p>
        </w:tc>
        <w:tc>
          <w:tcPr>
            <w:tcW w:w="2126" w:type="dxa"/>
            <w:shd w:val="clear" w:color="auto" w:fill="auto"/>
          </w:tcPr>
          <w:p w14:paraId="3B22CF12" w14:textId="77777777" w:rsidR="00857A0D" w:rsidRPr="00873B6C" w:rsidRDefault="00857A0D" w:rsidP="00857A0D">
            <w:pPr>
              <w:pStyle w:val="TAC"/>
            </w:pPr>
            <w:r w:rsidRPr="00873B6C">
              <w:rPr>
                <w:lang w:eastAsia="fr-FR"/>
              </w:rPr>
              <w:t>IEEE Std 1588 [126] clause 8.2.15.3.1</w:t>
            </w:r>
          </w:p>
        </w:tc>
      </w:tr>
      <w:tr w:rsidR="00857A0D" w:rsidRPr="00873B6C" w14:paraId="2E361E68" w14:textId="77777777" w:rsidTr="00C9561D">
        <w:trPr>
          <w:cantSplit/>
          <w:jc w:val="center"/>
        </w:trPr>
        <w:tc>
          <w:tcPr>
            <w:tcW w:w="5000" w:type="dxa"/>
            <w:shd w:val="clear" w:color="auto" w:fill="auto"/>
          </w:tcPr>
          <w:p w14:paraId="4E60A404" w14:textId="77777777" w:rsidR="00857A0D" w:rsidRPr="00873B6C" w:rsidRDefault="00857A0D" w:rsidP="00857A0D">
            <w:pPr>
              <w:pStyle w:val="TAL"/>
              <w:rPr>
                <w:lang w:eastAsia="fr-FR"/>
              </w:rPr>
            </w:pPr>
            <w:r w:rsidRPr="00873B6C">
              <w:rPr>
                <w:lang w:eastAsia="fr-FR"/>
              </w:rPr>
              <w:t>&gt;&gt; portDS.logMinDelayReqInterval</w:t>
            </w:r>
          </w:p>
        </w:tc>
        <w:tc>
          <w:tcPr>
            <w:tcW w:w="1418" w:type="dxa"/>
            <w:shd w:val="clear" w:color="auto" w:fill="auto"/>
          </w:tcPr>
          <w:p w14:paraId="6C8103C5" w14:textId="77777777" w:rsidR="00857A0D" w:rsidRPr="00873B6C" w:rsidRDefault="00857A0D" w:rsidP="00857A0D">
            <w:pPr>
              <w:pStyle w:val="TAC"/>
              <w:rPr>
                <w:lang w:eastAsia="fr-FR"/>
              </w:rPr>
            </w:pPr>
            <w:r w:rsidRPr="00873B6C">
              <w:rPr>
                <w:lang w:eastAsia="fr-FR"/>
              </w:rPr>
              <w:t>RW</w:t>
            </w:r>
          </w:p>
        </w:tc>
        <w:tc>
          <w:tcPr>
            <w:tcW w:w="1338" w:type="dxa"/>
          </w:tcPr>
          <w:p w14:paraId="2C7A7FFF" w14:textId="77777777" w:rsidR="00857A0D" w:rsidRPr="00873B6C" w:rsidRDefault="00857A0D" w:rsidP="00857A0D">
            <w:pPr>
              <w:pStyle w:val="TAC"/>
            </w:pPr>
            <w:r w:rsidRPr="00873B6C">
              <w:rPr>
                <w:lang w:eastAsia="fr-FR"/>
              </w:rPr>
              <w:t>RW</w:t>
            </w:r>
          </w:p>
        </w:tc>
        <w:tc>
          <w:tcPr>
            <w:tcW w:w="2126" w:type="dxa"/>
            <w:shd w:val="clear" w:color="auto" w:fill="auto"/>
          </w:tcPr>
          <w:p w14:paraId="728D34F9" w14:textId="77777777" w:rsidR="00857A0D" w:rsidRPr="00873B6C" w:rsidRDefault="00857A0D" w:rsidP="00857A0D">
            <w:pPr>
              <w:pStyle w:val="TAC"/>
            </w:pPr>
            <w:r w:rsidRPr="00873B6C">
              <w:rPr>
                <w:lang w:eastAsia="fr-FR"/>
              </w:rPr>
              <w:t>IEEE Std 1588 [126] clause 8.2.15.3.2</w:t>
            </w:r>
          </w:p>
        </w:tc>
      </w:tr>
      <w:tr w:rsidR="00857A0D" w:rsidRPr="00873B6C" w14:paraId="133FB4EC" w14:textId="77777777" w:rsidTr="00C9561D">
        <w:trPr>
          <w:cantSplit/>
          <w:jc w:val="center"/>
        </w:trPr>
        <w:tc>
          <w:tcPr>
            <w:tcW w:w="5000" w:type="dxa"/>
            <w:shd w:val="clear" w:color="auto" w:fill="auto"/>
          </w:tcPr>
          <w:p w14:paraId="6D394FA0" w14:textId="77777777" w:rsidR="00857A0D" w:rsidRPr="00873B6C" w:rsidRDefault="00857A0D" w:rsidP="00857A0D">
            <w:pPr>
              <w:pStyle w:val="TAL"/>
              <w:rPr>
                <w:lang w:eastAsia="fr-FR"/>
              </w:rPr>
            </w:pPr>
            <w:r w:rsidRPr="00873B6C">
              <w:rPr>
                <w:lang w:eastAsia="fr-FR"/>
              </w:rPr>
              <w:t>&gt;&gt; portDS.logAnnounceInterval</w:t>
            </w:r>
          </w:p>
        </w:tc>
        <w:tc>
          <w:tcPr>
            <w:tcW w:w="1418" w:type="dxa"/>
            <w:shd w:val="clear" w:color="auto" w:fill="auto"/>
          </w:tcPr>
          <w:p w14:paraId="4AB090C8" w14:textId="77777777" w:rsidR="00857A0D" w:rsidRPr="00873B6C" w:rsidRDefault="00857A0D" w:rsidP="00857A0D">
            <w:pPr>
              <w:pStyle w:val="TAC"/>
              <w:rPr>
                <w:lang w:eastAsia="fr-FR"/>
              </w:rPr>
            </w:pPr>
            <w:r w:rsidRPr="00873B6C">
              <w:rPr>
                <w:lang w:eastAsia="fr-FR"/>
              </w:rPr>
              <w:t>RW</w:t>
            </w:r>
          </w:p>
        </w:tc>
        <w:tc>
          <w:tcPr>
            <w:tcW w:w="1338" w:type="dxa"/>
          </w:tcPr>
          <w:p w14:paraId="72AF129C" w14:textId="77777777" w:rsidR="00857A0D" w:rsidRPr="00873B6C" w:rsidRDefault="00857A0D" w:rsidP="00857A0D">
            <w:pPr>
              <w:pStyle w:val="TAC"/>
            </w:pPr>
            <w:r w:rsidRPr="00873B6C">
              <w:rPr>
                <w:lang w:eastAsia="fr-FR"/>
              </w:rPr>
              <w:t>RW</w:t>
            </w:r>
          </w:p>
        </w:tc>
        <w:tc>
          <w:tcPr>
            <w:tcW w:w="2126" w:type="dxa"/>
            <w:shd w:val="clear" w:color="auto" w:fill="auto"/>
          </w:tcPr>
          <w:p w14:paraId="4169CF3A" w14:textId="77777777" w:rsidR="00857A0D" w:rsidRPr="00873B6C" w:rsidRDefault="00857A0D" w:rsidP="00857A0D">
            <w:pPr>
              <w:pStyle w:val="TAC"/>
            </w:pPr>
            <w:r w:rsidRPr="00873B6C">
              <w:rPr>
                <w:lang w:eastAsia="fr-FR"/>
              </w:rPr>
              <w:t>IEEE Std 1588 [126] clause 8.2.15.4.1</w:t>
            </w:r>
          </w:p>
        </w:tc>
      </w:tr>
      <w:tr w:rsidR="00857A0D" w:rsidRPr="00873B6C" w14:paraId="4C4484F0" w14:textId="77777777" w:rsidTr="00C9561D">
        <w:trPr>
          <w:cantSplit/>
          <w:jc w:val="center"/>
        </w:trPr>
        <w:tc>
          <w:tcPr>
            <w:tcW w:w="5000" w:type="dxa"/>
            <w:shd w:val="clear" w:color="auto" w:fill="auto"/>
          </w:tcPr>
          <w:p w14:paraId="0E0C74D7" w14:textId="77777777" w:rsidR="00857A0D" w:rsidRPr="00873B6C" w:rsidRDefault="00857A0D" w:rsidP="00857A0D">
            <w:pPr>
              <w:pStyle w:val="TAL"/>
              <w:rPr>
                <w:lang w:eastAsia="fr-FR"/>
              </w:rPr>
            </w:pPr>
            <w:r w:rsidRPr="00873B6C">
              <w:rPr>
                <w:lang w:eastAsia="fr-FR"/>
              </w:rPr>
              <w:t>&gt;&gt; portDS.announceReceiptTimeout</w:t>
            </w:r>
          </w:p>
        </w:tc>
        <w:tc>
          <w:tcPr>
            <w:tcW w:w="1418" w:type="dxa"/>
            <w:shd w:val="clear" w:color="auto" w:fill="auto"/>
          </w:tcPr>
          <w:p w14:paraId="0EEB0AF0" w14:textId="77777777" w:rsidR="00857A0D" w:rsidRPr="00873B6C" w:rsidRDefault="00857A0D" w:rsidP="00857A0D">
            <w:pPr>
              <w:pStyle w:val="TAC"/>
              <w:rPr>
                <w:lang w:eastAsia="fr-FR"/>
              </w:rPr>
            </w:pPr>
            <w:r w:rsidRPr="00873B6C">
              <w:rPr>
                <w:lang w:eastAsia="fr-FR"/>
              </w:rPr>
              <w:t>RW</w:t>
            </w:r>
          </w:p>
        </w:tc>
        <w:tc>
          <w:tcPr>
            <w:tcW w:w="1338" w:type="dxa"/>
          </w:tcPr>
          <w:p w14:paraId="6A0F60D1" w14:textId="77777777" w:rsidR="00857A0D" w:rsidRPr="00873B6C" w:rsidRDefault="00857A0D" w:rsidP="00857A0D">
            <w:pPr>
              <w:pStyle w:val="TAC"/>
            </w:pPr>
            <w:r w:rsidRPr="00873B6C">
              <w:rPr>
                <w:lang w:eastAsia="fr-FR"/>
              </w:rPr>
              <w:t>RW</w:t>
            </w:r>
          </w:p>
        </w:tc>
        <w:tc>
          <w:tcPr>
            <w:tcW w:w="2126" w:type="dxa"/>
            <w:shd w:val="clear" w:color="auto" w:fill="auto"/>
          </w:tcPr>
          <w:p w14:paraId="6B0224A4" w14:textId="77777777" w:rsidR="00857A0D" w:rsidRPr="00873B6C" w:rsidRDefault="00857A0D" w:rsidP="00857A0D">
            <w:pPr>
              <w:pStyle w:val="TAC"/>
            </w:pPr>
            <w:r w:rsidRPr="00873B6C">
              <w:rPr>
                <w:lang w:eastAsia="fr-FR"/>
              </w:rPr>
              <w:t>IEEE Std 1588 [126] clause 8.2.15.4.2</w:t>
            </w:r>
          </w:p>
        </w:tc>
      </w:tr>
      <w:tr w:rsidR="00857A0D" w:rsidRPr="00873B6C" w14:paraId="1E212456" w14:textId="77777777" w:rsidTr="00C9561D">
        <w:trPr>
          <w:cantSplit/>
          <w:jc w:val="center"/>
        </w:trPr>
        <w:tc>
          <w:tcPr>
            <w:tcW w:w="5000" w:type="dxa"/>
            <w:shd w:val="clear" w:color="auto" w:fill="auto"/>
          </w:tcPr>
          <w:p w14:paraId="7BACD19C" w14:textId="77777777" w:rsidR="00857A0D" w:rsidRPr="00873B6C" w:rsidRDefault="00857A0D" w:rsidP="00857A0D">
            <w:pPr>
              <w:pStyle w:val="TAL"/>
              <w:rPr>
                <w:lang w:eastAsia="fr-FR"/>
              </w:rPr>
            </w:pPr>
            <w:r w:rsidRPr="00873B6C">
              <w:rPr>
                <w:lang w:eastAsia="fr-FR"/>
              </w:rPr>
              <w:t>&gt;&gt; portDS.logSyncInterval</w:t>
            </w:r>
          </w:p>
        </w:tc>
        <w:tc>
          <w:tcPr>
            <w:tcW w:w="1418" w:type="dxa"/>
            <w:shd w:val="clear" w:color="auto" w:fill="auto"/>
          </w:tcPr>
          <w:p w14:paraId="2FF2597D" w14:textId="77777777" w:rsidR="00857A0D" w:rsidRPr="00873B6C" w:rsidRDefault="00857A0D" w:rsidP="00857A0D">
            <w:pPr>
              <w:pStyle w:val="TAC"/>
              <w:rPr>
                <w:lang w:eastAsia="fr-FR"/>
              </w:rPr>
            </w:pPr>
            <w:r w:rsidRPr="00873B6C">
              <w:rPr>
                <w:lang w:eastAsia="fr-FR"/>
              </w:rPr>
              <w:t>RW</w:t>
            </w:r>
          </w:p>
        </w:tc>
        <w:tc>
          <w:tcPr>
            <w:tcW w:w="1338" w:type="dxa"/>
          </w:tcPr>
          <w:p w14:paraId="7F5FE826" w14:textId="77777777" w:rsidR="00857A0D" w:rsidRPr="00873B6C" w:rsidRDefault="00857A0D" w:rsidP="00857A0D">
            <w:pPr>
              <w:pStyle w:val="TAC"/>
            </w:pPr>
            <w:r w:rsidRPr="00873B6C">
              <w:rPr>
                <w:lang w:eastAsia="fr-FR"/>
              </w:rPr>
              <w:t>RW</w:t>
            </w:r>
          </w:p>
        </w:tc>
        <w:tc>
          <w:tcPr>
            <w:tcW w:w="2126" w:type="dxa"/>
            <w:shd w:val="clear" w:color="auto" w:fill="auto"/>
          </w:tcPr>
          <w:p w14:paraId="1D59EE8C" w14:textId="77777777" w:rsidR="00857A0D" w:rsidRPr="00873B6C" w:rsidRDefault="00857A0D" w:rsidP="00857A0D">
            <w:pPr>
              <w:pStyle w:val="TAC"/>
            </w:pPr>
            <w:r w:rsidRPr="00873B6C">
              <w:rPr>
                <w:lang w:eastAsia="fr-FR"/>
              </w:rPr>
              <w:t>IEEE Std 1588 [126] clause 8.2.15.4.3</w:t>
            </w:r>
          </w:p>
        </w:tc>
      </w:tr>
      <w:tr w:rsidR="00857A0D" w:rsidRPr="00873B6C" w14:paraId="0F742A84" w14:textId="77777777" w:rsidTr="00C9561D">
        <w:trPr>
          <w:cantSplit/>
          <w:jc w:val="center"/>
        </w:trPr>
        <w:tc>
          <w:tcPr>
            <w:tcW w:w="5000" w:type="dxa"/>
            <w:shd w:val="clear" w:color="auto" w:fill="auto"/>
          </w:tcPr>
          <w:p w14:paraId="787BC8E9" w14:textId="77777777" w:rsidR="00857A0D" w:rsidRPr="00873B6C" w:rsidRDefault="00857A0D" w:rsidP="00857A0D">
            <w:pPr>
              <w:pStyle w:val="TAL"/>
              <w:rPr>
                <w:lang w:eastAsia="fr-FR"/>
              </w:rPr>
            </w:pPr>
            <w:r w:rsidRPr="00873B6C">
              <w:rPr>
                <w:lang w:eastAsia="fr-FR"/>
              </w:rPr>
              <w:t>&gt;&gt; portDS.delayMechanism</w:t>
            </w:r>
          </w:p>
        </w:tc>
        <w:tc>
          <w:tcPr>
            <w:tcW w:w="1418" w:type="dxa"/>
            <w:shd w:val="clear" w:color="auto" w:fill="auto"/>
          </w:tcPr>
          <w:p w14:paraId="3FD79266" w14:textId="77777777" w:rsidR="00857A0D" w:rsidRPr="00873B6C" w:rsidRDefault="00857A0D" w:rsidP="00857A0D">
            <w:pPr>
              <w:pStyle w:val="TAC"/>
              <w:rPr>
                <w:lang w:eastAsia="fr-FR"/>
              </w:rPr>
            </w:pPr>
            <w:r w:rsidRPr="00873B6C">
              <w:rPr>
                <w:lang w:eastAsia="fr-FR"/>
              </w:rPr>
              <w:t>RW</w:t>
            </w:r>
          </w:p>
        </w:tc>
        <w:tc>
          <w:tcPr>
            <w:tcW w:w="1338" w:type="dxa"/>
          </w:tcPr>
          <w:p w14:paraId="4C18215B" w14:textId="77777777" w:rsidR="00857A0D" w:rsidRPr="00873B6C" w:rsidRDefault="00857A0D" w:rsidP="00857A0D">
            <w:pPr>
              <w:pStyle w:val="TAC"/>
            </w:pPr>
            <w:r w:rsidRPr="00873B6C">
              <w:rPr>
                <w:lang w:eastAsia="fr-FR"/>
              </w:rPr>
              <w:t>RW</w:t>
            </w:r>
          </w:p>
        </w:tc>
        <w:tc>
          <w:tcPr>
            <w:tcW w:w="2126" w:type="dxa"/>
            <w:shd w:val="clear" w:color="auto" w:fill="auto"/>
          </w:tcPr>
          <w:p w14:paraId="54C472C7" w14:textId="77777777" w:rsidR="00857A0D" w:rsidRPr="00873B6C" w:rsidRDefault="00857A0D" w:rsidP="00857A0D">
            <w:pPr>
              <w:pStyle w:val="TAC"/>
            </w:pPr>
            <w:r w:rsidRPr="00873B6C">
              <w:rPr>
                <w:lang w:eastAsia="fr-FR"/>
              </w:rPr>
              <w:t>IEEE Std 1588 [126] clause 8.2.15.4.4</w:t>
            </w:r>
          </w:p>
        </w:tc>
      </w:tr>
      <w:tr w:rsidR="00857A0D" w:rsidRPr="00873B6C" w14:paraId="741EEAEC" w14:textId="77777777" w:rsidTr="00C9561D">
        <w:trPr>
          <w:cantSplit/>
          <w:jc w:val="center"/>
        </w:trPr>
        <w:tc>
          <w:tcPr>
            <w:tcW w:w="5000" w:type="dxa"/>
            <w:shd w:val="clear" w:color="auto" w:fill="auto"/>
          </w:tcPr>
          <w:p w14:paraId="768FC4D8" w14:textId="77777777" w:rsidR="00857A0D" w:rsidRPr="00873B6C" w:rsidRDefault="00857A0D" w:rsidP="00857A0D">
            <w:pPr>
              <w:pStyle w:val="TAL"/>
              <w:rPr>
                <w:lang w:eastAsia="fr-FR"/>
              </w:rPr>
            </w:pPr>
            <w:r w:rsidRPr="00873B6C">
              <w:rPr>
                <w:lang w:eastAsia="fr-FR"/>
              </w:rPr>
              <w:t>&gt;&gt; portDS.logMinPdelayReqInterval</w:t>
            </w:r>
          </w:p>
        </w:tc>
        <w:tc>
          <w:tcPr>
            <w:tcW w:w="1418" w:type="dxa"/>
            <w:shd w:val="clear" w:color="auto" w:fill="auto"/>
          </w:tcPr>
          <w:p w14:paraId="047F89D5" w14:textId="77777777" w:rsidR="00857A0D" w:rsidRPr="00873B6C" w:rsidRDefault="00857A0D" w:rsidP="00857A0D">
            <w:pPr>
              <w:pStyle w:val="TAC"/>
              <w:rPr>
                <w:lang w:eastAsia="fr-FR"/>
              </w:rPr>
            </w:pPr>
            <w:r w:rsidRPr="00873B6C">
              <w:rPr>
                <w:lang w:eastAsia="fr-FR"/>
              </w:rPr>
              <w:t>RW</w:t>
            </w:r>
          </w:p>
        </w:tc>
        <w:tc>
          <w:tcPr>
            <w:tcW w:w="1338" w:type="dxa"/>
          </w:tcPr>
          <w:p w14:paraId="2BD7717E" w14:textId="77777777" w:rsidR="00857A0D" w:rsidRPr="00873B6C" w:rsidRDefault="00857A0D" w:rsidP="00857A0D">
            <w:pPr>
              <w:pStyle w:val="TAC"/>
            </w:pPr>
            <w:r w:rsidRPr="00873B6C">
              <w:rPr>
                <w:lang w:eastAsia="fr-FR"/>
              </w:rPr>
              <w:t>RW</w:t>
            </w:r>
          </w:p>
        </w:tc>
        <w:tc>
          <w:tcPr>
            <w:tcW w:w="2126" w:type="dxa"/>
            <w:shd w:val="clear" w:color="auto" w:fill="auto"/>
          </w:tcPr>
          <w:p w14:paraId="0329C2B2" w14:textId="77777777" w:rsidR="00857A0D" w:rsidRPr="00873B6C" w:rsidRDefault="00857A0D" w:rsidP="00857A0D">
            <w:pPr>
              <w:pStyle w:val="TAC"/>
            </w:pPr>
            <w:r w:rsidRPr="00873B6C">
              <w:rPr>
                <w:lang w:eastAsia="fr-FR"/>
              </w:rPr>
              <w:t>IEEE Std 1588 [126] clause 8.2.15.4.5</w:t>
            </w:r>
          </w:p>
        </w:tc>
      </w:tr>
      <w:tr w:rsidR="00857A0D" w:rsidRPr="00873B6C" w14:paraId="3FE161D4" w14:textId="77777777" w:rsidTr="00C9561D">
        <w:trPr>
          <w:cantSplit/>
          <w:jc w:val="center"/>
        </w:trPr>
        <w:tc>
          <w:tcPr>
            <w:tcW w:w="5000" w:type="dxa"/>
            <w:shd w:val="clear" w:color="auto" w:fill="auto"/>
          </w:tcPr>
          <w:p w14:paraId="61274BC8" w14:textId="77777777" w:rsidR="00857A0D" w:rsidRPr="00873B6C" w:rsidRDefault="00857A0D" w:rsidP="00857A0D">
            <w:pPr>
              <w:pStyle w:val="TAL"/>
              <w:rPr>
                <w:lang w:eastAsia="fr-FR"/>
              </w:rPr>
            </w:pPr>
            <w:r w:rsidRPr="00873B6C">
              <w:rPr>
                <w:lang w:eastAsia="fr-FR"/>
              </w:rPr>
              <w:t>&gt;&gt; portDS.versionNumber</w:t>
            </w:r>
          </w:p>
        </w:tc>
        <w:tc>
          <w:tcPr>
            <w:tcW w:w="1418" w:type="dxa"/>
            <w:shd w:val="clear" w:color="auto" w:fill="auto"/>
          </w:tcPr>
          <w:p w14:paraId="3B9325BA" w14:textId="77777777" w:rsidR="00857A0D" w:rsidRPr="00873B6C" w:rsidRDefault="00857A0D" w:rsidP="00857A0D">
            <w:pPr>
              <w:pStyle w:val="TAC"/>
              <w:rPr>
                <w:lang w:eastAsia="fr-FR"/>
              </w:rPr>
            </w:pPr>
            <w:r w:rsidRPr="00873B6C">
              <w:rPr>
                <w:lang w:eastAsia="fr-FR"/>
              </w:rPr>
              <w:t>RW</w:t>
            </w:r>
          </w:p>
        </w:tc>
        <w:tc>
          <w:tcPr>
            <w:tcW w:w="1338" w:type="dxa"/>
          </w:tcPr>
          <w:p w14:paraId="171B23E5" w14:textId="77777777" w:rsidR="00857A0D" w:rsidRPr="00873B6C" w:rsidRDefault="00857A0D" w:rsidP="00857A0D">
            <w:pPr>
              <w:pStyle w:val="TAC"/>
            </w:pPr>
            <w:r w:rsidRPr="00873B6C">
              <w:rPr>
                <w:lang w:eastAsia="fr-FR"/>
              </w:rPr>
              <w:t>RW</w:t>
            </w:r>
          </w:p>
        </w:tc>
        <w:tc>
          <w:tcPr>
            <w:tcW w:w="2126" w:type="dxa"/>
            <w:shd w:val="clear" w:color="auto" w:fill="auto"/>
          </w:tcPr>
          <w:p w14:paraId="073CBB12" w14:textId="77777777" w:rsidR="00857A0D" w:rsidRPr="00873B6C" w:rsidRDefault="00857A0D" w:rsidP="00857A0D">
            <w:pPr>
              <w:pStyle w:val="TAC"/>
            </w:pPr>
            <w:r w:rsidRPr="00873B6C">
              <w:rPr>
                <w:lang w:eastAsia="fr-FR"/>
              </w:rPr>
              <w:t>IEEE Std 1588 [126] clause 8.2.15.4.6</w:t>
            </w:r>
          </w:p>
        </w:tc>
      </w:tr>
      <w:tr w:rsidR="00857A0D" w:rsidRPr="00873B6C" w14:paraId="246D4AB6" w14:textId="77777777" w:rsidTr="00C9561D">
        <w:trPr>
          <w:cantSplit/>
          <w:jc w:val="center"/>
        </w:trPr>
        <w:tc>
          <w:tcPr>
            <w:tcW w:w="5000" w:type="dxa"/>
            <w:shd w:val="clear" w:color="auto" w:fill="auto"/>
          </w:tcPr>
          <w:p w14:paraId="4472D603" w14:textId="77777777" w:rsidR="00857A0D" w:rsidRPr="00873B6C" w:rsidRDefault="00857A0D" w:rsidP="00857A0D">
            <w:pPr>
              <w:pStyle w:val="TAL"/>
              <w:rPr>
                <w:lang w:eastAsia="fr-FR"/>
              </w:rPr>
            </w:pPr>
            <w:r w:rsidRPr="00873B6C">
              <w:rPr>
                <w:lang w:eastAsia="fr-FR"/>
              </w:rPr>
              <w:t>&gt;&gt; portDS.minorVersionNumber</w:t>
            </w:r>
          </w:p>
        </w:tc>
        <w:tc>
          <w:tcPr>
            <w:tcW w:w="1418" w:type="dxa"/>
            <w:shd w:val="clear" w:color="auto" w:fill="auto"/>
          </w:tcPr>
          <w:p w14:paraId="0488FC52" w14:textId="77777777" w:rsidR="00857A0D" w:rsidRPr="00873B6C" w:rsidRDefault="00857A0D" w:rsidP="00857A0D">
            <w:pPr>
              <w:pStyle w:val="TAC"/>
              <w:rPr>
                <w:lang w:eastAsia="fr-FR"/>
              </w:rPr>
            </w:pPr>
            <w:r w:rsidRPr="00873B6C">
              <w:rPr>
                <w:lang w:eastAsia="fr-FR"/>
              </w:rPr>
              <w:t>RW</w:t>
            </w:r>
          </w:p>
        </w:tc>
        <w:tc>
          <w:tcPr>
            <w:tcW w:w="1338" w:type="dxa"/>
          </w:tcPr>
          <w:p w14:paraId="1644975B" w14:textId="77777777" w:rsidR="00857A0D" w:rsidRPr="00873B6C" w:rsidRDefault="00857A0D" w:rsidP="00857A0D">
            <w:pPr>
              <w:pStyle w:val="TAC"/>
            </w:pPr>
            <w:r w:rsidRPr="00873B6C">
              <w:rPr>
                <w:lang w:eastAsia="fr-FR"/>
              </w:rPr>
              <w:t>RW</w:t>
            </w:r>
          </w:p>
        </w:tc>
        <w:tc>
          <w:tcPr>
            <w:tcW w:w="2126" w:type="dxa"/>
            <w:shd w:val="clear" w:color="auto" w:fill="auto"/>
          </w:tcPr>
          <w:p w14:paraId="606F2F0F" w14:textId="77777777" w:rsidR="00857A0D" w:rsidRPr="00873B6C" w:rsidRDefault="00857A0D" w:rsidP="00857A0D">
            <w:pPr>
              <w:pStyle w:val="TAC"/>
            </w:pPr>
            <w:r w:rsidRPr="00873B6C">
              <w:rPr>
                <w:lang w:eastAsia="fr-FR"/>
              </w:rPr>
              <w:t>IEEE Std 1588 [126] clause 8.2.15.4.7</w:t>
            </w:r>
          </w:p>
        </w:tc>
      </w:tr>
      <w:tr w:rsidR="00857A0D" w:rsidRPr="00873B6C" w14:paraId="796E6986" w14:textId="77777777" w:rsidTr="00C9561D">
        <w:trPr>
          <w:cantSplit/>
          <w:jc w:val="center"/>
        </w:trPr>
        <w:tc>
          <w:tcPr>
            <w:tcW w:w="5000" w:type="dxa"/>
            <w:shd w:val="clear" w:color="auto" w:fill="auto"/>
          </w:tcPr>
          <w:p w14:paraId="0FD7F00D" w14:textId="77777777" w:rsidR="00857A0D" w:rsidRPr="00873B6C" w:rsidRDefault="00857A0D" w:rsidP="00857A0D">
            <w:pPr>
              <w:pStyle w:val="TAL"/>
              <w:rPr>
                <w:lang w:eastAsia="fr-FR"/>
              </w:rPr>
            </w:pPr>
            <w:r w:rsidRPr="00873B6C">
              <w:rPr>
                <w:lang w:eastAsia="fr-FR"/>
              </w:rPr>
              <w:t>&gt;&gt; portDS.delayAsymmetry</w:t>
            </w:r>
          </w:p>
        </w:tc>
        <w:tc>
          <w:tcPr>
            <w:tcW w:w="1418" w:type="dxa"/>
            <w:shd w:val="clear" w:color="auto" w:fill="auto"/>
          </w:tcPr>
          <w:p w14:paraId="6A20E495" w14:textId="77777777" w:rsidR="00857A0D" w:rsidRPr="00873B6C" w:rsidRDefault="00857A0D" w:rsidP="00857A0D">
            <w:pPr>
              <w:pStyle w:val="TAC"/>
              <w:rPr>
                <w:lang w:eastAsia="fr-FR"/>
              </w:rPr>
            </w:pPr>
            <w:r w:rsidRPr="00873B6C">
              <w:rPr>
                <w:lang w:eastAsia="fr-FR"/>
              </w:rPr>
              <w:t>RW</w:t>
            </w:r>
          </w:p>
        </w:tc>
        <w:tc>
          <w:tcPr>
            <w:tcW w:w="1338" w:type="dxa"/>
          </w:tcPr>
          <w:p w14:paraId="0AEE1B5F" w14:textId="77777777" w:rsidR="00857A0D" w:rsidRPr="00873B6C" w:rsidRDefault="00857A0D" w:rsidP="00857A0D">
            <w:pPr>
              <w:pStyle w:val="TAC"/>
            </w:pPr>
            <w:r w:rsidRPr="00873B6C">
              <w:rPr>
                <w:lang w:eastAsia="fr-FR"/>
              </w:rPr>
              <w:t>RW</w:t>
            </w:r>
          </w:p>
        </w:tc>
        <w:tc>
          <w:tcPr>
            <w:tcW w:w="2126" w:type="dxa"/>
            <w:shd w:val="clear" w:color="auto" w:fill="auto"/>
          </w:tcPr>
          <w:p w14:paraId="6B9CCCEC" w14:textId="77777777" w:rsidR="00857A0D" w:rsidRPr="00873B6C" w:rsidRDefault="00857A0D" w:rsidP="00857A0D">
            <w:pPr>
              <w:pStyle w:val="TAC"/>
            </w:pPr>
            <w:r w:rsidRPr="00873B6C">
              <w:rPr>
                <w:lang w:eastAsia="fr-FR"/>
              </w:rPr>
              <w:t>IEEE Std 1588 [126] clause 8.2.15.4.8</w:t>
            </w:r>
          </w:p>
        </w:tc>
      </w:tr>
      <w:tr w:rsidR="00857A0D" w:rsidRPr="00873B6C" w14:paraId="4F202BF5" w14:textId="77777777" w:rsidTr="00C9561D">
        <w:trPr>
          <w:cantSplit/>
          <w:jc w:val="center"/>
        </w:trPr>
        <w:tc>
          <w:tcPr>
            <w:tcW w:w="5000" w:type="dxa"/>
            <w:shd w:val="clear" w:color="auto" w:fill="auto"/>
          </w:tcPr>
          <w:p w14:paraId="1BD33A2F" w14:textId="77777777" w:rsidR="00857A0D" w:rsidRPr="00873B6C" w:rsidRDefault="00857A0D" w:rsidP="00857A0D">
            <w:pPr>
              <w:pStyle w:val="TAL"/>
              <w:rPr>
                <w:lang w:eastAsia="fr-FR"/>
              </w:rPr>
            </w:pPr>
            <w:r w:rsidRPr="00873B6C">
              <w:rPr>
                <w:lang w:eastAsia="fr-FR"/>
              </w:rPr>
              <w:t>&gt;&gt; portDS.portEnable</w:t>
            </w:r>
          </w:p>
        </w:tc>
        <w:tc>
          <w:tcPr>
            <w:tcW w:w="1418" w:type="dxa"/>
            <w:shd w:val="clear" w:color="auto" w:fill="auto"/>
          </w:tcPr>
          <w:p w14:paraId="116BE456" w14:textId="77777777" w:rsidR="00857A0D" w:rsidRPr="00873B6C" w:rsidRDefault="00857A0D" w:rsidP="00857A0D">
            <w:pPr>
              <w:pStyle w:val="TAC"/>
              <w:rPr>
                <w:lang w:eastAsia="fr-FR"/>
              </w:rPr>
            </w:pPr>
            <w:r w:rsidRPr="00873B6C">
              <w:rPr>
                <w:lang w:eastAsia="fr-FR"/>
              </w:rPr>
              <w:t>RW</w:t>
            </w:r>
          </w:p>
        </w:tc>
        <w:tc>
          <w:tcPr>
            <w:tcW w:w="1338" w:type="dxa"/>
          </w:tcPr>
          <w:p w14:paraId="732360C0" w14:textId="77777777" w:rsidR="00857A0D" w:rsidRPr="00873B6C" w:rsidRDefault="00857A0D" w:rsidP="00857A0D">
            <w:pPr>
              <w:pStyle w:val="TAC"/>
            </w:pPr>
            <w:r w:rsidRPr="00873B6C">
              <w:rPr>
                <w:lang w:eastAsia="fr-FR"/>
              </w:rPr>
              <w:t>RW</w:t>
            </w:r>
          </w:p>
        </w:tc>
        <w:tc>
          <w:tcPr>
            <w:tcW w:w="2126" w:type="dxa"/>
            <w:shd w:val="clear" w:color="auto" w:fill="auto"/>
          </w:tcPr>
          <w:p w14:paraId="2F4397B8" w14:textId="77777777" w:rsidR="00857A0D" w:rsidRPr="00873B6C" w:rsidRDefault="00857A0D" w:rsidP="00857A0D">
            <w:pPr>
              <w:pStyle w:val="TAC"/>
            </w:pPr>
            <w:r w:rsidRPr="00873B6C">
              <w:rPr>
                <w:lang w:eastAsia="fr-FR"/>
              </w:rPr>
              <w:t>IEEE Std 1588 [126] clause 8.2.15.5.1</w:t>
            </w:r>
          </w:p>
        </w:tc>
      </w:tr>
      <w:tr w:rsidR="00857A0D" w:rsidRPr="00873B6C" w14:paraId="570822A2" w14:textId="77777777" w:rsidTr="00C9561D">
        <w:trPr>
          <w:cantSplit/>
          <w:jc w:val="center"/>
        </w:trPr>
        <w:tc>
          <w:tcPr>
            <w:tcW w:w="5000" w:type="dxa"/>
            <w:shd w:val="clear" w:color="auto" w:fill="auto"/>
          </w:tcPr>
          <w:p w14:paraId="20434619" w14:textId="77777777" w:rsidR="00857A0D" w:rsidRPr="00873B6C" w:rsidRDefault="00857A0D" w:rsidP="00857A0D">
            <w:pPr>
              <w:pStyle w:val="TAL"/>
              <w:rPr>
                <w:lang w:eastAsia="fr-FR"/>
              </w:rPr>
            </w:pPr>
            <w:r w:rsidRPr="00873B6C">
              <w:rPr>
                <w:lang w:eastAsia="fr-FR"/>
              </w:rPr>
              <w:t>&gt;&gt; externalPortConfigurationPortDS.desiredState</w:t>
            </w:r>
          </w:p>
        </w:tc>
        <w:tc>
          <w:tcPr>
            <w:tcW w:w="1418" w:type="dxa"/>
            <w:shd w:val="clear" w:color="auto" w:fill="auto"/>
          </w:tcPr>
          <w:p w14:paraId="4FE4FCBB" w14:textId="77777777" w:rsidR="00857A0D" w:rsidRPr="00873B6C" w:rsidRDefault="00857A0D" w:rsidP="00857A0D">
            <w:pPr>
              <w:pStyle w:val="TAC"/>
              <w:rPr>
                <w:lang w:eastAsia="fr-FR"/>
              </w:rPr>
            </w:pPr>
            <w:r w:rsidRPr="00873B6C">
              <w:rPr>
                <w:lang w:eastAsia="fr-FR"/>
              </w:rPr>
              <w:t>RW</w:t>
            </w:r>
          </w:p>
        </w:tc>
        <w:tc>
          <w:tcPr>
            <w:tcW w:w="1338" w:type="dxa"/>
          </w:tcPr>
          <w:p w14:paraId="1EC06EFF" w14:textId="77777777" w:rsidR="00857A0D" w:rsidRPr="00873B6C" w:rsidRDefault="00857A0D" w:rsidP="00857A0D">
            <w:pPr>
              <w:pStyle w:val="TAC"/>
            </w:pPr>
            <w:r w:rsidRPr="00873B6C">
              <w:rPr>
                <w:lang w:eastAsia="fr-FR"/>
              </w:rPr>
              <w:t>RW</w:t>
            </w:r>
          </w:p>
        </w:tc>
        <w:tc>
          <w:tcPr>
            <w:tcW w:w="2126" w:type="dxa"/>
            <w:shd w:val="clear" w:color="auto" w:fill="auto"/>
          </w:tcPr>
          <w:p w14:paraId="576EF70A" w14:textId="77777777" w:rsidR="00857A0D" w:rsidRPr="00873B6C" w:rsidRDefault="00857A0D" w:rsidP="00857A0D">
            <w:pPr>
              <w:pStyle w:val="TAC"/>
            </w:pPr>
            <w:r w:rsidRPr="00873B6C">
              <w:rPr>
                <w:lang w:eastAsia="fr-FR"/>
              </w:rPr>
              <w:t>IEEE Std 1588 [126] clause 15.5.3.7.15.1</w:t>
            </w:r>
          </w:p>
        </w:tc>
      </w:tr>
      <w:tr w:rsidR="00857A0D" w:rsidRPr="00873B6C" w14:paraId="5229FE1F" w14:textId="77777777" w:rsidTr="00C9561D">
        <w:trPr>
          <w:cantSplit/>
          <w:jc w:val="center"/>
        </w:trPr>
        <w:tc>
          <w:tcPr>
            <w:tcW w:w="5000" w:type="dxa"/>
            <w:shd w:val="clear" w:color="auto" w:fill="auto"/>
          </w:tcPr>
          <w:p w14:paraId="6E257F2F" w14:textId="77777777" w:rsidR="00857A0D" w:rsidRPr="00873B6C" w:rsidRDefault="00857A0D" w:rsidP="00857A0D">
            <w:pPr>
              <w:pStyle w:val="TAL"/>
              <w:rPr>
                <w:lang w:eastAsia="fr-FR"/>
              </w:rPr>
            </w:pPr>
            <w:r w:rsidRPr="00873B6C">
              <w:rPr>
                <w:b/>
                <w:bCs/>
                <w:lang w:eastAsia="fr-FR"/>
              </w:rPr>
              <w:t>IEEE Std 802.1AS [104] data sets (NOTE 15)</w:t>
            </w:r>
          </w:p>
        </w:tc>
        <w:tc>
          <w:tcPr>
            <w:tcW w:w="1418" w:type="dxa"/>
            <w:shd w:val="clear" w:color="auto" w:fill="auto"/>
          </w:tcPr>
          <w:p w14:paraId="2F8D2237" w14:textId="77777777" w:rsidR="00857A0D" w:rsidRPr="00873B6C" w:rsidRDefault="00857A0D" w:rsidP="00857A0D">
            <w:pPr>
              <w:pStyle w:val="TAC"/>
              <w:rPr>
                <w:lang w:eastAsia="fr-FR"/>
              </w:rPr>
            </w:pPr>
          </w:p>
        </w:tc>
        <w:tc>
          <w:tcPr>
            <w:tcW w:w="1338" w:type="dxa"/>
          </w:tcPr>
          <w:p w14:paraId="5466606F" w14:textId="77777777" w:rsidR="00857A0D" w:rsidRPr="00873B6C" w:rsidRDefault="00857A0D" w:rsidP="00857A0D">
            <w:pPr>
              <w:pStyle w:val="TAC"/>
            </w:pPr>
          </w:p>
        </w:tc>
        <w:tc>
          <w:tcPr>
            <w:tcW w:w="2126" w:type="dxa"/>
            <w:shd w:val="clear" w:color="auto" w:fill="auto"/>
          </w:tcPr>
          <w:p w14:paraId="768E74F6" w14:textId="77777777" w:rsidR="00857A0D" w:rsidRPr="00873B6C" w:rsidRDefault="00857A0D" w:rsidP="00857A0D">
            <w:pPr>
              <w:pStyle w:val="TAC"/>
            </w:pPr>
          </w:p>
        </w:tc>
      </w:tr>
      <w:tr w:rsidR="00857A0D" w:rsidRPr="00873B6C" w14:paraId="6EE372D7" w14:textId="77777777" w:rsidTr="00C9561D">
        <w:trPr>
          <w:cantSplit/>
          <w:jc w:val="center"/>
        </w:trPr>
        <w:tc>
          <w:tcPr>
            <w:tcW w:w="5000" w:type="dxa"/>
            <w:shd w:val="clear" w:color="auto" w:fill="auto"/>
          </w:tcPr>
          <w:p w14:paraId="3006D5BC" w14:textId="77777777" w:rsidR="00857A0D" w:rsidRPr="00873B6C" w:rsidRDefault="00857A0D" w:rsidP="00857A0D">
            <w:pPr>
              <w:pStyle w:val="TAL"/>
              <w:rPr>
                <w:lang w:eastAsia="fr-FR"/>
              </w:rPr>
            </w:pPr>
            <w:r w:rsidRPr="00873B6C">
              <w:rPr>
                <w:lang w:eastAsia="fr-FR"/>
              </w:rPr>
              <w:t>&gt;&gt; portDS.portIdentity</w:t>
            </w:r>
          </w:p>
        </w:tc>
        <w:tc>
          <w:tcPr>
            <w:tcW w:w="1418" w:type="dxa"/>
            <w:shd w:val="clear" w:color="auto" w:fill="auto"/>
          </w:tcPr>
          <w:p w14:paraId="11426B69" w14:textId="77777777" w:rsidR="00857A0D" w:rsidRPr="00873B6C" w:rsidRDefault="00857A0D" w:rsidP="00857A0D">
            <w:pPr>
              <w:pStyle w:val="TAC"/>
              <w:rPr>
                <w:lang w:eastAsia="fr-FR"/>
              </w:rPr>
            </w:pPr>
            <w:r w:rsidRPr="00873B6C">
              <w:rPr>
                <w:lang w:eastAsia="fr-FR"/>
              </w:rPr>
              <w:t>RW</w:t>
            </w:r>
          </w:p>
        </w:tc>
        <w:tc>
          <w:tcPr>
            <w:tcW w:w="1338" w:type="dxa"/>
          </w:tcPr>
          <w:p w14:paraId="3C1F5404" w14:textId="77777777" w:rsidR="00857A0D" w:rsidRPr="00873B6C" w:rsidRDefault="00857A0D" w:rsidP="00857A0D">
            <w:pPr>
              <w:pStyle w:val="TAC"/>
            </w:pPr>
            <w:r w:rsidRPr="00873B6C">
              <w:rPr>
                <w:lang w:eastAsia="fr-FR"/>
              </w:rPr>
              <w:t>RW</w:t>
            </w:r>
          </w:p>
        </w:tc>
        <w:tc>
          <w:tcPr>
            <w:tcW w:w="2126" w:type="dxa"/>
            <w:shd w:val="clear" w:color="auto" w:fill="auto"/>
          </w:tcPr>
          <w:p w14:paraId="18E6F220" w14:textId="77777777" w:rsidR="00857A0D" w:rsidRPr="00873B6C" w:rsidRDefault="00857A0D" w:rsidP="00857A0D">
            <w:pPr>
              <w:pStyle w:val="TAC"/>
            </w:pPr>
            <w:r w:rsidRPr="00873B6C">
              <w:rPr>
                <w:lang w:eastAsia="fr-FR"/>
              </w:rPr>
              <w:t>IEEE Std 802.1AS [104] clause 14.8.2</w:t>
            </w:r>
          </w:p>
        </w:tc>
      </w:tr>
      <w:tr w:rsidR="00857A0D" w:rsidRPr="00873B6C" w14:paraId="54AD53E9" w14:textId="77777777" w:rsidTr="00C9561D">
        <w:trPr>
          <w:cantSplit/>
          <w:jc w:val="center"/>
        </w:trPr>
        <w:tc>
          <w:tcPr>
            <w:tcW w:w="5000" w:type="dxa"/>
            <w:shd w:val="clear" w:color="auto" w:fill="auto"/>
          </w:tcPr>
          <w:p w14:paraId="26B98B4F" w14:textId="77777777" w:rsidR="00857A0D" w:rsidRPr="00873B6C" w:rsidRDefault="00857A0D" w:rsidP="00857A0D">
            <w:pPr>
              <w:pStyle w:val="TAL"/>
              <w:rPr>
                <w:lang w:eastAsia="fr-FR"/>
              </w:rPr>
            </w:pPr>
            <w:r w:rsidRPr="00873B6C">
              <w:rPr>
                <w:lang w:eastAsia="fr-FR"/>
              </w:rPr>
              <w:t>&gt;&gt; portDS.portState</w:t>
            </w:r>
          </w:p>
        </w:tc>
        <w:tc>
          <w:tcPr>
            <w:tcW w:w="1418" w:type="dxa"/>
            <w:shd w:val="clear" w:color="auto" w:fill="auto"/>
          </w:tcPr>
          <w:p w14:paraId="37220A13" w14:textId="77777777" w:rsidR="00857A0D" w:rsidRPr="00873B6C" w:rsidRDefault="00857A0D" w:rsidP="00857A0D">
            <w:pPr>
              <w:pStyle w:val="TAC"/>
              <w:rPr>
                <w:lang w:eastAsia="fr-FR"/>
              </w:rPr>
            </w:pPr>
            <w:r w:rsidRPr="00873B6C">
              <w:rPr>
                <w:lang w:eastAsia="fr-FR"/>
              </w:rPr>
              <w:t>R</w:t>
            </w:r>
          </w:p>
        </w:tc>
        <w:tc>
          <w:tcPr>
            <w:tcW w:w="1338" w:type="dxa"/>
          </w:tcPr>
          <w:p w14:paraId="2FE95378" w14:textId="77777777" w:rsidR="00857A0D" w:rsidRPr="00873B6C" w:rsidRDefault="00857A0D" w:rsidP="00857A0D">
            <w:pPr>
              <w:pStyle w:val="TAC"/>
            </w:pPr>
            <w:r w:rsidRPr="00873B6C">
              <w:rPr>
                <w:lang w:eastAsia="fr-FR"/>
              </w:rPr>
              <w:t>R</w:t>
            </w:r>
          </w:p>
        </w:tc>
        <w:tc>
          <w:tcPr>
            <w:tcW w:w="2126" w:type="dxa"/>
            <w:shd w:val="clear" w:color="auto" w:fill="auto"/>
          </w:tcPr>
          <w:p w14:paraId="2533F0E5" w14:textId="77777777" w:rsidR="00857A0D" w:rsidRPr="00873B6C" w:rsidRDefault="00857A0D" w:rsidP="00857A0D">
            <w:pPr>
              <w:pStyle w:val="TAC"/>
            </w:pPr>
            <w:r w:rsidRPr="00873B6C">
              <w:rPr>
                <w:lang w:eastAsia="fr-FR"/>
              </w:rPr>
              <w:t>IEEE Std 802.1AS [104] clause 14.8.3</w:t>
            </w:r>
          </w:p>
        </w:tc>
      </w:tr>
      <w:tr w:rsidR="00857A0D" w:rsidRPr="00873B6C" w14:paraId="1A33272C" w14:textId="77777777" w:rsidTr="00C9561D">
        <w:trPr>
          <w:cantSplit/>
          <w:jc w:val="center"/>
        </w:trPr>
        <w:tc>
          <w:tcPr>
            <w:tcW w:w="5000" w:type="dxa"/>
            <w:shd w:val="clear" w:color="auto" w:fill="auto"/>
          </w:tcPr>
          <w:p w14:paraId="1878FFDE" w14:textId="77777777" w:rsidR="00857A0D" w:rsidRPr="00873B6C" w:rsidRDefault="00857A0D" w:rsidP="00857A0D">
            <w:pPr>
              <w:pStyle w:val="TAL"/>
              <w:rPr>
                <w:lang w:eastAsia="fr-FR"/>
              </w:rPr>
            </w:pPr>
            <w:r w:rsidRPr="00873B6C">
              <w:rPr>
                <w:lang w:eastAsia="fr-FR"/>
              </w:rPr>
              <w:t>&gt;&gt; portDS.ptpPortEnabled</w:t>
            </w:r>
          </w:p>
        </w:tc>
        <w:tc>
          <w:tcPr>
            <w:tcW w:w="1418" w:type="dxa"/>
            <w:shd w:val="clear" w:color="auto" w:fill="auto"/>
          </w:tcPr>
          <w:p w14:paraId="74FCA28A" w14:textId="77777777" w:rsidR="00857A0D" w:rsidRPr="00873B6C" w:rsidRDefault="00857A0D" w:rsidP="00857A0D">
            <w:pPr>
              <w:pStyle w:val="TAC"/>
              <w:rPr>
                <w:lang w:eastAsia="fr-FR"/>
              </w:rPr>
            </w:pPr>
            <w:r w:rsidRPr="00873B6C">
              <w:rPr>
                <w:lang w:eastAsia="fr-FR"/>
              </w:rPr>
              <w:t>RW</w:t>
            </w:r>
          </w:p>
        </w:tc>
        <w:tc>
          <w:tcPr>
            <w:tcW w:w="1338" w:type="dxa"/>
          </w:tcPr>
          <w:p w14:paraId="1AF47F7F" w14:textId="77777777" w:rsidR="00857A0D" w:rsidRPr="00873B6C" w:rsidRDefault="00857A0D" w:rsidP="00857A0D">
            <w:pPr>
              <w:pStyle w:val="TAC"/>
            </w:pPr>
            <w:r w:rsidRPr="00873B6C">
              <w:rPr>
                <w:lang w:eastAsia="fr-FR"/>
              </w:rPr>
              <w:t>RW</w:t>
            </w:r>
          </w:p>
        </w:tc>
        <w:tc>
          <w:tcPr>
            <w:tcW w:w="2126" w:type="dxa"/>
            <w:shd w:val="clear" w:color="auto" w:fill="auto"/>
          </w:tcPr>
          <w:p w14:paraId="30CBEC40" w14:textId="77777777" w:rsidR="00857A0D" w:rsidRPr="00873B6C" w:rsidRDefault="00857A0D" w:rsidP="00857A0D">
            <w:pPr>
              <w:pStyle w:val="TAC"/>
            </w:pPr>
            <w:r w:rsidRPr="00873B6C">
              <w:rPr>
                <w:lang w:eastAsia="fr-FR"/>
              </w:rPr>
              <w:t>IEEE Std 802.1AS [104] clause 14.8.4</w:t>
            </w:r>
          </w:p>
        </w:tc>
      </w:tr>
      <w:tr w:rsidR="00857A0D" w:rsidRPr="00873B6C" w14:paraId="58ECF1B0" w14:textId="77777777" w:rsidTr="00C9561D">
        <w:trPr>
          <w:cantSplit/>
          <w:jc w:val="center"/>
        </w:trPr>
        <w:tc>
          <w:tcPr>
            <w:tcW w:w="5000" w:type="dxa"/>
            <w:shd w:val="clear" w:color="auto" w:fill="auto"/>
          </w:tcPr>
          <w:p w14:paraId="3772873F" w14:textId="77777777" w:rsidR="00857A0D" w:rsidRPr="00873B6C" w:rsidRDefault="00857A0D" w:rsidP="00857A0D">
            <w:pPr>
              <w:pStyle w:val="TAL"/>
              <w:rPr>
                <w:lang w:eastAsia="fr-FR"/>
              </w:rPr>
            </w:pPr>
            <w:r w:rsidRPr="00873B6C">
              <w:rPr>
                <w:lang w:eastAsia="fr-FR"/>
              </w:rPr>
              <w:t>&gt;&gt; portDS.delayMechanism</w:t>
            </w:r>
          </w:p>
        </w:tc>
        <w:tc>
          <w:tcPr>
            <w:tcW w:w="1418" w:type="dxa"/>
            <w:shd w:val="clear" w:color="auto" w:fill="auto"/>
          </w:tcPr>
          <w:p w14:paraId="3FBB4192" w14:textId="77777777" w:rsidR="00857A0D" w:rsidRPr="00873B6C" w:rsidRDefault="00857A0D" w:rsidP="00857A0D">
            <w:pPr>
              <w:pStyle w:val="TAC"/>
              <w:rPr>
                <w:lang w:eastAsia="fr-FR"/>
              </w:rPr>
            </w:pPr>
            <w:r w:rsidRPr="00873B6C">
              <w:rPr>
                <w:lang w:eastAsia="fr-FR"/>
              </w:rPr>
              <w:t>RW</w:t>
            </w:r>
          </w:p>
        </w:tc>
        <w:tc>
          <w:tcPr>
            <w:tcW w:w="1338" w:type="dxa"/>
          </w:tcPr>
          <w:p w14:paraId="0DCF5509" w14:textId="77777777" w:rsidR="00857A0D" w:rsidRPr="00873B6C" w:rsidRDefault="00857A0D" w:rsidP="00857A0D">
            <w:pPr>
              <w:pStyle w:val="TAC"/>
            </w:pPr>
            <w:r w:rsidRPr="00873B6C">
              <w:rPr>
                <w:lang w:eastAsia="fr-FR"/>
              </w:rPr>
              <w:t>RW</w:t>
            </w:r>
          </w:p>
        </w:tc>
        <w:tc>
          <w:tcPr>
            <w:tcW w:w="2126" w:type="dxa"/>
            <w:shd w:val="clear" w:color="auto" w:fill="auto"/>
          </w:tcPr>
          <w:p w14:paraId="65FDE953" w14:textId="77777777" w:rsidR="00857A0D" w:rsidRPr="00873B6C" w:rsidRDefault="00857A0D" w:rsidP="00857A0D">
            <w:pPr>
              <w:pStyle w:val="TAC"/>
            </w:pPr>
            <w:r w:rsidRPr="00873B6C">
              <w:rPr>
                <w:lang w:eastAsia="fr-FR"/>
              </w:rPr>
              <w:t>IEEE Std 802.1AS [104] clause 14.8.5</w:t>
            </w:r>
          </w:p>
        </w:tc>
      </w:tr>
      <w:tr w:rsidR="00857A0D" w:rsidRPr="00873B6C" w14:paraId="4D3D26C9" w14:textId="77777777" w:rsidTr="00C9561D">
        <w:trPr>
          <w:cantSplit/>
          <w:jc w:val="center"/>
        </w:trPr>
        <w:tc>
          <w:tcPr>
            <w:tcW w:w="5000" w:type="dxa"/>
            <w:shd w:val="clear" w:color="auto" w:fill="auto"/>
          </w:tcPr>
          <w:p w14:paraId="1500D34B" w14:textId="77777777" w:rsidR="00857A0D" w:rsidRPr="00873B6C" w:rsidRDefault="00857A0D" w:rsidP="00857A0D">
            <w:pPr>
              <w:pStyle w:val="TAL"/>
              <w:rPr>
                <w:lang w:eastAsia="fr-FR"/>
              </w:rPr>
            </w:pPr>
            <w:r w:rsidRPr="00873B6C">
              <w:rPr>
                <w:lang w:eastAsia="fr-FR"/>
              </w:rPr>
              <w:t>&gt;&gt; portDS.isMeasuringDelay</w:t>
            </w:r>
          </w:p>
        </w:tc>
        <w:tc>
          <w:tcPr>
            <w:tcW w:w="1418" w:type="dxa"/>
            <w:shd w:val="clear" w:color="auto" w:fill="auto"/>
          </w:tcPr>
          <w:p w14:paraId="5BB69C5E" w14:textId="77777777" w:rsidR="00857A0D" w:rsidRPr="00873B6C" w:rsidRDefault="00857A0D" w:rsidP="00857A0D">
            <w:pPr>
              <w:pStyle w:val="TAC"/>
              <w:rPr>
                <w:lang w:eastAsia="fr-FR"/>
              </w:rPr>
            </w:pPr>
            <w:r w:rsidRPr="00873B6C">
              <w:rPr>
                <w:lang w:eastAsia="fr-FR"/>
              </w:rPr>
              <w:t>R</w:t>
            </w:r>
          </w:p>
        </w:tc>
        <w:tc>
          <w:tcPr>
            <w:tcW w:w="1338" w:type="dxa"/>
          </w:tcPr>
          <w:p w14:paraId="07999DDD" w14:textId="77777777" w:rsidR="00857A0D" w:rsidRPr="00873B6C" w:rsidRDefault="00857A0D" w:rsidP="00857A0D">
            <w:pPr>
              <w:pStyle w:val="TAC"/>
            </w:pPr>
            <w:r w:rsidRPr="00873B6C">
              <w:rPr>
                <w:lang w:eastAsia="fr-FR"/>
              </w:rPr>
              <w:t>R</w:t>
            </w:r>
          </w:p>
        </w:tc>
        <w:tc>
          <w:tcPr>
            <w:tcW w:w="2126" w:type="dxa"/>
            <w:shd w:val="clear" w:color="auto" w:fill="auto"/>
          </w:tcPr>
          <w:p w14:paraId="2B49E75A" w14:textId="77777777" w:rsidR="00857A0D" w:rsidRPr="00873B6C" w:rsidRDefault="00857A0D" w:rsidP="00857A0D">
            <w:pPr>
              <w:pStyle w:val="TAC"/>
            </w:pPr>
            <w:r w:rsidRPr="00873B6C">
              <w:rPr>
                <w:lang w:eastAsia="fr-FR"/>
              </w:rPr>
              <w:t>IEEE Std 802.1AS [104] clause 14.8.6</w:t>
            </w:r>
          </w:p>
        </w:tc>
      </w:tr>
      <w:tr w:rsidR="00857A0D" w:rsidRPr="00873B6C" w14:paraId="38B7CF1C" w14:textId="77777777" w:rsidTr="00C9561D">
        <w:trPr>
          <w:cantSplit/>
          <w:jc w:val="center"/>
        </w:trPr>
        <w:tc>
          <w:tcPr>
            <w:tcW w:w="5000" w:type="dxa"/>
            <w:shd w:val="clear" w:color="auto" w:fill="auto"/>
          </w:tcPr>
          <w:p w14:paraId="3E05C49C" w14:textId="77777777" w:rsidR="00857A0D" w:rsidRPr="00873B6C" w:rsidRDefault="00857A0D" w:rsidP="00857A0D">
            <w:pPr>
              <w:pStyle w:val="TAL"/>
              <w:rPr>
                <w:lang w:eastAsia="fr-FR"/>
              </w:rPr>
            </w:pPr>
            <w:r w:rsidRPr="00873B6C">
              <w:rPr>
                <w:lang w:eastAsia="fr-FR"/>
              </w:rPr>
              <w:t>&gt;&gt; portDS.asCapable</w:t>
            </w:r>
          </w:p>
        </w:tc>
        <w:tc>
          <w:tcPr>
            <w:tcW w:w="1418" w:type="dxa"/>
            <w:shd w:val="clear" w:color="auto" w:fill="auto"/>
          </w:tcPr>
          <w:p w14:paraId="7E547B78" w14:textId="77777777" w:rsidR="00857A0D" w:rsidRPr="00873B6C" w:rsidRDefault="00857A0D" w:rsidP="00857A0D">
            <w:pPr>
              <w:pStyle w:val="TAC"/>
              <w:rPr>
                <w:lang w:eastAsia="fr-FR"/>
              </w:rPr>
            </w:pPr>
            <w:r w:rsidRPr="00873B6C">
              <w:rPr>
                <w:lang w:eastAsia="fr-FR"/>
              </w:rPr>
              <w:t>R</w:t>
            </w:r>
          </w:p>
        </w:tc>
        <w:tc>
          <w:tcPr>
            <w:tcW w:w="1338" w:type="dxa"/>
          </w:tcPr>
          <w:p w14:paraId="0A11B2E4" w14:textId="77777777" w:rsidR="00857A0D" w:rsidRPr="00873B6C" w:rsidRDefault="00857A0D" w:rsidP="00857A0D">
            <w:pPr>
              <w:pStyle w:val="TAC"/>
            </w:pPr>
            <w:r w:rsidRPr="00873B6C">
              <w:rPr>
                <w:lang w:eastAsia="fr-FR"/>
              </w:rPr>
              <w:t>R</w:t>
            </w:r>
          </w:p>
        </w:tc>
        <w:tc>
          <w:tcPr>
            <w:tcW w:w="2126" w:type="dxa"/>
            <w:shd w:val="clear" w:color="auto" w:fill="auto"/>
          </w:tcPr>
          <w:p w14:paraId="640897E3" w14:textId="77777777" w:rsidR="00857A0D" w:rsidRPr="00873B6C" w:rsidRDefault="00857A0D" w:rsidP="00857A0D">
            <w:pPr>
              <w:pStyle w:val="TAC"/>
            </w:pPr>
            <w:r w:rsidRPr="00873B6C">
              <w:rPr>
                <w:lang w:eastAsia="fr-FR"/>
              </w:rPr>
              <w:t>IEEE Std 802.1AS [104] clause 14.8.7</w:t>
            </w:r>
          </w:p>
        </w:tc>
      </w:tr>
      <w:tr w:rsidR="00857A0D" w:rsidRPr="00873B6C" w14:paraId="58C9D7FD" w14:textId="77777777" w:rsidTr="00C9561D">
        <w:trPr>
          <w:cantSplit/>
          <w:jc w:val="center"/>
        </w:trPr>
        <w:tc>
          <w:tcPr>
            <w:tcW w:w="5000" w:type="dxa"/>
            <w:shd w:val="clear" w:color="auto" w:fill="auto"/>
          </w:tcPr>
          <w:p w14:paraId="7E91315F" w14:textId="77777777" w:rsidR="00857A0D" w:rsidRPr="00873B6C" w:rsidRDefault="00857A0D" w:rsidP="00857A0D">
            <w:pPr>
              <w:pStyle w:val="TAL"/>
              <w:rPr>
                <w:lang w:eastAsia="fr-FR"/>
              </w:rPr>
            </w:pPr>
            <w:r w:rsidRPr="00873B6C">
              <w:rPr>
                <w:lang w:eastAsia="fr-FR"/>
              </w:rPr>
              <w:t>&gt;&gt; portDS.meanLinkDelay</w:t>
            </w:r>
          </w:p>
        </w:tc>
        <w:tc>
          <w:tcPr>
            <w:tcW w:w="1418" w:type="dxa"/>
            <w:shd w:val="clear" w:color="auto" w:fill="auto"/>
          </w:tcPr>
          <w:p w14:paraId="231FFF4D" w14:textId="77777777" w:rsidR="00857A0D" w:rsidRPr="00873B6C" w:rsidRDefault="00857A0D" w:rsidP="00857A0D">
            <w:pPr>
              <w:pStyle w:val="TAC"/>
              <w:rPr>
                <w:lang w:eastAsia="fr-FR"/>
              </w:rPr>
            </w:pPr>
            <w:r w:rsidRPr="00873B6C">
              <w:rPr>
                <w:lang w:eastAsia="fr-FR"/>
              </w:rPr>
              <w:t>R</w:t>
            </w:r>
          </w:p>
        </w:tc>
        <w:tc>
          <w:tcPr>
            <w:tcW w:w="1338" w:type="dxa"/>
          </w:tcPr>
          <w:p w14:paraId="1D91F522" w14:textId="77777777" w:rsidR="00857A0D" w:rsidRPr="00873B6C" w:rsidRDefault="00857A0D" w:rsidP="00857A0D">
            <w:pPr>
              <w:pStyle w:val="TAC"/>
            </w:pPr>
            <w:r w:rsidRPr="00873B6C">
              <w:rPr>
                <w:lang w:eastAsia="fr-FR"/>
              </w:rPr>
              <w:t>R</w:t>
            </w:r>
          </w:p>
        </w:tc>
        <w:tc>
          <w:tcPr>
            <w:tcW w:w="2126" w:type="dxa"/>
            <w:shd w:val="clear" w:color="auto" w:fill="auto"/>
          </w:tcPr>
          <w:p w14:paraId="0375C9C2" w14:textId="77777777" w:rsidR="00857A0D" w:rsidRPr="00873B6C" w:rsidRDefault="00857A0D" w:rsidP="00857A0D">
            <w:pPr>
              <w:pStyle w:val="TAC"/>
            </w:pPr>
            <w:r w:rsidRPr="00873B6C">
              <w:rPr>
                <w:lang w:eastAsia="fr-FR"/>
              </w:rPr>
              <w:t>IEEE Std 802.1AS [104] clause 14.8.8</w:t>
            </w:r>
          </w:p>
        </w:tc>
      </w:tr>
      <w:tr w:rsidR="00857A0D" w:rsidRPr="00873B6C" w14:paraId="5C91829D" w14:textId="77777777" w:rsidTr="00C9561D">
        <w:trPr>
          <w:cantSplit/>
          <w:jc w:val="center"/>
        </w:trPr>
        <w:tc>
          <w:tcPr>
            <w:tcW w:w="5000" w:type="dxa"/>
            <w:shd w:val="clear" w:color="auto" w:fill="auto"/>
          </w:tcPr>
          <w:p w14:paraId="526FEDCF" w14:textId="77777777" w:rsidR="00857A0D" w:rsidRPr="00873B6C" w:rsidRDefault="00857A0D" w:rsidP="00857A0D">
            <w:pPr>
              <w:pStyle w:val="TAL"/>
              <w:rPr>
                <w:lang w:eastAsia="fr-FR"/>
              </w:rPr>
            </w:pPr>
            <w:r w:rsidRPr="00873B6C">
              <w:rPr>
                <w:lang w:eastAsia="fr-FR"/>
              </w:rPr>
              <w:lastRenderedPageBreak/>
              <w:t>&gt;&gt; portDS.meanLinkDelayThresh</w:t>
            </w:r>
          </w:p>
        </w:tc>
        <w:tc>
          <w:tcPr>
            <w:tcW w:w="1418" w:type="dxa"/>
            <w:shd w:val="clear" w:color="auto" w:fill="auto"/>
          </w:tcPr>
          <w:p w14:paraId="2B03036E" w14:textId="77777777" w:rsidR="00857A0D" w:rsidRPr="00873B6C" w:rsidRDefault="00857A0D" w:rsidP="00857A0D">
            <w:pPr>
              <w:pStyle w:val="TAC"/>
              <w:rPr>
                <w:lang w:eastAsia="fr-FR"/>
              </w:rPr>
            </w:pPr>
            <w:r w:rsidRPr="00873B6C">
              <w:rPr>
                <w:lang w:eastAsia="fr-FR"/>
              </w:rPr>
              <w:t>RW</w:t>
            </w:r>
          </w:p>
        </w:tc>
        <w:tc>
          <w:tcPr>
            <w:tcW w:w="1338" w:type="dxa"/>
          </w:tcPr>
          <w:p w14:paraId="2DA755A6" w14:textId="77777777" w:rsidR="00857A0D" w:rsidRPr="00873B6C" w:rsidRDefault="00857A0D" w:rsidP="00857A0D">
            <w:pPr>
              <w:pStyle w:val="TAC"/>
            </w:pPr>
            <w:r w:rsidRPr="00873B6C">
              <w:rPr>
                <w:lang w:eastAsia="fr-FR"/>
              </w:rPr>
              <w:t>RW</w:t>
            </w:r>
          </w:p>
        </w:tc>
        <w:tc>
          <w:tcPr>
            <w:tcW w:w="2126" w:type="dxa"/>
            <w:shd w:val="clear" w:color="auto" w:fill="auto"/>
          </w:tcPr>
          <w:p w14:paraId="078D8E1C" w14:textId="77777777" w:rsidR="00857A0D" w:rsidRPr="00873B6C" w:rsidRDefault="00857A0D" w:rsidP="00857A0D">
            <w:pPr>
              <w:pStyle w:val="TAC"/>
            </w:pPr>
            <w:r w:rsidRPr="00873B6C">
              <w:rPr>
                <w:lang w:eastAsia="fr-FR"/>
              </w:rPr>
              <w:t>IEEE Std 802.1AS [104] clause 14.8.9</w:t>
            </w:r>
          </w:p>
        </w:tc>
      </w:tr>
      <w:tr w:rsidR="00857A0D" w:rsidRPr="00873B6C" w14:paraId="64D683DA" w14:textId="77777777" w:rsidTr="00C9561D">
        <w:trPr>
          <w:cantSplit/>
          <w:jc w:val="center"/>
        </w:trPr>
        <w:tc>
          <w:tcPr>
            <w:tcW w:w="5000" w:type="dxa"/>
            <w:shd w:val="clear" w:color="auto" w:fill="auto"/>
          </w:tcPr>
          <w:p w14:paraId="554CB4F3" w14:textId="77777777" w:rsidR="00857A0D" w:rsidRPr="00873B6C" w:rsidRDefault="00857A0D" w:rsidP="00857A0D">
            <w:pPr>
              <w:pStyle w:val="TAL"/>
              <w:rPr>
                <w:lang w:eastAsia="fr-FR"/>
              </w:rPr>
            </w:pPr>
            <w:r w:rsidRPr="00873B6C">
              <w:rPr>
                <w:lang w:eastAsia="fr-FR"/>
              </w:rPr>
              <w:t>&gt;&gt; portDS.delayAsymmetry</w:t>
            </w:r>
          </w:p>
        </w:tc>
        <w:tc>
          <w:tcPr>
            <w:tcW w:w="1418" w:type="dxa"/>
            <w:shd w:val="clear" w:color="auto" w:fill="auto"/>
          </w:tcPr>
          <w:p w14:paraId="7AC6A80A" w14:textId="77777777" w:rsidR="00857A0D" w:rsidRPr="00873B6C" w:rsidRDefault="00857A0D" w:rsidP="00857A0D">
            <w:pPr>
              <w:pStyle w:val="TAC"/>
              <w:rPr>
                <w:lang w:eastAsia="fr-FR"/>
              </w:rPr>
            </w:pPr>
            <w:r w:rsidRPr="00873B6C">
              <w:rPr>
                <w:lang w:eastAsia="fr-FR"/>
              </w:rPr>
              <w:t>RW</w:t>
            </w:r>
          </w:p>
        </w:tc>
        <w:tc>
          <w:tcPr>
            <w:tcW w:w="1338" w:type="dxa"/>
          </w:tcPr>
          <w:p w14:paraId="322978B3" w14:textId="77777777" w:rsidR="00857A0D" w:rsidRPr="00873B6C" w:rsidRDefault="00857A0D" w:rsidP="00857A0D">
            <w:pPr>
              <w:pStyle w:val="TAC"/>
            </w:pPr>
            <w:r w:rsidRPr="00873B6C">
              <w:rPr>
                <w:lang w:eastAsia="fr-FR"/>
              </w:rPr>
              <w:t>RW</w:t>
            </w:r>
          </w:p>
        </w:tc>
        <w:tc>
          <w:tcPr>
            <w:tcW w:w="2126" w:type="dxa"/>
            <w:shd w:val="clear" w:color="auto" w:fill="auto"/>
          </w:tcPr>
          <w:p w14:paraId="7C08489C" w14:textId="77777777" w:rsidR="00857A0D" w:rsidRPr="00873B6C" w:rsidRDefault="00857A0D" w:rsidP="00857A0D">
            <w:pPr>
              <w:pStyle w:val="TAC"/>
            </w:pPr>
            <w:r w:rsidRPr="00873B6C">
              <w:rPr>
                <w:lang w:eastAsia="fr-FR"/>
              </w:rPr>
              <w:t>IEEE Std 802.1AS [104] clause 14.8.10</w:t>
            </w:r>
          </w:p>
        </w:tc>
      </w:tr>
      <w:tr w:rsidR="00857A0D" w:rsidRPr="00873B6C" w14:paraId="39F9A9A6" w14:textId="77777777" w:rsidTr="00C9561D">
        <w:trPr>
          <w:cantSplit/>
          <w:jc w:val="center"/>
        </w:trPr>
        <w:tc>
          <w:tcPr>
            <w:tcW w:w="5000" w:type="dxa"/>
            <w:shd w:val="clear" w:color="auto" w:fill="auto"/>
          </w:tcPr>
          <w:p w14:paraId="148D33B7" w14:textId="77777777" w:rsidR="00857A0D" w:rsidRPr="00873B6C" w:rsidRDefault="00857A0D" w:rsidP="00857A0D">
            <w:pPr>
              <w:pStyle w:val="TAL"/>
              <w:rPr>
                <w:lang w:eastAsia="fr-FR"/>
              </w:rPr>
            </w:pPr>
            <w:r w:rsidRPr="00873B6C">
              <w:rPr>
                <w:lang w:eastAsia="fr-FR"/>
              </w:rPr>
              <w:t>&gt;&gt; portDS.neighborRateRatio</w:t>
            </w:r>
          </w:p>
        </w:tc>
        <w:tc>
          <w:tcPr>
            <w:tcW w:w="1418" w:type="dxa"/>
            <w:shd w:val="clear" w:color="auto" w:fill="auto"/>
          </w:tcPr>
          <w:p w14:paraId="0805AE14" w14:textId="77777777" w:rsidR="00857A0D" w:rsidRPr="00873B6C" w:rsidRDefault="00857A0D" w:rsidP="00857A0D">
            <w:pPr>
              <w:pStyle w:val="TAC"/>
              <w:rPr>
                <w:lang w:eastAsia="fr-FR"/>
              </w:rPr>
            </w:pPr>
            <w:r w:rsidRPr="00873B6C">
              <w:rPr>
                <w:lang w:eastAsia="fr-FR"/>
              </w:rPr>
              <w:t>R</w:t>
            </w:r>
          </w:p>
        </w:tc>
        <w:tc>
          <w:tcPr>
            <w:tcW w:w="1338" w:type="dxa"/>
          </w:tcPr>
          <w:p w14:paraId="5CF3EA63" w14:textId="77777777" w:rsidR="00857A0D" w:rsidRPr="00873B6C" w:rsidRDefault="00857A0D" w:rsidP="00857A0D">
            <w:pPr>
              <w:pStyle w:val="TAC"/>
            </w:pPr>
            <w:r w:rsidRPr="00873B6C">
              <w:rPr>
                <w:lang w:eastAsia="fr-FR"/>
              </w:rPr>
              <w:t>R</w:t>
            </w:r>
          </w:p>
        </w:tc>
        <w:tc>
          <w:tcPr>
            <w:tcW w:w="2126" w:type="dxa"/>
            <w:shd w:val="clear" w:color="auto" w:fill="auto"/>
          </w:tcPr>
          <w:p w14:paraId="1473CFDA" w14:textId="77777777" w:rsidR="00857A0D" w:rsidRPr="00873B6C" w:rsidRDefault="00857A0D" w:rsidP="00857A0D">
            <w:pPr>
              <w:pStyle w:val="TAC"/>
            </w:pPr>
            <w:r w:rsidRPr="00873B6C">
              <w:rPr>
                <w:lang w:eastAsia="fr-FR"/>
              </w:rPr>
              <w:t>IEEE Std 802.1AS [104] clause 14.8.11</w:t>
            </w:r>
          </w:p>
        </w:tc>
      </w:tr>
      <w:tr w:rsidR="00857A0D" w:rsidRPr="00873B6C" w14:paraId="7F1DC34C" w14:textId="77777777" w:rsidTr="00C9561D">
        <w:trPr>
          <w:cantSplit/>
          <w:jc w:val="center"/>
        </w:trPr>
        <w:tc>
          <w:tcPr>
            <w:tcW w:w="5000" w:type="dxa"/>
            <w:shd w:val="clear" w:color="auto" w:fill="auto"/>
          </w:tcPr>
          <w:p w14:paraId="39EE1BC6" w14:textId="77777777" w:rsidR="00857A0D" w:rsidRPr="00873B6C" w:rsidRDefault="00857A0D" w:rsidP="00857A0D">
            <w:pPr>
              <w:pStyle w:val="TAL"/>
              <w:rPr>
                <w:lang w:eastAsia="fr-FR"/>
              </w:rPr>
            </w:pPr>
            <w:r w:rsidRPr="00873B6C">
              <w:rPr>
                <w:lang w:eastAsia="fr-FR"/>
              </w:rPr>
              <w:t>&gt;&gt; portDS.initialLogAnnounceInterval</w:t>
            </w:r>
          </w:p>
        </w:tc>
        <w:tc>
          <w:tcPr>
            <w:tcW w:w="1418" w:type="dxa"/>
            <w:shd w:val="clear" w:color="auto" w:fill="auto"/>
          </w:tcPr>
          <w:p w14:paraId="7EAC45EE" w14:textId="77777777" w:rsidR="00857A0D" w:rsidRPr="00873B6C" w:rsidRDefault="00857A0D" w:rsidP="00857A0D">
            <w:pPr>
              <w:pStyle w:val="TAC"/>
              <w:rPr>
                <w:lang w:eastAsia="fr-FR"/>
              </w:rPr>
            </w:pPr>
            <w:r w:rsidRPr="00873B6C">
              <w:rPr>
                <w:lang w:eastAsia="fr-FR"/>
              </w:rPr>
              <w:t>RW</w:t>
            </w:r>
          </w:p>
        </w:tc>
        <w:tc>
          <w:tcPr>
            <w:tcW w:w="1338" w:type="dxa"/>
          </w:tcPr>
          <w:p w14:paraId="3203B4D9" w14:textId="77777777" w:rsidR="00857A0D" w:rsidRPr="00873B6C" w:rsidRDefault="00857A0D" w:rsidP="00857A0D">
            <w:pPr>
              <w:pStyle w:val="TAC"/>
            </w:pPr>
            <w:r w:rsidRPr="00873B6C">
              <w:rPr>
                <w:lang w:eastAsia="fr-FR"/>
              </w:rPr>
              <w:t>RW</w:t>
            </w:r>
          </w:p>
        </w:tc>
        <w:tc>
          <w:tcPr>
            <w:tcW w:w="2126" w:type="dxa"/>
            <w:shd w:val="clear" w:color="auto" w:fill="auto"/>
          </w:tcPr>
          <w:p w14:paraId="533DA633" w14:textId="77777777" w:rsidR="00857A0D" w:rsidRPr="00873B6C" w:rsidRDefault="00857A0D" w:rsidP="00857A0D">
            <w:pPr>
              <w:pStyle w:val="TAC"/>
            </w:pPr>
            <w:r w:rsidRPr="00873B6C">
              <w:rPr>
                <w:lang w:eastAsia="fr-FR"/>
              </w:rPr>
              <w:t>IEEE Std 802.1AS [104] clause 14.8.12</w:t>
            </w:r>
          </w:p>
        </w:tc>
      </w:tr>
      <w:tr w:rsidR="00857A0D" w:rsidRPr="00873B6C" w14:paraId="7EE1E08C" w14:textId="77777777" w:rsidTr="00C9561D">
        <w:trPr>
          <w:cantSplit/>
          <w:jc w:val="center"/>
        </w:trPr>
        <w:tc>
          <w:tcPr>
            <w:tcW w:w="5000" w:type="dxa"/>
            <w:shd w:val="clear" w:color="auto" w:fill="auto"/>
          </w:tcPr>
          <w:p w14:paraId="33DA3378" w14:textId="77777777" w:rsidR="00857A0D" w:rsidRPr="00873B6C" w:rsidRDefault="00857A0D" w:rsidP="00857A0D">
            <w:pPr>
              <w:pStyle w:val="TAL"/>
              <w:rPr>
                <w:lang w:eastAsia="fr-FR"/>
              </w:rPr>
            </w:pPr>
            <w:r w:rsidRPr="00873B6C">
              <w:rPr>
                <w:lang w:eastAsia="fr-FR"/>
              </w:rPr>
              <w:t>&gt;&gt; portDS.currentLogAnnounceInterval</w:t>
            </w:r>
          </w:p>
        </w:tc>
        <w:tc>
          <w:tcPr>
            <w:tcW w:w="1418" w:type="dxa"/>
            <w:shd w:val="clear" w:color="auto" w:fill="auto"/>
          </w:tcPr>
          <w:p w14:paraId="54F55BFB" w14:textId="77777777" w:rsidR="00857A0D" w:rsidRPr="00873B6C" w:rsidRDefault="00857A0D" w:rsidP="00857A0D">
            <w:pPr>
              <w:pStyle w:val="TAC"/>
              <w:rPr>
                <w:lang w:eastAsia="fr-FR"/>
              </w:rPr>
            </w:pPr>
            <w:r w:rsidRPr="00873B6C">
              <w:rPr>
                <w:lang w:eastAsia="fr-FR"/>
              </w:rPr>
              <w:t>R</w:t>
            </w:r>
          </w:p>
        </w:tc>
        <w:tc>
          <w:tcPr>
            <w:tcW w:w="1338" w:type="dxa"/>
          </w:tcPr>
          <w:p w14:paraId="63D6A0C5" w14:textId="77777777" w:rsidR="00857A0D" w:rsidRPr="00873B6C" w:rsidRDefault="00857A0D" w:rsidP="00857A0D">
            <w:pPr>
              <w:pStyle w:val="TAC"/>
            </w:pPr>
            <w:r w:rsidRPr="00873B6C">
              <w:rPr>
                <w:lang w:eastAsia="fr-FR"/>
              </w:rPr>
              <w:t>R</w:t>
            </w:r>
          </w:p>
        </w:tc>
        <w:tc>
          <w:tcPr>
            <w:tcW w:w="2126" w:type="dxa"/>
            <w:shd w:val="clear" w:color="auto" w:fill="auto"/>
          </w:tcPr>
          <w:p w14:paraId="3BE297AF" w14:textId="77777777" w:rsidR="00857A0D" w:rsidRPr="00873B6C" w:rsidRDefault="00857A0D" w:rsidP="00857A0D">
            <w:pPr>
              <w:pStyle w:val="TAC"/>
            </w:pPr>
            <w:r w:rsidRPr="00873B6C">
              <w:rPr>
                <w:lang w:eastAsia="fr-FR"/>
              </w:rPr>
              <w:t>IEEE Std 802.1AS [104] clause 14.8.13</w:t>
            </w:r>
          </w:p>
        </w:tc>
      </w:tr>
      <w:tr w:rsidR="00857A0D" w:rsidRPr="00873B6C" w14:paraId="670D7BA6" w14:textId="77777777" w:rsidTr="00C9561D">
        <w:trPr>
          <w:cantSplit/>
          <w:jc w:val="center"/>
        </w:trPr>
        <w:tc>
          <w:tcPr>
            <w:tcW w:w="5000" w:type="dxa"/>
            <w:shd w:val="clear" w:color="auto" w:fill="auto"/>
          </w:tcPr>
          <w:p w14:paraId="3A70621B" w14:textId="77777777" w:rsidR="00857A0D" w:rsidRPr="00873B6C" w:rsidRDefault="00857A0D" w:rsidP="00857A0D">
            <w:pPr>
              <w:pStyle w:val="TAL"/>
              <w:rPr>
                <w:lang w:eastAsia="fr-FR"/>
              </w:rPr>
            </w:pPr>
            <w:r w:rsidRPr="00873B6C">
              <w:rPr>
                <w:lang w:eastAsia="fr-FR"/>
              </w:rPr>
              <w:t>&gt;&gt; portDS.useMgtSettableLogAnnounceInterval</w:t>
            </w:r>
          </w:p>
        </w:tc>
        <w:tc>
          <w:tcPr>
            <w:tcW w:w="1418" w:type="dxa"/>
            <w:shd w:val="clear" w:color="auto" w:fill="auto"/>
          </w:tcPr>
          <w:p w14:paraId="04707A68" w14:textId="77777777" w:rsidR="00857A0D" w:rsidRPr="00873B6C" w:rsidRDefault="00857A0D" w:rsidP="00857A0D">
            <w:pPr>
              <w:pStyle w:val="TAC"/>
              <w:rPr>
                <w:lang w:eastAsia="fr-FR"/>
              </w:rPr>
            </w:pPr>
            <w:r w:rsidRPr="00873B6C">
              <w:rPr>
                <w:lang w:eastAsia="fr-FR"/>
              </w:rPr>
              <w:t>RW</w:t>
            </w:r>
          </w:p>
        </w:tc>
        <w:tc>
          <w:tcPr>
            <w:tcW w:w="1338" w:type="dxa"/>
          </w:tcPr>
          <w:p w14:paraId="6A149E07" w14:textId="77777777" w:rsidR="00857A0D" w:rsidRPr="00873B6C" w:rsidRDefault="00857A0D" w:rsidP="00857A0D">
            <w:pPr>
              <w:pStyle w:val="TAC"/>
            </w:pPr>
            <w:r w:rsidRPr="00873B6C">
              <w:rPr>
                <w:lang w:eastAsia="fr-FR"/>
              </w:rPr>
              <w:t>RW</w:t>
            </w:r>
          </w:p>
        </w:tc>
        <w:tc>
          <w:tcPr>
            <w:tcW w:w="2126" w:type="dxa"/>
            <w:shd w:val="clear" w:color="auto" w:fill="auto"/>
          </w:tcPr>
          <w:p w14:paraId="33FF5FDD" w14:textId="77777777" w:rsidR="00857A0D" w:rsidRPr="00873B6C" w:rsidRDefault="00857A0D" w:rsidP="00857A0D">
            <w:pPr>
              <w:pStyle w:val="TAC"/>
            </w:pPr>
            <w:r w:rsidRPr="00873B6C">
              <w:rPr>
                <w:lang w:eastAsia="fr-FR"/>
              </w:rPr>
              <w:t>IEEE Std 802.1AS [104] clause 14.8.14</w:t>
            </w:r>
          </w:p>
        </w:tc>
      </w:tr>
      <w:tr w:rsidR="00857A0D" w:rsidRPr="00873B6C" w14:paraId="75CE461F" w14:textId="77777777" w:rsidTr="00C9561D">
        <w:trPr>
          <w:cantSplit/>
          <w:jc w:val="center"/>
        </w:trPr>
        <w:tc>
          <w:tcPr>
            <w:tcW w:w="5000" w:type="dxa"/>
            <w:shd w:val="clear" w:color="auto" w:fill="auto"/>
          </w:tcPr>
          <w:p w14:paraId="0B4D6B65" w14:textId="77777777" w:rsidR="00857A0D" w:rsidRPr="00873B6C" w:rsidRDefault="00857A0D" w:rsidP="00857A0D">
            <w:pPr>
              <w:pStyle w:val="TAL"/>
              <w:rPr>
                <w:lang w:eastAsia="fr-FR"/>
              </w:rPr>
            </w:pPr>
            <w:r w:rsidRPr="00873B6C">
              <w:rPr>
                <w:lang w:eastAsia="fr-FR"/>
              </w:rPr>
              <w:t>&gt;&gt; portDS.mgtSettableLogAnnounceInterval</w:t>
            </w:r>
          </w:p>
        </w:tc>
        <w:tc>
          <w:tcPr>
            <w:tcW w:w="1418" w:type="dxa"/>
            <w:shd w:val="clear" w:color="auto" w:fill="auto"/>
          </w:tcPr>
          <w:p w14:paraId="341DBE3C" w14:textId="77777777" w:rsidR="00857A0D" w:rsidRPr="00873B6C" w:rsidRDefault="00857A0D" w:rsidP="00857A0D">
            <w:pPr>
              <w:pStyle w:val="TAC"/>
              <w:rPr>
                <w:lang w:eastAsia="fr-FR"/>
              </w:rPr>
            </w:pPr>
            <w:r w:rsidRPr="00873B6C">
              <w:rPr>
                <w:lang w:eastAsia="fr-FR"/>
              </w:rPr>
              <w:t>RW</w:t>
            </w:r>
          </w:p>
        </w:tc>
        <w:tc>
          <w:tcPr>
            <w:tcW w:w="1338" w:type="dxa"/>
          </w:tcPr>
          <w:p w14:paraId="7417D4A4" w14:textId="77777777" w:rsidR="00857A0D" w:rsidRPr="00873B6C" w:rsidRDefault="00857A0D" w:rsidP="00857A0D">
            <w:pPr>
              <w:pStyle w:val="TAC"/>
            </w:pPr>
            <w:r w:rsidRPr="00873B6C">
              <w:rPr>
                <w:lang w:eastAsia="fr-FR"/>
              </w:rPr>
              <w:t>RW</w:t>
            </w:r>
          </w:p>
        </w:tc>
        <w:tc>
          <w:tcPr>
            <w:tcW w:w="2126" w:type="dxa"/>
            <w:shd w:val="clear" w:color="auto" w:fill="auto"/>
          </w:tcPr>
          <w:p w14:paraId="51459768" w14:textId="77777777" w:rsidR="00857A0D" w:rsidRPr="00873B6C" w:rsidRDefault="00857A0D" w:rsidP="00857A0D">
            <w:pPr>
              <w:pStyle w:val="TAC"/>
            </w:pPr>
            <w:r w:rsidRPr="00873B6C">
              <w:rPr>
                <w:lang w:eastAsia="fr-FR"/>
              </w:rPr>
              <w:t>IEEE Std 802.1AS [104] clause 14.8.15</w:t>
            </w:r>
          </w:p>
        </w:tc>
      </w:tr>
      <w:tr w:rsidR="00857A0D" w:rsidRPr="00873B6C" w14:paraId="11D6C04D" w14:textId="77777777" w:rsidTr="00C9561D">
        <w:trPr>
          <w:cantSplit/>
          <w:jc w:val="center"/>
        </w:trPr>
        <w:tc>
          <w:tcPr>
            <w:tcW w:w="5000" w:type="dxa"/>
            <w:shd w:val="clear" w:color="auto" w:fill="auto"/>
          </w:tcPr>
          <w:p w14:paraId="05650F32" w14:textId="77777777" w:rsidR="00857A0D" w:rsidRPr="00873B6C" w:rsidRDefault="00857A0D" w:rsidP="00857A0D">
            <w:pPr>
              <w:pStyle w:val="TAL"/>
              <w:rPr>
                <w:lang w:eastAsia="fr-FR"/>
              </w:rPr>
            </w:pPr>
            <w:r w:rsidRPr="00873B6C">
              <w:rPr>
                <w:lang w:eastAsia="fr-FR"/>
              </w:rPr>
              <w:t>&gt;&gt; portDS.announceReceiptTimeout</w:t>
            </w:r>
          </w:p>
        </w:tc>
        <w:tc>
          <w:tcPr>
            <w:tcW w:w="1418" w:type="dxa"/>
            <w:shd w:val="clear" w:color="auto" w:fill="auto"/>
          </w:tcPr>
          <w:p w14:paraId="1104B56D" w14:textId="77777777" w:rsidR="00857A0D" w:rsidRPr="00873B6C" w:rsidRDefault="00857A0D" w:rsidP="00857A0D">
            <w:pPr>
              <w:pStyle w:val="TAC"/>
              <w:rPr>
                <w:lang w:eastAsia="fr-FR"/>
              </w:rPr>
            </w:pPr>
            <w:r w:rsidRPr="00873B6C">
              <w:rPr>
                <w:lang w:eastAsia="fr-FR"/>
              </w:rPr>
              <w:t>RW</w:t>
            </w:r>
          </w:p>
        </w:tc>
        <w:tc>
          <w:tcPr>
            <w:tcW w:w="1338" w:type="dxa"/>
          </w:tcPr>
          <w:p w14:paraId="7CB0DC47" w14:textId="77777777" w:rsidR="00857A0D" w:rsidRPr="00873B6C" w:rsidRDefault="00857A0D" w:rsidP="00857A0D">
            <w:pPr>
              <w:pStyle w:val="TAC"/>
            </w:pPr>
            <w:r w:rsidRPr="00873B6C">
              <w:rPr>
                <w:lang w:eastAsia="fr-FR"/>
              </w:rPr>
              <w:t>RW</w:t>
            </w:r>
          </w:p>
        </w:tc>
        <w:tc>
          <w:tcPr>
            <w:tcW w:w="2126" w:type="dxa"/>
            <w:shd w:val="clear" w:color="auto" w:fill="auto"/>
          </w:tcPr>
          <w:p w14:paraId="27FF8D26" w14:textId="77777777" w:rsidR="00857A0D" w:rsidRPr="00873B6C" w:rsidRDefault="00857A0D" w:rsidP="00857A0D">
            <w:pPr>
              <w:pStyle w:val="TAC"/>
            </w:pPr>
            <w:r w:rsidRPr="00873B6C">
              <w:rPr>
                <w:lang w:eastAsia="fr-FR"/>
              </w:rPr>
              <w:t>IEEE Std 802.1AS [104] clause 14.8.16</w:t>
            </w:r>
          </w:p>
        </w:tc>
      </w:tr>
      <w:tr w:rsidR="00857A0D" w:rsidRPr="00873B6C" w14:paraId="2DDA6F14" w14:textId="77777777" w:rsidTr="00C9561D">
        <w:trPr>
          <w:cantSplit/>
          <w:jc w:val="center"/>
        </w:trPr>
        <w:tc>
          <w:tcPr>
            <w:tcW w:w="5000" w:type="dxa"/>
            <w:shd w:val="clear" w:color="auto" w:fill="auto"/>
          </w:tcPr>
          <w:p w14:paraId="769C071C" w14:textId="77777777" w:rsidR="00857A0D" w:rsidRPr="00873B6C" w:rsidRDefault="00857A0D" w:rsidP="00857A0D">
            <w:pPr>
              <w:pStyle w:val="TAL"/>
              <w:rPr>
                <w:lang w:eastAsia="fr-FR"/>
              </w:rPr>
            </w:pPr>
            <w:r w:rsidRPr="00873B6C">
              <w:rPr>
                <w:lang w:eastAsia="fr-FR"/>
              </w:rPr>
              <w:t>&gt;&gt; portDS.initialLogSyncInterval</w:t>
            </w:r>
          </w:p>
        </w:tc>
        <w:tc>
          <w:tcPr>
            <w:tcW w:w="1418" w:type="dxa"/>
            <w:shd w:val="clear" w:color="auto" w:fill="auto"/>
          </w:tcPr>
          <w:p w14:paraId="5AC9C5C4" w14:textId="77777777" w:rsidR="00857A0D" w:rsidRPr="00873B6C" w:rsidRDefault="00857A0D" w:rsidP="00857A0D">
            <w:pPr>
              <w:pStyle w:val="TAC"/>
              <w:rPr>
                <w:lang w:eastAsia="fr-FR"/>
              </w:rPr>
            </w:pPr>
            <w:r w:rsidRPr="00873B6C">
              <w:rPr>
                <w:lang w:eastAsia="fr-FR"/>
              </w:rPr>
              <w:t>RW</w:t>
            </w:r>
          </w:p>
        </w:tc>
        <w:tc>
          <w:tcPr>
            <w:tcW w:w="1338" w:type="dxa"/>
          </w:tcPr>
          <w:p w14:paraId="09B4CF24" w14:textId="77777777" w:rsidR="00857A0D" w:rsidRPr="00873B6C" w:rsidRDefault="00857A0D" w:rsidP="00857A0D">
            <w:pPr>
              <w:pStyle w:val="TAC"/>
            </w:pPr>
            <w:r w:rsidRPr="00873B6C">
              <w:rPr>
                <w:lang w:eastAsia="fr-FR"/>
              </w:rPr>
              <w:t>RW</w:t>
            </w:r>
          </w:p>
        </w:tc>
        <w:tc>
          <w:tcPr>
            <w:tcW w:w="2126" w:type="dxa"/>
            <w:shd w:val="clear" w:color="auto" w:fill="auto"/>
          </w:tcPr>
          <w:p w14:paraId="787B50DF" w14:textId="77777777" w:rsidR="00857A0D" w:rsidRPr="00873B6C" w:rsidRDefault="00857A0D" w:rsidP="00857A0D">
            <w:pPr>
              <w:pStyle w:val="TAC"/>
            </w:pPr>
            <w:r w:rsidRPr="00873B6C">
              <w:rPr>
                <w:lang w:eastAsia="fr-FR"/>
              </w:rPr>
              <w:t>IEEE Std 802.1AS [104] clause 14.8.17</w:t>
            </w:r>
          </w:p>
        </w:tc>
      </w:tr>
      <w:tr w:rsidR="00857A0D" w:rsidRPr="00873B6C" w14:paraId="2F68EB73" w14:textId="77777777" w:rsidTr="00C9561D">
        <w:trPr>
          <w:cantSplit/>
          <w:jc w:val="center"/>
        </w:trPr>
        <w:tc>
          <w:tcPr>
            <w:tcW w:w="5000" w:type="dxa"/>
            <w:shd w:val="clear" w:color="auto" w:fill="auto"/>
          </w:tcPr>
          <w:p w14:paraId="2FE413AE" w14:textId="77777777" w:rsidR="00857A0D" w:rsidRPr="00873B6C" w:rsidRDefault="00857A0D" w:rsidP="00857A0D">
            <w:pPr>
              <w:pStyle w:val="TAL"/>
              <w:rPr>
                <w:lang w:eastAsia="fr-FR"/>
              </w:rPr>
            </w:pPr>
            <w:r w:rsidRPr="00873B6C">
              <w:rPr>
                <w:lang w:eastAsia="fr-FR"/>
              </w:rPr>
              <w:t>&gt;&gt; portDS.currentLogSyncInterval</w:t>
            </w:r>
          </w:p>
        </w:tc>
        <w:tc>
          <w:tcPr>
            <w:tcW w:w="1418" w:type="dxa"/>
            <w:shd w:val="clear" w:color="auto" w:fill="auto"/>
          </w:tcPr>
          <w:p w14:paraId="5BD3C3A4" w14:textId="77777777" w:rsidR="00857A0D" w:rsidRPr="00873B6C" w:rsidRDefault="00857A0D" w:rsidP="00857A0D">
            <w:pPr>
              <w:pStyle w:val="TAC"/>
              <w:rPr>
                <w:lang w:eastAsia="fr-FR"/>
              </w:rPr>
            </w:pPr>
            <w:r w:rsidRPr="00873B6C">
              <w:rPr>
                <w:lang w:eastAsia="fr-FR"/>
              </w:rPr>
              <w:t>R</w:t>
            </w:r>
          </w:p>
        </w:tc>
        <w:tc>
          <w:tcPr>
            <w:tcW w:w="1338" w:type="dxa"/>
          </w:tcPr>
          <w:p w14:paraId="660544B7" w14:textId="77777777" w:rsidR="00857A0D" w:rsidRPr="00873B6C" w:rsidRDefault="00857A0D" w:rsidP="00857A0D">
            <w:pPr>
              <w:pStyle w:val="TAC"/>
            </w:pPr>
            <w:r w:rsidRPr="00873B6C">
              <w:rPr>
                <w:lang w:eastAsia="fr-FR"/>
              </w:rPr>
              <w:t>R</w:t>
            </w:r>
          </w:p>
        </w:tc>
        <w:tc>
          <w:tcPr>
            <w:tcW w:w="2126" w:type="dxa"/>
            <w:shd w:val="clear" w:color="auto" w:fill="auto"/>
          </w:tcPr>
          <w:p w14:paraId="732A0E06" w14:textId="77777777" w:rsidR="00857A0D" w:rsidRPr="00873B6C" w:rsidRDefault="00857A0D" w:rsidP="00857A0D">
            <w:pPr>
              <w:pStyle w:val="TAC"/>
            </w:pPr>
            <w:r w:rsidRPr="00873B6C">
              <w:rPr>
                <w:lang w:eastAsia="fr-FR"/>
              </w:rPr>
              <w:t>IEEE Std 802.1AS [104] clause 14.8.18</w:t>
            </w:r>
          </w:p>
        </w:tc>
      </w:tr>
      <w:tr w:rsidR="00857A0D" w:rsidRPr="00873B6C" w14:paraId="63DE3A1D" w14:textId="77777777" w:rsidTr="00C9561D">
        <w:trPr>
          <w:cantSplit/>
          <w:jc w:val="center"/>
        </w:trPr>
        <w:tc>
          <w:tcPr>
            <w:tcW w:w="5000" w:type="dxa"/>
            <w:shd w:val="clear" w:color="auto" w:fill="auto"/>
          </w:tcPr>
          <w:p w14:paraId="671D6A93" w14:textId="77777777" w:rsidR="00857A0D" w:rsidRPr="00873B6C" w:rsidRDefault="00857A0D" w:rsidP="00857A0D">
            <w:pPr>
              <w:pStyle w:val="TAL"/>
              <w:rPr>
                <w:lang w:eastAsia="fr-FR"/>
              </w:rPr>
            </w:pPr>
            <w:r w:rsidRPr="00873B6C">
              <w:rPr>
                <w:lang w:eastAsia="fr-FR"/>
              </w:rPr>
              <w:t>&gt;&gt; portDS.useMgtSettableLogSyncInterval</w:t>
            </w:r>
          </w:p>
        </w:tc>
        <w:tc>
          <w:tcPr>
            <w:tcW w:w="1418" w:type="dxa"/>
            <w:shd w:val="clear" w:color="auto" w:fill="auto"/>
          </w:tcPr>
          <w:p w14:paraId="6E8E7466" w14:textId="77777777" w:rsidR="00857A0D" w:rsidRPr="00873B6C" w:rsidRDefault="00857A0D" w:rsidP="00857A0D">
            <w:pPr>
              <w:pStyle w:val="TAC"/>
              <w:rPr>
                <w:lang w:eastAsia="fr-FR"/>
              </w:rPr>
            </w:pPr>
            <w:r w:rsidRPr="00873B6C">
              <w:rPr>
                <w:lang w:eastAsia="fr-FR"/>
              </w:rPr>
              <w:t>RW</w:t>
            </w:r>
          </w:p>
        </w:tc>
        <w:tc>
          <w:tcPr>
            <w:tcW w:w="1338" w:type="dxa"/>
          </w:tcPr>
          <w:p w14:paraId="6A145594" w14:textId="77777777" w:rsidR="00857A0D" w:rsidRPr="00873B6C" w:rsidRDefault="00857A0D" w:rsidP="00857A0D">
            <w:pPr>
              <w:pStyle w:val="TAC"/>
            </w:pPr>
            <w:r w:rsidRPr="00873B6C">
              <w:rPr>
                <w:lang w:eastAsia="fr-FR"/>
              </w:rPr>
              <w:t>RW</w:t>
            </w:r>
          </w:p>
        </w:tc>
        <w:tc>
          <w:tcPr>
            <w:tcW w:w="2126" w:type="dxa"/>
            <w:shd w:val="clear" w:color="auto" w:fill="auto"/>
          </w:tcPr>
          <w:p w14:paraId="2923F798" w14:textId="77777777" w:rsidR="00857A0D" w:rsidRPr="00873B6C" w:rsidRDefault="00857A0D" w:rsidP="00857A0D">
            <w:pPr>
              <w:pStyle w:val="TAC"/>
            </w:pPr>
            <w:r w:rsidRPr="00873B6C">
              <w:rPr>
                <w:lang w:eastAsia="fr-FR"/>
              </w:rPr>
              <w:t>IEEE Std 802.1AS [104] clause 14.8.19</w:t>
            </w:r>
          </w:p>
        </w:tc>
      </w:tr>
      <w:tr w:rsidR="00857A0D" w:rsidRPr="00873B6C" w14:paraId="620FCE46" w14:textId="77777777" w:rsidTr="00C9561D">
        <w:trPr>
          <w:cantSplit/>
          <w:jc w:val="center"/>
        </w:trPr>
        <w:tc>
          <w:tcPr>
            <w:tcW w:w="5000" w:type="dxa"/>
            <w:shd w:val="clear" w:color="auto" w:fill="auto"/>
          </w:tcPr>
          <w:p w14:paraId="5F6857B4" w14:textId="77777777" w:rsidR="00857A0D" w:rsidRPr="00873B6C" w:rsidRDefault="00857A0D" w:rsidP="00857A0D">
            <w:pPr>
              <w:pStyle w:val="TAL"/>
              <w:rPr>
                <w:lang w:eastAsia="fr-FR"/>
              </w:rPr>
            </w:pPr>
            <w:r w:rsidRPr="00873B6C">
              <w:rPr>
                <w:lang w:eastAsia="fr-FR"/>
              </w:rPr>
              <w:t>&gt;&gt; portDS.mgtSettableLogSyncInterval</w:t>
            </w:r>
          </w:p>
        </w:tc>
        <w:tc>
          <w:tcPr>
            <w:tcW w:w="1418" w:type="dxa"/>
            <w:shd w:val="clear" w:color="auto" w:fill="auto"/>
          </w:tcPr>
          <w:p w14:paraId="40F9872E" w14:textId="77777777" w:rsidR="00857A0D" w:rsidRPr="00873B6C" w:rsidRDefault="00857A0D" w:rsidP="00857A0D">
            <w:pPr>
              <w:pStyle w:val="TAC"/>
              <w:rPr>
                <w:lang w:eastAsia="fr-FR"/>
              </w:rPr>
            </w:pPr>
            <w:r w:rsidRPr="00873B6C">
              <w:rPr>
                <w:lang w:eastAsia="fr-FR"/>
              </w:rPr>
              <w:t>RW</w:t>
            </w:r>
          </w:p>
        </w:tc>
        <w:tc>
          <w:tcPr>
            <w:tcW w:w="1338" w:type="dxa"/>
          </w:tcPr>
          <w:p w14:paraId="3FC3D40A" w14:textId="77777777" w:rsidR="00857A0D" w:rsidRPr="00873B6C" w:rsidRDefault="00857A0D" w:rsidP="00857A0D">
            <w:pPr>
              <w:pStyle w:val="TAC"/>
            </w:pPr>
            <w:r w:rsidRPr="00873B6C">
              <w:rPr>
                <w:lang w:eastAsia="fr-FR"/>
              </w:rPr>
              <w:t>RW</w:t>
            </w:r>
          </w:p>
        </w:tc>
        <w:tc>
          <w:tcPr>
            <w:tcW w:w="2126" w:type="dxa"/>
            <w:shd w:val="clear" w:color="auto" w:fill="auto"/>
          </w:tcPr>
          <w:p w14:paraId="56AA65CA" w14:textId="77777777" w:rsidR="00857A0D" w:rsidRPr="00873B6C" w:rsidRDefault="00857A0D" w:rsidP="00857A0D">
            <w:pPr>
              <w:pStyle w:val="TAC"/>
            </w:pPr>
            <w:r w:rsidRPr="00873B6C">
              <w:rPr>
                <w:lang w:eastAsia="fr-FR"/>
              </w:rPr>
              <w:t>IEEE Std 802.1AS [104] clause 14.8.20</w:t>
            </w:r>
          </w:p>
        </w:tc>
      </w:tr>
      <w:tr w:rsidR="00857A0D" w:rsidRPr="00873B6C" w14:paraId="6844CA34" w14:textId="77777777" w:rsidTr="00C9561D">
        <w:trPr>
          <w:cantSplit/>
          <w:jc w:val="center"/>
        </w:trPr>
        <w:tc>
          <w:tcPr>
            <w:tcW w:w="5000" w:type="dxa"/>
            <w:shd w:val="clear" w:color="auto" w:fill="auto"/>
          </w:tcPr>
          <w:p w14:paraId="13692FBF" w14:textId="77777777" w:rsidR="00857A0D" w:rsidRPr="00873B6C" w:rsidRDefault="00857A0D" w:rsidP="00857A0D">
            <w:pPr>
              <w:pStyle w:val="TAL"/>
              <w:rPr>
                <w:lang w:eastAsia="fr-FR"/>
              </w:rPr>
            </w:pPr>
            <w:r w:rsidRPr="00873B6C">
              <w:rPr>
                <w:lang w:eastAsia="fr-FR"/>
              </w:rPr>
              <w:t>&gt;&gt; portDS.syncReceiptTimeout</w:t>
            </w:r>
          </w:p>
        </w:tc>
        <w:tc>
          <w:tcPr>
            <w:tcW w:w="1418" w:type="dxa"/>
            <w:shd w:val="clear" w:color="auto" w:fill="auto"/>
          </w:tcPr>
          <w:p w14:paraId="45595D78" w14:textId="77777777" w:rsidR="00857A0D" w:rsidRPr="00873B6C" w:rsidRDefault="00857A0D" w:rsidP="00857A0D">
            <w:pPr>
              <w:pStyle w:val="TAC"/>
              <w:rPr>
                <w:lang w:eastAsia="fr-FR"/>
              </w:rPr>
            </w:pPr>
            <w:r w:rsidRPr="00873B6C">
              <w:rPr>
                <w:lang w:eastAsia="fr-FR"/>
              </w:rPr>
              <w:t>RW</w:t>
            </w:r>
          </w:p>
        </w:tc>
        <w:tc>
          <w:tcPr>
            <w:tcW w:w="1338" w:type="dxa"/>
          </w:tcPr>
          <w:p w14:paraId="1063AF72" w14:textId="77777777" w:rsidR="00857A0D" w:rsidRPr="00873B6C" w:rsidRDefault="00857A0D" w:rsidP="00857A0D">
            <w:pPr>
              <w:pStyle w:val="TAC"/>
            </w:pPr>
            <w:r w:rsidRPr="00873B6C">
              <w:rPr>
                <w:lang w:eastAsia="fr-FR"/>
              </w:rPr>
              <w:t>RW</w:t>
            </w:r>
          </w:p>
        </w:tc>
        <w:tc>
          <w:tcPr>
            <w:tcW w:w="2126" w:type="dxa"/>
            <w:shd w:val="clear" w:color="auto" w:fill="auto"/>
          </w:tcPr>
          <w:p w14:paraId="5B4E5CA3" w14:textId="77777777" w:rsidR="00857A0D" w:rsidRPr="00873B6C" w:rsidRDefault="00857A0D" w:rsidP="00857A0D">
            <w:pPr>
              <w:pStyle w:val="TAC"/>
            </w:pPr>
            <w:r w:rsidRPr="00873B6C">
              <w:rPr>
                <w:lang w:eastAsia="fr-FR"/>
              </w:rPr>
              <w:t>IEEE Std 802.1AS [104] clause 14.8.21</w:t>
            </w:r>
          </w:p>
        </w:tc>
      </w:tr>
      <w:tr w:rsidR="00857A0D" w:rsidRPr="00873B6C" w14:paraId="7D66C30D" w14:textId="77777777" w:rsidTr="00C9561D">
        <w:trPr>
          <w:cantSplit/>
          <w:jc w:val="center"/>
        </w:trPr>
        <w:tc>
          <w:tcPr>
            <w:tcW w:w="5000" w:type="dxa"/>
            <w:shd w:val="clear" w:color="auto" w:fill="auto"/>
          </w:tcPr>
          <w:p w14:paraId="320E29CC" w14:textId="77777777" w:rsidR="00857A0D" w:rsidRPr="00873B6C" w:rsidRDefault="00857A0D" w:rsidP="00857A0D">
            <w:pPr>
              <w:pStyle w:val="TAL"/>
              <w:rPr>
                <w:lang w:eastAsia="fr-FR"/>
              </w:rPr>
            </w:pPr>
            <w:r w:rsidRPr="00873B6C">
              <w:rPr>
                <w:lang w:eastAsia="fr-FR"/>
              </w:rPr>
              <w:t>&gt;&gt; portDS.syncReceiptTimeoutTimeInterval</w:t>
            </w:r>
          </w:p>
        </w:tc>
        <w:tc>
          <w:tcPr>
            <w:tcW w:w="1418" w:type="dxa"/>
            <w:shd w:val="clear" w:color="auto" w:fill="auto"/>
          </w:tcPr>
          <w:p w14:paraId="64664914" w14:textId="77777777" w:rsidR="00857A0D" w:rsidRPr="00873B6C" w:rsidRDefault="00857A0D" w:rsidP="00857A0D">
            <w:pPr>
              <w:pStyle w:val="TAC"/>
              <w:rPr>
                <w:lang w:eastAsia="fr-FR"/>
              </w:rPr>
            </w:pPr>
            <w:r w:rsidRPr="00873B6C">
              <w:rPr>
                <w:lang w:eastAsia="fr-FR"/>
              </w:rPr>
              <w:t>RW</w:t>
            </w:r>
          </w:p>
        </w:tc>
        <w:tc>
          <w:tcPr>
            <w:tcW w:w="1338" w:type="dxa"/>
          </w:tcPr>
          <w:p w14:paraId="430E7987" w14:textId="77777777" w:rsidR="00857A0D" w:rsidRPr="00873B6C" w:rsidRDefault="00857A0D" w:rsidP="00857A0D">
            <w:pPr>
              <w:pStyle w:val="TAC"/>
            </w:pPr>
            <w:r w:rsidRPr="00873B6C">
              <w:rPr>
                <w:lang w:eastAsia="fr-FR"/>
              </w:rPr>
              <w:t>RW</w:t>
            </w:r>
          </w:p>
        </w:tc>
        <w:tc>
          <w:tcPr>
            <w:tcW w:w="2126" w:type="dxa"/>
            <w:shd w:val="clear" w:color="auto" w:fill="auto"/>
          </w:tcPr>
          <w:p w14:paraId="1D591426" w14:textId="77777777" w:rsidR="00857A0D" w:rsidRPr="00873B6C" w:rsidRDefault="00857A0D" w:rsidP="00857A0D">
            <w:pPr>
              <w:pStyle w:val="TAC"/>
            </w:pPr>
            <w:r w:rsidRPr="00873B6C">
              <w:rPr>
                <w:lang w:eastAsia="fr-FR"/>
              </w:rPr>
              <w:t>IEEE Std 802.1AS [104] clause 14.8.22</w:t>
            </w:r>
          </w:p>
        </w:tc>
      </w:tr>
      <w:tr w:rsidR="00857A0D" w:rsidRPr="00873B6C" w14:paraId="00AFD4A1" w14:textId="77777777" w:rsidTr="00C9561D">
        <w:trPr>
          <w:cantSplit/>
          <w:jc w:val="center"/>
        </w:trPr>
        <w:tc>
          <w:tcPr>
            <w:tcW w:w="5000" w:type="dxa"/>
            <w:shd w:val="clear" w:color="auto" w:fill="auto"/>
          </w:tcPr>
          <w:p w14:paraId="6A55D456" w14:textId="77777777" w:rsidR="00857A0D" w:rsidRPr="00873B6C" w:rsidRDefault="00857A0D" w:rsidP="00857A0D">
            <w:pPr>
              <w:pStyle w:val="TAL"/>
              <w:rPr>
                <w:lang w:eastAsia="fr-FR"/>
              </w:rPr>
            </w:pPr>
            <w:r w:rsidRPr="00873B6C">
              <w:rPr>
                <w:lang w:eastAsia="fr-FR"/>
              </w:rPr>
              <w:t>&gt;&gt; portDS.initialLogPdelayReqInterval</w:t>
            </w:r>
          </w:p>
        </w:tc>
        <w:tc>
          <w:tcPr>
            <w:tcW w:w="1418" w:type="dxa"/>
            <w:shd w:val="clear" w:color="auto" w:fill="auto"/>
          </w:tcPr>
          <w:p w14:paraId="79BFE8F1" w14:textId="77777777" w:rsidR="00857A0D" w:rsidRPr="00873B6C" w:rsidRDefault="00857A0D" w:rsidP="00857A0D">
            <w:pPr>
              <w:pStyle w:val="TAC"/>
              <w:rPr>
                <w:lang w:eastAsia="fr-FR"/>
              </w:rPr>
            </w:pPr>
            <w:r w:rsidRPr="00873B6C">
              <w:rPr>
                <w:lang w:eastAsia="fr-FR"/>
              </w:rPr>
              <w:t>RW</w:t>
            </w:r>
          </w:p>
        </w:tc>
        <w:tc>
          <w:tcPr>
            <w:tcW w:w="1338" w:type="dxa"/>
          </w:tcPr>
          <w:p w14:paraId="52584F80" w14:textId="77777777" w:rsidR="00857A0D" w:rsidRPr="00873B6C" w:rsidRDefault="00857A0D" w:rsidP="00857A0D">
            <w:pPr>
              <w:pStyle w:val="TAC"/>
            </w:pPr>
            <w:r w:rsidRPr="00873B6C">
              <w:rPr>
                <w:lang w:eastAsia="fr-FR"/>
              </w:rPr>
              <w:t>RW</w:t>
            </w:r>
          </w:p>
        </w:tc>
        <w:tc>
          <w:tcPr>
            <w:tcW w:w="2126" w:type="dxa"/>
            <w:shd w:val="clear" w:color="auto" w:fill="auto"/>
          </w:tcPr>
          <w:p w14:paraId="20EEB559" w14:textId="77777777" w:rsidR="00857A0D" w:rsidRPr="00873B6C" w:rsidRDefault="00857A0D" w:rsidP="00857A0D">
            <w:pPr>
              <w:pStyle w:val="TAC"/>
            </w:pPr>
            <w:r w:rsidRPr="00873B6C">
              <w:rPr>
                <w:lang w:eastAsia="fr-FR"/>
              </w:rPr>
              <w:t>IEEE Std 802.1AS [104] clause 14.8.23</w:t>
            </w:r>
          </w:p>
        </w:tc>
      </w:tr>
      <w:tr w:rsidR="00857A0D" w:rsidRPr="00873B6C" w14:paraId="636F8A6B" w14:textId="77777777" w:rsidTr="00C9561D">
        <w:trPr>
          <w:cantSplit/>
          <w:jc w:val="center"/>
        </w:trPr>
        <w:tc>
          <w:tcPr>
            <w:tcW w:w="5000" w:type="dxa"/>
            <w:shd w:val="clear" w:color="auto" w:fill="auto"/>
          </w:tcPr>
          <w:p w14:paraId="747CC7ED" w14:textId="77777777" w:rsidR="00857A0D" w:rsidRPr="00873B6C" w:rsidRDefault="00857A0D" w:rsidP="00857A0D">
            <w:pPr>
              <w:pStyle w:val="TAL"/>
              <w:rPr>
                <w:lang w:eastAsia="fr-FR"/>
              </w:rPr>
            </w:pPr>
            <w:r w:rsidRPr="00873B6C">
              <w:rPr>
                <w:lang w:eastAsia="fr-FR"/>
              </w:rPr>
              <w:t>&gt;&gt; portDS.currentLogPdelayReqInterval</w:t>
            </w:r>
          </w:p>
        </w:tc>
        <w:tc>
          <w:tcPr>
            <w:tcW w:w="1418" w:type="dxa"/>
            <w:shd w:val="clear" w:color="auto" w:fill="auto"/>
          </w:tcPr>
          <w:p w14:paraId="720ECC14" w14:textId="77777777" w:rsidR="00857A0D" w:rsidRPr="00873B6C" w:rsidRDefault="00857A0D" w:rsidP="00857A0D">
            <w:pPr>
              <w:pStyle w:val="TAC"/>
              <w:rPr>
                <w:lang w:eastAsia="fr-FR"/>
              </w:rPr>
            </w:pPr>
            <w:r w:rsidRPr="00873B6C">
              <w:rPr>
                <w:lang w:eastAsia="fr-FR"/>
              </w:rPr>
              <w:t>R</w:t>
            </w:r>
          </w:p>
        </w:tc>
        <w:tc>
          <w:tcPr>
            <w:tcW w:w="1338" w:type="dxa"/>
          </w:tcPr>
          <w:p w14:paraId="3CB7FFBF" w14:textId="77777777" w:rsidR="00857A0D" w:rsidRPr="00873B6C" w:rsidRDefault="00857A0D" w:rsidP="00857A0D">
            <w:pPr>
              <w:pStyle w:val="TAC"/>
            </w:pPr>
            <w:r w:rsidRPr="00873B6C">
              <w:rPr>
                <w:lang w:eastAsia="fr-FR"/>
              </w:rPr>
              <w:t>R</w:t>
            </w:r>
          </w:p>
        </w:tc>
        <w:tc>
          <w:tcPr>
            <w:tcW w:w="2126" w:type="dxa"/>
            <w:shd w:val="clear" w:color="auto" w:fill="auto"/>
          </w:tcPr>
          <w:p w14:paraId="79DB0C30" w14:textId="77777777" w:rsidR="00857A0D" w:rsidRPr="00873B6C" w:rsidRDefault="00857A0D" w:rsidP="00857A0D">
            <w:pPr>
              <w:pStyle w:val="TAC"/>
            </w:pPr>
            <w:r w:rsidRPr="00873B6C">
              <w:rPr>
                <w:lang w:eastAsia="fr-FR"/>
              </w:rPr>
              <w:t>IEEE Std 802.1AS [104] clause 14.8.24</w:t>
            </w:r>
          </w:p>
        </w:tc>
      </w:tr>
      <w:tr w:rsidR="00857A0D" w:rsidRPr="00873B6C" w14:paraId="17F148DC" w14:textId="77777777" w:rsidTr="00C9561D">
        <w:trPr>
          <w:cantSplit/>
          <w:jc w:val="center"/>
        </w:trPr>
        <w:tc>
          <w:tcPr>
            <w:tcW w:w="5000" w:type="dxa"/>
            <w:shd w:val="clear" w:color="auto" w:fill="auto"/>
          </w:tcPr>
          <w:p w14:paraId="491E03D0" w14:textId="77777777" w:rsidR="00857A0D" w:rsidRPr="00873B6C" w:rsidRDefault="00857A0D" w:rsidP="00857A0D">
            <w:pPr>
              <w:pStyle w:val="TAL"/>
              <w:rPr>
                <w:lang w:eastAsia="fr-FR"/>
              </w:rPr>
            </w:pPr>
            <w:r w:rsidRPr="00873B6C">
              <w:rPr>
                <w:lang w:eastAsia="fr-FR"/>
              </w:rPr>
              <w:t>&gt;&gt; portDS.useMgtSettableLogPdelayReqInterval</w:t>
            </w:r>
          </w:p>
        </w:tc>
        <w:tc>
          <w:tcPr>
            <w:tcW w:w="1418" w:type="dxa"/>
            <w:shd w:val="clear" w:color="auto" w:fill="auto"/>
          </w:tcPr>
          <w:p w14:paraId="1F850D58" w14:textId="77777777" w:rsidR="00857A0D" w:rsidRPr="00873B6C" w:rsidRDefault="00857A0D" w:rsidP="00857A0D">
            <w:pPr>
              <w:pStyle w:val="TAC"/>
              <w:rPr>
                <w:lang w:eastAsia="fr-FR"/>
              </w:rPr>
            </w:pPr>
            <w:r w:rsidRPr="00873B6C">
              <w:rPr>
                <w:lang w:eastAsia="fr-FR"/>
              </w:rPr>
              <w:t>RW</w:t>
            </w:r>
          </w:p>
        </w:tc>
        <w:tc>
          <w:tcPr>
            <w:tcW w:w="1338" w:type="dxa"/>
          </w:tcPr>
          <w:p w14:paraId="4E5DA715" w14:textId="77777777" w:rsidR="00857A0D" w:rsidRPr="00873B6C" w:rsidRDefault="00857A0D" w:rsidP="00857A0D">
            <w:pPr>
              <w:pStyle w:val="TAC"/>
            </w:pPr>
            <w:r w:rsidRPr="00873B6C">
              <w:rPr>
                <w:lang w:eastAsia="fr-FR"/>
              </w:rPr>
              <w:t>RW</w:t>
            </w:r>
          </w:p>
        </w:tc>
        <w:tc>
          <w:tcPr>
            <w:tcW w:w="2126" w:type="dxa"/>
            <w:shd w:val="clear" w:color="auto" w:fill="auto"/>
          </w:tcPr>
          <w:p w14:paraId="79DFC0B8" w14:textId="77777777" w:rsidR="00857A0D" w:rsidRPr="00873B6C" w:rsidRDefault="00857A0D" w:rsidP="00857A0D">
            <w:pPr>
              <w:pStyle w:val="TAC"/>
            </w:pPr>
            <w:r w:rsidRPr="00873B6C">
              <w:rPr>
                <w:lang w:eastAsia="fr-FR"/>
              </w:rPr>
              <w:t>IEEE Std 802.1AS [104] clause 14.8.25</w:t>
            </w:r>
          </w:p>
        </w:tc>
      </w:tr>
      <w:tr w:rsidR="00857A0D" w:rsidRPr="00873B6C" w14:paraId="4F37F335" w14:textId="77777777" w:rsidTr="00C9561D">
        <w:trPr>
          <w:cantSplit/>
          <w:jc w:val="center"/>
        </w:trPr>
        <w:tc>
          <w:tcPr>
            <w:tcW w:w="5000" w:type="dxa"/>
            <w:shd w:val="clear" w:color="auto" w:fill="auto"/>
          </w:tcPr>
          <w:p w14:paraId="1E84D6B2" w14:textId="77777777" w:rsidR="00857A0D" w:rsidRPr="00873B6C" w:rsidRDefault="00857A0D" w:rsidP="00857A0D">
            <w:pPr>
              <w:pStyle w:val="TAL"/>
              <w:rPr>
                <w:lang w:eastAsia="fr-FR"/>
              </w:rPr>
            </w:pPr>
            <w:r w:rsidRPr="00873B6C">
              <w:rPr>
                <w:lang w:eastAsia="fr-FR"/>
              </w:rPr>
              <w:t>&gt;&gt; portDS.mgtSettableLogPdelayReqInterval</w:t>
            </w:r>
          </w:p>
        </w:tc>
        <w:tc>
          <w:tcPr>
            <w:tcW w:w="1418" w:type="dxa"/>
            <w:shd w:val="clear" w:color="auto" w:fill="auto"/>
          </w:tcPr>
          <w:p w14:paraId="692D3C09" w14:textId="77777777" w:rsidR="00857A0D" w:rsidRPr="00873B6C" w:rsidRDefault="00857A0D" w:rsidP="00857A0D">
            <w:pPr>
              <w:pStyle w:val="TAC"/>
              <w:rPr>
                <w:lang w:eastAsia="fr-FR"/>
              </w:rPr>
            </w:pPr>
            <w:r w:rsidRPr="00873B6C">
              <w:rPr>
                <w:lang w:eastAsia="fr-FR"/>
              </w:rPr>
              <w:t>RW</w:t>
            </w:r>
          </w:p>
        </w:tc>
        <w:tc>
          <w:tcPr>
            <w:tcW w:w="1338" w:type="dxa"/>
          </w:tcPr>
          <w:p w14:paraId="07650927" w14:textId="77777777" w:rsidR="00857A0D" w:rsidRPr="00873B6C" w:rsidRDefault="00857A0D" w:rsidP="00857A0D">
            <w:pPr>
              <w:pStyle w:val="TAC"/>
            </w:pPr>
            <w:r w:rsidRPr="00873B6C">
              <w:rPr>
                <w:lang w:eastAsia="fr-FR"/>
              </w:rPr>
              <w:t>RW</w:t>
            </w:r>
          </w:p>
        </w:tc>
        <w:tc>
          <w:tcPr>
            <w:tcW w:w="2126" w:type="dxa"/>
            <w:shd w:val="clear" w:color="auto" w:fill="auto"/>
          </w:tcPr>
          <w:p w14:paraId="4A1CD584" w14:textId="77777777" w:rsidR="00857A0D" w:rsidRPr="00873B6C" w:rsidRDefault="00857A0D" w:rsidP="00857A0D">
            <w:pPr>
              <w:pStyle w:val="TAC"/>
            </w:pPr>
            <w:r w:rsidRPr="00873B6C">
              <w:rPr>
                <w:lang w:eastAsia="fr-FR"/>
              </w:rPr>
              <w:t>IEEE Std 802.1AS [104] clause 14.8.26</w:t>
            </w:r>
          </w:p>
        </w:tc>
      </w:tr>
      <w:tr w:rsidR="00857A0D" w:rsidRPr="00873B6C" w14:paraId="74274265" w14:textId="77777777" w:rsidTr="00C9561D">
        <w:trPr>
          <w:cantSplit/>
          <w:jc w:val="center"/>
        </w:trPr>
        <w:tc>
          <w:tcPr>
            <w:tcW w:w="5000" w:type="dxa"/>
            <w:shd w:val="clear" w:color="auto" w:fill="auto"/>
          </w:tcPr>
          <w:p w14:paraId="307A1252" w14:textId="77777777" w:rsidR="00857A0D" w:rsidRPr="00873B6C" w:rsidRDefault="00857A0D" w:rsidP="00857A0D">
            <w:pPr>
              <w:pStyle w:val="TAL"/>
              <w:rPr>
                <w:lang w:eastAsia="fr-FR"/>
              </w:rPr>
            </w:pPr>
            <w:r w:rsidRPr="00873B6C">
              <w:rPr>
                <w:lang w:eastAsia="fr-FR"/>
              </w:rPr>
              <w:t>&gt;&gt; portDS.initialLogGptpCapableMessageInterval</w:t>
            </w:r>
          </w:p>
        </w:tc>
        <w:tc>
          <w:tcPr>
            <w:tcW w:w="1418" w:type="dxa"/>
            <w:shd w:val="clear" w:color="auto" w:fill="auto"/>
          </w:tcPr>
          <w:p w14:paraId="561D9400" w14:textId="77777777" w:rsidR="00857A0D" w:rsidRPr="00873B6C" w:rsidRDefault="00857A0D" w:rsidP="00857A0D">
            <w:pPr>
              <w:pStyle w:val="TAC"/>
              <w:rPr>
                <w:lang w:eastAsia="fr-FR"/>
              </w:rPr>
            </w:pPr>
            <w:r w:rsidRPr="00873B6C">
              <w:rPr>
                <w:lang w:eastAsia="fr-FR"/>
              </w:rPr>
              <w:t>RW</w:t>
            </w:r>
          </w:p>
        </w:tc>
        <w:tc>
          <w:tcPr>
            <w:tcW w:w="1338" w:type="dxa"/>
          </w:tcPr>
          <w:p w14:paraId="47C3B764" w14:textId="77777777" w:rsidR="00857A0D" w:rsidRPr="00873B6C" w:rsidRDefault="00857A0D" w:rsidP="00857A0D">
            <w:pPr>
              <w:pStyle w:val="TAC"/>
            </w:pPr>
            <w:r w:rsidRPr="00873B6C">
              <w:rPr>
                <w:lang w:eastAsia="fr-FR"/>
              </w:rPr>
              <w:t>RW</w:t>
            </w:r>
          </w:p>
        </w:tc>
        <w:tc>
          <w:tcPr>
            <w:tcW w:w="2126" w:type="dxa"/>
            <w:shd w:val="clear" w:color="auto" w:fill="auto"/>
          </w:tcPr>
          <w:p w14:paraId="3A5F46AE" w14:textId="77777777" w:rsidR="00857A0D" w:rsidRPr="00873B6C" w:rsidRDefault="00857A0D" w:rsidP="00857A0D">
            <w:pPr>
              <w:pStyle w:val="TAC"/>
            </w:pPr>
            <w:r w:rsidRPr="00873B6C">
              <w:rPr>
                <w:lang w:eastAsia="fr-FR"/>
              </w:rPr>
              <w:t>IEEE Std 802.1AS [104] clause 14.8.27</w:t>
            </w:r>
          </w:p>
        </w:tc>
      </w:tr>
      <w:tr w:rsidR="00857A0D" w:rsidRPr="00873B6C" w14:paraId="745F2005" w14:textId="77777777" w:rsidTr="00C9561D">
        <w:trPr>
          <w:cantSplit/>
          <w:jc w:val="center"/>
        </w:trPr>
        <w:tc>
          <w:tcPr>
            <w:tcW w:w="5000" w:type="dxa"/>
            <w:shd w:val="clear" w:color="auto" w:fill="auto"/>
          </w:tcPr>
          <w:p w14:paraId="212B1DF2" w14:textId="77777777" w:rsidR="00857A0D" w:rsidRPr="00873B6C" w:rsidRDefault="00857A0D" w:rsidP="00857A0D">
            <w:pPr>
              <w:pStyle w:val="TAL"/>
              <w:rPr>
                <w:lang w:eastAsia="fr-FR"/>
              </w:rPr>
            </w:pPr>
            <w:r w:rsidRPr="00873B6C">
              <w:rPr>
                <w:lang w:eastAsia="fr-FR"/>
              </w:rPr>
              <w:t>&gt;&gt; portDS.currentLogGptpCapableMessageInterval</w:t>
            </w:r>
          </w:p>
        </w:tc>
        <w:tc>
          <w:tcPr>
            <w:tcW w:w="1418" w:type="dxa"/>
            <w:shd w:val="clear" w:color="auto" w:fill="auto"/>
          </w:tcPr>
          <w:p w14:paraId="0E288D22" w14:textId="77777777" w:rsidR="00857A0D" w:rsidRPr="00873B6C" w:rsidRDefault="00857A0D" w:rsidP="00857A0D">
            <w:pPr>
              <w:pStyle w:val="TAC"/>
              <w:rPr>
                <w:lang w:eastAsia="fr-FR"/>
              </w:rPr>
            </w:pPr>
            <w:r w:rsidRPr="00873B6C">
              <w:rPr>
                <w:lang w:eastAsia="fr-FR"/>
              </w:rPr>
              <w:t>R</w:t>
            </w:r>
          </w:p>
        </w:tc>
        <w:tc>
          <w:tcPr>
            <w:tcW w:w="1338" w:type="dxa"/>
          </w:tcPr>
          <w:p w14:paraId="44BAF804" w14:textId="77777777" w:rsidR="00857A0D" w:rsidRPr="00873B6C" w:rsidRDefault="00857A0D" w:rsidP="00857A0D">
            <w:pPr>
              <w:pStyle w:val="TAC"/>
            </w:pPr>
            <w:r w:rsidRPr="00873B6C">
              <w:rPr>
                <w:lang w:eastAsia="fr-FR"/>
              </w:rPr>
              <w:t>R</w:t>
            </w:r>
          </w:p>
        </w:tc>
        <w:tc>
          <w:tcPr>
            <w:tcW w:w="2126" w:type="dxa"/>
            <w:shd w:val="clear" w:color="auto" w:fill="auto"/>
          </w:tcPr>
          <w:p w14:paraId="53C980CD" w14:textId="77777777" w:rsidR="00857A0D" w:rsidRPr="00873B6C" w:rsidRDefault="00857A0D" w:rsidP="00857A0D">
            <w:pPr>
              <w:pStyle w:val="TAC"/>
            </w:pPr>
            <w:r w:rsidRPr="00873B6C">
              <w:rPr>
                <w:lang w:eastAsia="fr-FR"/>
              </w:rPr>
              <w:t>IEEE Std 802.1AS [104] clause 14.8.28</w:t>
            </w:r>
          </w:p>
        </w:tc>
      </w:tr>
      <w:tr w:rsidR="00857A0D" w:rsidRPr="00873B6C" w14:paraId="73C0B451" w14:textId="77777777" w:rsidTr="00C9561D">
        <w:trPr>
          <w:cantSplit/>
          <w:jc w:val="center"/>
        </w:trPr>
        <w:tc>
          <w:tcPr>
            <w:tcW w:w="5000" w:type="dxa"/>
            <w:shd w:val="clear" w:color="auto" w:fill="auto"/>
          </w:tcPr>
          <w:p w14:paraId="005C6112" w14:textId="77777777" w:rsidR="00857A0D" w:rsidRPr="00873B6C" w:rsidRDefault="00857A0D" w:rsidP="00857A0D">
            <w:pPr>
              <w:pStyle w:val="TAL"/>
              <w:rPr>
                <w:lang w:eastAsia="fr-FR"/>
              </w:rPr>
            </w:pPr>
            <w:r w:rsidRPr="00873B6C">
              <w:rPr>
                <w:lang w:eastAsia="fr-FR"/>
              </w:rPr>
              <w:t>&gt;&gt; portDS.useMgtSettableLogGptpCapableMessageInterval</w:t>
            </w:r>
          </w:p>
        </w:tc>
        <w:tc>
          <w:tcPr>
            <w:tcW w:w="1418" w:type="dxa"/>
            <w:shd w:val="clear" w:color="auto" w:fill="auto"/>
          </w:tcPr>
          <w:p w14:paraId="7304AFC0" w14:textId="77777777" w:rsidR="00857A0D" w:rsidRPr="00873B6C" w:rsidRDefault="00857A0D" w:rsidP="00857A0D">
            <w:pPr>
              <w:pStyle w:val="TAC"/>
              <w:rPr>
                <w:lang w:eastAsia="fr-FR"/>
              </w:rPr>
            </w:pPr>
            <w:r w:rsidRPr="00873B6C">
              <w:rPr>
                <w:lang w:eastAsia="fr-FR"/>
              </w:rPr>
              <w:t>RW</w:t>
            </w:r>
          </w:p>
        </w:tc>
        <w:tc>
          <w:tcPr>
            <w:tcW w:w="1338" w:type="dxa"/>
          </w:tcPr>
          <w:p w14:paraId="15D74C25" w14:textId="77777777" w:rsidR="00857A0D" w:rsidRPr="00873B6C" w:rsidRDefault="00857A0D" w:rsidP="00857A0D">
            <w:pPr>
              <w:pStyle w:val="TAC"/>
            </w:pPr>
            <w:r w:rsidRPr="00873B6C">
              <w:rPr>
                <w:lang w:eastAsia="fr-FR"/>
              </w:rPr>
              <w:t>RW</w:t>
            </w:r>
          </w:p>
        </w:tc>
        <w:tc>
          <w:tcPr>
            <w:tcW w:w="2126" w:type="dxa"/>
            <w:shd w:val="clear" w:color="auto" w:fill="auto"/>
          </w:tcPr>
          <w:p w14:paraId="7F90DECF" w14:textId="77777777" w:rsidR="00857A0D" w:rsidRPr="00873B6C" w:rsidRDefault="00857A0D" w:rsidP="00857A0D">
            <w:pPr>
              <w:pStyle w:val="TAC"/>
            </w:pPr>
            <w:r w:rsidRPr="00873B6C">
              <w:rPr>
                <w:lang w:eastAsia="fr-FR"/>
              </w:rPr>
              <w:t>IEEE Std 802.1AS [104] clause 14.8.29</w:t>
            </w:r>
          </w:p>
        </w:tc>
      </w:tr>
      <w:tr w:rsidR="00857A0D" w:rsidRPr="00873B6C" w14:paraId="63B3602A" w14:textId="77777777" w:rsidTr="00C9561D">
        <w:trPr>
          <w:cantSplit/>
          <w:jc w:val="center"/>
        </w:trPr>
        <w:tc>
          <w:tcPr>
            <w:tcW w:w="5000" w:type="dxa"/>
            <w:shd w:val="clear" w:color="auto" w:fill="auto"/>
          </w:tcPr>
          <w:p w14:paraId="42D270DA" w14:textId="77777777" w:rsidR="00857A0D" w:rsidRPr="00873B6C" w:rsidRDefault="00857A0D" w:rsidP="00857A0D">
            <w:pPr>
              <w:pStyle w:val="TAL"/>
              <w:rPr>
                <w:lang w:eastAsia="fr-FR"/>
              </w:rPr>
            </w:pPr>
            <w:r w:rsidRPr="00873B6C">
              <w:rPr>
                <w:lang w:eastAsia="fr-FR"/>
              </w:rPr>
              <w:t>&gt;&gt; portDS.mgtSettableLogGptpCapableMessageInterval</w:t>
            </w:r>
          </w:p>
        </w:tc>
        <w:tc>
          <w:tcPr>
            <w:tcW w:w="1418" w:type="dxa"/>
            <w:shd w:val="clear" w:color="auto" w:fill="auto"/>
          </w:tcPr>
          <w:p w14:paraId="1E40248D" w14:textId="77777777" w:rsidR="00857A0D" w:rsidRPr="00873B6C" w:rsidRDefault="00857A0D" w:rsidP="00857A0D">
            <w:pPr>
              <w:pStyle w:val="TAC"/>
              <w:rPr>
                <w:lang w:eastAsia="fr-FR"/>
              </w:rPr>
            </w:pPr>
            <w:r w:rsidRPr="00873B6C">
              <w:rPr>
                <w:lang w:eastAsia="fr-FR"/>
              </w:rPr>
              <w:t>RW</w:t>
            </w:r>
          </w:p>
        </w:tc>
        <w:tc>
          <w:tcPr>
            <w:tcW w:w="1338" w:type="dxa"/>
          </w:tcPr>
          <w:p w14:paraId="1DC70865" w14:textId="77777777" w:rsidR="00857A0D" w:rsidRPr="00873B6C" w:rsidRDefault="00857A0D" w:rsidP="00857A0D">
            <w:pPr>
              <w:pStyle w:val="TAC"/>
            </w:pPr>
            <w:r w:rsidRPr="00873B6C">
              <w:rPr>
                <w:lang w:eastAsia="fr-FR"/>
              </w:rPr>
              <w:t>RW</w:t>
            </w:r>
          </w:p>
        </w:tc>
        <w:tc>
          <w:tcPr>
            <w:tcW w:w="2126" w:type="dxa"/>
            <w:shd w:val="clear" w:color="auto" w:fill="auto"/>
          </w:tcPr>
          <w:p w14:paraId="7799D5FE" w14:textId="77777777" w:rsidR="00857A0D" w:rsidRPr="00873B6C" w:rsidRDefault="00857A0D" w:rsidP="00857A0D">
            <w:pPr>
              <w:pStyle w:val="TAC"/>
            </w:pPr>
            <w:r w:rsidRPr="00873B6C">
              <w:rPr>
                <w:lang w:eastAsia="fr-FR"/>
              </w:rPr>
              <w:t>IEEE Std 802.1AS [104] clause 14.8.30</w:t>
            </w:r>
          </w:p>
        </w:tc>
      </w:tr>
      <w:tr w:rsidR="00857A0D" w:rsidRPr="00873B6C" w14:paraId="15040F59" w14:textId="77777777" w:rsidTr="00C9561D">
        <w:trPr>
          <w:cantSplit/>
          <w:jc w:val="center"/>
        </w:trPr>
        <w:tc>
          <w:tcPr>
            <w:tcW w:w="5000" w:type="dxa"/>
            <w:shd w:val="clear" w:color="auto" w:fill="auto"/>
          </w:tcPr>
          <w:p w14:paraId="737D24DD" w14:textId="77777777" w:rsidR="00857A0D" w:rsidRPr="00873B6C" w:rsidRDefault="00857A0D" w:rsidP="00857A0D">
            <w:pPr>
              <w:pStyle w:val="TAL"/>
              <w:rPr>
                <w:lang w:eastAsia="fr-FR"/>
              </w:rPr>
            </w:pPr>
            <w:r w:rsidRPr="00873B6C">
              <w:rPr>
                <w:lang w:eastAsia="fr-FR"/>
              </w:rPr>
              <w:lastRenderedPageBreak/>
              <w:t>&gt;&gt; portDS.initialComputeNeighborRateRatio</w:t>
            </w:r>
          </w:p>
        </w:tc>
        <w:tc>
          <w:tcPr>
            <w:tcW w:w="1418" w:type="dxa"/>
            <w:shd w:val="clear" w:color="auto" w:fill="auto"/>
          </w:tcPr>
          <w:p w14:paraId="22FC2AEC" w14:textId="77777777" w:rsidR="00857A0D" w:rsidRPr="00873B6C" w:rsidRDefault="00857A0D" w:rsidP="00857A0D">
            <w:pPr>
              <w:pStyle w:val="TAC"/>
              <w:rPr>
                <w:lang w:eastAsia="fr-FR"/>
              </w:rPr>
            </w:pPr>
            <w:r w:rsidRPr="00873B6C">
              <w:rPr>
                <w:lang w:eastAsia="fr-FR"/>
              </w:rPr>
              <w:t>RW</w:t>
            </w:r>
          </w:p>
        </w:tc>
        <w:tc>
          <w:tcPr>
            <w:tcW w:w="1338" w:type="dxa"/>
          </w:tcPr>
          <w:p w14:paraId="3F07644B" w14:textId="77777777" w:rsidR="00857A0D" w:rsidRPr="00873B6C" w:rsidRDefault="00857A0D" w:rsidP="00857A0D">
            <w:pPr>
              <w:pStyle w:val="TAC"/>
            </w:pPr>
            <w:r w:rsidRPr="00873B6C">
              <w:rPr>
                <w:lang w:eastAsia="fr-FR"/>
              </w:rPr>
              <w:t>RW</w:t>
            </w:r>
          </w:p>
        </w:tc>
        <w:tc>
          <w:tcPr>
            <w:tcW w:w="2126" w:type="dxa"/>
            <w:shd w:val="clear" w:color="auto" w:fill="auto"/>
          </w:tcPr>
          <w:p w14:paraId="199F72CE" w14:textId="77777777" w:rsidR="00857A0D" w:rsidRPr="00873B6C" w:rsidRDefault="00857A0D" w:rsidP="00857A0D">
            <w:pPr>
              <w:pStyle w:val="TAC"/>
            </w:pPr>
            <w:r w:rsidRPr="00873B6C">
              <w:rPr>
                <w:lang w:eastAsia="fr-FR"/>
              </w:rPr>
              <w:t>IEEE Std 802.1AS [104] clause 14.8.31</w:t>
            </w:r>
          </w:p>
        </w:tc>
      </w:tr>
      <w:tr w:rsidR="00857A0D" w:rsidRPr="00873B6C" w14:paraId="632DB8C4" w14:textId="77777777" w:rsidTr="00C9561D">
        <w:trPr>
          <w:cantSplit/>
          <w:jc w:val="center"/>
        </w:trPr>
        <w:tc>
          <w:tcPr>
            <w:tcW w:w="5000" w:type="dxa"/>
            <w:shd w:val="clear" w:color="auto" w:fill="auto"/>
          </w:tcPr>
          <w:p w14:paraId="57CD79E2" w14:textId="77777777" w:rsidR="00857A0D" w:rsidRPr="00873B6C" w:rsidRDefault="00857A0D" w:rsidP="00857A0D">
            <w:pPr>
              <w:pStyle w:val="TAL"/>
              <w:rPr>
                <w:lang w:eastAsia="fr-FR"/>
              </w:rPr>
            </w:pPr>
            <w:r w:rsidRPr="00873B6C">
              <w:rPr>
                <w:lang w:eastAsia="fr-FR"/>
              </w:rPr>
              <w:t>&gt;&gt; portDS.currentComputeNeighborRateRatio</w:t>
            </w:r>
          </w:p>
        </w:tc>
        <w:tc>
          <w:tcPr>
            <w:tcW w:w="1418" w:type="dxa"/>
            <w:shd w:val="clear" w:color="auto" w:fill="auto"/>
          </w:tcPr>
          <w:p w14:paraId="00C9C7EB" w14:textId="77777777" w:rsidR="00857A0D" w:rsidRPr="00873B6C" w:rsidRDefault="00857A0D" w:rsidP="00857A0D">
            <w:pPr>
              <w:pStyle w:val="TAC"/>
              <w:rPr>
                <w:lang w:eastAsia="fr-FR"/>
              </w:rPr>
            </w:pPr>
            <w:r w:rsidRPr="00873B6C">
              <w:rPr>
                <w:lang w:eastAsia="fr-FR"/>
              </w:rPr>
              <w:t>R</w:t>
            </w:r>
          </w:p>
        </w:tc>
        <w:tc>
          <w:tcPr>
            <w:tcW w:w="1338" w:type="dxa"/>
          </w:tcPr>
          <w:p w14:paraId="58073CAA" w14:textId="77777777" w:rsidR="00857A0D" w:rsidRPr="00873B6C" w:rsidRDefault="00857A0D" w:rsidP="00857A0D">
            <w:pPr>
              <w:pStyle w:val="TAC"/>
            </w:pPr>
            <w:r w:rsidRPr="00873B6C">
              <w:rPr>
                <w:lang w:eastAsia="fr-FR"/>
              </w:rPr>
              <w:t>R</w:t>
            </w:r>
          </w:p>
        </w:tc>
        <w:tc>
          <w:tcPr>
            <w:tcW w:w="2126" w:type="dxa"/>
            <w:shd w:val="clear" w:color="auto" w:fill="auto"/>
          </w:tcPr>
          <w:p w14:paraId="28AF2BBD" w14:textId="77777777" w:rsidR="00857A0D" w:rsidRPr="00873B6C" w:rsidRDefault="00857A0D" w:rsidP="00857A0D">
            <w:pPr>
              <w:pStyle w:val="TAC"/>
            </w:pPr>
            <w:r w:rsidRPr="00873B6C">
              <w:rPr>
                <w:lang w:eastAsia="fr-FR"/>
              </w:rPr>
              <w:t>IEEE Std 802.1AS [104] clause 14.8.32</w:t>
            </w:r>
          </w:p>
        </w:tc>
      </w:tr>
      <w:tr w:rsidR="00857A0D" w:rsidRPr="00873B6C" w14:paraId="5B9C6DC9" w14:textId="77777777" w:rsidTr="00C9561D">
        <w:trPr>
          <w:cantSplit/>
          <w:jc w:val="center"/>
        </w:trPr>
        <w:tc>
          <w:tcPr>
            <w:tcW w:w="5000" w:type="dxa"/>
            <w:shd w:val="clear" w:color="auto" w:fill="auto"/>
          </w:tcPr>
          <w:p w14:paraId="6C161F80" w14:textId="77777777" w:rsidR="00857A0D" w:rsidRPr="00873B6C" w:rsidRDefault="00857A0D" w:rsidP="00857A0D">
            <w:pPr>
              <w:pStyle w:val="TAL"/>
              <w:rPr>
                <w:lang w:eastAsia="fr-FR"/>
              </w:rPr>
            </w:pPr>
            <w:r w:rsidRPr="00873B6C">
              <w:rPr>
                <w:lang w:eastAsia="fr-FR"/>
              </w:rPr>
              <w:t>&gt;&gt; portDS.useMgtSettableComputeNeighborRateRatio</w:t>
            </w:r>
          </w:p>
        </w:tc>
        <w:tc>
          <w:tcPr>
            <w:tcW w:w="1418" w:type="dxa"/>
            <w:shd w:val="clear" w:color="auto" w:fill="auto"/>
          </w:tcPr>
          <w:p w14:paraId="27C36BB6" w14:textId="77777777" w:rsidR="00857A0D" w:rsidRPr="00873B6C" w:rsidRDefault="00857A0D" w:rsidP="00857A0D">
            <w:pPr>
              <w:pStyle w:val="TAC"/>
              <w:rPr>
                <w:lang w:eastAsia="fr-FR"/>
              </w:rPr>
            </w:pPr>
            <w:r w:rsidRPr="00873B6C">
              <w:rPr>
                <w:lang w:eastAsia="fr-FR"/>
              </w:rPr>
              <w:t>RW</w:t>
            </w:r>
          </w:p>
        </w:tc>
        <w:tc>
          <w:tcPr>
            <w:tcW w:w="1338" w:type="dxa"/>
          </w:tcPr>
          <w:p w14:paraId="0F07E27D" w14:textId="77777777" w:rsidR="00857A0D" w:rsidRPr="00873B6C" w:rsidRDefault="00857A0D" w:rsidP="00857A0D">
            <w:pPr>
              <w:pStyle w:val="TAC"/>
            </w:pPr>
            <w:r w:rsidRPr="00873B6C">
              <w:rPr>
                <w:lang w:eastAsia="fr-FR"/>
              </w:rPr>
              <w:t>RW</w:t>
            </w:r>
          </w:p>
        </w:tc>
        <w:tc>
          <w:tcPr>
            <w:tcW w:w="2126" w:type="dxa"/>
            <w:shd w:val="clear" w:color="auto" w:fill="auto"/>
          </w:tcPr>
          <w:p w14:paraId="3C887FD2" w14:textId="77777777" w:rsidR="00857A0D" w:rsidRPr="00873B6C" w:rsidRDefault="00857A0D" w:rsidP="00857A0D">
            <w:pPr>
              <w:pStyle w:val="TAC"/>
            </w:pPr>
            <w:r w:rsidRPr="00873B6C">
              <w:rPr>
                <w:lang w:eastAsia="fr-FR"/>
              </w:rPr>
              <w:t>IEEE Std 802.1AS [104] clause 14.8.33</w:t>
            </w:r>
          </w:p>
        </w:tc>
      </w:tr>
      <w:tr w:rsidR="00857A0D" w:rsidRPr="00873B6C" w14:paraId="598103B9" w14:textId="77777777" w:rsidTr="00C9561D">
        <w:trPr>
          <w:cantSplit/>
          <w:jc w:val="center"/>
        </w:trPr>
        <w:tc>
          <w:tcPr>
            <w:tcW w:w="5000" w:type="dxa"/>
            <w:shd w:val="clear" w:color="auto" w:fill="auto"/>
          </w:tcPr>
          <w:p w14:paraId="1B2C9156" w14:textId="77777777" w:rsidR="00857A0D" w:rsidRPr="00873B6C" w:rsidRDefault="00857A0D" w:rsidP="00857A0D">
            <w:pPr>
              <w:pStyle w:val="TAL"/>
              <w:rPr>
                <w:lang w:eastAsia="fr-FR"/>
              </w:rPr>
            </w:pPr>
            <w:r w:rsidRPr="00873B6C">
              <w:rPr>
                <w:lang w:eastAsia="fr-FR"/>
              </w:rPr>
              <w:t>&gt;&gt; portDS.mgtSettableComputeNeighborRateRatio</w:t>
            </w:r>
          </w:p>
        </w:tc>
        <w:tc>
          <w:tcPr>
            <w:tcW w:w="1418" w:type="dxa"/>
            <w:shd w:val="clear" w:color="auto" w:fill="auto"/>
          </w:tcPr>
          <w:p w14:paraId="17D05780" w14:textId="77777777" w:rsidR="00857A0D" w:rsidRPr="00873B6C" w:rsidRDefault="00857A0D" w:rsidP="00857A0D">
            <w:pPr>
              <w:pStyle w:val="TAC"/>
              <w:rPr>
                <w:lang w:eastAsia="fr-FR"/>
              </w:rPr>
            </w:pPr>
            <w:r w:rsidRPr="00873B6C">
              <w:rPr>
                <w:lang w:eastAsia="fr-FR"/>
              </w:rPr>
              <w:t>RW</w:t>
            </w:r>
          </w:p>
        </w:tc>
        <w:tc>
          <w:tcPr>
            <w:tcW w:w="1338" w:type="dxa"/>
          </w:tcPr>
          <w:p w14:paraId="2EB99960" w14:textId="77777777" w:rsidR="00857A0D" w:rsidRPr="00873B6C" w:rsidRDefault="00857A0D" w:rsidP="00857A0D">
            <w:pPr>
              <w:pStyle w:val="TAC"/>
            </w:pPr>
            <w:r w:rsidRPr="00873B6C">
              <w:rPr>
                <w:lang w:eastAsia="fr-FR"/>
              </w:rPr>
              <w:t>RW</w:t>
            </w:r>
          </w:p>
        </w:tc>
        <w:tc>
          <w:tcPr>
            <w:tcW w:w="2126" w:type="dxa"/>
            <w:shd w:val="clear" w:color="auto" w:fill="auto"/>
          </w:tcPr>
          <w:p w14:paraId="213DC37B" w14:textId="77777777" w:rsidR="00857A0D" w:rsidRPr="00873B6C" w:rsidRDefault="00857A0D" w:rsidP="00857A0D">
            <w:pPr>
              <w:pStyle w:val="TAC"/>
            </w:pPr>
            <w:r w:rsidRPr="00873B6C">
              <w:rPr>
                <w:lang w:eastAsia="fr-FR"/>
              </w:rPr>
              <w:t>IEEE Std 802.1AS [104] clause 14.8.34</w:t>
            </w:r>
          </w:p>
        </w:tc>
      </w:tr>
      <w:tr w:rsidR="00857A0D" w:rsidRPr="00873B6C" w14:paraId="13ED95C6" w14:textId="77777777" w:rsidTr="00C9561D">
        <w:trPr>
          <w:cantSplit/>
          <w:jc w:val="center"/>
        </w:trPr>
        <w:tc>
          <w:tcPr>
            <w:tcW w:w="5000" w:type="dxa"/>
            <w:shd w:val="clear" w:color="auto" w:fill="auto"/>
          </w:tcPr>
          <w:p w14:paraId="4578B955" w14:textId="77777777" w:rsidR="00857A0D" w:rsidRPr="00873B6C" w:rsidRDefault="00857A0D" w:rsidP="00857A0D">
            <w:pPr>
              <w:pStyle w:val="TAL"/>
              <w:rPr>
                <w:lang w:eastAsia="fr-FR"/>
              </w:rPr>
            </w:pPr>
            <w:r w:rsidRPr="00873B6C">
              <w:rPr>
                <w:lang w:eastAsia="fr-FR"/>
              </w:rPr>
              <w:t>&gt;&gt; portDS.initialComputeMeanLinkDelay</w:t>
            </w:r>
          </w:p>
        </w:tc>
        <w:tc>
          <w:tcPr>
            <w:tcW w:w="1418" w:type="dxa"/>
            <w:shd w:val="clear" w:color="auto" w:fill="auto"/>
          </w:tcPr>
          <w:p w14:paraId="436AC5A6" w14:textId="77777777" w:rsidR="00857A0D" w:rsidRPr="00873B6C" w:rsidRDefault="00857A0D" w:rsidP="00857A0D">
            <w:pPr>
              <w:pStyle w:val="TAC"/>
              <w:rPr>
                <w:lang w:eastAsia="fr-FR"/>
              </w:rPr>
            </w:pPr>
            <w:r w:rsidRPr="00873B6C">
              <w:rPr>
                <w:lang w:eastAsia="fr-FR"/>
              </w:rPr>
              <w:t>RW</w:t>
            </w:r>
          </w:p>
        </w:tc>
        <w:tc>
          <w:tcPr>
            <w:tcW w:w="1338" w:type="dxa"/>
          </w:tcPr>
          <w:p w14:paraId="722D4DFD" w14:textId="77777777" w:rsidR="00857A0D" w:rsidRPr="00873B6C" w:rsidRDefault="00857A0D" w:rsidP="00857A0D">
            <w:pPr>
              <w:pStyle w:val="TAC"/>
            </w:pPr>
            <w:r w:rsidRPr="00873B6C">
              <w:rPr>
                <w:lang w:eastAsia="fr-FR"/>
              </w:rPr>
              <w:t>RW</w:t>
            </w:r>
          </w:p>
        </w:tc>
        <w:tc>
          <w:tcPr>
            <w:tcW w:w="2126" w:type="dxa"/>
            <w:shd w:val="clear" w:color="auto" w:fill="auto"/>
          </w:tcPr>
          <w:p w14:paraId="4F15D733" w14:textId="77777777" w:rsidR="00857A0D" w:rsidRPr="00873B6C" w:rsidRDefault="00857A0D" w:rsidP="00857A0D">
            <w:pPr>
              <w:pStyle w:val="TAC"/>
            </w:pPr>
            <w:r w:rsidRPr="00873B6C">
              <w:rPr>
                <w:lang w:eastAsia="fr-FR"/>
              </w:rPr>
              <w:t>IEEE Std 802.1AS [104] clause 14.8.35</w:t>
            </w:r>
          </w:p>
        </w:tc>
      </w:tr>
      <w:tr w:rsidR="00857A0D" w:rsidRPr="00873B6C" w14:paraId="55AB6D85" w14:textId="77777777" w:rsidTr="00C9561D">
        <w:trPr>
          <w:cantSplit/>
          <w:jc w:val="center"/>
        </w:trPr>
        <w:tc>
          <w:tcPr>
            <w:tcW w:w="5000" w:type="dxa"/>
            <w:shd w:val="clear" w:color="auto" w:fill="auto"/>
          </w:tcPr>
          <w:p w14:paraId="1C978308" w14:textId="77777777" w:rsidR="00857A0D" w:rsidRPr="00873B6C" w:rsidRDefault="00857A0D" w:rsidP="00857A0D">
            <w:pPr>
              <w:pStyle w:val="TAL"/>
              <w:rPr>
                <w:lang w:eastAsia="fr-FR"/>
              </w:rPr>
            </w:pPr>
            <w:r w:rsidRPr="00873B6C">
              <w:rPr>
                <w:lang w:eastAsia="fr-FR"/>
              </w:rPr>
              <w:t>&gt;&gt; portDS.currentComputeMeanLinkDelay</w:t>
            </w:r>
          </w:p>
        </w:tc>
        <w:tc>
          <w:tcPr>
            <w:tcW w:w="1418" w:type="dxa"/>
            <w:shd w:val="clear" w:color="auto" w:fill="auto"/>
          </w:tcPr>
          <w:p w14:paraId="7B8A82EC" w14:textId="77777777" w:rsidR="00857A0D" w:rsidRPr="00873B6C" w:rsidRDefault="00857A0D" w:rsidP="00857A0D">
            <w:pPr>
              <w:pStyle w:val="TAC"/>
              <w:rPr>
                <w:lang w:eastAsia="fr-FR"/>
              </w:rPr>
            </w:pPr>
            <w:r w:rsidRPr="00873B6C">
              <w:rPr>
                <w:lang w:eastAsia="fr-FR"/>
              </w:rPr>
              <w:t>R</w:t>
            </w:r>
          </w:p>
        </w:tc>
        <w:tc>
          <w:tcPr>
            <w:tcW w:w="1338" w:type="dxa"/>
          </w:tcPr>
          <w:p w14:paraId="0BCDA0B5" w14:textId="77777777" w:rsidR="00857A0D" w:rsidRPr="00873B6C" w:rsidRDefault="00857A0D" w:rsidP="00857A0D">
            <w:pPr>
              <w:pStyle w:val="TAC"/>
            </w:pPr>
            <w:r w:rsidRPr="00873B6C">
              <w:rPr>
                <w:lang w:eastAsia="fr-FR"/>
              </w:rPr>
              <w:t>R</w:t>
            </w:r>
          </w:p>
        </w:tc>
        <w:tc>
          <w:tcPr>
            <w:tcW w:w="2126" w:type="dxa"/>
            <w:shd w:val="clear" w:color="auto" w:fill="auto"/>
          </w:tcPr>
          <w:p w14:paraId="6A9AF4BA" w14:textId="77777777" w:rsidR="00857A0D" w:rsidRPr="00873B6C" w:rsidRDefault="00857A0D" w:rsidP="00857A0D">
            <w:pPr>
              <w:pStyle w:val="TAC"/>
            </w:pPr>
            <w:r w:rsidRPr="00873B6C">
              <w:rPr>
                <w:lang w:eastAsia="fr-FR"/>
              </w:rPr>
              <w:t>IEEE Std 802.1AS [104] clause 14.8.36</w:t>
            </w:r>
          </w:p>
        </w:tc>
      </w:tr>
      <w:tr w:rsidR="00857A0D" w:rsidRPr="00873B6C" w14:paraId="79DD9BF7" w14:textId="77777777" w:rsidTr="00C9561D">
        <w:trPr>
          <w:cantSplit/>
          <w:jc w:val="center"/>
        </w:trPr>
        <w:tc>
          <w:tcPr>
            <w:tcW w:w="5000" w:type="dxa"/>
            <w:shd w:val="clear" w:color="auto" w:fill="auto"/>
          </w:tcPr>
          <w:p w14:paraId="2C955B03" w14:textId="77777777" w:rsidR="00857A0D" w:rsidRPr="00873B6C" w:rsidRDefault="00857A0D" w:rsidP="00857A0D">
            <w:pPr>
              <w:pStyle w:val="TAL"/>
              <w:rPr>
                <w:lang w:eastAsia="fr-FR"/>
              </w:rPr>
            </w:pPr>
            <w:r w:rsidRPr="00873B6C">
              <w:rPr>
                <w:lang w:eastAsia="fr-FR"/>
              </w:rPr>
              <w:t>&gt;&gt; portDS.useMgtSettableComputeMeanLinkDelay</w:t>
            </w:r>
          </w:p>
        </w:tc>
        <w:tc>
          <w:tcPr>
            <w:tcW w:w="1418" w:type="dxa"/>
            <w:shd w:val="clear" w:color="auto" w:fill="auto"/>
          </w:tcPr>
          <w:p w14:paraId="78D157CE" w14:textId="77777777" w:rsidR="00857A0D" w:rsidRPr="00873B6C" w:rsidRDefault="00857A0D" w:rsidP="00857A0D">
            <w:pPr>
              <w:pStyle w:val="TAC"/>
              <w:rPr>
                <w:lang w:eastAsia="fr-FR"/>
              </w:rPr>
            </w:pPr>
            <w:r w:rsidRPr="00873B6C">
              <w:rPr>
                <w:lang w:eastAsia="fr-FR"/>
              </w:rPr>
              <w:t>RW</w:t>
            </w:r>
          </w:p>
        </w:tc>
        <w:tc>
          <w:tcPr>
            <w:tcW w:w="1338" w:type="dxa"/>
          </w:tcPr>
          <w:p w14:paraId="12227240" w14:textId="77777777" w:rsidR="00857A0D" w:rsidRPr="00873B6C" w:rsidRDefault="00857A0D" w:rsidP="00857A0D">
            <w:pPr>
              <w:pStyle w:val="TAC"/>
            </w:pPr>
            <w:r w:rsidRPr="00873B6C">
              <w:rPr>
                <w:lang w:eastAsia="fr-FR"/>
              </w:rPr>
              <w:t>RW</w:t>
            </w:r>
          </w:p>
        </w:tc>
        <w:tc>
          <w:tcPr>
            <w:tcW w:w="2126" w:type="dxa"/>
            <w:shd w:val="clear" w:color="auto" w:fill="auto"/>
          </w:tcPr>
          <w:p w14:paraId="4E85B0D4" w14:textId="77777777" w:rsidR="00857A0D" w:rsidRPr="00873B6C" w:rsidRDefault="00857A0D" w:rsidP="00857A0D">
            <w:pPr>
              <w:pStyle w:val="TAC"/>
            </w:pPr>
            <w:r w:rsidRPr="00873B6C">
              <w:rPr>
                <w:lang w:eastAsia="fr-FR"/>
              </w:rPr>
              <w:t>IEEE Std 802.1AS [104] clause 14.8.37</w:t>
            </w:r>
          </w:p>
        </w:tc>
      </w:tr>
      <w:tr w:rsidR="00857A0D" w:rsidRPr="00873B6C" w14:paraId="19701695" w14:textId="77777777" w:rsidTr="00C9561D">
        <w:trPr>
          <w:cantSplit/>
          <w:jc w:val="center"/>
        </w:trPr>
        <w:tc>
          <w:tcPr>
            <w:tcW w:w="5000" w:type="dxa"/>
            <w:shd w:val="clear" w:color="auto" w:fill="auto"/>
          </w:tcPr>
          <w:p w14:paraId="45B54299" w14:textId="77777777" w:rsidR="00857A0D" w:rsidRPr="00873B6C" w:rsidRDefault="00857A0D" w:rsidP="00857A0D">
            <w:pPr>
              <w:pStyle w:val="TAL"/>
              <w:rPr>
                <w:lang w:eastAsia="fr-FR"/>
              </w:rPr>
            </w:pPr>
            <w:r w:rsidRPr="00873B6C">
              <w:rPr>
                <w:lang w:eastAsia="fr-FR"/>
              </w:rPr>
              <w:t>&gt;&gt; portDS.mgtSettableComputeMeanLinkDelay</w:t>
            </w:r>
          </w:p>
        </w:tc>
        <w:tc>
          <w:tcPr>
            <w:tcW w:w="1418" w:type="dxa"/>
            <w:shd w:val="clear" w:color="auto" w:fill="auto"/>
          </w:tcPr>
          <w:p w14:paraId="55C8C8C3" w14:textId="77777777" w:rsidR="00857A0D" w:rsidRPr="00873B6C" w:rsidRDefault="00857A0D" w:rsidP="00857A0D">
            <w:pPr>
              <w:pStyle w:val="TAC"/>
              <w:rPr>
                <w:lang w:eastAsia="fr-FR"/>
              </w:rPr>
            </w:pPr>
            <w:r w:rsidRPr="00873B6C">
              <w:rPr>
                <w:lang w:eastAsia="fr-FR"/>
              </w:rPr>
              <w:t>RW</w:t>
            </w:r>
          </w:p>
        </w:tc>
        <w:tc>
          <w:tcPr>
            <w:tcW w:w="1338" w:type="dxa"/>
          </w:tcPr>
          <w:p w14:paraId="12CAD13C" w14:textId="77777777" w:rsidR="00857A0D" w:rsidRPr="00873B6C" w:rsidRDefault="00857A0D" w:rsidP="00857A0D">
            <w:pPr>
              <w:pStyle w:val="TAC"/>
            </w:pPr>
            <w:r w:rsidRPr="00873B6C">
              <w:rPr>
                <w:lang w:eastAsia="fr-FR"/>
              </w:rPr>
              <w:t>RW</w:t>
            </w:r>
          </w:p>
        </w:tc>
        <w:tc>
          <w:tcPr>
            <w:tcW w:w="2126" w:type="dxa"/>
            <w:shd w:val="clear" w:color="auto" w:fill="auto"/>
          </w:tcPr>
          <w:p w14:paraId="09C9AFF6" w14:textId="77777777" w:rsidR="00857A0D" w:rsidRPr="00873B6C" w:rsidRDefault="00857A0D" w:rsidP="00857A0D">
            <w:pPr>
              <w:pStyle w:val="TAC"/>
            </w:pPr>
            <w:r w:rsidRPr="00873B6C">
              <w:rPr>
                <w:lang w:eastAsia="fr-FR"/>
              </w:rPr>
              <w:t>IEEE Std 802.1AS [104] clause 14.8.38</w:t>
            </w:r>
          </w:p>
        </w:tc>
      </w:tr>
      <w:tr w:rsidR="00857A0D" w:rsidRPr="00873B6C" w14:paraId="6A9B8188" w14:textId="77777777" w:rsidTr="00C9561D">
        <w:trPr>
          <w:cantSplit/>
          <w:jc w:val="center"/>
        </w:trPr>
        <w:tc>
          <w:tcPr>
            <w:tcW w:w="5000" w:type="dxa"/>
            <w:shd w:val="clear" w:color="auto" w:fill="auto"/>
          </w:tcPr>
          <w:p w14:paraId="7C1F1E07" w14:textId="77777777" w:rsidR="00857A0D" w:rsidRPr="00873B6C" w:rsidRDefault="00857A0D" w:rsidP="00857A0D">
            <w:pPr>
              <w:pStyle w:val="TAL"/>
              <w:rPr>
                <w:lang w:eastAsia="fr-FR"/>
              </w:rPr>
            </w:pPr>
            <w:r w:rsidRPr="00873B6C">
              <w:rPr>
                <w:lang w:eastAsia="fr-FR"/>
              </w:rPr>
              <w:t>&gt;&gt; portDS.allowedLostResponses</w:t>
            </w:r>
          </w:p>
        </w:tc>
        <w:tc>
          <w:tcPr>
            <w:tcW w:w="1418" w:type="dxa"/>
            <w:shd w:val="clear" w:color="auto" w:fill="auto"/>
          </w:tcPr>
          <w:p w14:paraId="50CFF2D2" w14:textId="77777777" w:rsidR="00857A0D" w:rsidRPr="00873B6C" w:rsidRDefault="00857A0D" w:rsidP="00857A0D">
            <w:pPr>
              <w:pStyle w:val="TAC"/>
              <w:rPr>
                <w:lang w:eastAsia="fr-FR"/>
              </w:rPr>
            </w:pPr>
            <w:r w:rsidRPr="00873B6C">
              <w:rPr>
                <w:lang w:eastAsia="fr-FR"/>
              </w:rPr>
              <w:t>RW</w:t>
            </w:r>
          </w:p>
        </w:tc>
        <w:tc>
          <w:tcPr>
            <w:tcW w:w="1338" w:type="dxa"/>
          </w:tcPr>
          <w:p w14:paraId="54A33AEE" w14:textId="77777777" w:rsidR="00857A0D" w:rsidRPr="00873B6C" w:rsidRDefault="00857A0D" w:rsidP="00857A0D">
            <w:pPr>
              <w:pStyle w:val="TAC"/>
            </w:pPr>
            <w:r w:rsidRPr="00873B6C">
              <w:rPr>
                <w:lang w:eastAsia="fr-FR"/>
              </w:rPr>
              <w:t>RW</w:t>
            </w:r>
          </w:p>
        </w:tc>
        <w:tc>
          <w:tcPr>
            <w:tcW w:w="2126" w:type="dxa"/>
            <w:shd w:val="clear" w:color="auto" w:fill="auto"/>
          </w:tcPr>
          <w:p w14:paraId="151891BB" w14:textId="77777777" w:rsidR="00857A0D" w:rsidRPr="00873B6C" w:rsidRDefault="00857A0D" w:rsidP="00857A0D">
            <w:pPr>
              <w:pStyle w:val="TAC"/>
            </w:pPr>
            <w:r w:rsidRPr="00873B6C">
              <w:rPr>
                <w:lang w:eastAsia="fr-FR"/>
              </w:rPr>
              <w:t>IEEE Std 802.1AS [104] clause 14.8.39</w:t>
            </w:r>
          </w:p>
        </w:tc>
      </w:tr>
      <w:tr w:rsidR="00857A0D" w:rsidRPr="00873B6C" w14:paraId="41ADE63C" w14:textId="77777777" w:rsidTr="00C9561D">
        <w:trPr>
          <w:cantSplit/>
          <w:jc w:val="center"/>
        </w:trPr>
        <w:tc>
          <w:tcPr>
            <w:tcW w:w="5000" w:type="dxa"/>
            <w:shd w:val="clear" w:color="auto" w:fill="auto"/>
          </w:tcPr>
          <w:p w14:paraId="6AC52D00" w14:textId="77777777" w:rsidR="00857A0D" w:rsidRPr="00873B6C" w:rsidRDefault="00857A0D" w:rsidP="00857A0D">
            <w:pPr>
              <w:pStyle w:val="TAL"/>
              <w:rPr>
                <w:lang w:eastAsia="fr-FR"/>
              </w:rPr>
            </w:pPr>
            <w:r w:rsidRPr="00873B6C">
              <w:rPr>
                <w:lang w:eastAsia="fr-FR"/>
              </w:rPr>
              <w:t>&gt;&gt; portDS.allowedFaults</w:t>
            </w:r>
          </w:p>
        </w:tc>
        <w:tc>
          <w:tcPr>
            <w:tcW w:w="1418" w:type="dxa"/>
            <w:shd w:val="clear" w:color="auto" w:fill="auto"/>
          </w:tcPr>
          <w:p w14:paraId="295C36BD" w14:textId="77777777" w:rsidR="00857A0D" w:rsidRPr="00873B6C" w:rsidRDefault="00857A0D" w:rsidP="00857A0D">
            <w:pPr>
              <w:pStyle w:val="TAC"/>
              <w:rPr>
                <w:lang w:eastAsia="fr-FR"/>
              </w:rPr>
            </w:pPr>
            <w:r w:rsidRPr="00873B6C">
              <w:rPr>
                <w:lang w:eastAsia="fr-FR"/>
              </w:rPr>
              <w:t>RW</w:t>
            </w:r>
          </w:p>
        </w:tc>
        <w:tc>
          <w:tcPr>
            <w:tcW w:w="1338" w:type="dxa"/>
          </w:tcPr>
          <w:p w14:paraId="51ACAD20" w14:textId="77777777" w:rsidR="00857A0D" w:rsidRPr="00873B6C" w:rsidRDefault="00857A0D" w:rsidP="00857A0D">
            <w:pPr>
              <w:pStyle w:val="TAC"/>
            </w:pPr>
            <w:r w:rsidRPr="00873B6C">
              <w:rPr>
                <w:lang w:eastAsia="fr-FR"/>
              </w:rPr>
              <w:t>RW</w:t>
            </w:r>
          </w:p>
        </w:tc>
        <w:tc>
          <w:tcPr>
            <w:tcW w:w="2126" w:type="dxa"/>
            <w:shd w:val="clear" w:color="auto" w:fill="auto"/>
          </w:tcPr>
          <w:p w14:paraId="687A94DE" w14:textId="77777777" w:rsidR="00857A0D" w:rsidRPr="00873B6C" w:rsidRDefault="00857A0D" w:rsidP="00857A0D">
            <w:pPr>
              <w:pStyle w:val="TAC"/>
            </w:pPr>
            <w:r w:rsidRPr="00873B6C">
              <w:rPr>
                <w:lang w:eastAsia="fr-FR"/>
              </w:rPr>
              <w:t>IEEE Std 802.1AS [104] clause 14.8.40</w:t>
            </w:r>
          </w:p>
        </w:tc>
      </w:tr>
      <w:tr w:rsidR="00857A0D" w:rsidRPr="00873B6C" w14:paraId="2F99800D" w14:textId="77777777" w:rsidTr="00C9561D">
        <w:trPr>
          <w:cantSplit/>
          <w:jc w:val="center"/>
        </w:trPr>
        <w:tc>
          <w:tcPr>
            <w:tcW w:w="5000" w:type="dxa"/>
            <w:shd w:val="clear" w:color="auto" w:fill="auto"/>
          </w:tcPr>
          <w:p w14:paraId="4766609E" w14:textId="77777777" w:rsidR="00857A0D" w:rsidRPr="00873B6C" w:rsidRDefault="00857A0D" w:rsidP="00857A0D">
            <w:pPr>
              <w:pStyle w:val="TAL"/>
              <w:rPr>
                <w:lang w:eastAsia="fr-FR"/>
              </w:rPr>
            </w:pPr>
            <w:r w:rsidRPr="00873B6C">
              <w:rPr>
                <w:lang w:eastAsia="fr-FR"/>
              </w:rPr>
              <w:t>&gt;&gt; portDS.gPtpCapableReceiptTimeout</w:t>
            </w:r>
          </w:p>
        </w:tc>
        <w:tc>
          <w:tcPr>
            <w:tcW w:w="1418" w:type="dxa"/>
            <w:shd w:val="clear" w:color="auto" w:fill="auto"/>
          </w:tcPr>
          <w:p w14:paraId="3D95588D" w14:textId="77777777" w:rsidR="00857A0D" w:rsidRPr="00873B6C" w:rsidRDefault="00857A0D" w:rsidP="00857A0D">
            <w:pPr>
              <w:pStyle w:val="TAC"/>
              <w:rPr>
                <w:lang w:eastAsia="fr-FR"/>
              </w:rPr>
            </w:pPr>
            <w:r w:rsidRPr="00873B6C">
              <w:rPr>
                <w:lang w:eastAsia="fr-FR"/>
              </w:rPr>
              <w:t>RW</w:t>
            </w:r>
          </w:p>
        </w:tc>
        <w:tc>
          <w:tcPr>
            <w:tcW w:w="1338" w:type="dxa"/>
          </w:tcPr>
          <w:p w14:paraId="2572FA2F" w14:textId="77777777" w:rsidR="00857A0D" w:rsidRPr="00873B6C" w:rsidRDefault="00857A0D" w:rsidP="00857A0D">
            <w:pPr>
              <w:pStyle w:val="TAC"/>
            </w:pPr>
            <w:r w:rsidRPr="00873B6C">
              <w:rPr>
                <w:lang w:eastAsia="fr-FR"/>
              </w:rPr>
              <w:t>RW</w:t>
            </w:r>
          </w:p>
        </w:tc>
        <w:tc>
          <w:tcPr>
            <w:tcW w:w="2126" w:type="dxa"/>
            <w:shd w:val="clear" w:color="auto" w:fill="auto"/>
          </w:tcPr>
          <w:p w14:paraId="46F49233" w14:textId="77777777" w:rsidR="00857A0D" w:rsidRPr="00873B6C" w:rsidRDefault="00857A0D" w:rsidP="00857A0D">
            <w:pPr>
              <w:pStyle w:val="TAC"/>
            </w:pPr>
            <w:r w:rsidRPr="00873B6C">
              <w:rPr>
                <w:lang w:eastAsia="fr-FR"/>
              </w:rPr>
              <w:t>IEEE Std 802.1AS [104] clause 14.8.41</w:t>
            </w:r>
          </w:p>
        </w:tc>
      </w:tr>
      <w:tr w:rsidR="00857A0D" w:rsidRPr="00873B6C" w14:paraId="58313969" w14:textId="77777777" w:rsidTr="00C9561D">
        <w:trPr>
          <w:cantSplit/>
          <w:jc w:val="center"/>
        </w:trPr>
        <w:tc>
          <w:tcPr>
            <w:tcW w:w="5000" w:type="dxa"/>
            <w:shd w:val="clear" w:color="auto" w:fill="auto"/>
          </w:tcPr>
          <w:p w14:paraId="2ED23E2D" w14:textId="77777777" w:rsidR="00857A0D" w:rsidRPr="00873B6C" w:rsidRDefault="00857A0D" w:rsidP="00857A0D">
            <w:pPr>
              <w:pStyle w:val="TAL"/>
              <w:rPr>
                <w:lang w:eastAsia="fr-FR"/>
              </w:rPr>
            </w:pPr>
            <w:r w:rsidRPr="00873B6C">
              <w:rPr>
                <w:lang w:eastAsia="fr-FR"/>
              </w:rPr>
              <w:t>&gt;&gt; portDS.versionNumber</w:t>
            </w:r>
          </w:p>
        </w:tc>
        <w:tc>
          <w:tcPr>
            <w:tcW w:w="1418" w:type="dxa"/>
            <w:shd w:val="clear" w:color="auto" w:fill="auto"/>
          </w:tcPr>
          <w:p w14:paraId="52A81AD0" w14:textId="77777777" w:rsidR="00857A0D" w:rsidRPr="00873B6C" w:rsidRDefault="00857A0D" w:rsidP="00857A0D">
            <w:pPr>
              <w:pStyle w:val="TAC"/>
              <w:rPr>
                <w:lang w:eastAsia="fr-FR"/>
              </w:rPr>
            </w:pPr>
            <w:r w:rsidRPr="00873B6C">
              <w:rPr>
                <w:lang w:eastAsia="fr-FR"/>
              </w:rPr>
              <w:t>RW</w:t>
            </w:r>
          </w:p>
        </w:tc>
        <w:tc>
          <w:tcPr>
            <w:tcW w:w="1338" w:type="dxa"/>
          </w:tcPr>
          <w:p w14:paraId="16198EEF" w14:textId="77777777" w:rsidR="00857A0D" w:rsidRPr="00873B6C" w:rsidRDefault="00857A0D" w:rsidP="00857A0D">
            <w:pPr>
              <w:pStyle w:val="TAC"/>
            </w:pPr>
            <w:r w:rsidRPr="00873B6C">
              <w:rPr>
                <w:lang w:eastAsia="fr-FR"/>
              </w:rPr>
              <w:t>RW</w:t>
            </w:r>
          </w:p>
        </w:tc>
        <w:tc>
          <w:tcPr>
            <w:tcW w:w="2126" w:type="dxa"/>
            <w:shd w:val="clear" w:color="auto" w:fill="auto"/>
          </w:tcPr>
          <w:p w14:paraId="6D8D137B" w14:textId="77777777" w:rsidR="00857A0D" w:rsidRPr="00873B6C" w:rsidRDefault="00857A0D" w:rsidP="00857A0D">
            <w:pPr>
              <w:pStyle w:val="TAC"/>
            </w:pPr>
            <w:r w:rsidRPr="00873B6C">
              <w:rPr>
                <w:lang w:eastAsia="fr-FR"/>
              </w:rPr>
              <w:t>IEEE Std 802.1AS [104] clause 14.8.42</w:t>
            </w:r>
          </w:p>
        </w:tc>
      </w:tr>
      <w:tr w:rsidR="00857A0D" w:rsidRPr="00873B6C" w14:paraId="2CC786DC" w14:textId="77777777" w:rsidTr="00C9561D">
        <w:trPr>
          <w:cantSplit/>
          <w:jc w:val="center"/>
        </w:trPr>
        <w:tc>
          <w:tcPr>
            <w:tcW w:w="5000" w:type="dxa"/>
            <w:shd w:val="clear" w:color="auto" w:fill="auto"/>
          </w:tcPr>
          <w:p w14:paraId="7374685A" w14:textId="77777777" w:rsidR="00857A0D" w:rsidRPr="00873B6C" w:rsidRDefault="00857A0D" w:rsidP="00857A0D">
            <w:pPr>
              <w:pStyle w:val="TAL"/>
              <w:rPr>
                <w:lang w:eastAsia="fr-FR"/>
              </w:rPr>
            </w:pPr>
            <w:r w:rsidRPr="00873B6C">
              <w:rPr>
                <w:lang w:eastAsia="fr-FR"/>
              </w:rPr>
              <w:t>&gt;&gt; portDS.nup</w:t>
            </w:r>
          </w:p>
        </w:tc>
        <w:tc>
          <w:tcPr>
            <w:tcW w:w="1418" w:type="dxa"/>
            <w:shd w:val="clear" w:color="auto" w:fill="auto"/>
          </w:tcPr>
          <w:p w14:paraId="53D44486" w14:textId="77777777" w:rsidR="00857A0D" w:rsidRPr="00873B6C" w:rsidRDefault="00857A0D" w:rsidP="00857A0D">
            <w:pPr>
              <w:pStyle w:val="TAC"/>
              <w:rPr>
                <w:lang w:eastAsia="fr-FR"/>
              </w:rPr>
            </w:pPr>
            <w:r w:rsidRPr="00873B6C">
              <w:rPr>
                <w:lang w:eastAsia="fr-FR"/>
              </w:rPr>
              <w:t>RW</w:t>
            </w:r>
          </w:p>
        </w:tc>
        <w:tc>
          <w:tcPr>
            <w:tcW w:w="1338" w:type="dxa"/>
          </w:tcPr>
          <w:p w14:paraId="11559E07" w14:textId="77777777" w:rsidR="00857A0D" w:rsidRPr="00873B6C" w:rsidRDefault="00857A0D" w:rsidP="00857A0D">
            <w:pPr>
              <w:pStyle w:val="TAC"/>
            </w:pPr>
            <w:r w:rsidRPr="00873B6C">
              <w:rPr>
                <w:lang w:eastAsia="fr-FR"/>
              </w:rPr>
              <w:t>RW</w:t>
            </w:r>
          </w:p>
        </w:tc>
        <w:tc>
          <w:tcPr>
            <w:tcW w:w="2126" w:type="dxa"/>
            <w:shd w:val="clear" w:color="auto" w:fill="auto"/>
          </w:tcPr>
          <w:p w14:paraId="1C9C21C0" w14:textId="77777777" w:rsidR="00857A0D" w:rsidRPr="00873B6C" w:rsidRDefault="00857A0D" w:rsidP="00857A0D">
            <w:pPr>
              <w:pStyle w:val="TAC"/>
            </w:pPr>
            <w:r w:rsidRPr="00873B6C">
              <w:rPr>
                <w:lang w:eastAsia="fr-FR"/>
              </w:rPr>
              <w:t>IEEE Std 802.1AS [104] clause 14.8.43</w:t>
            </w:r>
          </w:p>
        </w:tc>
      </w:tr>
      <w:tr w:rsidR="00857A0D" w:rsidRPr="00873B6C" w14:paraId="19376FD3" w14:textId="77777777" w:rsidTr="00C9561D">
        <w:trPr>
          <w:cantSplit/>
          <w:jc w:val="center"/>
        </w:trPr>
        <w:tc>
          <w:tcPr>
            <w:tcW w:w="5000" w:type="dxa"/>
            <w:shd w:val="clear" w:color="auto" w:fill="auto"/>
          </w:tcPr>
          <w:p w14:paraId="7D8D8407" w14:textId="77777777" w:rsidR="00857A0D" w:rsidRPr="00873B6C" w:rsidRDefault="00857A0D" w:rsidP="00857A0D">
            <w:pPr>
              <w:pStyle w:val="TAL"/>
              <w:rPr>
                <w:lang w:eastAsia="fr-FR"/>
              </w:rPr>
            </w:pPr>
            <w:r w:rsidRPr="00873B6C">
              <w:rPr>
                <w:lang w:eastAsia="fr-FR"/>
              </w:rPr>
              <w:t>&gt;&gt; portDS.ndown</w:t>
            </w:r>
          </w:p>
        </w:tc>
        <w:tc>
          <w:tcPr>
            <w:tcW w:w="1418" w:type="dxa"/>
            <w:shd w:val="clear" w:color="auto" w:fill="auto"/>
          </w:tcPr>
          <w:p w14:paraId="390F0624" w14:textId="77777777" w:rsidR="00857A0D" w:rsidRPr="00873B6C" w:rsidRDefault="00857A0D" w:rsidP="00857A0D">
            <w:pPr>
              <w:pStyle w:val="TAC"/>
              <w:rPr>
                <w:lang w:eastAsia="fr-FR"/>
              </w:rPr>
            </w:pPr>
            <w:r w:rsidRPr="00873B6C">
              <w:rPr>
                <w:lang w:eastAsia="fr-FR"/>
              </w:rPr>
              <w:t>RW</w:t>
            </w:r>
          </w:p>
        </w:tc>
        <w:tc>
          <w:tcPr>
            <w:tcW w:w="1338" w:type="dxa"/>
          </w:tcPr>
          <w:p w14:paraId="106B67D3" w14:textId="77777777" w:rsidR="00857A0D" w:rsidRPr="00873B6C" w:rsidRDefault="00857A0D" w:rsidP="00857A0D">
            <w:pPr>
              <w:pStyle w:val="TAC"/>
            </w:pPr>
            <w:r w:rsidRPr="00873B6C">
              <w:rPr>
                <w:lang w:eastAsia="fr-FR"/>
              </w:rPr>
              <w:t>RW</w:t>
            </w:r>
          </w:p>
        </w:tc>
        <w:tc>
          <w:tcPr>
            <w:tcW w:w="2126" w:type="dxa"/>
            <w:shd w:val="clear" w:color="auto" w:fill="auto"/>
          </w:tcPr>
          <w:p w14:paraId="037ACDD7" w14:textId="77777777" w:rsidR="00857A0D" w:rsidRPr="00873B6C" w:rsidRDefault="00857A0D" w:rsidP="00857A0D">
            <w:pPr>
              <w:pStyle w:val="TAC"/>
            </w:pPr>
            <w:r w:rsidRPr="00873B6C">
              <w:rPr>
                <w:lang w:eastAsia="fr-FR"/>
              </w:rPr>
              <w:t>IEEE Std 802.1AS [104] clause 14.8.44</w:t>
            </w:r>
          </w:p>
        </w:tc>
      </w:tr>
      <w:tr w:rsidR="00857A0D" w:rsidRPr="00873B6C" w14:paraId="6FF91CF3" w14:textId="77777777" w:rsidTr="00C9561D">
        <w:trPr>
          <w:cantSplit/>
          <w:jc w:val="center"/>
        </w:trPr>
        <w:tc>
          <w:tcPr>
            <w:tcW w:w="5000" w:type="dxa"/>
            <w:shd w:val="clear" w:color="auto" w:fill="auto"/>
          </w:tcPr>
          <w:p w14:paraId="7EC9A666" w14:textId="77777777" w:rsidR="00857A0D" w:rsidRPr="00873B6C" w:rsidRDefault="00857A0D" w:rsidP="00857A0D">
            <w:pPr>
              <w:pStyle w:val="TAL"/>
              <w:rPr>
                <w:lang w:eastAsia="fr-FR"/>
              </w:rPr>
            </w:pPr>
            <w:r w:rsidRPr="00873B6C">
              <w:rPr>
                <w:lang w:eastAsia="fr-FR"/>
              </w:rPr>
              <w:t>&gt;&gt; portDS.oneStepTxOper</w:t>
            </w:r>
          </w:p>
        </w:tc>
        <w:tc>
          <w:tcPr>
            <w:tcW w:w="1418" w:type="dxa"/>
            <w:shd w:val="clear" w:color="auto" w:fill="auto"/>
          </w:tcPr>
          <w:p w14:paraId="19019277" w14:textId="77777777" w:rsidR="00857A0D" w:rsidRPr="00873B6C" w:rsidRDefault="00857A0D" w:rsidP="00857A0D">
            <w:pPr>
              <w:pStyle w:val="TAC"/>
              <w:rPr>
                <w:lang w:eastAsia="fr-FR"/>
              </w:rPr>
            </w:pPr>
            <w:r w:rsidRPr="00873B6C">
              <w:rPr>
                <w:lang w:eastAsia="fr-FR"/>
              </w:rPr>
              <w:t>R</w:t>
            </w:r>
          </w:p>
        </w:tc>
        <w:tc>
          <w:tcPr>
            <w:tcW w:w="1338" w:type="dxa"/>
          </w:tcPr>
          <w:p w14:paraId="6C5C98FF" w14:textId="77777777" w:rsidR="00857A0D" w:rsidRPr="00873B6C" w:rsidRDefault="00857A0D" w:rsidP="00857A0D">
            <w:pPr>
              <w:pStyle w:val="TAC"/>
            </w:pPr>
            <w:r w:rsidRPr="00873B6C">
              <w:rPr>
                <w:lang w:eastAsia="fr-FR"/>
              </w:rPr>
              <w:t>R</w:t>
            </w:r>
          </w:p>
        </w:tc>
        <w:tc>
          <w:tcPr>
            <w:tcW w:w="2126" w:type="dxa"/>
            <w:shd w:val="clear" w:color="auto" w:fill="auto"/>
          </w:tcPr>
          <w:p w14:paraId="37667090" w14:textId="77777777" w:rsidR="00857A0D" w:rsidRPr="00873B6C" w:rsidRDefault="00857A0D" w:rsidP="00857A0D">
            <w:pPr>
              <w:pStyle w:val="TAC"/>
            </w:pPr>
            <w:r w:rsidRPr="00873B6C">
              <w:rPr>
                <w:lang w:eastAsia="fr-FR"/>
              </w:rPr>
              <w:t>IEEE Std 802.1AS [104] clause 14.8.45</w:t>
            </w:r>
          </w:p>
        </w:tc>
      </w:tr>
      <w:tr w:rsidR="00857A0D" w:rsidRPr="00873B6C" w14:paraId="5ED7F503" w14:textId="77777777" w:rsidTr="00C9561D">
        <w:trPr>
          <w:cantSplit/>
          <w:jc w:val="center"/>
        </w:trPr>
        <w:tc>
          <w:tcPr>
            <w:tcW w:w="5000" w:type="dxa"/>
            <w:shd w:val="clear" w:color="auto" w:fill="auto"/>
          </w:tcPr>
          <w:p w14:paraId="42D891E9" w14:textId="77777777" w:rsidR="00857A0D" w:rsidRPr="00873B6C" w:rsidRDefault="00857A0D" w:rsidP="00857A0D">
            <w:pPr>
              <w:pStyle w:val="TAL"/>
              <w:rPr>
                <w:lang w:eastAsia="fr-FR"/>
              </w:rPr>
            </w:pPr>
            <w:r w:rsidRPr="00873B6C">
              <w:rPr>
                <w:lang w:eastAsia="fr-FR"/>
              </w:rPr>
              <w:t>&gt;&gt; portDS.oneStepReceive</w:t>
            </w:r>
          </w:p>
        </w:tc>
        <w:tc>
          <w:tcPr>
            <w:tcW w:w="1418" w:type="dxa"/>
            <w:shd w:val="clear" w:color="auto" w:fill="auto"/>
          </w:tcPr>
          <w:p w14:paraId="09626666" w14:textId="77777777" w:rsidR="00857A0D" w:rsidRPr="00873B6C" w:rsidRDefault="00857A0D" w:rsidP="00857A0D">
            <w:pPr>
              <w:pStyle w:val="TAC"/>
              <w:rPr>
                <w:lang w:eastAsia="fr-FR"/>
              </w:rPr>
            </w:pPr>
            <w:r w:rsidRPr="00873B6C">
              <w:rPr>
                <w:lang w:eastAsia="fr-FR"/>
              </w:rPr>
              <w:t>R</w:t>
            </w:r>
          </w:p>
        </w:tc>
        <w:tc>
          <w:tcPr>
            <w:tcW w:w="1338" w:type="dxa"/>
          </w:tcPr>
          <w:p w14:paraId="1EFF06DC" w14:textId="77777777" w:rsidR="00857A0D" w:rsidRPr="00873B6C" w:rsidRDefault="00857A0D" w:rsidP="00857A0D">
            <w:pPr>
              <w:pStyle w:val="TAC"/>
            </w:pPr>
            <w:r w:rsidRPr="00873B6C">
              <w:rPr>
                <w:lang w:eastAsia="fr-FR"/>
              </w:rPr>
              <w:t>R</w:t>
            </w:r>
          </w:p>
        </w:tc>
        <w:tc>
          <w:tcPr>
            <w:tcW w:w="2126" w:type="dxa"/>
            <w:shd w:val="clear" w:color="auto" w:fill="auto"/>
          </w:tcPr>
          <w:p w14:paraId="38B6FB6A" w14:textId="77777777" w:rsidR="00857A0D" w:rsidRPr="00873B6C" w:rsidRDefault="00857A0D" w:rsidP="00857A0D">
            <w:pPr>
              <w:pStyle w:val="TAC"/>
            </w:pPr>
            <w:r w:rsidRPr="00873B6C">
              <w:rPr>
                <w:lang w:eastAsia="fr-FR"/>
              </w:rPr>
              <w:t>IEEE Std 802.1AS [104] clause 14.8.46</w:t>
            </w:r>
          </w:p>
        </w:tc>
      </w:tr>
      <w:tr w:rsidR="00857A0D" w:rsidRPr="00873B6C" w14:paraId="471BE954" w14:textId="77777777" w:rsidTr="00C9561D">
        <w:trPr>
          <w:cantSplit/>
          <w:jc w:val="center"/>
        </w:trPr>
        <w:tc>
          <w:tcPr>
            <w:tcW w:w="5000" w:type="dxa"/>
            <w:shd w:val="clear" w:color="auto" w:fill="auto"/>
          </w:tcPr>
          <w:p w14:paraId="1DDF5653" w14:textId="77777777" w:rsidR="00857A0D" w:rsidRPr="00873B6C" w:rsidRDefault="00857A0D" w:rsidP="00857A0D">
            <w:pPr>
              <w:pStyle w:val="TAL"/>
              <w:rPr>
                <w:lang w:eastAsia="fr-FR"/>
              </w:rPr>
            </w:pPr>
            <w:r w:rsidRPr="00873B6C">
              <w:rPr>
                <w:lang w:eastAsia="fr-FR"/>
              </w:rPr>
              <w:t>&gt;&gt; portDS.oneStepTransmit</w:t>
            </w:r>
          </w:p>
        </w:tc>
        <w:tc>
          <w:tcPr>
            <w:tcW w:w="1418" w:type="dxa"/>
            <w:shd w:val="clear" w:color="auto" w:fill="auto"/>
          </w:tcPr>
          <w:p w14:paraId="1BFF66A7" w14:textId="77777777" w:rsidR="00857A0D" w:rsidRPr="00873B6C" w:rsidRDefault="00857A0D" w:rsidP="00857A0D">
            <w:pPr>
              <w:pStyle w:val="TAC"/>
              <w:rPr>
                <w:lang w:eastAsia="fr-FR"/>
              </w:rPr>
            </w:pPr>
            <w:r w:rsidRPr="00873B6C">
              <w:rPr>
                <w:lang w:eastAsia="fr-FR"/>
              </w:rPr>
              <w:t>R</w:t>
            </w:r>
          </w:p>
        </w:tc>
        <w:tc>
          <w:tcPr>
            <w:tcW w:w="1338" w:type="dxa"/>
          </w:tcPr>
          <w:p w14:paraId="3011C67F" w14:textId="77777777" w:rsidR="00857A0D" w:rsidRPr="00873B6C" w:rsidRDefault="00857A0D" w:rsidP="00857A0D">
            <w:pPr>
              <w:pStyle w:val="TAC"/>
            </w:pPr>
            <w:r w:rsidRPr="00873B6C">
              <w:rPr>
                <w:lang w:eastAsia="fr-FR"/>
              </w:rPr>
              <w:t>R</w:t>
            </w:r>
          </w:p>
        </w:tc>
        <w:tc>
          <w:tcPr>
            <w:tcW w:w="2126" w:type="dxa"/>
            <w:shd w:val="clear" w:color="auto" w:fill="auto"/>
          </w:tcPr>
          <w:p w14:paraId="34F8C7F6" w14:textId="77777777" w:rsidR="00857A0D" w:rsidRPr="00873B6C" w:rsidRDefault="00857A0D" w:rsidP="00857A0D">
            <w:pPr>
              <w:pStyle w:val="TAC"/>
            </w:pPr>
            <w:r w:rsidRPr="00873B6C">
              <w:rPr>
                <w:lang w:eastAsia="fr-FR"/>
              </w:rPr>
              <w:t>IEEE Std 802.1AS [104] clause 14.8.47</w:t>
            </w:r>
          </w:p>
        </w:tc>
      </w:tr>
      <w:tr w:rsidR="00857A0D" w:rsidRPr="00873B6C" w14:paraId="54502722" w14:textId="77777777" w:rsidTr="00C9561D">
        <w:trPr>
          <w:cantSplit/>
          <w:jc w:val="center"/>
        </w:trPr>
        <w:tc>
          <w:tcPr>
            <w:tcW w:w="5000" w:type="dxa"/>
            <w:shd w:val="clear" w:color="auto" w:fill="auto"/>
          </w:tcPr>
          <w:p w14:paraId="14D327DD" w14:textId="77777777" w:rsidR="00857A0D" w:rsidRPr="00873B6C" w:rsidRDefault="00857A0D" w:rsidP="00857A0D">
            <w:pPr>
              <w:pStyle w:val="TAL"/>
              <w:rPr>
                <w:lang w:eastAsia="fr-FR"/>
              </w:rPr>
            </w:pPr>
            <w:r w:rsidRPr="00873B6C">
              <w:rPr>
                <w:lang w:eastAsia="fr-FR"/>
              </w:rPr>
              <w:t>&gt;&gt; portDS.initialOneStepTxOper</w:t>
            </w:r>
          </w:p>
        </w:tc>
        <w:tc>
          <w:tcPr>
            <w:tcW w:w="1418" w:type="dxa"/>
            <w:shd w:val="clear" w:color="auto" w:fill="auto"/>
          </w:tcPr>
          <w:p w14:paraId="03AD15CA" w14:textId="77777777" w:rsidR="00857A0D" w:rsidRPr="00873B6C" w:rsidRDefault="00857A0D" w:rsidP="00857A0D">
            <w:pPr>
              <w:pStyle w:val="TAC"/>
              <w:rPr>
                <w:lang w:eastAsia="fr-FR"/>
              </w:rPr>
            </w:pPr>
            <w:r w:rsidRPr="00873B6C">
              <w:rPr>
                <w:lang w:eastAsia="fr-FR"/>
              </w:rPr>
              <w:t>RW</w:t>
            </w:r>
          </w:p>
        </w:tc>
        <w:tc>
          <w:tcPr>
            <w:tcW w:w="1338" w:type="dxa"/>
          </w:tcPr>
          <w:p w14:paraId="2229AB52" w14:textId="77777777" w:rsidR="00857A0D" w:rsidRPr="00873B6C" w:rsidRDefault="00857A0D" w:rsidP="00857A0D">
            <w:pPr>
              <w:pStyle w:val="TAC"/>
            </w:pPr>
            <w:r w:rsidRPr="00873B6C">
              <w:rPr>
                <w:lang w:eastAsia="fr-FR"/>
              </w:rPr>
              <w:t>RW</w:t>
            </w:r>
          </w:p>
        </w:tc>
        <w:tc>
          <w:tcPr>
            <w:tcW w:w="2126" w:type="dxa"/>
            <w:shd w:val="clear" w:color="auto" w:fill="auto"/>
          </w:tcPr>
          <w:p w14:paraId="339E2076" w14:textId="77777777" w:rsidR="00857A0D" w:rsidRPr="00873B6C" w:rsidRDefault="00857A0D" w:rsidP="00857A0D">
            <w:pPr>
              <w:pStyle w:val="TAC"/>
            </w:pPr>
            <w:r w:rsidRPr="00873B6C">
              <w:rPr>
                <w:lang w:eastAsia="fr-FR"/>
              </w:rPr>
              <w:t>IEEE Std 802.1AS [104] clause 14.8.48</w:t>
            </w:r>
          </w:p>
        </w:tc>
      </w:tr>
      <w:tr w:rsidR="00857A0D" w:rsidRPr="00873B6C" w14:paraId="79191388" w14:textId="77777777" w:rsidTr="00C9561D">
        <w:trPr>
          <w:cantSplit/>
          <w:jc w:val="center"/>
        </w:trPr>
        <w:tc>
          <w:tcPr>
            <w:tcW w:w="5000" w:type="dxa"/>
            <w:shd w:val="clear" w:color="auto" w:fill="auto"/>
          </w:tcPr>
          <w:p w14:paraId="21FA1C25" w14:textId="77777777" w:rsidR="00857A0D" w:rsidRPr="00873B6C" w:rsidRDefault="00857A0D" w:rsidP="00857A0D">
            <w:pPr>
              <w:pStyle w:val="TAL"/>
              <w:rPr>
                <w:lang w:eastAsia="fr-FR"/>
              </w:rPr>
            </w:pPr>
            <w:r w:rsidRPr="00873B6C">
              <w:rPr>
                <w:lang w:eastAsia="fr-FR"/>
              </w:rPr>
              <w:t>&gt;&gt; portDS.currentOneStepTxOper</w:t>
            </w:r>
          </w:p>
        </w:tc>
        <w:tc>
          <w:tcPr>
            <w:tcW w:w="1418" w:type="dxa"/>
            <w:shd w:val="clear" w:color="auto" w:fill="auto"/>
          </w:tcPr>
          <w:p w14:paraId="13167449" w14:textId="77777777" w:rsidR="00857A0D" w:rsidRPr="00873B6C" w:rsidRDefault="00857A0D" w:rsidP="00857A0D">
            <w:pPr>
              <w:pStyle w:val="TAC"/>
              <w:rPr>
                <w:lang w:eastAsia="fr-FR"/>
              </w:rPr>
            </w:pPr>
            <w:r w:rsidRPr="00873B6C">
              <w:rPr>
                <w:lang w:eastAsia="fr-FR"/>
              </w:rPr>
              <w:t>RW</w:t>
            </w:r>
          </w:p>
        </w:tc>
        <w:tc>
          <w:tcPr>
            <w:tcW w:w="1338" w:type="dxa"/>
          </w:tcPr>
          <w:p w14:paraId="5F77DAE0" w14:textId="77777777" w:rsidR="00857A0D" w:rsidRPr="00873B6C" w:rsidRDefault="00857A0D" w:rsidP="00857A0D">
            <w:pPr>
              <w:pStyle w:val="TAC"/>
            </w:pPr>
            <w:r w:rsidRPr="00873B6C">
              <w:rPr>
                <w:lang w:eastAsia="fr-FR"/>
              </w:rPr>
              <w:t>RW</w:t>
            </w:r>
          </w:p>
        </w:tc>
        <w:tc>
          <w:tcPr>
            <w:tcW w:w="2126" w:type="dxa"/>
            <w:shd w:val="clear" w:color="auto" w:fill="auto"/>
          </w:tcPr>
          <w:p w14:paraId="1414B2B9" w14:textId="77777777" w:rsidR="00857A0D" w:rsidRPr="00873B6C" w:rsidRDefault="00857A0D" w:rsidP="00857A0D">
            <w:pPr>
              <w:pStyle w:val="TAC"/>
            </w:pPr>
            <w:r w:rsidRPr="00873B6C">
              <w:rPr>
                <w:lang w:eastAsia="fr-FR"/>
              </w:rPr>
              <w:t>IEEE Std 802.1AS [104] clause 14.8.49</w:t>
            </w:r>
          </w:p>
        </w:tc>
      </w:tr>
      <w:tr w:rsidR="00857A0D" w:rsidRPr="00873B6C" w14:paraId="5F697EF2" w14:textId="77777777" w:rsidTr="00C9561D">
        <w:trPr>
          <w:cantSplit/>
          <w:jc w:val="center"/>
        </w:trPr>
        <w:tc>
          <w:tcPr>
            <w:tcW w:w="5000" w:type="dxa"/>
            <w:shd w:val="clear" w:color="auto" w:fill="auto"/>
          </w:tcPr>
          <w:p w14:paraId="520F4EAD" w14:textId="77777777" w:rsidR="00857A0D" w:rsidRPr="00873B6C" w:rsidRDefault="00857A0D" w:rsidP="00857A0D">
            <w:pPr>
              <w:pStyle w:val="TAL"/>
              <w:rPr>
                <w:lang w:eastAsia="fr-FR"/>
              </w:rPr>
            </w:pPr>
            <w:r w:rsidRPr="00873B6C">
              <w:rPr>
                <w:lang w:eastAsia="fr-FR"/>
              </w:rPr>
              <w:t>&gt;&gt; portDS.useMgtSettableOneStepTxOper</w:t>
            </w:r>
          </w:p>
        </w:tc>
        <w:tc>
          <w:tcPr>
            <w:tcW w:w="1418" w:type="dxa"/>
            <w:shd w:val="clear" w:color="auto" w:fill="auto"/>
          </w:tcPr>
          <w:p w14:paraId="304A2FDF" w14:textId="77777777" w:rsidR="00857A0D" w:rsidRPr="00873B6C" w:rsidRDefault="00857A0D" w:rsidP="00857A0D">
            <w:pPr>
              <w:pStyle w:val="TAC"/>
              <w:rPr>
                <w:lang w:eastAsia="fr-FR"/>
              </w:rPr>
            </w:pPr>
            <w:r w:rsidRPr="00873B6C">
              <w:rPr>
                <w:lang w:eastAsia="fr-FR"/>
              </w:rPr>
              <w:t>RW</w:t>
            </w:r>
          </w:p>
        </w:tc>
        <w:tc>
          <w:tcPr>
            <w:tcW w:w="1338" w:type="dxa"/>
          </w:tcPr>
          <w:p w14:paraId="291B3C81" w14:textId="77777777" w:rsidR="00857A0D" w:rsidRPr="00873B6C" w:rsidRDefault="00857A0D" w:rsidP="00857A0D">
            <w:pPr>
              <w:pStyle w:val="TAC"/>
            </w:pPr>
            <w:r w:rsidRPr="00873B6C">
              <w:rPr>
                <w:lang w:eastAsia="fr-FR"/>
              </w:rPr>
              <w:t>RW</w:t>
            </w:r>
          </w:p>
        </w:tc>
        <w:tc>
          <w:tcPr>
            <w:tcW w:w="2126" w:type="dxa"/>
            <w:shd w:val="clear" w:color="auto" w:fill="auto"/>
          </w:tcPr>
          <w:p w14:paraId="14ECE713" w14:textId="77777777" w:rsidR="00857A0D" w:rsidRPr="00873B6C" w:rsidRDefault="00857A0D" w:rsidP="00857A0D">
            <w:pPr>
              <w:pStyle w:val="TAC"/>
            </w:pPr>
            <w:r w:rsidRPr="00873B6C">
              <w:rPr>
                <w:lang w:eastAsia="fr-FR"/>
              </w:rPr>
              <w:t>IEEE Std 802.1AS [104] clause 14.8.50</w:t>
            </w:r>
          </w:p>
        </w:tc>
      </w:tr>
      <w:tr w:rsidR="00857A0D" w:rsidRPr="00873B6C" w14:paraId="577DEF23" w14:textId="77777777" w:rsidTr="00C9561D">
        <w:trPr>
          <w:cantSplit/>
          <w:jc w:val="center"/>
        </w:trPr>
        <w:tc>
          <w:tcPr>
            <w:tcW w:w="5000" w:type="dxa"/>
            <w:shd w:val="clear" w:color="auto" w:fill="auto"/>
          </w:tcPr>
          <w:p w14:paraId="6D37E8D9" w14:textId="77777777" w:rsidR="00857A0D" w:rsidRPr="00873B6C" w:rsidRDefault="00857A0D" w:rsidP="00857A0D">
            <w:pPr>
              <w:pStyle w:val="TAL"/>
              <w:rPr>
                <w:lang w:eastAsia="fr-FR"/>
              </w:rPr>
            </w:pPr>
            <w:r w:rsidRPr="00873B6C">
              <w:rPr>
                <w:lang w:eastAsia="fr-FR"/>
              </w:rPr>
              <w:t>&gt;&gt; portDS.mgtSettableOneStepTxOper</w:t>
            </w:r>
          </w:p>
        </w:tc>
        <w:tc>
          <w:tcPr>
            <w:tcW w:w="1418" w:type="dxa"/>
            <w:shd w:val="clear" w:color="auto" w:fill="auto"/>
          </w:tcPr>
          <w:p w14:paraId="14ECABFE" w14:textId="77777777" w:rsidR="00857A0D" w:rsidRPr="00873B6C" w:rsidRDefault="00857A0D" w:rsidP="00857A0D">
            <w:pPr>
              <w:pStyle w:val="TAC"/>
              <w:rPr>
                <w:lang w:eastAsia="fr-FR"/>
              </w:rPr>
            </w:pPr>
            <w:r w:rsidRPr="00873B6C">
              <w:rPr>
                <w:lang w:eastAsia="fr-FR"/>
              </w:rPr>
              <w:t>RW</w:t>
            </w:r>
          </w:p>
        </w:tc>
        <w:tc>
          <w:tcPr>
            <w:tcW w:w="1338" w:type="dxa"/>
          </w:tcPr>
          <w:p w14:paraId="568EFD1F" w14:textId="77777777" w:rsidR="00857A0D" w:rsidRPr="00873B6C" w:rsidRDefault="00857A0D" w:rsidP="00857A0D">
            <w:pPr>
              <w:pStyle w:val="TAC"/>
            </w:pPr>
            <w:r w:rsidRPr="00873B6C">
              <w:rPr>
                <w:lang w:eastAsia="fr-FR"/>
              </w:rPr>
              <w:t>RW</w:t>
            </w:r>
          </w:p>
        </w:tc>
        <w:tc>
          <w:tcPr>
            <w:tcW w:w="2126" w:type="dxa"/>
            <w:shd w:val="clear" w:color="auto" w:fill="auto"/>
          </w:tcPr>
          <w:p w14:paraId="469183E6" w14:textId="77777777" w:rsidR="00857A0D" w:rsidRPr="00873B6C" w:rsidRDefault="00857A0D" w:rsidP="00857A0D">
            <w:pPr>
              <w:pStyle w:val="TAC"/>
            </w:pPr>
            <w:r w:rsidRPr="00873B6C">
              <w:rPr>
                <w:lang w:eastAsia="fr-FR"/>
              </w:rPr>
              <w:t>IEEE Std 802.1AS [104] clause 14.8.51</w:t>
            </w:r>
          </w:p>
        </w:tc>
      </w:tr>
      <w:tr w:rsidR="00857A0D" w:rsidRPr="00873B6C" w14:paraId="612FCC16" w14:textId="77777777" w:rsidTr="00C9561D">
        <w:trPr>
          <w:cantSplit/>
          <w:jc w:val="center"/>
        </w:trPr>
        <w:tc>
          <w:tcPr>
            <w:tcW w:w="5000" w:type="dxa"/>
            <w:shd w:val="clear" w:color="auto" w:fill="auto"/>
          </w:tcPr>
          <w:p w14:paraId="154BF0BA" w14:textId="77777777" w:rsidR="00857A0D" w:rsidRPr="00873B6C" w:rsidRDefault="00857A0D" w:rsidP="00857A0D">
            <w:pPr>
              <w:pStyle w:val="TAL"/>
              <w:rPr>
                <w:lang w:eastAsia="fr-FR"/>
              </w:rPr>
            </w:pPr>
            <w:r w:rsidRPr="00873B6C">
              <w:rPr>
                <w:lang w:eastAsia="fr-FR"/>
              </w:rPr>
              <w:t>&gt;&gt; portDS.syncLocked</w:t>
            </w:r>
          </w:p>
        </w:tc>
        <w:tc>
          <w:tcPr>
            <w:tcW w:w="1418" w:type="dxa"/>
            <w:shd w:val="clear" w:color="auto" w:fill="auto"/>
          </w:tcPr>
          <w:p w14:paraId="1D5ECF56" w14:textId="77777777" w:rsidR="00857A0D" w:rsidRPr="00873B6C" w:rsidRDefault="00857A0D" w:rsidP="00857A0D">
            <w:pPr>
              <w:pStyle w:val="TAC"/>
              <w:rPr>
                <w:lang w:eastAsia="fr-FR"/>
              </w:rPr>
            </w:pPr>
            <w:r w:rsidRPr="00873B6C">
              <w:rPr>
                <w:lang w:eastAsia="fr-FR"/>
              </w:rPr>
              <w:t>R</w:t>
            </w:r>
          </w:p>
        </w:tc>
        <w:tc>
          <w:tcPr>
            <w:tcW w:w="1338" w:type="dxa"/>
          </w:tcPr>
          <w:p w14:paraId="5944DFD2" w14:textId="77777777" w:rsidR="00857A0D" w:rsidRPr="00873B6C" w:rsidRDefault="00857A0D" w:rsidP="00857A0D">
            <w:pPr>
              <w:pStyle w:val="TAC"/>
            </w:pPr>
            <w:r w:rsidRPr="00873B6C">
              <w:rPr>
                <w:lang w:eastAsia="fr-FR"/>
              </w:rPr>
              <w:t>R</w:t>
            </w:r>
          </w:p>
        </w:tc>
        <w:tc>
          <w:tcPr>
            <w:tcW w:w="2126" w:type="dxa"/>
            <w:shd w:val="clear" w:color="auto" w:fill="auto"/>
          </w:tcPr>
          <w:p w14:paraId="424B635D" w14:textId="77777777" w:rsidR="00857A0D" w:rsidRPr="00873B6C" w:rsidRDefault="00857A0D" w:rsidP="00857A0D">
            <w:pPr>
              <w:pStyle w:val="TAC"/>
            </w:pPr>
            <w:r w:rsidRPr="00873B6C">
              <w:rPr>
                <w:lang w:eastAsia="fr-FR"/>
              </w:rPr>
              <w:t>IEEE Std 802.1AS [104] clause 14.8.52</w:t>
            </w:r>
          </w:p>
        </w:tc>
      </w:tr>
      <w:tr w:rsidR="00857A0D" w:rsidRPr="00873B6C" w14:paraId="3D573E1D" w14:textId="77777777" w:rsidTr="00C9561D">
        <w:trPr>
          <w:cantSplit/>
          <w:jc w:val="center"/>
        </w:trPr>
        <w:tc>
          <w:tcPr>
            <w:tcW w:w="5000" w:type="dxa"/>
            <w:shd w:val="clear" w:color="auto" w:fill="auto"/>
          </w:tcPr>
          <w:p w14:paraId="01B55804" w14:textId="77777777" w:rsidR="00857A0D" w:rsidRPr="00873B6C" w:rsidRDefault="00857A0D" w:rsidP="00857A0D">
            <w:pPr>
              <w:pStyle w:val="TAL"/>
              <w:rPr>
                <w:lang w:eastAsia="fr-FR"/>
              </w:rPr>
            </w:pPr>
            <w:r w:rsidRPr="00873B6C">
              <w:rPr>
                <w:lang w:eastAsia="fr-FR"/>
              </w:rPr>
              <w:lastRenderedPageBreak/>
              <w:t>&gt;&gt; portDS.pdelayTruncatedTimestampsArray</w:t>
            </w:r>
          </w:p>
        </w:tc>
        <w:tc>
          <w:tcPr>
            <w:tcW w:w="1418" w:type="dxa"/>
            <w:shd w:val="clear" w:color="auto" w:fill="auto"/>
          </w:tcPr>
          <w:p w14:paraId="24FE33C6" w14:textId="77777777" w:rsidR="00857A0D" w:rsidRPr="00873B6C" w:rsidRDefault="00857A0D" w:rsidP="00857A0D">
            <w:pPr>
              <w:pStyle w:val="TAC"/>
              <w:rPr>
                <w:lang w:eastAsia="fr-FR"/>
              </w:rPr>
            </w:pPr>
            <w:r w:rsidRPr="00873B6C">
              <w:rPr>
                <w:lang w:eastAsia="fr-FR"/>
              </w:rPr>
              <w:t>RW</w:t>
            </w:r>
          </w:p>
        </w:tc>
        <w:tc>
          <w:tcPr>
            <w:tcW w:w="1338" w:type="dxa"/>
          </w:tcPr>
          <w:p w14:paraId="4714EDC0" w14:textId="77777777" w:rsidR="00857A0D" w:rsidRPr="00873B6C" w:rsidRDefault="00857A0D" w:rsidP="00857A0D">
            <w:pPr>
              <w:pStyle w:val="TAC"/>
            </w:pPr>
            <w:r w:rsidRPr="00873B6C">
              <w:rPr>
                <w:lang w:eastAsia="fr-FR"/>
              </w:rPr>
              <w:t>RW</w:t>
            </w:r>
          </w:p>
        </w:tc>
        <w:tc>
          <w:tcPr>
            <w:tcW w:w="2126" w:type="dxa"/>
            <w:shd w:val="clear" w:color="auto" w:fill="auto"/>
          </w:tcPr>
          <w:p w14:paraId="08F1BFC9" w14:textId="77777777" w:rsidR="00857A0D" w:rsidRPr="00873B6C" w:rsidRDefault="00857A0D" w:rsidP="00857A0D">
            <w:pPr>
              <w:pStyle w:val="TAC"/>
            </w:pPr>
            <w:r w:rsidRPr="00873B6C">
              <w:rPr>
                <w:lang w:eastAsia="fr-FR"/>
              </w:rPr>
              <w:t>IEEE Std 802.1AS [104] clause 14.8.53</w:t>
            </w:r>
          </w:p>
        </w:tc>
      </w:tr>
      <w:tr w:rsidR="00857A0D" w:rsidRPr="00873B6C" w14:paraId="53A3CDD2" w14:textId="77777777" w:rsidTr="00C9561D">
        <w:trPr>
          <w:cantSplit/>
          <w:jc w:val="center"/>
        </w:trPr>
        <w:tc>
          <w:tcPr>
            <w:tcW w:w="5000" w:type="dxa"/>
            <w:shd w:val="clear" w:color="auto" w:fill="auto"/>
          </w:tcPr>
          <w:p w14:paraId="56F6ABEF" w14:textId="77777777" w:rsidR="00857A0D" w:rsidRPr="00873B6C" w:rsidRDefault="00857A0D" w:rsidP="00857A0D">
            <w:pPr>
              <w:pStyle w:val="TAL"/>
              <w:rPr>
                <w:lang w:eastAsia="fr-FR"/>
              </w:rPr>
            </w:pPr>
            <w:r w:rsidRPr="00873B6C">
              <w:rPr>
                <w:lang w:eastAsia="fr-FR"/>
              </w:rPr>
              <w:t>&gt;&gt; portDS.minorVersionNumber</w:t>
            </w:r>
          </w:p>
        </w:tc>
        <w:tc>
          <w:tcPr>
            <w:tcW w:w="1418" w:type="dxa"/>
            <w:shd w:val="clear" w:color="auto" w:fill="auto"/>
          </w:tcPr>
          <w:p w14:paraId="502EE204" w14:textId="77777777" w:rsidR="00857A0D" w:rsidRPr="00873B6C" w:rsidRDefault="00857A0D" w:rsidP="00857A0D">
            <w:pPr>
              <w:pStyle w:val="TAC"/>
              <w:rPr>
                <w:lang w:eastAsia="fr-FR"/>
              </w:rPr>
            </w:pPr>
            <w:r w:rsidRPr="00873B6C">
              <w:rPr>
                <w:lang w:eastAsia="fr-FR"/>
              </w:rPr>
              <w:t>RW</w:t>
            </w:r>
          </w:p>
        </w:tc>
        <w:tc>
          <w:tcPr>
            <w:tcW w:w="1338" w:type="dxa"/>
          </w:tcPr>
          <w:p w14:paraId="31A18666" w14:textId="77777777" w:rsidR="00857A0D" w:rsidRPr="00873B6C" w:rsidRDefault="00857A0D" w:rsidP="00857A0D">
            <w:pPr>
              <w:pStyle w:val="TAC"/>
            </w:pPr>
            <w:r w:rsidRPr="00873B6C">
              <w:rPr>
                <w:lang w:eastAsia="fr-FR"/>
              </w:rPr>
              <w:t>RW</w:t>
            </w:r>
          </w:p>
        </w:tc>
        <w:tc>
          <w:tcPr>
            <w:tcW w:w="2126" w:type="dxa"/>
            <w:shd w:val="clear" w:color="auto" w:fill="auto"/>
          </w:tcPr>
          <w:p w14:paraId="1CADD3D2" w14:textId="77777777" w:rsidR="00857A0D" w:rsidRPr="00873B6C" w:rsidRDefault="00857A0D" w:rsidP="00857A0D">
            <w:pPr>
              <w:pStyle w:val="TAC"/>
            </w:pPr>
            <w:r w:rsidRPr="00873B6C">
              <w:rPr>
                <w:lang w:eastAsia="fr-FR"/>
              </w:rPr>
              <w:t>IEEE Std 802.1AS [104] clause 14.8.54</w:t>
            </w:r>
          </w:p>
        </w:tc>
      </w:tr>
      <w:tr w:rsidR="00857A0D" w:rsidRPr="00873B6C" w14:paraId="75A8C4A2" w14:textId="77777777" w:rsidTr="00C9561D">
        <w:trPr>
          <w:cantSplit/>
          <w:jc w:val="center"/>
        </w:trPr>
        <w:tc>
          <w:tcPr>
            <w:tcW w:w="5000" w:type="dxa"/>
            <w:shd w:val="clear" w:color="auto" w:fill="auto"/>
          </w:tcPr>
          <w:p w14:paraId="4E1BC369" w14:textId="77777777" w:rsidR="00857A0D" w:rsidRPr="00873B6C" w:rsidRDefault="00857A0D" w:rsidP="00857A0D">
            <w:pPr>
              <w:pStyle w:val="TAL"/>
              <w:rPr>
                <w:lang w:eastAsia="fr-FR"/>
              </w:rPr>
            </w:pPr>
            <w:r w:rsidRPr="00873B6C">
              <w:rPr>
                <w:lang w:eastAsia="fr-FR"/>
              </w:rPr>
              <w:t>&gt;&gt; externalPortConfigurationPortDS.desiredState</w:t>
            </w:r>
          </w:p>
        </w:tc>
        <w:tc>
          <w:tcPr>
            <w:tcW w:w="1418" w:type="dxa"/>
            <w:shd w:val="clear" w:color="auto" w:fill="auto"/>
          </w:tcPr>
          <w:p w14:paraId="1A246FFC" w14:textId="77777777" w:rsidR="00857A0D" w:rsidRPr="00873B6C" w:rsidRDefault="00857A0D" w:rsidP="00857A0D">
            <w:pPr>
              <w:pStyle w:val="TAC"/>
              <w:rPr>
                <w:lang w:eastAsia="fr-FR"/>
              </w:rPr>
            </w:pPr>
            <w:r w:rsidRPr="00873B6C">
              <w:rPr>
                <w:lang w:eastAsia="fr-FR"/>
              </w:rPr>
              <w:t>RW</w:t>
            </w:r>
          </w:p>
        </w:tc>
        <w:tc>
          <w:tcPr>
            <w:tcW w:w="1338" w:type="dxa"/>
          </w:tcPr>
          <w:p w14:paraId="02E8CC0D" w14:textId="77777777" w:rsidR="00857A0D" w:rsidRPr="00873B6C" w:rsidRDefault="00857A0D" w:rsidP="00857A0D">
            <w:pPr>
              <w:pStyle w:val="TAC"/>
            </w:pPr>
            <w:r w:rsidRPr="00873B6C">
              <w:rPr>
                <w:lang w:eastAsia="fr-FR"/>
              </w:rPr>
              <w:t>RW</w:t>
            </w:r>
          </w:p>
        </w:tc>
        <w:tc>
          <w:tcPr>
            <w:tcW w:w="2126" w:type="dxa"/>
            <w:shd w:val="clear" w:color="auto" w:fill="auto"/>
          </w:tcPr>
          <w:p w14:paraId="37E8B65C" w14:textId="77777777" w:rsidR="00857A0D" w:rsidRPr="00873B6C" w:rsidRDefault="00857A0D" w:rsidP="00857A0D">
            <w:pPr>
              <w:pStyle w:val="TAC"/>
            </w:pPr>
            <w:r w:rsidRPr="00873B6C">
              <w:rPr>
                <w:lang w:eastAsia="fr-FR"/>
              </w:rPr>
              <w:t>IEEE Std 802.1AS [104] clause 14.12.2</w:t>
            </w:r>
          </w:p>
        </w:tc>
      </w:tr>
      <w:tr w:rsidR="00857A0D" w:rsidRPr="00873B6C" w14:paraId="4A82BD82" w14:textId="77777777" w:rsidTr="00C9561D">
        <w:trPr>
          <w:cantSplit/>
          <w:jc w:val="center"/>
        </w:trPr>
        <w:tc>
          <w:tcPr>
            <w:tcW w:w="5000" w:type="dxa"/>
            <w:shd w:val="clear" w:color="auto" w:fill="auto"/>
          </w:tcPr>
          <w:p w14:paraId="668C6A31" w14:textId="77777777" w:rsidR="00857A0D" w:rsidRPr="00873B6C" w:rsidRDefault="00857A0D" w:rsidP="00857A0D">
            <w:pPr>
              <w:pStyle w:val="TAL"/>
              <w:rPr>
                <w:b/>
                <w:bCs/>
              </w:rPr>
            </w:pPr>
            <w:r w:rsidRPr="00873B6C">
              <w:rPr>
                <w:b/>
                <w:bCs/>
              </w:rPr>
              <w:t>Time synchronization status (TSS) information</w:t>
            </w:r>
          </w:p>
        </w:tc>
        <w:tc>
          <w:tcPr>
            <w:tcW w:w="1418" w:type="dxa"/>
            <w:shd w:val="clear" w:color="auto" w:fill="auto"/>
          </w:tcPr>
          <w:p w14:paraId="33D2D702" w14:textId="77777777" w:rsidR="00857A0D" w:rsidRPr="00873B6C" w:rsidRDefault="00857A0D" w:rsidP="00857A0D">
            <w:pPr>
              <w:pStyle w:val="TAC"/>
              <w:rPr>
                <w:lang w:eastAsia="fr-FR"/>
              </w:rPr>
            </w:pPr>
          </w:p>
        </w:tc>
        <w:tc>
          <w:tcPr>
            <w:tcW w:w="1338" w:type="dxa"/>
          </w:tcPr>
          <w:p w14:paraId="3A8F2F35" w14:textId="77777777" w:rsidR="00857A0D" w:rsidRPr="00873B6C" w:rsidRDefault="00857A0D" w:rsidP="00857A0D">
            <w:pPr>
              <w:pStyle w:val="TAC"/>
            </w:pPr>
          </w:p>
        </w:tc>
        <w:tc>
          <w:tcPr>
            <w:tcW w:w="2126" w:type="dxa"/>
            <w:shd w:val="clear" w:color="auto" w:fill="auto"/>
          </w:tcPr>
          <w:p w14:paraId="2212E909" w14:textId="77777777" w:rsidR="00857A0D" w:rsidRPr="00873B6C" w:rsidRDefault="00857A0D" w:rsidP="00857A0D">
            <w:pPr>
              <w:pStyle w:val="TAC"/>
            </w:pPr>
          </w:p>
        </w:tc>
      </w:tr>
      <w:tr w:rsidR="00857A0D" w:rsidRPr="00873B6C" w14:paraId="086BCF25" w14:textId="77777777" w:rsidTr="00C9561D">
        <w:trPr>
          <w:cantSplit/>
          <w:jc w:val="center"/>
        </w:trPr>
        <w:tc>
          <w:tcPr>
            <w:tcW w:w="5000" w:type="dxa"/>
            <w:shd w:val="clear" w:color="auto" w:fill="auto"/>
          </w:tcPr>
          <w:p w14:paraId="14AD09C2" w14:textId="77777777" w:rsidR="00857A0D" w:rsidRPr="00873B6C" w:rsidRDefault="00857A0D" w:rsidP="00857A0D">
            <w:pPr>
              <w:pStyle w:val="TAL"/>
              <w:rPr>
                <w:lang w:eastAsia="fr-FR"/>
              </w:rPr>
            </w:pPr>
            <w:r w:rsidRPr="00873B6C">
              <w:rPr>
                <w:lang w:eastAsia="fr-FR"/>
              </w:rPr>
              <w:t>&gt; Synchronization state</w:t>
            </w:r>
          </w:p>
        </w:tc>
        <w:tc>
          <w:tcPr>
            <w:tcW w:w="1418" w:type="dxa"/>
            <w:shd w:val="clear" w:color="auto" w:fill="auto"/>
          </w:tcPr>
          <w:p w14:paraId="4D5C0FAC" w14:textId="77777777" w:rsidR="00857A0D" w:rsidRPr="00873B6C" w:rsidRDefault="00857A0D" w:rsidP="00857A0D">
            <w:pPr>
              <w:pStyle w:val="TAC"/>
              <w:rPr>
                <w:lang w:eastAsia="fr-FR"/>
              </w:rPr>
            </w:pPr>
            <w:r w:rsidRPr="00873B6C">
              <w:rPr>
                <w:lang w:eastAsia="fr-FR"/>
              </w:rPr>
              <w:t>-</w:t>
            </w:r>
          </w:p>
        </w:tc>
        <w:tc>
          <w:tcPr>
            <w:tcW w:w="1338" w:type="dxa"/>
          </w:tcPr>
          <w:p w14:paraId="5FD21C2A" w14:textId="77777777" w:rsidR="00857A0D" w:rsidRPr="00873B6C" w:rsidRDefault="00857A0D" w:rsidP="00857A0D">
            <w:pPr>
              <w:pStyle w:val="TAC"/>
            </w:pPr>
            <w:r w:rsidRPr="00873B6C">
              <w:rPr>
                <w:lang w:eastAsia="fr-FR"/>
              </w:rPr>
              <w:t>R</w:t>
            </w:r>
          </w:p>
        </w:tc>
        <w:tc>
          <w:tcPr>
            <w:tcW w:w="2126" w:type="dxa"/>
            <w:shd w:val="clear" w:color="auto" w:fill="auto"/>
          </w:tcPr>
          <w:p w14:paraId="1A8F5991" w14:textId="77777777" w:rsidR="00857A0D" w:rsidRPr="00873B6C" w:rsidRDefault="00857A0D" w:rsidP="00857A0D">
            <w:pPr>
              <w:pStyle w:val="TAC"/>
            </w:pPr>
            <w:r w:rsidRPr="00873B6C">
              <w:t>Table 5.27.1.12-1</w:t>
            </w:r>
          </w:p>
        </w:tc>
      </w:tr>
      <w:tr w:rsidR="00857A0D" w:rsidRPr="00873B6C" w14:paraId="17DC1538" w14:textId="77777777" w:rsidTr="00C9561D">
        <w:trPr>
          <w:cantSplit/>
          <w:jc w:val="center"/>
        </w:trPr>
        <w:tc>
          <w:tcPr>
            <w:tcW w:w="5000" w:type="dxa"/>
            <w:shd w:val="clear" w:color="auto" w:fill="auto"/>
          </w:tcPr>
          <w:p w14:paraId="2AF66C26" w14:textId="77777777" w:rsidR="00857A0D" w:rsidRPr="00873B6C" w:rsidRDefault="00857A0D" w:rsidP="00857A0D">
            <w:pPr>
              <w:pStyle w:val="TAL"/>
              <w:rPr>
                <w:lang w:eastAsia="fr-FR"/>
              </w:rPr>
            </w:pPr>
            <w:r w:rsidRPr="00873B6C">
              <w:rPr>
                <w:lang w:eastAsia="fr-FR"/>
              </w:rPr>
              <w:t xml:space="preserve">&gt; Clock quality </w:t>
            </w:r>
          </w:p>
        </w:tc>
        <w:tc>
          <w:tcPr>
            <w:tcW w:w="1418" w:type="dxa"/>
            <w:shd w:val="clear" w:color="auto" w:fill="auto"/>
          </w:tcPr>
          <w:p w14:paraId="4A9FC000" w14:textId="77777777" w:rsidR="00857A0D" w:rsidRPr="00873B6C" w:rsidRDefault="00857A0D" w:rsidP="00857A0D">
            <w:pPr>
              <w:pStyle w:val="TAC"/>
              <w:rPr>
                <w:lang w:eastAsia="fr-FR"/>
              </w:rPr>
            </w:pPr>
            <w:r w:rsidRPr="00873B6C">
              <w:rPr>
                <w:lang w:eastAsia="fr-FR"/>
              </w:rPr>
              <w:t>-</w:t>
            </w:r>
          </w:p>
        </w:tc>
        <w:tc>
          <w:tcPr>
            <w:tcW w:w="1338" w:type="dxa"/>
          </w:tcPr>
          <w:p w14:paraId="6D95A3CD" w14:textId="77777777" w:rsidR="00857A0D" w:rsidRPr="00873B6C" w:rsidRDefault="00857A0D" w:rsidP="00857A0D">
            <w:pPr>
              <w:pStyle w:val="TAC"/>
            </w:pPr>
            <w:r w:rsidRPr="00873B6C">
              <w:rPr>
                <w:lang w:eastAsia="fr-FR"/>
              </w:rPr>
              <w:t>R</w:t>
            </w:r>
          </w:p>
        </w:tc>
        <w:tc>
          <w:tcPr>
            <w:tcW w:w="2126" w:type="dxa"/>
            <w:shd w:val="clear" w:color="auto" w:fill="auto"/>
          </w:tcPr>
          <w:p w14:paraId="20B9ED94" w14:textId="77777777" w:rsidR="00857A0D" w:rsidRPr="00873B6C" w:rsidRDefault="00857A0D" w:rsidP="00857A0D">
            <w:pPr>
              <w:pStyle w:val="TAC"/>
            </w:pPr>
            <w:r w:rsidRPr="00873B6C">
              <w:t>Table 5.27.1.12-1</w:t>
            </w:r>
          </w:p>
        </w:tc>
      </w:tr>
      <w:tr w:rsidR="00857A0D" w:rsidRPr="00873B6C" w14:paraId="12038890" w14:textId="77777777" w:rsidTr="00C9561D">
        <w:trPr>
          <w:cantSplit/>
          <w:jc w:val="center"/>
        </w:trPr>
        <w:tc>
          <w:tcPr>
            <w:tcW w:w="5000" w:type="dxa"/>
            <w:shd w:val="clear" w:color="auto" w:fill="auto"/>
          </w:tcPr>
          <w:p w14:paraId="7126BFA3" w14:textId="77777777" w:rsidR="00857A0D" w:rsidRPr="00873B6C" w:rsidRDefault="00857A0D" w:rsidP="00857A0D">
            <w:pPr>
              <w:pStyle w:val="TAL"/>
              <w:rPr>
                <w:lang w:eastAsia="fr-FR"/>
              </w:rPr>
            </w:pPr>
            <w:r w:rsidRPr="00873B6C">
              <w:rPr>
                <w:lang w:eastAsia="fr-FR"/>
              </w:rPr>
              <w:t>&gt;&gt; Traceable to UTC</w:t>
            </w:r>
          </w:p>
        </w:tc>
        <w:tc>
          <w:tcPr>
            <w:tcW w:w="1418" w:type="dxa"/>
            <w:shd w:val="clear" w:color="auto" w:fill="auto"/>
          </w:tcPr>
          <w:p w14:paraId="7692B630" w14:textId="77777777" w:rsidR="00857A0D" w:rsidRPr="00873B6C" w:rsidRDefault="00857A0D" w:rsidP="00857A0D">
            <w:pPr>
              <w:pStyle w:val="TAC"/>
              <w:rPr>
                <w:lang w:eastAsia="fr-FR"/>
              </w:rPr>
            </w:pPr>
            <w:r w:rsidRPr="00873B6C">
              <w:rPr>
                <w:lang w:eastAsia="fr-FR"/>
              </w:rPr>
              <w:t>-</w:t>
            </w:r>
          </w:p>
        </w:tc>
        <w:tc>
          <w:tcPr>
            <w:tcW w:w="1338" w:type="dxa"/>
          </w:tcPr>
          <w:p w14:paraId="756457E1" w14:textId="77777777" w:rsidR="00857A0D" w:rsidRPr="00873B6C" w:rsidRDefault="00857A0D" w:rsidP="00857A0D">
            <w:pPr>
              <w:pStyle w:val="TAC"/>
            </w:pPr>
            <w:r w:rsidRPr="00873B6C">
              <w:rPr>
                <w:lang w:eastAsia="fr-FR"/>
              </w:rPr>
              <w:t>R</w:t>
            </w:r>
          </w:p>
        </w:tc>
        <w:tc>
          <w:tcPr>
            <w:tcW w:w="2126" w:type="dxa"/>
            <w:shd w:val="clear" w:color="auto" w:fill="auto"/>
          </w:tcPr>
          <w:p w14:paraId="258C4A1A" w14:textId="77777777" w:rsidR="00857A0D" w:rsidRPr="00873B6C" w:rsidRDefault="00857A0D" w:rsidP="00857A0D">
            <w:pPr>
              <w:pStyle w:val="TAC"/>
            </w:pPr>
            <w:r w:rsidRPr="00873B6C">
              <w:t>Table 5.27.1.12-1</w:t>
            </w:r>
          </w:p>
        </w:tc>
      </w:tr>
      <w:tr w:rsidR="00857A0D" w:rsidRPr="00873B6C" w14:paraId="09F5A277" w14:textId="77777777" w:rsidTr="00C9561D">
        <w:trPr>
          <w:cantSplit/>
          <w:jc w:val="center"/>
        </w:trPr>
        <w:tc>
          <w:tcPr>
            <w:tcW w:w="5000" w:type="dxa"/>
            <w:shd w:val="clear" w:color="auto" w:fill="auto"/>
          </w:tcPr>
          <w:p w14:paraId="2C9AA9DF" w14:textId="77777777" w:rsidR="00857A0D" w:rsidRPr="00873B6C" w:rsidRDefault="00857A0D" w:rsidP="00857A0D">
            <w:pPr>
              <w:pStyle w:val="TAL"/>
              <w:rPr>
                <w:lang w:eastAsia="fr-FR"/>
              </w:rPr>
            </w:pPr>
            <w:r w:rsidRPr="00873B6C">
              <w:rPr>
                <w:lang w:eastAsia="fr-FR"/>
              </w:rPr>
              <w:t>&gt;&gt; Traceable to GNSS</w:t>
            </w:r>
          </w:p>
        </w:tc>
        <w:tc>
          <w:tcPr>
            <w:tcW w:w="1418" w:type="dxa"/>
            <w:shd w:val="clear" w:color="auto" w:fill="auto"/>
          </w:tcPr>
          <w:p w14:paraId="44739445" w14:textId="77777777" w:rsidR="00857A0D" w:rsidRPr="00873B6C" w:rsidRDefault="00857A0D" w:rsidP="00857A0D">
            <w:pPr>
              <w:pStyle w:val="TAC"/>
              <w:rPr>
                <w:lang w:eastAsia="fr-FR"/>
              </w:rPr>
            </w:pPr>
            <w:r w:rsidRPr="00873B6C">
              <w:rPr>
                <w:lang w:eastAsia="fr-FR"/>
              </w:rPr>
              <w:t>-</w:t>
            </w:r>
          </w:p>
        </w:tc>
        <w:tc>
          <w:tcPr>
            <w:tcW w:w="1338" w:type="dxa"/>
          </w:tcPr>
          <w:p w14:paraId="210C071D" w14:textId="77777777" w:rsidR="00857A0D" w:rsidRPr="00873B6C" w:rsidRDefault="00857A0D" w:rsidP="00857A0D">
            <w:pPr>
              <w:pStyle w:val="TAC"/>
            </w:pPr>
            <w:r w:rsidRPr="00873B6C">
              <w:rPr>
                <w:lang w:eastAsia="fr-FR"/>
              </w:rPr>
              <w:t>R</w:t>
            </w:r>
          </w:p>
        </w:tc>
        <w:tc>
          <w:tcPr>
            <w:tcW w:w="2126" w:type="dxa"/>
            <w:shd w:val="clear" w:color="auto" w:fill="auto"/>
          </w:tcPr>
          <w:p w14:paraId="6579BA86" w14:textId="77777777" w:rsidR="00857A0D" w:rsidRPr="00873B6C" w:rsidRDefault="00857A0D" w:rsidP="00857A0D">
            <w:pPr>
              <w:pStyle w:val="TAC"/>
            </w:pPr>
            <w:r w:rsidRPr="00873B6C">
              <w:t>Table 5.27.1.12-1</w:t>
            </w:r>
          </w:p>
        </w:tc>
      </w:tr>
      <w:tr w:rsidR="00857A0D" w:rsidRPr="00873B6C" w14:paraId="1C6000C1" w14:textId="77777777" w:rsidTr="00C9561D">
        <w:trPr>
          <w:cantSplit/>
          <w:jc w:val="center"/>
        </w:trPr>
        <w:tc>
          <w:tcPr>
            <w:tcW w:w="5000" w:type="dxa"/>
            <w:shd w:val="clear" w:color="auto" w:fill="auto"/>
          </w:tcPr>
          <w:p w14:paraId="2F666568" w14:textId="77777777" w:rsidR="00857A0D" w:rsidRPr="00873B6C" w:rsidRDefault="00857A0D" w:rsidP="00857A0D">
            <w:pPr>
              <w:pStyle w:val="TAL"/>
              <w:rPr>
                <w:lang w:eastAsia="fr-FR"/>
              </w:rPr>
            </w:pPr>
            <w:r w:rsidRPr="00873B6C">
              <w:rPr>
                <w:lang w:eastAsia="fr-FR"/>
              </w:rPr>
              <w:t>&gt;&gt; Frequency stability</w:t>
            </w:r>
          </w:p>
        </w:tc>
        <w:tc>
          <w:tcPr>
            <w:tcW w:w="1418" w:type="dxa"/>
            <w:shd w:val="clear" w:color="auto" w:fill="auto"/>
          </w:tcPr>
          <w:p w14:paraId="064D06C6" w14:textId="77777777" w:rsidR="00857A0D" w:rsidRPr="00873B6C" w:rsidRDefault="00857A0D" w:rsidP="00857A0D">
            <w:pPr>
              <w:pStyle w:val="TAC"/>
              <w:rPr>
                <w:lang w:eastAsia="fr-FR"/>
              </w:rPr>
            </w:pPr>
            <w:r w:rsidRPr="00873B6C">
              <w:rPr>
                <w:lang w:eastAsia="fr-FR"/>
              </w:rPr>
              <w:t>-</w:t>
            </w:r>
          </w:p>
        </w:tc>
        <w:tc>
          <w:tcPr>
            <w:tcW w:w="1338" w:type="dxa"/>
          </w:tcPr>
          <w:p w14:paraId="5409920D" w14:textId="77777777" w:rsidR="00857A0D" w:rsidRPr="00873B6C" w:rsidRDefault="00857A0D" w:rsidP="00857A0D">
            <w:pPr>
              <w:pStyle w:val="TAC"/>
            </w:pPr>
            <w:r w:rsidRPr="00873B6C">
              <w:rPr>
                <w:lang w:eastAsia="fr-FR"/>
              </w:rPr>
              <w:t>R</w:t>
            </w:r>
          </w:p>
        </w:tc>
        <w:tc>
          <w:tcPr>
            <w:tcW w:w="2126" w:type="dxa"/>
            <w:shd w:val="clear" w:color="auto" w:fill="auto"/>
          </w:tcPr>
          <w:p w14:paraId="0E34D870" w14:textId="77777777" w:rsidR="00857A0D" w:rsidRPr="00873B6C" w:rsidRDefault="00857A0D" w:rsidP="00857A0D">
            <w:pPr>
              <w:pStyle w:val="TAC"/>
            </w:pPr>
            <w:r w:rsidRPr="00873B6C">
              <w:t>Table 5.27.1.12-1</w:t>
            </w:r>
          </w:p>
        </w:tc>
      </w:tr>
      <w:tr w:rsidR="00857A0D" w:rsidRPr="00873B6C" w14:paraId="3B27C02C" w14:textId="77777777" w:rsidTr="00C9561D">
        <w:trPr>
          <w:cantSplit/>
          <w:jc w:val="center"/>
        </w:trPr>
        <w:tc>
          <w:tcPr>
            <w:tcW w:w="5000" w:type="dxa"/>
            <w:shd w:val="clear" w:color="auto" w:fill="auto"/>
          </w:tcPr>
          <w:p w14:paraId="2A09AB34" w14:textId="77777777" w:rsidR="00857A0D" w:rsidRPr="00873B6C" w:rsidRDefault="00857A0D" w:rsidP="00857A0D">
            <w:pPr>
              <w:pStyle w:val="TAL"/>
              <w:rPr>
                <w:lang w:eastAsia="fr-FR"/>
              </w:rPr>
            </w:pPr>
            <w:r w:rsidRPr="00873B6C">
              <w:rPr>
                <w:lang w:eastAsia="fr-FR"/>
              </w:rPr>
              <w:t>&gt;&gt; Clock accuracy</w:t>
            </w:r>
          </w:p>
        </w:tc>
        <w:tc>
          <w:tcPr>
            <w:tcW w:w="1418" w:type="dxa"/>
            <w:shd w:val="clear" w:color="auto" w:fill="auto"/>
          </w:tcPr>
          <w:p w14:paraId="4FF9C17B" w14:textId="77777777" w:rsidR="00857A0D" w:rsidRPr="00873B6C" w:rsidRDefault="00857A0D" w:rsidP="00857A0D">
            <w:pPr>
              <w:pStyle w:val="TAC"/>
              <w:rPr>
                <w:lang w:eastAsia="fr-FR"/>
              </w:rPr>
            </w:pPr>
            <w:r w:rsidRPr="00873B6C">
              <w:rPr>
                <w:lang w:eastAsia="fr-FR"/>
              </w:rPr>
              <w:t>-</w:t>
            </w:r>
          </w:p>
        </w:tc>
        <w:tc>
          <w:tcPr>
            <w:tcW w:w="1338" w:type="dxa"/>
          </w:tcPr>
          <w:p w14:paraId="3B80727C" w14:textId="77777777" w:rsidR="00857A0D" w:rsidRPr="00873B6C" w:rsidRDefault="00857A0D" w:rsidP="00857A0D">
            <w:pPr>
              <w:pStyle w:val="TAC"/>
            </w:pPr>
            <w:r w:rsidRPr="00873B6C">
              <w:rPr>
                <w:lang w:eastAsia="fr-FR"/>
              </w:rPr>
              <w:t>R</w:t>
            </w:r>
          </w:p>
        </w:tc>
        <w:tc>
          <w:tcPr>
            <w:tcW w:w="2126" w:type="dxa"/>
            <w:shd w:val="clear" w:color="auto" w:fill="auto"/>
          </w:tcPr>
          <w:p w14:paraId="49B4E0FA" w14:textId="77777777" w:rsidR="00857A0D" w:rsidRPr="00873B6C" w:rsidRDefault="00857A0D" w:rsidP="00857A0D">
            <w:pPr>
              <w:pStyle w:val="TAC"/>
            </w:pPr>
            <w:r w:rsidRPr="00873B6C">
              <w:t>Table 5.27.1.12-1</w:t>
            </w:r>
          </w:p>
        </w:tc>
      </w:tr>
      <w:tr w:rsidR="00857A0D" w:rsidRPr="00873B6C" w14:paraId="4D64B718" w14:textId="77777777" w:rsidTr="00C9561D">
        <w:trPr>
          <w:cantSplit/>
          <w:jc w:val="center"/>
        </w:trPr>
        <w:tc>
          <w:tcPr>
            <w:tcW w:w="5000" w:type="dxa"/>
            <w:shd w:val="clear" w:color="auto" w:fill="auto"/>
          </w:tcPr>
          <w:p w14:paraId="7F041A4B" w14:textId="77777777" w:rsidR="00857A0D" w:rsidRPr="00873B6C" w:rsidRDefault="00857A0D" w:rsidP="00857A0D">
            <w:pPr>
              <w:pStyle w:val="TAL"/>
              <w:rPr>
                <w:lang w:eastAsia="fr-FR"/>
              </w:rPr>
            </w:pPr>
            <w:r w:rsidRPr="00873B6C">
              <w:rPr>
                <w:lang w:eastAsia="fr-FR"/>
              </w:rPr>
              <w:t>&gt; Parent time source</w:t>
            </w:r>
          </w:p>
        </w:tc>
        <w:tc>
          <w:tcPr>
            <w:tcW w:w="1418" w:type="dxa"/>
            <w:shd w:val="clear" w:color="auto" w:fill="auto"/>
          </w:tcPr>
          <w:p w14:paraId="5B71A5EE" w14:textId="77777777" w:rsidR="00857A0D" w:rsidRPr="00873B6C" w:rsidRDefault="00857A0D" w:rsidP="00857A0D">
            <w:pPr>
              <w:pStyle w:val="TAC"/>
              <w:rPr>
                <w:lang w:eastAsia="fr-FR"/>
              </w:rPr>
            </w:pPr>
            <w:r w:rsidRPr="00873B6C">
              <w:rPr>
                <w:lang w:eastAsia="fr-FR"/>
              </w:rPr>
              <w:t>-</w:t>
            </w:r>
          </w:p>
        </w:tc>
        <w:tc>
          <w:tcPr>
            <w:tcW w:w="1338" w:type="dxa"/>
          </w:tcPr>
          <w:p w14:paraId="31F790E0" w14:textId="77777777" w:rsidR="00857A0D" w:rsidRPr="00873B6C" w:rsidRDefault="00857A0D" w:rsidP="00857A0D">
            <w:pPr>
              <w:pStyle w:val="TAC"/>
            </w:pPr>
            <w:r w:rsidRPr="00873B6C">
              <w:rPr>
                <w:lang w:eastAsia="fr-FR"/>
              </w:rPr>
              <w:t>R</w:t>
            </w:r>
          </w:p>
        </w:tc>
        <w:tc>
          <w:tcPr>
            <w:tcW w:w="2126" w:type="dxa"/>
            <w:shd w:val="clear" w:color="auto" w:fill="auto"/>
          </w:tcPr>
          <w:p w14:paraId="017DAD0F" w14:textId="77777777" w:rsidR="00857A0D" w:rsidRPr="00873B6C" w:rsidRDefault="00857A0D" w:rsidP="00857A0D">
            <w:pPr>
              <w:pStyle w:val="TAC"/>
            </w:pPr>
            <w:r w:rsidRPr="00873B6C">
              <w:t>Table 5.27.1.12-1</w:t>
            </w:r>
          </w:p>
        </w:tc>
      </w:tr>
      <w:tr w:rsidR="00857A0D" w:rsidRPr="00873B6C" w14:paraId="38FA370B" w14:textId="77777777" w:rsidTr="00C9561D">
        <w:trPr>
          <w:cantSplit/>
          <w:jc w:val="center"/>
        </w:trPr>
        <w:tc>
          <w:tcPr>
            <w:tcW w:w="9882" w:type="dxa"/>
            <w:gridSpan w:val="4"/>
            <w:shd w:val="clear" w:color="auto" w:fill="auto"/>
          </w:tcPr>
          <w:p w14:paraId="2BD0F8BA" w14:textId="77777777" w:rsidR="00857A0D" w:rsidRPr="00873B6C" w:rsidRDefault="00857A0D" w:rsidP="00857A0D">
            <w:pPr>
              <w:pStyle w:val="TAN"/>
            </w:pPr>
            <w:r w:rsidRPr="00873B6C">
              <w:t>NOTE 1:</w:t>
            </w:r>
            <w:r w:rsidRPr="00873B6C">
              <w:tab/>
              <w:t>R = Read only access; RW = Read/Write access; ― = not supported.</w:t>
            </w:r>
          </w:p>
          <w:p w14:paraId="0AE2B0D2" w14:textId="77777777" w:rsidR="00857A0D" w:rsidRPr="00873B6C" w:rsidRDefault="00857A0D" w:rsidP="00857A0D">
            <w:pPr>
              <w:pStyle w:val="TAN"/>
            </w:pPr>
            <w:r w:rsidRPr="00873B6C">
              <w:t>NOTE 2:</w:t>
            </w:r>
            <w:r w:rsidRPr="00873B6C">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35A61313" w14:textId="77777777" w:rsidR="00857A0D" w:rsidRPr="00873B6C" w:rsidRDefault="00857A0D" w:rsidP="00857A0D">
            <w:pPr>
              <w:pStyle w:val="TAN"/>
            </w:pPr>
            <w:r w:rsidRPr="00873B6C">
              <w:t>NOTE 3:</w:t>
            </w:r>
            <w:r w:rsidRPr="00873B6C">
              <w:tab/>
              <w:t>If the Static Filtering Entry information is present, UPF/NW-TT can use Static Filtering Entry information for forwarding TSC traffic, as specified in clause 5.8.2.5.3.</w:t>
            </w:r>
          </w:p>
          <w:p w14:paraId="3F368EE1" w14:textId="77777777" w:rsidR="00857A0D" w:rsidRPr="00873B6C" w:rsidRDefault="00857A0D" w:rsidP="00857A0D">
            <w:pPr>
              <w:pStyle w:val="TAN"/>
            </w:pPr>
            <w:r w:rsidRPr="00873B6C">
              <w:t>NOTE 4:</w:t>
            </w:r>
            <w:r w:rsidRPr="00873B6C">
              <w:tab/>
              <w:t>DS-TT discovery configuration and DS-TT discovery information are used only when DS-TT does not support LLDP and NW-TT performs neighbor discovery on behalf of DS-TT. TSN AF indicates the discovered neighbor information for each DS-TT port to CNC.</w:t>
            </w:r>
          </w:p>
          <w:p w14:paraId="2B141273" w14:textId="77777777" w:rsidR="00857A0D" w:rsidRPr="00873B6C" w:rsidRDefault="00857A0D" w:rsidP="00857A0D">
            <w:pPr>
              <w:pStyle w:val="TAN"/>
            </w:pPr>
            <w:r w:rsidRPr="00873B6C">
              <w:t>NOTE 5:</w:t>
            </w:r>
            <w:r w:rsidRPr="00873B6C">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3C148EE8" w14:textId="77777777" w:rsidR="00857A0D" w:rsidRPr="00873B6C" w:rsidRDefault="00857A0D" w:rsidP="00857A0D">
            <w:pPr>
              <w:pStyle w:val="TAN"/>
              <w:rPr>
                <w:lang w:eastAsia="fr-FR"/>
              </w:rPr>
            </w:pPr>
            <w:r w:rsidRPr="00873B6C">
              <w:t>NOTE 6:</w:t>
            </w:r>
            <w:r w:rsidRPr="00873B6C">
              <w:tab/>
              <w:t>Enumeration of supported PTP instance types. Allowed values as defined in</w:t>
            </w:r>
            <w:r w:rsidRPr="00873B6C">
              <w:rPr>
                <w:lang w:eastAsia="fr-FR"/>
              </w:rPr>
              <w:t xml:space="preserve"> clause</w:t>
            </w:r>
            <w:r w:rsidRPr="00873B6C">
              <w:t> </w:t>
            </w:r>
            <w:r w:rsidRPr="00873B6C">
              <w:rPr>
                <w:lang w:eastAsia="fr-FR"/>
              </w:rPr>
              <w:t>8.2.1.5.5</w:t>
            </w:r>
            <w:r w:rsidRPr="00873B6C">
              <w:t xml:space="preserve"> of </w:t>
            </w:r>
            <w:r w:rsidRPr="00873B6C">
              <w:rPr>
                <w:lang w:eastAsia="fr-FR"/>
              </w:rPr>
              <w:t>IEEE Std 1588 [126].</w:t>
            </w:r>
          </w:p>
          <w:p w14:paraId="7BBB3EE8" w14:textId="77777777" w:rsidR="00857A0D" w:rsidRPr="00873B6C" w:rsidRDefault="00857A0D" w:rsidP="00857A0D">
            <w:pPr>
              <w:pStyle w:val="TAN"/>
              <w:rPr>
                <w:lang w:eastAsia="fr-FR"/>
              </w:rPr>
            </w:pPr>
            <w:r w:rsidRPr="00873B6C">
              <w:t>NOTE 7:</w:t>
            </w:r>
            <w:r w:rsidRPr="00873B6C">
              <w:tab/>
              <w:t xml:space="preserve">Enumeration of supported transport types. Allowed values: </w:t>
            </w:r>
            <w:r w:rsidRPr="00873B6C">
              <w:rPr>
                <w:lang w:eastAsia="fr-FR"/>
              </w:rPr>
              <w:t>IPv4 (as defined in IEEE Std 1588 [126] Annex C), IPv6 (as defined in IEEE Std 1588 [126] Annex D), Ethernet (as defined in Annex E of IEEE Std 1588 [126]).</w:t>
            </w:r>
          </w:p>
          <w:p w14:paraId="5969484F" w14:textId="77777777" w:rsidR="00857A0D" w:rsidRPr="00873B6C" w:rsidRDefault="00857A0D" w:rsidP="00857A0D">
            <w:pPr>
              <w:pStyle w:val="TAN"/>
            </w:pPr>
            <w:r w:rsidRPr="00873B6C">
              <w:t>NOTE 8:</w:t>
            </w:r>
            <w:r w:rsidRPr="00873B6C">
              <w:tab/>
              <w:t>Enumeration of supported PTP delay mechanisms. Allowed values as defined in</w:t>
            </w:r>
            <w:r w:rsidRPr="00873B6C">
              <w:rPr>
                <w:lang w:eastAsia="fr-FR"/>
              </w:rPr>
              <w:t xml:space="preserve"> clause </w:t>
            </w:r>
            <w:r w:rsidRPr="00873B6C">
              <w:t xml:space="preserve">8.2.15.4.4 of </w:t>
            </w:r>
            <w:r w:rsidRPr="00873B6C">
              <w:rPr>
                <w:lang w:eastAsia="fr-FR"/>
              </w:rPr>
              <w:t>IEEE Std 1588 [126]</w:t>
            </w:r>
            <w:r w:rsidRPr="00873B6C">
              <w:t>.</w:t>
            </w:r>
          </w:p>
          <w:p w14:paraId="3707EC9F" w14:textId="77777777" w:rsidR="00857A0D" w:rsidRPr="00873B6C" w:rsidRDefault="00857A0D" w:rsidP="00857A0D">
            <w:pPr>
              <w:pStyle w:val="TAN"/>
              <w:rPr>
                <w:lang w:eastAsia="fr-FR"/>
              </w:rPr>
            </w:pPr>
            <w:r w:rsidRPr="00873B6C">
              <w:t>NOTE 9:</w:t>
            </w:r>
            <w:r w:rsidRPr="00873B6C">
              <w:tab/>
              <w:t>Indicates whether NW-TT supports acting as a PTP grandmaster.</w:t>
            </w:r>
          </w:p>
          <w:p w14:paraId="460D5525" w14:textId="77777777" w:rsidR="00857A0D" w:rsidRPr="00873B6C" w:rsidRDefault="00857A0D" w:rsidP="00857A0D">
            <w:pPr>
              <w:pStyle w:val="TAN"/>
              <w:rPr>
                <w:lang w:eastAsia="fr-FR"/>
              </w:rPr>
            </w:pPr>
            <w:r w:rsidRPr="00873B6C">
              <w:t>NOTE 10:</w:t>
            </w:r>
            <w:r w:rsidRPr="00873B6C">
              <w:tab/>
              <w:t>Indicates whether NW-TT supports acting as a gPTP grandmaster.</w:t>
            </w:r>
          </w:p>
          <w:p w14:paraId="08884DED" w14:textId="77777777" w:rsidR="00857A0D" w:rsidRPr="00873B6C" w:rsidRDefault="00857A0D" w:rsidP="00857A0D">
            <w:pPr>
              <w:pStyle w:val="TAN"/>
            </w:pPr>
            <w:r w:rsidRPr="00873B6C">
              <w:t>NOTE 11:</w:t>
            </w:r>
            <w:r w:rsidRPr="00873B6C">
              <w:tab/>
              <w:t>Enumeration of supported PTP profiles, each identified by PTP profile ID, as defined in</w:t>
            </w:r>
            <w:r w:rsidRPr="00873B6C">
              <w:rPr>
                <w:lang w:eastAsia="fr-FR"/>
              </w:rPr>
              <w:t xml:space="preserve"> clause </w:t>
            </w:r>
            <w:r w:rsidRPr="00873B6C">
              <w:t xml:space="preserve">20.3.3 of </w:t>
            </w:r>
            <w:r w:rsidRPr="00873B6C">
              <w:rPr>
                <w:lang w:eastAsia="fr-FR"/>
              </w:rPr>
              <w:t>IEEE Std 1588 [126]</w:t>
            </w:r>
            <w:r w:rsidRPr="00873B6C">
              <w:t>.</w:t>
            </w:r>
          </w:p>
          <w:p w14:paraId="70223CA2" w14:textId="77777777" w:rsidR="00857A0D" w:rsidRPr="00873B6C" w:rsidRDefault="00857A0D" w:rsidP="00857A0D">
            <w:pPr>
              <w:pStyle w:val="TAN"/>
            </w:pPr>
            <w:r w:rsidRPr="00873B6C">
              <w:t>NOTE 12:</w:t>
            </w:r>
            <w:r w:rsidRPr="00873B6C">
              <w:tab/>
              <w:t>PTP profile to apply, identified by PTP profile ID, as defined in</w:t>
            </w:r>
            <w:r w:rsidRPr="00873B6C">
              <w:rPr>
                <w:lang w:eastAsia="fr-FR"/>
              </w:rPr>
              <w:t xml:space="preserve"> clause </w:t>
            </w:r>
            <w:r w:rsidRPr="00873B6C">
              <w:t xml:space="preserve">20.3.3 of </w:t>
            </w:r>
            <w:r w:rsidRPr="00873B6C">
              <w:rPr>
                <w:lang w:eastAsia="fr-FR"/>
              </w:rPr>
              <w:t>IEEE Std 1588 [126]</w:t>
            </w:r>
            <w:r w:rsidRPr="00873B6C">
              <w:t>.</w:t>
            </w:r>
          </w:p>
          <w:p w14:paraId="6C7D1440" w14:textId="77777777" w:rsidR="00857A0D" w:rsidRPr="00873B6C" w:rsidRDefault="00857A0D" w:rsidP="00857A0D">
            <w:pPr>
              <w:pStyle w:val="TAN"/>
              <w:rPr>
                <w:lang w:eastAsia="fr-FR"/>
              </w:rPr>
            </w:pPr>
            <w:r w:rsidRPr="00873B6C">
              <w:t>NOTE 13:</w:t>
            </w:r>
            <w:r w:rsidRPr="00873B6C">
              <w:tab/>
              <w:t xml:space="preserve">Transport type to use. Allowed values: </w:t>
            </w:r>
            <w:r w:rsidRPr="00873B6C">
              <w:rPr>
                <w:lang w:eastAsia="fr-FR"/>
              </w:rPr>
              <w:t>IPv4 (as defined in Annex C of IEEE Std 1588 [126]), IPv6 (as defined in IEEE Std 1588 [126] Annex D), Ethernet (as defined in Annex E of IEEE Std 1588 [126]).</w:t>
            </w:r>
          </w:p>
          <w:p w14:paraId="157ECFC4" w14:textId="77777777" w:rsidR="00857A0D" w:rsidRPr="00873B6C" w:rsidRDefault="00857A0D" w:rsidP="00857A0D">
            <w:pPr>
              <w:pStyle w:val="TAN"/>
              <w:rPr>
                <w:lang w:eastAsia="fr-FR"/>
              </w:rPr>
            </w:pPr>
            <w:r w:rsidRPr="00873B6C">
              <w:t>NOTE 14:</w:t>
            </w:r>
            <w:r w:rsidRPr="00873B6C">
              <w:tab/>
              <w:t>Indicates whether to act as grandmaster on behalf of a DS-TT port or not if 5GS is determined to be the grandmaster clock, i.e. whether to send Announce, Sync and optionally Follow_Up messages on behalf of DS-TT</w:t>
            </w:r>
            <w:r w:rsidRPr="00873B6C">
              <w:rPr>
                <w:lang w:eastAsia="fr-FR"/>
              </w:rPr>
              <w:t>.</w:t>
            </w:r>
          </w:p>
          <w:p w14:paraId="3CF55710" w14:textId="77777777" w:rsidR="00857A0D" w:rsidRPr="00873B6C" w:rsidRDefault="00857A0D" w:rsidP="00857A0D">
            <w:pPr>
              <w:pStyle w:val="TAN"/>
              <w:rPr>
                <w:lang w:eastAsia="fr-FR"/>
              </w:rPr>
            </w:pPr>
            <w:r w:rsidRPr="00873B6C">
              <w:t>NOTE 15:</w:t>
            </w:r>
            <w:r w:rsidRPr="00873B6C">
              <w:tab/>
              <w:t>The IEEE Std 802.1AS [104] data sets apply if the IEEE 802.1AS PTP profile is used; otherwise, the IEEE Std 1588 [126] data sets apply</w:t>
            </w:r>
            <w:r w:rsidRPr="00873B6C">
              <w:rPr>
                <w:lang w:eastAsia="fr-FR"/>
              </w:rPr>
              <w:t>.</w:t>
            </w:r>
          </w:p>
          <w:p w14:paraId="2B19D7E1" w14:textId="77777777" w:rsidR="00857A0D" w:rsidRPr="00873B6C" w:rsidRDefault="00857A0D" w:rsidP="00857A0D">
            <w:pPr>
              <w:pStyle w:val="TAN"/>
            </w:pPr>
            <w:r w:rsidRPr="00873B6C">
              <w:t>NOTE 16:</w:t>
            </w:r>
            <w:r w:rsidRPr="00873B6C">
              <w:tab/>
              <w:t>Specifies the default data set for each PTP instance identified by PTP instance ID within the user plane node.</w:t>
            </w:r>
          </w:p>
          <w:p w14:paraId="197BAF21" w14:textId="77777777" w:rsidR="00857A0D" w:rsidRPr="00873B6C" w:rsidRDefault="00857A0D" w:rsidP="00857A0D">
            <w:pPr>
              <w:pStyle w:val="TAN"/>
            </w:pPr>
            <w:r w:rsidRPr="00873B6C">
              <w:t>NOTE 17:</w:t>
            </w:r>
            <w:r w:rsidRPr="00873B6C">
              <w:tab/>
              <w:t>PTP Instance ID uniquely identifies a PTP instance within the user plane node.</w:t>
            </w:r>
          </w:p>
        </w:tc>
      </w:tr>
    </w:tbl>
    <w:p w14:paraId="721E615B" w14:textId="77777777" w:rsidR="00A10084" w:rsidRPr="00873B6C" w:rsidRDefault="00A10084" w:rsidP="00A10084"/>
    <w:p w14:paraId="701A8891" w14:textId="2A4681D8" w:rsidR="00B00E92" w:rsidRPr="00873B6C" w:rsidRDefault="00B00E92" w:rsidP="00323277">
      <w:pPr>
        <w:pStyle w:val="Heading1"/>
      </w:pPr>
      <w:bookmarkStart w:id="6661" w:name="_CRK_2"/>
      <w:bookmarkStart w:id="6662" w:name="_Toc201157921"/>
      <w:bookmarkEnd w:id="6661"/>
      <w:r w:rsidRPr="00873B6C">
        <w:t>K.2</w:t>
      </w:r>
      <w:r w:rsidRPr="00873B6C">
        <w:tab/>
        <w:t xml:space="preserve">Port and </w:t>
      </w:r>
      <w:r w:rsidR="00C4403A" w:rsidRPr="00873B6C">
        <w:t xml:space="preserve">user plane node </w:t>
      </w:r>
      <w:r w:rsidRPr="00873B6C">
        <w:t>management information exchange for time synchronization</w:t>
      </w:r>
      <w:bookmarkEnd w:id="6662"/>
    </w:p>
    <w:p w14:paraId="726AF5B7" w14:textId="77777777" w:rsidR="00B00E92" w:rsidRPr="00873B6C" w:rsidRDefault="00B00E92" w:rsidP="00323277">
      <w:pPr>
        <w:pStyle w:val="Heading2"/>
      </w:pPr>
      <w:bookmarkStart w:id="6663" w:name="_CRK_2_1"/>
      <w:bookmarkStart w:id="6664" w:name="_Toc201157922"/>
      <w:bookmarkEnd w:id="6663"/>
      <w:r w:rsidRPr="00873B6C">
        <w:t>K.2.1</w:t>
      </w:r>
      <w:r w:rsidRPr="00873B6C">
        <w:tab/>
        <w:t>Capability exchange</w:t>
      </w:r>
      <w:bookmarkEnd w:id="6664"/>
    </w:p>
    <w:p w14:paraId="7C4194D2" w14:textId="5CAB774F" w:rsidR="00B00E92" w:rsidRPr="00873B6C" w:rsidRDefault="00B00E92" w:rsidP="00D40151">
      <w:r w:rsidRPr="00873B6C">
        <w:t>DS-TT and NW-TT indicate time synchronization information they support inside the Port management capabilities (see Table</w:t>
      </w:r>
      <w:r w:rsidR="00A10084" w:rsidRPr="00873B6C">
        <w:t xml:space="preserve"> K</w:t>
      </w:r>
      <w:r w:rsidRPr="00873B6C">
        <w:t>.1-1).</w:t>
      </w:r>
    </w:p>
    <w:p w14:paraId="1AF8F7FD" w14:textId="1091C638" w:rsidR="00B00E92" w:rsidRPr="00873B6C" w:rsidRDefault="00B00E92" w:rsidP="00D40151">
      <w:r w:rsidRPr="00873B6C">
        <w:t xml:space="preserve">TSN AF and </w:t>
      </w:r>
      <w:r w:rsidR="005E258C" w:rsidRPr="00873B6C">
        <w:t xml:space="preserve">TSCTSF </w:t>
      </w:r>
      <w:r w:rsidRPr="00873B6C">
        <w:t xml:space="preserve">may determine the PTP functionalities supported by DS-TT and NW-TT by retrieving the following port management information or </w:t>
      </w:r>
      <w:r w:rsidR="00C4403A" w:rsidRPr="00873B6C">
        <w:t xml:space="preserve">user plane node </w:t>
      </w:r>
      <w:r w:rsidRPr="00873B6C">
        <w:t>management information, respectively:</w:t>
      </w:r>
    </w:p>
    <w:p w14:paraId="44FD9B80" w14:textId="77777777" w:rsidR="00B00E92" w:rsidRPr="00873B6C" w:rsidRDefault="00B00E92" w:rsidP="00323277">
      <w:pPr>
        <w:pStyle w:val="B1"/>
      </w:pPr>
      <w:r w:rsidRPr="00873B6C">
        <w:lastRenderedPageBreak/>
        <w:t>-</w:t>
      </w:r>
      <w:r w:rsidRPr="00873B6C">
        <w:tab/>
        <w:t>Supported PTP instance types;</w:t>
      </w:r>
    </w:p>
    <w:p w14:paraId="3FE55406" w14:textId="77777777" w:rsidR="00B00E92" w:rsidRPr="00873B6C" w:rsidRDefault="00B00E92" w:rsidP="00323277">
      <w:pPr>
        <w:pStyle w:val="B1"/>
      </w:pPr>
      <w:r w:rsidRPr="00873B6C">
        <w:t>-</w:t>
      </w:r>
      <w:r w:rsidRPr="00873B6C">
        <w:tab/>
        <w:t>Supported transport types;</w:t>
      </w:r>
    </w:p>
    <w:p w14:paraId="1DDED9AA" w14:textId="77777777" w:rsidR="00B00E92" w:rsidRPr="00873B6C" w:rsidRDefault="00B00E92" w:rsidP="00323277">
      <w:pPr>
        <w:pStyle w:val="B1"/>
      </w:pPr>
      <w:r w:rsidRPr="00873B6C">
        <w:t>-</w:t>
      </w:r>
      <w:r w:rsidRPr="00873B6C">
        <w:tab/>
        <w:t>Supported PTP delay mechanisms;</w:t>
      </w:r>
    </w:p>
    <w:p w14:paraId="08199812" w14:textId="77777777" w:rsidR="00B00E92" w:rsidRPr="00873B6C" w:rsidRDefault="00B00E92" w:rsidP="00323277">
      <w:pPr>
        <w:pStyle w:val="B1"/>
      </w:pPr>
      <w:r w:rsidRPr="00873B6C">
        <w:t>-</w:t>
      </w:r>
      <w:r w:rsidRPr="00873B6C">
        <w:tab/>
        <w:t>Grandmaster capability;</w:t>
      </w:r>
    </w:p>
    <w:p w14:paraId="61D4D43A" w14:textId="77777777" w:rsidR="00B00E92" w:rsidRPr="00873B6C" w:rsidRDefault="00B00E92" w:rsidP="00323277">
      <w:pPr>
        <w:pStyle w:val="B1"/>
      </w:pPr>
      <w:r w:rsidRPr="00873B6C">
        <w:t>-</w:t>
      </w:r>
      <w:r w:rsidRPr="00873B6C">
        <w:tab/>
        <w:t>Supported PTP profiles;</w:t>
      </w:r>
    </w:p>
    <w:p w14:paraId="445EECD0" w14:textId="77777777" w:rsidR="00B00E92" w:rsidRPr="00873B6C" w:rsidRDefault="00B00E92" w:rsidP="00323277">
      <w:pPr>
        <w:pStyle w:val="B1"/>
      </w:pPr>
      <w:r w:rsidRPr="00873B6C">
        <w:t>-</w:t>
      </w:r>
      <w:r w:rsidRPr="00873B6C">
        <w:tab/>
        <w:t>Number of supported PTP instances.</w:t>
      </w:r>
    </w:p>
    <w:p w14:paraId="095AB2EF" w14:textId="5E99E6D9" w:rsidR="00B00E92" w:rsidRPr="00873B6C" w:rsidRDefault="00B00E92" w:rsidP="00323277">
      <w:pPr>
        <w:pStyle w:val="NO"/>
      </w:pPr>
      <w:r w:rsidRPr="00873B6C">
        <w:t>NOTE:</w:t>
      </w:r>
      <w:r w:rsidRPr="00873B6C">
        <w:tab/>
        <w:t>If NW-TT or DS-TT do not indicate support for any of the PTP profiles</w:t>
      </w:r>
      <w:r w:rsidR="00A46717" w:rsidRPr="00873B6C">
        <w:t xml:space="preserve"> and PTP instance types</w:t>
      </w:r>
      <w:r w:rsidRPr="00873B6C">
        <w:t xml:space="preserve">, then TSN AF or </w:t>
      </w:r>
      <w:r w:rsidR="005E258C" w:rsidRPr="00873B6C">
        <w:t xml:space="preserve">TSCTSF </w:t>
      </w:r>
      <w:r w:rsidRPr="00873B6C">
        <w:t>assume that the NW-TT or DS-TT only support acting as a PTP Relay instance with the gPTP GM connected on N6.</w:t>
      </w:r>
    </w:p>
    <w:p w14:paraId="538DB14B" w14:textId="77806665" w:rsidR="00B00E92" w:rsidRPr="00873B6C" w:rsidRDefault="00B00E92" w:rsidP="00D40151">
      <w:r w:rsidRPr="00873B6C">
        <w:t xml:space="preserve">If DS-TT and NW-TT support the PTP Relay instance type as defined by IEEE 802.1AS [104] then DS-TT and NW-TT shall include the IEEE  802.1AS [104] PTP profile in the "Supported PTP profiles" in PMIC and </w:t>
      </w:r>
      <w:r w:rsidR="007B3699" w:rsidRPr="00873B6C">
        <w:t>U</w:t>
      </w:r>
      <w:r w:rsidRPr="00873B6C">
        <w:t>MIC, respectively.</w:t>
      </w:r>
    </w:p>
    <w:p w14:paraId="6A623776" w14:textId="13E51DDD" w:rsidR="00B00E92" w:rsidRPr="00873B6C" w:rsidRDefault="00B00E92" w:rsidP="00D40151">
      <w:r w:rsidRPr="00873B6C">
        <w:t xml:space="preserve">The TSN AF or </w:t>
      </w:r>
      <w:r w:rsidR="005E258C" w:rsidRPr="00873B6C">
        <w:t xml:space="preserve">TSCTSF </w:t>
      </w:r>
      <w:r w:rsidRPr="00873B6C">
        <w:t xml:space="preserve">may retrieve the "Number of supported PTP instances" from NW-TT via </w:t>
      </w:r>
      <w:r w:rsidR="007B3699" w:rsidRPr="00873B6C">
        <w:t>U</w:t>
      </w:r>
      <w:r w:rsidRPr="00873B6C">
        <w:t>MIC and from DS-TT via PMIC.</w:t>
      </w:r>
    </w:p>
    <w:p w14:paraId="0A0B6FCD" w14:textId="77777777" w:rsidR="00B00E92" w:rsidRPr="00873B6C" w:rsidRDefault="00B00E92" w:rsidP="00323277">
      <w:pPr>
        <w:pStyle w:val="Heading2"/>
      </w:pPr>
      <w:bookmarkStart w:id="6665" w:name="_CRK_2_2"/>
      <w:bookmarkStart w:id="6666" w:name="_Toc201157923"/>
      <w:bookmarkEnd w:id="6665"/>
      <w:r w:rsidRPr="00873B6C">
        <w:t>K.2.2</w:t>
      </w:r>
      <w:r w:rsidRPr="00873B6C">
        <w:tab/>
        <w:t>PTP Instance configuration</w:t>
      </w:r>
      <w:bookmarkEnd w:id="6666"/>
    </w:p>
    <w:p w14:paraId="11199E34" w14:textId="77777777" w:rsidR="00B00E92" w:rsidRPr="00873B6C" w:rsidRDefault="00B00E92" w:rsidP="00323277">
      <w:pPr>
        <w:pStyle w:val="Heading3"/>
      </w:pPr>
      <w:bookmarkStart w:id="6667" w:name="_CRK_2_2_1"/>
      <w:bookmarkStart w:id="6668" w:name="_Toc201157924"/>
      <w:bookmarkEnd w:id="6667"/>
      <w:r w:rsidRPr="00873B6C">
        <w:t>K.2.2.1</w:t>
      </w:r>
      <w:r w:rsidRPr="00873B6C">
        <w:tab/>
        <w:t>General</w:t>
      </w:r>
      <w:bookmarkEnd w:id="6668"/>
    </w:p>
    <w:p w14:paraId="1CC3A219" w14:textId="3F30A4C1" w:rsidR="00611C81" w:rsidRPr="00873B6C" w:rsidRDefault="00B00E92" w:rsidP="00D40151">
      <w:r w:rsidRPr="00873B6C">
        <w:t>Based on input received from external applications (CNC in case of TSN AF or any AF in case of</w:t>
      </w:r>
      <w:r w:rsidR="005E258C" w:rsidRPr="00873B6C">
        <w:t xml:space="preserve"> TSCTSF</w:t>
      </w:r>
      <w:r w:rsidRPr="00873B6C">
        <w:t xml:space="preserve">), TSN AF </w:t>
      </w:r>
      <w:r w:rsidR="007B3699" w:rsidRPr="00873B6C">
        <w:t xml:space="preserve">or </w:t>
      </w:r>
      <w:r w:rsidR="005E258C" w:rsidRPr="00873B6C">
        <w:t xml:space="preserve">TSCTSF </w:t>
      </w:r>
      <w:r w:rsidRPr="00873B6C">
        <w:t>may configure PTP instances (identified by PTP Instance ID) in a DS-TT or NW-TT by sending port management information (</w:t>
      </w:r>
      <w:r w:rsidR="00611C81" w:rsidRPr="00873B6C">
        <w:t xml:space="preserve">PMIC, </w:t>
      </w:r>
      <w:r w:rsidRPr="00873B6C">
        <w:t>see Table</w:t>
      </w:r>
      <w:r w:rsidR="00A10084" w:rsidRPr="00873B6C">
        <w:t xml:space="preserve"> K</w:t>
      </w:r>
      <w:r w:rsidRPr="00873B6C">
        <w:t>.1-1)</w:t>
      </w:r>
      <w:r w:rsidR="00611C81" w:rsidRPr="00873B6C">
        <w:t xml:space="preserve"> and user plane node management information (UMIC, see Table</w:t>
      </w:r>
      <w:r w:rsidR="00A10084" w:rsidRPr="00873B6C">
        <w:t xml:space="preserve"> K</w:t>
      </w:r>
      <w:r w:rsidR="00611C81" w:rsidRPr="00873B6C">
        <w:t>.1-2)</w:t>
      </w:r>
      <w:r w:rsidRPr="00873B6C">
        <w:t xml:space="preserve"> to DS-TT </w:t>
      </w:r>
      <w:r w:rsidR="00611C81" w:rsidRPr="00873B6C">
        <w:t xml:space="preserve">or </w:t>
      </w:r>
      <w:r w:rsidRPr="00873B6C">
        <w:t>NW-TT</w:t>
      </w:r>
      <w:r w:rsidR="00611C81" w:rsidRPr="00873B6C">
        <w:t xml:space="preserve"> as described below:</w:t>
      </w:r>
    </w:p>
    <w:p w14:paraId="6575F08D" w14:textId="502D5F17" w:rsidR="00611C81" w:rsidRPr="00873B6C" w:rsidRDefault="00611C81" w:rsidP="00611C81">
      <w:pPr>
        <w:pStyle w:val="B1"/>
      </w:pPr>
      <w:r w:rsidRPr="00873B6C">
        <w:t>-</w:t>
      </w:r>
      <w:r w:rsidRPr="00873B6C">
        <w:tab/>
        <w:t>use PMIC "PTP instance specification" for configuring DS-TT(s) for PTP instance data sets common for all PTP ports (i.e. defaultDS and TimePropertiesDS)</w:t>
      </w:r>
      <w:r w:rsidR="00472CD7" w:rsidRPr="00873B6C">
        <w:t xml:space="preserve"> and</w:t>
      </w:r>
      <w:r w:rsidRPr="00873B6C">
        <w:t xml:space="preserve"> PTP instance data sets specific for each PTP port (i.e. portDS data set);</w:t>
      </w:r>
    </w:p>
    <w:p w14:paraId="2F5B3BD6" w14:textId="02E072D7" w:rsidR="00611C81" w:rsidRPr="00873B6C" w:rsidRDefault="00611C81" w:rsidP="00611C81">
      <w:pPr>
        <w:pStyle w:val="B1"/>
      </w:pPr>
      <w:r w:rsidRPr="00873B6C">
        <w:t>-</w:t>
      </w:r>
      <w:r w:rsidRPr="00873B6C">
        <w:tab/>
        <w:t>use UMIC "PTP instance specification" for configuring NW-TT for PTP instance data sets common for all PTP ports;</w:t>
      </w:r>
    </w:p>
    <w:p w14:paraId="31509147" w14:textId="52759F35" w:rsidR="00611C81" w:rsidRPr="00873B6C" w:rsidRDefault="00611C81" w:rsidP="00611C81">
      <w:pPr>
        <w:pStyle w:val="B1"/>
      </w:pPr>
      <w:r w:rsidRPr="00873B6C">
        <w:t>-</w:t>
      </w:r>
      <w:r w:rsidRPr="00873B6C">
        <w:tab/>
        <w:t>use PMIC "PTP instance specification" for configuring NW-TT for PTP instance data sets specific for each PTP port;</w:t>
      </w:r>
    </w:p>
    <w:p w14:paraId="6EED79B9" w14:textId="77777777" w:rsidR="00611C81" w:rsidRPr="00873B6C" w:rsidRDefault="00611C81" w:rsidP="00611C81">
      <w:pPr>
        <w:pStyle w:val="B1"/>
      </w:pPr>
      <w:r w:rsidRPr="00873B6C">
        <w:t>-</w:t>
      </w:r>
      <w:r w:rsidRPr="00873B6C">
        <w:tab/>
        <w:t>use UMIC "Time synchronization information for DS-TT ports" for configuring NW-TT for PTP instance data sets specific for each PTP port for the PTP ports in DS-TT(s).</w:t>
      </w:r>
    </w:p>
    <w:p w14:paraId="212F1476" w14:textId="482D5741" w:rsidR="00B00E92" w:rsidRPr="00873B6C" w:rsidRDefault="00B00E92" w:rsidP="00D40151">
      <w:r w:rsidRPr="00873B6C">
        <w:t xml:space="preserve">TSN AF or </w:t>
      </w:r>
      <w:r w:rsidR="005E258C" w:rsidRPr="00873B6C">
        <w:t xml:space="preserve">TSCTSF </w:t>
      </w:r>
      <w:r w:rsidRPr="00873B6C">
        <w:t>may also configure PTP instances for DS-TT ports in NW-TT by sending</w:t>
      </w:r>
      <w:r w:rsidR="007B3699" w:rsidRPr="00873B6C">
        <w:t xml:space="preserve"> UMIC</w:t>
      </w:r>
      <w:r w:rsidRPr="00873B6C">
        <w:t xml:space="preserve"> (see Table</w:t>
      </w:r>
      <w:r w:rsidR="00A10084" w:rsidRPr="00873B6C">
        <w:t xml:space="preserve"> K</w:t>
      </w:r>
      <w:r w:rsidRPr="00873B6C">
        <w:t>.1-2) to NW-TT to enable NW-TT to operate as a grandmaster on behalf of DS-TT (see clause K.2.2.4 for more details).</w:t>
      </w:r>
    </w:p>
    <w:p w14:paraId="3655AE04" w14:textId="3E2D4A8A" w:rsidR="00B00E92" w:rsidRPr="00873B6C" w:rsidRDefault="00B00E92" w:rsidP="00D40151">
      <w:r w:rsidRPr="00873B6C">
        <w:t xml:space="preserve">For each PTP instance </w:t>
      </w:r>
      <w:r w:rsidR="00611C81" w:rsidRPr="00873B6C">
        <w:t xml:space="preserve">the </w:t>
      </w:r>
      <w:r w:rsidRPr="00873B6C">
        <w:t xml:space="preserve">TSN AF or </w:t>
      </w:r>
      <w:r w:rsidR="005E258C" w:rsidRPr="00873B6C">
        <w:t xml:space="preserve">TSCTSF </w:t>
      </w:r>
      <w:r w:rsidRPr="00873B6C">
        <w:t>may provide individual PTP configuration parameters or may provide a PTP profile ID to DS-TT or NW-TT.</w:t>
      </w:r>
      <w:r w:rsidR="00611C81" w:rsidRPr="00873B6C">
        <w:t xml:space="preserve"> The DS-TT and NW-TT use the default values as defined in the corresponding PTP Profile, if individual PTP configuration parameters that are covered by the PTP profile are not provided.</w:t>
      </w:r>
    </w:p>
    <w:p w14:paraId="5354407B" w14:textId="4F60B31A" w:rsidR="00B00E92" w:rsidRPr="00873B6C" w:rsidRDefault="00B00E92" w:rsidP="00323277">
      <w:pPr>
        <w:pStyle w:val="NO"/>
      </w:pPr>
      <w:r w:rsidRPr="00873B6C">
        <w:t>NOTE</w:t>
      </w:r>
      <w:r w:rsidR="00611C81" w:rsidRPr="00873B6C">
        <w:t> 1</w:t>
      </w:r>
      <w:r w:rsidRPr="00873B6C">
        <w:t>:</w:t>
      </w:r>
      <w:r w:rsidRPr="00873B6C">
        <w:tab/>
        <w:t>Even if PTP profiles are used to configure DS-TT or NW-TT, individual PTP parameters can still be configured in addition, e.g. domain numbers, transport to use, etc.</w:t>
      </w:r>
    </w:p>
    <w:p w14:paraId="7F2E9AA1" w14:textId="0E793BF9" w:rsidR="00B00E92" w:rsidRPr="00873B6C" w:rsidRDefault="00B00E92" w:rsidP="00D40151">
      <w:r w:rsidRPr="00873B6C">
        <w:t xml:space="preserve">To configure DS-TT and NW-TT to operate as a PTP relay instance, TSN AF or </w:t>
      </w:r>
      <w:r w:rsidR="005E258C" w:rsidRPr="00873B6C">
        <w:t xml:space="preserve">TSCTSF </w:t>
      </w:r>
      <w:r w:rsidRPr="00873B6C">
        <w:t>shall set the PTP profile (see Table</w:t>
      </w:r>
      <w:r w:rsidR="00A10084" w:rsidRPr="00873B6C">
        <w:t xml:space="preserve"> K</w:t>
      </w:r>
      <w:r w:rsidRPr="00873B6C">
        <w:t>.1-1) to IEEE </w:t>
      </w:r>
      <w:r w:rsidR="007B3699" w:rsidRPr="00873B6C">
        <w:t>Std </w:t>
      </w:r>
      <w:r w:rsidRPr="00873B6C">
        <w:t>802.1AS [104].</w:t>
      </w:r>
    </w:p>
    <w:p w14:paraId="50B7A845" w14:textId="30BF4EB6" w:rsidR="00CB6EDC" w:rsidRPr="00873B6C" w:rsidRDefault="00CB6EDC" w:rsidP="00611C81">
      <w:r w:rsidRPr="00873B6C">
        <w:t>DS-TT may operate as a PTP relay instance with the gPTP GM connected on N6 until the first PTP instance is configured in the DS-TT by TSN AF or TSCTSF.</w:t>
      </w:r>
    </w:p>
    <w:p w14:paraId="34C34D16" w14:textId="5AE2FAAD" w:rsidR="00611C81" w:rsidRPr="00873B6C" w:rsidRDefault="00611C81" w:rsidP="00611C81">
      <w:r w:rsidRPr="00873B6C">
        <w:t xml:space="preserve">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w:t>
      </w:r>
      <w:r w:rsidRPr="00873B6C">
        <w:lastRenderedPageBreak/>
        <w:t>instance in NW-TT via UMIC. NW-TT ensures that the clockIdentity in defaultDS in UMIC matches with the clockIdentity in the portDS.portIdentity in PMIC(s) for a particular PTP Instance ID.</w:t>
      </w:r>
    </w:p>
    <w:p w14:paraId="27BDB7F0" w14:textId="2EFC237C" w:rsidR="00611C81" w:rsidRPr="00873B6C" w:rsidRDefault="00611C81" w:rsidP="00611C81">
      <w:r w:rsidRPr="00873B6C">
        <w:t>To add a DS-TT port into an existent PTP instance in 5GS, the TSN AF or TSCTSF indicates the PTP Instance ID (to which the DS-TT port is being added) to the DS-TT in "PTP instance specification" in PMIC</w:t>
      </w:r>
      <w:r w:rsidR="00472CD7" w:rsidRPr="00873B6C">
        <w:t xml:space="preserve"> and</w:t>
      </w:r>
      <w:r w:rsidRPr="00873B6C">
        <w:t xml:space="preserve"> indicating the PTP Instance ID to the NW-TT in "Time synchronization information for DS-TT ports" in UMIC for the corresponding DS-TT port.</w:t>
      </w:r>
    </w:p>
    <w:p w14:paraId="3BEA6506" w14:textId="4404A66F" w:rsidR="00611C81" w:rsidRPr="00873B6C" w:rsidRDefault="00611C81" w:rsidP="00611C81">
      <w:r w:rsidRPr="00873B6C">
        <w:t>For a particular PTP instance in NW-TT, the same PTP Instance ID shall be used in "PTP instance specification" in PMIC, in "PTP instance specification" in UMIC</w:t>
      </w:r>
      <w:r w:rsidR="00472CD7" w:rsidRPr="00873B6C">
        <w:t xml:space="preserve"> and</w:t>
      </w:r>
      <w:r w:rsidRPr="00873B6C">
        <w:t xml:space="preserve"> in "Time synchronization information for DS-TT ports" in UMIC.</w:t>
      </w:r>
    </w:p>
    <w:p w14:paraId="655737A6" w14:textId="430FC4B5" w:rsidR="00611C81" w:rsidRPr="00873B6C" w:rsidRDefault="00611C81" w:rsidP="00461850">
      <w:pPr>
        <w:pStyle w:val="NO"/>
      </w:pPr>
      <w:r w:rsidRPr="00873B6C">
        <w:t>NOTE 2:</w:t>
      </w:r>
      <w:r w:rsidRPr="00873B6C">
        <w:tab/>
        <w:t xml:space="preserve">The TSN AF or TSCTSF creates a PTP Instance in the NW-TT or DS-TT by using the "Set parameter" operation code as described in </w:t>
      </w:r>
      <w:r w:rsidR="00972E70" w:rsidRPr="00873B6C">
        <w:t>TS 24.539 [</w:t>
      </w:r>
      <w:r w:rsidRPr="00873B6C">
        <w:t>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873B6C" w:rsidRDefault="00611C81" w:rsidP="00611C81">
      <w:r w:rsidRPr="00873B6C">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873B6C" w:rsidRDefault="00611C81" w:rsidP="00461850">
      <w:pPr>
        <w:pStyle w:val="B1"/>
      </w:pPr>
      <w:r w:rsidRPr="00873B6C">
        <w:t>a)</w:t>
      </w:r>
      <w:r w:rsidRPr="00873B6C">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873B6C" w:rsidRDefault="00611C81" w:rsidP="00461850">
      <w:pPr>
        <w:pStyle w:val="B1"/>
      </w:pPr>
      <w:r w:rsidRPr="00873B6C">
        <w:t>b)</w:t>
      </w:r>
      <w:r w:rsidRPr="00873B6C">
        <w:tab/>
        <w:t>in the NW-TT; up to the maximum number of supported PTP instances by the NW-TT.</w:t>
      </w:r>
    </w:p>
    <w:p w14:paraId="7B58DCF7" w14:textId="7D4F8B3B" w:rsidR="00D45059" w:rsidRPr="00873B6C" w:rsidRDefault="00D45059" w:rsidP="0073598F">
      <w:pPr>
        <w:pStyle w:val="NO"/>
      </w:pPr>
      <w:r w:rsidRPr="00873B6C">
        <w:t>NOTE 3:</w:t>
      </w:r>
      <w:r w:rsidRPr="00873B6C">
        <w:tab/>
        <w:t>How the TSN AF or TSCTSF assign NW-TT port(s) of one NW-TT to different PTP instances is up to implementation.</w:t>
      </w:r>
    </w:p>
    <w:p w14:paraId="4FBE5353" w14:textId="2EB40CF4" w:rsidR="00611C81" w:rsidRPr="00873B6C" w:rsidRDefault="00611C81" w:rsidP="00611C81">
      <w:r w:rsidRPr="00873B6C">
        <w:t xml:space="preserve">To remove a DS-TT port from a PTP instance in 5GS, the TSN AF or TSCTSF deletes the PTP instance in DS-TT using PMIC and in NW-TT using UMIC as specified in </w:t>
      </w:r>
      <w:r w:rsidR="00972E70" w:rsidRPr="00873B6C">
        <w:t>TS 24.539 [</w:t>
      </w:r>
      <w:r w:rsidRPr="00873B6C">
        <w:t xml:space="preserve">139]. To remove a NW-TT port from a PTP instance in 5GS, the TSN AF or TSCTSF deletes the PTP instance in NW-TT using PMIC as specified in </w:t>
      </w:r>
      <w:r w:rsidR="00972E70" w:rsidRPr="00873B6C">
        <w:t>TS 24.539 [</w:t>
      </w:r>
      <w:r w:rsidRPr="00873B6C">
        <w:t xml:space="preserve">139]. If a PTP instance in 5GS is no more needed the TSN AF or TSCTSF may delete the PTP instance in NW-TT using UMIC as specified in </w:t>
      </w:r>
      <w:r w:rsidR="00972E70" w:rsidRPr="00873B6C">
        <w:t>TS 24.539 [</w:t>
      </w:r>
      <w:r w:rsidRPr="00873B6C">
        <w:t>139].</w:t>
      </w:r>
    </w:p>
    <w:p w14:paraId="6C33EE85" w14:textId="110CFD35" w:rsidR="006D2D57" w:rsidRPr="00873B6C" w:rsidRDefault="006D2D57" w:rsidP="006D2D57">
      <w:pPr>
        <w:pStyle w:val="Heading3"/>
      </w:pPr>
      <w:bookmarkStart w:id="6669" w:name="_CRK_2_2_2"/>
      <w:bookmarkStart w:id="6670" w:name="_Toc201157925"/>
      <w:bookmarkEnd w:id="6669"/>
      <w:r w:rsidRPr="00873B6C">
        <w:t>K.2.2.2</w:t>
      </w:r>
      <w:r w:rsidRPr="00873B6C">
        <w:tab/>
        <w:t>Configuration for Sync and Announce reception timeouts</w:t>
      </w:r>
      <w:bookmarkEnd w:id="6670"/>
    </w:p>
    <w:p w14:paraId="72F834EB" w14:textId="28A4B9CD" w:rsidR="006D2D57" w:rsidRPr="00873B6C" w:rsidRDefault="006D2D57" w:rsidP="006D2D57">
      <w:r w:rsidRPr="00873B6C">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873B6C">
        <w:t xml:space="preserve">TSCTSF </w:t>
      </w:r>
      <w:r w:rsidRPr="00873B6C">
        <w:t>or TSN AF shall configure the NW-TT for the following</w:t>
      </w:r>
      <w:r w:rsidR="0053150F" w:rsidRPr="00873B6C">
        <w:t xml:space="preserve"> i</w:t>
      </w:r>
      <w:r w:rsidRPr="00873B6C">
        <w:t>nformation via PMIC for each PTP port in NW-TT and</w:t>
      </w:r>
      <w:r w:rsidR="0053150F" w:rsidRPr="00873B6C">
        <w:t xml:space="preserve"> "Time synchronization information for each DS-TT port" element in UMIC for each PTP port in</w:t>
      </w:r>
      <w:r w:rsidRPr="00873B6C">
        <w:t xml:space="preserve"> DS-TT:</w:t>
      </w:r>
    </w:p>
    <w:p w14:paraId="7409FD14" w14:textId="2C4FB8CA" w:rsidR="006D2D57" w:rsidRPr="00873B6C" w:rsidRDefault="006D2D57" w:rsidP="00323277">
      <w:pPr>
        <w:pStyle w:val="B1"/>
      </w:pPr>
      <w:r w:rsidRPr="00873B6C">
        <w:tab/>
        <w:t>portDS.announceReceiptTimeout (for time-aware system and Boundary Clock);</w:t>
      </w:r>
    </w:p>
    <w:p w14:paraId="0D973EDC" w14:textId="716867AE" w:rsidR="006D2D57" w:rsidRPr="00873B6C" w:rsidRDefault="006D2D57" w:rsidP="00323277">
      <w:pPr>
        <w:pStyle w:val="B1"/>
      </w:pPr>
      <w:r w:rsidRPr="00873B6C">
        <w:tab/>
        <w:t>portDS.syncReceiptTimeout (for time-aware system);</w:t>
      </w:r>
    </w:p>
    <w:p w14:paraId="6EF39735" w14:textId="6A1E15D3" w:rsidR="006D2D57" w:rsidRPr="00873B6C" w:rsidRDefault="006D2D57" w:rsidP="00323277">
      <w:pPr>
        <w:pStyle w:val="B1"/>
      </w:pPr>
      <w:r w:rsidRPr="00873B6C">
        <w:tab/>
        <w:t>portDS.logAnnounceInterval (for Boundary Clock).</w:t>
      </w:r>
    </w:p>
    <w:p w14:paraId="5776601C" w14:textId="1B77745C" w:rsidR="0053150F" w:rsidRPr="00873B6C" w:rsidRDefault="0053150F" w:rsidP="0053150F">
      <w:pPr>
        <w:pStyle w:val="B1"/>
      </w:pPr>
      <w:r w:rsidRPr="00873B6C">
        <w:tab/>
        <w:t>portDS.initialLogAnnounceInterval, portDS.useMgtSettableLogAnnounceInterval and portDS.mgtSettableLogAnnounceInterval (for time-aware system).</w:t>
      </w:r>
    </w:p>
    <w:p w14:paraId="29596065" w14:textId="77777777" w:rsidR="006D2D57" w:rsidRPr="00873B6C" w:rsidRDefault="006D2D57" w:rsidP="00323277">
      <w:pPr>
        <w:pStyle w:val="Heading3"/>
      </w:pPr>
      <w:bookmarkStart w:id="6671" w:name="_CRK_2_2_3"/>
      <w:bookmarkStart w:id="6672" w:name="_Toc201157926"/>
      <w:bookmarkEnd w:id="6671"/>
      <w:r w:rsidRPr="00873B6C">
        <w:t>K.2.2.3</w:t>
      </w:r>
      <w:r w:rsidRPr="00873B6C">
        <w:tab/>
        <w:t>Configuration for PTP port states</w:t>
      </w:r>
      <w:bookmarkEnd w:id="6672"/>
    </w:p>
    <w:p w14:paraId="2BBAE1DE" w14:textId="77777777" w:rsidR="006D2D57" w:rsidRPr="00873B6C" w:rsidRDefault="006D2D57" w:rsidP="006D2D57">
      <w:r w:rsidRPr="00873B6C">
        <w:t>The PTP port states may be determined by NW-TT either via:</w:t>
      </w:r>
    </w:p>
    <w:p w14:paraId="7F8283B5" w14:textId="77777777" w:rsidR="006D2D57" w:rsidRPr="00873B6C" w:rsidRDefault="006D2D57" w:rsidP="00323277">
      <w:pPr>
        <w:pStyle w:val="B1"/>
      </w:pPr>
      <w:r w:rsidRPr="00873B6C">
        <w:t>-</w:t>
      </w:r>
      <w:r w:rsidRPr="00873B6C">
        <w:tab/>
        <w:t>Method a), BMCA procedure.</w:t>
      </w:r>
    </w:p>
    <w:p w14:paraId="246EB13B" w14:textId="77777777" w:rsidR="006D2D57" w:rsidRPr="00873B6C" w:rsidRDefault="006D2D57" w:rsidP="00323277">
      <w:pPr>
        <w:pStyle w:val="B1"/>
      </w:pPr>
      <w:r w:rsidRPr="00873B6C">
        <w:t>-</w:t>
      </w:r>
      <w:r w:rsidRPr="00873B6C">
        <w:tab/>
        <w:t>Method b), local configuration.</w:t>
      </w:r>
    </w:p>
    <w:p w14:paraId="299E5EBF" w14:textId="054E7FF8" w:rsidR="006D2D57" w:rsidRPr="00873B6C" w:rsidRDefault="006D2D57" w:rsidP="006D2D57">
      <w:r w:rsidRPr="00873B6C">
        <w:lastRenderedPageBreak/>
        <w:t xml:space="preserve">When Method b) is used, the TSN AF or </w:t>
      </w:r>
      <w:r w:rsidR="005E258C" w:rsidRPr="00873B6C">
        <w:t xml:space="preserve">TSCTSF </w:t>
      </w:r>
      <w:r w:rsidRPr="00873B6C">
        <w:t xml:space="preserve">sets the defaultDS.externalPortConfigurationEnabled (per PTP instance) in </w:t>
      </w:r>
      <w:r w:rsidR="007B3699" w:rsidRPr="00873B6C">
        <w:t>U</w:t>
      </w:r>
      <w:r w:rsidRPr="00873B6C">
        <w:t>MIC to TRUE</w:t>
      </w:r>
      <w:r w:rsidR="00472CD7" w:rsidRPr="00873B6C">
        <w:t xml:space="preserve"> and</w:t>
      </w:r>
      <w:r w:rsidRPr="00873B6C">
        <w:t xml:space="preserve"> sets the value of externalPortConfigurationPortDS.desiredState (per PTP port) in </w:t>
      </w:r>
      <w:r w:rsidR="007B3699" w:rsidRPr="00873B6C">
        <w:t>U</w:t>
      </w:r>
      <w:r w:rsidRPr="00873B6C">
        <w:t>MIC</w:t>
      </w:r>
      <w:r w:rsidR="00824EE1" w:rsidRPr="00873B6C">
        <w:t xml:space="preserve"> for each DS-TT port and in PMIC for each NW-TT port</w:t>
      </w:r>
      <w:r w:rsidRPr="00873B6C">
        <w:t xml:space="preserve"> for the (g)PTP domain.</w:t>
      </w:r>
    </w:p>
    <w:p w14:paraId="3CA2D3A2" w14:textId="77777777" w:rsidR="006D2D57" w:rsidRPr="00873B6C" w:rsidRDefault="006D2D57" w:rsidP="00323277">
      <w:pPr>
        <w:pStyle w:val="Heading3"/>
      </w:pPr>
      <w:bookmarkStart w:id="6673" w:name="_CRK_2_2_4"/>
      <w:bookmarkStart w:id="6674" w:name="_Toc201157927"/>
      <w:bookmarkEnd w:id="6673"/>
      <w:r w:rsidRPr="00873B6C">
        <w:t>K.2.2.4</w:t>
      </w:r>
      <w:r w:rsidRPr="00873B6C">
        <w:tab/>
        <w:t>Configuration for PTP grandmaster function</w:t>
      </w:r>
      <w:bookmarkEnd w:id="6674"/>
    </w:p>
    <w:p w14:paraId="37E60FC7" w14:textId="3EE1C69D" w:rsidR="006D2D57" w:rsidRPr="00873B6C" w:rsidRDefault="006D2D57" w:rsidP="006D2D57">
      <w:r w:rsidRPr="00873B6C">
        <w:t xml:space="preserve">The following options may be supported (per DS-TT) for the 5GS to generate the Sync, Follow_Up and Announce messages for the </w:t>
      </w:r>
      <w:r w:rsidR="00CB6EDC" w:rsidRPr="00873B6C">
        <w:t xml:space="preserve">Leader </w:t>
      </w:r>
      <w:r w:rsidRPr="00873B6C">
        <w:t>ports on the DS-TT:</w:t>
      </w:r>
    </w:p>
    <w:p w14:paraId="4FE943AC" w14:textId="77777777" w:rsidR="006D2D57" w:rsidRPr="00873B6C" w:rsidRDefault="006D2D57" w:rsidP="00323277">
      <w:pPr>
        <w:pStyle w:val="B1"/>
      </w:pPr>
      <w:r w:rsidRPr="00873B6C">
        <w:t>a)</w:t>
      </w:r>
      <w:r w:rsidRPr="00873B6C">
        <w:tab/>
        <w:t>NW-TT generates the Sync, Follow_Up and Announce messages on behalf of DS-TT (e.g. if DS-TT does not support this).</w:t>
      </w:r>
    </w:p>
    <w:p w14:paraId="246A093E" w14:textId="77777777" w:rsidR="006D2D57" w:rsidRPr="00873B6C" w:rsidRDefault="006D2D57" w:rsidP="00323277">
      <w:pPr>
        <w:pStyle w:val="B1"/>
      </w:pPr>
      <w:r w:rsidRPr="00873B6C">
        <w:t>b)</w:t>
      </w:r>
      <w:r w:rsidRPr="00873B6C">
        <w:tab/>
        <w:t>DS-TT generates the Sync, Follow_Up and Announce messages in this DS-TT.</w:t>
      </w:r>
    </w:p>
    <w:p w14:paraId="2714DB0A" w14:textId="2A8E781D" w:rsidR="006D2D57" w:rsidRPr="00873B6C" w:rsidRDefault="006D2D57" w:rsidP="006D2D57">
      <w:r w:rsidRPr="00873B6C">
        <w:t xml:space="preserve">TSN AF and </w:t>
      </w:r>
      <w:r w:rsidR="005E258C" w:rsidRPr="00873B6C">
        <w:t xml:space="preserve">TSCTSF </w:t>
      </w:r>
      <w:r w:rsidRPr="00873B6C">
        <w:t xml:space="preserve">may use the elements in port and </w:t>
      </w:r>
      <w:r w:rsidR="00C4403A" w:rsidRPr="00873B6C">
        <w:t xml:space="preserve">user plane node </w:t>
      </w:r>
      <w:r w:rsidRPr="00873B6C">
        <w:t>management information container to determine the PTP grandmaster functionality supported by DS-TT and NW-TT and may configure the DS-TT and NW-TT ports to operate as in option a) or b) as follows:</w:t>
      </w:r>
    </w:p>
    <w:p w14:paraId="654E2B08" w14:textId="36A2BBB0" w:rsidR="006D2D57" w:rsidRPr="00873B6C" w:rsidRDefault="006D2D57" w:rsidP="00323277">
      <w:pPr>
        <w:pStyle w:val="B1"/>
      </w:pPr>
      <w:r w:rsidRPr="00873B6C">
        <w:t>-</w:t>
      </w:r>
      <w:r w:rsidRPr="00873B6C">
        <w:tab/>
        <w:t xml:space="preserve">The "PTP grandmaster capable" element and the "gPTP grandmaster capable" element in PMIC are used to indicate the support for PTP or gPTP grandmaster capability, respectively, in each DS-TT. If the TSN AF or </w:t>
      </w:r>
      <w:r w:rsidR="005E258C" w:rsidRPr="00873B6C">
        <w:t xml:space="preserve">TSCTSF </w:t>
      </w:r>
      <w:r w:rsidRPr="00873B6C">
        <w:t>determines the DS-TT supports grandmaster capability (PTP or gPTP grandmaster capable is TRUE), then either option a) or b) can be used for the PTP instance(s) in the DS-TT. Otherwise, only option a) can be used for the PTP instance(s) in the DS-TT.</w:t>
      </w:r>
    </w:p>
    <w:p w14:paraId="60ED0CE4" w14:textId="4192884C" w:rsidR="006D2D57" w:rsidRPr="00873B6C" w:rsidRDefault="006D2D57" w:rsidP="00323277">
      <w:pPr>
        <w:pStyle w:val="B1"/>
      </w:pPr>
      <w:r w:rsidRPr="00873B6C">
        <w:t>-</w:t>
      </w:r>
      <w:r w:rsidRPr="00873B6C">
        <w:tab/>
        <w:t xml:space="preserve">To enable option a) for PTP ports in DS-TT, the TSN AF or </w:t>
      </w:r>
      <w:r w:rsidR="005E258C" w:rsidRPr="00873B6C">
        <w:t xml:space="preserve">TSCTSF </w:t>
      </w:r>
      <w:r w:rsidRPr="00873B6C">
        <w:t xml:space="preserve">sets the element "Grandmaster on behalf of DS-TT enabled" TRUE (per PTP instance per DS-TT) in </w:t>
      </w:r>
      <w:r w:rsidR="00A46717" w:rsidRPr="00873B6C">
        <w:t>U</w:t>
      </w:r>
      <w:r w:rsidRPr="00873B6C">
        <w:t>MIC for the respective DS-TT port</w:t>
      </w:r>
      <w:r w:rsidR="00472CD7" w:rsidRPr="00873B6C">
        <w:t xml:space="preserve"> and</w:t>
      </w:r>
      <w:r w:rsidRPr="00873B6C">
        <w:t xml:space="preserve"> the TSN AF or </w:t>
      </w:r>
      <w:r w:rsidR="005E258C" w:rsidRPr="00873B6C">
        <w:t xml:space="preserve">TSCTSF </w:t>
      </w:r>
      <w:r w:rsidRPr="00873B6C">
        <w:t>sets the element "Grandmaster enabled" FALSE (per PTP instance per DS-TT) in PMIC to the respective DS-TT port.</w:t>
      </w:r>
    </w:p>
    <w:p w14:paraId="1CE8FDC1" w14:textId="2BD86C4C" w:rsidR="006D2D57" w:rsidRPr="00873B6C" w:rsidRDefault="006D2D57" w:rsidP="00323277">
      <w:pPr>
        <w:pStyle w:val="B1"/>
      </w:pPr>
      <w:r w:rsidRPr="00873B6C">
        <w:t>-</w:t>
      </w:r>
      <w:r w:rsidRPr="00873B6C">
        <w:tab/>
        <w:t xml:space="preserve">To enable option b) for PTP ports in DS-TT, the TSN AF or </w:t>
      </w:r>
      <w:r w:rsidR="005E258C" w:rsidRPr="00873B6C">
        <w:t xml:space="preserve">TSCTSF </w:t>
      </w:r>
      <w:r w:rsidRPr="00873B6C">
        <w:t xml:space="preserve">sets the element "Grandmaster on behalf of DS-TT enabled" FALSE in </w:t>
      </w:r>
      <w:r w:rsidR="00A46717" w:rsidRPr="00873B6C">
        <w:t>U</w:t>
      </w:r>
      <w:r w:rsidRPr="00873B6C">
        <w:t>MIC (per PTP instance per DS-TT) for the respective port</w:t>
      </w:r>
      <w:r w:rsidR="00472CD7" w:rsidRPr="00873B6C">
        <w:t xml:space="preserve"> and</w:t>
      </w:r>
      <w:r w:rsidRPr="00873B6C">
        <w:t xml:space="preserve"> the TSN AF or </w:t>
      </w:r>
      <w:r w:rsidR="005E258C" w:rsidRPr="00873B6C">
        <w:t xml:space="preserve">TSCTSF </w:t>
      </w:r>
      <w:r w:rsidRPr="00873B6C">
        <w:t>sets the element "Grandmaster enabled" TRUE (per PTP instance per DS-TT) in PMIC to the respective DS-TT port.</w:t>
      </w:r>
    </w:p>
    <w:p w14:paraId="709C59A4" w14:textId="768D3AA4" w:rsidR="006D2D57" w:rsidRPr="00873B6C" w:rsidRDefault="006D2D57" w:rsidP="00323277">
      <w:pPr>
        <w:pStyle w:val="B1"/>
      </w:pPr>
      <w:r w:rsidRPr="00873B6C">
        <w:t>-</w:t>
      </w:r>
      <w:r w:rsidRPr="00873B6C">
        <w:tab/>
        <w:t xml:space="preserve">To enable either option a) or option b) for a PTP instance, the TSN AF or </w:t>
      </w:r>
      <w:r w:rsidR="005E258C" w:rsidRPr="00873B6C">
        <w:t xml:space="preserve">TSCTSF </w:t>
      </w:r>
      <w:r w:rsidRPr="00873B6C">
        <w:t>sets the element "Grandmaster candidate enabled" TRUE (per PTP instance) in</w:t>
      </w:r>
      <w:r w:rsidR="00824EE1" w:rsidRPr="00873B6C">
        <w:t xml:space="preserve"> UMIC</w:t>
      </w:r>
      <w:r w:rsidRPr="00873B6C">
        <w:t>.</w:t>
      </w:r>
    </w:p>
    <w:p w14:paraId="5BB55DFD" w14:textId="53B74D0E" w:rsidR="006D2D57" w:rsidRPr="00873B6C" w:rsidRDefault="006D2D57" w:rsidP="00323277">
      <w:pPr>
        <w:pStyle w:val="B1"/>
      </w:pPr>
      <w:r w:rsidRPr="00873B6C">
        <w:t>-</w:t>
      </w:r>
      <w:r w:rsidRPr="00873B6C">
        <w:tab/>
        <w:t xml:space="preserve">When option b) is used for one or more PTP ports in DS-TT(s), the TSN AF or </w:t>
      </w:r>
      <w:r w:rsidR="005E258C" w:rsidRPr="00873B6C">
        <w:t xml:space="preserve">TSCTSF </w:t>
      </w:r>
      <w:r w:rsidRPr="00873B6C">
        <w:t xml:space="preserve">shall use the elements in defaultDS in PMIC for the respective DS-TT(s) and in </w:t>
      </w:r>
      <w:r w:rsidR="00A46717" w:rsidRPr="00873B6C">
        <w:t>U</w:t>
      </w:r>
      <w:r w:rsidRPr="00873B6C">
        <w:t>MIC for NW-TT to ensure that all PTP ports in the DS-TT(s) and NW-TT in particular PTP instance are distributing the same values of grandmasterPriority1, grandmasterClockQuality, grandmasterPriority2, grandmasterIdentity</w:t>
      </w:r>
      <w:r w:rsidR="00472CD7" w:rsidRPr="00873B6C">
        <w:t xml:space="preserve"> and</w:t>
      </w:r>
      <w:r w:rsidRPr="00873B6C">
        <w:t xml:space="preserve"> timeSource message fields in Announce messages.</w:t>
      </w:r>
    </w:p>
    <w:p w14:paraId="42386B11" w14:textId="77777777" w:rsidR="006D2D57" w:rsidRPr="00873B6C" w:rsidRDefault="006D2D57" w:rsidP="00323277">
      <w:pPr>
        <w:pStyle w:val="Heading3"/>
      </w:pPr>
      <w:bookmarkStart w:id="6675" w:name="_CRK_2_2_5"/>
      <w:bookmarkStart w:id="6676" w:name="_Toc201157928"/>
      <w:bookmarkEnd w:id="6675"/>
      <w:r w:rsidRPr="00873B6C">
        <w:t>K.2.2.5</w:t>
      </w:r>
      <w:r w:rsidRPr="00873B6C">
        <w:tab/>
        <w:t>Configuration for Sync and Announce intervals</w:t>
      </w:r>
      <w:bookmarkEnd w:id="6676"/>
    </w:p>
    <w:p w14:paraId="0A274713" w14:textId="147D974A" w:rsidR="006D2D57" w:rsidRPr="00873B6C" w:rsidRDefault="006D2D57" w:rsidP="006D2D57">
      <w:r w:rsidRPr="00873B6C">
        <w:t xml:space="preserve">The TSN AF or </w:t>
      </w:r>
      <w:r w:rsidR="005E258C" w:rsidRPr="00873B6C">
        <w:t xml:space="preserve">TSCTSF </w:t>
      </w:r>
      <w:r w:rsidRPr="00873B6C">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873B6C">
        <w:t xml:space="preserve">TSCTSF </w:t>
      </w:r>
      <w:r w:rsidRPr="00873B6C">
        <w:t>or TSN AF configures those values as follows:</w:t>
      </w:r>
    </w:p>
    <w:p w14:paraId="692E0637" w14:textId="3121A848" w:rsidR="006D2D57" w:rsidRPr="00873B6C" w:rsidRDefault="006D2D57" w:rsidP="00323277">
      <w:pPr>
        <w:pStyle w:val="B1"/>
      </w:pPr>
      <w:r w:rsidRPr="00873B6C">
        <w:t>-</w:t>
      </w:r>
      <w:r w:rsidRPr="00873B6C">
        <w:tab/>
      </w:r>
      <w:r w:rsidR="005E258C" w:rsidRPr="00873B6C">
        <w:t xml:space="preserve">TSCTSF </w:t>
      </w:r>
      <w:r w:rsidRPr="00873B6C">
        <w:t>or TSN AF use PMIC to configure the values for the PTP ports in NW-TT.</w:t>
      </w:r>
    </w:p>
    <w:p w14:paraId="21DB00E5" w14:textId="69B630AA" w:rsidR="006D2D57" w:rsidRPr="00873B6C" w:rsidRDefault="006D2D57" w:rsidP="00323277">
      <w:pPr>
        <w:pStyle w:val="B1"/>
      </w:pPr>
      <w:r w:rsidRPr="00873B6C">
        <w:t>-</w:t>
      </w:r>
      <w:r w:rsidRPr="00873B6C">
        <w:tab/>
      </w:r>
      <w:r w:rsidR="005E258C" w:rsidRPr="00873B6C">
        <w:t xml:space="preserve">TSCTSF </w:t>
      </w:r>
      <w:r w:rsidRPr="00873B6C">
        <w:t xml:space="preserve">or TSN AF use the "Time synchronization information for each DS-TT port" element in </w:t>
      </w:r>
      <w:r w:rsidR="007B3699" w:rsidRPr="00873B6C">
        <w:t>U</w:t>
      </w:r>
      <w:r w:rsidRPr="00873B6C">
        <w:t>MIC to configure the values for PTP ports in DS-TT(s) if NW-TT acts as GM on behalf of those DS-TTs.</w:t>
      </w:r>
    </w:p>
    <w:p w14:paraId="2C7F89D3" w14:textId="38B26FD8" w:rsidR="006D2D57" w:rsidRPr="00873B6C" w:rsidRDefault="006D2D57" w:rsidP="00323277">
      <w:pPr>
        <w:pStyle w:val="B1"/>
      </w:pPr>
      <w:r w:rsidRPr="00873B6C">
        <w:t>-</w:t>
      </w:r>
      <w:r w:rsidRPr="00873B6C">
        <w:tab/>
      </w:r>
      <w:r w:rsidR="005E258C" w:rsidRPr="00873B6C">
        <w:t xml:space="preserve">TSCTSF </w:t>
      </w:r>
      <w:r w:rsidRPr="00873B6C">
        <w:t>or TSN AF use PMIC to configure the values for the PTP ports in DS-TT if the DS-TT is capable of acting as a GM.</w:t>
      </w:r>
    </w:p>
    <w:p w14:paraId="5785001B" w14:textId="0D75DDE6" w:rsidR="006D2D57" w:rsidRPr="00873B6C" w:rsidRDefault="006D2D57" w:rsidP="006D2D57">
      <w:r w:rsidRPr="00873B6C">
        <w:t xml:space="preserve">When the NW-TT generates the (g)PTP Sync messages on behalf of the DS-TT, the NW-TT uses the values in the element "Time synchronization information for each DS-TT port" in </w:t>
      </w:r>
      <w:r w:rsidR="007B3699" w:rsidRPr="00873B6C">
        <w:t>U</w:t>
      </w:r>
      <w:r w:rsidRPr="00873B6C">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873B6C" w:rsidRDefault="006D2D57" w:rsidP="006D2D57">
      <w:r w:rsidRPr="00873B6C">
        <w:lastRenderedPageBreak/>
        <w:t xml:space="preserve">The TSN AF or </w:t>
      </w:r>
      <w:r w:rsidR="005E258C" w:rsidRPr="00873B6C">
        <w:t xml:space="preserve">TSCTSF </w:t>
      </w:r>
      <w:r w:rsidRPr="00873B6C">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873B6C">
        <w:t xml:space="preserve">TSCTSF </w:t>
      </w:r>
      <w:r w:rsidRPr="00873B6C">
        <w:t>or TSN AF configures those values as follows:</w:t>
      </w:r>
    </w:p>
    <w:p w14:paraId="45DB0EB8" w14:textId="476C3441" w:rsidR="006D2D57" w:rsidRPr="00873B6C" w:rsidRDefault="006D2D57" w:rsidP="00323277">
      <w:pPr>
        <w:pStyle w:val="B1"/>
      </w:pPr>
      <w:r w:rsidRPr="00873B6C">
        <w:t>-</w:t>
      </w:r>
      <w:r w:rsidRPr="00873B6C">
        <w:tab/>
      </w:r>
      <w:r w:rsidR="005E258C" w:rsidRPr="00873B6C">
        <w:t xml:space="preserve">TSCTSF </w:t>
      </w:r>
      <w:r w:rsidRPr="00873B6C">
        <w:t>or TSN AF use PMIC to configure the values for the PTP ports in NW-TT.</w:t>
      </w:r>
    </w:p>
    <w:p w14:paraId="4797E70D" w14:textId="7DCE88DB" w:rsidR="006D2D57" w:rsidRPr="00873B6C" w:rsidRDefault="006D2D57" w:rsidP="00323277">
      <w:pPr>
        <w:pStyle w:val="B1"/>
      </w:pPr>
      <w:r w:rsidRPr="00873B6C">
        <w:t>-</w:t>
      </w:r>
      <w:r w:rsidRPr="00873B6C">
        <w:tab/>
      </w:r>
      <w:r w:rsidR="005E258C" w:rsidRPr="00873B6C">
        <w:t xml:space="preserve">TSCTSF </w:t>
      </w:r>
      <w:r w:rsidRPr="00873B6C">
        <w:t xml:space="preserve">or TSN AF use the "Time synchronization information for each DS-TT port" element in </w:t>
      </w:r>
      <w:r w:rsidR="007B3699" w:rsidRPr="00873B6C">
        <w:t>U</w:t>
      </w:r>
      <w:r w:rsidRPr="00873B6C">
        <w:t>MIC to configure the values for PTP ports in DS-TT(s) if NW-TT acts as GM on behalf of those DS-TTs.</w:t>
      </w:r>
    </w:p>
    <w:p w14:paraId="5828F392" w14:textId="0EDC6567" w:rsidR="006D2D57" w:rsidRPr="00873B6C" w:rsidRDefault="006D2D57" w:rsidP="00323277">
      <w:pPr>
        <w:pStyle w:val="B1"/>
      </w:pPr>
      <w:r w:rsidRPr="00873B6C">
        <w:t>-</w:t>
      </w:r>
      <w:r w:rsidRPr="00873B6C">
        <w:tab/>
      </w:r>
      <w:r w:rsidR="005E258C" w:rsidRPr="00873B6C">
        <w:t xml:space="preserve">TSCTSF </w:t>
      </w:r>
      <w:r w:rsidRPr="00873B6C">
        <w:t>or TSN AF use PMIC to configure the values for the PTP ports in DS-TT if the DS-TT is capable of acting as a GM.</w:t>
      </w:r>
    </w:p>
    <w:p w14:paraId="6B5B479C" w14:textId="7765449F" w:rsidR="006D2D57" w:rsidRPr="00873B6C" w:rsidRDefault="006D2D57" w:rsidP="006D2D57">
      <w:r w:rsidRPr="00873B6C">
        <w:t xml:space="preserve">When the NW-TT generates the (g)PTP Announce messages on behalf of the DS-TT, the NW-TT uses the values in the element "Time synchronization information for each DS-TT port" in </w:t>
      </w:r>
      <w:r w:rsidR="007B3699" w:rsidRPr="00873B6C">
        <w:t>U</w:t>
      </w:r>
      <w:r w:rsidRPr="00873B6C">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873B6C" w:rsidRDefault="00607A94" w:rsidP="00607A94">
      <w:pPr>
        <w:pStyle w:val="Heading3"/>
      </w:pPr>
      <w:bookmarkStart w:id="6677" w:name="_CRK_2_2_6"/>
      <w:bookmarkStart w:id="6678" w:name="_Toc201157929"/>
      <w:bookmarkEnd w:id="6677"/>
      <w:r w:rsidRPr="00873B6C">
        <w:t>K.2.2.6</w:t>
      </w:r>
      <w:r w:rsidRPr="00873B6C">
        <w:tab/>
        <w:t>Configuration for transport protocols</w:t>
      </w:r>
      <w:bookmarkEnd w:id="6678"/>
    </w:p>
    <w:p w14:paraId="45E66EFC" w14:textId="6D518248" w:rsidR="00607A94" w:rsidRPr="00873B6C" w:rsidRDefault="00607A94" w:rsidP="00607A94">
      <w:r w:rsidRPr="00873B6C">
        <w:t>The procedure described in this clause is applicable when the PTP Profile that is used for the PTP instance in 5GS defines multiple permitted transport protocols.</w:t>
      </w:r>
    </w:p>
    <w:p w14:paraId="11E8098D" w14:textId="28DF2C46" w:rsidR="00607A94" w:rsidRPr="00873B6C" w:rsidRDefault="00607A94" w:rsidP="00607A94">
      <w:r w:rsidRPr="00873B6C">
        <w:t xml:space="preserve">TSN AF </w:t>
      </w:r>
      <w:r w:rsidR="007B3699" w:rsidRPr="00873B6C">
        <w:t xml:space="preserve">or TSCTSF </w:t>
      </w:r>
      <w:r w:rsidRPr="00873B6C">
        <w:t xml:space="preserve">may use the element "Supported transport types" in port management information container (per DS-TT) to determine the supported transport types in the DS-TT. TSN AF </w:t>
      </w:r>
      <w:r w:rsidR="007B3699" w:rsidRPr="00873B6C">
        <w:t xml:space="preserve">or TSCTSF </w:t>
      </w:r>
      <w:r w:rsidRPr="00873B6C">
        <w:t>may use the element "Supported transport types" in</w:t>
      </w:r>
      <w:r w:rsidR="00824EE1" w:rsidRPr="00873B6C">
        <w:t xml:space="preserve"> UMIC</w:t>
      </w:r>
      <w:r w:rsidRPr="00873B6C">
        <w:t xml:space="preserve"> (per NW-TT) to determine the supported transport types in the NW-TT.</w:t>
      </w:r>
    </w:p>
    <w:p w14:paraId="06BDBC2C" w14:textId="0AB25078" w:rsidR="00607A94" w:rsidRPr="00873B6C" w:rsidRDefault="00607A94" w:rsidP="00607A94">
      <w:r w:rsidRPr="00873B6C">
        <w:t xml:space="preserve">The TSN AF or </w:t>
      </w:r>
      <w:r w:rsidR="007B3699" w:rsidRPr="00873B6C">
        <w:t xml:space="preserve">TSCTSF </w:t>
      </w:r>
      <w:r w:rsidRPr="00873B6C">
        <w:t xml:space="preserve">may use the element "Transport type" (per PTP instance) in PMIC to configure the transport protocol in use for the PTP instance in DS-TT. The TSN AF or </w:t>
      </w:r>
      <w:r w:rsidR="007B3699" w:rsidRPr="00873B6C">
        <w:t xml:space="preserve">TSCTSF </w:t>
      </w:r>
      <w:r w:rsidRPr="00873B6C">
        <w:t xml:space="preserve">may use the element "Transport type" (per PTP instance) in </w:t>
      </w:r>
      <w:r w:rsidR="007B3699" w:rsidRPr="00873B6C">
        <w:t>U</w:t>
      </w:r>
      <w:r w:rsidRPr="00873B6C">
        <w:t>MIC to configure the transport protocol in use for the PTP instance in NW-TT.</w:t>
      </w:r>
    </w:p>
    <w:p w14:paraId="71FBB08B" w14:textId="77777777" w:rsidR="00607A94" w:rsidRPr="00873B6C" w:rsidRDefault="00607A94" w:rsidP="00607A94">
      <w:r w:rsidRPr="00873B6C">
        <w:t>The PTP instance shall be configured to use one of the following transport protocols:</w:t>
      </w:r>
    </w:p>
    <w:p w14:paraId="4755B224" w14:textId="43515CEC" w:rsidR="00607A94" w:rsidRPr="00873B6C" w:rsidRDefault="00607A94" w:rsidP="00562E84">
      <w:pPr>
        <w:pStyle w:val="B1"/>
      </w:pPr>
      <w:r w:rsidRPr="00873B6C">
        <w:t>1)</w:t>
      </w:r>
      <w:r w:rsidRPr="00873B6C">
        <w:tab/>
        <w:t>Ethernet as described in Annex E of IEEE Std 1588 [126]. The Ethertype as defined for PTP shall be used. The related Ethernet frames carry the PTP multicast Ethernet destination MAC address.</w:t>
      </w:r>
    </w:p>
    <w:p w14:paraId="3964204E" w14:textId="7CC65B79" w:rsidR="00607A94" w:rsidRPr="00873B6C" w:rsidRDefault="00607A94" w:rsidP="00562E84">
      <w:pPr>
        <w:pStyle w:val="B1"/>
      </w:pPr>
      <w:r w:rsidRPr="00873B6C">
        <w:t>2)</w:t>
      </w:r>
      <w:r w:rsidRPr="00873B6C">
        <w:tab/>
        <w:t>UDP over IPv4 as described in Annex C of IEEE Std 1588 [126],</w:t>
      </w:r>
    </w:p>
    <w:p w14:paraId="70C86843" w14:textId="59D5B7FE" w:rsidR="00607A94" w:rsidRPr="00873B6C" w:rsidRDefault="00607A94" w:rsidP="00562E84">
      <w:pPr>
        <w:pStyle w:val="B1"/>
      </w:pPr>
      <w:r w:rsidRPr="00873B6C">
        <w:t>3)</w:t>
      </w:r>
      <w:r w:rsidRPr="00873B6C">
        <w:tab/>
        <w:t>UDP over IPv6 as described in Annex D of IEEE Std 1588 [126].</w:t>
      </w:r>
    </w:p>
    <w:p w14:paraId="283904D7" w14:textId="75C5C67C" w:rsidR="00607A94" w:rsidRPr="00873B6C" w:rsidRDefault="00607A94" w:rsidP="00607A94">
      <w:r w:rsidRPr="00873B6C">
        <w:t xml:space="preserve">Option 1 applies to Ethernet PDU Session type. Options 2 and 3 apply to IP PDU Session type </w:t>
      </w:r>
      <w:r w:rsidR="007B3699" w:rsidRPr="00873B6C">
        <w:t xml:space="preserve">or </w:t>
      </w:r>
      <w:r w:rsidRPr="00873B6C">
        <w:t>Ethernet PDU Session type with IP payload.</w:t>
      </w:r>
    </w:p>
    <w:p w14:paraId="66910E18" w14:textId="47B24B6A" w:rsidR="00B96062" w:rsidRPr="00873B6C" w:rsidRDefault="00B96062" w:rsidP="00B96062">
      <w:pPr>
        <w:pStyle w:val="Heading8"/>
      </w:pPr>
      <w:bookmarkStart w:id="6679" w:name="_CRAnnexLnormative"/>
      <w:bookmarkEnd w:id="6679"/>
      <w:r w:rsidRPr="00873B6C">
        <w:br w:type="page"/>
      </w:r>
      <w:bookmarkStart w:id="6680" w:name="_Toc201157930"/>
      <w:r w:rsidRPr="00873B6C">
        <w:lastRenderedPageBreak/>
        <w:t>Annex L (normative):</w:t>
      </w:r>
      <w:r w:rsidRPr="00873B6C">
        <w:br/>
        <w:t>Support of GERAN/UTRAN access</w:t>
      </w:r>
      <w:bookmarkEnd w:id="6680"/>
    </w:p>
    <w:p w14:paraId="1CA88BEF" w14:textId="77777777" w:rsidR="00B96062" w:rsidRPr="00873B6C" w:rsidRDefault="00B96062" w:rsidP="00B96062">
      <w:r w:rsidRPr="00873B6C">
        <w:t>This annex applies when the SMF+PGW-C is enhanced to support UE accessing the network via GERAN/UTRAN over Gn/Gp interface. For this scenario, the SMF+PGW-C uses N7 interface to interact with PCF and the N40 interface to interact with CHF.</w:t>
      </w:r>
    </w:p>
    <w:p w14:paraId="01AAC1F3" w14:textId="33402A11" w:rsidR="00B96062" w:rsidRPr="00873B6C" w:rsidRDefault="00B96062" w:rsidP="00562E84">
      <w:pPr>
        <w:pStyle w:val="NO"/>
      </w:pPr>
      <w:r w:rsidRPr="00873B6C">
        <w:t>NOTE 1:</w:t>
      </w:r>
      <w:r w:rsidRPr="00873B6C">
        <w:tab/>
        <w:t xml:space="preserve">For the interface with the serving node of the UE, the SMF+PGW-C is assumed to behave as the Control Plane of the PGW described in Annex D of </w:t>
      </w:r>
      <w:r w:rsidR="00972E70" w:rsidRPr="00873B6C">
        <w:t>TS 23.401 [</w:t>
      </w:r>
      <w:r w:rsidRPr="00873B6C">
        <w:t>26].</w:t>
      </w:r>
    </w:p>
    <w:p w14:paraId="264DBF3C" w14:textId="623175BB" w:rsidR="00B96062" w:rsidRPr="00873B6C" w:rsidRDefault="00B96062" w:rsidP="00B96062">
      <w:r w:rsidRPr="00873B6C">
        <w:t xml:space="preserve">SMF+PGW-C selection by SGSN is specified in Annex G of </w:t>
      </w:r>
      <w:r w:rsidR="00972E70" w:rsidRPr="00873B6C">
        <w:t>TS 23.502 [</w:t>
      </w:r>
      <w:r w:rsidR="00695DF1" w:rsidRPr="00873B6C">
        <w:t>3</w:t>
      </w:r>
      <w:r w:rsidRPr="00873B6C">
        <w:t>].</w:t>
      </w:r>
    </w:p>
    <w:p w14:paraId="74B398ED" w14:textId="5EA6240E" w:rsidR="00B96062" w:rsidRPr="00873B6C" w:rsidRDefault="00B96062" w:rsidP="00B96062">
      <w:r w:rsidRPr="00873B6C">
        <w:t xml:space="preserve">The SMF+PGW-C interacting with PCF for GERAN/UTRAN access is specified in Annex G of </w:t>
      </w:r>
      <w:r w:rsidR="00972E70" w:rsidRPr="00873B6C">
        <w:t>TS 23.502 [</w:t>
      </w:r>
      <w:r w:rsidR="00695DF1" w:rsidRPr="00873B6C">
        <w:t>3</w:t>
      </w:r>
      <w:r w:rsidRPr="00873B6C">
        <w:t>].</w:t>
      </w:r>
    </w:p>
    <w:p w14:paraId="4EE3EF38" w14:textId="00554264" w:rsidR="00B96062" w:rsidRPr="00873B6C" w:rsidRDefault="00B96062" w:rsidP="00B96062">
      <w:r w:rsidRPr="00873B6C">
        <w:t xml:space="preserve">The functional description for SMF+PGW-C interacting with PCF to support GERAN/UTRAN access is specified in </w:t>
      </w:r>
      <w:r w:rsidR="00972E70" w:rsidRPr="00873B6C">
        <w:t>TS 23.503 [</w:t>
      </w:r>
      <w:r w:rsidR="00695DF1" w:rsidRPr="00873B6C">
        <w:t>45</w:t>
      </w:r>
      <w:r w:rsidRPr="00873B6C">
        <w:t>].</w:t>
      </w:r>
    </w:p>
    <w:p w14:paraId="010A895E" w14:textId="14B22F3B" w:rsidR="00B96062" w:rsidRPr="00873B6C" w:rsidRDefault="00B96062" w:rsidP="00562E84">
      <w:pPr>
        <w:pStyle w:val="NO"/>
      </w:pPr>
      <w:r w:rsidRPr="00873B6C">
        <w:t>NOTE 2:</w:t>
      </w:r>
      <w:r w:rsidRPr="00873B6C">
        <w:tab/>
      </w:r>
      <w:r w:rsidR="0053150F" w:rsidRPr="00873B6C">
        <w:t xml:space="preserve">Support for </w:t>
      </w:r>
      <w:r w:rsidRPr="00873B6C">
        <w:t>IP address preservation upon mobility between 5GS and GERAN/UTRAN</w:t>
      </w:r>
      <w:r w:rsidR="0053150F" w:rsidRPr="00873B6C">
        <w:t xml:space="preserve"> for PDN sessions established in EPC</w:t>
      </w:r>
      <w:r w:rsidRPr="00873B6C">
        <w:t xml:space="preserve"> is described in clause 5.17.2.4.</w:t>
      </w:r>
      <w:r w:rsidR="0053150F" w:rsidRPr="00873B6C">
        <w:t xml:space="preserve"> IP address preservation is not supported for direct mobility between 5GS and GERAN/UTRAN, nor for indirect mobility cases when the PDN session is established in 5GS or in GERAN/UTRAN.</w:t>
      </w:r>
    </w:p>
    <w:p w14:paraId="00277EA7" w14:textId="0AA9E7DD" w:rsidR="00B96062" w:rsidRPr="00873B6C" w:rsidRDefault="00B96062" w:rsidP="00B96062">
      <w:r w:rsidRPr="00873B6C">
        <w:t xml:space="preserve">The charging services on SMF+PGW-C interactions with CHF for GERAN/UTRAN access are specified in </w:t>
      </w:r>
      <w:r w:rsidR="00972E70" w:rsidRPr="00873B6C">
        <w:t>TS 32.255 [</w:t>
      </w:r>
      <w:r w:rsidRPr="00873B6C">
        <w:t>68].</w:t>
      </w:r>
    </w:p>
    <w:p w14:paraId="68C937A3" w14:textId="77777777" w:rsidR="00A92B4B" w:rsidRPr="00873B6C" w:rsidRDefault="00A92B4B">
      <w:pPr>
        <w:spacing w:after="0"/>
        <w:rPr>
          <w:rFonts w:ascii="Arial" w:hAnsi="Arial"/>
          <w:sz w:val="36"/>
        </w:rPr>
      </w:pPr>
      <w:r w:rsidRPr="00873B6C">
        <w:br w:type="page"/>
      </w:r>
    </w:p>
    <w:p w14:paraId="75CD736D" w14:textId="229793DD" w:rsidR="00A92B4B" w:rsidRPr="00873B6C" w:rsidRDefault="00A92B4B" w:rsidP="00D40151">
      <w:pPr>
        <w:pStyle w:val="Heading8"/>
      </w:pPr>
      <w:bookmarkStart w:id="6681" w:name="_CRAnnexMnormative"/>
      <w:bookmarkStart w:id="6682" w:name="_Toc201157931"/>
      <w:bookmarkEnd w:id="6681"/>
      <w:r w:rsidRPr="00873B6C">
        <w:lastRenderedPageBreak/>
        <w:t>Annex M (normative):</w:t>
      </w:r>
      <w:r w:rsidRPr="00873B6C">
        <w:br/>
        <w:t>Interworking with TSN deployed in the Transport Network</w:t>
      </w:r>
      <w:bookmarkEnd w:id="6682"/>
    </w:p>
    <w:p w14:paraId="5C1E2C42" w14:textId="673862F8" w:rsidR="00A92B4B" w:rsidRPr="00873B6C" w:rsidRDefault="00A92B4B" w:rsidP="00A92B4B">
      <w:pPr>
        <w:pStyle w:val="Heading1"/>
      </w:pPr>
      <w:bookmarkStart w:id="6683" w:name="_CRM_1"/>
      <w:bookmarkStart w:id="6684" w:name="_Toc201157932"/>
      <w:bookmarkEnd w:id="6683"/>
      <w:r w:rsidRPr="00873B6C">
        <w:t>M.1</w:t>
      </w:r>
      <w:r w:rsidRPr="00873B6C">
        <w:tab/>
        <w:t>Mapping of the parameters between 5GS and TSN UNI</w:t>
      </w:r>
      <w:bookmarkEnd w:id="6684"/>
    </w:p>
    <w:p w14:paraId="4BA79324" w14:textId="3262EA74" w:rsidR="00A92B4B" w:rsidRPr="00873B6C" w:rsidRDefault="00A92B4B" w:rsidP="00A92B4B">
      <w:r w:rsidRPr="00873B6C">
        <w:t>The details of the parameters in the TSN UNI are specified in IEEE</w:t>
      </w:r>
      <w:r w:rsidR="007C1B83" w:rsidRPr="00873B6C">
        <w:t> </w:t>
      </w:r>
      <w:r w:rsidRPr="00873B6C">
        <w:t>Std</w:t>
      </w:r>
      <w:r w:rsidR="007C1B83" w:rsidRPr="00873B6C">
        <w:t> </w:t>
      </w:r>
      <w:r w:rsidRPr="00873B6C">
        <w:t>802.1Q</w:t>
      </w:r>
      <w:r w:rsidR="007C1B83" w:rsidRPr="00873B6C">
        <w:t> </w:t>
      </w:r>
      <w:r w:rsidRPr="00873B6C">
        <w:t>[9</w:t>
      </w:r>
      <w:r w:rsidR="007C1B83" w:rsidRPr="00873B6C">
        <w:t>8</w:t>
      </w:r>
      <w:r w:rsidRPr="00873B6C">
        <w:t>] and IEEE</w:t>
      </w:r>
      <w:r w:rsidR="007C1B83" w:rsidRPr="00873B6C">
        <w:t> </w:t>
      </w:r>
      <w:r w:rsidR="00640EBF" w:rsidRPr="00873B6C">
        <w:t>Std </w:t>
      </w:r>
      <w:r w:rsidRPr="00873B6C">
        <w:t>802.1Qdj</w:t>
      </w:r>
      <w:r w:rsidR="007C1B83" w:rsidRPr="00873B6C">
        <w:t> </w:t>
      </w:r>
      <w:r w:rsidRPr="00873B6C">
        <w:t>[146].</w:t>
      </w:r>
      <w:r w:rsidR="007C1B83" w:rsidRPr="00873B6C">
        <w:t xml:space="preserve"> Stream identification is further specified in IEEE Std 802.1CB [83] and IEEE Std 802.1CBdb [178].</w:t>
      </w:r>
    </w:p>
    <w:p w14:paraId="72AAA831" w14:textId="77777777" w:rsidR="00A92B4B" w:rsidRPr="00873B6C" w:rsidRDefault="00A92B4B" w:rsidP="00A92B4B">
      <w:r w:rsidRPr="00873B6C">
        <w:t>The SMF/CUC derives the End Station related information for the stream requirements towards the TN CNC for the QoS Flow as follows:</w:t>
      </w:r>
    </w:p>
    <w:p w14:paraId="03384959" w14:textId="77777777" w:rsidR="00A92B4B" w:rsidRPr="00873B6C" w:rsidRDefault="00A92B4B" w:rsidP="00695DF1">
      <w:pPr>
        <w:pStyle w:val="B1"/>
      </w:pPr>
      <w:r w:rsidRPr="00873B6C">
        <w:t>a)</w:t>
      </w:r>
      <w:r w:rsidRPr="00873B6C">
        <w:tab/>
        <w:t>For the Talker group:</w:t>
      </w:r>
    </w:p>
    <w:p w14:paraId="5CD97471" w14:textId="343E4247" w:rsidR="00A92B4B" w:rsidRPr="00873B6C" w:rsidRDefault="00A92B4B" w:rsidP="00695DF1">
      <w:pPr>
        <w:pStyle w:val="B2"/>
      </w:pPr>
      <w:r w:rsidRPr="00873B6C">
        <w:t>‐</w:t>
      </w:r>
      <w:r w:rsidRPr="00873B6C">
        <w:tab/>
        <w:t>StreamID: can be generated by the SMF/CUC based on the End Station MAC address acting as Talker</w:t>
      </w:r>
      <w:r w:rsidR="007C1B83" w:rsidRPr="00873B6C">
        <w:t xml:space="preserve"> and a UniqueID. SUPI</w:t>
      </w:r>
      <w:r w:rsidRPr="00873B6C">
        <w:t>, PDU Session ID and QFI</w:t>
      </w:r>
      <w:r w:rsidR="007C1B83" w:rsidRPr="00873B6C">
        <w:t xml:space="preserve"> may be used to derive the UniqueID</w:t>
      </w:r>
      <w:r w:rsidRPr="00873B6C">
        <w:t>. The MAC address is either pre-configured at the SMF/CUC or provided by the AN-TL or CN-TL to the SMF/CUC (e.g</w:t>
      </w:r>
      <w:r w:rsidR="006514B8" w:rsidRPr="00873B6C">
        <w:t>.</w:t>
      </w:r>
      <w:r w:rsidRPr="00873B6C">
        <w:t xml:space="preserve"> as part of the EndStationInterfaces information).</w:t>
      </w:r>
    </w:p>
    <w:p w14:paraId="6101D69D" w14:textId="77777777" w:rsidR="00A92B4B" w:rsidRPr="00873B6C" w:rsidRDefault="00A92B4B" w:rsidP="00695DF1">
      <w:pPr>
        <w:pStyle w:val="B2"/>
      </w:pPr>
      <w:r w:rsidRPr="00873B6C">
        <w:t>-</w:t>
      </w:r>
      <w:r w:rsidRPr="00873B6C">
        <w:tab/>
        <w:t>StreamRank: set to zero for ARP priority values 1-8; set to one for other ARP values.</w:t>
      </w:r>
    </w:p>
    <w:p w14:paraId="7515DB83" w14:textId="77777777" w:rsidR="00A92B4B" w:rsidRPr="00873B6C" w:rsidRDefault="00A92B4B" w:rsidP="00695DF1">
      <w:pPr>
        <w:pStyle w:val="B2"/>
      </w:pPr>
      <w:r w:rsidRPr="00873B6C">
        <w:t>‐</w:t>
      </w:r>
      <w:r w:rsidRPr="00873B6C">
        <w:tab/>
        <w:t>EndStationInterfaces: If the AN-TL and CN-TL are supported, the SMF/CUC receives the EndStationInterfaces (MacAddress, InterfaceName) from the AN-TL and CN-TL via TL-Container. If the AN-TL and CN-TL are not supported the SMF/CUC sets the information based on pre-configuration.</w:t>
      </w:r>
    </w:p>
    <w:p w14:paraId="3F0CF1F6" w14:textId="28C6144D" w:rsidR="00A92B4B" w:rsidRPr="00873B6C" w:rsidRDefault="00A92B4B" w:rsidP="00695DF1">
      <w:pPr>
        <w:pStyle w:val="B2"/>
      </w:pPr>
      <w:r w:rsidRPr="00873B6C">
        <w:t>-</w:t>
      </w:r>
      <w:r w:rsidRPr="00873B6C">
        <w:tab/>
        <w:t>DataFrameSpecification (optional): When it is present it specifies how the TN can identify packets of the TN stream</w:t>
      </w:r>
      <w:r w:rsidR="007C1B83" w:rsidRPr="00873B6C">
        <w:t xml:space="preserve"> using Ethernet, IP and transport protocol header fields</w:t>
      </w:r>
      <w:r w:rsidRPr="00873B6C">
        <w:t xml:space="preserve"> in order to apply the required TSN configuration.</w:t>
      </w:r>
    </w:p>
    <w:p w14:paraId="70678205" w14:textId="31A41BBE" w:rsidR="007C1B83" w:rsidRPr="00873B6C" w:rsidRDefault="00A92B4B" w:rsidP="00695DF1">
      <w:pPr>
        <w:pStyle w:val="B2"/>
      </w:pPr>
      <w:r w:rsidRPr="00873B6C">
        <w:tab/>
      </w:r>
      <w:r w:rsidR="007C1B83" w:rsidRPr="00873B6C">
        <w:t xml:space="preserve">The </w:t>
      </w:r>
      <w:r w:rsidRPr="00873B6C">
        <w:t>SMF/CUC</w:t>
      </w:r>
      <w:r w:rsidR="007C1B83" w:rsidRPr="00873B6C">
        <w:t xml:space="preserve"> may</w:t>
      </w:r>
      <w:r w:rsidRPr="00873B6C">
        <w:t xml:space="preserve"> derive the DataFrameSpecification based on</w:t>
      </w:r>
      <w:r w:rsidR="007C1B83" w:rsidRPr="00873B6C">
        <w:t>:</w:t>
      </w:r>
    </w:p>
    <w:p w14:paraId="54D2756D" w14:textId="281BEE3C" w:rsidR="00A92B4B" w:rsidRPr="00873B6C" w:rsidRDefault="007C1B83" w:rsidP="005A13C0">
      <w:pPr>
        <w:pStyle w:val="B3"/>
      </w:pPr>
      <w:r w:rsidRPr="00873B6C">
        <w:t>-</w:t>
      </w:r>
      <w:r w:rsidRPr="00873B6C">
        <w:tab/>
      </w:r>
      <w:r w:rsidR="00A92B4B" w:rsidRPr="00873B6C">
        <w:t>N3 tunnel end point addresses that are used for the QoS Flow. The SMF/CUC</w:t>
      </w:r>
      <w:r w:rsidRPr="00873B6C">
        <w:t xml:space="preserve"> may</w:t>
      </w:r>
      <w:r w:rsidR="00A92B4B" w:rsidRPr="00873B6C">
        <w:t xml:space="preserve"> instruct the UPF and NG-RAN to assign a separate N3 tunnel end point address for each QoS Flow</w:t>
      </w:r>
      <w:r w:rsidRPr="00873B6C">
        <w:t xml:space="preserve"> that may carry TSC streams so that </w:t>
      </w:r>
      <w:r w:rsidR="00A92B4B" w:rsidRPr="00873B6C">
        <w:t>the TN can distinguish the QoS Flows based on the N3 tunnel destination IP addresses.</w:t>
      </w:r>
    </w:p>
    <w:p w14:paraId="11C022CA" w14:textId="220A467C" w:rsidR="00A92B4B" w:rsidRPr="00873B6C" w:rsidRDefault="00A92B4B" w:rsidP="00695DF1">
      <w:pPr>
        <w:pStyle w:val="NO"/>
      </w:pPr>
      <w:r w:rsidRPr="00873B6C">
        <w:t>NOTE 1:</w:t>
      </w:r>
      <w:r w:rsidRPr="00873B6C">
        <w:tab/>
        <w:t>IPv6 can be used in the N3 tunnel end point addresses to provide sufficient address space</w:t>
      </w:r>
      <w:r w:rsidR="007C1B83" w:rsidRPr="00873B6C">
        <w:t xml:space="preserve"> in case separate N3 tunnel end point addresses are used for each QoS flow that can carry time sensitive streams</w:t>
      </w:r>
      <w:r w:rsidRPr="00873B6C">
        <w:t>.</w:t>
      </w:r>
    </w:p>
    <w:p w14:paraId="37D65D1A" w14:textId="77777777" w:rsidR="007C1B83" w:rsidRPr="00873B6C" w:rsidRDefault="007C1B83" w:rsidP="00695DF1">
      <w:pPr>
        <w:pStyle w:val="B2"/>
      </w:pPr>
      <w:r w:rsidRPr="00873B6C">
        <w:t>-</w:t>
      </w:r>
      <w:r w:rsidRPr="00873B6C">
        <w:tab/>
        <w:t>Mask-and-match stream identification parameters (IEEE 802.1CBdb [178] clause 9.1.6) (optional). The SMF/CUC may indicate mask-and-match configuration based on the TEID and QFI of the given QoS flow and the destination IP address to the TN CNC, when the deployment supports mask-and-match stream identification function as defined in clause 6.8 in IEEE Std 802.1CBdb [178]. This functionality can be used for example to check for the TEID and QFI in the GTP header and the destination IP address to distinguish the QoS Flows. This enables the TN CNC to configure the mask-and-match stream identification function in the transport network. This is an option that allows to use a single GTP-U tunnel as defined for non-TSN Transport networks.</w:t>
      </w:r>
    </w:p>
    <w:p w14:paraId="0562FD40" w14:textId="77777777" w:rsidR="007C1B83" w:rsidRPr="00873B6C" w:rsidRDefault="007C1B83" w:rsidP="00695DF1">
      <w:pPr>
        <w:pStyle w:val="B2"/>
      </w:pPr>
      <w:r w:rsidRPr="00873B6C">
        <w:tab/>
        <w:t>The DataFrameSpecification or mask-and-match stream identification parameters may be provided to the AN-TL and CN-TL to configure stream identification. In that case, the AN-TL and CN-TL can perform the stream identification without relying on additional information from the upper layers of the AN or CN node.</w:t>
      </w:r>
    </w:p>
    <w:p w14:paraId="2A0177C0" w14:textId="7FBA3EE7" w:rsidR="007C1B83" w:rsidRPr="00873B6C" w:rsidRDefault="007C1B83" w:rsidP="00695DF1">
      <w:pPr>
        <w:pStyle w:val="B2"/>
      </w:pPr>
      <w:r w:rsidRPr="00873B6C">
        <w:tab/>
        <w:t>When AN-TL and CN-TL are not supported the TN CNC configures the edge bridge to perform the stream transformation based on the provided the DataFrameSpecification or mask-and-match parameters when applicable.</w:t>
      </w:r>
    </w:p>
    <w:p w14:paraId="6A4C2C2D" w14:textId="77777777" w:rsidR="00A92B4B" w:rsidRPr="00873B6C" w:rsidRDefault="00A92B4B" w:rsidP="00A92B4B">
      <w:pPr>
        <w:pStyle w:val="B1"/>
      </w:pPr>
      <w:r w:rsidRPr="00873B6C">
        <w:t>‐</w:t>
      </w:r>
      <w:r w:rsidRPr="00873B6C">
        <w:tab/>
        <w:t>TrafficSpecification elements:</w:t>
      </w:r>
    </w:p>
    <w:p w14:paraId="6345C1FE" w14:textId="77777777" w:rsidR="00A92B4B" w:rsidRPr="00873B6C" w:rsidRDefault="00A92B4B" w:rsidP="00695DF1">
      <w:pPr>
        <w:pStyle w:val="B2"/>
      </w:pPr>
      <w:r w:rsidRPr="00873B6C">
        <w:t>‐</w:t>
      </w:r>
      <w:r w:rsidRPr="00873B6C">
        <w:tab/>
        <w:t>Interval: derived from the Periodicity of the traffic as indicated in the TSCAI.</w:t>
      </w:r>
    </w:p>
    <w:p w14:paraId="6AB50CC9" w14:textId="5EFD6106" w:rsidR="00A92B4B" w:rsidRPr="00873B6C" w:rsidRDefault="00A92B4B" w:rsidP="00695DF1">
      <w:pPr>
        <w:pStyle w:val="B2"/>
      </w:pPr>
      <w:r w:rsidRPr="00873B6C">
        <w:t>‐</w:t>
      </w:r>
      <w:r w:rsidRPr="00873B6C">
        <w:tab/>
        <w:t>MaxFramesPerInterval: specifies</w:t>
      </w:r>
      <w:r w:rsidR="00D409DD" w:rsidRPr="00873B6C">
        <w:t xml:space="preserve"> the maximum number of frames that the Talker transmits in one Interval</w:t>
      </w:r>
      <w:r w:rsidRPr="00873B6C">
        <w:t>.</w:t>
      </w:r>
    </w:p>
    <w:p w14:paraId="3BFD4358" w14:textId="225BD831" w:rsidR="00965644" w:rsidRPr="00873B6C" w:rsidRDefault="00965644" w:rsidP="00965644">
      <w:pPr>
        <w:pStyle w:val="NO"/>
      </w:pPr>
      <w:r w:rsidRPr="00873B6C">
        <w:lastRenderedPageBreak/>
        <w:t>NOTE 2:</w:t>
      </w:r>
      <w:r w:rsidRPr="00873B6C">
        <w:tab/>
        <w:t>How the SMF/CUC derives MaxFramesPerInterval is up to implementation.</w:t>
      </w:r>
    </w:p>
    <w:p w14:paraId="133B6B62" w14:textId="77777777" w:rsidR="00C86B51" w:rsidRPr="00873B6C" w:rsidRDefault="00C86B51" w:rsidP="00C86B51">
      <w:pPr>
        <w:pStyle w:val="B2"/>
      </w:pPr>
      <w:r w:rsidRPr="00873B6C">
        <w:t>‐</w:t>
      </w:r>
      <w:r w:rsidRPr="00873B6C">
        <w:tab/>
        <w:t>MaxFrameSize: derived from the MDBV of the QoS Flow. If the PCF determines interworking with a TSN network deployed in the transport network is supported based on the DNN/S-NSSAI of the PDU Session, the PCF generates MDBV based on the Burst Size as described in clause 5.27.3 and the PCF transfers the MDBV to the SMF/CUC. The SMF/CUC sets MaxFrameSize based on the following formula: MDBV of the QoS Flow - the framing bits which is not used for transferring in 5GS, (e.g. CRC + the GTP-U tunnel overhead).</w:t>
      </w:r>
    </w:p>
    <w:p w14:paraId="2ECA1B4C" w14:textId="3980051D" w:rsidR="00A92B4B" w:rsidRPr="00873B6C" w:rsidRDefault="00A92B4B" w:rsidP="00695DF1">
      <w:pPr>
        <w:pStyle w:val="B2"/>
      </w:pPr>
      <w:r w:rsidRPr="00873B6C">
        <w:t>-</w:t>
      </w:r>
      <w:r w:rsidRPr="00873B6C">
        <w:tab/>
        <w:t>TransmissionSelection:</w:t>
      </w:r>
      <w:r w:rsidR="00D409DD" w:rsidRPr="00873B6C">
        <w:t xml:space="preserve"> specifies the algorithm that the Talker uses to transmit the Stream's traffic class. If no algorithm is known, the value zero (strict priority) is used</w:t>
      </w:r>
      <w:r w:rsidRPr="00873B6C">
        <w:t>.</w:t>
      </w:r>
    </w:p>
    <w:p w14:paraId="1F7F38A8" w14:textId="77777777" w:rsidR="00A92B4B" w:rsidRPr="00873B6C" w:rsidRDefault="00A92B4B" w:rsidP="00695DF1">
      <w:pPr>
        <w:pStyle w:val="B2"/>
      </w:pPr>
      <w:r w:rsidRPr="00873B6C">
        <w:t>‐</w:t>
      </w:r>
      <w:r w:rsidRPr="00873B6C">
        <w:tab/>
        <w:t>TSpecTimeAware group (optional, present only if the traffic in the QoS Flow is time-synchronized):</w:t>
      </w:r>
    </w:p>
    <w:p w14:paraId="5353ABFA" w14:textId="77777777" w:rsidR="00A92B4B" w:rsidRPr="00873B6C" w:rsidRDefault="00A92B4B" w:rsidP="00695DF1">
      <w:pPr>
        <w:pStyle w:val="B3"/>
      </w:pPr>
      <w:r w:rsidRPr="00873B6C">
        <w:t>‐</w:t>
      </w:r>
      <w:r w:rsidRPr="00873B6C">
        <w:tab/>
        <w:t>EarliestTransmitOffset: the earliest offset within the Interval.</w:t>
      </w:r>
    </w:p>
    <w:p w14:paraId="3A7720FE" w14:textId="77777777" w:rsidR="00A92B4B" w:rsidRPr="00873B6C" w:rsidRDefault="00A92B4B" w:rsidP="00695DF1">
      <w:pPr>
        <w:pStyle w:val="B3"/>
      </w:pPr>
      <w:r w:rsidRPr="00873B6C">
        <w:tab/>
        <w:t>For uplink, EarliestTransmitOffset should be set based on the following formula:</w:t>
      </w:r>
    </w:p>
    <w:p w14:paraId="24C385A1" w14:textId="77777777" w:rsidR="00C86B51" w:rsidRPr="00873B6C" w:rsidRDefault="00C86B51" w:rsidP="00695DF1">
      <w:pPr>
        <w:pStyle w:val="B4"/>
      </w:pPr>
      <w:r w:rsidRPr="00873B6C">
        <w:tab/>
        <w:t>Packet arrival time at the Talker (UL) - M x Interval, where M is the largest integer for which the relation:</w:t>
      </w:r>
    </w:p>
    <w:p w14:paraId="643C3F80" w14:textId="77777777" w:rsidR="00C86B51" w:rsidRPr="00873B6C" w:rsidRDefault="00C86B51" w:rsidP="005A13C0">
      <w:pPr>
        <w:pStyle w:val="B5"/>
      </w:pPr>
      <w:r w:rsidRPr="00873B6C">
        <w:tab/>
        <w:t>Packet arrival time at the Talker (UL) &gt; M x Interval duration.</w:t>
      </w:r>
    </w:p>
    <w:p w14:paraId="63D7A5A8" w14:textId="7BEA3D3D" w:rsidR="00A92B4B" w:rsidRPr="00873B6C" w:rsidRDefault="00A92B4B" w:rsidP="00695DF1">
      <w:pPr>
        <w:pStyle w:val="B4"/>
      </w:pPr>
      <w:r w:rsidRPr="00873B6C">
        <w:tab/>
        <w:t>would be true.</w:t>
      </w:r>
    </w:p>
    <w:p w14:paraId="17BA1818" w14:textId="3D88052E" w:rsidR="00C86B51" w:rsidRPr="00873B6C" w:rsidRDefault="00C86B51" w:rsidP="00695DF1">
      <w:pPr>
        <w:pStyle w:val="B3"/>
      </w:pPr>
      <w:r w:rsidRPr="00873B6C">
        <w:tab/>
        <w:t>Packet arrival time at the Talker (UL) should be:</w:t>
      </w:r>
      <w:r w:rsidR="0028472D" w:rsidRPr="00873B6C">
        <w:t xml:space="preserve"> The corrected</w:t>
      </w:r>
      <w:r w:rsidRPr="00873B6C">
        <w:t xml:space="preserve"> TSCAC BAT in UL direction (presented in TAI time</w:t>
      </w:r>
      <w:r w:rsidR="0028472D" w:rsidRPr="00873B6C">
        <w:t>)</w:t>
      </w:r>
      <w:r w:rsidRPr="00873B6C">
        <w:t xml:space="preserve"> as specified in</w:t>
      </w:r>
      <w:r w:rsidR="0028472D" w:rsidRPr="00873B6C">
        <w:t xml:space="preserve"> clause 5.27.2.4 for the QoS flow+5G-AN PDB</w:t>
      </w:r>
      <w:r w:rsidR="00DD4756" w:rsidRPr="00873B6C">
        <w:t>+UE-DS-TT Residence Time</w:t>
      </w:r>
      <w:r w:rsidRPr="00873B6C">
        <w:t>.</w:t>
      </w:r>
    </w:p>
    <w:p w14:paraId="58A0C6E2" w14:textId="063E1BB8" w:rsidR="00A92B4B" w:rsidRPr="00873B6C" w:rsidRDefault="00A92B4B" w:rsidP="00695DF1">
      <w:pPr>
        <w:pStyle w:val="B3"/>
      </w:pPr>
      <w:r w:rsidRPr="00873B6C">
        <w:tab/>
        <w:t>For downlink, EarliestTransmitOffset should be set based on the following formula:</w:t>
      </w:r>
    </w:p>
    <w:p w14:paraId="26B80EF2" w14:textId="77777777" w:rsidR="00C86B51" w:rsidRPr="00873B6C" w:rsidRDefault="00C86B51" w:rsidP="00C86B51">
      <w:pPr>
        <w:pStyle w:val="B4"/>
      </w:pPr>
      <w:r w:rsidRPr="00873B6C">
        <w:tab/>
        <w:t>Packet arrival time at the Talker (DL) - M x Interval, where M is the largest integer for which the relation:</w:t>
      </w:r>
    </w:p>
    <w:p w14:paraId="7E223360" w14:textId="77777777" w:rsidR="00C86B51" w:rsidRPr="00873B6C" w:rsidRDefault="00C86B51" w:rsidP="005A13C0">
      <w:pPr>
        <w:pStyle w:val="B5"/>
      </w:pPr>
      <w:r w:rsidRPr="00873B6C">
        <w:tab/>
        <w:t>Packet arrival time at the Talker (DL) &gt; M x Interval duration.</w:t>
      </w:r>
    </w:p>
    <w:p w14:paraId="6AF377DF" w14:textId="77777777" w:rsidR="00A92B4B" w:rsidRPr="00873B6C" w:rsidRDefault="00A92B4B" w:rsidP="00695DF1">
      <w:pPr>
        <w:pStyle w:val="B3"/>
      </w:pPr>
      <w:r w:rsidRPr="00873B6C">
        <w:tab/>
        <w:t>would be true.</w:t>
      </w:r>
    </w:p>
    <w:p w14:paraId="6507386C" w14:textId="64ED551D" w:rsidR="00C86B51" w:rsidRPr="00873B6C" w:rsidRDefault="00C86B51" w:rsidP="00C86B51">
      <w:pPr>
        <w:pStyle w:val="B3"/>
      </w:pPr>
      <w:r w:rsidRPr="00873B6C">
        <w:tab/>
        <w:t>Packet arrival time at the Talker (DL) should be</w:t>
      </w:r>
      <w:r w:rsidR="00BA4B57" w:rsidRPr="00873B6C">
        <w:t>:</w:t>
      </w:r>
      <w:r w:rsidR="0028472D" w:rsidRPr="00873B6C">
        <w:t xml:space="preserve"> The corrected</w:t>
      </w:r>
      <w:r w:rsidRPr="00873B6C">
        <w:t xml:space="preserve"> TSCAC BAT in DL direction (presented in TAI time</w:t>
      </w:r>
      <w:r w:rsidR="0028472D" w:rsidRPr="00873B6C">
        <w:t>)</w:t>
      </w:r>
      <w:r w:rsidRPr="00873B6C">
        <w:t xml:space="preserve"> as specified in</w:t>
      </w:r>
      <w:r w:rsidR="0028472D" w:rsidRPr="00873B6C">
        <w:t xml:space="preserve"> clause 5.27.2.4</w:t>
      </w:r>
      <w:r w:rsidRPr="00873B6C">
        <w:t>.</w:t>
      </w:r>
    </w:p>
    <w:p w14:paraId="798540C5" w14:textId="652D79EF" w:rsidR="00A92B4B" w:rsidRPr="00873B6C" w:rsidRDefault="00A92B4B" w:rsidP="00A92B4B">
      <w:pPr>
        <w:pStyle w:val="B2"/>
      </w:pPr>
      <w:r w:rsidRPr="00873B6C">
        <w:t>‐</w:t>
      </w:r>
      <w:r w:rsidRPr="00873B6C">
        <w:tab/>
        <w:t>LatestTransmitOffset: the last chance within an interval should leave enough time to transfer a packet with MaxFrameSize. Derived from the end of the interval, the time to transfer a packet with MaxFrameSize.</w:t>
      </w:r>
      <w:r w:rsidR="00C86B51" w:rsidRPr="00873B6C">
        <w:t xml:space="preserve"> The LatestTransmitOffset shall be set to the Buffer Capability when the value of LatestTransmitOffset subtracted by the packet arrival time at the Talker (either UL or DL respectively as described in EarliestTransmitOffset) exceeds the Buffer capability. The value of LatestTransmitOffset shall be larger or equal than EarliestTransmitOffset.</w:t>
      </w:r>
    </w:p>
    <w:p w14:paraId="57346885" w14:textId="2823C239" w:rsidR="007C1B83" w:rsidRPr="00873B6C" w:rsidRDefault="007C1B83" w:rsidP="00A92B4B">
      <w:pPr>
        <w:pStyle w:val="B2"/>
      </w:pPr>
      <w:r w:rsidRPr="00873B6C">
        <w:t>‐</w:t>
      </w:r>
      <w:r w:rsidRPr="00873B6C">
        <w:tab/>
        <w:t>Jitter: derived in SMF/CUC based on local information on Jitter in AN-TL and CN-TL and respective stream and traffic interference. Annex U, clauses U.1.1, U.1.2</w:t>
      </w:r>
      <w:r w:rsidR="00472CD7" w:rsidRPr="00873B6C">
        <w:t xml:space="preserve"> and</w:t>
      </w:r>
      <w:r w:rsidRPr="00873B6C">
        <w:t xml:space="preserve"> U.1.3 of IEEE Std 802.1Q [98] provide some examples.</w:t>
      </w:r>
    </w:p>
    <w:p w14:paraId="6A951E29" w14:textId="77777777" w:rsidR="00A92B4B" w:rsidRPr="00873B6C" w:rsidRDefault="00A92B4B" w:rsidP="00A92B4B">
      <w:pPr>
        <w:pStyle w:val="B2"/>
      </w:pPr>
      <w:r w:rsidRPr="00873B6C">
        <w:t>‐</w:t>
      </w:r>
      <w:r w:rsidRPr="00873B6C">
        <w:tab/>
        <w:t>UserToNetworkRequirements:</w:t>
      </w:r>
    </w:p>
    <w:p w14:paraId="6C2BA463" w14:textId="77777777" w:rsidR="00A92B4B" w:rsidRPr="00873B6C" w:rsidRDefault="00A92B4B" w:rsidP="00695DF1">
      <w:pPr>
        <w:pStyle w:val="B3"/>
      </w:pPr>
      <w:r w:rsidRPr="00873B6C">
        <w:t>‐</w:t>
      </w:r>
      <w:r w:rsidRPr="00873B6C">
        <w:tab/>
        <w:t>NumSeamlessTrees: set to one (no redundancy) or other value (if redundancy is required).</w:t>
      </w:r>
    </w:p>
    <w:p w14:paraId="6D2A4FB0" w14:textId="3D5F1077" w:rsidR="00A92B4B" w:rsidRPr="00873B6C" w:rsidRDefault="00A92B4B" w:rsidP="00695DF1">
      <w:pPr>
        <w:pStyle w:val="B3"/>
      </w:pPr>
      <w:r w:rsidRPr="00873B6C">
        <w:t>‐</w:t>
      </w:r>
      <w:r w:rsidRPr="00873B6C">
        <w:tab/>
        <w:t>MaxLatency: set to CN PDB subtracted by maximum possible buffer duration in Talker. Maximum possible buffer duration is set to LatestTransmitOffset subtracted by EarliestTransmitOffset.</w:t>
      </w:r>
    </w:p>
    <w:p w14:paraId="4FA26541" w14:textId="00BFF83C" w:rsidR="00A92B4B" w:rsidRPr="00873B6C" w:rsidRDefault="00A92B4B" w:rsidP="00A92B4B">
      <w:pPr>
        <w:pStyle w:val="B2"/>
      </w:pPr>
      <w:r w:rsidRPr="00873B6C">
        <w:t>-</w:t>
      </w:r>
      <w:r w:rsidRPr="00873B6C">
        <w:tab/>
        <w:t>InterfaceCapabilities (optional): If the AN-TL and CN-TL are supported, the SMF/CUC collects InterfaceCapabilities from AN-TL and CN-TL via TL-Container. If the AN-TL and CN-TL are not supported, the SMF/CUC leaves the InterfaceCapabilities empty.</w:t>
      </w:r>
    </w:p>
    <w:p w14:paraId="21ECC8D6" w14:textId="77777777" w:rsidR="00A92B4B" w:rsidRPr="00873B6C" w:rsidRDefault="00A92B4B" w:rsidP="00A92B4B">
      <w:pPr>
        <w:pStyle w:val="B1"/>
      </w:pPr>
      <w:r w:rsidRPr="00873B6C">
        <w:t>b)</w:t>
      </w:r>
      <w:r w:rsidRPr="00873B6C">
        <w:tab/>
        <w:t>For the Listener group:</w:t>
      </w:r>
    </w:p>
    <w:p w14:paraId="4B94DE97" w14:textId="77777777" w:rsidR="00A92B4B" w:rsidRPr="00873B6C" w:rsidRDefault="00A92B4B" w:rsidP="00695DF1">
      <w:pPr>
        <w:pStyle w:val="B2"/>
      </w:pPr>
      <w:r w:rsidRPr="00873B6C">
        <w:t>-</w:t>
      </w:r>
      <w:r w:rsidRPr="00873B6C">
        <w:tab/>
        <w:t>Stream ID and Stream Rank: that were generated for the Talker of the TN stream are also used by the SMF/CUC for the Listener.</w:t>
      </w:r>
    </w:p>
    <w:p w14:paraId="1EEBE773" w14:textId="77777777" w:rsidR="00A92B4B" w:rsidRPr="00873B6C" w:rsidRDefault="00A92B4B" w:rsidP="00695DF1">
      <w:pPr>
        <w:pStyle w:val="B2"/>
      </w:pPr>
      <w:r w:rsidRPr="00873B6C">
        <w:lastRenderedPageBreak/>
        <w:t>-</w:t>
      </w:r>
      <w:r w:rsidRPr="00873B6C">
        <w:tab/>
        <w:t>EndStationInterfaces: derived as with the corresponding information for the Talker group.</w:t>
      </w:r>
    </w:p>
    <w:p w14:paraId="32F78655" w14:textId="77777777" w:rsidR="00A92B4B" w:rsidRPr="00873B6C" w:rsidRDefault="00A92B4B" w:rsidP="00695DF1">
      <w:pPr>
        <w:pStyle w:val="B2"/>
      </w:pPr>
      <w:r w:rsidRPr="00873B6C">
        <w:t>-</w:t>
      </w:r>
      <w:r w:rsidRPr="00873B6C">
        <w:tab/>
        <w:t>UserToNetworkRequirements:</w:t>
      </w:r>
    </w:p>
    <w:p w14:paraId="7985B4F7" w14:textId="77777777" w:rsidR="00A92B4B" w:rsidRPr="00873B6C" w:rsidRDefault="00A92B4B" w:rsidP="00695DF1">
      <w:pPr>
        <w:pStyle w:val="B3"/>
      </w:pPr>
      <w:r w:rsidRPr="00873B6C">
        <w:t>‐</w:t>
      </w:r>
      <w:r w:rsidRPr="00873B6C">
        <w:tab/>
        <w:t>NumSeamlessTrees: set to one.</w:t>
      </w:r>
    </w:p>
    <w:p w14:paraId="527E66A9" w14:textId="77777777" w:rsidR="00A92B4B" w:rsidRPr="00873B6C" w:rsidRDefault="00A92B4B" w:rsidP="00695DF1">
      <w:pPr>
        <w:pStyle w:val="B3"/>
      </w:pPr>
      <w:r w:rsidRPr="00873B6C">
        <w:t>‐</w:t>
      </w:r>
      <w:r w:rsidRPr="00873B6C">
        <w:tab/>
        <w:t>MaxLatency: derived as with the corresponding information for the Talker group.</w:t>
      </w:r>
    </w:p>
    <w:p w14:paraId="533C9DD2" w14:textId="77777777" w:rsidR="00A92B4B" w:rsidRPr="00873B6C" w:rsidRDefault="00A92B4B" w:rsidP="00695DF1">
      <w:pPr>
        <w:pStyle w:val="B2"/>
      </w:pPr>
      <w:r w:rsidRPr="00873B6C">
        <w:t>-</w:t>
      </w:r>
      <w:r w:rsidRPr="00873B6C">
        <w:tab/>
        <w:t>InterfaceCapabilities: derived as with the corresponding information for the Talker group.</w:t>
      </w:r>
    </w:p>
    <w:p w14:paraId="33430387" w14:textId="77777777" w:rsidR="00A92B4B" w:rsidRPr="00873B6C" w:rsidRDefault="00A92B4B" w:rsidP="00A92B4B">
      <w:pPr>
        <w:pStyle w:val="B1"/>
      </w:pPr>
      <w:r w:rsidRPr="00873B6C">
        <w:t>c)</w:t>
      </w:r>
      <w:r w:rsidRPr="00873B6C">
        <w:tab/>
        <w:t>For the Status group: The Status group contains the end station communication-configuration provided by TN CNC to the SMF/CUC:</w:t>
      </w:r>
    </w:p>
    <w:p w14:paraId="54BA51E0" w14:textId="77777777" w:rsidR="00A92B4B" w:rsidRPr="00873B6C" w:rsidRDefault="00A92B4B" w:rsidP="00695DF1">
      <w:pPr>
        <w:pStyle w:val="B2"/>
      </w:pPr>
      <w:r w:rsidRPr="00873B6C">
        <w:t>‐</w:t>
      </w:r>
      <w:r w:rsidRPr="00873B6C">
        <w:tab/>
        <w:t>Stream ID.</w:t>
      </w:r>
    </w:p>
    <w:p w14:paraId="652C2225" w14:textId="77777777" w:rsidR="00A92B4B" w:rsidRPr="00873B6C" w:rsidRDefault="00A92B4B" w:rsidP="00695DF1">
      <w:pPr>
        <w:pStyle w:val="B2"/>
      </w:pPr>
      <w:r w:rsidRPr="00873B6C">
        <w:t>‐</w:t>
      </w:r>
      <w:r w:rsidRPr="00873B6C">
        <w:tab/>
        <w:t>StatusInfo.</w:t>
      </w:r>
    </w:p>
    <w:p w14:paraId="354D4ECB" w14:textId="42386A24" w:rsidR="00A92B4B" w:rsidRPr="00873B6C" w:rsidRDefault="00A92B4B" w:rsidP="00695DF1">
      <w:pPr>
        <w:pStyle w:val="B2"/>
      </w:pPr>
      <w:r w:rsidRPr="00873B6C">
        <w:t>‐</w:t>
      </w:r>
      <w:r w:rsidRPr="00873B6C">
        <w:tab/>
        <w:t>AccumulatedLatency: If the AccumulatedLatency is included from TN CNC to SMF/CUC for a stream in DL direction, the SMF/CUC may use the AccumulatedLatency to update the TSCAI BAT to the NG-RAN; the SMF sets the TSCAI Burst Arrival Time in downlink direction as the sum of the TSCAC BAT value in downlink direction and AccumulatedLatency and the buffer duration in Talker in CN-TL. The buffer duration in CN-TL is zero if TimeAwareOffset for the Talker group is not present</w:t>
      </w:r>
      <w:r w:rsidR="00472CD7" w:rsidRPr="00873B6C">
        <w:t xml:space="preserve"> and</w:t>
      </w:r>
      <w:r w:rsidRPr="00873B6C">
        <w:t xml:space="preserve"> TimeAwareOffset - EarliestTransmitOffset if the TimeAwareOffset is present for the Talker group.</w:t>
      </w:r>
    </w:p>
    <w:p w14:paraId="1373C5D2" w14:textId="77777777" w:rsidR="00A92B4B" w:rsidRPr="00873B6C" w:rsidRDefault="00A92B4B" w:rsidP="00A92B4B">
      <w:pPr>
        <w:pStyle w:val="B2"/>
      </w:pPr>
      <w:r w:rsidRPr="00873B6C">
        <w:t>‐</w:t>
      </w:r>
      <w:r w:rsidRPr="00873B6C">
        <w:tab/>
        <w:t>InterfaceConfiguration (optional):</w:t>
      </w:r>
    </w:p>
    <w:p w14:paraId="59BF321F" w14:textId="619A3D25" w:rsidR="00A92B4B" w:rsidRPr="00873B6C" w:rsidRDefault="00A92B4B" w:rsidP="00695DF1">
      <w:pPr>
        <w:pStyle w:val="B3"/>
      </w:pPr>
      <w:r w:rsidRPr="00873B6C">
        <w:t>‐</w:t>
      </w:r>
      <w:r w:rsidRPr="00873B6C">
        <w:tab/>
        <w:t>MAC Address</w:t>
      </w:r>
      <w:r w:rsidR="00965644" w:rsidRPr="00873B6C">
        <w:t>es</w:t>
      </w:r>
      <w:r w:rsidRPr="00873B6C">
        <w:t xml:space="preserve"> (optional, present only if the respective InterfaceCapability contains a value for Active Destination MAC and VLAN Stream identification in CB-StreamIdenTypeList</w:t>
      </w:r>
      <w:r w:rsidR="00472CD7" w:rsidRPr="00873B6C">
        <w:t xml:space="preserve"> and</w:t>
      </w:r>
      <w:r w:rsidRPr="00873B6C">
        <w:t xml:space="preserve"> stream transformation is performed in AN-TL and CN-TL).</w:t>
      </w:r>
    </w:p>
    <w:p w14:paraId="6C67D80A" w14:textId="6FC4D082" w:rsidR="00A92B4B" w:rsidRPr="00873B6C" w:rsidRDefault="00A92B4B" w:rsidP="00695DF1">
      <w:pPr>
        <w:pStyle w:val="B3"/>
      </w:pPr>
      <w:r w:rsidRPr="00873B6C">
        <w:t>‐</w:t>
      </w:r>
      <w:r w:rsidRPr="00873B6C">
        <w:tab/>
        <w:t>VLAN Tag (optional, present only if VlanTagCapable</w:t>
      </w:r>
      <w:r w:rsidR="00965644" w:rsidRPr="00873B6C">
        <w:t xml:space="preserve"> is True in the respective InterfaceCapability</w:t>
      </w:r>
      <w:r w:rsidRPr="00873B6C">
        <w:t xml:space="preserve"> and the stream transformation is performed in AN-TL and CN-TL).</w:t>
      </w:r>
    </w:p>
    <w:p w14:paraId="051AEC34" w14:textId="77777777" w:rsidR="00A92B4B" w:rsidRPr="00873B6C" w:rsidRDefault="00A92B4B" w:rsidP="00695DF1">
      <w:pPr>
        <w:pStyle w:val="B3"/>
      </w:pPr>
      <w:r w:rsidRPr="00873B6C">
        <w:t>‐</w:t>
      </w:r>
      <w:r w:rsidRPr="00873B6C">
        <w:tab/>
        <w:t>IPv4/IPv6 Tuples (optional, but not supported in this release of the specification).</w:t>
      </w:r>
    </w:p>
    <w:p w14:paraId="35CFE193" w14:textId="30826AD9" w:rsidR="00A92B4B" w:rsidRPr="00873B6C" w:rsidRDefault="00A92B4B" w:rsidP="00695DF1">
      <w:pPr>
        <w:pStyle w:val="B3"/>
      </w:pPr>
      <w:r w:rsidRPr="00873B6C">
        <w:t>‐</w:t>
      </w:r>
      <w:r w:rsidRPr="00873B6C">
        <w:tab/>
        <w:t>TimeAwareOffset (optional, present only if the traffic is time-synchronized, AN-TL and CN-TL is supported</w:t>
      </w:r>
      <w:r w:rsidR="00472CD7" w:rsidRPr="00873B6C">
        <w:t xml:space="preserve"> and</w:t>
      </w:r>
      <w:r w:rsidRPr="00873B6C">
        <w:t xml:space="preserve"> TSpecTimeAware elements were provided in the stream requirements).</w:t>
      </w:r>
    </w:p>
    <w:p w14:paraId="6CE1671F" w14:textId="500D5F97" w:rsidR="00A92B4B" w:rsidRPr="00873B6C" w:rsidRDefault="00A92B4B" w:rsidP="00A92B4B">
      <w:pPr>
        <w:pStyle w:val="B4"/>
      </w:pPr>
      <w:r w:rsidRPr="00873B6C">
        <w:tab/>
        <w:t>If the InterfaceConfiguration is included and</w:t>
      </w:r>
      <w:r w:rsidR="007C1B83" w:rsidRPr="00873B6C">
        <w:t xml:space="preserve"> if the</w:t>
      </w:r>
      <w:r w:rsidRPr="00873B6C">
        <w:t xml:space="preserve"> AL-TL/CN-TL</w:t>
      </w:r>
      <w:r w:rsidR="007C1B83" w:rsidRPr="00873B6C">
        <w:t xml:space="preserve"> acting as Talker End Station</w:t>
      </w:r>
      <w:r w:rsidRPr="00873B6C">
        <w:t xml:space="preserve"> support the Stream Transformation as described in IEEE</w:t>
      </w:r>
      <w:r w:rsidR="007C1B83" w:rsidRPr="00873B6C">
        <w:t> </w:t>
      </w:r>
      <w:r w:rsidRPr="00873B6C">
        <w:t>Std</w:t>
      </w:r>
      <w:r w:rsidR="007C1B83" w:rsidRPr="00873B6C">
        <w:t> </w:t>
      </w:r>
      <w:r w:rsidRPr="00873B6C">
        <w:t>802.1Q</w:t>
      </w:r>
      <w:r w:rsidR="007C1B83" w:rsidRPr="00873B6C">
        <w:t> </w:t>
      </w:r>
      <w:r w:rsidRPr="00873B6C">
        <w:t>[9</w:t>
      </w:r>
      <w:r w:rsidR="007C1B83" w:rsidRPr="00873B6C">
        <w:t>8</w:t>
      </w:r>
      <w:r w:rsidRPr="00873B6C">
        <w:t>], the SMF/CUC can instruct the UPF and NG-RAN to assign an individual TSN Transport address by providing the InterfaceConfiguration to the AN-TL/CN-TL via TL-Container. The Talker in AN-TL/CN-TL shall use the indicated InterfaceConfiguration, e.g. source MAC address, multicast destination MAC address, VLAN ID, as assigned by the TN CNC for the data stream in a QoS Flow. The TN can identify the streams based on the Stream Transformation that is applied in the AN-TL/CN-TL</w:t>
      </w:r>
      <w:r w:rsidR="007C1B83" w:rsidRPr="00873B6C">
        <w:t xml:space="preserve"> acting as Taker End Station</w:t>
      </w:r>
      <w:r w:rsidRPr="00873B6C">
        <w:t>. This allows to use a single GTP-U tunnel as defined for non-TSN Transport networks.</w:t>
      </w:r>
    </w:p>
    <w:p w14:paraId="37D209C0" w14:textId="26912DF5" w:rsidR="00A92B4B" w:rsidRPr="00873B6C" w:rsidRDefault="00A92B4B" w:rsidP="00A92B4B">
      <w:pPr>
        <w:pStyle w:val="B4"/>
      </w:pPr>
      <w:r w:rsidRPr="00873B6C">
        <w:tab/>
        <w:t>If the TimeAwareOffset is included from TN CNC to SMF/CUC, the SMF/CUC should</w:t>
      </w:r>
      <w:r w:rsidR="00C86B51" w:rsidRPr="00873B6C">
        <w:t xml:space="preserve"> send the TimeAwareOffset to the AN-TL (for streams in UL direction) or the CN-TL port (for streams in the DL direction). The AL-TL/CN-TL</w:t>
      </w:r>
      <w:r w:rsidRPr="00873B6C">
        <w:t xml:space="preserve"> derive Gate Control information</w:t>
      </w:r>
      <w:r w:rsidR="00C86B51" w:rsidRPr="00873B6C">
        <w:t xml:space="preserve"> (i.e. AdminBaseTime, AdminCycleTime, AdminControlListLength</w:t>
      </w:r>
      <w:r w:rsidR="00472CD7" w:rsidRPr="00873B6C">
        <w:t xml:space="preserve"> and</w:t>
      </w:r>
      <w:r w:rsidR="00C86B51" w:rsidRPr="00873B6C">
        <w:t xml:space="preserve"> AdminControlList) based on the TimeAwareOffset</w:t>
      </w:r>
      <w:r w:rsidRPr="00873B6C">
        <w:t xml:space="preserve"> as defined in IEEE</w:t>
      </w:r>
      <w:r w:rsidR="007C1B83" w:rsidRPr="00873B6C">
        <w:t> </w:t>
      </w:r>
      <w:r w:rsidRPr="00873B6C">
        <w:t>Std</w:t>
      </w:r>
      <w:r w:rsidR="007C1B83" w:rsidRPr="00873B6C">
        <w:t> </w:t>
      </w:r>
      <w:r w:rsidRPr="00873B6C">
        <w:t>802.1Q</w:t>
      </w:r>
      <w:r w:rsidR="007C1B83" w:rsidRPr="00873B6C">
        <w:t> </w:t>
      </w:r>
      <w:r w:rsidRPr="00873B6C">
        <w:t>[98] at the AN-TL (for streams in UL direction) and the CN-TL port (for streams in the DL direction). The AN-TL or CN-TL acting as Talker buffers the data burst until the time indicated in the TimeAwareOffset is reached.</w:t>
      </w:r>
    </w:p>
    <w:p w14:paraId="31D6D2C9" w14:textId="77777777" w:rsidR="00A92B4B" w:rsidRPr="00873B6C" w:rsidRDefault="00A92B4B" w:rsidP="00A92B4B">
      <w:pPr>
        <w:pStyle w:val="B4"/>
      </w:pPr>
      <w:r w:rsidRPr="00873B6C">
        <w:tab/>
        <w:t>If the SMF/CUC receives a TimeAwareOffset from TN CNC for a downlink stream (i.e. for a Talker in the UPF/CN-TL), the SMF/CUC adds the received TimeAwareOffset value to the TSCAI BAT in the DL direction in the TSCAI and updates the NG-RAN for the new TSCAI.</w:t>
      </w:r>
    </w:p>
    <w:p w14:paraId="37965EA2" w14:textId="144F6940" w:rsidR="00A92B4B" w:rsidRPr="00873B6C" w:rsidRDefault="00A92B4B" w:rsidP="00A92B4B">
      <w:pPr>
        <w:pStyle w:val="B2"/>
      </w:pPr>
      <w:r w:rsidRPr="00873B6C">
        <w:t>‐</w:t>
      </w:r>
      <w:r w:rsidRPr="00873B6C">
        <w:tab/>
        <w:t>FailedInterfaces (optional) provides a list of one or more physical ports of failed end stations or bridges to locate the interfaces in the physical topology that caused the failure.</w:t>
      </w:r>
      <w:r w:rsidR="00D409DD" w:rsidRPr="00873B6C">
        <w:t xml:space="preserve"> It is up to implementation how the SMF reacts when it receives FailedInterfaces.</w:t>
      </w:r>
    </w:p>
    <w:p w14:paraId="1956C94D" w14:textId="6C7FF4B9" w:rsidR="00A92B4B" w:rsidRPr="00873B6C" w:rsidRDefault="00A92B4B" w:rsidP="00695DF1">
      <w:pPr>
        <w:pStyle w:val="NO"/>
      </w:pPr>
      <w:r w:rsidRPr="00873B6C">
        <w:t>NOTE </w:t>
      </w:r>
      <w:r w:rsidR="00965644" w:rsidRPr="00873B6C">
        <w:t>3</w:t>
      </w:r>
      <w:r w:rsidRPr="00873B6C">
        <w:t>:</w:t>
      </w:r>
      <w:r w:rsidRPr="00873B6C">
        <w:tab/>
        <w:t>It is assumed that the end station communication-configuration will contain at least the same information as defined for the status.</w:t>
      </w:r>
    </w:p>
    <w:p w14:paraId="6F68C3BB" w14:textId="03DC53D3" w:rsidR="007C1B83" w:rsidRPr="00873B6C" w:rsidRDefault="007C1B83" w:rsidP="007C1B83">
      <w:pPr>
        <w:pStyle w:val="NO"/>
      </w:pPr>
      <w:r w:rsidRPr="00873B6C">
        <w:lastRenderedPageBreak/>
        <w:t>NOTE </w:t>
      </w:r>
      <w:r w:rsidR="00965644" w:rsidRPr="00873B6C">
        <w:t>4</w:t>
      </w:r>
      <w:r w:rsidRPr="00873B6C">
        <w:t>:</w:t>
      </w:r>
      <w:r w:rsidRPr="00873B6C">
        <w:tab/>
        <w:t>If Jitter value needs to be considered, EarliestTransmitOffset for UL and DL and LatestTransmitOffset shall be Jitter corrected. How Jitter correction is carried out is up to implementation.</w:t>
      </w:r>
    </w:p>
    <w:p w14:paraId="662A4506" w14:textId="738C8F75" w:rsidR="006E26ED" w:rsidRPr="00873B6C" w:rsidRDefault="006E26ED" w:rsidP="006E26ED">
      <w:pPr>
        <w:pStyle w:val="Heading1"/>
        <w:rPr>
          <w:lang w:val="fr-FR"/>
        </w:rPr>
      </w:pPr>
      <w:bookmarkStart w:id="6685" w:name="_CRM_2"/>
      <w:bookmarkStart w:id="6686" w:name="_Toc201157933"/>
      <w:bookmarkEnd w:id="6685"/>
      <w:r w:rsidRPr="00873B6C">
        <w:rPr>
          <w:lang w:val="fr-FR"/>
        </w:rPr>
        <w:lastRenderedPageBreak/>
        <w:t>M.2</w:t>
      </w:r>
      <w:r w:rsidRPr="00873B6C">
        <w:rPr>
          <w:lang w:val="fr-FR"/>
        </w:rPr>
        <w:tab/>
        <w:t>TL-Container Information</w:t>
      </w:r>
      <w:bookmarkEnd w:id="6686"/>
    </w:p>
    <w:p w14:paraId="207EB609" w14:textId="7B7865C1" w:rsidR="006E26ED" w:rsidRPr="00873B6C" w:rsidRDefault="006E26ED" w:rsidP="005A13C0">
      <w:pPr>
        <w:pStyle w:val="TH"/>
        <w:rPr>
          <w:lang w:val="fr-FR"/>
        </w:rPr>
      </w:pPr>
      <w:bookmarkStart w:id="6687" w:name="_CRTableM_21"/>
      <w:r w:rsidRPr="00873B6C">
        <w:rPr>
          <w:lang w:val="fr-FR"/>
        </w:rPr>
        <w:t xml:space="preserve">Table </w:t>
      </w:r>
      <w:bookmarkEnd w:id="6687"/>
      <w:r w:rsidRPr="00873B6C">
        <w:rPr>
          <w:lang w:val="fr-FR"/>
        </w:rPr>
        <w:t>M.2-1: TL-Container Information</w:t>
      </w:r>
    </w:p>
    <w:tbl>
      <w:tblPr>
        <w:tblStyle w:val="TableGrid"/>
        <w:tblW w:w="0" w:type="auto"/>
        <w:tblLook w:val="04A0" w:firstRow="1" w:lastRow="0" w:firstColumn="1" w:lastColumn="0" w:noHBand="0" w:noVBand="1"/>
      </w:tblPr>
      <w:tblGrid>
        <w:gridCol w:w="277"/>
        <w:gridCol w:w="4113"/>
        <w:gridCol w:w="1134"/>
        <w:gridCol w:w="1134"/>
        <w:gridCol w:w="2973"/>
      </w:tblGrid>
      <w:tr w:rsidR="00EC6AAB" w:rsidRPr="00873B6C" w14:paraId="45F5ED45" w14:textId="77777777" w:rsidTr="005A13C0">
        <w:tc>
          <w:tcPr>
            <w:tcW w:w="277" w:type="dxa"/>
            <w:tcBorders>
              <w:bottom w:val="nil"/>
              <w:right w:val="nil"/>
            </w:tcBorders>
            <w:shd w:val="clear" w:color="auto" w:fill="auto"/>
          </w:tcPr>
          <w:p w14:paraId="07F4E4F9" w14:textId="77777777" w:rsidR="00EC6AAB" w:rsidRPr="00873B6C" w:rsidRDefault="00EC6AAB" w:rsidP="00EC6AAB">
            <w:pPr>
              <w:pStyle w:val="TAH"/>
              <w:rPr>
                <w:lang w:val="fr-FR"/>
              </w:rPr>
            </w:pPr>
          </w:p>
        </w:tc>
        <w:tc>
          <w:tcPr>
            <w:tcW w:w="4113" w:type="dxa"/>
            <w:tcBorders>
              <w:left w:val="nil"/>
              <w:bottom w:val="nil"/>
            </w:tcBorders>
            <w:shd w:val="clear" w:color="auto" w:fill="auto"/>
          </w:tcPr>
          <w:p w14:paraId="197028BD" w14:textId="6A34D5A4" w:rsidR="00EC6AAB" w:rsidRPr="00873B6C" w:rsidRDefault="00EC6AAB" w:rsidP="005A13C0">
            <w:pPr>
              <w:pStyle w:val="TAH"/>
            </w:pPr>
            <w:r w:rsidRPr="00873B6C">
              <w:t>TL-Container information</w:t>
            </w:r>
          </w:p>
        </w:tc>
        <w:tc>
          <w:tcPr>
            <w:tcW w:w="2268" w:type="dxa"/>
            <w:gridSpan w:val="2"/>
          </w:tcPr>
          <w:p w14:paraId="322C1B95" w14:textId="793C5FBF" w:rsidR="00EC6AAB" w:rsidRPr="00873B6C" w:rsidRDefault="00EC6AAB" w:rsidP="005A13C0">
            <w:pPr>
              <w:pStyle w:val="TAH"/>
            </w:pPr>
            <w:r w:rsidRPr="00873B6C">
              <w:t>Supported Operations - AN-TL/CN-TL (see NOTE 1)</w:t>
            </w:r>
          </w:p>
        </w:tc>
        <w:tc>
          <w:tcPr>
            <w:tcW w:w="2973" w:type="dxa"/>
            <w:tcBorders>
              <w:bottom w:val="nil"/>
            </w:tcBorders>
            <w:shd w:val="clear" w:color="auto" w:fill="auto"/>
          </w:tcPr>
          <w:p w14:paraId="612AE73D" w14:textId="33F59243" w:rsidR="00EC6AAB" w:rsidRPr="00873B6C" w:rsidRDefault="00EC6AAB" w:rsidP="005A13C0">
            <w:pPr>
              <w:pStyle w:val="TAH"/>
            </w:pPr>
            <w:r w:rsidRPr="00873B6C">
              <w:t>Reference</w:t>
            </w:r>
          </w:p>
        </w:tc>
      </w:tr>
      <w:tr w:rsidR="00EC6AAB" w:rsidRPr="00873B6C" w14:paraId="35E58FAC" w14:textId="77777777" w:rsidTr="005A13C0">
        <w:tc>
          <w:tcPr>
            <w:tcW w:w="277" w:type="dxa"/>
            <w:tcBorders>
              <w:top w:val="nil"/>
              <w:bottom w:val="single" w:sz="4" w:space="0" w:color="auto"/>
              <w:right w:val="nil"/>
            </w:tcBorders>
            <w:shd w:val="clear" w:color="auto" w:fill="auto"/>
          </w:tcPr>
          <w:p w14:paraId="130F1EFA" w14:textId="77777777" w:rsidR="00EC6AAB" w:rsidRPr="00873B6C" w:rsidRDefault="00EC6AAB" w:rsidP="00EC6AAB">
            <w:pPr>
              <w:pStyle w:val="TAH"/>
            </w:pPr>
          </w:p>
        </w:tc>
        <w:tc>
          <w:tcPr>
            <w:tcW w:w="4113" w:type="dxa"/>
            <w:tcBorders>
              <w:top w:val="nil"/>
              <w:left w:val="nil"/>
              <w:bottom w:val="single" w:sz="4" w:space="0" w:color="auto"/>
            </w:tcBorders>
            <w:shd w:val="clear" w:color="auto" w:fill="auto"/>
          </w:tcPr>
          <w:p w14:paraId="069C4F4E" w14:textId="5900E99D" w:rsidR="00EC6AAB" w:rsidRPr="00873B6C" w:rsidRDefault="00EC6AAB" w:rsidP="005A13C0">
            <w:pPr>
              <w:pStyle w:val="TAH"/>
            </w:pPr>
          </w:p>
        </w:tc>
        <w:tc>
          <w:tcPr>
            <w:tcW w:w="1134" w:type="dxa"/>
            <w:tcBorders>
              <w:bottom w:val="single" w:sz="4" w:space="0" w:color="auto"/>
            </w:tcBorders>
          </w:tcPr>
          <w:p w14:paraId="359B11A5" w14:textId="6C48AC54" w:rsidR="00EC6AAB" w:rsidRPr="00873B6C" w:rsidRDefault="00EC6AAB" w:rsidP="005A13C0">
            <w:pPr>
              <w:pStyle w:val="TAH"/>
            </w:pPr>
            <w:r w:rsidRPr="00873B6C">
              <w:t>Talker</w:t>
            </w:r>
          </w:p>
        </w:tc>
        <w:tc>
          <w:tcPr>
            <w:tcW w:w="1134" w:type="dxa"/>
            <w:tcBorders>
              <w:bottom w:val="single" w:sz="4" w:space="0" w:color="auto"/>
            </w:tcBorders>
          </w:tcPr>
          <w:p w14:paraId="1900A429" w14:textId="19FA2AE1" w:rsidR="00EC6AAB" w:rsidRPr="00873B6C" w:rsidRDefault="00EC6AAB" w:rsidP="005A13C0">
            <w:pPr>
              <w:pStyle w:val="TAH"/>
            </w:pPr>
            <w:r w:rsidRPr="00873B6C">
              <w:t>Listener</w:t>
            </w:r>
          </w:p>
        </w:tc>
        <w:tc>
          <w:tcPr>
            <w:tcW w:w="2973" w:type="dxa"/>
            <w:tcBorders>
              <w:top w:val="nil"/>
              <w:bottom w:val="single" w:sz="4" w:space="0" w:color="auto"/>
            </w:tcBorders>
            <w:shd w:val="clear" w:color="auto" w:fill="auto"/>
          </w:tcPr>
          <w:p w14:paraId="48A67BBB" w14:textId="77777777" w:rsidR="00EC6AAB" w:rsidRPr="00873B6C" w:rsidRDefault="00EC6AAB" w:rsidP="005A13C0">
            <w:pPr>
              <w:pStyle w:val="TAH"/>
            </w:pPr>
          </w:p>
        </w:tc>
      </w:tr>
      <w:tr w:rsidR="00EC6AAB" w:rsidRPr="00873B6C" w14:paraId="0D19AD31" w14:textId="77777777" w:rsidTr="00C9561D">
        <w:tc>
          <w:tcPr>
            <w:tcW w:w="9631" w:type="dxa"/>
            <w:gridSpan w:val="5"/>
          </w:tcPr>
          <w:p w14:paraId="1879A0C7" w14:textId="462428B9" w:rsidR="00EC6AAB" w:rsidRPr="00873B6C" w:rsidRDefault="00EC6AAB" w:rsidP="005A13C0">
            <w:pPr>
              <w:pStyle w:val="TAL"/>
              <w:rPr>
                <w:b/>
                <w:bCs/>
              </w:rPr>
            </w:pPr>
            <w:r w:rsidRPr="00873B6C">
              <w:rPr>
                <w:b/>
                <w:bCs/>
              </w:rPr>
              <w:t>End Station Parameters of AN-TL/CN-TL</w:t>
            </w:r>
          </w:p>
        </w:tc>
      </w:tr>
      <w:tr w:rsidR="00EC6AAB" w:rsidRPr="00873B6C" w14:paraId="06F17DB1" w14:textId="77777777" w:rsidTr="005A13C0">
        <w:tc>
          <w:tcPr>
            <w:tcW w:w="277" w:type="dxa"/>
            <w:tcBorders>
              <w:right w:val="nil"/>
            </w:tcBorders>
          </w:tcPr>
          <w:p w14:paraId="136F0F44" w14:textId="77777777" w:rsidR="00EC6AAB" w:rsidRPr="00873B6C" w:rsidRDefault="00EC6AAB" w:rsidP="00C9561D">
            <w:pPr>
              <w:pStyle w:val="TAL"/>
              <w:rPr>
                <w:b/>
                <w:bCs/>
              </w:rPr>
            </w:pPr>
          </w:p>
        </w:tc>
        <w:tc>
          <w:tcPr>
            <w:tcW w:w="9354" w:type="dxa"/>
            <w:gridSpan w:val="4"/>
            <w:tcBorders>
              <w:left w:val="nil"/>
            </w:tcBorders>
          </w:tcPr>
          <w:p w14:paraId="75C44E01" w14:textId="1A8C4CE8" w:rsidR="00EC6AAB" w:rsidRPr="00873B6C" w:rsidRDefault="00EC6AAB" w:rsidP="00C9561D">
            <w:pPr>
              <w:pStyle w:val="TAL"/>
              <w:rPr>
                <w:b/>
                <w:bCs/>
              </w:rPr>
            </w:pPr>
            <w:r w:rsidRPr="00873B6C">
              <w:rPr>
                <w:b/>
                <w:bCs/>
              </w:rPr>
              <w:t>List of InterfaceID group(s)</w:t>
            </w:r>
          </w:p>
        </w:tc>
      </w:tr>
      <w:tr w:rsidR="00EC6AAB" w:rsidRPr="00873B6C" w14:paraId="046D9C5B" w14:textId="77777777" w:rsidTr="005A13C0">
        <w:tc>
          <w:tcPr>
            <w:tcW w:w="277" w:type="dxa"/>
            <w:tcBorders>
              <w:right w:val="nil"/>
            </w:tcBorders>
          </w:tcPr>
          <w:p w14:paraId="48DE78C1" w14:textId="77777777" w:rsidR="00EC6AAB" w:rsidRPr="00873B6C" w:rsidRDefault="00EC6AAB" w:rsidP="00EC6AAB">
            <w:pPr>
              <w:pStyle w:val="TAL"/>
            </w:pPr>
          </w:p>
        </w:tc>
        <w:tc>
          <w:tcPr>
            <w:tcW w:w="4113" w:type="dxa"/>
            <w:tcBorders>
              <w:left w:val="nil"/>
            </w:tcBorders>
            <w:vAlign w:val="center"/>
          </w:tcPr>
          <w:p w14:paraId="039DA540" w14:textId="138BFF07" w:rsidR="00EC6AAB" w:rsidRPr="00873B6C" w:rsidRDefault="00EC6AAB" w:rsidP="00EC6AAB">
            <w:pPr>
              <w:pStyle w:val="TAL"/>
            </w:pPr>
            <w:r w:rsidRPr="00873B6C">
              <w:t>&gt;Mac Address</w:t>
            </w:r>
          </w:p>
        </w:tc>
        <w:tc>
          <w:tcPr>
            <w:tcW w:w="1134" w:type="dxa"/>
            <w:vAlign w:val="center"/>
          </w:tcPr>
          <w:p w14:paraId="51D949D0" w14:textId="7CC36ABC" w:rsidR="00EC6AAB" w:rsidRPr="00873B6C" w:rsidRDefault="00EC6AAB" w:rsidP="005A13C0">
            <w:pPr>
              <w:pStyle w:val="TAC"/>
            </w:pPr>
            <w:r w:rsidRPr="00873B6C">
              <w:t>Get</w:t>
            </w:r>
          </w:p>
        </w:tc>
        <w:tc>
          <w:tcPr>
            <w:tcW w:w="1134" w:type="dxa"/>
            <w:vAlign w:val="center"/>
          </w:tcPr>
          <w:p w14:paraId="17F187EF" w14:textId="6FE29B2A" w:rsidR="00EC6AAB" w:rsidRPr="00873B6C" w:rsidRDefault="00EC6AAB" w:rsidP="005A13C0">
            <w:pPr>
              <w:pStyle w:val="TAC"/>
            </w:pPr>
            <w:r w:rsidRPr="00873B6C">
              <w:t>Get</w:t>
            </w:r>
          </w:p>
        </w:tc>
        <w:tc>
          <w:tcPr>
            <w:tcW w:w="2973" w:type="dxa"/>
            <w:vAlign w:val="center"/>
          </w:tcPr>
          <w:p w14:paraId="27F8875C" w14:textId="6367979C" w:rsidR="00EC6AAB" w:rsidRPr="00873B6C" w:rsidRDefault="00EC6AAB" w:rsidP="00EC6AAB">
            <w:pPr>
              <w:pStyle w:val="TAL"/>
            </w:pPr>
            <w:r w:rsidRPr="00873B6C">
              <w:t>IEEE Std 802.1Q [98], Table 46-3</w:t>
            </w:r>
          </w:p>
        </w:tc>
      </w:tr>
      <w:tr w:rsidR="00EC6AAB" w:rsidRPr="00873B6C" w14:paraId="5232D095" w14:textId="77777777" w:rsidTr="005A13C0">
        <w:tc>
          <w:tcPr>
            <w:tcW w:w="277" w:type="dxa"/>
            <w:tcBorders>
              <w:bottom w:val="single" w:sz="4" w:space="0" w:color="auto"/>
              <w:right w:val="nil"/>
            </w:tcBorders>
          </w:tcPr>
          <w:p w14:paraId="2A8403F1" w14:textId="77777777" w:rsidR="00EC6AAB" w:rsidRPr="00873B6C" w:rsidRDefault="00EC6AAB" w:rsidP="00EC6AAB">
            <w:pPr>
              <w:pStyle w:val="TAL"/>
            </w:pPr>
          </w:p>
        </w:tc>
        <w:tc>
          <w:tcPr>
            <w:tcW w:w="4113" w:type="dxa"/>
            <w:tcBorders>
              <w:left w:val="nil"/>
              <w:bottom w:val="single" w:sz="4" w:space="0" w:color="auto"/>
            </w:tcBorders>
            <w:vAlign w:val="center"/>
          </w:tcPr>
          <w:p w14:paraId="05523EF5" w14:textId="18303788" w:rsidR="00EC6AAB" w:rsidRPr="00873B6C" w:rsidRDefault="00EC6AAB" w:rsidP="00EC6AAB">
            <w:pPr>
              <w:pStyle w:val="TAL"/>
            </w:pPr>
            <w:r w:rsidRPr="00873B6C">
              <w:t>&gt;InterfaceName (see NOTE 2)</w:t>
            </w:r>
          </w:p>
        </w:tc>
        <w:tc>
          <w:tcPr>
            <w:tcW w:w="1134" w:type="dxa"/>
            <w:tcBorders>
              <w:bottom w:val="single" w:sz="4" w:space="0" w:color="auto"/>
            </w:tcBorders>
            <w:vAlign w:val="center"/>
          </w:tcPr>
          <w:p w14:paraId="3F45E88A" w14:textId="0CCF198D" w:rsidR="00EC6AAB" w:rsidRPr="00873B6C" w:rsidRDefault="00EC6AAB" w:rsidP="005A13C0">
            <w:pPr>
              <w:pStyle w:val="TAC"/>
            </w:pPr>
            <w:r w:rsidRPr="00873B6C">
              <w:t>Get</w:t>
            </w:r>
          </w:p>
        </w:tc>
        <w:tc>
          <w:tcPr>
            <w:tcW w:w="1134" w:type="dxa"/>
            <w:tcBorders>
              <w:bottom w:val="single" w:sz="4" w:space="0" w:color="auto"/>
            </w:tcBorders>
            <w:vAlign w:val="center"/>
          </w:tcPr>
          <w:p w14:paraId="77F6BE10" w14:textId="0013F218" w:rsidR="00EC6AAB" w:rsidRPr="00873B6C" w:rsidRDefault="00EC6AAB" w:rsidP="005A13C0">
            <w:pPr>
              <w:pStyle w:val="TAC"/>
            </w:pPr>
            <w:r w:rsidRPr="00873B6C">
              <w:t>Get</w:t>
            </w:r>
          </w:p>
        </w:tc>
        <w:tc>
          <w:tcPr>
            <w:tcW w:w="2973" w:type="dxa"/>
            <w:tcBorders>
              <w:bottom w:val="single" w:sz="4" w:space="0" w:color="auto"/>
            </w:tcBorders>
            <w:vAlign w:val="center"/>
          </w:tcPr>
          <w:p w14:paraId="4FE6540A" w14:textId="183B3B38" w:rsidR="00EC6AAB" w:rsidRPr="00873B6C" w:rsidRDefault="00EC6AAB" w:rsidP="00EC6AAB">
            <w:pPr>
              <w:pStyle w:val="TAL"/>
            </w:pPr>
            <w:r w:rsidRPr="00873B6C">
              <w:t>IEEE Std 802.1Q [98], Table 46-3</w:t>
            </w:r>
          </w:p>
        </w:tc>
      </w:tr>
      <w:tr w:rsidR="00EC6AAB" w:rsidRPr="00873B6C" w14:paraId="5AC2723D" w14:textId="77777777" w:rsidTr="005A13C0">
        <w:tc>
          <w:tcPr>
            <w:tcW w:w="277" w:type="dxa"/>
            <w:tcBorders>
              <w:right w:val="nil"/>
            </w:tcBorders>
          </w:tcPr>
          <w:p w14:paraId="54A68CEC" w14:textId="77777777" w:rsidR="00EC6AAB" w:rsidRPr="00873B6C" w:rsidRDefault="00EC6AAB" w:rsidP="00EC6AAB">
            <w:pPr>
              <w:pStyle w:val="TAL"/>
              <w:rPr>
                <w:b/>
                <w:bCs/>
              </w:rPr>
            </w:pPr>
          </w:p>
        </w:tc>
        <w:tc>
          <w:tcPr>
            <w:tcW w:w="9354" w:type="dxa"/>
            <w:gridSpan w:val="4"/>
            <w:tcBorders>
              <w:left w:val="nil"/>
            </w:tcBorders>
            <w:vAlign w:val="center"/>
          </w:tcPr>
          <w:p w14:paraId="653FC702" w14:textId="335B852C" w:rsidR="00EC6AAB" w:rsidRPr="00873B6C" w:rsidRDefault="00EC6AAB" w:rsidP="00EC6AAB">
            <w:pPr>
              <w:pStyle w:val="TAL"/>
              <w:rPr>
                <w:b/>
                <w:bCs/>
              </w:rPr>
            </w:pPr>
            <w:r w:rsidRPr="00873B6C">
              <w:rPr>
                <w:b/>
                <w:bCs/>
              </w:rPr>
              <w:t>InterfaceCapabilities (see NOTE 3)</w:t>
            </w:r>
          </w:p>
        </w:tc>
      </w:tr>
      <w:tr w:rsidR="00EC6AAB" w:rsidRPr="00873B6C" w14:paraId="1878C22F" w14:textId="77777777" w:rsidTr="005A13C0">
        <w:tc>
          <w:tcPr>
            <w:tcW w:w="277" w:type="dxa"/>
            <w:tcBorders>
              <w:right w:val="nil"/>
            </w:tcBorders>
          </w:tcPr>
          <w:p w14:paraId="063E0591" w14:textId="77777777" w:rsidR="00EC6AAB" w:rsidRPr="00873B6C" w:rsidRDefault="00EC6AAB" w:rsidP="00EC6AAB">
            <w:pPr>
              <w:pStyle w:val="TAL"/>
            </w:pPr>
          </w:p>
        </w:tc>
        <w:tc>
          <w:tcPr>
            <w:tcW w:w="4113" w:type="dxa"/>
            <w:tcBorders>
              <w:left w:val="nil"/>
            </w:tcBorders>
            <w:vAlign w:val="center"/>
          </w:tcPr>
          <w:p w14:paraId="70A5782E" w14:textId="5910C876" w:rsidR="00EC6AAB" w:rsidRPr="00873B6C" w:rsidRDefault="00EC6AAB" w:rsidP="00EC6AAB">
            <w:pPr>
              <w:pStyle w:val="TAL"/>
            </w:pPr>
            <w:r w:rsidRPr="00873B6C">
              <w:t>&gt;VlanTagCapable (see NOTE 4)</w:t>
            </w:r>
          </w:p>
        </w:tc>
        <w:tc>
          <w:tcPr>
            <w:tcW w:w="1134" w:type="dxa"/>
            <w:vAlign w:val="center"/>
          </w:tcPr>
          <w:p w14:paraId="17007DBE" w14:textId="73E73892" w:rsidR="00EC6AAB" w:rsidRPr="00873B6C" w:rsidRDefault="00EC6AAB" w:rsidP="005A13C0">
            <w:pPr>
              <w:pStyle w:val="TAC"/>
            </w:pPr>
            <w:r w:rsidRPr="00873B6C">
              <w:t>Get</w:t>
            </w:r>
          </w:p>
        </w:tc>
        <w:tc>
          <w:tcPr>
            <w:tcW w:w="1134" w:type="dxa"/>
            <w:vAlign w:val="center"/>
          </w:tcPr>
          <w:p w14:paraId="08E48D69" w14:textId="087233DA" w:rsidR="00EC6AAB" w:rsidRPr="00873B6C" w:rsidRDefault="00EC6AAB" w:rsidP="005A13C0">
            <w:pPr>
              <w:pStyle w:val="TAC"/>
            </w:pPr>
            <w:r w:rsidRPr="00873B6C">
              <w:t>Get</w:t>
            </w:r>
          </w:p>
        </w:tc>
        <w:tc>
          <w:tcPr>
            <w:tcW w:w="2973" w:type="dxa"/>
            <w:vAlign w:val="center"/>
          </w:tcPr>
          <w:p w14:paraId="4311AF24" w14:textId="36886772" w:rsidR="00EC6AAB" w:rsidRPr="00873B6C" w:rsidRDefault="00EC6AAB" w:rsidP="00EC6AAB">
            <w:pPr>
              <w:pStyle w:val="TAL"/>
            </w:pPr>
            <w:r w:rsidRPr="00873B6C">
              <w:t>IEEE Std 802.1Q [98], Table 46-</w:t>
            </w:r>
            <w:r w:rsidR="00965644" w:rsidRPr="00873B6C">
              <w:t>11</w:t>
            </w:r>
          </w:p>
        </w:tc>
      </w:tr>
      <w:tr w:rsidR="00EC6AAB" w:rsidRPr="00873B6C" w14:paraId="227F46F9" w14:textId="77777777" w:rsidTr="005A13C0">
        <w:tc>
          <w:tcPr>
            <w:tcW w:w="277" w:type="dxa"/>
            <w:tcBorders>
              <w:bottom w:val="single" w:sz="4" w:space="0" w:color="auto"/>
              <w:right w:val="nil"/>
            </w:tcBorders>
          </w:tcPr>
          <w:p w14:paraId="7E1AAF09" w14:textId="77777777" w:rsidR="00EC6AAB" w:rsidRPr="00873B6C" w:rsidRDefault="00EC6AAB" w:rsidP="00EC6AAB">
            <w:pPr>
              <w:pStyle w:val="TAL"/>
            </w:pPr>
          </w:p>
        </w:tc>
        <w:tc>
          <w:tcPr>
            <w:tcW w:w="4113" w:type="dxa"/>
            <w:tcBorders>
              <w:left w:val="nil"/>
              <w:bottom w:val="single" w:sz="4" w:space="0" w:color="auto"/>
            </w:tcBorders>
            <w:vAlign w:val="center"/>
          </w:tcPr>
          <w:p w14:paraId="6BBE5133" w14:textId="333D5C4C" w:rsidR="00EC6AAB" w:rsidRPr="00873B6C" w:rsidRDefault="00EC6AAB" w:rsidP="00EC6AAB">
            <w:pPr>
              <w:pStyle w:val="TAL"/>
            </w:pPr>
            <w:r w:rsidRPr="00873B6C">
              <w:t>&gt;BufferCapability (see NOTE 5)</w:t>
            </w:r>
          </w:p>
        </w:tc>
        <w:tc>
          <w:tcPr>
            <w:tcW w:w="1134" w:type="dxa"/>
            <w:tcBorders>
              <w:bottom w:val="single" w:sz="4" w:space="0" w:color="auto"/>
            </w:tcBorders>
            <w:vAlign w:val="center"/>
          </w:tcPr>
          <w:p w14:paraId="7F3E0058" w14:textId="540AA51A" w:rsidR="00EC6AAB" w:rsidRPr="00873B6C" w:rsidRDefault="00EC6AAB" w:rsidP="005A13C0">
            <w:pPr>
              <w:pStyle w:val="TAC"/>
            </w:pPr>
            <w:r w:rsidRPr="00873B6C">
              <w:t>Get</w:t>
            </w:r>
          </w:p>
        </w:tc>
        <w:tc>
          <w:tcPr>
            <w:tcW w:w="1134" w:type="dxa"/>
            <w:tcBorders>
              <w:bottom w:val="single" w:sz="4" w:space="0" w:color="auto"/>
            </w:tcBorders>
            <w:vAlign w:val="center"/>
          </w:tcPr>
          <w:p w14:paraId="08A022B0" w14:textId="376CB9F3" w:rsidR="00EC6AAB" w:rsidRPr="00873B6C" w:rsidRDefault="00EC6AAB" w:rsidP="005A13C0">
            <w:pPr>
              <w:pStyle w:val="TAC"/>
            </w:pPr>
            <w:r w:rsidRPr="00873B6C">
              <w:t>-</w:t>
            </w:r>
          </w:p>
        </w:tc>
        <w:tc>
          <w:tcPr>
            <w:tcW w:w="2973" w:type="dxa"/>
            <w:tcBorders>
              <w:bottom w:val="single" w:sz="4" w:space="0" w:color="auto"/>
            </w:tcBorders>
            <w:vAlign w:val="center"/>
          </w:tcPr>
          <w:p w14:paraId="025F7104" w14:textId="61268182" w:rsidR="00EC6AAB" w:rsidRPr="00873B6C" w:rsidRDefault="00EC6AAB" w:rsidP="00EC6AAB">
            <w:pPr>
              <w:pStyle w:val="TAL"/>
            </w:pPr>
            <w:r w:rsidRPr="00873B6C">
              <w:t>Annex M.1</w:t>
            </w:r>
          </w:p>
        </w:tc>
      </w:tr>
      <w:tr w:rsidR="00EC6AAB" w:rsidRPr="00873B6C" w14:paraId="25586B3F" w14:textId="77777777" w:rsidTr="00C9561D">
        <w:tc>
          <w:tcPr>
            <w:tcW w:w="9631" w:type="dxa"/>
            <w:gridSpan w:val="5"/>
            <w:tcBorders>
              <w:bottom w:val="single" w:sz="4" w:space="0" w:color="auto"/>
            </w:tcBorders>
          </w:tcPr>
          <w:p w14:paraId="38FEE308" w14:textId="7D359DB3" w:rsidR="00EC6AAB" w:rsidRPr="00873B6C" w:rsidRDefault="00EC6AAB" w:rsidP="00EC6AAB">
            <w:pPr>
              <w:pStyle w:val="TAL"/>
              <w:rPr>
                <w:b/>
                <w:bCs/>
              </w:rPr>
            </w:pPr>
            <w:r w:rsidRPr="00873B6C">
              <w:rPr>
                <w:b/>
                <w:bCs/>
              </w:rPr>
              <w:t>TN Stream Parameters</w:t>
            </w:r>
          </w:p>
        </w:tc>
      </w:tr>
      <w:tr w:rsidR="00EC6AAB" w:rsidRPr="00873B6C" w14:paraId="2C27BE98" w14:textId="77777777" w:rsidTr="005A13C0">
        <w:tc>
          <w:tcPr>
            <w:tcW w:w="277" w:type="dxa"/>
            <w:tcBorders>
              <w:right w:val="nil"/>
            </w:tcBorders>
          </w:tcPr>
          <w:p w14:paraId="54F69EB3" w14:textId="77777777" w:rsidR="00EC6AAB" w:rsidRPr="00873B6C" w:rsidRDefault="00EC6AAB" w:rsidP="00EC6AAB">
            <w:pPr>
              <w:pStyle w:val="TAL"/>
              <w:rPr>
                <w:b/>
                <w:bCs/>
              </w:rPr>
            </w:pPr>
          </w:p>
        </w:tc>
        <w:tc>
          <w:tcPr>
            <w:tcW w:w="9354" w:type="dxa"/>
            <w:gridSpan w:val="4"/>
            <w:tcBorders>
              <w:left w:val="nil"/>
            </w:tcBorders>
          </w:tcPr>
          <w:p w14:paraId="4C171259" w14:textId="26BD6A9C" w:rsidR="00EC6AAB" w:rsidRPr="00873B6C" w:rsidRDefault="00EC6AAB" w:rsidP="00EC6AAB">
            <w:pPr>
              <w:pStyle w:val="TAL"/>
              <w:rPr>
                <w:b/>
                <w:bCs/>
              </w:rPr>
            </w:pPr>
            <w:r w:rsidRPr="00873B6C">
              <w:rPr>
                <w:b/>
                <w:bCs/>
              </w:rPr>
              <w:t>TN Stream Identification Information for mask-and-match (see NOTE 7, NOTE 14)</w:t>
            </w:r>
          </w:p>
        </w:tc>
      </w:tr>
      <w:tr w:rsidR="00EC6AAB" w:rsidRPr="00873B6C" w14:paraId="6C1FE52F" w14:textId="77777777" w:rsidTr="005A13C0">
        <w:tc>
          <w:tcPr>
            <w:tcW w:w="277" w:type="dxa"/>
            <w:tcBorders>
              <w:right w:val="nil"/>
            </w:tcBorders>
          </w:tcPr>
          <w:p w14:paraId="086FE8EA" w14:textId="77777777" w:rsidR="00EC6AAB" w:rsidRPr="00873B6C" w:rsidRDefault="00EC6AAB" w:rsidP="00EC6AAB">
            <w:pPr>
              <w:pStyle w:val="TAL"/>
            </w:pPr>
          </w:p>
        </w:tc>
        <w:tc>
          <w:tcPr>
            <w:tcW w:w="4113" w:type="dxa"/>
            <w:tcBorders>
              <w:left w:val="nil"/>
            </w:tcBorders>
            <w:vAlign w:val="center"/>
          </w:tcPr>
          <w:p w14:paraId="78E98135" w14:textId="6472ED4C" w:rsidR="00EC6AAB" w:rsidRPr="00873B6C" w:rsidRDefault="00EC6AAB" w:rsidP="00EC6AAB">
            <w:pPr>
              <w:pStyle w:val="TAL"/>
            </w:pPr>
            <w:r w:rsidRPr="00873B6C">
              <w:t>&gt;tsnCpeMmIdMsduMaskLength</w:t>
            </w:r>
          </w:p>
        </w:tc>
        <w:tc>
          <w:tcPr>
            <w:tcW w:w="1134" w:type="dxa"/>
            <w:vAlign w:val="center"/>
          </w:tcPr>
          <w:p w14:paraId="310ED427" w14:textId="28065B2C" w:rsidR="00EC6AAB" w:rsidRPr="00873B6C" w:rsidRDefault="00EC6AAB" w:rsidP="005A13C0">
            <w:pPr>
              <w:pStyle w:val="TAC"/>
            </w:pPr>
            <w:r w:rsidRPr="00873B6C">
              <w:t>Set</w:t>
            </w:r>
          </w:p>
        </w:tc>
        <w:tc>
          <w:tcPr>
            <w:tcW w:w="1134" w:type="dxa"/>
            <w:vAlign w:val="center"/>
          </w:tcPr>
          <w:p w14:paraId="20EDA66D" w14:textId="16E4634E" w:rsidR="00EC6AAB" w:rsidRPr="00873B6C" w:rsidRDefault="00EC6AAB" w:rsidP="005A13C0">
            <w:pPr>
              <w:pStyle w:val="TAC"/>
            </w:pPr>
            <w:r w:rsidRPr="00873B6C">
              <w:t>Set</w:t>
            </w:r>
          </w:p>
        </w:tc>
        <w:tc>
          <w:tcPr>
            <w:tcW w:w="2973" w:type="dxa"/>
            <w:vAlign w:val="center"/>
          </w:tcPr>
          <w:p w14:paraId="5816574C" w14:textId="52C26347" w:rsidR="00EC6AAB" w:rsidRPr="00873B6C" w:rsidRDefault="00EC6AAB" w:rsidP="00EC6AAB">
            <w:pPr>
              <w:pStyle w:val="TAL"/>
            </w:pPr>
            <w:r w:rsidRPr="00873B6C">
              <w:t>IEEE Std  802.1CBdb [X], clause 9.1.6.5</w:t>
            </w:r>
          </w:p>
        </w:tc>
      </w:tr>
      <w:tr w:rsidR="00EC6AAB" w:rsidRPr="00873B6C" w14:paraId="3EDE3991" w14:textId="77777777" w:rsidTr="005A13C0">
        <w:tc>
          <w:tcPr>
            <w:tcW w:w="277" w:type="dxa"/>
            <w:tcBorders>
              <w:right w:val="nil"/>
            </w:tcBorders>
          </w:tcPr>
          <w:p w14:paraId="6BD8BEA2" w14:textId="77777777" w:rsidR="00EC6AAB" w:rsidRPr="00873B6C" w:rsidRDefault="00EC6AAB" w:rsidP="00EC6AAB">
            <w:pPr>
              <w:pStyle w:val="TAL"/>
            </w:pPr>
          </w:p>
        </w:tc>
        <w:tc>
          <w:tcPr>
            <w:tcW w:w="4113" w:type="dxa"/>
            <w:tcBorders>
              <w:left w:val="nil"/>
            </w:tcBorders>
            <w:vAlign w:val="center"/>
          </w:tcPr>
          <w:p w14:paraId="1EA82F77" w14:textId="066780A0" w:rsidR="00EC6AAB" w:rsidRPr="00873B6C" w:rsidRDefault="00EC6AAB" w:rsidP="00EC6AAB">
            <w:pPr>
              <w:pStyle w:val="TAL"/>
            </w:pPr>
            <w:r w:rsidRPr="00873B6C">
              <w:t>&gt;tsnCpeMmIdMsduMask</w:t>
            </w:r>
          </w:p>
        </w:tc>
        <w:tc>
          <w:tcPr>
            <w:tcW w:w="1134" w:type="dxa"/>
            <w:vAlign w:val="center"/>
          </w:tcPr>
          <w:p w14:paraId="3531B795" w14:textId="4BBE27D5" w:rsidR="00EC6AAB" w:rsidRPr="00873B6C" w:rsidRDefault="00EC6AAB" w:rsidP="005A13C0">
            <w:pPr>
              <w:pStyle w:val="TAC"/>
            </w:pPr>
            <w:r w:rsidRPr="00873B6C">
              <w:t>Set</w:t>
            </w:r>
          </w:p>
        </w:tc>
        <w:tc>
          <w:tcPr>
            <w:tcW w:w="1134" w:type="dxa"/>
            <w:vAlign w:val="center"/>
          </w:tcPr>
          <w:p w14:paraId="4F5C9051" w14:textId="590AE893" w:rsidR="00EC6AAB" w:rsidRPr="00873B6C" w:rsidRDefault="00EC6AAB" w:rsidP="005A13C0">
            <w:pPr>
              <w:pStyle w:val="TAC"/>
            </w:pPr>
            <w:r w:rsidRPr="00873B6C">
              <w:t>Set</w:t>
            </w:r>
          </w:p>
        </w:tc>
        <w:tc>
          <w:tcPr>
            <w:tcW w:w="2973" w:type="dxa"/>
            <w:vAlign w:val="center"/>
          </w:tcPr>
          <w:p w14:paraId="2D194E51" w14:textId="12893336" w:rsidR="00EC6AAB" w:rsidRPr="00873B6C" w:rsidRDefault="00EC6AAB" w:rsidP="00EC6AAB">
            <w:pPr>
              <w:pStyle w:val="TAL"/>
            </w:pPr>
            <w:r w:rsidRPr="00873B6C">
              <w:t>IEEE Std  802.1CBdb [X], clause 9.1.6.6</w:t>
            </w:r>
          </w:p>
        </w:tc>
      </w:tr>
      <w:tr w:rsidR="00EC6AAB" w:rsidRPr="00873B6C" w14:paraId="232088BC" w14:textId="77777777" w:rsidTr="005A13C0">
        <w:tc>
          <w:tcPr>
            <w:tcW w:w="277" w:type="dxa"/>
            <w:tcBorders>
              <w:bottom w:val="single" w:sz="4" w:space="0" w:color="auto"/>
              <w:right w:val="nil"/>
            </w:tcBorders>
          </w:tcPr>
          <w:p w14:paraId="73B0C297" w14:textId="77777777" w:rsidR="00EC6AAB" w:rsidRPr="00873B6C" w:rsidRDefault="00EC6AAB" w:rsidP="00EC6AAB">
            <w:pPr>
              <w:pStyle w:val="TAL"/>
            </w:pPr>
          </w:p>
        </w:tc>
        <w:tc>
          <w:tcPr>
            <w:tcW w:w="4113" w:type="dxa"/>
            <w:tcBorders>
              <w:left w:val="nil"/>
              <w:bottom w:val="single" w:sz="4" w:space="0" w:color="auto"/>
            </w:tcBorders>
            <w:vAlign w:val="center"/>
          </w:tcPr>
          <w:p w14:paraId="104FCA78" w14:textId="347E4FFF" w:rsidR="00EC6AAB" w:rsidRPr="00873B6C" w:rsidRDefault="00EC6AAB" w:rsidP="00EC6AAB">
            <w:pPr>
              <w:pStyle w:val="TAL"/>
            </w:pPr>
            <w:r w:rsidRPr="00873B6C">
              <w:t>&gt;tsnCpeMmIdMsduMatch</w:t>
            </w:r>
          </w:p>
        </w:tc>
        <w:tc>
          <w:tcPr>
            <w:tcW w:w="1134" w:type="dxa"/>
            <w:tcBorders>
              <w:bottom w:val="single" w:sz="4" w:space="0" w:color="auto"/>
            </w:tcBorders>
            <w:vAlign w:val="center"/>
          </w:tcPr>
          <w:p w14:paraId="601713EA" w14:textId="6CCFB802" w:rsidR="00EC6AAB" w:rsidRPr="00873B6C" w:rsidRDefault="00EC6AAB" w:rsidP="005A13C0">
            <w:pPr>
              <w:pStyle w:val="TAC"/>
            </w:pPr>
            <w:r w:rsidRPr="00873B6C">
              <w:t>Set</w:t>
            </w:r>
          </w:p>
        </w:tc>
        <w:tc>
          <w:tcPr>
            <w:tcW w:w="1134" w:type="dxa"/>
            <w:tcBorders>
              <w:bottom w:val="single" w:sz="4" w:space="0" w:color="auto"/>
            </w:tcBorders>
            <w:vAlign w:val="center"/>
          </w:tcPr>
          <w:p w14:paraId="7063EC4B" w14:textId="77D324C7" w:rsidR="00EC6AAB" w:rsidRPr="00873B6C" w:rsidRDefault="00EC6AAB" w:rsidP="005A13C0">
            <w:pPr>
              <w:pStyle w:val="TAC"/>
            </w:pPr>
            <w:r w:rsidRPr="00873B6C">
              <w:t>Set</w:t>
            </w:r>
          </w:p>
        </w:tc>
        <w:tc>
          <w:tcPr>
            <w:tcW w:w="2973" w:type="dxa"/>
            <w:tcBorders>
              <w:bottom w:val="single" w:sz="4" w:space="0" w:color="auto"/>
            </w:tcBorders>
            <w:vAlign w:val="center"/>
          </w:tcPr>
          <w:p w14:paraId="446CF5DA" w14:textId="7A36D077" w:rsidR="00EC6AAB" w:rsidRPr="00873B6C" w:rsidRDefault="00EC6AAB" w:rsidP="00EC6AAB">
            <w:pPr>
              <w:pStyle w:val="TAL"/>
            </w:pPr>
            <w:r w:rsidRPr="00873B6C">
              <w:t>IEEE Std  802.1CBdb [X], clause 9.1.6.7</w:t>
            </w:r>
          </w:p>
        </w:tc>
      </w:tr>
      <w:tr w:rsidR="00EC6AAB" w:rsidRPr="00873B6C" w14:paraId="3051C724" w14:textId="77777777" w:rsidTr="00C9561D">
        <w:tc>
          <w:tcPr>
            <w:tcW w:w="9631" w:type="dxa"/>
            <w:gridSpan w:val="5"/>
          </w:tcPr>
          <w:p w14:paraId="663592E8" w14:textId="0DE068BF" w:rsidR="00EC6AAB" w:rsidRPr="00873B6C" w:rsidRDefault="00EC6AAB" w:rsidP="00EC6AAB">
            <w:pPr>
              <w:pStyle w:val="TAL"/>
              <w:rPr>
                <w:b/>
                <w:bCs/>
              </w:rPr>
            </w:pPr>
            <w:r w:rsidRPr="00873B6C">
              <w:rPr>
                <w:b/>
                <w:bCs/>
              </w:rPr>
              <w:t>TN Stream Identification Information for DataFrameSpecification (See NOTE 13, NOTE 14)</w:t>
            </w:r>
          </w:p>
        </w:tc>
      </w:tr>
      <w:tr w:rsidR="00EC6AAB" w:rsidRPr="00873B6C" w14:paraId="2199449F" w14:textId="77777777" w:rsidTr="005A13C0">
        <w:tc>
          <w:tcPr>
            <w:tcW w:w="277" w:type="dxa"/>
            <w:tcBorders>
              <w:right w:val="nil"/>
            </w:tcBorders>
          </w:tcPr>
          <w:p w14:paraId="0E46A738" w14:textId="77777777" w:rsidR="00EC6AAB" w:rsidRPr="00873B6C" w:rsidRDefault="00EC6AAB" w:rsidP="00EC6AAB">
            <w:pPr>
              <w:pStyle w:val="TAL"/>
            </w:pPr>
          </w:p>
        </w:tc>
        <w:tc>
          <w:tcPr>
            <w:tcW w:w="4113" w:type="dxa"/>
            <w:tcBorders>
              <w:left w:val="nil"/>
            </w:tcBorders>
            <w:vAlign w:val="center"/>
          </w:tcPr>
          <w:p w14:paraId="5DC6BE2B" w14:textId="6DC28C5A" w:rsidR="00EC6AAB" w:rsidRPr="00873B6C" w:rsidRDefault="00EC6AAB" w:rsidP="00EC6AAB">
            <w:pPr>
              <w:pStyle w:val="TAL"/>
            </w:pPr>
            <w:r w:rsidRPr="00873B6C">
              <w:t>&gt;DataFrameSpecification</w:t>
            </w:r>
          </w:p>
        </w:tc>
        <w:tc>
          <w:tcPr>
            <w:tcW w:w="1134" w:type="dxa"/>
            <w:vAlign w:val="center"/>
          </w:tcPr>
          <w:p w14:paraId="2C7A6FA8" w14:textId="5B8F5766" w:rsidR="00EC6AAB" w:rsidRPr="00873B6C" w:rsidRDefault="00EC6AAB" w:rsidP="005A13C0">
            <w:pPr>
              <w:pStyle w:val="TAC"/>
            </w:pPr>
            <w:r w:rsidRPr="00873B6C">
              <w:t>Set</w:t>
            </w:r>
          </w:p>
        </w:tc>
        <w:tc>
          <w:tcPr>
            <w:tcW w:w="1134" w:type="dxa"/>
            <w:vAlign w:val="center"/>
          </w:tcPr>
          <w:p w14:paraId="701A596B" w14:textId="2518C3E4" w:rsidR="00EC6AAB" w:rsidRPr="00873B6C" w:rsidRDefault="00EC6AAB" w:rsidP="005A13C0">
            <w:pPr>
              <w:pStyle w:val="TAC"/>
            </w:pPr>
            <w:r w:rsidRPr="00873B6C">
              <w:t>Set</w:t>
            </w:r>
          </w:p>
        </w:tc>
        <w:tc>
          <w:tcPr>
            <w:tcW w:w="2973" w:type="dxa"/>
            <w:vAlign w:val="center"/>
          </w:tcPr>
          <w:p w14:paraId="3DE55276" w14:textId="421FC184" w:rsidR="00EC6AAB" w:rsidRPr="00873B6C" w:rsidRDefault="00EC6AAB" w:rsidP="00EC6AAB">
            <w:pPr>
              <w:pStyle w:val="TAL"/>
            </w:pPr>
            <w:r w:rsidRPr="00873B6C">
              <w:t>IEEE Std 802.1Q [98], Clause 46.2.3.4</w:t>
            </w:r>
          </w:p>
        </w:tc>
      </w:tr>
      <w:tr w:rsidR="00EC6AAB" w:rsidRPr="00873B6C" w14:paraId="63FD0AA4" w14:textId="77777777" w:rsidTr="00C9561D">
        <w:tc>
          <w:tcPr>
            <w:tcW w:w="9631" w:type="dxa"/>
            <w:gridSpan w:val="5"/>
          </w:tcPr>
          <w:p w14:paraId="1980244B" w14:textId="5A76FF53" w:rsidR="00EC6AAB" w:rsidRPr="00873B6C" w:rsidRDefault="00EC6AAB" w:rsidP="00EC6AAB">
            <w:pPr>
              <w:pStyle w:val="TAL"/>
              <w:rPr>
                <w:b/>
                <w:bCs/>
              </w:rPr>
            </w:pPr>
            <w:r w:rsidRPr="00873B6C">
              <w:rPr>
                <w:b/>
                <w:bCs/>
              </w:rPr>
              <w:t>Configuration of End Station</w:t>
            </w:r>
            <w:r w:rsidR="00517FBD" w:rsidRPr="00873B6C">
              <w:rPr>
                <w:b/>
                <w:bCs/>
              </w:rPr>
              <w:t xml:space="preserve"> Interface</w:t>
            </w:r>
          </w:p>
        </w:tc>
      </w:tr>
      <w:tr w:rsidR="00EC6AAB" w:rsidRPr="00873B6C" w14:paraId="4EBB847D" w14:textId="77777777" w:rsidTr="005A13C0">
        <w:tc>
          <w:tcPr>
            <w:tcW w:w="277" w:type="dxa"/>
            <w:tcBorders>
              <w:right w:val="nil"/>
            </w:tcBorders>
          </w:tcPr>
          <w:p w14:paraId="5E3797B1" w14:textId="77777777" w:rsidR="00EC6AAB" w:rsidRPr="00873B6C" w:rsidRDefault="00EC6AAB" w:rsidP="00EC6AAB">
            <w:pPr>
              <w:pStyle w:val="TAL"/>
              <w:rPr>
                <w:b/>
                <w:bCs/>
              </w:rPr>
            </w:pPr>
          </w:p>
        </w:tc>
        <w:tc>
          <w:tcPr>
            <w:tcW w:w="9354" w:type="dxa"/>
            <w:gridSpan w:val="4"/>
            <w:tcBorders>
              <w:left w:val="nil"/>
            </w:tcBorders>
          </w:tcPr>
          <w:p w14:paraId="7D8E14A9" w14:textId="5AAF727E" w:rsidR="00EC6AAB" w:rsidRPr="00873B6C" w:rsidRDefault="00517FBD" w:rsidP="00EC6AAB">
            <w:pPr>
              <w:pStyle w:val="TAL"/>
              <w:rPr>
                <w:b/>
                <w:bCs/>
              </w:rPr>
            </w:pPr>
            <w:r w:rsidRPr="00873B6C">
              <w:rPr>
                <w:b/>
                <w:bCs/>
              </w:rPr>
              <w:t>&gt;</w:t>
            </w:r>
            <w:r w:rsidR="00EC6AAB" w:rsidRPr="00873B6C">
              <w:rPr>
                <w:b/>
                <w:bCs/>
              </w:rPr>
              <w:t>Interface</w:t>
            </w:r>
            <w:r w:rsidRPr="00873B6C">
              <w:rPr>
                <w:b/>
                <w:bCs/>
              </w:rPr>
              <w:t xml:space="preserve"> ID group</w:t>
            </w:r>
          </w:p>
        </w:tc>
      </w:tr>
      <w:tr w:rsidR="00EC6AAB" w:rsidRPr="00873B6C" w14:paraId="497D0482" w14:textId="77777777" w:rsidTr="005A13C0">
        <w:tc>
          <w:tcPr>
            <w:tcW w:w="277" w:type="dxa"/>
            <w:tcBorders>
              <w:bottom w:val="single" w:sz="4" w:space="0" w:color="auto"/>
              <w:right w:val="nil"/>
            </w:tcBorders>
          </w:tcPr>
          <w:p w14:paraId="027DAF2E" w14:textId="77777777" w:rsidR="00EC6AAB" w:rsidRPr="00873B6C" w:rsidRDefault="00EC6AAB" w:rsidP="00EC6AAB">
            <w:pPr>
              <w:pStyle w:val="TAL"/>
            </w:pPr>
          </w:p>
        </w:tc>
        <w:tc>
          <w:tcPr>
            <w:tcW w:w="4113" w:type="dxa"/>
            <w:tcBorders>
              <w:left w:val="nil"/>
              <w:bottom w:val="single" w:sz="4" w:space="0" w:color="auto"/>
            </w:tcBorders>
            <w:vAlign w:val="center"/>
          </w:tcPr>
          <w:p w14:paraId="0AD69B3C" w14:textId="6C490493" w:rsidR="00EC6AAB" w:rsidRPr="00873B6C" w:rsidRDefault="00EC6AAB" w:rsidP="00EC6AAB">
            <w:pPr>
              <w:pStyle w:val="TAL"/>
            </w:pPr>
            <w:r w:rsidRPr="00873B6C">
              <w:t>&gt;</w:t>
            </w:r>
            <w:r w:rsidR="00517FBD" w:rsidRPr="00873B6C">
              <w:t>&gt;</w:t>
            </w:r>
            <w:r w:rsidRPr="00873B6C">
              <w:t>InterfaceName (see NOTE 8)</w:t>
            </w:r>
          </w:p>
        </w:tc>
        <w:tc>
          <w:tcPr>
            <w:tcW w:w="1134" w:type="dxa"/>
            <w:tcBorders>
              <w:bottom w:val="single" w:sz="4" w:space="0" w:color="auto"/>
            </w:tcBorders>
            <w:vAlign w:val="center"/>
          </w:tcPr>
          <w:p w14:paraId="660E0EE2" w14:textId="2A16EA58" w:rsidR="00EC6AAB" w:rsidRPr="00873B6C" w:rsidRDefault="00EC6AAB" w:rsidP="005A13C0">
            <w:pPr>
              <w:pStyle w:val="TAC"/>
            </w:pPr>
            <w:r w:rsidRPr="00873B6C">
              <w:t>Set</w:t>
            </w:r>
          </w:p>
        </w:tc>
        <w:tc>
          <w:tcPr>
            <w:tcW w:w="1134" w:type="dxa"/>
            <w:tcBorders>
              <w:bottom w:val="single" w:sz="4" w:space="0" w:color="auto"/>
            </w:tcBorders>
            <w:vAlign w:val="center"/>
          </w:tcPr>
          <w:p w14:paraId="445DD5E2" w14:textId="4C28F208" w:rsidR="00EC6AAB" w:rsidRPr="00873B6C" w:rsidRDefault="00EC6AAB" w:rsidP="005A13C0">
            <w:pPr>
              <w:pStyle w:val="TAC"/>
            </w:pPr>
            <w:r w:rsidRPr="00873B6C">
              <w:t>Set</w:t>
            </w:r>
          </w:p>
        </w:tc>
        <w:tc>
          <w:tcPr>
            <w:tcW w:w="2973" w:type="dxa"/>
            <w:tcBorders>
              <w:bottom w:val="single" w:sz="4" w:space="0" w:color="auto"/>
            </w:tcBorders>
            <w:vAlign w:val="center"/>
          </w:tcPr>
          <w:p w14:paraId="5EE31A83" w14:textId="59DA025C" w:rsidR="00EC6AAB" w:rsidRPr="00873B6C" w:rsidRDefault="00EC6AAB" w:rsidP="00EC6AAB">
            <w:pPr>
              <w:pStyle w:val="TAL"/>
            </w:pPr>
            <w:r w:rsidRPr="00873B6C">
              <w:t>IEEE Std 802.1Q [98],Table 46-3</w:t>
            </w:r>
          </w:p>
        </w:tc>
      </w:tr>
      <w:tr w:rsidR="00517FBD" w:rsidRPr="00873B6C" w14:paraId="3A9A3619" w14:textId="77777777" w:rsidTr="00C9561D">
        <w:tc>
          <w:tcPr>
            <w:tcW w:w="277" w:type="dxa"/>
            <w:tcBorders>
              <w:bottom w:val="single" w:sz="4" w:space="0" w:color="auto"/>
              <w:right w:val="nil"/>
            </w:tcBorders>
          </w:tcPr>
          <w:p w14:paraId="66B1F260" w14:textId="77777777" w:rsidR="00517FBD" w:rsidRPr="00873B6C" w:rsidRDefault="00517FBD" w:rsidP="00517FBD">
            <w:pPr>
              <w:pStyle w:val="TAL"/>
            </w:pPr>
          </w:p>
        </w:tc>
        <w:tc>
          <w:tcPr>
            <w:tcW w:w="4113" w:type="dxa"/>
            <w:tcBorders>
              <w:left w:val="nil"/>
              <w:bottom w:val="single" w:sz="4" w:space="0" w:color="auto"/>
            </w:tcBorders>
            <w:vAlign w:val="center"/>
          </w:tcPr>
          <w:p w14:paraId="53AC2D02" w14:textId="58E952C6" w:rsidR="00517FBD" w:rsidRPr="00873B6C" w:rsidRDefault="00517FBD" w:rsidP="00517FBD">
            <w:pPr>
              <w:pStyle w:val="TAL"/>
            </w:pPr>
            <w:r w:rsidRPr="00873B6C">
              <w:t>&gt;&gt;Mac Address</w:t>
            </w:r>
          </w:p>
        </w:tc>
        <w:tc>
          <w:tcPr>
            <w:tcW w:w="1134" w:type="dxa"/>
            <w:tcBorders>
              <w:bottom w:val="single" w:sz="4" w:space="0" w:color="auto"/>
            </w:tcBorders>
            <w:vAlign w:val="center"/>
          </w:tcPr>
          <w:p w14:paraId="0F47814B" w14:textId="3C8D99A4" w:rsidR="00517FBD" w:rsidRPr="00873B6C" w:rsidRDefault="00517FBD" w:rsidP="00517FBD">
            <w:pPr>
              <w:pStyle w:val="TAC"/>
            </w:pPr>
            <w:r w:rsidRPr="00873B6C">
              <w:t>Set</w:t>
            </w:r>
          </w:p>
        </w:tc>
        <w:tc>
          <w:tcPr>
            <w:tcW w:w="1134" w:type="dxa"/>
            <w:tcBorders>
              <w:bottom w:val="single" w:sz="4" w:space="0" w:color="auto"/>
            </w:tcBorders>
            <w:vAlign w:val="center"/>
          </w:tcPr>
          <w:p w14:paraId="4537CC60" w14:textId="1F4C07F7" w:rsidR="00517FBD" w:rsidRPr="00873B6C" w:rsidRDefault="00517FBD" w:rsidP="00517FBD">
            <w:pPr>
              <w:pStyle w:val="TAC"/>
            </w:pPr>
            <w:r w:rsidRPr="00873B6C">
              <w:t>Set</w:t>
            </w:r>
          </w:p>
        </w:tc>
        <w:tc>
          <w:tcPr>
            <w:tcW w:w="2973" w:type="dxa"/>
            <w:tcBorders>
              <w:bottom w:val="single" w:sz="4" w:space="0" w:color="auto"/>
            </w:tcBorders>
            <w:vAlign w:val="center"/>
          </w:tcPr>
          <w:p w14:paraId="08A84636" w14:textId="42DA4AF9" w:rsidR="00517FBD" w:rsidRPr="00873B6C" w:rsidRDefault="00517FBD" w:rsidP="00517FBD">
            <w:pPr>
              <w:pStyle w:val="TAL"/>
            </w:pPr>
            <w:r w:rsidRPr="00873B6C">
              <w:t>IEEE Std 802.1Q [98],Table 46-3</w:t>
            </w:r>
          </w:p>
        </w:tc>
      </w:tr>
      <w:tr w:rsidR="00517FBD" w:rsidRPr="00873B6C" w14:paraId="5A153F1C" w14:textId="77777777" w:rsidTr="00C9561D">
        <w:tc>
          <w:tcPr>
            <w:tcW w:w="9631" w:type="dxa"/>
            <w:gridSpan w:val="5"/>
          </w:tcPr>
          <w:p w14:paraId="03A48880" w14:textId="3364D1FD" w:rsidR="00517FBD" w:rsidRPr="00873B6C" w:rsidRDefault="00517FBD" w:rsidP="00C9561D">
            <w:pPr>
              <w:pStyle w:val="TAL"/>
              <w:rPr>
                <w:b/>
                <w:bCs/>
              </w:rPr>
            </w:pPr>
            <w:r w:rsidRPr="00873B6C">
              <w:rPr>
                <w:b/>
                <w:bCs/>
              </w:rPr>
              <w:t>&gt;InterfaceConfiguration (See NOTE 9, NOTE 10, NOTE 12)</w:t>
            </w:r>
          </w:p>
        </w:tc>
      </w:tr>
      <w:tr w:rsidR="00517FBD" w:rsidRPr="00873B6C" w14:paraId="0193A470" w14:textId="77777777" w:rsidTr="00C9561D">
        <w:tc>
          <w:tcPr>
            <w:tcW w:w="277" w:type="dxa"/>
            <w:tcBorders>
              <w:bottom w:val="single" w:sz="4" w:space="0" w:color="auto"/>
              <w:right w:val="nil"/>
            </w:tcBorders>
          </w:tcPr>
          <w:p w14:paraId="6ADFDC20" w14:textId="77777777" w:rsidR="00517FBD" w:rsidRPr="00873B6C" w:rsidRDefault="00517FBD" w:rsidP="00517FBD">
            <w:pPr>
              <w:pStyle w:val="TAL"/>
            </w:pPr>
          </w:p>
        </w:tc>
        <w:tc>
          <w:tcPr>
            <w:tcW w:w="4113" w:type="dxa"/>
            <w:tcBorders>
              <w:left w:val="nil"/>
              <w:bottom w:val="single" w:sz="4" w:space="0" w:color="auto"/>
            </w:tcBorders>
            <w:vAlign w:val="center"/>
          </w:tcPr>
          <w:p w14:paraId="290CB641" w14:textId="66E1E805" w:rsidR="00517FBD" w:rsidRPr="00873B6C" w:rsidRDefault="00517FBD" w:rsidP="00517FBD">
            <w:pPr>
              <w:pStyle w:val="TAL"/>
            </w:pPr>
            <w:r w:rsidRPr="00873B6C">
              <w:t>&gt;&gt;IEEE802-MacAddresses</w:t>
            </w:r>
          </w:p>
        </w:tc>
        <w:tc>
          <w:tcPr>
            <w:tcW w:w="1134" w:type="dxa"/>
            <w:tcBorders>
              <w:bottom w:val="single" w:sz="4" w:space="0" w:color="auto"/>
            </w:tcBorders>
            <w:vAlign w:val="center"/>
          </w:tcPr>
          <w:p w14:paraId="67B8B48D" w14:textId="0AB218CC" w:rsidR="00517FBD" w:rsidRPr="00873B6C" w:rsidRDefault="00517FBD" w:rsidP="00517FBD">
            <w:pPr>
              <w:pStyle w:val="TAC"/>
            </w:pPr>
            <w:r w:rsidRPr="00873B6C">
              <w:t>Set</w:t>
            </w:r>
          </w:p>
        </w:tc>
        <w:tc>
          <w:tcPr>
            <w:tcW w:w="1134" w:type="dxa"/>
            <w:tcBorders>
              <w:bottom w:val="single" w:sz="4" w:space="0" w:color="auto"/>
            </w:tcBorders>
            <w:vAlign w:val="center"/>
          </w:tcPr>
          <w:p w14:paraId="33F3765E" w14:textId="6D6E0E11" w:rsidR="00517FBD" w:rsidRPr="00873B6C" w:rsidRDefault="00517FBD" w:rsidP="00517FBD">
            <w:pPr>
              <w:pStyle w:val="TAC"/>
            </w:pPr>
            <w:r w:rsidRPr="00873B6C">
              <w:t>Set</w:t>
            </w:r>
          </w:p>
        </w:tc>
        <w:tc>
          <w:tcPr>
            <w:tcW w:w="2973" w:type="dxa"/>
            <w:tcBorders>
              <w:bottom w:val="single" w:sz="4" w:space="0" w:color="auto"/>
            </w:tcBorders>
            <w:vAlign w:val="center"/>
          </w:tcPr>
          <w:p w14:paraId="1E10B244" w14:textId="5C23A251" w:rsidR="00517FBD" w:rsidRPr="00873B6C" w:rsidRDefault="00517FBD" w:rsidP="00517FBD">
            <w:pPr>
              <w:pStyle w:val="TAL"/>
            </w:pPr>
            <w:r w:rsidRPr="00873B6C">
              <w:t>IEEE Std 802.1Q [98], Clause 46.2.5.3.1</w:t>
            </w:r>
          </w:p>
        </w:tc>
      </w:tr>
      <w:tr w:rsidR="00517FBD" w:rsidRPr="00873B6C" w14:paraId="126ABCE1" w14:textId="77777777" w:rsidTr="00C9561D">
        <w:tc>
          <w:tcPr>
            <w:tcW w:w="277" w:type="dxa"/>
            <w:tcBorders>
              <w:bottom w:val="single" w:sz="4" w:space="0" w:color="auto"/>
              <w:right w:val="nil"/>
            </w:tcBorders>
          </w:tcPr>
          <w:p w14:paraId="1D958B13" w14:textId="77777777" w:rsidR="00517FBD" w:rsidRPr="00873B6C" w:rsidRDefault="00517FBD" w:rsidP="00517FBD">
            <w:pPr>
              <w:pStyle w:val="TAL"/>
            </w:pPr>
          </w:p>
        </w:tc>
        <w:tc>
          <w:tcPr>
            <w:tcW w:w="4113" w:type="dxa"/>
            <w:tcBorders>
              <w:left w:val="nil"/>
              <w:bottom w:val="single" w:sz="4" w:space="0" w:color="auto"/>
            </w:tcBorders>
            <w:vAlign w:val="center"/>
          </w:tcPr>
          <w:p w14:paraId="0D05144C" w14:textId="4455696B" w:rsidR="00517FBD" w:rsidRPr="00873B6C" w:rsidRDefault="00517FBD" w:rsidP="00517FBD">
            <w:pPr>
              <w:pStyle w:val="TAL"/>
            </w:pPr>
            <w:r w:rsidRPr="00873B6C">
              <w:t>&gt;&gt;IEEE802-VlanTag</w:t>
            </w:r>
          </w:p>
        </w:tc>
        <w:tc>
          <w:tcPr>
            <w:tcW w:w="1134" w:type="dxa"/>
            <w:tcBorders>
              <w:bottom w:val="single" w:sz="4" w:space="0" w:color="auto"/>
            </w:tcBorders>
            <w:vAlign w:val="center"/>
          </w:tcPr>
          <w:p w14:paraId="16E86A86" w14:textId="331B7DF0" w:rsidR="00517FBD" w:rsidRPr="00873B6C" w:rsidRDefault="00517FBD" w:rsidP="00517FBD">
            <w:pPr>
              <w:pStyle w:val="TAC"/>
            </w:pPr>
            <w:r w:rsidRPr="00873B6C">
              <w:t>Set</w:t>
            </w:r>
          </w:p>
        </w:tc>
        <w:tc>
          <w:tcPr>
            <w:tcW w:w="1134" w:type="dxa"/>
            <w:tcBorders>
              <w:bottom w:val="single" w:sz="4" w:space="0" w:color="auto"/>
            </w:tcBorders>
            <w:vAlign w:val="center"/>
          </w:tcPr>
          <w:p w14:paraId="6D4B5205" w14:textId="40BB33CF" w:rsidR="00517FBD" w:rsidRPr="00873B6C" w:rsidRDefault="00517FBD" w:rsidP="00517FBD">
            <w:pPr>
              <w:pStyle w:val="TAC"/>
            </w:pPr>
            <w:r w:rsidRPr="00873B6C">
              <w:t>Set</w:t>
            </w:r>
          </w:p>
        </w:tc>
        <w:tc>
          <w:tcPr>
            <w:tcW w:w="2973" w:type="dxa"/>
            <w:tcBorders>
              <w:bottom w:val="single" w:sz="4" w:space="0" w:color="auto"/>
            </w:tcBorders>
            <w:vAlign w:val="center"/>
          </w:tcPr>
          <w:p w14:paraId="7D96849F" w14:textId="49FD640A" w:rsidR="00517FBD" w:rsidRPr="00873B6C" w:rsidRDefault="00517FBD" w:rsidP="00517FBD">
            <w:pPr>
              <w:pStyle w:val="TAL"/>
            </w:pPr>
            <w:r w:rsidRPr="00873B6C">
              <w:t>IEEE Std 802.1Q [98], Clause 46.2.5.3.2</w:t>
            </w:r>
          </w:p>
        </w:tc>
      </w:tr>
      <w:tr w:rsidR="00517FBD" w:rsidRPr="00873B6C" w14:paraId="27FA51A6" w14:textId="77777777" w:rsidTr="00C9561D">
        <w:tc>
          <w:tcPr>
            <w:tcW w:w="277" w:type="dxa"/>
            <w:tcBorders>
              <w:bottom w:val="single" w:sz="4" w:space="0" w:color="auto"/>
              <w:right w:val="nil"/>
            </w:tcBorders>
          </w:tcPr>
          <w:p w14:paraId="386946F1" w14:textId="77777777" w:rsidR="00517FBD" w:rsidRPr="00873B6C" w:rsidRDefault="00517FBD" w:rsidP="00517FBD">
            <w:pPr>
              <w:pStyle w:val="TAL"/>
            </w:pPr>
          </w:p>
        </w:tc>
        <w:tc>
          <w:tcPr>
            <w:tcW w:w="4113" w:type="dxa"/>
            <w:tcBorders>
              <w:left w:val="nil"/>
              <w:bottom w:val="single" w:sz="4" w:space="0" w:color="auto"/>
            </w:tcBorders>
            <w:vAlign w:val="center"/>
          </w:tcPr>
          <w:p w14:paraId="39D35CC6" w14:textId="313571F8" w:rsidR="00517FBD" w:rsidRPr="00873B6C" w:rsidRDefault="00517FBD" w:rsidP="00517FBD">
            <w:pPr>
              <w:pStyle w:val="TAL"/>
            </w:pPr>
            <w:r w:rsidRPr="00873B6C">
              <w:t>&gt;&gt;IPv4-tuple</w:t>
            </w:r>
          </w:p>
        </w:tc>
        <w:tc>
          <w:tcPr>
            <w:tcW w:w="1134" w:type="dxa"/>
            <w:tcBorders>
              <w:bottom w:val="single" w:sz="4" w:space="0" w:color="auto"/>
            </w:tcBorders>
            <w:vAlign w:val="center"/>
          </w:tcPr>
          <w:p w14:paraId="7C9AEDDE" w14:textId="79153F6F" w:rsidR="00517FBD" w:rsidRPr="00873B6C" w:rsidRDefault="00517FBD" w:rsidP="00517FBD">
            <w:pPr>
              <w:pStyle w:val="TAC"/>
            </w:pPr>
            <w:r w:rsidRPr="00873B6C">
              <w:t>Set</w:t>
            </w:r>
          </w:p>
        </w:tc>
        <w:tc>
          <w:tcPr>
            <w:tcW w:w="1134" w:type="dxa"/>
            <w:tcBorders>
              <w:bottom w:val="single" w:sz="4" w:space="0" w:color="auto"/>
            </w:tcBorders>
            <w:vAlign w:val="center"/>
          </w:tcPr>
          <w:p w14:paraId="5EA46AF6" w14:textId="3F2F763E" w:rsidR="00517FBD" w:rsidRPr="00873B6C" w:rsidRDefault="00517FBD" w:rsidP="00517FBD">
            <w:pPr>
              <w:pStyle w:val="TAC"/>
            </w:pPr>
            <w:r w:rsidRPr="00873B6C">
              <w:t>Set</w:t>
            </w:r>
          </w:p>
        </w:tc>
        <w:tc>
          <w:tcPr>
            <w:tcW w:w="2973" w:type="dxa"/>
            <w:tcBorders>
              <w:bottom w:val="single" w:sz="4" w:space="0" w:color="auto"/>
            </w:tcBorders>
            <w:vAlign w:val="center"/>
          </w:tcPr>
          <w:p w14:paraId="64A84F62" w14:textId="18F3B617" w:rsidR="00517FBD" w:rsidRPr="00873B6C" w:rsidRDefault="00517FBD" w:rsidP="00517FBD">
            <w:pPr>
              <w:pStyle w:val="TAL"/>
            </w:pPr>
            <w:r w:rsidRPr="00873B6C">
              <w:t>IEEE Std 802.1Q [98], Clause 46.2.5.3.3</w:t>
            </w:r>
          </w:p>
        </w:tc>
      </w:tr>
      <w:tr w:rsidR="00517FBD" w:rsidRPr="00873B6C" w14:paraId="6D836D7F" w14:textId="77777777" w:rsidTr="00C9561D">
        <w:tc>
          <w:tcPr>
            <w:tcW w:w="277" w:type="dxa"/>
            <w:tcBorders>
              <w:bottom w:val="single" w:sz="4" w:space="0" w:color="auto"/>
              <w:right w:val="nil"/>
            </w:tcBorders>
          </w:tcPr>
          <w:p w14:paraId="0A314248" w14:textId="77777777" w:rsidR="00517FBD" w:rsidRPr="00873B6C" w:rsidRDefault="00517FBD" w:rsidP="00517FBD">
            <w:pPr>
              <w:pStyle w:val="TAL"/>
            </w:pPr>
          </w:p>
        </w:tc>
        <w:tc>
          <w:tcPr>
            <w:tcW w:w="4113" w:type="dxa"/>
            <w:tcBorders>
              <w:left w:val="nil"/>
              <w:bottom w:val="single" w:sz="4" w:space="0" w:color="auto"/>
            </w:tcBorders>
            <w:vAlign w:val="center"/>
          </w:tcPr>
          <w:p w14:paraId="1EC8807A" w14:textId="2F5B42B4" w:rsidR="00517FBD" w:rsidRPr="00873B6C" w:rsidRDefault="00517FBD" w:rsidP="00517FBD">
            <w:pPr>
              <w:pStyle w:val="TAL"/>
            </w:pPr>
            <w:r w:rsidRPr="00873B6C">
              <w:t>&gt;&gt;IPv6-tuple</w:t>
            </w:r>
          </w:p>
        </w:tc>
        <w:tc>
          <w:tcPr>
            <w:tcW w:w="1134" w:type="dxa"/>
            <w:tcBorders>
              <w:bottom w:val="single" w:sz="4" w:space="0" w:color="auto"/>
            </w:tcBorders>
            <w:vAlign w:val="center"/>
          </w:tcPr>
          <w:p w14:paraId="0CF58444" w14:textId="1AD7F82D" w:rsidR="00517FBD" w:rsidRPr="00873B6C" w:rsidRDefault="00517FBD" w:rsidP="00517FBD">
            <w:pPr>
              <w:pStyle w:val="TAC"/>
            </w:pPr>
            <w:r w:rsidRPr="00873B6C">
              <w:t>Set</w:t>
            </w:r>
          </w:p>
        </w:tc>
        <w:tc>
          <w:tcPr>
            <w:tcW w:w="1134" w:type="dxa"/>
            <w:tcBorders>
              <w:bottom w:val="single" w:sz="4" w:space="0" w:color="auto"/>
            </w:tcBorders>
            <w:vAlign w:val="center"/>
          </w:tcPr>
          <w:p w14:paraId="41DFE42B" w14:textId="6A588D0B" w:rsidR="00517FBD" w:rsidRPr="00873B6C" w:rsidRDefault="00517FBD" w:rsidP="00517FBD">
            <w:pPr>
              <w:pStyle w:val="TAC"/>
            </w:pPr>
            <w:r w:rsidRPr="00873B6C">
              <w:t>Set</w:t>
            </w:r>
          </w:p>
        </w:tc>
        <w:tc>
          <w:tcPr>
            <w:tcW w:w="2973" w:type="dxa"/>
            <w:tcBorders>
              <w:bottom w:val="single" w:sz="4" w:space="0" w:color="auto"/>
            </w:tcBorders>
            <w:vAlign w:val="center"/>
          </w:tcPr>
          <w:p w14:paraId="454119B1" w14:textId="589D5DC1" w:rsidR="00517FBD" w:rsidRPr="00873B6C" w:rsidRDefault="00517FBD" w:rsidP="00517FBD">
            <w:pPr>
              <w:pStyle w:val="TAL"/>
            </w:pPr>
            <w:r w:rsidRPr="00873B6C">
              <w:t>IEEE Std 802.1Q [98], Clause 46.2.5.3.4</w:t>
            </w:r>
          </w:p>
        </w:tc>
      </w:tr>
      <w:tr w:rsidR="00517FBD" w:rsidRPr="00873B6C" w14:paraId="2E462902" w14:textId="77777777" w:rsidTr="00C9561D">
        <w:tc>
          <w:tcPr>
            <w:tcW w:w="277" w:type="dxa"/>
            <w:tcBorders>
              <w:bottom w:val="single" w:sz="4" w:space="0" w:color="auto"/>
              <w:right w:val="nil"/>
            </w:tcBorders>
          </w:tcPr>
          <w:p w14:paraId="660C84F0" w14:textId="77777777" w:rsidR="00517FBD" w:rsidRPr="00873B6C" w:rsidRDefault="00517FBD" w:rsidP="00517FBD">
            <w:pPr>
              <w:pStyle w:val="TAL"/>
            </w:pPr>
          </w:p>
        </w:tc>
        <w:tc>
          <w:tcPr>
            <w:tcW w:w="4113" w:type="dxa"/>
            <w:tcBorders>
              <w:left w:val="nil"/>
              <w:bottom w:val="single" w:sz="4" w:space="0" w:color="auto"/>
            </w:tcBorders>
            <w:vAlign w:val="center"/>
          </w:tcPr>
          <w:p w14:paraId="0954E94C" w14:textId="65C10BFC" w:rsidR="00517FBD" w:rsidRPr="00873B6C" w:rsidRDefault="00517FBD" w:rsidP="00517FBD">
            <w:pPr>
              <w:pStyle w:val="TAL"/>
            </w:pPr>
            <w:r w:rsidRPr="00873B6C">
              <w:t>&gt;&gt;TimeAwareOffset (see NOTE 12)</w:t>
            </w:r>
          </w:p>
        </w:tc>
        <w:tc>
          <w:tcPr>
            <w:tcW w:w="1134" w:type="dxa"/>
            <w:tcBorders>
              <w:bottom w:val="single" w:sz="4" w:space="0" w:color="auto"/>
            </w:tcBorders>
            <w:vAlign w:val="center"/>
          </w:tcPr>
          <w:p w14:paraId="1986B0A0" w14:textId="0C2F0DDD" w:rsidR="00517FBD" w:rsidRPr="00873B6C" w:rsidRDefault="00517FBD" w:rsidP="00517FBD">
            <w:pPr>
              <w:pStyle w:val="TAC"/>
            </w:pPr>
            <w:r w:rsidRPr="00873B6C">
              <w:t>Set</w:t>
            </w:r>
          </w:p>
        </w:tc>
        <w:tc>
          <w:tcPr>
            <w:tcW w:w="1134" w:type="dxa"/>
            <w:tcBorders>
              <w:bottom w:val="single" w:sz="4" w:space="0" w:color="auto"/>
            </w:tcBorders>
            <w:vAlign w:val="center"/>
          </w:tcPr>
          <w:p w14:paraId="5F329D73" w14:textId="60F36F6E" w:rsidR="00517FBD" w:rsidRPr="00873B6C" w:rsidRDefault="00517FBD" w:rsidP="00517FBD">
            <w:pPr>
              <w:pStyle w:val="TAC"/>
            </w:pPr>
            <w:r w:rsidRPr="00873B6C">
              <w:t>-</w:t>
            </w:r>
          </w:p>
        </w:tc>
        <w:tc>
          <w:tcPr>
            <w:tcW w:w="2973" w:type="dxa"/>
            <w:tcBorders>
              <w:bottom w:val="single" w:sz="4" w:space="0" w:color="auto"/>
            </w:tcBorders>
            <w:vAlign w:val="center"/>
          </w:tcPr>
          <w:p w14:paraId="33CF2EE0" w14:textId="2822A74E" w:rsidR="00517FBD" w:rsidRPr="00873B6C" w:rsidRDefault="00517FBD" w:rsidP="00517FBD">
            <w:pPr>
              <w:pStyle w:val="TAL"/>
            </w:pPr>
            <w:r w:rsidRPr="00873B6C">
              <w:t>IEEE Std 802.1Q [98], clause 46.2.5.3.5</w:t>
            </w:r>
          </w:p>
        </w:tc>
      </w:tr>
      <w:tr w:rsidR="00517FBD" w:rsidRPr="00873B6C" w14:paraId="45465162" w14:textId="77777777" w:rsidTr="00C9561D">
        <w:tc>
          <w:tcPr>
            <w:tcW w:w="9631" w:type="dxa"/>
            <w:gridSpan w:val="5"/>
          </w:tcPr>
          <w:p w14:paraId="3AFADEE9" w14:textId="17C82192" w:rsidR="00517FBD" w:rsidRPr="00873B6C" w:rsidRDefault="00517FBD" w:rsidP="00517FBD">
            <w:pPr>
              <w:pStyle w:val="TAL"/>
              <w:rPr>
                <w:b/>
                <w:bCs/>
              </w:rPr>
            </w:pPr>
            <w:r w:rsidRPr="00873B6C">
              <w:rPr>
                <w:b/>
                <w:bCs/>
              </w:rPr>
              <w:t>&gt;Other parameters to Calculate Gate Control Information (See NOTE 6)</w:t>
            </w:r>
          </w:p>
        </w:tc>
      </w:tr>
      <w:tr w:rsidR="00517FBD" w:rsidRPr="00873B6C" w14:paraId="240FE457" w14:textId="77777777" w:rsidTr="005A13C0">
        <w:tc>
          <w:tcPr>
            <w:tcW w:w="277" w:type="dxa"/>
            <w:tcBorders>
              <w:right w:val="nil"/>
            </w:tcBorders>
          </w:tcPr>
          <w:p w14:paraId="1828526B" w14:textId="77777777" w:rsidR="00517FBD" w:rsidRPr="00873B6C" w:rsidRDefault="00517FBD" w:rsidP="00517FBD">
            <w:pPr>
              <w:pStyle w:val="TAL"/>
            </w:pPr>
          </w:p>
        </w:tc>
        <w:tc>
          <w:tcPr>
            <w:tcW w:w="4113" w:type="dxa"/>
            <w:tcBorders>
              <w:left w:val="nil"/>
            </w:tcBorders>
            <w:vAlign w:val="center"/>
          </w:tcPr>
          <w:p w14:paraId="77153C18" w14:textId="41EBB0B0" w:rsidR="00517FBD" w:rsidRPr="00873B6C" w:rsidRDefault="00517FBD" w:rsidP="00517FBD">
            <w:pPr>
              <w:pStyle w:val="TAL"/>
            </w:pPr>
            <w:r w:rsidRPr="00873B6C">
              <w:t>&gt;&gt;Interval</w:t>
            </w:r>
          </w:p>
        </w:tc>
        <w:tc>
          <w:tcPr>
            <w:tcW w:w="1134" w:type="dxa"/>
            <w:vAlign w:val="center"/>
          </w:tcPr>
          <w:p w14:paraId="04AF4D53" w14:textId="2D0FD1DF" w:rsidR="00517FBD" w:rsidRPr="00873B6C" w:rsidRDefault="00517FBD" w:rsidP="00517FBD">
            <w:pPr>
              <w:pStyle w:val="TAC"/>
            </w:pPr>
            <w:r w:rsidRPr="00873B6C">
              <w:t>Set</w:t>
            </w:r>
          </w:p>
        </w:tc>
        <w:tc>
          <w:tcPr>
            <w:tcW w:w="1134" w:type="dxa"/>
            <w:vAlign w:val="center"/>
          </w:tcPr>
          <w:p w14:paraId="54360C25" w14:textId="52F315AD" w:rsidR="00517FBD" w:rsidRPr="00873B6C" w:rsidRDefault="00517FBD" w:rsidP="00517FBD">
            <w:pPr>
              <w:pStyle w:val="TAC"/>
            </w:pPr>
            <w:r w:rsidRPr="00873B6C">
              <w:t>-</w:t>
            </w:r>
          </w:p>
        </w:tc>
        <w:tc>
          <w:tcPr>
            <w:tcW w:w="2973" w:type="dxa"/>
            <w:vAlign w:val="center"/>
          </w:tcPr>
          <w:p w14:paraId="387CBA9D" w14:textId="52937A7E" w:rsidR="00517FBD" w:rsidRPr="00873B6C" w:rsidRDefault="00517FBD" w:rsidP="00517FBD">
            <w:pPr>
              <w:pStyle w:val="TAL"/>
            </w:pPr>
            <w:r w:rsidRPr="00873B6C">
              <w:t>IEEE Std 802.1Q [98], Table 46-8</w:t>
            </w:r>
          </w:p>
        </w:tc>
      </w:tr>
      <w:tr w:rsidR="00517FBD" w:rsidRPr="00873B6C" w14:paraId="0D435A46" w14:textId="77777777" w:rsidTr="005A13C0">
        <w:tc>
          <w:tcPr>
            <w:tcW w:w="277" w:type="dxa"/>
            <w:tcBorders>
              <w:right w:val="nil"/>
            </w:tcBorders>
          </w:tcPr>
          <w:p w14:paraId="220C7CDC" w14:textId="77777777" w:rsidR="00517FBD" w:rsidRPr="00873B6C" w:rsidRDefault="00517FBD" w:rsidP="00517FBD">
            <w:pPr>
              <w:pStyle w:val="TAL"/>
            </w:pPr>
          </w:p>
        </w:tc>
        <w:tc>
          <w:tcPr>
            <w:tcW w:w="4113" w:type="dxa"/>
            <w:tcBorders>
              <w:left w:val="nil"/>
            </w:tcBorders>
            <w:vAlign w:val="center"/>
          </w:tcPr>
          <w:p w14:paraId="10B7A624" w14:textId="4C1C637A" w:rsidR="00517FBD" w:rsidRPr="00873B6C" w:rsidRDefault="00517FBD" w:rsidP="00517FBD">
            <w:pPr>
              <w:pStyle w:val="TAL"/>
            </w:pPr>
            <w:r w:rsidRPr="00873B6C">
              <w:t>&gt;&gt;MaxFrameSize (see NOTE 11)</w:t>
            </w:r>
          </w:p>
        </w:tc>
        <w:tc>
          <w:tcPr>
            <w:tcW w:w="1134" w:type="dxa"/>
            <w:vAlign w:val="center"/>
          </w:tcPr>
          <w:p w14:paraId="706D5FF5" w14:textId="6A77B89E" w:rsidR="00517FBD" w:rsidRPr="00873B6C" w:rsidRDefault="00517FBD" w:rsidP="00517FBD">
            <w:pPr>
              <w:pStyle w:val="TAC"/>
            </w:pPr>
            <w:r w:rsidRPr="00873B6C">
              <w:t>Set</w:t>
            </w:r>
          </w:p>
        </w:tc>
        <w:tc>
          <w:tcPr>
            <w:tcW w:w="1134" w:type="dxa"/>
            <w:vAlign w:val="center"/>
          </w:tcPr>
          <w:p w14:paraId="2F0732A4" w14:textId="0DF264EF" w:rsidR="00517FBD" w:rsidRPr="00873B6C" w:rsidRDefault="00517FBD" w:rsidP="00517FBD">
            <w:pPr>
              <w:pStyle w:val="TAC"/>
            </w:pPr>
            <w:r w:rsidRPr="00873B6C">
              <w:t>-</w:t>
            </w:r>
          </w:p>
        </w:tc>
        <w:tc>
          <w:tcPr>
            <w:tcW w:w="2973" w:type="dxa"/>
            <w:vAlign w:val="center"/>
          </w:tcPr>
          <w:p w14:paraId="422E8223" w14:textId="2716EF01" w:rsidR="00517FBD" w:rsidRPr="00873B6C" w:rsidRDefault="00517FBD" w:rsidP="00517FBD">
            <w:pPr>
              <w:pStyle w:val="TAL"/>
            </w:pPr>
            <w:r w:rsidRPr="00873B6C">
              <w:t>IEEE Std 802.1Q [98], Table 46-8</w:t>
            </w:r>
          </w:p>
        </w:tc>
      </w:tr>
      <w:tr w:rsidR="00517FBD" w:rsidRPr="00873B6C" w14:paraId="7E991A83" w14:textId="77777777" w:rsidTr="00C9561D">
        <w:tc>
          <w:tcPr>
            <w:tcW w:w="9631" w:type="dxa"/>
            <w:gridSpan w:val="5"/>
          </w:tcPr>
          <w:p w14:paraId="0588FB9F" w14:textId="77777777" w:rsidR="00517FBD" w:rsidRPr="00873B6C" w:rsidRDefault="00517FBD" w:rsidP="00517FBD">
            <w:pPr>
              <w:pStyle w:val="TAN"/>
            </w:pPr>
            <w:r w:rsidRPr="00873B6C">
              <w:t>NOTE 1:</w:t>
            </w:r>
            <w:r w:rsidRPr="00873B6C">
              <w:tab/>
              <w:t>Get = Get Response; Set = Set Request; - = not supported.</w:t>
            </w:r>
          </w:p>
          <w:p w14:paraId="7329C8BE" w14:textId="77777777" w:rsidR="00517FBD" w:rsidRPr="00873B6C" w:rsidRDefault="00517FBD" w:rsidP="00517FBD">
            <w:pPr>
              <w:pStyle w:val="TAN"/>
              <w:rPr>
                <w:lang w:eastAsia="fr-FR"/>
              </w:rPr>
            </w:pPr>
            <w:r w:rsidRPr="00873B6C">
              <w:t>NOTE 2:</w:t>
            </w:r>
            <w:r w:rsidRPr="00873B6C">
              <w:tab/>
              <w:t xml:space="preserve">This parameter is optional and </w:t>
            </w:r>
            <w:r w:rsidRPr="00873B6C">
              <w:rPr>
                <w:lang w:eastAsia="fr-FR"/>
              </w:rPr>
              <w:t>only required if End Station has more than one Interface/Port. It identifies the Interface/Port at the End Station.</w:t>
            </w:r>
          </w:p>
          <w:p w14:paraId="250713E4" w14:textId="77777777" w:rsidR="00517FBD" w:rsidRPr="00873B6C" w:rsidRDefault="00517FBD" w:rsidP="00517FBD">
            <w:pPr>
              <w:pStyle w:val="TAN"/>
              <w:rPr>
                <w:lang w:eastAsia="fr-FR"/>
              </w:rPr>
            </w:pPr>
            <w:r w:rsidRPr="00873B6C">
              <w:t>NOTE 3</w:t>
            </w:r>
            <w:r w:rsidRPr="00873B6C">
              <w:tab/>
            </w:r>
            <w:r w:rsidRPr="00873B6C">
              <w:rPr>
                <w:lang w:eastAsia="fr-FR"/>
              </w:rPr>
              <w:t>Interface Capabilities are identical for all Interfaces/Ports of the End Station.</w:t>
            </w:r>
          </w:p>
          <w:p w14:paraId="1B92D6D7" w14:textId="77777777" w:rsidR="00517FBD" w:rsidRPr="00873B6C" w:rsidRDefault="00517FBD" w:rsidP="00517FBD">
            <w:pPr>
              <w:pStyle w:val="TAN"/>
              <w:rPr>
                <w:lang w:eastAsia="fr-FR"/>
              </w:rPr>
            </w:pPr>
            <w:r w:rsidRPr="00873B6C">
              <w:rPr>
                <w:lang w:eastAsia="fr-FR"/>
              </w:rPr>
              <w:t>NOTE 4:</w:t>
            </w:r>
            <w:r w:rsidRPr="00873B6C">
              <w:rPr>
                <w:lang w:eastAsia="fr-FR"/>
              </w:rPr>
              <w:tab/>
              <w:t>Possible values are TRUE or FALSE.</w:t>
            </w:r>
          </w:p>
          <w:p w14:paraId="6B48B4BE" w14:textId="77777777" w:rsidR="00517FBD" w:rsidRPr="00873B6C" w:rsidRDefault="00517FBD" w:rsidP="00517FBD">
            <w:pPr>
              <w:pStyle w:val="TAN"/>
              <w:rPr>
                <w:rFonts w:cs="Arial"/>
                <w:szCs w:val="18"/>
              </w:rPr>
            </w:pPr>
            <w:r w:rsidRPr="00873B6C">
              <w:rPr>
                <w:rFonts w:cs="Arial"/>
                <w:szCs w:val="18"/>
              </w:rPr>
              <w:t>NOTE 5:</w:t>
            </w:r>
            <w:r w:rsidRPr="00873B6C">
              <w:rPr>
                <w:rFonts w:cs="Arial"/>
                <w:szCs w:val="18"/>
              </w:rPr>
              <w:tab/>
            </w:r>
            <w:r w:rsidRPr="00873B6C">
              <w:rPr>
                <w:lang w:eastAsia="fr-FR"/>
              </w:rPr>
              <w:t>Maximum possible buffer duration for a packet with the maximum size of an Ethernet packet (1522 Bytes).</w:t>
            </w:r>
          </w:p>
          <w:p w14:paraId="5F4AD788" w14:textId="77777777" w:rsidR="00517FBD" w:rsidRPr="00873B6C" w:rsidRDefault="00517FBD" w:rsidP="00517FBD">
            <w:pPr>
              <w:pStyle w:val="TAN"/>
              <w:rPr>
                <w:rFonts w:cs="Arial"/>
                <w:szCs w:val="18"/>
              </w:rPr>
            </w:pPr>
            <w:r w:rsidRPr="00873B6C">
              <w:rPr>
                <w:rFonts w:cs="Arial"/>
                <w:szCs w:val="18"/>
              </w:rPr>
              <w:t>NOTE 6:</w:t>
            </w:r>
            <w:r w:rsidRPr="00873B6C">
              <w:rPr>
                <w:rFonts w:cs="Arial"/>
                <w:szCs w:val="18"/>
              </w:rPr>
              <w:tab/>
            </w:r>
            <w:r w:rsidRPr="00873B6C">
              <w:t>SMF/CUC enables the TL to calculate Gate Control Information. Port(s) of the Talker TL may create jitter due to implementation of the TL. How the jitter behaviour is identified and the correction is carried out is up to implementation.</w:t>
            </w:r>
          </w:p>
          <w:p w14:paraId="553B55A5" w14:textId="77777777" w:rsidR="00517FBD" w:rsidRPr="00873B6C" w:rsidRDefault="00517FBD" w:rsidP="00517FBD">
            <w:pPr>
              <w:pStyle w:val="TAN"/>
              <w:rPr>
                <w:lang w:eastAsia="fr-FR"/>
              </w:rPr>
            </w:pPr>
            <w:r w:rsidRPr="00873B6C">
              <w:rPr>
                <w:rFonts w:cs="Arial"/>
                <w:szCs w:val="18"/>
              </w:rPr>
              <w:t>NOTE 7:</w:t>
            </w:r>
            <w:r w:rsidRPr="00873B6C">
              <w:rPr>
                <w:rFonts w:cs="Arial"/>
                <w:szCs w:val="18"/>
              </w:rPr>
              <w:tab/>
              <w:t xml:space="preserve">The parameters are provided if </w:t>
            </w:r>
            <w:r w:rsidRPr="00873B6C">
              <w:rPr>
                <w:lang w:eastAsia="fr-FR"/>
              </w:rPr>
              <w:t>mask-and-match stream identification is supported.</w:t>
            </w:r>
          </w:p>
          <w:p w14:paraId="60518197" w14:textId="73BC90B0" w:rsidR="00517FBD" w:rsidRPr="00873B6C" w:rsidRDefault="00517FBD" w:rsidP="00517FBD">
            <w:pPr>
              <w:pStyle w:val="TAN"/>
              <w:rPr>
                <w:lang w:eastAsia="fr-FR"/>
              </w:rPr>
            </w:pPr>
            <w:r w:rsidRPr="00873B6C">
              <w:rPr>
                <w:rFonts w:cs="Arial"/>
                <w:szCs w:val="18"/>
              </w:rPr>
              <w:t>NOTE 8:</w:t>
            </w:r>
            <w:r w:rsidRPr="00873B6C">
              <w:rPr>
                <w:rFonts w:cs="Arial"/>
                <w:szCs w:val="18"/>
              </w:rPr>
              <w:tab/>
              <w:t xml:space="preserve">The parameter is provided if End Station supports </w:t>
            </w:r>
            <w:r w:rsidRPr="00873B6C">
              <w:rPr>
                <w:lang w:eastAsia="fr-FR"/>
              </w:rPr>
              <w:t xml:space="preserve">multiple Interfaces/Ports. </w:t>
            </w:r>
            <w:r w:rsidRPr="00873B6C">
              <w:t>S</w:t>
            </w:r>
            <w:r w:rsidRPr="00873B6C">
              <w:rPr>
                <w:lang w:eastAsia="fr-FR"/>
              </w:rPr>
              <w:t>MF/CUC guarantees that the End Station MAC address + InterfaceName, which is provided from TN-CNC as InterfaceConfiguration is conveyed with respect to the LLDP information sent via each interface at the user plane.</w:t>
            </w:r>
          </w:p>
          <w:p w14:paraId="31E57837" w14:textId="2407A80D" w:rsidR="00517FBD" w:rsidRPr="00873B6C" w:rsidRDefault="00517FBD" w:rsidP="00517FBD">
            <w:pPr>
              <w:pStyle w:val="TAN"/>
              <w:rPr>
                <w:lang w:eastAsia="fr-FR"/>
              </w:rPr>
            </w:pPr>
            <w:r w:rsidRPr="00873B6C">
              <w:rPr>
                <w:lang w:eastAsia="fr-FR"/>
              </w:rPr>
              <w:t>NOTE 9:</w:t>
            </w:r>
            <w:r w:rsidRPr="00873B6C">
              <w:rPr>
                <w:lang w:eastAsia="fr-FR"/>
              </w:rPr>
              <w:tab/>
              <w:t>IEEE802-MacAddresses and IEEE802-VlanTag are provided if Stream Transformation is performed at AN-TL/CN-TL and if Active Destination MAC and VLAN stream identification is signalled from SMF/CUC to TN CNC and if TN CNC provides it in the status group for the Interface/Port.</w:t>
            </w:r>
          </w:p>
          <w:p w14:paraId="4B41A135" w14:textId="54C6B4CB" w:rsidR="00517FBD" w:rsidRPr="00873B6C" w:rsidRDefault="00517FBD" w:rsidP="00517FBD">
            <w:pPr>
              <w:pStyle w:val="TAN"/>
              <w:rPr>
                <w:lang w:eastAsia="fr-FR"/>
              </w:rPr>
            </w:pPr>
            <w:r w:rsidRPr="00873B6C">
              <w:rPr>
                <w:lang w:eastAsia="fr-FR"/>
              </w:rPr>
              <w:t>NOTE 10:</w:t>
            </w:r>
            <w:r w:rsidRPr="00873B6C">
              <w:rPr>
                <w:lang w:eastAsia="fr-FR"/>
              </w:rPr>
              <w:tab/>
              <w:t>Vlanid in IEEE802-VlanTag is provided if Stream Transformation is performed at AN-TL/CN-TL and if Active Destination MAC and VLAN stream identification is signalled from SMF/CUC to TN CNC and if TN CNC provides it in the status group for the Interface/Port and End Station VlanTagCapable is TRUE.</w:t>
            </w:r>
          </w:p>
          <w:p w14:paraId="2FD2562E" w14:textId="77777777" w:rsidR="00517FBD" w:rsidRPr="00873B6C" w:rsidRDefault="00517FBD" w:rsidP="00517FBD">
            <w:pPr>
              <w:pStyle w:val="TAN"/>
              <w:rPr>
                <w:lang w:eastAsia="fr-FR"/>
              </w:rPr>
            </w:pPr>
            <w:r w:rsidRPr="00873B6C">
              <w:rPr>
                <w:lang w:eastAsia="fr-FR"/>
              </w:rPr>
              <w:t>NOTE 11: Message Length of the Stream including the GTP-U header size.</w:t>
            </w:r>
          </w:p>
          <w:p w14:paraId="3340FA14" w14:textId="6612A0D1" w:rsidR="00517FBD" w:rsidRPr="00873B6C" w:rsidRDefault="00517FBD" w:rsidP="00517FBD">
            <w:pPr>
              <w:pStyle w:val="TAN"/>
              <w:rPr>
                <w:lang w:eastAsia="fr-FR"/>
              </w:rPr>
            </w:pPr>
            <w:r w:rsidRPr="00873B6C">
              <w:rPr>
                <w:rFonts w:cs="Arial"/>
                <w:szCs w:val="18"/>
              </w:rPr>
              <w:t>NOTE 12:</w:t>
            </w:r>
            <w:r w:rsidRPr="00873B6C">
              <w:rPr>
                <w:rFonts w:cs="Arial"/>
                <w:szCs w:val="18"/>
              </w:rPr>
              <w:tab/>
            </w:r>
            <w:r w:rsidRPr="00873B6C">
              <w:rPr>
                <w:lang w:eastAsia="fr-FR"/>
              </w:rPr>
              <w:t>TimeAwareOffset is provided if TN Stream is scheduled.</w:t>
            </w:r>
          </w:p>
          <w:p w14:paraId="5EC6A329" w14:textId="77777777" w:rsidR="00517FBD" w:rsidRPr="00873B6C" w:rsidRDefault="00517FBD" w:rsidP="00517FBD">
            <w:pPr>
              <w:pStyle w:val="TAN"/>
              <w:rPr>
                <w:rStyle w:val="ui-provider"/>
              </w:rPr>
            </w:pPr>
            <w:r w:rsidRPr="00873B6C">
              <w:rPr>
                <w:rFonts w:cs="Arial"/>
                <w:szCs w:val="18"/>
              </w:rPr>
              <w:t xml:space="preserve">NOTE 13: </w:t>
            </w:r>
            <w:r w:rsidRPr="00873B6C">
              <w:rPr>
                <w:rFonts w:hint="eastAsia"/>
                <w:lang w:eastAsia="fr-FR"/>
              </w:rPr>
              <w:t>The TL indicates a respective FailureCode if it detects a mismatch between the DataFrameSpecification and the GTP-U information received outside of the TL-Container</w:t>
            </w:r>
            <w:r w:rsidRPr="00873B6C">
              <w:rPr>
                <w:lang w:eastAsia="fr-FR"/>
              </w:rPr>
              <w:t>.</w:t>
            </w:r>
          </w:p>
          <w:p w14:paraId="15948AAF" w14:textId="056E4A31" w:rsidR="00517FBD" w:rsidRPr="00873B6C" w:rsidRDefault="00517FBD" w:rsidP="00517FBD">
            <w:pPr>
              <w:pStyle w:val="TAN"/>
            </w:pPr>
            <w:r w:rsidRPr="00873B6C">
              <w:rPr>
                <w:rFonts w:cs="Arial"/>
                <w:szCs w:val="18"/>
              </w:rPr>
              <w:t>NOTE 14:</w:t>
            </w:r>
            <w:r w:rsidRPr="00873B6C">
              <w:rPr>
                <w:lang w:eastAsia="fr-FR"/>
              </w:rPr>
              <w:t xml:space="preserve"> </w:t>
            </w:r>
            <w:r w:rsidRPr="00873B6C">
              <w:t>M</w:t>
            </w:r>
            <w:r w:rsidRPr="00873B6C">
              <w:rPr>
                <w:rStyle w:val="ui-provider"/>
              </w:rPr>
              <w:t>ask-and-match and DataFrameSpecification shall not be supported at the same time.</w:t>
            </w:r>
          </w:p>
        </w:tc>
      </w:tr>
    </w:tbl>
    <w:p w14:paraId="57A7CD47" w14:textId="77777777" w:rsidR="006E26ED" w:rsidRPr="00873B6C" w:rsidRDefault="006E26ED" w:rsidP="005A13C0"/>
    <w:p w14:paraId="2CB74D02" w14:textId="09CF061D" w:rsidR="007229DB" w:rsidRPr="00873B6C" w:rsidRDefault="007229DB">
      <w:pPr>
        <w:spacing w:after="0"/>
        <w:rPr>
          <w:rFonts w:ascii="Arial" w:hAnsi="Arial"/>
          <w:sz w:val="36"/>
        </w:rPr>
      </w:pPr>
      <w:r w:rsidRPr="00873B6C">
        <w:lastRenderedPageBreak/>
        <w:br w:type="page"/>
      </w:r>
    </w:p>
    <w:p w14:paraId="71E4E67A" w14:textId="506B0C70" w:rsidR="007229DB" w:rsidRPr="00873B6C" w:rsidRDefault="007229DB" w:rsidP="00D40151">
      <w:pPr>
        <w:pStyle w:val="Heading8"/>
      </w:pPr>
      <w:bookmarkStart w:id="6688" w:name="_CRAnnexNinformative"/>
      <w:bookmarkStart w:id="6689" w:name="_Toc201157934"/>
      <w:bookmarkEnd w:id="6688"/>
      <w:r w:rsidRPr="00873B6C">
        <w:lastRenderedPageBreak/>
        <w:t>Annex N (informative):</w:t>
      </w:r>
      <w:r w:rsidRPr="00873B6C">
        <w:br/>
        <w:t xml:space="preserve">Support for access to </w:t>
      </w:r>
      <w:r w:rsidR="00BE0437" w:rsidRPr="00873B6C">
        <w:t>L</w:t>
      </w:r>
      <w:r w:rsidRPr="00873B6C">
        <w:t xml:space="preserve">ocalized </w:t>
      </w:r>
      <w:r w:rsidR="00BE0437" w:rsidRPr="00873B6C">
        <w:t>S</w:t>
      </w:r>
      <w:r w:rsidRPr="00873B6C">
        <w:t>ervices</w:t>
      </w:r>
      <w:bookmarkEnd w:id="6689"/>
    </w:p>
    <w:p w14:paraId="4D99027E" w14:textId="3DD3164F" w:rsidR="007229DB" w:rsidRPr="00873B6C" w:rsidRDefault="007229DB" w:rsidP="007229DB">
      <w:pPr>
        <w:pStyle w:val="Heading1"/>
      </w:pPr>
      <w:bookmarkStart w:id="6690" w:name="_CRN_1"/>
      <w:bookmarkStart w:id="6691" w:name="_Toc201157935"/>
      <w:bookmarkEnd w:id="6690"/>
      <w:r w:rsidRPr="00873B6C">
        <w:t>N.1</w:t>
      </w:r>
      <w:r w:rsidRPr="00873B6C">
        <w:tab/>
        <w:t>General</w:t>
      </w:r>
      <w:bookmarkEnd w:id="6691"/>
    </w:p>
    <w:p w14:paraId="045A1A50" w14:textId="49D55F4E" w:rsidR="007229DB" w:rsidRPr="00873B6C" w:rsidRDefault="007229DB" w:rsidP="007229DB">
      <w:r w:rsidRPr="00873B6C">
        <w:t xml:space="preserve">A </w:t>
      </w:r>
      <w:r w:rsidR="00BE0437" w:rsidRPr="00873B6C">
        <w:t>L</w:t>
      </w:r>
      <w:r w:rsidRPr="00873B6C">
        <w:t xml:space="preserve">ocalized </w:t>
      </w:r>
      <w:r w:rsidR="00BE0437" w:rsidRPr="00873B6C">
        <w:t>S</w:t>
      </w:r>
      <w:r w:rsidRPr="00873B6C">
        <w:t>ervice is a service, which is provided at specific/limited area and/or can be bounded in time. The service can be realized via applications (e.g. live or on-demand audio/video stream, electric game, IMS, etc.), or connectivity (e.g. UE to UE, UE to Data Network, etc.).</w:t>
      </w:r>
    </w:p>
    <w:p w14:paraId="724F63A1" w14:textId="72A7AC0A" w:rsidR="007229DB" w:rsidRPr="00873B6C" w:rsidRDefault="007229DB" w:rsidP="007229DB">
      <w:r w:rsidRPr="00873B6C">
        <w:t xml:space="preserve">A </w:t>
      </w:r>
      <w:r w:rsidR="00BE0437" w:rsidRPr="00873B6C">
        <w:t>L</w:t>
      </w:r>
      <w:r w:rsidRPr="00873B6C">
        <w:t xml:space="preserve">ocalized </w:t>
      </w:r>
      <w:r w:rsidR="00BE0437" w:rsidRPr="00873B6C">
        <w:t>S</w:t>
      </w:r>
      <w:r w:rsidRPr="00873B6C">
        <w:t>ervice provider is an application provider or network operator who make their services localized and that are offered to the end user via a network. A network</w:t>
      </w:r>
      <w:r w:rsidR="00BE0437" w:rsidRPr="00873B6C">
        <w:t xml:space="preserve"> providing Localized Services</w:t>
      </w:r>
      <w:r w:rsidRPr="00873B6C">
        <w:t xml:space="preserve"> can be an SNPN or a PNI-NPN.</w:t>
      </w:r>
    </w:p>
    <w:p w14:paraId="4BEABE11" w14:textId="393ADA82" w:rsidR="007229DB" w:rsidRPr="00873B6C" w:rsidRDefault="007229DB" w:rsidP="00972E70">
      <w:pPr>
        <w:pStyle w:val="Heading1"/>
      </w:pPr>
      <w:bookmarkStart w:id="6692" w:name="_CRN_2"/>
      <w:bookmarkStart w:id="6693" w:name="_Toc201157936"/>
      <w:bookmarkEnd w:id="6692"/>
      <w:r w:rsidRPr="00873B6C">
        <w:t>N.2</w:t>
      </w:r>
      <w:r w:rsidRPr="00873B6C">
        <w:tab/>
        <w:t xml:space="preserve">Enabling access to </w:t>
      </w:r>
      <w:r w:rsidR="00BE0437" w:rsidRPr="00873B6C">
        <w:t>L</w:t>
      </w:r>
      <w:r w:rsidRPr="00873B6C">
        <w:t xml:space="preserve">ocalized </w:t>
      </w:r>
      <w:r w:rsidR="00BE0437" w:rsidRPr="00873B6C">
        <w:t>S</w:t>
      </w:r>
      <w:r w:rsidRPr="00873B6C">
        <w:t>ervices</w:t>
      </w:r>
      <w:bookmarkEnd w:id="6693"/>
    </w:p>
    <w:p w14:paraId="6738C646" w14:textId="77777777" w:rsidR="007229DB" w:rsidRPr="00873B6C" w:rsidRDefault="007229DB" w:rsidP="00972E70">
      <w:pPr>
        <w:pStyle w:val="Heading2"/>
      </w:pPr>
      <w:bookmarkStart w:id="6694" w:name="_CRN_2_1"/>
      <w:bookmarkStart w:id="6695" w:name="_Toc201157937"/>
      <w:bookmarkEnd w:id="6694"/>
      <w:r w:rsidRPr="00873B6C">
        <w:t>N.2.1</w:t>
      </w:r>
      <w:r w:rsidRPr="00873B6C">
        <w:tab/>
        <w:t>General</w:t>
      </w:r>
      <w:bookmarkEnd w:id="6695"/>
    </w:p>
    <w:p w14:paraId="6FE1C9B0" w14:textId="5EE6AA9B" w:rsidR="007229DB" w:rsidRPr="00873B6C" w:rsidRDefault="007229DB" w:rsidP="007229DB">
      <w:r w:rsidRPr="00873B6C">
        <w:t xml:space="preserve">To enable a PNI-NPN or SNPN to provide access to </w:t>
      </w:r>
      <w:r w:rsidR="00BE0437" w:rsidRPr="00873B6C">
        <w:t>L</w:t>
      </w:r>
      <w:r w:rsidRPr="00873B6C">
        <w:t xml:space="preserve">ocalized </w:t>
      </w:r>
      <w:r w:rsidR="00BE0437" w:rsidRPr="00873B6C">
        <w:t>S</w:t>
      </w:r>
      <w:r w:rsidRPr="00873B6C">
        <w:t xml:space="preserve">ervices, the PNI-NPN or SNPN operator configures the network with information enabling the UEs to access the </w:t>
      </w:r>
      <w:r w:rsidR="00BE0437" w:rsidRPr="00873B6C">
        <w:t>L</w:t>
      </w:r>
      <w:r w:rsidRPr="00873B6C">
        <w:t xml:space="preserve">ocalized </w:t>
      </w:r>
      <w:r w:rsidR="00BE0437" w:rsidRPr="00873B6C">
        <w:t>S</w:t>
      </w:r>
      <w:r w:rsidRPr="00873B6C">
        <w:t xml:space="preserve">ervices using the PNI-NPN or SNPN according to any validity of the </w:t>
      </w:r>
      <w:r w:rsidR="00BE0437" w:rsidRPr="00873B6C">
        <w:t>L</w:t>
      </w:r>
      <w:r w:rsidRPr="00873B6C">
        <w:t xml:space="preserve">ocalized </w:t>
      </w:r>
      <w:r w:rsidR="00BE0437" w:rsidRPr="00873B6C">
        <w:t>S</w:t>
      </w:r>
      <w:r w:rsidRPr="00873B6C">
        <w:t>ervices</w:t>
      </w:r>
      <w:r w:rsidR="00472CD7" w:rsidRPr="00873B6C">
        <w:t xml:space="preserve"> and</w:t>
      </w:r>
      <w:r w:rsidRPr="00873B6C">
        <w:t xml:space="preserve"> the information is determined in agreement with the </w:t>
      </w:r>
      <w:r w:rsidR="00BE0437" w:rsidRPr="00873B6C">
        <w:t>L</w:t>
      </w:r>
      <w:r w:rsidRPr="00873B6C">
        <w:t xml:space="preserve">ocalized </w:t>
      </w:r>
      <w:r w:rsidR="00BE0437" w:rsidRPr="00873B6C">
        <w:t>S</w:t>
      </w:r>
      <w:r w:rsidRPr="00873B6C">
        <w:t xml:space="preserve">ervice </w:t>
      </w:r>
      <w:r w:rsidR="00BE0437" w:rsidRPr="00873B6C">
        <w:t>P</w:t>
      </w:r>
      <w:r w:rsidRPr="00873B6C">
        <w:t>rovider e.g.:</w:t>
      </w:r>
    </w:p>
    <w:p w14:paraId="2BA805C0" w14:textId="71679211" w:rsidR="007229DB" w:rsidRPr="00873B6C" w:rsidRDefault="007229DB" w:rsidP="007229DB">
      <w:pPr>
        <w:pStyle w:val="B1"/>
      </w:pPr>
      <w:r w:rsidRPr="00873B6C">
        <w:t>a.</w:t>
      </w:r>
      <w:r w:rsidRPr="00873B6C">
        <w:tab/>
        <w:t xml:space="preserve">Identification of each </w:t>
      </w:r>
      <w:r w:rsidR="00BE0437" w:rsidRPr="00873B6C">
        <w:t>L</w:t>
      </w:r>
      <w:r w:rsidRPr="00873B6C">
        <w:t xml:space="preserve">ocalized </w:t>
      </w:r>
      <w:r w:rsidR="00BE0437" w:rsidRPr="00873B6C">
        <w:t>S</w:t>
      </w:r>
      <w:r w:rsidRPr="00873B6C">
        <w:t>ervice, e.g. to be used in URSP rules.</w:t>
      </w:r>
    </w:p>
    <w:p w14:paraId="30F28B23" w14:textId="2A0D025F" w:rsidR="007229DB" w:rsidRPr="00873B6C" w:rsidRDefault="007229DB" w:rsidP="007229DB">
      <w:pPr>
        <w:pStyle w:val="B1"/>
      </w:pPr>
      <w:r w:rsidRPr="00873B6C">
        <w:t>b.</w:t>
      </w:r>
      <w:r w:rsidRPr="00873B6C">
        <w:tab/>
        <w:t xml:space="preserve">validity restriction for each </w:t>
      </w:r>
      <w:r w:rsidR="00BE0437" w:rsidRPr="00873B6C">
        <w:t>L</w:t>
      </w:r>
      <w:r w:rsidRPr="00873B6C">
        <w:t xml:space="preserve">ocalized </w:t>
      </w:r>
      <w:r w:rsidR="00BE0437" w:rsidRPr="00873B6C">
        <w:t>S</w:t>
      </w:r>
      <w:r w:rsidRPr="00873B6C">
        <w:t>ervice, e.g. the validity of time and/or location.</w:t>
      </w:r>
    </w:p>
    <w:p w14:paraId="05D5D11D" w14:textId="13481C81" w:rsidR="007229DB" w:rsidRPr="00873B6C" w:rsidRDefault="007229DB" w:rsidP="007229DB">
      <w:pPr>
        <w:pStyle w:val="B1"/>
      </w:pPr>
      <w:r w:rsidRPr="00873B6C">
        <w:t>c.</w:t>
      </w:r>
      <w:r w:rsidRPr="00873B6C">
        <w:tab/>
        <w:t xml:space="preserve">service parameters for each </w:t>
      </w:r>
      <w:r w:rsidR="00BE0437" w:rsidRPr="00873B6C">
        <w:t>L</w:t>
      </w:r>
      <w:r w:rsidRPr="00873B6C">
        <w:t xml:space="preserve">ocalized </w:t>
      </w:r>
      <w:r w:rsidR="00BE0437" w:rsidRPr="00873B6C">
        <w:t>S</w:t>
      </w:r>
      <w:r w:rsidRPr="00873B6C">
        <w:t>ervice, e.g. DNN, S-NSSAI and QoS requirements.</w:t>
      </w:r>
    </w:p>
    <w:p w14:paraId="58E1067E" w14:textId="77777777" w:rsidR="007229DB" w:rsidRPr="00873B6C" w:rsidRDefault="007229DB" w:rsidP="007229DB">
      <w:pPr>
        <w:pStyle w:val="B1"/>
      </w:pPr>
      <w:r w:rsidRPr="00873B6C">
        <w:t>d.</w:t>
      </w:r>
      <w:r w:rsidRPr="00873B6C">
        <w:tab/>
        <w:t>service authorization methods, e.g. NSSAA or Secondary authentication/authorization during PDU Session establishment.</w:t>
      </w:r>
    </w:p>
    <w:p w14:paraId="7BFA068A" w14:textId="77777777" w:rsidR="00517FBD" w:rsidRPr="00873B6C" w:rsidRDefault="00517FBD" w:rsidP="007229DB">
      <w:r w:rsidRPr="00873B6C">
        <w:t>To allow the UE to access the PNI-NPN providing access to Localized Services using credentials of the HPLMN, the PNI-NPN can be configured based on the Localized Service agreements between the PNI-NPN and the HPLMN, to allow primary authentication towards the HPLMN.</w:t>
      </w:r>
    </w:p>
    <w:p w14:paraId="7D97D609" w14:textId="77777777" w:rsidR="00517FBD" w:rsidRPr="00873B6C" w:rsidRDefault="00517FBD" w:rsidP="007229DB">
      <w:r w:rsidRPr="00873B6C">
        <w:t>To allow the UE to access the SNPN providing access to Localized Services using credentials of the Credentials Holder, the SNPN can be configured based on Localized Service agreements between the SNPN and the Credentials Holder, to allow primary authentication towards the Credentials Holder.</w:t>
      </w:r>
    </w:p>
    <w:p w14:paraId="1D5521B7" w14:textId="439EF18F" w:rsidR="007229DB" w:rsidRPr="00873B6C" w:rsidRDefault="007229DB" w:rsidP="007229DB">
      <w:r w:rsidRPr="00873B6C">
        <w:t xml:space="preserve">To allow the UE to access the SNPN providing access to </w:t>
      </w:r>
      <w:r w:rsidR="00BE0437" w:rsidRPr="00873B6C">
        <w:t>L</w:t>
      </w:r>
      <w:r w:rsidRPr="00873B6C">
        <w:t xml:space="preserve">ocalized </w:t>
      </w:r>
      <w:r w:rsidR="00BE0437" w:rsidRPr="00873B6C">
        <w:t>S</w:t>
      </w:r>
      <w:r w:rsidRPr="00873B6C">
        <w:t>ervices when new credential is required, the SNPN can provide UE onboarding function as specified in clause 5.30.2.10 for the UE to obtain credential and necessary information to access the SNPN, or the UE can leverage existing credential and network connection to get access to a PVS via User Plane to obtain new credential.</w:t>
      </w:r>
    </w:p>
    <w:p w14:paraId="16397257" w14:textId="4D202CB3" w:rsidR="007229DB" w:rsidRPr="00873B6C" w:rsidRDefault="007229DB" w:rsidP="007229DB">
      <w:r w:rsidRPr="00873B6C">
        <w:t xml:space="preserve">To allow the UE to access the PNI-NPN providing access to the </w:t>
      </w:r>
      <w:r w:rsidR="00BE0437" w:rsidRPr="00873B6C">
        <w:t>L</w:t>
      </w:r>
      <w:r w:rsidRPr="00873B6C">
        <w:t xml:space="preserve">ocalized </w:t>
      </w:r>
      <w:r w:rsidR="00BE0437" w:rsidRPr="00873B6C">
        <w:t>S</w:t>
      </w:r>
      <w:r w:rsidRPr="00873B6C">
        <w:t>ervices where NSSAA or secondary authentication/authorization during PDU session establishment is required, the UE can obtain new credential using remote provisioning functionality as defined in clause 5.39.</w:t>
      </w:r>
    </w:p>
    <w:p w14:paraId="7435D87C" w14:textId="15C94EC8" w:rsidR="007229DB" w:rsidRPr="00873B6C" w:rsidRDefault="007229DB" w:rsidP="007229DB">
      <w:r w:rsidRPr="00873B6C">
        <w:t xml:space="preserve">To allow the UE to access the HPLMN or subscribed SNPN services while being registered in the PNI-NPN or SNPN, the PNI-NPN or SNPN can establish service agreements and configure inter-connect with the HPLMN or subscribed SNPN operator. If a PNI-NPN is providing access to the </w:t>
      </w:r>
      <w:r w:rsidR="00BE0437" w:rsidRPr="00873B6C">
        <w:t>L</w:t>
      </w:r>
      <w:r w:rsidRPr="00873B6C">
        <w:t xml:space="preserve">ocalized </w:t>
      </w:r>
      <w:r w:rsidR="00BE0437" w:rsidRPr="00873B6C">
        <w:t>S</w:t>
      </w:r>
      <w:r w:rsidRPr="00873B6C">
        <w:t xml:space="preserve">ervices, the existing roaming architecture with home-routed PDU Sessions are used. If an SNPN is providing access to the </w:t>
      </w:r>
      <w:r w:rsidR="00BE0437" w:rsidRPr="00873B6C">
        <w:t>L</w:t>
      </w:r>
      <w:r w:rsidRPr="00873B6C">
        <w:t xml:space="preserve">ocalized </w:t>
      </w:r>
      <w:r w:rsidR="00BE0437" w:rsidRPr="00873B6C">
        <w:t>S</w:t>
      </w:r>
      <w:r w:rsidRPr="00873B6C">
        <w:t>ervices, then the UE can access HPLMN or subscribed SNPN as described in Annex D, clauses D.3, D.6 and D.7.</w:t>
      </w:r>
    </w:p>
    <w:p w14:paraId="660BB248" w14:textId="3A8DC639" w:rsidR="007229DB" w:rsidRPr="00873B6C" w:rsidRDefault="007229DB" w:rsidP="007229DB">
      <w:pPr>
        <w:pStyle w:val="Heading2"/>
      </w:pPr>
      <w:bookmarkStart w:id="6696" w:name="_CRN_2_2"/>
      <w:bookmarkStart w:id="6697" w:name="_Toc201157938"/>
      <w:bookmarkEnd w:id="6696"/>
      <w:r w:rsidRPr="00873B6C">
        <w:lastRenderedPageBreak/>
        <w:t>N.2.2</w:t>
      </w:r>
      <w:r w:rsidRPr="00873B6C">
        <w:tab/>
        <w:t xml:space="preserve">Configuration of network to provide access to </w:t>
      </w:r>
      <w:r w:rsidR="00BE0437" w:rsidRPr="00873B6C">
        <w:t>L</w:t>
      </w:r>
      <w:r w:rsidRPr="00873B6C">
        <w:t xml:space="preserve">ocalized </w:t>
      </w:r>
      <w:r w:rsidR="00BE0437" w:rsidRPr="00873B6C">
        <w:t>S</w:t>
      </w:r>
      <w:r w:rsidRPr="00873B6C">
        <w:t>ervices</w:t>
      </w:r>
      <w:bookmarkEnd w:id="6697"/>
    </w:p>
    <w:p w14:paraId="08B6DE4A" w14:textId="63811698" w:rsidR="007229DB" w:rsidRPr="00873B6C" w:rsidRDefault="007229DB" w:rsidP="007229DB">
      <w:r w:rsidRPr="00873B6C">
        <w:t xml:space="preserve">For configuring the PNI-NPN or SNPN (e.g. creation of network slice/DNN for carrying </w:t>
      </w:r>
      <w:r w:rsidR="00BE0437" w:rsidRPr="00873B6C">
        <w:t>L</w:t>
      </w:r>
      <w:r w:rsidRPr="00873B6C">
        <w:t xml:space="preserve">ocalized </w:t>
      </w:r>
      <w:r w:rsidR="00BE0437" w:rsidRPr="00873B6C">
        <w:t>S</w:t>
      </w:r>
      <w:r w:rsidRPr="00873B6C">
        <w:t xml:space="preserve">ervice traffic), existing OAM mechanisms can be re-used as per </w:t>
      </w:r>
      <w:r w:rsidR="00972E70" w:rsidRPr="00873B6C">
        <w:t>TS 28.557 [</w:t>
      </w:r>
      <w:r w:rsidRPr="00873B6C">
        <w:t xml:space="preserve">148] clause 6.3.1, that provides a solution for NPN provisioning by a network slice of a PLMN and for exposure of management capability of PNI-NPN (clause 6.3.2). The attributes to support this management is further documented in </w:t>
      </w:r>
      <w:r w:rsidR="00972E70" w:rsidRPr="00873B6C">
        <w:t>TS 28.541 [</w:t>
      </w:r>
      <w:r w:rsidRPr="00873B6C">
        <w:t>149].</w:t>
      </w:r>
    </w:p>
    <w:p w14:paraId="4753D684" w14:textId="3B38023C" w:rsidR="007229DB" w:rsidRPr="00873B6C" w:rsidRDefault="007229DB" w:rsidP="007229DB">
      <w:pPr>
        <w:pStyle w:val="Heading2"/>
      </w:pPr>
      <w:bookmarkStart w:id="6698" w:name="_CRN_2_3"/>
      <w:bookmarkStart w:id="6699" w:name="_Toc201157939"/>
      <w:bookmarkEnd w:id="6698"/>
      <w:r w:rsidRPr="00873B6C">
        <w:t>N.2.3</w:t>
      </w:r>
      <w:r w:rsidRPr="00873B6C">
        <w:tab/>
        <w:t>Session Management aspects</w:t>
      </w:r>
      <w:bookmarkEnd w:id="6699"/>
    </w:p>
    <w:p w14:paraId="6EBA7C5B" w14:textId="7B7A8B28" w:rsidR="007229DB" w:rsidRPr="00873B6C" w:rsidRDefault="007229DB" w:rsidP="007229DB">
      <w:r w:rsidRPr="00873B6C">
        <w:t>For session management level information and interactions such as monitoring the PNI-NPN or SNPN performance</w:t>
      </w:r>
      <w:r w:rsidR="00472CD7" w:rsidRPr="00873B6C">
        <w:t xml:space="preserve"> and</w:t>
      </w:r>
      <w:r w:rsidRPr="00873B6C">
        <w:t xml:space="preserve"> enabling suitable QoS for UE in the PNI-NPN or SNPN for </w:t>
      </w:r>
      <w:r w:rsidR="00BE0437" w:rsidRPr="00873B6C">
        <w:t>L</w:t>
      </w:r>
      <w:r w:rsidRPr="00873B6C">
        <w:t xml:space="preserve">ocalized </w:t>
      </w:r>
      <w:r w:rsidR="00BE0437" w:rsidRPr="00873B6C">
        <w:t>S</w:t>
      </w:r>
      <w:r w:rsidRPr="00873B6C">
        <w:t>ervice, the following non-exhaustive options can be used:</w:t>
      </w:r>
    </w:p>
    <w:p w14:paraId="1A9610E8" w14:textId="31289579" w:rsidR="007229DB" w:rsidRPr="00873B6C" w:rsidRDefault="007229DB" w:rsidP="007229DB">
      <w:pPr>
        <w:pStyle w:val="B1"/>
      </w:pPr>
      <w:r w:rsidRPr="00873B6C">
        <w:t>-</w:t>
      </w:r>
      <w:r w:rsidRPr="00873B6C">
        <w:tab/>
        <w:t xml:space="preserve">Covered by the SLA between the PNI-NPN or SNPN operator and the </w:t>
      </w:r>
      <w:r w:rsidR="00BE0437" w:rsidRPr="00873B6C">
        <w:t>L</w:t>
      </w:r>
      <w:r w:rsidRPr="00873B6C">
        <w:t xml:space="preserve">ocalized </w:t>
      </w:r>
      <w:r w:rsidR="00BE0437" w:rsidRPr="00873B6C">
        <w:t>S</w:t>
      </w:r>
      <w:r w:rsidRPr="00873B6C">
        <w:t xml:space="preserve">ervice </w:t>
      </w:r>
      <w:r w:rsidR="00BE0437" w:rsidRPr="00873B6C">
        <w:t>P</w:t>
      </w:r>
      <w:r w:rsidRPr="00873B6C">
        <w:t>rovider.</w:t>
      </w:r>
    </w:p>
    <w:p w14:paraId="3A35D846" w14:textId="269E41B1" w:rsidR="007229DB" w:rsidRPr="00873B6C" w:rsidRDefault="007229DB" w:rsidP="007229DB">
      <w:pPr>
        <w:pStyle w:val="B1"/>
      </w:pPr>
      <w:r w:rsidRPr="00873B6C">
        <w:t>-</w:t>
      </w:r>
      <w:r w:rsidRPr="00873B6C">
        <w:tab/>
        <w:t xml:space="preserve">Reuse the existing network exposure procedures as specified in </w:t>
      </w:r>
      <w:r w:rsidR="00972E70" w:rsidRPr="00873B6C">
        <w:t>TS 23.502 [</w:t>
      </w:r>
      <w:r w:rsidRPr="00873B6C">
        <w:t xml:space="preserve">3] clause 4.15, where the </w:t>
      </w:r>
      <w:r w:rsidR="00BE0437" w:rsidRPr="00873B6C">
        <w:t>L</w:t>
      </w:r>
      <w:r w:rsidRPr="00873B6C">
        <w:t xml:space="preserve">ocalized </w:t>
      </w:r>
      <w:r w:rsidR="00BE0437" w:rsidRPr="00873B6C">
        <w:t>S</w:t>
      </w:r>
      <w:r w:rsidRPr="00873B6C">
        <w:t xml:space="preserve">ervice </w:t>
      </w:r>
      <w:r w:rsidR="00BE0437" w:rsidRPr="00873B6C">
        <w:t>P</w:t>
      </w:r>
      <w:r w:rsidRPr="00873B6C">
        <w:t>rovider is taking the AF role and utilizing the exposure capability provided by the PNI-NPN or SNPN.</w:t>
      </w:r>
    </w:p>
    <w:p w14:paraId="2989A050" w14:textId="510519AF" w:rsidR="007229DB" w:rsidRPr="00873B6C" w:rsidRDefault="007229DB" w:rsidP="007229DB">
      <w:pPr>
        <w:pStyle w:val="B1"/>
      </w:pPr>
      <w:r w:rsidRPr="00873B6C">
        <w:t>-</w:t>
      </w:r>
      <w:r w:rsidRPr="00873B6C">
        <w:tab/>
        <w:t xml:space="preserve">Enable NEF/PCF in the PNI-NPN or SNPN providing access to the </w:t>
      </w:r>
      <w:r w:rsidR="00BE0437" w:rsidRPr="00873B6C">
        <w:t>L</w:t>
      </w:r>
      <w:r w:rsidRPr="00873B6C">
        <w:t xml:space="preserve">ocalized </w:t>
      </w:r>
      <w:r w:rsidR="00BE0437" w:rsidRPr="00873B6C">
        <w:t>S</w:t>
      </w:r>
      <w:r w:rsidRPr="00873B6C">
        <w:t xml:space="preserve">ervices (via AF of the </w:t>
      </w:r>
      <w:r w:rsidR="00BE0437" w:rsidRPr="00873B6C">
        <w:t>L</w:t>
      </w:r>
      <w:r w:rsidRPr="00873B6C">
        <w:t xml:space="preserve">ocalized </w:t>
      </w:r>
      <w:r w:rsidR="00BE0437" w:rsidRPr="00873B6C">
        <w:t>S</w:t>
      </w:r>
      <w:r w:rsidRPr="00873B6C">
        <w:t xml:space="preserve">ervice </w:t>
      </w:r>
      <w:r w:rsidR="00BE0437" w:rsidRPr="00873B6C">
        <w:t>P</w:t>
      </w:r>
      <w:r w:rsidRPr="00873B6C">
        <w:t xml:space="preserve">rovider) to receive and forward the validity conditions and QoS requirements of the </w:t>
      </w:r>
      <w:r w:rsidR="00BE0437" w:rsidRPr="00873B6C">
        <w:t>L</w:t>
      </w:r>
      <w:r w:rsidRPr="00873B6C">
        <w:t xml:space="preserve">ocalized </w:t>
      </w:r>
      <w:r w:rsidR="00BE0437" w:rsidRPr="00873B6C">
        <w:t>S</w:t>
      </w:r>
      <w:r w:rsidRPr="00873B6C">
        <w:t xml:space="preserve">ervices to the AMF/SMF by reusing the existing PCF initiated AM/SM policy association procedures described in </w:t>
      </w:r>
      <w:r w:rsidR="00972E70" w:rsidRPr="00873B6C">
        <w:t>TS 23.502 [</w:t>
      </w:r>
      <w:r w:rsidRPr="00873B6C">
        <w:t>3] clause 4.16.</w:t>
      </w:r>
    </w:p>
    <w:p w14:paraId="2C1A9F5F" w14:textId="4C7F3D37" w:rsidR="007229DB" w:rsidRPr="00873B6C" w:rsidRDefault="007229DB" w:rsidP="007229DB">
      <w:pPr>
        <w:pStyle w:val="Heading1"/>
      </w:pPr>
      <w:bookmarkStart w:id="6700" w:name="_CRN_3"/>
      <w:bookmarkStart w:id="6701" w:name="_Toc201157940"/>
      <w:bookmarkEnd w:id="6700"/>
      <w:r w:rsidRPr="00873B6C">
        <w:t>N.3</w:t>
      </w:r>
      <w:r w:rsidRPr="00873B6C">
        <w:tab/>
        <w:t xml:space="preserve">Selection of network providing access to </w:t>
      </w:r>
      <w:r w:rsidR="00BE0437" w:rsidRPr="00873B6C">
        <w:t>L</w:t>
      </w:r>
      <w:r w:rsidRPr="00873B6C">
        <w:t xml:space="preserve">ocalized </w:t>
      </w:r>
      <w:r w:rsidR="00BE0437" w:rsidRPr="00873B6C">
        <w:t>S</w:t>
      </w:r>
      <w:r w:rsidRPr="00873B6C">
        <w:t>ervices</w:t>
      </w:r>
      <w:bookmarkEnd w:id="6701"/>
    </w:p>
    <w:p w14:paraId="5E0FB54B" w14:textId="6BF1CCB7" w:rsidR="007229DB" w:rsidRPr="00873B6C" w:rsidRDefault="007229DB" w:rsidP="00972E70">
      <w:r w:rsidRPr="00873B6C">
        <w:t xml:space="preserve">The UE selects an SNPN providing access for </w:t>
      </w:r>
      <w:r w:rsidR="00BE0437" w:rsidRPr="00873B6C">
        <w:t>L</w:t>
      </w:r>
      <w:r w:rsidRPr="00873B6C">
        <w:t xml:space="preserve">ocalized </w:t>
      </w:r>
      <w:r w:rsidR="00BE0437" w:rsidRPr="00873B6C">
        <w:t>S</w:t>
      </w:r>
      <w:r w:rsidRPr="00873B6C">
        <w:t xml:space="preserve">ervices as described in clause 5.30.2.4.2, clause 5.30.2.4.3 and in </w:t>
      </w:r>
      <w:r w:rsidR="00972E70" w:rsidRPr="00873B6C">
        <w:t>TS 23.122 [</w:t>
      </w:r>
      <w:r w:rsidRPr="00873B6C">
        <w:t>17].</w:t>
      </w:r>
    </w:p>
    <w:p w14:paraId="20E4F305" w14:textId="6DBB9CB4" w:rsidR="007229DB" w:rsidRPr="00873B6C" w:rsidRDefault="007229DB" w:rsidP="007229DB">
      <w:pPr>
        <w:pStyle w:val="Heading1"/>
      </w:pPr>
      <w:bookmarkStart w:id="6702" w:name="_CRN_4"/>
      <w:bookmarkStart w:id="6703" w:name="_Toc201157941"/>
      <w:bookmarkEnd w:id="6702"/>
      <w:r w:rsidRPr="00873B6C">
        <w:t>N.4</w:t>
      </w:r>
      <w:r w:rsidRPr="00873B6C">
        <w:tab/>
        <w:t xml:space="preserve">Enabling the UE access to </w:t>
      </w:r>
      <w:r w:rsidR="00BE0437" w:rsidRPr="00873B6C">
        <w:t>L</w:t>
      </w:r>
      <w:r w:rsidRPr="00873B6C">
        <w:t xml:space="preserve">ocalized </w:t>
      </w:r>
      <w:r w:rsidR="00BE0437" w:rsidRPr="00873B6C">
        <w:t>S</w:t>
      </w:r>
      <w:r w:rsidRPr="00873B6C">
        <w:t>ervices</w:t>
      </w:r>
      <w:bookmarkEnd w:id="6703"/>
    </w:p>
    <w:p w14:paraId="63CB650B" w14:textId="50C7800B" w:rsidR="007229DB" w:rsidRPr="00873B6C" w:rsidRDefault="007229DB" w:rsidP="007229DB">
      <w:r w:rsidRPr="00873B6C">
        <w:t xml:space="preserve">The access to a </w:t>
      </w:r>
      <w:r w:rsidR="00BE0437" w:rsidRPr="00873B6C">
        <w:t>L</w:t>
      </w:r>
      <w:r w:rsidRPr="00873B6C">
        <w:t xml:space="preserve">ocalized </w:t>
      </w:r>
      <w:r w:rsidR="00BE0437" w:rsidRPr="00873B6C">
        <w:t>S</w:t>
      </w:r>
      <w:r w:rsidRPr="00873B6C">
        <w:t>ervice is made available in a specific area and/or a specific period of time.</w:t>
      </w:r>
    </w:p>
    <w:p w14:paraId="4DDBEC1A" w14:textId="4B0176D7" w:rsidR="007229DB" w:rsidRPr="00873B6C" w:rsidRDefault="007229DB" w:rsidP="007229DB">
      <w:r w:rsidRPr="00873B6C">
        <w:t xml:space="preserve">After the UE has successfully registered to a PNI-NPN/SNPN providing access to the </w:t>
      </w:r>
      <w:r w:rsidR="00BE0437" w:rsidRPr="00873B6C">
        <w:t>L</w:t>
      </w:r>
      <w:r w:rsidRPr="00873B6C">
        <w:t xml:space="preserve">ocalized </w:t>
      </w:r>
      <w:r w:rsidR="00BE0437" w:rsidRPr="00873B6C">
        <w:t>S</w:t>
      </w:r>
      <w:r w:rsidRPr="00873B6C">
        <w:t xml:space="preserve">ervice, the UE can be configured with URSP rules using existing principles (see clause 6.6.2.2 of </w:t>
      </w:r>
      <w:r w:rsidR="00972E70" w:rsidRPr="00873B6C">
        <w:t>TS 23.503 [</w:t>
      </w:r>
      <w:r w:rsidRPr="00873B6C">
        <w:t>45]).</w:t>
      </w:r>
    </w:p>
    <w:p w14:paraId="3C4898F8" w14:textId="59DDC501" w:rsidR="007229DB" w:rsidRPr="00873B6C" w:rsidRDefault="007229DB" w:rsidP="007229DB">
      <w:r w:rsidRPr="00873B6C">
        <w:t xml:space="preserve">The URSP rules can include an association between the UE application and the DNN/S-NSSAI which is meant for a particular </w:t>
      </w:r>
      <w:r w:rsidR="00BE0437" w:rsidRPr="00873B6C">
        <w:t>L</w:t>
      </w:r>
      <w:r w:rsidRPr="00873B6C">
        <w:t xml:space="preserve">ocalized </w:t>
      </w:r>
      <w:r w:rsidR="00BE0437" w:rsidRPr="00873B6C">
        <w:t>S</w:t>
      </w:r>
      <w:r w:rsidRPr="00873B6C">
        <w:t xml:space="preserve">ervice. The URSP rules can also include "Route Selection Validation Criteria" as described in Table 6.6.2.1-3 of </w:t>
      </w:r>
      <w:r w:rsidR="00972E70" w:rsidRPr="00873B6C">
        <w:t>TS 23.503 [</w:t>
      </w:r>
      <w:r w:rsidRPr="00873B6C">
        <w:t xml:space="preserve">45], with the time/location defined for the particular </w:t>
      </w:r>
      <w:r w:rsidR="00BE0437" w:rsidRPr="00873B6C">
        <w:t>L</w:t>
      </w:r>
      <w:r w:rsidRPr="00873B6C">
        <w:t xml:space="preserve">ocalized </w:t>
      </w:r>
      <w:r w:rsidR="00BE0437" w:rsidRPr="00873B6C">
        <w:t>S</w:t>
      </w:r>
      <w:r w:rsidRPr="00873B6C">
        <w:t>ervice.</w:t>
      </w:r>
    </w:p>
    <w:p w14:paraId="10B0E948" w14:textId="7985DC39" w:rsidR="007229DB" w:rsidRPr="00873B6C" w:rsidRDefault="007229DB" w:rsidP="007229DB">
      <w:r w:rsidRPr="00873B6C">
        <w:t xml:space="preserve">The existing LADN feature described in clause 5.6.5 can also be used for enabling the UE access to </w:t>
      </w:r>
      <w:r w:rsidR="00BE0437" w:rsidRPr="00873B6C">
        <w:t>L</w:t>
      </w:r>
      <w:r w:rsidRPr="00873B6C">
        <w:t xml:space="preserve">ocalized </w:t>
      </w:r>
      <w:r w:rsidR="00BE0437" w:rsidRPr="00873B6C">
        <w:t>S</w:t>
      </w:r>
      <w:r w:rsidRPr="00873B6C">
        <w:t xml:space="preserve">ervice which is defined by a LADN DNN. The S-NSSAI used for a </w:t>
      </w:r>
      <w:r w:rsidR="00BE0437" w:rsidRPr="00873B6C">
        <w:t>L</w:t>
      </w:r>
      <w:r w:rsidRPr="00873B6C">
        <w:t xml:space="preserve">ocalized </w:t>
      </w:r>
      <w:r w:rsidR="00BE0437" w:rsidRPr="00873B6C">
        <w:t>S</w:t>
      </w:r>
      <w:r w:rsidRPr="00873B6C">
        <w:t>ervice can be restricted to a specific area and time as described in clause 5.15.</w:t>
      </w:r>
    </w:p>
    <w:p w14:paraId="38C781D5" w14:textId="02E57E59" w:rsidR="00E02643" w:rsidRPr="00873B6C" w:rsidRDefault="00E02643" w:rsidP="00E02643">
      <w:pPr>
        <w:pStyle w:val="Heading1"/>
      </w:pPr>
      <w:bookmarkStart w:id="6704" w:name="_CRN_5"/>
      <w:bookmarkStart w:id="6705" w:name="_Toc201157942"/>
      <w:bookmarkEnd w:id="6704"/>
      <w:r w:rsidRPr="00873B6C">
        <w:t>N.5</w:t>
      </w:r>
      <w:r w:rsidRPr="00873B6C">
        <w:tab/>
        <w:t xml:space="preserve">Support for leaving network that provides access to </w:t>
      </w:r>
      <w:r w:rsidR="00BE0437" w:rsidRPr="00873B6C">
        <w:t>L</w:t>
      </w:r>
      <w:r w:rsidRPr="00873B6C">
        <w:t xml:space="preserve">ocalized </w:t>
      </w:r>
      <w:r w:rsidR="00BE0437" w:rsidRPr="00873B6C">
        <w:t>S</w:t>
      </w:r>
      <w:r w:rsidRPr="00873B6C">
        <w:t>ervices</w:t>
      </w:r>
      <w:bookmarkEnd w:id="6705"/>
    </w:p>
    <w:p w14:paraId="052AEF01" w14:textId="4574FB4D" w:rsidR="00E02643" w:rsidRPr="00873B6C" w:rsidRDefault="00E02643" w:rsidP="00E02643">
      <w:r w:rsidRPr="00873B6C">
        <w:t xml:space="preserve">When </w:t>
      </w:r>
      <w:r w:rsidR="00BE0437" w:rsidRPr="00873B6C">
        <w:t>L</w:t>
      </w:r>
      <w:r w:rsidRPr="00873B6C">
        <w:t xml:space="preserve">ocalized </w:t>
      </w:r>
      <w:r w:rsidR="00BE0437" w:rsidRPr="00873B6C">
        <w:t>S</w:t>
      </w:r>
      <w:r w:rsidRPr="00873B6C">
        <w:t>ervices in a network are completed, all UEs that are registered with the network are expected to be transferred to other network or to other network resources (e.g. other cells) within the same network, potentially within a relatively short timeframe. The other network can be HPLMN, VPLMN or another SNPN.</w:t>
      </w:r>
    </w:p>
    <w:p w14:paraId="6A8116E7" w14:textId="3BEAD25B" w:rsidR="00E02643" w:rsidRPr="00873B6C" w:rsidRDefault="00E02643" w:rsidP="00E02643">
      <w:r w:rsidRPr="00873B6C">
        <w:t xml:space="preserve">UE can stop using the network resources for </w:t>
      </w:r>
      <w:r w:rsidR="00BE0437" w:rsidRPr="00873B6C">
        <w:t>L</w:t>
      </w:r>
      <w:r w:rsidRPr="00873B6C">
        <w:t xml:space="preserve">ocalized </w:t>
      </w:r>
      <w:r w:rsidR="00BE0437" w:rsidRPr="00873B6C">
        <w:t>S</w:t>
      </w:r>
      <w:r w:rsidRPr="00873B6C">
        <w:t>ervices for numerous reasons, e.g. when one or more of the following conditions apply:</w:t>
      </w:r>
    </w:p>
    <w:p w14:paraId="6C5BAABB" w14:textId="3A94CF97" w:rsidR="00E02643" w:rsidRPr="00873B6C" w:rsidRDefault="00E02643" w:rsidP="00972E70">
      <w:pPr>
        <w:pStyle w:val="B1"/>
      </w:pPr>
      <w:r w:rsidRPr="00873B6C">
        <w:lastRenderedPageBreak/>
        <w:t>-</w:t>
      </w:r>
      <w:r w:rsidRPr="00873B6C">
        <w:tab/>
        <w:t xml:space="preserve">Localized </w:t>
      </w:r>
      <w:r w:rsidR="00BE0437" w:rsidRPr="00873B6C">
        <w:t>S</w:t>
      </w:r>
      <w:r w:rsidRPr="00873B6C">
        <w:t>ervices in a network are completed.</w:t>
      </w:r>
    </w:p>
    <w:p w14:paraId="26A5550C" w14:textId="77777777" w:rsidR="00E02643" w:rsidRPr="00873B6C" w:rsidRDefault="00E02643" w:rsidP="00972E70">
      <w:pPr>
        <w:pStyle w:val="B1"/>
      </w:pPr>
      <w:r w:rsidRPr="00873B6C">
        <w:t>-</w:t>
      </w:r>
      <w:r w:rsidRPr="00873B6C">
        <w:tab/>
        <w:t>Validity conditions of network selection information are no longer met.</w:t>
      </w:r>
    </w:p>
    <w:p w14:paraId="6B73C58A" w14:textId="06FE80C8" w:rsidR="00E02643" w:rsidRPr="00873B6C" w:rsidRDefault="00E02643" w:rsidP="00972E70">
      <w:pPr>
        <w:pStyle w:val="B1"/>
      </w:pPr>
      <w:r w:rsidRPr="00873B6C">
        <w:t>-</w:t>
      </w:r>
      <w:r w:rsidRPr="00873B6C">
        <w:tab/>
        <w:t xml:space="preserve">The user decides to stop using the </w:t>
      </w:r>
      <w:r w:rsidR="00BE0437" w:rsidRPr="00873B6C">
        <w:t>L</w:t>
      </w:r>
      <w:r w:rsidRPr="00873B6C">
        <w:t xml:space="preserve">ocalized </w:t>
      </w:r>
      <w:r w:rsidR="00BE0437" w:rsidRPr="00873B6C">
        <w:t>S</w:t>
      </w:r>
      <w:r w:rsidRPr="00873B6C">
        <w:t>ervices before they are completed.</w:t>
      </w:r>
    </w:p>
    <w:p w14:paraId="74F7CDA5" w14:textId="3075B126" w:rsidR="00E02643" w:rsidRPr="00873B6C" w:rsidRDefault="00E02643" w:rsidP="00972E70">
      <w:pPr>
        <w:pStyle w:val="B1"/>
      </w:pPr>
      <w:r w:rsidRPr="00873B6C">
        <w:t>-</w:t>
      </w:r>
      <w:r w:rsidRPr="00873B6C">
        <w:tab/>
        <w:t xml:space="preserve">A policy decision is taken by the network, with the effect that the UE is deregistered before the </w:t>
      </w:r>
      <w:r w:rsidR="00BE0437" w:rsidRPr="00873B6C">
        <w:t>L</w:t>
      </w:r>
      <w:r w:rsidRPr="00873B6C">
        <w:t xml:space="preserve">ocalized </w:t>
      </w:r>
      <w:r w:rsidR="00BE0437" w:rsidRPr="00873B6C">
        <w:t>S</w:t>
      </w:r>
      <w:r w:rsidRPr="00873B6C">
        <w:t>ervices are completed.</w:t>
      </w:r>
    </w:p>
    <w:p w14:paraId="4ACDC0E6" w14:textId="2C26B6D4" w:rsidR="00E02643" w:rsidRPr="00873B6C" w:rsidRDefault="00E02643" w:rsidP="00972E70">
      <w:pPr>
        <w:pStyle w:val="NO"/>
      </w:pPr>
      <w:r w:rsidRPr="00873B6C">
        <w:t>NOTE:</w:t>
      </w:r>
      <w:r w:rsidRPr="00873B6C">
        <w:tab/>
        <w:t xml:space="preserve">The list is not an exhaustive list and UE can stop using the network resources for </w:t>
      </w:r>
      <w:r w:rsidR="00BE0437" w:rsidRPr="00873B6C">
        <w:t>L</w:t>
      </w:r>
      <w:r w:rsidRPr="00873B6C">
        <w:t xml:space="preserve">ocalized </w:t>
      </w:r>
      <w:r w:rsidR="00BE0437" w:rsidRPr="00873B6C">
        <w:t>S</w:t>
      </w:r>
      <w:r w:rsidRPr="00873B6C">
        <w:t>ervices due to other reasons e.g. UE loses coverage, power off.</w:t>
      </w:r>
    </w:p>
    <w:p w14:paraId="30BF3806" w14:textId="77777777" w:rsidR="00E02643" w:rsidRPr="00873B6C" w:rsidRDefault="00E02643" w:rsidP="00E02643">
      <w:r w:rsidRPr="00873B6C">
        <w:t>When large number of UEs move to other network (i.e. HPLMN, VPLMN or another SNPN) or other network resources within a relatively short timeframe, the total signalling involved can cause signalling overload in the target network.</w:t>
      </w:r>
    </w:p>
    <w:p w14:paraId="177A70B2" w14:textId="77777777" w:rsidR="00E02643" w:rsidRPr="00873B6C" w:rsidRDefault="00E02643" w:rsidP="00E02643">
      <w:r w:rsidRPr="00873B6C">
        <w:t>Existing mechanisms for Control Plane Load Control, Congestion and Overload Control described in clause 5.19 and access control and barring described in clause 5.2.5 can be used to mitigate the signalling overload caused by returning UEs. For further enhancement of mitigation of signalling overload, additional mechanisms can be implemented to ensure spreading of the load that returning UEs cause. Such mechanisms are implementation-specific, but some guidelines that can be considered are described below:</w:t>
      </w:r>
    </w:p>
    <w:p w14:paraId="44832031" w14:textId="2D5932CF" w:rsidR="00E02643" w:rsidRPr="00873B6C" w:rsidRDefault="00E02643" w:rsidP="00972E70">
      <w:pPr>
        <w:pStyle w:val="B1"/>
      </w:pPr>
      <w:r w:rsidRPr="00873B6C">
        <w:t>-</w:t>
      </w:r>
      <w:r w:rsidRPr="00873B6C">
        <w:tab/>
        <w:t xml:space="preserve">The time validity of the network selection information given to a UE can be set somewhat longer than the actual duration of the service, e.g. users will by themselves disable </w:t>
      </w:r>
      <w:r w:rsidR="00BE0437" w:rsidRPr="00873B6C">
        <w:t>L</w:t>
      </w:r>
      <w:r w:rsidRPr="00873B6C">
        <w:t xml:space="preserve">ocalized </w:t>
      </w:r>
      <w:r w:rsidR="00BE0437" w:rsidRPr="00873B6C">
        <w:t>S</w:t>
      </w:r>
      <w:r w:rsidRPr="00873B6C">
        <w:t xml:space="preserve">ervice and the UE then stops using the connectivity to access the </w:t>
      </w:r>
      <w:r w:rsidR="00BE0437" w:rsidRPr="00873B6C">
        <w:t>L</w:t>
      </w:r>
      <w:r w:rsidRPr="00873B6C">
        <w:t xml:space="preserve">ocalized </w:t>
      </w:r>
      <w:r w:rsidR="00BE0437" w:rsidRPr="00873B6C">
        <w:t>S</w:t>
      </w:r>
      <w:r w:rsidRPr="00873B6C">
        <w:t>ervice, thus causing the UE to be moved, e.g. by performing normal network selection.</w:t>
      </w:r>
    </w:p>
    <w:p w14:paraId="4270B72D" w14:textId="77777777" w:rsidR="00E02643" w:rsidRPr="00873B6C" w:rsidRDefault="00E02643" w:rsidP="00972E70">
      <w:pPr>
        <w:pStyle w:val="B1"/>
      </w:pPr>
      <w:r w:rsidRPr="00873B6C">
        <w:t>-</w:t>
      </w:r>
      <w:r w:rsidRPr="00873B6C">
        <w:tab/>
        <w:t>The time validity of the network selection information given to a UE can be different for each UE so that each UE performs network selection at a different time to distribute returning UEs.</w:t>
      </w:r>
    </w:p>
    <w:p w14:paraId="280CB0A6" w14:textId="3F2A6064" w:rsidR="00E02643" w:rsidRPr="00873B6C" w:rsidRDefault="00E02643" w:rsidP="00972E70">
      <w:pPr>
        <w:pStyle w:val="B1"/>
      </w:pPr>
      <w:r w:rsidRPr="00873B6C">
        <w:t>-</w:t>
      </w:r>
      <w:r w:rsidRPr="00873B6C">
        <w:tab/>
        <w:t xml:space="preserve">When the AMF after end of </w:t>
      </w:r>
      <w:r w:rsidR="00BE0437" w:rsidRPr="00873B6C">
        <w:t>L</w:t>
      </w:r>
      <w:r w:rsidRPr="00873B6C">
        <w:t xml:space="preserve">ocalized </w:t>
      </w:r>
      <w:r w:rsidR="00BE0437" w:rsidRPr="00873B6C">
        <w:t>S</w:t>
      </w:r>
      <w:r w:rsidRPr="00873B6C">
        <w:t>ervices triggers deregistration of UEs, the deregistration requests can be sent at a certain rate in an adaptive and distributed manner, with the effect that the signalling load on both the source network and the target network is limited.</w:t>
      </w:r>
    </w:p>
    <w:p w14:paraId="563B7634" w14:textId="30BE4890" w:rsidR="00E02643" w:rsidRPr="00873B6C" w:rsidRDefault="00E02643" w:rsidP="00972E70">
      <w:pPr>
        <w:pStyle w:val="B1"/>
      </w:pPr>
      <w:r w:rsidRPr="00873B6C">
        <w:t>-</w:t>
      </w:r>
      <w:r w:rsidRPr="00873B6C">
        <w:tab/>
        <w:t xml:space="preserve">When the AMF after end of </w:t>
      </w:r>
      <w:r w:rsidR="00BE0437" w:rsidRPr="00873B6C">
        <w:t>L</w:t>
      </w:r>
      <w:r w:rsidRPr="00873B6C">
        <w:t xml:space="preserve">ocalized </w:t>
      </w:r>
      <w:r w:rsidR="00BE0437" w:rsidRPr="00873B6C">
        <w:t>S</w:t>
      </w:r>
      <w:r w:rsidRPr="00873B6C">
        <w:t xml:space="preserve">ervices triggers UE configuration update procedure, e.g. to remove S-NSSAI from the Allowed NSSAI (if dedicated S-NSSAI is used for the </w:t>
      </w:r>
      <w:r w:rsidR="00BE0437" w:rsidRPr="00873B6C">
        <w:t>L</w:t>
      </w:r>
      <w:r w:rsidRPr="00873B6C">
        <w:t xml:space="preserve">ocalized </w:t>
      </w:r>
      <w:r w:rsidR="00BE0437" w:rsidRPr="00873B6C">
        <w:t>S</w:t>
      </w:r>
      <w:r w:rsidRPr="00873B6C">
        <w:t>ervice), the requests can be sent at a certain rate, with the effect that the signalling load in the network is limited.</w:t>
      </w:r>
    </w:p>
    <w:p w14:paraId="0CD34B2B" w14:textId="77777777" w:rsidR="000C6BFB" w:rsidRPr="00873B6C" w:rsidRDefault="000C6BFB" w:rsidP="000C6BFB">
      <w:r w:rsidRPr="00873B6C">
        <w:t>When the NAS level congestion control is activated at AMF as specified in clause 5.19.7.2, to prevent a UE staying in an SNPN for accessing for Localized Services but not able to get services from the SNPN due to the congestion, additional mechanism can be implemented. Such mechanisms are implementation-specific but some guidelines that can be considered are described below:</w:t>
      </w:r>
    </w:p>
    <w:p w14:paraId="3FD25D00" w14:textId="77777777" w:rsidR="000C6BFB" w:rsidRPr="00873B6C" w:rsidRDefault="000C6BFB" w:rsidP="00FA7D5B">
      <w:pPr>
        <w:pStyle w:val="B1"/>
      </w:pPr>
      <w:r w:rsidRPr="00873B6C">
        <w:t>-</w:t>
      </w:r>
      <w:r w:rsidRPr="00873B6C">
        <w:tab/>
        <w:t>the AMF can determine whether to reject the UE with a proper cause without Mobility Management back-off timer to allow the UE to reselect another SNPN for Localized Services.</w:t>
      </w:r>
    </w:p>
    <w:p w14:paraId="0B17F1C8" w14:textId="051E60F9" w:rsidR="00120E23" w:rsidRPr="00873B6C" w:rsidRDefault="00120E23" w:rsidP="00120E23">
      <w:pPr>
        <w:pStyle w:val="Heading1"/>
      </w:pPr>
      <w:bookmarkStart w:id="6706" w:name="_CRN_6"/>
      <w:bookmarkStart w:id="6707" w:name="_Toc201157943"/>
      <w:bookmarkEnd w:id="6706"/>
      <w:r w:rsidRPr="00873B6C">
        <w:t>N.6</w:t>
      </w:r>
      <w:r w:rsidRPr="00873B6C">
        <w:tab/>
        <w:t>Configuration of Credentials Holder for determining SNPN selection information</w:t>
      </w:r>
      <w:bookmarkEnd w:id="6707"/>
    </w:p>
    <w:p w14:paraId="1919CFC3" w14:textId="1E7C0C28" w:rsidR="00120E23" w:rsidRPr="00873B6C" w:rsidRDefault="00120E23" w:rsidP="00120E23">
      <w:r w:rsidRPr="00873B6C">
        <w:t xml:space="preserve">To enable the HPLMN or the subscribed SNPN acting as Credentials Holder to generate and provision UEs with SNPN selection information for discovery and selection of SNPNs providing </w:t>
      </w:r>
      <w:r w:rsidR="00BE0437" w:rsidRPr="00873B6C">
        <w:t>L</w:t>
      </w:r>
      <w:r w:rsidRPr="00873B6C">
        <w:t>ocali</w:t>
      </w:r>
      <w:r w:rsidR="00BE0437" w:rsidRPr="00873B6C">
        <w:t>z</w:t>
      </w:r>
      <w:r w:rsidRPr="00873B6C">
        <w:t xml:space="preserve">ed </w:t>
      </w:r>
      <w:r w:rsidR="00BE0437" w:rsidRPr="00873B6C">
        <w:t>S</w:t>
      </w:r>
      <w:r w:rsidRPr="00873B6C">
        <w:t>ervices, based on</w:t>
      </w:r>
      <w:r w:rsidR="00141A61" w:rsidRPr="00873B6C">
        <w:t xml:space="preserve"> </w:t>
      </w:r>
      <w:r w:rsidR="00BE0437" w:rsidRPr="00873B6C">
        <w:t>L</w:t>
      </w:r>
      <w:r w:rsidR="00141A61" w:rsidRPr="00873B6C">
        <w:t>ocalized</w:t>
      </w:r>
      <w:r w:rsidRPr="00873B6C">
        <w:t xml:space="preserve"> </w:t>
      </w:r>
      <w:r w:rsidR="00BE0437" w:rsidRPr="00873B6C">
        <w:t>S</w:t>
      </w:r>
      <w:r w:rsidRPr="00873B6C">
        <w:t>ervice agreement</w:t>
      </w:r>
      <w:r w:rsidR="00141A61" w:rsidRPr="00873B6C">
        <w:t>s</w:t>
      </w:r>
      <w:r w:rsidRPr="00873B6C">
        <w:t xml:space="preserve"> between the Locali</w:t>
      </w:r>
      <w:r w:rsidR="00BE0437" w:rsidRPr="00873B6C">
        <w:t>z</w:t>
      </w:r>
      <w:r w:rsidRPr="00873B6C">
        <w:t xml:space="preserve">ed Service Provider or the SNPN providing </w:t>
      </w:r>
      <w:r w:rsidR="00BE0437" w:rsidRPr="00873B6C">
        <w:t>L</w:t>
      </w:r>
      <w:r w:rsidRPr="00873B6C">
        <w:t xml:space="preserve">ocalized </w:t>
      </w:r>
      <w:r w:rsidR="00BE0437" w:rsidRPr="00873B6C">
        <w:t>S</w:t>
      </w:r>
      <w:r w:rsidRPr="00873B6C">
        <w:t>ervices and the HPLMN or the subscribed SNPN acting as Credentials Holder, the Locali</w:t>
      </w:r>
      <w:r w:rsidR="00BE0437" w:rsidRPr="00873B6C">
        <w:t>z</w:t>
      </w:r>
      <w:r w:rsidRPr="00873B6C">
        <w:t xml:space="preserve">ed Service Provider or the SNPN providing access to </w:t>
      </w:r>
      <w:r w:rsidR="00BE0437" w:rsidRPr="00873B6C">
        <w:t>L</w:t>
      </w:r>
      <w:r w:rsidRPr="00873B6C">
        <w:t xml:space="preserve">ocalized </w:t>
      </w:r>
      <w:r w:rsidR="00BE0437" w:rsidRPr="00873B6C">
        <w:t>S</w:t>
      </w:r>
      <w:r w:rsidRPr="00873B6C">
        <w:t>ervices can provide configuration information for SNPN selection to the HPLMN or the subscribed SNPN acting as Credentials Holder. The configuration information for SNPN selection may contain at least one of the following parameters:</w:t>
      </w:r>
    </w:p>
    <w:p w14:paraId="4994D653" w14:textId="3475FB7F" w:rsidR="00120E23" w:rsidRPr="00873B6C" w:rsidRDefault="00120E23" w:rsidP="00120E23">
      <w:pPr>
        <w:pStyle w:val="B1"/>
      </w:pPr>
      <w:r w:rsidRPr="00873B6C">
        <w:t>a.</w:t>
      </w:r>
      <w:r w:rsidRPr="00873B6C">
        <w:tab/>
      </w:r>
      <w:r w:rsidR="00141A61" w:rsidRPr="00873B6C">
        <w:t xml:space="preserve">SNPN ID or GIN </w:t>
      </w:r>
      <w:r w:rsidRPr="00873B6C">
        <w:t xml:space="preserve">of the SNPN providing access to one or more </w:t>
      </w:r>
      <w:r w:rsidR="00BE0437" w:rsidRPr="00873B6C">
        <w:t>L</w:t>
      </w:r>
      <w:r w:rsidRPr="00873B6C">
        <w:t xml:space="preserve">ocalized </w:t>
      </w:r>
      <w:r w:rsidR="00BE0437" w:rsidRPr="00873B6C">
        <w:t>S</w:t>
      </w:r>
      <w:r w:rsidRPr="00873B6C">
        <w:t>ervices;</w:t>
      </w:r>
    </w:p>
    <w:p w14:paraId="04520120" w14:textId="3F85EADB" w:rsidR="00120E23" w:rsidRPr="00873B6C" w:rsidRDefault="00120E23" w:rsidP="00120E23">
      <w:pPr>
        <w:pStyle w:val="B1"/>
      </w:pPr>
      <w:r w:rsidRPr="00873B6C">
        <w:t>b.</w:t>
      </w:r>
      <w:r w:rsidRPr="00873B6C">
        <w:tab/>
        <w:t xml:space="preserve">Identification of each </w:t>
      </w:r>
      <w:r w:rsidR="00BE0437" w:rsidRPr="00873B6C">
        <w:t>L</w:t>
      </w:r>
      <w:r w:rsidRPr="00873B6C">
        <w:t xml:space="preserve">ocalized </w:t>
      </w:r>
      <w:r w:rsidR="00BE0437" w:rsidRPr="00873B6C">
        <w:t>S</w:t>
      </w:r>
      <w:r w:rsidRPr="00873B6C">
        <w:t>ervice;</w:t>
      </w:r>
    </w:p>
    <w:p w14:paraId="2DFA9D49" w14:textId="62DBAF94" w:rsidR="00120E23" w:rsidRPr="00873B6C" w:rsidRDefault="00120E23" w:rsidP="00120E23">
      <w:pPr>
        <w:pStyle w:val="B1"/>
      </w:pPr>
      <w:r w:rsidRPr="00873B6C">
        <w:lastRenderedPageBreak/>
        <w:t>c.</w:t>
      </w:r>
      <w:r w:rsidRPr="00873B6C">
        <w:tab/>
        <w:t>validity information</w:t>
      </w:r>
      <w:r w:rsidR="00494FD0" w:rsidRPr="00873B6C">
        <w:t xml:space="preserve"> (e.g. time validity information</w:t>
      </w:r>
      <w:r w:rsidR="00472CD7" w:rsidRPr="00873B6C">
        <w:t xml:space="preserve"> and</w:t>
      </w:r>
      <w:r w:rsidR="00494FD0" w:rsidRPr="00873B6C">
        <w:t xml:space="preserve"> optionally location validity information)</w:t>
      </w:r>
      <w:r w:rsidRPr="00873B6C">
        <w:t xml:space="preserve"> for each </w:t>
      </w:r>
      <w:r w:rsidR="00BE0437" w:rsidRPr="00873B6C">
        <w:t>L</w:t>
      </w:r>
      <w:r w:rsidRPr="00873B6C">
        <w:t xml:space="preserve">ocalized </w:t>
      </w:r>
      <w:r w:rsidR="00BE0437" w:rsidRPr="00873B6C">
        <w:t>S</w:t>
      </w:r>
      <w:r w:rsidRPr="00873B6C">
        <w:t>ervice</w:t>
      </w:r>
      <w:r w:rsidR="00494FD0" w:rsidRPr="00873B6C">
        <w:t xml:space="preserve"> </w:t>
      </w:r>
      <w:r w:rsidRPr="00873B6C">
        <w:t>and</w:t>
      </w:r>
      <w:r w:rsidR="00494FD0" w:rsidRPr="00873B6C">
        <w:t>/or</w:t>
      </w:r>
      <w:r w:rsidRPr="00873B6C">
        <w:t xml:space="preserve"> location assistance information; and/or</w:t>
      </w:r>
    </w:p>
    <w:p w14:paraId="3A3BC6B2" w14:textId="2F7C27BD" w:rsidR="00120E23" w:rsidRPr="00873B6C" w:rsidRDefault="00120E23" w:rsidP="00120E23">
      <w:pPr>
        <w:pStyle w:val="B1"/>
      </w:pPr>
      <w:r w:rsidRPr="00873B6C">
        <w:t>d.</w:t>
      </w:r>
      <w:r w:rsidRPr="00873B6C">
        <w:tab/>
        <w:t xml:space="preserve">List of UE IDs (e.g. GPSIs or External Group ID) identifying the UEs subscribed with a </w:t>
      </w:r>
      <w:r w:rsidR="00BE0437" w:rsidRPr="00873B6C">
        <w:t>L</w:t>
      </w:r>
      <w:r w:rsidRPr="00873B6C">
        <w:t xml:space="preserve">ocalized </w:t>
      </w:r>
      <w:r w:rsidR="00BE0437" w:rsidRPr="00873B6C">
        <w:t>S</w:t>
      </w:r>
      <w:r w:rsidRPr="00873B6C">
        <w:t>ervice.</w:t>
      </w:r>
    </w:p>
    <w:p w14:paraId="488E3F78" w14:textId="1B92CCD6" w:rsidR="00141A61" w:rsidRPr="00873B6C" w:rsidRDefault="00141A61" w:rsidP="00D64A02">
      <w:pPr>
        <w:pStyle w:val="NO"/>
      </w:pPr>
      <w:r w:rsidRPr="00873B6C">
        <w:t>NOTE:</w:t>
      </w:r>
      <w:r w:rsidRPr="00873B6C">
        <w:tab/>
        <w:t xml:space="preserve">How HPLMN or subscribed SNPN obtains the information above as part of the </w:t>
      </w:r>
      <w:r w:rsidR="00BE0437" w:rsidRPr="00873B6C">
        <w:t>L</w:t>
      </w:r>
      <w:r w:rsidRPr="00873B6C">
        <w:t xml:space="preserve">ocalized </w:t>
      </w:r>
      <w:r w:rsidR="00BE0437" w:rsidRPr="00873B6C">
        <w:t>S</w:t>
      </w:r>
      <w:r w:rsidRPr="00873B6C">
        <w:t>ervice agreements is out of 3GPP scope.</w:t>
      </w:r>
    </w:p>
    <w:p w14:paraId="40FEC4BD" w14:textId="612A3080" w:rsidR="00120E23" w:rsidRPr="00873B6C" w:rsidRDefault="00120E23" w:rsidP="005A13C0">
      <w:r w:rsidRPr="00873B6C">
        <w:t xml:space="preserve">The operator of the HPLMN or the subscribed SNPN acting as Credentials Holder then may use the information received from the SNPN providing </w:t>
      </w:r>
      <w:r w:rsidR="00BE0437" w:rsidRPr="00873B6C">
        <w:t>L</w:t>
      </w:r>
      <w:r w:rsidRPr="00873B6C">
        <w:t>ocali</w:t>
      </w:r>
      <w:r w:rsidR="00BE0437" w:rsidRPr="00873B6C">
        <w:t>z</w:t>
      </w:r>
      <w:r w:rsidRPr="00873B6C">
        <w:t xml:space="preserve">ed </w:t>
      </w:r>
      <w:r w:rsidR="00BE0437" w:rsidRPr="00873B6C">
        <w:t>S</w:t>
      </w:r>
      <w:r w:rsidRPr="00873B6C">
        <w:t>ervices and/or Localized Service Provider to create or update the Credentials Holder controlled prioritized lists of preferred SNPNs/GINs for accessing Localized Services and provision the UEs using the Steering of Roaming procedure as defined in TS 23.122 [17].</w:t>
      </w:r>
    </w:p>
    <w:p w14:paraId="6AC8BB98" w14:textId="77777777" w:rsidR="00F05BA4" w:rsidRPr="00873B6C" w:rsidRDefault="00F05BA4">
      <w:pPr>
        <w:spacing w:after="0"/>
        <w:rPr>
          <w:rFonts w:ascii="Arial" w:hAnsi="Arial"/>
          <w:sz w:val="36"/>
        </w:rPr>
      </w:pPr>
      <w:r w:rsidRPr="00873B6C">
        <w:br w:type="page"/>
      </w:r>
    </w:p>
    <w:p w14:paraId="3546B51A" w14:textId="2A62FF2B" w:rsidR="00F05BA4" w:rsidRPr="00873B6C" w:rsidRDefault="00F05BA4" w:rsidP="00D40151">
      <w:pPr>
        <w:pStyle w:val="Heading8"/>
      </w:pPr>
      <w:bookmarkStart w:id="6708" w:name="_CRAnnexOinformative"/>
      <w:bookmarkStart w:id="6709" w:name="_Toc201157944"/>
      <w:bookmarkEnd w:id="6708"/>
      <w:r w:rsidRPr="00873B6C">
        <w:lastRenderedPageBreak/>
        <w:t>Annex O (informative):</w:t>
      </w:r>
      <w:r w:rsidRPr="00873B6C">
        <w:br/>
        <w:t>Allowing UE to simultaneously send data to different groups with different QoS policy</w:t>
      </w:r>
      <w:bookmarkEnd w:id="6709"/>
    </w:p>
    <w:p w14:paraId="32E3DA15" w14:textId="10D79ACE" w:rsidR="00F05BA4" w:rsidRPr="00873B6C" w:rsidRDefault="00F05BA4" w:rsidP="00F05BA4">
      <w:r w:rsidRPr="00873B6C">
        <w:t xml:space="preserve">This Annex provides deployment examples allowing a UE to simultaneously send data to different groups (i.e. IP or Ethernet multicast groups) with different QoS policy as in clause 6.13.2 of </w:t>
      </w:r>
      <w:r w:rsidR="00972E70" w:rsidRPr="00873B6C">
        <w:t>TS 22.261 [</w:t>
      </w:r>
      <w:r w:rsidRPr="00873B6C">
        <w:t>2].</w:t>
      </w:r>
    </w:p>
    <w:p w14:paraId="0DF9C630" w14:textId="40B41B68" w:rsidR="00F05BA4" w:rsidRPr="00873B6C" w:rsidRDefault="00846E0B" w:rsidP="00846E0B">
      <w:pPr>
        <w:pStyle w:val="Heading1"/>
      </w:pPr>
      <w:bookmarkStart w:id="6710" w:name="_CRO_1"/>
      <w:bookmarkStart w:id="6711" w:name="_Toc201157945"/>
      <w:bookmarkEnd w:id="6710"/>
      <w:r w:rsidRPr="00873B6C">
        <w:t>O.1</w:t>
      </w:r>
      <w:r w:rsidRPr="00873B6C">
        <w:tab/>
        <w:t>A PDU Session with multiple QoS Flows for different groups</w:t>
      </w:r>
      <w:bookmarkEnd w:id="6711"/>
    </w:p>
    <w:p w14:paraId="347F742D" w14:textId="77777777" w:rsidR="00846E0B" w:rsidRPr="00873B6C" w:rsidRDefault="00846E0B" w:rsidP="00846E0B">
      <w:r w:rsidRPr="00873B6C">
        <w:t>In case the UE Application sends individual copies of data to different receivers, 5GS allows UE to simultaneously send data to different groups with different QoS policy via the following:</w:t>
      </w:r>
    </w:p>
    <w:p w14:paraId="5AAEB0AC" w14:textId="77777777" w:rsidR="00846E0B" w:rsidRPr="00873B6C" w:rsidRDefault="00846E0B" w:rsidP="00972E70">
      <w:pPr>
        <w:pStyle w:val="B1"/>
      </w:pPr>
      <w:r w:rsidRPr="00873B6C">
        <w:t>-</w:t>
      </w:r>
      <w:r w:rsidRPr="00873B6C">
        <w:tab/>
        <w:t>If different groups (IP or Ethernet multicast groups) are associated to the same DNN and S-NSSAI combination used for a 5G VN group, then different QoS Flows of a single PDU Session may be used to transfer the data copy sent to different groups.</w:t>
      </w:r>
    </w:p>
    <w:p w14:paraId="28F3E2B6" w14:textId="77777777" w:rsidR="00846E0B" w:rsidRPr="00873B6C" w:rsidRDefault="00846E0B" w:rsidP="00846E0B">
      <w:r w:rsidRPr="00873B6C">
        <w:t>Figure O.1-1 shows a PDU Session with multiple QoS Flows for different groups as an example.</w:t>
      </w:r>
    </w:p>
    <w:p w14:paraId="726D7719" w14:textId="0A9129F6" w:rsidR="00846E0B" w:rsidRPr="00873B6C" w:rsidRDefault="00846E0B" w:rsidP="00846E0B">
      <w:pPr>
        <w:pStyle w:val="B1"/>
      </w:pPr>
      <w:r w:rsidRPr="00873B6C">
        <w:t>-</w:t>
      </w:r>
      <w:r w:rsidRPr="00873B6C">
        <w:tab/>
        <w:t>Group1 (G1): a group of multicast address 1 with members UE1 and UE2 is associated with 5GVN.A group. The QoS for multicast address 1 is set to QoS1. For G1, its members, multicast address 1 and corresponding QoS1 are provisioned as part of the</w:t>
      </w:r>
      <w:r w:rsidR="00A13197" w:rsidRPr="00873B6C">
        <w:t xml:space="preserve"> AF requested QoS information as described in clause 6.1.3.28 of TS 23.503 [45]</w:t>
      </w:r>
      <w:r w:rsidRPr="00873B6C">
        <w:t>.</w:t>
      </w:r>
    </w:p>
    <w:p w14:paraId="73F9F5C1" w14:textId="6584D45F" w:rsidR="00846E0B" w:rsidRPr="00873B6C" w:rsidRDefault="00846E0B" w:rsidP="00846E0B">
      <w:pPr>
        <w:pStyle w:val="B1"/>
      </w:pPr>
      <w:r w:rsidRPr="00873B6C">
        <w:t>-</w:t>
      </w:r>
      <w:r w:rsidRPr="00873B6C">
        <w:tab/>
        <w:t>Group2 (G2): a group of multicast address 2 with members UE1 and UE3 is associated with 5GVN.A group. The QoS for multicast address 2 is set to QoS2. For G2, its members, multicast address 2 and corresponding QoS2 are provisioned as part of the</w:t>
      </w:r>
      <w:r w:rsidR="00A13197" w:rsidRPr="00873B6C">
        <w:t xml:space="preserve"> AF requested QoS information as described in clause 6.1.3.28 of TS 23.503 [45]</w:t>
      </w:r>
      <w:r w:rsidRPr="00873B6C">
        <w:t>.</w:t>
      </w:r>
    </w:p>
    <w:p w14:paraId="4290741F" w14:textId="33D43447" w:rsidR="00846E0B" w:rsidRPr="00873B6C" w:rsidRDefault="00846E0B" w:rsidP="00846E0B">
      <w:pPr>
        <w:pStyle w:val="B1"/>
      </w:pPr>
      <w:r w:rsidRPr="00873B6C">
        <w:t>-</w:t>
      </w:r>
      <w:r w:rsidRPr="00873B6C">
        <w:tab/>
        <w:t>During establishment or modification procedure for PDU Sessions targeting to DNN and S-NSSAI for 5GVN.A group,</w:t>
      </w:r>
      <w:r w:rsidR="00A13197" w:rsidRPr="00873B6C">
        <w:t xml:space="preserve"> or upon detection of the UE joining a multicast address,</w:t>
      </w:r>
      <w:r w:rsidRPr="00873B6C">
        <w:t xml:space="preserve"> the SMF and PCF can jointly use the</w:t>
      </w:r>
      <w:r w:rsidR="00A13197" w:rsidRPr="00873B6C">
        <w:t xml:space="preserve"> AF requested QoS information</w:t>
      </w:r>
      <w:r w:rsidRPr="00873B6C">
        <w:t xml:space="preserve"> for 5GVN.A group to set</w:t>
      </w:r>
      <w:r w:rsidR="00A13197" w:rsidRPr="00873B6C">
        <w:t xml:space="preserve"> </w:t>
      </w:r>
      <w:r w:rsidRPr="00873B6C">
        <w:t>up the QoS flow in respective member's PDU Session. As a result:</w:t>
      </w:r>
    </w:p>
    <w:p w14:paraId="03B26EE2" w14:textId="1CF181F9" w:rsidR="00846E0B" w:rsidRPr="00873B6C" w:rsidRDefault="00846E0B" w:rsidP="00972E70">
      <w:pPr>
        <w:pStyle w:val="B2"/>
      </w:pPr>
      <w:r w:rsidRPr="00873B6C">
        <w:t>-</w:t>
      </w:r>
      <w:r w:rsidRPr="00873B6C">
        <w:tab/>
        <w:t>There will have two QoS flows in UE1's PDU Session targeting to DNN and S-NSSAI for 5GVN.A group, one QoS flow (QoS Flow 1.1) is used to carry data destined to multicast address 1 with QoS1, the other one (QoS Flow 1.2) is used to carry data destined to multicast address 2 with QoS2.</w:t>
      </w:r>
    </w:p>
    <w:p w14:paraId="736C7C0B" w14:textId="4B2BAB8E" w:rsidR="00846E0B" w:rsidRPr="00873B6C" w:rsidRDefault="00846E0B" w:rsidP="00972E70">
      <w:pPr>
        <w:pStyle w:val="B2"/>
      </w:pPr>
      <w:r w:rsidRPr="00873B6C">
        <w:t>-</w:t>
      </w:r>
      <w:r w:rsidRPr="00873B6C">
        <w:tab/>
        <w:t>There will have one QoS flow (QoS Flow 2) in UE2's PDU Session targeting to DNN and S-NSSAI for 5GVN.A group, this QoS flow is used to carry data destined to multicast address 1 with QoS1.</w:t>
      </w:r>
    </w:p>
    <w:p w14:paraId="1E833753" w14:textId="11DD7806" w:rsidR="00846E0B" w:rsidRPr="00873B6C" w:rsidRDefault="00846E0B" w:rsidP="00972E70">
      <w:pPr>
        <w:pStyle w:val="B2"/>
      </w:pPr>
      <w:r w:rsidRPr="00873B6C">
        <w:t>-</w:t>
      </w:r>
      <w:r w:rsidRPr="00873B6C">
        <w:tab/>
        <w:t>There will have one QoS flow (QoS Flow 3) in UE3's PDU Session targeting to DNN and S-NSSAI for 5GVN.A group, this QoS flow is used to carry data destined to multicast address 2 with QoS2.</w:t>
      </w:r>
    </w:p>
    <w:p w14:paraId="6C2CF1A0" w14:textId="77777777" w:rsidR="00846E0B" w:rsidRPr="00873B6C" w:rsidRDefault="00846E0B" w:rsidP="00846E0B">
      <w:pPr>
        <w:pStyle w:val="B1"/>
      </w:pPr>
      <w:r w:rsidRPr="00873B6C">
        <w:t>-</w:t>
      </w:r>
      <w:r w:rsidRPr="00873B6C">
        <w:tab/>
        <w:t>UE1 sends data with multicast address 1 (MA.1) to a UPF via QoS Flow 1.1 of UE1's PDU session for 5GVN.A group. The UPF forwards the packet to UE2 as it is a member of multicast group represented by multicast address 1 via QoS Flow 2 of UE2's PDU Session for 5GVN.A group.</w:t>
      </w:r>
    </w:p>
    <w:p w14:paraId="588C35A1" w14:textId="78F16A0F" w:rsidR="00846E0B" w:rsidRPr="00873B6C" w:rsidRDefault="00846E0B" w:rsidP="00846E0B">
      <w:pPr>
        <w:pStyle w:val="B1"/>
      </w:pPr>
      <w:r w:rsidRPr="00873B6C">
        <w:t>-</w:t>
      </w:r>
      <w:r w:rsidRPr="00873B6C">
        <w:tab/>
        <w:t>UE1 also sends the same data with multicast address 2 (MA.2) to the UPF via QoS Flow 1.2 of the same PDU Session for 5GVN.A group. The UPF forwards the packet to UE3 as it is a member of multicast group represented by multicast address 2 via QoS Flow 3 of UE3'sPDU Session for 5GVN.A group.</w:t>
      </w:r>
    </w:p>
    <w:p w14:paraId="42AD472A" w14:textId="437F6F28" w:rsidR="00846E0B" w:rsidRPr="00873B6C" w:rsidRDefault="00846E0B" w:rsidP="00846E0B">
      <w:pPr>
        <w:pStyle w:val="TH"/>
      </w:pPr>
      <w:r w:rsidRPr="00873B6C">
        <w:object w:dxaOrig="9556" w:dyaOrig="4410" w14:anchorId="64A25ABA">
          <v:shape id="_x0000_i1170" type="#_x0000_t75" style="width:307.4pt;height:140.85pt" o:ole="">
            <v:imagedata r:id="rId299" o:title=""/>
          </v:shape>
          <o:OLEObject Type="Embed" ProgID="Visio.Drawing.15" ShapeID="_x0000_i1170" DrawAspect="Content" ObjectID="_1811772504" r:id="rId300"/>
        </w:object>
      </w:r>
    </w:p>
    <w:p w14:paraId="4254A0AB" w14:textId="559E3F5C" w:rsidR="00846E0B" w:rsidRPr="00873B6C" w:rsidRDefault="00846E0B" w:rsidP="00846E0B">
      <w:pPr>
        <w:pStyle w:val="TF"/>
      </w:pPr>
      <w:bookmarkStart w:id="6712" w:name="_CRFigureO_11"/>
      <w:r w:rsidRPr="00873B6C">
        <w:t xml:space="preserve">Figure </w:t>
      </w:r>
      <w:bookmarkEnd w:id="6712"/>
      <w:r w:rsidRPr="00873B6C">
        <w:t xml:space="preserve">O.1-1: A PDU Session with multiple QoS Flows for </w:t>
      </w:r>
      <w:r w:rsidR="00972E70" w:rsidRPr="00873B6C">
        <w:t>different</w:t>
      </w:r>
      <w:r w:rsidRPr="00873B6C">
        <w:t xml:space="preserve"> groups</w:t>
      </w:r>
    </w:p>
    <w:p w14:paraId="4613814B" w14:textId="4F396F4F" w:rsidR="00846E0B" w:rsidRPr="00873B6C" w:rsidRDefault="00846E0B" w:rsidP="00846E0B">
      <w:pPr>
        <w:pStyle w:val="Heading1"/>
      </w:pPr>
      <w:bookmarkStart w:id="6713" w:name="_CRO_2"/>
      <w:bookmarkStart w:id="6714" w:name="_Toc201157946"/>
      <w:bookmarkEnd w:id="6713"/>
      <w:r w:rsidRPr="00873B6C">
        <w:t>O.2</w:t>
      </w:r>
      <w:r w:rsidRPr="00873B6C">
        <w:tab/>
        <w:t>Multiple PDU Sessions for different groups</w:t>
      </w:r>
      <w:bookmarkEnd w:id="6714"/>
    </w:p>
    <w:p w14:paraId="075984D3" w14:textId="6E6F8C53" w:rsidR="00846E0B" w:rsidRPr="00873B6C" w:rsidRDefault="00846E0B" w:rsidP="00846E0B">
      <w:r w:rsidRPr="00873B6C">
        <w:t>In the case that the UE Application sends individual copies of data to different receivers, 5GS allows UE to simultaneously send data to different groups with different QoS policy via the following:</w:t>
      </w:r>
    </w:p>
    <w:p w14:paraId="486739EC" w14:textId="4C7B8296" w:rsidR="00846E0B" w:rsidRPr="00873B6C" w:rsidRDefault="00846E0B" w:rsidP="00972E70">
      <w:pPr>
        <w:pStyle w:val="B1"/>
      </w:pPr>
      <w:r w:rsidRPr="00873B6C">
        <w:t>-</w:t>
      </w:r>
      <w:r w:rsidRPr="00873B6C">
        <w:tab/>
        <w:t>If different groups (IP or Ethernet multicast groups) are associated to different DNN and S-NSSAI combinations used for different 5G VN groups, then different PDU Sessions are used to transfer the data copy sent to different groups. As a result, the UE sends the same data to different groups using the QoS Flow of the respective PDU Sessions.</w:t>
      </w:r>
    </w:p>
    <w:p w14:paraId="237D18E6" w14:textId="7556E3BF" w:rsidR="00846E0B" w:rsidRPr="00873B6C" w:rsidRDefault="00846E0B" w:rsidP="00846E0B">
      <w:r w:rsidRPr="00873B6C">
        <w:t>Figure O.2-1 shows multiple PDU sessions used for different groups as an example.</w:t>
      </w:r>
    </w:p>
    <w:p w14:paraId="4F3CD9CC" w14:textId="6EE6539E" w:rsidR="00846E0B" w:rsidRPr="00873B6C" w:rsidRDefault="00846E0B" w:rsidP="00846E0B">
      <w:pPr>
        <w:pStyle w:val="B1"/>
      </w:pPr>
      <w:r w:rsidRPr="00873B6C">
        <w:t>-</w:t>
      </w:r>
      <w:r w:rsidRPr="00873B6C">
        <w:tab/>
        <w:t>Group1 (G1): a group of multicast address 1 with members UE1 and UE2 is associated with 5GVN.1 group. The QoS for multicast address 1 is set to QoS1. For G1, its members, multicast address 1 and corresponding QoS1 are provisioned as part of the</w:t>
      </w:r>
      <w:r w:rsidR="00A13197" w:rsidRPr="00873B6C">
        <w:t xml:space="preserve"> AF requested QoS information as described in clause 6.1.3.28 of TS 23.503 [45]</w:t>
      </w:r>
      <w:r w:rsidRPr="00873B6C">
        <w:t>.</w:t>
      </w:r>
    </w:p>
    <w:p w14:paraId="6F59B642" w14:textId="1522CDB6" w:rsidR="00846E0B" w:rsidRPr="00873B6C" w:rsidRDefault="00846E0B" w:rsidP="00846E0B">
      <w:pPr>
        <w:pStyle w:val="B1"/>
      </w:pPr>
      <w:r w:rsidRPr="00873B6C">
        <w:t>-</w:t>
      </w:r>
      <w:r w:rsidRPr="00873B6C">
        <w:tab/>
        <w:t>Group2 (G2): a group of multicast address 2 with members UE1 and UE3 is associated with 5GVN.2 group. The QoS for multicast address 2 is set to QoS2. For G2, its members, multicast address 2 and corresponding QoS2 are provisioned as part of the</w:t>
      </w:r>
      <w:r w:rsidR="00A13197" w:rsidRPr="00873B6C">
        <w:t xml:space="preserve"> AF requested QoS information as described in clause 6.1.3.28 of TS 23.503 [45]</w:t>
      </w:r>
      <w:r w:rsidRPr="00873B6C">
        <w:t>.</w:t>
      </w:r>
    </w:p>
    <w:p w14:paraId="7D0B55D8" w14:textId="24BDFDB8" w:rsidR="00846E0B" w:rsidRPr="00873B6C" w:rsidRDefault="00846E0B" w:rsidP="00846E0B">
      <w:pPr>
        <w:pStyle w:val="B1"/>
      </w:pPr>
      <w:r w:rsidRPr="00873B6C">
        <w:t>-</w:t>
      </w:r>
      <w:r w:rsidRPr="00873B6C">
        <w:tab/>
        <w:t>During establishment or modification procedure for PDU Sessions targeting to DNN and S-NSSAI for 5GVN.1 group,</w:t>
      </w:r>
      <w:r w:rsidR="00A13197" w:rsidRPr="00873B6C">
        <w:t xml:space="preserve"> or upon detection of the UE joining a multicast address,</w:t>
      </w:r>
      <w:r w:rsidRPr="00873B6C">
        <w:t xml:space="preserve"> the SMF and PCF can jointly use the</w:t>
      </w:r>
      <w:r w:rsidR="00A13197" w:rsidRPr="00873B6C">
        <w:t xml:space="preserve"> AF requested QoS information</w:t>
      </w:r>
      <w:r w:rsidRPr="00873B6C">
        <w:t xml:space="preserve"> for 5GVN.1 group to set</w:t>
      </w:r>
      <w:r w:rsidR="00A13197" w:rsidRPr="00873B6C">
        <w:t xml:space="preserve"> </w:t>
      </w:r>
      <w:r w:rsidRPr="00873B6C">
        <w:t>up the QoS flow in respective member's PDU Session. During establishment or modification procedure for PDU Sessions targeting to DNN and S-NSSAI for 5GVN.2 group,</w:t>
      </w:r>
      <w:r w:rsidR="00A13197" w:rsidRPr="00873B6C">
        <w:t xml:space="preserve"> or upon detection of the UE joining a multicast address,</w:t>
      </w:r>
      <w:r w:rsidRPr="00873B6C">
        <w:t xml:space="preserve"> the SMF and PCF can jointly use the</w:t>
      </w:r>
      <w:r w:rsidR="00A13197" w:rsidRPr="00873B6C">
        <w:t xml:space="preserve"> AF requested QoS information</w:t>
      </w:r>
      <w:r w:rsidRPr="00873B6C">
        <w:t xml:space="preserve"> for 5GVN.2 group to set</w:t>
      </w:r>
      <w:r w:rsidR="00A13197" w:rsidRPr="00873B6C">
        <w:t xml:space="preserve"> </w:t>
      </w:r>
      <w:r w:rsidRPr="00873B6C">
        <w:t>up the QoS flow in respective member's PDU Session. As a result:</w:t>
      </w:r>
    </w:p>
    <w:p w14:paraId="531C2D55" w14:textId="21668E8D" w:rsidR="00846E0B" w:rsidRPr="00873B6C" w:rsidRDefault="00846E0B" w:rsidP="00972E70">
      <w:pPr>
        <w:pStyle w:val="B2"/>
      </w:pPr>
      <w:r w:rsidRPr="00873B6C">
        <w:t>-</w:t>
      </w:r>
      <w:r w:rsidRPr="00873B6C">
        <w:tab/>
        <w:t>There will have two PDU Sessions for UE1: one PDU Session is targeting to DNN and S-NSSAI for 5GVN.1 group and there will have one QoS flow setup to carry data destined to multicast address 1 with QoS1; the other PDU Session is targeting to DNN and S-NSSAI for 5GVN.2 group and there will have one QoS flow setup to carry data destined to multicast address 2 with QoS2.</w:t>
      </w:r>
    </w:p>
    <w:p w14:paraId="61861236" w14:textId="138085D1" w:rsidR="00846E0B" w:rsidRPr="00873B6C" w:rsidRDefault="00846E0B" w:rsidP="00972E70">
      <w:pPr>
        <w:pStyle w:val="B2"/>
      </w:pPr>
      <w:r w:rsidRPr="00873B6C">
        <w:t>-</w:t>
      </w:r>
      <w:r w:rsidRPr="00873B6C">
        <w:tab/>
        <w:t>There will have one PDU Session for UE2: this PDU Session is targeting to DNN and S-NSSAI for 5GVN.1 group and there will have one QoS flow setup to carry data destined to multicast address 1 with QoS1.</w:t>
      </w:r>
    </w:p>
    <w:p w14:paraId="3506F416" w14:textId="75E41FD6" w:rsidR="00846E0B" w:rsidRPr="00873B6C" w:rsidRDefault="00846E0B" w:rsidP="00972E70">
      <w:pPr>
        <w:pStyle w:val="B2"/>
      </w:pPr>
      <w:r w:rsidRPr="00873B6C">
        <w:t>-</w:t>
      </w:r>
      <w:r w:rsidRPr="00873B6C">
        <w:tab/>
        <w:t>There will have one PDU Session for UE3: this PDU Session is targeting to DNN and S-NSSAI for 5GVN.2 group and there will have one QoS flow setup to carry data destined to multicast address 2 with QoS2.</w:t>
      </w:r>
    </w:p>
    <w:p w14:paraId="50BE34A8" w14:textId="77777777" w:rsidR="00846E0B" w:rsidRPr="00873B6C" w:rsidRDefault="00846E0B" w:rsidP="00846E0B">
      <w:pPr>
        <w:pStyle w:val="B1"/>
      </w:pPr>
      <w:r w:rsidRPr="00873B6C">
        <w:t>-</w:t>
      </w:r>
      <w:r w:rsidRPr="00873B6C">
        <w:tab/>
        <w:t>UE1 sends data with multicast address 1 (MA.1) to a UPF via the QoS Flow of UE1's PDU session for 5GVN.1 group. The UPF forwards the packet to UE2 as it is a member of multicast group represented by multicast address 1 via the QoS Flow of UE2's PDU Session for 5GVN.1 group.</w:t>
      </w:r>
    </w:p>
    <w:p w14:paraId="40CBECAA" w14:textId="77777777" w:rsidR="00846E0B" w:rsidRPr="00873B6C" w:rsidRDefault="00846E0B" w:rsidP="00846E0B">
      <w:pPr>
        <w:pStyle w:val="B1"/>
      </w:pPr>
      <w:r w:rsidRPr="00873B6C">
        <w:t>-</w:t>
      </w:r>
      <w:r w:rsidRPr="00873B6C">
        <w:tab/>
        <w:t>UE1 also sends the same data with multicast address 2 (MA.2) to the UPF via the QoS Flow of UE1's PDU Session for 5GVN.2 group. The UPF forwards the packet to UE3 as it is a member of multicast group represented by multicast address 2 via the QoS Flow of UE3's PDU Session for 5GVN.2 group.</w:t>
      </w:r>
    </w:p>
    <w:p w14:paraId="51C432AF" w14:textId="77777777" w:rsidR="00846E0B" w:rsidRPr="00873B6C" w:rsidRDefault="00846E0B" w:rsidP="00972E70">
      <w:pPr>
        <w:pStyle w:val="TH"/>
      </w:pPr>
      <w:r w:rsidRPr="00873B6C">
        <w:object w:dxaOrig="9556" w:dyaOrig="4471" w14:anchorId="5ADFAB87">
          <v:shape id="_x0000_i1171" type="#_x0000_t75" style="width:303.05pt;height:142.1pt" o:ole="">
            <v:imagedata r:id="rId301" o:title=""/>
          </v:shape>
          <o:OLEObject Type="Embed" ProgID="Visio.Drawing.15" ShapeID="_x0000_i1171" DrawAspect="Content" ObjectID="_1811772505" r:id="rId302"/>
        </w:object>
      </w:r>
    </w:p>
    <w:p w14:paraId="1F2132F5" w14:textId="6EC694CC" w:rsidR="00846E0B" w:rsidRPr="00873B6C" w:rsidRDefault="00846E0B" w:rsidP="00972E70">
      <w:pPr>
        <w:pStyle w:val="TF"/>
      </w:pPr>
      <w:bookmarkStart w:id="6715" w:name="_CRFigureO_21"/>
      <w:r w:rsidRPr="00873B6C">
        <w:t xml:space="preserve">Figure </w:t>
      </w:r>
      <w:bookmarkEnd w:id="6715"/>
      <w:r w:rsidRPr="00873B6C">
        <w:t>O.2-1: Multiple PDU Sessions for different groups</w:t>
      </w:r>
    </w:p>
    <w:p w14:paraId="59E26AE9" w14:textId="06FC2A39" w:rsidR="00846E0B" w:rsidRPr="00873B6C" w:rsidRDefault="00846E0B" w:rsidP="00846E0B">
      <w:pPr>
        <w:pStyle w:val="Heading1"/>
      </w:pPr>
      <w:bookmarkStart w:id="6716" w:name="_CRO_3"/>
      <w:bookmarkStart w:id="6717" w:name="_Toc201157947"/>
      <w:bookmarkEnd w:id="6716"/>
      <w:r w:rsidRPr="00873B6C">
        <w:t>O.3</w:t>
      </w:r>
      <w:r w:rsidRPr="00873B6C">
        <w:tab/>
        <w:t>A PDU Session targeting a predefined group formed of multiple sub-groups</w:t>
      </w:r>
      <w:bookmarkEnd w:id="6717"/>
    </w:p>
    <w:p w14:paraId="12EC7B64" w14:textId="5584B2DA" w:rsidR="00846E0B" w:rsidRPr="00873B6C" w:rsidRDefault="00846E0B" w:rsidP="00846E0B">
      <w:r w:rsidRPr="00873B6C">
        <w:t>In the case when the UE Application uses IP or Ethernet multicast, 5GS allows UE to simultaneously send data to different groups with different QoS policy via the following:</w:t>
      </w:r>
    </w:p>
    <w:p w14:paraId="099A66C6" w14:textId="52258B85" w:rsidR="00846E0B" w:rsidRPr="00873B6C" w:rsidRDefault="00846E0B" w:rsidP="00972E70">
      <w:pPr>
        <w:pStyle w:val="B1"/>
      </w:pPr>
      <w:r w:rsidRPr="00873B6C">
        <w:t>-</w:t>
      </w:r>
      <w:r w:rsidRPr="00873B6C">
        <w:tab/>
        <w:t>UE establishes a PDU Session to a DNN and S-NSSAI, which can be a special DNN and S-NSSAI configured by the operator for e.g. an electrical system. The DNN and S-NSSAI is associated with a 5GVN group, which is defined as a combination of multiple sub-groups (IP or Ethernet multicast groups).</w:t>
      </w:r>
    </w:p>
    <w:p w14:paraId="02BD36DA" w14:textId="27BB49FF" w:rsidR="00846E0B" w:rsidRPr="00873B6C" w:rsidRDefault="00846E0B" w:rsidP="00972E70">
      <w:pPr>
        <w:pStyle w:val="B1"/>
      </w:pPr>
      <w:r w:rsidRPr="00873B6C">
        <w:t>-</w:t>
      </w:r>
      <w:r w:rsidRPr="00873B6C">
        <w:tab/>
        <w:t>The 5G VN group and each sub-group is associated with a separate multicast address and QoS, the QoS for a 5G VN group is set to refer to the QoS of the sub-group that has the strictest QoS requirements among all the sub-group groups.</w:t>
      </w:r>
      <w:r w:rsidR="000046DD" w:rsidRPr="00873B6C">
        <w:t xml:space="preserve"> When a UE belongs to multiple groups, the QoS provisioning for the groups needs to be done in the order that enables the the strictest QoS profile to be selected for the UE.</w:t>
      </w:r>
      <w:r w:rsidRPr="00873B6C">
        <w:t xml:space="preserve"> For each group, its members, multicast address, corresponding QoS information, associated DNN and S-NSSAI are provisioned as part of the</w:t>
      </w:r>
      <w:r w:rsidR="00A13197" w:rsidRPr="00873B6C">
        <w:t xml:space="preserve"> AF requested QoS information as described in clause 6.1.3.28 of TS 23.503 [45]</w:t>
      </w:r>
      <w:r w:rsidRPr="00873B6C">
        <w:t>.</w:t>
      </w:r>
    </w:p>
    <w:p w14:paraId="6980C19D" w14:textId="77777777" w:rsidR="00846E0B" w:rsidRPr="00873B6C" w:rsidRDefault="00846E0B" w:rsidP="00972E70">
      <w:pPr>
        <w:pStyle w:val="B1"/>
      </w:pPr>
      <w:r w:rsidRPr="00873B6C">
        <w:t>-</w:t>
      </w:r>
      <w:r w:rsidRPr="00873B6C">
        <w:tab/>
        <w:t>The application sends traffic to a multicast address depending on which group(s) it wants to target. For example, an application sends traffic to the multicast address associated with the 5G VN group. This allows an application to send a single packet reaching multiple destinations and also multiple groups.</w:t>
      </w:r>
    </w:p>
    <w:p w14:paraId="5ECE4729" w14:textId="75CCDE20" w:rsidR="00846E0B" w:rsidRPr="00873B6C" w:rsidRDefault="00846E0B" w:rsidP="00846E0B">
      <w:r w:rsidRPr="00873B6C">
        <w:t>Figure O.3-1 shows a PDU Session targeting a predefined group formed of multiple sub-groups as an example.</w:t>
      </w:r>
    </w:p>
    <w:p w14:paraId="761BA1D7" w14:textId="7BD57F54" w:rsidR="00846E0B" w:rsidRPr="00873B6C" w:rsidRDefault="00846E0B" w:rsidP="00972E70">
      <w:pPr>
        <w:pStyle w:val="B1"/>
      </w:pPr>
      <w:r w:rsidRPr="00873B6C">
        <w:t>-</w:t>
      </w:r>
      <w:r w:rsidRPr="00873B6C">
        <w:tab/>
        <w:t>Group1 (G1): a group of multicast address 1 with members UE1 and UE2 is associated with / mapped to 5GVN.1 group. The QoS for the group is set to QoS1. For G1, its members, multicast address 1, corresponding QoS1, DNN and S-NSSAI are provisioned as part of the</w:t>
      </w:r>
      <w:r w:rsidR="00A13197" w:rsidRPr="00873B6C">
        <w:t xml:space="preserve"> AF requested QoS information</w:t>
      </w:r>
      <w:r w:rsidRPr="00873B6C">
        <w:t xml:space="preserve"> for 5GVN.1 group as described in clause </w:t>
      </w:r>
      <w:r w:rsidR="00A13197" w:rsidRPr="00873B6C">
        <w:t>6.1.3.28 of TS 23.503 [45].</w:t>
      </w:r>
    </w:p>
    <w:p w14:paraId="79AA0392" w14:textId="5B1B6E01" w:rsidR="00846E0B" w:rsidRPr="00873B6C" w:rsidRDefault="00846E0B" w:rsidP="00972E70">
      <w:pPr>
        <w:pStyle w:val="B1"/>
      </w:pPr>
      <w:r w:rsidRPr="00873B6C">
        <w:t>-</w:t>
      </w:r>
      <w:r w:rsidRPr="00873B6C">
        <w:tab/>
        <w:t>Group2 (G2): a group of multicast address 2 with members UE1 and UE3 is associated with / mapped to 5GVN.2 group. The QoS for the group is set to QoS2. For G2, its members, multicast address 2 and corresponding QoS2, DNN and S-NSSAI are provisioned as part of the</w:t>
      </w:r>
      <w:r w:rsidR="00A13197" w:rsidRPr="00873B6C">
        <w:t xml:space="preserve"> AF requested QoS information</w:t>
      </w:r>
      <w:r w:rsidRPr="00873B6C">
        <w:t xml:space="preserve"> for 5GVN.2 group as described in clause </w:t>
      </w:r>
      <w:r w:rsidR="00A13197" w:rsidRPr="00873B6C">
        <w:t>6.1.3.28 of TS 23.503 [45].</w:t>
      </w:r>
    </w:p>
    <w:p w14:paraId="7DF00BD3" w14:textId="3A027E3E" w:rsidR="00846E0B" w:rsidRPr="00873B6C" w:rsidRDefault="00846E0B" w:rsidP="00972E70">
      <w:pPr>
        <w:pStyle w:val="B1"/>
      </w:pPr>
      <w:r w:rsidRPr="00873B6C">
        <w:t>-</w:t>
      </w:r>
      <w:r w:rsidRPr="00873B6C">
        <w:tab/>
        <w:t>GroupA (GA): a group of multicast address A with members UE1, UE2 and UE3 is associated with 5GVN.A group. G1 and G2 are combined to form the GA. The QoS for the 5GVN.A group is indicated to refer to the strictest QoS among other groups the UE belongs to. For GA, its members, multicast address A and corresponding QoS indication, DNN and S-NSSAI are provisioned as part of the</w:t>
      </w:r>
      <w:r w:rsidR="00A13197" w:rsidRPr="00873B6C">
        <w:t xml:space="preserve"> AF requested QoS information</w:t>
      </w:r>
      <w:r w:rsidRPr="00873B6C">
        <w:t xml:space="preserve"> for 5GVN.A group as described in clause </w:t>
      </w:r>
      <w:r w:rsidR="00A13197" w:rsidRPr="00873B6C">
        <w:t>6.1.3.28 of TS 23.503 [45].</w:t>
      </w:r>
    </w:p>
    <w:p w14:paraId="1EC7CEB8" w14:textId="0CB1D5C3" w:rsidR="00846E0B" w:rsidRPr="00873B6C" w:rsidRDefault="00846E0B" w:rsidP="00972E70">
      <w:pPr>
        <w:pStyle w:val="B1"/>
      </w:pPr>
      <w:r w:rsidRPr="00873B6C">
        <w:t>-</w:t>
      </w:r>
      <w:r w:rsidRPr="00873B6C">
        <w:tab/>
        <w:t>During establishment or modification procedure for PDU Sessions targeting to the DNN and S-NSSAI,</w:t>
      </w:r>
      <w:r w:rsidR="00A13197" w:rsidRPr="00873B6C">
        <w:t xml:space="preserve"> or upon detection of the UE joining a multicast address,</w:t>
      </w:r>
      <w:r w:rsidRPr="00873B6C">
        <w:t xml:space="preserve"> the SMF and PCF can jointly use the</w:t>
      </w:r>
      <w:r w:rsidR="00A13197" w:rsidRPr="00873B6C">
        <w:t xml:space="preserve"> AF requested QoS information</w:t>
      </w:r>
      <w:r w:rsidRPr="00873B6C">
        <w:t xml:space="preserve"> to set</w:t>
      </w:r>
      <w:r w:rsidR="00A13197" w:rsidRPr="00873B6C">
        <w:t xml:space="preserve"> </w:t>
      </w:r>
      <w:r w:rsidRPr="00873B6C">
        <w:t>up the QoS flow in respective member's PDU Session. As a result:</w:t>
      </w:r>
    </w:p>
    <w:p w14:paraId="262AACED" w14:textId="111C5C76" w:rsidR="00846E0B" w:rsidRPr="00873B6C" w:rsidRDefault="00846E0B" w:rsidP="00972E70">
      <w:pPr>
        <w:pStyle w:val="B2"/>
      </w:pPr>
      <w:r w:rsidRPr="00873B6C">
        <w:t>-</w:t>
      </w:r>
      <w:r w:rsidRPr="00873B6C">
        <w:tab/>
        <w:t xml:space="preserve">There will have two QoS flows in UE1's PDU Session targeting to DNN and S-NSSAI, one QoS flow is used to carry data destined to multicast address 1 with QoS1, the other one is used to carry data destined to multicast address 2 with QoS2. With the QoS indication for GA, the higher QoS between QoS1 of G1 and </w:t>
      </w:r>
      <w:r w:rsidRPr="00873B6C">
        <w:lastRenderedPageBreak/>
        <w:t>QoS2 of G2 is selected for UE1 since the UE1 belongs to both the G1 and G2, then the QoS flow with higher QoS requirements (QoS Flow 1) is also used to carry data destined to multicast address A.</w:t>
      </w:r>
    </w:p>
    <w:p w14:paraId="449F868F" w14:textId="4FDC23DA" w:rsidR="00846E0B" w:rsidRPr="00873B6C" w:rsidRDefault="00846E0B" w:rsidP="00972E70">
      <w:pPr>
        <w:pStyle w:val="B2"/>
      </w:pPr>
      <w:r w:rsidRPr="00873B6C">
        <w:t>-</w:t>
      </w:r>
      <w:r w:rsidRPr="00873B6C">
        <w:tab/>
        <w:t>There will have one QoS flow in UE2's PDU Session targeting to DNN and S-NSSAI, this QoS flow (QoS Flow 2) is used to carry data destined to multicast address 1 with QoS1. With the QoS indication for GA, the QoS1 of G1 is selected for UE1 since the UE2 only belongs to G1, then the same QoS flow is also used to carry data destined to multicast address A.</w:t>
      </w:r>
    </w:p>
    <w:p w14:paraId="245B8F97" w14:textId="10C79265" w:rsidR="00846E0B" w:rsidRPr="00873B6C" w:rsidRDefault="00846E0B" w:rsidP="00972E70">
      <w:pPr>
        <w:pStyle w:val="B2"/>
      </w:pPr>
      <w:r w:rsidRPr="00873B6C">
        <w:t>-</w:t>
      </w:r>
      <w:r w:rsidRPr="00873B6C">
        <w:tab/>
        <w:t>There will have one QoS flow in UE3's PDU Session targeting to DNN and S-NSSAI, this QoS flow (QoS Flow 3) is used to carry data destined to multicast address 2 with QoS2. With the QoS indication for GA, the QoS2 of G2 is selected for UE3 since the UE3 only belongs to G2, then the same QoS flow is also used to carry data destined to multicast address A.</w:t>
      </w:r>
    </w:p>
    <w:p w14:paraId="2D8289C6" w14:textId="77777777" w:rsidR="00846E0B" w:rsidRPr="00873B6C" w:rsidRDefault="00846E0B" w:rsidP="00972E70">
      <w:pPr>
        <w:pStyle w:val="B1"/>
      </w:pPr>
      <w:r w:rsidRPr="00873B6C">
        <w:t>-</w:t>
      </w:r>
      <w:r w:rsidRPr="00873B6C">
        <w:tab/>
        <w:t>UE1 sends data with multicast address A (MA.A) to a UPF via QoS Flow 1 of UE1's PDU Session for 5GVN.A group. The UPF forwards the packet to UE2 as it is a member of multicast group represented by multicast address A (MA.A) via the QoS Flow 2 of UE2's PDU Session and forwards the packet to UE3 as it is a member of the multicast group represented by multicast address A (MA.A) via the QoS Flow 3 of UE3's PDU Session.</w:t>
      </w:r>
    </w:p>
    <w:p w14:paraId="4F7264DD" w14:textId="6B962108" w:rsidR="00846E0B" w:rsidRPr="00873B6C" w:rsidRDefault="00846E0B" w:rsidP="00846E0B">
      <w:pPr>
        <w:pStyle w:val="TH"/>
      </w:pPr>
      <w:r w:rsidRPr="00873B6C">
        <w:object w:dxaOrig="9556" w:dyaOrig="4410" w14:anchorId="2DE2A9BA">
          <v:shape id="_x0000_i1172" type="#_x0000_t75" style="width:307.4pt;height:140.85pt" o:ole="">
            <v:imagedata r:id="rId303" o:title=""/>
          </v:shape>
          <o:OLEObject Type="Embed" ProgID="Visio.Drawing.15" ShapeID="_x0000_i1172" DrawAspect="Content" ObjectID="_1811772506" r:id="rId304"/>
        </w:object>
      </w:r>
    </w:p>
    <w:p w14:paraId="6C8E2985" w14:textId="08D4FAA7" w:rsidR="00846E0B" w:rsidRPr="00873B6C" w:rsidRDefault="00846E0B" w:rsidP="00846E0B">
      <w:pPr>
        <w:pStyle w:val="TF"/>
      </w:pPr>
      <w:bookmarkStart w:id="6718" w:name="_CRFigureO_31"/>
      <w:r w:rsidRPr="00873B6C">
        <w:t xml:space="preserve">Figure </w:t>
      </w:r>
      <w:bookmarkEnd w:id="6718"/>
      <w:r w:rsidRPr="00873B6C">
        <w:t>O.3-1: A PDU Session targeting a predefined group formed of multiple sub-groups</w:t>
      </w:r>
    </w:p>
    <w:p w14:paraId="022564E9" w14:textId="77777777" w:rsidR="00D01473" w:rsidRPr="00873B6C" w:rsidRDefault="00D01473">
      <w:pPr>
        <w:spacing w:after="0"/>
        <w:rPr>
          <w:rFonts w:ascii="Arial" w:hAnsi="Arial"/>
          <w:sz w:val="36"/>
        </w:rPr>
      </w:pPr>
      <w:r w:rsidRPr="00873B6C">
        <w:br w:type="page"/>
      </w:r>
    </w:p>
    <w:p w14:paraId="71AEC515" w14:textId="73E4350B" w:rsidR="00D01473" w:rsidRPr="00873B6C" w:rsidRDefault="00D01473" w:rsidP="00D40151">
      <w:pPr>
        <w:pStyle w:val="Heading8"/>
      </w:pPr>
      <w:bookmarkStart w:id="6719" w:name="_CRAnnexPinformative"/>
      <w:bookmarkStart w:id="6720" w:name="_Toc201157948"/>
      <w:bookmarkEnd w:id="6719"/>
      <w:r w:rsidRPr="00873B6C">
        <w:lastRenderedPageBreak/>
        <w:t>Annex P (informative):</w:t>
      </w:r>
      <w:r w:rsidRPr="00873B6C">
        <w:br/>
        <w:t>Personal IoT Networks</w:t>
      </w:r>
      <w:bookmarkEnd w:id="6720"/>
    </w:p>
    <w:p w14:paraId="2F271832" w14:textId="517B86FC" w:rsidR="00D01473" w:rsidRPr="00873B6C" w:rsidRDefault="00D01473" w:rsidP="00D01473">
      <w:pPr>
        <w:pStyle w:val="Heading1"/>
      </w:pPr>
      <w:bookmarkStart w:id="6721" w:name="_CRP_1"/>
      <w:bookmarkStart w:id="6722" w:name="_Toc201157949"/>
      <w:bookmarkEnd w:id="6721"/>
      <w:r w:rsidRPr="00873B6C">
        <w:t>P.1</w:t>
      </w:r>
      <w:r w:rsidRPr="00873B6C">
        <w:tab/>
        <w:t>PIN Reference Architecture</w:t>
      </w:r>
      <w:bookmarkEnd w:id="6722"/>
    </w:p>
    <w:p w14:paraId="0AF65A4D" w14:textId="6D8CAC7B" w:rsidR="00D01473" w:rsidRPr="00873B6C" w:rsidRDefault="00D01473" w:rsidP="00972E70">
      <w:r w:rsidRPr="00873B6C">
        <w:t xml:space="preserve">Figure P.1-1 shows the logical </w:t>
      </w:r>
      <w:r w:rsidR="00500903" w:rsidRPr="00873B6C">
        <w:t>Personal IoT Network (</w:t>
      </w:r>
      <w:r w:rsidRPr="00873B6C">
        <w:t>PIN</w:t>
      </w:r>
      <w:r w:rsidR="00500903" w:rsidRPr="00873B6C">
        <w:t>)</w:t>
      </w:r>
      <w:r w:rsidRPr="00873B6C">
        <w:t xml:space="preserve"> reference architecture.</w:t>
      </w:r>
    </w:p>
    <w:p w14:paraId="52B1DD02" w14:textId="1EBD97C6" w:rsidR="00717746" w:rsidRPr="00873B6C" w:rsidRDefault="00717746" w:rsidP="00FA7D5B">
      <w:pPr>
        <w:pStyle w:val="TH"/>
      </w:pPr>
      <w:r w:rsidRPr="00873B6C">
        <w:object w:dxaOrig="9046" w:dyaOrig="3661" w14:anchorId="775BFB1E">
          <v:shape id="_x0000_i1173" type="#_x0000_t75" style="width:413.2pt;height:167.15pt" o:ole="">
            <v:imagedata r:id="rId305" o:title=""/>
          </v:shape>
          <o:OLEObject Type="Embed" ProgID="Visio.Drawing.15" ShapeID="_x0000_i1173" DrawAspect="Content" ObjectID="_1811772507" r:id="rId306"/>
        </w:object>
      </w:r>
    </w:p>
    <w:p w14:paraId="08875DDA" w14:textId="5BEA9DBA" w:rsidR="00D01473" w:rsidRPr="00873B6C" w:rsidRDefault="00D01473" w:rsidP="00D01473">
      <w:pPr>
        <w:pStyle w:val="TF"/>
      </w:pPr>
      <w:bookmarkStart w:id="6723" w:name="_CRFigureP_11"/>
      <w:r w:rsidRPr="00873B6C">
        <w:t xml:space="preserve">Figure </w:t>
      </w:r>
      <w:bookmarkEnd w:id="6723"/>
      <w:r w:rsidRPr="00873B6C">
        <w:t>P.1-1: PIN reference architecture</w:t>
      </w:r>
    </w:p>
    <w:p w14:paraId="51B608DD" w14:textId="0B154CC9" w:rsidR="00500903" w:rsidRPr="00873B6C" w:rsidRDefault="00500903" w:rsidP="00D01473">
      <w:r w:rsidRPr="00873B6C">
        <w:t>A PIN consists of one or more devices providing gateway/routing functionality known as the PEGC to route the traffic towards the 5G network</w:t>
      </w:r>
      <w:r w:rsidR="00472CD7" w:rsidRPr="00873B6C">
        <w:t xml:space="preserve"> and</w:t>
      </w:r>
      <w:r w:rsidRPr="00873B6C">
        <w:t xml:space="preserve"> one or more devices providing PIN management functionality known as the PEMC to manage the PIN; and device(s) enabling communication within the PIN called the PINE. A PINE and PEMC can be a non-3GPP device.</w:t>
      </w:r>
    </w:p>
    <w:p w14:paraId="62846100" w14:textId="24958805" w:rsidR="00D01473" w:rsidRPr="00873B6C" w:rsidRDefault="00D01473" w:rsidP="00D01473">
      <w:r w:rsidRPr="00873B6C">
        <w:t>The PIN</w:t>
      </w:r>
      <w:r w:rsidR="00717746" w:rsidRPr="00873B6C">
        <w:t xml:space="preserve"> </w:t>
      </w:r>
      <w:r w:rsidRPr="00873B6C">
        <w:t>can also have a</w:t>
      </w:r>
      <w:r w:rsidR="00717746" w:rsidRPr="00873B6C">
        <w:t>n AF for</w:t>
      </w:r>
      <w:r w:rsidRPr="00873B6C">
        <w:t xml:space="preserve"> PIN</w:t>
      </w:r>
      <w:r w:rsidR="00717746" w:rsidRPr="00873B6C">
        <w:t xml:space="preserve"> (see TS 23.542 [181])</w:t>
      </w:r>
      <w:r w:rsidRPr="00873B6C">
        <w:t>. The AF</w:t>
      </w:r>
      <w:r w:rsidR="00500903" w:rsidRPr="00873B6C">
        <w:t xml:space="preserve"> for PIN</w:t>
      </w:r>
      <w:r w:rsidRPr="00873B6C">
        <w:t xml:space="preserve"> can be deployed by mobile operator or by an authorized third party. When the AF</w:t>
      </w:r>
      <w:r w:rsidR="00500903" w:rsidRPr="00873B6C">
        <w:t xml:space="preserve"> for PIN</w:t>
      </w:r>
      <w:r w:rsidRPr="00873B6C">
        <w:t xml:space="preserve"> is deployed by third party, the interworking with 5G</w:t>
      </w:r>
      <w:r w:rsidR="00500903" w:rsidRPr="00873B6C">
        <w:t>C</w:t>
      </w:r>
      <w:r w:rsidRPr="00873B6C">
        <w:t xml:space="preserve"> is performed via the NEF.</w:t>
      </w:r>
    </w:p>
    <w:p w14:paraId="03CCA094" w14:textId="178FE243" w:rsidR="00D01473" w:rsidRPr="00873B6C" w:rsidRDefault="00141A61" w:rsidP="00D01473">
      <w:r w:rsidRPr="00873B6C">
        <w:t xml:space="preserve">With PIN-DN communication, the </w:t>
      </w:r>
      <w:r w:rsidR="00D01473" w:rsidRPr="00873B6C">
        <w:t>PEMC and PEGC communicates with the</w:t>
      </w:r>
      <w:r w:rsidR="00500903" w:rsidRPr="00873B6C">
        <w:t xml:space="preserve"> AF for</w:t>
      </w:r>
      <w:r w:rsidR="00D01473" w:rsidRPr="00873B6C">
        <w:t xml:space="preserve"> PIN at the application layer over the user plane. The PEGC and PEMC can communicate with each other via</w:t>
      </w:r>
      <w:r w:rsidRPr="00873B6C">
        <w:t xml:space="preserve"> PIN</w:t>
      </w:r>
      <w:r w:rsidR="00D01473" w:rsidRPr="00873B6C">
        <w:t xml:space="preserve"> direct communication using 3GPP access (e.g. PC5) or non-3GPP access (e.g. WiFi, BT) or via</w:t>
      </w:r>
      <w:r w:rsidRPr="00873B6C">
        <w:t xml:space="preserve"> PIN indirect communication using</w:t>
      </w:r>
      <w:r w:rsidR="00D01473" w:rsidRPr="00873B6C">
        <w:t xml:space="preserve"> a PDU Session in the 5GS.</w:t>
      </w:r>
    </w:p>
    <w:p w14:paraId="22BBFA8F" w14:textId="30EA9D06" w:rsidR="003D25E4" w:rsidRPr="00873B6C" w:rsidRDefault="003D25E4" w:rsidP="003D25E4">
      <w:pPr>
        <w:pStyle w:val="Heading1"/>
      </w:pPr>
      <w:bookmarkStart w:id="6724" w:name="_CRP_2"/>
      <w:bookmarkStart w:id="6725" w:name="_Toc201157950"/>
      <w:bookmarkEnd w:id="6724"/>
      <w:r w:rsidRPr="00873B6C">
        <w:t>P.2</w:t>
      </w:r>
      <w:r w:rsidRPr="00873B6C">
        <w:tab/>
        <w:t>Session management and traffic routing for PIN</w:t>
      </w:r>
      <w:bookmarkEnd w:id="6725"/>
    </w:p>
    <w:p w14:paraId="61F68422" w14:textId="05E7F1E5" w:rsidR="003D25E4" w:rsidRPr="00873B6C" w:rsidRDefault="003D25E4" w:rsidP="003D25E4">
      <w:r w:rsidRPr="00873B6C">
        <w:t>The general session management principles as described in clause 5.6, the QoS model as defined in clause 5.7 and the User Plane management for 5GS as defined in clause 5.8 are applicable to PIN-DN communication and PIN</w:t>
      </w:r>
      <w:r w:rsidR="00500903" w:rsidRPr="00873B6C">
        <w:t xml:space="preserve"> </w:t>
      </w:r>
      <w:r w:rsidRPr="00873B6C">
        <w:t>indirect communication.</w:t>
      </w:r>
    </w:p>
    <w:p w14:paraId="29B493F7" w14:textId="24D93EED" w:rsidR="003D25E4" w:rsidRPr="00873B6C" w:rsidRDefault="003D25E4" w:rsidP="003D25E4">
      <w:r w:rsidRPr="00873B6C">
        <w:t>If a PIN has multiple PEGC</w:t>
      </w:r>
      <w:r w:rsidR="00500903" w:rsidRPr="00873B6C">
        <w:t>s</w:t>
      </w:r>
      <w:r w:rsidRPr="00873B6C">
        <w:t>, 5G VN group communication mechanisms can be used for PIN indirect communication. In this case a dedicated SMF set is used for managing the PIN related PDU Sessions from all the PEGCs of that PIN and the PDU session management principles for 5G VN-LAN-type services as specified in clause 5.29.3 are applicable. The user plane handling for 5G LAN-type services as specified in 5.29.4 are applicable with following differences:</w:t>
      </w:r>
    </w:p>
    <w:p w14:paraId="1DBB9977" w14:textId="21F2CC76" w:rsidR="003D25E4" w:rsidRPr="00873B6C" w:rsidRDefault="003D25E4" w:rsidP="005A13C0">
      <w:pPr>
        <w:pStyle w:val="B1"/>
      </w:pPr>
      <w:r w:rsidRPr="00873B6C">
        <w:t>-</w:t>
      </w:r>
      <w:r w:rsidRPr="00873B6C">
        <w:tab/>
        <w:t>For PIN indirect communication N19-based traffic forwarding is not used i.e. the PIN traffic is forwarded using:</w:t>
      </w:r>
    </w:p>
    <w:p w14:paraId="70760B63" w14:textId="77777777" w:rsidR="003D25E4" w:rsidRPr="00873B6C" w:rsidRDefault="003D25E4" w:rsidP="005A13C0">
      <w:pPr>
        <w:pStyle w:val="B2"/>
      </w:pPr>
      <w:r w:rsidRPr="00873B6C">
        <w:t>-</w:t>
      </w:r>
      <w:r w:rsidRPr="00873B6C">
        <w:tab/>
        <w:t>N6-based traffic forwarding method, where the UL/DL traffic for the PIN communication is forwarded to/from the DN;</w:t>
      </w:r>
    </w:p>
    <w:p w14:paraId="3B0443ED" w14:textId="589A8B83" w:rsidR="003D25E4" w:rsidRPr="00873B6C" w:rsidRDefault="003D25E4" w:rsidP="005A13C0">
      <w:pPr>
        <w:pStyle w:val="B2"/>
      </w:pPr>
      <w:r w:rsidRPr="00873B6C">
        <w:t>-</w:t>
      </w:r>
      <w:r w:rsidRPr="00873B6C">
        <w:tab/>
        <w:t>local switching as depicted in Figure P.2-1 below, following the principles of local switching of traffic for 5G VN LAN-type service.</w:t>
      </w:r>
    </w:p>
    <w:p w14:paraId="6A88FE53" w14:textId="43DF5CA3" w:rsidR="003D25E4" w:rsidRPr="00873B6C" w:rsidRDefault="003D25E4" w:rsidP="003D25E4">
      <w:pPr>
        <w:pStyle w:val="TH"/>
      </w:pPr>
      <w:r w:rsidRPr="00873B6C">
        <w:object w:dxaOrig="8471" w:dyaOrig="5591" w14:anchorId="01B2CFED">
          <v:shape id="_x0000_i1174" type="#_x0000_t75" style="width:385.65pt;height:254.2pt" o:ole="">
            <v:imagedata r:id="rId307" o:title=""/>
          </v:shape>
          <o:OLEObject Type="Embed" ProgID="Visio.Drawing.15" ShapeID="_x0000_i1174" DrawAspect="Content" ObjectID="_1811772508" r:id="rId308"/>
        </w:object>
      </w:r>
    </w:p>
    <w:p w14:paraId="5263E81B" w14:textId="57625862" w:rsidR="003D25E4" w:rsidRPr="00873B6C" w:rsidRDefault="003D25E4" w:rsidP="003D25E4">
      <w:pPr>
        <w:pStyle w:val="TF"/>
      </w:pPr>
      <w:bookmarkStart w:id="6726" w:name="_CRFigureP_21"/>
      <w:r w:rsidRPr="00873B6C">
        <w:t xml:space="preserve">Figure </w:t>
      </w:r>
      <w:bookmarkEnd w:id="6726"/>
      <w:r w:rsidRPr="00873B6C">
        <w:t>P.2-1: Local-switch based user plane architecture for PIN</w:t>
      </w:r>
    </w:p>
    <w:p w14:paraId="62DFC88B" w14:textId="62E23734" w:rsidR="003D25E4" w:rsidRPr="00873B6C" w:rsidRDefault="003D25E4" w:rsidP="005A13C0">
      <w:pPr>
        <w:pStyle w:val="NO"/>
      </w:pPr>
      <w:r w:rsidRPr="00873B6C">
        <w:t>NOTE:</w:t>
      </w:r>
      <w:r w:rsidRPr="00873B6C">
        <w:tab/>
        <w:t>Figure P.2-1 does not show traffic from a PEMC.</w:t>
      </w:r>
    </w:p>
    <w:p w14:paraId="656BF73A" w14:textId="4C5D71CA" w:rsidR="003D25E4" w:rsidRPr="00873B6C" w:rsidRDefault="003D25E4" w:rsidP="003D25E4">
      <w:r w:rsidRPr="00873B6C">
        <w:t>The SMF configures the UPF(s) to apply N6-based traffic forwarding to route traffic between PDU Sessions of different PEGC</w:t>
      </w:r>
      <w:r w:rsidR="00500903" w:rsidRPr="00873B6C">
        <w:t>s</w:t>
      </w:r>
      <w:r w:rsidRPr="00873B6C">
        <w:t xml:space="preserve"> of a PIN as specified in clause 5.8.2.13. The SMF can apply local switching as specified in clause 5.8.2.13 in order to enable UPF locally forward uplink stream from one PDU session of one PEGC of a PIN as downlink stream of PDU session of one or more PEGC</w:t>
      </w:r>
      <w:r w:rsidR="00500903" w:rsidRPr="00873B6C">
        <w:t>(s)</w:t>
      </w:r>
      <w:r w:rsidRPr="00873B6C">
        <w:t xml:space="preserve"> of the same PIN. For local switching of PIN traffic between PIN related PDU sessions from different PEGC</w:t>
      </w:r>
      <w:r w:rsidR="00500903" w:rsidRPr="00873B6C">
        <w:t>s</w:t>
      </w:r>
      <w:r w:rsidRPr="00873B6C">
        <w:t xml:space="preserve"> of a single PIN, based on the </w:t>
      </w:r>
      <w:r w:rsidR="00500903" w:rsidRPr="00873B6C">
        <w:t>(</w:t>
      </w:r>
      <w:r w:rsidRPr="00873B6C">
        <w:t>DNN</w:t>
      </w:r>
      <w:r w:rsidR="00500903" w:rsidRPr="00873B6C">
        <w:t>,</w:t>
      </w:r>
      <w:r w:rsidRPr="00873B6C">
        <w:t xml:space="preserve"> S-NSSAI</w:t>
      </w:r>
      <w:r w:rsidR="00500903" w:rsidRPr="00873B6C">
        <w:t>) combination</w:t>
      </w:r>
      <w:r w:rsidRPr="00873B6C">
        <w:t xml:space="preserve"> that is used for the PDU session related to PIN, the SMF provides a Network Instance to the UPF in FAR and/or PDR via N4 Session Establishment/Modification procedures.</w:t>
      </w:r>
    </w:p>
    <w:p w14:paraId="249DB0EC" w14:textId="7560EEF4" w:rsidR="005656CA" w:rsidRPr="00873B6C" w:rsidRDefault="005656CA">
      <w:pPr>
        <w:spacing w:after="0"/>
        <w:rPr>
          <w:rFonts w:ascii="Arial" w:hAnsi="Arial"/>
          <w:sz w:val="36"/>
        </w:rPr>
      </w:pPr>
      <w:r w:rsidRPr="00873B6C">
        <w:br w:type="page"/>
      </w:r>
    </w:p>
    <w:p w14:paraId="070B98A1" w14:textId="6F038921" w:rsidR="005656CA" w:rsidRPr="00873B6C" w:rsidRDefault="005656CA" w:rsidP="00D40151">
      <w:pPr>
        <w:pStyle w:val="Heading8"/>
      </w:pPr>
      <w:bookmarkStart w:id="6727" w:name="_CRAnnexQinformative"/>
      <w:bookmarkStart w:id="6728" w:name="_Toc201157951"/>
      <w:bookmarkEnd w:id="6727"/>
      <w:r w:rsidRPr="00873B6C">
        <w:lastRenderedPageBreak/>
        <w:t>Annex Q (informative):</w:t>
      </w:r>
      <w:r w:rsidRPr="00873B6C">
        <w:br/>
        <w:t>Satellite coverage availability information</w:t>
      </w:r>
      <w:bookmarkEnd w:id="6728"/>
    </w:p>
    <w:p w14:paraId="0C93CAC6" w14:textId="41150A7C" w:rsidR="005656CA" w:rsidRPr="00873B6C" w:rsidRDefault="005656CA" w:rsidP="005656CA">
      <w:r w:rsidRPr="00873B6C">
        <w:t xml:space="preserve">The protocol and format of satellite coverage availability information to be provisioned to the UE via PDU session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14088C" w:rsidRPr="00873B6C">
        <w:t xml:space="preserve">satellite </w:t>
      </w:r>
      <w:r w:rsidRPr="00873B6C">
        <w:t>RAT Type for a particular location and time, where:</w:t>
      </w:r>
    </w:p>
    <w:p w14:paraId="780E0A32" w14:textId="77777777" w:rsidR="005656CA" w:rsidRPr="00873B6C" w:rsidRDefault="005656CA" w:rsidP="005A13C0">
      <w:pPr>
        <w:pStyle w:val="B1"/>
      </w:pPr>
      <w:r w:rsidRPr="00873B6C">
        <w:t>-</w:t>
      </w:r>
      <w:r w:rsidRPr="00873B6C">
        <w:tab/>
        <w:t>These indications can be Boolean "True" (e.g. coverage available) and "False" (coverage not available);</w:t>
      </w:r>
    </w:p>
    <w:p w14:paraId="7603D482" w14:textId="77777777" w:rsidR="005656CA" w:rsidRPr="00873B6C" w:rsidRDefault="005656CA" w:rsidP="005A13C0">
      <w:pPr>
        <w:pStyle w:val="B1"/>
      </w:pPr>
      <w:r w:rsidRPr="00873B6C">
        <w:t>-</w:t>
      </w:r>
      <w:r w:rsidRPr="00873B6C">
        <w:tab/>
        <w:t>locations can correspond to grid points in a fixed array (e.g. rectangular, hexagonal);</w:t>
      </w:r>
    </w:p>
    <w:p w14:paraId="6E6CCAD4" w14:textId="77777777" w:rsidR="005656CA" w:rsidRPr="00873B6C" w:rsidRDefault="005656CA" w:rsidP="005A13C0">
      <w:pPr>
        <w:pStyle w:val="B1"/>
      </w:pPr>
      <w:r w:rsidRPr="00873B6C">
        <w:t>-</w:t>
      </w:r>
      <w:r w:rsidRPr="00873B6C">
        <w:tab/>
        <w:t>Coverage availability times may occur at fixed periodic intervals; and</w:t>
      </w:r>
    </w:p>
    <w:p w14:paraId="5962C9AE" w14:textId="77777777" w:rsidR="005656CA" w:rsidRPr="00873B6C" w:rsidRDefault="005656CA" w:rsidP="005A13C0">
      <w:pPr>
        <w:pStyle w:val="B1"/>
      </w:pPr>
      <w:r w:rsidRPr="00873B6C">
        <w:t>-</w:t>
      </w:r>
      <w:r w:rsidRPr="00873B6C">
        <w:tab/>
        <w:t>Coverage availability information is per RAT Type. The information provisioned to the UE can include coverage information on only one PLMN or multiple PLMNs.</w:t>
      </w:r>
    </w:p>
    <w:p w14:paraId="05317DB3" w14:textId="77777777" w:rsidR="005656CA" w:rsidRPr="00873B6C" w:rsidRDefault="005656CA" w:rsidP="005656CA">
      <w:r w:rsidRPr="00873B6C">
        <w:t>If Satellite coverage availability information indicates coverage is available then additional information on whether PLMN is allowed to operate in that location can be provided to the UE.</w:t>
      </w:r>
    </w:p>
    <w:p w14:paraId="04108F41" w14:textId="77777777" w:rsidR="005656CA" w:rsidRPr="00873B6C" w:rsidRDefault="005656CA" w:rsidP="005656CA">
      <w:r w:rsidRPr="00873B6C">
        <w:t>In order for the source of satellite coverage availability information to provide accurate information to the UE, a UE might indicate for example the following information to a source of satellite coverage availability information (e.g. an external server):</w:t>
      </w:r>
    </w:p>
    <w:p w14:paraId="64A73FF9" w14:textId="79FD10DF" w:rsidR="005656CA" w:rsidRPr="00873B6C" w:rsidRDefault="005656CA" w:rsidP="005A13C0">
      <w:pPr>
        <w:pStyle w:val="B1"/>
      </w:pPr>
      <w:r w:rsidRPr="00873B6C">
        <w:t>-</w:t>
      </w:r>
      <w:r w:rsidRPr="00873B6C">
        <w:tab/>
        <w:t>Serving PLMN ID (if not already known or implied).</w:t>
      </w:r>
    </w:p>
    <w:p w14:paraId="706C6DC3" w14:textId="4E829E3E" w:rsidR="005656CA" w:rsidRPr="00873B6C" w:rsidRDefault="005656CA" w:rsidP="005A13C0">
      <w:pPr>
        <w:pStyle w:val="B1"/>
      </w:pPr>
      <w:r w:rsidRPr="00873B6C">
        <w:t>-</w:t>
      </w:r>
      <w:r w:rsidRPr="00873B6C">
        <w:tab/>
        <w:t>One or more satellite RAT Types (where satellite coverage availability information is then expected for these one or more RAT Types).</w:t>
      </w:r>
    </w:p>
    <w:p w14:paraId="5CF9CEDF" w14:textId="5F4009C4" w:rsidR="005656CA" w:rsidRPr="00873B6C" w:rsidRDefault="005656CA" w:rsidP="005A13C0">
      <w:pPr>
        <w:pStyle w:val="B1"/>
      </w:pPr>
      <w:r w:rsidRPr="00873B6C">
        <w:t>-</w:t>
      </w:r>
      <w:r w:rsidRPr="00873B6C">
        <w:tab/>
        <w:t xml:space="preserve">List of supported </w:t>
      </w:r>
      <w:r w:rsidR="0014088C" w:rsidRPr="00873B6C">
        <w:t xml:space="preserve">satellite </w:t>
      </w:r>
      <w:r w:rsidRPr="00873B6C">
        <w:t>frequency bands (if not implied by the particular RAT</w:t>
      </w:r>
      <w:r w:rsidR="0014088C" w:rsidRPr="00873B6C">
        <w:t xml:space="preserve"> Type</w:t>
      </w:r>
      <w:r w:rsidRPr="00873B6C">
        <w:t>s).</w:t>
      </w:r>
    </w:p>
    <w:p w14:paraId="7A9D1439" w14:textId="08185B59" w:rsidR="005656CA" w:rsidRPr="00873B6C" w:rsidRDefault="005656CA" w:rsidP="005A13C0">
      <w:pPr>
        <w:pStyle w:val="B1"/>
      </w:pPr>
      <w:r w:rsidRPr="00873B6C">
        <w:t>-</w:t>
      </w:r>
      <w:r w:rsidRPr="00873B6C">
        <w:tab/>
        <w:t>Present UE location (e.g. latitude and longitude) for a reference grid point (e.g. the most Southerly and then most Westerly grid point).</w:t>
      </w:r>
    </w:p>
    <w:p w14:paraId="4CC89BB4" w14:textId="06232C72" w:rsidR="005656CA" w:rsidRPr="00873B6C" w:rsidRDefault="005656CA" w:rsidP="005A13C0">
      <w:pPr>
        <w:pStyle w:val="B1"/>
      </w:pPr>
      <w:r w:rsidRPr="00873B6C">
        <w:t>-</w:t>
      </w:r>
      <w:r w:rsidRPr="00873B6C">
        <w:tab/>
        <w:t>Type of Array (e.g. rectangular or hexagonal).</w:t>
      </w:r>
    </w:p>
    <w:p w14:paraId="6A460950" w14:textId="008CF941" w:rsidR="005656CA" w:rsidRPr="00873B6C" w:rsidRDefault="005656CA" w:rsidP="005A13C0">
      <w:pPr>
        <w:pStyle w:val="B1"/>
      </w:pPr>
      <w:r w:rsidRPr="00873B6C">
        <w:t>-</w:t>
      </w:r>
      <w:r w:rsidRPr="00873B6C">
        <w:tab/>
        <w:t>Minimum elevation angle.</w:t>
      </w:r>
    </w:p>
    <w:p w14:paraId="3ECE6E1E" w14:textId="77777777" w:rsidR="005656CA" w:rsidRPr="00873B6C" w:rsidRDefault="005656CA" w:rsidP="005656CA">
      <w:r w:rsidRPr="00873B6C">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01A5D36C" w14:textId="6CB7A6C2" w:rsidR="005656CA" w:rsidRPr="00873B6C" w:rsidRDefault="005656CA" w:rsidP="005A13C0">
      <w:pPr>
        <w:pStyle w:val="B1"/>
      </w:pPr>
      <w:r w:rsidRPr="00873B6C">
        <w:tab/>
        <w:t>Satellite coverage availability information at a given grid point = &lt;N&gt; &lt;Binary 0 or 1&gt;&lt;Duration 1&gt; &lt;Binary 0 or 1&gt;&lt;Duration 2&gt; . . . . &lt;Binary 0 or 1&gt;&lt;Duration N&gt;</w:t>
      </w:r>
    </w:p>
    <w:p w14:paraId="3E3659B5" w14:textId="77777777" w:rsidR="005656CA" w:rsidRPr="00873B6C" w:rsidRDefault="005656CA" w:rsidP="005656CA">
      <w:r w:rsidRPr="00873B6C">
        <w:t>The above would be concatenated for all of the grid points to produce the satellite coverage availability information.</w:t>
      </w:r>
    </w:p>
    <w:p w14:paraId="06B16C3A" w14:textId="77777777" w:rsidR="005656CA" w:rsidRPr="00873B6C" w:rsidRDefault="005656CA" w:rsidP="005656CA">
      <w:r w:rsidRPr="00873B6C">
        <w:t>When SMS is used to deliver the satellite coverage availability information, the UE input and satellite coverage availability information output can be delivered in a series of concatenated SMS messages using possibly the same format.</w:t>
      </w:r>
    </w:p>
    <w:p w14:paraId="7B03FBC5" w14:textId="1D624706" w:rsidR="00D40151" w:rsidRPr="00873B6C" w:rsidRDefault="00D40151" w:rsidP="00D40151">
      <w:pPr>
        <w:pStyle w:val="Heading8"/>
      </w:pPr>
      <w:bookmarkStart w:id="6729" w:name="_CRAnnexRinformative"/>
      <w:bookmarkEnd w:id="6729"/>
      <w:r w:rsidRPr="00873B6C">
        <w:br w:type="page"/>
      </w:r>
      <w:bookmarkStart w:id="6730" w:name="_Toc20150319"/>
      <w:bookmarkStart w:id="6731" w:name="_Toc27847131"/>
      <w:bookmarkStart w:id="6732" w:name="_Toc36188265"/>
      <w:bookmarkStart w:id="6733" w:name="_Toc45184179"/>
      <w:bookmarkStart w:id="6734" w:name="_Toc47343021"/>
      <w:bookmarkStart w:id="6735" w:name="_Toc51769724"/>
      <w:bookmarkStart w:id="6736" w:name="_Toc201157952"/>
      <w:r w:rsidRPr="00873B6C">
        <w:lastRenderedPageBreak/>
        <w:t>Annex</w:t>
      </w:r>
      <w:r w:rsidR="005656CA" w:rsidRPr="00873B6C">
        <w:t xml:space="preserve"> R</w:t>
      </w:r>
      <w:r w:rsidRPr="00873B6C">
        <w:t xml:space="preserve"> (informative):</w:t>
      </w:r>
      <w:r w:rsidRPr="00873B6C">
        <w:br/>
        <w:t>Change history</w:t>
      </w:r>
      <w:bookmarkEnd w:id="6730"/>
      <w:bookmarkEnd w:id="6731"/>
      <w:bookmarkEnd w:id="6732"/>
      <w:bookmarkEnd w:id="6733"/>
      <w:bookmarkEnd w:id="6734"/>
      <w:bookmarkEnd w:id="6735"/>
      <w:bookmarkEnd w:id="67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873B6C" w14:paraId="14EC39C4" w14:textId="77777777" w:rsidTr="009D14FB">
        <w:trPr>
          <w:cantSplit/>
        </w:trPr>
        <w:tc>
          <w:tcPr>
            <w:tcW w:w="9639" w:type="dxa"/>
            <w:gridSpan w:val="8"/>
            <w:tcBorders>
              <w:bottom w:val="nil"/>
            </w:tcBorders>
            <w:shd w:val="solid" w:color="FFFFFF" w:fill="auto"/>
          </w:tcPr>
          <w:p w14:paraId="62DEB5AB" w14:textId="77777777" w:rsidR="00D40151" w:rsidRPr="00873B6C" w:rsidRDefault="00D40151" w:rsidP="009D14FB">
            <w:pPr>
              <w:pStyle w:val="TAH"/>
            </w:pPr>
            <w:r w:rsidRPr="00873B6C">
              <w:t>Change history</w:t>
            </w:r>
          </w:p>
        </w:tc>
      </w:tr>
      <w:tr w:rsidR="00D40151" w:rsidRPr="00873B6C" w14:paraId="71CE672F" w14:textId="77777777" w:rsidTr="009D14FB">
        <w:tc>
          <w:tcPr>
            <w:tcW w:w="800" w:type="dxa"/>
            <w:shd w:val="pct10" w:color="auto" w:fill="FFFFFF"/>
          </w:tcPr>
          <w:p w14:paraId="4570C31C" w14:textId="77777777" w:rsidR="00D40151" w:rsidRPr="00873B6C" w:rsidRDefault="00D40151" w:rsidP="009D14FB">
            <w:pPr>
              <w:pStyle w:val="TAH"/>
              <w:rPr>
                <w:sz w:val="16"/>
                <w:szCs w:val="16"/>
              </w:rPr>
            </w:pPr>
            <w:r w:rsidRPr="00873B6C">
              <w:rPr>
                <w:sz w:val="16"/>
                <w:szCs w:val="16"/>
              </w:rPr>
              <w:t>Date</w:t>
            </w:r>
          </w:p>
        </w:tc>
        <w:tc>
          <w:tcPr>
            <w:tcW w:w="800" w:type="dxa"/>
            <w:shd w:val="pct10" w:color="auto" w:fill="FFFFFF"/>
          </w:tcPr>
          <w:p w14:paraId="11F9D7C6" w14:textId="77777777" w:rsidR="00D40151" w:rsidRPr="00873B6C" w:rsidRDefault="00D40151" w:rsidP="009D14FB">
            <w:pPr>
              <w:pStyle w:val="TAH"/>
              <w:rPr>
                <w:sz w:val="16"/>
                <w:szCs w:val="16"/>
              </w:rPr>
            </w:pPr>
            <w:r w:rsidRPr="00873B6C">
              <w:rPr>
                <w:sz w:val="16"/>
                <w:szCs w:val="16"/>
              </w:rPr>
              <w:t>Meeting</w:t>
            </w:r>
          </w:p>
        </w:tc>
        <w:tc>
          <w:tcPr>
            <w:tcW w:w="1094" w:type="dxa"/>
            <w:shd w:val="pct10" w:color="auto" w:fill="FFFFFF"/>
          </w:tcPr>
          <w:p w14:paraId="38D78F29" w14:textId="77777777" w:rsidR="00D40151" w:rsidRPr="00873B6C" w:rsidRDefault="00D40151" w:rsidP="009D14FB">
            <w:pPr>
              <w:pStyle w:val="TAH"/>
              <w:rPr>
                <w:sz w:val="16"/>
                <w:szCs w:val="16"/>
              </w:rPr>
            </w:pPr>
            <w:r w:rsidRPr="00873B6C">
              <w:rPr>
                <w:sz w:val="16"/>
                <w:szCs w:val="16"/>
              </w:rPr>
              <w:t>TDoc</w:t>
            </w:r>
          </w:p>
        </w:tc>
        <w:tc>
          <w:tcPr>
            <w:tcW w:w="567" w:type="dxa"/>
            <w:shd w:val="pct10" w:color="auto" w:fill="FFFFFF"/>
          </w:tcPr>
          <w:p w14:paraId="409BF5A1" w14:textId="77777777" w:rsidR="00D40151" w:rsidRPr="00873B6C" w:rsidRDefault="00D40151" w:rsidP="009D14FB">
            <w:pPr>
              <w:pStyle w:val="TAH"/>
              <w:rPr>
                <w:sz w:val="16"/>
                <w:szCs w:val="16"/>
              </w:rPr>
            </w:pPr>
            <w:r w:rsidRPr="00873B6C">
              <w:rPr>
                <w:sz w:val="16"/>
                <w:szCs w:val="16"/>
              </w:rPr>
              <w:t>CR</w:t>
            </w:r>
          </w:p>
        </w:tc>
        <w:tc>
          <w:tcPr>
            <w:tcW w:w="425" w:type="dxa"/>
            <w:shd w:val="pct10" w:color="auto" w:fill="FFFFFF"/>
          </w:tcPr>
          <w:p w14:paraId="3A2B043F" w14:textId="77777777" w:rsidR="00D40151" w:rsidRPr="00873B6C" w:rsidRDefault="00D40151" w:rsidP="009D14FB">
            <w:pPr>
              <w:pStyle w:val="TAH"/>
              <w:rPr>
                <w:sz w:val="16"/>
                <w:szCs w:val="16"/>
              </w:rPr>
            </w:pPr>
            <w:r w:rsidRPr="00873B6C">
              <w:rPr>
                <w:sz w:val="16"/>
                <w:szCs w:val="16"/>
              </w:rPr>
              <w:t>Rev</w:t>
            </w:r>
          </w:p>
        </w:tc>
        <w:tc>
          <w:tcPr>
            <w:tcW w:w="425" w:type="dxa"/>
            <w:shd w:val="pct10" w:color="auto" w:fill="FFFFFF"/>
          </w:tcPr>
          <w:p w14:paraId="1F4EA7CD" w14:textId="77777777" w:rsidR="00D40151" w:rsidRPr="00873B6C" w:rsidRDefault="00D40151" w:rsidP="009D14FB">
            <w:pPr>
              <w:pStyle w:val="TAH"/>
              <w:rPr>
                <w:sz w:val="16"/>
                <w:szCs w:val="16"/>
              </w:rPr>
            </w:pPr>
            <w:r w:rsidRPr="00873B6C">
              <w:rPr>
                <w:sz w:val="16"/>
                <w:szCs w:val="16"/>
              </w:rPr>
              <w:t>Cat</w:t>
            </w:r>
          </w:p>
        </w:tc>
        <w:tc>
          <w:tcPr>
            <w:tcW w:w="4820" w:type="dxa"/>
            <w:shd w:val="pct10" w:color="auto" w:fill="FFFFFF"/>
          </w:tcPr>
          <w:p w14:paraId="27881ED1" w14:textId="77777777" w:rsidR="00D40151" w:rsidRPr="00873B6C" w:rsidRDefault="00D40151" w:rsidP="009D14FB">
            <w:pPr>
              <w:pStyle w:val="TAH"/>
              <w:rPr>
                <w:sz w:val="16"/>
                <w:szCs w:val="16"/>
              </w:rPr>
            </w:pPr>
            <w:r w:rsidRPr="00873B6C">
              <w:rPr>
                <w:sz w:val="16"/>
                <w:szCs w:val="16"/>
              </w:rPr>
              <w:t>Subject/Comment</w:t>
            </w:r>
          </w:p>
        </w:tc>
        <w:tc>
          <w:tcPr>
            <w:tcW w:w="708" w:type="dxa"/>
            <w:shd w:val="pct10" w:color="auto" w:fill="FFFFFF"/>
          </w:tcPr>
          <w:p w14:paraId="2C130C5F" w14:textId="77777777" w:rsidR="00D40151" w:rsidRPr="00873B6C" w:rsidRDefault="00D40151" w:rsidP="009D14FB">
            <w:pPr>
              <w:pStyle w:val="TAH"/>
              <w:rPr>
                <w:sz w:val="16"/>
                <w:szCs w:val="16"/>
              </w:rPr>
            </w:pPr>
            <w:r w:rsidRPr="00873B6C">
              <w:rPr>
                <w:sz w:val="16"/>
                <w:szCs w:val="16"/>
              </w:rPr>
              <w:t>New version</w:t>
            </w:r>
          </w:p>
        </w:tc>
      </w:tr>
      <w:tr w:rsidR="00D40151" w:rsidRPr="00873B6C" w14:paraId="775144B4" w14:textId="77777777" w:rsidTr="009D14FB">
        <w:tc>
          <w:tcPr>
            <w:tcW w:w="800" w:type="dxa"/>
            <w:shd w:val="solid" w:color="FFFFFF" w:fill="auto"/>
          </w:tcPr>
          <w:p w14:paraId="16596BA4" w14:textId="77777777" w:rsidR="00D40151" w:rsidRPr="00873B6C" w:rsidRDefault="00D40151" w:rsidP="009D14FB">
            <w:pPr>
              <w:pStyle w:val="TAC"/>
              <w:rPr>
                <w:color w:val="0000FF"/>
                <w:sz w:val="16"/>
                <w:szCs w:val="16"/>
              </w:rPr>
            </w:pPr>
            <w:r w:rsidRPr="00873B6C">
              <w:rPr>
                <w:color w:val="0000FF"/>
                <w:sz w:val="16"/>
                <w:szCs w:val="16"/>
              </w:rPr>
              <w:t>06-2017</w:t>
            </w:r>
          </w:p>
        </w:tc>
        <w:tc>
          <w:tcPr>
            <w:tcW w:w="800" w:type="dxa"/>
            <w:shd w:val="solid" w:color="FFFFFF" w:fill="auto"/>
          </w:tcPr>
          <w:p w14:paraId="7F8325E7" w14:textId="77777777" w:rsidR="00D40151" w:rsidRPr="00873B6C" w:rsidRDefault="00D40151" w:rsidP="009D14FB">
            <w:pPr>
              <w:pStyle w:val="TAC"/>
              <w:rPr>
                <w:color w:val="0000FF"/>
                <w:sz w:val="16"/>
                <w:szCs w:val="16"/>
              </w:rPr>
            </w:pPr>
            <w:r w:rsidRPr="00873B6C">
              <w:rPr>
                <w:color w:val="0000FF"/>
                <w:sz w:val="16"/>
                <w:szCs w:val="16"/>
              </w:rPr>
              <w:t>SP#76</w:t>
            </w:r>
          </w:p>
        </w:tc>
        <w:tc>
          <w:tcPr>
            <w:tcW w:w="1094" w:type="dxa"/>
            <w:shd w:val="solid" w:color="FFFFFF" w:fill="auto"/>
          </w:tcPr>
          <w:p w14:paraId="6551F904" w14:textId="77777777" w:rsidR="00D40151" w:rsidRPr="00873B6C" w:rsidRDefault="00D40151" w:rsidP="009D14FB">
            <w:pPr>
              <w:pStyle w:val="TAC"/>
              <w:rPr>
                <w:color w:val="0000FF"/>
                <w:sz w:val="16"/>
                <w:szCs w:val="16"/>
              </w:rPr>
            </w:pPr>
            <w:r w:rsidRPr="00873B6C">
              <w:rPr>
                <w:color w:val="0000FF"/>
                <w:sz w:val="16"/>
                <w:szCs w:val="16"/>
              </w:rPr>
              <w:t>SP-170384</w:t>
            </w:r>
          </w:p>
        </w:tc>
        <w:tc>
          <w:tcPr>
            <w:tcW w:w="567" w:type="dxa"/>
            <w:shd w:val="solid" w:color="FFFFFF" w:fill="auto"/>
          </w:tcPr>
          <w:p w14:paraId="14CAF016"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shd w:val="solid" w:color="FFFFFF" w:fill="auto"/>
          </w:tcPr>
          <w:p w14:paraId="48694978"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shd w:val="solid" w:color="FFFFFF" w:fill="auto"/>
          </w:tcPr>
          <w:p w14:paraId="0A345365" w14:textId="77777777" w:rsidR="00D40151" w:rsidRPr="00873B6C" w:rsidRDefault="00D40151" w:rsidP="009D14FB">
            <w:pPr>
              <w:pStyle w:val="TAL"/>
              <w:rPr>
                <w:color w:val="0000FF"/>
                <w:sz w:val="16"/>
                <w:szCs w:val="16"/>
              </w:rPr>
            </w:pPr>
            <w:r w:rsidRPr="00873B6C">
              <w:rPr>
                <w:color w:val="0000FF"/>
                <w:sz w:val="16"/>
                <w:szCs w:val="16"/>
              </w:rPr>
              <w:t>-</w:t>
            </w:r>
          </w:p>
        </w:tc>
        <w:tc>
          <w:tcPr>
            <w:tcW w:w="4820" w:type="dxa"/>
            <w:shd w:val="solid" w:color="FFFFFF" w:fill="auto"/>
          </w:tcPr>
          <w:p w14:paraId="146FF228" w14:textId="77777777" w:rsidR="00D40151" w:rsidRPr="00873B6C" w:rsidRDefault="00D40151" w:rsidP="009D14FB">
            <w:pPr>
              <w:pStyle w:val="TAL"/>
              <w:rPr>
                <w:color w:val="0000FF"/>
                <w:sz w:val="16"/>
                <w:szCs w:val="16"/>
              </w:rPr>
            </w:pPr>
            <w:r w:rsidRPr="00873B6C">
              <w:rPr>
                <w:color w:val="0000FF"/>
                <w:sz w:val="16"/>
                <w:szCs w:val="16"/>
              </w:rPr>
              <w:t>MCC Editorial Update for presentation to TSG SA#76 for Information</w:t>
            </w:r>
          </w:p>
        </w:tc>
        <w:tc>
          <w:tcPr>
            <w:tcW w:w="708" w:type="dxa"/>
            <w:shd w:val="solid" w:color="FFFFFF" w:fill="auto"/>
          </w:tcPr>
          <w:p w14:paraId="25A99F4E" w14:textId="77777777" w:rsidR="00D40151" w:rsidRPr="00873B6C" w:rsidRDefault="00D40151" w:rsidP="009D14FB">
            <w:pPr>
              <w:pStyle w:val="TAC"/>
              <w:rPr>
                <w:color w:val="0000FF"/>
                <w:sz w:val="16"/>
                <w:szCs w:val="16"/>
              </w:rPr>
            </w:pPr>
            <w:r w:rsidRPr="00873B6C">
              <w:rPr>
                <w:color w:val="0000FF"/>
                <w:sz w:val="16"/>
                <w:szCs w:val="16"/>
              </w:rPr>
              <w:t>1.0.0</w:t>
            </w:r>
          </w:p>
        </w:tc>
      </w:tr>
      <w:tr w:rsidR="00D40151" w:rsidRPr="00873B6C" w14:paraId="488AD200" w14:textId="77777777" w:rsidTr="009D14FB">
        <w:tc>
          <w:tcPr>
            <w:tcW w:w="800" w:type="dxa"/>
            <w:tcBorders>
              <w:bottom w:val="single" w:sz="6" w:space="0" w:color="auto"/>
            </w:tcBorders>
            <w:shd w:val="solid" w:color="FFFFFF" w:fill="auto"/>
          </w:tcPr>
          <w:p w14:paraId="03C5B7A3" w14:textId="77777777" w:rsidR="00D40151" w:rsidRPr="00873B6C" w:rsidRDefault="00D40151" w:rsidP="009D14FB">
            <w:pPr>
              <w:pStyle w:val="TAC"/>
              <w:rPr>
                <w:color w:val="0000FF"/>
                <w:sz w:val="16"/>
                <w:szCs w:val="16"/>
              </w:rPr>
            </w:pPr>
            <w:r w:rsidRPr="00873B6C">
              <w:rPr>
                <w:color w:val="0000FF"/>
                <w:sz w:val="16"/>
                <w:szCs w:val="16"/>
              </w:rPr>
              <w:t>12-2017</w:t>
            </w:r>
          </w:p>
        </w:tc>
        <w:tc>
          <w:tcPr>
            <w:tcW w:w="800" w:type="dxa"/>
            <w:tcBorders>
              <w:bottom w:val="single" w:sz="6" w:space="0" w:color="auto"/>
            </w:tcBorders>
            <w:shd w:val="solid" w:color="FFFFFF" w:fill="auto"/>
          </w:tcPr>
          <w:p w14:paraId="5322A0A3" w14:textId="77777777" w:rsidR="00D40151" w:rsidRPr="00873B6C" w:rsidRDefault="00D40151" w:rsidP="009D14FB">
            <w:pPr>
              <w:pStyle w:val="TAC"/>
              <w:rPr>
                <w:color w:val="0000FF"/>
                <w:sz w:val="16"/>
                <w:szCs w:val="16"/>
              </w:rPr>
            </w:pPr>
            <w:r w:rsidRPr="00873B6C">
              <w:rPr>
                <w:color w:val="0000FF"/>
                <w:sz w:val="16"/>
                <w:szCs w:val="16"/>
              </w:rPr>
              <w:t>SP#78</w:t>
            </w:r>
          </w:p>
        </w:tc>
        <w:tc>
          <w:tcPr>
            <w:tcW w:w="1094" w:type="dxa"/>
            <w:tcBorders>
              <w:bottom w:val="single" w:sz="6" w:space="0" w:color="auto"/>
            </w:tcBorders>
            <w:shd w:val="solid" w:color="FFFFFF" w:fill="auto"/>
          </w:tcPr>
          <w:p w14:paraId="72795E6F" w14:textId="77777777" w:rsidR="00D40151" w:rsidRPr="00873B6C" w:rsidRDefault="00D40151" w:rsidP="009D14FB">
            <w:pPr>
              <w:pStyle w:val="TAC"/>
              <w:rPr>
                <w:color w:val="0000FF"/>
                <w:sz w:val="16"/>
                <w:szCs w:val="16"/>
              </w:rPr>
            </w:pPr>
            <w:r w:rsidRPr="00873B6C">
              <w:rPr>
                <w:color w:val="0000FF"/>
                <w:sz w:val="16"/>
                <w:szCs w:val="16"/>
              </w:rPr>
              <w:t>-</w:t>
            </w:r>
          </w:p>
        </w:tc>
        <w:tc>
          <w:tcPr>
            <w:tcW w:w="567" w:type="dxa"/>
            <w:tcBorders>
              <w:bottom w:val="single" w:sz="6" w:space="0" w:color="auto"/>
            </w:tcBorders>
            <w:shd w:val="solid" w:color="FFFFFF" w:fill="auto"/>
          </w:tcPr>
          <w:p w14:paraId="3528C4A2"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tcBorders>
              <w:bottom w:val="single" w:sz="6" w:space="0" w:color="auto"/>
            </w:tcBorders>
            <w:shd w:val="solid" w:color="FFFFFF" w:fill="auto"/>
          </w:tcPr>
          <w:p w14:paraId="780C3B83"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tcBorders>
              <w:bottom w:val="single" w:sz="6" w:space="0" w:color="auto"/>
            </w:tcBorders>
            <w:shd w:val="solid" w:color="FFFFFF" w:fill="auto"/>
          </w:tcPr>
          <w:p w14:paraId="0854076E" w14:textId="77777777" w:rsidR="00D40151" w:rsidRPr="00873B6C" w:rsidRDefault="00D40151" w:rsidP="009D14FB">
            <w:pPr>
              <w:pStyle w:val="TAL"/>
              <w:rPr>
                <w:color w:val="0000FF"/>
                <w:sz w:val="16"/>
                <w:szCs w:val="16"/>
              </w:rPr>
            </w:pPr>
            <w:r w:rsidRPr="00873B6C">
              <w:rPr>
                <w:color w:val="0000FF"/>
                <w:sz w:val="16"/>
                <w:szCs w:val="16"/>
              </w:rPr>
              <w:t>-</w:t>
            </w:r>
          </w:p>
        </w:tc>
        <w:tc>
          <w:tcPr>
            <w:tcW w:w="4820" w:type="dxa"/>
            <w:tcBorders>
              <w:bottom w:val="single" w:sz="6" w:space="0" w:color="auto"/>
            </w:tcBorders>
            <w:shd w:val="solid" w:color="FFFFFF" w:fill="auto"/>
          </w:tcPr>
          <w:p w14:paraId="1AADBDBC" w14:textId="77777777" w:rsidR="00D40151" w:rsidRPr="00873B6C" w:rsidRDefault="00D40151" w:rsidP="009D14FB">
            <w:pPr>
              <w:pStyle w:val="TAL"/>
              <w:rPr>
                <w:color w:val="0000FF"/>
                <w:sz w:val="16"/>
                <w:szCs w:val="16"/>
              </w:rPr>
            </w:pPr>
            <w:r w:rsidRPr="00873B6C">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873B6C" w:rsidRDefault="00D40151" w:rsidP="009D14FB">
            <w:pPr>
              <w:pStyle w:val="TAC"/>
              <w:rPr>
                <w:color w:val="0000FF"/>
                <w:sz w:val="16"/>
                <w:szCs w:val="16"/>
              </w:rPr>
            </w:pPr>
            <w:r w:rsidRPr="00873B6C">
              <w:rPr>
                <w:color w:val="0000FF"/>
                <w:sz w:val="16"/>
                <w:szCs w:val="16"/>
              </w:rPr>
              <w:t>2.0.0</w:t>
            </w:r>
          </w:p>
        </w:tc>
      </w:tr>
      <w:tr w:rsidR="00D40151" w:rsidRPr="00873B6C" w14:paraId="2C879550" w14:textId="77777777" w:rsidTr="009D14FB">
        <w:tc>
          <w:tcPr>
            <w:tcW w:w="800" w:type="dxa"/>
            <w:tcBorders>
              <w:bottom w:val="single" w:sz="8" w:space="0" w:color="auto"/>
            </w:tcBorders>
            <w:shd w:val="solid" w:color="FFFFFF" w:fill="auto"/>
          </w:tcPr>
          <w:p w14:paraId="10A728B6" w14:textId="77777777" w:rsidR="00D40151" w:rsidRPr="00873B6C" w:rsidRDefault="00D40151" w:rsidP="009D14FB">
            <w:pPr>
              <w:pStyle w:val="TAC"/>
              <w:rPr>
                <w:color w:val="0000FF"/>
                <w:sz w:val="16"/>
                <w:szCs w:val="16"/>
              </w:rPr>
            </w:pPr>
            <w:r w:rsidRPr="00873B6C">
              <w:rPr>
                <w:color w:val="0000FF"/>
                <w:sz w:val="16"/>
                <w:szCs w:val="16"/>
              </w:rPr>
              <w:t>12-2017</w:t>
            </w:r>
          </w:p>
        </w:tc>
        <w:tc>
          <w:tcPr>
            <w:tcW w:w="800" w:type="dxa"/>
            <w:tcBorders>
              <w:bottom w:val="single" w:sz="8" w:space="0" w:color="auto"/>
            </w:tcBorders>
            <w:shd w:val="solid" w:color="FFFFFF" w:fill="auto"/>
          </w:tcPr>
          <w:p w14:paraId="77D1985E" w14:textId="77777777" w:rsidR="00D40151" w:rsidRPr="00873B6C" w:rsidRDefault="00D40151" w:rsidP="009D14FB">
            <w:pPr>
              <w:pStyle w:val="TAC"/>
              <w:rPr>
                <w:color w:val="0000FF"/>
                <w:sz w:val="16"/>
                <w:szCs w:val="16"/>
              </w:rPr>
            </w:pPr>
            <w:r w:rsidRPr="00873B6C">
              <w:rPr>
                <w:color w:val="0000FF"/>
                <w:sz w:val="16"/>
                <w:szCs w:val="16"/>
              </w:rPr>
              <w:t>SP#78</w:t>
            </w:r>
          </w:p>
        </w:tc>
        <w:tc>
          <w:tcPr>
            <w:tcW w:w="1094" w:type="dxa"/>
            <w:tcBorders>
              <w:bottom w:val="single" w:sz="8" w:space="0" w:color="auto"/>
            </w:tcBorders>
            <w:shd w:val="solid" w:color="FFFFFF" w:fill="auto"/>
          </w:tcPr>
          <w:p w14:paraId="3ECF4E93" w14:textId="77777777" w:rsidR="00D40151" w:rsidRPr="00873B6C" w:rsidRDefault="00D40151" w:rsidP="009D14FB">
            <w:pPr>
              <w:pStyle w:val="TAC"/>
              <w:rPr>
                <w:color w:val="0000FF"/>
                <w:sz w:val="16"/>
                <w:szCs w:val="16"/>
              </w:rPr>
            </w:pPr>
            <w:r w:rsidRPr="00873B6C">
              <w:rPr>
                <w:color w:val="0000FF"/>
                <w:sz w:val="16"/>
                <w:szCs w:val="16"/>
              </w:rPr>
              <w:t>SP-170931</w:t>
            </w:r>
          </w:p>
        </w:tc>
        <w:tc>
          <w:tcPr>
            <w:tcW w:w="567" w:type="dxa"/>
            <w:tcBorders>
              <w:bottom w:val="single" w:sz="8" w:space="0" w:color="auto"/>
            </w:tcBorders>
            <w:shd w:val="solid" w:color="FFFFFF" w:fill="auto"/>
          </w:tcPr>
          <w:p w14:paraId="32064421"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tcBorders>
              <w:bottom w:val="single" w:sz="8" w:space="0" w:color="auto"/>
            </w:tcBorders>
            <w:shd w:val="solid" w:color="FFFFFF" w:fill="auto"/>
          </w:tcPr>
          <w:p w14:paraId="357080F4"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tcBorders>
              <w:bottom w:val="single" w:sz="8" w:space="0" w:color="auto"/>
            </w:tcBorders>
            <w:shd w:val="solid" w:color="FFFFFF" w:fill="auto"/>
          </w:tcPr>
          <w:p w14:paraId="380FD7C0" w14:textId="77777777" w:rsidR="00D40151" w:rsidRPr="00873B6C" w:rsidRDefault="00D40151" w:rsidP="009D14FB">
            <w:pPr>
              <w:pStyle w:val="TAL"/>
              <w:rPr>
                <w:color w:val="0000FF"/>
                <w:sz w:val="16"/>
                <w:szCs w:val="16"/>
              </w:rPr>
            </w:pPr>
            <w:r w:rsidRPr="00873B6C">
              <w:rPr>
                <w:color w:val="0000FF"/>
                <w:sz w:val="16"/>
                <w:szCs w:val="16"/>
              </w:rPr>
              <w:t>-</w:t>
            </w:r>
          </w:p>
        </w:tc>
        <w:tc>
          <w:tcPr>
            <w:tcW w:w="4820" w:type="dxa"/>
            <w:tcBorders>
              <w:bottom w:val="single" w:sz="8" w:space="0" w:color="auto"/>
            </w:tcBorders>
            <w:shd w:val="solid" w:color="FFFFFF" w:fill="auto"/>
          </w:tcPr>
          <w:p w14:paraId="52D4A2B0" w14:textId="77777777" w:rsidR="00D40151" w:rsidRPr="00873B6C" w:rsidRDefault="00D40151" w:rsidP="009D14FB">
            <w:pPr>
              <w:pStyle w:val="TAL"/>
              <w:rPr>
                <w:color w:val="0000FF"/>
                <w:sz w:val="16"/>
                <w:szCs w:val="16"/>
              </w:rPr>
            </w:pPr>
            <w:r w:rsidRPr="00873B6C">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873B6C" w:rsidRDefault="00D40151" w:rsidP="009D14FB">
            <w:pPr>
              <w:pStyle w:val="TAC"/>
              <w:rPr>
                <w:color w:val="0000FF"/>
                <w:sz w:val="16"/>
                <w:szCs w:val="16"/>
              </w:rPr>
            </w:pPr>
            <w:r w:rsidRPr="00873B6C">
              <w:rPr>
                <w:color w:val="0000FF"/>
                <w:sz w:val="16"/>
                <w:szCs w:val="16"/>
              </w:rPr>
              <w:t>2.0.1</w:t>
            </w:r>
          </w:p>
        </w:tc>
      </w:tr>
      <w:tr w:rsidR="00D40151" w:rsidRPr="00873B6C"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873B6C" w:rsidRDefault="00D40151" w:rsidP="009D14FB">
            <w:pPr>
              <w:pStyle w:val="TAC"/>
              <w:rPr>
                <w:sz w:val="16"/>
                <w:szCs w:val="16"/>
              </w:rPr>
            </w:pPr>
            <w:r w:rsidRPr="00873B6C">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873B6C" w:rsidRDefault="00D40151" w:rsidP="009D14FB">
            <w:pPr>
              <w:pStyle w:val="TAC"/>
              <w:rPr>
                <w:sz w:val="16"/>
                <w:szCs w:val="16"/>
              </w:rPr>
            </w:pPr>
            <w:r w:rsidRPr="00873B6C">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873B6C" w:rsidRDefault="00D40151" w:rsidP="009D14FB">
            <w:pPr>
              <w:pStyle w:val="TAC"/>
              <w:rPr>
                <w:sz w:val="16"/>
                <w:szCs w:val="16"/>
              </w:rPr>
            </w:pPr>
            <w:r w:rsidRPr="00873B6C">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873B6C" w:rsidRDefault="00D40151" w:rsidP="009D14FB">
            <w:pPr>
              <w:pStyle w:val="TAL"/>
              <w:rPr>
                <w:sz w:val="16"/>
                <w:szCs w:val="16"/>
              </w:rPr>
            </w:pPr>
            <w:r w:rsidRPr="00873B6C">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873B6C" w:rsidRDefault="00D40151" w:rsidP="009D14FB">
            <w:pPr>
              <w:pStyle w:val="TAL"/>
              <w:rPr>
                <w:sz w:val="16"/>
                <w:szCs w:val="16"/>
              </w:rPr>
            </w:pPr>
            <w:r w:rsidRPr="00873B6C">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873B6C" w:rsidRDefault="00D40151" w:rsidP="009D14FB">
            <w:pPr>
              <w:pStyle w:val="TAL"/>
              <w:rPr>
                <w:sz w:val="16"/>
                <w:szCs w:val="16"/>
              </w:rPr>
            </w:pPr>
            <w:r w:rsidRPr="00873B6C">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873B6C" w:rsidRDefault="00D40151" w:rsidP="009D14FB">
            <w:pPr>
              <w:pStyle w:val="TAL"/>
              <w:rPr>
                <w:sz w:val="16"/>
                <w:szCs w:val="16"/>
              </w:rPr>
            </w:pPr>
            <w:r w:rsidRPr="00873B6C">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873B6C" w:rsidRDefault="00D40151" w:rsidP="009D14FB">
            <w:pPr>
              <w:pStyle w:val="TAC"/>
              <w:rPr>
                <w:sz w:val="16"/>
                <w:szCs w:val="16"/>
              </w:rPr>
            </w:pPr>
            <w:r w:rsidRPr="00873B6C">
              <w:rPr>
                <w:sz w:val="16"/>
                <w:szCs w:val="16"/>
              </w:rPr>
              <w:t>15.0.0</w:t>
            </w:r>
          </w:p>
        </w:tc>
      </w:tr>
      <w:tr w:rsidR="00D40151" w:rsidRPr="00873B6C" w14:paraId="27FF1FE9" w14:textId="77777777" w:rsidTr="009D14FB">
        <w:tc>
          <w:tcPr>
            <w:tcW w:w="800" w:type="dxa"/>
            <w:tcBorders>
              <w:top w:val="single" w:sz="8" w:space="0" w:color="auto"/>
            </w:tcBorders>
            <w:shd w:val="solid" w:color="FFFFFF" w:fill="auto"/>
          </w:tcPr>
          <w:p w14:paraId="7BF47219" w14:textId="77777777" w:rsidR="00D40151" w:rsidRPr="00873B6C" w:rsidRDefault="00D40151" w:rsidP="009D14FB">
            <w:pPr>
              <w:pStyle w:val="TAC"/>
              <w:rPr>
                <w:sz w:val="16"/>
                <w:szCs w:val="16"/>
              </w:rPr>
            </w:pPr>
            <w:r w:rsidRPr="00873B6C">
              <w:rPr>
                <w:sz w:val="16"/>
                <w:szCs w:val="16"/>
              </w:rPr>
              <w:t>03-2018</w:t>
            </w:r>
          </w:p>
        </w:tc>
        <w:tc>
          <w:tcPr>
            <w:tcW w:w="800" w:type="dxa"/>
            <w:tcBorders>
              <w:top w:val="single" w:sz="8" w:space="0" w:color="auto"/>
            </w:tcBorders>
            <w:shd w:val="solid" w:color="FFFFFF" w:fill="auto"/>
          </w:tcPr>
          <w:p w14:paraId="6BCA192C" w14:textId="77777777" w:rsidR="00D40151" w:rsidRPr="00873B6C" w:rsidRDefault="00D40151" w:rsidP="009D14FB">
            <w:pPr>
              <w:pStyle w:val="TAC"/>
              <w:rPr>
                <w:sz w:val="16"/>
                <w:szCs w:val="16"/>
              </w:rPr>
            </w:pPr>
            <w:r w:rsidRPr="00873B6C">
              <w:rPr>
                <w:sz w:val="16"/>
                <w:szCs w:val="16"/>
              </w:rPr>
              <w:t>SP#79</w:t>
            </w:r>
          </w:p>
        </w:tc>
        <w:tc>
          <w:tcPr>
            <w:tcW w:w="1094" w:type="dxa"/>
            <w:tcBorders>
              <w:top w:val="single" w:sz="8" w:space="0" w:color="auto"/>
            </w:tcBorders>
            <w:shd w:val="solid" w:color="FFFFFF" w:fill="auto"/>
          </w:tcPr>
          <w:p w14:paraId="4334A2FF" w14:textId="77777777" w:rsidR="00D40151" w:rsidRPr="00873B6C" w:rsidRDefault="00D40151" w:rsidP="009D14FB">
            <w:pPr>
              <w:pStyle w:val="TAC"/>
              <w:rPr>
                <w:sz w:val="16"/>
                <w:szCs w:val="16"/>
              </w:rPr>
            </w:pPr>
            <w:r w:rsidRPr="00873B6C">
              <w:rPr>
                <w:sz w:val="16"/>
                <w:szCs w:val="16"/>
              </w:rPr>
              <w:t>SP-180090</w:t>
            </w:r>
          </w:p>
        </w:tc>
        <w:tc>
          <w:tcPr>
            <w:tcW w:w="567" w:type="dxa"/>
            <w:tcBorders>
              <w:top w:val="single" w:sz="8" w:space="0" w:color="auto"/>
            </w:tcBorders>
            <w:shd w:val="solid" w:color="FFFFFF" w:fill="auto"/>
          </w:tcPr>
          <w:p w14:paraId="555DEDC6" w14:textId="77777777" w:rsidR="00D40151" w:rsidRPr="00873B6C" w:rsidRDefault="00D40151" w:rsidP="009D14FB">
            <w:pPr>
              <w:pStyle w:val="TAL"/>
              <w:rPr>
                <w:sz w:val="16"/>
                <w:szCs w:val="16"/>
              </w:rPr>
            </w:pPr>
            <w:r w:rsidRPr="00873B6C">
              <w:rPr>
                <w:sz w:val="16"/>
                <w:szCs w:val="16"/>
              </w:rPr>
              <w:t>0002</w:t>
            </w:r>
          </w:p>
        </w:tc>
        <w:tc>
          <w:tcPr>
            <w:tcW w:w="425" w:type="dxa"/>
            <w:tcBorders>
              <w:top w:val="single" w:sz="8" w:space="0" w:color="auto"/>
            </w:tcBorders>
            <w:shd w:val="solid" w:color="FFFFFF" w:fill="auto"/>
          </w:tcPr>
          <w:p w14:paraId="0F77964E" w14:textId="77777777" w:rsidR="00D40151" w:rsidRPr="00873B6C" w:rsidRDefault="00D40151" w:rsidP="009D14FB">
            <w:pPr>
              <w:pStyle w:val="TAL"/>
              <w:rPr>
                <w:sz w:val="16"/>
                <w:szCs w:val="16"/>
              </w:rPr>
            </w:pPr>
            <w:r w:rsidRPr="00873B6C">
              <w:rPr>
                <w:sz w:val="16"/>
                <w:szCs w:val="16"/>
              </w:rPr>
              <w:t>2</w:t>
            </w:r>
          </w:p>
        </w:tc>
        <w:tc>
          <w:tcPr>
            <w:tcW w:w="425" w:type="dxa"/>
            <w:tcBorders>
              <w:top w:val="single" w:sz="8" w:space="0" w:color="auto"/>
            </w:tcBorders>
            <w:shd w:val="solid" w:color="FFFFFF" w:fill="auto"/>
          </w:tcPr>
          <w:p w14:paraId="79CDEBD9" w14:textId="77777777" w:rsidR="00D40151" w:rsidRPr="00873B6C" w:rsidRDefault="00D40151" w:rsidP="009D14FB">
            <w:pPr>
              <w:pStyle w:val="TAL"/>
              <w:rPr>
                <w:sz w:val="16"/>
                <w:szCs w:val="16"/>
              </w:rPr>
            </w:pPr>
            <w:r w:rsidRPr="00873B6C">
              <w:rPr>
                <w:sz w:val="16"/>
                <w:szCs w:val="16"/>
              </w:rPr>
              <w:t>F</w:t>
            </w:r>
          </w:p>
        </w:tc>
        <w:tc>
          <w:tcPr>
            <w:tcW w:w="4820" w:type="dxa"/>
            <w:tcBorders>
              <w:top w:val="single" w:sz="8" w:space="0" w:color="auto"/>
            </w:tcBorders>
            <w:shd w:val="solid" w:color="FFFFFF" w:fill="auto"/>
          </w:tcPr>
          <w:p w14:paraId="6BDDE8E7" w14:textId="77777777" w:rsidR="00D40151" w:rsidRPr="00873B6C" w:rsidRDefault="00D40151" w:rsidP="009D14FB">
            <w:pPr>
              <w:pStyle w:val="TAL"/>
              <w:rPr>
                <w:sz w:val="16"/>
                <w:szCs w:val="16"/>
              </w:rPr>
            </w:pPr>
            <w:r w:rsidRPr="00873B6C">
              <w:rPr>
                <w:sz w:val="16"/>
                <w:szCs w:val="16"/>
              </w:rPr>
              <w:t>Using NRF for UPF discovery</w:t>
            </w:r>
          </w:p>
        </w:tc>
        <w:tc>
          <w:tcPr>
            <w:tcW w:w="708" w:type="dxa"/>
            <w:tcBorders>
              <w:top w:val="single" w:sz="8" w:space="0" w:color="auto"/>
            </w:tcBorders>
            <w:shd w:val="solid" w:color="FFFFFF" w:fill="auto"/>
          </w:tcPr>
          <w:p w14:paraId="3B3CD689" w14:textId="77777777" w:rsidR="00D40151" w:rsidRPr="00873B6C" w:rsidRDefault="00D40151" w:rsidP="009D14FB">
            <w:pPr>
              <w:pStyle w:val="TAC"/>
              <w:rPr>
                <w:sz w:val="16"/>
                <w:szCs w:val="16"/>
              </w:rPr>
            </w:pPr>
            <w:r w:rsidRPr="00873B6C">
              <w:rPr>
                <w:sz w:val="16"/>
                <w:szCs w:val="16"/>
              </w:rPr>
              <w:t>15.1.0</w:t>
            </w:r>
          </w:p>
        </w:tc>
      </w:tr>
      <w:tr w:rsidR="00D40151" w:rsidRPr="00873B6C" w14:paraId="08633F3C" w14:textId="77777777" w:rsidTr="009D14FB">
        <w:tc>
          <w:tcPr>
            <w:tcW w:w="800" w:type="dxa"/>
            <w:shd w:val="solid" w:color="FFFFFF" w:fill="auto"/>
          </w:tcPr>
          <w:p w14:paraId="0177F4D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1F831E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99FFA7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69584A12" w14:textId="77777777" w:rsidR="00D40151" w:rsidRPr="00873B6C" w:rsidRDefault="00D40151" w:rsidP="009D14FB">
            <w:pPr>
              <w:pStyle w:val="TAL"/>
              <w:rPr>
                <w:sz w:val="16"/>
                <w:szCs w:val="16"/>
              </w:rPr>
            </w:pPr>
            <w:r w:rsidRPr="00873B6C">
              <w:rPr>
                <w:sz w:val="16"/>
                <w:szCs w:val="16"/>
              </w:rPr>
              <w:t>0003</w:t>
            </w:r>
          </w:p>
        </w:tc>
        <w:tc>
          <w:tcPr>
            <w:tcW w:w="425" w:type="dxa"/>
            <w:shd w:val="solid" w:color="FFFFFF" w:fill="auto"/>
          </w:tcPr>
          <w:p w14:paraId="7B1E802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C2692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C5DC32" w14:textId="77777777" w:rsidR="00D40151" w:rsidRPr="00873B6C" w:rsidRDefault="00D40151" w:rsidP="009D14FB">
            <w:pPr>
              <w:pStyle w:val="TAL"/>
              <w:rPr>
                <w:sz w:val="16"/>
                <w:szCs w:val="16"/>
              </w:rPr>
            </w:pPr>
            <w:r w:rsidRPr="00873B6C">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873B6C" w:rsidRDefault="00D40151" w:rsidP="009D14FB">
            <w:pPr>
              <w:pStyle w:val="TAC"/>
              <w:rPr>
                <w:sz w:val="16"/>
                <w:szCs w:val="16"/>
              </w:rPr>
            </w:pPr>
            <w:r w:rsidRPr="00873B6C">
              <w:rPr>
                <w:sz w:val="16"/>
                <w:szCs w:val="16"/>
              </w:rPr>
              <w:t>15.1.0</w:t>
            </w:r>
          </w:p>
        </w:tc>
      </w:tr>
      <w:tr w:rsidR="00D40151" w:rsidRPr="00873B6C" w14:paraId="026B0EC1" w14:textId="77777777" w:rsidTr="009D14FB">
        <w:tc>
          <w:tcPr>
            <w:tcW w:w="800" w:type="dxa"/>
            <w:shd w:val="solid" w:color="FFFFFF" w:fill="auto"/>
          </w:tcPr>
          <w:p w14:paraId="627DA1D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8B65BB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6E8840B"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311E85AB" w14:textId="77777777" w:rsidR="00D40151" w:rsidRPr="00873B6C" w:rsidRDefault="00D40151" w:rsidP="009D14FB">
            <w:pPr>
              <w:pStyle w:val="TAL"/>
              <w:rPr>
                <w:sz w:val="16"/>
                <w:szCs w:val="16"/>
              </w:rPr>
            </w:pPr>
            <w:r w:rsidRPr="00873B6C">
              <w:rPr>
                <w:sz w:val="16"/>
                <w:szCs w:val="16"/>
              </w:rPr>
              <w:t>0004</w:t>
            </w:r>
          </w:p>
        </w:tc>
        <w:tc>
          <w:tcPr>
            <w:tcW w:w="425" w:type="dxa"/>
            <w:shd w:val="solid" w:color="FFFFFF" w:fill="auto"/>
          </w:tcPr>
          <w:p w14:paraId="7AFACBA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262EFE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993F1D" w14:textId="77777777" w:rsidR="00D40151" w:rsidRPr="00873B6C" w:rsidRDefault="00D40151" w:rsidP="009D14FB">
            <w:pPr>
              <w:pStyle w:val="TAL"/>
              <w:rPr>
                <w:sz w:val="16"/>
                <w:szCs w:val="16"/>
              </w:rPr>
            </w:pPr>
            <w:r w:rsidRPr="00873B6C">
              <w:rPr>
                <w:sz w:val="16"/>
                <w:szCs w:val="16"/>
              </w:rPr>
              <w:t>Handling of MM back-off timer for N3GPP Access</w:t>
            </w:r>
          </w:p>
        </w:tc>
        <w:tc>
          <w:tcPr>
            <w:tcW w:w="708" w:type="dxa"/>
            <w:shd w:val="solid" w:color="FFFFFF" w:fill="auto"/>
          </w:tcPr>
          <w:p w14:paraId="1A17141B" w14:textId="77777777" w:rsidR="00D40151" w:rsidRPr="00873B6C" w:rsidRDefault="00D40151" w:rsidP="009D14FB">
            <w:pPr>
              <w:pStyle w:val="TAC"/>
              <w:rPr>
                <w:sz w:val="16"/>
                <w:szCs w:val="16"/>
              </w:rPr>
            </w:pPr>
            <w:r w:rsidRPr="00873B6C">
              <w:rPr>
                <w:sz w:val="16"/>
                <w:szCs w:val="16"/>
              </w:rPr>
              <w:t>15.1.0</w:t>
            </w:r>
          </w:p>
        </w:tc>
      </w:tr>
      <w:tr w:rsidR="00D40151" w:rsidRPr="00873B6C" w14:paraId="38BB555E" w14:textId="77777777" w:rsidTr="009D14FB">
        <w:tc>
          <w:tcPr>
            <w:tcW w:w="800" w:type="dxa"/>
            <w:shd w:val="solid" w:color="FFFFFF" w:fill="auto"/>
          </w:tcPr>
          <w:p w14:paraId="6021A56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5D34F7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69C5A0E"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7378C0D" w14:textId="77777777" w:rsidR="00D40151" w:rsidRPr="00873B6C" w:rsidRDefault="00D40151" w:rsidP="009D14FB">
            <w:pPr>
              <w:pStyle w:val="TAL"/>
              <w:rPr>
                <w:sz w:val="16"/>
                <w:szCs w:val="16"/>
              </w:rPr>
            </w:pPr>
            <w:r w:rsidRPr="00873B6C">
              <w:rPr>
                <w:sz w:val="16"/>
                <w:szCs w:val="16"/>
              </w:rPr>
              <w:t>0005</w:t>
            </w:r>
          </w:p>
        </w:tc>
        <w:tc>
          <w:tcPr>
            <w:tcW w:w="425" w:type="dxa"/>
            <w:shd w:val="solid" w:color="FFFFFF" w:fill="auto"/>
          </w:tcPr>
          <w:p w14:paraId="790494B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FC9B0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7B98FD" w14:textId="77777777" w:rsidR="00D40151" w:rsidRPr="00873B6C" w:rsidRDefault="00D40151" w:rsidP="009D14FB">
            <w:pPr>
              <w:pStyle w:val="TAL"/>
              <w:rPr>
                <w:sz w:val="16"/>
                <w:szCs w:val="16"/>
              </w:rPr>
            </w:pPr>
            <w:r w:rsidRPr="00873B6C">
              <w:rPr>
                <w:sz w:val="16"/>
                <w:szCs w:val="16"/>
              </w:rPr>
              <w:t>Correction of the definitions of Allowed NSSAI and Configured NSSAI</w:t>
            </w:r>
          </w:p>
        </w:tc>
        <w:tc>
          <w:tcPr>
            <w:tcW w:w="708" w:type="dxa"/>
            <w:shd w:val="solid" w:color="FFFFFF" w:fill="auto"/>
          </w:tcPr>
          <w:p w14:paraId="1BA8E08E" w14:textId="77777777" w:rsidR="00D40151" w:rsidRPr="00873B6C" w:rsidRDefault="00D40151" w:rsidP="009D14FB">
            <w:pPr>
              <w:pStyle w:val="TAC"/>
              <w:rPr>
                <w:sz w:val="16"/>
                <w:szCs w:val="16"/>
              </w:rPr>
            </w:pPr>
            <w:r w:rsidRPr="00873B6C">
              <w:rPr>
                <w:sz w:val="16"/>
                <w:szCs w:val="16"/>
              </w:rPr>
              <w:t>15.1.0</w:t>
            </w:r>
          </w:p>
        </w:tc>
      </w:tr>
      <w:tr w:rsidR="00D40151" w:rsidRPr="00873B6C" w14:paraId="2E63E11F" w14:textId="77777777" w:rsidTr="009D14FB">
        <w:tc>
          <w:tcPr>
            <w:tcW w:w="800" w:type="dxa"/>
            <w:shd w:val="solid" w:color="FFFFFF" w:fill="auto"/>
          </w:tcPr>
          <w:p w14:paraId="05C6D05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7326CB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482B381"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452D26B7" w14:textId="77777777" w:rsidR="00D40151" w:rsidRPr="00873B6C" w:rsidRDefault="00D40151" w:rsidP="009D14FB">
            <w:pPr>
              <w:pStyle w:val="TAL"/>
              <w:rPr>
                <w:sz w:val="16"/>
                <w:szCs w:val="16"/>
              </w:rPr>
            </w:pPr>
            <w:r w:rsidRPr="00873B6C">
              <w:rPr>
                <w:sz w:val="16"/>
                <w:szCs w:val="16"/>
              </w:rPr>
              <w:t>0006</w:t>
            </w:r>
          </w:p>
        </w:tc>
        <w:tc>
          <w:tcPr>
            <w:tcW w:w="425" w:type="dxa"/>
            <w:shd w:val="solid" w:color="FFFFFF" w:fill="auto"/>
          </w:tcPr>
          <w:p w14:paraId="703325ED"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542E1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C13FA4" w14:textId="77777777" w:rsidR="00D40151" w:rsidRPr="00873B6C" w:rsidRDefault="00D40151" w:rsidP="009D14FB">
            <w:pPr>
              <w:pStyle w:val="TAL"/>
              <w:rPr>
                <w:sz w:val="16"/>
                <w:szCs w:val="16"/>
              </w:rPr>
            </w:pPr>
            <w:r w:rsidRPr="00873B6C">
              <w:rPr>
                <w:sz w:val="16"/>
                <w:szCs w:val="16"/>
              </w:rPr>
              <w:t>Allowed NSSAI and Access Type</w:t>
            </w:r>
          </w:p>
        </w:tc>
        <w:tc>
          <w:tcPr>
            <w:tcW w:w="708" w:type="dxa"/>
            <w:shd w:val="solid" w:color="FFFFFF" w:fill="auto"/>
          </w:tcPr>
          <w:p w14:paraId="0DB330CD" w14:textId="77777777" w:rsidR="00D40151" w:rsidRPr="00873B6C" w:rsidRDefault="00D40151" w:rsidP="009D14FB">
            <w:pPr>
              <w:pStyle w:val="TAC"/>
              <w:rPr>
                <w:sz w:val="16"/>
                <w:szCs w:val="16"/>
              </w:rPr>
            </w:pPr>
            <w:r w:rsidRPr="00873B6C">
              <w:rPr>
                <w:sz w:val="16"/>
                <w:szCs w:val="16"/>
              </w:rPr>
              <w:t>15.1.0</w:t>
            </w:r>
          </w:p>
        </w:tc>
      </w:tr>
      <w:tr w:rsidR="00D40151" w:rsidRPr="00873B6C" w14:paraId="4E6AFF00" w14:textId="77777777" w:rsidTr="009D14FB">
        <w:tc>
          <w:tcPr>
            <w:tcW w:w="800" w:type="dxa"/>
            <w:shd w:val="solid" w:color="FFFFFF" w:fill="auto"/>
          </w:tcPr>
          <w:p w14:paraId="48C0220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DE6302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2D0FD56"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3693B18C" w14:textId="77777777" w:rsidR="00D40151" w:rsidRPr="00873B6C" w:rsidRDefault="00D40151" w:rsidP="009D14FB">
            <w:pPr>
              <w:pStyle w:val="TAL"/>
              <w:rPr>
                <w:sz w:val="16"/>
                <w:szCs w:val="16"/>
              </w:rPr>
            </w:pPr>
            <w:r w:rsidRPr="00873B6C">
              <w:rPr>
                <w:sz w:val="16"/>
                <w:szCs w:val="16"/>
              </w:rPr>
              <w:t>0007</w:t>
            </w:r>
          </w:p>
        </w:tc>
        <w:tc>
          <w:tcPr>
            <w:tcW w:w="425" w:type="dxa"/>
            <w:shd w:val="solid" w:color="FFFFFF" w:fill="auto"/>
          </w:tcPr>
          <w:p w14:paraId="5B0F118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C1FBDA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BAD109" w14:textId="77777777" w:rsidR="00D40151" w:rsidRPr="00873B6C" w:rsidRDefault="00D40151" w:rsidP="009D14FB">
            <w:pPr>
              <w:pStyle w:val="TAL"/>
              <w:rPr>
                <w:sz w:val="16"/>
                <w:szCs w:val="16"/>
              </w:rPr>
            </w:pPr>
            <w:r w:rsidRPr="00873B6C">
              <w:rPr>
                <w:sz w:val="16"/>
                <w:szCs w:val="16"/>
              </w:rPr>
              <w:t>Correction to rejected S-NSSAI</w:t>
            </w:r>
          </w:p>
        </w:tc>
        <w:tc>
          <w:tcPr>
            <w:tcW w:w="708" w:type="dxa"/>
            <w:shd w:val="solid" w:color="FFFFFF" w:fill="auto"/>
          </w:tcPr>
          <w:p w14:paraId="51F2105F" w14:textId="77777777" w:rsidR="00D40151" w:rsidRPr="00873B6C" w:rsidRDefault="00D40151" w:rsidP="009D14FB">
            <w:pPr>
              <w:pStyle w:val="TAC"/>
              <w:rPr>
                <w:sz w:val="16"/>
                <w:szCs w:val="16"/>
              </w:rPr>
            </w:pPr>
            <w:r w:rsidRPr="00873B6C">
              <w:rPr>
                <w:sz w:val="16"/>
                <w:szCs w:val="16"/>
              </w:rPr>
              <w:t>15.1.0</w:t>
            </w:r>
          </w:p>
        </w:tc>
      </w:tr>
      <w:tr w:rsidR="00D40151" w:rsidRPr="00873B6C" w14:paraId="30178757" w14:textId="77777777" w:rsidTr="009D14FB">
        <w:tc>
          <w:tcPr>
            <w:tcW w:w="800" w:type="dxa"/>
            <w:shd w:val="solid" w:color="FFFFFF" w:fill="auto"/>
          </w:tcPr>
          <w:p w14:paraId="79C591D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B77F19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37B1E38"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15431C51" w14:textId="77777777" w:rsidR="00D40151" w:rsidRPr="00873B6C" w:rsidRDefault="00D40151" w:rsidP="009D14FB">
            <w:pPr>
              <w:pStyle w:val="TAL"/>
              <w:rPr>
                <w:sz w:val="16"/>
                <w:szCs w:val="16"/>
              </w:rPr>
            </w:pPr>
            <w:r w:rsidRPr="00873B6C">
              <w:rPr>
                <w:sz w:val="16"/>
                <w:szCs w:val="16"/>
              </w:rPr>
              <w:t>0008</w:t>
            </w:r>
          </w:p>
        </w:tc>
        <w:tc>
          <w:tcPr>
            <w:tcW w:w="425" w:type="dxa"/>
            <w:shd w:val="solid" w:color="FFFFFF" w:fill="auto"/>
          </w:tcPr>
          <w:p w14:paraId="4AA21E5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8723A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31C33A" w14:textId="77777777" w:rsidR="00D40151" w:rsidRPr="00873B6C" w:rsidRDefault="00D40151" w:rsidP="009D14FB">
            <w:pPr>
              <w:pStyle w:val="TAL"/>
              <w:rPr>
                <w:sz w:val="16"/>
                <w:szCs w:val="16"/>
              </w:rPr>
            </w:pPr>
            <w:r w:rsidRPr="00873B6C">
              <w:rPr>
                <w:sz w:val="16"/>
                <w:szCs w:val="16"/>
              </w:rPr>
              <w:t>Corrections to Emergency Services</w:t>
            </w:r>
          </w:p>
        </w:tc>
        <w:tc>
          <w:tcPr>
            <w:tcW w:w="708" w:type="dxa"/>
            <w:shd w:val="solid" w:color="FFFFFF" w:fill="auto"/>
          </w:tcPr>
          <w:p w14:paraId="4D1B6C53" w14:textId="77777777" w:rsidR="00D40151" w:rsidRPr="00873B6C" w:rsidRDefault="00D40151" w:rsidP="009D14FB">
            <w:pPr>
              <w:pStyle w:val="TAC"/>
              <w:rPr>
                <w:sz w:val="16"/>
                <w:szCs w:val="16"/>
              </w:rPr>
            </w:pPr>
            <w:r w:rsidRPr="00873B6C">
              <w:rPr>
                <w:sz w:val="16"/>
                <w:szCs w:val="16"/>
              </w:rPr>
              <w:t>15.1.0</w:t>
            </w:r>
          </w:p>
        </w:tc>
      </w:tr>
      <w:tr w:rsidR="00D40151" w:rsidRPr="00873B6C" w14:paraId="7507F242" w14:textId="77777777" w:rsidTr="009D14FB">
        <w:tc>
          <w:tcPr>
            <w:tcW w:w="800" w:type="dxa"/>
            <w:shd w:val="solid" w:color="FFFFFF" w:fill="auto"/>
          </w:tcPr>
          <w:p w14:paraId="11AFF09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5AEB95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B08ED36" w14:textId="77777777" w:rsidR="00D40151" w:rsidRPr="00873B6C" w:rsidRDefault="00D40151" w:rsidP="009D14FB">
            <w:pPr>
              <w:pStyle w:val="TAC"/>
              <w:rPr>
                <w:sz w:val="16"/>
                <w:szCs w:val="16"/>
              </w:rPr>
            </w:pPr>
            <w:r w:rsidRPr="00873B6C">
              <w:rPr>
                <w:sz w:val="16"/>
                <w:szCs w:val="16"/>
              </w:rPr>
              <w:t>SP-180096</w:t>
            </w:r>
          </w:p>
        </w:tc>
        <w:tc>
          <w:tcPr>
            <w:tcW w:w="567" w:type="dxa"/>
            <w:shd w:val="solid" w:color="FFFFFF" w:fill="auto"/>
          </w:tcPr>
          <w:p w14:paraId="608109B5" w14:textId="77777777" w:rsidR="00D40151" w:rsidRPr="00873B6C" w:rsidRDefault="00D40151" w:rsidP="009D14FB">
            <w:pPr>
              <w:pStyle w:val="TAL"/>
              <w:rPr>
                <w:sz w:val="16"/>
                <w:szCs w:val="16"/>
              </w:rPr>
            </w:pPr>
            <w:r w:rsidRPr="00873B6C">
              <w:rPr>
                <w:sz w:val="16"/>
                <w:szCs w:val="16"/>
              </w:rPr>
              <w:t>0009</w:t>
            </w:r>
          </w:p>
        </w:tc>
        <w:tc>
          <w:tcPr>
            <w:tcW w:w="425" w:type="dxa"/>
            <w:shd w:val="solid" w:color="FFFFFF" w:fill="auto"/>
          </w:tcPr>
          <w:p w14:paraId="515E3D7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76900D5"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0251B5DD" w14:textId="77777777" w:rsidR="00D40151" w:rsidRPr="00873B6C" w:rsidRDefault="00D40151" w:rsidP="009D14FB">
            <w:pPr>
              <w:pStyle w:val="TAL"/>
              <w:rPr>
                <w:sz w:val="16"/>
                <w:szCs w:val="16"/>
              </w:rPr>
            </w:pPr>
            <w:r w:rsidRPr="00873B6C">
              <w:rPr>
                <w:sz w:val="16"/>
                <w:szCs w:val="16"/>
              </w:rPr>
              <w:t>Clarification of SUCI</w:t>
            </w:r>
          </w:p>
        </w:tc>
        <w:tc>
          <w:tcPr>
            <w:tcW w:w="708" w:type="dxa"/>
            <w:shd w:val="solid" w:color="FFFFFF" w:fill="auto"/>
          </w:tcPr>
          <w:p w14:paraId="13BA8188" w14:textId="77777777" w:rsidR="00D40151" w:rsidRPr="00873B6C" w:rsidRDefault="00D40151" w:rsidP="009D14FB">
            <w:pPr>
              <w:pStyle w:val="TAC"/>
              <w:rPr>
                <w:sz w:val="16"/>
                <w:szCs w:val="16"/>
              </w:rPr>
            </w:pPr>
            <w:r w:rsidRPr="00873B6C">
              <w:rPr>
                <w:sz w:val="16"/>
                <w:szCs w:val="16"/>
              </w:rPr>
              <w:t>15.1.0</w:t>
            </w:r>
          </w:p>
        </w:tc>
      </w:tr>
      <w:tr w:rsidR="00D40151" w:rsidRPr="00873B6C" w14:paraId="2BA58C30" w14:textId="77777777" w:rsidTr="009D14FB">
        <w:tc>
          <w:tcPr>
            <w:tcW w:w="800" w:type="dxa"/>
            <w:shd w:val="solid" w:color="FFFFFF" w:fill="auto"/>
          </w:tcPr>
          <w:p w14:paraId="4CE5B32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315DB3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887D235" w14:textId="77777777" w:rsidR="00D40151" w:rsidRPr="00873B6C" w:rsidRDefault="00D40151" w:rsidP="009D14FB">
            <w:pPr>
              <w:pStyle w:val="TAC"/>
              <w:rPr>
                <w:sz w:val="16"/>
                <w:szCs w:val="16"/>
              </w:rPr>
            </w:pPr>
            <w:r w:rsidRPr="00873B6C">
              <w:rPr>
                <w:sz w:val="16"/>
                <w:szCs w:val="16"/>
              </w:rPr>
              <w:t>SP-180096</w:t>
            </w:r>
          </w:p>
        </w:tc>
        <w:tc>
          <w:tcPr>
            <w:tcW w:w="567" w:type="dxa"/>
            <w:shd w:val="solid" w:color="FFFFFF" w:fill="auto"/>
          </w:tcPr>
          <w:p w14:paraId="2D97ED15" w14:textId="77777777" w:rsidR="00D40151" w:rsidRPr="00873B6C" w:rsidRDefault="00D40151" w:rsidP="009D14FB">
            <w:pPr>
              <w:pStyle w:val="TAL"/>
              <w:rPr>
                <w:sz w:val="16"/>
                <w:szCs w:val="16"/>
              </w:rPr>
            </w:pPr>
            <w:r w:rsidRPr="00873B6C">
              <w:rPr>
                <w:sz w:val="16"/>
                <w:szCs w:val="16"/>
              </w:rPr>
              <w:t>0010</w:t>
            </w:r>
          </w:p>
        </w:tc>
        <w:tc>
          <w:tcPr>
            <w:tcW w:w="425" w:type="dxa"/>
            <w:shd w:val="solid" w:color="FFFFFF" w:fill="auto"/>
          </w:tcPr>
          <w:p w14:paraId="386F107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7D6F31B"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2C3918CB" w14:textId="77777777" w:rsidR="00D40151" w:rsidRPr="00873B6C" w:rsidRDefault="00D40151" w:rsidP="009D14FB">
            <w:pPr>
              <w:pStyle w:val="TAL"/>
              <w:rPr>
                <w:sz w:val="16"/>
                <w:szCs w:val="16"/>
              </w:rPr>
            </w:pPr>
            <w:r w:rsidRPr="00873B6C">
              <w:rPr>
                <w:sz w:val="16"/>
                <w:szCs w:val="16"/>
              </w:rPr>
              <w:t>Miscellaneous editorial corrections (capitalization, messages, procedures etc.)</w:t>
            </w:r>
          </w:p>
        </w:tc>
        <w:tc>
          <w:tcPr>
            <w:tcW w:w="708" w:type="dxa"/>
            <w:shd w:val="solid" w:color="FFFFFF" w:fill="auto"/>
          </w:tcPr>
          <w:p w14:paraId="2578F040" w14:textId="77777777" w:rsidR="00D40151" w:rsidRPr="00873B6C" w:rsidRDefault="00D40151" w:rsidP="009D14FB">
            <w:pPr>
              <w:pStyle w:val="TAC"/>
              <w:rPr>
                <w:sz w:val="16"/>
                <w:szCs w:val="16"/>
              </w:rPr>
            </w:pPr>
            <w:r w:rsidRPr="00873B6C">
              <w:rPr>
                <w:sz w:val="16"/>
                <w:szCs w:val="16"/>
              </w:rPr>
              <w:t>15.1.0</w:t>
            </w:r>
          </w:p>
        </w:tc>
      </w:tr>
      <w:tr w:rsidR="00D40151" w:rsidRPr="00873B6C" w14:paraId="1D54CC45" w14:textId="77777777" w:rsidTr="009D14FB">
        <w:tc>
          <w:tcPr>
            <w:tcW w:w="800" w:type="dxa"/>
            <w:shd w:val="solid" w:color="FFFFFF" w:fill="auto"/>
          </w:tcPr>
          <w:p w14:paraId="08FFC51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399B7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80CF07A"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3725B88" w14:textId="77777777" w:rsidR="00D40151" w:rsidRPr="00873B6C" w:rsidRDefault="00D40151" w:rsidP="009D14FB">
            <w:pPr>
              <w:pStyle w:val="TAL"/>
              <w:rPr>
                <w:sz w:val="16"/>
                <w:szCs w:val="16"/>
              </w:rPr>
            </w:pPr>
            <w:r w:rsidRPr="00873B6C">
              <w:rPr>
                <w:sz w:val="16"/>
                <w:szCs w:val="16"/>
              </w:rPr>
              <w:t>0011</w:t>
            </w:r>
          </w:p>
        </w:tc>
        <w:tc>
          <w:tcPr>
            <w:tcW w:w="425" w:type="dxa"/>
            <w:shd w:val="solid" w:color="FFFFFF" w:fill="auto"/>
          </w:tcPr>
          <w:p w14:paraId="552E106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33808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A707BE" w14:textId="77777777" w:rsidR="00D40151" w:rsidRPr="00873B6C" w:rsidRDefault="00D40151" w:rsidP="009D14FB">
            <w:pPr>
              <w:pStyle w:val="TAL"/>
              <w:rPr>
                <w:sz w:val="16"/>
                <w:szCs w:val="16"/>
              </w:rPr>
            </w:pPr>
            <w:r w:rsidRPr="00873B6C">
              <w:rPr>
                <w:sz w:val="16"/>
                <w:szCs w:val="16"/>
              </w:rPr>
              <w:t>Corrections to RQoS logic when receiving DL packet with RQI</w:t>
            </w:r>
          </w:p>
        </w:tc>
        <w:tc>
          <w:tcPr>
            <w:tcW w:w="708" w:type="dxa"/>
            <w:shd w:val="solid" w:color="FFFFFF" w:fill="auto"/>
          </w:tcPr>
          <w:p w14:paraId="5DE10A4B" w14:textId="77777777" w:rsidR="00D40151" w:rsidRPr="00873B6C" w:rsidRDefault="00D40151" w:rsidP="009D14FB">
            <w:pPr>
              <w:pStyle w:val="TAC"/>
              <w:rPr>
                <w:sz w:val="16"/>
                <w:szCs w:val="16"/>
              </w:rPr>
            </w:pPr>
            <w:r w:rsidRPr="00873B6C">
              <w:rPr>
                <w:sz w:val="16"/>
                <w:szCs w:val="16"/>
              </w:rPr>
              <w:t>15.1.0</w:t>
            </w:r>
          </w:p>
        </w:tc>
      </w:tr>
      <w:tr w:rsidR="00D40151" w:rsidRPr="00873B6C" w14:paraId="5B41157E" w14:textId="77777777" w:rsidTr="009D14FB">
        <w:tc>
          <w:tcPr>
            <w:tcW w:w="800" w:type="dxa"/>
            <w:shd w:val="solid" w:color="FFFFFF" w:fill="auto"/>
          </w:tcPr>
          <w:p w14:paraId="592D318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5D3012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AE03CEF"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78EA220" w14:textId="77777777" w:rsidR="00D40151" w:rsidRPr="00873B6C" w:rsidRDefault="00D40151" w:rsidP="009D14FB">
            <w:pPr>
              <w:pStyle w:val="TAL"/>
              <w:rPr>
                <w:sz w:val="16"/>
                <w:szCs w:val="16"/>
              </w:rPr>
            </w:pPr>
            <w:r w:rsidRPr="00873B6C">
              <w:rPr>
                <w:sz w:val="16"/>
                <w:szCs w:val="16"/>
              </w:rPr>
              <w:t>0013</w:t>
            </w:r>
          </w:p>
        </w:tc>
        <w:tc>
          <w:tcPr>
            <w:tcW w:w="425" w:type="dxa"/>
            <w:shd w:val="solid" w:color="FFFFFF" w:fill="auto"/>
          </w:tcPr>
          <w:p w14:paraId="05EE5E8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4AC02C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F47C6A" w14:textId="77777777" w:rsidR="00D40151" w:rsidRPr="00873B6C" w:rsidRDefault="00D40151" w:rsidP="009D14FB">
            <w:pPr>
              <w:pStyle w:val="TAL"/>
              <w:rPr>
                <w:sz w:val="16"/>
                <w:szCs w:val="16"/>
              </w:rPr>
            </w:pPr>
            <w:r w:rsidRPr="00873B6C">
              <w:rPr>
                <w:sz w:val="16"/>
                <w:szCs w:val="16"/>
              </w:rPr>
              <w:t>Paging Policy Differentiation correction</w:t>
            </w:r>
          </w:p>
        </w:tc>
        <w:tc>
          <w:tcPr>
            <w:tcW w:w="708" w:type="dxa"/>
            <w:shd w:val="solid" w:color="FFFFFF" w:fill="auto"/>
          </w:tcPr>
          <w:p w14:paraId="3F55D7B5" w14:textId="77777777" w:rsidR="00D40151" w:rsidRPr="00873B6C" w:rsidRDefault="00D40151" w:rsidP="009D14FB">
            <w:pPr>
              <w:pStyle w:val="TAC"/>
              <w:rPr>
                <w:sz w:val="16"/>
                <w:szCs w:val="16"/>
              </w:rPr>
            </w:pPr>
            <w:r w:rsidRPr="00873B6C">
              <w:rPr>
                <w:sz w:val="16"/>
                <w:szCs w:val="16"/>
              </w:rPr>
              <w:t>15.1.0</w:t>
            </w:r>
          </w:p>
        </w:tc>
      </w:tr>
      <w:tr w:rsidR="00D40151" w:rsidRPr="00873B6C" w14:paraId="3709F8C1" w14:textId="77777777" w:rsidTr="009D14FB">
        <w:tc>
          <w:tcPr>
            <w:tcW w:w="800" w:type="dxa"/>
            <w:shd w:val="solid" w:color="FFFFFF" w:fill="auto"/>
          </w:tcPr>
          <w:p w14:paraId="6AE25B5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8D6E6E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7652514"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3E4C3F17" w14:textId="77777777" w:rsidR="00D40151" w:rsidRPr="00873B6C" w:rsidRDefault="00D40151" w:rsidP="009D14FB">
            <w:pPr>
              <w:pStyle w:val="TAL"/>
              <w:rPr>
                <w:sz w:val="16"/>
                <w:szCs w:val="16"/>
              </w:rPr>
            </w:pPr>
            <w:r w:rsidRPr="00873B6C">
              <w:rPr>
                <w:sz w:val="16"/>
                <w:szCs w:val="16"/>
              </w:rPr>
              <w:t>0014</w:t>
            </w:r>
          </w:p>
        </w:tc>
        <w:tc>
          <w:tcPr>
            <w:tcW w:w="425" w:type="dxa"/>
            <w:shd w:val="solid" w:color="FFFFFF" w:fill="auto"/>
          </w:tcPr>
          <w:p w14:paraId="0E1D327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126DD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FEB853" w14:textId="77777777" w:rsidR="00D40151" w:rsidRPr="00873B6C" w:rsidRDefault="00D40151" w:rsidP="009D14FB">
            <w:pPr>
              <w:pStyle w:val="TAL"/>
              <w:rPr>
                <w:sz w:val="16"/>
                <w:szCs w:val="16"/>
              </w:rPr>
            </w:pPr>
            <w:r w:rsidRPr="00873B6C">
              <w:rPr>
                <w:sz w:val="16"/>
                <w:szCs w:val="16"/>
              </w:rPr>
              <w:t>Clarification on UE specific DRX parameter from old AMF to new AMF</w:t>
            </w:r>
          </w:p>
        </w:tc>
        <w:tc>
          <w:tcPr>
            <w:tcW w:w="708" w:type="dxa"/>
            <w:shd w:val="solid" w:color="FFFFFF" w:fill="auto"/>
          </w:tcPr>
          <w:p w14:paraId="38F20080" w14:textId="77777777" w:rsidR="00D40151" w:rsidRPr="00873B6C" w:rsidRDefault="00D40151" w:rsidP="009D14FB">
            <w:pPr>
              <w:pStyle w:val="TAC"/>
              <w:rPr>
                <w:sz w:val="16"/>
                <w:szCs w:val="16"/>
              </w:rPr>
            </w:pPr>
            <w:r w:rsidRPr="00873B6C">
              <w:rPr>
                <w:sz w:val="16"/>
                <w:szCs w:val="16"/>
              </w:rPr>
              <w:t>15.1.0</w:t>
            </w:r>
          </w:p>
        </w:tc>
      </w:tr>
      <w:tr w:rsidR="00D40151" w:rsidRPr="00873B6C" w14:paraId="5C5EEC45" w14:textId="77777777" w:rsidTr="009D14FB">
        <w:tc>
          <w:tcPr>
            <w:tcW w:w="800" w:type="dxa"/>
            <w:shd w:val="solid" w:color="FFFFFF" w:fill="auto"/>
          </w:tcPr>
          <w:p w14:paraId="1498DE2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7904AE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5973321"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149121FA" w14:textId="77777777" w:rsidR="00D40151" w:rsidRPr="00873B6C" w:rsidRDefault="00D40151" w:rsidP="009D14FB">
            <w:pPr>
              <w:pStyle w:val="TAL"/>
              <w:rPr>
                <w:sz w:val="16"/>
                <w:szCs w:val="16"/>
              </w:rPr>
            </w:pPr>
            <w:r w:rsidRPr="00873B6C">
              <w:rPr>
                <w:sz w:val="16"/>
                <w:szCs w:val="16"/>
              </w:rPr>
              <w:t>0015</w:t>
            </w:r>
          </w:p>
        </w:tc>
        <w:tc>
          <w:tcPr>
            <w:tcW w:w="425" w:type="dxa"/>
            <w:shd w:val="solid" w:color="FFFFFF" w:fill="auto"/>
          </w:tcPr>
          <w:p w14:paraId="1ED1350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AEB689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19358A" w14:textId="77777777" w:rsidR="00D40151" w:rsidRPr="00873B6C" w:rsidRDefault="00D40151" w:rsidP="009D14FB">
            <w:pPr>
              <w:pStyle w:val="TAL"/>
              <w:rPr>
                <w:sz w:val="16"/>
                <w:szCs w:val="16"/>
              </w:rPr>
            </w:pPr>
            <w:r w:rsidRPr="00873B6C">
              <w:rPr>
                <w:sz w:val="16"/>
                <w:szCs w:val="16"/>
              </w:rPr>
              <w:t>Clarification on PCF selection</w:t>
            </w:r>
          </w:p>
        </w:tc>
        <w:tc>
          <w:tcPr>
            <w:tcW w:w="708" w:type="dxa"/>
            <w:shd w:val="solid" w:color="FFFFFF" w:fill="auto"/>
          </w:tcPr>
          <w:p w14:paraId="2627B531" w14:textId="77777777" w:rsidR="00D40151" w:rsidRPr="00873B6C" w:rsidRDefault="00D40151" w:rsidP="009D14FB">
            <w:pPr>
              <w:pStyle w:val="TAC"/>
              <w:rPr>
                <w:sz w:val="16"/>
                <w:szCs w:val="16"/>
              </w:rPr>
            </w:pPr>
            <w:r w:rsidRPr="00873B6C">
              <w:rPr>
                <w:sz w:val="16"/>
                <w:szCs w:val="16"/>
              </w:rPr>
              <w:t>15.1.0</w:t>
            </w:r>
          </w:p>
        </w:tc>
      </w:tr>
      <w:tr w:rsidR="00D40151" w:rsidRPr="00873B6C" w14:paraId="2C9D4A58" w14:textId="77777777" w:rsidTr="009D14FB">
        <w:tc>
          <w:tcPr>
            <w:tcW w:w="800" w:type="dxa"/>
            <w:shd w:val="solid" w:color="FFFFFF" w:fill="auto"/>
          </w:tcPr>
          <w:p w14:paraId="409AFA3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47EFAF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66D7791" w14:textId="77777777" w:rsidR="00D40151" w:rsidRPr="00873B6C" w:rsidRDefault="00D40151" w:rsidP="009D14FB">
            <w:pPr>
              <w:pStyle w:val="TAC"/>
              <w:rPr>
                <w:sz w:val="16"/>
                <w:szCs w:val="16"/>
              </w:rPr>
            </w:pPr>
            <w:r w:rsidRPr="00873B6C">
              <w:rPr>
                <w:sz w:val="16"/>
                <w:szCs w:val="16"/>
              </w:rPr>
              <w:t>SP-180093</w:t>
            </w:r>
          </w:p>
        </w:tc>
        <w:tc>
          <w:tcPr>
            <w:tcW w:w="567" w:type="dxa"/>
            <w:shd w:val="solid" w:color="FFFFFF" w:fill="auto"/>
          </w:tcPr>
          <w:p w14:paraId="1090E03A" w14:textId="77777777" w:rsidR="00D40151" w:rsidRPr="00873B6C" w:rsidRDefault="00D40151" w:rsidP="009D14FB">
            <w:pPr>
              <w:pStyle w:val="TAL"/>
              <w:rPr>
                <w:sz w:val="16"/>
                <w:szCs w:val="16"/>
              </w:rPr>
            </w:pPr>
            <w:r w:rsidRPr="00873B6C">
              <w:rPr>
                <w:sz w:val="16"/>
                <w:szCs w:val="16"/>
              </w:rPr>
              <w:t>0016</w:t>
            </w:r>
          </w:p>
        </w:tc>
        <w:tc>
          <w:tcPr>
            <w:tcW w:w="425" w:type="dxa"/>
            <w:shd w:val="solid" w:color="FFFFFF" w:fill="auto"/>
          </w:tcPr>
          <w:p w14:paraId="20F6CFC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78E2D2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664665" w14:textId="77777777" w:rsidR="00D40151" w:rsidRPr="00873B6C" w:rsidRDefault="00D40151" w:rsidP="009D14FB">
            <w:pPr>
              <w:pStyle w:val="TAL"/>
              <w:rPr>
                <w:sz w:val="16"/>
                <w:szCs w:val="16"/>
              </w:rPr>
            </w:pPr>
            <w:r w:rsidRPr="00873B6C">
              <w:rPr>
                <w:sz w:val="16"/>
                <w:szCs w:val="16"/>
              </w:rPr>
              <w:t>Adding the new clause about SMSF selection</w:t>
            </w:r>
          </w:p>
        </w:tc>
        <w:tc>
          <w:tcPr>
            <w:tcW w:w="708" w:type="dxa"/>
            <w:shd w:val="solid" w:color="FFFFFF" w:fill="auto"/>
          </w:tcPr>
          <w:p w14:paraId="42A770C0" w14:textId="77777777" w:rsidR="00D40151" w:rsidRPr="00873B6C" w:rsidRDefault="00D40151" w:rsidP="009D14FB">
            <w:pPr>
              <w:pStyle w:val="TAC"/>
              <w:rPr>
                <w:sz w:val="16"/>
                <w:szCs w:val="16"/>
              </w:rPr>
            </w:pPr>
            <w:r w:rsidRPr="00873B6C">
              <w:rPr>
                <w:sz w:val="16"/>
                <w:szCs w:val="16"/>
              </w:rPr>
              <w:t>15.1.0</w:t>
            </w:r>
          </w:p>
        </w:tc>
      </w:tr>
      <w:tr w:rsidR="00D40151" w:rsidRPr="00873B6C" w14:paraId="4BD2F021" w14:textId="77777777" w:rsidTr="009D14FB">
        <w:tc>
          <w:tcPr>
            <w:tcW w:w="800" w:type="dxa"/>
            <w:shd w:val="solid" w:color="FFFFFF" w:fill="auto"/>
          </w:tcPr>
          <w:p w14:paraId="2939EE9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E82911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204D35B"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6E2D2625" w14:textId="77777777" w:rsidR="00D40151" w:rsidRPr="00873B6C" w:rsidRDefault="00D40151" w:rsidP="009D14FB">
            <w:pPr>
              <w:pStyle w:val="TAL"/>
              <w:rPr>
                <w:sz w:val="16"/>
                <w:szCs w:val="16"/>
              </w:rPr>
            </w:pPr>
            <w:r w:rsidRPr="00873B6C">
              <w:rPr>
                <w:sz w:val="16"/>
                <w:szCs w:val="16"/>
              </w:rPr>
              <w:t>0017</w:t>
            </w:r>
          </w:p>
        </w:tc>
        <w:tc>
          <w:tcPr>
            <w:tcW w:w="425" w:type="dxa"/>
            <w:shd w:val="solid" w:color="FFFFFF" w:fill="auto"/>
          </w:tcPr>
          <w:p w14:paraId="551D3C5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A0F32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9E052E" w14:textId="77777777" w:rsidR="00D40151" w:rsidRPr="00873B6C" w:rsidRDefault="00D40151" w:rsidP="009D14FB">
            <w:pPr>
              <w:pStyle w:val="TAL"/>
              <w:rPr>
                <w:sz w:val="16"/>
                <w:szCs w:val="16"/>
              </w:rPr>
            </w:pPr>
            <w:r w:rsidRPr="00873B6C">
              <w:rPr>
                <w:sz w:val="16"/>
                <w:szCs w:val="16"/>
              </w:rPr>
              <w:t>Use of identifiers for mobility between GERAN/UTRAN and 5GS</w:t>
            </w:r>
          </w:p>
        </w:tc>
        <w:tc>
          <w:tcPr>
            <w:tcW w:w="708" w:type="dxa"/>
            <w:shd w:val="solid" w:color="FFFFFF" w:fill="auto"/>
          </w:tcPr>
          <w:p w14:paraId="0339648C" w14:textId="77777777" w:rsidR="00D40151" w:rsidRPr="00873B6C" w:rsidRDefault="00D40151" w:rsidP="009D14FB">
            <w:pPr>
              <w:pStyle w:val="TAC"/>
              <w:rPr>
                <w:sz w:val="16"/>
                <w:szCs w:val="16"/>
              </w:rPr>
            </w:pPr>
            <w:r w:rsidRPr="00873B6C">
              <w:rPr>
                <w:sz w:val="16"/>
                <w:szCs w:val="16"/>
              </w:rPr>
              <w:t>15.1.0</w:t>
            </w:r>
          </w:p>
        </w:tc>
      </w:tr>
      <w:tr w:rsidR="00D40151" w:rsidRPr="00873B6C" w14:paraId="1EFC0673" w14:textId="77777777" w:rsidTr="009D14FB">
        <w:tc>
          <w:tcPr>
            <w:tcW w:w="800" w:type="dxa"/>
            <w:shd w:val="solid" w:color="FFFFFF" w:fill="auto"/>
          </w:tcPr>
          <w:p w14:paraId="7653055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A00A74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61D61EC"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2042777F" w14:textId="77777777" w:rsidR="00D40151" w:rsidRPr="00873B6C" w:rsidRDefault="00D40151" w:rsidP="009D14FB">
            <w:pPr>
              <w:pStyle w:val="TAL"/>
              <w:rPr>
                <w:sz w:val="16"/>
                <w:szCs w:val="16"/>
              </w:rPr>
            </w:pPr>
            <w:r w:rsidRPr="00873B6C">
              <w:rPr>
                <w:sz w:val="16"/>
                <w:szCs w:val="16"/>
              </w:rPr>
              <w:t>0018</w:t>
            </w:r>
          </w:p>
        </w:tc>
        <w:tc>
          <w:tcPr>
            <w:tcW w:w="425" w:type="dxa"/>
            <w:shd w:val="solid" w:color="FFFFFF" w:fill="auto"/>
          </w:tcPr>
          <w:p w14:paraId="30EF180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F79BD0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559261" w14:textId="77777777" w:rsidR="00D40151" w:rsidRPr="00873B6C" w:rsidRDefault="00D40151" w:rsidP="009D14FB">
            <w:pPr>
              <w:pStyle w:val="TAL"/>
              <w:rPr>
                <w:sz w:val="16"/>
                <w:szCs w:val="16"/>
              </w:rPr>
            </w:pPr>
            <w:r w:rsidRPr="00873B6C">
              <w:rPr>
                <w:sz w:val="16"/>
                <w:szCs w:val="16"/>
              </w:rPr>
              <w:t>Remaining IP address/prefix lifetime with SSC mode 3</w:t>
            </w:r>
          </w:p>
        </w:tc>
        <w:tc>
          <w:tcPr>
            <w:tcW w:w="708" w:type="dxa"/>
            <w:shd w:val="solid" w:color="FFFFFF" w:fill="auto"/>
          </w:tcPr>
          <w:p w14:paraId="59DD6F19" w14:textId="77777777" w:rsidR="00D40151" w:rsidRPr="00873B6C" w:rsidRDefault="00D40151" w:rsidP="009D14FB">
            <w:pPr>
              <w:pStyle w:val="TAC"/>
              <w:rPr>
                <w:sz w:val="16"/>
                <w:szCs w:val="16"/>
              </w:rPr>
            </w:pPr>
            <w:r w:rsidRPr="00873B6C">
              <w:rPr>
                <w:sz w:val="16"/>
                <w:szCs w:val="16"/>
              </w:rPr>
              <w:t>15.1.0</w:t>
            </w:r>
          </w:p>
        </w:tc>
      </w:tr>
      <w:tr w:rsidR="00D40151" w:rsidRPr="00873B6C" w14:paraId="078FD11A" w14:textId="77777777" w:rsidTr="009D14FB">
        <w:tc>
          <w:tcPr>
            <w:tcW w:w="800" w:type="dxa"/>
            <w:shd w:val="solid" w:color="FFFFFF" w:fill="auto"/>
          </w:tcPr>
          <w:p w14:paraId="459020A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5407277"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4741EFD"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5D5AEFF" w14:textId="77777777" w:rsidR="00D40151" w:rsidRPr="00873B6C" w:rsidRDefault="00D40151" w:rsidP="009D14FB">
            <w:pPr>
              <w:pStyle w:val="TAL"/>
              <w:rPr>
                <w:sz w:val="16"/>
                <w:szCs w:val="16"/>
              </w:rPr>
            </w:pPr>
            <w:r w:rsidRPr="00873B6C">
              <w:rPr>
                <w:sz w:val="16"/>
                <w:szCs w:val="16"/>
              </w:rPr>
              <w:t>0020</w:t>
            </w:r>
          </w:p>
        </w:tc>
        <w:tc>
          <w:tcPr>
            <w:tcW w:w="425" w:type="dxa"/>
            <w:shd w:val="solid" w:color="FFFFFF" w:fill="auto"/>
          </w:tcPr>
          <w:p w14:paraId="71A733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66A88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157A9F" w14:textId="77777777" w:rsidR="00D40151" w:rsidRPr="00873B6C" w:rsidRDefault="00D40151" w:rsidP="009D14FB">
            <w:pPr>
              <w:pStyle w:val="TAL"/>
              <w:rPr>
                <w:sz w:val="16"/>
                <w:szCs w:val="16"/>
              </w:rPr>
            </w:pPr>
            <w:r w:rsidRPr="00873B6C">
              <w:rPr>
                <w:sz w:val="16"/>
                <w:szCs w:val="16"/>
              </w:rPr>
              <w:t>Correction to handling of S-NSSAI mapping information</w:t>
            </w:r>
          </w:p>
        </w:tc>
        <w:tc>
          <w:tcPr>
            <w:tcW w:w="708" w:type="dxa"/>
            <w:shd w:val="solid" w:color="FFFFFF" w:fill="auto"/>
          </w:tcPr>
          <w:p w14:paraId="430DE826" w14:textId="77777777" w:rsidR="00D40151" w:rsidRPr="00873B6C" w:rsidRDefault="00D40151" w:rsidP="009D14FB">
            <w:pPr>
              <w:pStyle w:val="TAC"/>
              <w:rPr>
                <w:sz w:val="16"/>
                <w:szCs w:val="16"/>
              </w:rPr>
            </w:pPr>
            <w:r w:rsidRPr="00873B6C">
              <w:rPr>
                <w:sz w:val="16"/>
                <w:szCs w:val="16"/>
              </w:rPr>
              <w:t>15.1.0</w:t>
            </w:r>
          </w:p>
        </w:tc>
      </w:tr>
      <w:tr w:rsidR="00D40151" w:rsidRPr="00873B6C" w14:paraId="237501E5" w14:textId="77777777" w:rsidTr="009D14FB">
        <w:tc>
          <w:tcPr>
            <w:tcW w:w="800" w:type="dxa"/>
            <w:shd w:val="solid" w:color="FFFFFF" w:fill="auto"/>
          </w:tcPr>
          <w:p w14:paraId="3355770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0C37A2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6319EEE"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08AAE103" w14:textId="77777777" w:rsidR="00D40151" w:rsidRPr="00873B6C" w:rsidRDefault="00D40151" w:rsidP="009D14FB">
            <w:pPr>
              <w:pStyle w:val="TAL"/>
              <w:rPr>
                <w:sz w:val="16"/>
                <w:szCs w:val="16"/>
              </w:rPr>
            </w:pPr>
            <w:r w:rsidRPr="00873B6C">
              <w:rPr>
                <w:sz w:val="16"/>
                <w:szCs w:val="16"/>
              </w:rPr>
              <w:t>0021</w:t>
            </w:r>
          </w:p>
        </w:tc>
        <w:tc>
          <w:tcPr>
            <w:tcW w:w="425" w:type="dxa"/>
            <w:shd w:val="solid" w:color="FFFFFF" w:fill="auto"/>
          </w:tcPr>
          <w:p w14:paraId="1E86EDA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95911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101DF6" w14:textId="77777777" w:rsidR="00D40151" w:rsidRPr="00873B6C" w:rsidRDefault="00D40151" w:rsidP="009D14FB">
            <w:pPr>
              <w:pStyle w:val="TAL"/>
              <w:rPr>
                <w:sz w:val="16"/>
                <w:szCs w:val="16"/>
              </w:rPr>
            </w:pPr>
            <w:r w:rsidRPr="00873B6C">
              <w:rPr>
                <w:sz w:val="16"/>
                <w:szCs w:val="16"/>
              </w:rPr>
              <w:t>Wildcard DNN subscription</w:t>
            </w:r>
          </w:p>
        </w:tc>
        <w:tc>
          <w:tcPr>
            <w:tcW w:w="708" w:type="dxa"/>
            <w:shd w:val="solid" w:color="FFFFFF" w:fill="auto"/>
          </w:tcPr>
          <w:p w14:paraId="6A5A40CE" w14:textId="77777777" w:rsidR="00D40151" w:rsidRPr="00873B6C" w:rsidRDefault="00D40151" w:rsidP="009D14FB">
            <w:pPr>
              <w:pStyle w:val="TAC"/>
              <w:rPr>
                <w:sz w:val="16"/>
                <w:szCs w:val="16"/>
              </w:rPr>
            </w:pPr>
            <w:r w:rsidRPr="00873B6C">
              <w:rPr>
                <w:sz w:val="16"/>
                <w:szCs w:val="16"/>
              </w:rPr>
              <w:t>15.1.0</w:t>
            </w:r>
          </w:p>
        </w:tc>
      </w:tr>
      <w:tr w:rsidR="00D40151" w:rsidRPr="00873B6C" w14:paraId="31AB9B03" w14:textId="77777777" w:rsidTr="009D14FB">
        <w:tc>
          <w:tcPr>
            <w:tcW w:w="800" w:type="dxa"/>
            <w:shd w:val="solid" w:color="FFFFFF" w:fill="auto"/>
          </w:tcPr>
          <w:p w14:paraId="5AD6669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E2B664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1FEC7EC"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76486965" w14:textId="77777777" w:rsidR="00D40151" w:rsidRPr="00873B6C" w:rsidRDefault="00D40151" w:rsidP="009D14FB">
            <w:pPr>
              <w:pStyle w:val="TAL"/>
              <w:rPr>
                <w:sz w:val="16"/>
                <w:szCs w:val="16"/>
              </w:rPr>
            </w:pPr>
            <w:r w:rsidRPr="00873B6C">
              <w:rPr>
                <w:sz w:val="16"/>
                <w:szCs w:val="16"/>
              </w:rPr>
              <w:t>0022</w:t>
            </w:r>
          </w:p>
        </w:tc>
        <w:tc>
          <w:tcPr>
            <w:tcW w:w="425" w:type="dxa"/>
            <w:shd w:val="solid" w:color="FFFFFF" w:fill="auto"/>
          </w:tcPr>
          <w:p w14:paraId="53003E87"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B6B9E2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A01C14" w14:textId="77777777" w:rsidR="00D40151" w:rsidRPr="00873B6C" w:rsidRDefault="00D40151" w:rsidP="009D14FB">
            <w:pPr>
              <w:pStyle w:val="TAL"/>
              <w:rPr>
                <w:sz w:val="16"/>
                <w:szCs w:val="16"/>
              </w:rPr>
            </w:pPr>
            <w:r w:rsidRPr="00873B6C">
              <w:rPr>
                <w:sz w:val="16"/>
                <w:szCs w:val="16"/>
              </w:rPr>
              <w:t>Clarification in LADN clause 5.6.5 - TS 23.501</w:t>
            </w:r>
          </w:p>
        </w:tc>
        <w:tc>
          <w:tcPr>
            <w:tcW w:w="708" w:type="dxa"/>
            <w:shd w:val="solid" w:color="FFFFFF" w:fill="auto"/>
          </w:tcPr>
          <w:p w14:paraId="6B623582" w14:textId="77777777" w:rsidR="00D40151" w:rsidRPr="00873B6C" w:rsidRDefault="00D40151" w:rsidP="009D14FB">
            <w:pPr>
              <w:pStyle w:val="TAC"/>
              <w:rPr>
                <w:sz w:val="16"/>
                <w:szCs w:val="16"/>
              </w:rPr>
            </w:pPr>
            <w:r w:rsidRPr="00873B6C">
              <w:rPr>
                <w:sz w:val="16"/>
                <w:szCs w:val="16"/>
              </w:rPr>
              <w:t>15.1.0</w:t>
            </w:r>
          </w:p>
        </w:tc>
      </w:tr>
      <w:tr w:rsidR="00D40151" w:rsidRPr="00873B6C" w14:paraId="6F863018" w14:textId="77777777" w:rsidTr="009D14FB">
        <w:tc>
          <w:tcPr>
            <w:tcW w:w="800" w:type="dxa"/>
            <w:shd w:val="solid" w:color="FFFFFF" w:fill="auto"/>
          </w:tcPr>
          <w:p w14:paraId="1F66936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D3119E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FBA893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522E8022" w14:textId="77777777" w:rsidR="00D40151" w:rsidRPr="00873B6C" w:rsidRDefault="00D40151" w:rsidP="009D14FB">
            <w:pPr>
              <w:pStyle w:val="TAL"/>
              <w:rPr>
                <w:sz w:val="16"/>
                <w:szCs w:val="16"/>
              </w:rPr>
            </w:pPr>
            <w:r w:rsidRPr="00873B6C">
              <w:rPr>
                <w:sz w:val="16"/>
                <w:szCs w:val="16"/>
              </w:rPr>
              <w:t>0023</w:t>
            </w:r>
          </w:p>
        </w:tc>
        <w:tc>
          <w:tcPr>
            <w:tcW w:w="425" w:type="dxa"/>
            <w:shd w:val="solid" w:color="FFFFFF" w:fill="auto"/>
          </w:tcPr>
          <w:p w14:paraId="5CF675F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6174D0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F210E0" w14:textId="77777777" w:rsidR="00D40151" w:rsidRPr="00873B6C" w:rsidRDefault="00D40151" w:rsidP="009D14FB">
            <w:pPr>
              <w:pStyle w:val="TAL"/>
              <w:rPr>
                <w:sz w:val="16"/>
                <w:szCs w:val="16"/>
              </w:rPr>
            </w:pPr>
            <w:r w:rsidRPr="00873B6C">
              <w:rPr>
                <w:sz w:val="16"/>
                <w:szCs w:val="16"/>
              </w:rPr>
              <w:t>Clean up on the interworking without 26 indication</w:t>
            </w:r>
          </w:p>
        </w:tc>
        <w:tc>
          <w:tcPr>
            <w:tcW w:w="708" w:type="dxa"/>
            <w:shd w:val="solid" w:color="FFFFFF" w:fill="auto"/>
          </w:tcPr>
          <w:p w14:paraId="3F7E68C5" w14:textId="77777777" w:rsidR="00D40151" w:rsidRPr="00873B6C" w:rsidRDefault="00D40151" w:rsidP="009D14FB">
            <w:pPr>
              <w:pStyle w:val="TAC"/>
              <w:rPr>
                <w:sz w:val="16"/>
                <w:szCs w:val="16"/>
              </w:rPr>
            </w:pPr>
            <w:r w:rsidRPr="00873B6C">
              <w:rPr>
                <w:sz w:val="16"/>
                <w:szCs w:val="16"/>
              </w:rPr>
              <w:t>15.1.0</w:t>
            </w:r>
          </w:p>
        </w:tc>
      </w:tr>
      <w:tr w:rsidR="00D40151" w:rsidRPr="00873B6C" w14:paraId="07355374" w14:textId="77777777" w:rsidTr="009D14FB">
        <w:tc>
          <w:tcPr>
            <w:tcW w:w="800" w:type="dxa"/>
            <w:shd w:val="solid" w:color="FFFFFF" w:fill="auto"/>
          </w:tcPr>
          <w:p w14:paraId="09F0037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C140F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BE757E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6523BD30" w14:textId="77777777" w:rsidR="00D40151" w:rsidRPr="00873B6C" w:rsidRDefault="00D40151" w:rsidP="009D14FB">
            <w:pPr>
              <w:pStyle w:val="TAL"/>
              <w:rPr>
                <w:sz w:val="16"/>
                <w:szCs w:val="16"/>
              </w:rPr>
            </w:pPr>
            <w:r w:rsidRPr="00873B6C">
              <w:rPr>
                <w:sz w:val="16"/>
                <w:szCs w:val="16"/>
              </w:rPr>
              <w:t>0024</w:t>
            </w:r>
          </w:p>
        </w:tc>
        <w:tc>
          <w:tcPr>
            <w:tcW w:w="425" w:type="dxa"/>
            <w:shd w:val="solid" w:color="FFFFFF" w:fill="auto"/>
          </w:tcPr>
          <w:p w14:paraId="271DC1D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BA222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0161D4" w14:textId="77777777" w:rsidR="00D40151" w:rsidRPr="00873B6C" w:rsidRDefault="00D40151" w:rsidP="009D14FB">
            <w:pPr>
              <w:pStyle w:val="TAL"/>
              <w:rPr>
                <w:sz w:val="16"/>
                <w:szCs w:val="16"/>
              </w:rPr>
            </w:pPr>
            <w:r w:rsidRPr="00873B6C">
              <w:rPr>
                <w:sz w:val="16"/>
                <w:szCs w:val="16"/>
              </w:rPr>
              <w:t>TS 23.501 mobility from EPC to 5GC</w:t>
            </w:r>
          </w:p>
        </w:tc>
        <w:tc>
          <w:tcPr>
            <w:tcW w:w="708" w:type="dxa"/>
            <w:shd w:val="solid" w:color="FFFFFF" w:fill="auto"/>
          </w:tcPr>
          <w:p w14:paraId="0E12EDB1" w14:textId="77777777" w:rsidR="00D40151" w:rsidRPr="00873B6C" w:rsidRDefault="00D40151" w:rsidP="009D14FB">
            <w:pPr>
              <w:pStyle w:val="TAC"/>
              <w:rPr>
                <w:sz w:val="16"/>
                <w:szCs w:val="16"/>
              </w:rPr>
            </w:pPr>
            <w:r w:rsidRPr="00873B6C">
              <w:rPr>
                <w:sz w:val="16"/>
                <w:szCs w:val="16"/>
              </w:rPr>
              <w:t>15.1.0</w:t>
            </w:r>
          </w:p>
        </w:tc>
      </w:tr>
      <w:tr w:rsidR="00D40151" w:rsidRPr="00873B6C" w14:paraId="11D51820" w14:textId="77777777" w:rsidTr="009D14FB">
        <w:tc>
          <w:tcPr>
            <w:tcW w:w="800" w:type="dxa"/>
            <w:shd w:val="solid" w:color="FFFFFF" w:fill="auto"/>
          </w:tcPr>
          <w:p w14:paraId="23CF4CC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2C22F2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E972350" w14:textId="77777777" w:rsidR="00D40151" w:rsidRPr="00873B6C" w:rsidRDefault="00D40151" w:rsidP="009D14FB">
            <w:pPr>
              <w:pStyle w:val="TAC"/>
              <w:rPr>
                <w:sz w:val="16"/>
                <w:szCs w:val="16"/>
              </w:rPr>
            </w:pPr>
            <w:r w:rsidRPr="00873B6C">
              <w:rPr>
                <w:sz w:val="16"/>
                <w:szCs w:val="16"/>
              </w:rPr>
              <w:t>SP-18009</w:t>
            </w:r>
          </w:p>
        </w:tc>
        <w:tc>
          <w:tcPr>
            <w:tcW w:w="567" w:type="dxa"/>
            <w:shd w:val="solid" w:color="FFFFFF" w:fill="auto"/>
          </w:tcPr>
          <w:p w14:paraId="1732867D" w14:textId="77777777" w:rsidR="00D40151" w:rsidRPr="00873B6C" w:rsidRDefault="00D40151" w:rsidP="009D14FB">
            <w:pPr>
              <w:pStyle w:val="TAL"/>
              <w:rPr>
                <w:sz w:val="16"/>
                <w:szCs w:val="16"/>
              </w:rPr>
            </w:pPr>
            <w:r w:rsidRPr="00873B6C">
              <w:rPr>
                <w:sz w:val="16"/>
                <w:szCs w:val="16"/>
              </w:rPr>
              <w:t>0025</w:t>
            </w:r>
          </w:p>
        </w:tc>
        <w:tc>
          <w:tcPr>
            <w:tcW w:w="425" w:type="dxa"/>
            <w:shd w:val="solid" w:color="FFFFFF" w:fill="auto"/>
          </w:tcPr>
          <w:p w14:paraId="085E156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C678F1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BE8750A" w14:textId="77777777" w:rsidR="00D40151" w:rsidRPr="00873B6C" w:rsidRDefault="00D40151" w:rsidP="009D14FB">
            <w:pPr>
              <w:pStyle w:val="TAL"/>
              <w:rPr>
                <w:sz w:val="16"/>
                <w:szCs w:val="16"/>
              </w:rPr>
            </w:pPr>
            <w:r w:rsidRPr="00873B6C">
              <w:rPr>
                <w:sz w:val="16"/>
                <w:szCs w:val="16"/>
              </w:rPr>
              <w:t>AMF Load Re-Balancing For CONNECTED mode UE</w:t>
            </w:r>
          </w:p>
        </w:tc>
        <w:tc>
          <w:tcPr>
            <w:tcW w:w="708" w:type="dxa"/>
            <w:shd w:val="solid" w:color="FFFFFF" w:fill="auto"/>
          </w:tcPr>
          <w:p w14:paraId="2FDECFC2" w14:textId="77777777" w:rsidR="00D40151" w:rsidRPr="00873B6C" w:rsidRDefault="00D40151" w:rsidP="009D14FB">
            <w:pPr>
              <w:pStyle w:val="TAC"/>
              <w:rPr>
                <w:sz w:val="16"/>
                <w:szCs w:val="16"/>
              </w:rPr>
            </w:pPr>
            <w:r w:rsidRPr="00873B6C">
              <w:rPr>
                <w:sz w:val="16"/>
                <w:szCs w:val="16"/>
              </w:rPr>
              <w:t>15.1.0</w:t>
            </w:r>
          </w:p>
        </w:tc>
      </w:tr>
      <w:tr w:rsidR="00D40151" w:rsidRPr="00873B6C" w14:paraId="59950996" w14:textId="77777777" w:rsidTr="009D14FB">
        <w:tc>
          <w:tcPr>
            <w:tcW w:w="800" w:type="dxa"/>
            <w:shd w:val="solid" w:color="FFFFFF" w:fill="auto"/>
          </w:tcPr>
          <w:p w14:paraId="370B448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6503AF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EF30CB8"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1D3BB368" w14:textId="77777777" w:rsidR="00D40151" w:rsidRPr="00873B6C" w:rsidRDefault="00D40151" w:rsidP="009D14FB">
            <w:pPr>
              <w:pStyle w:val="TAL"/>
              <w:rPr>
                <w:sz w:val="16"/>
                <w:szCs w:val="16"/>
              </w:rPr>
            </w:pPr>
            <w:r w:rsidRPr="00873B6C">
              <w:rPr>
                <w:sz w:val="16"/>
                <w:szCs w:val="16"/>
              </w:rPr>
              <w:t>0026</w:t>
            </w:r>
          </w:p>
        </w:tc>
        <w:tc>
          <w:tcPr>
            <w:tcW w:w="425" w:type="dxa"/>
            <w:shd w:val="solid" w:color="FFFFFF" w:fill="auto"/>
          </w:tcPr>
          <w:p w14:paraId="165E57F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C61D8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B4E570" w14:textId="77777777" w:rsidR="00D40151" w:rsidRPr="00873B6C" w:rsidRDefault="00D40151" w:rsidP="009D14FB">
            <w:pPr>
              <w:pStyle w:val="TAL"/>
              <w:rPr>
                <w:sz w:val="16"/>
                <w:szCs w:val="16"/>
              </w:rPr>
            </w:pPr>
            <w:r w:rsidRPr="00873B6C">
              <w:rPr>
                <w:sz w:val="16"/>
                <w:szCs w:val="16"/>
              </w:rPr>
              <w:t>Update on Traffic Detection Information</w:t>
            </w:r>
          </w:p>
        </w:tc>
        <w:tc>
          <w:tcPr>
            <w:tcW w:w="708" w:type="dxa"/>
            <w:shd w:val="solid" w:color="FFFFFF" w:fill="auto"/>
          </w:tcPr>
          <w:p w14:paraId="06D2A1C7" w14:textId="77777777" w:rsidR="00D40151" w:rsidRPr="00873B6C" w:rsidRDefault="00D40151" w:rsidP="009D14FB">
            <w:pPr>
              <w:pStyle w:val="TAC"/>
              <w:rPr>
                <w:sz w:val="16"/>
                <w:szCs w:val="16"/>
              </w:rPr>
            </w:pPr>
            <w:r w:rsidRPr="00873B6C">
              <w:rPr>
                <w:sz w:val="16"/>
                <w:szCs w:val="16"/>
              </w:rPr>
              <w:t>15.1.0</w:t>
            </w:r>
          </w:p>
        </w:tc>
      </w:tr>
      <w:tr w:rsidR="00D40151" w:rsidRPr="00873B6C" w14:paraId="33DE5621" w14:textId="77777777" w:rsidTr="009D14FB">
        <w:tc>
          <w:tcPr>
            <w:tcW w:w="800" w:type="dxa"/>
            <w:shd w:val="solid" w:color="FFFFFF" w:fill="auto"/>
          </w:tcPr>
          <w:p w14:paraId="459DA57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BE1CE9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0BFB3E7"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4565631C" w14:textId="77777777" w:rsidR="00D40151" w:rsidRPr="00873B6C" w:rsidRDefault="00D40151" w:rsidP="009D14FB">
            <w:pPr>
              <w:pStyle w:val="TAL"/>
              <w:rPr>
                <w:sz w:val="16"/>
                <w:szCs w:val="16"/>
              </w:rPr>
            </w:pPr>
            <w:r w:rsidRPr="00873B6C">
              <w:rPr>
                <w:sz w:val="16"/>
                <w:szCs w:val="16"/>
              </w:rPr>
              <w:t>0027</w:t>
            </w:r>
          </w:p>
        </w:tc>
        <w:tc>
          <w:tcPr>
            <w:tcW w:w="425" w:type="dxa"/>
            <w:shd w:val="solid" w:color="FFFFFF" w:fill="auto"/>
          </w:tcPr>
          <w:p w14:paraId="5D97F9D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A59AB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16AA91" w14:textId="77777777" w:rsidR="00D40151" w:rsidRPr="00873B6C" w:rsidRDefault="00D40151" w:rsidP="009D14FB">
            <w:pPr>
              <w:pStyle w:val="TAL"/>
              <w:rPr>
                <w:sz w:val="16"/>
                <w:szCs w:val="16"/>
              </w:rPr>
            </w:pPr>
            <w:r w:rsidRPr="00873B6C">
              <w:rPr>
                <w:sz w:val="16"/>
                <w:szCs w:val="16"/>
              </w:rPr>
              <w:t>Proposal of Specifying Packet Detection Rule</w:t>
            </w:r>
          </w:p>
        </w:tc>
        <w:tc>
          <w:tcPr>
            <w:tcW w:w="708" w:type="dxa"/>
            <w:shd w:val="solid" w:color="FFFFFF" w:fill="auto"/>
          </w:tcPr>
          <w:p w14:paraId="799A69EB" w14:textId="77777777" w:rsidR="00D40151" w:rsidRPr="00873B6C" w:rsidRDefault="00D40151" w:rsidP="009D14FB">
            <w:pPr>
              <w:pStyle w:val="TAC"/>
              <w:rPr>
                <w:sz w:val="16"/>
                <w:szCs w:val="16"/>
              </w:rPr>
            </w:pPr>
            <w:r w:rsidRPr="00873B6C">
              <w:rPr>
                <w:sz w:val="16"/>
                <w:szCs w:val="16"/>
              </w:rPr>
              <w:t>15.1.0</w:t>
            </w:r>
          </w:p>
        </w:tc>
      </w:tr>
      <w:tr w:rsidR="00D40151" w:rsidRPr="00873B6C" w14:paraId="38C0055E" w14:textId="77777777" w:rsidTr="009D14FB">
        <w:tc>
          <w:tcPr>
            <w:tcW w:w="800" w:type="dxa"/>
            <w:shd w:val="solid" w:color="FFFFFF" w:fill="auto"/>
          </w:tcPr>
          <w:p w14:paraId="739B104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ECC109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5A45AED"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5D40FE2D" w14:textId="77777777" w:rsidR="00D40151" w:rsidRPr="00873B6C" w:rsidRDefault="00D40151" w:rsidP="009D14FB">
            <w:pPr>
              <w:pStyle w:val="TAL"/>
              <w:rPr>
                <w:sz w:val="16"/>
                <w:szCs w:val="16"/>
              </w:rPr>
            </w:pPr>
            <w:r w:rsidRPr="00873B6C">
              <w:rPr>
                <w:sz w:val="16"/>
                <w:szCs w:val="16"/>
              </w:rPr>
              <w:t>0028</w:t>
            </w:r>
          </w:p>
        </w:tc>
        <w:tc>
          <w:tcPr>
            <w:tcW w:w="425" w:type="dxa"/>
            <w:shd w:val="solid" w:color="FFFFFF" w:fill="auto"/>
          </w:tcPr>
          <w:p w14:paraId="2163FA8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38E383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0FCB3B" w14:textId="77777777" w:rsidR="00D40151" w:rsidRPr="00873B6C" w:rsidRDefault="00D40151" w:rsidP="009D14FB">
            <w:pPr>
              <w:pStyle w:val="TAL"/>
              <w:rPr>
                <w:sz w:val="16"/>
                <w:szCs w:val="16"/>
              </w:rPr>
            </w:pPr>
            <w:r w:rsidRPr="00873B6C">
              <w:rPr>
                <w:sz w:val="16"/>
                <w:szCs w:val="16"/>
              </w:rPr>
              <w:t>Relation between the SSC mode 3 and the PDU type</w:t>
            </w:r>
          </w:p>
        </w:tc>
        <w:tc>
          <w:tcPr>
            <w:tcW w:w="708" w:type="dxa"/>
            <w:shd w:val="solid" w:color="FFFFFF" w:fill="auto"/>
          </w:tcPr>
          <w:p w14:paraId="42F47F2F" w14:textId="77777777" w:rsidR="00D40151" w:rsidRPr="00873B6C" w:rsidRDefault="00D40151" w:rsidP="009D14FB">
            <w:pPr>
              <w:pStyle w:val="TAC"/>
              <w:rPr>
                <w:sz w:val="16"/>
                <w:szCs w:val="16"/>
              </w:rPr>
            </w:pPr>
            <w:r w:rsidRPr="00873B6C">
              <w:rPr>
                <w:sz w:val="16"/>
                <w:szCs w:val="16"/>
              </w:rPr>
              <w:t>15.1.0</w:t>
            </w:r>
          </w:p>
        </w:tc>
      </w:tr>
      <w:tr w:rsidR="00D40151" w:rsidRPr="00873B6C" w14:paraId="16BE7F96" w14:textId="77777777" w:rsidTr="009D14FB">
        <w:tc>
          <w:tcPr>
            <w:tcW w:w="800" w:type="dxa"/>
            <w:shd w:val="solid" w:color="FFFFFF" w:fill="auto"/>
          </w:tcPr>
          <w:p w14:paraId="399AB21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EAE755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5D78C48"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392D5057" w14:textId="77777777" w:rsidR="00D40151" w:rsidRPr="00873B6C" w:rsidRDefault="00D40151" w:rsidP="009D14FB">
            <w:pPr>
              <w:pStyle w:val="TAL"/>
              <w:rPr>
                <w:sz w:val="16"/>
                <w:szCs w:val="16"/>
              </w:rPr>
            </w:pPr>
            <w:r w:rsidRPr="00873B6C">
              <w:rPr>
                <w:sz w:val="16"/>
                <w:szCs w:val="16"/>
              </w:rPr>
              <w:t>0031</w:t>
            </w:r>
          </w:p>
        </w:tc>
        <w:tc>
          <w:tcPr>
            <w:tcW w:w="425" w:type="dxa"/>
            <w:shd w:val="solid" w:color="FFFFFF" w:fill="auto"/>
          </w:tcPr>
          <w:p w14:paraId="1A6FFD9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55F3C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A5B29F" w14:textId="77777777" w:rsidR="00D40151" w:rsidRPr="00873B6C" w:rsidRDefault="00D40151" w:rsidP="009D14FB">
            <w:pPr>
              <w:pStyle w:val="TAL"/>
              <w:rPr>
                <w:sz w:val="16"/>
                <w:szCs w:val="16"/>
              </w:rPr>
            </w:pPr>
            <w:r w:rsidRPr="00873B6C">
              <w:rPr>
                <w:sz w:val="16"/>
                <w:szCs w:val="16"/>
              </w:rPr>
              <w:t>UE-specific DRX parameter negotiation between UE and AMF</w:t>
            </w:r>
          </w:p>
        </w:tc>
        <w:tc>
          <w:tcPr>
            <w:tcW w:w="708" w:type="dxa"/>
            <w:shd w:val="solid" w:color="FFFFFF" w:fill="auto"/>
          </w:tcPr>
          <w:p w14:paraId="0CC25834" w14:textId="77777777" w:rsidR="00D40151" w:rsidRPr="00873B6C" w:rsidRDefault="00D40151" w:rsidP="009D14FB">
            <w:pPr>
              <w:pStyle w:val="TAC"/>
              <w:rPr>
                <w:sz w:val="16"/>
                <w:szCs w:val="16"/>
              </w:rPr>
            </w:pPr>
            <w:r w:rsidRPr="00873B6C">
              <w:rPr>
                <w:sz w:val="16"/>
                <w:szCs w:val="16"/>
              </w:rPr>
              <w:t>15.1.0</w:t>
            </w:r>
          </w:p>
        </w:tc>
      </w:tr>
      <w:tr w:rsidR="00D40151" w:rsidRPr="00873B6C" w14:paraId="2CF171F5" w14:textId="77777777" w:rsidTr="009D14FB">
        <w:tc>
          <w:tcPr>
            <w:tcW w:w="800" w:type="dxa"/>
            <w:shd w:val="solid" w:color="FFFFFF" w:fill="auto"/>
          </w:tcPr>
          <w:p w14:paraId="253155E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0B9C33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1838461"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4D7A3DE7" w14:textId="77777777" w:rsidR="00D40151" w:rsidRPr="00873B6C" w:rsidRDefault="00D40151" w:rsidP="009D14FB">
            <w:pPr>
              <w:pStyle w:val="TAL"/>
              <w:rPr>
                <w:sz w:val="16"/>
                <w:szCs w:val="16"/>
              </w:rPr>
            </w:pPr>
            <w:r w:rsidRPr="00873B6C">
              <w:rPr>
                <w:sz w:val="16"/>
                <w:szCs w:val="16"/>
              </w:rPr>
              <w:t>0033</w:t>
            </w:r>
          </w:p>
        </w:tc>
        <w:tc>
          <w:tcPr>
            <w:tcW w:w="425" w:type="dxa"/>
            <w:shd w:val="solid" w:color="FFFFFF" w:fill="auto"/>
          </w:tcPr>
          <w:p w14:paraId="65A5976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CADB4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EB4ADC" w14:textId="77777777" w:rsidR="00D40151" w:rsidRPr="00873B6C" w:rsidRDefault="00D40151" w:rsidP="009D14FB">
            <w:pPr>
              <w:pStyle w:val="TAL"/>
              <w:rPr>
                <w:sz w:val="16"/>
                <w:szCs w:val="16"/>
              </w:rPr>
            </w:pPr>
            <w:r w:rsidRPr="00873B6C">
              <w:rPr>
                <w:sz w:val="16"/>
                <w:szCs w:val="16"/>
              </w:rPr>
              <w:t>Control of the Messages triggering Paging at AMF</w:t>
            </w:r>
          </w:p>
        </w:tc>
        <w:tc>
          <w:tcPr>
            <w:tcW w:w="708" w:type="dxa"/>
            <w:shd w:val="solid" w:color="FFFFFF" w:fill="auto"/>
          </w:tcPr>
          <w:p w14:paraId="33A3C60B" w14:textId="77777777" w:rsidR="00D40151" w:rsidRPr="00873B6C" w:rsidRDefault="00D40151" w:rsidP="009D14FB">
            <w:pPr>
              <w:pStyle w:val="TAC"/>
              <w:rPr>
                <w:sz w:val="16"/>
                <w:szCs w:val="16"/>
              </w:rPr>
            </w:pPr>
            <w:r w:rsidRPr="00873B6C">
              <w:rPr>
                <w:sz w:val="16"/>
                <w:szCs w:val="16"/>
              </w:rPr>
              <w:t>15.1.0</w:t>
            </w:r>
          </w:p>
        </w:tc>
      </w:tr>
      <w:tr w:rsidR="00D40151" w:rsidRPr="00873B6C" w14:paraId="6C22F450" w14:textId="77777777" w:rsidTr="009D14FB">
        <w:tc>
          <w:tcPr>
            <w:tcW w:w="800" w:type="dxa"/>
            <w:shd w:val="solid" w:color="FFFFFF" w:fill="auto"/>
          </w:tcPr>
          <w:p w14:paraId="45AD954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F4587E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97ACBEF"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16EE59B5" w14:textId="77777777" w:rsidR="00D40151" w:rsidRPr="00873B6C" w:rsidRDefault="00D40151" w:rsidP="009D14FB">
            <w:pPr>
              <w:pStyle w:val="TAL"/>
              <w:rPr>
                <w:sz w:val="16"/>
                <w:szCs w:val="16"/>
              </w:rPr>
            </w:pPr>
            <w:r w:rsidRPr="00873B6C">
              <w:rPr>
                <w:sz w:val="16"/>
                <w:szCs w:val="16"/>
              </w:rPr>
              <w:t>0034</w:t>
            </w:r>
          </w:p>
        </w:tc>
        <w:tc>
          <w:tcPr>
            <w:tcW w:w="425" w:type="dxa"/>
            <w:shd w:val="solid" w:color="FFFFFF" w:fill="auto"/>
          </w:tcPr>
          <w:p w14:paraId="50F42BF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247EAA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0160BB" w14:textId="77777777" w:rsidR="00D40151" w:rsidRPr="00873B6C" w:rsidRDefault="00D40151" w:rsidP="009D14FB">
            <w:pPr>
              <w:pStyle w:val="TAL"/>
              <w:rPr>
                <w:sz w:val="16"/>
                <w:szCs w:val="16"/>
              </w:rPr>
            </w:pPr>
            <w:r w:rsidRPr="00873B6C">
              <w:rPr>
                <w:sz w:val="16"/>
                <w:szCs w:val="16"/>
              </w:rPr>
              <w:t>Alignment with TS 23.502 on Service Request procedure</w:t>
            </w:r>
          </w:p>
        </w:tc>
        <w:tc>
          <w:tcPr>
            <w:tcW w:w="708" w:type="dxa"/>
            <w:shd w:val="solid" w:color="FFFFFF" w:fill="auto"/>
          </w:tcPr>
          <w:p w14:paraId="3BE8C6E4" w14:textId="77777777" w:rsidR="00D40151" w:rsidRPr="00873B6C" w:rsidRDefault="00D40151" w:rsidP="009D14FB">
            <w:pPr>
              <w:pStyle w:val="TAC"/>
              <w:rPr>
                <w:sz w:val="16"/>
                <w:szCs w:val="16"/>
              </w:rPr>
            </w:pPr>
            <w:r w:rsidRPr="00873B6C">
              <w:rPr>
                <w:sz w:val="16"/>
                <w:szCs w:val="16"/>
              </w:rPr>
              <w:t>15.1.0</w:t>
            </w:r>
          </w:p>
        </w:tc>
      </w:tr>
      <w:tr w:rsidR="00D40151" w:rsidRPr="00873B6C" w14:paraId="50C0ECA1" w14:textId="77777777" w:rsidTr="009D14FB">
        <w:tc>
          <w:tcPr>
            <w:tcW w:w="800" w:type="dxa"/>
            <w:shd w:val="solid" w:color="FFFFFF" w:fill="auto"/>
          </w:tcPr>
          <w:p w14:paraId="140398F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90F6DB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FF17567"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3D31BB6C" w14:textId="77777777" w:rsidR="00D40151" w:rsidRPr="00873B6C" w:rsidRDefault="00D40151" w:rsidP="009D14FB">
            <w:pPr>
              <w:pStyle w:val="TAL"/>
              <w:rPr>
                <w:sz w:val="16"/>
                <w:szCs w:val="16"/>
              </w:rPr>
            </w:pPr>
            <w:r w:rsidRPr="00873B6C">
              <w:rPr>
                <w:sz w:val="16"/>
                <w:szCs w:val="16"/>
              </w:rPr>
              <w:t>0035</w:t>
            </w:r>
          </w:p>
        </w:tc>
        <w:tc>
          <w:tcPr>
            <w:tcW w:w="425" w:type="dxa"/>
            <w:shd w:val="solid" w:color="FFFFFF" w:fill="auto"/>
          </w:tcPr>
          <w:p w14:paraId="37EFF14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B072E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89B6BE" w14:textId="77777777" w:rsidR="00D40151" w:rsidRPr="00873B6C" w:rsidRDefault="00D40151" w:rsidP="009D14FB">
            <w:pPr>
              <w:pStyle w:val="TAL"/>
              <w:rPr>
                <w:sz w:val="16"/>
                <w:szCs w:val="16"/>
              </w:rPr>
            </w:pPr>
            <w:r w:rsidRPr="00873B6C">
              <w:rPr>
                <w:sz w:val="16"/>
                <w:szCs w:val="16"/>
              </w:rPr>
              <w:t>Corrections and clarifications for the usage of Packet Filter Set</w:t>
            </w:r>
          </w:p>
        </w:tc>
        <w:tc>
          <w:tcPr>
            <w:tcW w:w="708" w:type="dxa"/>
            <w:shd w:val="solid" w:color="FFFFFF" w:fill="auto"/>
          </w:tcPr>
          <w:p w14:paraId="17346986" w14:textId="77777777" w:rsidR="00D40151" w:rsidRPr="00873B6C" w:rsidRDefault="00D40151" w:rsidP="009D14FB">
            <w:pPr>
              <w:pStyle w:val="TAC"/>
              <w:rPr>
                <w:sz w:val="16"/>
                <w:szCs w:val="16"/>
              </w:rPr>
            </w:pPr>
            <w:r w:rsidRPr="00873B6C">
              <w:rPr>
                <w:sz w:val="16"/>
                <w:szCs w:val="16"/>
              </w:rPr>
              <w:t>15.1.0</w:t>
            </w:r>
          </w:p>
        </w:tc>
      </w:tr>
      <w:tr w:rsidR="00D40151" w:rsidRPr="00873B6C" w14:paraId="28239A29" w14:textId="77777777" w:rsidTr="009D14FB">
        <w:tc>
          <w:tcPr>
            <w:tcW w:w="800" w:type="dxa"/>
            <w:shd w:val="solid" w:color="FFFFFF" w:fill="auto"/>
          </w:tcPr>
          <w:p w14:paraId="1442CA1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150640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41AEBF6"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77DB20C5" w14:textId="77777777" w:rsidR="00D40151" w:rsidRPr="00873B6C" w:rsidRDefault="00D40151" w:rsidP="009D14FB">
            <w:pPr>
              <w:pStyle w:val="TAL"/>
              <w:rPr>
                <w:sz w:val="16"/>
                <w:szCs w:val="16"/>
              </w:rPr>
            </w:pPr>
            <w:r w:rsidRPr="00873B6C">
              <w:rPr>
                <w:sz w:val="16"/>
                <w:szCs w:val="16"/>
              </w:rPr>
              <w:t>0036</w:t>
            </w:r>
          </w:p>
        </w:tc>
        <w:tc>
          <w:tcPr>
            <w:tcW w:w="425" w:type="dxa"/>
            <w:shd w:val="solid" w:color="FFFFFF" w:fill="auto"/>
          </w:tcPr>
          <w:p w14:paraId="2C850EB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79170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881F18" w14:textId="77777777" w:rsidR="00D40151" w:rsidRPr="00873B6C" w:rsidRDefault="00D40151" w:rsidP="009D14FB">
            <w:pPr>
              <w:pStyle w:val="TAL"/>
              <w:rPr>
                <w:sz w:val="16"/>
                <w:szCs w:val="16"/>
              </w:rPr>
            </w:pPr>
            <w:r w:rsidRPr="00873B6C">
              <w:rPr>
                <w:sz w:val="16"/>
                <w:szCs w:val="16"/>
              </w:rPr>
              <w:t>Update Paging Policy Differentiation</w:t>
            </w:r>
          </w:p>
        </w:tc>
        <w:tc>
          <w:tcPr>
            <w:tcW w:w="708" w:type="dxa"/>
            <w:shd w:val="solid" w:color="FFFFFF" w:fill="auto"/>
          </w:tcPr>
          <w:p w14:paraId="0E1DCBE4" w14:textId="77777777" w:rsidR="00D40151" w:rsidRPr="00873B6C" w:rsidRDefault="00D40151" w:rsidP="009D14FB">
            <w:pPr>
              <w:pStyle w:val="TAC"/>
              <w:rPr>
                <w:sz w:val="16"/>
                <w:szCs w:val="16"/>
              </w:rPr>
            </w:pPr>
            <w:r w:rsidRPr="00873B6C">
              <w:rPr>
                <w:sz w:val="16"/>
                <w:szCs w:val="16"/>
              </w:rPr>
              <w:t>15.1.0</w:t>
            </w:r>
          </w:p>
        </w:tc>
      </w:tr>
      <w:tr w:rsidR="00D40151" w:rsidRPr="00873B6C" w14:paraId="577454BF" w14:textId="77777777" w:rsidTr="009D14FB">
        <w:tc>
          <w:tcPr>
            <w:tcW w:w="800" w:type="dxa"/>
            <w:shd w:val="solid" w:color="FFFFFF" w:fill="auto"/>
          </w:tcPr>
          <w:p w14:paraId="78DDD07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09245B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68915AF"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4411A7D3" w14:textId="77777777" w:rsidR="00D40151" w:rsidRPr="00873B6C" w:rsidRDefault="00D40151" w:rsidP="009D14FB">
            <w:pPr>
              <w:pStyle w:val="TAL"/>
              <w:rPr>
                <w:sz w:val="16"/>
                <w:szCs w:val="16"/>
              </w:rPr>
            </w:pPr>
            <w:r w:rsidRPr="00873B6C">
              <w:rPr>
                <w:sz w:val="16"/>
                <w:szCs w:val="16"/>
              </w:rPr>
              <w:t>0037</w:t>
            </w:r>
          </w:p>
        </w:tc>
        <w:tc>
          <w:tcPr>
            <w:tcW w:w="425" w:type="dxa"/>
            <w:shd w:val="solid" w:color="FFFFFF" w:fill="auto"/>
          </w:tcPr>
          <w:p w14:paraId="74602DE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8CDF87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C1EFAF" w14:textId="77777777" w:rsidR="00D40151" w:rsidRPr="00873B6C" w:rsidRDefault="00D40151" w:rsidP="009D14FB">
            <w:pPr>
              <w:pStyle w:val="TAL"/>
              <w:rPr>
                <w:sz w:val="16"/>
                <w:szCs w:val="16"/>
              </w:rPr>
            </w:pPr>
            <w:r w:rsidRPr="00873B6C">
              <w:rPr>
                <w:sz w:val="16"/>
                <w:szCs w:val="16"/>
              </w:rPr>
              <w:t>Correction to AF influence on traffic routing</w:t>
            </w:r>
          </w:p>
        </w:tc>
        <w:tc>
          <w:tcPr>
            <w:tcW w:w="708" w:type="dxa"/>
            <w:shd w:val="solid" w:color="FFFFFF" w:fill="auto"/>
          </w:tcPr>
          <w:p w14:paraId="2B14C91E" w14:textId="77777777" w:rsidR="00D40151" w:rsidRPr="00873B6C" w:rsidRDefault="00D40151" w:rsidP="009D14FB">
            <w:pPr>
              <w:pStyle w:val="TAC"/>
              <w:rPr>
                <w:sz w:val="16"/>
                <w:szCs w:val="16"/>
              </w:rPr>
            </w:pPr>
            <w:r w:rsidRPr="00873B6C">
              <w:rPr>
                <w:sz w:val="16"/>
                <w:szCs w:val="16"/>
              </w:rPr>
              <w:t>15.1.0</w:t>
            </w:r>
          </w:p>
        </w:tc>
      </w:tr>
      <w:tr w:rsidR="00D40151" w:rsidRPr="00873B6C" w14:paraId="4A9B6C6B" w14:textId="77777777" w:rsidTr="009D14FB">
        <w:tc>
          <w:tcPr>
            <w:tcW w:w="800" w:type="dxa"/>
            <w:shd w:val="solid" w:color="FFFFFF" w:fill="auto"/>
          </w:tcPr>
          <w:p w14:paraId="24E4085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B21488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6E72E3E"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DE5CEE7" w14:textId="77777777" w:rsidR="00D40151" w:rsidRPr="00873B6C" w:rsidRDefault="00D40151" w:rsidP="009D14FB">
            <w:pPr>
              <w:pStyle w:val="TAL"/>
              <w:rPr>
                <w:sz w:val="16"/>
                <w:szCs w:val="16"/>
              </w:rPr>
            </w:pPr>
            <w:r w:rsidRPr="00873B6C">
              <w:rPr>
                <w:sz w:val="16"/>
                <w:szCs w:val="16"/>
              </w:rPr>
              <w:t>0038</w:t>
            </w:r>
          </w:p>
        </w:tc>
        <w:tc>
          <w:tcPr>
            <w:tcW w:w="425" w:type="dxa"/>
            <w:shd w:val="solid" w:color="FFFFFF" w:fill="auto"/>
          </w:tcPr>
          <w:p w14:paraId="443F273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5D15F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4E3866" w14:textId="77777777" w:rsidR="00D40151" w:rsidRPr="00873B6C" w:rsidRDefault="00D40151" w:rsidP="009D14FB">
            <w:pPr>
              <w:pStyle w:val="TAL"/>
              <w:rPr>
                <w:sz w:val="16"/>
                <w:szCs w:val="16"/>
              </w:rPr>
            </w:pPr>
            <w:r w:rsidRPr="00873B6C">
              <w:rPr>
                <w:sz w:val="16"/>
                <w:szCs w:val="16"/>
              </w:rPr>
              <w:t>Clarifications to AF influence on traffic routing</w:t>
            </w:r>
          </w:p>
        </w:tc>
        <w:tc>
          <w:tcPr>
            <w:tcW w:w="708" w:type="dxa"/>
            <w:shd w:val="solid" w:color="FFFFFF" w:fill="auto"/>
          </w:tcPr>
          <w:p w14:paraId="2FD6482B" w14:textId="77777777" w:rsidR="00D40151" w:rsidRPr="00873B6C" w:rsidRDefault="00D40151" w:rsidP="009D14FB">
            <w:pPr>
              <w:pStyle w:val="TAC"/>
              <w:rPr>
                <w:sz w:val="16"/>
                <w:szCs w:val="16"/>
              </w:rPr>
            </w:pPr>
            <w:r w:rsidRPr="00873B6C">
              <w:rPr>
                <w:sz w:val="16"/>
                <w:szCs w:val="16"/>
              </w:rPr>
              <w:t>15.1.0</w:t>
            </w:r>
          </w:p>
        </w:tc>
      </w:tr>
      <w:tr w:rsidR="00D40151" w:rsidRPr="00873B6C" w14:paraId="00B71A80" w14:textId="77777777" w:rsidTr="009D14FB">
        <w:tc>
          <w:tcPr>
            <w:tcW w:w="800" w:type="dxa"/>
            <w:shd w:val="solid" w:color="FFFFFF" w:fill="auto"/>
          </w:tcPr>
          <w:p w14:paraId="479B13B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34F70C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9A739D8"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5F62F759" w14:textId="77777777" w:rsidR="00D40151" w:rsidRPr="00873B6C" w:rsidRDefault="00D40151" w:rsidP="009D14FB">
            <w:pPr>
              <w:pStyle w:val="TAL"/>
              <w:rPr>
                <w:sz w:val="16"/>
                <w:szCs w:val="16"/>
              </w:rPr>
            </w:pPr>
            <w:r w:rsidRPr="00873B6C">
              <w:rPr>
                <w:sz w:val="16"/>
                <w:szCs w:val="16"/>
              </w:rPr>
              <w:t>0039</w:t>
            </w:r>
          </w:p>
        </w:tc>
        <w:tc>
          <w:tcPr>
            <w:tcW w:w="425" w:type="dxa"/>
            <w:shd w:val="solid" w:color="FFFFFF" w:fill="auto"/>
          </w:tcPr>
          <w:p w14:paraId="72B7F00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580A0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909165" w14:textId="77777777" w:rsidR="00D40151" w:rsidRPr="00873B6C" w:rsidRDefault="00D40151" w:rsidP="009D14FB">
            <w:pPr>
              <w:pStyle w:val="TAL"/>
              <w:rPr>
                <w:sz w:val="16"/>
                <w:szCs w:val="16"/>
              </w:rPr>
            </w:pPr>
            <w:r w:rsidRPr="00873B6C">
              <w:rPr>
                <w:sz w:val="16"/>
                <w:szCs w:val="16"/>
              </w:rPr>
              <w:t>Clarify NSSF discovery</w:t>
            </w:r>
          </w:p>
        </w:tc>
        <w:tc>
          <w:tcPr>
            <w:tcW w:w="708" w:type="dxa"/>
            <w:shd w:val="solid" w:color="FFFFFF" w:fill="auto"/>
          </w:tcPr>
          <w:p w14:paraId="7F267082" w14:textId="77777777" w:rsidR="00D40151" w:rsidRPr="00873B6C" w:rsidRDefault="00D40151" w:rsidP="009D14FB">
            <w:pPr>
              <w:pStyle w:val="TAC"/>
              <w:rPr>
                <w:sz w:val="16"/>
                <w:szCs w:val="16"/>
              </w:rPr>
            </w:pPr>
            <w:r w:rsidRPr="00873B6C">
              <w:rPr>
                <w:sz w:val="16"/>
                <w:szCs w:val="16"/>
              </w:rPr>
              <w:t>15.1.0</w:t>
            </w:r>
          </w:p>
        </w:tc>
      </w:tr>
      <w:tr w:rsidR="00D40151" w:rsidRPr="00873B6C" w14:paraId="3B5F933E" w14:textId="77777777" w:rsidTr="009D14FB">
        <w:tc>
          <w:tcPr>
            <w:tcW w:w="800" w:type="dxa"/>
            <w:shd w:val="solid" w:color="FFFFFF" w:fill="auto"/>
          </w:tcPr>
          <w:p w14:paraId="0B8060D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10D94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C6B3EDC"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79574E8B" w14:textId="77777777" w:rsidR="00D40151" w:rsidRPr="00873B6C" w:rsidRDefault="00D40151" w:rsidP="009D14FB">
            <w:pPr>
              <w:pStyle w:val="TAL"/>
              <w:rPr>
                <w:sz w:val="16"/>
                <w:szCs w:val="16"/>
              </w:rPr>
            </w:pPr>
            <w:r w:rsidRPr="00873B6C">
              <w:rPr>
                <w:sz w:val="16"/>
                <w:szCs w:val="16"/>
              </w:rPr>
              <w:t>0040</w:t>
            </w:r>
          </w:p>
        </w:tc>
        <w:tc>
          <w:tcPr>
            <w:tcW w:w="425" w:type="dxa"/>
            <w:shd w:val="solid" w:color="FFFFFF" w:fill="auto"/>
          </w:tcPr>
          <w:p w14:paraId="256D156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DB8B8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83A157" w14:textId="77777777" w:rsidR="00D40151" w:rsidRPr="00873B6C" w:rsidRDefault="00D40151" w:rsidP="009D14FB">
            <w:pPr>
              <w:pStyle w:val="TAL"/>
              <w:rPr>
                <w:sz w:val="16"/>
                <w:szCs w:val="16"/>
              </w:rPr>
            </w:pPr>
            <w:r w:rsidRPr="00873B6C">
              <w:rPr>
                <w:sz w:val="16"/>
                <w:szCs w:val="16"/>
              </w:rPr>
              <w:t>Change subscribed S-NSSAI in UE to configured NSSAI of HPLMN</w:t>
            </w:r>
          </w:p>
        </w:tc>
        <w:tc>
          <w:tcPr>
            <w:tcW w:w="708" w:type="dxa"/>
            <w:shd w:val="solid" w:color="FFFFFF" w:fill="auto"/>
          </w:tcPr>
          <w:p w14:paraId="35D15967" w14:textId="77777777" w:rsidR="00D40151" w:rsidRPr="00873B6C" w:rsidRDefault="00D40151" w:rsidP="009D14FB">
            <w:pPr>
              <w:pStyle w:val="TAC"/>
              <w:rPr>
                <w:sz w:val="16"/>
                <w:szCs w:val="16"/>
              </w:rPr>
            </w:pPr>
            <w:r w:rsidRPr="00873B6C">
              <w:rPr>
                <w:sz w:val="16"/>
                <w:szCs w:val="16"/>
              </w:rPr>
              <w:t>15.1.0</w:t>
            </w:r>
          </w:p>
        </w:tc>
      </w:tr>
      <w:tr w:rsidR="00D40151" w:rsidRPr="00873B6C" w14:paraId="0AE56105" w14:textId="77777777" w:rsidTr="009D14FB">
        <w:tc>
          <w:tcPr>
            <w:tcW w:w="800" w:type="dxa"/>
            <w:shd w:val="solid" w:color="FFFFFF" w:fill="auto"/>
          </w:tcPr>
          <w:p w14:paraId="5CA08EA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68DBAC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642D51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5CF56556" w14:textId="77777777" w:rsidR="00D40151" w:rsidRPr="00873B6C" w:rsidRDefault="00D40151" w:rsidP="009D14FB">
            <w:pPr>
              <w:pStyle w:val="TAL"/>
              <w:rPr>
                <w:sz w:val="16"/>
                <w:szCs w:val="16"/>
              </w:rPr>
            </w:pPr>
            <w:r w:rsidRPr="00873B6C">
              <w:rPr>
                <w:sz w:val="16"/>
                <w:szCs w:val="16"/>
              </w:rPr>
              <w:t>0041</w:t>
            </w:r>
          </w:p>
        </w:tc>
        <w:tc>
          <w:tcPr>
            <w:tcW w:w="425" w:type="dxa"/>
            <w:shd w:val="solid" w:color="FFFFFF" w:fill="auto"/>
          </w:tcPr>
          <w:p w14:paraId="4D3D84D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1EC5F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9E3B1F" w14:textId="77777777" w:rsidR="00D40151" w:rsidRPr="00873B6C" w:rsidRDefault="00D40151" w:rsidP="009D14FB">
            <w:pPr>
              <w:pStyle w:val="TAL"/>
              <w:rPr>
                <w:sz w:val="16"/>
                <w:szCs w:val="16"/>
              </w:rPr>
            </w:pPr>
            <w:r w:rsidRPr="00873B6C">
              <w:rPr>
                <w:sz w:val="16"/>
                <w:szCs w:val="16"/>
              </w:rPr>
              <w:t>UDM discovery clarifications</w:t>
            </w:r>
          </w:p>
        </w:tc>
        <w:tc>
          <w:tcPr>
            <w:tcW w:w="708" w:type="dxa"/>
            <w:shd w:val="solid" w:color="FFFFFF" w:fill="auto"/>
          </w:tcPr>
          <w:p w14:paraId="784F07A6" w14:textId="77777777" w:rsidR="00D40151" w:rsidRPr="00873B6C" w:rsidRDefault="00D40151" w:rsidP="009D14FB">
            <w:pPr>
              <w:pStyle w:val="TAC"/>
              <w:rPr>
                <w:sz w:val="16"/>
                <w:szCs w:val="16"/>
              </w:rPr>
            </w:pPr>
            <w:r w:rsidRPr="00873B6C">
              <w:rPr>
                <w:sz w:val="16"/>
                <w:szCs w:val="16"/>
              </w:rPr>
              <w:t>15.1.0</w:t>
            </w:r>
          </w:p>
        </w:tc>
      </w:tr>
      <w:tr w:rsidR="00D40151" w:rsidRPr="00873B6C" w14:paraId="42C4EA2D" w14:textId="77777777" w:rsidTr="009D14FB">
        <w:tc>
          <w:tcPr>
            <w:tcW w:w="800" w:type="dxa"/>
            <w:shd w:val="solid" w:color="FFFFFF" w:fill="auto"/>
          </w:tcPr>
          <w:p w14:paraId="1CC7BE1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5D3E71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D5672A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1878EA60" w14:textId="77777777" w:rsidR="00D40151" w:rsidRPr="00873B6C" w:rsidRDefault="00D40151" w:rsidP="009D14FB">
            <w:pPr>
              <w:pStyle w:val="TAL"/>
              <w:rPr>
                <w:sz w:val="16"/>
                <w:szCs w:val="16"/>
              </w:rPr>
            </w:pPr>
            <w:r w:rsidRPr="00873B6C">
              <w:rPr>
                <w:sz w:val="16"/>
                <w:szCs w:val="16"/>
              </w:rPr>
              <w:t>0044</w:t>
            </w:r>
          </w:p>
        </w:tc>
        <w:tc>
          <w:tcPr>
            <w:tcW w:w="425" w:type="dxa"/>
            <w:shd w:val="solid" w:color="FFFFFF" w:fill="auto"/>
          </w:tcPr>
          <w:p w14:paraId="71C434D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F2B553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714C25" w14:textId="77777777" w:rsidR="00D40151" w:rsidRPr="00873B6C" w:rsidRDefault="00D40151" w:rsidP="009D14FB">
            <w:pPr>
              <w:pStyle w:val="TAL"/>
              <w:rPr>
                <w:sz w:val="16"/>
                <w:szCs w:val="16"/>
              </w:rPr>
            </w:pPr>
            <w:r w:rsidRPr="00873B6C">
              <w:rPr>
                <w:sz w:val="16"/>
                <w:szCs w:val="16"/>
              </w:rPr>
              <w:t>Corrections to UPF selection and resolution of related Editor's Note</w:t>
            </w:r>
          </w:p>
        </w:tc>
        <w:tc>
          <w:tcPr>
            <w:tcW w:w="708" w:type="dxa"/>
            <w:shd w:val="solid" w:color="FFFFFF" w:fill="auto"/>
          </w:tcPr>
          <w:p w14:paraId="7182D226" w14:textId="77777777" w:rsidR="00D40151" w:rsidRPr="00873B6C" w:rsidRDefault="00D40151" w:rsidP="009D14FB">
            <w:pPr>
              <w:pStyle w:val="TAC"/>
              <w:rPr>
                <w:sz w:val="16"/>
                <w:szCs w:val="16"/>
              </w:rPr>
            </w:pPr>
            <w:r w:rsidRPr="00873B6C">
              <w:rPr>
                <w:sz w:val="16"/>
                <w:szCs w:val="16"/>
              </w:rPr>
              <w:t>15.1.0</w:t>
            </w:r>
          </w:p>
        </w:tc>
      </w:tr>
      <w:tr w:rsidR="00D40151" w:rsidRPr="00873B6C" w14:paraId="4AD5AE81" w14:textId="77777777" w:rsidTr="009D14FB">
        <w:tc>
          <w:tcPr>
            <w:tcW w:w="800" w:type="dxa"/>
            <w:shd w:val="solid" w:color="FFFFFF" w:fill="auto"/>
          </w:tcPr>
          <w:p w14:paraId="1758894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A96525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3E19146"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6F8EF0B6" w14:textId="77777777" w:rsidR="00D40151" w:rsidRPr="00873B6C" w:rsidRDefault="00D40151" w:rsidP="009D14FB">
            <w:pPr>
              <w:pStyle w:val="TAL"/>
              <w:rPr>
                <w:sz w:val="16"/>
                <w:szCs w:val="16"/>
              </w:rPr>
            </w:pPr>
            <w:r w:rsidRPr="00873B6C">
              <w:rPr>
                <w:sz w:val="16"/>
                <w:szCs w:val="16"/>
              </w:rPr>
              <w:t>0045</w:t>
            </w:r>
          </w:p>
        </w:tc>
        <w:tc>
          <w:tcPr>
            <w:tcW w:w="425" w:type="dxa"/>
            <w:shd w:val="solid" w:color="FFFFFF" w:fill="auto"/>
          </w:tcPr>
          <w:p w14:paraId="59B55E7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DF6E2A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6253E6" w14:textId="77777777" w:rsidR="00D40151" w:rsidRPr="00873B6C" w:rsidRDefault="00D40151" w:rsidP="009D14FB">
            <w:pPr>
              <w:pStyle w:val="TAL"/>
              <w:rPr>
                <w:sz w:val="16"/>
                <w:szCs w:val="16"/>
              </w:rPr>
            </w:pPr>
            <w:r w:rsidRPr="00873B6C">
              <w:rPr>
                <w:sz w:val="16"/>
                <w:szCs w:val="16"/>
              </w:rPr>
              <w:t>Updates to the Security Edge Protection Proxy description</w:t>
            </w:r>
          </w:p>
        </w:tc>
        <w:tc>
          <w:tcPr>
            <w:tcW w:w="708" w:type="dxa"/>
            <w:shd w:val="solid" w:color="FFFFFF" w:fill="auto"/>
          </w:tcPr>
          <w:p w14:paraId="0E39649E" w14:textId="77777777" w:rsidR="00D40151" w:rsidRPr="00873B6C" w:rsidRDefault="00D40151" w:rsidP="009D14FB">
            <w:pPr>
              <w:pStyle w:val="TAC"/>
              <w:rPr>
                <w:sz w:val="16"/>
                <w:szCs w:val="16"/>
              </w:rPr>
            </w:pPr>
            <w:r w:rsidRPr="00873B6C">
              <w:rPr>
                <w:sz w:val="16"/>
                <w:szCs w:val="16"/>
              </w:rPr>
              <w:t>15.1.0</w:t>
            </w:r>
          </w:p>
        </w:tc>
      </w:tr>
      <w:tr w:rsidR="00D40151" w:rsidRPr="00873B6C" w14:paraId="5429BDA9" w14:textId="77777777" w:rsidTr="009D14FB">
        <w:tc>
          <w:tcPr>
            <w:tcW w:w="800" w:type="dxa"/>
            <w:shd w:val="solid" w:color="FFFFFF" w:fill="auto"/>
          </w:tcPr>
          <w:p w14:paraId="0294720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3E7C80C"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DF222BE"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D2BAE37" w14:textId="77777777" w:rsidR="00D40151" w:rsidRPr="00873B6C" w:rsidRDefault="00D40151" w:rsidP="009D14FB">
            <w:pPr>
              <w:pStyle w:val="TAL"/>
              <w:rPr>
                <w:sz w:val="16"/>
                <w:szCs w:val="16"/>
              </w:rPr>
            </w:pPr>
            <w:r w:rsidRPr="00873B6C">
              <w:rPr>
                <w:sz w:val="16"/>
                <w:szCs w:val="16"/>
              </w:rPr>
              <w:t>0046</w:t>
            </w:r>
          </w:p>
        </w:tc>
        <w:tc>
          <w:tcPr>
            <w:tcW w:w="425" w:type="dxa"/>
            <w:shd w:val="solid" w:color="FFFFFF" w:fill="auto"/>
          </w:tcPr>
          <w:p w14:paraId="5FC729A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694E16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98E791" w14:textId="77777777" w:rsidR="00D40151" w:rsidRPr="00873B6C" w:rsidRDefault="00D40151" w:rsidP="009D14FB">
            <w:pPr>
              <w:pStyle w:val="TAL"/>
              <w:rPr>
                <w:sz w:val="16"/>
                <w:szCs w:val="16"/>
              </w:rPr>
            </w:pPr>
            <w:r w:rsidRPr="00873B6C">
              <w:rPr>
                <w:sz w:val="16"/>
                <w:szCs w:val="16"/>
              </w:rPr>
              <w:t>Homogeneous support for IMS voice over PS Session supported indication</w:t>
            </w:r>
          </w:p>
        </w:tc>
        <w:tc>
          <w:tcPr>
            <w:tcW w:w="708" w:type="dxa"/>
            <w:shd w:val="solid" w:color="FFFFFF" w:fill="auto"/>
          </w:tcPr>
          <w:p w14:paraId="2CF87EEB" w14:textId="77777777" w:rsidR="00D40151" w:rsidRPr="00873B6C" w:rsidRDefault="00D40151" w:rsidP="009D14FB">
            <w:pPr>
              <w:pStyle w:val="TAC"/>
              <w:rPr>
                <w:sz w:val="16"/>
                <w:szCs w:val="16"/>
              </w:rPr>
            </w:pPr>
            <w:r w:rsidRPr="00873B6C">
              <w:rPr>
                <w:sz w:val="16"/>
                <w:szCs w:val="16"/>
              </w:rPr>
              <w:t>15.1.0</w:t>
            </w:r>
          </w:p>
        </w:tc>
      </w:tr>
      <w:tr w:rsidR="00D40151" w:rsidRPr="00873B6C" w14:paraId="085F1C15" w14:textId="77777777" w:rsidTr="009D14FB">
        <w:tc>
          <w:tcPr>
            <w:tcW w:w="800" w:type="dxa"/>
            <w:shd w:val="solid" w:color="FFFFFF" w:fill="auto"/>
          </w:tcPr>
          <w:p w14:paraId="605DD06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A10578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FFBCA83"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6994DAF4" w14:textId="77777777" w:rsidR="00D40151" w:rsidRPr="00873B6C" w:rsidRDefault="00D40151" w:rsidP="009D14FB">
            <w:pPr>
              <w:pStyle w:val="TAL"/>
              <w:rPr>
                <w:sz w:val="16"/>
                <w:szCs w:val="16"/>
              </w:rPr>
            </w:pPr>
            <w:r w:rsidRPr="00873B6C">
              <w:rPr>
                <w:sz w:val="16"/>
                <w:szCs w:val="16"/>
              </w:rPr>
              <w:t>0047</w:t>
            </w:r>
          </w:p>
        </w:tc>
        <w:tc>
          <w:tcPr>
            <w:tcW w:w="425" w:type="dxa"/>
            <w:shd w:val="solid" w:color="FFFFFF" w:fill="auto"/>
          </w:tcPr>
          <w:p w14:paraId="0EA0BAE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72EF7D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E7280E" w14:textId="77777777" w:rsidR="00D40151" w:rsidRPr="00873B6C" w:rsidRDefault="00D40151" w:rsidP="009D14FB">
            <w:pPr>
              <w:pStyle w:val="TAL"/>
              <w:rPr>
                <w:sz w:val="16"/>
                <w:szCs w:val="16"/>
              </w:rPr>
            </w:pPr>
            <w:r w:rsidRPr="00873B6C">
              <w:rPr>
                <w:sz w:val="16"/>
                <w:szCs w:val="16"/>
              </w:rPr>
              <w:t>Slice selection cleanup</w:t>
            </w:r>
          </w:p>
        </w:tc>
        <w:tc>
          <w:tcPr>
            <w:tcW w:w="708" w:type="dxa"/>
            <w:shd w:val="solid" w:color="FFFFFF" w:fill="auto"/>
          </w:tcPr>
          <w:p w14:paraId="11F89454" w14:textId="77777777" w:rsidR="00D40151" w:rsidRPr="00873B6C" w:rsidRDefault="00D40151" w:rsidP="009D14FB">
            <w:pPr>
              <w:pStyle w:val="TAC"/>
              <w:rPr>
                <w:sz w:val="16"/>
                <w:szCs w:val="16"/>
              </w:rPr>
            </w:pPr>
            <w:r w:rsidRPr="00873B6C">
              <w:rPr>
                <w:sz w:val="16"/>
                <w:szCs w:val="16"/>
              </w:rPr>
              <w:t>15.1.0</w:t>
            </w:r>
          </w:p>
        </w:tc>
      </w:tr>
      <w:tr w:rsidR="00D40151" w:rsidRPr="00873B6C" w14:paraId="30AB2314" w14:textId="77777777" w:rsidTr="009D14FB">
        <w:tc>
          <w:tcPr>
            <w:tcW w:w="800" w:type="dxa"/>
            <w:shd w:val="solid" w:color="FFFFFF" w:fill="auto"/>
          </w:tcPr>
          <w:p w14:paraId="43C502A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802D2B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F5BD7AF"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216E1670" w14:textId="77777777" w:rsidR="00D40151" w:rsidRPr="00873B6C" w:rsidRDefault="00D40151" w:rsidP="009D14FB">
            <w:pPr>
              <w:pStyle w:val="TAL"/>
              <w:rPr>
                <w:sz w:val="16"/>
                <w:szCs w:val="16"/>
              </w:rPr>
            </w:pPr>
            <w:r w:rsidRPr="00873B6C">
              <w:rPr>
                <w:sz w:val="16"/>
                <w:szCs w:val="16"/>
              </w:rPr>
              <w:t>0048</w:t>
            </w:r>
          </w:p>
        </w:tc>
        <w:tc>
          <w:tcPr>
            <w:tcW w:w="425" w:type="dxa"/>
            <w:shd w:val="solid" w:color="FFFFFF" w:fill="auto"/>
          </w:tcPr>
          <w:p w14:paraId="175F939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8ACE3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90B2C9" w14:textId="77777777" w:rsidR="00D40151" w:rsidRPr="00873B6C" w:rsidRDefault="00D40151" w:rsidP="009D14FB">
            <w:pPr>
              <w:pStyle w:val="TAL"/>
              <w:rPr>
                <w:sz w:val="16"/>
                <w:szCs w:val="16"/>
              </w:rPr>
            </w:pPr>
            <w:r w:rsidRPr="00873B6C">
              <w:rPr>
                <w:sz w:val="16"/>
                <w:szCs w:val="16"/>
              </w:rPr>
              <w:t>Resource reservation for services sharing priority</w:t>
            </w:r>
          </w:p>
        </w:tc>
        <w:tc>
          <w:tcPr>
            <w:tcW w:w="708" w:type="dxa"/>
            <w:shd w:val="solid" w:color="FFFFFF" w:fill="auto"/>
          </w:tcPr>
          <w:p w14:paraId="6927A328" w14:textId="77777777" w:rsidR="00D40151" w:rsidRPr="00873B6C" w:rsidRDefault="00D40151" w:rsidP="009D14FB">
            <w:pPr>
              <w:pStyle w:val="TAC"/>
              <w:rPr>
                <w:sz w:val="16"/>
                <w:szCs w:val="16"/>
              </w:rPr>
            </w:pPr>
            <w:r w:rsidRPr="00873B6C">
              <w:rPr>
                <w:sz w:val="16"/>
                <w:szCs w:val="16"/>
              </w:rPr>
              <w:t>15.1.0</w:t>
            </w:r>
          </w:p>
        </w:tc>
      </w:tr>
      <w:tr w:rsidR="00D40151" w:rsidRPr="00873B6C" w14:paraId="2CAAAF91" w14:textId="77777777" w:rsidTr="009D14FB">
        <w:tc>
          <w:tcPr>
            <w:tcW w:w="800" w:type="dxa"/>
            <w:shd w:val="solid" w:color="FFFFFF" w:fill="auto"/>
          </w:tcPr>
          <w:p w14:paraId="306D7F2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3B48AB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03A25C8"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1C85662" w14:textId="77777777" w:rsidR="00D40151" w:rsidRPr="00873B6C" w:rsidRDefault="00D40151" w:rsidP="009D14FB">
            <w:pPr>
              <w:pStyle w:val="TAL"/>
              <w:rPr>
                <w:sz w:val="16"/>
                <w:szCs w:val="16"/>
              </w:rPr>
            </w:pPr>
            <w:r w:rsidRPr="00873B6C">
              <w:rPr>
                <w:sz w:val="16"/>
                <w:szCs w:val="16"/>
              </w:rPr>
              <w:t>0049</w:t>
            </w:r>
          </w:p>
        </w:tc>
        <w:tc>
          <w:tcPr>
            <w:tcW w:w="425" w:type="dxa"/>
            <w:shd w:val="solid" w:color="FFFFFF" w:fill="auto"/>
          </w:tcPr>
          <w:p w14:paraId="7DA6904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9FA6AE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E43926" w14:textId="77777777" w:rsidR="00D40151" w:rsidRPr="00873B6C" w:rsidRDefault="00D40151" w:rsidP="009D14FB">
            <w:pPr>
              <w:pStyle w:val="TAL"/>
              <w:rPr>
                <w:sz w:val="16"/>
                <w:szCs w:val="16"/>
              </w:rPr>
            </w:pPr>
            <w:r w:rsidRPr="00873B6C">
              <w:rPr>
                <w:sz w:val="16"/>
                <w:szCs w:val="16"/>
              </w:rPr>
              <w:t>Replace PUI with GPSI</w:t>
            </w:r>
          </w:p>
        </w:tc>
        <w:tc>
          <w:tcPr>
            <w:tcW w:w="708" w:type="dxa"/>
            <w:shd w:val="solid" w:color="FFFFFF" w:fill="auto"/>
          </w:tcPr>
          <w:p w14:paraId="4C712BD0" w14:textId="77777777" w:rsidR="00D40151" w:rsidRPr="00873B6C" w:rsidRDefault="00D40151" w:rsidP="009D14FB">
            <w:pPr>
              <w:pStyle w:val="TAC"/>
              <w:rPr>
                <w:sz w:val="16"/>
                <w:szCs w:val="16"/>
              </w:rPr>
            </w:pPr>
            <w:r w:rsidRPr="00873B6C">
              <w:rPr>
                <w:sz w:val="16"/>
                <w:szCs w:val="16"/>
              </w:rPr>
              <w:t>15.1.0</w:t>
            </w:r>
          </w:p>
        </w:tc>
      </w:tr>
      <w:tr w:rsidR="00D40151" w:rsidRPr="00873B6C" w14:paraId="7AA8C5CD" w14:textId="77777777" w:rsidTr="009D14FB">
        <w:tc>
          <w:tcPr>
            <w:tcW w:w="800" w:type="dxa"/>
            <w:shd w:val="solid" w:color="FFFFFF" w:fill="auto"/>
          </w:tcPr>
          <w:p w14:paraId="2B1E21D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E044E7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64297D3"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03C751C6" w14:textId="77777777" w:rsidR="00D40151" w:rsidRPr="00873B6C" w:rsidRDefault="00D40151" w:rsidP="009D14FB">
            <w:pPr>
              <w:pStyle w:val="TAL"/>
              <w:rPr>
                <w:sz w:val="16"/>
                <w:szCs w:val="16"/>
              </w:rPr>
            </w:pPr>
            <w:r w:rsidRPr="00873B6C">
              <w:rPr>
                <w:sz w:val="16"/>
                <w:szCs w:val="16"/>
              </w:rPr>
              <w:t>0050</w:t>
            </w:r>
          </w:p>
        </w:tc>
        <w:tc>
          <w:tcPr>
            <w:tcW w:w="425" w:type="dxa"/>
            <w:shd w:val="solid" w:color="FFFFFF" w:fill="auto"/>
          </w:tcPr>
          <w:p w14:paraId="1098BD6C"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EA79D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4B1867" w14:textId="77777777" w:rsidR="00D40151" w:rsidRPr="00873B6C" w:rsidRDefault="00D40151" w:rsidP="009D14FB">
            <w:pPr>
              <w:pStyle w:val="TAL"/>
              <w:rPr>
                <w:sz w:val="16"/>
                <w:szCs w:val="16"/>
              </w:rPr>
            </w:pPr>
            <w:r w:rsidRPr="00873B6C">
              <w:rPr>
                <w:sz w:val="16"/>
                <w:szCs w:val="16"/>
              </w:rPr>
              <w:t>Idle and connected state terminology cleanup</w:t>
            </w:r>
          </w:p>
        </w:tc>
        <w:tc>
          <w:tcPr>
            <w:tcW w:w="708" w:type="dxa"/>
            <w:shd w:val="solid" w:color="FFFFFF" w:fill="auto"/>
          </w:tcPr>
          <w:p w14:paraId="4EF3D114" w14:textId="77777777" w:rsidR="00D40151" w:rsidRPr="00873B6C" w:rsidRDefault="00D40151" w:rsidP="009D14FB">
            <w:pPr>
              <w:pStyle w:val="TAC"/>
              <w:rPr>
                <w:sz w:val="16"/>
                <w:szCs w:val="16"/>
              </w:rPr>
            </w:pPr>
            <w:r w:rsidRPr="00873B6C">
              <w:rPr>
                <w:sz w:val="16"/>
                <w:szCs w:val="16"/>
              </w:rPr>
              <w:t>15.1.0</w:t>
            </w:r>
          </w:p>
        </w:tc>
      </w:tr>
      <w:tr w:rsidR="00D40151" w:rsidRPr="00873B6C" w14:paraId="69403FCD" w14:textId="77777777" w:rsidTr="009D14FB">
        <w:tc>
          <w:tcPr>
            <w:tcW w:w="800" w:type="dxa"/>
            <w:shd w:val="solid" w:color="FFFFFF" w:fill="auto"/>
          </w:tcPr>
          <w:p w14:paraId="37B94C0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AA55FA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553B110"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6BC5E0C" w14:textId="77777777" w:rsidR="00D40151" w:rsidRPr="00873B6C" w:rsidRDefault="00D40151" w:rsidP="009D14FB">
            <w:pPr>
              <w:pStyle w:val="TAL"/>
              <w:rPr>
                <w:sz w:val="16"/>
                <w:szCs w:val="16"/>
              </w:rPr>
            </w:pPr>
            <w:r w:rsidRPr="00873B6C">
              <w:rPr>
                <w:sz w:val="16"/>
                <w:szCs w:val="16"/>
              </w:rPr>
              <w:t>0051</w:t>
            </w:r>
          </w:p>
        </w:tc>
        <w:tc>
          <w:tcPr>
            <w:tcW w:w="425" w:type="dxa"/>
            <w:shd w:val="solid" w:color="FFFFFF" w:fill="auto"/>
          </w:tcPr>
          <w:p w14:paraId="4370C4C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839FF0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F894BE" w14:textId="77777777" w:rsidR="00D40151" w:rsidRPr="00873B6C" w:rsidRDefault="00D40151" w:rsidP="009D14FB">
            <w:pPr>
              <w:pStyle w:val="TAL"/>
              <w:rPr>
                <w:sz w:val="16"/>
                <w:szCs w:val="16"/>
              </w:rPr>
            </w:pPr>
            <w:r w:rsidRPr="00873B6C">
              <w:rPr>
                <w:sz w:val="16"/>
                <w:szCs w:val="16"/>
              </w:rPr>
              <w:t>NAS congestion control update</w:t>
            </w:r>
          </w:p>
        </w:tc>
        <w:tc>
          <w:tcPr>
            <w:tcW w:w="708" w:type="dxa"/>
            <w:shd w:val="solid" w:color="FFFFFF" w:fill="auto"/>
          </w:tcPr>
          <w:p w14:paraId="326F0C86" w14:textId="77777777" w:rsidR="00D40151" w:rsidRPr="00873B6C" w:rsidRDefault="00D40151" w:rsidP="009D14FB">
            <w:pPr>
              <w:pStyle w:val="TAC"/>
              <w:rPr>
                <w:sz w:val="16"/>
                <w:szCs w:val="16"/>
              </w:rPr>
            </w:pPr>
            <w:r w:rsidRPr="00873B6C">
              <w:rPr>
                <w:sz w:val="16"/>
                <w:szCs w:val="16"/>
              </w:rPr>
              <w:t>15.1.0</w:t>
            </w:r>
          </w:p>
        </w:tc>
      </w:tr>
      <w:tr w:rsidR="00D40151" w:rsidRPr="00873B6C" w14:paraId="47FE4B91" w14:textId="77777777" w:rsidTr="009D14FB">
        <w:tc>
          <w:tcPr>
            <w:tcW w:w="800" w:type="dxa"/>
            <w:shd w:val="solid" w:color="FFFFFF" w:fill="auto"/>
          </w:tcPr>
          <w:p w14:paraId="60DC947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93919F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EA4CB33"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3145A83" w14:textId="77777777" w:rsidR="00D40151" w:rsidRPr="00873B6C" w:rsidRDefault="00D40151" w:rsidP="009D14FB">
            <w:pPr>
              <w:pStyle w:val="TAL"/>
              <w:rPr>
                <w:sz w:val="16"/>
                <w:szCs w:val="16"/>
              </w:rPr>
            </w:pPr>
            <w:r w:rsidRPr="00873B6C">
              <w:rPr>
                <w:sz w:val="16"/>
                <w:szCs w:val="16"/>
              </w:rPr>
              <w:t>0052</w:t>
            </w:r>
          </w:p>
        </w:tc>
        <w:tc>
          <w:tcPr>
            <w:tcW w:w="425" w:type="dxa"/>
            <w:shd w:val="solid" w:color="FFFFFF" w:fill="auto"/>
          </w:tcPr>
          <w:p w14:paraId="7EE13E8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22809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F3BD76" w14:textId="77777777" w:rsidR="00D40151" w:rsidRPr="00873B6C" w:rsidRDefault="00D40151" w:rsidP="009D14FB">
            <w:pPr>
              <w:pStyle w:val="TAL"/>
              <w:rPr>
                <w:sz w:val="16"/>
                <w:szCs w:val="16"/>
              </w:rPr>
            </w:pPr>
            <w:r w:rsidRPr="00873B6C">
              <w:rPr>
                <w:sz w:val="16"/>
                <w:szCs w:val="16"/>
              </w:rPr>
              <w:t>Complete of IMS Emergency support in 5G including slice and local numbers</w:t>
            </w:r>
          </w:p>
        </w:tc>
        <w:tc>
          <w:tcPr>
            <w:tcW w:w="708" w:type="dxa"/>
            <w:shd w:val="solid" w:color="FFFFFF" w:fill="auto"/>
          </w:tcPr>
          <w:p w14:paraId="45B83CB8" w14:textId="77777777" w:rsidR="00D40151" w:rsidRPr="00873B6C" w:rsidRDefault="00D40151" w:rsidP="009D14FB">
            <w:pPr>
              <w:pStyle w:val="TAC"/>
              <w:rPr>
                <w:sz w:val="16"/>
                <w:szCs w:val="16"/>
              </w:rPr>
            </w:pPr>
            <w:r w:rsidRPr="00873B6C">
              <w:rPr>
                <w:sz w:val="16"/>
                <w:szCs w:val="16"/>
              </w:rPr>
              <w:t>15.1.0</w:t>
            </w:r>
          </w:p>
        </w:tc>
      </w:tr>
      <w:tr w:rsidR="00D40151" w:rsidRPr="00873B6C" w14:paraId="1EB5028C" w14:textId="77777777" w:rsidTr="009D14FB">
        <w:tc>
          <w:tcPr>
            <w:tcW w:w="800" w:type="dxa"/>
            <w:shd w:val="solid" w:color="FFFFFF" w:fill="auto"/>
          </w:tcPr>
          <w:p w14:paraId="01A5C2A9"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F297DB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5C9021F"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B630B06" w14:textId="77777777" w:rsidR="00D40151" w:rsidRPr="00873B6C" w:rsidRDefault="00D40151" w:rsidP="009D14FB">
            <w:pPr>
              <w:pStyle w:val="TAL"/>
              <w:rPr>
                <w:sz w:val="16"/>
                <w:szCs w:val="16"/>
              </w:rPr>
            </w:pPr>
            <w:r w:rsidRPr="00873B6C">
              <w:rPr>
                <w:sz w:val="16"/>
                <w:szCs w:val="16"/>
              </w:rPr>
              <w:t>0053</w:t>
            </w:r>
          </w:p>
        </w:tc>
        <w:tc>
          <w:tcPr>
            <w:tcW w:w="425" w:type="dxa"/>
            <w:shd w:val="solid" w:color="FFFFFF" w:fill="auto"/>
          </w:tcPr>
          <w:p w14:paraId="71AA9BA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92231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D2FC8E" w14:textId="77777777" w:rsidR="00D40151" w:rsidRPr="00873B6C" w:rsidRDefault="00D40151" w:rsidP="009D14FB">
            <w:pPr>
              <w:pStyle w:val="TAL"/>
              <w:rPr>
                <w:sz w:val="16"/>
                <w:szCs w:val="16"/>
              </w:rPr>
            </w:pPr>
            <w:r w:rsidRPr="00873B6C">
              <w:rPr>
                <w:sz w:val="16"/>
                <w:szCs w:val="16"/>
              </w:rPr>
              <w:t>Traffic mapping information that disallows UL packets</w:t>
            </w:r>
          </w:p>
        </w:tc>
        <w:tc>
          <w:tcPr>
            <w:tcW w:w="708" w:type="dxa"/>
            <w:shd w:val="solid" w:color="FFFFFF" w:fill="auto"/>
          </w:tcPr>
          <w:p w14:paraId="0C2FBEBD" w14:textId="77777777" w:rsidR="00D40151" w:rsidRPr="00873B6C" w:rsidRDefault="00D40151" w:rsidP="009D14FB">
            <w:pPr>
              <w:pStyle w:val="TAC"/>
              <w:rPr>
                <w:sz w:val="16"/>
                <w:szCs w:val="16"/>
              </w:rPr>
            </w:pPr>
            <w:r w:rsidRPr="00873B6C">
              <w:rPr>
                <w:sz w:val="16"/>
                <w:szCs w:val="16"/>
              </w:rPr>
              <w:t>15.1.0</w:t>
            </w:r>
          </w:p>
        </w:tc>
      </w:tr>
      <w:tr w:rsidR="00D40151" w:rsidRPr="00873B6C" w14:paraId="2894CCEA" w14:textId="77777777" w:rsidTr="009D14FB">
        <w:tc>
          <w:tcPr>
            <w:tcW w:w="800" w:type="dxa"/>
            <w:shd w:val="solid" w:color="FFFFFF" w:fill="auto"/>
          </w:tcPr>
          <w:p w14:paraId="212F7CF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5D8F95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FE2B654"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17799D0B" w14:textId="77777777" w:rsidR="00D40151" w:rsidRPr="00873B6C" w:rsidRDefault="00D40151" w:rsidP="009D14FB">
            <w:pPr>
              <w:pStyle w:val="TAL"/>
              <w:rPr>
                <w:sz w:val="16"/>
                <w:szCs w:val="16"/>
              </w:rPr>
            </w:pPr>
            <w:r w:rsidRPr="00873B6C">
              <w:rPr>
                <w:sz w:val="16"/>
                <w:szCs w:val="16"/>
              </w:rPr>
              <w:t>0054</w:t>
            </w:r>
          </w:p>
        </w:tc>
        <w:tc>
          <w:tcPr>
            <w:tcW w:w="425" w:type="dxa"/>
            <w:shd w:val="solid" w:color="FFFFFF" w:fill="auto"/>
          </w:tcPr>
          <w:p w14:paraId="2F8A71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D2C93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32831E" w14:textId="77777777" w:rsidR="00D40151" w:rsidRPr="00873B6C" w:rsidRDefault="00D40151" w:rsidP="009D14FB">
            <w:pPr>
              <w:pStyle w:val="TAL"/>
              <w:rPr>
                <w:sz w:val="16"/>
                <w:szCs w:val="16"/>
              </w:rPr>
            </w:pPr>
            <w:r w:rsidRPr="00873B6C">
              <w:rPr>
                <w:sz w:val="16"/>
                <w:szCs w:val="16"/>
              </w:rPr>
              <w:t>Clean-up of Characteristics signalling</w:t>
            </w:r>
          </w:p>
        </w:tc>
        <w:tc>
          <w:tcPr>
            <w:tcW w:w="708" w:type="dxa"/>
            <w:shd w:val="solid" w:color="FFFFFF" w:fill="auto"/>
          </w:tcPr>
          <w:p w14:paraId="46DD0850" w14:textId="77777777" w:rsidR="00D40151" w:rsidRPr="00873B6C" w:rsidRDefault="00D40151" w:rsidP="009D14FB">
            <w:pPr>
              <w:pStyle w:val="TAC"/>
              <w:rPr>
                <w:sz w:val="16"/>
                <w:szCs w:val="16"/>
              </w:rPr>
            </w:pPr>
            <w:r w:rsidRPr="00873B6C">
              <w:rPr>
                <w:sz w:val="16"/>
                <w:szCs w:val="16"/>
              </w:rPr>
              <w:t>15.1.0</w:t>
            </w:r>
          </w:p>
        </w:tc>
      </w:tr>
      <w:tr w:rsidR="00D40151" w:rsidRPr="00873B6C" w14:paraId="4B572E05" w14:textId="77777777" w:rsidTr="009D14FB">
        <w:tc>
          <w:tcPr>
            <w:tcW w:w="800" w:type="dxa"/>
            <w:shd w:val="solid" w:color="FFFFFF" w:fill="auto"/>
          </w:tcPr>
          <w:p w14:paraId="6F85FD6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25754C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B5D0407" w14:textId="77777777" w:rsidR="00D40151" w:rsidRPr="00873B6C" w:rsidRDefault="00D40151" w:rsidP="009D14FB">
            <w:pPr>
              <w:pStyle w:val="TAC"/>
              <w:rPr>
                <w:sz w:val="16"/>
                <w:szCs w:val="16"/>
              </w:rPr>
            </w:pPr>
            <w:r w:rsidRPr="00873B6C">
              <w:rPr>
                <w:sz w:val="16"/>
                <w:szCs w:val="16"/>
              </w:rPr>
              <w:t>SP-180093</w:t>
            </w:r>
          </w:p>
        </w:tc>
        <w:tc>
          <w:tcPr>
            <w:tcW w:w="567" w:type="dxa"/>
            <w:shd w:val="solid" w:color="FFFFFF" w:fill="auto"/>
          </w:tcPr>
          <w:p w14:paraId="6A706C4A" w14:textId="77777777" w:rsidR="00D40151" w:rsidRPr="00873B6C" w:rsidRDefault="00D40151" w:rsidP="009D14FB">
            <w:pPr>
              <w:pStyle w:val="TAL"/>
              <w:rPr>
                <w:sz w:val="16"/>
                <w:szCs w:val="16"/>
              </w:rPr>
            </w:pPr>
            <w:r w:rsidRPr="00873B6C">
              <w:rPr>
                <w:sz w:val="16"/>
                <w:szCs w:val="16"/>
              </w:rPr>
              <w:t>0055</w:t>
            </w:r>
          </w:p>
        </w:tc>
        <w:tc>
          <w:tcPr>
            <w:tcW w:w="425" w:type="dxa"/>
            <w:shd w:val="solid" w:color="FFFFFF" w:fill="auto"/>
          </w:tcPr>
          <w:p w14:paraId="75F74B7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B1611D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B7D64E" w14:textId="77777777" w:rsidR="00D40151" w:rsidRPr="00873B6C" w:rsidRDefault="00D40151" w:rsidP="009D14FB">
            <w:pPr>
              <w:pStyle w:val="TAL"/>
              <w:rPr>
                <w:sz w:val="16"/>
                <w:szCs w:val="16"/>
              </w:rPr>
            </w:pPr>
            <w:r w:rsidRPr="00873B6C">
              <w:rPr>
                <w:sz w:val="16"/>
                <w:szCs w:val="16"/>
              </w:rPr>
              <w:t>EPS Fallback for voice</w:t>
            </w:r>
          </w:p>
        </w:tc>
        <w:tc>
          <w:tcPr>
            <w:tcW w:w="708" w:type="dxa"/>
            <w:shd w:val="solid" w:color="FFFFFF" w:fill="auto"/>
          </w:tcPr>
          <w:p w14:paraId="0FA5165A" w14:textId="77777777" w:rsidR="00D40151" w:rsidRPr="00873B6C" w:rsidRDefault="00D40151" w:rsidP="009D14FB">
            <w:pPr>
              <w:pStyle w:val="TAC"/>
              <w:rPr>
                <w:sz w:val="16"/>
                <w:szCs w:val="16"/>
              </w:rPr>
            </w:pPr>
            <w:r w:rsidRPr="00873B6C">
              <w:rPr>
                <w:sz w:val="16"/>
                <w:szCs w:val="16"/>
              </w:rPr>
              <w:t>15.1.0</w:t>
            </w:r>
          </w:p>
        </w:tc>
      </w:tr>
      <w:tr w:rsidR="00D40151" w:rsidRPr="00873B6C" w14:paraId="50CD7567" w14:textId="77777777" w:rsidTr="009D14FB">
        <w:tc>
          <w:tcPr>
            <w:tcW w:w="800" w:type="dxa"/>
            <w:shd w:val="solid" w:color="FFFFFF" w:fill="auto"/>
          </w:tcPr>
          <w:p w14:paraId="6A8D5FEA" w14:textId="77777777" w:rsidR="00D40151" w:rsidRPr="00873B6C" w:rsidRDefault="00D40151" w:rsidP="00ED0998">
            <w:pPr>
              <w:pStyle w:val="TAC"/>
              <w:keepNext w:val="0"/>
              <w:rPr>
                <w:sz w:val="16"/>
                <w:szCs w:val="16"/>
              </w:rPr>
            </w:pPr>
            <w:r w:rsidRPr="00873B6C">
              <w:rPr>
                <w:sz w:val="16"/>
                <w:szCs w:val="16"/>
              </w:rPr>
              <w:t>03-2018</w:t>
            </w:r>
          </w:p>
        </w:tc>
        <w:tc>
          <w:tcPr>
            <w:tcW w:w="800" w:type="dxa"/>
            <w:shd w:val="solid" w:color="FFFFFF" w:fill="auto"/>
          </w:tcPr>
          <w:p w14:paraId="4CA575A4" w14:textId="77777777" w:rsidR="00D40151" w:rsidRPr="00873B6C" w:rsidRDefault="00D40151" w:rsidP="00ED0998">
            <w:pPr>
              <w:pStyle w:val="TAC"/>
              <w:keepNext w:val="0"/>
              <w:rPr>
                <w:sz w:val="16"/>
                <w:szCs w:val="16"/>
              </w:rPr>
            </w:pPr>
            <w:r w:rsidRPr="00873B6C">
              <w:rPr>
                <w:sz w:val="16"/>
                <w:szCs w:val="16"/>
              </w:rPr>
              <w:t>SP#79</w:t>
            </w:r>
          </w:p>
        </w:tc>
        <w:tc>
          <w:tcPr>
            <w:tcW w:w="1094" w:type="dxa"/>
            <w:shd w:val="solid" w:color="FFFFFF" w:fill="auto"/>
          </w:tcPr>
          <w:p w14:paraId="029EE20F" w14:textId="77777777" w:rsidR="00D40151" w:rsidRPr="00873B6C" w:rsidRDefault="00D40151" w:rsidP="00ED0998">
            <w:pPr>
              <w:pStyle w:val="TAC"/>
              <w:keepNext w:val="0"/>
              <w:rPr>
                <w:sz w:val="16"/>
                <w:szCs w:val="16"/>
              </w:rPr>
            </w:pPr>
            <w:r w:rsidRPr="00873B6C">
              <w:rPr>
                <w:sz w:val="16"/>
                <w:szCs w:val="16"/>
              </w:rPr>
              <w:t>SP-180098</w:t>
            </w:r>
          </w:p>
        </w:tc>
        <w:tc>
          <w:tcPr>
            <w:tcW w:w="567" w:type="dxa"/>
            <w:shd w:val="solid" w:color="FFFFFF" w:fill="auto"/>
          </w:tcPr>
          <w:p w14:paraId="245305E2" w14:textId="77777777" w:rsidR="00D40151" w:rsidRPr="00873B6C" w:rsidRDefault="00D40151" w:rsidP="00ED0998">
            <w:pPr>
              <w:pStyle w:val="TAL"/>
              <w:keepNext w:val="0"/>
              <w:rPr>
                <w:sz w:val="16"/>
                <w:szCs w:val="16"/>
              </w:rPr>
            </w:pPr>
            <w:r w:rsidRPr="00873B6C">
              <w:rPr>
                <w:sz w:val="16"/>
                <w:szCs w:val="16"/>
              </w:rPr>
              <w:t>0056</w:t>
            </w:r>
          </w:p>
        </w:tc>
        <w:tc>
          <w:tcPr>
            <w:tcW w:w="425" w:type="dxa"/>
            <w:shd w:val="solid" w:color="FFFFFF" w:fill="auto"/>
          </w:tcPr>
          <w:p w14:paraId="20157DEE" w14:textId="77777777" w:rsidR="00D40151" w:rsidRPr="00873B6C" w:rsidRDefault="00D40151" w:rsidP="00ED0998">
            <w:pPr>
              <w:pStyle w:val="TAL"/>
              <w:keepNext w:val="0"/>
              <w:rPr>
                <w:sz w:val="16"/>
                <w:szCs w:val="16"/>
              </w:rPr>
            </w:pPr>
            <w:r w:rsidRPr="00873B6C">
              <w:rPr>
                <w:sz w:val="16"/>
                <w:szCs w:val="16"/>
              </w:rPr>
              <w:t>1</w:t>
            </w:r>
          </w:p>
        </w:tc>
        <w:tc>
          <w:tcPr>
            <w:tcW w:w="425" w:type="dxa"/>
            <w:shd w:val="solid" w:color="FFFFFF" w:fill="auto"/>
          </w:tcPr>
          <w:p w14:paraId="738CE13C" w14:textId="77777777" w:rsidR="00D40151" w:rsidRPr="00873B6C" w:rsidRDefault="00D40151" w:rsidP="00ED0998">
            <w:pPr>
              <w:pStyle w:val="TAL"/>
              <w:keepNext w:val="0"/>
              <w:rPr>
                <w:sz w:val="16"/>
                <w:szCs w:val="16"/>
              </w:rPr>
            </w:pPr>
            <w:r w:rsidRPr="00873B6C">
              <w:rPr>
                <w:sz w:val="16"/>
                <w:szCs w:val="16"/>
              </w:rPr>
              <w:t>F</w:t>
            </w:r>
          </w:p>
        </w:tc>
        <w:tc>
          <w:tcPr>
            <w:tcW w:w="4820" w:type="dxa"/>
            <w:shd w:val="solid" w:color="FFFFFF" w:fill="auto"/>
          </w:tcPr>
          <w:p w14:paraId="7EA9A976" w14:textId="77777777" w:rsidR="00D40151" w:rsidRPr="00873B6C" w:rsidRDefault="00D40151" w:rsidP="00ED0998">
            <w:pPr>
              <w:pStyle w:val="TAL"/>
              <w:keepNext w:val="0"/>
              <w:rPr>
                <w:sz w:val="16"/>
                <w:szCs w:val="16"/>
              </w:rPr>
            </w:pPr>
            <w:r w:rsidRPr="00873B6C">
              <w:rPr>
                <w:sz w:val="16"/>
                <w:szCs w:val="16"/>
              </w:rPr>
              <w:t>Network sharing prioritised PLMN handling</w:t>
            </w:r>
          </w:p>
        </w:tc>
        <w:tc>
          <w:tcPr>
            <w:tcW w:w="708" w:type="dxa"/>
            <w:shd w:val="solid" w:color="FFFFFF" w:fill="auto"/>
          </w:tcPr>
          <w:p w14:paraId="4DD71F02" w14:textId="77777777" w:rsidR="00D40151" w:rsidRPr="00873B6C" w:rsidRDefault="00D40151" w:rsidP="00ED0998">
            <w:pPr>
              <w:pStyle w:val="TAC"/>
              <w:keepNext w:val="0"/>
              <w:rPr>
                <w:sz w:val="16"/>
                <w:szCs w:val="16"/>
              </w:rPr>
            </w:pPr>
            <w:r w:rsidRPr="00873B6C">
              <w:rPr>
                <w:sz w:val="16"/>
                <w:szCs w:val="16"/>
              </w:rPr>
              <w:t>15.1.0</w:t>
            </w:r>
          </w:p>
        </w:tc>
      </w:tr>
      <w:tr w:rsidR="00D40151" w:rsidRPr="00873B6C" w14:paraId="34D0EBBF" w14:textId="77777777" w:rsidTr="009D14FB">
        <w:tc>
          <w:tcPr>
            <w:tcW w:w="800" w:type="dxa"/>
            <w:shd w:val="solid" w:color="FFFFFF" w:fill="auto"/>
          </w:tcPr>
          <w:p w14:paraId="751DDCE9" w14:textId="77777777" w:rsidR="00D40151" w:rsidRPr="00873B6C" w:rsidRDefault="00D40151" w:rsidP="009D14FB">
            <w:pPr>
              <w:pStyle w:val="TAC"/>
              <w:rPr>
                <w:sz w:val="16"/>
                <w:szCs w:val="16"/>
              </w:rPr>
            </w:pPr>
            <w:r w:rsidRPr="00873B6C">
              <w:rPr>
                <w:sz w:val="16"/>
                <w:szCs w:val="16"/>
              </w:rPr>
              <w:lastRenderedPageBreak/>
              <w:t>03-2018</w:t>
            </w:r>
          </w:p>
        </w:tc>
        <w:tc>
          <w:tcPr>
            <w:tcW w:w="800" w:type="dxa"/>
            <w:shd w:val="solid" w:color="FFFFFF" w:fill="auto"/>
          </w:tcPr>
          <w:p w14:paraId="15B0D77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C46138B"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6768A13F" w14:textId="77777777" w:rsidR="00D40151" w:rsidRPr="00873B6C" w:rsidRDefault="00D40151" w:rsidP="009D14FB">
            <w:pPr>
              <w:pStyle w:val="TAL"/>
              <w:rPr>
                <w:sz w:val="16"/>
                <w:szCs w:val="16"/>
              </w:rPr>
            </w:pPr>
            <w:r w:rsidRPr="00873B6C">
              <w:rPr>
                <w:sz w:val="16"/>
                <w:szCs w:val="16"/>
              </w:rPr>
              <w:t>0057</w:t>
            </w:r>
          </w:p>
        </w:tc>
        <w:tc>
          <w:tcPr>
            <w:tcW w:w="425" w:type="dxa"/>
            <w:shd w:val="solid" w:color="FFFFFF" w:fill="auto"/>
          </w:tcPr>
          <w:p w14:paraId="33FEE15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41810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2B2685" w14:textId="77777777" w:rsidR="00D40151" w:rsidRPr="00873B6C" w:rsidRDefault="00D40151" w:rsidP="009D14FB">
            <w:pPr>
              <w:pStyle w:val="TAL"/>
              <w:rPr>
                <w:sz w:val="16"/>
                <w:szCs w:val="16"/>
              </w:rPr>
            </w:pPr>
            <w:r w:rsidRPr="00873B6C">
              <w:rPr>
                <w:sz w:val="16"/>
                <w:szCs w:val="16"/>
              </w:rPr>
              <w:t>Corrections to Combined N3IWF/ePDG Selection</w:t>
            </w:r>
          </w:p>
        </w:tc>
        <w:tc>
          <w:tcPr>
            <w:tcW w:w="708" w:type="dxa"/>
            <w:shd w:val="solid" w:color="FFFFFF" w:fill="auto"/>
          </w:tcPr>
          <w:p w14:paraId="24719795" w14:textId="77777777" w:rsidR="00D40151" w:rsidRPr="00873B6C" w:rsidRDefault="00D40151" w:rsidP="009D14FB">
            <w:pPr>
              <w:pStyle w:val="TAC"/>
              <w:rPr>
                <w:sz w:val="16"/>
                <w:szCs w:val="16"/>
              </w:rPr>
            </w:pPr>
            <w:r w:rsidRPr="00873B6C">
              <w:rPr>
                <w:sz w:val="16"/>
                <w:szCs w:val="16"/>
              </w:rPr>
              <w:t>15.1.0</w:t>
            </w:r>
          </w:p>
        </w:tc>
      </w:tr>
      <w:tr w:rsidR="00D40151" w:rsidRPr="00873B6C" w14:paraId="4957341A" w14:textId="77777777" w:rsidTr="009D14FB">
        <w:tc>
          <w:tcPr>
            <w:tcW w:w="800" w:type="dxa"/>
            <w:shd w:val="solid" w:color="FFFFFF" w:fill="auto"/>
          </w:tcPr>
          <w:p w14:paraId="4DF0D63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B565E3C"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B69F95E"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1B904F43" w14:textId="77777777" w:rsidR="00D40151" w:rsidRPr="00873B6C" w:rsidRDefault="00D40151" w:rsidP="009D14FB">
            <w:pPr>
              <w:pStyle w:val="TAL"/>
              <w:rPr>
                <w:sz w:val="16"/>
                <w:szCs w:val="16"/>
              </w:rPr>
            </w:pPr>
            <w:r w:rsidRPr="00873B6C">
              <w:rPr>
                <w:sz w:val="16"/>
                <w:szCs w:val="16"/>
              </w:rPr>
              <w:t>0058</w:t>
            </w:r>
          </w:p>
        </w:tc>
        <w:tc>
          <w:tcPr>
            <w:tcW w:w="425" w:type="dxa"/>
            <w:shd w:val="solid" w:color="FFFFFF" w:fill="auto"/>
          </w:tcPr>
          <w:p w14:paraId="0A3D751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C1AC3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F901BE" w14:textId="77777777" w:rsidR="00D40151" w:rsidRPr="00873B6C" w:rsidRDefault="00D40151" w:rsidP="009D14FB">
            <w:pPr>
              <w:pStyle w:val="TAL"/>
              <w:rPr>
                <w:sz w:val="16"/>
                <w:szCs w:val="16"/>
              </w:rPr>
            </w:pPr>
            <w:r w:rsidRPr="00873B6C">
              <w:rPr>
                <w:sz w:val="16"/>
                <w:szCs w:val="16"/>
              </w:rPr>
              <w:t>Moving Network Analytics functionality into 23.501</w:t>
            </w:r>
          </w:p>
        </w:tc>
        <w:tc>
          <w:tcPr>
            <w:tcW w:w="708" w:type="dxa"/>
            <w:shd w:val="solid" w:color="FFFFFF" w:fill="auto"/>
          </w:tcPr>
          <w:p w14:paraId="0DC49365" w14:textId="77777777" w:rsidR="00D40151" w:rsidRPr="00873B6C" w:rsidRDefault="00D40151" w:rsidP="009D14FB">
            <w:pPr>
              <w:pStyle w:val="TAC"/>
              <w:rPr>
                <w:sz w:val="16"/>
                <w:szCs w:val="16"/>
              </w:rPr>
            </w:pPr>
            <w:r w:rsidRPr="00873B6C">
              <w:rPr>
                <w:sz w:val="16"/>
                <w:szCs w:val="16"/>
              </w:rPr>
              <w:t>15.1.0</w:t>
            </w:r>
          </w:p>
        </w:tc>
      </w:tr>
      <w:tr w:rsidR="00D40151" w:rsidRPr="00873B6C" w14:paraId="6B3E1525" w14:textId="77777777" w:rsidTr="009D14FB">
        <w:tc>
          <w:tcPr>
            <w:tcW w:w="800" w:type="dxa"/>
            <w:shd w:val="solid" w:color="FFFFFF" w:fill="auto"/>
          </w:tcPr>
          <w:p w14:paraId="31769BF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E4945D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C0A1CE8"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3B03C028" w14:textId="77777777" w:rsidR="00D40151" w:rsidRPr="00873B6C" w:rsidRDefault="00D40151" w:rsidP="009D14FB">
            <w:pPr>
              <w:pStyle w:val="TAL"/>
              <w:rPr>
                <w:sz w:val="16"/>
                <w:szCs w:val="16"/>
              </w:rPr>
            </w:pPr>
            <w:r w:rsidRPr="00873B6C">
              <w:rPr>
                <w:sz w:val="16"/>
                <w:szCs w:val="16"/>
              </w:rPr>
              <w:t>0061</w:t>
            </w:r>
          </w:p>
        </w:tc>
        <w:tc>
          <w:tcPr>
            <w:tcW w:w="425" w:type="dxa"/>
            <w:shd w:val="solid" w:color="FFFFFF" w:fill="auto"/>
          </w:tcPr>
          <w:p w14:paraId="19EF8A2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5931E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0FBB3D" w14:textId="77777777" w:rsidR="00D40151" w:rsidRPr="00873B6C" w:rsidRDefault="00D40151" w:rsidP="009D14FB">
            <w:pPr>
              <w:pStyle w:val="TAL"/>
              <w:rPr>
                <w:sz w:val="16"/>
                <w:szCs w:val="16"/>
              </w:rPr>
            </w:pPr>
            <w:r w:rsidRPr="00873B6C">
              <w:rPr>
                <w:sz w:val="16"/>
                <w:szCs w:val="16"/>
              </w:rPr>
              <w:t>Clarification on UDR</w:t>
            </w:r>
          </w:p>
        </w:tc>
        <w:tc>
          <w:tcPr>
            <w:tcW w:w="708" w:type="dxa"/>
            <w:shd w:val="solid" w:color="FFFFFF" w:fill="auto"/>
          </w:tcPr>
          <w:p w14:paraId="1E8EE6EF" w14:textId="77777777" w:rsidR="00D40151" w:rsidRPr="00873B6C" w:rsidRDefault="00D40151" w:rsidP="009D14FB">
            <w:pPr>
              <w:pStyle w:val="TAC"/>
              <w:rPr>
                <w:sz w:val="16"/>
                <w:szCs w:val="16"/>
              </w:rPr>
            </w:pPr>
            <w:r w:rsidRPr="00873B6C">
              <w:rPr>
                <w:sz w:val="16"/>
                <w:szCs w:val="16"/>
              </w:rPr>
              <w:t>15.1.0</w:t>
            </w:r>
          </w:p>
        </w:tc>
      </w:tr>
      <w:tr w:rsidR="00D40151" w:rsidRPr="00873B6C" w14:paraId="4F40C061" w14:textId="77777777" w:rsidTr="009D14FB">
        <w:tc>
          <w:tcPr>
            <w:tcW w:w="800" w:type="dxa"/>
            <w:shd w:val="solid" w:color="FFFFFF" w:fill="auto"/>
          </w:tcPr>
          <w:p w14:paraId="47BE20B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3FA7C2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B7AA6D0"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B5E3295" w14:textId="77777777" w:rsidR="00D40151" w:rsidRPr="00873B6C" w:rsidRDefault="00D40151" w:rsidP="009D14FB">
            <w:pPr>
              <w:pStyle w:val="TAL"/>
              <w:rPr>
                <w:sz w:val="16"/>
                <w:szCs w:val="16"/>
              </w:rPr>
            </w:pPr>
            <w:r w:rsidRPr="00873B6C">
              <w:rPr>
                <w:sz w:val="16"/>
                <w:szCs w:val="16"/>
              </w:rPr>
              <w:t>0062</w:t>
            </w:r>
          </w:p>
        </w:tc>
        <w:tc>
          <w:tcPr>
            <w:tcW w:w="425" w:type="dxa"/>
            <w:shd w:val="solid" w:color="FFFFFF" w:fill="auto"/>
          </w:tcPr>
          <w:p w14:paraId="77C760B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6D6E7A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811BDF" w14:textId="77777777" w:rsidR="00D40151" w:rsidRPr="00873B6C" w:rsidRDefault="00D40151" w:rsidP="009D14FB">
            <w:pPr>
              <w:pStyle w:val="TAL"/>
              <w:rPr>
                <w:sz w:val="16"/>
                <w:szCs w:val="16"/>
              </w:rPr>
            </w:pPr>
            <w:r w:rsidRPr="00873B6C">
              <w:rPr>
                <w:sz w:val="16"/>
                <w:szCs w:val="16"/>
              </w:rPr>
              <w:t>QFI in N9</w:t>
            </w:r>
          </w:p>
        </w:tc>
        <w:tc>
          <w:tcPr>
            <w:tcW w:w="708" w:type="dxa"/>
            <w:shd w:val="solid" w:color="FFFFFF" w:fill="auto"/>
          </w:tcPr>
          <w:p w14:paraId="0D173B0B" w14:textId="77777777" w:rsidR="00D40151" w:rsidRPr="00873B6C" w:rsidRDefault="00D40151" w:rsidP="009D14FB">
            <w:pPr>
              <w:pStyle w:val="TAC"/>
              <w:rPr>
                <w:sz w:val="16"/>
                <w:szCs w:val="16"/>
              </w:rPr>
            </w:pPr>
            <w:r w:rsidRPr="00873B6C">
              <w:rPr>
                <w:sz w:val="16"/>
                <w:szCs w:val="16"/>
              </w:rPr>
              <w:t>15.1.0</w:t>
            </w:r>
          </w:p>
        </w:tc>
      </w:tr>
      <w:tr w:rsidR="00D40151" w:rsidRPr="00873B6C" w14:paraId="672CF6AE" w14:textId="77777777" w:rsidTr="009D14FB">
        <w:tc>
          <w:tcPr>
            <w:tcW w:w="800" w:type="dxa"/>
            <w:shd w:val="solid" w:color="FFFFFF" w:fill="auto"/>
          </w:tcPr>
          <w:p w14:paraId="0221299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D459CB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298D812"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3CA5E3A3" w14:textId="77777777" w:rsidR="00D40151" w:rsidRPr="00873B6C" w:rsidRDefault="00D40151" w:rsidP="009D14FB">
            <w:pPr>
              <w:pStyle w:val="TAL"/>
              <w:rPr>
                <w:sz w:val="16"/>
                <w:szCs w:val="16"/>
              </w:rPr>
            </w:pPr>
            <w:r w:rsidRPr="00873B6C">
              <w:rPr>
                <w:sz w:val="16"/>
                <w:szCs w:val="16"/>
              </w:rPr>
              <w:t>0063</w:t>
            </w:r>
          </w:p>
        </w:tc>
        <w:tc>
          <w:tcPr>
            <w:tcW w:w="425" w:type="dxa"/>
            <w:shd w:val="solid" w:color="FFFFFF" w:fill="auto"/>
          </w:tcPr>
          <w:p w14:paraId="431AA76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95EE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F7A92F" w14:textId="77777777" w:rsidR="00D40151" w:rsidRPr="00873B6C" w:rsidRDefault="00D40151" w:rsidP="009D14FB">
            <w:pPr>
              <w:pStyle w:val="TAL"/>
              <w:rPr>
                <w:sz w:val="16"/>
                <w:szCs w:val="16"/>
              </w:rPr>
            </w:pPr>
            <w:r w:rsidRPr="00873B6C">
              <w:rPr>
                <w:sz w:val="16"/>
                <w:szCs w:val="16"/>
              </w:rPr>
              <w:t>NF Service Discovery Corrections</w:t>
            </w:r>
          </w:p>
        </w:tc>
        <w:tc>
          <w:tcPr>
            <w:tcW w:w="708" w:type="dxa"/>
            <w:shd w:val="solid" w:color="FFFFFF" w:fill="auto"/>
          </w:tcPr>
          <w:p w14:paraId="32224139" w14:textId="77777777" w:rsidR="00D40151" w:rsidRPr="00873B6C" w:rsidRDefault="00D40151" w:rsidP="009D14FB">
            <w:pPr>
              <w:pStyle w:val="TAC"/>
              <w:rPr>
                <w:sz w:val="16"/>
                <w:szCs w:val="16"/>
              </w:rPr>
            </w:pPr>
            <w:r w:rsidRPr="00873B6C">
              <w:rPr>
                <w:sz w:val="16"/>
                <w:szCs w:val="16"/>
              </w:rPr>
              <w:t>15.1.0</w:t>
            </w:r>
          </w:p>
        </w:tc>
      </w:tr>
      <w:tr w:rsidR="00D40151" w:rsidRPr="00873B6C" w14:paraId="2D8F7F61" w14:textId="77777777" w:rsidTr="009D14FB">
        <w:tc>
          <w:tcPr>
            <w:tcW w:w="800" w:type="dxa"/>
            <w:shd w:val="solid" w:color="FFFFFF" w:fill="auto"/>
          </w:tcPr>
          <w:p w14:paraId="43005C49"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FE125A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B6E35EE"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E17E991" w14:textId="77777777" w:rsidR="00D40151" w:rsidRPr="00873B6C" w:rsidRDefault="00D40151" w:rsidP="009D14FB">
            <w:pPr>
              <w:pStyle w:val="TAL"/>
              <w:rPr>
                <w:sz w:val="16"/>
                <w:szCs w:val="16"/>
              </w:rPr>
            </w:pPr>
            <w:r w:rsidRPr="00873B6C">
              <w:rPr>
                <w:sz w:val="16"/>
                <w:szCs w:val="16"/>
              </w:rPr>
              <w:t>0064</w:t>
            </w:r>
          </w:p>
        </w:tc>
        <w:tc>
          <w:tcPr>
            <w:tcW w:w="425" w:type="dxa"/>
            <w:shd w:val="solid" w:color="FFFFFF" w:fill="auto"/>
          </w:tcPr>
          <w:p w14:paraId="06682E2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5BE624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CD4A22" w14:textId="77777777" w:rsidR="00D40151" w:rsidRPr="00873B6C" w:rsidRDefault="00D40151" w:rsidP="009D14FB">
            <w:pPr>
              <w:pStyle w:val="TAL"/>
              <w:rPr>
                <w:sz w:val="16"/>
                <w:szCs w:val="16"/>
              </w:rPr>
            </w:pPr>
            <w:r w:rsidRPr="00873B6C">
              <w:rPr>
                <w:sz w:val="16"/>
                <w:szCs w:val="16"/>
              </w:rPr>
              <w:t>UE mobility event notification</w:t>
            </w:r>
          </w:p>
        </w:tc>
        <w:tc>
          <w:tcPr>
            <w:tcW w:w="708" w:type="dxa"/>
            <w:shd w:val="solid" w:color="FFFFFF" w:fill="auto"/>
          </w:tcPr>
          <w:p w14:paraId="05A1DC5D" w14:textId="77777777" w:rsidR="00D40151" w:rsidRPr="00873B6C" w:rsidRDefault="00D40151" w:rsidP="009D14FB">
            <w:pPr>
              <w:pStyle w:val="TAC"/>
              <w:rPr>
                <w:sz w:val="16"/>
                <w:szCs w:val="16"/>
              </w:rPr>
            </w:pPr>
            <w:r w:rsidRPr="00873B6C">
              <w:rPr>
                <w:sz w:val="16"/>
                <w:szCs w:val="16"/>
              </w:rPr>
              <w:t>15.1.0</w:t>
            </w:r>
          </w:p>
        </w:tc>
      </w:tr>
      <w:tr w:rsidR="00D40151" w:rsidRPr="00873B6C" w14:paraId="40DDBEAA" w14:textId="77777777" w:rsidTr="009D14FB">
        <w:tc>
          <w:tcPr>
            <w:tcW w:w="800" w:type="dxa"/>
            <w:shd w:val="solid" w:color="FFFFFF" w:fill="auto"/>
          </w:tcPr>
          <w:p w14:paraId="75166A6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7FDCEA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EEDF4FF"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69DCBF1D" w14:textId="77777777" w:rsidR="00D40151" w:rsidRPr="00873B6C" w:rsidRDefault="00D40151" w:rsidP="009D14FB">
            <w:pPr>
              <w:pStyle w:val="TAL"/>
              <w:rPr>
                <w:sz w:val="16"/>
                <w:szCs w:val="16"/>
              </w:rPr>
            </w:pPr>
            <w:r w:rsidRPr="00873B6C">
              <w:rPr>
                <w:sz w:val="16"/>
                <w:szCs w:val="16"/>
              </w:rPr>
              <w:t>0066</w:t>
            </w:r>
          </w:p>
        </w:tc>
        <w:tc>
          <w:tcPr>
            <w:tcW w:w="425" w:type="dxa"/>
            <w:shd w:val="solid" w:color="FFFFFF" w:fill="auto"/>
          </w:tcPr>
          <w:p w14:paraId="549CABA0"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9710F24"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215E8EC7" w14:textId="77777777" w:rsidR="00D40151" w:rsidRPr="00873B6C" w:rsidRDefault="00D40151" w:rsidP="009D14FB">
            <w:pPr>
              <w:pStyle w:val="TAL"/>
              <w:rPr>
                <w:sz w:val="16"/>
                <w:szCs w:val="16"/>
              </w:rPr>
            </w:pPr>
            <w:r w:rsidRPr="00873B6C">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873B6C" w:rsidRDefault="00D40151" w:rsidP="009D14FB">
            <w:pPr>
              <w:pStyle w:val="TAC"/>
              <w:rPr>
                <w:sz w:val="16"/>
                <w:szCs w:val="16"/>
              </w:rPr>
            </w:pPr>
            <w:r w:rsidRPr="00873B6C">
              <w:rPr>
                <w:sz w:val="16"/>
                <w:szCs w:val="16"/>
              </w:rPr>
              <w:t>15.1.0</w:t>
            </w:r>
          </w:p>
        </w:tc>
      </w:tr>
      <w:tr w:rsidR="00D40151" w:rsidRPr="00873B6C" w14:paraId="23BDF164" w14:textId="77777777" w:rsidTr="009D14FB">
        <w:tc>
          <w:tcPr>
            <w:tcW w:w="800" w:type="dxa"/>
            <w:shd w:val="solid" w:color="FFFFFF" w:fill="auto"/>
          </w:tcPr>
          <w:p w14:paraId="15E85E1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E6E8C7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210AC71"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14B44FC2" w14:textId="77777777" w:rsidR="00D40151" w:rsidRPr="00873B6C" w:rsidRDefault="00D40151" w:rsidP="009D14FB">
            <w:pPr>
              <w:pStyle w:val="TAL"/>
              <w:rPr>
                <w:sz w:val="16"/>
                <w:szCs w:val="16"/>
              </w:rPr>
            </w:pPr>
            <w:r w:rsidRPr="00873B6C">
              <w:rPr>
                <w:sz w:val="16"/>
                <w:szCs w:val="16"/>
              </w:rPr>
              <w:t>0068</w:t>
            </w:r>
          </w:p>
        </w:tc>
        <w:tc>
          <w:tcPr>
            <w:tcW w:w="425" w:type="dxa"/>
            <w:shd w:val="solid" w:color="FFFFFF" w:fill="auto"/>
          </w:tcPr>
          <w:p w14:paraId="64647DB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E38F20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AA2174" w14:textId="77777777" w:rsidR="00D40151" w:rsidRPr="00873B6C" w:rsidRDefault="00D40151" w:rsidP="009D14FB">
            <w:pPr>
              <w:pStyle w:val="TAL"/>
              <w:rPr>
                <w:sz w:val="16"/>
                <w:szCs w:val="16"/>
              </w:rPr>
            </w:pPr>
            <w:r w:rsidRPr="00873B6C">
              <w:rPr>
                <w:sz w:val="16"/>
                <w:szCs w:val="16"/>
              </w:rPr>
              <w:t>CN assistance information enhancement</w:t>
            </w:r>
          </w:p>
        </w:tc>
        <w:tc>
          <w:tcPr>
            <w:tcW w:w="708" w:type="dxa"/>
            <w:shd w:val="solid" w:color="FFFFFF" w:fill="auto"/>
          </w:tcPr>
          <w:p w14:paraId="3ED2456B" w14:textId="77777777" w:rsidR="00D40151" w:rsidRPr="00873B6C" w:rsidRDefault="00D40151" w:rsidP="009D14FB">
            <w:pPr>
              <w:pStyle w:val="TAC"/>
              <w:rPr>
                <w:sz w:val="16"/>
                <w:szCs w:val="16"/>
              </w:rPr>
            </w:pPr>
            <w:r w:rsidRPr="00873B6C">
              <w:rPr>
                <w:sz w:val="16"/>
                <w:szCs w:val="16"/>
              </w:rPr>
              <w:t>15.1.0</w:t>
            </w:r>
          </w:p>
        </w:tc>
      </w:tr>
      <w:tr w:rsidR="00D40151" w:rsidRPr="00873B6C" w14:paraId="5A46A1CE" w14:textId="77777777" w:rsidTr="009D14FB">
        <w:tc>
          <w:tcPr>
            <w:tcW w:w="800" w:type="dxa"/>
            <w:shd w:val="solid" w:color="FFFFFF" w:fill="auto"/>
          </w:tcPr>
          <w:p w14:paraId="48E242C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B29722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00D77DE"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FBC6BD8" w14:textId="77777777" w:rsidR="00D40151" w:rsidRPr="00873B6C" w:rsidRDefault="00D40151" w:rsidP="009D14FB">
            <w:pPr>
              <w:pStyle w:val="TAL"/>
              <w:rPr>
                <w:sz w:val="16"/>
                <w:szCs w:val="16"/>
              </w:rPr>
            </w:pPr>
            <w:r w:rsidRPr="00873B6C">
              <w:rPr>
                <w:sz w:val="16"/>
                <w:szCs w:val="16"/>
              </w:rPr>
              <w:t>0070</w:t>
            </w:r>
          </w:p>
        </w:tc>
        <w:tc>
          <w:tcPr>
            <w:tcW w:w="425" w:type="dxa"/>
            <w:shd w:val="solid" w:color="FFFFFF" w:fill="auto"/>
          </w:tcPr>
          <w:p w14:paraId="0A82226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6E70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D464B8" w14:textId="77777777" w:rsidR="00D40151" w:rsidRPr="00873B6C" w:rsidRDefault="00D40151" w:rsidP="009D14FB">
            <w:pPr>
              <w:pStyle w:val="TAL"/>
              <w:rPr>
                <w:sz w:val="16"/>
                <w:szCs w:val="16"/>
              </w:rPr>
            </w:pPr>
            <w:r w:rsidRPr="00873B6C">
              <w:rPr>
                <w:sz w:val="16"/>
                <w:szCs w:val="16"/>
              </w:rPr>
              <w:t>Inter-PLMN mobility when N26 is not used</w:t>
            </w:r>
          </w:p>
        </w:tc>
        <w:tc>
          <w:tcPr>
            <w:tcW w:w="708" w:type="dxa"/>
            <w:shd w:val="solid" w:color="FFFFFF" w:fill="auto"/>
          </w:tcPr>
          <w:p w14:paraId="7F28C626" w14:textId="77777777" w:rsidR="00D40151" w:rsidRPr="00873B6C" w:rsidRDefault="00D40151" w:rsidP="009D14FB">
            <w:pPr>
              <w:pStyle w:val="TAC"/>
              <w:rPr>
                <w:sz w:val="16"/>
                <w:szCs w:val="16"/>
              </w:rPr>
            </w:pPr>
            <w:r w:rsidRPr="00873B6C">
              <w:rPr>
                <w:sz w:val="16"/>
                <w:szCs w:val="16"/>
              </w:rPr>
              <w:t>15.1.0</w:t>
            </w:r>
          </w:p>
        </w:tc>
      </w:tr>
      <w:tr w:rsidR="00D40151" w:rsidRPr="00873B6C" w14:paraId="7A29B6DB" w14:textId="77777777" w:rsidTr="009D14FB">
        <w:tc>
          <w:tcPr>
            <w:tcW w:w="800" w:type="dxa"/>
            <w:shd w:val="solid" w:color="FFFFFF" w:fill="auto"/>
          </w:tcPr>
          <w:p w14:paraId="62BA3B5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D8475B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DA3DA65" w14:textId="77777777" w:rsidR="00D40151" w:rsidRPr="00873B6C" w:rsidRDefault="00D40151" w:rsidP="009D14FB">
            <w:pPr>
              <w:pStyle w:val="TAC"/>
              <w:rPr>
                <w:sz w:val="16"/>
                <w:szCs w:val="16"/>
              </w:rPr>
            </w:pPr>
            <w:r w:rsidRPr="00873B6C">
              <w:rPr>
                <w:sz w:val="16"/>
                <w:szCs w:val="16"/>
              </w:rPr>
              <w:t>SP-180093</w:t>
            </w:r>
          </w:p>
        </w:tc>
        <w:tc>
          <w:tcPr>
            <w:tcW w:w="567" w:type="dxa"/>
            <w:shd w:val="solid" w:color="FFFFFF" w:fill="auto"/>
          </w:tcPr>
          <w:p w14:paraId="11FE3F64" w14:textId="77777777" w:rsidR="00D40151" w:rsidRPr="00873B6C" w:rsidRDefault="00D40151" w:rsidP="009D14FB">
            <w:pPr>
              <w:pStyle w:val="TAL"/>
              <w:rPr>
                <w:sz w:val="16"/>
                <w:szCs w:val="16"/>
              </w:rPr>
            </w:pPr>
            <w:r w:rsidRPr="00873B6C">
              <w:rPr>
                <w:sz w:val="16"/>
                <w:szCs w:val="16"/>
              </w:rPr>
              <w:t>0071</w:t>
            </w:r>
          </w:p>
        </w:tc>
        <w:tc>
          <w:tcPr>
            <w:tcW w:w="425" w:type="dxa"/>
            <w:shd w:val="solid" w:color="FFFFFF" w:fill="auto"/>
          </w:tcPr>
          <w:p w14:paraId="61D2ABF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A1C8F0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A8E1E0" w14:textId="77777777" w:rsidR="00D40151" w:rsidRPr="00873B6C" w:rsidRDefault="00D40151" w:rsidP="009D14FB">
            <w:pPr>
              <w:pStyle w:val="TAL"/>
              <w:rPr>
                <w:sz w:val="16"/>
                <w:szCs w:val="16"/>
              </w:rPr>
            </w:pPr>
            <w:r w:rsidRPr="00873B6C">
              <w:rPr>
                <w:sz w:val="16"/>
                <w:szCs w:val="16"/>
              </w:rPr>
              <w:t>Interworking without N26 corrections</w:t>
            </w:r>
          </w:p>
        </w:tc>
        <w:tc>
          <w:tcPr>
            <w:tcW w:w="708" w:type="dxa"/>
            <w:shd w:val="solid" w:color="FFFFFF" w:fill="auto"/>
          </w:tcPr>
          <w:p w14:paraId="3DEE4DC1" w14:textId="77777777" w:rsidR="00D40151" w:rsidRPr="00873B6C" w:rsidRDefault="00D40151" w:rsidP="009D14FB">
            <w:pPr>
              <w:pStyle w:val="TAC"/>
              <w:rPr>
                <w:sz w:val="16"/>
                <w:szCs w:val="16"/>
              </w:rPr>
            </w:pPr>
            <w:r w:rsidRPr="00873B6C">
              <w:rPr>
                <w:sz w:val="16"/>
                <w:szCs w:val="16"/>
              </w:rPr>
              <w:t>15.1.0</w:t>
            </w:r>
          </w:p>
        </w:tc>
      </w:tr>
      <w:tr w:rsidR="00D40151" w:rsidRPr="00873B6C" w14:paraId="52C28851" w14:textId="77777777" w:rsidTr="009D14FB">
        <w:tc>
          <w:tcPr>
            <w:tcW w:w="800" w:type="dxa"/>
            <w:shd w:val="solid" w:color="FFFFFF" w:fill="auto"/>
          </w:tcPr>
          <w:p w14:paraId="2D58F64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8ECF26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51C8035"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716F57D4" w14:textId="77777777" w:rsidR="00D40151" w:rsidRPr="00873B6C" w:rsidRDefault="00D40151" w:rsidP="009D14FB">
            <w:pPr>
              <w:pStyle w:val="TAL"/>
              <w:rPr>
                <w:sz w:val="16"/>
                <w:szCs w:val="16"/>
              </w:rPr>
            </w:pPr>
            <w:r w:rsidRPr="00873B6C">
              <w:rPr>
                <w:sz w:val="16"/>
                <w:szCs w:val="16"/>
              </w:rPr>
              <w:t>0072</w:t>
            </w:r>
          </w:p>
        </w:tc>
        <w:tc>
          <w:tcPr>
            <w:tcW w:w="425" w:type="dxa"/>
            <w:shd w:val="solid" w:color="FFFFFF" w:fill="auto"/>
          </w:tcPr>
          <w:p w14:paraId="5789536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A518C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79B58A" w14:textId="77777777" w:rsidR="00D40151" w:rsidRPr="00873B6C" w:rsidRDefault="00D40151" w:rsidP="009D14FB">
            <w:pPr>
              <w:pStyle w:val="TAL"/>
              <w:rPr>
                <w:sz w:val="16"/>
                <w:szCs w:val="16"/>
              </w:rPr>
            </w:pPr>
            <w:r w:rsidRPr="00873B6C">
              <w:rPr>
                <w:sz w:val="16"/>
                <w:szCs w:val="16"/>
              </w:rPr>
              <w:t>Clarification for S-NSSAI based congestion Control</w:t>
            </w:r>
          </w:p>
        </w:tc>
        <w:tc>
          <w:tcPr>
            <w:tcW w:w="708" w:type="dxa"/>
            <w:shd w:val="solid" w:color="FFFFFF" w:fill="auto"/>
          </w:tcPr>
          <w:p w14:paraId="19364A06" w14:textId="77777777" w:rsidR="00D40151" w:rsidRPr="00873B6C" w:rsidRDefault="00D40151" w:rsidP="009D14FB">
            <w:pPr>
              <w:pStyle w:val="TAC"/>
              <w:rPr>
                <w:sz w:val="16"/>
                <w:szCs w:val="16"/>
              </w:rPr>
            </w:pPr>
            <w:r w:rsidRPr="00873B6C">
              <w:rPr>
                <w:sz w:val="16"/>
                <w:szCs w:val="16"/>
              </w:rPr>
              <w:t>15.1.0</w:t>
            </w:r>
          </w:p>
        </w:tc>
      </w:tr>
      <w:tr w:rsidR="00D40151" w:rsidRPr="00873B6C" w14:paraId="32D2720D" w14:textId="77777777" w:rsidTr="009D14FB">
        <w:tc>
          <w:tcPr>
            <w:tcW w:w="800" w:type="dxa"/>
            <w:shd w:val="solid" w:color="FFFFFF" w:fill="auto"/>
          </w:tcPr>
          <w:p w14:paraId="0BF477D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CA6934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D6DD826"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5A0A0837" w14:textId="77777777" w:rsidR="00D40151" w:rsidRPr="00873B6C" w:rsidRDefault="00D40151" w:rsidP="009D14FB">
            <w:pPr>
              <w:pStyle w:val="TAL"/>
              <w:rPr>
                <w:sz w:val="16"/>
                <w:szCs w:val="16"/>
              </w:rPr>
            </w:pPr>
            <w:r w:rsidRPr="00873B6C">
              <w:rPr>
                <w:sz w:val="16"/>
                <w:szCs w:val="16"/>
              </w:rPr>
              <w:t>0073</w:t>
            </w:r>
          </w:p>
        </w:tc>
        <w:tc>
          <w:tcPr>
            <w:tcW w:w="425" w:type="dxa"/>
            <w:shd w:val="solid" w:color="FFFFFF" w:fill="auto"/>
          </w:tcPr>
          <w:p w14:paraId="4DE9FAB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44475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665230" w14:textId="77777777" w:rsidR="00D40151" w:rsidRPr="00873B6C" w:rsidRDefault="00D40151" w:rsidP="009D14FB">
            <w:pPr>
              <w:pStyle w:val="TAL"/>
              <w:rPr>
                <w:sz w:val="16"/>
                <w:szCs w:val="16"/>
              </w:rPr>
            </w:pPr>
            <w:r w:rsidRPr="00873B6C">
              <w:rPr>
                <w:sz w:val="16"/>
                <w:szCs w:val="16"/>
              </w:rPr>
              <w:t>Non-roaming Architecture for Network Exposure Function in reference point representation</w:t>
            </w:r>
          </w:p>
        </w:tc>
        <w:tc>
          <w:tcPr>
            <w:tcW w:w="708" w:type="dxa"/>
            <w:shd w:val="solid" w:color="FFFFFF" w:fill="auto"/>
          </w:tcPr>
          <w:p w14:paraId="7D6BFCE9" w14:textId="77777777" w:rsidR="00D40151" w:rsidRPr="00873B6C" w:rsidRDefault="00D40151" w:rsidP="009D14FB">
            <w:pPr>
              <w:pStyle w:val="TAC"/>
              <w:rPr>
                <w:sz w:val="16"/>
                <w:szCs w:val="16"/>
              </w:rPr>
            </w:pPr>
            <w:r w:rsidRPr="00873B6C">
              <w:rPr>
                <w:sz w:val="16"/>
                <w:szCs w:val="16"/>
              </w:rPr>
              <w:t>15.1.0</w:t>
            </w:r>
          </w:p>
        </w:tc>
      </w:tr>
      <w:tr w:rsidR="00D40151" w:rsidRPr="00873B6C" w14:paraId="74F71647" w14:textId="77777777" w:rsidTr="009D14FB">
        <w:tc>
          <w:tcPr>
            <w:tcW w:w="800" w:type="dxa"/>
            <w:shd w:val="solid" w:color="FFFFFF" w:fill="auto"/>
          </w:tcPr>
          <w:p w14:paraId="4E6E3CD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621791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D3072C0"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6AF1D85" w14:textId="77777777" w:rsidR="00D40151" w:rsidRPr="00873B6C" w:rsidRDefault="00D40151" w:rsidP="009D14FB">
            <w:pPr>
              <w:pStyle w:val="TAL"/>
              <w:rPr>
                <w:sz w:val="16"/>
                <w:szCs w:val="16"/>
              </w:rPr>
            </w:pPr>
            <w:r w:rsidRPr="00873B6C">
              <w:rPr>
                <w:sz w:val="16"/>
                <w:szCs w:val="16"/>
              </w:rPr>
              <w:t>0074</w:t>
            </w:r>
          </w:p>
        </w:tc>
        <w:tc>
          <w:tcPr>
            <w:tcW w:w="425" w:type="dxa"/>
            <w:shd w:val="solid" w:color="FFFFFF" w:fill="auto"/>
          </w:tcPr>
          <w:p w14:paraId="470C553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2D763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1D2360" w14:textId="77777777" w:rsidR="00D40151" w:rsidRPr="00873B6C" w:rsidRDefault="00D40151" w:rsidP="009D14FB">
            <w:pPr>
              <w:pStyle w:val="TAL"/>
              <w:rPr>
                <w:sz w:val="16"/>
                <w:szCs w:val="16"/>
              </w:rPr>
            </w:pPr>
            <w:r w:rsidRPr="00873B6C">
              <w:rPr>
                <w:sz w:val="16"/>
                <w:szCs w:val="16"/>
              </w:rPr>
              <w:t>NSSF service update</w:t>
            </w:r>
          </w:p>
        </w:tc>
        <w:tc>
          <w:tcPr>
            <w:tcW w:w="708" w:type="dxa"/>
            <w:shd w:val="solid" w:color="FFFFFF" w:fill="auto"/>
          </w:tcPr>
          <w:p w14:paraId="4EE2FC55" w14:textId="77777777" w:rsidR="00D40151" w:rsidRPr="00873B6C" w:rsidRDefault="00D40151" w:rsidP="009D14FB">
            <w:pPr>
              <w:pStyle w:val="TAC"/>
              <w:rPr>
                <w:sz w:val="16"/>
                <w:szCs w:val="16"/>
              </w:rPr>
            </w:pPr>
            <w:r w:rsidRPr="00873B6C">
              <w:rPr>
                <w:sz w:val="16"/>
                <w:szCs w:val="16"/>
              </w:rPr>
              <w:t>15.1.0</w:t>
            </w:r>
          </w:p>
        </w:tc>
      </w:tr>
      <w:tr w:rsidR="00D40151" w:rsidRPr="00873B6C" w14:paraId="4A3B69E6" w14:textId="77777777" w:rsidTr="009D14FB">
        <w:tc>
          <w:tcPr>
            <w:tcW w:w="800" w:type="dxa"/>
            <w:shd w:val="solid" w:color="FFFFFF" w:fill="auto"/>
          </w:tcPr>
          <w:p w14:paraId="461E93F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E1FFD7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C4CA789"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33C407AA" w14:textId="77777777" w:rsidR="00D40151" w:rsidRPr="00873B6C" w:rsidRDefault="00D40151" w:rsidP="009D14FB">
            <w:pPr>
              <w:pStyle w:val="TAL"/>
              <w:rPr>
                <w:sz w:val="16"/>
                <w:szCs w:val="16"/>
              </w:rPr>
            </w:pPr>
            <w:r w:rsidRPr="00873B6C">
              <w:rPr>
                <w:sz w:val="16"/>
                <w:szCs w:val="16"/>
              </w:rPr>
              <w:t>0075</w:t>
            </w:r>
          </w:p>
        </w:tc>
        <w:tc>
          <w:tcPr>
            <w:tcW w:w="425" w:type="dxa"/>
            <w:shd w:val="solid" w:color="FFFFFF" w:fill="auto"/>
          </w:tcPr>
          <w:p w14:paraId="0266D6E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E4E529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C2AD44" w14:textId="77777777" w:rsidR="00D40151" w:rsidRPr="00873B6C" w:rsidRDefault="00D40151" w:rsidP="009D14FB">
            <w:pPr>
              <w:pStyle w:val="TAL"/>
              <w:rPr>
                <w:sz w:val="16"/>
                <w:szCs w:val="16"/>
              </w:rPr>
            </w:pPr>
            <w:r w:rsidRPr="00873B6C">
              <w:rPr>
                <w:sz w:val="16"/>
                <w:szCs w:val="16"/>
              </w:rPr>
              <w:t>Correcting the support of charging Characteristics</w:t>
            </w:r>
          </w:p>
        </w:tc>
        <w:tc>
          <w:tcPr>
            <w:tcW w:w="708" w:type="dxa"/>
            <w:shd w:val="solid" w:color="FFFFFF" w:fill="auto"/>
          </w:tcPr>
          <w:p w14:paraId="107DEEB6" w14:textId="77777777" w:rsidR="00D40151" w:rsidRPr="00873B6C" w:rsidRDefault="00D40151" w:rsidP="009D14FB">
            <w:pPr>
              <w:pStyle w:val="TAC"/>
              <w:rPr>
                <w:sz w:val="16"/>
                <w:szCs w:val="16"/>
              </w:rPr>
            </w:pPr>
            <w:r w:rsidRPr="00873B6C">
              <w:rPr>
                <w:sz w:val="16"/>
                <w:szCs w:val="16"/>
              </w:rPr>
              <w:t>15.1.0</w:t>
            </w:r>
          </w:p>
        </w:tc>
      </w:tr>
      <w:tr w:rsidR="00D40151" w:rsidRPr="00873B6C" w14:paraId="67AD5DC3" w14:textId="77777777" w:rsidTr="009D14FB">
        <w:tc>
          <w:tcPr>
            <w:tcW w:w="800" w:type="dxa"/>
            <w:shd w:val="solid" w:color="FFFFFF" w:fill="auto"/>
          </w:tcPr>
          <w:p w14:paraId="645A75B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D62F38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8255A28"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2C00A1C0" w14:textId="77777777" w:rsidR="00D40151" w:rsidRPr="00873B6C" w:rsidRDefault="00D40151" w:rsidP="009D14FB">
            <w:pPr>
              <w:pStyle w:val="TAL"/>
              <w:rPr>
                <w:sz w:val="16"/>
                <w:szCs w:val="16"/>
              </w:rPr>
            </w:pPr>
            <w:r w:rsidRPr="00873B6C">
              <w:rPr>
                <w:sz w:val="16"/>
                <w:szCs w:val="16"/>
              </w:rPr>
              <w:t>0076</w:t>
            </w:r>
          </w:p>
        </w:tc>
        <w:tc>
          <w:tcPr>
            <w:tcW w:w="425" w:type="dxa"/>
            <w:shd w:val="solid" w:color="FFFFFF" w:fill="auto"/>
          </w:tcPr>
          <w:p w14:paraId="2F4A07D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61B625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98E6B9" w14:textId="77777777" w:rsidR="00D40151" w:rsidRPr="00873B6C" w:rsidRDefault="00D40151" w:rsidP="009D14FB">
            <w:pPr>
              <w:pStyle w:val="TAL"/>
              <w:rPr>
                <w:sz w:val="16"/>
                <w:szCs w:val="16"/>
              </w:rPr>
            </w:pPr>
            <w:r w:rsidRPr="00873B6C">
              <w:rPr>
                <w:sz w:val="16"/>
                <w:szCs w:val="16"/>
              </w:rPr>
              <w:t>Non-Allowed Area as criterion for Cell Reselection or trigger for PLMN Selection</w:t>
            </w:r>
          </w:p>
        </w:tc>
        <w:tc>
          <w:tcPr>
            <w:tcW w:w="708" w:type="dxa"/>
            <w:shd w:val="solid" w:color="FFFFFF" w:fill="auto"/>
          </w:tcPr>
          <w:p w14:paraId="3BD7FA62" w14:textId="77777777" w:rsidR="00D40151" w:rsidRPr="00873B6C" w:rsidRDefault="00D40151" w:rsidP="009D14FB">
            <w:pPr>
              <w:pStyle w:val="TAC"/>
              <w:rPr>
                <w:sz w:val="16"/>
                <w:szCs w:val="16"/>
              </w:rPr>
            </w:pPr>
            <w:r w:rsidRPr="00873B6C">
              <w:rPr>
                <w:sz w:val="16"/>
                <w:szCs w:val="16"/>
              </w:rPr>
              <w:t>15.1.0</w:t>
            </w:r>
          </w:p>
        </w:tc>
      </w:tr>
      <w:tr w:rsidR="00D40151" w:rsidRPr="00873B6C" w14:paraId="39071935" w14:textId="77777777" w:rsidTr="009D14FB">
        <w:tc>
          <w:tcPr>
            <w:tcW w:w="800" w:type="dxa"/>
            <w:shd w:val="solid" w:color="FFFFFF" w:fill="auto"/>
          </w:tcPr>
          <w:p w14:paraId="00F2EBB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249983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C610318"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10C08CE5" w14:textId="77777777" w:rsidR="00D40151" w:rsidRPr="00873B6C" w:rsidRDefault="00D40151" w:rsidP="009D14FB">
            <w:pPr>
              <w:pStyle w:val="TAL"/>
              <w:rPr>
                <w:sz w:val="16"/>
                <w:szCs w:val="16"/>
              </w:rPr>
            </w:pPr>
            <w:r w:rsidRPr="00873B6C">
              <w:rPr>
                <w:sz w:val="16"/>
                <w:szCs w:val="16"/>
              </w:rPr>
              <w:t>0077</w:t>
            </w:r>
          </w:p>
        </w:tc>
        <w:tc>
          <w:tcPr>
            <w:tcW w:w="425" w:type="dxa"/>
            <w:shd w:val="solid" w:color="FFFFFF" w:fill="auto"/>
          </w:tcPr>
          <w:p w14:paraId="45E9D7E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70C80E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BACCED" w14:textId="77777777" w:rsidR="00D40151" w:rsidRPr="00873B6C" w:rsidRDefault="00D40151" w:rsidP="009D14FB">
            <w:pPr>
              <w:pStyle w:val="TAL"/>
              <w:rPr>
                <w:sz w:val="16"/>
                <w:szCs w:val="16"/>
              </w:rPr>
            </w:pPr>
            <w:r w:rsidRPr="00873B6C">
              <w:rPr>
                <w:sz w:val="16"/>
                <w:szCs w:val="16"/>
              </w:rPr>
              <w:t>Correction to the use of Redirection in EPS fallback for emergency services</w:t>
            </w:r>
          </w:p>
        </w:tc>
        <w:tc>
          <w:tcPr>
            <w:tcW w:w="708" w:type="dxa"/>
            <w:shd w:val="solid" w:color="FFFFFF" w:fill="auto"/>
          </w:tcPr>
          <w:p w14:paraId="1A548F38" w14:textId="77777777" w:rsidR="00D40151" w:rsidRPr="00873B6C" w:rsidRDefault="00D40151" w:rsidP="009D14FB">
            <w:pPr>
              <w:pStyle w:val="TAC"/>
              <w:rPr>
                <w:sz w:val="16"/>
                <w:szCs w:val="16"/>
              </w:rPr>
            </w:pPr>
            <w:r w:rsidRPr="00873B6C">
              <w:rPr>
                <w:sz w:val="16"/>
                <w:szCs w:val="16"/>
              </w:rPr>
              <w:t>15.1.0</w:t>
            </w:r>
          </w:p>
        </w:tc>
      </w:tr>
      <w:tr w:rsidR="00D40151" w:rsidRPr="00873B6C" w14:paraId="76F348E5" w14:textId="77777777" w:rsidTr="009D14FB">
        <w:tc>
          <w:tcPr>
            <w:tcW w:w="800" w:type="dxa"/>
            <w:shd w:val="solid" w:color="FFFFFF" w:fill="auto"/>
          </w:tcPr>
          <w:p w14:paraId="605ED32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0D680C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016A8A2"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705028FD" w14:textId="77777777" w:rsidR="00D40151" w:rsidRPr="00873B6C" w:rsidRDefault="00D40151" w:rsidP="009D14FB">
            <w:pPr>
              <w:pStyle w:val="TAL"/>
              <w:rPr>
                <w:sz w:val="16"/>
                <w:szCs w:val="16"/>
              </w:rPr>
            </w:pPr>
            <w:r w:rsidRPr="00873B6C">
              <w:rPr>
                <w:sz w:val="16"/>
                <w:szCs w:val="16"/>
              </w:rPr>
              <w:t>0078</w:t>
            </w:r>
          </w:p>
        </w:tc>
        <w:tc>
          <w:tcPr>
            <w:tcW w:w="425" w:type="dxa"/>
            <w:shd w:val="solid" w:color="FFFFFF" w:fill="auto"/>
          </w:tcPr>
          <w:p w14:paraId="4E415F7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CF7D48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A24F9D" w14:textId="77777777" w:rsidR="00D40151" w:rsidRPr="00873B6C" w:rsidRDefault="00D40151" w:rsidP="009D14FB">
            <w:pPr>
              <w:pStyle w:val="TAL"/>
              <w:rPr>
                <w:sz w:val="16"/>
                <w:szCs w:val="16"/>
              </w:rPr>
            </w:pPr>
            <w:r w:rsidRPr="00873B6C">
              <w:rPr>
                <w:sz w:val="16"/>
                <w:szCs w:val="16"/>
              </w:rPr>
              <w:t>Network Provided Location for non-3GPP access</w:t>
            </w:r>
          </w:p>
        </w:tc>
        <w:tc>
          <w:tcPr>
            <w:tcW w:w="708" w:type="dxa"/>
            <w:shd w:val="solid" w:color="FFFFFF" w:fill="auto"/>
          </w:tcPr>
          <w:p w14:paraId="0FD4EF76" w14:textId="77777777" w:rsidR="00D40151" w:rsidRPr="00873B6C" w:rsidRDefault="00D40151" w:rsidP="009D14FB">
            <w:pPr>
              <w:pStyle w:val="TAC"/>
              <w:rPr>
                <w:sz w:val="16"/>
                <w:szCs w:val="16"/>
              </w:rPr>
            </w:pPr>
            <w:r w:rsidRPr="00873B6C">
              <w:rPr>
                <w:sz w:val="16"/>
                <w:szCs w:val="16"/>
              </w:rPr>
              <w:t>15.1.0</w:t>
            </w:r>
          </w:p>
        </w:tc>
      </w:tr>
      <w:tr w:rsidR="00D40151" w:rsidRPr="00873B6C" w14:paraId="648F85CD" w14:textId="77777777" w:rsidTr="009D14FB">
        <w:tc>
          <w:tcPr>
            <w:tcW w:w="800" w:type="dxa"/>
            <w:shd w:val="solid" w:color="FFFFFF" w:fill="auto"/>
          </w:tcPr>
          <w:p w14:paraId="6E4080E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B9D5C8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EF2AB30"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5E9E209C" w14:textId="77777777" w:rsidR="00D40151" w:rsidRPr="00873B6C" w:rsidRDefault="00D40151" w:rsidP="009D14FB">
            <w:pPr>
              <w:pStyle w:val="TAL"/>
              <w:rPr>
                <w:sz w:val="16"/>
                <w:szCs w:val="16"/>
              </w:rPr>
            </w:pPr>
            <w:r w:rsidRPr="00873B6C">
              <w:rPr>
                <w:sz w:val="16"/>
                <w:szCs w:val="16"/>
              </w:rPr>
              <w:t>0082</w:t>
            </w:r>
          </w:p>
        </w:tc>
        <w:tc>
          <w:tcPr>
            <w:tcW w:w="425" w:type="dxa"/>
            <w:shd w:val="solid" w:color="FFFFFF" w:fill="auto"/>
          </w:tcPr>
          <w:p w14:paraId="7355E82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B7CDB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5C1CD5" w14:textId="77777777" w:rsidR="00D40151" w:rsidRPr="00873B6C" w:rsidRDefault="00D40151" w:rsidP="009D14FB">
            <w:pPr>
              <w:pStyle w:val="TAL"/>
              <w:rPr>
                <w:sz w:val="16"/>
                <w:szCs w:val="16"/>
              </w:rPr>
            </w:pPr>
            <w:r w:rsidRPr="00873B6C">
              <w:rPr>
                <w:sz w:val="16"/>
                <w:szCs w:val="16"/>
              </w:rPr>
              <w:t>Updates to TS 23.501 Scope</w:t>
            </w:r>
          </w:p>
        </w:tc>
        <w:tc>
          <w:tcPr>
            <w:tcW w:w="708" w:type="dxa"/>
            <w:shd w:val="solid" w:color="FFFFFF" w:fill="auto"/>
          </w:tcPr>
          <w:p w14:paraId="3FCADD10" w14:textId="77777777" w:rsidR="00D40151" w:rsidRPr="00873B6C" w:rsidRDefault="00D40151" w:rsidP="009D14FB">
            <w:pPr>
              <w:pStyle w:val="TAC"/>
              <w:rPr>
                <w:sz w:val="16"/>
                <w:szCs w:val="16"/>
              </w:rPr>
            </w:pPr>
            <w:r w:rsidRPr="00873B6C">
              <w:rPr>
                <w:sz w:val="16"/>
                <w:szCs w:val="16"/>
              </w:rPr>
              <w:t>15.1.0</w:t>
            </w:r>
          </w:p>
        </w:tc>
      </w:tr>
      <w:tr w:rsidR="00D40151" w:rsidRPr="00873B6C" w14:paraId="353B7C2E" w14:textId="77777777" w:rsidTr="009D14FB">
        <w:tc>
          <w:tcPr>
            <w:tcW w:w="800" w:type="dxa"/>
            <w:shd w:val="solid" w:color="FFFFFF" w:fill="auto"/>
          </w:tcPr>
          <w:p w14:paraId="710D054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B8F6B27"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80E773B"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E00F7E4" w14:textId="77777777" w:rsidR="00D40151" w:rsidRPr="00873B6C" w:rsidRDefault="00D40151" w:rsidP="009D14FB">
            <w:pPr>
              <w:pStyle w:val="TAL"/>
              <w:rPr>
                <w:sz w:val="16"/>
                <w:szCs w:val="16"/>
              </w:rPr>
            </w:pPr>
            <w:r w:rsidRPr="00873B6C">
              <w:rPr>
                <w:sz w:val="16"/>
                <w:szCs w:val="16"/>
              </w:rPr>
              <w:t>0083</w:t>
            </w:r>
          </w:p>
        </w:tc>
        <w:tc>
          <w:tcPr>
            <w:tcW w:w="425" w:type="dxa"/>
            <w:shd w:val="solid" w:color="FFFFFF" w:fill="auto"/>
          </w:tcPr>
          <w:p w14:paraId="5632970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DD9DA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AF1865" w14:textId="77777777" w:rsidR="00D40151" w:rsidRPr="00873B6C" w:rsidRDefault="00D40151" w:rsidP="009D14FB">
            <w:pPr>
              <w:pStyle w:val="TAL"/>
              <w:rPr>
                <w:sz w:val="16"/>
                <w:szCs w:val="16"/>
              </w:rPr>
            </w:pPr>
            <w:r w:rsidRPr="00873B6C">
              <w:rPr>
                <w:sz w:val="16"/>
                <w:szCs w:val="16"/>
              </w:rPr>
              <w:t>Fixes for CP protocol stack</w:t>
            </w:r>
          </w:p>
        </w:tc>
        <w:tc>
          <w:tcPr>
            <w:tcW w:w="708" w:type="dxa"/>
            <w:shd w:val="solid" w:color="FFFFFF" w:fill="auto"/>
          </w:tcPr>
          <w:p w14:paraId="2D47C41E" w14:textId="77777777" w:rsidR="00D40151" w:rsidRPr="00873B6C" w:rsidRDefault="00D40151" w:rsidP="009D14FB">
            <w:pPr>
              <w:pStyle w:val="TAC"/>
              <w:rPr>
                <w:sz w:val="16"/>
                <w:szCs w:val="16"/>
              </w:rPr>
            </w:pPr>
            <w:r w:rsidRPr="00873B6C">
              <w:rPr>
                <w:sz w:val="16"/>
                <w:szCs w:val="16"/>
              </w:rPr>
              <w:t>15.1.0</w:t>
            </w:r>
          </w:p>
        </w:tc>
      </w:tr>
      <w:tr w:rsidR="00D40151" w:rsidRPr="00873B6C" w14:paraId="5A36BD74" w14:textId="77777777" w:rsidTr="009D14FB">
        <w:tc>
          <w:tcPr>
            <w:tcW w:w="800" w:type="dxa"/>
            <w:shd w:val="solid" w:color="FFFFFF" w:fill="auto"/>
          </w:tcPr>
          <w:p w14:paraId="4617BCE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7B72C6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930667A"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0D85374" w14:textId="77777777" w:rsidR="00D40151" w:rsidRPr="00873B6C" w:rsidRDefault="00D40151" w:rsidP="009D14FB">
            <w:pPr>
              <w:pStyle w:val="TAL"/>
              <w:rPr>
                <w:sz w:val="16"/>
                <w:szCs w:val="16"/>
              </w:rPr>
            </w:pPr>
            <w:r w:rsidRPr="00873B6C">
              <w:rPr>
                <w:sz w:val="16"/>
                <w:szCs w:val="16"/>
              </w:rPr>
              <w:t>0084</w:t>
            </w:r>
          </w:p>
        </w:tc>
        <w:tc>
          <w:tcPr>
            <w:tcW w:w="425" w:type="dxa"/>
            <w:shd w:val="solid" w:color="FFFFFF" w:fill="auto"/>
          </w:tcPr>
          <w:p w14:paraId="060649A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A44749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38CF66" w14:textId="77777777" w:rsidR="00D40151" w:rsidRPr="00873B6C" w:rsidRDefault="00D40151" w:rsidP="009D14FB">
            <w:pPr>
              <w:pStyle w:val="TAL"/>
              <w:rPr>
                <w:sz w:val="16"/>
                <w:szCs w:val="16"/>
              </w:rPr>
            </w:pPr>
            <w:r w:rsidRPr="00873B6C">
              <w:rPr>
                <w:sz w:val="16"/>
                <w:szCs w:val="16"/>
              </w:rPr>
              <w:t>EPC to 5GC Migration fixes for Option 7</w:t>
            </w:r>
          </w:p>
        </w:tc>
        <w:tc>
          <w:tcPr>
            <w:tcW w:w="708" w:type="dxa"/>
            <w:shd w:val="solid" w:color="FFFFFF" w:fill="auto"/>
          </w:tcPr>
          <w:p w14:paraId="71796C25" w14:textId="77777777" w:rsidR="00D40151" w:rsidRPr="00873B6C" w:rsidRDefault="00D40151" w:rsidP="009D14FB">
            <w:pPr>
              <w:pStyle w:val="TAC"/>
              <w:rPr>
                <w:sz w:val="16"/>
                <w:szCs w:val="16"/>
              </w:rPr>
            </w:pPr>
            <w:r w:rsidRPr="00873B6C">
              <w:rPr>
                <w:sz w:val="16"/>
                <w:szCs w:val="16"/>
              </w:rPr>
              <w:t>15.1.0</w:t>
            </w:r>
          </w:p>
        </w:tc>
      </w:tr>
      <w:tr w:rsidR="00D40151" w:rsidRPr="00873B6C" w14:paraId="3FD7BFD7" w14:textId="77777777" w:rsidTr="009D14FB">
        <w:tc>
          <w:tcPr>
            <w:tcW w:w="800" w:type="dxa"/>
            <w:shd w:val="solid" w:color="FFFFFF" w:fill="auto"/>
          </w:tcPr>
          <w:p w14:paraId="010EE84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3F1BD2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BF2D823"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E5AA0EE" w14:textId="77777777" w:rsidR="00D40151" w:rsidRPr="00873B6C" w:rsidRDefault="00D40151" w:rsidP="009D14FB">
            <w:pPr>
              <w:pStyle w:val="TAL"/>
              <w:rPr>
                <w:sz w:val="16"/>
                <w:szCs w:val="16"/>
              </w:rPr>
            </w:pPr>
            <w:r w:rsidRPr="00873B6C">
              <w:rPr>
                <w:sz w:val="16"/>
                <w:szCs w:val="16"/>
              </w:rPr>
              <w:t>0085</w:t>
            </w:r>
          </w:p>
        </w:tc>
        <w:tc>
          <w:tcPr>
            <w:tcW w:w="425" w:type="dxa"/>
            <w:shd w:val="solid" w:color="FFFFFF" w:fill="auto"/>
          </w:tcPr>
          <w:p w14:paraId="45DC7CF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6B2D3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6A3DBD" w14:textId="77777777" w:rsidR="00D40151" w:rsidRPr="00873B6C" w:rsidRDefault="00D40151" w:rsidP="009D14FB">
            <w:pPr>
              <w:pStyle w:val="TAL"/>
              <w:rPr>
                <w:sz w:val="16"/>
                <w:szCs w:val="16"/>
              </w:rPr>
            </w:pPr>
            <w:r w:rsidRPr="00873B6C">
              <w:rPr>
                <w:sz w:val="16"/>
                <w:szCs w:val="16"/>
              </w:rPr>
              <w:t>EPS Interworking: 5G-S-TMSI derivation and context retrieval</w:t>
            </w:r>
          </w:p>
        </w:tc>
        <w:tc>
          <w:tcPr>
            <w:tcW w:w="708" w:type="dxa"/>
            <w:shd w:val="solid" w:color="FFFFFF" w:fill="auto"/>
          </w:tcPr>
          <w:p w14:paraId="57CF1EA7" w14:textId="77777777" w:rsidR="00D40151" w:rsidRPr="00873B6C" w:rsidRDefault="00D40151" w:rsidP="009D14FB">
            <w:pPr>
              <w:pStyle w:val="TAC"/>
              <w:rPr>
                <w:sz w:val="16"/>
                <w:szCs w:val="16"/>
              </w:rPr>
            </w:pPr>
            <w:r w:rsidRPr="00873B6C">
              <w:rPr>
                <w:sz w:val="16"/>
                <w:szCs w:val="16"/>
              </w:rPr>
              <w:t>15.1.0</w:t>
            </w:r>
          </w:p>
        </w:tc>
      </w:tr>
      <w:tr w:rsidR="00D40151" w:rsidRPr="00873B6C" w14:paraId="5C035BD7" w14:textId="77777777" w:rsidTr="009D14FB">
        <w:tc>
          <w:tcPr>
            <w:tcW w:w="800" w:type="dxa"/>
            <w:shd w:val="solid" w:color="FFFFFF" w:fill="auto"/>
          </w:tcPr>
          <w:p w14:paraId="52E7666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25092A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817CA18"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03B0CCFE" w14:textId="77777777" w:rsidR="00D40151" w:rsidRPr="00873B6C" w:rsidRDefault="00D40151" w:rsidP="009D14FB">
            <w:pPr>
              <w:pStyle w:val="TAL"/>
              <w:rPr>
                <w:sz w:val="16"/>
                <w:szCs w:val="16"/>
              </w:rPr>
            </w:pPr>
            <w:r w:rsidRPr="00873B6C">
              <w:rPr>
                <w:sz w:val="16"/>
                <w:szCs w:val="16"/>
              </w:rPr>
              <w:t>0086</w:t>
            </w:r>
          </w:p>
        </w:tc>
        <w:tc>
          <w:tcPr>
            <w:tcW w:w="425" w:type="dxa"/>
            <w:shd w:val="solid" w:color="FFFFFF" w:fill="auto"/>
          </w:tcPr>
          <w:p w14:paraId="30B4F0A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8823D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7275EA" w14:textId="77777777" w:rsidR="00D40151" w:rsidRPr="00873B6C" w:rsidRDefault="00D40151" w:rsidP="009D14FB">
            <w:pPr>
              <w:pStyle w:val="TAL"/>
              <w:rPr>
                <w:sz w:val="16"/>
                <w:szCs w:val="16"/>
              </w:rPr>
            </w:pPr>
            <w:r w:rsidRPr="00873B6C">
              <w:rPr>
                <w:sz w:val="16"/>
                <w:szCs w:val="16"/>
              </w:rPr>
              <w:t>Fixes for Emergency Services and Emergency Services using Fallback</w:t>
            </w:r>
          </w:p>
        </w:tc>
        <w:tc>
          <w:tcPr>
            <w:tcW w:w="708" w:type="dxa"/>
            <w:shd w:val="solid" w:color="FFFFFF" w:fill="auto"/>
          </w:tcPr>
          <w:p w14:paraId="6D22682C" w14:textId="77777777" w:rsidR="00D40151" w:rsidRPr="00873B6C" w:rsidRDefault="00D40151" w:rsidP="009D14FB">
            <w:pPr>
              <w:pStyle w:val="TAC"/>
              <w:rPr>
                <w:sz w:val="16"/>
                <w:szCs w:val="16"/>
              </w:rPr>
            </w:pPr>
            <w:r w:rsidRPr="00873B6C">
              <w:rPr>
                <w:sz w:val="16"/>
                <w:szCs w:val="16"/>
              </w:rPr>
              <w:t>15.1.0</w:t>
            </w:r>
          </w:p>
        </w:tc>
      </w:tr>
      <w:tr w:rsidR="00D40151" w:rsidRPr="00873B6C" w14:paraId="18C30D14" w14:textId="77777777" w:rsidTr="009D14FB">
        <w:tc>
          <w:tcPr>
            <w:tcW w:w="800" w:type="dxa"/>
            <w:shd w:val="solid" w:color="FFFFFF" w:fill="auto"/>
          </w:tcPr>
          <w:p w14:paraId="07E72AB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A5D64C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BEFDAA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BA4AAB0" w14:textId="77777777" w:rsidR="00D40151" w:rsidRPr="00873B6C" w:rsidRDefault="00D40151" w:rsidP="009D14FB">
            <w:pPr>
              <w:pStyle w:val="TAL"/>
              <w:rPr>
                <w:sz w:val="16"/>
                <w:szCs w:val="16"/>
              </w:rPr>
            </w:pPr>
            <w:r w:rsidRPr="00873B6C">
              <w:rPr>
                <w:sz w:val="16"/>
                <w:szCs w:val="16"/>
              </w:rPr>
              <w:t>0087</w:t>
            </w:r>
          </w:p>
        </w:tc>
        <w:tc>
          <w:tcPr>
            <w:tcW w:w="425" w:type="dxa"/>
            <w:shd w:val="solid" w:color="FFFFFF" w:fill="auto"/>
          </w:tcPr>
          <w:p w14:paraId="3734F06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4F6E6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FA47BE" w14:textId="77777777" w:rsidR="00D40151" w:rsidRPr="00873B6C" w:rsidRDefault="00D40151" w:rsidP="009D14FB">
            <w:pPr>
              <w:pStyle w:val="TAL"/>
              <w:rPr>
                <w:sz w:val="16"/>
                <w:szCs w:val="16"/>
              </w:rPr>
            </w:pPr>
            <w:r w:rsidRPr="00873B6C">
              <w:rPr>
                <w:sz w:val="16"/>
                <w:szCs w:val="16"/>
              </w:rPr>
              <w:t>5G QoS fixes for URLLC services related attributes - PDB, PER, MDB, 5QI</w:t>
            </w:r>
          </w:p>
        </w:tc>
        <w:tc>
          <w:tcPr>
            <w:tcW w:w="708" w:type="dxa"/>
            <w:shd w:val="solid" w:color="FFFFFF" w:fill="auto"/>
          </w:tcPr>
          <w:p w14:paraId="329EFFAB" w14:textId="77777777" w:rsidR="00D40151" w:rsidRPr="00873B6C" w:rsidRDefault="00D40151" w:rsidP="009D14FB">
            <w:pPr>
              <w:pStyle w:val="TAC"/>
              <w:rPr>
                <w:sz w:val="16"/>
                <w:szCs w:val="16"/>
              </w:rPr>
            </w:pPr>
            <w:r w:rsidRPr="00873B6C">
              <w:rPr>
                <w:sz w:val="16"/>
                <w:szCs w:val="16"/>
              </w:rPr>
              <w:t>15.1.0</w:t>
            </w:r>
          </w:p>
        </w:tc>
      </w:tr>
      <w:tr w:rsidR="00D40151" w:rsidRPr="00873B6C" w14:paraId="30430B60" w14:textId="77777777" w:rsidTr="009D14FB">
        <w:tc>
          <w:tcPr>
            <w:tcW w:w="800" w:type="dxa"/>
            <w:shd w:val="solid" w:color="FFFFFF" w:fill="auto"/>
          </w:tcPr>
          <w:p w14:paraId="0DD9767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AA2373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C2C916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04D39350" w14:textId="77777777" w:rsidR="00D40151" w:rsidRPr="00873B6C" w:rsidRDefault="00D40151" w:rsidP="009D14FB">
            <w:pPr>
              <w:pStyle w:val="TAL"/>
              <w:rPr>
                <w:sz w:val="16"/>
                <w:szCs w:val="16"/>
              </w:rPr>
            </w:pPr>
            <w:r w:rsidRPr="00873B6C">
              <w:rPr>
                <w:sz w:val="16"/>
                <w:szCs w:val="16"/>
              </w:rPr>
              <w:t>0088</w:t>
            </w:r>
          </w:p>
        </w:tc>
        <w:tc>
          <w:tcPr>
            <w:tcW w:w="425" w:type="dxa"/>
            <w:shd w:val="solid" w:color="FFFFFF" w:fill="auto"/>
          </w:tcPr>
          <w:p w14:paraId="43C704A8"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50A7B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2CADC7" w14:textId="77777777" w:rsidR="00D40151" w:rsidRPr="00873B6C" w:rsidRDefault="00D40151" w:rsidP="009D14FB">
            <w:pPr>
              <w:pStyle w:val="TAL"/>
              <w:rPr>
                <w:sz w:val="16"/>
                <w:szCs w:val="16"/>
              </w:rPr>
            </w:pPr>
            <w:r w:rsidRPr="00873B6C">
              <w:rPr>
                <w:sz w:val="16"/>
                <w:szCs w:val="16"/>
              </w:rPr>
              <w:t>QoS Notification control and Release</w:t>
            </w:r>
          </w:p>
        </w:tc>
        <w:tc>
          <w:tcPr>
            <w:tcW w:w="708" w:type="dxa"/>
            <w:shd w:val="solid" w:color="FFFFFF" w:fill="auto"/>
          </w:tcPr>
          <w:p w14:paraId="53138E33" w14:textId="77777777" w:rsidR="00D40151" w:rsidRPr="00873B6C" w:rsidRDefault="00D40151" w:rsidP="009D14FB">
            <w:pPr>
              <w:pStyle w:val="TAC"/>
              <w:rPr>
                <w:sz w:val="16"/>
                <w:szCs w:val="16"/>
              </w:rPr>
            </w:pPr>
            <w:r w:rsidRPr="00873B6C">
              <w:rPr>
                <w:sz w:val="16"/>
                <w:szCs w:val="16"/>
              </w:rPr>
              <w:t>15.1.0</w:t>
            </w:r>
          </w:p>
        </w:tc>
      </w:tr>
      <w:tr w:rsidR="00D40151" w:rsidRPr="00873B6C" w14:paraId="5F11DDEE" w14:textId="77777777" w:rsidTr="009D14FB">
        <w:tc>
          <w:tcPr>
            <w:tcW w:w="800" w:type="dxa"/>
            <w:shd w:val="solid" w:color="FFFFFF" w:fill="auto"/>
          </w:tcPr>
          <w:p w14:paraId="17183B5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7A94DC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51A791A" w14:textId="77777777" w:rsidR="00D40151" w:rsidRPr="00873B6C" w:rsidRDefault="00D40151" w:rsidP="009D14FB">
            <w:pPr>
              <w:pStyle w:val="TAC"/>
              <w:rPr>
                <w:sz w:val="16"/>
                <w:szCs w:val="16"/>
              </w:rPr>
            </w:pPr>
            <w:r w:rsidRPr="00873B6C">
              <w:rPr>
                <w:sz w:val="16"/>
                <w:szCs w:val="16"/>
              </w:rPr>
              <w:t>SP-180095</w:t>
            </w:r>
          </w:p>
        </w:tc>
        <w:tc>
          <w:tcPr>
            <w:tcW w:w="567" w:type="dxa"/>
            <w:shd w:val="solid" w:color="FFFFFF" w:fill="auto"/>
          </w:tcPr>
          <w:p w14:paraId="73A4CD28" w14:textId="77777777" w:rsidR="00D40151" w:rsidRPr="00873B6C" w:rsidRDefault="00D40151" w:rsidP="009D14FB">
            <w:pPr>
              <w:pStyle w:val="TAL"/>
              <w:rPr>
                <w:sz w:val="16"/>
                <w:szCs w:val="16"/>
              </w:rPr>
            </w:pPr>
            <w:r w:rsidRPr="00873B6C">
              <w:rPr>
                <w:sz w:val="16"/>
                <w:szCs w:val="16"/>
              </w:rPr>
              <w:t>0089</w:t>
            </w:r>
          </w:p>
        </w:tc>
        <w:tc>
          <w:tcPr>
            <w:tcW w:w="425" w:type="dxa"/>
            <w:shd w:val="solid" w:color="FFFFFF" w:fill="auto"/>
          </w:tcPr>
          <w:p w14:paraId="145F7B4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E08530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0668C17" w14:textId="77777777" w:rsidR="00D40151" w:rsidRPr="00873B6C" w:rsidRDefault="00D40151" w:rsidP="009D14FB">
            <w:pPr>
              <w:pStyle w:val="TAL"/>
              <w:rPr>
                <w:sz w:val="16"/>
                <w:szCs w:val="16"/>
              </w:rPr>
            </w:pPr>
            <w:r w:rsidRPr="00873B6C">
              <w:rPr>
                <w:sz w:val="16"/>
                <w:szCs w:val="16"/>
              </w:rPr>
              <w:t>GUTI unique across AMFs in an AMF SET</w:t>
            </w:r>
          </w:p>
        </w:tc>
        <w:tc>
          <w:tcPr>
            <w:tcW w:w="708" w:type="dxa"/>
            <w:shd w:val="solid" w:color="FFFFFF" w:fill="auto"/>
          </w:tcPr>
          <w:p w14:paraId="4918FF95" w14:textId="77777777" w:rsidR="00D40151" w:rsidRPr="00873B6C" w:rsidRDefault="00D40151" w:rsidP="009D14FB">
            <w:pPr>
              <w:pStyle w:val="TAC"/>
              <w:rPr>
                <w:sz w:val="16"/>
                <w:szCs w:val="16"/>
              </w:rPr>
            </w:pPr>
            <w:r w:rsidRPr="00873B6C">
              <w:rPr>
                <w:sz w:val="16"/>
                <w:szCs w:val="16"/>
              </w:rPr>
              <w:t>15.1.0</w:t>
            </w:r>
          </w:p>
        </w:tc>
      </w:tr>
      <w:tr w:rsidR="00D40151" w:rsidRPr="00873B6C" w14:paraId="5615CC04" w14:textId="77777777" w:rsidTr="009D14FB">
        <w:tc>
          <w:tcPr>
            <w:tcW w:w="800" w:type="dxa"/>
            <w:shd w:val="solid" w:color="FFFFFF" w:fill="auto"/>
          </w:tcPr>
          <w:p w14:paraId="4B7BD56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8B646A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3C24386"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EA53C01" w14:textId="77777777" w:rsidR="00D40151" w:rsidRPr="00873B6C" w:rsidRDefault="00D40151" w:rsidP="009D14FB">
            <w:pPr>
              <w:pStyle w:val="TAL"/>
              <w:rPr>
                <w:sz w:val="16"/>
                <w:szCs w:val="16"/>
              </w:rPr>
            </w:pPr>
            <w:r w:rsidRPr="00873B6C">
              <w:rPr>
                <w:sz w:val="16"/>
                <w:szCs w:val="16"/>
              </w:rPr>
              <w:t>0090</w:t>
            </w:r>
          </w:p>
        </w:tc>
        <w:tc>
          <w:tcPr>
            <w:tcW w:w="425" w:type="dxa"/>
            <w:shd w:val="solid" w:color="FFFFFF" w:fill="auto"/>
          </w:tcPr>
          <w:p w14:paraId="63FBC16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37CB2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7AB573" w14:textId="77777777" w:rsidR="00D40151" w:rsidRPr="00873B6C" w:rsidRDefault="00D40151" w:rsidP="009D14FB">
            <w:pPr>
              <w:pStyle w:val="TAL"/>
              <w:rPr>
                <w:sz w:val="16"/>
                <w:szCs w:val="16"/>
              </w:rPr>
            </w:pPr>
            <w:r w:rsidRPr="00873B6C">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873B6C" w:rsidRDefault="00D40151" w:rsidP="009D14FB">
            <w:pPr>
              <w:pStyle w:val="TAC"/>
              <w:rPr>
                <w:sz w:val="16"/>
                <w:szCs w:val="16"/>
              </w:rPr>
            </w:pPr>
            <w:r w:rsidRPr="00873B6C">
              <w:rPr>
                <w:sz w:val="16"/>
                <w:szCs w:val="16"/>
              </w:rPr>
              <w:t>15.1.0</w:t>
            </w:r>
          </w:p>
        </w:tc>
      </w:tr>
      <w:tr w:rsidR="00D40151" w:rsidRPr="00873B6C" w14:paraId="5DFBEDC7" w14:textId="77777777" w:rsidTr="009D14FB">
        <w:tc>
          <w:tcPr>
            <w:tcW w:w="800" w:type="dxa"/>
            <w:shd w:val="solid" w:color="FFFFFF" w:fill="auto"/>
          </w:tcPr>
          <w:p w14:paraId="1D408E9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0AC231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6CAB4BE"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5984CE3D" w14:textId="77777777" w:rsidR="00D40151" w:rsidRPr="00873B6C" w:rsidRDefault="00D40151" w:rsidP="009D14FB">
            <w:pPr>
              <w:pStyle w:val="TAL"/>
              <w:rPr>
                <w:sz w:val="16"/>
                <w:szCs w:val="16"/>
              </w:rPr>
            </w:pPr>
            <w:r w:rsidRPr="00873B6C">
              <w:rPr>
                <w:sz w:val="16"/>
                <w:szCs w:val="16"/>
              </w:rPr>
              <w:t>0091</w:t>
            </w:r>
          </w:p>
        </w:tc>
        <w:tc>
          <w:tcPr>
            <w:tcW w:w="425" w:type="dxa"/>
            <w:shd w:val="solid" w:color="FFFFFF" w:fill="auto"/>
          </w:tcPr>
          <w:p w14:paraId="56E8E5A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C0372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109F12" w14:textId="77777777" w:rsidR="00D40151" w:rsidRPr="00873B6C" w:rsidRDefault="00D40151" w:rsidP="009D14FB">
            <w:pPr>
              <w:pStyle w:val="TAL"/>
              <w:rPr>
                <w:sz w:val="16"/>
                <w:szCs w:val="16"/>
              </w:rPr>
            </w:pPr>
            <w:r w:rsidRPr="00873B6C">
              <w:rPr>
                <w:sz w:val="16"/>
                <w:szCs w:val="16"/>
              </w:rPr>
              <w:t>UDM Discovery with SUPI as input</w:t>
            </w:r>
          </w:p>
        </w:tc>
        <w:tc>
          <w:tcPr>
            <w:tcW w:w="708" w:type="dxa"/>
            <w:shd w:val="solid" w:color="FFFFFF" w:fill="auto"/>
          </w:tcPr>
          <w:p w14:paraId="34B34F74" w14:textId="77777777" w:rsidR="00D40151" w:rsidRPr="00873B6C" w:rsidRDefault="00D40151" w:rsidP="009D14FB">
            <w:pPr>
              <w:pStyle w:val="TAC"/>
              <w:rPr>
                <w:sz w:val="16"/>
                <w:szCs w:val="16"/>
              </w:rPr>
            </w:pPr>
            <w:r w:rsidRPr="00873B6C">
              <w:rPr>
                <w:sz w:val="16"/>
                <w:szCs w:val="16"/>
              </w:rPr>
              <w:t>15.1.0</w:t>
            </w:r>
          </w:p>
        </w:tc>
      </w:tr>
      <w:tr w:rsidR="00D40151" w:rsidRPr="00873B6C" w14:paraId="4E5345A1" w14:textId="77777777" w:rsidTr="009D14FB">
        <w:tc>
          <w:tcPr>
            <w:tcW w:w="800" w:type="dxa"/>
            <w:shd w:val="solid" w:color="FFFFFF" w:fill="auto"/>
          </w:tcPr>
          <w:p w14:paraId="24DDE6E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FF0E0B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6E8FB43"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2FBF0B7" w14:textId="77777777" w:rsidR="00D40151" w:rsidRPr="00873B6C" w:rsidRDefault="00D40151" w:rsidP="009D14FB">
            <w:pPr>
              <w:pStyle w:val="TAL"/>
              <w:rPr>
                <w:sz w:val="16"/>
                <w:szCs w:val="16"/>
              </w:rPr>
            </w:pPr>
            <w:r w:rsidRPr="00873B6C">
              <w:rPr>
                <w:sz w:val="16"/>
                <w:szCs w:val="16"/>
              </w:rPr>
              <w:t>0095</w:t>
            </w:r>
          </w:p>
        </w:tc>
        <w:tc>
          <w:tcPr>
            <w:tcW w:w="425" w:type="dxa"/>
            <w:shd w:val="solid" w:color="FFFFFF" w:fill="auto"/>
          </w:tcPr>
          <w:p w14:paraId="064E58E0"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6B44C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DF6E3A" w14:textId="77777777" w:rsidR="00D40151" w:rsidRPr="00873B6C" w:rsidRDefault="00D40151" w:rsidP="009D14FB">
            <w:pPr>
              <w:pStyle w:val="TAL"/>
              <w:rPr>
                <w:sz w:val="16"/>
                <w:szCs w:val="16"/>
              </w:rPr>
            </w:pPr>
            <w:r w:rsidRPr="00873B6C">
              <w:rPr>
                <w:sz w:val="16"/>
                <w:szCs w:val="16"/>
              </w:rPr>
              <w:t>Clarifications of Subscribed and Configured S-NSSAI update</w:t>
            </w:r>
          </w:p>
        </w:tc>
        <w:tc>
          <w:tcPr>
            <w:tcW w:w="708" w:type="dxa"/>
            <w:shd w:val="solid" w:color="FFFFFF" w:fill="auto"/>
          </w:tcPr>
          <w:p w14:paraId="0F947B85" w14:textId="77777777" w:rsidR="00D40151" w:rsidRPr="00873B6C" w:rsidRDefault="00D40151" w:rsidP="009D14FB">
            <w:pPr>
              <w:pStyle w:val="TAC"/>
              <w:rPr>
                <w:sz w:val="16"/>
                <w:szCs w:val="16"/>
              </w:rPr>
            </w:pPr>
            <w:r w:rsidRPr="00873B6C">
              <w:rPr>
                <w:sz w:val="16"/>
                <w:szCs w:val="16"/>
              </w:rPr>
              <w:t>15.1.0</w:t>
            </w:r>
          </w:p>
        </w:tc>
      </w:tr>
      <w:tr w:rsidR="00D40151" w:rsidRPr="00873B6C" w14:paraId="49D04CF6" w14:textId="77777777" w:rsidTr="009D14FB">
        <w:tc>
          <w:tcPr>
            <w:tcW w:w="800" w:type="dxa"/>
            <w:shd w:val="solid" w:color="FFFFFF" w:fill="auto"/>
          </w:tcPr>
          <w:p w14:paraId="6BA300A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75E398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4D2B95B"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431D9773" w14:textId="77777777" w:rsidR="00D40151" w:rsidRPr="00873B6C" w:rsidRDefault="00D40151" w:rsidP="009D14FB">
            <w:pPr>
              <w:pStyle w:val="TAL"/>
              <w:rPr>
                <w:sz w:val="16"/>
                <w:szCs w:val="16"/>
              </w:rPr>
            </w:pPr>
            <w:r w:rsidRPr="00873B6C">
              <w:rPr>
                <w:sz w:val="16"/>
                <w:szCs w:val="16"/>
              </w:rPr>
              <w:t>0102</w:t>
            </w:r>
          </w:p>
        </w:tc>
        <w:tc>
          <w:tcPr>
            <w:tcW w:w="425" w:type="dxa"/>
            <w:shd w:val="solid" w:color="FFFFFF" w:fill="auto"/>
          </w:tcPr>
          <w:p w14:paraId="6147E3E0"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DFE05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14CD84" w14:textId="77777777" w:rsidR="00D40151" w:rsidRPr="00873B6C" w:rsidRDefault="00D40151" w:rsidP="009D14FB">
            <w:pPr>
              <w:pStyle w:val="TAL"/>
              <w:rPr>
                <w:sz w:val="16"/>
                <w:szCs w:val="16"/>
              </w:rPr>
            </w:pPr>
            <w:r w:rsidRPr="00873B6C">
              <w:rPr>
                <w:sz w:val="16"/>
                <w:szCs w:val="16"/>
              </w:rPr>
              <w:t>Sending of congested S-NSSAI during AN signalling connection Establishment</w:t>
            </w:r>
          </w:p>
        </w:tc>
        <w:tc>
          <w:tcPr>
            <w:tcW w:w="708" w:type="dxa"/>
            <w:shd w:val="solid" w:color="FFFFFF" w:fill="auto"/>
          </w:tcPr>
          <w:p w14:paraId="7A1D1C36" w14:textId="77777777" w:rsidR="00D40151" w:rsidRPr="00873B6C" w:rsidRDefault="00D40151" w:rsidP="009D14FB">
            <w:pPr>
              <w:pStyle w:val="TAC"/>
              <w:rPr>
                <w:sz w:val="16"/>
                <w:szCs w:val="16"/>
              </w:rPr>
            </w:pPr>
            <w:r w:rsidRPr="00873B6C">
              <w:rPr>
                <w:sz w:val="16"/>
                <w:szCs w:val="16"/>
              </w:rPr>
              <w:t>15.1.0</w:t>
            </w:r>
          </w:p>
        </w:tc>
      </w:tr>
      <w:tr w:rsidR="00D40151" w:rsidRPr="00873B6C" w14:paraId="1D02CA4B" w14:textId="77777777" w:rsidTr="009D14FB">
        <w:tc>
          <w:tcPr>
            <w:tcW w:w="800" w:type="dxa"/>
            <w:shd w:val="solid" w:color="FFFFFF" w:fill="auto"/>
          </w:tcPr>
          <w:p w14:paraId="5725514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DAB2D4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AF54155"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DD81E5C" w14:textId="77777777" w:rsidR="00D40151" w:rsidRPr="00873B6C" w:rsidRDefault="00D40151" w:rsidP="009D14FB">
            <w:pPr>
              <w:pStyle w:val="TAL"/>
              <w:rPr>
                <w:sz w:val="16"/>
                <w:szCs w:val="16"/>
              </w:rPr>
            </w:pPr>
            <w:r w:rsidRPr="00873B6C">
              <w:rPr>
                <w:sz w:val="16"/>
                <w:szCs w:val="16"/>
              </w:rPr>
              <w:t>0104</w:t>
            </w:r>
          </w:p>
        </w:tc>
        <w:tc>
          <w:tcPr>
            <w:tcW w:w="425" w:type="dxa"/>
            <w:shd w:val="solid" w:color="FFFFFF" w:fill="auto"/>
          </w:tcPr>
          <w:p w14:paraId="1711B06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CA81D9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839446" w14:textId="77777777" w:rsidR="00D40151" w:rsidRPr="00873B6C" w:rsidRDefault="00D40151" w:rsidP="009D14FB">
            <w:pPr>
              <w:pStyle w:val="TAL"/>
              <w:rPr>
                <w:sz w:val="16"/>
                <w:szCs w:val="16"/>
              </w:rPr>
            </w:pPr>
            <w:r w:rsidRPr="00873B6C">
              <w:rPr>
                <w:sz w:val="16"/>
                <w:szCs w:val="16"/>
              </w:rPr>
              <w:t>Clarification on modification of the set of network slices for a UE</w:t>
            </w:r>
          </w:p>
        </w:tc>
        <w:tc>
          <w:tcPr>
            <w:tcW w:w="708" w:type="dxa"/>
            <w:shd w:val="solid" w:color="FFFFFF" w:fill="auto"/>
          </w:tcPr>
          <w:p w14:paraId="6ADC35A4" w14:textId="77777777" w:rsidR="00D40151" w:rsidRPr="00873B6C" w:rsidRDefault="00D40151" w:rsidP="009D14FB">
            <w:pPr>
              <w:pStyle w:val="TAC"/>
              <w:rPr>
                <w:sz w:val="16"/>
                <w:szCs w:val="16"/>
              </w:rPr>
            </w:pPr>
            <w:r w:rsidRPr="00873B6C">
              <w:rPr>
                <w:sz w:val="16"/>
                <w:szCs w:val="16"/>
              </w:rPr>
              <w:t>15.1.0</w:t>
            </w:r>
          </w:p>
        </w:tc>
      </w:tr>
      <w:tr w:rsidR="00D40151" w:rsidRPr="00873B6C" w14:paraId="45980D93" w14:textId="77777777" w:rsidTr="009D14FB">
        <w:tc>
          <w:tcPr>
            <w:tcW w:w="800" w:type="dxa"/>
            <w:shd w:val="solid" w:color="FFFFFF" w:fill="auto"/>
          </w:tcPr>
          <w:p w14:paraId="0F17608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EDE3D1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EDA3102"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13970687" w14:textId="77777777" w:rsidR="00D40151" w:rsidRPr="00873B6C" w:rsidRDefault="00D40151" w:rsidP="009D14FB">
            <w:pPr>
              <w:pStyle w:val="TAL"/>
              <w:rPr>
                <w:sz w:val="16"/>
                <w:szCs w:val="16"/>
              </w:rPr>
            </w:pPr>
            <w:r w:rsidRPr="00873B6C">
              <w:rPr>
                <w:sz w:val="16"/>
                <w:szCs w:val="16"/>
              </w:rPr>
              <w:t>0105</w:t>
            </w:r>
          </w:p>
        </w:tc>
        <w:tc>
          <w:tcPr>
            <w:tcW w:w="425" w:type="dxa"/>
            <w:shd w:val="solid" w:color="FFFFFF" w:fill="auto"/>
          </w:tcPr>
          <w:p w14:paraId="23E212A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2F17D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5788BB" w14:textId="77777777" w:rsidR="00D40151" w:rsidRPr="00873B6C" w:rsidRDefault="00D40151" w:rsidP="009D14FB">
            <w:pPr>
              <w:pStyle w:val="TAL"/>
              <w:rPr>
                <w:sz w:val="16"/>
                <w:szCs w:val="16"/>
              </w:rPr>
            </w:pPr>
            <w:r w:rsidRPr="00873B6C">
              <w:rPr>
                <w:sz w:val="16"/>
                <w:szCs w:val="16"/>
              </w:rPr>
              <w:t>UE support for Multi-homed IPv6 PDU Session</w:t>
            </w:r>
          </w:p>
        </w:tc>
        <w:tc>
          <w:tcPr>
            <w:tcW w:w="708" w:type="dxa"/>
            <w:shd w:val="solid" w:color="FFFFFF" w:fill="auto"/>
          </w:tcPr>
          <w:p w14:paraId="3A25576F" w14:textId="77777777" w:rsidR="00D40151" w:rsidRPr="00873B6C" w:rsidRDefault="00D40151" w:rsidP="009D14FB">
            <w:pPr>
              <w:pStyle w:val="TAC"/>
              <w:rPr>
                <w:sz w:val="16"/>
                <w:szCs w:val="16"/>
              </w:rPr>
            </w:pPr>
            <w:r w:rsidRPr="00873B6C">
              <w:rPr>
                <w:sz w:val="16"/>
                <w:szCs w:val="16"/>
              </w:rPr>
              <w:t>15.1.0</w:t>
            </w:r>
          </w:p>
        </w:tc>
      </w:tr>
      <w:tr w:rsidR="00D40151" w:rsidRPr="00873B6C" w14:paraId="3C9F177C" w14:textId="77777777" w:rsidTr="009D14FB">
        <w:tc>
          <w:tcPr>
            <w:tcW w:w="800" w:type="dxa"/>
            <w:shd w:val="solid" w:color="FFFFFF" w:fill="auto"/>
          </w:tcPr>
          <w:p w14:paraId="754D887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A79CCD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DB4658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CA84EA0" w14:textId="77777777" w:rsidR="00D40151" w:rsidRPr="00873B6C" w:rsidRDefault="00D40151" w:rsidP="009D14FB">
            <w:pPr>
              <w:pStyle w:val="TAL"/>
              <w:rPr>
                <w:sz w:val="16"/>
                <w:szCs w:val="16"/>
              </w:rPr>
            </w:pPr>
            <w:r w:rsidRPr="00873B6C">
              <w:rPr>
                <w:sz w:val="16"/>
                <w:szCs w:val="16"/>
              </w:rPr>
              <w:t>0106</w:t>
            </w:r>
          </w:p>
        </w:tc>
        <w:tc>
          <w:tcPr>
            <w:tcW w:w="425" w:type="dxa"/>
            <w:shd w:val="solid" w:color="FFFFFF" w:fill="auto"/>
          </w:tcPr>
          <w:p w14:paraId="1FDD34C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3DA7C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5A6B10" w14:textId="77777777" w:rsidR="00D40151" w:rsidRPr="00873B6C" w:rsidRDefault="00D40151" w:rsidP="009D14FB">
            <w:pPr>
              <w:pStyle w:val="TAL"/>
              <w:rPr>
                <w:sz w:val="16"/>
                <w:szCs w:val="16"/>
              </w:rPr>
            </w:pPr>
            <w:r w:rsidRPr="00873B6C">
              <w:rPr>
                <w:sz w:val="16"/>
                <w:szCs w:val="16"/>
              </w:rPr>
              <w:t>5GS support for network slicing</w:t>
            </w:r>
          </w:p>
        </w:tc>
        <w:tc>
          <w:tcPr>
            <w:tcW w:w="708" w:type="dxa"/>
            <w:shd w:val="solid" w:color="FFFFFF" w:fill="auto"/>
          </w:tcPr>
          <w:p w14:paraId="43CA229F" w14:textId="77777777" w:rsidR="00D40151" w:rsidRPr="00873B6C" w:rsidRDefault="00D40151" w:rsidP="009D14FB">
            <w:pPr>
              <w:pStyle w:val="TAC"/>
              <w:rPr>
                <w:sz w:val="16"/>
                <w:szCs w:val="16"/>
              </w:rPr>
            </w:pPr>
            <w:r w:rsidRPr="00873B6C">
              <w:rPr>
                <w:sz w:val="16"/>
                <w:szCs w:val="16"/>
              </w:rPr>
              <w:t>15.1.0</w:t>
            </w:r>
          </w:p>
        </w:tc>
      </w:tr>
      <w:tr w:rsidR="00D40151" w:rsidRPr="00873B6C" w14:paraId="1A997AF6" w14:textId="77777777" w:rsidTr="009D14FB">
        <w:tc>
          <w:tcPr>
            <w:tcW w:w="800" w:type="dxa"/>
            <w:shd w:val="solid" w:color="FFFFFF" w:fill="auto"/>
          </w:tcPr>
          <w:p w14:paraId="3E54D53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83E79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A591C97" w14:textId="77777777" w:rsidR="00D40151" w:rsidRPr="00873B6C" w:rsidRDefault="00D40151" w:rsidP="009D14FB">
            <w:pPr>
              <w:pStyle w:val="TAC"/>
              <w:rPr>
                <w:sz w:val="16"/>
                <w:szCs w:val="16"/>
              </w:rPr>
            </w:pPr>
            <w:r w:rsidRPr="00873B6C">
              <w:rPr>
                <w:sz w:val="16"/>
                <w:szCs w:val="16"/>
              </w:rPr>
              <w:t>SP-180093</w:t>
            </w:r>
          </w:p>
        </w:tc>
        <w:tc>
          <w:tcPr>
            <w:tcW w:w="567" w:type="dxa"/>
            <w:shd w:val="solid" w:color="FFFFFF" w:fill="auto"/>
          </w:tcPr>
          <w:p w14:paraId="47AAD3A7" w14:textId="77777777" w:rsidR="00D40151" w:rsidRPr="00873B6C" w:rsidRDefault="00D40151" w:rsidP="009D14FB">
            <w:pPr>
              <w:pStyle w:val="TAL"/>
              <w:rPr>
                <w:sz w:val="16"/>
                <w:szCs w:val="16"/>
              </w:rPr>
            </w:pPr>
            <w:r w:rsidRPr="00873B6C">
              <w:rPr>
                <w:sz w:val="16"/>
                <w:szCs w:val="16"/>
              </w:rPr>
              <w:t>0107</w:t>
            </w:r>
          </w:p>
        </w:tc>
        <w:tc>
          <w:tcPr>
            <w:tcW w:w="425" w:type="dxa"/>
            <w:shd w:val="solid" w:color="FFFFFF" w:fill="auto"/>
          </w:tcPr>
          <w:p w14:paraId="7F867ED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BBE6E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95F0C6" w14:textId="77777777" w:rsidR="00D40151" w:rsidRPr="00873B6C" w:rsidRDefault="00D40151" w:rsidP="009D14FB">
            <w:pPr>
              <w:pStyle w:val="TAL"/>
              <w:rPr>
                <w:sz w:val="16"/>
                <w:szCs w:val="16"/>
              </w:rPr>
            </w:pPr>
            <w:r w:rsidRPr="00873B6C">
              <w:rPr>
                <w:sz w:val="16"/>
                <w:szCs w:val="16"/>
              </w:rPr>
              <w:t>UE Core Network Capability handling</w:t>
            </w:r>
          </w:p>
        </w:tc>
        <w:tc>
          <w:tcPr>
            <w:tcW w:w="708" w:type="dxa"/>
            <w:shd w:val="solid" w:color="FFFFFF" w:fill="auto"/>
          </w:tcPr>
          <w:p w14:paraId="3742D95C" w14:textId="77777777" w:rsidR="00D40151" w:rsidRPr="00873B6C" w:rsidRDefault="00D40151" w:rsidP="009D14FB">
            <w:pPr>
              <w:pStyle w:val="TAC"/>
              <w:rPr>
                <w:sz w:val="16"/>
                <w:szCs w:val="16"/>
              </w:rPr>
            </w:pPr>
            <w:r w:rsidRPr="00873B6C">
              <w:rPr>
                <w:sz w:val="16"/>
                <w:szCs w:val="16"/>
              </w:rPr>
              <w:t>15.1.0</w:t>
            </w:r>
          </w:p>
        </w:tc>
      </w:tr>
      <w:tr w:rsidR="00D40151" w:rsidRPr="00873B6C" w14:paraId="276CBE14" w14:textId="77777777" w:rsidTr="009D14FB">
        <w:tc>
          <w:tcPr>
            <w:tcW w:w="800" w:type="dxa"/>
            <w:shd w:val="solid" w:color="FFFFFF" w:fill="auto"/>
          </w:tcPr>
          <w:p w14:paraId="0D0EEF5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101548C"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B153434"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7780BBAE" w14:textId="77777777" w:rsidR="00D40151" w:rsidRPr="00873B6C" w:rsidRDefault="00D40151" w:rsidP="009D14FB">
            <w:pPr>
              <w:pStyle w:val="TAL"/>
              <w:rPr>
                <w:sz w:val="16"/>
                <w:szCs w:val="16"/>
              </w:rPr>
            </w:pPr>
            <w:r w:rsidRPr="00873B6C">
              <w:rPr>
                <w:sz w:val="16"/>
                <w:szCs w:val="16"/>
              </w:rPr>
              <w:t>0108</w:t>
            </w:r>
          </w:p>
        </w:tc>
        <w:tc>
          <w:tcPr>
            <w:tcW w:w="425" w:type="dxa"/>
            <w:shd w:val="solid" w:color="FFFFFF" w:fill="auto"/>
          </w:tcPr>
          <w:p w14:paraId="20ACE7B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4431C4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A152E5" w14:textId="77777777" w:rsidR="00D40151" w:rsidRPr="00873B6C" w:rsidRDefault="00D40151" w:rsidP="009D14FB">
            <w:pPr>
              <w:pStyle w:val="TAL"/>
              <w:rPr>
                <w:sz w:val="16"/>
                <w:szCs w:val="16"/>
              </w:rPr>
            </w:pPr>
            <w:r w:rsidRPr="00873B6C">
              <w:rPr>
                <w:sz w:val="16"/>
                <w:szCs w:val="16"/>
              </w:rPr>
              <w:t>eCall over IMS supported over E-UTRA only</w:t>
            </w:r>
          </w:p>
        </w:tc>
        <w:tc>
          <w:tcPr>
            <w:tcW w:w="708" w:type="dxa"/>
            <w:shd w:val="solid" w:color="FFFFFF" w:fill="auto"/>
          </w:tcPr>
          <w:p w14:paraId="70F5F960" w14:textId="77777777" w:rsidR="00D40151" w:rsidRPr="00873B6C" w:rsidRDefault="00D40151" w:rsidP="009D14FB">
            <w:pPr>
              <w:pStyle w:val="TAC"/>
              <w:rPr>
                <w:sz w:val="16"/>
                <w:szCs w:val="16"/>
              </w:rPr>
            </w:pPr>
            <w:r w:rsidRPr="00873B6C">
              <w:rPr>
                <w:sz w:val="16"/>
                <w:szCs w:val="16"/>
              </w:rPr>
              <w:t>15.1.0</w:t>
            </w:r>
          </w:p>
        </w:tc>
      </w:tr>
      <w:tr w:rsidR="00D40151" w:rsidRPr="00873B6C" w14:paraId="3F7D8D79" w14:textId="77777777" w:rsidTr="009D14FB">
        <w:tc>
          <w:tcPr>
            <w:tcW w:w="800" w:type="dxa"/>
            <w:shd w:val="solid" w:color="FFFFFF" w:fill="auto"/>
          </w:tcPr>
          <w:p w14:paraId="11C4D5D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74B708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4285DA2"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0B9CD5FD" w14:textId="77777777" w:rsidR="00D40151" w:rsidRPr="00873B6C" w:rsidRDefault="00D40151" w:rsidP="009D14FB">
            <w:pPr>
              <w:pStyle w:val="TAL"/>
              <w:rPr>
                <w:sz w:val="16"/>
                <w:szCs w:val="16"/>
              </w:rPr>
            </w:pPr>
            <w:r w:rsidRPr="00873B6C">
              <w:rPr>
                <w:sz w:val="16"/>
                <w:szCs w:val="16"/>
              </w:rPr>
              <w:t>0109</w:t>
            </w:r>
          </w:p>
        </w:tc>
        <w:tc>
          <w:tcPr>
            <w:tcW w:w="425" w:type="dxa"/>
            <w:shd w:val="solid" w:color="FFFFFF" w:fill="auto"/>
          </w:tcPr>
          <w:p w14:paraId="1AC9FEF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247EC9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4CAEBB" w14:textId="77777777" w:rsidR="00D40151" w:rsidRPr="00873B6C" w:rsidRDefault="00D40151" w:rsidP="009D14FB">
            <w:pPr>
              <w:pStyle w:val="TAL"/>
              <w:rPr>
                <w:sz w:val="16"/>
                <w:szCs w:val="16"/>
              </w:rPr>
            </w:pPr>
            <w:r w:rsidRPr="00873B6C">
              <w:rPr>
                <w:sz w:val="16"/>
                <w:szCs w:val="16"/>
              </w:rPr>
              <w:t>Domain selection for UE in Dual Registration mode</w:t>
            </w:r>
          </w:p>
        </w:tc>
        <w:tc>
          <w:tcPr>
            <w:tcW w:w="708" w:type="dxa"/>
            <w:shd w:val="solid" w:color="FFFFFF" w:fill="auto"/>
          </w:tcPr>
          <w:p w14:paraId="14D80D29" w14:textId="77777777" w:rsidR="00D40151" w:rsidRPr="00873B6C" w:rsidRDefault="00D40151" w:rsidP="009D14FB">
            <w:pPr>
              <w:pStyle w:val="TAC"/>
              <w:rPr>
                <w:sz w:val="16"/>
                <w:szCs w:val="16"/>
              </w:rPr>
            </w:pPr>
            <w:r w:rsidRPr="00873B6C">
              <w:rPr>
                <w:sz w:val="16"/>
                <w:szCs w:val="16"/>
              </w:rPr>
              <w:t>15.1.0</w:t>
            </w:r>
          </w:p>
        </w:tc>
      </w:tr>
      <w:tr w:rsidR="00D40151" w:rsidRPr="00873B6C" w14:paraId="616E2F6A" w14:textId="77777777" w:rsidTr="009D14FB">
        <w:tc>
          <w:tcPr>
            <w:tcW w:w="800" w:type="dxa"/>
            <w:shd w:val="solid" w:color="FFFFFF" w:fill="auto"/>
          </w:tcPr>
          <w:p w14:paraId="4EA941E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E52512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6FFFFE9"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6097711" w14:textId="77777777" w:rsidR="00D40151" w:rsidRPr="00873B6C" w:rsidRDefault="00D40151" w:rsidP="009D14FB">
            <w:pPr>
              <w:pStyle w:val="TAL"/>
              <w:rPr>
                <w:sz w:val="16"/>
                <w:szCs w:val="16"/>
              </w:rPr>
            </w:pPr>
            <w:r w:rsidRPr="00873B6C">
              <w:rPr>
                <w:sz w:val="16"/>
                <w:szCs w:val="16"/>
              </w:rPr>
              <w:t>0110</w:t>
            </w:r>
          </w:p>
        </w:tc>
        <w:tc>
          <w:tcPr>
            <w:tcW w:w="425" w:type="dxa"/>
            <w:shd w:val="solid" w:color="FFFFFF" w:fill="auto"/>
          </w:tcPr>
          <w:p w14:paraId="1429B6D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F5762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6A4B32" w14:textId="77777777" w:rsidR="00D40151" w:rsidRPr="00873B6C" w:rsidRDefault="00D40151" w:rsidP="009D14FB">
            <w:pPr>
              <w:pStyle w:val="TAL"/>
              <w:rPr>
                <w:sz w:val="16"/>
                <w:szCs w:val="16"/>
              </w:rPr>
            </w:pPr>
            <w:r w:rsidRPr="00873B6C">
              <w:rPr>
                <w:sz w:val="16"/>
                <w:szCs w:val="16"/>
              </w:rPr>
              <w:t>MICO and interworking with EPC</w:t>
            </w:r>
          </w:p>
        </w:tc>
        <w:tc>
          <w:tcPr>
            <w:tcW w:w="708" w:type="dxa"/>
            <w:shd w:val="solid" w:color="FFFFFF" w:fill="auto"/>
          </w:tcPr>
          <w:p w14:paraId="66D3ABAE" w14:textId="77777777" w:rsidR="00D40151" w:rsidRPr="00873B6C" w:rsidRDefault="00D40151" w:rsidP="009D14FB">
            <w:pPr>
              <w:pStyle w:val="TAC"/>
              <w:rPr>
                <w:sz w:val="16"/>
                <w:szCs w:val="16"/>
              </w:rPr>
            </w:pPr>
            <w:r w:rsidRPr="00873B6C">
              <w:rPr>
                <w:sz w:val="16"/>
                <w:szCs w:val="16"/>
              </w:rPr>
              <w:t>15.1.0</w:t>
            </w:r>
          </w:p>
        </w:tc>
      </w:tr>
      <w:tr w:rsidR="00D40151" w:rsidRPr="00873B6C" w14:paraId="2891EF6B" w14:textId="77777777" w:rsidTr="009D14FB">
        <w:tc>
          <w:tcPr>
            <w:tcW w:w="800" w:type="dxa"/>
            <w:shd w:val="solid" w:color="FFFFFF" w:fill="auto"/>
          </w:tcPr>
          <w:p w14:paraId="5B1DE35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4A7D87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6287F8F"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AB2767A" w14:textId="77777777" w:rsidR="00D40151" w:rsidRPr="00873B6C" w:rsidRDefault="00D40151" w:rsidP="009D14FB">
            <w:pPr>
              <w:pStyle w:val="TAL"/>
              <w:rPr>
                <w:sz w:val="16"/>
                <w:szCs w:val="16"/>
              </w:rPr>
            </w:pPr>
            <w:r w:rsidRPr="00873B6C">
              <w:rPr>
                <w:sz w:val="16"/>
                <w:szCs w:val="16"/>
              </w:rPr>
              <w:t>0115</w:t>
            </w:r>
          </w:p>
        </w:tc>
        <w:tc>
          <w:tcPr>
            <w:tcW w:w="425" w:type="dxa"/>
            <w:shd w:val="solid" w:color="FFFFFF" w:fill="auto"/>
          </w:tcPr>
          <w:p w14:paraId="5B7804E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6600E6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16012D" w14:textId="77777777" w:rsidR="00D40151" w:rsidRPr="00873B6C" w:rsidRDefault="00D40151" w:rsidP="009D14FB">
            <w:pPr>
              <w:pStyle w:val="TAL"/>
              <w:rPr>
                <w:sz w:val="16"/>
                <w:szCs w:val="16"/>
              </w:rPr>
            </w:pPr>
            <w:r w:rsidRPr="00873B6C">
              <w:rPr>
                <w:sz w:val="16"/>
                <w:szCs w:val="16"/>
              </w:rPr>
              <w:t>Correction of NSSAI handling</w:t>
            </w:r>
          </w:p>
        </w:tc>
        <w:tc>
          <w:tcPr>
            <w:tcW w:w="708" w:type="dxa"/>
            <w:shd w:val="solid" w:color="FFFFFF" w:fill="auto"/>
          </w:tcPr>
          <w:p w14:paraId="3D38012D" w14:textId="77777777" w:rsidR="00D40151" w:rsidRPr="00873B6C" w:rsidRDefault="00D40151" w:rsidP="009D14FB">
            <w:pPr>
              <w:pStyle w:val="TAC"/>
              <w:rPr>
                <w:sz w:val="16"/>
                <w:szCs w:val="16"/>
              </w:rPr>
            </w:pPr>
            <w:r w:rsidRPr="00873B6C">
              <w:rPr>
                <w:sz w:val="16"/>
                <w:szCs w:val="16"/>
              </w:rPr>
              <w:t>15.1.0</w:t>
            </w:r>
          </w:p>
        </w:tc>
      </w:tr>
      <w:tr w:rsidR="00D40151" w:rsidRPr="00873B6C" w14:paraId="1E840184" w14:textId="77777777" w:rsidTr="009D14FB">
        <w:tc>
          <w:tcPr>
            <w:tcW w:w="800" w:type="dxa"/>
            <w:shd w:val="solid" w:color="FFFFFF" w:fill="auto"/>
          </w:tcPr>
          <w:p w14:paraId="019AAE1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614A5F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13065EE"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8C30EFA" w14:textId="77777777" w:rsidR="00D40151" w:rsidRPr="00873B6C" w:rsidRDefault="00D40151" w:rsidP="009D14FB">
            <w:pPr>
              <w:pStyle w:val="TAL"/>
              <w:rPr>
                <w:sz w:val="16"/>
                <w:szCs w:val="16"/>
              </w:rPr>
            </w:pPr>
            <w:r w:rsidRPr="00873B6C">
              <w:rPr>
                <w:sz w:val="16"/>
                <w:szCs w:val="16"/>
              </w:rPr>
              <w:t>0116</w:t>
            </w:r>
          </w:p>
        </w:tc>
        <w:tc>
          <w:tcPr>
            <w:tcW w:w="425" w:type="dxa"/>
            <w:shd w:val="solid" w:color="FFFFFF" w:fill="auto"/>
          </w:tcPr>
          <w:p w14:paraId="2E224EC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35B7C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D76A8A" w14:textId="77777777" w:rsidR="00D40151" w:rsidRPr="00873B6C" w:rsidRDefault="00D40151" w:rsidP="009D14FB">
            <w:pPr>
              <w:pStyle w:val="TAL"/>
              <w:rPr>
                <w:sz w:val="16"/>
                <w:szCs w:val="16"/>
              </w:rPr>
            </w:pPr>
            <w:r w:rsidRPr="00873B6C">
              <w:rPr>
                <w:sz w:val="16"/>
                <w:szCs w:val="16"/>
              </w:rPr>
              <w:t>Slice Availability update</w:t>
            </w:r>
          </w:p>
        </w:tc>
        <w:tc>
          <w:tcPr>
            <w:tcW w:w="708" w:type="dxa"/>
            <w:shd w:val="solid" w:color="FFFFFF" w:fill="auto"/>
          </w:tcPr>
          <w:p w14:paraId="6B1EFAAF" w14:textId="77777777" w:rsidR="00D40151" w:rsidRPr="00873B6C" w:rsidRDefault="00D40151" w:rsidP="009D14FB">
            <w:pPr>
              <w:pStyle w:val="TAC"/>
              <w:rPr>
                <w:sz w:val="16"/>
                <w:szCs w:val="16"/>
              </w:rPr>
            </w:pPr>
            <w:r w:rsidRPr="00873B6C">
              <w:rPr>
                <w:sz w:val="16"/>
                <w:szCs w:val="16"/>
              </w:rPr>
              <w:t>15.1.0</w:t>
            </w:r>
          </w:p>
        </w:tc>
      </w:tr>
      <w:tr w:rsidR="00D40151" w:rsidRPr="00873B6C" w14:paraId="5829481B" w14:textId="77777777" w:rsidTr="009D14FB">
        <w:tc>
          <w:tcPr>
            <w:tcW w:w="800" w:type="dxa"/>
            <w:shd w:val="solid" w:color="FFFFFF" w:fill="auto"/>
          </w:tcPr>
          <w:p w14:paraId="493AD4D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103CBD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9AFD67D"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29C45C18" w14:textId="77777777" w:rsidR="00D40151" w:rsidRPr="00873B6C" w:rsidRDefault="00D40151" w:rsidP="009D14FB">
            <w:pPr>
              <w:pStyle w:val="TAL"/>
              <w:rPr>
                <w:sz w:val="16"/>
                <w:szCs w:val="16"/>
              </w:rPr>
            </w:pPr>
            <w:r w:rsidRPr="00873B6C">
              <w:rPr>
                <w:sz w:val="16"/>
                <w:szCs w:val="16"/>
              </w:rPr>
              <w:t>0122</w:t>
            </w:r>
          </w:p>
        </w:tc>
        <w:tc>
          <w:tcPr>
            <w:tcW w:w="425" w:type="dxa"/>
            <w:shd w:val="solid" w:color="FFFFFF" w:fill="auto"/>
          </w:tcPr>
          <w:p w14:paraId="6D0DC0A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A4F93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F9D3DA" w14:textId="77777777" w:rsidR="00D40151" w:rsidRPr="00873B6C" w:rsidRDefault="00D40151" w:rsidP="009D14FB">
            <w:pPr>
              <w:pStyle w:val="TAL"/>
              <w:rPr>
                <w:sz w:val="16"/>
                <w:szCs w:val="16"/>
              </w:rPr>
            </w:pPr>
            <w:r w:rsidRPr="00873B6C">
              <w:rPr>
                <w:sz w:val="16"/>
                <w:szCs w:val="16"/>
              </w:rPr>
              <w:t>User Plane management to support interworking with EPS</w:t>
            </w:r>
          </w:p>
        </w:tc>
        <w:tc>
          <w:tcPr>
            <w:tcW w:w="708" w:type="dxa"/>
            <w:shd w:val="solid" w:color="FFFFFF" w:fill="auto"/>
          </w:tcPr>
          <w:p w14:paraId="4D412B5C" w14:textId="77777777" w:rsidR="00D40151" w:rsidRPr="00873B6C" w:rsidRDefault="00D40151" w:rsidP="009D14FB">
            <w:pPr>
              <w:pStyle w:val="TAC"/>
              <w:rPr>
                <w:sz w:val="16"/>
                <w:szCs w:val="16"/>
              </w:rPr>
            </w:pPr>
            <w:r w:rsidRPr="00873B6C">
              <w:rPr>
                <w:sz w:val="16"/>
                <w:szCs w:val="16"/>
              </w:rPr>
              <w:t>15.1.0</w:t>
            </w:r>
          </w:p>
        </w:tc>
      </w:tr>
      <w:tr w:rsidR="00D40151" w:rsidRPr="00873B6C" w14:paraId="1CB4C47A" w14:textId="77777777" w:rsidTr="009D14FB">
        <w:tc>
          <w:tcPr>
            <w:tcW w:w="800" w:type="dxa"/>
            <w:shd w:val="solid" w:color="FFFFFF" w:fill="auto"/>
          </w:tcPr>
          <w:p w14:paraId="42C00BE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C964DF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D394EB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A8DFB2D" w14:textId="77777777" w:rsidR="00D40151" w:rsidRPr="00873B6C" w:rsidRDefault="00D40151" w:rsidP="009D14FB">
            <w:pPr>
              <w:pStyle w:val="TAL"/>
              <w:rPr>
                <w:sz w:val="16"/>
                <w:szCs w:val="16"/>
              </w:rPr>
            </w:pPr>
            <w:r w:rsidRPr="00873B6C">
              <w:rPr>
                <w:sz w:val="16"/>
                <w:szCs w:val="16"/>
              </w:rPr>
              <w:t>0124</w:t>
            </w:r>
          </w:p>
        </w:tc>
        <w:tc>
          <w:tcPr>
            <w:tcW w:w="425" w:type="dxa"/>
            <w:shd w:val="solid" w:color="FFFFFF" w:fill="auto"/>
          </w:tcPr>
          <w:p w14:paraId="63E9E3B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D27CD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0BF9E8" w14:textId="77777777" w:rsidR="00D40151" w:rsidRPr="00873B6C" w:rsidRDefault="00D40151" w:rsidP="009D14FB">
            <w:pPr>
              <w:pStyle w:val="TAL"/>
              <w:rPr>
                <w:sz w:val="16"/>
                <w:szCs w:val="16"/>
              </w:rPr>
            </w:pPr>
            <w:r w:rsidRPr="00873B6C">
              <w:rPr>
                <w:sz w:val="16"/>
                <w:szCs w:val="16"/>
              </w:rPr>
              <w:t>Supporting Common API framework for NEF</w:t>
            </w:r>
          </w:p>
        </w:tc>
        <w:tc>
          <w:tcPr>
            <w:tcW w:w="708" w:type="dxa"/>
            <w:shd w:val="solid" w:color="FFFFFF" w:fill="auto"/>
          </w:tcPr>
          <w:p w14:paraId="427EFCCB" w14:textId="77777777" w:rsidR="00D40151" w:rsidRPr="00873B6C" w:rsidRDefault="00D40151" w:rsidP="009D14FB">
            <w:pPr>
              <w:pStyle w:val="TAC"/>
              <w:rPr>
                <w:sz w:val="16"/>
                <w:szCs w:val="16"/>
              </w:rPr>
            </w:pPr>
            <w:r w:rsidRPr="00873B6C">
              <w:rPr>
                <w:sz w:val="16"/>
                <w:szCs w:val="16"/>
              </w:rPr>
              <w:t>15.1.0</w:t>
            </w:r>
          </w:p>
        </w:tc>
      </w:tr>
      <w:tr w:rsidR="00D40151" w:rsidRPr="00873B6C" w14:paraId="238AF3BA" w14:textId="77777777" w:rsidTr="009D14FB">
        <w:tc>
          <w:tcPr>
            <w:tcW w:w="800" w:type="dxa"/>
            <w:shd w:val="solid" w:color="FFFFFF" w:fill="auto"/>
          </w:tcPr>
          <w:p w14:paraId="5DE22FC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95076C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EE9B00C"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56138A95" w14:textId="77777777" w:rsidR="00D40151" w:rsidRPr="00873B6C" w:rsidRDefault="00D40151" w:rsidP="009D14FB">
            <w:pPr>
              <w:pStyle w:val="TAL"/>
              <w:rPr>
                <w:sz w:val="16"/>
                <w:szCs w:val="16"/>
              </w:rPr>
            </w:pPr>
            <w:r w:rsidRPr="00873B6C">
              <w:rPr>
                <w:sz w:val="16"/>
                <w:szCs w:val="16"/>
              </w:rPr>
              <w:t>0126</w:t>
            </w:r>
          </w:p>
        </w:tc>
        <w:tc>
          <w:tcPr>
            <w:tcW w:w="425" w:type="dxa"/>
            <w:shd w:val="solid" w:color="FFFFFF" w:fill="auto"/>
          </w:tcPr>
          <w:p w14:paraId="46B8683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B8404D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BB732C" w14:textId="7900246E" w:rsidR="00D40151" w:rsidRPr="00873B6C" w:rsidRDefault="00D40151" w:rsidP="009D14FB">
            <w:pPr>
              <w:pStyle w:val="TAL"/>
              <w:rPr>
                <w:sz w:val="16"/>
                <w:szCs w:val="16"/>
              </w:rPr>
            </w:pPr>
            <w:r w:rsidRPr="00873B6C">
              <w:rPr>
                <w:sz w:val="16"/>
                <w:szCs w:val="16"/>
              </w:rPr>
              <w:t>Clarification on NAS recovery procedure in RRC Inactive</w:t>
            </w:r>
          </w:p>
        </w:tc>
        <w:tc>
          <w:tcPr>
            <w:tcW w:w="708" w:type="dxa"/>
            <w:shd w:val="solid" w:color="FFFFFF" w:fill="auto"/>
          </w:tcPr>
          <w:p w14:paraId="6C3E0D23" w14:textId="77777777" w:rsidR="00D40151" w:rsidRPr="00873B6C" w:rsidRDefault="00D40151" w:rsidP="009D14FB">
            <w:pPr>
              <w:pStyle w:val="TAC"/>
              <w:rPr>
                <w:sz w:val="16"/>
                <w:szCs w:val="16"/>
              </w:rPr>
            </w:pPr>
            <w:r w:rsidRPr="00873B6C">
              <w:rPr>
                <w:sz w:val="16"/>
                <w:szCs w:val="16"/>
              </w:rPr>
              <w:t>15.1.0</w:t>
            </w:r>
          </w:p>
        </w:tc>
      </w:tr>
      <w:tr w:rsidR="00D40151" w:rsidRPr="00873B6C" w14:paraId="631A7278" w14:textId="77777777" w:rsidTr="009D14FB">
        <w:tc>
          <w:tcPr>
            <w:tcW w:w="800" w:type="dxa"/>
            <w:shd w:val="solid" w:color="FFFFFF" w:fill="auto"/>
          </w:tcPr>
          <w:p w14:paraId="24B4E24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A5A01C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A041C44"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0ABD5424" w14:textId="77777777" w:rsidR="00D40151" w:rsidRPr="00873B6C" w:rsidRDefault="00D40151" w:rsidP="009D14FB">
            <w:pPr>
              <w:pStyle w:val="TAL"/>
              <w:rPr>
                <w:sz w:val="16"/>
                <w:szCs w:val="16"/>
              </w:rPr>
            </w:pPr>
            <w:r w:rsidRPr="00873B6C">
              <w:rPr>
                <w:sz w:val="16"/>
                <w:szCs w:val="16"/>
              </w:rPr>
              <w:t>0129</w:t>
            </w:r>
          </w:p>
        </w:tc>
        <w:tc>
          <w:tcPr>
            <w:tcW w:w="425" w:type="dxa"/>
            <w:shd w:val="solid" w:color="FFFFFF" w:fill="auto"/>
          </w:tcPr>
          <w:p w14:paraId="1C51B13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50921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597830" w14:textId="77777777" w:rsidR="00D40151" w:rsidRPr="00873B6C" w:rsidRDefault="00D40151" w:rsidP="009D14FB">
            <w:pPr>
              <w:pStyle w:val="TAL"/>
              <w:rPr>
                <w:sz w:val="16"/>
                <w:szCs w:val="16"/>
              </w:rPr>
            </w:pPr>
            <w:r w:rsidRPr="00873B6C">
              <w:rPr>
                <w:sz w:val="16"/>
                <w:szCs w:val="16"/>
              </w:rPr>
              <w:t>Correction for congestion control</w:t>
            </w:r>
          </w:p>
        </w:tc>
        <w:tc>
          <w:tcPr>
            <w:tcW w:w="708" w:type="dxa"/>
            <w:shd w:val="solid" w:color="FFFFFF" w:fill="auto"/>
          </w:tcPr>
          <w:p w14:paraId="6564B256" w14:textId="77777777" w:rsidR="00D40151" w:rsidRPr="00873B6C" w:rsidRDefault="00D40151" w:rsidP="009D14FB">
            <w:pPr>
              <w:pStyle w:val="TAC"/>
              <w:rPr>
                <w:sz w:val="16"/>
                <w:szCs w:val="16"/>
              </w:rPr>
            </w:pPr>
            <w:r w:rsidRPr="00873B6C">
              <w:rPr>
                <w:sz w:val="16"/>
                <w:szCs w:val="16"/>
              </w:rPr>
              <w:t>15.1.0</w:t>
            </w:r>
          </w:p>
        </w:tc>
      </w:tr>
      <w:tr w:rsidR="00D40151" w:rsidRPr="00873B6C" w14:paraId="7AF82A98" w14:textId="77777777" w:rsidTr="009D14FB">
        <w:tc>
          <w:tcPr>
            <w:tcW w:w="800" w:type="dxa"/>
            <w:shd w:val="solid" w:color="FFFFFF" w:fill="auto"/>
          </w:tcPr>
          <w:p w14:paraId="08A64EA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F23DCB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DD845D5" w14:textId="77777777" w:rsidR="00D40151" w:rsidRPr="00873B6C" w:rsidRDefault="00D40151" w:rsidP="009D14FB">
            <w:pPr>
              <w:pStyle w:val="TAC"/>
              <w:rPr>
                <w:sz w:val="16"/>
                <w:szCs w:val="16"/>
              </w:rPr>
            </w:pPr>
            <w:r w:rsidRPr="00873B6C">
              <w:rPr>
                <w:sz w:val="16"/>
                <w:szCs w:val="16"/>
              </w:rPr>
              <w:t>SP-180096</w:t>
            </w:r>
          </w:p>
        </w:tc>
        <w:tc>
          <w:tcPr>
            <w:tcW w:w="567" w:type="dxa"/>
            <w:shd w:val="solid" w:color="FFFFFF" w:fill="auto"/>
          </w:tcPr>
          <w:p w14:paraId="7CFBC9ED" w14:textId="77777777" w:rsidR="00D40151" w:rsidRPr="00873B6C" w:rsidRDefault="00D40151" w:rsidP="009D14FB">
            <w:pPr>
              <w:pStyle w:val="TAL"/>
              <w:rPr>
                <w:sz w:val="16"/>
                <w:szCs w:val="16"/>
              </w:rPr>
            </w:pPr>
            <w:r w:rsidRPr="00873B6C">
              <w:rPr>
                <w:sz w:val="16"/>
                <w:szCs w:val="16"/>
              </w:rPr>
              <w:t>0133</w:t>
            </w:r>
          </w:p>
        </w:tc>
        <w:tc>
          <w:tcPr>
            <w:tcW w:w="425" w:type="dxa"/>
            <w:shd w:val="solid" w:color="FFFFFF" w:fill="auto"/>
          </w:tcPr>
          <w:p w14:paraId="627E893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B6340ED"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19BE892F" w14:textId="77777777" w:rsidR="00D40151" w:rsidRPr="00873B6C" w:rsidRDefault="00D40151" w:rsidP="009D14FB">
            <w:pPr>
              <w:pStyle w:val="TAL"/>
              <w:rPr>
                <w:sz w:val="16"/>
                <w:szCs w:val="16"/>
              </w:rPr>
            </w:pPr>
            <w:r w:rsidRPr="00873B6C">
              <w:rPr>
                <w:sz w:val="16"/>
                <w:szCs w:val="16"/>
              </w:rPr>
              <w:t>Correction for the usage of RQI bit</w:t>
            </w:r>
          </w:p>
        </w:tc>
        <w:tc>
          <w:tcPr>
            <w:tcW w:w="708" w:type="dxa"/>
            <w:shd w:val="solid" w:color="FFFFFF" w:fill="auto"/>
          </w:tcPr>
          <w:p w14:paraId="3DA195AF" w14:textId="77777777" w:rsidR="00D40151" w:rsidRPr="00873B6C" w:rsidRDefault="00D40151" w:rsidP="009D14FB">
            <w:pPr>
              <w:pStyle w:val="TAC"/>
              <w:rPr>
                <w:sz w:val="16"/>
                <w:szCs w:val="16"/>
              </w:rPr>
            </w:pPr>
            <w:r w:rsidRPr="00873B6C">
              <w:rPr>
                <w:sz w:val="16"/>
                <w:szCs w:val="16"/>
              </w:rPr>
              <w:t>15.1.0</w:t>
            </w:r>
          </w:p>
        </w:tc>
      </w:tr>
      <w:tr w:rsidR="00D40151" w:rsidRPr="00873B6C" w14:paraId="225950F9" w14:textId="77777777" w:rsidTr="009D14FB">
        <w:tc>
          <w:tcPr>
            <w:tcW w:w="800" w:type="dxa"/>
            <w:shd w:val="solid" w:color="FFFFFF" w:fill="auto"/>
          </w:tcPr>
          <w:p w14:paraId="1D87092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075C67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14CE6FB"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1E45F3CB" w14:textId="77777777" w:rsidR="00D40151" w:rsidRPr="00873B6C" w:rsidRDefault="00D40151" w:rsidP="009D14FB">
            <w:pPr>
              <w:pStyle w:val="TAL"/>
              <w:rPr>
                <w:sz w:val="16"/>
                <w:szCs w:val="16"/>
              </w:rPr>
            </w:pPr>
            <w:r w:rsidRPr="00873B6C">
              <w:rPr>
                <w:sz w:val="16"/>
                <w:szCs w:val="16"/>
              </w:rPr>
              <w:t>0134</w:t>
            </w:r>
          </w:p>
        </w:tc>
        <w:tc>
          <w:tcPr>
            <w:tcW w:w="425" w:type="dxa"/>
            <w:shd w:val="solid" w:color="FFFFFF" w:fill="auto"/>
          </w:tcPr>
          <w:p w14:paraId="7CA66698"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6BAC9B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D9F629" w14:textId="77777777" w:rsidR="00D40151" w:rsidRPr="00873B6C" w:rsidRDefault="00D40151" w:rsidP="009D14FB">
            <w:pPr>
              <w:pStyle w:val="TAL"/>
              <w:rPr>
                <w:sz w:val="16"/>
                <w:szCs w:val="16"/>
              </w:rPr>
            </w:pPr>
            <w:r w:rsidRPr="00873B6C">
              <w:rPr>
                <w:sz w:val="16"/>
                <w:szCs w:val="16"/>
              </w:rPr>
              <w:t>Clarifications for QoS Framework</w:t>
            </w:r>
          </w:p>
        </w:tc>
        <w:tc>
          <w:tcPr>
            <w:tcW w:w="708" w:type="dxa"/>
            <w:shd w:val="solid" w:color="FFFFFF" w:fill="auto"/>
          </w:tcPr>
          <w:p w14:paraId="42C53399" w14:textId="77777777" w:rsidR="00D40151" w:rsidRPr="00873B6C" w:rsidRDefault="00D40151" w:rsidP="009D14FB">
            <w:pPr>
              <w:pStyle w:val="TAC"/>
              <w:rPr>
                <w:sz w:val="16"/>
                <w:szCs w:val="16"/>
              </w:rPr>
            </w:pPr>
            <w:r w:rsidRPr="00873B6C">
              <w:rPr>
                <w:sz w:val="16"/>
                <w:szCs w:val="16"/>
              </w:rPr>
              <w:t>15.1.0</w:t>
            </w:r>
          </w:p>
        </w:tc>
      </w:tr>
      <w:tr w:rsidR="00D40151" w:rsidRPr="00873B6C" w14:paraId="6F3F9F07" w14:textId="77777777" w:rsidTr="009D14FB">
        <w:tc>
          <w:tcPr>
            <w:tcW w:w="800" w:type="dxa"/>
            <w:shd w:val="solid" w:color="FFFFFF" w:fill="auto"/>
          </w:tcPr>
          <w:p w14:paraId="5784128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0C6EBF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A56CA9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1EA7636B" w14:textId="77777777" w:rsidR="00D40151" w:rsidRPr="00873B6C" w:rsidRDefault="00D40151" w:rsidP="009D14FB">
            <w:pPr>
              <w:pStyle w:val="TAL"/>
              <w:rPr>
                <w:sz w:val="16"/>
                <w:szCs w:val="16"/>
              </w:rPr>
            </w:pPr>
            <w:r w:rsidRPr="00873B6C">
              <w:rPr>
                <w:sz w:val="16"/>
                <w:szCs w:val="16"/>
              </w:rPr>
              <w:t>0135</w:t>
            </w:r>
          </w:p>
        </w:tc>
        <w:tc>
          <w:tcPr>
            <w:tcW w:w="425" w:type="dxa"/>
            <w:shd w:val="solid" w:color="FFFFFF" w:fill="auto"/>
          </w:tcPr>
          <w:p w14:paraId="169DCD4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ED8C2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A130ED" w14:textId="77777777" w:rsidR="00D40151" w:rsidRPr="00873B6C" w:rsidRDefault="00D40151" w:rsidP="009D14FB">
            <w:pPr>
              <w:pStyle w:val="TAL"/>
              <w:rPr>
                <w:sz w:val="16"/>
                <w:szCs w:val="16"/>
              </w:rPr>
            </w:pPr>
            <w:r w:rsidRPr="00873B6C">
              <w:rPr>
                <w:sz w:val="16"/>
                <w:szCs w:val="16"/>
              </w:rPr>
              <w:t>DL signalling handling for non-3GPP PDU Session</w:t>
            </w:r>
          </w:p>
        </w:tc>
        <w:tc>
          <w:tcPr>
            <w:tcW w:w="708" w:type="dxa"/>
            <w:shd w:val="solid" w:color="FFFFFF" w:fill="auto"/>
          </w:tcPr>
          <w:p w14:paraId="6EDEAA7E" w14:textId="77777777" w:rsidR="00D40151" w:rsidRPr="00873B6C" w:rsidRDefault="00D40151" w:rsidP="009D14FB">
            <w:pPr>
              <w:pStyle w:val="TAC"/>
              <w:rPr>
                <w:sz w:val="16"/>
                <w:szCs w:val="16"/>
              </w:rPr>
            </w:pPr>
            <w:r w:rsidRPr="00873B6C">
              <w:rPr>
                <w:sz w:val="16"/>
                <w:szCs w:val="16"/>
              </w:rPr>
              <w:t>15.1.0</w:t>
            </w:r>
          </w:p>
        </w:tc>
      </w:tr>
      <w:tr w:rsidR="00D40151" w:rsidRPr="00873B6C" w14:paraId="6308B426" w14:textId="77777777" w:rsidTr="009D14FB">
        <w:tc>
          <w:tcPr>
            <w:tcW w:w="800" w:type="dxa"/>
            <w:shd w:val="solid" w:color="FFFFFF" w:fill="auto"/>
          </w:tcPr>
          <w:p w14:paraId="76C4C819"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63D715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E315BF0"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6A0D77C" w14:textId="77777777" w:rsidR="00D40151" w:rsidRPr="00873B6C" w:rsidRDefault="00D40151" w:rsidP="009D14FB">
            <w:pPr>
              <w:pStyle w:val="TAL"/>
              <w:rPr>
                <w:sz w:val="16"/>
                <w:szCs w:val="16"/>
              </w:rPr>
            </w:pPr>
            <w:r w:rsidRPr="00873B6C">
              <w:rPr>
                <w:sz w:val="16"/>
                <w:szCs w:val="16"/>
              </w:rPr>
              <w:t>0136</w:t>
            </w:r>
          </w:p>
        </w:tc>
        <w:tc>
          <w:tcPr>
            <w:tcW w:w="425" w:type="dxa"/>
            <w:shd w:val="solid" w:color="FFFFFF" w:fill="auto"/>
          </w:tcPr>
          <w:p w14:paraId="53778CF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C6775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205CA0" w14:textId="15FB5763" w:rsidR="00D40151" w:rsidRPr="00873B6C" w:rsidRDefault="00D40151" w:rsidP="009D14FB">
            <w:pPr>
              <w:pStyle w:val="TAL"/>
              <w:rPr>
                <w:sz w:val="16"/>
                <w:szCs w:val="16"/>
              </w:rPr>
            </w:pPr>
            <w:r w:rsidRPr="00873B6C">
              <w:rPr>
                <w:sz w:val="16"/>
                <w:szCs w:val="16"/>
              </w:rPr>
              <w:t>Clarification on location reporting for LADN in RRC Inactive clause 5.3.3.2.5 - TS 23.501</w:t>
            </w:r>
          </w:p>
        </w:tc>
        <w:tc>
          <w:tcPr>
            <w:tcW w:w="708" w:type="dxa"/>
            <w:shd w:val="solid" w:color="FFFFFF" w:fill="auto"/>
          </w:tcPr>
          <w:p w14:paraId="2C8E1D59" w14:textId="77777777" w:rsidR="00D40151" w:rsidRPr="00873B6C" w:rsidRDefault="00D40151" w:rsidP="009D14FB">
            <w:pPr>
              <w:pStyle w:val="TAC"/>
              <w:rPr>
                <w:sz w:val="16"/>
                <w:szCs w:val="16"/>
              </w:rPr>
            </w:pPr>
            <w:r w:rsidRPr="00873B6C">
              <w:rPr>
                <w:sz w:val="16"/>
                <w:szCs w:val="16"/>
              </w:rPr>
              <w:t>15.1.0</w:t>
            </w:r>
          </w:p>
        </w:tc>
      </w:tr>
      <w:tr w:rsidR="00D40151" w:rsidRPr="00873B6C" w14:paraId="76B33B2D" w14:textId="77777777" w:rsidTr="009D14FB">
        <w:tc>
          <w:tcPr>
            <w:tcW w:w="800" w:type="dxa"/>
            <w:shd w:val="solid" w:color="FFFFFF" w:fill="auto"/>
          </w:tcPr>
          <w:p w14:paraId="5FF4075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FC9B5B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84E3BDF"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1C5BD1E6" w14:textId="77777777" w:rsidR="00D40151" w:rsidRPr="00873B6C" w:rsidRDefault="00D40151" w:rsidP="009D14FB">
            <w:pPr>
              <w:pStyle w:val="TAL"/>
              <w:rPr>
                <w:sz w:val="16"/>
                <w:szCs w:val="16"/>
              </w:rPr>
            </w:pPr>
            <w:r w:rsidRPr="00873B6C">
              <w:rPr>
                <w:sz w:val="16"/>
                <w:szCs w:val="16"/>
              </w:rPr>
              <w:t>0137</w:t>
            </w:r>
          </w:p>
        </w:tc>
        <w:tc>
          <w:tcPr>
            <w:tcW w:w="425" w:type="dxa"/>
            <w:shd w:val="solid" w:color="FFFFFF" w:fill="auto"/>
          </w:tcPr>
          <w:p w14:paraId="0990300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B8E933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B1B02B" w14:textId="77777777" w:rsidR="00D40151" w:rsidRPr="00873B6C" w:rsidRDefault="00D40151" w:rsidP="009D14FB">
            <w:pPr>
              <w:pStyle w:val="TAL"/>
              <w:rPr>
                <w:sz w:val="16"/>
                <w:szCs w:val="16"/>
              </w:rPr>
            </w:pPr>
            <w:r w:rsidRPr="00873B6C">
              <w:rPr>
                <w:sz w:val="16"/>
                <w:szCs w:val="16"/>
              </w:rPr>
              <w:t>Network Sharing and Interworking with EPS- TS 23.501</w:t>
            </w:r>
          </w:p>
        </w:tc>
        <w:tc>
          <w:tcPr>
            <w:tcW w:w="708" w:type="dxa"/>
            <w:shd w:val="solid" w:color="FFFFFF" w:fill="auto"/>
          </w:tcPr>
          <w:p w14:paraId="66C034B7" w14:textId="77777777" w:rsidR="00D40151" w:rsidRPr="00873B6C" w:rsidRDefault="00D40151" w:rsidP="009D14FB">
            <w:pPr>
              <w:pStyle w:val="TAC"/>
              <w:rPr>
                <w:sz w:val="16"/>
                <w:szCs w:val="16"/>
              </w:rPr>
            </w:pPr>
            <w:r w:rsidRPr="00873B6C">
              <w:rPr>
                <w:sz w:val="16"/>
                <w:szCs w:val="16"/>
              </w:rPr>
              <w:t>15.1.0</w:t>
            </w:r>
          </w:p>
        </w:tc>
      </w:tr>
      <w:tr w:rsidR="00D40151" w:rsidRPr="00873B6C" w14:paraId="24FF12AF" w14:textId="77777777" w:rsidTr="009D14FB">
        <w:tc>
          <w:tcPr>
            <w:tcW w:w="800" w:type="dxa"/>
            <w:shd w:val="solid" w:color="FFFFFF" w:fill="auto"/>
          </w:tcPr>
          <w:p w14:paraId="54F2205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7D062B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0687CB2"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03848D90" w14:textId="77777777" w:rsidR="00D40151" w:rsidRPr="00873B6C" w:rsidRDefault="00D40151" w:rsidP="009D14FB">
            <w:pPr>
              <w:pStyle w:val="TAL"/>
              <w:rPr>
                <w:sz w:val="16"/>
                <w:szCs w:val="16"/>
              </w:rPr>
            </w:pPr>
            <w:r w:rsidRPr="00873B6C">
              <w:rPr>
                <w:sz w:val="16"/>
                <w:szCs w:val="16"/>
              </w:rPr>
              <w:t>0138</w:t>
            </w:r>
          </w:p>
        </w:tc>
        <w:tc>
          <w:tcPr>
            <w:tcW w:w="425" w:type="dxa"/>
            <w:shd w:val="solid" w:color="FFFFFF" w:fill="auto"/>
          </w:tcPr>
          <w:p w14:paraId="0F37791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E2C84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DF32BC" w14:textId="77777777" w:rsidR="00D40151" w:rsidRPr="00873B6C" w:rsidRDefault="00D40151" w:rsidP="009D14FB">
            <w:pPr>
              <w:pStyle w:val="TAL"/>
              <w:rPr>
                <w:sz w:val="16"/>
                <w:szCs w:val="16"/>
              </w:rPr>
            </w:pPr>
            <w:r w:rsidRPr="00873B6C">
              <w:rPr>
                <w:sz w:val="16"/>
                <w:szCs w:val="16"/>
              </w:rPr>
              <w:t>Edge Computing Clarification</w:t>
            </w:r>
          </w:p>
        </w:tc>
        <w:tc>
          <w:tcPr>
            <w:tcW w:w="708" w:type="dxa"/>
            <w:shd w:val="solid" w:color="FFFFFF" w:fill="auto"/>
          </w:tcPr>
          <w:p w14:paraId="49AA4AA9" w14:textId="77777777" w:rsidR="00D40151" w:rsidRPr="00873B6C" w:rsidRDefault="00D40151" w:rsidP="009D14FB">
            <w:pPr>
              <w:pStyle w:val="TAC"/>
              <w:rPr>
                <w:sz w:val="16"/>
                <w:szCs w:val="16"/>
              </w:rPr>
            </w:pPr>
            <w:r w:rsidRPr="00873B6C">
              <w:rPr>
                <w:sz w:val="16"/>
                <w:szCs w:val="16"/>
              </w:rPr>
              <w:t>15.1.0</w:t>
            </w:r>
          </w:p>
        </w:tc>
      </w:tr>
      <w:tr w:rsidR="00D40151" w:rsidRPr="00873B6C" w14:paraId="11C722D8" w14:textId="77777777" w:rsidTr="009D14FB">
        <w:tc>
          <w:tcPr>
            <w:tcW w:w="800" w:type="dxa"/>
            <w:shd w:val="solid" w:color="FFFFFF" w:fill="auto"/>
          </w:tcPr>
          <w:p w14:paraId="687C7C8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AC1D5F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939D119" w14:textId="77777777" w:rsidR="00D40151" w:rsidRPr="00873B6C" w:rsidRDefault="00D40151" w:rsidP="009D14FB">
            <w:pPr>
              <w:pStyle w:val="TAC"/>
              <w:rPr>
                <w:sz w:val="16"/>
                <w:szCs w:val="16"/>
              </w:rPr>
            </w:pPr>
            <w:r w:rsidRPr="00873B6C">
              <w:rPr>
                <w:sz w:val="16"/>
                <w:szCs w:val="16"/>
              </w:rPr>
              <w:t>SP-180095</w:t>
            </w:r>
          </w:p>
        </w:tc>
        <w:tc>
          <w:tcPr>
            <w:tcW w:w="567" w:type="dxa"/>
            <w:shd w:val="solid" w:color="FFFFFF" w:fill="auto"/>
          </w:tcPr>
          <w:p w14:paraId="4A1795A8" w14:textId="77777777" w:rsidR="00D40151" w:rsidRPr="00873B6C" w:rsidRDefault="00D40151" w:rsidP="009D14FB">
            <w:pPr>
              <w:pStyle w:val="TAL"/>
              <w:rPr>
                <w:sz w:val="16"/>
                <w:szCs w:val="16"/>
              </w:rPr>
            </w:pPr>
            <w:r w:rsidRPr="00873B6C">
              <w:rPr>
                <w:sz w:val="16"/>
                <w:szCs w:val="16"/>
              </w:rPr>
              <w:t>0141</w:t>
            </w:r>
          </w:p>
        </w:tc>
        <w:tc>
          <w:tcPr>
            <w:tcW w:w="425" w:type="dxa"/>
            <w:shd w:val="solid" w:color="FFFFFF" w:fill="auto"/>
          </w:tcPr>
          <w:p w14:paraId="05D5254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02CC3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F6103CA" w14:textId="77777777" w:rsidR="00D40151" w:rsidRPr="00873B6C" w:rsidRDefault="00D40151" w:rsidP="009D14FB">
            <w:pPr>
              <w:pStyle w:val="TAL"/>
              <w:rPr>
                <w:sz w:val="16"/>
                <w:szCs w:val="16"/>
              </w:rPr>
            </w:pPr>
            <w:r w:rsidRPr="00873B6C">
              <w:rPr>
                <w:sz w:val="16"/>
                <w:szCs w:val="16"/>
              </w:rPr>
              <w:t>Supporting 3GPP PS Data Off in 5GS</w:t>
            </w:r>
          </w:p>
        </w:tc>
        <w:tc>
          <w:tcPr>
            <w:tcW w:w="708" w:type="dxa"/>
            <w:shd w:val="solid" w:color="FFFFFF" w:fill="auto"/>
          </w:tcPr>
          <w:p w14:paraId="57DB43DC" w14:textId="77777777" w:rsidR="00D40151" w:rsidRPr="00873B6C" w:rsidRDefault="00D40151" w:rsidP="009D14FB">
            <w:pPr>
              <w:pStyle w:val="TAC"/>
              <w:rPr>
                <w:sz w:val="16"/>
                <w:szCs w:val="16"/>
              </w:rPr>
            </w:pPr>
            <w:r w:rsidRPr="00873B6C">
              <w:rPr>
                <w:sz w:val="16"/>
                <w:szCs w:val="16"/>
              </w:rPr>
              <w:t>15.1.0</w:t>
            </w:r>
          </w:p>
        </w:tc>
      </w:tr>
      <w:tr w:rsidR="00D40151" w:rsidRPr="00873B6C" w14:paraId="3AF0A46D" w14:textId="77777777" w:rsidTr="009D14FB">
        <w:tc>
          <w:tcPr>
            <w:tcW w:w="800" w:type="dxa"/>
            <w:shd w:val="solid" w:color="FFFFFF" w:fill="auto"/>
          </w:tcPr>
          <w:p w14:paraId="1F907CB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50DD79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F159F63"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7B9094BE" w14:textId="77777777" w:rsidR="00D40151" w:rsidRPr="00873B6C" w:rsidRDefault="00D40151" w:rsidP="009D14FB">
            <w:pPr>
              <w:pStyle w:val="TAL"/>
              <w:rPr>
                <w:sz w:val="16"/>
                <w:szCs w:val="16"/>
              </w:rPr>
            </w:pPr>
            <w:r w:rsidRPr="00873B6C">
              <w:rPr>
                <w:sz w:val="16"/>
                <w:szCs w:val="16"/>
              </w:rPr>
              <w:t>0144</w:t>
            </w:r>
          </w:p>
        </w:tc>
        <w:tc>
          <w:tcPr>
            <w:tcW w:w="425" w:type="dxa"/>
            <w:shd w:val="solid" w:color="FFFFFF" w:fill="auto"/>
          </w:tcPr>
          <w:p w14:paraId="74A73FE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F4C272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87356C" w14:textId="77777777" w:rsidR="00D40151" w:rsidRPr="00873B6C" w:rsidRDefault="00D40151" w:rsidP="009D14FB">
            <w:pPr>
              <w:pStyle w:val="TAL"/>
              <w:rPr>
                <w:sz w:val="16"/>
                <w:szCs w:val="16"/>
              </w:rPr>
            </w:pPr>
            <w:r w:rsidRPr="00873B6C">
              <w:rPr>
                <w:sz w:val="16"/>
                <w:szCs w:val="16"/>
              </w:rPr>
              <w:t>Management of service area restriction information</w:t>
            </w:r>
          </w:p>
        </w:tc>
        <w:tc>
          <w:tcPr>
            <w:tcW w:w="708" w:type="dxa"/>
            <w:shd w:val="solid" w:color="FFFFFF" w:fill="auto"/>
          </w:tcPr>
          <w:p w14:paraId="59194ECB" w14:textId="77777777" w:rsidR="00D40151" w:rsidRPr="00873B6C" w:rsidRDefault="00D40151" w:rsidP="009D14FB">
            <w:pPr>
              <w:pStyle w:val="TAC"/>
              <w:rPr>
                <w:sz w:val="16"/>
                <w:szCs w:val="16"/>
              </w:rPr>
            </w:pPr>
            <w:r w:rsidRPr="00873B6C">
              <w:rPr>
                <w:sz w:val="16"/>
                <w:szCs w:val="16"/>
              </w:rPr>
              <w:t>15.1.0</w:t>
            </w:r>
          </w:p>
        </w:tc>
      </w:tr>
      <w:tr w:rsidR="00D40151" w:rsidRPr="00873B6C" w14:paraId="1F3D9D05" w14:textId="77777777" w:rsidTr="009D14FB">
        <w:tc>
          <w:tcPr>
            <w:tcW w:w="800" w:type="dxa"/>
            <w:shd w:val="solid" w:color="FFFFFF" w:fill="auto"/>
          </w:tcPr>
          <w:p w14:paraId="3CE0CBE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6FB42C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03C6D75"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93FF3B3" w14:textId="77777777" w:rsidR="00D40151" w:rsidRPr="00873B6C" w:rsidRDefault="00D40151" w:rsidP="009D14FB">
            <w:pPr>
              <w:pStyle w:val="TAL"/>
              <w:rPr>
                <w:sz w:val="16"/>
                <w:szCs w:val="16"/>
              </w:rPr>
            </w:pPr>
            <w:r w:rsidRPr="00873B6C">
              <w:rPr>
                <w:sz w:val="16"/>
                <w:szCs w:val="16"/>
              </w:rPr>
              <w:t>0145</w:t>
            </w:r>
          </w:p>
        </w:tc>
        <w:tc>
          <w:tcPr>
            <w:tcW w:w="425" w:type="dxa"/>
            <w:shd w:val="solid" w:color="FFFFFF" w:fill="auto"/>
          </w:tcPr>
          <w:p w14:paraId="5574FDD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43AAC2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E9EFA3" w14:textId="77777777" w:rsidR="00D40151" w:rsidRPr="00873B6C" w:rsidRDefault="00D40151" w:rsidP="009D14FB">
            <w:pPr>
              <w:pStyle w:val="TAL"/>
              <w:rPr>
                <w:sz w:val="16"/>
                <w:szCs w:val="16"/>
              </w:rPr>
            </w:pPr>
            <w:r w:rsidRPr="00873B6C">
              <w:rPr>
                <w:sz w:val="16"/>
                <w:szCs w:val="16"/>
              </w:rPr>
              <w:t>Clarification on TAI list assignment for different 5G RATs</w:t>
            </w:r>
          </w:p>
        </w:tc>
        <w:tc>
          <w:tcPr>
            <w:tcW w:w="708" w:type="dxa"/>
            <w:shd w:val="solid" w:color="FFFFFF" w:fill="auto"/>
          </w:tcPr>
          <w:p w14:paraId="7E9B19E7" w14:textId="77777777" w:rsidR="00D40151" w:rsidRPr="00873B6C" w:rsidRDefault="00D40151" w:rsidP="009D14FB">
            <w:pPr>
              <w:pStyle w:val="TAC"/>
              <w:rPr>
                <w:sz w:val="16"/>
                <w:szCs w:val="16"/>
              </w:rPr>
            </w:pPr>
            <w:r w:rsidRPr="00873B6C">
              <w:rPr>
                <w:sz w:val="16"/>
                <w:szCs w:val="16"/>
              </w:rPr>
              <w:t>15.1.0</w:t>
            </w:r>
          </w:p>
        </w:tc>
      </w:tr>
      <w:tr w:rsidR="00D40151" w:rsidRPr="00873B6C" w14:paraId="2FE59291" w14:textId="77777777" w:rsidTr="009D14FB">
        <w:tc>
          <w:tcPr>
            <w:tcW w:w="800" w:type="dxa"/>
            <w:shd w:val="solid" w:color="FFFFFF" w:fill="auto"/>
          </w:tcPr>
          <w:p w14:paraId="19BD841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6810D7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FEE8763"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2CCCD627" w14:textId="77777777" w:rsidR="00D40151" w:rsidRPr="00873B6C" w:rsidRDefault="00D40151" w:rsidP="009D14FB">
            <w:pPr>
              <w:pStyle w:val="TAL"/>
              <w:rPr>
                <w:sz w:val="16"/>
                <w:szCs w:val="16"/>
              </w:rPr>
            </w:pPr>
            <w:r w:rsidRPr="00873B6C">
              <w:rPr>
                <w:sz w:val="16"/>
                <w:szCs w:val="16"/>
              </w:rPr>
              <w:t>0146</w:t>
            </w:r>
          </w:p>
        </w:tc>
        <w:tc>
          <w:tcPr>
            <w:tcW w:w="425" w:type="dxa"/>
            <w:shd w:val="solid" w:color="FFFFFF" w:fill="auto"/>
          </w:tcPr>
          <w:p w14:paraId="4940734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89448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B62BA1" w14:textId="77777777" w:rsidR="00D40151" w:rsidRPr="00873B6C" w:rsidRDefault="00D40151" w:rsidP="009D14FB">
            <w:pPr>
              <w:pStyle w:val="TAL"/>
              <w:rPr>
                <w:sz w:val="16"/>
                <w:szCs w:val="16"/>
              </w:rPr>
            </w:pPr>
            <w:r w:rsidRPr="00873B6C">
              <w:rPr>
                <w:sz w:val="16"/>
                <w:szCs w:val="16"/>
              </w:rPr>
              <w:t>Network sharing for supporting RRC redirection procedure</w:t>
            </w:r>
          </w:p>
        </w:tc>
        <w:tc>
          <w:tcPr>
            <w:tcW w:w="708" w:type="dxa"/>
            <w:shd w:val="solid" w:color="FFFFFF" w:fill="auto"/>
          </w:tcPr>
          <w:p w14:paraId="16B4C490" w14:textId="77777777" w:rsidR="00D40151" w:rsidRPr="00873B6C" w:rsidRDefault="00D40151" w:rsidP="009D14FB">
            <w:pPr>
              <w:pStyle w:val="TAC"/>
              <w:rPr>
                <w:sz w:val="16"/>
                <w:szCs w:val="16"/>
              </w:rPr>
            </w:pPr>
            <w:r w:rsidRPr="00873B6C">
              <w:rPr>
                <w:sz w:val="16"/>
                <w:szCs w:val="16"/>
              </w:rPr>
              <w:t>15.1.0</w:t>
            </w:r>
          </w:p>
        </w:tc>
      </w:tr>
      <w:tr w:rsidR="00D40151" w:rsidRPr="00873B6C" w14:paraId="117D5E35" w14:textId="77777777" w:rsidTr="009D14FB">
        <w:tc>
          <w:tcPr>
            <w:tcW w:w="800" w:type="dxa"/>
            <w:shd w:val="solid" w:color="FFFFFF" w:fill="auto"/>
          </w:tcPr>
          <w:p w14:paraId="15349EB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EBA9F3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87BB42F" w14:textId="77777777" w:rsidR="00D40151" w:rsidRPr="00873B6C" w:rsidRDefault="00D40151" w:rsidP="009D14FB">
            <w:pPr>
              <w:pStyle w:val="TAC"/>
              <w:rPr>
                <w:sz w:val="16"/>
                <w:szCs w:val="16"/>
              </w:rPr>
            </w:pPr>
            <w:r w:rsidRPr="00873B6C">
              <w:rPr>
                <w:sz w:val="16"/>
                <w:szCs w:val="16"/>
              </w:rPr>
              <w:t>SP-180095</w:t>
            </w:r>
          </w:p>
        </w:tc>
        <w:tc>
          <w:tcPr>
            <w:tcW w:w="567" w:type="dxa"/>
            <w:shd w:val="solid" w:color="FFFFFF" w:fill="auto"/>
          </w:tcPr>
          <w:p w14:paraId="3CBC64C9" w14:textId="77777777" w:rsidR="00D40151" w:rsidRPr="00873B6C" w:rsidRDefault="00D40151" w:rsidP="009D14FB">
            <w:pPr>
              <w:pStyle w:val="TAL"/>
              <w:rPr>
                <w:sz w:val="16"/>
                <w:szCs w:val="16"/>
              </w:rPr>
            </w:pPr>
            <w:r w:rsidRPr="00873B6C">
              <w:rPr>
                <w:sz w:val="16"/>
                <w:szCs w:val="16"/>
              </w:rPr>
              <w:t>0147</w:t>
            </w:r>
          </w:p>
        </w:tc>
        <w:tc>
          <w:tcPr>
            <w:tcW w:w="425" w:type="dxa"/>
            <w:shd w:val="solid" w:color="FFFFFF" w:fill="auto"/>
          </w:tcPr>
          <w:p w14:paraId="22735AA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E694DCC"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8DA6D7D" w14:textId="77777777" w:rsidR="00D40151" w:rsidRPr="00873B6C" w:rsidRDefault="00D40151" w:rsidP="009D14FB">
            <w:pPr>
              <w:pStyle w:val="TAL"/>
              <w:rPr>
                <w:sz w:val="16"/>
                <w:szCs w:val="16"/>
              </w:rPr>
            </w:pPr>
            <w:r w:rsidRPr="00873B6C">
              <w:rPr>
                <w:sz w:val="16"/>
                <w:szCs w:val="16"/>
              </w:rPr>
              <w:t>Selection of NAS procedures for E-UTRA connected to both EPC and 5GC</w:t>
            </w:r>
          </w:p>
        </w:tc>
        <w:tc>
          <w:tcPr>
            <w:tcW w:w="708" w:type="dxa"/>
            <w:shd w:val="solid" w:color="FFFFFF" w:fill="auto"/>
          </w:tcPr>
          <w:p w14:paraId="1EA74135" w14:textId="77777777" w:rsidR="00D40151" w:rsidRPr="00873B6C" w:rsidRDefault="00D40151" w:rsidP="009D14FB">
            <w:pPr>
              <w:pStyle w:val="TAC"/>
              <w:rPr>
                <w:sz w:val="16"/>
                <w:szCs w:val="16"/>
              </w:rPr>
            </w:pPr>
            <w:r w:rsidRPr="00873B6C">
              <w:rPr>
                <w:sz w:val="16"/>
                <w:szCs w:val="16"/>
              </w:rPr>
              <w:t>15.1.0</w:t>
            </w:r>
          </w:p>
        </w:tc>
      </w:tr>
      <w:tr w:rsidR="00D40151" w:rsidRPr="00873B6C" w14:paraId="13DAF9A5" w14:textId="77777777" w:rsidTr="009D14FB">
        <w:tc>
          <w:tcPr>
            <w:tcW w:w="800" w:type="dxa"/>
            <w:shd w:val="solid" w:color="FFFFFF" w:fill="auto"/>
          </w:tcPr>
          <w:p w14:paraId="1193C37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CBE662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F61A94D"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40A8E596" w14:textId="77777777" w:rsidR="00D40151" w:rsidRPr="00873B6C" w:rsidRDefault="00D40151" w:rsidP="009D14FB">
            <w:pPr>
              <w:pStyle w:val="TAL"/>
              <w:rPr>
                <w:sz w:val="16"/>
                <w:szCs w:val="16"/>
              </w:rPr>
            </w:pPr>
            <w:r w:rsidRPr="00873B6C">
              <w:rPr>
                <w:sz w:val="16"/>
                <w:szCs w:val="16"/>
              </w:rPr>
              <w:t>0149</w:t>
            </w:r>
          </w:p>
        </w:tc>
        <w:tc>
          <w:tcPr>
            <w:tcW w:w="425" w:type="dxa"/>
            <w:shd w:val="solid" w:color="FFFFFF" w:fill="auto"/>
          </w:tcPr>
          <w:p w14:paraId="2A7C739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36A9E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43F587" w14:textId="77777777" w:rsidR="00D40151" w:rsidRPr="00873B6C" w:rsidRDefault="00D40151" w:rsidP="009D14FB">
            <w:pPr>
              <w:pStyle w:val="TAL"/>
              <w:rPr>
                <w:sz w:val="16"/>
                <w:szCs w:val="16"/>
              </w:rPr>
            </w:pPr>
            <w:r w:rsidRPr="00873B6C">
              <w:rPr>
                <w:sz w:val="16"/>
                <w:szCs w:val="16"/>
              </w:rPr>
              <w:t>Clarification of SM congestion control</w:t>
            </w:r>
          </w:p>
        </w:tc>
        <w:tc>
          <w:tcPr>
            <w:tcW w:w="708" w:type="dxa"/>
            <w:shd w:val="solid" w:color="FFFFFF" w:fill="auto"/>
          </w:tcPr>
          <w:p w14:paraId="462EFE34" w14:textId="77777777" w:rsidR="00D40151" w:rsidRPr="00873B6C" w:rsidRDefault="00D40151" w:rsidP="009D14FB">
            <w:pPr>
              <w:pStyle w:val="TAC"/>
              <w:rPr>
                <w:sz w:val="16"/>
                <w:szCs w:val="16"/>
              </w:rPr>
            </w:pPr>
            <w:r w:rsidRPr="00873B6C">
              <w:rPr>
                <w:sz w:val="16"/>
                <w:szCs w:val="16"/>
              </w:rPr>
              <w:t>15.1.0</w:t>
            </w:r>
          </w:p>
        </w:tc>
      </w:tr>
      <w:tr w:rsidR="00D40151" w:rsidRPr="00873B6C" w14:paraId="0086EC98" w14:textId="77777777" w:rsidTr="009D14FB">
        <w:tc>
          <w:tcPr>
            <w:tcW w:w="800" w:type="dxa"/>
            <w:shd w:val="solid" w:color="FFFFFF" w:fill="auto"/>
          </w:tcPr>
          <w:p w14:paraId="52A7DFD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D4438F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D49419B"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4E6698CC" w14:textId="77777777" w:rsidR="00D40151" w:rsidRPr="00873B6C" w:rsidRDefault="00D40151" w:rsidP="009D14FB">
            <w:pPr>
              <w:pStyle w:val="TAL"/>
              <w:rPr>
                <w:sz w:val="16"/>
                <w:szCs w:val="16"/>
              </w:rPr>
            </w:pPr>
            <w:r w:rsidRPr="00873B6C">
              <w:rPr>
                <w:sz w:val="16"/>
                <w:szCs w:val="16"/>
              </w:rPr>
              <w:t>0150</w:t>
            </w:r>
          </w:p>
        </w:tc>
        <w:tc>
          <w:tcPr>
            <w:tcW w:w="425" w:type="dxa"/>
            <w:shd w:val="solid" w:color="FFFFFF" w:fill="auto"/>
          </w:tcPr>
          <w:p w14:paraId="51009A8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F3443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048F72" w14:textId="77777777" w:rsidR="00D40151" w:rsidRPr="00873B6C" w:rsidRDefault="00D40151" w:rsidP="009D14FB">
            <w:pPr>
              <w:pStyle w:val="TAL"/>
              <w:rPr>
                <w:sz w:val="16"/>
                <w:szCs w:val="16"/>
              </w:rPr>
            </w:pPr>
            <w:r w:rsidRPr="00873B6C">
              <w:rPr>
                <w:sz w:val="16"/>
                <w:szCs w:val="16"/>
              </w:rPr>
              <w:t>Updates to AF influence on traffic routing</w:t>
            </w:r>
          </w:p>
        </w:tc>
        <w:tc>
          <w:tcPr>
            <w:tcW w:w="708" w:type="dxa"/>
            <w:shd w:val="solid" w:color="FFFFFF" w:fill="auto"/>
          </w:tcPr>
          <w:p w14:paraId="50FFCDCC" w14:textId="77777777" w:rsidR="00D40151" w:rsidRPr="00873B6C" w:rsidRDefault="00D40151" w:rsidP="009D14FB">
            <w:pPr>
              <w:pStyle w:val="TAC"/>
              <w:rPr>
                <w:sz w:val="16"/>
                <w:szCs w:val="16"/>
              </w:rPr>
            </w:pPr>
            <w:r w:rsidRPr="00873B6C">
              <w:rPr>
                <w:sz w:val="16"/>
                <w:szCs w:val="16"/>
              </w:rPr>
              <w:t>15.1.0</w:t>
            </w:r>
          </w:p>
        </w:tc>
      </w:tr>
      <w:tr w:rsidR="00D40151" w:rsidRPr="00873B6C" w14:paraId="089A9754" w14:textId="77777777" w:rsidTr="009D14FB">
        <w:tc>
          <w:tcPr>
            <w:tcW w:w="800" w:type="dxa"/>
            <w:shd w:val="solid" w:color="FFFFFF" w:fill="auto"/>
          </w:tcPr>
          <w:p w14:paraId="532F42C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20E78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45E8C7F"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5A4099EF" w14:textId="77777777" w:rsidR="00D40151" w:rsidRPr="00873B6C" w:rsidRDefault="00D40151" w:rsidP="009D14FB">
            <w:pPr>
              <w:pStyle w:val="TAL"/>
              <w:rPr>
                <w:sz w:val="16"/>
                <w:szCs w:val="16"/>
              </w:rPr>
            </w:pPr>
            <w:r w:rsidRPr="00873B6C">
              <w:rPr>
                <w:sz w:val="16"/>
                <w:szCs w:val="16"/>
              </w:rPr>
              <w:t>0151</w:t>
            </w:r>
          </w:p>
        </w:tc>
        <w:tc>
          <w:tcPr>
            <w:tcW w:w="425" w:type="dxa"/>
            <w:shd w:val="solid" w:color="FFFFFF" w:fill="auto"/>
          </w:tcPr>
          <w:p w14:paraId="7B5E4FB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C2452C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878FF4" w14:textId="77777777" w:rsidR="00D40151" w:rsidRPr="00873B6C" w:rsidRDefault="00D40151" w:rsidP="009D14FB">
            <w:pPr>
              <w:pStyle w:val="TAL"/>
              <w:rPr>
                <w:sz w:val="16"/>
                <w:szCs w:val="16"/>
              </w:rPr>
            </w:pPr>
            <w:r w:rsidRPr="00873B6C">
              <w:rPr>
                <w:sz w:val="16"/>
                <w:szCs w:val="16"/>
              </w:rPr>
              <w:t>Updates to description of CN Tunnel Info</w:t>
            </w:r>
          </w:p>
        </w:tc>
        <w:tc>
          <w:tcPr>
            <w:tcW w:w="708" w:type="dxa"/>
            <w:shd w:val="solid" w:color="FFFFFF" w:fill="auto"/>
          </w:tcPr>
          <w:p w14:paraId="13AA5564" w14:textId="77777777" w:rsidR="00D40151" w:rsidRPr="00873B6C" w:rsidRDefault="00D40151" w:rsidP="009D14FB">
            <w:pPr>
              <w:pStyle w:val="TAC"/>
              <w:rPr>
                <w:sz w:val="16"/>
                <w:szCs w:val="16"/>
              </w:rPr>
            </w:pPr>
            <w:r w:rsidRPr="00873B6C">
              <w:rPr>
                <w:sz w:val="16"/>
                <w:szCs w:val="16"/>
              </w:rPr>
              <w:t>15.1.0</w:t>
            </w:r>
          </w:p>
        </w:tc>
      </w:tr>
      <w:tr w:rsidR="00D40151" w:rsidRPr="00873B6C" w14:paraId="089DD6A0" w14:textId="77777777" w:rsidTr="009D14FB">
        <w:tc>
          <w:tcPr>
            <w:tcW w:w="800" w:type="dxa"/>
            <w:shd w:val="solid" w:color="FFFFFF" w:fill="auto"/>
          </w:tcPr>
          <w:p w14:paraId="2DAC154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DB8511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30C4143"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83099FA" w14:textId="77777777" w:rsidR="00D40151" w:rsidRPr="00873B6C" w:rsidRDefault="00D40151" w:rsidP="009D14FB">
            <w:pPr>
              <w:pStyle w:val="TAL"/>
              <w:rPr>
                <w:sz w:val="16"/>
                <w:szCs w:val="16"/>
              </w:rPr>
            </w:pPr>
            <w:r w:rsidRPr="00873B6C">
              <w:rPr>
                <w:sz w:val="16"/>
                <w:szCs w:val="16"/>
              </w:rPr>
              <w:t>0152</w:t>
            </w:r>
          </w:p>
        </w:tc>
        <w:tc>
          <w:tcPr>
            <w:tcW w:w="425" w:type="dxa"/>
            <w:shd w:val="solid" w:color="FFFFFF" w:fill="auto"/>
          </w:tcPr>
          <w:p w14:paraId="2B90089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FA5D9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A1649E" w14:textId="77777777" w:rsidR="00D40151" w:rsidRPr="00873B6C" w:rsidRDefault="00D40151" w:rsidP="009D14FB">
            <w:pPr>
              <w:pStyle w:val="TAL"/>
              <w:rPr>
                <w:sz w:val="16"/>
                <w:szCs w:val="16"/>
              </w:rPr>
            </w:pPr>
            <w:r w:rsidRPr="00873B6C">
              <w:rPr>
                <w:sz w:val="16"/>
                <w:szCs w:val="16"/>
              </w:rPr>
              <w:t>Clarification on RRM desciption</w:t>
            </w:r>
          </w:p>
        </w:tc>
        <w:tc>
          <w:tcPr>
            <w:tcW w:w="708" w:type="dxa"/>
            <w:shd w:val="solid" w:color="FFFFFF" w:fill="auto"/>
          </w:tcPr>
          <w:p w14:paraId="529DBE64" w14:textId="77777777" w:rsidR="00D40151" w:rsidRPr="00873B6C" w:rsidRDefault="00D40151" w:rsidP="009D14FB">
            <w:pPr>
              <w:pStyle w:val="TAC"/>
              <w:rPr>
                <w:sz w:val="16"/>
                <w:szCs w:val="16"/>
              </w:rPr>
            </w:pPr>
            <w:r w:rsidRPr="00873B6C">
              <w:rPr>
                <w:sz w:val="16"/>
                <w:szCs w:val="16"/>
              </w:rPr>
              <w:t>15.1.0</w:t>
            </w:r>
          </w:p>
        </w:tc>
      </w:tr>
      <w:tr w:rsidR="00D40151" w:rsidRPr="00873B6C" w14:paraId="697C427D" w14:textId="77777777" w:rsidTr="009D14FB">
        <w:tc>
          <w:tcPr>
            <w:tcW w:w="800" w:type="dxa"/>
            <w:shd w:val="solid" w:color="FFFFFF" w:fill="auto"/>
          </w:tcPr>
          <w:p w14:paraId="2A3F78D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00C8DB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CA5F16F"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52C197F" w14:textId="77777777" w:rsidR="00D40151" w:rsidRPr="00873B6C" w:rsidRDefault="00D40151" w:rsidP="009D14FB">
            <w:pPr>
              <w:pStyle w:val="TAL"/>
              <w:rPr>
                <w:sz w:val="16"/>
                <w:szCs w:val="16"/>
              </w:rPr>
            </w:pPr>
            <w:r w:rsidRPr="00873B6C">
              <w:rPr>
                <w:sz w:val="16"/>
                <w:szCs w:val="16"/>
              </w:rPr>
              <w:t>0153</w:t>
            </w:r>
          </w:p>
        </w:tc>
        <w:tc>
          <w:tcPr>
            <w:tcW w:w="425" w:type="dxa"/>
            <w:shd w:val="solid" w:color="FFFFFF" w:fill="auto"/>
          </w:tcPr>
          <w:p w14:paraId="67DB05B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877ED0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CC85A1" w14:textId="77777777" w:rsidR="00D40151" w:rsidRPr="00873B6C" w:rsidRDefault="00D40151" w:rsidP="009D14FB">
            <w:pPr>
              <w:pStyle w:val="TAL"/>
              <w:rPr>
                <w:sz w:val="16"/>
                <w:szCs w:val="16"/>
              </w:rPr>
            </w:pPr>
            <w:r w:rsidRPr="00873B6C">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873B6C" w:rsidRDefault="00D40151" w:rsidP="009D14FB">
            <w:pPr>
              <w:pStyle w:val="TAC"/>
              <w:rPr>
                <w:sz w:val="16"/>
                <w:szCs w:val="16"/>
              </w:rPr>
            </w:pPr>
            <w:r w:rsidRPr="00873B6C">
              <w:rPr>
                <w:sz w:val="16"/>
                <w:szCs w:val="16"/>
              </w:rPr>
              <w:t>15.1.0</w:t>
            </w:r>
          </w:p>
        </w:tc>
      </w:tr>
      <w:tr w:rsidR="00D40151" w:rsidRPr="00873B6C" w14:paraId="08EC8514" w14:textId="77777777" w:rsidTr="009D14FB">
        <w:tc>
          <w:tcPr>
            <w:tcW w:w="800" w:type="dxa"/>
            <w:shd w:val="solid" w:color="FFFFFF" w:fill="auto"/>
          </w:tcPr>
          <w:p w14:paraId="5F0FAF0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7BA251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B2DA7C4"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189DDE5" w14:textId="77777777" w:rsidR="00D40151" w:rsidRPr="00873B6C" w:rsidRDefault="00D40151" w:rsidP="009D14FB">
            <w:pPr>
              <w:pStyle w:val="TAL"/>
              <w:rPr>
                <w:sz w:val="16"/>
                <w:szCs w:val="16"/>
              </w:rPr>
            </w:pPr>
            <w:r w:rsidRPr="00873B6C">
              <w:rPr>
                <w:sz w:val="16"/>
                <w:szCs w:val="16"/>
              </w:rPr>
              <w:t>0154</w:t>
            </w:r>
          </w:p>
        </w:tc>
        <w:tc>
          <w:tcPr>
            <w:tcW w:w="425" w:type="dxa"/>
            <w:shd w:val="solid" w:color="FFFFFF" w:fill="auto"/>
          </w:tcPr>
          <w:p w14:paraId="0112964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11BCD7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A69730" w14:textId="77777777" w:rsidR="00D40151" w:rsidRPr="00873B6C" w:rsidRDefault="00D40151" w:rsidP="009D14FB">
            <w:pPr>
              <w:pStyle w:val="TAL"/>
              <w:rPr>
                <w:sz w:val="16"/>
                <w:szCs w:val="16"/>
              </w:rPr>
            </w:pPr>
            <w:r w:rsidRPr="00873B6C">
              <w:rPr>
                <w:sz w:val="16"/>
                <w:szCs w:val="16"/>
              </w:rPr>
              <w:t>Clarification on the association of an S-NSSAI to a given application</w:t>
            </w:r>
          </w:p>
        </w:tc>
        <w:tc>
          <w:tcPr>
            <w:tcW w:w="708" w:type="dxa"/>
            <w:shd w:val="solid" w:color="FFFFFF" w:fill="auto"/>
          </w:tcPr>
          <w:p w14:paraId="2C02F7E3" w14:textId="77777777" w:rsidR="00D40151" w:rsidRPr="00873B6C" w:rsidRDefault="00D40151" w:rsidP="009D14FB">
            <w:pPr>
              <w:pStyle w:val="TAC"/>
              <w:rPr>
                <w:sz w:val="16"/>
                <w:szCs w:val="16"/>
              </w:rPr>
            </w:pPr>
            <w:r w:rsidRPr="00873B6C">
              <w:rPr>
                <w:sz w:val="16"/>
                <w:szCs w:val="16"/>
              </w:rPr>
              <w:t>15.1.0</w:t>
            </w:r>
          </w:p>
        </w:tc>
      </w:tr>
      <w:tr w:rsidR="00D40151" w:rsidRPr="00873B6C" w14:paraId="1CC8978F" w14:textId="77777777" w:rsidTr="009D14FB">
        <w:tc>
          <w:tcPr>
            <w:tcW w:w="800" w:type="dxa"/>
            <w:shd w:val="solid" w:color="FFFFFF" w:fill="auto"/>
          </w:tcPr>
          <w:p w14:paraId="74B9F9E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DB5D2A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35E9373"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3E4B939F" w14:textId="77777777" w:rsidR="00D40151" w:rsidRPr="00873B6C" w:rsidRDefault="00D40151" w:rsidP="009D14FB">
            <w:pPr>
              <w:pStyle w:val="TAL"/>
              <w:rPr>
                <w:sz w:val="16"/>
                <w:szCs w:val="16"/>
              </w:rPr>
            </w:pPr>
            <w:r w:rsidRPr="00873B6C">
              <w:rPr>
                <w:sz w:val="16"/>
                <w:szCs w:val="16"/>
              </w:rPr>
              <w:t>0155</w:t>
            </w:r>
          </w:p>
        </w:tc>
        <w:tc>
          <w:tcPr>
            <w:tcW w:w="425" w:type="dxa"/>
            <w:shd w:val="solid" w:color="FFFFFF" w:fill="auto"/>
          </w:tcPr>
          <w:p w14:paraId="746B035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86D07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C048F0" w14:textId="77777777" w:rsidR="00D40151" w:rsidRPr="00873B6C" w:rsidRDefault="00D40151" w:rsidP="009D14FB">
            <w:pPr>
              <w:pStyle w:val="TAL"/>
              <w:rPr>
                <w:sz w:val="16"/>
                <w:szCs w:val="16"/>
              </w:rPr>
            </w:pPr>
            <w:r w:rsidRPr="00873B6C">
              <w:rPr>
                <w:sz w:val="16"/>
                <w:szCs w:val="16"/>
              </w:rPr>
              <w:t>Update of UE Network slicing configuration</w:t>
            </w:r>
          </w:p>
        </w:tc>
        <w:tc>
          <w:tcPr>
            <w:tcW w:w="708" w:type="dxa"/>
            <w:shd w:val="solid" w:color="FFFFFF" w:fill="auto"/>
          </w:tcPr>
          <w:p w14:paraId="00BAE3FA" w14:textId="77777777" w:rsidR="00D40151" w:rsidRPr="00873B6C" w:rsidRDefault="00D40151" w:rsidP="009D14FB">
            <w:pPr>
              <w:pStyle w:val="TAC"/>
              <w:rPr>
                <w:sz w:val="16"/>
                <w:szCs w:val="16"/>
              </w:rPr>
            </w:pPr>
            <w:r w:rsidRPr="00873B6C">
              <w:rPr>
                <w:sz w:val="16"/>
                <w:szCs w:val="16"/>
              </w:rPr>
              <w:t>15.1.0</w:t>
            </w:r>
          </w:p>
        </w:tc>
      </w:tr>
      <w:tr w:rsidR="00D40151" w:rsidRPr="00873B6C" w14:paraId="7F91C81F" w14:textId="77777777" w:rsidTr="009D14FB">
        <w:tc>
          <w:tcPr>
            <w:tcW w:w="800" w:type="dxa"/>
            <w:shd w:val="solid" w:color="FFFFFF" w:fill="auto"/>
          </w:tcPr>
          <w:p w14:paraId="566B0318" w14:textId="77777777" w:rsidR="00D40151" w:rsidRPr="00873B6C" w:rsidRDefault="00D40151" w:rsidP="009D14FB">
            <w:pPr>
              <w:pStyle w:val="TAC"/>
              <w:rPr>
                <w:sz w:val="16"/>
                <w:szCs w:val="16"/>
              </w:rPr>
            </w:pPr>
            <w:r w:rsidRPr="00873B6C">
              <w:rPr>
                <w:sz w:val="16"/>
                <w:szCs w:val="16"/>
              </w:rPr>
              <w:lastRenderedPageBreak/>
              <w:t>03-2018</w:t>
            </w:r>
          </w:p>
        </w:tc>
        <w:tc>
          <w:tcPr>
            <w:tcW w:w="800" w:type="dxa"/>
            <w:shd w:val="solid" w:color="FFFFFF" w:fill="auto"/>
          </w:tcPr>
          <w:p w14:paraId="6262934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AB843E8"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0A1221EE" w14:textId="77777777" w:rsidR="00D40151" w:rsidRPr="00873B6C" w:rsidRDefault="00D40151" w:rsidP="009D14FB">
            <w:pPr>
              <w:pStyle w:val="TAL"/>
              <w:rPr>
                <w:sz w:val="16"/>
                <w:szCs w:val="16"/>
              </w:rPr>
            </w:pPr>
            <w:r w:rsidRPr="00873B6C">
              <w:rPr>
                <w:sz w:val="16"/>
                <w:szCs w:val="16"/>
              </w:rPr>
              <w:t>0157</w:t>
            </w:r>
          </w:p>
        </w:tc>
        <w:tc>
          <w:tcPr>
            <w:tcW w:w="425" w:type="dxa"/>
            <w:shd w:val="solid" w:color="FFFFFF" w:fill="auto"/>
          </w:tcPr>
          <w:p w14:paraId="74AC6AA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5851FB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1E005A" w14:textId="77777777" w:rsidR="00D40151" w:rsidRPr="00873B6C" w:rsidRDefault="00D40151" w:rsidP="009D14FB">
            <w:pPr>
              <w:pStyle w:val="TAL"/>
              <w:rPr>
                <w:sz w:val="16"/>
                <w:szCs w:val="16"/>
              </w:rPr>
            </w:pPr>
            <w:r w:rsidRPr="00873B6C">
              <w:rPr>
                <w:sz w:val="16"/>
                <w:szCs w:val="16"/>
              </w:rPr>
              <w:t>SBA Scope Clarification</w:t>
            </w:r>
          </w:p>
        </w:tc>
        <w:tc>
          <w:tcPr>
            <w:tcW w:w="708" w:type="dxa"/>
            <w:shd w:val="solid" w:color="FFFFFF" w:fill="auto"/>
          </w:tcPr>
          <w:p w14:paraId="2D004CDF" w14:textId="77777777" w:rsidR="00D40151" w:rsidRPr="00873B6C" w:rsidRDefault="00D40151" w:rsidP="009D14FB">
            <w:pPr>
              <w:pStyle w:val="TAC"/>
              <w:rPr>
                <w:sz w:val="16"/>
                <w:szCs w:val="16"/>
              </w:rPr>
            </w:pPr>
            <w:r w:rsidRPr="00873B6C">
              <w:rPr>
                <w:sz w:val="16"/>
                <w:szCs w:val="16"/>
              </w:rPr>
              <w:t>15.1.0</w:t>
            </w:r>
          </w:p>
        </w:tc>
      </w:tr>
      <w:tr w:rsidR="00D40151" w:rsidRPr="00873B6C" w14:paraId="21A96421" w14:textId="77777777" w:rsidTr="009D14FB">
        <w:tc>
          <w:tcPr>
            <w:tcW w:w="800" w:type="dxa"/>
            <w:shd w:val="solid" w:color="FFFFFF" w:fill="auto"/>
          </w:tcPr>
          <w:p w14:paraId="16B7478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0408A1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6FF8CF3"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64CEF6E7" w14:textId="77777777" w:rsidR="00D40151" w:rsidRPr="00873B6C" w:rsidRDefault="00D40151" w:rsidP="009D14FB">
            <w:pPr>
              <w:pStyle w:val="TAL"/>
              <w:rPr>
                <w:sz w:val="16"/>
                <w:szCs w:val="16"/>
              </w:rPr>
            </w:pPr>
            <w:r w:rsidRPr="00873B6C">
              <w:rPr>
                <w:sz w:val="16"/>
                <w:szCs w:val="16"/>
              </w:rPr>
              <w:t>0158</w:t>
            </w:r>
          </w:p>
        </w:tc>
        <w:tc>
          <w:tcPr>
            <w:tcW w:w="425" w:type="dxa"/>
            <w:shd w:val="solid" w:color="FFFFFF" w:fill="auto"/>
          </w:tcPr>
          <w:p w14:paraId="72E2F7B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8456A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15FCBD" w14:textId="77777777" w:rsidR="00D40151" w:rsidRPr="00873B6C" w:rsidRDefault="00D40151" w:rsidP="009D14FB">
            <w:pPr>
              <w:pStyle w:val="TAL"/>
              <w:rPr>
                <w:sz w:val="16"/>
                <w:szCs w:val="16"/>
              </w:rPr>
            </w:pPr>
            <w:r w:rsidRPr="00873B6C">
              <w:rPr>
                <w:sz w:val="16"/>
                <w:szCs w:val="16"/>
              </w:rPr>
              <w:t>Clean up for BSF</w:t>
            </w:r>
          </w:p>
        </w:tc>
        <w:tc>
          <w:tcPr>
            <w:tcW w:w="708" w:type="dxa"/>
            <w:shd w:val="solid" w:color="FFFFFF" w:fill="auto"/>
          </w:tcPr>
          <w:p w14:paraId="688DC41C" w14:textId="77777777" w:rsidR="00D40151" w:rsidRPr="00873B6C" w:rsidRDefault="00D40151" w:rsidP="009D14FB">
            <w:pPr>
              <w:pStyle w:val="TAC"/>
              <w:rPr>
                <w:sz w:val="16"/>
                <w:szCs w:val="16"/>
              </w:rPr>
            </w:pPr>
            <w:r w:rsidRPr="00873B6C">
              <w:rPr>
                <w:sz w:val="16"/>
                <w:szCs w:val="16"/>
              </w:rPr>
              <w:t>15.1.0</w:t>
            </w:r>
          </w:p>
        </w:tc>
      </w:tr>
      <w:tr w:rsidR="00D40151" w:rsidRPr="00873B6C" w14:paraId="0B5D6BA6" w14:textId="77777777" w:rsidTr="009D14FB">
        <w:tc>
          <w:tcPr>
            <w:tcW w:w="800" w:type="dxa"/>
            <w:shd w:val="solid" w:color="FFFFFF" w:fill="auto"/>
          </w:tcPr>
          <w:p w14:paraId="7A73066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9CA658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4A5D577"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78FB25DF" w14:textId="77777777" w:rsidR="00D40151" w:rsidRPr="00873B6C" w:rsidRDefault="00D40151" w:rsidP="009D14FB">
            <w:pPr>
              <w:pStyle w:val="TAL"/>
              <w:rPr>
                <w:sz w:val="16"/>
                <w:szCs w:val="16"/>
              </w:rPr>
            </w:pPr>
            <w:r w:rsidRPr="00873B6C">
              <w:rPr>
                <w:sz w:val="16"/>
                <w:szCs w:val="16"/>
              </w:rPr>
              <w:t>0160</w:t>
            </w:r>
          </w:p>
        </w:tc>
        <w:tc>
          <w:tcPr>
            <w:tcW w:w="425" w:type="dxa"/>
            <w:shd w:val="solid" w:color="FFFFFF" w:fill="auto"/>
          </w:tcPr>
          <w:p w14:paraId="55E8CE9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F49D3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3AA6D4" w14:textId="77777777" w:rsidR="00D40151" w:rsidRPr="00873B6C" w:rsidRDefault="00D40151" w:rsidP="009D14FB">
            <w:pPr>
              <w:pStyle w:val="TAL"/>
              <w:rPr>
                <w:sz w:val="16"/>
                <w:szCs w:val="16"/>
              </w:rPr>
            </w:pPr>
            <w:r w:rsidRPr="00873B6C">
              <w:rPr>
                <w:sz w:val="16"/>
                <w:szCs w:val="16"/>
              </w:rPr>
              <w:t>Clarification on Area of Interest for Presence Area Reporting</w:t>
            </w:r>
          </w:p>
        </w:tc>
        <w:tc>
          <w:tcPr>
            <w:tcW w:w="708" w:type="dxa"/>
            <w:shd w:val="solid" w:color="FFFFFF" w:fill="auto"/>
          </w:tcPr>
          <w:p w14:paraId="1B1EE5AA" w14:textId="77777777" w:rsidR="00D40151" w:rsidRPr="00873B6C" w:rsidRDefault="00D40151" w:rsidP="009D14FB">
            <w:pPr>
              <w:pStyle w:val="TAC"/>
              <w:rPr>
                <w:sz w:val="16"/>
                <w:szCs w:val="16"/>
              </w:rPr>
            </w:pPr>
            <w:r w:rsidRPr="00873B6C">
              <w:rPr>
                <w:sz w:val="16"/>
                <w:szCs w:val="16"/>
              </w:rPr>
              <w:t>15.1.0</w:t>
            </w:r>
          </w:p>
        </w:tc>
      </w:tr>
      <w:tr w:rsidR="00D40151" w:rsidRPr="00873B6C" w14:paraId="52EFD0F1" w14:textId="77777777" w:rsidTr="009D14FB">
        <w:tc>
          <w:tcPr>
            <w:tcW w:w="800" w:type="dxa"/>
            <w:shd w:val="solid" w:color="FFFFFF" w:fill="auto"/>
          </w:tcPr>
          <w:p w14:paraId="19F77E5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6B5E06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A6F0711"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206EF8BC" w14:textId="77777777" w:rsidR="00D40151" w:rsidRPr="00873B6C" w:rsidRDefault="00D40151" w:rsidP="009D14FB">
            <w:pPr>
              <w:pStyle w:val="TAL"/>
              <w:rPr>
                <w:sz w:val="16"/>
                <w:szCs w:val="16"/>
              </w:rPr>
            </w:pPr>
            <w:r w:rsidRPr="00873B6C">
              <w:rPr>
                <w:sz w:val="16"/>
                <w:szCs w:val="16"/>
              </w:rPr>
              <w:t>0161</w:t>
            </w:r>
          </w:p>
        </w:tc>
        <w:tc>
          <w:tcPr>
            <w:tcW w:w="425" w:type="dxa"/>
            <w:shd w:val="solid" w:color="FFFFFF" w:fill="auto"/>
          </w:tcPr>
          <w:p w14:paraId="5C490AC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93057C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A35590" w14:textId="77777777" w:rsidR="00D40151" w:rsidRPr="00873B6C" w:rsidRDefault="00D40151" w:rsidP="009D14FB">
            <w:pPr>
              <w:pStyle w:val="TAL"/>
              <w:rPr>
                <w:sz w:val="16"/>
                <w:szCs w:val="16"/>
              </w:rPr>
            </w:pPr>
            <w:r w:rsidRPr="00873B6C">
              <w:rPr>
                <w:sz w:val="16"/>
                <w:szCs w:val="16"/>
              </w:rPr>
              <w:t>Correction to Providing AF request to multiple PCFs</w:t>
            </w:r>
          </w:p>
        </w:tc>
        <w:tc>
          <w:tcPr>
            <w:tcW w:w="708" w:type="dxa"/>
            <w:shd w:val="solid" w:color="FFFFFF" w:fill="auto"/>
          </w:tcPr>
          <w:p w14:paraId="6B16560B" w14:textId="77777777" w:rsidR="00D40151" w:rsidRPr="00873B6C" w:rsidRDefault="00D40151" w:rsidP="009D14FB">
            <w:pPr>
              <w:pStyle w:val="TAC"/>
              <w:rPr>
                <w:sz w:val="16"/>
                <w:szCs w:val="16"/>
              </w:rPr>
            </w:pPr>
            <w:r w:rsidRPr="00873B6C">
              <w:rPr>
                <w:sz w:val="16"/>
                <w:szCs w:val="16"/>
              </w:rPr>
              <w:t>15.1.0</w:t>
            </w:r>
          </w:p>
        </w:tc>
      </w:tr>
      <w:tr w:rsidR="00D40151" w:rsidRPr="00873B6C" w14:paraId="1D418EFF" w14:textId="77777777" w:rsidTr="009D14FB">
        <w:tc>
          <w:tcPr>
            <w:tcW w:w="800" w:type="dxa"/>
            <w:shd w:val="solid" w:color="FFFFFF" w:fill="auto"/>
          </w:tcPr>
          <w:p w14:paraId="552F8B9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C0AD1C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61DD844"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21FE8BE9" w14:textId="77777777" w:rsidR="00D40151" w:rsidRPr="00873B6C" w:rsidRDefault="00D40151" w:rsidP="009D14FB">
            <w:pPr>
              <w:pStyle w:val="TAL"/>
              <w:rPr>
                <w:sz w:val="16"/>
                <w:szCs w:val="16"/>
              </w:rPr>
            </w:pPr>
            <w:r w:rsidRPr="00873B6C">
              <w:rPr>
                <w:sz w:val="16"/>
                <w:szCs w:val="16"/>
              </w:rPr>
              <w:t>0165</w:t>
            </w:r>
          </w:p>
        </w:tc>
        <w:tc>
          <w:tcPr>
            <w:tcW w:w="425" w:type="dxa"/>
            <w:shd w:val="solid" w:color="FFFFFF" w:fill="auto"/>
          </w:tcPr>
          <w:p w14:paraId="3D4A300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2205F5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F689AA" w14:textId="77777777" w:rsidR="00D40151" w:rsidRPr="00873B6C" w:rsidRDefault="00D40151" w:rsidP="009D14FB">
            <w:pPr>
              <w:pStyle w:val="TAL"/>
              <w:rPr>
                <w:sz w:val="16"/>
                <w:szCs w:val="16"/>
              </w:rPr>
            </w:pPr>
            <w:r w:rsidRPr="00873B6C">
              <w:rPr>
                <w:sz w:val="16"/>
                <w:szCs w:val="16"/>
              </w:rPr>
              <w:t>Usage of Unified access control in priority mechanisms</w:t>
            </w:r>
          </w:p>
        </w:tc>
        <w:tc>
          <w:tcPr>
            <w:tcW w:w="708" w:type="dxa"/>
            <w:shd w:val="solid" w:color="FFFFFF" w:fill="auto"/>
          </w:tcPr>
          <w:p w14:paraId="230BF84E" w14:textId="77777777" w:rsidR="00D40151" w:rsidRPr="00873B6C" w:rsidRDefault="00D40151" w:rsidP="009D14FB">
            <w:pPr>
              <w:pStyle w:val="TAC"/>
              <w:rPr>
                <w:sz w:val="16"/>
                <w:szCs w:val="16"/>
              </w:rPr>
            </w:pPr>
            <w:r w:rsidRPr="00873B6C">
              <w:rPr>
                <w:sz w:val="16"/>
                <w:szCs w:val="16"/>
              </w:rPr>
              <w:t>15.1.0</w:t>
            </w:r>
          </w:p>
        </w:tc>
      </w:tr>
      <w:tr w:rsidR="00D40151" w:rsidRPr="00873B6C" w14:paraId="2D6C8319" w14:textId="77777777" w:rsidTr="009D14FB">
        <w:tc>
          <w:tcPr>
            <w:tcW w:w="800" w:type="dxa"/>
            <w:shd w:val="solid" w:color="FFFFFF" w:fill="auto"/>
          </w:tcPr>
          <w:p w14:paraId="77178B2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D41373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9EF5AA6"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5E7551D8" w14:textId="77777777" w:rsidR="00D40151" w:rsidRPr="00873B6C" w:rsidRDefault="00D40151" w:rsidP="009D14FB">
            <w:pPr>
              <w:pStyle w:val="TAL"/>
              <w:rPr>
                <w:sz w:val="16"/>
                <w:szCs w:val="16"/>
              </w:rPr>
            </w:pPr>
            <w:r w:rsidRPr="00873B6C">
              <w:rPr>
                <w:sz w:val="16"/>
                <w:szCs w:val="16"/>
              </w:rPr>
              <w:t>0166</w:t>
            </w:r>
          </w:p>
        </w:tc>
        <w:tc>
          <w:tcPr>
            <w:tcW w:w="425" w:type="dxa"/>
            <w:shd w:val="solid" w:color="FFFFFF" w:fill="auto"/>
          </w:tcPr>
          <w:p w14:paraId="55D1A68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6ED974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D24927" w14:textId="77777777" w:rsidR="00D40151" w:rsidRPr="00873B6C" w:rsidRDefault="00D40151" w:rsidP="009D14FB">
            <w:pPr>
              <w:pStyle w:val="TAL"/>
              <w:rPr>
                <w:sz w:val="16"/>
                <w:szCs w:val="16"/>
              </w:rPr>
            </w:pPr>
            <w:r w:rsidRPr="00873B6C">
              <w:rPr>
                <w:sz w:val="16"/>
                <w:szCs w:val="16"/>
              </w:rPr>
              <w:t>Update Roaming reference architectures</w:t>
            </w:r>
          </w:p>
        </w:tc>
        <w:tc>
          <w:tcPr>
            <w:tcW w:w="708" w:type="dxa"/>
            <w:shd w:val="solid" w:color="FFFFFF" w:fill="auto"/>
          </w:tcPr>
          <w:p w14:paraId="754D3162" w14:textId="77777777" w:rsidR="00D40151" w:rsidRPr="00873B6C" w:rsidRDefault="00D40151" w:rsidP="009D14FB">
            <w:pPr>
              <w:pStyle w:val="TAC"/>
              <w:rPr>
                <w:sz w:val="16"/>
                <w:szCs w:val="16"/>
              </w:rPr>
            </w:pPr>
            <w:r w:rsidRPr="00873B6C">
              <w:rPr>
                <w:sz w:val="16"/>
                <w:szCs w:val="16"/>
              </w:rPr>
              <w:t>15.1.0</w:t>
            </w:r>
          </w:p>
        </w:tc>
      </w:tr>
      <w:tr w:rsidR="00D40151" w:rsidRPr="00873B6C" w14:paraId="4225A21D" w14:textId="77777777" w:rsidTr="009D14FB">
        <w:tc>
          <w:tcPr>
            <w:tcW w:w="800" w:type="dxa"/>
            <w:shd w:val="solid" w:color="FFFFFF" w:fill="auto"/>
          </w:tcPr>
          <w:p w14:paraId="36EE31B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AF63F4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3E7568D"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5CF01026" w14:textId="77777777" w:rsidR="00D40151" w:rsidRPr="00873B6C" w:rsidRDefault="00D40151" w:rsidP="009D14FB">
            <w:pPr>
              <w:pStyle w:val="TAL"/>
              <w:rPr>
                <w:sz w:val="16"/>
                <w:szCs w:val="16"/>
              </w:rPr>
            </w:pPr>
            <w:r w:rsidRPr="00873B6C">
              <w:rPr>
                <w:sz w:val="16"/>
                <w:szCs w:val="16"/>
              </w:rPr>
              <w:t>0168</w:t>
            </w:r>
          </w:p>
        </w:tc>
        <w:tc>
          <w:tcPr>
            <w:tcW w:w="425" w:type="dxa"/>
            <w:shd w:val="solid" w:color="FFFFFF" w:fill="auto"/>
          </w:tcPr>
          <w:p w14:paraId="00A8731A"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5954522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DFCA35" w14:textId="77777777" w:rsidR="00D40151" w:rsidRPr="00873B6C" w:rsidRDefault="00D40151" w:rsidP="009D14FB">
            <w:pPr>
              <w:pStyle w:val="TAL"/>
              <w:rPr>
                <w:sz w:val="16"/>
                <w:szCs w:val="16"/>
              </w:rPr>
            </w:pPr>
            <w:r w:rsidRPr="00873B6C">
              <w:rPr>
                <w:sz w:val="16"/>
                <w:szCs w:val="16"/>
              </w:rPr>
              <w:t>Clarification of UE Requested NSSAI</w:t>
            </w:r>
          </w:p>
        </w:tc>
        <w:tc>
          <w:tcPr>
            <w:tcW w:w="708" w:type="dxa"/>
            <w:shd w:val="solid" w:color="FFFFFF" w:fill="auto"/>
          </w:tcPr>
          <w:p w14:paraId="2E5D08C1" w14:textId="77777777" w:rsidR="00D40151" w:rsidRPr="00873B6C" w:rsidRDefault="00D40151" w:rsidP="009D14FB">
            <w:pPr>
              <w:pStyle w:val="TAC"/>
              <w:rPr>
                <w:sz w:val="16"/>
                <w:szCs w:val="16"/>
              </w:rPr>
            </w:pPr>
            <w:r w:rsidRPr="00873B6C">
              <w:rPr>
                <w:sz w:val="16"/>
                <w:szCs w:val="16"/>
              </w:rPr>
              <w:t>15.1.0</w:t>
            </w:r>
          </w:p>
        </w:tc>
      </w:tr>
      <w:tr w:rsidR="00D40151" w:rsidRPr="00873B6C" w14:paraId="7CA0F1B3" w14:textId="77777777" w:rsidTr="009D14FB">
        <w:tc>
          <w:tcPr>
            <w:tcW w:w="800" w:type="dxa"/>
            <w:shd w:val="solid" w:color="FFFFFF" w:fill="auto"/>
          </w:tcPr>
          <w:p w14:paraId="38C90FB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46DEAB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7D2C154"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4B4F9299" w14:textId="77777777" w:rsidR="00D40151" w:rsidRPr="00873B6C" w:rsidRDefault="00D40151" w:rsidP="009D14FB">
            <w:pPr>
              <w:pStyle w:val="TAL"/>
              <w:rPr>
                <w:sz w:val="16"/>
                <w:szCs w:val="16"/>
              </w:rPr>
            </w:pPr>
            <w:r w:rsidRPr="00873B6C">
              <w:rPr>
                <w:sz w:val="16"/>
                <w:szCs w:val="16"/>
              </w:rPr>
              <w:t>0170</w:t>
            </w:r>
          </w:p>
        </w:tc>
        <w:tc>
          <w:tcPr>
            <w:tcW w:w="425" w:type="dxa"/>
            <w:shd w:val="solid" w:color="FFFFFF" w:fill="auto"/>
          </w:tcPr>
          <w:p w14:paraId="46B7E4A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CCAC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090493" w14:textId="77777777" w:rsidR="00D40151" w:rsidRPr="00873B6C" w:rsidRDefault="00D40151" w:rsidP="009D14FB">
            <w:pPr>
              <w:pStyle w:val="TAL"/>
              <w:rPr>
                <w:sz w:val="16"/>
                <w:szCs w:val="16"/>
              </w:rPr>
            </w:pPr>
            <w:r w:rsidRPr="00873B6C">
              <w:rPr>
                <w:sz w:val="16"/>
                <w:szCs w:val="16"/>
              </w:rPr>
              <w:t>Emergency Services Support indication per RAT</w:t>
            </w:r>
          </w:p>
        </w:tc>
        <w:tc>
          <w:tcPr>
            <w:tcW w:w="708" w:type="dxa"/>
            <w:shd w:val="solid" w:color="FFFFFF" w:fill="auto"/>
          </w:tcPr>
          <w:p w14:paraId="4F0136D2" w14:textId="77777777" w:rsidR="00D40151" w:rsidRPr="00873B6C" w:rsidRDefault="00D40151" w:rsidP="009D14FB">
            <w:pPr>
              <w:pStyle w:val="TAC"/>
              <w:rPr>
                <w:sz w:val="16"/>
                <w:szCs w:val="16"/>
              </w:rPr>
            </w:pPr>
            <w:r w:rsidRPr="00873B6C">
              <w:rPr>
                <w:sz w:val="16"/>
                <w:szCs w:val="16"/>
              </w:rPr>
              <w:t>15.1.0</w:t>
            </w:r>
          </w:p>
        </w:tc>
      </w:tr>
      <w:tr w:rsidR="00D40151" w:rsidRPr="00873B6C" w14:paraId="04D00997" w14:textId="77777777" w:rsidTr="009D14FB">
        <w:tc>
          <w:tcPr>
            <w:tcW w:w="800" w:type="dxa"/>
            <w:shd w:val="solid" w:color="FFFFFF" w:fill="auto"/>
          </w:tcPr>
          <w:p w14:paraId="456550F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ADF239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D642860"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466DB547" w14:textId="77777777" w:rsidR="00D40151" w:rsidRPr="00873B6C" w:rsidRDefault="00D40151" w:rsidP="009D14FB">
            <w:pPr>
              <w:pStyle w:val="TAL"/>
              <w:rPr>
                <w:sz w:val="16"/>
                <w:szCs w:val="16"/>
              </w:rPr>
            </w:pPr>
            <w:r w:rsidRPr="00873B6C">
              <w:rPr>
                <w:sz w:val="16"/>
                <w:szCs w:val="16"/>
              </w:rPr>
              <w:t>0171</w:t>
            </w:r>
          </w:p>
        </w:tc>
        <w:tc>
          <w:tcPr>
            <w:tcW w:w="425" w:type="dxa"/>
            <w:shd w:val="solid" w:color="FFFFFF" w:fill="auto"/>
          </w:tcPr>
          <w:p w14:paraId="79D04CC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71EE61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6D817C" w14:textId="77777777" w:rsidR="00D40151" w:rsidRPr="00873B6C" w:rsidRDefault="00D40151" w:rsidP="009D14FB">
            <w:pPr>
              <w:pStyle w:val="TAL"/>
              <w:rPr>
                <w:sz w:val="16"/>
                <w:szCs w:val="16"/>
              </w:rPr>
            </w:pPr>
            <w:r w:rsidRPr="00873B6C">
              <w:rPr>
                <w:sz w:val="16"/>
                <w:szCs w:val="16"/>
              </w:rPr>
              <w:t>N4 User Plane Path</w:t>
            </w:r>
          </w:p>
        </w:tc>
        <w:tc>
          <w:tcPr>
            <w:tcW w:w="708" w:type="dxa"/>
            <w:shd w:val="solid" w:color="FFFFFF" w:fill="auto"/>
          </w:tcPr>
          <w:p w14:paraId="0F0D1AF6" w14:textId="77777777" w:rsidR="00D40151" w:rsidRPr="00873B6C" w:rsidRDefault="00D40151" w:rsidP="009D14FB">
            <w:pPr>
              <w:pStyle w:val="TAC"/>
              <w:rPr>
                <w:sz w:val="16"/>
                <w:szCs w:val="16"/>
              </w:rPr>
            </w:pPr>
            <w:r w:rsidRPr="00873B6C">
              <w:rPr>
                <w:sz w:val="16"/>
                <w:szCs w:val="16"/>
              </w:rPr>
              <w:t>15.1.0</w:t>
            </w:r>
          </w:p>
        </w:tc>
      </w:tr>
      <w:tr w:rsidR="00D40151" w:rsidRPr="00873B6C" w14:paraId="7DEDDAEE" w14:textId="77777777" w:rsidTr="009D14FB">
        <w:tc>
          <w:tcPr>
            <w:tcW w:w="800" w:type="dxa"/>
            <w:shd w:val="solid" w:color="FFFFFF" w:fill="auto"/>
          </w:tcPr>
          <w:p w14:paraId="3C0C9E8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B297AA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1523C12"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1AD74041" w14:textId="77777777" w:rsidR="00D40151" w:rsidRPr="00873B6C" w:rsidRDefault="00D40151" w:rsidP="009D14FB">
            <w:pPr>
              <w:pStyle w:val="TAL"/>
              <w:rPr>
                <w:sz w:val="16"/>
                <w:szCs w:val="16"/>
              </w:rPr>
            </w:pPr>
            <w:r w:rsidRPr="00873B6C">
              <w:rPr>
                <w:sz w:val="16"/>
                <w:szCs w:val="16"/>
              </w:rPr>
              <w:t>0173</w:t>
            </w:r>
          </w:p>
        </w:tc>
        <w:tc>
          <w:tcPr>
            <w:tcW w:w="425" w:type="dxa"/>
            <w:shd w:val="solid" w:color="FFFFFF" w:fill="auto"/>
          </w:tcPr>
          <w:p w14:paraId="4EC8BC8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5F65D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63DC34" w14:textId="77777777" w:rsidR="00D40151" w:rsidRPr="00873B6C" w:rsidRDefault="00D40151" w:rsidP="009D14FB">
            <w:pPr>
              <w:pStyle w:val="TAL"/>
              <w:rPr>
                <w:sz w:val="16"/>
                <w:szCs w:val="16"/>
              </w:rPr>
            </w:pPr>
            <w:r w:rsidRPr="00873B6C">
              <w:rPr>
                <w:sz w:val="16"/>
                <w:szCs w:val="16"/>
              </w:rPr>
              <w:t>SSC Mode Selection</w:t>
            </w:r>
          </w:p>
        </w:tc>
        <w:tc>
          <w:tcPr>
            <w:tcW w:w="708" w:type="dxa"/>
            <w:shd w:val="solid" w:color="FFFFFF" w:fill="auto"/>
          </w:tcPr>
          <w:p w14:paraId="2D039813" w14:textId="77777777" w:rsidR="00D40151" w:rsidRPr="00873B6C" w:rsidRDefault="00D40151" w:rsidP="009D14FB">
            <w:pPr>
              <w:pStyle w:val="TAC"/>
              <w:rPr>
                <w:sz w:val="16"/>
                <w:szCs w:val="16"/>
              </w:rPr>
            </w:pPr>
            <w:r w:rsidRPr="00873B6C">
              <w:rPr>
                <w:sz w:val="16"/>
                <w:szCs w:val="16"/>
              </w:rPr>
              <w:t>15.1.0</w:t>
            </w:r>
          </w:p>
        </w:tc>
      </w:tr>
      <w:tr w:rsidR="00D40151" w:rsidRPr="00873B6C" w14:paraId="1E3AE810" w14:textId="77777777" w:rsidTr="009D14FB">
        <w:tc>
          <w:tcPr>
            <w:tcW w:w="800" w:type="dxa"/>
            <w:shd w:val="solid" w:color="FFFFFF" w:fill="auto"/>
          </w:tcPr>
          <w:p w14:paraId="28F4C7F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1A8DB3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5EE0666"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27784CD9" w14:textId="77777777" w:rsidR="00D40151" w:rsidRPr="00873B6C" w:rsidRDefault="00D40151" w:rsidP="009D14FB">
            <w:pPr>
              <w:pStyle w:val="TAL"/>
              <w:rPr>
                <w:sz w:val="16"/>
                <w:szCs w:val="16"/>
              </w:rPr>
            </w:pPr>
            <w:r w:rsidRPr="00873B6C">
              <w:rPr>
                <w:sz w:val="16"/>
                <w:szCs w:val="16"/>
              </w:rPr>
              <w:t>0174</w:t>
            </w:r>
          </w:p>
        </w:tc>
        <w:tc>
          <w:tcPr>
            <w:tcW w:w="425" w:type="dxa"/>
            <w:shd w:val="solid" w:color="FFFFFF" w:fill="auto"/>
          </w:tcPr>
          <w:p w14:paraId="4D28F9D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805CB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5FCD1F" w14:textId="77777777" w:rsidR="00D40151" w:rsidRPr="00873B6C" w:rsidRDefault="00D40151" w:rsidP="009D14FB">
            <w:pPr>
              <w:pStyle w:val="TAL"/>
              <w:rPr>
                <w:sz w:val="16"/>
                <w:szCs w:val="16"/>
              </w:rPr>
            </w:pPr>
            <w:r w:rsidRPr="00873B6C">
              <w:rPr>
                <w:sz w:val="16"/>
                <w:szCs w:val="16"/>
              </w:rPr>
              <w:t>Proposal of QER, URR and FAR</w:t>
            </w:r>
          </w:p>
        </w:tc>
        <w:tc>
          <w:tcPr>
            <w:tcW w:w="708" w:type="dxa"/>
            <w:shd w:val="solid" w:color="FFFFFF" w:fill="auto"/>
          </w:tcPr>
          <w:p w14:paraId="634D0EBA" w14:textId="77777777" w:rsidR="00D40151" w:rsidRPr="00873B6C" w:rsidRDefault="00D40151" w:rsidP="009D14FB">
            <w:pPr>
              <w:pStyle w:val="TAC"/>
              <w:rPr>
                <w:sz w:val="16"/>
                <w:szCs w:val="16"/>
              </w:rPr>
            </w:pPr>
            <w:r w:rsidRPr="00873B6C">
              <w:rPr>
                <w:sz w:val="16"/>
                <w:szCs w:val="16"/>
              </w:rPr>
              <w:t>15.1.0</w:t>
            </w:r>
          </w:p>
        </w:tc>
      </w:tr>
      <w:tr w:rsidR="00D40151" w:rsidRPr="00873B6C" w14:paraId="47882935" w14:textId="77777777" w:rsidTr="009D14FB">
        <w:tc>
          <w:tcPr>
            <w:tcW w:w="800" w:type="dxa"/>
            <w:shd w:val="solid" w:color="FFFFFF" w:fill="auto"/>
          </w:tcPr>
          <w:p w14:paraId="54E5764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1F7015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BFB635C"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761FAAD2" w14:textId="77777777" w:rsidR="00D40151" w:rsidRPr="00873B6C" w:rsidRDefault="00D40151" w:rsidP="009D14FB">
            <w:pPr>
              <w:pStyle w:val="TAL"/>
              <w:rPr>
                <w:sz w:val="16"/>
                <w:szCs w:val="16"/>
              </w:rPr>
            </w:pPr>
            <w:r w:rsidRPr="00873B6C">
              <w:rPr>
                <w:sz w:val="16"/>
                <w:szCs w:val="16"/>
              </w:rPr>
              <w:t>0177</w:t>
            </w:r>
          </w:p>
        </w:tc>
        <w:tc>
          <w:tcPr>
            <w:tcW w:w="425" w:type="dxa"/>
            <w:shd w:val="solid" w:color="FFFFFF" w:fill="auto"/>
          </w:tcPr>
          <w:p w14:paraId="37E9288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6C3E49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42419EB" w14:textId="77777777" w:rsidR="00D40151" w:rsidRPr="00873B6C" w:rsidRDefault="00D40151" w:rsidP="009D14FB">
            <w:pPr>
              <w:pStyle w:val="TAL"/>
              <w:rPr>
                <w:sz w:val="16"/>
                <w:szCs w:val="16"/>
              </w:rPr>
            </w:pPr>
            <w:r w:rsidRPr="00873B6C">
              <w:rPr>
                <w:sz w:val="16"/>
                <w:szCs w:val="16"/>
              </w:rPr>
              <w:t>UE specific DRX parameters for CM-CONNECTED with Inactive state</w:t>
            </w:r>
          </w:p>
        </w:tc>
        <w:tc>
          <w:tcPr>
            <w:tcW w:w="708" w:type="dxa"/>
            <w:shd w:val="solid" w:color="FFFFFF" w:fill="auto"/>
          </w:tcPr>
          <w:p w14:paraId="1803094A" w14:textId="77777777" w:rsidR="00D40151" w:rsidRPr="00873B6C" w:rsidRDefault="00D40151" w:rsidP="009D14FB">
            <w:pPr>
              <w:pStyle w:val="TAC"/>
              <w:rPr>
                <w:sz w:val="16"/>
                <w:szCs w:val="16"/>
              </w:rPr>
            </w:pPr>
            <w:r w:rsidRPr="00873B6C">
              <w:rPr>
                <w:sz w:val="16"/>
                <w:szCs w:val="16"/>
              </w:rPr>
              <w:t>15.1.0</w:t>
            </w:r>
          </w:p>
        </w:tc>
      </w:tr>
      <w:tr w:rsidR="00D40151" w:rsidRPr="00873B6C" w14:paraId="652354D1" w14:textId="77777777" w:rsidTr="009D14FB">
        <w:tc>
          <w:tcPr>
            <w:tcW w:w="800" w:type="dxa"/>
            <w:shd w:val="solid" w:color="FFFFFF" w:fill="auto"/>
          </w:tcPr>
          <w:p w14:paraId="4DA1C17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1883C6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2817E59"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CD91B1C" w14:textId="77777777" w:rsidR="00D40151" w:rsidRPr="00873B6C" w:rsidRDefault="00D40151" w:rsidP="009D14FB">
            <w:pPr>
              <w:pStyle w:val="TAL"/>
              <w:rPr>
                <w:sz w:val="16"/>
                <w:szCs w:val="16"/>
              </w:rPr>
            </w:pPr>
            <w:r w:rsidRPr="00873B6C">
              <w:rPr>
                <w:sz w:val="16"/>
                <w:szCs w:val="16"/>
              </w:rPr>
              <w:t>0179</w:t>
            </w:r>
          </w:p>
        </w:tc>
        <w:tc>
          <w:tcPr>
            <w:tcW w:w="425" w:type="dxa"/>
            <w:shd w:val="solid" w:color="FFFFFF" w:fill="auto"/>
          </w:tcPr>
          <w:p w14:paraId="5FF1E7E6"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5E5A3D9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F9BE4B" w14:textId="77777777" w:rsidR="00D40151" w:rsidRPr="00873B6C" w:rsidRDefault="00D40151" w:rsidP="009D14FB">
            <w:pPr>
              <w:pStyle w:val="TAL"/>
              <w:rPr>
                <w:sz w:val="16"/>
                <w:szCs w:val="16"/>
              </w:rPr>
            </w:pPr>
            <w:r w:rsidRPr="00873B6C">
              <w:rPr>
                <w:sz w:val="16"/>
                <w:szCs w:val="16"/>
              </w:rPr>
              <w:t>Slicing configuration update</w:t>
            </w:r>
          </w:p>
        </w:tc>
        <w:tc>
          <w:tcPr>
            <w:tcW w:w="708" w:type="dxa"/>
            <w:shd w:val="solid" w:color="FFFFFF" w:fill="auto"/>
          </w:tcPr>
          <w:p w14:paraId="7606276C" w14:textId="77777777" w:rsidR="00D40151" w:rsidRPr="00873B6C" w:rsidRDefault="00D40151" w:rsidP="009D14FB">
            <w:pPr>
              <w:pStyle w:val="TAC"/>
              <w:rPr>
                <w:sz w:val="16"/>
                <w:szCs w:val="16"/>
              </w:rPr>
            </w:pPr>
            <w:r w:rsidRPr="00873B6C">
              <w:rPr>
                <w:sz w:val="16"/>
                <w:szCs w:val="16"/>
              </w:rPr>
              <w:t>15.1.0</w:t>
            </w:r>
          </w:p>
        </w:tc>
      </w:tr>
      <w:tr w:rsidR="00D40151" w:rsidRPr="00873B6C" w14:paraId="52BBE3BB" w14:textId="77777777" w:rsidTr="009D14FB">
        <w:tc>
          <w:tcPr>
            <w:tcW w:w="800" w:type="dxa"/>
            <w:shd w:val="solid" w:color="FFFFFF" w:fill="auto"/>
          </w:tcPr>
          <w:p w14:paraId="1779B61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34A390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17A0095"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00751B77" w14:textId="77777777" w:rsidR="00D40151" w:rsidRPr="00873B6C" w:rsidRDefault="00D40151" w:rsidP="009D14FB">
            <w:pPr>
              <w:pStyle w:val="TAL"/>
              <w:rPr>
                <w:sz w:val="16"/>
                <w:szCs w:val="16"/>
              </w:rPr>
            </w:pPr>
            <w:r w:rsidRPr="00873B6C">
              <w:rPr>
                <w:sz w:val="16"/>
                <w:szCs w:val="16"/>
              </w:rPr>
              <w:t>0180</w:t>
            </w:r>
          </w:p>
        </w:tc>
        <w:tc>
          <w:tcPr>
            <w:tcW w:w="425" w:type="dxa"/>
            <w:shd w:val="solid" w:color="FFFFFF" w:fill="auto"/>
          </w:tcPr>
          <w:p w14:paraId="27AB54B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DD919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278ADD" w14:textId="77777777" w:rsidR="00D40151" w:rsidRPr="00873B6C" w:rsidRDefault="00D40151" w:rsidP="009D14FB">
            <w:pPr>
              <w:pStyle w:val="TAL"/>
              <w:rPr>
                <w:sz w:val="16"/>
                <w:szCs w:val="16"/>
              </w:rPr>
            </w:pPr>
            <w:r w:rsidRPr="00873B6C">
              <w:rPr>
                <w:sz w:val="16"/>
                <w:szCs w:val="16"/>
              </w:rPr>
              <w:t>Update of Mobility Restrictions</w:t>
            </w:r>
          </w:p>
        </w:tc>
        <w:tc>
          <w:tcPr>
            <w:tcW w:w="708" w:type="dxa"/>
            <w:shd w:val="solid" w:color="FFFFFF" w:fill="auto"/>
          </w:tcPr>
          <w:p w14:paraId="3D070E49" w14:textId="77777777" w:rsidR="00D40151" w:rsidRPr="00873B6C" w:rsidRDefault="00D40151" w:rsidP="009D14FB">
            <w:pPr>
              <w:pStyle w:val="TAC"/>
              <w:rPr>
                <w:sz w:val="16"/>
                <w:szCs w:val="16"/>
              </w:rPr>
            </w:pPr>
            <w:r w:rsidRPr="00873B6C">
              <w:rPr>
                <w:sz w:val="16"/>
                <w:szCs w:val="16"/>
              </w:rPr>
              <w:t>15.1.0</w:t>
            </w:r>
          </w:p>
        </w:tc>
      </w:tr>
      <w:tr w:rsidR="00D40151" w:rsidRPr="00873B6C" w14:paraId="571AEB49" w14:textId="77777777" w:rsidTr="009D14FB">
        <w:tc>
          <w:tcPr>
            <w:tcW w:w="800" w:type="dxa"/>
            <w:shd w:val="solid" w:color="FFFFFF" w:fill="auto"/>
          </w:tcPr>
          <w:p w14:paraId="0D1C554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3003E3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B5E9686" w14:textId="77777777" w:rsidR="00D40151" w:rsidRPr="00873B6C" w:rsidRDefault="00D40151" w:rsidP="009D14FB">
            <w:pPr>
              <w:pStyle w:val="TAC"/>
              <w:rPr>
                <w:sz w:val="16"/>
                <w:szCs w:val="16"/>
              </w:rPr>
            </w:pPr>
            <w:r w:rsidRPr="00873B6C">
              <w:rPr>
                <w:sz w:val="16"/>
                <w:szCs w:val="16"/>
              </w:rPr>
              <w:t>SP-180125</w:t>
            </w:r>
          </w:p>
        </w:tc>
        <w:tc>
          <w:tcPr>
            <w:tcW w:w="567" w:type="dxa"/>
            <w:shd w:val="solid" w:color="FFFFFF" w:fill="auto"/>
          </w:tcPr>
          <w:p w14:paraId="46C15969" w14:textId="77777777" w:rsidR="00D40151" w:rsidRPr="00873B6C" w:rsidRDefault="00D40151" w:rsidP="009D14FB">
            <w:pPr>
              <w:pStyle w:val="TAL"/>
              <w:rPr>
                <w:sz w:val="16"/>
                <w:szCs w:val="16"/>
              </w:rPr>
            </w:pPr>
            <w:r w:rsidRPr="00873B6C">
              <w:rPr>
                <w:sz w:val="16"/>
                <w:szCs w:val="16"/>
              </w:rPr>
              <w:t>0181</w:t>
            </w:r>
          </w:p>
        </w:tc>
        <w:tc>
          <w:tcPr>
            <w:tcW w:w="425" w:type="dxa"/>
            <w:shd w:val="solid" w:color="FFFFFF" w:fill="auto"/>
          </w:tcPr>
          <w:p w14:paraId="028FFCF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8E8782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575E7F" w14:textId="77777777" w:rsidR="00D40151" w:rsidRPr="00873B6C" w:rsidRDefault="00D40151" w:rsidP="009D14FB">
            <w:pPr>
              <w:pStyle w:val="TAL"/>
              <w:rPr>
                <w:sz w:val="16"/>
                <w:szCs w:val="16"/>
              </w:rPr>
            </w:pPr>
            <w:r w:rsidRPr="00873B6C">
              <w:rPr>
                <w:sz w:val="16"/>
                <w:szCs w:val="16"/>
              </w:rPr>
              <w:t>Addition of PDU Session type IPv4v6</w:t>
            </w:r>
          </w:p>
        </w:tc>
        <w:tc>
          <w:tcPr>
            <w:tcW w:w="708" w:type="dxa"/>
            <w:shd w:val="solid" w:color="FFFFFF" w:fill="auto"/>
          </w:tcPr>
          <w:p w14:paraId="67D0FA30" w14:textId="77777777" w:rsidR="00D40151" w:rsidRPr="00873B6C" w:rsidRDefault="00D40151" w:rsidP="009D14FB">
            <w:pPr>
              <w:pStyle w:val="TAC"/>
              <w:rPr>
                <w:sz w:val="16"/>
                <w:szCs w:val="16"/>
              </w:rPr>
            </w:pPr>
            <w:r w:rsidRPr="00873B6C">
              <w:rPr>
                <w:sz w:val="16"/>
                <w:szCs w:val="16"/>
              </w:rPr>
              <w:t>15.1.0</w:t>
            </w:r>
          </w:p>
        </w:tc>
      </w:tr>
      <w:tr w:rsidR="00D40151" w:rsidRPr="00873B6C" w14:paraId="217CC51E" w14:textId="77777777" w:rsidTr="009D14FB">
        <w:tc>
          <w:tcPr>
            <w:tcW w:w="800" w:type="dxa"/>
            <w:shd w:val="solid" w:color="FFFFFF" w:fill="auto"/>
          </w:tcPr>
          <w:p w14:paraId="3EC1464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7B20E2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4D69BE8"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5827D8AA" w14:textId="77777777" w:rsidR="00D40151" w:rsidRPr="00873B6C" w:rsidRDefault="00D40151" w:rsidP="009D14FB">
            <w:pPr>
              <w:pStyle w:val="TAL"/>
              <w:rPr>
                <w:sz w:val="16"/>
                <w:szCs w:val="16"/>
              </w:rPr>
            </w:pPr>
            <w:r w:rsidRPr="00873B6C">
              <w:rPr>
                <w:sz w:val="16"/>
                <w:szCs w:val="16"/>
              </w:rPr>
              <w:t>0183</w:t>
            </w:r>
          </w:p>
        </w:tc>
        <w:tc>
          <w:tcPr>
            <w:tcW w:w="425" w:type="dxa"/>
            <w:shd w:val="solid" w:color="FFFFFF" w:fill="auto"/>
          </w:tcPr>
          <w:p w14:paraId="0BAFD33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347B1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608DDA" w14:textId="77777777" w:rsidR="00D40151" w:rsidRPr="00873B6C" w:rsidRDefault="00D40151" w:rsidP="009D14FB">
            <w:pPr>
              <w:pStyle w:val="TAL"/>
              <w:rPr>
                <w:sz w:val="16"/>
                <w:szCs w:val="16"/>
              </w:rPr>
            </w:pPr>
            <w:r w:rsidRPr="00873B6C">
              <w:rPr>
                <w:sz w:val="16"/>
                <w:szCs w:val="16"/>
              </w:rPr>
              <w:t>Mapping of Requested NSSAI clarification</w:t>
            </w:r>
          </w:p>
        </w:tc>
        <w:tc>
          <w:tcPr>
            <w:tcW w:w="708" w:type="dxa"/>
            <w:shd w:val="solid" w:color="FFFFFF" w:fill="auto"/>
          </w:tcPr>
          <w:p w14:paraId="332EB259" w14:textId="77777777" w:rsidR="00D40151" w:rsidRPr="00873B6C" w:rsidRDefault="00D40151" w:rsidP="009D14FB">
            <w:pPr>
              <w:pStyle w:val="TAC"/>
              <w:rPr>
                <w:sz w:val="16"/>
                <w:szCs w:val="16"/>
              </w:rPr>
            </w:pPr>
            <w:r w:rsidRPr="00873B6C">
              <w:rPr>
                <w:sz w:val="16"/>
                <w:szCs w:val="16"/>
              </w:rPr>
              <w:t>15.1.0</w:t>
            </w:r>
          </w:p>
        </w:tc>
      </w:tr>
      <w:tr w:rsidR="00D40151" w:rsidRPr="00873B6C" w14:paraId="1A3F8A93" w14:textId="77777777" w:rsidTr="009D14FB">
        <w:tc>
          <w:tcPr>
            <w:tcW w:w="800" w:type="dxa"/>
            <w:shd w:val="solid" w:color="FFFFFF" w:fill="auto"/>
          </w:tcPr>
          <w:p w14:paraId="4AA2DFF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5781A2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B8FD57B"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7FDB9EE" w14:textId="77777777" w:rsidR="00D40151" w:rsidRPr="00873B6C" w:rsidRDefault="00D40151" w:rsidP="009D14FB">
            <w:pPr>
              <w:pStyle w:val="TAL"/>
              <w:rPr>
                <w:sz w:val="16"/>
                <w:szCs w:val="16"/>
              </w:rPr>
            </w:pPr>
            <w:r w:rsidRPr="00873B6C">
              <w:rPr>
                <w:sz w:val="16"/>
                <w:szCs w:val="16"/>
              </w:rPr>
              <w:t>0184</w:t>
            </w:r>
          </w:p>
        </w:tc>
        <w:tc>
          <w:tcPr>
            <w:tcW w:w="425" w:type="dxa"/>
            <w:shd w:val="solid" w:color="FFFFFF" w:fill="auto"/>
          </w:tcPr>
          <w:p w14:paraId="0BD2CF0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15D2B2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4CD79F" w14:textId="77777777" w:rsidR="00D40151" w:rsidRPr="00873B6C" w:rsidRDefault="00D40151" w:rsidP="009D14FB">
            <w:pPr>
              <w:pStyle w:val="TAL"/>
              <w:rPr>
                <w:sz w:val="16"/>
                <w:szCs w:val="16"/>
              </w:rPr>
            </w:pPr>
            <w:r w:rsidRPr="00873B6C">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873B6C" w:rsidRDefault="00D40151" w:rsidP="009D14FB">
            <w:pPr>
              <w:pStyle w:val="TAC"/>
              <w:rPr>
                <w:sz w:val="16"/>
                <w:szCs w:val="16"/>
              </w:rPr>
            </w:pPr>
            <w:r w:rsidRPr="00873B6C">
              <w:rPr>
                <w:sz w:val="16"/>
                <w:szCs w:val="16"/>
              </w:rPr>
              <w:t>15.1.0</w:t>
            </w:r>
          </w:p>
        </w:tc>
      </w:tr>
      <w:tr w:rsidR="00D40151" w:rsidRPr="00873B6C" w14:paraId="3C53F519" w14:textId="77777777" w:rsidTr="009D14FB">
        <w:tc>
          <w:tcPr>
            <w:tcW w:w="800" w:type="dxa"/>
            <w:shd w:val="solid" w:color="FFFFFF" w:fill="auto"/>
          </w:tcPr>
          <w:p w14:paraId="12B3D829"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8785D8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CAA076C"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01EB9739" w14:textId="77777777" w:rsidR="00D40151" w:rsidRPr="00873B6C" w:rsidRDefault="00D40151" w:rsidP="009D14FB">
            <w:pPr>
              <w:pStyle w:val="TAL"/>
              <w:rPr>
                <w:sz w:val="16"/>
                <w:szCs w:val="16"/>
              </w:rPr>
            </w:pPr>
            <w:r w:rsidRPr="00873B6C">
              <w:rPr>
                <w:sz w:val="16"/>
                <w:szCs w:val="16"/>
              </w:rPr>
              <w:t>0187</w:t>
            </w:r>
          </w:p>
        </w:tc>
        <w:tc>
          <w:tcPr>
            <w:tcW w:w="425" w:type="dxa"/>
            <w:shd w:val="solid" w:color="FFFFFF" w:fill="auto"/>
          </w:tcPr>
          <w:p w14:paraId="46152924"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34D836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A4377D" w14:textId="77777777" w:rsidR="00D40151" w:rsidRPr="00873B6C" w:rsidRDefault="00D40151" w:rsidP="009D14FB">
            <w:pPr>
              <w:pStyle w:val="TAL"/>
              <w:rPr>
                <w:sz w:val="16"/>
                <w:szCs w:val="16"/>
              </w:rPr>
            </w:pPr>
            <w:r w:rsidRPr="00873B6C">
              <w:rPr>
                <w:sz w:val="16"/>
                <w:szCs w:val="16"/>
              </w:rPr>
              <w:t>Select the same SMF+UPF for PDU sessions of the same DNN within one slice</w:t>
            </w:r>
          </w:p>
        </w:tc>
        <w:tc>
          <w:tcPr>
            <w:tcW w:w="708" w:type="dxa"/>
            <w:shd w:val="solid" w:color="FFFFFF" w:fill="auto"/>
          </w:tcPr>
          <w:p w14:paraId="67F1A501" w14:textId="77777777" w:rsidR="00D40151" w:rsidRPr="00873B6C" w:rsidRDefault="00D40151" w:rsidP="009D14FB">
            <w:pPr>
              <w:pStyle w:val="TAC"/>
              <w:rPr>
                <w:sz w:val="16"/>
                <w:szCs w:val="16"/>
              </w:rPr>
            </w:pPr>
            <w:r w:rsidRPr="00873B6C">
              <w:rPr>
                <w:sz w:val="16"/>
                <w:szCs w:val="16"/>
              </w:rPr>
              <w:t>15.1.0</w:t>
            </w:r>
          </w:p>
        </w:tc>
      </w:tr>
      <w:tr w:rsidR="00D40151" w:rsidRPr="00873B6C" w14:paraId="508A5B07" w14:textId="77777777" w:rsidTr="009D14FB">
        <w:tc>
          <w:tcPr>
            <w:tcW w:w="800" w:type="dxa"/>
            <w:shd w:val="solid" w:color="FFFFFF" w:fill="auto"/>
          </w:tcPr>
          <w:p w14:paraId="7BEEA2D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CE9D50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19DDC3D"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2016C536" w14:textId="77777777" w:rsidR="00D40151" w:rsidRPr="00873B6C" w:rsidRDefault="00D40151" w:rsidP="009D14FB">
            <w:pPr>
              <w:pStyle w:val="TAL"/>
              <w:rPr>
                <w:sz w:val="16"/>
                <w:szCs w:val="16"/>
              </w:rPr>
            </w:pPr>
            <w:r w:rsidRPr="00873B6C">
              <w:rPr>
                <w:sz w:val="16"/>
                <w:szCs w:val="16"/>
              </w:rPr>
              <w:t>0189</w:t>
            </w:r>
          </w:p>
        </w:tc>
        <w:tc>
          <w:tcPr>
            <w:tcW w:w="425" w:type="dxa"/>
            <w:shd w:val="solid" w:color="FFFFFF" w:fill="auto"/>
          </w:tcPr>
          <w:p w14:paraId="2498732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7873A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CB3630" w14:textId="77777777" w:rsidR="00D40151" w:rsidRPr="00873B6C" w:rsidRDefault="00D40151" w:rsidP="009D14FB">
            <w:pPr>
              <w:pStyle w:val="TAL"/>
              <w:rPr>
                <w:sz w:val="16"/>
                <w:szCs w:val="16"/>
              </w:rPr>
            </w:pPr>
            <w:r w:rsidRPr="00873B6C">
              <w:rPr>
                <w:sz w:val="16"/>
                <w:szCs w:val="16"/>
              </w:rPr>
              <w:t>Subscription Permanent Identifier</w:t>
            </w:r>
          </w:p>
        </w:tc>
        <w:tc>
          <w:tcPr>
            <w:tcW w:w="708" w:type="dxa"/>
            <w:shd w:val="solid" w:color="FFFFFF" w:fill="auto"/>
          </w:tcPr>
          <w:p w14:paraId="33EAC4BD" w14:textId="77777777" w:rsidR="00D40151" w:rsidRPr="00873B6C" w:rsidRDefault="00D40151" w:rsidP="009D14FB">
            <w:pPr>
              <w:pStyle w:val="TAC"/>
              <w:rPr>
                <w:sz w:val="16"/>
                <w:szCs w:val="16"/>
              </w:rPr>
            </w:pPr>
            <w:r w:rsidRPr="00873B6C">
              <w:rPr>
                <w:sz w:val="16"/>
                <w:szCs w:val="16"/>
              </w:rPr>
              <w:t>15.1.0</w:t>
            </w:r>
          </w:p>
        </w:tc>
      </w:tr>
      <w:tr w:rsidR="00D40151" w:rsidRPr="00873B6C" w14:paraId="6860EA10" w14:textId="77777777" w:rsidTr="009D14FB">
        <w:tc>
          <w:tcPr>
            <w:tcW w:w="800" w:type="dxa"/>
            <w:tcBorders>
              <w:bottom w:val="single" w:sz="6" w:space="0" w:color="auto"/>
            </w:tcBorders>
            <w:shd w:val="solid" w:color="FFFFFF" w:fill="auto"/>
          </w:tcPr>
          <w:p w14:paraId="66D3099C" w14:textId="77777777" w:rsidR="00D40151" w:rsidRPr="00873B6C" w:rsidRDefault="00D40151" w:rsidP="009D14FB">
            <w:pPr>
              <w:pStyle w:val="TAC"/>
              <w:rPr>
                <w:sz w:val="16"/>
                <w:szCs w:val="16"/>
              </w:rPr>
            </w:pPr>
            <w:r w:rsidRPr="00873B6C">
              <w:rPr>
                <w:sz w:val="16"/>
                <w:szCs w:val="16"/>
              </w:rPr>
              <w:t>03-2018</w:t>
            </w:r>
          </w:p>
        </w:tc>
        <w:tc>
          <w:tcPr>
            <w:tcW w:w="800" w:type="dxa"/>
            <w:tcBorders>
              <w:bottom w:val="single" w:sz="6" w:space="0" w:color="auto"/>
            </w:tcBorders>
            <w:shd w:val="solid" w:color="FFFFFF" w:fill="auto"/>
          </w:tcPr>
          <w:p w14:paraId="49249F5B" w14:textId="77777777" w:rsidR="00D40151" w:rsidRPr="00873B6C" w:rsidRDefault="00D40151" w:rsidP="009D14FB">
            <w:pPr>
              <w:pStyle w:val="TAC"/>
              <w:rPr>
                <w:sz w:val="16"/>
                <w:szCs w:val="16"/>
              </w:rPr>
            </w:pPr>
            <w:r w:rsidRPr="00873B6C">
              <w:rPr>
                <w:sz w:val="16"/>
                <w:szCs w:val="16"/>
              </w:rPr>
              <w:t>SP#79</w:t>
            </w:r>
          </w:p>
        </w:tc>
        <w:tc>
          <w:tcPr>
            <w:tcW w:w="1094" w:type="dxa"/>
            <w:tcBorders>
              <w:bottom w:val="single" w:sz="6" w:space="0" w:color="auto"/>
            </w:tcBorders>
            <w:shd w:val="solid" w:color="FFFFFF" w:fill="auto"/>
          </w:tcPr>
          <w:p w14:paraId="1D023F4D" w14:textId="77777777" w:rsidR="00D40151" w:rsidRPr="00873B6C" w:rsidRDefault="00D40151" w:rsidP="009D14FB">
            <w:pPr>
              <w:pStyle w:val="TAC"/>
              <w:rPr>
                <w:sz w:val="16"/>
                <w:szCs w:val="16"/>
              </w:rPr>
            </w:pPr>
            <w:r w:rsidRPr="00873B6C">
              <w:rPr>
                <w:sz w:val="16"/>
                <w:szCs w:val="16"/>
              </w:rPr>
              <w:t>SP-180100</w:t>
            </w:r>
          </w:p>
        </w:tc>
        <w:tc>
          <w:tcPr>
            <w:tcW w:w="567" w:type="dxa"/>
            <w:tcBorders>
              <w:bottom w:val="single" w:sz="6" w:space="0" w:color="auto"/>
            </w:tcBorders>
            <w:shd w:val="solid" w:color="FFFFFF" w:fill="auto"/>
          </w:tcPr>
          <w:p w14:paraId="7A432D42" w14:textId="77777777" w:rsidR="00D40151" w:rsidRPr="00873B6C" w:rsidRDefault="00D40151" w:rsidP="009D14FB">
            <w:pPr>
              <w:pStyle w:val="TAL"/>
              <w:rPr>
                <w:sz w:val="16"/>
                <w:szCs w:val="16"/>
              </w:rPr>
            </w:pPr>
            <w:r w:rsidRPr="00873B6C">
              <w:rPr>
                <w:sz w:val="16"/>
                <w:szCs w:val="16"/>
              </w:rPr>
              <w:t>0192</w:t>
            </w:r>
          </w:p>
        </w:tc>
        <w:tc>
          <w:tcPr>
            <w:tcW w:w="425" w:type="dxa"/>
            <w:tcBorders>
              <w:bottom w:val="single" w:sz="6" w:space="0" w:color="auto"/>
            </w:tcBorders>
            <w:shd w:val="solid" w:color="FFFFFF" w:fill="auto"/>
          </w:tcPr>
          <w:p w14:paraId="7E2C3755" w14:textId="77777777" w:rsidR="00D40151" w:rsidRPr="00873B6C" w:rsidRDefault="00D40151" w:rsidP="009D14FB">
            <w:pPr>
              <w:pStyle w:val="TAL"/>
              <w:rPr>
                <w:sz w:val="16"/>
                <w:szCs w:val="16"/>
              </w:rPr>
            </w:pPr>
            <w:r w:rsidRPr="00873B6C">
              <w:rPr>
                <w:sz w:val="16"/>
                <w:szCs w:val="16"/>
              </w:rPr>
              <w:t>1</w:t>
            </w:r>
          </w:p>
        </w:tc>
        <w:tc>
          <w:tcPr>
            <w:tcW w:w="425" w:type="dxa"/>
            <w:tcBorders>
              <w:bottom w:val="single" w:sz="6" w:space="0" w:color="auto"/>
            </w:tcBorders>
            <w:shd w:val="solid" w:color="FFFFFF" w:fill="auto"/>
          </w:tcPr>
          <w:p w14:paraId="0153A98D"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6" w:space="0" w:color="auto"/>
            </w:tcBorders>
            <w:shd w:val="solid" w:color="FFFFFF" w:fill="auto"/>
          </w:tcPr>
          <w:p w14:paraId="019C2878" w14:textId="77777777" w:rsidR="00D40151" w:rsidRPr="00873B6C" w:rsidRDefault="00D40151" w:rsidP="009D14FB">
            <w:pPr>
              <w:pStyle w:val="TAL"/>
              <w:rPr>
                <w:sz w:val="16"/>
                <w:szCs w:val="16"/>
              </w:rPr>
            </w:pPr>
            <w:r w:rsidRPr="00873B6C">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873B6C" w:rsidRDefault="00D40151" w:rsidP="009D14FB">
            <w:pPr>
              <w:pStyle w:val="TAC"/>
              <w:rPr>
                <w:sz w:val="16"/>
                <w:szCs w:val="16"/>
              </w:rPr>
            </w:pPr>
            <w:r w:rsidRPr="00873B6C">
              <w:rPr>
                <w:sz w:val="16"/>
                <w:szCs w:val="16"/>
              </w:rPr>
              <w:t>15.1.0</w:t>
            </w:r>
          </w:p>
        </w:tc>
      </w:tr>
      <w:tr w:rsidR="00D40151" w:rsidRPr="00873B6C" w14:paraId="2633AE31" w14:textId="77777777" w:rsidTr="009D14FB">
        <w:tc>
          <w:tcPr>
            <w:tcW w:w="800" w:type="dxa"/>
            <w:tcBorders>
              <w:bottom w:val="single" w:sz="8" w:space="0" w:color="auto"/>
            </w:tcBorders>
            <w:shd w:val="solid" w:color="FFFFFF" w:fill="auto"/>
          </w:tcPr>
          <w:p w14:paraId="69004AA4" w14:textId="77777777" w:rsidR="00D40151" w:rsidRPr="00873B6C" w:rsidRDefault="00D40151" w:rsidP="009D14FB">
            <w:pPr>
              <w:pStyle w:val="TAC"/>
              <w:rPr>
                <w:sz w:val="16"/>
                <w:szCs w:val="16"/>
              </w:rPr>
            </w:pPr>
            <w:r w:rsidRPr="00873B6C">
              <w:rPr>
                <w:sz w:val="16"/>
                <w:szCs w:val="16"/>
              </w:rPr>
              <w:t>03-2018</w:t>
            </w:r>
          </w:p>
        </w:tc>
        <w:tc>
          <w:tcPr>
            <w:tcW w:w="800" w:type="dxa"/>
            <w:tcBorders>
              <w:bottom w:val="single" w:sz="8" w:space="0" w:color="auto"/>
            </w:tcBorders>
            <w:shd w:val="solid" w:color="FFFFFF" w:fill="auto"/>
          </w:tcPr>
          <w:p w14:paraId="4B3C65D2" w14:textId="77777777" w:rsidR="00D40151" w:rsidRPr="00873B6C" w:rsidRDefault="00D40151" w:rsidP="009D14FB">
            <w:pPr>
              <w:pStyle w:val="TAC"/>
              <w:rPr>
                <w:sz w:val="16"/>
                <w:szCs w:val="16"/>
              </w:rPr>
            </w:pPr>
            <w:r w:rsidRPr="00873B6C">
              <w:rPr>
                <w:sz w:val="16"/>
                <w:szCs w:val="16"/>
              </w:rPr>
              <w:t>SP#79</w:t>
            </w:r>
          </w:p>
        </w:tc>
        <w:tc>
          <w:tcPr>
            <w:tcW w:w="1094" w:type="dxa"/>
            <w:tcBorders>
              <w:bottom w:val="single" w:sz="8" w:space="0" w:color="auto"/>
            </w:tcBorders>
            <w:shd w:val="solid" w:color="FFFFFF" w:fill="auto"/>
          </w:tcPr>
          <w:p w14:paraId="671B06DF" w14:textId="77777777" w:rsidR="00D40151" w:rsidRPr="00873B6C" w:rsidRDefault="00D40151" w:rsidP="009D14FB">
            <w:pPr>
              <w:pStyle w:val="TAC"/>
              <w:rPr>
                <w:sz w:val="16"/>
                <w:szCs w:val="16"/>
              </w:rPr>
            </w:pPr>
            <w:r w:rsidRPr="00873B6C">
              <w:rPr>
                <w:sz w:val="16"/>
                <w:szCs w:val="16"/>
              </w:rPr>
              <w:t>SP-180100</w:t>
            </w:r>
          </w:p>
        </w:tc>
        <w:tc>
          <w:tcPr>
            <w:tcW w:w="567" w:type="dxa"/>
            <w:tcBorders>
              <w:bottom w:val="single" w:sz="8" w:space="0" w:color="auto"/>
            </w:tcBorders>
            <w:shd w:val="solid" w:color="FFFFFF" w:fill="auto"/>
          </w:tcPr>
          <w:p w14:paraId="12E39432" w14:textId="77777777" w:rsidR="00D40151" w:rsidRPr="00873B6C" w:rsidRDefault="00D40151" w:rsidP="009D14FB">
            <w:pPr>
              <w:pStyle w:val="TAL"/>
              <w:rPr>
                <w:sz w:val="16"/>
                <w:szCs w:val="16"/>
              </w:rPr>
            </w:pPr>
            <w:r w:rsidRPr="00873B6C">
              <w:rPr>
                <w:sz w:val="16"/>
                <w:szCs w:val="16"/>
              </w:rPr>
              <w:t>0194</w:t>
            </w:r>
          </w:p>
        </w:tc>
        <w:tc>
          <w:tcPr>
            <w:tcW w:w="425" w:type="dxa"/>
            <w:tcBorders>
              <w:bottom w:val="single" w:sz="8" w:space="0" w:color="auto"/>
            </w:tcBorders>
            <w:shd w:val="solid" w:color="FFFFFF" w:fill="auto"/>
          </w:tcPr>
          <w:p w14:paraId="3FB90D51" w14:textId="77777777" w:rsidR="00D40151" w:rsidRPr="00873B6C" w:rsidRDefault="00D40151" w:rsidP="009D14FB">
            <w:pPr>
              <w:pStyle w:val="TAL"/>
              <w:rPr>
                <w:sz w:val="16"/>
                <w:szCs w:val="16"/>
              </w:rPr>
            </w:pPr>
            <w:r w:rsidRPr="00873B6C">
              <w:rPr>
                <w:sz w:val="16"/>
                <w:szCs w:val="16"/>
              </w:rPr>
              <w:t>1</w:t>
            </w:r>
          </w:p>
        </w:tc>
        <w:tc>
          <w:tcPr>
            <w:tcW w:w="425" w:type="dxa"/>
            <w:tcBorders>
              <w:bottom w:val="single" w:sz="8" w:space="0" w:color="auto"/>
            </w:tcBorders>
            <w:shd w:val="solid" w:color="FFFFFF" w:fill="auto"/>
          </w:tcPr>
          <w:p w14:paraId="3940BD62"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8" w:space="0" w:color="auto"/>
            </w:tcBorders>
            <w:shd w:val="solid" w:color="FFFFFF" w:fill="auto"/>
          </w:tcPr>
          <w:p w14:paraId="03AE3418" w14:textId="77777777" w:rsidR="00D40151" w:rsidRPr="00873B6C" w:rsidRDefault="00D40151" w:rsidP="009D14FB">
            <w:pPr>
              <w:pStyle w:val="TAL"/>
              <w:rPr>
                <w:sz w:val="16"/>
                <w:szCs w:val="16"/>
              </w:rPr>
            </w:pPr>
            <w:r w:rsidRPr="00873B6C">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873B6C" w:rsidRDefault="00D40151" w:rsidP="009D14FB">
            <w:pPr>
              <w:pStyle w:val="TAC"/>
              <w:rPr>
                <w:sz w:val="16"/>
                <w:szCs w:val="16"/>
              </w:rPr>
            </w:pPr>
            <w:r w:rsidRPr="00873B6C">
              <w:rPr>
                <w:sz w:val="16"/>
                <w:szCs w:val="16"/>
              </w:rPr>
              <w:t>15.1.0</w:t>
            </w:r>
          </w:p>
        </w:tc>
      </w:tr>
      <w:tr w:rsidR="00D40151" w:rsidRPr="00873B6C" w14:paraId="25DBEDAA" w14:textId="77777777" w:rsidTr="009D14FB">
        <w:tc>
          <w:tcPr>
            <w:tcW w:w="800" w:type="dxa"/>
            <w:tcBorders>
              <w:top w:val="single" w:sz="8" w:space="0" w:color="auto"/>
            </w:tcBorders>
            <w:shd w:val="solid" w:color="FFFFFF" w:fill="auto"/>
          </w:tcPr>
          <w:p w14:paraId="27AE6445" w14:textId="77777777" w:rsidR="00D40151" w:rsidRPr="00873B6C" w:rsidRDefault="00D40151" w:rsidP="009D14FB">
            <w:pPr>
              <w:pStyle w:val="TAC"/>
              <w:rPr>
                <w:sz w:val="16"/>
                <w:szCs w:val="16"/>
              </w:rPr>
            </w:pPr>
            <w:r w:rsidRPr="00873B6C">
              <w:rPr>
                <w:sz w:val="16"/>
                <w:szCs w:val="16"/>
              </w:rPr>
              <w:t>06-2018</w:t>
            </w:r>
          </w:p>
        </w:tc>
        <w:tc>
          <w:tcPr>
            <w:tcW w:w="800" w:type="dxa"/>
            <w:tcBorders>
              <w:top w:val="single" w:sz="8" w:space="0" w:color="auto"/>
            </w:tcBorders>
            <w:shd w:val="solid" w:color="FFFFFF" w:fill="auto"/>
          </w:tcPr>
          <w:p w14:paraId="68497611" w14:textId="77777777" w:rsidR="00D40151" w:rsidRPr="00873B6C" w:rsidRDefault="00D40151" w:rsidP="009D14FB">
            <w:pPr>
              <w:pStyle w:val="TAC"/>
              <w:rPr>
                <w:sz w:val="16"/>
                <w:szCs w:val="16"/>
              </w:rPr>
            </w:pPr>
            <w:r w:rsidRPr="00873B6C">
              <w:rPr>
                <w:sz w:val="16"/>
                <w:szCs w:val="16"/>
              </w:rPr>
              <w:t>SP#80</w:t>
            </w:r>
          </w:p>
        </w:tc>
        <w:tc>
          <w:tcPr>
            <w:tcW w:w="1094" w:type="dxa"/>
            <w:tcBorders>
              <w:top w:val="single" w:sz="8" w:space="0" w:color="auto"/>
            </w:tcBorders>
            <w:shd w:val="solid" w:color="FFFFFF" w:fill="auto"/>
          </w:tcPr>
          <w:p w14:paraId="6543638F" w14:textId="77777777" w:rsidR="00D40151" w:rsidRPr="00873B6C" w:rsidRDefault="00D40151" w:rsidP="009D14FB">
            <w:pPr>
              <w:pStyle w:val="TAC"/>
              <w:rPr>
                <w:sz w:val="16"/>
                <w:szCs w:val="16"/>
              </w:rPr>
            </w:pPr>
            <w:r w:rsidRPr="00873B6C">
              <w:rPr>
                <w:sz w:val="16"/>
                <w:szCs w:val="16"/>
              </w:rPr>
              <w:t>SP-180482</w:t>
            </w:r>
          </w:p>
        </w:tc>
        <w:tc>
          <w:tcPr>
            <w:tcW w:w="567" w:type="dxa"/>
            <w:tcBorders>
              <w:top w:val="single" w:sz="8" w:space="0" w:color="auto"/>
            </w:tcBorders>
            <w:shd w:val="solid" w:color="FFFFFF" w:fill="auto"/>
          </w:tcPr>
          <w:p w14:paraId="654F48AD" w14:textId="77777777" w:rsidR="00D40151" w:rsidRPr="00873B6C" w:rsidRDefault="00D40151" w:rsidP="009D14FB">
            <w:pPr>
              <w:pStyle w:val="TAL"/>
              <w:rPr>
                <w:sz w:val="16"/>
                <w:szCs w:val="16"/>
              </w:rPr>
            </w:pPr>
            <w:r w:rsidRPr="00873B6C">
              <w:rPr>
                <w:sz w:val="16"/>
                <w:szCs w:val="16"/>
              </w:rPr>
              <w:t>0067</w:t>
            </w:r>
          </w:p>
        </w:tc>
        <w:tc>
          <w:tcPr>
            <w:tcW w:w="425" w:type="dxa"/>
            <w:tcBorders>
              <w:top w:val="single" w:sz="8" w:space="0" w:color="auto"/>
            </w:tcBorders>
            <w:shd w:val="solid" w:color="FFFFFF" w:fill="auto"/>
          </w:tcPr>
          <w:p w14:paraId="2DA40BFC" w14:textId="77777777" w:rsidR="00D40151" w:rsidRPr="00873B6C" w:rsidRDefault="00D40151" w:rsidP="009D14FB">
            <w:pPr>
              <w:pStyle w:val="TAL"/>
              <w:rPr>
                <w:sz w:val="16"/>
                <w:szCs w:val="16"/>
              </w:rPr>
            </w:pPr>
            <w:r w:rsidRPr="00873B6C">
              <w:rPr>
                <w:sz w:val="16"/>
                <w:szCs w:val="16"/>
              </w:rPr>
              <w:t>6</w:t>
            </w:r>
          </w:p>
        </w:tc>
        <w:tc>
          <w:tcPr>
            <w:tcW w:w="425" w:type="dxa"/>
            <w:tcBorders>
              <w:top w:val="single" w:sz="8" w:space="0" w:color="auto"/>
            </w:tcBorders>
            <w:shd w:val="solid" w:color="FFFFFF" w:fill="auto"/>
          </w:tcPr>
          <w:p w14:paraId="096C950C" w14:textId="77777777" w:rsidR="00D40151" w:rsidRPr="00873B6C" w:rsidRDefault="00D40151" w:rsidP="009D14FB">
            <w:pPr>
              <w:pStyle w:val="TAL"/>
              <w:rPr>
                <w:sz w:val="16"/>
                <w:szCs w:val="16"/>
              </w:rPr>
            </w:pPr>
            <w:r w:rsidRPr="00873B6C">
              <w:rPr>
                <w:sz w:val="16"/>
                <w:szCs w:val="16"/>
              </w:rPr>
              <w:t>F</w:t>
            </w:r>
          </w:p>
        </w:tc>
        <w:tc>
          <w:tcPr>
            <w:tcW w:w="4820" w:type="dxa"/>
            <w:tcBorders>
              <w:top w:val="single" w:sz="8" w:space="0" w:color="auto"/>
            </w:tcBorders>
            <w:shd w:val="solid" w:color="FFFFFF" w:fill="auto"/>
          </w:tcPr>
          <w:p w14:paraId="259EA050" w14:textId="77777777" w:rsidR="00D40151" w:rsidRPr="00873B6C" w:rsidRDefault="00D40151" w:rsidP="009D14FB">
            <w:pPr>
              <w:pStyle w:val="TAL"/>
              <w:rPr>
                <w:sz w:val="16"/>
                <w:szCs w:val="16"/>
              </w:rPr>
            </w:pPr>
            <w:r w:rsidRPr="00873B6C">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873B6C" w:rsidRDefault="00D40151" w:rsidP="009D14FB">
            <w:pPr>
              <w:pStyle w:val="TAC"/>
              <w:rPr>
                <w:sz w:val="16"/>
                <w:szCs w:val="16"/>
              </w:rPr>
            </w:pPr>
            <w:r w:rsidRPr="00873B6C">
              <w:rPr>
                <w:sz w:val="16"/>
                <w:szCs w:val="16"/>
              </w:rPr>
              <w:t>15.2.0</w:t>
            </w:r>
          </w:p>
        </w:tc>
      </w:tr>
      <w:tr w:rsidR="00D40151" w:rsidRPr="00873B6C" w14:paraId="40084D97" w14:textId="77777777" w:rsidTr="009D14FB">
        <w:tc>
          <w:tcPr>
            <w:tcW w:w="800" w:type="dxa"/>
            <w:shd w:val="solid" w:color="FFFFFF" w:fill="auto"/>
          </w:tcPr>
          <w:p w14:paraId="01395E5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0E5D3D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BFC2EC7"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749B6790" w14:textId="77777777" w:rsidR="00D40151" w:rsidRPr="00873B6C" w:rsidRDefault="00D40151" w:rsidP="009D14FB">
            <w:pPr>
              <w:pStyle w:val="TAL"/>
              <w:rPr>
                <w:sz w:val="16"/>
                <w:szCs w:val="16"/>
              </w:rPr>
            </w:pPr>
            <w:r w:rsidRPr="00873B6C">
              <w:rPr>
                <w:sz w:val="16"/>
                <w:szCs w:val="16"/>
              </w:rPr>
              <w:t>0117</w:t>
            </w:r>
          </w:p>
        </w:tc>
        <w:tc>
          <w:tcPr>
            <w:tcW w:w="425" w:type="dxa"/>
            <w:shd w:val="solid" w:color="FFFFFF" w:fill="auto"/>
          </w:tcPr>
          <w:p w14:paraId="08E0EA9D"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379540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3E03804" w14:textId="77777777" w:rsidR="00D40151" w:rsidRPr="00873B6C" w:rsidRDefault="00D40151" w:rsidP="009D14FB">
            <w:pPr>
              <w:pStyle w:val="TAL"/>
              <w:rPr>
                <w:sz w:val="16"/>
                <w:szCs w:val="16"/>
              </w:rPr>
            </w:pPr>
            <w:r w:rsidRPr="00873B6C">
              <w:rPr>
                <w:sz w:val="16"/>
                <w:szCs w:val="16"/>
              </w:rPr>
              <w:t>Use of Priority parameters for scheduling</w:t>
            </w:r>
          </w:p>
        </w:tc>
        <w:tc>
          <w:tcPr>
            <w:tcW w:w="708" w:type="dxa"/>
            <w:shd w:val="solid" w:color="FFFFFF" w:fill="auto"/>
          </w:tcPr>
          <w:p w14:paraId="7BD1F09A" w14:textId="77777777" w:rsidR="00D40151" w:rsidRPr="00873B6C" w:rsidRDefault="00D40151" w:rsidP="009D14FB">
            <w:pPr>
              <w:pStyle w:val="TAC"/>
              <w:rPr>
                <w:sz w:val="16"/>
                <w:szCs w:val="16"/>
              </w:rPr>
            </w:pPr>
            <w:r w:rsidRPr="00873B6C">
              <w:rPr>
                <w:sz w:val="16"/>
                <w:szCs w:val="16"/>
              </w:rPr>
              <w:t>15.2.0</w:t>
            </w:r>
          </w:p>
        </w:tc>
      </w:tr>
      <w:tr w:rsidR="00D40151" w:rsidRPr="00873B6C" w14:paraId="194BB4EF" w14:textId="77777777" w:rsidTr="009D14FB">
        <w:tc>
          <w:tcPr>
            <w:tcW w:w="800" w:type="dxa"/>
            <w:shd w:val="solid" w:color="FFFFFF" w:fill="auto"/>
          </w:tcPr>
          <w:p w14:paraId="1995674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3A71AC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CBC23C9"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28B58C6B" w14:textId="77777777" w:rsidR="00D40151" w:rsidRPr="00873B6C" w:rsidRDefault="00D40151" w:rsidP="009D14FB">
            <w:pPr>
              <w:pStyle w:val="TAL"/>
              <w:rPr>
                <w:sz w:val="16"/>
                <w:szCs w:val="16"/>
              </w:rPr>
            </w:pPr>
            <w:r w:rsidRPr="00873B6C">
              <w:rPr>
                <w:sz w:val="16"/>
                <w:szCs w:val="16"/>
              </w:rPr>
              <w:t>0169</w:t>
            </w:r>
          </w:p>
        </w:tc>
        <w:tc>
          <w:tcPr>
            <w:tcW w:w="425" w:type="dxa"/>
            <w:shd w:val="solid" w:color="FFFFFF" w:fill="auto"/>
          </w:tcPr>
          <w:p w14:paraId="57D8B9C4"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05B665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715AFD" w14:textId="77777777" w:rsidR="00D40151" w:rsidRPr="00873B6C" w:rsidRDefault="00D40151" w:rsidP="009D14FB">
            <w:pPr>
              <w:pStyle w:val="TAL"/>
              <w:rPr>
                <w:sz w:val="16"/>
                <w:szCs w:val="16"/>
              </w:rPr>
            </w:pPr>
            <w:r w:rsidRPr="00873B6C">
              <w:rPr>
                <w:sz w:val="16"/>
                <w:szCs w:val="16"/>
              </w:rPr>
              <w:t>Temporary restriction of Reflective QoS</w:t>
            </w:r>
          </w:p>
        </w:tc>
        <w:tc>
          <w:tcPr>
            <w:tcW w:w="708" w:type="dxa"/>
            <w:shd w:val="solid" w:color="FFFFFF" w:fill="auto"/>
          </w:tcPr>
          <w:p w14:paraId="40BC77C6" w14:textId="77777777" w:rsidR="00D40151" w:rsidRPr="00873B6C" w:rsidRDefault="00D40151" w:rsidP="009D14FB">
            <w:pPr>
              <w:pStyle w:val="TAC"/>
              <w:rPr>
                <w:sz w:val="16"/>
                <w:szCs w:val="16"/>
              </w:rPr>
            </w:pPr>
            <w:r w:rsidRPr="00873B6C">
              <w:rPr>
                <w:sz w:val="16"/>
                <w:szCs w:val="16"/>
              </w:rPr>
              <w:t>15.2.0</w:t>
            </w:r>
          </w:p>
        </w:tc>
      </w:tr>
      <w:tr w:rsidR="00D40151" w:rsidRPr="00873B6C" w14:paraId="1A1F39C1" w14:textId="77777777" w:rsidTr="009D14FB">
        <w:tc>
          <w:tcPr>
            <w:tcW w:w="800" w:type="dxa"/>
            <w:shd w:val="solid" w:color="FFFFFF" w:fill="auto"/>
          </w:tcPr>
          <w:p w14:paraId="0868EBA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C25FDD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887676A"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1D97063B" w14:textId="77777777" w:rsidR="00D40151" w:rsidRPr="00873B6C" w:rsidRDefault="00D40151" w:rsidP="009D14FB">
            <w:pPr>
              <w:pStyle w:val="TAL"/>
              <w:rPr>
                <w:sz w:val="16"/>
                <w:szCs w:val="16"/>
              </w:rPr>
            </w:pPr>
            <w:r w:rsidRPr="00873B6C">
              <w:rPr>
                <w:sz w:val="16"/>
                <w:szCs w:val="16"/>
              </w:rPr>
              <w:t>0196</w:t>
            </w:r>
          </w:p>
        </w:tc>
        <w:tc>
          <w:tcPr>
            <w:tcW w:w="425" w:type="dxa"/>
            <w:shd w:val="solid" w:color="FFFFFF" w:fill="auto"/>
          </w:tcPr>
          <w:p w14:paraId="45D6CC2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63531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770EB7" w14:textId="77777777" w:rsidR="00D40151" w:rsidRPr="00873B6C" w:rsidRDefault="00D40151" w:rsidP="009D14FB">
            <w:pPr>
              <w:pStyle w:val="TAL"/>
              <w:rPr>
                <w:sz w:val="16"/>
                <w:szCs w:val="16"/>
              </w:rPr>
            </w:pPr>
            <w:r w:rsidRPr="00873B6C">
              <w:rPr>
                <w:sz w:val="16"/>
                <w:szCs w:val="16"/>
              </w:rPr>
              <w:t>5_16_6_Mission Critical Services - Reference Update</w:t>
            </w:r>
          </w:p>
        </w:tc>
        <w:tc>
          <w:tcPr>
            <w:tcW w:w="708" w:type="dxa"/>
            <w:shd w:val="solid" w:color="FFFFFF" w:fill="auto"/>
          </w:tcPr>
          <w:p w14:paraId="177C6444" w14:textId="77777777" w:rsidR="00D40151" w:rsidRPr="00873B6C" w:rsidRDefault="00D40151" w:rsidP="009D14FB">
            <w:pPr>
              <w:pStyle w:val="TAC"/>
              <w:rPr>
                <w:sz w:val="16"/>
                <w:szCs w:val="16"/>
              </w:rPr>
            </w:pPr>
            <w:r w:rsidRPr="00873B6C">
              <w:rPr>
                <w:sz w:val="16"/>
                <w:szCs w:val="16"/>
              </w:rPr>
              <w:t>15.2.0</w:t>
            </w:r>
          </w:p>
        </w:tc>
      </w:tr>
      <w:tr w:rsidR="00D40151" w:rsidRPr="00873B6C" w14:paraId="37862953" w14:textId="77777777" w:rsidTr="009D14FB">
        <w:tc>
          <w:tcPr>
            <w:tcW w:w="800" w:type="dxa"/>
            <w:shd w:val="solid" w:color="FFFFFF" w:fill="auto"/>
          </w:tcPr>
          <w:p w14:paraId="3AF76BA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0EA4EB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7D9D8C1"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7B5D5900" w14:textId="77777777" w:rsidR="00D40151" w:rsidRPr="00873B6C" w:rsidRDefault="00D40151" w:rsidP="009D14FB">
            <w:pPr>
              <w:pStyle w:val="TAL"/>
              <w:rPr>
                <w:sz w:val="16"/>
                <w:szCs w:val="16"/>
              </w:rPr>
            </w:pPr>
            <w:r w:rsidRPr="00873B6C">
              <w:rPr>
                <w:sz w:val="16"/>
                <w:szCs w:val="16"/>
              </w:rPr>
              <w:t>0197</w:t>
            </w:r>
          </w:p>
        </w:tc>
        <w:tc>
          <w:tcPr>
            <w:tcW w:w="425" w:type="dxa"/>
            <w:shd w:val="solid" w:color="FFFFFF" w:fill="auto"/>
          </w:tcPr>
          <w:p w14:paraId="472C3CA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71EA8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220A70" w14:textId="77777777" w:rsidR="00D40151" w:rsidRPr="00873B6C" w:rsidRDefault="00D40151" w:rsidP="009D14FB">
            <w:pPr>
              <w:pStyle w:val="TAL"/>
              <w:rPr>
                <w:sz w:val="16"/>
                <w:szCs w:val="16"/>
              </w:rPr>
            </w:pPr>
            <w:r w:rsidRPr="00873B6C">
              <w:rPr>
                <w:sz w:val="16"/>
                <w:szCs w:val="16"/>
              </w:rPr>
              <w:t>5_16_6_Mission Critical Services - Editorial Changes</w:t>
            </w:r>
          </w:p>
        </w:tc>
        <w:tc>
          <w:tcPr>
            <w:tcW w:w="708" w:type="dxa"/>
            <w:shd w:val="solid" w:color="FFFFFF" w:fill="auto"/>
          </w:tcPr>
          <w:p w14:paraId="3AF72D00" w14:textId="77777777" w:rsidR="00D40151" w:rsidRPr="00873B6C" w:rsidRDefault="00D40151" w:rsidP="009D14FB">
            <w:pPr>
              <w:pStyle w:val="TAC"/>
              <w:rPr>
                <w:sz w:val="16"/>
                <w:szCs w:val="16"/>
              </w:rPr>
            </w:pPr>
            <w:r w:rsidRPr="00873B6C">
              <w:rPr>
                <w:sz w:val="16"/>
                <w:szCs w:val="16"/>
              </w:rPr>
              <w:t>15.2.0</w:t>
            </w:r>
          </w:p>
        </w:tc>
      </w:tr>
      <w:tr w:rsidR="00D40151" w:rsidRPr="00873B6C" w14:paraId="26ADA243" w14:textId="77777777" w:rsidTr="009D14FB">
        <w:tc>
          <w:tcPr>
            <w:tcW w:w="800" w:type="dxa"/>
            <w:shd w:val="solid" w:color="FFFFFF" w:fill="auto"/>
          </w:tcPr>
          <w:p w14:paraId="30EC243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E35AA9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BDD680D"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17ED7971" w14:textId="77777777" w:rsidR="00D40151" w:rsidRPr="00873B6C" w:rsidRDefault="00D40151" w:rsidP="009D14FB">
            <w:pPr>
              <w:pStyle w:val="TAL"/>
              <w:rPr>
                <w:sz w:val="16"/>
                <w:szCs w:val="16"/>
              </w:rPr>
            </w:pPr>
            <w:r w:rsidRPr="00873B6C">
              <w:rPr>
                <w:sz w:val="16"/>
                <w:szCs w:val="16"/>
              </w:rPr>
              <w:t>0198</w:t>
            </w:r>
          </w:p>
        </w:tc>
        <w:tc>
          <w:tcPr>
            <w:tcW w:w="425" w:type="dxa"/>
            <w:shd w:val="solid" w:color="FFFFFF" w:fill="auto"/>
          </w:tcPr>
          <w:p w14:paraId="0C5898C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EAC584"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72A83902" w14:textId="77777777" w:rsidR="00D40151" w:rsidRPr="00873B6C" w:rsidRDefault="00D40151" w:rsidP="009D14FB">
            <w:pPr>
              <w:pStyle w:val="TAL"/>
              <w:rPr>
                <w:sz w:val="16"/>
                <w:szCs w:val="16"/>
              </w:rPr>
            </w:pPr>
            <w:r w:rsidRPr="00873B6C">
              <w:rPr>
                <w:sz w:val="16"/>
                <w:szCs w:val="16"/>
              </w:rPr>
              <w:t>Fixing Incorrect References to the Service Request Procedures</w:t>
            </w:r>
          </w:p>
        </w:tc>
        <w:tc>
          <w:tcPr>
            <w:tcW w:w="708" w:type="dxa"/>
            <w:shd w:val="solid" w:color="FFFFFF" w:fill="auto"/>
          </w:tcPr>
          <w:p w14:paraId="3A9FFCAF" w14:textId="77777777" w:rsidR="00D40151" w:rsidRPr="00873B6C" w:rsidRDefault="00D40151" w:rsidP="009D14FB">
            <w:pPr>
              <w:pStyle w:val="TAC"/>
              <w:rPr>
                <w:sz w:val="16"/>
                <w:szCs w:val="16"/>
              </w:rPr>
            </w:pPr>
            <w:r w:rsidRPr="00873B6C">
              <w:rPr>
                <w:sz w:val="16"/>
                <w:szCs w:val="16"/>
              </w:rPr>
              <w:t>15.2.0</w:t>
            </w:r>
          </w:p>
        </w:tc>
      </w:tr>
      <w:tr w:rsidR="00D40151" w:rsidRPr="00873B6C" w14:paraId="784F35CD" w14:textId="77777777" w:rsidTr="009D14FB">
        <w:tc>
          <w:tcPr>
            <w:tcW w:w="800" w:type="dxa"/>
            <w:shd w:val="solid" w:color="FFFFFF" w:fill="auto"/>
          </w:tcPr>
          <w:p w14:paraId="6E36B24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361B0F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5CE1074"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1D59F222" w14:textId="77777777" w:rsidR="00D40151" w:rsidRPr="00873B6C" w:rsidRDefault="00D40151" w:rsidP="009D14FB">
            <w:pPr>
              <w:pStyle w:val="TAL"/>
              <w:rPr>
                <w:sz w:val="16"/>
                <w:szCs w:val="16"/>
              </w:rPr>
            </w:pPr>
            <w:r w:rsidRPr="00873B6C">
              <w:rPr>
                <w:sz w:val="16"/>
                <w:szCs w:val="16"/>
              </w:rPr>
              <w:t>0199</w:t>
            </w:r>
          </w:p>
        </w:tc>
        <w:tc>
          <w:tcPr>
            <w:tcW w:w="425" w:type="dxa"/>
            <w:shd w:val="solid" w:color="FFFFFF" w:fill="auto"/>
          </w:tcPr>
          <w:p w14:paraId="1EAABA7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6C08F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54798C" w14:textId="77777777" w:rsidR="00D40151" w:rsidRPr="00873B6C" w:rsidRDefault="00D40151" w:rsidP="009D14FB">
            <w:pPr>
              <w:pStyle w:val="TAL"/>
              <w:rPr>
                <w:sz w:val="16"/>
                <w:szCs w:val="16"/>
              </w:rPr>
            </w:pPr>
            <w:r w:rsidRPr="00873B6C">
              <w:rPr>
                <w:sz w:val="16"/>
                <w:szCs w:val="16"/>
              </w:rPr>
              <w:t>SUPI based paging</w:t>
            </w:r>
          </w:p>
        </w:tc>
        <w:tc>
          <w:tcPr>
            <w:tcW w:w="708" w:type="dxa"/>
            <w:shd w:val="solid" w:color="FFFFFF" w:fill="auto"/>
          </w:tcPr>
          <w:p w14:paraId="67C7D54F" w14:textId="77777777" w:rsidR="00D40151" w:rsidRPr="00873B6C" w:rsidRDefault="00D40151" w:rsidP="009D14FB">
            <w:pPr>
              <w:pStyle w:val="TAC"/>
              <w:rPr>
                <w:sz w:val="16"/>
                <w:szCs w:val="16"/>
              </w:rPr>
            </w:pPr>
            <w:r w:rsidRPr="00873B6C">
              <w:rPr>
                <w:sz w:val="16"/>
                <w:szCs w:val="16"/>
              </w:rPr>
              <w:t>15.2.0</w:t>
            </w:r>
          </w:p>
        </w:tc>
      </w:tr>
      <w:tr w:rsidR="00D40151" w:rsidRPr="00873B6C" w14:paraId="7AA4EB4B" w14:textId="77777777" w:rsidTr="009D14FB">
        <w:tc>
          <w:tcPr>
            <w:tcW w:w="800" w:type="dxa"/>
            <w:shd w:val="solid" w:color="FFFFFF" w:fill="auto"/>
          </w:tcPr>
          <w:p w14:paraId="11CFEE3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0F2677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E77C52E"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73D428E2" w14:textId="77777777" w:rsidR="00D40151" w:rsidRPr="00873B6C" w:rsidRDefault="00D40151" w:rsidP="009D14FB">
            <w:pPr>
              <w:pStyle w:val="TAL"/>
              <w:rPr>
                <w:sz w:val="16"/>
                <w:szCs w:val="16"/>
              </w:rPr>
            </w:pPr>
            <w:r w:rsidRPr="00873B6C">
              <w:rPr>
                <w:sz w:val="16"/>
                <w:szCs w:val="16"/>
              </w:rPr>
              <w:t>0201</w:t>
            </w:r>
          </w:p>
        </w:tc>
        <w:tc>
          <w:tcPr>
            <w:tcW w:w="425" w:type="dxa"/>
            <w:shd w:val="solid" w:color="FFFFFF" w:fill="auto"/>
          </w:tcPr>
          <w:p w14:paraId="2D3168A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87AC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E40877" w14:textId="77777777" w:rsidR="00D40151" w:rsidRPr="00873B6C" w:rsidRDefault="00D40151" w:rsidP="009D14FB">
            <w:pPr>
              <w:pStyle w:val="TAL"/>
              <w:rPr>
                <w:sz w:val="16"/>
                <w:szCs w:val="16"/>
              </w:rPr>
            </w:pPr>
            <w:r w:rsidRPr="00873B6C">
              <w:rPr>
                <w:sz w:val="16"/>
                <w:szCs w:val="16"/>
              </w:rPr>
              <w:t>Mobile Terminated SMS over NAS: 5GS Access Selection</w:t>
            </w:r>
          </w:p>
        </w:tc>
        <w:tc>
          <w:tcPr>
            <w:tcW w:w="708" w:type="dxa"/>
            <w:shd w:val="solid" w:color="FFFFFF" w:fill="auto"/>
          </w:tcPr>
          <w:p w14:paraId="0D25B532" w14:textId="77777777" w:rsidR="00D40151" w:rsidRPr="00873B6C" w:rsidRDefault="00D40151" w:rsidP="009D14FB">
            <w:pPr>
              <w:pStyle w:val="TAC"/>
              <w:rPr>
                <w:sz w:val="16"/>
                <w:szCs w:val="16"/>
              </w:rPr>
            </w:pPr>
            <w:r w:rsidRPr="00873B6C">
              <w:rPr>
                <w:sz w:val="16"/>
                <w:szCs w:val="16"/>
              </w:rPr>
              <w:t>15.2.0</w:t>
            </w:r>
          </w:p>
        </w:tc>
      </w:tr>
      <w:tr w:rsidR="00D40151" w:rsidRPr="00873B6C" w14:paraId="37F29C3A" w14:textId="77777777" w:rsidTr="009D14FB">
        <w:tc>
          <w:tcPr>
            <w:tcW w:w="800" w:type="dxa"/>
            <w:shd w:val="solid" w:color="FFFFFF" w:fill="auto"/>
          </w:tcPr>
          <w:p w14:paraId="23E39BE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DE19A5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2EB64F0"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1B8BF094" w14:textId="77777777" w:rsidR="00D40151" w:rsidRPr="00873B6C" w:rsidRDefault="00D40151" w:rsidP="009D14FB">
            <w:pPr>
              <w:pStyle w:val="TAL"/>
              <w:rPr>
                <w:sz w:val="16"/>
                <w:szCs w:val="16"/>
              </w:rPr>
            </w:pPr>
            <w:r w:rsidRPr="00873B6C">
              <w:rPr>
                <w:sz w:val="16"/>
                <w:szCs w:val="16"/>
              </w:rPr>
              <w:t>0203</w:t>
            </w:r>
          </w:p>
        </w:tc>
        <w:tc>
          <w:tcPr>
            <w:tcW w:w="425" w:type="dxa"/>
            <w:shd w:val="solid" w:color="FFFFFF" w:fill="auto"/>
          </w:tcPr>
          <w:p w14:paraId="629929B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8E355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639719" w14:textId="77777777" w:rsidR="00D40151" w:rsidRPr="00873B6C" w:rsidRDefault="00D40151" w:rsidP="009D14FB">
            <w:pPr>
              <w:pStyle w:val="TAL"/>
              <w:rPr>
                <w:sz w:val="16"/>
                <w:szCs w:val="16"/>
              </w:rPr>
            </w:pPr>
            <w:r w:rsidRPr="00873B6C">
              <w:rPr>
                <w:sz w:val="16"/>
                <w:szCs w:val="16"/>
              </w:rPr>
              <w:t>Discovery and Topology Hiding</w:t>
            </w:r>
          </w:p>
        </w:tc>
        <w:tc>
          <w:tcPr>
            <w:tcW w:w="708" w:type="dxa"/>
            <w:shd w:val="solid" w:color="FFFFFF" w:fill="auto"/>
          </w:tcPr>
          <w:p w14:paraId="6BA8708C" w14:textId="77777777" w:rsidR="00D40151" w:rsidRPr="00873B6C" w:rsidRDefault="00D40151" w:rsidP="009D14FB">
            <w:pPr>
              <w:pStyle w:val="TAC"/>
              <w:rPr>
                <w:sz w:val="16"/>
                <w:szCs w:val="16"/>
              </w:rPr>
            </w:pPr>
            <w:r w:rsidRPr="00873B6C">
              <w:rPr>
                <w:sz w:val="16"/>
                <w:szCs w:val="16"/>
              </w:rPr>
              <w:t>15.2.0</w:t>
            </w:r>
          </w:p>
        </w:tc>
      </w:tr>
      <w:tr w:rsidR="00D40151" w:rsidRPr="00873B6C" w14:paraId="273A3229" w14:textId="77777777" w:rsidTr="009D14FB">
        <w:tc>
          <w:tcPr>
            <w:tcW w:w="800" w:type="dxa"/>
            <w:shd w:val="solid" w:color="FFFFFF" w:fill="auto"/>
          </w:tcPr>
          <w:p w14:paraId="7160302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224A5F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2FF74A8"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3D2B23E7" w14:textId="77777777" w:rsidR="00D40151" w:rsidRPr="00873B6C" w:rsidRDefault="00D40151" w:rsidP="009D14FB">
            <w:pPr>
              <w:pStyle w:val="TAL"/>
              <w:rPr>
                <w:sz w:val="16"/>
                <w:szCs w:val="16"/>
              </w:rPr>
            </w:pPr>
            <w:r w:rsidRPr="00873B6C">
              <w:rPr>
                <w:sz w:val="16"/>
                <w:szCs w:val="16"/>
              </w:rPr>
              <w:t>0206</w:t>
            </w:r>
          </w:p>
        </w:tc>
        <w:tc>
          <w:tcPr>
            <w:tcW w:w="425" w:type="dxa"/>
            <w:shd w:val="solid" w:color="FFFFFF" w:fill="auto"/>
          </w:tcPr>
          <w:p w14:paraId="3B0D2AB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32C61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972719" w14:textId="77777777" w:rsidR="00D40151" w:rsidRPr="00873B6C" w:rsidRDefault="00D40151" w:rsidP="009D14FB">
            <w:pPr>
              <w:pStyle w:val="TAL"/>
              <w:rPr>
                <w:sz w:val="16"/>
                <w:szCs w:val="16"/>
              </w:rPr>
            </w:pPr>
            <w:r w:rsidRPr="00873B6C">
              <w:rPr>
                <w:sz w:val="16"/>
                <w:szCs w:val="16"/>
              </w:rPr>
              <w:t>Changed length and mapping of 5GS Temporary Identifiers</w:t>
            </w:r>
          </w:p>
        </w:tc>
        <w:tc>
          <w:tcPr>
            <w:tcW w:w="708" w:type="dxa"/>
            <w:shd w:val="solid" w:color="FFFFFF" w:fill="auto"/>
          </w:tcPr>
          <w:p w14:paraId="39C3CA71" w14:textId="77777777" w:rsidR="00D40151" w:rsidRPr="00873B6C" w:rsidRDefault="00D40151" w:rsidP="009D14FB">
            <w:pPr>
              <w:pStyle w:val="TAC"/>
              <w:rPr>
                <w:sz w:val="16"/>
                <w:szCs w:val="16"/>
              </w:rPr>
            </w:pPr>
            <w:r w:rsidRPr="00873B6C">
              <w:rPr>
                <w:sz w:val="16"/>
                <w:szCs w:val="16"/>
              </w:rPr>
              <w:t>15.2.0</w:t>
            </w:r>
          </w:p>
        </w:tc>
      </w:tr>
      <w:tr w:rsidR="00D40151" w:rsidRPr="00873B6C" w14:paraId="323AA094" w14:textId="77777777" w:rsidTr="009D14FB">
        <w:tc>
          <w:tcPr>
            <w:tcW w:w="800" w:type="dxa"/>
            <w:shd w:val="solid" w:color="FFFFFF" w:fill="auto"/>
          </w:tcPr>
          <w:p w14:paraId="7EA311F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0F4AD4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5A895DF"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3F8A695F" w14:textId="77777777" w:rsidR="00D40151" w:rsidRPr="00873B6C" w:rsidRDefault="00D40151" w:rsidP="009D14FB">
            <w:pPr>
              <w:pStyle w:val="TAL"/>
              <w:rPr>
                <w:sz w:val="16"/>
                <w:szCs w:val="16"/>
              </w:rPr>
            </w:pPr>
            <w:r w:rsidRPr="00873B6C">
              <w:rPr>
                <w:sz w:val="16"/>
                <w:szCs w:val="16"/>
              </w:rPr>
              <w:t>0207</w:t>
            </w:r>
          </w:p>
        </w:tc>
        <w:tc>
          <w:tcPr>
            <w:tcW w:w="425" w:type="dxa"/>
            <w:shd w:val="solid" w:color="FFFFFF" w:fill="auto"/>
          </w:tcPr>
          <w:p w14:paraId="3BF947CA"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6543E7E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9244263" w14:textId="77777777" w:rsidR="00D40151" w:rsidRPr="00873B6C" w:rsidRDefault="00D40151" w:rsidP="009D14FB">
            <w:pPr>
              <w:pStyle w:val="TAL"/>
              <w:rPr>
                <w:sz w:val="16"/>
                <w:szCs w:val="16"/>
              </w:rPr>
            </w:pPr>
            <w:r w:rsidRPr="00873B6C">
              <w:rPr>
                <w:sz w:val="16"/>
                <w:szCs w:val="16"/>
              </w:rPr>
              <w:t>Slice configuration change</w:t>
            </w:r>
          </w:p>
        </w:tc>
        <w:tc>
          <w:tcPr>
            <w:tcW w:w="708" w:type="dxa"/>
            <w:shd w:val="solid" w:color="FFFFFF" w:fill="auto"/>
          </w:tcPr>
          <w:p w14:paraId="7F13B603" w14:textId="77777777" w:rsidR="00D40151" w:rsidRPr="00873B6C" w:rsidRDefault="00D40151" w:rsidP="009D14FB">
            <w:pPr>
              <w:pStyle w:val="TAC"/>
              <w:rPr>
                <w:sz w:val="16"/>
                <w:szCs w:val="16"/>
              </w:rPr>
            </w:pPr>
            <w:r w:rsidRPr="00873B6C">
              <w:rPr>
                <w:sz w:val="16"/>
                <w:szCs w:val="16"/>
              </w:rPr>
              <w:t>15.2.0</w:t>
            </w:r>
          </w:p>
        </w:tc>
      </w:tr>
      <w:tr w:rsidR="00D40151" w:rsidRPr="00873B6C" w14:paraId="0FF8A515" w14:textId="77777777" w:rsidTr="009D14FB">
        <w:tc>
          <w:tcPr>
            <w:tcW w:w="800" w:type="dxa"/>
            <w:shd w:val="solid" w:color="FFFFFF" w:fill="auto"/>
          </w:tcPr>
          <w:p w14:paraId="0E2F219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129415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6BBFD51"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54F20968" w14:textId="77777777" w:rsidR="00D40151" w:rsidRPr="00873B6C" w:rsidRDefault="00D40151" w:rsidP="009D14FB">
            <w:pPr>
              <w:pStyle w:val="TAL"/>
              <w:rPr>
                <w:sz w:val="16"/>
                <w:szCs w:val="16"/>
              </w:rPr>
            </w:pPr>
            <w:r w:rsidRPr="00873B6C">
              <w:rPr>
                <w:sz w:val="16"/>
                <w:szCs w:val="16"/>
              </w:rPr>
              <w:t>0209</w:t>
            </w:r>
          </w:p>
        </w:tc>
        <w:tc>
          <w:tcPr>
            <w:tcW w:w="425" w:type="dxa"/>
            <w:shd w:val="solid" w:color="FFFFFF" w:fill="auto"/>
          </w:tcPr>
          <w:p w14:paraId="645FB3B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67E8AF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A6CA06" w14:textId="77777777" w:rsidR="00D40151" w:rsidRPr="00873B6C" w:rsidRDefault="00D40151" w:rsidP="009D14FB">
            <w:pPr>
              <w:pStyle w:val="TAL"/>
              <w:rPr>
                <w:sz w:val="16"/>
                <w:szCs w:val="16"/>
              </w:rPr>
            </w:pPr>
            <w:r w:rsidRPr="00873B6C">
              <w:rPr>
                <w:sz w:val="16"/>
                <w:szCs w:val="16"/>
              </w:rPr>
              <w:t>Defining NWDAF in 23.501</w:t>
            </w:r>
          </w:p>
        </w:tc>
        <w:tc>
          <w:tcPr>
            <w:tcW w:w="708" w:type="dxa"/>
            <w:shd w:val="solid" w:color="FFFFFF" w:fill="auto"/>
          </w:tcPr>
          <w:p w14:paraId="3CA13846" w14:textId="77777777" w:rsidR="00D40151" w:rsidRPr="00873B6C" w:rsidRDefault="00D40151" w:rsidP="009D14FB">
            <w:pPr>
              <w:pStyle w:val="TAC"/>
              <w:rPr>
                <w:sz w:val="16"/>
                <w:szCs w:val="16"/>
              </w:rPr>
            </w:pPr>
            <w:r w:rsidRPr="00873B6C">
              <w:rPr>
                <w:sz w:val="16"/>
                <w:szCs w:val="16"/>
              </w:rPr>
              <w:t>15.2.0</w:t>
            </w:r>
          </w:p>
        </w:tc>
      </w:tr>
      <w:tr w:rsidR="00D40151" w:rsidRPr="00873B6C" w14:paraId="413FABD2" w14:textId="77777777" w:rsidTr="009D14FB">
        <w:tc>
          <w:tcPr>
            <w:tcW w:w="800" w:type="dxa"/>
            <w:shd w:val="solid" w:color="FFFFFF" w:fill="auto"/>
          </w:tcPr>
          <w:p w14:paraId="50E1CD5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18ED9E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04AF45F"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368DBED9" w14:textId="77777777" w:rsidR="00D40151" w:rsidRPr="00873B6C" w:rsidRDefault="00D40151" w:rsidP="009D14FB">
            <w:pPr>
              <w:pStyle w:val="TAL"/>
              <w:rPr>
                <w:sz w:val="16"/>
                <w:szCs w:val="16"/>
              </w:rPr>
            </w:pPr>
            <w:r w:rsidRPr="00873B6C">
              <w:rPr>
                <w:sz w:val="16"/>
                <w:szCs w:val="16"/>
              </w:rPr>
              <w:t>0210</w:t>
            </w:r>
          </w:p>
        </w:tc>
        <w:tc>
          <w:tcPr>
            <w:tcW w:w="425" w:type="dxa"/>
            <w:shd w:val="solid" w:color="FFFFFF" w:fill="auto"/>
          </w:tcPr>
          <w:p w14:paraId="76DF641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30EED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AE44F3" w14:textId="77777777" w:rsidR="00D40151" w:rsidRPr="00873B6C" w:rsidRDefault="00D40151" w:rsidP="009D14FB">
            <w:pPr>
              <w:pStyle w:val="TAL"/>
              <w:rPr>
                <w:sz w:val="16"/>
                <w:szCs w:val="16"/>
              </w:rPr>
            </w:pPr>
            <w:r w:rsidRPr="00873B6C">
              <w:rPr>
                <w:sz w:val="16"/>
                <w:szCs w:val="16"/>
              </w:rPr>
              <w:t>Corrections to PFD management</w:t>
            </w:r>
          </w:p>
        </w:tc>
        <w:tc>
          <w:tcPr>
            <w:tcW w:w="708" w:type="dxa"/>
            <w:shd w:val="solid" w:color="FFFFFF" w:fill="auto"/>
          </w:tcPr>
          <w:p w14:paraId="1E97D128" w14:textId="77777777" w:rsidR="00D40151" w:rsidRPr="00873B6C" w:rsidRDefault="00D40151" w:rsidP="009D14FB">
            <w:pPr>
              <w:pStyle w:val="TAC"/>
              <w:rPr>
                <w:sz w:val="16"/>
                <w:szCs w:val="16"/>
              </w:rPr>
            </w:pPr>
            <w:r w:rsidRPr="00873B6C">
              <w:rPr>
                <w:sz w:val="16"/>
                <w:szCs w:val="16"/>
              </w:rPr>
              <w:t>15.2.0</w:t>
            </w:r>
          </w:p>
        </w:tc>
      </w:tr>
      <w:tr w:rsidR="00D40151" w:rsidRPr="00873B6C" w14:paraId="3E92780B" w14:textId="77777777" w:rsidTr="009D14FB">
        <w:tc>
          <w:tcPr>
            <w:tcW w:w="800" w:type="dxa"/>
            <w:shd w:val="solid" w:color="FFFFFF" w:fill="auto"/>
          </w:tcPr>
          <w:p w14:paraId="42AF6B4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EB39AB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B447950"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7CEEC96D" w14:textId="77777777" w:rsidR="00D40151" w:rsidRPr="00873B6C" w:rsidRDefault="00D40151" w:rsidP="009D14FB">
            <w:pPr>
              <w:pStyle w:val="TAL"/>
              <w:rPr>
                <w:sz w:val="16"/>
                <w:szCs w:val="16"/>
              </w:rPr>
            </w:pPr>
            <w:r w:rsidRPr="00873B6C">
              <w:rPr>
                <w:sz w:val="16"/>
                <w:szCs w:val="16"/>
              </w:rPr>
              <w:t>0212</w:t>
            </w:r>
          </w:p>
        </w:tc>
        <w:tc>
          <w:tcPr>
            <w:tcW w:w="425" w:type="dxa"/>
            <w:shd w:val="solid" w:color="FFFFFF" w:fill="auto"/>
          </w:tcPr>
          <w:p w14:paraId="6FB252D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72189E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B5385E" w14:textId="77777777" w:rsidR="00D40151" w:rsidRPr="00873B6C" w:rsidRDefault="00D40151" w:rsidP="009D14FB">
            <w:pPr>
              <w:pStyle w:val="TAL"/>
              <w:rPr>
                <w:sz w:val="16"/>
                <w:szCs w:val="16"/>
              </w:rPr>
            </w:pPr>
            <w:r w:rsidRPr="00873B6C">
              <w:rPr>
                <w:sz w:val="16"/>
                <w:szCs w:val="16"/>
              </w:rPr>
              <w:t>Update on UE mobility event notification</w:t>
            </w:r>
          </w:p>
        </w:tc>
        <w:tc>
          <w:tcPr>
            <w:tcW w:w="708" w:type="dxa"/>
            <w:shd w:val="solid" w:color="FFFFFF" w:fill="auto"/>
          </w:tcPr>
          <w:p w14:paraId="5F403DDF" w14:textId="77777777" w:rsidR="00D40151" w:rsidRPr="00873B6C" w:rsidRDefault="00D40151" w:rsidP="009D14FB">
            <w:pPr>
              <w:pStyle w:val="TAC"/>
              <w:rPr>
                <w:sz w:val="16"/>
                <w:szCs w:val="16"/>
              </w:rPr>
            </w:pPr>
            <w:r w:rsidRPr="00873B6C">
              <w:rPr>
                <w:sz w:val="16"/>
                <w:szCs w:val="16"/>
              </w:rPr>
              <w:t>15.2.0</w:t>
            </w:r>
          </w:p>
        </w:tc>
      </w:tr>
      <w:tr w:rsidR="00D40151" w:rsidRPr="00873B6C" w14:paraId="661DC004" w14:textId="77777777" w:rsidTr="009D14FB">
        <w:tc>
          <w:tcPr>
            <w:tcW w:w="800" w:type="dxa"/>
            <w:shd w:val="solid" w:color="FFFFFF" w:fill="auto"/>
          </w:tcPr>
          <w:p w14:paraId="1414044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EF5002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8144C6E"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3DC51DDC" w14:textId="77777777" w:rsidR="00D40151" w:rsidRPr="00873B6C" w:rsidRDefault="00D40151" w:rsidP="009D14FB">
            <w:pPr>
              <w:pStyle w:val="TAL"/>
              <w:rPr>
                <w:sz w:val="16"/>
                <w:szCs w:val="16"/>
              </w:rPr>
            </w:pPr>
            <w:r w:rsidRPr="00873B6C">
              <w:rPr>
                <w:sz w:val="16"/>
                <w:szCs w:val="16"/>
              </w:rPr>
              <w:t>0214</w:t>
            </w:r>
          </w:p>
        </w:tc>
        <w:tc>
          <w:tcPr>
            <w:tcW w:w="425" w:type="dxa"/>
            <w:shd w:val="solid" w:color="FFFFFF" w:fill="auto"/>
          </w:tcPr>
          <w:p w14:paraId="4E174B2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ABD76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73BDB8" w14:textId="77777777" w:rsidR="00D40151" w:rsidRPr="00873B6C" w:rsidRDefault="00D40151" w:rsidP="009D14FB">
            <w:pPr>
              <w:pStyle w:val="TAL"/>
              <w:rPr>
                <w:sz w:val="16"/>
                <w:szCs w:val="16"/>
              </w:rPr>
            </w:pPr>
            <w:r w:rsidRPr="00873B6C">
              <w:rPr>
                <w:sz w:val="16"/>
                <w:szCs w:val="16"/>
              </w:rPr>
              <w:t>Identification and update of UE derived QoS rule</w:t>
            </w:r>
          </w:p>
        </w:tc>
        <w:tc>
          <w:tcPr>
            <w:tcW w:w="708" w:type="dxa"/>
            <w:shd w:val="solid" w:color="FFFFFF" w:fill="auto"/>
          </w:tcPr>
          <w:p w14:paraId="60422F4E" w14:textId="77777777" w:rsidR="00D40151" w:rsidRPr="00873B6C" w:rsidRDefault="00D40151" w:rsidP="009D14FB">
            <w:pPr>
              <w:pStyle w:val="TAC"/>
              <w:rPr>
                <w:sz w:val="16"/>
                <w:szCs w:val="16"/>
              </w:rPr>
            </w:pPr>
            <w:r w:rsidRPr="00873B6C">
              <w:rPr>
                <w:sz w:val="16"/>
                <w:szCs w:val="16"/>
              </w:rPr>
              <w:t>15.2.0</w:t>
            </w:r>
          </w:p>
        </w:tc>
      </w:tr>
      <w:tr w:rsidR="00D40151" w:rsidRPr="00873B6C" w14:paraId="69D434B7" w14:textId="77777777" w:rsidTr="009D14FB">
        <w:tc>
          <w:tcPr>
            <w:tcW w:w="800" w:type="dxa"/>
            <w:shd w:val="solid" w:color="FFFFFF" w:fill="auto"/>
          </w:tcPr>
          <w:p w14:paraId="1E5C3CE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398855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D4123C5"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6705EE04" w14:textId="77777777" w:rsidR="00D40151" w:rsidRPr="00873B6C" w:rsidRDefault="00D40151" w:rsidP="009D14FB">
            <w:pPr>
              <w:pStyle w:val="TAL"/>
              <w:rPr>
                <w:sz w:val="16"/>
                <w:szCs w:val="16"/>
              </w:rPr>
            </w:pPr>
            <w:r w:rsidRPr="00873B6C">
              <w:rPr>
                <w:sz w:val="16"/>
                <w:szCs w:val="16"/>
              </w:rPr>
              <w:t>0216</w:t>
            </w:r>
          </w:p>
        </w:tc>
        <w:tc>
          <w:tcPr>
            <w:tcW w:w="425" w:type="dxa"/>
            <w:shd w:val="solid" w:color="FFFFFF" w:fill="auto"/>
          </w:tcPr>
          <w:p w14:paraId="69890B2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97DF9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D80E58" w14:textId="77777777" w:rsidR="00D40151" w:rsidRPr="00873B6C" w:rsidRDefault="00D40151" w:rsidP="009D14FB">
            <w:pPr>
              <w:pStyle w:val="TAL"/>
              <w:rPr>
                <w:sz w:val="16"/>
                <w:szCs w:val="16"/>
              </w:rPr>
            </w:pPr>
            <w:r w:rsidRPr="00873B6C">
              <w:rPr>
                <w:sz w:val="16"/>
                <w:szCs w:val="16"/>
              </w:rPr>
              <w:t>Clarification of traffic steering control in the case of interworking</w:t>
            </w:r>
          </w:p>
        </w:tc>
        <w:tc>
          <w:tcPr>
            <w:tcW w:w="708" w:type="dxa"/>
            <w:shd w:val="solid" w:color="FFFFFF" w:fill="auto"/>
          </w:tcPr>
          <w:p w14:paraId="7BAAFDB6" w14:textId="77777777" w:rsidR="00D40151" w:rsidRPr="00873B6C" w:rsidRDefault="00D40151" w:rsidP="009D14FB">
            <w:pPr>
              <w:pStyle w:val="TAC"/>
              <w:rPr>
                <w:sz w:val="16"/>
                <w:szCs w:val="16"/>
              </w:rPr>
            </w:pPr>
            <w:r w:rsidRPr="00873B6C">
              <w:rPr>
                <w:sz w:val="16"/>
                <w:szCs w:val="16"/>
              </w:rPr>
              <w:t>15.2.0</w:t>
            </w:r>
          </w:p>
        </w:tc>
      </w:tr>
      <w:tr w:rsidR="00D40151" w:rsidRPr="00873B6C" w14:paraId="67CB0AE3" w14:textId="77777777" w:rsidTr="009D14FB">
        <w:tc>
          <w:tcPr>
            <w:tcW w:w="800" w:type="dxa"/>
            <w:shd w:val="solid" w:color="FFFFFF" w:fill="auto"/>
          </w:tcPr>
          <w:p w14:paraId="0CF730C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216925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6F8E3DB"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054A10A5" w14:textId="77777777" w:rsidR="00D40151" w:rsidRPr="00873B6C" w:rsidRDefault="00D40151" w:rsidP="009D14FB">
            <w:pPr>
              <w:pStyle w:val="TAL"/>
              <w:rPr>
                <w:sz w:val="16"/>
                <w:szCs w:val="16"/>
              </w:rPr>
            </w:pPr>
            <w:r w:rsidRPr="00873B6C">
              <w:rPr>
                <w:sz w:val="16"/>
                <w:szCs w:val="16"/>
              </w:rPr>
              <w:t>0217</w:t>
            </w:r>
          </w:p>
        </w:tc>
        <w:tc>
          <w:tcPr>
            <w:tcW w:w="425" w:type="dxa"/>
            <w:shd w:val="solid" w:color="FFFFFF" w:fill="auto"/>
          </w:tcPr>
          <w:p w14:paraId="056D4A6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CB4D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5C53F9" w14:textId="77777777" w:rsidR="00D40151" w:rsidRPr="00873B6C" w:rsidRDefault="00D40151" w:rsidP="009D14FB">
            <w:pPr>
              <w:pStyle w:val="TAL"/>
              <w:rPr>
                <w:sz w:val="16"/>
                <w:szCs w:val="16"/>
              </w:rPr>
            </w:pPr>
            <w:r w:rsidRPr="00873B6C">
              <w:rPr>
                <w:sz w:val="16"/>
                <w:szCs w:val="16"/>
              </w:rPr>
              <w:t>Updates to System Enablers for Priority Mechanism</w:t>
            </w:r>
          </w:p>
        </w:tc>
        <w:tc>
          <w:tcPr>
            <w:tcW w:w="708" w:type="dxa"/>
            <w:shd w:val="solid" w:color="FFFFFF" w:fill="auto"/>
          </w:tcPr>
          <w:p w14:paraId="270E39C5" w14:textId="77777777" w:rsidR="00D40151" w:rsidRPr="00873B6C" w:rsidRDefault="00D40151" w:rsidP="009D14FB">
            <w:pPr>
              <w:pStyle w:val="TAC"/>
              <w:rPr>
                <w:sz w:val="16"/>
                <w:szCs w:val="16"/>
              </w:rPr>
            </w:pPr>
            <w:r w:rsidRPr="00873B6C">
              <w:rPr>
                <w:sz w:val="16"/>
                <w:szCs w:val="16"/>
              </w:rPr>
              <w:t>15.2.0</w:t>
            </w:r>
          </w:p>
        </w:tc>
      </w:tr>
      <w:tr w:rsidR="00D40151" w:rsidRPr="00873B6C" w14:paraId="72FC1B63" w14:textId="77777777" w:rsidTr="009D14FB">
        <w:tc>
          <w:tcPr>
            <w:tcW w:w="800" w:type="dxa"/>
            <w:shd w:val="solid" w:color="FFFFFF" w:fill="auto"/>
          </w:tcPr>
          <w:p w14:paraId="736D9BE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F01D26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3F21808"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4990B77C" w14:textId="77777777" w:rsidR="00D40151" w:rsidRPr="00873B6C" w:rsidRDefault="00D40151" w:rsidP="009D14FB">
            <w:pPr>
              <w:pStyle w:val="TAL"/>
              <w:rPr>
                <w:sz w:val="16"/>
                <w:szCs w:val="16"/>
              </w:rPr>
            </w:pPr>
            <w:r w:rsidRPr="00873B6C">
              <w:rPr>
                <w:sz w:val="16"/>
                <w:szCs w:val="16"/>
              </w:rPr>
              <w:t>0219</w:t>
            </w:r>
          </w:p>
        </w:tc>
        <w:tc>
          <w:tcPr>
            <w:tcW w:w="425" w:type="dxa"/>
            <w:shd w:val="solid" w:color="FFFFFF" w:fill="auto"/>
          </w:tcPr>
          <w:p w14:paraId="4FDBDBF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091D33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5FD771" w14:textId="77777777" w:rsidR="00D40151" w:rsidRPr="00873B6C" w:rsidRDefault="00D40151" w:rsidP="009D14FB">
            <w:pPr>
              <w:pStyle w:val="TAL"/>
              <w:rPr>
                <w:sz w:val="16"/>
                <w:szCs w:val="16"/>
              </w:rPr>
            </w:pPr>
            <w:r w:rsidRPr="00873B6C">
              <w:rPr>
                <w:sz w:val="16"/>
                <w:szCs w:val="16"/>
              </w:rPr>
              <w:t>AMF Selection aspects</w:t>
            </w:r>
          </w:p>
        </w:tc>
        <w:tc>
          <w:tcPr>
            <w:tcW w:w="708" w:type="dxa"/>
            <w:shd w:val="solid" w:color="FFFFFF" w:fill="auto"/>
          </w:tcPr>
          <w:p w14:paraId="38D8DF52" w14:textId="77777777" w:rsidR="00D40151" w:rsidRPr="00873B6C" w:rsidRDefault="00D40151" w:rsidP="009D14FB">
            <w:pPr>
              <w:pStyle w:val="TAC"/>
              <w:rPr>
                <w:sz w:val="16"/>
                <w:szCs w:val="16"/>
              </w:rPr>
            </w:pPr>
            <w:r w:rsidRPr="00873B6C">
              <w:rPr>
                <w:sz w:val="16"/>
                <w:szCs w:val="16"/>
              </w:rPr>
              <w:t>15.2.0</w:t>
            </w:r>
          </w:p>
        </w:tc>
      </w:tr>
      <w:tr w:rsidR="00D40151" w:rsidRPr="00873B6C" w14:paraId="020DF9FB" w14:textId="77777777" w:rsidTr="009D14FB">
        <w:tc>
          <w:tcPr>
            <w:tcW w:w="800" w:type="dxa"/>
            <w:shd w:val="solid" w:color="FFFFFF" w:fill="auto"/>
          </w:tcPr>
          <w:p w14:paraId="4CB3938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030B2B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743C655"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4E1C6DCA" w14:textId="77777777" w:rsidR="00D40151" w:rsidRPr="00873B6C" w:rsidRDefault="00D40151" w:rsidP="009D14FB">
            <w:pPr>
              <w:pStyle w:val="TAL"/>
              <w:rPr>
                <w:sz w:val="16"/>
                <w:szCs w:val="16"/>
              </w:rPr>
            </w:pPr>
            <w:r w:rsidRPr="00873B6C">
              <w:rPr>
                <w:sz w:val="16"/>
                <w:szCs w:val="16"/>
              </w:rPr>
              <w:t>0220</w:t>
            </w:r>
          </w:p>
        </w:tc>
        <w:tc>
          <w:tcPr>
            <w:tcW w:w="425" w:type="dxa"/>
            <w:shd w:val="solid" w:color="FFFFFF" w:fill="auto"/>
          </w:tcPr>
          <w:p w14:paraId="33ACC01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55206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DBB526" w14:textId="77777777" w:rsidR="00D40151" w:rsidRPr="00873B6C" w:rsidRDefault="00D40151" w:rsidP="009D14FB">
            <w:pPr>
              <w:pStyle w:val="TAL"/>
              <w:rPr>
                <w:sz w:val="16"/>
                <w:szCs w:val="16"/>
              </w:rPr>
            </w:pPr>
            <w:r w:rsidRPr="00873B6C">
              <w:rPr>
                <w:sz w:val="16"/>
                <w:szCs w:val="16"/>
              </w:rPr>
              <w:t>AMF functionality clarification - to add SUCI</w:t>
            </w:r>
          </w:p>
        </w:tc>
        <w:tc>
          <w:tcPr>
            <w:tcW w:w="708" w:type="dxa"/>
            <w:shd w:val="solid" w:color="FFFFFF" w:fill="auto"/>
          </w:tcPr>
          <w:p w14:paraId="25C14201" w14:textId="77777777" w:rsidR="00D40151" w:rsidRPr="00873B6C" w:rsidRDefault="00D40151" w:rsidP="009D14FB">
            <w:pPr>
              <w:pStyle w:val="TAC"/>
              <w:rPr>
                <w:sz w:val="16"/>
                <w:szCs w:val="16"/>
              </w:rPr>
            </w:pPr>
            <w:r w:rsidRPr="00873B6C">
              <w:rPr>
                <w:sz w:val="16"/>
                <w:szCs w:val="16"/>
              </w:rPr>
              <w:t>15.2.0</w:t>
            </w:r>
          </w:p>
        </w:tc>
      </w:tr>
      <w:tr w:rsidR="00D40151" w:rsidRPr="00873B6C" w14:paraId="20202A37" w14:textId="77777777" w:rsidTr="009D14FB">
        <w:tc>
          <w:tcPr>
            <w:tcW w:w="800" w:type="dxa"/>
            <w:shd w:val="solid" w:color="FFFFFF" w:fill="auto"/>
          </w:tcPr>
          <w:p w14:paraId="6D3BCEF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A7F260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AE2E515"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1D7B5137" w14:textId="77777777" w:rsidR="00D40151" w:rsidRPr="00873B6C" w:rsidRDefault="00D40151" w:rsidP="009D14FB">
            <w:pPr>
              <w:pStyle w:val="TAL"/>
              <w:rPr>
                <w:sz w:val="16"/>
                <w:szCs w:val="16"/>
              </w:rPr>
            </w:pPr>
            <w:r w:rsidRPr="00873B6C">
              <w:rPr>
                <w:sz w:val="16"/>
                <w:szCs w:val="16"/>
              </w:rPr>
              <w:t>0222</w:t>
            </w:r>
          </w:p>
        </w:tc>
        <w:tc>
          <w:tcPr>
            <w:tcW w:w="425" w:type="dxa"/>
            <w:shd w:val="solid" w:color="FFFFFF" w:fill="auto"/>
          </w:tcPr>
          <w:p w14:paraId="1EE764C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E10F55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9FD68D" w14:textId="77777777" w:rsidR="00D40151" w:rsidRPr="00873B6C" w:rsidRDefault="00D40151" w:rsidP="009D14FB">
            <w:pPr>
              <w:pStyle w:val="TAL"/>
              <w:rPr>
                <w:sz w:val="16"/>
                <w:szCs w:val="16"/>
              </w:rPr>
            </w:pPr>
            <w:r w:rsidRPr="00873B6C">
              <w:rPr>
                <w:sz w:val="16"/>
                <w:szCs w:val="16"/>
              </w:rPr>
              <w:t>EPS Interworking Principles - SR mode with N26</w:t>
            </w:r>
          </w:p>
        </w:tc>
        <w:tc>
          <w:tcPr>
            <w:tcW w:w="708" w:type="dxa"/>
            <w:shd w:val="solid" w:color="FFFFFF" w:fill="auto"/>
          </w:tcPr>
          <w:p w14:paraId="1DF6CCEC" w14:textId="77777777" w:rsidR="00D40151" w:rsidRPr="00873B6C" w:rsidRDefault="00D40151" w:rsidP="009D14FB">
            <w:pPr>
              <w:pStyle w:val="TAC"/>
              <w:rPr>
                <w:sz w:val="16"/>
                <w:szCs w:val="16"/>
              </w:rPr>
            </w:pPr>
            <w:r w:rsidRPr="00873B6C">
              <w:rPr>
                <w:sz w:val="16"/>
                <w:szCs w:val="16"/>
              </w:rPr>
              <w:t>15.2.0</w:t>
            </w:r>
          </w:p>
        </w:tc>
      </w:tr>
      <w:tr w:rsidR="00D40151" w:rsidRPr="00873B6C" w14:paraId="3E26851A" w14:textId="77777777" w:rsidTr="009D14FB">
        <w:tc>
          <w:tcPr>
            <w:tcW w:w="800" w:type="dxa"/>
            <w:shd w:val="solid" w:color="FFFFFF" w:fill="auto"/>
          </w:tcPr>
          <w:p w14:paraId="0D00477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EC25EA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1B5C58B"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15684B07" w14:textId="77777777" w:rsidR="00D40151" w:rsidRPr="00873B6C" w:rsidRDefault="00D40151" w:rsidP="009D14FB">
            <w:pPr>
              <w:pStyle w:val="TAL"/>
              <w:rPr>
                <w:sz w:val="16"/>
                <w:szCs w:val="16"/>
              </w:rPr>
            </w:pPr>
            <w:r w:rsidRPr="00873B6C">
              <w:rPr>
                <w:sz w:val="16"/>
                <w:szCs w:val="16"/>
              </w:rPr>
              <w:t>0224</w:t>
            </w:r>
          </w:p>
        </w:tc>
        <w:tc>
          <w:tcPr>
            <w:tcW w:w="425" w:type="dxa"/>
            <w:shd w:val="solid" w:color="FFFFFF" w:fill="auto"/>
          </w:tcPr>
          <w:p w14:paraId="5D1303B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834C5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1487E9" w14:textId="77777777" w:rsidR="00D40151" w:rsidRPr="00873B6C" w:rsidRDefault="00D40151" w:rsidP="009D14FB">
            <w:pPr>
              <w:pStyle w:val="TAL"/>
              <w:rPr>
                <w:sz w:val="16"/>
                <w:szCs w:val="16"/>
              </w:rPr>
            </w:pPr>
            <w:r w:rsidRPr="00873B6C">
              <w:rPr>
                <w:sz w:val="16"/>
                <w:szCs w:val="16"/>
              </w:rPr>
              <w:t>UDM services - addition to Nudm_UEAuthentication</w:t>
            </w:r>
          </w:p>
        </w:tc>
        <w:tc>
          <w:tcPr>
            <w:tcW w:w="708" w:type="dxa"/>
            <w:shd w:val="solid" w:color="FFFFFF" w:fill="auto"/>
          </w:tcPr>
          <w:p w14:paraId="3BAEDB79" w14:textId="77777777" w:rsidR="00D40151" w:rsidRPr="00873B6C" w:rsidRDefault="00D40151" w:rsidP="009D14FB">
            <w:pPr>
              <w:pStyle w:val="TAC"/>
              <w:rPr>
                <w:sz w:val="16"/>
                <w:szCs w:val="16"/>
              </w:rPr>
            </w:pPr>
            <w:r w:rsidRPr="00873B6C">
              <w:rPr>
                <w:sz w:val="16"/>
                <w:szCs w:val="16"/>
              </w:rPr>
              <w:t>15.2.0</w:t>
            </w:r>
          </w:p>
        </w:tc>
      </w:tr>
      <w:tr w:rsidR="00D40151" w:rsidRPr="00873B6C" w14:paraId="3FDC8628" w14:textId="77777777" w:rsidTr="009D14FB">
        <w:tc>
          <w:tcPr>
            <w:tcW w:w="800" w:type="dxa"/>
            <w:shd w:val="solid" w:color="FFFFFF" w:fill="auto"/>
          </w:tcPr>
          <w:p w14:paraId="66CD0F9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3DCB35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4D9822D"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4763C333" w14:textId="77777777" w:rsidR="00D40151" w:rsidRPr="00873B6C" w:rsidRDefault="00D40151" w:rsidP="009D14FB">
            <w:pPr>
              <w:pStyle w:val="TAL"/>
              <w:rPr>
                <w:sz w:val="16"/>
                <w:szCs w:val="16"/>
              </w:rPr>
            </w:pPr>
            <w:r w:rsidRPr="00873B6C">
              <w:rPr>
                <w:sz w:val="16"/>
                <w:szCs w:val="16"/>
              </w:rPr>
              <w:t>0225</w:t>
            </w:r>
          </w:p>
        </w:tc>
        <w:tc>
          <w:tcPr>
            <w:tcW w:w="425" w:type="dxa"/>
            <w:shd w:val="solid" w:color="FFFFFF" w:fill="auto"/>
          </w:tcPr>
          <w:p w14:paraId="594466F9" w14:textId="77777777" w:rsidR="00D40151" w:rsidRPr="00873B6C" w:rsidRDefault="00D40151" w:rsidP="009D14FB">
            <w:pPr>
              <w:pStyle w:val="TAL"/>
              <w:rPr>
                <w:sz w:val="16"/>
                <w:szCs w:val="16"/>
              </w:rPr>
            </w:pPr>
            <w:r w:rsidRPr="00873B6C">
              <w:rPr>
                <w:sz w:val="16"/>
                <w:szCs w:val="16"/>
              </w:rPr>
              <w:t>0</w:t>
            </w:r>
          </w:p>
        </w:tc>
        <w:tc>
          <w:tcPr>
            <w:tcW w:w="425" w:type="dxa"/>
            <w:shd w:val="solid" w:color="FFFFFF" w:fill="auto"/>
          </w:tcPr>
          <w:p w14:paraId="302F4A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472DFD" w14:textId="77777777" w:rsidR="00D40151" w:rsidRPr="00873B6C" w:rsidRDefault="00D40151" w:rsidP="009D14FB">
            <w:pPr>
              <w:pStyle w:val="TAL"/>
              <w:rPr>
                <w:sz w:val="16"/>
                <w:szCs w:val="16"/>
              </w:rPr>
            </w:pPr>
            <w:r w:rsidRPr="00873B6C">
              <w:rPr>
                <w:sz w:val="16"/>
                <w:szCs w:val="16"/>
              </w:rPr>
              <w:t>UDM functionality support for SUCI</w:t>
            </w:r>
          </w:p>
        </w:tc>
        <w:tc>
          <w:tcPr>
            <w:tcW w:w="708" w:type="dxa"/>
            <w:shd w:val="solid" w:color="FFFFFF" w:fill="auto"/>
          </w:tcPr>
          <w:p w14:paraId="42BBF616" w14:textId="77777777" w:rsidR="00D40151" w:rsidRPr="00873B6C" w:rsidRDefault="00D40151" w:rsidP="009D14FB">
            <w:pPr>
              <w:pStyle w:val="TAC"/>
              <w:rPr>
                <w:sz w:val="16"/>
                <w:szCs w:val="16"/>
              </w:rPr>
            </w:pPr>
            <w:r w:rsidRPr="00873B6C">
              <w:rPr>
                <w:sz w:val="16"/>
                <w:szCs w:val="16"/>
              </w:rPr>
              <w:t>15.2.0</w:t>
            </w:r>
          </w:p>
        </w:tc>
      </w:tr>
      <w:tr w:rsidR="00D40151" w:rsidRPr="00873B6C" w14:paraId="1995EE6C" w14:textId="77777777" w:rsidTr="009D14FB">
        <w:tc>
          <w:tcPr>
            <w:tcW w:w="800" w:type="dxa"/>
            <w:shd w:val="solid" w:color="FFFFFF" w:fill="auto"/>
          </w:tcPr>
          <w:p w14:paraId="0A13700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6BE22B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746ED0B"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2700B708" w14:textId="77777777" w:rsidR="00D40151" w:rsidRPr="00873B6C" w:rsidRDefault="00D40151" w:rsidP="009D14FB">
            <w:pPr>
              <w:pStyle w:val="TAL"/>
              <w:rPr>
                <w:sz w:val="16"/>
                <w:szCs w:val="16"/>
              </w:rPr>
            </w:pPr>
            <w:r w:rsidRPr="00873B6C">
              <w:rPr>
                <w:sz w:val="16"/>
                <w:szCs w:val="16"/>
              </w:rPr>
              <w:t>0226</w:t>
            </w:r>
          </w:p>
        </w:tc>
        <w:tc>
          <w:tcPr>
            <w:tcW w:w="425" w:type="dxa"/>
            <w:shd w:val="solid" w:color="FFFFFF" w:fill="auto"/>
          </w:tcPr>
          <w:p w14:paraId="617A874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4A53C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1BA97F" w14:textId="1E20FA24" w:rsidR="00D40151" w:rsidRPr="00873B6C" w:rsidRDefault="00D40151" w:rsidP="009D14FB">
            <w:pPr>
              <w:pStyle w:val="TAL"/>
              <w:rPr>
                <w:sz w:val="16"/>
                <w:szCs w:val="16"/>
              </w:rPr>
            </w:pPr>
            <w:r w:rsidRPr="00873B6C">
              <w:rPr>
                <w:sz w:val="16"/>
                <w:szCs w:val="16"/>
              </w:rPr>
              <w:t xml:space="preserve">MFBR Enforcement for GBR </w:t>
            </w:r>
            <w:r w:rsidR="00426DE4" w:rsidRPr="00873B6C">
              <w:rPr>
                <w:sz w:val="16"/>
                <w:szCs w:val="16"/>
              </w:rPr>
              <w:t>QoS Flow</w:t>
            </w:r>
            <w:r w:rsidRPr="00873B6C">
              <w:rPr>
                <w:sz w:val="16"/>
                <w:szCs w:val="16"/>
              </w:rPr>
              <w:t>s</w:t>
            </w:r>
          </w:p>
        </w:tc>
        <w:tc>
          <w:tcPr>
            <w:tcW w:w="708" w:type="dxa"/>
            <w:shd w:val="solid" w:color="FFFFFF" w:fill="auto"/>
          </w:tcPr>
          <w:p w14:paraId="3A42391D" w14:textId="77777777" w:rsidR="00D40151" w:rsidRPr="00873B6C" w:rsidRDefault="00D40151" w:rsidP="009D14FB">
            <w:pPr>
              <w:pStyle w:val="TAC"/>
              <w:rPr>
                <w:sz w:val="16"/>
                <w:szCs w:val="16"/>
              </w:rPr>
            </w:pPr>
            <w:r w:rsidRPr="00873B6C">
              <w:rPr>
                <w:sz w:val="16"/>
                <w:szCs w:val="16"/>
              </w:rPr>
              <w:t>15.2.0</w:t>
            </w:r>
          </w:p>
        </w:tc>
      </w:tr>
      <w:tr w:rsidR="00D40151" w:rsidRPr="00873B6C" w14:paraId="3186633E" w14:textId="77777777" w:rsidTr="009D14FB">
        <w:tc>
          <w:tcPr>
            <w:tcW w:w="800" w:type="dxa"/>
            <w:shd w:val="solid" w:color="FFFFFF" w:fill="auto"/>
          </w:tcPr>
          <w:p w14:paraId="27E8536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6D3F8F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D033389"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5EDCE8C2" w14:textId="77777777" w:rsidR="00D40151" w:rsidRPr="00873B6C" w:rsidRDefault="00D40151" w:rsidP="009D14FB">
            <w:pPr>
              <w:pStyle w:val="TAL"/>
              <w:rPr>
                <w:sz w:val="16"/>
                <w:szCs w:val="16"/>
              </w:rPr>
            </w:pPr>
            <w:r w:rsidRPr="00873B6C">
              <w:rPr>
                <w:sz w:val="16"/>
                <w:szCs w:val="16"/>
              </w:rPr>
              <w:t>0227</w:t>
            </w:r>
          </w:p>
        </w:tc>
        <w:tc>
          <w:tcPr>
            <w:tcW w:w="425" w:type="dxa"/>
            <w:shd w:val="solid" w:color="FFFFFF" w:fill="auto"/>
          </w:tcPr>
          <w:p w14:paraId="5BDA3A1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F32F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64470D" w14:textId="77777777" w:rsidR="00D40151" w:rsidRPr="00873B6C" w:rsidRDefault="00D40151" w:rsidP="009D14FB">
            <w:pPr>
              <w:pStyle w:val="TAL"/>
              <w:rPr>
                <w:sz w:val="16"/>
                <w:szCs w:val="16"/>
              </w:rPr>
            </w:pPr>
            <w:r w:rsidRPr="00873B6C">
              <w:rPr>
                <w:sz w:val="16"/>
                <w:szCs w:val="16"/>
              </w:rPr>
              <w:t>NF Registration via the NRF</w:t>
            </w:r>
          </w:p>
        </w:tc>
        <w:tc>
          <w:tcPr>
            <w:tcW w:w="708" w:type="dxa"/>
            <w:shd w:val="solid" w:color="FFFFFF" w:fill="auto"/>
          </w:tcPr>
          <w:p w14:paraId="0306A8CD" w14:textId="77777777" w:rsidR="00D40151" w:rsidRPr="00873B6C" w:rsidRDefault="00D40151" w:rsidP="009D14FB">
            <w:pPr>
              <w:pStyle w:val="TAC"/>
              <w:rPr>
                <w:sz w:val="16"/>
                <w:szCs w:val="16"/>
              </w:rPr>
            </w:pPr>
            <w:r w:rsidRPr="00873B6C">
              <w:rPr>
                <w:sz w:val="16"/>
                <w:szCs w:val="16"/>
              </w:rPr>
              <w:t>15.2.0</w:t>
            </w:r>
          </w:p>
        </w:tc>
      </w:tr>
      <w:tr w:rsidR="00D40151" w:rsidRPr="00873B6C" w14:paraId="0C445314" w14:textId="77777777" w:rsidTr="009D14FB">
        <w:tc>
          <w:tcPr>
            <w:tcW w:w="800" w:type="dxa"/>
            <w:shd w:val="solid" w:color="FFFFFF" w:fill="auto"/>
          </w:tcPr>
          <w:p w14:paraId="0B99FFC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DF6D70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1A4F26C"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5FF51E3B" w14:textId="77777777" w:rsidR="00D40151" w:rsidRPr="00873B6C" w:rsidRDefault="00D40151" w:rsidP="009D14FB">
            <w:pPr>
              <w:pStyle w:val="TAL"/>
              <w:rPr>
                <w:sz w:val="16"/>
                <w:szCs w:val="16"/>
              </w:rPr>
            </w:pPr>
            <w:r w:rsidRPr="00873B6C">
              <w:rPr>
                <w:sz w:val="16"/>
                <w:szCs w:val="16"/>
              </w:rPr>
              <w:t>0229</w:t>
            </w:r>
          </w:p>
        </w:tc>
        <w:tc>
          <w:tcPr>
            <w:tcW w:w="425" w:type="dxa"/>
            <w:shd w:val="solid" w:color="FFFFFF" w:fill="auto"/>
          </w:tcPr>
          <w:p w14:paraId="5995A7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3A8EA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80B1A8" w14:textId="77777777" w:rsidR="00D40151" w:rsidRPr="00873B6C" w:rsidRDefault="00D40151" w:rsidP="009D14FB">
            <w:pPr>
              <w:pStyle w:val="TAL"/>
              <w:rPr>
                <w:sz w:val="16"/>
                <w:szCs w:val="16"/>
              </w:rPr>
            </w:pPr>
            <w:r w:rsidRPr="00873B6C">
              <w:rPr>
                <w:sz w:val="16"/>
                <w:szCs w:val="16"/>
              </w:rPr>
              <w:t>Abbreviations supplement</w:t>
            </w:r>
          </w:p>
        </w:tc>
        <w:tc>
          <w:tcPr>
            <w:tcW w:w="708" w:type="dxa"/>
            <w:shd w:val="solid" w:color="FFFFFF" w:fill="auto"/>
          </w:tcPr>
          <w:p w14:paraId="262C4AF5" w14:textId="77777777" w:rsidR="00D40151" w:rsidRPr="00873B6C" w:rsidRDefault="00D40151" w:rsidP="009D14FB">
            <w:pPr>
              <w:pStyle w:val="TAC"/>
              <w:rPr>
                <w:sz w:val="16"/>
                <w:szCs w:val="16"/>
              </w:rPr>
            </w:pPr>
            <w:r w:rsidRPr="00873B6C">
              <w:rPr>
                <w:sz w:val="16"/>
                <w:szCs w:val="16"/>
              </w:rPr>
              <w:t>15.2.0</w:t>
            </w:r>
          </w:p>
        </w:tc>
      </w:tr>
      <w:tr w:rsidR="00D40151" w:rsidRPr="00873B6C" w14:paraId="03414856" w14:textId="77777777" w:rsidTr="009D14FB">
        <w:tc>
          <w:tcPr>
            <w:tcW w:w="800" w:type="dxa"/>
            <w:shd w:val="solid" w:color="FFFFFF" w:fill="auto"/>
          </w:tcPr>
          <w:p w14:paraId="3433D0F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2E4CED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EDF63D8"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3B064497" w14:textId="77777777" w:rsidR="00D40151" w:rsidRPr="00873B6C" w:rsidRDefault="00D40151" w:rsidP="009D14FB">
            <w:pPr>
              <w:pStyle w:val="TAL"/>
              <w:rPr>
                <w:sz w:val="16"/>
                <w:szCs w:val="16"/>
              </w:rPr>
            </w:pPr>
            <w:r w:rsidRPr="00873B6C">
              <w:rPr>
                <w:sz w:val="16"/>
                <w:szCs w:val="16"/>
              </w:rPr>
              <w:t>0231</w:t>
            </w:r>
          </w:p>
        </w:tc>
        <w:tc>
          <w:tcPr>
            <w:tcW w:w="425" w:type="dxa"/>
            <w:shd w:val="solid" w:color="FFFFFF" w:fill="auto"/>
          </w:tcPr>
          <w:p w14:paraId="7A8216A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BAB7DD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07D9CE" w14:textId="77777777" w:rsidR="00D40151" w:rsidRPr="00873B6C" w:rsidRDefault="00D40151" w:rsidP="009D14FB">
            <w:pPr>
              <w:pStyle w:val="TAL"/>
              <w:rPr>
                <w:sz w:val="16"/>
                <w:szCs w:val="16"/>
              </w:rPr>
            </w:pPr>
            <w:r w:rsidRPr="00873B6C">
              <w:rPr>
                <w:sz w:val="16"/>
                <w:szCs w:val="16"/>
              </w:rPr>
              <w:t>3GPP PS Data Off Clarification</w:t>
            </w:r>
          </w:p>
        </w:tc>
        <w:tc>
          <w:tcPr>
            <w:tcW w:w="708" w:type="dxa"/>
            <w:shd w:val="solid" w:color="FFFFFF" w:fill="auto"/>
          </w:tcPr>
          <w:p w14:paraId="213B83F0" w14:textId="77777777" w:rsidR="00D40151" w:rsidRPr="00873B6C" w:rsidRDefault="00D40151" w:rsidP="009D14FB">
            <w:pPr>
              <w:pStyle w:val="TAC"/>
              <w:rPr>
                <w:sz w:val="16"/>
                <w:szCs w:val="16"/>
              </w:rPr>
            </w:pPr>
            <w:r w:rsidRPr="00873B6C">
              <w:rPr>
                <w:sz w:val="16"/>
                <w:szCs w:val="16"/>
              </w:rPr>
              <w:t>15.2.0</w:t>
            </w:r>
          </w:p>
        </w:tc>
      </w:tr>
      <w:tr w:rsidR="00D40151" w:rsidRPr="00873B6C" w14:paraId="58B46E59" w14:textId="77777777" w:rsidTr="009D14FB">
        <w:tc>
          <w:tcPr>
            <w:tcW w:w="800" w:type="dxa"/>
            <w:shd w:val="solid" w:color="FFFFFF" w:fill="auto"/>
          </w:tcPr>
          <w:p w14:paraId="7A80BCE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7DC6D9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E664D0C"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55A6887E" w14:textId="77777777" w:rsidR="00D40151" w:rsidRPr="00873B6C" w:rsidRDefault="00D40151" w:rsidP="009D14FB">
            <w:pPr>
              <w:pStyle w:val="TAL"/>
              <w:rPr>
                <w:sz w:val="16"/>
                <w:szCs w:val="16"/>
              </w:rPr>
            </w:pPr>
            <w:r w:rsidRPr="00873B6C">
              <w:rPr>
                <w:sz w:val="16"/>
                <w:szCs w:val="16"/>
              </w:rPr>
              <w:t>0232</w:t>
            </w:r>
          </w:p>
        </w:tc>
        <w:tc>
          <w:tcPr>
            <w:tcW w:w="425" w:type="dxa"/>
            <w:shd w:val="solid" w:color="FFFFFF" w:fill="auto"/>
          </w:tcPr>
          <w:p w14:paraId="70CF406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9E5DE0B"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6284424E" w14:textId="77777777" w:rsidR="00D40151" w:rsidRPr="00873B6C" w:rsidRDefault="00D40151" w:rsidP="009D14FB">
            <w:pPr>
              <w:pStyle w:val="TAL"/>
              <w:rPr>
                <w:sz w:val="16"/>
                <w:szCs w:val="16"/>
              </w:rPr>
            </w:pPr>
            <w:r w:rsidRPr="00873B6C">
              <w:rPr>
                <w:sz w:val="16"/>
                <w:szCs w:val="16"/>
              </w:rPr>
              <w:t>Network Sharing and Interworking Clarification</w:t>
            </w:r>
          </w:p>
        </w:tc>
        <w:tc>
          <w:tcPr>
            <w:tcW w:w="708" w:type="dxa"/>
            <w:shd w:val="solid" w:color="FFFFFF" w:fill="auto"/>
          </w:tcPr>
          <w:p w14:paraId="06F0A346" w14:textId="77777777" w:rsidR="00D40151" w:rsidRPr="00873B6C" w:rsidRDefault="00D40151" w:rsidP="009D14FB">
            <w:pPr>
              <w:pStyle w:val="TAC"/>
              <w:rPr>
                <w:sz w:val="16"/>
                <w:szCs w:val="16"/>
              </w:rPr>
            </w:pPr>
            <w:r w:rsidRPr="00873B6C">
              <w:rPr>
                <w:sz w:val="16"/>
                <w:szCs w:val="16"/>
              </w:rPr>
              <w:t>15.2.0</w:t>
            </w:r>
          </w:p>
        </w:tc>
      </w:tr>
      <w:tr w:rsidR="00D40151" w:rsidRPr="00873B6C" w14:paraId="34B581D8" w14:textId="77777777" w:rsidTr="009D14FB">
        <w:tc>
          <w:tcPr>
            <w:tcW w:w="800" w:type="dxa"/>
            <w:shd w:val="solid" w:color="FFFFFF" w:fill="auto"/>
          </w:tcPr>
          <w:p w14:paraId="1CFA35D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5EFFCA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2BB7492"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0C73D4D7" w14:textId="77777777" w:rsidR="00D40151" w:rsidRPr="00873B6C" w:rsidRDefault="00D40151" w:rsidP="009D14FB">
            <w:pPr>
              <w:pStyle w:val="TAL"/>
              <w:rPr>
                <w:sz w:val="16"/>
                <w:szCs w:val="16"/>
              </w:rPr>
            </w:pPr>
            <w:r w:rsidRPr="00873B6C">
              <w:rPr>
                <w:sz w:val="16"/>
                <w:szCs w:val="16"/>
              </w:rPr>
              <w:t>0237</w:t>
            </w:r>
          </w:p>
        </w:tc>
        <w:tc>
          <w:tcPr>
            <w:tcW w:w="425" w:type="dxa"/>
            <w:shd w:val="solid" w:color="FFFFFF" w:fill="auto"/>
          </w:tcPr>
          <w:p w14:paraId="52B900B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5E3B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1162D4" w14:textId="77777777" w:rsidR="00D40151" w:rsidRPr="00873B6C" w:rsidRDefault="00D40151" w:rsidP="009D14FB">
            <w:pPr>
              <w:pStyle w:val="TAL"/>
              <w:rPr>
                <w:sz w:val="16"/>
                <w:szCs w:val="16"/>
              </w:rPr>
            </w:pPr>
            <w:r w:rsidRPr="00873B6C">
              <w:rPr>
                <w:sz w:val="16"/>
                <w:szCs w:val="16"/>
              </w:rPr>
              <w:t>Clarification on MT SMS domain selection by SMSF</w:t>
            </w:r>
          </w:p>
        </w:tc>
        <w:tc>
          <w:tcPr>
            <w:tcW w:w="708" w:type="dxa"/>
            <w:shd w:val="solid" w:color="FFFFFF" w:fill="auto"/>
          </w:tcPr>
          <w:p w14:paraId="56090FF1" w14:textId="77777777" w:rsidR="00D40151" w:rsidRPr="00873B6C" w:rsidRDefault="00D40151" w:rsidP="009D14FB">
            <w:pPr>
              <w:pStyle w:val="TAC"/>
              <w:rPr>
                <w:sz w:val="16"/>
                <w:szCs w:val="16"/>
              </w:rPr>
            </w:pPr>
            <w:r w:rsidRPr="00873B6C">
              <w:rPr>
                <w:sz w:val="16"/>
                <w:szCs w:val="16"/>
              </w:rPr>
              <w:t>15.2.0</w:t>
            </w:r>
          </w:p>
        </w:tc>
      </w:tr>
      <w:tr w:rsidR="00D40151" w:rsidRPr="00873B6C" w14:paraId="5529BF6E" w14:textId="77777777" w:rsidTr="009D14FB">
        <w:tc>
          <w:tcPr>
            <w:tcW w:w="800" w:type="dxa"/>
            <w:shd w:val="solid" w:color="FFFFFF" w:fill="auto"/>
          </w:tcPr>
          <w:p w14:paraId="3243078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084612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1907F06"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1F65B8D6" w14:textId="77777777" w:rsidR="00D40151" w:rsidRPr="00873B6C" w:rsidRDefault="00D40151" w:rsidP="009D14FB">
            <w:pPr>
              <w:pStyle w:val="TAL"/>
              <w:rPr>
                <w:sz w:val="16"/>
                <w:szCs w:val="16"/>
              </w:rPr>
            </w:pPr>
            <w:r w:rsidRPr="00873B6C">
              <w:rPr>
                <w:sz w:val="16"/>
                <w:szCs w:val="16"/>
              </w:rPr>
              <w:t>0239</w:t>
            </w:r>
          </w:p>
        </w:tc>
        <w:tc>
          <w:tcPr>
            <w:tcW w:w="425" w:type="dxa"/>
            <w:shd w:val="solid" w:color="FFFFFF" w:fill="auto"/>
          </w:tcPr>
          <w:p w14:paraId="1C70B14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A4EA7D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8A6CB1" w14:textId="19F54349" w:rsidR="00D40151" w:rsidRPr="00873B6C" w:rsidRDefault="00D40151" w:rsidP="009D14FB">
            <w:pPr>
              <w:pStyle w:val="TAL"/>
              <w:rPr>
                <w:sz w:val="16"/>
                <w:szCs w:val="16"/>
              </w:rPr>
            </w:pPr>
            <w:r w:rsidRPr="00873B6C">
              <w:rPr>
                <w:sz w:val="16"/>
                <w:szCs w:val="16"/>
              </w:rPr>
              <w:t>TS 23.501: Clean-up for the RRC Inactive related procedure</w:t>
            </w:r>
          </w:p>
        </w:tc>
        <w:tc>
          <w:tcPr>
            <w:tcW w:w="708" w:type="dxa"/>
            <w:shd w:val="solid" w:color="FFFFFF" w:fill="auto"/>
          </w:tcPr>
          <w:p w14:paraId="27788241" w14:textId="77777777" w:rsidR="00D40151" w:rsidRPr="00873B6C" w:rsidRDefault="00D40151" w:rsidP="009D14FB">
            <w:pPr>
              <w:pStyle w:val="TAC"/>
              <w:rPr>
                <w:sz w:val="16"/>
                <w:szCs w:val="16"/>
              </w:rPr>
            </w:pPr>
            <w:r w:rsidRPr="00873B6C">
              <w:rPr>
                <w:sz w:val="16"/>
                <w:szCs w:val="16"/>
              </w:rPr>
              <w:t>15.2.0</w:t>
            </w:r>
          </w:p>
        </w:tc>
      </w:tr>
      <w:tr w:rsidR="00D40151" w:rsidRPr="00873B6C" w14:paraId="2D5D0B85" w14:textId="77777777" w:rsidTr="009D14FB">
        <w:tc>
          <w:tcPr>
            <w:tcW w:w="800" w:type="dxa"/>
            <w:shd w:val="solid" w:color="FFFFFF" w:fill="auto"/>
          </w:tcPr>
          <w:p w14:paraId="3DA1CFE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3B22A3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50A2A2A"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52007136" w14:textId="77777777" w:rsidR="00D40151" w:rsidRPr="00873B6C" w:rsidRDefault="00D40151" w:rsidP="009D14FB">
            <w:pPr>
              <w:pStyle w:val="TAL"/>
              <w:rPr>
                <w:sz w:val="16"/>
                <w:szCs w:val="16"/>
              </w:rPr>
            </w:pPr>
            <w:r w:rsidRPr="00873B6C">
              <w:rPr>
                <w:sz w:val="16"/>
                <w:szCs w:val="16"/>
              </w:rPr>
              <w:t>0240</w:t>
            </w:r>
          </w:p>
        </w:tc>
        <w:tc>
          <w:tcPr>
            <w:tcW w:w="425" w:type="dxa"/>
            <w:shd w:val="solid" w:color="FFFFFF" w:fill="auto"/>
          </w:tcPr>
          <w:p w14:paraId="76040A4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40BCB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941277" w14:textId="77777777" w:rsidR="00D40151" w:rsidRPr="00873B6C" w:rsidRDefault="00D40151" w:rsidP="009D14FB">
            <w:pPr>
              <w:pStyle w:val="TAL"/>
              <w:rPr>
                <w:sz w:val="16"/>
                <w:szCs w:val="16"/>
              </w:rPr>
            </w:pPr>
            <w:r w:rsidRPr="00873B6C">
              <w:rPr>
                <w:sz w:val="16"/>
                <w:szCs w:val="16"/>
              </w:rPr>
              <w:t>Correction on Control Plane protocol stacks</w:t>
            </w:r>
          </w:p>
        </w:tc>
        <w:tc>
          <w:tcPr>
            <w:tcW w:w="708" w:type="dxa"/>
            <w:shd w:val="solid" w:color="FFFFFF" w:fill="auto"/>
          </w:tcPr>
          <w:p w14:paraId="02951BED" w14:textId="77777777" w:rsidR="00D40151" w:rsidRPr="00873B6C" w:rsidRDefault="00D40151" w:rsidP="009D14FB">
            <w:pPr>
              <w:pStyle w:val="TAC"/>
              <w:rPr>
                <w:sz w:val="16"/>
                <w:szCs w:val="16"/>
              </w:rPr>
            </w:pPr>
            <w:r w:rsidRPr="00873B6C">
              <w:rPr>
                <w:sz w:val="16"/>
                <w:szCs w:val="16"/>
              </w:rPr>
              <w:t>15.2.0</w:t>
            </w:r>
          </w:p>
        </w:tc>
      </w:tr>
      <w:tr w:rsidR="00D40151" w:rsidRPr="00873B6C" w14:paraId="47CBF92B" w14:textId="77777777" w:rsidTr="009D14FB">
        <w:tc>
          <w:tcPr>
            <w:tcW w:w="800" w:type="dxa"/>
            <w:shd w:val="solid" w:color="FFFFFF" w:fill="auto"/>
          </w:tcPr>
          <w:p w14:paraId="658FBE8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68DA11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2695A27"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6EB4547F" w14:textId="77777777" w:rsidR="00D40151" w:rsidRPr="00873B6C" w:rsidRDefault="00D40151" w:rsidP="009D14FB">
            <w:pPr>
              <w:pStyle w:val="TAL"/>
              <w:rPr>
                <w:sz w:val="16"/>
                <w:szCs w:val="16"/>
              </w:rPr>
            </w:pPr>
            <w:r w:rsidRPr="00873B6C">
              <w:rPr>
                <w:sz w:val="16"/>
                <w:szCs w:val="16"/>
              </w:rPr>
              <w:t>0241</w:t>
            </w:r>
          </w:p>
        </w:tc>
        <w:tc>
          <w:tcPr>
            <w:tcW w:w="425" w:type="dxa"/>
            <w:shd w:val="solid" w:color="FFFFFF" w:fill="auto"/>
          </w:tcPr>
          <w:p w14:paraId="171A6D2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BDAED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C8C589" w14:textId="77777777" w:rsidR="00D40151" w:rsidRPr="00873B6C" w:rsidRDefault="00D40151" w:rsidP="009D14FB">
            <w:pPr>
              <w:pStyle w:val="TAL"/>
              <w:rPr>
                <w:sz w:val="16"/>
                <w:szCs w:val="16"/>
              </w:rPr>
            </w:pPr>
            <w:r w:rsidRPr="00873B6C">
              <w:rPr>
                <w:sz w:val="16"/>
                <w:szCs w:val="16"/>
              </w:rPr>
              <w:t>Clarification on NSSAI related functionality in 5G RAN</w:t>
            </w:r>
          </w:p>
        </w:tc>
        <w:tc>
          <w:tcPr>
            <w:tcW w:w="708" w:type="dxa"/>
            <w:shd w:val="solid" w:color="FFFFFF" w:fill="auto"/>
          </w:tcPr>
          <w:p w14:paraId="594F06FD" w14:textId="77777777" w:rsidR="00D40151" w:rsidRPr="00873B6C" w:rsidRDefault="00D40151" w:rsidP="009D14FB">
            <w:pPr>
              <w:pStyle w:val="TAC"/>
              <w:rPr>
                <w:sz w:val="16"/>
                <w:szCs w:val="16"/>
              </w:rPr>
            </w:pPr>
            <w:r w:rsidRPr="00873B6C">
              <w:rPr>
                <w:sz w:val="16"/>
                <w:szCs w:val="16"/>
              </w:rPr>
              <w:t>15.2.0</w:t>
            </w:r>
          </w:p>
        </w:tc>
      </w:tr>
      <w:tr w:rsidR="00D40151" w:rsidRPr="00873B6C" w14:paraId="28C9C2B2" w14:textId="77777777" w:rsidTr="009D14FB">
        <w:tc>
          <w:tcPr>
            <w:tcW w:w="800" w:type="dxa"/>
            <w:shd w:val="solid" w:color="FFFFFF" w:fill="auto"/>
          </w:tcPr>
          <w:p w14:paraId="7722B79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9EB0FC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9C9F86D"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744C35FA" w14:textId="77777777" w:rsidR="00D40151" w:rsidRPr="00873B6C" w:rsidRDefault="00D40151" w:rsidP="009D14FB">
            <w:pPr>
              <w:pStyle w:val="TAL"/>
              <w:rPr>
                <w:sz w:val="16"/>
                <w:szCs w:val="16"/>
              </w:rPr>
            </w:pPr>
            <w:r w:rsidRPr="00873B6C">
              <w:rPr>
                <w:sz w:val="16"/>
                <w:szCs w:val="16"/>
              </w:rPr>
              <w:t>0242</w:t>
            </w:r>
          </w:p>
        </w:tc>
        <w:tc>
          <w:tcPr>
            <w:tcW w:w="425" w:type="dxa"/>
            <w:shd w:val="solid" w:color="FFFFFF" w:fill="auto"/>
          </w:tcPr>
          <w:p w14:paraId="2ABFA37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EFF3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58016A" w14:textId="77777777" w:rsidR="00D40151" w:rsidRPr="00873B6C" w:rsidRDefault="00D40151" w:rsidP="009D14FB">
            <w:pPr>
              <w:pStyle w:val="TAL"/>
              <w:rPr>
                <w:sz w:val="16"/>
                <w:szCs w:val="16"/>
              </w:rPr>
            </w:pPr>
            <w:r w:rsidRPr="00873B6C">
              <w:rPr>
                <w:sz w:val="16"/>
                <w:szCs w:val="16"/>
              </w:rPr>
              <w:t>Clarification on Application data</w:t>
            </w:r>
          </w:p>
        </w:tc>
        <w:tc>
          <w:tcPr>
            <w:tcW w:w="708" w:type="dxa"/>
            <w:shd w:val="solid" w:color="FFFFFF" w:fill="auto"/>
          </w:tcPr>
          <w:p w14:paraId="4F3B160D" w14:textId="77777777" w:rsidR="00D40151" w:rsidRPr="00873B6C" w:rsidRDefault="00D40151" w:rsidP="009D14FB">
            <w:pPr>
              <w:pStyle w:val="TAC"/>
              <w:rPr>
                <w:sz w:val="16"/>
                <w:szCs w:val="16"/>
              </w:rPr>
            </w:pPr>
            <w:r w:rsidRPr="00873B6C">
              <w:rPr>
                <w:sz w:val="16"/>
                <w:szCs w:val="16"/>
              </w:rPr>
              <w:t>15.2.0</w:t>
            </w:r>
          </w:p>
        </w:tc>
      </w:tr>
      <w:tr w:rsidR="00D40151" w:rsidRPr="00873B6C" w14:paraId="67412F45" w14:textId="77777777" w:rsidTr="009D14FB">
        <w:tc>
          <w:tcPr>
            <w:tcW w:w="800" w:type="dxa"/>
            <w:shd w:val="solid" w:color="FFFFFF" w:fill="auto"/>
          </w:tcPr>
          <w:p w14:paraId="5F3EF59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D5F796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2C1CB20"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7F9A4883" w14:textId="77777777" w:rsidR="00D40151" w:rsidRPr="00873B6C" w:rsidRDefault="00D40151" w:rsidP="009D14FB">
            <w:pPr>
              <w:pStyle w:val="TAL"/>
              <w:rPr>
                <w:sz w:val="16"/>
                <w:szCs w:val="16"/>
              </w:rPr>
            </w:pPr>
            <w:r w:rsidRPr="00873B6C">
              <w:rPr>
                <w:sz w:val="16"/>
                <w:szCs w:val="16"/>
              </w:rPr>
              <w:t>0244</w:t>
            </w:r>
          </w:p>
        </w:tc>
        <w:tc>
          <w:tcPr>
            <w:tcW w:w="425" w:type="dxa"/>
            <w:shd w:val="solid" w:color="FFFFFF" w:fill="auto"/>
          </w:tcPr>
          <w:p w14:paraId="5CDCCB2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D6A00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952E2B" w14:textId="77777777" w:rsidR="00D40151" w:rsidRPr="00873B6C" w:rsidRDefault="00D40151" w:rsidP="009D14FB">
            <w:pPr>
              <w:pStyle w:val="TAL"/>
              <w:rPr>
                <w:sz w:val="16"/>
                <w:szCs w:val="16"/>
              </w:rPr>
            </w:pPr>
            <w:r w:rsidRPr="00873B6C">
              <w:rPr>
                <w:sz w:val="16"/>
                <w:szCs w:val="16"/>
              </w:rPr>
              <w:t>AMF UE area of interest reporting in RRC inactive state</w:t>
            </w:r>
          </w:p>
        </w:tc>
        <w:tc>
          <w:tcPr>
            <w:tcW w:w="708" w:type="dxa"/>
            <w:shd w:val="solid" w:color="FFFFFF" w:fill="auto"/>
          </w:tcPr>
          <w:p w14:paraId="2418D21C" w14:textId="77777777" w:rsidR="00D40151" w:rsidRPr="00873B6C" w:rsidRDefault="00D40151" w:rsidP="009D14FB">
            <w:pPr>
              <w:pStyle w:val="TAC"/>
              <w:rPr>
                <w:sz w:val="16"/>
                <w:szCs w:val="16"/>
              </w:rPr>
            </w:pPr>
            <w:r w:rsidRPr="00873B6C">
              <w:rPr>
                <w:sz w:val="16"/>
                <w:szCs w:val="16"/>
              </w:rPr>
              <w:t>15.2.0</w:t>
            </w:r>
          </w:p>
        </w:tc>
      </w:tr>
      <w:tr w:rsidR="00D40151" w:rsidRPr="00873B6C" w14:paraId="58942A5A" w14:textId="77777777" w:rsidTr="009D14FB">
        <w:tc>
          <w:tcPr>
            <w:tcW w:w="800" w:type="dxa"/>
            <w:shd w:val="solid" w:color="FFFFFF" w:fill="auto"/>
          </w:tcPr>
          <w:p w14:paraId="4ABF659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BAA72C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50148D4"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5D53CA60" w14:textId="77777777" w:rsidR="00D40151" w:rsidRPr="00873B6C" w:rsidRDefault="00D40151" w:rsidP="009D14FB">
            <w:pPr>
              <w:pStyle w:val="TAL"/>
              <w:rPr>
                <w:sz w:val="16"/>
                <w:szCs w:val="16"/>
              </w:rPr>
            </w:pPr>
            <w:r w:rsidRPr="00873B6C">
              <w:rPr>
                <w:sz w:val="16"/>
                <w:szCs w:val="16"/>
              </w:rPr>
              <w:t>0245</w:t>
            </w:r>
          </w:p>
        </w:tc>
        <w:tc>
          <w:tcPr>
            <w:tcW w:w="425" w:type="dxa"/>
            <w:shd w:val="solid" w:color="FFFFFF" w:fill="auto"/>
          </w:tcPr>
          <w:p w14:paraId="7287AB2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9BDCEA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AEEF68" w14:textId="77777777" w:rsidR="00D40151" w:rsidRPr="00873B6C" w:rsidRDefault="00D40151" w:rsidP="009D14FB">
            <w:pPr>
              <w:pStyle w:val="TAL"/>
              <w:rPr>
                <w:sz w:val="16"/>
                <w:szCs w:val="16"/>
              </w:rPr>
            </w:pPr>
            <w:r w:rsidRPr="00873B6C">
              <w:rPr>
                <w:sz w:val="16"/>
                <w:szCs w:val="16"/>
              </w:rPr>
              <w:t>Clarification on RAT fallback</w:t>
            </w:r>
          </w:p>
        </w:tc>
        <w:tc>
          <w:tcPr>
            <w:tcW w:w="708" w:type="dxa"/>
            <w:shd w:val="solid" w:color="FFFFFF" w:fill="auto"/>
          </w:tcPr>
          <w:p w14:paraId="0F234ED6" w14:textId="77777777" w:rsidR="00D40151" w:rsidRPr="00873B6C" w:rsidRDefault="00D40151" w:rsidP="009D14FB">
            <w:pPr>
              <w:pStyle w:val="TAC"/>
              <w:rPr>
                <w:sz w:val="16"/>
                <w:szCs w:val="16"/>
              </w:rPr>
            </w:pPr>
            <w:r w:rsidRPr="00873B6C">
              <w:rPr>
                <w:sz w:val="16"/>
                <w:szCs w:val="16"/>
              </w:rPr>
              <w:t>15.2.0</w:t>
            </w:r>
          </w:p>
        </w:tc>
      </w:tr>
      <w:tr w:rsidR="00D40151" w:rsidRPr="00873B6C" w14:paraId="3E110E6C" w14:textId="77777777" w:rsidTr="009D14FB">
        <w:tc>
          <w:tcPr>
            <w:tcW w:w="800" w:type="dxa"/>
            <w:shd w:val="solid" w:color="FFFFFF" w:fill="auto"/>
          </w:tcPr>
          <w:p w14:paraId="4729AAE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48DD1C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FB4CCA6"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061BFFF5" w14:textId="77777777" w:rsidR="00D40151" w:rsidRPr="00873B6C" w:rsidRDefault="00D40151" w:rsidP="009D14FB">
            <w:pPr>
              <w:pStyle w:val="TAL"/>
              <w:rPr>
                <w:sz w:val="16"/>
                <w:szCs w:val="16"/>
              </w:rPr>
            </w:pPr>
            <w:r w:rsidRPr="00873B6C">
              <w:rPr>
                <w:sz w:val="16"/>
                <w:szCs w:val="16"/>
              </w:rPr>
              <w:t>0248</w:t>
            </w:r>
          </w:p>
        </w:tc>
        <w:tc>
          <w:tcPr>
            <w:tcW w:w="425" w:type="dxa"/>
            <w:shd w:val="solid" w:color="FFFFFF" w:fill="auto"/>
          </w:tcPr>
          <w:p w14:paraId="7B37130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AE1AF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218D5C" w14:textId="77777777" w:rsidR="00D40151" w:rsidRPr="00873B6C" w:rsidRDefault="00D40151" w:rsidP="009D14FB">
            <w:pPr>
              <w:pStyle w:val="TAL"/>
              <w:rPr>
                <w:sz w:val="16"/>
                <w:szCs w:val="16"/>
              </w:rPr>
            </w:pPr>
            <w:r w:rsidRPr="00873B6C">
              <w:rPr>
                <w:sz w:val="16"/>
                <w:szCs w:val="16"/>
              </w:rPr>
              <w:t>Clarification on notification message</w:t>
            </w:r>
          </w:p>
        </w:tc>
        <w:tc>
          <w:tcPr>
            <w:tcW w:w="708" w:type="dxa"/>
            <w:shd w:val="solid" w:color="FFFFFF" w:fill="auto"/>
          </w:tcPr>
          <w:p w14:paraId="1538C603" w14:textId="77777777" w:rsidR="00D40151" w:rsidRPr="00873B6C" w:rsidRDefault="00D40151" w:rsidP="009D14FB">
            <w:pPr>
              <w:pStyle w:val="TAC"/>
              <w:rPr>
                <w:sz w:val="16"/>
                <w:szCs w:val="16"/>
              </w:rPr>
            </w:pPr>
            <w:r w:rsidRPr="00873B6C">
              <w:rPr>
                <w:sz w:val="16"/>
                <w:szCs w:val="16"/>
              </w:rPr>
              <w:t>15.2.0</w:t>
            </w:r>
          </w:p>
        </w:tc>
      </w:tr>
      <w:tr w:rsidR="00D40151" w:rsidRPr="00873B6C" w14:paraId="2A884242" w14:textId="77777777" w:rsidTr="009D14FB">
        <w:tc>
          <w:tcPr>
            <w:tcW w:w="800" w:type="dxa"/>
            <w:shd w:val="solid" w:color="FFFFFF" w:fill="auto"/>
          </w:tcPr>
          <w:p w14:paraId="2F631AF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0DD4B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5A539CF"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7EA773D1" w14:textId="77777777" w:rsidR="00D40151" w:rsidRPr="00873B6C" w:rsidRDefault="00D40151" w:rsidP="009D14FB">
            <w:pPr>
              <w:pStyle w:val="TAL"/>
              <w:rPr>
                <w:sz w:val="16"/>
                <w:szCs w:val="16"/>
              </w:rPr>
            </w:pPr>
            <w:r w:rsidRPr="00873B6C">
              <w:rPr>
                <w:sz w:val="16"/>
                <w:szCs w:val="16"/>
              </w:rPr>
              <w:t>0250</w:t>
            </w:r>
          </w:p>
        </w:tc>
        <w:tc>
          <w:tcPr>
            <w:tcW w:w="425" w:type="dxa"/>
            <w:shd w:val="solid" w:color="FFFFFF" w:fill="auto"/>
          </w:tcPr>
          <w:p w14:paraId="79130CE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AE34DBD"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2D2A38AF" w14:textId="77777777" w:rsidR="00D40151" w:rsidRPr="00873B6C" w:rsidRDefault="00D40151" w:rsidP="009D14FB">
            <w:pPr>
              <w:pStyle w:val="TAL"/>
              <w:rPr>
                <w:sz w:val="16"/>
                <w:szCs w:val="16"/>
              </w:rPr>
            </w:pPr>
            <w:r w:rsidRPr="00873B6C">
              <w:rPr>
                <w:sz w:val="16"/>
                <w:szCs w:val="16"/>
              </w:rPr>
              <w:t>Editorial correction in clause 5.9.2 Subscription Permanent Identifier</w:t>
            </w:r>
          </w:p>
        </w:tc>
        <w:tc>
          <w:tcPr>
            <w:tcW w:w="708" w:type="dxa"/>
            <w:shd w:val="solid" w:color="FFFFFF" w:fill="auto"/>
          </w:tcPr>
          <w:p w14:paraId="47CD5024" w14:textId="77777777" w:rsidR="00D40151" w:rsidRPr="00873B6C" w:rsidRDefault="00D40151" w:rsidP="009D14FB">
            <w:pPr>
              <w:pStyle w:val="TAC"/>
              <w:rPr>
                <w:sz w:val="16"/>
                <w:szCs w:val="16"/>
              </w:rPr>
            </w:pPr>
            <w:r w:rsidRPr="00873B6C">
              <w:rPr>
                <w:sz w:val="16"/>
                <w:szCs w:val="16"/>
              </w:rPr>
              <w:t>15.2.0</w:t>
            </w:r>
          </w:p>
        </w:tc>
      </w:tr>
      <w:tr w:rsidR="00D40151" w:rsidRPr="00873B6C" w14:paraId="1CC7693B" w14:textId="77777777" w:rsidTr="009D14FB">
        <w:tc>
          <w:tcPr>
            <w:tcW w:w="800" w:type="dxa"/>
            <w:shd w:val="solid" w:color="FFFFFF" w:fill="auto"/>
          </w:tcPr>
          <w:p w14:paraId="486294E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F71AD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ACE6BED"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2C0F1C32" w14:textId="77777777" w:rsidR="00D40151" w:rsidRPr="00873B6C" w:rsidRDefault="00D40151" w:rsidP="009D14FB">
            <w:pPr>
              <w:pStyle w:val="TAL"/>
              <w:rPr>
                <w:sz w:val="16"/>
                <w:szCs w:val="16"/>
              </w:rPr>
            </w:pPr>
            <w:r w:rsidRPr="00873B6C">
              <w:rPr>
                <w:sz w:val="16"/>
                <w:szCs w:val="16"/>
              </w:rPr>
              <w:t>0251</w:t>
            </w:r>
          </w:p>
        </w:tc>
        <w:tc>
          <w:tcPr>
            <w:tcW w:w="425" w:type="dxa"/>
            <w:shd w:val="solid" w:color="FFFFFF" w:fill="auto"/>
          </w:tcPr>
          <w:p w14:paraId="5AB96D60"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16A5D31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A003AD" w14:textId="77777777" w:rsidR="00D40151" w:rsidRPr="00873B6C" w:rsidRDefault="00D40151" w:rsidP="009D14FB">
            <w:pPr>
              <w:pStyle w:val="TAL"/>
              <w:rPr>
                <w:sz w:val="16"/>
                <w:szCs w:val="16"/>
              </w:rPr>
            </w:pPr>
            <w:r w:rsidRPr="00873B6C">
              <w:rPr>
                <w:sz w:val="16"/>
                <w:szCs w:val="16"/>
              </w:rPr>
              <w:t>Correction to DNN subscription</w:t>
            </w:r>
          </w:p>
        </w:tc>
        <w:tc>
          <w:tcPr>
            <w:tcW w:w="708" w:type="dxa"/>
            <w:shd w:val="solid" w:color="FFFFFF" w:fill="auto"/>
          </w:tcPr>
          <w:p w14:paraId="7FB9FA61" w14:textId="77777777" w:rsidR="00D40151" w:rsidRPr="00873B6C" w:rsidRDefault="00D40151" w:rsidP="009D14FB">
            <w:pPr>
              <w:pStyle w:val="TAC"/>
              <w:rPr>
                <w:sz w:val="16"/>
                <w:szCs w:val="16"/>
              </w:rPr>
            </w:pPr>
            <w:r w:rsidRPr="00873B6C">
              <w:rPr>
                <w:sz w:val="16"/>
                <w:szCs w:val="16"/>
              </w:rPr>
              <w:t>15.2.0</w:t>
            </w:r>
          </w:p>
        </w:tc>
      </w:tr>
      <w:tr w:rsidR="00D40151" w:rsidRPr="00873B6C" w14:paraId="23B3F021" w14:textId="77777777" w:rsidTr="009D14FB">
        <w:tc>
          <w:tcPr>
            <w:tcW w:w="800" w:type="dxa"/>
            <w:shd w:val="solid" w:color="FFFFFF" w:fill="auto"/>
          </w:tcPr>
          <w:p w14:paraId="291CB80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DCBC15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CC55C02"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5A67890C" w14:textId="77777777" w:rsidR="00D40151" w:rsidRPr="00873B6C" w:rsidRDefault="00D40151" w:rsidP="009D14FB">
            <w:pPr>
              <w:pStyle w:val="TAL"/>
              <w:rPr>
                <w:sz w:val="16"/>
                <w:szCs w:val="16"/>
              </w:rPr>
            </w:pPr>
            <w:r w:rsidRPr="00873B6C">
              <w:rPr>
                <w:sz w:val="16"/>
                <w:szCs w:val="16"/>
              </w:rPr>
              <w:t>0254</w:t>
            </w:r>
          </w:p>
        </w:tc>
        <w:tc>
          <w:tcPr>
            <w:tcW w:w="425" w:type="dxa"/>
            <w:shd w:val="solid" w:color="FFFFFF" w:fill="auto"/>
          </w:tcPr>
          <w:p w14:paraId="510186C5"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29C259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5B96AD" w14:textId="77777777" w:rsidR="00D40151" w:rsidRPr="00873B6C" w:rsidRDefault="00D40151" w:rsidP="009D14FB">
            <w:pPr>
              <w:pStyle w:val="TAL"/>
              <w:rPr>
                <w:sz w:val="16"/>
                <w:szCs w:val="16"/>
              </w:rPr>
            </w:pPr>
            <w:r w:rsidRPr="00873B6C">
              <w:rPr>
                <w:sz w:val="16"/>
                <w:szCs w:val="16"/>
              </w:rPr>
              <w:t>Clarification on the support of Delay Critical resource type</w:t>
            </w:r>
          </w:p>
        </w:tc>
        <w:tc>
          <w:tcPr>
            <w:tcW w:w="708" w:type="dxa"/>
            <w:shd w:val="solid" w:color="FFFFFF" w:fill="auto"/>
          </w:tcPr>
          <w:p w14:paraId="03B07638" w14:textId="77777777" w:rsidR="00D40151" w:rsidRPr="00873B6C" w:rsidRDefault="00D40151" w:rsidP="009D14FB">
            <w:pPr>
              <w:pStyle w:val="TAC"/>
              <w:rPr>
                <w:sz w:val="16"/>
                <w:szCs w:val="16"/>
              </w:rPr>
            </w:pPr>
            <w:r w:rsidRPr="00873B6C">
              <w:rPr>
                <w:sz w:val="16"/>
                <w:szCs w:val="16"/>
              </w:rPr>
              <w:t>15.2.0</w:t>
            </w:r>
          </w:p>
        </w:tc>
      </w:tr>
      <w:tr w:rsidR="00D40151" w:rsidRPr="00873B6C" w14:paraId="6F7DC1F9" w14:textId="77777777" w:rsidTr="009D14FB">
        <w:tc>
          <w:tcPr>
            <w:tcW w:w="800" w:type="dxa"/>
            <w:shd w:val="solid" w:color="FFFFFF" w:fill="auto"/>
          </w:tcPr>
          <w:p w14:paraId="490FD4C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F63291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A2B494B"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09A78D1A" w14:textId="77777777" w:rsidR="00D40151" w:rsidRPr="00873B6C" w:rsidRDefault="00D40151" w:rsidP="009D14FB">
            <w:pPr>
              <w:pStyle w:val="TAL"/>
              <w:rPr>
                <w:sz w:val="16"/>
                <w:szCs w:val="16"/>
              </w:rPr>
            </w:pPr>
            <w:r w:rsidRPr="00873B6C">
              <w:rPr>
                <w:sz w:val="16"/>
                <w:szCs w:val="16"/>
              </w:rPr>
              <w:t>0255</w:t>
            </w:r>
          </w:p>
        </w:tc>
        <w:tc>
          <w:tcPr>
            <w:tcW w:w="425" w:type="dxa"/>
            <w:shd w:val="solid" w:color="FFFFFF" w:fill="auto"/>
          </w:tcPr>
          <w:p w14:paraId="7BDCE387"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64119E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E7CF8E" w14:textId="77777777" w:rsidR="00D40151" w:rsidRPr="00873B6C" w:rsidRDefault="00D40151" w:rsidP="009D14FB">
            <w:pPr>
              <w:pStyle w:val="TAL"/>
              <w:rPr>
                <w:sz w:val="16"/>
                <w:szCs w:val="16"/>
              </w:rPr>
            </w:pPr>
            <w:r w:rsidRPr="00873B6C">
              <w:rPr>
                <w:sz w:val="16"/>
                <w:szCs w:val="16"/>
              </w:rPr>
              <w:t>Network slicing clause cleanup</w:t>
            </w:r>
          </w:p>
        </w:tc>
        <w:tc>
          <w:tcPr>
            <w:tcW w:w="708" w:type="dxa"/>
            <w:shd w:val="solid" w:color="FFFFFF" w:fill="auto"/>
          </w:tcPr>
          <w:p w14:paraId="621234BB" w14:textId="77777777" w:rsidR="00D40151" w:rsidRPr="00873B6C" w:rsidRDefault="00D40151" w:rsidP="009D14FB">
            <w:pPr>
              <w:pStyle w:val="TAC"/>
              <w:rPr>
                <w:sz w:val="16"/>
                <w:szCs w:val="16"/>
              </w:rPr>
            </w:pPr>
            <w:r w:rsidRPr="00873B6C">
              <w:rPr>
                <w:sz w:val="16"/>
                <w:szCs w:val="16"/>
              </w:rPr>
              <w:t>15.2.0</w:t>
            </w:r>
          </w:p>
        </w:tc>
      </w:tr>
      <w:tr w:rsidR="00D40151" w:rsidRPr="00873B6C" w14:paraId="584AAADE" w14:textId="77777777" w:rsidTr="009D14FB">
        <w:tc>
          <w:tcPr>
            <w:tcW w:w="800" w:type="dxa"/>
            <w:shd w:val="solid" w:color="FFFFFF" w:fill="auto"/>
          </w:tcPr>
          <w:p w14:paraId="468757B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13C841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9A4F958"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68FE7045" w14:textId="77777777" w:rsidR="00D40151" w:rsidRPr="00873B6C" w:rsidRDefault="00D40151" w:rsidP="009D14FB">
            <w:pPr>
              <w:pStyle w:val="TAL"/>
              <w:rPr>
                <w:sz w:val="16"/>
                <w:szCs w:val="16"/>
              </w:rPr>
            </w:pPr>
            <w:r w:rsidRPr="00873B6C">
              <w:rPr>
                <w:sz w:val="16"/>
                <w:szCs w:val="16"/>
              </w:rPr>
              <w:t>0261</w:t>
            </w:r>
          </w:p>
        </w:tc>
        <w:tc>
          <w:tcPr>
            <w:tcW w:w="425" w:type="dxa"/>
            <w:shd w:val="solid" w:color="FFFFFF" w:fill="auto"/>
          </w:tcPr>
          <w:p w14:paraId="0425F5F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59B19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FFA64E" w14:textId="77777777" w:rsidR="00D40151" w:rsidRPr="00873B6C" w:rsidRDefault="00D40151" w:rsidP="009D14FB">
            <w:pPr>
              <w:pStyle w:val="TAL"/>
              <w:rPr>
                <w:sz w:val="16"/>
                <w:szCs w:val="16"/>
              </w:rPr>
            </w:pPr>
            <w:r w:rsidRPr="00873B6C">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873B6C" w:rsidRDefault="00D40151" w:rsidP="009D14FB">
            <w:pPr>
              <w:pStyle w:val="TAC"/>
              <w:rPr>
                <w:sz w:val="16"/>
                <w:szCs w:val="16"/>
              </w:rPr>
            </w:pPr>
            <w:r w:rsidRPr="00873B6C">
              <w:rPr>
                <w:sz w:val="16"/>
                <w:szCs w:val="16"/>
              </w:rPr>
              <w:t>15.2.0</w:t>
            </w:r>
          </w:p>
        </w:tc>
      </w:tr>
      <w:tr w:rsidR="00D40151" w:rsidRPr="00873B6C" w14:paraId="2FAA0C29" w14:textId="77777777" w:rsidTr="009D14FB">
        <w:tc>
          <w:tcPr>
            <w:tcW w:w="800" w:type="dxa"/>
            <w:shd w:val="solid" w:color="FFFFFF" w:fill="auto"/>
          </w:tcPr>
          <w:p w14:paraId="4389DC5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AD7D43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4F45808"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0CE20AE5" w14:textId="77777777" w:rsidR="00D40151" w:rsidRPr="00873B6C" w:rsidRDefault="00D40151" w:rsidP="009D14FB">
            <w:pPr>
              <w:pStyle w:val="TAL"/>
              <w:rPr>
                <w:sz w:val="16"/>
                <w:szCs w:val="16"/>
              </w:rPr>
            </w:pPr>
            <w:r w:rsidRPr="00873B6C">
              <w:rPr>
                <w:sz w:val="16"/>
                <w:szCs w:val="16"/>
              </w:rPr>
              <w:t>0262</w:t>
            </w:r>
          </w:p>
        </w:tc>
        <w:tc>
          <w:tcPr>
            <w:tcW w:w="425" w:type="dxa"/>
            <w:shd w:val="solid" w:color="FFFFFF" w:fill="auto"/>
          </w:tcPr>
          <w:p w14:paraId="56C89A7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8DA34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2B3BF6" w14:textId="77777777" w:rsidR="00D40151" w:rsidRPr="00873B6C" w:rsidRDefault="00D40151" w:rsidP="009D14FB">
            <w:pPr>
              <w:pStyle w:val="TAL"/>
              <w:rPr>
                <w:sz w:val="16"/>
                <w:szCs w:val="16"/>
              </w:rPr>
            </w:pPr>
            <w:r w:rsidRPr="00873B6C">
              <w:rPr>
                <w:sz w:val="16"/>
                <w:szCs w:val="16"/>
              </w:rPr>
              <w:t>Clarification to the usage of Internal-Group Identifier</w:t>
            </w:r>
          </w:p>
        </w:tc>
        <w:tc>
          <w:tcPr>
            <w:tcW w:w="708" w:type="dxa"/>
            <w:shd w:val="solid" w:color="FFFFFF" w:fill="auto"/>
          </w:tcPr>
          <w:p w14:paraId="13A803E4" w14:textId="77777777" w:rsidR="00D40151" w:rsidRPr="00873B6C" w:rsidRDefault="00D40151" w:rsidP="009D14FB">
            <w:pPr>
              <w:pStyle w:val="TAC"/>
              <w:rPr>
                <w:sz w:val="16"/>
                <w:szCs w:val="16"/>
              </w:rPr>
            </w:pPr>
            <w:r w:rsidRPr="00873B6C">
              <w:rPr>
                <w:sz w:val="16"/>
                <w:szCs w:val="16"/>
              </w:rPr>
              <w:t>15.2.0</w:t>
            </w:r>
          </w:p>
        </w:tc>
      </w:tr>
      <w:tr w:rsidR="00D40151" w:rsidRPr="00873B6C" w14:paraId="7CC658F6" w14:textId="77777777" w:rsidTr="009D14FB">
        <w:tc>
          <w:tcPr>
            <w:tcW w:w="800" w:type="dxa"/>
            <w:shd w:val="solid" w:color="FFFFFF" w:fill="auto"/>
          </w:tcPr>
          <w:p w14:paraId="29A13B9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976E5C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15983F7"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72288CEB" w14:textId="77777777" w:rsidR="00D40151" w:rsidRPr="00873B6C" w:rsidRDefault="00D40151" w:rsidP="009D14FB">
            <w:pPr>
              <w:pStyle w:val="TAL"/>
              <w:rPr>
                <w:sz w:val="16"/>
                <w:szCs w:val="16"/>
              </w:rPr>
            </w:pPr>
            <w:r w:rsidRPr="00873B6C">
              <w:rPr>
                <w:sz w:val="16"/>
                <w:szCs w:val="16"/>
              </w:rPr>
              <w:t>0264</w:t>
            </w:r>
          </w:p>
        </w:tc>
        <w:tc>
          <w:tcPr>
            <w:tcW w:w="425" w:type="dxa"/>
            <w:shd w:val="solid" w:color="FFFFFF" w:fill="auto"/>
          </w:tcPr>
          <w:p w14:paraId="18B30CAF"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27FA4C0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444439" w14:textId="77777777" w:rsidR="00D40151" w:rsidRPr="00873B6C" w:rsidRDefault="00D40151" w:rsidP="009D14FB">
            <w:pPr>
              <w:pStyle w:val="TAL"/>
              <w:rPr>
                <w:sz w:val="16"/>
                <w:szCs w:val="16"/>
              </w:rPr>
            </w:pPr>
            <w:r w:rsidRPr="00873B6C">
              <w:rPr>
                <w:sz w:val="16"/>
                <w:szCs w:val="16"/>
              </w:rPr>
              <w:t>Different types of Ethernet services and N4</w:t>
            </w:r>
          </w:p>
        </w:tc>
        <w:tc>
          <w:tcPr>
            <w:tcW w:w="708" w:type="dxa"/>
            <w:shd w:val="solid" w:color="FFFFFF" w:fill="auto"/>
          </w:tcPr>
          <w:p w14:paraId="7DFA0CB4" w14:textId="77777777" w:rsidR="00D40151" w:rsidRPr="00873B6C" w:rsidRDefault="00D40151" w:rsidP="009D14FB">
            <w:pPr>
              <w:pStyle w:val="TAC"/>
              <w:rPr>
                <w:sz w:val="16"/>
                <w:szCs w:val="16"/>
              </w:rPr>
            </w:pPr>
            <w:r w:rsidRPr="00873B6C">
              <w:rPr>
                <w:sz w:val="16"/>
                <w:szCs w:val="16"/>
              </w:rPr>
              <w:t>15.2.0</w:t>
            </w:r>
          </w:p>
        </w:tc>
      </w:tr>
      <w:tr w:rsidR="00D40151" w:rsidRPr="00873B6C" w14:paraId="45705B65" w14:textId="77777777" w:rsidTr="009D14FB">
        <w:tc>
          <w:tcPr>
            <w:tcW w:w="800" w:type="dxa"/>
            <w:shd w:val="solid" w:color="FFFFFF" w:fill="auto"/>
          </w:tcPr>
          <w:p w14:paraId="604FD41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187965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9A0A090"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223C9D70" w14:textId="77777777" w:rsidR="00D40151" w:rsidRPr="00873B6C" w:rsidRDefault="00D40151" w:rsidP="009D14FB">
            <w:pPr>
              <w:pStyle w:val="TAL"/>
              <w:rPr>
                <w:sz w:val="16"/>
                <w:szCs w:val="16"/>
              </w:rPr>
            </w:pPr>
            <w:r w:rsidRPr="00873B6C">
              <w:rPr>
                <w:sz w:val="16"/>
                <w:szCs w:val="16"/>
              </w:rPr>
              <w:t>0265</w:t>
            </w:r>
          </w:p>
        </w:tc>
        <w:tc>
          <w:tcPr>
            <w:tcW w:w="425" w:type="dxa"/>
            <w:shd w:val="solid" w:color="FFFFFF" w:fill="auto"/>
          </w:tcPr>
          <w:p w14:paraId="0A70A58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8B36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A5CD9E" w14:textId="77777777" w:rsidR="00D40151" w:rsidRPr="00873B6C" w:rsidRDefault="00D40151" w:rsidP="009D14FB">
            <w:pPr>
              <w:pStyle w:val="TAL"/>
              <w:rPr>
                <w:sz w:val="16"/>
                <w:szCs w:val="16"/>
              </w:rPr>
            </w:pPr>
            <w:r w:rsidRPr="00873B6C">
              <w:rPr>
                <w:sz w:val="16"/>
                <w:szCs w:val="16"/>
              </w:rPr>
              <w:t>Providing AF with information on the N6 User Plane tunnelling information</w:t>
            </w:r>
          </w:p>
        </w:tc>
        <w:tc>
          <w:tcPr>
            <w:tcW w:w="708" w:type="dxa"/>
            <w:shd w:val="solid" w:color="FFFFFF" w:fill="auto"/>
          </w:tcPr>
          <w:p w14:paraId="3CCDFD04" w14:textId="77777777" w:rsidR="00D40151" w:rsidRPr="00873B6C" w:rsidRDefault="00D40151" w:rsidP="009D14FB">
            <w:pPr>
              <w:pStyle w:val="TAC"/>
              <w:rPr>
                <w:sz w:val="16"/>
                <w:szCs w:val="16"/>
              </w:rPr>
            </w:pPr>
            <w:r w:rsidRPr="00873B6C">
              <w:rPr>
                <w:sz w:val="16"/>
                <w:szCs w:val="16"/>
              </w:rPr>
              <w:t>15.2.0</w:t>
            </w:r>
          </w:p>
        </w:tc>
      </w:tr>
      <w:tr w:rsidR="00D40151" w:rsidRPr="00873B6C" w14:paraId="2294772F" w14:textId="77777777" w:rsidTr="009D14FB">
        <w:tc>
          <w:tcPr>
            <w:tcW w:w="800" w:type="dxa"/>
            <w:shd w:val="solid" w:color="FFFFFF" w:fill="auto"/>
          </w:tcPr>
          <w:p w14:paraId="026EFC79" w14:textId="77777777" w:rsidR="00D40151" w:rsidRPr="00873B6C" w:rsidRDefault="00D40151" w:rsidP="009D14FB">
            <w:pPr>
              <w:pStyle w:val="TAC"/>
              <w:rPr>
                <w:sz w:val="16"/>
                <w:szCs w:val="16"/>
              </w:rPr>
            </w:pPr>
            <w:r w:rsidRPr="00873B6C">
              <w:rPr>
                <w:sz w:val="16"/>
                <w:szCs w:val="16"/>
              </w:rPr>
              <w:lastRenderedPageBreak/>
              <w:t>06-2018</w:t>
            </w:r>
          </w:p>
        </w:tc>
        <w:tc>
          <w:tcPr>
            <w:tcW w:w="800" w:type="dxa"/>
            <w:shd w:val="solid" w:color="FFFFFF" w:fill="auto"/>
          </w:tcPr>
          <w:p w14:paraId="76D86C1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7B6DEA2"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6D87D393" w14:textId="77777777" w:rsidR="00D40151" w:rsidRPr="00873B6C" w:rsidRDefault="00D40151" w:rsidP="009D14FB">
            <w:pPr>
              <w:pStyle w:val="TAL"/>
              <w:rPr>
                <w:sz w:val="16"/>
                <w:szCs w:val="16"/>
              </w:rPr>
            </w:pPr>
            <w:r w:rsidRPr="00873B6C">
              <w:rPr>
                <w:sz w:val="16"/>
                <w:szCs w:val="16"/>
              </w:rPr>
              <w:t>0266</w:t>
            </w:r>
          </w:p>
        </w:tc>
        <w:tc>
          <w:tcPr>
            <w:tcW w:w="425" w:type="dxa"/>
            <w:shd w:val="solid" w:color="FFFFFF" w:fill="auto"/>
          </w:tcPr>
          <w:p w14:paraId="0ECCAFB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D7E60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3D07AC" w14:textId="2BAEC23A" w:rsidR="00D40151" w:rsidRPr="00873B6C" w:rsidRDefault="00D40151" w:rsidP="009D14FB">
            <w:pPr>
              <w:pStyle w:val="TAL"/>
              <w:rPr>
                <w:sz w:val="16"/>
                <w:szCs w:val="16"/>
              </w:rPr>
            </w:pPr>
            <w:r w:rsidRPr="00873B6C">
              <w:rPr>
                <w:sz w:val="16"/>
                <w:szCs w:val="16"/>
              </w:rPr>
              <w:t xml:space="preserve">SMF getting UE location from the AMF for NPLI when no </w:t>
            </w:r>
            <w:r w:rsidR="00426DE4" w:rsidRPr="00873B6C">
              <w:rPr>
                <w:sz w:val="16"/>
                <w:szCs w:val="16"/>
              </w:rPr>
              <w:t>QoS Flow</w:t>
            </w:r>
            <w:r w:rsidRPr="00873B6C">
              <w:rPr>
                <w:sz w:val="16"/>
                <w:szCs w:val="16"/>
              </w:rPr>
              <w:t xml:space="preserve"> to create/Update/modify</w:t>
            </w:r>
          </w:p>
        </w:tc>
        <w:tc>
          <w:tcPr>
            <w:tcW w:w="708" w:type="dxa"/>
            <w:shd w:val="solid" w:color="FFFFFF" w:fill="auto"/>
          </w:tcPr>
          <w:p w14:paraId="445C4373" w14:textId="77777777" w:rsidR="00D40151" w:rsidRPr="00873B6C" w:rsidRDefault="00D40151" w:rsidP="009D14FB">
            <w:pPr>
              <w:pStyle w:val="TAC"/>
              <w:rPr>
                <w:sz w:val="16"/>
                <w:szCs w:val="16"/>
              </w:rPr>
            </w:pPr>
            <w:r w:rsidRPr="00873B6C">
              <w:rPr>
                <w:sz w:val="16"/>
                <w:szCs w:val="16"/>
              </w:rPr>
              <w:t>15.2.0</w:t>
            </w:r>
          </w:p>
        </w:tc>
      </w:tr>
      <w:tr w:rsidR="00D40151" w:rsidRPr="00873B6C" w14:paraId="08D50FD8" w14:textId="77777777" w:rsidTr="009D14FB">
        <w:tc>
          <w:tcPr>
            <w:tcW w:w="800" w:type="dxa"/>
            <w:shd w:val="solid" w:color="FFFFFF" w:fill="auto"/>
          </w:tcPr>
          <w:p w14:paraId="34AD08D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D38CD8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730F747"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6C8B2CCA" w14:textId="77777777" w:rsidR="00D40151" w:rsidRPr="00873B6C" w:rsidRDefault="00D40151" w:rsidP="009D14FB">
            <w:pPr>
              <w:pStyle w:val="TAL"/>
              <w:rPr>
                <w:sz w:val="16"/>
                <w:szCs w:val="16"/>
              </w:rPr>
            </w:pPr>
            <w:r w:rsidRPr="00873B6C">
              <w:rPr>
                <w:sz w:val="16"/>
                <w:szCs w:val="16"/>
              </w:rPr>
              <w:t>0267</w:t>
            </w:r>
          </w:p>
        </w:tc>
        <w:tc>
          <w:tcPr>
            <w:tcW w:w="425" w:type="dxa"/>
            <w:shd w:val="solid" w:color="FFFFFF" w:fill="auto"/>
          </w:tcPr>
          <w:p w14:paraId="324244F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35C435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9066B9" w14:textId="77777777" w:rsidR="00D40151" w:rsidRPr="00873B6C" w:rsidRDefault="00D40151" w:rsidP="009D14FB">
            <w:pPr>
              <w:pStyle w:val="TAL"/>
              <w:rPr>
                <w:sz w:val="16"/>
                <w:szCs w:val="16"/>
              </w:rPr>
            </w:pPr>
            <w:r w:rsidRPr="00873B6C">
              <w:rPr>
                <w:sz w:val="16"/>
                <w:szCs w:val="16"/>
              </w:rPr>
              <w:t>Removal of network restriction for eight concurrent S-NSSAIs when serving a UE</w:t>
            </w:r>
          </w:p>
        </w:tc>
        <w:tc>
          <w:tcPr>
            <w:tcW w:w="708" w:type="dxa"/>
            <w:shd w:val="solid" w:color="FFFFFF" w:fill="auto"/>
          </w:tcPr>
          <w:p w14:paraId="3FC1CCA8" w14:textId="77777777" w:rsidR="00D40151" w:rsidRPr="00873B6C" w:rsidRDefault="00D40151" w:rsidP="009D14FB">
            <w:pPr>
              <w:pStyle w:val="TAC"/>
              <w:rPr>
                <w:sz w:val="16"/>
                <w:szCs w:val="16"/>
              </w:rPr>
            </w:pPr>
            <w:r w:rsidRPr="00873B6C">
              <w:rPr>
                <w:sz w:val="16"/>
                <w:szCs w:val="16"/>
              </w:rPr>
              <w:t>15.2.0</w:t>
            </w:r>
          </w:p>
        </w:tc>
      </w:tr>
      <w:tr w:rsidR="00D40151" w:rsidRPr="00873B6C" w14:paraId="298B055B" w14:textId="77777777" w:rsidTr="009D14FB">
        <w:tc>
          <w:tcPr>
            <w:tcW w:w="800" w:type="dxa"/>
            <w:shd w:val="solid" w:color="FFFFFF" w:fill="auto"/>
          </w:tcPr>
          <w:p w14:paraId="70CD778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56F80B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1AA8E86"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372AAFE7" w14:textId="77777777" w:rsidR="00D40151" w:rsidRPr="00873B6C" w:rsidRDefault="00D40151" w:rsidP="009D14FB">
            <w:pPr>
              <w:pStyle w:val="TAL"/>
              <w:rPr>
                <w:sz w:val="16"/>
                <w:szCs w:val="16"/>
              </w:rPr>
            </w:pPr>
            <w:r w:rsidRPr="00873B6C">
              <w:rPr>
                <w:sz w:val="16"/>
                <w:szCs w:val="16"/>
              </w:rPr>
              <w:t>0268</w:t>
            </w:r>
          </w:p>
        </w:tc>
        <w:tc>
          <w:tcPr>
            <w:tcW w:w="425" w:type="dxa"/>
            <w:shd w:val="solid" w:color="FFFFFF" w:fill="auto"/>
          </w:tcPr>
          <w:p w14:paraId="7BAB094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B8F08B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4EF387" w14:textId="77777777" w:rsidR="00D40151" w:rsidRPr="00873B6C" w:rsidRDefault="00D40151" w:rsidP="009D14FB">
            <w:pPr>
              <w:pStyle w:val="TAL"/>
              <w:rPr>
                <w:sz w:val="16"/>
                <w:szCs w:val="16"/>
              </w:rPr>
            </w:pPr>
            <w:r w:rsidRPr="00873B6C">
              <w:rPr>
                <w:sz w:val="16"/>
                <w:szCs w:val="16"/>
              </w:rPr>
              <w:t>Removal of duplicated requirements for Allowed/Configured NSSAI</w:t>
            </w:r>
          </w:p>
        </w:tc>
        <w:tc>
          <w:tcPr>
            <w:tcW w:w="708" w:type="dxa"/>
            <w:shd w:val="solid" w:color="FFFFFF" w:fill="auto"/>
          </w:tcPr>
          <w:p w14:paraId="14E17D27" w14:textId="77777777" w:rsidR="00D40151" w:rsidRPr="00873B6C" w:rsidRDefault="00D40151" w:rsidP="009D14FB">
            <w:pPr>
              <w:pStyle w:val="TAC"/>
              <w:rPr>
                <w:sz w:val="16"/>
                <w:szCs w:val="16"/>
              </w:rPr>
            </w:pPr>
            <w:r w:rsidRPr="00873B6C">
              <w:rPr>
                <w:sz w:val="16"/>
                <w:szCs w:val="16"/>
              </w:rPr>
              <w:t>15.2.0</w:t>
            </w:r>
          </w:p>
        </w:tc>
      </w:tr>
      <w:tr w:rsidR="00D40151" w:rsidRPr="00873B6C" w14:paraId="7DCC6DDD" w14:textId="77777777" w:rsidTr="009D14FB">
        <w:tc>
          <w:tcPr>
            <w:tcW w:w="800" w:type="dxa"/>
            <w:shd w:val="solid" w:color="FFFFFF" w:fill="auto"/>
          </w:tcPr>
          <w:p w14:paraId="555932C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9FDB10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47DC809"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187007B2" w14:textId="77777777" w:rsidR="00D40151" w:rsidRPr="00873B6C" w:rsidRDefault="00D40151" w:rsidP="009D14FB">
            <w:pPr>
              <w:pStyle w:val="TAL"/>
              <w:rPr>
                <w:sz w:val="16"/>
                <w:szCs w:val="16"/>
              </w:rPr>
            </w:pPr>
            <w:r w:rsidRPr="00873B6C">
              <w:rPr>
                <w:sz w:val="16"/>
                <w:szCs w:val="16"/>
              </w:rPr>
              <w:t>0269</w:t>
            </w:r>
          </w:p>
        </w:tc>
        <w:tc>
          <w:tcPr>
            <w:tcW w:w="425" w:type="dxa"/>
            <w:shd w:val="solid" w:color="FFFFFF" w:fill="auto"/>
          </w:tcPr>
          <w:p w14:paraId="1CE3E60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DFD1E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899F94" w14:textId="77777777" w:rsidR="00D40151" w:rsidRPr="00873B6C" w:rsidRDefault="00D40151" w:rsidP="009D14FB">
            <w:pPr>
              <w:pStyle w:val="TAL"/>
              <w:rPr>
                <w:sz w:val="16"/>
                <w:szCs w:val="16"/>
              </w:rPr>
            </w:pPr>
            <w:r w:rsidRPr="00873B6C">
              <w:rPr>
                <w:sz w:val="16"/>
                <w:szCs w:val="16"/>
              </w:rPr>
              <w:t>Correction to AMF and S-NSSAI overload control</w:t>
            </w:r>
          </w:p>
        </w:tc>
        <w:tc>
          <w:tcPr>
            <w:tcW w:w="708" w:type="dxa"/>
            <w:shd w:val="solid" w:color="FFFFFF" w:fill="auto"/>
          </w:tcPr>
          <w:p w14:paraId="14BBA598" w14:textId="77777777" w:rsidR="00D40151" w:rsidRPr="00873B6C" w:rsidRDefault="00D40151" w:rsidP="009D14FB">
            <w:pPr>
              <w:pStyle w:val="TAC"/>
              <w:rPr>
                <w:sz w:val="16"/>
                <w:szCs w:val="16"/>
              </w:rPr>
            </w:pPr>
            <w:r w:rsidRPr="00873B6C">
              <w:rPr>
                <w:sz w:val="16"/>
                <w:szCs w:val="16"/>
              </w:rPr>
              <w:t>15.2.0</w:t>
            </w:r>
          </w:p>
        </w:tc>
      </w:tr>
      <w:tr w:rsidR="00D40151" w:rsidRPr="00873B6C" w14:paraId="649D48AB" w14:textId="77777777" w:rsidTr="009D14FB">
        <w:tc>
          <w:tcPr>
            <w:tcW w:w="800" w:type="dxa"/>
            <w:shd w:val="solid" w:color="FFFFFF" w:fill="auto"/>
          </w:tcPr>
          <w:p w14:paraId="269FB99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89F848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AAC5BD3"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414BA89C" w14:textId="77777777" w:rsidR="00D40151" w:rsidRPr="00873B6C" w:rsidRDefault="00D40151" w:rsidP="009D14FB">
            <w:pPr>
              <w:pStyle w:val="TAL"/>
              <w:rPr>
                <w:sz w:val="16"/>
                <w:szCs w:val="16"/>
              </w:rPr>
            </w:pPr>
            <w:r w:rsidRPr="00873B6C">
              <w:rPr>
                <w:sz w:val="16"/>
                <w:szCs w:val="16"/>
              </w:rPr>
              <w:t>0270</w:t>
            </w:r>
          </w:p>
        </w:tc>
        <w:tc>
          <w:tcPr>
            <w:tcW w:w="425" w:type="dxa"/>
            <w:shd w:val="solid" w:color="FFFFFF" w:fill="auto"/>
          </w:tcPr>
          <w:p w14:paraId="0E90455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FC1A8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643493" w14:textId="77777777" w:rsidR="00D40151" w:rsidRPr="00873B6C" w:rsidRDefault="00D40151" w:rsidP="009D14FB">
            <w:pPr>
              <w:pStyle w:val="TAL"/>
              <w:rPr>
                <w:sz w:val="16"/>
                <w:szCs w:val="16"/>
              </w:rPr>
            </w:pPr>
            <w:r w:rsidRPr="00873B6C">
              <w:rPr>
                <w:sz w:val="16"/>
                <w:szCs w:val="16"/>
              </w:rPr>
              <w:t>AMF Name and AMF N2AP UE ID</w:t>
            </w:r>
          </w:p>
        </w:tc>
        <w:tc>
          <w:tcPr>
            <w:tcW w:w="708" w:type="dxa"/>
            <w:shd w:val="solid" w:color="FFFFFF" w:fill="auto"/>
          </w:tcPr>
          <w:p w14:paraId="4641C7DD" w14:textId="77777777" w:rsidR="00D40151" w:rsidRPr="00873B6C" w:rsidRDefault="00D40151" w:rsidP="009D14FB">
            <w:pPr>
              <w:pStyle w:val="TAC"/>
              <w:rPr>
                <w:sz w:val="16"/>
                <w:szCs w:val="16"/>
              </w:rPr>
            </w:pPr>
            <w:r w:rsidRPr="00873B6C">
              <w:rPr>
                <w:sz w:val="16"/>
                <w:szCs w:val="16"/>
              </w:rPr>
              <w:t>15.2.0</w:t>
            </w:r>
          </w:p>
        </w:tc>
      </w:tr>
      <w:tr w:rsidR="00D40151" w:rsidRPr="00873B6C" w14:paraId="742A0B1B" w14:textId="77777777" w:rsidTr="009D14FB">
        <w:tc>
          <w:tcPr>
            <w:tcW w:w="800" w:type="dxa"/>
            <w:shd w:val="solid" w:color="FFFFFF" w:fill="auto"/>
          </w:tcPr>
          <w:p w14:paraId="00F9AAB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5177CE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11FBA3A"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693848A0" w14:textId="77777777" w:rsidR="00D40151" w:rsidRPr="00873B6C" w:rsidRDefault="00D40151" w:rsidP="009D14FB">
            <w:pPr>
              <w:pStyle w:val="TAL"/>
              <w:rPr>
                <w:sz w:val="16"/>
                <w:szCs w:val="16"/>
              </w:rPr>
            </w:pPr>
            <w:r w:rsidRPr="00873B6C">
              <w:rPr>
                <w:sz w:val="16"/>
                <w:szCs w:val="16"/>
              </w:rPr>
              <w:t>0271</w:t>
            </w:r>
          </w:p>
        </w:tc>
        <w:tc>
          <w:tcPr>
            <w:tcW w:w="425" w:type="dxa"/>
            <w:shd w:val="solid" w:color="FFFFFF" w:fill="auto"/>
          </w:tcPr>
          <w:p w14:paraId="2F46FEF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1AFFF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DF486F" w14:textId="77777777" w:rsidR="00D40151" w:rsidRPr="00873B6C" w:rsidRDefault="00D40151" w:rsidP="009D14FB">
            <w:pPr>
              <w:pStyle w:val="TAL"/>
              <w:rPr>
                <w:sz w:val="16"/>
                <w:szCs w:val="16"/>
              </w:rPr>
            </w:pPr>
            <w:r w:rsidRPr="00873B6C">
              <w:rPr>
                <w:sz w:val="16"/>
                <w:szCs w:val="16"/>
              </w:rPr>
              <w:t>Correction for support of the Ethernet Type PDU Session</w:t>
            </w:r>
          </w:p>
        </w:tc>
        <w:tc>
          <w:tcPr>
            <w:tcW w:w="708" w:type="dxa"/>
            <w:shd w:val="solid" w:color="FFFFFF" w:fill="auto"/>
          </w:tcPr>
          <w:p w14:paraId="7BEAA788" w14:textId="77777777" w:rsidR="00D40151" w:rsidRPr="00873B6C" w:rsidRDefault="00D40151" w:rsidP="009D14FB">
            <w:pPr>
              <w:pStyle w:val="TAC"/>
              <w:rPr>
                <w:sz w:val="16"/>
                <w:szCs w:val="16"/>
              </w:rPr>
            </w:pPr>
            <w:r w:rsidRPr="00873B6C">
              <w:rPr>
                <w:sz w:val="16"/>
                <w:szCs w:val="16"/>
              </w:rPr>
              <w:t>15.2.0</w:t>
            </w:r>
          </w:p>
        </w:tc>
      </w:tr>
      <w:tr w:rsidR="00D40151" w:rsidRPr="00873B6C" w14:paraId="40E43BE0" w14:textId="77777777" w:rsidTr="009D14FB">
        <w:tc>
          <w:tcPr>
            <w:tcW w:w="800" w:type="dxa"/>
            <w:shd w:val="solid" w:color="FFFFFF" w:fill="auto"/>
          </w:tcPr>
          <w:p w14:paraId="0BF9110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D0E397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5C0605A"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503D44EB" w14:textId="77777777" w:rsidR="00D40151" w:rsidRPr="00873B6C" w:rsidRDefault="00D40151" w:rsidP="009D14FB">
            <w:pPr>
              <w:pStyle w:val="TAL"/>
              <w:rPr>
                <w:sz w:val="16"/>
                <w:szCs w:val="16"/>
              </w:rPr>
            </w:pPr>
            <w:r w:rsidRPr="00873B6C">
              <w:rPr>
                <w:sz w:val="16"/>
                <w:szCs w:val="16"/>
              </w:rPr>
              <w:t>0272</w:t>
            </w:r>
          </w:p>
        </w:tc>
        <w:tc>
          <w:tcPr>
            <w:tcW w:w="425" w:type="dxa"/>
            <w:shd w:val="solid" w:color="FFFFFF" w:fill="auto"/>
          </w:tcPr>
          <w:p w14:paraId="5989DE9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92DEE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217B36" w14:textId="77777777" w:rsidR="00D40151" w:rsidRPr="00873B6C" w:rsidRDefault="00D40151" w:rsidP="009D14FB">
            <w:pPr>
              <w:pStyle w:val="TAL"/>
              <w:rPr>
                <w:sz w:val="16"/>
                <w:szCs w:val="16"/>
              </w:rPr>
            </w:pPr>
            <w:r w:rsidRPr="00873B6C">
              <w:rPr>
                <w:sz w:val="16"/>
                <w:szCs w:val="16"/>
              </w:rPr>
              <w:t>Correction on aspects for LADN</w:t>
            </w:r>
          </w:p>
        </w:tc>
        <w:tc>
          <w:tcPr>
            <w:tcW w:w="708" w:type="dxa"/>
            <w:shd w:val="solid" w:color="FFFFFF" w:fill="auto"/>
          </w:tcPr>
          <w:p w14:paraId="29807A65" w14:textId="77777777" w:rsidR="00D40151" w:rsidRPr="00873B6C" w:rsidRDefault="00D40151" w:rsidP="009D14FB">
            <w:pPr>
              <w:pStyle w:val="TAC"/>
              <w:rPr>
                <w:sz w:val="16"/>
                <w:szCs w:val="16"/>
              </w:rPr>
            </w:pPr>
            <w:r w:rsidRPr="00873B6C">
              <w:rPr>
                <w:sz w:val="16"/>
                <w:szCs w:val="16"/>
              </w:rPr>
              <w:t>15.2.0</w:t>
            </w:r>
          </w:p>
        </w:tc>
      </w:tr>
      <w:tr w:rsidR="00D40151" w:rsidRPr="00873B6C" w14:paraId="194A6A94" w14:textId="77777777" w:rsidTr="009D14FB">
        <w:tc>
          <w:tcPr>
            <w:tcW w:w="800" w:type="dxa"/>
            <w:shd w:val="solid" w:color="FFFFFF" w:fill="auto"/>
          </w:tcPr>
          <w:p w14:paraId="0ED9C94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40B9EE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CDB01C4"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58DFA8D9" w14:textId="77777777" w:rsidR="00D40151" w:rsidRPr="00873B6C" w:rsidRDefault="00D40151" w:rsidP="009D14FB">
            <w:pPr>
              <w:pStyle w:val="TAL"/>
              <w:rPr>
                <w:sz w:val="16"/>
                <w:szCs w:val="16"/>
              </w:rPr>
            </w:pPr>
            <w:r w:rsidRPr="00873B6C">
              <w:rPr>
                <w:sz w:val="16"/>
                <w:szCs w:val="16"/>
              </w:rPr>
              <w:t>0273</w:t>
            </w:r>
          </w:p>
        </w:tc>
        <w:tc>
          <w:tcPr>
            <w:tcW w:w="425" w:type="dxa"/>
            <w:shd w:val="solid" w:color="FFFFFF" w:fill="auto"/>
          </w:tcPr>
          <w:p w14:paraId="175D753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7664D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A764B6" w14:textId="77777777" w:rsidR="00D40151" w:rsidRPr="00873B6C" w:rsidRDefault="00D40151" w:rsidP="009D14FB">
            <w:pPr>
              <w:pStyle w:val="TAL"/>
              <w:rPr>
                <w:sz w:val="16"/>
                <w:szCs w:val="16"/>
              </w:rPr>
            </w:pPr>
            <w:r w:rsidRPr="00873B6C">
              <w:rPr>
                <w:sz w:val="16"/>
                <w:szCs w:val="16"/>
              </w:rPr>
              <w:t>Subscription status notification for Event Exposure service</w:t>
            </w:r>
          </w:p>
        </w:tc>
        <w:tc>
          <w:tcPr>
            <w:tcW w:w="708" w:type="dxa"/>
            <w:shd w:val="solid" w:color="FFFFFF" w:fill="auto"/>
          </w:tcPr>
          <w:p w14:paraId="72CF645E" w14:textId="77777777" w:rsidR="00D40151" w:rsidRPr="00873B6C" w:rsidRDefault="00D40151" w:rsidP="009D14FB">
            <w:pPr>
              <w:pStyle w:val="TAC"/>
              <w:rPr>
                <w:sz w:val="16"/>
                <w:szCs w:val="16"/>
              </w:rPr>
            </w:pPr>
            <w:r w:rsidRPr="00873B6C">
              <w:rPr>
                <w:sz w:val="16"/>
                <w:szCs w:val="16"/>
              </w:rPr>
              <w:t>15.2.0</w:t>
            </w:r>
          </w:p>
        </w:tc>
      </w:tr>
      <w:tr w:rsidR="00D40151" w:rsidRPr="00873B6C" w14:paraId="0ED1B76D" w14:textId="77777777" w:rsidTr="009D14FB">
        <w:tc>
          <w:tcPr>
            <w:tcW w:w="800" w:type="dxa"/>
            <w:shd w:val="solid" w:color="FFFFFF" w:fill="auto"/>
          </w:tcPr>
          <w:p w14:paraId="56E7702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7C57CF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E5763BF"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399A7EB0" w14:textId="77777777" w:rsidR="00D40151" w:rsidRPr="00873B6C" w:rsidRDefault="00D40151" w:rsidP="009D14FB">
            <w:pPr>
              <w:pStyle w:val="TAL"/>
              <w:rPr>
                <w:sz w:val="16"/>
                <w:szCs w:val="16"/>
              </w:rPr>
            </w:pPr>
            <w:r w:rsidRPr="00873B6C">
              <w:rPr>
                <w:sz w:val="16"/>
                <w:szCs w:val="16"/>
              </w:rPr>
              <w:t>0275</w:t>
            </w:r>
          </w:p>
        </w:tc>
        <w:tc>
          <w:tcPr>
            <w:tcW w:w="425" w:type="dxa"/>
            <w:shd w:val="solid" w:color="FFFFFF" w:fill="auto"/>
          </w:tcPr>
          <w:p w14:paraId="76FAF9C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54D515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353404" w14:textId="77777777" w:rsidR="00D40151" w:rsidRPr="00873B6C" w:rsidRDefault="00D40151" w:rsidP="009D14FB">
            <w:pPr>
              <w:pStyle w:val="TAL"/>
              <w:rPr>
                <w:sz w:val="16"/>
                <w:szCs w:val="16"/>
              </w:rPr>
            </w:pPr>
            <w:r w:rsidRPr="00873B6C">
              <w:rPr>
                <w:sz w:val="16"/>
                <w:szCs w:val="16"/>
              </w:rPr>
              <w:t>Clarification on SMF selection</w:t>
            </w:r>
          </w:p>
        </w:tc>
        <w:tc>
          <w:tcPr>
            <w:tcW w:w="708" w:type="dxa"/>
            <w:shd w:val="solid" w:color="FFFFFF" w:fill="auto"/>
          </w:tcPr>
          <w:p w14:paraId="5E196201" w14:textId="77777777" w:rsidR="00D40151" w:rsidRPr="00873B6C" w:rsidRDefault="00D40151" w:rsidP="009D14FB">
            <w:pPr>
              <w:pStyle w:val="TAC"/>
              <w:rPr>
                <w:sz w:val="16"/>
                <w:szCs w:val="16"/>
              </w:rPr>
            </w:pPr>
            <w:r w:rsidRPr="00873B6C">
              <w:rPr>
                <w:sz w:val="16"/>
                <w:szCs w:val="16"/>
              </w:rPr>
              <w:t>15.2.0</w:t>
            </w:r>
          </w:p>
        </w:tc>
      </w:tr>
      <w:tr w:rsidR="00D40151" w:rsidRPr="00873B6C" w14:paraId="60BEB8CA" w14:textId="77777777" w:rsidTr="009D14FB">
        <w:tc>
          <w:tcPr>
            <w:tcW w:w="800" w:type="dxa"/>
            <w:shd w:val="solid" w:color="FFFFFF" w:fill="auto"/>
          </w:tcPr>
          <w:p w14:paraId="1E769C2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750550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FDC0DB1"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6806390F" w14:textId="77777777" w:rsidR="00D40151" w:rsidRPr="00873B6C" w:rsidRDefault="00D40151" w:rsidP="009D14FB">
            <w:pPr>
              <w:pStyle w:val="TAL"/>
              <w:rPr>
                <w:sz w:val="16"/>
                <w:szCs w:val="16"/>
              </w:rPr>
            </w:pPr>
            <w:r w:rsidRPr="00873B6C">
              <w:rPr>
                <w:sz w:val="16"/>
                <w:szCs w:val="16"/>
              </w:rPr>
              <w:t>0276</w:t>
            </w:r>
          </w:p>
        </w:tc>
        <w:tc>
          <w:tcPr>
            <w:tcW w:w="425" w:type="dxa"/>
            <w:shd w:val="solid" w:color="FFFFFF" w:fill="auto"/>
          </w:tcPr>
          <w:p w14:paraId="51C7D4B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A38F3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DFB992" w14:textId="77777777" w:rsidR="00D40151" w:rsidRPr="00873B6C" w:rsidRDefault="00D40151" w:rsidP="009D14FB">
            <w:pPr>
              <w:pStyle w:val="TAL"/>
              <w:rPr>
                <w:sz w:val="16"/>
                <w:szCs w:val="16"/>
              </w:rPr>
            </w:pPr>
            <w:r w:rsidRPr="00873B6C">
              <w:rPr>
                <w:sz w:val="16"/>
                <w:szCs w:val="16"/>
              </w:rPr>
              <w:t>Clarification on SMSF selection</w:t>
            </w:r>
          </w:p>
        </w:tc>
        <w:tc>
          <w:tcPr>
            <w:tcW w:w="708" w:type="dxa"/>
            <w:shd w:val="solid" w:color="FFFFFF" w:fill="auto"/>
          </w:tcPr>
          <w:p w14:paraId="22DF048F" w14:textId="77777777" w:rsidR="00D40151" w:rsidRPr="00873B6C" w:rsidRDefault="00D40151" w:rsidP="009D14FB">
            <w:pPr>
              <w:pStyle w:val="TAC"/>
              <w:rPr>
                <w:sz w:val="16"/>
                <w:szCs w:val="16"/>
              </w:rPr>
            </w:pPr>
            <w:r w:rsidRPr="00873B6C">
              <w:rPr>
                <w:sz w:val="16"/>
                <w:szCs w:val="16"/>
              </w:rPr>
              <w:t>15.2.0</w:t>
            </w:r>
          </w:p>
        </w:tc>
      </w:tr>
      <w:tr w:rsidR="00D40151" w:rsidRPr="00873B6C" w14:paraId="7A36DAA8" w14:textId="77777777" w:rsidTr="009D14FB">
        <w:tc>
          <w:tcPr>
            <w:tcW w:w="800" w:type="dxa"/>
            <w:shd w:val="solid" w:color="FFFFFF" w:fill="auto"/>
          </w:tcPr>
          <w:p w14:paraId="0FC40B3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EEF94D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82E2E6F"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1EB83DDB" w14:textId="77777777" w:rsidR="00D40151" w:rsidRPr="00873B6C" w:rsidRDefault="00D40151" w:rsidP="009D14FB">
            <w:pPr>
              <w:pStyle w:val="TAL"/>
              <w:rPr>
                <w:sz w:val="16"/>
                <w:szCs w:val="16"/>
              </w:rPr>
            </w:pPr>
            <w:r w:rsidRPr="00873B6C">
              <w:rPr>
                <w:sz w:val="16"/>
                <w:szCs w:val="16"/>
              </w:rPr>
              <w:t>0280</w:t>
            </w:r>
          </w:p>
        </w:tc>
        <w:tc>
          <w:tcPr>
            <w:tcW w:w="425" w:type="dxa"/>
            <w:shd w:val="solid" w:color="FFFFFF" w:fill="auto"/>
          </w:tcPr>
          <w:p w14:paraId="1D29B2D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3BE58A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5C4FF2" w14:textId="77777777" w:rsidR="00D40151" w:rsidRPr="00873B6C" w:rsidRDefault="00D40151" w:rsidP="009D14FB">
            <w:pPr>
              <w:pStyle w:val="TAL"/>
              <w:rPr>
                <w:sz w:val="16"/>
                <w:szCs w:val="16"/>
              </w:rPr>
            </w:pPr>
            <w:r w:rsidRPr="00873B6C">
              <w:rPr>
                <w:sz w:val="16"/>
                <w:szCs w:val="16"/>
              </w:rPr>
              <w:t>Update for providing policy requirements to multiple UEs</w:t>
            </w:r>
          </w:p>
        </w:tc>
        <w:tc>
          <w:tcPr>
            <w:tcW w:w="708" w:type="dxa"/>
            <w:shd w:val="solid" w:color="FFFFFF" w:fill="auto"/>
          </w:tcPr>
          <w:p w14:paraId="2873B6C1" w14:textId="77777777" w:rsidR="00D40151" w:rsidRPr="00873B6C" w:rsidRDefault="00D40151" w:rsidP="009D14FB">
            <w:pPr>
              <w:pStyle w:val="TAC"/>
              <w:rPr>
                <w:sz w:val="16"/>
                <w:szCs w:val="16"/>
              </w:rPr>
            </w:pPr>
            <w:r w:rsidRPr="00873B6C">
              <w:rPr>
                <w:sz w:val="16"/>
                <w:szCs w:val="16"/>
              </w:rPr>
              <w:t>15.2.0</w:t>
            </w:r>
          </w:p>
        </w:tc>
      </w:tr>
      <w:tr w:rsidR="00D40151" w:rsidRPr="00873B6C" w14:paraId="4068DD37" w14:textId="77777777" w:rsidTr="009D14FB">
        <w:tc>
          <w:tcPr>
            <w:tcW w:w="800" w:type="dxa"/>
            <w:shd w:val="solid" w:color="FFFFFF" w:fill="auto"/>
          </w:tcPr>
          <w:p w14:paraId="256F695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E29612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8135F7"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7C0016EC" w14:textId="77777777" w:rsidR="00D40151" w:rsidRPr="00873B6C" w:rsidRDefault="00D40151" w:rsidP="009D14FB">
            <w:pPr>
              <w:pStyle w:val="TAL"/>
              <w:rPr>
                <w:sz w:val="16"/>
                <w:szCs w:val="16"/>
              </w:rPr>
            </w:pPr>
            <w:r w:rsidRPr="00873B6C">
              <w:rPr>
                <w:sz w:val="16"/>
                <w:szCs w:val="16"/>
              </w:rPr>
              <w:t>0282</w:t>
            </w:r>
          </w:p>
        </w:tc>
        <w:tc>
          <w:tcPr>
            <w:tcW w:w="425" w:type="dxa"/>
            <w:shd w:val="solid" w:color="FFFFFF" w:fill="auto"/>
          </w:tcPr>
          <w:p w14:paraId="2A7C65E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15E26A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FDEFC6" w14:textId="77777777" w:rsidR="00D40151" w:rsidRPr="00873B6C" w:rsidRDefault="00D40151" w:rsidP="009D14FB">
            <w:pPr>
              <w:pStyle w:val="TAL"/>
              <w:rPr>
                <w:sz w:val="16"/>
                <w:szCs w:val="16"/>
              </w:rPr>
            </w:pPr>
            <w:r w:rsidRPr="00873B6C">
              <w:rPr>
                <w:sz w:val="16"/>
                <w:szCs w:val="16"/>
              </w:rPr>
              <w:t>Clarifying handling of reachability state</w:t>
            </w:r>
          </w:p>
        </w:tc>
        <w:tc>
          <w:tcPr>
            <w:tcW w:w="708" w:type="dxa"/>
            <w:shd w:val="solid" w:color="FFFFFF" w:fill="auto"/>
          </w:tcPr>
          <w:p w14:paraId="0FE43243" w14:textId="77777777" w:rsidR="00D40151" w:rsidRPr="00873B6C" w:rsidRDefault="00D40151" w:rsidP="009D14FB">
            <w:pPr>
              <w:pStyle w:val="TAC"/>
              <w:rPr>
                <w:sz w:val="16"/>
                <w:szCs w:val="16"/>
              </w:rPr>
            </w:pPr>
            <w:r w:rsidRPr="00873B6C">
              <w:rPr>
                <w:sz w:val="16"/>
                <w:szCs w:val="16"/>
              </w:rPr>
              <w:t>15.2.0</w:t>
            </w:r>
          </w:p>
        </w:tc>
      </w:tr>
      <w:tr w:rsidR="00D40151" w:rsidRPr="00873B6C" w14:paraId="693FD23A" w14:textId="77777777" w:rsidTr="009D14FB">
        <w:tc>
          <w:tcPr>
            <w:tcW w:w="800" w:type="dxa"/>
            <w:shd w:val="solid" w:color="FFFFFF" w:fill="auto"/>
          </w:tcPr>
          <w:p w14:paraId="11FB50E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15B557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7EB25ED"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731AD1A2" w14:textId="77777777" w:rsidR="00D40151" w:rsidRPr="00873B6C" w:rsidRDefault="00D40151" w:rsidP="009D14FB">
            <w:pPr>
              <w:pStyle w:val="TAL"/>
              <w:rPr>
                <w:sz w:val="16"/>
                <w:szCs w:val="16"/>
              </w:rPr>
            </w:pPr>
            <w:r w:rsidRPr="00873B6C">
              <w:rPr>
                <w:sz w:val="16"/>
                <w:szCs w:val="16"/>
              </w:rPr>
              <w:t>0283</w:t>
            </w:r>
          </w:p>
        </w:tc>
        <w:tc>
          <w:tcPr>
            <w:tcW w:w="425" w:type="dxa"/>
            <w:shd w:val="solid" w:color="FFFFFF" w:fill="auto"/>
          </w:tcPr>
          <w:p w14:paraId="66E91A34"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179F1B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EFCD54" w14:textId="77777777" w:rsidR="00D40151" w:rsidRPr="00873B6C" w:rsidRDefault="00D40151" w:rsidP="009D14FB">
            <w:pPr>
              <w:pStyle w:val="TAL"/>
              <w:rPr>
                <w:sz w:val="16"/>
                <w:szCs w:val="16"/>
              </w:rPr>
            </w:pPr>
            <w:r w:rsidRPr="00873B6C">
              <w:rPr>
                <w:sz w:val="16"/>
                <w:szCs w:val="16"/>
              </w:rPr>
              <w:t>Dual Registration mode of operation from E-UTRA cell connecting to both EPC and 5GC</w:t>
            </w:r>
          </w:p>
        </w:tc>
        <w:tc>
          <w:tcPr>
            <w:tcW w:w="708" w:type="dxa"/>
            <w:shd w:val="solid" w:color="FFFFFF" w:fill="auto"/>
          </w:tcPr>
          <w:p w14:paraId="03A4EDB4" w14:textId="77777777" w:rsidR="00D40151" w:rsidRPr="00873B6C" w:rsidRDefault="00D40151" w:rsidP="009D14FB">
            <w:pPr>
              <w:pStyle w:val="TAC"/>
              <w:rPr>
                <w:sz w:val="16"/>
                <w:szCs w:val="16"/>
              </w:rPr>
            </w:pPr>
            <w:r w:rsidRPr="00873B6C">
              <w:rPr>
                <w:sz w:val="16"/>
                <w:szCs w:val="16"/>
              </w:rPr>
              <w:t>15.2.0</w:t>
            </w:r>
          </w:p>
        </w:tc>
      </w:tr>
      <w:tr w:rsidR="00D40151" w:rsidRPr="00873B6C" w14:paraId="64BEDCB8" w14:textId="77777777" w:rsidTr="009D14FB">
        <w:tc>
          <w:tcPr>
            <w:tcW w:w="800" w:type="dxa"/>
            <w:shd w:val="solid" w:color="FFFFFF" w:fill="auto"/>
          </w:tcPr>
          <w:p w14:paraId="5070F1F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8000E2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52B3A64"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766BFAD2" w14:textId="77777777" w:rsidR="00D40151" w:rsidRPr="00873B6C" w:rsidRDefault="00D40151" w:rsidP="009D14FB">
            <w:pPr>
              <w:pStyle w:val="TAL"/>
              <w:rPr>
                <w:sz w:val="16"/>
                <w:szCs w:val="16"/>
              </w:rPr>
            </w:pPr>
            <w:r w:rsidRPr="00873B6C">
              <w:rPr>
                <w:sz w:val="16"/>
                <w:szCs w:val="16"/>
              </w:rPr>
              <w:t>0284</w:t>
            </w:r>
          </w:p>
        </w:tc>
        <w:tc>
          <w:tcPr>
            <w:tcW w:w="425" w:type="dxa"/>
            <w:shd w:val="solid" w:color="FFFFFF" w:fill="auto"/>
          </w:tcPr>
          <w:p w14:paraId="27824B1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8794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583ECE" w14:textId="77777777" w:rsidR="00D40151" w:rsidRPr="00873B6C" w:rsidRDefault="00D40151" w:rsidP="009D14FB">
            <w:pPr>
              <w:pStyle w:val="TAL"/>
              <w:rPr>
                <w:sz w:val="16"/>
                <w:szCs w:val="16"/>
              </w:rPr>
            </w:pPr>
            <w:r w:rsidRPr="00873B6C">
              <w:rPr>
                <w:sz w:val="16"/>
                <w:szCs w:val="16"/>
              </w:rPr>
              <w:t>Consolidation of UE Network Capabilities</w:t>
            </w:r>
          </w:p>
        </w:tc>
        <w:tc>
          <w:tcPr>
            <w:tcW w:w="708" w:type="dxa"/>
            <w:shd w:val="solid" w:color="FFFFFF" w:fill="auto"/>
          </w:tcPr>
          <w:p w14:paraId="3C6E0B93" w14:textId="77777777" w:rsidR="00D40151" w:rsidRPr="00873B6C" w:rsidRDefault="00D40151" w:rsidP="009D14FB">
            <w:pPr>
              <w:pStyle w:val="TAC"/>
              <w:rPr>
                <w:sz w:val="16"/>
                <w:szCs w:val="16"/>
              </w:rPr>
            </w:pPr>
            <w:r w:rsidRPr="00873B6C">
              <w:rPr>
                <w:sz w:val="16"/>
                <w:szCs w:val="16"/>
              </w:rPr>
              <w:t>15.2.0</w:t>
            </w:r>
          </w:p>
        </w:tc>
      </w:tr>
      <w:tr w:rsidR="00D40151" w:rsidRPr="00873B6C" w14:paraId="419268CF" w14:textId="77777777" w:rsidTr="009D14FB">
        <w:tc>
          <w:tcPr>
            <w:tcW w:w="800" w:type="dxa"/>
            <w:shd w:val="solid" w:color="FFFFFF" w:fill="auto"/>
          </w:tcPr>
          <w:p w14:paraId="0926624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094F2B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D2F5349"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6B9AC8F8" w14:textId="77777777" w:rsidR="00D40151" w:rsidRPr="00873B6C" w:rsidRDefault="00D40151" w:rsidP="009D14FB">
            <w:pPr>
              <w:pStyle w:val="TAL"/>
              <w:rPr>
                <w:sz w:val="16"/>
                <w:szCs w:val="16"/>
              </w:rPr>
            </w:pPr>
            <w:r w:rsidRPr="00873B6C">
              <w:rPr>
                <w:sz w:val="16"/>
                <w:szCs w:val="16"/>
              </w:rPr>
              <w:t>0285</w:t>
            </w:r>
          </w:p>
        </w:tc>
        <w:tc>
          <w:tcPr>
            <w:tcW w:w="425" w:type="dxa"/>
            <w:shd w:val="solid" w:color="FFFFFF" w:fill="auto"/>
          </w:tcPr>
          <w:p w14:paraId="2C1CCDC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81007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EDD4FA" w14:textId="77777777" w:rsidR="00D40151" w:rsidRPr="00873B6C" w:rsidRDefault="00D40151" w:rsidP="009D14FB">
            <w:pPr>
              <w:pStyle w:val="TAL"/>
              <w:rPr>
                <w:sz w:val="16"/>
                <w:szCs w:val="16"/>
              </w:rPr>
            </w:pPr>
            <w:r w:rsidRPr="00873B6C">
              <w:rPr>
                <w:sz w:val="16"/>
                <w:szCs w:val="16"/>
              </w:rPr>
              <w:t>NAS level congestion control for emergency and high priority access</w:t>
            </w:r>
          </w:p>
        </w:tc>
        <w:tc>
          <w:tcPr>
            <w:tcW w:w="708" w:type="dxa"/>
            <w:shd w:val="solid" w:color="FFFFFF" w:fill="auto"/>
          </w:tcPr>
          <w:p w14:paraId="441054CF" w14:textId="77777777" w:rsidR="00D40151" w:rsidRPr="00873B6C" w:rsidRDefault="00D40151" w:rsidP="009D14FB">
            <w:pPr>
              <w:pStyle w:val="TAC"/>
              <w:rPr>
                <w:sz w:val="16"/>
                <w:szCs w:val="16"/>
              </w:rPr>
            </w:pPr>
            <w:r w:rsidRPr="00873B6C">
              <w:rPr>
                <w:sz w:val="16"/>
                <w:szCs w:val="16"/>
              </w:rPr>
              <w:t>15.2.0</w:t>
            </w:r>
          </w:p>
        </w:tc>
      </w:tr>
      <w:tr w:rsidR="00D40151" w:rsidRPr="00873B6C" w14:paraId="2974010A" w14:textId="77777777" w:rsidTr="009D14FB">
        <w:tc>
          <w:tcPr>
            <w:tcW w:w="800" w:type="dxa"/>
            <w:shd w:val="solid" w:color="FFFFFF" w:fill="auto"/>
          </w:tcPr>
          <w:p w14:paraId="28CB9E5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6868B4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29B1A69" w14:textId="77777777" w:rsidR="00D40151" w:rsidRPr="00873B6C" w:rsidRDefault="00D40151" w:rsidP="009D14FB">
            <w:pPr>
              <w:pStyle w:val="TAC"/>
              <w:rPr>
                <w:sz w:val="16"/>
                <w:szCs w:val="16"/>
              </w:rPr>
            </w:pPr>
            <w:r w:rsidRPr="00873B6C">
              <w:rPr>
                <w:sz w:val="16"/>
                <w:szCs w:val="16"/>
              </w:rPr>
              <w:t>SP-180476</w:t>
            </w:r>
          </w:p>
        </w:tc>
        <w:tc>
          <w:tcPr>
            <w:tcW w:w="567" w:type="dxa"/>
            <w:shd w:val="solid" w:color="FFFFFF" w:fill="auto"/>
          </w:tcPr>
          <w:p w14:paraId="6350F746" w14:textId="77777777" w:rsidR="00D40151" w:rsidRPr="00873B6C" w:rsidRDefault="00D40151" w:rsidP="009D14FB">
            <w:pPr>
              <w:pStyle w:val="TAL"/>
              <w:rPr>
                <w:sz w:val="16"/>
                <w:szCs w:val="16"/>
              </w:rPr>
            </w:pPr>
            <w:r w:rsidRPr="00873B6C">
              <w:rPr>
                <w:sz w:val="16"/>
                <w:szCs w:val="16"/>
              </w:rPr>
              <w:t>0286</w:t>
            </w:r>
          </w:p>
        </w:tc>
        <w:tc>
          <w:tcPr>
            <w:tcW w:w="425" w:type="dxa"/>
            <w:shd w:val="solid" w:color="FFFFFF" w:fill="auto"/>
          </w:tcPr>
          <w:p w14:paraId="342B1D0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06A01D"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A39664F" w14:textId="30F5FB14" w:rsidR="00D40151" w:rsidRPr="00873B6C" w:rsidRDefault="00D40151" w:rsidP="009D14FB">
            <w:pPr>
              <w:pStyle w:val="TAL"/>
              <w:rPr>
                <w:sz w:val="16"/>
                <w:szCs w:val="16"/>
              </w:rPr>
            </w:pPr>
            <w:r w:rsidRPr="00873B6C">
              <w:rPr>
                <w:sz w:val="16"/>
                <w:szCs w:val="16"/>
              </w:rPr>
              <w:t>Coexistence of RRC Inactive and Dual Connectivity</w:t>
            </w:r>
          </w:p>
        </w:tc>
        <w:tc>
          <w:tcPr>
            <w:tcW w:w="708" w:type="dxa"/>
            <w:shd w:val="solid" w:color="FFFFFF" w:fill="auto"/>
          </w:tcPr>
          <w:p w14:paraId="27169C39" w14:textId="77777777" w:rsidR="00D40151" w:rsidRPr="00873B6C" w:rsidRDefault="00D40151" w:rsidP="009D14FB">
            <w:pPr>
              <w:pStyle w:val="TAC"/>
              <w:rPr>
                <w:sz w:val="16"/>
                <w:szCs w:val="16"/>
              </w:rPr>
            </w:pPr>
            <w:r w:rsidRPr="00873B6C">
              <w:rPr>
                <w:sz w:val="16"/>
                <w:szCs w:val="16"/>
              </w:rPr>
              <w:t>15.2.0</w:t>
            </w:r>
          </w:p>
        </w:tc>
      </w:tr>
      <w:tr w:rsidR="00D40151" w:rsidRPr="00873B6C" w14:paraId="6A4D7588" w14:textId="77777777" w:rsidTr="009D14FB">
        <w:tc>
          <w:tcPr>
            <w:tcW w:w="800" w:type="dxa"/>
            <w:shd w:val="solid" w:color="FFFFFF" w:fill="auto"/>
          </w:tcPr>
          <w:p w14:paraId="6258974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BB1476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B0E145C"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462FFFB0" w14:textId="77777777" w:rsidR="00D40151" w:rsidRPr="00873B6C" w:rsidRDefault="00D40151" w:rsidP="009D14FB">
            <w:pPr>
              <w:pStyle w:val="TAL"/>
              <w:rPr>
                <w:sz w:val="16"/>
                <w:szCs w:val="16"/>
              </w:rPr>
            </w:pPr>
            <w:r w:rsidRPr="00873B6C">
              <w:rPr>
                <w:sz w:val="16"/>
                <w:szCs w:val="16"/>
              </w:rPr>
              <w:t>0287</w:t>
            </w:r>
          </w:p>
        </w:tc>
        <w:tc>
          <w:tcPr>
            <w:tcW w:w="425" w:type="dxa"/>
            <w:shd w:val="solid" w:color="FFFFFF" w:fill="auto"/>
          </w:tcPr>
          <w:p w14:paraId="3A70DCD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6D56FD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303A03" w14:textId="77777777" w:rsidR="00D40151" w:rsidRPr="00873B6C" w:rsidRDefault="00D40151" w:rsidP="009D14FB">
            <w:pPr>
              <w:pStyle w:val="TAL"/>
              <w:rPr>
                <w:sz w:val="16"/>
                <w:szCs w:val="16"/>
              </w:rPr>
            </w:pPr>
            <w:r w:rsidRPr="00873B6C">
              <w:rPr>
                <w:sz w:val="16"/>
                <w:szCs w:val="16"/>
              </w:rPr>
              <w:t>Mapped parameters in case of No N26</w:t>
            </w:r>
          </w:p>
        </w:tc>
        <w:tc>
          <w:tcPr>
            <w:tcW w:w="708" w:type="dxa"/>
            <w:shd w:val="solid" w:color="FFFFFF" w:fill="auto"/>
          </w:tcPr>
          <w:p w14:paraId="762E53B0" w14:textId="77777777" w:rsidR="00D40151" w:rsidRPr="00873B6C" w:rsidRDefault="00D40151" w:rsidP="009D14FB">
            <w:pPr>
              <w:pStyle w:val="TAC"/>
              <w:rPr>
                <w:sz w:val="16"/>
                <w:szCs w:val="16"/>
              </w:rPr>
            </w:pPr>
            <w:r w:rsidRPr="00873B6C">
              <w:rPr>
                <w:sz w:val="16"/>
                <w:szCs w:val="16"/>
              </w:rPr>
              <w:t>15.2.0</w:t>
            </w:r>
          </w:p>
        </w:tc>
      </w:tr>
      <w:tr w:rsidR="00D40151" w:rsidRPr="00873B6C" w14:paraId="6100DD7A" w14:textId="77777777" w:rsidTr="009D14FB">
        <w:tc>
          <w:tcPr>
            <w:tcW w:w="800" w:type="dxa"/>
            <w:shd w:val="solid" w:color="FFFFFF" w:fill="auto"/>
          </w:tcPr>
          <w:p w14:paraId="38A2C02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6B207D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6E35FA8"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5BD96B60" w14:textId="77777777" w:rsidR="00D40151" w:rsidRPr="00873B6C" w:rsidRDefault="00D40151" w:rsidP="009D14FB">
            <w:pPr>
              <w:pStyle w:val="TAL"/>
              <w:rPr>
                <w:sz w:val="16"/>
                <w:szCs w:val="16"/>
              </w:rPr>
            </w:pPr>
            <w:r w:rsidRPr="00873B6C">
              <w:rPr>
                <w:sz w:val="16"/>
                <w:szCs w:val="16"/>
              </w:rPr>
              <w:t>0289</w:t>
            </w:r>
          </w:p>
        </w:tc>
        <w:tc>
          <w:tcPr>
            <w:tcW w:w="425" w:type="dxa"/>
            <w:shd w:val="solid" w:color="FFFFFF" w:fill="auto"/>
          </w:tcPr>
          <w:p w14:paraId="3EF9165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4DA16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9CA26D" w14:textId="77777777" w:rsidR="00D40151" w:rsidRPr="00873B6C" w:rsidRDefault="00D40151" w:rsidP="009D14FB">
            <w:pPr>
              <w:pStyle w:val="TAL"/>
              <w:rPr>
                <w:sz w:val="16"/>
                <w:szCs w:val="16"/>
              </w:rPr>
            </w:pPr>
            <w:r w:rsidRPr="00873B6C">
              <w:rPr>
                <w:sz w:val="16"/>
                <w:szCs w:val="16"/>
              </w:rPr>
              <w:t>Clarification on the use of shared AMF Pointer value</w:t>
            </w:r>
          </w:p>
        </w:tc>
        <w:tc>
          <w:tcPr>
            <w:tcW w:w="708" w:type="dxa"/>
            <w:shd w:val="solid" w:color="FFFFFF" w:fill="auto"/>
          </w:tcPr>
          <w:p w14:paraId="2D102FA7" w14:textId="77777777" w:rsidR="00D40151" w:rsidRPr="00873B6C" w:rsidRDefault="00D40151" w:rsidP="009D14FB">
            <w:pPr>
              <w:pStyle w:val="TAC"/>
              <w:rPr>
                <w:sz w:val="16"/>
                <w:szCs w:val="16"/>
              </w:rPr>
            </w:pPr>
            <w:r w:rsidRPr="00873B6C">
              <w:rPr>
                <w:sz w:val="16"/>
                <w:szCs w:val="16"/>
              </w:rPr>
              <w:t>15.2.0</w:t>
            </w:r>
          </w:p>
        </w:tc>
      </w:tr>
      <w:tr w:rsidR="00D40151" w:rsidRPr="00873B6C" w14:paraId="0376567B" w14:textId="77777777" w:rsidTr="009D14FB">
        <w:tc>
          <w:tcPr>
            <w:tcW w:w="800" w:type="dxa"/>
            <w:shd w:val="solid" w:color="FFFFFF" w:fill="auto"/>
          </w:tcPr>
          <w:p w14:paraId="793D79E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67B1C1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BF17199"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789FF337" w14:textId="77777777" w:rsidR="00D40151" w:rsidRPr="00873B6C" w:rsidRDefault="00D40151" w:rsidP="009D14FB">
            <w:pPr>
              <w:pStyle w:val="TAL"/>
              <w:rPr>
                <w:sz w:val="16"/>
                <w:szCs w:val="16"/>
              </w:rPr>
            </w:pPr>
            <w:r w:rsidRPr="00873B6C">
              <w:rPr>
                <w:sz w:val="16"/>
                <w:szCs w:val="16"/>
              </w:rPr>
              <w:t>0290</w:t>
            </w:r>
          </w:p>
        </w:tc>
        <w:tc>
          <w:tcPr>
            <w:tcW w:w="425" w:type="dxa"/>
            <w:shd w:val="solid" w:color="FFFFFF" w:fill="auto"/>
          </w:tcPr>
          <w:p w14:paraId="2B426FE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ECBD2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5938B2" w14:textId="77777777" w:rsidR="00D40151" w:rsidRPr="00873B6C" w:rsidRDefault="00D40151" w:rsidP="009D14FB">
            <w:pPr>
              <w:pStyle w:val="TAL"/>
              <w:rPr>
                <w:sz w:val="16"/>
                <w:szCs w:val="16"/>
              </w:rPr>
            </w:pPr>
            <w:r w:rsidRPr="00873B6C">
              <w:rPr>
                <w:sz w:val="16"/>
                <w:szCs w:val="16"/>
              </w:rPr>
              <w:t>ReAuthentication by an external DN-AAA server</w:t>
            </w:r>
          </w:p>
        </w:tc>
        <w:tc>
          <w:tcPr>
            <w:tcW w:w="708" w:type="dxa"/>
            <w:shd w:val="solid" w:color="FFFFFF" w:fill="auto"/>
          </w:tcPr>
          <w:p w14:paraId="65E0FDD2" w14:textId="77777777" w:rsidR="00D40151" w:rsidRPr="00873B6C" w:rsidRDefault="00D40151" w:rsidP="009D14FB">
            <w:pPr>
              <w:pStyle w:val="TAC"/>
              <w:rPr>
                <w:sz w:val="16"/>
                <w:szCs w:val="16"/>
              </w:rPr>
            </w:pPr>
            <w:r w:rsidRPr="00873B6C">
              <w:rPr>
                <w:sz w:val="16"/>
                <w:szCs w:val="16"/>
              </w:rPr>
              <w:t>15.2.0</w:t>
            </w:r>
          </w:p>
        </w:tc>
      </w:tr>
      <w:tr w:rsidR="00D40151" w:rsidRPr="00873B6C" w14:paraId="64ABD59F" w14:textId="77777777" w:rsidTr="009D14FB">
        <w:tc>
          <w:tcPr>
            <w:tcW w:w="800" w:type="dxa"/>
            <w:shd w:val="solid" w:color="FFFFFF" w:fill="auto"/>
          </w:tcPr>
          <w:p w14:paraId="6DE0637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45450E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1AF8568"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059DAD11" w14:textId="77777777" w:rsidR="00D40151" w:rsidRPr="00873B6C" w:rsidRDefault="00D40151" w:rsidP="009D14FB">
            <w:pPr>
              <w:pStyle w:val="TAL"/>
              <w:rPr>
                <w:sz w:val="16"/>
                <w:szCs w:val="16"/>
              </w:rPr>
            </w:pPr>
            <w:r w:rsidRPr="00873B6C">
              <w:rPr>
                <w:sz w:val="16"/>
                <w:szCs w:val="16"/>
              </w:rPr>
              <w:t>0292</w:t>
            </w:r>
          </w:p>
        </w:tc>
        <w:tc>
          <w:tcPr>
            <w:tcW w:w="425" w:type="dxa"/>
            <w:shd w:val="solid" w:color="FFFFFF" w:fill="auto"/>
          </w:tcPr>
          <w:p w14:paraId="0D052731"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19BD37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FD71CA" w14:textId="77777777" w:rsidR="00D40151" w:rsidRPr="00873B6C" w:rsidRDefault="00D40151" w:rsidP="009D14FB">
            <w:pPr>
              <w:pStyle w:val="TAL"/>
              <w:rPr>
                <w:sz w:val="16"/>
                <w:szCs w:val="16"/>
              </w:rPr>
            </w:pPr>
            <w:r w:rsidRPr="00873B6C">
              <w:rPr>
                <w:sz w:val="16"/>
                <w:szCs w:val="16"/>
              </w:rPr>
              <w:t>LADN configuration of UE</w:t>
            </w:r>
          </w:p>
        </w:tc>
        <w:tc>
          <w:tcPr>
            <w:tcW w:w="708" w:type="dxa"/>
            <w:shd w:val="solid" w:color="FFFFFF" w:fill="auto"/>
          </w:tcPr>
          <w:p w14:paraId="3802F633" w14:textId="77777777" w:rsidR="00D40151" w:rsidRPr="00873B6C" w:rsidRDefault="00D40151" w:rsidP="009D14FB">
            <w:pPr>
              <w:pStyle w:val="TAC"/>
              <w:rPr>
                <w:sz w:val="16"/>
                <w:szCs w:val="16"/>
              </w:rPr>
            </w:pPr>
            <w:r w:rsidRPr="00873B6C">
              <w:rPr>
                <w:sz w:val="16"/>
                <w:szCs w:val="16"/>
              </w:rPr>
              <w:t>15.2.0</w:t>
            </w:r>
          </w:p>
        </w:tc>
      </w:tr>
      <w:tr w:rsidR="00D40151" w:rsidRPr="00873B6C" w14:paraId="78C5B34E" w14:textId="77777777" w:rsidTr="009D14FB">
        <w:tc>
          <w:tcPr>
            <w:tcW w:w="800" w:type="dxa"/>
            <w:shd w:val="solid" w:color="FFFFFF" w:fill="auto"/>
          </w:tcPr>
          <w:p w14:paraId="2F2F1F7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DD6BE8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257C72F"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2C81523B" w14:textId="77777777" w:rsidR="00D40151" w:rsidRPr="00873B6C" w:rsidRDefault="00D40151" w:rsidP="009D14FB">
            <w:pPr>
              <w:pStyle w:val="TAL"/>
              <w:rPr>
                <w:sz w:val="16"/>
                <w:szCs w:val="16"/>
              </w:rPr>
            </w:pPr>
            <w:r w:rsidRPr="00873B6C">
              <w:rPr>
                <w:sz w:val="16"/>
                <w:szCs w:val="16"/>
              </w:rPr>
              <w:t>0295</w:t>
            </w:r>
          </w:p>
        </w:tc>
        <w:tc>
          <w:tcPr>
            <w:tcW w:w="425" w:type="dxa"/>
            <w:shd w:val="solid" w:color="FFFFFF" w:fill="auto"/>
          </w:tcPr>
          <w:p w14:paraId="783C7A8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3353F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CDE1ED" w14:textId="77777777" w:rsidR="00D40151" w:rsidRPr="00873B6C" w:rsidRDefault="00D40151" w:rsidP="009D14FB">
            <w:pPr>
              <w:pStyle w:val="TAL"/>
              <w:rPr>
                <w:sz w:val="16"/>
                <w:szCs w:val="16"/>
              </w:rPr>
            </w:pPr>
            <w:r w:rsidRPr="00873B6C">
              <w:rPr>
                <w:sz w:val="16"/>
                <w:szCs w:val="16"/>
              </w:rPr>
              <w:t>Clarification of S-NSSAI based congestion control</w:t>
            </w:r>
          </w:p>
        </w:tc>
        <w:tc>
          <w:tcPr>
            <w:tcW w:w="708" w:type="dxa"/>
            <w:shd w:val="solid" w:color="FFFFFF" w:fill="auto"/>
          </w:tcPr>
          <w:p w14:paraId="316131F1" w14:textId="77777777" w:rsidR="00D40151" w:rsidRPr="00873B6C" w:rsidRDefault="00D40151" w:rsidP="009D14FB">
            <w:pPr>
              <w:pStyle w:val="TAC"/>
              <w:rPr>
                <w:sz w:val="16"/>
                <w:szCs w:val="16"/>
              </w:rPr>
            </w:pPr>
            <w:r w:rsidRPr="00873B6C">
              <w:rPr>
                <w:sz w:val="16"/>
                <w:szCs w:val="16"/>
              </w:rPr>
              <w:t>15.2.0</w:t>
            </w:r>
          </w:p>
        </w:tc>
      </w:tr>
      <w:tr w:rsidR="00D40151" w:rsidRPr="00873B6C" w14:paraId="49C05CC5" w14:textId="77777777" w:rsidTr="009D14FB">
        <w:tc>
          <w:tcPr>
            <w:tcW w:w="800" w:type="dxa"/>
            <w:shd w:val="solid" w:color="FFFFFF" w:fill="auto"/>
          </w:tcPr>
          <w:p w14:paraId="537C9F7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EFF447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1F28310"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5F9AE423" w14:textId="77777777" w:rsidR="00D40151" w:rsidRPr="00873B6C" w:rsidRDefault="00D40151" w:rsidP="009D14FB">
            <w:pPr>
              <w:pStyle w:val="TAL"/>
              <w:rPr>
                <w:sz w:val="16"/>
                <w:szCs w:val="16"/>
              </w:rPr>
            </w:pPr>
            <w:r w:rsidRPr="00873B6C">
              <w:rPr>
                <w:sz w:val="16"/>
                <w:szCs w:val="16"/>
              </w:rPr>
              <w:t>0296</w:t>
            </w:r>
          </w:p>
        </w:tc>
        <w:tc>
          <w:tcPr>
            <w:tcW w:w="425" w:type="dxa"/>
            <w:shd w:val="solid" w:color="FFFFFF" w:fill="auto"/>
          </w:tcPr>
          <w:p w14:paraId="542EFF0F"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9FBD5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33495C" w14:textId="77777777" w:rsidR="00D40151" w:rsidRPr="00873B6C" w:rsidRDefault="00D40151" w:rsidP="009D14FB">
            <w:pPr>
              <w:pStyle w:val="TAL"/>
              <w:rPr>
                <w:sz w:val="16"/>
                <w:szCs w:val="16"/>
              </w:rPr>
            </w:pPr>
            <w:r w:rsidRPr="00873B6C">
              <w:rPr>
                <w:sz w:val="16"/>
                <w:szCs w:val="16"/>
              </w:rPr>
              <w:t>Add indication of Notification Control to QoS rules sent to UE</w:t>
            </w:r>
          </w:p>
        </w:tc>
        <w:tc>
          <w:tcPr>
            <w:tcW w:w="708" w:type="dxa"/>
            <w:shd w:val="solid" w:color="FFFFFF" w:fill="auto"/>
          </w:tcPr>
          <w:p w14:paraId="73922C74" w14:textId="77777777" w:rsidR="00D40151" w:rsidRPr="00873B6C" w:rsidRDefault="00D40151" w:rsidP="009D14FB">
            <w:pPr>
              <w:pStyle w:val="TAC"/>
              <w:rPr>
                <w:sz w:val="16"/>
                <w:szCs w:val="16"/>
              </w:rPr>
            </w:pPr>
            <w:r w:rsidRPr="00873B6C">
              <w:rPr>
                <w:sz w:val="16"/>
                <w:szCs w:val="16"/>
              </w:rPr>
              <w:t>15.2.0</w:t>
            </w:r>
          </w:p>
        </w:tc>
      </w:tr>
      <w:tr w:rsidR="00D40151" w:rsidRPr="00873B6C" w14:paraId="0A007BC6" w14:textId="77777777" w:rsidTr="009D14FB">
        <w:tc>
          <w:tcPr>
            <w:tcW w:w="800" w:type="dxa"/>
            <w:shd w:val="solid" w:color="FFFFFF" w:fill="auto"/>
          </w:tcPr>
          <w:p w14:paraId="73B3CA8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36CA80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A7612FF"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6EC371F0" w14:textId="77777777" w:rsidR="00D40151" w:rsidRPr="00873B6C" w:rsidRDefault="00D40151" w:rsidP="009D14FB">
            <w:pPr>
              <w:pStyle w:val="TAL"/>
              <w:rPr>
                <w:sz w:val="16"/>
                <w:szCs w:val="16"/>
              </w:rPr>
            </w:pPr>
            <w:r w:rsidRPr="00873B6C">
              <w:rPr>
                <w:sz w:val="16"/>
                <w:szCs w:val="16"/>
              </w:rPr>
              <w:t>0297</w:t>
            </w:r>
          </w:p>
        </w:tc>
        <w:tc>
          <w:tcPr>
            <w:tcW w:w="425" w:type="dxa"/>
            <w:shd w:val="solid" w:color="FFFFFF" w:fill="auto"/>
          </w:tcPr>
          <w:p w14:paraId="5AF6F1F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AD21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F9F228" w14:textId="77777777" w:rsidR="00D40151" w:rsidRPr="00873B6C" w:rsidRDefault="00D40151" w:rsidP="009D14FB">
            <w:pPr>
              <w:pStyle w:val="TAL"/>
              <w:rPr>
                <w:sz w:val="16"/>
                <w:szCs w:val="16"/>
              </w:rPr>
            </w:pPr>
            <w:r w:rsidRPr="00873B6C">
              <w:rPr>
                <w:sz w:val="16"/>
                <w:szCs w:val="16"/>
              </w:rPr>
              <w:t>Local deactivate MICO for emergency service</w:t>
            </w:r>
          </w:p>
        </w:tc>
        <w:tc>
          <w:tcPr>
            <w:tcW w:w="708" w:type="dxa"/>
            <w:shd w:val="solid" w:color="FFFFFF" w:fill="auto"/>
          </w:tcPr>
          <w:p w14:paraId="29CBC991" w14:textId="77777777" w:rsidR="00D40151" w:rsidRPr="00873B6C" w:rsidRDefault="00D40151" w:rsidP="009D14FB">
            <w:pPr>
              <w:pStyle w:val="TAC"/>
              <w:rPr>
                <w:sz w:val="16"/>
                <w:szCs w:val="16"/>
              </w:rPr>
            </w:pPr>
            <w:r w:rsidRPr="00873B6C">
              <w:rPr>
                <w:sz w:val="16"/>
                <w:szCs w:val="16"/>
              </w:rPr>
              <w:t>15.2.0</w:t>
            </w:r>
          </w:p>
        </w:tc>
      </w:tr>
      <w:tr w:rsidR="00D40151" w:rsidRPr="00873B6C" w14:paraId="6F5F9163" w14:textId="77777777" w:rsidTr="009D14FB">
        <w:tc>
          <w:tcPr>
            <w:tcW w:w="800" w:type="dxa"/>
            <w:shd w:val="solid" w:color="FFFFFF" w:fill="auto"/>
          </w:tcPr>
          <w:p w14:paraId="4F9901F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BED52E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A92FAAF"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13A7C1FA" w14:textId="77777777" w:rsidR="00D40151" w:rsidRPr="00873B6C" w:rsidRDefault="00D40151" w:rsidP="009D14FB">
            <w:pPr>
              <w:pStyle w:val="TAL"/>
              <w:rPr>
                <w:sz w:val="16"/>
                <w:szCs w:val="16"/>
              </w:rPr>
            </w:pPr>
            <w:r w:rsidRPr="00873B6C">
              <w:rPr>
                <w:sz w:val="16"/>
                <w:szCs w:val="16"/>
              </w:rPr>
              <w:t>0298</w:t>
            </w:r>
          </w:p>
        </w:tc>
        <w:tc>
          <w:tcPr>
            <w:tcW w:w="425" w:type="dxa"/>
            <w:shd w:val="solid" w:color="FFFFFF" w:fill="auto"/>
          </w:tcPr>
          <w:p w14:paraId="25C9425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50348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0D56C3" w14:textId="77777777" w:rsidR="00D40151" w:rsidRPr="00873B6C" w:rsidRDefault="00D40151" w:rsidP="009D14FB">
            <w:pPr>
              <w:pStyle w:val="TAL"/>
              <w:rPr>
                <w:sz w:val="16"/>
                <w:szCs w:val="16"/>
              </w:rPr>
            </w:pPr>
            <w:r w:rsidRPr="00873B6C">
              <w:rPr>
                <w:sz w:val="16"/>
                <w:szCs w:val="16"/>
              </w:rPr>
              <w:t>How the SMF validates UE location when requested for LADN PDU Session establishment</w:t>
            </w:r>
          </w:p>
        </w:tc>
        <w:tc>
          <w:tcPr>
            <w:tcW w:w="708" w:type="dxa"/>
            <w:shd w:val="solid" w:color="FFFFFF" w:fill="auto"/>
          </w:tcPr>
          <w:p w14:paraId="4CC652B4" w14:textId="77777777" w:rsidR="00D40151" w:rsidRPr="00873B6C" w:rsidRDefault="00D40151" w:rsidP="009D14FB">
            <w:pPr>
              <w:pStyle w:val="TAC"/>
              <w:rPr>
                <w:sz w:val="16"/>
                <w:szCs w:val="16"/>
              </w:rPr>
            </w:pPr>
            <w:r w:rsidRPr="00873B6C">
              <w:rPr>
                <w:sz w:val="16"/>
                <w:szCs w:val="16"/>
              </w:rPr>
              <w:t>15.2.0</w:t>
            </w:r>
          </w:p>
        </w:tc>
      </w:tr>
      <w:tr w:rsidR="00D40151" w:rsidRPr="00873B6C" w14:paraId="044FAF1D" w14:textId="77777777" w:rsidTr="009D14FB">
        <w:tc>
          <w:tcPr>
            <w:tcW w:w="800" w:type="dxa"/>
            <w:shd w:val="solid" w:color="FFFFFF" w:fill="auto"/>
          </w:tcPr>
          <w:p w14:paraId="4059868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58B347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868E5B8"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3B417C91" w14:textId="77777777" w:rsidR="00D40151" w:rsidRPr="00873B6C" w:rsidRDefault="00D40151" w:rsidP="009D14FB">
            <w:pPr>
              <w:pStyle w:val="TAL"/>
              <w:rPr>
                <w:sz w:val="16"/>
                <w:szCs w:val="16"/>
              </w:rPr>
            </w:pPr>
            <w:r w:rsidRPr="00873B6C">
              <w:rPr>
                <w:sz w:val="16"/>
                <w:szCs w:val="16"/>
              </w:rPr>
              <w:t>0302</w:t>
            </w:r>
          </w:p>
        </w:tc>
        <w:tc>
          <w:tcPr>
            <w:tcW w:w="425" w:type="dxa"/>
            <w:shd w:val="solid" w:color="FFFFFF" w:fill="auto"/>
          </w:tcPr>
          <w:p w14:paraId="5A548D6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8C1BA9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208E65" w14:textId="77777777" w:rsidR="00D40151" w:rsidRPr="00873B6C" w:rsidRDefault="00D40151" w:rsidP="009D14FB">
            <w:pPr>
              <w:pStyle w:val="TAL"/>
              <w:rPr>
                <w:sz w:val="16"/>
                <w:szCs w:val="16"/>
              </w:rPr>
            </w:pPr>
            <w:r w:rsidRPr="00873B6C">
              <w:rPr>
                <w:sz w:val="16"/>
                <w:szCs w:val="16"/>
              </w:rPr>
              <w:t>AUSF clarification and alignment</w:t>
            </w:r>
          </w:p>
        </w:tc>
        <w:tc>
          <w:tcPr>
            <w:tcW w:w="708" w:type="dxa"/>
            <w:shd w:val="solid" w:color="FFFFFF" w:fill="auto"/>
          </w:tcPr>
          <w:p w14:paraId="6B039A9F" w14:textId="77777777" w:rsidR="00D40151" w:rsidRPr="00873B6C" w:rsidRDefault="00D40151" w:rsidP="009D14FB">
            <w:pPr>
              <w:pStyle w:val="TAC"/>
              <w:rPr>
                <w:sz w:val="16"/>
                <w:szCs w:val="16"/>
              </w:rPr>
            </w:pPr>
            <w:r w:rsidRPr="00873B6C">
              <w:rPr>
                <w:sz w:val="16"/>
                <w:szCs w:val="16"/>
              </w:rPr>
              <w:t>15.2.0</w:t>
            </w:r>
          </w:p>
        </w:tc>
      </w:tr>
      <w:tr w:rsidR="00D40151" w:rsidRPr="00873B6C" w14:paraId="1BC003ED" w14:textId="77777777" w:rsidTr="009D14FB">
        <w:tc>
          <w:tcPr>
            <w:tcW w:w="800" w:type="dxa"/>
            <w:shd w:val="solid" w:color="FFFFFF" w:fill="auto"/>
          </w:tcPr>
          <w:p w14:paraId="7FFDADF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208EDE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B9B5782"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417916F4" w14:textId="77777777" w:rsidR="00D40151" w:rsidRPr="00873B6C" w:rsidRDefault="00D40151" w:rsidP="009D14FB">
            <w:pPr>
              <w:pStyle w:val="TAL"/>
              <w:rPr>
                <w:sz w:val="16"/>
                <w:szCs w:val="16"/>
              </w:rPr>
            </w:pPr>
            <w:r w:rsidRPr="00873B6C">
              <w:rPr>
                <w:sz w:val="16"/>
                <w:szCs w:val="16"/>
              </w:rPr>
              <w:t>0303</w:t>
            </w:r>
          </w:p>
        </w:tc>
        <w:tc>
          <w:tcPr>
            <w:tcW w:w="425" w:type="dxa"/>
            <w:shd w:val="solid" w:color="FFFFFF" w:fill="auto"/>
          </w:tcPr>
          <w:p w14:paraId="5D726AE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97B0438"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4F5DA0F3" w14:textId="77777777" w:rsidR="00D40151" w:rsidRPr="00873B6C" w:rsidRDefault="00D40151" w:rsidP="009D14FB">
            <w:pPr>
              <w:pStyle w:val="TAL"/>
              <w:rPr>
                <w:sz w:val="16"/>
                <w:szCs w:val="16"/>
              </w:rPr>
            </w:pPr>
            <w:r w:rsidRPr="00873B6C">
              <w:rPr>
                <w:sz w:val="16"/>
                <w:szCs w:val="16"/>
              </w:rPr>
              <w:t>Correction to references</w:t>
            </w:r>
          </w:p>
        </w:tc>
        <w:tc>
          <w:tcPr>
            <w:tcW w:w="708" w:type="dxa"/>
            <w:shd w:val="solid" w:color="FFFFFF" w:fill="auto"/>
          </w:tcPr>
          <w:p w14:paraId="55F4647D" w14:textId="77777777" w:rsidR="00D40151" w:rsidRPr="00873B6C" w:rsidRDefault="00D40151" w:rsidP="009D14FB">
            <w:pPr>
              <w:pStyle w:val="TAC"/>
              <w:rPr>
                <w:sz w:val="16"/>
                <w:szCs w:val="16"/>
              </w:rPr>
            </w:pPr>
            <w:r w:rsidRPr="00873B6C">
              <w:rPr>
                <w:sz w:val="16"/>
                <w:szCs w:val="16"/>
              </w:rPr>
              <w:t>15.2.0</w:t>
            </w:r>
          </w:p>
        </w:tc>
      </w:tr>
      <w:tr w:rsidR="00D40151" w:rsidRPr="00873B6C" w14:paraId="35989C78" w14:textId="77777777" w:rsidTr="009D14FB">
        <w:tc>
          <w:tcPr>
            <w:tcW w:w="800" w:type="dxa"/>
            <w:shd w:val="solid" w:color="FFFFFF" w:fill="auto"/>
          </w:tcPr>
          <w:p w14:paraId="30635FE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F62313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5065209"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7E85FB4F" w14:textId="77777777" w:rsidR="00D40151" w:rsidRPr="00873B6C" w:rsidRDefault="00D40151" w:rsidP="009D14FB">
            <w:pPr>
              <w:pStyle w:val="TAL"/>
              <w:rPr>
                <w:sz w:val="16"/>
                <w:szCs w:val="16"/>
              </w:rPr>
            </w:pPr>
            <w:r w:rsidRPr="00873B6C">
              <w:rPr>
                <w:sz w:val="16"/>
                <w:szCs w:val="16"/>
              </w:rPr>
              <w:t>0304</w:t>
            </w:r>
          </w:p>
        </w:tc>
        <w:tc>
          <w:tcPr>
            <w:tcW w:w="425" w:type="dxa"/>
            <w:shd w:val="solid" w:color="FFFFFF" w:fill="auto"/>
          </w:tcPr>
          <w:p w14:paraId="7506EFF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63006A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7B4819" w14:textId="77777777" w:rsidR="00D40151" w:rsidRPr="00873B6C" w:rsidRDefault="00D40151" w:rsidP="009D14FB">
            <w:pPr>
              <w:pStyle w:val="TAL"/>
              <w:rPr>
                <w:sz w:val="16"/>
                <w:szCs w:val="16"/>
              </w:rPr>
            </w:pPr>
            <w:r w:rsidRPr="00873B6C">
              <w:rPr>
                <w:sz w:val="16"/>
                <w:szCs w:val="16"/>
              </w:rPr>
              <w:t>Clarification on N3GPP TAI</w:t>
            </w:r>
          </w:p>
        </w:tc>
        <w:tc>
          <w:tcPr>
            <w:tcW w:w="708" w:type="dxa"/>
            <w:shd w:val="solid" w:color="FFFFFF" w:fill="auto"/>
          </w:tcPr>
          <w:p w14:paraId="6389B95A" w14:textId="77777777" w:rsidR="00D40151" w:rsidRPr="00873B6C" w:rsidRDefault="00D40151" w:rsidP="009D14FB">
            <w:pPr>
              <w:pStyle w:val="TAC"/>
              <w:rPr>
                <w:sz w:val="16"/>
                <w:szCs w:val="16"/>
              </w:rPr>
            </w:pPr>
            <w:r w:rsidRPr="00873B6C">
              <w:rPr>
                <w:sz w:val="16"/>
                <w:szCs w:val="16"/>
              </w:rPr>
              <w:t>15.2.0</w:t>
            </w:r>
          </w:p>
        </w:tc>
      </w:tr>
      <w:tr w:rsidR="00D40151" w:rsidRPr="00873B6C" w14:paraId="3B215204" w14:textId="77777777" w:rsidTr="009D14FB">
        <w:tc>
          <w:tcPr>
            <w:tcW w:w="800" w:type="dxa"/>
            <w:shd w:val="solid" w:color="FFFFFF" w:fill="auto"/>
          </w:tcPr>
          <w:p w14:paraId="3AB77B3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BFEBBB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674CB19"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29A079F1" w14:textId="77777777" w:rsidR="00D40151" w:rsidRPr="00873B6C" w:rsidRDefault="00D40151" w:rsidP="009D14FB">
            <w:pPr>
              <w:pStyle w:val="TAL"/>
              <w:rPr>
                <w:sz w:val="16"/>
                <w:szCs w:val="16"/>
              </w:rPr>
            </w:pPr>
            <w:r w:rsidRPr="00873B6C">
              <w:rPr>
                <w:sz w:val="16"/>
                <w:szCs w:val="16"/>
              </w:rPr>
              <w:t>0305</w:t>
            </w:r>
          </w:p>
        </w:tc>
        <w:tc>
          <w:tcPr>
            <w:tcW w:w="425" w:type="dxa"/>
            <w:shd w:val="solid" w:color="FFFFFF" w:fill="auto"/>
          </w:tcPr>
          <w:p w14:paraId="0C72CFB2"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B969B8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BD98F44" w14:textId="77777777" w:rsidR="00D40151" w:rsidRPr="00873B6C" w:rsidRDefault="00D40151" w:rsidP="009D14FB">
            <w:pPr>
              <w:pStyle w:val="TAL"/>
              <w:rPr>
                <w:sz w:val="16"/>
                <w:szCs w:val="16"/>
              </w:rPr>
            </w:pPr>
            <w:r w:rsidRPr="00873B6C">
              <w:rPr>
                <w:sz w:val="16"/>
                <w:szCs w:val="16"/>
              </w:rPr>
              <w:t>Correction on capability negotiation on "SMS over NAS"</w:t>
            </w:r>
          </w:p>
        </w:tc>
        <w:tc>
          <w:tcPr>
            <w:tcW w:w="708" w:type="dxa"/>
            <w:shd w:val="solid" w:color="FFFFFF" w:fill="auto"/>
          </w:tcPr>
          <w:p w14:paraId="7459FBE4" w14:textId="77777777" w:rsidR="00D40151" w:rsidRPr="00873B6C" w:rsidRDefault="00D40151" w:rsidP="009D14FB">
            <w:pPr>
              <w:pStyle w:val="TAC"/>
              <w:rPr>
                <w:sz w:val="16"/>
                <w:szCs w:val="16"/>
              </w:rPr>
            </w:pPr>
            <w:r w:rsidRPr="00873B6C">
              <w:rPr>
                <w:sz w:val="16"/>
                <w:szCs w:val="16"/>
              </w:rPr>
              <w:t>15.2.0</w:t>
            </w:r>
          </w:p>
        </w:tc>
      </w:tr>
      <w:tr w:rsidR="00D40151" w:rsidRPr="00873B6C" w14:paraId="0A5593B7" w14:textId="77777777" w:rsidTr="009D14FB">
        <w:tc>
          <w:tcPr>
            <w:tcW w:w="800" w:type="dxa"/>
            <w:shd w:val="solid" w:color="FFFFFF" w:fill="auto"/>
          </w:tcPr>
          <w:p w14:paraId="0854246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F05E2D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FDCB810"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118E02C0" w14:textId="77777777" w:rsidR="00D40151" w:rsidRPr="00873B6C" w:rsidRDefault="00D40151" w:rsidP="009D14FB">
            <w:pPr>
              <w:pStyle w:val="TAL"/>
              <w:rPr>
                <w:sz w:val="16"/>
                <w:szCs w:val="16"/>
              </w:rPr>
            </w:pPr>
            <w:r w:rsidRPr="00873B6C">
              <w:rPr>
                <w:sz w:val="16"/>
                <w:szCs w:val="16"/>
              </w:rPr>
              <w:t>0306</w:t>
            </w:r>
          </w:p>
        </w:tc>
        <w:tc>
          <w:tcPr>
            <w:tcW w:w="425" w:type="dxa"/>
            <w:shd w:val="solid" w:color="FFFFFF" w:fill="auto"/>
          </w:tcPr>
          <w:p w14:paraId="100C376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B7028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E7C14A" w14:textId="77777777" w:rsidR="00D40151" w:rsidRPr="00873B6C" w:rsidRDefault="00D40151" w:rsidP="009D14FB">
            <w:pPr>
              <w:pStyle w:val="TAL"/>
              <w:rPr>
                <w:sz w:val="16"/>
                <w:szCs w:val="16"/>
              </w:rPr>
            </w:pPr>
            <w:r w:rsidRPr="00873B6C">
              <w:rPr>
                <w:sz w:val="16"/>
                <w:szCs w:val="16"/>
              </w:rPr>
              <w:t>Alignment of the name of the network function</w:t>
            </w:r>
          </w:p>
        </w:tc>
        <w:tc>
          <w:tcPr>
            <w:tcW w:w="708" w:type="dxa"/>
            <w:shd w:val="solid" w:color="FFFFFF" w:fill="auto"/>
          </w:tcPr>
          <w:p w14:paraId="57EF1716" w14:textId="77777777" w:rsidR="00D40151" w:rsidRPr="00873B6C" w:rsidRDefault="00D40151" w:rsidP="009D14FB">
            <w:pPr>
              <w:pStyle w:val="TAC"/>
              <w:rPr>
                <w:sz w:val="16"/>
                <w:szCs w:val="16"/>
              </w:rPr>
            </w:pPr>
            <w:r w:rsidRPr="00873B6C">
              <w:rPr>
                <w:sz w:val="16"/>
                <w:szCs w:val="16"/>
              </w:rPr>
              <w:t>15.2.0</w:t>
            </w:r>
          </w:p>
        </w:tc>
      </w:tr>
      <w:tr w:rsidR="00D40151" w:rsidRPr="00873B6C" w14:paraId="673F5CA1" w14:textId="77777777" w:rsidTr="009D14FB">
        <w:tc>
          <w:tcPr>
            <w:tcW w:w="800" w:type="dxa"/>
            <w:shd w:val="solid" w:color="FFFFFF" w:fill="auto"/>
          </w:tcPr>
          <w:p w14:paraId="10109C7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84F318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12D1ADC"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7A6C3093" w14:textId="77777777" w:rsidR="00D40151" w:rsidRPr="00873B6C" w:rsidRDefault="00D40151" w:rsidP="009D14FB">
            <w:pPr>
              <w:pStyle w:val="TAL"/>
              <w:rPr>
                <w:sz w:val="16"/>
                <w:szCs w:val="16"/>
              </w:rPr>
            </w:pPr>
            <w:r w:rsidRPr="00873B6C">
              <w:rPr>
                <w:sz w:val="16"/>
                <w:szCs w:val="16"/>
              </w:rPr>
              <w:t>0308</w:t>
            </w:r>
          </w:p>
        </w:tc>
        <w:tc>
          <w:tcPr>
            <w:tcW w:w="425" w:type="dxa"/>
            <w:shd w:val="solid" w:color="FFFFFF" w:fill="auto"/>
          </w:tcPr>
          <w:p w14:paraId="2390829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9EFD4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A9723F" w14:textId="77777777" w:rsidR="00D40151" w:rsidRPr="00873B6C" w:rsidRDefault="00D40151" w:rsidP="009D14FB">
            <w:pPr>
              <w:pStyle w:val="TAL"/>
              <w:rPr>
                <w:sz w:val="16"/>
                <w:szCs w:val="16"/>
              </w:rPr>
            </w:pPr>
            <w:r w:rsidRPr="00873B6C">
              <w:rPr>
                <w:sz w:val="16"/>
                <w:szCs w:val="16"/>
              </w:rPr>
              <w:t>Correction on NAS level congestion control</w:t>
            </w:r>
          </w:p>
        </w:tc>
        <w:tc>
          <w:tcPr>
            <w:tcW w:w="708" w:type="dxa"/>
            <w:shd w:val="solid" w:color="FFFFFF" w:fill="auto"/>
          </w:tcPr>
          <w:p w14:paraId="7F908B5D" w14:textId="77777777" w:rsidR="00D40151" w:rsidRPr="00873B6C" w:rsidRDefault="00D40151" w:rsidP="009D14FB">
            <w:pPr>
              <w:pStyle w:val="TAC"/>
              <w:rPr>
                <w:sz w:val="16"/>
                <w:szCs w:val="16"/>
              </w:rPr>
            </w:pPr>
            <w:r w:rsidRPr="00873B6C">
              <w:rPr>
                <w:sz w:val="16"/>
                <w:szCs w:val="16"/>
              </w:rPr>
              <w:t>15.2.0</w:t>
            </w:r>
          </w:p>
        </w:tc>
      </w:tr>
      <w:tr w:rsidR="00D40151" w:rsidRPr="00873B6C" w14:paraId="3F2B64E0" w14:textId="77777777" w:rsidTr="009D14FB">
        <w:tc>
          <w:tcPr>
            <w:tcW w:w="800" w:type="dxa"/>
            <w:shd w:val="solid" w:color="FFFFFF" w:fill="auto"/>
          </w:tcPr>
          <w:p w14:paraId="04D17CC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3ADCF6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DFA0006"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2ADFD826" w14:textId="77777777" w:rsidR="00D40151" w:rsidRPr="00873B6C" w:rsidRDefault="00D40151" w:rsidP="009D14FB">
            <w:pPr>
              <w:pStyle w:val="TAL"/>
              <w:rPr>
                <w:sz w:val="16"/>
                <w:szCs w:val="16"/>
              </w:rPr>
            </w:pPr>
            <w:r w:rsidRPr="00873B6C">
              <w:rPr>
                <w:sz w:val="16"/>
                <w:szCs w:val="16"/>
              </w:rPr>
              <w:t>0310</w:t>
            </w:r>
          </w:p>
        </w:tc>
        <w:tc>
          <w:tcPr>
            <w:tcW w:w="425" w:type="dxa"/>
            <w:shd w:val="solid" w:color="FFFFFF" w:fill="auto"/>
          </w:tcPr>
          <w:p w14:paraId="6873E7E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19512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F22EE2" w14:textId="77777777" w:rsidR="00D40151" w:rsidRPr="00873B6C" w:rsidRDefault="00D40151" w:rsidP="009D14FB">
            <w:pPr>
              <w:pStyle w:val="TAL"/>
              <w:rPr>
                <w:sz w:val="16"/>
                <w:szCs w:val="16"/>
              </w:rPr>
            </w:pPr>
            <w:r w:rsidRPr="00873B6C">
              <w:rPr>
                <w:sz w:val="16"/>
                <w:szCs w:val="16"/>
              </w:rPr>
              <w:t>Clarification on AMF management</w:t>
            </w:r>
          </w:p>
        </w:tc>
        <w:tc>
          <w:tcPr>
            <w:tcW w:w="708" w:type="dxa"/>
            <w:shd w:val="solid" w:color="FFFFFF" w:fill="auto"/>
          </w:tcPr>
          <w:p w14:paraId="7BFD4ACC" w14:textId="77777777" w:rsidR="00D40151" w:rsidRPr="00873B6C" w:rsidRDefault="00D40151" w:rsidP="009D14FB">
            <w:pPr>
              <w:pStyle w:val="TAC"/>
              <w:rPr>
                <w:sz w:val="16"/>
                <w:szCs w:val="16"/>
              </w:rPr>
            </w:pPr>
            <w:r w:rsidRPr="00873B6C">
              <w:rPr>
                <w:sz w:val="16"/>
                <w:szCs w:val="16"/>
              </w:rPr>
              <w:t>15.2.0</w:t>
            </w:r>
          </w:p>
        </w:tc>
      </w:tr>
      <w:tr w:rsidR="00D40151" w:rsidRPr="00873B6C" w14:paraId="1C53FBC1" w14:textId="77777777" w:rsidTr="009D14FB">
        <w:tc>
          <w:tcPr>
            <w:tcW w:w="800" w:type="dxa"/>
            <w:shd w:val="solid" w:color="FFFFFF" w:fill="auto"/>
          </w:tcPr>
          <w:p w14:paraId="7EC9CD7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EDB9A1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9B2E148"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0E797634" w14:textId="77777777" w:rsidR="00D40151" w:rsidRPr="00873B6C" w:rsidRDefault="00D40151" w:rsidP="009D14FB">
            <w:pPr>
              <w:pStyle w:val="TAL"/>
              <w:rPr>
                <w:sz w:val="16"/>
                <w:szCs w:val="16"/>
              </w:rPr>
            </w:pPr>
            <w:r w:rsidRPr="00873B6C">
              <w:rPr>
                <w:sz w:val="16"/>
                <w:szCs w:val="16"/>
              </w:rPr>
              <w:t>0311</w:t>
            </w:r>
          </w:p>
        </w:tc>
        <w:tc>
          <w:tcPr>
            <w:tcW w:w="425" w:type="dxa"/>
            <w:shd w:val="solid" w:color="FFFFFF" w:fill="auto"/>
          </w:tcPr>
          <w:p w14:paraId="64B863B5"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0D607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DD01F6" w14:textId="77777777" w:rsidR="00D40151" w:rsidRPr="00873B6C" w:rsidRDefault="00D40151" w:rsidP="009D14FB">
            <w:pPr>
              <w:pStyle w:val="TAL"/>
              <w:rPr>
                <w:sz w:val="16"/>
                <w:szCs w:val="16"/>
              </w:rPr>
            </w:pPr>
            <w:r w:rsidRPr="00873B6C">
              <w:rPr>
                <w:sz w:val="16"/>
                <w:szCs w:val="16"/>
              </w:rPr>
              <w:t>S-NSSAI check for activation of UP connection of PDU Session</w:t>
            </w:r>
          </w:p>
        </w:tc>
        <w:tc>
          <w:tcPr>
            <w:tcW w:w="708" w:type="dxa"/>
            <w:shd w:val="solid" w:color="FFFFFF" w:fill="auto"/>
          </w:tcPr>
          <w:p w14:paraId="22A12D4F" w14:textId="77777777" w:rsidR="00D40151" w:rsidRPr="00873B6C" w:rsidRDefault="00D40151" w:rsidP="009D14FB">
            <w:pPr>
              <w:pStyle w:val="TAC"/>
              <w:rPr>
                <w:sz w:val="16"/>
                <w:szCs w:val="16"/>
              </w:rPr>
            </w:pPr>
            <w:r w:rsidRPr="00873B6C">
              <w:rPr>
                <w:sz w:val="16"/>
                <w:szCs w:val="16"/>
              </w:rPr>
              <w:t>15.2.0</w:t>
            </w:r>
          </w:p>
        </w:tc>
      </w:tr>
      <w:tr w:rsidR="00D40151" w:rsidRPr="00873B6C" w14:paraId="5EA941A7" w14:textId="77777777" w:rsidTr="009D14FB">
        <w:tc>
          <w:tcPr>
            <w:tcW w:w="800" w:type="dxa"/>
            <w:shd w:val="solid" w:color="FFFFFF" w:fill="auto"/>
          </w:tcPr>
          <w:p w14:paraId="5CEDDC9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C34D05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12995FE"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336BD278" w14:textId="77777777" w:rsidR="00D40151" w:rsidRPr="00873B6C" w:rsidRDefault="00D40151" w:rsidP="009D14FB">
            <w:pPr>
              <w:pStyle w:val="TAL"/>
              <w:rPr>
                <w:sz w:val="16"/>
                <w:szCs w:val="16"/>
              </w:rPr>
            </w:pPr>
            <w:r w:rsidRPr="00873B6C">
              <w:rPr>
                <w:sz w:val="16"/>
                <w:szCs w:val="16"/>
              </w:rPr>
              <w:t>0313</w:t>
            </w:r>
          </w:p>
        </w:tc>
        <w:tc>
          <w:tcPr>
            <w:tcW w:w="425" w:type="dxa"/>
            <w:shd w:val="solid" w:color="FFFFFF" w:fill="auto"/>
          </w:tcPr>
          <w:p w14:paraId="4A760AF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D9005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3B7E11" w14:textId="77777777" w:rsidR="00D40151" w:rsidRPr="00873B6C" w:rsidRDefault="00D40151" w:rsidP="009D14FB">
            <w:pPr>
              <w:pStyle w:val="TAL"/>
              <w:rPr>
                <w:sz w:val="16"/>
                <w:szCs w:val="16"/>
              </w:rPr>
            </w:pPr>
            <w:r w:rsidRPr="00873B6C">
              <w:rPr>
                <w:sz w:val="16"/>
                <w:szCs w:val="16"/>
              </w:rPr>
              <w:t>Clarifications required resulting from 6-bit QFI limit</w:t>
            </w:r>
          </w:p>
        </w:tc>
        <w:tc>
          <w:tcPr>
            <w:tcW w:w="708" w:type="dxa"/>
            <w:shd w:val="solid" w:color="FFFFFF" w:fill="auto"/>
          </w:tcPr>
          <w:p w14:paraId="4A5FF791" w14:textId="77777777" w:rsidR="00D40151" w:rsidRPr="00873B6C" w:rsidRDefault="00D40151" w:rsidP="009D14FB">
            <w:pPr>
              <w:pStyle w:val="TAC"/>
              <w:rPr>
                <w:sz w:val="16"/>
                <w:szCs w:val="16"/>
              </w:rPr>
            </w:pPr>
            <w:r w:rsidRPr="00873B6C">
              <w:rPr>
                <w:sz w:val="16"/>
                <w:szCs w:val="16"/>
              </w:rPr>
              <w:t>15.2.0</w:t>
            </w:r>
          </w:p>
        </w:tc>
      </w:tr>
      <w:tr w:rsidR="00D40151" w:rsidRPr="00873B6C" w14:paraId="75D5C42D" w14:textId="77777777" w:rsidTr="009D14FB">
        <w:tc>
          <w:tcPr>
            <w:tcW w:w="800" w:type="dxa"/>
            <w:shd w:val="solid" w:color="FFFFFF" w:fill="auto"/>
          </w:tcPr>
          <w:p w14:paraId="1E48848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F11E9B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D40F3AA"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4FD0B233" w14:textId="77777777" w:rsidR="00D40151" w:rsidRPr="00873B6C" w:rsidRDefault="00D40151" w:rsidP="009D14FB">
            <w:pPr>
              <w:pStyle w:val="TAL"/>
              <w:rPr>
                <w:sz w:val="16"/>
                <w:szCs w:val="16"/>
              </w:rPr>
            </w:pPr>
            <w:r w:rsidRPr="00873B6C">
              <w:rPr>
                <w:sz w:val="16"/>
                <w:szCs w:val="16"/>
              </w:rPr>
              <w:t>0314</w:t>
            </w:r>
          </w:p>
        </w:tc>
        <w:tc>
          <w:tcPr>
            <w:tcW w:w="425" w:type="dxa"/>
            <w:shd w:val="solid" w:color="FFFFFF" w:fill="auto"/>
          </w:tcPr>
          <w:p w14:paraId="1451288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8C2F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097877" w14:textId="77777777" w:rsidR="00D40151" w:rsidRPr="00873B6C" w:rsidRDefault="00D40151" w:rsidP="009D14FB">
            <w:pPr>
              <w:pStyle w:val="TAL"/>
              <w:rPr>
                <w:sz w:val="16"/>
                <w:szCs w:val="16"/>
              </w:rPr>
            </w:pPr>
            <w:r w:rsidRPr="00873B6C">
              <w:rPr>
                <w:sz w:val="16"/>
                <w:szCs w:val="16"/>
              </w:rPr>
              <w:t>Missing "redirection" to E-UTRA connected to 5GC</w:t>
            </w:r>
          </w:p>
        </w:tc>
        <w:tc>
          <w:tcPr>
            <w:tcW w:w="708" w:type="dxa"/>
            <w:shd w:val="solid" w:color="FFFFFF" w:fill="auto"/>
          </w:tcPr>
          <w:p w14:paraId="575F15D7" w14:textId="77777777" w:rsidR="00D40151" w:rsidRPr="00873B6C" w:rsidRDefault="00D40151" w:rsidP="009D14FB">
            <w:pPr>
              <w:pStyle w:val="TAC"/>
              <w:rPr>
                <w:sz w:val="16"/>
                <w:szCs w:val="16"/>
              </w:rPr>
            </w:pPr>
            <w:r w:rsidRPr="00873B6C">
              <w:rPr>
                <w:sz w:val="16"/>
                <w:szCs w:val="16"/>
              </w:rPr>
              <w:t>15.2.0</w:t>
            </w:r>
          </w:p>
        </w:tc>
      </w:tr>
      <w:tr w:rsidR="00D40151" w:rsidRPr="00873B6C" w14:paraId="2D55184C" w14:textId="77777777" w:rsidTr="009D14FB">
        <w:tc>
          <w:tcPr>
            <w:tcW w:w="800" w:type="dxa"/>
            <w:shd w:val="solid" w:color="FFFFFF" w:fill="auto"/>
          </w:tcPr>
          <w:p w14:paraId="24D3E1D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F8BD9B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32CD8F6"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4A8C4349" w14:textId="77777777" w:rsidR="00D40151" w:rsidRPr="00873B6C" w:rsidRDefault="00D40151" w:rsidP="009D14FB">
            <w:pPr>
              <w:pStyle w:val="TAL"/>
              <w:rPr>
                <w:sz w:val="16"/>
                <w:szCs w:val="16"/>
              </w:rPr>
            </w:pPr>
            <w:r w:rsidRPr="00873B6C">
              <w:rPr>
                <w:sz w:val="16"/>
                <w:szCs w:val="16"/>
              </w:rPr>
              <w:t>0319</w:t>
            </w:r>
          </w:p>
        </w:tc>
        <w:tc>
          <w:tcPr>
            <w:tcW w:w="425" w:type="dxa"/>
            <w:shd w:val="solid" w:color="FFFFFF" w:fill="auto"/>
          </w:tcPr>
          <w:p w14:paraId="01FE334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00199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5E85FB" w14:textId="77777777" w:rsidR="00D40151" w:rsidRPr="00873B6C" w:rsidRDefault="00D40151" w:rsidP="009D14FB">
            <w:pPr>
              <w:pStyle w:val="TAL"/>
              <w:rPr>
                <w:sz w:val="16"/>
                <w:szCs w:val="16"/>
              </w:rPr>
            </w:pPr>
            <w:r w:rsidRPr="00873B6C">
              <w:rPr>
                <w:sz w:val="16"/>
                <w:szCs w:val="16"/>
              </w:rPr>
              <w:t>Clarification of high priority access</w:t>
            </w:r>
          </w:p>
        </w:tc>
        <w:tc>
          <w:tcPr>
            <w:tcW w:w="708" w:type="dxa"/>
            <w:shd w:val="solid" w:color="FFFFFF" w:fill="auto"/>
          </w:tcPr>
          <w:p w14:paraId="4D46B9DC" w14:textId="77777777" w:rsidR="00D40151" w:rsidRPr="00873B6C" w:rsidRDefault="00D40151" w:rsidP="009D14FB">
            <w:pPr>
              <w:pStyle w:val="TAC"/>
              <w:rPr>
                <w:sz w:val="16"/>
                <w:szCs w:val="16"/>
              </w:rPr>
            </w:pPr>
            <w:r w:rsidRPr="00873B6C">
              <w:rPr>
                <w:sz w:val="16"/>
                <w:szCs w:val="16"/>
              </w:rPr>
              <w:t>15.2.0</w:t>
            </w:r>
          </w:p>
        </w:tc>
      </w:tr>
      <w:tr w:rsidR="00D40151" w:rsidRPr="00873B6C" w14:paraId="5B305123" w14:textId="77777777" w:rsidTr="009D14FB">
        <w:tc>
          <w:tcPr>
            <w:tcW w:w="800" w:type="dxa"/>
            <w:shd w:val="solid" w:color="FFFFFF" w:fill="auto"/>
          </w:tcPr>
          <w:p w14:paraId="3491DA4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A6E9D6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09904DB" w14:textId="77777777" w:rsidR="00D40151" w:rsidRPr="00873B6C" w:rsidRDefault="00D40151" w:rsidP="009D14FB">
            <w:pPr>
              <w:pStyle w:val="TAC"/>
              <w:rPr>
                <w:sz w:val="16"/>
                <w:szCs w:val="16"/>
              </w:rPr>
            </w:pPr>
            <w:r w:rsidRPr="00873B6C">
              <w:rPr>
                <w:sz w:val="16"/>
                <w:szCs w:val="16"/>
              </w:rPr>
              <w:t>SP-180476</w:t>
            </w:r>
          </w:p>
        </w:tc>
        <w:tc>
          <w:tcPr>
            <w:tcW w:w="567" w:type="dxa"/>
            <w:shd w:val="solid" w:color="FFFFFF" w:fill="auto"/>
          </w:tcPr>
          <w:p w14:paraId="695C253D" w14:textId="77777777" w:rsidR="00D40151" w:rsidRPr="00873B6C" w:rsidRDefault="00D40151" w:rsidP="009D14FB">
            <w:pPr>
              <w:pStyle w:val="TAL"/>
              <w:rPr>
                <w:sz w:val="16"/>
                <w:szCs w:val="16"/>
              </w:rPr>
            </w:pPr>
            <w:r w:rsidRPr="00873B6C">
              <w:rPr>
                <w:sz w:val="16"/>
                <w:szCs w:val="16"/>
              </w:rPr>
              <w:t>0323</w:t>
            </w:r>
          </w:p>
        </w:tc>
        <w:tc>
          <w:tcPr>
            <w:tcW w:w="425" w:type="dxa"/>
            <w:shd w:val="solid" w:color="FFFFFF" w:fill="auto"/>
          </w:tcPr>
          <w:p w14:paraId="0F0D93A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6E5C5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D3F869" w14:textId="77777777" w:rsidR="00D40151" w:rsidRPr="00873B6C" w:rsidRDefault="00D40151" w:rsidP="009D14FB">
            <w:pPr>
              <w:pStyle w:val="TAL"/>
              <w:rPr>
                <w:sz w:val="16"/>
                <w:szCs w:val="16"/>
              </w:rPr>
            </w:pPr>
            <w:r w:rsidRPr="00873B6C">
              <w:rPr>
                <w:sz w:val="16"/>
                <w:szCs w:val="16"/>
              </w:rPr>
              <w:t>Dual connectivity support for network slices</w:t>
            </w:r>
          </w:p>
        </w:tc>
        <w:tc>
          <w:tcPr>
            <w:tcW w:w="708" w:type="dxa"/>
            <w:shd w:val="solid" w:color="FFFFFF" w:fill="auto"/>
          </w:tcPr>
          <w:p w14:paraId="69ED99C0" w14:textId="77777777" w:rsidR="00D40151" w:rsidRPr="00873B6C" w:rsidRDefault="00D40151" w:rsidP="009D14FB">
            <w:pPr>
              <w:pStyle w:val="TAC"/>
              <w:rPr>
                <w:sz w:val="16"/>
                <w:szCs w:val="16"/>
              </w:rPr>
            </w:pPr>
            <w:r w:rsidRPr="00873B6C">
              <w:rPr>
                <w:sz w:val="16"/>
                <w:szCs w:val="16"/>
              </w:rPr>
              <w:t>15.2.0</w:t>
            </w:r>
          </w:p>
        </w:tc>
      </w:tr>
      <w:tr w:rsidR="00D40151" w:rsidRPr="00873B6C" w14:paraId="04BDFB8B" w14:textId="77777777" w:rsidTr="009D14FB">
        <w:tc>
          <w:tcPr>
            <w:tcW w:w="800" w:type="dxa"/>
            <w:shd w:val="solid" w:color="FFFFFF" w:fill="auto"/>
          </w:tcPr>
          <w:p w14:paraId="67A5854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3F5EAC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C3C97CE"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5B988690" w14:textId="77777777" w:rsidR="00D40151" w:rsidRPr="00873B6C" w:rsidRDefault="00D40151" w:rsidP="009D14FB">
            <w:pPr>
              <w:pStyle w:val="TAL"/>
              <w:rPr>
                <w:sz w:val="16"/>
                <w:szCs w:val="16"/>
              </w:rPr>
            </w:pPr>
            <w:r w:rsidRPr="00873B6C">
              <w:rPr>
                <w:sz w:val="16"/>
                <w:szCs w:val="16"/>
              </w:rPr>
              <w:t>0325</w:t>
            </w:r>
          </w:p>
        </w:tc>
        <w:tc>
          <w:tcPr>
            <w:tcW w:w="425" w:type="dxa"/>
            <w:shd w:val="solid" w:color="FFFFFF" w:fill="auto"/>
          </w:tcPr>
          <w:p w14:paraId="056F1C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297D5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F3727E" w14:textId="77777777" w:rsidR="00D40151" w:rsidRPr="00873B6C" w:rsidRDefault="00D40151" w:rsidP="009D14FB">
            <w:pPr>
              <w:pStyle w:val="TAL"/>
              <w:rPr>
                <w:sz w:val="16"/>
                <w:szCs w:val="16"/>
              </w:rPr>
            </w:pPr>
            <w:r w:rsidRPr="00873B6C">
              <w:rPr>
                <w:sz w:val="16"/>
                <w:szCs w:val="16"/>
              </w:rPr>
              <w:t>Clarification to the NRF Roaming architecture</w:t>
            </w:r>
          </w:p>
        </w:tc>
        <w:tc>
          <w:tcPr>
            <w:tcW w:w="708" w:type="dxa"/>
            <w:shd w:val="solid" w:color="FFFFFF" w:fill="auto"/>
          </w:tcPr>
          <w:p w14:paraId="477C405D" w14:textId="77777777" w:rsidR="00D40151" w:rsidRPr="00873B6C" w:rsidRDefault="00D40151" w:rsidP="009D14FB">
            <w:pPr>
              <w:pStyle w:val="TAC"/>
              <w:rPr>
                <w:sz w:val="16"/>
                <w:szCs w:val="16"/>
              </w:rPr>
            </w:pPr>
            <w:r w:rsidRPr="00873B6C">
              <w:rPr>
                <w:sz w:val="16"/>
                <w:szCs w:val="16"/>
              </w:rPr>
              <w:t>15.2.0</w:t>
            </w:r>
          </w:p>
        </w:tc>
      </w:tr>
      <w:tr w:rsidR="00D40151" w:rsidRPr="00873B6C" w14:paraId="4115DE6D" w14:textId="77777777" w:rsidTr="009D14FB">
        <w:tc>
          <w:tcPr>
            <w:tcW w:w="800" w:type="dxa"/>
            <w:shd w:val="solid" w:color="FFFFFF" w:fill="auto"/>
          </w:tcPr>
          <w:p w14:paraId="0767A91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ECF780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83D859A"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1B3B60F4" w14:textId="77777777" w:rsidR="00D40151" w:rsidRPr="00873B6C" w:rsidRDefault="00D40151" w:rsidP="009D14FB">
            <w:pPr>
              <w:pStyle w:val="TAL"/>
              <w:rPr>
                <w:sz w:val="16"/>
                <w:szCs w:val="16"/>
              </w:rPr>
            </w:pPr>
            <w:r w:rsidRPr="00873B6C">
              <w:rPr>
                <w:sz w:val="16"/>
                <w:szCs w:val="16"/>
              </w:rPr>
              <w:t>0326</w:t>
            </w:r>
          </w:p>
        </w:tc>
        <w:tc>
          <w:tcPr>
            <w:tcW w:w="425" w:type="dxa"/>
            <w:shd w:val="solid" w:color="FFFFFF" w:fill="auto"/>
          </w:tcPr>
          <w:p w14:paraId="50033BB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716DB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FC59FD" w14:textId="77777777" w:rsidR="00D40151" w:rsidRPr="00873B6C" w:rsidRDefault="00D40151" w:rsidP="009D14FB">
            <w:pPr>
              <w:pStyle w:val="TAL"/>
              <w:rPr>
                <w:sz w:val="16"/>
                <w:szCs w:val="16"/>
              </w:rPr>
            </w:pPr>
            <w:r w:rsidRPr="00873B6C">
              <w:rPr>
                <w:sz w:val="16"/>
                <w:szCs w:val="16"/>
              </w:rPr>
              <w:t>Slicing information and RFSP</w:t>
            </w:r>
          </w:p>
        </w:tc>
        <w:tc>
          <w:tcPr>
            <w:tcW w:w="708" w:type="dxa"/>
            <w:shd w:val="solid" w:color="FFFFFF" w:fill="auto"/>
          </w:tcPr>
          <w:p w14:paraId="1615100F" w14:textId="77777777" w:rsidR="00D40151" w:rsidRPr="00873B6C" w:rsidRDefault="00D40151" w:rsidP="009D14FB">
            <w:pPr>
              <w:pStyle w:val="TAC"/>
              <w:rPr>
                <w:sz w:val="16"/>
                <w:szCs w:val="16"/>
              </w:rPr>
            </w:pPr>
            <w:r w:rsidRPr="00873B6C">
              <w:rPr>
                <w:sz w:val="16"/>
                <w:szCs w:val="16"/>
              </w:rPr>
              <w:t>15.2.0</w:t>
            </w:r>
          </w:p>
        </w:tc>
      </w:tr>
      <w:tr w:rsidR="00D40151" w:rsidRPr="00873B6C" w14:paraId="20845D07" w14:textId="77777777" w:rsidTr="009D14FB">
        <w:tc>
          <w:tcPr>
            <w:tcW w:w="800" w:type="dxa"/>
            <w:shd w:val="solid" w:color="FFFFFF" w:fill="auto"/>
          </w:tcPr>
          <w:p w14:paraId="7F02C04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7985FD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BA12CA6"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113A8D9C" w14:textId="77777777" w:rsidR="00D40151" w:rsidRPr="00873B6C" w:rsidRDefault="00D40151" w:rsidP="009D14FB">
            <w:pPr>
              <w:pStyle w:val="TAL"/>
              <w:rPr>
                <w:sz w:val="16"/>
                <w:szCs w:val="16"/>
              </w:rPr>
            </w:pPr>
            <w:r w:rsidRPr="00873B6C">
              <w:rPr>
                <w:sz w:val="16"/>
                <w:szCs w:val="16"/>
              </w:rPr>
              <w:t>0327</w:t>
            </w:r>
          </w:p>
        </w:tc>
        <w:tc>
          <w:tcPr>
            <w:tcW w:w="425" w:type="dxa"/>
            <w:shd w:val="solid" w:color="FFFFFF" w:fill="auto"/>
          </w:tcPr>
          <w:p w14:paraId="0E57611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9341A1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D934A0" w14:textId="2E91CA9D" w:rsidR="00D40151" w:rsidRPr="00873B6C" w:rsidRDefault="00D40151" w:rsidP="009D14FB">
            <w:pPr>
              <w:pStyle w:val="TAL"/>
              <w:rPr>
                <w:sz w:val="16"/>
                <w:szCs w:val="16"/>
              </w:rPr>
            </w:pPr>
            <w:r w:rsidRPr="00873B6C">
              <w:rPr>
                <w:sz w:val="16"/>
                <w:szCs w:val="16"/>
              </w:rPr>
              <w:t>TS 23.501: UE DL Signalling handling in RRC Inactive State</w:t>
            </w:r>
          </w:p>
        </w:tc>
        <w:tc>
          <w:tcPr>
            <w:tcW w:w="708" w:type="dxa"/>
            <w:shd w:val="solid" w:color="FFFFFF" w:fill="auto"/>
          </w:tcPr>
          <w:p w14:paraId="1DC4C348" w14:textId="77777777" w:rsidR="00D40151" w:rsidRPr="00873B6C" w:rsidRDefault="00D40151" w:rsidP="009D14FB">
            <w:pPr>
              <w:pStyle w:val="TAC"/>
              <w:rPr>
                <w:sz w:val="16"/>
                <w:szCs w:val="16"/>
              </w:rPr>
            </w:pPr>
            <w:r w:rsidRPr="00873B6C">
              <w:rPr>
                <w:sz w:val="16"/>
                <w:szCs w:val="16"/>
              </w:rPr>
              <w:t>15.2.0</w:t>
            </w:r>
          </w:p>
        </w:tc>
      </w:tr>
      <w:tr w:rsidR="00D40151" w:rsidRPr="00873B6C" w14:paraId="6DE1B6E9" w14:textId="77777777" w:rsidTr="009D14FB">
        <w:tc>
          <w:tcPr>
            <w:tcW w:w="800" w:type="dxa"/>
            <w:shd w:val="solid" w:color="FFFFFF" w:fill="auto"/>
          </w:tcPr>
          <w:p w14:paraId="10F18E0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DE2EDD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5CA897A"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6608CE48" w14:textId="77777777" w:rsidR="00D40151" w:rsidRPr="00873B6C" w:rsidRDefault="00D40151" w:rsidP="009D14FB">
            <w:pPr>
              <w:pStyle w:val="TAL"/>
              <w:rPr>
                <w:sz w:val="16"/>
                <w:szCs w:val="16"/>
              </w:rPr>
            </w:pPr>
            <w:r w:rsidRPr="00873B6C">
              <w:rPr>
                <w:sz w:val="16"/>
                <w:szCs w:val="16"/>
              </w:rPr>
              <w:t>0331</w:t>
            </w:r>
          </w:p>
        </w:tc>
        <w:tc>
          <w:tcPr>
            <w:tcW w:w="425" w:type="dxa"/>
            <w:shd w:val="solid" w:color="FFFFFF" w:fill="auto"/>
          </w:tcPr>
          <w:p w14:paraId="7ADE8C8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6C0FD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C4C428" w14:textId="77777777" w:rsidR="00D40151" w:rsidRPr="00873B6C" w:rsidRDefault="00D40151" w:rsidP="009D14FB">
            <w:pPr>
              <w:pStyle w:val="TAL"/>
              <w:rPr>
                <w:sz w:val="16"/>
                <w:szCs w:val="16"/>
              </w:rPr>
            </w:pPr>
            <w:r w:rsidRPr="00873B6C">
              <w:rPr>
                <w:sz w:val="16"/>
                <w:szCs w:val="16"/>
              </w:rPr>
              <w:t>Some TADs fix's</w:t>
            </w:r>
          </w:p>
        </w:tc>
        <w:tc>
          <w:tcPr>
            <w:tcW w:w="708" w:type="dxa"/>
            <w:shd w:val="solid" w:color="FFFFFF" w:fill="auto"/>
          </w:tcPr>
          <w:p w14:paraId="3BA61789" w14:textId="77777777" w:rsidR="00D40151" w:rsidRPr="00873B6C" w:rsidRDefault="00D40151" w:rsidP="009D14FB">
            <w:pPr>
              <w:pStyle w:val="TAC"/>
              <w:rPr>
                <w:sz w:val="16"/>
                <w:szCs w:val="16"/>
              </w:rPr>
            </w:pPr>
            <w:r w:rsidRPr="00873B6C">
              <w:rPr>
                <w:sz w:val="16"/>
                <w:szCs w:val="16"/>
              </w:rPr>
              <w:t>15.2.0</w:t>
            </w:r>
          </w:p>
        </w:tc>
      </w:tr>
      <w:tr w:rsidR="00D40151" w:rsidRPr="00873B6C" w14:paraId="19E6B291" w14:textId="77777777" w:rsidTr="009D14FB">
        <w:tc>
          <w:tcPr>
            <w:tcW w:w="800" w:type="dxa"/>
            <w:shd w:val="solid" w:color="FFFFFF" w:fill="auto"/>
          </w:tcPr>
          <w:p w14:paraId="0733082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BCD5FD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0E1BAFB"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0ECEF1CC" w14:textId="77777777" w:rsidR="00D40151" w:rsidRPr="00873B6C" w:rsidRDefault="00D40151" w:rsidP="009D14FB">
            <w:pPr>
              <w:pStyle w:val="TAL"/>
              <w:rPr>
                <w:sz w:val="16"/>
                <w:szCs w:val="16"/>
              </w:rPr>
            </w:pPr>
            <w:r w:rsidRPr="00873B6C">
              <w:rPr>
                <w:sz w:val="16"/>
                <w:szCs w:val="16"/>
              </w:rPr>
              <w:t>0334</w:t>
            </w:r>
          </w:p>
        </w:tc>
        <w:tc>
          <w:tcPr>
            <w:tcW w:w="425" w:type="dxa"/>
            <w:shd w:val="solid" w:color="FFFFFF" w:fill="auto"/>
          </w:tcPr>
          <w:p w14:paraId="341EE4F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041D67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CDF9DD" w14:textId="77777777" w:rsidR="00D40151" w:rsidRPr="00873B6C" w:rsidRDefault="00D40151" w:rsidP="009D14FB">
            <w:pPr>
              <w:pStyle w:val="TAL"/>
              <w:rPr>
                <w:sz w:val="16"/>
                <w:szCs w:val="16"/>
              </w:rPr>
            </w:pPr>
            <w:r w:rsidRPr="00873B6C">
              <w:rPr>
                <w:sz w:val="16"/>
                <w:szCs w:val="16"/>
              </w:rPr>
              <w:t>Handling of maximum supported data rate per UE for integrity protection</w:t>
            </w:r>
          </w:p>
        </w:tc>
        <w:tc>
          <w:tcPr>
            <w:tcW w:w="708" w:type="dxa"/>
            <w:shd w:val="solid" w:color="FFFFFF" w:fill="auto"/>
          </w:tcPr>
          <w:p w14:paraId="30F74A35" w14:textId="77777777" w:rsidR="00D40151" w:rsidRPr="00873B6C" w:rsidRDefault="00D40151" w:rsidP="009D14FB">
            <w:pPr>
              <w:pStyle w:val="TAC"/>
              <w:rPr>
                <w:sz w:val="16"/>
                <w:szCs w:val="16"/>
              </w:rPr>
            </w:pPr>
            <w:r w:rsidRPr="00873B6C">
              <w:rPr>
                <w:sz w:val="16"/>
                <w:szCs w:val="16"/>
              </w:rPr>
              <w:t>15.2.0</w:t>
            </w:r>
          </w:p>
        </w:tc>
      </w:tr>
      <w:tr w:rsidR="00D40151" w:rsidRPr="00873B6C" w14:paraId="1E3C681A" w14:textId="77777777" w:rsidTr="009D14FB">
        <w:tc>
          <w:tcPr>
            <w:tcW w:w="800" w:type="dxa"/>
            <w:shd w:val="solid" w:color="FFFFFF" w:fill="auto"/>
          </w:tcPr>
          <w:p w14:paraId="425D19F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B95EB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A743BDF"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6829B13A" w14:textId="77777777" w:rsidR="00D40151" w:rsidRPr="00873B6C" w:rsidRDefault="00D40151" w:rsidP="009D14FB">
            <w:pPr>
              <w:pStyle w:val="TAL"/>
              <w:rPr>
                <w:sz w:val="16"/>
                <w:szCs w:val="16"/>
              </w:rPr>
            </w:pPr>
            <w:r w:rsidRPr="00873B6C">
              <w:rPr>
                <w:sz w:val="16"/>
                <w:szCs w:val="16"/>
              </w:rPr>
              <w:t>0335</w:t>
            </w:r>
          </w:p>
        </w:tc>
        <w:tc>
          <w:tcPr>
            <w:tcW w:w="425" w:type="dxa"/>
            <w:shd w:val="solid" w:color="FFFFFF" w:fill="auto"/>
          </w:tcPr>
          <w:p w14:paraId="2280E86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6603A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BF17C2" w14:textId="77777777" w:rsidR="00D40151" w:rsidRPr="00873B6C" w:rsidRDefault="00D40151" w:rsidP="009D14FB">
            <w:pPr>
              <w:pStyle w:val="TAL"/>
              <w:rPr>
                <w:sz w:val="16"/>
                <w:szCs w:val="16"/>
              </w:rPr>
            </w:pPr>
            <w:r w:rsidRPr="00873B6C">
              <w:rPr>
                <w:sz w:val="16"/>
                <w:szCs w:val="16"/>
              </w:rPr>
              <w:t>NF/NF service registration and status subscribe/notify description updates</w:t>
            </w:r>
          </w:p>
        </w:tc>
        <w:tc>
          <w:tcPr>
            <w:tcW w:w="708" w:type="dxa"/>
            <w:shd w:val="solid" w:color="FFFFFF" w:fill="auto"/>
          </w:tcPr>
          <w:p w14:paraId="61FF67C2" w14:textId="77777777" w:rsidR="00D40151" w:rsidRPr="00873B6C" w:rsidRDefault="00D40151" w:rsidP="009D14FB">
            <w:pPr>
              <w:pStyle w:val="TAC"/>
              <w:rPr>
                <w:sz w:val="16"/>
                <w:szCs w:val="16"/>
              </w:rPr>
            </w:pPr>
            <w:r w:rsidRPr="00873B6C">
              <w:rPr>
                <w:sz w:val="16"/>
                <w:szCs w:val="16"/>
              </w:rPr>
              <w:t>15.2.0</w:t>
            </w:r>
          </w:p>
        </w:tc>
      </w:tr>
      <w:tr w:rsidR="00D40151" w:rsidRPr="00873B6C" w14:paraId="5A41639C" w14:textId="77777777" w:rsidTr="009D14FB">
        <w:tc>
          <w:tcPr>
            <w:tcW w:w="800" w:type="dxa"/>
            <w:shd w:val="solid" w:color="FFFFFF" w:fill="auto"/>
          </w:tcPr>
          <w:p w14:paraId="0E72732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7B78FF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81B659A"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0E15A17C" w14:textId="77777777" w:rsidR="00D40151" w:rsidRPr="00873B6C" w:rsidRDefault="00D40151" w:rsidP="009D14FB">
            <w:pPr>
              <w:pStyle w:val="TAL"/>
              <w:rPr>
                <w:sz w:val="16"/>
                <w:szCs w:val="16"/>
              </w:rPr>
            </w:pPr>
            <w:r w:rsidRPr="00873B6C">
              <w:rPr>
                <w:sz w:val="16"/>
                <w:szCs w:val="16"/>
              </w:rPr>
              <w:t>0336</w:t>
            </w:r>
          </w:p>
        </w:tc>
        <w:tc>
          <w:tcPr>
            <w:tcW w:w="425" w:type="dxa"/>
            <w:shd w:val="solid" w:color="FFFFFF" w:fill="auto"/>
          </w:tcPr>
          <w:p w14:paraId="6EE0D20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E681C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0CA4E7" w14:textId="77777777" w:rsidR="00D40151" w:rsidRPr="00873B6C" w:rsidRDefault="00D40151" w:rsidP="009D14FB">
            <w:pPr>
              <w:pStyle w:val="TAL"/>
              <w:rPr>
                <w:sz w:val="16"/>
                <w:szCs w:val="16"/>
              </w:rPr>
            </w:pPr>
            <w:r w:rsidRPr="00873B6C">
              <w:rPr>
                <w:sz w:val="16"/>
                <w:szCs w:val="16"/>
              </w:rPr>
              <w:t>Use of results of NF/NF service discovery for NF/NF service selection</w:t>
            </w:r>
          </w:p>
        </w:tc>
        <w:tc>
          <w:tcPr>
            <w:tcW w:w="708" w:type="dxa"/>
            <w:shd w:val="solid" w:color="FFFFFF" w:fill="auto"/>
          </w:tcPr>
          <w:p w14:paraId="571EF8F3" w14:textId="77777777" w:rsidR="00D40151" w:rsidRPr="00873B6C" w:rsidRDefault="00D40151" w:rsidP="009D14FB">
            <w:pPr>
              <w:pStyle w:val="TAC"/>
              <w:rPr>
                <w:sz w:val="16"/>
                <w:szCs w:val="16"/>
              </w:rPr>
            </w:pPr>
            <w:r w:rsidRPr="00873B6C">
              <w:rPr>
                <w:sz w:val="16"/>
                <w:szCs w:val="16"/>
              </w:rPr>
              <w:t>15.2.0</w:t>
            </w:r>
          </w:p>
        </w:tc>
      </w:tr>
      <w:tr w:rsidR="00D40151" w:rsidRPr="00873B6C" w14:paraId="38A948A1" w14:textId="77777777" w:rsidTr="009D14FB">
        <w:tc>
          <w:tcPr>
            <w:tcW w:w="800" w:type="dxa"/>
            <w:shd w:val="solid" w:color="FFFFFF" w:fill="auto"/>
          </w:tcPr>
          <w:p w14:paraId="19972FA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80B637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7F4CC76"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1554B618" w14:textId="77777777" w:rsidR="00D40151" w:rsidRPr="00873B6C" w:rsidRDefault="00D40151" w:rsidP="009D14FB">
            <w:pPr>
              <w:pStyle w:val="TAL"/>
              <w:rPr>
                <w:sz w:val="16"/>
                <w:szCs w:val="16"/>
              </w:rPr>
            </w:pPr>
            <w:r w:rsidRPr="00873B6C">
              <w:rPr>
                <w:sz w:val="16"/>
                <w:szCs w:val="16"/>
              </w:rPr>
              <w:t>0338</w:t>
            </w:r>
          </w:p>
        </w:tc>
        <w:tc>
          <w:tcPr>
            <w:tcW w:w="425" w:type="dxa"/>
            <w:shd w:val="solid" w:color="FFFFFF" w:fill="auto"/>
          </w:tcPr>
          <w:p w14:paraId="6DDA676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EBE769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D98A41" w14:textId="77777777" w:rsidR="00D40151" w:rsidRPr="00873B6C" w:rsidRDefault="00D40151" w:rsidP="009D14FB">
            <w:pPr>
              <w:pStyle w:val="TAL"/>
              <w:rPr>
                <w:sz w:val="16"/>
                <w:szCs w:val="16"/>
              </w:rPr>
            </w:pPr>
            <w:r w:rsidRPr="00873B6C">
              <w:rPr>
                <w:sz w:val="16"/>
                <w:szCs w:val="16"/>
              </w:rPr>
              <w:t>Subscribed SMSF address</w:t>
            </w:r>
          </w:p>
        </w:tc>
        <w:tc>
          <w:tcPr>
            <w:tcW w:w="708" w:type="dxa"/>
            <w:shd w:val="solid" w:color="FFFFFF" w:fill="auto"/>
          </w:tcPr>
          <w:p w14:paraId="0399A706" w14:textId="77777777" w:rsidR="00D40151" w:rsidRPr="00873B6C" w:rsidRDefault="00D40151" w:rsidP="009D14FB">
            <w:pPr>
              <w:pStyle w:val="TAC"/>
              <w:rPr>
                <w:sz w:val="16"/>
                <w:szCs w:val="16"/>
              </w:rPr>
            </w:pPr>
            <w:r w:rsidRPr="00873B6C">
              <w:rPr>
                <w:sz w:val="16"/>
                <w:szCs w:val="16"/>
              </w:rPr>
              <w:t>15.2.0</w:t>
            </w:r>
          </w:p>
        </w:tc>
      </w:tr>
      <w:tr w:rsidR="00D40151" w:rsidRPr="00873B6C" w14:paraId="7BCEC3AF" w14:textId="77777777" w:rsidTr="009D14FB">
        <w:tc>
          <w:tcPr>
            <w:tcW w:w="800" w:type="dxa"/>
            <w:shd w:val="solid" w:color="FFFFFF" w:fill="auto"/>
          </w:tcPr>
          <w:p w14:paraId="51540BD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05768F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636DA1"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05718A6A" w14:textId="77777777" w:rsidR="00D40151" w:rsidRPr="00873B6C" w:rsidRDefault="00D40151" w:rsidP="009D14FB">
            <w:pPr>
              <w:pStyle w:val="TAL"/>
              <w:rPr>
                <w:sz w:val="16"/>
                <w:szCs w:val="16"/>
              </w:rPr>
            </w:pPr>
            <w:r w:rsidRPr="00873B6C">
              <w:rPr>
                <w:sz w:val="16"/>
                <w:szCs w:val="16"/>
              </w:rPr>
              <w:t>0339</w:t>
            </w:r>
          </w:p>
        </w:tc>
        <w:tc>
          <w:tcPr>
            <w:tcW w:w="425" w:type="dxa"/>
            <w:shd w:val="solid" w:color="FFFFFF" w:fill="auto"/>
          </w:tcPr>
          <w:p w14:paraId="6FD7BE9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2B704D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417444" w14:textId="77777777" w:rsidR="00D40151" w:rsidRPr="00873B6C" w:rsidRDefault="00D40151" w:rsidP="009D14FB">
            <w:pPr>
              <w:pStyle w:val="TAL"/>
              <w:rPr>
                <w:sz w:val="16"/>
                <w:szCs w:val="16"/>
              </w:rPr>
            </w:pPr>
            <w:r w:rsidRPr="00873B6C">
              <w:rPr>
                <w:sz w:val="16"/>
                <w:szCs w:val="16"/>
              </w:rPr>
              <w:t>SEPP fully redundant and next-hop IPX proxy</w:t>
            </w:r>
          </w:p>
        </w:tc>
        <w:tc>
          <w:tcPr>
            <w:tcW w:w="708" w:type="dxa"/>
            <w:shd w:val="solid" w:color="FFFFFF" w:fill="auto"/>
          </w:tcPr>
          <w:p w14:paraId="2416051C" w14:textId="77777777" w:rsidR="00D40151" w:rsidRPr="00873B6C" w:rsidRDefault="00D40151" w:rsidP="009D14FB">
            <w:pPr>
              <w:pStyle w:val="TAC"/>
              <w:rPr>
                <w:sz w:val="16"/>
                <w:szCs w:val="16"/>
              </w:rPr>
            </w:pPr>
            <w:r w:rsidRPr="00873B6C">
              <w:rPr>
                <w:sz w:val="16"/>
                <w:szCs w:val="16"/>
              </w:rPr>
              <w:t>15.2.0</w:t>
            </w:r>
          </w:p>
        </w:tc>
      </w:tr>
      <w:tr w:rsidR="00D40151" w:rsidRPr="00873B6C" w14:paraId="0BFE4F50" w14:textId="77777777" w:rsidTr="009D14FB">
        <w:tc>
          <w:tcPr>
            <w:tcW w:w="800" w:type="dxa"/>
            <w:shd w:val="solid" w:color="FFFFFF" w:fill="auto"/>
          </w:tcPr>
          <w:p w14:paraId="4636107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322F48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F0CDC6E"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7B713090" w14:textId="77777777" w:rsidR="00D40151" w:rsidRPr="00873B6C" w:rsidRDefault="00D40151" w:rsidP="009D14FB">
            <w:pPr>
              <w:pStyle w:val="TAL"/>
              <w:rPr>
                <w:sz w:val="16"/>
                <w:szCs w:val="16"/>
              </w:rPr>
            </w:pPr>
            <w:r w:rsidRPr="00873B6C">
              <w:rPr>
                <w:sz w:val="16"/>
                <w:szCs w:val="16"/>
              </w:rPr>
              <w:t>0342</w:t>
            </w:r>
          </w:p>
        </w:tc>
        <w:tc>
          <w:tcPr>
            <w:tcW w:w="425" w:type="dxa"/>
            <w:shd w:val="solid" w:color="FFFFFF" w:fill="auto"/>
          </w:tcPr>
          <w:p w14:paraId="406104E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056CF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329DF8" w14:textId="77777777" w:rsidR="00D40151" w:rsidRPr="00873B6C" w:rsidRDefault="00D40151" w:rsidP="009D14FB">
            <w:pPr>
              <w:pStyle w:val="TAL"/>
              <w:rPr>
                <w:sz w:val="16"/>
                <w:szCs w:val="16"/>
              </w:rPr>
            </w:pPr>
            <w:r w:rsidRPr="00873B6C">
              <w:rPr>
                <w:sz w:val="16"/>
                <w:szCs w:val="16"/>
              </w:rPr>
              <w:t>SMF selection factor</w:t>
            </w:r>
          </w:p>
        </w:tc>
        <w:tc>
          <w:tcPr>
            <w:tcW w:w="708" w:type="dxa"/>
            <w:shd w:val="solid" w:color="FFFFFF" w:fill="auto"/>
          </w:tcPr>
          <w:p w14:paraId="5CE30331" w14:textId="77777777" w:rsidR="00D40151" w:rsidRPr="00873B6C" w:rsidRDefault="00D40151" w:rsidP="009D14FB">
            <w:pPr>
              <w:pStyle w:val="TAC"/>
              <w:rPr>
                <w:sz w:val="16"/>
                <w:szCs w:val="16"/>
              </w:rPr>
            </w:pPr>
            <w:r w:rsidRPr="00873B6C">
              <w:rPr>
                <w:sz w:val="16"/>
                <w:szCs w:val="16"/>
              </w:rPr>
              <w:t>15.2.0</w:t>
            </w:r>
          </w:p>
        </w:tc>
      </w:tr>
      <w:tr w:rsidR="00D40151" w:rsidRPr="00873B6C" w14:paraId="19DF4311" w14:textId="77777777" w:rsidTr="009D14FB">
        <w:tc>
          <w:tcPr>
            <w:tcW w:w="800" w:type="dxa"/>
            <w:shd w:val="solid" w:color="FFFFFF" w:fill="auto"/>
          </w:tcPr>
          <w:p w14:paraId="363561B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8F379E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F98A8D9"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4E92786E" w14:textId="77777777" w:rsidR="00D40151" w:rsidRPr="00873B6C" w:rsidRDefault="00D40151" w:rsidP="009D14FB">
            <w:pPr>
              <w:pStyle w:val="TAL"/>
              <w:rPr>
                <w:sz w:val="16"/>
                <w:szCs w:val="16"/>
              </w:rPr>
            </w:pPr>
            <w:r w:rsidRPr="00873B6C">
              <w:rPr>
                <w:sz w:val="16"/>
                <w:szCs w:val="16"/>
              </w:rPr>
              <w:t>0344</w:t>
            </w:r>
          </w:p>
        </w:tc>
        <w:tc>
          <w:tcPr>
            <w:tcW w:w="425" w:type="dxa"/>
            <w:shd w:val="solid" w:color="FFFFFF" w:fill="auto"/>
          </w:tcPr>
          <w:p w14:paraId="6422E78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A182E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A9DD03" w14:textId="77777777" w:rsidR="00D40151" w:rsidRPr="00873B6C" w:rsidRDefault="00D40151" w:rsidP="009D14FB">
            <w:pPr>
              <w:pStyle w:val="TAL"/>
              <w:rPr>
                <w:sz w:val="16"/>
                <w:szCs w:val="16"/>
              </w:rPr>
            </w:pPr>
            <w:r w:rsidRPr="00873B6C">
              <w:rPr>
                <w:sz w:val="16"/>
                <w:szCs w:val="16"/>
              </w:rPr>
              <w:t>IPsec SAs in tunnel mode</w:t>
            </w:r>
          </w:p>
        </w:tc>
        <w:tc>
          <w:tcPr>
            <w:tcW w:w="708" w:type="dxa"/>
            <w:shd w:val="solid" w:color="FFFFFF" w:fill="auto"/>
          </w:tcPr>
          <w:p w14:paraId="1B90B793" w14:textId="77777777" w:rsidR="00D40151" w:rsidRPr="00873B6C" w:rsidRDefault="00D40151" w:rsidP="009D14FB">
            <w:pPr>
              <w:pStyle w:val="TAC"/>
              <w:rPr>
                <w:sz w:val="16"/>
                <w:szCs w:val="16"/>
              </w:rPr>
            </w:pPr>
            <w:r w:rsidRPr="00873B6C">
              <w:rPr>
                <w:sz w:val="16"/>
                <w:szCs w:val="16"/>
              </w:rPr>
              <w:t>15.2.0</w:t>
            </w:r>
          </w:p>
        </w:tc>
      </w:tr>
      <w:tr w:rsidR="00D40151" w:rsidRPr="00873B6C" w14:paraId="58448673" w14:textId="77777777" w:rsidTr="009D14FB">
        <w:tc>
          <w:tcPr>
            <w:tcW w:w="800" w:type="dxa"/>
            <w:shd w:val="solid" w:color="FFFFFF" w:fill="auto"/>
          </w:tcPr>
          <w:p w14:paraId="251CB3A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924C44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28B34AE"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6170E355" w14:textId="77777777" w:rsidR="00D40151" w:rsidRPr="00873B6C" w:rsidRDefault="00D40151" w:rsidP="009D14FB">
            <w:pPr>
              <w:pStyle w:val="TAL"/>
              <w:rPr>
                <w:sz w:val="16"/>
                <w:szCs w:val="16"/>
              </w:rPr>
            </w:pPr>
            <w:r w:rsidRPr="00873B6C">
              <w:rPr>
                <w:sz w:val="16"/>
                <w:szCs w:val="16"/>
              </w:rPr>
              <w:t>0345</w:t>
            </w:r>
          </w:p>
        </w:tc>
        <w:tc>
          <w:tcPr>
            <w:tcW w:w="425" w:type="dxa"/>
            <w:shd w:val="solid" w:color="FFFFFF" w:fill="auto"/>
          </w:tcPr>
          <w:p w14:paraId="42CE11E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692164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6D5438" w14:textId="77777777" w:rsidR="00D40151" w:rsidRPr="00873B6C" w:rsidRDefault="00D40151" w:rsidP="009D14FB">
            <w:pPr>
              <w:pStyle w:val="TAL"/>
              <w:rPr>
                <w:sz w:val="16"/>
                <w:szCs w:val="16"/>
              </w:rPr>
            </w:pPr>
            <w:r w:rsidRPr="00873B6C">
              <w:rPr>
                <w:sz w:val="16"/>
                <w:szCs w:val="16"/>
              </w:rPr>
              <w:t>Determining interworking support for PDU sessions in case of interworking without N26</w:t>
            </w:r>
          </w:p>
        </w:tc>
        <w:tc>
          <w:tcPr>
            <w:tcW w:w="708" w:type="dxa"/>
            <w:shd w:val="solid" w:color="FFFFFF" w:fill="auto"/>
          </w:tcPr>
          <w:p w14:paraId="4644CBA0" w14:textId="77777777" w:rsidR="00D40151" w:rsidRPr="00873B6C" w:rsidRDefault="00D40151" w:rsidP="009D14FB">
            <w:pPr>
              <w:pStyle w:val="TAC"/>
              <w:rPr>
                <w:sz w:val="16"/>
                <w:szCs w:val="16"/>
              </w:rPr>
            </w:pPr>
            <w:r w:rsidRPr="00873B6C">
              <w:rPr>
                <w:sz w:val="16"/>
                <w:szCs w:val="16"/>
              </w:rPr>
              <w:t>15.2.0</w:t>
            </w:r>
          </w:p>
        </w:tc>
      </w:tr>
      <w:tr w:rsidR="00D40151" w:rsidRPr="00873B6C" w14:paraId="26A3AC18" w14:textId="77777777" w:rsidTr="009D14FB">
        <w:tc>
          <w:tcPr>
            <w:tcW w:w="800" w:type="dxa"/>
            <w:shd w:val="solid" w:color="FFFFFF" w:fill="auto"/>
          </w:tcPr>
          <w:p w14:paraId="57E6D50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D86381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121C090"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76E52CBA" w14:textId="77777777" w:rsidR="00D40151" w:rsidRPr="00873B6C" w:rsidRDefault="00D40151" w:rsidP="009D14FB">
            <w:pPr>
              <w:pStyle w:val="TAL"/>
              <w:rPr>
                <w:sz w:val="16"/>
                <w:szCs w:val="16"/>
              </w:rPr>
            </w:pPr>
            <w:r w:rsidRPr="00873B6C">
              <w:rPr>
                <w:sz w:val="16"/>
                <w:szCs w:val="16"/>
              </w:rPr>
              <w:t>0346</w:t>
            </w:r>
          </w:p>
        </w:tc>
        <w:tc>
          <w:tcPr>
            <w:tcW w:w="425" w:type="dxa"/>
            <w:shd w:val="solid" w:color="FFFFFF" w:fill="auto"/>
          </w:tcPr>
          <w:p w14:paraId="50F1C24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B7B8A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338661" w14:textId="77777777" w:rsidR="00D40151" w:rsidRPr="00873B6C" w:rsidRDefault="00D40151" w:rsidP="009D14FB">
            <w:pPr>
              <w:pStyle w:val="TAL"/>
              <w:rPr>
                <w:sz w:val="16"/>
                <w:szCs w:val="16"/>
              </w:rPr>
            </w:pPr>
            <w:r w:rsidRPr="00873B6C">
              <w:rPr>
                <w:sz w:val="16"/>
                <w:szCs w:val="16"/>
              </w:rPr>
              <w:t>Fixing the definition of signalled QoS rule</w:t>
            </w:r>
          </w:p>
        </w:tc>
        <w:tc>
          <w:tcPr>
            <w:tcW w:w="708" w:type="dxa"/>
            <w:shd w:val="solid" w:color="FFFFFF" w:fill="auto"/>
          </w:tcPr>
          <w:p w14:paraId="57B71B6B" w14:textId="77777777" w:rsidR="00D40151" w:rsidRPr="00873B6C" w:rsidRDefault="00D40151" w:rsidP="009D14FB">
            <w:pPr>
              <w:pStyle w:val="TAC"/>
              <w:rPr>
                <w:sz w:val="16"/>
                <w:szCs w:val="16"/>
              </w:rPr>
            </w:pPr>
            <w:r w:rsidRPr="00873B6C">
              <w:rPr>
                <w:sz w:val="16"/>
                <w:szCs w:val="16"/>
              </w:rPr>
              <w:t>15.2.0</w:t>
            </w:r>
          </w:p>
        </w:tc>
      </w:tr>
      <w:tr w:rsidR="00D40151" w:rsidRPr="00873B6C" w14:paraId="23A6C333" w14:textId="77777777" w:rsidTr="009D14FB">
        <w:tc>
          <w:tcPr>
            <w:tcW w:w="800" w:type="dxa"/>
            <w:shd w:val="solid" w:color="FFFFFF" w:fill="auto"/>
          </w:tcPr>
          <w:p w14:paraId="700DCE7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CB76CF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3DC651A"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391F455A" w14:textId="77777777" w:rsidR="00D40151" w:rsidRPr="00873B6C" w:rsidRDefault="00D40151" w:rsidP="009D14FB">
            <w:pPr>
              <w:pStyle w:val="TAL"/>
              <w:rPr>
                <w:sz w:val="16"/>
                <w:szCs w:val="16"/>
              </w:rPr>
            </w:pPr>
            <w:r w:rsidRPr="00873B6C">
              <w:rPr>
                <w:sz w:val="16"/>
                <w:szCs w:val="16"/>
              </w:rPr>
              <w:t>0349</w:t>
            </w:r>
          </w:p>
        </w:tc>
        <w:tc>
          <w:tcPr>
            <w:tcW w:w="425" w:type="dxa"/>
            <w:shd w:val="solid" w:color="FFFFFF" w:fill="auto"/>
          </w:tcPr>
          <w:p w14:paraId="7FB45C4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54597D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DEF0D8" w14:textId="77777777" w:rsidR="00D40151" w:rsidRPr="00873B6C" w:rsidRDefault="00D40151" w:rsidP="009D14FB">
            <w:pPr>
              <w:pStyle w:val="TAL"/>
              <w:rPr>
                <w:sz w:val="16"/>
                <w:szCs w:val="16"/>
              </w:rPr>
            </w:pPr>
            <w:r w:rsidRPr="00873B6C">
              <w:rPr>
                <w:sz w:val="16"/>
                <w:szCs w:val="16"/>
              </w:rPr>
              <w:t>Clarify GUTI aspects for single-registration mode UEs for interworking without N26</w:t>
            </w:r>
          </w:p>
        </w:tc>
        <w:tc>
          <w:tcPr>
            <w:tcW w:w="708" w:type="dxa"/>
            <w:shd w:val="solid" w:color="FFFFFF" w:fill="auto"/>
          </w:tcPr>
          <w:p w14:paraId="18CA4ADD" w14:textId="77777777" w:rsidR="00D40151" w:rsidRPr="00873B6C" w:rsidRDefault="00D40151" w:rsidP="009D14FB">
            <w:pPr>
              <w:pStyle w:val="TAC"/>
              <w:rPr>
                <w:sz w:val="16"/>
                <w:szCs w:val="16"/>
              </w:rPr>
            </w:pPr>
            <w:r w:rsidRPr="00873B6C">
              <w:rPr>
                <w:sz w:val="16"/>
                <w:szCs w:val="16"/>
              </w:rPr>
              <w:t>15.2.0</w:t>
            </w:r>
          </w:p>
        </w:tc>
      </w:tr>
      <w:tr w:rsidR="00D40151" w:rsidRPr="00873B6C" w14:paraId="62C52C91" w14:textId="77777777" w:rsidTr="009D14FB">
        <w:tc>
          <w:tcPr>
            <w:tcW w:w="800" w:type="dxa"/>
            <w:shd w:val="solid" w:color="FFFFFF" w:fill="auto"/>
          </w:tcPr>
          <w:p w14:paraId="4F9B36D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094DD7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A00A02E"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450DD3E9" w14:textId="77777777" w:rsidR="00D40151" w:rsidRPr="00873B6C" w:rsidRDefault="00D40151" w:rsidP="009D14FB">
            <w:pPr>
              <w:pStyle w:val="TAL"/>
              <w:rPr>
                <w:sz w:val="16"/>
                <w:szCs w:val="16"/>
              </w:rPr>
            </w:pPr>
            <w:r w:rsidRPr="00873B6C">
              <w:rPr>
                <w:sz w:val="16"/>
                <w:szCs w:val="16"/>
              </w:rPr>
              <w:t>0351</w:t>
            </w:r>
          </w:p>
        </w:tc>
        <w:tc>
          <w:tcPr>
            <w:tcW w:w="425" w:type="dxa"/>
            <w:shd w:val="solid" w:color="FFFFFF" w:fill="auto"/>
          </w:tcPr>
          <w:p w14:paraId="3E876B4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C2AA6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333F90" w14:textId="77777777" w:rsidR="00D40151" w:rsidRPr="00873B6C" w:rsidRDefault="00D40151" w:rsidP="009D14FB">
            <w:pPr>
              <w:pStyle w:val="TAL"/>
              <w:rPr>
                <w:sz w:val="16"/>
                <w:szCs w:val="16"/>
              </w:rPr>
            </w:pPr>
            <w:r w:rsidRPr="00873B6C">
              <w:rPr>
                <w:sz w:val="16"/>
                <w:szCs w:val="16"/>
              </w:rPr>
              <w:t>N9 missing in some figures</w:t>
            </w:r>
          </w:p>
        </w:tc>
        <w:tc>
          <w:tcPr>
            <w:tcW w:w="708" w:type="dxa"/>
            <w:shd w:val="solid" w:color="FFFFFF" w:fill="auto"/>
          </w:tcPr>
          <w:p w14:paraId="381A4490" w14:textId="77777777" w:rsidR="00D40151" w:rsidRPr="00873B6C" w:rsidRDefault="00D40151" w:rsidP="009D14FB">
            <w:pPr>
              <w:pStyle w:val="TAC"/>
              <w:rPr>
                <w:sz w:val="16"/>
                <w:szCs w:val="16"/>
              </w:rPr>
            </w:pPr>
            <w:r w:rsidRPr="00873B6C">
              <w:rPr>
                <w:sz w:val="16"/>
                <w:szCs w:val="16"/>
              </w:rPr>
              <w:t>15.2.0</w:t>
            </w:r>
          </w:p>
        </w:tc>
      </w:tr>
      <w:tr w:rsidR="00D40151" w:rsidRPr="00873B6C" w14:paraId="30EC2FCD" w14:textId="77777777" w:rsidTr="009D14FB">
        <w:tc>
          <w:tcPr>
            <w:tcW w:w="800" w:type="dxa"/>
            <w:shd w:val="solid" w:color="FFFFFF" w:fill="auto"/>
          </w:tcPr>
          <w:p w14:paraId="414B91D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B27A74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B49EA8D"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2DB7D1D4" w14:textId="77777777" w:rsidR="00D40151" w:rsidRPr="00873B6C" w:rsidRDefault="00D40151" w:rsidP="009D14FB">
            <w:pPr>
              <w:pStyle w:val="TAL"/>
              <w:rPr>
                <w:sz w:val="16"/>
                <w:szCs w:val="16"/>
              </w:rPr>
            </w:pPr>
            <w:r w:rsidRPr="00873B6C">
              <w:rPr>
                <w:sz w:val="16"/>
                <w:szCs w:val="16"/>
              </w:rPr>
              <w:t>0352</w:t>
            </w:r>
          </w:p>
        </w:tc>
        <w:tc>
          <w:tcPr>
            <w:tcW w:w="425" w:type="dxa"/>
            <w:shd w:val="solid" w:color="FFFFFF" w:fill="auto"/>
          </w:tcPr>
          <w:p w14:paraId="7FF98B1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35A63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A8E7EA" w14:textId="77777777" w:rsidR="00D40151" w:rsidRPr="00873B6C" w:rsidRDefault="00D40151" w:rsidP="009D14FB">
            <w:pPr>
              <w:pStyle w:val="TAL"/>
              <w:rPr>
                <w:sz w:val="16"/>
                <w:szCs w:val="16"/>
              </w:rPr>
            </w:pPr>
            <w:r w:rsidRPr="00873B6C">
              <w:rPr>
                <w:sz w:val="16"/>
                <w:szCs w:val="16"/>
              </w:rPr>
              <w:t>NF instance and NF service instance definitions</w:t>
            </w:r>
          </w:p>
        </w:tc>
        <w:tc>
          <w:tcPr>
            <w:tcW w:w="708" w:type="dxa"/>
            <w:shd w:val="solid" w:color="FFFFFF" w:fill="auto"/>
          </w:tcPr>
          <w:p w14:paraId="33D5ECDA" w14:textId="77777777" w:rsidR="00D40151" w:rsidRPr="00873B6C" w:rsidRDefault="00D40151" w:rsidP="009D14FB">
            <w:pPr>
              <w:pStyle w:val="TAC"/>
              <w:rPr>
                <w:sz w:val="16"/>
                <w:szCs w:val="16"/>
              </w:rPr>
            </w:pPr>
            <w:r w:rsidRPr="00873B6C">
              <w:rPr>
                <w:sz w:val="16"/>
                <w:szCs w:val="16"/>
              </w:rPr>
              <w:t>15.2.0</w:t>
            </w:r>
          </w:p>
        </w:tc>
      </w:tr>
      <w:tr w:rsidR="00D40151" w:rsidRPr="00873B6C" w14:paraId="3C17279E" w14:textId="77777777" w:rsidTr="009D14FB">
        <w:tc>
          <w:tcPr>
            <w:tcW w:w="800" w:type="dxa"/>
            <w:shd w:val="solid" w:color="FFFFFF" w:fill="auto"/>
          </w:tcPr>
          <w:p w14:paraId="6FF2A5A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ACB1F1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D747A36"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2881670D" w14:textId="77777777" w:rsidR="00D40151" w:rsidRPr="00873B6C" w:rsidRDefault="00D40151" w:rsidP="009D14FB">
            <w:pPr>
              <w:pStyle w:val="TAL"/>
              <w:rPr>
                <w:sz w:val="16"/>
                <w:szCs w:val="16"/>
              </w:rPr>
            </w:pPr>
            <w:r w:rsidRPr="00873B6C">
              <w:rPr>
                <w:sz w:val="16"/>
                <w:szCs w:val="16"/>
              </w:rPr>
              <w:t>0353</w:t>
            </w:r>
          </w:p>
        </w:tc>
        <w:tc>
          <w:tcPr>
            <w:tcW w:w="425" w:type="dxa"/>
            <w:shd w:val="solid" w:color="FFFFFF" w:fill="auto"/>
          </w:tcPr>
          <w:p w14:paraId="075B13E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171E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FB98FB" w14:textId="77777777" w:rsidR="00D40151" w:rsidRPr="00873B6C" w:rsidRDefault="00D40151" w:rsidP="009D14FB">
            <w:pPr>
              <w:pStyle w:val="TAL"/>
              <w:rPr>
                <w:sz w:val="16"/>
                <w:szCs w:val="16"/>
              </w:rPr>
            </w:pPr>
            <w:r w:rsidRPr="00873B6C">
              <w:rPr>
                <w:sz w:val="16"/>
                <w:szCs w:val="16"/>
              </w:rPr>
              <w:t>Correction to UE Radio Capability handling</w:t>
            </w:r>
          </w:p>
        </w:tc>
        <w:tc>
          <w:tcPr>
            <w:tcW w:w="708" w:type="dxa"/>
            <w:shd w:val="solid" w:color="FFFFFF" w:fill="auto"/>
          </w:tcPr>
          <w:p w14:paraId="2828B0E6" w14:textId="77777777" w:rsidR="00D40151" w:rsidRPr="00873B6C" w:rsidRDefault="00D40151" w:rsidP="009D14FB">
            <w:pPr>
              <w:pStyle w:val="TAC"/>
              <w:rPr>
                <w:sz w:val="16"/>
                <w:szCs w:val="16"/>
              </w:rPr>
            </w:pPr>
            <w:r w:rsidRPr="00873B6C">
              <w:rPr>
                <w:sz w:val="16"/>
                <w:szCs w:val="16"/>
              </w:rPr>
              <w:t>15.2.0</w:t>
            </w:r>
          </w:p>
        </w:tc>
      </w:tr>
      <w:tr w:rsidR="00D40151" w:rsidRPr="00873B6C" w14:paraId="03A22379" w14:textId="77777777" w:rsidTr="009D14FB">
        <w:tc>
          <w:tcPr>
            <w:tcW w:w="800" w:type="dxa"/>
            <w:shd w:val="solid" w:color="FFFFFF" w:fill="auto"/>
          </w:tcPr>
          <w:p w14:paraId="5F57BDD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41B2BC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16BA4D2"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799EEE38" w14:textId="77777777" w:rsidR="00D40151" w:rsidRPr="00873B6C" w:rsidRDefault="00D40151" w:rsidP="009D14FB">
            <w:pPr>
              <w:pStyle w:val="TAL"/>
              <w:rPr>
                <w:sz w:val="16"/>
                <w:szCs w:val="16"/>
              </w:rPr>
            </w:pPr>
            <w:r w:rsidRPr="00873B6C">
              <w:rPr>
                <w:sz w:val="16"/>
                <w:szCs w:val="16"/>
              </w:rPr>
              <w:t>0355</w:t>
            </w:r>
          </w:p>
        </w:tc>
        <w:tc>
          <w:tcPr>
            <w:tcW w:w="425" w:type="dxa"/>
            <w:shd w:val="solid" w:color="FFFFFF" w:fill="auto"/>
          </w:tcPr>
          <w:p w14:paraId="6125C3B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0D146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7C17E2" w14:textId="77777777" w:rsidR="00D40151" w:rsidRPr="00873B6C" w:rsidRDefault="00D40151" w:rsidP="009D14FB">
            <w:pPr>
              <w:pStyle w:val="TAL"/>
              <w:rPr>
                <w:sz w:val="16"/>
                <w:szCs w:val="16"/>
              </w:rPr>
            </w:pPr>
            <w:r w:rsidRPr="00873B6C">
              <w:rPr>
                <w:sz w:val="16"/>
                <w:szCs w:val="16"/>
              </w:rPr>
              <w:t>Further QoS clean-up</w:t>
            </w:r>
          </w:p>
        </w:tc>
        <w:tc>
          <w:tcPr>
            <w:tcW w:w="708" w:type="dxa"/>
            <w:shd w:val="solid" w:color="FFFFFF" w:fill="auto"/>
          </w:tcPr>
          <w:p w14:paraId="6EAD2645" w14:textId="77777777" w:rsidR="00D40151" w:rsidRPr="00873B6C" w:rsidRDefault="00D40151" w:rsidP="009D14FB">
            <w:pPr>
              <w:pStyle w:val="TAC"/>
              <w:rPr>
                <w:sz w:val="16"/>
                <w:szCs w:val="16"/>
              </w:rPr>
            </w:pPr>
            <w:r w:rsidRPr="00873B6C">
              <w:rPr>
                <w:sz w:val="16"/>
                <w:szCs w:val="16"/>
              </w:rPr>
              <w:t>15.2.0</w:t>
            </w:r>
          </w:p>
        </w:tc>
      </w:tr>
      <w:tr w:rsidR="00D40151" w:rsidRPr="00873B6C" w14:paraId="5A5A0A44" w14:textId="77777777" w:rsidTr="009D14FB">
        <w:tc>
          <w:tcPr>
            <w:tcW w:w="800" w:type="dxa"/>
            <w:shd w:val="solid" w:color="FFFFFF" w:fill="auto"/>
          </w:tcPr>
          <w:p w14:paraId="7E379CE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68BB38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873C320"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7C115E1D" w14:textId="77777777" w:rsidR="00D40151" w:rsidRPr="00873B6C" w:rsidRDefault="00D40151" w:rsidP="009D14FB">
            <w:pPr>
              <w:pStyle w:val="TAL"/>
              <w:rPr>
                <w:sz w:val="16"/>
                <w:szCs w:val="16"/>
              </w:rPr>
            </w:pPr>
            <w:r w:rsidRPr="00873B6C">
              <w:rPr>
                <w:sz w:val="16"/>
                <w:szCs w:val="16"/>
              </w:rPr>
              <w:t>0356</w:t>
            </w:r>
          </w:p>
        </w:tc>
        <w:tc>
          <w:tcPr>
            <w:tcW w:w="425" w:type="dxa"/>
            <w:shd w:val="solid" w:color="FFFFFF" w:fill="auto"/>
          </w:tcPr>
          <w:p w14:paraId="4154874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2D69BA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1E9FAC" w14:textId="77777777" w:rsidR="00D40151" w:rsidRPr="00873B6C" w:rsidRDefault="00D40151" w:rsidP="009D14FB">
            <w:pPr>
              <w:pStyle w:val="TAL"/>
              <w:rPr>
                <w:sz w:val="16"/>
                <w:szCs w:val="16"/>
              </w:rPr>
            </w:pPr>
            <w:r w:rsidRPr="00873B6C">
              <w:rPr>
                <w:sz w:val="16"/>
                <w:szCs w:val="16"/>
              </w:rPr>
              <w:t>Coordination of reference point allocation</w:t>
            </w:r>
          </w:p>
        </w:tc>
        <w:tc>
          <w:tcPr>
            <w:tcW w:w="708" w:type="dxa"/>
            <w:shd w:val="solid" w:color="FFFFFF" w:fill="auto"/>
          </w:tcPr>
          <w:p w14:paraId="57E07E4C" w14:textId="77777777" w:rsidR="00D40151" w:rsidRPr="00873B6C" w:rsidRDefault="00D40151" w:rsidP="009D14FB">
            <w:pPr>
              <w:pStyle w:val="TAC"/>
              <w:rPr>
                <w:sz w:val="16"/>
                <w:szCs w:val="16"/>
              </w:rPr>
            </w:pPr>
            <w:r w:rsidRPr="00873B6C">
              <w:rPr>
                <w:sz w:val="16"/>
                <w:szCs w:val="16"/>
              </w:rPr>
              <w:t>15.2.0</w:t>
            </w:r>
          </w:p>
        </w:tc>
      </w:tr>
      <w:tr w:rsidR="00D40151" w:rsidRPr="00873B6C" w14:paraId="5470FB17" w14:textId="77777777" w:rsidTr="009D14FB">
        <w:tc>
          <w:tcPr>
            <w:tcW w:w="800" w:type="dxa"/>
            <w:shd w:val="solid" w:color="FFFFFF" w:fill="auto"/>
          </w:tcPr>
          <w:p w14:paraId="4B48B8A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FE1CD3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8AA74C"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6640F329" w14:textId="77777777" w:rsidR="00D40151" w:rsidRPr="00873B6C" w:rsidRDefault="00D40151" w:rsidP="009D14FB">
            <w:pPr>
              <w:pStyle w:val="TAL"/>
              <w:rPr>
                <w:sz w:val="16"/>
                <w:szCs w:val="16"/>
              </w:rPr>
            </w:pPr>
            <w:r w:rsidRPr="00873B6C">
              <w:rPr>
                <w:sz w:val="16"/>
                <w:szCs w:val="16"/>
              </w:rPr>
              <w:t>0359</w:t>
            </w:r>
          </w:p>
        </w:tc>
        <w:tc>
          <w:tcPr>
            <w:tcW w:w="425" w:type="dxa"/>
            <w:shd w:val="solid" w:color="FFFFFF" w:fill="auto"/>
          </w:tcPr>
          <w:p w14:paraId="64BD62F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08A1C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756AD7" w14:textId="77777777" w:rsidR="00D40151" w:rsidRPr="00873B6C" w:rsidRDefault="00D40151" w:rsidP="009D14FB">
            <w:pPr>
              <w:pStyle w:val="TAL"/>
              <w:rPr>
                <w:sz w:val="16"/>
                <w:szCs w:val="16"/>
              </w:rPr>
            </w:pPr>
            <w:r w:rsidRPr="00873B6C">
              <w:rPr>
                <w:sz w:val="16"/>
                <w:szCs w:val="16"/>
              </w:rPr>
              <w:t>Handling of Configured NSSAIs in Roaming Scenarios - 23.501</w:t>
            </w:r>
          </w:p>
        </w:tc>
        <w:tc>
          <w:tcPr>
            <w:tcW w:w="708" w:type="dxa"/>
            <w:shd w:val="solid" w:color="FFFFFF" w:fill="auto"/>
          </w:tcPr>
          <w:p w14:paraId="7C90A759" w14:textId="77777777" w:rsidR="00D40151" w:rsidRPr="00873B6C" w:rsidRDefault="00D40151" w:rsidP="009D14FB">
            <w:pPr>
              <w:pStyle w:val="TAC"/>
              <w:rPr>
                <w:sz w:val="16"/>
                <w:szCs w:val="16"/>
              </w:rPr>
            </w:pPr>
            <w:r w:rsidRPr="00873B6C">
              <w:rPr>
                <w:sz w:val="16"/>
                <w:szCs w:val="16"/>
              </w:rPr>
              <w:t>15.2.0</w:t>
            </w:r>
          </w:p>
        </w:tc>
      </w:tr>
      <w:tr w:rsidR="00D40151" w:rsidRPr="00873B6C" w14:paraId="475EA17C" w14:textId="77777777" w:rsidTr="009D14FB">
        <w:tc>
          <w:tcPr>
            <w:tcW w:w="800" w:type="dxa"/>
            <w:shd w:val="solid" w:color="FFFFFF" w:fill="auto"/>
          </w:tcPr>
          <w:p w14:paraId="0D5D81A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74333B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823C3BA"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1F18A504" w14:textId="77777777" w:rsidR="00D40151" w:rsidRPr="00873B6C" w:rsidRDefault="00D40151" w:rsidP="009D14FB">
            <w:pPr>
              <w:pStyle w:val="TAL"/>
              <w:rPr>
                <w:sz w:val="16"/>
                <w:szCs w:val="16"/>
              </w:rPr>
            </w:pPr>
            <w:r w:rsidRPr="00873B6C">
              <w:rPr>
                <w:sz w:val="16"/>
                <w:szCs w:val="16"/>
              </w:rPr>
              <w:t xml:space="preserve"> 0363</w:t>
            </w:r>
          </w:p>
        </w:tc>
        <w:tc>
          <w:tcPr>
            <w:tcW w:w="425" w:type="dxa"/>
            <w:shd w:val="solid" w:color="FFFFFF" w:fill="auto"/>
          </w:tcPr>
          <w:p w14:paraId="0F7F5A4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3B6344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FF3D6A" w14:textId="77777777" w:rsidR="00D40151" w:rsidRPr="00873B6C" w:rsidRDefault="00D40151" w:rsidP="009D14FB">
            <w:pPr>
              <w:pStyle w:val="TAL"/>
              <w:rPr>
                <w:sz w:val="16"/>
                <w:szCs w:val="16"/>
              </w:rPr>
            </w:pPr>
            <w:r w:rsidRPr="00873B6C">
              <w:rPr>
                <w:sz w:val="16"/>
                <w:szCs w:val="16"/>
              </w:rPr>
              <w:t>Update and correction of table for AMF, UDM, UDR, NSSF, UDSF and BSF services</w:t>
            </w:r>
          </w:p>
        </w:tc>
        <w:tc>
          <w:tcPr>
            <w:tcW w:w="708" w:type="dxa"/>
            <w:shd w:val="solid" w:color="FFFFFF" w:fill="auto"/>
          </w:tcPr>
          <w:p w14:paraId="1DE3CDE6" w14:textId="77777777" w:rsidR="00D40151" w:rsidRPr="00873B6C" w:rsidRDefault="00D40151" w:rsidP="009D14FB">
            <w:pPr>
              <w:pStyle w:val="TAC"/>
              <w:rPr>
                <w:sz w:val="16"/>
                <w:szCs w:val="16"/>
              </w:rPr>
            </w:pPr>
            <w:r w:rsidRPr="00873B6C">
              <w:rPr>
                <w:sz w:val="16"/>
                <w:szCs w:val="16"/>
              </w:rPr>
              <w:t>15.2.0</w:t>
            </w:r>
          </w:p>
        </w:tc>
      </w:tr>
      <w:tr w:rsidR="00D40151" w:rsidRPr="00873B6C" w14:paraId="4FE0046B" w14:textId="77777777" w:rsidTr="009D14FB">
        <w:tc>
          <w:tcPr>
            <w:tcW w:w="800" w:type="dxa"/>
            <w:shd w:val="solid" w:color="FFFFFF" w:fill="auto"/>
          </w:tcPr>
          <w:p w14:paraId="1465DCF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2DB2EE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DA208DD"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5C3AD6AF" w14:textId="77777777" w:rsidR="00D40151" w:rsidRPr="00873B6C" w:rsidRDefault="00D40151" w:rsidP="009D14FB">
            <w:pPr>
              <w:pStyle w:val="TAL"/>
              <w:rPr>
                <w:sz w:val="16"/>
                <w:szCs w:val="16"/>
              </w:rPr>
            </w:pPr>
            <w:r w:rsidRPr="00873B6C">
              <w:rPr>
                <w:sz w:val="16"/>
                <w:szCs w:val="16"/>
              </w:rPr>
              <w:t>0365</w:t>
            </w:r>
          </w:p>
        </w:tc>
        <w:tc>
          <w:tcPr>
            <w:tcW w:w="425" w:type="dxa"/>
            <w:shd w:val="solid" w:color="FFFFFF" w:fill="auto"/>
          </w:tcPr>
          <w:p w14:paraId="584ACD9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8BE07C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3D22AD" w14:textId="77777777" w:rsidR="00D40151" w:rsidRPr="00873B6C" w:rsidRDefault="00D40151" w:rsidP="009D14FB">
            <w:pPr>
              <w:pStyle w:val="TAL"/>
              <w:rPr>
                <w:sz w:val="16"/>
                <w:szCs w:val="16"/>
              </w:rPr>
            </w:pPr>
            <w:r w:rsidRPr="00873B6C">
              <w:rPr>
                <w:sz w:val="16"/>
                <w:szCs w:val="16"/>
              </w:rPr>
              <w:t>Update of FAR</w:t>
            </w:r>
          </w:p>
        </w:tc>
        <w:tc>
          <w:tcPr>
            <w:tcW w:w="708" w:type="dxa"/>
            <w:shd w:val="solid" w:color="FFFFFF" w:fill="auto"/>
          </w:tcPr>
          <w:p w14:paraId="6D682854" w14:textId="77777777" w:rsidR="00D40151" w:rsidRPr="00873B6C" w:rsidRDefault="00D40151" w:rsidP="009D14FB">
            <w:pPr>
              <w:pStyle w:val="TAC"/>
              <w:rPr>
                <w:sz w:val="16"/>
                <w:szCs w:val="16"/>
              </w:rPr>
            </w:pPr>
            <w:r w:rsidRPr="00873B6C">
              <w:rPr>
                <w:sz w:val="16"/>
                <w:szCs w:val="16"/>
              </w:rPr>
              <w:t>15.2.0</w:t>
            </w:r>
          </w:p>
        </w:tc>
      </w:tr>
      <w:tr w:rsidR="00D40151" w:rsidRPr="00873B6C" w14:paraId="6A5539A6" w14:textId="77777777" w:rsidTr="009D14FB">
        <w:tc>
          <w:tcPr>
            <w:tcW w:w="800" w:type="dxa"/>
            <w:shd w:val="solid" w:color="FFFFFF" w:fill="auto"/>
          </w:tcPr>
          <w:p w14:paraId="601657E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43753B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9939E05"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5F222066" w14:textId="77777777" w:rsidR="00D40151" w:rsidRPr="00873B6C" w:rsidRDefault="00D40151" w:rsidP="009D14FB">
            <w:pPr>
              <w:pStyle w:val="TAL"/>
              <w:rPr>
                <w:sz w:val="16"/>
                <w:szCs w:val="16"/>
              </w:rPr>
            </w:pPr>
            <w:r w:rsidRPr="00873B6C">
              <w:rPr>
                <w:sz w:val="16"/>
                <w:szCs w:val="16"/>
              </w:rPr>
              <w:t>0367</w:t>
            </w:r>
          </w:p>
        </w:tc>
        <w:tc>
          <w:tcPr>
            <w:tcW w:w="425" w:type="dxa"/>
            <w:shd w:val="solid" w:color="FFFFFF" w:fill="auto"/>
          </w:tcPr>
          <w:p w14:paraId="3B41C93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D011F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4F627D" w14:textId="77777777" w:rsidR="00D40151" w:rsidRPr="00873B6C" w:rsidRDefault="00D40151" w:rsidP="009D14FB">
            <w:pPr>
              <w:pStyle w:val="TAL"/>
              <w:rPr>
                <w:sz w:val="16"/>
                <w:szCs w:val="16"/>
              </w:rPr>
            </w:pPr>
            <w:r w:rsidRPr="00873B6C">
              <w:rPr>
                <w:sz w:val="16"/>
                <w:szCs w:val="16"/>
              </w:rPr>
              <w:t>NEF Services</w:t>
            </w:r>
          </w:p>
        </w:tc>
        <w:tc>
          <w:tcPr>
            <w:tcW w:w="708" w:type="dxa"/>
            <w:shd w:val="solid" w:color="FFFFFF" w:fill="auto"/>
          </w:tcPr>
          <w:p w14:paraId="5282431B" w14:textId="77777777" w:rsidR="00D40151" w:rsidRPr="00873B6C" w:rsidRDefault="00D40151" w:rsidP="009D14FB">
            <w:pPr>
              <w:pStyle w:val="TAC"/>
              <w:rPr>
                <w:sz w:val="16"/>
                <w:szCs w:val="16"/>
              </w:rPr>
            </w:pPr>
            <w:r w:rsidRPr="00873B6C">
              <w:rPr>
                <w:sz w:val="16"/>
                <w:szCs w:val="16"/>
              </w:rPr>
              <w:t>15.2.0</w:t>
            </w:r>
          </w:p>
        </w:tc>
      </w:tr>
      <w:tr w:rsidR="00D40151" w:rsidRPr="00873B6C" w14:paraId="174FF89C" w14:textId="77777777" w:rsidTr="009D14FB">
        <w:tc>
          <w:tcPr>
            <w:tcW w:w="800" w:type="dxa"/>
            <w:shd w:val="solid" w:color="FFFFFF" w:fill="auto"/>
          </w:tcPr>
          <w:p w14:paraId="6291832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3612D9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21E92BB"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29EFF577" w14:textId="77777777" w:rsidR="00D40151" w:rsidRPr="00873B6C" w:rsidRDefault="00D40151" w:rsidP="009D14FB">
            <w:pPr>
              <w:pStyle w:val="TAL"/>
              <w:rPr>
                <w:sz w:val="16"/>
                <w:szCs w:val="16"/>
              </w:rPr>
            </w:pPr>
            <w:r w:rsidRPr="00873B6C">
              <w:rPr>
                <w:sz w:val="16"/>
                <w:szCs w:val="16"/>
              </w:rPr>
              <w:t>0368</w:t>
            </w:r>
          </w:p>
        </w:tc>
        <w:tc>
          <w:tcPr>
            <w:tcW w:w="425" w:type="dxa"/>
            <w:shd w:val="solid" w:color="FFFFFF" w:fill="auto"/>
          </w:tcPr>
          <w:p w14:paraId="75A88E6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E6CCE47"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0F325C2D" w14:textId="77777777" w:rsidR="00D40151" w:rsidRPr="00873B6C" w:rsidRDefault="00D40151" w:rsidP="009D14FB">
            <w:pPr>
              <w:pStyle w:val="TAL"/>
              <w:rPr>
                <w:sz w:val="16"/>
                <w:szCs w:val="16"/>
              </w:rPr>
            </w:pPr>
            <w:r w:rsidRPr="00873B6C">
              <w:rPr>
                <w:sz w:val="16"/>
                <w:szCs w:val="16"/>
              </w:rPr>
              <w:t>Editor's note clean-up</w:t>
            </w:r>
          </w:p>
        </w:tc>
        <w:tc>
          <w:tcPr>
            <w:tcW w:w="708" w:type="dxa"/>
            <w:shd w:val="solid" w:color="FFFFFF" w:fill="auto"/>
          </w:tcPr>
          <w:p w14:paraId="1A06F0C8" w14:textId="77777777" w:rsidR="00D40151" w:rsidRPr="00873B6C" w:rsidRDefault="00D40151" w:rsidP="009D14FB">
            <w:pPr>
              <w:pStyle w:val="TAC"/>
              <w:rPr>
                <w:sz w:val="16"/>
                <w:szCs w:val="16"/>
              </w:rPr>
            </w:pPr>
            <w:r w:rsidRPr="00873B6C">
              <w:rPr>
                <w:sz w:val="16"/>
                <w:szCs w:val="16"/>
              </w:rPr>
              <w:t>15.2.0</w:t>
            </w:r>
          </w:p>
        </w:tc>
      </w:tr>
      <w:tr w:rsidR="00D40151" w:rsidRPr="00873B6C" w14:paraId="511F518D" w14:textId="77777777" w:rsidTr="009D14FB">
        <w:tc>
          <w:tcPr>
            <w:tcW w:w="800" w:type="dxa"/>
            <w:shd w:val="solid" w:color="FFFFFF" w:fill="auto"/>
          </w:tcPr>
          <w:p w14:paraId="720124E0" w14:textId="77777777" w:rsidR="00D40151" w:rsidRPr="00873B6C" w:rsidRDefault="00D40151" w:rsidP="009D14FB">
            <w:pPr>
              <w:pStyle w:val="TAC"/>
              <w:rPr>
                <w:sz w:val="16"/>
                <w:szCs w:val="16"/>
              </w:rPr>
            </w:pPr>
            <w:r w:rsidRPr="00873B6C">
              <w:rPr>
                <w:sz w:val="16"/>
                <w:szCs w:val="16"/>
              </w:rPr>
              <w:lastRenderedPageBreak/>
              <w:t>06-2018</w:t>
            </w:r>
          </w:p>
        </w:tc>
        <w:tc>
          <w:tcPr>
            <w:tcW w:w="800" w:type="dxa"/>
            <w:shd w:val="solid" w:color="FFFFFF" w:fill="auto"/>
          </w:tcPr>
          <w:p w14:paraId="30F0AC0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C042565"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661B448B" w14:textId="77777777" w:rsidR="00D40151" w:rsidRPr="00873B6C" w:rsidRDefault="00D40151" w:rsidP="009D14FB">
            <w:pPr>
              <w:pStyle w:val="TAL"/>
              <w:rPr>
                <w:sz w:val="16"/>
                <w:szCs w:val="16"/>
              </w:rPr>
            </w:pPr>
            <w:r w:rsidRPr="00873B6C">
              <w:rPr>
                <w:sz w:val="16"/>
                <w:szCs w:val="16"/>
              </w:rPr>
              <w:t>0370</w:t>
            </w:r>
          </w:p>
        </w:tc>
        <w:tc>
          <w:tcPr>
            <w:tcW w:w="425" w:type="dxa"/>
            <w:shd w:val="solid" w:color="FFFFFF" w:fill="auto"/>
          </w:tcPr>
          <w:p w14:paraId="3F2172D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13EB2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514057" w14:textId="77777777" w:rsidR="00D40151" w:rsidRPr="00873B6C" w:rsidRDefault="00D40151" w:rsidP="009D14FB">
            <w:pPr>
              <w:pStyle w:val="TAL"/>
              <w:rPr>
                <w:sz w:val="16"/>
                <w:szCs w:val="16"/>
              </w:rPr>
            </w:pPr>
            <w:r w:rsidRPr="00873B6C">
              <w:rPr>
                <w:sz w:val="16"/>
                <w:szCs w:val="16"/>
              </w:rPr>
              <w:t>Compute - Storage split principles</w:t>
            </w:r>
          </w:p>
        </w:tc>
        <w:tc>
          <w:tcPr>
            <w:tcW w:w="708" w:type="dxa"/>
            <w:shd w:val="solid" w:color="FFFFFF" w:fill="auto"/>
          </w:tcPr>
          <w:p w14:paraId="111E43E5" w14:textId="77777777" w:rsidR="00D40151" w:rsidRPr="00873B6C" w:rsidRDefault="00D40151" w:rsidP="009D14FB">
            <w:pPr>
              <w:pStyle w:val="TAC"/>
              <w:rPr>
                <w:sz w:val="16"/>
                <w:szCs w:val="16"/>
              </w:rPr>
            </w:pPr>
            <w:r w:rsidRPr="00873B6C">
              <w:rPr>
                <w:sz w:val="16"/>
                <w:szCs w:val="16"/>
              </w:rPr>
              <w:t>15.2.0</w:t>
            </w:r>
          </w:p>
        </w:tc>
      </w:tr>
      <w:tr w:rsidR="00D40151" w:rsidRPr="00873B6C" w14:paraId="438BCAFE" w14:textId="77777777" w:rsidTr="009D14FB">
        <w:tc>
          <w:tcPr>
            <w:tcW w:w="800" w:type="dxa"/>
            <w:shd w:val="solid" w:color="FFFFFF" w:fill="auto"/>
          </w:tcPr>
          <w:p w14:paraId="3988724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293EDE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01A5291"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4CDE5F7D" w14:textId="77777777" w:rsidR="00D40151" w:rsidRPr="00873B6C" w:rsidRDefault="00D40151" w:rsidP="009D14FB">
            <w:pPr>
              <w:pStyle w:val="TAL"/>
              <w:rPr>
                <w:sz w:val="16"/>
                <w:szCs w:val="16"/>
              </w:rPr>
            </w:pPr>
            <w:r w:rsidRPr="00873B6C">
              <w:rPr>
                <w:sz w:val="16"/>
                <w:szCs w:val="16"/>
              </w:rPr>
              <w:t>0371</w:t>
            </w:r>
          </w:p>
        </w:tc>
        <w:tc>
          <w:tcPr>
            <w:tcW w:w="425" w:type="dxa"/>
            <w:shd w:val="solid" w:color="FFFFFF" w:fill="auto"/>
          </w:tcPr>
          <w:p w14:paraId="0A021DF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E43971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0846D0" w14:textId="77777777" w:rsidR="00D40151" w:rsidRPr="00873B6C" w:rsidRDefault="00D40151" w:rsidP="009D14FB">
            <w:pPr>
              <w:pStyle w:val="TAL"/>
              <w:rPr>
                <w:sz w:val="16"/>
                <w:szCs w:val="16"/>
              </w:rPr>
            </w:pPr>
            <w:r w:rsidRPr="00873B6C">
              <w:rPr>
                <w:sz w:val="16"/>
                <w:szCs w:val="16"/>
              </w:rPr>
              <w:t>Emergency Services Fallback Support indicator validity in the Registration Area</w:t>
            </w:r>
          </w:p>
        </w:tc>
        <w:tc>
          <w:tcPr>
            <w:tcW w:w="708" w:type="dxa"/>
            <w:shd w:val="solid" w:color="FFFFFF" w:fill="auto"/>
          </w:tcPr>
          <w:p w14:paraId="22918443" w14:textId="77777777" w:rsidR="00D40151" w:rsidRPr="00873B6C" w:rsidRDefault="00D40151" w:rsidP="009D14FB">
            <w:pPr>
              <w:pStyle w:val="TAC"/>
              <w:rPr>
                <w:sz w:val="16"/>
                <w:szCs w:val="16"/>
              </w:rPr>
            </w:pPr>
            <w:r w:rsidRPr="00873B6C">
              <w:rPr>
                <w:sz w:val="16"/>
                <w:szCs w:val="16"/>
              </w:rPr>
              <w:t>15.2.0</w:t>
            </w:r>
          </w:p>
        </w:tc>
      </w:tr>
      <w:tr w:rsidR="00D40151" w:rsidRPr="00873B6C" w14:paraId="184D4A9E" w14:textId="77777777" w:rsidTr="009D14FB">
        <w:tc>
          <w:tcPr>
            <w:tcW w:w="800" w:type="dxa"/>
            <w:shd w:val="solid" w:color="FFFFFF" w:fill="auto"/>
          </w:tcPr>
          <w:p w14:paraId="64F7452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D24723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A3F40CF"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67A63D4F" w14:textId="77777777" w:rsidR="00D40151" w:rsidRPr="00873B6C" w:rsidRDefault="00D40151" w:rsidP="009D14FB">
            <w:pPr>
              <w:pStyle w:val="TAL"/>
              <w:rPr>
                <w:sz w:val="16"/>
                <w:szCs w:val="16"/>
              </w:rPr>
            </w:pPr>
            <w:r w:rsidRPr="00873B6C">
              <w:rPr>
                <w:sz w:val="16"/>
                <w:szCs w:val="16"/>
              </w:rPr>
              <w:t>0372</w:t>
            </w:r>
          </w:p>
        </w:tc>
        <w:tc>
          <w:tcPr>
            <w:tcW w:w="425" w:type="dxa"/>
            <w:shd w:val="solid" w:color="FFFFFF" w:fill="auto"/>
          </w:tcPr>
          <w:p w14:paraId="6F8AE02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C5496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9EA2C1" w14:textId="77777777" w:rsidR="00D40151" w:rsidRPr="00873B6C" w:rsidRDefault="00D40151" w:rsidP="009D14FB">
            <w:pPr>
              <w:pStyle w:val="TAL"/>
              <w:rPr>
                <w:sz w:val="16"/>
                <w:szCs w:val="16"/>
              </w:rPr>
            </w:pPr>
            <w:r w:rsidRPr="00873B6C">
              <w:rPr>
                <w:sz w:val="16"/>
                <w:szCs w:val="16"/>
              </w:rPr>
              <w:t>LMF Services</w:t>
            </w:r>
          </w:p>
        </w:tc>
        <w:tc>
          <w:tcPr>
            <w:tcW w:w="708" w:type="dxa"/>
            <w:shd w:val="solid" w:color="FFFFFF" w:fill="auto"/>
          </w:tcPr>
          <w:p w14:paraId="64D69CE1" w14:textId="77777777" w:rsidR="00D40151" w:rsidRPr="00873B6C" w:rsidRDefault="00D40151" w:rsidP="009D14FB">
            <w:pPr>
              <w:pStyle w:val="TAC"/>
              <w:rPr>
                <w:sz w:val="16"/>
                <w:szCs w:val="16"/>
              </w:rPr>
            </w:pPr>
            <w:r w:rsidRPr="00873B6C">
              <w:rPr>
                <w:sz w:val="16"/>
                <w:szCs w:val="16"/>
              </w:rPr>
              <w:t>15.2.0</w:t>
            </w:r>
          </w:p>
        </w:tc>
      </w:tr>
      <w:tr w:rsidR="00D40151" w:rsidRPr="00873B6C" w14:paraId="102640AB" w14:textId="77777777" w:rsidTr="009D14FB">
        <w:tc>
          <w:tcPr>
            <w:tcW w:w="800" w:type="dxa"/>
            <w:shd w:val="solid" w:color="FFFFFF" w:fill="auto"/>
          </w:tcPr>
          <w:p w14:paraId="683451E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A38230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6A592C6"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68FC82BB" w14:textId="77777777" w:rsidR="00D40151" w:rsidRPr="00873B6C" w:rsidRDefault="00D40151" w:rsidP="009D14FB">
            <w:pPr>
              <w:pStyle w:val="TAL"/>
              <w:rPr>
                <w:sz w:val="16"/>
                <w:szCs w:val="16"/>
              </w:rPr>
            </w:pPr>
            <w:r w:rsidRPr="00873B6C">
              <w:rPr>
                <w:sz w:val="16"/>
                <w:szCs w:val="16"/>
              </w:rPr>
              <w:t>0375</w:t>
            </w:r>
          </w:p>
        </w:tc>
        <w:tc>
          <w:tcPr>
            <w:tcW w:w="425" w:type="dxa"/>
            <w:shd w:val="solid" w:color="FFFFFF" w:fill="auto"/>
          </w:tcPr>
          <w:p w14:paraId="3A3020B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64E69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EE6F2B" w14:textId="77777777" w:rsidR="00D40151" w:rsidRPr="00873B6C" w:rsidRDefault="00D40151" w:rsidP="009D14FB">
            <w:pPr>
              <w:pStyle w:val="TAL"/>
              <w:rPr>
                <w:sz w:val="16"/>
                <w:szCs w:val="16"/>
              </w:rPr>
            </w:pPr>
            <w:r w:rsidRPr="00873B6C">
              <w:rPr>
                <w:sz w:val="16"/>
                <w:szCs w:val="16"/>
              </w:rPr>
              <w:t>UDM-AUSF Discovery</w:t>
            </w:r>
          </w:p>
        </w:tc>
        <w:tc>
          <w:tcPr>
            <w:tcW w:w="708" w:type="dxa"/>
            <w:shd w:val="solid" w:color="FFFFFF" w:fill="auto"/>
          </w:tcPr>
          <w:p w14:paraId="462B8F53" w14:textId="77777777" w:rsidR="00D40151" w:rsidRPr="00873B6C" w:rsidRDefault="00D40151" w:rsidP="009D14FB">
            <w:pPr>
              <w:pStyle w:val="TAC"/>
              <w:rPr>
                <w:sz w:val="16"/>
                <w:szCs w:val="16"/>
              </w:rPr>
            </w:pPr>
            <w:r w:rsidRPr="00873B6C">
              <w:rPr>
                <w:sz w:val="16"/>
                <w:szCs w:val="16"/>
              </w:rPr>
              <w:t>15.2.0</w:t>
            </w:r>
          </w:p>
        </w:tc>
      </w:tr>
      <w:tr w:rsidR="00D40151" w:rsidRPr="00873B6C" w14:paraId="0D7FEFDE" w14:textId="77777777" w:rsidTr="009D14FB">
        <w:tc>
          <w:tcPr>
            <w:tcW w:w="800" w:type="dxa"/>
            <w:shd w:val="solid" w:color="FFFFFF" w:fill="auto"/>
          </w:tcPr>
          <w:p w14:paraId="268B879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1DE3AF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588367F"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659F8525" w14:textId="77777777" w:rsidR="00D40151" w:rsidRPr="00873B6C" w:rsidRDefault="00D40151" w:rsidP="009D14FB">
            <w:pPr>
              <w:pStyle w:val="TAL"/>
              <w:rPr>
                <w:sz w:val="16"/>
                <w:szCs w:val="16"/>
              </w:rPr>
            </w:pPr>
            <w:r w:rsidRPr="00873B6C">
              <w:rPr>
                <w:sz w:val="16"/>
                <w:szCs w:val="16"/>
              </w:rPr>
              <w:t>0383</w:t>
            </w:r>
          </w:p>
        </w:tc>
        <w:tc>
          <w:tcPr>
            <w:tcW w:w="425" w:type="dxa"/>
            <w:shd w:val="solid" w:color="FFFFFF" w:fill="auto"/>
          </w:tcPr>
          <w:p w14:paraId="33C3C29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80C249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4E5A97A" w14:textId="77777777" w:rsidR="00D40151" w:rsidRPr="00873B6C" w:rsidRDefault="00D40151" w:rsidP="009D14FB">
            <w:pPr>
              <w:pStyle w:val="TAL"/>
              <w:rPr>
                <w:sz w:val="16"/>
                <w:szCs w:val="16"/>
              </w:rPr>
            </w:pPr>
            <w:r w:rsidRPr="00873B6C">
              <w:rPr>
                <w:sz w:val="16"/>
                <w:szCs w:val="16"/>
              </w:rPr>
              <w:t>Clarification on usage of PLMN ID received via PCO during PDN connection establishment</w:t>
            </w:r>
          </w:p>
        </w:tc>
        <w:tc>
          <w:tcPr>
            <w:tcW w:w="708" w:type="dxa"/>
            <w:shd w:val="solid" w:color="FFFFFF" w:fill="auto"/>
          </w:tcPr>
          <w:p w14:paraId="79A36C55" w14:textId="77777777" w:rsidR="00D40151" w:rsidRPr="00873B6C" w:rsidRDefault="00D40151" w:rsidP="009D14FB">
            <w:pPr>
              <w:pStyle w:val="TAC"/>
              <w:rPr>
                <w:sz w:val="16"/>
                <w:szCs w:val="16"/>
              </w:rPr>
            </w:pPr>
            <w:r w:rsidRPr="00873B6C">
              <w:rPr>
                <w:sz w:val="16"/>
                <w:szCs w:val="16"/>
              </w:rPr>
              <w:t>15.2.0</w:t>
            </w:r>
          </w:p>
        </w:tc>
      </w:tr>
      <w:tr w:rsidR="00D40151" w:rsidRPr="00873B6C" w14:paraId="043D5B7F" w14:textId="77777777" w:rsidTr="009D14FB">
        <w:tc>
          <w:tcPr>
            <w:tcW w:w="800" w:type="dxa"/>
            <w:shd w:val="solid" w:color="FFFFFF" w:fill="auto"/>
          </w:tcPr>
          <w:p w14:paraId="0021DC3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E09BED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6E9F812"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18DEAFD8" w14:textId="77777777" w:rsidR="00D40151" w:rsidRPr="00873B6C" w:rsidRDefault="00D40151" w:rsidP="009D14FB">
            <w:pPr>
              <w:pStyle w:val="TAL"/>
              <w:rPr>
                <w:sz w:val="16"/>
                <w:szCs w:val="16"/>
              </w:rPr>
            </w:pPr>
            <w:r w:rsidRPr="00873B6C">
              <w:rPr>
                <w:sz w:val="16"/>
                <w:szCs w:val="16"/>
              </w:rPr>
              <w:t>0385</w:t>
            </w:r>
          </w:p>
        </w:tc>
        <w:tc>
          <w:tcPr>
            <w:tcW w:w="425" w:type="dxa"/>
            <w:shd w:val="solid" w:color="FFFFFF" w:fill="auto"/>
          </w:tcPr>
          <w:p w14:paraId="320CBB2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D7383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812885" w14:textId="77777777" w:rsidR="00D40151" w:rsidRPr="00873B6C" w:rsidRDefault="00D40151" w:rsidP="009D14FB">
            <w:pPr>
              <w:pStyle w:val="TAL"/>
              <w:rPr>
                <w:sz w:val="16"/>
                <w:szCs w:val="16"/>
              </w:rPr>
            </w:pPr>
            <w:r w:rsidRPr="00873B6C">
              <w:rPr>
                <w:sz w:val="16"/>
                <w:szCs w:val="16"/>
              </w:rPr>
              <w:t>Correction to the mapping to the Subscribed S-NSSAI(s)</w:t>
            </w:r>
          </w:p>
        </w:tc>
        <w:tc>
          <w:tcPr>
            <w:tcW w:w="708" w:type="dxa"/>
            <w:shd w:val="solid" w:color="FFFFFF" w:fill="auto"/>
          </w:tcPr>
          <w:p w14:paraId="4CFC4058" w14:textId="77777777" w:rsidR="00D40151" w:rsidRPr="00873B6C" w:rsidRDefault="00D40151" w:rsidP="009D14FB">
            <w:pPr>
              <w:pStyle w:val="TAC"/>
              <w:rPr>
                <w:sz w:val="16"/>
                <w:szCs w:val="16"/>
              </w:rPr>
            </w:pPr>
            <w:r w:rsidRPr="00873B6C">
              <w:rPr>
                <w:sz w:val="16"/>
                <w:szCs w:val="16"/>
              </w:rPr>
              <w:t>15.2.0</w:t>
            </w:r>
          </w:p>
        </w:tc>
      </w:tr>
      <w:tr w:rsidR="00D40151" w:rsidRPr="00873B6C" w14:paraId="50A3C6F2" w14:textId="77777777" w:rsidTr="009D14FB">
        <w:tc>
          <w:tcPr>
            <w:tcW w:w="800" w:type="dxa"/>
            <w:shd w:val="solid" w:color="FFFFFF" w:fill="auto"/>
          </w:tcPr>
          <w:p w14:paraId="40EBBD5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ECBF19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100547F"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64B664C6" w14:textId="77777777" w:rsidR="00D40151" w:rsidRPr="00873B6C" w:rsidRDefault="00D40151" w:rsidP="009D14FB">
            <w:pPr>
              <w:pStyle w:val="TAL"/>
              <w:rPr>
                <w:sz w:val="16"/>
                <w:szCs w:val="16"/>
              </w:rPr>
            </w:pPr>
            <w:r w:rsidRPr="00873B6C">
              <w:rPr>
                <w:sz w:val="16"/>
                <w:szCs w:val="16"/>
              </w:rPr>
              <w:t>0386</w:t>
            </w:r>
          </w:p>
        </w:tc>
        <w:tc>
          <w:tcPr>
            <w:tcW w:w="425" w:type="dxa"/>
            <w:shd w:val="solid" w:color="FFFFFF" w:fill="auto"/>
          </w:tcPr>
          <w:p w14:paraId="4444FB9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57391E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B1863D" w14:textId="77777777" w:rsidR="00D40151" w:rsidRPr="00873B6C" w:rsidRDefault="00D40151" w:rsidP="009D14FB">
            <w:pPr>
              <w:pStyle w:val="TAL"/>
              <w:rPr>
                <w:sz w:val="16"/>
                <w:szCs w:val="16"/>
              </w:rPr>
            </w:pPr>
            <w:r w:rsidRPr="00873B6C">
              <w:rPr>
                <w:sz w:val="16"/>
                <w:szCs w:val="16"/>
              </w:rPr>
              <w:t>Provisioning NSSP</w:t>
            </w:r>
          </w:p>
        </w:tc>
        <w:tc>
          <w:tcPr>
            <w:tcW w:w="708" w:type="dxa"/>
            <w:shd w:val="solid" w:color="FFFFFF" w:fill="auto"/>
          </w:tcPr>
          <w:p w14:paraId="7E77AFE4" w14:textId="77777777" w:rsidR="00D40151" w:rsidRPr="00873B6C" w:rsidRDefault="00D40151" w:rsidP="009D14FB">
            <w:pPr>
              <w:pStyle w:val="TAC"/>
              <w:rPr>
                <w:sz w:val="16"/>
                <w:szCs w:val="16"/>
              </w:rPr>
            </w:pPr>
            <w:r w:rsidRPr="00873B6C">
              <w:rPr>
                <w:sz w:val="16"/>
                <w:szCs w:val="16"/>
              </w:rPr>
              <w:t>15.2.0</w:t>
            </w:r>
          </w:p>
        </w:tc>
      </w:tr>
      <w:tr w:rsidR="00D40151" w:rsidRPr="00873B6C" w14:paraId="1E76C6B3" w14:textId="77777777" w:rsidTr="009D14FB">
        <w:tc>
          <w:tcPr>
            <w:tcW w:w="800" w:type="dxa"/>
            <w:shd w:val="solid" w:color="FFFFFF" w:fill="auto"/>
          </w:tcPr>
          <w:p w14:paraId="36141B5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C69A1E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B744DAB"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77D4688B" w14:textId="77777777" w:rsidR="00D40151" w:rsidRPr="00873B6C" w:rsidRDefault="00D40151" w:rsidP="009D14FB">
            <w:pPr>
              <w:pStyle w:val="TAL"/>
              <w:rPr>
                <w:sz w:val="16"/>
                <w:szCs w:val="16"/>
              </w:rPr>
            </w:pPr>
            <w:r w:rsidRPr="00873B6C">
              <w:rPr>
                <w:sz w:val="16"/>
                <w:szCs w:val="16"/>
              </w:rPr>
              <w:t>0389</w:t>
            </w:r>
          </w:p>
        </w:tc>
        <w:tc>
          <w:tcPr>
            <w:tcW w:w="425" w:type="dxa"/>
            <w:shd w:val="solid" w:color="FFFFFF" w:fill="auto"/>
          </w:tcPr>
          <w:p w14:paraId="2ABB8B0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7D0EF4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78FE18" w14:textId="77777777" w:rsidR="00D40151" w:rsidRPr="00873B6C" w:rsidRDefault="00D40151" w:rsidP="009D14FB">
            <w:pPr>
              <w:pStyle w:val="TAL"/>
              <w:rPr>
                <w:sz w:val="16"/>
                <w:szCs w:val="16"/>
              </w:rPr>
            </w:pPr>
            <w:r w:rsidRPr="00873B6C">
              <w:rPr>
                <w:sz w:val="16"/>
                <w:szCs w:val="16"/>
              </w:rPr>
              <w:t>Tracking Area in 5GS</w:t>
            </w:r>
          </w:p>
        </w:tc>
        <w:tc>
          <w:tcPr>
            <w:tcW w:w="708" w:type="dxa"/>
            <w:shd w:val="solid" w:color="FFFFFF" w:fill="auto"/>
          </w:tcPr>
          <w:p w14:paraId="2DB89D49" w14:textId="77777777" w:rsidR="00D40151" w:rsidRPr="00873B6C" w:rsidRDefault="00D40151" w:rsidP="009D14FB">
            <w:pPr>
              <w:pStyle w:val="TAC"/>
              <w:rPr>
                <w:sz w:val="16"/>
                <w:szCs w:val="16"/>
              </w:rPr>
            </w:pPr>
            <w:r w:rsidRPr="00873B6C">
              <w:rPr>
                <w:sz w:val="16"/>
                <w:szCs w:val="16"/>
              </w:rPr>
              <w:t>15.2.0</w:t>
            </w:r>
          </w:p>
        </w:tc>
      </w:tr>
      <w:tr w:rsidR="00D40151" w:rsidRPr="00873B6C" w14:paraId="057C2C42" w14:textId="77777777" w:rsidTr="009D14FB">
        <w:tc>
          <w:tcPr>
            <w:tcW w:w="800" w:type="dxa"/>
            <w:shd w:val="solid" w:color="FFFFFF" w:fill="auto"/>
          </w:tcPr>
          <w:p w14:paraId="4DB177F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C53849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B124A22"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27B2B373" w14:textId="77777777" w:rsidR="00D40151" w:rsidRPr="00873B6C" w:rsidRDefault="00D40151" w:rsidP="009D14FB">
            <w:pPr>
              <w:pStyle w:val="TAL"/>
              <w:rPr>
                <w:sz w:val="16"/>
                <w:szCs w:val="16"/>
              </w:rPr>
            </w:pPr>
            <w:r w:rsidRPr="00873B6C">
              <w:rPr>
                <w:sz w:val="16"/>
                <w:szCs w:val="16"/>
              </w:rPr>
              <w:t>0390</w:t>
            </w:r>
          </w:p>
        </w:tc>
        <w:tc>
          <w:tcPr>
            <w:tcW w:w="425" w:type="dxa"/>
            <w:shd w:val="solid" w:color="FFFFFF" w:fill="auto"/>
          </w:tcPr>
          <w:p w14:paraId="0D9B05F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4192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8FBFF2" w14:textId="77777777" w:rsidR="00D40151" w:rsidRPr="00873B6C" w:rsidRDefault="00D40151" w:rsidP="009D14FB">
            <w:pPr>
              <w:pStyle w:val="TAL"/>
              <w:rPr>
                <w:sz w:val="16"/>
                <w:szCs w:val="16"/>
              </w:rPr>
            </w:pPr>
            <w:r w:rsidRPr="00873B6C">
              <w:rPr>
                <w:sz w:val="16"/>
                <w:szCs w:val="16"/>
              </w:rPr>
              <w:t>Correction to S-NSSAI congestion</w:t>
            </w:r>
          </w:p>
        </w:tc>
        <w:tc>
          <w:tcPr>
            <w:tcW w:w="708" w:type="dxa"/>
            <w:shd w:val="solid" w:color="FFFFFF" w:fill="auto"/>
          </w:tcPr>
          <w:p w14:paraId="62C39D73" w14:textId="77777777" w:rsidR="00D40151" w:rsidRPr="00873B6C" w:rsidRDefault="00D40151" w:rsidP="009D14FB">
            <w:pPr>
              <w:pStyle w:val="TAC"/>
              <w:rPr>
                <w:sz w:val="16"/>
                <w:szCs w:val="16"/>
              </w:rPr>
            </w:pPr>
            <w:r w:rsidRPr="00873B6C">
              <w:rPr>
                <w:sz w:val="16"/>
                <w:szCs w:val="16"/>
              </w:rPr>
              <w:t>15.2.0</w:t>
            </w:r>
          </w:p>
        </w:tc>
      </w:tr>
      <w:tr w:rsidR="00D40151" w:rsidRPr="00873B6C" w14:paraId="6FBAE03D" w14:textId="77777777" w:rsidTr="009D14FB">
        <w:tc>
          <w:tcPr>
            <w:tcW w:w="800" w:type="dxa"/>
            <w:shd w:val="solid" w:color="FFFFFF" w:fill="auto"/>
          </w:tcPr>
          <w:p w14:paraId="07BA8D8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AD4850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6004996"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3413FCD9" w14:textId="77777777" w:rsidR="00D40151" w:rsidRPr="00873B6C" w:rsidRDefault="00D40151" w:rsidP="009D14FB">
            <w:pPr>
              <w:pStyle w:val="TAL"/>
              <w:rPr>
                <w:sz w:val="16"/>
                <w:szCs w:val="16"/>
              </w:rPr>
            </w:pPr>
            <w:r w:rsidRPr="00873B6C">
              <w:rPr>
                <w:sz w:val="16"/>
                <w:szCs w:val="16"/>
              </w:rPr>
              <w:t>0391</w:t>
            </w:r>
          </w:p>
        </w:tc>
        <w:tc>
          <w:tcPr>
            <w:tcW w:w="425" w:type="dxa"/>
            <w:shd w:val="solid" w:color="FFFFFF" w:fill="auto"/>
          </w:tcPr>
          <w:p w14:paraId="7DD7E63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EA901C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B66273" w14:textId="77777777" w:rsidR="00D40151" w:rsidRPr="00873B6C" w:rsidRDefault="00D40151" w:rsidP="009D14FB">
            <w:pPr>
              <w:pStyle w:val="TAL"/>
              <w:rPr>
                <w:sz w:val="16"/>
                <w:szCs w:val="16"/>
              </w:rPr>
            </w:pPr>
            <w:r w:rsidRPr="00873B6C">
              <w:rPr>
                <w:sz w:val="16"/>
                <w:szCs w:val="16"/>
              </w:rPr>
              <w:t>Clarification to PDU Session Types: MTU</w:t>
            </w:r>
          </w:p>
        </w:tc>
        <w:tc>
          <w:tcPr>
            <w:tcW w:w="708" w:type="dxa"/>
            <w:shd w:val="solid" w:color="FFFFFF" w:fill="auto"/>
          </w:tcPr>
          <w:p w14:paraId="33EB94DE" w14:textId="77777777" w:rsidR="00D40151" w:rsidRPr="00873B6C" w:rsidRDefault="00D40151" w:rsidP="009D14FB">
            <w:pPr>
              <w:pStyle w:val="TAC"/>
              <w:rPr>
                <w:sz w:val="16"/>
                <w:szCs w:val="16"/>
              </w:rPr>
            </w:pPr>
            <w:r w:rsidRPr="00873B6C">
              <w:rPr>
                <w:sz w:val="16"/>
                <w:szCs w:val="16"/>
              </w:rPr>
              <w:t>15.2.0</w:t>
            </w:r>
          </w:p>
        </w:tc>
      </w:tr>
      <w:tr w:rsidR="00D40151" w:rsidRPr="00873B6C" w14:paraId="684AED9A" w14:textId="77777777" w:rsidTr="009D14FB">
        <w:tc>
          <w:tcPr>
            <w:tcW w:w="800" w:type="dxa"/>
            <w:shd w:val="solid" w:color="FFFFFF" w:fill="auto"/>
          </w:tcPr>
          <w:p w14:paraId="6F396AF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C9414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BDAEA09"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0851248E" w14:textId="77777777" w:rsidR="00D40151" w:rsidRPr="00873B6C" w:rsidRDefault="00D40151" w:rsidP="009D14FB">
            <w:pPr>
              <w:pStyle w:val="TAL"/>
              <w:rPr>
                <w:sz w:val="16"/>
                <w:szCs w:val="16"/>
              </w:rPr>
            </w:pPr>
            <w:r w:rsidRPr="00873B6C">
              <w:rPr>
                <w:sz w:val="16"/>
                <w:szCs w:val="16"/>
              </w:rPr>
              <w:t>0394</w:t>
            </w:r>
          </w:p>
        </w:tc>
        <w:tc>
          <w:tcPr>
            <w:tcW w:w="425" w:type="dxa"/>
            <w:shd w:val="solid" w:color="FFFFFF" w:fill="auto"/>
          </w:tcPr>
          <w:p w14:paraId="2BF4016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AE782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73E856" w14:textId="77777777" w:rsidR="00D40151" w:rsidRPr="00873B6C" w:rsidRDefault="00D40151" w:rsidP="009D14FB">
            <w:pPr>
              <w:pStyle w:val="TAL"/>
              <w:rPr>
                <w:sz w:val="16"/>
                <w:szCs w:val="16"/>
              </w:rPr>
            </w:pPr>
            <w:r w:rsidRPr="00873B6C">
              <w:rPr>
                <w:sz w:val="16"/>
                <w:szCs w:val="16"/>
              </w:rPr>
              <w:t>Alignment of radio capabilities procedure</w:t>
            </w:r>
          </w:p>
        </w:tc>
        <w:tc>
          <w:tcPr>
            <w:tcW w:w="708" w:type="dxa"/>
            <w:shd w:val="solid" w:color="FFFFFF" w:fill="auto"/>
          </w:tcPr>
          <w:p w14:paraId="2FA50203" w14:textId="77777777" w:rsidR="00D40151" w:rsidRPr="00873B6C" w:rsidRDefault="00D40151" w:rsidP="009D14FB">
            <w:pPr>
              <w:pStyle w:val="TAC"/>
              <w:rPr>
                <w:sz w:val="16"/>
                <w:szCs w:val="16"/>
              </w:rPr>
            </w:pPr>
            <w:r w:rsidRPr="00873B6C">
              <w:rPr>
                <w:sz w:val="16"/>
                <w:szCs w:val="16"/>
              </w:rPr>
              <w:t>15.2.0</w:t>
            </w:r>
          </w:p>
        </w:tc>
      </w:tr>
      <w:tr w:rsidR="00D40151" w:rsidRPr="00873B6C" w14:paraId="43FFFD39" w14:textId="77777777" w:rsidTr="009D14FB">
        <w:tc>
          <w:tcPr>
            <w:tcW w:w="800" w:type="dxa"/>
            <w:shd w:val="solid" w:color="FFFFFF" w:fill="auto"/>
          </w:tcPr>
          <w:p w14:paraId="1D8A15D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574E4B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07669B8"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59C25E48" w14:textId="77777777" w:rsidR="00D40151" w:rsidRPr="00873B6C" w:rsidRDefault="00D40151" w:rsidP="009D14FB">
            <w:pPr>
              <w:pStyle w:val="TAL"/>
              <w:rPr>
                <w:sz w:val="16"/>
                <w:szCs w:val="16"/>
              </w:rPr>
            </w:pPr>
            <w:r w:rsidRPr="00873B6C">
              <w:rPr>
                <w:sz w:val="16"/>
                <w:szCs w:val="16"/>
              </w:rPr>
              <w:t>0396</w:t>
            </w:r>
          </w:p>
        </w:tc>
        <w:tc>
          <w:tcPr>
            <w:tcW w:w="425" w:type="dxa"/>
            <w:shd w:val="solid" w:color="FFFFFF" w:fill="auto"/>
          </w:tcPr>
          <w:p w14:paraId="10A7D0F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1086CC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40AD23" w14:textId="77777777" w:rsidR="00D40151" w:rsidRPr="00873B6C" w:rsidRDefault="00D40151" w:rsidP="009D14FB">
            <w:pPr>
              <w:pStyle w:val="TAL"/>
              <w:rPr>
                <w:sz w:val="16"/>
                <w:szCs w:val="16"/>
              </w:rPr>
            </w:pPr>
            <w:r w:rsidRPr="00873B6C">
              <w:rPr>
                <w:sz w:val="16"/>
                <w:szCs w:val="16"/>
              </w:rPr>
              <w:t>CN type indicator in AS signalling</w:t>
            </w:r>
          </w:p>
        </w:tc>
        <w:tc>
          <w:tcPr>
            <w:tcW w:w="708" w:type="dxa"/>
            <w:shd w:val="solid" w:color="FFFFFF" w:fill="auto"/>
          </w:tcPr>
          <w:p w14:paraId="4B3ED1B6" w14:textId="77777777" w:rsidR="00D40151" w:rsidRPr="00873B6C" w:rsidRDefault="00D40151" w:rsidP="009D14FB">
            <w:pPr>
              <w:pStyle w:val="TAC"/>
              <w:rPr>
                <w:sz w:val="16"/>
                <w:szCs w:val="16"/>
              </w:rPr>
            </w:pPr>
            <w:r w:rsidRPr="00873B6C">
              <w:rPr>
                <w:sz w:val="16"/>
                <w:szCs w:val="16"/>
              </w:rPr>
              <w:t>15.2.0</w:t>
            </w:r>
          </w:p>
        </w:tc>
      </w:tr>
      <w:tr w:rsidR="00D40151" w:rsidRPr="00873B6C" w14:paraId="4115CE5C" w14:textId="77777777" w:rsidTr="009D14FB">
        <w:tc>
          <w:tcPr>
            <w:tcW w:w="800" w:type="dxa"/>
            <w:shd w:val="solid" w:color="FFFFFF" w:fill="auto"/>
          </w:tcPr>
          <w:p w14:paraId="4EA23FD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177BD3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9A219CE"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4AC4CA3A" w14:textId="77777777" w:rsidR="00D40151" w:rsidRPr="00873B6C" w:rsidRDefault="00D40151" w:rsidP="009D14FB">
            <w:pPr>
              <w:pStyle w:val="TAL"/>
              <w:rPr>
                <w:sz w:val="16"/>
                <w:szCs w:val="16"/>
              </w:rPr>
            </w:pPr>
            <w:r w:rsidRPr="00873B6C">
              <w:rPr>
                <w:sz w:val="16"/>
                <w:szCs w:val="16"/>
              </w:rPr>
              <w:t>0397</w:t>
            </w:r>
          </w:p>
        </w:tc>
        <w:tc>
          <w:tcPr>
            <w:tcW w:w="425" w:type="dxa"/>
            <w:shd w:val="solid" w:color="FFFFFF" w:fill="auto"/>
          </w:tcPr>
          <w:p w14:paraId="7A8EFD7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9EBBB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94FEBB" w14:textId="77777777" w:rsidR="00D40151" w:rsidRPr="00873B6C" w:rsidRDefault="00D40151" w:rsidP="009D14FB">
            <w:pPr>
              <w:pStyle w:val="TAL"/>
              <w:rPr>
                <w:sz w:val="16"/>
                <w:szCs w:val="16"/>
              </w:rPr>
            </w:pPr>
            <w:r w:rsidRPr="00873B6C">
              <w:rPr>
                <w:sz w:val="16"/>
                <w:szCs w:val="16"/>
              </w:rPr>
              <w:t>Correction to eCall Support by NR</w:t>
            </w:r>
          </w:p>
        </w:tc>
        <w:tc>
          <w:tcPr>
            <w:tcW w:w="708" w:type="dxa"/>
            <w:shd w:val="solid" w:color="FFFFFF" w:fill="auto"/>
          </w:tcPr>
          <w:p w14:paraId="6CFD00D5" w14:textId="77777777" w:rsidR="00D40151" w:rsidRPr="00873B6C" w:rsidRDefault="00D40151" w:rsidP="009D14FB">
            <w:pPr>
              <w:pStyle w:val="TAC"/>
              <w:rPr>
                <w:sz w:val="16"/>
                <w:szCs w:val="16"/>
              </w:rPr>
            </w:pPr>
            <w:r w:rsidRPr="00873B6C">
              <w:rPr>
                <w:sz w:val="16"/>
                <w:szCs w:val="16"/>
              </w:rPr>
              <w:t>15.2.0</w:t>
            </w:r>
          </w:p>
        </w:tc>
      </w:tr>
      <w:tr w:rsidR="00D40151" w:rsidRPr="00873B6C" w14:paraId="6D5D38D1" w14:textId="77777777" w:rsidTr="009D14FB">
        <w:tc>
          <w:tcPr>
            <w:tcW w:w="800" w:type="dxa"/>
            <w:shd w:val="solid" w:color="FFFFFF" w:fill="auto"/>
          </w:tcPr>
          <w:p w14:paraId="7C9A774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CE0146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B7A7852"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3466CCA3" w14:textId="77777777" w:rsidR="00D40151" w:rsidRPr="00873B6C" w:rsidRDefault="00D40151" w:rsidP="009D14FB">
            <w:pPr>
              <w:pStyle w:val="TAL"/>
              <w:rPr>
                <w:sz w:val="16"/>
                <w:szCs w:val="16"/>
              </w:rPr>
            </w:pPr>
            <w:r w:rsidRPr="00873B6C">
              <w:rPr>
                <w:sz w:val="16"/>
                <w:szCs w:val="16"/>
              </w:rPr>
              <w:t>0398</w:t>
            </w:r>
          </w:p>
        </w:tc>
        <w:tc>
          <w:tcPr>
            <w:tcW w:w="425" w:type="dxa"/>
            <w:shd w:val="solid" w:color="FFFFFF" w:fill="auto"/>
          </w:tcPr>
          <w:p w14:paraId="66C563C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92A0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22CBC6" w14:textId="77777777" w:rsidR="00D40151" w:rsidRPr="00873B6C" w:rsidRDefault="00D40151" w:rsidP="009D14FB">
            <w:pPr>
              <w:pStyle w:val="TAL"/>
              <w:rPr>
                <w:sz w:val="16"/>
                <w:szCs w:val="16"/>
              </w:rPr>
            </w:pPr>
            <w:r w:rsidRPr="00873B6C">
              <w:rPr>
                <w:sz w:val="16"/>
                <w:szCs w:val="16"/>
              </w:rPr>
              <w:t>Bit rate enforcement</w:t>
            </w:r>
          </w:p>
        </w:tc>
        <w:tc>
          <w:tcPr>
            <w:tcW w:w="708" w:type="dxa"/>
            <w:shd w:val="solid" w:color="FFFFFF" w:fill="auto"/>
          </w:tcPr>
          <w:p w14:paraId="7AF03CE6" w14:textId="77777777" w:rsidR="00D40151" w:rsidRPr="00873B6C" w:rsidRDefault="00D40151" w:rsidP="009D14FB">
            <w:pPr>
              <w:pStyle w:val="TAC"/>
              <w:rPr>
                <w:sz w:val="16"/>
                <w:szCs w:val="16"/>
              </w:rPr>
            </w:pPr>
            <w:r w:rsidRPr="00873B6C">
              <w:rPr>
                <w:sz w:val="16"/>
                <w:szCs w:val="16"/>
              </w:rPr>
              <w:t>15.2.0</w:t>
            </w:r>
          </w:p>
        </w:tc>
      </w:tr>
      <w:tr w:rsidR="00D40151" w:rsidRPr="00873B6C" w14:paraId="44ADD5FF" w14:textId="77777777" w:rsidTr="009D14FB">
        <w:tc>
          <w:tcPr>
            <w:tcW w:w="800" w:type="dxa"/>
            <w:shd w:val="solid" w:color="FFFFFF" w:fill="auto"/>
          </w:tcPr>
          <w:p w14:paraId="2C598E1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2AD761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398AA8C"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22D3944E" w14:textId="77777777" w:rsidR="00D40151" w:rsidRPr="00873B6C" w:rsidRDefault="00D40151" w:rsidP="009D14FB">
            <w:pPr>
              <w:pStyle w:val="TAL"/>
              <w:rPr>
                <w:sz w:val="16"/>
                <w:szCs w:val="16"/>
              </w:rPr>
            </w:pPr>
            <w:r w:rsidRPr="00873B6C">
              <w:rPr>
                <w:sz w:val="16"/>
                <w:szCs w:val="16"/>
              </w:rPr>
              <w:t>0399</w:t>
            </w:r>
          </w:p>
        </w:tc>
        <w:tc>
          <w:tcPr>
            <w:tcW w:w="425" w:type="dxa"/>
            <w:shd w:val="solid" w:color="FFFFFF" w:fill="auto"/>
          </w:tcPr>
          <w:p w14:paraId="29ED3DD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D6A423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7AFB0B" w14:textId="77777777" w:rsidR="00D40151" w:rsidRPr="00873B6C" w:rsidRDefault="00D40151" w:rsidP="009D14FB">
            <w:pPr>
              <w:pStyle w:val="TAL"/>
              <w:rPr>
                <w:sz w:val="16"/>
                <w:szCs w:val="16"/>
              </w:rPr>
            </w:pPr>
            <w:r w:rsidRPr="00873B6C">
              <w:rPr>
                <w:sz w:val="16"/>
                <w:szCs w:val="16"/>
              </w:rPr>
              <w:t>Clarification on TAC format at inter-system handover</w:t>
            </w:r>
          </w:p>
        </w:tc>
        <w:tc>
          <w:tcPr>
            <w:tcW w:w="708" w:type="dxa"/>
            <w:shd w:val="solid" w:color="FFFFFF" w:fill="auto"/>
          </w:tcPr>
          <w:p w14:paraId="48FD9E47" w14:textId="77777777" w:rsidR="00D40151" w:rsidRPr="00873B6C" w:rsidRDefault="00D40151" w:rsidP="009D14FB">
            <w:pPr>
              <w:pStyle w:val="TAC"/>
              <w:rPr>
                <w:sz w:val="16"/>
                <w:szCs w:val="16"/>
              </w:rPr>
            </w:pPr>
            <w:r w:rsidRPr="00873B6C">
              <w:rPr>
                <w:sz w:val="16"/>
                <w:szCs w:val="16"/>
              </w:rPr>
              <w:t>15.2.0</w:t>
            </w:r>
          </w:p>
        </w:tc>
      </w:tr>
      <w:tr w:rsidR="00D40151" w:rsidRPr="00873B6C" w14:paraId="0B614C42" w14:textId="77777777" w:rsidTr="009D14FB">
        <w:tc>
          <w:tcPr>
            <w:tcW w:w="800" w:type="dxa"/>
            <w:shd w:val="solid" w:color="FFFFFF" w:fill="auto"/>
          </w:tcPr>
          <w:p w14:paraId="5BF7670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D3998F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5AE38DC"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67C836CC" w14:textId="77777777" w:rsidR="00D40151" w:rsidRPr="00873B6C" w:rsidRDefault="00D40151" w:rsidP="009D14FB">
            <w:pPr>
              <w:pStyle w:val="TAL"/>
              <w:rPr>
                <w:sz w:val="16"/>
                <w:szCs w:val="16"/>
              </w:rPr>
            </w:pPr>
            <w:r w:rsidRPr="00873B6C">
              <w:rPr>
                <w:sz w:val="16"/>
                <w:szCs w:val="16"/>
              </w:rPr>
              <w:t xml:space="preserve"> 0401</w:t>
            </w:r>
          </w:p>
        </w:tc>
        <w:tc>
          <w:tcPr>
            <w:tcW w:w="425" w:type="dxa"/>
            <w:shd w:val="solid" w:color="FFFFFF" w:fill="auto"/>
          </w:tcPr>
          <w:p w14:paraId="06EB190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2B46F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4DE7B2" w14:textId="77777777" w:rsidR="00D40151" w:rsidRPr="00873B6C" w:rsidRDefault="00D40151" w:rsidP="009D14FB">
            <w:pPr>
              <w:pStyle w:val="TAL"/>
              <w:rPr>
                <w:sz w:val="16"/>
                <w:szCs w:val="16"/>
              </w:rPr>
            </w:pPr>
            <w:r w:rsidRPr="00873B6C">
              <w:rPr>
                <w:sz w:val="16"/>
                <w:szCs w:val="16"/>
              </w:rPr>
              <w:t>Add table of CHF Spending Limit Control service in 7.2.x</w:t>
            </w:r>
          </w:p>
        </w:tc>
        <w:tc>
          <w:tcPr>
            <w:tcW w:w="708" w:type="dxa"/>
            <w:shd w:val="solid" w:color="FFFFFF" w:fill="auto"/>
          </w:tcPr>
          <w:p w14:paraId="46BE3E1A" w14:textId="77777777" w:rsidR="00D40151" w:rsidRPr="00873B6C" w:rsidRDefault="00D40151" w:rsidP="009D14FB">
            <w:pPr>
              <w:pStyle w:val="TAC"/>
              <w:rPr>
                <w:sz w:val="16"/>
                <w:szCs w:val="16"/>
              </w:rPr>
            </w:pPr>
            <w:r w:rsidRPr="00873B6C">
              <w:rPr>
                <w:sz w:val="16"/>
                <w:szCs w:val="16"/>
              </w:rPr>
              <w:t>15.2.0</w:t>
            </w:r>
          </w:p>
        </w:tc>
      </w:tr>
      <w:tr w:rsidR="00D40151" w:rsidRPr="00873B6C" w14:paraId="367CC989" w14:textId="77777777" w:rsidTr="009D14FB">
        <w:tc>
          <w:tcPr>
            <w:tcW w:w="800" w:type="dxa"/>
            <w:shd w:val="solid" w:color="FFFFFF" w:fill="auto"/>
          </w:tcPr>
          <w:p w14:paraId="2EB7272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366500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718C0E2"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1BAC7B9D" w14:textId="77777777" w:rsidR="00D40151" w:rsidRPr="00873B6C" w:rsidRDefault="00D40151" w:rsidP="009D14FB">
            <w:pPr>
              <w:pStyle w:val="TAL"/>
              <w:rPr>
                <w:sz w:val="16"/>
                <w:szCs w:val="16"/>
              </w:rPr>
            </w:pPr>
            <w:r w:rsidRPr="00873B6C">
              <w:rPr>
                <w:sz w:val="16"/>
                <w:szCs w:val="16"/>
              </w:rPr>
              <w:t>0402</w:t>
            </w:r>
          </w:p>
        </w:tc>
        <w:tc>
          <w:tcPr>
            <w:tcW w:w="425" w:type="dxa"/>
            <w:shd w:val="solid" w:color="FFFFFF" w:fill="auto"/>
          </w:tcPr>
          <w:p w14:paraId="430F03E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214EA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7E353E" w14:textId="77777777" w:rsidR="00D40151" w:rsidRPr="00873B6C" w:rsidRDefault="00D40151" w:rsidP="009D14FB">
            <w:pPr>
              <w:pStyle w:val="TAL"/>
              <w:rPr>
                <w:sz w:val="16"/>
                <w:szCs w:val="16"/>
              </w:rPr>
            </w:pPr>
            <w:r w:rsidRPr="00873B6C">
              <w:rPr>
                <w:sz w:val="16"/>
                <w:szCs w:val="16"/>
              </w:rPr>
              <w:t>S-NSSAI of VPLMN when HO from 4G to 5G</w:t>
            </w:r>
          </w:p>
        </w:tc>
        <w:tc>
          <w:tcPr>
            <w:tcW w:w="708" w:type="dxa"/>
            <w:shd w:val="solid" w:color="FFFFFF" w:fill="auto"/>
          </w:tcPr>
          <w:p w14:paraId="6FCD6A88" w14:textId="77777777" w:rsidR="00D40151" w:rsidRPr="00873B6C" w:rsidRDefault="00D40151" w:rsidP="009D14FB">
            <w:pPr>
              <w:pStyle w:val="TAC"/>
              <w:rPr>
                <w:sz w:val="16"/>
                <w:szCs w:val="16"/>
              </w:rPr>
            </w:pPr>
            <w:r w:rsidRPr="00873B6C">
              <w:rPr>
                <w:sz w:val="16"/>
                <w:szCs w:val="16"/>
              </w:rPr>
              <w:t>15.2.0</w:t>
            </w:r>
          </w:p>
        </w:tc>
      </w:tr>
      <w:tr w:rsidR="00D40151" w:rsidRPr="00873B6C" w14:paraId="78AE8882" w14:textId="77777777" w:rsidTr="009D14FB">
        <w:tc>
          <w:tcPr>
            <w:tcW w:w="800" w:type="dxa"/>
            <w:shd w:val="solid" w:color="FFFFFF" w:fill="auto"/>
          </w:tcPr>
          <w:p w14:paraId="6C4C566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79C5C4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8CF120"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3E0B3097" w14:textId="77777777" w:rsidR="00D40151" w:rsidRPr="00873B6C" w:rsidRDefault="00D40151" w:rsidP="009D14FB">
            <w:pPr>
              <w:pStyle w:val="TAL"/>
              <w:rPr>
                <w:sz w:val="16"/>
                <w:szCs w:val="16"/>
              </w:rPr>
            </w:pPr>
            <w:r w:rsidRPr="00873B6C">
              <w:rPr>
                <w:sz w:val="16"/>
                <w:szCs w:val="16"/>
              </w:rPr>
              <w:t>0403</w:t>
            </w:r>
          </w:p>
        </w:tc>
        <w:tc>
          <w:tcPr>
            <w:tcW w:w="425" w:type="dxa"/>
            <w:shd w:val="solid" w:color="FFFFFF" w:fill="auto"/>
          </w:tcPr>
          <w:p w14:paraId="4E53F42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5C9B00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735ADB" w14:textId="77777777" w:rsidR="00D40151" w:rsidRPr="00873B6C" w:rsidRDefault="00D40151" w:rsidP="009D14FB">
            <w:pPr>
              <w:pStyle w:val="TAL"/>
              <w:rPr>
                <w:sz w:val="16"/>
                <w:szCs w:val="16"/>
              </w:rPr>
            </w:pPr>
            <w:r w:rsidRPr="00873B6C">
              <w:rPr>
                <w:sz w:val="16"/>
                <w:szCs w:val="16"/>
              </w:rPr>
              <w:t>SSC Mode Selection clarification</w:t>
            </w:r>
          </w:p>
        </w:tc>
        <w:tc>
          <w:tcPr>
            <w:tcW w:w="708" w:type="dxa"/>
            <w:shd w:val="solid" w:color="FFFFFF" w:fill="auto"/>
          </w:tcPr>
          <w:p w14:paraId="55715AA0" w14:textId="77777777" w:rsidR="00D40151" w:rsidRPr="00873B6C" w:rsidRDefault="00D40151" w:rsidP="009D14FB">
            <w:pPr>
              <w:pStyle w:val="TAC"/>
              <w:rPr>
                <w:sz w:val="16"/>
                <w:szCs w:val="16"/>
              </w:rPr>
            </w:pPr>
            <w:r w:rsidRPr="00873B6C">
              <w:rPr>
                <w:sz w:val="16"/>
                <w:szCs w:val="16"/>
              </w:rPr>
              <w:t>15.2.0</w:t>
            </w:r>
          </w:p>
        </w:tc>
      </w:tr>
      <w:tr w:rsidR="00D40151" w:rsidRPr="00873B6C" w14:paraId="3E8F65D1" w14:textId="77777777" w:rsidTr="009D14FB">
        <w:tc>
          <w:tcPr>
            <w:tcW w:w="800" w:type="dxa"/>
            <w:shd w:val="solid" w:color="FFFFFF" w:fill="auto"/>
          </w:tcPr>
          <w:p w14:paraId="5AB7E20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B66271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8F67851"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2272A8E6" w14:textId="77777777" w:rsidR="00D40151" w:rsidRPr="00873B6C" w:rsidRDefault="00D40151" w:rsidP="009D14FB">
            <w:pPr>
              <w:pStyle w:val="TAL"/>
              <w:rPr>
                <w:sz w:val="16"/>
                <w:szCs w:val="16"/>
              </w:rPr>
            </w:pPr>
            <w:r w:rsidRPr="00873B6C">
              <w:rPr>
                <w:sz w:val="16"/>
                <w:szCs w:val="16"/>
              </w:rPr>
              <w:t>0404</w:t>
            </w:r>
          </w:p>
        </w:tc>
        <w:tc>
          <w:tcPr>
            <w:tcW w:w="425" w:type="dxa"/>
            <w:shd w:val="solid" w:color="FFFFFF" w:fill="auto"/>
          </w:tcPr>
          <w:p w14:paraId="23C6419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7CE32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73C4F2" w14:textId="77777777" w:rsidR="00D40151" w:rsidRPr="00873B6C" w:rsidRDefault="00D40151" w:rsidP="009D14FB">
            <w:pPr>
              <w:pStyle w:val="TAL"/>
              <w:rPr>
                <w:sz w:val="16"/>
                <w:szCs w:val="16"/>
              </w:rPr>
            </w:pPr>
            <w:r w:rsidRPr="00873B6C">
              <w:rPr>
                <w:sz w:val="16"/>
                <w:szCs w:val="16"/>
              </w:rPr>
              <w:t>How Peer CP NF sends notification to target/new AMF after AMF planned removal</w:t>
            </w:r>
          </w:p>
        </w:tc>
        <w:tc>
          <w:tcPr>
            <w:tcW w:w="708" w:type="dxa"/>
            <w:shd w:val="solid" w:color="FFFFFF" w:fill="auto"/>
          </w:tcPr>
          <w:p w14:paraId="50574218" w14:textId="77777777" w:rsidR="00D40151" w:rsidRPr="00873B6C" w:rsidRDefault="00D40151" w:rsidP="009D14FB">
            <w:pPr>
              <w:pStyle w:val="TAC"/>
              <w:rPr>
                <w:sz w:val="16"/>
                <w:szCs w:val="16"/>
              </w:rPr>
            </w:pPr>
            <w:r w:rsidRPr="00873B6C">
              <w:rPr>
                <w:sz w:val="16"/>
                <w:szCs w:val="16"/>
              </w:rPr>
              <w:t>15.2.0</w:t>
            </w:r>
          </w:p>
        </w:tc>
      </w:tr>
      <w:tr w:rsidR="00D40151" w:rsidRPr="00873B6C" w14:paraId="33BA5BB7" w14:textId="77777777" w:rsidTr="009D14FB">
        <w:tc>
          <w:tcPr>
            <w:tcW w:w="800" w:type="dxa"/>
            <w:shd w:val="solid" w:color="FFFFFF" w:fill="auto"/>
          </w:tcPr>
          <w:p w14:paraId="1E41C74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C8621F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0D2E025"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54EDC13C" w14:textId="77777777" w:rsidR="00D40151" w:rsidRPr="00873B6C" w:rsidRDefault="00D40151" w:rsidP="009D14FB">
            <w:pPr>
              <w:pStyle w:val="TAL"/>
              <w:rPr>
                <w:sz w:val="16"/>
                <w:szCs w:val="16"/>
              </w:rPr>
            </w:pPr>
            <w:r w:rsidRPr="00873B6C">
              <w:rPr>
                <w:sz w:val="16"/>
                <w:szCs w:val="16"/>
              </w:rPr>
              <w:t>0405</w:t>
            </w:r>
          </w:p>
        </w:tc>
        <w:tc>
          <w:tcPr>
            <w:tcW w:w="425" w:type="dxa"/>
            <w:shd w:val="solid" w:color="FFFFFF" w:fill="auto"/>
          </w:tcPr>
          <w:p w14:paraId="401AF3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0844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316B10" w14:textId="77777777" w:rsidR="00D40151" w:rsidRPr="00873B6C" w:rsidRDefault="00D40151" w:rsidP="009D14FB">
            <w:pPr>
              <w:pStyle w:val="TAL"/>
              <w:rPr>
                <w:sz w:val="16"/>
                <w:szCs w:val="16"/>
              </w:rPr>
            </w:pPr>
            <w:r w:rsidRPr="00873B6C">
              <w:rPr>
                <w:sz w:val="16"/>
                <w:szCs w:val="16"/>
              </w:rPr>
              <w:t>AF influence on traffic routing for Ethernet type PDU Session</w:t>
            </w:r>
          </w:p>
        </w:tc>
        <w:tc>
          <w:tcPr>
            <w:tcW w:w="708" w:type="dxa"/>
            <w:shd w:val="solid" w:color="FFFFFF" w:fill="auto"/>
          </w:tcPr>
          <w:p w14:paraId="47E4E88E" w14:textId="77777777" w:rsidR="00D40151" w:rsidRPr="00873B6C" w:rsidRDefault="00D40151" w:rsidP="009D14FB">
            <w:pPr>
              <w:pStyle w:val="TAC"/>
              <w:rPr>
                <w:sz w:val="16"/>
                <w:szCs w:val="16"/>
              </w:rPr>
            </w:pPr>
            <w:r w:rsidRPr="00873B6C">
              <w:rPr>
                <w:sz w:val="16"/>
                <w:szCs w:val="16"/>
              </w:rPr>
              <w:t>15.2.0</w:t>
            </w:r>
          </w:p>
        </w:tc>
      </w:tr>
      <w:tr w:rsidR="00D40151" w:rsidRPr="00873B6C" w14:paraId="5B0C5BE6" w14:textId="77777777" w:rsidTr="009D14FB">
        <w:tc>
          <w:tcPr>
            <w:tcW w:w="800" w:type="dxa"/>
            <w:shd w:val="solid" w:color="FFFFFF" w:fill="auto"/>
          </w:tcPr>
          <w:p w14:paraId="0F5D43F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041A7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0781DA0"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3B154729" w14:textId="77777777" w:rsidR="00D40151" w:rsidRPr="00873B6C" w:rsidRDefault="00D40151" w:rsidP="009D14FB">
            <w:pPr>
              <w:pStyle w:val="TAL"/>
              <w:rPr>
                <w:sz w:val="16"/>
                <w:szCs w:val="16"/>
              </w:rPr>
            </w:pPr>
            <w:r w:rsidRPr="00873B6C">
              <w:rPr>
                <w:sz w:val="16"/>
                <w:szCs w:val="16"/>
              </w:rPr>
              <w:t>0406</w:t>
            </w:r>
          </w:p>
        </w:tc>
        <w:tc>
          <w:tcPr>
            <w:tcW w:w="425" w:type="dxa"/>
            <w:shd w:val="solid" w:color="FFFFFF" w:fill="auto"/>
          </w:tcPr>
          <w:p w14:paraId="3A57C70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47B87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0ED96C" w14:textId="77777777" w:rsidR="00D40151" w:rsidRPr="00873B6C" w:rsidRDefault="00D40151" w:rsidP="009D14FB">
            <w:pPr>
              <w:pStyle w:val="TAL"/>
              <w:rPr>
                <w:sz w:val="16"/>
                <w:szCs w:val="16"/>
              </w:rPr>
            </w:pPr>
            <w:r w:rsidRPr="00873B6C">
              <w:rPr>
                <w:sz w:val="16"/>
                <w:szCs w:val="16"/>
              </w:rPr>
              <w:t>Avoid the case the one UE MAC shared by multiple Ethernet PDU Sessions</w:t>
            </w:r>
          </w:p>
        </w:tc>
        <w:tc>
          <w:tcPr>
            <w:tcW w:w="708" w:type="dxa"/>
            <w:shd w:val="solid" w:color="FFFFFF" w:fill="auto"/>
          </w:tcPr>
          <w:p w14:paraId="2EB7C4F9" w14:textId="77777777" w:rsidR="00D40151" w:rsidRPr="00873B6C" w:rsidRDefault="00D40151" w:rsidP="009D14FB">
            <w:pPr>
              <w:pStyle w:val="TAC"/>
              <w:rPr>
                <w:sz w:val="16"/>
                <w:szCs w:val="16"/>
              </w:rPr>
            </w:pPr>
            <w:r w:rsidRPr="00873B6C">
              <w:rPr>
                <w:sz w:val="16"/>
                <w:szCs w:val="16"/>
              </w:rPr>
              <w:t>15.2.0</w:t>
            </w:r>
          </w:p>
        </w:tc>
      </w:tr>
      <w:tr w:rsidR="00D40151" w:rsidRPr="00873B6C" w14:paraId="24D236DB" w14:textId="77777777" w:rsidTr="009D14FB">
        <w:tc>
          <w:tcPr>
            <w:tcW w:w="800" w:type="dxa"/>
            <w:shd w:val="solid" w:color="FFFFFF" w:fill="auto"/>
          </w:tcPr>
          <w:p w14:paraId="042E5F6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20F760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6306C99"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2AC2F2F1" w14:textId="77777777" w:rsidR="00D40151" w:rsidRPr="00873B6C" w:rsidRDefault="00D40151" w:rsidP="009D14FB">
            <w:pPr>
              <w:pStyle w:val="TAL"/>
              <w:rPr>
                <w:sz w:val="16"/>
                <w:szCs w:val="16"/>
              </w:rPr>
            </w:pPr>
            <w:r w:rsidRPr="00873B6C">
              <w:rPr>
                <w:sz w:val="16"/>
                <w:szCs w:val="16"/>
              </w:rPr>
              <w:t>0407</w:t>
            </w:r>
          </w:p>
        </w:tc>
        <w:tc>
          <w:tcPr>
            <w:tcW w:w="425" w:type="dxa"/>
            <w:shd w:val="solid" w:color="FFFFFF" w:fill="auto"/>
          </w:tcPr>
          <w:p w14:paraId="13EECB5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AFC71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88BC89" w14:textId="77777777" w:rsidR="00D40151" w:rsidRPr="00873B6C" w:rsidRDefault="00D40151" w:rsidP="009D14FB">
            <w:pPr>
              <w:pStyle w:val="TAL"/>
              <w:rPr>
                <w:sz w:val="16"/>
                <w:szCs w:val="16"/>
              </w:rPr>
            </w:pPr>
            <w:r w:rsidRPr="00873B6C">
              <w:rPr>
                <w:sz w:val="16"/>
                <w:szCs w:val="16"/>
              </w:rPr>
              <w:t xml:space="preserve"> How AMF provides LADN Information to UE</w:t>
            </w:r>
          </w:p>
        </w:tc>
        <w:tc>
          <w:tcPr>
            <w:tcW w:w="708" w:type="dxa"/>
            <w:shd w:val="solid" w:color="FFFFFF" w:fill="auto"/>
          </w:tcPr>
          <w:p w14:paraId="05B5A6F2" w14:textId="77777777" w:rsidR="00D40151" w:rsidRPr="00873B6C" w:rsidRDefault="00D40151" w:rsidP="009D14FB">
            <w:pPr>
              <w:pStyle w:val="TAC"/>
              <w:rPr>
                <w:sz w:val="16"/>
                <w:szCs w:val="16"/>
              </w:rPr>
            </w:pPr>
            <w:r w:rsidRPr="00873B6C">
              <w:rPr>
                <w:sz w:val="16"/>
                <w:szCs w:val="16"/>
              </w:rPr>
              <w:t>15.2.0</w:t>
            </w:r>
          </w:p>
        </w:tc>
      </w:tr>
      <w:tr w:rsidR="00D40151" w:rsidRPr="00873B6C" w14:paraId="5E299EB5" w14:textId="77777777" w:rsidTr="009D14FB">
        <w:tc>
          <w:tcPr>
            <w:tcW w:w="800" w:type="dxa"/>
            <w:shd w:val="solid" w:color="FFFFFF" w:fill="auto"/>
          </w:tcPr>
          <w:p w14:paraId="2F8F381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4679D9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615EF38"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0286FBC2" w14:textId="77777777" w:rsidR="00D40151" w:rsidRPr="00873B6C" w:rsidRDefault="00D40151" w:rsidP="009D14FB">
            <w:pPr>
              <w:pStyle w:val="TAL"/>
              <w:rPr>
                <w:sz w:val="16"/>
                <w:szCs w:val="16"/>
              </w:rPr>
            </w:pPr>
            <w:r w:rsidRPr="00873B6C">
              <w:rPr>
                <w:sz w:val="16"/>
                <w:szCs w:val="16"/>
              </w:rPr>
              <w:t>0410</w:t>
            </w:r>
          </w:p>
        </w:tc>
        <w:tc>
          <w:tcPr>
            <w:tcW w:w="425" w:type="dxa"/>
            <w:shd w:val="solid" w:color="FFFFFF" w:fill="auto"/>
          </w:tcPr>
          <w:p w14:paraId="0F74EEB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3F7710D"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16B8C688" w14:textId="3A1F44E2" w:rsidR="00D40151" w:rsidRPr="00873B6C" w:rsidRDefault="00704A9E" w:rsidP="009D14FB">
            <w:pPr>
              <w:pStyle w:val="TAL"/>
              <w:rPr>
                <w:sz w:val="16"/>
                <w:szCs w:val="16"/>
                <w:lang w:val="fr-FR"/>
              </w:rPr>
            </w:pPr>
            <w:r w:rsidRPr="00873B6C">
              <w:rPr>
                <w:sz w:val="16"/>
                <w:szCs w:val="16"/>
                <w:lang w:val="fr-FR"/>
              </w:rPr>
              <w:t xml:space="preserve"> </w:t>
            </w:r>
            <w:r w:rsidR="00D40151" w:rsidRPr="00873B6C">
              <w:rPr>
                <w:sz w:val="16"/>
                <w:szCs w:val="16"/>
                <w:lang w:val="fr-FR"/>
              </w:rPr>
              <w:t>Non-3GPP access node selection information</w:t>
            </w:r>
          </w:p>
        </w:tc>
        <w:tc>
          <w:tcPr>
            <w:tcW w:w="708" w:type="dxa"/>
            <w:shd w:val="solid" w:color="FFFFFF" w:fill="auto"/>
          </w:tcPr>
          <w:p w14:paraId="49A51BD5" w14:textId="77777777" w:rsidR="00D40151" w:rsidRPr="00873B6C" w:rsidRDefault="00D40151" w:rsidP="009D14FB">
            <w:pPr>
              <w:pStyle w:val="TAC"/>
              <w:rPr>
                <w:sz w:val="16"/>
                <w:szCs w:val="16"/>
              </w:rPr>
            </w:pPr>
            <w:r w:rsidRPr="00873B6C">
              <w:rPr>
                <w:sz w:val="16"/>
                <w:szCs w:val="16"/>
              </w:rPr>
              <w:t>15.2.0</w:t>
            </w:r>
          </w:p>
        </w:tc>
      </w:tr>
      <w:tr w:rsidR="00D40151" w:rsidRPr="00873B6C" w14:paraId="3883C9A4" w14:textId="77777777" w:rsidTr="009D14FB">
        <w:tc>
          <w:tcPr>
            <w:tcW w:w="800" w:type="dxa"/>
            <w:shd w:val="solid" w:color="FFFFFF" w:fill="auto"/>
          </w:tcPr>
          <w:p w14:paraId="7DBA67E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3312D8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0ACBD28" w14:textId="77777777" w:rsidR="00D40151" w:rsidRPr="00873B6C" w:rsidRDefault="00D40151" w:rsidP="009D14FB">
            <w:pPr>
              <w:pStyle w:val="TAC"/>
              <w:rPr>
                <w:sz w:val="16"/>
                <w:szCs w:val="16"/>
              </w:rPr>
            </w:pPr>
            <w:r w:rsidRPr="00873B6C">
              <w:rPr>
                <w:sz w:val="16"/>
                <w:szCs w:val="16"/>
              </w:rPr>
              <w:t>SP-180496</w:t>
            </w:r>
          </w:p>
        </w:tc>
        <w:tc>
          <w:tcPr>
            <w:tcW w:w="567" w:type="dxa"/>
            <w:shd w:val="solid" w:color="FFFFFF" w:fill="auto"/>
          </w:tcPr>
          <w:p w14:paraId="3DE18006" w14:textId="77777777" w:rsidR="00D40151" w:rsidRPr="00873B6C" w:rsidRDefault="00D40151" w:rsidP="009D14FB">
            <w:pPr>
              <w:pStyle w:val="TAL"/>
              <w:rPr>
                <w:sz w:val="16"/>
                <w:szCs w:val="16"/>
              </w:rPr>
            </w:pPr>
            <w:r w:rsidRPr="00873B6C">
              <w:rPr>
                <w:sz w:val="16"/>
                <w:szCs w:val="16"/>
              </w:rPr>
              <w:t>0411</w:t>
            </w:r>
          </w:p>
        </w:tc>
        <w:tc>
          <w:tcPr>
            <w:tcW w:w="425" w:type="dxa"/>
            <w:shd w:val="solid" w:color="FFFFFF" w:fill="auto"/>
          </w:tcPr>
          <w:p w14:paraId="0EF92D8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853D1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9656CF" w14:textId="77777777" w:rsidR="00D40151" w:rsidRPr="00873B6C" w:rsidRDefault="00D40151" w:rsidP="009D14FB">
            <w:pPr>
              <w:pStyle w:val="TAL"/>
              <w:rPr>
                <w:sz w:val="16"/>
                <w:szCs w:val="16"/>
              </w:rPr>
            </w:pPr>
            <w:r w:rsidRPr="00873B6C">
              <w:rPr>
                <w:sz w:val="16"/>
                <w:szCs w:val="16"/>
              </w:rPr>
              <w:t>Clarify RAT restrictions are not provided to the UE</w:t>
            </w:r>
          </w:p>
        </w:tc>
        <w:tc>
          <w:tcPr>
            <w:tcW w:w="708" w:type="dxa"/>
            <w:shd w:val="solid" w:color="FFFFFF" w:fill="auto"/>
          </w:tcPr>
          <w:p w14:paraId="2C8D019E" w14:textId="77777777" w:rsidR="00D40151" w:rsidRPr="00873B6C" w:rsidRDefault="00D40151" w:rsidP="009D14FB">
            <w:pPr>
              <w:pStyle w:val="TAC"/>
              <w:rPr>
                <w:sz w:val="16"/>
                <w:szCs w:val="16"/>
              </w:rPr>
            </w:pPr>
            <w:r w:rsidRPr="00873B6C">
              <w:rPr>
                <w:sz w:val="16"/>
                <w:szCs w:val="16"/>
              </w:rPr>
              <w:t>15.2.0</w:t>
            </w:r>
          </w:p>
        </w:tc>
      </w:tr>
      <w:tr w:rsidR="00D40151" w:rsidRPr="00873B6C" w14:paraId="2C0C6E33" w14:textId="77777777" w:rsidTr="009D14FB">
        <w:tc>
          <w:tcPr>
            <w:tcW w:w="800" w:type="dxa"/>
            <w:shd w:val="solid" w:color="FFFFFF" w:fill="auto"/>
          </w:tcPr>
          <w:p w14:paraId="32DB57B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3C1F29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28420CF"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01EB8782" w14:textId="77777777" w:rsidR="00D40151" w:rsidRPr="00873B6C" w:rsidRDefault="00D40151" w:rsidP="009D14FB">
            <w:pPr>
              <w:pStyle w:val="TAL"/>
              <w:rPr>
                <w:sz w:val="16"/>
                <w:szCs w:val="16"/>
              </w:rPr>
            </w:pPr>
            <w:r w:rsidRPr="00873B6C">
              <w:rPr>
                <w:sz w:val="16"/>
                <w:szCs w:val="16"/>
              </w:rPr>
              <w:t>0414</w:t>
            </w:r>
          </w:p>
        </w:tc>
        <w:tc>
          <w:tcPr>
            <w:tcW w:w="425" w:type="dxa"/>
            <w:shd w:val="solid" w:color="FFFFFF" w:fill="auto"/>
          </w:tcPr>
          <w:p w14:paraId="43BA45B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106B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F404B5" w14:textId="77777777" w:rsidR="00D40151" w:rsidRPr="00873B6C" w:rsidRDefault="00D40151" w:rsidP="009D14FB">
            <w:pPr>
              <w:pStyle w:val="TAL"/>
              <w:rPr>
                <w:sz w:val="16"/>
                <w:szCs w:val="16"/>
              </w:rPr>
            </w:pPr>
            <w:r w:rsidRPr="00873B6C">
              <w:rPr>
                <w:sz w:val="16"/>
                <w:szCs w:val="16"/>
              </w:rPr>
              <w:t>Including GUAMI in RRC message of related procedures</w:t>
            </w:r>
          </w:p>
        </w:tc>
        <w:tc>
          <w:tcPr>
            <w:tcW w:w="708" w:type="dxa"/>
            <w:shd w:val="solid" w:color="FFFFFF" w:fill="auto"/>
          </w:tcPr>
          <w:p w14:paraId="386594DB" w14:textId="77777777" w:rsidR="00D40151" w:rsidRPr="00873B6C" w:rsidRDefault="00D40151" w:rsidP="009D14FB">
            <w:pPr>
              <w:pStyle w:val="TAC"/>
              <w:rPr>
                <w:sz w:val="16"/>
                <w:szCs w:val="16"/>
              </w:rPr>
            </w:pPr>
            <w:r w:rsidRPr="00873B6C">
              <w:rPr>
                <w:sz w:val="16"/>
                <w:szCs w:val="16"/>
              </w:rPr>
              <w:t>15.2.0</w:t>
            </w:r>
          </w:p>
        </w:tc>
      </w:tr>
      <w:tr w:rsidR="00D40151" w:rsidRPr="00873B6C" w14:paraId="5B8F4207" w14:textId="77777777" w:rsidTr="009D14FB">
        <w:tc>
          <w:tcPr>
            <w:tcW w:w="800" w:type="dxa"/>
            <w:shd w:val="solid" w:color="FFFFFF" w:fill="auto"/>
          </w:tcPr>
          <w:p w14:paraId="73EC6FC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089B3B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DC0156C"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5D02B4F0" w14:textId="77777777" w:rsidR="00D40151" w:rsidRPr="00873B6C" w:rsidRDefault="00D40151" w:rsidP="009D14FB">
            <w:pPr>
              <w:pStyle w:val="TAL"/>
              <w:rPr>
                <w:sz w:val="16"/>
                <w:szCs w:val="16"/>
              </w:rPr>
            </w:pPr>
            <w:r w:rsidRPr="00873B6C">
              <w:rPr>
                <w:sz w:val="16"/>
                <w:szCs w:val="16"/>
              </w:rPr>
              <w:t>0415</w:t>
            </w:r>
          </w:p>
        </w:tc>
        <w:tc>
          <w:tcPr>
            <w:tcW w:w="425" w:type="dxa"/>
            <w:shd w:val="solid" w:color="FFFFFF" w:fill="auto"/>
          </w:tcPr>
          <w:p w14:paraId="4BE439D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8B16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FBD360" w14:textId="77777777" w:rsidR="00D40151" w:rsidRPr="00873B6C" w:rsidRDefault="00D40151" w:rsidP="009D14FB">
            <w:pPr>
              <w:pStyle w:val="TAL"/>
              <w:rPr>
                <w:sz w:val="16"/>
                <w:szCs w:val="16"/>
              </w:rPr>
            </w:pPr>
            <w:r w:rsidRPr="00873B6C">
              <w:rPr>
                <w:sz w:val="16"/>
                <w:szCs w:val="16"/>
              </w:rPr>
              <w:t>Clarification on CN assistance information</w:t>
            </w:r>
          </w:p>
        </w:tc>
        <w:tc>
          <w:tcPr>
            <w:tcW w:w="708" w:type="dxa"/>
            <w:shd w:val="solid" w:color="FFFFFF" w:fill="auto"/>
          </w:tcPr>
          <w:p w14:paraId="76E8C9B6" w14:textId="77777777" w:rsidR="00D40151" w:rsidRPr="00873B6C" w:rsidRDefault="00D40151" w:rsidP="009D14FB">
            <w:pPr>
              <w:pStyle w:val="TAC"/>
              <w:rPr>
                <w:sz w:val="16"/>
                <w:szCs w:val="16"/>
              </w:rPr>
            </w:pPr>
            <w:r w:rsidRPr="00873B6C">
              <w:rPr>
                <w:sz w:val="16"/>
                <w:szCs w:val="16"/>
              </w:rPr>
              <w:t>15.2.0</w:t>
            </w:r>
          </w:p>
        </w:tc>
      </w:tr>
      <w:tr w:rsidR="00D40151" w:rsidRPr="00873B6C" w14:paraId="2DBAA690" w14:textId="77777777" w:rsidTr="009D14FB">
        <w:tc>
          <w:tcPr>
            <w:tcW w:w="800" w:type="dxa"/>
            <w:shd w:val="solid" w:color="FFFFFF" w:fill="auto"/>
          </w:tcPr>
          <w:p w14:paraId="21E4EA9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607CFA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B754F3"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1842C918" w14:textId="77777777" w:rsidR="00D40151" w:rsidRPr="00873B6C" w:rsidRDefault="00D40151" w:rsidP="009D14FB">
            <w:pPr>
              <w:pStyle w:val="TAL"/>
              <w:rPr>
                <w:sz w:val="16"/>
                <w:szCs w:val="16"/>
              </w:rPr>
            </w:pPr>
            <w:r w:rsidRPr="00873B6C">
              <w:rPr>
                <w:sz w:val="16"/>
                <w:szCs w:val="16"/>
              </w:rPr>
              <w:t>0416</w:t>
            </w:r>
          </w:p>
        </w:tc>
        <w:tc>
          <w:tcPr>
            <w:tcW w:w="425" w:type="dxa"/>
            <w:shd w:val="solid" w:color="FFFFFF" w:fill="auto"/>
          </w:tcPr>
          <w:p w14:paraId="552956E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DF733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6CA6D2" w14:textId="77777777" w:rsidR="00D40151" w:rsidRPr="00873B6C" w:rsidRDefault="00D40151" w:rsidP="009D14FB">
            <w:pPr>
              <w:pStyle w:val="TAL"/>
              <w:rPr>
                <w:sz w:val="16"/>
                <w:szCs w:val="16"/>
              </w:rPr>
            </w:pPr>
            <w:r w:rsidRPr="00873B6C">
              <w:rPr>
                <w:sz w:val="16"/>
                <w:szCs w:val="16"/>
              </w:rPr>
              <w:t>Clarify the relationship between GFBR and MDBV</w:t>
            </w:r>
          </w:p>
        </w:tc>
        <w:tc>
          <w:tcPr>
            <w:tcW w:w="708" w:type="dxa"/>
            <w:shd w:val="solid" w:color="FFFFFF" w:fill="auto"/>
          </w:tcPr>
          <w:p w14:paraId="0648B0FE" w14:textId="77777777" w:rsidR="00D40151" w:rsidRPr="00873B6C" w:rsidRDefault="00D40151" w:rsidP="009D14FB">
            <w:pPr>
              <w:pStyle w:val="TAC"/>
              <w:rPr>
                <w:sz w:val="16"/>
                <w:szCs w:val="16"/>
              </w:rPr>
            </w:pPr>
            <w:r w:rsidRPr="00873B6C">
              <w:rPr>
                <w:sz w:val="16"/>
                <w:szCs w:val="16"/>
              </w:rPr>
              <w:t>15.2.0</w:t>
            </w:r>
          </w:p>
        </w:tc>
      </w:tr>
      <w:tr w:rsidR="00D40151" w:rsidRPr="00873B6C" w14:paraId="7A3A45E8" w14:textId="77777777" w:rsidTr="009D14FB">
        <w:tc>
          <w:tcPr>
            <w:tcW w:w="800" w:type="dxa"/>
            <w:shd w:val="solid" w:color="FFFFFF" w:fill="auto"/>
          </w:tcPr>
          <w:p w14:paraId="6C94B52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FF7A1D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A099ABC"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5D821D60" w14:textId="77777777" w:rsidR="00D40151" w:rsidRPr="00873B6C" w:rsidRDefault="00D40151" w:rsidP="009D14FB">
            <w:pPr>
              <w:pStyle w:val="TAL"/>
              <w:rPr>
                <w:sz w:val="16"/>
                <w:szCs w:val="16"/>
              </w:rPr>
            </w:pPr>
            <w:r w:rsidRPr="00873B6C">
              <w:rPr>
                <w:sz w:val="16"/>
                <w:szCs w:val="16"/>
              </w:rPr>
              <w:t>0417</w:t>
            </w:r>
          </w:p>
        </w:tc>
        <w:tc>
          <w:tcPr>
            <w:tcW w:w="425" w:type="dxa"/>
            <w:shd w:val="solid" w:color="FFFFFF" w:fill="auto"/>
          </w:tcPr>
          <w:p w14:paraId="63ADC81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CE2CB0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93210F" w14:textId="77777777" w:rsidR="00D40151" w:rsidRPr="00873B6C" w:rsidRDefault="00D40151" w:rsidP="009D14FB">
            <w:pPr>
              <w:pStyle w:val="TAL"/>
              <w:rPr>
                <w:sz w:val="16"/>
                <w:szCs w:val="16"/>
              </w:rPr>
            </w:pPr>
            <w:r w:rsidRPr="00873B6C">
              <w:rPr>
                <w:sz w:val="16"/>
                <w:szCs w:val="16"/>
              </w:rPr>
              <w:t xml:space="preserve">Clarification on support of MFBR greater than GFBR </w:t>
            </w:r>
          </w:p>
        </w:tc>
        <w:tc>
          <w:tcPr>
            <w:tcW w:w="708" w:type="dxa"/>
            <w:shd w:val="solid" w:color="FFFFFF" w:fill="auto"/>
          </w:tcPr>
          <w:p w14:paraId="7E6816A9" w14:textId="77777777" w:rsidR="00D40151" w:rsidRPr="00873B6C" w:rsidRDefault="00D40151" w:rsidP="009D14FB">
            <w:pPr>
              <w:pStyle w:val="TAC"/>
              <w:rPr>
                <w:sz w:val="16"/>
                <w:szCs w:val="16"/>
              </w:rPr>
            </w:pPr>
            <w:r w:rsidRPr="00873B6C">
              <w:rPr>
                <w:sz w:val="16"/>
                <w:szCs w:val="16"/>
              </w:rPr>
              <w:t>15.2.0</w:t>
            </w:r>
          </w:p>
        </w:tc>
      </w:tr>
      <w:tr w:rsidR="00D40151" w:rsidRPr="00873B6C" w14:paraId="4BD9FCF0" w14:textId="77777777" w:rsidTr="009D14FB">
        <w:tc>
          <w:tcPr>
            <w:tcW w:w="800" w:type="dxa"/>
            <w:shd w:val="solid" w:color="FFFFFF" w:fill="auto"/>
          </w:tcPr>
          <w:p w14:paraId="2898C08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71DEC0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1F3C5B8"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1FF4F824" w14:textId="77777777" w:rsidR="00D40151" w:rsidRPr="00873B6C" w:rsidRDefault="00D40151" w:rsidP="009D14FB">
            <w:pPr>
              <w:pStyle w:val="TAL"/>
              <w:rPr>
                <w:sz w:val="16"/>
                <w:szCs w:val="16"/>
              </w:rPr>
            </w:pPr>
            <w:r w:rsidRPr="00873B6C">
              <w:rPr>
                <w:sz w:val="16"/>
                <w:szCs w:val="16"/>
              </w:rPr>
              <w:t>0418</w:t>
            </w:r>
          </w:p>
        </w:tc>
        <w:tc>
          <w:tcPr>
            <w:tcW w:w="425" w:type="dxa"/>
            <w:shd w:val="solid" w:color="FFFFFF" w:fill="auto"/>
          </w:tcPr>
          <w:p w14:paraId="13E03DD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CB052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54B904" w14:textId="77777777" w:rsidR="00D40151" w:rsidRPr="00873B6C" w:rsidRDefault="00D40151" w:rsidP="009D14FB">
            <w:pPr>
              <w:pStyle w:val="TAL"/>
              <w:rPr>
                <w:sz w:val="16"/>
                <w:szCs w:val="16"/>
              </w:rPr>
            </w:pPr>
            <w:r w:rsidRPr="00873B6C">
              <w:rPr>
                <w:sz w:val="16"/>
                <w:szCs w:val="16"/>
              </w:rPr>
              <w:t>Clarification on requested NSSAI usage by RAN</w:t>
            </w:r>
          </w:p>
        </w:tc>
        <w:tc>
          <w:tcPr>
            <w:tcW w:w="708" w:type="dxa"/>
            <w:shd w:val="solid" w:color="FFFFFF" w:fill="auto"/>
          </w:tcPr>
          <w:p w14:paraId="544A9243" w14:textId="77777777" w:rsidR="00D40151" w:rsidRPr="00873B6C" w:rsidRDefault="00D40151" w:rsidP="009D14FB">
            <w:pPr>
              <w:pStyle w:val="TAC"/>
              <w:rPr>
                <w:sz w:val="16"/>
                <w:szCs w:val="16"/>
              </w:rPr>
            </w:pPr>
            <w:r w:rsidRPr="00873B6C">
              <w:rPr>
                <w:sz w:val="16"/>
                <w:szCs w:val="16"/>
              </w:rPr>
              <w:t>15.2.0</w:t>
            </w:r>
          </w:p>
        </w:tc>
      </w:tr>
      <w:tr w:rsidR="00D40151" w:rsidRPr="00873B6C" w14:paraId="1002473B" w14:textId="77777777" w:rsidTr="009D14FB">
        <w:tc>
          <w:tcPr>
            <w:tcW w:w="800" w:type="dxa"/>
            <w:shd w:val="solid" w:color="FFFFFF" w:fill="auto"/>
          </w:tcPr>
          <w:p w14:paraId="04C972E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F4A017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5268A72"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0299FFF3" w14:textId="77777777" w:rsidR="00D40151" w:rsidRPr="00873B6C" w:rsidRDefault="00D40151" w:rsidP="009D14FB">
            <w:pPr>
              <w:pStyle w:val="TAL"/>
              <w:rPr>
                <w:sz w:val="16"/>
                <w:szCs w:val="16"/>
              </w:rPr>
            </w:pPr>
            <w:r w:rsidRPr="00873B6C">
              <w:rPr>
                <w:sz w:val="16"/>
                <w:szCs w:val="16"/>
              </w:rPr>
              <w:t>0422</w:t>
            </w:r>
          </w:p>
        </w:tc>
        <w:tc>
          <w:tcPr>
            <w:tcW w:w="425" w:type="dxa"/>
            <w:shd w:val="solid" w:color="FFFFFF" w:fill="auto"/>
          </w:tcPr>
          <w:p w14:paraId="68FCBA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27E89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61120A" w14:textId="77777777" w:rsidR="00D40151" w:rsidRPr="00873B6C" w:rsidRDefault="00D40151" w:rsidP="009D14FB">
            <w:pPr>
              <w:pStyle w:val="TAL"/>
              <w:rPr>
                <w:sz w:val="16"/>
                <w:szCs w:val="16"/>
              </w:rPr>
            </w:pPr>
            <w:r w:rsidRPr="00873B6C">
              <w:rPr>
                <w:sz w:val="16"/>
                <w:szCs w:val="16"/>
              </w:rPr>
              <w:t>Clarification on SMSF checking subscription data</w:t>
            </w:r>
          </w:p>
        </w:tc>
        <w:tc>
          <w:tcPr>
            <w:tcW w:w="708" w:type="dxa"/>
            <w:shd w:val="solid" w:color="FFFFFF" w:fill="auto"/>
          </w:tcPr>
          <w:p w14:paraId="25FDADD3" w14:textId="77777777" w:rsidR="00D40151" w:rsidRPr="00873B6C" w:rsidRDefault="00D40151" w:rsidP="009D14FB">
            <w:pPr>
              <w:pStyle w:val="TAC"/>
              <w:rPr>
                <w:sz w:val="16"/>
                <w:szCs w:val="16"/>
              </w:rPr>
            </w:pPr>
            <w:r w:rsidRPr="00873B6C">
              <w:rPr>
                <w:sz w:val="16"/>
                <w:szCs w:val="16"/>
              </w:rPr>
              <w:t>15.2.0</w:t>
            </w:r>
          </w:p>
        </w:tc>
      </w:tr>
      <w:tr w:rsidR="00D40151" w:rsidRPr="00873B6C" w14:paraId="5BEF61F0" w14:textId="77777777" w:rsidTr="009D14FB">
        <w:tc>
          <w:tcPr>
            <w:tcW w:w="800" w:type="dxa"/>
            <w:shd w:val="solid" w:color="FFFFFF" w:fill="auto"/>
          </w:tcPr>
          <w:p w14:paraId="4273522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D23E3C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4E65748"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53AF4703" w14:textId="77777777" w:rsidR="00D40151" w:rsidRPr="00873B6C" w:rsidRDefault="00D40151" w:rsidP="009D14FB">
            <w:pPr>
              <w:pStyle w:val="TAL"/>
              <w:rPr>
                <w:sz w:val="16"/>
                <w:szCs w:val="16"/>
              </w:rPr>
            </w:pPr>
            <w:r w:rsidRPr="00873B6C">
              <w:rPr>
                <w:sz w:val="16"/>
                <w:szCs w:val="16"/>
              </w:rPr>
              <w:t>0423</w:t>
            </w:r>
          </w:p>
        </w:tc>
        <w:tc>
          <w:tcPr>
            <w:tcW w:w="425" w:type="dxa"/>
            <w:shd w:val="solid" w:color="FFFFFF" w:fill="auto"/>
          </w:tcPr>
          <w:p w14:paraId="0644207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E9E886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E33447" w14:textId="77777777" w:rsidR="00D40151" w:rsidRPr="00873B6C" w:rsidRDefault="00D40151" w:rsidP="009D14FB">
            <w:pPr>
              <w:pStyle w:val="TAL"/>
              <w:rPr>
                <w:sz w:val="16"/>
                <w:szCs w:val="16"/>
              </w:rPr>
            </w:pPr>
            <w:r w:rsidRPr="00873B6C">
              <w:rPr>
                <w:sz w:val="16"/>
                <w:szCs w:val="16"/>
              </w:rPr>
              <w:t xml:space="preserve"> S-NSSAI back off timer for UE requested PDU session release</w:t>
            </w:r>
          </w:p>
        </w:tc>
        <w:tc>
          <w:tcPr>
            <w:tcW w:w="708" w:type="dxa"/>
            <w:shd w:val="solid" w:color="FFFFFF" w:fill="auto"/>
          </w:tcPr>
          <w:p w14:paraId="01595A71" w14:textId="77777777" w:rsidR="00D40151" w:rsidRPr="00873B6C" w:rsidRDefault="00D40151" w:rsidP="009D14FB">
            <w:pPr>
              <w:pStyle w:val="TAC"/>
              <w:rPr>
                <w:sz w:val="16"/>
                <w:szCs w:val="16"/>
              </w:rPr>
            </w:pPr>
            <w:r w:rsidRPr="00873B6C">
              <w:rPr>
                <w:sz w:val="16"/>
                <w:szCs w:val="16"/>
              </w:rPr>
              <w:t>15.2.0</w:t>
            </w:r>
          </w:p>
        </w:tc>
      </w:tr>
      <w:tr w:rsidR="00D40151" w:rsidRPr="00873B6C" w14:paraId="571F6A79" w14:textId="77777777" w:rsidTr="009D14FB">
        <w:tc>
          <w:tcPr>
            <w:tcW w:w="800" w:type="dxa"/>
            <w:shd w:val="solid" w:color="FFFFFF" w:fill="auto"/>
          </w:tcPr>
          <w:p w14:paraId="098D199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51AABC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B3C3ABE"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00A6823D" w14:textId="77777777" w:rsidR="00D40151" w:rsidRPr="00873B6C" w:rsidRDefault="00D40151" w:rsidP="009D14FB">
            <w:pPr>
              <w:pStyle w:val="TAL"/>
              <w:rPr>
                <w:sz w:val="16"/>
                <w:szCs w:val="16"/>
              </w:rPr>
            </w:pPr>
            <w:r w:rsidRPr="00873B6C">
              <w:rPr>
                <w:sz w:val="16"/>
                <w:szCs w:val="16"/>
              </w:rPr>
              <w:t>0424</w:t>
            </w:r>
          </w:p>
        </w:tc>
        <w:tc>
          <w:tcPr>
            <w:tcW w:w="425" w:type="dxa"/>
            <w:shd w:val="solid" w:color="FFFFFF" w:fill="auto"/>
          </w:tcPr>
          <w:p w14:paraId="0EDF115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EA8EC6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8220CB" w14:textId="77777777" w:rsidR="00D40151" w:rsidRPr="00873B6C" w:rsidRDefault="00D40151" w:rsidP="009D14FB">
            <w:pPr>
              <w:pStyle w:val="TAL"/>
              <w:rPr>
                <w:sz w:val="16"/>
                <w:szCs w:val="16"/>
              </w:rPr>
            </w:pPr>
            <w:r w:rsidRPr="00873B6C">
              <w:rPr>
                <w:sz w:val="16"/>
                <w:szCs w:val="16"/>
              </w:rPr>
              <w:t>Clarification on AF influence on traffic routing</w:t>
            </w:r>
          </w:p>
        </w:tc>
        <w:tc>
          <w:tcPr>
            <w:tcW w:w="708" w:type="dxa"/>
            <w:shd w:val="solid" w:color="FFFFFF" w:fill="auto"/>
          </w:tcPr>
          <w:p w14:paraId="0830E720" w14:textId="77777777" w:rsidR="00D40151" w:rsidRPr="00873B6C" w:rsidRDefault="00D40151" w:rsidP="009D14FB">
            <w:pPr>
              <w:pStyle w:val="TAC"/>
              <w:rPr>
                <w:sz w:val="16"/>
                <w:szCs w:val="16"/>
              </w:rPr>
            </w:pPr>
            <w:r w:rsidRPr="00873B6C">
              <w:rPr>
                <w:sz w:val="16"/>
                <w:szCs w:val="16"/>
              </w:rPr>
              <w:t>15.2.0</w:t>
            </w:r>
          </w:p>
        </w:tc>
      </w:tr>
      <w:tr w:rsidR="00D40151" w:rsidRPr="00873B6C" w14:paraId="7589F200" w14:textId="77777777" w:rsidTr="009D14FB">
        <w:tc>
          <w:tcPr>
            <w:tcW w:w="800" w:type="dxa"/>
            <w:shd w:val="solid" w:color="FFFFFF" w:fill="auto"/>
          </w:tcPr>
          <w:p w14:paraId="6B44987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19A1EB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09A2F45"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46145883" w14:textId="77777777" w:rsidR="00D40151" w:rsidRPr="00873B6C" w:rsidRDefault="00D40151" w:rsidP="009D14FB">
            <w:pPr>
              <w:pStyle w:val="TAL"/>
              <w:rPr>
                <w:sz w:val="16"/>
                <w:szCs w:val="16"/>
              </w:rPr>
            </w:pPr>
            <w:r w:rsidRPr="00873B6C">
              <w:rPr>
                <w:sz w:val="16"/>
                <w:szCs w:val="16"/>
              </w:rPr>
              <w:t>0425</w:t>
            </w:r>
          </w:p>
        </w:tc>
        <w:tc>
          <w:tcPr>
            <w:tcW w:w="425" w:type="dxa"/>
            <w:shd w:val="solid" w:color="FFFFFF" w:fill="auto"/>
          </w:tcPr>
          <w:p w14:paraId="159469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99BE5F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D1F6E4" w14:textId="725D85A5" w:rsidR="00D40151" w:rsidRPr="00873B6C" w:rsidRDefault="00704A9E" w:rsidP="009D14FB">
            <w:pPr>
              <w:pStyle w:val="TAL"/>
              <w:rPr>
                <w:sz w:val="16"/>
                <w:szCs w:val="16"/>
              </w:rPr>
            </w:pPr>
            <w:r w:rsidRPr="00873B6C">
              <w:rPr>
                <w:sz w:val="16"/>
                <w:szCs w:val="16"/>
              </w:rPr>
              <w:t xml:space="preserve"> </w:t>
            </w:r>
            <w:r w:rsidR="00D40151" w:rsidRPr="00873B6C">
              <w:rPr>
                <w:sz w:val="16"/>
                <w:szCs w:val="16"/>
              </w:rPr>
              <w:t>Combined SMF+PGW-C Selection</w:t>
            </w:r>
          </w:p>
        </w:tc>
        <w:tc>
          <w:tcPr>
            <w:tcW w:w="708" w:type="dxa"/>
            <w:shd w:val="solid" w:color="FFFFFF" w:fill="auto"/>
          </w:tcPr>
          <w:p w14:paraId="4DF971A7" w14:textId="77777777" w:rsidR="00D40151" w:rsidRPr="00873B6C" w:rsidRDefault="00D40151" w:rsidP="009D14FB">
            <w:pPr>
              <w:pStyle w:val="TAC"/>
              <w:rPr>
                <w:sz w:val="16"/>
                <w:szCs w:val="16"/>
              </w:rPr>
            </w:pPr>
            <w:r w:rsidRPr="00873B6C">
              <w:rPr>
                <w:sz w:val="16"/>
                <w:szCs w:val="16"/>
              </w:rPr>
              <w:t>15.2.0</w:t>
            </w:r>
          </w:p>
        </w:tc>
      </w:tr>
      <w:tr w:rsidR="00D40151" w:rsidRPr="00873B6C" w14:paraId="3D35C386" w14:textId="77777777" w:rsidTr="009D14FB">
        <w:tc>
          <w:tcPr>
            <w:tcW w:w="800" w:type="dxa"/>
            <w:shd w:val="solid" w:color="FFFFFF" w:fill="auto"/>
          </w:tcPr>
          <w:p w14:paraId="4815DE2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9F7D38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37AFB0D"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1FFDD1C1" w14:textId="77777777" w:rsidR="00D40151" w:rsidRPr="00873B6C" w:rsidRDefault="00D40151" w:rsidP="009D14FB">
            <w:pPr>
              <w:pStyle w:val="TAL"/>
              <w:rPr>
                <w:sz w:val="16"/>
                <w:szCs w:val="16"/>
              </w:rPr>
            </w:pPr>
            <w:r w:rsidRPr="00873B6C">
              <w:rPr>
                <w:sz w:val="16"/>
                <w:szCs w:val="16"/>
              </w:rPr>
              <w:t>0430</w:t>
            </w:r>
          </w:p>
        </w:tc>
        <w:tc>
          <w:tcPr>
            <w:tcW w:w="425" w:type="dxa"/>
            <w:shd w:val="solid" w:color="FFFFFF" w:fill="auto"/>
          </w:tcPr>
          <w:p w14:paraId="67649D2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9ED91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04D445" w14:textId="77777777" w:rsidR="00D40151" w:rsidRPr="00873B6C" w:rsidRDefault="00D40151" w:rsidP="009D14FB">
            <w:pPr>
              <w:pStyle w:val="TAL"/>
              <w:rPr>
                <w:sz w:val="16"/>
                <w:szCs w:val="16"/>
              </w:rPr>
            </w:pPr>
            <w:r w:rsidRPr="00873B6C">
              <w:rPr>
                <w:sz w:val="16"/>
                <w:szCs w:val="16"/>
              </w:rPr>
              <w:t>Resume procedure in the equivalent PLMN</w:t>
            </w:r>
          </w:p>
        </w:tc>
        <w:tc>
          <w:tcPr>
            <w:tcW w:w="708" w:type="dxa"/>
            <w:shd w:val="solid" w:color="FFFFFF" w:fill="auto"/>
          </w:tcPr>
          <w:p w14:paraId="36502F5D" w14:textId="77777777" w:rsidR="00D40151" w:rsidRPr="00873B6C" w:rsidRDefault="00D40151" w:rsidP="009D14FB">
            <w:pPr>
              <w:pStyle w:val="TAC"/>
              <w:rPr>
                <w:sz w:val="16"/>
                <w:szCs w:val="16"/>
              </w:rPr>
            </w:pPr>
            <w:r w:rsidRPr="00873B6C">
              <w:rPr>
                <w:sz w:val="16"/>
                <w:szCs w:val="16"/>
              </w:rPr>
              <w:t>15.2.0</w:t>
            </w:r>
          </w:p>
        </w:tc>
      </w:tr>
      <w:tr w:rsidR="00D40151" w:rsidRPr="00873B6C" w14:paraId="243F1581" w14:textId="77777777" w:rsidTr="009D14FB">
        <w:tc>
          <w:tcPr>
            <w:tcW w:w="800" w:type="dxa"/>
            <w:shd w:val="solid" w:color="FFFFFF" w:fill="auto"/>
          </w:tcPr>
          <w:p w14:paraId="529AC31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63C552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39A96CD"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7C97F8B5" w14:textId="77777777" w:rsidR="00D40151" w:rsidRPr="00873B6C" w:rsidRDefault="00D40151" w:rsidP="009D14FB">
            <w:pPr>
              <w:pStyle w:val="TAL"/>
              <w:rPr>
                <w:sz w:val="16"/>
                <w:szCs w:val="16"/>
              </w:rPr>
            </w:pPr>
            <w:r w:rsidRPr="00873B6C">
              <w:rPr>
                <w:sz w:val="16"/>
                <w:szCs w:val="16"/>
              </w:rPr>
              <w:t>0433</w:t>
            </w:r>
          </w:p>
        </w:tc>
        <w:tc>
          <w:tcPr>
            <w:tcW w:w="425" w:type="dxa"/>
            <w:shd w:val="solid" w:color="FFFFFF" w:fill="auto"/>
          </w:tcPr>
          <w:p w14:paraId="6D2D277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850203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F03D3D" w14:textId="77777777" w:rsidR="00D40151" w:rsidRPr="00873B6C" w:rsidRDefault="00D40151" w:rsidP="009D14FB">
            <w:pPr>
              <w:pStyle w:val="TAL"/>
              <w:rPr>
                <w:sz w:val="16"/>
                <w:szCs w:val="16"/>
              </w:rPr>
            </w:pPr>
            <w:r w:rsidRPr="00873B6C">
              <w:rPr>
                <w:sz w:val="16"/>
                <w:szCs w:val="16"/>
              </w:rPr>
              <w:t>Alignment of selective activation of UP connection of existing PDU Session</w:t>
            </w:r>
          </w:p>
        </w:tc>
        <w:tc>
          <w:tcPr>
            <w:tcW w:w="708" w:type="dxa"/>
            <w:shd w:val="solid" w:color="FFFFFF" w:fill="auto"/>
          </w:tcPr>
          <w:p w14:paraId="7F6A189C" w14:textId="77777777" w:rsidR="00D40151" w:rsidRPr="00873B6C" w:rsidRDefault="00D40151" w:rsidP="009D14FB">
            <w:pPr>
              <w:pStyle w:val="TAC"/>
              <w:rPr>
                <w:sz w:val="16"/>
                <w:szCs w:val="16"/>
              </w:rPr>
            </w:pPr>
            <w:r w:rsidRPr="00873B6C">
              <w:rPr>
                <w:sz w:val="16"/>
                <w:szCs w:val="16"/>
              </w:rPr>
              <w:t>15.2.0</w:t>
            </w:r>
          </w:p>
        </w:tc>
      </w:tr>
      <w:tr w:rsidR="00D40151" w:rsidRPr="00873B6C" w14:paraId="5B409397" w14:textId="77777777" w:rsidTr="009D14FB">
        <w:tc>
          <w:tcPr>
            <w:tcW w:w="800" w:type="dxa"/>
            <w:shd w:val="solid" w:color="FFFFFF" w:fill="auto"/>
          </w:tcPr>
          <w:p w14:paraId="2328C10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D81976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F9A72A2"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032C8274" w14:textId="77777777" w:rsidR="00D40151" w:rsidRPr="00873B6C" w:rsidRDefault="00D40151" w:rsidP="009D14FB">
            <w:pPr>
              <w:pStyle w:val="TAL"/>
              <w:rPr>
                <w:sz w:val="16"/>
                <w:szCs w:val="16"/>
              </w:rPr>
            </w:pPr>
            <w:r w:rsidRPr="00873B6C">
              <w:rPr>
                <w:sz w:val="16"/>
                <w:szCs w:val="16"/>
              </w:rPr>
              <w:t>0435</w:t>
            </w:r>
          </w:p>
        </w:tc>
        <w:tc>
          <w:tcPr>
            <w:tcW w:w="425" w:type="dxa"/>
            <w:shd w:val="solid" w:color="FFFFFF" w:fill="auto"/>
          </w:tcPr>
          <w:p w14:paraId="5D95483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2FF9EE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7ED9C1" w14:textId="77777777" w:rsidR="00D40151" w:rsidRPr="00873B6C" w:rsidRDefault="00D40151" w:rsidP="009D14FB">
            <w:pPr>
              <w:pStyle w:val="TAL"/>
              <w:rPr>
                <w:sz w:val="16"/>
                <w:szCs w:val="16"/>
              </w:rPr>
            </w:pPr>
            <w:r w:rsidRPr="00873B6C">
              <w:rPr>
                <w:sz w:val="16"/>
                <w:szCs w:val="16"/>
              </w:rPr>
              <w:t xml:space="preserve"> Alignment of PCF selection description</w:t>
            </w:r>
          </w:p>
        </w:tc>
        <w:tc>
          <w:tcPr>
            <w:tcW w:w="708" w:type="dxa"/>
            <w:shd w:val="solid" w:color="FFFFFF" w:fill="auto"/>
          </w:tcPr>
          <w:p w14:paraId="1474ADEA" w14:textId="77777777" w:rsidR="00D40151" w:rsidRPr="00873B6C" w:rsidRDefault="00D40151" w:rsidP="009D14FB">
            <w:pPr>
              <w:pStyle w:val="TAC"/>
              <w:rPr>
                <w:sz w:val="16"/>
                <w:szCs w:val="16"/>
              </w:rPr>
            </w:pPr>
            <w:r w:rsidRPr="00873B6C">
              <w:rPr>
                <w:sz w:val="16"/>
                <w:szCs w:val="16"/>
              </w:rPr>
              <w:t>15.2.0</w:t>
            </w:r>
          </w:p>
        </w:tc>
      </w:tr>
      <w:tr w:rsidR="00D40151" w:rsidRPr="00873B6C" w14:paraId="0EAF99B9" w14:textId="77777777" w:rsidTr="009D14FB">
        <w:tc>
          <w:tcPr>
            <w:tcW w:w="800" w:type="dxa"/>
            <w:shd w:val="solid" w:color="FFFFFF" w:fill="auto"/>
          </w:tcPr>
          <w:p w14:paraId="576B00C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F0A25A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353D443"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4202B83A" w14:textId="77777777" w:rsidR="00D40151" w:rsidRPr="00873B6C" w:rsidRDefault="00D40151" w:rsidP="009D14FB">
            <w:pPr>
              <w:pStyle w:val="TAL"/>
              <w:rPr>
                <w:sz w:val="16"/>
                <w:szCs w:val="16"/>
              </w:rPr>
            </w:pPr>
            <w:r w:rsidRPr="00873B6C">
              <w:rPr>
                <w:sz w:val="16"/>
                <w:szCs w:val="16"/>
              </w:rPr>
              <w:t>0436</w:t>
            </w:r>
          </w:p>
        </w:tc>
        <w:tc>
          <w:tcPr>
            <w:tcW w:w="425" w:type="dxa"/>
            <w:shd w:val="solid" w:color="FFFFFF" w:fill="auto"/>
          </w:tcPr>
          <w:p w14:paraId="7D62512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FD02B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33AB07" w14:textId="77777777" w:rsidR="00D40151" w:rsidRPr="00873B6C" w:rsidRDefault="00D40151" w:rsidP="009D14FB">
            <w:pPr>
              <w:pStyle w:val="TAL"/>
              <w:rPr>
                <w:sz w:val="16"/>
                <w:szCs w:val="16"/>
              </w:rPr>
            </w:pPr>
            <w:r w:rsidRPr="00873B6C">
              <w:rPr>
                <w:sz w:val="16"/>
                <w:szCs w:val="16"/>
              </w:rPr>
              <w:t xml:space="preserve"> QNC during Handover</w:t>
            </w:r>
          </w:p>
        </w:tc>
        <w:tc>
          <w:tcPr>
            <w:tcW w:w="708" w:type="dxa"/>
            <w:shd w:val="solid" w:color="FFFFFF" w:fill="auto"/>
          </w:tcPr>
          <w:p w14:paraId="4934EE87" w14:textId="77777777" w:rsidR="00D40151" w:rsidRPr="00873B6C" w:rsidRDefault="00D40151" w:rsidP="009D14FB">
            <w:pPr>
              <w:pStyle w:val="TAC"/>
              <w:rPr>
                <w:sz w:val="16"/>
                <w:szCs w:val="16"/>
              </w:rPr>
            </w:pPr>
            <w:r w:rsidRPr="00873B6C">
              <w:rPr>
                <w:sz w:val="16"/>
                <w:szCs w:val="16"/>
              </w:rPr>
              <w:t>15.2.0</w:t>
            </w:r>
          </w:p>
        </w:tc>
      </w:tr>
      <w:tr w:rsidR="00D40151" w:rsidRPr="00873B6C" w14:paraId="089F77D9" w14:textId="77777777" w:rsidTr="009D14FB">
        <w:tc>
          <w:tcPr>
            <w:tcW w:w="800" w:type="dxa"/>
            <w:shd w:val="solid" w:color="FFFFFF" w:fill="auto"/>
          </w:tcPr>
          <w:p w14:paraId="01A8F82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A4558A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1678A29"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5C2C3DBB" w14:textId="77777777" w:rsidR="00D40151" w:rsidRPr="00873B6C" w:rsidRDefault="00D40151" w:rsidP="009D14FB">
            <w:pPr>
              <w:pStyle w:val="TAL"/>
              <w:rPr>
                <w:sz w:val="16"/>
                <w:szCs w:val="16"/>
              </w:rPr>
            </w:pPr>
            <w:r w:rsidRPr="00873B6C">
              <w:rPr>
                <w:sz w:val="16"/>
                <w:szCs w:val="16"/>
              </w:rPr>
              <w:t>0437</w:t>
            </w:r>
          </w:p>
        </w:tc>
        <w:tc>
          <w:tcPr>
            <w:tcW w:w="425" w:type="dxa"/>
            <w:shd w:val="solid" w:color="FFFFFF" w:fill="auto"/>
          </w:tcPr>
          <w:p w14:paraId="28490BE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55B202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EDFDBE" w14:textId="77777777" w:rsidR="00D40151" w:rsidRPr="00873B6C" w:rsidRDefault="00D40151" w:rsidP="009D14FB">
            <w:pPr>
              <w:pStyle w:val="TAL"/>
              <w:rPr>
                <w:sz w:val="16"/>
                <w:szCs w:val="16"/>
              </w:rPr>
            </w:pPr>
            <w:r w:rsidRPr="00873B6C">
              <w:rPr>
                <w:sz w:val="16"/>
                <w:szCs w:val="16"/>
              </w:rPr>
              <w:t>Reflective QoS in interworking</w:t>
            </w:r>
          </w:p>
        </w:tc>
        <w:tc>
          <w:tcPr>
            <w:tcW w:w="708" w:type="dxa"/>
            <w:shd w:val="solid" w:color="FFFFFF" w:fill="auto"/>
          </w:tcPr>
          <w:p w14:paraId="3C2C3FFC" w14:textId="77777777" w:rsidR="00D40151" w:rsidRPr="00873B6C" w:rsidRDefault="00D40151" w:rsidP="009D14FB">
            <w:pPr>
              <w:pStyle w:val="TAC"/>
              <w:rPr>
                <w:sz w:val="16"/>
                <w:szCs w:val="16"/>
              </w:rPr>
            </w:pPr>
            <w:r w:rsidRPr="00873B6C">
              <w:rPr>
                <w:sz w:val="16"/>
                <w:szCs w:val="16"/>
              </w:rPr>
              <w:t>15.2.0</w:t>
            </w:r>
          </w:p>
        </w:tc>
      </w:tr>
      <w:tr w:rsidR="00D40151" w:rsidRPr="00873B6C" w14:paraId="0AA744B6" w14:textId="77777777" w:rsidTr="009D14FB">
        <w:tc>
          <w:tcPr>
            <w:tcW w:w="800" w:type="dxa"/>
            <w:shd w:val="solid" w:color="FFFFFF" w:fill="auto"/>
          </w:tcPr>
          <w:p w14:paraId="68C5766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A5B4A1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B355E6C"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69740C9B" w14:textId="77777777" w:rsidR="00D40151" w:rsidRPr="00873B6C" w:rsidRDefault="00D40151" w:rsidP="009D14FB">
            <w:pPr>
              <w:pStyle w:val="TAL"/>
              <w:rPr>
                <w:sz w:val="16"/>
                <w:szCs w:val="16"/>
              </w:rPr>
            </w:pPr>
            <w:r w:rsidRPr="00873B6C">
              <w:rPr>
                <w:sz w:val="16"/>
                <w:szCs w:val="16"/>
              </w:rPr>
              <w:t>0438</w:t>
            </w:r>
          </w:p>
        </w:tc>
        <w:tc>
          <w:tcPr>
            <w:tcW w:w="425" w:type="dxa"/>
            <w:shd w:val="solid" w:color="FFFFFF" w:fill="auto"/>
          </w:tcPr>
          <w:p w14:paraId="2414791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075441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C1E1B2" w14:textId="77777777" w:rsidR="00D40151" w:rsidRPr="00873B6C" w:rsidRDefault="00D40151" w:rsidP="009D14FB">
            <w:pPr>
              <w:pStyle w:val="TAL"/>
              <w:rPr>
                <w:sz w:val="16"/>
                <w:szCs w:val="16"/>
              </w:rPr>
            </w:pPr>
            <w:r w:rsidRPr="00873B6C">
              <w:rPr>
                <w:sz w:val="16"/>
                <w:szCs w:val="16"/>
              </w:rPr>
              <w:t>Use of Network Instance</w:t>
            </w:r>
          </w:p>
        </w:tc>
        <w:tc>
          <w:tcPr>
            <w:tcW w:w="708" w:type="dxa"/>
            <w:shd w:val="solid" w:color="FFFFFF" w:fill="auto"/>
          </w:tcPr>
          <w:p w14:paraId="41FC6479" w14:textId="77777777" w:rsidR="00D40151" w:rsidRPr="00873B6C" w:rsidRDefault="00D40151" w:rsidP="009D14FB">
            <w:pPr>
              <w:pStyle w:val="TAC"/>
              <w:rPr>
                <w:sz w:val="16"/>
                <w:szCs w:val="16"/>
              </w:rPr>
            </w:pPr>
            <w:r w:rsidRPr="00873B6C">
              <w:rPr>
                <w:sz w:val="16"/>
                <w:szCs w:val="16"/>
              </w:rPr>
              <w:t>15.2.0</w:t>
            </w:r>
          </w:p>
        </w:tc>
      </w:tr>
      <w:tr w:rsidR="00D40151" w:rsidRPr="00873B6C" w14:paraId="30E334ED" w14:textId="77777777" w:rsidTr="009D14FB">
        <w:tc>
          <w:tcPr>
            <w:tcW w:w="800" w:type="dxa"/>
            <w:shd w:val="solid" w:color="FFFFFF" w:fill="auto"/>
          </w:tcPr>
          <w:p w14:paraId="4E03A9E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D9A983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ECECC94"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4E8B05A2" w14:textId="77777777" w:rsidR="00D40151" w:rsidRPr="00873B6C" w:rsidRDefault="00D40151" w:rsidP="009D14FB">
            <w:pPr>
              <w:pStyle w:val="TAL"/>
              <w:rPr>
                <w:sz w:val="16"/>
                <w:szCs w:val="16"/>
              </w:rPr>
            </w:pPr>
            <w:r w:rsidRPr="00873B6C">
              <w:rPr>
                <w:sz w:val="16"/>
                <w:szCs w:val="16"/>
              </w:rPr>
              <w:t>0439</w:t>
            </w:r>
          </w:p>
        </w:tc>
        <w:tc>
          <w:tcPr>
            <w:tcW w:w="425" w:type="dxa"/>
            <w:shd w:val="solid" w:color="FFFFFF" w:fill="auto"/>
          </w:tcPr>
          <w:p w14:paraId="4663F6B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3FC7C5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39B486" w14:textId="77777777" w:rsidR="00D40151" w:rsidRPr="00873B6C" w:rsidRDefault="00D40151" w:rsidP="009D14FB">
            <w:pPr>
              <w:pStyle w:val="TAL"/>
              <w:rPr>
                <w:sz w:val="16"/>
                <w:szCs w:val="16"/>
              </w:rPr>
            </w:pPr>
            <w:r w:rsidRPr="00873B6C">
              <w:rPr>
                <w:sz w:val="16"/>
                <w:szCs w:val="16"/>
              </w:rPr>
              <w:t>Update of N4 Parameter Descriptions and Tables</w:t>
            </w:r>
          </w:p>
        </w:tc>
        <w:tc>
          <w:tcPr>
            <w:tcW w:w="708" w:type="dxa"/>
            <w:shd w:val="solid" w:color="FFFFFF" w:fill="auto"/>
          </w:tcPr>
          <w:p w14:paraId="28CF39A5" w14:textId="77777777" w:rsidR="00D40151" w:rsidRPr="00873B6C" w:rsidRDefault="00D40151" w:rsidP="009D14FB">
            <w:pPr>
              <w:pStyle w:val="TAC"/>
              <w:rPr>
                <w:sz w:val="16"/>
                <w:szCs w:val="16"/>
              </w:rPr>
            </w:pPr>
            <w:r w:rsidRPr="00873B6C">
              <w:rPr>
                <w:sz w:val="16"/>
                <w:szCs w:val="16"/>
              </w:rPr>
              <w:t>15.2.0</w:t>
            </w:r>
          </w:p>
        </w:tc>
      </w:tr>
      <w:tr w:rsidR="00D40151" w:rsidRPr="00873B6C" w14:paraId="2060F45A" w14:textId="77777777" w:rsidTr="009D14FB">
        <w:tc>
          <w:tcPr>
            <w:tcW w:w="800" w:type="dxa"/>
            <w:shd w:val="solid" w:color="FFFFFF" w:fill="auto"/>
          </w:tcPr>
          <w:p w14:paraId="1772349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358BCE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E52E1C6"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5CAC4132" w14:textId="77777777" w:rsidR="00D40151" w:rsidRPr="00873B6C" w:rsidRDefault="00D40151" w:rsidP="009D14FB">
            <w:pPr>
              <w:pStyle w:val="TAL"/>
              <w:rPr>
                <w:sz w:val="16"/>
                <w:szCs w:val="16"/>
              </w:rPr>
            </w:pPr>
            <w:r w:rsidRPr="00873B6C">
              <w:rPr>
                <w:sz w:val="16"/>
                <w:szCs w:val="16"/>
              </w:rPr>
              <w:t>0441</w:t>
            </w:r>
          </w:p>
        </w:tc>
        <w:tc>
          <w:tcPr>
            <w:tcW w:w="425" w:type="dxa"/>
            <w:shd w:val="solid" w:color="FFFFFF" w:fill="auto"/>
          </w:tcPr>
          <w:p w14:paraId="574DF3F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494BA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D0DD31" w14:textId="77777777" w:rsidR="00D40151" w:rsidRPr="00873B6C" w:rsidRDefault="00D40151" w:rsidP="009D14FB">
            <w:pPr>
              <w:pStyle w:val="TAL"/>
              <w:rPr>
                <w:sz w:val="16"/>
                <w:szCs w:val="16"/>
              </w:rPr>
            </w:pPr>
            <w:r w:rsidRPr="00873B6C">
              <w:rPr>
                <w:sz w:val="16"/>
                <w:szCs w:val="16"/>
              </w:rPr>
              <w:t>Clarification on LADN 5.6.5</w:t>
            </w:r>
          </w:p>
        </w:tc>
        <w:tc>
          <w:tcPr>
            <w:tcW w:w="708" w:type="dxa"/>
            <w:shd w:val="solid" w:color="FFFFFF" w:fill="auto"/>
          </w:tcPr>
          <w:p w14:paraId="3FC269C8" w14:textId="77777777" w:rsidR="00D40151" w:rsidRPr="00873B6C" w:rsidRDefault="00D40151" w:rsidP="009D14FB">
            <w:pPr>
              <w:pStyle w:val="TAC"/>
              <w:rPr>
                <w:sz w:val="16"/>
                <w:szCs w:val="16"/>
              </w:rPr>
            </w:pPr>
            <w:r w:rsidRPr="00873B6C">
              <w:rPr>
                <w:sz w:val="16"/>
                <w:szCs w:val="16"/>
              </w:rPr>
              <w:t>15.2.0</w:t>
            </w:r>
          </w:p>
        </w:tc>
      </w:tr>
      <w:tr w:rsidR="00D40151" w:rsidRPr="00873B6C" w14:paraId="371009B9" w14:textId="77777777" w:rsidTr="009D14FB">
        <w:tc>
          <w:tcPr>
            <w:tcW w:w="800" w:type="dxa"/>
            <w:shd w:val="solid" w:color="FFFFFF" w:fill="auto"/>
          </w:tcPr>
          <w:p w14:paraId="428ADA3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3E3432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0952091"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140F20E3" w14:textId="77777777" w:rsidR="00D40151" w:rsidRPr="00873B6C" w:rsidRDefault="00D40151" w:rsidP="009D14FB">
            <w:pPr>
              <w:pStyle w:val="TAL"/>
              <w:rPr>
                <w:sz w:val="16"/>
                <w:szCs w:val="16"/>
              </w:rPr>
            </w:pPr>
            <w:r w:rsidRPr="00873B6C">
              <w:rPr>
                <w:sz w:val="16"/>
                <w:szCs w:val="16"/>
              </w:rPr>
              <w:t>0444</w:t>
            </w:r>
          </w:p>
        </w:tc>
        <w:tc>
          <w:tcPr>
            <w:tcW w:w="425" w:type="dxa"/>
            <w:shd w:val="solid" w:color="FFFFFF" w:fill="auto"/>
          </w:tcPr>
          <w:p w14:paraId="236D5F8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5F5DD2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324D0E" w14:textId="77777777" w:rsidR="00D40151" w:rsidRPr="00873B6C" w:rsidRDefault="00D40151" w:rsidP="009D14FB">
            <w:pPr>
              <w:pStyle w:val="TAL"/>
              <w:rPr>
                <w:sz w:val="16"/>
                <w:szCs w:val="16"/>
              </w:rPr>
            </w:pPr>
            <w:r w:rsidRPr="00873B6C">
              <w:rPr>
                <w:sz w:val="16"/>
                <w:szCs w:val="16"/>
              </w:rPr>
              <w:t>Network slicing subsription change and update of UE configuration</w:t>
            </w:r>
          </w:p>
        </w:tc>
        <w:tc>
          <w:tcPr>
            <w:tcW w:w="708" w:type="dxa"/>
            <w:shd w:val="solid" w:color="FFFFFF" w:fill="auto"/>
          </w:tcPr>
          <w:p w14:paraId="08C2DFCA" w14:textId="77777777" w:rsidR="00D40151" w:rsidRPr="00873B6C" w:rsidRDefault="00D40151" w:rsidP="009D14FB">
            <w:pPr>
              <w:pStyle w:val="TAC"/>
              <w:rPr>
                <w:sz w:val="16"/>
                <w:szCs w:val="16"/>
              </w:rPr>
            </w:pPr>
            <w:r w:rsidRPr="00873B6C">
              <w:rPr>
                <w:sz w:val="16"/>
                <w:szCs w:val="16"/>
              </w:rPr>
              <w:t>15.2.0</w:t>
            </w:r>
          </w:p>
        </w:tc>
      </w:tr>
      <w:tr w:rsidR="00D40151" w:rsidRPr="00873B6C" w14:paraId="21EB335C" w14:textId="77777777" w:rsidTr="009D14FB">
        <w:tc>
          <w:tcPr>
            <w:tcW w:w="800" w:type="dxa"/>
            <w:shd w:val="solid" w:color="FFFFFF" w:fill="auto"/>
          </w:tcPr>
          <w:p w14:paraId="7D51C0A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4593E6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EBAFC8F"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5677D450" w14:textId="77777777" w:rsidR="00D40151" w:rsidRPr="00873B6C" w:rsidRDefault="00D40151" w:rsidP="009D14FB">
            <w:pPr>
              <w:pStyle w:val="TAL"/>
              <w:rPr>
                <w:sz w:val="16"/>
                <w:szCs w:val="16"/>
              </w:rPr>
            </w:pPr>
            <w:r w:rsidRPr="00873B6C">
              <w:rPr>
                <w:sz w:val="16"/>
                <w:szCs w:val="16"/>
              </w:rPr>
              <w:t>0446</w:t>
            </w:r>
          </w:p>
        </w:tc>
        <w:tc>
          <w:tcPr>
            <w:tcW w:w="425" w:type="dxa"/>
            <w:shd w:val="solid" w:color="FFFFFF" w:fill="auto"/>
          </w:tcPr>
          <w:p w14:paraId="4E18DD2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E8DDB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8E5FF7" w14:textId="77777777" w:rsidR="00D40151" w:rsidRPr="00873B6C" w:rsidRDefault="00D40151" w:rsidP="009D14FB">
            <w:pPr>
              <w:pStyle w:val="TAL"/>
              <w:rPr>
                <w:sz w:val="16"/>
                <w:szCs w:val="16"/>
              </w:rPr>
            </w:pPr>
            <w:r w:rsidRPr="00873B6C">
              <w:rPr>
                <w:sz w:val="16"/>
                <w:szCs w:val="16"/>
              </w:rPr>
              <w:t>Clarification note on Network Slice limitation</w:t>
            </w:r>
          </w:p>
        </w:tc>
        <w:tc>
          <w:tcPr>
            <w:tcW w:w="708" w:type="dxa"/>
            <w:shd w:val="solid" w:color="FFFFFF" w:fill="auto"/>
          </w:tcPr>
          <w:p w14:paraId="6B046031" w14:textId="77777777" w:rsidR="00D40151" w:rsidRPr="00873B6C" w:rsidRDefault="00D40151" w:rsidP="009D14FB">
            <w:pPr>
              <w:pStyle w:val="TAC"/>
              <w:rPr>
                <w:sz w:val="16"/>
                <w:szCs w:val="16"/>
              </w:rPr>
            </w:pPr>
            <w:r w:rsidRPr="00873B6C">
              <w:rPr>
                <w:sz w:val="16"/>
                <w:szCs w:val="16"/>
              </w:rPr>
              <w:t>15.2.0</w:t>
            </w:r>
          </w:p>
        </w:tc>
      </w:tr>
      <w:tr w:rsidR="00D40151" w:rsidRPr="00873B6C" w14:paraId="7571F5B0" w14:textId="77777777" w:rsidTr="009D14FB">
        <w:tc>
          <w:tcPr>
            <w:tcW w:w="800" w:type="dxa"/>
            <w:shd w:val="solid" w:color="FFFFFF" w:fill="auto"/>
          </w:tcPr>
          <w:p w14:paraId="571E182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8907D4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A2418F1"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75DD95D6" w14:textId="77777777" w:rsidR="00D40151" w:rsidRPr="00873B6C" w:rsidRDefault="00D40151" w:rsidP="009D14FB">
            <w:pPr>
              <w:pStyle w:val="TAL"/>
              <w:rPr>
                <w:sz w:val="16"/>
                <w:szCs w:val="16"/>
              </w:rPr>
            </w:pPr>
            <w:r w:rsidRPr="00873B6C">
              <w:rPr>
                <w:sz w:val="16"/>
                <w:szCs w:val="16"/>
              </w:rPr>
              <w:t>0447</w:t>
            </w:r>
          </w:p>
        </w:tc>
        <w:tc>
          <w:tcPr>
            <w:tcW w:w="425" w:type="dxa"/>
            <w:shd w:val="solid" w:color="FFFFFF" w:fill="auto"/>
          </w:tcPr>
          <w:p w14:paraId="50CA2D1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73109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4FD348" w14:textId="77777777" w:rsidR="00D40151" w:rsidRPr="00873B6C" w:rsidRDefault="00D40151" w:rsidP="009D14FB">
            <w:pPr>
              <w:pStyle w:val="TAL"/>
              <w:rPr>
                <w:sz w:val="16"/>
                <w:szCs w:val="16"/>
              </w:rPr>
            </w:pPr>
            <w:r w:rsidRPr="00873B6C">
              <w:rPr>
                <w:sz w:val="16"/>
                <w:szCs w:val="16"/>
              </w:rPr>
              <w:t>Adding default value for Averaging Window</w:t>
            </w:r>
          </w:p>
        </w:tc>
        <w:tc>
          <w:tcPr>
            <w:tcW w:w="708" w:type="dxa"/>
            <w:shd w:val="solid" w:color="FFFFFF" w:fill="auto"/>
          </w:tcPr>
          <w:p w14:paraId="24694467" w14:textId="77777777" w:rsidR="00D40151" w:rsidRPr="00873B6C" w:rsidRDefault="00D40151" w:rsidP="009D14FB">
            <w:pPr>
              <w:pStyle w:val="TAC"/>
              <w:rPr>
                <w:sz w:val="16"/>
                <w:szCs w:val="16"/>
              </w:rPr>
            </w:pPr>
            <w:r w:rsidRPr="00873B6C">
              <w:rPr>
                <w:sz w:val="16"/>
                <w:szCs w:val="16"/>
              </w:rPr>
              <w:t>15.2.0</w:t>
            </w:r>
          </w:p>
        </w:tc>
      </w:tr>
      <w:tr w:rsidR="00D40151" w:rsidRPr="00873B6C" w14:paraId="5FD42ECF" w14:textId="77777777" w:rsidTr="009D14FB">
        <w:tc>
          <w:tcPr>
            <w:tcW w:w="800" w:type="dxa"/>
            <w:shd w:val="solid" w:color="FFFFFF" w:fill="auto"/>
          </w:tcPr>
          <w:p w14:paraId="2FEB4BB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0C458C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78FF948"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295B1134" w14:textId="77777777" w:rsidR="00D40151" w:rsidRPr="00873B6C" w:rsidRDefault="00D40151" w:rsidP="009D14FB">
            <w:pPr>
              <w:pStyle w:val="TAL"/>
              <w:rPr>
                <w:sz w:val="16"/>
                <w:szCs w:val="16"/>
              </w:rPr>
            </w:pPr>
            <w:r w:rsidRPr="00873B6C">
              <w:rPr>
                <w:sz w:val="16"/>
                <w:szCs w:val="16"/>
              </w:rPr>
              <w:t>0448</w:t>
            </w:r>
          </w:p>
        </w:tc>
        <w:tc>
          <w:tcPr>
            <w:tcW w:w="425" w:type="dxa"/>
            <w:shd w:val="solid" w:color="FFFFFF" w:fill="auto"/>
          </w:tcPr>
          <w:p w14:paraId="25AFCDC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756B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A85B7F" w14:textId="77777777" w:rsidR="00D40151" w:rsidRPr="00873B6C" w:rsidRDefault="00D40151" w:rsidP="009D14FB">
            <w:pPr>
              <w:pStyle w:val="TAL"/>
              <w:rPr>
                <w:sz w:val="16"/>
                <w:szCs w:val="16"/>
              </w:rPr>
            </w:pPr>
            <w:r w:rsidRPr="00873B6C">
              <w:rPr>
                <w:sz w:val="16"/>
                <w:szCs w:val="16"/>
              </w:rPr>
              <w:t>Mobility restrictions</w:t>
            </w:r>
          </w:p>
        </w:tc>
        <w:tc>
          <w:tcPr>
            <w:tcW w:w="708" w:type="dxa"/>
            <w:shd w:val="solid" w:color="FFFFFF" w:fill="auto"/>
          </w:tcPr>
          <w:p w14:paraId="60CAD181" w14:textId="77777777" w:rsidR="00D40151" w:rsidRPr="00873B6C" w:rsidRDefault="00D40151" w:rsidP="009D14FB">
            <w:pPr>
              <w:pStyle w:val="TAC"/>
              <w:rPr>
                <w:sz w:val="16"/>
                <w:szCs w:val="16"/>
              </w:rPr>
            </w:pPr>
            <w:r w:rsidRPr="00873B6C">
              <w:rPr>
                <w:sz w:val="16"/>
                <w:szCs w:val="16"/>
              </w:rPr>
              <w:t>15.2.0</w:t>
            </w:r>
          </w:p>
        </w:tc>
      </w:tr>
      <w:tr w:rsidR="00D40151" w:rsidRPr="00873B6C" w14:paraId="2BA3D1C7" w14:textId="77777777" w:rsidTr="009D14FB">
        <w:tc>
          <w:tcPr>
            <w:tcW w:w="800" w:type="dxa"/>
            <w:shd w:val="solid" w:color="FFFFFF" w:fill="auto"/>
          </w:tcPr>
          <w:p w14:paraId="6A14991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341AB5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95649D1"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7E5ADFBE" w14:textId="77777777" w:rsidR="00D40151" w:rsidRPr="00873B6C" w:rsidRDefault="00D40151" w:rsidP="009D14FB">
            <w:pPr>
              <w:pStyle w:val="TAL"/>
              <w:rPr>
                <w:sz w:val="16"/>
                <w:szCs w:val="16"/>
              </w:rPr>
            </w:pPr>
            <w:r w:rsidRPr="00873B6C">
              <w:rPr>
                <w:sz w:val="16"/>
                <w:szCs w:val="16"/>
              </w:rPr>
              <w:t>0451</w:t>
            </w:r>
          </w:p>
        </w:tc>
        <w:tc>
          <w:tcPr>
            <w:tcW w:w="425" w:type="dxa"/>
            <w:shd w:val="solid" w:color="FFFFFF" w:fill="auto"/>
          </w:tcPr>
          <w:p w14:paraId="7F466FE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41240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0FF249" w14:textId="77777777" w:rsidR="00D40151" w:rsidRPr="00873B6C" w:rsidRDefault="00D40151" w:rsidP="009D14FB">
            <w:pPr>
              <w:pStyle w:val="TAL"/>
              <w:rPr>
                <w:sz w:val="16"/>
                <w:szCs w:val="16"/>
              </w:rPr>
            </w:pPr>
            <w:r w:rsidRPr="00873B6C">
              <w:rPr>
                <w:sz w:val="16"/>
                <w:szCs w:val="16"/>
              </w:rPr>
              <w:t>Capturing subsequent mobility to and from GERAN/UTRAN</w:t>
            </w:r>
          </w:p>
        </w:tc>
        <w:tc>
          <w:tcPr>
            <w:tcW w:w="708" w:type="dxa"/>
            <w:shd w:val="solid" w:color="FFFFFF" w:fill="auto"/>
          </w:tcPr>
          <w:p w14:paraId="50CEE13D" w14:textId="77777777" w:rsidR="00D40151" w:rsidRPr="00873B6C" w:rsidRDefault="00D40151" w:rsidP="009D14FB">
            <w:pPr>
              <w:pStyle w:val="TAC"/>
              <w:rPr>
                <w:sz w:val="16"/>
                <w:szCs w:val="16"/>
              </w:rPr>
            </w:pPr>
            <w:r w:rsidRPr="00873B6C">
              <w:rPr>
                <w:sz w:val="16"/>
                <w:szCs w:val="16"/>
              </w:rPr>
              <w:t>15.2.0</w:t>
            </w:r>
          </w:p>
        </w:tc>
      </w:tr>
      <w:tr w:rsidR="00D40151" w:rsidRPr="00873B6C" w14:paraId="121B7434" w14:textId="77777777" w:rsidTr="009D14FB">
        <w:tc>
          <w:tcPr>
            <w:tcW w:w="800" w:type="dxa"/>
            <w:shd w:val="solid" w:color="FFFFFF" w:fill="auto"/>
          </w:tcPr>
          <w:p w14:paraId="46B3995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30F1EA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617203E"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603CB9DF" w14:textId="77777777" w:rsidR="00D40151" w:rsidRPr="00873B6C" w:rsidRDefault="00D40151" w:rsidP="009D14FB">
            <w:pPr>
              <w:pStyle w:val="TAL"/>
              <w:rPr>
                <w:sz w:val="16"/>
                <w:szCs w:val="16"/>
              </w:rPr>
            </w:pPr>
            <w:r w:rsidRPr="00873B6C">
              <w:rPr>
                <w:sz w:val="16"/>
                <w:szCs w:val="16"/>
              </w:rPr>
              <w:t>0453</w:t>
            </w:r>
          </w:p>
        </w:tc>
        <w:tc>
          <w:tcPr>
            <w:tcW w:w="425" w:type="dxa"/>
            <w:shd w:val="solid" w:color="FFFFFF" w:fill="auto"/>
          </w:tcPr>
          <w:p w14:paraId="14B3879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6647A3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B0DD08" w14:textId="31BBC9AA" w:rsidR="00D40151" w:rsidRPr="00873B6C" w:rsidRDefault="00D40151" w:rsidP="009D14FB">
            <w:pPr>
              <w:pStyle w:val="TAL"/>
              <w:rPr>
                <w:sz w:val="16"/>
                <w:szCs w:val="16"/>
              </w:rPr>
            </w:pPr>
            <w:r w:rsidRPr="00873B6C">
              <w:rPr>
                <w:sz w:val="16"/>
                <w:szCs w:val="16"/>
              </w:rPr>
              <w:t xml:space="preserve">GFBR is applicable only for GBR </w:t>
            </w:r>
            <w:r w:rsidR="00426DE4" w:rsidRPr="00873B6C">
              <w:rPr>
                <w:sz w:val="16"/>
                <w:szCs w:val="16"/>
              </w:rPr>
              <w:t>QoS Flow</w:t>
            </w:r>
            <w:r w:rsidRPr="00873B6C">
              <w:rPr>
                <w:sz w:val="16"/>
                <w:szCs w:val="16"/>
              </w:rPr>
              <w:t>s</w:t>
            </w:r>
          </w:p>
        </w:tc>
        <w:tc>
          <w:tcPr>
            <w:tcW w:w="708" w:type="dxa"/>
            <w:shd w:val="solid" w:color="FFFFFF" w:fill="auto"/>
          </w:tcPr>
          <w:p w14:paraId="771C41F6" w14:textId="77777777" w:rsidR="00D40151" w:rsidRPr="00873B6C" w:rsidRDefault="00D40151" w:rsidP="009D14FB">
            <w:pPr>
              <w:pStyle w:val="TAC"/>
              <w:rPr>
                <w:sz w:val="16"/>
                <w:szCs w:val="16"/>
              </w:rPr>
            </w:pPr>
            <w:r w:rsidRPr="00873B6C">
              <w:rPr>
                <w:sz w:val="16"/>
                <w:szCs w:val="16"/>
              </w:rPr>
              <w:t>15.2.0</w:t>
            </w:r>
          </w:p>
        </w:tc>
      </w:tr>
      <w:tr w:rsidR="00D40151" w:rsidRPr="00873B6C" w14:paraId="52D7A505" w14:textId="77777777" w:rsidTr="009D14FB">
        <w:tc>
          <w:tcPr>
            <w:tcW w:w="800" w:type="dxa"/>
            <w:shd w:val="solid" w:color="FFFFFF" w:fill="auto"/>
          </w:tcPr>
          <w:p w14:paraId="4245AFD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6782A8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B04E2FF" w14:textId="77777777" w:rsidR="00D40151" w:rsidRPr="00873B6C" w:rsidRDefault="00D40151" w:rsidP="009D14FB">
            <w:pPr>
              <w:pStyle w:val="TAC"/>
              <w:rPr>
                <w:sz w:val="16"/>
                <w:szCs w:val="16"/>
              </w:rPr>
            </w:pPr>
            <w:r w:rsidRPr="00873B6C">
              <w:rPr>
                <w:sz w:val="16"/>
                <w:szCs w:val="16"/>
              </w:rPr>
              <w:t>SP-180556</w:t>
            </w:r>
          </w:p>
        </w:tc>
        <w:tc>
          <w:tcPr>
            <w:tcW w:w="567" w:type="dxa"/>
            <w:shd w:val="solid" w:color="FFFFFF" w:fill="auto"/>
          </w:tcPr>
          <w:p w14:paraId="15853BF0" w14:textId="77777777" w:rsidR="00D40151" w:rsidRPr="00873B6C" w:rsidRDefault="00D40151" w:rsidP="009D14FB">
            <w:pPr>
              <w:pStyle w:val="TAL"/>
              <w:rPr>
                <w:sz w:val="16"/>
                <w:szCs w:val="16"/>
              </w:rPr>
            </w:pPr>
            <w:r w:rsidRPr="00873B6C">
              <w:rPr>
                <w:sz w:val="16"/>
                <w:szCs w:val="16"/>
              </w:rPr>
              <w:t>0454</w:t>
            </w:r>
          </w:p>
        </w:tc>
        <w:tc>
          <w:tcPr>
            <w:tcW w:w="425" w:type="dxa"/>
            <w:shd w:val="solid" w:color="FFFFFF" w:fill="auto"/>
          </w:tcPr>
          <w:p w14:paraId="33591DD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CDB592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F95F3B" w14:textId="77777777" w:rsidR="00D40151" w:rsidRPr="00873B6C" w:rsidRDefault="00D40151" w:rsidP="009D14FB">
            <w:pPr>
              <w:pStyle w:val="TAL"/>
              <w:rPr>
                <w:sz w:val="16"/>
                <w:szCs w:val="16"/>
              </w:rPr>
            </w:pPr>
            <w:r w:rsidRPr="00873B6C">
              <w:rPr>
                <w:sz w:val="16"/>
                <w:szCs w:val="16"/>
              </w:rPr>
              <w:t>NSSAI handling in PDU Session Establishment procedures in roaming</w:t>
            </w:r>
          </w:p>
        </w:tc>
        <w:tc>
          <w:tcPr>
            <w:tcW w:w="708" w:type="dxa"/>
            <w:shd w:val="solid" w:color="FFFFFF" w:fill="auto"/>
          </w:tcPr>
          <w:p w14:paraId="4AC7175A" w14:textId="77777777" w:rsidR="00D40151" w:rsidRPr="00873B6C" w:rsidRDefault="00D40151" w:rsidP="009D14FB">
            <w:pPr>
              <w:pStyle w:val="TAC"/>
              <w:rPr>
                <w:sz w:val="16"/>
                <w:szCs w:val="16"/>
              </w:rPr>
            </w:pPr>
            <w:r w:rsidRPr="00873B6C">
              <w:rPr>
                <w:sz w:val="16"/>
                <w:szCs w:val="16"/>
              </w:rPr>
              <w:t>15.2.0</w:t>
            </w:r>
          </w:p>
        </w:tc>
      </w:tr>
      <w:tr w:rsidR="00D40151" w:rsidRPr="00873B6C" w14:paraId="1719F92E" w14:textId="77777777" w:rsidTr="009D14FB">
        <w:tc>
          <w:tcPr>
            <w:tcW w:w="800" w:type="dxa"/>
            <w:tcBorders>
              <w:bottom w:val="single" w:sz="6" w:space="0" w:color="auto"/>
            </w:tcBorders>
            <w:shd w:val="solid" w:color="FFFFFF" w:fill="auto"/>
          </w:tcPr>
          <w:p w14:paraId="35E29C0A" w14:textId="77777777" w:rsidR="00D40151" w:rsidRPr="00873B6C" w:rsidRDefault="00D40151" w:rsidP="009D14FB">
            <w:pPr>
              <w:pStyle w:val="TAC"/>
              <w:rPr>
                <w:sz w:val="16"/>
                <w:szCs w:val="16"/>
              </w:rPr>
            </w:pPr>
            <w:r w:rsidRPr="00873B6C">
              <w:rPr>
                <w:sz w:val="16"/>
                <w:szCs w:val="16"/>
              </w:rPr>
              <w:t>06-2018</w:t>
            </w:r>
          </w:p>
        </w:tc>
        <w:tc>
          <w:tcPr>
            <w:tcW w:w="800" w:type="dxa"/>
            <w:tcBorders>
              <w:bottom w:val="single" w:sz="6" w:space="0" w:color="auto"/>
            </w:tcBorders>
            <w:shd w:val="solid" w:color="FFFFFF" w:fill="auto"/>
          </w:tcPr>
          <w:p w14:paraId="518902B3" w14:textId="77777777" w:rsidR="00D40151" w:rsidRPr="00873B6C" w:rsidRDefault="00D40151" w:rsidP="009D14FB">
            <w:pPr>
              <w:pStyle w:val="TAC"/>
              <w:rPr>
                <w:sz w:val="16"/>
                <w:szCs w:val="16"/>
              </w:rPr>
            </w:pPr>
            <w:r w:rsidRPr="00873B6C">
              <w:rPr>
                <w:sz w:val="16"/>
                <w:szCs w:val="16"/>
              </w:rPr>
              <w:t>SP#80</w:t>
            </w:r>
          </w:p>
        </w:tc>
        <w:tc>
          <w:tcPr>
            <w:tcW w:w="1094" w:type="dxa"/>
            <w:tcBorders>
              <w:bottom w:val="single" w:sz="6" w:space="0" w:color="auto"/>
            </w:tcBorders>
            <w:shd w:val="solid" w:color="FFFFFF" w:fill="auto"/>
          </w:tcPr>
          <w:p w14:paraId="1039696B" w14:textId="77777777" w:rsidR="00D40151" w:rsidRPr="00873B6C" w:rsidRDefault="00D40151" w:rsidP="009D14FB">
            <w:pPr>
              <w:pStyle w:val="TAC"/>
              <w:rPr>
                <w:sz w:val="16"/>
                <w:szCs w:val="16"/>
              </w:rPr>
            </w:pPr>
            <w:r w:rsidRPr="00873B6C">
              <w:rPr>
                <w:sz w:val="16"/>
                <w:szCs w:val="16"/>
              </w:rPr>
              <w:t>SP-180483</w:t>
            </w:r>
          </w:p>
        </w:tc>
        <w:tc>
          <w:tcPr>
            <w:tcW w:w="567" w:type="dxa"/>
            <w:tcBorders>
              <w:bottom w:val="single" w:sz="6" w:space="0" w:color="auto"/>
            </w:tcBorders>
            <w:shd w:val="solid" w:color="FFFFFF" w:fill="auto"/>
          </w:tcPr>
          <w:p w14:paraId="058DDFED" w14:textId="77777777" w:rsidR="00D40151" w:rsidRPr="00873B6C" w:rsidRDefault="00D40151" w:rsidP="009D14FB">
            <w:pPr>
              <w:pStyle w:val="TAL"/>
              <w:rPr>
                <w:sz w:val="16"/>
                <w:szCs w:val="16"/>
              </w:rPr>
            </w:pPr>
            <w:r w:rsidRPr="00873B6C">
              <w:rPr>
                <w:sz w:val="16"/>
                <w:szCs w:val="16"/>
              </w:rPr>
              <w:t>0456</w:t>
            </w:r>
          </w:p>
        </w:tc>
        <w:tc>
          <w:tcPr>
            <w:tcW w:w="425" w:type="dxa"/>
            <w:tcBorders>
              <w:bottom w:val="single" w:sz="6" w:space="0" w:color="auto"/>
            </w:tcBorders>
            <w:shd w:val="solid" w:color="FFFFFF" w:fill="auto"/>
          </w:tcPr>
          <w:p w14:paraId="2ED44776" w14:textId="77777777" w:rsidR="00D40151" w:rsidRPr="00873B6C" w:rsidRDefault="00D40151" w:rsidP="009D14FB">
            <w:pPr>
              <w:pStyle w:val="TAL"/>
              <w:rPr>
                <w:sz w:val="16"/>
                <w:szCs w:val="16"/>
              </w:rPr>
            </w:pPr>
            <w:r w:rsidRPr="00873B6C">
              <w:rPr>
                <w:sz w:val="16"/>
                <w:szCs w:val="16"/>
              </w:rPr>
              <w:t>1</w:t>
            </w:r>
          </w:p>
        </w:tc>
        <w:tc>
          <w:tcPr>
            <w:tcW w:w="425" w:type="dxa"/>
            <w:tcBorders>
              <w:bottom w:val="single" w:sz="6" w:space="0" w:color="auto"/>
            </w:tcBorders>
            <w:shd w:val="solid" w:color="FFFFFF" w:fill="auto"/>
          </w:tcPr>
          <w:p w14:paraId="20C654D5"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6" w:space="0" w:color="auto"/>
            </w:tcBorders>
            <w:shd w:val="solid" w:color="FFFFFF" w:fill="auto"/>
          </w:tcPr>
          <w:p w14:paraId="73B1367C" w14:textId="77777777" w:rsidR="00D40151" w:rsidRPr="00873B6C" w:rsidRDefault="00D40151" w:rsidP="009D14FB">
            <w:pPr>
              <w:pStyle w:val="TAL"/>
              <w:rPr>
                <w:sz w:val="16"/>
                <w:szCs w:val="16"/>
              </w:rPr>
            </w:pPr>
            <w:r w:rsidRPr="00873B6C">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873B6C" w:rsidRDefault="00D40151" w:rsidP="009D14FB">
            <w:pPr>
              <w:pStyle w:val="TAC"/>
              <w:rPr>
                <w:sz w:val="16"/>
                <w:szCs w:val="16"/>
              </w:rPr>
            </w:pPr>
            <w:r w:rsidRPr="00873B6C">
              <w:rPr>
                <w:sz w:val="16"/>
                <w:szCs w:val="16"/>
              </w:rPr>
              <w:t>15.2.0</w:t>
            </w:r>
          </w:p>
        </w:tc>
      </w:tr>
      <w:tr w:rsidR="00D40151" w:rsidRPr="00873B6C" w14:paraId="354F0FA6" w14:textId="77777777" w:rsidTr="009D14FB">
        <w:tc>
          <w:tcPr>
            <w:tcW w:w="800" w:type="dxa"/>
            <w:tcBorders>
              <w:bottom w:val="single" w:sz="8" w:space="0" w:color="auto"/>
            </w:tcBorders>
            <w:shd w:val="solid" w:color="FFFFFF" w:fill="auto"/>
          </w:tcPr>
          <w:p w14:paraId="5A791713" w14:textId="77777777" w:rsidR="00D40151" w:rsidRPr="00873B6C" w:rsidRDefault="00D40151" w:rsidP="009D14FB">
            <w:pPr>
              <w:pStyle w:val="TAC"/>
              <w:rPr>
                <w:sz w:val="16"/>
                <w:szCs w:val="16"/>
              </w:rPr>
            </w:pPr>
            <w:r w:rsidRPr="00873B6C">
              <w:rPr>
                <w:sz w:val="16"/>
                <w:szCs w:val="16"/>
              </w:rPr>
              <w:t>06-2018</w:t>
            </w:r>
          </w:p>
        </w:tc>
        <w:tc>
          <w:tcPr>
            <w:tcW w:w="800" w:type="dxa"/>
            <w:tcBorders>
              <w:bottom w:val="single" w:sz="8" w:space="0" w:color="auto"/>
            </w:tcBorders>
            <w:shd w:val="solid" w:color="FFFFFF" w:fill="auto"/>
          </w:tcPr>
          <w:p w14:paraId="72772B09" w14:textId="77777777" w:rsidR="00D40151" w:rsidRPr="00873B6C" w:rsidRDefault="00D40151" w:rsidP="009D14FB">
            <w:pPr>
              <w:pStyle w:val="TAC"/>
              <w:rPr>
                <w:sz w:val="16"/>
                <w:szCs w:val="16"/>
              </w:rPr>
            </w:pPr>
            <w:r w:rsidRPr="00873B6C">
              <w:rPr>
                <w:sz w:val="16"/>
                <w:szCs w:val="16"/>
              </w:rPr>
              <w:t>SP#80</w:t>
            </w:r>
          </w:p>
        </w:tc>
        <w:tc>
          <w:tcPr>
            <w:tcW w:w="1094" w:type="dxa"/>
            <w:tcBorders>
              <w:bottom w:val="single" w:sz="8" w:space="0" w:color="auto"/>
            </w:tcBorders>
            <w:shd w:val="solid" w:color="FFFFFF" w:fill="auto"/>
          </w:tcPr>
          <w:p w14:paraId="60BAF121" w14:textId="77777777" w:rsidR="00D40151" w:rsidRPr="00873B6C" w:rsidRDefault="00D40151" w:rsidP="009D14FB">
            <w:pPr>
              <w:pStyle w:val="TAC"/>
              <w:rPr>
                <w:sz w:val="16"/>
                <w:szCs w:val="16"/>
              </w:rPr>
            </w:pPr>
            <w:r w:rsidRPr="00873B6C">
              <w:rPr>
                <w:sz w:val="16"/>
                <w:szCs w:val="16"/>
              </w:rPr>
              <w:t>SP-180487</w:t>
            </w:r>
          </w:p>
        </w:tc>
        <w:tc>
          <w:tcPr>
            <w:tcW w:w="567" w:type="dxa"/>
            <w:tcBorders>
              <w:bottom w:val="single" w:sz="8" w:space="0" w:color="auto"/>
            </w:tcBorders>
            <w:shd w:val="solid" w:color="FFFFFF" w:fill="auto"/>
          </w:tcPr>
          <w:p w14:paraId="7EC15860" w14:textId="77777777" w:rsidR="00D40151" w:rsidRPr="00873B6C" w:rsidRDefault="00D40151" w:rsidP="009D14FB">
            <w:pPr>
              <w:pStyle w:val="TAL"/>
              <w:rPr>
                <w:sz w:val="16"/>
                <w:szCs w:val="16"/>
              </w:rPr>
            </w:pPr>
            <w:r w:rsidRPr="00873B6C">
              <w:rPr>
                <w:sz w:val="16"/>
                <w:szCs w:val="16"/>
              </w:rPr>
              <w:t>0459</w:t>
            </w:r>
          </w:p>
        </w:tc>
        <w:tc>
          <w:tcPr>
            <w:tcW w:w="425" w:type="dxa"/>
            <w:tcBorders>
              <w:bottom w:val="single" w:sz="8" w:space="0" w:color="auto"/>
            </w:tcBorders>
            <w:shd w:val="solid" w:color="FFFFFF" w:fill="auto"/>
          </w:tcPr>
          <w:p w14:paraId="5A684F76" w14:textId="77777777" w:rsidR="00D40151" w:rsidRPr="00873B6C" w:rsidRDefault="00D40151" w:rsidP="009D14FB">
            <w:pPr>
              <w:pStyle w:val="TAL"/>
              <w:rPr>
                <w:sz w:val="16"/>
                <w:szCs w:val="16"/>
              </w:rPr>
            </w:pPr>
            <w:r w:rsidRPr="00873B6C">
              <w:rPr>
                <w:sz w:val="16"/>
                <w:szCs w:val="16"/>
              </w:rPr>
              <w:t>1</w:t>
            </w:r>
          </w:p>
        </w:tc>
        <w:tc>
          <w:tcPr>
            <w:tcW w:w="425" w:type="dxa"/>
            <w:tcBorders>
              <w:bottom w:val="single" w:sz="8" w:space="0" w:color="auto"/>
            </w:tcBorders>
            <w:shd w:val="solid" w:color="FFFFFF" w:fill="auto"/>
          </w:tcPr>
          <w:p w14:paraId="6EBD53FB"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8" w:space="0" w:color="auto"/>
            </w:tcBorders>
            <w:shd w:val="solid" w:color="FFFFFF" w:fill="auto"/>
          </w:tcPr>
          <w:p w14:paraId="704BB686" w14:textId="77777777" w:rsidR="00D40151" w:rsidRPr="00873B6C" w:rsidRDefault="00D40151" w:rsidP="009D14FB">
            <w:pPr>
              <w:pStyle w:val="TAL"/>
              <w:rPr>
                <w:sz w:val="16"/>
                <w:szCs w:val="16"/>
              </w:rPr>
            </w:pPr>
            <w:r w:rsidRPr="00873B6C">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873B6C" w:rsidRDefault="00D40151" w:rsidP="009D14FB">
            <w:pPr>
              <w:pStyle w:val="TAC"/>
              <w:rPr>
                <w:sz w:val="16"/>
                <w:szCs w:val="16"/>
              </w:rPr>
            </w:pPr>
            <w:r w:rsidRPr="00873B6C">
              <w:rPr>
                <w:sz w:val="16"/>
                <w:szCs w:val="16"/>
              </w:rPr>
              <w:t>15.2.0</w:t>
            </w:r>
          </w:p>
        </w:tc>
      </w:tr>
      <w:tr w:rsidR="00D40151" w:rsidRPr="00873B6C" w14:paraId="60FC4357" w14:textId="77777777" w:rsidTr="009D14FB">
        <w:tc>
          <w:tcPr>
            <w:tcW w:w="800" w:type="dxa"/>
            <w:tcBorders>
              <w:top w:val="single" w:sz="8" w:space="0" w:color="auto"/>
            </w:tcBorders>
            <w:shd w:val="solid" w:color="FFFFFF" w:fill="auto"/>
          </w:tcPr>
          <w:p w14:paraId="351827AD" w14:textId="77777777" w:rsidR="00D40151" w:rsidRPr="00873B6C" w:rsidRDefault="00D40151" w:rsidP="009D14FB">
            <w:pPr>
              <w:pStyle w:val="TAC"/>
              <w:rPr>
                <w:sz w:val="16"/>
                <w:szCs w:val="16"/>
              </w:rPr>
            </w:pPr>
            <w:r w:rsidRPr="00873B6C">
              <w:rPr>
                <w:sz w:val="16"/>
                <w:szCs w:val="16"/>
              </w:rPr>
              <w:t>09-2018</w:t>
            </w:r>
          </w:p>
        </w:tc>
        <w:tc>
          <w:tcPr>
            <w:tcW w:w="800" w:type="dxa"/>
            <w:tcBorders>
              <w:top w:val="single" w:sz="8" w:space="0" w:color="auto"/>
            </w:tcBorders>
            <w:shd w:val="solid" w:color="FFFFFF" w:fill="auto"/>
          </w:tcPr>
          <w:p w14:paraId="7AB6DF8D" w14:textId="77777777" w:rsidR="00D40151" w:rsidRPr="00873B6C" w:rsidRDefault="00D40151" w:rsidP="009D14FB">
            <w:pPr>
              <w:pStyle w:val="TAC"/>
              <w:rPr>
                <w:sz w:val="16"/>
                <w:szCs w:val="16"/>
              </w:rPr>
            </w:pPr>
            <w:r w:rsidRPr="00873B6C">
              <w:rPr>
                <w:sz w:val="16"/>
                <w:szCs w:val="16"/>
              </w:rPr>
              <w:t>SP#81</w:t>
            </w:r>
          </w:p>
        </w:tc>
        <w:tc>
          <w:tcPr>
            <w:tcW w:w="1094" w:type="dxa"/>
            <w:tcBorders>
              <w:top w:val="single" w:sz="8" w:space="0" w:color="auto"/>
            </w:tcBorders>
            <w:shd w:val="solid" w:color="FFFFFF" w:fill="auto"/>
          </w:tcPr>
          <w:p w14:paraId="54AB1DE8" w14:textId="77777777" w:rsidR="00D40151" w:rsidRPr="00873B6C" w:rsidRDefault="00D40151" w:rsidP="009D14FB">
            <w:pPr>
              <w:pStyle w:val="TAC"/>
              <w:rPr>
                <w:sz w:val="16"/>
                <w:szCs w:val="16"/>
              </w:rPr>
            </w:pPr>
            <w:r w:rsidRPr="00873B6C">
              <w:rPr>
                <w:sz w:val="16"/>
                <w:szCs w:val="16"/>
              </w:rPr>
              <w:t>SP-180713</w:t>
            </w:r>
          </w:p>
        </w:tc>
        <w:tc>
          <w:tcPr>
            <w:tcW w:w="567" w:type="dxa"/>
            <w:tcBorders>
              <w:top w:val="single" w:sz="8" w:space="0" w:color="auto"/>
            </w:tcBorders>
            <w:shd w:val="solid" w:color="FFFFFF" w:fill="auto"/>
          </w:tcPr>
          <w:p w14:paraId="43A72685" w14:textId="77777777" w:rsidR="00D40151" w:rsidRPr="00873B6C" w:rsidRDefault="00D40151" w:rsidP="009D14FB">
            <w:pPr>
              <w:pStyle w:val="TAL"/>
              <w:rPr>
                <w:sz w:val="16"/>
                <w:szCs w:val="16"/>
              </w:rPr>
            </w:pPr>
            <w:r w:rsidRPr="00873B6C">
              <w:rPr>
                <w:sz w:val="16"/>
                <w:szCs w:val="16"/>
              </w:rPr>
              <w:t>0455</w:t>
            </w:r>
          </w:p>
        </w:tc>
        <w:tc>
          <w:tcPr>
            <w:tcW w:w="425" w:type="dxa"/>
            <w:tcBorders>
              <w:top w:val="single" w:sz="8" w:space="0" w:color="auto"/>
            </w:tcBorders>
            <w:shd w:val="solid" w:color="FFFFFF" w:fill="auto"/>
          </w:tcPr>
          <w:p w14:paraId="7E7DA2F7" w14:textId="77777777" w:rsidR="00D40151" w:rsidRPr="00873B6C" w:rsidRDefault="00D40151" w:rsidP="009D14FB">
            <w:pPr>
              <w:pStyle w:val="TAL"/>
              <w:rPr>
                <w:sz w:val="16"/>
                <w:szCs w:val="16"/>
              </w:rPr>
            </w:pPr>
            <w:r w:rsidRPr="00873B6C">
              <w:rPr>
                <w:sz w:val="16"/>
                <w:szCs w:val="16"/>
              </w:rPr>
              <w:t>3</w:t>
            </w:r>
          </w:p>
        </w:tc>
        <w:tc>
          <w:tcPr>
            <w:tcW w:w="425" w:type="dxa"/>
            <w:tcBorders>
              <w:top w:val="single" w:sz="8" w:space="0" w:color="auto"/>
            </w:tcBorders>
            <w:shd w:val="solid" w:color="FFFFFF" w:fill="auto"/>
          </w:tcPr>
          <w:p w14:paraId="34E1D817" w14:textId="77777777" w:rsidR="00D40151" w:rsidRPr="00873B6C" w:rsidRDefault="00D40151" w:rsidP="009D14FB">
            <w:pPr>
              <w:pStyle w:val="TAL"/>
              <w:rPr>
                <w:sz w:val="16"/>
                <w:szCs w:val="16"/>
              </w:rPr>
            </w:pPr>
            <w:r w:rsidRPr="00873B6C">
              <w:rPr>
                <w:sz w:val="16"/>
                <w:szCs w:val="16"/>
              </w:rPr>
              <w:t>F</w:t>
            </w:r>
          </w:p>
        </w:tc>
        <w:tc>
          <w:tcPr>
            <w:tcW w:w="4820" w:type="dxa"/>
            <w:tcBorders>
              <w:top w:val="single" w:sz="8" w:space="0" w:color="auto"/>
            </w:tcBorders>
            <w:shd w:val="solid" w:color="FFFFFF" w:fill="auto"/>
          </w:tcPr>
          <w:p w14:paraId="572BB5A8" w14:textId="77777777" w:rsidR="00D40151" w:rsidRPr="00873B6C" w:rsidRDefault="00D40151" w:rsidP="009D14FB">
            <w:pPr>
              <w:pStyle w:val="TAL"/>
              <w:rPr>
                <w:sz w:val="16"/>
                <w:szCs w:val="16"/>
              </w:rPr>
            </w:pPr>
            <w:r w:rsidRPr="00873B6C">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873B6C" w:rsidRDefault="00D40151" w:rsidP="009D14FB">
            <w:pPr>
              <w:pStyle w:val="TAC"/>
              <w:rPr>
                <w:sz w:val="16"/>
                <w:szCs w:val="16"/>
              </w:rPr>
            </w:pPr>
            <w:r w:rsidRPr="00873B6C">
              <w:rPr>
                <w:sz w:val="16"/>
                <w:szCs w:val="16"/>
              </w:rPr>
              <w:t>15.3.0</w:t>
            </w:r>
          </w:p>
        </w:tc>
      </w:tr>
      <w:tr w:rsidR="00D40151" w:rsidRPr="00873B6C" w14:paraId="12F6A508" w14:textId="77777777" w:rsidTr="009D14FB">
        <w:tc>
          <w:tcPr>
            <w:tcW w:w="800" w:type="dxa"/>
            <w:shd w:val="solid" w:color="FFFFFF" w:fill="auto"/>
          </w:tcPr>
          <w:p w14:paraId="48B0593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05C63E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3729B71"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3EC2332A" w14:textId="77777777" w:rsidR="00D40151" w:rsidRPr="00873B6C" w:rsidRDefault="00D40151" w:rsidP="009D14FB">
            <w:pPr>
              <w:pStyle w:val="TAL"/>
              <w:rPr>
                <w:sz w:val="16"/>
                <w:szCs w:val="16"/>
              </w:rPr>
            </w:pPr>
            <w:r w:rsidRPr="00873B6C">
              <w:rPr>
                <w:sz w:val="16"/>
                <w:szCs w:val="16"/>
              </w:rPr>
              <w:t>0460</w:t>
            </w:r>
          </w:p>
        </w:tc>
        <w:tc>
          <w:tcPr>
            <w:tcW w:w="425" w:type="dxa"/>
            <w:shd w:val="solid" w:color="FFFFFF" w:fill="auto"/>
          </w:tcPr>
          <w:p w14:paraId="3B31A86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B17331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0FDCDC" w14:textId="77777777" w:rsidR="00D40151" w:rsidRPr="00873B6C" w:rsidRDefault="00D40151" w:rsidP="009D14FB">
            <w:pPr>
              <w:pStyle w:val="TAL"/>
              <w:rPr>
                <w:sz w:val="16"/>
                <w:szCs w:val="16"/>
              </w:rPr>
            </w:pPr>
            <w:r w:rsidRPr="00873B6C">
              <w:rPr>
                <w:sz w:val="16"/>
                <w:szCs w:val="16"/>
              </w:rPr>
              <w:t>Missing TADs behaviour</w:t>
            </w:r>
          </w:p>
        </w:tc>
        <w:tc>
          <w:tcPr>
            <w:tcW w:w="708" w:type="dxa"/>
            <w:shd w:val="solid" w:color="FFFFFF" w:fill="auto"/>
          </w:tcPr>
          <w:p w14:paraId="2F98C627" w14:textId="77777777" w:rsidR="00D40151" w:rsidRPr="00873B6C" w:rsidRDefault="00D40151" w:rsidP="009D14FB">
            <w:pPr>
              <w:pStyle w:val="TAC"/>
              <w:rPr>
                <w:sz w:val="16"/>
                <w:szCs w:val="16"/>
              </w:rPr>
            </w:pPr>
            <w:r w:rsidRPr="00873B6C">
              <w:rPr>
                <w:sz w:val="16"/>
                <w:szCs w:val="16"/>
              </w:rPr>
              <w:t>15.3.0</w:t>
            </w:r>
          </w:p>
        </w:tc>
      </w:tr>
      <w:tr w:rsidR="00D40151" w:rsidRPr="00873B6C" w14:paraId="15A829A8" w14:textId="77777777" w:rsidTr="009D14FB">
        <w:tc>
          <w:tcPr>
            <w:tcW w:w="800" w:type="dxa"/>
            <w:shd w:val="solid" w:color="FFFFFF" w:fill="auto"/>
          </w:tcPr>
          <w:p w14:paraId="1B25D5B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5855F1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89EE93A"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3661C0E" w14:textId="77777777" w:rsidR="00D40151" w:rsidRPr="00873B6C" w:rsidRDefault="00D40151" w:rsidP="009D14FB">
            <w:pPr>
              <w:pStyle w:val="TAL"/>
              <w:rPr>
                <w:sz w:val="16"/>
                <w:szCs w:val="16"/>
              </w:rPr>
            </w:pPr>
            <w:r w:rsidRPr="00873B6C">
              <w:rPr>
                <w:sz w:val="16"/>
                <w:szCs w:val="16"/>
              </w:rPr>
              <w:t>0463</w:t>
            </w:r>
          </w:p>
        </w:tc>
        <w:tc>
          <w:tcPr>
            <w:tcW w:w="425" w:type="dxa"/>
            <w:shd w:val="solid" w:color="FFFFFF" w:fill="auto"/>
          </w:tcPr>
          <w:p w14:paraId="3F4F119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76292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A62D6A" w14:textId="77777777" w:rsidR="00D40151" w:rsidRPr="00873B6C" w:rsidRDefault="00D40151" w:rsidP="009D14FB">
            <w:pPr>
              <w:pStyle w:val="TAL"/>
              <w:rPr>
                <w:sz w:val="16"/>
                <w:szCs w:val="16"/>
              </w:rPr>
            </w:pPr>
            <w:r w:rsidRPr="00873B6C">
              <w:rPr>
                <w:sz w:val="16"/>
                <w:szCs w:val="16"/>
              </w:rPr>
              <w:t>Correcting handling of RAT restriction and Forbidden Areas</w:t>
            </w:r>
          </w:p>
        </w:tc>
        <w:tc>
          <w:tcPr>
            <w:tcW w:w="708" w:type="dxa"/>
            <w:shd w:val="solid" w:color="FFFFFF" w:fill="auto"/>
          </w:tcPr>
          <w:p w14:paraId="31293A23" w14:textId="77777777" w:rsidR="00D40151" w:rsidRPr="00873B6C" w:rsidRDefault="00D40151" w:rsidP="009D14FB">
            <w:pPr>
              <w:pStyle w:val="TAC"/>
              <w:rPr>
                <w:sz w:val="16"/>
                <w:szCs w:val="16"/>
              </w:rPr>
            </w:pPr>
            <w:r w:rsidRPr="00873B6C">
              <w:rPr>
                <w:sz w:val="16"/>
                <w:szCs w:val="16"/>
              </w:rPr>
              <w:t>15.3.0</w:t>
            </w:r>
          </w:p>
        </w:tc>
      </w:tr>
      <w:tr w:rsidR="00D40151" w:rsidRPr="00873B6C" w14:paraId="20704A1E" w14:textId="77777777" w:rsidTr="009D14FB">
        <w:tc>
          <w:tcPr>
            <w:tcW w:w="800" w:type="dxa"/>
            <w:shd w:val="solid" w:color="FFFFFF" w:fill="auto"/>
          </w:tcPr>
          <w:p w14:paraId="6F52DCC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8EDD5AD"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72B3E04"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0F6F613" w14:textId="77777777" w:rsidR="00D40151" w:rsidRPr="00873B6C" w:rsidRDefault="00D40151" w:rsidP="009D14FB">
            <w:pPr>
              <w:pStyle w:val="TAL"/>
              <w:rPr>
                <w:sz w:val="16"/>
                <w:szCs w:val="16"/>
              </w:rPr>
            </w:pPr>
            <w:r w:rsidRPr="00873B6C">
              <w:rPr>
                <w:sz w:val="16"/>
                <w:szCs w:val="16"/>
              </w:rPr>
              <w:t>0464</w:t>
            </w:r>
          </w:p>
        </w:tc>
        <w:tc>
          <w:tcPr>
            <w:tcW w:w="425" w:type="dxa"/>
            <w:shd w:val="solid" w:color="FFFFFF" w:fill="auto"/>
          </w:tcPr>
          <w:p w14:paraId="6D4AE97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DEBDE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C23980" w14:textId="77777777" w:rsidR="00D40151" w:rsidRPr="00873B6C" w:rsidRDefault="00D40151" w:rsidP="009D14FB">
            <w:pPr>
              <w:pStyle w:val="TAL"/>
              <w:rPr>
                <w:sz w:val="16"/>
                <w:szCs w:val="16"/>
              </w:rPr>
            </w:pPr>
            <w:r w:rsidRPr="00873B6C">
              <w:rPr>
                <w:sz w:val="16"/>
                <w:szCs w:val="16"/>
              </w:rPr>
              <w:t>Clarification on LADN</w:t>
            </w:r>
          </w:p>
        </w:tc>
        <w:tc>
          <w:tcPr>
            <w:tcW w:w="708" w:type="dxa"/>
            <w:shd w:val="solid" w:color="FFFFFF" w:fill="auto"/>
          </w:tcPr>
          <w:p w14:paraId="122494E2" w14:textId="77777777" w:rsidR="00D40151" w:rsidRPr="00873B6C" w:rsidRDefault="00D40151" w:rsidP="009D14FB">
            <w:pPr>
              <w:pStyle w:val="TAC"/>
              <w:rPr>
                <w:sz w:val="16"/>
                <w:szCs w:val="16"/>
              </w:rPr>
            </w:pPr>
            <w:r w:rsidRPr="00873B6C">
              <w:rPr>
                <w:sz w:val="16"/>
                <w:szCs w:val="16"/>
              </w:rPr>
              <w:t>15.3.0</w:t>
            </w:r>
          </w:p>
        </w:tc>
      </w:tr>
      <w:tr w:rsidR="00D40151" w:rsidRPr="00873B6C" w14:paraId="19C9A914" w14:textId="77777777" w:rsidTr="009D14FB">
        <w:tc>
          <w:tcPr>
            <w:tcW w:w="800" w:type="dxa"/>
            <w:shd w:val="solid" w:color="FFFFFF" w:fill="auto"/>
          </w:tcPr>
          <w:p w14:paraId="0ED8143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28CB8C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B9A9878"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34D80112" w14:textId="77777777" w:rsidR="00D40151" w:rsidRPr="00873B6C" w:rsidRDefault="00D40151" w:rsidP="009D14FB">
            <w:pPr>
              <w:pStyle w:val="TAL"/>
              <w:rPr>
                <w:sz w:val="16"/>
                <w:szCs w:val="16"/>
              </w:rPr>
            </w:pPr>
            <w:r w:rsidRPr="00873B6C">
              <w:rPr>
                <w:sz w:val="16"/>
                <w:szCs w:val="16"/>
              </w:rPr>
              <w:t>0465</w:t>
            </w:r>
          </w:p>
        </w:tc>
        <w:tc>
          <w:tcPr>
            <w:tcW w:w="425" w:type="dxa"/>
            <w:shd w:val="solid" w:color="FFFFFF" w:fill="auto"/>
          </w:tcPr>
          <w:p w14:paraId="5DADE25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2D0CC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318550" w14:textId="77777777" w:rsidR="00D40151" w:rsidRPr="00873B6C" w:rsidRDefault="00D40151" w:rsidP="009D14FB">
            <w:pPr>
              <w:pStyle w:val="TAL"/>
              <w:rPr>
                <w:sz w:val="16"/>
                <w:szCs w:val="16"/>
              </w:rPr>
            </w:pPr>
            <w:r w:rsidRPr="00873B6C">
              <w:rPr>
                <w:sz w:val="16"/>
                <w:szCs w:val="16"/>
              </w:rPr>
              <w:t>Clarification on a wildcard DNN</w:t>
            </w:r>
          </w:p>
        </w:tc>
        <w:tc>
          <w:tcPr>
            <w:tcW w:w="708" w:type="dxa"/>
            <w:shd w:val="solid" w:color="FFFFFF" w:fill="auto"/>
          </w:tcPr>
          <w:p w14:paraId="39D41F83" w14:textId="77777777" w:rsidR="00D40151" w:rsidRPr="00873B6C" w:rsidRDefault="00D40151" w:rsidP="009D14FB">
            <w:pPr>
              <w:pStyle w:val="TAC"/>
              <w:rPr>
                <w:sz w:val="16"/>
                <w:szCs w:val="16"/>
              </w:rPr>
            </w:pPr>
            <w:r w:rsidRPr="00873B6C">
              <w:rPr>
                <w:sz w:val="16"/>
                <w:szCs w:val="16"/>
              </w:rPr>
              <w:t>15.3.0</w:t>
            </w:r>
          </w:p>
        </w:tc>
      </w:tr>
      <w:tr w:rsidR="00D40151" w:rsidRPr="00873B6C" w14:paraId="6A9F3FCD" w14:textId="77777777" w:rsidTr="009D14FB">
        <w:tc>
          <w:tcPr>
            <w:tcW w:w="800" w:type="dxa"/>
            <w:shd w:val="solid" w:color="FFFFFF" w:fill="auto"/>
          </w:tcPr>
          <w:p w14:paraId="6868187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C80646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49899F5"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D57446A" w14:textId="77777777" w:rsidR="00D40151" w:rsidRPr="00873B6C" w:rsidRDefault="00D40151" w:rsidP="009D14FB">
            <w:pPr>
              <w:pStyle w:val="TAL"/>
              <w:rPr>
                <w:sz w:val="16"/>
                <w:szCs w:val="16"/>
              </w:rPr>
            </w:pPr>
            <w:r w:rsidRPr="00873B6C">
              <w:rPr>
                <w:sz w:val="16"/>
                <w:szCs w:val="16"/>
              </w:rPr>
              <w:t>0466</w:t>
            </w:r>
          </w:p>
        </w:tc>
        <w:tc>
          <w:tcPr>
            <w:tcW w:w="425" w:type="dxa"/>
            <w:shd w:val="solid" w:color="FFFFFF" w:fill="auto"/>
          </w:tcPr>
          <w:p w14:paraId="27E86C6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A927ED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1198B8D" w14:textId="77777777" w:rsidR="00D40151" w:rsidRPr="00873B6C" w:rsidRDefault="00D40151" w:rsidP="009D14FB">
            <w:pPr>
              <w:pStyle w:val="TAL"/>
              <w:rPr>
                <w:sz w:val="16"/>
                <w:szCs w:val="16"/>
              </w:rPr>
            </w:pPr>
            <w:r w:rsidRPr="00873B6C">
              <w:rPr>
                <w:sz w:val="16"/>
                <w:szCs w:val="16"/>
              </w:rPr>
              <w:t>Correcting use of identifiers during registration in equivalent PLMNs</w:t>
            </w:r>
          </w:p>
        </w:tc>
        <w:tc>
          <w:tcPr>
            <w:tcW w:w="708" w:type="dxa"/>
            <w:shd w:val="solid" w:color="FFFFFF" w:fill="auto"/>
          </w:tcPr>
          <w:p w14:paraId="4C0B5A97" w14:textId="77777777" w:rsidR="00D40151" w:rsidRPr="00873B6C" w:rsidRDefault="00D40151" w:rsidP="009D14FB">
            <w:pPr>
              <w:pStyle w:val="TAC"/>
              <w:rPr>
                <w:sz w:val="16"/>
                <w:szCs w:val="16"/>
              </w:rPr>
            </w:pPr>
            <w:r w:rsidRPr="00873B6C">
              <w:rPr>
                <w:sz w:val="16"/>
                <w:szCs w:val="16"/>
              </w:rPr>
              <w:t>15.3.0</w:t>
            </w:r>
          </w:p>
        </w:tc>
      </w:tr>
      <w:tr w:rsidR="00D40151" w:rsidRPr="00873B6C" w14:paraId="16119C0B" w14:textId="77777777" w:rsidTr="009D14FB">
        <w:tc>
          <w:tcPr>
            <w:tcW w:w="800" w:type="dxa"/>
            <w:shd w:val="solid" w:color="FFFFFF" w:fill="auto"/>
          </w:tcPr>
          <w:p w14:paraId="7A5F84D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D7754F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6035821"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6958C001" w14:textId="77777777" w:rsidR="00D40151" w:rsidRPr="00873B6C" w:rsidRDefault="00D40151" w:rsidP="009D14FB">
            <w:pPr>
              <w:pStyle w:val="TAL"/>
              <w:rPr>
                <w:sz w:val="16"/>
                <w:szCs w:val="16"/>
              </w:rPr>
            </w:pPr>
            <w:r w:rsidRPr="00873B6C">
              <w:rPr>
                <w:sz w:val="16"/>
                <w:szCs w:val="16"/>
              </w:rPr>
              <w:t>0470</w:t>
            </w:r>
          </w:p>
        </w:tc>
        <w:tc>
          <w:tcPr>
            <w:tcW w:w="425" w:type="dxa"/>
            <w:shd w:val="solid" w:color="FFFFFF" w:fill="auto"/>
          </w:tcPr>
          <w:p w14:paraId="0CCAD44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3EB9E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6EB466" w14:textId="77777777" w:rsidR="00D40151" w:rsidRPr="00873B6C" w:rsidRDefault="00D40151" w:rsidP="009D14FB">
            <w:pPr>
              <w:pStyle w:val="TAL"/>
              <w:rPr>
                <w:sz w:val="16"/>
                <w:szCs w:val="16"/>
              </w:rPr>
            </w:pPr>
            <w:r w:rsidRPr="00873B6C">
              <w:rPr>
                <w:sz w:val="16"/>
                <w:szCs w:val="16"/>
              </w:rPr>
              <w:t>Clarification on UE context exchanged on N26 interface</w:t>
            </w:r>
          </w:p>
        </w:tc>
        <w:tc>
          <w:tcPr>
            <w:tcW w:w="708" w:type="dxa"/>
            <w:shd w:val="solid" w:color="FFFFFF" w:fill="auto"/>
          </w:tcPr>
          <w:p w14:paraId="4B0B92F5" w14:textId="77777777" w:rsidR="00D40151" w:rsidRPr="00873B6C" w:rsidRDefault="00D40151" w:rsidP="009D14FB">
            <w:pPr>
              <w:pStyle w:val="TAC"/>
              <w:rPr>
                <w:sz w:val="16"/>
                <w:szCs w:val="16"/>
              </w:rPr>
            </w:pPr>
            <w:r w:rsidRPr="00873B6C">
              <w:rPr>
                <w:sz w:val="16"/>
                <w:szCs w:val="16"/>
              </w:rPr>
              <w:t>15.3.0</w:t>
            </w:r>
          </w:p>
        </w:tc>
      </w:tr>
      <w:tr w:rsidR="00D40151" w:rsidRPr="00873B6C" w14:paraId="0E4CCF20" w14:textId="77777777" w:rsidTr="009D14FB">
        <w:tc>
          <w:tcPr>
            <w:tcW w:w="800" w:type="dxa"/>
            <w:shd w:val="solid" w:color="FFFFFF" w:fill="auto"/>
          </w:tcPr>
          <w:p w14:paraId="3C9C201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C8736B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A4B050F"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2B0E16F2" w14:textId="77777777" w:rsidR="00D40151" w:rsidRPr="00873B6C" w:rsidRDefault="00D40151" w:rsidP="009D14FB">
            <w:pPr>
              <w:pStyle w:val="TAL"/>
              <w:rPr>
                <w:sz w:val="16"/>
                <w:szCs w:val="16"/>
              </w:rPr>
            </w:pPr>
            <w:r w:rsidRPr="00873B6C">
              <w:rPr>
                <w:sz w:val="16"/>
                <w:szCs w:val="16"/>
              </w:rPr>
              <w:t>0471</w:t>
            </w:r>
          </w:p>
        </w:tc>
        <w:tc>
          <w:tcPr>
            <w:tcW w:w="425" w:type="dxa"/>
            <w:shd w:val="solid" w:color="FFFFFF" w:fill="auto"/>
          </w:tcPr>
          <w:p w14:paraId="56931D8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E189A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6BC1C9" w14:textId="77777777" w:rsidR="00D40151" w:rsidRPr="00873B6C" w:rsidRDefault="00D40151" w:rsidP="009D14FB">
            <w:pPr>
              <w:pStyle w:val="TAL"/>
              <w:rPr>
                <w:sz w:val="16"/>
                <w:szCs w:val="16"/>
              </w:rPr>
            </w:pPr>
            <w:r w:rsidRPr="00873B6C">
              <w:rPr>
                <w:sz w:val="16"/>
                <w:szCs w:val="16"/>
              </w:rPr>
              <w:t>Correction to AF influence on traffic routing</w:t>
            </w:r>
          </w:p>
        </w:tc>
        <w:tc>
          <w:tcPr>
            <w:tcW w:w="708" w:type="dxa"/>
            <w:shd w:val="solid" w:color="FFFFFF" w:fill="auto"/>
          </w:tcPr>
          <w:p w14:paraId="2FF6133D" w14:textId="77777777" w:rsidR="00D40151" w:rsidRPr="00873B6C" w:rsidRDefault="00D40151" w:rsidP="009D14FB">
            <w:pPr>
              <w:pStyle w:val="TAC"/>
              <w:rPr>
                <w:sz w:val="16"/>
                <w:szCs w:val="16"/>
              </w:rPr>
            </w:pPr>
            <w:r w:rsidRPr="00873B6C">
              <w:rPr>
                <w:sz w:val="16"/>
                <w:szCs w:val="16"/>
              </w:rPr>
              <w:t>15.3.0</w:t>
            </w:r>
          </w:p>
        </w:tc>
      </w:tr>
      <w:tr w:rsidR="00D40151" w:rsidRPr="00873B6C" w14:paraId="01ECEADC" w14:textId="77777777" w:rsidTr="009D14FB">
        <w:tc>
          <w:tcPr>
            <w:tcW w:w="800" w:type="dxa"/>
            <w:shd w:val="solid" w:color="FFFFFF" w:fill="auto"/>
          </w:tcPr>
          <w:p w14:paraId="33B2A87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7F491C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C8A3965"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DC89BF3" w14:textId="77777777" w:rsidR="00D40151" w:rsidRPr="00873B6C" w:rsidRDefault="00D40151" w:rsidP="009D14FB">
            <w:pPr>
              <w:pStyle w:val="TAL"/>
              <w:rPr>
                <w:sz w:val="16"/>
                <w:szCs w:val="16"/>
              </w:rPr>
            </w:pPr>
            <w:r w:rsidRPr="00873B6C">
              <w:rPr>
                <w:sz w:val="16"/>
                <w:szCs w:val="16"/>
              </w:rPr>
              <w:t>0472</w:t>
            </w:r>
          </w:p>
        </w:tc>
        <w:tc>
          <w:tcPr>
            <w:tcW w:w="425" w:type="dxa"/>
            <w:shd w:val="solid" w:color="FFFFFF" w:fill="auto"/>
          </w:tcPr>
          <w:p w14:paraId="2413A55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0BA382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08B8DD" w14:textId="77777777" w:rsidR="00D40151" w:rsidRPr="00873B6C" w:rsidRDefault="00D40151" w:rsidP="009D14FB">
            <w:pPr>
              <w:pStyle w:val="TAL"/>
              <w:rPr>
                <w:sz w:val="16"/>
                <w:szCs w:val="16"/>
              </w:rPr>
            </w:pPr>
            <w:r w:rsidRPr="00873B6C">
              <w:rPr>
                <w:sz w:val="16"/>
                <w:szCs w:val="16"/>
              </w:rPr>
              <w:t>Clarification on UE Registration type with only PDU Session for Emergency Services</w:t>
            </w:r>
          </w:p>
        </w:tc>
        <w:tc>
          <w:tcPr>
            <w:tcW w:w="708" w:type="dxa"/>
            <w:shd w:val="solid" w:color="FFFFFF" w:fill="auto"/>
          </w:tcPr>
          <w:p w14:paraId="20A8AC76" w14:textId="77777777" w:rsidR="00D40151" w:rsidRPr="00873B6C" w:rsidRDefault="00D40151" w:rsidP="009D14FB">
            <w:pPr>
              <w:pStyle w:val="TAC"/>
              <w:rPr>
                <w:sz w:val="16"/>
                <w:szCs w:val="16"/>
              </w:rPr>
            </w:pPr>
            <w:r w:rsidRPr="00873B6C">
              <w:rPr>
                <w:sz w:val="16"/>
                <w:szCs w:val="16"/>
              </w:rPr>
              <w:t>15.3.0</w:t>
            </w:r>
          </w:p>
        </w:tc>
      </w:tr>
      <w:tr w:rsidR="00D40151" w:rsidRPr="00873B6C" w14:paraId="0DBB3B22" w14:textId="77777777" w:rsidTr="009D14FB">
        <w:tc>
          <w:tcPr>
            <w:tcW w:w="800" w:type="dxa"/>
            <w:shd w:val="solid" w:color="FFFFFF" w:fill="auto"/>
          </w:tcPr>
          <w:p w14:paraId="78FAB20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48D2BB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6D2BC41"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0D8D1356" w14:textId="77777777" w:rsidR="00D40151" w:rsidRPr="00873B6C" w:rsidRDefault="00D40151" w:rsidP="009D14FB">
            <w:pPr>
              <w:pStyle w:val="TAL"/>
              <w:rPr>
                <w:sz w:val="16"/>
                <w:szCs w:val="16"/>
              </w:rPr>
            </w:pPr>
            <w:r w:rsidRPr="00873B6C">
              <w:rPr>
                <w:sz w:val="16"/>
                <w:szCs w:val="16"/>
              </w:rPr>
              <w:t>0473</w:t>
            </w:r>
          </w:p>
        </w:tc>
        <w:tc>
          <w:tcPr>
            <w:tcW w:w="425" w:type="dxa"/>
            <w:shd w:val="solid" w:color="FFFFFF" w:fill="auto"/>
          </w:tcPr>
          <w:p w14:paraId="782B785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36B3D6D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45525E" w14:textId="77777777" w:rsidR="00D40151" w:rsidRPr="00873B6C" w:rsidRDefault="00D40151" w:rsidP="009D14FB">
            <w:pPr>
              <w:pStyle w:val="TAL"/>
              <w:rPr>
                <w:sz w:val="16"/>
                <w:szCs w:val="16"/>
              </w:rPr>
            </w:pPr>
            <w:r w:rsidRPr="00873B6C">
              <w:rPr>
                <w:sz w:val="16"/>
                <w:szCs w:val="16"/>
              </w:rPr>
              <w:t xml:space="preserve"> The resource type of QoS Flow associated with the default QoS rule</w:t>
            </w:r>
          </w:p>
        </w:tc>
        <w:tc>
          <w:tcPr>
            <w:tcW w:w="708" w:type="dxa"/>
            <w:shd w:val="solid" w:color="FFFFFF" w:fill="auto"/>
          </w:tcPr>
          <w:p w14:paraId="7A75A155" w14:textId="77777777" w:rsidR="00D40151" w:rsidRPr="00873B6C" w:rsidRDefault="00D40151" w:rsidP="009D14FB">
            <w:pPr>
              <w:pStyle w:val="TAC"/>
              <w:rPr>
                <w:sz w:val="16"/>
                <w:szCs w:val="16"/>
              </w:rPr>
            </w:pPr>
            <w:r w:rsidRPr="00873B6C">
              <w:rPr>
                <w:sz w:val="16"/>
                <w:szCs w:val="16"/>
              </w:rPr>
              <w:t>15.3.0</w:t>
            </w:r>
          </w:p>
        </w:tc>
      </w:tr>
      <w:tr w:rsidR="00D40151" w:rsidRPr="00873B6C" w14:paraId="570F3D62" w14:textId="77777777" w:rsidTr="009D14FB">
        <w:tc>
          <w:tcPr>
            <w:tcW w:w="800" w:type="dxa"/>
            <w:shd w:val="solid" w:color="FFFFFF" w:fill="auto"/>
          </w:tcPr>
          <w:p w14:paraId="62D8479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E3E52B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7F792BD" w14:textId="77777777" w:rsidR="00D40151" w:rsidRPr="00873B6C" w:rsidRDefault="00D40151" w:rsidP="009D14FB">
            <w:pPr>
              <w:pStyle w:val="TAC"/>
              <w:rPr>
                <w:sz w:val="16"/>
                <w:szCs w:val="16"/>
              </w:rPr>
            </w:pPr>
            <w:r w:rsidRPr="00873B6C">
              <w:rPr>
                <w:sz w:val="16"/>
                <w:szCs w:val="16"/>
              </w:rPr>
              <w:t>SP-180724</w:t>
            </w:r>
          </w:p>
        </w:tc>
        <w:tc>
          <w:tcPr>
            <w:tcW w:w="567" w:type="dxa"/>
            <w:shd w:val="solid" w:color="FFFFFF" w:fill="auto"/>
          </w:tcPr>
          <w:p w14:paraId="4FC54436" w14:textId="77777777" w:rsidR="00D40151" w:rsidRPr="00873B6C" w:rsidRDefault="00D40151" w:rsidP="009D14FB">
            <w:pPr>
              <w:pStyle w:val="TAL"/>
              <w:rPr>
                <w:sz w:val="16"/>
                <w:szCs w:val="16"/>
              </w:rPr>
            </w:pPr>
            <w:r w:rsidRPr="00873B6C">
              <w:rPr>
                <w:sz w:val="16"/>
                <w:szCs w:val="16"/>
              </w:rPr>
              <w:t>0474</w:t>
            </w:r>
          </w:p>
        </w:tc>
        <w:tc>
          <w:tcPr>
            <w:tcW w:w="425" w:type="dxa"/>
            <w:shd w:val="solid" w:color="FFFFFF" w:fill="auto"/>
          </w:tcPr>
          <w:p w14:paraId="5DD6A681"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EBE895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EA8A135" w14:textId="77777777" w:rsidR="00D40151" w:rsidRPr="00873B6C" w:rsidRDefault="00D40151" w:rsidP="009D14FB">
            <w:pPr>
              <w:pStyle w:val="TAL"/>
              <w:rPr>
                <w:sz w:val="16"/>
                <w:szCs w:val="16"/>
              </w:rPr>
            </w:pPr>
            <w:r w:rsidRPr="00873B6C">
              <w:rPr>
                <w:sz w:val="16"/>
                <w:szCs w:val="16"/>
              </w:rPr>
              <w:t>Support of tracing in 5GS signalling: overview</w:t>
            </w:r>
          </w:p>
        </w:tc>
        <w:tc>
          <w:tcPr>
            <w:tcW w:w="708" w:type="dxa"/>
            <w:shd w:val="solid" w:color="FFFFFF" w:fill="auto"/>
          </w:tcPr>
          <w:p w14:paraId="663D41B9" w14:textId="77777777" w:rsidR="00D40151" w:rsidRPr="00873B6C" w:rsidRDefault="00D40151" w:rsidP="009D14FB">
            <w:pPr>
              <w:pStyle w:val="TAC"/>
              <w:rPr>
                <w:sz w:val="16"/>
                <w:szCs w:val="16"/>
              </w:rPr>
            </w:pPr>
            <w:r w:rsidRPr="00873B6C">
              <w:rPr>
                <w:sz w:val="16"/>
                <w:szCs w:val="16"/>
              </w:rPr>
              <w:t>15.3.0</w:t>
            </w:r>
          </w:p>
        </w:tc>
      </w:tr>
      <w:tr w:rsidR="00D40151" w:rsidRPr="00873B6C" w14:paraId="647CD750" w14:textId="77777777" w:rsidTr="009D14FB">
        <w:tc>
          <w:tcPr>
            <w:tcW w:w="800" w:type="dxa"/>
            <w:shd w:val="solid" w:color="FFFFFF" w:fill="auto"/>
          </w:tcPr>
          <w:p w14:paraId="7EB2B70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2923C2D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BF65000"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367FC0D" w14:textId="77777777" w:rsidR="00D40151" w:rsidRPr="00873B6C" w:rsidRDefault="00D40151" w:rsidP="009D14FB">
            <w:pPr>
              <w:pStyle w:val="TAL"/>
              <w:rPr>
                <w:sz w:val="16"/>
                <w:szCs w:val="16"/>
              </w:rPr>
            </w:pPr>
            <w:r w:rsidRPr="00873B6C">
              <w:rPr>
                <w:sz w:val="16"/>
                <w:szCs w:val="16"/>
              </w:rPr>
              <w:t>0475</w:t>
            </w:r>
          </w:p>
        </w:tc>
        <w:tc>
          <w:tcPr>
            <w:tcW w:w="425" w:type="dxa"/>
            <w:shd w:val="solid" w:color="FFFFFF" w:fill="auto"/>
          </w:tcPr>
          <w:p w14:paraId="173D2F5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14E65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89E612" w14:textId="77777777" w:rsidR="00D40151" w:rsidRPr="00873B6C" w:rsidRDefault="00D40151" w:rsidP="009D14FB">
            <w:pPr>
              <w:pStyle w:val="TAL"/>
              <w:rPr>
                <w:sz w:val="16"/>
                <w:szCs w:val="16"/>
              </w:rPr>
            </w:pPr>
            <w:r w:rsidRPr="00873B6C">
              <w:rPr>
                <w:sz w:val="16"/>
                <w:szCs w:val="16"/>
              </w:rPr>
              <w:t>MCC implementation correction of 23.501 CR0255R7</w:t>
            </w:r>
          </w:p>
        </w:tc>
        <w:tc>
          <w:tcPr>
            <w:tcW w:w="708" w:type="dxa"/>
            <w:shd w:val="solid" w:color="FFFFFF" w:fill="auto"/>
          </w:tcPr>
          <w:p w14:paraId="604C26E4" w14:textId="77777777" w:rsidR="00D40151" w:rsidRPr="00873B6C" w:rsidRDefault="00D40151" w:rsidP="009D14FB">
            <w:pPr>
              <w:pStyle w:val="TAC"/>
              <w:rPr>
                <w:sz w:val="16"/>
                <w:szCs w:val="16"/>
              </w:rPr>
            </w:pPr>
            <w:r w:rsidRPr="00873B6C">
              <w:rPr>
                <w:sz w:val="16"/>
                <w:szCs w:val="16"/>
              </w:rPr>
              <w:t>15.3.0</w:t>
            </w:r>
          </w:p>
        </w:tc>
      </w:tr>
      <w:tr w:rsidR="00D40151" w:rsidRPr="00873B6C" w14:paraId="2C00FF64" w14:textId="77777777" w:rsidTr="009D14FB">
        <w:tc>
          <w:tcPr>
            <w:tcW w:w="800" w:type="dxa"/>
            <w:shd w:val="solid" w:color="FFFFFF" w:fill="auto"/>
          </w:tcPr>
          <w:p w14:paraId="245CF3C7"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D00D95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49F5D83"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30D3422F" w14:textId="77777777" w:rsidR="00D40151" w:rsidRPr="00873B6C" w:rsidRDefault="00D40151" w:rsidP="009D14FB">
            <w:pPr>
              <w:pStyle w:val="TAL"/>
              <w:rPr>
                <w:sz w:val="16"/>
                <w:szCs w:val="16"/>
              </w:rPr>
            </w:pPr>
            <w:r w:rsidRPr="00873B6C">
              <w:rPr>
                <w:sz w:val="16"/>
                <w:szCs w:val="16"/>
              </w:rPr>
              <w:t>0480</w:t>
            </w:r>
          </w:p>
        </w:tc>
        <w:tc>
          <w:tcPr>
            <w:tcW w:w="425" w:type="dxa"/>
            <w:shd w:val="solid" w:color="FFFFFF" w:fill="auto"/>
          </w:tcPr>
          <w:p w14:paraId="339EC58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D0C14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7C1BAB" w14:textId="77777777" w:rsidR="00D40151" w:rsidRPr="00873B6C" w:rsidRDefault="00D40151" w:rsidP="009D14FB">
            <w:pPr>
              <w:pStyle w:val="TAL"/>
              <w:rPr>
                <w:sz w:val="16"/>
                <w:szCs w:val="16"/>
              </w:rPr>
            </w:pPr>
            <w:r w:rsidRPr="00873B6C">
              <w:rPr>
                <w:sz w:val="16"/>
                <w:szCs w:val="16"/>
              </w:rPr>
              <w:t>5QI-QCI alignment</w:t>
            </w:r>
          </w:p>
        </w:tc>
        <w:tc>
          <w:tcPr>
            <w:tcW w:w="708" w:type="dxa"/>
            <w:shd w:val="solid" w:color="FFFFFF" w:fill="auto"/>
          </w:tcPr>
          <w:p w14:paraId="4B3E3195" w14:textId="77777777" w:rsidR="00D40151" w:rsidRPr="00873B6C" w:rsidRDefault="00D40151" w:rsidP="009D14FB">
            <w:pPr>
              <w:pStyle w:val="TAC"/>
              <w:rPr>
                <w:sz w:val="16"/>
                <w:szCs w:val="16"/>
              </w:rPr>
            </w:pPr>
            <w:r w:rsidRPr="00873B6C">
              <w:rPr>
                <w:sz w:val="16"/>
                <w:szCs w:val="16"/>
              </w:rPr>
              <w:t>15.3.0</w:t>
            </w:r>
          </w:p>
        </w:tc>
      </w:tr>
      <w:tr w:rsidR="00D40151" w:rsidRPr="00873B6C" w14:paraId="3DEC3FD2" w14:textId="77777777" w:rsidTr="009D14FB">
        <w:tc>
          <w:tcPr>
            <w:tcW w:w="800" w:type="dxa"/>
            <w:shd w:val="solid" w:color="FFFFFF" w:fill="auto"/>
          </w:tcPr>
          <w:p w14:paraId="3D526623" w14:textId="77777777" w:rsidR="00D40151" w:rsidRPr="00873B6C" w:rsidRDefault="00D40151" w:rsidP="009D14FB">
            <w:pPr>
              <w:pStyle w:val="TAC"/>
              <w:rPr>
                <w:sz w:val="16"/>
                <w:szCs w:val="16"/>
              </w:rPr>
            </w:pPr>
            <w:r w:rsidRPr="00873B6C">
              <w:rPr>
                <w:sz w:val="16"/>
                <w:szCs w:val="16"/>
              </w:rPr>
              <w:lastRenderedPageBreak/>
              <w:t>09-2018</w:t>
            </w:r>
          </w:p>
        </w:tc>
        <w:tc>
          <w:tcPr>
            <w:tcW w:w="800" w:type="dxa"/>
            <w:shd w:val="solid" w:color="FFFFFF" w:fill="auto"/>
          </w:tcPr>
          <w:p w14:paraId="1D25192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3425E69"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42C9DF1" w14:textId="77777777" w:rsidR="00D40151" w:rsidRPr="00873B6C" w:rsidRDefault="00D40151" w:rsidP="009D14FB">
            <w:pPr>
              <w:pStyle w:val="TAL"/>
              <w:rPr>
                <w:sz w:val="16"/>
                <w:szCs w:val="16"/>
              </w:rPr>
            </w:pPr>
            <w:r w:rsidRPr="00873B6C">
              <w:rPr>
                <w:sz w:val="16"/>
                <w:szCs w:val="16"/>
              </w:rPr>
              <w:t>0481</w:t>
            </w:r>
          </w:p>
        </w:tc>
        <w:tc>
          <w:tcPr>
            <w:tcW w:w="425" w:type="dxa"/>
            <w:shd w:val="solid" w:color="FFFFFF" w:fill="auto"/>
          </w:tcPr>
          <w:p w14:paraId="0EB3D81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47553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142636" w14:textId="77777777" w:rsidR="00D40151" w:rsidRPr="00873B6C" w:rsidRDefault="00D40151" w:rsidP="009D14FB">
            <w:pPr>
              <w:pStyle w:val="TAL"/>
              <w:rPr>
                <w:sz w:val="16"/>
                <w:szCs w:val="16"/>
              </w:rPr>
            </w:pPr>
            <w:r w:rsidRPr="00873B6C">
              <w:rPr>
                <w:sz w:val="16"/>
                <w:szCs w:val="16"/>
              </w:rPr>
              <w:t>Number of packet filters supported by UE</w:t>
            </w:r>
          </w:p>
        </w:tc>
        <w:tc>
          <w:tcPr>
            <w:tcW w:w="708" w:type="dxa"/>
            <w:shd w:val="solid" w:color="FFFFFF" w:fill="auto"/>
          </w:tcPr>
          <w:p w14:paraId="540AD077" w14:textId="77777777" w:rsidR="00D40151" w:rsidRPr="00873B6C" w:rsidRDefault="00D40151" w:rsidP="009D14FB">
            <w:pPr>
              <w:pStyle w:val="TAC"/>
              <w:rPr>
                <w:sz w:val="16"/>
                <w:szCs w:val="16"/>
              </w:rPr>
            </w:pPr>
            <w:r w:rsidRPr="00873B6C">
              <w:rPr>
                <w:sz w:val="16"/>
                <w:szCs w:val="16"/>
              </w:rPr>
              <w:t>15.3.0</w:t>
            </w:r>
          </w:p>
        </w:tc>
      </w:tr>
      <w:tr w:rsidR="00D40151" w:rsidRPr="00873B6C" w14:paraId="0A0E371D" w14:textId="77777777" w:rsidTr="009D14FB">
        <w:tc>
          <w:tcPr>
            <w:tcW w:w="800" w:type="dxa"/>
            <w:shd w:val="solid" w:color="FFFFFF" w:fill="auto"/>
          </w:tcPr>
          <w:p w14:paraId="2B5925EB"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6107EE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1E1A8FC"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91C7416" w14:textId="77777777" w:rsidR="00D40151" w:rsidRPr="00873B6C" w:rsidRDefault="00D40151" w:rsidP="009D14FB">
            <w:pPr>
              <w:pStyle w:val="TAL"/>
              <w:rPr>
                <w:sz w:val="16"/>
                <w:szCs w:val="16"/>
              </w:rPr>
            </w:pPr>
            <w:r w:rsidRPr="00873B6C">
              <w:rPr>
                <w:sz w:val="16"/>
                <w:szCs w:val="16"/>
              </w:rPr>
              <w:t>0482</w:t>
            </w:r>
          </w:p>
        </w:tc>
        <w:tc>
          <w:tcPr>
            <w:tcW w:w="425" w:type="dxa"/>
            <w:shd w:val="solid" w:color="FFFFFF" w:fill="auto"/>
          </w:tcPr>
          <w:p w14:paraId="739E2DB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64D52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64A931" w14:textId="77777777" w:rsidR="00D40151" w:rsidRPr="00873B6C" w:rsidRDefault="00D40151" w:rsidP="009D14FB">
            <w:pPr>
              <w:pStyle w:val="TAL"/>
              <w:rPr>
                <w:sz w:val="16"/>
                <w:szCs w:val="16"/>
              </w:rPr>
            </w:pPr>
            <w:r w:rsidRPr="00873B6C">
              <w:rPr>
                <w:sz w:val="16"/>
                <w:szCs w:val="16"/>
              </w:rPr>
              <w:t>Paging policy differentiation for RRC inactive</w:t>
            </w:r>
          </w:p>
        </w:tc>
        <w:tc>
          <w:tcPr>
            <w:tcW w:w="708" w:type="dxa"/>
            <w:shd w:val="solid" w:color="FFFFFF" w:fill="auto"/>
          </w:tcPr>
          <w:p w14:paraId="43BB7898" w14:textId="77777777" w:rsidR="00D40151" w:rsidRPr="00873B6C" w:rsidRDefault="00D40151" w:rsidP="009D14FB">
            <w:pPr>
              <w:pStyle w:val="TAC"/>
              <w:rPr>
                <w:sz w:val="16"/>
                <w:szCs w:val="16"/>
              </w:rPr>
            </w:pPr>
            <w:r w:rsidRPr="00873B6C">
              <w:rPr>
                <w:sz w:val="16"/>
                <w:szCs w:val="16"/>
              </w:rPr>
              <w:t>15.3.0</w:t>
            </w:r>
          </w:p>
        </w:tc>
      </w:tr>
      <w:tr w:rsidR="00D40151" w:rsidRPr="00873B6C" w14:paraId="7A8354A3" w14:textId="77777777" w:rsidTr="009D14FB">
        <w:tc>
          <w:tcPr>
            <w:tcW w:w="800" w:type="dxa"/>
            <w:shd w:val="solid" w:color="FFFFFF" w:fill="auto"/>
          </w:tcPr>
          <w:p w14:paraId="5E65097B"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529AB7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AA4EBA0"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73F00D59" w14:textId="77777777" w:rsidR="00D40151" w:rsidRPr="00873B6C" w:rsidRDefault="00D40151" w:rsidP="009D14FB">
            <w:pPr>
              <w:pStyle w:val="TAL"/>
              <w:rPr>
                <w:sz w:val="16"/>
                <w:szCs w:val="16"/>
              </w:rPr>
            </w:pPr>
            <w:r w:rsidRPr="00873B6C">
              <w:rPr>
                <w:sz w:val="16"/>
                <w:szCs w:val="16"/>
              </w:rPr>
              <w:t>0485</w:t>
            </w:r>
          </w:p>
        </w:tc>
        <w:tc>
          <w:tcPr>
            <w:tcW w:w="425" w:type="dxa"/>
            <w:shd w:val="solid" w:color="FFFFFF" w:fill="auto"/>
          </w:tcPr>
          <w:p w14:paraId="5B3D005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E4246B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9EECA2" w14:textId="77777777" w:rsidR="00D40151" w:rsidRPr="00873B6C" w:rsidRDefault="00D40151" w:rsidP="009D14FB">
            <w:pPr>
              <w:pStyle w:val="TAL"/>
              <w:rPr>
                <w:sz w:val="16"/>
                <w:szCs w:val="16"/>
              </w:rPr>
            </w:pPr>
            <w:r w:rsidRPr="00873B6C">
              <w:rPr>
                <w:sz w:val="16"/>
                <w:szCs w:val="16"/>
              </w:rPr>
              <w:t>Application detection report when the PFDs are removed</w:t>
            </w:r>
          </w:p>
        </w:tc>
        <w:tc>
          <w:tcPr>
            <w:tcW w:w="708" w:type="dxa"/>
            <w:shd w:val="solid" w:color="FFFFFF" w:fill="auto"/>
          </w:tcPr>
          <w:p w14:paraId="6EE8F81D" w14:textId="77777777" w:rsidR="00D40151" w:rsidRPr="00873B6C" w:rsidRDefault="00D40151" w:rsidP="009D14FB">
            <w:pPr>
              <w:pStyle w:val="TAC"/>
              <w:rPr>
                <w:sz w:val="16"/>
                <w:szCs w:val="16"/>
              </w:rPr>
            </w:pPr>
            <w:r w:rsidRPr="00873B6C">
              <w:rPr>
                <w:sz w:val="16"/>
                <w:szCs w:val="16"/>
              </w:rPr>
              <w:t>15.3.0</w:t>
            </w:r>
          </w:p>
        </w:tc>
      </w:tr>
      <w:tr w:rsidR="00D40151" w:rsidRPr="00873B6C" w14:paraId="4A32BFAE" w14:textId="77777777" w:rsidTr="009D14FB">
        <w:tc>
          <w:tcPr>
            <w:tcW w:w="800" w:type="dxa"/>
            <w:shd w:val="solid" w:color="FFFFFF" w:fill="auto"/>
          </w:tcPr>
          <w:p w14:paraId="1B52E4D5"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6217D5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DD27B20"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6ECA5283" w14:textId="77777777" w:rsidR="00D40151" w:rsidRPr="00873B6C" w:rsidRDefault="00D40151" w:rsidP="009D14FB">
            <w:pPr>
              <w:pStyle w:val="TAL"/>
              <w:rPr>
                <w:sz w:val="16"/>
                <w:szCs w:val="16"/>
              </w:rPr>
            </w:pPr>
            <w:r w:rsidRPr="00873B6C">
              <w:rPr>
                <w:sz w:val="16"/>
                <w:szCs w:val="16"/>
              </w:rPr>
              <w:t>0487</w:t>
            </w:r>
          </w:p>
        </w:tc>
        <w:tc>
          <w:tcPr>
            <w:tcW w:w="425" w:type="dxa"/>
            <w:shd w:val="solid" w:color="FFFFFF" w:fill="auto"/>
          </w:tcPr>
          <w:p w14:paraId="62CC6E43"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57AEF8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72B4A6" w14:textId="77777777" w:rsidR="00D40151" w:rsidRPr="00873B6C" w:rsidRDefault="00D40151" w:rsidP="009D14FB">
            <w:pPr>
              <w:pStyle w:val="TAL"/>
              <w:rPr>
                <w:sz w:val="16"/>
                <w:szCs w:val="16"/>
              </w:rPr>
            </w:pPr>
            <w:r w:rsidRPr="00873B6C">
              <w:rPr>
                <w:sz w:val="16"/>
                <w:szCs w:val="16"/>
              </w:rPr>
              <w:t>Correction to Configured NSSAI for the HPLMN</w:t>
            </w:r>
          </w:p>
        </w:tc>
        <w:tc>
          <w:tcPr>
            <w:tcW w:w="708" w:type="dxa"/>
            <w:shd w:val="solid" w:color="FFFFFF" w:fill="auto"/>
          </w:tcPr>
          <w:p w14:paraId="41894542" w14:textId="77777777" w:rsidR="00D40151" w:rsidRPr="00873B6C" w:rsidRDefault="00D40151" w:rsidP="009D14FB">
            <w:pPr>
              <w:pStyle w:val="TAC"/>
              <w:rPr>
                <w:sz w:val="16"/>
                <w:szCs w:val="16"/>
              </w:rPr>
            </w:pPr>
            <w:r w:rsidRPr="00873B6C">
              <w:rPr>
                <w:sz w:val="16"/>
                <w:szCs w:val="16"/>
              </w:rPr>
              <w:t>15.3.0</w:t>
            </w:r>
          </w:p>
        </w:tc>
      </w:tr>
      <w:tr w:rsidR="00D40151" w:rsidRPr="00873B6C" w14:paraId="61D19681" w14:textId="77777777" w:rsidTr="009D14FB">
        <w:tc>
          <w:tcPr>
            <w:tcW w:w="800" w:type="dxa"/>
            <w:shd w:val="solid" w:color="FFFFFF" w:fill="auto"/>
          </w:tcPr>
          <w:p w14:paraId="17F053B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9C8AE0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2CA44BA"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4BB4DF1" w14:textId="77777777" w:rsidR="00D40151" w:rsidRPr="00873B6C" w:rsidRDefault="00D40151" w:rsidP="009D14FB">
            <w:pPr>
              <w:pStyle w:val="TAL"/>
              <w:rPr>
                <w:sz w:val="16"/>
                <w:szCs w:val="16"/>
              </w:rPr>
            </w:pPr>
            <w:r w:rsidRPr="00873B6C">
              <w:rPr>
                <w:sz w:val="16"/>
                <w:szCs w:val="16"/>
              </w:rPr>
              <w:t>0488</w:t>
            </w:r>
          </w:p>
        </w:tc>
        <w:tc>
          <w:tcPr>
            <w:tcW w:w="425" w:type="dxa"/>
            <w:shd w:val="solid" w:color="FFFFFF" w:fill="auto"/>
          </w:tcPr>
          <w:p w14:paraId="60A9DD2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F953F3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BA7D17D" w14:textId="77777777" w:rsidR="00D40151" w:rsidRPr="00873B6C" w:rsidRDefault="00D40151" w:rsidP="009D14FB">
            <w:pPr>
              <w:pStyle w:val="TAL"/>
              <w:rPr>
                <w:sz w:val="16"/>
                <w:szCs w:val="16"/>
              </w:rPr>
            </w:pPr>
            <w:r w:rsidRPr="00873B6C">
              <w:rPr>
                <w:sz w:val="16"/>
                <w:szCs w:val="16"/>
              </w:rPr>
              <w:t>Correction to TAI list generation</w:t>
            </w:r>
          </w:p>
        </w:tc>
        <w:tc>
          <w:tcPr>
            <w:tcW w:w="708" w:type="dxa"/>
            <w:shd w:val="solid" w:color="FFFFFF" w:fill="auto"/>
          </w:tcPr>
          <w:p w14:paraId="001C8972" w14:textId="77777777" w:rsidR="00D40151" w:rsidRPr="00873B6C" w:rsidRDefault="00D40151" w:rsidP="009D14FB">
            <w:pPr>
              <w:pStyle w:val="TAC"/>
              <w:rPr>
                <w:sz w:val="16"/>
                <w:szCs w:val="16"/>
              </w:rPr>
            </w:pPr>
            <w:r w:rsidRPr="00873B6C">
              <w:rPr>
                <w:sz w:val="16"/>
                <w:szCs w:val="16"/>
              </w:rPr>
              <w:t>15.3.0</w:t>
            </w:r>
          </w:p>
        </w:tc>
      </w:tr>
      <w:tr w:rsidR="00D40151" w:rsidRPr="00873B6C" w14:paraId="0CFA88EA" w14:textId="77777777" w:rsidTr="009D14FB">
        <w:tc>
          <w:tcPr>
            <w:tcW w:w="800" w:type="dxa"/>
            <w:shd w:val="solid" w:color="FFFFFF" w:fill="auto"/>
          </w:tcPr>
          <w:p w14:paraId="4087C6A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3DBE8B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67B0F8B"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0A100C49" w14:textId="77777777" w:rsidR="00D40151" w:rsidRPr="00873B6C" w:rsidRDefault="00D40151" w:rsidP="009D14FB">
            <w:pPr>
              <w:pStyle w:val="TAL"/>
              <w:rPr>
                <w:sz w:val="16"/>
                <w:szCs w:val="16"/>
              </w:rPr>
            </w:pPr>
            <w:r w:rsidRPr="00873B6C">
              <w:rPr>
                <w:sz w:val="16"/>
                <w:szCs w:val="16"/>
              </w:rPr>
              <w:t>0493</w:t>
            </w:r>
          </w:p>
        </w:tc>
        <w:tc>
          <w:tcPr>
            <w:tcW w:w="425" w:type="dxa"/>
            <w:shd w:val="solid" w:color="FFFFFF" w:fill="auto"/>
          </w:tcPr>
          <w:p w14:paraId="24B3F64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6FAFC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A7094E" w14:textId="77777777" w:rsidR="00D40151" w:rsidRPr="00873B6C" w:rsidRDefault="00D40151" w:rsidP="009D14FB">
            <w:pPr>
              <w:pStyle w:val="TAL"/>
              <w:rPr>
                <w:sz w:val="16"/>
                <w:szCs w:val="16"/>
              </w:rPr>
            </w:pPr>
            <w:r w:rsidRPr="00873B6C">
              <w:rPr>
                <w:sz w:val="16"/>
                <w:szCs w:val="16"/>
              </w:rPr>
              <w:t>Network Exposure in Roaming Situations</w:t>
            </w:r>
          </w:p>
        </w:tc>
        <w:tc>
          <w:tcPr>
            <w:tcW w:w="708" w:type="dxa"/>
            <w:shd w:val="solid" w:color="FFFFFF" w:fill="auto"/>
          </w:tcPr>
          <w:p w14:paraId="741CB938" w14:textId="77777777" w:rsidR="00D40151" w:rsidRPr="00873B6C" w:rsidRDefault="00D40151" w:rsidP="009D14FB">
            <w:pPr>
              <w:pStyle w:val="TAC"/>
              <w:rPr>
                <w:sz w:val="16"/>
                <w:szCs w:val="16"/>
              </w:rPr>
            </w:pPr>
            <w:r w:rsidRPr="00873B6C">
              <w:rPr>
                <w:sz w:val="16"/>
                <w:szCs w:val="16"/>
              </w:rPr>
              <w:t>15.3.0</w:t>
            </w:r>
          </w:p>
        </w:tc>
      </w:tr>
      <w:tr w:rsidR="00D40151" w:rsidRPr="00873B6C" w14:paraId="100E3E93" w14:textId="77777777" w:rsidTr="009D14FB">
        <w:tc>
          <w:tcPr>
            <w:tcW w:w="800" w:type="dxa"/>
            <w:shd w:val="solid" w:color="FFFFFF" w:fill="auto"/>
          </w:tcPr>
          <w:p w14:paraId="02633E5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45A83F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F847837"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6804A148" w14:textId="77777777" w:rsidR="00D40151" w:rsidRPr="00873B6C" w:rsidRDefault="00D40151" w:rsidP="009D14FB">
            <w:pPr>
              <w:pStyle w:val="TAL"/>
              <w:rPr>
                <w:sz w:val="16"/>
                <w:szCs w:val="16"/>
              </w:rPr>
            </w:pPr>
            <w:r w:rsidRPr="00873B6C">
              <w:rPr>
                <w:sz w:val="16"/>
                <w:szCs w:val="16"/>
              </w:rPr>
              <w:t>0494</w:t>
            </w:r>
          </w:p>
        </w:tc>
        <w:tc>
          <w:tcPr>
            <w:tcW w:w="425" w:type="dxa"/>
            <w:shd w:val="solid" w:color="FFFFFF" w:fill="auto"/>
          </w:tcPr>
          <w:p w14:paraId="14AC360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DA263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E1F35D" w14:textId="77777777" w:rsidR="00D40151" w:rsidRPr="00873B6C" w:rsidRDefault="00D40151" w:rsidP="009D14FB">
            <w:pPr>
              <w:pStyle w:val="TAL"/>
              <w:rPr>
                <w:sz w:val="16"/>
                <w:szCs w:val="16"/>
              </w:rPr>
            </w:pPr>
            <w:r w:rsidRPr="00873B6C">
              <w:rPr>
                <w:sz w:val="16"/>
                <w:szCs w:val="16"/>
              </w:rPr>
              <w:t>Handling of UP Security Policy when IWK with EPS</w:t>
            </w:r>
          </w:p>
        </w:tc>
        <w:tc>
          <w:tcPr>
            <w:tcW w:w="708" w:type="dxa"/>
            <w:shd w:val="solid" w:color="FFFFFF" w:fill="auto"/>
          </w:tcPr>
          <w:p w14:paraId="7C42218E" w14:textId="77777777" w:rsidR="00D40151" w:rsidRPr="00873B6C" w:rsidRDefault="00D40151" w:rsidP="009D14FB">
            <w:pPr>
              <w:pStyle w:val="TAC"/>
              <w:rPr>
                <w:sz w:val="16"/>
                <w:szCs w:val="16"/>
              </w:rPr>
            </w:pPr>
            <w:r w:rsidRPr="00873B6C">
              <w:rPr>
                <w:sz w:val="16"/>
                <w:szCs w:val="16"/>
              </w:rPr>
              <w:t>15.3.0</w:t>
            </w:r>
          </w:p>
        </w:tc>
      </w:tr>
      <w:tr w:rsidR="00D40151" w:rsidRPr="00873B6C" w14:paraId="2C3ED2D5" w14:textId="77777777" w:rsidTr="009D14FB">
        <w:tc>
          <w:tcPr>
            <w:tcW w:w="800" w:type="dxa"/>
            <w:shd w:val="solid" w:color="FFFFFF" w:fill="auto"/>
          </w:tcPr>
          <w:p w14:paraId="0D8335CB"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DB35C8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4F262B7"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1C1EA0F" w14:textId="77777777" w:rsidR="00D40151" w:rsidRPr="00873B6C" w:rsidRDefault="00D40151" w:rsidP="009D14FB">
            <w:pPr>
              <w:pStyle w:val="TAL"/>
              <w:rPr>
                <w:sz w:val="16"/>
                <w:szCs w:val="16"/>
              </w:rPr>
            </w:pPr>
            <w:r w:rsidRPr="00873B6C">
              <w:rPr>
                <w:sz w:val="16"/>
                <w:szCs w:val="16"/>
              </w:rPr>
              <w:t>0497</w:t>
            </w:r>
          </w:p>
        </w:tc>
        <w:tc>
          <w:tcPr>
            <w:tcW w:w="425" w:type="dxa"/>
            <w:shd w:val="solid" w:color="FFFFFF" w:fill="auto"/>
          </w:tcPr>
          <w:p w14:paraId="473D2AA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99FD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8D678F" w14:textId="77777777" w:rsidR="00D40151" w:rsidRPr="00873B6C" w:rsidRDefault="00D40151" w:rsidP="009D14FB">
            <w:pPr>
              <w:pStyle w:val="TAL"/>
              <w:rPr>
                <w:sz w:val="16"/>
                <w:szCs w:val="16"/>
              </w:rPr>
            </w:pPr>
            <w:r w:rsidRPr="00873B6C">
              <w:rPr>
                <w:sz w:val="16"/>
                <w:szCs w:val="16"/>
              </w:rPr>
              <w:t xml:space="preserve">Clarification on handling of Ethernet frames at UPF </w:t>
            </w:r>
          </w:p>
        </w:tc>
        <w:tc>
          <w:tcPr>
            <w:tcW w:w="708" w:type="dxa"/>
            <w:shd w:val="solid" w:color="FFFFFF" w:fill="auto"/>
          </w:tcPr>
          <w:p w14:paraId="11CACD9E" w14:textId="77777777" w:rsidR="00D40151" w:rsidRPr="00873B6C" w:rsidRDefault="00D40151" w:rsidP="009D14FB">
            <w:pPr>
              <w:pStyle w:val="TAC"/>
              <w:rPr>
                <w:sz w:val="16"/>
                <w:szCs w:val="16"/>
              </w:rPr>
            </w:pPr>
            <w:r w:rsidRPr="00873B6C">
              <w:rPr>
                <w:sz w:val="16"/>
                <w:szCs w:val="16"/>
              </w:rPr>
              <w:t>15.3.0</w:t>
            </w:r>
          </w:p>
        </w:tc>
      </w:tr>
      <w:tr w:rsidR="00D40151" w:rsidRPr="00873B6C" w14:paraId="59377EEB" w14:textId="77777777" w:rsidTr="009D14FB">
        <w:tc>
          <w:tcPr>
            <w:tcW w:w="800" w:type="dxa"/>
            <w:shd w:val="solid" w:color="FFFFFF" w:fill="auto"/>
          </w:tcPr>
          <w:p w14:paraId="012B0435"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A4D1C0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B3909EB"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63E455A" w14:textId="77777777" w:rsidR="00D40151" w:rsidRPr="00873B6C" w:rsidRDefault="00D40151" w:rsidP="009D14FB">
            <w:pPr>
              <w:pStyle w:val="TAL"/>
              <w:rPr>
                <w:sz w:val="16"/>
                <w:szCs w:val="16"/>
              </w:rPr>
            </w:pPr>
            <w:r w:rsidRPr="00873B6C">
              <w:rPr>
                <w:sz w:val="16"/>
                <w:szCs w:val="16"/>
              </w:rPr>
              <w:t>0498</w:t>
            </w:r>
          </w:p>
        </w:tc>
        <w:tc>
          <w:tcPr>
            <w:tcW w:w="425" w:type="dxa"/>
            <w:shd w:val="solid" w:color="FFFFFF" w:fill="auto"/>
          </w:tcPr>
          <w:p w14:paraId="5DF7646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6D309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2E9D09" w14:textId="77777777" w:rsidR="00D40151" w:rsidRPr="00873B6C" w:rsidRDefault="00D40151" w:rsidP="009D14FB">
            <w:pPr>
              <w:pStyle w:val="TAL"/>
              <w:rPr>
                <w:sz w:val="16"/>
                <w:szCs w:val="16"/>
              </w:rPr>
            </w:pPr>
            <w:r w:rsidRPr="00873B6C">
              <w:rPr>
                <w:sz w:val="16"/>
                <w:szCs w:val="16"/>
              </w:rPr>
              <w:t>Completion of description on Configured NSSAIs</w:t>
            </w:r>
          </w:p>
        </w:tc>
        <w:tc>
          <w:tcPr>
            <w:tcW w:w="708" w:type="dxa"/>
            <w:shd w:val="solid" w:color="FFFFFF" w:fill="auto"/>
          </w:tcPr>
          <w:p w14:paraId="2C4B20D6" w14:textId="77777777" w:rsidR="00D40151" w:rsidRPr="00873B6C" w:rsidRDefault="00D40151" w:rsidP="009D14FB">
            <w:pPr>
              <w:pStyle w:val="TAC"/>
              <w:rPr>
                <w:sz w:val="16"/>
                <w:szCs w:val="16"/>
              </w:rPr>
            </w:pPr>
            <w:r w:rsidRPr="00873B6C">
              <w:rPr>
                <w:sz w:val="16"/>
                <w:szCs w:val="16"/>
              </w:rPr>
              <w:t>15.3.0</w:t>
            </w:r>
          </w:p>
        </w:tc>
      </w:tr>
      <w:tr w:rsidR="00D40151" w:rsidRPr="00873B6C" w14:paraId="692AF815" w14:textId="77777777" w:rsidTr="009D14FB">
        <w:tc>
          <w:tcPr>
            <w:tcW w:w="800" w:type="dxa"/>
            <w:shd w:val="solid" w:color="FFFFFF" w:fill="auto"/>
          </w:tcPr>
          <w:p w14:paraId="410CDAA8"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252D3E5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3BD6B3E"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24C808FC" w14:textId="77777777" w:rsidR="00D40151" w:rsidRPr="00873B6C" w:rsidRDefault="00D40151" w:rsidP="009D14FB">
            <w:pPr>
              <w:pStyle w:val="TAL"/>
              <w:rPr>
                <w:sz w:val="16"/>
                <w:szCs w:val="16"/>
              </w:rPr>
            </w:pPr>
            <w:r w:rsidRPr="00873B6C">
              <w:rPr>
                <w:sz w:val="16"/>
                <w:szCs w:val="16"/>
              </w:rPr>
              <w:t>0499</w:t>
            </w:r>
          </w:p>
        </w:tc>
        <w:tc>
          <w:tcPr>
            <w:tcW w:w="425" w:type="dxa"/>
            <w:shd w:val="solid" w:color="FFFFFF" w:fill="auto"/>
          </w:tcPr>
          <w:p w14:paraId="290D6EC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35EDFB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B8739F" w14:textId="77777777" w:rsidR="00D40151" w:rsidRPr="00873B6C" w:rsidRDefault="00D40151" w:rsidP="009D14FB">
            <w:pPr>
              <w:pStyle w:val="TAL"/>
              <w:rPr>
                <w:sz w:val="16"/>
                <w:szCs w:val="16"/>
              </w:rPr>
            </w:pPr>
            <w:r w:rsidRPr="00873B6C">
              <w:rPr>
                <w:sz w:val="16"/>
                <w:szCs w:val="16"/>
              </w:rPr>
              <w:t>LADN Clarification</w:t>
            </w:r>
          </w:p>
        </w:tc>
        <w:tc>
          <w:tcPr>
            <w:tcW w:w="708" w:type="dxa"/>
            <w:shd w:val="solid" w:color="FFFFFF" w:fill="auto"/>
          </w:tcPr>
          <w:p w14:paraId="6438914C" w14:textId="77777777" w:rsidR="00D40151" w:rsidRPr="00873B6C" w:rsidRDefault="00D40151" w:rsidP="009D14FB">
            <w:pPr>
              <w:pStyle w:val="TAC"/>
              <w:rPr>
                <w:sz w:val="16"/>
                <w:szCs w:val="16"/>
              </w:rPr>
            </w:pPr>
            <w:r w:rsidRPr="00873B6C">
              <w:rPr>
                <w:sz w:val="16"/>
                <w:szCs w:val="16"/>
              </w:rPr>
              <w:t>15.3.0</w:t>
            </w:r>
          </w:p>
        </w:tc>
      </w:tr>
      <w:tr w:rsidR="00D40151" w:rsidRPr="00873B6C" w14:paraId="05BB755B" w14:textId="77777777" w:rsidTr="009D14FB">
        <w:tc>
          <w:tcPr>
            <w:tcW w:w="800" w:type="dxa"/>
            <w:shd w:val="solid" w:color="FFFFFF" w:fill="auto"/>
          </w:tcPr>
          <w:p w14:paraId="307C37E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2879D04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437ACBF"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6EB18BE" w14:textId="77777777" w:rsidR="00D40151" w:rsidRPr="00873B6C" w:rsidRDefault="00D40151" w:rsidP="009D14FB">
            <w:pPr>
              <w:pStyle w:val="TAL"/>
              <w:rPr>
                <w:sz w:val="16"/>
                <w:szCs w:val="16"/>
              </w:rPr>
            </w:pPr>
            <w:r w:rsidRPr="00873B6C">
              <w:rPr>
                <w:sz w:val="16"/>
                <w:szCs w:val="16"/>
              </w:rPr>
              <w:t>0500</w:t>
            </w:r>
          </w:p>
        </w:tc>
        <w:tc>
          <w:tcPr>
            <w:tcW w:w="425" w:type="dxa"/>
            <w:shd w:val="solid" w:color="FFFFFF" w:fill="auto"/>
          </w:tcPr>
          <w:p w14:paraId="4421067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200F9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73D5D8" w14:textId="77777777" w:rsidR="00D40151" w:rsidRPr="00873B6C" w:rsidRDefault="00D40151" w:rsidP="009D14FB">
            <w:pPr>
              <w:pStyle w:val="TAL"/>
              <w:rPr>
                <w:sz w:val="16"/>
                <w:szCs w:val="16"/>
              </w:rPr>
            </w:pPr>
            <w:r w:rsidRPr="00873B6C">
              <w:rPr>
                <w:sz w:val="16"/>
                <w:szCs w:val="16"/>
              </w:rPr>
              <w:t>DNN Usage Clarification</w:t>
            </w:r>
          </w:p>
        </w:tc>
        <w:tc>
          <w:tcPr>
            <w:tcW w:w="708" w:type="dxa"/>
            <w:shd w:val="solid" w:color="FFFFFF" w:fill="auto"/>
          </w:tcPr>
          <w:p w14:paraId="08DF9DF5" w14:textId="77777777" w:rsidR="00D40151" w:rsidRPr="00873B6C" w:rsidRDefault="00D40151" w:rsidP="009D14FB">
            <w:pPr>
              <w:pStyle w:val="TAC"/>
              <w:rPr>
                <w:sz w:val="16"/>
                <w:szCs w:val="16"/>
              </w:rPr>
            </w:pPr>
            <w:r w:rsidRPr="00873B6C">
              <w:rPr>
                <w:sz w:val="16"/>
                <w:szCs w:val="16"/>
              </w:rPr>
              <w:t>15.3.0</w:t>
            </w:r>
          </w:p>
        </w:tc>
      </w:tr>
      <w:tr w:rsidR="00D40151" w:rsidRPr="00873B6C" w14:paraId="3D36B79F" w14:textId="77777777" w:rsidTr="009D14FB">
        <w:tc>
          <w:tcPr>
            <w:tcW w:w="800" w:type="dxa"/>
            <w:shd w:val="solid" w:color="FFFFFF" w:fill="auto"/>
          </w:tcPr>
          <w:p w14:paraId="0391E42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EE95EB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9E36A13"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4691B58" w14:textId="77777777" w:rsidR="00D40151" w:rsidRPr="00873B6C" w:rsidRDefault="00D40151" w:rsidP="009D14FB">
            <w:pPr>
              <w:pStyle w:val="TAL"/>
              <w:rPr>
                <w:sz w:val="16"/>
                <w:szCs w:val="16"/>
              </w:rPr>
            </w:pPr>
            <w:r w:rsidRPr="00873B6C">
              <w:rPr>
                <w:sz w:val="16"/>
                <w:szCs w:val="16"/>
              </w:rPr>
              <w:t>0501</w:t>
            </w:r>
          </w:p>
        </w:tc>
        <w:tc>
          <w:tcPr>
            <w:tcW w:w="425" w:type="dxa"/>
            <w:shd w:val="solid" w:color="FFFFFF" w:fill="auto"/>
          </w:tcPr>
          <w:p w14:paraId="1F4ABA8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0E303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FB7E92" w14:textId="77777777" w:rsidR="00D40151" w:rsidRPr="00873B6C" w:rsidRDefault="00D40151" w:rsidP="009D14FB">
            <w:pPr>
              <w:pStyle w:val="TAL"/>
              <w:rPr>
                <w:sz w:val="16"/>
                <w:szCs w:val="16"/>
              </w:rPr>
            </w:pPr>
            <w:r w:rsidRPr="00873B6C">
              <w:rPr>
                <w:sz w:val="16"/>
                <w:szCs w:val="16"/>
              </w:rPr>
              <w:t>Clarification for pre-configured QoS rule</w:t>
            </w:r>
          </w:p>
        </w:tc>
        <w:tc>
          <w:tcPr>
            <w:tcW w:w="708" w:type="dxa"/>
            <w:shd w:val="solid" w:color="FFFFFF" w:fill="auto"/>
          </w:tcPr>
          <w:p w14:paraId="1E339DBA" w14:textId="77777777" w:rsidR="00D40151" w:rsidRPr="00873B6C" w:rsidRDefault="00D40151" w:rsidP="009D14FB">
            <w:pPr>
              <w:pStyle w:val="TAC"/>
              <w:rPr>
                <w:sz w:val="16"/>
                <w:szCs w:val="16"/>
              </w:rPr>
            </w:pPr>
            <w:r w:rsidRPr="00873B6C">
              <w:rPr>
                <w:sz w:val="16"/>
                <w:szCs w:val="16"/>
              </w:rPr>
              <w:t>15.3.0</w:t>
            </w:r>
          </w:p>
        </w:tc>
      </w:tr>
      <w:tr w:rsidR="00D40151" w:rsidRPr="00873B6C" w14:paraId="6EFE55A3" w14:textId="77777777" w:rsidTr="009D14FB">
        <w:tc>
          <w:tcPr>
            <w:tcW w:w="800" w:type="dxa"/>
            <w:shd w:val="solid" w:color="FFFFFF" w:fill="auto"/>
          </w:tcPr>
          <w:p w14:paraId="772F1A7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516260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DBEF288"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16B0028" w14:textId="77777777" w:rsidR="00D40151" w:rsidRPr="00873B6C" w:rsidRDefault="00D40151" w:rsidP="009D14FB">
            <w:pPr>
              <w:pStyle w:val="TAL"/>
              <w:rPr>
                <w:sz w:val="16"/>
                <w:szCs w:val="16"/>
              </w:rPr>
            </w:pPr>
            <w:r w:rsidRPr="00873B6C">
              <w:rPr>
                <w:sz w:val="16"/>
                <w:szCs w:val="16"/>
              </w:rPr>
              <w:t>0502</w:t>
            </w:r>
          </w:p>
        </w:tc>
        <w:tc>
          <w:tcPr>
            <w:tcW w:w="425" w:type="dxa"/>
            <w:shd w:val="solid" w:color="FFFFFF" w:fill="auto"/>
          </w:tcPr>
          <w:p w14:paraId="40F1D39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84E8E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BC1977" w14:textId="77777777" w:rsidR="00D40151" w:rsidRPr="00873B6C" w:rsidRDefault="00D40151" w:rsidP="009D14FB">
            <w:pPr>
              <w:pStyle w:val="TAL"/>
              <w:rPr>
                <w:sz w:val="16"/>
                <w:szCs w:val="16"/>
              </w:rPr>
            </w:pPr>
            <w:r w:rsidRPr="00873B6C">
              <w:rPr>
                <w:sz w:val="16"/>
                <w:szCs w:val="16"/>
              </w:rPr>
              <w:t>Clarification for QoS handling at UPF</w:t>
            </w:r>
          </w:p>
        </w:tc>
        <w:tc>
          <w:tcPr>
            <w:tcW w:w="708" w:type="dxa"/>
            <w:shd w:val="solid" w:color="FFFFFF" w:fill="auto"/>
          </w:tcPr>
          <w:p w14:paraId="0329A07C" w14:textId="77777777" w:rsidR="00D40151" w:rsidRPr="00873B6C" w:rsidRDefault="00D40151" w:rsidP="009D14FB">
            <w:pPr>
              <w:pStyle w:val="TAC"/>
              <w:rPr>
                <w:sz w:val="16"/>
                <w:szCs w:val="16"/>
              </w:rPr>
            </w:pPr>
            <w:r w:rsidRPr="00873B6C">
              <w:rPr>
                <w:sz w:val="16"/>
                <w:szCs w:val="16"/>
              </w:rPr>
              <w:t>15.3.0</w:t>
            </w:r>
          </w:p>
        </w:tc>
      </w:tr>
      <w:tr w:rsidR="00D40151" w:rsidRPr="00873B6C" w14:paraId="2FC889FD" w14:textId="77777777" w:rsidTr="009D14FB">
        <w:tc>
          <w:tcPr>
            <w:tcW w:w="800" w:type="dxa"/>
            <w:shd w:val="solid" w:color="FFFFFF" w:fill="auto"/>
          </w:tcPr>
          <w:p w14:paraId="2E284EF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B6966B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5965B49"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2438F370" w14:textId="77777777" w:rsidR="00D40151" w:rsidRPr="00873B6C" w:rsidRDefault="00D40151" w:rsidP="009D14FB">
            <w:pPr>
              <w:pStyle w:val="TAL"/>
              <w:rPr>
                <w:sz w:val="16"/>
                <w:szCs w:val="16"/>
              </w:rPr>
            </w:pPr>
            <w:r w:rsidRPr="00873B6C">
              <w:rPr>
                <w:sz w:val="16"/>
                <w:szCs w:val="16"/>
              </w:rPr>
              <w:t>0504</w:t>
            </w:r>
          </w:p>
        </w:tc>
        <w:tc>
          <w:tcPr>
            <w:tcW w:w="425" w:type="dxa"/>
            <w:shd w:val="solid" w:color="FFFFFF" w:fill="auto"/>
          </w:tcPr>
          <w:p w14:paraId="37DFC32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4EF3E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F0CAD9" w14:textId="77777777" w:rsidR="00D40151" w:rsidRPr="00873B6C" w:rsidRDefault="00D40151" w:rsidP="009D14FB">
            <w:pPr>
              <w:pStyle w:val="TAL"/>
              <w:rPr>
                <w:sz w:val="16"/>
                <w:szCs w:val="16"/>
              </w:rPr>
            </w:pPr>
            <w:r w:rsidRPr="00873B6C">
              <w:rPr>
                <w:sz w:val="16"/>
                <w:szCs w:val="16"/>
              </w:rPr>
              <w:t>DL signalling handling for non-3GPP PDU Session</w:t>
            </w:r>
          </w:p>
        </w:tc>
        <w:tc>
          <w:tcPr>
            <w:tcW w:w="708" w:type="dxa"/>
            <w:shd w:val="solid" w:color="FFFFFF" w:fill="auto"/>
          </w:tcPr>
          <w:p w14:paraId="11A2DB6C" w14:textId="77777777" w:rsidR="00D40151" w:rsidRPr="00873B6C" w:rsidRDefault="00D40151" w:rsidP="009D14FB">
            <w:pPr>
              <w:pStyle w:val="TAC"/>
              <w:rPr>
                <w:sz w:val="16"/>
                <w:szCs w:val="16"/>
              </w:rPr>
            </w:pPr>
            <w:r w:rsidRPr="00873B6C">
              <w:rPr>
                <w:sz w:val="16"/>
                <w:szCs w:val="16"/>
              </w:rPr>
              <w:t>15.3.0</w:t>
            </w:r>
          </w:p>
        </w:tc>
      </w:tr>
      <w:tr w:rsidR="00D40151" w:rsidRPr="00873B6C" w14:paraId="08491E78" w14:textId="77777777" w:rsidTr="009D14FB">
        <w:tc>
          <w:tcPr>
            <w:tcW w:w="800" w:type="dxa"/>
            <w:shd w:val="solid" w:color="FFFFFF" w:fill="auto"/>
          </w:tcPr>
          <w:p w14:paraId="3B627AE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C113759"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B8525DA"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E09F1D6" w14:textId="77777777" w:rsidR="00D40151" w:rsidRPr="00873B6C" w:rsidRDefault="00D40151" w:rsidP="009D14FB">
            <w:pPr>
              <w:pStyle w:val="TAL"/>
              <w:rPr>
                <w:sz w:val="16"/>
                <w:szCs w:val="16"/>
              </w:rPr>
            </w:pPr>
            <w:r w:rsidRPr="00873B6C">
              <w:rPr>
                <w:sz w:val="16"/>
                <w:szCs w:val="16"/>
              </w:rPr>
              <w:t>0508</w:t>
            </w:r>
          </w:p>
        </w:tc>
        <w:tc>
          <w:tcPr>
            <w:tcW w:w="425" w:type="dxa"/>
            <w:shd w:val="solid" w:color="FFFFFF" w:fill="auto"/>
          </w:tcPr>
          <w:p w14:paraId="6E8F902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9B35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4F8680" w14:textId="77777777" w:rsidR="00D40151" w:rsidRPr="00873B6C" w:rsidRDefault="00D40151" w:rsidP="009D14FB">
            <w:pPr>
              <w:pStyle w:val="TAL"/>
              <w:rPr>
                <w:sz w:val="16"/>
                <w:szCs w:val="16"/>
              </w:rPr>
            </w:pPr>
            <w:r w:rsidRPr="00873B6C">
              <w:rPr>
                <w:sz w:val="16"/>
                <w:szCs w:val="16"/>
              </w:rPr>
              <w:t>Emergency call and eCall support when the ng-eNode is connected to EPC and 5GC</w:t>
            </w:r>
          </w:p>
        </w:tc>
        <w:tc>
          <w:tcPr>
            <w:tcW w:w="708" w:type="dxa"/>
            <w:shd w:val="solid" w:color="FFFFFF" w:fill="auto"/>
          </w:tcPr>
          <w:p w14:paraId="02E78E42" w14:textId="77777777" w:rsidR="00D40151" w:rsidRPr="00873B6C" w:rsidRDefault="00D40151" w:rsidP="009D14FB">
            <w:pPr>
              <w:pStyle w:val="TAC"/>
              <w:rPr>
                <w:sz w:val="16"/>
                <w:szCs w:val="16"/>
              </w:rPr>
            </w:pPr>
            <w:r w:rsidRPr="00873B6C">
              <w:rPr>
                <w:sz w:val="16"/>
                <w:szCs w:val="16"/>
              </w:rPr>
              <w:t>15.3.0</w:t>
            </w:r>
          </w:p>
        </w:tc>
      </w:tr>
      <w:tr w:rsidR="00D40151" w:rsidRPr="00873B6C" w14:paraId="1DA5AB72" w14:textId="77777777" w:rsidTr="009D14FB">
        <w:tc>
          <w:tcPr>
            <w:tcW w:w="800" w:type="dxa"/>
            <w:shd w:val="solid" w:color="FFFFFF" w:fill="auto"/>
          </w:tcPr>
          <w:p w14:paraId="7822A6A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4613DD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18D32C0"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20E0AF97" w14:textId="77777777" w:rsidR="00D40151" w:rsidRPr="00873B6C" w:rsidRDefault="00D40151" w:rsidP="009D14FB">
            <w:pPr>
              <w:pStyle w:val="TAL"/>
              <w:rPr>
                <w:sz w:val="16"/>
                <w:szCs w:val="16"/>
              </w:rPr>
            </w:pPr>
            <w:r w:rsidRPr="00873B6C">
              <w:rPr>
                <w:sz w:val="16"/>
                <w:szCs w:val="16"/>
              </w:rPr>
              <w:t>0509</w:t>
            </w:r>
          </w:p>
        </w:tc>
        <w:tc>
          <w:tcPr>
            <w:tcW w:w="425" w:type="dxa"/>
            <w:shd w:val="solid" w:color="FFFFFF" w:fill="auto"/>
          </w:tcPr>
          <w:p w14:paraId="66BD046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C5ED2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CCA94D" w14:textId="77777777" w:rsidR="00D40151" w:rsidRPr="00873B6C" w:rsidRDefault="00D40151" w:rsidP="009D14FB">
            <w:pPr>
              <w:pStyle w:val="TAL"/>
              <w:rPr>
                <w:sz w:val="16"/>
                <w:szCs w:val="16"/>
              </w:rPr>
            </w:pPr>
            <w:r w:rsidRPr="00873B6C">
              <w:rPr>
                <w:sz w:val="16"/>
                <w:szCs w:val="16"/>
              </w:rPr>
              <w:t xml:space="preserve"> Mobility Restriction List clean up</w:t>
            </w:r>
          </w:p>
        </w:tc>
        <w:tc>
          <w:tcPr>
            <w:tcW w:w="708" w:type="dxa"/>
            <w:shd w:val="solid" w:color="FFFFFF" w:fill="auto"/>
          </w:tcPr>
          <w:p w14:paraId="3287C537" w14:textId="77777777" w:rsidR="00D40151" w:rsidRPr="00873B6C" w:rsidRDefault="00D40151" w:rsidP="009D14FB">
            <w:pPr>
              <w:pStyle w:val="TAC"/>
              <w:rPr>
                <w:sz w:val="16"/>
                <w:szCs w:val="16"/>
              </w:rPr>
            </w:pPr>
            <w:r w:rsidRPr="00873B6C">
              <w:rPr>
                <w:sz w:val="16"/>
                <w:szCs w:val="16"/>
              </w:rPr>
              <w:t>15.3.0</w:t>
            </w:r>
          </w:p>
        </w:tc>
      </w:tr>
      <w:tr w:rsidR="00D40151" w:rsidRPr="00873B6C" w14:paraId="0BD167DC" w14:textId="77777777" w:rsidTr="009D14FB">
        <w:tc>
          <w:tcPr>
            <w:tcW w:w="800" w:type="dxa"/>
            <w:shd w:val="solid" w:color="FFFFFF" w:fill="auto"/>
          </w:tcPr>
          <w:p w14:paraId="77AEED6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CD79DE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6D28ECC"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16BD1210" w14:textId="77777777" w:rsidR="00D40151" w:rsidRPr="00873B6C" w:rsidRDefault="00D40151" w:rsidP="009D14FB">
            <w:pPr>
              <w:pStyle w:val="TAL"/>
              <w:rPr>
                <w:sz w:val="16"/>
                <w:szCs w:val="16"/>
              </w:rPr>
            </w:pPr>
            <w:r w:rsidRPr="00873B6C">
              <w:rPr>
                <w:sz w:val="16"/>
                <w:szCs w:val="16"/>
              </w:rPr>
              <w:t>0515</w:t>
            </w:r>
          </w:p>
        </w:tc>
        <w:tc>
          <w:tcPr>
            <w:tcW w:w="425" w:type="dxa"/>
            <w:shd w:val="solid" w:color="FFFFFF" w:fill="auto"/>
          </w:tcPr>
          <w:p w14:paraId="6E6A9D2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B1B6A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C478F1" w14:textId="77777777" w:rsidR="00D40151" w:rsidRPr="00873B6C" w:rsidRDefault="00D40151" w:rsidP="009D14FB">
            <w:pPr>
              <w:pStyle w:val="TAL"/>
              <w:rPr>
                <w:sz w:val="16"/>
                <w:szCs w:val="16"/>
              </w:rPr>
            </w:pPr>
            <w:r w:rsidRPr="00873B6C">
              <w:rPr>
                <w:sz w:val="16"/>
                <w:szCs w:val="16"/>
              </w:rPr>
              <w:t>Subscription of selecting the same SMF and UPF</w:t>
            </w:r>
          </w:p>
        </w:tc>
        <w:tc>
          <w:tcPr>
            <w:tcW w:w="708" w:type="dxa"/>
            <w:shd w:val="solid" w:color="FFFFFF" w:fill="auto"/>
          </w:tcPr>
          <w:p w14:paraId="4D608B6B" w14:textId="77777777" w:rsidR="00D40151" w:rsidRPr="00873B6C" w:rsidRDefault="00D40151" w:rsidP="009D14FB">
            <w:pPr>
              <w:pStyle w:val="TAC"/>
              <w:rPr>
                <w:sz w:val="16"/>
                <w:szCs w:val="16"/>
              </w:rPr>
            </w:pPr>
            <w:r w:rsidRPr="00873B6C">
              <w:rPr>
                <w:sz w:val="16"/>
                <w:szCs w:val="16"/>
              </w:rPr>
              <w:t>15.3.0</w:t>
            </w:r>
          </w:p>
        </w:tc>
      </w:tr>
      <w:tr w:rsidR="00D40151" w:rsidRPr="00873B6C" w14:paraId="06939C97" w14:textId="77777777" w:rsidTr="009D14FB">
        <w:tc>
          <w:tcPr>
            <w:tcW w:w="800" w:type="dxa"/>
            <w:shd w:val="solid" w:color="FFFFFF" w:fill="auto"/>
          </w:tcPr>
          <w:p w14:paraId="7B8A0A2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9B58DC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50E04DB"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5DD2A7D" w14:textId="77777777" w:rsidR="00D40151" w:rsidRPr="00873B6C" w:rsidRDefault="00D40151" w:rsidP="009D14FB">
            <w:pPr>
              <w:pStyle w:val="TAL"/>
              <w:rPr>
                <w:sz w:val="16"/>
                <w:szCs w:val="16"/>
              </w:rPr>
            </w:pPr>
            <w:r w:rsidRPr="00873B6C">
              <w:rPr>
                <w:sz w:val="16"/>
                <w:szCs w:val="16"/>
              </w:rPr>
              <w:t>0516</w:t>
            </w:r>
          </w:p>
        </w:tc>
        <w:tc>
          <w:tcPr>
            <w:tcW w:w="425" w:type="dxa"/>
            <w:shd w:val="solid" w:color="FFFFFF" w:fill="auto"/>
          </w:tcPr>
          <w:p w14:paraId="50B3CA9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C6FB9C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36E69B" w14:textId="77777777" w:rsidR="00D40151" w:rsidRPr="00873B6C" w:rsidRDefault="00D40151" w:rsidP="009D14FB">
            <w:pPr>
              <w:pStyle w:val="TAL"/>
              <w:rPr>
                <w:sz w:val="16"/>
                <w:szCs w:val="16"/>
              </w:rPr>
            </w:pPr>
            <w:r w:rsidRPr="00873B6C">
              <w:rPr>
                <w:sz w:val="16"/>
                <w:szCs w:val="16"/>
              </w:rPr>
              <w:t>GUAMI Definition Correction</w:t>
            </w:r>
          </w:p>
        </w:tc>
        <w:tc>
          <w:tcPr>
            <w:tcW w:w="708" w:type="dxa"/>
            <w:shd w:val="solid" w:color="FFFFFF" w:fill="auto"/>
          </w:tcPr>
          <w:p w14:paraId="26397D96" w14:textId="77777777" w:rsidR="00D40151" w:rsidRPr="00873B6C" w:rsidRDefault="00D40151" w:rsidP="009D14FB">
            <w:pPr>
              <w:pStyle w:val="TAC"/>
              <w:rPr>
                <w:sz w:val="16"/>
                <w:szCs w:val="16"/>
              </w:rPr>
            </w:pPr>
            <w:r w:rsidRPr="00873B6C">
              <w:rPr>
                <w:sz w:val="16"/>
                <w:szCs w:val="16"/>
              </w:rPr>
              <w:t>15.3.0</w:t>
            </w:r>
          </w:p>
        </w:tc>
      </w:tr>
      <w:tr w:rsidR="00D40151" w:rsidRPr="00873B6C" w14:paraId="792B83A0" w14:textId="77777777" w:rsidTr="009D14FB">
        <w:tc>
          <w:tcPr>
            <w:tcW w:w="800" w:type="dxa"/>
            <w:shd w:val="solid" w:color="FFFFFF" w:fill="auto"/>
          </w:tcPr>
          <w:p w14:paraId="67EB101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FD4336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AC46DA7"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6CAF6FD7" w14:textId="77777777" w:rsidR="00D40151" w:rsidRPr="00873B6C" w:rsidRDefault="00D40151" w:rsidP="009D14FB">
            <w:pPr>
              <w:pStyle w:val="TAL"/>
              <w:rPr>
                <w:sz w:val="16"/>
                <w:szCs w:val="16"/>
              </w:rPr>
            </w:pPr>
            <w:r w:rsidRPr="00873B6C">
              <w:rPr>
                <w:sz w:val="16"/>
                <w:szCs w:val="16"/>
              </w:rPr>
              <w:t>0518</w:t>
            </w:r>
          </w:p>
        </w:tc>
        <w:tc>
          <w:tcPr>
            <w:tcW w:w="425" w:type="dxa"/>
            <w:shd w:val="solid" w:color="FFFFFF" w:fill="auto"/>
          </w:tcPr>
          <w:p w14:paraId="2162729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8D292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3CA0DB" w14:textId="77777777" w:rsidR="00D40151" w:rsidRPr="00873B6C" w:rsidRDefault="00D40151" w:rsidP="009D14FB">
            <w:pPr>
              <w:pStyle w:val="TAL"/>
              <w:rPr>
                <w:sz w:val="16"/>
                <w:szCs w:val="16"/>
              </w:rPr>
            </w:pPr>
            <w:r w:rsidRPr="00873B6C">
              <w:rPr>
                <w:sz w:val="16"/>
                <w:szCs w:val="16"/>
              </w:rPr>
              <w:t>Merging Network Slice with regular EPS Interworking</w:t>
            </w:r>
          </w:p>
        </w:tc>
        <w:tc>
          <w:tcPr>
            <w:tcW w:w="708" w:type="dxa"/>
            <w:shd w:val="solid" w:color="FFFFFF" w:fill="auto"/>
          </w:tcPr>
          <w:p w14:paraId="2DF3B31F" w14:textId="77777777" w:rsidR="00D40151" w:rsidRPr="00873B6C" w:rsidRDefault="00D40151" w:rsidP="009D14FB">
            <w:pPr>
              <w:pStyle w:val="TAC"/>
              <w:rPr>
                <w:sz w:val="16"/>
                <w:szCs w:val="16"/>
              </w:rPr>
            </w:pPr>
            <w:r w:rsidRPr="00873B6C">
              <w:rPr>
                <w:sz w:val="16"/>
                <w:szCs w:val="16"/>
              </w:rPr>
              <w:t>15.3.0</w:t>
            </w:r>
          </w:p>
        </w:tc>
      </w:tr>
      <w:tr w:rsidR="00D40151" w:rsidRPr="00873B6C" w14:paraId="6A9CFA7E" w14:textId="77777777" w:rsidTr="009D14FB">
        <w:tc>
          <w:tcPr>
            <w:tcW w:w="800" w:type="dxa"/>
            <w:shd w:val="solid" w:color="FFFFFF" w:fill="auto"/>
          </w:tcPr>
          <w:p w14:paraId="1565896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35462F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765B34B"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639BE6A3" w14:textId="77777777" w:rsidR="00D40151" w:rsidRPr="00873B6C" w:rsidRDefault="00D40151" w:rsidP="009D14FB">
            <w:pPr>
              <w:pStyle w:val="TAL"/>
              <w:rPr>
                <w:sz w:val="16"/>
                <w:szCs w:val="16"/>
              </w:rPr>
            </w:pPr>
            <w:r w:rsidRPr="00873B6C">
              <w:rPr>
                <w:sz w:val="16"/>
                <w:szCs w:val="16"/>
              </w:rPr>
              <w:t>0520</w:t>
            </w:r>
          </w:p>
        </w:tc>
        <w:tc>
          <w:tcPr>
            <w:tcW w:w="425" w:type="dxa"/>
            <w:shd w:val="solid" w:color="FFFFFF" w:fill="auto"/>
          </w:tcPr>
          <w:p w14:paraId="6EEBE35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A7E530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452C10" w14:textId="77777777" w:rsidR="00D40151" w:rsidRPr="00873B6C" w:rsidRDefault="00D40151" w:rsidP="009D14FB">
            <w:pPr>
              <w:pStyle w:val="TAL"/>
              <w:rPr>
                <w:sz w:val="16"/>
                <w:szCs w:val="16"/>
              </w:rPr>
            </w:pPr>
            <w:r w:rsidRPr="00873B6C">
              <w:rPr>
                <w:sz w:val="16"/>
                <w:szCs w:val="16"/>
              </w:rPr>
              <w:t>Notification Control applicability</w:t>
            </w:r>
          </w:p>
        </w:tc>
        <w:tc>
          <w:tcPr>
            <w:tcW w:w="708" w:type="dxa"/>
            <w:shd w:val="solid" w:color="FFFFFF" w:fill="auto"/>
          </w:tcPr>
          <w:p w14:paraId="77B80B78" w14:textId="77777777" w:rsidR="00D40151" w:rsidRPr="00873B6C" w:rsidRDefault="00D40151" w:rsidP="009D14FB">
            <w:pPr>
              <w:pStyle w:val="TAC"/>
              <w:rPr>
                <w:sz w:val="16"/>
                <w:szCs w:val="16"/>
              </w:rPr>
            </w:pPr>
            <w:r w:rsidRPr="00873B6C">
              <w:rPr>
                <w:sz w:val="16"/>
                <w:szCs w:val="16"/>
              </w:rPr>
              <w:t>15.3.0</w:t>
            </w:r>
          </w:p>
        </w:tc>
      </w:tr>
      <w:tr w:rsidR="00D40151" w:rsidRPr="00873B6C" w14:paraId="48176A78" w14:textId="77777777" w:rsidTr="009D14FB">
        <w:tc>
          <w:tcPr>
            <w:tcW w:w="800" w:type="dxa"/>
            <w:shd w:val="solid" w:color="FFFFFF" w:fill="auto"/>
          </w:tcPr>
          <w:p w14:paraId="2342B66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15B4B5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666AAAA"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1BAE15F9" w14:textId="77777777" w:rsidR="00D40151" w:rsidRPr="00873B6C" w:rsidRDefault="00D40151" w:rsidP="009D14FB">
            <w:pPr>
              <w:pStyle w:val="TAL"/>
              <w:rPr>
                <w:sz w:val="16"/>
                <w:szCs w:val="16"/>
              </w:rPr>
            </w:pPr>
            <w:r w:rsidRPr="00873B6C">
              <w:rPr>
                <w:sz w:val="16"/>
                <w:szCs w:val="16"/>
              </w:rPr>
              <w:t>0521</w:t>
            </w:r>
          </w:p>
        </w:tc>
        <w:tc>
          <w:tcPr>
            <w:tcW w:w="425" w:type="dxa"/>
            <w:shd w:val="solid" w:color="FFFFFF" w:fill="auto"/>
          </w:tcPr>
          <w:p w14:paraId="008DBF9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8FC887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0BC09A" w14:textId="77777777" w:rsidR="00D40151" w:rsidRPr="00873B6C" w:rsidRDefault="00D40151" w:rsidP="009D14FB">
            <w:pPr>
              <w:pStyle w:val="TAL"/>
              <w:rPr>
                <w:sz w:val="16"/>
                <w:szCs w:val="16"/>
              </w:rPr>
            </w:pPr>
            <w:r w:rsidRPr="00873B6C">
              <w:rPr>
                <w:sz w:val="16"/>
                <w:szCs w:val="16"/>
              </w:rPr>
              <w:t>23.501: 5G AN Parameters sent during Service Request</w:t>
            </w:r>
          </w:p>
        </w:tc>
        <w:tc>
          <w:tcPr>
            <w:tcW w:w="708" w:type="dxa"/>
            <w:shd w:val="solid" w:color="FFFFFF" w:fill="auto"/>
          </w:tcPr>
          <w:p w14:paraId="3CE8BFEB" w14:textId="77777777" w:rsidR="00D40151" w:rsidRPr="00873B6C" w:rsidRDefault="00D40151" w:rsidP="009D14FB">
            <w:pPr>
              <w:pStyle w:val="TAC"/>
              <w:rPr>
                <w:sz w:val="16"/>
                <w:szCs w:val="16"/>
              </w:rPr>
            </w:pPr>
            <w:r w:rsidRPr="00873B6C">
              <w:rPr>
                <w:sz w:val="16"/>
                <w:szCs w:val="16"/>
              </w:rPr>
              <w:t>15.3.0</w:t>
            </w:r>
          </w:p>
        </w:tc>
      </w:tr>
      <w:tr w:rsidR="00D40151" w:rsidRPr="00873B6C" w14:paraId="45C64D3D" w14:textId="77777777" w:rsidTr="009D14FB">
        <w:tc>
          <w:tcPr>
            <w:tcW w:w="800" w:type="dxa"/>
            <w:shd w:val="solid" w:color="FFFFFF" w:fill="auto"/>
          </w:tcPr>
          <w:p w14:paraId="455C5E1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392E37D"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52DF64C"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3F4E8AD1" w14:textId="77777777" w:rsidR="00D40151" w:rsidRPr="00873B6C" w:rsidRDefault="00D40151" w:rsidP="009D14FB">
            <w:pPr>
              <w:pStyle w:val="TAL"/>
              <w:rPr>
                <w:sz w:val="16"/>
                <w:szCs w:val="16"/>
              </w:rPr>
            </w:pPr>
            <w:r w:rsidRPr="00873B6C">
              <w:rPr>
                <w:sz w:val="16"/>
                <w:szCs w:val="16"/>
              </w:rPr>
              <w:t>0524</w:t>
            </w:r>
          </w:p>
        </w:tc>
        <w:tc>
          <w:tcPr>
            <w:tcW w:w="425" w:type="dxa"/>
            <w:shd w:val="solid" w:color="FFFFFF" w:fill="auto"/>
          </w:tcPr>
          <w:p w14:paraId="4330392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C0DAD7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C38FD6" w14:textId="77777777" w:rsidR="00D40151" w:rsidRPr="00873B6C" w:rsidRDefault="00D40151" w:rsidP="009D14FB">
            <w:pPr>
              <w:pStyle w:val="TAL"/>
              <w:rPr>
                <w:sz w:val="16"/>
                <w:szCs w:val="16"/>
              </w:rPr>
            </w:pPr>
            <w:r w:rsidRPr="00873B6C">
              <w:rPr>
                <w:sz w:val="16"/>
                <w:szCs w:val="16"/>
              </w:rPr>
              <w:t>Null interworking with GERAN/UTRAN CS domain</w:t>
            </w:r>
          </w:p>
        </w:tc>
        <w:tc>
          <w:tcPr>
            <w:tcW w:w="708" w:type="dxa"/>
            <w:shd w:val="solid" w:color="FFFFFF" w:fill="auto"/>
          </w:tcPr>
          <w:p w14:paraId="2071B8AB" w14:textId="77777777" w:rsidR="00D40151" w:rsidRPr="00873B6C" w:rsidRDefault="00D40151" w:rsidP="009D14FB">
            <w:pPr>
              <w:pStyle w:val="TAC"/>
              <w:rPr>
                <w:sz w:val="16"/>
                <w:szCs w:val="16"/>
              </w:rPr>
            </w:pPr>
            <w:r w:rsidRPr="00873B6C">
              <w:rPr>
                <w:sz w:val="16"/>
                <w:szCs w:val="16"/>
              </w:rPr>
              <w:t>15.3.0</w:t>
            </w:r>
          </w:p>
        </w:tc>
      </w:tr>
      <w:tr w:rsidR="00D40151" w:rsidRPr="00873B6C" w14:paraId="4E28CB7E" w14:textId="77777777" w:rsidTr="009D14FB">
        <w:tc>
          <w:tcPr>
            <w:tcW w:w="800" w:type="dxa"/>
            <w:shd w:val="solid" w:color="FFFFFF" w:fill="auto"/>
          </w:tcPr>
          <w:p w14:paraId="638E042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A4375E9"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90F48A1"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0A62324A" w14:textId="77777777" w:rsidR="00D40151" w:rsidRPr="00873B6C" w:rsidRDefault="00D40151" w:rsidP="009D14FB">
            <w:pPr>
              <w:pStyle w:val="TAL"/>
              <w:rPr>
                <w:sz w:val="16"/>
                <w:szCs w:val="16"/>
              </w:rPr>
            </w:pPr>
            <w:r w:rsidRPr="00873B6C">
              <w:rPr>
                <w:sz w:val="16"/>
                <w:szCs w:val="16"/>
              </w:rPr>
              <w:t>0525</w:t>
            </w:r>
          </w:p>
        </w:tc>
        <w:tc>
          <w:tcPr>
            <w:tcW w:w="425" w:type="dxa"/>
            <w:shd w:val="solid" w:color="FFFFFF" w:fill="auto"/>
          </w:tcPr>
          <w:p w14:paraId="743006A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17B9F8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A44295" w14:textId="77777777" w:rsidR="00D40151" w:rsidRPr="00873B6C" w:rsidRDefault="00D40151" w:rsidP="009D14FB">
            <w:pPr>
              <w:pStyle w:val="TAL"/>
              <w:rPr>
                <w:sz w:val="16"/>
                <w:szCs w:val="16"/>
              </w:rPr>
            </w:pPr>
            <w:r w:rsidRPr="00873B6C">
              <w:rPr>
                <w:sz w:val="16"/>
                <w:szCs w:val="16"/>
              </w:rPr>
              <w:t>Correction on mobility management back-off timer</w:t>
            </w:r>
          </w:p>
        </w:tc>
        <w:tc>
          <w:tcPr>
            <w:tcW w:w="708" w:type="dxa"/>
            <w:shd w:val="solid" w:color="FFFFFF" w:fill="auto"/>
          </w:tcPr>
          <w:p w14:paraId="6E9B12B0" w14:textId="77777777" w:rsidR="00D40151" w:rsidRPr="00873B6C" w:rsidRDefault="00D40151" w:rsidP="009D14FB">
            <w:pPr>
              <w:pStyle w:val="TAC"/>
              <w:rPr>
                <w:sz w:val="16"/>
                <w:szCs w:val="16"/>
              </w:rPr>
            </w:pPr>
            <w:r w:rsidRPr="00873B6C">
              <w:rPr>
                <w:sz w:val="16"/>
                <w:szCs w:val="16"/>
              </w:rPr>
              <w:t>15.3.0</w:t>
            </w:r>
          </w:p>
        </w:tc>
      </w:tr>
      <w:tr w:rsidR="00D40151" w:rsidRPr="00873B6C" w14:paraId="14C6F931" w14:textId="77777777" w:rsidTr="009D14FB">
        <w:tc>
          <w:tcPr>
            <w:tcW w:w="800" w:type="dxa"/>
            <w:shd w:val="solid" w:color="FFFFFF" w:fill="auto"/>
          </w:tcPr>
          <w:p w14:paraId="0E138DC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F33899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7329F28"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0C107C94" w14:textId="77777777" w:rsidR="00D40151" w:rsidRPr="00873B6C" w:rsidRDefault="00D40151" w:rsidP="009D14FB">
            <w:pPr>
              <w:pStyle w:val="TAL"/>
              <w:rPr>
                <w:sz w:val="16"/>
                <w:szCs w:val="16"/>
              </w:rPr>
            </w:pPr>
            <w:r w:rsidRPr="00873B6C">
              <w:rPr>
                <w:sz w:val="16"/>
                <w:szCs w:val="16"/>
              </w:rPr>
              <w:t>0527</w:t>
            </w:r>
          </w:p>
        </w:tc>
        <w:tc>
          <w:tcPr>
            <w:tcW w:w="425" w:type="dxa"/>
            <w:shd w:val="solid" w:color="FFFFFF" w:fill="auto"/>
          </w:tcPr>
          <w:p w14:paraId="6F87F25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D68AC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AAB945" w14:textId="77777777" w:rsidR="00D40151" w:rsidRPr="00873B6C" w:rsidRDefault="00D40151" w:rsidP="009D14FB">
            <w:pPr>
              <w:pStyle w:val="TAL"/>
              <w:rPr>
                <w:sz w:val="16"/>
                <w:szCs w:val="16"/>
              </w:rPr>
            </w:pPr>
            <w:r w:rsidRPr="00873B6C">
              <w:rPr>
                <w:sz w:val="16"/>
                <w:szCs w:val="16"/>
              </w:rPr>
              <w:t>5G-TMSI should map to M-TMSI</w:t>
            </w:r>
          </w:p>
        </w:tc>
        <w:tc>
          <w:tcPr>
            <w:tcW w:w="708" w:type="dxa"/>
            <w:shd w:val="solid" w:color="FFFFFF" w:fill="auto"/>
          </w:tcPr>
          <w:p w14:paraId="07925B58" w14:textId="77777777" w:rsidR="00D40151" w:rsidRPr="00873B6C" w:rsidRDefault="00D40151" w:rsidP="009D14FB">
            <w:pPr>
              <w:pStyle w:val="TAC"/>
              <w:rPr>
                <w:sz w:val="16"/>
                <w:szCs w:val="16"/>
              </w:rPr>
            </w:pPr>
            <w:r w:rsidRPr="00873B6C">
              <w:rPr>
                <w:sz w:val="16"/>
                <w:szCs w:val="16"/>
              </w:rPr>
              <w:t>15.3.0</w:t>
            </w:r>
          </w:p>
        </w:tc>
      </w:tr>
      <w:tr w:rsidR="00D40151" w:rsidRPr="00873B6C" w14:paraId="2A1E700F" w14:textId="77777777" w:rsidTr="009D14FB">
        <w:tc>
          <w:tcPr>
            <w:tcW w:w="800" w:type="dxa"/>
            <w:shd w:val="solid" w:color="FFFFFF" w:fill="auto"/>
          </w:tcPr>
          <w:p w14:paraId="3052857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8D64C8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0433A14"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2E17D2FB" w14:textId="77777777" w:rsidR="00D40151" w:rsidRPr="00873B6C" w:rsidRDefault="00D40151" w:rsidP="009D14FB">
            <w:pPr>
              <w:pStyle w:val="TAL"/>
              <w:rPr>
                <w:sz w:val="16"/>
                <w:szCs w:val="16"/>
              </w:rPr>
            </w:pPr>
            <w:r w:rsidRPr="00873B6C">
              <w:rPr>
                <w:sz w:val="16"/>
                <w:szCs w:val="16"/>
              </w:rPr>
              <w:t>0529</w:t>
            </w:r>
          </w:p>
        </w:tc>
        <w:tc>
          <w:tcPr>
            <w:tcW w:w="425" w:type="dxa"/>
            <w:shd w:val="solid" w:color="FFFFFF" w:fill="auto"/>
          </w:tcPr>
          <w:p w14:paraId="6305A6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AC2F1A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BDF101" w14:textId="77777777" w:rsidR="00D40151" w:rsidRPr="00873B6C" w:rsidRDefault="00D40151" w:rsidP="009D14FB">
            <w:pPr>
              <w:pStyle w:val="TAL"/>
              <w:rPr>
                <w:sz w:val="16"/>
                <w:szCs w:val="16"/>
              </w:rPr>
            </w:pPr>
            <w:r w:rsidRPr="00873B6C">
              <w:rPr>
                <w:sz w:val="16"/>
                <w:szCs w:val="16"/>
              </w:rPr>
              <w:t>Clarification on Homogeneous Support of IMS Voice over PS Sessions indication</w:t>
            </w:r>
          </w:p>
        </w:tc>
        <w:tc>
          <w:tcPr>
            <w:tcW w:w="708" w:type="dxa"/>
            <w:shd w:val="solid" w:color="FFFFFF" w:fill="auto"/>
          </w:tcPr>
          <w:p w14:paraId="38D3A2EF" w14:textId="77777777" w:rsidR="00D40151" w:rsidRPr="00873B6C" w:rsidRDefault="00D40151" w:rsidP="009D14FB">
            <w:pPr>
              <w:pStyle w:val="TAC"/>
              <w:rPr>
                <w:sz w:val="16"/>
                <w:szCs w:val="16"/>
              </w:rPr>
            </w:pPr>
            <w:r w:rsidRPr="00873B6C">
              <w:rPr>
                <w:sz w:val="16"/>
                <w:szCs w:val="16"/>
              </w:rPr>
              <w:t>15.3.0</w:t>
            </w:r>
          </w:p>
        </w:tc>
      </w:tr>
      <w:tr w:rsidR="00D40151" w:rsidRPr="00873B6C" w14:paraId="5BA4E541" w14:textId="77777777" w:rsidTr="009D14FB">
        <w:tc>
          <w:tcPr>
            <w:tcW w:w="800" w:type="dxa"/>
            <w:shd w:val="solid" w:color="FFFFFF" w:fill="auto"/>
          </w:tcPr>
          <w:p w14:paraId="6CBDC2F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6EE786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58E7B4F"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061D68C2" w14:textId="77777777" w:rsidR="00D40151" w:rsidRPr="00873B6C" w:rsidRDefault="00D40151" w:rsidP="009D14FB">
            <w:pPr>
              <w:pStyle w:val="TAL"/>
              <w:rPr>
                <w:sz w:val="16"/>
                <w:szCs w:val="16"/>
              </w:rPr>
            </w:pPr>
            <w:r w:rsidRPr="00873B6C">
              <w:rPr>
                <w:sz w:val="16"/>
                <w:szCs w:val="16"/>
              </w:rPr>
              <w:t>0530</w:t>
            </w:r>
          </w:p>
        </w:tc>
        <w:tc>
          <w:tcPr>
            <w:tcW w:w="425" w:type="dxa"/>
            <w:shd w:val="solid" w:color="FFFFFF" w:fill="auto"/>
          </w:tcPr>
          <w:p w14:paraId="314892E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83852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CC723D" w14:textId="77777777" w:rsidR="00D40151" w:rsidRPr="00873B6C" w:rsidRDefault="00D40151" w:rsidP="009D14FB">
            <w:pPr>
              <w:pStyle w:val="TAL"/>
              <w:rPr>
                <w:sz w:val="16"/>
                <w:szCs w:val="16"/>
              </w:rPr>
            </w:pPr>
            <w:r w:rsidRPr="00873B6C">
              <w:rPr>
                <w:sz w:val="16"/>
                <w:szCs w:val="16"/>
              </w:rPr>
              <w:t>Clarification on the non-IP PDU session type for EPS to 5GS interworking</w:t>
            </w:r>
          </w:p>
        </w:tc>
        <w:tc>
          <w:tcPr>
            <w:tcW w:w="708" w:type="dxa"/>
            <w:shd w:val="solid" w:color="FFFFFF" w:fill="auto"/>
          </w:tcPr>
          <w:p w14:paraId="45474EC0" w14:textId="77777777" w:rsidR="00D40151" w:rsidRPr="00873B6C" w:rsidRDefault="00D40151" w:rsidP="009D14FB">
            <w:pPr>
              <w:pStyle w:val="TAC"/>
              <w:rPr>
                <w:sz w:val="16"/>
                <w:szCs w:val="16"/>
              </w:rPr>
            </w:pPr>
            <w:r w:rsidRPr="00873B6C">
              <w:rPr>
                <w:sz w:val="16"/>
                <w:szCs w:val="16"/>
              </w:rPr>
              <w:t>15.3.0</w:t>
            </w:r>
          </w:p>
        </w:tc>
      </w:tr>
      <w:tr w:rsidR="00D40151" w:rsidRPr="00873B6C" w14:paraId="225331A9" w14:textId="77777777" w:rsidTr="009D14FB">
        <w:tc>
          <w:tcPr>
            <w:tcW w:w="800" w:type="dxa"/>
            <w:shd w:val="solid" w:color="FFFFFF" w:fill="auto"/>
          </w:tcPr>
          <w:p w14:paraId="5FFBCFB8"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A5CAF4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0BCB359"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52392989" w14:textId="77777777" w:rsidR="00D40151" w:rsidRPr="00873B6C" w:rsidRDefault="00D40151" w:rsidP="009D14FB">
            <w:pPr>
              <w:pStyle w:val="TAL"/>
              <w:rPr>
                <w:sz w:val="16"/>
                <w:szCs w:val="16"/>
              </w:rPr>
            </w:pPr>
            <w:r w:rsidRPr="00873B6C">
              <w:rPr>
                <w:sz w:val="16"/>
                <w:szCs w:val="16"/>
              </w:rPr>
              <w:t>0531</w:t>
            </w:r>
          </w:p>
        </w:tc>
        <w:tc>
          <w:tcPr>
            <w:tcW w:w="425" w:type="dxa"/>
            <w:shd w:val="solid" w:color="FFFFFF" w:fill="auto"/>
          </w:tcPr>
          <w:p w14:paraId="75FB3C3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241125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68AAA1" w14:textId="77777777" w:rsidR="00D40151" w:rsidRPr="00873B6C" w:rsidRDefault="00D40151" w:rsidP="009D14FB">
            <w:pPr>
              <w:pStyle w:val="TAL"/>
              <w:rPr>
                <w:sz w:val="16"/>
                <w:szCs w:val="16"/>
              </w:rPr>
            </w:pPr>
            <w:r w:rsidRPr="00873B6C">
              <w:rPr>
                <w:sz w:val="16"/>
                <w:szCs w:val="16"/>
              </w:rPr>
              <w:t>Clarification on the PDU session handling in EPS to 5GS handover with N26</w:t>
            </w:r>
          </w:p>
        </w:tc>
        <w:tc>
          <w:tcPr>
            <w:tcW w:w="708" w:type="dxa"/>
            <w:shd w:val="solid" w:color="FFFFFF" w:fill="auto"/>
          </w:tcPr>
          <w:p w14:paraId="2B66D056" w14:textId="77777777" w:rsidR="00D40151" w:rsidRPr="00873B6C" w:rsidRDefault="00D40151" w:rsidP="009D14FB">
            <w:pPr>
              <w:pStyle w:val="TAC"/>
              <w:rPr>
                <w:sz w:val="16"/>
                <w:szCs w:val="16"/>
              </w:rPr>
            </w:pPr>
            <w:r w:rsidRPr="00873B6C">
              <w:rPr>
                <w:sz w:val="16"/>
                <w:szCs w:val="16"/>
              </w:rPr>
              <w:t>15.3.0</w:t>
            </w:r>
          </w:p>
        </w:tc>
      </w:tr>
      <w:tr w:rsidR="00D40151" w:rsidRPr="00873B6C" w14:paraId="6A0CDA3B" w14:textId="77777777" w:rsidTr="009D14FB">
        <w:tc>
          <w:tcPr>
            <w:tcW w:w="800" w:type="dxa"/>
            <w:shd w:val="solid" w:color="FFFFFF" w:fill="auto"/>
          </w:tcPr>
          <w:p w14:paraId="6CA4DFA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C242F62"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33A7ADF"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5588A6A9" w14:textId="77777777" w:rsidR="00D40151" w:rsidRPr="00873B6C" w:rsidRDefault="00D40151" w:rsidP="009D14FB">
            <w:pPr>
              <w:pStyle w:val="TAL"/>
              <w:rPr>
                <w:sz w:val="16"/>
                <w:szCs w:val="16"/>
              </w:rPr>
            </w:pPr>
            <w:r w:rsidRPr="00873B6C">
              <w:rPr>
                <w:sz w:val="16"/>
                <w:szCs w:val="16"/>
              </w:rPr>
              <w:t>0532</w:t>
            </w:r>
          </w:p>
        </w:tc>
        <w:tc>
          <w:tcPr>
            <w:tcW w:w="425" w:type="dxa"/>
            <w:shd w:val="solid" w:color="FFFFFF" w:fill="auto"/>
          </w:tcPr>
          <w:p w14:paraId="766E7F9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2136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4698A3" w14:textId="77777777" w:rsidR="00D40151" w:rsidRPr="00873B6C" w:rsidRDefault="00D40151" w:rsidP="009D14FB">
            <w:pPr>
              <w:pStyle w:val="TAL"/>
              <w:rPr>
                <w:sz w:val="16"/>
                <w:szCs w:val="16"/>
              </w:rPr>
            </w:pPr>
            <w:r w:rsidRPr="00873B6C">
              <w:rPr>
                <w:sz w:val="16"/>
                <w:szCs w:val="16"/>
              </w:rPr>
              <w:t>Incorrect text implying slicing is optional</w:t>
            </w:r>
          </w:p>
        </w:tc>
        <w:tc>
          <w:tcPr>
            <w:tcW w:w="708" w:type="dxa"/>
            <w:shd w:val="solid" w:color="FFFFFF" w:fill="auto"/>
          </w:tcPr>
          <w:p w14:paraId="185AAF89" w14:textId="77777777" w:rsidR="00D40151" w:rsidRPr="00873B6C" w:rsidRDefault="00D40151" w:rsidP="009D14FB">
            <w:pPr>
              <w:pStyle w:val="TAC"/>
              <w:rPr>
                <w:sz w:val="16"/>
                <w:szCs w:val="16"/>
              </w:rPr>
            </w:pPr>
            <w:r w:rsidRPr="00873B6C">
              <w:rPr>
                <w:sz w:val="16"/>
                <w:szCs w:val="16"/>
              </w:rPr>
              <w:t>15.3.0</w:t>
            </w:r>
          </w:p>
        </w:tc>
      </w:tr>
      <w:tr w:rsidR="00D40151" w:rsidRPr="00873B6C" w14:paraId="13CA14E0" w14:textId="77777777" w:rsidTr="009D14FB">
        <w:tc>
          <w:tcPr>
            <w:tcW w:w="800" w:type="dxa"/>
            <w:shd w:val="solid" w:color="FFFFFF" w:fill="auto"/>
          </w:tcPr>
          <w:p w14:paraId="0A1D03D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62A2DD9"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B2D9B45"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FAAA42C" w14:textId="77777777" w:rsidR="00D40151" w:rsidRPr="00873B6C" w:rsidRDefault="00D40151" w:rsidP="009D14FB">
            <w:pPr>
              <w:pStyle w:val="TAL"/>
              <w:rPr>
                <w:sz w:val="16"/>
                <w:szCs w:val="16"/>
              </w:rPr>
            </w:pPr>
            <w:r w:rsidRPr="00873B6C">
              <w:rPr>
                <w:sz w:val="16"/>
                <w:szCs w:val="16"/>
              </w:rPr>
              <w:t>0533</w:t>
            </w:r>
          </w:p>
        </w:tc>
        <w:tc>
          <w:tcPr>
            <w:tcW w:w="425" w:type="dxa"/>
            <w:shd w:val="solid" w:color="FFFFFF" w:fill="auto"/>
          </w:tcPr>
          <w:p w14:paraId="6068FA6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65C54F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35072A" w14:textId="77777777" w:rsidR="00D40151" w:rsidRPr="00873B6C" w:rsidRDefault="00D40151" w:rsidP="009D14FB">
            <w:pPr>
              <w:pStyle w:val="TAL"/>
              <w:rPr>
                <w:sz w:val="16"/>
                <w:szCs w:val="16"/>
              </w:rPr>
            </w:pPr>
            <w:r w:rsidRPr="00873B6C">
              <w:rPr>
                <w:sz w:val="16"/>
                <w:szCs w:val="16"/>
              </w:rPr>
              <w:t>Update of SMSF selection function</w:t>
            </w:r>
          </w:p>
        </w:tc>
        <w:tc>
          <w:tcPr>
            <w:tcW w:w="708" w:type="dxa"/>
            <w:shd w:val="solid" w:color="FFFFFF" w:fill="auto"/>
          </w:tcPr>
          <w:p w14:paraId="006091E8" w14:textId="77777777" w:rsidR="00D40151" w:rsidRPr="00873B6C" w:rsidRDefault="00D40151" w:rsidP="009D14FB">
            <w:pPr>
              <w:pStyle w:val="TAC"/>
              <w:rPr>
                <w:sz w:val="16"/>
                <w:szCs w:val="16"/>
              </w:rPr>
            </w:pPr>
            <w:r w:rsidRPr="00873B6C">
              <w:rPr>
                <w:sz w:val="16"/>
                <w:szCs w:val="16"/>
              </w:rPr>
              <w:t>15.3.0</w:t>
            </w:r>
          </w:p>
        </w:tc>
      </w:tr>
      <w:tr w:rsidR="00D40151" w:rsidRPr="00873B6C" w14:paraId="715F8FDB" w14:textId="77777777" w:rsidTr="009D14FB">
        <w:tc>
          <w:tcPr>
            <w:tcW w:w="800" w:type="dxa"/>
            <w:shd w:val="solid" w:color="FFFFFF" w:fill="auto"/>
          </w:tcPr>
          <w:p w14:paraId="4A8F939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11D00B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0B2479F"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62728D5B" w14:textId="77777777" w:rsidR="00D40151" w:rsidRPr="00873B6C" w:rsidRDefault="00D40151" w:rsidP="009D14FB">
            <w:pPr>
              <w:pStyle w:val="TAL"/>
              <w:rPr>
                <w:sz w:val="16"/>
                <w:szCs w:val="16"/>
              </w:rPr>
            </w:pPr>
            <w:r w:rsidRPr="00873B6C">
              <w:rPr>
                <w:sz w:val="16"/>
                <w:szCs w:val="16"/>
              </w:rPr>
              <w:t>0534</w:t>
            </w:r>
          </w:p>
        </w:tc>
        <w:tc>
          <w:tcPr>
            <w:tcW w:w="425" w:type="dxa"/>
            <w:shd w:val="solid" w:color="FFFFFF" w:fill="auto"/>
          </w:tcPr>
          <w:p w14:paraId="5FA5C54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8D4FB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37F80C" w14:textId="77777777" w:rsidR="00D40151" w:rsidRPr="00873B6C" w:rsidRDefault="00D40151" w:rsidP="009D14FB">
            <w:pPr>
              <w:pStyle w:val="TAL"/>
              <w:rPr>
                <w:sz w:val="16"/>
                <w:szCs w:val="16"/>
              </w:rPr>
            </w:pPr>
            <w:r w:rsidRPr="00873B6C">
              <w:rPr>
                <w:sz w:val="16"/>
                <w:szCs w:val="16"/>
              </w:rPr>
              <w:t>Corrections to NF profile description</w:t>
            </w:r>
          </w:p>
        </w:tc>
        <w:tc>
          <w:tcPr>
            <w:tcW w:w="708" w:type="dxa"/>
            <w:shd w:val="solid" w:color="FFFFFF" w:fill="auto"/>
          </w:tcPr>
          <w:p w14:paraId="0333B2D0" w14:textId="77777777" w:rsidR="00D40151" w:rsidRPr="00873B6C" w:rsidRDefault="00D40151" w:rsidP="009D14FB">
            <w:pPr>
              <w:pStyle w:val="TAC"/>
              <w:rPr>
                <w:sz w:val="16"/>
                <w:szCs w:val="16"/>
              </w:rPr>
            </w:pPr>
            <w:r w:rsidRPr="00873B6C">
              <w:rPr>
                <w:sz w:val="16"/>
                <w:szCs w:val="16"/>
              </w:rPr>
              <w:t>15.3.0</w:t>
            </w:r>
          </w:p>
        </w:tc>
      </w:tr>
      <w:tr w:rsidR="00D40151" w:rsidRPr="00873B6C" w14:paraId="6612FD5E" w14:textId="77777777" w:rsidTr="009D14FB">
        <w:tc>
          <w:tcPr>
            <w:tcW w:w="800" w:type="dxa"/>
            <w:shd w:val="solid" w:color="FFFFFF" w:fill="auto"/>
          </w:tcPr>
          <w:p w14:paraId="7A1EAA8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58142C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AEBB39E"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F56A0BE" w14:textId="77777777" w:rsidR="00D40151" w:rsidRPr="00873B6C" w:rsidRDefault="00D40151" w:rsidP="009D14FB">
            <w:pPr>
              <w:pStyle w:val="TAL"/>
              <w:rPr>
                <w:sz w:val="16"/>
                <w:szCs w:val="16"/>
              </w:rPr>
            </w:pPr>
            <w:r w:rsidRPr="00873B6C">
              <w:rPr>
                <w:sz w:val="16"/>
                <w:szCs w:val="16"/>
              </w:rPr>
              <w:t>0535</w:t>
            </w:r>
          </w:p>
        </w:tc>
        <w:tc>
          <w:tcPr>
            <w:tcW w:w="425" w:type="dxa"/>
            <w:shd w:val="solid" w:color="FFFFFF" w:fill="auto"/>
          </w:tcPr>
          <w:p w14:paraId="49618BE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E406EC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E60CE0" w14:textId="77777777" w:rsidR="00D40151" w:rsidRPr="00873B6C" w:rsidRDefault="00D40151" w:rsidP="009D14FB">
            <w:pPr>
              <w:pStyle w:val="TAL"/>
              <w:rPr>
                <w:sz w:val="16"/>
                <w:szCs w:val="16"/>
              </w:rPr>
            </w:pPr>
            <w:r w:rsidRPr="00873B6C">
              <w:rPr>
                <w:sz w:val="16"/>
                <w:szCs w:val="16"/>
              </w:rPr>
              <w:t>Corrections to NF services names and references</w:t>
            </w:r>
          </w:p>
        </w:tc>
        <w:tc>
          <w:tcPr>
            <w:tcW w:w="708" w:type="dxa"/>
            <w:shd w:val="solid" w:color="FFFFFF" w:fill="auto"/>
          </w:tcPr>
          <w:p w14:paraId="3C88C5A4" w14:textId="77777777" w:rsidR="00D40151" w:rsidRPr="00873B6C" w:rsidRDefault="00D40151" w:rsidP="009D14FB">
            <w:pPr>
              <w:pStyle w:val="TAC"/>
              <w:rPr>
                <w:sz w:val="16"/>
                <w:szCs w:val="16"/>
              </w:rPr>
            </w:pPr>
            <w:r w:rsidRPr="00873B6C">
              <w:rPr>
                <w:sz w:val="16"/>
                <w:szCs w:val="16"/>
              </w:rPr>
              <w:t>15.3.0</w:t>
            </w:r>
          </w:p>
        </w:tc>
      </w:tr>
      <w:tr w:rsidR="00D40151" w:rsidRPr="00873B6C" w14:paraId="2D65E4F4" w14:textId="77777777" w:rsidTr="009D14FB">
        <w:tc>
          <w:tcPr>
            <w:tcW w:w="800" w:type="dxa"/>
            <w:shd w:val="solid" w:color="FFFFFF" w:fill="auto"/>
          </w:tcPr>
          <w:p w14:paraId="018EE25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18E836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35468DB"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847555A" w14:textId="77777777" w:rsidR="00D40151" w:rsidRPr="00873B6C" w:rsidRDefault="00D40151" w:rsidP="009D14FB">
            <w:pPr>
              <w:pStyle w:val="TAL"/>
              <w:rPr>
                <w:sz w:val="16"/>
                <w:szCs w:val="16"/>
              </w:rPr>
            </w:pPr>
            <w:r w:rsidRPr="00873B6C">
              <w:rPr>
                <w:sz w:val="16"/>
                <w:szCs w:val="16"/>
              </w:rPr>
              <w:t>0536</w:t>
            </w:r>
          </w:p>
        </w:tc>
        <w:tc>
          <w:tcPr>
            <w:tcW w:w="425" w:type="dxa"/>
            <w:shd w:val="solid" w:color="FFFFFF" w:fill="auto"/>
          </w:tcPr>
          <w:p w14:paraId="73A2359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0EE97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428B48" w14:textId="77777777" w:rsidR="00D40151" w:rsidRPr="00873B6C" w:rsidRDefault="00D40151" w:rsidP="009D14FB">
            <w:pPr>
              <w:pStyle w:val="TAL"/>
              <w:rPr>
                <w:sz w:val="16"/>
                <w:szCs w:val="16"/>
              </w:rPr>
            </w:pPr>
            <w:r w:rsidRPr="00873B6C">
              <w:rPr>
                <w:sz w:val="16"/>
                <w:szCs w:val="16"/>
              </w:rPr>
              <w:t>Update on AUSF service operation to support Steering of Roaming</w:t>
            </w:r>
          </w:p>
        </w:tc>
        <w:tc>
          <w:tcPr>
            <w:tcW w:w="708" w:type="dxa"/>
            <w:shd w:val="solid" w:color="FFFFFF" w:fill="auto"/>
          </w:tcPr>
          <w:p w14:paraId="2FE63401" w14:textId="77777777" w:rsidR="00D40151" w:rsidRPr="00873B6C" w:rsidRDefault="00D40151" w:rsidP="009D14FB">
            <w:pPr>
              <w:pStyle w:val="TAC"/>
              <w:rPr>
                <w:sz w:val="16"/>
                <w:szCs w:val="16"/>
              </w:rPr>
            </w:pPr>
            <w:r w:rsidRPr="00873B6C">
              <w:rPr>
                <w:sz w:val="16"/>
                <w:szCs w:val="16"/>
              </w:rPr>
              <w:t>15.3.0</w:t>
            </w:r>
          </w:p>
        </w:tc>
      </w:tr>
      <w:tr w:rsidR="00D40151" w:rsidRPr="00873B6C" w14:paraId="521CC664" w14:textId="77777777" w:rsidTr="009D14FB">
        <w:tc>
          <w:tcPr>
            <w:tcW w:w="800" w:type="dxa"/>
            <w:shd w:val="solid" w:color="FFFFFF" w:fill="auto"/>
          </w:tcPr>
          <w:p w14:paraId="390D2F45"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9DB409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B4A72A4"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721CF2D7" w14:textId="77777777" w:rsidR="00D40151" w:rsidRPr="00873B6C" w:rsidRDefault="00D40151" w:rsidP="009D14FB">
            <w:pPr>
              <w:pStyle w:val="TAL"/>
              <w:rPr>
                <w:sz w:val="16"/>
                <w:szCs w:val="16"/>
              </w:rPr>
            </w:pPr>
            <w:r w:rsidRPr="00873B6C">
              <w:rPr>
                <w:sz w:val="16"/>
                <w:szCs w:val="16"/>
              </w:rPr>
              <w:t>0538</w:t>
            </w:r>
          </w:p>
        </w:tc>
        <w:tc>
          <w:tcPr>
            <w:tcW w:w="425" w:type="dxa"/>
            <w:shd w:val="solid" w:color="FFFFFF" w:fill="auto"/>
          </w:tcPr>
          <w:p w14:paraId="5B9D064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206F2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9DFCAA" w14:textId="77777777" w:rsidR="00D40151" w:rsidRPr="00873B6C" w:rsidRDefault="00D40151" w:rsidP="009D14FB">
            <w:pPr>
              <w:pStyle w:val="TAL"/>
              <w:rPr>
                <w:sz w:val="16"/>
                <w:szCs w:val="16"/>
              </w:rPr>
            </w:pPr>
            <w:r w:rsidRPr="00873B6C">
              <w:rPr>
                <w:sz w:val="16"/>
                <w:szCs w:val="16"/>
              </w:rPr>
              <w:t>Correction to interworking with EPC with N3GPP PDU Sessions</w:t>
            </w:r>
          </w:p>
        </w:tc>
        <w:tc>
          <w:tcPr>
            <w:tcW w:w="708" w:type="dxa"/>
            <w:shd w:val="solid" w:color="FFFFFF" w:fill="auto"/>
          </w:tcPr>
          <w:p w14:paraId="7AF2DD32" w14:textId="77777777" w:rsidR="00D40151" w:rsidRPr="00873B6C" w:rsidRDefault="00D40151" w:rsidP="009D14FB">
            <w:pPr>
              <w:pStyle w:val="TAC"/>
              <w:rPr>
                <w:sz w:val="16"/>
                <w:szCs w:val="16"/>
              </w:rPr>
            </w:pPr>
            <w:r w:rsidRPr="00873B6C">
              <w:rPr>
                <w:sz w:val="16"/>
                <w:szCs w:val="16"/>
              </w:rPr>
              <w:t>15.3.0</w:t>
            </w:r>
          </w:p>
        </w:tc>
      </w:tr>
      <w:tr w:rsidR="00D40151" w:rsidRPr="00873B6C" w14:paraId="40A5E6FD" w14:textId="77777777" w:rsidTr="009D14FB">
        <w:tc>
          <w:tcPr>
            <w:tcW w:w="800" w:type="dxa"/>
            <w:shd w:val="solid" w:color="FFFFFF" w:fill="auto"/>
          </w:tcPr>
          <w:p w14:paraId="34F3D4A7"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931DAD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8A55195"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5937950C" w14:textId="77777777" w:rsidR="00D40151" w:rsidRPr="00873B6C" w:rsidRDefault="00D40151" w:rsidP="009D14FB">
            <w:pPr>
              <w:pStyle w:val="TAL"/>
              <w:rPr>
                <w:sz w:val="16"/>
                <w:szCs w:val="16"/>
              </w:rPr>
            </w:pPr>
            <w:r w:rsidRPr="00873B6C">
              <w:rPr>
                <w:sz w:val="16"/>
                <w:szCs w:val="16"/>
              </w:rPr>
              <w:t>0539</w:t>
            </w:r>
          </w:p>
        </w:tc>
        <w:tc>
          <w:tcPr>
            <w:tcW w:w="425" w:type="dxa"/>
            <w:shd w:val="solid" w:color="FFFFFF" w:fill="auto"/>
          </w:tcPr>
          <w:p w14:paraId="445DD7F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F33A4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30426D" w14:textId="77777777" w:rsidR="00D40151" w:rsidRPr="00873B6C" w:rsidRDefault="00D40151" w:rsidP="009D14FB">
            <w:pPr>
              <w:pStyle w:val="TAL"/>
              <w:rPr>
                <w:sz w:val="16"/>
                <w:szCs w:val="16"/>
              </w:rPr>
            </w:pPr>
            <w:r w:rsidRPr="00873B6C">
              <w:rPr>
                <w:sz w:val="16"/>
                <w:szCs w:val="16"/>
              </w:rPr>
              <w:t>Emergency Services Support indicator for non-3GPP access</w:t>
            </w:r>
          </w:p>
        </w:tc>
        <w:tc>
          <w:tcPr>
            <w:tcW w:w="708" w:type="dxa"/>
            <w:shd w:val="solid" w:color="FFFFFF" w:fill="auto"/>
          </w:tcPr>
          <w:p w14:paraId="65712504" w14:textId="77777777" w:rsidR="00D40151" w:rsidRPr="00873B6C" w:rsidRDefault="00D40151" w:rsidP="009D14FB">
            <w:pPr>
              <w:pStyle w:val="TAC"/>
              <w:rPr>
                <w:sz w:val="16"/>
                <w:szCs w:val="16"/>
              </w:rPr>
            </w:pPr>
            <w:r w:rsidRPr="00873B6C">
              <w:rPr>
                <w:sz w:val="16"/>
                <w:szCs w:val="16"/>
              </w:rPr>
              <w:t>15.3.0</w:t>
            </w:r>
          </w:p>
        </w:tc>
      </w:tr>
      <w:tr w:rsidR="00D40151" w:rsidRPr="00873B6C" w14:paraId="7256602C" w14:textId="77777777" w:rsidTr="009D14FB">
        <w:tc>
          <w:tcPr>
            <w:tcW w:w="800" w:type="dxa"/>
            <w:shd w:val="solid" w:color="FFFFFF" w:fill="auto"/>
          </w:tcPr>
          <w:p w14:paraId="379B5E4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E7C0ED3"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851905D"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C1C2636" w14:textId="77777777" w:rsidR="00D40151" w:rsidRPr="00873B6C" w:rsidRDefault="00D40151" w:rsidP="009D14FB">
            <w:pPr>
              <w:pStyle w:val="TAL"/>
              <w:rPr>
                <w:sz w:val="16"/>
                <w:szCs w:val="16"/>
              </w:rPr>
            </w:pPr>
            <w:r w:rsidRPr="00873B6C">
              <w:rPr>
                <w:sz w:val="16"/>
                <w:szCs w:val="16"/>
              </w:rPr>
              <w:t>0540</w:t>
            </w:r>
          </w:p>
        </w:tc>
        <w:tc>
          <w:tcPr>
            <w:tcW w:w="425" w:type="dxa"/>
            <w:shd w:val="solid" w:color="FFFFFF" w:fill="auto"/>
          </w:tcPr>
          <w:p w14:paraId="6EF2CB1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36549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B35DDE" w14:textId="77777777" w:rsidR="00D40151" w:rsidRPr="00873B6C" w:rsidRDefault="00D40151" w:rsidP="009D14FB">
            <w:pPr>
              <w:pStyle w:val="TAL"/>
              <w:rPr>
                <w:sz w:val="16"/>
                <w:szCs w:val="16"/>
              </w:rPr>
            </w:pPr>
            <w:r w:rsidRPr="00873B6C">
              <w:rPr>
                <w:sz w:val="16"/>
                <w:szCs w:val="16"/>
              </w:rPr>
              <w:t>Clarification of the AMF Set definition</w:t>
            </w:r>
          </w:p>
        </w:tc>
        <w:tc>
          <w:tcPr>
            <w:tcW w:w="708" w:type="dxa"/>
            <w:shd w:val="solid" w:color="FFFFFF" w:fill="auto"/>
          </w:tcPr>
          <w:p w14:paraId="6F24D042" w14:textId="77777777" w:rsidR="00D40151" w:rsidRPr="00873B6C" w:rsidRDefault="00D40151" w:rsidP="009D14FB">
            <w:pPr>
              <w:pStyle w:val="TAC"/>
              <w:rPr>
                <w:sz w:val="16"/>
                <w:szCs w:val="16"/>
              </w:rPr>
            </w:pPr>
            <w:r w:rsidRPr="00873B6C">
              <w:rPr>
                <w:sz w:val="16"/>
                <w:szCs w:val="16"/>
              </w:rPr>
              <w:t>15.3.0</w:t>
            </w:r>
          </w:p>
        </w:tc>
      </w:tr>
      <w:tr w:rsidR="00D40151" w:rsidRPr="00873B6C" w14:paraId="6D7CEE68" w14:textId="77777777" w:rsidTr="009D14FB">
        <w:tc>
          <w:tcPr>
            <w:tcW w:w="800" w:type="dxa"/>
            <w:shd w:val="solid" w:color="FFFFFF" w:fill="auto"/>
          </w:tcPr>
          <w:p w14:paraId="76B45CE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05D4A43"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5F6AA4F"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32F0547F" w14:textId="77777777" w:rsidR="00D40151" w:rsidRPr="00873B6C" w:rsidRDefault="00D40151" w:rsidP="009D14FB">
            <w:pPr>
              <w:pStyle w:val="TAL"/>
              <w:rPr>
                <w:sz w:val="16"/>
                <w:szCs w:val="16"/>
              </w:rPr>
            </w:pPr>
            <w:r w:rsidRPr="00873B6C">
              <w:rPr>
                <w:sz w:val="16"/>
                <w:szCs w:val="16"/>
              </w:rPr>
              <w:t>0542</w:t>
            </w:r>
          </w:p>
        </w:tc>
        <w:tc>
          <w:tcPr>
            <w:tcW w:w="425" w:type="dxa"/>
            <w:shd w:val="solid" w:color="FFFFFF" w:fill="auto"/>
          </w:tcPr>
          <w:p w14:paraId="48E64C0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5FFAE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CE2F7C" w14:textId="77777777" w:rsidR="00D40151" w:rsidRPr="00873B6C" w:rsidRDefault="00D40151" w:rsidP="009D14FB">
            <w:pPr>
              <w:pStyle w:val="TAL"/>
              <w:rPr>
                <w:sz w:val="16"/>
                <w:szCs w:val="16"/>
              </w:rPr>
            </w:pPr>
            <w:r w:rsidRPr="00873B6C">
              <w:rPr>
                <w:sz w:val="16"/>
                <w:szCs w:val="16"/>
              </w:rPr>
              <w:t>Clarification on priority service</w:t>
            </w:r>
          </w:p>
        </w:tc>
        <w:tc>
          <w:tcPr>
            <w:tcW w:w="708" w:type="dxa"/>
            <w:shd w:val="solid" w:color="FFFFFF" w:fill="auto"/>
          </w:tcPr>
          <w:p w14:paraId="0D00A9C0" w14:textId="77777777" w:rsidR="00D40151" w:rsidRPr="00873B6C" w:rsidRDefault="00D40151" w:rsidP="009D14FB">
            <w:pPr>
              <w:pStyle w:val="TAC"/>
              <w:rPr>
                <w:sz w:val="16"/>
                <w:szCs w:val="16"/>
              </w:rPr>
            </w:pPr>
            <w:r w:rsidRPr="00873B6C">
              <w:rPr>
                <w:sz w:val="16"/>
                <w:szCs w:val="16"/>
              </w:rPr>
              <w:t>15.3.0</w:t>
            </w:r>
          </w:p>
        </w:tc>
      </w:tr>
      <w:tr w:rsidR="00D40151" w:rsidRPr="00873B6C" w14:paraId="05162A99" w14:textId="77777777" w:rsidTr="009D14FB">
        <w:tc>
          <w:tcPr>
            <w:tcW w:w="800" w:type="dxa"/>
            <w:shd w:val="solid" w:color="FFFFFF" w:fill="auto"/>
          </w:tcPr>
          <w:p w14:paraId="6CD30CC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79F32F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1724E59"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09347D7C" w14:textId="77777777" w:rsidR="00D40151" w:rsidRPr="00873B6C" w:rsidRDefault="00D40151" w:rsidP="009D14FB">
            <w:pPr>
              <w:pStyle w:val="TAL"/>
              <w:rPr>
                <w:sz w:val="16"/>
                <w:szCs w:val="16"/>
              </w:rPr>
            </w:pPr>
            <w:r w:rsidRPr="00873B6C">
              <w:rPr>
                <w:sz w:val="16"/>
                <w:szCs w:val="16"/>
              </w:rPr>
              <w:t>0543</w:t>
            </w:r>
          </w:p>
        </w:tc>
        <w:tc>
          <w:tcPr>
            <w:tcW w:w="425" w:type="dxa"/>
            <w:shd w:val="solid" w:color="FFFFFF" w:fill="auto"/>
          </w:tcPr>
          <w:p w14:paraId="3DBEA6A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60C661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B5E2F1" w14:textId="77777777" w:rsidR="00D40151" w:rsidRPr="00873B6C" w:rsidRDefault="00D40151" w:rsidP="009D14FB">
            <w:pPr>
              <w:pStyle w:val="TAL"/>
              <w:rPr>
                <w:sz w:val="16"/>
                <w:szCs w:val="16"/>
              </w:rPr>
            </w:pPr>
            <w:r w:rsidRPr="00873B6C">
              <w:rPr>
                <w:sz w:val="16"/>
                <w:szCs w:val="16"/>
              </w:rPr>
              <w:t>Unified Access Control for UE configured for EAB</w:t>
            </w:r>
          </w:p>
        </w:tc>
        <w:tc>
          <w:tcPr>
            <w:tcW w:w="708" w:type="dxa"/>
            <w:shd w:val="solid" w:color="FFFFFF" w:fill="auto"/>
          </w:tcPr>
          <w:p w14:paraId="40CFF5D1" w14:textId="77777777" w:rsidR="00D40151" w:rsidRPr="00873B6C" w:rsidRDefault="00D40151" w:rsidP="009D14FB">
            <w:pPr>
              <w:pStyle w:val="TAC"/>
              <w:rPr>
                <w:sz w:val="16"/>
                <w:szCs w:val="16"/>
              </w:rPr>
            </w:pPr>
            <w:r w:rsidRPr="00873B6C">
              <w:rPr>
                <w:sz w:val="16"/>
                <w:szCs w:val="16"/>
              </w:rPr>
              <w:t>15.3.0</w:t>
            </w:r>
          </w:p>
        </w:tc>
      </w:tr>
      <w:tr w:rsidR="00D40151" w:rsidRPr="00873B6C" w14:paraId="371380DE" w14:textId="77777777" w:rsidTr="009D14FB">
        <w:tc>
          <w:tcPr>
            <w:tcW w:w="800" w:type="dxa"/>
            <w:shd w:val="solid" w:color="FFFFFF" w:fill="auto"/>
          </w:tcPr>
          <w:p w14:paraId="3E6CD0A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F8C67E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87C258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DB95116" w14:textId="77777777" w:rsidR="00D40151" w:rsidRPr="00873B6C" w:rsidRDefault="00D40151" w:rsidP="009D14FB">
            <w:pPr>
              <w:pStyle w:val="TAL"/>
              <w:rPr>
                <w:sz w:val="16"/>
                <w:szCs w:val="16"/>
              </w:rPr>
            </w:pPr>
            <w:r w:rsidRPr="00873B6C">
              <w:rPr>
                <w:sz w:val="16"/>
                <w:szCs w:val="16"/>
              </w:rPr>
              <w:t>0544</w:t>
            </w:r>
          </w:p>
        </w:tc>
        <w:tc>
          <w:tcPr>
            <w:tcW w:w="425" w:type="dxa"/>
            <w:shd w:val="solid" w:color="FFFFFF" w:fill="auto"/>
          </w:tcPr>
          <w:p w14:paraId="5968A21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E202C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5E78CE" w14:textId="77777777" w:rsidR="00D40151" w:rsidRPr="00873B6C" w:rsidRDefault="00D40151" w:rsidP="009D14FB">
            <w:pPr>
              <w:pStyle w:val="TAL"/>
              <w:rPr>
                <w:sz w:val="16"/>
                <w:szCs w:val="16"/>
              </w:rPr>
            </w:pPr>
            <w:r w:rsidRPr="00873B6C">
              <w:rPr>
                <w:sz w:val="16"/>
                <w:szCs w:val="16"/>
              </w:rPr>
              <w:t>UE configuration of NSSAI and associated mapping</w:t>
            </w:r>
          </w:p>
        </w:tc>
        <w:tc>
          <w:tcPr>
            <w:tcW w:w="708" w:type="dxa"/>
            <w:shd w:val="solid" w:color="FFFFFF" w:fill="auto"/>
          </w:tcPr>
          <w:p w14:paraId="6A4D6B1F" w14:textId="77777777" w:rsidR="00D40151" w:rsidRPr="00873B6C" w:rsidRDefault="00D40151" w:rsidP="009D14FB">
            <w:pPr>
              <w:pStyle w:val="TAC"/>
              <w:rPr>
                <w:sz w:val="16"/>
                <w:szCs w:val="16"/>
              </w:rPr>
            </w:pPr>
            <w:r w:rsidRPr="00873B6C">
              <w:rPr>
                <w:sz w:val="16"/>
                <w:szCs w:val="16"/>
              </w:rPr>
              <w:t>15.3.0</w:t>
            </w:r>
          </w:p>
        </w:tc>
      </w:tr>
      <w:tr w:rsidR="00D40151" w:rsidRPr="00873B6C" w14:paraId="147BD326" w14:textId="77777777" w:rsidTr="009D14FB">
        <w:tc>
          <w:tcPr>
            <w:tcW w:w="800" w:type="dxa"/>
            <w:shd w:val="solid" w:color="FFFFFF" w:fill="auto"/>
          </w:tcPr>
          <w:p w14:paraId="0243A11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7888E8D"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CD1C032"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25C70A38" w14:textId="77777777" w:rsidR="00D40151" w:rsidRPr="00873B6C" w:rsidRDefault="00D40151" w:rsidP="009D14FB">
            <w:pPr>
              <w:pStyle w:val="TAL"/>
              <w:rPr>
                <w:sz w:val="16"/>
                <w:szCs w:val="16"/>
              </w:rPr>
            </w:pPr>
            <w:r w:rsidRPr="00873B6C">
              <w:rPr>
                <w:sz w:val="16"/>
                <w:szCs w:val="16"/>
              </w:rPr>
              <w:t>0545</w:t>
            </w:r>
          </w:p>
        </w:tc>
        <w:tc>
          <w:tcPr>
            <w:tcW w:w="425" w:type="dxa"/>
            <w:shd w:val="solid" w:color="FFFFFF" w:fill="auto"/>
          </w:tcPr>
          <w:p w14:paraId="5FDFC7D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70206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CAD650" w14:textId="77777777" w:rsidR="00D40151" w:rsidRPr="00873B6C" w:rsidRDefault="00D40151" w:rsidP="009D14FB">
            <w:pPr>
              <w:pStyle w:val="TAL"/>
              <w:rPr>
                <w:sz w:val="16"/>
                <w:szCs w:val="16"/>
              </w:rPr>
            </w:pPr>
            <w:r w:rsidRPr="00873B6C">
              <w:rPr>
                <w:sz w:val="16"/>
                <w:szCs w:val="16"/>
              </w:rPr>
              <w:t>Corrections to NEF functionalities description</w:t>
            </w:r>
          </w:p>
        </w:tc>
        <w:tc>
          <w:tcPr>
            <w:tcW w:w="708" w:type="dxa"/>
            <w:shd w:val="solid" w:color="FFFFFF" w:fill="auto"/>
          </w:tcPr>
          <w:p w14:paraId="678C829E" w14:textId="77777777" w:rsidR="00D40151" w:rsidRPr="00873B6C" w:rsidRDefault="00D40151" w:rsidP="009D14FB">
            <w:pPr>
              <w:pStyle w:val="TAC"/>
              <w:rPr>
                <w:sz w:val="16"/>
                <w:szCs w:val="16"/>
              </w:rPr>
            </w:pPr>
            <w:r w:rsidRPr="00873B6C">
              <w:rPr>
                <w:sz w:val="16"/>
                <w:szCs w:val="16"/>
              </w:rPr>
              <w:t>15.3.0</w:t>
            </w:r>
          </w:p>
        </w:tc>
      </w:tr>
      <w:tr w:rsidR="00D40151" w:rsidRPr="00873B6C" w14:paraId="73DACD15" w14:textId="77777777" w:rsidTr="009D14FB">
        <w:tc>
          <w:tcPr>
            <w:tcW w:w="800" w:type="dxa"/>
            <w:shd w:val="solid" w:color="FFFFFF" w:fill="auto"/>
          </w:tcPr>
          <w:p w14:paraId="6D6013E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9E92AA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1158A41"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5265ADB0" w14:textId="77777777" w:rsidR="00D40151" w:rsidRPr="00873B6C" w:rsidRDefault="00D40151" w:rsidP="009D14FB">
            <w:pPr>
              <w:pStyle w:val="TAL"/>
              <w:rPr>
                <w:sz w:val="16"/>
                <w:szCs w:val="16"/>
              </w:rPr>
            </w:pPr>
            <w:r w:rsidRPr="00873B6C">
              <w:rPr>
                <w:sz w:val="16"/>
                <w:szCs w:val="16"/>
              </w:rPr>
              <w:t>0546</w:t>
            </w:r>
          </w:p>
        </w:tc>
        <w:tc>
          <w:tcPr>
            <w:tcW w:w="425" w:type="dxa"/>
            <w:shd w:val="solid" w:color="FFFFFF" w:fill="auto"/>
          </w:tcPr>
          <w:p w14:paraId="21C51D1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1FADC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DB4B08" w14:textId="77777777" w:rsidR="00D40151" w:rsidRPr="00873B6C" w:rsidRDefault="00D40151" w:rsidP="009D14FB">
            <w:pPr>
              <w:pStyle w:val="TAL"/>
              <w:rPr>
                <w:sz w:val="16"/>
                <w:szCs w:val="16"/>
              </w:rPr>
            </w:pPr>
            <w:r w:rsidRPr="00873B6C">
              <w:rPr>
                <w:sz w:val="16"/>
                <w:szCs w:val="16"/>
              </w:rPr>
              <w:t>Update of N4 Parameter Descriptions and Tables/ Ethernet PDU Session Type</w:t>
            </w:r>
          </w:p>
        </w:tc>
        <w:tc>
          <w:tcPr>
            <w:tcW w:w="708" w:type="dxa"/>
            <w:shd w:val="solid" w:color="FFFFFF" w:fill="auto"/>
          </w:tcPr>
          <w:p w14:paraId="0ADA4D79" w14:textId="77777777" w:rsidR="00D40151" w:rsidRPr="00873B6C" w:rsidRDefault="00D40151" w:rsidP="009D14FB">
            <w:pPr>
              <w:pStyle w:val="TAC"/>
              <w:rPr>
                <w:sz w:val="16"/>
                <w:szCs w:val="16"/>
              </w:rPr>
            </w:pPr>
            <w:r w:rsidRPr="00873B6C">
              <w:rPr>
                <w:sz w:val="16"/>
                <w:szCs w:val="16"/>
              </w:rPr>
              <w:t>15.3.0</w:t>
            </w:r>
          </w:p>
        </w:tc>
      </w:tr>
      <w:tr w:rsidR="00D40151" w:rsidRPr="00873B6C" w14:paraId="0E17A852" w14:textId="77777777" w:rsidTr="009D14FB">
        <w:tc>
          <w:tcPr>
            <w:tcW w:w="800" w:type="dxa"/>
            <w:shd w:val="solid" w:color="FFFFFF" w:fill="auto"/>
          </w:tcPr>
          <w:p w14:paraId="2BFA8C5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5E622F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8D9581F"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35165BAE" w14:textId="77777777" w:rsidR="00D40151" w:rsidRPr="00873B6C" w:rsidRDefault="00D40151" w:rsidP="009D14FB">
            <w:pPr>
              <w:pStyle w:val="TAL"/>
              <w:rPr>
                <w:sz w:val="16"/>
                <w:szCs w:val="16"/>
              </w:rPr>
            </w:pPr>
            <w:r w:rsidRPr="00873B6C">
              <w:rPr>
                <w:sz w:val="16"/>
                <w:szCs w:val="16"/>
              </w:rPr>
              <w:t>0547</w:t>
            </w:r>
          </w:p>
        </w:tc>
        <w:tc>
          <w:tcPr>
            <w:tcW w:w="425" w:type="dxa"/>
            <w:shd w:val="solid" w:color="FFFFFF" w:fill="auto"/>
          </w:tcPr>
          <w:p w14:paraId="35C7E17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20DE4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FD34E6" w14:textId="77777777" w:rsidR="00D40151" w:rsidRPr="00873B6C" w:rsidRDefault="00D40151" w:rsidP="009D14FB">
            <w:pPr>
              <w:pStyle w:val="TAL"/>
              <w:rPr>
                <w:sz w:val="16"/>
                <w:szCs w:val="16"/>
              </w:rPr>
            </w:pPr>
            <w:r w:rsidRPr="00873B6C">
              <w:rPr>
                <w:sz w:val="16"/>
                <w:szCs w:val="16"/>
              </w:rPr>
              <w:t>Miscellaneous Corrections to SM specifications (SSC mode, PCFP reference, etc.)</w:t>
            </w:r>
          </w:p>
        </w:tc>
        <w:tc>
          <w:tcPr>
            <w:tcW w:w="708" w:type="dxa"/>
            <w:shd w:val="solid" w:color="FFFFFF" w:fill="auto"/>
          </w:tcPr>
          <w:p w14:paraId="67E317DF" w14:textId="77777777" w:rsidR="00D40151" w:rsidRPr="00873B6C" w:rsidRDefault="00D40151" w:rsidP="009D14FB">
            <w:pPr>
              <w:pStyle w:val="TAC"/>
              <w:rPr>
                <w:sz w:val="16"/>
                <w:szCs w:val="16"/>
              </w:rPr>
            </w:pPr>
            <w:r w:rsidRPr="00873B6C">
              <w:rPr>
                <w:sz w:val="16"/>
                <w:szCs w:val="16"/>
              </w:rPr>
              <w:t>15.3.0</w:t>
            </w:r>
          </w:p>
        </w:tc>
      </w:tr>
      <w:tr w:rsidR="00D40151" w:rsidRPr="00873B6C" w14:paraId="367413D8" w14:textId="77777777" w:rsidTr="009D14FB">
        <w:tc>
          <w:tcPr>
            <w:tcW w:w="800" w:type="dxa"/>
            <w:shd w:val="solid" w:color="FFFFFF" w:fill="auto"/>
          </w:tcPr>
          <w:p w14:paraId="3CA1114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A1FBEB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EE311C4"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682D965E" w14:textId="77777777" w:rsidR="00D40151" w:rsidRPr="00873B6C" w:rsidRDefault="00D40151" w:rsidP="009D14FB">
            <w:pPr>
              <w:pStyle w:val="TAL"/>
              <w:rPr>
                <w:sz w:val="16"/>
                <w:szCs w:val="16"/>
              </w:rPr>
            </w:pPr>
            <w:r w:rsidRPr="00873B6C">
              <w:rPr>
                <w:sz w:val="16"/>
                <w:szCs w:val="16"/>
              </w:rPr>
              <w:t>0548</w:t>
            </w:r>
          </w:p>
        </w:tc>
        <w:tc>
          <w:tcPr>
            <w:tcW w:w="425" w:type="dxa"/>
            <w:shd w:val="solid" w:color="FFFFFF" w:fill="auto"/>
          </w:tcPr>
          <w:p w14:paraId="37EE924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66D95F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51FE499" w14:textId="77777777" w:rsidR="00D40151" w:rsidRPr="00873B6C" w:rsidRDefault="00D40151" w:rsidP="009D14FB">
            <w:pPr>
              <w:pStyle w:val="TAL"/>
              <w:rPr>
                <w:sz w:val="16"/>
                <w:szCs w:val="16"/>
              </w:rPr>
            </w:pPr>
            <w:r w:rsidRPr="00873B6C">
              <w:rPr>
                <w:sz w:val="16"/>
                <w:szCs w:val="16"/>
              </w:rPr>
              <w:t>Specify AUSF selection by UDM</w:t>
            </w:r>
          </w:p>
        </w:tc>
        <w:tc>
          <w:tcPr>
            <w:tcW w:w="708" w:type="dxa"/>
            <w:shd w:val="solid" w:color="FFFFFF" w:fill="auto"/>
          </w:tcPr>
          <w:p w14:paraId="7391ABAD" w14:textId="77777777" w:rsidR="00D40151" w:rsidRPr="00873B6C" w:rsidRDefault="00D40151" w:rsidP="009D14FB">
            <w:pPr>
              <w:pStyle w:val="TAC"/>
              <w:rPr>
                <w:sz w:val="16"/>
                <w:szCs w:val="16"/>
              </w:rPr>
            </w:pPr>
            <w:r w:rsidRPr="00873B6C">
              <w:rPr>
                <w:sz w:val="16"/>
                <w:szCs w:val="16"/>
              </w:rPr>
              <w:t>15.3.0</w:t>
            </w:r>
          </w:p>
        </w:tc>
      </w:tr>
      <w:tr w:rsidR="00D40151" w:rsidRPr="00873B6C" w14:paraId="2573BA0C" w14:textId="77777777" w:rsidTr="009D14FB">
        <w:tc>
          <w:tcPr>
            <w:tcW w:w="800" w:type="dxa"/>
            <w:shd w:val="solid" w:color="FFFFFF" w:fill="auto"/>
          </w:tcPr>
          <w:p w14:paraId="1E2A1306"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F28809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FD99ED5"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3AAF2EE4" w14:textId="77777777" w:rsidR="00D40151" w:rsidRPr="00873B6C" w:rsidRDefault="00D40151" w:rsidP="009D14FB">
            <w:pPr>
              <w:pStyle w:val="TAL"/>
              <w:rPr>
                <w:sz w:val="16"/>
                <w:szCs w:val="16"/>
              </w:rPr>
            </w:pPr>
            <w:r w:rsidRPr="00873B6C">
              <w:rPr>
                <w:sz w:val="16"/>
                <w:szCs w:val="16"/>
              </w:rPr>
              <w:t>0551</w:t>
            </w:r>
          </w:p>
        </w:tc>
        <w:tc>
          <w:tcPr>
            <w:tcW w:w="425" w:type="dxa"/>
            <w:shd w:val="solid" w:color="FFFFFF" w:fill="auto"/>
          </w:tcPr>
          <w:p w14:paraId="6DA6AEA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E88187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202DC8" w14:textId="77777777" w:rsidR="00D40151" w:rsidRPr="00873B6C" w:rsidRDefault="00D40151" w:rsidP="009D14FB">
            <w:pPr>
              <w:pStyle w:val="TAL"/>
              <w:rPr>
                <w:sz w:val="16"/>
                <w:szCs w:val="16"/>
              </w:rPr>
            </w:pPr>
            <w:r w:rsidRPr="00873B6C">
              <w:rPr>
                <w:sz w:val="16"/>
                <w:szCs w:val="16"/>
              </w:rPr>
              <w:t>Obsolete reference to Lawful Interception specifications</w:t>
            </w:r>
          </w:p>
        </w:tc>
        <w:tc>
          <w:tcPr>
            <w:tcW w:w="708" w:type="dxa"/>
            <w:shd w:val="solid" w:color="FFFFFF" w:fill="auto"/>
          </w:tcPr>
          <w:p w14:paraId="0B89183E" w14:textId="77777777" w:rsidR="00D40151" w:rsidRPr="00873B6C" w:rsidRDefault="00D40151" w:rsidP="009D14FB">
            <w:pPr>
              <w:pStyle w:val="TAC"/>
              <w:rPr>
                <w:sz w:val="16"/>
                <w:szCs w:val="16"/>
              </w:rPr>
            </w:pPr>
            <w:r w:rsidRPr="00873B6C">
              <w:rPr>
                <w:sz w:val="16"/>
                <w:szCs w:val="16"/>
              </w:rPr>
              <w:t>15.3.0</w:t>
            </w:r>
          </w:p>
        </w:tc>
      </w:tr>
      <w:tr w:rsidR="00D40151" w:rsidRPr="00873B6C" w14:paraId="7C51BE63" w14:textId="77777777" w:rsidTr="009D14FB">
        <w:tc>
          <w:tcPr>
            <w:tcW w:w="800" w:type="dxa"/>
            <w:shd w:val="solid" w:color="FFFFFF" w:fill="auto"/>
          </w:tcPr>
          <w:p w14:paraId="63B528B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7E6C8F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BB8B48D"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67F3529F" w14:textId="77777777" w:rsidR="00D40151" w:rsidRPr="00873B6C" w:rsidRDefault="00D40151" w:rsidP="009D14FB">
            <w:pPr>
              <w:pStyle w:val="TAL"/>
              <w:rPr>
                <w:sz w:val="16"/>
                <w:szCs w:val="16"/>
              </w:rPr>
            </w:pPr>
            <w:r w:rsidRPr="00873B6C">
              <w:rPr>
                <w:sz w:val="16"/>
                <w:szCs w:val="16"/>
              </w:rPr>
              <w:t>0555</w:t>
            </w:r>
          </w:p>
        </w:tc>
        <w:tc>
          <w:tcPr>
            <w:tcW w:w="425" w:type="dxa"/>
            <w:shd w:val="solid" w:color="FFFFFF" w:fill="auto"/>
          </w:tcPr>
          <w:p w14:paraId="7CB58FF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C6056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E69553" w14:textId="77777777" w:rsidR="00D40151" w:rsidRPr="00873B6C" w:rsidRDefault="00D40151" w:rsidP="009D14FB">
            <w:pPr>
              <w:pStyle w:val="TAL"/>
              <w:rPr>
                <w:sz w:val="16"/>
                <w:szCs w:val="16"/>
              </w:rPr>
            </w:pPr>
            <w:r w:rsidRPr="00873B6C">
              <w:rPr>
                <w:sz w:val="16"/>
                <w:szCs w:val="16"/>
              </w:rPr>
              <w:t>Clearification on UE's configuraiton update</w:t>
            </w:r>
          </w:p>
        </w:tc>
        <w:tc>
          <w:tcPr>
            <w:tcW w:w="708" w:type="dxa"/>
            <w:shd w:val="solid" w:color="FFFFFF" w:fill="auto"/>
          </w:tcPr>
          <w:p w14:paraId="06FB9362" w14:textId="77777777" w:rsidR="00D40151" w:rsidRPr="00873B6C" w:rsidRDefault="00D40151" w:rsidP="009D14FB">
            <w:pPr>
              <w:pStyle w:val="TAC"/>
              <w:rPr>
                <w:sz w:val="16"/>
                <w:szCs w:val="16"/>
              </w:rPr>
            </w:pPr>
            <w:r w:rsidRPr="00873B6C">
              <w:rPr>
                <w:sz w:val="16"/>
                <w:szCs w:val="16"/>
              </w:rPr>
              <w:t>15.3.0</w:t>
            </w:r>
          </w:p>
        </w:tc>
      </w:tr>
      <w:tr w:rsidR="00D40151" w:rsidRPr="00873B6C" w14:paraId="6014A01F" w14:textId="77777777" w:rsidTr="009D14FB">
        <w:tc>
          <w:tcPr>
            <w:tcW w:w="800" w:type="dxa"/>
            <w:shd w:val="solid" w:color="FFFFFF" w:fill="auto"/>
          </w:tcPr>
          <w:p w14:paraId="6701C71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A4073C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5A6AE1A"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0671EB3F" w14:textId="77777777" w:rsidR="00D40151" w:rsidRPr="00873B6C" w:rsidRDefault="00D40151" w:rsidP="009D14FB">
            <w:pPr>
              <w:pStyle w:val="TAL"/>
              <w:rPr>
                <w:sz w:val="16"/>
                <w:szCs w:val="16"/>
              </w:rPr>
            </w:pPr>
            <w:r w:rsidRPr="00873B6C">
              <w:rPr>
                <w:sz w:val="16"/>
                <w:szCs w:val="16"/>
              </w:rPr>
              <w:t>0558</w:t>
            </w:r>
          </w:p>
        </w:tc>
        <w:tc>
          <w:tcPr>
            <w:tcW w:w="425" w:type="dxa"/>
            <w:shd w:val="solid" w:color="FFFFFF" w:fill="auto"/>
          </w:tcPr>
          <w:p w14:paraId="5B5A948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D009A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4112DB" w14:textId="77777777" w:rsidR="00D40151" w:rsidRPr="00873B6C" w:rsidRDefault="00D40151" w:rsidP="009D14FB">
            <w:pPr>
              <w:pStyle w:val="TAL"/>
              <w:rPr>
                <w:sz w:val="16"/>
                <w:szCs w:val="16"/>
              </w:rPr>
            </w:pPr>
            <w:r w:rsidRPr="00873B6C">
              <w:rPr>
                <w:sz w:val="16"/>
                <w:szCs w:val="16"/>
              </w:rPr>
              <w:t>Corrections to AF influence (5.6.7) based on CT WG3 LS on AF influence on traffic routing</w:t>
            </w:r>
          </w:p>
        </w:tc>
        <w:tc>
          <w:tcPr>
            <w:tcW w:w="708" w:type="dxa"/>
            <w:shd w:val="solid" w:color="FFFFFF" w:fill="auto"/>
          </w:tcPr>
          <w:p w14:paraId="6A7D32D9" w14:textId="77777777" w:rsidR="00D40151" w:rsidRPr="00873B6C" w:rsidRDefault="00D40151" w:rsidP="009D14FB">
            <w:pPr>
              <w:pStyle w:val="TAC"/>
              <w:rPr>
                <w:sz w:val="16"/>
                <w:szCs w:val="16"/>
              </w:rPr>
            </w:pPr>
            <w:r w:rsidRPr="00873B6C">
              <w:rPr>
                <w:sz w:val="16"/>
                <w:szCs w:val="16"/>
              </w:rPr>
              <w:t>15.3.0</w:t>
            </w:r>
          </w:p>
        </w:tc>
      </w:tr>
      <w:tr w:rsidR="00D40151" w:rsidRPr="00873B6C" w14:paraId="3EFEEB8F" w14:textId="77777777" w:rsidTr="009D14FB">
        <w:tc>
          <w:tcPr>
            <w:tcW w:w="800" w:type="dxa"/>
            <w:shd w:val="solid" w:color="FFFFFF" w:fill="auto"/>
          </w:tcPr>
          <w:p w14:paraId="124FB7A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7464FB3"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F6C566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7A3C699D" w14:textId="77777777" w:rsidR="00D40151" w:rsidRPr="00873B6C" w:rsidRDefault="00D40151" w:rsidP="009D14FB">
            <w:pPr>
              <w:pStyle w:val="TAL"/>
              <w:rPr>
                <w:sz w:val="16"/>
                <w:szCs w:val="16"/>
              </w:rPr>
            </w:pPr>
            <w:r w:rsidRPr="00873B6C">
              <w:rPr>
                <w:sz w:val="16"/>
                <w:szCs w:val="16"/>
              </w:rPr>
              <w:t>0559</w:t>
            </w:r>
          </w:p>
        </w:tc>
        <w:tc>
          <w:tcPr>
            <w:tcW w:w="425" w:type="dxa"/>
            <w:shd w:val="solid" w:color="FFFFFF" w:fill="auto"/>
          </w:tcPr>
          <w:p w14:paraId="7AAC99F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A9B11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F9C465" w14:textId="77777777" w:rsidR="00D40151" w:rsidRPr="00873B6C" w:rsidRDefault="00D40151" w:rsidP="009D14FB">
            <w:pPr>
              <w:pStyle w:val="TAL"/>
              <w:rPr>
                <w:sz w:val="16"/>
                <w:szCs w:val="16"/>
              </w:rPr>
            </w:pPr>
            <w:r w:rsidRPr="00873B6C">
              <w:rPr>
                <w:sz w:val="16"/>
                <w:szCs w:val="16"/>
              </w:rPr>
              <w:t>Alignment with CT WG1 on the QoS Flow Description</w:t>
            </w:r>
          </w:p>
        </w:tc>
        <w:tc>
          <w:tcPr>
            <w:tcW w:w="708" w:type="dxa"/>
            <w:shd w:val="solid" w:color="FFFFFF" w:fill="auto"/>
          </w:tcPr>
          <w:p w14:paraId="3DF01914" w14:textId="77777777" w:rsidR="00D40151" w:rsidRPr="00873B6C" w:rsidRDefault="00D40151" w:rsidP="009D14FB">
            <w:pPr>
              <w:pStyle w:val="TAC"/>
              <w:rPr>
                <w:sz w:val="16"/>
                <w:szCs w:val="16"/>
              </w:rPr>
            </w:pPr>
            <w:r w:rsidRPr="00873B6C">
              <w:rPr>
                <w:sz w:val="16"/>
                <w:szCs w:val="16"/>
              </w:rPr>
              <w:t>15.3.0</w:t>
            </w:r>
          </w:p>
        </w:tc>
      </w:tr>
      <w:tr w:rsidR="00D40151" w:rsidRPr="00873B6C" w14:paraId="4B76E196" w14:textId="77777777" w:rsidTr="009D14FB">
        <w:tc>
          <w:tcPr>
            <w:tcW w:w="800" w:type="dxa"/>
            <w:shd w:val="solid" w:color="FFFFFF" w:fill="auto"/>
          </w:tcPr>
          <w:p w14:paraId="549F97E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9925EC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F4B533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17C4F533" w14:textId="77777777" w:rsidR="00D40151" w:rsidRPr="00873B6C" w:rsidRDefault="00D40151" w:rsidP="009D14FB">
            <w:pPr>
              <w:pStyle w:val="TAL"/>
              <w:rPr>
                <w:sz w:val="16"/>
                <w:szCs w:val="16"/>
              </w:rPr>
            </w:pPr>
            <w:r w:rsidRPr="00873B6C">
              <w:rPr>
                <w:sz w:val="16"/>
                <w:szCs w:val="16"/>
              </w:rPr>
              <w:t>0562</w:t>
            </w:r>
          </w:p>
        </w:tc>
        <w:tc>
          <w:tcPr>
            <w:tcW w:w="425" w:type="dxa"/>
            <w:shd w:val="solid" w:color="FFFFFF" w:fill="auto"/>
          </w:tcPr>
          <w:p w14:paraId="79FF552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373B3A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BF1350" w14:textId="77777777" w:rsidR="00D40151" w:rsidRPr="00873B6C" w:rsidRDefault="00D40151" w:rsidP="009D14FB">
            <w:pPr>
              <w:pStyle w:val="TAL"/>
              <w:rPr>
                <w:sz w:val="16"/>
                <w:szCs w:val="16"/>
              </w:rPr>
            </w:pPr>
            <w:r w:rsidRPr="00873B6C">
              <w:rPr>
                <w:sz w:val="16"/>
                <w:szCs w:val="16"/>
              </w:rPr>
              <w:t>UDM procedures in EPS-5GS interworking without N26</w:t>
            </w:r>
          </w:p>
        </w:tc>
        <w:tc>
          <w:tcPr>
            <w:tcW w:w="708" w:type="dxa"/>
            <w:shd w:val="solid" w:color="FFFFFF" w:fill="auto"/>
          </w:tcPr>
          <w:p w14:paraId="7554A625" w14:textId="77777777" w:rsidR="00D40151" w:rsidRPr="00873B6C" w:rsidRDefault="00D40151" w:rsidP="009D14FB">
            <w:pPr>
              <w:pStyle w:val="TAC"/>
              <w:rPr>
                <w:sz w:val="16"/>
                <w:szCs w:val="16"/>
              </w:rPr>
            </w:pPr>
            <w:r w:rsidRPr="00873B6C">
              <w:rPr>
                <w:sz w:val="16"/>
                <w:szCs w:val="16"/>
              </w:rPr>
              <w:t>15.3.0</w:t>
            </w:r>
          </w:p>
        </w:tc>
      </w:tr>
      <w:tr w:rsidR="00D40151" w:rsidRPr="00873B6C" w14:paraId="5C97226F" w14:textId="77777777" w:rsidTr="009D14FB">
        <w:tc>
          <w:tcPr>
            <w:tcW w:w="800" w:type="dxa"/>
            <w:shd w:val="solid" w:color="FFFFFF" w:fill="auto"/>
          </w:tcPr>
          <w:p w14:paraId="2AB912FB"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919F8B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4670336"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EF2DEB8" w14:textId="77777777" w:rsidR="00D40151" w:rsidRPr="00873B6C" w:rsidRDefault="00D40151" w:rsidP="009D14FB">
            <w:pPr>
              <w:pStyle w:val="TAL"/>
              <w:rPr>
                <w:sz w:val="16"/>
                <w:szCs w:val="16"/>
              </w:rPr>
            </w:pPr>
            <w:r w:rsidRPr="00873B6C">
              <w:rPr>
                <w:sz w:val="16"/>
                <w:szCs w:val="16"/>
              </w:rPr>
              <w:t>0563</w:t>
            </w:r>
          </w:p>
        </w:tc>
        <w:tc>
          <w:tcPr>
            <w:tcW w:w="425" w:type="dxa"/>
            <w:shd w:val="solid" w:color="FFFFFF" w:fill="auto"/>
          </w:tcPr>
          <w:p w14:paraId="56572A3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8FB2CA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EC4CF3" w14:textId="77777777" w:rsidR="00D40151" w:rsidRPr="00873B6C" w:rsidRDefault="00D40151" w:rsidP="009D14FB">
            <w:pPr>
              <w:pStyle w:val="TAL"/>
              <w:rPr>
                <w:sz w:val="16"/>
                <w:szCs w:val="16"/>
              </w:rPr>
            </w:pPr>
            <w:r w:rsidRPr="00873B6C">
              <w:rPr>
                <w:sz w:val="16"/>
                <w:szCs w:val="16"/>
              </w:rPr>
              <w:t>Update of NEF service table (7.2.8) for Chargeable party and AFsessionWithQoS</w:t>
            </w:r>
          </w:p>
        </w:tc>
        <w:tc>
          <w:tcPr>
            <w:tcW w:w="708" w:type="dxa"/>
            <w:shd w:val="solid" w:color="FFFFFF" w:fill="auto"/>
          </w:tcPr>
          <w:p w14:paraId="3250B0B0" w14:textId="77777777" w:rsidR="00D40151" w:rsidRPr="00873B6C" w:rsidRDefault="00D40151" w:rsidP="009D14FB">
            <w:pPr>
              <w:pStyle w:val="TAC"/>
              <w:rPr>
                <w:sz w:val="16"/>
                <w:szCs w:val="16"/>
              </w:rPr>
            </w:pPr>
            <w:r w:rsidRPr="00873B6C">
              <w:rPr>
                <w:sz w:val="16"/>
                <w:szCs w:val="16"/>
              </w:rPr>
              <w:t>15.3.0</w:t>
            </w:r>
          </w:p>
        </w:tc>
      </w:tr>
      <w:tr w:rsidR="00D40151" w:rsidRPr="00873B6C" w14:paraId="6B312210" w14:textId="77777777" w:rsidTr="009D14FB">
        <w:tc>
          <w:tcPr>
            <w:tcW w:w="800" w:type="dxa"/>
            <w:shd w:val="solid" w:color="FFFFFF" w:fill="auto"/>
          </w:tcPr>
          <w:p w14:paraId="2D10D5A4"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9E0BBD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D92D09E"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45A0927" w14:textId="77777777" w:rsidR="00D40151" w:rsidRPr="00873B6C" w:rsidRDefault="00D40151" w:rsidP="009D14FB">
            <w:pPr>
              <w:pStyle w:val="TAL"/>
              <w:rPr>
                <w:sz w:val="16"/>
                <w:szCs w:val="16"/>
              </w:rPr>
            </w:pPr>
            <w:r w:rsidRPr="00873B6C">
              <w:rPr>
                <w:sz w:val="16"/>
                <w:szCs w:val="16"/>
              </w:rPr>
              <w:t>0564</w:t>
            </w:r>
          </w:p>
        </w:tc>
        <w:tc>
          <w:tcPr>
            <w:tcW w:w="425" w:type="dxa"/>
            <w:shd w:val="solid" w:color="FFFFFF" w:fill="auto"/>
          </w:tcPr>
          <w:p w14:paraId="4D1DE92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8611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5371AC" w14:textId="77777777" w:rsidR="00D40151" w:rsidRPr="00873B6C" w:rsidRDefault="00D40151" w:rsidP="009D14FB">
            <w:pPr>
              <w:pStyle w:val="TAL"/>
              <w:rPr>
                <w:sz w:val="16"/>
                <w:szCs w:val="16"/>
              </w:rPr>
            </w:pPr>
            <w:r w:rsidRPr="00873B6C">
              <w:rPr>
                <w:sz w:val="16"/>
                <w:szCs w:val="16"/>
              </w:rPr>
              <w:t>Radio Capabilities for DRM in emergency services</w:t>
            </w:r>
          </w:p>
        </w:tc>
        <w:tc>
          <w:tcPr>
            <w:tcW w:w="708" w:type="dxa"/>
            <w:shd w:val="solid" w:color="FFFFFF" w:fill="auto"/>
          </w:tcPr>
          <w:p w14:paraId="0D3CA921" w14:textId="77777777" w:rsidR="00D40151" w:rsidRPr="00873B6C" w:rsidRDefault="00D40151" w:rsidP="009D14FB">
            <w:pPr>
              <w:pStyle w:val="TAC"/>
              <w:rPr>
                <w:sz w:val="16"/>
                <w:szCs w:val="16"/>
              </w:rPr>
            </w:pPr>
            <w:r w:rsidRPr="00873B6C">
              <w:rPr>
                <w:sz w:val="16"/>
                <w:szCs w:val="16"/>
              </w:rPr>
              <w:t>15.3.0</w:t>
            </w:r>
          </w:p>
        </w:tc>
      </w:tr>
      <w:tr w:rsidR="00D40151" w:rsidRPr="00873B6C" w14:paraId="136906A7" w14:textId="77777777" w:rsidTr="009D14FB">
        <w:tc>
          <w:tcPr>
            <w:tcW w:w="800" w:type="dxa"/>
            <w:shd w:val="solid" w:color="FFFFFF" w:fill="auto"/>
          </w:tcPr>
          <w:p w14:paraId="56F4C02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67CEAF2"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14DF7A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272325FA" w14:textId="77777777" w:rsidR="00D40151" w:rsidRPr="00873B6C" w:rsidRDefault="00D40151" w:rsidP="009D14FB">
            <w:pPr>
              <w:pStyle w:val="TAL"/>
              <w:rPr>
                <w:sz w:val="16"/>
                <w:szCs w:val="16"/>
              </w:rPr>
            </w:pPr>
            <w:r w:rsidRPr="00873B6C">
              <w:rPr>
                <w:sz w:val="16"/>
                <w:szCs w:val="16"/>
              </w:rPr>
              <w:t>0565</w:t>
            </w:r>
          </w:p>
        </w:tc>
        <w:tc>
          <w:tcPr>
            <w:tcW w:w="425" w:type="dxa"/>
            <w:shd w:val="solid" w:color="FFFFFF" w:fill="auto"/>
          </w:tcPr>
          <w:p w14:paraId="0A74ACE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91A116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1A0800" w14:textId="77777777" w:rsidR="00D40151" w:rsidRPr="00873B6C" w:rsidRDefault="00D40151" w:rsidP="009D14FB">
            <w:pPr>
              <w:pStyle w:val="TAL"/>
              <w:rPr>
                <w:sz w:val="16"/>
                <w:szCs w:val="16"/>
              </w:rPr>
            </w:pPr>
            <w:r w:rsidRPr="00873B6C">
              <w:rPr>
                <w:sz w:val="16"/>
                <w:szCs w:val="16"/>
              </w:rPr>
              <w:t>Selection of S-NSSAIs used in the Requested NSSAI</w:t>
            </w:r>
          </w:p>
        </w:tc>
        <w:tc>
          <w:tcPr>
            <w:tcW w:w="708" w:type="dxa"/>
            <w:shd w:val="solid" w:color="FFFFFF" w:fill="auto"/>
          </w:tcPr>
          <w:p w14:paraId="59B1C1EA" w14:textId="77777777" w:rsidR="00D40151" w:rsidRPr="00873B6C" w:rsidRDefault="00D40151" w:rsidP="009D14FB">
            <w:pPr>
              <w:pStyle w:val="TAC"/>
              <w:rPr>
                <w:sz w:val="16"/>
                <w:szCs w:val="16"/>
              </w:rPr>
            </w:pPr>
            <w:r w:rsidRPr="00873B6C">
              <w:rPr>
                <w:sz w:val="16"/>
                <w:szCs w:val="16"/>
              </w:rPr>
              <w:t>15.3.0</w:t>
            </w:r>
          </w:p>
        </w:tc>
      </w:tr>
      <w:tr w:rsidR="00D40151" w:rsidRPr="00873B6C" w14:paraId="51663A07" w14:textId="77777777" w:rsidTr="009D14FB">
        <w:tc>
          <w:tcPr>
            <w:tcW w:w="800" w:type="dxa"/>
            <w:shd w:val="solid" w:color="FFFFFF" w:fill="auto"/>
          </w:tcPr>
          <w:p w14:paraId="3F30E39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1974D0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471E798"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10CE8FF5" w14:textId="77777777" w:rsidR="00D40151" w:rsidRPr="00873B6C" w:rsidRDefault="00D40151" w:rsidP="009D14FB">
            <w:pPr>
              <w:pStyle w:val="TAL"/>
              <w:rPr>
                <w:sz w:val="16"/>
                <w:szCs w:val="16"/>
              </w:rPr>
            </w:pPr>
            <w:r w:rsidRPr="00873B6C">
              <w:rPr>
                <w:sz w:val="16"/>
                <w:szCs w:val="16"/>
              </w:rPr>
              <w:t>0566</w:t>
            </w:r>
          </w:p>
        </w:tc>
        <w:tc>
          <w:tcPr>
            <w:tcW w:w="425" w:type="dxa"/>
            <w:shd w:val="solid" w:color="FFFFFF" w:fill="auto"/>
          </w:tcPr>
          <w:p w14:paraId="5F75666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5E619F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7EFA70" w14:textId="77777777" w:rsidR="00D40151" w:rsidRPr="00873B6C" w:rsidRDefault="00D40151" w:rsidP="009D14FB">
            <w:pPr>
              <w:pStyle w:val="TAL"/>
              <w:rPr>
                <w:sz w:val="16"/>
                <w:szCs w:val="16"/>
              </w:rPr>
            </w:pPr>
            <w:r w:rsidRPr="00873B6C">
              <w:rPr>
                <w:sz w:val="16"/>
                <w:szCs w:val="16"/>
              </w:rPr>
              <w:t>Temporary identifier usage at interworking</w:t>
            </w:r>
          </w:p>
        </w:tc>
        <w:tc>
          <w:tcPr>
            <w:tcW w:w="708" w:type="dxa"/>
            <w:shd w:val="solid" w:color="FFFFFF" w:fill="auto"/>
          </w:tcPr>
          <w:p w14:paraId="3D5A6F22" w14:textId="77777777" w:rsidR="00D40151" w:rsidRPr="00873B6C" w:rsidRDefault="00D40151" w:rsidP="009D14FB">
            <w:pPr>
              <w:pStyle w:val="TAC"/>
              <w:rPr>
                <w:sz w:val="16"/>
                <w:szCs w:val="16"/>
              </w:rPr>
            </w:pPr>
            <w:r w:rsidRPr="00873B6C">
              <w:rPr>
                <w:sz w:val="16"/>
                <w:szCs w:val="16"/>
              </w:rPr>
              <w:t>15.3.0</w:t>
            </w:r>
          </w:p>
        </w:tc>
      </w:tr>
      <w:tr w:rsidR="00D40151" w:rsidRPr="00873B6C" w14:paraId="0E1032C5" w14:textId="77777777" w:rsidTr="009D14FB">
        <w:tc>
          <w:tcPr>
            <w:tcW w:w="800" w:type="dxa"/>
            <w:shd w:val="solid" w:color="FFFFFF" w:fill="auto"/>
          </w:tcPr>
          <w:p w14:paraId="59CCEDB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25C96BA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B332F58"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35AC28B9" w14:textId="77777777" w:rsidR="00D40151" w:rsidRPr="00873B6C" w:rsidRDefault="00D40151" w:rsidP="009D14FB">
            <w:pPr>
              <w:pStyle w:val="TAL"/>
              <w:rPr>
                <w:sz w:val="16"/>
                <w:szCs w:val="16"/>
              </w:rPr>
            </w:pPr>
            <w:r w:rsidRPr="00873B6C">
              <w:rPr>
                <w:sz w:val="16"/>
                <w:szCs w:val="16"/>
              </w:rPr>
              <w:t>0567</w:t>
            </w:r>
          </w:p>
        </w:tc>
        <w:tc>
          <w:tcPr>
            <w:tcW w:w="425" w:type="dxa"/>
            <w:shd w:val="solid" w:color="FFFFFF" w:fill="auto"/>
          </w:tcPr>
          <w:p w14:paraId="28A30E4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268C3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0E53E2" w14:textId="77777777" w:rsidR="00D40151" w:rsidRPr="00873B6C" w:rsidRDefault="00D40151" w:rsidP="009D14FB">
            <w:pPr>
              <w:pStyle w:val="TAL"/>
              <w:rPr>
                <w:sz w:val="16"/>
                <w:szCs w:val="16"/>
              </w:rPr>
            </w:pPr>
            <w:r w:rsidRPr="00873B6C">
              <w:rPr>
                <w:sz w:val="16"/>
                <w:szCs w:val="16"/>
              </w:rPr>
              <w:t>Temporary identifier coordination</w:t>
            </w:r>
          </w:p>
        </w:tc>
        <w:tc>
          <w:tcPr>
            <w:tcW w:w="708" w:type="dxa"/>
            <w:shd w:val="solid" w:color="FFFFFF" w:fill="auto"/>
          </w:tcPr>
          <w:p w14:paraId="38B4E05D" w14:textId="77777777" w:rsidR="00D40151" w:rsidRPr="00873B6C" w:rsidRDefault="00D40151" w:rsidP="009D14FB">
            <w:pPr>
              <w:pStyle w:val="TAC"/>
              <w:rPr>
                <w:sz w:val="16"/>
                <w:szCs w:val="16"/>
              </w:rPr>
            </w:pPr>
            <w:r w:rsidRPr="00873B6C">
              <w:rPr>
                <w:sz w:val="16"/>
                <w:szCs w:val="16"/>
              </w:rPr>
              <w:t>15.3.0</w:t>
            </w:r>
          </w:p>
        </w:tc>
      </w:tr>
      <w:tr w:rsidR="00D40151" w:rsidRPr="00873B6C" w14:paraId="5D5ED98A" w14:textId="77777777" w:rsidTr="009D14FB">
        <w:tc>
          <w:tcPr>
            <w:tcW w:w="800" w:type="dxa"/>
            <w:shd w:val="solid" w:color="FFFFFF" w:fill="auto"/>
          </w:tcPr>
          <w:p w14:paraId="1E786105"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B2ED22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E414477"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8EC4D57" w14:textId="77777777" w:rsidR="00D40151" w:rsidRPr="00873B6C" w:rsidRDefault="00D40151" w:rsidP="009D14FB">
            <w:pPr>
              <w:pStyle w:val="TAL"/>
              <w:rPr>
                <w:sz w:val="16"/>
                <w:szCs w:val="16"/>
              </w:rPr>
            </w:pPr>
            <w:r w:rsidRPr="00873B6C">
              <w:rPr>
                <w:sz w:val="16"/>
                <w:szCs w:val="16"/>
              </w:rPr>
              <w:t>0569</w:t>
            </w:r>
          </w:p>
        </w:tc>
        <w:tc>
          <w:tcPr>
            <w:tcW w:w="425" w:type="dxa"/>
            <w:shd w:val="solid" w:color="FFFFFF" w:fill="auto"/>
          </w:tcPr>
          <w:p w14:paraId="2C5FE0B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3CABB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946027" w14:textId="77777777" w:rsidR="00D40151" w:rsidRPr="00873B6C" w:rsidRDefault="00D40151" w:rsidP="009D14FB">
            <w:pPr>
              <w:pStyle w:val="TAL"/>
              <w:rPr>
                <w:sz w:val="16"/>
                <w:szCs w:val="16"/>
              </w:rPr>
            </w:pPr>
            <w:r w:rsidRPr="00873B6C">
              <w:rPr>
                <w:sz w:val="16"/>
                <w:szCs w:val="16"/>
              </w:rPr>
              <w:t>Updating radio capabilities from RRC_Inactive</w:t>
            </w:r>
          </w:p>
        </w:tc>
        <w:tc>
          <w:tcPr>
            <w:tcW w:w="708" w:type="dxa"/>
            <w:shd w:val="solid" w:color="FFFFFF" w:fill="auto"/>
          </w:tcPr>
          <w:p w14:paraId="5E397588" w14:textId="77777777" w:rsidR="00D40151" w:rsidRPr="00873B6C" w:rsidRDefault="00D40151" w:rsidP="009D14FB">
            <w:pPr>
              <w:pStyle w:val="TAC"/>
              <w:rPr>
                <w:sz w:val="16"/>
                <w:szCs w:val="16"/>
              </w:rPr>
            </w:pPr>
            <w:r w:rsidRPr="00873B6C">
              <w:rPr>
                <w:sz w:val="16"/>
                <w:szCs w:val="16"/>
              </w:rPr>
              <w:t>15.3.0</w:t>
            </w:r>
          </w:p>
        </w:tc>
      </w:tr>
      <w:tr w:rsidR="00D40151" w:rsidRPr="00873B6C" w14:paraId="16CFF553" w14:textId="77777777" w:rsidTr="009D14FB">
        <w:tc>
          <w:tcPr>
            <w:tcW w:w="800" w:type="dxa"/>
            <w:shd w:val="solid" w:color="FFFFFF" w:fill="auto"/>
          </w:tcPr>
          <w:p w14:paraId="1ACC7BF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1BD989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193A01D"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27724869" w14:textId="77777777" w:rsidR="00D40151" w:rsidRPr="00873B6C" w:rsidRDefault="00D40151" w:rsidP="009D14FB">
            <w:pPr>
              <w:pStyle w:val="TAL"/>
              <w:rPr>
                <w:sz w:val="16"/>
                <w:szCs w:val="16"/>
              </w:rPr>
            </w:pPr>
            <w:r w:rsidRPr="00873B6C">
              <w:rPr>
                <w:sz w:val="16"/>
                <w:szCs w:val="16"/>
              </w:rPr>
              <w:t>0573</w:t>
            </w:r>
          </w:p>
        </w:tc>
        <w:tc>
          <w:tcPr>
            <w:tcW w:w="425" w:type="dxa"/>
            <w:shd w:val="solid" w:color="FFFFFF" w:fill="auto"/>
          </w:tcPr>
          <w:p w14:paraId="6650AFB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07316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3E2C83" w14:textId="77777777" w:rsidR="00D40151" w:rsidRPr="00873B6C" w:rsidRDefault="00D40151" w:rsidP="009D14FB">
            <w:pPr>
              <w:pStyle w:val="TAL"/>
              <w:rPr>
                <w:sz w:val="16"/>
                <w:szCs w:val="16"/>
              </w:rPr>
            </w:pPr>
            <w:r w:rsidRPr="00873B6C">
              <w:rPr>
                <w:sz w:val="16"/>
                <w:szCs w:val="16"/>
              </w:rPr>
              <w:t>SMS support used in different meanings</w:t>
            </w:r>
          </w:p>
        </w:tc>
        <w:tc>
          <w:tcPr>
            <w:tcW w:w="708" w:type="dxa"/>
            <w:shd w:val="solid" w:color="FFFFFF" w:fill="auto"/>
          </w:tcPr>
          <w:p w14:paraId="5E3E4AFF" w14:textId="77777777" w:rsidR="00D40151" w:rsidRPr="00873B6C" w:rsidRDefault="00D40151" w:rsidP="009D14FB">
            <w:pPr>
              <w:pStyle w:val="TAC"/>
              <w:rPr>
                <w:sz w:val="16"/>
                <w:szCs w:val="16"/>
              </w:rPr>
            </w:pPr>
            <w:r w:rsidRPr="00873B6C">
              <w:rPr>
                <w:sz w:val="16"/>
                <w:szCs w:val="16"/>
              </w:rPr>
              <w:t>15.3.0</w:t>
            </w:r>
          </w:p>
        </w:tc>
      </w:tr>
      <w:tr w:rsidR="00D40151" w:rsidRPr="00873B6C" w14:paraId="1DCB0A21" w14:textId="77777777" w:rsidTr="009D14FB">
        <w:tc>
          <w:tcPr>
            <w:tcW w:w="800" w:type="dxa"/>
            <w:shd w:val="solid" w:color="FFFFFF" w:fill="auto"/>
          </w:tcPr>
          <w:p w14:paraId="43033F14"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E97B88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D8E2FB0"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62C85278" w14:textId="77777777" w:rsidR="00D40151" w:rsidRPr="00873B6C" w:rsidRDefault="00D40151" w:rsidP="009D14FB">
            <w:pPr>
              <w:pStyle w:val="TAL"/>
              <w:rPr>
                <w:sz w:val="16"/>
                <w:szCs w:val="16"/>
              </w:rPr>
            </w:pPr>
            <w:r w:rsidRPr="00873B6C">
              <w:rPr>
                <w:sz w:val="16"/>
                <w:szCs w:val="16"/>
              </w:rPr>
              <w:t>0575</w:t>
            </w:r>
          </w:p>
        </w:tc>
        <w:tc>
          <w:tcPr>
            <w:tcW w:w="425" w:type="dxa"/>
            <w:shd w:val="solid" w:color="FFFFFF" w:fill="auto"/>
          </w:tcPr>
          <w:p w14:paraId="3A10B62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E282FD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BF02E5" w14:textId="77777777" w:rsidR="00D40151" w:rsidRPr="00873B6C" w:rsidRDefault="00D40151" w:rsidP="009D14FB">
            <w:pPr>
              <w:pStyle w:val="TAL"/>
              <w:rPr>
                <w:sz w:val="16"/>
                <w:szCs w:val="16"/>
              </w:rPr>
            </w:pPr>
            <w:r w:rsidRPr="00873B6C">
              <w:rPr>
                <w:sz w:val="16"/>
                <w:szCs w:val="16"/>
              </w:rPr>
              <w:t>Exposure function reference correction</w:t>
            </w:r>
          </w:p>
        </w:tc>
        <w:tc>
          <w:tcPr>
            <w:tcW w:w="708" w:type="dxa"/>
            <w:shd w:val="solid" w:color="FFFFFF" w:fill="auto"/>
          </w:tcPr>
          <w:p w14:paraId="78DEFE34" w14:textId="77777777" w:rsidR="00D40151" w:rsidRPr="00873B6C" w:rsidRDefault="00D40151" w:rsidP="009D14FB">
            <w:pPr>
              <w:pStyle w:val="TAC"/>
              <w:rPr>
                <w:sz w:val="16"/>
                <w:szCs w:val="16"/>
              </w:rPr>
            </w:pPr>
            <w:r w:rsidRPr="00873B6C">
              <w:rPr>
                <w:sz w:val="16"/>
                <w:szCs w:val="16"/>
              </w:rPr>
              <w:t>15.3.0</w:t>
            </w:r>
          </w:p>
        </w:tc>
      </w:tr>
      <w:tr w:rsidR="00D40151" w:rsidRPr="00873B6C" w14:paraId="5C5750A5" w14:textId="77777777" w:rsidTr="009D14FB">
        <w:tc>
          <w:tcPr>
            <w:tcW w:w="800" w:type="dxa"/>
            <w:shd w:val="solid" w:color="FFFFFF" w:fill="auto"/>
          </w:tcPr>
          <w:p w14:paraId="1150439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F3CF8A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11B01FE"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34284E62" w14:textId="77777777" w:rsidR="00D40151" w:rsidRPr="00873B6C" w:rsidRDefault="00D40151" w:rsidP="009D14FB">
            <w:pPr>
              <w:pStyle w:val="TAL"/>
              <w:rPr>
                <w:sz w:val="16"/>
                <w:szCs w:val="16"/>
              </w:rPr>
            </w:pPr>
            <w:r w:rsidRPr="00873B6C">
              <w:rPr>
                <w:sz w:val="16"/>
                <w:szCs w:val="16"/>
              </w:rPr>
              <w:t xml:space="preserve"> 0583</w:t>
            </w:r>
          </w:p>
        </w:tc>
        <w:tc>
          <w:tcPr>
            <w:tcW w:w="425" w:type="dxa"/>
            <w:shd w:val="solid" w:color="FFFFFF" w:fill="auto"/>
          </w:tcPr>
          <w:p w14:paraId="0953C8A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E45EB0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56AAD7" w14:textId="77777777" w:rsidR="00D40151" w:rsidRPr="00873B6C" w:rsidRDefault="00D40151" w:rsidP="009D14FB">
            <w:pPr>
              <w:pStyle w:val="TAL"/>
              <w:rPr>
                <w:sz w:val="16"/>
                <w:szCs w:val="16"/>
              </w:rPr>
            </w:pPr>
            <w:r w:rsidRPr="00873B6C">
              <w:rPr>
                <w:sz w:val="16"/>
                <w:szCs w:val="16"/>
              </w:rPr>
              <w:t>Consistent Description of 5QI</w:t>
            </w:r>
          </w:p>
        </w:tc>
        <w:tc>
          <w:tcPr>
            <w:tcW w:w="708" w:type="dxa"/>
            <w:shd w:val="solid" w:color="FFFFFF" w:fill="auto"/>
          </w:tcPr>
          <w:p w14:paraId="16E4A33E" w14:textId="77777777" w:rsidR="00D40151" w:rsidRPr="00873B6C" w:rsidRDefault="00D40151" w:rsidP="009D14FB">
            <w:pPr>
              <w:pStyle w:val="TAC"/>
              <w:rPr>
                <w:sz w:val="16"/>
                <w:szCs w:val="16"/>
              </w:rPr>
            </w:pPr>
            <w:r w:rsidRPr="00873B6C">
              <w:rPr>
                <w:sz w:val="16"/>
                <w:szCs w:val="16"/>
              </w:rPr>
              <w:t>15.3.0</w:t>
            </w:r>
          </w:p>
        </w:tc>
      </w:tr>
      <w:tr w:rsidR="00D40151" w:rsidRPr="00873B6C" w14:paraId="42FFD0F9" w14:textId="77777777" w:rsidTr="009D14FB">
        <w:tc>
          <w:tcPr>
            <w:tcW w:w="800" w:type="dxa"/>
            <w:shd w:val="solid" w:color="FFFFFF" w:fill="auto"/>
          </w:tcPr>
          <w:p w14:paraId="1CBDC2F4"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6ECCB8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548DF6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7B002DB" w14:textId="77777777" w:rsidR="00D40151" w:rsidRPr="00873B6C" w:rsidRDefault="00D40151" w:rsidP="009D14FB">
            <w:pPr>
              <w:pStyle w:val="TAL"/>
              <w:rPr>
                <w:sz w:val="16"/>
                <w:szCs w:val="16"/>
              </w:rPr>
            </w:pPr>
            <w:r w:rsidRPr="00873B6C">
              <w:rPr>
                <w:sz w:val="16"/>
                <w:szCs w:val="16"/>
              </w:rPr>
              <w:t>0584</w:t>
            </w:r>
          </w:p>
        </w:tc>
        <w:tc>
          <w:tcPr>
            <w:tcW w:w="425" w:type="dxa"/>
            <w:shd w:val="solid" w:color="FFFFFF" w:fill="auto"/>
          </w:tcPr>
          <w:p w14:paraId="466A767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D502E3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0AC709" w14:textId="77777777" w:rsidR="00D40151" w:rsidRPr="00873B6C" w:rsidRDefault="00D40151" w:rsidP="009D14FB">
            <w:pPr>
              <w:pStyle w:val="TAL"/>
              <w:rPr>
                <w:sz w:val="16"/>
                <w:szCs w:val="16"/>
              </w:rPr>
            </w:pPr>
            <w:r w:rsidRPr="00873B6C">
              <w:rPr>
                <w:sz w:val="16"/>
                <w:szCs w:val="16"/>
              </w:rPr>
              <w:t>Corrections to N4 and UP tunnel protocol descriptions</w:t>
            </w:r>
          </w:p>
        </w:tc>
        <w:tc>
          <w:tcPr>
            <w:tcW w:w="708" w:type="dxa"/>
            <w:shd w:val="solid" w:color="FFFFFF" w:fill="auto"/>
          </w:tcPr>
          <w:p w14:paraId="208254E6" w14:textId="77777777" w:rsidR="00D40151" w:rsidRPr="00873B6C" w:rsidRDefault="00D40151" w:rsidP="009D14FB">
            <w:pPr>
              <w:pStyle w:val="TAC"/>
              <w:rPr>
                <w:sz w:val="16"/>
                <w:szCs w:val="16"/>
              </w:rPr>
            </w:pPr>
            <w:r w:rsidRPr="00873B6C">
              <w:rPr>
                <w:sz w:val="16"/>
                <w:szCs w:val="16"/>
              </w:rPr>
              <w:t>15.3.0</w:t>
            </w:r>
          </w:p>
        </w:tc>
      </w:tr>
      <w:tr w:rsidR="00D40151" w:rsidRPr="00873B6C" w14:paraId="3255DF67" w14:textId="77777777" w:rsidTr="009D14FB">
        <w:tc>
          <w:tcPr>
            <w:tcW w:w="800" w:type="dxa"/>
            <w:shd w:val="solid" w:color="FFFFFF" w:fill="auto"/>
          </w:tcPr>
          <w:p w14:paraId="6B00BCF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65F42A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F8BD2C2"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12214621" w14:textId="77777777" w:rsidR="00D40151" w:rsidRPr="00873B6C" w:rsidRDefault="00D40151" w:rsidP="009D14FB">
            <w:pPr>
              <w:pStyle w:val="TAL"/>
              <w:rPr>
                <w:sz w:val="16"/>
                <w:szCs w:val="16"/>
              </w:rPr>
            </w:pPr>
            <w:r w:rsidRPr="00873B6C">
              <w:rPr>
                <w:sz w:val="16"/>
                <w:szCs w:val="16"/>
              </w:rPr>
              <w:t>0585</w:t>
            </w:r>
          </w:p>
        </w:tc>
        <w:tc>
          <w:tcPr>
            <w:tcW w:w="425" w:type="dxa"/>
            <w:shd w:val="solid" w:color="FFFFFF" w:fill="auto"/>
          </w:tcPr>
          <w:p w14:paraId="218C17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7A46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EBADF7" w14:textId="77777777" w:rsidR="00D40151" w:rsidRPr="00873B6C" w:rsidRDefault="00D40151" w:rsidP="009D14FB">
            <w:pPr>
              <w:pStyle w:val="TAL"/>
              <w:rPr>
                <w:sz w:val="16"/>
                <w:szCs w:val="16"/>
              </w:rPr>
            </w:pPr>
            <w:r w:rsidRPr="00873B6C">
              <w:rPr>
                <w:sz w:val="16"/>
                <w:szCs w:val="16"/>
              </w:rPr>
              <w:t>Handling of pending DL NAS signalling (related to LS In S2-187632)</w:t>
            </w:r>
          </w:p>
        </w:tc>
        <w:tc>
          <w:tcPr>
            <w:tcW w:w="708" w:type="dxa"/>
            <w:shd w:val="solid" w:color="FFFFFF" w:fill="auto"/>
          </w:tcPr>
          <w:p w14:paraId="4B7DC0AF" w14:textId="77777777" w:rsidR="00D40151" w:rsidRPr="00873B6C" w:rsidRDefault="00D40151" w:rsidP="009D14FB">
            <w:pPr>
              <w:pStyle w:val="TAC"/>
              <w:rPr>
                <w:sz w:val="16"/>
                <w:szCs w:val="16"/>
              </w:rPr>
            </w:pPr>
            <w:r w:rsidRPr="00873B6C">
              <w:rPr>
                <w:sz w:val="16"/>
                <w:szCs w:val="16"/>
              </w:rPr>
              <w:t>15.3.0</w:t>
            </w:r>
          </w:p>
        </w:tc>
      </w:tr>
      <w:tr w:rsidR="00D40151" w:rsidRPr="00873B6C" w14:paraId="6693EBE7" w14:textId="77777777" w:rsidTr="009D14FB">
        <w:tc>
          <w:tcPr>
            <w:tcW w:w="800" w:type="dxa"/>
            <w:shd w:val="solid" w:color="FFFFFF" w:fill="auto"/>
          </w:tcPr>
          <w:p w14:paraId="2368467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264FB9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7154D1D"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773C2946" w14:textId="77777777" w:rsidR="00D40151" w:rsidRPr="00873B6C" w:rsidRDefault="00D40151" w:rsidP="009D14FB">
            <w:pPr>
              <w:pStyle w:val="TAL"/>
              <w:rPr>
                <w:sz w:val="16"/>
                <w:szCs w:val="16"/>
              </w:rPr>
            </w:pPr>
            <w:r w:rsidRPr="00873B6C">
              <w:rPr>
                <w:sz w:val="16"/>
                <w:szCs w:val="16"/>
              </w:rPr>
              <w:t>0586</w:t>
            </w:r>
          </w:p>
        </w:tc>
        <w:tc>
          <w:tcPr>
            <w:tcW w:w="425" w:type="dxa"/>
            <w:shd w:val="solid" w:color="FFFFFF" w:fill="auto"/>
          </w:tcPr>
          <w:p w14:paraId="5A08572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D04E6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0A0E8B" w14:textId="77777777" w:rsidR="00D40151" w:rsidRPr="00873B6C" w:rsidRDefault="00D40151" w:rsidP="009D14FB">
            <w:pPr>
              <w:pStyle w:val="TAL"/>
              <w:rPr>
                <w:sz w:val="16"/>
                <w:szCs w:val="16"/>
              </w:rPr>
            </w:pPr>
            <w:r w:rsidRPr="00873B6C">
              <w:rPr>
                <w:sz w:val="16"/>
                <w:szCs w:val="16"/>
              </w:rPr>
              <w:t>Alignment of Slice Selection logic in the AMF and NSSF</w:t>
            </w:r>
          </w:p>
        </w:tc>
        <w:tc>
          <w:tcPr>
            <w:tcW w:w="708" w:type="dxa"/>
            <w:shd w:val="solid" w:color="FFFFFF" w:fill="auto"/>
          </w:tcPr>
          <w:p w14:paraId="6CDC9D85" w14:textId="77777777" w:rsidR="00D40151" w:rsidRPr="00873B6C" w:rsidRDefault="00D40151" w:rsidP="009D14FB">
            <w:pPr>
              <w:pStyle w:val="TAC"/>
              <w:rPr>
                <w:sz w:val="16"/>
                <w:szCs w:val="16"/>
              </w:rPr>
            </w:pPr>
            <w:r w:rsidRPr="00873B6C">
              <w:rPr>
                <w:sz w:val="16"/>
                <w:szCs w:val="16"/>
              </w:rPr>
              <w:t>15.3.0</w:t>
            </w:r>
          </w:p>
        </w:tc>
      </w:tr>
      <w:tr w:rsidR="00D40151" w:rsidRPr="00873B6C" w14:paraId="4CBA3ACC" w14:textId="77777777" w:rsidTr="009D14FB">
        <w:tc>
          <w:tcPr>
            <w:tcW w:w="800" w:type="dxa"/>
            <w:shd w:val="solid" w:color="FFFFFF" w:fill="auto"/>
          </w:tcPr>
          <w:p w14:paraId="53CDEF08"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E57F84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FDB69C5"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0F757F17" w14:textId="77777777" w:rsidR="00D40151" w:rsidRPr="00873B6C" w:rsidRDefault="00D40151" w:rsidP="009D14FB">
            <w:pPr>
              <w:pStyle w:val="TAL"/>
              <w:rPr>
                <w:sz w:val="16"/>
                <w:szCs w:val="16"/>
              </w:rPr>
            </w:pPr>
            <w:r w:rsidRPr="00873B6C">
              <w:rPr>
                <w:sz w:val="16"/>
                <w:szCs w:val="16"/>
              </w:rPr>
              <w:t>0587</w:t>
            </w:r>
          </w:p>
        </w:tc>
        <w:tc>
          <w:tcPr>
            <w:tcW w:w="425" w:type="dxa"/>
            <w:shd w:val="solid" w:color="FFFFFF" w:fill="auto"/>
          </w:tcPr>
          <w:p w14:paraId="299944A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7EAEC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77D33D" w14:textId="77777777" w:rsidR="00D40151" w:rsidRPr="00873B6C" w:rsidRDefault="00D40151" w:rsidP="009D14FB">
            <w:pPr>
              <w:pStyle w:val="TAL"/>
              <w:rPr>
                <w:sz w:val="16"/>
                <w:szCs w:val="16"/>
              </w:rPr>
            </w:pPr>
            <w:r w:rsidRPr="00873B6C">
              <w:rPr>
                <w:sz w:val="16"/>
                <w:szCs w:val="16"/>
              </w:rPr>
              <w:t>Missing requirements to trigger Notification Control</w:t>
            </w:r>
          </w:p>
        </w:tc>
        <w:tc>
          <w:tcPr>
            <w:tcW w:w="708" w:type="dxa"/>
            <w:shd w:val="solid" w:color="FFFFFF" w:fill="auto"/>
          </w:tcPr>
          <w:p w14:paraId="31EF847B" w14:textId="77777777" w:rsidR="00D40151" w:rsidRPr="00873B6C" w:rsidRDefault="00D40151" w:rsidP="009D14FB">
            <w:pPr>
              <w:pStyle w:val="TAC"/>
              <w:rPr>
                <w:sz w:val="16"/>
                <w:szCs w:val="16"/>
              </w:rPr>
            </w:pPr>
            <w:r w:rsidRPr="00873B6C">
              <w:rPr>
                <w:sz w:val="16"/>
                <w:szCs w:val="16"/>
              </w:rPr>
              <w:t>15.3.0</w:t>
            </w:r>
          </w:p>
        </w:tc>
      </w:tr>
      <w:tr w:rsidR="00D40151" w:rsidRPr="00873B6C" w14:paraId="1CE65614" w14:textId="77777777" w:rsidTr="009D14FB">
        <w:tc>
          <w:tcPr>
            <w:tcW w:w="800" w:type="dxa"/>
            <w:shd w:val="solid" w:color="FFFFFF" w:fill="auto"/>
          </w:tcPr>
          <w:p w14:paraId="1F6E9554"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0637C99"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3AFE58E"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7E0648AE" w14:textId="77777777" w:rsidR="00D40151" w:rsidRPr="00873B6C" w:rsidRDefault="00D40151" w:rsidP="009D14FB">
            <w:pPr>
              <w:pStyle w:val="TAL"/>
              <w:rPr>
                <w:sz w:val="16"/>
                <w:szCs w:val="16"/>
              </w:rPr>
            </w:pPr>
            <w:r w:rsidRPr="00873B6C">
              <w:rPr>
                <w:sz w:val="16"/>
                <w:szCs w:val="16"/>
              </w:rPr>
              <w:t>0588</w:t>
            </w:r>
          </w:p>
        </w:tc>
        <w:tc>
          <w:tcPr>
            <w:tcW w:w="425" w:type="dxa"/>
            <w:shd w:val="solid" w:color="FFFFFF" w:fill="auto"/>
          </w:tcPr>
          <w:p w14:paraId="521F421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36F7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C8455F" w14:textId="77777777" w:rsidR="00D40151" w:rsidRPr="00873B6C" w:rsidRDefault="00D40151" w:rsidP="009D14FB">
            <w:pPr>
              <w:pStyle w:val="TAL"/>
              <w:rPr>
                <w:sz w:val="16"/>
                <w:szCs w:val="16"/>
              </w:rPr>
            </w:pPr>
            <w:r w:rsidRPr="00873B6C">
              <w:rPr>
                <w:sz w:val="16"/>
                <w:szCs w:val="16"/>
              </w:rPr>
              <w:t>OAuth2 Authorization Service</w:t>
            </w:r>
          </w:p>
        </w:tc>
        <w:tc>
          <w:tcPr>
            <w:tcW w:w="708" w:type="dxa"/>
            <w:shd w:val="solid" w:color="FFFFFF" w:fill="auto"/>
          </w:tcPr>
          <w:p w14:paraId="6D1A16B7" w14:textId="77777777" w:rsidR="00D40151" w:rsidRPr="00873B6C" w:rsidRDefault="00D40151" w:rsidP="009D14FB">
            <w:pPr>
              <w:pStyle w:val="TAC"/>
              <w:rPr>
                <w:sz w:val="16"/>
                <w:szCs w:val="16"/>
              </w:rPr>
            </w:pPr>
            <w:r w:rsidRPr="00873B6C">
              <w:rPr>
                <w:sz w:val="16"/>
                <w:szCs w:val="16"/>
              </w:rPr>
              <w:t>15.3.0</w:t>
            </w:r>
          </w:p>
        </w:tc>
      </w:tr>
      <w:tr w:rsidR="00D40151" w:rsidRPr="00873B6C" w14:paraId="1EF468A0" w14:textId="77777777" w:rsidTr="009D14FB">
        <w:tc>
          <w:tcPr>
            <w:tcW w:w="800" w:type="dxa"/>
            <w:shd w:val="solid" w:color="FFFFFF" w:fill="auto"/>
          </w:tcPr>
          <w:p w14:paraId="4B8110C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16EC35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148E143"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63F67618" w14:textId="77777777" w:rsidR="00D40151" w:rsidRPr="00873B6C" w:rsidRDefault="00D40151" w:rsidP="009D14FB">
            <w:pPr>
              <w:pStyle w:val="TAL"/>
              <w:rPr>
                <w:sz w:val="16"/>
                <w:szCs w:val="16"/>
              </w:rPr>
            </w:pPr>
            <w:r w:rsidRPr="00873B6C">
              <w:rPr>
                <w:sz w:val="16"/>
                <w:szCs w:val="16"/>
              </w:rPr>
              <w:t>0589</w:t>
            </w:r>
          </w:p>
        </w:tc>
        <w:tc>
          <w:tcPr>
            <w:tcW w:w="425" w:type="dxa"/>
            <w:shd w:val="solid" w:color="FFFFFF" w:fill="auto"/>
          </w:tcPr>
          <w:p w14:paraId="011D5DC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EA2445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23F920" w14:textId="77777777" w:rsidR="00D40151" w:rsidRPr="00873B6C" w:rsidRDefault="00D40151" w:rsidP="009D14FB">
            <w:pPr>
              <w:pStyle w:val="TAL"/>
              <w:rPr>
                <w:sz w:val="16"/>
                <w:szCs w:val="16"/>
              </w:rPr>
            </w:pPr>
            <w:r w:rsidRPr="00873B6C">
              <w:rPr>
                <w:sz w:val="16"/>
                <w:szCs w:val="16"/>
              </w:rPr>
              <w:t xml:space="preserve"> Clarification of the service area restriction and NSSAIs to EPLMNs</w:t>
            </w:r>
          </w:p>
        </w:tc>
        <w:tc>
          <w:tcPr>
            <w:tcW w:w="708" w:type="dxa"/>
            <w:shd w:val="solid" w:color="FFFFFF" w:fill="auto"/>
          </w:tcPr>
          <w:p w14:paraId="0918FED2" w14:textId="77777777" w:rsidR="00D40151" w:rsidRPr="00873B6C" w:rsidRDefault="00D40151" w:rsidP="009D14FB">
            <w:pPr>
              <w:pStyle w:val="TAC"/>
              <w:rPr>
                <w:sz w:val="16"/>
                <w:szCs w:val="16"/>
              </w:rPr>
            </w:pPr>
            <w:r w:rsidRPr="00873B6C">
              <w:rPr>
                <w:sz w:val="16"/>
                <w:szCs w:val="16"/>
              </w:rPr>
              <w:t>15.3.0</w:t>
            </w:r>
          </w:p>
        </w:tc>
      </w:tr>
      <w:tr w:rsidR="00D40151" w:rsidRPr="00873B6C" w14:paraId="32B88F1F" w14:textId="77777777" w:rsidTr="009D14FB">
        <w:tc>
          <w:tcPr>
            <w:tcW w:w="800" w:type="dxa"/>
            <w:shd w:val="solid" w:color="FFFFFF" w:fill="auto"/>
          </w:tcPr>
          <w:p w14:paraId="215E8DA8" w14:textId="77777777" w:rsidR="00D40151" w:rsidRPr="00873B6C" w:rsidRDefault="00D40151" w:rsidP="009D14FB">
            <w:pPr>
              <w:pStyle w:val="TAC"/>
              <w:rPr>
                <w:sz w:val="16"/>
                <w:szCs w:val="16"/>
              </w:rPr>
            </w:pPr>
            <w:r w:rsidRPr="00873B6C">
              <w:rPr>
                <w:sz w:val="16"/>
                <w:szCs w:val="16"/>
              </w:rPr>
              <w:lastRenderedPageBreak/>
              <w:t>09-2018</w:t>
            </w:r>
          </w:p>
        </w:tc>
        <w:tc>
          <w:tcPr>
            <w:tcW w:w="800" w:type="dxa"/>
            <w:shd w:val="solid" w:color="FFFFFF" w:fill="auto"/>
          </w:tcPr>
          <w:p w14:paraId="436D1D1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C025BB1"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118468B3" w14:textId="77777777" w:rsidR="00D40151" w:rsidRPr="00873B6C" w:rsidRDefault="00D40151" w:rsidP="009D14FB">
            <w:pPr>
              <w:pStyle w:val="TAL"/>
              <w:rPr>
                <w:sz w:val="16"/>
                <w:szCs w:val="16"/>
              </w:rPr>
            </w:pPr>
            <w:r w:rsidRPr="00873B6C">
              <w:rPr>
                <w:sz w:val="16"/>
                <w:szCs w:val="16"/>
              </w:rPr>
              <w:t>0591</w:t>
            </w:r>
          </w:p>
        </w:tc>
        <w:tc>
          <w:tcPr>
            <w:tcW w:w="425" w:type="dxa"/>
            <w:shd w:val="solid" w:color="FFFFFF" w:fill="auto"/>
          </w:tcPr>
          <w:p w14:paraId="1FB154E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111D1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A095DD" w14:textId="77777777" w:rsidR="00D40151" w:rsidRPr="00873B6C" w:rsidRDefault="00D40151" w:rsidP="009D14FB">
            <w:pPr>
              <w:pStyle w:val="TAL"/>
              <w:rPr>
                <w:sz w:val="16"/>
                <w:szCs w:val="16"/>
              </w:rPr>
            </w:pPr>
            <w:r w:rsidRPr="00873B6C">
              <w:rPr>
                <w:sz w:val="16"/>
                <w:szCs w:val="16"/>
              </w:rPr>
              <w:t>23.501: Reference Point and Services correction</w:t>
            </w:r>
          </w:p>
        </w:tc>
        <w:tc>
          <w:tcPr>
            <w:tcW w:w="708" w:type="dxa"/>
            <w:shd w:val="solid" w:color="FFFFFF" w:fill="auto"/>
          </w:tcPr>
          <w:p w14:paraId="52A22D81" w14:textId="77777777" w:rsidR="00D40151" w:rsidRPr="00873B6C" w:rsidRDefault="00D40151" w:rsidP="009D14FB">
            <w:pPr>
              <w:pStyle w:val="TAC"/>
              <w:rPr>
                <w:sz w:val="16"/>
                <w:szCs w:val="16"/>
              </w:rPr>
            </w:pPr>
            <w:r w:rsidRPr="00873B6C">
              <w:rPr>
                <w:sz w:val="16"/>
                <w:szCs w:val="16"/>
              </w:rPr>
              <w:t>15.3.0</w:t>
            </w:r>
          </w:p>
        </w:tc>
      </w:tr>
      <w:tr w:rsidR="00D40151" w:rsidRPr="00873B6C" w14:paraId="10878AA3" w14:textId="77777777" w:rsidTr="009D14FB">
        <w:tc>
          <w:tcPr>
            <w:tcW w:w="800" w:type="dxa"/>
            <w:shd w:val="solid" w:color="FFFFFF" w:fill="auto"/>
          </w:tcPr>
          <w:p w14:paraId="6D57694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D6DF06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DAB8631"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0847CE2F" w14:textId="77777777" w:rsidR="00D40151" w:rsidRPr="00873B6C" w:rsidRDefault="00D40151" w:rsidP="009D14FB">
            <w:pPr>
              <w:pStyle w:val="TAL"/>
              <w:rPr>
                <w:sz w:val="16"/>
                <w:szCs w:val="16"/>
              </w:rPr>
            </w:pPr>
            <w:r w:rsidRPr="00873B6C">
              <w:rPr>
                <w:sz w:val="16"/>
                <w:szCs w:val="16"/>
              </w:rPr>
              <w:t>0592</w:t>
            </w:r>
          </w:p>
        </w:tc>
        <w:tc>
          <w:tcPr>
            <w:tcW w:w="425" w:type="dxa"/>
            <w:shd w:val="solid" w:color="FFFFFF" w:fill="auto"/>
          </w:tcPr>
          <w:p w14:paraId="45BDA6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A4D8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03BA8F" w14:textId="77777777" w:rsidR="00D40151" w:rsidRPr="00873B6C" w:rsidRDefault="00D40151" w:rsidP="009D14FB">
            <w:pPr>
              <w:pStyle w:val="TAL"/>
              <w:rPr>
                <w:sz w:val="16"/>
                <w:szCs w:val="16"/>
              </w:rPr>
            </w:pPr>
            <w:r w:rsidRPr="00873B6C">
              <w:rPr>
                <w:sz w:val="16"/>
                <w:szCs w:val="16"/>
              </w:rPr>
              <w:t>23.501: UDM Services</w:t>
            </w:r>
          </w:p>
        </w:tc>
        <w:tc>
          <w:tcPr>
            <w:tcW w:w="708" w:type="dxa"/>
            <w:shd w:val="solid" w:color="FFFFFF" w:fill="auto"/>
          </w:tcPr>
          <w:p w14:paraId="6C18DA9C" w14:textId="77777777" w:rsidR="00D40151" w:rsidRPr="00873B6C" w:rsidRDefault="00D40151" w:rsidP="009D14FB">
            <w:pPr>
              <w:pStyle w:val="TAC"/>
              <w:rPr>
                <w:sz w:val="16"/>
                <w:szCs w:val="16"/>
              </w:rPr>
            </w:pPr>
            <w:r w:rsidRPr="00873B6C">
              <w:rPr>
                <w:sz w:val="16"/>
                <w:szCs w:val="16"/>
              </w:rPr>
              <w:t>15.3.0</w:t>
            </w:r>
          </w:p>
        </w:tc>
      </w:tr>
      <w:tr w:rsidR="00D40151" w:rsidRPr="00873B6C" w14:paraId="0F775877" w14:textId="77777777" w:rsidTr="009D14FB">
        <w:tc>
          <w:tcPr>
            <w:tcW w:w="800" w:type="dxa"/>
            <w:shd w:val="solid" w:color="FFFFFF" w:fill="auto"/>
          </w:tcPr>
          <w:p w14:paraId="3ADE3B5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A979EA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5AE0D90"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214B1D43" w14:textId="77777777" w:rsidR="00D40151" w:rsidRPr="00873B6C" w:rsidRDefault="00D40151" w:rsidP="009D14FB">
            <w:pPr>
              <w:pStyle w:val="TAL"/>
              <w:rPr>
                <w:sz w:val="16"/>
                <w:szCs w:val="16"/>
              </w:rPr>
            </w:pPr>
            <w:r w:rsidRPr="00873B6C">
              <w:rPr>
                <w:sz w:val="16"/>
                <w:szCs w:val="16"/>
              </w:rPr>
              <w:t>0593</w:t>
            </w:r>
          </w:p>
        </w:tc>
        <w:tc>
          <w:tcPr>
            <w:tcW w:w="425" w:type="dxa"/>
            <w:shd w:val="solid" w:color="FFFFFF" w:fill="auto"/>
          </w:tcPr>
          <w:p w14:paraId="59AE65E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2887BE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071C99" w14:textId="77777777" w:rsidR="00D40151" w:rsidRPr="00873B6C" w:rsidRDefault="00D40151" w:rsidP="009D14FB">
            <w:pPr>
              <w:pStyle w:val="TAL"/>
              <w:rPr>
                <w:sz w:val="16"/>
                <w:szCs w:val="16"/>
              </w:rPr>
            </w:pPr>
            <w:r w:rsidRPr="00873B6C">
              <w:rPr>
                <w:sz w:val="16"/>
                <w:szCs w:val="16"/>
              </w:rPr>
              <w:t>23.501: Subscription for EPS IWK</w:t>
            </w:r>
          </w:p>
        </w:tc>
        <w:tc>
          <w:tcPr>
            <w:tcW w:w="708" w:type="dxa"/>
            <w:shd w:val="solid" w:color="FFFFFF" w:fill="auto"/>
          </w:tcPr>
          <w:p w14:paraId="40E0E9D5" w14:textId="77777777" w:rsidR="00D40151" w:rsidRPr="00873B6C" w:rsidRDefault="00D40151" w:rsidP="009D14FB">
            <w:pPr>
              <w:pStyle w:val="TAC"/>
              <w:rPr>
                <w:sz w:val="16"/>
                <w:szCs w:val="16"/>
              </w:rPr>
            </w:pPr>
            <w:r w:rsidRPr="00873B6C">
              <w:rPr>
                <w:sz w:val="16"/>
                <w:szCs w:val="16"/>
              </w:rPr>
              <w:t>15.3.0</w:t>
            </w:r>
          </w:p>
        </w:tc>
      </w:tr>
      <w:tr w:rsidR="00D40151" w:rsidRPr="00873B6C" w14:paraId="226A2559" w14:textId="77777777" w:rsidTr="009D14FB">
        <w:tc>
          <w:tcPr>
            <w:tcW w:w="800" w:type="dxa"/>
            <w:shd w:val="solid" w:color="FFFFFF" w:fill="auto"/>
          </w:tcPr>
          <w:p w14:paraId="708976A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49A42C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CFFCEA4"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4CA72BF7" w14:textId="77777777" w:rsidR="00D40151" w:rsidRPr="00873B6C" w:rsidRDefault="00D40151" w:rsidP="009D14FB">
            <w:pPr>
              <w:pStyle w:val="TAL"/>
              <w:rPr>
                <w:sz w:val="16"/>
                <w:szCs w:val="16"/>
              </w:rPr>
            </w:pPr>
            <w:r w:rsidRPr="00873B6C">
              <w:rPr>
                <w:sz w:val="16"/>
                <w:szCs w:val="16"/>
              </w:rPr>
              <w:t>0594</w:t>
            </w:r>
          </w:p>
        </w:tc>
        <w:tc>
          <w:tcPr>
            <w:tcW w:w="425" w:type="dxa"/>
            <w:shd w:val="solid" w:color="FFFFFF" w:fill="auto"/>
          </w:tcPr>
          <w:p w14:paraId="444E7A0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1AC031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00153A" w14:textId="77777777" w:rsidR="00D40151" w:rsidRPr="00873B6C" w:rsidRDefault="00D40151" w:rsidP="009D14FB">
            <w:pPr>
              <w:pStyle w:val="TAL"/>
              <w:rPr>
                <w:sz w:val="16"/>
                <w:szCs w:val="16"/>
              </w:rPr>
            </w:pPr>
            <w:r w:rsidRPr="00873B6C">
              <w:rPr>
                <w:sz w:val="16"/>
                <w:szCs w:val="16"/>
              </w:rPr>
              <w:t>23.501: AUSF, UDM, UDR Discovery</w:t>
            </w:r>
          </w:p>
        </w:tc>
        <w:tc>
          <w:tcPr>
            <w:tcW w:w="708" w:type="dxa"/>
            <w:shd w:val="solid" w:color="FFFFFF" w:fill="auto"/>
          </w:tcPr>
          <w:p w14:paraId="113B1390" w14:textId="77777777" w:rsidR="00D40151" w:rsidRPr="00873B6C" w:rsidRDefault="00D40151" w:rsidP="009D14FB">
            <w:pPr>
              <w:pStyle w:val="TAC"/>
              <w:rPr>
                <w:sz w:val="16"/>
                <w:szCs w:val="16"/>
              </w:rPr>
            </w:pPr>
            <w:r w:rsidRPr="00873B6C">
              <w:rPr>
                <w:sz w:val="16"/>
                <w:szCs w:val="16"/>
              </w:rPr>
              <w:t>15.3.0</w:t>
            </w:r>
          </w:p>
        </w:tc>
      </w:tr>
      <w:tr w:rsidR="00D40151" w:rsidRPr="00873B6C" w14:paraId="75BE84DE" w14:textId="77777777" w:rsidTr="009D14FB">
        <w:tc>
          <w:tcPr>
            <w:tcW w:w="800" w:type="dxa"/>
            <w:shd w:val="solid" w:color="FFFFFF" w:fill="auto"/>
          </w:tcPr>
          <w:p w14:paraId="5D279D5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3CC4D4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FBC7BFF"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5CEDC71E" w14:textId="77777777" w:rsidR="00D40151" w:rsidRPr="00873B6C" w:rsidRDefault="00D40151" w:rsidP="009D14FB">
            <w:pPr>
              <w:pStyle w:val="TAL"/>
              <w:rPr>
                <w:sz w:val="16"/>
                <w:szCs w:val="16"/>
              </w:rPr>
            </w:pPr>
            <w:r w:rsidRPr="00873B6C">
              <w:rPr>
                <w:sz w:val="16"/>
                <w:szCs w:val="16"/>
              </w:rPr>
              <w:t>0595</w:t>
            </w:r>
          </w:p>
        </w:tc>
        <w:tc>
          <w:tcPr>
            <w:tcW w:w="425" w:type="dxa"/>
            <w:shd w:val="solid" w:color="FFFFFF" w:fill="auto"/>
          </w:tcPr>
          <w:p w14:paraId="28FCAFC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0F1268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5F3DAA" w14:textId="77777777" w:rsidR="00D40151" w:rsidRPr="00873B6C" w:rsidRDefault="00D40151" w:rsidP="009D14FB">
            <w:pPr>
              <w:pStyle w:val="TAL"/>
              <w:rPr>
                <w:sz w:val="16"/>
                <w:szCs w:val="16"/>
              </w:rPr>
            </w:pPr>
            <w:r w:rsidRPr="00873B6C">
              <w:rPr>
                <w:sz w:val="16"/>
                <w:szCs w:val="16"/>
              </w:rPr>
              <w:t>Voice centric UE behaviour in non-allowed area</w:t>
            </w:r>
          </w:p>
        </w:tc>
        <w:tc>
          <w:tcPr>
            <w:tcW w:w="708" w:type="dxa"/>
            <w:shd w:val="solid" w:color="FFFFFF" w:fill="auto"/>
          </w:tcPr>
          <w:p w14:paraId="66CD86F0" w14:textId="77777777" w:rsidR="00D40151" w:rsidRPr="00873B6C" w:rsidRDefault="00D40151" w:rsidP="009D14FB">
            <w:pPr>
              <w:pStyle w:val="TAC"/>
              <w:rPr>
                <w:sz w:val="16"/>
                <w:szCs w:val="16"/>
              </w:rPr>
            </w:pPr>
            <w:r w:rsidRPr="00873B6C">
              <w:rPr>
                <w:sz w:val="16"/>
                <w:szCs w:val="16"/>
              </w:rPr>
              <w:t>15.3.0</w:t>
            </w:r>
          </w:p>
        </w:tc>
      </w:tr>
      <w:tr w:rsidR="00D40151" w:rsidRPr="00873B6C" w14:paraId="0713E774" w14:textId="77777777" w:rsidTr="009D14FB">
        <w:tc>
          <w:tcPr>
            <w:tcW w:w="800" w:type="dxa"/>
            <w:shd w:val="solid" w:color="FFFFFF" w:fill="auto"/>
          </w:tcPr>
          <w:p w14:paraId="28FC372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EDBB7D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E289E8D"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77577357" w14:textId="77777777" w:rsidR="00D40151" w:rsidRPr="00873B6C" w:rsidRDefault="00D40151" w:rsidP="009D14FB">
            <w:pPr>
              <w:pStyle w:val="TAL"/>
              <w:rPr>
                <w:sz w:val="16"/>
                <w:szCs w:val="16"/>
              </w:rPr>
            </w:pPr>
            <w:r w:rsidRPr="00873B6C">
              <w:rPr>
                <w:sz w:val="16"/>
                <w:szCs w:val="16"/>
              </w:rPr>
              <w:t>0597</w:t>
            </w:r>
          </w:p>
        </w:tc>
        <w:tc>
          <w:tcPr>
            <w:tcW w:w="425" w:type="dxa"/>
            <w:shd w:val="solid" w:color="FFFFFF" w:fill="auto"/>
          </w:tcPr>
          <w:p w14:paraId="70F0D500"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62285FB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EC5C39" w14:textId="77777777" w:rsidR="00D40151" w:rsidRPr="00873B6C" w:rsidRDefault="00D40151" w:rsidP="009D14FB">
            <w:pPr>
              <w:pStyle w:val="TAL"/>
              <w:rPr>
                <w:sz w:val="16"/>
                <w:szCs w:val="16"/>
              </w:rPr>
            </w:pPr>
            <w:r w:rsidRPr="00873B6C">
              <w:rPr>
                <w:sz w:val="16"/>
                <w:szCs w:val="16"/>
              </w:rPr>
              <w:t>Update to PCF discovery and selection</w:t>
            </w:r>
          </w:p>
        </w:tc>
        <w:tc>
          <w:tcPr>
            <w:tcW w:w="708" w:type="dxa"/>
            <w:shd w:val="solid" w:color="FFFFFF" w:fill="auto"/>
          </w:tcPr>
          <w:p w14:paraId="239ADCC3" w14:textId="77777777" w:rsidR="00D40151" w:rsidRPr="00873B6C" w:rsidRDefault="00D40151" w:rsidP="009D14FB">
            <w:pPr>
              <w:pStyle w:val="TAC"/>
              <w:rPr>
                <w:sz w:val="16"/>
                <w:szCs w:val="16"/>
              </w:rPr>
            </w:pPr>
            <w:r w:rsidRPr="00873B6C">
              <w:rPr>
                <w:sz w:val="16"/>
                <w:szCs w:val="16"/>
              </w:rPr>
              <w:t>15.3.0</w:t>
            </w:r>
          </w:p>
        </w:tc>
      </w:tr>
      <w:tr w:rsidR="00D40151" w:rsidRPr="00873B6C" w14:paraId="47E96442" w14:textId="77777777" w:rsidTr="009D14FB">
        <w:tc>
          <w:tcPr>
            <w:tcW w:w="800" w:type="dxa"/>
            <w:shd w:val="solid" w:color="FFFFFF" w:fill="auto"/>
          </w:tcPr>
          <w:p w14:paraId="21A312F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81BBF6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B8A0624"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691A705D" w14:textId="77777777" w:rsidR="00D40151" w:rsidRPr="00873B6C" w:rsidRDefault="00D40151" w:rsidP="009D14FB">
            <w:pPr>
              <w:pStyle w:val="TAL"/>
              <w:rPr>
                <w:sz w:val="16"/>
                <w:szCs w:val="16"/>
              </w:rPr>
            </w:pPr>
            <w:r w:rsidRPr="00873B6C">
              <w:rPr>
                <w:sz w:val="16"/>
                <w:szCs w:val="16"/>
              </w:rPr>
              <w:t>0598</w:t>
            </w:r>
          </w:p>
        </w:tc>
        <w:tc>
          <w:tcPr>
            <w:tcW w:w="425" w:type="dxa"/>
            <w:shd w:val="solid" w:color="FFFFFF" w:fill="auto"/>
          </w:tcPr>
          <w:p w14:paraId="36557F1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8F9975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305D84" w14:textId="77777777" w:rsidR="00D40151" w:rsidRPr="00873B6C" w:rsidRDefault="00D40151" w:rsidP="009D14FB">
            <w:pPr>
              <w:pStyle w:val="TAL"/>
              <w:rPr>
                <w:sz w:val="16"/>
                <w:szCs w:val="16"/>
              </w:rPr>
            </w:pPr>
            <w:r w:rsidRPr="00873B6C">
              <w:rPr>
                <w:sz w:val="16"/>
                <w:szCs w:val="16"/>
              </w:rPr>
              <w:t>Clarification to IMS emergency procedure</w:t>
            </w:r>
          </w:p>
        </w:tc>
        <w:tc>
          <w:tcPr>
            <w:tcW w:w="708" w:type="dxa"/>
            <w:shd w:val="solid" w:color="FFFFFF" w:fill="auto"/>
          </w:tcPr>
          <w:p w14:paraId="5C807A87" w14:textId="77777777" w:rsidR="00D40151" w:rsidRPr="00873B6C" w:rsidRDefault="00D40151" w:rsidP="009D14FB">
            <w:pPr>
              <w:pStyle w:val="TAC"/>
              <w:rPr>
                <w:sz w:val="16"/>
                <w:szCs w:val="16"/>
              </w:rPr>
            </w:pPr>
            <w:r w:rsidRPr="00873B6C">
              <w:rPr>
                <w:sz w:val="16"/>
                <w:szCs w:val="16"/>
              </w:rPr>
              <w:t>15.3.0</w:t>
            </w:r>
          </w:p>
        </w:tc>
      </w:tr>
      <w:tr w:rsidR="00D40151" w:rsidRPr="00873B6C" w14:paraId="6054CC63" w14:textId="77777777" w:rsidTr="009D14FB">
        <w:tc>
          <w:tcPr>
            <w:tcW w:w="800" w:type="dxa"/>
            <w:shd w:val="solid" w:color="FFFFFF" w:fill="auto"/>
          </w:tcPr>
          <w:p w14:paraId="5FB8224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608B42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6F3D6EC"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5388C94A" w14:textId="77777777" w:rsidR="00D40151" w:rsidRPr="00873B6C" w:rsidRDefault="00D40151" w:rsidP="009D14FB">
            <w:pPr>
              <w:pStyle w:val="TAL"/>
              <w:rPr>
                <w:sz w:val="16"/>
                <w:szCs w:val="16"/>
              </w:rPr>
            </w:pPr>
            <w:r w:rsidRPr="00873B6C">
              <w:rPr>
                <w:sz w:val="16"/>
                <w:szCs w:val="16"/>
              </w:rPr>
              <w:t>0604</w:t>
            </w:r>
          </w:p>
        </w:tc>
        <w:tc>
          <w:tcPr>
            <w:tcW w:w="425" w:type="dxa"/>
            <w:shd w:val="solid" w:color="FFFFFF" w:fill="auto"/>
          </w:tcPr>
          <w:p w14:paraId="419F068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CC96EE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B0B7A3" w14:textId="77777777" w:rsidR="00D40151" w:rsidRPr="00873B6C" w:rsidRDefault="00D40151" w:rsidP="009D14FB">
            <w:pPr>
              <w:pStyle w:val="TAL"/>
              <w:rPr>
                <w:sz w:val="16"/>
                <w:szCs w:val="16"/>
              </w:rPr>
            </w:pPr>
            <w:r w:rsidRPr="00873B6C">
              <w:rPr>
                <w:sz w:val="16"/>
                <w:szCs w:val="16"/>
              </w:rPr>
              <w:t>Clarification on reporting of PS Data Off status change</w:t>
            </w:r>
          </w:p>
        </w:tc>
        <w:tc>
          <w:tcPr>
            <w:tcW w:w="708" w:type="dxa"/>
            <w:shd w:val="solid" w:color="FFFFFF" w:fill="auto"/>
          </w:tcPr>
          <w:p w14:paraId="6481BDA2" w14:textId="77777777" w:rsidR="00D40151" w:rsidRPr="00873B6C" w:rsidRDefault="00D40151" w:rsidP="009D14FB">
            <w:pPr>
              <w:pStyle w:val="TAC"/>
              <w:rPr>
                <w:sz w:val="16"/>
                <w:szCs w:val="16"/>
              </w:rPr>
            </w:pPr>
            <w:r w:rsidRPr="00873B6C">
              <w:rPr>
                <w:sz w:val="16"/>
                <w:szCs w:val="16"/>
              </w:rPr>
              <w:t>15.3.0</w:t>
            </w:r>
          </w:p>
        </w:tc>
      </w:tr>
      <w:tr w:rsidR="00D40151" w:rsidRPr="00873B6C" w14:paraId="68B83FB3" w14:textId="77777777" w:rsidTr="009D14FB">
        <w:tc>
          <w:tcPr>
            <w:tcW w:w="800" w:type="dxa"/>
            <w:shd w:val="solid" w:color="FFFFFF" w:fill="auto"/>
          </w:tcPr>
          <w:p w14:paraId="3031D85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34479E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505BB5B"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77F1787C" w14:textId="77777777" w:rsidR="00D40151" w:rsidRPr="00873B6C" w:rsidRDefault="00D40151" w:rsidP="009D14FB">
            <w:pPr>
              <w:pStyle w:val="TAL"/>
              <w:rPr>
                <w:sz w:val="16"/>
                <w:szCs w:val="16"/>
              </w:rPr>
            </w:pPr>
            <w:r w:rsidRPr="00873B6C">
              <w:rPr>
                <w:sz w:val="16"/>
                <w:szCs w:val="16"/>
              </w:rPr>
              <w:t>0605</w:t>
            </w:r>
          </w:p>
        </w:tc>
        <w:tc>
          <w:tcPr>
            <w:tcW w:w="425" w:type="dxa"/>
            <w:shd w:val="solid" w:color="FFFFFF" w:fill="auto"/>
          </w:tcPr>
          <w:p w14:paraId="05A8298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F4D08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4A8576" w14:textId="1B51E50E" w:rsidR="00D40151" w:rsidRPr="00873B6C" w:rsidRDefault="00D40151" w:rsidP="009D14FB">
            <w:pPr>
              <w:pStyle w:val="TAL"/>
              <w:rPr>
                <w:sz w:val="16"/>
                <w:szCs w:val="16"/>
              </w:rPr>
            </w:pPr>
            <w:r w:rsidRPr="00873B6C">
              <w:rPr>
                <w:sz w:val="16"/>
                <w:szCs w:val="16"/>
              </w:rPr>
              <w:t>TAI List provision to RAN by AMF for RRC Inactive UE</w:t>
            </w:r>
          </w:p>
        </w:tc>
        <w:tc>
          <w:tcPr>
            <w:tcW w:w="708" w:type="dxa"/>
            <w:shd w:val="solid" w:color="FFFFFF" w:fill="auto"/>
          </w:tcPr>
          <w:p w14:paraId="6AEEDD9A" w14:textId="77777777" w:rsidR="00D40151" w:rsidRPr="00873B6C" w:rsidRDefault="00D40151" w:rsidP="009D14FB">
            <w:pPr>
              <w:pStyle w:val="TAC"/>
              <w:rPr>
                <w:sz w:val="16"/>
                <w:szCs w:val="16"/>
              </w:rPr>
            </w:pPr>
            <w:r w:rsidRPr="00873B6C">
              <w:rPr>
                <w:sz w:val="16"/>
                <w:szCs w:val="16"/>
              </w:rPr>
              <w:t>15.3.0</w:t>
            </w:r>
          </w:p>
        </w:tc>
      </w:tr>
      <w:tr w:rsidR="00D40151" w:rsidRPr="00873B6C" w14:paraId="269D9666" w14:textId="77777777" w:rsidTr="009D14FB">
        <w:tc>
          <w:tcPr>
            <w:tcW w:w="800" w:type="dxa"/>
            <w:shd w:val="solid" w:color="FFFFFF" w:fill="auto"/>
          </w:tcPr>
          <w:p w14:paraId="7F709F7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EA1EE6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5447196"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6DC664DA" w14:textId="77777777" w:rsidR="00D40151" w:rsidRPr="00873B6C" w:rsidRDefault="00D40151" w:rsidP="009D14FB">
            <w:pPr>
              <w:pStyle w:val="TAL"/>
              <w:rPr>
                <w:sz w:val="16"/>
                <w:szCs w:val="16"/>
              </w:rPr>
            </w:pPr>
            <w:r w:rsidRPr="00873B6C">
              <w:rPr>
                <w:sz w:val="16"/>
                <w:szCs w:val="16"/>
              </w:rPr>
              <w:t>0606</w:t>
            </w:r>
          </w:p>
        </w:tc>
        <w:tc>
          <w:tcPr>
            <w:tcW w:w="425" w:type="dxa"/>
            <w:shd w:val="solid" w:color="FFFFFF" w:fill="auto"/>
          </w:tcPr>
          <w:p w14:paraId="6F17E57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CB2A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2C23BC" w14:textId="77777777" w:rsidR="00D40151" w:rsidRPr="00873B6C" w:rsidRDefault="00D40151" w:rsidP="009D14FB">
            <w:pPr>
              <w:pStyle w:val="TAL"/>
              <w:rPr>
                <w:sz w:val="16"/>
                <w:szCs w:val="16"/>
              </w:rPr>
            </w:pPr>
            <w:r w:rsidRPr="00873B6C">
              <w:rPr>
                <w:sz w:val="16"/>
                <w:szCs w:val="16"/>
              </w:rPr>
              <w:t>Clarifications for signalled QoS characteristics</w:t>
            </w:r>
          </w:p>
        </w:tc>
        <w:tc>
          <w:tcPr>
            <w:tcW w:w="708" w:type="dxa"/>
            <w:shd w:val="solid" w:color="FFFFFF" w:fill="auto"/>
          </w:tcPr>
          <w:p w14:paraId="0363CC34" w14:textId="77777777" w:rsidR="00D40151" w:rsidRPr="00873B6C" w:rsidRDefault="00D40151" w:rsidP="009D14FB">
            <w:pPr>
              <w:pStyle w:val="TAC"/>
              <w:rPr>
                <w:sz w:val="16"/>
                <w:szCs w:val="16"/>
              </w:rPr>
            </w:pPr>
            <w:r w:rsidRPr="00873B6C">
              <w:rPr>
                <w:sz w:val="16"/>
                <w:szCs w:val="16"/>
              </w:rPr>
              <w:t>15.3.0</w:t>
            </w:r>
          </w:p>
        </w:tc>
      </w:tr>
      <w:tr w:rsidR="00D40151" w:rsidRPr="00873B6C" w14:paraId="0A0F7F95" w14:textId="77777777" w:rsidTr="009D14FB">
        <w:tc>
          <w:tcPr>
            <w:tcW w:w="800" w:type="dxa"/>
            <w:shd w:val="solid" w:color="FFFFFF" w:fill="auto"/>
          </w:tcPr>
          <w:p w14:paraId="069F80A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0183A7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C8814B1"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7B8E90E1" w14:textId="77777777" w:rsidR="00D40151" w:rsidRPr="00873B6C" w:rsidRDefault="00D40151" w:rsidP="009D14FB">
            <w:pPr>
              <w:pStyle w:val="TAL"/>
              <w:rPr>
                <w:sz w:val="16"/>
                <w:szCs w:val="16"/>
              </w:rPr>
            </w:pPr>
            <w:r w:rsidRPr="00873B6C">
              <w:rPr>
                <w:sz w:val="16"/>
                <w:szCs w:val="16"/>
              </w:rPr>
              <w:t>0608</w:t>
            </w:r>
          </w:p>
        </w:tc>
        <w:tc>
          <w:tcPr>
            <w:tcW w:w="425" w:type="dxa"/>
            <w:shd w:val="solid" w:color="FFFFFF" w:fill="auto"/>
          </w:tcPr>
          <w:p w14:paraId="27590BF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2DB3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44EC10" w14:textId="77777777" w:rsidR="00D40151" w:rsidRPr="00873B6C" w:rsidRDefault="00D40151" w:rsidP="009D14FB">
            <w:pPr>
              <w:pStyle w:val="TAL"/>
              <w:rPr>
                <w:sz w:val="16"/>
                <w:szCs w:val="16"/>
              </w:rPr>
            </w:pPr>
            <w:r w:rsidRPr="00873B6C">
              <w:rPr>
                <w:sz w:val="16"/>
                <w:szCs w:val="16"/>
              </w:rPr>
              <w:t xml:space="preserve"> IPv6 multi-homed routing rule</w:t>
            </w:r>
          </w:p>
        </w:tc>
        <w:tc>
          <w:tcPr>
            <w:tcW w:w="708" w:type="dxa"/>
            <w:shd w:val="solid" w:color="FFFFFF" w:fill="auto"/>
          </w:tcPr>
          <w:p w14:paraId="21210026" w14:textId="77777777" w:rsidR="00D40151" w:rsidRPr="00873B6C" w:rsidRDefault="00D40151" w:rsidP="009D14FB">
            <w:pPr>
              <w:pStyle w:val="TAC"/>
              <w:rPr>
                <w:sz w:val="16"/>
                <w:szCs w:val="16"/>
              </w:rPr>
            </w:pPr>
            <w:r w:rsidRPr="00873B6C">
              <w:rPr>
                <w:sz w:val="16"/>
                <w:szCs w:val="16"/>
              </w:rPr>
              <w:t>15.3.0</w:t>
            </w:r>
          </w:p>
        </w:tc>
      </w:tr>
      <w:tr w:rsidR="00D40151" w:rsidRPr="00873B6C" w14:paraId="4B7C9270" w14:textId="77777777" w:rsidTr="009D14FB">
        <w:tc>
          <w:tcPr>
            <w:tcW w:w="800" w:type="dxa"/>
            <w:shd w:val="solid" w:color="FFFFFF" w:fill="auto"/>
          </w:tcPr>
          <w:p w14:paraId="0F9E3F7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4F46A0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F946D2D"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2C2D4100" w14:textId="77777777" w:rsidR="00D40151" w:rsidRPr="00873B6C" w:rsidRDefault="00D40151" w:rsidP="009D14FB">
            <w:pPr>
              <w:pStyle w:val="TAL"/>
              <w:rPr>
                <w:sz w:val="16"/>
                <w:szCs w:val="16"/>
              </w:rPr>
            </w:pPr>
            <w:r w:rsidRPr="00873B6C">
              <w:rPr>
                <w:sz w:val="16"/>
                <w:szCs w:val="16"/>
              </w:rPr>
              <w:t>0609</w:t>
            </w:r>
          </w:p>
        </w:tc>
        <w:tc>
          <w:tcPr>
            <w:tcW w:w="425" w:type="dxa"/>
            <w:shd w:val="solid" w:color="FFFFFF" w:fill="auto"/>
          </w:tcPr>
          <w:p w14:paraId="5F2354F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97FA2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07FA01A" w14:textId="77777777" w:rsidR="00D40151" w:rsidRPr="00873B6C" w:rsidRDefault="00D40151" w:rsidP="009D14FB">
            <w:pPr>
              <w:pStyle w:val="TAL"/>
              <w:rPr>
                <w:sz w:val="16"/>
                <w:szCs w:val="16"/>
              </w:rPr>
            </w:pPr>
            <w:r w:rsidRPr="00873B6C">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873B6C" w:rsidRDefault="00D40151" w:rsidP="009D14FB">
            <w:pPr>
              <w:pStyle w:val="TAC"/>
              <w:rPr>
                <w:sz w:val="16"/>
                <w:szCs w:val="16"/>
              </w:rPr>
            </w:pPr>
            <w:r w:rsidRPr="00873B6C">
              <w:rPr>
                <w:sz w:val="16"/>
                <w:szCs w:val="16"/>
              </w:rPr>
              <w:t>15.3.0</w:t>
            </w:r>
          </w:p>
        </w:tc>
      </w:tr>
      <w:tr w:rsidR="00D40151" w:rsidRPr="00873B6C" w14:paraId="67013FF7" w14:textId="77777777" w:rsidTr="009D14FB">
        <w:tc>
          <w:tcPr>
            <w:tcW w:w="800" w:type="dxa"/>
            <w:shd w:val="solid" w:color="FFFFFF" w:fill="auto"/>
          </w:tcPr>
          <w:p w14:paraId="050ABC57"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7E80D6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C57F4CC"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05572D06" w14:textId="77777777" w:rsidR="00D40151" w:rsidRPr="00873B6C" w:rsidRDefault="00D40151" w:rsidP="009D14FB">
            <w:pPr>
              <w:pStyle w:val="TAL"/>
              <w:rPr>
                <w:sz w:val="16"/>
                <w:szCs w:val="16"/>
              </w:rPr>
            </w:pPr>
            <w:r w:rsidRPr="00873B6C">
              <w:rPr>
                <w:sz w:val="16"/>
                <w:szCs w:val="16"/>
              </w:rPr>
              <w:t>0616</w:t>
            </w:r>
          </w:p>
        </w:tc>
        <w:tc>
          <w:tcPr>
            <w:tcW w:w="425" w:type="dxa"/>
            <w:shd w:val="solid" w:color="FFFFFF" w:fill="auto"/>
          </w:tcPr>
          <w:p w14:paraId="7C66FCD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5FED7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8F5C0F" w14:textId="77777777" w:rsidR="00D40151" w:rsidRPr="00873B6C" w:rsidRDefault="00D40151" w:rsidP="009D14FB">
            <w:pPr>
              <w:pStyle w:val="TAL"/>
              <w:rPr>
                <w:sz w:val="16"/>
                <w:szCs w:val="16"/>
              </w:rPr>
            </w:pPr>
            <w:r w:rsidRPr="00873B6C">
              <w:rPr>
                <w:sz w:val="16"/>
                <w:szCs w:val="16"/>
              </w:rPr>
              <w:t>Update N4 principles and parameters</w:t>
            </w:r>
          </w:p>
        </w:tc>
        <w:tc>
          <w:tcPr>
            <w:tcW w:w="708" w:type="dxa"/>
            <w:shd w:val="solid" w:color="FFFFFF" w:fill="auto"/>
          </w:tcPr>
          <w:p w14:paraId="52CB9433" w14:textId="77777777" w:rsidR="00D40151" w:rsidRPr="00873B6C" w:rsidRDefault="00D40151" w:rsidP="009D14FB">
            <w:pPr>
              <w:pStyle w:val="TAC"/>
              <w:rPr>
                <w:sz w:val="16"/>
                <w:szCs w:val="16"/>
              </w:rPr>
            </w:pPr>
            <w:r w:rsidRPr="00873B6C">
              <w:rPr>
                <w:sz w:val="16"/>
                <w:szCs w:val="16"/>
              </w:rPr>
              <w:t>15.3.0</w:t>
            </w:r>
          </w:p>
        </w:tc>
      </w:tr>
      <w:tr w:rsidR="00D40151" w:rsidRPr="00873B6C" w14:paraId="4C33FD5C" w14:textId="77777777" w:rsidTr="009D14FB">
        <w:tc>
          <w:tcPr>
            <w:tcW w:w="800" w:type="dxa"/>
            <w:shd w:val="solid" w:color="FFFFFF" w:fill="auto"/>
          </w:tcPr>
          <w:p w14:paraId="35FFE5F6"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525D22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6FCF0F4"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30B463A2" w14:textId="77777777" w:rsidR="00D40151" w:rsidRPr="00873B6C" w:rsidRDefault="00D40151" w:rsidP="009D14FB">
            <w:pPr>
              <w:pStyle w:val="TAL"/>
              <w:rPr>
                <w:sz w:val="16"/>
                <w:szCs w:val="16"/>
              </w:rPr>
            </w:pPr>
            <w:r w:rsidRPr="00873B6C">
              <w:rPr>
                <w:sz w:val="16"/>
                <w:szCs w:val="16"/>
              </w:rPr>
              <w:t>0617</w:t>
            </w:r>
          </w:p>
        </w:tc>
        <w:tc>
          <w:tcPr>
            <w:tcW w:w="425" w:type="dxa"/>
            <w:shd w:val="solid" w:color="FFFFFF" w:fill="auto"/>
          </w:tcPr>
          <w:p w14:paraId="135F110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11CDE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900395" w14:textId="77777777" w:rsidR="00D40151" w:rsidRPr="00873B6C" w:rsidRDefault="00D40151" w:rsidP="009D14FB">
            <w:pPr>
              <w:pStyle w:val="TAL"/>
              <w:rPr>
                <w:sz w:val="16"/>
                <w:szCs w:val="16"/>
              </w:rPr>
            </w:pPr>
            <w:r w:rsidRPr="00873B6C">
              <w:rPr>
                <w:sz w:val="16"/>
                <w:szCs w:val="16"/>
              </w:rPr>
              <w:t>Clarification on NF profile parameters</w:t>
            </w:r>
          </w:p>
        </w:tc>
        <w:tc>
          <w:tcPr>
            <w:tcW w:w="708" w:type="dxa"/>
            <w:shd w:val="solid" w:color="FFFFFF" w:fill="auto"/>
          </w:tcPr>
          <w:p w14:paraId="2EE61803" w14:textId="77777777" w:rsidR="00D40151" w:rsidRPr="00873B6C" w:rsidRDefault="00D40151" w:rsidP="009D14FB">
            <w:pPr>
              <w:pStyle w:val="TAC"/>
              <w:rPr>
                <w:sz w:val="16"/>
                <w:szCs w:val="16"/>
              </w:rPr>
            </w:pPr>
            <w:r w:rsidRPr="00873B6C">
              <w:rPr>
                <w:sz w:val="16"/>
                <w:szCs w:val="16"/>
              </w:rPr>
              <w:t>15.3.0</w:t>
            </w:r>
          </w:p>
        </w:tc>
      </w:tr>
      <w:tr w:rsidR="00D40151" w:rsidRPr="00873B6C" w14:paraId="4C925D8E" w14:textId="77777777" w:rsidTr="009D14FB">
        <w:tc>
          <w:tcPr>
            <w:tcW w:w="800" w:type="dxa"/>
            <w:tcBorders>
              <w:bottom w:val="single" w:sz="6" w:space="0" w:color="auto"/>
            </w:tcBorders>
            <w:shd w:val="solid" w:color="FFFFFF" w:fill="auto"/>
          </w:tcPr>
          <w:p w14:paraId="018B9D33" w14:textId="77777777" w:rsidR="00D40151" w:rsidRPr="00873B6C" w:rsidRDefault="00D40151" w:rsidP="009D14FB">
            <w:pPr>
              <w:pStyle w:val="TAC"/>
              <w:rPr>
                <w:sz w:val="16"/>
                <w:szCs w:val="16"/>
              </w:rPr>
            </w:pPr>
            <w:r w:rsidRPr="00873B6C">
              <w:rPr>
                <w:sz w:val="16"/>
                <w:szCs w:val="16"/>
              </w:rPr>
              <w:t>09-2018</w:t>
            </w:r>
          </w:p>
        </w:tc>
        <w:tc>
          <w:tcPr>
            <w:tcW w:w="800" w:type="dxa"/>
            <w:tcBorders>
              <w:bottom w:val="single" w:sz="6" w:space="0" w:color="auto"/>
            </w:tcBorders>
            <w:shd w:val="solid" w:color="FFFFFF" w:fill="auto"/>
          </w:tcPr>
          <w:p w14:paraId="641A5AC8" w14:textId="77777777" w:rsidR="00D40151" w:rsidRPr="00873B6C" w:rsidRDefault="00D40151" w:rsidP="009D14FB">
            <w:pPr>
              <w:pStyle w:val="TAC"/>
              <w:rPr>
                <w:sz w:val="16"/>
                <w:szCs w:val="16"/>
              </w:rPr>
            </w:pPr>
            <w:r w:rsidRPr="00873B6C">
              <w:rPr>
                <w:sz w:val="16"/>
                <w:szCs w:val="16"/>
              </w:rPr>
              <w:t>SP#81</w:t>
            </w:r>
          </w:p>
        </w:tc>
        <w:tc>
          <w:tcPr>
            <w:tcW w:w="1094" w:type="dxa"/>
            <w:tcBorders>
              <w:bottom w:val="single" w:sz="6" w:space="0" w:color="auto"/>
            </w:tcBorders>
            <w:shd w:val="solid" w:color="FFFFFF" w:fill="auto"/>
          </w:tcPr>
          <w:p w14:paraId="62199FC5" w14:textId="77777777" w:rsidR="00D40151" w:rsidRPr="00873B6C" w:rsidRDefault="00D40151" w:rsidP="009D14FB">
            <w:pPr>
              <w:pStyle w:val="TAC"/>
              <w:rPr>
                <w:sz w:val="16"/>
                <w:szCs w:val="16"/>
              </w:rPr>
            </w:pPr>
            <w:r w:rsidRPr="00873B6C">
              <w:rPr>
                <w:sz w:val="16"/>
                <w:szCs w:val="16"/>
              </w:rPr>
              <w:t>SP-180716</w:t>
            </w:r>
          </w:p>
        </w:tc>
        <w:tc>
          <w:tcPr>
            <w:tcW w:w="567" w:type="dxa"/>
            <w:tcBorders>
              <w:bottom w:val="single" w:sz="6" w:space="0" w:color="auto"/>
            </w:tcBorders>
            <w:shd w:val="solid" w:color="FFFFFF" w:fill="auto"/>
          </w:tcPr>
          <w:p w14:paraId="0C132A34" w14:textId="77777777" w:rsidR="00D40151" w:rsidRPr="00873B6C" w:rsidRDefault="00D40151" w:rsidP="009D14FB">
            <w:pPr>
              <w:pStyle w:val="TAL"/>
              <w:rPr>
                <w:sz w:val="16"/>
                <w:szCs w:val="16"/>
              </w:rPr>
            </w:pPr>
            <w:r w:rsidRPr="00873B6C">
              <w:rPr>
                <w:sz w:val="16"/>
                <w:szCs w:val="16"/>
              </w:rPr>
              <w:t>0618</w:t>
            </w:r>
          </w:p>
        </w:tc>
        <w:tc>
          <w:tcPr>
            <w:tcW w:w="425" w:type="dxa"/>
            <w:tcBorders>
              <w:bottom w:val="single" w:sz="6" w:space="0" w:color="auto"/>
            </w:tcBorders>
            <w:shd w:val="solid" w:color="FFFFFF" w:fill="auto"/>
          </w:tcPr>
          <w:p w14:paraId="5646B401"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6" w:space="0" w:color="auto"/>
            </w:tcBorders>
            <w:shd w:val="solid" w:color="FFFFFF" w:fill="auto"/>
          </w:tcPr>
          <w:p w14:paraId="71745D28"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6" w:space="0" w:color="auto"/>
            </w:tcBorders>
            <w:shd w:val="solid" w:color="FFFFFF" w:fill="auto"/>
          </w:tcPr>
          <w:p w14:paraId="1826BCB9" w14:textId="77777777" w:rsidR="00D40151" w:rsidRPr="00873B6C" w:rsidRDefault="00D40151" w:rsidP="009D14FB">
            <w:pPr>
              <w:pStyle w:val="TAL"/>
              <w:rPr>
                <w:sz w:val="16"/>
                <w:szCs w:val="16"/>
              </w:rPr>
            </w:pPr>
            <w:r w:rsidRPr="00873B6C">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873B6C" w:rsidRDefault="00D40151" w:rsidP="009D14FB">
            <w:pPr>
              <w:pStyle w:val="TAC"/>
              <w:rPr>
                <w:sz w:val="16"/>
                <w:szCs w:val="16"/>
              </w:rPr>
            </w:pPr>
            <w:r w:rsidRPr="00873B6C">
              <w:rPr>
                <w:sz w:val="16"/>
                <w:szCs w:val="16"/>
              </w:rPr>
              <w:t>15.3.0</w:t>
            </w:r>
          </w:p>
        </w:tc>
      </w:tr>
      <w:tr w:rsidR="00D40151" w:rsidRPr="00873B6C" w14:paraId="6A36C416" w14:textId="77777777" w:rsidTr="009D14FB">
        <w:tc>
          <w:tcPr>
            <w:tcW w:w="800" w:type="dxa"/>
            <w:tcBorders>
              <w:bottom w:val="single" w:sz="8" w:space="0" w:color="auto"/>
            </w:tcBorders>
            <w:shd w:val="solid" w:color="FFFFFF" w:fill="auto"/>
          </w:tcPr>
          <w:p w14:paraId="261BF478" w14:textId="77777777" w:rsidR="00D40151" w:rsidRPr="00873B6C" w:rsidRDefault="00D40151" w:rsidP="009D14FB">
            <w:pPr>
              <w:pStyle w:val="TAC"/>
              <w:rPr>
                <w:sz w:val="16"/>
                <w:szCs w:val="16"/>
              </w:rPr>
            </w:pPr>
            <w:r w:rsidRPr="00873B6C">
              <w:rPr>
                <w:sz w:val="16"/>
                <w:szCs w:val="16"/>
              </w:rPr>
              <w:t>09-2018</w:t>
            </w:r>
          </w:p>
        </w:tc>
        <w:tc>
          <w:tcPr>
            <w:tcW w:w="800" w:type="dxa"/>
            <w:tcBorders>
              <w:bottom w:val="single" w:sz="8" w:space="0" w:color="auto"/>
            </w:tcBorders>
            <w:shd w:val="solid" w:color="FFFFFF" w:fill="auto"/>
          </w:tcPr>
          <w:p w14:paraId="197E57F1" w14:textId="77777777" w:rsidR="00D40151" w:rsidRPr="00873B6C" w:rsidRDefault="00D40151" w:rsidP="009D14FB">
            <w:pPr>
              <w:pStyle w:val="TAC"/>
              <w:rPr>
                <w:sz w:val="16"/>
                <w:szCs w:val="16"/>
              </w:rPr>
            </w:pPr>
            <w:r w:rsidRPr="00873B6C">
              <w:rPr>
                <w:sz w:val="16"/>
                <w:szCs w:val="16"/>
              </w:rPr>
              <w:t>SP#81</w:t>
            </w:r>
          </w:p>
        </w:tc>
        <w:tc>
          <w:tcPr>
            <w:tcW w:w="1094" w:type="dxa"/>
            <w:tcBorders>
              <w:bottom w:val="single" w:sz="8" w:space="0" w:color="auto"/>
            </w:tcBorders>
            <w:shd w:val="solid" w:color="FFFFFF" w:fill="auto"/>
          </w:tcPr>
          <w:p w14:paraId="1F0082CF" w14:textId="77777777" w:rsidR="00D40151" w:rsidRPr="00873B6C" w:rsidRDefault="00D40151" w:rsidP="009D14FB">
            <w:pPr>
              <w:pStyle w:val="TAC"/>
              <w:rPr>
                <w:sz w:val="16"/>
                <w:szCs w:val="16"/>
              </w:rPr>
            </w:pPr>
            <w:r w:rsidRPr="00873B6C">
              <w:rPr>
                <w:sz w:val="16"/>
                <w:szCs w:val="16"/>
              </w:rPr>
              <w:t>SP-180791</w:t>
            </w:r>
          </w:p>
        </w:tc>
        <w:tc>
          <w:tcPr>
            <w:tcW w:w="567" w:type="dxa"/>
            <w:tcBorders>
              <w:bottom w:val="single" w:sz="8" w:space="0" w:color="auto"/>
            </w:tcBorders>
            <w:shd w:val="solid" w:color="FFFFFF" w:fill="auto"/>
          </w:tcPr>
          <w:p w14:paraId="71A6F2E6" w14:textId="77777777" w:rsidR="00D40151" w:rsidRPr="00873B6C" w:rsidRDefault="00D40151" w:rsidP="009D14FB">
            <w:pPr>
              <w:pStyle w:val="TAL"/>
              <w:rPr>
                <w:sz w:val="16"/>
                <w:szCs w:val="16"/>
              </w:rPr>
            </w:pPr>
            <w:r w:rsidRPr="00873B6C">
              <w:rPr>
                <w:sz w:val="16"/>
                <w:szCs w:val="16"/>
              </w:rPr>
              <w:t>0611</w:t>
            </w:r>
          </w:p>
        </w:tc>
        <w:tc>
          <w:tcPr>
            <w:tcW w:w="425" w:type="dxa"/>
            <w:tcBorders>
              <w:bottom w:val="single" w:sz="8" w:space="0" w:color="auto"/>
            </w:tcBorders>
            <w:shd w:val="solid" w:color="FFFFFF" w:fill="auto"/>
          </w:tcPr>
          <w:p w14:paraId="2CC14822" w14:textId="77777777" w:rsidR="00D40151" w:rsidRPr="00873B6C" w:rsidRDefault="00D40151" w:rsidP="009D14FB">
            <w:pPr>
              <w:pStyle w:val="TAL"/>
              <w:rPr>
                <w:sz w:val="16"/>
                <w:szCs w:val="16"/>
              </w:rPr>
            </w:pPr>
            <w:r w:rsidRPr="00873B6C">
              <w:rPr>
                <w:sz w:val="16"/>
                <w:szCs w:val="16"/>
              </w:rPr>
              <w:t>3</w:t>
            </w:r>
          </w:p>
        </w:tc>
        <w:tc>
          <w:tcPr>
            <w:tcW w:w="425" w:type="dxa"/>
            <w:tcBorders>
              <w:bottom w:val="single" w:sz="8" w:space="0" w:color="auto"/>
            </w:tcBorders>
            <w:shd w:val="solid" w:color="FFFFFF" w:fill="auto"/>
          </w:tcPr>
          <w:p w14:paraId="0DF90D75"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8" w:space="0" w:color="auto"/>
            </w:tcBorders>
            <w:shd w:val="solid" w:color="FFFFFF" w:fill="auto"/>
          </w:tcPr>
          <w:p w14:paraId="2685F176" w14:textId="77777777" w:rsidR="00D40151" w:rsidRPr="00873B6C" w:rsidRDefault="00D40151" w:rsidP="009D14FB">
            <w:pPr>
              <w:pStyle w:val="TAL"/>
              <w:rPr>
                <w:sz w:val="16"/>
                <w:szCs w:val="16"/>
              </w:rPr>
            </w:pPr>
            <w:r w:rsidRPr="00873B6C">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873B6C" w:rsidRDefault="00D40151" w:rsidP="009D14FB">
            <w:pPr>
              <w:pStyle w:val="TAC"/>
              <w:rPr>
                <w:sz w:val="16"/>
                <w:szCs w:val="16"/>
              </w:rPr>
            </w:pPr>
            <w:r w:rsidRPr="00873B6C">
              <w:rPr>
                <w:sz w:val="16"/>
                <w:szCs w:val="16"/>
              </w:rPr>
              <w:t>15.3.0</w:t>
            </w:r>
          </w:p>
        </w:tc>
      </w:tr>
      <w:tr w:rsidR="00D40151" w:rsidRPr="00873B6C" w14:paraId="22949A84" w14:textId="77777777" w:rsidTr="009D14FB">
        <w:tc>
          <w:tcPr>
            <w:tcW w:w="800" w:type="dxa"/>
            <w:tcBorders>
              <w:top w:val="single" w:sz="8" w:space="0" w:color="auto"/>
            </w:tcBorders>
            <w:shd w:val="solid" w:color="FFFFFF" w:fill="auto"/>
          </w:tcPr>
          <w:p w14:paraId="520D631F" w14:textId="77777777" w:rsidR="00D40151" w:rsidRPr="00873B6C" w:rsidRDefault="00D40151" w:rsidP="009D14FB">
            <w:pPr>
              <w:pStyle w:val="TAC"/>
              <w:rPr>
                <w:sz w:val="16"/>
                <w:szCs w:val="16"/>
              </w:rPr>
            </w:pPr>
            <w:r w:rsidRPr="00873B6C">
              <w:rPr>
                <w:sz w:val="16"/>
                <w:szCs w:val="16"/>
              </w:rPr>
              <w:t>2018-12</w:t>
            </w:r>
          </w:p>
        </w:tc>
        <w:tc>
          <w:tcPr>
            <w:tcW w:w="800" w:type="dxa"/>
            <w:tcBorders>
              <w:top w:val="single" w:sz="8" w:space="0" w:color="auto"/>
            </w:tcBorders>
            <w:shd w:val="solid" w:color="FFFFFF" w:fill="auto"/>
          </w:tcPr>
          <w:p w14:paraId="66A08203" w14:textId="77777777" w:rsidR="00D40151" w:rsidRPr="00873B6C" w:rsidRDefault="00D40151" w:rsidP="009D14FB">
            <w:pPr>
              <w:pStyle w:val="TAC"/>
              <w:rPr>
                <w:sz w:val="16"/>
                <w:szCs w:val="16"/>
              </w:rPr>
            </w:pPr>
            <w:r w:rsidRPr="00873B6C">
              <w:rPr>
                <w:sz w:val="16"/>
                <w:szCs w:val="16"/>
              </w:rPr>
              <w:t>SP#82</w:t>
            </w:r>
          </w:p>
        </w:tc>
        <w:tc>
          <w:tcPr>
            <w:tcW w:w="1094" w:type="dxa"/>
            <w:tcBorders>
              <w:top w:val="single" w:sz="8" w:space="0" w:color="auto"/>
            </w:tcBorders>
            <w:shd w:val="solid" w:color="FFFFFF" w:fill="auto"/>
          </w:tcPr>
          <w:p w14:paraId="36A8A08E" w14:textId="77777777" w:rsidR="00D40151" w:rsidRPr="00873B6C" w:rsidRDefault="00D40151" w:rsidP="009D14FB">
            <w:pPr>
              <w:pStyle w:val="TAC"/>
              <w:rPr>
                <w:sz w:val="16"/>
                <w:szCs w:val="16"/>
              </w:rPr>
            </w:pPr>
            <w:r w:rsidRPr="00873B6C">
              <w:rPr>
                <w:sz w:val="16"/>
                <w:szCs w:val="16"/>
              </w:rPr>
              <w:t>SP-181084</w:t>
            </w:r>
          </w:p>
        </w:tc>
        <w:tc>
          <w:tcPr>
            <w:tcW w:w="567" w:type="dxa"/>
            <w:tcBorders>
              <w:top w:val="single" w:sz="8" w:space="0" w:color="auto"/>
            </w:tcBorders>
            <w:shd w:val="solid" w:color="FFFFFF" w:fill="auto"/>
          </w:tcPr>
          <w:p w14:paraId="7E243DE6" w14:textId="77777777" w:rsidR="00D40151" w:rsidRPr="00873B6C" w:rsidRDefault="00D40151" w:rsidP="009D14FB">
            <w:pPr>
              <w:pStyle w:val="TAL"/>
              <w:rPr>
                <w:sz w:val="16"/>
                <w:szCs w:val="16"/>
              </w:rPr>
            </w:pPr>
            <w:r w:rsidRPr="00873B6C">
              <w:rPr>
                <w:sz w:val="16"/>
                <w:szCs w:val="16"/>
              </w:rPr>
              <w:t>0576</w:t>
            </w:r>
          </w:p>
        </w:tc>
        <w:tc>
          <w:tcPr>
            <w:tcW w:w="425" w:type="dxa"/>
            <w:tcBorders>
              <w:top w:val="single" w:sz="8" w:space="0" w:color="auto"/>
            </w:tcBorders>
            <w:shd w:val="solid" w:color="FFFFFF" w:fill="auto"/>
          </w:tcPr>
          <w:p w14:paraId="4F67AA59" w14:textId="77777777" w:rsidR="00D40151" w:rsidRPr="00873B6C" w:rsidRDefault="00D40151" w:rsidP="009D14FB">
            <w:pPr>
              <w:pStyle w:val="TAL"/>
              <w:rPr>
                <w:sz w:val="16"/>
                <w:szCs w:val="16"/>
              </w:rPr>
            </w:pPr>
            <w:r w:rsidRPr="00873B6C">
              <w:rPr>
                <w:sz w:val="16"/>
                <w:szCs w:val="16"/>
              </w:rPr>
              <w:t>6</w:t>
            </w:r>
          </w:p>
        </w:tc>
        <w:tc>
          <w:tcPr>
            <w:tcW w:w="425" w:type="dxa"/>
            <w:tcBorders>
              <w:top w:val="single" w:sz="8" w:space="0" w:color="auto"/>
            </w:tcBorders>
            <w:shd w:val="solid" w:color="FFFFFF" w:fill="auto"/>
          </w:tcPr>
          <w:p w14:paraId="56FEF3AB" w14:textId="77777777" w:rsidR="00D40151" w:rsidRPr="00873B6C" w:rsidRDefault="00D40151" w:rsidP="009D14FB">
            <w:pPr>
              <w:pStyle w:val="TAL"/>
              <w:rPr>
                <w:sz w:val="16"/>
                <w:szCs w:val="16"/>
              </w:rPr>
            </w:pPr>
            <w:r w:rsidRPr="00873B6C">
              <w:rPr>
                <w:sz w:val="16"/>
                <w:szCs w:val="16"/>
              </w:rPr>
              <w:t>F</w:t>
            </w:r>
          </w:p>
        </w:tc>
        <w:tc>
          <w:tcPr>
            <w:tcW w:w="4820" w:type="dxa"/>
            <w:tcBorders>
              <w:top w:val="single" w:sz="8" w:space="0" w:color="auto"/>
            </w:tcBorders>
            <w:shd w:val="solid" w:color="FFFFFF" w:fill="auto"/>
          </w:tcPr>
          <w:p w14:paraId="0DD6D113" w14:textId="77777777" w:rsidR="00D40151" w:rsidRPr="00873B6C" w:rsidRDefault="00D40151" w:rsidP="009D14FB">
            <w:pPr>
              <w:pStyle w:val="TAL"/>
              <w:rPr>
                <w:sz w:val="16"/>
                <w:szCs w:val="16"/>
              </w:rPr>
            </w:pPr>
            <w:r w:rsidRPr="00873B6C">
              <w:rPr>
                <w:sz w:val="16"/>
                <w:szCs w:val="16"/>
              </w:rPr>
              <w:t>CHF discovery and selection</w:t>
            </w:r>
          </w:p>
        </w:tc>
        <w:tc>
          <w:tcPr>
            <w:tcW w:w="708" w:type="dxa"/>
            <w:tcBorders>
              <w:top w:val="single" w:sz="8" w:space="0" w:color="auto"/>
            </w:tcBorders>
            <w:shd w:val="solid" w:color="FFFFFF" w:fill="auto"/>
          </w:tcPr>
          <w:p w14:paraId="051F733D" w14:textId="77777777" w:rsidR="00D40151" w:rsidRPr="00873B6C" w:rsidRDefault="00D40151" w:rsidP="009D14FB">
            <w:pPr>
              <w:pStyle w:val="TAC"/>
              <w:rPr>
                <w:sz w:val="16"/>
                <w:szCs w:val="16"/>
              </w:rPr>
            </w:pPr>
            <w:r w:rsidRPr="00873B6C">
              <w:rPr>
                <w:sz w:val="16"/>
                <w:szCs w:val="16"/>
              </w:rPr>
              <w:t>15.4.0</w:t>
            </w:r>
          </w:p>
        </w:tc>
      </w:tr>
      <w:tr w:rsidR="00D40151" w:rsidRPr="00873B6C" w14:paraId="30E8A41F" w14:textId="77777777" w:rsidTr="009D14FB">
        <w:tc>
          <w:tcPr>
            <w:tcW w:w="800" w:type="dxa"/>
            <w:shd w:val="solid" w:color="FFFFFF" w:fill="auto"/>
          </w:tcPr>
          <w:p w14:paraId="39F88C0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F1FB1DF"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DF771A2"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28CF217B" w14:textId="77777777" w:rsidR="00D40151" w:rsidRPr="00873B6C" w:rsidRDefault="00D40151" w:rsidP="009D14FB">
            <w:pPr>
              <w:pStyle w:val="TAL"/>
              <w:rPr>
                <w:sz w:val="16"/>
                <w:szCs w:val="16"/>
              </w:rPr>
            </w:pPr>
            <w:r w:rsidRPr="00873B6C">
              <w:rPr>
                <w:sz w:val="16"/>
                <w:szCs w:val="16"/>
              </w:rPr>
              <w:t>0590</w:t>
            </w:r>
          </w:p>
        </w:tc>
        <w:tc>
          <w:tcPr>
            <w:tcW w:w="425" w:type="dxa"/>
            <w:shd w:val="solid" w:color="FFFFFF" w:fill="auto"/>
          </w:tcPr>
          <w:p w14:paraId="2D44260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74AD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375701" w14:textId="77777777" w:rsidR="00D40151" w:rsidRPr="00873B6C" w:rsidRDefault="00D40151" w:rsidP="009D14FB">
            <w:pPr>
              <w:pStyle w:val="TAL"/>
              <w:rPr>
                <w:sz w:val="16"/>
                <w:szCs w:val="16"/>
              </w:rPr>
            </w:pPr>
            <w:r w:rsidRPr="00873B6C">
              <w:rPr>
                <w:sz w:val="16"/>
                <w:szCs w:val="16"/>
              </w:rPr>
              <w:t>Clarification to the slice based congestion control handling at NG-RAN</w:t>
            </w:r>
          </w:p>
        </w:tc>
        <w:tc>
          <w:tcPr>
            <w:tcW w:w="708" w:type="dxa"/>
            <w:shd w:val="solid" w:color="FFFFFF" w:fill="auto"/>
          </w:tcPr>
          <w:p w14:paraId="3B11B20E" w14:textId="77777777" w:rsidR="00D40151" w:rsidRPr="00873B6C" w:rsidRDefault="00D40151" w:rsidP="009D14FB">
            <w:pPr>
              <w:pStyle w:val="TAC"/>
              <w:rPr>
                <w:sz w:val="16"/>
                <w:szCs w:val="16"/>
              </w:rPr>
            </w:pPr>
            <w:r w:rsidRPr="00873B6C">
              <w:rPr>
                <w:sz w:val="16"/>
                <w:szCs w:val="16"/>
              </w:rPr>
              <w:t>15.4.0</w:t>
            </w:r>
          </w:p>
        </w:tc>
      </w:tr>
      <w:tr w:rsidR="00D40151" w:rsidRPr="00873B6C" w14:paraId="491D4434" w14:textId="77777777" w:rsidTr="009D14FB">
        <w:tc>
          <w:tcPr>
            <w:tcW w:w="800" w:type="dxa"/>
            <w:shd w:val="solid" w:color="FFFFFF" w:fill="auto"/>
          </w:tcPr>
          <w:p w14:paraId="67ECF55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88D7177"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54687B2"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6DD08A9B" w14:textId="77777777" w:rsidR="00D40151" w:rsidRPr="00873B6C" w:rsidRDefault="00D40151" w:rsidP="009D14FB">
            <w:pPr>
              <w:pStyle w:val="TAL"/>
              <w:rPr>
                <w:sz w:val="16"/>
                <w:szCs w:val="16"/>
              </w:rPr>
            </w:pPr>
            <w:r w:rsidRPr="00873B6C">
              <w:rPr>
                <w:sz w:val="16"/>
                <w:szCs w:val="16"/>
              </w:rPr>
              <w:t>0607</w:t>
            </w:r>
          </w:p>
        </w:tc>
        <w:tc>
          <w:tcPr>
            <w:tcW w:w="425" w:type="dxa"/>
            <w:shd w:val="solid" w:color="FFFFFF" w:fill="auto"/>
          </w:tcPr>
          <w:p w14:paraId="74625F6E" w14:textId="77777777" w:rsidR="00D40151" w:rsidRPr="00873B6C" w:rsidRDefault="00D40151" w:rsidP="009D14FB">
            <w:pPr>
              <w:pStyle w:val="TAL"/>
              <w:rPr>
                <w:sz w:val="16"/>
                <w:szCs w:val="16"/>
              </w:rPr>
            </w:pPr>
            <w:r w:rsidRPr="00873B6C">
              <w:rPr>
                <w:sz w:val="16"/>
                <w:szCs w:val="16"/>
              </w:rPr>
              <w:t>11</w:t>
            </w:r>
          </w:p>
        </w:tc>
        <w:tc>
          <w:tcPr>
            <w:tcW w:w="425" w:type="dxa"/>
            <w:shd w:val="solid" w:color="FFFFFF" w:fill="auto"/>
          </w:tcPr>
          <w:p w14:paraId="7CF3FA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D8C848" w14:textId="77777777" w:rsidR="00D40151" w:rsidRPr="00873B6C" w:rsidRDefault="00D40151" w:rsidP="009D14FB">
            <w:pPr>
              <w:pStyle w:val="TAL"/>
              <w:rPr>
                <w:sz w:val="16"/>
                <w:szCs w:val="16"/>
              </w:rPr>
            </w:pPr>
            <w:r w:rsidRPr="00873B6C">
              <w:rPr>
                <w:sz w:val="16"/>
                <w:szCs w:val="16"/>
              </w:rPr>
              <w:t>Clarifications for 5QI priority level</w:t>
            </w:r>
          </w:p>
        </w:tc>
        <w:tc>
          <w:tcPr>
            <w:tcW w:w="708" w:type="dxa"/>
            <w:shd w:val="solid" w:color="FFFFFF" w:fill="auto"/>
          </w:tcPr>
          <w:p w14:paraId="35884DCB" w14:textId="77777777" w:rsidR="00D40151" w:rsidRPr="00873B6C" w:rsidRDefault="00D40151" w:rsidP="009D14FB">
            <w:pPr>
              <w:pStyle w:val="TAC"/>
              <w:rPr>
                <w:sz w:val="16"/>
                <w:szCs w:val="16"/>
              </w:rPr>
            </w:pPr>
            <w:r w:rsidRPr="00873B6C">
              <w:rPr>
                <w:sz w:val="16"/>
                <w:szCs w:val="16"/>
              </w:rPr>
              <w:t>15.4.0</w:t>
            </w:r>
          </w:p>
        </w:tc>
      </w:tr>
      <w:tr w:rsidR="00D40151" w:rsidRPr="00873B6C" w14:paraId="198DD798" w14:textId="77777777" w:rsidTr="009D14FB">
        <w:tc>
          <w:tcPr>
            <w:tcW w:w="800" w:type="dxa"/>
            <w:shd w:val="solid" w:color="FFFFFF" w:fill="auto"/>
          </w:tcPr>
          <w:p w14:paraId="02CE687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38A7472"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1A223BE"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3441F0D6" w14:textId="77777777" w:rsidR="00D40151" w:rsidRPr="00873B6C" w:rsidRDefault="00D40151" w:rsidP="009D14FB">
            <w:pPr>
              <w:pStyle w:val="TAL"/>
              <w:rPr>
                <w:sz w:val="16"/>
                <w:szCs w:val="16"/>
              </w:rPr>
            </w:pPr>
            <w:r w:rsidRPr="00873B6C">
              <w:rPr>
                <w:sz w:val="16"/>
                <w:szCs w:val="16"/>
              </w:rPr>
              <w:t>0621</w:t>
            </w:r>
          </w:p>
        </w:tc>
        <w:tc>
          <w:tcPr>
            <w:tcW w:w="425" w:type="dxa"/>
            <w:shd w:val="solid" w:color="FFFFFF" w:fill="auto"/>
          </w:tcPr>
          <w:p w14:paraId="60C1202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BFB4C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C27132" w14:textId="77777777" w:rsidR="00D40151" w:rsidRPr="00873B6C" w:rsidRDefault="00D40151" w:rsidP="009D14FB">
            <w:pPr>
              <w:pStyle w:val="TAL"/>
              <w:rPr>
                <w:sz w:val="16"/>
                <w:szCs w:val="16"/>
              </w:rPr>
            </w:pPr>
            <w:r w:rsidRPr="00873B6C">
              <w:rPr>
                <w:sz w:val="16"/>
                <w:szCs w:val="16"/>
              </w:rPr>
              <w:t>Using preconfigured 5QI for QoS Flow associated with the default QoS rule</w:t>
            </w:r>
          </w:p>
        </w:tc>
        <w:tc>
          <w:tcPr>
            <w:tcW w:w="708" w:type="dxa"/>
            <w:shd w:val="solid" w:color="FFFFFF" w:fill="auto"/>
          </w:tcPr>
          <w:p w14:paraId="187D4A08" w14:textId="77777777" w:rsidR="00D40151" w:rsidRPr="00873B6C" w:rsidRDefault="00D40151" w:rsidP="009D14FB">
            <w:pPr>
              <w:pStyle w:val="TAC"/>
              <w:rPr>
                <w:sz w:val="16"/>
                <w:szCs w:val="16"/>
              </w:rPr>
            </w:pPr>
            <w:r w:rsidRPr="00873B6C">
              <w:rPr>
                <w:sz w:val="16"/>
                <w:szCs w:val="16"/>
              </w:rPr>
              <w:t>15.4.0</w:t>
            </w:r>
          </w:p>
        </w:tc>
      </w:tr>
      <w:tr w:rsidR="00D40151" w:rsidRPr="00873B6C" w14:paraId="4D5B9B50" w14:textId="77777777" w:rsidTr="009D14FB">
        <w:tc>
          <w:tcPr>
            <w:tcW w:w="800" w:type="dxa"/>
            <w:shd w:val="solid" w:color="FFFFFF" w:fill="auto"/>
          </w:tcPr>
          <w:p w14:paraId="7194AF04"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00B339F"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8C84EAC"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377F1CB0" w14:textId="77777777" w:rsidR="00D40151" w:rsidRPr="00873B6C" w:rsidRDefault="00D40151" w:rsidP="009D14FB">
            <w:pPr>
              <w:pStyle w:val="TAL"/>
              <w:rPr>
                <w:sz w:val="16"/>
                <w:szCs w:val="16"/>
              </w:rPr>
            </w:pPr>
            <w:r w:rsidRPr="00873B6C">
              <w:rPr>
                <w:sz w:val="16"/>
                <w:szCs w:val="16"/>
              </w:rPr>
              <w:t>0622</w:t>
            </w:r>
          </w:p>
        </w:tc>
        <w:tc>
          <w:tcPr>
            <w:tcW w:w="425" w:type="dxa"/>
            <w:shd w:val="solid" w:color="FFFFFF" w:fill="auto"/>
          </w:tcPr>
          <w:p w14:paraId="227C5DB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22E2E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68B4EF" w14:textId="77777777" w:rsidR="00D40151" w:rsidRPr="00873B6C" w:rsidRDefault="00D40151" w:rsidP="009D14FB">
            <w:pPr>
              <w:pStyle w:val="TAL"/>
              <w:rPr>
                <w:sz w:val="16"/>
                <w:szCs w:val="16"/>
              </w:rPr>
            </w:pPr>
            <w:r w:rsidRPr="00873B6C">
              <w:rPr>
                <w:sz w:val="16"/>
                <w:szCs w:val="16"/>
              </w:rPr>
              <w:t>Update of Default Configured NSSAI</w:t>
            </w:r>
          </w:p>
        </w:tc>
        <w:tc>
          <w:tcPr>
            <w:tcW w:w="708" w:type="dxa"/>
            <w:shd w:val="solid" w:color="FFFFFF" w:fill="auto"/>
          </w:tcPr>
          <w:p w14:paraId="04F1DA98" w14:textId="77777777" w:rsidR="00D40151" w:rsidRPr="00873B6C" w:rsidRDefault="00D40151" w:rsidP="009D14FB">
            <w:pPr>
              <w:pStyle w:val="TAC"/>
              <w:rPr>
                <w:sz w:val="16"/>
                <w:szCs w:val="16"/>
              </w:rPr>
            </w:pPr>
            <w:r w:rsidRPr="00873B6C">
              <w:rPr>
                <w:sz w:val="16"/>
                <w:szCs w:val="16"/>
              </w:rPr>
              <w:t>15.4.0</w:t>
            </w:r>
          </w:p>
        </w:tc>
      </w:tr>
      <w:tr w:rsidR="00D40151" w:rsidRPr="00873B6C" w14:paraId="7660094B" w14:textId="77777777" w:rsidTr="009D14FB">
        <w:tc>
          <w:tcPr>
            <w:tcW w:w="800" w:type="dxa"/>
            <w:shd w:val="solid" w:color="FFFFFF" w:fill="auto"/>
          </w:tcPr>
          <w:p w14:paraId="4E621857"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44C980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96FFC09"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4824BC69" w14:textId="77777777" w:rsidR="00D40151" w:rsidRPr="00873B6C" w:rsidRDefault="00D40151" w:rsidP="009D14FB">
            <w:pPr>
              <w:pStyle w:val="TAL"/>
              <w:rPr>
                <w:sz w:val="16"/>
                <w:szCs w:val="16"/>
              </w:rPr>
            </w:pPr>
            <w:r w:rsidRPr="00873B6C">
              <w:rPr>
                <w:sz w:val="16"/>
                <w:szCs w:val="16"/>
              </w:rPr>
              <w:t>0625</w:t>
            </w:r>
          </w:p>
        </w:tc>
        <w:tc>
          <w:tcPr>
            <w:tcW w:w="425" w:type="dxa"/>
            <w:shd w:val="solid" w:color="FFFFFF" w:fill="auto"/>
          </w:tcPr>
          <w:p w14:paraId="445CEB8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BC361C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8B8FD9" w14:textId="77777777" w:rsidR="00D40151" w:rsidRPr="00873B6C" w:rsidRDefault="00D40151" w:rsidP="009D14FB">
            <w:pPr>
              <w:pStyle w:val="TAL"/>
              <w:rPr>
                <w:sz w:val="16"/>
                <w:szCs w:val="16"/>
              </w:rPr>
            </w:pPr>
            <w:r w:rsidRPr="00873B6C">
              <w:rPr>
                <w:sz w:val="16"/>
                <w:szCs w:val="16"/>
              </w:rPr>
              <w:t>Clarifying the boundaries of an NF instance</w:t>
            </w:r>
          </w:p>
        </w:tc>
        <w:tc>
          <w:tcPr>
            <w:tcW w:w="708" w:type="dxa"/>
            <w:shd w:val="solid" w:color="FFFFFF" w:fill="auto"/>
          </w:tcPr>
          <w:p w14:paraId="721A4F45" w14:textId="77777777" w:rsidR="00D40151" w:rsidRPr="00873B6C" w:rsidRDefault="00D40151" w:rsidP="009D14FB">
            <w:pPr>
              <w:pStyle w:val="TAC"/>
              <w:rPr>
                <w:sz w:val="16"/>
                <w:szCs w:val="16"/>
              </w:rPr>
            </w:pPr>
            <w:r w:rsidRPr="00873B6C">
              <w:rPr>
                <w:sz w:val="16"/>
                <w:szCs w:val="16"/>
              </w:rPr>
              <w:t>15.4.0</w:t>
            </w:r>
          </w:p>
        </w:tc>
      </w:tr>
      <w:tr w:rsidR="00D40151" w:rsidRPr="00873B6C" w14:paraId="2C792673" w14:textId="77777777" w:rsidTr="009D14FB">
        <w:tc>
          <w:tcPr>
            <w:tcW w:w="800" w:type="dxa"/>
            <w:shd w:val="solid" w:color="FFFFFF" w:fill="auto"/>
          </w:tcPr>
          <w:p w14:paraId="5D516C9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7BEED4A"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12A1F7F8"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6AB28E87" w14:textId="77777777" w:rsidR="00D40151" w:rsidRPr="00873B6C" w:rsidRDefault="00D40151" w:rsidP="009D14FB">
            <w:pPr>
              <w:pStyle w:val="TAL"/>
              <w:rPr>
                <w:sz w:val="16"/>
                <w:szCs w:val="16"/>
              </w:rPr>
            </w:pPr>
            <w:r w:rsidRPr="00873B6C">
              <w:rPr>
                <w:sz w:val="16"/>
                <w:szCs w:val="16"/>
              </w:rPr>
              <w:t>0626</w:t>
            </w:r>
          </w:p>
        </w:tc>
        <w:tc>
          <w:tcPr>
            <w:tcW w:w="425" w:type="dxa"/>
            <w:shd w:val="solid" w:color="FFFFFF" w:fill="auto"/>
          </w:tcPr>
          <w:p w14:paraId="5F12BC0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CC4B42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404B48" w14:textId="77777777" w:rsidR="00D40151" w:rsidRPr="00873B6C" w:rsidRDefault="00D40151" w:rsidP="009D14FB">
            <w:pPr>
              <w:pStyle w:val="TAL"/>
              <w:rPr>
                <w:sz w:val="16"/>
                <w:szCs w:val="16"/>
              </w:rPr>
            </w:pPr>
            <w:r w:rsidRPr="00873B6C">
              <w:rPr>
                <w:sz w:val="16"/>
                <w:szCs w:val="16"/>
              </w:rPr>
              <w:t>Correcting discovery and selection</w:t>
            </w:r>
          </w:p>
        </w:tc>
        <w:tc>
          <w:tcPr>
            <w:tcW w:w="708" w:type="dxa"/>
            <w:shd w:val="solid" w:color="FFFFFF" w:fill="auto"/>
          </w:tcPr>
          <w:p w14:paraId="2A94E099" w14:textId="77777777" w:rsidR="00D40151" w:rsidRPr="00873B6C" w:rsidRDefault="00D40151" w:rsidP="009D14FB">
            <w:pPr>
              <w:pStyle w:val="TAC"/>
              <w:rPr>
                <w:sz w:val="16"/>
                <w:szCs w:val="16"/>
              </w:rPr>
            </w:pPr>
            <w:r w:rsidRPr="00873B6C">
              <w:rPr>
                <w:sz w:val="16"/>
                <w:szCs w:val="16"/>
              </w:rPr>
              <w:t>15.4.0</w:t>
            </w:r>
          </w:p>
        </w:tc>
      </w:tr>
      <w:tr w:rsidR="00D40151" w:rsidRPr="00873B6C" w14:paraId="5129523B" w14:textId="77777777" w:rsidTr="009D14FB">
        <w:tc>
          <w:tcPr>
            <w:tcW w:w="800" w:type="dxa"/>
            <w:shd w:val="solid" w:color="FFFFFF" w:fill="auto"/>
          </w:tcPr>
          <w:p w14:paraId="3EC4CD96"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F0FDC18"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E7B4E13"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1B6F0213" w14:textId="77777777" w:rsidR="00D40151" w:rsidRPr="00873B6C" w:rsidRDefault="00D40151" w:rsidP="009D14FB">
            <w:pPr>
              <w:pStyle w:val="TAL"/>
              <w:rPr>
                <w:sz w:val="16"/>
                <w:szCs w:val="16"/>
              </w:rPr>
            </w:pPr>
            <w:r w:rsidRPr="00873B6C">
              <w:rPr>
                <w:sz w:val="16"/>
                <w:szCs w:val="16"/>
              </w:rPr>
              <w:t>0628</w:t>
            </w:r>
          </w:p>
        </w:tc>
        <w:tc>
          <w:tcPr>
            <w:tcW w:w="425" w:type="dxa"/>
            <w:shd w:val="solid" w:color="FFFFFF" w:fill="auto"/>
          </w:tcPr>
          <w:p w14:paraId="0CAF5E3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EBDDFC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3EF545" w14:textId="77777777" w:rsidR="00D40151" w:rsidRPr="00873B6C" w:rsidRDefault="00D40151" w:rsidP="009D14FB">
            <w:pPr>
              <w:pStyle w:val="TAL"/>
              <w:rPr>
                <w:sz w:val="16"/>
                <w:szCs w:val="16"/>
              </w:rPr>
            </w:pPr>
            <w:r w:rsidRPr="00873B6C">
              <w:rPr>
                <w:sz w:val="16"/>
                <w:szCs w:val="16"/>
              </w:rPr>
              <w:t>Reporting PS Data Off status change when SM back off timer is running</w:t>
            </w:r>
          </w:p>
        </w:tc>
        <w:tc>
          <w:tcPr>
            <w:tcW w:w="708" w:type="dxa"/>
            <w:shd w:val="solid" w:color="FFFFFF" w:fill="auto"/>
          </w:tcPr>
          <w:p w14:paraId="2B5403FA" w14:textId="77777777" w:rsidR="00D40151" w:rsidRPr="00873B6C" w:rsidRDefault="00D40151" w:rsidP="009D14FB">
            <w:pPr>
              <w:pStyle w:val="TAC"/>
              <w:rPr>
                <w:sz w:val="16"/>
                <w:szCs w:val="16"/>
              </w:rPr>
            </w:pPr>
            <w:r w:rsidRPr="00873B6C">
              <w:rPr>
                <w:sz w:val="16"/>
                <w:szCs w:val="16"/>
              </w:rPr>
              <w:t>15.4.0</w:t>
            </w:r>
          </w:p>
        </w:tc>
      </w:tr>
      <w:tr w:rsidR="00D40151" w:rsidRPr="00873B6C" w14:paraId="2FF7B199" w14:textId="77777777" w:rsidTr="009D14FB">
        <w:tc>
          <w:tcPr>
            <w:tcW w:w="800" w:type="dxa"/>
            <w:shd w:val="solid" w:color="FFFFFF" w:fill="auto"/>
          </w:tcPr>
          <w:p w14:paraId="3944750E"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24B68D7"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201AFE8"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45C65323" w14:textId="77777777" w:rsidR="00D40151" w:rsidRPr="00873B6C" w:rsidRDefault="00D40151" w:rsidP="009D14FB">
            <w:pPr>
              <w:pStyle w:val="TAL"/>
              <w:rPr>
                <w:sz w:val="16"/>
                <w:szCs w:val="16"/>
              </w:rPr>
            </w:pPr>
            <w:r w:rsidRPr="00873B6C">
              <w:rPr>
                <w:sz w:val="16"/>
                <w:szCs w:val="16"/>
              </w:rPr>
              <w:t>0629</w:t>
            </w:r>
          </w:p>
        </w:tc>
        <w:tc>
          <w:tcPr>
            <w:tcW w:w="425" w:type="dxa"/>
            <w:shd w:val="solid" w:color="FFFFFF" w:fill="auto"/>
          </w:tcPr>
          <w:p w14:paraId="6470494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2B8AB7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960F27" w14:textId="77777777" w:rsidR="00D40151" w:rsidRPr="00873B6C" w:rsidRDefault="00D40151" w:rsidP="009D14FB">
            <w:pPr>
              <w:pStyle w:val="TAL"/>
              <w:rPr>
                <w:sz w:val="16"/>
                <w:szCs w:val="16"/>
              </w:rPr>
            </w:pPr>
            <w:r w:rsidRPr="00873B6C">
              <w:rPr>
                <w:sz w:val="16"/>
                <w:szCs w:val="16"/>
              </w:rPr>
              <w:t>Correction of the indication of UE 5GSM capabilities after intersystem change</w:t>
            </w:r>
          </w:p>
        </w:tc>
        <w:tc>
          <w:tcPr>
            <w:tcW w:w="708" w:type="dxa"/>
            <w:shd w:val="solid" w:color="FFFFFF" w:fill="auto"/>
          </w:tcPr>
          <w:p w14:paraId="34D023BC" w14:textId="77777777" w:rsidR="00D40151" w:rsidRPr="00873B6C" w:rsidRDefault="00D40151" w:rsidP="009D14FB">
            <w:pPr>
              <w:pStyle w:val="TAC"/>
              <w:rPr>
                <w:sz w:val="16"/>
                <w:szCs w:val="16"/>
              </w:rPr>
            </w:pPr>
            <w:r w:rsidRPr="00873B6C">
              <w:rPr>
                <w:sz w:val="16"/>
                <w:szCs w:val="16"/>
              </w:rPr>
              <w:t>15.4.0</w:t>
            </w:r>
          </w:p>
        </w:tc>
      </w:tr>
      <w:tr w:rsidR="00D40151" w:rsidRPr="00873B6C" w14:paraId="65EA758D" w14:textId="77777777" w:rsidTr="009D14FB">
        <w:tc>
          <w:tcPr>
            <w:tcW w:w="800" w:type="dxa"/>
            <w:shd w:val="solid" w:color="FFFFFF" w:fill="auto"/>
          </w:tcPr>
          <w:p w14:paraId="4C650D4D"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BBC3131"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DB8060E"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77CD3E72" w14:textId="77777777" w:rsidR="00D40151" w:rsidRPr="00873B6C" w:rsidRDefault="00D40151" w:rsidP="009D14FB">
            <w:pPr>
              <w:pStyle w:val="TAL"/>
              <w:rPr>
                <w:sz w:val="16"/>
                <w:szCs w:val="16"/>
              </w:rPr>
            </w:pPr>
            <w:r w:rsidRPr="00873B6C">
              <w:rPr>
                <w:sz w:val="16"/>
                <w:szCs w:val="16"/>
              </w:rPr>
              <w:t>0630</w:t>
            </w:r>
          </w:p>
        </w:tc>
        <w:tc>
          <w:tcPr>
            <w:tcW w:w="425" w:type="dxa"/>
            <w:shd w:val="solid" w:color="FFFFFF" w:fill="auto"/>
          </w:tcPr>
          <w:p w14:paraId="17E182D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6458E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B2781F" w14:textId="77777777" w:rsidR="00D40151" w:rsidRPr="00873B6C" w:rsidRDefault="00D40151" w:rsidP="009D14FB">
            <w:pPr>
              <w:pStyle w:val="TAL"/>
              <w:rPr>
                <w:sz w:val="16"/>
                <w:szCs w:val="16"/>
              </w:rPr>
            </w:pPr>
            <w:r w:rsidRPr="00873B6C">
              <w:rPr>
                <w:sz w:val="16"/>
                <w:szCs w:val="16"/>
              </w:rPr>
              <w:t>UE unable to use N3IWF identifier configuration in stand-alone N3IWF selection</w:t>
            </w:r>
          </w:p>
        </w:tc>
        <w:tc>
          <w:tcPr>
            <w:tcW w:w="708" w:type="dxa"/>
            <w:shd w:val="solid" w:color="FFFFFF" w:fill="auto"/>
          </w:tcPr>
          <w:p w14:paraId="76B70291" w14:textId="77777777" w:rsidR="00D40151" w:rsidRPr="00873B6C" w:rsidRDefault="00D40151" w:rsidP="009D14FB">
            <w:pPr>
              <w:pStyle w:val="TAC"/>
              <w:rPr>
                <w:sz w:val="16"/>
                <w:szCs w:val="16"/>
              </w:rPr>
            </w:pPr>
            <w:r w:rsidRPr="00873B6C">
              <w:rPr>
                <w:sz w:val="16"/>
                <w:szCs w:val="16"/>
              </w:rPr>
              <w:t>15.4.0</w:t>
            </w:r>
          </w:p>
        </w:tc>
      </w:tr>
      <w:tr w:rsidR="00D40151" w:rsidRPr="00873B6C" w14:paraId="7657A945" w14:textId="77777777" w:rsidTr="009D14FB">
        <w:tc>
          <w:tcPr>
            <w:tcW w:w="800" w:type="dxa"/>
            <w:shd w:val="solid" w:color="FFFFFF" w:fill="auto"/>
          </w:tcPr>
          <w:p w14:paraId="6EAC8C3E"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C8D278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E331DF7"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0A119388" w14:textId="77777777" w:rsidR="00D40151" w:rsidRPr="00873B6C" w:rsidRDefault="00D40151" w:rsidP="009D14FB">
            <w:pPr>
              <w:pStyle w:val="TAL"/>
              <w:rPr>
                <w:sz w:val="16"/>
                <w:szCs w:val="16"/>
              </w:rPr>
            </w:pPr>
            <w:r w:rsidRPr="00873B6C">
              <w:rPr>
                <w:sz w:val="16"/>
                <w:szCs w:val="16"/>
              </w:rPr>
              <w:t>0633</w:t>
            </w:r>
          </w:p>
        </w:tc>
        <w:tc>
          <w:tcPr>
            <w:tcW w:w="425" w:type="dxa"/>
            <w:shd w:val="solid" w:color="FFFFFF" w:fill="auto"/>
          </w:tcPr>
          <w:p w14:paraId="5F55733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C30EDC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1EB001" w14:textId="77777777" w:rsidR="00D40151" w:rsidRPr="00873B6C" w:rsidRDefault="00D40151" w:rsidP="009D14FB">
            <w:pPr>
              <w:pStyle w:val="TAL"/>
              <w:rPr>
                <w:sz w:val="16"/>
                <w:szCs w:val="16"/>
              </w:rPr>
            </w:pPr>
            <w:r w:rsidRPr="00873B6C">
              <w:rPr>
                <w:sz w:val="16"/>
                <w:szCs w:val="16"/>
              </w:rPr>
              <w:t>Removal of Editor's Note re mandatoriness of RRC_Inactive</w:t>
            </w:r>
          </w:p>
        </w:tc>
        <w:tc>
          <w:tcPr>
            <w:tcW w:w="708" w:type="dxa"/>
            <w:shd w:val="solid" w:color="FFFFFF" w:fill="auto"/>
          </w:tcPr>
          <w:p w14:paraId="3052DF92" w14:textId="77777777" w:rsidR="00D40151" w:rsidRPr="00873B6C" w:rsidRDefault="00D40151" w:rsidP="009D14FB">
            <w:pPr>
              <w:pStyle w:val="TAC"/>
              <w:rPr>
                <w:sz w:val="16"/>
                <w:szCs w:val="16"/>
              </w:rPr>
            </w:pPr>
            <w:r w:rsidRPr="00873B6C">
              <w:rPr>
                <w:sz w:val="16"/>
                <w:szCs w:val="16"/>
              </w:rPr>
              <w:t>15.4.0</w:t>
            </w:r>
          </w:p>
        </w:tc>
      </w:tr>
      <w:tr w:rsidR="00D40151" w:rsidRPr="00873B6C" w14:paraId="0011A9BB" w14:textId="77777777" w:rsidTr="009D14FB">
        <w:tc>
          <w:tcPr>
            <w:tcW w:w="800" w:type="dxa"/>
            <w:shd w:val="solid" w:color="FFFFFF" w:fill="auto"/>
          </w:tcPr>
          <w:p w14:paraId="1C05B5F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222FFA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3B7711B"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1F7AE9CF" w14:textId="77777777" w:rsidR="00D40151" w:rsidRPr="00873B6C" w:rsidRDefault="00D40151" w:rsidP="009D14FB">
            <w:pPr>
              <w:pStyle w:val="TAL"/>
              <w:rPr>
                <w:sz w:val="16"/>
                <w:szCs w:val="16"/>
              </w:rPr>
            </w:pPr>
            <w:r w:rsidRPr="00873B6C">
              <w:rPr>
                <w:sz w:val="16"/>
                <w:szCs w:val="16"/>
              </w:rPr>
              <w:t>0634</w:t>
            </w:r>
          </w:p>
        </w:tc>
        <w:tc>
          <w:tcPr>
            <w:tcW w:w="425" w:type="dxa"/>
            <w:shd w:val="solid" w:color="FFFFFF" w:fill="auto"/>
          </w:tcPr>
          <w:p w14:paraId="49686B3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5E6D0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CAB0EB" w14:textId="77777777" w:rsidR="00D40151" w:rsidRPr="00873B6C" w:rsidRDefault="00D40151" w:rsidP="009D14FB">
            <w:pPr>
              <w:pStyle w:val="TAL"/>
              <w:rPr>
                <w:sz w:val="16"/>
                <w:szCs w:val="16"/>
              </w:rPr>
            </w:pPr>
            <w:r w:rsidRPr="00873B6C">
              <w:rPr>
                <w:sz w:val="16"/>
                <w:szCs w:val="16"/>
              </w:rPr>
              <w:t>Avoiding mandatory MME impacts from 3-byte TAC</w:t>
            </w:r>
          </w:p>
        </w:tc>
        <w:tc>
          <w:tcPr>
            <w:tcW w:w="708" w:type="dxa"/>
            <w:shd w:val="solid" w:color="FFFFFF" w:fill="auto"/>
          </w:tcPr>
          <w:p w14:paraId="74F1ECAD" w14:textId="77777777" w:rsidR="00D40151" w:rsidRPr="00873B6C" w:rsidRDefault="00D40151" w:rsidP="009D14FB">
            <w:pPr>
              <w:pStyle w:val="TAC"/>
              <w:rPr>
                <w:sz w:val="16"/>
                <w:szCs w:val="16"/>
              </w:rPr>
            </w:pPr>
            <w:r w:rsidRPr="00873B6C">
              <w:rPr>
                <w:sz w:val="16"/>
                <w:szCs w:val="16"/>
              </w:rPr>
              <w:t>15.4.0</w:t>
            </w:r>
          </w:p>
        </w:tc>
      </w:tr>
      <w:tr w:rsidR="00D40151" w:rsidRPr="00873B6C" w14:paraId="68E76469" w14:textId="77777777" w:rsidTr="009D14FB">
        <w:tc>
          <w:tcPr>
            <w:tcW w:w="800" w:type="dxa"/>
            <w:shd w:val="solid" w:color="FFFFFF" w:fill="auto"/>
          </w:tcPr>
          <w:p w14:paraId="40A9083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FAD9A1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1FD9051"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67964818" w14:textId="77777777" w:rsidR="00D40151" w:rsidRPr="00873B6C" w:rsidRDefault="00D40151" w:rsidP="009D14FB">
            <w:pPr>
              <w:pStyle w:val="TAL"/>
              <w:rPr>
                <w:sz w:val="16"/>
                <w:szCs w:val="16"/>
              </w:rPr>
            </w:pPr>
            <w:r w:rsidRPr="00873B6C">
              <w:rPr>
                <w:sz w:val="16"/>
                <w:szCs w:val="16"/>
              </w:rPr>
              <w:t>0637</w:t>
            </w:r>
          </w:p>
        </w:tc>
        <w:tc>
          <w:tcPr>
            <w:tcW w:w="425" w:type="dxa"/>
            <w:shd w:val="solid" w:color="FFFFFF" w:fill="auto"/>
          </w:tcPr>
          <w:p w14:paraId="0B58A44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2A3E0C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F43FF0" w14:textId="77777777" w:rsidR="00D40151" w:rsidRPr="00873B6C" w:rsidRDefault="00D40151" w:rsidP="009D14FB">
            <w:pPr>
              <w:pStyle w:val="TAL"/>
              <w:rPr>
                <w:sz w:val="16"/>
                <w:szCs w:val="16"/>
              </w:rPr>
            </w:pPr>
            <w:r w:rsidRPr="00873B6C">
              <w:rPr>
                <w:sz w:val="16"/>
                <w:szCs w:val="16"/>
              </w:rPr>
              <w:t>Alignment of NF Profile with adding priority parameter</w:t>
            </w:r>
          </w:p>
        </w:tc>
        <w:tc>
          <w:tcPr>
            <w:tcW w:w="708" w:type="dxa"/>
            <w:shd w:val="solid" w:color="FFFFFF" w:fill="auto"/>
          </w:tcPr>
          <w:p w14:paraId="0C45B2C2" w14:textId="77777777" w:rsidR="00D40151" w:rsidRPr="00873B6C" w:rsidRDefault="00D40151" w:rsidP="009D14FB">
            <w:pPr>
              <w:pStyle w:val="TAC"/>
              <w:rPr>
                <w:sz w:val="16"/>
                <w:szCs w:val="16"/>
              </w:rPr>
            </w:pPr>
            <w:r w:rsidRPr="00873B6C">
              <w:rPr>
                <w:sz w:val="16"/>
                <w:szCs w:val="16"/>
              </w:rPr>
              <w:t>15.4.0</w:t>
            </w:r>
          </w:p>
        </w:tc>
      </w:tr>
      <w:tr w:rsidR="00D40151" w:rsidRPr="00873B6C" w14:paraId="607CB4F8" w14:textId="77777777" w:rsidTr="009D14FB">
        <w:tc>
          <w:tcPr>
            <w:tcW w:w="800" w:type="dxa"/>
            <w:shd w:val="solid" w:color="FFFFFF" w:fill="auto"/>
          </w:tcPr>
          <w:p w14:paraId="1004093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5E2E44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C5CCC23"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3F105213" w14:textId="77777777" w:rsidR="00D40151" w:rsidRPr="00873B6C" w:rsidRDefault="00D40151" w:rsidP="009D14FB">
            <w:pPr>
              <w:pStyle w:val="TAL"/>
              <w:rPr>
                <w:sz w:val="16"/>
                <w:szCs w:val="16"/>
              </w:rPr>
            </w:pPr>
            <w:r w:rsidRPr="00873B6C">
              <w:rPr>
                <w:sz w:val="16"/>
                <w:szCs w:val="16"/>
              </w:rPr>
              <w:t>0638</w:t>
            </w:r>
          </w:p>
        </w:tc>
        <w:tc>
          <w:tcPr>
            <w:tcW w:w="425" w:type="dxa"/>
            <w:shd w:val="solid" w:color="FFFFFF" w:fill="auto"/>
          </w:tcPr>
          <w:p w14:paraId="70298A6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4AE7F2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510C28" w14:textId="77777777" w:rsidR="00D40151" w:rsidRPr="00873B6C" w:rsidRDefault="00D40151" w:rsidP="009D14FB">
            <w:pPr>
              <w:pStyle w:val="TAL"/>
              <w:rPr>
                <w:sz w:val="16"/>
                <w:szCs w:val="16"/>
              </w:rPr>
            </w:pPr>
            <w:r w:rsidRPr="00873B6C">
              <w:rPr>
                <w:sz w:val="16"/>
                <w:szCs w:val="16"/>
              </w:rPr>
              <w:t>Clarification on RQ Timer</w:t>
            </w:r>
          </w:p>
        </w:tc>
        <w:tc>
          <w:tcPr>
            <w:tcW w:w="708" w:type="dxa"/>
            <w:shd w:val="solid" w:color="FFFFFF" w:fill="auto"/>
          </w:tcPr>
          <w:p w14:paraId="014C2038" w14:textId="77777777" w:rsidR="00D40151" w:rsidRPr="00873B6C" w:rsidRDefault="00D40151" w:rsidP="009D14FB">
            <w:pPr>
              <w:pStyle w:val="TAC"/>
              <w:rPr>
                <w:sz w:val="16"/>
                <w:szCs w:val="16"/>
              </w:rPr>
            </w:pPr>
            <w:r w:rsidRPr="00873B6C">
              <w:rPr>
                <w:sz w:val="16"/>
                <w:szCs w:val="16"/>
              </w:rPr>
              <w:t>15.4.0</w:t>
            </w:r>
          </w:p>
        </w:tc>
      </w:tr>
      <w:tr w:rsidR="00D40151" w:rsidRPr="00873B6C" w14:paraId="676FA554" w14:textId="77777777" w:rsidTr="009D14FB">
        <w:tc>
          <w:tcPr>
            <w:tcW w:w="800" w:type="dxa"/>
            <w:shd w:val="solid" w:color="FFFFFF" w:fill="auto"/>
          </w:tcPr>
          <w:p w14:paraId="2B3789E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CB13E61"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6B2C737"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13913065" w14:textId="77777777" w:rsidR="00D40151" w:rsidRPr="00873B6C" w:rsidRDefault="00D40151" w:rsidP="009D14FB">
            <w:pPr>
              <w:pStyle w:val="TAL"/>
              <w:rPr>
                <w:sz w:val="16"/>
                <w:szCs w:val="16"/>
              </w:rPr>
            </w:pPr>
            <w:r w:rsidRPr="00873B6C">
              <w:rPr>
                <w:sz w:val="16"/>
                <w:szCs w:val="16"/>
              </w:rPr>
              <w:t>0639</w:t>
            </w:r>
          </w:p>
        </w:tc>
        <w:tc>
          <w:tcPr>
            <w:tcW w:w="425" w:type="dxa"/>
            <w:shd w:val="solid" w:color="FFFFFF" w:fill="auto"/>
          </w:tcPr>
          <w:p w14:paraId="43FA5AF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681CD5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AF613D" w14:textId="77777777" w:rsidR="00D40151" w:rsidRPr="00873B6C" w:rsidRDefault="00D40151" w:rsidP="009D14FB">
            <w:pPr>
              <w:pStyle w:val="TAL"/>
              <w:rPr>
                <w:sz w:val="16"/>
                <w:szCs w:val="16"/>
              </w:rPr>
            </w:pPr>
            <w:r w:rsidRPr="00873B6C">
              <w:rPr>
                <w:sz w:val="16"/>
                <w:szCs w:val="16"/>
              </w:rPr>
              <w:t>Interactions with PCF - Updates to reference architecure for interworking</w:t>
            </w:r>
          </w:p>
        </w:tc>
        <w:tc>
          <w:tcPr>
            <w:tcW w:w="708" w:type="dxa"/>
            <w:shd w:val="solid" w:color="FFFFFF" w:fill="auto"/>
          </w:tcPr>
          <w:p w14:paraId="1F324AE3" w14:textId="77777777" w:rsidR="00D40151" w:rsidRPr="00873B6C" w:rsidRDefault="00D40151" w:rsidP="009D14FB">
            <w:pPr>
              <w:pStyle w:val="TAC"/>
              <w:rPr>
                <w:sz w:val="16"/>
                <w:szCs w:val="16"/>
              </w:rPr>
            </w:pPr>
            <w:r w:rsidRPr="00873B6C">
              <w:rPr>
                <w:sz w:val="16"/>
                <w:szCs w:val="16"/>
              </w:rPr>
              <w:t>15.4.0</w:t>
            </w:r>
          </w:p>
        </w:tc>
      </w:tr>
      <w:tr w:rsidR="00D40151" w:rsidRPr="00873B6C" w14:paraId="789FFF9C" w14:textId="77777777" w:rsidTr="009D14FB">
        <w:tc>
          <w:tcPr>
            <w:tcW w:w="800" w:type="dxa"/>
            <w:shd w:val="solid" w:color="FFFFFF" w:fill="auto"/>
          </w:tcPr>
          <w:p w14:paraId="4126709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AB9377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E922421"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3780D38A" w14:textId="77777777" w:rsidR="00D40151" w:rsidRPr="00873B6C" w:rsidRDefault="00D40151" w:rsidP="009D14FB">
            <w:pPr>
              <w:pStyle w:val="TAL"/>
              <w:rPr>
                <w:sz w:val="16"/>
                <w:szCs w:val="16"/>
              </w:rPr>
            </w:pPr>
            <w:r w:rsidRPr="00873B6C">
              <w:rPr>
                <w:sz w:val="16"/>
                <w:szCs w:val="16"/>
              </w:rPr>
              <w:t>0641</w:t>
            </w:r>
          </w:p>
        </w:tc>
        <w:tc>
          <w:tcPr>
            <w:tcW w:w="425" w:type="dxa"/>
            <w:shd w:val="solid" w:color="FFFFFF" w:fill="auto"/>
          </w:tcPr>
          <w:p w14:paraId="64402EE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53F8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67D97C" w14:textId="77777777" w:rsidR="00D40151" w:rsidRPr="00873B6C" w:rsidRDefault="00D40151" w:rsidP="009D14FB">
            <w:pPr>
              <w:pStyle w:val="TAL"/>
              <w:rPr>
                <w:sz w:val="16"/>
                <w:szCs w:val="16"/>
              </w:rPr>
            </w:pPr>
            <w:r w:rsidRPr="00873B6C">
              <w:rPr>
                <w:sz w:val="16"/>
                <w:szCs w:val="16"/>
              </w:rPr>
              <w:t>Registration Area and Service Restriction Area in relation to multiple PLMNs</w:t>
            </w:r>
          </w:p>
        </w:tc>
        <w:tc>
          <w:tcPr>
            <w:tcW w:w="708" w:type="dxa"/>
            <w:shd w:val="solid" w:color="FFFFFF" w:fill="auto"/>
          </w:tcPr>
          <w:p w14:paraId="500F5E43" w14:textId="77777777" w:rsidR="00D40151" w:rsidRPr="00873B6C" w:rsidRDefault="00D40151" w:rsidP="009D14FB">
            <w:pPr>
              <w:pStyle w:val="TAC"/>
              <w:rPr>
                <w:sz w:val="16"/>
                <w:szCs w:val="16"/>
              </w:rPr>
            </w:pPr>
            <w:r w:rsidRPr="00873B6C">
              <w:rPr>
                <w:sz w:val="16"/>
                <w:szCs w:val="16"/>
              </w:rPr>
              <w:t>15.4.0</w:t>
            </w:r>
          </w:p>
        </w:tc>
      </w:tr>
      <w:tr w:rsidR="00D40151" w:rsidRPr="00873B6C" w14:paraId="7FB5D2AC" w14:textId="77777777" w:rsidTr="009D14FB">
        <w:tc>
          <w:tcPr>
            <w:tcW w:w="800" w:type="dxa"/>
            <w:shd w:val="solid" w:color="FFFFFF" w:fill="auto"/>
          </w:tcPr>
          <w:p w14:paraId="2D1E0A9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48A2E7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42611C7"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7384EB1D" w14:textId="77777777" w:rsidR="00D40151" w:rsidRPr="00873B6C" w:rsidRDefault="00D40151" w:rsidP="009D14FB">
            <w:pPr>
              <w:pStyle w:val="TAL"/>
              <w:rPr>
                <w:sz w:val="16"/>
                <w:szCs w:val="16"/>
              </w:rPr>
            </w:pPr>
            <w:r w:rsidRPr="00873B6C">
              <w:rPr>
                <w:sz w:val="16"/>
                <w:szCs w:val="16"/>
              </w:rPr>
              <w:t>0645</w:t>
            </w:r>
          </w:p>
        </w:tc>
        <w:tc>
          <w:tcPr>
            <w:tcW w:w="425" w:type="dxa"/>
            <w:shd w:val="solid" w:color="FFFFFF" w:fill="auto"/>
          </w:tcPr>
          <w:p w14:paraId="4D3CA00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D5484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4283B0" w14:textId="77777777" w:rsidR="00D40151" w:rsidRPr="00873B6C" w:rsidRDefault="00D40151" w:rsidP="009D14FB">
            <w:pPr>
              <w:pStyle w:val="TAL"/>
              <w:rPr>
                <w:sz w:val="16"/>
                <w:szCs w:val="16"/>
              </w:rPr>
            </w:pPr>
            <w:r w:rsidRPr="00873B6C">
              <w:rPr>
                <w:sz w:val="16"/>
                <w:szCs w:val="16"/>
              </w:rPr>
              <w:t>Correcting the interaction needed for the NSSF service</w:t>
            </w:r>
          </w:p>
        </w:tc>
        <w:tc>
          <w:tcPr>
            <w:tcW w:w="708" w:type="dxa"/>
            <w:shd w:val="solid" w:color="FFFFFF" w:fill="auto"/>
          </w:tcPr>
          <w:p w14:paraId="70C2E41B" w14:textId="77777777" w:rsidR="00D40151" w:rsidRPr="00873B6C" w:rsidRDefault="00D40151" w:rsidP="009D14FB">
            <w:pPr>
              <w:pStyle w:val="TAC"/>
              <w:rPr>
                <w:sz w:val="16"/>
                <w:szCs w:val="16"/>
              </w:rPr>
            </w:pPr>
            <w:r w:rsidRPr="00873B6C">
              <w:rPr>
                <w:sz w:val="16"/>
                <w:szCs w:val="16"/>
              </w:rPr>
              <w:t>15.4.0</w:t>
            </w:r>
          </w:p>
        </w:tc>
      </w:tr>
      <w:tr w:rsidR="00D40151" w:rsidRPr="00873B6C" w14:paraId="43FF8444" w14:textId="77777777" w:rsidTr="009D14FB">
        <w:tc>
          <w:tcPr>
            <w:tcW w:w="800" w:type="dxa"/>
            <w:shd w:val="solid" w:color="FFFFFF" w:fill="auto"/>
          </w:tcPr>
          <w:p w14:paraId="7D5FFBD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64DE5A3"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56F7967"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3091406E" w14:textId="77777777" w:rsidR="00D40151" w:rsidRPr="00873B6C" w:rsidRDefault="00D40151" w:rsidP="009D14FB">
            <w:pPr>
              <w:pStyle w:val="TAL"/>
              <w:rPr>
                <w:sz w:val="16"/>
                <w:szCs w:val="16"/>
              </w:rPr>
            </w:pPr>
            <w:r w:rsidRPr="00873B6C">
              <w:rPr>
                <w:sz w:val="16"/>
                <w:szCs w:val="16"/>
              </w:rPr>
              <w:t>0648</w:t>
            </w:r>
          </w:p>
        </w:tc>
        <w:tc>
          <w:tcPr>
            <w:tcW w:w="425" w:type="dxa"/>
            <w:shd w:val="solid" w:color="FFFFFF" w:fill="auto"/>
          </w:tcPr>
          <w:p w14:paraId="4F6197E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E0D27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B218C6" w14:textId="77777777" w:rsidR="00D40151" w:rsidRPr="00873B6C" w:rsidRDefault="00D40151" w:rsidP="009D14FB">
            <w:pPr>
              <w:pStyle w:val="TAL"/>
              <w:rPr>
                <w:sz w:val="16"/>
                <w:szCs w:val="16"/>
              </w:rPr>
            </w:pPr>
            <w:r w:rsidRPr="00873B6C">
              <w:rPr>
                <w:sz w:val="16"/>
                <w:szCs w:val="16"/>
              </w:rPr>
              <w:t>Connections on Default Configured NSSAI</w:t>
            </w:r>
          </w:p>
        </w:tc>
        <w:tc>
          <w:tcPr>
            <w:tcW w:w="708" w:type="dxa"/>
            <w:shd w:val="solid" w:color="FFFFFF" w:fill="auto"/>
          </w:tcPr>
          <w:p w14:paraId="106D165C" w14:textId="77777777" w:rsidR="00D40151" w:rsidRPr="00873B6C" w:rsidRDefault="00D40151" w:rsidP="009D14FB">
            <w:pPr>
              <w:pStyle w:val="TAC"/>
              <w:rPr>
                <w:sz w:val="16"/>
                <w:szCs w:val="16"/>
              </w:rPr>
            </w:pPr>
            <w:r w:rsidRPr="00873B6C">
              <w:rPr>
                <w:sz w:val="16"/>
                <w:szCs w:val="16"/>
              </w:rPr>
              <w:t>15.4.0</w:t>
            </w:r>
          </w:p>
        </w:tc>
      </w:tr>
      <w:tr w:rsidR="00D40151" w:rsidRPr="00873B6C" w14:paraId="3F8ABE68" w14:textId="77777777" w:rsidTr="009D14FB">
        <w:tc>
          <w:tcPr>
            <w:tcW w:w="800" w:type="dxa"/>
            <w:shd w:val="solid" w:color="FFFFFF" w:fill="auto"/>
          </w:tcPr>
          <w:p w14:paraId="3C81EB1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F238DC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2037B6F"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0AA35799" w14:textId="77777777" w:rsidR="00D40151" w:rsidRPr="00873B6C" w:rsidRDefault="00D40151" w:rsidP="009D14FB">
            <w:pPr>
              <w:pStyle w:val="TAL"/>
              <w:rPr>
                <w:sz w:val="16"/>
                <w:szCs w:val="16"/>
              </w:rPr>
            </w:pPr>
            <w:r w:rsidRPr="00873B6C">
              <w:rPr>
                <w:sz w:val="16"/>
                <w:szCs w:val="16"/>
              </w:rPr>
              <w:t>0651</w:t>
            </w:r>
          </w:p>
        </w:tc>
        <w:tc>
          <w:tcPr>
            <w:tcW w:w="425" w:type="dxa"/>
            <w:shd w:val="solid" w:color="FFFFFF" w:fill="auto"/>
          </w:tcPr>
          <w:p w14:paraId="37644F3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40BC0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79ABA9" w14:textId="43145DDE" w:rsidR="00D40151" w:rsidRPr="00873B6C" w:rsidRDefault="00D40151" w:rsidP="009D14FB">
            <w:pPr>
              <w:pStyle w:val="TAL"/>
              <w:rPr>
                <w:sz w:val="16"/>
                <w:szCs w:val="16"/>
              </w:rPr>
            </w:pPr>
            <w:r w:rsidRPr="00873B6C">
              <w:rPr>
                <w:sz w:val="16"/>
                <w:szCs w:val="16"/>
              </w:rPr>
              <w:t>Correction and clarification for CM-CONNECTED with RRC Inactive state</w:t>
            </w:r>
          </w:p>
        </w:tc>
        <w:tc>
          <w:tcPr>
            <w:tcW w:w="708" w:type="dxa"/>
            <w:shd w:val="solid" w:color="FFFFFF" w:fill="auto"/>
          </w:tcPr>
          <w:p w14:paraId="3ABB53CD" w14:textId="77777777" w:rsidR="00D40151" w:rsidRPr="00873B6C" w:rsidRDefault="00D40151" w:rsidP="009D14FB">
            <w:pPr>
              <w:pStyle w:val="TAC"/>
              <w:rPr>
                <w:sz w:val="16"/>
                <w:szCs w:val="16"/>
              </w:rPr>
            </w:pPr>
            <w:r w:rsidRPr="00873B6C">
              <w:rPr>
                <w:sz w:val="16"/>
                <w:szCs w:val="16"/>
              </w:rPr>
              <w:t>15.4.0</w:t>
            </w:r>
          </w:p>
        </w:tc>
      </w:tr>
      <w:tr w:rsidR="00D40151" w:rsidRPr="00873B6C" w14:paraId="5BB4A111" w14:textId="77777777" w:rsidTr="009D14FB">
        <w:tc>
          <w:tcPr>
            <w:tcW w:w="800" w:type="dxa"/>
            <w:shd w:val="solid" w:color="FFFFFF" w:fill="auto"/>
          </w:tcPr>
          <w:p w14:paraId="48B77AF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1F43D4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1DEA7F3"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65DDFE1A" w14:textId="77777777" w:rsidR="00D40151" w:rsidRPr="00873B6C" w:rsidRDefault="00D40151" w:rsidP="009D14FB">
            <w:pPr>
              <w:pStyle w:val="TAL"/>
              <w:rPr>
                <w:sz w:val="16"/>
                <w:szCs w:val="16"/>
              </w:rPr>
            </w:pPr>
            <w:r w:rsidRPr="00873B6C">
              <w:rPr>
                <w:sz w:val="16"/>
                <w:szCs w:val="16"/>
              </w:rPr>
              <w:t>0653</w:t>
            </w:r>
          </w:p>
        </w:tc>
        <w:tc>
          <w:tcPr>
            <w:tcW w:w="425" w:type="dxa"/>
            <w:shd w:val="solid" w:color="FFFFFF" w:fill="auto"/>
          </w:tcPr>
          <w:p w14:paraId="106A09B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F032B9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AAFFBD" w14:textId="77777777" w:rsidR="00D40151" w:rsidRPr="00873B6C" w:rsidRDefault="00D40151" w:rsidP="009D14FB">
            <w:pPr>
              <w:pStyle w:val="TAL"/>
              <w:rPr>
                <w:sz w:val="16"/>
                <w:szCs w:val="16"/>
              </w:rPr>
            </w:pPr>
            <w:r w:rsidRPr="00873B6C">
              <w:rPr>
                <w:sz w:val="16"/>
                <w:szCs w:val="16"/>
              </w:rPr>
              <w:t>SUPI definition and NAI format</w:t>
            </w:r>
          </w:p>
        </w:tc>
        <w:tc>
          <w:tcPr>
            <w:tcW w:w="708" w:type="dxa"/>
            <w:shd w:val="solid" w:color="FFFFFF" w:fill="auto"/>
          </w:tcPr>
          <w:p w14:paraId="0621D9FE" w14:textId="77777777" w:rsidR="00D40151" w:rsidRPr="00873B6C" w:rsidRDefault="00D40151" w:rsidP="009D14FB">
            <w:pPr>
              <w:pStyle w:val="TAC"/>
              <w:rPr>
                <w:sz w:val="16"/>
                <w:szCs w:val="16"/>
              </w:rPr>
            </w:pPr>
            <w:r w:rsidRPr="00873B6C">
              <w:rPr>
                <w:sz w:val="16"/>
                <w:szCs w:val="16"/>
              </w:rPr>
              <w:t>15.4.0</w:t>
            </w:r>
          </w:p>
        </w:tc>
      </w:tr>
      <w:tr w:rsidR="00D40151" w:rsidRPr="00873B6C" w14:paraId="1FD8E367" w14:textId="77777777" w:rsidTr="009D14FB">
        <w:tc>
          <w:tcPr>
            <w:tcW w:w="800" w:type="dxa"/>
            <w:shd w:val="solid" w:color="FFFFFF" w:fill="auto"/>
          </w:tcPr>
          <w:p w14:paraId="3B93E11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332E257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C60FDDC"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7FF7A567" w14:textId="77777777" w:rsidR="00D40151" w:rsidRPr="00873B6C" w:rsidRDefault="00D40151" w:rsidP="009D14FB">
            <w:pPr>
              <w:pStyle w:val="TAL"/>
              <w:rPr>
                <w:sz w:val="16"/>
                <w:szCs w:val="16"/>
              </w:rPr>
            </w:pPr>
            <w:r w:rsidRPr="00873B6C">
              <w:rPr>
                <w:sz w:val="16"/>
                <w:szCs w:val="16"/>
              </w:rPr>
              <w:t>0655</w:t>
            </w:r>
          </w:p>
        </w:tc>
        <w:tc>
          <w:tcPr>
            <w:tcW w:w="425" w:type="dxa"/>
            <w:shd w:val="solid" w:color="FFFFFF" w:fill="auto"/>
          </w:tcPr>
          <w:p w14:paraId="5A9161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51443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B2CF7E" w14:textId="77777777" w:rsidR="00D40151" w:rsidRPr="00873B6C" w:rsidRDefault="00D40151" w:rsidP="009D14FB">
            <w:pPr>
              <w:pStyle w:val="TAL"/>
              <w:rPr>
                <w:sz w:val="16"/>
                <w:szCs w:val="16"/>
              </w:rPr>
            </w:pPr>
            <w:r w:rsidRPr="00873B6C">
              <w:rPr>
                <w:sz w:val="16"/>
                <w:szCs w:val="16"/>
              </w:rPr>
              <w:t>Addition of abbreviations</w:t>
            </w:r>
          </w:p>
        </w:tc>
        <w:tc>
          <w:tcPr>
            <w:tcW w:w="708" w:type="dxa"/>
            <w:shd w:val="solid" w:color="FFFFFF" w:fill="auto"/>
          </w:tcPr>
          <w:p w14:paraId="54CEE29F" w14:textId="77777777" w:rsidR="00D40151" w:rsidRPr="00873B6C" w:rsidRDefault="00D40151" w:rsidP="009D14FB">
            <w:pPr>
              <w:pStyle w:val="TAC"/>
              <w:rPr>
                <w:sz w:val="16"/>
                <w:szCs w:val="16"/>
              </w:rPr>
            </w:pPr>
            <w:r w:rsidRPr="00873B6C">
              <w:rPr>
                <w:sz w:val="16"/>
                <w:szCs w:val="16"/>
              </w:rPr>
              <w:t>15.4.0</w:t>
            </w:r>
          </w:p>
        </w:tc>
      </w:tr>
      <w:tr w:rsidR="00D40151" w:rsidRPr="00873B6C" w14:paraId="7A228F3F" w14:textId="77777777" w:rsidTr="009D14FB">
        <w:tc>
          <w:tcPr>
            <w:tcW w:w="800" w:type="dxa"/>
            <w:shd w:val="solid" w:color="FFFFFF" w:fill="auto"/>
          </w:tcPr>
          <w:p w14:paraId="5E98A0A3"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0576C3A"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4DFACD5"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23F65753" w14:textId="77777777" w:rsidR="00D40151" w:rsidRPr="00873B6C" w:rsidRDefault="00D40151" w:rsidP="009D14FB">
            <w:pPr>
              <w:pStyle w:val="TAL"/>
              <w:rPr>
                <w:sz w:val="16"/>
                <w:szCs w:val="16"/>
              </w:rPr>
            </w:pPr>
            <w:r w:rsidRPr="00873B6C">
              <w:rPr>
                <w:sz w:val="16"/>
                <w:szCs w:val="16"/>
              </w:rPr>
              <w:t>0656</w:t>
            </w:r>
          </w:p>
        </w:tc>
        <w:tc>
          <w:tcPr>
            <w:tcW w:w="425" w:type="dxa"/>
            <w:shd w:val="solid" w:color="FFFFFF" w:fill="auto"/>
          </w:tcPr>
          <w:p w14:paraId="3C80CCDD"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4401F9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08AD83" w14:textId="77777777" w:rsidR="00D40151" w:rsidRPr="00873B6C" w:rsidRDefault="00D40151" w:rsidP="009D14FB">
            <w:pPr>
              <w:pStyle w:val="TAL"/>
              <w:rPr>
                <w:sz w:val="16"/>
                <w:szCs w:val="16"/>
              </w:rPr>
            </w:pPr>
            <w:r w:rsidRPr="00873B6C">
              <w:rPr>
                <w:sz w:val="16"/>
                <w:szCs w:val="16"/>
              </w:rPr>
              <w:t>Network controlled NSSAI for SR-related Access Stratum connection establishment</w:t>
            </w:r>
          </w:p>
        </w:tc>
        <w:tc>
          <w:tcPr>
            <w:tcW w:w="708" w:type="dxa"/>
            <w:shd w:val="solid" w:color="FFFFFF" w:fill="auto"/>
          </w:tcPr>
          <w:p w14:paraId="36F54345" w14:textId="77777777" w:rsidR="00D40151" w:rsidRPr="00873B6C" w:rsidRDefault="00D40151" w:rsidP="009D14FB">
            <w:pPr>
              <w:pStyle w:val="TAC"/>
              <w:rPr>
                <w:sz w:val="16"/>
                <w:szCs w:val="16"/>
              </w:rPr>
            </w:pPr>
            <w:r w:rsidRPr="00873B6C">
              <w:rPr>
                <w:sz w:val="16"/>
                <w:szCs w:val="16"/>
              </w:rPr>
              <w:t>15.4.0</w:t>
            </w:r>
          </w:p>
        </w:tc>
      </w:tr>
      <w:tr w:rsidR="00D40151" w:rsidRPr="00873B6C" w14:paraId="78C8B78B" w14:textId="77777777" w:rsidTr="009D14FB">
        <w:tc>
          <w:tcPr>
            <w:tcW w:w="800" w:type="dxa"/>
            <w:shd w:val="solid" w:color="FFFFFF" w:fill="auto"/>
          </w:tcPr>
          <w:p w14:paraId="1ADE544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E54135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A75D700" w14:textId="77777777" w:rsidR="00D40151" w:rsidRPr="00873B6C" w:rsidRDefault="00D40151" w:rsidP="009D14FB">
            <w:pPr>
              <w:pStyle w:val="TAC"/>
              <w:rPr>
                <w:sz w:val="16"/>
                <w:szCs w:val="16"/>
              </w:rPr>
            </w:pPr>
            <w:r w:rsidRPr="00873B6C">
              <w:rPr>
                <w:sz w:val="16"/>
                <w:szCs w:val="16"/>
              </w:rPr>
              <w:t>SP-181195</w:t>
            </w:r>
          </w:p>
        </w:tc>
        <w:tc>
          <w:tcPr>
            <w:tcW w:w="567" w:type="dxa"/>
            <w:shd w:val="solid" w:color="FFFFFF" w:fill="auto"/>
          </w:tcPr>
          <w:p w14:paraId="75C60D43" w14:textId="77777777" w:rsidR="00D40151" w:rsidRPr="00873B6C" w:rsidRDefault="00D40151" w:rsidP="009D14FB">
            <w:pPr>
              <w:pStyle w:val="TAL"/>
              <w:rPr>
                <w:sz w:val="16"/>
                <w:szCs w:val="16"/>
              </w:rPr>
            </w:pPr>
            <w:r w:rsidRPr="00873B6C">
              <w:rPr>
                <w:sz w:val="16"/>
                <w:szCs w:val="16"/>
              </w:rPr>
              <w:t>0660</w:t>
            </w:r>
          </w:p>
        </w:tc>
        <w:tc>
          <w:tcPr>
            <w:tcW w:w="425" w:type="dxa"/>
            <w:shd w:val="solid" w:color="FFFFFF" w:fill="auto"/>
          </w:tcPr>
          <w:p w14:paraId="49F7C39E"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41185D0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B61DE6" w14:textId="77777777" w:rsidR="00D40151" w:rsidRPr="00873B6C" w:rsidRDefault="00D40151" w:rsidP="009D14FB">
            <w:pPr>
              <w:pStyle w:val="TAL"/>
              <w:rPr>
                <w:sz w:val="16"/>
                <w:szCs w:val="16"/>
              </w:rPr>
            </w:pPr>
            <w:r w:rsidRPr="00873B6C">
              <w:rPr>
                <w:sz w:val="16"/>
                <w:szCs w:val="16"/>
              </w:rPr>
              <w:t>Unified Access Control clarification and triggers</w:t>
            </w:r>
          </w:p>
        </w:tc>
        <w:tc>
          <w:tcPr>
            <w:tcW w:w="708" w:type="dxa"/>
            <w:shd w:val="solid" w:color="FFFFFF" w:fill="auto"/>
          </w:tcPr>
          <w:p w14:paraId="0BA5F585" w14:textId="77777777" w:rsidR="00D40151" w:rsidRPr="00873B6C" w:rsidRDefault="00D40151" w:rsidP="009D14FB">
            <w:pPr>
              <w:pStyle w:val="TAC"/>
              <w:rPr>
                <w:sz w:val="16"/>
                <w:szCs w:val="16"/>
              </w:rPr>
            </w:pPr>
            <w:r w:rsidRPr="00873B6C">
              <w:rPr>
                <w:sz w:val="16"/>
                <w:szCs w:val="16"/>
              </w:rPr>
              <w:t>15.4.0</w:t>
            </w:r>
          </w:p>
        </w:tc>
      </w:tr>
      <w:tr w:rsidR="00D40151" w:rsidRPr="00873B6C" w14:paraId="2A9B4669" w14:textId="77777777" w:rsidTr="009D14FB">
        <w:tc>
          <w:tcPr>
            <w:tcW w:w="800" w:type="dxa"/>
            <w:shd w:val="solid" w:color="FFFFFF" w:fill="auto"/>
          </w:tcPr>
          <w:p w14:paraId="4736539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A31D10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42DA99A"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56D05688" w14:textId="77777777" w:rsidR="00D40151" w:rsidRPr="00873B6C" w:rsidRDefault="00D40151" w:rsidP="009D14FB">
            <w:pPr>
              <w:pStyle w:val="TAL"/>
              <w:rPr>
                <w:sz w:val="16"/>
                <w:szCs w:val="16"/>
              </w:rPr>
            </w:pPr>
            <w:r w:rsidRPr="00873B6C">
              <w:rPr>
                <w:sz w:val="16"/>
                <w:szCs w:val="16"/>
              </w:rPr>
              <w:t>0661</w:t>
            </w:r>
          </w:p>
        </w:tc>
        <w:tc>
          <w:tcPr>
            <w:tcW w:w="425" w:type="dxa"/>
            <w:shd w:val="solid" w:color="FFFFFF" w:fill="auto"/>
          </w:tcPr>
          <w:p w14:paraId="1194743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73BA03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57E8BAB" w14:textId="77777777" w:rsidR="00D40151" w:rsidRPr="00873B6C" w:rsidRDefault="00D40151" w:rsidP="009D14FB">
            <w:pPr>
              <w:pStyle w:val="TAL"/>
              <w:rPr>
                <w:sz w:val="16"/>
                <w:szCs w:val="16"/>
              </w:rPr>
            </w:pPr>
            <w:r w:rsidRPr="00873B6C">
              <w:rPr>
                <w:sz w:val="16"/>
                <w:szCs w:val="16"/>
              </w:rPr>
              <w:t>Data Volume Reporting for Option 4/7</w:t>
            </w:r>
          </w:p>
        </w:tc>
        <w:tc>
          <w:tcPr>
            <w:tcW w:w="708" w:type="dxa"/>
            <w:shd w:val="solid" w:color="FFFFFF" w:fill="auto"/>
          </w:tcPr>
          <w:p w14:paraId="32C0D43F" w14:textId="77777777" w:rsidR="00D40151" w:rsidRPr="00873B6C" w:rsidRDefault="00D40151" w:rsidP="009D14FB">
            <w:pPr>
              <w:pStyle w:val="TAC"/>
              <w:rPr>
                <w:sz w:val="16"/>
                <w:szCs w:val="16"/>
              </w:rPr>
            </w:pPr>
            <w:r w:rsidRPr="00873B6C">
              <w:rPr>
                <w:sz w:val="16"/>
                <w:szCs w:val="16"/>
              </w:rPr>
              <w:t>15.4.0</w:t>
            </w:r>
          </w:p>
        </w:tc>
      </w:tr>
      <w:tr w:rsidR="00D40151" w:rsidRPr="00873B6C" w14:paraId="77551FCD" w14:textId="77777777" w:rsidTr="009D14FB">
        <w:tc>
          <w:tcPr>
            <w:tcW w:w="800" w:type="dxa"/>
            <w:shd w:val="solid" w:color="FFFFFF" w:fill="auto"/>
          </w:tcPr>
          <w:p w14:paraId="21E8F599"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122C50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DEE4EBA"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2A4F0898" w14:textId="77777777" w:rsidR="00D40151" w:rsidRPr="00873B6C" w:rsidRDefault="00D40151" w:rsidP="009D14FB">
            <w:pPr>
              <w:pStyle w:val="TAL"/>
              <w:rPr>
                <w:sz w:val="16"/>
                <w:szCs w:val="16"/>
              </w:rPr>
            </w:pPr>
            <w:r w:rsidRPr="00873B6C">
              <w:rPr>
                <w:sz w:val="16"/>
                <w:szCs w:val="16"/>
              </w:rPr>
              <w:t>0662</w:t>
            </w:r>
          </w:p>
        </w:tc>
        <w:tc>
          <w:tcPr>
            <w:tcW w:w="425" w:type="dxa"/>
            <w:shd w:val="solid" w:color="FFFFFF" w:fill="auto"/>
          </w:tcPr>
          <w:p w14:paraId="3509781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750C36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658C6C" w14:textId="77777777" w:rsidR="00D40151" w:rsidRPr="00873B6C" w:rsidRDefault="00D40151" w:rsidP="009D14FB">
            <w:pPr>
              <w:pStyle w:val="TAL"/>
              <w:rPr>
                <w:sz w:val="16"/>
                <w:szCs w:val="16"/>
              </w:rPr>
            </w:pPr>
            <w:r w:rsidRPr="00873B6C">
              <w:rPr>
                <w:sz w:val="16"/>
                <w:szCs w:val="16"/>
              </w:rPr>
              <w:t>Configuration Transfer Procedure</w:t>
            </w:r>
          </w:p>
        </w:tc>
        <w:tc>
          <w:tcPr>
            <w:tcW w:w="708" w:type="dxa"/>
            <w:shd w:val="solid" w:color="FFFFFF" w:fill="auto"/>
          </w:tcPr>
          <w:p w14:paraId="52C8AB01" w14:textId="77777777" w:rsidR="00D40151" w:rsidRPr="00873B6C" w:rsidRDefault="00D40151" w:rsidP="009D14FB">
            <w:pPr>
              <w:pStyle w:val="TAC"/>
              <w:rPr>
                <w:sz w:val="16"/>
                <w:szCs w:val="16"/>
              </w:rPr>
            </w:pPr>
            <w:r w:rsidRPr="00873B6C">
              <w:rPr>
                <w:sz w:val="16"/>
                <w:szCs w:val="16"/>
              </w:rPr>
              <w:t>15.4.0</w:t>
            </w:r>
          </w:p>
        </w:tc>
      </w:tr>
      <w:tr w:rsidR="00D40151" w:rsidRPr="00873B6C" w14:paraId="4A1B87E6" w14:textId="77777777" w:rsidTr="009D14FB">
        <w:tc>
          <w:tcPr>
            <w:tcW w:w="800" w:type="dxa"/>
            <w:shd w:val="solid" w:color="FFFFFF" w:fill="auto"/>
          </w:tcPr>
          <w:p w14:paraId="17B1ECE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FDAA726"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24B23FD"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37B069D1" w14:textId="77777777" w:rsidR="00D40151" w:rsidRPr="00873B6C" w:rsidRDefault="00D40151" w:rsidP="009D14FB">
            <w:pPr>
              <w:pStyle w:val="TAL"/>
              <w:rPr>
                <w:sz w:val="16"/>
                <w:szCs w:val="16"/>
              </w:rPr>
            </w:pPr>
            <w:r w:rsidRPr="00873B6C">
              <w:rPr>
                <w:sz w:val="16"/>
                <w:szCs w:val="16"/>
              </w:rPr>
              <w:t>0666</w:t>
            </w:r>
          </w:p>
        </w:tc>
        <w:tc>
          <w:tcPr>
            <w:tcW w:w="425" w:type="dxa"/>
            <w:shd w:val="solid" w:color="FFFFFF" w:fill="auto"/>
          </w:tcPr>
          <w:p w14:paraId="05D846A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51B325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66D387" w14:textId="77777777" w:rsidR="00D40151" w:rsidRPr="00873B6C" w:rsidRDefault="00D40151" w:rsidP="009D14FB">
            <w:pPr>
              <w:pStyle w:val="TAL"/>
              <w:rPr>
                <w:sz w:val="16"/>
                <w:szCs w:val="16"/>
              </w:rPr>
            </w:pPr>
            <w:r w:rsidRPr="00873B6C">
              <w:rPr>
                <w:sz w:val="16"/>
                <w:szCs w:val="16"/>
              </w:rPr>
              <w:t>Avoiding overloading the target of AMF Load Re-Balancing</w:t>
            </w:r>
          </w:p>
        </w:tc>
        <w:tc>
          <w:tcPr>
            <w:tcW w:w="708" w:type="dxa"/>
            <w:shd w:val="solid" w:color="FFFFFF" w:fill="auto"/>
          </w:tcPr>
          <w:p w14:paraId="76CDA40D" w14:textId="77777777" w:rsidR="00D40151" w:rsidRPr="00873B6C" w:rsidRDefault="00D40151" w:rsidP="009D14FB">
            <w:pPr>
              <w:pStyle w:val="TAC"/>
              <w:rPr>
                <w:sz w:val="16"/>
                <w:szCs w:val="16"/>
              </w:rPr>
            </w:pPr>
            <w:r w:rsidRPr="00873B6C">
              <w:rPr>
                <w:sz w:val="16"/>
                <w:szCs w:val="16"/>
              </w:rPr>
              <w:t>15.4.0</w:t>
            </w:r>
          </w:p>
        </w:tc>
      </w:tr>
      <w:tr w:rsidR="00D40151" w:rsidRPr="00873B6C" w14:paraId="4AC73073" w14:textId="77777777" w:rsidTr="009D14FB">
        <w:tc>
          <w:tcPr>
            <w:tcW w:w="800" w:type="dxa"/>
            <w:shd w:val="solid" w:color="FFFFFF" w:fill="auto"/>
          </w:tcPr>
          <w:p w14:paraId="1D396217"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3D74D68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65718DD"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1661C0FC" w14:textId="77777777" w:rsidR="00D40151" w:rsidRPr="00873B6C" w:rsidRDefault="00D40151" w:rsidP="009D14FB">
            <w:pPr>
              <w:pStyle w:val="TAL"/>
              <w:rPr>
                <w:sz w:val="16"/>
                <w:szCs w:val="16"/>
              </w:rPr>
            </w:pPr>
            <w:r w:rsidRPr="00873B6C">
              <w:rPr>
                <w:sz w:val="16"/>
                <w:szCs w:val="16"/>
              </w:rPr>
              <w:t>0667</w:t>
            </w:r>
          </w:p>
        </w:tc>
        <w:tc>
          <w:tcPr>
            <w:tcW w:w="425" w:type="dxa"/>
            <w:shd w:val="solid" w:color="FFFFFF" w:fill="auto"/>
          </w:tcPr>
          <w:p w14:paraId="3F35503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B5287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2129D9" w14:textId="77777777" w:rsidR="00D40151" w:rsidRPr="00873B6C" w:rsidRDefault="00D40151" w:rsidP="009D14FB">
            <w:pPr>
              <w:pStyle w:val="TAL"/>
              <w:rPr>
                <w:sz w:val="16"/>
                <w:szCs w:val="16"/>
              </w:rPr>
            </w:pPr>
            <w:r w:rsidRPr="00873B6C">
              <w:rPr>
                <w:sz w:val="16"/>
                <w:szCs w:val="16"/>
              </w:rPr>
              <w:t>UE storage of NSSAI and associated mapping</w:t>
            </w:r>
          </w:p>
        </w:tc>
        <w:tc>
          <w:tcPr>
            <w:tcW w:w="708" w:type="dxa"/>
            <w:shd w:val="solid" w:color="FFFFFF" w:fill="auto"/>
          </w:tcPr>
          <w:p w14:paraId="1B4F42ED" w14:textId="77777777" w:rsidR="00D40151" w:rsidRPr="00873B6C" w:rsidRDefault="00D40151" w:rsidP="009D14FB">
            <w:pPr>
              <w:pStyle w:val="TAC"/>
              <w:rPr>
                <w:sz w:val="16"/>
                <w:szCs w:val="16"/>
              </w:rPr>
            </w:pPr>
            <w:r w:rsidRPr="00873B6C">
              <w:rPr>
                <w:sz w:val="16"/>
                <w:szCs w:val="16"/>
              </w:rPr>
              <w:t>15.4.0</w:t>
            </w:r>
          </w:p>
        </w:tc>
      </w:tr>
      <w:tr w:rsidR="00D40151" w:rsidRPr="00873B6C" w14:paraId="64427C26" w14:textId="77777777" w:rsidTr="009D14FB">
        <w:tc>
          <w:tcPr>
            <w:tcW w:w="800" w:type="dxa"/>
            <w:shd w:val="solid" w:color="FFFFFF" w:fill="auto"/>
          </w:tcPr>
          <w:p w14:paraId="569A8803"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160CBF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97C586D"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32594E2D" w14:textId="77777777" w:rsidR="00D40151" w:rsidRPr="00873B6C" w:rsidRDefault="00D40151" w:rsidP="009D14FB">
            <w:pPr>
              <w:pStyle w:val="TAL"/>
              <w:rPr>
                <w:sz w:val="16"/>
                <w:szCs w:val="16"/>
              </w:rPr>
            </w:pPr>
            <w:r w:rsidRPr="00873B6C">
              <w:rPr>
                <w:sz w:val="16"/>
                <w:szCs w:val="16"/>
              </w:rPr>
              <w:t>0668</w:t>
            </w:r>
          </w:p>
        </w:tc>
        <w:tc>
          <w:tcPr>
            <w:tcW w:w="425" w:type="dxa"/>
            <w:shd w:val="solid" w:color="FFFFFF" w:fill="auto"/>
          </w:tcPr>
          <w:p w14:paraId="2718EE0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70B9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842CC8" w14:textId="77777777" w:rsidR="00D40151" w:rsidRPr="00873B6C" w:rsidRDefault="00D40151" w:rsidP="009D14FB">
            <w:pPr>
              <w:pStyle w:val="TAL"/>
              <w:rPr>
                <w:sz w:val="16"/>
                <w:szCs w:val="16"/>
              </w:rPr>
            </w:pPr>
            <w:r w:rsidRPr="00873B6C">
              <w:rPr>
                <w:sz w:val="16"/>
                <w:szCs w:val="16"/>
              </w:rPr>
              <w:t>Clarification of PS Voice Support for 3GPP and non-3GPP</w:t>
            </w:r>
          </w:p>
        </w:tc>
        <w:tc>
          <w:tcPr>
            <w:tcW w:w="708" w:type="dxa"/>
            <w:shd w:val="solid" w:color="FFFFFF" w:fill="auto"/>
          </w:tcPr>
          <w:p w14:paraId="1EB6C223" w14:textId="77777777" w:rsidR="00D40151" w:rsidRPr="00873B6C" w:rsidRDefault="00D40151" w:rsidP="009D14FB">
            <w:pPr>
              <w:pStyle w:val="TAC"/>
              <w:rPr>
                <w:sz w:val="16"/>
                <w:szCs w:val="16"/>
              </w:rPr>
            </w:pPr>
            <w:r w:rsidRPr="00873B6C">
              <w:rPr>
                <w:sz w:val="16"/>
                <w:szCs w:val="16"/>
              </w:rPr>
              <w:t>15.4.0</w:t>
            </w:r>
          </w:p>
        </w:tc>
      </w:tr>
      <w:tr w:rsidR="00D40151" w:rsidRPr="00873B6C" w14:paraId="1FD2B225" w14:textId="77777777" w:rsidTr="009D14FB">
        <w:tc>
          <w:tcPr>
            <w:tcW w:w="800" w:type="dxa"/>
            <w:shd w:val="solid" w:color="FFFFFF" w:fill="auto"/>
          </w:tcPr>
          <w:p w14:paraId="65A1A9ED"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600C71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6E15BBF"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6E898B4C" w14:textId="77777777" w:rsidR="00D40151" w:rsidRPr="00873B6C" w:rsidRDefault="00D40151" w:rsidP="009D14FB">
            <w:pPr>
              <w:pStyle w:val="TAL"/>
              <w:rPr>
                <w:sz w:val="16"/>
                <w:szCs w:val="16"/>
              </w:rPr>
            </w:pPr>
            <w:r w:rsidRPr="00873B6C">
              <w:rPr>
                <w:sz w:val="16"/>
                <w:szCs w:val="16"/>
              </w:rPr>
              <w:t>0669</w:t>
            </w:r>
          </w:p>
        </w:tc>
        <w:tc>
          <w:tcPr>
            <w:tcW w:w="425" w:type="dxa"/>
            <w:shd w:val="solid" w:color="FFFFFF" w:fill="auto"/>
          </w:tcPr>
          <w:p w14:paraId="2DB1C57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F04A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53ECEA" w14:textId="77777777" w:rsidR="00D40151" w:rsidRPr="00873B6C" w:rsidRDefault="00D40151" w:rsidP="009D14FB">
            <w:pPr>
              <w:pStyle w:val="TAL"/>
              <w:rPr>
                <w:sz w:val="16"/>
                <w:szCs w:val="16"/>
              </w:rPr>
            </w:pPr>
            <w:r w:rsidRPr="00873B6C">
              <w:rPr>
                <w:sz w:val="16"/>
                <w:szCs w:val="16"/>
              </w:rPr>
              <w:t>Secondary authentication update</w:t>
            </w:r>
          </w:p>
        </w:tc>
        <w:tc>
          <w:tcPr>
            <w:tcW w:w="708" w:type="dxa"/>
            <w:shd w:val="solid" w:color="FFFFFF" w:fill="auto"/>
          </w:tcPr>
          <w:p w14:paraId="46B4C412" w14:textId="77777777" w:rsidR="00D40151" w:rsidRPr="00873B6C" w:rsidRDefault="00D40151" w:rsidP="009D14FB">
            <w:pPr>
              <w:pStyle w:val="TAC"/>
              <w:rPr>
                <w:sz w:val="16"/>
                <w:szCs w:val="16"/>
              </w:rPr>
            </w:pPr>
            <w:r w:rsidRPr="00873B6C">
              <w:rPr>
                <w:sz w:val="16"/>
                <w:szCs w:val="16"/>
              </w:rPr>
              <w:t>15.4.0</w:t>
            </w:r>
          </w:p>
        </w:tc>
      </w:tr>
      <w:tr w:rsidR="00D40151" w:rsidRPr="00873B6C" w14:paraId="26841CC6" w14:textId="77777777" w:rsidTr="009D14FB">
        <w:tc>
          <w:tcPr>
            <w:tcW w:w="800" w:type="dxa"/>
            <w:shd w:val="solid" w:color="FFFFFF" w:fill="auto"/>
          </w:tcPr>
          <w:p w14:paraId="7108F37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F719EC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4E63F0B"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500D6CBA" w14:textId="77777777" w:rsidR="00D40151" w:rsidRPr="00873B6C" w:rsidRDefault="00D40151" w:rsidP="009D14FB">
            <w:pPr>
              <w:pStyle w:val="TAL"/>
              <w:rPr>
                <w:sz w:val="16"/>
                <w:szCs w:val="16"/>
              </w:rPr>
            </w:pPr>
            <w:r w:rsidRPr="00873B6C">
              <w:rPr>
                <w:sz w:val="16"/>
                <w:szCs w:val="16"/>
              </w:rPr>
              <w:t>0671</w:t>
            </w:r>
          </w:p>
        </w:tc>
        <w:tc>
          <w:tcPr>
            <w:tcW w:w="425" w:type="dxa"/>
            <w:shd w:val="solid" w:color="FFFFFF" w:fill="auto"/>
          </w:tcPr>
          <w:p w14:paraId="2E10EC5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47BE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62B48C" w14:textId="77777777" w:rsidR="00D40151" w:rsidRPr="00873B6C" w:rsidRDefault="00D40151" w:rsidP="009D14FB">
            <w:pPr>
              <w:pStyle w:val="TAL"/>
              <w:rPr>
                <w:sz w:val="16"/>
                <w:szCs w:val="16"/>
              </w:rPr>
            </w:pPr>
            <w:r w:rsidRPr="00873B6C">
              <w:rPr>
                <w:sz w:val="16"/>
                <w:szCs w:val="16"/>
              </w:rPr>
              <w:t>Emergency registration in a normally camped cell</w:t>
            </w:r>
          </w:p>
        </w:tc>
        <w:tc>
          <w:tcPr>
            <w:tcW w:w="708" w:type="dxa"/>
            <w:shd w:val="solid" w:color="FFFFFF" w:fill="auto"/>
          </w:tcPr>
          <w:p w14:paraId="1EB5261E" w14:textId="77777777" w:rsidR="00D40151" w:rsidRPr="00873B6C" w:rsidRDefault="00D40151" w:rsidP="009D14FB">
            <w:pPr>
              <w:pStyle w:val="TAC"/>
              <w:rPr>
                <w:sz w:val="16"/>
                <w:szCs w:val="16"/>
              </w:rPr>
            </w:pPr>
            <w:r w:rsidRPr="00873B6C">
              <w:rPr>
                <w:sz w:val="16"/>
                <w:szCs w:val="16"/>
              </w:rPr>
              <w:t>15.4.0</w:t>
            </w:r>
          </w:p>
        </w:tc>
      </w:tr>
      <w:tr w:rsidR="00D40151" w:rsidRPr="00873B6C" w14:paraId="67B97EB6" w14:textId="77777777" w:rsidTr="009D14FB">
        <w:tc>
          <w:tcPr>
            <w:tcW w:w="800" w:type="dxa"/>
            <w:shd w:val="solid" w:color="FFFFFF" w:fill="auto"/>
          </w:tcPr>
          <w:p w14:paraId="3550A389"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19E7CCF"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826FA52"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3A5E15FF" w14:textId="77777777" w:rsidR="00D40151" w:rsidRPr="00873B6C" w:rsidRDefault="00D40151" w:rsidP="009D14FB">
            <w:pPr>
              <w:pStyle w:val="TAL"/>
              <w:rPr>
                <w:sz w:val="16"/>
                <w:szCs w:val="16"/>
              </w:rPr>
            </w:pPr>
            <w:r w:rsidRPr="00873B6C">
              <w:rPr>
                <w:sz w:val="16"/>
                <w:szCs w:val="16"/>
              </w:rPr>
              <w:t xml:space="preserve"> 0672</w:t>
            </w:r>
          </w:p>
        </w:tc>
        <w:tc>
          <w:tcPr>
            <w:tcW w:w="425" w:type="dxa"/>
            <w:shd w:val="solid" w:color="FFFFFF" w:fill="auto"/>
          </w:tcPr>
          <w:p w14:paraId="467EBB4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6E3F60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632756" w14:textId="77777777" w:rsidR="00D40151" w:rsidRPr="00873B6C" w:rsidRDefault="00D40151" w:rsidP="009D14FB">
            <w:pPr>
              <w:pStyle w:val="TAL"/>
              <w:rPr>
                <w:sz w:val="16"/>
                <w:szCs w:val="16"/>
              </w:rPr>
            </w:pPr>
            <w:r w:rsidRPr="00873B6C">
              <w:rPr>
                <w:sz w:val="16"/>
                <w:szCs w:val="16"/>
              </w:rPr>
              <w:t>Priority indication over SBA interfaces via Message Priority header</w:t>
            </w:r>
          </w:p>
        </w:tc>
        <w:tc>
          <w:tcPr>
            <w:tcW w:w="708" w:type="dxa"/>
            <w:shd w:val="solid" w:color="FFFFFF" w:fill="auto"/>
          </w:tcPr>
          <w:p w14:paraId="60E90D8B" w14:textId="77777777" w:rsidR="00D40151" w:rsidRPr="00873B6C" w:rsidRDefault="00D40151" w:rsidP="009D14FB">
            <w:pPr>
              <w:pStyle w:val="TAC"/>
              <w:rPr>
                <w:sz w:val="16"/>
                <w:szCs w:val="16"/>
              </w:rPr>
            </w:pPr>
            <w:r w:rsidRPr="00873B6C">
              <w:rPr>
                <w:sz w:val="16"/>
                <w:szCs w:val="16"/>
              </w:rPr>
              <w:t>15.4.0</w:t>
            </w:r>
          </w:p>
        </w:tc>
      </w:tr>
      <w:tr w:rsidR="00D40151" w:rsidRPr="00873B6C" w14:paraId="3AB4E55E" w14:textId="77777777" w:rsidTr="009D14FB">
        <w:tc>
          <w:tcPr>
            <w:tcW w:w="800" w:type="dxa"/>
            <w:shd w:val="solid" w:color="FFFFFF" w:fill="auto"/>
          </w:tcPr>
          <w:p w14:paraId="523EF79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4AC3B4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E6B2F8A"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210BC10A" w14:textId="77777777" w:rsidR="00D40151" w:rsidRPr="00873B6C" w:rsidRDefault="00D40151" w:rsidP="009D14FB">
            <w:pPr>
              <w:pStyle w:val="TAL"/>
              <w:rPr>
                <w:sz w:val="16"/>
                <w:szCs w:val="16"/>
              </w:rPr>
            </w:pPr>
            <w:r w:rsidRPr="00873B6C">
              <w:rPr>
                <w:sz w:val="16"/>
                <w:szCs w:val="16"/>
              </w:rPr>
              <w:t>0675</w:t>
            </w:r>
          </w:p>
        </w:tc>
        <w:tc>
          <w:tcPr>
            <w:tcW w:w="425" w:type="dxa"/>
            <w:shd w:val="solid" w:color="FFFFFF" w:fill="auto"/>
          </w:tcPr>
          <w:p w14:paraId="5AF9528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9DF0F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6A5B5B" w14:textId="77777777" w:rsidR="00D40151" w:rsidRPr="00873B6C" w:rsidRDefault="00D40151" w:rsidP="009D14FB">
            <w:pPr>
              <w:pStyle w:val="TAL"/>
              <w:rPr>
                <w:sz w:val="16"/>
                <w:szCs w:val="16"/>
              </w:rPr>
            </w:pPr>
            <w:r w:rsidRPr="00873B6C">
              <w:rPr>
                <w:sz w:val="16"/>
                <w:szCs w:val="16"/>
              </w:rPr>
              <w:t>MME/AMF registration in HSS+UDM</w:t>
            </w:r>
          </w:p>
        </w:tc>
        <w:tc>
          <w:tcPr>
            <w:tcW w:w="708" w:type="dxa"/>
            <w:shd w:val="solid" w:color="FFFFFF" w:fill="auto"/>
          </w:tcPr>
          <w:p w14:paraId="243FB2A3" w14:textId="77777777" w:rsidR="00D40151" w:rsidRPr="00873B6C" w:rsidRDefault="00D40151" w:rsidP="009D14FB">
            <w:pPr>
              <w:pStyle w:val="TAC"/>
              <w:rPr>
                <w:sz w:val="16"/>
                <w:szCs w:val="16"/>
              </w:rPr>
            </w:pPr>
            <w:r w:rsidRPr="00873B6C">
              <w:rPr>
                <w:sz w:val="16"/>
                <w:szCs w:val="16"/>
              </w:rPr>
              <w:t>15.4.0</w:t>
            </w:r>
          </w:p>
        </w:tc>
      </w:tr>
      <w:tr w:rsidR="00D40151" w:rsidRPr="00873B6C" w14:paraId="31C1BE59" w14:textId="77777777" w:rsidTr="009D14FB">
        <w:tc>
          <w:tcPr>
            <w:tcW w:w="800" w:type="dxa"/>
            <w:shd w:val="solid" w:color="FFFFFF" w:fill="auto"/>
          </w:tcPr>
          <w:p w14:paraId="48D00BE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0669FE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C12013E"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49C67F90" w14:textId="77777777" w:rsidR="00D40151" w:rsidRPr="00873B6C" w:rsidRDefault="00D40151" w:rsidP="009D14FB">
            <w:pPr>
              <w:pStyle w:val="TAL"/>
              <w:rPr>
                <w:sz w:val="16"/>
                <w:szCs w:val="16"/>
              </w:rPr>
            </w:pPr>
            <w:r w:rsidRPr="00873B6C">
              <w:rPr>
                <w:sz w:val="16"/>
                <w:szCs w:val="16"/>
              </w:rPr>
              <w:t>0676</w:t>
            </w:r>
          </w:p>
        </w:tc>
        <w:tc>
          <w:tcPr>
            <w:tcW w:w="425" w:type="dxa"/>
            <w:shd w:val="solid" w:color="FFFFFF" w:fill="auto"/>
          </w:tcPr>
          <w:p w14:paraId="5F18A18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FADA8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9DE58E" w14:textId="77777777" w:rsidR="00D40151" w:rsidRPr="00873B6C" w:rsidRDefault="00D40151" w:rsidP="009D14FB">
            <w:pPr>
              <w:pStyle w:val="TAL"/>
              <w:rPr>
                <w:sz w:val="16"/>
                <w:szCs w:val="16"/>
              </w:rPr>
            </w:pPr>
            <w:r w:rsidRPr="00873B6C">
              <w:rPr>
                <w:sz w:val="16"/>
                <w:szCs w:val="16"/>
              </w:rPr>
              <w:t>Completion of 5QI characteristics table</w:t>
            </w:r>
          </w:p>
        </w:tc>
        <w:tc>
          <w:tcPr>
            <w:tcW w:w="708" w:type="dxa"/>
            <w:shd w:val="solid" w:color="FFFFFF" w:fill="auto"/>
          </w:tcPr>
          <w:p w14:paraId="2C7C25C5" w14:textId="77777777" w:rsidR="00D40151" w:rsidRPr="00873B6C" w:rsidRDefault="00D40151" w:rsidP="009D14FB">
            <w:pPr>
              <w:pStyle w:val="TAC"/>
              <w:rPr>
                <w:sz w:val="16"/>
                <w:szCs w:val="16"/>
              </w:rPr>
            </w:pPr>
            <w:r w:rsidRPr="00873B6C">
              <w:rPr>
                <w:sz w:val="16"/>
                <w:szCs w:val="16"/>
              </w:rPr>
              <w:t>15.4.0</w:t>
            </w:r>
          </w:p>
        </w:tc>
      </w:tr>
      <w:tr w:rsidR="00D40151" w:rsidRPr="00873B6C" w14:paraId="3957A929" w14:textId="77777777" w:rsidTr="009D14FB">
        <w:tc>
          <w:tcPr>
            <w:tcW w:w="800" w:type="dxa"/>
            <w:shd w:val="solid" w:color="FFFFFF" w:fill="auto"/>
          </w:tcPr>
          <w:p w14:paraId="70B0369E"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332C46E2"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4A80CC4"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7DFE8BAC" w14:textId="77777777" w:rsidR="00D40151" w:rsidRPr="00873B6C" w:rsidRDefault="00D40151" w:rsidP="009D14FB">
            <w:pPr>
              <w:pStyle w:val="TAL"/>
              <w:rPr>
                <w:sz w:val="16"/>
                <w:szCs w:val="16"/>
              </w:rPr>
            </w:pPr>
            <w:r w:rsidRPr="00873B6C">
              <w:rPr>
                <w:sz w:val="16"/>
                <w:szCs w:val="16"/>
              </w:rPr>
              <w:t>0677</w:t>
            </w:r>
          </w:p>
        </w:tc>
        <w:tc>
          <w:tcPr>
            <w:tcW w:w="425" w:type="dxa"/>
            <w:shd w:val="solid" w:color="FFFFFF" w:fill="auto"/>
          </w:tcPr>
          <w:p w14:paraId="294148D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893FD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677356" w14:textId="77777777" w:rsidR="00D40151" w:rsidRPr="00873B6C" w:rsidRDefault="00D40151" w:rsidP="009D14FB">
            <w:pPr>
              <w:pStyle w:val="TAL"/>
              <w:rPr>
                <w:sz w:val="16"/>
                <w:szCs w:val="16"/>
              </w:rPr>
            </w:pPr>
            <w:r w:rsidRPr="00873B6C">
              <w:rPr>
                <w:sz w:val="16"/>
                <w:szCs w:val="16"/>
              </w:rPr>
              <w:t>Consistent usage of terminology in QoS notification control description</w:t>
            </w:r>
          </w:p>
        </w:tc>
        <w:tc>
          <w:tcPr>
            <w:tcW w:w="708" w:type="dxa"/>
            <w:shd w:val="solid" w:color="FFFFFF" w:fill="auto"/>
          </w:tcPr>
          <w:p w14:paraId="4BC0AA72" w14:textId="77777777" w:rsidR="00D40151" w:rsidRPr="00873B6C" w:rsidRDefault="00D40151" w:rsidP="009D14FB">
            <w:pPr>
              <w:pStyle w:val="TAC"/>
              <w:rPr>
                <w:sz w:val="16"/>
                <w:szCs w:val="16"/>
              </w:rPr>
            </w:pPr>
            <w:r w:rsidRPr="00873B6C">
              <w:rPr>
                <w:sz w:val="16"/>
                <w:szCs w:val="16"/>
              </w:rPr>
              <w:t>15.4.0</w:t>
            </w:r>
          </w:p>
        </w:tc>
      </w:tr>
      <w:tr w:rsidR="00D40151" w:rsidRPr="00873B6C" w14:paraId="2116D619" w14:textId="77777777" w:rsidTr="009D14FB">
        <w:tc>
          <w:tcPr>
            <w:tcW w:w="800" w:type="dxa"/>
            <w:shd w:val="solid" w:color="FFFFFF" w:fill="auto"/>
          </w:tcPr>
          <w:p w14:paraId="73016A4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85609B8"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7BFA40C"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4E052FC8" w14:textId="77777777" w:rsidR="00D40151" w:rsidRPr="00873B6C" w:rsidRDefault="00D40151" w:rsidP="009D14FB">
            <w:pPr>
              <w:pStyle w:val="TAL"/>
              <w:rPr>
                <w:sz w:val="16"/>
                <w:szCs w:val="16"/>
              </w:rPr>
            </w:pPr>
            <w:r w:rsidRPr="00873B6C">
              <w:rPr>
                <w:sz w:val="16"/>
                <w:szCs w:val="16"/>
              </w:rPr>
              <w:t>0679</w:t>
            </w:r>
          </w:p>
        </w:tc>
        <w:tc>
          <w:tcPr>
            <w:tcW w:w="425" w:type="dxa"/>
            <w:shd w:val="solid" w:color="FFFFFF" w:fill="auto"/>
          </w:tcPr>
          <w:p w14:paraId="3806FA2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EB8671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58AA6A" w14:textId="77777777" w:rsidR="00D40151" w:rsidRPr="00873B6C" w:rsidRDefault="00D40151" w:rsidP="009D14FB">
            <w:pPr>
              <w:pStyle w:val="TAL"/>
              <w:rPr>
                <w:sz w:val="16"/>
                <w:szCs w:val="16"/>
              </w:rPr>
            </w:pPr>
            <w:r w:rsidRPr="00873B6C">
              <w:rPr>
                <w:sz w:val="16"/>
                <w:szCs w:val="16"/>
              </w:rPr>
              <w:t>Alignment for always-on PDU sessions</w:t>
            </w:r>
          </w:p>
        </w:tc>
        <w:tc>
          <w:tcPr>
            <w:tcW w:w="708" w:type="dxa"/>
            <w:shd w:val="solid" w:color="FFFFFF" w:fill="auto"/>
          </w:tcPr>
          <w:p w14:paraId="7B8E671E" w14:textId="77777777" w:rsidR="00D40151" w:rsidRPr="00873B6C" w:rsidRDefault="00D40151" w:rsidP="009D14FB">
            <w:pPr>
              <w:pStyle w:val="TAC"/>
              <w:rPr>
                <w:sz w:val="16"/>
                <w:szCs w:val="16"/>
              </w:rPr>
            </w:pPr>
            <w:r w:rsidRPr="00873B6C">
              <w:rPr>
                <w:sz w:val="16"/>
                <w:szCs w:val="16"/>
              </w:rPr>
              <w:t>15.4.0</w:t>
            </w:r>
          </w:p>
        </w:tc>
      </w:tr>
      <w:tr w:rsidR="00D40151" w:rsidRPr="00873B6C" w14:paraId="77B0B04E" w14:textId="77777777" w:rsidTr="009D14FB">
        <w:tc>
          <w:tcPr>
            <w:tcW w:w="800" w:type="dxa"/>
            <w:shd w:val="solid" w:color="FFFFFF" w:fill="auto"/>
          </w:tcPr>
          <w:p w14:paraId="04203BA7"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39D1C7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1D5A77F9"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32B94467" w14:textId="77777777" w:rsidR="00D40151" w:rsidRPr="00873B6C" w:rsidRDefault="00D40151" w:rsidP="009D14FB">
            <w:pPr>
              <w:pStyle w:val="TAL"/>
              <w:rPr>
                <w:sz w:val="16"/>
                <w:szCs w:val="16"/>
              </w:rPr>
            </w:pPr>
            <w:r w:rsidRPr="00873B6C">
              <w:rPr>
                <w:sz w:val="16"/>
                <w:szCs w:val="16"/>
              </w:rPr>
              <w:t>0680</w:t>
            </w:r>
          </w:p>
        </w:tc>
        <w:tc>
          <w:tcPr>
            <w:tcW w:w="425" w:type="dxa"/>
            <w:shd w:val="solid" w:color="FFFFFF" w:fill="auto"/>
          </w:tcPr>
          <w:p w14:paraId="0881FF0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E229B8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0B60D13" w14:textId="77777777" w:rsidR="00D40151" w:rsidRPr="00873B6C" w:rsidRDefault="00D40151" w:rsidP="009D14FB">
            <w:pPr>
              <w:pStyle w:val="TAL"/>
              <w:rPr>
                <w:sz w:val="16"/>
                <w:szCs w:val="16"/>
              </w:rPr>
            </w:pPr>
            <w:r w:rsidRPr="00873B6C">
              <w:rPr>
                <w:sz w:val="16"/>
                <w:szCs w:val="16"/>
              </w:rPr>
              <w:t>PS Data Off supporting non-IP data packet</w:t>
            </w:r>
          </w:p>
        </w:tc>
        <w:tc>
          <w:tcPr>
            <w:tcW w:w="708" w:type="dxa"/>
            <w:shd w:val="solid" w:color="FFFFFF" w:fill="auto"/>
          </w:tcPr>
          <w:p w14:paraId="332042D5" w14:textId="77777777" w:rsidR="00D40151" w:rsidRPr="00873B6C" w:rsidRDefault="00D40151" w:rsidP="009D14FB">
            <w:pPr>
              <w:pStyle w:val="TAC"/>
              <w:rPr>
                <w:sz w:val="16"/>
                <w:szCs w:val="16"/>
              </w:rPr>
            </w:pPr>
            <w:r w:rsidRPr="00873B6C">
              <w:rPr>
                <w:sz w:val="16"/>
                <w:szCs w:val="16"/>
              </w:rPr>
              <w:t>15.4.0</w:t>
            </w:r>
          </w:p>
        </w:tc>
      </w:tr>
      <w:tr w:rsidR="00D40151" w:rsidRPr="00873B6C" w14:paraId="1F7DD4E9" w14:textId="77777777" w:rsidTr="009D14FB">
        <w:tc>
          <w:tcPr>
            <w:tcW w:w="800" w:type="dxa"/>
            <w:shd w:val="solid" w:color="FFFFFF" w:fill="auto"/>
          </w:tcPr>
          <w:p w14:paraId="506892C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6D2B7A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CDD3F36"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7ECEF2E0" w14:textId="77777777" w:rsidR="00D40151" w:rsidRPr="00873B6C" w:rsidRDefault="00D40151" w:rsidP="009D14FB">
            <w:pPr>
              <w:pStyle w:val="TAL"/>
              <w:rPr>
                <w:sz w:val="16"/>
                <w:szCs w:val="16"/>
              </w:rPr>
            </w:pPr>
            <w:r w:rsidRPr="00873B6C">
              <w:rPr>
                <w:sz w:val="16"/>
                <w:szCs w:val="16"/>
              </w:rPr>
              <w:t>0682</w:t>
            </w:r>
          </w:p>
        </w:tc>
        <w:tc>
          <w:tcPr>
            <w:tcW w:w="425" w:type="dxa"/>
            <w:shd w:val="solid" w:color="FFFFFF" w:fill="auto"/>
          </w:tcPr>
          <w:p w14:paraId="644869B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90D8D4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F245F9" w14:textId="77777777" w:rsidR="00D40151" w:rsidRPr="00873B6C" w:rsidRDefault="00D40151" w:rsidP="009D14FB">
            <w:pPr>
              <w:pStyle w:val="TAL"/>
              <w:rPr>
                <w:sz w:val="16"/>
                <w:szCs w:val="16"/>
              </w:rPr>
            </w:pPr>
            <w:r w:rsidRPr="00873B6C">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873B6C" w:rsidRDefault="00D40151" w:rsidP="009D14FB">
            <w:pPr>
              <w:pStyle w:val="TAC"/>
              <w:rPr>
                <w:sz w:val="16"/>
                <w:szCs w:val="16"/>
              </w:rPr>
            </w:pPr>
            <w:r w:rsidRPr="00873B6C">
              <w:rPr>
                <w:sz w:val="16"/>
                <w:szCs w:val="16"/>
              </w:rPr>
              <w:t>15.4.0</w:t>
            </w:r>
          </w:p>
        </w:tc>
      </w:tr>
      <w:tr w:rsidR="00D40151" w:rsidRPr="00873B6C" w14:paraId="16E506B4" w14:textId="77777777" w:rsidTr="009D14FB">
        <w:tc>
          <w:tcPr>
            <w:tcW w:w="800" w:type="dxa"/>
            <w:shd w:val="solid" w:color="FFFFFF" w:fill="auto"/>
          </w:tcPr>
          <w:p w14:paraId="395DB0A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A4EF7D8"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286F901"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2F0B658B" w14:textId="77777777" w:rsidR="00D40151" w:rsidRPr="00873B6C" w:rsidRDefault="00D40151" w:rsidP="009D14FB">
            <w:pPr>
              <w:pStyle w:val="TAL"/>
              <w:rPr>
                <w:sz w:val="16"/>
                <w:szCs w:val="16"/>
              </w:rPr>
            </w:pPr>
            <w:r w:rsidRPr="00873B6C">
              <w:rPr>
                <w:sz w:val="16"/>
                <w:szCs w:val="16"/>
              </w:rPr>
              <w:t>0683</w:t>
            </w:r>
          </w:p>
        </w:tc>
        <w:tc>
          <w:tcPr>
            <w:tcW w:w="425" w:type="dxa"/>
            <w:shd w:val="solid" w:color="FFFFFF" w:fill="auto"/>
          </w:tcPr>
          <w:p w14:paraId="6343589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AA838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85AB3E" w14:textId="77777777" w:rsidR="00D40151" w:rsidRPr="00873B6C" w:rsidRDefault="00D40151" w:rsidP="009D14FB">
            <w:pPr>
              <w:pStyle w:val="TAL"/>
              <w:rPr>
                <w:sz w:val="16"/>
                <w:szCs w:val="16"/>
              </w:rPr>
            </w:pPr>
            <w:r w:rsidRPr="00873B6C">
              <w:rPr>
                <w:sz w:val="16"/>
                <w:szCs w:val="16"/>
              </w:rPr>
              <w:t xml:space="preserve"> Clean up congestion control</w:t>
            </w:r>
          </w:p>
        </w:tc>
        <w:tc>
          <w:tcPr>
            <w:tcW w:w="708" w:type="dxa"/>
            <w:shd w:val="solid" w:color="FFFFFF" w:fill="auto"/>
          </w:tcPr>
          <w:p w14:paraId="5C071608" w14:textId="77777777" w:rsidR="00D40151" w:rsidRPr="00873B6C" w:rsidRDefault="00D40151" w:rsidP="009D14FB">
            <w:pPr>
              <w:pStyle w:val="TAC"/>
              <w:rPr>
                <w:sz w:val="16"/>
                <w:szCs w:val="16"/>
              </w:rPr>
            </w:pPr>
            <w:r w:rsidRPr="00873B6C">
              <w:rPr>
                <w:sz w:val="16"/>
                <w:szCs w:val="16"/>
              </w:rPr>
              <w:t>15.4.0</w:t>
            </w:r>
          </w:p>
        </w:tc>
      </w:tr>
      <w:tr w:rsidR="00D40151" w:rsidRPr="00873B6C" w14:paraId="51829A6B" w14:textId="77777777" w:rsidTr="009D14FB">
        <w:tc>
          <w:tcPr>
            <w:tcW w:w="800" w:type="dxa"/>
            <w:shd w:val="solid" w:color="FFFFFF" w:fill="auto"/>
          </w:tcPr>
          <w:p w14:paraId="6B3EDA0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53FA9B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65FBE75"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321A5F94" w14:textId="77777777" w:rsidR="00D40151" w:rsidRPr="00873B6C" w:rsidRDefault="00D40151" w:rsidP="009D14FB">
            <w:pPr>
              <w:pStyle w:val="TAL"/>
              <w:rPr>
                <w:sz w:val="16"/>
                <w:szCs w:val="16"/>
              </w:rPr>
            </w:pPr>
            <w:r w:rsidRPr="00873B6C">
              <w:rPr>
                <w:sz w:val="16"/>
                <w:szCs w:val="16"/>
              </w:rPr>
              <w:t>0685</w:t>
            </w:r>
          </w:p>
        </w:tc>
        <w:tc>
          <w:tcPr>
            <w:tcW w:w="425" w:type="dxa"/>
            <w:shd w:val="solid" w:color="FFFFFF" w:fill="auto"/>
          </w:tcPr>
          <w:p w14:paraId="38D178C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7130C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DD5D99" w14:textId="77777777" w:rsidR="00D40151" w:rsidRPr="00873B6C" w:rsidRDefault="00D40151" w:rsidP="009D14FB">
            <w:pPr>
              <w:pStyle w:val="TAL"/>
              <w:rPr>
                <w:sz w:val="16"/>
                <w:szCs w:val="16"/>
              </w:rPr>
            </w:pPr>
            <w:r w:rsidRPr="00873B6C">
              <w:rPr>
                <w:sz w:val="16"/>
                <w:szCs w:val="16"/>
              </w:rPr>
              <w:t>Correction on SSCMSP</w:t>
            </w:r>
          </w:p>
        </w:tc>
        <w:tc>
          <w:tcPr>
            <w:tcW w:w="708" w:type="dxa"/>
            <w:shd w:val="solid" w:color="FFFFFF" w:fill="auto"/>
          </w:tcPr>
          <w:p w14:paraId="175C785F" w14:textId="77777777" w:rsidR="00D40151" w:rsidRPr="00873B6C" w:rsidRDefault="00D40151" w:rsidP="009D14FB">
            <w:pPr>
              <w:pStyle w:val="TAC"/>
              <w:rPr>
                <w:sz w:val="16"/>
                <w:szCs w:val="16"/>
              </w:rPr>
            </w:pPr>
            <w:r w:rsidRPr="00873B6C">
              <w:rPr>
                <w:sz w:val="16"/>
                <w:szCs w:val="16"/>
              </w:rPr>
              <w:t>15.4.0</w:t>
            </w:r>
          </w:p>
        </w:tc>
      </w:tr>
      <w:tr w:rsidR="00D40151" w:rsidRPr="00873B6C" w14:paraId="09B4DA35" w14:textId="77777777" w:rsidTr="009D14FB">
        <w:tc>
          <w:tcPr>
            <w:tcW w:w="800" w:type="dxa"/>
            <w:shd w:val="solid" w:color="FFFFFF" w:fill="auto"/>
          </w:tcPr>
          <w:p w14:paraId="1A6AE6C5"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223DCA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4D39D6D"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454B1406" w14:textId="77777777" w:rsidR="00D40151" w:rsidRPr="00873B6C" w:rsidRDefault="00D40151" w:rsidP="009D14FB">
            <w:pPr>
              <w:pStyle w:val="TAL"/>
              <w:rPr>
                <w:sz w:val="16"/>
                <w:szCs w:val="16"/>
              </w:rPr>
            </w:pPr>
            <w:r w:rsidRPr="00873B6C">
              <w:rPr>
                <w:sz w:val="16"/>
                <w:szCs w:val="16"/>
              </w:rPr>
              <w:t>0686</w:t>
            </w:r>
          </w:p>
        </w:tc>
        <w:tc>
          <w:tcPr>
            <w:tcW w:w="425" w:type="dxa"/>
            <w:shd w:val="solid" w:color="FFFFFF" w:fill="auto"/>
          </w:tcPr>
          <w:p w14:paraId="6C4BF13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87185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2C9351" w14:textId="77777777" w:rsidR="00D40151" w:rsidRPr="00873B6C" w:rsidRDefault="00D40151" w:rsidP="009D14FB">
            <w:pPr>
              <w:pStyle w:val="TAL"/>
              <w:rPr>
                <w:sz w:val="16"/>
                <w:szCs w:val="16"/>
              </w:rPr>
            </w:pPr>
            <w:r w:rsidRPr="00873B6C">
              <w:rPr>
                <w:sz w:val="16"/>
                <w:szCs w:val="16"/>
              </w:rPr>
              <w:t>Clarification on the AMF store the DNN and PGW-C+SMF to UDM+HSS</w:t>
            </w:r>
          </w:p>
        </w:tc>
        <w:tc>
          <w:tcPr>
            <w:tcW w:w="708" w:type="dxa"/>
            <w:shd w:val="solid" w:color="FFFFFF" w:fill="auto"/>
          </w:tcPr>
          <w:p w14:paraId="271C74AD" w14:textId="77777777" w:rsidR="00D40151" w:rsidRPr="00873B6C" w:rsidRDefault="00D40151" w:rsidP="009D14FB">
            <w:pPr>
              <w:pStyle w:val="TAC"/>
              <w:rPr>
                <w:sz w:val="16"/>
                <w:szCs w:val="16"/>
              </w:rPr>
            </w:pPr>
            <w:r w:rsidRPr="00873B6C">
              <w:rPr>
                <w:sz w:val="16"/>
                <w:szCs w:val="16"/>
              </w:rPr>
              <w:t>15.4.0</w:t>
            </w:r>
          </w:p>
        </w:tc>
      </w:tr>
      <w:tr w:rsidR="00D40151" w:rsidRPr="00873B6C" w14:paraId="4A8E742D" w14:textId="77777777" w:rsidTr="009D14FB">
        <w:tc>
          <w:tcPr>
            <w:tcW w:w="800" w:type="dxa"/>
            <w:shd w:val="solid" w:color="FFFFFF" w:fill="auto"/>
          </w:tcPr>
          <w:p w14:paraId="7A23D00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AF1C11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78A6481"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533E8313" w14:textId="77777777" w:rsidR="00D40151" w:rsidRPr="00873B6C" w:rsidRDefault="00D40151" w:rsidP="009D14FB">
            <w:pPr>
              <w:pStyle w:val="TAL"/>
              <w:rPr>
                <w:sz w:val="16"/>
                <w:szCs w:val="16"/>
              </w:rPr>
            </w:pPr>
            <w:r w:rsidRPr="00873B6C">
              <w:rPr>
                <w:sz w:val="16"/>
                <w:szCs w:val="16"/>
              </w:rPr>
              <w:t>0687</w:t>
            </w:r>
          </w:p>
        </w:tc>
        <w:tc>
          <w:tcPr>
            <w:tcW w:w="425" w:type="dxa"/>
            <w:shd w:val="solid" w:color="FFFFFF" w:fill="auto"/>
          </w:tcPr>
          <w:p w14:paraId="2037646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1421A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5BFA22" w14:textId="77777777" w:rsidR="00D40151" w:rsidRPr="00873B6C" w:rsidRDefault="00D40151" w:rsidP="009D14FB">
            <w:pPr>
              <w:pStyle w:val="TAL"/>
              <w:rPr>
                <w:sz w:val="16"/>
                <w:szCs w:val="16"/>
              </w:rPr>
            </w:pPr>
            <w:r w:rsidRPr="00873B6C">
              <w:rPr>
                <w:sz w:val="16"/>
                <w:szCs w:val="16"/>
              </w:rPr>
              <w:t>Clarification on NPLI for EPS Fallback</w:t>
            </w:r>
          </w:p>
        </w:tc>
        <w:tc>
          <w:tcPr>
            <w:tcW w:w="708" w:type="dxa"/>
            <w:shd w:val="solid" w:color="FFFFFF" w:fill="auto"/>
          </w:tcPr>
          <w:p w14:paraId="6E97A47E" w14:textId="77777777" w:rsidR="00D40151" w:rsidRPr="00873B6C" w:rsidRDefault="00D40151" w:rsidP="009D14FB">
            <w:pPr>
              <w:pStyle w:val="TAC"/>
              <w:rPr>
                <w:sz w:val="16"/>
                <w:szCs w:val="16"/>
              </w:rPr>
            </w:pPr>
            <w:r w:rsidRPr="00873B6C">
              <w:rPr>
                <w:sz w:val="16"/>
                <w:szCs w:val="16"/>
              </w:rPr>
              <w:t>15.4.0</w:t>
            </w:r>
          </w:p>
        </w:tc>
      </w:tr>
      <w:tr w:rsidR="00D40151" w:rsidRPr="00873B6C" w14:paraId="1EBCFA02" w14:textId="77777777" w:rsidTr="009D14FB">
        <w:tc>
          <w:tcPr>
            <w:tcW w:w="800" w:type="dxa"/>
            <w:shd w:val="solid" w:color="FFFFFF" w:fill="auto"/>
          </w:tcPr>
          <w:p w14:paraId="560BCCA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DB7B2A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B4DBE82"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60925525" w14:textId="77777777" w:rsidR="00D40151" w:rsidRPr="00873B6C" w:rsidRDefault="00D40151" w:rsidP="009D14FB">
            <w:pPr>
              <w:pStyle w:val="TAL"/>
              <w:rPr>
                <w:sz w:val="16"/>
                <w:szCs w:val="16"/>
              </w:rPr>
            </w:pPr>
            <w:r w:rsidRPr="00873B6C">
              <w:rPr>
                <w:sz w:val="16"/>
                <w:szCs w:val="16"/>
              </w:rPr>
              <w:t>0688</w:t>
            </w:r>
          </w:p>
        </w:tc>
        <w:tc>
          <w:tcPr>
            <w:tcW w:w="425" w:type="dxa"/>
            <w:shd w:val="solid" w:color="FFFFFF" w:fill="auto"/>
          </w:tcPr>
          <w:p w14:paraId="68D9571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4EDECD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6A48AE9" w14:textId="77777777" w:rsidR="00D40151" w:rsidRPr="00873B6C" w:rsidRDefault="00D40151" w:rsidP="009D14FB">
            <w:pPr>
              <w:pStyle w:val="TAL"/>
              <w:rPr>
                <w:sz w:val="16"/>
                <w:szCs w:val="16"/>
              </w:rPr>
            </w:pPr>
            <w:r w:rsidRPr="00873B6C">
              <w:rPr>
                <w:sz w:val="16"/>
                <w:szCs w:val="16"/>
              </w:rPr>
              <w:t>Correction on UE inclusion of UE's usage setting</w:t>
            </w:r>
          </w:p>
        </w:tc>
        <w:tc>
          <w:tcPr>
            <w:tcW w:w="708" w:type="dxa"/>
            <w:shd w:val="solid" w:color="FFFFFF" w:fill="auto"/>
          </w:tcPr>
          <w:p w14:paraId="51720880" w14:textId="77777777" w:rsidR="00D40151" w:rsidRPr="00873B6C" w:rsidRDefault="00D40151" w:rsidP="009D14FB">
            <w:pPr>
              <w:pStyle w:val="TAC"/>
              <w:rPr>
                <w:sz w:val="16"/>
                <w:szCs w:val="16"/>
              </w:rPr>
            </w:pPr>
            <w:r w:rsidRPr="00873B6C">
              <w:rPr>
                <w:sz w:val="16"/>
                <w:szCs w:val="16"/>
              </w:rPr>
              <w:t>15.4.0</w:t>
            </w:r>
          </w:p>
        </w:tc>
      </w:tr>
      <w:tr w:rsidR="00D40151" w:rsidRPr="00873B6C" w14:paraId="69D67CE6" w14:textId="77777777" w:rsidTr="009D14FB">
        <w:tc>
          <w:tcPr>
            <w:tcW w:w="800" w:type="dxa"/>
            <w:shd w:val="solid" w:color="FFFFFF" w:fill="auto"/>
          </w:tcPr>
          <w:p w14:paraId="52CFDA98" w14:textId="77777777" w:rsidR="00D40151" w:rsidRPr="00873B6C" w:rsidRDefault="00D40151" w:rsidP="009D14FB">
            <w:pPr>
              <w:pStyle w:val="TAC"/>
              <w:rPr>
                <w:sz w:val="16"/>
                <w:szCs w:val="16"/>
              </w:rPr>
            </w:pPr>
            <w:r w:rsidRPr="00873B6C">
              <w:rPr>
                <w:sz w:val="16"/>
                <w:szCs w:val="16"/>
              </w:rPr>
              <w:lastRenderedPageBreak/>
              <w:t>2018-12</w:t>
            </w:r>
          </w:p>
        </w:tc>
        <w:tc>
          <w:tcPr>
            <w:tcW w:w="800" w:type="dxa"/>
            <w:shd w:val="solid" w:color="FFFFFF" w:fill="auto"/>
          </w:tcPr>
          <w:p w14:paraId="0B01D815"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0CB4F74"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72B40D53" w14:textId="77777777" w:rsidR="00D40151" w:rsidRPr="00873B6C" w:rsidRDefault="00D40151" w:rsidP="009D14FB">
            <w:pPr>
              <w:pStyle w:val="TAL"/>
              <w:rPr>
                <w:sz w:val="16"/>
                <w:szCs w:val="16"/>
              </w:rPr>
            </w:pPr>
            <w:r w:rsidRPr="00873B6C">
              <w:rPr>
                <w:sz w:val="16"/>
                <w:szCs w:val="16"/>
              </w:rPr>
              <w:t>0690</w:t>
            </w:r>
          </w:p>
        </w:tc>
        <w:tc>
          <w:tcPr>
            <w:tcW w:w="425" w:type="dxa"/>
            <w:shd w:val="solid" w:color="FFFFFF" w:fill="auto"/>
          </w:tcPr>
          <w:p w14:paraId="0070107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63504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03C07F" w14:textId="77777777" w:rsidR="00D40151" w:rsidRPr="00873B6C" w:rsidRDefault="00D40151" w:rsidP="009D14FB">
            <w:pPr>
              <w:pStyle w:val="TAL"/>
              <w:rPr>
                <w:sz w:val="16"/>
                <w:szCs w:val="16"/>
              </w:rPr>
            </w:pPr>
            <w:r w:rsidRPr="00873B6C">
              <w:rPr>
                <w:sz w:val="16"/>
                <w:szCs w:val="16"/>
              </w:rPr>
              <w:t>UE radio capability for paging information with NR and eLTE connected to the CN</w:t>
            </w:r>
          </w:p>
        </w:tc>
        <w:tc>
          <w:tcPr>
            <w:tcW w:w="708" w:type="dxa"/>
            <w:shd w:val="solid" w:color="FFFFFF" w:fill="auto"/>
          </w:tcPr>
          <w:p w14:paraId="79FC9469" w14:textId="77777777" w:rsidR="00D40151" w:rsidRPr="00873B6C" w:rsidRDefault="00D40151" w:rsidP="009D14FB">
            <w:pPr>
              <w:pStyle w:val="TAC"/>
              <w:rPr>
                <w:sz w:val="16"/>
                <w:szCs w:val="16"/>
              </w:rPr>
            </w:pPr>
            <w:r w:rsidRPr="00873B6C">
              <w:rPr>
                <w:sz w:val="16"/>
                <w:szCs w:val="16"/>
              </w:rPr>
              <w:t>15.4.0</w:t>
            </w:r>
          </w:p>
        </w:tc>
      </w:tr>
      <w:tr w:rsidR="00D40151" w:rsidRPr="00873B6C" w14:paraId="3EE742F8" w14:textId="77777777" w:rsidTr="009D14FB">
        <w:tc>
          <w:tcPr>
            <w:tcW w:w="800" w:type="dxa"/>
            <w:shd w:val="solid" w:color="FFFFFF" w:fill="auto"/>
          </w:tcPr>
          <w:p w14:paraId="64826E07"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AC3E0A6"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78E45E7"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381C83AA" w14:textId="77777777" w:rsidR="00D40151" w:rsidRPr="00873B6C" w:rsidRDefault="00D40151" w:rsidP="009D14FB">
            <w:pPr>
              <w:pStyle w:val="TAL"/>
              <w:rPr>
                <w:sz w:val="16"/>
                <w:szCs w:val="16"/>
              </w:rPr>
            </w:pPr>
            <w:r w:rsidRPr="00873B6C">
              <w:rPr>
                <w:sz w:val="16"/>
                <w:szCs w:val="16"/>
              </w:rPr>
              <w:t>0691</w:t>
            </w:r>
          </w:p>
        </w:tc>
        <w:tc>
          <w:tcPr>
            <w:tcW w:w="425" w:type="dxa"/>
            <w:shd w:val="solid" w:color="FFFFFF" w:fill="auto"/>
          </w:tcPr>
          <w:p w14:paraId="38F3D4F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D3D06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34299A" w14:textId="77777777" w:rsidR="00D40151" w:rsidRPr="00873B6C" w:rsidRDefault="00D40151" w:rsidP="009D14FB">
            <w:pPr>
              <w:pStyle w:val="TAL"/>
              <w:rPr>
                <w:sz w:val="16"/>
                <w:szCs w:val="16"/>
              </w:rPr>
            </w:pPr>
            <w:r w:rsidRPr="00873B6C">
              <w:rPr>
                <w:sz w:val="16"/>
                <w:szCs w:val="16"/>
              </w:rPr>
              <w:t>Correction to traffic steering control</w:t>
            </w:r>
          </w:p>
        </w:tc>
        <w:tc>
          <w:tcPr>
            <w:tcW w:w="708" w:type="dxa"/>
            <w:shd w:val="solid" w:color="FFFFFF" w:fill="auto"/>
          </w:tcPr>
          <w:p w14:paraId="512CCDFD" w14:textId="77777777" w:rsidR="00D40151" w:rsidRPr="00873B6C" w:rsidRDefault="00D40151" w:rsidP="009D14FB">
            <w:pPr>
              <w:pStyle w:val="TAC"/>
              <w:rPr>
                <w:sz w:val="16"/>
                <w:szCs w:val="16"/>
              </w:rPr>
            </w:pPr>
            <w:r w:rsidRPr="00873B6C">
              <w:rPr>
                <w:sz w:val="16"/>
                <w:szCs w:val="16"/>
              </w:rPr>
              <w:t>15.4.0</w:t>
            </w:r>
          </w:p>
        </w:tc>
      </w:tr>
      <w:tr w:rsidR="00D40151" w:rsidRPr="00873B6C" w14:paraId="3D9C49E3" w14:textId="77777777" w:rsidTr="009D14FB">
        <w:tc>
          <w:tcPr>
            <w:tcW w:w="800" w:type="dxa"/>
            <w:shd w:val="solid" w:color="FFFFFF" w:fill="auto"/>
          </w:tcPr>
          <w:p w14:paraId="4900F8B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551548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C256C2E"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22B3FB14" w14:textId="77777777" w:rsidR="00D40151" w:rsidRPr="00873B6C" w:rsidRDefault="00D40151" w:rsidP="009D14FB">
            <w:pPr>
              <w:pStyle w:val="TAL"/>
              <w:rPr>
                <w:sz w:val="16"/>
                <w:szCs w:val="16"/>
              </w:rPr>
            </w:pPr>
            <w:r w:rsidRPr="00873B6C">
              <w:rPr>
                <w:sz w:val="16"/>
                <w:szCs w:val="16"/>
              </w:rPr>
              <w:t>0692</w:t>
            </w:r>
          </w:p>
        </w:tc>
        <w:tc>
          <w:tcPr>
            <w:tcW w:w="425" w:type="dxa"/>
            <w:shd w:val="solid" w:color="FFFFFF" w:fill="auto"/>
          </w:tcPr>
          <w:p w14:paraId="6DB3E3F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93E43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BC79C6" w14:textId="77777777" w:rsidR="00D40151" w:rsidRPr="00873B6C" w:rsidRDefault="00D40151" w:rsidP="009D14FB">
            <w:pPr>
              <w:pStyle w:val="TAL"/>
              <w:rPr>
                <w:sz w:val="16"/>
                <w:szCs w:val="16"/>
              </w:rPr>
            </w:pPr>
            <w:r w:rsidRPr="00873B6C">
              <w:rPr>
                <w:sz w:val="16"/>
                <w:szCs w:val="16"/>
              </w:rPr>
              <w:t>Using TCP for reliable NAS transport between UE and N3IWF</w:t>
            </w:r>
          </w:p>
        </w:tc>
        <w:tc>
          <w:tcPr>
            <w:tcW w:w="708" w:type="dxa"/>
            <w:shd w:val="solid" w:color="FFFFFF" w:fill="auto"/>
          </w:tcPr>
          <w:p w14:paraId="5D987A65" w14:textId="77777777" w:rsidR="00D40151" w:rsidRPr="00873B6C" w:rsidRDefault="00D40151" w:rsidP="009D14FB">
            <w:pPr>
              <w:pStyle w:val="TAC"/>
              <w:rPr>
                <w:sz w:val="16"/>
                <w:szCs w:val="16"/>
              </w:rPr>
            </w:pPr>
            <w:r w:rsidRPr="00873B6C">
              <w:rPr>
                <w:sz w:val="16"/>
                <w:szCs w:val="16"/>
              </w:rPr>
              <w:t>15.4.0</w:t>
            </w:r>
          </w:p>
        </w:tc>
      </w:tr>
      <w:tr w:rsidR="00D40151" w:rsidRPr="00873B6C" w14:paraId="774EBF1F" w14:textId="77777777" w:rsidTr="009D14FB">
        <w:tc>
          <w:tcPr>
            <w:tcW w:w="800" w:type="dxa"/>
            <w:shd w:val="solid" w:color="FFFFFF" w:fill="auto"/>
          </w:tcPr>
          <w:p w14:paraId="2FCB5119"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5F2F87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53197AF"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0A94FADB" w14:textId="77777777" w:rsidR="00D40151" w:rsidRPr="00873B6C" w:rsidRDefault="00D40151" w:rsidP="009D14FB">
            <w:pPr>
              <w:pStyle w:val="TAL"/>
              <w:rPr>
                <w:sz w:val="16"/>
                <w:szCs w:val="16"/>
              </w:rPr>
            </w:pPr>
            <w:r w:rsidRPr="00873B6C">
              <w:rPr>
                <w:sz w:val="16"/>
                <w:szCs w:val="16"/>
              </w:rPr>
              <w:t>0693</w:t>
            </w:r>
          </w:p>
        </w:tc>
        <w:tc>
          <w:tcPr>
            <w:tcW w:w="425" w:type="dxa"/>
            <w:shd w:val="solid" w:color="FFFFFF" w:fill="auto"/>
          </w:tcPr>
          <w:p w14:paraId="106854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8989D3"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0791F38" w14:textId="77777777" w:rsidR="00D40151" w:rsidRPr="00873B6C" w:rsidRDefault="00D40151" w:rsidP="009D14FB">
            <w:pPr>
              <w:pStyle w:val="TAL"/>
              <w:rPr>
                <w:sz w:val="16"/>
                <w:szCs w:val="16"/>
              </w:rPr>
            </w:pPr>
            <w:r w:rsidRPr="00873B6C">
              <w:rPr>
                <w:sz w:val="16"/>
                <w:szCs w:val="16"/>
              </w:rPr>
              <w:t>5GS Support for MCS Subscription</w:t>
            </w:r>
          </w:p>
        </w:tc>
        <w:tc>
          <w:tcPr>
            <w:tcW w:w="708" w:type="dxa"/>
            <w:shd w:val="solid" w:color="FFFFFF" w:fill="auto"/>
          </w:tcPr>
          <w:p w14:paraId="71AF90B1" w14:textId="77777777" w:rsidR="00D40151" w:rsidRPr="00873B6C" w:rsidRDefault="00D40151" w:rsidP="009D14FB">
            <w:pPr>
              <w:pStyle w:val="TAC"/>
              <w:rPr>
                <w:sz w:val="16"/>
                <w:szCs w:val="16"/>
              </w:rPr>
            </w:pPr>
            <w:r w:rsidRPr="00873B6C">
              <w:rPr>
                <w:sz w:val="16"/>
                <w:szCs w:val="16"/>
              </w:rPr>
              <w:t>15.4.0</w:t>
            </w:r>
          </w:p>
        </w:tc>
      </w:tr>
      <w:tr w:rsidR="00D40151" w:rsidRPr="00873B6C" w14:paraId="3FD5C7CC" w14:textId="77777777" w:rsidTr="009D14FB">
        <w:tc>
          <w:tcPr>
            <w:tcW w:w="800" w:type="dxa"/>
            <w:shd w:val="solid" w:color="FFFFFF" w:fill="auto"/>
          </w:tcPr>
          <w:p w14:paraId="23070CF6"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0890737"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3E6BE9F" w14:textId="77777777" w:rsidR="00D40151" w:rsidRPr="00873B6C" w:rsidRDefault="00D40151" w:rsidP="009D14FB">
            <w:pPr>
              <w:pStyle w:val="TAC"/>
              <w:rPr>
                <w:sz w:val="16"/>
                <w:szCs w:val="16"/>
              </w:rPr>
            </w:pPr>
            <w:r w:rsidRPr="00873B6C">
              <w:rPr>
                <w:sz w:val="16"/>
                <w:szCs w:val="16"/>
              </w:rPr>
              <w:t>SP-181091</w:t>
            </w:r>
          </w:p>
        </w:tc>
        <w:tc>
          <w:tcPr>
            <w:tcW w:w="567" w:type="dxa"/>
            <w:shd w:val="solid" w:color="FFFFFF" w:fill="auto"/>
          </w:tcPr>
          <w:p w14:paraId="462B93FB" w14:textId="77777777" w:rsidR="00D40151" w:rsidRPr="00873B6C" w:rsidRDefault="00D40151" w:rsidP="009D14FB">
            <w:pPr>
              <w:pStyle w:val="TAL"/>
              <w:rPr>
                <w:sz w:val="16"/>
                <w:szCs w:val="16"/>
              </w:rPr>
            </w:pPr>
            <w:r w:rsidRPr="00873B6C">
              <w:rPr>
                <w:sz w:val="16"/>
                <w:szCs w:val="16"/>
              </w:rPr>
              <w:t>0695</w:t>
            </w:r>
          </w:p>
        </w:tc>
        <w:tc>
          <w:tcPr>
            <w:tcW w:w="425" w:type="dxa"/>
            <w:shd w:val="solid" w:color="FFFFFF" w:fill="auto"/>
          </w:tcPr>
          <w:p w14:paraId="10D8E33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B90B4E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79D80B" w14:textId="77777777" w:rsidR="00D40151" w:rsidRPr="00873B6C" w:rsidRDefault="00D40151" w:rsidP="009D14FB">
            <w:pPr>
              <w:pStyle w:val="TAL"/>
              <w:rPr>
                <w:sz w:val="16"/>
                <w:szCs w:val="16"/>
              </w:rPr>
            </w:pPr>
            <w:r w:rsidRPr="00873B6C">
              <w:rPr>
                <w:sz w:val="16"/>
                <w:szCs w:val="16"/>
              </w:rPr>
              <w:t>UE sending UE Integrity Protection Data Rate capability over any access</w:t>
            </w:r>
          </w:p>
        </w:tc>
        <w:tc>
          <w:tcPr>
            <w:tcW w:w="708" w:type="dxa"/>
            <w:shd w:val="solid" w:color="FFFFFF" w:fill="auto"/>
          </w:tcPr>
          <w:p w14:paraId="4261DFDC" w14:textId="77777777" w:rsidR="00D40151" w:rsidRPr="00873B6C" w:rsidRDefault="00D40151" w:rsidP="009D14FB">
            <w:pPr>
              <w:pStyle w:val="TAC"/>
              <w:rPr>
                <w:sz w:val="16"/>
                <w:szCs w:val="16"/>
              </w:rPr>
            </w:pPr>
            <w:r w:rsidRPr="00873B6C">
              <w:rPr>
                <w:sz w:val="16"/>
                <w:szCs w:val="16"/>
              </w:rPr>
              <w:t>15.4.0</w:t>
            </w:r>
          </w:p>
        </w:tc>
      </w:tr>
      <w:tr w:rsidR="00D40151" w:rsidRPr="00873B6C" w14:paraId="35F2D1CC" w14:textId="77777777" w:rsidTr="009D14FB">
        <w:tc>
          <w:tcPr>
            <w:tcW w:w="800" w:type="dxa"/>
            <w:shd w:val="solid" w:color="FFFFFF" w:fill="auto"/>
          </w:tcPr>
          <w:p w14:paraId="075EC4E4"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9B401E5"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9B98854"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0DAFEC10" w14:textId="77777777" w:rsidR="00D40151" w:rsidRPr="00873B6C" w:rsidRDefault="00D40151" w:rsidP="009D14FB">
            <w:pPr>
              <w:pStyle w:val="TAL"/>
              <w:rPr>
                <w:sz w:val="16"/>
                <w:szCs w:val="16"/>
              </w:rPr>
            </w:pPr>
            <w:r w:rsidRPr="00873B6C">
              <w:rPr>
                <w:sz w:val="16"/>
                <w:szCs w:val="16"/>
              </w:rPr>
              <w:t>0696</w:t>
            </w:r>
          </w:p>
        </w:tc>
        <w:tc>
          <w:tcPr>
            <w:tcW w:w="425" w:type="dxa"/>
            <w:shd w:val="solid" w:color="FFFFFF" w:fill="auto"/>
          </w:tcPr>
          <w:p w14:paraId="30FFEAB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DC64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0AF2B4" w14:textId="77777777" w:rsidR="00D40151" w:rsidRPr="00873B6C" w:rsidRDefault="00D40151" w:rsidP="009D14FB">
            <w:pPr>
              <w:pStyle w:val="TAL"/>
              <w:rPr>
                <w:sz w:val="16"/>
                <w:szCs w:val="16"/>
              </w:rPr>
            </w:pPr>
            <w:r w:rsidRPr="00873B6C">
              <w:rPr>
                <w:sz w:val="16"/>
                <w:szCs w:val="16"/>
              </w:rPr>
              <w:t>Correction on Subscribed 5QI</w:t>
            </w:r>
          </w:p>
        </w:tc>
        <w:tc>
          <w:tcPr>
            <w:tcW w:w="708" w:type="dxa"/>
            <w:shd w:val="solid" w:color="FFFFFF" w:fill="auto"/>
          </w:tcPr>
          <w:p w14:paraId="1D0DD00A" w14:textId="77777777" w:rsidR="00D40151" w:rsidRPr="00873B6C" w:rsidRDefault="00D40151" w:rsidP="009D14FB">
            <w:pPr>
              <w:pStyle w:val="TAC"/>
              <w:rPr>
                <w:sz w:val="16"/>
                <w:szCs w:val="16"/>
              </w:rPr>
            </w:pPr>
            <w:r w:rsidRPr="00873B6C">
              <w:rPr>
                <w:sz w:val="16"/>
                <w:szCs w:val="16"/>
              </w:rPr>
              <w:t>15.4.0</w:t>
            </w:r>
          </w:p>
        </w:tc>
      </w:tr>
      <w:tr w:rsidR="00D40151" w:rsidRPr="00873B6C" w14:paraId="179566F0" w14:textId="77777777" w:rsidTr="009D14FB">
        <w:tc>
          <w:tcPr>
            <w:tcW w:w="800" w:type="dxa"/>
            <w:shd w:val="solid" w:color="FFFFFF" w:fill="auto"/>
          </w:tcPr>
          <w:p w14:paraId="3F67417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7487C6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2DA52E4"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7CAAC0E1" w14:textId="77777777" w:rsidR="00D40151" w:rsidRPr="00873B6C" w:rsidRDefault="00D40151" w:rsidP="009D14FB">
            <w:pPr>
              <w:pStyle w:val="TAL"/>
              <w:rPr>
                <w:sz w:val="16"/>
                <w:szCs w:val="16"/>
              </w:rPr>
            </w:pPr>
            <w:r w:rsidRPr="00873B6C">
              <w:rPr>
                <w:sz w:val="16"/>
                <w:szCs w:val="16"/>
              </w:rPr>
              <w:t>0699</w:t>
            </w:r>
          </w:p>
        </w:tc>
        <w:tc>
          <w:tcPr>
            <w:tcW w:w="425" w:type="dxa"/>
            <w:shd w:val="solid" w:color="FFFFFF" w:fill="auto"/>
          </w:tcPr>
          <w:p w14:paraId="3DB65F9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87DF46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15F760" w14:textId="77777777" w:rsidR="00D40151" w:rsidRPr="00873B6C" w:rsidRDefault="00D40151" w:rsidP="009D14FB">
            <w:pPr>
              <w:pStyle w:val="TAL"/>
              <w:rPr>
                <w:sz w:val="16"/>
                <w:szCs w:val="16"/>
              </w:rPr>
            </w:pPr>
            <w:r w:rsidRPr="00873B6C">
              <w:rPr>
                <w:sz w:val="16"/>
                <w:szCs w:val="16"/>
              </w:rPr>
              <w:t>Selective deactivation for always-on PDU sessions</w:t>
            </w:r>
          </w:p>
        </w:tc>
        <w:tc>
          <w:tcPr>
            <w:tcW w:w="708" w:type="dxa"/>
            <w:shd w:val="solid" w:color="FFFFFF" w:fill="auto"/>
          </w:tcPr>
          <w:p w14:paraId="6CBFDD30" w14:textId="77777777" w:rsidR="00D40151" w:rsidRPr="00873B6C" w:rsidRDefault="00D40151" w:rsidP="009D14FB">
            <w:pPr>
              <w:pStyle w:val="TAC"/>
              <w:rPr>
                <w:sz w:val="16"/>
                <w:szCs w:val="16"/>
              </w:rPr>
            </w:pPr>
            <w:r w:rsidRPr="00873B6C">
              <w:rPr>
                <w:sz w:val="16"/>
                <w:szCs w:val="16"/>
              </w:rPr>
              <w:t>15.4.0</w:t>
            </w:r>
          </w:p>
        </w:tc>
      </w:tr>
      <w:tr w:rsidR="00D40151" w:rsidRPr="00873B6C" w14:paraId="602985B8" w14:textId="77777777" w:rsidTr="009D14FB">
        <w:tc>
          <w:tcPr>
            <w:tcW w:w="800" w:type="dxa"/>
            <w:shd w:val="solid" w:color="FFFFFF" w:fill="auto"/>
          </w:tcPr>
          <w:p w14:paraId="599AB943"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FC22266"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5AE5B79" w14:textId="77777777" w:rsidR="00D40151" w:rsidRPr="00873B6C" w:rsidRDefault="00D40151" w:rsidP="009D14FB">
            <w:pPr>
              <w:pStyle w:val="TAC"/>
              <w:rPr>
                <w:sz w:val="16"/>
                <w:szCs w:val="16"/>
              </w:rPr>
            </w:pPr>
            <w:r w:rsidRPr="00873B6C">
              <w:rPr>
                <w:sz w:val="16"/>
                <w:szCs w:val="16"/>
              </w:rPr>
              <w:t>SP-181091</w:t>
            </w:r>
          </w:p>
        </w:tc>
        <w:tc>
          <w:tcPr>
            <w:tcW w:w="567" w:type="dxa"/>
            <w:shd w:val="solid" w:color="FFFFFF" w:fill="auto"/>
          </w:tcPr>
          <w:p w14:paraId="3CF8288B" w14:textId="77777777" w:rsidR="00D40151" w:rsidRPr="00873B6C" w:rsidRDefault="00D40151" w:rsidP="009D14FB">
            <w:pPr>
              <w:pStyle w:val="TAL"/>
              <w:rPr>
                <w:sz w:val="16"/>
                <w:szCs w:val="16"/>
              </w:rPr>
            </w:pPr>
            <w:r w:rsidRPr="00873B6C">
              <w:rPr>
                <w:sz w:val="16"/>
                <w:szCs w:val="16"/>
              </w:rPr>
              <w:t>0701</w:t>
            </w:r>
          </w:p>
        </w:tc>
        <w:tc>
          <w:tcPr>
            <w:tcW w:w="425" w:type="dxa"/>
            <w:shd w:val="solid" w:color="FFFFFF" w:fill="auto"/>
          </w:tcPr>
          <w:p w14:paraId="1738327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F3D9A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F13215" w14:textId="77777777" w:rsidR="00D40151" w:rsidRPr="00873B6C" w:rsidRDefault="00D40151" w:rsidP="009D14FB">
            <w:pPr>
              <w:pStyle w:val="TAL"/>
              <w:rPr>
                <w:sz w:val="16"/>
                <w:szCs w:val="16"/>
              </w:rPr>
            </w:pPr>
            <w:r w:rsidRPr="00873B6C">
              <w:rPr>
                <w:sz w:val="16"/>
                <w:szCs w:val="16"/>
              </w:rPr>
              <w:t>Use of emergency DNN when Emergency Registered</w:t>
            </w:r>
          </w:p>
        </w:tc>
        <w:tc>
          <w:tcPr>
            <w:tcW w:w="708" w:type="dxa"/>
            <w:shd w:val="solid" w:color="FFFFFF" w:fill="auto"/>
          </w:tcPr>
          <w:p w14:paraId="5A1B30BC" w14:textId="77777777" w:rsidR="00D40151" w:rsidRPr="00873B6C" w:rsidRDefault="00D40151" w:rsidP="009D14FB">
            <w:pPr>
              <w:pStyle w:val="TAC"/>
              <w:rPr>
                <w:sz w:val="16"/>
                <w:szCs w:val="16"/>
              </w:rPr>
            </w:pPr>
            <w:r w:rsidRPr="00873B6C">
              <w:rPr>
                <w:sz w:val="16"/>
                <w:szCs w:val="16"/>
              </w:rPr>
              <w:t>15.4.0</w:t>
            </w:r>
          </w:p>
        </w:tc>
      </w:tr>
      <w:tr w:rsidR="00D40151" w:rsidRPr="00873B6C" w14:paraId="5BD8EEA6" w14:textId="77777777" w:rsidTr="009D14FB">
        <w:tc>
          <w:tcPr>
            <w:tcW w:w="800" w:type="dxa"/>
            <w:shd w:val="solid" w:color="FFFFFF" w:fill="auto"/>
          </w:tcPr>
          <w:p w14:paraId="33FBD37D"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EED2E9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C220C75"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5144D306" w14:textId="77777777" w:rsidR="00D40151" w:rsidRPr="00873B6C" w:rsidRDefault="00D40151" w:rsidP="009D14FB">
            <w:pPr>
              <w:pStyle w:val="TAL"/>
              <w:rPr>
                <w:sz w:val="16"/>
                <w:szCs w:val="16"/>
              </w:rPr>
            </w:pPr>
            <w:r w:rsidRPr="00873B6C">
              <w:rPr>
                <w:sz w:val="16"/>
                <w:szCs w:val="16"/>
              </w:rPr>
              <w:t>0703</w:t>
            </w:r>
          </w:p>
        </w:tc>
        <w:tc>
          <w:tcPr>
            <w:tcW w:w="425" w:type="dxa"/>
            <w:shd w:val="solid" w:color="FFFFFF" w:fill="auto"/>
          </w:tcPr>
          <w:p w14:paraId="586063F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4E721C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082B49" w14:textId="77777777" w:rsidR="00D40151" w:rsidRPr="00873B6C" w:rsidRDefault="00D40151" w:rsidP="009D14FB">
            <w:pPr>
              <w:pStyle w:val="TAL"/>
              <w:rPr>
                <w:sz w:val="16"/>
                <w:szCs w:val="16"/>
              </w:rPr>
            </w:pPr>
            <w:r w:rsidRPr="00873B6C">
              <w:rPr>
                <w:sz w:val="16"/>
                <w:szCs w:val="16"/>
              </w:rPr>
              <w:t>Requirements on 5G-TMSI randomness</w:t>
            </w:r>
          </w:p>
        </w:tc>
        <w:tc>
          <w:tcPr>
            <w:tcW w:w="708" w:type="dxa"/>
            <w:shd w:val="solid" w:color="FFFFFF" w:fill="auto"/>
          </w:tcPr>
          <w:p w14:paraId="7E714E62" w14:textId="77777777" w:rsidR="00D40151" w:rsidRPr="00873B6C" w:rsidRDefault="00D40151" w:rsidP="009D14FB">
            <w:pPr>
              <w:pStyle w:val="TAC"/>
              <w:rPr>
                <w:sz w:val="16"/>
                <w:szCs w:val="16"/>
              </w:rPr>
            </w:pPr>
            <w:r w:rsidRPr="00873B6C">
              <w:rPr>
                <w:sz w:val="16"/>
                <w:szCs w:val="16"/>
              </w:rPr>
              <w:t>15.4.0</w:t>
            </w:r>
          </w:p>
        </w:tc>
      </w:tr>
      <w:tr w:rsidR="00D40151" w:rsidRPr="00873B6C" w14:paraId="04F0E0CC" w14:textId="77777777" w:rsidTr="009D14FB">
        <w:tc>
          <w:tcPr>
            <w:tcW w:w="800" w:type="dxa"/>
            <w:shd w:val="solid" w:color="FFFFFF" w:fill="auto"/>
          </w:tcPr>
          <w:p w14:paraId="2C48499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C3D2124"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02D4DC1"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650C9956" w14:textId="77777777" w:rsidR="00D40151" w:rsidRPr="00873B6C" w:rsidRDefault="00D40151" w:rsidP="009D14FB">
            <w:pPr>
              <w:pStyle w:val="TAL"/>
              <w:rPr>
                <w:sz w:val="16"/>
                <w:szCs w:val="16"/>
              </w:rPr>
            </w:pPr>
            <w:r w:rsidRPr="00873B6C">
              <w:rPr>
                <w:sz w:val="16"/>
                <w:szCs w:val="16"/>
              </w:rPr>
              <w:t>0707</w:t>
            </w:r>
          </w:p>
        </w:tc>
        <w:tc>
          <w:tcPr>
            <w:tcW w:w="425" w:type="dxa"/>
            <w:shd w:val="solid" w:color="FFFFFF" w:fill="auto"/>
          </w:tcPr>
          <w:p w14:paraId="2F63693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3C907B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3A37C0" w14:textId="77777777" w:rsidR="00D40151" w:rsidRPr="00873B6C" w:rsidRDefault="00D40151" w:rsidP="009D14FB">
            <w:pPr>
              <w:pStyle w:val="TAL"/>
              <w:rPr>
                <w:sz w:val="16"/>
                <w:szCs w:val="16"/>
              </w:rPr>
            </w:pPr>
            <w:r w:rsidRPr="00873B6C">
              <w:rPr>
                <w:sz w:val="16"/>
                <w:szCs w:val="16"/>
              </w:rPr>
              <w:t>Emergency registration over two accesses</w:t>
            </w:r>
          </w:p>
        </w:tc>
        <w:tc>
          <w:tcPr>
            <w:tcW w:w="708" w:type="dxa"/>
            <w:shd w:val="solid" w:color="FFFFFF" w:fill="auto"/>
          </w:tcPr>
          <w:p w14:paraId="2E7977AD" w14:textId="77777777" w:rsidR="00D40151" w:rsidRPr="00873B6C" w:rsidRDefault="00D40151" w:rsidP="009D14FB">
            <w:pPr>
              <w:pStyle w:val="TAC"/>
              <w:rPr>
                <w:sz w:val="16"/>
                <w:szCs w:val="16"/>
              </w:rPr>
            </w:pPr>
            <w:r w:rsidRPr="00873B6C">
              <w:rPr>
                <w:sz w:val="16"/>
                <w:szCs w:val="16"/>
              </w:rPr>
              <w:t>15.4.0</w:t>
            </w:r>
          </w:p>
        </w:tc>
      </w:tr>
      <w:tr w:rsidR="00D40151" w:rsidRPr="00873B6C" w14:paraId="397102E9" w14:textId="77777777" w:rsidTr="009D14FB">
        <w:tc>
          <w:tcPr>
            <w:tcW w:w="800" w:type="dxa"/>
            <w:shd w:val="solid" w:color="FFFFFF" w:fill="auto"/>
          </w:tcPr>
          <w:p w14:paraId="27ECA763"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3CDE3A1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4663B06"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50F32C65" w14:textId="77777777" w:rsidR="00D40151" w:rsidRPr="00873B6C" w:rsidRDefault="00D40151" w:rsidP="009D14FB">
            <w:pPr>
              <w:pStyle w:val="TAL"/>
              <w:rPr>
                <w:sz w:val="16"/>
                <w:szCs w:val="16"/>
              </w:rPr>
            </w:pPr>
            <w:r w:rsidRPr="00873B6C">
              <w:rPr>
                <w:sz w:val="16"/>
                <w:szCs w:val="16"/>
              </w:rPr>
              <w:t>0708</w:t>
            </w:r>
          </w:p>
        </w:tc>
        <w:tc>
          <w:tcPr>
            <w:tcW w:w="425" w:type="dxa"/>
            <w:shd w:val="solid" w:color="FFFFFF" w:fill="auto"/>
          </w:tcPr>
          <w:p w14:paraId="1BFB090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95AEA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591799" w14:textId="77777777" w:rsidR="00D40151" w:rsidRPr="00873B6C" w:rsidRDefault="00D40151" w:rsidP="009D14FB">
            <w:pPr>
              <w:pStyle w:val="TAL"/>
              <w:rPr>
                <w:sz w:val="16"/>
                <w:szCs w:val="16"/>
              </w:rPr>
            </w:pPr>
            <w:r w:rsidRPr="00873B6C">
              <w:rPr>
                <w:sz w:val="16"/>
                <w:szCs w:val="16"/>
              </w:rPr>
              <w:t>Registration procedure with different Registration types</w:t>
            </w:r>
          </w:p>
        </w:tc>
        <w:tc>
          <w:tcPr>
            <w:tcW w:w="708" w:type="dxa"/>
            <w:shd w:val="solid" w:color="FFFFFF" w:fill="auto"/>
          </w:tcPr>
          <w:p w14:paraId="01EB42DE" w14:textId="77777777" w:rsidR="00D40151" w:rsidRPr="00873B6C" w:rsidRDefault="00D40151" w:rsidP="009D14FB">
            <w:pPr>
              <w:pStyle w:val="TAC"/>
              <w:rPr>
                <w:sz w:val="16"/>
                <w:szCs w:val="16"/>
              </w:rPr>
            </w:pPr>
            <w:r w:rsidRPr="00873B6C">
              <w:rPr>
                <w:sz w:val="16"/>
                <w:szCs w:val="16"/>
              </w:rPr>
              <w:t>15.4.0</w:t>
            </w:r>
          </w:p>
        </w:tc>
      </w:tr>
      <w:tr w:rsidR="00D40151" w:rsidRPr="00873B6C" w14:paraId="4D89B80E" w14:textId="77777777" w:rsidTr="009D14FB">
        <w:tc>
          <w:tcPr>
            <w:tcW w:w="800" w:type="dxa"/>
            <w:shd w:val="solid" w:color="FFFFFF" w:fill="auto"/>
          </w:tcPr>
          <w:p w14:paraId="3F896A55"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5C10683"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9239BF2"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562249E9" w14:textId="77777777" w:rsidR="00D40151" w:rsidRPr="00873B6C" w:rsidRDefault="00D40151" w:rsidP="009D14FB">
            <w:pPr>
              <w:pStyle w:val="TAL"/>
              <w:rPr>
                <w:sz w:val="16"/>
                <w:szCs w:val="16"/>
              </w:rPr>
            </w:pPr>
            <w:r w:rsidRPr="00873B6C">
              <w:rPr>
                <w:sz w:val="16"/>
                <w:szCs w:val="16"/>
              </w:rPr>
              <w:t>0709</w:t>
            </w:r>
          </w:p>
        </w:tc>
        <w:tc>
          <w:tcPr>
            <w:tcW w:w="425" w:type="dxa"/>
            <w:shd w:val="solid" w:color="FFFFFF" w:fill="auto"/>
          </w:tcPr>
          <w:p w14:paraId="7C7A55E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C3F16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457516" w14:textId="77777777" w:rsidR="00D40151" w:rsidRPr="00873B6C" w:rsidRDefault="00D40151" w:rsidP="009D14FB">
            <w:pPr>
              <w:pStyle w:val="TAL"/>
              <w:rPr>
                <w:sz w:val="16"/>
                <w:szCs w:val="16"/>
              </w:rPr>
            </w:pPr>
            <w:r w:rsidRPr="00873B6C">
              <w:rPr>
                <w:sz w:val="16"/>
                <w:szCs w:val="16"/>
              </w:rPr>
              <w:t>EPS to 5GS with network slices</w:t>
            </w:r>
          </w:p>
        </w:tc>
        <w:tc>
          <w:tcPr>
            <w:tcW w:w="708" w:type="dxa"/>
            <w:shd w:val="solid" w:color="FFFFFF" w:fill="auto"/>
          </w:tcPr>
          <w:p w14:paraId="52A98CC1" w14:textId="77777777" w:rsidR="00D40151" w:rsidRPr="00873B6C" w:rsidRDefault="00D40151" w:rsidP="009D14FB">
            <w:pPr>
              <w:pStyle w:val="TAC"/>
              <w:rPr>
                <w:sz w:val="16"/>
                <w:szCs w:val="16"/>
              </w:rPr>
            </w:pPr>
            <w:r w:rsidRPr="00873B6C">
              <w:rPr>
                <w:sz w:val="16"/>
                <w:szCs w:val="16"/>
              </w:rPr>
              <w:t>15.4.0</w:t>
            </w:r>
          </w:p>
        </w:tc>
      </w:tr>
      <w:tr w:rsidR="00D40151" w:rsidRPr="00873B6C" w14:paraId="1DA62BF9" w14:textId="77777777" w:rsidTr="009D14FB">
        <w:tc>
          <w:tcPr>
            <w:tcW w:w="800" w:type="dxa"/>
            <w:shd w:val="solid" w:color="FFFFFF" w:fill="auto"/>
          </w:tcPr>
          <w:p w14:paraId="3766D92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FA5DF32"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1970712F"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09B2E0D5" w14:textId="77777777" w:rsidR="00D40151" w:rsidRPr="00873B6C" w:rsidRDefault="00D40151" w:rsidP="009D14FB">
            <w:pPr>
              <w:pStyle w:val="TAL"/>
              <w:rPr>
                <w:sz w:val="16"/>
                <w:szCs w:val="16"/>
              </w:rPr>
            </w:pPr>
            <w:r w:rsidRPr="00873B6C">
              <w:rPr>
                <w:sz w:val="16"/>
                <w:szCs w:val="16"/>
              </w:rPr>
              <w:t>0710</w:t>
            </w:r>
          </w:p>
        </w:tc>
        <w:tc>
          <w:tcPr>
            <w:tcW w:w="425" w:type="dxa"/>
            <w:shd w:val="solid" w:color="FFFFFF" w:fill="auto"/>
          </w:tcPr>
          <w:p w14:paraId="2E680D2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8CDF0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F9156F1" w14:textId="77777777" w:rsidR="00D40151" w:rsidRPr="00873B6C" w:rsidRDefault="00D40151" w:rsidP="009D14FB">
            <w:pPr>
              <w:pStyle w:val="TAL"/>
              <w:rPr>
                <w:sz w:val="16"/>
                <w:szCs w:val="16"/>
              </w:rPr>
            </w:pPr>
            <w:r w:rsidRPr="00873B6C">
              <w:rPr>
                <w:sz w:val="16"/>
                <w:szCs w:val="16"/>
              </w:rPr>
              <w:t>AUSF and UDM selection</w:t>
            </w:r>
          </w:p>
        </w:tc>
        <w:tc>
          <w:tcPr>
            <w:tcW w:w="708" w:type="dxa"/>
            <w:shd w:val="solid" w:color="FFFFFF" w:fill="auto"/>
          </w:tcPr>
          <w:p w14:paraId="45C1249B" w14:textId="77777777" w:rsidR="00D40151" w:rsidRPr="00873B6C" w:rsidRDefault="00D40151" w:rsidP="009D14FB">
            <w:pPr>
              <w:pStyle w:val="TAC"/>
              <w:rPr>
                <w:sz w:val="16"/>
                <w:szCs w:val="16"/>
              </w:rPr>
            </w:pPr>
            <w:r w:rsidRPr="00873B6C">
              <w:rPr>
                <w:sz w:val="16"/>
                <w:szCs w:val="16"/>
              </w:rPr>
              <w:t>15.4.0</w:t>
            </w:r>
          </w:p>
        </w:tc>
      </w:tr>
      <w:tr w:rsidR="00D40151" w:rsidRPr="00873B6C" w14:paraId="09687E63" w14:textId="77777777" w:rsidTr="009D14FB">
        <w:tc>
          <w:tcPr>
            <w:tcW w:w="800" w:type="dxa"/>
            <w:shd w:val="solid" w:color="FFFFFF" w:fill="auto"/>
          </w:tcPr>
          <w:p w14:paraId="0AF1A4E2"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34F3921"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14FAEAF"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28ED479E" w14:textId="77777777" w:rsidR="00D40151" w:rsidRPr="00873B6C" w:rsidRDefault="00D40151" w:rsidP="009D14FB">
            <w:pPr>
              <w:pStyle w:val="TAL"/>
              <w:rPr>
                <w:sz w:val="16"/>
                <w:szCs w:val="16"/>
              </w:rPr>
            </w:pPr>
            <w:r w:rsidRPr="00873B6C">
              <w:rPr>
                <w:sz w:val="16"/>
                <w:szCs w:val="16"/>
              </w:rPr>
              <w:t>0712</w:t>
            </w:r>
          </w:p>
        </w:tc>
        <w:tc>
          <w:tcPr>
            <w:tcW w:w="425" w:type="dxa"/>
            <w:shd w:val="solid" w:color="FFFFFF" w:fill="auto"/>
          </w:tcPr>
          <w:p w14:paraId="31E13C49" w14:textId="42C92771" w:rsidR="00D40151" w:rsidRPr="00873B6C" w:rsidRDefault="00704A9E" w:rsidP="009D14FB">
            <w:pPr>
              <w:pStyle w:val="TAL"/>
              <w:rPr>
                <w:sz w:val="16"/>
                <w:szCs w:val="16"/>
              </w:rPr>
            </w:pPr>
            <w:r w:rsidRPr="00873B6C">
              <w:rPr>
                <w:sz w:val="16"/>
                <w:szCs w:val="16"/>
              </w:rPr>
              <w:t xml:space="preserve"> </w:t>
            </w:r>
            <w:r w:rsidR="00D40151" w:rsidRPr="00873B6C">
              <w:rPr>
                <w:sz w:val="16"/>
                <w:szCs w:val="16"/>
              </w:rPr>
              <w:t>2</w:t>
            </w:r>
          </w:p>
        </w:tc>
        <w:tc>
          <w:tcPr>
            <w:tcW w:w="425" w:type="dxa"/>
            <w:shd w:val="solid" w:color="FFFFFF" w:fill="auto"/>
          </w:tcPr>
          <w:p w14:paraId="28D285B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60F5CE" w14:textId="77777777" w:rsidR="00D40151" w:rsidRPr="00873B6C" w:rsidRDefault="00D40151" w:rsidP="009D14FB">
            <w:pPr>
              <w:pStyle w:val="TAL"/>
              <w:rPr>
                <w:sz w:val="16"/>
                <w:szCs w:val="16"/>
              </w:rPr>
            </w:pPr>
            <w:r w:rsidRPr="00873B6C">
              <w:rPr>
                <w:sz w:val="16"/>
                <w:szCs w:val="16"/>
              </w:rPr>
              <w:t>Providing a threshold to UPF while waiting for quota</w:t>
            </w:r>
          </w:p>
        </w:tc>
        <w:tc>
          <w:tcPr>
            <w:tcW w:w="708" w:type="dxa"/>
            <w:shd w:val="solid" w:color="FFFFFF" w:fill="auto"/>
          </w:tcPr>
          <w:p w14:paraId="35C2B362" w14:textId="77777777" w:rsidR="00D40151" w:rsidRPr="00873B6C" w:rsidRDefault="00D40151" w:rsidP="009D14FB">
            <w:pPr>
              <w:pStyle w:val="TAC"/>
              <w:rPr>
                <w:sz w:val="16"/>
                <w:szCs w:val="16"/>
              </w:rPr>
            </w:pPr>
            <w:r w:rsidRPr="00873B6C">
              <w:rPr>
                <w:sz w:val="16"/>
                <w:szCs w:val="16"/>
              </w:rPr>
              <w:t>15.4.0</w:t>
            </w:r>
          </w:p>
        </w:tc>
      </w:tr>
      <w:tr w:rsidR="00D40151" w:rsidRPr="00873B6C" w14:paraId="18522074" w14:textId="77777777" w:rsidTr="009D14FB">
        <w:tc>
          <w:tcPr>
            <w:tcW w:w="800" w:type="dxa"/>
            <w:shd w:val="solid" w:color="FFFFFF" w:fill="auto"/>
          </w:tcPr>
          <w:p w14:paraId="08C54FE5"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496B2F3"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45BD4F0"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0204F207" w14:textId="77777777" w:rsidR="00D40151" w:rsidRPr="00873B6C" w:rsidRDefault="00D40151" w:rsidP="009D14FB">
            <w:pPr>
              <w:pStyle w:val="TAL"/>
              <w:rPr>
                <w:sz w:val="16"/>
                <w:szCs w:val="16"/>
              </w:rPr>
            </w:pPr>
            <w:r w:rsidRPr="00873B6C">
              <w:rPr>
                <w:sz w:val="16"/>
                <w:szCs w:val="16"/>
              </w:rPr>
              <w:t>0713</w:t>
            </w:r>
          </w:p>
        </w:tc>
        <w:tc>
          <w:tcPr>
            <w:tcW w:w="425" w:type="dxa"/>
            <w:shd w:val="solid" w:color="FFFFFF" w:fill="auto"/>
          </w:tcPr>
          <w:p w14:paraId="12C5AD5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496CD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6205FD" w14:textId="77777777" w:rsidR="00D40151" w:rsidRPr="00873B6C" w:rsidRDefault="00D40151" w:rsidP="009D14FB">
            <w:pPr>
              <w:pStyle w:val="TAL"/>
              <w:rPr>
                <w:sz w:val="16"/>
                <w:szCs w:val="16"/>
              </w:rPr>
            </w:pPr>
            <w:r w:rsidRPr="00873B6C">
              <w:rPr>
                <w:sz w:val="16"/>
                <w:szCs w:val="16"/>
              </w:rPr>
              <w:t>Corrections to usage of IP index</w:t>
            </w:r>
          </w:p>
        </w:tc>
        <w:tc>
          <w:tcPr>
            <w:tcW w:w="708" w:type="dxa"/>
            <w:shd w:val="solid" w:color="FFFFFF" w:fill="auto"/>
          </w:tcPr>
          <w:p w14:paraId="138CB6EB" w14:textId="77777777" w:rsidR="00D40151" w:rsidRPr="00873B6C" w:rsidRDefault="00D40151" w:rsidP="009D14FB">
            <w:pPr>
              <w:pStyle w:val="TAC"/>
              <w:rPr>
                <w:sz w:val="16"/>
                <w:szCs w:val="16"/>
              </w:rPr>
            </w:pPr>
            <w:r w:rsidRPr="00873B6C">
              <w:rPr>
                <w:sz w:val="16"/>
                <w:szCs w:val="16"/>
              </w:rPr>
              <w:t>15.4.0</w:t>
            </w:r>
          </w:p>
        </w:tc>
      </w:tr>
      <w:tr w:rsidR="00D40151" w:rsidRPr="00873B6C" w14:paraId="4536C720" w14:textId="77777777" w:rsidTr="009D14FB">
        <w:tc>
          <w:tcPr>
            <w:tcW w:w="800" w:type="dxa"/>
            <w:shd w:val="solid" w:color="FFFFFF" w:fill="auto"/>
          </w:tcPr>
          <w:p w14:paraId="21B3B5C5"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650FFD1"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C729FB5"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0465D818" w14:textId="77777777" w:rsidR="00D40151" w:rsidRPr="00873B6C" w:rsidRDefault="00D40151" w:rsidP="009D14FB">
            <w:pPr>
              <w:pStyle w:val="TAL"/>
              <w:rPr>
                <w:sz w:val="16"/>
                <w:szCs w:val="16"/>
              </w:rPr>
            </w:pPr>
            <w:r w:rsidRPr="00873B6C">
              <w:rPr>
                <w:sz w:val="16"/>
                <w:szCs w:val="16"/>
              </w:rPr>
              <w:t>0716</w:t>
            </w:r>
          </w:p>
        </w:tc>
        <w:tc>
          <w:tcPr>
            <w:tcW w:w="425" w:type="dxa"/>
            <w:shd w:val="solid" w:color="FFFFFF" w:fill="auto"/>
          </w:tcPr>
          <w:p w14:paraId="521FD59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5165D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BC78C5" w14:textId="77777777" w:rsidR="00D40151" w:rsidRPr="00873B6C" w:rsidRDefault="00D40151" w:rsidP="009D14FB">
            <w:pPr>
              <w:pStyle w:val="TAL"/>
              <w:rPr>
                <w:sz w:val="16"/>
                <w:szCs w:val="16"/>
              </w:rPr>
            </w:pPr>
            <w:r w:rsidRPr="00873B6C">
              <w:rPr>
                <w:sz w:val="16"/>
                <w:szCs w:val="16"/>
              </w:rPr>
              <w:t>Clarification on OVERLOAD behaviour for the EUTRA connected to 5GC</w:t>
            </w:r>
          </w:p>
        </w:tc>
        <w:tc>
          <w:tcPr>
            <w:tcW w:w="708" w:type="dxa"/>
            <w:shd w:val="solid" w:color="FFFFFF" w:fill="auto"/>
          </w:tcPr>
          <w:p w14:paraId="4C71CF9E" w14:textId="77777777" w:rsidR="00D40151" w:rsidRPr="00873B6C" w:rsidRDefault="00D40151" w:rsidP="009D14FB">
            <w:pPr>
              <w:pStyle w:val="TAC"/>
              <w:rPr>
                <w:sz w:val="16"/>
                <w:szCs w:val="16"/>
              </w:rPr>
            </w:pPr>
            <w:r w:rsidRPr="00873B6C">
              <w:rPr>
                <w:sz w:val="16"/>
                <w:szCs w:val="16"/>
              </w:rPr>
              <w:t>15.4.0</w:t>
            </w:r>
          </w:p>
        </w:tc>
      </w:tr>
      <w:tr w:rsidR="00D40151" w:rsidRPr="00873B6C" w14:paraId="5377DE3B" w14:textId="77777777" w:rsidTr="009D14FB">
        <w:tc>
          <w:tcPr>
            <w:tcW w:w="800" w:type="dxa"/>
            <w:shd w:val="solid" w:color="FFFFFF" w:fill="auto"/>
          </w:tcPr>
          <w:p w14:paraId="6181F196"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11DF4F6"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54B69AC"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392198F7" w14:textId="77777777" w:rsidR="00D40151" w:rsidRPr="00873B6C" w:rsidRDefault="00D40151" w:rsidP="009D14FB">
            <w:pPr>
              <w:pStyle w:val="TAL"/>
              <w:rPr>
                <w:sz w:val="16"/>
                <w:szCs w:val="16"/>
              </w:rPr>
            </w:pPr>
            <w:r w:rsidRPr="00873B6C">
              <w:rPr>
                <w:sz w:val="16"/>
                <w:szCs w:val="16"/>
              </w:rPr>
              <w:t>0719</w:t>
            </w:r>
          </w:p>
        </w:tc>
        <w:tc>
          <w:tcPr>
            <w:tcW w:w="425" w:type="dxa"/>
            <w:shd w:val="solid" w:color="FFFFFF" w:fill="auto"/>
          </w:tcPr>
          <w:p w14:paraId="58F61F6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51EE2C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EE762F" w14:textId="77777777" w:rsidR="00D40151" w:rsidRPr="00873B6C" w:rsidRDefault="00D40151" w:rsidP="009D14FB">
            <w:pPr>
              <w:pStyle w:val="TAL"/>
              <w:rPr>
                <w:sz w:val="16"/>
                <w:szCs w:val="16"/>
              </w:rPr>
            </w:pPr>
            <w:r w:rsidRPr="00873B6C">
              <w:rPr>
                <w:sz w:val="16"/>
                <w:szCs w:val="16"/>
              </w:rPr>
              <w:t>Clarification on Registration with AMF re-allocation</w:t>
            </w:r>
          </w:p>
        </w:tc>
        <w:tc>
          <w:tcPr>
            <w:tcW w:w="708" w:type="dxa"/>
            <w:shd w:val="solid" w:color="FFFFFF" w:fill="auto"/>
          </w:tcPr>
          <w:p w14:paraId="2338C204" w14:textId="77777777" w:rsidR="00D40151" w:rsidRPr="00873B6C" w:rsidRDefault="00D40151" w:rsidP="009D14FB">
            <w:pPr>
              <w:pStyle w:val="TAC"/>
              <w:rPr>
                <w:sz w:val="16"/>
                <w:szCs w:val="16"/>
              </w:rPr>
            </w:pPr>
            <w:r w:rsidRPr="00873B6C">
              <w:rPr>
                <w:sz w:val="16"/>
                <w:szCs w:val="16"/>
              </w:rPr>
              <w:t>15.4.0</w:t>
            </w:r>
          </w:p>
        </w:tc>
      </w:tr>
      <w:tr w:rsidR="00D40151" w:rsidRPr="00873B6C" w14:paraId="5A772EE3" w14:textId="77777777" w:rsidTr="009D14FB">
        <w:tc>
          <w:tcPr>
            <w:tcW w:w="800" w:type="dxa"/>
            <w:shd w:val="solid" w:color="FFFFFF" w:fill="auto"/>
          </w:tcPr>
          <w:p w14:paraId="389561E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5DA17B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ACD7D50"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284D1CC3" w14:textId="77777777" w:rsidR="00D40151" w:rsidRPr="00873B6C" w:rsidRDefault="00D40151" w:rsidP="009D14FB">
            <w:pPr>
              <w:pStyle w:val="TAL"/>
              <w:rPr>
                <w:sz w:val="16"/>
                <w:szCs w:val="16"/>
              </w:rPr>
            </w:pPr>
            <w:r w:rsidRPr="00873B6C">
              <w:rPr>
                <w:sz w:val="16"/>
                <w:szCs w:val="16"/>
              </w:rPr>
              <w:t>0720</w:t>
            </w:r>
          </w:p>
        </w:tc>
        <w:tc>
          <w:tcPr>
            <w:tcW w:w="425" w:type="dxa"/>
            <w:shd w:val="solid" w:color="FFFFFF" w:fill="auto"/>
          </w:tcPr>
          <w:p w14:paraId="31552F3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C0245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320403" w14:textId="77777777" w:rsidR="00D40151" w:rsidRPr="00873B6C" w:rsidRDefault="00D40151" w:rsidP="009D14FB">
            <w:pPr>
              <w:pStyle w:val="TAL"/>
              <w:rPr>
                <w:sz w:val="16"/>
                <w:szCs w:val="16"/>
              </w:rPr>
            </w:pPr>
            <w:r w:rsidRPr="00873B6C">
              <w:rPr>
                <w:sz w:val="16"/>
                <w:szCs w:val="16"/>
              </w:rPr>
              <w:t>PDN Disconnection handling</w:t>
            </w:r>
          </w:p>
        </w:tc>
        <w:tc>
          <w:tcPr>
            <w:tcW w:w="708" w:type="dxa"/>
            <w:shd w:val="solid" w:color="FFFFFF" w:fill="auto"/>
          </w:tcPr>
          <w:p w14:paraId="0FD0DB3B" w14:textId="77777777" w:rsidR="00D40151" w:rsidRPr="00873B6C" w:rsidRDefault="00D40151" w:rsidP="009D14FB">
            <w:pPr>
              <w:pStyle w:val="TAC"/>
              <w:rPr>
                <w:sz w:val="16"/>
                <w:szCs w:val="16"/>
              </w:rPr>
            </w:pPr>
            <w:r w:rsidRPr="00873B6C">
              <w:rPr>
                <w:sz w:val="16"/>
                <w:szCs w:val="16"/>
              </w:rPr>
              <w:t>15.4.0</w:t>
            </w:r>
          </w:p>
        </w:tc>
      </w:tr>
      <w:tr w:rsidR="00D40151" w:rsidRPr="00873B6C" w14:paraId="36D2F890" w14:textId="77777777" w:rsidTr="009D14FB">
        <w:tc>
          <w:tcPr>
            <w:tcW w:w="800" w:type="dxa"/>
            <w:shd w:val="solid" w:color="FFFFFF" w:fill="auto"/>
          </w:tcPr>
          <w:p w14:paraId="294EAD1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A53BB33"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9417DEE"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3088C43E" w14:textId="77777777" w:rsidR="00D40151" w:rsidRPr="00873B6C" w:rsidRDefault="00D40151" w:rsidP="009D14FB">
            <w:pPr>
              <w:pStyle w:val="TAL"/>
              <w:rPr>
                <w:sz w:val="16"/>
                <w:szCs w:val="16"/>
              </w:rPr>
            </w:pPr>
            <w:r w:rsidRPr="00873B6C">
              <w:rPr>
                <w:sz w:val="16"/>
                <w:szCs w:val="16"/>
              </w:rPr>
              <w:t>0721</w:t>
            </w:r>
          </w:p>
        </w:tc>
        <w:tc>
          <w:tcPr>
            <w:tcW w:w="425" w:type="dxa"/>
            <w:shd w:val="solid" w:color="FFFFFF" w:fill="auto"/>
          </w:tcPr>
          <w:p w14:paraId="09DD3B8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7410B4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5956FC" w14:textId="096EFF15" w:rsidR="00D40151" w:rsidRPr="00873B6C" w:rsidRDefault="00D40151" w:rsidP="009D14FB">
            <w:pPr>
              <w:pStyle w:val="TAL"/>
              <w:rPr>
                <w:sz w:val="16"/>
                <w:szCs w:val="16"/>
              </w:rPr>
            </w:pPr>
            <w:r w:rsidRPr="00873B6C">
              <w:rPr>
                <w:sz w:val="16"/>
                <w:szCs w:val="16"/>
              </w:rPr>
              <w:t>Always on Setting for the</w:t>
            </w:r>
            <w:r w:rsidR="00704A9E" w:rsidRPr="00873B6C">
              <w:rPr>
                <w:sz w:val="16"/>
                <w:szCs w:val="16"/>
              </w:rPr>
              <w:t xml:space="preserve"> </w:t>
            </w:r>
            <w:r w:rsidRPr="00873B6C">
              <w:rPr>
                <w:sz w:val="16"/>
                <w:szCs w:val="16"/>
              </w:rPr>
              <w:t>EBI allocated PDU Session</w:t>
            </w:r>
          </w:p>
        </w:tc>
        <w:tc>
          <w:tcPr>
            <w:tcW w:w="708" w:type="dxa"/>
            <w:shd w:val="solid" w:color="FFFFFF" w:fill="auto"/>
          </w:tcPr>
          <w:p w14:paraId="2F6AFF5A" w14:textId="77777777" w:rsidR="00D40151" w:rsidRPr="00873B6C" w:rsidRDefault="00D40151" w:rsidP="009D14FB">
            <w:pPr>
              <w:pStyle w:val="TAC"/>
              <w:rPr>
                <w:sz w:val="16"/>
                <w:szCs w:val="16"/>
              </w:rPr>
            </w:pPr>
            <w:r w:rsidRPr="00873B6C">
              <w:rPr>
                <w:sz w:val="16"/>
                <w:szCs w:val="16"/>
              </w:rPr>
              <w:t>15.4.0</w:t>
            </w:r>
          </w:p>
        </w:tc>
      </w:tr>
      <w:tr w:rsidR="00D40151" w:rsidRPr="00873B6C" w14:paraId="45C52DDB" w14:textId="77777777" w:rsidTr="009D14FB">
        <w:tc>
          <w:tcPr>
            <w:tcW w:w="800" w:type="dxa"/>
            <w:shd w:val="solid" w:color="FFFFFF" w:fill="auto"/>
          </w:tcPr>
          <w:p w14:paraId="5696701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4583DD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84A10A4"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3C6D36C0" w14:textId="77777777" w:rsidR="00D40151" w:rsidRPr="00873B6C" w:rsidRDefault="00D40151" w:rsidP="009D14FB">
            <w:pPr>
              <w:pStyle w:val="TAL"/>
              <w:rPr>
                <w:sz w:val="16"/>
                <w:szCs w:val="16"/>
              </w:rPr>
            </w:pPr>
            <w:r w:rsidRPr="00873B6C">
              <w:rPr>
                <w:sz w:val="16"/>
                <w:szCs w:val="16"/>
              </w:rPr>
              <w:t>0722</w:t>
            </w:r>
          </w:p>
        </w:tc>
        <w:tc>
          <w:tcPr>
            <w:tcW w:w="425" w:type="dxa"/>
            <w:shd w:val="solid" w:color="FFFFFF" w:fill="auto"/>
          </w:tcPr>
          <w:p w14:paraId="44DA2F0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14BF4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F424A4" w14:textId="77777777" w:rsidR="00D40151" w:rsidRPr="00873B6C" w:rsidRDefault="00D40151" w:rsidP="009D14FB">
            <w:pPr>
              <w:pStyle w:val="TAL"/>
              <w:rPr>
                <w:sz w:val="16"/>
                <w:szCs w:val="16"/>
              </w:rPr>
            </w:pPr>
            <w:r w:rsidRPr="00873B6C">
              <w:rPr>
                <w:sz w:val="16"/>
                <w:szCs w:val="16"/>
              </w:rPr>
              <w:t>Clarification on packet filter handling</w:t>
            </w:r>
          </w:p>
        </w:tc>
        <w:tc>
          <w:tcPr>
            <w:tcW w:w="708" w:type="dxa"/>
            <w:shd w:val="solid" w:color="FFFFFF" w:fill="auto"/>
          </w:tcPr>
          <w:p w14:paraId="062EA038" w14:textId="77777777" w:rsidR="00D40151" w:rsidRPr="00873B6C" w:rsidRDefault="00D40151" w:rsidP="009D14FB">
            <w:pPr>
              <w:pStyle w:val="TAC"/>
              <w:rPr>
                <w:sz w:val="16"/>
                <w:szCs w:val="16"/>
              </w:rPr>
            </w:pPr>
            <w:r w:rsidRPr="00873B6C">
              <w:rPr>
                <w:sz w:val="16"/>
                <w:szCs w:val="16"/>
              </w:rPr>
              <w:t>15.4.0</w:t>
            </w:r>
          </w:p>
        </w:tc>
      </w:tr>
      <w:tr w:rsidR="00D40151" w:rsidRPr="00873B6C" w14:paraId="3CE40B23" w14:textId="77777777" w:rsidTr="009D14FB">
        <w:tc>
          <w:tcPr>
            <w:tcW w:w="800" w:type="dxa"/>
            <w:shd w:val="solid" w:color="FFFFFF" w:fill="auto"/>
          </w:tcPr>
          <w:p w14:paraId="387CF629"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CFC674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A13B7BB"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117C7B12" w14:textId="77777777" w:rsidR="00D40151" w:rsidRPr="00873B6C" w:rsidRDefault="00D40151" w:rsidP="009D14FB">
            <w:pPr>
              <w:pStyle w:val="TAL"/>
              <w:rPr>
                <w:sz w:val="16"/>
                <w:szCs w:val="16"/>
              </w:rPr>
            </w:pPr>
            <w:r w:rsidRPr="00873B6C">
              <w:rPr>
                <w:sz w:val="16"/>
                <w:szCs w:val="16"/>
              </w:rPr>
              <w:t>0723</w:t>
            </w:r>
          </w:p>
        </w:tc>
        <w:tc>
          <w:tcPr>
            <w:tcW w:w="425" w:type="dxa"/>
            <w:shd w:val="solid" w:color="FFFFFF" w:fill="auto"/>
          </w:tcPr>
          <w:p w14:paraId="6F8A17DC"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FC2473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32B8DB" w14:textId="77777777" w:rsidR="00D40151" w:rsidRPr="00873B6C" w:rsidRDefault="00D40151" w:rsidP="009D14FB">
            <w:pPr>
              <w:pStyle w:val="TAL"/>
              <w:rPr>
                <w:sz w:val="16"/>
                <w:szCs w:val="16"/>
              </w:rPr>
            </w:pPr>
            <w:r w:rsidRPr="00873B6C">
              <w:rPr>
                <w:sz w:val="16"/>
                <w:szCs w:val="16"/>
              </w:rPr>
              <w:t>Clarify for PDB of dynamically assigned 5QI</w:t>
            </w:r>
          </w:p>
        </w:tc>
        <w:tc>
          <w:tcPr>
            <w:tcW w:w="708" w:type="dxa"/>
            <w:shd w:val="solid" w:color="FFFFFF" w:fill="auto"/>
          </w:tcPr>
          <w:p w14:paraId="63EAAC62" w14:textId="77777777" w:rsidR="00D40151" w:rsidRPr="00873B6C" w:rsidRDefault="00D40151" w:rsidP="009D14FB">
            <w:pPr>
              <w:pStyle w:val="TAC"/>
              <w:rPr>
                <w:sz w:val="16"/>
                <w:szCs w:val="16"/>
              </w:rPr>
            </w:pPr>
            <w:r w:rsidRPr="00873B6C">
              <w:rPr>
                <w:sz w:val="16"/>
                <w:szCs w:val="16"/>
              </w:rPr>
              <w:t>15.4.0</w:t>
            </w:r>
          </w:p>
        </w:tc>
      </w:tr>
      <w:tr w:rsidR="00D40151" w:rsidRPr="00873B6C" w14:paraId="722CA059" w14:textId="77777777" w:rsidTr="009D14FB">
        <w:tc>
          <w:tcPr>
            <w:tcW w:w="800" w:type="dxa"/>
            <w:shd w:val="solid" w:color="FFFFFF" w:fill="auto"/>
          </w:tcPr>
          <w:p w14:paraId="138C07E6"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E17AF4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DAC6E37" w14:textId="77777777" w:rsidR="00D40151" w:rsidRPr="00873B6C" w:rsidRDefault="00D40151" w:rsidP="009D14FB">
            <w:pPr>
              <w:pStyle w:val="TAC"/>
              <w:rPr>
                <w:sz w:val="16"/>
                <w:szCs w:val="16"/>
              </w:rPr>
            </w:pPr>
            <w:r w:rsidRPr="00873B6C">
              <w:rPr>
                <w:sz w:val="16"/>
                <w:szCs w:val="16"/>
              </w:rPr>
              <w:t>SP-181091</w:t>
            </w:r>
          </w:p>
        </w:tc>
        <w:tc>
          <w:tcPr>
            <w:tcW w:w="567" w:type="dxa"/>
            <w:shd w:val="solid" w:color="FFFFFF" w:fill="auto"/>
          </w:tcPr>
          <w:p w14:paraId="0B0D2700" w14:textId="77777777" w:rsidR="00D40151" w:rsidRPr="00873B6C" w:rsidRDefault="00D40151" w:rsidP="009D14FB">
            <w:pPr>
              <w:pStyle w:val="TAL"/>
              <w:rPr>
                <w:sz w:val="16"/>
                <w:szCs w:val="16"/>
              </w:rPr>
            </w:pPr>
            <w:r w:rsidRPr="00873B6C">
              <w:rPr>
                <w:sz w:val="16"/>
                <w:szCs w:val="16"/>
              </w:rPr>
              <w:t>0724</w:t>
            </w:r>
          </w:p>
        </w:tc>
        <w:tc>
          <w:tcPr>
            <w:tcW w:w="425" w:type="dxa"/>
            <w:shd w:val="solid" w:color="FFFFFF" w:fill="auto"/>
          </w:tcPr>
          <w:p w14:paraId="129DD79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644B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C03EB9" w14:textId="77777777" w:rsidR="00D40151" w:rsidRPr="00873B6C" w:rsidRDefault="00D40151" w:rsidP="009D14FB">
            <w:pPr>
              <w:pStyle w:val="TAL"/>
              <w:rPr>
                <w:sz w:val="16"/>
                <w:szCs w:val="16"/>
              </w:rPr>
            </w:pPr>
            <w:r w:rsidRPr="00873B6C">
              <w:rPr>
                <w:sz w:val="16"/>
                <w:szCs w:val="16"/>
              </w:rPr>
              <w:t>Update the UCU procedure with operator-defined access category definitions</w:t>
            </w:r>
          </w:p>
        </w:tc>
        <w:tc>
          <w:tcPr>
            <w:tcW w:w="708" w:type="dxa"/>
            <w:shd w:val="solid" w:color="FFFFFF" w:fill="auto"/>
          </w:tcPr>
          <w:p w14:paraId="70331153" w14:textId="77777777" w:rsidR="00D40151" w:rsidRPr="00873B6C" w:rsidRDefault="00D40151" w:rsidP="009D14FB">
            <w:pPr>
              <w:pStyle w:val="TAC"/>
              <w:rPr>
                <w:sz w:val="16"/>
                <w:szCs w:val="16"/>
              </w:rPr>
            </w:pPr>
            <w:r w:rsidRPr="00873B6C">
              <w:rPr>
                <w:sz w:val="16"/>
                <w:szCs w:val="16"/>
              </w:rPr>
              <w:t>15.4.0</w:t>
            </w:r>
          </w:p>
        </w:tc>
      </w:tr>
      <w:tr w:rsidR="00D40151" w:rsidRPr="00873B6C" w14:paraId="7342B7D8" w14:textId="77777777" w:rsidTr="009D14FB">
        <w:tc>
          <w:tcPr>
            <w:tcW w:w="800" w:type="dxa"/>
            <w:shd w:val="solid" w:color="FFFFFF" w:fill="auto"/>
          </w:tcPr>
          <w:p w14:paraId="351078A2"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3F0B3E5"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4323840"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25A4C3D9" w14:textId="77777777" w:rsidR="00D40151" w:rsidRPr="00873B6C" w:rsidRDefault="00D40151" w:rsidP="009D14FB">
            <w:pPr>
              <w:pStyle w:val="TAL"/>
              <w:rPr>
                <w:sz w:val="16"/>
                <w:szCs w:val="16"/>
              </w:rPr>
            </w:pPr>
            <w:r w:rsidRPr="00873B6C">
              <w:rPr>
                <w:sz w:val="16"/>
                <w:szCs w:val="16"/>
              </w:rPr>
              <w:t>0725</w:t>
            </w:r>
          </w:p>
        </w:tc>
        <w:tc>
          <w:tcPr>
            <w:tcW w:w="425" w:type="dxa"/>
            <w:shd w:val="solid" w:color="FFFFFF" w:fill="auto"/>
          </w:tcPr>
          <w:p w14:paraId="3CFA121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09476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9632DB" w14:textId="77777777" w:rsidR="00D40151" w:rsidRPr="00873B6C" w:rsidRDefault="00D40151" w:rsidP="009D14FB">
            <w:pPr>
              <w:pStyle w:val="TAL"/>
              <w:rPr>
                <w:sz w:val="16"/>
                <w:szCs w:val="16"/>
              </w:rPr>
            </w:pPr>
            <w:r w:rsidRPr="00873B6C">
              <w:rPr>
                <w:sz w:val="16"/>
                <w:szCs w:val="16"/>
              </w:rPr>
              <w:t>Correction of VLAN ID</w:t>
            </w:r>
          </w:p>
        </w:tc>
        <w:tc>
          <w:tcPr>
            <w:tcW w:w="708" w:type="dxa"/>
            <w:shd w:val="solid" w:color="FFFFFF" w:fill="auto"/>
          </w:tcPr>
          <w:p w14:paraId="2F29D7A6" w14:textId="77777777" w:rsidR="00D40151" w:rsidRPr="00873B6C" w:rsidRDefault="00D40151" w:rsidP="009D14FB">
            <w:pPr>
              <w:pStyle w:val="TAC"/>
              <w:rPr>
                <w:sz w:val="16"/>
                <w:szCs w:val="16"/>
              </w:rPr>
            </w:pPr>
            <w:r w:rsidRPr="00873B6C">
              <w:rPr>
                <w:sz w:val="16"/>
                <w:szCs w:val="16"/>
              </w:rPr>
              <w:t>15.4.0</w:t>
            </w:r>
          </w:p>
        </w:tc>
      </w:tr>
      <w:tr w:rsidR="00D40151" w:rsidRPr="00873B6C" w14:paraId="7CCC4497" w14:textId="77777777" w:rsidTr="009D14FB">
        <w:tc>
          <w:tcPr>
            <w:tcW w:w="800" w:type="dxa"/>
            <w:shd w:val="solid" w:color="FFFFFF" w:fill="auto"/>
          </w:tcPr>
          <w:p w14:paraId="6193D0AE"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EB97CBF"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CF3ADEA"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1B63ADAC" w14:textId="77777777" w:rsidR="00D40151" w:rsidRPr="00873B6C" w:rsidRDefault="00D40151" w:rsidP="009D14FB">
            <w:pPr>
              <w:pStyle w:val="TAL"/>
              <w:rPr>
                <w:sz w:val="16"/>
                <w:szCs w:val="16"/>
              </w:rPr>
            </w:pPr>
            <w:r w:rsidRPr="00873B6C">
              <w:rPr>
                <w:sz w:val="16"/>
                <w:szCs w:val="16"/>
              </w:rPr>
              <w:t>0726</w:t>
            </w:r>
          </w:p>
        </w:tc>
        <w:tc>
          <w:tcPr>
            <w:tcW w:w="425" w:type="dxa"/>
            <w:shd w:val="solid" w:color="FFFFFF" w:fill="auto"/>
          </w:tcPr>
          <w:p w14:paraId="5A0A53C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93D179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BFDAD3" w14:textId="77777777" w:rsidR="00D40151" w:rsidRPr="00873B6C" w:rsidRDefault="00D40151" w:rsidP="009D14FB">
            <w:pPr>
              <w:pStyle w:val="TAL"/>
              <w:rPr>
                <w:sz w:val="16"/>
                <w:szCs w:val="16"/>
              </w:rPr>
            </w:pPr>
            <w:r w:rsidRPr="00873B6C">
              <w:rPr>
                <w:sz w:val="16"/>
                <w:szCs w:val="16"/>
              </w:rPr>
              <w:t>Clarification on DN authorization data between PCF and SMF</w:t>
            </w:r>
          </w:p>
        </w:tc>
        <w:tc>
          <w:tcPr>
            <w:tcW w:w="708" w:type="dxa"/>
            <w:shd w:val="solid" w:color="FFFFFF" w:fill="auto"/>
          </w:tcPr>
          <w:p w14:paraId="363A7CA3" w14:textId="77777777" w:rsidR="00D40151" w:rsidRPr="00873B6C" w:rsidRDefault="00D40151" w:rsidP="009D14FB">
            <w:pPr>
              <w:pStyle w:val="TAC"/>
              <w:rPr>
                <w:sz w:val="16"/>
                <w:szCs w:val="16"/>
              </w:rPr>
            </w:pPr>
            <w:r w:rsidRPr="00873B6C">
              <w:rPr>
                <w:sz w:val="16"/>
                <w:szCs w:val="16"/>
              </w:rPr>
              <w:t>15.4.0</w:t>
            </w:r>
          </w:p>
        </w:tc>
      </w:tr>
      <w:tr w:rsidR="00D40151" w:rsidRPr="00873B6C" w14:paraId="2BA7B7AF" w14:textId="77777777" w:rsidTr="009D14FB">
        <w:tc>
          <w:tcPr>
            <w:tcW w:w="800" w:type="dxa"/>
            <w:shd w:val="solid" w:color="FFFFFF" w:fill="auto"/>
          </w:tcPr>
          <w:p w14:paraId="43704AB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5EF440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712339D"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6052CACD" w14:textId="77777777" w:rsidR="00D40151" w:rsidRPr="00873B6C" w:rsidRDefault="00D40151" w:rsidP="009D14FB">
            <w:pPr>
              <w:pStyle w:val="TAL"/>
              <w:rPr>
                <w:sz w:val="16"/>
                <w:szCs w:val="16"/>
              </w:rPr>
            </w:pPr>
            <w:r w:rsidRPr="00873B6C">
              <w:rPr>
                <w:sz w:val="16"/>
                <w:szCs w:val="16"/>
              </w:rPr>
              <w:t>0730</w:t>
            </w:r>
          </w:p>
        </w:tc>
        <w:tc>
          <w:tcPr>
            <w:tcW w:w="425" w:type="dxa"/>
            <w:shd w:val="solid" w:color="FFFFFF" w:fill="auto"/>
          </w:tcPr>
          <w:p w14:paraId="633B003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9847E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E9344E" w14:textId="77777777" w:rsidR="00D40151" w:rsidRPr="00873B6C" w:rsidRDefault="00D40151" w:rsidP="009D14FB">
            <w:pPr>
              <w:pStyle w:val="TAL"/>
              <w:rPr>
                <w:sz w:val="16"/>
                <w:szCs w:val="16"/>
              </w:rPr>
            </w:pPr>
            <w:r w:rsidRPr="00873B6C">
              <w:rPr>
                <w:sz w:val="16"/>
                <w:szCs w:val="16"/>
              </w:rPr>
              <w:t>Addition of URRP-AMF definition</w:t>
            </w:r>
          </w:p>
        </w:tc>
        <w:tc>
          <w:tcPr>
            <w:tcW w:w="708" w:type="dxa"/>
            <w:shd w:val="solid" w:color="FFFFFF" w:fill="auto"/>
          </w:tcPr>
          <w:p w14:paraId="7F885166" w14:textId="77777777" w:rsidR="00D40151" w:rsidRPr="00873B6C" w:rsidRDefault="00D40151" w:rsidP="009D14FB">
            <w:pPr>
              <w:pStyle w:val="TAC"/>
              <w:rPr>
                <w:sz w:val="16"/>
                <w:szCs w:val="16"/>
              </w:rPr>
            </w:pPr>
            <w:r w:rsidRPr="00873B6C">
              <w:rPr>
                <w:sz w:val="16"/>
                <w:szCs w:val="16"/>
              </w:rPr>
              <w:t>15.4.0</w:t>
            </w:r>
          </w:p>
        </w:tc>
      </w:tr>
      <w:tr w:rsidR="00D40151" w:rsidRPr="00873B6C" w14:paraId="2752B7B8" w14:textId="77777777" w:rsidTr="009D14FB">
        <w:tc>
          <w:tcPr>
            <w:tcW w:w="800" w:type="dxa"/>
            <w:shd w:val="solid" w:color="FFFFFF" w:fill="auto"/>
          </w:tcPr>
          <w:p w14:paraId="5C3E715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28EFC5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2742286"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C5D44FF" w14:textId="77777777" w:rsidR="00D40151" w:rsidRPr="00873B6C" w:rsidRDefault="00D40151" w:rsidP="009D14FB">
            <w:pPr>
              <w:pStyle w:val="TAL"/>
              <w:rPr>
                <w:sz w:val="16"/>
                <w:szCs w:val="16"/>
              </w:rPr>
            </w:pPr>
            <w:r w:rsidRPr="00873B6C">
              <w:rPr>
                <w:sz w:val="16"/>
                <w:szCs w:val="16"/>
              </w:rPr>
              <w:t>0700</w:t>
            </w:r>
          </w:p>
        </w:tc>
        <w:tc>
          <w:tcPr>
            <w:tcW w:w="425" w:type="dxa"/>
            <w:shd w:val="solid" w:color="FFFFFF" w:fill="auto"/>
          </w:tcPr>
          <w:p w14:paraId="012CCE1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EEA3D7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43D4AB" w14:textId="77777777" w:rsidR="00D40151" w:rsidRPr="00873B6C" w:rsidRDefault="00D40151" w:rsidP="009D14FB">
            <w:pPr>
              <w:pStyle w:val="TAL"/>
              <w:rPr>
                <w:sz w:val="16"/>
                <w:szCs w:val="16"/>
              </w:rPr>
            </w:pPr>
            <w:r w:rsidRPr="00873B6C">
              <w:rPr>
                <w:sz w:val="16"/>
                <w:szCs w:val="16"/>
              </w:rPr>
              <w:t>Use of S-NSSAI at interworking from EPS to 5GS</w:t>
            </w:r>
          </w:p>
        </w:tc>
        <w:tc>
          <w:tcPr>
            <w:tcW w:w="708" w:type="dxa"/>
            <w:shd w:val="solid" w:color="FFFFFF" w:fill="auto"/>
          </w:tcPr>
          <w:p w14:paraId="24428771" w14:textId="77777777" w:rsidR="00D40151" w:rsidRPr="00873B6C" w:rsidRDefault="00D40151" w:rsidP="009D14FB">
            <w:pPr>
              <w:pStyle w:val="TAC"/>
              <w:rPr>
                <w:sz w:val="16"/>
                <w:szCs w:val="16"/>
              </w:rPr>
            </w:pPr>
            <w:r w:rsidRPr="00873B6C">
              <w:rPr>
                <w:sz w:val="16"/>
                <w:szCs w:val="16"/>
              </w:rPr>
              <w:t>15.5.0</w:t>
            </w:r>
          </w:p>
        </w:tc>
      </w:tr>
      <w:tr w:rsidR="00D40151" w:rsidRPr="00873B6C" w14:paraId="2E56D840" w14:textId="77777777" w:rsidTr="009D14FB">
        <w:tc>
          <w:tcPr>
            <w:tcW w:w="800" w:type="dxa"/>
            <w:shd w:val="solid" w:color="FFFFFF" w:fill="auto"/>
          </w:tcPr>
          <w:p w14:paraId="2B5ED42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FFCB7F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D2BB2D0"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2077B519" w14:textId="77777777" w:rsidR="00D40151" w:rsidRPr="00873B6C" w:rsidRDefault="00D40151" w:rsidP="009D14FB">
            <w:pPr>
              <w:pStyle w:val="TAL"/>
              <w:rPr>
                <w:sz w:val="16"/>
                <w:szCs w:val="16"/>
              </w:rPr>
            </w:pPr>
            <w:r w:rsidRPr="00873B6C">
              <w:rPr>
                <w:sz w:val="16"/>
                <w:szCs w:val="16"/>
              </w:rPr>
              <w:t>0733</w:t>
            </w:r>
          </w:p>
        </w:tc>
        <w:tc>
          <w:tcPr>
            <w:tcW w:w="425" w:type="dxa"/>
            <w:shd w:val="solid" w:color="FFFFFF" w:fill="auto"/>
          </w:tcPr>
          <w:p w14:paraId="2B6B4A4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E0CBF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18F005" w14:textId="77777777" w:rsidR="00D40151" w:rsidRPr="00873B6C" w:rsidRDefault="00D40151" w:rsidP="009D14FB">
            <w:pPr>
              <w:pStyle w:val="TAL"/>
              <w:rPr>
                <w:sz w:val="16"/>
                <w:szCs w:val="16"/>
              </w:rPr>
            </w:pPr>
            <w:r w:rsidRPr="00873B6C">
              <w:rPr>
                <w:sz w:val="16"/>
                <w:szCs w:val="16"/>
              </w:rPr>
              <w:t>Slice interworking HR mode update</w:t>
            </w:r>
          </w:p>
        </w:tc>
        <w:tc>
          <w:tcPr>
            <w:tcW w:w="708" w:type="dxa"/>
            <w:shd w:val="solid" w:color="FFFFFF" w:fill="auto"/>
          </w:tcPr>
          <w:p w14:paraId="09BCE2D6" w14:textId="77777777" w:rsidR="00D40151" w:rsidRPr="00873B6C" w:rsidRDefault="00D40151" w:rsidP="009D14FB">
            <w:pPr>
              <w:pStyle w:val="TAC"/>
              <w:rPr>
                <w:sz w:val="16"/>
                <w:szCs w:val="16"/>
              </w:rPr>
            </w:pPr>
            <w:r w:rsidRPr="00873B6C">
              <w:rPr>
                <w:sz w:val="16"/>
                <w:szCs w:val="16"/>
              </w:rPr>
              <w:t>15.5.0</w:t>
            </w:r>
          </w:p>
        </w:tc>
      </w:tr>
      <w:tr w:rsidR="00D40151" w:rsidRPr="00873B6C" w14:paraId="1E078DB7" w14:textId="77777777" w:rsidTr="009D14FB">
        <w:tc>
          <w:tcPr>
            <w:tcW w:w="800" w:type="dxa"/>
            <w:shd w:val="solid" w:color="FFFFFF" w:fill="auto"/>
          </w:tcPr>
          <w:p w14:paraId="54B2E50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E09B00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4B234D7"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43A1D62D" w14:textId="77777777" w:rsidR="00D40151" w:rsidRPr="00873B6C" w:rsidRDefault="00D40151" w:rsidP="009D14FB">
            <w:pPr>
              <w:pStyle w:val="TAL"/>
              <w:rPr>
                <w:sz w:val="16"/>
                <w:szCs w:val="16"/>
              </w:rPr>
            </w:pPr>
            <w:r w:rsidRPr="00873B6C">
              <w:rPr>
                <w:sz w:val="16"/>
                <w:szCs w:val="16"/>
              </w:rPr>
              <w:t>0741</w:t>
            </w:r>
          </w:p>
        </w:tc>
        <w:tc>
          <w:tcPr>
            <w:tcW w:w="425" w:type="dxa"/>
            <w:shd w:val="solid" w:color="FFFFFF" w:fill="auto"/>
          </w:tcPr>
          <w:p w14:paraId="32A24D6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80F03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8D435B" w14:textId="77777777" w:rsidR="00D40151" w:rsidRPr="00873B6C" w:rsidRDefault="00D40151" w:rsidP="009D14FB">
            <w:pPr>
              <w:pStyle w:val="TAL"/>
              <w:rPr>
                <w:sz w:val="16"/>
                <w:szCs w:val="16"/>
              </w:rPr>
            </w:pPr>
            <w:r w:rsidRPr="00873B6C">
              <w:rPr>
                <w:sz w:val="16"/>
                <w:szCs w:val="16"/>
              </w:rPr>
              <w:t xml:space="preserve">UDR selection </w:t>
            </w:r>
          </w:p>
        </w:tc>
        <w:tc>
          <w:tcPr>
            <w:tcW w:w="708" w:type="dxa"/>
            <w:shd w:val="solid" w:color="FFFFFF" w:fill="auto"/>
          </w:tcPr>
          <w:p w14:paraId="6E5DC2D0" w14:textId="77777777" w:rsidR="00D40151" w:rsidRPr="00873B6C" w:rsidRDefault="00D40151" w:rsidP="009D14FB">
            <w:pPr>
              <w:pStyle w:val="TAC"/>
              <w:rPr>
                <w:sz w:val="16"/>
                <w:szCs w:val="16"/>
              </w:rPr>
            </w:pPr>
            <w:r w:rsidRPr="00873B6C">
              <w:rPr>
                <w:sz w:val="16"/>
                <w:szCs w:val="16"/>
              </w:rPr>
              <w:t>15.5.0</w:t>
            </w:r>
          </w:p>
        </w:tc>
      </w:tr>
      <w:tr w:rsidR="00D40151" w:rsidRPr="00873B6C" w14:paraId="0F5DE027" w14:textId="77777777" w:rsidTr="009D14FB">
        <w:tc>
          <w:tcPr>
            <w:tcW w:w="800" w:type="dxa"/>
            <w:shd w:val="solid" w:color="FFFFFF" w:fill="auto"/>
          </w:tcPr>
          <w:p w14:paraId="22D46B8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A2E609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03CDB1E"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69AF12AB" w14:textId="77777777" w:rsidR="00D40151" w:rsidRPr="00873B6C" w:rsidRDefault="00D40151" w:rsidP="009D14FB">
            <w:pPr>
              <w:pStyle w:val="TAL"/>
              <w:rPr>
                <w:sz w:val="16"/>
                <w:szCs w:val="16"/>
              </w:rPr>
            </w:pPr>
            <w:r w:rsidRPr="00873B6C">
              <w:rPr>
                <w:sz w:val="16"/>
                <w:szCs w:val="16"/>
              </w:rPr>
              <w:t>0742</w:t>
            </w:r>
          </w:p>
        </w:tc>
        <w:tc>
          <w:tcPr>
            <w:tcW w:w="425" w:type="dxa"/>
            <w:shd w:val="solid" w:color="FFFFFF" w:fill="auto"/>
          </w:tcPr>
          <w:p w14:paraId="7C6C253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DD0C9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39EEA0" w14:textId="77777777" w:rsidR="00D40151" w:rsidRPr="00873B6C" w:rsidRDefault="00D40151" w:rsidP="009D14FB">
            <w:pPr>
              <w:pStyle w:val="TAL"/>
              <w:rPr>
                <w:sz w:val="16"/>
                <w:szCs w:val="16"/>
              </w:rPr>
            </w:pPr>
            <w:r w:rsidRPr="00873B6C">
              <w:rPr>
                <w:sz w:val="16"/>
                <w:szCs w:val="16"/>
              </w:rPr>
              <w:t>Fixing text related to discovery and selection</w:t>
            </w:r>
          </w:p>
        </w:tc>
        <w:tc>
          <w:tcPr>
            <w:tcW w:w="708" w:type="dxa"/>
            <w:shd w:val="solid" w:color="FFFFFF" w:fill="auto"/>
          </w:tcPr>
          <w:p w14:paraId="2B84592D" w14:textId="77777777" w:rsidR="00D40151" w:rsidRPr="00873B6C" w:rsidRDefault="00D40151" w:rsidP="009D14FB">
            <w:pPr>
              <w:pStyle w:val="TAC"/>
              <w:rPr>
                <w:sz w:val="16"/>
                <w:szCs w:val="16"/>
              </w:rPr>
            </w:pPr>
            <w:r w:rsidRPr="00873B6C">
              <w:rPr>
                <w:sz w:val="16"/>
                <w:szCs w:val="16"/>
              </w:rPr>
              <w:t>15.5.0</w:t>
            </w:r>
          </w:p>
        </w:tc>
      </w:tr>
      <w:tr w:rsidR="00D40151" w:rsidRPr="00873B6C" w14:paraId="597AAA64" w14:textId="77777777" w:rsidTr="009D14FB">
        <w:tc>
          <w:tcPr>
            <w:tcW w:w="800" w:type="dxa"/>
            <w:shd w:val="solid" w:color="FFFFFF" w:fill="auto"/>
          </w:tcPr>
          <w:p w14:paraId="1F6CF29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1A43E9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501DA43"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331EE0AE" w14:textId="77777777" w:rsidR="00D40151" w:rsidRPr="00873B6C" w:rsidRDefault="00D40151" w:rsidP="009D14FB">
            <w:pPr>
              <w:pStyle w:val="TAL"/>
              <w:rPr>
                <w:sz w:val="16"/>
                <w:szCs w:val="16"/>
              </w:rPr>
            </w:pPr>
            <w:r w:rsidRPr="00873B6C">
              <w:rPr>
                <w:sz w:val="16"/>
                <w:szCs w:val="16"/>
              </w:rPr>
              <w:t>0743</w:t>
            </w:r>
          </w:p>
        </w:tc>
        <w:tc>
          <w:tcPr>
            <w:tcW w:w="425" w:type="dxa"/>
            <w:shd w:val="solid" w:color="FFFFFF" w:fill="auto"/>
          </w:tcPr>
          <w:p w14:paraId="429E50B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8B97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2EE9B9" w14:textId="77777777" w:rsidR="00D40151" w:rsidRPr="00873B6C" w:rsidRDefault="00D40151" w:rsidP="009D14FB">
            <w:pPr>
              <w:pStyle w:val="TAL"/>
              <w:rPr>
                <w:sz w:val="16"/>
                <w:szCs w:val="16"/>
              </w:rPr>
            </w:pPr>
            <w:r w:rsidRPr="00873B6C">
              <w:rPr>
                <w:sz w:val="16"/>
                <w:szCs w:val="16"/>
              </w:rPr>
              <w:t>Change of the term confidence level</w:t>
            </w:r>
          </w:p>
        </w:tc>
        <w:tc>
          <w:tcPr>
            <w:tcW w:w="708" w:type="dxa"/>
            <w:shd w:val="solid" w:color="FFFFFF" w:fill="auto"/>
          </w:tcPr>
          <w:p w14:paraId="0EC93ECB" w14:textId="77777777" w:rsidR="00D40151" w:rsidRPr="00873B6C" w:rsidRDefault="00D40151" w:rsidP="009D14FB">
            <w:pPr>
              <w:pStyle w:val="TAC"/>
              <w:rPr>
                <w:sz w:val="16"/>
                <w:szCs w:val="16"/>
              </w:rPr>
            </w:pPr>
            <w:r w:rsidRPr="00873B6C">
              <w:rPr>
                <w:sz w:val="16"/>
                <w:szCs w:val="16"/>
              </w:rPr>
              <w:t>15.5.0</w:t>
            </w:r>
          </w:p>
        </w:tc>
      </w:tr>
      <w:tr w:rsidR="00D40151" w:rsidRPr="00873B6C" w14:paraId="13DE0643" w14:textId="77777777" w:rsidTr="009D14FB">
        <w:tc>
          <w:tcPr>
            <w:tcW w:w="800" w:type="dxa"/>
            <w:shd w:val="solid" w:color="FFFFFF" w:fill="auto"/>
          </w:tcPr>
          <w:p w14:paraId="51E7A47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E9CE61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4339BB5"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6AE92DB1" w14:textId="77777777" w:rsidR="00D40151" w:rsidRPr="00873B6C" w:rsidRDefault="00D40151" w:rsidP="009D14FB">
            <w:pPr>
              <w:pStyle w:val="TAL"/>
              <w:rPr>
                <w:sz w:val="16"/>
                <w:szCs w:val="16"/>
              </w:rPr>
            </w:pPr>
            <w:r w:rsidRPr="00873B6C">
              <w:rPr>
                <w:sz w:val="16"/>
                <w:szCs w:val="16"/>
              </w:rPr>
              <w:t>0756</w:t>
            </w:r>
          </w:p>
        </w:tc>
        <w:tc>
          <w:tcPr>
            <w:tcW w:w="425" w:type="dxa"/>
            <w:shd w:val="solid" w:color="FFFFFF" w:fill="auto"/>
          </w:tcPr>
          <w:p w14:paraId="0E8ACF5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E4045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B8CDA7" w14:textId="77777777" w:rsidR="00D40151" w:rsidRPr="00873B6C" w:rsidRDefault="00D40151" w:rsidP="009D14FB">
            <w:pPr>
              <w:pStyle w:val="TAL"/>
              <w:rPr>
                <w:sz w:val="16"/>
                <w:szCs w:val="16"/>
              </w:rPr>
            </w:pPr>
            <w:r w:rsidRPr="00873B6C">
              <w:rPr>
                <w:sz w:val="16"/>
                <w:szCs w:val="16"/>
              </w:rPr>
              <w:t>Correction to NSSAI logic</w:t>
            </w:r>
          </w:p>
        </w:tc>
        <w:tc>
          <w:tcPr>
            <w:tcW w:w="708" w:type="dxa"/>
            <w:shd w:val="solid" w:color="FFFFFF" w:fill="auto"/>
          </w:tcPr>
          <w:p w14:paraId="06B61F5E" w14:textId="77777777" w:rsidR="00D40151" w:rsidRPr="00873B6C" w:rsidRDefault="00D40151" w:rsidP="009D14FB">
            <w:pPr>
              <w:pStyle w:val="TAC"/>
              <w:rPr>
                <w:sz w:val="16"/>
                <w:szCs w:val="16"/>
              </w:rPr>
            </w:pPr>
            <w:r w:rsidRPr="00873B6C">
              <w:rPr>
                <w:sz w:val="16"/>
                <w:szCs w:val="16"/>
              </w:rPr>
              <w:t>15.5.0</w:t>
            </w:r>
          </w:p>
        </w:tc>
      </w:tr>
      <w:tr w:rsidR="00D40151" w:rsidRPr="00873B6C" w14:paraId="442232C0" w14:textId="77777777" w:rsidTr="009D14FB">
        <w:tc>
          <w:tcPr>
            <w:tcW w:w="800" w:type="dxa"/>
            <w:shd w:val="solid" w:color="FFFFFF" w:fill="auto"/>
          </w:tcPr>
          <w:p w14:paraId="47A2E9C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FEF8A1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39264A2"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122B7C7C" w14:textId="77777777" w:rsidR="00D40151" w:rsidRPr="00873B6C" w:rsidRDefault="00D40151" w:rsidP="009D14FB">
            <w:pPr>
              <w:pStyle w:val="TAL"/>
              <w:rPr>
                <w:sz w:val="16"/>
                <w:szCs w:val="16"/>
              </w:rPr>
            </w:pPr>
            <w:r w:rsidRPr="00873B6C">
              <w:rPr>
                <w:sz w:val="16"/>
                <w:szCs w:val="16"/>
              </w:rPr>
              <w:t>0758</w:t>
            </w:r>
          </w:p>
        </w:tc>
        <w:tc>
          <w:tcPr>
            <w:tcW w:w="425" w:type="dxa"/>
            <w:shd w:val="solid" w:color="FFFFFF" w:fill="auto"/>
          </w:tcPr>
          <w:p w14:paraId="29536E8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0C3DD7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146024" w14:textId="77777777" w:rsidR="00D40151" w:rsidRPr="00873B6C" w:rsidRDefault="00D40151" w:rsidP="009D14FB">
            <w:pPr>
              <w:pStyle w:val="TAL"/>
              <w:rPr>
                <w:sz w:val="16"/>
                <w:szCs w:val="16"/>
              </w:rPr>
            </w:pPr>
            <w:r w:rsidRPr="00873B6C">
              <w:rPr>
                <w:sz w:val="16"/>
                <w:szCs w:val="16"/>
              </w:rPr>
              <w:t>UL Session-AMBR enforcement in UPF</w:t>
            </w:r>
          </w:p>
        </w:tc>
        <w:tc>
          <w:tcPr>
            <w:tcW w:w="708" w:type="dxa"/>
            <w:shd w:val="solid" w:color="FFFFFF" w:fill="auto"/>
          </w:tcPr>
          <w:p w14:paraId="29B94895" w14:textId="77777777" w:rsidR="00D40151" w:rsidRPr="00873B6C" w:rsidRDefault="00D40151" w:rsidP="009D14FB">
            <w:pPr>
              <w:pStyle w:val="TAC"/>
              <w:rPr>
                <w:sz w:val="16"/>
                <w:szCs w:val="16"/>
              </w:rPr>
            </w:pPr>
            <w:r w:rsidRPr="00873B6C">
              <w:rPr>
                <w:sz w:val="16"/>
                <w:szCs w:val="16"/>
              </w:rPr>
              <w:t>15.5.0</w:t>
            </w:r>
          </w:p>
        </w:tc>
      </w:tr>
      <w:tr w:rsidR="00D40151" w:rsidRPr="00873B6C" w14:paraId="6C629637" w14:textId="77777777" w:rsidTr="009D14FB">
        <w:tc>
          <w:tcPr>
            <w:tcW w:w="800" w:type="dxa"/>
            <w:shd w:val="solid" w:color="FFFFFF" w:fill="auto"/>
          </w:tcPr>
          <w:p w14:paraId="6F01D98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503BBF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B4F6A37"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60AABE9C" w14:textId="77777777" w:rsidR="00D40151" w:rsidRPr="00873B6C" w:rsidRDefault="00D40151" w:rsidP="009D14FB">
            <w:pPr>
              <w:pStyle w:val="TAL"/>
              <w:rPr>
                <w:sz w:val="16"/>
                <w:szCs w:val="16"/>
              </w:rPr>
            </w:pPr>
            <w:r w:rsidRPr="00873B6C">
              <w:rPr>
                <w:sz w:val="16"/>
                <w:szCs w:val="16"/>
              </w:rPr>
              <w:t>0759</w:t>
            </w:r>
          </w:p>
        </w:tc>
        <w:tc>
          <w:tcPr>
            <w:tcW w:w="425" w:type="dxa"/>
            <w:shd w:val="solid" w:color="FFFFFF" w:fill="auto"/>
          </w:tcPr>
          <w:p w14:paraId="115F3F9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E1834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AEF40A" w14:textId="77777777" w:rsidR="00D40151" w:rsidRPr="00873B6C" w:rsidRDefault="00D40151" w:rsidP="009D14FB">
            <w:pPr>
              <w:pStyle w:val="TAL"/>
              <w:rPr>
                <w:sz w:val="16"/>
                <w:szCs w:val="16"/>
              </w:rPr>
            </w:pPr>
            <w:r w:rsidRPr="00873B6C">
              <w:rPr>
                <w:sz w:val="16"/>
                <w:szCs w:val="16"/>
              </w:rPr>
              <w:t>Alignment with stage 3 for EPS interworking indications</w:t>
            </w:r>
          </w:p>
        </w:tc>
        <w:tc>
          <w:tcPr>
            <w:tcW w:w="708" w:type="dxa"/>
            <w:shd w:val="solid" w:color="FFFFFF" w:fill="auto"/>
          </w:tcPr>
          <w:p w14:paraId="3FD513BA" w14:textId="77777777" w:rsidR="00D40151" w:rsidRPr="00873B6C" w:rsidRDefault="00D40151" w:rsidP="009D14FB">
            <w:pPr>
              <w:pStyle w:val="TAC"/>
              <w:rPr>
                <w:sz w:val="16"/>
                <w:szCs w:val="16"/>
              </w:rPr>
            </w:pPr>
            <w:r w:rsidRPr="00873B6C">
              <w:rPr>
                <w:sz w:val="16"/>
                <w:szCs w:val="16"/>
              </w:rPr>
              <w:t>15.5.0</w:t>
            </w:r>
          </w:p>
        </w:tc>
      </w:tr>
      <w:tr w:rsidR="00D40151" w:rsidRPr="00873B6C" w14:paraId="4722B923" w14:textId="77777777" w:rsidTr="009D14FB">
        <w:tc>
          <w:tcPr>
            <w:tcW w:w="800" w:type="dxa"/>
            <w:shd w:val="solid" w:color="FFFFFF" w:fill="auto"/>
          </w:tcPr>
          <w:p w14:paraId="1D29BF6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5A0C35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37289D0"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3C1DED05" w14:textId="77777777" w:rsidR="00D40151" w:rsidRPr="00873B6C" w:rsidRDefault="00D40151" w:rsidP="009D14FB">
            <w:pPr>
              <w:pStyle w:val="TAL"/>
              <w:rPr>
                <w:sz w:val="16"/>
                <w:szCs w:val="16"/>
              </w:rPr>
            </w:pPr>
            <w:r w:rsidRPr="00873B6C">
              <w:rPr>
                <w:sz w:val="16"/>
                <w:szCs w:val="16"/>
              </w:rPr>
              <w:t>0762</w:t>
            </w:r>
          </w:p>
        </w:tc>
        <w:tc>
          <w:tcPr>
            <w:tcW w:w="425" w:type="dxa"/>
            <w:shd w:val="solid" w:color="FFFFFF" w:fill="auto"/>
          </w:tcPr>
          <w:p w14:paraId="631AA75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929C3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80654A" w14:textId="77777777" w:rsidR="00D40151" w:rsidRPr="00873B6C" w:rsidRDefault="00D40151" w:rsidP="009D14FB">
            <w:pPr>
              <w:pStyle w:val="TAL"/>
              <w:rPr>
                <w:sz w:val="16"/>
                <w:szCs w:val="16"/>
              </w:rPr>
            </w:pPr>
            <w:r w:rsidRPr="00873B6C">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873B6C" w:rsidRDefault="00D40151" w:rsidP="009D14FB">
            <w:pPr>
              <w:pStyle w:val="TAC"/>
              <w:rPr>
                <w:sz w:val="16"/>
                <w:szCs w:val="16"/>
              </w:rPr>
            </w:pPr>
            <w:r w:rsidRPr="00873B6C">
              <w:rPr>
                <w:sz w:val="16"/>
                <w:szCs w:val="16"/>
              </w:rPr>
              <w:t>15.5.0</w:t>
            </w:r>
          </w:p>
        </w:tc>
      </w:tr>
      <w:tr w:rsidR="00D40151" w:rsidRPr="00873B6C" w14:paraId="7167DD6A" w14:textId="77777777" w:rsidTr="009D14FB">
        <w:tc>
          <w:tcPr>
            <w:tcW w:w="800" w:type="dxa"/>
            <w:shd w:val="solid" w:color="FFFFFF" w:fill="auto"/>
          </w:tcPr>
          <w:p w14:paraId="1A2543A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2A1A35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E03ADCD"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E2F549B" w14:textId="77777777" w:rsidR="00D40151" w:rsidRPr="00873B6C" w:rsidRDefault="00D40151" w:rsidP="009D14FB">
            <w:pPr>
              <w:pStyle w:val="TAL"/>
              <w:rPr>
                <w:sz w:val="16"/>
                <w:szCs w:val="16"/>
              </w:rPr>
            </w:pPr>
            <w:r w:rsidRPr="00873B6C">
              <w:rPr>
                <w:sz w:val="16"/>
                <w:szCs w:val="16"/>
              </w:rPr>
              <w:t>0767</w:t>
            </w:r>
          </w:p>
        </w:tc>
        <w:tc>
          <w:tcPr>
            <w:tcW w:w="425" w:type="dxa"/>
            <w:shd w:val="solid" w:color="FFFFFF" w:fill="auto"/>
          </w:tcPr>
          <w:p w14:paraId="58CDB4E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6A289D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48DE6BA" w14:textId="77777777" w:rsidR="00D40151" w:rsidRPr="00873B6C" w:rsidRDefault="00D40151" w:rsidP="009D14FB">
            <w:pPr>
              <w:pStyle w:val="TAL"/>
              <w:rPr>
                <w:sz w:val="16"/>
                <w:szCs w:val="16"/>
              </w:rPr>
            </w:pPr>
            <w:r w:rsidRPr="00873B6C">
              <w:rPr>
                <w:sz w:val="16"/>
                <w:szCs w:val="16"/>
              </w:rPr>
              <w:t>QoS Notification Control during handover</w:t>
            </w:r>
          </w:p>
        </w:tc>
        <w:tc>
          <w:tcPr>
            <w:tcW w:w="708" w:type="dxa"/>
            <w:shd w:val="solid" w:color="FFFFFF" w:fill="auto"/>
          </w:tcPr>
          <w:p w14:paraId="52D93234" w14:textId="77777777" w:rsidR="00D40151" w:rsidRPr="00873B6C" w:rsidRDefault="00D40151" w:rsidP="009D14FB">
            <w:pPr>
              <w:pStyle w:val="TAC"/>
              <w:rPr>
                <w:sz w:val="16"/>
                <w:szCs w:val="16"/>
              </w:rPr>
            </w:pPr>
            <w:r w:rsidRPr="00873B6C">
              <w:rPr>
                <w:sz w:val="16"/>
                <w:szCs w:val="16"/>
              </w:rPr>
              <w:t>15.5.0</w:t>
            </w:r>
          </w:p>
        </w:tc>
      </w:tr>
      <w:tr w:rsidR="00D40151" w:rsidRPr="00873B6C" w14:paraId="4C3E3503" w14:textId="77777777" w:rsidTr="009D14FB">
        <w:tc>
          <w:tcPr>
            <w:tcW w:w="800" w:type="dxa"/>
            <w:shd w:val="solid" w:color="FFFFFF" w:fill="auto"/>
          </w:tcPr>
          <w:p w14:paraId="38A6144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663FF6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54A84BC"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26D30A79" w14:textId="77777777" w:rsidR="00D40151" w:rsidRPr="00873B6C" w:rsidRDefault="00D40151" w:rsidP="009D14FB">
            <w:pPr>
              <w:pStyle w:val="TAL"/>
              <w:rPr>
                <w:sz w:val="16"/>
                <w:szCs w:val="16"/>
              </w:rPr>
            </w:pPr>
            <w:r w:rsidRPr="00873B6C">
              <w:rPr>
                <w:sz w:val="16"/>
                <w:szCs w:val="16"/>
              </w:rPr>
              <w:t>0773</w:t>
            </w:r>
          </w:p>
        </w:tc>
        <w:tc>
          <w:tcPr>
            <w:tcW w:w="425" w:type="dxa"/>
            <w:shd w:val="solid" w:color="FFFFFF" w:fill="auto"/>
          </w:tcPr>
          <w:p w14:paraId="0945863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39F5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8CC27E" w14:textId="77777777" w:rsidR="00D40151" w:rsidRPr="00873B6C" w:rsidRDefault="00D40151" w:rsidP="009D14FB">
            <w:pPr>
              <w:pStyle w:val="TAL"/>
              <w:rPr>
                <w:sz w:val="16"/>
                <w:szCs w:val="16"/>
              </w:rPr>
            </w:pPr>
            <w:r w:rsidRPr="00873B6C">
              <w:rPr>
                <w:sz w:val="16"/>
                <w:szCs w:val="16"/>
              </w:rPr>
              <w:t>Correction to traffic steering control</w:t>
            </w:r>
          </w:p>
        </w:tc>
        <w:tc>
          <w:tcPr>
            <w:tcW w:w="708" w:type="dxa"/>
            <w:shd w:val="solid" w:color="FFFFFF" w:fill="auto"/>
          </w:tcPr>
          <w:p w14:paraId="780E00B6" w14:textId="77777777" w:rsidR="00D40151" w:rsidRPr="00873B6C" w:rsidRDefault="00D40151" w:rsidP="009D14FB">
            <w:pPr>
              <w:pStyle w:val="TAC"/>
              <w:rPr>
                <w:sz w:val="16"/>
                <w:szCs w:val="16"/>
              </w:rPr>
            </w:pPr>
            <w:r w:rsidRPr="00873B6C">
              <w:rPr>
                <w:sz w:val="16"/>
                <w:szCs w:val="16"/>
              </w:rPr>
              <w:t>15.5.0</w:t>
            </w:r>
          </w:p>
        </w:tc>
      </w:tr>
      <w:tr w:rsidR="00D40151" w:rsidRPr="00873B6C" w14:paraId="6884ACAD" w14:textId="77777777" w:rsidTr="009D14FB">
        <w:tc>
          <w:tcPr>
            <w:tcW w:w="800" w:type="dxa"/>
            <w:shd w:val="solid" w:color="FFFFFF" w:fill="auto"/>
          </w:tcPr>
          <w:p w14:paraId="0984875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C48C08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0E4C5D"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15945F68" w14:textId="77777777" w:rsidR="00D40151" w:rsidRPr="00873B6C" w:rsidRDefault="00D40151" w:rsidP="009D14FB">
            <w:pPr>
              <w:pStyle w:val="TAL"/>
              <w:rPr>
                <w:sz w:val="16"/>
                <w:szCs w:val="16"/>
              </w:rPr>
            </w:pPr>
            <w:r w:rsidRPr="00873B6C">
              <w:rPr>
                <w:sz w:val="16"/>
                <w:szCs w:val="16"/>
              </w:rPr>
              <w:t>0774</w:t>
            </w:r>
          </w:p>
        </w:tc>
        <w:tc>
          <w:tcPr>
            <w:tcW w:w="425" w:type="dxa"/>
            <w:shd w:val="solid" w:color="FFFFFF" w:fill="auto"/>
          </w:tcPr>
          <w:p w14:paraId="781CE78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7EB22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9A370B" w14:textId="77777777" w:rsidR="00D40151" w:rsidRPr="00873B6C" w:rsidRDefault="00D40151" w:rsidP="009D14FB">
            <w:pPr>
              <w:pStyle w:val="TAL"/>
              <w:rPr>
                <w:sz w:val="16"/>
                <w:szCs w:val="16"/>
              </w:rPr>
            </w:pPr>
            <w:r w:rsidRPr="00873B6C">
              <w:rPr>
                <w:sz w:val="16"/>
                <w:szCs w:val="16"/>
              </w:rPr>
              <w:t>Configurable time for subsequent notification that the GFBR cannot be fulfilled</w:t>
            </w:r>
          </w:p>
        </w:tc>
        <w:tc>
          <w:tcPr>
            <w:tcW w:w="708" w:type="dxa"/>
            <w:shd w:val="solid" w:color="FFFFFF" w:fill="auto"/>
          </w:tcPr>
          <w:p w14:paraId="513E9270" w14:textId="77777777" w:rsidR="00D40151" w:rsidRPr="00873B6C" w:rsidRDefault="00D40151" w:rsidP="009D14FB">
            <w:pPr>
              <w:pStyle w:val="TAC"/>
              <w:rPr>
                <w:sz w:val="16"/>
                <w:szCs w:val="16"/>
              </w:rPr>
            </w:pPr>
            <w:r w:rsidRPr="00873B6C">
              <w:rPr>
                <w:sz w:val="16"/>
                <w:szCs w:val="16"/>
              </w:rPr>
              <w:t>15.5.0</w:t>
            </w:r>
          </w:p>
        </w:tc>
      </w:tr>
      <w:tr w:rsidR="00D40151" w:rsidRPr="00873B6C" w14:paraId="231B538C" w14:textId="77777777" w:rsidTr="009D14FB">
        <w:tc>
          <w:tcPr>
            <w:tcW w:w="800" w:type="dxa"/>
            <w:shd w:val="solid" w:color="FFFFFF" w:fill="auto"/>
          </w:tcPr>
          <w:p w14:paraId="44E1487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1A581A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56BB2A5"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FB128A6" w14:textId="77777777" w:rsidR="00D40151" w:rsidRPr="00873B6C" w:rsidRDefault="00D40151" w:rsidP="009D14FB">
            <w:pPr>
              <w:pStyle w:val="TAL"/>
              <w:rPr>
                <w:sz w:val="16"/>
                <w:szCs w:val="16"/>
              </w:rPr>
            </w:pPr>
            <w:r w:rsidRPr="00873B6C">
              <w:rPr>
                <w:sz w:val="16"/>
                <w:szCs w:val="16"/>
              </w:rPr>
              <w:t>0775</w:t>
            </w:r>
          </w:p>
        </w:tc>
        <w:tc>
          <w:tcPr>
            <w:tcW w:w="425" w:type="dxa"/>
            <w:shd w:val="solid" w:color="FFFFFF" w:fill="auto"/>
          </w:tcPr>
          <w:p w14:paraId="2A7157C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94211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AF5753" w14:textId="77777777" w:rsidR="00D40151" w:rsidRPr="00873B6C" w:rsidRDefault="00D40151" w:rsidP="009D14FB">
            <w:pPr>
              <w:pStyle w:val="TAL"/>
              <w:rPr>
                <w:sz w:val="16"/>
                <w:szCs w:val="16"/>
              </w:rPr>
            </w:pPr>
            <w:r w:rsidRPr="00873B6C">
              <w:rPr>
                <w:sz w:val="16"/>
                <w:szCs w:val="16"/>
              </w:rPr>
              <w:t>Clarification for default values</w:t>
            </w:r>
          </w:p>
        </w:tc>
        <w:tc>
          <w:tcPr>
            <w:tcW w:w="708" w:type="dxa"/>
            <w:shd w:val="solid" w:color="FFFFFF" w:fill="auto"/>
          </w:tcPr>
          <w:p w14:paraId="1FB5F8ED" w14:textId="77777777" w:rsidR="00D40151" w:rsidRPr="00873B6C" w:rsidRDefault="00D40151" w:rsidP="009D14FB">
            <w:pPr>
              <w:pStyle w:val="TAC"/>
              <w:rPr>
                <w:sz w:val="16"/>
                <w:szCs w:val="16"/>
              </w:rPr>
            </w:pPr>
            <w:r w:rsidRPr="00873B6C">
              <w:rPr>
                <w:sz w:val="16"/>
                <w:szCs w:val="16"/>
              </w:rPr>
              <w:t>15.5.0</w:t>
            </w:r>
          </w:p>
        </w:tc>
      </w:tr>
      <w:tr w:rsidR="00D40151" w:rsidRPr="00873B6C" w14:paraId="4AC5CCA6" w14:textId="77777777" w:rsidTr="009D14FB">
        <w:tc>
          <w:tcPr>
            <w:tcW w:w="800" w:type="dxa"/>
            <w:shd w:val="solid" w:color="FFFFFF" w:fill="auto"/>
          </w:tcPr>
          <w:p w14:paraId="6A60E53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2467A8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4D63C39"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29D10145" w14:textId="77777777" w:rsidR="00D40151" w:rsidRPr="00873B6C" w:rsidRDefault="00D40151" w:rsidP="009D14FB">
            <w:pPr>
              <w:pStyle w:val="TAL"/>
              <w:rPr>
                <w:sz w:val="16"/>
                <w:szCs w:val="16"/>
              </w:rPr>
            </w:pPr>
            <w:r w:rsidRPr="00873B6C">
              <w:rPr>
                <w:sz w:val="16"/>
                <w:szCs w:val="16"/>
              </w:rPr>
              <w:t>0784</w:t>
            </w:r>
          </w:p>
        </w:tc>
        <w:tc>
          <w:tcPr>
            <w:tcW w:w="425" w:type="dxa"/>
            <w:shd w:val="solid" w:color="FFFFFF" w:fill="auto"/>
          </w:tcPr>
          <w:p w14:paraId="522A6E2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0D005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7ADE65" w14:textId="77777777" w:rsidR="00D40151" w:rsidRPr="00873B6C" w:rsidRDefault="00D40151" w:rsidP="009D14FB">
            <w:pPr>
              <w:pStyle w:val="TAL"/>
              <w:rPr>
                <w:sz w:val="16"/>
                <w:szCs w:val="16"/>
              </w:rPr>
            </w:pPr>
            <w:r w:rsidRPr="00873B6C">
              <w:rPr>
                <w:sz w:val="16"/>
                <w:szCs w:val="16"/>
              </w:rPr>
              <w:t>5GC emergency calls over non-3GPP</w:t>
            </w:r>
          </w:p>
        </w:tc>
        <w:tc>
          <w:tcPr>
            <w:tcW w:w="708" w:type="dxa"/>
            <w:shd w:val="solid" w:color="FFFFFF" w:fill="auto"/>
          </w:tcPr>
          <w:p w14:paraId="0FB26B29" w14:textId="77777777" w:rsidR="00D40151" w:rsidRPr="00873B6C" w:rsidRDefault="00D40151" w:rsidP="009D14FB">
            <w:pPr>
              <w:pStyle w:val="TAC"/>
              <w:rPr>
                <w:sz w:val="16"/>
                <w:szCs w:val="16"/>
              </w:rPr>
            </w:pPr>
            <w:r w:rsidRPr="00873B6C">
              <w:rPr>
                <w:sz w:val="16"/>
                <w:szCs w:val="16"/>
              </w:rPr>
              <w:t>15.5.0</w:t>
            </w:r>
          </w:p>
        </w:tc>
      </w:tr>
      <w:tr w:rsidR="00D40151" w:rsidRPr="00873B6C" w14:paraId="61394B54" w14:textId="77777777" w:rsidTr="009D14FB">
        <w:tc>
          <w:tcPr>
            <w:tcW w:w="800" w:type="dxa"/>
            <w:shd w:val="solid" w:color="FFFFFF" w:fill="auto"/>
          </w:tcPr>
          <w:p w14:paraId="2148E47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471226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342020C"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1655290E" w14:textId="77777777" w:rsidR="00D40151" w:rsidRPr="00873B6C" w:rsidRDefault="00D40151" w:rsidP="009D14FB">
            <w:pPr>
              <w:pStyle w:val="TAL"/>
              <w:rPr>
                <w:sz w:val="16"/>
                <w:szCs w:val="16"/>
              </w:rPr>
            </w:pPr>
            <w:r w:rsidRPr="00873B6C">
              <w:rPr>
                <w:sz w:val="16"/>
                <w:szCs w:val="16"/>
              </w:rPr>
              <w:t>0786</w:t>
            </w:r>
          </w:p>
        </w:tc>
        <w:tc>
          <w:tcPr>
            <w:tcW w:w="425" w:type="dxa"/>
            <w:shd w:val="solid" w:color="FFFFFF" w:fill="auto"/>
          </w:tcPr>
          <w:p w14:paraId="5C14B5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17F63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14D7A9" w14:textId="77777777" w:rsidR="00D40151" w:rsidRPr="00873B6C" w:rsidRDefault="00D40151" w:rsidP="009D14FB">
            <w:pPr>
              <w:pStyle w:val="TAL"/>
              <w:rPr>
                <w:sz w:val="16"/>
                <w:szCs w:val="16"/>
              </w:rPr>
            </w:pPr>
            <w:r w:rsidRPr="00873B6C">
              <w:rPr>
                <w:sz w:val="16"/>
                <w:szCs w:val="16"/>
              </w:rPr>
              <w:t>Adding UE Local Configuration as an additional option to the URSP</w:t>
            </w:r>
          </w:p>
        </w:tc>
        <w:tc>
          <w:tcPr>
            <w:tcW w:w="708" w:type="dxa"/>
            <w:shd w:val="solid" w:color="FFFFFF" w:fill="auto"/>
          </w:tcPr>
          <w:p w14:paraId="4DA22A30" w14:textId="77777777" w:rsidR="00D40151" w:rsidRPr="00873B6C" w:rsidRDefault="00D40151" w:rsidP="009D14FB">
            <w:pPr>
              <w:pStyle w:val="TAC"/>
              <w:rPr>
                <w:sz w:val="16"/>
                <w:szCs w:val="16"/>
              </w:rPr>
            </w:pPr>
            <w:r w:rsidRPr="00873B6C">
              <w:rPr>
                <w:sz w:val="16"/>
                <w:szCs w:val="16"/>
              </w:rPr>
              <w:t>15.5.0</w:t>
            </w:r>
          </w:p>
        </w:tc>
      </w:tr>
      <w:tr w:rsidR="00D40151" w:rsidRPr="00873B6C" w14:paraId="1A0D1416" w14:textId="77777777" w:rsidTr="009D14FB">
        <w:tc>
          <w:tcPr>
            <w:tcW w:w="800" w:type="dxa"/>
            <w:shd w:val="solid" w:color="FFFFFF" w:fill="auto"/>
          </w:tcPr>
          <w:p w14:paraId="6E0BB1D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1B1E37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07010CB"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640F6F0" w14:textId="77777777" w:rsidR="00D40151" w:rsidRPr="00873B6C" w:rsidRDefault="00D40151" w:rsidP="009D14FB">
            <w:pPr>
              <w:pStyle w:val="TAL"/>
              <w:rPr>
                <w:sz w:val="16"/>
                <w:szCs w:val="16"/>
              </w:rPr>
            </w:pPr>
            <w:r w:rsidRPr="00873B6C">
              <w:rPr>
                <w:sz w:val="16"/>
                <w:szCs w:val="16"/>
              </w:rPr>
              <w:t>0789</w:t>
            </w:r>
          </w:p>
        </w:tc>
        <w:tc>
          <w:tcPr>
            <w:tcW w:w="425" w:type="dxa"/>
            <w:shd w:val="solid" w:color="FFFFFF" w:fill="auto"/>
          </w:tcPr>
          <w:p w14:paraId="154E421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64910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05B499" w14:textId="77777777" w:rsidR="00D40151" w:rsidRPr="00873B6C" w:rsidRDefault="00D40151" w:rsidP="009D14FB">
            <w:pPr>
              <w:pStyle w:val="TAL"/>
              <w:rPr>
                <w:sz w:val="16"/>
                <w:szCs w:val="16"/>
              </w:rPr>
            </w:pPr>
            <w:r w:rsidRPr="00873B6C">
              <w:rPr>
                <w:sz w:val="16"/>
                <w:szCs w:val="16"/>
              </w:rPr>
              <w:t>Update of network slicing text on NSSAI inclusion in RRC</w:t>
            </w:r>
          </w:p>
        </w:tc>
        <w:tc>
          <w:tcPr>
            <w:tcW w:w="708" w:type="dxa"/>
            <w:shd w:val="solid" w:color="FFFFFF" w:fill="auto"/>
          </w:tcPr>
          <w:p w14:paraId="31EE3251" w14:textId="77777777" w:rsidR="00D40151" w:rsidRPr="00873B6C" w:rsidRDefault="00D40151" w:rsidP="009D14FB">
            <w:pPr>
              <w:pStyle w:val="TAC"/>
              <w:rPr>
                <w:sz w:val="16"/>
                <w:szCs w:val="16"/>
              </w:rPr>
            </w:pPr>
            <w:r w:rsidRPr="00873B6C">
              <w:rPr>
                <w:sz w:val="16"/>
                <w:szCs w:val="16"/>
              </w:rPr>
              <w:t>15.5.0</w:t>
            </w:r>
          </w:p>
        </w:tc>
      </w:tr>
      <w:tr w:rsidR="00D40151" w:rsidRPr="00873B6C" w14:paraId="76E8F3BA" w14:textId="77777777" w:rsidTr="009D14FB">
        <w:tc>
          <w:tcPr>
            <w:tcW w:w="800" w:type="dxa"/>
            <w:shd w:val="solid" w:color="FFFFFF" w:fill="auto"/>
          </w:tcPr>
          <w:p w14:paraId="02C84E7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977B14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FD7EC05"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798671C0" w14:textId="77777777" w:rsidR="00D40151" w:rsidRPr="00873B6C" w:rsidRDefault="00D40151" w:rsidP="009D14FB">
            <w:pPr>
              <w:pStyle w:val="TAL"/>
              <w:rPr>
                <w:sz w:val="16"/>
                <w:szCs w:val="16"/>
              </w:rPr>
            </w:pPr>
            <w:r w:rsidRPr="00873B6C">
              <w:rPr>
                <w:sz w:val="16"/>
                <w:szCs w:val="16"/>
              </w:rPr>
              <w:t>0791</w:t>
            </w:r>
          </w:p>
        </w:tc>
        <w:tc>
          <w:tcPr>
            <w:tcW w:w="425" w:type="dxa"/>
            <w:shd w:val="solid" w:color="FFFFFF" w:fill="auto"/>
          </w:tcPr>
          <w:p w14:paraId="35C6CF3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707F2D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6FC83C9" w14:textId="77777777" w:rsidR="00D40151" w:rsidRPr="00873B6C" w:rsidRDefault="00D40151" w:rsidP="009D14FB">
            <w:pPr>
              <w:pStyle w:val="TAL"/>
              <w:rPr>
                <w:sz w:val="16"/>
                <w:szCs w:val="16"/>
              </w:rPr>
            </w:pPr>
            <w:r w:rsidRPr="00873B6C">
              <w:rPr>
                <w:sz w:val="16"/>
                <w:szCs w:val="16"/>
              </w:rPr>
              <w:t>Supporting early trace in AUSF</w:t>
            </w:r>
          </w:p>
        </w:tc>
        <w:tc>
          <w:tcPr>
            <w:tcW w:w="708" w:type="dxa"/>
            <w:shd w:val="solid" w:color="FFFFFF" w:fill="auto"/>
          </w:tcPr>
          <w:p w14:paraId="5058BA1E" w14:textId="77777777" w:rsidR="00D40151" w:rsidRPr="00873B6C" w:rsidRDefault="00D40151" w:rsidP="009D14FB">
            <w:pPr>
              <w:pStyle w:val="TAC"/>
              <w:rPr>
                <w:sz w:val="16"/>
                <w:szCs w:val="16"/>
              </w:rPr>
            </w:pPr>
            <w:r w:rsidRPr="00873B6C">
              <w:rPr>
                <w:sz w:val="16"/>
                <w:szCs w:val="16"/>
              </w:rPr>
              <w:t>15.5.0</w:t>
            </w:r>
          </w:p>
        </w:tc>
      </w:tr>
      <w:tr w:rsidR="00D40151" w:rsidRPr="00873B6C" w14:paraId="78505FE2" w14:textId="77777777" w:rsidTr="009D14FB">
        <w:tc>
          <w:tcPr>
            <w:tcW w:w="800" w:type="dxa"/>
            <w:shd w:val="solid" w:color="FFFFFF" w:fill="auto"/>
          </w:tcPr>
          <w:p w14:paraId="61DB16D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D07074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1AFD15E"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0FFC60F" w14:textId="77777777" w:rsidR="00D40151" w:rsidRPr="00873B6C" w:rsidRDefault="00D40151" w:rsidP="009D14FB">
            <w:pPr>
              <w:pStyle w:val="TAL"/>
              <w:rPr>
                <w:sz w:val="16"/>
                <w:szCs w:val="16"/>
              </w:rPr>
            </w:pPr>
            <w:r w:rsidRPr="00873B6C">
              <w:rPr>
                <w:sz w:val="16"/>
                <w:szCs w:val="16"/>
              </w:rPr>
              <w:t>0792</w:t>
            </w:r>
          </w:p>
        </w:tc>
        <w:tc>
          <w:tcPr>
            <w:tcW w:w="425" w:type="dxa"/>
            <w:shd w:val="solid" w:color="FFFFFF" w:fill="auto"/>
          </w:tcPr>
          <w:p w14:paraId="7F5E0F2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6785CF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93CEF1" w14:textId="77777777" w:rsidR="00D40151" w:rsidRPr="00873B6C" w:rsidRDefault="00D40151" w:rsidP="009D14FB">
            <w:pPr>
              <w:pStyle w:val="TAL"/>
              <w:rPr>
                <w:sz w:val="16"/>
                <w:szCs w:val="16"/>
              </w:rPr>
            </w:pPr>
            <w:r w:rsidRPr="00873B6C">
              <w:rPr>
                <w:sz w:val="16"/>
                <w:szCs w:val="16"/>
              </w:rPr>
              <w:t>IMS voice over PS Session Supported Indication in roaming cases.</w:t>
            </w:r>
          </w:p>
        </w:tc>
        <w:tc>
          <w:tcPr>
            <w:tcW w:w="708" w:type="dxa"/>
            <w:shd w:val="solid" w:color="FFFFFF" w:fill="auto"/>
          </w:tcPr>
          <w:p w14:paraId="5B76D182" w14:textId="77777777" w:rsidR="00D40151" w:rsidRPr="00873B6C" w:rsidRDefault="00D40151" w:rsidP="009D14FB">
            <w:pPr>
              <w:pStyle w:val="TAC"/>
              <w:rPr>
                <w:sz w:val="16"/>
                <w:szCs w:val="16"/>
              </w:rPr>
            </w:pPr>
            <w:r w:rsidRPr="00873B6C">
              <w:rPr>
                <w:sz w:val="16"/>
                <w:szCs w:val="16"/>
              </w:rPr>
              <w:t>15.5.0</w:t>
            </w:r>
          </w:p>
        </w:tc>
      </w:tr>
      <w:tr w:rsidR="00D40151" w:rsidRPr="00873B6C" w14:paraId="6F01FE3A" w14:textId="77777777" w:rsidTr="009D14FB">
        <w:tc>
          <w:tcPr>
            <w:tcW w:w="800" w:type="dxa"/>
            <w:shd w:val="solid" w:color="FFFFFF" w:fill="auto"/>
          </w:tcPr>
          <w:p w14:paraId="3E7B646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EC699B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4037EA2"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51DEA70" w14:textId="77777777" w:rsidR="00D40151" w:rsidRPr="00873B6C" w:rsidRDefault="00D40151" w:rsidP="009D14FB">
            <w:pPr>
              <w:pStyle w:val="TAL"/>
              <w:rPr>
                <w:sz w:val="16"/>
                <w:szCs w:val="16"/>
              </w:rPr>
            </w:pPr>
            <w:r w:rsidRPr="00873B6C">
              <w:rPr>
                <w:sz w:val="16"/>
                <w:szCs w:val="16"/>
              </w:rPr>
              <w:t>0793</w:t>
            </w:r>
          </w:p>
        </w:tc>
        <w:tc>
          <w:tcPr>
            <w:tcW w:w="425" w:type="dxa"/>
            <w:shd w:val="solid" w:color="FFFFFF" w:fill="auto"/>
          </w:tcPr>
          <w:p w14:paraId="77B79F8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A6F096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C7AF45" w14:textId="77777777" w:rsidR="00D40151" w:rsidRPr="00873B6C" w:rsidRDefault="00D40151" w:rsidP="009D14FB">
            <w:pPr>
              <w:pStyle w:val="TAL"/>
              <w:rPr>
                <w:sz w:val="16"/>
                <w:szCs w:val="16"/>
              </w:rPr>
            </w:pPr>
            <w:r w:rsidRPr="00873B6C">
              <w:rPr>
                <w:sz w:val="16"/>
                <w:szCs w:val="16"/>
              </w:rPr>
              <w:t>Introduce Charging Function in overall architecture</w:t>
            </w:r>
          </w:p>
        </w:tc>
        <w:tc>
          <w:tcPr>
            <w:tcW w:w="708" w:type="dxa"/>
            <w:shd w:val="solid" w:color="FFFFFF" w:fill="auto"/>
          </w:tcPr>
          <w:p w14:paraId="379BCC86" w14:textId="77777777" w:rsidR="00D40151" w:rsidRPr="00873B6C" w:rsidRDefault="00D40151" w:rsidP="009D14FB">
            <w:pPr>
              <w:pStyle w:val="TAC"/>
              <w:rPr>
                <w:sz w:val="16"/>
                <w:szCs w:val="16"/>
              </w:rPr>
            </w:pPr>
            <w:r w:rsidRPr="00873B6C">
              <w:rPr>
                <w:sz w:val="16"/>
                <w:szCs w:val="16"/>
              </w:rPr>
              <w:t>15.5.0</w:t>
            </w:r>
          </w:p>
        </w:tc>
      </w:tr>
      <w:tr w:rsidR="00D40151" w:rsidRPr="00873B6C" w14:paraId="2A23CB7F" w14:textId="77777777" w:rsidTr="009D14FB">
        <w:tc>
          <w:tcPr>
            <w:tcW w:w="800" w:type="dxa"/>
            <w:shd w:val="solid" w:color="FFFFFF" w:fill="auto"/>
          </w:tcPr>
          <w:p w14:paraId="3A82F73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D522A6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430B6AF"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3BDD438C" w14:textId="77777777" w:rsidR="00D40151" w:rsidRPr="00873B6C" w:rsidRDefault="00D40151" w:rsidP="009D14FB">
            <w:pPr>
              <w:pStyle w:val="TAL"/>
              <w:rPr>
                <w:sz w:val="16"/>
                <w:szCs w:val="16"/>
              </w:rPr>
            </w:pPr>
            <w:r w:rsidRPr="00873B6C">
              <w:rPr>
                <w:sz w:val="16"/>
                <w:szCs w:val="16"/>
              </w:rPr>
              <w:t>0797</w:t>
            </w:r>
          </w:p>
        </w:tc>
        <w:tc>
          <w:tcPr>
            <w:tcW w:w="425" w:type="dxa"/>
            <w:shd w:val="solid" w:color="FFFFFF" w:fill="auto"/>
          </w:tcPr>
          <w:p w14:paraId="327521E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2A1B4A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9BD3BE" w14:textId="77777777" w:rsidR="00D40151" w:rsidRPr="00873B6C" w:rsidRDefault="00D40151" w:rsidP="009D14FB">
            <w:pPr>
              <w:pStyle w:val="TAL"/>
              <w:rPr>
                <w:sz w:val="16"/>
                <w:szCs w:val="16"/>
              </w:rPr>
            </w:pPr>
            <w:r w:rsidRPr="00873B6C">
              <w:rPr>
                <w:sz w:val="16"/>
                <w:szCs w:val="16"/>
              </w:rPr>
              <w:t>Update of configured NSSAI handling</w:t>
            </w:r>
          </w:p>
        </w:tc>
        <w:tc>
          <w:tcPr>
            <w:tcW w:w="708" w:type="dxa"/>
            <w:shd w:val="solid" w:color="FFFFFF" w:fill="auto"/>
          </w:tcPr>
          <w:p w14:paraId="1516E389" w14:textId="77777777" w:rsidR="00D40151" w:rsidRPr="00873B6C" w:rsidRDefault="00D40151" w:rsidP="009D14FB">
            <w:pPr>
              <w:pStyle w:val="TAC"/>
              <w:rPr>
                <w:sz w:val="16"/>
                <w:szCs w:val="16"/>
              </w:rPr>
            </w:pPr>
            <w:r w:rsidRPr="00873B6C">
              <w:rPr>
                <w:sz w:val="16"/>
                <w:szCs w:val="16"/>
              </w:rPr>
              <w:t>15.5.0</w:t>
            </w:r>
          </w:p>
        </w:tc>
      </w:tr>
      <w:tr w:rsidR="00D40151" w:rsidRPr="00873B6C" w14:paraId="09FB41DB" w14:textId="77777777" w:rsidTr="009D14FB">
        <w:tc>
          <w:tcPr>
            <w:tcW w:w="800" w:type="dxa"/>
            <w:shd w:val="solid" w:color="FFFFFF" w:fill="auto"/>
          </w:tcPr>
          <w:p w14:paraId="3A42A0F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926687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183832A"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6D4BB07B" w14:textId="77777777" w:rsidR="00D40151" w:rsidRPr="00873B6C" w:rsidRDefault="00D40151" w:rsidP="009D14FB">
            <w:pPr>
              <w:pStyle w:val="TAL"/>
              <w:rPr>
                <w:sz w:val="16"/>
                <w:szCs w:val="16"/>
              </w:rPr>
            </w:pPr>
            <w:r w:rsidRPr="00873B6C">
              <w:rPr>
                <w:sz w:val="16"/>
                <w:szCs w:val="16"/>
              </w:rPr>
              <w:t>0806</w:t>
            </w:r>
          </w:p>
        </w:tc>
        <w:tc>
          <w:tcPr>
            <w:tcW w:w="425" w:type="dxa"/>
            <w:shd w:val="solid" w:color="FFFFFF" w:fill="auto"/>
          </w:tcPr>
          <w:p w14:paraId="0BBE50C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F2E94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04C087" w14:textId="77777777" w:rsidR="00D40151" w:rsidRPr="00873B6C" w:rsidRDefault="00D40151" w:rsidP="009D14FB">
            <w:pPr>
              <w:pStyle w:val="TAL"/>
              <w:rPr>
                <w:sz w:val="16"/>
                <w:szCs w:val="16"/>
              </w:rPr>
            </w:pPr>
            <w:r w:rsidRPr="00873B6C">
              <w:rPr>
                <w:sz w:val="16"/>
                <w:szCs w:val="16"/>
              </w:rPr>
              <w:t>Corrections to AMF overlad control procedure</w:t>
            </w:r>
          </w:p>
        </w:tc>
        <w:tc>
          <w:tcPr>
            <w:tcW w:w="708" w:type="dxa"/>
            <w:shd w:val="solid" w:color="FFFFFF" w:fill="auto"/>
          </w:tcPr>
          <w:p w14:paraId="265AF1CE" w14:textId="77777777" w:rsidR="00D40151" w:rsidRPr="00873B6C" w:rsidRDefault="00D40151" w:rsidP="009D14FB">
            <w:pPr>
              <w:pStyle w:val="TAC"/>
              <w:rPr>
                <w:sz w:val="16"/>
                <w:szCs w:val="16"/>
              </w:rPr>
            </w:pPr>
            <w:r w:rsidRPr="00873B6C">
              <w:rPr>
                <w:sz w:val="16"/>
                <w:szCs w:val="16"/>
              </w:rPr>
              <w:t>15.5.0</w:t>
            </w:r>
          </w:p>
        </w:tc>
      </w:tr>
      <w:tr w:rsidR="00D40151" w:rsidRPr="00873B6C" w14:paraId="3C2029AF" w14:textId="77777777" w:rsidTr="009D14FB">
        <w:tc>
          <w:tcPr>
            <w:tcW w:w="800" w:type="dxa"/>
            <w:shd w:val="solid" w:color="FFFFFF" w:fill="auto"/>
          </w:tcPr>
          <w:p w14:paraId="071A361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39AE24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7E7C5A4"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5195E41E" w14:textId="77777777" w:rsidR="00D40151" w:rsidRPr="00873B6C" w:rsidRDefault="00D40151" w:rsidP="009D14FB">
            <w:pPr>
              <w:pStyle w:val="TAL"/>
              <w:rPr>
                <w:sz w:val="16"/>
                <w:szCs w:val="16"/>
              </w:rPr>
            </w:pPr>
            <w:r w:rsidRPr="00873B6C">
              <w:rPr>
                <w:sz w:val="16"/>
                <w:szCs w:val="16"/>
              </w:rPr>
              <w:t>0808</w:t>
            </w:r>
          </w:p>
        </w:tc>
        <w:tc>
          <w:tcPr>
            <w:tcW w:w="425" w:type="dxa"/>
            <w:shd w:val="solid" w:color="FFFFFF" w:fill="auto"/>
          </w:tcPr>
          <w:p w14:paraId="7E5D2DE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7B81E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6DD4AB" w14:textId="77777777" w:rsidR="00D40151" w:rsidRPr="00873B6C" w:rsidRDefault="00D40151" w:rsidP="009D14FB">
            <w:pPr>
              <w:pStyle w:val="TAL"/>
              <w:rPr>
                <w:sz w:val="16"/>
                <w:szCs w:val="16"/>
              </w:rPr>
            </w:pPr>
            <w:r w:rsidRPr="00873B6C">
              <w:rPr>
                <w:sz w:val="16"/>
                <w:szCs w:val="16"/>
              </w:rPr>
              <w:t>TS 23.501 Update to Network Slice availability</w:t>
            </w:r>
          </w:p>
        </w:tc>
        <w:tc>
          <w:tcPr>
            <w:tcW w:w="708" w:type="dxa"/>
            <w:shd w:val="solid" w:color="FFFFFF" w:fill="auto"/>
          </w:tcPr>
          <w:p w14:paraId="09848648" w14:textId="77777777" w:rsidR="00D40151" w:rsidRPr="00873B6C" w:rsidRDefault="00D40151" w:rsidP="009D14FB">
            <w:pPr>
              <w:pStyle w:val="TAC"/>
              <w:rPr>
                <w:sz w:val="16"/>
                <w:szCs w:val="16"/>
              </w:rPr>
            </w:pPr>
            <w:r w:rsidRPr="00873B6C">
              <w:rPr>
                <w:sz w:val="16"/>
                <w:szCs w:val="16"/>
              </w:rPr>
              <w:t>15.5.0</w:t>
            </w:r>
          </w:p>
        </w:tc>
      </w:tr>
      <w:tr w:rsidR="00D40151" w:rsidRPr="00873B6C" w14:paraId="2AE4CE29" w14:textId="77777777" w:rsidTr="009D14FB">
        <w:tc>
          <w:tcPr>
            <w:tcW w:w="800" w:type="dxa"/>
            <w:shd w:val="solid" w:color="FFFFFF" w:fill="auto"/>
          </w:tcPr>
          <w:p w14:paraId="38EBFAE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004A7E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DAA807E"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71103C5C" w14:textId="77777777" w:rsidR="00D40151" w:rsidRPr="00873B6C" w:rsidRDefault="00D40151" w:rsidP="009D14FB">
            <w:pPr>
              <w:pStyle w:val="TAL"/>
              <w:rPr>
                <w:sz w:val="16"/>
                <w:szCs w:val="16"/>
              </w:rPr>
            </w:pPr>
            <w:r w:rsidRPr="00873B6C">
              <w:rPr>
                <w:sz w:val="16"/>
                <w:szCs w:val="16"/>
              </w:rPr>
              <w:t>0818</w:t>
            </w:r>
          </w:p>
        </w:tc>
        <w:tc>
          <w:tcPr>
            <w:tcW w:w="425" w:type="dxa"/>
            <w:shd w:val="solid" w:color="FFFFFF" w:fill="auto"/>
          </w:tcPr>
          <w:p w14:paraId="16E8866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17967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732FB1" w14:textId="77777777" w:rsidR="00D40151" w:rsidRPr="00873B6C" w:rsidRDefault="00D40151" w:rsidP="009D14FB">
            <w:pPr>
              <w:pStyle w:val="TAL"/>
              <w:rPr>
                <w:sz w:val="16"/>
                <w:szCs w:val="16"/>
              </w:rPr>
            </w:pPr>
            <w:r w:rsidRPr="00873B6C">
              <w:rPr>
                <w:sz w:val="16"/>
                <w:szCs w:val="16"/>
              </w:rPr>
              <w:t>No services defined for Ngmlc</w:t>
            </w:r>
          </w:p>
        </w:tc>
        <w:tc>
          <w:tcPr>
            <w:tcW w:w="708" w:type="dxa"/>
            <w:shd w:val="solid" w:color="FFFFFF" w:fill="auto"/>
          </w:tcPr>
          <w:p w14:paraId="32F98EB7" w14:textId="77777777" w:rsidR="00D40151" w:rsidRPr="00873B6C" w:rsidRDefault="00D40151" w:rsidP="009D14FB">
            <w:pPr>
              <w:pStyle w:val="TAC"/>
              <w:rPr>
                <w:sz w:val="16"/>
                <w:szCs w:val="16"/>
              </w:rPr>
            </w:pPr>
            <w:r w:rsidRPr="00873B6C">
              <w:rPr>
                <w:sz w:val="16"/>
                <w:szCs w:val="16"/>
              </w:rPr>
              <w:t>15.5.0</w:t>
            </w:r>
          </w:p>
        </w:tc>
      </w:tr>
      <w:tr w:rsidR="00D40151" w:rsidRPr="00873B6C" w14:paraId="0DB0519B" w14:textId="77777777" w:rsidTr="009D14FB">
        <w:tc>
          <w:tcPr>
            <w:tcW w:w="800" w:type="dxa"/>
            <w:shd w:val="solid" w:color="FFFFFF" w:fill="auto"/>
          </w:tcPr>
          <w:p w14:paraId="26C5BFE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B5FE5E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90462E0"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38522AE7" w14:textId="77777777" w:rsidR="00D40151" w:rsidRPr="00873B6C" w:rsidRDefault="00D40151" w:rsidP="009D14FB">
            <w:pPr>
              <w:pStyle w:val="TAL"/>
              <w:rPr>
                <w:sz w:val="16"/>
                <w:szCs w:val="16"/>
              </w:rPr>
            </w:pPr>
            <w:r w:rsidRPr="00873B6C">
              <w:rPr>
                <w:sz w:val="16"/>
                <w:szCs w:val="16"/>
              </w:rPr>
              <w:t>0824</w:t>
            </w:r>
          </w:p>
        </w:tc>
        <w:tc>
          <w:tcPr>
            <w:tcW w:w="425" w:type="dxa"/>
            <w:shd w:val="solid" w:color="FFFFFF" w:fill="auto"/>
          </w:tcPr>
          <w:p w14:paraId="4344BFC0"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F7D0E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ADB773" w14:textId="77777777" w:rsidR="00D40151" w:rsidRPr="00873B6C" w:rsidRDefault="00D40151" w:rsidP="009D14FB">
            <w:pPr>
              <w:pStyle w:val="TAL"/>
              <w:rPr>
                <w:sz w:val="16"/>
                <w:szCs w:val="16"/>
              </w:rPr>
            </w:pPr>
            <w:r w:rsidRPr="00873B6C">
              <w:rPr>
                <w:sz w:val="16"/>
                <w:szCs w:val="16"/>
              </w:rPr>
              <w:t>Clarification on DN authorization data</w:t>
            </w:r>
          </w:p>
        </w:tc>
        <w:tc>
          <w:tcPr>
            <w:tcW w:w="708" w:type="dxa"/>
            <w:shd w:val="solid" w:color="FFFFFF" w:fill="auto"/>
          </w:tcPr>
          <w:p w14:paraId="12637C9D" w14:textId="77777777" w:rsidR="00D40151" w:rsidRPr="00873B6C" w:rsidRDefault="00D40151" w:rsidP="009D14FB">
            <w:pPr>
              <w:pStyle w:val="TAC"/>
              <w:rPr>
                <w:sz w:val="16"/>
                <w:szCs w:val="16"/>
              </w:rPr>
            </w:pPr>
            <w:r w:rsidRPr="00873B6C">
              <w:rPr>
                <w:sz w:val="16"/>
                <w:szCs w:val="16"/>
              </w:rPr>
              <w:t>15.5.0</w:t>
            </w:r>
          </w:p>
        </w:tc>
      </w:tr>
      <w:tr w:rsidR="00D40151" w:rsidRPr="00873B6C" w14:paraId="5DA2985E" w14:textId="77777777" w:rsidTr="009D14FB">
        <w:tc>
          <w:tcPr>
            <w:tcW w:w="800" w:type="dxa"/>
            <w:shd w:val="solid" w:color="FFFFFF" w:fill="auto"/>
          </w:tcPr>
          <w:p w14:paraId="40374E1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4BCD88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BCC522A"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68791742" w14:textId="77777777" w:rsidR="00D40151" w:rsidRPr="00873B6C" w:rsidRDefault="00D40151" w:rsidP="009D14FB">
            <w:pPr>
              <w:pStyle w:val="TAL"/>
              <w:rPr>
                <w:sz w:val="16"/>
                <w:szCs w:val="16"/>
              </w:rPr>
            </w:pPr>
            <w:r w:rsidRPr="00873B6C">
              <w:rPr>
                <w:sz w:val="16"/>
                <w:szCs w:val="16"/>
              </w:rPr>
              <w:t>0833</w:t>
            </w:r>
          </w:p>
        </w:tc>
        <w:tc>
          <w:tcPr>
            <w:tcW w:w="425" w:type="dxa"/>
            <w:shd w:val="solid" w:color="FFFFFF" w:fill="auto"/>
          </w:tcPr>
          <w:p w14:paraId="087E1E8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96551C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FEC5A9" w14:textId="77777777" w:rsidR="00D40151" w:rsidRPr="00873B6C" w:rsidRDefault="00D40151" w:rsidP="009D14FB">
            <w:pPr>
              <w:pStyle w:val="TAL"/>
              <w:rPr>
                <w:sz w:val="16"/>
                <w:szCs w:val="16"/>
              </w:rPr>
            </w:pPr>
            <w:r w:rsidRPr="00873B6C">
              <w:rPr>
                <w:sz w:val="16"/>
                <w:szCs w:val="16"/>
              </w:rPr>
              <w:t>Clarification on Establishing a PDU Session in a Network Slice</w:t>
            </w:r>
          </w:p>
        </w:tc>
        <w:tc>
          <w:tcPr>
            <w:tcW w:w="708" w:type="dxa"/>
            <w:shd w:val="solid" w:color="FFFFFF" w:fill="auto"/>
          </w:tcPr>
          <w:p w14:paraId="3EF1CF18" w14:textId="77777777" w:rsidR="00D40151" w:rsidRPr="00873B6C" w:rsidRDefault="00D40151" w:rsidP="009D14FB">
            <w:pPr>
              <w:pStyle w:val="TAC"/>
              <w:rPr>
                <w:sz w:val="16"/>
                <w:szCs w:val="16"/>
              </w:rPr>
            </w:pPr>
            <w:r w:rsidRPr="00873B6C">
              <w:rPr>
                <w:sz w:val="16"/>
                <w:szCs w:val="16"/>
              </w:rPr>
              <w:t>15.5.0</w:t>
            </w:r>
          </w:p>
        </w:tc>
      </w:tr>
      <w:tr w:rsidR="00D40151" w:rsidRPr="00873B6C" w14:paraId="711E7FD3" w14:textId="77777777" w:rsidTr="009D14FB">
        <w:tc>
          <w:tcPr>
            <w:tcW w:w="800" w:type="dxa"/>
            <w:shd w:val="solid" w:color="FFFFFF" w:fill="auto"/>
          </w:tcPr>
          <w:p w14:paraId="41BC476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F0B506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0180BB5"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5585F080" w14:textId="77777777" w:rsidR="00D40151" w:rsidRPr="00873B6C" w:rsidRDefault="00D40151" w:rsidP="009D14FB">
            <w:pPr>
              <w:pStyle w:val="TAL"/>
              <w:rPr>
                <w:sz w:val="16"/>
                <w:szCs w:val="16"/>
              </w:rPr>
            </w:pPr>
            <w:r w:rsidRPr="00873B6C">
              <w:rPr>
                <w:sz w:val="16"/>
                <w:szCs w:val="16"/>
              </w:rPr>
              <w:t>0834</w:t>
            </w:r>
          </w:p>
        </w:tc>
        <w:tc>
          <w:tcPr>
            <w:tcW w:w="425" w:type="dxa"/>
            <w:shd w:val="solid" w:color="FFFFFF" w:fill="auto"/>
          </w:tcPr>
          <w:p w14:paraId="0E683EDC"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5040480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1800AB" w14:textId="6B0F0752" w:rsidR="00D40151" w:rsidRPr="00873B6C" w:rsidRDefault="00704A9E" w:rsidP="009D14FB">
            <w:pPr>
              <w:pStyle w:val="TAL"/>
              <w:rPr>
                <w:sz w:val="16"/>
                <w:szCs w:val="16"/>
              </w:rPr>
            </w:pPr>
            <w:r w:rsidRPr="00873B6C">
              <w:rPr>
                <w:sz w:val="16"/>
                <w:szCs w:val="16"/>
              </w:rPr>
              <w:t xml:space="preserve"> </w:t>
            </w:r>
            <w:r w:rsidR="00D40151" w:rsidRPr="00873B6C">
              <w:rPr>
                <w:sz w:val="16"/>
                <w:szCs w:val="16"/>
              </w:rPr>
              <w:t>Clarification on NAS level congestion control</w:t>
            </w:r>
          </w:p>
        </w:tc>
        <w:tc>
          <w:tcPr>
            <w:tcW w:w="708" w:type="dxa"/>
            <w:shd w:val="solid" w:color="FFFFFF" w:fill="auto"/>
          </w:tcPr>
          <w:p w14:paraId="2CDE8EF1" w14:textId="77777777" w:rsidR="00D40151" w:rsidRPr="00873B6C" w:rsidRDefault="00D40151" w:rsidP="009D14FB">
            <w:pPr>
              <w:pStyle w:val="TAC"/>
              <w:rPr>
                <w:sz w:val="16"/>
                <w:szCs w:val="16"/>
              </w:rPr>
            </w:pPr>
            <w:r w:rsidRPr="00873B6C">
              <w:rPr>
                <w:sz w:val="16"/>
                <w:szCs w:val="16"/>
              </w:rPr>
              <w:t>15.5.0</w:t>
            </w:r>
          </w:p>
        </w:tc>
      </w:tr>
      <w:tr w:rsidR="00D40151" w:rsidRPr="00873B6C" w14:paraId="60F0D973" w14:textId="77777777" w:rsidTr="009D14FB">
        <w:tc>
          <w:tcPr>
            <w:tcW w:w="800" w:type="dxa"/>
            <w:shd w:val="solid" w:color="FFFFFF" w:fill="auto"/>
          </w:tcPr>
          <w:p w14:paraId="3A1ABE6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F07864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B649B9"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42371D71" w14:textId="77777777" w:rsidR="00D40151" w:rsidRPr="00873B6C" w:rsidRDefault="00D40151" w:rsidP="009D14FB">
            <w:pPr>
              <w:pStyle w:val="TAL"/>
              <w:rPr>
                <w:sz w:val="16"/>
                <w:szCs w:val="16"/>
              </w:rPr>
            </w:pPr>
            <w:r w:rsidRPr="00873B6C">
              <w:rPr>
                <w:sz w:val="16"/>
                <w:szCs w:val="16"/>
              </w:rPr>
              <w:t>0853</w:t>
            </w:r>
          </w:p>
        </w:tc>
        <w:tc>
          <w:tcPr>
            <w:tcW w:w="425" w:type="dxa"/>
            <w:shd w:val="solid" w:color="FFFFFF" w:fill="auto"/>
          </w:tcPr>
          <w:p w14:paraId="57714CB8"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099126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64A26E" w14:textId="77777777" w:rsidR="00D40151" w:rsidRPr="00873B6C" w:rsidRDefault="00D40151" w:rsidP="009D14FB">
            <w:pPr>
              <w:pStyle w:val="TAL"/>
              <w:rPr>
                <w:sz w:val="16"/>
                <w:szCs w:val="16"/>
              </w:rPr>
            </w:pPr>
            <w:r w:rsidRPr="00873B6C">
              <w:rPr>
                <w:sz w:val="16"/>
                <w:szCs w:val="16"/>
              </w:rPr>
              <w:t xml:space="preserve"> PS Data Off status update when congestion control is applied in AMF</w:t>
            </w:r>
          </w:p>
        </w:tc>
        <w:tc>
          <w:tcPr>
            <w:tcW w:w="708" w:type="dxa"/>
            <w:shd w:val="solid" w:color="FFFFFF" w:fill="auto"/>
          </w:tcPr>
          <w:p w14:paraId="5EB85710" w14:textId="77777777" w:rsidR="00D40151" w:rsidRPr="00873B6C" w:rsidRDefault="00D40151" w:rsidP="009D14FB">
            <w:pPr>
              <w:pStyle w:val="TAC"/>
              <w:rPr>
                <w:sz w:val="16"/>
                <w:szCs w:val="16"/>
              </w:rPr>
            </w:pPr>
            <w:r w:rsidRPr="00873B6C">
              <w:rPr>
                <w:sz w:val="16"/>
                <w:szCs w:val="16"/>
              </w:rPr>
              <w:t>15.5.0</w:t>
            </w:r>
          </w:p>
        </w:tc>
      </w:tr>
      <w:tr w:rsidR="00D40151" w:rsidRPr="00873B6C" w14:paraId="4782E281" w14:textId="77777777" w:rsidTr="009D14FB">
        <w:tc>
          <w:tcPr>
            <w:tcW w:w="800" w:type="dxa"/>
            <w:shd w:val="solid" w:color="FFFFFF" w:fill="auto"/>
          </w:tcPr>
          <w:p w14:paraId="12D30C6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58FE6B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C93F59E"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13428C23" w14:textId="77777777" w:rsidR="00D40151" w:rsidRPr="00873B6C" w:rsidRDefault="00D40151" w:rsidP="009D14FB">
            <w:pPr>
              <w:pStyle w:val="TAL"/>
              <w:rPr>
                <w:sz w:val="16"/>
                <w:szCs w:val="16"/>
              </w:rPr>
            </w:pPr>
            <w:r w:rsidRPr="00873B6C">
              <w:rPr>
                <w:sz w:val="16"/>
                <w:szCs w:val="16"/>
              </w:rPr>
              <w:t>0857</w:t>
            </w:r>
          </w:p>
        </w:tc>
        <w:tc>
          <w:tcPr>
            <w:tcW w:w="425" w:type="dxa"/>
            <w:shd w:val="solid" w:color="FFFFFF" w:fill="auto"/>
          </w:tcPr>
          <w:p w14:paraId="7B06D71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77101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B0D76A" w14:textId="77777777" w:rsidR="00D40151" w:rsidRPr="00873B6C" w:rsidRDefault="00D40151" w:rsidP="009D14FB">
            <w:pPr>
              <w:pStyle w:val="TAL"/>
              <w:rPr>
                <w:sz w:val="16"/>
                <w:szCs w:val="16"/>
              </w:rPr>
            </w:pPr>
            <w:r w:rsidRPr="00873B6C">
              <w:rPr>
                <w:sz w:val="16"/>
                <w:szCs w:val="16"/>
              </w:rPr>
              <w:t>Correction to Mobility Restrictions (for non-3GPP access)</w:t>
            </w:r>
          </w:p>
        </w:tc>
        <w:tc>
          <w:tcPr>
            <w:tcW w:w="708" w:type="dxa"/>
            <w:shd w:val="solid" w:color="FFFFFF" w:fill="auto"/>
          </w:tcPr>
          <w:p w14:paraId="5544B28E" w14:textId="77777777" w:rsidR="00D40151" w:rsidRPr="00873B6C" w:rsidRDefault="00D40151" w:rsidP="009D14FB">
            <w:pPr>
              <w:pStyle w:val="TAC"/>
              <w:rPr>
                <w:sz w:val="16"/>
                <w:szCs w:val="16"/>
              </w:rPr>
            </w:pPr>
            <w:r w:rsidRPr="00873B6C">
              <w:rPr>
                <w:sz w:val="16"/>
                <w:szCs w:val="16"/>
              </w:rPr>
              <w:t>15.5.0</w:t>
            </w:r>
          </w:p>
        </w:tc>
      </w:tr>
      <w:tr w:rsidR="00D40151" w:rsidRPr="00873B6C" w14:paraId="04AF338A" w14:textId="77777777" w:rsidTr="009D14FB">
        <w:tc>
          <w:tcPr>
            <w:tcW w:w="800" w:type="dxa"/>
            <w:shd w:val="solid" w:color="FFFFFF" w:fill="auto"/>
          </w:tcPr>
          <w:p w14:paraId="0338557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3329D1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7C0D79D"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6C1CA096" w14:textId="77777777" w:rsidR="00D40151" w:rsidRPr="00873B6C" w:rsidRDefault="00D40151" w:rsidP="009D14FB">
            <w:pPr>
              <w:pStyle w:val="TAL"/>
              <w:rPr>
                <w:sz w:val="16"/>
                <w:szCs w:val="16"/>
              </w:rPr>
            </w:pPr>
            <w:r w:rsidRPr="00873B6C">
              <w:rPr>
                <w:sz w:val="16"/>
                <w:szCs w:val="16"/>
              </w:rPr>
              <w:t>0860</w:t>
            </w:r>
          </w:p>
        </w:tc>
        <w:tc>
          <w:tcPr>
            <w:tcW w:w="425" w:type="dxa"/>
            <w:shd w:val="solid" w:color="FFFFFF" w:fill="auto"/>
          </w:tcPr>
          <w:p w14:paraId="214992A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8CDE2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D342A55" w14:textId="77777777" w:rsidR="00D40151" w:rsidRPr="00873B6C" w:rsidRDefault="00D40151" w:rsidP="009D14FB">
            <w:pPr>
              <w:pStyle w:val="TAL"/>
              <w:rPr>
                <w:sz w:val="16"/>
                <w:szCs w:val="16"/>
              </w:rPr>
            </w:pPr>
            <w:r w:rsidRPr="00873B6C">
              <w:rPr>
                <w:sz w:val="16"/>
                <w:szCs w:val="16"/>
              </w:rPr>
              <w:t>Clarification on the UE behaviours under NAS level congestion control</w:t>
            </w:r>
          </w:p>
        </w:tc>
        <w:tc>
          <w:tcPr>
            <w:tcW w:w="708" w:type="dxa"/>
            <w:shd w:val="solid" w:color="FFFFFF" w:fill="auto"/>
          </w:tcPr>
          <w:p w14:paraId="7548CB61" w14:textId="77777777" w:rsidR="00D40151" w:rsidRPr="00873B6C" w:rsidRDefault="00D40151" w:rsidP="009D14FB">
            <w:pPr>
              <w:pStyle w:val="TAC"/>
              <w:rPr>
                <w:sz w:val="16"/>
                <w:szCs w:val="16"/>
              </w:rPr>
            </w:pPr>
            <w:r w:rsidRPr="00873B6C">
              <w:rPr>
                <w:sz w:val="16"/>
                <w:szCs w:val="16"/>
              </w:rPr>
              <w:t>15.5.0</w:t>
            </w:r>
          </w:p>
        </w:tc>
      </w:tr>
      <w:tr w:rsidR="00D40151" w:rsidRPr="00873B6C" w14:paraId="4773A002" w14:textId="77777777" w:rsidTr="009D14FB">
        <w:tc>
          <w:tcPr>
            <w:tcW w:w="800" w:type="dxa"/>
            <w:shd w:val="solid" w:color="FFFFFF" w:fill="auto"/>
          </w:tcPr>
          <w:p w14:paraId="5058ECC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E81731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729853C"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1EE93214" w14:textId="77777777" w:rsidR="00D40151" w:rsidRPr="00873B6C" w:rsidRDefault="00D40151" w:rsidP="009D14FB">
            <w:pPr>
              <w:pStyle w:val="TAL"/>
              <w:rPr>
                <w:sz w:val="16"/>
                <w:szCs w:val="16"/>
              </w:rPr>
            </w:pPr>
            <w:r w:rsidRPr="00873B6C">
              <w:rPr>
                <w:sz w:val="16"/>
                <w:szCs w:val="16"/>
              </w:rPr>
              <w:t>0875</w:t>
            </w:r>
          </w:p>
        </w:tc>
        <w:tc>
          <w:tcPr>
            <w:tcW w:w="425" w:type="dxa"/>
            <w:shd w:val="solid" w:color="FFFFFF" w:fill="auto"/>
          </w:tcPr>
          <w:p w14:paraId="7332F69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52AEA1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62D868" w14:textId="77777777" w:rsidR="00D40151" w:rsidRPr="00873B6C" w:rsidRDefault="00D40151" w:rsidP="009D14FB">
            <w:pPr>
              <w:pStyle w:val="TAL"/>
              <w:rPr>
                <w:sz w:val="16"/>
                <w:szCs w:val="16"/>
              </w:rPr>
            </w:pPr>
            <w:r w:rsidRPr="00873B6C">
              <w:rPr>
                <w:sz w:val="16"/>
                <w:szCs w:val="16"/>
              </w:rPr>
              <w:t>Permanent identifier with IMEISV format</w:t>
            </w:r>
          </w:p>
        </w:tc>
        <w:tc>
          <w:tcPr>
            <w:tcW w:w="708" w:type="dxa"/>
            <w:shd w:val="solid" w:color="FFFFFF" w:fill="auto"/>
          </w:tcPr>
          <w:p w14:paraId="1D14F123" w14:textId="77777777" w:rsidR="00D40151" w:rsidRPr="00873B6C" w:rsidRDefault="00D40151" w:rsidP="009D14FB">
            <w:pPr>
              <w:pStyle w:val="TAC"/>
              <w:rPr>
                <w:sz w:val="16"/>
                <w:szCs w:val="16"/>
              </w:rPr>
            </w:pPr>
            <w:r w:rsidRPr="00873B6C">
              <w:rPr>
                <w:sz w:val="16"/>
                <w:szCs w:val="16"/>
              </w:rPr>
              <w:t>15.5.0</w:t>
            </w:r>
          </w:p>
        </w:tc>
      </w:tr>
      <w:tr w:rsidR="00D40151" w:rsidRPr="00873B6C" w14:paraId="43F35FD5" w14:textId="77777777" w:rsidTr="009D14FB">
        <w:tc>
          <w:tcPr>
            <w:tcW w:w="800" w:type="dxa"/>
            <w:shd w:val="solid" w:color="FFFFFF" w:fill="auto"/>
          </w:tcPr>
          <w:p w14:paraId="39CE53D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B72C37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CC1385F"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5B9C5852" w14:textId="77777777" w:rsidR="00D40151" w:rsidRPr="00873B6C" w:rsidRDefault="00D40151" w:rsidP="009D14FB">
            <w:pPr>
              <w:pStyle w:val="TAL"/>
              <w:rPr>
                <w:sz w:val="16"/>
                <w:szCs w:val="16"/>
              </w:rPr>
            </w:pPr>
            <w:r w:rsidRPr="00873B6C">
              <w:rPr>
                <w:sz w:val="16"/>
                <w:szCs w:val="16"/>
              </w:rPr>
              <w:t>0876</w:t>
            </w:r>
          </w:p>
        </w:tc>
        <w:tc>
          <w:tcPr>
            <w:tcW w:w="425" w:type="dxa"/>
            <w:shd w:val="solid" w:color="FFFFFF" w:fill="auto"/>
          </w:tcPr>
          <w:p w14:paraId="17F52A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36807A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FB97BF" w14:textId="77777777" w:rsidR="00D40151" w:rsidRPr="00873B6C" w:rsidRDefault="00D40151" w:rsidP="009D14FB">
            <w:pPr>
              <w:pStyle w:val="TAL"/>
              <w:rPr>
                <w:sz w:val="16"/>
                <w:szCs w:val="16"/>
              </w:rPr>
            </w:pPr>
            <w:r w:rsidRPr="00873B6C">
              <w:rPr>
                <w:sz w:val="16"/>
                <w:szCs w:val="16"/>
              </w:rPr>
              <w:t>Removing a superfluous NOTE about the need for ultra-low latency QCI/5Qis</w:t>
            </w:r>
          </w:p>
        </w:tc>
        <w:tc>
          <w:tcPr>
            <w:tcW w:w="708" w:type="dxa"/>
            <w:shd w:val="solid" w:color="FFFFFF" w:fill="auto"/>
          </w:tcPr>
          <w:p w14:paraId="26F945B1" w14:textId="77777777" w:rsidR="00D40151" w:rsidRPr="00873B6C" w:rsidRDefault="00D40151" w:rsidP="009D14FB">
            <w:pPr>
              <w:pStyle w:val="TAC"/>
              <w:rPr>
                <w:sz w:val="16"/>
                <w:szCs w:val="16"/>
              </w:rPr>
            </w:pPr>
            <w:r w:rsidRPr="00873B6C">
              <w:rPr>
                <w:sz w:val="16"/>
                <w:szCs w:val="16"/>
              </w:rPr>
              <w:t>15.5.0</w:t>
            </w:r>
          </w:p>
        </w:tc>
      </w:tr>
      <w:tr w:rsidR="00D40151" w:rsidRPr="00873B6C" w14:paraId="47608870" w14:textId="77777777" w:rsidTr="009D14FB">
        <w:tc>
          <w:tcPr>
            <w:tcW w:w="800" w:type="dxa"/>
            <w:shd w:val="solid" w:color="FFFFFF" w:fill="auto"/>
          </w:tcPr>
          <w:p w14:paraId="6AB0419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6D2696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1223277"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27F6D2DA" w14:textId="77777777" w:rsidR="00D40151" w:rsidRPr="00873B6C" w:rsidRDefault="00D40151" w:rsidP="009D14FB">
            <w:pPr>
              <w:pStyle w:val="TAL"/>
              <w:rPr>
                <w:sz w:val="16"/>
                <w:szCs w:val="16"/>
              </w:rPr>
            </w:pPr>
            <w:r w:rsidRPr="00873B6C">
              <w:rPr>
                <w:sz w:val="16"/>
                <w:szCs w:val="16"/>
              </w:rPr>
              <w:t>0877</w:t>
            </w:r>
          </w:p>
        </w:tc>
        <w:tc>
          <w:tcPr>
            <w:tcW w:w="425" w:type="dxa"/>
            <w:shd w:val="solid" w:color="FFFFFF" w:fill="auto"/>
          </w:tcPr>
          <w:p w14:paraId="4303C3F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0280F11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AD8820" w14:textId="77777777" w:rsidR="00D40151" w:rsidRPr="00873B6C" w:rsidRDefault="00D40151" w:rsidP="009D14FB">
            <w:pPr>
              <w:pStyle w:val="TAL"/>
              <w:rPr>
                <w:sz w:val="16"/>
                <w:szCs w:val="16"/>
              </w:rPr>
            </w:pPr>
            <w:r w:rsidRPr="00873B6C">
              <w:rPr>
                <w:sz w:val="16"/>
                <w:szCs w:val="16"/>
              </w:rPr>
              <w:t>Allowed Area and Non-Allowed Area encoding</w:t>
            </w:r>
          </w:p>
        </w:tc>
        <w:tc>
          <w:tcPr>
            <w:tcW w:w="708" w:type="dxa"/>
            <w:shd w:val="solid" w:color="FFFFFF" w:fill="auto"/>
          </w:tcPr>
          <w:p w14:paraId="474BF0C5" w14:textId="77777777" w:rsidR="00D40151" w:rsidRPr="00873B6C" w:rsidRDefault="00D40151" w:rsidP="009D14FB">
            <w:pPr>
              <w:pStyle w:val="TAC"/>
              <w:rPr>
                <w:sz w:val="16"/>
                <w:szCs w:val="16"/>
              </w:rPr>
            </w:pPr>
            <w:r w:rsidRPr="00873B6C">
              <w:rPr>
                <w:sz w:val="16"/>
                <w:szCs w:val="16"/>
              </w:rPr>
              <w:t>15.5.0</w:t>
            </w:r>
          </w:p>
        </w:tc>
      </w:tr>
      <w:tr w:rsidR="00D40151" w:rsidRPr="00873B6C" w14:paraId="3608D23F" w14:textId="77777777" w:rsidTr="009D14FB">
        <w:tc>
          <w:tcPr>
            <w:tcW w:w="800" w:type="dxa"/>
            <w:shd w:val="solid" w:color="FFFFFF" w:fill="auto"/>
          </w:tcPr>
          <w:p w14:paraId="5D5F067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18875B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B1825C7"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386DFD4A" w14:textId="77777777" w:rsidR="00D40151" w:rsidRPr="00873B6C" w:rsidRDefault="00D40151" w:rsidP="009D14FB">
            <w:pPr>
              <w:pStyle w:val="TAL"/>
              <w:rPr>
                <w:sz w:val="16"/>
                <w:szCs w:val="16"/>
              </w:rPr>
            </w:pPr>
            <w:r w:rsidRPr="00873B6C">
              <w:rPr>
                <w:sz w:val="16"/>
                <w:szCs w:val="16"/>
              </w:rPr>
              <w:t>0901</w:t>
            </w:r>
          </w:p>
        </w:tc>
        <w:tc>
          <w:tcPr>
            <w:tcW w:w="425" w:type="dxa"/>
            <w:shd w:val="solid" w:color="FFFFFF" w:fill="auto"/>
          </w:tcPr>
          <w:p w14:paraId="6E9AC9F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43BB0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6B3717" w14:textId="77777777" w:rsidR="00D40151" w:rsidRPr="00873B6C" w:rsidRDefault="00D40151" w:rsidP="009D14FB">
            <w:pPr>
              <w:pStyle w:val="TAL"/>
              <w:rPr>
                <w:sz w:val="16"/>
                <w:szCs w:val="16"/>
              </w:rPr>
            </w:pPr>
            <w:r w:rsidRPr="00873B6C">
              <w:rPr>
                <w:sz w:val="16"/>
                <w:szCs w:val="16"/>
              </w:rPr>
              <w:t>Alignment of Emergency Registered definition with Stage 3</w:t>
            </w:r>
          </w:p>
        </w:tc>
        <w:tc>
          <w:tcPr>
            <w:tcW w:w="708" w:type="dxa"/>
            <w:shd w:val="solid" w:color="FFFFFF" w:fill="auto"/>
          </w:tcPr>
          <w:p w14:paraId="642D39A1" w14:textId="77777777" w:rsidR="00D40151" w:rsidRPr="00873B6C" w:rsidRDefault="00D40151" w:rsidP="009D14FB">
            <w:pPr>
              <w:pStyle w:val="TAC"/>
              <w:rPr>
                <w:sz w:val="16"/>
                <w:szCs w:val="16"/>
              </w:rPr>
            </w:pPr>
            <w:r w:rsidRPr="00873B6C">
              <w:rPr>
                <w:sz w:val="16"/>
                <w:szCs w:val="16"/>
              </w:rPr>
              <w:t>15.5.0</w:t>
            </w:r>
          </w:p>
        </w:tc>
      </w:tr>
      <w:tr w:rsidR="00D40151" w:rsidRPr="00873B6C" w14:paraId="3A2C063C" w14:textId="77777777" w:rsidTr="009D14FB">
        <w:tc>
          <w:tcPr>
            <w:tcW w:w="800" w:type="dxa"/>
            <w:shd w:val="solid" w:color="FFFFFF" w:fill="auto"/>
          </w:tcPr>
          <w:p w14:paraId="0B767EE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BEFFAE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07846BB"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413E483A" w14:textId="77777777" w:rsidR="00D40151" w:rsidRPr="00873B6C" w:rsidRDefault="00D40151" w:rsidP="009D14FB">
            <w:pPr>
              <w:pStyle w:val="TAL"/>
              <w:rPr>
                <w:sz w:val="16"/>
                <w:szCs w:val="16"/>
              </w:rPr>
            </w:pPr>
            <w:r w:rsidRPr="00873B6C">
              <w:rPr>
                <w:sz w:val="16"/>
                <w:szCs w:val="16"/>
              </w:rPr>
              <w:t>0904</w:t>
            </w:r>
          </w:p>
        </w:tc>
        <w:tc>
          <w:tcPr>
            <w:tcW w:w="425" w:type="dxa"/>
            <w:shd w:val="solid" w:color="FFFFFF" w:fill="auto"/>
          </w:tcPr>
          <w:p w14:paraId="0D65C02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38A2F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4A4177" w14:textId="77777777" w:rsidR="00D40151" w:rsidRPr="00873B6C" w:rsidRDefault="00D40151" w:rsidP="009D14FB">
            <w:pPr>
              <w:pStyle w:val="TAL"/>
              <w:rPr>
                <w:sz w:val="16"/>
                <w:szCs w:val="16"/>
              </w:rPr>
            </w:pPr>
            <w:r w:rsidRPr="00873B6C">
              <w:rPr>
                <w:sz w:val="16"/>
                <w:szCs w:val="16"/>
              </w:rPr>
              <w:t>Addition of PCF services Npcf_UEPolicyControl and Npcf_EventExposure</w:t>
            </w:r>
          </w:p>
        </w:tc>
        <w:tc>
          <w:tcPr>
            <w:tcW w:w="708" w:type="dxa"/>
            <w:shd w:val="solid" w:color="FFFFFF" w:fill="auto"/>
          </w:tcPr>
          <w:p w14:paraId="36BE360B" w14:textId="77777777" w:rsidR="00D40151" w:rsidRPr="00873B6C" w:rsidRDefault="00D40151" w:rsidP="009D14FB">
            <w:pPr>
              <w:pStyle w:val="TAC"/>
              <w:rPr>
                <w:sz w:val="16"/>
                <w:szCs w:val="16"/>
              </w:rPr>
            </w:pPr>
            <w:r w:rsidRPr="00873B6C">
              <w:rPr>
                <w:sz w:val="16"/>
                <w:szCs w:val="16"/>
              </w:rPr>
              <w:t>15.5.0</w:t>
            </w:r>
          </w:p>
        </w:tc>
      </w:tr>
      <w:tr w:rsidR="00D40151" w:rsidRPr="00873B6C" w14:paraId="75D1EBD7" w14:textId="77777777" w:rsidTr="009D14FB">
        <w:tc>
          <w:tcPr>
            <w:tcW w:w="800" w:type="dxa"/>
            <w:shd w:val="solid" w:color="FFFFFF" w:fill="auto"/>
          </w:tcPr>
          <w:p w14:paraId="45F7F52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484AC5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0D450EA"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6C30C32C" w14:textId="77777777" w:rsidR="00D40151" w:rsidRPr="00873B6C" w:rsidRDefault="00D40151" w:rsidP="009D14FB">
            <w:pPr>
              <w:pStyle w:val="TAL"/>
              <w:rPr>
                <w:sz w:val="16"/>
                <w:szCs w:val="16"/>
              </w:rPr>
            </w:pPr>
            <w:r w:rsidRPr="00873B6C">
              <w:rPr>
                <w:sz w:val="16"/>
                <w:szCs w:val="16"/>
              </w:rPr>
              <w:t>0910</w:t>
            </w:r>
          </w:p>
        </w:tc>
        <w:tc>
          <w:tcPr>
            <w:tcW w:w="425" w:type="dxa"/>
            <w:shd w:val="solid" w:color="FFFFFF" w:fill="auto"/>
          </w:tcPr>
          <w:p w14:paraId="25BC689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8056D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376F24" w14:textId="77777777" w:rsidR="00D40151" w:rsidRPr="00873B6C" w:rsidRDefault="00D40151" w:rsidP="009D14FB">
            <w:pPr>
              <w:pStyle w:val="TAL"/>
              <w:rPr>
                <w:sz w:val="16"/>
                <w:szCs w:val="16"/>
              </w:rPr>
            </w:pPr>
            <w:r w:rsidRPr="00873B6C">
              <w:rPr>
                <w:sz w:val="16"/>
                <w:szCs w:val="16"/>
              </w:rPr>
              <w:t>Clarification on ARP Proxy</w:t>
            </w:r>
          </w:p>
        </w:tc>
        <w:tc>
          <w:tcPr>
            <w:tcW w:w="708" w:type="dxa"/>
            <w:shd w:val="solid" w:color="FFFFFF" w:fill="auto"/>
          </w:tcPr>
          <w:p w14:paraId="50AF72BF" w14:textId="77777777" w:rsidR="00D40151" w:rsidRPr="00873B6C" w:rsidRDefault="00D40151" w:rsidP="009D14FB">
            <w:pPr>
              <w:pStyle w:val="TAC"/>
              <w:rPr>
                <w:sz w:val="16"/>
                <w:szCs w:val="16"/>
              </w:rPr>
            </w:pPr>
            <w:r w:rsidRPr="00873B6C">
              <w:rPr>
                <w:sz w:val="16"/>
                <w:szCs w:val="16"/>
              </w:rPr>
              <w:t>15.5.0</w:t>
            </w:r>
          </w:p>
        </w:tc>
      </w:tr>
      <w:tr w:rsidR="00D40151" w:rsidRPr="00873B6C" w14:paraId="2C1BA4A6" w14:textId="77777777" w:rsidTr="009D14FB">
        <w:tc>
          <w:tcPr>
            <w:tcW w:w="800" w:type="dxa"/>
            <w:shd w:val="solid" w:color="FFFFFF" w:fill="auto"/>
          </w:tcPr>
          <w:p w14:paraId="11518ADF" w14:textId="77777777" w:rsidR="00D40151" w:rsidRPr="00873B6C" w:rsidRDefault="00D40151" w:rsidP="009D14FB">
            <w:pPr>
              <w:pStyle w:val="TAC"/>
              <w:rPr>
                <w:sz w:val="16"/>
                <w:szCs w:val="16"/>
              </w:rPr>
            </w:pPr>
            <w:r w:rsidRPr="00873B6C">
              <w:rPr>
                <w:sz w:val="16"/>
                <w:szCs w:val="16"/>
              </w:rPr>
              <w:lastRenderedPageBreak/>
              <w:t>2019-03</w:t>
            </w:r>
          </w:p>
        </w:tc>
        <w:tc>
          <w:tcPr>
            <w:tcW w:w="800" w:type="dxa"/>
            <w:shd w:val="solid" w:color="FFFFFF" w:fill="auto"/>
          </w:tcPr>
          <w:p w14:paraId="004958E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8E4E2ED"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1FE25061" w14:textId="77777777" w:rsidR="00D40151" w:rsidRPr="00873B6C" w:rsidRDefault="00D40151" w:rsidP="009D14FB">
            <w:pPr>
              <w:pStyle w:val="TAL"/>
              <w:rPr>
                <w:sz w:val="16"/>
                <w:szCs w:val="16"/>
              </w:rPr>
            </w:pPr>
            <w:r w:rsidRPr="00873B6C">
              <w:rPr>
                <w:sz w:val="16"/>
                <w:szCs w:val="16"/>
              </w:rPr>
              <w:t>0913</w:t>
            </w:r>
          </w:p>
        </w:tc>
        <w:tc>
          <w:tcPr>
            <w:tcW w:w="425" w:type="dxa"/>
            <w:shd w:val="solid" w:color="FFFFFF" w:fill="auto"/>
          </w:tcPr>
          <w:p w14:paraId="4832568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E2DB1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F630BB" w14:textId="77777777" w:rsidR="00D40151" w:rsidRPr="00873B6C" w:rsidRDefault="00D40151" w:rsidP="009D14FB">
            <w:pPr>
              <w:pStyle w:val="TAL"/>
              <w:rPr>
                <w:sz w:val="16"/>
                <w:szCs w:val="16"/>
              </w:rPr>
            </w:pPr>
            <w:r w:rsidRPr="00873B6C">
              <w:rPr>
                <w:sz w:val="16"/>
                <w:szCs w:val="16"/>
              </w:rPr>
              <w:t>PS Data Off status update when UE in non-allowed area or out of LADN area</w:t>
            </w:r>
          </w:p>
        </w:tc>
        <w:tc>
          <w:tcPr>
            <w:tcW w:w="708" w:type="dxa"/>
            <w:shd w:val="solid" w:color="FFFFFF" w:fill="auto"/>
          </w:tcPr>
          <w:p w14:paraId="04B8442A" w14:textId="77777777" w:rsidR="00D40151" w:rsidRPr="00873B6C" w:rsidRDefault="00D40151" w:rsidP="009D14FB">
            <w:pPr>
              <w:pStyle w:val="TAC"/>
              <w:rPr>
                <w:sz w:val="16"/>
                <w:szCs w:val="16"/>
              </w:rPr>
            </w:pPr>
            <w:r w:rsidRPr="00873B6C">
              <w:rPr>
                <w:sz w:val="16"/>
                <w:szCs w:val="16"/>
              </w:rPr>
              <w:t>15.5.0</w:t>
            </w:r>
          </w:p>
        </w:tc>
      </w:tr>
      <w:tr w:rsidR="00D40151" w:rsidRPr="00873B6C" w14:paraId="6B6E1118" w14:textId="77777777" w:rsidTr="009D14FB">
        <w:tc>
          <w:tcPr>
            <w:tcW w:w="800" w:type="dxa"/>
            <w:shd w:val="solid" w:color="FFFFFF" w:fill="auto"/>
          </w:tcPr>
          <w:p w14:paraId="3B88404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516EB0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B43B328"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3F3CB4D0" w14:textId="77777777" w:rsidR="00D40151" w:rsidRPr="00873B6C" w:rsidRDefault="00D40151" w:rsidP="009D14FB">
            <w:pPr>
              <w:pStyle w:val="TAL"/>
              <w:rPr>
                <w:sz w:val="16"/>
                <w:szCs w:val="16"/>
              </w:rPr>
            </w:pPr>
            <w:r w:rsidRPr="00873B6C">
              <w:rPr>
                <w:sz w:val="16"/>
                <w:szCs w:val="16"/>
              </w:rPr>
              <w:t xml:space="preserve">0915 </w:t>
            </w:r>
          </w:p>
        </w:tc>
        <w:tc>
          <w:tcPr>
            <w:tcW w:w="425" w:type="dxa"/>
            <w:shd w:val="solid" w:color="FFFFFF" w:fill="auto"/>
          </w:tcPr>
          <w:p w14:paraId="16F15AA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42F1F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DADD48" w14:textId="77777777" w:rsidR="00D40151" w:rsidRPr="00873B6C" w:rsidRDefault="00D40151" w:rsidP="009D14FB">
            <w:pPr>
              <w:pStyle w:val="TAL"/>
              <w:rPr>
                <w:sz w:val="16"/>
                <w:szCs w:val="16"/>
              </w:rPr>
            </w:pPr>
            <w:r w:rsidRPr="00873B6C">
              <w:rPr>
                <w:sz w:val="16"/>
                <w:szCs w:val="16"/>
              </w:rPr>
              <w:t>Non-roaming reference architecture correction</w:t>
            </w:r>
          </w:p>
        </w:tc>
        <w:tc>
          <w:tcPr>
            <w:tcW w:w="708" w:type="dxa"/>
            <w:shd w:val="solid" w:color="FFFFFF" w:fill="auto"/>
          </w:tcPr>
          <w:p w14:paraId="0D680AAC" w14:textId="77777777" w:rsidR="00D40151" w:rsidRPr="00873B6C" w:rsidRDefault="00D40151" w:rsidP="009D14FB">
            <w:pPr>
              <w:pStyle w:val="TAC"/>
              <w:rPr>
                <w:sz w:val="16"/>
                <w:szCs w:val="16"/>
              </w:rPr>
            </w:pPr>
            <w:r w:rsidRPr="00873B6C">
              <w:rPr>
                <w:sz w:val="16"/>
                <w:szCs w:val="16"/>
              </w:rPr>
              <w:t>15.5.0</w:t>
            </w:r>
          </w:p>
        </w:tc>
      </w:tr>
      <w:tr w:rsidR="00D40151" w:rsidRPr="00873B6C" w14:paraId="6C33BEF0" w14:textId="77777777" w:rsidTr="009D14FB">
        <w:tc>
          <w:tcPr>
            <w:tcW w:w="800" w:type="dxa"/>
            <w:shd w:val="solid" w:color="FFFFFF" w:fill="auto"/>
          </w:tcPr>
          <w:p w14:paraId="7892B0C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E9524F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AB769F3"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596869CA" w14:textId="77777777" w:rsidR="00D40151" w:rsidRPr="00873B6C" w:rsidRDefault="00D40151" w:rsidP="009D14FB">
            <w:pPr>
              <w:pStyle w:val="TAL"/>
              <w:rPr>
                <w:sz w:val="16"/>
                <w:szCs w:val="16"/>
              </w:rPr>
            </w:pPr>
            <w:r w:rsidRPr="00873B6C">
              <w:rPr>
                <w:sz w:val="16"/>
                <w:szCs w:val="16"/>
              </w:rPr>
              <w:t>0922</w:t>
            </w:r>
          </w:p>
        </w:tc>
        <w:tc>
          <w:tcPr>
            <w:tcW w:w="425" w:type="dxa"/>
            <w:shd w:val="solid" w:color="FFFFFF" w:fill="auto"/>
          </w:tcPr>
          <w:p w14:paraId="15AF546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45F4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BF8B03" w14:textId="77777777" w:rsidR="00D40151" w:rsidRPr="00873B6C" w:rsidRDefault="00D40151" w:rsidP="009D14FB">
            <w:pPr>
              <w:pStyle w:val="TAL"/>
              <w:rPr>
                <w:sz w:val="16"/>
                <w:szCs w:val="16"/>
              </w:rPr>
            </w:pPr>
            <w:r w:rsidRPr="00873B6C">
              <w:rPr>
                <w:sz w:val="16"/>
                <w:szCs w:val="16"/>
              </w:rPr>
              <w:t>TS 23.501: correction for enforcement of user plane integrity protection</w:t>
            </w:r>
          </w:p>
        </w:tc>
        <w:tc>
          <w:tcPr>
            <w:tcW w:w="708" w:type="dxa"/>
            <w:shd w:val="solid" w:color="FFFFFF" w:fill="auto"/>
          </w:tcPr>
          <w:p w14:paraId="5F44C483" w14:textId="77777777" w:rsidR="00D40151" w:rsidRPr="00873B6C" w:rsidRDefault="00D40151" w:rsidP="009D14FB">
            <w:pPr>
              <w:pStyle w:val="TAC"/>
              <w:rPr>
                <w:sz w:val="16"/>
                <w:szCs w:val="16"/>
              </w:rPr>
            </w:pPr>
            <w:r w:rsidRPr="00873B6C">
              <w:rPr>
                <w:sz w:val="16"/>
                <w:szCs w:val="16"/>
              </w:rPr>
              <w:t>15.5.0</w:t>
            </w:r>
          </w:p>
        </w:tc>
      </w:tr>
      <w:tr w:rsidR="00D40151" w:rsidRPr="00873B6C" w14:paraId="7F9D99FD" w14:textId="77777777" w:rsidTr="009D14FB">
        <w:tc>
          <w:tcPr>
            <w:tcW w:w="800" w:type="dxa"/>
            <w:shd w:val="solid" w:color="FFFFFF" w:fill="auto"/>
          </w:tcPr>
          <w:p w14:paraId="1830E5D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6EF1FA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E9F5298"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13058C8" w14:textId="77777777" w:rsidR="00D40151" w:rsidRPr="00873B6C" w:rsidRDefault="00D40151" w:rsidP="009D14FB">
            <w:pPr>
              <w:pStyle w:val="TAL"/>
              <w:rPr>
                <w:sz w:val="16"/>
                <w:szCs w:val="16"/>
              </w:rPr>
            </w:pPr>
            <w:r w:rsidRPr="00873B6C">
              <w:rPr>
                <w:sz w:val="16"/>
                <w:szCs w:val="16"/>
              </w:rPr>
              <w:t>0932</w:t>
            </w:r>
          </w:p>
        </w:tc>
        <w:tc>
          <w:tcPr>
            <w:tcW w:w="425" w:type="dxa"/>
            <w:shd w:val="solid" w:color="FFFFFF" w:fill="auto"/>
          </w:tcPr>
          <w:p w14:paraId="36CA8FA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3F6C15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63A4E1" w14:textId="77777777" w:rsidR="00D40151" w:rsidRPr="00873B6C" w:rsidRDefault="00D40151" w:rsidP="009D14FB">
            <w:pPr>
              <w:pStyle w:val="TAL"/>
              <w:rPr>
                <w:sz w:val="16"/>
                <w:szCs w:val="16"/>
              </w:rPr>
            </w:pPr>
            <w:r w:rsidRPr="00873B6C">
              <w:rPr>
                <w:sz w:val="16"/>
                <w:szCs w:val="16"/>
              </w:rPr>
              <w:t xml:space="preserve">Clarification on the PDU Session parameter </w:t>
            </w:r>
          </w:p>
        </w:tc>
        <w:tc>
          <w:tcPr>
            <w:tcW w:w="708" w:type="dxa"/>
            <w:shd w:val="solid" w:color="FFFFFF" w:fill="auto"/>
          </w:tcPr>
          <w:p w14:paraId="15B94520" w14:textId="77777777" w:rsidR="00D40151" w:rsidRPr="00873B6C" w:rsidRDefault="00D40151" w:rsidP="009D14FB">
            <w:pPr>
              <w:pStyle w:val="TAC"/>
              <w:rPr>
                <w:sz w:val="16"/>
                <w:szCs w:val="16"/>
              </w:rPr>
            </w:pPr>
            <w:r w:rsidRPr="00873B6C">
              <w:rPr>
                <w:sz w:val="16"/>
                <w:szCs w:val="16"/>
              </w:rPr>
              <w:t>15.5.0</w:t>
            </w:r>
          </w:p>
        </w:tc>
      </w:tr>
      <w:tr w:rsidR="00D40151" w:rsidRPr="00873B6C" w14:paraId="2DAFEA0C" w14:textId="77777777" w:rsidTr="009D14FB">
        <w:tc>
          <w:tcPr>
            <w:tcW w:w="800" w:type="dxa"/>
            <w:shd w:val="solid" w:color="FFFFFF" w:fill="auto"/>
          </w:tcPr>
          <w:p w14:paraId="5C29760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DA27D0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DA2769E"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7CAD4A69" w14:textId="77777777" w:rsidR="00D40151" w:rsidRPr="00873B6C" w:rsidRDefault="00D40151" w:rsidP="009D14FB">
            <w:pPr>
              <w:pStyle w:val="TAL"/>
              <w:rPr>
                <w:sz w:val="16"/>
                <w:szCs w:val="16"/>
              </w:rPr>
            </w:pPr>
            <w:r w:rsidRPr="00873B6C">
              <w:rPr>
                <w:sz w:val="16"/>
                <w:szCs w:val="16"/>
              </w:rPr>
              <w:t>0942</w:t>
            </w:r>
          </w:p>
        </w:tc>
        <w:tc>
          <w:tcPr>
            <w:tcW w:w="425" w:type="dxa"/>
            <w:shd w:val="solid" w:color="FFFFFF" w:fill="auto"/>
          </w:tcPr>
          <w:p w14:paraId="1F0C952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0C1FD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36B533" w14:textId="77777777" w:rsidR="00D40151" w:rsidRPr="00873B6C" w:rsidRDefault="00D40151" w:rsidP="009D14FB">
            <w:pPr>
              <w:pStyle w:val="TAL"/>
              <w:rPr>
                <w:sz w:val="16"/>
                <w:szCs w:val="16"/>
              </w:rPr>
            </w:pPr>
            <w:r w:rsidRPr="00873B6C">
              <w:rPr>
                <w:sz w:val="16"/>
                <w:szCs w:val="16"/>
              </w:rPr>
              <w:t>Transport Level Packet Marking</w:t>
            </w:r>
          </w:p>
        </w:tc>
        <w:tc>
          <w:tcPr>
            <w:tcW w:w="708" w:type="dxa"/>
            <w:shd w:val="solid" w:color="FFFFFF" w:fill="auto"/>
          </w:tcPr>
          <w:p w14:paraId="66D25265" w14:textId="77777777" w:rsidR="00D40151" w:rsidRPr="00873B6C" w:rsidRDefault="00D40151" w:rsidP="009D14FB">
            <w:pPr>
              <w:pStyle w:val="TAC"/>
              <w:rPr>
                <w:sz w:val="16"/>
                <w:szCs w:val="16"/>
              </w:rPr>
            </w:pPr>
            <w:r w:rsidRPr="00873B6C">
              <w:rPr>
                <w:sz w:val="16"/>
                <w:szCs w:val="16"/>
              </w:rPr>
              <w:t>15.5.0</w:t>
            </w:r>
          </w:p>
        </w:tc>
      </w:tr>
      <w:tr w:rsidR="00D40151" w:rsidRPr="00873B6C" w14:paraId="0670243E" w14:textId="77777777" w:rsidTr="009D14FB">
        <w:tc>
          <w:tcPr>
            <w:tcW w:w="800" w:type="dxa"/>
            <w:shd w:val="solid" w:color="FFFFFF" w:fill="auto"/>
          </w:tcPr>
          <w:p w14:paraId="50B2A3C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041E5D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B1ADC5F"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084E0C8" w14:textId="77777777" w:rsidR="00D40151" w:rsidRPr="00873B6C" w:rsidRDefault="00D40151" w:rsidP="009D14FB">
            <w:pPr>
              <w:pStyle w:val="TAL"/>
              <w:rPr>
                <w:sz w:val="16"/>
                <w:szCs w:val="16"/>
              </w:rPr>
            </w:pPr>
            <w:r w:rsidRPr="00873B6C">
              <w:rPr>
                <w:sz w:val="16"/>
                <w:szCs w:val="16"/>
              </w:rPr>
              <w:t>0943</w:t>
            </w:r>
          </w:p>
        </w:tc>
        <w:tc>
          <w:tcPr>
            <w:tcW w:w="425" w:type="dxa"/>
            <w:shd w:val="solid" w:color="FFFFFF" w:fill="auto"/>
          </w:tcPr>
          <w:p w14:paraId="44B0424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8EC888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3E3C84" w14:textId="77777777" w:rsidR="00D40151" w:rsidRPr="00873B6C" w:rsidRDefault="00D40151" w:rsidP="009D14FB">
            <w:pPr>
              <w:pStyle w:val="TAL"/>
              <w:rPr>
                <w:sz w:val="16"/>
                <w:szCs w:val="16"/>
              </w:rPr>
            </w:pPr>
            <w:r w:rsidRPr="00873B6C">
              <w:rPr>
                <w:sz w:val="16"/>
                <w:szCs w:val="16"/>
              </w:rPr>
              <w:t>Support of baseline Frame Routing feature</w:t>
            </w:r>
          </w:p>
        </w:tc>
        <w:tc>
          <w:tcPr>
            <w:tcW w:w="708" w:type="dxa"/>
            <w:shd w:val="solid" w:color="FFFFFF" w:fill="auto"/>
          </w:tcPr>
          <w:p w14:paraId="1FA48ADE" w14:textId="77777777" w:rsidR="00D40151" w:rsidRPr="00873B6C" w:rsidRDefault="00D40151" w:rsidP="009D14FB">
            <w:pPr>
              <w:pStyle w:val="TAC"/>
              <w:rPr>
                <w:sz w:val="16"/>
                <w:szCs w:val="16"/>
              </w:rPr>
            </w:pPr>
            <w:r w:rsidRPr="00873B6C">
              <w:rPr>
                <w:sz w:val="16"/>
                <w:szCs w:val="16"/>
              </w:rPr>
              <w:t>15.5.0</w:t>
            </w:r>
          </w:p>
        </w:tc>
      </w:tr>
      <w:tr w:rsidR="00D40151" w:rsidRPr="00873B6C" w14:paraId="6B0D2D63" w14:textId="77777777" w:rsidTr="009D14FB">
        <w:tc>
          <w:tcPr>
            <w:tcW w:w="800" w:type="dxa"/>
            <w:shd w:val="solid" w:color="FFFFFF" w:fill="auto"/>
          </w:tcPr>
          <w:p w14:paraId="172B1DD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C24873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0650999"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F2E15B6" w14:textId="77777777" w:rsidR="00D40151" w:rsidRPr="00873B6C" w:rsidRDefault="00D40151" w:rsidP="009D14FB">
            <w:pPr>
              <w:pStyle w:val="TAL"/>
              <w:rPr>
                <w:sz w:val="16"/>
                <w:szCs w:val="16"/>
              </w:rPr>
            </w:pPr>
            <w:r w:rsidRPr="00873B6C">
              <w:rPr>
                <w:sz w:val="16"/>
                <w:szCs w:val="16"/>
              </w:rPr>
              <w:t>0945</w:t>
            </w:r>
          </w:p>
        </w:tc>
        <w:tc>
          <w:tcPr>
            <w:tcW w:w="425" w:type="dxa"/>
            <w:shd w:val="solid" w:color="FFFFFF" w:fill="auto"/>
          </w:tcPr>
          <w:p w14:paraId="3603CCD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AD754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C2B2DA" w14:textId="77777777" w:rsidR="00D40151" w:rsidRPr="00873B6C" w:rsidRDefault="00D40151" w:rsidP="009D14FB">
            <w:pPr>
              <w:pStyle w:val="TAL"/>
              <w:rPr>
                <w:sz w:val="16"/>
                <w:szCs w:val="16"/>
              </w:rPr>
            </w:pPr>
            <w:r w:rsidRPr="00873B6C">
              <w:rPr>
                <w:sz w:val="16"/>
                <w:szCs w:val="16"/>
              </w:rPr>
              <w:t>Disabling E-UTRA connected to EPC radio capability</w:t>
            </w:r>
          </w:p>
        </w:tc>
        <w:tc>
          <w:tcPr>
            <w:tcW w:w="708" w:type="dxa"/>
            <w:shd w:val="solid" w:color="FFFFFF" w:fill="auto"/>
          </w:tcPr>
          <w:p w14:paraId="655438A0" w14:textId="77777777" w:rsidR="00D40151" w:rsidRPr="00873B6C" w:rsidRDefault="00D40151" w:rsidP="009D14FB">
            <w:pPr>
              <w:pStyle w:val="TAC"/>
              <w:rPr>
                <w:sz w:val="16"/>
                <w:szCs w:val="16"/>
              </w:rPr>
            </w:pPr>
            <w:r w:rsidRPr="00873B6C">
              <w:rPr>
                <w:sz w:val="16"/>
                <w:szCs w:val="16"/>
              </w:rPr>
              <w:t>15.5.0</w:t>
            </w:r>
          </w:p>
        </w:tc>
      </w:tr>
      <w:tr w:rsidR="00D40151" w:rsidRPr="00873B6C" w14:paraId="595F514C" w14:textId="77777777" w:rsidTr="009D14FB">
        <w:tc>
          <w:tcPr>
            <w:tcW w:w="800" w:type="dxa"/>
            <w:shd w:val="solid" w:color="FFFFFF" w:fill="auto"/>
          </w:tcPr>
          <w:p w14:paraId="739311F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C2448C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709E339"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615EDA32" w14:textId="77777777" w:rsidR="00D40151" w:rsidRPr="00873B6C" w:rsidRDefault="00D40151" w:rsidP="009D14FB">
            <w:pPr>
              <w:pStyle w:val="TAL"/>
              <w:rPr>
                <w:sz w:val="16"/>
                <w:szCs w:val="16"/>
              </w:rPr>
            </w:pPr>
            <w:r w:rsidRPr="00873B6C">
              <w:rPr>
                <w:sz w:val="16"/>
                <w:szCs w:val="16"/>
              </w:rPr>
              <w:t>0949</w:t>
            </w:r>
          </w:p>
        </w:tc>
        <w:tc>
          <w:tcPr>
            <w:tcW w:w="425" w:type="dxa"/>
            <w:shd w:val="solid" w:color="FFFFFF" w:fill="auto"/>
          </w:tcPr>
          <w:p w14:paraId="0EE59DD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9E5D7C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9341B0" w14:textId="77777777" w:rsidR="00D40151" w:rsidRPr="00873B6C" w:rsidRDefault="00D40151" w:rsidP="009D14FB">
            <w:pPr>
              <w:pStyle w:val="TAL"/>
              <w:rPr>
                <w:sz w:val="16"/>
                <w:szCs w:val="16"/>
              </w:rPr>
            </w:pPr>
            <w:r w:rsidRPr="00873B6C">
              <w:rPr>
                <w:sz w:val="16"/>
                <w:szCs w:val="16"/>
              </w:rPr>
              <w:t>Correction of slicing terminology</w:t>
            </w:r>
          </w:p>
        </w:tc>
        <w:tc>
          <w:tcPr>
            <w:tcW w:w="708" w:type="dxa"/>
            <w:shd w:val="solid" w:color="FFFFFF" w:fill="auto"/>
          </w:tcPr>
          <w:p w14:paraId="294BBB5B" w14:textId="77777777" w:rsidR="00D40151" w:rsidRPr="00873B6C" w:rsidRDefault="00D40151" w:rsidP="009D14FB">
            <w:pPr>
              <w:pStyle w:val="TAC"/>
              <w:rPr>
                <w:sz w:val="16"/>
                <w:szCs w:val="16"/>
              </w:rPr>
            </w:pPr>
            <w:r w:rsidRPr="00873B6C">
              <w:rPr>
                <w:sz w:val="16"/>
                <w:szCs w:val="16"/>
              </w:rPr>
              <w:t>15.5.0</w:t>
            </w:r>
          </w:p>
        </w:tc>
      </w:tr>
      <w:tr w:rsidR="00D40151" w:rsidRPr="00873B6C" w14:paraId="055C0737" w14:textId="77777777" w:rsidTr="009D14FB">
        <w:tc>
          <w:tcPr>
            <w:tcW w:w="800" w:type="dxa"/>
            <w:shd w:val="solid" w:color="FFFFFF" w:fill="auto"/>
          </w:tcPr>
          <w:p w14:paraId="38BEB6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75E3B47"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514CF1C"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A5A477A" w14:textId="77777777" w:rsidR="00D40151" w:rsidRPr="00873B6C" w:rsidRDefault="00D40151" w:rsidP="009D14FB">
            <w:pPr>
              <w:pStyle w:val="TAL"/>
              <w:rPr>
                <w:sz w:val="16"/>
                <w:szCs w:val="16"/>
              </w:rPr>
            </w:pPr>
            <w:r w:rsidRPr="00873B6C">
              <w:rPr>
                <w:sz w:val="16"/>
                <w:szCs w:val="16"/>
              </w:rPr>
              <w:t>0958</w:t>
            </w:r>
          </w:p>
        </w:tc>
        <w:tc>
          <w:tcPr>
            <w:tcW w:w="425" w:type="dxa"/>
            <w:shd w:val="solid" w:color="FFFFFF" w:fill="auto"/>
          </w:tcPr>
          <w:p w14:paraId="0474F92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86FAE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533592" w14:textId="77777777" w:rsidR="00D40151" w:rsidRPr="00873B6C" w:rsidRDefault="00D40151" w:rsidP="009D14FB">
            <w:pPr>
              <w:pStyle w:val="TAL"/>
              <w:rPr>
                <w:sz w:val="16"/>
                <w:szCs w:val="16"/>
              </w:rPr>
            </w:pPr>
            <w:r w:rsidRPr="00873B6C">
              <w:rPr>
                <w:sz w:val="16"/>
                <w:szCs w:val="16"/>
              </w:rPr>
              <w:t>Adding a new 5G-GUTI allocation condition</w:t>
            </w:r>
          </w:p>
        </w:tc>
        <w:tc>
          <w:tcPr>
            <w:tcW w:w="708" w:type="dxa"/>
            <w:shd w:val="solid" w:color="FFFFFF" w:fill="auto"/>
          </w:tcPr>
          <w:p w14:paraId="3A3B05D8" w14:textId="77777777" w:rsidR="00D40151" w:rsidRPr="00873B6C" w:rsidRDefault="00D40151" w:rsidP="009D14FB">
            <w:pPr>
              <w:pStyle w:val="TAC"/>
              <w:rPr>
                <w:sz w:val="16"/>
                <w:szCs w:val="16"/>
              </w:rPr>
            </w:pPr>
            <w:r w:rsidRPr="00873B6C">
              <w:rPr>
                <w:sz w:val="16"/>
                <w:szCs w:val="16"/>
              </w:rPr>
              <w:t>15.5.0</w:t>
            </w:r>
          </w:p>
        </w:tc>
      </w:tr>
      <w:tr w:rsidR="00D40151" w:rsidRPr="00873B6C" w14:paraId="7E306AEF" w14:textId="77777777" w:rsidTr="009D14FB">
        <w:tc>
          <w:tcPr>
            <w:tcW w:w="800" w:type="dxa"/>
            <w:shd w:val="solid" w:color="FFFFFF" w:fill="auto"/>
          </w:tcPr>
          <w:p w14:paraId="368D70F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B3499F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C035C77"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7FF22DE" w14:textId="77777777" w:rsidR="00D40151" w:rsidRPr="00873B6C" w:rsidRDefault="00D40151" w:rsidP="009D14FB">
            <w:pPr>
              <w:pStyle w:val="TAL"/>
              <w:rPr>
                <w:sz w:val="16"/>
                <w:szCs w:val="16"/>
              </w:rPr>
            </w:pPr>
            <w:r w:rsidRPr="00873B6C">
              <w:rPr>
                <w:sz w:val="16"/>
                <w:szCs w:val="16"/>
              </w:rPr>
              <w:t>0968</w:t>
            </w:r>
          </w:p>
        </w:tc>
        <w:tc>
          <w:tcPr>
            <w:tcW w:w="425" w:type="dxa"/>
            <w:shd w:val="solid" w:color="FFFFFF" w:fill="auto"/>
          </w:tcPr>
          <w:p w14:paraId="61E945C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D261CA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25680A" w14:textId="77777777" w:rsidR="00D40151" w:rsidRPr="00873B6C" w:rsidRDefault="00D40151" w:rsidP="009D14FB">
            <w:pPr>
              <w:pStyle w:val="TAL"/>
              <w:rPr>
                <w:sz w:val="16"/>
                <w:szCs w:val="16"/>
              </w:rPr>
            </w:pPr>
            <w:r w:rsidRPr="00873B6C">
              <w:rPr>
                <w:sz w:val="16"/>
                <w:szCs w:val="16"/>
              </w:rPr>
              <w:t>Clarify on Network Slice availability change</w:t>
            </w:r>
          </w:p>
        </w:tc>
        <w:tc>
          <w:tcPr>
            <w:tcW w:w="708" w:type="dxa"/>
            <w:shd w:val="solid" w:color="FFFFFF" w:fill="auto"/>
          </w:tcPr>
          <w:p w14:paraId="181524C5" w14:textId="77777777" w:rsidR="00D40151" w:rsidRPr="00873B6C" w:rsidRDefault="00D40151" w:rsidP="009D14FB">
            <w:pPr>
              <w:pStyle w:val="TAC"/>
              <w:rPr>
                <w:sz w:val="16"/>
                <w:szCs w:val="16"/>
              </w:rPr>
            </w:pPr>
            <w:r w:rsidRPr="00873B6C">
              <w:rPr>
                <w:sz w:val="16"/>
                <w:szCs w:val="16"/>
              </w:rPr>
              <w:t>15.5.0</w:t>
            </w:r>
          </w:p>
        </w:tc>
      </w:tr>
      <w:tr w:rsidR="00D40151" w:rsidRPr="00873B6C" w14:paraId="32CED9A9" w14:textId="77777777" w:rsidTr="009D14FB">
        <w:tc>
          <w:tcPr>
            <w:tcW w:w="800" w:type="dxa"/>
            <w:shd w:val="solid" w:color="FFFFFF" w:fill="auto"/>
          </w:tcPr>
          <w:p w14:paraId="22835D1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49633F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1543597"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698B7CD" w14:textId="77777777" w:rsidR="00D40151" w:rsidRPr="00873B6C" w:rsidRDefault="00D40151" w:rsidP="009D14FB">
            <w:pPr>
              <w:pStyle w:val="TAL"/>
              <w:rPr>
                <w:sz w:val="16"/>
                <w:szCs w:val="16"/>
              </w:rPr>
            </w:pPr>
            <w:r w:rsidRPr="00873B6C">
              <w:rPr>
                <w:sz w:val="16"/>
                <w:szCs w:val="16"/>
              </w:rPr>
              <w:t>0969</w:t>
            </w:r>
          </w:p>
        </w:tc>
        <w:tc>
          <w:tcPr>
            <w:tcW w:w="425" w:type="dxa"/>
            <w:shd w:val="solid" w:color="FFFFFF" w:fill="auto"/>
          </w:tcPr>
          <w:p w14:paraId="2BCFF41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D2D3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01AB89" w14:textId="77777777" w:rsidR="00D40151" w:rsidRPr="00873B6C" w:rsidRDefault="00D40151" w:rsidP="009D14FB">
            <w:pPr>
              <w:pStyle w:val="TAL"/>
              <w:rPr>
                <w:sz w:val="16"/>
                <w:szCs w:val="16"/>
              </w:rPr>
            </w:pPr>
            <w:r w:rsidRPr="00873B6C">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873B6C" w:rsidRDefault="00D40151" w:rsidP="009D14FB">
            <w:pPr>
              <w:pStyle w:val="TAC"/>
              <w:rPr>
                <w:sz w:val="16"/>
                <w:szCs w:val="16"/>
              </w:rPr>
            </w:pPr>
            <w:r w:rsidRPr="00873B6C">
              <w:rPr>
                <w:sz w:val="16"/>
                <w:szCs w:val="16"/>
              </w:rPr>
              <w:t>15.5.0</w:t>
            </w:r>
          </w:p>
        </w:tc>
      </w:tr>
      <w:tr w:rsidR="00D40151" w:rsidRPr="00873B6C" w14:paraId="15E06CF5" w14:textId="77777777" w:rsidTr="009D14FB">
        <w:tc>
          <w:tcPr>
            <w:tcW w:w="800" w:type="dxa"/>
            <w:shd w:val="solid" w:color="FFFFFF" w:fill="auto"/>
          </w:tcPr>
          <w:p w14:paraId="4480F49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234610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7A51E2"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5A421DE" w14:textId="77777777" w:rsidR="00D40151" w:rsidRPr="00873B6C" w:rsidRDefault="00D40151" w:rsidP="009D14FB">
            <w:pPr>
              <w:pStyle w:val="TAL"/>
              <w:rPr>
                <w:sz w:val="16"/>
                <w:szCs w:val="16"/>
              </w:rPr>
            </w:pPr>
            <w:r w:rsidRPr="00873B6C">
              <w:rPr>
                <w:sz w:val="16"/>
                <w:szCs w:val="16"/>
              </w:rPr>
              <w:t>0975</w:t>
            </w:r>
          </w:p>
        </w:tc>
        <w:tc>
          <w:tcPr>
            <w:tcW w:w="425" w:type="dxa"/>
            <w:shd w:val="solid" w:color="FFFFFF" w:fill="auto"/>
          </w:tcPr>
          <w:p w14:paraId="44B4288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8385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A863FF" w14:textId="77777777" w:rsidR="00D40151" w:rsidRPr="00873B6C" w:rsidRDefault="00D40151" w:rsidP="009D14FB">
            <w:pPr>
              <w:pStyle w:val="TAL"/>
              <w:rPr>
                <w:sz w:val="16"/>
                <w:szCs w:val="16"/>
              </w:rPr>
            </w:pPr>
            <w:r w:rsidRPr="00873B6C">
              <w:rPr>
                <w:sz w:val="16"/>
                <w:szCs w:val="16"/>
              </w:rPr>
              <w:t xml:space="preserve">Clarificaiton on Core Network type Restriction </w:t>
            </w:r>
          </w:p>
        </w:tc>
        <w:tc>
          <w:tcPr>
            <w:tcW w:w="708" w:type="dxa"/>
            <w:shd w:val="solid" w:color="FFFFFF" w:fill="auto"/>
          </w:tcPr>
          <w:p w14:paraId="2510F053" w14:textId="77777777" w:rsidR="00D40151" w:rsidRPr="00873B6C" w:rsidRDefault="00D40151" w:rsidP="009D14FB">
            <w:pPr>
              <w:pStyle w:val="TAC"/>
              <w:rPr>
                <w:sz w:val="16"/>
                <w:szCs w:val="16"/>
              </w:rPr>
            </w:pPr>
            <w:r w:rsidRPr="00873B6C">
              <w:rPr>
                <w:sz w:val="16"/>
                <w:szCs w:val="16"/>
              </w:rPr>
              <w:t>15.5.0</w:t>
            </w:r>
          </w:p>
        </w:tc>
      </w:tr>
      <w:tr w:rsidR="00D40151" w:rsidRPr="00873B6C" w14:paraId="102DBAFB" w14:textId="77777777" w:rsidTr="009D14FB">
        <w:tc>
          <w:tcPr>
            <w:tcW w:w="800" w:type="dxa"/>
            <w:shd w:val="solid" w:color="FFFFFF" w:fill="auto"/>
          </w:tcPr>
          <w:p w14:paraId="5DC0AD7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3CAE25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9598A47"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5B1AB6DC" w14:textId="77777777" w:rsidR="00D40151" w:rsidRPr="00873B6C" w:rsidRDefault="00D40151" w:rsidP="009D14FB">
            <w:pPr>
              <w:pStyle w:val="TAL"/>
              <w:rPr>
                <w:sz w:val="16"/>
                <w:szCs w:val="16"/>
              </w:rPr>
            </w:pPr>
            <w:r w:rsidRPr="00873B6C">
              <w:rPr>
                <w:sz w:val="16"/>
                <w:szCs w:val="16"/>
              </w:rPr>
              <w:t>0976</w:t>
            </w:r>
          </w:p>
        </w:tc>
        <w:tc>
          <w:tcPr>
            <w:tcW w:w="425" w:type="dxa"/>
            <w:shd w:val="solid" w:color="FFFFFF" w:fill="auto"/>
          </w:tcPr>
          <w:p w14:paraId="2AE5F36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2B8B72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5808A0" w14:textId="77777777" w:rsidR="00D40151" w:rsidRPr="00873B6C" w:rsidRDefault="00D40151" w:rsidP="009D14FB">
            <w:pPr>
              <w:pStyle w:val="TAL"/>
              <w:rPr>
                <w:sz w:val="16"/>
                <w:szCs w:val="16"/>
              </w:rPr>
            </w:pPr>
            <w:r w:rsidRPr="00873B6C">
              <w:rPr>
                <w:sz w:val="16"/>
                <w:szCs w:val="16"/>
              </w:rPr>
              <w:t>Clarification on AMF planned removal</w:t>
            </w:r>
          </w:p>
        </w:tc>
        <w:tc>
          <w:tcPr>
            <w:tcW w:w="708" w:type="dxa"/>
            <w:shd w:val="solid" w:color="FFFFFF" w:fill="auto"/>
          </w:tcPr>
          <w:p w14:paraId="334F9C58" w14:textId="77777777" w:rsidR="00D40151" w:rsidRPr="00873B6C" w:rsidRDefault="00D40151" w:rsidP="009D14FB">
            <w:pPr>
              <w:pStyle w:val="TAC"/>
              <w:rPr>
                <w:sz w:val="16"/>
                <w:szCs w:val="16"/>
              </w:rPr>
            </w:pPr>
            <w:r w:rsidRPr="00873B6C">
              <w:rPr>
                <w:sz w:val="16"/>
                <w:szCs w:val="16"/>
              </w:rPr>
              <w:t>15.5.0</w:t>
            </w:r>
          </w:p>
        </w:tc>
      </w:tr>
      <w:tr w:rsidR="00D40151" w:rsidRPr="00873B6C" w14:paraId="24C8FF6D" w14:textId="77777777" w:rsidTr="009D14FB">
        <w:tc>
          <w:tcPr>
            <w:tcW w:w="800" w:type="dxa"/>
            <w:shd w:val="solid" w:color="FFFFFF" w:fill="auto"/>
          </w:tcPr>
          <w:p w14:paraId="456AEEF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25DA9D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4A1EA2"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C861228" w14:textId="77777777" w:rsidR="00D40151" w:rsidRPr="00873B6C" w:rsidRDefault="00D40151" w:rsidP="009D14FB">
            <w:pPr>
              <w:pStyle w:val="TAL"/>
              <w:rPr>
                <w:sz w:val="16"/>
                <w:szCs w:val="16"/>
              </w:rPr>
            </w:pPr>
            <w:r w:rsidRPr="00873B6C">
              <w:rPr>
                <w:sz w:val="16"/>
                <w:szCs w:val="16"/>
              </w:rPr>
              <w:t>0979</w:t>
            </w:r>
          </w:p>
        </w:tc>
        <w:tc>
          <w:tcPr>
            <w:tcW w:w="425" w:type="dxa"/>
            <w:shd w:val="solid" w:color="FFFFFF" w:fill="auto"/>
          </w:tcPr>
          <w:p w14:paraId="0E73523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924C4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849415" w14:textId="77777777" w:rsidR="00D40151" w:rsidRPr="00873B6C" w:rsidRDefault="00D40151" w:rsidP="009D14FB">
            <w:pPr>
              <w:pStyle w:val="TAL"/>
              <w:rPr>
                <w:sz w:val="16"/>
                <w:szCs w:val="16"/>
              </w:rPr>
            </w:pPr>
            <w:r w:rsidRPr="00873B6C">
              <w:rPr>
                <w:sz w:val="16"/>
                <w:szCs w:val="16"/>
              </w:rPr>
              <w:t>Correction of UE 5GSM Core Network Capability</w:t>
            </w:r>
          </w:p>
        </w:tc>
        <w:tc>
          <w:tcPr>
            <w:tcW w:w="708" w:type="dxa"/>
            <w:shd w:val="solid" w:color="FFFFFF" w:fill="auto"/>
          </w:tcPr>
          <w:p w14:paraId="0331B3BD" w14:textId="77777777" w:rsidR="00D40151" w:rsidRPr="00873B6C" w:rsidRDefault="00D40151" w:rsidP="009D14FB">
            <w:pPr>
              <w:pStyle w:val="TAC"/>
              <w:rPr>
                <w:sz w:val="16"/>
                <w:szCs w:val="16"/>
              </w:rPr>
            </w:pPr>
            <w:r w:rsidRPr="00873B6C">
              <w:rPr>
                <w:sz w:val="16"/>
                <w:szCs w:val="16"/>
              </w:rPr>
              <w:t>15.5.0</w:t>
            </w:r>
          </w:p>
        </w:tc>
      </w:tr>
      <w:tr w:rsidR="00D40151" w:rsidRPr="00873B6C" w14:paraId="1B84BB29" w14:textId="77777777" w:rsidTr="009D14FB">
        <w:tc>
          <w:tcPr>
            <w:tcW w:w="800" w:type="dxa"/>
            <w:shd w:val="solid" w:color="FFFFFF" w:fill="auto"/>
          </w:tcPr>
          <w:p w14:paraId="4DFBC10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E2A195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01BF87A"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C18252F" w14:textId="77777777" w:rsidR="00D40151" w:rsidRPr="00873B6C" w:rsidRDefault="00D40151" w:rsidP="009D14FB">
            <w:pPr>
              <w:pStyle w:val="TAL"/>
              <w:rPr>
                <w:sz w:val="16"/>
                <w:szCs w:val="16"/>
              </w:rPr>
            </w:pPr>
            <w:r w:rsidRPr="00873B6C">
              <w:rPr>
                <w:sz w:val="16"/>
                <w:szCs w:val="16"/>
              </w:rPr>
              <w:t>0982</w:t>
            </w:r>
          </w:p>
        </w:tc>
        <w:tc>
          <w:tcPr>
            <w:tcW w:w="425" w:type="dxa"/>
            <w:shd w:val="solid" w:color="FFFFFF" w:fill="auto"/>
          </w:tcPr>
          <w:p w14:paraId="15572CC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5DAAA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69ADA0" w14:textId="77777777" w:rsidR="00D40151" w:rsidRPr="00873B6C" w:rsidRDefault="00D40151" w:rsidP="009D14FB">
            <w:pPr>
              <w:pStyle w:val="TAL"/>
              <w:rPr>
                <w:sz w:val="16"/>
                <w:szCs w:val="16"/>
              </w:rPr>
            </w:pPr>
            <w:r w:rsidRPr="00873B6C">
              <w:rPr>
                <w:sz w:val="16"/>
                <w:szCs w:val="16"/>
              </w:rPr>
              <w:t>Clarification on QoS Notification control</w:t>
            </w:r>
          </w:p>
        </w:tc>
        <w:tc>
          <w:tcPr>
            <w:tcW w:w="708" w:type="dxa"/>
            <w:shd w:val="solid" w:color="FFFFFF" w:fill="auto"/>
          </w:tcPr>
          <w:p w14:paraId="3136B9DA" w14:textId="77777777" w:rsidR="00D40151" w:rsidRPr="00873B6C" w:rsidRDefault="00D40151" w:rsidP="009D14FB">
            <w:pPr>
              <w:pStyle w:val="TAC"/>
              <w:rPr>
                <w:sz w:val="16"/>
                <w:szCs w:val="16"/>
              </w:rPr>
            </w:pPr>
            <w:r w:rsidRPr="00873B6C">
              <w:rPr>
                <w:sz w:val="16"/>
                <w:szCs w:val="16"/>
              </w:rPr>
              <w:t>15.5.0</w:t>
            </w:r>
          </w:p>
        </w:tc>
      </w:tr>
      <w:tr w:rsidR="00D40151" w:rsidRPr="00873B6C" w14:paraId="0FB2CE7C" w14:textId="77777777" w:rsidTr="009D14FB">
        <w:tc>
          <w:tcPr>
            <w:tcW w:w="800" w:type="dxa"/>
            <w:shd w:val="solid" w:color="FFFFFF" w:fill="auto"/>
          </w:tcPr>
          <w:p w14:paraId="4E0CDB0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E3A774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3FF98D2"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7F966D94" w14:textId="77777777" w:rsidR="00D40151" w:rsidRPr="00873B6C" w:rsidRDefault="00D40151" w:rsidP="009D14FB">
            <w:pPr>
              <w:pStyle w:val="TAL"/>
              <w:rPr>
                <w:sz w:val="16"/>
                <w:szCs w:val="16"/>
              </w:rPr>
            </w:pPr>
            <w:r w:rsidRPr="00873B6C">
              <w:rPr>
                <w:sz w:val="16"/>
                <w:szCs w:val="16"/>
              </w:rPr>
              <w:t>0988</w:t>
            </w:r>
          </w:p>
        </w:tc>
        <w:tc>
          <w:tcPr>
            <w:tcW w:w="425" w:type="dxa"/>
            <w:shd w:val="solid" w:color="FFFFFF" w:fill="auto"/>
          </w:tcPr>
          <w:p w14:paraId="48F6B6EF" w14:textId="77777777" w:rsidR="00D40151" w:rsidRPr="00873B6C" w:rsidRDefault="00D40151" w:rsidP="009D14FB">
            <w:pPr>
              <w:pStyle w:val="TAL"/>
              <w:rPr>
                <w:sz w:val="16"/>
                <w:szCs w:val="16"/>
              </w:rPr>
            </w:pPr>
            <w:r w:rsidRPr="00873B6C">
              <w:rPr>
                <w:sz w:val="16"/>
                <w:szCs w:val="16"/>
              </w:rPr>
              <w:t>0</w:t>
            </w:r>
          </w:p>
        </w:tc>
        <w:tc>
          <w:tcPr>
            <w:tcW w:w="425" w:type="dxa"/>
            <w:shd w:val="solid" w:color="FFFFFF" w:fill="auto"/>
          </w:tcPr>
          <w:p w14:paraId="3BD4C58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AA38DC" w14:textId="77777777" w:rsidR="00D40151" w:rsidRPr="00873B6C" w:rsidRDefault="00D40151" w:rsidP="009D14FB">
            <w:pPr>
              <w:pStyle w:val="TAL"/>
              <w:rPr>
                <w:sz w:val="16"/>
                <w:szCs w:val="16"/>
              </w:rPr>
            </w:pPr>
            <w:r w:rsidRPr="00873B6C">
              <w:rPr>
                <w:sz w:val="16"/>
                <w:szCs w:val="16"/>
              </w:rPr>
              <w:t>Correction on reference</w:t>
            </w:r>
          </w:p>
        </w:tc>
        <w:tc>
          <w:tcPr>
            <w:tcW w:w="708" w:type="dxa"/>
            <w:shd w:val="solid" w:color="FFFFFF" w:fill="auto"/>
          </w:tcPr>
          <w:p w14:paraId="59543CF1" w14:textId="77777777" w:rsidR="00D40151" w:rsidRPr="00873B6C" w:rsidRDefault="00D40151" w:rsidP="009D14FB">
            <w:pPr>
              <w:pStyle w:val="TAC"/>
              <w:rPr>
                <w:sz w:val="16"/>
                <w:szCs w:val="16"/>
              </w:rPr>
            </w:pPr>
            <w:r w:rsidRPr="00873B6C">
              <w:rPr>
                <w:sz w:val="16"/>
                <w:szCs w:val="16"/>
              </w:rPr>
              <w:t>15.5.0</w:t>
            </w:r>
          </w:p>
        </w:tc>
      </w:tr>
      <w:tr w:rsidR="00D40151" w:rsidRPr="00873B6C" w14:paraId="726A2A3B" w14:textId="77777777" w:rsidTr="009D14FB">
        <w:tc>
          <w:tcPr>
            <w:tcW w:w="800" w:type="dxa"/>
            <w:shd w:val="solid" w:color="FFFFFF" w:fill="auto"/>
          </w:tcPr>
          <w:p w14:paraId="59A811D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FC2023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0DB8A8F"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315F91F3" w14:textId="77777777" w:rsidR="00D40151" w:rsidRPr="00873B6C" w:rsidRDefault="00D40151" w:rsidP="009D14FB">
            <w:pPr>
              <w:pStyle w:val="TAL"/>
              <w:rPr>
                <w:sz w:val="16"/>
                <w:szCs w:val="16"/>
              </w:rPr>
            </w:pPr>
            <w:r w:rsidRPr="00873B6C">
              <w:rPr>
                <w:sz w:val="16"/>
                <w:szCs w:val="16"/>
              </w:rPr>
              <w:t>0992</w:t>
            </w:r>
          </w:p>
        </w:tc>
        <w:tc>
          <w:tcPr>
            <w:tcW w:w="425" w:type="dxa"/>
            <w:shd w:val="solid" w:color="FFFFFF" w:fill="auto"/>
          </w:tcPr>
          <w:p w14:paraId="3A6EF6D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DFF53B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3C731E" w14:textId="77777777" w:rsidR="00D40151" w:rsidRPr="00873B6C" w:rsidRDefault="00D40151" w:rsidP="009D14FB">
            <w:pPr>
              <w:pStyle w:val="TAL"/>
              <w:rPr>
                <w:sz w:val="16"/>
                <w:szCs w:val="16"/>
              </w:rPr>
            </w:pPr>
            <w:r w:rsidRPr="00873B6C">
              <w:rPr>
                <w:sz w:val="16"/>
                <w:szCs w:val="16"/>
              </w:rPr>
              <w:t xml:space="preserve"> Slice interworking HR mode update</w:t>
            </w:r>
          </w:p>
        </w:tc>
        <w:tc>
          <w:tcPr>
            <w:tcW w:w="708" w:type="dxa"/>
            <w:shd w:val="solid" w:color="FFFFFF" w:fill="auto"/>
          </w:tcPr>
          <w:p w14:paraId="45193099" w14:textId="77777777" w:rsidR="00D40151" w:rsidRPr="00873B6C" w:rsidRDefault="00D40151" w:rsidP="009D14FB">
            <w:pPr>
              <w:pStyle w:val="TAC"/>
              <w:rPr>
                <w:sz w:val="16"/>
                <w:szCs w:val="16"/>
              </w:rPr>
            </w:pPr>
            <w:r w:rsidRPr="00873B6C">
              <w:rPr>
                <w:sz w:val="16"/>
                <w:szCs w:val="16"/>
              </w:rPr>
              <w:t>15.5.0</w:t>
            </w:r>
          </w:p>
        </w:tc>
      </w:tr>
      <w:tr w:rsidR="00D40151" w:rsidRPr="00873B6C" w14:paraId="05A1EA9E" w14:textId="77777777" w:rsidTr="009D14FB">
        <w:tc>
          <w:tcPr>
            <w:tcW w:w="800" w:type="dxa"/>
            <w:shd w:val="solid" w:color="FFFFFF" w:fill="auto"/>
          </w:tcPr>
          <w:p w14:paraId="6DE312A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B50001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71F4CD8"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56D3A494" w14:textId="77777777" w:rsidR="00D40151" w:rsidRPr="00873B6C" w:rsidRDefault="00D40151" w:rsidP="009D14FB">
            <w:pPr>
              <w:pStyle w:val="TAL"/>
              <w:rPr>
                <w:sz w:val="16"/>
                <w:szCs w:val="16"/>
              </w:rPr>
            </w:pPr>
            <w:r w:rsidRPr="00873B6C">
              <w:rPr>
                <w:sz w:val="16"/>
                <w:szCs w:val="16"/>
              </w:rPr>
              <w:t>0996</w:t>
            </w:r>
          </w:p>
        </w:tc>
        <w:tc>
          <w:tcPr>
            <w:tcW w:w="425" w:type="dxa"/>
            <w:shd w:val="solid" w:color="FFFFFF" w:fill="auto"/>
          </w:tcPr>
          <w:p w14:paraId="105D9EC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2A0158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6787FC" w14:textId="77777777" w:rsidR="00D40151" w:rsidRPr="00873B6C" w:rsidRDefault="00D40151" w:rsidP="009D14FB">
            <w:pPr>
              <w:pStyle w:val="TAL"/>
              <w:rPr>
                <w:sz w:val="16"/>
                <w:szCs w:val="16"/>
              </w:rPr>
            </w:pPr>
            <w:r w:rsidRPr="00873B6C">
              <w:rPr>
                <w:sz w:val="16"/>
                <w:szCs w:val="16"/>
              </w:rPr>
              <w:t>Clarification on PCF selection</w:t>
            </w:r>
          </w:p>
        </w:tc>
        <w:tc>
          <w:tcPr>
            <w:tcW w:w="708" w:type="dxa"/>
            <w:shd w:val="solid" w:color="FFFFFF" w:fill="auto"/>
          </w:tcPr>
          <w:p w14:paraId="58D88638" w14:textId="77777777" w:rsidR="00D40151" w:rsidRPr="00873B6C" w:rsidRDefault="00D40151" w:rsidP="009D14FB">
            <w:pPr>
              <w:pStyle w:val="TAC"/>
              <w:rPr>
                <w:sz w:val="16"/>
                <w:szCs w:val="16"/>
              </w:rPr>
            </w:pPr>
            <w:r w:rsidRPr="00873B6C">
              <w:rPr>
                <w:sz w:val="16"/>
                <w:szCs w:val="16"/>
              </w:rPr>
              <w:t>15.5.0</w:t>
            </w:r>
          </w:p>
        </w:tc>
      </w:tr>
      <w:tr w:rsidR="00D40151" w:rsidRPr="00873B6C" w14:paraId="0755C778" w14:textId="77777777" w:rsidTr="009D14FB">
        <w:tc>
          <w:tcPr>
            <w:tcW w:w="800" w:type="dxa"/>
            <w:shd w:val="solid" w:color="FFFFFF" w:fill="auto"/>
          </w:tcPr>
          <w:p w14:paraId="2FB2527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712795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AC6F8B1"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E3F8D92" w14:textId="77777777" w:rsidR="00D40151" w:rsidRPr="00873B6C" w:rsidRDefault="00D40151" w:rsidP="009D14FB">
            <w:pPr>
              <w:pStyle w:val="TAL"/>
              <w:rPr>
                <w:sz w:val="16"/>
                <w:szCs w:val="16"/>
              </w:rPr>
            </w:pPr>
            <w:r w:rsidRPr="00873B6C">
              <w:rPr>
                <w:sz w:val="16"/>
                <w:szCs w:val="16"/>
              </w:rPr>
              <w:t>1006</w:t>
            </w:r>
          </w:p>
        </w:tc>
        <w:tc>
          <w:tcPr>
            <w:tcW w:w="425" w:type="dxa"/>
            <w:shd w:val="solid" w:color="FFFFFF" w:fill="auto"/>
          </w:tcPr>
          <w:p w14:paraId="7726E9C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AE2C1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344E5E" w14:textId="77777777" w:rsidR="00D40151" w:rsidRPr="00873B6C" w:rsidRDefault="00D40151" w:rsidP="009D14FB">
            <w:pPr>
              <w:pStyle w:val="TAL"/>
              <w:rPr>
                <w:sz w:val="16"/>
                <w:szCs w:val="16"/>
              </w:rPr>
            </w:pPr>
            <w:r w:rsidRPr="00873B6C">
              <w:rPr>
                <w:sz w:val="16"/>
                <w:szCs w:val="16"/>
              </w:rPr>
              <w:t xml:space="preserve"> Corrections on routing rule</w:t>
            </w:r>
          </w:p>
        </w:tc>
        <w:tc>
          <w:tcPr>
            <w:tcW w:w="708" w:type="dxa"/>
            <w:shd w:val="solid" w:color="FFFFFF" w:fill="auto"/>
          </w:tcPr>
          <w:p w14:paraId="69AF5B7D" w14:textId="77777777" w:rsidR="00D40151" w:rsidRPr="00873B6C" w:rsidRDefault="00D40151" w:rsidP="009D14FB">
            <w:pPr>
              <w:pStyle w:val="TAC"/>
              <w:rPr>
                <w:sz w:val="16"/>
                <w:szCs w:val="16"/>
              </w:rPr>
            </w:pPr>
            <w:r w:rsidRPr="00873B6C">
              <w:rPr>
                <w:sz w:val="16"/>
                <w:szCs w:val="16"/>
              </w:rPr>
              <w:t>15.5.0</w:t>
            </w:r>
          </w:p>
        </w:tc>
      </w:tr>
      <w:tr w:rsidR="00D40151" w:rsidRPr="00873B6C" w14:paraId="5D607931" w14:textId="77777777" w:rsidTr="009D14FB">
        <w:tc>
          <w:tcPr>
            <w:tcW w:w="800" w:type="dxa"/>
            <w:shd w:val="solid" w:color="FFFFFF" w:fill="auto"/>
          </w:tcPr>
          <w:p w14:paraId="00D2002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35C2BB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206B027"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65A099E0" w14:textId="77777777" w:rsidR="00D40151" w:rsidRPr="00873B6C" w:rsidRDefault="00D40151" w:rsidP="009D14FB">
            <w:pPr>
              <w:pStyle w:val="TAL"/>
              <w:rPr>
                <w:sz w:val="16"/>
                <w:szCs w:val="16"/>
              </w:rPr>
            </w:pPr>
            <w:r w:rsidRPr="00873B6C">
              <w:rPr>
                <w:sz w:val="16"/>
                <w:szCs w:val="16"/>
              </w:rPr>
              <w:t>1012</w:t>
            </w:r>
          </w:p>
        </w:tc>
        <w:tc>
          <w:tcPr>
            <w:tcW w:w="425" w:type="dxa"/>
            <w:shd w:val="solid" w:color="FFFFFF" w:fill="auto"/>
          </w:tcPr>
          <w:p w14:paraId="5D3C167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36C93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1D32C97" w14:textId="77777777" w:rsidR="00D40151" w:rsidRPr="00873B6C" w:rsidRDefault="00D40151" w:rsidP="009D14FB">
            <w:pPr>
              <w:pStyle w:val="TAL"/>
              <w:rPr>
                <w:sz w:val="16"/>
                <w:szCs w:val="16"/>
              </w:rPr>
            </w:pPr>
            <w:r w:rsidRPr="00873B6C">
              <w:rPr>
                <w:sz w:val="16"/>
                <w:szCs w:val="16"/>
              </w:rPr>
              <w:t>Clarification on GTP-u protocol</w:t>
            </w:r>
          </w:p>
        </w:tc>
        <w:tc>
          <w:tcPr>
            <w:tcW w:w="708" w:type="dxa"/>
            <w:shd w:val="solid" w:color="FFFFFF" w:fill="auto"/>
          </w:tcPr>
          <w:p w14:paraId="1D6240E6" w14:textId="77777777" w:rsidR="00D40151" w:rsidRPr="00873B6C" w:rsidRDefault="00D40151" w:rsidP="009D14FB">
            <w:pPr>
              <w:pStyle w:val="TAC"/>
              <w:rPr>
                <w:sz w:val="16"/>
                <w:szCs w:val="16"/>
              </w:rPr>
            </w:pPr>
            <w:r w:rsidRPr="00873B6C">
              <w:rPr>
                <w:sz w:val="16"/>
                <w:szCs w:val="16"/>
              </w:rPr>
              <w:t>15.5.0</w:t>
            </w:r>
          </w:p>
        </w:tc>
      </w:tr>
      <w:tr w:rsidR="00D40151" w:rsidRPr="00873B6C" w14:paraId="5DC4E15E" w14:textId="77777777" w:rsidTr="009D14FB">
        <w:tc>
          <w:tcPr>
            <w:tcW w:w="800" w:type="dxa"/>
            <w:shd w:val="solid" w:color="FFFFFF" w:fill="auto"/>
          </w:tcPr>
          <w:p w14:paraId="591642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5F423C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20DC583" w14:textId="77777777" w:rsidR="00D40151" w:rsidRPr="00873B6C" w:rsidRDefault="00D40151" w:rsidP="009D14FB">
            <w:pPr>
              <w:pStyle w:val="TAC"/>
              <w:rPr>
                <w:sz w:val="16"/>
                <w:szCs w:val="16"/>
              </w:rPr>
            </w:pPr>
            <w:r w:rsidRPr="00873B6C">
              <w:rPr>
                <w:sz w:val="16"/>
                <w:szCs w:val="16"/>
              </w:rPr>
              <w:t>SP-190175</w:t>
            </w:r>
          </w:p>
        </w:tc>
        <w:tc>
          <w:tcPr>
            <w:tcW w:w="567" w:type="dxa"/>
            <w:shd w:val="solid" w:color="FFFFFF" w:fill="auto"/>
          </w:tcPr>
          <w:p w14:paraId="255F1738" w14:textId="77777777" w:rsidR="00D40151" w:rsidRPr="00873B6C" w:rsidRDefault="00D40151" w:rsidP="009D14FB">
            <w:pPr>
              <w:pStyle w:val="TAL"/>
              <w:rPr>
                <w:sz w:val="16"/>
                <w:szCs w:val="16"/>
              </w:rPr>
            </w:pPr>
            <w:r w:rsidRPr="00873B6C">
              <w:rPr>
                <w:sz w:val="16"/>
                <w:szCs w:val="16"/>
              </w:rPr>
              <w:t>0704</w:t>
            </w:r>
          </w:p>
        </w:tc>
        <w:tc>
          <w:tcPr>
            <w:tcW w:w="425" w:type="dxa"/>
            <w:shd w:val="solid" w:color="FFFFFF" w:fill="auto"/>
          </w:tcPr>
          <w:p w14:paraId="4C0A970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D50157F"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45586F3" w14:textId="77777777" w:rsidR="00D40151" w:rsidRPr="00873B6C" w:rsidRDefault="00D40151" w:rsidP="009D14FB">
            <w:pPr>
              <w:pStyle w:val="TAL"/>
              <w:rPr>
                <w:sz w:val="16"/>
                <w:szCs w:val="16"/>
              </w:rPr>
            </w:pPr>
            <w:r w:rsidRPr="00873B6C">
              <w:rPr>
                <w:sz w:val="16"/>
                <w:szCs w:val="16"/>
              </w:rPr>
              <w:t>New 5QIs for Enhanced Framework for Uplink Streaming</w:t>
            </w:r>
          </w:p>
        </w:tc>
        <w:tc>
          <w:tcPr>
            <w:tcW w:w="708" w:type="dxa"/>
            <w:shd w:val="solid" w:color="FFFFFF" w:fill="auto"/>
          </w:tcPr>
          <w:p w14:paraId="3026DBA4" w14:textId="77777777" w:rsidR="00D40151" w:rsidRPr="00873B6C" w:rsidRDefault="00D40151" w:rsidP="009D14FB">
            <w:pPr>
              <w:pStyle w:val="TAC"/>
              <w:rPr>
                <w:b/>
                <w:sz w:val="16"/>
                <w:szCs w:val="16"/>
              </w:rPr>
            </w:pPr>
            <w:r w:rsidRPr="00873B6C">
              <w:rPr>
                <w:b/>
                <w:sz w:val="16"/>
                <w:szCs w:val="16"/>
              </w:rPr>
              <w:t>16.0.0</w:t>
            </w:r>
          </w:p>
        </w:tc>
      </w:tr>
      <w:tr w:rsidR="00D40151" w:rsidRPr="00873B6C" w14:paraId="41E147D1" w14:textId="77777777" w:rsidTr="009D14FB">
        <w:tc>
          <w:tcPr>
            <w:tcW w:w="800" w:type="dxa"/>
            <w:shd w:val="solid" w:color="FFFFFF" w:fill="auto"/>
          </w:tcPr>
          <w:p w14:paraId="6506B53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D63695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9CDA87D"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61C5BAD8" w14:textId="77777777" w:rsidR="00D40151" w:rsidRPr="00873B6C" w:rsidRDefault="00D40151" w:rsidP="009D14FB">
            <w:pPr>
              <w:pStyle w:val="TAL"/>
              <w:rPr>
                <w:sz w:val="16"/>
                <w:szCs w:val="16"/>
              </w:rPr>
            </w:pPr>
            <w:r w:rsidRPr="00873B6C">
              <w:rPr>
                <w:sz w:val="16"/>
                <w:szCs w:val="16"/>
              </w:rPr>
              <w:t>0734</w:t>
            </w:r>
          </w:p>
        </w:tc>
        <w:tc>
          <w:tcPr>
            <w:tcW w:w="425" w:type="dxa"/>
            <w:shd w:val="solid" w:color="FFFFFF" w:fill="auto"/>
          </w:tcPr>
          <w:p w14:paraId="799DDEFC"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88066A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0EFE1E0" w14:textId="77777777" w:rsidR="00D40151" w:rsidRPr="00873B6C" w:rsidRDefault="00D40151" w:rsidP="009D14FB">
            <w:pPr>
              <w:pStyle w:val="TAL"/>
              <w:rPr>
                <w:sz w:val="16"/>
                <w:szCs w:val="16"/>
              </w:rPr>
            </w:pPr>
            <w:r w:rsidRPr="00873B6C">
              <w:rPr>
                <w:sz w:val="16"/>
                <w:szCs w:val="16"/>
              </w:rPr>
              <w:t>TS 23.501: Introducing Non-public network</w:t>
            </w:r>
          </w:p>
        </w:tc>
        <w:tc>
          <w:tcPr>
            <w:tcW w:w="708" w:type="dxa"/>
            <w:shd w:val="solid" w:color="FFFFFF" w:fill="auto"/>
          </w:tcPr>
          <w:p w14:paraId="7DB91ED8" w14:textId="77777777" w:rsidR="00D40151" w:rsidRPr="00873B6C" w:rsidRDefault="00D40151" w:rsidP="009D14FB">
            <w:pPr>
              <w:pStyle w:val="TAC"/>
              <w:rPr>
                <w:b/>
                <w:sz w:val="16"/>
                <w:szCs w:val="16"/>
              </w:rPr>
            </w:pPr>
            <w:r w:rsidRPr="00873B6C">
              <w:rPr>
                <w:b/>
                <w:sz w:val="16"/>
                <w:szCs w:val="16"/>
              </w:rPr>
              <w:t>16.0.0</w:t>
            </w:r>
          </w:p>
        </w:tc>
      </w:tr>
      <w:tr w:rsidR="00D40151" w:rsidRPr="00873B6C" w14:paraId="54B36E93" w14:textId="77777777" w:rsidTr="009D14FB">
        <w:tc>
          <w:tcPr>
            <w:tcW w:w="800" w:type="dxa"/>
            <w:shd w:val="solid" w:color="FFFFFF" w:fill="auto"/>
          </w:tcPr>
          <w:p w14:paraId="7A8D06C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F4AB33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FC9855E"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310E38D2" w14:textId="77777777" w:rsidR="00D40151" w:rsidRPr="00873B6C" w:rsidRDefault="00D40151" w:rsidP="009D14FB">
            <w:pPr>
              <w:pStyle w:val="TAL"/>
              <w:rPr>
                <w:sz w:val="16"/>
                <w:szCs w:val="16"/>
              </w:rPr>
            </w:pPr>
            <w:r w:rsidRPr="00873B6C">
              <w:rPr>
                <w:sz w:val="16"/>
                <w:szCs w:val="16"/>
              </w:rPr>
              <w:t>0747</w:t>
            </w:r>
          </w:p>
        </w:tc>
        <w:tc>
          <w:tcPr>
            <w:tcW w:w="425" w:type="dxa"/>
            <w:shd w:val="solid" w:color="FFFFFF" w:fill="auto"/>
          </w:tcPr>
          <w:p w14:paraId="09A6A9AF" w14:textId="77777777" w:rsidR="00D40151" w:rsidRPr="00873B6C" w:rsidRDefault="00D40151" w:rsidP="009D14FB">
            <w:pPr>
              <w:pStyle w:val="TAL"/>
              <w:rPr>
                <w:sz w:val="16"/>
                <w:szCs w:val="16"/>
              </w:rPr>
            </w:pPr>
            <w:r w:rsidRPr="00873B6C">
              <w:rPr>
                <w:sz w:val="16"/>
                <w:szCs w:val="16"/>
              </w:rPr>
              <w:t>12</w:t>
            </w:r>
          </w:p>
        </w:tc>
        <w:tc>
          <w:tcPr>
            <w:tcW w:w="425" w:type="dxa"/>
            <w:shd w:val="solid" w:color="FFFFFF" w:fill="auto"/>
          </w:tcPr>
          <w:p w14:paraId="59C8466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3430270" w14:textId="77777777" w:rsidR="00D40151" w:rsidRPr="00873B6C" w:rsidRDefault="00D40151" w:rsidP="009D14FB">
            <w:pPr>
              <w:pStyle w:val="TAL"/>
              <w:rPr>
                <w:sz w:val="16"/>
                <w:szCs w:val="16"/>
              </w:rPr>
            </w:pPr>
            <w:r w:rsidRPr="00873B6C">
              <w:rPr>
                <w:sz w:val="16"/>
                <w:szCs w:val="16"/>
              </w:rPr>
              <w:t>Support for 5G LAN</w:t>
            </w:r>
          </w:p>
        </w:tc>
        <w:tc>
          <w:tcPr>
            <w:tcW w:w="708" w:type="dxa"/>
            <w:shd w:val="solid" w:color="FFFFFF" w:fill="auto"/>
          </w:tcPr>
          <w:p w14:paraId="6CC17507" w14:textId="77777777" w:rsidR="00D40151" w:rsidRPr="00873B6C" w:rsidRDefault="00D40151" w:rsidP="009D14FB">
            <w:pPr>
              <w:pStyle w:val="TAC"/>
              <w:rPr>
                <w:b/>
                <w:sz w:val="16"/>
                <w:szCs w:val="16"/>
              </w:rPr>
            </w:pPr>
            <w:r w:rsidRPr="00873B6C">
              <w:rPr>
                <w:b/>
                <w:sz w:val="16"/>
                <w:szCs w:val="16"/>
              </w:rPr>
              <w:t>16.0.0</w:t>
            </w:r>
          </w:p>
        </w:tc>
      </w:tr>
      <w:tr w:rsidR="00D40151" w:rsidRPr="00873B6C" w14:paraId="393BCF3E" w14:textId="77777777" w:rsidTr="009D14FB">
        <w:tc>
          <w:tcPr>
            <w:tcW w:w="800" w:type="dxa"/>
            <w:shd w:val="solid" w:color="FFFFFF" w:fill="auto"/>
          </w:tcPr>
          <w:p w14:paraId="02A5DFF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08CA83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F1D4DE0" w14:textId="77777777" w:rsidR="00D40151" w:rsidRPr="00873B6C" w:rsidRDefault="00D40151" w:rsidP="009D14FB">
            <w:pPr>
              <w:pStyle w:val="TAC"/>
              <w:rPr>
                <w:sz w:val="16"/>
                <w:szCs w:val="16"/>
              </w:rPr>
            </w:pPr>
            <w:r w:rsidRPr="00873B6C">
              <w:rPr>
                <w:sz w:val="16"/>
                <w:szCs w:val="16"/>
              </w:rPr>
              <w:t>SP-190194</w:t>
            </w:r>
          </w:p>
        </w:tc>
        <w:tc>
          <w:tcPr>
            <w:tcW w:w="567" w:type="dxa"/>
            <w:shd w:val="solid" w:color="FFFFFF" w:fill="auto"/>
          </w:tcPr>
          <w:p w14:paraId="42414E56" w14:textId="77777777" w:rsidR="00D40151" w:rsidRPr="00873B6C" w:rsidRDefault="00D40151" w:rsidP="009D14FB">
            <w:pPr>
              <w:pStyle w:val="TAL"/>
              <w:rPr>
                <w:sz w:val="16"/>
                <w:szCs w:val="16"/>
              </w:rPr>
            </w:pPr>
            <w:r w:rsidRPr="00873B6C">
              <w:rPr>
                <w:sz w:val="16"/>
                <w:szCs w:val="16"/>
              </w:rPr>
              <w:t>0757</w:t>
            </w:r>
          </w:p>
        </w:tc>
        <w:tc>
          <w:tcPr>
            <w:tcW w:w="425" w:type="dxa"/>
            <w:shd w:val="solid" w:color="FFFFFF" w:fill="auto"/>
          </w:tcPr>
          <w:p w14:paraId="5E67096A"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1E10EF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208AD78" w14:textId="77777777" w:rsidR="00D40151" w:rsidRPr="00873B6C" w:rsidRDefault="00D40151" w:rsidP="009D14FB">
            <w:pPr>
              <w:pStyle w:val="TAL"/>
              <w:rPr>
                <w:sz w:val="16"/>
                <w:szCs w:val="16"/>
              </w:rPr>
            </w:pPr>
            <w:r w:rsidRPr="00873B6C">
              <w:rPr>
                <w:sz w:val="16"/>
                <w:szCs w:val="16"/>
              </w:rPr>
              <w:t>Introducing support for Non-Public Networks</w:t>
            </w:r>
          </w:p>
        </w:tc>
        <w:tc>
          <w:tcPr>
            <w:tcW w:w="708" w:type="dxa"/>
            <w:shd w:val="solid" w:color="FFFFFF" w:fill="auto"/>
          </w:tcPr>
          <w:p w14:paraId="41F398DB" w14:textId="77777777" w:rsidR="00D40151" w:rsidRPr="00873B6C" w:rsidRDefault="00D40151" w:rsidP="009D14FB">
            <w:pPr>
              <w:pStyle w:val="TAC"/>
              <w:rPr>
                <w:b/>
                <w:sz w:val="16"/>
                <w:szCs w:val="16"/>
              </w:rPr>
            </w:pPr>
            <w:r w:rsidRPr="00873B6C">
              <w:rPr>
                <w:b/>
                <w:sz w:val="16"/>
                <w:szCs w:val="16"/>
              </w:rPr>
              <w:t>16.0.0</w:t>
            </w:r>
          </w:p>
        </w:tc>
      </w:tr>
      <w:tr w:rsidR="00D40151" w:rsidRPr="00873B6C" w14:paraId="168ED754" w14:textId="77777777" w:rsidTr="009D14FB">
        <w:tc>
          <w:tcPr>
            <w:tcW w:w="800" w:type="dxa"/>
            <w:shd w:val="solid" w:color="FFFFFF" w:fill="auto"/>
          </w:tcPr>
          <w:p w14:paraId="468A548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3D9215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BE2160B"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2B74B0B7" w14:textId="77777777" w:rsidR="00D40151" w:rsidRPr="00873B6C" w:rsidRDefault="00D40151" w:rsidP="009D14FB">
            <w:pPr>
              <w:pStyle w:val="TAL"/>
              <w:rPr>
                <w:sz w:val="16"/>
                <w:szCs w:val="16"/>
              </w:rPr>
            </w:pPr>
            <w:r w:rsidRPr="00873B6C">
              <w:rPr>
                <w:sz w:val="16"/>
                <w:szCs w:val="16"/>
              </w:rPr>
              <w:t>0903</w:t>
            </w:r>
          </w:p>
        </w:tc>
        <w:tc>
          <w:tcPr>
            <w:tcW w:w="425" w:type="dxa"/>
            <w:shd w:val="solid" w:color="FFFFFF" w:fill="auto"/>
          </w:tcPr>
          <w:p w14:paraId="36AC14C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A4F36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D1A6E3E" w14:textId="77777777" w:rsidR="00D40151" w:rsidRPr="00873B6C" w:rsidRDefault="00D40151" w:rsidP="009D14FB">
            <w:pPr>
              <w:pStyle w:val="TAL"/>
              <w:rPr>
                <w:sz w:val="16"/>
                <w:szCs w:val="16"/>
              </w:rPr>
            </w:pPr>
            <w:r w:rsidRPr="00873B6C">
              <w:rPr>
                <w:sz w:val="16"/>
                <w:szCs w:val="16"/>
              </w:rPr>
              <w:t>Introduction of 5G LAN-type service</w:t>
            </w:r>
          </w:p>
        </w:tc>
        <w:tc>
          <w:tcPr>
            <w:tcW w:w="708" w:type="dxa"/>
            <w:shd w:val="solid" w:color="FFFFFF" w:fill="auto"/>
          </w:tcPr>
          <w:p w14:paraId="4A04005D" w14:textId="77777777" w:rsidR="00D40151" w:rsidRPr="00873B6C" w:rsidRDefault="00D40151" w:rsidP="009D14FB">
            <w:pPr>
              <w:pStyle w:val="TAC"/>
              <w:rPr>
                <w:b/>
                <w:sz w:val="16"/>
                <w:szCs w:val="16"/>
              </w:rPr>
            </w:pPr>
            <w:r w:rsidRPr="00873B6C">
              <w:rPr>
                <w:b/>
                <w:sz w:val="16"/>
                <w:szCs w:val="16"/>
              </w:rPr>
              <w:t>16.0.0</w:t>
            </w:r>
          </w:p>
        </w:tc>
      </w:tr>
      <w:tr w:rsidR="00D40151" w:rsidRPr="00873B6C" w14:paraId="0BA5403D" w14:textId="77777777" w:rsidTr="009D14FB">
        <w:tc>
          <w:tcPr>
            <w:tcW w:w="800" w:type="dxa"/>
            <w:shd w:val="solid" w:color="FFFFFF" w:fill="auto"/>
          </w:tcPr>
          <w:p w14:paraId="00E77D1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BB7CC4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5258F19"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6CEF9150" w14:textId="77777777" w:rsidR="00D40151" w:rsidRPr="00873B6C" w:rsidRDefault="00D40151" w:rsidP="009D14FB">
            <w:pPr>
              <w:pStyle w:val="TAL"/>
              <w:rPr>
                <w:sz w:val="16"/>
                <w:szCs w:val="16"/>
              </w:rPr>
            </w:pPr>
            <w:r w:rsidRPr="00873B6C">
              <w:rPr>
                <w:sz w:val="16"/>
                <w:szCs w:val="16"/>
              </w:rPr>
              <w:t>1007</w:t>
            </w:r>
          </w:p>
        </w:tc>
        <w:tc>
          <w:tcPr>
            <w:tcW w:w="425" w:type="dxa"/>
            <w:shd w:val="solid" w:color="FFFFFF" w:fill="auto"/>
          </w:tcPr>
          <w:p w14:paraId="3DA6A51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D186D7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D2BA58C" w14:textId="77777777" w:rsidR="00D40151" w:rsidRPr="00873B6C" w:rsidRDefault="00D40151" w:rsidP="009D14FB">
            <w:pPr>
              <w:pStyle w:val="TAL"/>
              <w:rPr>
                <w:sz w:val="16"/>
                <w:szCs w:val="16"/>
              </w:rPr>
            </w:pPr>
            <w:r w:rsidRPr="00873B6C">
              <w:rPr>
                <w:sz w:val="16"/>
                <w:szCs w:val="16"/>
              </w:rPr>
              <w:t>Introducing support TSC Deterministic QoS</w:t>
            </w:r>
          </w:p>
        </w:tc>
        <w:tc>
          <w:tcPr>
            <w:tcW w:w="708" w:type="dxa"/>
            <w:shd w:val="solid" w:color="FFFFFF" w:fill="auto"/>
          </w:tcPr>
          <w:p w14:paraId="3E7AE4B8" w14:textId="77777777" w:rsidR="00D40151" w:rsidRPr="00873B6C" w:rsidRDefault="00D40151" w:rsidP="009D14FB">
            <w:pPr>
              <w:pStyle w:val="TAC"/>
              <w:rPr>
                <w:b/>
                <w:sz w:val="16"/>
                <w:szCs w:val="16"/>
              </w:rPr>
            </w:pPr>
            <w:r w:rsidRPr="00873B6C">
              <w:rPr>
                <w:b/>
                <w:sz w:val="16"/>
                <w:szCs w:val="16"/>
              </w:rPr>
              <w:t>16.0.0</w:t>
            </w:r>
          </w:p>
        </w:tc>
      </w:tr>
      <w:tr w:rsidR="00D40151" w:rsidRPr="00873B6C" w14:paraId="66D50745" w14:textId="77777777" w:rsidTr="009D14FB">
        <w:tc>
          <w:tcPr>
            <w:tcW w:w="800" w:type="dxa"/>
            <w:shd w:val="solid" w:color="FFFFFF" w:fill="auto"/>
          </w:tcPr>
          <w:p w14:paraId="5D9E0C0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3400DE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B6355CE"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4CDF7A5B" w14:textId="77777777" w:rsidR="00D40151" w:rsidRPr="00873B6C" w:rsidRDefault="00D40151" w:rsidP="009D14FB">
            <w:pPr>
              <w:pStyle w:val="TAL"/>
              <w:rPr>
                <w:sz w:val="16"/>
                <w:szCs w:val="16"/>
              </w:rPr>
            </w:pPr>
            <w:r w:rsidRPr="00873B6C">
              <w:rPr>
                <w:sz w:val="16"/>
                <w:szCs w:val="16"/>
              </w:rPr>
              <w:t>1008</w:t>
            </w:r>
          </w:p>
        </w:tc>
        <w:tc>
          <w:tcPr>
            <w:tcW w:w="425" w:type="dxa"/>
            <w:shd w:val="solid" w:color="FFFFFF" w:fill="auto"/>
          </w:tcPr>
          <w:p w14:paraId="3465C99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FF3086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9966F38" w14:textId="77777777" w:rsidR="00D40151" w:rsidRPr="00873B6C" w:rsidRDefault="00D40151" w:rsidP="009D14FB">
            <w:pPr>
              <w:pStyle w:val="TAL"/>
              <w:rPr>
                <w:sz w:val="16"/>
                <w:szCs w:val="16"/>
              </w:rPr>
            </w:pPr>
            <w:r w:rsidRPr="00873B6C">
              <w:rPr>
                <w:sz w:val="16"/>
                <w:szCs w:val="16"/>
              </w:rPr>
              <w:t>Introducing support Hold and Forward Buffers for TSC Deterministic QoS</w:t>
            </w:r>
          </w:p>
        </w:tc>
        <w:tc>
          <w:tcPr>
            <w:tcW w:w="708" w:type="dxa"/>
            <w:shd w:val="solid" w:color="FFFFFF" w:fill="auto"/>
          </w:tcPr>
          <w:p w14:paraId="4B35B7B2" w14:textId="77777777" w:rsidR="00D40151" w:rsidRPr="00873B6C" w:rsidRDefault="00D40151" w:rsidP="009D14FB">
            <w:pPr>
              <w:pStyle w:val="TAC"/>
              <w:rPr>
                <w:b/>
                <w:sz w:val="16"/>
                <w:szCs w:val="16"/>
              </w:rPr>
            </w:pPr>
            <w:r w:rsidRPr="00873B6C">
              <w:rPr>
                <w:b/>
                <w:sz w:val="16"/>
                <w:szCs w:val="16"/>
              </w:rPr>
              <w:t>16.0.0</w:t>
            </w:r>
          </w:p>
        </w:tc>
      </w:tr>
      <w:tr w:rsidR="00D40151" w:rsidRPr="00873B6C" w14:paraId="106C2947" w14:textId="77777777" w:rsidTr="009D14FB">
        <w:tc>
          <w:tcPr>
            <w:tcW w:w="800" w:type="dxa"/>
            <w:shd w:val="solid" w:color="FFFFFF" w:fill="auto"/>
          </w:tcPr>
          <w:p w14:paraId="1584D99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49BD1B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8CA2ABD"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4ED6376D" w14:textId="77777777" w:rsidR="00D40151" w:rsidRPr="00873B6C" w:rsidRDefault="00D40151" w:rsidP="009D14FB">
            <w:pPr>
              <w:pStyle w:val="TAL"/>
              <w:rPr>
                <w:sz w:val="16"/>
                <w:szCs w:val="16"/>
              </w:rPr>
            </w:pPr>
            <w:r w:rsidRPr="00873B6C">
              <w:rPr>
                <w:sz w:val="16"/>
                <w:szCs w:val="16"/>
              </w:rPr>
              <w:t>1002</w:t>
            </w:r>
          </w:p>
        </w:tc>
        <w:tc>
          <w:tcPr>
            <w:tcW w:w="425" w:type="dxa"/>
            <w:shd w:val="solid" w:color="FFFFFF" w:fill="auto"/>
          </w:tcPr>
          <w:p w14:paraId="0B19353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11BC9B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2171F12" w14:textId="77777777" w:rsidR="00D40151" w:rsidRPr="00873B6C" w:rsidRDefault="00D40151" w:rsidP="009D14FB">
            <w:pPr>
              <w:pStyle w:val="TAL"/>
              <w:rPr>
                <w:sz w:val="16"/>
                <w:szCs w:val="16"/>
              </w:rPr>
            </w:pPr>
            <w:r w:rsidRPr="00873B6C">
              <w:rPr>
                <w:sz w:val="16"/>
                <w:szCs w:val="16"/>
              </w:rPr>
              <w:t xml:space="preserve"> 5GS Logical TSN bridge management</w:t>
            </w:r>
          </w:p>
        </w:tc>
        <w:tc>
          <w:tcPr>
            <w:tcW w:w="708" w:type="dxa"/>
            <w:shd w:val="solid" w:color="FFFFFF" w:fill="auto"/>
          </w:tcPr>
          <w:p w14:paraId="4C0FACFC" w14:textId="77777777" w:rsidR="00D40151" w:rsidRPr="00873B6C" w:rsidRDefault="00D40151" w:rsidP="009D14FB">
            <w:pPr>
              <w:pStyle w:val="TAC"/>
              <w:rPr>
                <w:b/>
                <w:sz w:val="16"/>
                <w:szCs w:val="16"/>
              </w:rPr>
            </w:pPr>
            <w:r w:rsidRPr="00873B6C">
              <w:rPr>
                <w:b/>
                <w:sz w:val="16"/>
                <w:szCs w:val="16"/>
              </w:rPr>
              <w:t>16.0.0</w:t>
            </w:r>
          </w:p>
        </w:tc>
      </w:tr>
      <w:tr w:rsidR="00D40151" w:rsidRPr="00873B6C" w14:paraId="77EA4A9B" w14:textId="77777777" w:rsidTr="009D14FB">
        <w:tc>
          <w:tcPr>
            <w:tcW w:w="800" w:type="dxa"/>
            <w:shd w:val="solid" w:color="FFFFFF" w:fill="auto"/>
          </w:tcPr>
          <w:p w14:paraId="2078383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F11BBB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65B79F5"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1E626600" w14:textId="77777777" w:rsidR="00D40151" w:rsidRPr="00873B6C" w:rsidRDefault="00D40151" w:rsidP="009D14FB">
            <w:pPr>
              <w:pStyle w:val="TAL"/>
              <w:rPr>
                <w:sz w:val="16"/>
                <w:szCs w:val="16"/>
              </w:rPr>
            </w:pPr>
            <w:r w:rsidRPr="00873B6C">
              <w:rPr>
                <w:sz w:val="16"/>
                <w:szCs w:val="16"/>
              </w:rPr>
              <w:t>0748</w:t>
            </w:r>
          </w:p>
        </w:tc>
        <w:tc>
          <w:tcPr>
            <w:tcW w:w="425" w:type="dxa"/>
            <w:shd w:val="solid" w:color="FFFFFF" w:fill="auto"/>
          </w:tcPr>
          <w:p w14:paraId="3FEFD81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F424FE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E0172A4" w14:textId="77777777" w:rsidR="00D40151" w:rsidRPr="00873B6C" w:rsidRDefault="00D40151" w:rsidP="009D14FB">
            <w:pPr>
              <w:pStyle w:val="TAL"/>
              <w:rPr>
                <w:sz w:val="16"/>
                <w:szCs w:val="16"/>
              </w:rPr>
            </w:pPr>
            <w:r w:rsidRPr="00873B6C">
              <w:rPr>
                <w:sz w:val="16"/>
                <w:szCs w:val="16"/>
              </w:rPr>
              <w:t>CIoT High Level Description in 23.501</w:t>
            </w:r>
          </w:p>
        </w:tc>
        <w:tc>
          <w:tcPr>
            <w:tcW w:w="708" w:type="dxa"/>
            <w:shd w:val="solid" w:color="FFFFFF" w:fill="auto"/>
          </w:tcPr>
          <w:p w14:paraId="7897F04A" w14:textId="77777777" w:rsidR="00D40151" w:rsidRPr="00873B6C" w:rsidRDefault="00D40151" w:rsidP="009D14FB">
            <w:pPr>
              <w:pStyle w:val="TAC"/>
              <w:rPr>
                <w:b/>
                <w:sz w:val="16"/>
                <w:szCs w:val="16"/>
              </w:rPr>
            </w:pPr>
            <w:r w:rsidRPr="00873B6C">
              <w:rPr>
                <w:b/>
                <w:sz w:val="16"/>
                <w:szCs w:val="16"/>
              </w:rPr>
              <w:t>16.0.0</w:t>
            </w:r>
          </w:p>
        </w:tc>
      </w:tr>
      <w:tr w:rsidR="00D40151" w:rsidRPr="00873B6C" w14:paraId="29AF2DA4" w14:textId="77777777" w:rsidTr="009D14FB">
        <w:tc>
          <w:tcPr>
            <w:tcW w:w="800" w:type="dxa"/>
            <w:shd w:val="solid" w:color="FFFFFF" w:fill="auto"/>
          </w:tcPr>
          <w:p w14:paraId="723D02B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99ECBD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BFE3C49"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35BA62A" w14:textId="77777777" w:rsidR="00D40151" w:rsidRPr="00873B6C" w:rsidRDefault="00D40151" w:rsidP="009D14FB">
            <w:pPr>
              <w:pStyle w:val="TAL"/>
              <w:rPr>
                <w:sz w:val="16"/>
                <w:szCs w:val="16"/>
              </w:rPr>
            </w:pPr>
            <w:r w:rsidRPr="00873B6C">
              <w:rPr>
                <w:sz w:val="16"/>
                <w:szCs w:val="16"/>
              </w:rPr>
              <w:t>0751</w:t>
            </w:r>
          </w:p>
        </w:tc>
        <w:tc>
          <w:tcPr>
            <w:tcW w:w="425" w:type="dxa"/>
            <w:shd w:val="solid" w:color="FFFFFF" w:fill="auto"/>
          </w:tcPr>
          <w:p w14:paraId="1E029DC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56CCE1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A2C060E" w14:textId="77777777" w:rsidR="00D40151" w:rsidRPr="00873B6C" w:rsidRDefault="00D40151" w:rsidP="009D14FB">
            <w:pPr>
              <w:pStyle w:val="TAL"/>
              <w:rPr>
                <w:sz w:val="16"/>
                <w:szCs w:val="16"/>
              </w:rPr>
            </w:pPr>
            <w:r w:rsidRPr="00873B6C">
              <w:rPr>
                <w:sz w:val="16"/>
                <w:szCs w:val="16"/>
              </w:rPr>
              <w:t>High Latency Overall Description</w:t>
            </w:r>
          </w:p>
        </w:tc>
        <w:tc>
          <w:tcPr>
            <w:tcW w:w="708" w:type="dxa"/>
            <w:shd w:val="solid" w:color="FFFFFF" w:fill="auto"/>
          </w:tcPr>
          <w:p w14:paraId="25F1008F" w14:textId="77777777" w:rsidR="00D40151" w:rsidRPr="00873B6C" w:rsidRDefault="00D40151" w:rsidP="009D14FB">
            <w:pPr>
              <w:pStyle w:val="TAC"/>
              <w:rPr>
                <w:b/>
                <w:sz w:val="16"/>
                <w:szCs w:val="16"/>
              </w:rPr>
            </w:pPr>
            <w:r w:rsidRPr="00873B6C">
              <w:rPr>
                <w:b/>
                <w:sz w:val="16"/>
                <w:szCs w:val="16"/>
              </w:rPr>
              <w:t>16.0.0</w:t>
            </w:r>
          </w:p>
        </w:tc>
      </w:tr>
      <w:tr w:rsidR="00D40151" w:rsidRPr="00873B6C" w14:paraId="2328E098" w14:textId="77777777" w:rsidTr="009D14FB">
        <w:tc>
          <w:tcPr>
            <w:tcW w:w="800" w:type="dxa"/>
            <w:shd w:val="solid" w:color="FFFFFF" w:fill="auto"/>
          </w:tcPr>
          <w:p w14:paraId="4076AF3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42BB0A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B241BC8"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34A94D4" w14:textId="77777777" w:rsidR="00D40151" w:rsidRPr="00873B6C" w:rsidRDefault="00D40151" w:rsidP="009D14FB">
            <w:pPr>
              <w:pStyle w:val="TAL"/>
              <w:rPr>
                <w:sz w:val="16"/>
                <w:szCs w:val="16"/>
              </w:rPr>
            </w:pPr>
            <w:r w:rsidRPr="00873B6C">
              <w:rPr>
                <w:sz w:val="16"/>
                <w:szCs w:val="16"/>
              </w:rPr>
              <w:t>0752</w:t>
            </w:r>
          </w:p>
        </w:tc>
        <w:tc>
          <w:tcPr>
            <w:tcW w:w="425" w:type="dxa"/>
            <w:shd w:val="solid" w:color="FFFFFF" w:fill="auto"/>
          </w:tcPr>
          <w:p w14:paraId="0F3C8CA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0ED35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71C88AF" w14:textId="77777777" w:rsidR="00D40151" w:rsidRPr="00873B6C" w:rsidRDefault="00D40151" w:rsidP="009D14FB">
            <w:pPr>
              <w:pStyle w:val="TAL"/>
              <w:rPr>
                <w:sz w:val="16"/>
                <w:szCs w:val="16"/>
              </w:rPr>
            </w:pPr>
            <w:r w:rsidRPr="00873B6C">
              <w:rPr>
                <w:sz w:val="16"/>
                <w:szCs w:val="16"/>
              </w:rPr>
              <w:t>Introducing Rate Control for 5G CIoT</w:t>
            </w:r>
          </w:p>
        </w:tc>
        <w:tc>
          <w:tcPr>
            <w:tcW w:w="708" w:type="dxa"/>
            <w:shd w:val="solid" w:color="FFFFFF" w:fill="auto"/>
          </w:tcPr>
          <w:p w14:paraId="2CB47CEA" w14:textId="77777777" w:rsidR="00D40151" w:rsidRPr="00873B6C" w:rsidRDefault="00D40151" w:rsidP="009D14FB">
            <w:pPr>
              <w:pStyle w:val="TAC"/>
              <w:rPr>
                <w:b/>
                <w:sz w:val="16"/>
                <w:szCs w:val="16"/>
              </w:rPr>
            </w:pPr>
            <w:r w:rsidRPr="00873B6C">
              <w:rPr>
                <w:b/>
                <w:sz w:val="16"/>
                <w:szCs w:val="16"/>
              </w:rPr>
              <w:t>16.0.0</w:t>
            </w:r>
          </w:p>
        </w:tc>
      </w:tr>
      <w:tr w:rsidR="00D40151" w:rsidRPr="00873B6C" w14:paraId="20C27B97" w14:textId="77777777" w:rsidTr="009D14FB">
        <w:tc>
          <w:tcPr>
            <w:tcW w:w="800" w:type="dxa"/>
            <w:shd w:val="solid" w:color="FFFFFF" w:fill="auto"/>
          </w:tcPr>
          <w:p w14:paraId="723CFAE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872B8B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425899E"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3F1D4844" w14:textId="77777777" w:rsidR="00D40151" w:rsidRPr="00873B6C" w:rsidRDefault="00D40151" w:rsidP="009D14FB">
            <w:pPr>
              <w:pStyle w:val="TAL"/>
              <w:rPr>
                <w:sz w:val="16"/>
                <w:szCs w:val="16"/>
              </w:rPr>
            </w:pPr>
            <w:r w:rsidRPr="00873B6C">
              <w:rPr>
                <w:sz w:val="16"/>
                <w:szCs w:val="16"/>
              </w:rPr>
              <w:t>0768</w:t>
            </w:r>
          </w:p>
        </w:tc>
        <w:tc>
          <w:tcPr>
            <w:tcW w:w="425" w:type="dxa"/>
            <w:shd w:val="solid" w:color="FFFFFF" w:fill="auto"/>
          </w:tcPr>
          <w:p w14:paraId="616A38AF"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430D859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8C9C60B" w14:textId="655F9834" w:rsidR="00D40151" w:rsidRPr="00873B6C" w:rsidRDefault="00D40151" w:rsidP="009D14FB">
            <w:pPr>
              <w:pStyle w:val="TAL"/>
              <w:rPr>
                <w:sz w:val="16"/>
                <w:szCs w:val="16"/>
              </w:rPr>
            </w:pPr>
            <w:r w:rsidRPr="00873B6C">
              <w:rPr>
                <w:sz w:val="16"/>
                <w:szCs w:val="16"/>
              </w:rPr>
              <w:t>Introduction of</w:t>
            </w:r>
            <w:r w:rsidR="00704A9E" w:rsidRPr="00873B6C">
              <w:rPr>
                <w:sz w:val="16"/>
                <w:szCs w:val="16"/>
              </w:rPr>
              <w:t xml:space="preserve"> </w:t>
            </w:r>
            <w:r w:rsidRPr="00873B6C">
              <w:rPr>
                <w:sz w:val="16"/>
                <w:szCs w:val="16"/>
              </w:rPr>
              <w:t>eDRX in 5GS</w:t>
            </w:r>
          </w:p>
        </w:tc>
        <w:tc>
          <w:tcPr>
            <w:tcW w:w="708" w:type="dxa"/>
            <w:shd w:val="solid" w:color="FFFFFF" w:fill="auto"/>
          </w:tcPr>
          <w:p w14:paraId="6FBF80F0" w14:textId="77777777" w:rsidR="00D40151" w:rsidRPr="00873B6C" w:rsidRDefault="00D40151" w:rsidP="009D14FB">
            <w:pPr>
              <w:pStyle w:val="TAC"/>
              <w:rPr>
                <w:b/>
                <w:sz w:val="16"/>
                <w:szCs w:val="16"/>
              </w:rPr>
            </w:pPr>
            <w:r w:rsidRPr="00873B6C">
              <w:rPr>
                <w:b/>
                <w:sz w:val="16"/>
                <w:szCs w:val="16"/>
              </w:rPr>
              <w:t>16.0.0</w:t>
            </w:r>
          </w:p>
        </w:tc>
      </w:tr>
      <w:tr w:rsidR="00D40151" w:rsidRPr="00873B6C" w14:paraId="04B3A0EE" w14:textId="77777777" w:rsidTr="009D14FB">
        <w:tc>
          <w:tcPr>
            <w:tcW w:w="800" w:type="dxa"/>
            <w:shd w:val="solid" w:color="FFFFFF" w:fill="auto"/>
          </w:tcPr>
          <w:p w14:paraId="600C01D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7AF282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5A3A5CD"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121C7035" w14:textId="77777777" w:rsidR="00D40151" w:rsidRPr="00873B6C" w:rsidRDefault="00D40151" w:rsidP="009D14FB">
            <w:pPr>
              <w:pStyle w:val="TAL"/>
              <w:rPr>
                <w:sz w:val="16"/>
                <w:szCs w:val="16"/>
              </w:rPr>
            </w:pPr>
            <w:r w:rsidRPr="00873B6C">
              <w:rPr>
                <w:sz w:val="16"/>
                <w:szCs w:val="16"/>
              </w:rPr>
              <w:t>0819</w:t>
            </w:r>
          </w:p>
        </w:tc>
        <w:tc>
          <w:tcPr>
            <w:tcW w:w="425" w:type="dxa"/>
            <w:shd w:val="solid" w:color="FFFFFF" w:fill="auto"/>
          </w:tcPr>
          <w:p w14:paraId="680966B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B63C9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93E6875" w14:textId="77777777" w:rsidR="00D40151" w:rsidRPr="00873B6C" w:rsidRDefault="00D40151" w:rsidP="009D14FB">
            <w:pPr>
              <w:pStyle w:val="TAL"/>
              <w:rPr>
                <w:sz w:val="16"/>
                <w:szCs w:val="16"/>
              </w:rPr>
            </w:pPr>
            <w:r w:rsidRPr="00873B6C">
              <w:rPr>
                <w:sz w:val="16"/>
                <w:szCs w:val="16"/>
              </w:rPr>
              <w:t>CIoT Monitoring Events</w:t>
            </w:r>
          </w:p>
        </w:tc>
        <w:tc>
          <w:tcPr>
            <w:tcW w:w="708" w:type="dxa"/>
            <w:shd w:val="solid" w:color="FFFFFF" w:fill="auto"/>
          </w:tcPr>
          <w:p w14:paraId="5A3A2BEA" w14:textId="77777777" w:rsidR="00D40151" w:rsidRPr="00873B6C" w:rsidRDefault="00D40151" w:rsidP="009D14FB">
            <w:pPr>
              <w:pStyle w:val="TAC"/>
              <w:rPr>
                <w:b/>
                <w:sz w:val="16"/>
                <w:szCs w:val="16"/>
              </w:rPr>
            </w:pPr>
            <w:r w:rsidRPr="00873B6C">
              <w:rPr>
                <w:b/>
                <w:sz w:val="16"/>
                <w:szCs w:val="16"/>
              </w:rPr>
              <w:t>16.0.0</w:t>
            </w:r>
          </w:p>
        </w:tc>
      </w:tr>
      <w:tr w:rsidR="00D40151" w:rsidRPr="00873B6C" w14:paraId="533B3E36" w14:textId="77777777" w:rsidTr="009D14FB">
        <w:tc>
          <w:tcPr>
            <w:tcW w:w="800" w:type="dxa"/>
            <w:shd w:val="solid" w:color="FFFFFF" w:fill="auto"/>
          </w:tcPr>
          <w:p w14:paraId="7A3173A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62F639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30BF35D"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2C842561" w14:textId="77777777" w:rsidR="00D40151" w:rsidRPr="00873B6C" w:rsidRDefault="00D40151" w:rsidP="009D14FB">
            <w:pPr>
              <w:pStyle w:val="TAL"/>
              <w:rPr>
                <w:sz w:val="16"/>
                <w:szCs w:val="16"/>
              </w:rPr>
            </w:pPr>
            <w:r w:rsidRPr="00873B6C">
              <w:rPr>
                <w:sz w:val="16"/>
                <w:szCs w:val="16"/>
              </w:rPr>
              <w:t>0820</w:t>
            </w:r>
          </w:p>
        </w:tc>
        <w:tc>
          <w:tcPr>
            <w:tcW w:w="425" w:type="dxa"/>
            <w:shd w:val="solid" w:color="FFFFFF" w:fill="auto"/>
          </w:tcPr>
          <w:p w14:paraId="649AD7F9"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35C4E3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73156E5" w14:textId="77777777" w:rsidR="00D40151" w:rsidRPr="00873B6C" w:rsidRDefault="00D40151" w:rsidP="009D14FB">
            <w:pPr>
              <w:pStyle w:val="TAL"/>
              <w:rPr>
                <w:sz w:val="16"/>
                <w:szCs w:val="16"/>
              </w:rPr>
            </w:pPr>
            <w:r w:rsidRPr="00873B6C">
              <w:rPr>
                <w:sz w:val="16"/>
                <w:szCs w:val="16"/>
              </w:rPr>
              <w:t>Restriction of use of Enhanced Coverage in 5GC</w:t>
            </w:r>
          </w:p>
        </w:tc>
        <w:tc>
          <w:tcPr>
            <w:tcW w:w="708" w:type="dxa"/>
            <w:shd w:val="solid" w:color="FFFFFF" w:fill="auto"/>
          </w:tcPr>
          <w:p w14:paraId="2ADF4A89" w14:textId="77777777" w:rsidR="00D40151" w:rsidRPr="00873B6C" w:rsidRDefault="00D40151" w:rsidP="009D14FB">
            <w:pPr>
              <w:pStyle w:val="TAC"/>
              <w:rPr>
                <w:b/>
                <w:sz w:val="16"/>
                <w:szCs w:val="16"/>
              </w:rPr>
            </w:pPr>
            <w:r w:rsidRPr="00873B6C">
              <w:rPr>
                <w:b/>
                <w:sz w:val="16"/>
                <w:szCs w:val="16"/>
              </w:rPr>
              <w:t>16.0.0</w:t>
            </w:r>
          </w:p>
        </w:tc>
      </w:tr>
      <w:tr w:rsidR="00D40151" w:rsidRPr="00873B6C" w14:paraId="4BAE1606" w14:textId="77777777" w:rsidTr="009D14FB">
        <w:tc>
          <w:tcPr>
            <w:tcW w:w="800" w:type="dxa"/>
            <w:shd w:val="solid" w:color="FFFFFF" w:fill="auto"/>
          </w:tcPr>
          <w:p w14:paraId="22CE92A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9DD063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F44DF0C"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02DB27D" w14:textId="77777777" w:rsidR="00D40151" w:rsidRPr="00873B6C" w:rsidRDefault="00D40151" w:rsidP="009D14FB">
            <w:pPr>
              <w:pStyle w:val="TAL"/>
              <w:rPr>
                <w:sz w:val="16"/>
                <w:szCs w:val="16"/>
              </w:rPr>
            </w:pPr>
            <w:r w:rsidRPr="00873B6C">
              <w:rPr>
                <w:sz w:val="16"/>
                <w:szCs w:val="16"/>
              </w:rPr>
              <w:t>0825</w:t>
            </w:r>
          </w:p>
        </w:tc>
        <w:tc>
          <w:tcPr>
            <w:tcW w:w="425" w:type="dxa"/>
            <w:shd w:val="solid" w:color="FFFFFF" w:fill="auto"/>
          </w:tcPr>
          <w:p w14:paraId="24254B2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5C1578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546FA7C" w14:textId="77777777" w:rsidR="00D40151" w:rsidRPr="00873B6C" w:rsidRDefault="00D40151" w:rsidP="009D14FB">
            <w:pPr>
              <w:pStyle w:val="TAL"/>
              <w:rPr>
                <w:sz w:val="16"/>
                <w:szCs w:val="16"/>
              </w:rPr>
            </w:pPr>
            <w:r w:rsidRPr="00873B6C">
              <w:rPr>
                <w:sz w:val="16"/>
                <w:szCs w:val="16"/>
              </w:rPr>
              <w:t>Introduction to Reliable Data Service</w:t>
            </w:r>
          </w:p>
        </w:tc>
        <w:tc>
          <w:tcPr>
            <w:tcW w:w="708" w:type="dxa"/>
            <w:shd w:val="solid" w:color="FFFFFF" w:fill="auto"/>
          </w:tcPr>
          <w:p w14:paraId="2F041BDF" w14:textId="77777777" w:rsidR="00D40151" w:rsidRPr="00873B6C" w:rsidRDefault="00D40151" w:rsidP="009D14FB">
            <w:pPr>
              <w:pStyle w:val="TAC"/>
              <w:rPr>
                <w:b/>
                <w:sz w:val="16"/>
                <w:szCs w:val="16"/>
              </w:rPr>
            </w:pPr>
            <w:r w:rsidRPr="00873B6C">
              <w:rPr>
                <w:b/>
                <w:sz w:val="16"/>
                <w:szCs w:val="16"/>
              </w:rPr>
              <w:t>16.0.0</w:t>
            </w:r>
          </w:p>
        </w:tc>
      </w:tr>
      <w:tr w:rsidR="00D40151" w:rsidRPr="00873B6C" w14:paraId="4BD52E9A" w14:textId="77777777" w:rsidTr="009D14FB">
        <w:tc>
          <w:tcPr>
            <w:tcW w:w="800" w:type="dxa"/>
            <w:shd w:val="solid" w:color="FFFFFF" w:fill="auto"/>
          </w:tcPr>
          <w:p w14:paraId="708FC01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5CA13D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46904E3"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0BED5F1F" w14:textId="77777777" w:rsidR="00D40151" w:rsidRPr="00873B6C" w:rsidRDefault="00D40151" w:rsidP="009D14FB">
            <w:pPr>
              <w:pStyle w:val="TAL"/>
              <w:rPr>
                <w:sz w:val="16"/>
                <w:szCs w:val="16"/>
              </w:rPr>
            </w:pPr>
            <w:r w:rsidRPr="00873B6C">
              <w:rPr>
                <w:sz w:val="16"/>
                <w:szCs w:val="16"/>
              </w:rPr>
              <w:t>0889</w:t>
            </w:r>
          </w:p>
        </w:tc>
        <w:tc>
          <w:tcPr>
            <w:tcW w:w="425" w:type="dxa"/>
            <w:shd w:val="solid" w:color="FFFFFF" w:fill="auto"/>
          </w:tcPr>
          <w:p w14:paraId="2C66D5E5"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00287D6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C6059CC" w14:textId="77777777" w:rsidR="00D40151" w:rsidRPr="00873B6C" w:rsidRDefault="00D40151" w:rsidP="009D14FB">
            <w:pPr>
              <w:pStyle w:val="TAL"/>
              <w:rPr>
                <w:sz w:val="16"/>
                <w:szCs w:val="16"/>
              </w:rPr>
            </w:pPr>
            <w:r w:rsidRPr="00873B6C">
              <w:rPr>
                <w:sz w:val="16"/>
                <w:szCs w:val="16"/>
              </w:rPr>
              <w:t>Introduction of data transfer in Control Plane CIoT 5GS Optimisation</w:t>
            </w:r>
          </w:p>
        </w:tc>
        <w:tc>
          <w:tcPr>
            <w:tcW w:w="708" w:type="dxa"/>
            <w:shd w:val="solid" w:color="FFFFFF" w:fill="auto"/>
          </w:tcPr>
          <w:p w14:paraId="0761BE7B" w14:textId="77777777" w:rsidR="00D40151" w:rsidRPr="00873B6C" w:rsidRDefault="00D40151" w:rsidP="009D14FB">
            <w:pPr>
              <w:pStyle w:val="TAC"/>
              <w:rPr>
                <w:b/>
                <w:sz w:val="16"/>
                <w:szCs w:val="16"/>
              </w:rPr>
            </w:pPr>
            <w:r w:rsidRPr="00873B6C">
              <w:rPr>
                <w:b/>
                <w:sz w:val="16"/>
                <w:szCs w:val="16"/>
              </w:rPr>
              <w:t>16.0.0</w:t>
            </w:r>
          </w:p>
        </w:tc>
      </w:tr>
      <w:tr w:rsidR="00D40151" w:rsidRPr="00873B6C" w14:paraId="54522127" w14:textId="77777777" w:rsidTr="009D14FB">
        <w:tc>
          <w:tcPr>
            <w:tcW w:w="800" w:type="dxa"/>
            <w:shd w:val="solid" w:color="FFFFFF" w:fill="auto"/>
          </w:tcPr>
          <w:p w14:paraId="4C69B37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E15ECA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A24FDD6"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82AF0E7" w14:textId="77777777" w:rsidR="00D40151" w:rsidRPr="00873B6C" w:rsidRDefault="00D40151" w:rsidP="009D14FB">
            <w:pPr>
              <w:pStyle w:val="TAL"/>
              <w:rPr>
                <w:sz w:val="16"/>
                <w:szCs w:val="16"/>
              </w:rPr>
            </w:pPr>
            <w:r w:rsidRPr="00873B6C">
              <w:rPr>
                <w:sz w:val="16"/>
                <w:szCs w:val="16"/>
              </w:rPr>
              <w:t>0890</w:t>
            </w:r>
          </w:p>
        </w:tc>
        <w:tc>
          <w:tcPr>
            <w:tcW w:w="425" w:type="dxa"/>
            <w:shd w:val="solid" w:color="FFFFFF" w:fill="auto"/>
          </w:tcPr>
          <w:p w14:paraId="2268B8FE"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68DB17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4DE80EB" w14:textId="77777777" w:rsidR="00D40151" w:rsidRPr="00873B6C" w:rsidRDefault="00D40151" w:rsidP="009D14FB">
            <w:pPr>
              <w:pStyle w:val="TAL"/>
              <w:rPr>
                <w:sz w:val="16"/>
                <w:szCs w:val="16"/>
              </w:rPr>
            </w:pPr>
            <w:r w:rsidRPr="00873B6C">
              <w:rPr>
                <w:sz w:val="16"/>
                <w:szCs w:val="16"/>
              </w:rPr>
              <w:t>Introduction of NEF based infrequent small data transfer via NAS</w:t>
            </w:r>
          </w:p>
        </w:tc>
        <w:tc>
          <w:tcPr>
            <w:tcW w:w="708" w:type="dxa"/>
            <w:shd w:val="solid" w:color="FFFFFF" w:fill="auto"/>
          </w:tcPr>
          <w:p w14:paraId="07048AEC" w14:textId="77777777" w:rsidR="00D40151" w:rsidRPr="00873B6C" w:rsidRDefault="00D40151" w:rsidP="009D14FB">
            <w:pPr>
              <w:pStyle w:val="TAC"/>
              <w:rPr>
                <w:b/>
                <w:sz w:val="16"/>
                <w:szCs w:val="16"/>
              </w:rPr>
            </w:pPr>
            <w:r w:rsidRPr="00873B6C">
              <w:rPr>
                <w:b/>
                <w:sz w:val="16"/>
                <w:szCs w:val="16"/>
              </w:rPr>
              <w:t>16.0.0</w:t>
            </w:r>
          </w:p>
        </w:tc>
      </w:tr>
      <w:tr w:rsidR="00D40151" w:rsidRPr="00873B6C" w14:paraId="0892C758" w14:textId="77777777" w:rsidTr="009D14FB">
        <w:tc>
          <w:tcPr>
            <w:tcW w:w="800" w:type="dxa"/>
            <w:shd w:val="solid" w:color="FFFFFF" w:fill="auto"/>
          </w:tcPr>
          <w:p w14:paraId="6DCEAF7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D2DF0A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674EAC9"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5E6017DB" w14:textId="77777777" w:rsidR="00D40151" w:rsidRPr="00873B6C" w:rsidRDefault="00D40151" w:rsidP="009D14FB">
            <w:pPr>
              <w:pStyle w:val="TAL"/>
              <w:rPr>
                <w:sz w:val="16"/>
                <w:szCs w:val="16"/>
              </w:rPr>
            </w:pPr>
            <w:r w:rsidRPr="00873B6C">
              <w:rPr>
                <w:sz w:val="16"/>
                <w:szCs w:val="16"/>
              </w:rPr>
              <w:t>0893</w:t>
            </w:r>
          </w:p>
        </w:tc>
        <w:tc>
          <w:tcPr>
            <w:tcW w:w="425" w:type="dxa"/>
            <w:shd w:val="solid" w:color="FFFFFF" w:fill="auto"/>
          </w:tcPr>
          <w:p w14:paraId="2780098C"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75FB034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BA405E" w14:textId="77777777" w:rsidR="00D40151" w:rsidRPr="00873B6C" w:rsidRDefault="00D40151" w:rsidP="009D14FB">
            <w:pPr>
              <w:pStyle w:val="TAL"/>
              <w:rPr>
                <w:sz w:val="16"/>
                <w:szCs w:val="16"/>
              </w:rPr>
            </w:pPr>
            <w:r w:rsidRPr="00873B6C">
              <w:rPr>
                <w:sz w:val="16"/>
                <w:szCs w:val="16"/>
              </w:rPr>
              <w:t>Introduction of Power Saving Functions for CIoT</w:t>
            </w:r>
          </w:p>
        </w:tc>
        <w:tc>
          <w:tcPr>
            <w:tcW w:w="708" w:type="dxa"/>
            <w:shd w:val="solid" w:color="FFFFFF" w:fill="auto"/>
          </w:tcPr>
          <w:p w14:paraId="3944342F" w14:textId="77777777" w:rsidR="00D40151" w:rsidRPr="00873B6C" w:rsidRDefault="00D40151" w:rsidP="009D14FB">
            <w:pPr>
              <w:pStyle w:val="TAC"/>
              <w:rPr>
                <w:b/>
                <w:sz w:val="16"/>
                <w:szCs w:val="16"/>
              </w:rPr>
            </w:pPr>
            <w:r w:rsidRPr="00873B6C">
              <w:rPr>
                <w:b/>
                <w:sz w:val="16"/>
                <w:szCs w:val="16"/>
              </w:rPr>
              <w:t>16.0.0</w:t>
            </w:r>
          </w:p>
        </w:tc>
      </w:tr>
      <w:tr w:rsidR="00D40151" w:rsidRPr="00873B6C" w14:paraId="58DEAC98" w14:textId="77777777" w:rsidTr="009D14FB">
        <w:tc>
          <w:tcPr>
            <w:tcW w:w="800" w:type="dxa"/>
            <w:shd w:val="solid" w:color="FFFFFF" w:fill="auto"/>
          </w:tcPr>
          <w:p w14:paraId="01F62D6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C385EE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99D63E9"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260EE7FE" w14:textId="77777777" w:rsidR="00D40151" w:rsidRPr="00873B6C" w:rsidRDefault="00D40151" w:rsidP="009D14FB">
            <w:pPr>
              <w:pStyle w:val="TAL"/>
              <w:rPr>
                <w:sz w:val="16"/>
                <w:szCs w:val="16"/>
              </w:rPr>
            </w:pPr>
            <w:r w:rsidRPr="00873B6C">
              <w:rPr>
                <w:sz w:val="16"/>
                <w:szCs w:val="16"/>
              </w:rPr>
              <w:t>0894</w:t>
            </w:r>
          </w:p>
        </w:tc>
        <w:tc>
          <w:tcPr>
            <w:tcW w:w="425" w:type="dxa"/>
            <w:shd w:val="solid" w:color="FFFFFF" w:fill="auto"/>
          </w:tcPr>
          <w:p w14:paraId="24E6C8FA"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44B8E02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37C475C" w14:textId="77777777" w:rsidR="00D40151" w:rsidRPr="00873B6C" w:rsidRDefault="00D40151" w:rsidP="009D14FB">
            <w:pPr>
              <w:pStyle w:val="TAL"/>
              <w:rPr>
                <w:sz w:val="16"/>
                <w:szCs w:val="16"/>
              </w:rPr>
            </w:pPr>
            <w:r w:rsidRPr="00873B6C">
              <w:rPr>
                <w:sz w:val="16"/>
                <w:szCs w:val="16"/>
              </w:rPr>
              <w:t>CIoT Introduction of Overload Control</w:t>
            </w:r>
          </w:p>
        </w:tc>
        <w:tc>
          <w:tcPr>
            <w:tcW w:w="708" w:type="dxa"/>
            <w:shd w:val="solid" w:color="FFFFFF" w:fill="auto"/>
          </w:tcPr>
          <w:p w14:paraId="51CA4C51" w14:textId="77777777" w:rsidR="00D40151" w:rsidRPr="00873B6C" w:rsidRDefault="00D40151" w:rsidP="009D14FB">
            <w:pPr>
              <w:pStyle w:val="TAC"/>
              <w:rPr>
                <w:b/>
                <w:sz w:val="16"/>
                <w:szCs w:val="16"/>
              </w:rPr>
            </w:pPr>
            <w:r w:rsidRPr="00873B6C">
              <w:rPr>
                <w:b/>
                <w:sz w:val="16"/>
                <w:szCs w:val="16"/>
              </w:rPr>
              <w:t>16.0.0</w:t>
            </w:r>
          </w:p>
        </w:tc>
      </w:tr>
      <w:tr w:rsidR="00D40151" w:rsidRPr="00873B6C" w14:paraId="09545DB1" w14:textId="77777777" w:rsidTr="009D14FB">
        <w:tc>
          <w:tcPr>
            <w:tcW w:w="800" w:type="dxa"/>
            <w:shd w:val="solid" w:color="FFFFFF" w:fill="auto"/>
          </w:tcPr>
          <w:p w14:paraId="7190360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474CF0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0382E51"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1655B84A" w14:textId="77777777" w:rsidR="00D40151" w:rsidRPr="00873B6C" w:rsidRDefault="00D40151" w:rsidP="009D14FB">
            <w:pPr>
              <w:pStyle w:val="TAL"/>
              <w:rPr>
                <w:sz w:val="16"/>
                <w:szCs w:val="16"/>
              </w:rPr>
            </w:pPr>
            <w:r w:rsidRPr="00873B6C">
              <w:rPr>
                <w:sz w:val="16"/>
                <w:szCs w:val="16"/>
              </w:rPr>
              <w:t>0895</w:t>
            </w:r>
          </w:p>
        </w:tc>
        <w:tc>
          <w:tcPr>
            <w:tcW w:w="425" w:type="dxa"/>
            <w:shd w:val="solid" w:color="FFFFFF" w:fill="auto"/>
          </w:tcPr>
          <w:p w14:paraId="718BA0B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A137F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7EBD984" w14:textId="77777777" w:rsidR="00D40151" w:rsidRPr="00873B6C" w:rsidRDefault="00D40151" w:rsidP="009D14FB">
            <w:pPr>
              <w:pStyle w:val="TAL"/>
              <w:rPr>
                <w:sz w:val="16"/>
                <w:szCs w:val="16"/>
              </w:rPr>
            </w:pPr>
            <w:r w:rsidRPr="00873B6C">
              <w:rPr>
                <w:sz w:val="16"/>
                <w:szCs w:val="16"/>
              </w:rPr>
              <w:t>Introduction of Inter-RAT mobility support to and from NB-IoT</w:t>
            </w:r>
          </w:p>
        </w:tc>
        <w:tc>
          <w:tcPr>
            <w:tcW w:w="708" w:type="dxa"/>
            <w:shd w:val="solid" w:color="FFFFFF" w:fill="auto"/>
          </w:tcPr>
          <w:p w14:paraId="7E0462EF" w14:textId="77777777" w:rsidR="00D40151" w:rsidRPr="00873B6C" w:rsidRDefault="00D40151" w:rsidP="009D14FB">
            <w:pPr>
              <w:pStyle w:val="TAC"/>
              <w:rPr>
                <w:b/>
                <w:sz w:val="16"/>
                <w:szCs w:val="16"/>
              </w:rPr>
            </w:pPr>
            <w:r w:rsidRPr="00873B6C">
              <w:rPr>
                <w:b/>
                <w:sz w:val="16"/>
                <w:szCs w:val="16"/>
              </w:rPr>
              <w:t>16.0.0</w:t>
            </w:r>
          </w:p>
        </w:tc>
      </w:tr>
      <w:tr w:rsidR="00D40151" w:rsidRPr="00873B6C" w14:paraId="72F87844" w14:textId="77777777" w:rsidTr="009D14FB">
        <w:tc>
          <w:tcPr>
            <w:tcW w:w="800" w:type="dxa"/>
            <w:shd w:val="solid" w:color="FFFFFF" w:fill="auto"/>
          </w:tcPr>
          <w:p w14:paraId="049B145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C66FFB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66C7089"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292610F0" w14:textId="77777777" w:rsidR="00D40151" w:rsidRPr="00873B6C" w:rsidRDefault="00D40151" w:rsidP="009D14FB">
            <w:pPr>
              <w:pStyle w:val="TAL"/>
              <w:rPr>
                <w:sz w:val="16"/>
                <w:szCs w:val="16"/>
              </w:rPr>
            </w:pPr>
            <w:r w:rsidRPr="00873B6C">
              <w:rPr>
                <w:sz w:val="16"/>
                <w:szCs w:val="16"/>
              </w:rPr>
              <w:t>0896</w:t>
            </w:r>
          </w:p>
        </w:tc>
        <w:tc>
          <w:tcPr>
            <w:tcW w:w="425" w:type="dxa"/>
            <w:shd w:val="solid" w:color="FFFFFF" w:fill="auto"/>
          </w:tcPr>
          <w:p w14:paraId="3464808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EA2D35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792A1D3" w14:textId="77777777" w:rsidR="00D40151" w:rsidRPr="00873B6C" w:rsidRDefault="00D40151" w:rsidP="009D14FB">
            <w:pPr>
              <w:pStyle w:val="TAL"/>
              <w:rPr>
                <w:sz w:val="16"/>
                <w:szCs w:val="16"/>
              </w:rPr>
            </w:pPr>
            <w:r w:rsidRPr="00873B6C">
              <w:rPr>
                <w:sz w:val="16"/>
                <w:szCs w:val="16"/>
              </w:rPr>
              <w:t>CIoT Introduction of CN Selection and Steering</w:t>
            </w:r>
          </w:p>
        </w:tc>
        <w:tc>
          <w:tcPr>
            <w:tcW w:w="708" w:type="dxa"/>
            <w:shd w:val="solid" w:color="FFFFFF" w:fill="auto"/>
          </w:tcPr>
          <w:p w14:paraId="6F56E0BC" w14:textId="77777777" w:rsidR="00D40151" w:rsidRPr="00873B6C" w:rsidRDefault="00D40151" w:rsidP="009D14FB">
            <w:pPr>
              <w:pStyle w:val="TAC"/>
              <w:rPr>
                <w:b/>
                <w:sz w:val="16"/>
                <w:szCs w:val="16"/>
              </w:rPr>
            </w:pPr>
            <w:r w:rsidRPr="00873B6C">
              <w:rPr>
                <w:b/>
                <w:sz w:val="16"/>
                <w:szCs w:val="16"/>
              </w:rPr>
              <w:t>16.0.0</w:t>
            </w:r>
          </w:p>
        </w:tc>
      </w:tr>
      <w:tr w:rsidR="00D40151" w:rsidRPr="00873B6C" w14:paraId="637451D5" w14:textId="77777777" w:rsidTr="009D14FB">
        <w:tc>
          <w:tcPr>
            <w:tcW w:w="800" w:type="dxa"/>
            <w:shd w:val="solid" w:color="FFFFFF" w:fill="auto"/>
          </w:tcPr>
          <w:p w14:paraId="412ABF2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FF48ED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418AD1E"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41B617AA" w14:textId="77777777" w:rsidR="00D40151" w:rsidRPr="00873B6C" w:rsidRDefault="00D40151" w:rsidP="009D14FB">
            <w:pPr>
              <w:pStyle w:val="TAL"/>
              <w:rPr>
                <w:sz w:val="16"/>
                <w:szCs w:val="16"/>
              </w:rPr>
            </w:pPr>
            <w:r w:rsidRPr="00873B6C">
              <w:rPr>
                <w:sz w:val="16"/>
                <w:szCs w:val="16"/>
              </w:rPr>
              <w:t>1014</w:t>
            </w:r>
          </w:p>
        </w:tc>
        <w:tc>
          <w:tcPr>
            <w:tcW w:w="425" w:type="dxa"/>
            <w:shd w:val="solid" w:color="FFFFFF" w:fill="auto"/>
          </w:tcPr>
          <w:p w14:paraId="01B69E5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5E5315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4A1D5BB" w14:textId="77777777" w:rsidR="00D40151" w:rsidRPr="00873B6C" w:rsidRDefault="00D40151" w:rsidP="009D14FB">
            <w:pPr>
              <w:pStyle w:val="TAL"/>
              <w:rPr>
                <w:sz w:val="16"/>
                <w:szCs w:val="16"/>
              </w:rPr>
            </w:pPr>
            <w:r w:rsidRPr="00873B6C">
              <w:rPr>
                <w:sz w:val="16"/>
                <w:szCs w:val="16"/>
              </w:rPr>
              <w:t>Introduction of Service Gap Control</w:t>
            </w:r>
          </w:p>
        </w:tc>
        <w:tc>
          <w:tcPr>
            <w:tcW w:w="708" w:type="dxa"/>
            <w:shd w:val="solid" w:color="FFFFFF" w:fill="auto"/>
          </w:tcPr>
          <w:p w14:paraId="5F914797" w14:textId="77777777" w:rsidR="00D40151" w:rsidRPr="00873B6C" w:rsidRDefault="00D40151" w:rsidP="009D14FB">
            <w:pPr>
              <w:pStyle w:val="TAC"/>
              <w:rPr>
                <w:b/>
                <w:sz w:val="16"/>
                <w:szCs w:val="16"/>
              </w:rPr>
            </w:pPr>
            <w:r w:rsidRPr="00873B6C">
              <w:rPr>
                <w:b/>
                <w:sz w:val="16"/>
                <w:szCs w:val="16"/>
              </w:rPr>
              <w:t>16.0.0</w:t>
            </w:r>
          </w:p>
        </w:tc>
      </w:tr>
      <w:tr w:rsidR="00D40151" w:rsidRPr="00873B6C" w14:paraId="6C01463C" w14:textId="77777777" w:rsidTr="009D14FB">
        <w:tc>
          <w:tcPr>
            <w:tcW w:w="800" w:type="dxa"/>
            <w:shd w:val="solid" w:color="FFFFFF" w:fill="auto"/>
          </w:tcPr>
          <w:p w14:paraId="00743A6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5F0B1E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DE668EC"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0B54284C" w14:textId="77777777" w:rsidR="00D40151" w:rsidRPr="00873B6C" w:rsidRDefault="00D40151" w:rsidP="009D14FB">
            <w:pPr>
              <w:pStyle w:val="TAL"/>
              <w:rPr>
                <w:sz w:val="16"/>
                <w:szCs w:val="16"/>
              </w:rPr>
            </w:pPr>
            <w:r w:rsidRPr="00873B6C">
              <w:rPr>
                <w:sz w:val="16"/>
                <w:szCs w:val="16"/>
              </w:rPr>
              <w:t>0735</w:t>
            </w:r>
          </w:p>
        </w:tc>
        <w:tc>
          <w:tcPr>
            <w:tcW w:w="425" w:type="dxa"/>
            <w:shd w:val="solid" w:color="FFFFFF" w:fill="auto"/>
          </w:tcPr>
          <w:p w14:paraId="369A97E5" w14:textId="77777777" w:rsidR="00D40151" w:rsidRPr="00873B6C" w:rsidRDefault="00D40151" w:rsidP="009D14FB">
            <w:pPr>
              <w:pStyle w:val="TAL"/>
              <w:rPr>
                <w:sz w:val="16"/>
                <w:szCs w:val="16"/>
              </w:rPr>
            </w:pPr>
            <w:r w:rsidRPr="00873B6C">
              <w:rPr>
                <w:sz w:val="16"/>
                <w:szCs w:val="16"/>
              </w:rPr>
              <w:t>11</w:t>
            </w:r>
          </w:p>
        </w:tc>
        <w:tc>
          <w:tcPr>
            <w:tcW w:w="425" w:type="dxa"/>
            <w:shd w:val="solid" w:color="FFFFFF" w:fill="auto"/>
          </w:tcPr>
          <w:p w14:paraId="63C1ED14"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1B0FDA5" w14:textId="77777777" w:rsidR="00D40151" w:rsidRPr="00873B6C" w:rsidRDefault="00D40151" w:rsidP="009D14FB">
            <w:pPr>
              <w:pStyle w:val="TAL"/>
              <w:rPr>
                <w:sz w:val="16"/>
                <w:szCs w:val="16"/>
              </w:rPr>
            </w:pPr>
            <w:r w:rsidRPr="00873B6C">
              <w:rPr>
                <w:sz w:val="16"/>
                <w:szCs w:val="16"/>
              </w:rPr>
              <w:t>Introduction of ATSSS Support</w:t>
            </w:r>
          </w:p>
        </w:tc>
        <w:tc>
          <w:tcPr>
            <w:tcW w:w="708" w:type="dxa"/>
            <w:shd w:val="solid" w:color="FFFFFF" w:fill="auto"/>
          </w:tcPr>
          <w:p w14:paraId="1DFF7391" w14:textId="77777777" w:rsidR="00D40151" w:rsidRPr="00873B6C" w:rsidRDefault="00D40151" w:rsidP="009D14FB">
            <w:pPr>
              <w:pStyle w:val="TAC"/>
              <w:rPr>
                <w:b/>
                <w:sz w:val="16"/>
                <w:szCs w:val="16"/>
              </w:rPr>
            </w:pPr>
            <w:r w:rsidRPr="00873B6C">
              <w:rPr>
                <w:b/>
                <w:sz w:val="16"/>
                <w:szCs w:val="16"/>
              </w:rPr>
              <w:t>16.0.0</w:t>
            </w:r>
          </w:p>
        </w:tc>
      </w:tr>
      <w:tr w:rsidR="00D40151" w:rsidRPr="00873B6C" w14:paraId="07000E89" w14:textId="77777777" w:rsidTr="009D14FB">
        <w:tc>
          <w:tcPr>
            <w:tcW w:w="800" w:type="dxa"/>
            <w:shd w:val="solid" w:color="FFFFFF" w:fill="auto"/>
          </w:tcPr>
          <w:p w14:paraId="07F04D5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8D462B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6DBEB55"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6DE00873" w14:textId="77777777" w:rsidR="00D40151" w:rsidRPr="00873B6C" w:rsidRDefault="00D40151" w:rsidP="009D14FB">
            <w:pPr>
              <w:pStyle w:val="TAL"/>
              <w:rPr>
                <w:sz w:val="16"/>
                <w:szCs w:val="16"/>
              </w:rPr>
            </w:pPr>
            <w:r w:rsidRPr="00873B6C">
              <w:rPr>
                <w:sz w:val="16"/>
                <w:szCs w:val="16"/>
              </w:rPr>
              <w:t>0740</w:t>
            </w:r>
          </w:p>
        </w:tc>
        <w:tc>
          <w:tcPr>
            <w:tcW w:w="425" w:type="dxa"/>
            <w:shd w:val="solid" w:color="FFFFFF" w:fill="auto"/>
          </w:tcPr>
          <w:p w14:paraId="46B1054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10239AF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0FC64A6" w14:textId="77777777" w:rsidR="00D40151" w:rsidRPr="00873B6C" w:rsidRDefault="00D40151" w:rsidP="009D14FB">
            <w:pPr>
              <w:pStyle w:val="TAL"/>
              <w:rPr>
                <w:sz w:val="16"/>
                <w:szCs w:val="16"/>
              </w:rPr>
            </w:pPr>
            <w:r w:rsidRPr="00873B6C">
              <w:rPr>
                <w:sz w:val="16"/>
                <w:szCs w:val="16"/>
              </w:rPr>
              <w:t>Support of Steering Functions for ATSSS</w:t>
            </w:r>
          </w:p>
        </w:tc>
        <w:tc>
          <w:tcPr>
            <w:tcW w:w="708" w:type="dxa"/>
            <w:shd w:val="solid" w:color="FFFFFF" w:fill="auto"/>
          </w:tcPr>
          <w:p w14:paraId="2DADFE43" w14:textId="77777777" w:rsidR="00D40151" w:rsidRPr="00873B6C" w:rsidRDefault="00D40151" w:rsidP="009D14FB">
            <w:pPr>
              <w:pStyle w:val="TAC"/>
              <w:rPr>
                <w:b/>
                <w:sz w:val="16"/>
                <w:szCs w:val="16"/>
              </w:rPr>
            </w:pPr>
            <w:r w:rsidRPr="00873B6C">
              <w:rPr>
                <w:b/>
                <w:sz w:val="16"/>
                <w:szCs w:val="16"/>
              </w:rPr>
              <w:t>16.0.0</w:t>
            </w:r>
          </w:p>
        </w:tc>
      </w:tr>
      <w:tr w:rsidR="00D40151" w:rsidRPr="00873B6C" w14:paraId="32E681B6" w14:textId="77777777" w:rsidTr="009D14FB">
        <w:tc>
          <w:tcPr>
            <w:tcW w:w="800" w:type="dxa"/>
            <w:shd w:val="solid" w:color="FFFFFF" w:fill="auto"/>
          </w:tcPr>
          <w:p w14:paraId="283A481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EECFF5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50C63AE"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0758D119" w14:textId="77777777" w:rsidR="00D40151" w:rsidRPr="00873B6C" w:rsidRDefault="00D40151" w:rsidP="009D14FB">
            <w:pPr>
              <w:pStyle w:val="TAL"/>
              <w:rPr>
                <w:sz w:val="16"/>
                <w:szCs w:val="16"/>
              </w:rPr>
            </w:pPr>
            <w:r w:rsidRPr="00873B6C">
              <w:rPr>
                <w:sz w:val="16"/>
                <w:szCs w:val="16"/>
              </w:rPr>
              <w:t>0770</w:t>
            </w:r>
          </w:p>
        </w:tc>
        <w:tc>
          <w:tcPr>
            <w:tcW w:w="425" w:type="dxa"/>
            <w:shd w:val="solid" w:color="FFFFFF" w:fill="auto"/>
          </w:tcPr>
          <w:p w14:paraId="755A591C"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6198DB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D5F948E" w14:textId="77777777" w:rsidR="00D40151" w:rsidRPr="00873B6C" w:rsidRDefault="00D40151" w:rsidP="009D14FB">
            <w:pPr>
              <w:pStyle w:val="TAL"/>
              <w:rPr>
                <w:sz w:val="16"/>
                <w:szCs w:val="16"/>
              </w:rPr>
            </w:pPr>
            <w:r w:rsidRPr="00873B6C">
              <w:rPr>
                <w:sz w:val="16"/>
                <w:szCs w:val="16"/>
              </w:rPr>
              <w:t>QoS for Multi-Access PDU Session</w:t>
            </w:r>
          </w:p>
        </w:tc>
        <w:tc>
          <w:tcPr>
            <w:tcW w:w="708" w:type="dxa"/>
            <w:shd w:val="solid" w:color="FFFFFF" w:fill="auto"/>
          </w:tcPr>
          <w:p w14:paraId="16D2DFF5" w14:textId="77777777" w:rsidR="00D40151" w:rsidRPr="00873B6C" w:rsidRDefault="00D40151" w:rsidP="009D14FB">
            <w:pPr>
              <w:pStyle w:val="TAC"/>
              <w:rPr>
                <w:b/>
                <w:sz w:val="16"/>
                <w:szCs w:val="16"/>
              </w:rPr>
            </w:pPr>
            <w:r w:rsidRPr="00873B6C">
              <w:rPr>
                <w:b/>
                <w:sz w:val="16"/>
                <w:szCs w:val="16"/>
              </w:rPr>
              <w:t>16.0.0</w:t>
            </w:r>
          </w:p>
        </w:tc>
      </w:tr>
      <w:tr w:rsidR="00D40151" w:rsidRPr="00873B6C" w14:paraId="5EFD7A18" w14:textId="77777777" w:rsidTr="009D14FB">
        <w:tc>
          <w:tcPr>
            <w:tcW w:w="800" w:type="dxa"/>
            <w:shd w:val="solid" w:color="FFFFFF" w:fill="auto"/>
          </w:tcPr>
          <w:p w14:paraId="500AF67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F9CFFE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5130DC0"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570352BE" w14:textId="77777777" w:rsidR="00D40151" w:rsidRPr="00873B6C" w:rsidRDefault="00D40151" w:rsidP="009D14FB">
            <w:pPr>
              <w:pStyle w:val="TAL"/>
              <w:rPr>
                <w:sz w:val="16"/>
                <w:szCs w:val="16"/>
              </w:rPr>
            </w:pPr>
            <w:r w:rsidRPr="00873B6C">
              <w:rPr>
                <w:sz w:val="16"/>
                <w:szCs w:val="16"/>
              </w:rPr>
              <w:t>0921</w:t>
            </w:r>
          </w:p>
        </w:tc>
        <w:tc>
          <w:tcPr>
            <w:tcW w:w="425" w:type="dxa"/>
            <w:shd w:val="solid" w:color="FFFFFF" w:fill="auto"/>
          </w:tcPr>
          <w:p w14:paraId="358A349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21152F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DA87EBC" w14:textId="77777777" w:rsidR="00D40151" w:rsidRPr="00873B6C" w:rsidRDefault="00D40151" w:rsidP="009D14FB">
            <w:pPr>
              <w:pStyle w:val="TAL"/>
              <w:rPr>
                <w:sz w:val="16"/>
                <w:szCs w:val="16"/>
              </w:rPr>
            </w:pPr>
            <w:r w:rsidRPr="00873B6C">
              <w:rPr>
                <w:sz w:val="16"/>
                <w:szCs w:val="16"/>
              </w:rPr>
              <w:t>Access Network Performance Measurements</w:t>
            </w:r>
          </w:p>
        </w:tc>
        <w:tc>
          <w:tcPr>
            <w:tcW w:w="708" w:type="dxa"/>
            <w:shd w:val="solid" w:color="FFFFFF" w:fill="auto"/>
          </w:tcPr>
          <w:p w14:paraId="0412C433" w14:textId="77777777" w:rsidR="00D40151" w:rsidRPr="00873B6C" w:rsidRDefault="00D40151" w:rsidP="009D14FB">
            <w:pPr>
              <w:pStyle w:val="TAC"/>
              <w:rPr>
                <w:b/>
                <w:sz w:val="16"/>
                <w:szCs w:val="16"/>
              </w:rPr>
            </w:pPr>
            <w:r w:rsidRPr="00873B6C">
              <w:rPr>
                <w:b/>
                <w:sz w:val="16"/>
                <w:szCs w:val="16"/>
              </w:rPr>
              <w:t>16.0.0</w:t>
            </w:r>
          </w:p>
        </w:tc>
      </w:tr>
      <w:tr w:rsidR="00D40151" w:rsidRPr="00873B6C" w14:paraId="5EA3638A" w14:textId="77777777" w:rsidTr="009D14FB">
        <w:tc>
          <w:tcPr>
            <w:tcW w:w="800" w:type="dxa"/>
            <w:shd w:val="solid" w:color="FFFFFF" w:fill="auto"/>
          </w:tcPr>
          <w:p w14:paraId="3D41D2F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1465AC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315DF29"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191EF154" w14:textId="77777777" w:rsidR="00D40151" w:rsidRPr="00873B6C" w:rsidRDefault="00D40151" w:rsidP="009D14FB">
            <w:pPr>
              <w:pStyle w:val="TAL"/>
              <w:rPr>
                <w:sz w:val="16"/>
                <w:szCs w:val="16"/>
              </w:rPr>
            </w:pPr>
            <w:r w:rsidRPr="00873B6C">
              <w:rPr>
                <w:sz w:val="16"/>
                <w:szCs w:val="16"/>
              </w:rPr>
              <w:t>0810</w:t>
            </w:r>
          </w:p>
        </w:tc>
        <w:tc>
          <w:tcPr>
            <w:tcW w:w="425" w:type="dxa"/>
            <w:shd w:val="solid" w:color="FFFFFF" w:fill="auto"/>
          </w:tcPr>
          <w:p w14:paraId="531CD74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7C1F6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8CE87DD" w14:textId="77777777" w:rsidR="00D40151" w:rsidRPr="00873B6C" w:rsidRDefault="00D40151" w:rsidP="009D14FB">
            <w:pPr>
              <w:pStyle w:val="TAL"/>
              <w:rPr>
                <w:sz w:val="16"/>
                <w:szCs w:val="16"/>
              </w:rPr>
            </w:pPr>
            <w:r w:rsidRPr="00873B6C">
              <w:rPr>
                <w:sz w:val="16"/>
                <w:szCs w:val="16"/>
              </w:rPr>
              <w:t>New clause for URLLC supporting</w:t>
            </w:r>
          </w:p>
        </w:tc>
        <w:tc>
          <w:tcPr>
            <w:tcW w:w="708" w:type="dxa"/>
            <w:shd w:val="solid" w:color="FFFFFF" w:fill="auto"/>
          </w:tcPr>
          <w:p w14:paraId="263F1F60" w14:textId="77777777" w:rsidR="00D40151" w:rsidRPr="00873B6C" w:rsidRDefault="00D40151" w:rsidP="009D14FB">
            <w:pPr>
              <w:pStyle w:val="TAC"/>
              <w:rPr>
                <w:b/>
                <w:sz w:val="16"/>
                <w:szCs w:val="16"/>
              </w:rPr>
            </w:pPr>
            <w:r w:rsidRPr="00873B6C">
              <w:rPr>
                <w:b/>
                <w:sz w:val="16"/>
                <w:szCs w:val="16"/>
              </w:rPr>
              <w:t>16.0.0</w:t>
            </w:r>
          </w:p>
        </w:tc>
      </w:tr>
      <w:tr w:rsidR="00D40151" w:rsidRPr="00873B6C" w14:paraId="353EB194" w14:textId="77777777" w:rsidTr="009D14FB">
        <w:tc>
          <w:tcPr>
            <w:tcW w:w="800" w:type="dxa"/>
            <w:shd w:val="solid" w:color="FFFFFF" w:fill="auto"/>
          </w:tcPr>
          <w:p w14:paraId="3D2E91C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E9B67A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AE4E5EF"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6A55E15B" w14:textId="77777777" w:rsidR="00D40151" w:rsidRPr="00873B6C" w:rsidRDefault="00D40151" w:rsidP="009D14FB">
            <w:pPr>
              <w:pStyle w:val="TAL"/>
              <w:rPr>
                <w:sz w:val="16"/>
                <w:szCs w:val="16"/>
              </w:rPr>
            </w:pPr>
            <w:r w:rsidRPr="00873B6C">
              <w:rPr>
                <w:sz w:val="16"/>
                <w:szCs w:val="16"/>
              </w:rPr>
              <w:t>0753</w:t>
            </w:r>
          </w:p>
        </w:tc>
        <w:tc>
          <w:tcPr>
            <w:tcW w:w="425" w:type="dxa"/>
            <w:shd w:val="solid" w:color="FFFFFF" w:fill="auto"/>
          </w:tcPr>
          <w:p w14:paraId="7BB350AC"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292AD6E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B838F5E" w14:textId="77777777" w:rsidR="00D40151" w:rsidRPr="00873B6C" w:rsidRDefault="00D40151" w:rsidP="009D14FB">
            <w:pPr>
              <w:pStyle w:val="TAL"/>
              <w:rPr>
                <w:sz w:val="16"/>
                <w:szCs w:val="16"/>
              </w:rPr>
            </w:pPr>
            <w:r w:rsidRPr="00873B6C">
              <w:rPr>
                <w:sz w:val="16"/>
                <w:szCs w:val="16"/>
              </w:rPr>
              <w:t xml:space="preserve">General description of solution 1 in 23.725 for user plane redundancy </w:t>
            </w:r>
          </w:p>
        </w:tc>
        <w:tc>
          <w:tcPr>
            <w:tcW w:w="708" w:type="dxa"/>
            <w:shd w:val="solid" w:color="FFFFFF" w:fill="auto"/>
          </w:tcPr>
          <w:p w14:paraId="31200A7A" w14:textId="77777777" w:rsidR="00D40151" w:rsidRPr="00873B6C" w:rsidRDefault="00D40151" w:rsidP="009D14FB">
            <w:pPr>
              <w:pStyle w:val="TAC"/>
              <w:rPr>
                <w:b/>
                <w:sz w:val="16"/>
                <w:szCs w:val="16"/>
              </w:rPr>
            </w:pPr>
            <w:r w:rsidRPr="00873B6C">
              <w:rPr>
                <w:b/>
                <w:sz w:val="16"/>
                <w:szCs w:val="16"/>
              </w:rPr>
              <w:t>16.0.0</w:t>
            </w:r>
          </w:p>
        </w:tc>
      </w:tr>
      <w:tr w:rsidR="00D40151" w:rsidRPr="00873B6C" w14:paraId="62D15ECB" w14:textId="77777777" w:rsidTr="009D14FB">
        <w:tc>
          <w:tcPr>
            <w:tcW w:w="800" w:type="dxa"/>
            <w:shd w:val="solid" w:color="FFFFFF" w:fill="auto"/>
          </w:tcPr>
          <w:p w14:paraId="412F4AA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E4F412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184661D"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5F4E4FA8" w14:textId="77777777" w:rsidR="00D40151" w:rsidRPr="00873B6C" w:rsidRDefault="00D40151" w:rsidP="009D14FB">
            <w:pPr>
              <w:pStyle w:val="TAL"/>
              <w:rPr>
                <w:sz w:val="16"/>
                <w:szCs w:val="16"/>
              </w:rPr>
            </w:pPr>
            <w:r w:rsidRPr="00873B6C">
              <w:rPr>
                <w:sz w:val="16"/>
                <w:szCs w:val="16"/>
              </w:rPr>
              <w:t>0811</w:t>
            </w:r>
          </w:p>
        </w:tc>
        <w:tc>
          <w:tcPr>
            <w:tcW w:w="425" w:type="dxa"/>
            <w:shd w:val="solid" w:color="FFFFFF" w:fill="auto"/>
          </w:tcPr>
          <w:p w14:paraId="5A52DA2A"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78859F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4EF66D8" w14:textId="77777777" w:rsidR="00D40151" w:rsidRPr="00873B6C" w:rsidRDefault="00D40151" w:rsidP="009D14FB">
            <w:pPr>
              <w:pStyle w:val="TAL"/>
              <w:rPr>
                <w:sz w:val="16"/>
                <w:szCs w:val="16"/>
              </w:rPr>
            </w:pPr>
            <w:r w:rsidRPr="00873B6C">
              <w:rPr>
                <w:sz w:val="16"/>
                <w:szCs w:val="16"/>
              </w:rPr>
              <w:t>Add description of solution 4 in 23.725 to 23.501</w:t>
            </w:r>
          </w:p>
        </w:tc>
        <w:tc>
          <w:tcPr>
            <w:tcW w:w="708" w:type="dxa"/>
            <w:shd w:val="solid" w:color="FFFFFF" w:fill="auto"/>
          </w:tcPr>
          <w:p w14:paraId="6F491C58" w14:textId="77777777" w:rsidR="00D40151" w:rsidRPr="00873B6C" w:rsidRDefault="00D40151" w:rsidP="009D14FB">
            <w:pPr>
              <w:pStyle w:val="TAC"/>
              <w:rPr>
                <w:b/>
                <w:sz w:val="16"/>
                <w:szCs w:val="16"/>
              </w:rPr>
            </w:pPr>
            <w:r w:rsidRPr="00873B6C">
              <w:rPr>
                <w:b/>
                <w:sz w:val="16"/>
                <w:szCs w:val="16"/>
              </w:rPr>
              <w:t>16.0.0</w:t>
            </w:r>
          </w:p>
        </w:tc>
      </w:tr>
      <w:tr w:rsidR="00D40151" w:rsidRPr="00873B6C" w14:paraId="37BD3665" w14:textId="77777777" w:rsidTr="009D14FB">
        <w:tc>
          <w:tcPr>
            <w:tcW w:w="800" w:type="dxa"/>
            <w:shd w:val="solid" w:color="FFFFFF" w:fill="auto"/>
          </w:tcPr>
          <w:p w14:paraId="152E714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1BCA15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C863357"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336C54F1" w14:textId="77777777" w:rsidR="00D40151" w:rsidRPr="00873B6C" w:rsidRDefault="00D40151" w:rsidP="009D14FB">
            <w:pPr>
              <w:pStyle w:val="TAL"/>
              <w:rPr>
                <w:sz w:val="16"/>
                <w:szCs w:val="16"/>
              </w:rPr>
            </w:pPr>
            <w:r w:rsidRPr="00873B6C">
              <w:rPr>
                <w:sz w:val="16"/>
                <w:szCs w:val="16"/>
              </w:rPr>
              <w:t>0872</w:t>
            </w:r>
          </w:p>
        </w:tc>
        <w:tc>
          <w:tcPr>
            <w:tcW w:w="425" w:type="dxa"/>
            <w:shd w:val="solid" w:color="FFFFFF" w:fill="auto"/>
          </w:tcPr>
          <w:p w14:paraId="5E036E3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4A793C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BDC75A1" w14:textId="77777777" w:rsidR="00D40151" w:rsidRPr="00873B6C" w:rsidRDefault="00D40151" w:rsidP="009D14FB">
            <w:pPr>
              <w:pStyle w:val="TAL"/>
              <w:rPr>
                <w:sz w:val="16"/>
                <w:szCs w:val="16"/>
              </w:rPr>
            </w:pPr>
            <w:r w:rsidRPr="00873B6C">
              <w:rPr>
                <w:sz w:val="16"/>
                <w:szCs w:val="16"/>
              </w:rPr>
              <w:t>Description of solution 7 in 23.725 as replication framework</w:t>
            </w:r>
          </w:p>
        </w:tc>
        <w:tc>
          <w:tcPr>
            <w:tcW w:w="708" w:type="dxa"/>
            <w:shd w:val="solid" w:color="FFFFFF" w:fill="auto"/>
          </w:tcPr>
          <w:p w14:paraId="0399A0DF" w14:textId="77777777" w:rsidR="00D40151" w:rsidRPr="00873B6C" w:rsidRDefault="00D40151" w:rsidP="009D14FB">
            <w:pPr>
              <w:pStyle w:val="TAC"/>
              <w:rPr>
                <w:b/>
                <w:sz w:val="16"/>
                <w:szCs w:val="16"/>
              </w:rPr>
            </w:pPr>
            <w:r w:rsidRPr="00873B6C">
              <w:rPr>
                <w:b/>
                <w:sz w:val="16"/>
                <w:szCs w:val="16"/>
              </w:rPr>
              <w:t>16.0.0</w:t>
            </w:r>
          </w:p>
        </w:tc>
      </w:tr>
      <w:tr w:rsidR="00D40151" w:rsidRPr="00873B6C" w14:paraId="7F198C84" w14:textId="77777777" w:rsidTr="009D14FB">
        <w:tc>
          <w:tcPr>
            <w:tcW w:w="800" w:type="dxa"/>
            <w:shd w:val="solid" w:color="FFFFFF" w:fill="auto"/>
          </w:tcPr>
          <w:p w14:paraId="70DCA10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B1B39D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E864638"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4040A1C5" w14:textId="77777777" w:rsidR="00D40151" w:rsidRPr="00873B6C" w:rsidRDefault="00D40151" w:rsidP="009D14FB">
            <w:pPr>
              <w:pStyle w:val="TAL"/>
              <w:rPr>
                <w:sz w:val="16"/>
                <w:szCs w:val="16"/>
              </w:rPr>
            </w:pPr>
            <w:r w:rsidRPr="00873B6C">
              <w:rPr>
                <w:sz w:val="16"/>
                <w:szCs w:val="16"/>
              </w:rPr>
              <w:t>0732</w:t>
            </w:r>
          </w:p>
        </w:tc>
        <w:tc>
          <w:tcPr>
            <w:tcW w:w="425" w:type="dxa"/>
            <w:shd w:val="solid" w:color="FFFFFF" w:fill="auto"/>
          </w:tcPr>
          <w:p w14:paraId="0A8ACAB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98FF1F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42C455" w14:textId="77777777" w:rsidR="00D40151" w:rsidRPr="00873B6C" w:rsidRDefault="00D40151" w:rsidP="009D14FB">
            <w:pPr>
              <w:pStyle w:val="TAL"/>
              <w:rPr>
                <w:sz w:val="16"/>
                <w:szCs w:val="16"/>
              </w:rPr>
            </w:pPr>
            <w:r w:rsidRPr="00873B6C">
              <w:rPr>
                <w:sz w:val="16"/>
                <w:szCs w:val="16"/>
              </w:rPr>
              <w:t>ETSUN - Architecture conclusion</w:t>
            </w:r>
          </w:p>
        </w:tc>
        <w:tc>
          <w:tcPr>
            <w:tcW w:w="708" w:type="dxa"/>
            <w:shd w:val="solid" w:color="FFFFFF" w:fill="auto"/>
          </w:tcPr>
          <w:p w14:paraId="0672D9C8" w14:textId="77777777" w:rsidR="00D40151" w:rsidRPr="00873B6C" w:rsidRDefault="00D40151" w:rsidP="009D14FB">
            <w:pPr>
              <w:pStyle w:val="TAC"/>
              <w:rPr>
                <w:b/>
                <w:sz w:val="16"/>
                <w:szCs w:val="16"/>
              </w:rPr>
            </w:pPr>
            <w:r w:rsidRPr="00873B6C">
              <w:rPr>
                <w:b/>
                <w:sz w:val="16"/>
                <w:szCs w:val="16"/>
              </w:rPr>
              <w:t>16.0.0</w:t>
            </w:r>
          </w:p>
        </w:tc>
      </w:tr>
      <w:tr w:rsidR="00D40151" w:rsidRPr="00873B6C" w14:paraId="4BA1DA33" w14:textId="77777777" w:rsidTr="009D14FB">
        <w:tc>
          <w:tcPr>
            <w:tcW w:w="800" w:type="dxa"/>
            <w:shd w:val="solid" w:color="FFFFFF" w:fill="auto"/>
          </w:tcPr>
          <w:p w14:paraId="1230B35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15DEA1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AEAAFD4"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58681D79" w14:textId="77777777" w:rsidR="00D40151" w:rsidRPr="00873B6C" w:rsidRDefault="00D40151" w:rsidP="009D14FB">
            <w:pPr>
              <w:pStyle w:val="TAL"/>
              <w:rPr>
                <w:sz w:val="16"/>
                <w:szCs w:val="16"/>
              </w:rPr>
            </w:pPr>
            <w:r w:rsidRPr="00873B6C">
              <w:rPr>
                <w:sz w:val="16"/>
                <w:szCs w:val="16"/>
              </w:rPr>
              <w:t>0848</w:t>
            </w:r>
          </w:p>
        </w:tc>
        <w:tc>
          <w:tcPr>
            <w:tcW w:w="425" w:type="dxa"/>
            <w:shd w:val="solid" w:color="FFFFFF" w:fill="auto"/>
          </w:tcPr>
          <w:p w14:paraId="2D3F9369"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B06DE8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19515B9" w14:textId="77777777" w:rsidR="00D40151" w:rsidRPr="00873B6C" w:rsidRDefault="00D40151" w:rsidP="009D14FB">
            <w:pPr>
              <w:pStyle w:val="TAL"/>
              <w:rPr>
                <w:sz w:val="16"/>
                <w:szCs w:val="16"/>
              </w:rPr>
            </w:pPr>
            <w:r w:rsidRPr="00873B6C">
              <w:rPr>
                <w:sz w:val="16"/>
                <w:szCs w:val="16"/>
              </w:rPr>
              <w:t>UL CL/BP controlled by I-SMF</w:t>
            </w:r>
          </w:p>
        </w:tc>
        <w:tc>
          <w:tcPr>
            <w:tcW w:w="708" w:type="dxa"/>
            <w:shd w:val="solid" w:color="FFFFFF" w:fill="auto"/>
          </w:tcPr>
          <w:p w14:paraId="5F6F4B1F" w14:textId="77777777" w:rsidR="00D40151" w:rsidRPr="00873B6C" w:rsidRDefault="00D40151" w:rsidP="009D14FB">
            <w:pPr>
              <w:pStyle w:val="TAC"/>
              <w:rPr>
                <w:b/>
                <w:sz w:val="16"/>
                <w:szCs w:val="16"/>
              </w:rPr>
            </w:pPr>
            <w:r w:rsidRPr="00873B6C">
              <w:rPr>
                <w:b/>
                <w:sz w:val="16"/>
                <w:szCs w:val="16"/>
              </w:rPr>
              <w:t>16.0.0</w:t>
            </w:r>
          </w:p>
        </w:tc>
      </w:tr>
      <w:tr w:rsidR="00D40151" w:rsidRPr="00873B6C" w14:paraId="277063EF" w14:textId="77777777" w:rsidTr="009D14FB">
        <w:tc>
          <w:tcPr>
            <w:tcW w:w="800" w:type="dxa"/>
            <w:shd w:val="solid" w:color="FFFFFF" w:fill="auto"/>
          </w:tcPr>
          <w:p w14:paraId="1B3CAC9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1B71E4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911BE25" w14:textId="77777777" w:rsidR="00D40151" w:rsidRPr="00873B6C" w:rsidRDefault="00D40151" w:rsidP="009D14FB">
            <w:pPr>
              <w:pStyle w:val="TAC"/>
              <w:rPr>
                <w:sz w:val="16"/>
                <w:szCs w:val="16"/>
              </w:rPr>
            </w:pPr>
            <w:r w:rsidRPr="00873B6C">
              <w:rPr>
                <w:sz w:val="16"/>
                <w:szCs w:val="16"/>
              </w:rPr>
              <w:t>SP-190175</w:t>
            </w:r>
          </w:p>
        </w:tc>
        <w:tc>
          <w:tcPr>
            <w:tcW w:w="567" w:type="dxa"/>
            <w:shd w:val="solid" w:color="FFFFFF" w:fill="auto"/>
          </w:tcPr>
          <w:p w14:paraId="68B8734C" w14:textId="77777777" w:rsidR="00D40151" w:rsidRPr="00873B6C" w:rsidRDefault="00D40151" w:rsidP="009D14FB">
            <w:pPr>
              <w:pStyle w:val="TAL"/>
              <w:rPr>
                <w:sz w:val="16"/>
                <w:szCs w:val="16"/>
              </w:rPr>
            </w:pPr>
            <w:r w:rsidRPr="00873B6C">
              <w:rPr>
                <w:sz w:val="16"/>
                <w:szCs w:val="16"/>
              </w:rPr>
              <w:t>0704</w:t>
            </w:r>
          </w:p>
        </w:tc>
        <w:tc>
          <w:tcPr>
            <w:tcW w:w="425" w:type="dxa"/>
            <w:shd w:val="solid" w:color="FFFFFF" w:fill="auto"/>
          </w:tcPr>
          <w:p w14:paraId="072C23FF"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36DAB01"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1461622" w14:textId="77777777" w:rsidR="00D40151" w:rsidRPr="00873B6C" w:rsidRDefault="00D40151" w:rsidP="009D14FB">
            <w:pPr>
              <w:pStyle w:val="TAL"/>
              <w:rPr>
                <w:sz w:val="16"/>
                <w:szCs w:val="16"/>
              </w:rPr>
            </w:pPr>
            <w:r w:rsidRPr="00873B6C">
              <w:rPr>
                <w:sz w:val="16"/>
                <w:szCs w:val="16"/>
              </w:rPr>
              <w:t>New 5QIs for Enhanced Framework for Uplink Streaming</w:t>
            </w:r>
          </w:p>
        </w:tc>
        <w:tc>
          <w:tcPr>
            <w:tcW w:w="708" w:type="dxa"/>
            <w:shd w:val="solid" w:color="FFFFFF" w:fill="auto"/>
          </w:tcPr>
          <w:p w14:paraId="58CC0F36" w14:textId="77777777" w:rsidR="00D40151" w:rsidRPr="00873B6C" w:rsidRDefault="00D40151" w:rsidP="009D14FB">
            <w:pPr>
              <w:pStyle w:val="TAC"/>
              <w:rPr>
                <w:b/>
                <w:sz w:val="16"/>
                <w:szCs w:val="16"/>
              </w:rPr>
            </w:pPr>
            <w:r w:rsidRPr="00873B6C">
              <w:rPr>
                <w:b/>
                <w:sz w:val="16"/>
                <w:szCs w:val="16"/>
              </w:rPr>
              <w:t>16.0.0</w:t>
            </w:r>
          </w:p>
        </w:tc>
      </w:tr>
      <w:tr w:rsidR="00D40151" w:rsidRPr="00873B6C" w14:paraId="1D15EF47" w14:textId="77777777" w:rsidTr="009D14FB">
        <w:tc>
          <w:tcPr>
            <w:tcW w:w="800" w:type="dxa"/>
            <w:shd w:val="solid" w:color="FFFFFF" w:fill="auto"/>
          </w:tcPr>
          <w:p w14:paraId="1DB68F1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F9BE88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B336878"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1E3B81B6" w14:textId="77777777" w:rsidR="00D40151" w:rsidRPr="00873B6C" w:rsidRDefault="00D40151" w:rsidP="009D14FB">
            <w:pPr>
              <w:pStyle w:val="TAL"/>
              <w:rPr>
                <w:sz w:val="16"/>
                <w:szCs w:val="16"/>
              </w:rPr>
            </w:pPr>
            <w:r w:rsidRPr="00873B6C">
              <w:rPr>
                <w:sz w:val="16"/>
                <w:szCs w:val="16"/>
              </w:rPr>
              <w:t>0755</w:t>
            </w:r>
          </w:p>
        </w:tc>
        <w:tc>
          <w:tcPr>
            <w:tcW w:w="425" w:type="dxa"/>
            <w:shd w:val="solid" w:color="FFFFFF" w:fill="auto"/>
          </w:tcPr>
          <w:p w14:paraId="6BEBECD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4EA107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2871BD2" w14:textId="77777777" w:rsidR="00D40151" w:rsidRPr="00873B6C" w:rsidRDefault="00D40151" w:rsidP="009D14FB">
            <w:pPr>
              <w:pStyle w:val="TAL"/>
              <w:rPr>
                <w:sz w:val="16"/>
                <w:szCs w:val="16"/>
              </w:rPr>
            </w:pPr>
            <w:r w:rsidRPr="00873B6C">
              <w:rPr>
                <w:sz w:val="16"/>
                <w:szCs w:val="16"/>
              </w:rPr>
              <w:t>Description of solution 11 in 23.725 for Ethernet anchor relocation</w:t>
            </w:r>
          </w:p>
        </w:tc>
        <w:tc>
          <w:tcPr>
            <w:tcW w:w="708" w:type="dxa"/>
            <w:shd w:val="solid" w:color="FFFFFF" w:fill="auto"/>
          </w:tcPr>
          <w:p w14:paraId="044318AA" w14:textId="77777777" w:rsidR="00D40151" w:rsidRPr="00873B6C" w:rsidRDefault="00D40151" w:rsidP="009D14FB">
            <w:pPr>
              <w:pStyle w:val="TAC"/>
              <w:rPr>
                <w:b/>
                <w:sz w:val="16"/>
                <w:szCs w:val="16"/>
              </w:rPr>
            </w:pPr>
            <w:r w:rsidRPr="00873B6C">
              <w:rPr>
                <w:b/>
                <w:sz w:val="16"/>
                <w:szCs w:val="16"/>
              </w:rPr>
              <w:t>16.0.0</w:t>
            </w:r>
          </w:p>
        </w:tc>
      </w:tr>
      <w:tr w:rsidR="00D40151" w:rsidRPr="00873B6C" w14:paraId="51E25992" w14:textId="77777777" w:rsidTr="009D14FB">
        <w:tc>
          <w:tcPr>
            <w:tcW w:w="800" w:type="dxa"/>
            <w:shd w:val="solid" w:color="FFFFFF" w:fill="auto"/>
          </w:tcPr>
          <w:p w14:paraId="6D892F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2E2425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D179104"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0C233400" w14:textId="77777777" w:rsidR="00D40151" w:rsidRPr="00873B6C" w:rsidRDefault="00D40151" w:rsidP="009D14FB">
            <w:pPr>
              <w:pStyle w:val="TAL"/>
              <w:rPr>
                <w:sz w:val="16"/>
                <w:szCs w:val="16"/>
              </w:rPr>
            </w:pPr>
            <w:r w:rsidRPr="00873B6C">
              <w:rPr>
                <w:sz w:val="16"/>
                <w:szCs w:val="16"/>
              </w:rPr>
              <w:t>0734</w:t>
            </w:r>
          </w:p>
        </w:tc>
        <w:tc>
          <w:tcPr>
            <w:tcW w:w="425" w:type="dxa"/>
            <w:shd w:val="solid" w:color="FFFFFF" w:fill="auto"/>
          </w:tcPr>
          <w:p w14:paraId="3D8EAD0E"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2591CFC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5DBAE2C" w14:textId="77777777" w:rsidR="00D40151" w:rsidRPr="00873B6C" w:rsidRDefault="00D40151" w:rsidP="009D14FB">
            <w:pPr>
              <w:pStyle w:val="TAL"/>
              <w:rPr>
                <w:sz w:val="16"/>
                <w:szCs w:val="16"/>
              </w:rPr>
            </w:pPr>
            <w:r w:rsidRPr="00873B6C">
              <w:rPr>
                <w:sz w:val="16"/>
                <w:szCs w:val="16"/>
              </w:rPr>
              <w:t>Introducing Non-public network</w:t>
            </w:r>
          </w:p>
        </w:tc>
        <w:tc>
          <w:tcPr>
            <w:tcW w:w="708" w:type="dxa"/>
            <w:shd w:val="solid" w:color="FFFFFF" w:fill="auto"/>
          </w:tcPr>
          <w:p w14:paraId="37B5BB61" w14:textId="77777777" w:rsidR="00D40151" w:rsidRPr="00873B6C" w:rsidRDefault="00D40151" w:rsidP="009D14FB">
            <w:pPr>
              <w:pStyle w:val="TAC"/>
              <w:rPr>
                <w:b/>
                <w:sz w:val="16"/>
                <w:szCs w:val="16"/>
              </w:rPr>
            </w:pPr>
            <w:r w:rsidRPr="00873B6C">
              <w:rPr>
                <w:b/>
                <w:sz w:val="16"/>
                <w:szCs w:val="16"/>
              </w:rPr>
              <w:t>16.0.0</w:t>
            </w:r>
          </w:p>
        </w:tc>
      </w:tr>
      <w:tr w:rsidR="00D40151" w:rsidRPr="00873B6C" w14:paraId="47D594F0" w14:textId="77777777" w:rsidTr="009D14FB">
        <w:tc>
          <w:tcPr>
            <w:tcW w:w="800" w:type="dxa"/>
            <w:shd w:val="solid" w:color="FFFFFF" w:fill="auto"/>
          </w:tcPr>
          <w:p w14:paraId="73930E0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B8D1FA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003CA58" w14:textId="77777777" w:rsidR="00D40151" w:rsidRPr="00873B6C" w:rsidRDefault="00D40151" w:rsidP="009D14FB">
            <w:pPr>
              <w:pStyle w:val="TAC"/>
              <w:rPr>
                <w:sz w:val="16"/>
                <w:szCs w:val="16"/>
              </w:rPr>
            </w:pPr>
            <w:r w:rsidRPr="00873B6C">
              <w:rPr>
                <w:sz w:val="16"/>
                <w:szCs w:val="16"/>
              </w:rPr>
              <w:t>SP-190215</w:t>
            </w:r>
          </w:p>
        </w:tc>
        <w:tc>
          <w:tcPr>
            <w:tcW w:w="567" w:type="dxa"/>
            <w:shd w:val="solid" w:color="FFFFFF" w:fill="auto"/>
          </w:tcPr>
          <w:p w14:paraId="4C765DDF" w14:textId="77777777" w:rsidR="00D40151" w:rsidRPr="00873B6C" w:rsidRDefault="00D40151" w:rsidP="009D14FB">
            <w:pPr>
              <w:pStyle w:val="TAL"/>
              <w:rPr>
                <w:sz w:val="16"/>
                <w:szCs w:val="16"/>
              </w:rPr>
            </w:pPr>
            <w:r w:rsidRPr="00873B6C">
              <w:rPr>
                <w:sz w:val="16"/>
                <w:szCs w:val="16"/>
              </w:rPr>
              <w:t>0736</w:t>
            </w:r>
          </w:p>
        </w:tc>
        <w:tc>
          <w:tcPr>
            <w:tcW w:w="425" w:type="dxa"/>
            <w:shd w:val="solid" w:color="FFFFFF" w:fill="auto"/>
          </w:tcPr>
          <w:p w14:paraId="73FC0DEC"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27AF15B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2E1C902" w14:textId="73F70398" w:rsidR="00D40151" w:rsidRPr="00873B6C" w:rsidRDefault="00D40151" w:rsidP="009D14FB">
            <w:pPr>
              <w:pStyle w:val="TAL"/>
              <w:rPr>
                <w:sz w:val="16"/>
                <w:szCs w:val="16"/>
              </w:rPr>
            </w:pPr>
            <w:r w:rsidRPr="00873B6C">
              <w:rPr>
                <w:sz w:val="16"/>
                <w:szCs w:val="16"/>
              </w:rPr>
              <w:t>Introduction of indirect communication between NF services</w:t>
            </w:r>
            <w:r w:rsidR="00472CD7" w:rsidRPr="00873B6C">
              <w:rPr>
                <w:sz w:val="16"/>
                <w:szCs w:val="16"/>
              </w:rPr>
              <w:t xml:space="preserve"> and</w:t>
            </w:r>
            <w:r w:rsidRPr="00873B6C">
              <w:rPr>
                <w:sz w:val="16"/>
                <w:szCs w:val="16"/>
              </w:rPr>
              <w:t xml:space="preserve"> implicit discovery</w:t>
            </w:r>
          </w:p>
        </w:tc>
        <w:tc>
          <w:tcPr>
            <w:tcW w:w="708" w:type="dxa"/>
            <w:shd w:val="solid" w:color="FFFFFF" w:fill="auto"/>
          </w:tcPr>
          <w:p w14:paraId="2AE900EF" w14:textId="77777777" w:rsidR="00D40151" w:rsidRPr="00873B6C" w:rsidRDefault="00D40151" w:rsidP="009D14FB">
            <w:pPr>
              <w:pStyle w:val="TAC"/>
              <w:rPr>
                <w:b/>
                <w:sz w:val="16"/>
                <w:szCs w:val="16"/>
              </w:rPr>
            </w:pPr>
            <w:r w:rsidRPr="00873B6C">
              <w:rPr>
                <w:b/>
                <w:sz w:val="16"/>
                <w:szCs w:val="16"/>
              </w:rPr>
              <w:t>16.0.0</w:t>
            </w:r>
          </w:p>
        </w:tc>
      </w:tr>
      <w:tr w:rsidR="00D40151" w:rsidRPr="00873B6C" w14:paraId="65FF8BBF" w14:textId="77777777" w:rsidTr="009D14FB">
        <w:tc>
          <w:tcPr>
            <w:tcW w:w="800" w:type="dxa"/>
            <w:shd w:val="solid" w:color="FFFFFF" w:fill="auto"/>
          </w:tcPr>
          <w:p w14:paraId="67BF89E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A1B925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CA828D"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49FF3EBA" w14:textId="77777777" w:rsidR="00D40151" w:rsidRPr="00873B6C" w:rsidRDefault="00D40151" w:rsidP="009D14FB">
            <w:pPr>
              <w:pStyle w:val="TAL"/>
              <w:rPr>
                <w:sz w:val="16"/>
                <w:szCs w:val="16"/>
              </w:rPr>
            </w:pPr>
            <w:r w:rsidRPr="00873B6C">
              <w:rPr>
                <w:sz w:val="16"/>
                <w:szCs w:val="16"/>
              </w:rPr>
              <w:t>0744</w:t>
            </w:r>
          </w:p>
        </w:tc>
        <w:tc>
          <w:tcPr>
            <w:tcW w:w="425" w:type="dxa"/>
            <w:shd w:val="solid" w:color="FFFFFF" w:fill="auto"/>
          </w:tcPr>
          <w:p w14:paraId="601647CD"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1CD625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F422F12" w14:textId="77777777" w:rsidR="00D40151" w:rsidRPr="00873B6C" w:rsidRDefault="00D40151" w:rsidP="009D14FB">
            <w:pPr>
              <w:pStyle w:val="TAL"/>
              <w:rPr>
                <w:sz w:val="16"/>
                <w:szCs w:val="16"/>
              </w:rPr>
            </w:pPr>
            <w:r w:rsidRPr="00873B6C">
              <w:rPr>
                <w:sz w:val="16"/>
                <w:szCs w:val="16"/>
              </w:rPr>
              <w:t>SUPI and SUCI for wireline access</w:t>
            </w:r>
          </w:p>
        </w:tc>
        <w:tc>
          <w:tcPr>
            <w:tcW w:w="708" w:type="dxa"/>
            <w:shd w:val="solid" w:color="FFFFFF" w:fill="auto"/>
          </w:tcPr>
          <w:p w14:paraId="3914975D" w14:textId="77777777" w:rsidR="00D40151" w:rsidRPr="00873B6C" w:rsidRDefault="00D40151" w:rsidP="009D14FB">
            <w:pPr>
              <w:pStyle w:val="TAC"/>
              <w:rPr>
                <w:b/>
                <w:sz w:val="16"/>
                <w:szCs w:val="16"/>
              </w:rPr>
            </w:pPr>
            <w:r w:rsidRPr="00873B6C">
              <w:rPr>
                <w:b/>
                <w:sz w:val="16"/>
                <w:szCs w:val="16"/>
              </w:rPr>
              <w:t>16.0.0</w:t>
            </w:r>
          </w:p>
        </w:tc>
      </w:tr>
      <w:tr w:rsidR="00D40151" w:rsidRPr="00873B6C" w14:paraId="76246055" w14:textId="77777777" w:rsidTr="009D14FB">
        <w:tc>
          <w:tcPr>
            <w:tcW w:w="800" w:type="dxa"/>
            <w:shd w:val="solid" w:color="FFFFFF" w:fill="auto"/>
          </w:tcPr>
          <w:p w14:paraId="17A10AB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8259AC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5B06F67"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0CAEC6D2" w14:textId="77777777" w:rsidR="00D40151" w:rsidRPr="00873B6C" w:rsidRDefault="00D40151" w:rsidP="009D14FB">
            <w:pPr>
              <w:pStyle w:val="TAL"/>
              <w:rPr>
                <w:sz w:val="16"/>
                <w:szCs w:val="16"/>
              </w:rPr>
            </w:pPr>
            <w:r w:rsidRPr="00873B6C">
              <w:rPr>
                <w:sz w:val="16"/>
                <w:szCs w:val="16"/>
              </w:rPr>
              <w:t>0745</w:t>
            </w:r>
          </w:p>
        </w:tc>
        <w:tc>
          <w:tcPr>
            <w:tcW w:w="425" w:type="dxa"/>
            <w:shd w:val="solid" w:color="FFFFFF" w:fill="auto"/>
          </w:tcPr>
          <w:p w14:paraId="280E1845"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FC5C87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1A835F4" w14:textId="77777777" w:rsidR="00D40151" w:rsidRPr="00873B6C" w:rsidRDefault="00D40151" w:rsidP="009D14FB">
            <w:pPr>
              <w:pStyle w:val="TAL"/>
              <w:rPr>
                <w:sz w:val="16"/>
                <w:szCs w:val="16"/>
              </w:rPr>
            </w:pPr>
            <w:r w:rsidRPr="00873B6C">
              <w:rPr>
                <w:sz w:val="16"/>
                <w:szCs w:val="16"/>
              </w:rPr>
              <w:t>Mobility restrictions for wireline access</w:t>
            </w:r>
          </w:p>
        </w:tc>
        <w:tc>
          <w:tcPr>
            <w:tcW w:w="708" w:type="dxa"/>
            <w:shd w:val="solid" w:color="FFFFFF" w:fill="auto"/>
          </w:tcPr>
          <w:p w14:paraId="4D2A985F" w14:textId="77777777" w:rsidR="00D40151" w:rsidRPr="00873B6C" w:rsidRDefault="00D40151" w:rsidP="009D14FB">
            <w:pPr>
              <w:pStyle w:val="TAC"/>
              <w:rPr>
                <w:b/>
                <w:sz w:val="16"/>
                <w:szCs w:val="16"/>
              </w:rPr>
            </w:pPr>
            <w:r w:rsidRPr="00873B6C">
              <w:rPr>
                <w:b/>
                <w:sz w:val="16"/>
                <w:szCs w:val="16"/>
              </w:rPr>
              <w:t>16.0.0</w:t>
            </w:r>
          </w:p>
        </w:tc>
      </w:tr>
      <w:tr w:rsidR="00D40151" w:rsidRPr="00873B6C" w14:paraId="0F6615A1" w14:textId="77777777" w:rsidTr="009D14FB">
        <w:tc>
          <w:tcPr>
            <w:tcW w:w="800" w:type="dxa"/>
            <w:shd w:val="solid" w:color="FFFFFF" w:fill="auto"/>
          </w:tcPr>
          <w:p w14:paraId="6C90855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F57C97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5D803D6"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2B181876" w14:textId="77777777" w:rsidR="00D40151" w:rsidRPr="00873B6C" w:rsidRDefault="00D40151" w:rsidP="009D14FB">
            <w:pPr>
              <w:pStyle w:val="TAL"/>
              <w:rPr>
                <w:sz w:val="16"/>
                <w:szCs w:val="16"/>
              </w:rPr>
            </w:pPr>
            <w:r w:rsidRPr="00873B6C">
              <w:rPr>
                <w:sz w:val="16"/>
                <w:szCs w:val="16"/>
              </w:rPr>
              <w:t>0746</w:t>
            </w:r>
          </w:p>
        </w:tc>
        <w:tc>
          <w:tcPr>
            <w:tcW w:w="425" w:type="dxa"/>
            <w:shd w:val="solid" w:color="FFFFFF" w:fill="auto"/>
          </w:tcPr>
          <w:p w14:paraId="566F3A0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4125CF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F842BB8" w14:textId="77777777" w:rsidR="00D40151" w:rsidRPr="00873B6C" w:rsidRDefault="00D40151" w:rsidP="009D14FB">
            <w:pPr>
              <w:pStyle w:val="TAL"/>
              <w:rPr>
                <w:sz w:val="16"/>
                <w:szCs w:val="16"/>
              </w:rPr>
            </w:pPr>
            <w:r w:rsidRPr="00873B6C">
              <w:rPr>
                <w:sz w:val="16"/>
                <w:szCs w:val="16"/>
              </w:rPr>
              <w:t xml:space="preserve">IP addressing enhancements </w:t>
            </w:r>
          </w:p>
        </w:tc>
        <w:tc>
          <w:tcPr>
            <w:tcW w:w="708" w:type="dxa"/>
            <w:shd w:val="solid" w:color="FFFFFF" w:fill="auto"/>
          </w:tcPr>
          <w:p w14:paraId="1C8E0517" w14:textId="77777777" w:rsidR="00D40151" w:rsidRPr="00873B6C" w:rsidRDefault="00D40151" w:rsidP="009D14FB">
            <w:pPr>
              <w:pStyle w:val="TAC"/>
              <w:rPr>
                <w:b/>
                <w:sz w:val="16"/>
                <w:szCs w:val="16"/>
              </w:rPr>
            </w:pPr>
            <w:r w:rsidRPr="00873B6C">
              <w:rPr>
                <w:b/>
                <w:sz w:val="16"/>
                <w:szCs w:val="16"/>
              </w:rPr>
              <w:t>16.0.0</w:t>
            </w:r>
          </w:p>
        </w:tc>
      </w:tr>
      <w:tr w:rsidR="00D40151" w:rsidRPr="00873B6C" w14:paraId="773E9A12" w14:textId="77777777" w:rsidTr="009D14FB">
        <w:tc>
          <w:tcPr>
            <w:tcW w:w="800" w:type="dxa"/>
            <w:shd w:val="solid" w:color="FFFFFF" w:fill="auto"/>
          </w:tcPr>
          <w:p w14:paraId="5A5885E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1159C2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515391A"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1A3C4A41" w14:textId="77777777" w:rsidR="00D40151" w:rsidRPr="00873B6C" w:rsidRDefault="00D40151" w:rsidP="009D14FB">
            <w:pPr>
              <w:pStyle w:val="TAL"/>
              <w:rPr>
                <w:sz w:val="16"/>
                <w:szCs w:val="16"/>
              </w:rPr>
            </w:pPr>
            <w:r w:rsidRPr="00873B6C">
              <w:rPr>
                <w:sz w:val="16"/>
                <w:szCs w:val="16"/>
              </w:rPr>
              <w:t>0747</w:t>
            </w:r>
          </w:p>
        </w:tc>
        <w:tc>
          <w:tcPr>
            <w:tcW w:w="425" w:type="dxa"/>
            <w:shd w:val="solid" w:color="FFFFFF" w:fill="auto"/>
          </w:tcPr>
          <w:p w14:paraId="15F94EBF" w14:textId="77777777" w:rsidR="00D40151" w:rsidRPr="00873B6C" w:rsidRDefault="00D40151" w:rsidP="009D14FB">
            <w:pPr>
              <w:pStyle w:val="TAL"/>
              <w:rPr>
                <w:sz w:val="16"/>
                <w:szCs w:val="16"/>
              </w:rPr>
            </w:pPr>
            <w:r w:rsidRPr="00873B6C">
              <w:rPr>
                <w:sz w:val="16"/>
                <w:szCs w:val="16"/>
              </w:rPr>
              <w:t>12</w:t>
            </w:r>
          </w:p>
        </w:tc>
        <w:tc>
          <w:tcPr>
            <w:tcW w:w="425" w:type="dxa"/>
            <w:shd w:val="solid" w:color="FFFFFF" w:fill="auto"/>
          </w:tcPr>
          <w:p w14:paraId="184EB28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E23C747" w14:textId="77777777" w:rsidR="00D40151" w:rsidRPr="00873B6C" w:rsidRDefault="00D40151" w:rsidP="009D14FB">
            <w:pPr>
              <w:pStyle w:val="TAL"/>
              <w:rPr>
                <w:sz w:val="16"/>
                <w:szCs w:val="16"/>
              </w:rPr>
            </w:pPr>
            <w:r w:rsidRPr="00873B6C">
              <w:rPr>
                <w:sz w:val="16"/>
                <w:szCs w:val="16"/>
              </w:rPr>
              <w:t>Support for 5G LAN</w:t>
            </w:r>
          </w:p>
        </w:tc>
        <w:tc>
          <w:tcPr>
            <w:tcW w:w="708" w:type="dxa"/>
            <w:shd w:val="solid" w:color="FFFFFF" w:fill="auto"/>
          </w:tcPr>
          <w:p w14:paraId="5DA0A74A" w14:textId="77777777" w:rsidR="00D40151" w:rsidRPr="00873B6C" w:rsidRDefault="00D40151" w:rsidP="009D14FB">
            <w:pPr>
              <w:pStyle w:val="TAC"/>
              <w:rPr>
                <w:b/>
                <w:sz w:val="16"/>
                <w:szCs w:val="16"/>
              </w:rPr>
            </w:pPr>
            <w:r w:rsidRPr="00873B6C">
              <w:rPr>
                <w:b/>
                <w:sz w:val="16"/>
                <w:szCs w:val="16"/>
              </w:rPr>
              <w:t>16.0.0</w:t>
            </w:r>
          </w:p>
        </w:tc>
      </w:tr>
      <w:tr w:rsidR="00D40151" w:rsidRPr="00873B6C" w14:paraId="22193AE1" w14:textId="77777777" w:rsidTr="009D14FB">
        <w:tc>
          <w:tcPr>
            <w:tcW w:w="800" w:type="dxa"/>
            <w:shd w:val="solid" w:color="FFFFFF" w:fill="auto"/>
          </w:tcPr>
          <w:p w14:paraId="37A99CB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0EE4C8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0FAE9C0"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44E65D9E" w14:textId="77777777" w:rsidR="00D40151" w:rsidRPr="00873B6C" w:rsidRDefault="00D40151" w:rsidP="009D14FB">
            <w:pPr>
              <w:pStyle w:val="TAL"/>
              <w:rPr>
                <w:sz w:val="16"/>
                <w:szCs w:val="16"/>
              </w:rPr>
            </w:pPr>
            <w:r w:rsidRPr="00873B6C">
              <w:rPr>
                <w:sz w:val="16"/>
                <w:szCs w:val="16"/>
              </w:rPr>
              <w:t>0754</w:t>
            </w:r>
          </w:p>
        </w:tc>
        <w:tc>
          <w:tcPr>
            <w:tcW w:w="425" w:type="dxa"/>
            <w:shd w:val="solid" w:color="FFFFFF" w:fill="auto"/>
          </w:tcPr>
          <w:p w14:paraId="54A246C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082D62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65D778B" w14:textId="77777777" w:rsidR="00D40151" w:rsidRPr="00873B6C" w:rsidRDefault="00D40151" w:rsidP="009D14FB">
            <w:pPr>
              <w:pStyle w:val="TAL"/>
              <w:rPr>
                <w:sz w:val="16"/>
                <w:szCs w:val="16"/>
              </w:rPr>
            </w:pPr>
            <w:r w:rsidRPr="00873B6C">
              <w:rPr>
                <w:sz w:val="16"/>
                <w:szCs w:val="16"/>
              </w:rPr>
              <w:t>Description of solution 2 in 23.725 for redundancy as an informational annex</w:t>
            </w:r>
          </w:p>
        </w:tc>
        <w:tc>
          <w:tcPr>
            <w:tcW w:w="708" w:type="dxa"/>
            <w:shd w:val="solid" w:color="FFFFFF" w:fill="auto"/>
          </w:tcPr>
          <w:p w14:paraId="2ABFFB52" w14:textId="77777777" w:rsidR="00D40151" w:rsidRPr="00873B6C" w:rsidRDefault="00D40151" w:rsidP="009D14FB">
            <w:pPr>
              <w:pStyle w:val="TAC"/>
              <w:rPr>
                <w:b/>
                <w:sz w:val="16"/>
                <w:szCs w:val="16"/>
              </w:rPr>
            </w:pPr>
            <w:r w:rsidRPr="00873B6C">
              <w:rPr>
                <w:b/>
                <w:sz w:val="16"/>
                <w:szCs w:val="16"/>
              </w:rPr>
              <w:t>16.0.0</w:t>
            </w:r>
          </w:p>
        </w:tc>
      </w:tr>
      <w:tr w:rsidR="00D40151" w:rsidRPr="00873B6C" w14:paraId="550A1295" w14:textId="77777777" w:rsidTr="009D14FB">
        <w:tc>
          <w:tcPr>
            <w:tcW w:w="800" w:type="dxa"/>
            <w:shd w:val="solid" w:color="FFFFFF" w:fill="auto"/>
          </w:tcPr>
          <w:p w14:paraId="3CF4852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BA52AF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A6D5077"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2EB4DB2B" w14:textId="77777777" w:rsidR="00D40151" w:rsidRPr="00873B6C" w:rsidRDefault="00D40151" w:rsidP="009D14FB">
            <w:pPr>
              <w:pStyle w:val="TAL"/>
              <w:rPr>
                <w:sz w:val="16"/>
                <w:szCs w:val="16"/>
              </w:rPr>
            </w:pPr>
            <w:r w:rsidRPr="00873B6C">
              <w:rPr>
                <w:sz w:val="16"/>
                <w:szCs w:val="16"/>
              </w:rPr>
              <w:t>0761</w:t>
            </w:r>
          </w:p>
        </w:tc>
        <w:tc>
          <w:tcPr>
            <w:tcW w:w="425" w:type="dxa"/>
            <w:shd w:val="solid" w:color="FFFFFF" w:fill="auto"/>
          </w:tcPr>
          <w:p w14:paraId="6B48D6B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61F90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D9A82FE" w14:textId="77777777" w:rsidR="00D40151" w:rsidRPr="00873B6C" w:rsidRDefault="00D40151" w:rsidP="009D14FB">
            <w:pPr>
              <w:pStyle w:val="TAL"/>
              <w:rPr>
                <w:sz w:val="16"/>
                <w:szCs w:val="16"/>
              </w:rPr>
            </w:pPr>
            <w:r w:rsidRPr="00873B6C">
              <w:rPr>
                <w:sz w:val="16"/>
                <w:szCs w:val="16"/>
              </w:rPr>
              <w:t>ATSSS-SMF and UPF selection</w:t>
            </w:r>
          </w:p>
        </w:tc>
        <w:tc>
          <w:tcPr>
            <w:tcW w:w="708" w:type="dxa"/>
            <w:shd w:val="solid" w:color="FFFFFF" w:fill="auto"/>
          </w:tcPr>
          <w:p w14:paraId="4BA005C4" w14:textId="77777777" w:rsidR="00D40151" w:rsidRPr="00873B6C" w:rsidRDefault="00D40151" w:rsidP="009D14FB">
            <w:pPr>
              <w:pStyle w:val="TAC"/>
              <w:rPr>
                <w:b/>
                <w:sz w:val="16"/>
                <w:szCs w:val="16"/>
              </w:rPr>
            </w:pPr>
            <w:r w:rsidRPr="00873B6C">
              <w:rPr>
                <w:b/>
                <w:sz w:val="16"/>
                <w:szCs w:val="16"/>
              </w:rPr>
              <w:t>16.0.0</w:t>
            </w:r>
          </w:p>
        </w:tc>
      </w:tr>
      <w:tr w:rsidR="00D40151" w:rsidRPr="00873B6C" w14:paraId="06AD7246" w14:textId="77777777" w:rsidTr="009D14FB">
        <w:tc>
          <w:tcPr>
            <w:tcW w:w="800" w:type="dxa"/>
            <w:shd w:val="solid" w:color="FFFFFF" w:fill="auto"/>
          </w:tcPr>
          <w:p w14:paraId="7E77CAE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4B0B60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A44BD02"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5A13B69D" w14:textId="77777777" w:rsidR="00D40151" w:rsidRPr="00873B6C" w:rsidRDefault="00D40151" w:rsidP="009D14FB">
            <w:pPr>
              <w:pStyle w:val="TAL"/>
              <w:rPr>
                <w:sz w:val="16"/>
                <w:szCs w:val="16"/>
              </w:rPr>
            </w:pPr>
            <w:r w:rsidRPr="00873B6C">
              <w:rPr>
                <w:sz w:val="16"/>
                <w:szCs w:val="16"/>
              </w:rPr>
              <w:t>0776</w:t>
            </w:r>
          </w:p>
        </w:tc>
        <w:tc>
          <w:tcPr>
            <w:tcW w:w="425" w:type="dxa"/>
            <w:shd w:val="solid" w:color="FFFFFF" w:fill="auto"/>
          </w:tcPr>
          <w:p w14:paraId="41518A6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037D52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8F83DEA" w14:textId="1526E891" w:rsidR="00D40151" w:rsidRPr="00873B6C" w:rsidRDefault="00D40151" w:rsidP="009D14FB">
            <w:pPr>
              <w:pStyle w:val="TAL"/>
              <w:rPr>
                <w:sz w:val="16"/>
                <w:szCs w:val="16"/>
              </w:rPr>
            </w:pPr>
            <w:r w:rsidRPr="00873B6C">
              <w:rPr>
                <w:sz w:val="16"/>
                <w:szCs w:val="16"/>
              </w:rPr>
              <w:t>CIoT Introduction of extended DRX in CM-CONNECTED with RRC Inactive state</w:t>
            </w:r>
          </w:p>
        </w:tc>
        <w:tc>
          <w:tcPr>
            <w:tcW w:w="708" w:type="dxa"/>
            <w:shd w:val="solid" w:color="FFFFFF" w:fill="auto"/>
          </w:tcPr>
          <w:p w14:paraId="566BF546" w14:textId="77777777" w:rsidR="00D40151" w:rsidRPr="00873B6C" w:rsidRDefault="00D40151" w:rsidP="009D14FB">
            <w:pPr>
              <w:pStyle w:val="TAC"/>
              <w:rPr>
                <w:b/>
                <w:sz w:val="16"/>
                <w:szCs w:val="16"/>
              </w:rPr>
            </w:pPr>
            <w:r w:rsidRPr="00873B6C">
              <w:rPr>
                <w:b/>
                <w:sz w:val="16"/>
                <w:szCs w:val="16"/>
              </w:rPr>
              <w:t>16.0.0</w:t>
            </w:r>
          </w:p>
        </w:tc>
      </w:tr>
      <w:tr w:rsidR="00D40151" w:rsidRPr="00873B6C" w14:paraId="4563496E" w14:textId="77777777" w:rsidTr="009D14FB">
        <w:tc>
          <w:tcPr>
            <w:tcW w:w="800" w:type="dxa"/>
            <w:shd w:val="solid" w:color="FFFFFF" w:fill="auto"/>
          </w:tcPr>
          <w:p w14:paraId="470593DD" w14:textId="77777777" w:rsidR="00D40151" w:rsidRPr="00873B6C" w:rsidRDefault="00D40151" w:rsidP="009D14FB">
            <w:pPr>
              <w:pStyle w:val="TAC"/>
              <w:rPr>
                <w:sz w:val="16"/>
                <w:szCs w:val="16"/>
              </w:rPr>
            </w:pPr>
            <w:r w:rsidRPr="00873B6C">
              <w:rPr>
                <w:sz w:val="16"/>
                <w:szCs w:val="16"/>
              </w:rPr>
              <w:lastRenderedPageBreak/>
              <w:t>2019-03</w:t>
            </w:r>
          </w:p>
        </w:tc>
        <w:tc>
          <w:tcPr>
            <w:tcW w:w="800" w:type="dxa"/>
            <w:shd w:val="solid" w:color="FFFFFF" w:fill="auto"/>
          </w:tcPr>
          <w:p w14:paraId="3C06541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9D5934E"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71810F12" w14:textId="77777777" w:rsidR="00D40151" w:rsidRPr="00873B6C" w:rsidRDefault="00D40151" w:rsidP="009D14FB">
            <w:pPr>
              <w:pStyle w:val="TAL"/>
              <w:rPr>
                <w:sz w:val="16"/>
                <w:szCs w:val="16"/>
              </w:rPr>
            </w:pPr>
            <w:r w:rsidRPr="00873B6C">
              <w:rPr>
                <w:sz w:val="16"/>
                <w:szCs w:val="16"/>
              </w:rPr>
              <w:t>0781</w:t>
            </w:r>
          </w:p>
        </w:tc>
        <w:tc>
          <w:tcPr>
            <w:tcW w:w="425" w:type="dxa"/>
            <w:shd w:val="solid" w:color="FFFFFF" w:fill="auto"/>
          </w:tcPr>
          <w:p w14:paraId="7F2C096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7722CA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227FA54" w14:textId="77777777" w:rsidR="00D40151" w:rsidRPr="00873B6C" w:rsidRDefault="00D40151" w:rsidP="009D14FB">
            <w:pPr>
              <w:pStyle w:val="TAL"/>
              <w:rPr>
                <w:sz w:val="16"/>
                <w:szCs w:val="16"/>
              </w:rPr>
            </w:pPr>
            <w:r w:rsidRPr="00873B6C">
              <w:rPr>
                <w:sz w:val="16"/>
                <w:szCs w:val="16"/>
              </w:rPr>
              <w:t>Support of Trusted non-3GPP access</w:t>
            </w:r>
          </w:p>
        </w:tc>
        <w:tc>
          <w:tcPr>
            <w:tcW w:w="708" w:type="dxa"/>
            <w:shd w:val="solid" w:color="FFFFFF" w:fill="auto"/>
          </w:tcPr>
          <w:p w14:paraId="62BB456D" w14:textId="77777777" w:rsidR="00D40151" w:rsidRPr="00873B6C" w:rsidRDefault="00D40151" w:rsidP="009D14FB">
            <w:pPr>
              <w:pStyle w:val="TAC"/>
              <w:rPr>
                <w:b/>
                <w:sz w:val="16"/>
                <w:szCs w:val="16"/>
              </w:rPr>
            </w:pPr>
            <w:r w:rsidRPr="00873B6C">
              <w:rPr>
                <w:b/>
                <w:sz w:val="16"/>
                <w:szCs w:val="16"/>
              </w:rPr>
              <w:t>16.0.0</w:t>
            </w:r>
          </w:p>
        </w:tc>
      </w:tr>
      <w:tr w:rsidR="00D40151" w:rsidRPr="00873B6C" w14:paraId="55AF3B69" w14:textId="77777777" w:rsidTr="009D14FB">
        <w:tc>
          <w:tcPr>
            <w:tcW w:w="800" w:type="dxa"/>
            <w:shd w:val="solid" w:color="FFFFFF" w:fill="auto"/>
          </w:tcPr>
          <w:p w14:paraId="0D04CAD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BE677B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38A961F"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16ADEE6B" w14:textId="77777777" w:rsidR="00D40151" w:rsidRPr="00873B6C" w:rsidRDefault="00D40151" w:rsidP="009D14FB">
            <w:pPr>
              <w:pStyle w:val="TAL"/>
              <w:rPr>
                <w:sz w:val="16"/>
                <w:szCs w:val="16"/>
              </w:rPr>
            </w:pPr>
            <w:r w:rsidRPr="00873B6C">
              <w:rPr>
                <w:sz w:val="16"/>
                <w:szCs w:val="16"/>
              </w:rPr>
              <w:t>0783</w:t>
            </w:r>
          </w:p>
        </w:tc>
        <w:tc>
          <w:tcPr>
            <w:tcW w:w="425" w:type="dxa"/>
            <w:shd w:val="solid" w:color="FFFFFF" w:fill="auto"/>
          </w:tcPr>
          <w:p w14:paraId="29A0397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C965B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350155F" w14:textId="77777777" w:rsidR="00D40151" w:rsidRPr="00873B6C" w:rsidRDefault="00D40151" w:rsidP="009D14FB">
            <w:pPr>
              <w:pStyle w:val="TAL"/>
              <w:rPr>
                <w:sz w:val="16"/>
                <w:szCs w:val="16"/>
              </w:rPr>
            </w:pPr>
            <w:r w:rsidRPr="00873B6C">
              <w:rPr>
                <w:sz w:val="16"/>
                <w:szCs w:val="16"/>
              </w:rPr>
              <w:t>Trusted non-3GPP Access Network Selection</w:t>
            </w:r>
          </w:p>
        </w:tc>
        <w:tc>
          <w:tcPr>
            <w:tcW w:w="708" w:type="dxa"/>
            <w:shd w:val="solid" w:color="FFFFFF" w:fill="auto"/>
          </w:tcPr>
          <w:p w14:paraId="3250829B" w14:textId="77777777" w:rsidR="00D40151" w:rsidRPr="00873B6C" w:rsidRDefault="00D40151" w:rsidP="009D14FB">
            <w:pPr>
              <w:pStyle w:val="TAC"/>
              <w:rPr>
                <w:b/>
                <w:sz w:val="16"/>
                <w:szCs w:val="16"/>
              </w:rPr>
            </w:pPr>
            <w:r w:rsidRPr="00873B6C">
              <w:rPr>
                <w:b/>
                <w:sz w:val="16"/>
                <w:szCs w:val="16"/>
              </w:rPr>
              <w:t>16.0.0</w:t>
            </w:r>
          </w:p>
        </w:tc>
      </w:tr>
      <w:tr w:rsidR="00D40151" w:rsidRPr="00873B6C" w14:paraId="1C6C0DE2" w14:textId="77777777" w:rsidTr="009D14FB">
        <w:tc>
          <w:tcPr>
            <w:tcW w:w="800" w:type="dxa"/>
            <w:shd w:val="solid" w:color="FFFFFF" w:fill="auto"/>
          </w:tcPr>
          <w:p w14:paraId="3E870BC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DDC9D7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39126C8"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2289B6FA" w14:textId="77777777" w:rsidR="00D40151" w:rsidRPr="00873B6C" w:rsidRDefault="00D40151" w:rsidP="009D14FB">
            <w:pPr>
              <w:pStyle w:val="TAL"/>
              <w:rPr>
                <w:sz w:val="16"/>
                <w:szCs w:val="16"/>
              </w:rPr>
            </w:pPr>
            <w:r w:rsidRPr="00873B6C">
              <w:rPr>
                <w:sz w:val="16"/>
                <w:szCs w:val="16"/>
              </w:rPr>
              <w:t>0785</w:t>
            </w:r>
          </w:p>
        </w:tc>
        <w:tc>
          <w:tcPr>
            <w:tcW w:w="425" w:type="dxa"/>
            <w:shd w:val="solid" w:color="FFFFFF" w:fill="auto"/>
          </w:tcPr>
          <w:p w14:paraId="183D5317"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3A94AA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0A1FCCE" w14:textId="2F78C722" w:rsidR="00D40151" w:rsidRPr="00873B6C" w:rsidRDefault="00D40151" w:rsidP="009D14FB">
            <w:pPr>
              <w:pStyle w:val="TAL"/>
              <w:rPr>
                <w:sz w:val="16"/>
                <w:szCs w:val="16"/>
              </w:rPr>
            </w:pPr>
            <w:r w:rsidRPr="00873B6C">
              <w:rPr>
                <w:sz w:val="16"/>
                <w:szCs w:val="16"/>
              </w:rPr>
              <w:t>Updating 5.8.2.11 for N4 Rules to support ATSSS</w:t>
            </w:r>
          </w:p>
        </w:tc>
        <w:tc>
          <w:tcPr>
            <w:tcW w:w="708" w:type="dxa"/>
            <w:shd w:val="solid" w:color="FFFFFF" w:fill="auto"/>
          </w:tcPr>
          <w:p w14:paraId="316C2249" w14:textId="77777777" w:rsidR="00D40151" w:rsidRPr="00873B6C" w:rsidRDefault="00D40151" w:rsidP="009D14FB">
            <w:pPr>
              <w:pStyle w:val="TAC"/>
              <w:rPr>
                <w:b/>
                <w:sz w:val="16"/>
                <w:szCs w:val="16"/>
              </w:rPr>
            </w:pPr>
            <w:r w:rsidRPr="00873B6C">
              <w:rPr>
                <w:b/>
                <w:sz w:val="16"/>
                <w:szCs w:val="16"/>
              </w:rPr>
              <w:t>16.0.0</w:t>
            </w:r>
          </w:p>
        </w:tc>
      </w:tr>
      <w:tr w:rsidR="00D40151" w:rsidRPr="00873B6C" w14:paraId="0E442756" w14:textId="77777777" w:rsidTr="009D14FB">
        <w:tc>
          <w:tcPr>
            <w:tcW w:w="800" w:type="dxa"/>
            <w:shd w:val="solid" w:color="FFFFFF" w:fill="auto"/>
          </w:tcPr>
          <w:p w14:paraId="785D55E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FB4EDE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B17D4A4"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6C457EFA" w14:textId="77777777" w:rsidR="00D40151" w:rsidRPr="00873B6C" w:rsidRDefault="00D40151" w:rsidP="009D14FB">
            <w:pPr>
              <w:pStyle w:val="TAL"/>
              <w:rPr>
                <w:sz w:val="16"/>
                <w:szCs w:val="16"/>
              </w:rPr>
            </w:pPr>
            <w:r w:rsidRPr="00873B6C">
              <w:rPr>
                <w:sz w:val="16"/>
                <w:szCs w:val="16"/>
              </w:rPr>
              <w:t>0799</w:t>
            </w:r>
          </w:p>
        </w:tc>
        <w:tc>
          <w:tcPr>
            <w:tcW w:w="425" w:type="dxa"/>
            <w:shd w:val="solid" w:color="FFFFFF" w:fill="auto"/>
          </w:tcPr>
          <w:p w14:paraId="41253023"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4AB4772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84C9F44" w14:textId="77777777" w:rsidR="00D40151" w:rsidRPr="00873B6C" w:rsidRDefault="00D40151" w:rsidP="009D14FB">
            <w:pPr>
              <w:pStyle w:val="TAL"/>
              <w:rPr>
                <w:sz w:val="16"/>
                <w:szCs w:val="16"/>
              </w:rPr>
            </w:pPr>
            <w:r w:rsidRPr="00873B6C">
              <w:rPr>
                <w:sz w:val="16"/>
                <w:szCs w:val="16"/>
              </w:rPr>
              <w:t>eSBA communication schemas related to general discovery and selection</w:t>
            </w:r>
          </w:p>
        </w:tc>
        <w:tc>
          <w:tcPr>
            <w:tcW w:w="708" w:type="dxa"/>
            <w:shd w:val="solid" w:color="FFFFFF" w:fill="auto"/>
          </w:tcPr>
          <w:p w14:paraId="7E86A3BB" w14:textId="77777777" w:rsidR="00D40151" w:rsidRPr="00873B6C" w:rsidRDefault="00D40151" w:rsidP="009D14FB">
            <w:pPr>
              <w:pStyle w:val="TAC"/>
              <w:rPr>
                <w:b/>
                <w:sz w:val="16"/>
                <w:szCs w:val="16"/>
              </w:rPr>
            </w:pPr>
            <w:r w:rsidRPr="00873B6C">
              <w:rPr>
                <w:b/>
                <w:sz w:val="16"/>
                <w:szCs w:val="16"/>
              </w:rPr>
              <w:t>16.0.0</w:t>
            </w:r>
          </w:p>
        </w:tc>
      </w:tr>
      <w:tr w:rsidR="00D40151" w:rsidRPr="00873B6C" w14:paraId="2CA4886C" w14:textId="77777777" w:rsidTr="009D14FB">
        <w:tc>
          <w:tcPr>
            <w:tcW w:w="800" w:type="dxa"/>
            <w:shd w:val="solid" w:color="FFFFFF" w:fill="auto"/>
          </w:tcPr>
          <w:p w14:paraId="67A5BF0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C9E062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55F9A48"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2FAE7CE5" w14:textId="77777777" w:rsidR="00D40151" w:rsidRPr="00873B6C" w:rsidRDefault="00D40151" w:rsidP="009D14FB">
            <w:pPr>
              <w:pStyle w:val="TAL"/>
              <w:rPr>
                <w:sz w:val="16"/>
                <w:szCs w:val="16"/>
              </w:rPr>
            </w:pPr>
            <w:r w:rsidRPr="00873B6C">
              <w:rPr>
                <w:sz w:val="16"/>
                <w:szCs w:val="16"/>
              </w:rPr>
              <w:t>0800</w:t>
            </w:r>
          </w:p>
        </w:tc>
        <w:tc>
          <w:tcPr>
            <w:tcW w:w="425" w:type="dxa"/>
            <w:shd w:val="solid" w:color="FFFFFF" w:fill="auto"/>
          </w:tcPr>
          <w:p w14:paraId="53FA34A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0C203B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E156DA7" w14:textId="77777777" w:rsidR="00D40151" w:rsidRPr="00873B6C" w:rsidRDefault="00D40151" w:rsidP="009D14FB">
            <w:pPr>
              <w:pStyle w:val="TAL"/>
              <w:rPr>
                <w:sz w:val="16"/>
                <w:szCs w:val="16"/>
              </w:rPr>
            </w:pPr>
            <w:r w:rsidRPr="00873B6C">
              <w:rPr>
                <w:sz w:val="16"/>
                <w:szCs w:val="16"/>
              </w:rPr>
              <w:t>eSBA communication schemas related to UDM and UDR discovery and selection</w:t>
            </w:r>
          </w:p>
        </w:tc>
        <w:tc>
          <w:tcPr>
            <w:tcW w:w="708" w:type="dxa"/>
            <w:shd w:val="solid" w:color="FFFFFF" w:fill="auto"/>
          </w:tcPr>
          <w:p w14:paraId="471C8845" w14:textId="77777777" w:rsidR="00D40151" w:rsidRPr="00873B6C" w:rsidRDefault="00D40151" w:rsidP="009D14FB">
            <w:pPr>
              <w:pStyle w:val="TAC"/>
              <w:rPr>
                <w:b/>
                <w:sz w:val="16"/>
                <w:szCs w:val="16"/>
              </w:rPr>
            </w:pPr>
            <w:r w:rsidRPr="00873B6C">
              <w:rPr>
                <w:b/>
                <w:sz w:val="16"/>
                <w:szCs w:val="16"/>
              </w:rPr>
              <w:t>16.0.0</w:t>
            </w:r>
          </w:p>
        </w:tc>
      </w:tr>
      <w:tr w:rsidR="00D40151" w:rsidRPr="00873B6C" w14:paraId="52F3A5C5" w14:textId="77777777" w:rsidTr="009D14FB">
        <w:tc>
          <w:tcPr>
            <w:tcW w:w="800" w:type="dxa"/>
            <w:shd w:val="solid" w:color="FFFFFF" w:fill="auto"/>
          </w:tcPr>
          <w:p w14:paraId="3F126A6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088E31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E7C8B85"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6B0166EC" w14:textId="77777777" w:rsidR="00D40151" w:rsidRPr="00873B6C" w:rsidRDefault="00D40151" w:rsidP="009D14FB">
            <w:pPr>
              <w:pStyle w:val="TAL"/>
              <w:rPr>
                <w:sz w:val="16"/>
                <w:szCs w:val="16"/>
              </w:rPr>
            </w:pPr>
            <w:r w:rsidRPr="00873B6C">
              <w:rPr>
                <w:sz w:val="16"/>
                <w:szCs w:val="16"/>
              </w:rPr>
              <w:t>0940</w:t>
            </w:r>
          </w:p>
        </w:tc>
        <w:tc>
          <w:tcPr>
            <w:tcW w:w="425" w:type="dxa"/>
            <w:shd w:val="solid" w:color="FFFFFF" w:fill="auto"/>
          </w:tcPr>
          <w:p w14:paraId="2FD6645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ED5551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92D7518" w14:textId="77777777" w:rsidR="00D40151" w:rsidRPr="00873B6C" w:rsidRDefault="00D40151" w:rsidP="009D14FB">
            <w:pPr>
              <w:pStyle w:val="TAL"/>
              <w:rPr>
                <w:sz w:val="16"/>
                <w:szCs w:val="16"/>
              </w:rPr>
            </w:pPr>
            <w:r w:rsidRPr="00873B6C">
              <w:rPr>
                <w:sz w:val="16"/>
                <w:szCs w:val="16"/>
              </w:rPr>
              <w:t>Use of analytics for SMF selection</w:t>
            </w:r>
          </w:p>
        </w:tc>
        <w:tc>
          <w:tcPr>
            <w:tcW w:w="708" w:type="dxa"/>
            <w:shd w:val="solid" w:color="FFFFFF" w:fill="auto"/>
          </w:tcPr>
          <w:p w14:paraId="0FF20698" w14:textId="77777777" w:rsidR="00D40151" w:rsidRPr="00873B6C" w:rsidRDefault="00D40151" w:rsidP="009D14FB">
            <w:pPr>
              <w:pStyle w:val="TAC"/>
              <w:rPr>
                <w:b/>
                <w:sz w:val="16"/>
                <w:szCs w:val="16"/>
              </w:rPr>
            </w:pPr>
            <w:r w:rsidRPr="00873B6C">
              <w:rPr>
                <w:b/>
                <w:sz w:val="16"/>
                <w:szCs w:val="16"/>
              </w:rPr>
              <w:t>16.0.0</w:t>
            </w:r>
          </w:p>
        </w:tc>
      </w:tr>
      <w:tr w:rsidR="00D40151" w:rsidRPr="00873B6C" w14:paraId="3D80D703" w14:textId="77777777" w:rsidTr="009D14FB">
        <w:tc>
          <w:tcPr>
            <w:tcW w:w="800" w:type="dxa"/>
            <w:shd w:val="solid" w:color="FFFFFF" w:fill="auto"/>
          </w:tcPr>
          <w:p w14:paraId="682B6B6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4C348E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2D05F2C"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7EDFD6A0" w14:textId="77777777" w:rsidR="00D40151" w:rsidRPr="00873B6C" w:rsidRDefault="00D40151" w:rsidP="009D14FB">
            <w:pPr>
              <w:pStyle w:val="TAL"/>
              <w:rPr>
                <w:sz w:val="16"/>
                <w:szCs w:val="16"/>
              </w:rPr>
            </w:pPr>
            <w:r w:rsidRPr="00873B6C">
              <w:rPr>
                <w:sz w:val="16"/>
                <w:szCs w:val="16"/>
              </w:rPr>
              <w:t>0801</w:t>
            </w:r>
          </w:p>
        </w:tc>
        <w:tc>
          <w:tcPr>
            <w:tcW w:w="425" w:type="dxa"/>
            <w:shd w:val="solid" w:color="FFFFFF" w:fill="auto"/>
          </w:tcPr>
          <w:p w14:paraId="6C39A871"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7AFFDBA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49B79F4" w14:textId="77777777" w:rsidR="00D40151" w:rsidRPr="00873B6C" w:rsidRDefault="00D40151" w:rsidP="009D14FB">
            <w:pPr>
              <w:pStyle w:val="TAL"/>
              <w:rPr>
                <w:sz w:val="16"/>
                <w:szCs w:val="16"/>
              </w:rPr>
            </w:pPr>
            <w:r w:rsidRPr="00873B6C">
              <w:rPr>
                <w:sz w:val="16"/>
                <w:szCs w:val="16"/>
              </w:rPr>
              <w:t>eSBA communication schemas related to SMF discovery and selection</w:t>
            </w:r>
          </w:p>
        </w:tc>
        <w:tc>
          <w:tcPr>
            <w:tcW w:w="708" w:type="dxa"/>
            <w:shd w:val="solid" w:color="FFFFFF" w:fill="auto"/>
          </w:tcPr>
          <w:p w14:paraId="1BA25418" w14:textId="77777777" w:rsidR="00D40151" w:rsidRPr="00873B6C" w:rsidRDefault="00D40151" w:rsidP="009D14FB">
            <w:pPr>
              <w:pStyle w:val="TAC"/>
              <w:rPr>
                <w:b/>
                <w:sz w:val="16"/>
                <w:szCs w:val="16"/>
              </w:rPr>
            </w:pPr>
            <w:r w:rsidRPr="00873B6C">
              <w:rPr>
                <w:b/>
                <w:sz w:val="16"/>
                <w:szCs w:val="16"/>
              </w:rPr>
              <w:t>16.0.0</w:t>
            </w:r>
          </w:p>
        </w:tc>
      </w:tr>
      <w:tr w:rsidR="00D40151" w:rsidRPr="00873B6C" w14:paraId="2A695C81" w14:textId="77777777" w:rsidTr="009D14FB">
        <w:tc>
          <w:tcPr>
            <w:tcW w:w="800" w:type="dxa"/>
            <w:shd w:val="solid" w:color="FFFFFF" w:fill="auto"/>
          </w:tcPr>
          <w:p w14:paraId="12C5741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C02922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9AEDF07"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54AEF419" w14:textId="77777777" w:rsidR="00D40151" w:rsidRPr="00873B6C" w:rsidRDefault="00D40151" w:rsidP="009D14FB">
            <w:pPr>
              <w:pStyle w:val="TAL"/>
              <w:rPr>
                <w:sz w:val="16"/>
                <w:szCs w:val="16"/>
              </w:rPr>
            </w:pPr>
            <w:r w:rsidRPr="00873B6C">
              <w:rPr>
                <w:sz w:val="16"/>
                <w:szCs w:val="16"/>
              </w:rPr>
              <w:t>0802</w:t>
            </w:r>
          </w:p>
        </w:tc>
        <w:tc>
          <w:tcPr>
            <w:tcW w:w="425" w:type="dxa"/>
            <w:shd w:val="solid" w:color="FFFFFF" w:fill="auto"/>
          </w:tcPr>
          <w:p w14:paraId="56D733C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EA4B3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F532782" w14:textId="77777777" w:rsidR="00D40151" w:rsidRPr="00873B6C" w:rsidRDefault="00D40151" w:rsidP="009D14FB">
            <w:pPr>
              <w:pStyle w:val="TAL"/>
              <w:rPr>
                <w:sz w:val="16"/>
                <w:szCs w:val="16"/>
              </w:rPr>
            </w:pPr>
            <w:r w:rsidRPr="00873B6C">
              <w:rPr>
                <w:sz w:val="16"/>
                <w:szCs w:val="16"/>
              </w:rPr>
              <w:t>eSBA communication schemas related to PCF discovery and selection</w:t>
            </w:r>
          </w:p>
        </w:tc>
        <w:tc>
          <w:tcPr>
            <w:tcW w:w="708" w:type="dxa"/>
            <w:shd w:val="solid" w:color="FFFFFF" w:fill="auto"/>
          </w:tcPr>
          <w:p w14:paraId="641F9378" w14:textId="77777777" w:rsidR="00D40151" w:rsidRPr="00873B6C" w:rsidRDefault="00D40151" w:rsidP="009D14FB">
            <w:pPr>
              <w:pStyle w:val="TAC"/>
              <w:rPr>
                <w:b/>
                <w:sz w:val="16"/>
                <w:szCs w:val="16"/>
              </w:rPr>
            </w:pPr>
            <w:r w:rsidRPr="00873B6C">
              <w:rPr>
                <w:b/>
                <w:sz w:val="16"/>
                <w:szCs w:val="16"/>
              </w:rPr>
              <w:t>16.0.0</w:t>
            </w:r>
          </w:p>
        </w:tc>
      </w:tr>
      <w:tr w:rsidR="00D40151" w:rsidRPr="00873B6C" w14:paraId="75E19A59" w14:textId="77777777" w:rsidTr="009D14FB">
        <w:tc>
          <w:tcPr>
            <w:tcW w:w="800" w:type="dxa"/>
            <w:shd w:val="solid" w:color="FFFFFF" w:fill="auto"/>
          </w:tcPr>
          <w:p w14:paraId="270E88A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39CFC3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885388D"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59D7603F" w14:textId="77777777" w:rsidR="00D40151" w:rsidRPr="00873B6C" w:rsidRDefault="00D40151" w:rsidP="009D14FB">
            <w:pPr>
              <w:pStyle w:val="TAL"/>
              <w:rPr>
                <w:sz w:val="16"/>
                <w:szCs w:val="16"/>
              </w:rPr>
            </w:pPr>
            <w:r w:rsidRPr="00873B6C">
              <w:rPr>
                <w:sz w:val="16"/>
                <w:szCs w:val="16"/>
              </w:rPr>
              <w:t>0803</w:t>
            </w:r>
          </w:p>
        </w:tc>
        <w:tc>
          <w:tcPr>
            <w:tcW w:w="425" w:type="dxa"/>
            <w:shd w:val="solid" w:color="FFFFFF" w:fill="auto"/>
          </w:tcPr>
          <w:p w14:paraId="369447B9"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190613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AED7E99" w14:textId="77777777" w:rsidR="00D40151" w:rsidRPr="00873B6C" w:rsidRDefault="00D40151" w:rsidP="009D14FB">
            <w:pPr>
              <w:pStyle w:val="TAL"/>
              <w:rPr>
                <w:sz w:val="16"/>
                <w:szCs w:val="16"/>
              </w:rPr>
            </w:pPr>
            <w:r w:rsidRPr="00873B6C">
              <w:rPr>
                <w:sz w:val="16"/>
                <w:szCs w:val="16"/>
              </w:rPr>
              <w:t>eSBA communication schemas related to AUSF discovery and selection</w:t>
            </w:r>
          </w:p>
        </w:tc>
        <w:tc>
          <w:tcPr>
            <w:tcW w:w="708" w:type="dxa"/>
            <w:shd w:val="solid" w:color="FFFFFF" w:fill="auto"/>
          </w:tcPr>
          <w:p w14:paraId="141E9FB5" w14:textId="77777777" w:rsidR="00D40151" w:rsidRPr="00873B6C" w:rsidRDefault="00D40151" w:rsidP="009D14FB">
            <w:pPr>
              <w:pStyle w:val="TAC"/>
              <w:rPr>
                <w:b/>
                <w:sz w:val="16"/>
                <w:szCs w:val="16"/>
              </w:rPr>
            </w:pPr>
            <w:r w:rsidRPr="00873B6C">
              <w:rPr>
                <w:b/>
                <w:sz w:val="16"/>
                <w:szCs w:val="16"/>
              </w:rPr>
              <w:t>16.0.0</w:t>
            </w:r>
          </w:p>
        </w:tc>
      </w:tr>
      <w:tr w:rsidR="00D40151" w:rsidRPr="00873B6C" w14:paraId="6C9E12B5" w14:textId="77777777" w:rsidTr="009D14FB">
        <w:tc>
          <w:tcPr>
            <w:tcW w:w="800" w:type="dxa"/>
            <w:shd w:val="solid" w:color="FFFFFF" w:fill="auto"/>
          </w:tcPr>
          <w:p w14:paraId="6AEB3FF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E02D04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CFC5DDA"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68A940EB" w14:textId="77777777" w:rsidR="00D40151" w:rsidRPr="00873B6C" w:rsidRDefault="00D40151" w:rsidP="009D14FB">
            <w:pPr>
              <w:pStyle w:val="TAL"/>
              <w:rPr>
                <w:sz w:val="16"/>
                <w:szCs w:val="16"/>
              </w:rPr>
            </w:pPr>
            <w:r w:rsidRPr="00873B6C">
              <w:rPr>
                <w:sz w:val="16"/>
                <w:szCs w:val="16"/>
              </w:rPr>
              <w:t>0804</w:t>
            </w:r>
          </w:p>
        </w:tc>
        <w:tc>
          <w:tcPr>
            <w:tcW w:w="425" w:type="dxa"/>
            <w:shd w:val="solid" w:color="FFFFFF" w:fill="auto"/>
          </w:tcPr>
          <w:p w14:paraId="402C779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4F41414"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2B2F64B" w14:textId="77777777" w:rsidR="00D40151" w:rsidRPr="00873B6C" w:rsidRDefault="00D40151" w:rsidP="009D14FB">
            <w:pPr>
              <w:pStyle w:val="TAL"/>
              <w:rPr>
                <w:sz w:val="16"/>
                <w:szCs w:val="16"/>
              </w:rPr>
            </w:pPr>
            <w:r w:rsidRPr="00873B6C">
              <w:rPr>
                <w:sz w:val="16"/>
                <w:szCs w:val="16"/>
              </w:rPr>
              <w:t>eSBA communication schemas related to AMF discovery and selection</w:t>
            </w:r>
          </w:p>
        </w:tc>
        <w:tc>
          <w:tcPr>
            <w:tcW w:w="708" w:type="dxa"/>
            <w:shd w:val="solid" w:color="FFFFFF" w:fill="auto"/>
          </w:tcPr>
          <w:p w14:paraId="469F6979" w14:textId="77777777" w:rsidR="00D40151" w:rsidRPr="00873B6C" w:rsidRDefault="00D40151" w:rsidP="009D14FB">
            <w:pPr>
              <w:pStyle w:val="TAC"/>
              <w:rPr>
                <w:b/>
                <w:sz w:val="16"/>
                <w:szCs w:val="16"/>
              </w:rPr>
            </w:pPr>
            <w:r w:rsidRPr="00873B6C">
              <w:rPr>
                <w:b/>
                <w:sz w:val="16"/>
                <w:szCs w:val="16"/>
              </w:rPr>
              <w:t>16.0.0</w:t>
            </w:r>
          </w:p>
        </w:tc>
      </w:tr>
      <w:tr w:rsidR="00D40151" w:rsidRPr="00873B6C" w14:paraId="378D12A5" w14:textId="77777777" w:rsidTr="009D14FB">
        <w:tc>
          <w:tcPr>
            <w:tcW w:w="800" w:type="dxa"/>
            <w:shd w:val="solid" w:color="FFFFFF" w:fill="auto"/>
          </w:tcPr>
          <w:p w14:paraId="07409C1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4B125C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B021935"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0A8DD3A9" w14:textId="77777777" w:rsidR="00D40151" w:rsidRPr="00873B6C" w:rsidRDefault="00D40151" w:rsidP="009D14FB">
            <w:pPr>
              <w:pStyle w:val="TAL"/>
              <w:rPr>
                <w:sz w:val="16"/>
                <w:szCs w:val="16"/>
              </w:rPr>
            </w:pPr>
            <w:r w:rsidRPr="00873B6C">
              <w:rPr>
                <w:sz w:val="16"/>
                <w:szCs w:val="16"/>
              </w:rPr>
              <w:t>0826</w:t>
            </w:r>
          </w:p>
        </w:tc>
        <w:tc>
          <w:tcPr>
            <w:tcW w:w="425" w:type="dxa"/>
            <w:shd w:val="solid" w:color="FFFFFF" w:fill="auto"/>
          </w:tcPr>
          <w:p w14:paraId="7DFD9FD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5EA8DD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2515A7D" w14:textId="77777777" w:rsidR="00D40151" w:rsidRPr="00873B6C" w:rsidRDefault="00D40151" w:rsidP="009D14FB">
            <w:pPr>
              <w:pStyle w:val="TAL"/>
              <w:rPr>
                <w:sz w:val="16"/>
                <w:szCs w:val="16"/>
              </w:rPr>
            </w:pPr>
            <w:r w:rsidRPr="00873B6C">
              <w:rPr>
                <w:sz w:val="16"/>
                <w:szCs w:val="16"/>
              </w:rPr>
              <w:t>Introduction of the MSISDN-less MO SMS Service</w:t>
            </w:r>
          </w:p>
        </w:tc>
        <w:tc>
          <w:tcPr>
            <w:tcW w:w="708" w:type="dxa"/>
            <w:shd w:val="solid" w:color="FFFFFF" w:fill="auto"/>
          </w:tcPr>
          <w:p w14:paraId="560922E8" w14:textId="77777777" w:rsidR="00D40151" w:rsidRPr="00873B6C" w:rsidRDefault="00D40151" w:rsidP="009D14FB">
            <w:pPr>
              <w:pStyle w:val="TAC"/>
              <w:rPr>
                <w:b/>
                <w:sz w:val="16"/>
                <w:szCs w:val="16"/>
              </w:rPr>
            </w:pPr>
            <w:r w:rsidRPr="00873B6C">
              <w:rPr>
                <w:b/>
                <w:sz w:val="16"/>
                <w:szCs w:val="16"/>
              </w:rPr>
              <w:t>16.0.0</w:t>
            </w:r>
          </w:p>
        </w:tc>
      </w:tr>
      <w:tr w:rsidR="00D40151" w:rsidRPr="00873B6C" w14:paraId="2D14EDDF" w14:textId="77777777" w:rsidTr="009D14FB">
        <w:tc>
          <w:tcPr>
            <w:tcW w:w="800" w:type="dxa"/>
            <w:shd w:val="solid" w:color="FFFFFF" w:fill="auto"/>
          </w:tcPr>
          <w:p w14:paraId="3A11212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E31AD8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2DA33FD"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580929A1" w14:textId="77777777" w:rsidR="00D40151" w:rsidRPr="00873B6C" w:rsidRDefault="00D40151" w:rsidP="009D14FB">
            <w:pPr>
              <w:pStyle w:val="TAL"/>
              <w:rPr>
                <w:sz w:val="16"/>
                <w:szCs w:val="16"/>
              </w:rPr>
            </w:pPr>
            <w:r w:rsidRPr="00873B6C">
              <w:rPr>
                <w:sz w:val="16"/>
                <w:szCs w:val="16"/>
              </w:rPr>
              <w:t>0828</w:t>
            </w:r>
          </w:p>
        </w:tc>
        <w:tc>
          <w:tcPr>
            <w:tcW w:w="425" w:type="dxa"/>
            <w:shd w:val="solid" w:color="FFFFFF" w:fill="auto"/>
          </w:tcPr>
          <w:p w14:paraId="728EF29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FD29F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B3F37CE" w14:textId="77777777" w:rsidR="00D40151" w:rsidRPr="00873B6C" w:rsidRDefault="00D40151" w:rsidP="009D14FB">
            <w:pPr>
              <w:pStyle w:val="TAL"/>
              <w:rPr>
                <w:sz w:val="16"/>
                <w:szCs w:val="16"/>
              </w:rPr>
            </w:pPr>
            <w:r w:rsidRPr="00873B6C">
              <w:rPr>
                <w:sz w:val="16"/>
                <w:szCs w:val="16"/>
              </w:rPr>
              <w:t>Introduction of the SCEF+NEF</w:t>
            </w:r>
          </w:p>
        </w:tc>
        <w:tc>
          <w:tcPr>
            <w:tcW w:w="708" w:type="dxa"/>
            <w:shd w:val="solid" w:color="FFFFFF" w:fill="auto"/>
          </w:tcPr>
          <w:p w14:paraId="034C9C4D" w14:textId="77777777" w:rsidR="00D40151" w:rsidRPr="00873B6C" w:rsidRDefault="00D40151" w:rsidP="009D14FB">
            <w:pPr>
              <w:pStyle w:val="TAC"/>
              <w:rPr>
                <w:b/>
                <w:sz w:val="16"/>
                <w:szCs w:val="16"/>
              </w:rPr>
            </w:pPr>
            <w:r w:rsidRPr="00873B6C">
              <w:rPr>
                <w:b/>
                <w:sz w:val="16"/>
                <w:szCs w:val="16"/>
              </w:rPr>
              <w:t>16.0.0</w:t>
            </w:r>
          </w:p>
        </w:tc>
      </w:tr>
      <w:tr w:rsidR="00D40151" w:rsidRPr="00873B6C" w14:paraId="30EDE818" w14:textId="77777777" w:rsidTr="009D14FB">
        <w:tc>
          <w:tcPr>
            <w:tcW w:w="800" w:type="dxa"/>
            <w:shd w:val="solid" w:color="FFFFFF" w:fill="auto"/>
          </w:tcPr>
          <w:p w14:paraId="16F64AD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1A13DB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1C9971C"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4DB6C9CA" w14:textId="77777777" w:rsidR="00D40151" w:rsidRPr="00873B6C" w:rsidRDefault="00D40151" w:rsidP="009D14FB">
            <w:pPr>
              <w:pStyle w:val="TAL"/>
              <w:rPr>
                <w:sz w:val="16"/>
                <w:szCs w:val="16"/>
              </w:rPr>
            </w:pPr>
            <w:r w:rsidRPr="00873B6C">
              <w:rPr>
                <w:sz w:val="16"/>
                <w:szCs w:val="16"/>
              </w:rPr>
              <w:t>0831</w:t>
            </w:r>
          </w:p>
        </w:tc>
        <w:tc>
          <w:tcPr>
            <w:tcW w:w="425" w:type="dxa"/>
            <w:shd w:val="solid" w:color="FFFFFF" w:fill="auto"/>
          </w:tcPr>
          <w:p w14:paraId="78682DB2"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4FAE0FF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3A7F602" w14:textId="77777777" w:rsidR="00D40151" w:rsidRPr="00873B6C" w:rsidRDefault="00D40151" w:rsidP="009D14FB">
            <w:pPr>
              <w:pStyle w:val="TAL"/>
              <w:rPr>
                <w:sz w:val="16"/>
                <w:szCs w:val="16"/>
              </w:rPr>
            </w:pPr>
            <w:r w:rsidRPr="00873B6C">
              <w:rPr>
                <w:sz w:val="16"/>
                <w:szCs w:val="16"/>
              </w:rPr>
              <w:t>CR for TS 23.501 based on conclusion of eNA TR 23.791</w:t>
            </w:r>
          </w:p>
        </w:tc>
        <w:tc>
          <w:tcPr>
            <w:tcW w:w="708" w:type="dxa"/>
            <w:shd w:val="solid" w:color="FFFFFF" w:fill="auto"/>
          </w:tcPr>
          <w:p w14:paraId="3D95A529" w14:textId="77777777" w:rsidR="00D40151" w:rsidRPr="00873B6C" w:rsidRDefault="00D40151" w:rsidP="009D14FB">
            <w:pPr>
              <w:pStyle w:val="TAC"/>
              <w:rPr>
                <w:b/>
                <w:sz w:val="16"/>
                <w:szCs w:val="16"/>
              </w:rPr>
            </w:pPr>
            <w:r w:rsidRPr="00873B6C">
              <w:rPr>
                <w:b/>
                <w:sz w:val="16"/>
                <w:szCs w:val="16"/>
              </w:rPr>
              <w:t>16.0.0</w:t>
            </w:r>
          </w:p>
        </w:tc>
      </w:tr>
      <w:tr w:rsidR="00D40151" w:rsidRPr="00873B6C" w14:paraId="05248AFC" w14:textId="77777777" w:rsidTr="009D14FB">
        <w:tc>
          <w:tcPr>
            <w:tcW w:w="800" w:type="dxa"/>
            <w:shd w:val="solid" w:color="FFFFFF" w:fill="auto"/>
          </w:tcPr>
          <w:p w14:paraId="31ED9E2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3D962A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5A9D597"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1F73DB8C" w14:textId="77777777" w:rsidR="00D40151" w:rsidRPr="00873B6C" w:rsidRDefault="00D40151" w:rsidP="009D14FB">
            <w:pPr>
              <w:pStyle w:val="TAL"/>
              <w:rPr>
                <w:sz w:val="16"/>
                <w:szCs w:val="16"/>
              </w:rPr>
            </w:pPr>
            <w:r w:rsidRPr="00873B6C">
              <w:rPr>
                <w:sz w:val="16"/>
                <w:szCs w:val="16"/>
              </w:rPr>
              <w:t>0837</w:t>
            </w:r>
          </w:p>
        </w:tc>
        <w:tc>
          <w:tcPr>
            <w:tcW w:w="425" w:type="dxa"/>
            <w:shd w:val="solid" w:color="FFFFFF" w:fill="auto"/>
          </w:tcPr>
          <w:p w14:paraId="3ABA4D9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3FA1D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C30F5AB" w14:textId="77777777" w:rsidR="00D40151" w:rsidRPr="00873B6C" w:rsidRDefault="00D40151" w:rsidP="009D14FB">
            <w:pPr>
              <w:pStyle w:val="TAL"/>
              <w:rPr>
                <w:sz w:val="16"/>
                <w:szCs w:val="16"/>
              </w:rPr>
            </w:pPr>
            <w:r w:rsidRPr="00873B6C">
              <w:rPr>
                <w:sz w:val="16"/>
                <w:szCs w:val="16"/>
              </w:rPr>
              <w:t>Use of NWDAF analytics for decision of MICO mode parameters</w:t>
            </w:r>
          </w:p>
        </w:tc>
        <w:tc>
          <w:tcPr>
            <w:tcW w:w="708" w:type="dxa"/>
            <w:shd w:val="solid" w:color="FFFFFF" w:fill="auto"/>
          </w:tcPr>
          <w:p w14:paraId="5D4D9A47" w14:textId="77777777" w:rsidR="00D40151" w:rsidRPr="00873B6C" w:rsidRDefault="00D40151" w:rsidP="009D14FB">
            <w:pPr>
              <w:pStyle w:val="TAC"/>
              <w:rPr>
                <w:b/>
                <w:sz w:val="16"/>
                <w:szCs w:val="16"/>
              </w:rPr>
            </w:pPr>
            <w:r w:rsidRPr="00873B6C">
              <w:rPr>
                <w:b/>
                <w:sz w:val="16"/>
                <w:szCs w:val="16"/>
              </w:rPr>
              <w:t>16.0.0</w:t>
            </w:r>
          </w:p>
        </w:tc>
      </w:tr>
      <w:tr w:rsidR="00D40151" w:rsidRPr="00873B6C" w14:paraId="536FD335" w14:textId="77777777" w:rsidTr="009D14FB">
        <w:tc>
          <w:tcPr>
            <w:tcW w:w="800" w:type="dxa"/>
            <w:shd w:val="solid" w:color="FFFFFF" w:fill="auto"/>
          </w:tcPr>
          <w:p w14:paraId="65F49C5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41DC72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56E53C6"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6490B1B6" w14:textId="77777777" w:rsidR="00D40151" w:rsidRPr="00873B6C" w:rsidRDefault="00D40151" w:rsidP="009D14FB">
            <w:pPr>
              <w:pStyle w:val="TAL"/>
              <w:rPr>
                <w:sz w:val="16"/>
                <w:szCs w:val="16"/>
              </w:rPr>
            </w:pPr>
            <w:r w:rsidRPr="00873B6C">
              <w:rPr>
                <w:sz w:val="16"/>
                <w:szCs w:val="16"/>
              </w:rPr>
              <w:t>0841</w:t>
            </w:r>
          </w:p>
        </w:tc>
        <w:tc>
          <w:tcPr>
            <w:tcW w:w="425" w:type="dxa"/>
            <w:shd w:val="solid" w:color="FFFFFF" w:fill="auto"/>
          </w:tcPr>
          <w:p w14:paraId="1DFE8AB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91BF15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00630D4" w14:textId="77777777" w:rsidR="00D40151" w:rsidRPr="00873B6C" w:rsidRDefault="00D40151" w:rsidP="009D14FB">
            <w:pPr>
              <w:pStyle w:val="TAL"/>
              <w:rPr>
                <w:sz w:val="16"/>
                <w:szCs w:val="16"/>
              </w:rPr>
            </w:pPr>
            <w:r w:rsidRPr="00873B6C">
              <w:rPr>
                <w:sz w:val="16"/>
                <w:szCs w:val="16"/>
              </w:rPr>
              <w:t>FQDN format of N3IWF in a standalone non-public network</w:t>
            </w:r>
          </w:p>
        </w:tc>
        <w:tc>
          <w:tcPr>
            <w:tcW w:w="708" w:type="dxa"/>
            <w:shd w:val="solid" w:color="FFFFFF" w:fill="auto"/>
          </w:tcPr>
          <w:p w14:paraId="188C24E3" w14:textId="77777777" w:rsidR="00D40151" w:rsidRPr="00873B6C" w:rsidRDefault="00D40151" w:rsidP="009D14FB">
            <w:pPr>
              <w:pStyle w:val="TAC"/>
              <w:rPr>
                <w:b/>
                <w:sz w:val="16"/>
                <w:szCs w:val="16"/>
              </w:rPr>
            </w:pPr>
            <w:r w:rsidRPr="00873B6C">
              <w:rPr>
                <w:b/>
                <w:sz w:val="16"/>
                <w:szCs w:val="16"/>
              </w:rPr>
              <w:t>16.0.0</w:t>
            </w:r>
          </w:p>
        </w:tc>
      </w:tr>
      <w:tr w:rsidR="00D40151" w:rsidRPr="00873B6C" w14:paraId="20BC4F40" w14:textId="77777777" w:rsidTr="009D14FB">
        <w:tc>
          <w:tcPr>
            <w:tcW w:w="800" w:type="dxa"/>
            <w:shd w:val="solid" w:color="FFFFFF" w:fill="auto"/>
          </w:tcPr>
          <w:p w14:paraId="040681A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8A9B97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23DE2F9" w14:textId="77777777" w:rsidR="00D40151" w:rsidRPr="00873B6C" w:rsidRDefault="00D40151" w:rsidP="009D14FB">
            <w:pPr>
              <w:pStyle w:val="TAC"/>
              <w:rPr>
                <w:sz w:val="16"/>
                <w:szCs w:val="16"/>
              </w:rPr>
            </w:pPr>
            <w:r w:rsidRPr="00873B6C">
              <w:rPr>
                <w:sz w:val="16"/>
                <w:szCs w:val="16"/>
              </w:rPr>
              <w:t>SP-190168</w:t>
            </w:r>
          </w:p>
        </w:tc>
        <w:tc>
          <w:tcPr>
            <w:tcW w:w="567" w:type="dxa"/>
            <w:shd w:val="solid" w:color="FFFFFF" w:fill="auto"/>
          </w:tcPr>
          <w:p w14:paraId="4B39603E" w14:textId="77777777" w:rsidR="00D40151" w:rsidRPr="00873B6C" w:rsidRDefault="00D40151" w:rsidP="009D14FB">
            <w:pPr>
              <w:pStyle w:val="TAL"/>
              <w:rPr>
                <w:sz w:val="16"/>
                <w:szCs w:val="16"/>
              </w:rPr>
            </w:pPr>
            <w:r w:rsidRPr="00873B6C">
              <w:rPr>
                <w:sz w:val="16"/>
                <w:szCs w:val="16"/>
              </w:rPr>
              <w:t>0843</w:t>
            </w:r>
          </w:p>
        </w:tc>
        <w:tc>
          <w:tcPr>
            <w:tcW w:w="425" w:type="dxa"/>
            <w:shd w:val="solid" w:color="FFFFFF" w:fill="auto"/>
          </w:tcPr>
          <w:p w14:paraId="732E190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A8391C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7BCCDE" w14:textId="77777777" w:rsidR="00D40151" w:rsidRPr="00873B6C" w:rsidRDefault="00D40151" w:rsidP="009D14FB">
            <w:pPr>
              <w:pStyle w:val="TAL"/>
              <w:rPr>
                <w:sz w:val="16"/>
                <w:szCs w:val="16"/>
              </w:rPr>
            </w:pPr>
            <w:r w:rsidRPr="00873B6C">
              <w:rPr>
                <w:sz w:val="16"/>
                <w:szCs w:val="16"/>
              </w:rPr>
              <w:t>Update to LCS related definitions</w:t>
            </w:r>
          </w:p>
        </w:tc>
        <w:tc>
          <w:tcPr>
            <w:tcW w:w="708" w:type="dxa"/>
            <w:shd w:val="solid" w:color="FFFFFF" w:fill="auto"/>
          </w:tcPr>
          <w:p w14:paraId="0C6F3120" w14:textId="77777777" w:rsidR="00D40151" w:rsidRPr="00873B6C" w:rsidRDefault="00D40151" w:rsidP="009D14FB">
            <w:pPr>
              <w:pStyle w:val="TAC"/>
              <w:rPr>
                <w:b/>
                <w:sz w:val="16"/>
                <w:szCs w:val="16"/>
              </w:rPr>
            </w:pPr>
            <w:r w:rsidRPr="00873B6C">
              <w:rPr>
                <w:b/>
                <w:sz w:val="16"/>
                <w:szCs w:val="16"/>
              </w:rPr>
              <w:t>16.0.0</w:t>
            </w:r>
          </w:p>
        </w:tc>
      </w:tr>
      <w:tr w:rsidR="00D40151" w:rsidRPr="00873B6C" w14:paraId="3F677C66" w14:textId="77777777" w:rsidTr="009D14FB">
        <w:tc>
          <w:tcPr>
            <w:tcW w:w="800" w:type="dxa"/>
            <w:shd w:val="solid" w:color="FFFFFF" w:fill="auto"/>
          </w:tcPr>
          <w:p w14:paraId="73390DA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ECEDEB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14230B4" w14:textId="77777777" w:rsidR="00D40151" w:rsidRPr="00873B6C" w:rsidRDefault="00D40151" w:rsidP="009D14FB">
            <w:pPr>
              <w:pStyle w:val="TAC"/>
              <w:rPr>
                <w:sz w:val="16"/>
                <w:szCs w:val="16"/>
              </w:rPr>
            </w:pPr>
            <w:r w:rsidRPr="00873B6C">
              <w:rPr>
                <w:sz w:val="16"/>
                <w:szCs w:val="16"/>
              </w:rPr>
              <w:t>SP-190238</w:t>
            </w:r>
          </w:p>
        </w:tc>
        <w:tc>
          <w:tcPr>
            <w:tcW w:w="567" w:type="dxa"/>
            <w:shd w:val="solid" w:color="FFFFFF" w:fill="auto"/>
          </w:tcPr>
          <w:p w14:paraId="33531B5E" w14:textId="77777777" w:rsidR="00D40151" w:rsidRPr="00873B6C" w:rsidRDefault="00D40151" w:rsidP="009D14FB">
            <w:pPr>
              <w:pStyle w:val="TAL"/>
              <w:rPr>
                <w:sz w:val="16"/>
                <w:szCs w:val="16"/>
              </w:rPr>
            </w:pPr>
            <w:r w:rsidRPr="00873B6C">
              <w:rPr>
                <w:sz w:val="16"/>
                <w:szCs w:val="16"/>
              </w:rPr>
              <w:t>0844</w:t>
            </w:r>
          </w:p>
        </w:tc>
        <w:tc>
          <w:tcPr>
            <w:tcW w:w="425" w:type="dxa"/>
            <w:shd w:val="solid" w:color="FFFFFF" w:fill="auto"/>
          </w:tcPr>
          <w:p w14:paraId="164DC4E9"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4087D75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5DF7E2" w14:textId="77777777" w:rsidR="00D40151" w:rsidRPr="00873B6C" w:rsidRDefault="00D40151" w:rsidP="009D14FB">
            <w:pPr>
              <w:pStyle w:val="TAL"/>
              <w:rPr>
                <w:sz w:val="16"/>
                <w:szCs w:val="16"/>
              </w:rPr>
            </w:pPr>
            <w:r w:rsidRPr="00873B6C">
              <w:rPr>
                <w:sz w:val="16"/>
                <w:szCs w:val="16"/>
              </w:rPr>
              <w:t>Network reliability support with Sets</w:t>
            </w:r>
          </w:p>
        </w:tc>
        <w:tc>
          <w:tcPr>
            <w:tcW w:w="708" w:type="dxa"/>
            <w:shd w:val="solid" w:color="FFFFFF" w:fill="auto"/>
          </w:tcPr>
          <w:p w14:paraId="4DFB5E8F" w14:textId="77777777" w:rsidR="00D40151" w:rsidRPr="00873B6C" w:rsidRDefault="00D40151" w:rsidP="009D14FB">
            <w:pPr>
              <w:pStyle w:val="TAC"/>
              <w:rPr>
                <w:b/>
                <w:sz w:val="16"/>
                <w:szCs w:val="16"/>
              </w:rPr>
            </w:pPr>
            <w:r w:rsidRPr="00873B6C">
              <w:rPr>
                <w:b/>
                <w:sz w:val="16"/>
                <w:szCs w:val="16"/>
              </w:rPr>
              <w:t>16.0.0</w:t>
            </w:r>
          </w:p>
        </w:tc>
      </w:tr>
      <w:tr w:rsidR="00D40151" w:rsidRPr="00873B6C" w14:paraId="331BCF0D" w14:textId="77777777" w:rsidTr="009D14FB">
        <w:tc>
          <w:tcPr>
            <w:tcW w:w="800" w:type="dxa"/>
            <w:shd w:val="solid" w:color="FFFFFF" w:fill="auto"/>
          </w:tcPr>
          <w:p w14:paraId="001C36D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5708B27"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9974816" w14:textId="77777777" w:rsidR="00D40151" w:rsidRPr="00873B6C" w:rsidRDefault="00D40151" w:rsidP="009D14FB">
            <w:pPr>
              <w:pStyle w:val="TAC"/>
              <w:rPr>
                <w:sz w:val="16"/>
                <w:szCs w:val="16"/>
              </w:rPr>
            </w:pPr>
            <w:r w:rsidRPr="00873B6C">
              <w:rPr>
                <w:sz w:val="16"/>
                <w:szCs w:val="16"/>
              </w:rPr>
              <w:t>SP-190199</w:t>
            </w:r>
          </w:p>
        </w:tc>
        <w:tc>
          <w:tcPr>
            <w:tcW w:w="567" w:type="dxa"/>
            <w:shd w:val="solid" w:color="FFFFFF" w:fill="auto"/>
          </w:tcPr>
          <w:p w14:paraId="1BB551F4" w14:textId="77777777" w:rsidR="00D40151" w:rsidRPr="00873B6C" w:rsidRDefault="00D40151" w:rsidP="009D14FB">
            <w:pPr>
              <w:pStyle w:val="TAL"/>
              <w:rPr>
                <w:sz w:val="16"/>
                <w:szCs w:val="16"/>
              </w:rPr>
            </w:pPr>
            <w:r w:rsidRPr="00873B6C">
              <w:rPr>
                <w:sz w:val="16"/>
                <w:szCs w:val="16"/>
              </w:rPr>
              <w:t>0850</w:t>
            </w:r>
          </w:p>
        </w:tc>
        <w:tc>
          <w:tcPr>
            <w:tcW w:w="425" w:type="dxa"/>
            <w:shd w:val="solid" w:color="FFFFFF" w:fill="auto"/>
          </w:tcPr>
          <w:p w14:paraId="1615CEF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B0AA1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D7A63E9" w14:textId="77777777" w:rsidR="00D40151" w:rsidRPr="00873B6C" w:rsidRDefault="00D40151" w:rsidP="009D14FB">
            <w:pPr>
              <w:pStyle w:val="TAL"/>
              <w:rPr>
                <w:sz w:val="16"/>
                <w:szCs w:val="16"/>
              </w:rPr>
            </w:pPr>
            <w:r w:rsidRPr="00873B6C">
              <w:rPr>
                <w:sz w:val="16"/>
                <w:szCs w:val="16"/>
              </w:rPr>
              <w:t>Enhancement on slice interworking--501</w:t>
            </w:r>
          </w:p>
        </w:tc>
        <w:tc>
          <w:tcPr>
            <w:tcW w:w="708" w:type="dxa"/>
            <w:shd w:val="solid" w:color="FFFFFF" w:fill="auto"/>
          </w:tcPr>
          <w:p w14:paraId="3B57D1E3" w14:textId="77777777" w:rsidR="00D40151" w:rsidRPr="00873B6C" w:rsidRDefault="00D40151" w:rsidP="009D14FB">
            <w:pPr>
              <w:pStyle w:val="TAC"/>
              <w:rPr>
                <w:b/>
                <w:sz w:val="16"/>
                <w:szCs w:val="16"/>
              </w:rPr>
            </w:pPr>
            <w:r w:rsidRPr="00873B6C">
              <w:rPr>
                <w:b/>
                <w:sz w:val="16"/>
                <w:szCs w:val="16"/>
              </w:rPr>
              <w:t>16.0.0</w:t>
            </w:r>
          </w:p>
        </w:tc>
      </w:tr>
      <w:tr w:rsidR="00D40151" w:rsidRPr="00873B6C" w14:paraId="392ED99C" w14:textId="77777777" w:rsidTr="009D14FB">
        <w:tc>
          <w:tcPr>
            <w:tcW w:w="800" w:type="dxa"/>
            <w:shd w:val="solid" w:color="FFFFFF" w:fill="auto"/>
          </w:tcPr>
          <w:p w14:paraId="4CE2FA8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AB271A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ABECE42" w14:textId="77777777" w:rsidR="00D40151" w:rsidRPr="00873B6C" w:rsidRDefault="00D40151" w:rsidP="009D14FB">
            <w:pPr>
              <w:pStyle w:val="TAC"/>
              <w:rPr>
                <w:sz w:val="16"/>
                <w:szCs w:val="16"/>
              </w:rPr>
            </w:pPr>
            <w:r w:rsidRPr="00873B6C">
              <w:rPr>
                <w:sz w:val="16"/>
                <w:szCs w:val="16"/>
              </w:rPr>
              <w:t>SP-190162</w:t>
            </w:r>
          </w:p>
        </w:tc>
        <w:tc>
          <w:tcPr>
            <w:tcW w:w="567" w:type="dxa"/>
            <w:shd w:val="solid" w:color="FFFFFF" w:fill="auto"/>
          </w:tcPr>
          <w:p w14:paraId="34FBBBD4" w14:textId="77777777" w:rsidR="00D40151" w:rsidRPr="00873B6C" w:rsidRDefault="00D40151" w:rsidP="009D14FB">
            <w:pPr>
              <w:pStyle w:val="TAL"/>
              <w:rPr>
                <w:sz w:val="16"/>
                <w:szCs w:val="16"/>
              </w:rPr>
            </w:pPr>
            <w:r w:rsidRPr="00873B6C">
              <w:rPr>
                <w:sz w:val="16"/>
                <w:szCs w:val="16"/>
              </w:rPr>
              <w:t>0859</w:t>
            </w:r>
          </w:p>
        </w:tc>
        <w:tc>
          <w:tcPr>
            <w:tcW w:w="425" w:type="dxa"/>
            <w:shd w:val="solid" w:color="FFFFFF" w:fill="auto"/>
          </w:tcPr>
          <w:p w14:paraId="3861858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4CCA9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D04B2F5" w14:textId="77777777" w:rsidR="00D40151" w:rsidRPr="00873B6C" w:rsidRDefault="00D40151" w:rsidP="009D14FB">
            <w:pPr>
              <w:pStyle w:val="TAL"/>
              <w:rPr>
                <w:sz w:val="16"/>
                <w:szCs w:val="16"/>
              </w:rPr>
            </w:pPr>
            <w:r w:rsidRPr="00873B6C">
              <w:rPr>
                <w:sz w:val="16"/>
                <w:szCs w:val="16"/>
              </w:rPr>
              <w:t>Adding 5G SRVCC description to 23.501</w:t>
            </w:r>
          </w:p>
        </w:tc>
        <w:tc>
          <w:tcPr>
            <w:tcW w:w="708" w:type="dxa"/>
            <w:shd w:val="solid" w:color="FFFFFF" w:fill="auto"/>
          </w:tcPr>
          <w:p w14:paraId="6852525E" w14:textId="77777777" w:rsidR="00D40151" w:rsidRPr="00873B6C" w:rsidRDefault="00D40151" w:rsidP="009D14FB">
            <w:pPr>
              <w:pStyle w:val="TAC"/>
              <w:rPr>
                <w:b/>
                <w:sz w:val="16"/>
                <w:szCs w:val="16"/>
              </w:rPr>
            </w:pPr>
            <w:r w:rsidRPr="00873B6C">
              <w:rPr>
                <w:b/>
                <w:sz w:val="16"/>
                <w:szCs w:val="16"/>
              </w:rPr>
              <w:t>16.0.0</w:t>
            </w:r>
          </w:p>
        </w:tc>
      </w:tr>
      <w:tr w:rsidR="00D40151" w:rsidRPr="00873B6C" w14:paraId="454F6DD6" w14:textId="77777777" w:rsidTr="009D14FB">
        <w:tc>
          <w:tcPr>
            <w:tcW w:w="800" w:type="dxa"/>
            <w:shd w:val="solid" w:color="FFFFFF" w:fill="auto"/>
          </w:tcPr>
          <w:p w14:paraId="555EFA0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7A9EB6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CB7BB1D"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7F91F6F6" w14:textId="77777777" w:rsidR="00D40151" w:rsidRPr="00873B6C" w:rsidRDefault="00D40151" w:rsidP="009D14FB">
            <w:pPr>
              <w:pStyle w:val="TAL"/>
              <w:rPr>
                <w:sz w:val="16"/>
                <w:szCs w:val="16"/>
              </w:rPr>
            </w:pPr>
            <w:r w:rsidRPr="00873B6C">
              <w:rPr>
                <w:sz w:val="16"/>
                <w:szCs w:val="16"/>
              </w:rPr>
              <w:t>0862</w:t>
            </w:r>
          </w:p>
        </w:tc>
        <w:tc>
          <w:tcPr>
            <w:tcW w:w="425" w:type="dxa"/>
            <w:shd w:val="solid" w:color="FFFFFF" w:fill="auto"/>
          </w:tcPr>
          <w:p w14:paraId="1DBC3ABF"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5926832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5818FB6" w14:textId="77777777" w:rsidR="00D40151" w:rsidRPr="00873B6C" w:rsidRDefault="00D40151" w:rsidP="009D14FB">
            <w:pPr>
              <w:pStyle w:val="TAL"/>
              <w:rPr>
                <w:sz w:val="16"/>
                <w:szCs w:val="16"/>
              </w:rPr>
            </w:pPr>
            <w:r w:rsidRPr="00873B6C">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873B6C" w:rsidRDefault="00D40151" w:rsidP="009D14FB">
            <w:pPr>
              <w:pStyle w:val="TAC"/>
              <w:rPr>
                <w:b/>
                <w:sz w:val="16"/>
                <w:szCs w:val="16"/>
              </w:rPr>
            </w:pPr>
            <w:r w:rsidRPr="00873B6C">
              <w:rPr>
                <w:b/>
                <w:sz w:val="16"/>
                <w:szCs w:val="16"/>
              </w:rPr>
              <w:t>16.0.0</w:t>
            </w:r>
          </w:p>
        </w:tc>
      </w:tr>
      <w:tr w:rsidR="00D40151" w:rsidRPr="00873B6C" w14:paraId="392D9D09" w14:textId="77777777" w:rsidTr="009D14FB">
        <w:tc>
          <w:tcPr>
            <w:tcW w:w="800" w:type="dxa"/>
            <w:shd w:val="solid" w:color="FFFFFF" w:fill="auto"/>
          </w:tcPr>
          <w:p w14:paraId="1335733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49137C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216B03A"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4B738B78" w14:textId="77777777" w:rsidR="00D40151" w:rsidRPr="00873B6C" w:rsidRDefault="00D40151" w:rsidP="009D14FB">
            <w:pPr>
              <w:pStyle w:val="TAL"/>
              <w:rPr>
                <w:sz w:val="16"/>
                <w:szCs w:val="16"/>
              </w:rPr>
            </w:pPr>
            <w:r w:rsidRPr="00873B6C">
              <w:rPr>
                <w:sz w:val="16"/>
                <w:szCs w:val="16"/>
              </w:rPr>
              <w:t>0863</w:t>
            </w:r>
          </w:p>
        </w:tc>
        <w:tc>
          <w:tcPr>
            <w:tcW w:w="425" w:type="dxa"/>
            <w:shd w:val="solid" w:color="FFFFFF" w:fill="auto"/>
          </w:tcPr>
          <w:p w14:paraId="2ABA51BD"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48DE7CA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A60E6F7" w14:textId="77777777" w:rsidR="00D40151" w:rsidRPr="00873B6C" w:rsidRDefault="00D40151" w:rsidP="009D14FB">
            <w:pPr>
              <w:pStyle w:val="TAL"/>
              <w:rPr>
                <w:sz w:val="16"/>
                <w:szCs w:val="16"/>
              </w:rPr>
            </w:pPr>
            <w:r w:rsidRPr="00873B6C">
              <w:rPr>
                <w:sz w:val="16"/>
                <w:szCs w:val="16"/>
              </w:rPr>
              <w:t xml:space="preserve">Architecture and reference points for Wireline AN </w:t>
            </w:r>
          </w:p>
        </w:tc>
        <w:tc>
          <w:tcPr>
            <w:tcW w:w="708" w:type="dxa"/>
            <w:shd w:val="solid" w:color="FFFFFF" w:fill="auto"/>
          </w:tcPr>
          <w:p w14:paraId="12895279" w14:textId="77777777" w:rsidR="00D40151" w:rsidRPr="00873B6C" w:rsidRDefault="00D40151" w:rsidP="009D14FB">
            <w:pPr>
              <w:pStyle w:val="TAC"/>
              <w:rPr>
                <w:b/>
                <w:sz w:val="16"/>
                <w:szCs w:val="16"/>
              </w:rPr>
            </w:pPr>
            <w:r w:rsidRPr="00873B6C">
              <w:rPr>
                <w:b/>
                <w:sz w:val="16"/>
                <w:szCs w:val="16"/>
              </w:rPr>
              <w:t>16.0.0</w:t>
            </w:r>
          </w:p>
        </w:tc>
      </w:tr>
      <w:tr w:rsidR="00D40151" w:rsidRPr="00873B6C" w14:paraId="589A86A9" w14:textId="77777777" w:rsidTr="009D14FB">
        <w:tc>
          <w:tcPr>
            <w:tcW w:w="800" w:type="dxa"/>
            <w:shd w:val="solid" w:color="FFFFFF" w:fill="auto"/>
          </w:tcPr>
          <w:p w14:paraId="25EE3B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F5F718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B930A47"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62FE3582" w14:textId="77777777" w:rsidR="00D40151" w:rsidRPr="00873B6C" w:rsidRDefault="00D40151" w:rsidP="009D14FB">
            <w:pPr>
              <w:pStyle w:val="TAL"/>
              <w:rPr>
                <w:sz w:val="16"/>
                <w:szCs w:val="16"/>
              </w:rPr>
            </w:pPr>
            <w:r w:rsidRPr="00873B6C">
              <w:rPr>
                <w:sz w:val="16"/>
                <w:szCs w:val="16"/>
              </w:rPr>
              <w:t>0866</w:t>
            </w:r>
          </w:p>
        </w:tc>
        <w:tc>
          <w:tcPr>
            <w:tcW w:w="425" w:type="dxa"/>
            <w:shd w:val="solid" w:color="FFFFFF" w:fill="auto"/>
          </w:tcPr>
          <w:p w14:paraId="4D57B5C2"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8E4C5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B6BE4F9" w14:textId="77777777" w:rsidR="00D40151" w:rsidRPr="00873B6C" w:rsidRDefault="00D40151" w:rsidP="009D14FB">
            <w:pPr>
              <w:pStyle w:val="TAL"/>
              <w:rPr>
                <w:sz w:val="16"/>
                <w:szCs w:val="16"/>
              </w:rPr>
            </w:pPr>
            <w:r w:rsidRPr="00873B6C">
              <w:rPr>
                <w:sz w:val="16"/>
                <w:szCs w:val="16"/>
              </w:rPr>
              <w:t>Clarification of RM and CM for 5G-RG</w:t>
            </w:r>
          </w:p>
        </w:tc>
        <w:tc>
          <w:tcPr>
            <w:tcW w:w="708" w:type="dxa"/>
            <w:shd w:val="solid" w:color="FFFFFF" w:fill="auto"/>
          </w:tcPr>
          <w:p w14:paraId="353BF7B4" w14:textId="77777777" w:rsidR="00D40151" w:rsidRPr="00873B6C" w:rsidRDefault="00D40151" w:rsidP="009D14FB">
            <w:pPr>
              <w:pStyle w:val="TAC"/>
              <w:rPr>
                <w:b/>
                <w:sz w:val="16"/>
                <w:szCs w:val="16"/>
              </w:rPr>
            </w:pPr>
            <w:r w:rsidRPr="00873B6C">
              <w:rPr>
                <w:b/>
                <w:sz w:val="16"/>
                <w:szCs w:val="16"/>
              </w:rPr>
              <w:t>16.0.0</w:t>
            </w:r>
          </w:p>
        </w:tc>
      </w:tr>
      <w:tr w:rsidR="00D40151" w:rsidRPr="00873B6C" w14:paraId="5EE4BB9B" w14:textId="77777777" w:rsidTr="009D14FB">
        <w:tc>
          <w:tcPr>
            <w:tcW w:w="800" w:type="dxa"/>
            <w:shd w:val="solid" w:color="FFFFFF" w:fill="auto"/>
          </w:tcPr>
          <w:p w14:paraId="3B2CEC2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56D013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1D57647"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75273198" w14:textId="77777777" w:rsidR="00D40151" w:rsidRPr="00873B6C" w:rsidRDefault="00D40151" w:rsidP="009D14FB">
            <w:pPr>
              <w:pStyle w:val="TAL"/>
              <w:rPr>
                <w:sz w:val="16"/>
                <w:szCs w:val="16"/>
              </w:rPr>
            </w:pPr>
            <w:r w:rsidRPr="00873B6C">
              <w:rPr>
                <w:sz w:val="16"/>
                <w:szCs w:val="16"/>
              </w:rPr>
              <w:t>0870</w:t>
            </w:r>
          </w:p>
        </w:tc>
        <w:tc>
          <w:tcPr>
            <w:tcW w:w="425" w:type="dxa"/>
            <w:shd w:val="solid" w:color="FFFFFF" w:fill="auto"/>
          </w:tcPr>
          <w:p w14:paraId="7BA6901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FF2236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7454C62" w14:textId="77777777" w:rsidR="00D40151" w:rsidRPr="00873B6C" w:rsidRDefault="00D40151" w:rsidP="009D14FB">
            <w:pPr>
              <w:pStyle w:val="TAL"/>
              <w:rPr>
                <w:sz w:val="16"/>
                <w:szCs w:val="16"/>
              </w:rPr>
            </w:pPr>
            <w:r w:rsidRPr="00873B6C">
              <w:rPr>
                <w:sz w:val="16"/>
                <w:szCs w:val="16"/>
              </w:rPr>
              <w:t>TSC definitions</w:t>
            </w:r>
          </w:p>
        </w:tc>
        <w:tc>
          <w:tcPr>
            <w:tcW w:w="708" w:type="dxa"/>
            <w:shd w:val="solid" w:color="FFFFFF" w:fill="auto"/>
          </w:tcPr>
          <w:p w14:paraId="48903241" w14:textId="77777777" w:rsidR="00D40151" w:rsidRPr="00873B6C" w:rsidRDefault="00D40151" w:rsidP="009D14FB">
            <w:pPr>
              <w:pStyle w:val="TAC"/>
              <w:rPr>
                <w:b/>
                <w:sz w:val="16"/>
                <w:szCs w:val="16"/>
              </w:rPr>
            </w:pPr>
            <w:r w:rsidRPr="00873B6C">
              <w:rPr>
                <w:b/>
                <w:sz w:val="16"/>
                <w:szCs w:val="16"/>
              </w:rPr>
              <w:t>16.0.0</w:t>
            </w:r>
          </w:p>
        </w:tc>
      </w:tr>
      <w:tr w:rsidR="00D40151" w:rsidRPr="00873B6C" w14:paraId="24B15D3D" w14:textId="77777777" w:rsidTr="009D14FB">
        <w:tc>
          <w:tcPr>
            <w:tcW w:w="800" w:type="dxa"/>
            <w:shd w:val="solid" w:color="FFFFFF" w:fill="auto"/>
          </w:tcPr>
          <w:p w14:paraId="07FE1AE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A5AD17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923330D"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666A4B9E" w14:textId="77777777" w:rsidR="00D40151" w:rsidRPr="00873B6C" w:rsidRDefault="00D40151" w:rsidP="009D14FB">
            <w:pPr>
              <w:pStyle w:val="TAL"/>
              <w:rPr>
                <w:sz w:val="16"/>
                <w:szCs w:val="16"/>
              </w:rPr>
            </w:pPr>
            <w:r w:rsidRPr="00873B6C">
              <w:rPr>
                <w:sz w:val="16"/>
                <w:szCs w:val="16"/>
              </w:rPr>
              <w:t>0871</w:t>
            </w:r>
          </w:p>
        </w:tc>
        <w:tc>
          <w:tcPr>
            <w:tcW w:w="425" w:type="dxa"/>
            <w:shd w:val="solid" w:color="FFFFFF" w:fill="auto"/>
          </w:tcPr>
          <w:p w14:paraId="16E3DAB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E49A08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9A027EC" w14:textId="77777777" w:rsidR="00D40151" w:rsidRPr="00873B6C" w:rsidRDefault="00D40151" w:rsidP="009D14FB">
            <w:pPr>
              <w:pStyle w:val="TAL"/>
              <w:rPr>
                <w:sz w:val="16"/>
                <w:szCs w:val="16"/>
              </w:rPr>
            </w:pPr>
            <w:r w:rsidRPr="00873B6C">
              <w:rPr>
                <w:sz w:val="16"/>
                <w:szCs w:val="16"/>
              </w:rPr>
              <w:t>TSC Architecture</w:t>
            </w:r>
          </w:p>
        </w:tc>
        <w:tc>
          <w:tcPr>
            <w:tcW w:w="708" w:type="dxa"/>
            <w:shd w:val="solid" w:color="FFFFFF" w:fill="auto"/>
          </w:tcPr>
          <w:p w14:paraId="00284A27" w14:textId="77777777" w:rsidR="00D40151" w:rsidRPr="00873B6C" w:rsidRDefault="00D40151" w:rsidP="009D14FB">
            <w:pPr>
              <w:pStyle w:val="TAC"/>
              <w:rPr>
                <w:b/>
                <w:sz w:val="16"/>
                <w:szCs w:val="16"/>
              </w:rPr>
            </w:pPr>
            <w:r w:rsidRPr="00873B6C">
              <w:rPr>
                <w:b/>
                <w:sz w:val="16"/>
                <w:szCs w:val="16"/>
              </w:rPr>
              <w:t>16.0.0</w:t>
            </w:r>
          </w:p>
        </w:tc>
      </w:tr>
      <w:tr w:rsidR="00D40151" w:rsidRPr="00873B6C" w14:paraId="5EA4199E" w14:textId="77777777" w:rsidTr="009D14FB">
        <w:tc>
          <w:tcPr>
            <w:tcW w:w="800" w:type="dxa"/>
            <w:shd w:val="solid" w:color="FFFFFF" w:fill="auto"/>
          </w:tcPr>
          <w:p w14:paraId="4352A0F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3F4ECC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62B9295"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00A3629B" w14:textId="77777777" w:rsidR="00D40151" w:rsidRPr="00873B6C" w:rsidRDefault="00D40151" w:rsidP="009D14FB">
            <w:pPr>
              <w:pStyle w:val="TAL"/>
              <w:rPr>
                <w:sz w:val="16"/>
                <w:szCs w:val="16"/>
              </w:rPr>
            </w:pPr>
            <w:r w:rsidRPr="00873B6C">
              <w:rPr>
                <w:sz w:val="16"/>
                <w:szCs w:val="16"/>
              </w:rPr>
              <w:t>0873</w:t>
            </w:r>
          </w:p>
        </w:tc>
        <w:tc>
          <w:tcPr>
            <w:tcW w:w="425" w:type="dxa"/>
            <w:shd w:val="solid" w:color="FFFFFF" w:fill="auto"/>
          </w:tcPr>
          <w:p w14:paraId="170A8D2F"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0AD6F26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31D6251" w14:textId="77777777" w:rsidR="00D40151" w:rsidRPr="00873B6C" w:rsidRDefault="00D40151" w:rsidP="009D14FB">
            <w:pPr>
              <w:pStyle w:val="TAL"/>
              <w:rPr>
                <w:sz w:val="16"/>
                <w:szCs w:val="16"/>
              </w:rPr>
            </w:pPr>
            <w:r w:rsidRPr="00873B6C">
              <w:rPr>
                <w:sz w:val="16"/>
                <w:szCs w:val="16"/>
              </w:rPr>
              <w:t>eSBA communication schema co-existence</w:t>
            </w:r>
          </w:p>
        </w:tc>
        <w:tc>
          <w:tcPr>
            <w:tcW w:w="708" w:type="dxa"/>
            <w:shd w:val="solid" w:color="FFFFFF" w:fill="auto"/>
          </w:tcPr>
          <w:p w14:paraId="4951B546" w14:textId="77777777" w:rsidR="00D40151" w:rsidRPr="00873B6C" w:rsidRDefault="00D40151" w:rsidP="009D14FB">
            <w:pPr>
              <w:pStyle w:val="TAC"/>
              <w:rPr>
                <w:b/>
                <w:sz w:val="16"/>
                <w:szCs w:val="16"/>
              </w:rPr>
            </w:pPr>
            <w:r w:rsidRPr="00873B6C">
              <w:rPr>
                <w:b/>
                <w:sz w:val="16"/>
                <w:szCs w:val="16"/>
              </w:rPr>
              <w:t>16.0.0</w:t>
            </w:r>
          </w:p>
        </w:tc>
      </w:tr>
      <w:tr w:rsidR="00D40151" w:rsidRPr="00873B6C" w14:paraId="3E110A0F" w14:textId="77777777" w:rsidTr="009D14FB">
        <w:tc>
          <w:tcPr>
            <w:tcW w:w="800" w:type="dxa"/>
            <w:shd w:val="solid" w:color="FFFFFF" w:fill="auto"/>
          </w:tcPr>
          <w:p w14:paraId="58779E6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004FE1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A944099" w14:textId="77777777" w:rsidR="00D40151" w:rsidRPr="00873B6C" w:rsidRDefault="00D40151" w:rsidP="009D14FB">
            <w:pPr>
              <w:pStyle w:val="TAC"/>
              <w:rPr>
                <w:sz w:val="16"/>
                <w:szCs w:val="16"/>
              </w:rPr>
            </w:pPr>
            <w:r w:rsidRPr="00873B6C">
              <w:rPr>
                <w:sz w:val="16"/>
                <w:szCs w:val="16"/>
              </w:rPr>
              <w:t>SP-190170</w:t>
            </w:r>
          </w:p>
        </w:tc>
        <w:tc>
          <w:tcPr>
            <w:tcW w:w="567" w:type="dxa"/>
            <w:shd w:val="solid" w:color="FFFFFF" w:fill="auto"/>
          </w:tcPr>
          <w:p w14:paraId="047F06AD" w14:textId="77777777" w:rsidR="00D40151" w:rsidRPr="00873B6C" w:rsidRDefault="00D40151" w:rsidP="009D14FB">
            <w:pPr>
              <w:pStyle w:val="TAL"/>
              <w:rPr>
                <w:sz w:val="16"/>
                <w:szCs w:val="16"/>
              </w:rPr>
            </w:pPr>
            <w:r w:rsidRPr="00873B6C">
              <w:rPr>
                <w:sz w:val="16"/>
                <w:szCs w:val="16"/>
              </w:rPr>
              <w:t>0878</w:t>
            </w:r>
          </w:p>
        </w:tc>
        <w:tc>
          <w:tcPr>
            <w:tcW w:w="425" w:type="dxa"/>
            <w:shd w:val="solid" w:color="FFFFFF" w:fill="auto"/>
          </w:tcPr>
          <w:p w14:paraId="182FDB1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EF3C1D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8602474" w14:textId="77777777" w:rsidR="00D40151" w:rsidRPr="00873B6C" w:rsidRDefault="00D40151" w:rsidP="009D14FB">
            <w:pPr>
              <w:pStyle w:val="TAL"/>
              <w:rPr>
                <w:sz w:val="16"/>
                <w:szCs w:val="16"/>
              </w:rPr>
            </w:pPr>
            <w:r w:rsidRPr="00873B6C">
              <w:rPr>
                <w:sz w:val="16"/>
                <w:szCs w:val="16"/>
              </w:rPr>
              <w:t>NEF service for service specific parameter provisioning</w:t>
            </w:r>
          </w:p>
        </w:tc>
        <w:tc>
          <w:tcPr>
            <w:tcW w:w="708" w:type="dxa"/>
            <w:shd w:val="solid" w:color="FFFFFF" w:fill="auto"/>
          </w:tcPr>
          <w:p w14:paraId="4B635DC4" w14:textId="77777777" w:rsidR="00D40151" w:rsidRPr="00873B6C" w:rsidRDefault="00D40151" w:rsidP="009D14FB">
            <w:pPr>
              <w:pStyle w:val="TAC"/>
              <w:rPr>
                <w:b/>
                <w:sz w:val="16"/>
                <w:szCs w:val="16"/>
              </w:rPr>
            </w:pPr>
            <w:r w:rsidRPr="00873B6C">
              <w:rPr>
                <w:b/>
                <w:sz w:val="16"/>
                <w:szCs w:val="16"/>
              </w:rPr>
              <w:t>16.0.0</w:t>
            </w:r>
          </w:p>
        </w:tc>
      </w:tr>
      <w:tr w:rsidR="00D40151" w:rsidRPr="00873B6C" w14:paraId="6CA095D2" w14:textId="77777777" w:rsidTr="009D14FB">
        <w:tc>
          <w:tcPr>
            <w:tcW w:w="800" w:type="dxa"/>
            <w:shd w:val="solid" w:color="FFFFFF" w:fill="auto"/>
          </w:tcPr>
          <w:p w14:paraId="2EBBC3D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45488C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A116382"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38236B3D" w14:textId="77777777" w:rsidR="00D40151" w:rsidRPr="00873B6C" w:rsidRDefault="00D40151" w:rsidP="009D14FB">
            <w:pPr>
              <w:pStyle w:val="TAL"/>
              <w:rPr>
                <w:sz w:val="16"/>
                <w:szCs w:val="16"/>
              </w:rPr>
            </w:pPr>
            <w:r w:rsidRPr="00873B6C">
              <w:rPr>
                <w:sz w:val="16"/>
                <w:szCs w:val="16"/>
              </w:rPr>
              <w:t>0886</w:t>
            </w:r>
          </w:p>
        </w:tc>
        <w:tc>
          <w:tcPr>
            <w:tcW w:w="425" w:type="dxa"/>
            <w:shd w:val="solid" w:color="FFFFFF" w:fill="auto"/>
          </w:tcPr>
          <w:p w14:paraId="41D5C40C"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40CEE5B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C505448" w14:textId="77777777" w:rsidR="00D40151" w:rsidRPr="00873B6C" w:rsidRDefault="00D40151" w:rsidP="009D14FB">
            <w:pPr>
              <w:pStyle w:val="TAL"/>
              <w:rPr>
                <w:sz w:val="16"/>
                <w:szCs w:val="16"/>
              </w:rPr>
            </w:pPr>
            <w:r w:rsidRPr="00873B6C">
              <w:rPr>
                <w:sz w:val="16"/>
                <w:szCs w:val="16"/>
              </w:rPr>
              <w:t>Introduction for solution 14 to key issue 9</w:t>
            </w:r>
          </w:p>
        </w:tc>
        <w:tc>
          <w:tcPr>
            <w:tcW w:w="708" w:type="dxa"/>
            <w:shd w:val="solid" w:color="FFFFFF" w:fill="auto"/>
          </w:tcPr>
          <w:p w14:paraId="10BE3915" w14:textId="77777777" w:rsidR="00D40151" w:rsidRPr="00873B6C" w:rsidRDefault="00D40151" w:rsidP="009D14FB">
            <w:pPr>
              <w:pStyle w:val="TAC"/>
              <w:rPr>
                <w:b/>
                <w:sz w:val="16"/>
                <w:szCs w:val="16"/>
              </w:rPr>
            </w:pPr>
            <w:r w:rsidRPr="00873B6C">
              <w:rPr>
                <w:b/>
                <w:sz w:val="16"/>
                <w:szCs w:val="16"/>
              </w:rPr>
              <w:t>16.0.0</w:t>
            </w:r>
          </w:p>
        </w:tc>
      </w:tr>
      <w:tr w:rsidR="00D40151" w:rsidRPr="00873B6C" w14:paraId="66121BA3" w14:textId="77777777" w:rsidTr="009D14FB">
        <w:tc>
          <w:tcPr>
            <w:tcW w:w="800" w:type="dxa"/>
            <w:shd w:val="solid" w:color="FFFFFF" w:fill="auto"/>
          </w:tcPr>
          <w:p w14:paraId="67A0862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447A9E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C4D3EE3"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5A7240A3" w14:textId="77777777" w:rsidR="00D40151" w:rsidRPr="00873B6C" w:rsidRDefault="00D40151" w:rsidP="009D14FB">
            <w:pPr>
              <w:pStyle w:val="TAL"/>
              <w:rPr>
                <w:sz w:val="16"/>
                <w:szCs w:val="16"/>
              </w:rPr>
            </w:pPr>
            <w:r w:rsidRPr="00873B6C">
              <w:rPr>
                <w:sz w:val="16"/>
                <w:szCs w:val="16"/>
              </w:rPr>
              <w:t>0897</w:t>
            </w:r>
          </w:p>
        </w:tc>
        <w:tc>
          <w:tcPr>
            <w:tcW w:w="425" w:type="dxa"/>
            <w:shd w:val="solid" w:color="FFFFFF" w:fill="auto"/>
          </w:tcPr>
          <w:p w14:paraId="6C269391"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1EF8002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B2B00AF" w14:textId="77777777" w:rsidR="00D40151" w:rsidRPr="00873B6C" w:rsidRDefault="00D40151" w:rsidP="009D14FB">
            <w:pPr>
              <w:pStyle w:val="TAL"/>
              <w:rPr>
                <w:sz w:val="16"/>
                <w:szCs w:val="16"/>
              </w:rPr>
            </w:pPr>
            <w:r w:rsidRPr="00873B6C">
              <w:rPr>
                <w:sz w:val="16"/>
                <w:szCs w:val="16"/>
              </w:rPr>
              <w:t>Sol#6 specific updates to 5.6.4.2</w:t>
            </w:r>
          </w:p>
        </w:tc>
        <w:tc>
          <w:tcPr>
            <w:tcW w:w="708" w:type="dxa"/>
            <w:shd w:val="solid" w:color="FFFFFF" w:fill="auto"/>
          </w:tcPr>
          <w:p w14:paraId="2BC6009C" w14:textId="77777777" w:rsidR="00D40151" w:rsidRPr="00873B6C" w:rsidRDefault="00D40151" w:rsidP="009D14FB">
            <w:pPr>
              <w:pStyle w:val="TAC"/>
              <w:rPr>
                <w:b/>
                <w:sz w:val="16"/>
                <w:szCs w:val="16"/>
              </w:rPr>
            </w:pPr>
            <w:r w:rsidRPr="00873B6C">
              <w:rPr>
                <w:b/>
                <w:sz w:val="16"/>
                <w:szCs w:val="16"/>
              </w:rPr>
              <w:t>16.0.0</w:t>
            </w:r>
          </w:p>
        </w:tc>
      </w:tr>
      <w:tr w:rsidR="00D40151" w:rsidRPr="00873B6C" w14:paraId="397F3B2E" w14:textId="77777777" w:rsidTr="009D14FB">
        <w:tc>
          <w:tcPr>
            <w:tcW w:w="800" w:type="dxa"/>
            <w:shd w:val="solid" w:color="FFFFFF" w:fill="auto"/>
          </w:tcPr>
          <w:p w14:paraId="5FBB3A8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CC1C9C7"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166A49F"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9C62C9E" w14:textId="77777777" w:rsidR="00D40151" w:rsidRPr="00873B6C" w:rsidRDefault="00D40151" w:rsidP="009D14FB">
            <w:pPr>
              <w:pStyle w:val="TAL"/>
              <w:rPr>
                <w:sz w:val="16"/>
                <w:szCs w:val="16"/>
              </w:rPr>
            </w:pPr>
            <w:r w:rsidRPr="00873B6C">
              <w:rPr>
                <w:sz w:val="16"/>
                <w:szCs w:val="16"/>
              </w:rPr>
              <w:t>0898</w:t>
            </w:r>
          </w:p>
        </w:tc>
        <w:tc>
          <w:tcPr>
            <w:tcW w:w="425" w:type="dxa"/>
            <w:shd w:val="solid" w:color="FFFFFF" w:fill="auto"/>
          </w:tcPr>
          <w:p w14:paraId="42AAA6D4"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7CEEF8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8C8DA93" w14:textId="77777777" w:rsidR="00D40151" w:rsidRPr="00873B6C" w:rsidRDefault="00D40151" w:rsidP="009D14FB">
            <w:pPr>
              <w:pStyle w:val="TAL"/>
              <w:rPr>
                <w:sz w:val="16"/>
                <w:szCs w:val="16"/>
              </w:rPr>
            </w:pPr>
            <w:r w:rsidRPr="00873B6C">
              <w:rPr>
                <w:sz w:val="16"/>
                <w:szCs w:val="16"/>
              </w:rPr>
              <w:t>External parameters provisioning to the 5GS</w:t>
            </w:r>
          </w:p>
        </w:tc>
        <w:tc>
          <w:tcPr>
            <w:tcW w:w="708" w:type="dxa"/>
            <w:shd w:val="solid" w:color="FFFFFF" w:fill="auto"/>
          </w:tcPr>
          <w:p w14:paraId="5C7617E3" w14:textId="77777777" w:rsidR="00D40151" w:rsidRPr="00873B6C" w:rsidRDefault="00D40151" w:rsidP="009D14FB">
            <w:pPr>
              <w:pStyle w:val="TAC"/>
              <w:rPr>
                <w:b/>
                <w:sz w:val="16"/>
                <w:szCs w:val="16"/>
              </w:rPr>
            </w:pPr>
            <w:r w:rsidRPr="00873B6C">
              <w:rPr>
                <w:b/>
                <w:sz w:val="16"/>
                <w:szCs w:val="16"/>
              </w:rPr>
              <w:t>16.0.0</w:t>
            </w:r>
          </w:p>
        </w:tc>
      </w:tr>
      <w:tr w:rsidR="00D40151" w:rsidRPr="00873B6C" w14:paraId="62FADA8D" w14:textId="77777777" w:rsidTr="009D14FB">
        <w:tc>
          <w:tcPr>
            <w:tcW w:w="800" w:type="dxa"/>
            <w:shd w:val="solid" w:color="FFFFFF" w:fill="auto"/>
          </w:tcPr>
          <w:p w14:paraId="610E13C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419786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02C1F32"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07B581AE" w14:textId="77777777" w:rsidR="00D40151" w:rsidRPr="00873B6C" w:rsidRDefault="00D40151" w:rsidP="009D14FB">
            <w:pPr>
              <w:pStyle w:val="TAL"/>
              <w:rPr>
                <w:sz w:val="16"/>
                <w:szCs w:val="16"/>
              </w:rPr>
            </w:pPr>
            <w:r w:rsidRPr="00873B6C">
              <w:rPr>
                <w:sz w:val="16"/>
                <w:szCs w:val="16"/>
              </w:rPr>
              <w:t>0899</w:t>
            </w:r>
          </w:p>
        </w:tc>
        <w:tc>
          <w:tcPr>
            <w:tcW w:w="425" w:type="dxa"/>
            <w:shd w:val="solid" w:color="FFFFFF" w:fill="auto"/>
          </w:tcPr>
          <w:p w14:paraId="593CB2B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A22E9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0E32615" w14:textId="77777777" w:rsidR="00D40151" w:rsidRPr="00873B6C" w:rsidRDefault="00D40151" w:rsidP="009D14FB">
            <w:pPr>
              <w:pStyle w:val="TAL"/>
              <w:rPr>
                <w:sz w:val="16"/>
                <w:szCs w:val="16"/>
              </w:rPr>
            </w:pPr>
            <w:r w:rsidRPr="00873B6C">
              <w:rPr>
                <w:sz w:val="16"/>
                <w:szCs w:val="16"/>
              </w:rPr>
              <w:t>Use of analytics for user plane function selection</w:t>
            </w:r>
          </w:p>
        </w:tc>
        <w:tc>
          <w:tcPr>
            <w:tcW w:w="708" w:type="dxa"/>
            <w:shd w:val="solid" w:color="FFFFFF" w:fill="auto"/>
          </w:tcPr>
          <w:p w14:paraId="3538E6CB" w14:textId="77777777" w:rsidR="00D40151" w:rsidRPr="00873B6C" w:rsidRDefault="00D40151" w:rsidP="009D14FB">
            <w:pPr>
              <w:pStyle w:val="TAC"/>
              <w:rPr>
                <w:b/>
                <w:sz w:val="16"/>
                <w:szCs w:val="16"/>
              </w:rPr>
            </w:pPr>
            <w:r w:rsidRPr="00873B6C">
              <w:rPr>
                <w:b/>
                <w:sz w:val="16"/>
                <w:szCs w:val="16"/>
              </w:rPr>
              <w:t>16.0.0</w:t>
            </w:r>
          </w:p>
        </w:tc>
      </w:tr>
      <w:tr w:rsidR="00D40151" w:rsidRPr="00873B6C" w14:paraId="2503FD22" w14:textId="77777777" w:rsidTr="009D14FB">
        <w:tc>
          <w:tcPr>
            <w:tcW w:w="800" w:type="dxa"/>
            <w:shd w:val="solid" w:color="FFFFFF" w:fill="auto"/>
          </w:tcPr>
          <w:p w14:paraId="4C9F47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578E37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9BBB063"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106AA37B" w14:textId="77777777" w:rsidR="00D40151" w:rsidRPr="00873B6C" w:rsidRDefault="00D40151" w:rsidP="009D14FB">
            <w:pPr>
              <w:pStyle w:val="TAL"/>
              <w:rPr>
                <w:sz w:val="16"/>
                <w:szCs w:val="16"/>
              </w:rPr>
            </w:pPr>
            <w:r w:rsidRPr="00873B6C">
              <w:rPr>
                <w:sz w:val="16"/>
                <w:szCs w:val="16"/>
              </w:rPr>
              <w:t>0900</w:t>
            </w:r>
          </w:p>
        </w:tc>
        <w:tc>
          <w:tcPr>
            <w:tcW w:w="425" w:type="dxa"/>
            <w:shd w:val="solid" w:color="FFFFFF" w:fill="auto"/>
          </w:tcPr>
          <w:p w14:paraId="660E4D2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DB3604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580A48E" w14:textId="77777777" w:rsidR="00D40151" w:rsidRPr="00873B6C" w:rsidRDefault="00D40151" w:rsidP="009D14FB">
            <w:pPr>
              <w:pStyle w:val="TAL"/>
              <w:rPr>
                <w:sz w:val="16"/>
                <w:szCs w:val="16"/>
              </w:rPr>
            </w:pPr>
            <w:r w:rsidRPr="00873B6C">
              <w:rPr>
                <w:sz w:val="16"/>
                <w:szCs w:val="16"/>
              </w:rPr>
              <w:t>Use of analytics for UE mobility procedures</w:t>
            </w:r>
          </w:p>
        </w:tc>
        <w:tc>
          <w:tcPr>
            <w:tcW w:w="708" w:type="dxa"/>
            <w:shd w:val="solid" w:color="FFFFFF" w:fill="auto"/>
          </w:tcPr>
          <w:p w14:paraId="6335E0F5" w14:textId="77777777" w:rsidR="00D40151" w:rsidRPr="00873B6C" w:rsidRDefault="00D40151" w:rsidP="009D14FB">
            <w:pPr>
              <w:pStyle w:val="TAC"/>
              <w:rPr>
                <w:b/>
                <w:sz w:val="16"/>
                <w:szCs w:val="16"/>
              </w:rPr>
            </w:pPr>
            <w:r w:rsidRPr="00873B6C">
              <w:rPr>
                <w:b/>
                <w:sz w:val="16"/>
                <w:szCs w:val="16"/>
              </w:rPr>
              <w:t>16.0.0</w:t>
            </w:r>
          </w:p>
        </w:tc>
      </w:tr>
      <w:tr w:rsidR="00D40151" w:rsidRPr="00873B6C" w14:paraId="19013669" w14:textId="77777777" w:rsidTr="009D14FB">
        <w:tc>
          <w:tcPr>
            <w:tcW w:w="800" w:type="dxa"/>
            <w:shd w:val="solid" w:color="FFFFFF" w:fill="auto"/>
          </w:tcPr>
          <w:p w14:paraId="2512CAE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CFFF48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2551112"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747CCF8E" w14:textId="77777777" w:rsidR="00D40151" w:rsidRPr="00873B6C" w:rsidRDefault="00D40151" w:rsidP="009D14FB">
            <w:pPr>
              <w:pStyle w:val="TAL"/>
              <w:rPr>
                <w:sz w:val="16"/>
                <w:szCs w:val="16"/>
              </w:rPr>
            </w:pPr>
            <w:r w:rsidRPr="00873B6C">
              <w:rPr>
                <w:sz w:val="16"/>
                <w:szCs w:val="16"/>
              </w:rPr>
              <w:t>0909</w:t>
            </w:r>
          </w:p>
        </w:tc>
        <w:tc>
          <w:tcPr>
            <w:tcW w:w="425" w:type="dxa"/>
            <w:shd w:val="solid" w:color="FFFFFF" w:fill="auto"/>
          </w:tcPr>
          <w:p w14:paraId="733369A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66826D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4A61E55" w14:textId="77777777" w:rsidR="00D40151" w:rsidRPr="00873B6C" w:rsidRDefault="00D40151" w:rsidP="009D14FB">
            <w:pPr>
              <w:pStyle w:val="TAL"/>
              <w:rPr>
                <w:sz w:val="16"/>
                <w:szCs w:val="16"/>
              </w:rPr>
            </w:pPr>
            <w:r w:rsidRPr="00873B6C">
              <w:rPr>
                <w:sz w:val="16"/>
                <w:szCs w:val="16"/>
              </w:rPr>
              <w:t>Control of traffic forwarding in 5G-LAN</w:t>
            </w:r>
          </w:p>
        </w:tc>
        <w:tc>
          <w:tcPr>
            <w:tcW w:w="708" w:type="dxa"/>
            <w:shd w:val="solid" w:color="FFFFFF" w:fill="auto"/>
          </w:tcPr>
          <w:p w14:paraId="63E666C3" w14:textId="77777777" w:rsidR="00D40151" w:rsidRPr="00873B6C" w:rsidRDefault="00D40151" w:rsidP="009D14FB">
            <w:pPr>
              <w:pStyle w:val="TAC"/>
              <w:rPr>
                <w:b/>
                <w:sz w:val="16"/>
                <w:szCs w:val="16"/>
              </w:rPr>
            </w:pPr>
            <w:r w:rsidRPr="00873B6C">
              <w:rPr>
                <w:b/>
                <w:sz w:val="16"/>
                <w:szCs w:val="16"/>
              </w:rPr>
              <w:t>16.0.0</w:t>
            </w:r>
          </w:p>
        </w:tc>
      </w:tr>
      <w:tr w:rsidR="00D40151" w:rsidRPr="00873B6C" w14:paraId="0DD5368C" w14:textId="77777777" w:rsidTr="009D14FB">
        <w:tc>
          <w:tcPr>
            <w:tcW w:w="800" w:type="dxa"/>
            <w:shd w:val="solid" w:color="FFFFFF" w:fill="auto"/>
          </w:tcPr>
          <w:p w14:paraId="5E911F6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06D9FC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897A9CE"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3D59F7C3" w14:textId="77777777" w:rsidR="00D40151" w:rsidRPr="00873B6C" w:rsidRDefault="00D40151" w:rsidP="009D14FB">
            <w:pPr>
              <w:pStyle w:val="TAL"/>
              <w:rPr>
                <w:sz w:val="16"/>
                <w:szCs w:val="16"/>
              </w:rPr>
            </w:pPr>
            <w:r w:rsidRPr="00873B6C">
              <w:rPr>
                <w:sz w:val="16"/>
                <w:szCs w:val="16"/>
              </w:rPr>
              <w:t>0916</w:t>
            </w:r>
          </w:p>
        </w:tc>
        <w:tc>
          <w:tcPr>
            <w:tcW w:w="425" w:type="dxa"/>
            <w:shd w:val="solid" w:color="FFFFFF" w:fill="auto"/>
          </w:tcPr>
          <w:p w14:paraId="3F82D47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91D82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C167FAA" w14:textId="77777777" w:rsidR="00D40151" w:rsidRPr="00873B6C" w:rsidRDefault="00D40151" w:rsidP="009D14FB">
            <w:pPr>
              <w:pStyle w:val="TAL"/>
              <w:rPr>
                <w:sz w:val="16"/>
                <w:szCs w:val="16"/>
              </w:rPr>
            </w:pPr>
            <w:r w:rsidRPr="00873B6C">
              <w:rPr>
                <w:sz w:val="16"/>
                <w:szCs w:val="16"/>
              </w:rPr>
              <w:t>User Plane Forwarding with Control Plane CIoT 5GS Optimisation</w:t>
            </w:r>
          </w:p>
        </w:tc>
        <w:tc>
          <w:tcPr>
            <w:tcW w:w="708" w:type="dxa"/>
            <w:shd w:val="solid" w:color="FFFFFF" w:fill="auto"/>
          </w:tcPr>
          <w:p w14:paraId="262C5568" w14:textId="77777777" w:rsidR="00D40151" w:rsidRPr="00873B6C" w:rsidRDefault="00D40151" w:rsidP="009D14FB">
            <w:pPr>
              <w:pStyle w:val="TAC"/>
              <w:rPr>
                <w:b/>
                <w:sz w:val="16"/>
                <w:szCs w:val="16"/>
              </w:rPr>
            </w:pPr>
            <w:r w:rsidRPr="00873B6C">
              <w:rPr>
                <w:b/>
                <w:sz w:val="16"/>
                <w:szCs w:val="16"/>
              </w:rPr>
              <w:t>16.0.0</w:t>
            </w:r>
          </w:p>
        </w:tc>
      </w:tr>
      <w:tr w:rsidR="00D40151" w:rsidRPr="00873B6C" w14:paraId="2D7024DF" w14:textId="77777777" w:rsidTr="009D14FB">
        <w:tc>
          <w:tcPr>
            <w:tcW w:w="800" w:type="dxa"/>
            <w:shd w:val="solid" w:color="FFFFFF" w:fill="auto"/>
          </w:tcPr>
          <w:p w14:paraId="479A627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8BF4AC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DA40025"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07A6551A" w14:textId="77777777" w:rsidR="00D40151" w:rsidRPr="00873B6C" w:rsidRDefault="00D40151" w:rsidP="009D14FB">
            <w:pPr>
              <w:pStyle w:val="TAL"/>
              <w:rPr>
                <w:sz w:val="16"/>
                <w:szCs w:val="16"/>
              </w:rPr>
            </w:pPr>
            <w:r w:rsidRPr="00873B6C">
              <w:rPr>
                <w:sz w:val="16"/>
                <w:szCs w:val="16"/>
              </w:rPr>
              <w:t>0926</w:t>
            </w:r>
          </w:p>
        </w:tc>
        <w:tc>
          <w:tcPr>
            <w:tcW w:w="425" w:type="dxa"/>
            <w:shd w:val="solid" w:color="FFFFFF" w:fill="auto"/>
          </w:tcPr>
          <w:p w14:paraId="131B68C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D8EE20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D81CA36" w14:textId="77777777" w:rsidR="00D40151" w:rsidRPr="00873B6C" w:rsidRDefault="00D40151" w:rsidP="009D14FB">
            <w:pPr>
              <w:pStyle w:val="TAL"/>
              <w:rPr>
                <w:sz w:val="16"/>
                <w:szCs w:val="16"/>
              </w:rPr>
            </w:pPr>
            <w:r w:rsidRPr="00873B6C">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873B6C" w:rsidRDefault="00D40151" w:rsidP="009D14FB">
            <w:pPr>
              <w:pStyle w:val="TAC"/>
              <w:rPr>
                <w:b/>
                <w:sz w:val="16"/>
                <w:szCs w:val="16"/>
              </w:rPr>
            </w:pPr>
            <w:r w:rsidRPr="00873B6C">
              <w:rPr>
                <w:b/>
                <w:sz w:val="16"/>
                <w:szCs w:val="16"/>
              </w:rPr>
              <w:t>16.0.0</w:t>
            </w:r>
          </w:p>
        </w:tc>
      </w:tr>
      <w:tr w:rsidR="00D40151" w:rsidRPr="00873B6C" w14:paraId="66733745" w14:textId="77777777" w:rsidTr="009D14FB">
        <w:tc>
          <w:tcPr>
            <w:tcW w:w="800" w:type="dxa"/>
            <w:shd w:val="solid" w:color="FFFFFF" w:fill="auto"/>
          </w:tcPr>
          <w:p w14:paraId="42434AE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A9DCCE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2CB5261"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4D240225" w14:textId="77777777" w:rsidR="00D40151" w:rsidRPr="00873B6C" w:rsidRDefault="00D40151" w:rsidP="009D14FB">
            <w:pPr>
              <w:pStyle w:val="TAL"/>
              <w:rPr>
                <w:sz w:val="16"/>
                <w:szCs w:val="16"/>
              </w:rPr>
            </w:pPr>
            <w:r w:rsidRPr="00873B6C">
              <w:rPr>
                <w:sz w:val="16"/>
                <w:szCs w:val="16"/>
              </w:rPr>
              <w:t>0927</w:t>
            </w:r>
          </w:p>
        </w:tc>
        <w:tc>
          <w:tcPr>
            <w:tcW w:w="425" w:type="dxa"/>
            <w:shd w:val="solid" w:color="FFFFFF" w:fill="auto"/>
          </w:tcPr>
          <w:p w14:paraId="7973140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D4C93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438B12D" w14:textId="77777777" w:rsidR="00D40151" w:rsidRPr="00873B6C" w:rsidRDefault="00D40151" w:rsidP="009D14FB">
            <w:pPr>
              <w:pStyle w:val="TAL"/>
              <w:rPr>
                <w:sz w:val="16"/>
                <w:szCs w:val="16"/>
              </w:rPr>
            </w:pPr>
            <w:r w:rsidRPr="00873B6C">
              <w:rPr>
                <w:sz w:val="16"/>
                <w:szCs w:val="16"/>
              </w:rPr>
              <w:t xml:space="preserve">Update of NRF functionalities </w:t>
            </w:r>
          </w:p>
        </w:tc>
        <w:tc>
          <w:tcPr>
            <w:tcW w:w="708" w:type="dxa"/>
            <w:shd w:val="solid" w:color="FFFFFF" w:fill="auto"/>
          </w:tcPr>
          <w:p w14:paraId="1DF1F5E6" w14:textId="77777777" w:rsidR="00D40151" w:rsidRPr="00873B6C" w:rsidRDefault="00D40151" w:rsidP="009D14FB">
            <w:pPr>
              <w:pStyle w:val="TAC"/>
              <w:rPr>
                <w:b/>
                <w:sz w:val="16"/>
                <w:szCs w:val="16"/>
              </w:rPr>
            </w:pPr>
            <w:r w:rsidRPr="00873B6C">
              <w:rPr>
                <w:b/>
                <w:sz w:val="16"/>
                <w:szCs w:val="16"/>
              </w:rPr>
              <w:t>16.0.0</w:t>
            </w:r>
          </w:p>
        </w:tc>
      </w:tr>
      <w:tr w:rsidR="00D40151" w:rsidRPr="00873B6C" w14:paraId="0F1C66F5" w14:textId="77777777" w:rsidTr="009D14FB">
        <w:tc>
          <w:tcPr>
            <w:tcW w:w="800" w:type="dxa"/>
            <w:shd w:val="solid" w:color="FFFFFF" w:fill="auto"/>
          </w:tcPr>
          <w:p w14:paraId="6D1C2D2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CFE12C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A22563E"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42538A86" w14:textId="77777777" w:rsidR="00D40151" w:rsidRPr="00873B6C" w:rsidRDefault="00D40151" w:rsidP="009D14FB">
            <w:pPr>
              <w:pStyle w:val="TAL"/>
              <w:rPr>
                <w:sz w:val="16"/>
                <w:szCs w:val="16"/>
              </w:rPr>
            </w:pPr>
            <w:r w:rsidRPr="00873B6C">
              <w:rPr>
                <w:sz w:val="16"/>
                <w:szCs w:val="16"/>
              </w:rPr>
              <w:t>0931</w:t>
            </w:r>
          </w:p>
        </w:tc>
        <w:tc>
          <w:tcPr>
            <w:tcW w:w="425" w:type="dxa"/>
            <w:shd w:val="solid" w:color="FFFFFF" w:fill="auto"/>
          </w:tcPr>
          <w:p w14:paraId="19F6162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BC264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D15BC1A" w14:textId="77777777" w:rsidR="00D40151" w:rsidRPr="00873B6C" w:rsidRDefault="00D40151" w:rsidP="009D14FB">
            <w:pPr>
              <w:pStyle w:val="TAL"/>
              <w:rPr>
                <w:sz w:val="16"/>
                <w:szCs w:val="16"/>
              </w:rPr>
            </w:pPr>
            <w:r w:rsidRPr="00873B6C">
              <w:rPr>
                <w:sz w:val="16"/>
                <w:szCs w:val="16"/>
              </w:rPr>
              <w:t xml:space="preserve">UE IP address Allocation by UPF: N4 impacts </w:t>
            </w:r>
          </w:p>
        </w:tc>
        <w:tc>
          <w:tcPr>
            <w:tcW w:w="708" w:type="dxa"/>
            <w:shd w:val="solid" w:color="FFFFFF" w:fill="auto"/>
          </w:tcPr>
          <w:p w14:paraId="65DDF567" w14:textId="77777777" w:rsidR="00D40151" w:rsidRPr="00873B6C" w:rsidRDefault="00D40151" w:rsidP="009D14FB">
            <w:pPr>
              <w:pStyle w:val="TAC"/>
              <w:rPr>
                <w:b/>
                <w:sz w:val="16"/>
                <w:szCs w:val="16"/>
              </w:rPr>
            </w:pPr>
            <w:r w:rsidRPr="00873B6C">
              <w:rPr>
                <w:b/>
                <w:sz w:val="16"/>
                <w:szCs w:val="16"/>
              </w:rPr>
              <w:t>16.0.0</w:t>
            </w:r>
          </w:p>
        </w:tc>
      </w:tr>
      <w:tr w:rsidR="00D40151" w:rsidRPr="00873B6C" w14:paraId="22773F98" w14:textId="77777777" w:rsidTr="009D14FB">
        <w:tc>
          <w:tcPr>
            <w:tcW w:w="800" w:type="dxa"/>
            <w:shd w:val="solid" w:color="FFFFFF" w:fill="auto"/>
          </w:tcPr>
          <w:p w14:paraId="4FA6861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27400D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7503C8C"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5C2FB2E8" w14:textId="77777777" w:rsidR="00D40151" w:rsidRPr="00873B6C" w:rsidRDefault="00D40151" w:rsidP="009D14FB">
            <w:pPr>
              <w:pStyle w:val="TAL"/>
              <w:rPr>
                <w:sz w:val="16"/>
                <w:szCs w:val="16"/>
              </w:rPr>
            </w:pPr>
            <w:r w:rsidRPr="00873B6C">
              <w:rPr>
                <w:sz w:val="16"/>
                <w:szCs w:val="16"/>
              </w:rPr>
              <w:t>0933</w:t>
            </w:r>
          </w:p>
        </w:tc>
        <w:tc>
          <w:tcPr>
            <w:tcW w:w="425" w:type="dxa"/>
            <w:shd w:val="solid" w:color="FFFFFF" w:fill="auto"/>
          </w:tcPr>
          <w:p w14:paraId="2CEF456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47239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E2D2C27" w14:textId="77777777" w:rsidR="00D40151" w:rsidRPr="00873B6C" w:rsidRDefault="00D40151" w:rsidP="009D14FB">
            <w:pPr>
              <w:pStyle w:val="TAL"/>
              <w:rPr>
                <w:sz w:val="16"/>
                <w:szCs w:val="16"/>
              </w:rPr>
            </w:pPr>
            <w:r w:rsidRPr="00873B6C">
              <w:rPr>
                <w:sz w:val="16"/>
                <w:szCs w:val="16"/>
              </w:rPr>
              <w:t>ETSUN - Conclusion alignment</w:t>
            </w:r>
          </w:p>
        </w:tc>
        <w:tc>
          <w:tcPr>
            <w:tcW w:w="708" w:type="dxa"/>
            <w:shd w:val="solid" w:color="FFFFFF" w:fill="auto"/>
          </w:tcPr>
          <w:p w14:paraId="160394FC" w14:textId="77777777" w:rsidR="00D40151" w:rsidRPr="00873B6C" w:rsidRDefault="00D40151" w:rsidP="009D14FB">
            <w:pPr>
              <w:pStyle w:val="TAC"/>
              <w:rPr>
                <w:b/>
                <w:sz w:val="16"/>
                <w:szCs w:val="16"/>
              </w:rPr>
            </w:pPr>
            <w:r w:rsidRPr="00873B6C">
              <w:rPr>
                <w:b/>
                <w:sz w:val="16"/>
                <w:szCs w:val="16"/>
              </w:rPr>
              <w:t>16.0.0</w:t>
            </w:r>
          </w:p>
        </w:tc>
      </w:tr>
      <w:tr w:rsidR="00D40151" w:rsidRPr="00873B6C" w14:paraId="7C836F9A" w14:textId="77777777" w:rsidTr="009D14FB">
        <w:tc>
          <w:tcPr>
            <w:tcW w:w="800" w:type="dxa"/>
            <w:shd w:val="solid" w:color="FFFFFF" w:fill="auto"/>
          </w:tcPr>
          <w:p w14:paraId="53CF7EF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A468DE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FBF2F16"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447E3A1B" w14:textId="77777777" w:rsidR="00D40151" w:rsidRPr="00873B6C" w:rsidRDefault="00D40151" w:rsidP="009D14FB">
            <w:pPr>
              <w:pStyle w:val="TAL"/>
              <w:rPr>
                <w:sz w:val="16"/>
                <w:szCs w:val="16"/>
              </w:rPr>
            </w:pPr>
            <w:r w:rsidRPr="00873B6C">
              <w:rPr>
                <w:sz w:val="16"/>
                <w:szCs w:val="16"/>
              </w:rPr>
              <w:t>0934</w:t>
            </w:r>
          </w:p>
        </w:tc>
        <w:tc>
          <w:tcPr>
            <w:tcW w:w="425" w:type="dxa"/>
            <w:shd w:val="solid" w:color="FFFFFF" w:fill="auto"/>
          </w:tcPr>
          <w:p w14:paraId="3987F2D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F7C754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4AB1335" w14:textId="77777777" w:rsidR="00D40151" w:rsidRPr="00873B6C" w:rsidRDefault="00D40151" w:rsidP="009D14FB">
            <w:pPr>
              <w:pStyle w:val="TAL"/>
              <w:rPr>
                <w:sz w:val="16"/>
                <w:szCs w:val="16"/>
              </w:rPr>
            </w:pPr>
            <w:r w:rsidRPr="00873B6C">
              <w:rPr>
                <w:sz w:val="16"/>
                <w:szCs w:val="16"/>
              </w:rPr>
              <w:t>Support of full Frame Routing feature</w:t>
            </w:r>
          </w:p>
        </w:tc>
        <w:tc>
          <w:tcPr>
            <w:tcW w:w="708" w:type="dxa"/>
            <w:shd w:val="solid" w:color="FFFFFF" w:fill="auto"/>
          </w:tcPr>
          <w:p w14:paraId="420CB4DE" w14:textId="77777777" w:rsidR="00D40151" w:rsidRPr="00873B6C" w:rsidRDefault="00D40151" w:rsidP="009D14FB">
            <w:pPr>
              <w:pStyle w:val="TAC"/>
              <w:rPr>
                <w:b/>
                <w:sz w:val="16"/>
                <w:szCs w:val="16"/>
              </w:rPr>
            </w:pPr>
            <w:r w:rsidRPr="00873B6C">
              <w:rPr>
                <w:b/>
                <w:sz w:val="16"/>
                <w:szCs w:val="16"/>
              </w:rPr>
              <w:t>16.0.0</w:t>
            </w:r>
          </w:p>
        </w:tc>
      </w:tr>
      <w:tr w:rsidR="00D40151" w:rsidRPr="00873B6C" w14:paraId="387CDB91" w14:textId="77777777" w:rsidTr="009D14FB">
        <w:tc>
          <w:tcPr>
            <w:tcW w:w="800" w:type="dxa"/>
            <w:shd w:val="solid" w:color="FFFFFF" w:fill="auto"/>
          </w:tcPr>
          <w:p w14:paraId="595D67A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F5F0DB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C9E3CB0"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4D8AF4B1" w14:textId="77777777" w:rsidR="00D40151" w:rsidRPr="00873B6C" w:rsidRDefault="00D40151" w:rsidP="009D14FB">
            <w:pPr>
              <w:pStyle w:val="TAL"/>
              <w:rPr>
                <w:sz w:val="16"/>
                <w:szCs w:val="16"/>
              </w:rPr>
            </w:pPr>
            <w:r w:rsidRPr="00873B6C">
              <w:rPr>
                <w:sz w:val="16"/>
                <w:szCs w:val="16"/>
              </w:rPr>
              <w:t>0941</w:t>
            </w:r>
          </w:p>
        </w:tc>
        <w:tc>
          <w:tcPr>
            <w:tcW w:w="425" w:type="dxa"/>
            <w:shd w:val="solid" w:color="FFFFFF" w:fill="auto"/>
          </w:tcPr>
          <w:p w14:paraId="66DA127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702B20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D756242" w14:textId="77777777" w:rsidR="00D40151" w:rsidRPr="00873B6C" w:rsidRDefault="00D40151" w:rsidP="009D14FB">
            <w:pPr>
              <w:pStyle w:val="TAL"/>
              <w:rPr>
                <w:sz w:val="16"/>
                <w:szCs w:val="16"/>
              </w:rPr>
            </w:pPr>
            <w:r w:rsidRPr="00873B6C">
              <w:rPr>
                <w:sz w:val="16"/>
                <w:szCs w:val="16"/>
              </w:rPr>
              <w:t>Location information</w:t>
            </w:r>
          </w:p>
        </w:tc>
        <w:tc>
          <w:tcPr>
            <w:tcW w:w="708" w:type="dxa"/>
            <w:shd w:val="solid" w:color="FFFFFF" w:fill="auto"/>
          </w:tcPr>
          <w:p w14:paraId="3B474708" w14:textId="77777777" w:rsidR="00D40151" w:rsidRPr="00873B6C" w:rsidRDefault="00D40151" w:rsidP="009D14FB">
            <w:pPr>
              <w:pStyle w:val="TAC"/>
              <w:rPr>
                <w:b/>
                <w:sz w:val="16"/>
                <w:szCs w:val="16"/>
              </w:rPr>
            </w:pPr>
            <w:r w:rsidRPr="00873B6C">
              <w:rPr>
                <w:b/>
                <w:sz w:val="16"/>
                <w:szCs w:val="16"/>
              </w:rPr>
              <w:t>16.0.0</w:t>
            </w:r>
          </w:p>
        </w:tc>
      </w:tr>
      <w:tr w:rsidR="00D40151" w:rsidRPr="00873B6C" w14:paraId="236EB122" w14:textId="77777777" w:rsidTr="009D14FB">
        <w:tc>
          <w:tcPr>
            <w:tcW w:w="800" w:type="dxa"/>
            <w:shd w:val="solid" w:color="FFFFFF" w:fill="auto"/>
          </w:tcPr>
          <w:p w14:paraId="2900257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5AA0D4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7CBA4AB"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0A793274" w14:textId="77777777" w:rsidR="00D40151" w:rsidRPr="00873B6C" w:rsidRDefault="00D40151" w:rsidP="009D14FB">
            <w:pPr>
              <w:pStyle w:val="TAL"/>
              <w:rPr>
                <w:sz w:val="16"/>
                <w:szCs w:val="16"/>
              </w:rPr>
            </w:pPr>
            <w:r w:rsidRPr="00873B6C">
              <w:rPr>
                <w:sz w:val="16"/>
                <w:szCs w:val="16"/>
              </w:rPr>
              <w:t>0954</w:t>
            </w:r>
          </w:p>
        </w:tc>
        <w:tc>
          <w:tcPr>
            <w:tcW w:w="425" w:type="dxa"/>
            <w:shd w:val="solid" w:color="FFFFFF" w:fill="auto"/>
          </w:tcPr>
          <w:p w14:paraId="6691490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EAC91C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D614426" w14:textId="77777777" w:rsidR="00D40151" w:rsidRPr="00873B6C" w:rsidRDefault="00D40151" w:rsidP="009D14FB">
            <w:pPr>
              <w:pStyle w:val="TAL"/>
              <w:rPr>
                <w:sz w:val="16"/>
                <w:szCs w:val="16"/>
              </w:rPr>
            </w:pPr>
            <w:r w:rsidRPr="00873B6C">
              <w:rPr>
                <w:sz w:val="16"/>
                <w:szCs w:val="16"/>
              </w:rPr>
              <w:t>Addition of UE IP address Allocation by UPF</w:t>
            </w:r>
          </w:p>
        </w:tc>
        <w:tc>
          <w:tcPr>
            <w:tcW w:w="708" w:type="dxa"/>
            <w:shd w:val="solid" w:color="FFFFFF" w:fill="auto"/>
          </w:tcPr>
          <w:p w14:paraId="4780634F" w14:textId="77777777" w:rsidR="00D40151" w:rsidRPr="00873B6C" w:rsidRDefault="00D40151" w:rsidP="009D14FB">
            <w:pPr>
              <w:pStyle w:val="TAC"/>
              <w:rPr>
                <w:b/>
                <w:sz w:val="16"/>
                <w:szCs w:val="16"/>
              </w:rPr>
            </w:pPr>
            <w:r w:rsidRPr="00873B6C">
              <w:rPr>
                <w:b/>
                <w:sz w:val="16"/>
                <w:szCs w:val="16"/>
              </w:rPr>
              <w:t>16.0.0</w:t>
            </w:r>
          </w:p>
        </w:tc>
      </w:tr>
      <w:tr w:rsidR="00D40151" w:rsidRPr="00873B6C" w14:paraId="30F44FEA" w14:textId="77777777" w:rsidTr="009D14FB">
        <w:tc>
          <w:tcPr>
            <w:tcW w:w="800" w:type="dxa"/>
            <w:shd w:val="solid" w:color="FFFFFF" w:fill="auto"/>
          </w:tcPr>
          <w:p w14:paraId="688E1A4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E91EC3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F206B40"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09BF4B99" w14:textId="77777777" w:rsidR="00D40151" w:rsidRPr="00873B6C" w:rsidRDefault="00D40151" w:rsidP="009D14FB">
            <w:pPr>
              <w:pStyle w:val="TAL"/>
              <w:rPr>
                <w:sz w:val="16"/>
                <w:szCs w:val="16"/>
              </w:rPr>
            </w:pPr>
            <w:r w:rsidRPr="00873B6C">
              <w:rPr>
                <w:sz w:val="16"/>
                <w:szCs w:val="16"/>
              </w:rPr>
              <w:t>0961</w:t>
            </w:r>
          </w:p>
        </w:tc>
        <w:tc>
          <w:tcPr>
            <w:tcW w:w="425" w:type="dxa"/>
            <w:shd w:val="solid" w:color="FFFFFF" w:fill="auto"/>
          </w:tcPr>
          <w:p w14:paraId="0AC3DB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D3987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E8DF7E2" w14:textId="77777777" w:rsidR="00D40151" w:rsidRPr="00873B6C" w:rsidRDefault="00D40151" w:rsidP="009D14FB">
            <w:pPr>
              <w:pStyle w:val="TAL"/>
              <w:rPr>
                <w:sz w:val="16"/>
                <w:szCs w:val="16"/>
              </w:rPr>
            </w:pPr>
            <w:r w:rsidRPr="00873B6C">
              <w:rPr>
                <w:sz w:val="16"/>
                <w:szCs w:val="16"/>
              </w:rPr>
              <w:t xml:space="preserve">Protocol stack for W-5GAN support </w:t>
            </w:r>
          </w:p>
        </w:tc>
        <w:tc>
          <w:tcPr>
            <w:tcW w:w="708" w:type="dxa"/>
            <w:shd w:val="solid" w:color="FFFFFF" w:fill="auto"/>
          </w:tcPr>
          <w:p w14:paraId="376B7856" w14:textId="77777777" w:rsidR="00D40151" w:rsidRPr="00873B6C" w:rsidRDefault="00D40151" w:rsidP="009D14FB">
            <w:pPr>
              <w:pStyle w:val="TAC"/>
              <w:rPr>
                <w:b/>
                <w:sz w:val="16"/>
                <w:szCs w:val="16"/>
              </w:rPr>
            </w:pPr>
            <w:r w:rsidRPr="00873B6C">
              <w:rPr>
                <w:b/>
                <w:sz w:val="16"/>
                <w:szCs w:val="16"/>
              </w:rPr>
              <w:t>16.0.0</w:t>
            </w:r>
          </w:p>
        </w:tc>
      </w:tr>
      <w:tr w:rsidR="00D40151" w:rsidRPr="00873B6C" w14:paraId="22593B47" w14:textId="77777777" w:rsidTr="009D14FB">
        <w:tc>
          <w:tcPr>
            <w:tcW w:w="800" w:type="dxa"/>
            <w:shd w:val="solid" w:color="FFFFFF" w:fill="auto"/>
          </w:tcPr>
          <w:p w14:paraId="27AA813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32C50E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628AF04"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41CF2B62" w14:textId="77777777" w:rsidR="00D40151" w:rsidRPr="00873B6C" w:rsidRDefault="00D40151" w:rsidP="009D14FB">
            <w:pPr>
              <w:pStyle w:val="TAL"/>
              <w:rPr>
                <w:sz w:val="16"/>
                <w:szCs w:val="16"/>
              </w:rPr>
            </w:pPr>
            <w:r w:rsidRPr="00873B6C">
              <w:rPr>
                <w:sz w:val="16"/>
                <w:szCs w:val="16"/>
              </w:rPr>
              <w:t>0962</w:t>
            </w:r>
          </w:p>
        </w:tc>
        <w:tc>
          <w:tcPr>
            <w:tcW w:w="425" w:type="dxa"/>
            <w:shd w:val="solid" w:color="FFFFFF" w:fill="auto"/>
          </w:tcPr>
          <w:p w14:paraId="43C01CE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C219CA4"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083076F" w14:textId="77777777" w:rsidR="00D40151" w:rsidRPr="00873B6C" w:rsidRDefault="00D40151" w:rsidP="009D14FB">
            <w:pPr>
              <w:pStyle w:val="TAL"/>
              <w:rPr>
                <w:sz w:val="16"/>
                <w:szCs w:val="16"/>
              </w:rPr>
            </w:pPr>
            <w:r w:rsidRPr="00873B6C">
              <w:rPr>
                <w:sz w:val="16"/>
                <w:szCs w:val="16"/>
              </w:rPr>
              <w:t>Session Management of 5G-RG/FN-RG connection to 5GC in the Wireline ANs</w:t>
            </w:r>
          </w:p>
        </w:tc>
        <w:tc>
          <w:tcPr>
            <w:tcW w:w="708" w:type="dxa"/>
            <w:shd w:val="solid" w:color="FFFFFF" w:fill="auto"/>
          </w:tcPr>
          <w:p w14:paraId="6DC10E94" w14:textId="77777777" w:rsidR="00D40151" w:rsidRPr="00873B6C" w:rsidRDefault="00D40151" w:rsidP="009D14FB">
            <w:pPr>
              <w:pStyle w:val="TAC"/>
              <w:rPr>
                <w:b/>
                <w:sz w:val="16"/>
                <w:szCs w:val="16"/>
              </w:rPr>
            </w:pPr>
            <w:r w:rsidRPr="00873B6C">
              <w:rPr>
                <w:b/>
                <w:sz w:val="16"/>
                <w:szCs w:val="16"/>
              </w:rPr>
              <w:t>16.0.0</w:t>
            </w:r>
          </w:p>
        </w:tc>
      </w:tr>
      <w:tr w:rsidR="00D40151" w:rsidRPr="00873B6C" w14:paraId="6A7C0EE2" w14:textId="77777777" w:rsidTr="009D14FB">
        <w:tc>
          <w:tcPr>
            <w:tcW w:w="800" w:type="dxa"/>
            <w:shd w:val="solid" w:color="FFFFFF" w:fill="auto"/>
          </w:tcPr>
          <w:p w14:paraId="5443E1D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B3BE72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41F61D0"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52F84D91" w14:textId="77777777" w:rsidR="00D40151" w:rsidRPr="00873B6C" w:rsidRDefault="00D40151" w:rsidP="009D14FB">
            <w:pPr>
              <w:pStyle w:val="TAL"/>
              <w:rPr>
                <w:sz w:val="16"/>
                <w:szCs w:val="16"/>
              </w:rPr>
            </w:pPr>
            <w:r w:rsidRPr="00873B6C">
              <w:rPr>
                <w:sz w:val="16"/>
                <w:szCs w:val="16"/>
              </w:rPr>
              <w:t>0964</w:t>
            </w:r>
          </w:p>
        </w:tc>
        <w:tc>
          <w:tcPr>
            <w:tcW w:w="425" w:type="dxa"/>
            <w:shd w:val="solid" w:color="FFFFFF" w:fill="auto"/>
          </w:tcPr>
          <w:p w14:paraId="1AC487D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09B5C7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336ADD2" w14:textId="77777777" w:rsidR="00D40151" w:rsidRPr="00873B6C" w:rsidRDefault="00D40151" w:rsidP="009D14FB">
            <w:pPr>
              <w:pStyle w:val="TAL"/>
              <w:rPr>
                <w:sz w:val="16"/>
                <w:szCs w:val="16"/>
              </w:rPr>
            </w:pPr>
            <w:r w:rsidRPr="00873B6C">
              <w:rPr>
                <w:sz w:val="16"/>
                <w:szCs w:val="16"/>
              </w:rPr>
              <w:t>NEF service for NWDAF analytics</w:t>
            </w:r>
          </w:p>
        </w:tc>
        <w:tc>
          <w:tcPr>
            <w:tcW w:w="708" w:type="dxa"/>
            <w:shd w:val="solid" w:color="FFFFFF" w:fill="auto"/>
          </w:tcPr>
          <w:p w14:paraId="43B74FC5" w14:textId="77777777" w:rsidR="00D40151" w:rsidRPr="00873B6C" w:rsidRDefault="00D40151" w:rsidP="009D14FB">
            <w:pPr>
              <w:pStyle w:val="TAC"/>
              <w:rPr>
                <w:b/>
                <w:sz w:val="16"/>
                <w:szCs w:val="16"/>
              </w:rPr>
            </w:pPr>
            <w:r w:rsidRPr="00873B6C">
              <w:rPr>
                <w:b/>
                <w:sz w:val="16"/>
                <w:szCs w:val="16"/>
              </w:rPr>
              <w:t>16.0.0</w:t>
            </w:r>
          </w:p>
        </w:tc>
      </w:tr>
      <w:tr w:rsidR="00D40151" w:rsidRPr="00873B6C" w14:paraId="02BE871E" w14:textId="77777777" w:rsidTr="009D14FB">
        <w:tc>
          <w:tcPr>
            <w:tcW w:w="800" w:type="dxa"/>
            <w:shd w:val="solid" w:color="FFFFFF" w:fill="auto"/>
          </w:tcPr>
          <w:p w14:paraId="3453D78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F8057A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9B01E1A"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047FA344" w14:textId="77777777" w:rsidR="00D40151" w:rsidRPr="00873B6C" w:rsidRDefault="00D40151" w:rsidP="009D14FB">
            <w:pPr>
              <w:pStyle w:val="TAL"/>
              <w:rPr>
                <w:sz w:val="16"/>
                <w:szCs w:val="16"/>
              </w:rPr>
            </w:pPr>
            <w:r w:rsidRPr="00873B6C">
              <w:rPr>
                <w:sz w:val="16"/>
                <w:szCs w:val="16"/>
              </w:rPr>
              <w:t>0972</w:t>
            </w:r>
          </w:p>
        </w:tc>
        <w:tc>
          <w:tcPr>
            <w:tcW w:w="425" w:type="dxa"/>
            <w:shd w:val="solid" w:color="FFFFFF" w:fill="auto"/>
          </w:tcPr>
          <w:p w14:paraId="2FA716A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81E0D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3EB088C" w14:textId="77777777" w:rsidR="00D40151" w:rsidRPr="00873B6C" w:rsidRDefault="00D40151" w:rsidP="009D14FB">
            <w:pPr>
              <w:pStyle w:val="TAL"/>
              <w:rPr>
                <w:sz w:val="16"/>
                <w:szCs w:val="16"/>
              </w:rPr>
            </w:pPr>
            <w:r w:rsidRPr="00873B6C">
              <w:rPr>
                <w:sz w:val="16"/>
                <w:szCs w:val="16"/>
              </w:rPr>
              <w:t>Add description of solution 13 in 23.725 to TS 23.501</w:t>
            </w:r>
          </w:p>
        </w:tc>
        <w:tc>
          <w:tcPr>
            <w:tcW w:w="708" w:type="dxa"/>
            <w:shd w:val="solid" w:color="FFFFFF" w:fill="auto"/>
          </w:tcPr>
          <w:p w14:paraId="1AB3E756" w14:textId="77777777" w:rsidR="00D40151" w:rsidRPr="00873B6C" w:rsidRDefault="00D40151" w:rsidP="009D14FB">
            <w:pPr>
              <w:pStyle w:val="TAC"/>
              <w:rPr>
                <w:b/>
                <w:sz w:val="16"/>
                <w:szCs w:val="16"/>
              </w:rPr>
            </w:pPr>
            <w:r w:rsidRPr="00873B6C">
              <w:rPr>
                <w:b/>
                <w:sz w:val="16"/>
                <w:szCs w:val="16"/>
              </w:rPr>
              <w:t>16.0.0</w:t>
            </w:r>
          </w:p>
        </w:tc>
      </w:tr>
      <w:tr w:rsidR="00D40151" w:rsidRPr="00873B6C" w14:paraId="26C4DD2B" w14:textId="77777777" w:rsidTr="009D14FB">
        <w:tc>
          <w:tcPr>
            <w:tcW w:w="800" w:type="dxa"/>
            <w:shd w:val="solid" w:color="FFFFFF" w:fill="auto"/>
          </w:tcPr>
          <w:p w14:paraId="6252383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743067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15C29CC"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37BC48C8" w14:textId="77777777" w:rsidR="00D40151" w:rsidRPr="00873B6C" w:rsidRDefault="00D40151" w:rsidP="009D14FB">
            <w:pPr>
              <w:pStyle w:val="TAL"/>
              <w:rPr>
                <w:sz w:val="16"/>
                <w:szCs w:val="16"/>
              </w:rPr>
            </w:pPr>
            <w:r w:rsidRPr="00873B6C">
              <w:rPr>
                <w:sz w:val="16"/>
                <w:szCs w:val="16"/>
              </w:rPr>
              <w:t>0981</w:t>
            </w:r>
          </w:p>
        </w:tc>
        <w:tc>
          <w:tcPr>
            <w:tcW w:w="425" w:type="dxa"/>
            <w:shd w:val="solid" w:color="FFFFFF" w:fill="auto"/>
          </w:tcPr>
          <w:p w14:paraId="4D40FA0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0C56C9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0E3823F" w14:textId="77777777" w:rsidR="00D40151" w:rsidRPr="00873B6C" w:rsidRDefault="00D40151" w:rsidP="009D14FB">
            <w:pPr>
              <w:pStyle w:val="TAL"/>
              <w:rPr>
                <w:sz w:val="16"/>
                <w:szCs w:val="16"/>
              </w:rPr>
            </w:pPr>
            <w:r w:rsidRPr="00873B6C">
              <w:rPr>
                <w:sz w:val="16"/>
                <w:szCs w:val="16"/>
              </w:rPr>
              <w:t>Extension of the QoS model for wireline access</w:t>
            </w:r>
          </w:p>
        </w:tc>
        <w:tc>
          <w:tcPr>
            <w:tcW w:w="708" w:type="dxa"/>
            <w:shd w:val="solid" w:color="FFFFFF" w:fill="auto"/>
          </w:tcPr>
          <w:p w14:paraId="730876DC" w14:textId="77777777" w:rsidR="00D40151" w:rsidRPr="00873B6C" w:rsidRDefault="00D40151" w:rsidP="009D14FB">
            <w:pPr>
              <w:pStyle w:val="TAC"/>
              <w:rPr>
                <w:b/>
                <w:sz w:val="16"/>
                <w:szCs w:val="16"/>
              </w:rPr>
            </w:pPr>
            <w:r w:rsidRPr="00873B6C">
              <w:rPr>
                <w:b/>
                <w:sz w:val="16"/>
                <w:szCs w:val="16"/>
              </w:rPr>
              <w:t>16.0.0</w:t>
            </w:r>
          </w:p>
        </w:tc>
      </w:tr>
      <w:tr w:rsidR="00D40151" w:rsidRPr="00873B6C" w14:paraId="78D6F70F" w14:textId="77777777" w:rsidTr="009D14FB">
        <w:tc>
          <w:tcPr>
            <w:tcW w:w="800" w:type="dxa"/>
            <w:shd w:val="solid" w:color="FFFFFF" w:fill="auto"/>
          </w:tcPr>
          <w:p w14:paraId="69658F3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8340D97"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FFA472C"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3F8963C9" w14:textId="77777777" w:rsidR="00D40151" w:rsidRPr="00873B6C" w:rsidRDefault="00D40151" w:rsidP="009D14FB">
            <w:pPr>
              <w:pStyle w:val="TAL"/>
              <w:rPr>
                <w:sz w:val="16"/>
                <w:szCs w:val="16"/>
              </w:rPr>
            </w:pPr>
            <w:r w:rsidRPr="00873B6C">
              <w:rPr>
                <w:sz w:val="16"/>
                <w:szCs w:val="16"/>
              </w:rPr>
              <w:t>0983</w:t>
            </w:r>
          </w:p>
        </w:tc>
        <w:tc>
          <w:tcPr>
            <w:tcW w:w="425" w:type="dxa"/>
            <w:shd w:val="solid" w:color="FFFFFF" w:fill="auto"/>
          </w:tcPr>
          <w:p w14:paraId="14C5F92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9F40C9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92970C" w14:textId="77777777" w:rsidR="00D40151" w:rsidRPr="00873B6C" w:rsidRDefault="00D40151" w:rsidP="009D14FB">
            <w:pPr>
              <w:pStyle w:val="TAL"/>
              <w:rPr>
                <w:sz w:val="16"/>
                <w:szCs w:val="16"/>
              </w:rPr>
            </w:pPr>
            <w:r w:rsidRPr="00873B6C">
              <w:rPr>
                <w:sz w:val="16"/>
                <w:szCs w:val="16"/>
              </w:rPr>
              <w:t>Update of TS 23.501 for Rel.16 BDT Notification</w:t>
            </w:r>
          </w:p>
        </w:tc>
        <w:tc>
          <w:tcPr>
            <w:tcW w:w="708" w:type="dxa"/>
            <w:shd w:val="solid" w:color="FFFFFF" w:fill="auto"/>
          </w:tcPr>
          <w:p w14:paraId="7CB9A409" w14:textId="77777777" w:rsidR="00D40151" w:rsidRPr="00873B6C" w:rsidRDefault="00D40151" w:rsidP="009D14FB">
            <w:pPr>
              <w:pStyle w:val="TAC"/>
              <w:rPr>
                <w:b/>
                <w:sz w:val="16"/>
                <w:szCs w:val="16"/>
              </w:rPr>
            </w:pPr>
            <w:r w:rsidRPr="00873B6C">
              <w:rPr>
                <w:b/>
                <w:sz w:val="16"/>
                <w:szCs w:val="16"/>
              </w:rPr>
              <w:t>16.0.0</w:t>
            </w:r>
          </w:p>
        </w:tc>
      </w:tr>
      <w:tr w:rsidR="00D40151" w:rsidRPr="00873B6C" w14:paraId="4B9C5A5F" w14:textId="77777777" w:rsidTr="009D14FB">
        <w:tc>
          <w:tcPr>
            <w:tcW w:w="800" w:type="dxa"/>
            <w:shd w:val="solid" w:color="FFFFFF" w:fill="auto"/>
          </w:tcPr>
          <w:p w14:paraId="69D0FC2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16627D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712CAAF" w14:textId="77777777" w:rsidR="00D40151" w:rsidRPr="00873B6C" w:rsidRDefault="00D40151" w:rsidP="009D14FB">
            <w:pPr>
              <w:pStyle w:val="TAC"/>
              <w:rPr>
                <w:sz w:val="16"/>
                <w:szCs w:val="16"/>
              </w:rPr>
            </w:pPr>
            <w:r w:rsidRPr="00873B6C">
              <w:rPr>
                <w:sz w:val="16"/>
                <w:szCs w:val="16"/>
              </w:rPr>
              <w:t>SP-190168</w:t>
            </w:r>
          </w:p>
        </w:tc>
        <w:tc>
          <w:tcPr>
            <w:tcW w:w="567" w:type="dxa"/>
            <w:shd w:val="solid" w:color="FFFFFF" w:fill="auto"/>
          </w:tcPr>
          <w:p w14:paraId="46F646CF" w14:textId="77777777" w:rsidR="00D40151" w:rsidRPr="00873B6C" w:rsidRDefault="00D40151" w:rsidP="009D14FB">
            <w:pPr>
              <w:pStyle w:val="TAL"/>
              <w:rPr>
                <w:sz w:val="16"/>
                <w:szCs w:val="16"/>
              </w:rPr>
            </w:pPr>
            <w:r w:rsidRPr="00873B6C">
              <w:rPr>
                <w:sz w:val="16"/>
                <w:szCs w:val="16"/>
              </w:rPr>
              <w:t>0984</w:t>
            </w:r>
          </w:p>
        </w:tc>
        <w:tc>
          <w:tcPr>
            <w:tcW w:w="425" w:type="dxa"/>
            <w:shd w:val="solid" w:color="FFFFFF" w:fill="auto"/>
          </w:tcPr>
          <w:p w14:paraId="7107459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F06B71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AB789F" w14:textId="77777777" w:rsidR="00D40151" w:rsidRPr="00873B6C" w:rsidRDefault="00D40151" w:rsidP="009D14FB">
            <w:pPr>
              <w:pStyle w:val="TAL"/>
              <w:rPr>
                <w:sz w:val="16"/>
                <w:szCs w:val="16"/>
              </w:rPr>
            </w:pPr>
            <w:r w:rsidRPr="00873B6C">
              <w:rPr>
                <w:sz w:val="16"/>
                <w:szCs w:val="16"/>
              </w:rPr>
              <w:t>Update the description and the reference of LMF service</w:t>
            </w:r>
          </w:p>
        </w:tc>
        <w:tc>
          <w:tcPr>
            <w:tcW w:w="708" w:type="dxa"/>
            <w:shd w:val="solid" w:color="FFFFFF" w:fill="auto"/>
          </w:tcPr>
          <w:p w14:paraId="703F6897" w14:textId="77777777" w:rsidR="00D40151" w:rsidRPr="00873B6C" w:rsidRDefault="00D40151" w:rsidP="009D14FB">
            <w:pPr>
              <w:pStyle w:val="TAC"/>
              <w:rPr>
                <w:b/>
                <w:sz w:val="16"/>
                <w:szCs w:val="16"/>
              </w:rPr>
            </w:pPr>
            <w:r w:rsidRPr="00873B6C">
              <w:rPr>
                <w:b/>
                <w:sz w:val="16"/>
                <w:szCs w:val="16"/>
              </w:rPr>
              <w:t>16.0.0</w:t>
            </w:r>
          </w:p>
        </w:tc>
      </w:tr>
      <w:tr w:rsidR="00D40151" w:rsidRPr="00873B6C" w14:paraId="0A3E2487" w14:textId="77777777" w:rsidTr="009D14FB">
        <w:tc>
          <w:tcPr>
            <w:tcW w:w="800" w:type="dxa"/>
            <w:shd w:val="solid" w:color="FFFFFF" w:fill="auto"/>
          </w:tcPr>
          <w:p w14:paraId="4843CF8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C7DE9F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585030B"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4AD288E6" w14:textId="77777777" w:rsidR="00D40151" w:rsidRPr="00873B6C" w:rsidRDefault="00D40151" w:rsidP="009D14FB">
            <w:pPr>
              <w:pStyle w:val="TAL"/>
              <w:rPr>
                <w:sz w:val="16"/>
                <w:szCs w:val="16"/>
              </w:rPr>
            </w:pPr>
            <w:r w:rsidRPr="00873B6C">
              <w:rPr>
                <w:sz w:val="16"/>
                <w:szCs w:val="16"/>
              </w:rPr>
              <w:t>0987</w:t>
            </w:r>
          </w:p>
        </w:tc>
        <w:tc>
          <w:tcPr>
            <w:tcW w:w="425" w:type="dxa"/>
            <w:shd w:val="solid" w:color="FFFFFF" w:fill="auto"/>
          </w:tcPr>
          <w:p w14:paraId="09DAB97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70A093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7111811" w14:textId="77777777" w:rsidR="00D40151" w:rsidRPr="00873B6C" w:rsidRDefault="00D40151" w:rsidP="009D14FB">
            <w:pPr>
              <w:pStyle w:val="TAL"/>
              <w:rPr>
                <w:sz w:val="16"/>
                <w:szCs w:val="16"/>
              </w:rPr>
            </w:pPr>
            <w:r w:rsidRPr="00873B6C">
              <w:rPr>
                <w:sz w:val="16"/>
                <w:szCs w:val="16"/>
              </w:rPr>
              <w:t>CR for TS 23.501 Clarifications NWDAF Discovery and Selection</w:t>
            </w:r>
          </w:p>
        </w:tc>
        <w:tc>
          <w:tcPr>
            <w:tcW w:w="708" w:type="dxa"/>
            <w:shd w:val="solid" w:color="FFFFFF" w:fill="auto"/>
          </w:tcPr>
          <w:p w14:paraId="75D512C6" w14:textId="77777777" w:rsidR="00D40151" w:rsidRPr="00873B6C" w:rsidRDefault="00D40151" w:rsidP="009D14FB">
            <w:pPr>
              <w:pStyle w:val="TAC"/>
              <w:rPr>
                <w:b/>
                <w:sz w:val="16"/>
                <w:szCs w:val="16"/>
              </w:rPr>
            </w:pPr>
            <w:r w:rsidRPr="00873B6C">
              <w:rPr>
                <w:b/>
                <w:sz w:val="16"/>
                <w:szCs w:val="16"/>
              </w:rPr>
              <w:t>16.0.0</w:t>
            </w:r>
          </w:p>
        </w:tc>
      </w:tr>
      <w:tr w:rsidR="00D40151" w:rsidRPr="00873B6C" w14:paraId="2469D999" w14:textId="77777777" w:rsidTr="009D14FB">
        <w:tc>
          <w:tcPr>
            <w:tcW w:w="800" w:type="dxa"/>
            <w:shd w:val="solid" w:color="FFFFFF" w:fill="auto"/>
          </w:tcPr>
          <w:p w14:paraId="0D0C066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15EF34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2A73A9D"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74807ABD" w14:textId="77777777" w:rsidR="00D40151" w:rsidRPr="00873B6C" w:rsidRDefault="00D40151" w:rsidP="009D14FB">
            <w:pPr>
              <w:pStyle w:val="TAL"/>
              <w:rPr>
                <w:sz w:val="16"/>
                <w:szCs w:val="16"/>
              </w:rPr>
            </w:pPr>
            <w:r w:rsidRPr="00873B6C">
              <w:rPr>
                <w:sz w:val="16"/>
                <w:szCs w:val="16"/>
              </w:rPr>
              <w:t>0989</w:t>
            </w:r>
          </w:p>
        </w:tc>
        <w:tc>
          <w:tcPr>
            <w:tcW w:w="425" w:type="dxa"/>
            <w:shd w:val="solid" w:color="FFFFFF" w:fill="auto"/>
          </w:tcPr>
          <w:p w14:paraId="7FF19F7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37F8D5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F5E3F35" w14:textId="77777777" w:rsidR="00D40151" w:rsidRPr="00873B6C" w:rsidRDefault="00D40151" w:rsidP="009D14FB">
            <w:pPr>
              <w:pStyle w:val="TAL"/>
              <w:rPr>
                <w:sz w:val="16"/>
                <w:szCs w:val="16"/>
              </w:rPr>
            </w:pPr>
            <w:r w:rsidRPr="00873B6C">
              <w:rPr>
                <w:sz w:val="16"/>
                <w:szCs w:val="16"/>
              </w:rPr>
              <w:t>Introduction of E2E PDB Division</w:t>
            </w:r>
          </w:p>
        </w:tc>
        <w:tc>
          <w:tcPr>
            <w:tcW w:w="708" w:type="dxa"/>
            <w:shd w:val="solid" w:color="FFFFFF" w:fill="auto"/>
          </w:tcPr>
          <w:p w14:paraId="5DABD727" w14:textId="77777777" w:rsidR="00D40151" w:rsidRPr="00873B6C" w:rsidRDefault="00D40151" w:rsidP="009D14FB">
            <w:pPr>
              <w:pStyle w:val="TAC"/>
              <w:rPr>
                <w:b/>
                <w:sz w:val="16"/>
                <w:szCs w:val="16"/>
              </w:rPr>
            </w:pPr>
            <w:r w:rsidRPr="00873B6C">
              <w:rPr>
                <w:b/>
                <w:sz w:val="16"/>
                <w:szCs w:val="16"/>
              </w:rPr>
              <w:t>16.0.0</w:t>
            </w:r>
          </w:p>
        </w:tc>
      </w:tr>
      <w:tr w:rsidR="00D40151" w:rsidRPr="00873B6C" w14:paraId="58F5A5E4" w14:textId="77777777" w:rsidTr="009D14FB">
        <w:tc>
          <w:tcPr>
            <w:tcW w:w="800" w:type="dxa"/>
            <w:shd w:val="solid" w:color="FFFFFF" w:fill="auto"/>
          </w:tcPr>
          <w:p w14:paraId="0BCD81A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5F47B1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F226EB4"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16FDD153" w14:textId="77777777" w:rsidR="00D40151" w:rsidRPr="00873B6C" w:rsidRDefault="00D40151" w:rsidP="009D14FB">
            <w:pPr>
              <w:pStyle w:val="TAL"/>
              <w:rPr>
                <w:sz w:val="16"/>
                <w:szCs w:val="16"/>
              </w:rPr>
            </w:pPr>
            <w:r w:rsidRPr="00873B6C">
              <w:rPr>
                <w:sz w:val="16"/>
                <w:szCs w:val="16"/>
              </w:rPr>
              <w:t>1003</w:t>
            </w:r>
          </w:p>
        </w:tc>
        <w:tc>
          <w:tcPr>
            <w:tcW w:w="425" w:type="dxa"/>
            <w:shd w:val="solid" w:color="FFFFFF" w:fill="auto"/>
          </w:tcPr>
          <w:p w14:paraId="2254203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64A74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071818C" w14:textId="77777777" w:rsidR="00D40151" w:rsidRPr="00873B6C" w:rsidRDefault="00D40151" w:rsidP="009D14FB">
            <w:pPr>
              <w:pStyle w:val="TAL"/>
              <w:rPr>
                <w:sz w:val="16"/>
                <w:szCs w:val="16"/>
              </w:rPr>
            </w:pPr>
            <w:r w:rsidRPr="00873B6C">
              <w:rPr>
                <w:sz w:val="16"/>
                <w:szCs w:val="16"/>
              </w:rPr>
              <w:t xml:space="preserve"> QoS parameters mapping between TSN characters and 5G QoS</w:t>
            </w:r>
          </w:p>
        </w:tc>
        <w:tc>
          <w:tcPr>
            <w:tcW w:w="708" w:type="dxa"/>
            <w:shd w:val="solid" w:color="FFFFFF" w:fill="auto"/>
          </w:tcPr>
          <w:p w14:paraId="1D8380EC" w14:textId="77777777" w:rsidR="00D40151" w:rsidRPr="00873B6C" w:rsidRDefault="00D40151" w:rsidP="009D14FB">
            <w:pPr>
              <w:pStyle w:val="TAC"/>
              <w:rPr>
                <w:b/>
                <w:sz w:val="16"/>
                <w:szCs w:val="16"/>
              </w:rPr>
            </w:pPr>
            <w:r w:rsidRPr="00873B6C">
              <w:rPr>
                <w:b/>
                <w:sz w:val="16"/>
                <w:szCs w:val="16"/>
              </w:rPr>
              <w:t>16.0.0</w:t>
            </w:r>
          </w:p>
        </w:tc>
      </w:tr>
      <w:tr w:rsidR="00D40151" w:rsidRPr="00873B6C" w14:paraId="773792A1" w14:textId="77777777" w:rsidTr="009D14FB">
        <w:tc>
          <w:tcPr>
            <w:tcW w:w="800" w:type="dxa"/>
            <w:shd w:val="solid" w:color="FFFFFF" w:fill="auto"/>
          </w:tcPr>
          <w:p w14:paraId="62E9FE1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5C5D43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16AC7E6"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0883A9CF" w14:textId="77777777" w:rsidR="00D40151" w:rsidRPr="00873B6C" w:rsidRDefault="00D40151" w:rsidP="009D14FB">
            <w:pPr>
              <w:pStyle w:val="TAL"/>
              <w:rPr>
                <w:sz w:val="16"/>
                <w:szCs w:val="16"/>
              </w:rPr>
            </w:pPr>
            <w:r w:rsidRPr="00873B6C">
              <w:rPr>
                <w:sz w:val="16"/>
                <w:szCs w:val="16"/>
              </w:rPr>
              <w:t>1010</w:t>
            </w:r>
          </w:p>
        </w:tc>
        <w:tc>
          <w:tcPr>
            <w:tcW w:w="425" w:type="dxa"/>
            <w:shd w:val="solid" w:color="FFFFFF" w:fill="auto"/>
          </w:tcPr>
          <w:p w14:paraId="3E16293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337F39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48945DE" w14:textId="77777777" w:rsidR="00D40151" w:rsidRPr="00873B6C" w:rsidRDefault="00D40151" w:rsidP="009D14FB">
            <w:pPr>
              <w:pStyle w:val="TAL"/>
              <w:rPr>
                <w:sz w:val="16"/>
                <w:szCs w:val="16"/>
              </w:rPr>
            </w:pPr>
            <w:r w:rsidRPr="00873B6C">
              <w:rPr>
                <w:sz w:val="16"/>
                <w:szCs w:val="16"/>
              </w:rPr>
              <w:t>Introducing NF Set and NF Service Set</w:t>
            </w:r>
          </w:p>
        </w:tc>
        <w:tc>
          <w:tcPr>
            <w:tcW w:w="708" w:type="dxa"/>
            <w:shd w:val="solid" w:color="FFFFFF" w:fill="auto"/>
          </w:tcPr>
          <w:p w14:paraId="614A3747" w14:textId="77777777" w:rsidR="00D40151" w:rsidRPr="00873B6C" w:rsidRDefault="00D40151" w:rsidP="009D14FB">
            <w:pPr>
              <w:pStyle w:val="TAC"/>
              <w:rPr>
                <w:b/>
                <w:sz w:val="16"/>
                <w:szCs w:val="16"/>
              </w:rPr>
            </w:pPr>
            <w:r w:rsidRPr="00873B6C">
              <w:rPr>
                <w:b/>
                <w:sz w:val="16"/>
                <w:szCs w:val="16"/>
              </w:rPr>
              <w:t>16.0.0</w:t>
            </w:r>
          </w:p>
        </w:tc>
      </w:tr>
      <w:tr w:rsidR="00D40151" w:rsidRPr="00873B6C" w14:paraId="7AE9301D" w14:textId="77777777" w:rsidTr="009D14FB">
        <w:tc>
          <w:tcPr>
            <w:tcW w:w="800" w:type="dxa"/>
            <w:shd w:val="solid" w:color="FFFFFF" w:fill="auto"/>
          </w:tcPr>
          <w:p w14:paraId="2A0123A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8C1663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E7ABCFE" w14:textId="77777777" w:rsidR="00D40151" w:rsidRPr="00873B6C" w:rsidRDefault="00D40151" w:rsidP="009D14FB">
            <w:pPr>
              <w:pStyle w:val="TAC"/>
              <w:rPr>
                <w:sz w:val="16"/>
                <w:szCs w:val="16"/>
              </w:rPr>
            </w:pPr>
            <w:r w:rsidRPr="00873B6C">
              <w:rPr>
                <w:sz w:val="16"/>
                <w:szCs w:val="16"/>
              </w:rPr>
              <w:t>SP-190175</w:t>
            </w:r>
          </w:p>
        </w:tc>
        <w:tc>
          <w:tcPr>
            <w:tcW w:w="567" w:type="dxa"/>
            <w:shd w:val="solid" w:color="FFFFFF" w:fill="auto"/>
          </w:tcPr>
          <w:p w14:paraId="45B14FE3" w14:textId="77777777" w:rsidR="00D40151" w:rsidRPr="00873B6C" w:rsidRDefault="00D40151" w:rsidP="009D14FB">
            <w:pPr>
              <w:pStyle w:val="TAL"/>
              <w:rPr>
                <w:sz w:val="16"/>
                <w:szCs w:val="16"/>
              </w:rPr>
            </w:pPr>
            <w:r w:rsidRPr="00873B6C">
              <w:rPr>
                <w:sz w:val="16"/>
                <w:szCs w:val="16"/>
              </w:rPr>
              <w:t>1022</w:t>
            </w:r>
          </w:p>
        </w:tc>
        <w:tc>
          <w:tcPr>
            <w:tcW w:w="425" w:type="dxa"/>
            <w:shd w:val="solid" w:color="FFFFFF" w:fill="auto"/>
          </w:tcPr>
          <w:p w14:paraId="3E529BC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2F9CE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7A321CE" w14:textId="77777777" w:rsidR="00D40151" w:rsidRPr="00873B6C" w:rsidRDefault="00D40151" w:rsidP="009D14FB">
            <w:pPr>
              <w:pStyle w:val="TAL"/>
              <w:rPr>
                <w:sz w:val="16"/>
                <w:szCs w:val="16"/>
              </w:rPr>
            </w:pPr>
            <w:r w:rsidRPr="00873B6C">
              <w:rPr>
                <w:sz w:val="16"/>
                <w:szCs w:val="16"/>
              </w:rPr>
              <w:t>Introduction of Dedicated Bearer for Ethernet support in EPC</w:t>
            </w:r>
          </w:p>
        </w:tc>
        <w:tc>
          <w:tcPr>
            <w:tcW w:w="708" w:type="dxa"/>
            <w:shd w:val="solid" w:color="FFFFFF" w:fill="auto"/>
          </w:tcPr>
          <w:p w14:paraId="4854DE83" w14:textId="77777777" w:rsidR="00D40151" w:rsidRPr="00873B6C" w:rsidRDefault="00D40151" w:rsidP="009D14FB">
            <w:pPr>
              <w:pStyle w:val="TAC"/>
              <w:rPr>
                <w:b/>
                <w:sz w:val="16"/>
                <w:szCs w:val="16"/>
              </w:rPr>
            </w:pPr>
            <w:r w:rsidRPr="00873B6C">
              <w:rPr>
                <w:b/>
                <w:sz w:val="16"/>
                <w:szCs w:val="16"/>
              </w:rPr>
              <w:t>16.0.0</w:t>
            </w:r>
          </w:p>
        </w:tc>
      </w:tr>
      <w:tr w:rsidR="00D40151" w:rsidRPr="00873B6C" w14:paraId="2781CE1E" w14:textId="77777777" w:rsidTr="009D14FB">
        <w:tc>
          <w:tcPr>
            <w:tcW w:w="800" w:type="dxa"/>
            <w:tcBorders>
              <w:bottom w:val="single" w:sz="6" w:space="0" w:color="auto"/>
            </w:tcBorders>
            <w:shd w:val="solid" w:color="FFFFFF" w:fill="auto"/>
          </w:tcPr>
          <w:p w14:paraId="5EE7B149" w14:textId="77777777" w:rsidR="00D40151" w:rsidRPr="00873B6C" w:rsidRDefault="00D40151" w:rsidP="009D14FB">
            <w:pPr>
              <w:pStyle w:val="TAC"/>
              <w:rPr>
                <w:sz w:val="16"/>
                <w:szCs w:val="16"/>
              </w:rPr>
            </w:pPr>
            <w:r w:rsidRPr="00873B6C">
              <w:rPr>
                <w:sz w:val="16"/>
                <w:szCs w:val="16"/>
              </w:rPr>
              <w:t>2019-04</w:t>
            </w:r>
          </w:p>
        </w:tc>
        <w:tc>
          <w:tcPr>
            <w:tcW w:w="800" w:type="dxa"/>
            <w:tcBorders>
              <w:bottom w:val="single" w:sz="6" w:space="0" w:color="auto"/>
            </w:tcBorders>
            <w:shd w:val="solid" w:color="FFFFFF" w:fill="auto"/>
          </w:tcPr>
          <w:p w14:paraId="798914F5" w14:textId="77777777" w:rsidR="00D40151" w:rsidRPr="00873B6C" w:rsidRDefault="00D40151" w:rsidP="009D14FB">
            <w:pPr>
              <w:pStyle w:val="TAC"/>
              <w:rPr>
                <w:sz w:val="16"/>
                <w:szCs w:val="16"/>
              </w:rPr>
            </w:pPr>
            <w:r w:rsidRPr="00873B6C">
              <w:rPr>
                <w:sz w:val="16"/>
                <w:szCs w:val="16"/>
              </w:rPr>
              <w:t>-</w:t>
            </w:r>
          </w:p>
        </w:tc>
        <w:tc>
          <w:tcPr>
            <w:tcW w:w="1094" w:type="dxa"/>
            <w:tcBorders>
              <w:bottom w:val="single" w:sz="6" w:space="0" w:color="auto"/>
            </w:tcBorders>
            <w:shd w:val="solid" w:color="FFFFFF" w:fill="auto"/>
          </w:tcPr>
          <w:p w14:paraId="1AF5FA3C" w14:textId="77777777" w:rsidR="00D40151" w:rsidRPr="00873B6C" w:rsidRDefault="00D40151" w:rsidP="009D14FB">
            <w:pPr>
              <w:pStyle w:val="TAC"/>
              <w:rPr>
                <w:sz w:val="16"/>
                <w:szCs w:val="16"/>
              </w:rPr>
            </w:pPr>
            <w:r w:rsidRPr="00873B6C">
              <w:rPr>
                <w:sz w:val="16"/>
                <w:szCs w:val="16"/>
              </w:rPr>
              <w:t>-</w:t>
            </w:r>
          </w:p>
        </w:tc>
        <w:tc>
          <w:tcPr>
            <w:tcW w:w="567" w:type="dxa"/>
            <w:tcBorders>
              <w:bottom w:val="single" w:sz="6" w:space="0" w:color="auto"/>
            </w:tcBorders>
            <w:shd w:val="solid" w:color="FFFFFF" w:fill="auto"/>
          </w:tcPr>
          <w:p w14:paraId="698D93C1"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6" w:space="0" w:color="auto"/>
            </w:tcBorders>
            <w:shd w:val="solid" w:color="FFFFFF" w:fill="auto"/>
          </w:tcPr>
          <w:p w14:paraId="776A49A6"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6" w:space="0" w:color="auto"/>
            </w:tcBorders>
            <w:shd w:val="solid" w:color="FFFFFF" w:fill="auto"/>
          </w:tcPr>
          <w:p w14:paraId="43984CC8" w14:textId="77777777" w:rsidR="00D40151" w:rsidRPr="00873B6C" w:rsidRDefault="00D40151" w:rsidP="009D14FB">
            <w:pPr>
              <w:pStyle w:val="TAL"/>
              <w:rPr>
                <w:sz w:val="16"/>
                <w:szCs w:val="16"/>
              </w:rPr>
            </w:pPr>
            <w:r w:rsidRPr="00873B6C">
              <w:rPr>
                <w:sz w:val="16"/>
                <w:szCs w:val="16"/>
              </w:rPr>
              <w:t>-</w:t>
            </w:r>
          </w:p>
        </w:tc>
        <w:tc>
          <w:tcPr>
            <w:tcW w:w="4820" w:type="dxa"/>
            <w:tcBorders>
              <w:bottom w:val="single" w:sz="6" w:space="0" w:color="auto"/>
            </w:tcBorders>
            <w:shd w:val="solid" w:color="FFFFFF" w:fill="auto"/>
          </w:tcPr>
          <w:p w14:paraId="44C668A7" w14:textId="77777777" w:rsidR="00D40151" w:rsidRPr="00873B6C" w:rsidRDefault="00D40151" w:rsidP="009D14FB">
            <w:pPr>
              <w:pStyle w:val="TAL"/>
              <w:rPr>
                <w:sz w:val="16"/>
                <w:szCs w:val="16"/>
              </w:rPr>
            </w:pPr>
            <w:r w:rsidRPr="00873B6C">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873B6C" w:rsidRDefault="00D40151" w:rsidP="009D14FB">
            <w:pPr>
              <w:pStyle w:val="TAC"/>
              <w:rPr>
                <w:b/>
                <w:sz w:val="16"/>
                <w:szCs w:val="16"/>
              </w:rPr>
            </w:pPr>
            <w:r w:rsidRPr="00873B6C">
              <w:rPr>
                <w:b/>
                <w:sz w:val="16"/>
                <w:szCs w:val="16"/>
              </w:rPr>
              <w:t>16.0.1</w:t>
            </w:r>
          </w:p>
        </w:tc>
      </w:tr>
      <w:tr w:rsidR="00D40151" w:rsidRPr="00873B6C" w14:paraId="54894BB8" w14:textId="77777777" w:rsidTr="009D14FB">
        <w:tc>
          <w:tcPr>
            <w:tcW w:w="800" w:type="dxa"/>
            <w:tcBorders>
              <w:bottom w:val="single" w:sz="12" w:space="0" w:color="auto"/>
            </w:tcBorders>
            <w:shd w:val="solid" w:color="FFFFFF" w:fill="auto"/>
          </w:tcPr>
          <w:p w14:paraId="39CD2C44" w14:textId="77777777" w:rsidR="00D40151" w:rsidRPr="00873B6C" w:rsidRDefault="00D40151" w:rsidP="009D14FB">
            <w:pPr>
              <w:pStyle w:val="TAC"/>
              <w:rPr>
                <w:sz w:val="16"/>
                <w:szCs w:val="16"/>
              </w:rPr>
            </w:pPr>
            <w:r w:rsidRPr="00873B6C">
              <w:rPr>
                <w:sz w:val="16"/>
                <w:szCs w:val="16"/>
              </w:rPr>
              <w:t>2019-04</w:t>
            </w:r>
          </w:p>
        </w:tc>
        <w:tc>
          <w:tcPr>
            <w:tcW w:w="800" w:type="dxa"/>
            <w:tcBorders>
              <w:bottom w:val="single" w:sz="12" w:space="0" w:color="auto"/>
            </w:tcBorders>
            <w:shd w:val="solid" w:color="FFFFFF" w:fill="auto"/>
          </w:tcPr>
          <w:p w14:paraId="0F27FE9A" w14:textId="77777777" w:rsidR="00D40151" w:rsidRPr="00873B6C" w:rsidRDefault="00D40151" w:rsidP="009D14FB">
            <w:pPr>
              <w:pStyle w:val="TAC"/>
              <w:rPr>
                <w:sz w:val="16"/>
                <w:szCs w:val="16"/>
              </w:rPr>
            </w:pPr>
            <w:r w:rsidRPr="00873B6C">
              <w:rPr>
                <w:sz w:val="16"/>
                <w:szCs w:val="16"/>
              </w:rPr>
              <w:t>-</w:t>
            </w:r>
          </w:p>
        </w:tc>
        <w:tc>
          <w:tcPr>
            <w:tcW w:w="1094" w:type="dxa"/>
            <w:tcBorders>
              <w:bottom w:val="single" w:sz="12" w:space="0" w:color="auto"/>
            </w:tcBorders>
            <w:shd w:val="solid" w:color="FFFFFF" w:fill="auto"/>
          </w:tcPr>
          <w:p w14:paraId="0C5F21E1" w14:textId="77777777" w:rsidR="00D40151" w:rsidRPr="00873B6C" w:rsidRDefault="00D40151" w:rsidP="009D14FB">
            <w:pPr>
              <w:pStyle w:val="TAC"/>
              <w:rPr>
                <w:sz w:val="16"/>
                <w:szCs w:val="16"/>
              </w:rPr>
            </w:pPr>
            <w:r w:rsidRPr="00873B6C">
              <w:rPr>
                <w:sz w:val="16"/>
                <w:szCs w:val="16"/>
              </w:rPr>
              <w:t>-</w:t>
            </w:r>
          </w:p>
        </w:tc>
        <w:tc>
          <w:tcPr>
            <w:tcW w:w="567" w:type="dxa"/>
            <w:tcBorders>
              <w:bottom w:val="single" w:sz="12" w:space="0" w:color="auto"/>
            </w:tcBorders>
            <w:shd w:val="solid" w:color="FFFFFF" w:fill="auto"/>
          </w:tcPr>
          <w:p w14:paraId="38A3769A"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12" w:space="0" w:color="auto"/>
            </w:tcBorders>
            <w:shd w:val="solid" w:color="FFFFFF" w:fill="auto"/>
          </w:tcPr>
          <w:p w14:paraId="7209BED2"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12" w:space="0" w:color="auto"/>
            </w:tcBorders>
            <w:shd w:val="solid" w:color="FFFFFF" w:fill="auto"/>
          </w:tcPr>
          <w:p w14:paraId="7AEA6610" w14:textId="77777777" w:rsidR="00D40151" w:rsidRPr="00873B6C" w:rsidRDefault="00D40151" w:rsidP="009D14FB">
            <w:pPr>
              <w:pStyle w:val="TAL"/>
              <w:rPr>
                <w:sz w:val="16"/>
                <w:szCs w:val="16"/>
              </w:rPr>
            </w:pPr>
            <w:r w:rsidRPr="00873B6C">
              <w:rPr>
                <w:sz w:val="16"/>
                <w:szCs w:val="16"/>
              </w:rPr>
              <w:t>-</w:t>
            </w:r>
          </w:p>
        </w:tc>
        <w:tc>
          <w:tcPr>
            <w:tcW w:w="4820" w:type="dxa"/>
            <w:tcBorders>
              <w:bottom w:val="single" w:sz="12" w:space="0" w:color="auto"/>
            </w:tcBorders>
            <w:shd w:val="solid" w:color="FFFFFF" w:fill="auto"/>
          </w:tcPr>
          <w:p w14:paraId="0D5A63AF" w14:textId="77777777" w:rsidR="00D40151" w:rsidRPr="00873B6C" w:rsidRDefault="00D40151" w:rsidP="009D14FB">
            <w:pPr>
              <w:pStyle w:val="TAL"/>
              <w:rPr>
                <w:sz w:val="16"/>
                <w:szCs w:val="16"/>
              </w:rPr>
            </w:pPr>
            <w:r w:rsidRPr="00873B6C">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873B6C" w:rsidRDefault="00D40151" w:rsidP="009D14FB">
            <w:pPr>
              <w:pStyle w:val="TAC"/>
              <w:rPr>
                <w:b/>
                <w:sz w:val="16"/>
                <w:szCs w:val="16"/>
              </w:rPr>
            </w:pPr>
            <w:r w:rsidRPr="00873B6C">
              <w:rPr>
                <w:b/>
                <w:sz w:val="16"/>
                <w:szCs w:val="16"/>
              </w:rPr>
              <w:t>16.0.2</w:t>
            </w:r>
          </w:p>
        </w:tc>
      </w:tr>
      <w:tr w:rsidR="00D40151" w:rsidRPr="00873B6C" w14:paraId="523754C6" w14:textId="77777777" w:rsidTr="009D14FB">
        <w:tc>
          <w:tcPr>
            <w:tcW w:w="800" w:type="dxa"/>
            <w:tcBorders>
              <w:top w:val="single" w:sz="12" w:space="0" w:color="auto"/>
            </w:tcBorders>
            <w:shd w:val="solid" w:color="FFFFFF" w:fill="auto"/>
          </w:tcPr>
          <w:p w14:paraId="322ABD5E" w14:textId="77777777" w:rsidR="00D40151" w:rsidRPr="00873B6C" w:rsidRDefault="00D40151" w:rsidP="009D14FB">
            <w:pPr>
              <w:pStyle w:val="TAC"/>
              <w:rPr>
                <w:sz w:val="16"/>
                <w:szCs w:val="16"/>
              </w:rPr>
            </w:pPr>
            <w:r w:rsidRPr="00873B6C">
              <w:rPr>
                <w:sz w:val="16"/>
                <w:szCs w:val="16"/>
              </w:rPr>
              <w:t>2019-06</w:t>
            </w:r>
          </w:p>
        </w:tc>
        <w:tc>
          <w:tcPr>
            <w:tcW w:w="800" w:type="dxa"/>
            <w:tcBorders>
              <w:top w:val="single" w:sz="12" w:space="0" w:color="auto"/>
            </w:tcBorders>
            <w:shd w:val="solid" w:color="FFFFFF" w:fill="auto"/>
          </w:tcPr>
          <w:p w14:paraId="2CAF8BBA" w14:textId="77777777" w:rsidR="00D40151" w:rsidRPr="00873B6C" w:rsidRDefault="00D40151" w:rsidP="009D14FB">
            <w:pPr>
              <w:pStyle w:val="TAC"/>
              <w:rPr>
                <w:sz w:val="16"/>
                <w:szCs w:val="16"/>
              </w:rPr>
            </w:pPr>
            <w:r w:rsidRPr="00873B6C">
              <w:rPr>
                <w:sz w:val="16"/>
                <w:szCs w:val="16"/>
              </w:rPr>
              <w:t>SP#84</w:t>
            </w:r>
          </w:p>
        </w:tc>
        <w:tc>
          <w:tcPr>
            <w:tcW w:w="1094" w:type="dxa"/>
            <w:tcBorders>
              <w:top w:val="single" w:sz="12" w:space="0" w:color="auto"/>
            </w:tcBorders>
            <w:shd w:val="solid" w:color="FFFFFF" w:fill="auto"/>
          </w:tcPr>
          <w:p w14:paraId="65902A79" w14:textId="77777777" w:rsidR="00D40151" w:rsidRPr="00873B6C" w:rsidRDefault="00D40151" w:rsidP="009D14FB">
            <w:pPr>
              <w:pStyle w:val="TAC"/>
              <w:rPr>
                <w:sz w:val="16"/>
                <w:szCs w:val="16"/>
              </w:rPr>
            </w:pPr>
            <w:r w:rsidRPr="00873B6C">
              <w:rPr>
                <w:sz w:val="16"/>
                <w:szCs w:val="16"/>
              </w:rPr>
              <w:t>SP-190407</w:t>
            </w:r>
          </w:p>
        </w:tc>
        <w:tc>
          <w:tcPr>
            <w:tcW w:w="567" w:type="dxa"/>
            <w:tcBorders>
              <w:top w:val="single" w:sz="12" w:space="0" w:color="auto"/>
            </w:tcBorders>
            <w:shd w:val="solid" w:color="FFFFFF" w:fill="auto"/>
          </w:tcPr>
          <w:p w14:paraId="66BA3DDE" w14:textId="77777777" w:rsidR="00D40151" w:rsidRPr="00873B6C" w:rsidRDefault="00D40151" w:rsidP="009D14FB">
            <w:pPr>
              <w:pStyle w:val="TAL"/>
              <w:rPr>
                <w:sz w:val="16"/>
                <w:szCs w:val="16"/>
              </w:rPr>
            </w:pPr>
            <w:r w:rsidRPr="00873B6C">
              <w:rPr>
                <w:sz w:val="16"/>
                <w:szCs w:val="16"/>
              </w:rPr>
              <w:t>0892</w:t>
            </w:r>
          </w:p>
        </w:tc>
        <w:tc>
          <w:tcPr>
            <w:tcW w:w="425" w:type="dxa"/>
            <w:tcBorders>
              <w:top w:val="single" w:sz="12" w:space="0" w:color="auto"/>
            </w:tcBorders>
            <w:shd w:val="solid" w:color="FFFFFF" w:fill="auto"/>
          </w:tcPr>
          <w:p w14:paraId="11E46CA8" w14:textId="77777777" w:rsidR="00D40151" w:rsidRPr="00873B6C" w:rsidRDefault="00D40151" w:rsidP="009D14FB">
            <w:pPr>
              <w:pStyle w:val="TAL"/>
              <w:rPr>
                <w:sz w:val="16"/>
                <w:szCs w:val="16"/>
              </w:rPr>
            </w:pPr>
            <w:r w:rsidRPr="00873B6C">
              <w:rPr>
                <w:sz w:val="16"/>
                <w:szCs w:val="16"/>
              </w:rPr>
              <w:t>4</w:t>
            </w:r>
          </w:p>
        </w:tc>
        <w:tc>
          <w:tcPr>
            <w:tcW w:w="425" w:type="dxa"/>
            <w:tcBorders>
              <w:top w:val="single" w:sz="12" w:space="0" w:color="auto"/>
            </w:tcBorders>
            <w:shd w:val="solid" w:color="FFFFFF" w:fill="auto"/>
          </w:tcPr>
          <w:p w14:paraId="032917F1" w14:textId="77777777" w:rsidR="00D40151" w:rsidRPr="00873B6C" w:rsidRDefault="00D40151" w:rsidP="009D14FB">
            <w:pPr>
              <w:pStyle w:val="TAL"/>
              <w:rPr>
                <w:sz w:val="16"/>
                <w:szCs w:val="16"/>
              </w:rPr>
            </w:pPr>
            <w:r w:rsidRPr="00873B6C">
              <w:rPr>
                <w:sz w:val="16"/>
                <w:szCs w:val="16"/>
              </w:rPr>
              <w:t>B</w:t>
            </w:r>
          </w:p>
        </w:tc>
        <w:tc>
          <w:tcPr>
            <w:tcW w:w="4820" w:type="dxa"/>
            <w:tcBorders>
              <w:top w:val="single" w:sz="12" w:space="0" w:color="auto"/>
            </w:tcBorders>
            <w:shd w:val="solid" w:color="FFFFFF" w:fill="auto"/>
          </w:tcPr>
          <w:p w14:paraId="5A8820C9" w14:textId="77777777" w:rsidR="00D40151" w:rsidRPr="00873B6C" w:rsidRDefault="00D40151" w:rsidP="009D14FB">
            <w:pPr>
              <w:pStyle w:val="TAL"/>
              <w:rPr>
                <w:sz w:val="16"/>
                <w:szCs w:val="16"/>
              </w:rPr>
            </w:pPr>
            <w:r w:rsidRPr="00873B6C">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873B6C" w:rsidRDefault="00D40151" w:rsidP="009D14FB">
            <w:pPr>
              <w:pStyle w:val="TAC"/>
              <w:rPr>
                <w:sz w:val="16"/>
                <w:szCs w:val="16"/>
              </w:rPr>
            </w:pPr>
            <w:r w:rsidRPr="00873B6C">
              <w:rPr>
                <w:sz w:val="16"/>
                <w:szCs w:val="16"/>
              </w:rPr>
              <w:t>16.1.0</w:t>
            </w:r>
          </w:p>
        </w:tc>
      </w:tr>
      <w:tr w:rsidR="00D40151" w:rsidRPr="00873B6C" w14:paraId="2E9AA5ED" w14:textId="77777777" w:rsidTr="009D14FB">
        <w:tc>
          <w:tcPr>
            <w:tcW w:w="800" w:type="dxa"/>
            <w:shd w:val="solid" w:color="FFFFFF" w:fill="auto"/>
          </w:tcPr>
          <w:p w14:paraId="2FBC099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BC9DC7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A1CD5C4"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6F41B40A" w14:textId="77777777" w:rsidR="00D40151" w:rsidRPr="00873B6C" w:rsidRDefault="00D40151" w:rsidP="009D14FB">
            <w:pPr>
              <w:pStyle w:val="TAL"/>
              <w:rPr>
                <w:sz w:val="16"/>
                <w:szCs w:val="16"/>
              </w:rPr>
            </w:pPr>
            <w:r w:rsidRPr="00873B6C">
              <w:rPr>
                <w:sz w:val="16"/>
                <w:szCs w:val="16"/>
              </w:rPr>
              <w:t>1019</w:t>
            </w:r>
          </w:p>
        </w:tc>
        <w:tc>
          <w:tcPr>
            <w:tcW w:w="425" w:type="dxa"/>
            <w:shd w:val="solid" w:color="FFFFFF" w:fill="auto"/>
          </w:tcPr>
          <w:p w14:paraId="46A4DCC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DB726A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526C0C" w14:textId="77777777" w:rsidR="00D40151" w:rsidRPr="00873B6C" w:rsidRDefault="00D40151" w:rsidP="009D14FB">
            <w:pPr>
              <w:pStyle w:val="TAL"/>
              <w:rPr>
                <w:sz w:val="16"/>
                <w:szCs w:val="16"/>
              </w:rPr>
            </w:pPr>
            <w:r w:rsidRPr="00873B6C">
              <w:rPr>
                <w:sz w:val="16"/>
                <w:szCs w:val="16"/>
              </w:rPr>
              <w:t>Support of EPC interworking for CIoT Monitoring Events</w:t>
            </w:r>
          </w:p>
        </w:tc>
        <w:tc>
          <w:tcPr>
            <w:tcW w:w="708" w:type="dxa"/>
            <w:shd w:val="solid" w:color="FFFFFF" w:fill="auto"/>
          </w:tcPr>
          <w:p w14:paraId="1307D59D" w14:textId="77777777" w:rsidR="00D40151" w:rsidRPr="00873B6C" w:rsidRDefault="00D40151" w:rsidP="009D14FB">
            <w:pPr>
              <w:pStyle w:val="TAC"/>
              <w:rPr>
                <w:sz w:val="16"/>
                <w:szCs w:val="16"/>
              </w:rPr>
            </w:pPr>
            <w:r w:rsidRPr="00873B6C">
              <w:rPr>
                <w:sz w:val="16"/>
                <w:szCs w:val="16"/>
              </w:rPr>
              <w:t>16.1.0</w:t>
            </w:r>
          </w:p>
        </w:tc>
      </w:tr>
      <w:tr w:rsidR="00D40151" w:rsidRPr="00873B6C" w14:paraId="337761ED" w14:textId="77777777" w:rsidTr="009D14FB">
        <w:tc>
          <w:tcPr>
            <w:tcW w:w="800" w:type="dxa"/>
            <w:shd w:val="solid" w:color="FFFFFF" w:fill="auto"/>
          </w:tcPr>
          <w:p w14:paraId="7DDC504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800DC8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419295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7453E9EF" w14:textId="77777777" w:rsidR="00D40151" w:rsidRPr="00873B6C" w:rsidRDefault="00D40151" w:rsidP="009D14FB">
            <w:pPr>
              <w:pStyle w:val="TAL"/>
              <w:rPr>
                <w:sz w:val="16"/>
                <w:szCs w:val="16"/>
              </w:rPr>
            </w:pPr>
            <w:r w:rsidRPr="00873B6C">
              <w:rPr>
                <w:sz w:val="16"/>
                <w:szCs w:val="16"/>
              </w:rPr>
              <w:t>1028</w:t>
            </w:r>
          </w:p>
        </w:tc>
        <w:tc>
          <w:tcPr>
            <w:tcW w:w="425" w:type="dxa"/>
            <w:shd w:val="solid" w:color="FFFFFF" w:fill="auto"/>
          </w:tcPr>
          <w:p w14:paraId="5242754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99FD95"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60A22055" w14:textId="77777777" w:rsidR="00D40151" w:rsidRPr="00873B6C" w:rsidRDefault="00D40151" w:rsidP="009D14FB">
            <w:pPr>
              <w:pStyle w:val="TAL"/>
              <w:rPr>
                <w:sz w:val="16"/>
                <w:szCs w:val="16"/>
              </w:rPr>
            </w:pPr>
            <w:r w:rsidRPr="00873B6C">
              <w:rPr>
                <w:sz w:val="16"/>
                <w:szCs w:val="16"/>
              </w:rPr>
              <w:t>Proper naming of the reference point between two UPFs for direct routing</w:t>
            </w:r>
          </w:p>
        </w:tc>
        <w:tc>
          <w:tcPr>
            <w:tcW w:w="708" w:type="dxa"/>
            <w:shd w:val="solid" w:color="FFFFFF" w:fill="auto"/>
          </w:tcPr>
          <w:p w14:paraId="46BF499A" w14:textId="77777777" w:rsidR="00D40151" w:rsidRPr="00873B6C" w:rsidRDefault="00D40151" w:rsidP="009D14FB">
            <w:pPr>
              <w:pStyle w:val="TAC"/>
              <w:rPr>
                <w:sz w:val="16"/>
                <w:szCs w:val="16"/>
              </w:rPr>
            </w:pPr>
            <w:r w:rsidRPr="00873B6C">
              <w:rPr>
                <w:sz w:val="16"/>
                <w:szCs w:val="16"/>
              </w:rPr>
              <w:t>16.1.0</w:t>
            </w:r>
          </w:p>
        </w:tc>
      </w:tr>
      <w:tr w:rsidR="00D40151" w:rsidRPr="00873B6C" w14:paraId="0119520F" w14:textId="77777777" w:rsidTr="009D14FB">
        <w:tc>
          <w:tcPr>
            <w:tcW w:w="800" w:type="dxa"/>
            <w:shd w:val="solid" w:color="FFFFFF" w:fill="auto"/>
          </w:tcPr>
          <w:p w14:paraId="05F497C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370004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AC803E7"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764A99C5" w14:textId="77777777" w:rsidR="00D40151" w:rsidRPr="00873B6C" w:rsidRDefault="00D40151" w:rsidP="009D14FB">
            <w:pPr>
              <w:pStyle w:val="TAL"/>
              <w:rPr>
                <w:sz w:val="16"/>
                <w:szCs w:val="16"/>
              </w:rPr>
            </w:pPr>
            <w:r w:rsidRPr="00873B6C">
              <w:rPr>
                <w:sz w:val="16"/>
                <w:szCs w:val="16"/>
              </w:rPr>
              <w:t>1033</w:t>
            </w:r>
          </w:p>
        </w:tc>
        <w:tc>
          <w:tcPr>
            <w:tcW w:w="425" w:type="dxa"/>
            <w:shd w:val="solid" w:color="FFFFFF" w:fill="auto"/>
          </w:tcPr>
          <w:p w14:paraId="26FA072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0F0AB3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BE48312" w14:textId="77777777" w:rsidR="00D40151" w:rsidRPr="00873B6C" w:rsidRDefault="00D40151" w:rsidP="009D14FB">
            <w:pPr>
              <w:pStyle w:val="TAL"/>
              <w:rPr>
                <w:sz w:val="16"/>
                <w:szCs w:val="16"/>
                <w:lang w:val="fr-FR"/>
              </w:rPr>
            </w:pPr>
            <w:r w:rsidRPr="00873B6C">
              <w:rPr>
                <w:sz w:val="16"/>
                <w:szCs w:val="16"/>
                <w:lang w:val="fr-FR"/>
              </w:rPr>
              <w:t>Clarification on MA PDU session</w:t>
            </w:r>
          </w:p>
        </w:tc>
        <w:tc>
          <w:tcPr>
            <w:tcW w:w="708" w:type="dxa"/>
            <w:shd w:val="solid" w:color="FFFFFF" w:fill="auto"/>
          </w:tcPr>
          <w:p w14:paraId="5884FE36" w14:textId="77777777" w:rsidR="00D40151" w:rsidRPr="00873B6C" w:rsidRDefault="00D40151" w:rsidP="009D14FB">
            <w:pPr>
              <w:pStyle w:val="TAC"/>
              <w:rPr>
                <w:sz w:val="16"/>
                <w:szCs w:val="16"/>
              </w:rPr>
            </w:pPr>
            <w:r w:rsidRPr="00873B6C">
              <w:rPr>
                <w:sz w:val="16"/>
                <w:szCs w:val="16"/>
              </w:rPr>
              <w:t>16.1.0</w:t>
            </w:r>
          </w:p>
        </w:tc>
      </w:tr>
      <w:tr w:rsidR="00D40151" w:rsidRPr="00873B6C" w14:paraId="06F4A55C" w14:textId="77777777" w:rsidTr="009D14FB">
        <w:tc>
          <w:tcPr>
            <w:tcW w:w="800" w:type="dxa"/>
            <w:shd w:val="solid" w:color="FFFFFF" w:fill="auto"/>
          </w:tcPr>
          <w:p w14:paraId="436DC74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5824F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340FC55"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7F1D1C6C" w14:textId="77777777" w:rsidR="00D40151" w:rsidRPr="00873B6C" w:rsidRDefault="00D40151" w:rsidP="009D14FB">
            <w:pPr>
              <w:pStyle w:val="TAL"/>
              <w:rPr>
                <w:sz w:val="16"/>
                <w:szCs w:val="16"/>
              </w:rPr>
            </w:pPr>
            <w:r w:rsidRPr="00873B6C">
              <w:rPr>
                <w:sz w:val="16"/>
                <w:szCs w:val="16"/>
              </w:rPr>
              <w:t>1034</w:t>
            </w:r>
          </w:p>
        </w:tc>
        <w:tc>
          <w:tcPr>
            <w:tcW w:w="425" w:type="dxa"/>
            <w:shd w:val="solid" w:color="FFFFFF" w:fill="auto"/>
          </w:tcPr>
          <w:p w14:paraId="1AD84962"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683E8A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D8217E7" w14:textId="77777777" w:rsidR="00D40151" w:rsidRPr="00873B6C" w:rsidRDefault="00D40151" w:rsidP="009D14FB">
            <w:pPr>
              <w:pStyle w:val="TAL"/>
              <w:rPr>
                <w:sz w:val="16"/>
                <w:szCs w:val="16"/>
              </w:rPr>
            </w:pPr>
            <w:r w:rsidRPr="00873B6C">
              <w:rPr>
                <w:sz w:val="16"/>
                <w:szCs w:val="16"/>
              </w:rPr>
              <w:t>Determination of access availability</w:t>
            </w:r>
          </w:p>
        </w:tc>
        <w:tc>
          <w:tcPr>
            <w:tcW w:w="708" w:type="dxa"/>
            <w:shd w:val="solid" w:color="FFFFFF" w:fill="auto"/>
          </w:tcPr>
          <w:p w14:paraId="42DBD7DA" w14:textId="77777777" w:rsidR="00D40151" w:rsidRPr="00873B6C" w:rsidRDefault="00D40151" w:rsidP="009D14FB">
            <w:pPr>
              <w:pStyle w:val="TAC"/>
              <w:rPr>
                <w:sz w:val="16"/>
                <w:szCs w:val="16"/>
              </w:rPr>
            </w:pPr>
            <w:r w:rsidRPr="00873B6C">
              <w:rPr>
                <w:sz w:val="16"/>
                <w:szCs w:val="16"/>
              </w:rPr>
              <w:t>16.1.0</w:t>
            </w:r>
          </w:p>
        </w:tc>
      </w:tr>
      <w:tr w:rsidR="00D40151" w:rsidRPr="00873B6C" w14:paraId="2FFAD707" w14:textId="77777777" w:rsidTr="009D14FB">
        <w:tc>
          <w:tcPr>
            <w:tcW w:w="800" w:type="dxa"/>
            <w:shd w:val="solid" w:color="FFFFFF" w:fill="auto"/>
          </w:tcPr>
          <w:p w14:paraId="727861C2" w14:textId="77777777" w:rsidR="00D40151" w:rsidRPr="00873B6C" w:rsidRDefault="00D40151" w:rsidP="009D14FB">
            <w:pPr>
              <w:pStyle w:val="TAC"/>
              <w:rPr>
                <w:sz w:val="16"/>
                <w:szCs w:val="16"/>
              </w:rPr>
            </w:pPr>
            <w:r w:rsidRPr="00873B6C">
              <w:rPr>
                <w:sz w:val="16"/>
                <w:szCs w:val="16"/>
              </w:rPr>
              <w:lastRenderedPageBreak/>
              <w:t>2019-06</w:t>
            </w:r>
          </w:p>
        </w:tc>
        <w:tc>
          <w:tcPr>
            <w:tcW w:w="800" w:type="dxa"/>
            <w:shd w:val="solid" w:color="FFFFFF" w:fill="auto"/>
          </w:tcPr>
          <w:p w14:paraId="0F4B372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390A22C" w14:textId="77777777" w:rsidR="00D40151" w:rsidRPr="00873B6C" w:rsidRDefault="00D40151" w:rsidP="009D14FB">
            <w:pPr>
              <w:pStyle w:val="TAC"/>
              <w:rPr>
                <w:sz w:val="16"/>
                <w:szCs w:val="16"/>
              </w:rPr>
            </w:pPr>
            <w:r w:rsidRPr="00873B6C">
              <w:rPr>
                <w:sz w:val="16"/>
                <w:szCs w:val="16"/>
              </w:rPr>
              <w:t>SP-190419</w:t>
            </w:r>
          </w:p>
        </w:tc>
        <w:tc>
          <w:tcPr>
            <w:tcW w:w="567" w:type="dxa"/>
            <w:shd w:val="solid" w:color="FFFFFF" w:fill="auto"/>
          </w:tcPr>
          <w:p w14:paraId="6EAA503E" w14:textId="77777777" w:rsidR="00D40151" w:rsidRPr="00873B6C" w:rsidRDefault="00D40151" w:rsidP="009D14FB">
            <w:pPr>
              <w:pStyle w:val="TAL"/>
              <w:rPr>
                <w:sz w:val="16"/>
                <w:szCs w:val="16"/>
              </w:rPr>
            </w:pPr>
            <w:r w:rsidRPr="00873B6C">
              <w:rPr>
                <w:sz w:val="16"/>
                <w:szCs w:val="16"/>
              </w:rPr>
              <w:t>1035</w:t>
            </w:r>
          </w:p>
        </w:tc>
        <w:tc>
          <w:tcPr>
            <w:tcW w:w="425" w:type="dxa"/>
            <w:shd w:val="solid" w:color="FFFFFF" w:fill="auto"/>
          </w:tcPr>
          <w:p w14:paraId="16D547B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F2C442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03FEA8E" w14:textId="77777777" w:rsidR="00D40151" w:rsidRPr="00873B6C" w:rsidRDefault="00D40151" w:rsidP="009D14FB">
            <w:pPr>
              <w:pStyle w:val="TAL"/>
              <w:rPr>
                <w:sz w:val="16"/>
                <w:szCs w:val="16"/>
              </w:rPr>
            </w:pPr>
            <w:r w:rsidRPr="00873B6C">
              <w:rPr>
                <w:sz w:val="16"/>
                <w:szCs w:val="16"/>
              </w:rPr>
              <w:t>NRF based P-CSCF discovery</w:t>
            </w:r>
          </w:p>
        </w:tc>
        <w:tc>
          <w:tcPr>
            <w:tcW w:w="708" w:type="dxa"/>
            <w:shd w:val="solid" w:color="FFFFFF" w:fill="auto"/>
          </w:tcPr>
          <w:p w14:paraId="1F1627A0" w14:textId="77777777" w:rsidR="00D40151" w:rsidRPr="00873B6C" w:rsidRDefault="00D40151" w:rsidP="009D14FB">
            <w:pPr>
              <w:pStyle w:val="TAC"/>
              <w:rPr>
                <w:sz w:val="16"/>
                <w:szCs w:val="16"/>
              </w:rPr>
            </w:pPr>
            <w:r w:rsidRPr="00873B6C">
              <w:rPr>
                <w:sz w:val="16"/>
                <w:szCs w:val="16"/>
              </w:rPr>
              <w:t>16.1.0</w:t>
            </w:r>
          </w:p>
        </w:tc>
      </w:tr>
      <w:tr w:rsidR="00D40151" w:rsidRPr="00873B6C" w14:paraId="2A981218" w14:textId="77777777" w:rsidTr="009D14FB">
        <w:tc>
          <w:tcPr>
            <w:tcW w:w="800" w:type="dxa"/>
            <w:shd w:val="solid" w:color="FFFFFF" w:fill="auto"/>
          </w:tcPr>
          <w:p w14:paraId="4518005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4D1A01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8F7325A" w14:textId="77777777" w:rsidR="00D40151" w:rsidRPr="00873B6C" w:rsidRDefault="00D40151" w:rsidP="009D14FB">
            <w:pPr>
              <w:pStyle w:val="TAC"/>
              <w:rPr>
                <w:sz w:val="16"/>
                <w:szCs w:val="16"/>
              </w:rPr>
            </w:pPr>
            <w:r w:rsidRPr="00873B6C">
              <w:rPr>
                <w:sz w:val="16"/>
                <w:szCs w:val="16"/>
              </w:rPr>
              <w:t>SP-190425</w:t>
            </w:r>
          </w:p>
        </w:tc>
        <w:tc>
          <w:tcPr>
            <w:tcW w:w="567" w:type="dxa"/>
            <w:shd w:val="solid" w:color="FFFFFF" w:fill="auto"/>
          </w:tcPr>
          <w:p w14:paraId="7E536FAC" w14:textId="77777777" w:rsidR="00D40151" w:rsidRPr="00873B6C" w:rsidRDefault="00D40151" w:rsidP="009D14FB">
            <w:pPr>
              <w:pStyle w:val="TAL"/>
              <w:rPr>
                <w:sz w:val="16"/>
                <w:szCs w:val="16"/>
              </w:rPr>
            </w:pPr>
            <w:r w:rsidRPr="00873B6C">
              <w:rPr>
                <w:sz w:val="16"/>
                <w:szCs w:val="16"/>
              </w:rPr>
              <w:t>1037</w:t>
            </w:r>
          </w:p>
        </w:tc>
        <w:tc>
          <w:tcPr>
            <w:tcW w:w="425" w:type="dxa"/>
            <w:shd w:val="solid" w:color="FFFFFF" w:fill="auto"/>
          </w:tcPr>
          <w:p w14:paraId="61F0168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29D8C1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1152887" w14:textId="77777777" w:rsidR="00D40151" w:rsidRPr="00873B6C" w:rsidRDefault="00D40151" w:rsidP="009D14FB">
            <w:pPr>
              <w:pStyle w:val="TAL"/>
              <w:rPr>
                <w:sz w:val="16"/>
                <w:szCs w:val="16"/>
              </w:rPr>
            </w:pPr>
            <w:r w:rsidRPr="00873B6C">
              <w:rPr>
                <w:sz w:val="16"/>
                <w:szCs w:val="16"/>
              </w:rPr>
              <w:t>Introduction of RACS: UCMF services</w:t>
            </w:r>
          </w:p>
        </w:tc>
        <w:tc>
          <w:tcPr>
            <w:tcW w:w="708" w:type="dxa"/>
            <w:shd w:val="solid" w:color="FFFFFF" w:fill="auto"/>
          </w:tcPr>
          <w:p w14:paraId="23C07D6A" w14:textId="77777777" w:rsidR="00D40151" w:rsidRPr="00873B6C" w:rsidRDefault="00D40151" w:rsidP="009D14FB">
            <w:pPr>
              <w:pStyle w:val="TAC"/>
              <w:rPr>
                <w:sz w:val="16"/>
                <w:szCs w:val="16"/>
              </w:rPr>
            </w:pPr>
            <w:r w:rsidRPr="00873B6C">
              <w:rPr>
                <w:sz w:val="16"/>
                <w:szCs w:val="16"/>
              </w:rPr>
              <w:t>16.1.0</w:t>
            </w:r>
          </w:p>
        </w:tc>
      </w:tr>
      <w:tr w:rsidR="00D40151" w:rsidRPr="00873B6C" w14:paraId="4AC5C784" w14:textId="77777777" w:rsidTr="009D14FB">
        <w:tc>
          <w:tcPr>
            <w:tcW w:w="800" w:type="dxa"/>
            <w:shd w:val="solid" w:color="FFFFFF" w:fill="auto"/>
          </w:tcPr>
          <w:p w14:paraId="26FAE5B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24C830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C4A7872" w14:textId="77777777" w:rsidR="00D40151" w:rsidRPr="00873B6C" w:rsidRDefault="00D40151" w:rsidP="009D14FB">
            <w:pPr>
              <w:pStyle w:val="TAC"/>
              <w:rPr>
                <w:sz w:val="16"/>
                <w:szCs w:val="16"/>
              </w:rPr>
            </w:pPr>
            <w:r w:rsidRPr="00873B6C">
              <w:rPr>
                <w:sz w:val="16"/>
                <w:szCs w:val="16"/>
              </w:rPr>
              <w:t>SP-190514</w:t>
            </w:r>
          </w:p>
        </w:tc>
        <w:tc>
          <w:tcPr>
            <w:tcW w:w="567" w:type="dxa"/>
            <w:shd w:val="solid" w:color="FFFFFF" w:fill="auto"/>
          </w:tcPr>
          <w:p w14:paraId="5FFB7CA7" w14:textId="77777777" w:rsidR="00D40151" w:rsidRPr="00873B6C" w:rsidRDefault="00D40151" w:rsidP="009D14FB">
            <w:pPr>
              <w:pStyle w:val="TAL"/>
              <w:rPr>
                <w:sz w:val="16"/>
                <w:szCs w:val="16"/>
              </w:rPr>
            </w:pPr>
            <w:r w:rsidRPr="00873B6C">
              <w:rPr>
                <w:sz w:val="16"/>
                <w:szCs w:val="16"/>
              </w:rPr>
              <w:t>1042</w:t>
            </w:r>
          </w:p>
        </w:tc>
        <w:tc>
          <w:tcPr>
            <w:tcW w:w="425" w:type="dxa"/>
            <w:shd w:val="solid" w:color="FFFFFF" w:fill="auto"/>
          </w:tcPr>
          <w:p w14:paraId="4DE9F38D"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3313CB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2F41AAB" w14:textId="77777777" w:rsidR="00D40151" w:rsidRPr="00873B6C" w:rsidRDefault="00D40151" w:rsidP="009D14FB">
            <w:pPr>
              <w:pStyle w:val="TAL"/>
              <w:rPr>
                <w:sz w:val="16"/>
                <w:szCs w:val="16"/>
              </w:rPr>
            </w:pPr>
            <w:r w:rsidRPr="00873B6C">
              <w:rPr>
                <w:sz w:val="16"/>
                <w:szCs w:val="16"/>
              </w:rPr>
              <w:t>Correcting factors to consider for PCF selection</w:t>
            </w:r>
          </w:p>
        </w:tc>
        <w:tc>
          <w:tcPr>
            <w:tcW w:w="708" w:type="dxa"/>
            <w:shd w:val="solid" w:color="FFFFFF" w:fill="auto"/>
          </w:tcPr>
          <w:p w14:paraId="59AFDD33" w14:textId="77777777" w:rsidR="00D40151" w:rsidRPr="00873B6C" w:rsidRDefault="00D40151" w:rsidP="009D14FB">
            <w:pPr>
              <w:pStyle w:val="TAC"/>
              <w:rPr>
                <w:sz w:val="16"/>
                <w:szCs w:val="16"/>
              </w:rPr>
            </w:pPr>
            <w:r w:rsidRPr="00873B6C">
              <w:rPr>
                <w:sz w:val="16"/>
                <w:szCs w:val="16"/>
              </w:rPr>
              <w:t>16.1.0</w:t>
            </w:r>
          </w:p>
        </w:tc>
      </w:tr>
      <w:tr w:rsidR="00D40151" w:rsidRPr="00873B6C" w14:paraId="241D1191" w14:textId="77777777" w:rsidTr="009D14FB">
        <w:tc>
          <w:tcPr>
            <w:tcW w:w="800" w:type="dxa"/>
            <w:shd w:val="solid" w:color="FFFFFF" w:fill="auto"/>
          </w:tcPr>
          <w:p w14:paraId="2083F29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0FD4F7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0DE30D8"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3704932E" w14:textId="77777777" w:rsidR="00D40151" w:rsidRPr="00873B6C" w:rsidRDefault="00D40151" w:rsidP="009D14FB">
            <w:pPr>
              <w:pStyle w:val="TAL"/>
              <w:rPr>
                <w:sz w:val="16"/>
                <w:szCs w:val="16"/>
              </w:rPr>
            </w:pPr>
            <w:r w:rsidRPr="00873B6C">
              <w:rPr>
                <w:sz w:val="16"/>
                <w:szCs w:val="16"/>
              </w:rPr>
              <w:t>1044</w:t>
            </w:r>
          </w:p>
        </w:tc>
        <w:tc>
          <w:tcPr>
            <w:tcW w:w="425" w:type="dxa"/>
            <w:shd w:val="solid" w:color="FFFFFF" w:fill="auto"/>
          </w:tcPr>
          <w:p w14:paraId="458F205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ED89CD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705F23E" w14:textId="77777777" w:rsidR="00D40151" w:rsidRPr="00873B6C" w:rsidRDefault="00D40151" w:rsidP="009D14FB">
            <w:pPr>
              <w:pStyle w:val="TAL"/>
              <w:rPr>
                <w:sz w:val="16"/>
                <w:szCs w:val="16"/>
              </w:rPr>
            </w:pPr>
            <w:r w:rsidRPr="00873B6C">
              <w:rPr>
                <w:sz w:val="16"/>
                <w:szCs w:val="16"/>
              </w:rPr>
              <w:t>QoS Notification Control</w:t>
            </w:r>
          </w:p>
        </w:tc>
        <w:tc>
          <w:tcPr>
            <w:tcW w:w="708" w:type="dxa"/>
            <w:shd w:val="solid" w:color="FFFFFF" w:fill="auto"/>
          </w:tcPr>
          <w:p w14:paraId="3A2B2451" w14:textId="77777777" w:rsidR="00D40151" w:rsidRPr="00873B6C" w:rsidRDefault="00D40151" w:rsidP="009D14FB">
            <w:pPr>
              <w:pStyle w:val="TAC"/>
              <w:rPr>
                <w:sz w:val="16"/>
                <w:szCs w:val="16"/>
              </w:rPr>
            </w:pPr>
            <w:r w:rsidRPr="00873B6C">
              <w:rPr>
                <w:sz w:val="16"/>
                <w:szCs w:val="16"/>
              </w:rPr>
              <w:t>16.1.0</w:t>
            </w:r>
          </w:p>
        </w:tc>
      </w:tr>
      <w:tr w:rsidR="00D40151" w:rsidRPr="00873B6C" w14:paraId="76EB54DA" w14:textId="77777777" w:rsidTr="009D14FB">
        <w:tc>
          <w:tcPr>
            <w:tcW w:w="800" w:type="dxa"/>
            <w:shd w:val="solid" w:color="FFFFFF" w:fill="auto"/>
          </w:tcPr>
          <w:p w14:paraId="0A37AED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53BF6D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878F2BD"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130520B1" w14:textId="77777777" w:rsidR="00D40151" w:rsidRPr="00873B6C" w:rsidRDefault="00D40151" w:rsidP="009D14FB">
            <w:pPr>
              <w:pStyle w:val="TAL"/>
              <w:rPr>
                <w:sz w:val="16"/>
                <w:szCs w:val="16"/>
              </w:rPr>
            </w:pPr>
            <w:r w:rsidRPr="00873B6C">
              <w:rPr>
                <w:sz w:val="16"/>
                <w:szCs w:val="16"/>
              </w:rPr>
              <w:t>1047</w:t>
            </w:r>
          </w:p>
        </w:tc>
        <w:tc>
          <w:tcPr>
            <w:tcW w:w="425" w:type="dxa"/>
            <w:shd w:val="solid" w:color="FFFFFF" w:fill="auto"/>
          </w:tcPr>
          <w:p w14:paraId="46C3EC9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557F88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E547AC" w14:textId="77777777" w:rsidR="00D40151" w:rsidRPr="00873B6C" w:rsidRDefault="00D40151" w:rsidP="009D14FB">
            <w:pPr>
              <w:pStyle w:val="TAL"/>
              <w:rPr>
                <w:sz w:val="16"/>
                <w:szCs w:val="16"/>
              </w:rPr>
            </w:pPr>
            <w:r w:rsidRPr="00873B6C">
              <w:rPr>
                <w:sz w:val="16"/>
                <w:szCs w:val="16"/>
              </w:rPr>
              <w:t>MICO mode and Periodic Registration Timer Control</w:t>
            </w:r>
          </w:p>
        </w:tc>
        <w:tc>
          <w:tcPr>
            <w:tcW w:w="708" w:type="dxa"/>
            <w:shd w:val="solid" w:color="FFFFFF" w:fill="auto"/>
          </w:tcPr>
          <w:p w14:paraId="48FB9762" w14:textId="77777777" w:rsidR="00D40151" w:rsidRPr="00873B6C" w:rsidRDefault="00D40151" w:rsidP="009D14FB">
            <w:pPr>
              <w:pStyle w:val="TAC"/>
              <w:rPr>
                <w:sz w:val="16"/>
                <w:szCs w:val="16"/>
              </w:rPr>
            </w:pPr>
            <w:r w:rsidRPr="00873B6C">
              <w:rPr>
                <w:sz w:val="16"/>
                <w:szCs w:val="16"/>
              </w:rPr>
              <w:t>16.1.0</w:t>
            </w:r>
          </w:p>
        </w:tc>
      </w:tr>
      <w:tr w:rsidR="00D40151" w:rsidRPr="00873B6C" w14:paraId="4B76862E" w14:textId="77777777" w:rsidTr="009D14FB">
        <w:tc>
          <w:tcPr>
            <w:tcW w:w="800" w:type="dxa"/>
            <w:shd w:val="solid" w:color="FFFFFF" w:fill="auto"/>
          </w:tcPr>
          <w:p w14:paraId="3D232F9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9E6CD7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6660F5F"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44689CFB" w14:textId="77777777" w:rsidR="00D40151" w:rsidRPr="00873B6C" w:rsidRDefault="00D40151" w:rsidP="009D14FB">
            <w:pPr>
              <w:pStyle w:val="TAL"/>
              <w:rPr>
                <w:sz w:val="16"/>
                <w:szCs w:val="16"/>
              </w:rPr>
            </w:pPr>
            <w:r w:rsidRPr="00873B6C">
              <w:rPr>
                <w:sz w:val="16"/>
                <w:szCs w:val="16"/>
              </w:rPr>
              <w:t>1050</w:t>
            </w:r>
          </w:p>
        </w:tc>
        <w:tc>
          <w:tcPr>
            <w:tcW w:w="425" w:type="dxa"/>
            <w:shd w:val="solid" w:color="FFFFFF" w:fill="auto"/>
          </w:tcPr>
          <w:p w14:paraId="7C5B318E"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18915C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314B960" w14:textId="77777777" w:rsidR="00D40151" w:rsidRPr="00873B6C" w:rsidRDefault="00D40151" w:rsidP="009D14FB">
            <w:pPr>
              <w:pStyle w:val="TAL"/>
              <w:rPr>
                <w:sz w:val="16"/>
                <w:szCs w:val="16"/>
              </w:rPr>
            </w:pPr>
            <w:r w:rsidRPr="00873B6C">
              <w:rPr>
                <w:sz w:val="16"/>
                <w:szCs w:val="16"/>
              </w:rPr>
              <w:t>Transfer of N4 information for local traffic switching from SMF to I-SMF</w:t>
            </w:r>
          </w:p>
        </w:tc>
        <w:tc>
          <w:tcPr>
            <w:tcW w:w="708" w:type="dxa"/>
            <w:shd w:val="solid" w:color="FFFFFF" w:fill="auto"/>
          </w:tcPr>
          <w:p w14:paraId="1D18620E" w14:textId="77777777" w:rsidR="00D40151" w:rsidRPr="00873B6C" w:rsidRDefault="00D40151" w:rsidP="009D14FB">
            <w:pPr>
              <w:pStyle w:val="TAC"/>
              <w:rPr>
                <w:sz w:val="16"/>
                <w:szCs w:val="16"/>
              </w:rPr>
            </w:pPr>
            <w:r w:rsidRPr="00873B6C">
              <w:rPr>
                <w:sz w:val="16"/>
                <w:szCs w:val="16"/>
              </w:rPr>
              <w:t>16.1.0</w:t>
            </w:r>
          </w:p>
        </w:tc>
      </w:tr>
      <w:tr w:rsidR="00D40151" w:rsidRPr="00873B6C" w14:paraId="5456F99C" w14:textId="77777777" w:rsidTr="009D14FB">
        <w:tc>
          <w:tcPr>
            <w:tcW w:w="800" w:type="dxa"/>
            <w:shd w:val="solid" w:color="FFFFFF" w:fill="auto"/>
          </w:tcPr>
          <w:p w14:paraId="1D067D6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D05F1C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819F1FC"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664FFF9" w14:textId="77777777" w:rsidR="00D40151" w:rsidRPr="00873B6C" w:rsidRDefault="00D40151" w:rsidP="009D14FB">
            <w:pPr>
              <w:pStyle w:val="TAL"/>
              <w:rPr>
                <w:sz w:val="16"/>
                <w:szCs w:val="16"/>
              </w:rPr>
            </w:pPr>
            <w:r w:rsidRPr="00873B6C">
              <w:rPr>
                <w:sz w:val="16"/>
                <w:szCs w:val="16"/>
              </w:rPr>
              <w:t>1015</w:t>
            </w:r>
          </w:p>
        </w:tc>
        <w:tc>
          <w:tcPr>
            <w:tcW w:w="425" w:type="dxa"/>
            <w:shd w:val="solid" w:color="FFFFFF" w:fill="auto"/>
          </w:tcPr>
          <w:p w14:paraId="4BBCF2D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BCCD7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82414C5" w14:textId="77777777" w:rsidR="00D40151" w:rsidRPr="00873B6C" w:rsidRDefault="00D40151" w:rsidP="009D14FB">
            <w:pPr>
              <w:pStyle w:val="TAL"/>
              <w:rPr>
                <w:sz w:val="16"/>
                <w:szCs w:val="16"/>
              </w:rPr>
            </w:pPr>
            <w:r w:rsidRPr="00873B6C">
              <w:rPr>
                <w:sz w:val="16"/>
                <w:szCs w:val="16"/>
              </w:rPr>
              <w:t>Proposed update to 5G LAN terminology</w:t>
            </w:r>
          </w:p>
        </w:tc>
        <w:tc>
          <w:tcPr>
            <w:tcW w:w="708" w:type="dxa"/>
            <w:shd w:val="solid" w:color="FFFFFF" w:fill="auto"/>
          </w:tcPr>
          <w:p w14:paraId="0B3D93AD" w14:textId="77777777" w:rsidR="00D40151" w:rsidRPr="00873B6C" w:rsidRDefault="00D40151" w:rsidP="009D14FB">
            <w:pPr>
              <w:pStyle w:val="TAC"/>
              <w:rPr>
                <w:sz w:val="16"/>
                <w:szCs w:val="16"/>
              </w:rPr>
            </w:pPr>
            <w:r w:rsidRPr="00873B6C">
              <w:rPr>
                <w:sz w:val="16"/>
                <w:szCs w:val="16"/>
              </w:rPr>
              <w:t>16.1.0</w:t>
            </w:r>
          </w:p>
        </w:tc>
      </w:tr>
      <w:tr w:rsidR="00D40151" w:rsidRPr="00873B6C" w14:paraId="30A80534" w14:textId="77777777" w:rsidTr="009D14FB">
        <w:tc>
          <w:tcPr>
            <w:tcW w:w="800" w:type="dxa"/>
            <w:shd w:val="solid" w:color="FFFFFF" w:fill="auto"/>
          </w:tcPr>
          <w:p w14:paraId="27B2C47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028E20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B74E31E"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1E39B9F0" w14:textId="77777777" w:rsidR="00D40151" w:rsidRPr="00873B6C" w:rsidRDefault="00D40151" w:rsidP="009D14FB">
            <w:pPr>
              <w:pStyle w:val="TAL"/>
              <w:rPr>
                <w:sz w:val="16"/>
                <w:szCs w:val="16"/>
              </w:rPr>
            </w:pPr>
            <w:r w:rsidRPr="00873B6C">
              <w:rPr>
                <w:sz w:val="16"/>
                <w:szCs w:val="16"/>
              </w:rPr>
              <w:t>1052</w:t>
            </w:r>
          </w:p>
        </w:tc>
        <w:tc>
          <w:tcPr>
            <w:tcW w:w="425" w:type="dxa"/>
            <w:shd w:val="solid" w:color="FFFFFF" w:fill="auto"/>
          </w:tcPr>
          <w:p w14:paraId="279EDCF8"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148FD31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CA1C749" w14:textId="77777777" w:rsidR="00D40151" w:rsidRPr="00873B6C" w:rsidRDefault="00D40151" w:rsidP="009D14FB">
            <w:pPr>
              <w:pStyle w:val="TAL"/>
              <w:rPr>
                <w:sz w:val="16"/>
                <w:szCs w:val="16"/>
              </w:rPr>
            </w:pPr>
            <w:r w:rsidRPr="00873B6C">
              <w:rPr>
                <w:sz w:val="16"/>
                <w:szCs w:val="16"/>
              </w:rPr>
              <w:t>Further detailing of 5G LAN group management</w:t>
            </w:r>
          </w:p>
        </w:tc>
        <w:tc>
          <w:tcPr>
            <w:tcW w:w="708" w:type="dxa"/>
            <w:shd w:val="solid" w:color="FFFFFF" w:fill="auto"/>
          </w:tcPr>
          <w:p w14:paraId="156722A0" w14:textId="77777777" w:rsidR="00D40151" w:rsidRPr="00873B6C" w:rsidRDefault="00D40151" w:rsidP="009D14FB">
            <w:pPr>
              <w:pStyle w:val="TAC"/>
              <w:rPr>
                <w:sz w:val="16"/>
                <w:szCs w:val="16"/>
              </w:rPr>
            </w:pPr>
            <w:r w:rsidRPr="00873B6C">
              <w:rPr>
                <w:sz w:val="16"/>
                <w:szCs w:val="16"/>
              </w:rPr>
              <w:t>16.1.0</w:t>
            </w:r>
          </w:p>
        </w:tc>
      </w:tr>
      <w:tr w:rsidR="00D40151" w:rsidRPr="00873B6C" w14:paraId="0A51EBA9" w14:textId="77777777" w:rsidTr="009D14FB">
        <w:tc>
          <w:tcPr>
            <w:tcW w:w="800" w:type="dxa"/>
            <w:shd w:val="solid" w:color="FFFFFF" w:fill="auto"/>
          </w:tcPr>
          <w:p w14:paraId="38DC74C2"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C77FA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C9AB1F"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50B68D9E" w14:textId="77777777" w:rsidR="00D40151" w:rsidRPr="00873B6C" w:rsidRDefault="00D40151" w:rsidP="009D14FB">
            <w:pPr>
              <w:pStyle w:val="TAL"/>
              <w:rPr>
                <w:sz w:val="16"/>
                <w:szCs w:val="16"/>
              </w:rPr>
            </w:pPr>
            <w:r w:rsidRPr="00873B6C">
              <w:rPr>
                <w:sz w:val="16"/>
                <w:szCs w:val="16"/>
              </w:rPr>
              <w:t>1055</w:t>
            </w:r>
          </w:p>
        </w:tc>
        <w:tc>
          <w:tcPr>
            <w:tcW w:w="425" w:type="dxa"/>
            <w:shd w:val="solid" w:color="FFFFFF" w:fill="auto"/>
          </w:tcPr>
          <w:p w14:paraId="0663B99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AD2E15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1BB580" w14:textId="77777777" w:rsidR="00D40151" w:rsidRPr="00873B6C" w:rsidRDefault="00D40151" w:rsidP="009D14FB">
            <w:pPr>
              <w:pStyle w:val="TAL"/>
              <w:rPr>
                <w:sz w:val="16"/>
                <w:szCs w:val="16"/>
              </w:rPr>
            </w:pPr>
            <w:r w:rsidRPr="00873B6C">
              <w:rPr>
                <w:sz w:val="16"/>
                <w:szCs w:val="16"/>
              </w:rPr>
              <w:t>Correction of SMF selecting UPF for a particular PDU Session supporting EPS IWK</w:t>
            </w:r>
          </w:p>
        </w:tc>
        <w:tc>
          <w:tcPr>
            <w:tcW w:w="708" w:type="dxa"/>
            <w:shd w:val="solid" w:color="FFFFFF" w:fill="auto"/>
          </w:tcPr>
          <w:p w14:paraId="0D0EC2C0" w14:textId="77777777" w:rsidR="00D40151" w:rsidRPr="00873B6C" w:rsidRDefault="00D40151" w:rsidP="009D14FB">
            <w:pPr>
              <w:pStyle w:val="TAC"/>
              <w:rPr>
                <w:sz w:val="16"/>
                <w:szCs w:val="16"/>
              </w:rPr>
            </w:pPr>
            <w:r w:rsidRPr="00873B6C">
              <w:rPr>
                <w:sz w:val="16"/>
                <w:szCs w:val="16"/>
              </w:rPr>
              <w:t>16.1.0</w:t>
            </w:r>
          </w:p>
        </w:tc>
      </w:tr>
      <w:tr w:rsidR="00D40151" w:rsidRPr="00873B6C" w14:paraId="11148AB9" w14:textId="77777777" w:rsidTr="009D14FB">
        <w:tc>
          <w:tcPr>
            <w:tcW w:w="800" w:type="dxa"/>
            <w:shd w:val="solid" w:color="FFFFFF" w:fill="auto"/>
          </w:tcPr>
          <w:p w14:paraId="03CA76C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93C907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37EA740"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5CE33EC8" w14:textId="77777777" w:rsidR="00D40151" w:rsidRPr="00873B6C" w:rsidRDefault="00D40151" w:rsidP="009D14FB">
            <w:pPr>
              <w:pStyle w:val="TAL"/>
              <w:rPr>
                <w:sz w:val="16"/>
                <w:szCs w:val="16"/>
              </w:rPr>
            </w:pPr>
            <w:r w:rsidRPr="00873B6C">
              <w:rPr>
                <w:sz w:val="16"/>
                <w:szCs w:val="16"/>
              </w:rPr>
              <w:t>1056</w:t>
            </w:r>
          </w:p>
        </w:tc>
        <w:tc>
          <w:tcPr>
            <w:tcW w:w="425" w:type="dxa"/>
            <w:shd w:val="solid" w:color="FFFFFF" w:fill="auto"/>
          </w:tcPr>
          <w:p w14:paraId="14EC544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96AD90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15A1B7" w14:textId="77777777" w:rsidR="00D40151" w:rsidRPr="00873B6C" w:rsidRDefault="00D40151" w:rsidP="009D14FB">
            <w:pPr>
              <w:pStyle w:val="TAL"/>
              <w:rPr>
                <w:sz w:val="16"/>
                <w:szCs w:val="16"/>
              </w:rPr>
            </w:pPr>
            <w:r w:rsidRPr="00873B6C">
              <w:rPr>
                <w:sz w:val="16"/>
                <w:szCs w:val="16"/>
              </w:rPr>
              <w:t>Network Slicing and delegated discovery</w:t>
            </w:r>
          </w:p>
        </w:tc>
        <w:tc>
          <w:tcPr>
            <w:tcW w:w="708" w:type="dxa"/>
            <w:shd w:val="solid" w:color="FFFFFF" w:fill="auto"/>
          </w:tcPr>
          <w:p w14:paraId="0FE9A2BB" w14:textId="77777777" w:rsidR="00D40151" w:rsidRPr="00873B6C" w:rsidRDefault="00D40151" w:rsidP="009D14FB">
            <w:pPr>
              <w:pStyle w:val="TAC"/>
              <w:rPr>
                <w:sz w:val="16"/>
                <w:szCs w:val="16"/>
              </w:rPr>
            </w:pPr>
            <w:r w:rsidRPr="00873B6C">
              <w:rPr>
                <w:sz w:val="16"/>
                <w:szCs w:val="16"/>
              </w:rPr>
              <w:t>16.1.0</w:t>
            </w:r>
          </w:p>
        </w:tc>
      </w:tr>
      <w:tr w:rsidR="00D40151" w:rsidRPr="00873B6C" w14:paraId="3AFC86A5" w14:textId="77777777" w:rsidTr="009D14FB">
        <w:tc>
          <w:tcPr>
            <w:tcW w:w="800" w:type="dxa"/>
            <w:shd w:val="solid" w:color="FFFFFF" w:fill="auto"/>
          </w:tcPr>
          <w:p w14:paraId="5C1A83D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03FD40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BB4CD22"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522E4F9E" w14:textId="77777777" w:rsidR="00D40151" w:rsidRPr="00873B6C" w:rsidRDefault="00D40151" w:rsidP="009D14FB">
            <w:pPr>
              <w:pStyle w:val="TAL"/>
              <w:rPr>
                <w:sz w:val="16"/>
                <w:szCs w:val="16"/>
              </w:rPr>
            </w:pPr>
            <w:r w:rsidRPr="00873B6C">
              <w:rPr>
                <w:sz w:val="16"/>
                <w:szCs w:val="16"/>
              </w:rPr>
              <w:t>1059</w:t>
            </w:r>
          </w:p>
        </w:tc>
        <w:tc>
          <w:tcPr>
            <w:tcW w:w="425" w:type="dxa"/>
            <w:shd w:val="solid" w:color="FFFFFF" w:fill="auto"/>
          </w:tcPr>
          <w:p w14:paraId="55B1467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CE892C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52BBF2" w14:textId="77777777" w:rsidR="00D40151" w:rsidRPr="00873B6C" w:rsidRDefault="00D40151" w:rsidP="009D14FB">
            <w:pPr>
              <w:pStyle w:val="TAL"/>
              <w:rPr>
                <w:sz w:val="16"/>
                <w:szCs w:val="16"/>
              </w:rPr>
            </w:pPr>
            <w:r w:rsidRPr="00873B6C">
              <w:rPr>
                <w:sz w:val="16"/>
                <w:szCs w:val="16"/>
              </w:rPr>
              <w:t>UE specific DRX parameter use for NB-IOT</w:t>
            </w:r>
          </w:p>
        </w:tc>
        <w:tc>
          <w:tcPr>
            <w:tcW w:w="708" w:type="dxa"/>
            <w:shd w:val="solid" w:color="FFFFFF" w:fill="auto"/>
          </w:tcPr>
          <w:p w14:paraId="6E0117D7" w14:textId="77777777" w:rsidR="00D40151" w:rsidRPr="00873B6C" w:rsidRDefault="00D40151" w:rsidP="009D14FB">
            <w:pPr>
              <w:pStyle w:val="TAC"/>
              <w:rPr>
                <w:sz w:val="16"/>
                <w:szCs w:val="16"/>
              </w:rPr>
            </w:pPr>
            <w:r w:rsidRPr="00873B6C">
              <w:rPr>
                <w:sz w:val="16"/>
                <w:szCs w:val="16"/>
              </w:rPr>
              <w:t>16.1.0</w:t>
            </w:r>
          </w:p>
        </w:tc>
      </w:tr>
      <w:tr w:rsidR="00D40151" w:rsidRPr="00873B6C" w14:paraId="5E30D95F" w14:textId="77777777" w:rsidTr="009D14FB">
        <w:tc>
          <w:tcPr>
            <w:tcW w:w="800" w:type="dxa"/>
            <w:shd w:val="solid" w:color="FFFFFF" w:fill="auto"/>
          </w:tcPr>
          <w:p w14:paraId="04C64562"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560611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D7AB5A9"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797CE3E" w14:textId="77777777" w:rsidR="00D40151" w:rsidRPr="00873B6C" w:rsidRDefault="00D40151" w:rsidP="009D14FB">
            <w:pPr>
              <w:pStyle w:val="TAL"/>
              <w:rPr>
                <w:sz w:val="16"/>
                <w:szCs w:val="16"/>
              </w:rPr>
            </w:pPr>
            <w:r w:rsidRPr="00873B6C">
              <w:rPr>
                <w:sz w:val="16"/>
                <w:szCs w:val="16"/>
              </w:rPr>
              <w:t>1062</w:t>
            </w:r>
          </w:p>
        </w:tc>
        <w:tc>
          <w:tcPr>
            <w:tcW w:w="425" w:type="dxa"/>
            <w:shd w:val="solid" w:color="FFFFFF" w:fill="auto"/>
          </w:tcPr>
          <w:p w14:paraId="65CFDCB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5246A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96DFC31" w14:textId="77777777" w:rsidR="00D40151" w:rsidRPr="00873B6C" w:rsidRDefault="00D40151" w:rsidP="009D14FB">
            <w:pPr>
              <w:pStyle w:val="TAL"/>
              <w:rPr>
                <w:sz w:val="16"/>
                <w:szCs w:val="16"/>
              </w:rPr>
            </w:pPr>
            <w:r w:rsidRPr="00873B6C">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873B6C" w:rsidRDefault="00D40151" w:rsidP="009D14FB">
            <w:pPr>
              <w:pStyle w:val="TAC"/>
              <w:rPr>
                <w:sz w:val="16"/>
                <w:szCs w:val="16"/>
              </w:rPr>
            </w:pPr>
            <w:r w:rsidRPr="00873B6C">
              <w:rPr>
                <w:sz w:val="16"/>
                <w:szCs w:val="16"/>
              </w:rPr>
              <w:t>16.1.0</w:t>
            </w:r>
          </w:p>
        </w:tc>
      </w:tr>
      <w:tr w:rsidR="00D40151" w:rsidRPr="00873B6C" w14:paraId="1C03D894" w14:textId="77777777" w:rsidTr="009D14FB">
        <w:tc>
          <w:tcPr>
            <w:tcW w:w="800" w:type="dxa"/>
            <w:shd w:val="solid" w:color="FFFFFF" w:fill="auto"/>
          </w:tcPr>
          <w:p w14:paraId="130FF40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6121E5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23C3DA"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571D7BE1" w14:textId="77777777" w:rsidR="00D40151" w:rsidRPr="00873B6C" w:rsidRDefault="00D40151" w:rsidP="009D14FB">
            <w:pPr>
              <w:pStyle w:val="TAL"/>
              <w:rPr>
                <w:sz w:val="16"/>
                <w:szCs w:val="16"/>
              </w:rPr>
            </w:pPr>
            <w:r w:rsidRPr="00873B6C">
              <w:rPr>
                <w:sz w:val="16"/>
                <w:szCs w:val="16"/>
              </w:rPr>
              <w:t>1064</w:t>
            </w:r>
          </w:p>
        </w:tc>
        <w:tc>
          <w:tcPr>
            <w:tcW w:w="425" w:type="dxa"/>
            <w:shd w:val="solid" w:color="FFFFFF" w:fill="auto"/>
          </w:tcPr>
          <w:p w14:paraId="21263FF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71407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AC335F4" w14:textId="77777777" w:rsidR="00D40151" w:rsidRPr="00873B6C" w:rsidRDefault="00D40151" w:rsidP="009D14FB">
            <w:pPr>
              <w:pStyle w:val="TAL"/>
              <w:rPr>
                <w:sz w:val="16"/>
                <w:szCs w:val="16"/>
              </w:rPr>
            </w:pPr>
            <w:r w:rsidRPr="00873B6C">
              <w:rPr>
                <w:sz w:val="16"/>
                <w:szCs w:val="16"/>
              </w:rPr>
              <w:t>Data volume reporting granularity</w:t>
            </w:r>
          </w:p>
        </w:tc>
        <w:tc>
          <w:tcPr>
            <w:tcW w:w="708" w:type="dxa"/>
            <w:shd w:val="solid" w:color="FFFFFF" w:fill="auto"/>
          </w:tcPr>
          <w:p w14:paraId="6DF99CDE" w14:textId="77777777" w:rsidR="00D40151" w:rsidRPr="00873B6C" w:rsidRDefault="00D40151" w:rsidP="009D14FB">
            <w:pPr>
              <w:pStyle w:val="TAC"/>
              <w:rPr>
                <w:sz w:val="16"/>
                <w:szCs w:val="16"/>
              </w:rPr>
            </w:pPr>
            <w:r w:rsidRPr="00873B6C">
              <w:rPr>
                <w:sz w:val="16"/>
                <w:szCs w:val="16"/>
              </w:rPr>
              <w:t>16.1.0</w:t>
            </w:r>
          </w:p>
        </w:tc>
      </w:tr>
      <w:tr w:rsidR="00D40151" w:rsidRPr="00873B6C" w14:paraId="701B5AC1" w14:textId="77777777" w:rsidTr="009D14FB">
        <w:tc>
          <w:tcPr>
            <w:tcW w:w="800" w:type="dxa"/>
            <w:shd w:val="solid" w:color="FFFFFF" w:fill="auto"/>
          </w:tcPr>
          <w:p w14:paraId="5A9856D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148755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3CA280D"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2D6F6353" w14:textId="77777777" w:rsidR="00D40151" w:rsidRPr="00873B6C" w:rsidRDefault="00D40151" w:rsidP="009D14FB">
            <w:pPr>
              <w:pStyle w:val="TAL"/>
              <w:rPr>
                <w:sz w:val="16"/>
                <w:szCs w:val="16"/>
              </w:rPr>
            </w:pPr>
            <w:r w:rsidRPr="00873B6C">
              <w:rPr>
                <w:sz w:val="16"/>
                <w:szCs w:val="16"/>
              </w:rPr>
              <w:t>1066</w:t>
            </w:r>
          </w:p>
        </w:tc>
        <w:tc>
          <w:tcPr>
            <w:tcW w:w="425" w:type="dxa"/>
            <w:shd w:val="solid" w:color="FFFFFF" w:fill="auto"/>
          </w:tcPr>
          <w:p w14:paraId="2542308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74BBE65"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2FD41A5C" w14:textId="77777777" w:rsidR="00D40151" w:rsidRPr="00873B6C" w:rsidRDefault="00D40151" w:rsidP="009D14FB">
            <w:pPr>
              <w:pStyle w:val="TAL"/>
              <w:rPr>
                <w:sz w:val="16"/>
                <w:szCs w:val="16"/>
              </w:rPr>
            </w:pPr>
            <w:r w:rsidRPr="00873B6C">
              <w:rPr>
                <w:sz w:val="16"/>
                <w:szCs w:val="16"/>
              </w:rPr>
              <w:t>Removal of restriction of using UE requested PDU modification request for Emergency PDU</w:t>
            </w:r>
          </w:p>
        </w:tc>
        <w:tc>
          <w:tcPr>
            <w:tcW w:w="708" w:type="dxa"/>
            <w:shd w:val="solid" w:color="FFFFFF" w:fill="auto"/>
          </w:tcPr>
          <w:p w14:paraId="77040406" w14:textId="77777777" w:rsidR="00D40151" w:rsidRPr="00873B6C" w:rsidRDefault="00D40151" w:rsidP="009D14FB">
            <w:pPr>
              <w:pStyle w:val="TAC"/>
              <w:rPr>
                <w:sz w:val="16"/>
                <w:szCs w:val="16"/>
              </w:rPr>
            </w:pPr>
            <w:r w:rsidRPr="00873B6C">
              <w:rPr>
                <w:sz w:val="16"/>
                <w:szCs w:val="16"/>
              </w:rPr>
              <w:t>16.1.0</w:t>
            </w:r>
          </w:p>
        </w:tc>
      </w:tr>
      <w:tr w:rsidR="00D40151" w:rsidRPr="00873B6C" w14:paraId="137ABBB9" w14:textId="77777777" w:rsidTr="009D14FB">
        <w:tc>
          <w:tcPr>
            <w:tcW w:w="800" w:type="dxa"/>
            <w:shd w:val="solid" w:color="FFFFFF" w:fill="auto"/>
          </w:tcPr>
          <w:p w14:paraId="647592A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D86EF5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C990067"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64B12570" w14:textId="77777777" w:rsidR="00D40151" w:rsidRPr="00873B6C" w:rsidRDefault="00D40151" w:rsidP="009D14FB">
            <w:pPr>
              <w:pStyle w:val="TAL"/>
              <w:rPr>
                <w:sz w:val="16"/>
                <w:szCs w:val="16"/>
              </w:rPr>
            </w:pPr>
            <w:r w:rsidRPr="00873B6C">
              <w:rPr>
                <w:sz w:val="16"/>
                <w:szCs w:val="16"/>
              </w:rPr>
              <w:t>1067</w:t>
            </w:r>
          </w:p>
        </w:tc>
        <w:tc>
          <w:tcPr>
            <w:tcW w:w="425" w:type="dxa"/>
            <w:shd w:val="solid" w:color="FFFFFF" w:fill="auto"/>
          </w:tcPr>
          <w:p w14:paraId="7AF63877"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52E113F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C7790B" w14:textId="77777777" w:rsidR="00D40151" w:rsidRPr="00873B6C" w:rsidRDefault="00D40151" w:rsidP="009D14FB">
            <w:pPr>
              <w:pStyle w:val="TAL"/>
              <w:rPr>
                <w:sz w:val="16"/>
                <w:szCs w:val="16"/>
              </w:rPr>
            </w:pPr>
            <w:r w:rsidRPr="00873B6C">
              <w:rPr>
                <w:sz w:val="16"/>
                <w:szCs w:val="16"/>
              </w:rPr>
              <w:t>Return to NR from EPS/RAT fallback</w:t>
            </w:r>
          </w:p>
        </w:tc>
        <w:tc>
          <w:tcPr>
            <w:tcW w:w="708" w:type="dxa"/>
            <w:shd w:val="solid" w:color="FFFFFF" w:fill="auto"/>
          </w:tcPr>
          <w:p w14:paraId="427B6912" w14:textId="77777777" w:rsidR="00D40151" w:rsidRPr="00873B6C" w:rsidRDefault="00D40151" w:rsidP="009D14FB">
            <w:pPr>
              <w:pStyle w:val="TAC"/>
              <w:rPr>
                <w:sz w:val="16"/>
                <w:szCs w:val="16"/>
              </w:rPr>
            </w:pPr>
            <w:r w:rsidRPr="00873B6C">
              <w:rPr>
                <w:sz w:val="16"/>
                <w:szCs w:val="16"/>
              </w:rPr>
              <w:t>16.1.0</w:t>
            </w:r>
          </w:p>
        </w:tc>
      </w:tr>
      <w:tr w:rsidR="00D40151" w:rsidRPr="00873B6C" w14:paraId="1FBFC2B9" w14:textId="77777777" w:rsidTr="009D14FB">
        <w:tc>
          <w:tcPr>
            <w:tcW w:w="800" w:type="dxa"/>
            <w:shd w:val="solid" w:color="FFFFFF" w:fill="auto"/>
          </w:tcPr>
          <w:p w14:paraId="6680561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47283F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83CB67B"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6C313ECF" w14:textId="77777777" w:rsidR="00D40151" w:rsidRPr="00873B6C" w:rsidRDefault="00D40151" w:rsidP="009D14FB">
            <w:pPr>
              <w:pStyle w:val="TAL"/>
              <w:rPr>
                <w:sz w:val="16"/>
                <w:szCs w:val="16"/>
              </w:rPr>
            </w:pPr>
            <w:r w:rsidRPr="00873B6C">
              <w:rPr>
                <w:sz w:val="16"/>
                <w:szCs w:val="16"/>
              </w:rPr>
              <w:t>1068</w:t>
            </w:r>
          </w:p>
        </w:tc>
        <w:tc>
          <w:tcPr>
            <w:tcW w:w="425" w:type="dxa"/>
            <w:shd w:val="solid" w:color="FFFFFF" w:fill="auto"/>
          </w:tcPr>
          <w:p w14:paraId="384378E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F81C00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B0E0BF" w14:textId="77777777" w:rsidR="00D40151" w:rsidRPr="00873B6C" w:rsidRDefault="00D40151" w:rsidP="009D14FB">
            <w:pPr>
              <w:pStyle w:val="TAL"/>
              <w:rPr>
                <w:sz w:val="16"/>
                <w:szCs w:val="16"/>
              </w:rPr>
            </w:pPr>
            <w:r w:rsidRPr="00873B6C">
              <w:rPr>
                <w:sz w:val="16"/>
                <w:szCs w:val="16"/>
              </w:rPr>
              <w:t>Clarification on PRA</w:t>
            </w:r>
          </w:p>
        </w:tc>
        <w:tc>
          <w:tcPr>
            <w:tcW w:w="708" w:type="dxa"/>
            <w:shd w:val="solid" w:color="FFFFFF" w:fill="auto"/>
          </w:tcPr>
          <w:p w14:paraId="3FAB0A87" w14:textId="77777777" w:rsidR="00D40151" w:rsidRPr="00873B6C" w:rsidRDefault="00D40151" w:rsidP="009D14FB">
            <w:pPr>
              <w:pStyle w:val="TAC"/>
              <w:rPr>
                <w:sz w:val="16"/>
                <w:szCs w:val="16"/>
              </w:rPr>
            </w:pPr>
            <w:r w:rsidRPr="00873B6C">
              <w:rPr>
                <w:sz w:val="16"/>
                <w:szCs w:val="16"/>
              </w:rPr>
              <w:t>16.1.0</w:t>
            </w:r>
          </w:p>
        </w:tc>
      </w:tr>
      <w:tr w:rsidR="00D40151" w:rsidRPr="00873B6C" w14:paraId="6A756E08" w14:textId="77777777" w:rsidTr="009D14FB">
        <w:tc>
          <w:tcPr>
            <w:tcW w:w="800" w:type="dxa"/>
            <w:shd w:val="solid" w:color="FFFFFF" w:fill="auto"/>
          </w:tcPr>
          <w:p w14:paraId="1A9DF95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973590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92BDE0E"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42F27782" w14:textId="77777777" w:rsidR="00D40151" w:rsidRPr="00873B6C" w:rsidRDefault="00D40151" w:rsidP="009D14FB">
            <w:pPr>
              <w:pStyle w:val="TAL"/>
              <w:rPr>
                <w:sz w:val="16"/>
                <w:szCs w:val="16"/>
              </w:rPr>
            </w:pPr>
            <w:r w:rsidRPr="00873B6C">
              <w:rPr>
                <w:sz w:val="16"/>
                <w:szCs w:val="16"/>
              </w:rPr>
              <w:t>1070</w:t>
            </w:r>
          </w:p>
        </w:tc>
        <w:tc>
          <w:tcPr>
            <w:tcW w:w="425" w:type="dxa"/>
            <w:shd w:val="solid" w:color="FFFFFF" w:fill="auto"/>
          </w:tcPr>
          <w:p w14:paraId="6ADF877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C5C1CB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C6A5E0" w14:textId="77777777" w:rsidR="00D40151" w:rsidRPr="00873B6C" w:rsidRDefault="00D40151" w:rsidP="009D14FB">
            <w:pPr>
              <w:pStyle w:val="TAL"/>
              <w:rPr>
                <w:sz w:val="16"/>
                <w:szCs w:val="16"/>
              </w:rPr>
            </w:pPr>
            <w:r w:rsidRPr="00873B6C">
              <w:rPr>
                <w:sz w:val="16"/>
                <w:szCs w:val="16"/>
              </w:rPr>
              <w:t>Clarification to support associating URLLC traffic to redundant PDU sessions</w:t>
            </w:r>
          </w:p>
        </w:tc>
        <w:tc>
          <w:tcPr>
            <w:tcW w:w="708" w:type="dxa"/>
            <w:shd w:val="solid" w:color="FFFFFF" w:fill="auto"/>
          </w:tcPr>
          <w:p w14:paraId="23D62C7D" w14:textId="77777777" w:rsidR="00D40151" w:rsidRPr="00873B6C" w:rsidRDefault="00D40151" w:rsidP="009D14FB">
            <w:pPr>
              <w:pStyle w:val="TAC"/>
              <w:rPr>
                <w:sz w:val="16"/>
                <w:szCs w:val="16"/>
              </w:rPr>
            </w:pPr>
            <w:r w:rsidRPr="00873B6C">
              <w:rPr>
                <w:sz w:val="16"/>
                <w:szCs w:val="16"/>
              </w:rPr>
              <w:t>16.1.0</w:t>
            </w:r>
          </w:p>
        </w:tc>
      </w:tr>
      <w:tr w:rsidR="00D40151" w:rsidRPr="00873B6C" w14:paraId="19E8010F" w14:textId="77777777" w:rsidTr="009D14FB">
        <w:tc>
          <w:tcPr>
            <w:tcW w:w="800" w:type="dxa"/>
            <w:shd w:val="solid" w:color="FFFFFF" w:fill="auto"/>
          </w:tcPr>
          <w:p w14:paraId="360B12B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1D96F8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D97D28C" w14:textId="77777777" w:rsidR="00D40151" w:rsidRPr="00873B6C" w:rsidRDefault="00D40151" w:rsidP="009D14FB">
            <w:pPr>
              <w:pStyle w:val="TAC"/>
              <w:rPr>
                <w:sz w:val="16"/>
                <w:szCs w:val="16"/>
              </w:rPr>
            </w:pPr>
            <w:r w:rsidRPr="00873B6C">
              <w:rPr>
                <w:sz w:val="16"/>
                <w:szCs w:val="16"/>
              </w:rPr>
              <w:t>SP-190425</w:t>
            </w:r>
          </w:p>
        </w:tc>
        <w:tc>
          <w:tcPr>
            <w:tcW w:w="567" w:type="dxa"/>
            <w:shd w:val="solid" w:color="FFFFFF" w:fill="auto"/>
          </w:tcPr>
          <w:p w14:paraId="74753C84" w14:textId="77777777" w:rsidR="00D40151" w:rsidRPr="00873B6C" w:rsidRDefault="00D40151" w:rsidP="009D14FB">
            <w:pPr>
              <w:pStyle w:val="TAL"/>
              <w:rPr>
                <w:sz w:val="16"/>
                <w:szCs w:val="16"/>
              </w:rPr>
            </w:pPr>
            <w:r w:rsidRPr="00873B6C">
              <w:rPr>
                <w:sz w:val="16"/>
                <w:szCs w:val="16"/>
              </w:rPr>
              <w:t>1071</w:t>
            </w:r>
          </w:p>
        </w:tc>
        <w:tc>
          <w:tcPr>
            <w:tcW w:w="425" w:type="dxa"/>
            <w:shd w:val="solid" w:color="FFFFFF" w:fill="auto"/>
          </w:tcPr>
          <w:p w14:paraId="509F974D"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57C4ED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CE9A78F" w14:textId="77777777" w:rsidR="00D40151" w:rsidRPr="00873B6C" w:rsidRDefault="00D40151" w:rsidP="009D14FB">
            <w:pPr>
              <w:pStyle w:val="TAL"/>
              <w:rPr>
                <w:sz w:val="16"/>
                <w:szCs w:val="16"/>
              </w:rPr>
            </w:pPr>
            <w:r w:rsidRPr="00873B6C">
              <w:rPr>
                <w:sz w:val="16"/>
                <w:szCs w:val="16"/>
              </w:rPr>
              <w:t>Introduction of Radio Capabilities Signalling Optimisation feature</w:t>
            </w:r>
          </w:p>
        </w:tc>
        <w:tc>
          <w:tcPr>
            <w:tcW w:w="708" w:type="dxa"/>
            <w:shd w:val="solid" w:color="FFFFFF" w:fill="auto"/>
          </w:tcPr>
          <w:p w14:paraId="0ACDF2CB" w14:textId="77777777" w:rsidR="00D40151" w:rsidRPr="00873B6C" w:rsidRDefault="00D40151" w:rsidP="009D14FB">
            <w:pPr>
              <w:pStyle w:val="TAC"/>
              <w:rPr>
                <w:sz w:val="16"/>
                <w:szCs w:val="16"/>
              </w:rPr>
            </w:pPr>
            <w:r w:rsidRPr="00873B6C">
              <w:rPr>
                <w:sz w:val="16"/>
                <w:szCs w:val="16"/>
              </w:rPr>
              <w:t>16.1.0</w:t>
            </w:r>
          </w:p>
        </w:tc>
      </w:tr>
      <w:tr w:rsidR="00D40151" w:rsidRPr="00873B6C" w14:paraId="670F9CA0" w14:textId="77777777" w:rsidTr="009D14FB">
        <w:tc>
          <w:tcPr>
            <w:tcW w:w="800" w:type="dxa"/>
            <w:shd w:val="solid" w:color="FFFFFF" w:fill="auto"/>
          </w:tcPr>
          <w:p w14:paraId="747D4F7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65EC98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D66CB9C"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B9E1203" w14:textId="77777777" w:rsidR="00D40151" w:rsidRPr="00873B6C" w:rsidRDefault="00D40151" w:rsidP="009D14FB">
            <w:pPr>
              <w:pStyle w:val="TAL"/>
              <w:rPr>
                <w:sz w:val="16"/>
                <w:szCs w:val="16"/>
              </w:rPr>
            </w:pPr>
            <w:r w:rsidRPr="00873B6C">
              <w:rPr>
                <w:sz w:val="16"/>
                <w:szCs w:val="16"/>
              </w:rPr>
              <w:t>1073</w:t>
            </w:r>
          </w:p>
        </w:tc>
        <w:tc>
          <w:tcPr>
            <w:tcW w:w="425" w:type="dxa"/>
            <w:shd w:val="solid" w:color="FFFFFF" w:fill="auto"/>
          </w:tcPr>
          <w:p w14:paraId="2A25DE20"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9C72DC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34991E" w14:textId="77777777" w:rsidR="00D40151" w:rsidRPr="00873B6C" w:rsidRDefault="00D40151" w:rsidP="009D14FB">
            <w:pPr>
              <w:pStyle w:val="TAL"/>
              <w:rPr>
                <w:sz w:val="16"/>
                <w:szCs w:val="16"/>
              </w:rPr>
            </w:pPr>
            <w:r w:rsidRPr="00873B6C">
              <w:rPr>
                <w:sz w:val="16"/>
                <w:szCs w:val="16"/>
              </w:rPr>
              <w:t>Support of emergency services in public network integrated NPNs</w:t>
            </w:r>
          </w:p>
        </w:tc>
        <w:tc>
          <w:tcPr>
            <w:tcW w:w="708" w:type="dxa"/>
            <w:shd w:val="solid" w:color="FFFFFF" w:fill="auto"/>
          </w:tcPr>
          <w:p w14:paraId="31E2DB9B" w14:textId="77777777" w:rsidR="00D40151" w:rsidRPr="00873B6C" w:rsidRDefault="00D40151" w:rsidP="009D14FB">
            <w:pPr>
              <w:pStyle w:val="TAC"/>
              <w:rPr>
                <w:sz w:val="16"/>
                <w:szCs w:val="16"/>
              </w:rPr>
            </w:pPr>
            <w:r w:rsidRPr="00873B6C">
              <w:rPr>
                <w:sz w:val="16"/>
                <w:szCs w:val="16"/>
              </w:rPr>
              <w:t>16.1.0</w:t>
            </w:r>
          </w:p>
        </w:tc>
      </w:tr>
      <w:tr w:rsidR="00D40151" w:rsidRPr="00873B6C" w14:paraId="6F0F10DE" w14:textId="77777777" w:rsidTr="009D14FB">
        <w:tc>
          <w:tcPr>
            <w:tcW w:w="800" w:type="dxa"/>
            <w:shd w:val="solid" w:color="FFFFFF" w:fill="auto"/>
          </w:tcPr>
          <w:p w14:paraId="5CF8A5B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9FAB73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253D9B4"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55D3999E" w14:textId="77777777" w:rsidR="00D40151" w:rsidRPr="00873B6C" w:rsidRDefault="00D40151" w:rsidP="009D14FB">
            <w:pPr>
              <w:pStyle w:val="TAL"/>
              <w:rPr>
                <w:sz w:val="16"/>
                <w:szCs w:val="16"/>
              </w:rPr>
            </w:pPr>
            <w:r w:rsidRPr="00873B6C">
              <w:rPr>
                <w:sz w:val="16"/>
                <w:szCs w:val="16"/>
              </w:rPr>
              <w:t>1075</w:t>
            </w:r>
          </w:p>
        </w:tc>
        <w:tc>
          <w:tcPr>
            <w:tcW w:w="425" w:type="dxa"/>
            <w:shd w:val="solid" w:color="FFFFFF" w:fill="auto"/>
          </w:tcPr>
          <w:p w14:paraId="31B92A5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79989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3D8536" w14:textId="77777777" w:rsidR="00D40151" w:rsidRPr="00873B6C" w:rsidRDefault="00D40151" w:rsidP="009D14FB">
            <w:pPr>
              <w:pStyle w:val="TAL"/>
              <w:rPr>
                <w:sz w:val="16"/>
                <w:szCs w:val="16"/>
              </w:rPr>
            </w:pPr>
            <w:r w:rsidRPr="00873B6C">
              <w:rPr>
                <w:sz w:val="16"/>
                <w:szCs w:val="16"/>
              </w:rPr>
              <w:t>Clarification on MICO and eDRX during CN node changes</w:t>
            </w:r>
          </w:p>
        </w:tc>
        <w:tc>
          <w:tcPr>
            <w:tcW w:w="708" w:type="dxa"/>
            <w:shd w:val="solid" w:color="FFFFFF" w:fill="auto"/>
          </w:tcPr>
          <w:p w14:paraId="7B2C56E9" w14:textId="77777777" w:rsidR="00D40151" w:rsidRPr="00873B6C" w:rsidRDefault="00D40151" w:rsidP="009D14FB">
            <w:pPr>
              <w:pStyle w:val="TAC"/>
              <w:rPr>
                <w:sz w:val="16"/>
                <w:szCs w:val="16"/>
              </w:rPr>
            </w:pPr>
            <w:r w:rsidRPr="00873B6C">
              <w:rPr>
                <w:sz w:val="16"/>
                <w:szCs w:val="16"/>
              </w:rPr>
              <w:t>16.1.0</w:t>
            </w:r>
          </w:p>
        </w:tc>
      </w:tr>
      <w:tr w:rsidR="00D40151" w:rsidRPr="00873B6C" w14:paraId="387340CC" w14:textId="77777777" w:rsidTr="009D14FB">
        <w:tc>
          <w:tcPr>
            <w:tcW w:w="800" w:type="dxa"/>
            <w:shd w:val="solid" w:color="FFFFFF" w:fill="auto"/>
          </w:tcPr>
          <w:p w14:paraId="300707F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8C9573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F2298B6"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6D497ADF" w14:textId="77777777" w:rsidR="00D40151" w:rsidRPr="00873B6C" w:rsidRDefault="00D40151" w:rsidP="009D14FB">
            <w:pPr>
              <w:pStyle w:val="TAL"/>
              <w:rPr>
                <w:sz w:val="16"/>
                <w:szCs w:val="16"/>
              </w:rPr>
            </w:pPr>
            <w:r w:rsidRPr="00873B6C">
              <w:rPr>
                <w:sz w:val="16"/>
                <w:szCs w:val="16"/>
              </w:rPr>
              <w:t>1078</w:t>
            </w:r>
          </w:p>
        </w:tc>
        <w:tc>
          <w:tcPr>
            <w:tcW w:w="425" w:type="dxa"/>
            <w:shd w:val="solid" w:color="FFFFFF" w:fill="auto"/>
          </w:tcPr>
          <w:p w14:paraId="36FBA77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F551E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75A3A3" w14:textId="77777777" w:rsidR="00D40151" w:rsidRPr="00873B6C" w:rsidRDefault="00D40151" w:rsidP="009D14FB">
            <w:pPr>
              <w:pStyle w:val="TAL"/>
              <w:rPr>
                <w:sz w:val="16"/>
                <w:szCs w:val="16"/>
              </w:rPr>
            </w:pPr>
            <w:r w:rsidRPr="00873B6C">
              <w:rPr>
                <w:sz w:val="16"/>
                <w:szCs w:val="16"/>
              </w:rPr>
              <w:t>Correction and clarifications for QoS Flow in MA PDU Session</w:t>
            </w:r>
          </w:p>
        </w:tc>
        <w:tc>
          <w:tcPr>
            <w:tcW w:w="708" w:type="dxa"/>
            <w:shd w:val="solid" w:color="FFFFFF" w:fill="auto"/>
          </w:tcPr>
          <w:p w14:paraId="4F1374C3" w14:textId="77777777" w:rsidR="00D40151" w:rsidRPr="00873B6C" w:rsidRDefault="00D40151" w:rsidP="009D14FB">
            <w:pPr>
              <w:pStyle w:val="TAC"/>
              <w:rPr>
                <w:sz w:val="16"/>
                <w:szCs w:val="16"/>
              </w:rPr>
            </w:pPr>
            <w:r w:rsidRPr="00873B6C">
              <w:rPr>
                <w:sz w:val="16"/>
                <w:szCs w:val="16"/>
              </w:rPr>
              <w:t>16.1.0</w:t>
            </w:r>
          </w:p>
        </w:tc>
      </w:tr>
      <w:tr w:rsidR="00D40151" w:rsidRPr="00873B6C" w14:paraId="29BA2BD2" w14:textId="77777777" w:rsidTr="009D14FB">
        <w:tc>
          <w:tcPr>
            <w:tcW w:w="800" w:type="dxa"/>
            <w:shd w:val="solid" w:color="FFFFFF" w:fill="auto"/>
          </w:tcPr>
          <w:p w14:paraId="3889916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09CC8B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9CD885F"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0CF58792" w14:textId="77777777" w:rsidR="00D40151" w:rsidRPr="00873B6C" w:rsidRDefault="00D40151" w:rsidP="009D14FB">
            <w:pPr>
              <w:pStyle w:val="TAL"/>
              <w:rPr>
                <w:sz w:val="16"/>
                <w:szCs w:val="16"/>
              </w:rPr>
            </w:pPr>
            <w:r w:rsidRPr="00873B6C">
              <w:rPr>
                <w:sz w:val="16"/>
                <w:szCs w:val="16"/>
              </w:rPr>
              <w:t>1079</w:t>
            </w:r>
          </w:p>
        </w:tc>
        <w:tc>
          <w:tcPr>
            <w:tcW w:w="425" w:type="dxa"/>
            <w:shd w:val="solid" w:color="FFFFFF" w:fill="auto"/>
          </w:tcPr>
          <w:p w14:paraId="425EA47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D814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878C4C" w14:textId="77777777" w:rsidR="00D40151" w:rsidRPr="00873B6C" w:rsidRDefault="00D40151" w:rsidP="009D14FB">
            <w:pPr>
              <w:pStyle w:val="TAL"/>
              <w:rPr>
                <w:sz w:val="16"/>
                <w:szCs w:val="16"/>
              </w:rPr>
            </w:pPr>
            <w:r w:rsidRPr="00873B6C">
              <w:rPr>
                <w:sz w:val="16"/>
                <w:szCs w:val="16"/>
              </w:rPr>
              <w:t>Correction related to ATSSS Rule</w:t>
            </w:r>
          </w:p>
        </w:tc>
        <w:tc>
          <w:tcPr>
            <w:tcW w:w="708" w:type="dxa"/>
            <w:shd w:val="solid" w:color="FFFFFF" w:fill="auto"/>
          </w:tcPr>
          <w:p w14:paraId="121E2690" w14:textId="77777777" w:rsidR="00D40151" w:rsidRPr="00873B6C" w:rsidRDefault="00D40151" w:rsidP="009D14FB">
            <w:pPr>
              <w:pStyle w:val="TAC"/>
              <w:rPr>
                <w:sz w:val="16"/>
                <w:szCs w:val="16"/>
              </w:rPr>
            </w:pPr>
            <w:r w:rsidRPr="00873B6C">
              <w:rPr>
                <w:sz w:val="16"/>
                <w:szCs w:val="16"/>
              </w:rPr>
              <w:t>16.1.0</w:t>
            </w:r>
          </w:p>
        </w:tc>
      </w:tr>
      <w:tr w:rsidR="00D40151" w:rsidRPr="00873B6C" w14:paraId="7A85BC13" w14:textId="77777777" w:rsidTr="009D14FB">
        <w:tc>
          <w:tcPr>
            <w:tcW w:w="800" w:type="dxa"/>
            <w:shd w:val="solid" w:color="FFFFFF" w:fill="auto"/>
          </w:tcPr>
          <w:p w14:paraId="662FD20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399665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EF79429"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3AFBB519" w14:textId="77777777" w:rsidR="00D40151" w:rsidRPr="00873B6C" w:rsidRDefault="00D40151" w:rsidP="009D14FB">
            <w:pPr>
              <w:pStyle w:val="TAL"/>
              <w:rPr>
                <w:sz w:val="16"/>
                <w:szCs w:val="16"/>
              </w:rPr>
            </w:pPr>
            <w:r w:rsidRPr="00873B6C">
              <w:rPr>
                <w:sz w:val="16"/>
                <w:szCs w:val="16"/>
              </w:rPr>
              <w:t>1080</w:t>
            </w:r>
          </w:p>
        </w:tc>
        <w:tc>
          <w:tcPr>
            <w:tcW w:w="425" w:type="dxa"/>
            <w:shd w:val="solid" w:color="FFFFFF" w:fill="auto"/>
          </w:tcPr>
          <w:p w14:paraId="655F4F8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79F66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EDE45F" w14:textId="77777777" w:rsidR="00D40151" w:rsidRPr="00873B6C" w:rsidRDefault="00D40151" w:rsidP="009D14FB">
            <w:pPr>
              <w:pStyle w:val="TAL"/>
              <w:rPr>
                <w:sz w:val="16"/>
                <w:szCs w:val="16"/>
              </w:rPr>
            </w:pPr>
            <w:r w:rsidRPr="00873B6C">
              <w:rPr>
                <w:sz w:val="16"/>
                <w:szCs w:val="16"/>
              </w:rPr>
              <w:t>Clear ENs about Measurement Assistance Information for ATSSS</w:t>
            </w:r>
          </w:p>
        </w:tc>
        <w:tc>
          <w:tcPr>
            <w:tcW w:w="708" w:type="dxa"/>
            <w:shd w:val="solid" w:color="FFFFFF" w:fill="auto"/>
          </w:tcPr>
          <w:p w14:paraId="325ED107" w14:textId="77777777" w:rsidR="00D40151" w:rsidRPr="00873B6C" w:rsidRDefault="00D40151" w:rsidP="009D14FB">
            <w:pPr>
              <w:pStyle w:val="TAC"/>
              <w:rPr>
                <w:sz w:val="16"/>
                <w:szCs w:val="16"/>
              </w:rPr>
            </w:pPr>
            <w:r w:rsidRPr="00873B6C">
              <w:rPr>
                <w:sz w:val="16"/>
                <w:szCs w:val="16"/>
              </w:rPr>
              <w:t>16.1.0</w:t>
            </w:r>
          </w:p>
        </w:tc>
      </w:tr>
      <w:tr w:rsidR="00D40151" w:rsidRPr="00873B6C" w14:paraId="663403A8" w14:textId="77777777" w:rsidTr="009D14FB">
        <w:tc>
          <w:tcPr>
            <w:tcW w:w="800" w:type="dxa"/>
            <w:shd w:val="solid" w:color="FFFFFF" w:fill="auto"/>
          </w:tcPr>
          <w:p w14:paraId="778D307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E8A3AE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8025D67"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2DC5F5C9" w14:textId="77777777" w:rsidR="00D40151" w:rsidRPr="00873B6C" w:rsidRDefault="00D40151" w:rsidP="009D14FB">
            <w:pPr>
              <w:pStyle w:val="TAL"/>
              <w:rPr>
                <w:sz w:val="16"/>
                <w:szCs w:val="16"/>
              </w:rPr>
            </w:pPr>
            <w:r w:rsidRPr="00873B6C">
              <w:rPr>
                <w:sz w:val="16"/>
                <w:szCs w:val="16"/>
              </w:rPr>
              <w:t>1083</w:t>
            </w:r>
          </w:p>
        </w:tc>
        <w:tc>
          <w:tcPr>
            <w:tcW w:w="425" w:type="dxa"/>
            <w:shd w:val="solid" w:color="FFFFFF" w:fill="auto"/>
          </w:tcPr>
          <w:p w14:paraId="1E72F0CB"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A8C6E3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86E19D7" w14:textId="6A85B50D" w:rsidR="00D40151" w:rsidRPr="00873B6C" w:rsidRDefault="00D40151" w:rsidP="009D14FB">
            <w:pPr>
              <w:pStyle w:val="TAL"/>
              <w:rPr>
                <w:sz w:val="16"/>
                <w:szCs w:val="16"/>
              </w:rPr>
            </w:pPr>
            <w:r w:rsidRPr="00873B6C">
              <w:rPr>
                <w:sz w:val="16"/>
                <w:szCs w:val="16"/>
              </w:rPr>
              <w:t xml:space="preserve">Clarification of Inserting and Removing VLAN tags for </w:t>
            </w:r>
            <w:r w:rsidR="00704A9E" w:rsidRPr="00873B6C">
              <w:rPr>
                <w:sz w:val="16"/>
                <w:szCs w:val="16"/>
              </w:rPr>
              <w:t>5G-VN</w:t>
            </w:r>
          </w:p>
        </w:tc>
        <w:tc>
          <w:tcPr>
            <w:tcW w:w="708" w:type="dxa"/>
            <w:shd w:val="solid" w:color="FFFFFF" w:fill="auto"/>
          </w:tcPr>
          <w:p w14:paraId="72E2145C" w14:textId="77777777" w:rsidR="00D40151" w:rsidRPr="00873B6C" w:rsidRDefault="00D40151" w:rsidP="009D14FB">
            <w:pPr>
              <w:pStyle w:val="TAC"/>
              <w:rPr>
                <w:sz w:val="16"/>
                <w:szCs w:val="16"/>
              </w:rPr>
            </w:pPr>
            <w:r w:rsidRPr="00873B6C">
              <w:rPr>
                <w:sz w:val="16"/>
                <w:szCs w:val="16"/>
              </w:rPr>
              <w:t>16.1.0</w:t>
            </w:r>
          </w:p>
        </w:tc>
      </w:tr>
      <w:tr w:rsidR="00D40151" w:rsidRPr="00873B6C" w14:paraId="641452D5" w14:textId="77777777" w:rsidTr="009D14FB">
        <w:tc>
          <w:tcPr>
            <w:tcW w:w="800" w:type="dxa"/>
            <w:shd w:val="solid" w:color="FFFFFF" w:fill="auto"/>
          </w:tcPr>
          <w:p w14:paraId="747D362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2931BC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9DA8B0"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1B5D4A66" w14:textId="77777777" w:rsidR="00D40151" w:rsidRPr="00873B6C" w:rsidRDefault="00D40151" w:rsidP="009D14FB">
            <w:pPr>
              <w:pStyle w:val="TAL"/>
              <w:rPr>
                <w:sz w:val="16"/>
                <w:szCs w:val="16"/>
              </w:rPr>
            </w:pPr>
            <w:r w:rsidRPr="00873B6C">
              <w:rPr>
                <w:sz w:val="16"/>
                <w:szCs w:val="16"/>
              </w:rPr>
              <w:t>1091</w:t>
            </w:r>
          </w:p>
        </w:tc>
        <w:tc>
          <w:tcPr>
            <w:tcW w:w="425" w:type="dxa"/>
            <w:shd w:val="solid" w:color="FFFFFF" w:fill="auto"/>
          </w:tcPr>
          <w:p w14:paraId="64FBE91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F2A26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21003C" w14:textId="77777777" w:rsidR="00D40151" w:rsidRPr="00873B6C" w:rsidRDefault="00D40151" w:rsidP="009D14FB">
            <w:pPr>
              <w:pStyle w:val="TAL"/>
              <w:rPr>
                <w:sz w:val="16"/>
                <w:szCs w:val="16"/>
              </w:rPr>
            </w:pPr>
            <w:r w:rsidRPr="00873B6C">
              <w:rPr>
                <w:sz w:val="16"/>
                <w:szCs w:val="16"/>
              </w:rPr>
              <w:t>Update of the NF/NF service discovery result</w:t>
            </w:r>
          </w:p>
        </w:tc>
        <w:tc>
          <w:tcPr>
            <w:tcW w:w="708" w:type="dxa"/>
            <w:shd w:val="solid" w:color="FFFFFF" w:fill="auto"/>
          </w:tcPr>
          <w:p w14:paraId="301300D9" w14:textId="77777777" w:rsidR="00D40151" w:rsidRPr="00873B6C" w:rsidRDefault="00D40151" w:rsidP="009D14FB">
            <w:pPr>
              <w:pStyle w:val="TAC"/>
              <w:rPr>
                <w:sz w:val="16"/>
                <w:szCs w:val="16"/>
              </w:rPr>
            </w:pPr>
            <w:r w:rsidRPr="00873B6C">
              <w:rPr>
                <w:sz w:val="16"/>
                <w:szCs w:val="16"/>
              </w:rPr>
              <w:t>16.1.0</w:t>
            </w:r>
          </w:p>
        </w:tc>
      </w:tr>
      <w:tr w:rsidR="00D40151" w:rsidRPr="00873B6C" w14:paraId="5C173BD9" w14:textId="77777777" w:rsidTr="009D14FB">
        <w:tc>
          <w:tcPr>
            <w:tcW w:w="800" w:type="dxa"/>
            <w:shd w:val="solid" w:color="FFFFFF" w:fill="auto"/>
          </w:tcPr>
          <w:p w14:paraId="7ABA929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296833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333F4FF"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3B4AC0B1" w14:textId="77777777" w:rsidR="00D40151" w:rsidRPr="00873B6C" w:rsidRDefault="00D40151" w:rsidP="009D14FB">
            <w:pPr>
              <w:pStyle w:val="TAL"/>
              <w:rPr>
                <w:sz w:val="16"/>
                <w:szCs w:val="16"/>
              </w:rPr>
            </w:pPr>
            <w:r w:rsidRPr="00873B6C">
              <w:rPr>
                <w:sz w:val="16"/>
                <w:szCs w:val="16"/>
              </w:rPr>
              <w:t>1092</w:t>
            </w:r>
          </w:p>
        </w:tc>
        <w:tc>
          <w:tcPr>
            <w:tcW w:w="425" w:type="dxa"/>
            <w:shd w:val="solid" w:color="FFFFFF" w:fill="auto"/>
          </w:tcPr>
          <w:p w14:paraId="3DCF08E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A95BED7"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DC72308" w14:textId="77777777" w:rsidR="00D40151" w:rsidRPr="00873B6C" w:rsidRDefault="00D40151" w:rsidP="009D14FB">
            <w:pPr>
              <w:pStyle w:val="TAL"/>
              <w:rPr>
                <w:sz w:val="16"/>
                <w:szCs w:val="16"/>
              </w:rPr>
            </w:pPr>
            <w:r w:rsidRPr="00873B6C">
              <w:rPr>
                <w:sz w:val="16"/>
                <w:szCs w:val="16"/>
              </w:rPr>
              <w:t xml:space="preserve">Update of NRF function and services </w:t>
            </w:r>
          </w:p>
        </w:tc>
        <w:tc>
          <w:tcPr>
            <w:tcW w:w="708" w:type="dxa"/>
            <w:shd w:val="solid" w:color="FFFFFF" w:fill="auto"/>
          </w:tcPr>
          <w:p w14:paraId="0B97DD73" w14:textId="77777777" w:rsidR="00D40151" w:rsidRPr="00873B6C" w:rsidRDefault="00D40151" w:rsidP="009D14FB">
            <w:pPr>
              <w:pStyle w:val="TAC"/>
              <w:rPr>
                <w:sz w:val="16"/>
                <w:szCs w:val="16"/>
              </w:rPr>
            </w:pPr>
            <w:r w:rsidRPr="00873B6C">
              <w:rPr>
                <w:sz w:val="16"/>
                <w:szCs w:val="16"/>
              </w:rPr>
              <w:t>16.1.0</w:t>
            </w:r>
          </w:p>
        </w:tc>
      </w:tr>
      <w:tr w:rsidR="00D40151" w:rsidRPr="00873B6C" w14:paraId="0F3EF784" w14:textId="77777777" w:rsidTr="009D14FB">
        <w:tc>
          <w:tcPr>
            <w:tcW w:w="800" w:type="dxa"/>
            <w:shd w:val="solid" w:color="FFFFFF" w:fill="auto"/>
          </w:tcPr>
          <w:p w14:paraId="025FE11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34A8FA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E76269B"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25B3DB7B" w14:textId="77777777" w:rsidR="00D40151" w:rsidRPr="00873B6C" w:rsidRDefault="00D40151" w:rsidP="009D14FB">
            <w:pPr>
              <w:pStyle w:val="TAL"/>
              <w:rPr>
                <w:sz w:val="16"/>
                <w:szCs w:val="16"/>
              </w:rPr>
            </w:pPr>
            <w:r w:rsidRPr="00873B6C">
              <w:rPr>
                <w:sz w:val="16"/>
                <w:szCs w:val="16"/>
              </w:rPr>
              <w:t>1093</w:t>
            </w:r>
          </w:p>
        </w:tc>
        <w:tc>
          <w:tcPr>
            <w:tcW w:w="425" w:type="dxa"/>
            <w:shd w:val="solid" w:color="FFFFFF" w:fill="auto"/>
          </w:tcPr>
          <w:p w14:paraId="7FF7C8F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FE65A7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28744C" w14:textId="77777777" w:rsidR="00D40151" w:rsidRPr="00873B6C" w:rsidRDefault="00D40151" w:rsidP="009D14FB">
            <w:pPr>
              <w:pStyle w:val="TAL"/>
              <w:rPr>
                <w:sz w:val="16"/>
                <w:szCs w:val="16"/>
              </w:rPr>
            </w:pPr>
            <w:r w:rsidRPr="00873B6C">
              <w:rPr>
                <w:sz w:val="16"/>
                <w:szCs w:val="16"/>
              </w:rPr>
              <w:t xml:space="preserve">Update of network reliability support </w:t>
            </w:r>
          </w:p>
        </w:tc>
        <w:tc>
          <w:tcPr>
            <w:tcW w:w="708" w:type="dxa"/>
            <w:shd w:val="solid" w:color="FFFFFF" w:fill="auto"/>
          </w:tcPr>
          <w:p w14:paraId="620259E1" w14:textId="77777777" w:rsidR="00D40151" w:rsidRPr="00873B6C" w:rsidRDefault="00D40151" w:rsidP="009D14FB">
            <w:pPr>
              <w:pStyle w:val="TAC"/>
              <w:rPr>
                <w:sz w:val="16"/>
                <w:szCs w:val="16"/>
              </w:rPr>
            </w:pPr>
            <w:r w:rsidRPr="00873B6C">
              <w:rPr>
                <w:sz w:val="16"/>
                <w:szCs w:val="16"/>
              </w:rPr>
              <w:t>16.1.0</w:t>
            </w:r>
          </w:p>
        </w:tc>
      </w:tr>
      <w:tr w:rsidR="00D40151" w:rsidRPr="00873B6C" w14:paraId="67380E89" w14:textId="77777777" w:rsidTr="009D14FB">
        <w:tc>
          <w:tcPr>
            <w:tcW w:w="800" w:type="dxa"/>
            <w:shd w:val="solid" w:color="FFFFFF" w:fill="auto"/>
          </w:tcPr>
          <w:p w14:paraId="7DAA303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508565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BE62A64"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37F51ACA" w14:textId="77777777" w:rsidR="00D40151" w:rsidRPr="00873B6C" w:rsidRDefault="00D40151" w:rsidP="009D14FB">
            <w:pPr>
              <w:pStyle w:val="TAL"/>
              <w:rPr>
                <w:sz w:val="16"/>
                <w:szCs w:val="16"/>
              </w:rPr>
            </w:pPr>
            <w:r w:rsidRPr="00873B6C">
              <w:rPr>
                <w:sz w:val="16"/>
                <w:szCs w:val="16"/>
              </w:rPr>
              <w:t>1094</w:t>
            </w:r>
          </w:p>
        </w:tc>
        <w:tc>
          <w:tcPr>
            <w:tcW w:w="425" w:type="dxa"/>
            <w:shd w:val="solid" w:color="FFFFFF" w:fill="auto"/>
          </w:tcPr>
          <w:p w14:paraId="511196C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AD1BFCF"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BB84389" w14:textId="77777777" w:rsidR="00D40151" w:rsidRPr="00873B6C" w:rsidRDefault="00D40151" w:rsidP="009D14FB">
            <w:pPr>
              <w:pStyle w:val="TAL"/>
              <w:rPr>
                <w:sz w:val="16"/>
                <w:szCs w:val="16"/>
              </w:rPr>
            </w:pPr>
            <w:r w:rsidRPr="00873B6C">
              <w:rPr>
                <w:sz w:val="16"/>
                <w:szCs w:val="16"/>
              </w:rPr>
              <w:t>Back-off timers handling for scheduled communication</w:t>
            </w:r>
          </w:p>
        </w:tc>
        <w:tc>
          <w:tcPr>
            <w:tcW w:w="708" w:type="dxa"/>
            <w:shd w:val="solid" w:color="FFFFFF" w:fill="auto"/>
          </w:tcPr>
          <w:p w14:paraId="7703C8B7" w14:textId="77777777" w:rsidR="00D40151" w:rsidRPr="00873B6C" w:rsidRDefault="00D40151" w:rsidP="009D14FB">
            <w:pPr>
              <w:pStyle w:val="TAC"/>
              <w:rPr>
                <w:sz w:val="16"/>
                <w:szCs w:val="16"/>
              </w:rPr>
            </w:pPr>
            <w:r w:rsidRPr="00873B6C">
              <w:rPr>
                <w:sz w:val="16"/>
                <w:szCs w:val="16"/>
              </w:rPr>
              <w:t>16.1.0</w:t>
            </w:r>
          </w:p>
        </w:tc>
      </w:tr>
      <w:tr w:rsidR="00D40151" w:rsidRPr="00873B6C" w14:paraId="5A82BD16" w14:textId="77777777" w:rsidTr="009D14FB">
        <w:tc>
          <w:tcPr>
            <w:tcW w:w="800" w:type="dxa"/>
            <w:shd w:val="solid" w:color="FFFFFF" w:fill="auto"/>
          </w:tcPr>
          <w:p w14:paraId="6C9299E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F27F21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A80144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2E96EE84" w14:textId="77777777" w:rsidR="00D40151" w:rsidRPr="00873B6C" w:rsidRDefault="00D40151" w:rsidP="009D14FB">
            <w:pPr>
              <w:pStyle w:val="TAL"/>
              <w:rPr>
                <w:sz w:val="16"/>
                <w:szCs w:val="16"/>
              </w:rPr>
            </w:pPr>
            <w:r w:rsidRPr="00873B6C">
              <w:rPr>
                <w:sz w:val="16"/>
                <w:szCs w:val="16"/>
              </w:rPr>
              <w:t>1095</w:t>
            </w:r>
          </w:p>
        </w:tc>
        <w:tc>
          <w:tcPr>
            <w:tcW w:w="425" w:type="dxa"/>
            <w:shd w:val="solid" w:color="FFFFFF" w:fill="auto"/>
          </w:tcPr>
          <w:p w14:paraId="6F49080E"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5FC6F393"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E7B3D38" w14:textId="77777777" w:rsidR="00D40151" w:rsidRPr="00873B6C" w:rsidRDefault="00D40151" w:rsidP="009D14FB">
            <w:pPr>
              <w:pStyle w:val="TAL"/>
              <w:rPr>
                <w:sz w:val="16"/>
                <w:szCs w:val="16"/>
              </w:rPr>
            </w:pPr>
            <w:r w:rsidRPr="00873B6C">
              <w:rPr>
                <w:sz w:val="16"/>
                <w:szCs w:val="16"/>
              </w:rPr>
              <w:t>Addressing Editor's notes on TSN</w:t>
            </w:r>
          </w:p>
        </w:tc>
        <w:tc>
          <w:tcPr>
            <w:tcW w:w="708" w:type="dxa"/>
            <w:shd w:val="solid" w:color="FFFFFF" w:fill="auto"/>
          </w:tcPr>
          <w:p w14:paraId="08E87FFD" w14:textId="77777777" w:rsidR="00D40151" w:rsidRPr="00873B6C" w:rsidRDefault="00D40151" w:rsidP="009D14FB">
            <w:pPr>
              <w:pStyle w:val="TAC"/>
              <w:rPr>
                <w:sz w:val="16"/>
                <w:szCs w:val="16"/>
              </w:rPr>
            </w:pPr>
            <w:r w:rsidRPr="00873B6C">
              <w:rPr>
                <w:sz w:val="16"/>
                <w:szCs w:val="16"/>
              </w:rPr>
              <w:t>16.1.0</w:t>
            </w:r>
          </w:p>
        </w:tc>
      </w:tr>
      <w:tr w:rsidR="00D40151" w:rsidRPr="00873B6C" w14:paraId="305EC467" w14:textId="77777777" w:rsidTr="009D14FB">
        <w:tc>
          <w:tcPr>
            <w:tcW w:w="800" w:type="dxa"/>
            <w:shd w:val="solid" w:color="FFFFFF" w:fill="auto"/>
          </w:tcPr>
          <w:p w14:paraId="649CED5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3497E6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5838C9C"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02B6304A" w14:textId="77777777" w:rsidR="00D40151" w:rsidRPr="00873B6C" w:rsidRDefault="00D40151" w:rsidP="009D14FB">
            <w:pPr>
              <w:pStyle w:val="TAL"/>
              <w:rPr>
                <w:sz w:val="16"/>
                <w:szCs w:val="16"/>
              </w:rPr>
            </w:pPr>
            <w:r w:rsidRPr="00873B6C">
              <w:rPr>
                <w:sz w:val="16"/>
                <w:szCs w:val="16"/>
              </w:rPr>
              <w:t>1098</w:t>
            </w:r>
          </w:p>
        </w:tc>
        <w:tc>
          <w:tcPr>
            <w:tcW w:w="425" w:type="dxa"/>
            <w:shd w:val="solid" w:color="FFFFFF" w:fill="auto"/>
          </w:tcPr>
          <w:p w14:paraId="226744C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C63B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5D6E0EA" w14:textId="77777777" w:rsidR="00D40151" w:rsidRPr="00873B6C" w:rsidRDefault="00D40151" w:rsidP="009D14FB">
            <w:pPr>
              <w:pStyle w:val="TAL"/>
              <w:rPr>
                <w:sz w:val="16"/>
                <w:szCs w:val="16"/>
              </w:rPr>
            </w:pPr>
            <w:r w:rsidRPr="00873B6C">
              <w:rPr>
                <w:sz w:val="16"/>
                <w:szCs w:val="16"/>
              </w:rPr>
              <w:t>Access Control for PLMN Integrated NPN</w:t>
            </w:r>
          </w:p>
        </w:tc>
        <w:tc>
          <w:tcPr>
            <w:tcW w:w="708" w:type="dxa"/>
            <w:shd w:val="solid" w:color="FFFFFF" w:fill="auto"/>
          </w:tcPr>
          <w:p w14:paraId="5F7F43F4" w14:textId="77777777" w:rsidR="00D40151" w:rsidRPr="00873B6C" w:rsidRDefault="00D40151" w:rsidP="009D14FB">
            <w:pPr>
              <w:pStyle w:val="TAC"/>
              <w:rPr>
                <w:sz w:val="16"/>
                <w:szCs w:val="16"/>
              </w:rPr>
            </w:pPr>
            <w:r w:rsidRPr="00873B6C">
              <w:rPr>
                <w:sz w:val="16"/>
                <w:szCs w:val="16"/>
              </w:rPr>
              <w:t>16.1.0</w:t>
            </w:r>
          </w:p>
        </w:tc>
      </w:tr>
      <w:tr w:rsidR="00D40151" w:rsidRPr="00873B6C" w14:paraId="5548FC6D" w14:textId="77777777" w:rsidTr="009D14FB">
        <w:tc>
          <w:tcPr>
            <w:tcW w:w="800" w:type="dxa"/>
            <w:shd w:val="solid" w:color="FFFFFF" w:fill="auto"/>
          </w:tcPr>
          <w:p w14:paraId="3EA1785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391672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C3052EA"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34E99082" w14:textId="77777777" w:rsidR="00D40151" w:rsidRPr="00873B6C" w:rsidRDefault="00D40151" w:rsidP="009D14FB">
            <w:pPr>
              <w:pStyle w:val="TAL"/>
              <w:rPr>
                <w:sz w:val="16"/>
                <w:szCs w:val="16"/>
              </w:rPr>
            </w:pPr>
            <w:r w:rsidRPr="00873B6C">
              <w:rPr>
                <w:sz w:val="16"/>
                <w:szCs w:val="16"/>
              </w:rPr>
              <w:t>1101</w:t>
            </w:r>
          </w:p>
        </w:tc>
        <w:tc>
          <w:tcPr>
            <w:tcW w:w="425" w:type="dxa"/>
            <w:shd w:val="solid" w:color="FFFFFF" w:fill="auto"/>
          </w:tcPr>
          <w:p w14:paraId="7F599939" w14:textId="77777777" w:rsidR="00D40151" w:rsidRPr="00873B6C" w:rsidRDefault="00D40151" w:rsidP="009D14FB">
            <w:pPr>
              <w:pStyle w:val="TAL"/>
              <w:rPr>
                <w:sz w:val="16"/>
                <w:szCs w:val="16"/>
              </w:rPr>
            </w:pPr>
            <w:r w:rsidRPr="00873B6C">
              <w:rPr>
                <w:sz w:val="16"/>
                <w:szCs w:val="16"/>
              </w:rPr>
              <w:t>9</w:t>
            </w:r>
          </w:p>
        </w:tc>
        <w:tc>
          <w:tcPr>
            <w:tcW w:w="425" w:type="dxa"/>
            <w:shd w:val="solid" w:color="FFFFFF" w:fill="auto"/>
          </w:tcPr>
          <w:p w14:paraId="2B58234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F4E597F" w14:textId="77777777" w:rsidR="00D40151" w:rsidRPr="00873B6C" w:rsidRDefault="00D40151" w:rsidP="009D14FB">
            <w:pPr>
              <w:pStyle w:val="TAL"/>
              <w:rPr>
                <w:sz w:val="16"/>
                <w:szCs w:val="16"/>
              </w:rPr>
            </w:pPr>
            <w:r w:rsidRPr="00873B6C">
              <w:rPr>
                <w:sz w:val="16"/>
                <w:szCs w:val="16"/>
              </w:rPr>
              <w:t>Establishing UP connection during CP Data Transfer</w:t>
            </w:r>
          </w:p>
        </w:tc>
        <w:tc>
          <w:tcPr>
            <w:tcW w:w="708" w:type="dxa"/>
            <w:shd w:val="solid" w:color="FFFFFF" w:fill="auto"/>
          </w:tcPr>
          <w:p w14:paraId="2BCC3CE6" w14:textId="77777777" w:rsidR="00D40151" w:rsidRPr="00873B6C" w:rsidRDefault="00D40151" w:rsidP="009D14FB">
            <w:pPr>
              <w:pStyle w:val="TAC"/>
              <w:rPr>
                <w:sz w:val="16"/>
                <w:szCs w:val="16"/>
              </w:rPr>
            </w:pPr>
            <w:r w:rsidRPr="00873B6C">
              <w:rPr>
                <w:sz w:val="16"/>
                <w:szCs w:val="16"/>
              </w:rPr>
              <w:t>16.1.0</w:t>
            </w:r>
          </w:p>
        </w:tc>
      </w:tr>
      <w:tr w:rsidR="00D40151" w:rsidRPr="00873B6C" w14:paraId="61A9F5F7" w14:textId="77777777" w:rsidTr="009D14FB">
        <w:tc>
          <w:tcPr>
            <w:tcW w:w="800" w:type="dxa"/>
            <w:shd w:val="solid" w:color="FFFFFF" w:fill="auto"/>
          </w:tcPr>
          <w:p w14:paraId="6C08B64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54532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AA6DD6E"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1E89A6AB" w14:textId="77777777" w:rsidR="00D40151" w:rsidRPr="00873B6C" w:rsidRDefault="00D40151" w:rsidP="009D14FB">
            <w:pPr>
              <w:pStyle w:val="TAL"/>
              <w:rPr>
                <w:sz w:val="16"/>
                <w:szCs w:val="16"/>
              </w:rPr>
            </w:pPr>
            <w:r w:rsidRPr="00873B6C">
              <w:rPr>
                <w:sz w:val="16"/>
                <w:szCs w:val="16"/>
              </w:rPr>
              <w:t>1103</w:t>
            </w:r>
          </w:p>
        </w:tc>
        <w:tc>
          <w:tcPr>
            <w:tcW w:w="425" w:type="dxa"/>
            <w:shd w:val="solid" w:color="FFFFFF" w:fill="auto"/>
          </w:tcPr>
          <w:p w14:paraId="21CBC29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0F4035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3162E5" w14:textId="77777777" w:rsidR="00D40151" w:rsidRPr="00873B6C" w:rsidRDefault="00D40151" w:rsidP="009D14FB">
            <w:pPr>
              <w:pStyle w:val="TAL"/>
              <w:rPr>
                <w:sz w:val="16"/>
                <w:szCs w:val="16"/>
              </w:rPr>
            </w:pPr>
            <w:r w:rsidRPr="00873B6C">
              <w:rPr>
                <w:sz w:val="16"/>
                <w:szCs w:val="16"/>
              </w:rPr>
              <w:t>Corrections for SMF, UPF and PCF selection for an MA PDU session</w:t>
            </w:r>
          </w:p>
        </w:tc>
        <w:tc>
          <w:tcPr>
            <w:tcW w:w="708" w:type="dxa"/>
            <w:shd w:val="solid" w:color="FFFFFF" w:fill="auto"/>
          </w:tcPr>
          <w:p w14:paraId="1DABC4CF" w14:textId="77777777" w:rsidR="00D40151" w:rsidRPr="00873B6C" w:rsidRDefault="00D40151" w:rsidP="009D14FB">
            <w:pPr>
              <w:pStyle w:val="TAC"/>
              <w:rPr>
                <w:sz w:val="16"/>
                <w:szCs w:val="16"/>
              </w:rPr>
            </w:pPr>
            <w:r w:rsidRPr="00873B6C">
              <w:rPr>
                <w:sz w:val="16"/>
                <w:szCs w:val="16"/>
              </w:rPr>
              <w:t>16.1.0</w:t>
            </w:r>
          </w:p>
        </w:tc>
      </w:tr>
      <w:tr w:rsidR="00D40151" w:rsidRPr="00873B6C" w14:paraId="418A11FE" w14:textId="77777777" w:rsidTr="009D14FB">
        <w:tc>
          <w:tcPr>
            <w:tcW w:w="800" w:type="dxa"/>
            <w:shd w:val="solid" w:color="FFFFFF" w:fill="auto"/>
          </w:tcPr>
          <w:p w14:paraId="504DEA7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829642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6F3DC1F"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145074B2" w14:textId="77777777" w:rsidR="00D40151" w:rsidRPr="00873B6C" w:rsidRDefault="00D40151" w:rsidP="009D14FB">
            <w:pPr>
              <w:pStyle w:val="TAL"/>
              <w:rPr>
                <w:sz w:val="16"/>
                <w:szCs w:val="16"/>
              </w:rPr>
            </w:pPr>
            <w:r w:rsidRPr="00873B6C">
              <w:rPr>
                <w:sz w:val="16"/>
                <w:szCs w:val="16"/>
              </w:rPr>
              <w:t>1104</w:t>
            </w:r>
          </w:p>
        </w:tc>
        <w:tc>
          <w:tcPr>
            <w:tcW w:w="425" w:type="dxa"/>
            <w:shd w:val="solid" w:color="FFFFFF" w:fill="auto"/>
          </w:tcPr>
          <w:p w14:paraId="6D99859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5A5C84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01BD23" w14:textId="77777777" w:rsidR="00D40151" w:rsidRPr="00873B6C" w:rsidRDefault="00D40151" w:rsidP="009D14FB">
            <w:pPr>
              <w:pStyle w:val="TAL"/>
              <w:rPr>
                <w:sz w:val="16"/>
                <w:szCs w:val="16"/>
              </w:rPr>
            </w:pPr>
            <w:r w:rsidRPr="00873B6C">
              <w:rPr>
                <w:sz w:val="16"/>
                <w:szCs w:val="16"/>
              </w:rPr>
              <w:t>Corrections for N4 rules for ATSSS</w:t>
            </w:r>
          </w:p>
        </w:tc>
        <w:tc>
          <w:tcPr>
            <w:tcW w:w="708" w:type="dxa"/>
            <w:shd w:val="solid" w:color="FFFFFF" w:fill="auto"/>
          </w:tcPr>
          <w:p w14:paraId="41C1C407" w14:textId="77777777" w:rsidR="00D40151" w:rsidRPr="00873B6C" w:rsidRDefault="00D40151" w:rsidP="009D14FB">
            <w:pPr>
              <w:pStyle w:val="TAC"/>
              <w:rPr>
                <w:sz w:val="16"/>
                <w:szCs w:val="16"/>
              </w:rPr>
            </w:pPr>
            <w:r w:rsidRPr="00873B6C">
              <w:rPr>
                <w:sz w:val="16"/>
                <w:szCs w:val="16"/>
              </w:rPr>
              <w:t>16.1.0</w:t>
            </w:r>
          </w:p>
        </w:tc>
      </w:tr>
      <w:tr w:rsidR="00D40151" w:rsidRPr="00873B6C" w14:paraId="425C91B0" w14:textId="77777777" w:rsidTr="009D14FB">
        <w:tc>
          <w:tcPr>
            <w:tcW w:w="800" w:type="dxa"/>
            <w:shd w:val="solid" w:color="FFFFFF" w:fill="auto"/>
          </w:tcPr>
          <w:p w14:paraId="68E101C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B0D4A1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7DF38CD"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79930D60" w14:textId="77777777" w:rsidR="00D40151" w:rsidRPr="00873B6C" w:rsidRDefault="00D40151" w:rsidP="009D14FB">
            <w:pPr>
              <w:pStyle w:val="TAL"/>
              <w:rPr>
                <w:sz w:val="16"/>
                <w:szCs w:val="16"/>
              </w:rPr>
            </w:pPr>
            <w:r w:rsidRPr="00873B6C">
              <w:rPr>
                <w:sz w:val="16"/>
                <w:szCs w:val="16"/>
              </w:rPr>
              <w:t>1109</w:t>
            </w:r>
          </w:p>
        </w:tc>
        <w:tc>
          <w:tcPr>
            <w:tcW w:w="425" w:type="dxa"/>
            <w:shd w:val="solid" w:color="FFFFFF" w:fill="auto"/>
          </w:tcPr>
          <w:p w14:paraId="1975143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B952AA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492ADCC" w14:textId="77777777" w:rsidR="00D40151" w:rsidRPr="00873B6C" w:rsidRDefault="00D40151" w:rsidP="009D14FB">
            <w:pPr>
              <w:pStyle w:val="TAL"/>
              <w:rPr>
                <w:sz w:val="16"/>
                <w:szCs w:val="16"/>
              </w:rPr>
            </w:pPr>
            <w:r w:rsidRPr="00873B6C">
              <w:rPr>
                <w:sz w:val="16"/>
                <w:szCs w:val="16"/>
              </w:rPr>
              <w:t>Service Gap corrections</w:t>
            </w:r>
          </w:p>
        </w:tc>
        <w:tc>
          <w:tcPr>
            <w:tcW w:w="708" w:type="dxa"/>
            <w:shd w:val="solid" w:color="FFFFFF" w:fill="auto"/>
          </w:tcPr>
          <w:p w14:paraId="6A22567B" w14:textId="77777777" w:rsidR="00D40151" w:rsidRPr="00873B6C" w:rsidRDefault="00D40151" w:rsidP="009D14FB">
            <w:pPr>
              <w:pStyle w:val="TAC"/>
              <w:rPr>
                <w:sz w:val="16"/>
                <w:szCs w:val="16"/>
              </w:rPr>
            </w:pPr>
            <w:r w:rsidRPr="00873B6C">
              <w:rPr>
                <w:sz w:val="16"/>
                <w:szCs w:val="16"/>
              </w:rPr>
              <w:t>16.1.0</w:t>
            </w:r>
          </w:p>
        </w:tc>
      </w:tr>
      <w:tr w:rsidR="00D40151" w:rsidRPr="00873B6C" w14:paraId="69C6C5FD" w14:textId="77777777" w:rsidTr="009D14FB">
        <w:tc>
          <w:tcPr>
            <w:tcW w:w="800" w:type="dxa"/>
            <w:shd w:val="solid" w:color="FFFFFF" w:fill="auto"/>
          </w:tcPr>
          <w:p w14:paraId="744DE11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AC0BBC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EF13A93"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76125D2" w14:textId="77777777" w:rsidR="00D40151" w:rsidRPr="00873B6C" w:rsidRDefault="00D40151" w:rsidP="009D14FB">
            <w:pPr>
              <w:pStyle w:val="TAL"/>
              <w:rPr>
                <w:sz w:val="16"/>
                <w:szCs w:val="16"/>
              </w:rPr>
            </w:pPr>
            <w:r w:rsidRPr="00873B6C">
              <w:rPr>
                <w:sz w:val="16"/>
                <w:szCs w:val="16"/>
              </w:rPr>
              <w:t>1116</w:t>
            </w:r>
          </w:p>
        </w:tc>
        <w:tc>
          <w:tcPr>
            <w:tcW w:w="425" w:type="dxa"/>
            <w:shd w:val="solid" w:color="FFFFFF" w:fill="auto"/>
          </w:tcPr>
          <w:p w14:paraId="34F4AC0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979427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F8B876" w14:textId="77777777" w:rsidR="00D40151" w:rsidRPr="00873B6C" w:rsidRDefault="00D40151" w:rsidP="009D14FB">
            <w:pPr>
              <w:pStyle w:val="TAL"/>
              <w:rPr>
                <w:sz w:val="16"/>
                <w:szCs w:val="16"/>
              </w:rPr>
            </w:pPr>
            <w:r w:rsidRPr="00873B6C">
              <w:rPr>
                <w:sz w:val="16"/>
                <w:szCs w:val="16"/>
              </w:rPr>
              <w:t>Local cache information for ARP proxy</w:t>
            </w:r>
          </w:p>
        </w:tc>
        <w:tc>
          <w:tcPr>
            <w:tcW w:w="708" w:type="dxa"/>
            <w:shd w:val="solid" w:color="FFFFFF" w:fill="auto"/>
          </w:tcPr>
          <w:p w14:paraId="7FC954CA" w14:textId="77777777" w:rsidR="00D40151" w:rsidRPr="00873B6C" w:rsidRDefault="00D40151" w:rsidP="009D14FB">
            <w:pPr>
              <w:pStyle w:val="TAC"/>
              <w:rPr>
                <w:sz w:val="16"/>
                <w:szCs w:val="16"/>
              </w:rPr>
            </w:pPr>
            <w:r w:rsidRPr="00873B6C">
              <w:rPr>
                <w:sz w:val="16"/>
                <w:szCs w:val="16"/>
              </w:rPr>
              <w:t>16.1.0</w:t>
            </w:r>
          </w:p>
        </w:tc>
      </w:tr>
      <w:tr w:rsidR="00D40151" w:rsidRPr="00873B6C" w14:paraId="7AFB41C3" w14:textId="77777777" w:rsidTr="009D14FB">
        <w:tc>
          <w:tcPr>
            <w:tcW w:w="800" w:type="dxa"/>
            <w:shd w:val="solid" w:color="FFFFFF" w:fill="auto"/>
          </w:tcPr>
          <w:p w14:paraId="09A6577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D7596C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325BBB0"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499E2AA6" w14:textId="77777777" w:rsidR="00D40151" w:rsidRPr="00873B6C" w:rsidRDefault="00D40151" w:rsidP="009D14FB">
            <w:pPr>
              <w:pStyle w:val="TAL"/>
              <w:rPr>
                <w:sz w:val="16"/>
                <w:szCs w:val="16"/>
              </w:rPr>
            </w:pPr>
            <w:r w:rsidRPr="00873B6C">
              <w:rPr>
                <w:sz w:val="16"/>
                <w:szCs w:val="16"/>
              </w:rPr>
              <w:t>1118</w:t>
            </w:r>
          </w:p>
        </w:tc>
        <w:tc>
          <w:tcPr>
            <w:tcW w:w="425" w:type="dxa"/>
            <w:shd w:val="solid" w:color="FFFFFF" w:fill="auto"/>
          </w:tcPr>
          <w:p w14:paraId="53D708B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B76D3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98548F" w14:textId="77777777" w:rsidR="00D40151" w:rsidRPr="00873B6C" w:rsidRDefault="00D40151" w:rsidP="009D14FB">
            <w:pPr>
              <w:pStyle w:val="TAL"/>
              <w:rPr>
                <w:sz w:val="16"/>
                <w:szCs w:val="16"/>
              </w:rPr>
            </w:pPr>
            <w:r w:rsidRPr="00873B6C">
              <w:rPr>
                <w:sz w:val="16"/>
                <w:szCs w:val="16"/>
              </w:rPr>
              <w:t>UE Requested PDU Session Establishment with Network Modification to MA PDU Session</w:t>
            </w:r>
          </w:p>
        </w:tc>
        <w:tc>
          <w:tcPr>
            <w:tcW w:w="708" w:type="dxa"/>
            <w:shd w:val="solid" w:color="FFFFFF" w:fill="auto"/>
          </w:tcPr>
          <w:p w14:paraId="26F0B277" w14:textId="77777777" w:rsidR="00D40151" w:rsidRPr="00873B6C" w:rsidRDefault="00D40151" w:rsidP="009D14FB">
            <w:pPr>
              <w:pStyle w:val="TAC"/>
              <w:rPr>
                <w:sz w:val="16"/>
                <w:szCs w:val="16"/>
              </w:rPr>
            </w:pPr>
            <w:r w:rsidRPr="00873B6C">
              <w:rPr>
                <w:sz w:val="16"/>
                <w:szCs w:val="16"/>
              </w:rPr>
              <w:t>16.1.0</w:t>
            </w:r>
          </w:p>
        </w:tc>
      </w:tr>
      <w:tr w:rsidR="00D40151" w:rsidRPr="00873B6C" w14:paraId="4452316D" w14:textId="77777777" w:rsidTr="009D14FB">
        <w:tc>
          <w:tcPr>
            <w:tcW w:w="800" w:type="dxa"/>
            <w:shd w:val="solid" w:color="FFFFFF" w:fill="auto"/>
          </w:tcPr>
          <w:p w14:paraId="1416E16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CD3221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ACF79C3"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47F0A86" w14:textId="77777777" w:rsidR="00D40151" w:rsidRPr="00873B6C" w:rsidRDefault="00D40151" w:rsidP="009D14FB">
            <w:pPr>
              <w:pStyle w:val="TAL"/>
              <w:rPr>
                <w:sz w:val="16"/>
                <w:szCs w:val="16"/>
              </w:rPr>
            </w:pPr>
            <w:r w:rsidRPr="00873B6C">
              <w:rPr>
                <w:sz w:val="16"/>
                <w:szCs w:val="16"/>
              </w:rPr>
              <w:t>1119</w:t>
            </w:r>
          </w:p>
        </w:tc>
        <w:tc>
          <w:tcPr>
            <w:tcW w:w="425" w:type="dxa"/>
            <w:shd w:val="solid" w:color="FFFFFF" w:fill="auto"/>
          </w:tcPr>
          <w:p w14:paraId="78C3AAF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582C257"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46639C8" w14:textId="77777777" w:rsidR="00D40151" w:rsidRPr="00873B6C" w:rsidRDefault="00D40151" w:rsidP="009D14FB">
            <w:pPr>
              <w:pStyle w:val="TAL"/>
              <w:rPr>
                <w:sz w:val="16"/>
                <w:szCs w:val="16"/>
              </w:rPr>
            </w:pPr>
            <w:r w:rsidRPr="00873B6C">
              <w:rPr>
                <w:sz w:val="16"/>
                <w:szCs w:val="16"/>
              </w:rPr>
              <w:t>Granularity of TSN bridge</w:t>
            </w:r>
          </w:p>
        </w:tc>
        <w:tc>
          <w:tcPr>
            <w:tcW w:w="708" w:type="dxa"/>
            <w:shd w:val="solid" w:color="FFFFFF" w:fill="auto"/>
          </w:tcPr>
          <w:p w14:paraId="60C36DA5" w14:textId="77777777" w:rsidR="00D40151" w:rsidRPr="00873B6C" w:rsidRDefault="00D40151" w:rsidP="009D14FB">
            <w:pPr>
              <w:pStyle w:val="TAC"/>
              <w:rPr>
                <w:sz w:val="16"/>
                <w:szCs w:val="16"/>
              </w:rPr>
            </w:pPr>
            <w:r w:rsidRPr="00873B6C">
              <w:rPr>
                <w:sz w:val="16"/>
                <w:szCs w:val="16"/>
              </w:rPr>
              <w:t>16.1.0</w:t>
            </w:r>
          </w:p>
        </w:tc>
      </w:tr>
      <w:tr w:rsidR="00D40151" w:rsidRPr="00873B6C" w14:paraId="15494F2E" w14:textId="77777777" w:rsidTr="009D14FB">
        <w:tc>
          <w:tcPr>
            <w:tcW w:w="800" w:type="dxa"/>
            <w:shd w:val="solid" w:color="FFFFFF" w:fill="auto"/>
          </w:tcPr>
          <w:p w14:paraId="203EFE5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BAF032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417C813"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4F637EDB" w14:textId="77777777" w:rsidR="00D40151" w:rsidRPr="00873B6C" w:rsidRDefault="00D40151" w:rsidP="009D14FB">
            <w:pPr>
              <w:pStyle w:val="TAL"/>
              <w:rPr>
                <w:sz w:val="16"/>
                <w:szCs w:val="16"/>
              </w:rPr>
            </w:pPr>
            <w:r w:rsidRPr="00873B6C">
              <w:rPr>
                <w:sz w:val="16"/>
                <w:szCs w:val="16"/>
              </w:rPr>
              <w:t>1120</w:t>
            </w:r>
          </w:p>
        </w:tc>
        <w:tc>
          <w:tcPr>
            <w:tcW w:w="425" w:type="dxa"/>
            <w:shd w:val="solid" w:color="FFFFFF" w:fill="auto"/>
          </w:tcPr>
          <w:p w14:paraId="37067E7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2D513A"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891DCEF" w14:textId="77777777" w:rsidR="00D40151" w:rsidRPr="00873B6C" w:rsidRDefault="00D40151" w:rsidP="009D14FB">
            <w:pPr>
              <w:pStyle w:val="TAL"/>
              <w:rPr>
                <w:sz w:val="16"/>
                <w:szCs w:val="16"/>
              </w:rPr>
            </w:pPr>
            <w:r w:rsidRPr="00873B6C">
              <w:rPr>
                <w:sz w:val="16"/>
                <w:szCs w:val="16"/>
              </w:rPr>
              <w:t>Filtering own address for Ethernet PDU Sessions</w:t>
            </w:r>
          </w:p>
        </w:tc>
        <w:tc>
          <w:tcPr>
            <w:tcW w:w="708" w:type="dxa"/>
            <w:shd w:val="solid" w:color="FFFFFF" w:fill="auto"/>
          </w:tcPr>
          <w:p w14:paraId="6ED5A5DF" w14:textId="77777777" w:rsidR="00D40151" w:rsidRPr="00873B6C" w:rsidRDefault="00D40151" w:rsidP="009D14FB">
            <w:pPr>
              <w:pStyle w:val="TAC"/>
              <w:rPr>
                <w:sz w:val="16"/>
                <w:szCs w:val="16"/>
              </w:rPr>
            </w:pPr>
            <w:r w:rsidRPr="00873B6C">
              <w:rPr>
                <w:sz w:val="16"/>
                <w:szCs w:val="16"/>
              </w:rPr>
              <w:t>16.1.0</w:t>
            </w:r>
          </w:p>
        </w:tc>
      </w:tr>
      <w:tr w:rsidR="00D40151" w:rsidRPr="00873B6C" w14:paraId="3945EE9C" w14:textId="77777777" w:rsidTr="009D14FB">
        <w:tc>
          <w:tcPr>
            <w:tcW w:w="800" w:type="dxa"/>
            <w:shd w:val="solid" w:color="FFFFFF" w:fill="auto"/>
          </w:tcPr>
          <w:p w14:paraId="386F523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1B275F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663E74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51ACA699" w14:textId="77777777" w:rsidR="00D40151" w:rsidRPr="00873B6C" w:rsidRDefault="00D40151" w:rsidP="009D14FB">
            <w:pPr>
              <w:pStyle w:val="TAL"/>
              <w:rPr>
                <w:sz w:val="16"/>
                <w:szCs w:val="16"/>
              </w:rPr>
            </w:pPr>
            <w:r w:rsidRPr="00873B6C">
              <w:rPr>
                <w:sz w:val="16"/>
                <w:szCs w:val="16"/>
              </w:rPr>
              <w:t>1123</w:t>
            </w:r>
          </w:p>
        </w:tc>
        <w:tc>
          <w:tcPr>
            <w:tcW w:w="425" w:type="dxa"/>
            <w:shd w:val="solid" w:color="FFFFFF" w:fill="auto"/>
          </w:tcPr>
          <w:p w14:paraId="6780159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7C861A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D56EE74" w14:textId="77777777" w:rsidR="00D40151" w:rsidRPr="00873B6C" w:rsidRDefault="00D40151" w:rsidP="009D14FB">
            <w:pPr>
              <w:pStyle w:val="TAL"/>
              <w:rPr>
                <w:sz w:val="16"/>
                <w:szCs w:val="16"/>
              </w:rPr>
            </w:pPr>
            <w:r w:rsidRPr="00873B6C">
              <w:rPr>
                <w:sz w:val="16"/>
                <w:szCs w:val="16"/>
              </w:rPr>
              <w:t xml:space="preserve"> TSN QoS mapping and 802.1Qbv parameters</w:t>
            </w:r>
          </w:p>
        </w:tc>
        <w:tc>
          <w:tcPr>
            <w:tcW w:w="708" w:type="dxa"/>
            <w:shd w:val="solid" w:color="FFFFFF" w:fill="auto"/>
          </w:tcPr>
          <w:p w14:paraId="2B06A71E" w14:textId="77777777" w:rsidR="00D40151" w:rsidRPr="00873B6C" w:rsidRDefault="00D40151" w:rsidP="009D14FB">
            <w:pPr>
              <w:pStyle w:val="TAC"/>
              <w:rPr>
                <w:sz w:val="16"/>
                <w:szCs w:val="16"/>
              </w:rPr>
            </w:pPr>
            <w:r w:rsidRPr="00873B6C">
              <w:rPr>
                <w:sz w:val="16"/>
                <w:szCs w:val="16"/>
              </w:rPr>
              <w:t>16.1.0</w:t>
            </w:r>
          </w:p>
        </w:tc>
      </w:tr>
      <w:tr w:rsidR="00D40151" w:rsidRPr="00873B6C" w14:paraId="0D81C52A" w14:textId="77777777" w:rsidTr="009D14FB">
        <w:tc>
          <w:tcPr>
            <w:tcW w:w="800" w:type="dxa"/>
            <w:shd w:val="solid" w:color="FFFFFF" w:fill="auto"/>
          </w:tcPr>
          <w:p w14:paraId="4ADF9FC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002601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62D9D1C"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4EF128F1" w14:textId="77777777" w:rsidR="00D40151" w:rsidRPr="00873B6C" w:rsidRDefault="00D40151" w:rsidP="009D14FB">
            <w:pPr>
              <w:pStyle w:val="TAL"/>
              <w:rPr>
                <w:sz w:val="16"/>
                <w:szCs w:val="16"/>
              </w:rPr>
            </w:pPr>
            <w:r w:rsidRPr="00873B6C">
              <w:rPr>
                <w:sz w:val="16"/>
                <w:szCs w:val="16"/>
              </w:rPr>
              <w:t>1128</w:t>
            </w:r>
          </w:p>
        </w:tc>
        <w:tc>
          <w:tcPr>
            <w:tcW w:w="425" w:type="dxa"/>
            <w:shd w:val="solid" w:color="FFFFFF" w:fill="auto"/>
          </w:tcPr>
          <w:p w14:paraId="14BC913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11C123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CF3D85E" w14:textId="77777777" w:rsidR="00D40151" w:rsidRPr="00873B6C" w:rsidRDefault="00D40151" w:rsidP="009D14FB">
            <w:pPr>
              <w:pStyle w:val="TAL"/>
              <w:rPr>
                <w:sz w:val="16"/>
                <w:szCs w:val="16"/>
              </w:rPr>
            </w:pPr>
            <w:r w:rsidRPr="00873B6C">
              <w:rPr>
                <w:sz w:val="16"/>
                <w:szCs w:val="16"/>
              </w:rPr>
              <w:t>Access to 5GC from UEs not supporting NAS over non-3GPP access</w:t>
            </w:r>
          </w:p>
        </w:tc>
        <w:tc>
          <w:tcPr>
            <w:tcW w:w="708" w:type="dxa"/>
            <w:shd w:val="solid" w:color="FFFFFF" w:fill="auto"/>
          </w:tcPr>
          <w:p w14:paraId="41C068D0" w14:textId="77777777" w:rsidR="00D40151" w:rsidRPr="00873B6C" w:rsidRDefault="00D40151" w:rsidP="009D14FB">
            <w:pPr>
              <w:pStyle w:val="TAC"/>
              <w:rPr>
                <w:sz w:val="16"/>
                <w:szCs w:val="16"/>
              </w:rPr>
            </w:pPr>
            <w:r w:rsidRPr="00873B6C">
              <w:rPr>
                <w:sz w:val="16"/>
                <w:szCs w:val="16"/>
              </w:rPr>
              <w:t>16.1.0</w:t>
            </w:r>
          </w:p>
        </w:tc>
      </w:tr>
      <w:tr w:rsidR="00D40151" w:rsidRPr="00873B6C" w14:paraId="3FAFEBC0" w14:textId="77777777" w:rsidTr="009D14FB">
        <w:tc>
          <w:tcPr>
            <w:tcW w:w="800" w:type="dxa"/>
            <w:shd w:val="solid" w:color="FFFFFF" w:fill="auto"/>
          </w:tcPr>
          <w:p w14:paraId="4675885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5FB5DC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749404F"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1034E634" w14:textId="77777777" w:rsidR="00D40151" w:rsidRPr="00873B6C" w:rsidRDefault="00D40151" w:rsidP="009D14FB">
            <w:pPr>
              <w:pStyle w:val="TAL"/>
              <w:rPr>
                <w:sz w:val="16"/>
                <w:szCs w:val="16"/>
              </w:rPr>
            </w:pPr>
            <w:r w:rsidRPr="00873B6C">
              <w:rPr>
                <w:sz w:val="16"/>
                <w:szCs w:val="16"/>
              </w:rPr>
              <w:t>1130</w:t>
            </w:r>
          </w:p>
        </w:tc>
        <w:tc>
          <w:tcPr>
            <w:tcW w:w="425" w:type="dxa"/>
            <w:shd w:val="solid" w:color="FFFFFF" w:fill="auto"/>
          </w:tcPr>
          <w:p w14:paraId="587001A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BFC3650"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5BC8250" w14:textId="77777777" w:rsidR="00D40151" w:rsidRPr="00873B6C" w:rsidRDefault="00D40151" w:rsidP="009D14FB">
            <w:pPr>
              <w:pStyle w:val="TAL"/>
              <w:rPr>
                <w:sz w:val="16"/>
                <w:szCs w:val="16"/>
              </w:rPr>
            </w:pPr>
            <w:r w:rsidRPr="00873B6C">
              <w:rPr>
                <w:sz w:val="16"/>
                <w:szCs w:val="16"/>
              </w:rPr>
              <w:t>Validity of LADN information and LADN discovery/storage in the UE per-PLMN</w:t>
            </w:r>
          </w:p>
        </w:tc>
        <w:tc>
          <w:tcPr>
            <w:tcW w:w="708" w:type="dxa"/>
            <w:shd w:val="solid" w:color="FFFFFF" w:fill="auto"/>
          </w:tcPr>
          <w:p w14:paraId="5BE01C70" w14:textId="77777777" w:rsidR="00D40151" w:rsidRPr="00873B6C" w:rsidRDefault="00D40151" w:rsidP="009D14FB">
            <w:pPr>
              <w:pStyle w:val="TAC"/>
              <w:rPr>
                <w:sz w:val="16"/>
                <w:szCs w:val="16"/>
              </w:rPr>
            </w:pPr>
            <w:r w:rsidRPr="00873B6C">
              <w:rPr>
                <w:sz w:val="16"/>
                <w:szCs w:val="16"/>
              </w:rPr>
              <w:t>16.1.0</w:t>
            </w:r>
          </w:p>
        </w:tc>
      </w:tr>
      <w:tr w:rsidR="00D40151" w:rsidRPr="00873B6C" w14:paraId="0FE22214" w14:textId="77777777" w:rsidTr="009D14FB">
        <w:tc>
          <w:tcPr>
            <w:tcW w:w="800" w:type="dxa"/>
            <w:shd w:val="solid" w:color="FFFFFF" w:fill="auto"/>
          </w:tcPr>
          <w:p w14:paraId="5AF3F04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B55B13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17CEB52"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305C55D2" w14:textId="77777777" w:rsidR="00D40151" w:rsidRPr="00873B6C" w:rsidRDefault="00D40151" w:rsidP="009D14FB">
            <w:pPr>
              <w:pStyle w:val="TAL"/>
              <w:rPr>
                <w:sz w:val="16"/>
                <w:szCs w:val="16"/>
              </w:rPr>
            </w:pPr>
            <w:r w:rsidRPr="00873B6C">
              <w:rPr>
                <w:sz w:val="16"/>
                <w:szCs w:val="16"/>
              </w:rPr>
              <w:t>1131</w:t>
            </w:r>
          </w:p>
        </w:tc>
        <w:tc>
          <w:tcPr>
            <w:tcW w:w="425" w:type="dxa"/>
            <w:shd w:val="solid" w:color="FFFFFF" w:fill="auto"/>
          </w:tcPr>
          <w:p w14:paraId="6155397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D8BAB2C"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23273AE" w14:textId="77777777" w:rsidR="00D40151" w:rsidRPr="00873B6C" w:rsidRDefault="00D40151" w:rsidP="009D14FB">
            <w:pPr>
              <w:pStyle w:val="TAL"/>
              <w:rPr>
                <w:sz w:val="16"/>
                <w:szCs w:val="16"/>
              </w:rPr>
            </w:pPr>
            <w:r w:rsidRPr="00873B6C">
              <w:rPr>
                <w:sz w:val="16"/>
                <w:szCs w:val="16"/>
              </w:rPr>
              <w:t>Conclusions on applicability of Allowed NSSAI to E-PLMNs</w:t>
            </w:r>
          </w:p>
        </w:tc>
        <w:tc>
          <w:tcPr>
            <w:tcW w:w="708" w:type="dxa"/>
            <w:shd w:val="solid" w:color="FFFFFF" w:fill="auto"/>
          </w:tcPr>
          <w:p w14:paraId="348C92A2" w14:textId="77777777" w:rsidR="00D40151" w:rsidRPr="00873B6C" w:rsidRDefault="00D40151" w:rsidP="009D14FB">
            <w:pPr>
              <w:pStyle w:val="TAC"/>
              <w:rPr>
                <w:sz w:val="16"/>
                <w:szCs w:val="16"/>
              </w:rPr>
            </w:pPr>
            <w:r w:rsidRPr="00873B6C">
              <w:rPr>
                <w:sz w:val="16"/>
                <w:szCs w:val="16"/>
              </w:rPr>
              <w:t>16.1.0</w:t>
            </w:r>
          </w:p>
        </w:tc>
      </w:tr>
      <w:tr w:rsidR="00D40151" w:rsidRPr="00873B6C" w14:paraId="56B0CAAF" w14:textId="77777777" w:rsidTr="009D14FB">
        <w:tc>
          <w:tcPr>
            <w:tcW w:w="800" w:type="dxa"/>
            <w:shd w:val="solid" w:color="FFFFFF" w:fill="auto"/>
          </w:tcPr>
          <w:p w14:paraId="714208D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D5A2D6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78D51E3"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638B6082" w14:textId="77777777" w:rsidR="00D40151" w:rsidRPr="00873B6C" w:rsidRDefault="00D40151" w:rsidP="009D14FB">
            <w:pPr>
              <w:pStyle w:val="TAL"/>
              <w:rPr>
                <w:sz w:val="16"/>
                <w:szCs w:val="16"/>
              </w:rPr>
            </w:pPr>
            <w:r w:rsidRPr="00873B6C">
              <w:rPr>
                <w:sz w:val="16"/>
                <w:szCs w:val="16"/>
              </w:rPr>
              <w:t>1132</w:t>
            </w:r>
          </w:p>
        </w:tc>
        <w:tc>
          <w:tcPr>
            <w:tcW w:w="425" w:type="dxa"/>
            <w:shd w:val="solid" w:color="FFFFFF" w:fill="auto"/>
          </w:tcPr>
          <w:p w14:paraId="75023C6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1D4522C"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9614D81" w14:textId="77777777" w:rsidR="00D40151" w:rsidRPr="00873B6C" w:rsidRDefault="00D40151" w:rsidP="009D14FB">
            <w:pPr>
              <w:pStyle w:val="TAL"/>
              <w:rPr>
                <w:sz w:val="16"/>
                <w:szCs w:val="16"/>
              </w:rPr>
            </w:pPr>
            <w:r w:rsidRPr="00873B6C">
              <w:rPr>
                <w:sz w:val="16"/>
                <w:szCs w:val="16"/>
              </w:rPr>
              <w:t>Correction to the provisioning of the UE Integrity Protection Data Rate capability</w:t>
            </w:r>
          </w:p>
        </w:tc>
        <w:tc>
          <w:tcPr>
            <w:tcW w:w="708" w:type="dxa"/>
            <w:shd w:val="solid" w:color="FFFFFF" w:fill="auto"/>
          </w:tcPr>
          <w:p w14:paraId="24E740E1" w14:textId="77777777" w:rsidR="00D40151" w:rsidRPr="00873B6C" w:rsidRDefault="00D40151" w:rsidP="009D14FB">
            <w:pPr>
              <w:pStyle w:val="TAC"/>
              <w:rPr>
                <w:sz w:val="16"/>
                <w:szCs w:val="16"/>
              </w:rPr>
            </w:pPr>
            <w:r w:rsidRPr="00873B6C">
              <w:rPr>
                <w:sz w:val="16"/>
                <w:szCs w:val="16"/>
              </w:rPr>
              <w:t>16.1.0</w:t>
            </w:r>
          </w:p>
        </w:tc>
      </w:tr>
      <w:tr w:rsidR="00D40151" w:rsidRPr="00873B6C" w14:paraId="2E897819" w14:textId="77777777" w:rsidTr="009D14FB">
        <w:tc>
          <w:tcPr>
            <w:tcW w:w="800" w:type="dxa"/>
            <w:shd w:val="solid" w:color="FFFFFF" w:fill="auto"/>
          </w:tcPr>
          <w:p w14:paraId="575C785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181502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8EC20D7" w14:textId="77777777" w:rsidR="00D40151" w:rsidRPr="00873B6C" w:rsidRDefault="00D40151" w:rsidP="009D14FB">
            <w:pPr>
              <w:pStyle w:val="TAC"/>
              <w:rPr>
                <w:sz w:val="16"/>
                <w:szCs w:val="16"/>
              </w:rPr>
            </w:pPr>
            <w:r w:rsidRPr="00873B6C">
              <w:rPr>
                <w:sz w:val="16"/>
                <w:szCs w:val="16"/>
              </w:rPr>
              <w:t>SP-190419</w:t>
            </w:r>
          </w:p>
        </w:tc>
        <w:tc>
          <w:tcPr>
            <w:tcW w:w="567" w:type="dxa"/>
            <w:shd w:val="solid" w:color="FFFFFF" w:fill="auto"/>
          </w:tcPr>
          <w:p w14:paraId="05B48E95" w14:textId="77777777" w:rsidR="00D40151" w:rsidRPr="00873B6C" w:rsidRDefault="00D40151" w:rsidP="009D14FB">
            <w:pPr>
              <w:pStyle w:val="TAL"/>
              <w:rPr>
                <w:sz w:val="16"/>
                <w:szCs w:val="16"/>
              </w:rPr>
            </w:pPr>
            <w:r w:rsidRPr="00873B6C">
              <w:rPr>
                <w:sz w:val="16"/>
                <w:szCs w:val="16"/>
              </w:rPr>
              <w:t>1134</w:t>
            </w:r>
          </w:p>
        </w:tc>
        <w:tc>
          <w:tcPr>
            <w:tcW w:w="425" w:type="dxa"/>
            <w:shd w:val="solid" w:color="FFFFFF" w:fill="auto"/>
          </w:tcPr>
          <w:p w14:paraId="7ACE9FA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3CEB17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B7BE5B3" w14:textId="77777777" w:rsidR="00D40151" w:rsidRPr="00873B6C" w:rsidRDefault="00D40151" w:rsidP="009D14FB">
            <w:pPr>
              <w:pStyle w:val="TAL"/>
              <w:rPr>
                <w:sz w:val="16"/>
                <w:szCs w:val="16"/>
              </w:rPr>
            </w:pPr>
            <w:r w:rsidRPr="00873B6C">
              <w:rPr>
                <w:sz w:val="16"/>
                <w:szCs w:val="16"/>
              </w:rPr>
              <w:t>Allowing IMS to use N5 interface to interact with PCF</w:t>
            </w:r>
          </w:p>
        </w:tc>
        <w:tc>
          <w:tcPr>
            <w:tcW w:w="708" w:type="dxa"/>
            <w:shd w:val="solid" w:color="FFFFFF" w:fill="auto"/>
          </w:tcPr>
          <w:p w14:paraId="2B27BCF9" w14:textId="77777777" w:rsidR="00D40151" w:rsidRPr="00873B6C" w:rsidRDefault="00D40151" w:rsidP="009D14FB">
            <w:pPr>
              <w:pStyle w:val="TAC"/>
              <w:rPr>
                <w:sz w:val="16"/>
                <w:szCs w:val="16"/>
              </w:rPr>
            </w:pPr>
            <w:r w:rsidRPr="00873B6C">
              <w:rPr>
                <w:sz w:val="16"/>
                <w:szCs w:val="16"/>
              </w:rPr>
              <w:t>16.1.0</w:t>
            </w:r>
          </w:p>
        </w:tc>
      </w:tr>
      <w:tr w:rsidR="00D40151" w:rsidRPr="00873B6C" w14:paraId="54589481" w14:textId="77777777" w:rsidTr="009D14FB">
        <w:tc>
          <w:tcPr>
            <w:tcW w:w="800" w:type="dxa"/>
            <w:shd w:val="solid" w:color="FFFFFF" w:fill="auto"/>
          </w:tcPr>
          <w:p w14:paraId="6AD1102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16677E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313700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1BBD878C" w14:textId="77777777" w:rsidR="00D40151" w:rsidRPr="00873B6C" w:rsidRDefault="00D40151" w:rsidP="009D14FB">
            <w:pPr>
              <w:pStyle w:val="TAL"/>
              <w:rPr>
                <w:sz w:val="16"/>
                <w:szCs w:val="16"/>
              </w:rPr>
            </w:pPr>
            <w:r w:rsidRPr="00873B6C">
              <w:rPr>
                <w:sz w:val="16"/>
                <w:szCs w:val="16"/>
              </w:rPr>
              <w:t>1135</w:t>
            </w:r>
          </w:p>
        </w:tc>
        <w:tc>
          <w:tcPr>
            <w:tcW w:w="425" w:type="dxa"/>
            <w:shd w:val="solid" w:color="FFFFFF" w:fill="auto"/>
          </w:tcPr>
          <w:p w14:paraId="5105D8E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85E2A7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902BA9" w14:textId="77777777" w:rsidR="00D40151" w:rsidRPr="00873B6C" w:rsidRDefault="00D40151" w:rsidP="009D14FB">
            <w:pPr>
              <w:pStyle w:val="TAL"/>
              <w:rPr>
                <w:sz w:val="16"/>
                <w:szCs w:val="16"/>
              </w:rPr>
            </w:pPr>
            <w:r w:rsidRPr="00873B6C">
              <w:rPr>
                <w:sz w:val="16"/>
                <w:szCs w:val="16"/>
              </w:rPr>
              <w:t>Correction regarding legacy UE and non-NPN UE</w:t>
            </w:r>
          </w:p>
        </w:tc>
        <w:tc>
          <w:tcPr>
            <w:tcW w:w="708" w:type="dxa"/>
            <w:shd w:val="solid" w:color="FFFFFF" w:fill="auto"/>
          </w:tcPr>
          <w:p w14:paraId="58E7EC14" w14:textId="77777777" w:rsidR="00D40151" w:rsidRPr="00873B6C" w:rsidRDefault="00D40151" w:rsidP="009D14FB">
            <w:pPr>
              <w:pStyle w:val="TAC"/>
              <w:rPr>
                <w:sz w:val="16"/>
                <w:szCs w:val="16"/>
              </w:rPr>
            </w:pPr>
            <w:r w:rsidRPr="00873B6C">
              <w:rPr>
                <w:sz w:val="16"/>
                <w:szCs w:val="16"/>
              </w:rPr>
              <w:t>16.1.0</w:t>
            </w:r>
          </w:p>
        </w:tc>
      </w:tr>
      <w:tr w:rsidR="00D40151" w:rsidRPr="00873B6C" w14:paraId="04B830F3" w14:textId="77777777" w:rsidTr="009D14FB">
        <w:tc>
          <w:tcPr>
            <w:tcW w:w="800" w:type="dxa"/>
            <w:shd w:val="solid" w:color="FFFFFF" w:fill="auto"/>
          </w:tcPr>
          <w:p w14:paraId="6545FF8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9683EF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F43BB81"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247D2BCA" w14:textId="77777777" w:rsidR="00D40151" w:rsidRPr="00873B6C" w:rsidRDefault="00D40151" w:rsidP="009D14FB">
            <w:pPr>
              <w:pStyle w:val="TAL"/>
              <w:rPr>
                <w:sz w:val="16"/>
                <w:szCs w:val="16"/>
              </w:rPr>
            </w:pPr>
            <w:r w:rsidRPr="00873B6C">
              <w:rPr>
                <w:sz w:val="16"/>
                <w:szCs w:val="16"/>
              </w:rPr>
              <w:t>1139</w:t>
            </w:r>
          </w:p>
        </w:tc>
        <w:tc>
          <w:tcPr>
            <w:tcW w:w="425" w:type="dxa"/>
            <w:shd w:val="solid" w:color="FFFFFF" w:fill="auto"/>
          </w:tcPr>
          <w:p w14:paraId="7105BBB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40086A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3A5650" w14:textId="77777777" w:rsidR="00D40151" w:rsidRPr="00873B6C" w:rsidRDefault="00D40151" w:rsidP="009D14FB">
            <w:pPr>
              <w:pStyle w:val="TAL"/>
              <w:rPr>
                <w:sz w:val="16"/>
                <w:szCs w:val="16"/>
              </w:rPr>
            </w:pPr>
            <w:r w:rsidRPr="00873B6C">
              <w:rPr>
                <w:sz w:val="16"/>
                <w:szCs w:val="16"/>
              </w:rPr>
              <w:t>AMF selection during inter PLMN mobility</w:t>
            </w:r>
          </w:p>
        </w:tc>
        <w:tc>
          <w:tcPr>
            <w:tcW w:w="708" w:type="dxa"/>
            <w:shd w:val="solid" w:color="FFFFFF" w:fill="auto"/>
          </w:tcPr>
          <w:p w14:paraId="100E03E5" w14:textId="77777777" w:rsidR="00D40151" w:rsidRPr="00873B6C" w:rsidRDefault="00D40151" w:rsidP="009D14FB">
            <w:pPr>
              <w:pStyle w:val="TAC"/>
              <w:rPr>
                <w:sz w:val="16"/>
                <w:szCs w:val="16"/>
              </w:rPr>
            </w:pPr>
            <w:r w:rsidRPr="00873B6C">
              <w:rPr>
                <w:sz w:val="16"/>
                <w:szCs w:val="16"/>
              </w:rPr>
              <w:t>16.1.0</w:t>
            </w:r>
          </w:p>
        </w:tc>
      </w:tr>
      <w:tr w:rsidR="00D40151" w:rsidRPr="00873B6C" w14:paraId="0627A015" w14:textId="77777777" w:rsidTr="009D14FB">
        <w:tc>
          <w:tcPr>
            <w:tcW w:w="800" w:type="dxa"/>
            <w:shd w:val="solid" w:color="FFFFFF" w:fill="auto"/>
          </w:tcPr>
          <w:p w14:paraId="293A9C1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881FE1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DFD5787"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3B139F19" w14:textId="77777777" w:rsidR="00D40151" w:rsidRPr="00873B6C" w:rsidRDefault="00D40151" w:rsidP="009D14FB">
            <w:pPr>
              <w:pStyle w:val="TAL"/>
              <w:rPr>
                <w:sz w:val="16"/>
                <w:szCs w:val="16"/>
              </w:rPr>
            </w:pPr>
            <w:r w:rsidRPr="00873B6C">
              <w:rPr>
                <w:sz w:val="16"/>
                <w:szCs w:val="16"/>
              </w:rPr>
              <w:t>1142</w:t>
            </w:r>
          </w:p>
        </w:tc>
        <w:tc>
          <w:tcPr>
            <w:tcW w:w="425" w:type="dxa"/>
            <w:shd w:val="solid" w:color="FFFFFF" w:fill="auto"/>
          </w:tcPr>
          <w:p w14:paraId="7ACB5FBD"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6724D7CF"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B780DAC" w14:textId="77777777" w:rsidR="00D40151" w:rsidRPr="00873B6C" w:rsidRDefault="00D40151" w:rsidP="009D14FB">
            <w:pPr>
              <w:pStyle w:val="TAL"/>
              <w:rPr>
                <w:sz w:val="16"/>
                <w:szCs w:val="16"/>
              </w:rPr>
            </w:pPr>
            <w:r w:rsidRPr="00873B6C">
              <w:rPr>
                <w:sz w:val="16"/>
                <w:szCs w:val="16"/>
              </w:rPr>
              <w:t>Update description for E2E PDB division</w:t>
            </w:r>
          </w:p>
        </w:tc>
        <w:tc>
          <w:tcPr>
            <w:tcW w:w="708" w:type="dxa"/>
            <w:shd w:val="solid" w:color="FFFFFF" w:fill="auto"/>
          </w:tcPr>
          <w:p w14:paraId="17B1416D" w14:textId="77777777" w:rsidR="00D40151" w:rsidRPr="00873B6C" w:rsidRDefault="00D40151" w:rsidP="009D14FB">
            <w:pPr>
              <w:pStyle w:val="TAC"/>
              <w:rPr>
                <w:sz w:val="16"/>
                <w:szCs w:val="16"/>
              </w:rPr>
            </w:pPr>
            <w:r w:rsidRPr="00873B6C">
              <w:rPr>
                <w:sz w:val="16"/>
                <w:szCs w:val="16"/>
              </w:rPr>
              <w:t>16.1.0</w:t>
            </w:r>
          </w:p>
        </w:tc>
      </w:tr>
      <w:tr w:rsidR="00D40151" w:rsidRPr="00873B6C" w14:paraId="7176CDEB" w14:textId="77777777" w:rsidTr="009D14FB">
        <w:tc>
          <w:tcPr>
            <w:tcW w:w="800" w:type="dxa"/>
            <w:shd w:val="solid" w:color="FFFFFF" w:fill="auto"/>
          </w:tcPr>
          <w:p w14:paraId="393502E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1BDE18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C8241C0"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1C213BB1" w14:textId="77777777" w:rsidR="00D40151" w:rsidRPr="00873B6C" w:rsidRDefault="00D40151" w:rsidP="009D14FB">
            <w:pPr>
              <w:pStyle w:val="TAL"/>
              <w:rPr>
                <w:sz w:val="16"/>
                <w:szCs w:val="16"/>
              </w:rPr>
            </w:pPr>
            <w:r w:rsidRPr="00873B6C">
              <w:rPr>
                <w:sz w:val="16"/>
                <w:szCs w:val="16"/>
              </w:rPr>
              <w:t>1144</w:t>
            </w:r>
          </w:p>
        </w:tc>
        <w:tc>
          <w:tcPr>
            <w:tcW w:w="425" w:type="dxa"/>
            <w:shd w:val="solid" w:color="FFFFFF" w:fill="auto"/>
          </w:tcPr>
          <w:p w14:paraId="41FBC01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204A3BE"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370AA01E" w14:textId="77777777" w:rsidR="00D40151" w:rsidRPr="00873B6C" w:rsidRDefault="00D40151" w:rsidP="009D14FB">
            <w:pPr>
              <w:pStyle w:val="TAL"/>
              <w:rPr>
                <w:sz w:val="16"/>
                <w:szCs w:val="16"/>
              </w:rPr>
            </w:pPr>
            <w:r w:rsidRPr="00873B6C">
              <w:rPr>
                <w:sz w:val="16"/>
                <w:szCs w:val="16"/>
              </w:rPr>
              <w:t>Explicit indication of AF response to be expected for runtime coordination with AF</w:t>
            </w:r>
          </w:p>
        </w:tc>
        <w:tc>
          <w:tcPr>
            <w:tcW w:w="708" w:type="dxa"/>
            <w:shd w:val="solid" w:color="FFFFFF" w:fill="auto"/>
          </w:tcPr>
          <w:p w14:paraId="2DAD6E8C" w14:textId="77777777" w:rsidR="00D40151" w:rsidRPr="00873B6C" w:rsidRDefault="00D40151" w:rsidP="009D14FB">
            <w:pPr>
              <w:pStyle w:val="TAC"/>
              <w:rPr>
                <w:sz w:val="16"/>
                <w:szCs w:val="16"/>
              </w:rPr>
            </w:pPr>
            <w:r w:rsidRPr="00873B6C">
              <w:rPr>
                <w:sz w:val="16"/>
                <w:szCs w:val="16"/>
              </w:rPr>
              <w:t>16.1.0</w:t>
            </w:r>
          </w:p>
        </w:tc>
      </w:tr>
      <w:tr w:rsidR="00D40151" w:rsidRPr="00873B6C" w14:paraId="5D0A0F40" w14:textId="77777777" w:rsidTr="009D14FB">
        <w:tc>
          <w:tcPr>
            <w:tcW w:w="800" w:type="dxa"/>
            <w:shd w:val="solid" w:color="FFFFFF" w:fill="auto"/>
          </w:tcPr>
          <w:p w14:paraId="75C6A12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020A3C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F3861C2"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110B4677" w14:textId="77777777" w:rsidR="00D40151" w:rsidRPr="00873B6C" w:rsidRDefault="00D40151" w:rsidP="009D14FB">
            <w:pPr>
              <w:pStyle w:val="TAL"/>
              <w:rPr>
                <w:sz w:val="16"/>
                <w:szCs w:val="16"/>
              </w:rPr>
            </w:pPr>
            <w:r w:rsidRPr="00873B6C">
              <w:rPr>
                <w:sz w:val="16"/>
                <w:szCs w:val="16"/>
              </w:rPr>
              <w:t>1149</w:t>
            </w:r>
          </w:p>
        </w:tc>
        <w:tc>
          <w:tcPr>
            <w:tcW w:w="425" w:type="dxa"/>
            <w:shd w:val="solid" w:color="FFFFFF" w:fill="auto"/>
          </w:tcPr>
          <w:p w14:paraId="789B07C9" w14:textId="77777777" w:rsidR="00D40151" w:rsidRPr="00873B6C" w:rsidRDefault="00D40151" w:rsidP="009D14FB">
            <w:pPr>
              <w:pStyle w:val="TAL"/>
              <w:rPr>
                <w:sz w:val="16"/>
                <w:szCs w:val="16"/>
              </w:rPr>
            </w:pPr>
            <w:r w:rsidRPr="00873B6C">
              <w:rPr>
                <w:sz w:val="16"/>
                <w:szCs w:val="16"/>
              </w:rPr>
              <w:t>9</w:t>
            </w:r>
          </w:p>
        </w:tc>
        <w:tc>
          <w:tcPr>
            <w:tcW w:w="425" w:type="dxa"/>
            <w:shd w:val="solid" w:color="FFFFFF" w:fill="auto"/>
          </w:tcPr>
          <w:p w14:paraId="6E86B1F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0653135" w14:textId="77777777" w:rsidR="00D40151" w:rsidRPr="00873B6C" w:rsidRDefault="00D40151" w:rsidP="009D14FB">
            <w:pPr>
              <w:pStyle w:val="TAL"/>
              <w:rPr>
                <w:sz w:val="16"/>
                <w:szCs w:val="16"/>
              </w:rPr>
            </w:pPr>
            <w:r w:rsidRPr="00873B6C">
              <w:rPr>
                <w:sz w:val="16"/>
                <w:szCs w:val="16"/>
              </w:rPr>
              <w:t>Roaming support for service exposure</w:t>
            </w:r>
          </w:p>
        </w:tc>
        <w:tc>
          <w:tcPr>
            <w:tcW w:w="708" w:type="dxa"/>
            <w:shd w:val="solid" w:color="FFFFFF" w:fill="auto"/>
          </w:tcPr>
          <w:p w14:paraId="051DA330" w14:textId="77777777" w:rsidR="00D40151" w:rsidRPr="00873B6C" w:rsidRDefault="00D40151" w:rsidP="009D14FB">
            <w:pPr>
              <w:pStyle w:val="TAC"/>
              <w:rPr>
                <w:sz w:val="16"/>
                <w:szCs w:val="16"/>
              </w:rPr>
            </w:pPr>
            <w:r w:rsidRPr="00873B6C">
              <w:rPr>
                <w:sz w:val="16"/>
                <w:szCs w:val="16"/>
              </w:rPr>
              <w:t>16.1.0</w:t>
            </w:r>
          </w:p>
        </w:tc>
      </w:tr>
      <w:tr w:rsidR="00D40151" w:rsidRPr="00873B6C" w14:paraId="757B2C91" w14:textId="77777777" w:rsidTr="009D14FB">
        <w:tc>
          <w:tcPr>
            <w:tcW w:w="800" w:type="dxa"/>
            <w:shd w:val="solid" w:color="FFFFFF" w:fill="auto"/>
          </w:tcPr>
          <w:p w14:paraId="65F7E78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27A521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9ABA4E7"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28E21174" w14:textId="77777777" w:rsidR="00D40151" w:rsidRPr="00873B6C" w:rsidRDefault="00D40151" w:rsidP="009D14FB">
            <w:pPr>
              <w:pStyle w:val="TAL"/>
              <w:rPr>
                <w:sz w:val="16"/>
                <w:szCs w:val="16"/>
              </w:rPr>
            </w:pPr>
            <w:r w:rsidRPr="00873B6C">
              <w:rPr>
                <w:sz w:val="16"/>
                <w:szCs w:val="16"/>
              </w:rPr>
              <w:t>1152</w:t>
            </w:r>
          </w:p>
        </w:tc>
        <w:tc>
          <w:tcPr>
            <w:tcW w:w="425" w:type="dxa"/>
            <w:shd w:val="solid" w:color="FFFFFF" w:fill="auto"/>
          </w:tcPr>
          <w:p w14:paraId="03C4595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A371E3"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F54D5CC" w14:textId="77777777" w:rsidR="00D40151" w:rsidRPr="00873B6C" w:rsidRDefault="00D40151" w:rsidP="009D14FB">
            <w:pPr>
              <w:pStyle w:val="TAL"/>
              <w:rPr>
                <w:sz w:val="16"/>
                <w:szCs w:val="16"/>
              </w:rPr>
            </w:pPr>
            <w:r w:rsidRPr="00873B6C">
              <w:rPr>
                <w:sz w:val="16"/>
                <w:szCs w:val="16"/>
              </w:rPr>
              <w:t>Corrections for the activation of usage reporting in the UPF</w:t>
            </w:r>
          </w:p>
        </w:tc>
        <w:tc>
          <w:tcPr>
            <w:tcW w:w="708" w:type="dxa"/>
            <w:shd w:val="solid" w:color="FFFFFF" w:fill="auto"/>
          </w:tcPr>
          <w:p w14:paraId="749AE61F" w14:textId="77777777" w:rsidR="00D40151" w:rsidRPr="00873B6C" w:rsidRDefault="00D40151" w:rsidP="009D14FB">
            <w:pPr>
              <w:pStyle w:val="TAC"/>
              <w:rPr>
                <w:sz w:val="16"/>
                <w:szCs w:val="16"/>
              </w:rPr>
            </w:pPr>
            <w:r w:rsidRPr="00873B6C">
              <w:rPr>
                <w:sz w:val="16"/>
                <w:szCs w:val="16"/>
              </w:rPr>
              <w:t>16.1.0</w:t>
            </w:r>
          </w:p>
        </w:tc>
      </w:tr>
      <w:tr w:rsidR="00D40151" w:rsidRPr="00873B6C" w14:paraId="00A134C5" w14:textId="77777777" w:rsidTr="009D14FB">
        <w:tc>
          <w:tcPr>
            <w:tcW w:w="800" w:type="dxa"/>
            <w:shd w:val="solid" w:color="FFFFFF" w:fill="auto"/>
          </w:tcPr>
          <w:p w14:paraId="1169B9E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00CA25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FBBAC09"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DC387FE" w14:textId="77777777" w:rsidR="00D40151" w:rsidRPr="00873B6C" w:rsidRDefault="00D40151" w:rsidP="009D14FB">
            <w:pPr>
              <w:pStyle w:val="TAL"/>
              <w:rPr>
                <w:sz w:val="16"/>
                <w:szCs w:val="16"/>
              </w:rPr>
            </w:pPr>
            <w:r w:rsidRPr="00873B6C">
              <w:rPr>
                <w:sz w:val="16"/>
                <w:szCs w:val="16"/>
              </w:rPr>
              <w:t>1159</w:t>
            </w:r>
          </w:p>
        </w:tc>
        <w:tc>
          <w:tcPr>
            <w:tcW w:w="425" w:type="dxa"/>
            <w:shd w:val="solid" w:color="FFFFFF" w:fill="auto"/>
          </w:tcPr>
          <w:p w14:paraId="51451A5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10CAE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645FD4E" w14:textId="77777777" w:rsidR="00D40151" w:rsidRPr="00873B6C" w:rsidRDefault="00D40151" w:rsidP="009D14FB">
            <w:pPr>
              <w:pStyle w:val="TAL"/>
              <w:rPr>
                <w:sz w:val="16"/>
                <w:szCs w:val="16"/>
              </w:rPr>
            </w:pPr>
            <w:r w:rsidRPr="00873B6C">
              <w:rPr>
                <w:sz w:val="16"/>
                <w:szCs w:val="16"/>
              </w:rPr>
              <w:t>Clarification on NAS level congestion control</w:t>
            </w:r>
          </w:p>
        </w:tc>
        <w:tc>
          <w:tcPr>
            <w:tcW w:w="708" w:type="dxa"/>
            <w:shd w:val="solid" w:color="FFFFFF" w:fill="auto"/>
          </w:tcPr>
          <w:p w14:paraId="161361F2" w14:textId="77777777" w:rsidR="00D40151" w:rsidRPr="00873B6C" w:rsidRDefault="00D40151" w:rsidP="009D14FB">
            <w:pPr>
              <w:pStyle w:val="TAC"/>
              <w:rPr>
                <w:sz w:val="16"/>
                <w:szCs w:val="16"/>
              </w:rPr>
            </w:pPr>
            <w:r w:rsidRPr="00873B6C">
              <w:rPr>
                <w:sz w:val="16"/>
                <w:szCs w:val="16"/>
              </w:rPr>
              <w:t>16.1.0</w:t>
            </w:r>
          </w:p>
        </w:tc>
      </w:tr>
      <w:tr w:rsidR="00D40151" w:rsidRPr="00873B6C" w14:paraId="45F3DF41" w14:textId="77777777" w:rsidTr="009D14FB">
        <w:tc>
          <w:tcPr>
            <w:tcW w:w="800" w:type="dxa"/>
            <w:shd w:val="solid" w:color="FFFFFF" w:fill="auto"/>
          </w:tcPr>
          <w:p w14:paraId="4372115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A1094D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92AFE08"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41605166" w14:textId="77777777" w:rsidR="00D40151" w:rsidRPr="00873B6C" w:rsidRDefault="00D40151" w:rsidP="009D14FB">
            <w:pPr>
              <w:pStyle w:val="TAL"/>
              <w:rPr>
                <w:sz w:val="16"/>
                <w:szCs w:val="16"/>
              </w:rPr>
            </w:pPr>
            <w:r w:rsidRPr="00873B6C">
              <w:rPr>
                <w:sz w:val="16"/>
                <w:szCs w:val="16"/>
              </w:rPr>
              <w:t>1161</w:t>
            </w:r>
          </w:p>
        </w:tc>
        <w:tc>
          <w:tcPr>
            <w:tcW w:w="425" w:type="dxa"/>
            <w:shd w:val="solid" w:color="FFFFFF" w:fill="auto"/>
          </w:tcPr>
          <w:p w14:paraId="271F7D6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E1A15C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9C36DAE" w14:textId="77777777" w:rsidR="00D40151" w:rsidRPr="00873B6C" w:rsidRDefault="00D40151" w:rsidP="009D14FB">
            <w:pPr>
              <w:pStyle w:val="TAL"/>
              <w:rPr>
                <w:sz w:val="16"/>
                <w:szCs w:val="16"/>
              </w:rPr>
            </w:pPr>
            <w:r w:rsidRPr="00873B6C">
              <w:rPr>
                <w:sz w:val="16"/>
                <w:szCs w:val="16"/>
              </w:rPr>
              <w:t>Correction of UE 5GSM Core Network Capability</w:t>
            </w:r>
          </w:p>
        </w:tc>
        <w:tc>
          <w:tcPr>
            <w:tcW w:w="708" w:type="dxa"/>
            <w:shd w:val="solid" w:color="FFFFFF" w:fill="auto"/>
          </w:tcPr>
          <w:p w14:paraId="69539123" w14:textId="77777777" w:rsidR="00D40151" w:rsidRPr="00873B6C" w:rsidRDefault="00D40151" w:rsidP="009D14FB">
            <w:pPr>
              <w:pStyle w:val="TAC"/>
              <w:rPr>
                <w:sz w:val="16"/>
                <w:szCs w:val="16"/>
              </w:rPr>
            </w:pPr>
            <w:r w:rsidRPr="00873B6C">
              <w:rPr>
                <w:sz w:val="16"/>
                <w:szCs w:val="16"/>
              </w:rPr>
              <w:t>16.1.0</w:t>
            </w:r>
          </w:p>
        </w:tc>
      </w:tr>
      <w:tr w:rsidR="00D40151" w:rsidRPr="00873B6C" w14:paraId="561DCC2C" w14:textId="77777777" w:rsidTr="009D14FB">
        <w:tc>
          <w:tcPr>
            <w:tcW w:w="800" w:type="dxa"/>
            <w:shd w:val="solid" w:color="FFFFFF" w:fill="auto"/>
          </w:tcPr>
          <w:p w14:paraId="37C89DE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65E5FD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D907CED" w14:textId="77777777" w:rsidR="00D40151" w:rsidRPr="00873B6C" w:rsidRDefault="00D40151" w:rsidP="009D14FB">
            <w:pPr>
              <w:pStyle w:val="TAC"/>
              <w:rPr>
                <w:sz w:val="16"/>
                <w:szCs w:val="16"/>
              </w:rPr>
            </w:pPr>
            <w:r w:rsidRPr="00873B6C">
              <w:rPr>
                <w:sz w:val="16"/>
                <w:szCs w:val="16"/>
              </w:rPr>
              <w:t>SP-190423</w:t>
            </w:r>
          </w:p>
        </w:tc>
        <w:tc>
          <w:tcPr>
            <w:tcW w:w="567" w:type="dxa"/>
            <w:shd w:val="solid" w:color="FFFFFF" w:fill="auto"/>
          </w:tcPr>
          <w:p w14:paraId="7B154931" w14:textId="77777777" w:rsidR="00D40151" w:rsidRPr="00873B6C" w:rsidRDefault="00D40151" w:rsidP="009D14FB">
            <w:pPr>
              <w:pStyle w:val="TAL"/>
              <w:rPr>
                <w:sz w:val="16"/>
                <w:szCs w:val="16"/>
              </w:rPr>
            </w:pPr>
            <w:r w:rsidRPr="00873B6C">
              <w:rPr>
                <w:sz w:val="16"/>
                <w:szCs w:val="16"/>
              </w:rPr>
              <w:t>1162</w:t>
            </w:r>
          </w:p>
        </w:tc>
        <w:tc>
          <w:tcPr>
            <w:tcW w:w="425" w:type="dxa"/>
            <w:shd w:val="solid" w:color="FFFFFF" w:fill="auto"/>
          </w:tcPr>
          <w:p w14:paraId="7AA5C65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4B8282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7E9C49F" w14:textId="77777777" w:rsidR="00D40151" w:rsidRPr="00873B6C" w:rsidRDefault="00D40151" w:rsidP="009D14FB">
            <w:pPr>
              <w:pStyle w:val="TAL"/>
              <w:rPr>
                <w:sz w:val="16"/>
                <w:szCs w:val="16"/>
              </w:rPr>
            </w:pPr>
            <w:r w:rsidRPr="00873B6C">
              <w:rPr>
                <w:sz w:val="16"/>
                <w:szCs w:val="16"/>
              </w:rPr>
              <w:t>Introduce a new standardized SST value dedicated for V2X services</w:t>
            </w:r>
          </w:p>
        </w:tc>
        <w:tc>
          <w:tcPr>
            <w:tcW w:w="708" w:type="dxa"/>
            <w:shd w:val="solid" w:color="FFFFFF" w:fill="auto"/>
          </w:tcPr>
          <w:p w14:paraId="0E290126" w14:textId="77777777" w:rsidR="00D40151" w:rsidRPr="00873B6C" w:rsidRDefault="00D40151" w:rsidP="009D14FB">
            <w:pPr>
              <w:pStyle w:val="TAC"/>
              <w:rPr>
                <w:sz w:val="16"/>
                <w:szCs w:val="16"/>
              </w:rPr>
            </w:pPr>
            <w:r w:rsidRPr="00873B6C">
              <w:rPr>
                <w:sz w:val="16"/>
                <w:szCs w:val="16"/>
              </w:rPr>
              <w:t>16.1.0</w:t>
            </w:r>
          </w:p>
        </w:tc>
      </w:tr>
      <w:tr w:rsidR="00D40151" w:rsidRPr="00873B6C" w14:paraId="045B8829" w14:textId="77777777" w:rsidTr="009D14FB">
        <w:tc>
          <w:tcPr>
            <w:tcW w:w="800" w:type="dxa"/>
            <w:shd w:val="solid" w:color="FFFFFF" w:fill="auto"/>
          </w:tcPr>
          <w:p w14:paraId="502E84C2"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3A7D8F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93BA1C5"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7FB9F02F" w14:textId="77777777" w:rsidR="00D40151" w:rsidRPr="00873B6C" w:rsidRDefault="00D40151" w:rsidP="009D14FB">
            <w:pPr>
              <w:pStyle w:val="TAL"/>
              <w:rPr>
                <w:sz w:val="16"/>
                <w:szCs w:val="16"/>
              </w:rPr>
            </w:pPr>
            <w:r w:rsidRPr="00873B6C">
              <w:rPr>
                <w:sz w:val="16"/>
                <w:szCs w:val="16"/>
              </w:rPr>
              <w:t>1163</w:t>
            </w:r>
          </w:p>
        </w:tc>
        <w:tc>
          <w:tcPr>
            <w:tcW w:w="425" w:type="dxa"/>
            <w:shd w:val="solid" w:color="FFFFFF" w:fill="auto"/>
          </w:tcPr>
          <w:p w14:paraId="1B40316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B3759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B3C8EC" w14:textId="77777777" w:rsidR="00D40151" w:rsidRPr="00873B6C" w:rsidRDefault="00D40151" w:rsidP="009D14FB">
            <w:pPr>
              <w:pStyle w:val="TAL"/>
              <w:rPr>
                <w:sz w:val="16"/>
                <w:szCs w:val="16"/>
              </w:rPr>
            </w:pPr>
            <w:r w:rsidRPr="00873B6C">
              <w:rPr>
                <w:sz w:val="16"/>
                <w:szCs w:val="16"/>
              </w:rPr>
              <w:t>Clarification on the CN PDB configured in each NG-RAN node</w:t>
            </w:r>
          </w:p>
        </w:tc>
        <w:tc>
          <w:tcPr>
            <w:tcW w:w="708" w:type="dxa"/>
            <w:shd w:val="solid" w:color="FFFFFF" w:fill="auto"/>
          </w:tcPr>
          <w:p w14:paraId="772FEB1C" w14:textId="77777777" w:rsidR="00D40151" w:rsidRPr="00873B6C" w:rsidRDefault="00D40151" w:rsidP="009D14FB">
            <w:pPr>
              <w:pStyle w:val="TAC"/>
              <w:rPr>
                <w:sz w:val="16"/>
                <w:szCs w:val="16"/>
              </w:rPr>
            </w:pPr>
            <w:r w:rsidRPr="00873B6C">
              <w:rPr>
                <w:sz w:val="16"/>
                <w:szCs w:val="16"/>
              </w:rPr>
              <w:t>16.1.0</w:t>
            </w:r>
          </w:p>
        </w:tc>
      </w:tr>
      <w:tr w:rsidR="00D40151" w:rsidRPr="00873B6C" w14:paraId="19AA1214" w14:textId="77777777" w:rsidTr="009D14FB">
        <w:tc>
          <w:tcPr>
            <w:tcW w:w="800" w:type="dxa"/>
            <w:shd w:val="solid" w:color="FFFFFF" w:fill="auto"/>
          </w:tcPr>
          <w:p w14:paraId="4683517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6D8B0B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1FF8989"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334C23B0" w14:textId="77777777" w:rsidR="00D40151" w:rsidRPr="00873B6C" w:rsidRDefault="00D40151" w:rsidP="009D14FB">
            <w:pPr>
              <w:pStyle w:val="TAL"/>
              <w:rPr>
                <w:sz w:val="16"/>
                <w:szCs w:val="16"/>
              </w:rPr>
            </w:pPr>
            <w:r w:rsidRPr="00873B6C">
              <w:rPr>
                <w:sz w:val="16"/>
                <w:szCs w:val="16"/>
              </w:rPr>
              <w:t>1164</w:t>
            </w:r>
          </w:p>
        </w:tc>
        <w:tc>
          <w:tcPr>
            <w:tcW w:w="425" w:type="dxa"/>
            <w:shd w:val="solid" w:color="FFFFFF" w:fill="auto"/>
          </w:tcPr>
          <w:p w14:paraId="0B01E5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2C9E79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6C7A4BC" w14:textId="77777777" w:rsidR="00D40151" w:rsidRPr="00873B6C" w:rsidRDefault="00D40151" w:rsidP="009D14FB">
            <w:pPr>
              <w:pStyle w:val="TAL"/>
              <w:rPr>
                <w:sz w:val="16"/>
                <w:szCs w:val="16"/>
              </w:rPr>
            </w:pPr>
            <w:r w:rsidRPr="00873B6C">
              <w:rPr>
                <w:sz w:val="16"/>
                <w:szCs w:val="16"/>
              </w:rPr>
              <w:t>Clarification on GBR QoS Flow establishment</w:t>
            </w:r>
          </w:p>
        </w:tc>
        <w:tc>
          <w:tcPr>
            <w:tcW w:w="708" w:type="dxa"/>
            <w:shd w:val="solid" w:color="FFFFFF" w:fill="auto"/>
          </w:tcPr>
          <w:p w14:paraId="6407C8AA" w14:textId="77777777" w:rsidR="00D40151" w:rsidRPr="00873B6C" w:rsidRDefault="00D40151" w:rsidP="009D14FB">
            <w:pPr>
              <w:pStyle w:val="TAC"/>
              <w:rPr>
                <w:sz w:val="16"/>
                <w:szCs w:val="16"/>
              </w:rPr>
            </w:pPr>
            <w:r w:rsidRPr="00873B6C">
              <w:rPr>
                <w:sz w:val="16"/>
                <w:szCs w:val="16"/>
              </w:rPr>
              <w:t>16.1.0</w:t>
            </w:r>
          </w:p>
        </w:tc>
      </w:tr>
      <w:tr w:rsidR="00D40151" w:rsidRPr="00873B6C" w14:paraId="3C67A502" w14:textId="77777777" w:rsidTr="009D14FB">
        <w:tc>
          <w:tcPr>
            <w:tcW w:w="800" w:type="dxa"/>
            <w:shd w:val="solid" w:color="FFFFFF" w:fill="auto"/>
          </w:tcPr>
          <w:p w14:paraId="2C84477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9B6243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B97AA6C"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5471A84E" w14:textId="77777777" w:rsidR="00D40151" w:rsidRPr="00873B6C" w:rsidRDefault="00D40151" w:rsidP="009D14FB">
            <w:pPr>
              <w:pStyle w:val="TAL"/>
              <w:rPr>
                <w:sz w:val="16"/>
                <w:szCs w:val="16"/>
              </w:rPr>
            </w:pPr>
            <w:r w:rsidRPr="00873B6C">
              <w:rPr>
                <w:sz w:val="16"/>
                <w:szCs w:val="16"/>
              </w:rPr>
              <w:t>1168</w:t>
            </w:r>
          </w:p>
        </w:tc>
        <w:tc>
          <w:tcPr>
            <w:tcW w:w="425" w:type="dxa"/>
            <w:shd w:val="solid" w:color="FFFFFF" w:fill="auto"/>
          </w:tcPr>
          <w:p w14:paraId="2752A595"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28A71887"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2D64ACE4" w14:textId="77777777" w:rsidR="00D40151" w:rsidRPr="00873B6C" w:rsidRDefault="00D40151" w:rsidP="009D14FB">
            <w:pPr>
              <w:pStyle w:val="TAL"/>
              <w:rPr>
                <w:sz w:val="16"/>
                <w:szCs w:val="16"/>
              </w:rPr>
            </w:pPr>
            <w:r w:rsidRPr="00873B6C">
              <w:rPr>
                <w:sz w:val="16"/>
                <w:szCs w:val="16"/>
              </w:rPr>
              <w:t>RTT measurements with TCP</w:t>
            </w:r>
          </w:p>
        </w:tc>
        <w:tc>
          <w:tcPr>
            <w:tcW w:w="708" w:type="dxa"/>
            <w:shd w:val="solid" w:color="FFFFFF" w:fill="auto"/>
          </w:tcPr>
          <w:p w14:paraId="0A496300" w14:textId="77777777" w:rsidR="00D40151" w:rsidRPr="00873B6C" w:rsidRDefault="00D40151" w:rsidP="009D14FB">
            <w:pPr>
              <w:pStyle w:val="TAC"/>
              <w:rPr>
                <w:sz w:val="16"/>
                <w:szCs w:val="16"/>
              </w:rPr>
            </w:pPr>
            <w:r w:rsidRPr="00873B6C">
              <w:rPr>
                <w:sz w:val="16"/>
                <w:szCs w:val="16"/>
              </w:rPr>
              <w:t>16.1.0</w:t>
            </w:r>
          </w:p>
        </w:tc>
      </w:tr>
      <w:tr w:rsidR="00D40151" w:rsidRPr="00873B6C" w14:paraId="216BF673" w14:textId="77777777" w:rsidTr="009D14FB">
        <w:tc>
          <w:tcPr>
            <w:tcW w:w="800" w:type="dxa"/>
            <w:shd w:val="solid" w:color="FFFFFF" w:fill="auto"/>
          </w:tcPr>
          <w:p w14:paraId="6F32056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D0746A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B2E012E"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3EF02870" w14:textId="77777777" w:rsidR="00D40151" w:rsidRPr="00873B6C" w:rsidRDefault="00D40151" w:rsidP="009D14FB">
            <w:pPr>
              <w:pStyle w:val="TAL"/>
              <w:rPr>
                <w:sz w:val="16"/>
                <w:szCs w:val="16"/>
              </w:rPr>
            </w:pPr>
            <w:r w:rsidRPr="00873B6C">
              <w:rPr>
                <w:sz w:val="16"/>
                <w:szCs w:val="16"/>
              </w:rPr>
              <w:t>1169</w:t>
            </w:r>
          </w:p>
        </w:tc>
        <w:tc>
          <w:tcPr>
            <w:tcW w:w="425" w:type="dxa"/>
            <w:shd w:val="solid" w:color="FFFFFF" w:fill="auto"/>
          </w:tcPr>
          <w:p w14:paraId="1E4C2BA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B336CC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E0D03B" w14:textId="77777777" w:rsidR="00D40151" w:rsidRPr="00873B6C" w:rsidRDefault="00D40151" w:rsidP="009D14FB">
            <w:pPr>
              <w:pStyle w:val="TAL"/>
              <w:rPr>
                <w:sz w:val="16"/>
                <w:szCs w:val="16"/>
              </w:rPr>
            </w:pPr>
            <w:r w:rsidRPr="00873B6C">
              <w:rPr>
                <w:sz w:val="16"/>
                <w:szCs w:val="16"/>
              </w:rPr>
              <w:t>MA PDU QoS Aspects On Link-Specific Multipath and MPTCP Proxy Addresses</w:t>
            </w:r>
          </w:p>
        </w:tc>
        <w:tc>
          <w:tcPr>
            <w:tcW w:w="708" w:type="dxa"/>
            <w:shd w:val="solid" w:color="FFFFFF" w:fill="auto"/>
          </w:tcPr>
          <w:p w14:paraId="01A13B48" w14:textId="77777777" w:rsidR="00D40151" w:rsidRPr="00873B6C" w:rsidRDefault="00D40151" w:rsidP="009D14FB">
            <w:pPr>
              <w:pStyle w:val="TAC"/>
              <w:rPr>
                <w:sz w:val="16"/>
                <w:szCs w:val="16"/>
              </w:rPr>
            </w:pPr>
            <w:r w:rsidRPr="00873B6C">
              <w:rPr>
                <w:sz w:val="16"/>
                <w:szCs w:val="16"/>
              </w:rPr>
              <w:t>16.1.0</w:t>
            </w:r>
          </w:p>
        </w:tc>
      </w:tr>
      <w:tr w:rsidR="00D40151" w:rsidRPr="00873B6C" w14:paraId="289C81C1" w14:textId="77777777" w:rsidTr="009D14FB">
        <w:tc>
          <w:tcPr>
            <w:tcW w:w="800" w:type="dxa"/>
            <w:shd w:val="solid" w:color="FFFFFF" w:fill="auto"/>
          </w:tcPr>
          <w:p w14:paraId="45DA639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62B2D3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73B171"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6E6AF093" w14:textId="77777777" w:rsidR="00D40151" w:rsidRPr="00873B6C" w:rsidRDefault="00D40151" w:rsidP="009D14FB">
            <w:pPr>
              <w:pStyle w:val="TAL"/>
              <w:rPr>
                <w:sz w:val="16"/>
                <w:szCs w:val="16"/>
              </w:rPr>
            </w:pPr>
            <w:r w:rsidRPr="00873B6C">
              <w:rPr>
                <w:sz w:val="16"/>
                <w:szCs w:val="16"/>
              </w:rPr>
              <w:t>1170</w:t>
            </w:r>
          </w:p>
        </w:tc>
        <w:tc>
          <w:tcPr>
            <w:tcW w:w="425" w:type="dxa"/>
            <w:shd w:val="solid" w:color="FFFFFF" w:fill="auto"/>
          </w:tcPr>
          <w:p w14:paraId="179C1DE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B34135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D6C413" w14:textId="77777777" w:rsidR="00D40151" w:rsidRPr="00873B6C" w:rsidRDefault="00D40151" w:rsidP="009D14FB">
            <w:pPr>
              <w:pStyle w:val="TAL"/>
              <w:rPr>
                <w:sz w:val="16"/>
                <w:szCs w:val="16"/>
              </w:rPr>
            </w:pPr>
            <w:r w:rsidRPr="00873B6C">
              <w:rPr>
                <w:sz w:val="16"/>
                <w:szCs w:val="16"/>
              </w:rPr>
              <w:t xml:space="preserve"> ETSUN Architecture Update</w:t>
            </w:r>
          </w:p>
        </w:tc>
        <w:tc>
          <w:tcPr>
            <w:tcW w:w="708" w:type="dxa"/>
            <w:shd w:val="solid" w:color="FFFFFF" w:fill="auto"/>
          </w:tcPr>
          <w:p w14:paraId="052CF415" w14:textId="77777777" w:rsidR="00D40151" w:rsidRPr="00873B6C" w:rsidRDefault="00D40151" w:rsidP="009D14FB">
            <w:pPr>
              <w:pStyle w:val="TAC"/>
              <w:rPr>
                <w:sz w:val="16"/>
                <w:szCs w:val="16"/>
              </w:rPr>
            </w:pPr>
            <w:r w:rsidRPr="00873B6C">
              <w:rPr>
                <w:sz w:val="16"/>
                <w:szCs w:val="16"/>
              </w:rPr>
              <w:t>16.1.0</w:t>
            </w:r>
          </w:p>
        </w:tc>
      </w:tr>
      <w:tr w:rsidR="00D40151" w:rsidRPr="00873B6C" w14:paraId="5373F856" w14:textId="77777777" w:rsidTr="009D14FB">
        <w:tc>
          <w:tcPr>
            <w:tcW w:w="800" w:type="dxa"/>
            <w:shd w:val="solid" w:color="FFFFFF" w:fill="auto"/>
          </w:tcPr>
          <w:p w14:paraId="172A7E7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4425B4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0B531B4"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1240779F" w14:textId="77777777" w:rsidR="00D40151" w:rsidRPr="00873B6C" w:rsidRDefault="00D40151" w:rsidP="009D14FB">
            <w:pPr>
              <w:pStyle w:val="TAL"/>
              <w:rPr>
                <w:sz w:val="16"/>
                <w:szCs w:val="16"/>
              </w:rPr>
            </w:pPr>
            <w:r w:rsidRPr="00873B6C">
              <w:rPr>
                <w:sz w:val="16"/>
                <w:szCs w:val="16"/>
              </w:rPr>
              <w:t>1171</w:t>
            </w:r>
          </w:p>
        </w:tc>
        <w:tc>
          <w:tcPr>
            <w:tcW w:w="425" w:type="dxa"/>
            <w:shd w:val="solid" w:color="FFFFFF" w:fill="auto"/>
          </w:tcPr>
          <w:p w14:paraId="4E39CF3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ACEB9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ADA6DB" w14:textId="77777777" w:rsidR="00D40151" w:rsidRPr="00873B6C" w:rsidRDefault="00D40151" w:rsidP="009D14FB">
            <w:pPr>
              <w:pStyle w:val="TAL"/>
              <w:rPr>
                <w:sz w:val="16"/>
                <w:szCs w:val="16"/>
              </w:rPr>
            </w:pPr>
            <w:r w:rsidRPr="00873B6C">
              <w:rPr>
                <w:sz w:val="16"/>
                <w:szCs w:val="16"/>
              </w:rPr>
              <w:t>SCP Function Update</w:t>
            </w:r>
          </w:p>
        </w:tc>
        <w:tc>
          <w:tcPr>
            <w:tcW w:w="708" w:type="dxa"/>
            <w:shd w:val="solid" w:color="FFFFFF" w:fill="auto"/>
          </w:tcPr>
          <w:p w14:paraId="2BE6E1DF" w14:textId="77777777" w:rsidR="00D40151" w:rsidRPr="00873B6C" w:rsidRDefault="00D40151" w:rsidP="009D14FB">
            <w:pPr>
              <w:pStyle w:val="TAC"/>
              <w:rPr>
                <w:sz w:val="16"/>
                <w:szCs w:val="16"/>
              </w:rPr>
            </w:pPr>
            <w:r w:rsidRPr="00873B6C">
              <w:rPr>
                <w:sz w:val="16"/>
                <w:szCs w:val="16"/>
              </w:rPr>
              <w:t>16.1.0</w:t>
            </w:r>
          </w:p>
        </w:tc>
      </w:tr>
      <w:tr w:rsidR="00D40151" w:rsidRPr="00873B6C" w14:paraId="5288F6F2" w14:textId="77777777" w:rsidTr="009D14FB">
        <w:tc>
          <w:tcPr>
            <w:tcW w:w="800" w:type="dxa"/>
            <w:shd w:val="solid" w:color="FFFFFF" w:fill="auto"/>
          </w:tcPr>
          <w:p w14:paraId="230ACA4B" w14:textId="77777777" w:rsidR="00D40151" w:rsidRPr="00873B6C" w:rsidRDefault="00D40151" w:rsidP="009D14FB">
            <w:pPr>
              <w:pStyle w:val="TAC"/>
              <w:rPr>
                <w:sz w:val="16"/>
                <w:szCs w:val="16"/>
              </w:rPr>
            </w:pPr>
            <w:r w:rsidRPr="00873B6C">
              <w:rPr>
                <w:sz w:val="16"/>
                <w:szCs w:val="16"/>
              </w:rPr>
              <w:lastRenderedPageBreak/>
              <w:t>2019-06</w:t>
            </w:r>
          </w:p>
        </w:tc>
        <w:tc>
          <w:tcPr>
            <w:tcW w:w="800" w:type="dxa"/>
            <w:shd w:val="solid" w:color="FFFFFF" w:fill="auto"/>
          </w:tcPr>
          <w:p w14:paraId="6FFF6A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4B5CB1C"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3D3DAFE3" w14:textId="77777777" w:rsidR="00D40151" w:rsidRPr="00873B6C" w:rsidRDefault="00D40151" w:rsidP="009D14FB">
            <w:pPr>
              <w:pStyle w:val="TAL"/>
              <w:rPr>
                <w:sz w:val="16"/>
                <w:szCs w:val="16"/>
              </w:rPr>
            </w:pPr>
            <w:r w:rsidRPr="00873B6C">
              <w:rPr>
                <w:sz w:val="16"/>
                <w:szCs w:val="16"/>
              </w:rPr>
              <w:t>1173</w:t>
            </w:r>
          </w:p>
        </w:tc>
        <w:tc>
          <w:tcPr>
            <w:tcW w:w="425" w:type="dxa"/>
            <w:shd w:val="solid" w:color="FFFFFF" w:fill="auto"/>
          </w:tcPr>
          <w:p w14:paraId="0291729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0E56CD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8C2143" w14:textId="77777777" w:rsidR="00D40151" w:rsidRPr="00873B6C" w:rsidRDefault="00D40151" w:rsidP="009D14FB">
            <w:pPr>
              <w:pStyle w:val="TAL"/>
              <w:rPr>
                <w:sz w:val="16"/>
                <w:szCs w:val="16"/>
              </w:rPr>
            </w:pPr>
            <w:r w:rsidRPr="00873B6C">
              <w:rPr>
                <w:sz w:val="16"/>
                <w:szCs w:val="16"/>
              </w:rPr>
              <w:t>Redundant PDU session handling</w:t>
            </w:r>
          </w:p>
        </w:tc>
        <w:tc>
          <w:tcPr>
            <w:tcW w:w="708" w:type="dxa"/>
            <w:shd w:val="solid" w:color="FFFFFF" w:fill="auto"/>
          </w:tcPr>
          <w:p w14:paraId="46E4CC93" w14:textId="77777777" w:rsidR="00D40151" w:rsidRPr="00873B6C" w:rsidRDefault="00D40151" w:rsidP="009D14FB">
            <w:pPr>
              <w:pStyle w:val="TAC"/>
              <w:rPr>
                <w:sz w:val="16"/>
                <w:szCs w:val="16"/>
              </w:rPr>
            </w:pPr>
            <w:r w:rsidRPr="00873B6C">
              <w:rPr>
                <w:sz w:val="16"/>
                <w:szCs w:val="16"/>
              </w:rPr>
              <w:t>16.1.0</w:t>
            </w:r>
          </w:p>
        </w:tc>
      </w:tr>
      <w:tr w:rsidR="00D40151" w:rsidRPr="00873B6C" w14:paraId="030B47F4" w14:textId="77777777" w:rsidTr="009D14FB">
        <w:tc>
          <w:tcPr>
            <w:tcW w:w="800" w:type="dxa"/>
            <w:shd w:val="solid" w:color="FFFFFF" w:fill="auto"/>
          </w:tcPr>
          <w:p w14:paraId="6B76900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E8169B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5C24CDC" w14:textId="77777777" w:rsidR="00D40151" w:rsidRPr="00873B6C" w:rsidRDefault="00D40151" w:rsidP="009D14FB">
            <w:pPr>
              <w:pStyle w:val="TAC"/>
              <w:rPr>
                <w:sz w:val="16"/>
                <w:szCs w:val="16"/>
              </w:rPr>
            </w:pPr>
            <w:r w:rsidRPr="00873B6C">
              <w:rPr>
                <w:sz w:val="16"/>
                <w:szCs w:val="16"/>
              </w:rPr>
              <w:t>SP-190421</w:t>
            </w:r>
          </w:p>
        </w:tc>
        <w:tc>
          <w:tcPr>
            <w:tcW w:w="567" w:type="dxa"/>
            <w:shd w:val="solid" w:color="FFFFFF" w:fill="auto"/>
          </w:tcPr>
          <w:p w14:paraId="0A0B3532" w14:textId="77777777" w:rsidR="00D40151" w:rsidRPr="00873B6C" w:rsidRDefault="00D40151" w:rsidP="009D14FB">
            <w:pPr>
              <w:pStyle w:val="TAL"/>
              <w:rPr>
                <w:sz w:val="16"/>
                <w:szCs w:val="16"/>
              </w:rPr>
            </w:pPr>
            <w:r w:rsidRPr="00873B6C">
              <w:rPr>
                <w:sz w:val="16"/>
                <w:szCs w:val="16"/>
              </w:rPr>
              <w:t>1174</w:t>
            </w:r>
          </w:p>
        </w:tc>
        <w:tc>
          <w:tcPr>
            <w:tcW w:w="425" w:type="dxa"/>
            <w:shd w:val="solid" w:color="FFFFFF" w:fill="auto"/>
          </w:tcPr>
          <w:p w14:paraId="6B046527"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2A9668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7CF2F78" w14:textId="77777777" w:rsidR="00D40151" w:rsidRPr="00873B6C" w:rsidRDefault="00D40151" w:rsidP="009D14FB">
            <w:pPr>
              <w:pStyle w:val="TAL"/>
              <w:rPr>
                <w:sz w:val="16"/>
                <w:szCs w:val="16"/>
              </w:rPr>
            </w:pPr>
            <w:r w:rsidRPr="00873B6C">
              <w:rPr>
                <w:sz w:val="16"/>
                <w:szCs w:val="16"/>
              </w:rPr>
              <w:t>Introduction of Slice-Specific Authentication and Authorisation</w:t>
            </w:r>
          </w:p>
        </w:tc>
        <w:tc>
          <w:tcPr>
            <w:tcW w:w="708" w:type="dxa"/>
            <w:shd w:val="solid" w:color="FFFFFF" w:fill="auto"/>
          </w:tcPr>
          <w:p w14:paraId="425CF40C" w14:textId="77777777" w:rsidR="00D40151" w:rsidRPr="00873B6C" w:rsidRDefault="00D40151" w:rsidP="009D14FB">
            <w:pPr>
              <w:pStyle w:val="TAC"/>
              <w:rPr>
                <w:sz w:val="16"/>
                <w:szCs w:val="16"/>
              </w:rPr>
            </w:pPr>
            <w:r w:rsidRPr="00873B6C">
              <w:rPr>
                <w:sz w:val="16"/>
                <w:szCs w:val="16"/>
              </w:rPr>
              <w:t>16.1.0</w:t>
            </w:r>
          </w:p>
        </w:tc>
      </w:tr>
      <w:tr w:rsidR="00D40151" w:rsidRPr="00873B6C" w14:paraId="3EA793A4" w14:textId="77777777" w:rsidTr="009D14FB">
        <w:tc>
          <w:tcPr>
            <w:tcW w:w="800" w:type="dxa"/>
            <w:shd w:val="solid" w:color="FFFFFF" w:fill="auto"/>
          </w:tcPr>
          <w:p w14:paraId="62D41C1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E460D3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753784"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BDFA2A4" w14:textId="77777777" w:rsidR="00D40151" w:rsidRPr="00873B6C" w:rsidRDefault="00D40151" w:rsidP="009D14FB">
            <w:pPr>
              <w:pStyle w:val="TAL"/>
              <w:rPr>
                <w:sz w:val="16"/>
                <w:szCs w:val="16"/>
              </w:rPr>
            </w:pPr>
            <w:r w:rsidRPr="00873B6C">
              <w:rPr>
                <w:sz w:val="16"/>
                <w:szCs w:val="16"/>
              </w:rPr>
              <w:t>1176</w:t>
            </w:r>
          </w:p>
        </w:tc>
        <w:tc>
          <w:tcPr>
            <w:tcW w:w="425" w:type="dxa"/>
            <w:shd w:val="solid" w:color="FFFFFF" w:fill="auto"/>
          </w:tcPr>
          <w:p w14:paraId="1D6F1F5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11CAB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049B5362" w14:textId="77777777" w:rsidR="00D40151" w:rsidRPr="00873B6C" w:rsidRDefault="00D40151" w:rsidP="009D14FB">
            <w:pPr>
              <w:pStyle w:val="TAL"/>
              <w:rPr>
                <w:sz w:val="16"/>
                <w:szCs w:val="16"/>
              </w:rPr>
            </w:pPr>
            <w:r w:rsidRPr="00873B6C">
              <w:rPr>
                <w:sz w:val="16"/>
                <w:szCs w:val="16"/>
              </w:rPr>
              <w:t>Association between the GUAMI and AMF instance</w:t>
            </w:r>
          </w:p>
        </w:tc>
        <w:tc>
          <w:tcPr>
            <w:tcW w:w="708" w:type="dxa"/>
            <w:shd w:val="solid" w:color="FFFFFF" w:fill="auto"/>
          </w:tcPr>
          <w:p w14:paraId="55DA9C35" w14:textId="77777777" w:rsidR="00D40151" w:rsidRPr="00873B6C" w:rsidRDefault="00D40151" w:rsidP="009D14FB">
            <w:pPr>
              <w:pStyle w:val="TAC"/>
              <w:rPr>
                <w:sz w:val="16"/>
                <w:szCs w:val="16"/>
              </w:rPr>
            </w:pPr>
            <w:r w:rsidRPr="00873B6C">
              <w:rPr>
                <w:sz w:val="16"/>
                <w:szCs w:val="16"/>
              </w:rPr>
              <w:t>16.1.0</w:t>
            </w:r>
          </w:p>
        </w:tc>
      </w:tr>
      <w:tr w:rsidR="00D40151" w:rsidRPr="00873B6C" w14:paraId="5AC10C86" w14:textId="77777777" w:rsidTr="009D14FB">
        <w:tc>
          <w:tcPr>
            <w:tcW w:w="800" w:type="dxa"/>
            <w:shd w:val="solid" w:color="FFFFFF" w:fill="auto"/>
          </w:tcPr>
          <w:p w14:paraId="3DD7D41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BF15F1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5D8AC53"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3457B8E1" w14:textId="77777777" w:rsidR="00D40151" w:rsidRPr="00873B6C" w:rsidRDefault="00D40151" w:rsidP="009D14FB">
            <w:pPr>
              <w:pStyle w:val="TAL"/>
              <w:rPr>
                <w:sz w:val="16"/>
                <w:szCs w:val="16"/>
              </w:rPr>
            </w:pPr>
            <w:r w:rsidRPr="00873B6C">
              <w:rPr>
                <w:sz w:val="16"/>
                <w:szCs w:val="16"/>
              </w:rPr>
              <w:t>1177</w:t>
            </w:r>
          </w:p>
        </w:tc>
        <w:tc>
          <w:tcPr>
            <w:tcW w:w="425" w:type="dxa"/>
            <w:shd w:val="solid" w:color="FFFFFF" w:fill="auto"/>
          </w:tcPr>
          <w:p w14:paraId="245C6994"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84B247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5C1B614" w14:textId="77777777" w:rsidR="00D40151" w:rsidRPr="00873B6C" w:rsidRDefault="00D40151" w:rsidP="009D14FB">
            <w:pPr>
              <w:pStyle w:val="TAL"/>
              <w:rPr>
                <w:sz w:val="16"/>
                <w:szCs w:val="16"/>
              </w:rPr>
            </w:pPr>
            <w:r w:rsidRPr="00873B6C">
              <w:rPr>
                <w:sz w:val="16"/>
                <w:szCs w:val="16"/>
              </w:rPr>
              <w:t>LADN handling in ETSUN scenario</w:t>
            </w:r>
          </w:p>
        </w:tc>
        <w:tc>
          <w:tcPr>
            <w:tcW w:w="708" w:type="dxa"/>
            <w:shd w:val="solid" w:color="FFFFFF" w:fill="auto"/>
          </w:tcPr>
          <w:p w14:paraId="3372EB7E" w14:textId="77777777" w:rsidR="00D40151" w:rsidRPr="00873B6C" w:rsidRDefault="00D40151" w:rsidP="009D14FB">
            <w:pPr>
              <w:pStyle w:val="TAC"/>
              <w:rPr>
                <w:sz w:val="16"/>
                <w:szCs w:val="16"/>
              </w:rPr>
            </w:pPr>
            <w:r w:rsidRPr="00873B6C">
              <w:rPr>
                <w:sz w:val="16"/>
                <w:szCs w:val="16"/>
              </w:rPr>
              <w:t>16.1.0</w:t>
            </w:r>
          </w:p>
        </w:tc>
      </w:tr>
      <w:tr w:rsidR="00D40151" w:rsidRPr="00873B6C" w14:paraId="4E93ABB8" w14:textId="77777777" w:rsidTr="009D14FB">
        <w:tc>
          <w:tcPr>
            <w:tcW w:w="800" w:type="dxa"/>
            <w:shd w:val="solid" w:color="FFFFFF" w:fill="auto"/>
          </w:tcPr>
          <w:p w14:paraId="3B0A630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88597B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819828C"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65B20A80" w14:textId="77777777" w:rsidR="00D40151" w:rsidRPr="00873B6C" w:rsidRDefault="00D40151" w:rsidP="009D14FB">
            <w:pPr>
              <w:pStyle w:val="TAL"/>
              <w:rPr>
                <w:sz w:val="16"/>
                <w:szCs w:val="16"/>
              </w:rPr>
            </w:pPr>
            <w:r w:rsidRPr="00873B6C">
              <w:rPr>
                <w:sz w:val="16"/>
                <w:szCs w:val="16"/>
              </w:rPr>
              <w:t>1179</w:t>
            </w:r>
          </w:p>
        </w:tc>
        <w:tc>
          <w:tcPr>
            <w:tcW w:w="425" w:type="dxa"/>
            <w:shd w:val="solid" w:color="FFFFFF" w:fill="auto"/>
          </w:tcPr>
          <w:p w14:paraId="7A49C1F0"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7AA2148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FAD1D1" w14:textId="77777777" w:rsidR="00D40151" w:rsidRPr="00873B6C" w:rsidRDefault="00D40151" w:rsidP="009D14FB">
            <w:pPr>
              <w:pStyle w:val="TAL"/>
              <w:rPr>
                <w:sz w:val="16"/>
                <w:szCs w:val="16"/>
              </w:rPr>
            </w:pPr>
            <w:r w:rsidRPr="00873B6C">
              <w:rPr>
                <w:sz w:val="16"/>
                <w:szCs w:val="16"/>
              </w:rPr>
              <w:t>Traffic offload by UPF controlled by the I-SMF</w:t>
            </w:r>
          </w:p>
        </w:tc>
        <w:tc>
          <w:tcPr>
            <w:tcW w:w="708" w:type="dxa"/>
            <w:shd w:val="solid" w:color="FFFFFF" w:fill="auto"/>
          </w:tcPr>
          <w:p w14:paraId="4F50171E" w14:textId="77777777" w:rsidR="00D40151" w:rsidRPr="00873B6C" w:rsidRDefault="00D40151" w:rsidP="009D14FB">
            <w:pPr>
              <w:pStyle w:val="TAC"/>
              <w:rPr>
                <w:sz w:val="16"/>
                <w:szCs w:val="16"/>
              </w:rPr>
            </w:pPr>
            <w:r w:rsidRPr="00873B6C">
              <w:rPr>
                <w:sz w:val="16"/>
                <w:szCs w:val="16"/>
              </w:rPr>
              <w:t>16.1.0</w:t>
            </w:r>
          </w:p>
        </w:tc>
      </w:tr>
      <w:tr w:rsidR="00D40151" w:rsidRPr="00873B6C" w14:paraId="4F88932F" w14:textId="77777777" w:rsidTr="009D14FB">
        <w:tc>
          <w:tcPr>
            <w:tcW w:w="800" w:type="dxa"/>
            <w:shd w:val="solid" w:color="FFFFFF" w:fill="auto"/>
          </w:tcPr>
          <w:p w14:paraId="122F992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713F2F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35CE098"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7D211283" w14:textId="77777777" w:rsidR="00D40151" w:rsidRPr="00873B6C" w:rsidRDefault="00D40151" w:rsidP="009D14FB">
            <w:pPr>
              <w:pStyle w:val="TAL"/>
              <w:rPr>
                <w:sz w:val="16"/>
                <w:szCs w:val="16"/>
              </w:rPr>
            </w:pPr>
            <w:r w:rsidRPr="00873B6C">
              <w:rPr>
                <w:sz w:val="16"/>
                <w:szCs w:val="16"/>
              </w:rPr>
              <w:t>1180</w:t>
            </w:r>
          </w:p>
        </w:tc>
        <w:tc>
          <w:tcPr>
            <w:tcW w:w="425" w:type="dxa"/>
            <w:shd w:val="solid" w:color="FFFFFF" w:fill="auto"/>
          </w:tcPr>
          <w:p w14:paraId="78D02FF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CDD54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47AD816" w14:textId="77777777" w:rsidR="00D40151" w:rsidRPr="00873B6C" w:rsidRDefault="00D40151" w:rsidP="009D14FB">
            <w:pPr>
              <w:pStyle w:val="TAL"/>
              <w:rPr>
                <w:sz w:val="16"/>
                <w:szCs w:val="16"/>
              </w:rPr>
            </w:pPr>
            <w:r w:rsidRPr="00873B6C">
              <w:rPr>
                <w:sz w:val="16"/>
                <w:szCs w:val="16"/>
              </w:rPr>
              <w:t>UE IP address Allocation by AAA/DHCP</w:t>
            </w:r>
          </w:p>
        </w:tc>
        <w:tc>
          <w:tcPr>
            <w:tcW w:w="708" w:type="dxa"/>
            <w:shd w:val="solid" w:color="FFFFFF" w:fill="auto"/>
          </w:tcPr>
          <w:p w14:paraId="17C083AF" w14:textId="77777777" w:rsidR="00D40151" w:rsidRPr="00873B6C" w:rsidRDefault="00D40151" w:rsidP="009D14FB">
            <w:pPr>
              <w:pStyle w:val="TAC"/>
              <w:rPr>
                <w:sz w:val="16"/>
                <w:szCs w:val="16"/>
              </w:rPr>
            </w:pPr>
            <w:r w:rsidRPr="00873B6C">
              <w:rPr>
                <w:sz w:val="16"/>
                <w:szCs w:val="16"/>
              </w:rPr>
              <w:t>16.1.0</w:t>
            </w:r>
          </w:p>
        </w:tc>
      </w:tr>
      <w:tr w:rsidR="00D40151" w:rsidRPr="00873B6C" w14:paraId="673628D1" w14:textId="77777777" w:rsidTr="009D14FB">
        <w:tc>
          <w:tcPr>
            <w:tcW w:w="800" w:type="dxa"/>
            <w:shd w:val="solid" w:color="FFFFFF" w:fill="auto"/>
          </w:tcPr>
          <w:p w14:paraId="45835E4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BC461F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7F040D1"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76F348D8" w14:textId="77777777" w:rsidR="00D40151" w:rsidRPr="00873B6C" w:rsidRDefault="00D40151" w:rsidP="009D14FB">
            <w:pPr>
              <w:pStyle w:val="TAL"/>
              <w:rPr>
                <w:sz w:val="16"/>
                <w:szCs w:val="16"/>
              </w:rPr>
            </w:pPr>
            <w:r w:rsidRPr="00873B6C">
              <w:rPr>
                <w:sz w:val="16"/>
                <w:szCs w:val="16"/>
              </w:rPr>
              <w:t>1183</w:t>
            </w:r>
          </w:p>
        </w:tc>
        <w:tc>
          <w:tcPr>
            <w:tcW w:w="425" w:type="dxa"/>
            <w:shd w:val="solid" w:color="FFFFFF" w:fill="auto"/>
          </w:tcPr>
          <w:p w14:paraId="6E3E8C2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0931CB6"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6C17803" w14:textId="77777777" w:rsidR="00D40151" w:rsidRPr="00873B6C" w:rsidRDefault="00D40151" w:rsidP="009D14FB">
            <w:pPr>
              <w:pStyle w:val="TAL"/>
              <w:rPr>
                <w:sz w:val="16"/>
                <w:szCs w:val="16"/>
              </w:rPr>
            </w:pPr>
            <w:r w:rsidRPr="00873B6C">
              <w:rPr>
                <w:sz w:val="16"/>
                <w:szCs w:val="16"/>
              </w:rPr>
              <w:t xml:space="preserve">SNPN deployment scenarios </w:t>
            </w:r>
          </w:p>
        </w:tc>
        <w:tc>
          <w:tcPr>
            <w:tcW w:w="708" w:type="dxa"/>
            <w:shd w:val="solid" w:color="FFFFFF" w:fill="auto"/>
          </w:tcPr>
          <w:p w14:paraId="5725FBB5" w14:textId="77777777" w:rsidR="00D40151" w:rsidRPr="00873B6C" w:rsidRDefault="00D40151" w:rsidP="009D14FB">
            <w:pPr>
              <w:pStyle w:val="TAC"/>
              <w:rPr>
                <w:sz w:val="16"/>
                <w:szCs w:val="16"/>
              </w:rPr>
            </w:pPr>
            <w:r w:rsidRPr="00873B6C">
              <w:rPr>
                <w:sz w:val="16"/>
                <w:szCs w:val="16"/>
              </w:rPr>
              <w:t>16.1.0</w:t>
            </w:r>
          </w:p>
        </w:tc>
      </w:tr>
      <w:tr w:rsidR="00D40151" w:rsidRPr="00873B6C" w14:paraId="2FC5CC52" w14:textId="77777777" w:rsidTr="009D14FB">
        <w:tc>
          <w:tcPr>
            <w:tcW w:w="800" w:type="dxa"/>
            <w:shd w:val="solid" w:color="FFFFFF" w:fill="auto"/>
          </w:tcPr>
          <w:p w14:paraId="23C8C08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78DE1E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91FB72D"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60C320E6" w14:textId="77777777" w:rsidR="00D40151" w:rsidRPr="00873B6C" w:rsidRDefault="00D40151" w:rsidP="009D14FB">
            <w:pPr>
              <w:pStyle w:val="TAL"/>
              <w:rPr>
                <w:sz w:val="16"/>
                <w:szCs w:val="16"/>
              </w:rPr>
            </w:pPr>
            <w:r w:rsidRPr="00873B6C">
              <w:rPr>
                <w:sz w:val="16"/>
                <w:szCs w:val="16"/>
              </w:rPr>
              <w:t>1186</w:t>
            </w:r>
          </w:p>
        </w:tc>
        <w:tc>
          <w:tcPr>
            <w:tcW w:w="425" w:type="dxa"/>
            <w:shd w:val="solid" w:color="FFFFFF" w:fill="auto"/>
          </w:tcPr>
          <w:p w14:paraId="38D1F272"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694EBF8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D1770A6" w14:textId="77777777" w:rsidR="00D40151" w:rsidRPr="00873B6C" w:rsidRDefault="00D40151" w:rsidP="009D14FB">
            <w:pPr>
              <w:pStyle w:val="TAL"/>
              <w:rPr>
                <w:sz w:val="16"/>
                <w:szCs w:val="16"/>
              </w:rPr>
            </w:pPr>
            <w:r w:rsidRPr="00873B6C">
              <w:rPr>
                <w:sz w:val="16"/>
                <w:szCs w:val="16"/>
              </w:rPr>
              <w:t>Introducing 5GS UP optimization</w:t>
            </w:r>
          </w:p>
        </w:tc>
        <w:tc>
          <w:tcPr>
            <w:tcW w:w="708" w:type="dxa"/>
            <w:shd w:val="solid" w:color="FFFFFF" w:fill="auto"/>
          </w:tcPr>
          <w:p w14:paraId="57493D69" w14:textId="77777777" w:rsidR="00D40151" w:rsidRPr="00873B6C" w:rsidRDefault="00D40151" w:rsidP="009D14FB">
            <w:pPr>
              <w:pStyle w:val="TAC"/>
              <w:rPr>
                <w:sz w:val="16"/>
                <w:szCs w:val="16"/>
              </w:rPr>
            </w:pPr>
            <w:r w:rsidRPr="00873B6C">
              <w:rPr>
                <w:sz w:val="16"/>
                <w:szCs w:val="16"/>
              </w:rPr>
              <w:t>16.1.0</w:t>
            </w:r>
          </w:p>
        </w:tc>
      </w:tr>
      <w:tr w:rsidR="00D40151" w:rsidRPr="00873B6C" w14:paraId="66D031EB" w14:textId="77777777" w:rsidTr="009D14FB">
        <w:tc>
          <w:tcPr>
            <w:tcW w:w="800" w:type="dxa"/>
            <w:shd w:val="solid" w:color="FFFFFF" w:fill="auto"/>
          </w:tcPr>
          <w:p w14:paraId="523C443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D112D4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7029A9D"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49F25E43" w14:textId="77777777" w:rsidR="00D40151" w:rsidRPr="00873B6C" w:rsidRDefault="00D40151" w:rsidP="009D14FB">
            <w:pPr>
              <w:pStyle w:val="TAL"/>
              <w:rPr>
                <w:sz w:val="16"/>
                <w:szCs w:val="16"/>
              </w:rPr>
            </w:pPr>
            <w:r w:rsidRPr="00873B6C">
              <w:rPr>
                <w:sz w:val="16"/>
                <w:szCs w:val="16"/>
              </w:rPr>
              <w:t>1187</w:t>
            </w:r>
          </w:p>
        </w:tc>
        <w:tc>
          <w:tcPr>
            <w:tcW w:w="425" w:type="dxa"/>
            <w:shd w:val="solid" w:color="FFFFFF" w:fill="auto"/>
          </w:tcPr>
          <w:p w14:paraId="7217196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B35DE2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C9778DF" w14:textId="77777777" w:rsidR="00D40151" w:rsidRPr="00873B6C" w:rsidRDefault="00D40151" w:rsidP="009D14FB">
            <w:pPr>
              <w:pStyle w:val="TAL"/>
              <w:rPr>
                <w:sz w:val="16"/>
                <w:szCs w:val="16"/>
              </w:rPr>
            </w:pPr>
            <w:r w:rsidRPr="00873B6C">
              <w:rPr>
                <w:sz w:val="16"/>
                <w:szCs w:val="16"/>
              </w:rPr>
              <w:t xml:space="preserve">Adding NF load information inside NFprofile </w:t>
            </w:r>
          </w:p>
        </w:tc>
        <w:tc>
          <w:tcPr>
            <w:tcW w:w="708" w:type="dxa"/>
            <w:shd w:val="solid" w:color="FFFFFF" w:fill="auto"/>
          </w:tcPr>
          <w:p w14:paraId="3A04D79B" w14:textId="77777777" w:rsidR="00D40151" w:rsidRPr="00873B6C" w:rsidRDefault="00D40151" w:rsidP="009D14FB">
            <w:pPr>
              <w:pStyle w:val="TAC"/>
              <w:rPr>
                <w:sz w:val="16"/>
                <w:szCs w:val="16"/>
              </w:rPr>
            </w:pPr>
            <w:r w:rsidRPr="00873B6C">
              <w:rPr>
                <w:sz w:val="16"/>
                <w:szCs w:val="16"/>
              </w:rPr>
              <w:t>16.1.0</w:t>
            </w:r>
          </w:p>
        </w:tc>
      </w:tr>
      <w:tr w:rsidR="00D40151" w:rsidRPr="00873B6C" w14:paraId="05AD57B2" w14:textId="77777777" w:rsidTr="009D14FB">
        <w:tc>
          <w:tcPr>
            <w:tcW w:w="800" w:type="dxa"/>
            <w:shd w:val="solid" w:color="FFFFFF" w:fill="auto"/>
          </w:tcPr>
          <w:p w14:paraId="5C17F1B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D9FEDA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B6D6ED9"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50423760" w14:textId="77777777" w:rsidR="00D40151" w:rsidRPr="00873B6C" w:rsidRDefault="00D40151" w:rsidP="009D14FB">
            <w:pPr>
              <w:pStyle w:val="TAL"/>
              <w:rPr>
                <w:sz w:val="16"/>
                <w:szCs w:val="16"/>
              </w:rPr>
            </w:pPr>
            <w:r w:rsidRPr="00873B6C">
              <w:rPr>
                <w:sz w:val="16"/>
                <w:szCs w:val="16"/>
              </w:rPr>
              <w:t>1190</w:t>
            </w:r>
          </w:p>
        </w:tc>
        <w:tc>
          <w:tcPr>
            <w:tcW w:w="425" w:type="dxa"/>
            <w:shd w:val="solid" w:color="FFFFFF" w:fill="auto"/>
          </w:tcPr>
          <w:p w14:paraId="17532EB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D3448A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9D4C3AE" w14:textId="77777777" w:rsidR="00D40151" w:rsidRPr="00873B6C" w:rsidRDefault="00D40151" w:rsidP="009D14FB">
            <w:pPr>
              <w:pStyle w:val="TAL"/>
              <w:rPr>
                <w:sz w:val="16"/>
                <w:szCs w:val="16"/>
              </w:rPr>
            </w:pPr>
            <w:r w:rsidRPr="00873B6C">
              <w:rPr>
                <w:sz w:val="16"/>
                <w:szCs w:val="16"/>
              </w:rPr>
              <w:t>Resolving editor's note on eSBA</w:t>
            </w:r>
          </w:p>
        </w:tc>
        <w:tc>
          <w:tcPr>
            <w:tcW w:w="708" w:type="dxa"/>
            <w:shd w:val="solid" w:color="FFFFFF" w:fill="auto"/>
          </w:tcPr>
          <w:p w14:paraId="4263B1EB" w14:textId="77777777" w:rsidR="00D40151" w:rsidRPr="00873B6C" w:rsidRDefault="00D40151" w:rsidP="009D14FB">
            <w:pPr>
              <w:pStyle w:val="TAC"/>
              <w:rPr>
                <w:sz w:val="16"/>
                <w:szCs w:val="16"/>
              </w:rPr>
            </w:pPr>
            <w:r w:rsidRPr="00873B6C">
              <w:rPr>
                <w:sz w:val="16"/>
                <w:szCs w:val="16"/>
              </w:rPr>
              <w:t>16.1.0</w:t>
            </w:r>
          </w:p>
        </w:tc>
      </w:tr>
      <w:tr w:rsidR="00D40151" w:rsidRPr="00873B6C" w14:paraId="6ED4E7AE" w14:textId="77777777" w:rsidTr="009D14FB">
        <w:tc>
          <w:tcPr>
            <w:tcW w:w="800" w:type="dxa"/>
            <w:shd w:val="solid" w:color="FFFFFF" w:fill="auto"/>
          </w:tcPr>
          <w:p w14:paraId="6609FA8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7DD66C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3BD0103"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34DCC1AF" w14:textId="77777777" w:rsidR="00D40151" w:rsidRPr="00873B6C" w:rsidRDefault="00D40151" w:rsidP="009D14FB">
            <w:pPr>
              <w:pStyle w:val="TAL"/>
              <w:rPr>
                <w:sz w:val="16"/>
                <w:szCs w:val="16"/>
              </w:rPr>
            </w:pPr>
            <w:r w:rsidRPr="00873B6C">
              <w:rPr>
                <w:sz w:val="16"/>
                <w:szCs w:val="16"/>
              </w:rPr>
              <w:t>1191</w:t>
            </w:r>
          </w:p>
        </w:tc>
        <w:tc>
          <w:tcPr>
            <w:tcW w:w="425" w:type="dxa"/>
            <w:shd w:val="solid" w:color="FFFFFF" w:fill="auto"/>
          </w:tcPr>
          <w:p w14:paraId="13FF182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C4DCE1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E7CD87" w14:textId="77777777" w:rsidR="00D40151" w:rsidRPr="00873B6C" w:rsidRDefault="00D40151" w:rsidP="009D14FB">
            <w:pPr>
              <w:pStyle w:val="TAL"/>
              <w:rPr>
                <w:sz w:val="16"/>
                <w:szCs w:val="16"/>
              </w:rPr>
            </w:pPr>
            <w:r w:rsidRPr="00873B6C">
              <w:rPr>
                <w:sz w:val="16"/>
                <w:szCs w:val="16"/>
              </w:rPr>
              <w:t>ATSSS support for Unstructured Data</w:t>
            </w:r>
          </w:p>
        </w:tc>
        <w:tc>
          <w:tcPr>
            <w:tcW w:w="708" w:type="dxa"/>
            <w:shd w:val="solid" w:color="FFFFFF" w:fill="auto"/>
          </w:tcPr>
          <w:p w14:paraId="4AC47BF9" w14:textId="77777777" w:rsidR="00D40151" w:rsidRPr="00873B6C" w:rsidRDefault="00D40151" w:rsidP="009D14FB">
            <w:pPr>
              <w:pStyle w:val="TAC"/>
              <w:rPr>
                <w:sz w:val="16"/>
                <w:szCs w:val="16"/>
              </w:rPr>
            </w:pPr>
            <w:r w:rsidRPr="00873B6C">
              <w:rPr>
                <w:sz w:val="16"/>
                <w:szCs w:val="16"/>
              </w:rPr>
              <w:t>16.1.0</w:t>
            </w:r>
          </w:p>
        </w:tc>
      </w:tr>
      <w:tr w:rsidR="00D40151" w:rsidRPr="00873B6C" w14:paraId="6BA4B2CD" w14:textId="77777777" w:rsidTr="009D14FB">
        <w:tc>
          <w:tcPr>
            <w:tcW w:w="800" w:type="dxa"/>
            <w:shd w:val="solid" w:color="FFFFFF" w:fill="auto"/>
          </w:tcPr>
          <w:p w14:paraId="78C8F17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FE3B0B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CFEC0D4"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0438843F" w14:textId="77777777" w:rsidR="00D40151" w:rsidRPr="00873B6C" w:rsidRDefault="00D40151" w:rsidP="009D14FB">
            <w:pPr>
              <w:pStyle w:val="TAL"/>
              <w:rPr>
                <w:sz w:val="16"/>
                <w:szCs w:val="16"/>
              </w:rPr>
            </w:pPr>
            <w:r w:rsidRPr="00873B6C">
              <w:rPr>
                <w:sz w:val="16"/>
                <w:szCs w:val="16"/>
              </w:rPr>
              <w:t>1194</w:t>
            </w:r>
          </w:p>
        </w:tc>
        <w:tc>
          <w:tcPr>
            <w:tcW w:w="425" w:type="dxa"/>
            <w:shd w:val="solid" w:color="FFFFFF" w:fill="auto"/>
          </w:tcPr>
          <w:p w14:paraId="073628D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3C9DD0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3056D7" w14:textId="77777777" w:rsidR="00D40151" w:rsidRPr="00873B6C" w:rsidRDefault="00D40151" w:rsidP="009D14FB">
            <w:pPr>
              <w:pStyle w:val="TAL"/>
              <w:rPr>
                <w:sz w:val="16"/>
                <w:szCs w:val="16"/>
              </w:rPr>
            </w:pPr>
            <w:r w:rsidRPr="00873B6C">
              <w:rPr>
                <w:sz w:val="16"/>
                <w:szCs w:val="16"/>
              </w:rPr>
              <w:t>Removing the EN on the DNN and 5G LAN group mapping</w:t>
            </w:r>
          </w:p>
        </w:tc>
        <w:tc>
          <w:tcPr>
            <w:tcW w:w="708" w:type="dxa"/>
            <w:shd w:val="solid" w:color="FFFFFF" w:fill="auto"/>
          </w:tcPr>
          <w:p w14:paraId="03804A07" w14:textId="77777777" w:rsidR="00D40151" w:rsidRPr="00873B6C" w:rsidRDefault="00D40151" w:rsidP="009D14FB">
            <w:pPr>
              <w:pStyle w:val="TAC"/>
              <w:rPr>
                <w:sz w:val="16"/>
                <w:szCs w:val="16"/>
              </w:rPr>
            </w:pPr>
            <w:r w:rsidRPr="00873B6C">
              <w:rPr>
                <w:sz w:val="16"/>
                <w:szCs w:val="16"/>
              </w:rPr>
              <w:t>16.1.0</w:t>
            </w:r>
          </w:p>
        </w:tc>
      </w:tr>
      <w:tr w:rsidR="00D40151" w:rsidRPr="00873B6C" w14:paraId="0B1DAD75" w14:textId="77777777" w:rsidTr="009D14FB">
        <w:tc>
          <w:tcPr>
            <w:tcW w:w="800" w:type="dxa"/>
            <w:shd w:val="solid" w:color="FFFFFF" w:fill="auto"/>
          </w:tcPr>
          <w:p w14:paraId="286C4E8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E0D1B7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7E33ADC"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2355DE38" w14:textId="77777777" w:rsidR="00D40151" w:rsidRPr="00873B6C" w:rsidRDefault="00D40151" w:rsidP="009D14FB">
            <w:pPr>
              <w:pStyle w:val="TAL"/>
              <w:rPr>
                <w:sz w:val="16"/>
                <w:szCs w:val="16"/>
              </w:rPr>
            </w:pPr>
            <w:r w:rsidRPr="00873B6C">
              <w:rPr>
                <w:sz w:val="16"/>
                <w:szCs w:val="16"/>
              </w:rPr>
              <w:t>1198</w:t>
            </w:r>
          </w:p>
        </w:tc>
        <w:tc>
          <w:tcPr>
            <w:tcW w:w="425" w:type="dxa"/>
            <w:shd w:val="solid" w:color="FFFFFF" w:fill="auto"/>
          </w:tcPr>
          <w:p w14:paraId="303ACB15"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5A8DBC1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A74D768" w14:textId="77777777" w:rsidR="00D40151" w:rsidRPr="00873B6C" w:rsidRDefault="00D40151" w:rsidP="009D14FB">
            <w:pPr>
              <w:pStyle w:val="TAL"/>
              <w:rPr>
                <w:sz w:val="16"/>
                <w:szCs w:val="16"/>
              </w:rPr>
            </w:pPr>
            <w:r w:rsidRPr="00873B6C">
              <w:rPr>
                <w:sz w:val="16"/>
                <w:szCs w:val="16"/>
              </w:rPr>
              <w:t>Resolving the EN on traffic pattern to the TT</w:t>
            </w:r>
          </w:p>
        </w:tc>
        <w:tc>
          <w:tcPr>
            <w:tcW w:w="708" w:type="dxa"/>
            <w:shd w:val="solid" w:color="FFFFFF" w:fill="auto"/>
          </w:tcPr>
          <w:p w14:paraId="3F787497" w14:textId="77777777" w:rsidR="00D40151" w:rsidRPr="00873B6C" w:rsidRDefault="00D40151" w:rsidP="009D14FB">
            <w:pPr>
              <w:pStyle w:val="TAC"/>
              <w:rPr>
                <w:sz w:val="16"/>
                <w:szCs w:val="16"/>
              </w:rPr>
            </w:pPr>
            <w:r w:rsidRPr="00873B6C">
              <w:rPr>
                <w:sz w:val="16"/>
                <w:szCs w:val="16"/>
              </w:rPr>
              <w:t>16.1.0</w:t>
            </w:r>
          </w:p>
        </w:tc>
      </w:tr>
      <w:tr w:rsidR="00D40151" w:rsidRPr="00873B6C" w14:paraId="4318DB3F" w14:textId="77777777" w:rsidTr="009D14FB">
        <w:tc>
          <w:tcPr>
            <w:tcW w:w="800" w:type="dxa"/>
            <w:shd w:val="solid" w:color="FFFFFF" w:fill="auto"/>
          </w:tcPr>
          <w:p w14:paraId="0C942AD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B3D0D1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2C1D05"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176237B7" w14:textId="77777777" w:rsidR="00D40151" w:rsidRPr="00873B6C" w:rsidRDefault="00D40151" w:rsidP="009D14FB">
            <w:pPr>
              <w:pStyle w:val="TAL"/>
              <w:rPr>
                <w:sz w:val="16"/>
                <w:szCs w:val="16"/>
              </w:rPr>
            </w:pPr>
            <w:r w:rsidRPr="00873B6C">
              <w:rPr>
                <w:sz w:val="16"/>
                <w:szCs w:val="16"/>
              </w:rPr>
              <w:t>1199</w:t>
            </w:r>
          </w:p>
        </w:tc>
        <w:tc>
          <w:tcPr>
            <w:tcW w:w="425" w:type="dxa"/>
            <w:shd w:val="solid" w:color="FFFFFF" w:fill="auto"/>
          </w:tcPr>
          <w:p w14:paraId="2E00145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41A060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6731DD" w14:textId="77777777" w:rsidR="00D40151" w:rsidRPr="00873B6C" w:rsidRDefault="00D40151" w:rsidP="009D14FB">
            <w:pPr>
              <w:pStyle w:val="TAL"/>
              <w:rPr>
                <w:sz w:val="16"/>
                <w:szCs w:val="16"/>
              </w:rPr>
            </w:pPr>
            <w:r w:rsidRPr="00873B6C">
              <w:rPr>
                <w:sz w:val="16"/>
                <w:szCs w:val="16"/>
              </w:rPr>
              <w:t>Clarification on the CAG ID and slicing</w:t>
            </w:r>
          </w:p>
        </w:tc>
        <w:tc>
          <w:tcPr>
            <w:tcW w:w="708" w:type="dxa"/>
            <w:shd w:val="solid" w:color="FFFFFF" w:fill="auto"/>
          </w:tcPr>
          <w:p w14:paraId="62F0988A" w14:textId="77777777" w:rsidR="00D40151" w:rsidRPr="00873B6C" w:rsidRDefault="00D40151" w:rsidP="009D14FB">
            <w:pPr>
              <w:pStyle w:val="TAC"/>
              <w:rPr>
                <w:sz w:val="16"/>
                <w:szCs w:val="16"/>
              </w:rPr>
            </w:pPr>
            <w:r w:rsidRPr="00873B6C">
              <w:rPr>
                <w:sz w:val="16"/>
                <w:szCs w:val="16"/>
              </w:rPr>
              <w:t>16.1.0</w:t>
            </w:r>
          </w:p>
        </w:tc>
      </w:tr>
      <w:tr w:rsidR="00D40151" w:rsidRPr="00873B6C" w14:paraId="4B29A64F" w14:textId="77777777" w:rsidTr="009D14FB">
        <w:tc>
          <w:tcPr>
            <w:tcW w:w="800" w:type="dxa"/>
            <w:shd w:val="solid" w:color="FFFFFF" w:fill="auto"/>
          </w:tcPr>
          <w:p w14:paraId="2B9FD60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DE3AC9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2608D46"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1D18724D" w14:textId="77777777" w:rsidR="00D40151" w:rsidRPr="00873B6C" w:rsidRDefault="00D40151" w:rsidP="009D14FB">
            <w:pPr>
              <w:pStyle w:val="TAL"/>
              <w:rPr>
                <w:sz w:val="16"/>
                <w:szCs w:val="16"/>
              </w:rPr>
            </w:pPr>
            <w:r w:rsidRPr="00873B6C">
              <w:rPr>
                <w:sz w:val="16"/>
                <w:szCs w:val="16"/>
              </w:rPr>
              <w:t>1201</w:t>
            </w:r>
          </w:p>
        </w:tc>
        <w:tc>
          <w:tcPr>
            <w:tcW w:w="425" w:type="dxa"/>
            <w:shd w:val="solid" w:color="FFFFFF" w:fill="auto"/>
          </w:tcPr>
          <w:p w14:paraId="4DE5AC7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F164FC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5FFA3D8" w14:textId="77777777" w:rsidR="00D40151" w:rsidRPr="00873B6C" w:rsidRDefault="00D40151" w:rsidP="009D14FB">
            <w:pPr>
              <w:pStyle w:val="TAL"/>
              <w:rPr>
                <w:sz w:val="16"/>
                <w:szCs w:val="16"/>
              </w:rPr>
            </w:pPr>
            <w:r w:rsidRPr="00873B6C">
              <w:rPr>
                <w:sz w:val="16"/>
                <w:szCs w:val="16"/>
              </w:rPr>
              <w:t>CR for adding Naf_EventExposure services</w:t>
            </w:r>
          </w:p>
        </w:tc>
        <w:tc>
          <w:tcPr>
            <w:tcW w:w="708" w:type="dxa"/>
            <w:shd w:val="solid" w:color="FFFFFF" w:fill="auto"/>
          </w:tcPr>
          <w:p w14:paraId="0B3D566F" w14:textId="77777777" w:rsidR="00D40151" w:rsidRPr="00873B6C" w:rsidRDefault="00D40151" w:rsidP="009D14FB">
            <w:pPr>
              <w:pStyle w:val="TAC"/>
              <w:rPr>
                <w:sz w:val="16"/>
                <w:szCs w:val="16"/>
              </w:rPr>
            </w:pPr>
            <w:r w:rsidRPr="00873B6C">
              <w:rPr>
                <w:sz w:val="16"/>
                <w:szCs w:val="16"/>
              </w:rPr>
              <w:t>16.1.0</w:t>
            </w:r>
          </w:p>
        </w:tc>
      </w:tr>
      <w:tr w:rsidR="00D40151" w:rsidRPr="00873B6C" w14:paraId="02CE8135" w14:textId="77777777" w:rsidTr="009D14FB">
        <w:tc>
          <w:tcPr>
            <w:tcW w:w="800" w:type="dxa"/>
            <w:shd w:val="solid" w:color="FFFFFF" w:fill="auto"/>
          </w:tcPr>
          <w:p w14:paraId="17DDF13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87B1CD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60DA8AF"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350D4034" w14:textId="77777777" w:rsidR="00D40151" w:rsidRPr="00873B6C" w:rsidRDefault="00D40151" w:rsidP="009D14FB">
            <w:pPr>
              <w:pStyle w:val="TAL"/>
              <w:rPr>
                <w:sz w:val="16"/>
                <w:szCs w:val="16"/>
              </w:rPr>
            </w:pPr>
            <w:r w:rsidRPr="00873B6C">
              <w:rPr>
                <w:sz w:val="16"/>
                <w:szCs w:val="16"/>
              </w:rPr>
              <w:t>1202</w:t>
            </w:r>
          </w:p>
        </w:tc>
        <w:tc>
          <w:tcPr>
            <w:tcW w:w="425" w:type="dxa"/>
            <w:shd w:val="solid" w:color="FFFFFF" w:fill="auto"/>
          </w:tcPr>
          <w:p w14:paraId="5864E3A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17F6D6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95683C" w14:textId="77777777" w:rsidR="00D40151" w:rsidRPr="00873B6C" w:rsidRDefault="00D40151" w:rsidP="009D14FB">
            <w:pPr>
              <w:pStyle w:val="TAL"/>
              <w:rPr>
                <w:sz w:val="16"/>
                <w:szCs w:val="16"/>
              </w:rPr>
            </w:pPr>
            <w:r w:rsidRPr="00873B6C">
              <w:rPr>
                <w:sz w:val="16"/>
                <w:szCs w:val="16"/>
              </w:rPr>
              <w:t>Clarification on PDU Session management for 5G-LAN multicast</w:t>
            </w:r>
          </w:p>
        </w:tc>
        <w:tc>
          <w:tcPr>
            <w:tcW w:w="708" w:type="dxa"/>
            <w:shd w:val="solid" w:color="FFFFFF" w:fill="auto"/>
          </w:tcPr>
          <w:p w14:paraId="7ECC6869" w14:textId="77777777" w:rsidR="00D40151" w:rsidRPr="00873B6C" w:rsidRDefault="00D40151" w:rsidP="009D14FB">
            <w:pPr>
              <w:pStyle w:val="TAC"/>
              <w:rPr>
                <w:sz w:val="16"/>
                <w:szCs w:val="16"/>
              </w:rPr>
            </w:pPr>
            <w:r w:rsidRPr="00873B6C">
              <w:rPr>
                <w:sz w:val="16"/>
                <w:szCs w:val="16"/>
              </w:rPr>
              <w:t>16.1.0</w:t>
            </w:r>
          </w:p>
        </w:tc>
      </w:tr>
      <w:tr w:rsidR="00D40151" w:rsidRPr="00873B6C" w14:paraId="6DC772A7" w14:textId="77777777" w:rsidTr="009D14FB">
        <w:tc>
          <w:tcPr>
            <w:tcW w:w="800" w:type="dxa"/>
            <w:shd w:val="solid" w:color="FFFFFF" w:fill="auto"/>
          </w:tcPr>
          <w:p w14:paraId="473F6D0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747584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71364E1" w14:textId="77777777" w:rsidR="00D40151" w:rsidRPr="00873B6C" w:rsidRDefault="00D40151" w:rsidP="009D14FB">
            <w:pPr>
              <w:pStyle w:val="TAC"/>
              <w:rPr>
                <w:sz w:val="16"/>
                <w:szCs w:val="16"/>
              </w:rPr>
            </w:pPr>
            <w:r w:rsidRPr="00873B6C">
              <w:rPr>
                <w:sz w:val="16"/>
                <w:szCs w:val="16"/>
              </w:rPr>
              <w:t>SP-190409</w:t>
            </w:r>
          </w:p>
        </w:tc>
        <w:tc>
          <w:tcPr>
            <w:tcW w:w="567" w:type="dxa"/>
            <w:shd w:val="solid" w:color="FFFFFF" w:fill="auto"/>
          </w:tcPr>
          <w:p w14:paraId="7E11DC95" w14:textId="77777777" w:rsidR="00D40151" w:rsidRPr="00873B6C" w:rsidRDefault="00D40151" w:rsidP="009D14FB">
            <w:pPr>
              <w:pStyle w:val="TAL"/>
              <w:rPr>
                <w:sz w:val="16"/>
                <w:szCs w:val="16"/>
              </w:rPr>
            </w:pPr>
            <w:r w:rsidRPr="00873B6C">
              <w:rPr>
                <w:sz w:val="16"/>
                <w:szCs w:val="16"/>
              </w:rPr>
              <w:t xml:space="preserve"> 1205</w:t>
            </w:r>
          </w:p>
        </w:tc>
        <w:tc>
          <w:tcPr>
            <w:tcW w:w="425" w:type="dxa"/>
            <w:shd w:val="solid" w:color="FFFFFF" w:fill="auto"/>
          </w:tcPr>
          <w:p w14:paraId="0E483FF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4CA6F5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51E7EE6" w14:textId="77777777" w:rsidR="00D40151" w:rsidRPr="00873B6C" w:rsidRDefault="00D40151" w:rsidP="009D14FB">
            <w:pPr>
              <w:pStyle w:val="TAL"/>
              <w:rPr>
                <w:sz w:val="16"/>
                <w:szCs w:val="16"/>
              </w:rPr>
            </w:pPr>
            <w:r w:rsidRPr="00873B6C">
              <w:rPr>
                <w:sz w:val="16"/>
                <w:szCs w:val="16"/>
              </w:rPr>
              <w:t>Add new Reference points</w:t>
            </w:r>
          </w:p>
        </w:tc>
        <w:tc>
          <w:tcPr>
            <w:tcW w:w="708" w:type="dxa"/>
            <w:shd w:val="solid" w:color="FFFFFF" w:fill="auto"/>
          </w:tcPr>
          <w:p w14:paraId="5DF72807" w14:textId="77777777" w:rsidR="00D40151" w:rsidRPr="00873B6C" w:rsidRDefault="00D40151" w:rsidP="009D14FB">
            <w:pPr>
              <w:pStyle w:val="TAC"/>
              <w:rPr>
                <w:sz w:val="16"/>
                <w:szCs w:val="16"/>
              </w:rPr>
            </w:pPr>
            <w:r w:rsidRPr="00873B6C">
              <w:rPr>
                <w:sz w:val="16"/>
                <w:szCs w:val="16"/>
              </w:rPr>
              <w:t>16.1.0</w:t>
            </w:r>
          </w:p>
        </w:tc>
      </w:tr>
      <w:tr w:rsidR="00D40151" w:rsidRPr="00873B6C" w14:paraId="41060871" w14:textId="77777777" w:rsidTr="009D14FB">
        <w:tc>
          <w:tcPr>
            <w:tcW w:w="800" w:type="dxa"/>
            <w:shd w:val="solid" w:color="FFFFFF" w:fill="auto"/>
          </w:tcPr>
          <w:p w14:paraId="17864FE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6B425A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815AEF2"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12E538A2" w14:textId="77777777" w:rsidR="00D40151" w:rsidRPr="00873B6C" w:rsidRDefault="00D40151" w:rsidP="009D14FB">
            <w:pPr>
              <w:pStyle w:val="TAL"/>
              <w:rPr>
                <w:sz w:val="16"/>
                <w:szCs w:val="16"/>
              </w:rPr>
            </w:pPr>
            <w:r w:rsidRPr="00873B6C">
              <w:rPr>
                <w:sz w:val="16"/>
                <w:szCs w:val="16"/>
              </w:rPr>
              <w:t>1207</w:t>
            </w:r>
          </w:p>
        </w:tc>
        <w:tc>
          <w:tcPr>
            <w:tcW w:w="425" w:type="dxa"/>
            <w:shd w:val="solid" w:color="FFFFFF" w:fill="auto"/>
          </w:tcPr>
          <w:p w14:paraId="7EBA539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D260FF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403D0B" w14:textId="77777777" w:rsidR="00D40151" w:rsidRPr="00873B6C" w:rsidRDefault="00D40151" w:rsidP="009D14FB">
            <w:pPr>
              <w:pStyle w:val="TAL"/>
              <w:rPr>
                <w:sz w:val="16"/>
                <w:szCs w:val="16"/>
              </w:rPr>
            </w:pPr>
            <w:r w:rsidRPr="00873B6C">
              <w:rPr>
                <w:sz w:val="16"/>
                <w:szCs w:val="16"/>
              </w:rPr>
              <w:t>5G-LAN Service continuity</w:t>
            </w:r>
          </w:p>
        </w:tc>
        <w:tc>
          <w:tcPr>
            <w:tcW w:w="708" w:type="dxa"/>
            <w:shd w:val="solid" w:color="FFFFFF" w:fill="auto"/>
          </w:tcPr>
          <w:p w14:paraId="6372AA8E" w14:textId="77777777" w:rsidR="00D40151" w:rsidRPr="00873B6C" w:rsidRDefault="00D40151" w:rsidP="009D14FB">
            <w:pPr>
              <w:pStyle w:val="TAC"/>
              <w:rPr>
                <w:sz w:val="16"/>
                <w:szCs w:val="16"/>
              </w:rPr>
            </w:pPr>
            <w:r w:rsidRPr="00873B6C">
              <w:rPr>
                <w:sz w:val="16"/>
                <w:szCs w:val="16"/>
              </w:rPr>
              <w:t>16.1.0</w:t>
            </w:r>
          </w:p>
        </w:tc>
      </w:tr>
      <w:tr w:rsidR="00D40151" w:rsidRPr="00873B6C" w14:paraId="3B9AABC0" w14:textId="77777777" w:rsidTr="009D14FB">
        <w:tc>
          <w:tcPr>
            <w:tcW w:w="800" w:type="dxa"/>
            <w:shd w:val="solid" w:color="FFFFFF" w:fill="auto"/>
          </w:tcPr>
          <w:p w14:paraId="1F7E9E6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78EEC7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1198E6"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3B236DF8" w14:textId="77777777" w:rsidR="00D40151" w:rsidRPr="00873B6C" w:rsidRDefault="00D40151" w:rsidP="009D14FB">
            <w:pPr>
              <w:pStyle w:val="TAL"/>
              <w:rPr>
                <w:sz w:val="16"/>
                <w:szCs w:val="16"/>
              </w:rPr>
            </w:pPr>
            <w:r w:rsidRPr="00873B6C">
              <w:rPr>
                <w:sz w:val="16"/>
                <w:szCs w:val="16"/>
              </w:rPr>
              <w:t>1212</w:t>
            </w:r>
          </w:p>
        </w:tc>
        <w:tc>
          <w:tcPr>
            <w:tcW w:w="425" w:type="dxa"/>
            <w:shd w:val="solid" w:color="FFFFFF" w:fill="auto"/>
          </w:tcPr>
          <w:p w14:paraId="593EA8B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DA9A3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45A285D" w14:textId="77777777" w:rsidR="00D40151" w:rsidRPr="00873B6C" w:rsidRDefault="00D40151" w:rsidP="009D14FB">
            <w:pPr>
              <w:pStyle w:val="TAL"/>
              <w:rPr>
                <w:sz w:val="16"/>
                <w:szCs w:val="16"/>
              </w:rPr>
            </w:pPr>
            <w:r w:rsidRPr="00873B6C">
              <w:rPr>
                <w:sz w:val="16"/>
                <w:szCs w:val="16"/>
              </w:rPr>
              <w:t>Update to Support TSAI for TSC Deterministic QoS</w:t>
            </w:r>
          </w:p>
        </w:tc>
        <w:tc>
          <w:tcPr>
            <w:tcW w:w="708" w:type="dxa"/>
            <w:shd w:val="solid" w:color="FFFFFF" w:fill="auto"/>
          </w:tcPr>
          <w:p w14:paraId="11CB341B" w14:textId="77777777" w:rsidR="00D40151" w:rsidRPr="00873B6C" w:rsidRDefault="00D40151" w:rsidP="009D14FB">
            <w:pPr>
              <w:pStyle w:val="TAC"/>
              <w:rPr>
                <w:sz w:val="16"/>
                <w:szCs w:val="16"/>
              </w:rPr>
            </w:pPr>
            <w:r w:rsidRPr="00873B6C">
              <w:rPr>
                <w:sz w:val="16"/>
                <w:szCs w:val="16"/>
              </w:rPr>
              <w:t>16.1.0</w:t>
            </w:r>
          </w:p>
        </w:tc>
      </w:tr>
      <w:tr w:rsidR="00D40151" w:rsidRPr="00873B6C" w14:paraId="297E88FD" w14:textId="77777777" w:rsidTr="009D14FB">
        <w:tc>
          <w:tcPr>
            <w:tcW w:w="800" w:type="dxa"/>
            <w:shd w:val="solid" w:color="FFFFFF" w:fill="auto"/>
          </w:tcPr>
          <w:p w14:paraId="37BBCA9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A5763D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59DDAF0"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53E50CFE" w14:textId="77777777" w:rsidR="00D40151" w:rsidRPr="00873B6C" w:rsidRDefault="00D40151" w:rsidP="009D14FB">
            <w:pPr>
              <w:pStyle w:val="TAL"/>
              <w:rPr>
                <w:sz w:val="16"/>
                <w:szCs w:val="16"/>
              </w:rPr>
            </w:pPr>
            <w:r w:rsidRPr="00873B6C">
              <w:rPr>
                <w:sz w:val="16"/>
                <w:szCs w:val="16"/>
              </w:rPr>
              <w:t>1214</w:t>
            </w:r>
          </w:p>
        </w:tc>
        <w:tc>
          <w:tcPr>
            <w:tcW w:w="425" w:type="dxa"/>
            <w:shd w:val="solid" w:color="FFFFFF" w:fill="auto"/>
          </w:tcPr>
          <w:p w14:paraId="15304404"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77AE1BD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D6E6DB4" w14:textId="77777777" w:rsidR="00D40151" w:rsidRPr="00873B6C" w:rsidRDefault="00D40151" w:rsidP="009D14FB">
            <w:pPr>
              <w:pStyle w:val="TAL"/>
              <w:rPr>
                <w:sz w:val="16"/>
                <w:szCs w:val="16"/>
              </w:rPr>
            </w:pPr>
            <w:r w:rsidRPr="00873B6C">
              <w:rPr>
                <w:sz w:val="16"/>
                <w:szCs w:val="16"/>
              </w:rPr>
              <w:t>Introducing support for UE and UPF Residence Time for TSC Deterministic QoS</w:t>
            </w:r>
          </w:p>
        </w:tc>
        <w:tc>
          <w:tcPr>
            <w:tcW w:w="708" w:type="dxa"/>
            <w:shd w:val="solid" w:color="FFFFFF" w:fill="auto"/>
          </w:tcPr>
          <w:p w14:paraId="40737C90" w14:textId="77777777" w:rsidR="00D40151" w:rsidRPr="00873B6C" w:rsidRDefault="00D40151" w:rsidP="009D14FB">
            <w:pPr>
              <w:pStyle w:val="TAC"/>
              <w:rPr>
                <w:sz w:val="16"/>
                <w:szCs w:val="16"/>
              </w:rPr>
            </w:pPr>
            <w:r w:rsidRPr="00873B6C">
              <w:rPr>
                <w:sz w:val="16"/>
                <w:szCs w:val="16"/>
              </w:rPr>
              <w:t>16.1.0</w:t>
            </w:r>
          </w:p>
        </w:tc>
      </w:tr>
      <w:tr w:rsidR="00D40151" w:rsidRPr="00873B6C" w14:paraId="14CF4AEA" w14:textId="77777777" w:rsidTr="009D14FB">
        <w:tc>
          <w:tcPr>
            <w:tcW w:w="800" w:type="dxa"/>
            <w:shd w:val="solid" w:color="FFFFFF" w:fill="auto"/>
          </w:tcPr>
          <w:p w14:paraId="765A223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AE026D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43F1E97"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04852C8C" w14:textId="77777777" w:rsidR="00D40151" w:rsidRPr="00873B6C" w:rsidRDefault="00D40151" w:rsidP="009D14FB">
            <w:pPr>
              <w:pStyle w:val="TAL"/>
              <w:rPr>
                <w:sz w:val="16"/>
                <w:szCs w:val="16"/>
              </w:rPr>
            </w:pPr>
            <w:r w:rsidRPr="00873B6C">
              <w:rPr>
                <w:sz w:val="16"/>
                <w:szCs w:val="16"/>
              </w:rPr>
              <w:t>1217</w:t>
            </w:r>
          </w:p>
        </w:tc>
        <w:tc>
          <w:tcPr>
            <w:tcW w:w="425" w:type="dxa"/>
            <w:shd w:val="solid" w:color="FFFFFF" w:fill="auto"/>
          </w:tcPr>
          <w:p w14:paraId="040AB85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A4EFEB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338F21F4" w14:textId="77777777" w:rsidR="00D40151" w:rsidRPr="00873B6C" w:rsidRDefault="00D40151" w:rsidP="009D14FB">
            <w:pPr>
              <w:pStyle w:val="TAL"/>
              <w:rPr>
                <w:sz w:val="16"/>
                <w:szCs w:val="16"/>
              </w:rPr>
            </w:pPr>
            <w:r w:rsidRPr="00873B6C">
              <w:rPr>
                <w:sz w:val="16"/>
                <w:szCs w:val="16"/>
              </w:rPr>
              <w:t>5G URLLC: Optimizing Redundancy</w:t>
            </w:r>
          </w:p>
        </w:tc>
        <w:tc>
          <w:tcPr>
            <w:tcW w:w="708" w:type="dxa"/>
            <w:shd w:val="solid" w:color="FFFFFF" w:fill="auto"/>
          </w:tcPr>
          <w:p w14:paraId="15165533" w14:textId="77777777" w:rsidR="00D40151" w:rsidRPr="00873B6C" w:rsidRDefault="00D40151" w:rsidP="009D14FB">
            <w:pPr>
              <w:pStyle w:val="TAC"/>
              <w:rPr>
                <w:sz w:val="16"/>
                <w:szCs w:val="16"/>
              </w:rPr>
            </w:pPr>
            <w:r w:rsidRPr="00873B6C">
              <w:rPr>
                <w:sz w:val="16"/>
                <w:szCs w:val="16"/>
              </w:rPr>
              <w:t>16.1.0</w:t>
            </w:r>
          </w:p>
        </w:tc>
      </w:tr>
      <w:tr w:rsidR="00D40151" w:rsidRPr="00873B6C" w14:paraId="4824A7C9" w14:textId="77777777" w:rsidTr="009D14FB">
        <w:tc>
          <w:tcPr>
            <w:tcW w:w="800" w:type="dxa"/>
            <w:shd w:val="solid" w:color="FFFFFF" w:fill="auto"/>
          </w:tcPr>
          <w:p w14:paraId="6F79AE2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A19E78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ED40115"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63A50B4" w14:textId="77777777" w:rsidR="00D40151" w:rsidRPr="00873B6C" w:rsidRDefault="00D40151" w:rsidP="009D14FB">
            <w:pPr>
              <w:pStyle w:val="TAL"/>
              <w:rPr>
                <w:sz w:val="16"/>
                <w:szCs w:val="16"/>
              </w:rPr>
            </w:pPr>
            <w:r w:rsidRPr="00873B6C">
              <w:rPr>
                <w:sz w:val="16"/>
                <w:szCs w:val="16"/>
              </w:rPr>
              <w:t>1218</w:t>
            </w:r>
          </w:p>
        </w:tc>
        <w:tc>
          <w:tcPr>
            <w:tcW w:w="425" w:type="dxa"/>
            <w:shd w:val="solid" w:color="FFFFFF" w:fill="auto"/>
          </w:tcPr>
          <w:p w14:paraId="6636ED9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444CE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A99A1C" w14:textId="77777777" w:rsidR="00D40151" w:rsidRPr="00873B6C" w:rsidRDefault="00D40151" w:rsidP="009D14FB">
            <w:pPr>
              <w:pStyle w:val="TAL"/>
              <w:rPr>
                <w:sz w:val="16"/>
                <w:szCs w:val="16"/>
              </w:rPr>
            </w:pPr>
            <w:r w:rsidRPr="00873B6C">
              <w:rPr>
                <w:sz w:val="16"/>
                <w:szCs w:val="16"/>
              </w:rPr>
              <w:t>Standalone NPN - NID Management</w:t>
            </w:r>
          </w:p>
        </w:tc>
        <w:tc>
          <w:tcPr>
            <w:tcW w:w="708" w:type="dxa"/>
            <w:shd w:val="solid" w:color="FFFFFF" w:fill="auto"/>
          </w:tcPr>
          <w:p w14:paraId="0B89FFBD" w14:textId="77777777" w:rsidR="00D40151" w:rsidRPr="00873B6C" w:rsidRDefault="00D40151" w:rsidP="009D14FB">
            <w:pPr>
              <w:pStyle w:val="TAC"/>
              <w:rPr>
                <w:sz w:val="16"/>
                <w:szCs w:val="16"/>
              </w:rPr>
            </w:pPr>
            <w:r w:rsidRPr="00873B6C">
              <w:rPr>
                <w:sz w:val="16"/>
                <w:szCs w:val="16"/>
              </w:rPr>
              <w:t>16.1.0</w:t>
            </w:r>
          </w:p>
        </w:tc>
      </w:tr>
      <w:tr w:rsidR="00D40151" w:rsidRPr="00873B6C" w14:paraId="10BE5249" w14:textId="77777777" w:rsidTr="009D14FB">
        <w:tc>
          <w:tcPr>
            <w:tcW w:w="800" w:type="dxa"/>
            <w:shd w:val="solid" w:color="FFFFFF" w:fill="auto"/>
          </w:tcPr>
          <w:p w14:paraId="4145B7B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AA5BE5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3833DA3"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4CE054A1" w14:textId="77777777" w:rsidR="00D40151" w:rsidRPr="00873B6C" w:rsidRDefault="00D40151" w:rsidP="009D14FB">
            <w:pPr>
              <w:pStyle w:val="TAL"/>
              <w:rPr>
                <w:sz w:val="16"/>
                <w:szCs w:val="16"/>
              </w:rPr>
            </w:pPr>
            <w:r w:rsidRPr="00873B6C">
              <w:rPr>
                <w:sz w:val="16"/>
                <w:szCs w:val="16"/>
              </w:rPr>
              <w:t>1219</w:t>
            </w:r>
          </w:p>
        </w:tc>
        <w:tc>
          <w:tcPr>
            <w:tcW w:w="425" w:type="dxa"/>
            <w:shd w:val="solid" w:color="FFFFFF" w:fill="auto"/>
          </w:tcPr>
          <w:p w14:paraId="551B8A1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C8D79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89B1A8" w14:textId="77777777" w:rsidR="00D40151" w:rsidRPr="00873B6C" w:rsidRDefault="00D40151" w:rsidP="009D14FB">
            <w:pPr>
              <w:pStyle w:val="TAL"/>
              <w:rPr>
                <w:sz w:val="16"/>
                <w:szCs w:val="16"/>
              </w:rPr>
            </w:pPr>
            <w:r w:rsidRPr="00873B6C">
              <w:rPr>
                <w:sz w:val="16"/>
                <w:szCs w:val="16"/>
              </w:rPr>
              <w:t>Standalone NPN - EPS Interworking support</w:t>
            </w:r>
          </w:p>
        </w:tc>
        <w:tc>
          <w:tcPr>
            <w:tcW w:w="708" w:type="dxa"/>
            <w:shd w:val="solid" w:color="FFFFFF" w:fill="auto"/>
          </w:tcPr>
          <w:p w14:paraId="0F718314" w14:textId="77777777" w:rsidR="00D40151" w:rsidRPr="00873B6C" w:rsidRDefault="00D40151" w:rsidP="009D14FB">
            <w:pPr>
              <w:pStyle w:val="TAC"/>
              <w:rPr>
                <w:sz w:val="16"/>
                <w:szCs w:val="16"/>
              </w:rPr>
            </w:pPr>
            <w:r w:rsidRPr="00873B6C">
              <w:rPr>
                <w:sz w:val="16"/>
                <w:szCs w:val="16"/>
              </w:rPr>
              <w:t>16.1.0</w:t>
            </w:r>
          </w:p>
        </w:tc>
      </w:tr>
      <w:tr w:rsidR="00D40151" w:rsidRPr="00873B6C" w14:paraId="1EB58369" w14:textId="77777777" w:rsidTr="009D14FB">
        <w:tc>
          <w:tcPr>
            <w:tcW w:w="800" w:type="dxa"/>
            <w:shd w:val="solid" w:color="FFFFFF" w:fill="auto"/>
          </w:tcPr>
          <w:p w14:paraId="706780F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DCAE09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B16D380"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35BCBCC1" w14:textId="77777777" w:rsidR="00D40151" w:rsidRPr="00873B6C" w:rsidRDefault="00D40151" w:rsidP="009D14FB">
            <w:pPr>
              <w:pStyle w:val="TAL"/>
              <w:rPr>
                <w:sz w:val="16"/>
                <w:szCs w:val="16"/>
              </w:rPr>
            </w:pPr>
            <w:r w:rsidRPr="00873B6C">
              <w:rPr>
                <w:sz w:val="16"/>
                <w:szCs w:val="16"/>
              </w:rPr>
              <w:t>1222</w:t>
            </w:r>
          </w:p>
        </w:tc>
        <w:tc>
          <w:tcPr>
            <w:tcW w:w="425" w:type="dxa"/>
            <w:shd w:val="solid" w:color="FFFFFF" w:fill="auto"/>
          </w:tcPr>
          <w:p w14:paraId="24A1F748" w14:textId="77777777" w:rsidR="00D40151" w:rsidRPr="00873B6C" w:rsidRDefault="00D40151" w:rsidP="009D14FB">
            <w:pPr>
              <w:pStyle w:val="TAL"/>
              <w:rPr>
                <w:sz w:val="16"/>
                <w:szCs w:val="16"/>
              </w:rPr>
            </w:pPr>
            <w:r w:rsidRPr="00873B6C">
              <w:rPr>
                <w:sz w:val="16"/>
                <w:szCs w:val="16"/>
              </w:rPr>
              <w:t>12</w:t>
            </w:r>
          </w:p>
        </w:tc>
        <w:tc>
          <w:tcPr>
            <w:tcW w:w="425" w:type="dxa"/>
            <w:shd w:val="solid" w:color="FFFFFF" w:fill="auto"/>
          </w:tcPr>
          <w:p w14:paraId="74983D5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F768861" w14:textId="77777777" w:rsidR="00D40151" w:rsidRPr="00873B6C" w:rsidRDefault="00D40151" w:rsidP="009D14FB">
            <w:pPr>
              <w:pStyle w:val="TAL"/>
              <w:rPr>
                <w:sz w:val="16"/>
                <w:szCs w:val="16"/>
              </w:rPr>
            </w:pPr>
            <w:r w:rsidRPr="00873B6C">
              <w:rPr>
                <w:sz w:val="16"/>
                <w:szCs w:val="16"/>
              </w:rPr>
              <w:t>NF Set and NF Service Set - Open items resolution</w:t>
            </w:r>
          </w:p>
        </w:tc>
        <w:tc>
          <w:tcPr>
            <w:tcW w:w="708" w:type="dxa"/>
            <w:shd w:val="solid" w:color="FFFFFF" w:fill="auto"/>
          </w:tcPr>
          <w:p w14:paraId="515AAD41" w14:textId="77777777" w:rsidR="00D40151" w:rsidRPr="00873B6C" w:rsidRDefault="00D40151" w:rsidP="009D14FB">
            <w:pPr>
              <w:pStyle w:val="TAC"/>
              <w:rPr>
                <w:sz w:val="16"/>
                <w:szCs w:val="16"/>
              </w:rPr>
            </w:pPr>
            <w:r w:rsidRPr="00873B6C">
              <w:rPr>
                <w:sz w:val="16"/>
                <w:szCs w:val="16"/>
              </w:rPr>
              <w:t>16.1.0</w:t>
            </w:r>
          </w:p>
        </w:tc>
      </w:tr>
      <w:tr w:rsidR="00D40151" w:rsidRPr="00873B6C" w14:paraId="343D0561" w14:textId="77777777" w:rsidTr="009D14FB">
        <w:tc>
          <w:tcPr>
            <w:tcW w:w="800" w:type="dxa"/>
            <w:shd w:val="solid" w:color="FFFFFF" w:fill="auto"/>
          </w:tcPr>
          <w:p w14:paraId="347F231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C72224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19A512B"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6828A1C1" w14:textId="77777777" w:rsidR="00D40151" w:rsidRPr="00873B6C" w:rsidRDefault="00D40151" w:rsidP="009D14FB">
            <w:pPr>
              <w:pStyle w:val="TAL"/>
              <w:rPr>
                <w:sz w:val="16"/>
                <w:szCs w:val="16"/>
              </w:rPr>
            </w:pPr>
            <w:r w:rsidRPr="00873B6C">
              <w:rPr>
                <w:sz w:val="16"/>
                <w:szCs w:val="16"/>
              </w:rPr>
              <w:t>1226</w:t>
            </w:r>
          </w:p>
        </w:tc>
        <w:tc>
          <w:tcPr>
            <w:tcW w:w="425" w:type="dxa"/>
            <w:shd w:val="solid" w:color="FFFFFF" w:fill="auto"/>
          </w:tcPr>
          <w:p w14:paraId="79D25FB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6AF2AA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04189E" w14:textId="77777777" w:rsidR="00D40151" w:rsidRPr="00873B6C" w:rsidRDefault="00D40151" w:rsidP="009D14FB">
            <w:pPr>
              <w:pStyle w:val="TAL"/>
              <w:rPr>
                <w:sz w:val="16"/>
                <w:szCs w:val="16"/>
              </w:rPr>
            </w:pPr>
            <w:r w:rsidRPr="00873B6C">
              <w:rPr>
                <w:sz w:val="16"/>
                <w:szCs w:val="16"/>
              </w:rPr>
              <w:t>AMF Failure - Other CP NF Behaviour</w:t>
            </w:r>
          </w:p>
        </w:tc>
        <w:tc>
          <w:tcPr>
            <w:tcW w:w="708" w:type="dxa"/>
            <w:shd w:val="solid" w:color="FFFFFF" w:fill="auto"/>
          </w:tcPr>
          <w:p w14:paraId="0D3137F9" w14:textId="77777777" w:rsidR="00D40151" w:rsidRPr="00873B6C" w:rsidRDefault="00D40151" w:rsidP="009D14FB">
            <w:pPr>
              <w:pStyle w:val="TAC"/>
              <w:rPr>
                <w:sz w:val="16"/>
                <w:szCs w:val="16"/>
              </w:rPr>
            </w:pPr>
            <w:r w:rsidRPr="00873B6C">
              <w:rPr>
                <w:sz w:val="16"/>
                <w:szCs w:val="16"/>
              </w:rPr>
              <w:t>16.1.0</w:t>
            </w:r>
          </w:p>
        </w:tc>
      </w:tr>
      <w:tr w:rsidR="00D40151" w:rsidRPr="00873B6C" w14:paraId="58413FA1" w14:textId="77777777" w:rsidTr="009D14FB">
        <w:tc>
          <w:tcPr>
            <w:tcW w:w="800" w:type="dxa"/>
            <w:shd w:val="solid" w:color="FFFFFF" w:fill="auto"/>
          </w:tcPr>
          <w:p w14:paraId="24041D6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CE7BC1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128DFB4"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481AF28D" w14:textId="77777777" w:rsidR="00D40151" w:rsidRPr="00873B6C" w:rsidRDefault="00D40151" w:rsidP="009D14FB">
            <w:pPr>
              <w:pStyle w:val="TAL"/>
              <w:rPr>
                <w:sz w:val="16"/>
                <w:szCs w:val="16"/>
              </w:rPr>
            </w:pPr>
            <w:r w:rsidRPr="00873B6C">
              <w:rPr>
                <w:sz w:val="16"/>
                <w:szCs w:val="16"/>
              </w:rPr>
              <w:t>1228</w:t>
            </w:r>
          </w:p>
        </w:tc>
        <w:tc>
          <w:tcPr>
            <w:tcW w:w="425" w:type="dxa"/>
            <w:shd w:val="solid" w:color="FFFFFF" w:fill="auto"/>
          </w:tcPr>
          <w:p w14:paraId="4CD7F64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4108AB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9A7594A" w14:textId="77777777" w:rsidR="00D40151" w:rsidRPr="00873B6C" w:rsidRDefault="00D40151" w:rsidP="009D14FB">
            <w:pPr>
              <w:pStyle w:val="TAL"/>
              <w:rPr>
                <w:sz w:val="16"/>
                <w:szCs w:val="16"/>
              </w:rPr>
            </w:pPr>
            <w:r w:rsidRPr="00873B6C">
              <w:rPr>
                <w:sz w:val="16"/>
                <w:szCs w:val="16"/>
              </w:rPr>
              <w:t>Correction on home-routed roaming architecture for EPC interworking</w:t>
            </w:r>
          </w:p>
        </w:tc>
        <w:tc>
          <w:tcPr>
            <w:tcW w:w="708" w:type="dxa"/>
            <w:shd w:val="solid" w:color="FFFFFF" w:fill="auto"/>
          </w:tcPr>
          <w:p w14:paraId="0419438E" w14:textId="77777777" w:rsidR="00D40151" w:rsidRPr="00873B6C" w:rsidRDefault="00D40151" w:rsidP="009D14FB">
            <w:pPr>
              <w:pStyle w:val="TAC"/>
              <w:rPr>
                <w:sz w:val="16"/>
                <w:szCs w:val="16"/>
              </w:rPr>
            </w:pPr>
            <w:r w:rsidRPr="00873B6C">
              <w:rPr>
                <w:sz w:val="16"/>
                <w:szCs w:val="16"/>
              </w:rPr>
              <w:t>16.1.0</w:t>
            </w:r>
          </w:p>
        </w:tc>
      </w:tr>
      <w:tr w:rsidR="00D40151" w:rsidRPr="00873B6C" w14:paraId="4D02EF5A" w14:textId="77777777" w:rsidTr="009D14FB">
        <w:tc>
          <w:tcPr>
            <w:tcW w:w="800" w:type="dxa"/>
            <w:shd w:val="solid" w:color="FFFFFF" w:fill="auto"/>
          </w:tcPr>
          <w:p w14:paraId="5A32E14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CFA0A5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F6B440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11DC923" w14:textId="77777777" w:rsidR="00D40151" w:rsidRPr="00873B6C" w:rsidRDefault="00D40151" w:rsidP="009D14FB">
            <w:pPr>
              <w:pStyle w:val="TAL"/>
              <w:rPr>
                <w:sz w:val="16"/>
                <w:szCs w:val="16"/>
              </w:rPr>
            </w:pPr>
            <w:r w:rsidRPr="00873B6C">
              <w:rPr>
                <w:sz w:val="16"/>
                <w:szCs w:val="16"/>
              </w:rPr>
              <w:t>1230</w:t>
            </w:r>
          </w:p>
        </w:tc>
        <w:tc>
          <w:tcPr>
            <w:tcW w:w="425" w:type="dxa"/>
            <w:shd w:val="solid" w:color="FFFFFF" w:fill="auto"/>
          </w:tcPr>
          <w:p w14:paraId="4EBA229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5CD3998"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3D274E0A" w14:textId="77777777" w:rsidR="00D40151" w:rsidRPr="00873B6C" w:rsidRDefault="00D40151" w:rsidP="009D14FB">
            <w:pPr>
              <w:pStyle w:val="TAL"/>
              <w:rPr>
                <w:sz w:val="16"/>
                <w:szCs w:val="16"/>
              </w:rPr>
            </w:pPr>
            <w:r w:rsidRPr="00873B6C">
              <w:rPr>
                <w:sz w:val="16"/>
                <w:szCs w:val="16"/>
              </w:rPr>
              <w:t>Dedicated SMF selection for a 5G LAN group</w:t>
            </w:r>
          </w:p>
        </w:tc>
        <w:tc>
          <w:tcPr>
            <w:tcW w:w="708" w:type="dxa"/>
            <w:shd w:val="solid" w:color="FFFFFF" w:fill="auto"/>
          </w:tcPr>
          <w:p w14:paraId="27E9BCF6" w14:textId="77777777" w:rsidR="00D40151" w:rsidRPr="00873B6C" w:rsidRDefault="00D40151" w:rsidP="009D14FB">
            <w:pPr>
              <w:pStyle w:val="TAC"/>
              <w:rPr>
                <w:sz w:val="16"/>
                <w:szCs w:val="16"/>
              </w:rPr>
            </w:pPr>
            <w:r w:rsidRPr="00873B6C">
              <w:rPr>
                <w:sz w:val="16"/>
                <w:szCs w:val="16"/>
              </w:rPr>
              <w:t>16.1.0</w:t>
            </w:r>
          </w:p>
        </w:tc>
      </w:tr>
      <w:tr w:rsidR="00D40151" w:rsidRPr="00873B6C" w14:paraId="4BFEB3B8" w14:textId="77777777" w:rsidTr="009D14FB">
        <w:tc>
          <w:tcPr>
            <w:tcW w:w="800" w:type="dxa"/>
            <w:shd w:val="solid" w:color="FFFFFF" w:fill="auto"/>
          </w:tcPr>
          <w:p w14:paraId="04A51C3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D37957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86DADE6"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52B54F2F" w14:textId="77777777" w:rsidR="00D40151" w:rsidRPr="00873B6C" w:rsidRDefault="00D40151" w:rsidP="009D14FB">
            <w:pPr>
              <w:pStyle w:val="TAL"/>
              <w:rPr>
                <w:sz w:val="16"/>
                <w:szCs w:val="16"/>
              </w:rPr>
            </w:pPr>
            <w:r w:rsidRPr="00873B6C">
              <w:rPr>
                <w:sz w:val="16"/>
                <w:szCs w:val="16"/>
              </w:rPr>
              <w:t>1233</w:t>
            </w:r>
          </w:p>
        </w:tc>
        <w:tc>
          <w:tcPr>
            <w:tcW w:w="425" w:type="dxa"/>
            <w:shd w:val="solid" w:color="FFFFFF" w:fill="auto"/>
          </w:tcPr>
          <w:p w14:paraId="10AB96DE"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1C77F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72CB21" w14:textId="77777777" w:rsidR="00D40151" w:rsidRPr="00873B6C" w:rsidRDefault="00D40151" w:rsidP="009D14FB">
            <w:pPr>
              <w:pStyle w:val="TAL"/>
              <w:rPr>
                <w:sz w:val="16"/>
                <w:szCs w:val="16"/>
              </w:rPr>
            </w:pPr>
            <w:r w:rsidRPr="00873B6C">
              <w:rPr>
                <w:sz w:val="16"/>
                <w:szCs w:val="16"/>
              </w:rPr>
              <w:t>Requirements on the Ta interface</w:t>
            </w:r>
          </w:p>
        </w:tc>
        <w:tc>
          <w:tcPr>
            <w:tcW w:w="708" w:type="dxa"/>
            <w:shd w:val="solid" w:color="FFFFFF" w:fill="auto"/>
          </w:tcPr>
          <w:p w14:paraId="37E7A055" w14:textId="77777777" w:rsidR="00D40151" w:rsidRPr="00873B6C" w:rsidRDefault="00D40151" w:rsidP="009D14FB">
            <w:pPr>
              <w:pStyle w:val="TAC"/>
              <w:rPr>
                <w:sz w:val="16"/>
                <w:szCs w:val="16"/>
              </w:rPr>
            </w:pPr>
            <w:r w:rsidRPr="00873B6C">
              <w:rPr>
                <w:sz w:val="16"/>
                <w:szCs w:val="16"/>
              </w:rPr>
              <w:t>16.1.0</w:t>
            </w:r>
          </w:p>
        </w:tc>
      </w:tr>
      <w:tr w:rsidR="00D40151" w:rsidRPr="00873B6C" w14:paraId="478AD981" w14:textId="77777777" w:rsidTr="009D14FB">
        <w:tc>
          <w:tcPr>
            <w:tcW w:w="800" w:type="dxa"/>
            <w:shd w:val="solid" w:color="FFFFFF" w:fill="auto"/>
          </w:tcPr>
          <w:p w14:paraId="054187B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DFF4FB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6A20516"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10A9DC29" w14:textId="77777777" w:rsidR="00D40151" w:rsidRPr="00873B6C" w:rsidRDefault="00D40151" w:rsidP="009D14FB">
            <w:pPr>
              <w:pStyle w:val="TAL"/>
              <w:rPr>
                <w:sz w:val="16"/>
                <w:szCs w:val="16"/>
              </w:rPr>
            </w:pPr>
            <w:r w:rsidRPr="00873B6C">
              <w:rPr>
                <w:sz w:val="16"/>
                <w:szCs w:val="16"/>
              </w:rPr>
              <w:t>1235</w:t>
            </w:r>
          </w:p>
        </w:tc>
        <w:tc>
          <w:tcPr>
            <w:tcW w:w="425" w:type="dxa"/>
            <w:shd w:val="solid" w:color="FFFFFF" w:fill="auto"/>
          </w:tcPr>
          <w:p w14:paraId="5F6FC91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E825A0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9C4ED93" w14:textId="77777777" w:rsidR="00D40151" w:rsidRPr="00873B6C" w:rsidRDefault="00D40151" w:rsidP="009D14FB">
            <w:pPr>
              <w:pStyle w:val="TAL"/>
              <w:rPr>
                <w:sz w:val="16"/>
                <w:szCs w:val="16"/>
              </w:rPr>
            </w:pPr>
            <w:r w:rsidRPr="00873B6C">
              <w:rPr>
                <w:sz w:val="16"/>
                <w:szCs w:val="16"/>
              </w:rPr>
              <w:t>Configuration transfer between NG-RAN and eNodeB</w:t>
            </w:r>
          </w:p>
        </w:tc>
        <w:tc>
          <w:tcPr>
            <w:tcW w:w="708" w:type="dxa"/>
            <w:shd w:val="solid" w:color="FFFFFF" w:fill="auto"/>
          </w:tcPr>
          <w:p w14:paraId="22DB063B" w14:textId="77777777" w:rsidR="00D40151" w:rsidRPr="00873B6C" w:rsidRDefault="00D40151" w:rsidP="009D14FB">
            <w:pPr>
              <w:pStyle w:val="TAC"/>
              <w:rPr>
                <w:sz w:val="16"/>
                <w:szCs w:val="16"/>
              </w:rPr>
            </w:pPr>
            <w:r w:rsidRPr="00873B6C">
              <w:rPr>
                <w:sz w:val="16"/>
                <w:szCs w:val="16"/>
              </w:rPr>
              <w:t>16.1.0</w:t>
            </w:r>
          </w:p>
        </w:tc>
      </w:tr>
      <w:tr w:rsidR="00D40151" w:rsidRPr="00873B6C" w14:paraId="6AE4693F" w14:textId="77777777" w:rsidTr="009D14FB">
        <w:tc>
          <w:tcPr>
            <w:tcW w:w="800" w:type="dxa"/>
            <w:shd w:val="solid" w:color="FFFFFF" w:fill="auto"/>
          </w:tcPr>
          <w:p w14:paraId="34C6FC1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0C0AF4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B10285C"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5E8F970" w14:textId="77777777" w:rsidR="00D40151" w:rsidRPr="00873B6C" w:rsidRDefault="00D40151" w:rsidP="009D14FB">
            <w:pPr>
              <w:pStyle w:val="TAL"/>
              <w:rPr>
                <w:sz w:val="16"/>
                <w:szCs w:val="16"/>
              </w:rPr>
            </w:pPr>
            <w:r w:rsidRPr="00873B6C">
              <w:rPr>
                <w:sz w:val="16"/>
                <w:szCs w:val="16"/>
              </w:rPr>
              <w:t>1237</w:t>
            </w:r>
          </w:p>
        </w:tc>
        <w:tc>
          <w:tcPr>
            <w:tcW w:w="425" w:type="dxa"/>
            <w:shd w:val="solid" w:color="FFFFFF" w:fill="auto"/>
          </w:tcPr>
          <w:p w14:paraId="55B5F10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EBEA30"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8841511" w14:textId="77777777" w:rsidR="00D40151" w:rsidRPr="00873B6C" w:rsidRDefault="00D40151" w:rsidP="009D14FB">
            <w:pPr>
              <w:pStyle w:val="TAL"/>
              <w:rPr>
                <w:sz w:val="16"/>
                <w:szCs w:val="16"/>
              </w:rPr>
            </w:pPr>
            <w:r w:rsidRPr="00873B6C">
              <w:rPr>
                <w:sz w:val="16"/>
                <w:szCs w:val="16"/>
              </w:rPr>
              <w:t xml:space="preserve"> Cleanup of NAS Congestion Control</w:t>
            </w:r>
          </w:p>
        </w:tc>
        <w:tc>
          <w:tcPr>
            <w:tcW w:w="708" w:type="dxa"/>
            <w:shd w:val="solid" w:color="FFFFFF" w:fill="auto"/>
          </w:tcPr>
          <w:p w14:paraId="5E292103" w14:textId="77777777" w:rsidR="00D40151" w:rsidRPr="00873B6C" w:rsidRDefault="00D40151" w:rsidP="009D14FB">
            <w:pPr>
              <w:pStyle w:val="TAC"/>
              <w:rPr>
                <w:sz w:val="16"/>
                <w:szCs w:val="16"/>
              </w:rPr>
            </w:pPr>
            <w:r w:rsidRPr="00873B6C">
              <w:rPr>
                <w:sz w:val="16"/>
                <w:szCs w:val="16"/>
              </w:rPr>
              <w:t>16.1.0</w:t>
            </w:r>
          </w:p>
        </w:tc>
      </w:tr>
      <w:tr w:rsidR="00D40151" w:rsidRPr="00873B6C" w14:paraId="16199C9C" w14:textId="77777777" w:rsidTr="009D14FB">
        <w:tc>
          <w:tcPr>
            <w:tcW w:w="800" w:type="dxa"/>
            <w:shd w:val="solid" w:color="FFFFFF" w:fill="auto"/>
          </w:tcPr>
          <w:p w14:paraId="57A68B1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B32350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0299201"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15D3143F" w14:textId="77777777" w:rsidR="00D40151" w:rsidRPr="00873B6C" w:rsidRDefault="00D40151" w:rsidP="009D14FB">
            <w:pPr>
              <w:pStyle w:val="TAL"/>
              <w:rPr>
                <w:sz w:val="16"/>
                <w:szCs w:val="16"/>
              </w:rPr>
            </w:pPr>
            <w:r w:rsidRPr="00873B6C">
              <w:rPr>
                <w:sz w:val="16"/>
                <w:szCs w:val="16"/>
              </w:rPr>
              <w:t>1239</w:t>
            </w:r>
          </w:p>
        </w:tc>
        <w:tc>
          <w:tcPr>
            <w:tcW w:w="425" w:type="dxa"/>
            <w:shd w:val="solid" w:color="FFFFFF" w:fill="auto"/>
          </w:tcPr>
          <w:p w14:paraId="5DBC6D3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0B7610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1309CA" w14:textId="77777777" w:rsidR="00D40151" w:rsidRPr="00873B6C" w:rsidRDefault="00D40151" w:rsidP="009D14FB">
            <w:pPr>
              <w:pStyle w:val="TAL"/>
              <w:rPr>
                <w:sz w:val="16"/>
                <w:szCs w:val="16"/>
              </w:rPr>
            </w:pPr>
            <w:r w:rsidRPr="00873B6C">
              <w:rPr>
                <w:sz w:val="16"/>
                <w:szCs w:val="16"/>
              </w:rPr>
              <w:t>Removal of roaming support from Rel-16 for W-5GAN</w:t>
            </w:r>
          </w:p>
        </w:tc>
        <w:tc>
          <w:tcPr>
            <w:tcW w:w="708" w:type="dxa"/>
            <w:shd w:val="solid" w:color="FFFFFF" w:fill="auto"/>
          </w:tcPr>
          <w:p w14:paraId="136B4A99" w14:textId="77777777" w:rsidR="00D40151" w:rsidRPr="00873B6C" w:rsidRDefault="00D40151" w:rsidP="009D14FB">
            <w:pPr>
              <w:pStyle w:val="TAC"/>
              <w:rPr>
                <w:sz w:val="16"/>
                <w:szCs w:val="16"/>
              </w:rPr>
            </w:pPr>
            <w:r w:rsidRPr="00873B6C">
              <w:rPr>
                <w:sz w:val="16"/>
                <w:szCs w:val="16"/>
              </w:rPr>
              <w:t>16.1.0</w:t>
            </w:r>
          </w:p>
        </w:tc>
      </w:tr>
      <w:tr w:rsidR="00D40151" w:rsidRPr="00873B6C" w14:paraId="64A067D3" w14:textId="77777777" w:rsidTr="009D14FB">
        <w:tc>
          <w:tcPr>
            <w:tcW w:w="800" w:type="dxa"/>
            <w:shd w:val="solid" w:color="FFFFFF" w:fill="auto"/>
          </w:tcPr>
          <w:p w14:paraId="6F99DC0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C9A935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1145830"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1487F797" w14:textId="77777777" w:rsidR="00D40151" w:rsidRPr="00873B6C" w:rsidRDefault="00D40151" w:rsidP="009D14FB">
            <w:pPr>
              <w:pStyle w:val="TAL"/>
              <w:rPr>
                <w:sz w:val="16"/>
                <w:szCs w:val="16"/>
              </w:rPr>
            </w:pPr>
            <w:r w:rsidRPr="00873B6C">
              <w:rPr>
                <w:sz w:val="16"/>
                <w:szCs w:val="16"/>
              </w:rPr>
              <w:t>1243</w:t>
            </w:r>
          </w:p>
        </w:tc>
        <w:tc>
          <w:tcPr>
            <w:tcW w:w="425" w:type="dxa"/>
            <w:shd w:val="solid" w:color="FFFFFF" w:fill="auto"/>
          </w:tcPr>
          <w:p w14:paraId="3F3220A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11B03A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468E45C" w14:textId="77777777" w:rsidR="00D40151" w:rsidRPr="00873B6C" w:rsidRDefault="00D40151" w:rsidP="009D14FB">
            <w:pPr>
              <w:pStyle w:val="TAL"/>
              <w:rPr>
                <w:sz w:val="16"/>
                <w:szCs w:val="16"/>
              </w:rPr>
            </w:pPr>
            <w:r w:rsidRPr="00873B6C">
              <w:rPr>
                <w:sz w:val="16"/>
                <w:szCs w:val="16"/>
              </w:rPr>
              <w:t>Update to NEF description by adding NIDD support</w:t>
            </w:r>
          </w:p>
        </w:tc>
        <w:tc>
          <w:tcPr>
            <w:tcW w:w="708" w:type="dxa"/>
            <w:shd w:val="solid" w:color="FFFFFF" w:fill="auto"/>
          </w:tcPr>
          <w:p w14:paraId="470D4F1A" w14:textId="77777777" w:rsidR="00D40151" w:rsidRPr="00873B6C" w:rsidRDefault="00D40151" w:rsidP="009D14FB">
            <w:pPr>
              <w:pStyle w:val="TAC"/>
              <w:rPr>
                <w:sz w:val="16"/>
                <w:szCs w:val="16"/>
              </w:rPr>
            </w:pPr>
            <w:r w:rsidRPr="00873B6C">
              <w:rPr>
                <w:sz w:val="16"/>
                <w:szCs w:val="16"/>
              </w:rPr>
              <w:t>16.1.0</w:t>
            </w:r>
          </w:p>
        </w:tc>
      </w:tr>
      <w:tr w:rsidR="00D40151" w:rsidRPr="00873B6C" w14:paraId="4BB90814" w14:textId="77777777" w:rsidTr="009D14FB">
        <w:tc>
          <w:tcPr>
            <w:tcW w:w="800" w:type="dxa"/>
            <w:shd w:val="solid" w:color="FFFFFF" w:fill="auto"/>
          </w:tcPr>
          <w:p w14:paraId="78BC004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F62F8C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2EF06F7"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56EB2AAA" w14:textId="77777777" w:rsidR="00D40151" w:rsidRPr="00873B6C" w:rsidRDefault="00D40151" w:rsidP="009D14FB">
            <w:pPr>
              <w:pStyle w:val="TAL"/>
              <w:rPr>
                <w:sz w:val="16"/>
                <w:szCs w:val="16"/>
              </w:rPr>
            </w:pPr>
            <w:r w:rsidRPr="00873B6C">
              <w:rPr>
                <w:sz w:val="16"/>
                <w:szCs w:val="16"/>
              </w:rPr>
              <w:t>1249</w:t>
            </w:r>
          </w:p>
        </w:tc>
        <w:tc>
          <w:tcPr>
            <w:tcW w:w="425" w:type="dxa"/>
            <w:shd w:val="solid" w:color="FFFFFF" w:fill="auto"/>
          </w:tcPr>
          <w:p w14:paraId="16D09C3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C04D4DF"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0675D62" w14:textId="77777777" w:rsidR="00D40151" w:rsidRPr="00873B6C" w:rsidRDefault="00D40151" w:rsidP="009D14FB">
            <w:pPr>
              <w:pStyle w:val="TAL"/>
              <w:rPr>
                <w:sz w:val="16"/>
                <w:szCs w:val="16"/>
              </w:rPr>
            </w:pPr>
            <w:r w:rsidRPr="00873B6C">
              <w:rPr>
                <w:sz w:val="16"/>
                <w:szCs w:val="16"/>
              </w:rPr>
              <w:t>Correction of SM congestion control override</w:t>
            </w:r>
          </w:p>
        </w:tc>
        <w:tc>
          <w:tcPr>
            <w:tcW w:w="708" w:type="dxa"/>
            <w:shd w:val="solid" w:color="FFFFFF" w:fill="auto"/>
          </w:tcPr>
          <w:p w14:paraId="5876416E" w14:textId="77777777" w:rsidR="00D40151" w:rsidRPr="00873B6C" w:rsidRDefault="00D40151" w:rsidP="009D14FB">
            <w:pPr>
              <w:pStyle w:val="TAC"/>
              <w:rPr>
                <w:sz w:val="16"/>
                <w:szCs w:val="16"/>
              </w:rPr>
            </w:pPr>
            <w:r w:rsidRPr="00873B6C">
              <w:rPr>
                <w:sz w:val="16"/>
                <w:szCs w:val="16"/>
              </w:rPr>
              <w:t>16.1.0</w:t>
            </w:r>
          </w:p>
        </w:tc>
      </w:tr>
      <w:tr w:rsidR="00D40151" w:rsidRPr="00873B6C" w14:paraId="6CFC71CA" w14:textId="77777777" w:rsidTr="009D14FB">
        <w:tc>
          <w:tcPr>
            <w:tcW w:w="800" w:type="dxa"/>
            <w:shd w:val="solid" w:color="FFFFFF" w:fill="auto"/>
          </w:tcPr>
          <w:p w14:paraId="1477CF6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35D01C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21A1B31"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2E91EFDB" w14:textId="77777777" w:rsidR="00D40151" w:rsidRPr="00873B6C" w:rsidRDefault="00D40151" w:rsidP="009D14FB">
            <w:pPr>
              <w:pStyle w:val="TAL"/>
              <w:rPr>
                <w:sz w:val="16"/>
                <w:szCs w:val="16"/>
              </w:rPr>
            </w:pPr>
            <w:r w:rsidRPr="00873B6C">
              <w:rPr>
                <w:sz w:val="16"/>
                <w:szCs w:val="16"/>
              </w:rPr>
              <w:t>1250</w:t>
            </w:r>
          </w:p>
        </w:tc>
        <w:tc>
          <w:tcPr>
            <w:tcW w:w="425" w:type="dxa"/>
            <w:shd w:val="solid" w:color="FFFFFF" w:fill="auto"/>
          </w:tcPr>
          <w:p w14:paraId="2FAB823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1AF7A2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3ED3163" w14:textId="77777777" w:rsidR="00D40151" w:rsidRPr="00873B6C" w:rsidRDefault="00D40151" w:rsidP="009D14FB">
            <w:pPr>
              <w:pStyle w:val="TAL"/>
              <w:rPr>
                <w:sz w:val="16"/>
                <w:szCs w:val="16"/>
              </w:rPr>
            </w:pPr>
            <w:r w:rsidRPr="00873B6C">
              <w:rPr>
                <w:sz w:val="16"/>
                <w:szCs w:val="16"/>
              </w:rPr>
              <w:t>Corrections to MICO mode with Active Time</w:t>
            </w:r>
          </w:p>
        </w:tc>
        <w:tc>
          <w:tcPr>
            <w:tcW w:w="708" w:type="dxa"/>
            <w:shd w:val="solid" w:color="FFFFFF" w:fill="auto"/>
          </w:tcPr>
          <w:p w14:paraId="5D8C5DEF" w14:textId="77777777" w:rsidR="00D40151" w:rsidRPr="00873B6C" w:rsidRDefault="00D40151" w:rsidP="009D14FB">
            <w:pPr>
              <w:pStyle w:val="TAC"/>
              <w:rPr>
                <w:sz w:val="16"/>
                <w:szCs w:val="16"/>
              </w:rPr>
            </w:pPr>
            <w:r w:rsidRPr="00873B6C">
              <w:rPr>
                <w:sz w:val="16"/>
                <w:szCs w:val="16"/>
              </w:rPr>
              <w:t>16.1.0</w:t>
            </w:r>
          </w:p>
        </w:tc>
      </w:tr>
      <w:tr w:rsidR="00D40151" w:rsidRPr="00873B6C" w14:paraId="267673B9" w14:textId="77777777" w:rsidTr="009D14FB">
        <w:tc>
          <w:tcPr>
            <w:tcW w:w="800" w:type="dxa"/>
            <w:shd w:val="solid" w:color="FFFFFF" w:fill="auto"/>
          </w:tcPr>
          <w:p w14:paraId="2BA635A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265882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C2558B9"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2FC98427" w14:textId="77777777" w:rsidR="00D40151" w:rsidRPr="00873B6C" w:rsidRDefault="00D40151" w:rsidP="009D14FB">
            <w:pPr>
              <w:pStyle w:val="TAL"/>
              <w:rPr>
                <w:sz w:val="16"/>
                <w:szCs w:val="16"/>
              </w:rPr>
            </w:pPr>
            <w:r w:rsidRPr="00873B6C">
              <w:rPr>
                <w:sz w:val="16"/>
                <w:szCs w:val="16"/>
              </w:rPr>
              <w:t>1251</w:t>
            </w:r>
          </w:p>
        </w:tc>
        <w:tc>
          <w:tcPr>
            <w:tcW w:w="425" w:type="dxa"/>
            <w:shd w:val="solid" w:color="FFFFFF" w:fill="auto"/>
          </w:tcPr>
          <w:p w14:paraId="60DFA8E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F60875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535802E" w14:textId="77777777" w:rsidR="00D40151" w:rsidRPr="00873B6C" w:rsidRDefault="00D40151" w:rsidP="009D14FB">
            <w:pPr>
              <w:pStyle w:val="TAL"/>
              <w:rPr>
                <w:sz w:val="16"/>
                <w:szCs w:val="16"/>
              </w:rPr>
            </w:pPr>
            <w:r w:rsidRPr="00873B6C">
              <w:rPr>
                <w:sz w:val="16"/>
                <w:szCs w:val="16"/>
              </w:rPr>
              <w:t>Subscription Information Influence on PDU Session Rate Control</w:t>
            </w:r>
          </w:p>
        </w:tc>
        <w:tc>
          <w:tcPr>
            <w:tcW w:w="708" w:type="dxa"/>
            <w:shd w:val="solid" w:color="FFFFFF" w:fill="auto"/>
          </w:tcPr>
          <w:p w14:paraId="6083418C" w14:textId="77777777" w:rsidR="00D40151" w:rsidRPr="00873B6C" w:rsidRDefault="00D40151" w:rsidP="009D14FB">
            <w:pPr>
              <w:pStyle w:val="TAC"/>
              <w:rPr>
                <w:sz w:val="16"/>
                <w:szCs w:val="16"/>
              </w:rPr>
            </w:pPr>
            <w:r w:rsidRPr="00873B6C">
              <w:rPr>
                <w:sz w:val="16"/>
                <w:szCs w:val="16"/>
              </w:rPr>
              <w:t>16.1.0</w:t>
            </w:r>
          </w:p>
        </w:tc>
      </w:tr>
      <w:tr w:rsidR="00D40151" w:rsidRPr="00873B6C" w14:paraId="5DFBF4D2" w14:textId="77777777" w:rsidTr="009D14FB">
        <w:tc>
          <w:tcPr>
            <w:tcW w:w="800" w:type="dxa"/>
            <w:shd w:val="solid" w:color="FFFFFF" w:fill="auto"/>
          </w:tcPr>
          <w:p w14:paraId="29424E3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FBF247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2E6C193"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399CDDE0" w14:textId="77777777" w:rsidR="00D40151" w:rsidRPr="00873B6C" w:rsidRDefault="00D40151" w:rsidP="009D14FB">
            <w:pPr>
              <w:pStyle w:val="TAL"/>
              <w:rPr>
                <w:sz w:val="16"/>
                <w:szCs w:val="16"/>
              </w:rPr>
            </w:pPr>
            <w:r w:rsidRPr="00873B6C">
              <w:rPr>
                <w:sz w:val="16"/>
                <w:szCs w:val="16"/>
              </w:rPr>
              <w:t>1252</w:t>
            </w:r>
          </w:p>
        </w:tc>
        <w:tc>
          <w:tcPr>
            <w:tcW w:w="425" w:type="dxa"/>
            <w:shd w:val="solid" w:color="FFFFFF" w:fill="auto"/>
          </w:tcPr>
          <w:p w14:paraId="51F89A1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93B40C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1314B38" w14:textId="77777777" w:rsidR="00D40151" w:rsidRPr="00873B6C" w:rsidRDefault="00D40151" w:rsidP="009D14FB">
            <w:pPr>
              <w:pStyle w:val="TAL"/>
              <w:rPr>
                <w:sz w:val="16"/>
                <w:szCs w:val="16"/>
              </w:rPr>
            </w:pPr>
            <w:r w:rsidRPr="00873B6C">
              <w:rPr>
                <w:sz w:val="16"/>
                <w:szCs w:val="16"/>
              </w:rPr>
              <w:t>Handling of Stored Small Data Rate Control Status at Subsequent PDU Session Establishment</w:t>
            </w:r>
          </w:p>
        </w:tc>
        <w:tc>
          <w:tcPr>
            <w:tcW w:w="708" w:type="dxa"/>
            <w:shd w:val="solid" w:color="FFFFFF" w:fill="auto"/>
          </w:tcPr>
          <w:p w14:paraId="5B1F61E8" w14:textId="77777777" w:rsidR="00D40151" w:rsidRPr="00873B6C" w:rsidRDefault="00D40151" w:rsidP="009D14FB">
            <w:pPr>
              <w:pStyle w:val="TAC"/>
              <w:rPr>
                <w:sz w:val="16"/>
                <w:szCs w:val="16"/>
              </w:rPr>
            </w:pPr>
            <w:r w:rsidRPr="00873B6C">
              <w:rPr>
                <w:sz w:val="16"/>
                <w:szCs w:val="16"/>
              </w:rPr>
              <w:t>16.1.0</w:t>
            </w:r>
          </w:p>
        </w:tc>
      </w:tr>
      <w:tr w:rsidR="00D40151" w:rsidRPr="00873B6C" w14:paraId="5FCC0905" w14:textId="77777777" w:rsidTr="009D14FB">
        <w:tc>
          <w:tcPr>
            <w:tcW w:w="800" w:type="dxa"/>
            <w:shd w:val="solid" w:color="FFFFFF" w:fill="auto"/>
          </w:tcPr>
          <w:p w14:paraId="25EC050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A8A27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12A7A06"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65982A98" w14:textId="77777777" w:rsidR="00D40151" w:rsidRPr="00873B6C" w:rsidRDefault="00D40151" w:rsidP="009D14FB">
            <w:pPr>
              <w:pStyle w:val="TAL"/>
              <w:rPr>
                <w:sz w:val="16"/>
                <w:szCs w:val="16"/>
              </w:rPr>
            </w:pPr>
            <w:r w:rsidRPr="00873B6C">
              <w:rPr>
                <w:sz w:val="16"/>
                <w:szCs w:val="16"/>
              </w:rPr>
              <w:t>1256</w:t>
            </w:r>
          </w:p>
        </w:tc>
        <w:tc>
          <w:tcPr>
            <w:tcW w:w="425" w:type="dxa"/>
            <w:shd w:val="solid" w:color="FFFFFF" w:fill="auto"/>
          </w:tcPr>
          <w:p w14:paraId="19A6F11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47B0F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1F4034" w14:textId="77777777" w:rsidR="00D40151" w:rsidRPr="00873B6C" w:rsidRDefault="00D40151" w:rsidP="009D14FB">
            <w:pPr>
              <w:pStyle w:val="TAL"/>
              <w:rPr>
                <w:sz w:val="16"/>
                <w:szCs w:val="16"/>
              </w:rPr>
            </w:pPr>
            <w:r w:rsidRPr="00873B6C">
              <w:rPr>
                <w:sz w:val="16"/>
                <w:szCs w:val="16"/>
              </w:rPr>
              <w:t>Corrections to CN assisted RAN parameters tuning</w:t>
            </w:r>
          </w:p>
        </w:tc>
        <w:tc>
          <w:tcPr>
            <w:tcW w:w="708" w:type="dxa"/>
            <w:shd w:val="solid" w:color="FFFFFF" w:fill="auto"/>
          </w:tcPr>
          <w:p w14:paraId="79EEF8CF" w14:textId="77777777" w:rsidR="00D40151" w:rsidRPr="00873B6C" w:rsidRDefault="00D40151" w:rsidP="009D14FB">
            <w:pPr>
              <w:pStyle w:val="TAC"/>
              <w:rPr>
                <w:sz w:val="16"/>
                <w:szCs w:val="16"/>
              </w:rPr>
            </w:pPr>
            <w:r w:rsidRPr="00873B6C">
              <w:rPr>
                <w:sz w:val="16"/>
                <w:szCs w:val="16"/>
              </w:rPr>
              <w:t>16.1.0</w:t>
            </w:r>
          </w:p>
        </w:tc>
      </w:tr>
      <w:tr w:rsidR="00D40151" w:rsidRPr="00873B6C" w14:paraId="680ACCA8" w14:textId="77777777" w:rsidTr="009D14FB">
        <w:tc>
          <w:tcPr>
            <w:tcW w:w="800" w:type="dxa"/>
            <w:shd w:val="solid" w:color="FFFFFF" w:fill="auto"/>
          </w:tcPr>
          <w:p w14:paraId="3182ED5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6D80B5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938795A"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76943C9F" w14:textId="77777777" w:rsidR="00D40151" w:rsidRPr="00873B6C" w:rsidRDefault="00D40151" w:rsidP="009D14FB">
            <w:pPr>
              <w:pStyle w:val="TAL"/>
              <w:rPr>
                <w:sz w:val="16"/>
                <w:szCs w:val="16"/>
              </w:rPr>
            </w:pPr>
            <w:r w:rsidRPr="00873B6C">
              <w:rPr>
                <w:sz w:val="16"/>
                <w:szCs w:val="16"/>
              </w:rPr>
              <w:t>1257</w:t>
            </w:r>
          </w:p>
        </w:tc>
        <w:tc>
          <w:tcPr>
            <w:tcW w:w="425" w:type="dxa"/>
            <w:shd w:val="solid" w:color="FFFFFF" w:fill="auto"/>
          </w:tcPr>
          <w:p w14:paraId="2FE6922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B82B04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B144CC" w14:textId="77777777" w:rsidR="00D40151" w:rsidRPr="00873B6C" w:rsidRDefault="00D40151" w:rsidP="009D14FB">
            <w:pPr>
              <w:pStyle w:val="TAL"/>
              <w:rPr>
                <w:sz w:val="16"/>
                <w:szCs w:val="16"/>
              </w:rPr>
            </w:pPr>
            <w:r w:rsidRPr="00873B6C">
              <w:rPr>
                <w:sz w:val="16"/>
                <w:szCs w:val="16"/>
              </w:rPr>
              <w:t>Corrections to Network Slice Registration</w:t>
            </w:r>
          </w:p>
        </w:tc>
        <w:tc>
          <w:tcPr>
            <w:tcW w:w="708" w:type="dxa"/>
            <w:shd w:val="solid" w:color="FFFFFF" w:fill="auto"/>
          </w:tcPr>
          <w:p w14:paraId="6EA91801" w14:textId="77777777" w:rsidR="00D40151" w:rsidRPr="00873B6C" w:rsidRDefault="00D40151" w:rsidP="009D14FB">
            <w:pPr>
              <w:pStyle w:val="TAC"/>
              <w:rPr>
                <w:sz w:val="16"/>
                <w:szCs w:val="16"/>
              </w:rPr>
            </w:pPr>
            <w:r w:rsidRPr="00873B6C">
              <w:rPr>
                <w:sz w:val="16"/>
                <w:szCs w:val="16"/>
              </w:rPr>
              <w:t>16.1.0</w:t>
            </w:r>
          </w:p>
        </w:tc>
      </w:tr>
      <w:tr w:rsidR="00D40151" w:rsidRPr="00873B6C" w14:paraId="17DD56C3" w14:textId="77777777" w:rsidTr="009D14FB">
        <w:tc>
          <w:tcPr>
            <w:tcW w:w="800" w:type="dxa"/>
            <w:shd w:val="solid" w:color="FFFFFF" w:fill="auto"/>
          </w:tcPr>
          <w:p w14:paraId="015A314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C207DD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588FBFA"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7337547F" w14:textId="77777777" w:rsidR="00D40151" w:rsidRPr="00873B6C" w:rsidRDefault="00D40151" w:rsidP="009D14FB">
            <w:pPr>
              <w:pStyle w:val="TAL"/>
              <w:rPr>
                <w:sz w:val="16"/>
                <w:szCs w:val="16"/>
              </w:rPr>
            </w:pPr>
            <w:r w:rsidRPr="00873B6C">
              <w:rPr>
                <w:sz w:val="16"/>
                <w:szCs w:val="16"/>
              </w:rPr>
              <w:t>1258</w:t>
            </w:r>
          </w:p>
        </w:tc>
        <w:tc>
          <w:tcPr>
            <w:tcW w:w="425" w:type="dxa"/>
            <w:shd w:val="solid" w:color="FFFFFF" w:fill="auto"/>
          </w:tcPr>
          <w:p w14:paraId="2CB1928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3504CB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A9B0CDA" w14:textId="77777777" w:rsidR="00D40151" w:rsidRPr="00873B6C" w:rsidRDefault="00D40151" w:rsidP="009D14FB">
            <w:pPr>
              <w:pStyle w:val="TAL"/>
              <w:rPr>
                <w:sz w:val="16"/>
                <w:szCs w:val="16"/>
              </w:rPr>
            </w:pPr>
            <w:r w:rsidRPr="00873B6C">
              <w:rPr>
                <w:sz w:val="16"/>
                <w:szCs w:val="16"/>
              </w:rPr>
              <w:t>CR for TS 23.501 Clarifications NWDAF Discovery and Selection</w:t>
            </w:r>
          </w:p>
        </w:tc>
        <w:tc>
          <w:tcPr>
            <w:tcW w:w="708" w:type="dxa"/>
            <w:shd w:val="solid" w:color="FFFFFF" w:fill="auto"/>
          </w:tcPr>
          <w:p w14:paraId="1948C5EA" w14:textId="77777777" w:rsidR="00D40151" w:rsidRPr="00873B6C" w:rsidRDefault="00D40151" w:rsidP="009D14FB">
            <w:pPr>
              <w:pStyle w:val="TAC"/>
              <w:rPr>
                <w:sz w:val="16"/>
                <w:szCs w:val="16"/>
              </w:rPr>
            </w:pPr>
            <w:r w:rsidRPr="00873B6C">
              <w:rPr>
                <w:sz w:val="16"/>
                <w:szCs w:val="16"/>
              </w:rPr>
              <w:t>16.1.0</w:t>
            </w:r>
          </w:p>
        </w:tc>
      </w:tr>
      <w:tr w:rsidR="00D40151" w:rsidRPr="00873B6C" w14:paraId="7CFFFDC2" w14:textId="77777777" w:rsidTr="009D14FB">
        <w:tc>
          <w:tcPr>
            <w:tcW w:w="800" w:type="dxa"/>
            <w:shd w:val="solid" w:color="FFFFFF" w:fill="auto"/>
          </w:tcPr>
          <w:p w14:paraId="2156258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0EA3F6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58E1A7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279A4A35" w14:textId="77777777" w:rsidR="00D40151" w:rsidRPr="00873B6C" w:rsidRDefault="00D40151" w:rsidP="009D14FB">
            <w:pPr>
              <w:pStyle w:val="TAL"/>
              <w:rPr>
                <w:sz w:val="16"/>
                <w:szCs w:val="16"/>
              </w:rPr>
            </w:pPr>
            <w:r w:rsidRPr="00873B6C">
              <w:rPr>
                <w:sz w:val="16"/>
                <w:szCs w:val="16"/>
              </w:rPr>
              <w:t>1262</w:t>
            </w:r>
          </w:p>
        </w:tc>
        <w:tc>
          <w:tcPr>
            <w:tcW w:w="425" w:type="dxa"/>
            <w:shd w:val="solid" w:color="FFFFFF" w:fill="auto"/>
          </w:tcPr>
          <w:p w14:paraId="651DA5A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69B0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99398B" w14:textId="3BADB2AB" w:rsidR="00D40151" w:rsidRPr="00873B6C" w:rsidRDefault="00D40151" w:rsidP="009D14FB">
            <w:pPr>
              <w:pStyle w:val="TAL"/>
              <w:rPr>
                <w:sz w:val="16"/>
                <w:szCs w:val="16"/>
              </w:rPr>
            </w:pPr>
            <w:r w:rsidRPr="00873B6C">
              <w:rPr>
                <w:sz w:val="16"/>
                <w:szCs w:val="16"/>
              </w:rPr>
              <w:t>RRC Inactive information for eDRX</w:t>
            </w:r>
          </w:p>
        </w:tc>
        <w:tc>
          <w:tcPr>
            <w:tcW w:w="708" w:type="dxa"/>
            <w:shd w:val="solid" w:color="FFFFFF" w:fill="auto"/>
          </w:tcPr>
          <w:p w14:paraId="03415900" w14:textId="77777777" w:rsidR="00D40151" w:rsidRPr="00873B6C" w:rsidRDefault="00D40151" w:rsidP="009D14FB">
            <w:pPr>
              <w:pStyle w:val="TAC"/>
              <w:rPr>
                <w:sz w:val="16"/>
                <w:szCs w:val="16"/>
              </w:rPr>
            </w:pPr>
            <w:r w:rsidRPr="00873B6C">
              <w:rPr>
                <w:sz w:val="16"/>
                <w:szCs w:val="16"/>
              </w:rPr>
              <w:t>16.1.0</w:t>
            </w:r>
          </w:p>
        </w:tc>
      </w:tr>
      <w:tr w:rsidR="00D40151" w:rsidRPr="00873B6C" w14:paraId="2186B010" w14:textId="77777777" w:rsidTr="009D14FB">
        <w:tc>
          <w:tcPr>
            <w:tcW w:w="800" w:type="dxa"/>
            <w:shd w:val="solid" w:color="FFFFFF" w:fill="auto"/>
          </w:tcPr>
          <w:p w14:paraId="03B6F47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CCE374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E2C6149"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779CFEF7" w14:textId="77777777" w:rsidR="00D40151" w:rsidRPr="00873B6C" w:rsidRDefault="00D40151" w:rsidP="009D14FB">
            <w:pPr>
              <w:pStyle w:val="TAL"/>
              <w:rPr>
                <w:sz w:val="16"/>
                <w:szCs w:val="16"/>
              </w:rPr>
            </w:pPr>
            <w:r w:rsidRPr="00873B6C">
              <w:rPr>
                <w:sz w:val="16"/>
                <w:szCs w:val="16"/>
              </w:rPr>
              <w:t>1263</w:t>
            </w:r>
          </w:p>
        </w:tc>
        <w:tc>
          <w:tcPr>
            <w:tcW w:w="425" w:type="dxa"/>
            <w:shd w:val="solid" w:color="FFFFFF" w:fill="auto"/>
          </w:tcPr>
          <w:p w14:paraId="5CEE349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963EC8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74E96E" w14:textId="77777777" w:rsidR="00D40151" w:rsidRPr="00873B6C" w:rsidRDefault="00D40151" w:rsidP="009D14FB">
            <w:pPr>
              <w:pStyle w:val="TAL"/>
              <w:rPr>
                <w:sz w:val="16"/>
                <w:szCs w:val="16"/>
              </w:rPr>
            </w:pPr>
            <w:r w:rsidRPr="00873B6C">
              <w:rPr>
                <w:sz w:val="16"/>
                <w:szCs w:val="16"/>
              </w:rPr>
              <w:t>AMF utilizes NRF to discover NSSF</w:t>
            </w:r>
          </w:p>
        </w:tc>
        <w:tc>
          <w:tcPr>
            <w:tcW w:w="708" w:type="dxa"/>
            <w:shd w:val="solid" w:color="FFFFFF" w:fill="auto"/>
          </w:tcPr>
          <w:p w14:paraId="252BEF43" w14:textId="77777777" w:rsidR="00D40151" w:rsidRPr="00873B6C" w:rsidRDefault="00D40151" w:rsidP="009D14FB">
            <w:pPr>
              <w:pStyle w:val="TAC"/>
              <w:rPr>
                <w:sz w:val="16"/>
                <w:szCs w:val="16"/>
              </w:rPr>
            </w:pPr>
            <w:r w:rsidRPr="00873B6C">
              <w:rPr>
                <w:sz w:val="16"/>
                <w:szCs w:val="16"/>
              </w:rPr>
              <w:t>16.1.0</w:t>
            </w:r>
          </w:p>
        </w:tc>
      </w:tr>
      <w:tr w:rsidR="00D40151" w:rsidRPr="00873B6C" w14:paraId="3A9234F9" w14:textId="77777777" w:rsidTr="009D14FB">
        <w:tc>
          <w:tcPr>
            <w:tcW w:w="800" w:type="dxa"/>
            <w:shd w:val="solid" w:color="FFFFFF" w:fill="auto"/>
          </w:tcPr>
          <w:p w14:paraId="471D1DA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3080A6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682FC3D"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0A137134" w14:textId="77777777" w:rsidR="00D40151" w:rsidRPr="00873B6C" w:rsidRDefault="00D40151" w:rsidP="009D14FB">
            <w:pPr>
              <w:pStyle w:val="TAL"/>
              <w:rPr>
                <w:sz w:val="16"/>
                <w:szCs w:val="16"/>
              </w:rPr>
            </w:pPr>
            <w:r w:rsidRPr="00873B6C">
              <w:rPr>
                <w:sz w:val="16"/>
                <w:szCs w:val="16"/>
              </w:rPr>
              <w:t>1264</w:t>
            </w:r>
          </w:p>
        </w:tc>
        <w:tc>
          <w:tcPr>
            <w:tcW w:w="425" w:type="dxa"/>
            <w:shd w:val="solid" w:color="FFFFFF" w:fill="auto"/>
          </w:tcPr>
          <w:p w14:paraId="26EA7E7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D02FD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B33A7C" w14:textId="77777777" w:rsidR="00D40151" w:rsidRPr="00873B6C" w:rsidRDefault="00D40151" w:rsidP="009D14FB">
            <w:pPr>
              <w:pStyle w:val="TAL"/>
              <w:rPr>
                <w:sz w:val="16"/>
                <w:szCs w:val="16"/>
              </w:rPr>
            </w:pPr>
            <w:r w:rsidRPr="00873B6C">
              <w:rPr>
                <w:sz w:val="16"/>
                <w:szCs w:val="16"/>
              </w:rPr>
              <w:t>QoS differentiation for access to SNPN (PLMN) services via PLMN (SNPN)</w:t>
            </w:r>
          </w:p>
        </w:tc>
        <w:tc>
          <w:tcPr>
            <w:tcW w:w="708" w:type="dxa"/>
            <w:shd w:val="solid" w:color="FFFFFF" w:fill="auto"/>
          </w:tcPr>
          <w:p w14:paraId="64D7818F" w14:textId="77777777" w:rsidR="00D40151" w:rsidRPr="00873B6C" w:rsidRDefault="00D40151" w:rsidP="009D14FB">
            <w:pPr>
              <w:pStyle w:val="TAC"/>
              <w:rPr>
                <w:sz w:val="16"/>
                <w:szCs w:val="16"/>
              </w:rPr>
            </w:pPr>
            <w:r w:rsidRPr="00873B6C">
              <w:rPr>
                <w:sz w:val="16"/>
                <w:szCs w:val="16"/>
              </w:rPr>
              <w:t>16.1.0</w:t>
            </w:r>
          </w:p>
        </w:tc>
      </w:tr>
      <w:tr w:rsidR="00D40151" w:rsidRPr="00873B6C" w14:paraId="74F4C1FF" w14:textId="77777777" w:rsidTr="009D14FB">
        <w:tc>
          <w:tcPr>
            <w:tcW w:w="800" w:type="dxa"/>
            <w:shd w:val="solid" w:color="FFFFFF" w:fill="auto"/>
          </w:tcPr>
          <w:p w14:paraId="16070F2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7DBE9D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AA76F58"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44675551" w14:textId="77777777" w:rsidR="00D40151" w:rsidRPr="00873B6C" w:rsidRDefault="00D40151" w:rsidP="009D14FB">
            <w:pPr>
              <w:pStyle w:val="TAL"/>
              <w:rPr>
                <w:sz w:val="16"/>
                <w:szCs w:val="16"/>
              </w:rPr>
            </w:pPr>
            <w:r w:rsidRPr="00873B6C">
              <w:rPr>
                <w:sz w:val="16"/>
                <w:szCs w:val="16"/>
              </w:rPr>
              <w:t>1265</w:t>
            </w:r>
          </w:p>
        </w:tc>
        <w:tc>
          <w:tcPr>
            <w:tcW w:w="425" w:type="dxa"/>
            <w:shd w:val="solid" w:color="FFFFFF" w:fill="auto"/>
          </w:tcPr>
          <w:p w14:paraId="4B40CFC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070E157"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55816F5E" w14:textId="77777777" w:rsidR="00D40151" w:rsidRPr="00873B6C" w:rsidRDefault="00D40151" w:rsidP="009D14FB">
            <w:pPr>
              <w:pStyle w:val="TAL"/>
              <w:rPr>
                <w:sz w:val="16"/>
                <w:szCs w:val="16"/>
              </w:rPr>
            </w:pPr>
            <w:r w:rsidRPr="00873B6C">
              <w:rPr>
                <w:sz w:val="16"/>
                <w:szCs w:val="16"/>
              </w:rPr>
              <w:t>Fixing clause number reference</w:t>
            </w:r>
          </w:p>
        </w:tc>
        <w:tc>
          <w:tcPr>
            <w:tcW w:w="708" w:type="dxa"/>
            <w:shd w:val="solid" w:color="FFFFFF" w:fill="auto"/>
          </w:tcPr>
          <w:p w14:paraId="619A3BCB" w14:textId="77777777" w:rsidR="00D40151" w:rsidRPr="00873B6C" w:rsidRDefault="00D40151" w:rsidP="009D14FB">
            <w:pPr>
              <w:pStyle w:val="TAC"/>
              <w:rPr>
                <w:sz w:val="16"/>
                <w:szCs w:val="16"/>
              </w:rPr>
            </w:pPr>
            <w:r w:rsidRPr="00873B6C">
              <w:rPr>
                <w:sz w:val="16"/>
                <w:szCs w:val="16"/>
              </w:rPr>
              <w:t>16.1.0</w:t>
            </w:r>
          </w:p>
        </w:tc>
      </w:tr>
      <w:tr w:rsidR="00D40151" w:rsidRPr="00873B6C" w14:paraId="0699F819" w14:textId="77777777" w:rsidTr="009D14FB">
        <w:tc>
          <w:tcPr>
            <w:tcW w:w="800" w:type="dxa"/>
            <w:shd w:val="solid" w:color="FFFFFF" w:fill="auto"/>
          </w:tcPr>
          <w:p w14:paraId="6CC3390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86F1F2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A0AE6C4"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0F43F7F9" w14:textId="77777777" w:rsidR="00D40151" w:rsidRPr="00873B6C" w:rsidRDefault="00D40151" w:rsidP="009D14FB">
            <w:pPr>
              <w:pStyle w:val="TAL"/>
              <w:rPr>
                <w:sz w:val="16"/>
                <w:szCs w:val="16"/>
              </w:rPr>
            </w:pPr>
            <w:r w:rsidRPr="00873B6C">
              <w:rPr>
                <w:sz w:val="16"/>
                <w:szCs w:val="16"/>
              </w:rPr>
              <w:t>1266</w:t>
            </w:r>
          </w:p>
        </w:tc>
        <w:tc>
          <w:tcPr>
            <w:tcW w:w="425" w:type="dxa"/>
            <w:shd w:val="solid" w:color="FFFFFF" w:fill="auto"/>
          </w:tcPr>
          <w:p w14:paraId="3D8CCE3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D00E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1BA4B39" w14:textId="77777777" w:rsidR="00D40151" w:rsidRPr="00873B6C" w:rsidRDefault="00D40151" w:rsidP="009D14FB">
            <w:pPr>
              <w:pStyle w:val="TAL"/>
              <w:rPr>
                <w:sz w:val="16"/>
                <w:szCs w:val="16"/>
              </w:rPr>
            </w:pPr>
            <w:r w:rsidRPr="00873B6C">
              <w:rPr>
                <w:sz w:val="16"/>
                <w:szCs w:val="16"/>
              </w:rPr>
              <w:t>Correction of description of the IMS voice over PS Session Supported Indication</w:t>
            </w:r>
          </w:p>
        </w:tc>
        <w:tc>
          <w:tcPr>
            <w:tcW w:w="708" w:type="dxa"/>
            <w:shd w:val="solid" w:color="FFFFFF" w:fill="auto"/>
          </w:tcPr>
          <w:p w14:paraId="32E497A2" w14:textId="77777777" w:rsidR="00D40151" w:rsidRPr="00873B6C" w:rsidRDefault="00D40151" w:rsidP="009D14FB">
            <w:pPr>
              <w:pStyle w:val="TAC"/>
              <w:rPr>
                <w:sz w:val="16"/>
                <w:szCs w:val="16"/>
              </w:rPr>
            </w:pPr>
            <w:r w:rsidRPr="00873B6C">
              <w:rPr>
                <w:sz w:val="16"/>
                <w:szCs w:val="16"/>
              </w:rPr>
              <w:t>16.1.0</w:t>
            </w:r>
          </w:p>
        </w:tc>
      </w:tr>
      <w:tr w:rsidR="00D40151" w:rsidRPr="00873B6C" w14:paraId="082A652D" w14:textId="77777777" w:rsidTr="009D14FB">
        <w:tc>
          <w:tcPr>
            <w:tcW w:w="800" w:type="dxa"/>
            <w:shd w:val="solid" w:color="FFFFFF" w:fill="auto"/>
          </w:tcPr>
          <w:p w14:paraId="5BCF8D2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467FD1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4656453"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20C69F7E" w14:textId="77777777" w:rsidR="00D40151" w:rsidRPr="00873B6C" w:rsidRDefault="00D40151" w:rsidP="009D14FB">
            <w:pPr>
              <w:pStyle w:val="TAL"/>
              <w:rPr>
                <w:sz w:val="16"/>
                <w:szCs w:val="16"/>
              </w:rPr>
            </w:pPr>
            <w:r w:rsidRPr="00873B6C">
              <w:rPr>
                <w:sz w:val="16"/>
                <w:szCs w:val="16"/>
              </w:rPr>
              <w:t>1271</w:t>
            </w:r>
          </w:p>
        </w:tc>
        <w:tc>
          <w:tcPr>
            <w:tcW w:w="425" w:type="dxa"/>
            <w:shd w:val="solid" w:color="FFFFFF" w:fill="auto"/>
          </w:tcPr>
          <w:p w14:paraId="7EE1685B" w14:textId="77777777" w:rsidR="00D40151" w:rsidRPr="00873B6C" w:rsidRDefault="00D40151" w:rsidP="009D14FB">
            <w:pPr>
              <w:pStyle w:val="TAL"/>
              <w:rPr>
                <w:sz w:val="16"/>
                <w:szCs w:val="16"/>
              </w:rPr>
            </w:pPr>
            <w:r w:rsidRPr="00873B6C">
              <w:rPr>
                <w:sz w:val="16"/>
                <w:szCs w:val="16"/>
              </w:rPr>
              <w:t>13</w:t>
            </w:r>
          </w:p>
        </w:tc>
        <w:tc>
          <w:tcPr>
            <w:tcW w:w="425" w:type="dxa"/>
            <w:shd w:val="solid" w:color="FFFFFF" w:fill="auto"/>
          </w:tcPr>
          <w:p w14:paraId="286D651E"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07CD05B2" w14:textId="77777777" w:rsidR="00D40151" w:rsidRPr="00873B6C" w:rsidRDefault="00D40151" w:rsidP="009D14FB">
            <w:pPr>
              <w:pStyle w:val="TAL"/>
              <w:rPr>
                <w:sz w:val="16"/>
                <w:szCs w:val="16"/>
              </w:rPr>
            </w:pPr>
            <w:r w:rsidRPr="00873B6C">
              <w:rPr>
                <w:sz w:val="16"/>
                <w:szCs w:val="16"/>
              </w:rPr>
              <w:t>SCP: Service-mesh-based deployment options</w:t>
            </w:r>
          </w:p>
        </w:tc>
        <w:tc>
          <w:tcPr>
            <w:tcW w:w="708" w:type="dxa"/>
            <w:shd w:val="solid" w:color="FFFFFF" w:fill="auto"/>
          </w:tcPr>
          <w:p w14:paraId="5F603050" w14:textId="77777777" w:rsidR="00D40151" w:rsidRPr="00873B6C" w:rsidRDefault="00D40151" w:rsidP="009D14FB">
            <w:pPr>
              <w:pStyle w:val="TAC"/>
              <w:rPr>
                <w:sz w:val="16"/>
                <w:szCs w:val="16"/>
              </w:rPr>
            </w:pPr>
            <w:r w:rsidRPr="00873B6C">
              <w:rPr>
                <w:sz w:val="16"/>
                <w:szCs w:val="16"/>
              </w:rPr>
              <w:t>16.1.0</w:t>
            </w:r>
          </w:p>
        </w:tc>
      </w:tr>
      <w:tr w:rsidR="00D40151" w:rsidRPr="00873B6C" w14:paraId="0A8B82C7" w14:textId="77777777" w:rsidTr="009D14FB">
        <w:tc>
          <w:tcPr>
            <w:tcW w:w="800" w:type="dxa"/>
            <w:shd w:val="solid" w:color="FFFFFF" w:fill="auto"/>
          </w:tcPr>
          <w:p w14:paraId="5D78295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5D6DF1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F38A807"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3B93035D" w14:textId="77777777" w:rsidR="00D40151" w:rsidRPr="00873B6C" w:rsidRDefault="00D40151" w:rsidP="009D14FB">
            <w:pPr>
              <w:pStyle w:val="TAL"/>
              <w:rPr>
                <w:sz w:val="16"/>
                <w:szCs w:val="16"/>
              </w:rPr>
            </w:pPr>
            <w:r w:rsidRPr="00873B6C">
              <w:rPr>
                <w:sz w:val="16"/>
                <w:szCs w:val="16"/>
              </w:rPr>
              <w:t>1274</w:t>
            </w:r>
          </w:p>
        </w:tc>
        <w:tc>
          <w:tcPr>
            <w:tcW w:w="425" w:type="dxa"/>
            <w:shd w:val="solid" w:color="FFFFFF" w:fill="auto"/>
          </w:tcPr>
          <w:p w14:paraId="11F4D32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854C31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6CC962D" w14:textId="77777777" w:rsidR="00D40151" w:rsidRPr="00873B6C" w:rsidRDefault="00D40151" w:rsidP="009D14FB">
            <w:pPr>
              <w:pStyle w:val="TAL"/>
              <w:rPr>
                <w:sz w:val="16"/>
                <w:szCs w:val="16"/>
              </w:rPr>
            </w:pPr>
            <w:r w:rsidRPr="00873B6C">
              <w:rPr>
                <w:sz w:val="16"/>
                <w:szCs w:val="16"/>
              </w:rPr>
              <w:t>Clarification on the UE operates in SR mode in case the NW does not support IWK</w:t>
            </w:r>
          </w:p>
        </w:tc>
        <w:tc>
          <w:tcPr>
            <w:tcW w:w="708" w:type="dxa"/>
            <w:shd w:val="solid" w:color="FFFFFF" w:fill="auto"/>
          </w:tcPr>
          <w:p w14:paraId="51AA3A4D" w14:textId="77777777" w:rsidR="00D40151" w:rsidRPr="00873B6C" w:rsidRDefault="00D40151" w:rsidP="009D14FB">
            <w:pPr>
              <w:pStyle w:val="TAC"/>
              <w:rPr>
                <w:sz w:val="16"/>
                <w:szCs w:val="16"/>
              </w:rPr>
            </w:pPr>
            <w:r w:rsidRPr="00873B6C">
              <w:rPr>
                <w:sz w:val="16"/>
                <w:szCs w:val="16"/>
              </w:rPr>
              <w:t>16.1.0</w:t>
            </w:r>
          </w:p>
        </w:tc>
      </w:tr>
      <w:tr w:rsidR="00D40151" w:rsidRPr="00873B6C" w14:paraId="1CEFD9B1" w14:textId="77777777" w:rsidTr="009D14FB">
        <w:tc>
          <w:tcPr>
            <w:tcW w:w="800" w:type="dxa"/>
            <w:shd w:val="solid" w:color="FFFFFF" w:fill="auto"/>
          </w:tcPr>
          <w:p w14:paraId="2524C7D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F142C4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3F33BBF"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547B858" w14:textId="77777777" w:rsidR="00D40151" w:rsidRPr="00873B6C" w:rsidRDefault="00D40151" w:rsidP="009D14FB">
            <w:pPr>
              <w:pStyle w:val="TAL"/>
              <w:rPr>
                <w:sz w:val="16"/>
                <w:szCs w:val="16"/>
              </w:rPr>
            </w:pPr>
            <w:r w:rsidRPr="00873B6C">
              <w:rPr>
                <w:sz w:val="16"/>
                <w:szCs w:val="16"/>
              </w:rPr>
              <w:t>1275</w:t>
            </w:r>
          </w:p>
        </w:tc>
        <w:tc>
          <w:tcPr>
            <w:tcW w:w="425" w:type="dxa"/>
            <w:shd w:val="solid" w:color="FFFFFF" w:fill="auto"/>
          </w:tcPr>
          <w:p w14:paraId="5B77FD6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540645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256C309" w14:textId="77777777" w:rsidR="00D40151" w:rsidRPr="00873B6C" w:rsidRDefault="00D40151" w:rsidP="009D14FB">
            <w:pPr>
              <w:pStyle w:val="TAL"/>
              <w:rPr>
                <w:sz w:val="16"/>
                <w:szCs w:val="16"/>
              </w:rPr>
            </w:pPr>
            <w:r w:rsidRPr="00873B6C">
              <w:rPr>
                <w:sz w:val="16"/>
                <w:szCs w:val="16"/>
              </w:rPr>
              <w:t>Removing unnecessary PDU release during inter-system handover</w:t>
            </w:r>
          </w:p>
        </w:tc>
        <w:tc>
          <w:tcPr>
            <w:tcW w:w="708" w:type="dxa"/>
            <w:shd w:val="solid" w:color="FFFFFF" w:fill="auto"/>
          </w:tcPr>
          <w:p w14:paraId="45851127" w14:textId="77777777" w:rsidR="00D40151" w:rsidRPr="00873B6C" w:rsidRDefault="00D40151" w:rsidP="009D14FB">
            <w:pPr>
              <w:pStyle w:val="TAC"/>
              <w:rPr>
                <w:sz w:val="16"/>
                <w:szCs w:val="16"/>
              </w:rPr>
            </w:pPr>
            <w:r w:rsidRPr="00873B6C">
              <w:rPr>
                <w:sz w:val="16"/>
                <w:szCs w:val="16"/>
              </w:rPr>
              <w:t>16.1.0</w:t>
            </w:r>
          </w:p>
        </w:tc>
      </w:tr>
      <w:tr w:rsidR="00D40151" w:rsidRPr="00873B6C" w14:paraId="5AADF5CE" w14:textId="77777777" w:rsidTr="009D14FB">
        <w:tc>
          <w:tcPr>
            <w:tcW w:w="800" w:type="dxa"/>
            <w:shd w:val="solid" w:color="FFFFFF" w:fill="auto"/>
          </w:tcPr>
          <w:p w14:paraId="387F0A9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CC5C13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991E83E"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D877234" w14:textId="77777777" w:rsidR="00D40151" w:rsidRPr="00873B6C" w:rsidRDefault="00D40151" w:rsidP="009D14FB">
            <w:pPr>
              <w:pStyle w:val="TAL"/>
              <w:rPr>
                <w:sz w:val="16"/>
                <w:szCs w:val="16"/>
              </w:rPr>
            </w:pPr>
            <w:r w:rsidRPr="00873B6C">
              <w:rPr>
                <w:sz w:val="16"/>
                <w:szCs w:val="16"/>
              </w:rPr>
              <w:t>1277</w:t>
            </w:r>
          </w:p>
        </w:tc>
        <w:tc>
          <w:tcPr>
            <w:tcW w:w="425" w:type="dxa"/>
            <w:shd w:val="solid" w:color="FFFFFF" w:fill="auto"/>
          </w:tcPr>
          <w:p w14:paraId="503533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4008E5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462713B" w14:textId="77777777" w:rsidR="00D40151" w:rsidRPr="00873B6C" w:rsidRDefault="00D40151" w:rsidP="009D14FB">
            <w:pPr>
              <w:pStyle w:val="TAL"/>
              <w:rPr>
                <w:sz w:val="16"/>
                <w:szCs w:val="16"/>
              </w:rPr>
            </w:pPr>
            <w:r w:rsidRPr="00873B6C">
              <w:rPr>
                <w:sz w:val="16"/>
                <w:szCs w:val="16"/>
              </w:rPr>
              <w:t xml:space="preserve">Definition of LPP </w:t>
            </w:r>
          </w:p>
        </w:tc>
        <w:tc>
          <w:tcPr>
            <w:tcW w:w="708" w:type="dxa"/>
            <w:shd w:val="solid" w:color="FFFFFF" w:fill="auto"/>
          </w:tcPr>
          <w:p w14:paraId="0F9ED069" w14:textId="77777777" w:rsidR="00D40151" w:rsidRPr="00873B6C" w:rsidRDefault="00D40151" w:rsidP="009D14FB">
            <w:pPr>
              <w:pStyle w:val="TAC"/>
              <w:rPr>
                <w:sz w:val="16"/>
                <w:szCs w:val="16"/>
              </w:rPr>
            </w:pPr>
            <w:r w:rsidRPr="00873B6C">
              <w:rPr>
                <w:sz w:val="16"/>
                <w:szCs w:val="16"/>
              </w:rPr>
              <w:t>16.1.0</w:t>
            </w:r>
          </w:p>
        </w:tc>
      </w:tr>
      <w:tr w:rsidR="00D40151" w:rsidRPr="00873B6C" w14:paraId="08C7FAFB" w14:textId="77777777" w:rsidTr="009D14FB">
        <w:tc>
          <w:tcPr>
            <w:tcW w:w="800" w:type="dxa"/>
            <w:shd w:val="solid" w:color="FFFFFF" w:fill="auto"/>
          </w:tcPr>
          <w:p w14:paraId="5EBBB96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2C3740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F476724"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14CC32A" w14:textId="77777777" w:rsidR="00D40151" w:rsidRPr="00873B6C" w:rsidRDefault="00D40151" w:rsidP="009D14FB">
            <w:pPr>
              <w:pStyle w:val="TAL"/>
              <w:rPr>
                <w:sz w:val="16"/>
                <w:szCs w:val="16"/>
              </w:rPr>
            </w:pPr>
            <w:r w:rsidRPr="00873B6C">
              <w:rPr>
                <w:sz w:val="16"/>
                <w:szCs w:val="16"/>
              </w:rPr>
              <w:t>1278</w:t>
            </w:r>
          </w:p>
        </w:tc>
        <w:tc>
          <w:tcPr>
            <w:tcW w:w="425" w:type="dxa"/>
            <w:shd w:val="solid" w:color="FFFFFF" w:fill="auto"/>
          </w:tcPr>
          <w:p w14:paraId="28E8227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C7EDA9D"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9959964" w14:textId="75E47EC7" w:rsidR="00D40151" w:rsidRPr="00873B6C" w:rsidRDefault="00D40151" w:rsidP="009D14FB">
            <w:pPr>
              <w:pStyle w:val="TAL"/>
              <w:rPr>
                <w:sz w:val="16"/>
                <w:szCs w:val="16"/>
              </w:rPr>
            </w:pPr>
            <w:r w:rsidRPr="00873B6C">
              <w:rPr>
                <w:sz w:val="16"/>
                <w:szCs w:val="16"/>
              </w:rPr>
              <w:t>UE's usage setting indicating UE capability of supporting voice over E-UTRA</w:t>
            </w:r>
            <w:r w:rsidR="00704A9E" w:rsidRPr="00873B6C">
              <w:rPr>
                <w:sz w:val="16"/>
                <w:szCs w:val="16"/>
              </w:rPr>
              <w:t xml:space="preserve"> </w:t>
            </w:r>
          </w:p>
        </w:tc>
        <w:tc>
          <w:tcPr>
            <w:tcW w:w="708" w:type="dxa"/>
            <w:shd w:val="solid" w:color="FFFFFF" w:fill="auto"/>
          </w:tcPr>
          <w:p w14:paraId="5B2A81F2" w14:textId="77777777" w:rsidR="00D40151" w:rsidRPr="00873B6C" w:rsidRDefault="00D40151" w:rsidP="009D14FB">
            <w:pPr>
              <w:pStyle w:val="TAC"/>
              <w:rPr>
                <w:sz w:val="16"/>
                <w:szCs w:val="16"/>
              </w:rPr>
            </w:pPr>
            <w:r w:rsidRPr="00873B6C">
              <w:rPr>
                <w:sz w:val="16"/>
                <w:szCs w:val="16"/>
              </w:rPr>
              <w:t>16.1.0</w:t>
            </w:r>
          </w:p>
        </w:tc>
      </w:tr>
      <w:tr w:rsidR="00D40151" w:rsidRPr="00873B6C" w14:paraId="2A86D981" w14:textId="77777777" w:rsidTr="009D14FB">
        <w:tc>
          <w:tcPr>
            <w:tcW w:w="800" w:type="dxa"/>
            <w:shd w:val="solid" w:color="FFFFFF" w:fill="auto"/>
          </w:tcPr>
          <w:p w14:paraId="7AF42F6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4CB291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0F3D9FB"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25FE3360" w14:textId="77777777" w:rsidR="00D40151" w:rsidRPr="00873B6C" w:rsidRDefault="00D40151" w:rsidP="009D14FB">
            <w:pPr>
              <w:pStyle w:val="TAL"/>
              <w:rPr>
                <w:sz w:val="16"/>
                <w:szCs w:val="16"/>
              </w:rPr>
            </w:pPr>
            <w:r w:rsidRPr="00873B6C">
              <w:rPr>
                <w:sz w:val="16"/>
                <w:szCs w:val="16"/>
              </w:rPr>
              <w:t>1279</w:t>
            </w:r>
          </w:p>
        </w:tc>
        <w:tc>
          <w:tcPr>
            <w:tcW w:w="425" w:type="dxa"/>
            <w:shd w:val="solid" w:color="FFFFFF" w:fill="auto"/>
          </w:tcPr>
          <w:p w14:paraId="24059E6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69AA110"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5219127" w14:textId="77777777" w:rsidR="00D40151" w:rsidRPr="00873B6C" w:rsidRDefault="00D40151" w:rsidP="009D14FB">
            <w:pPr>
              <w:pStyle w:val="TAL"/>
              <w:rPr>
                <w:sz w:val="16"/>
                <w:szCs w:val="16"/>
              </w:rPr>
            </w:pPr>
            <w:r w:rsidRPr="00873B6C">
              <w:rPr>
                <w:sz w:val="16"/>
                <w:szCs w:val="16"/>
              </w:rPr>
              <w:t>Clarification for interface identifier allocation in IPv6 Multi-homing</w:t>
            </w:r>
          </w:p>
        </w:tc>
        <w:tc>
          <w:tcPr>
            <w:tcW w:w="708" w:type="dxa"/>
            <w:shd w:val="solid" w:color="FFFFFF" w:fill="auto"/>
          </w:tcPr>
          <w:p w14:paraId="23CA7F6A" w14:textId="77777777" w:rsidR="00D40151" w:rsidRPr="00873B6C" w:rsidRDefault="00D40151" w:rsidP="009D14FB">
            <w:pPr>
              <w:pStyle w:val="TAC"/>
              <w:rPr>
                <w:sz w:val="16"/>
                <w:szCs w:val="16"/>
              </w:rPr>
            </w:pPr>
            <w:r w:rsidRPr="00873B6C">
              <w:rPr>
                <w:sz w:val="16"/>
                <w:szCs w:val="16"/>
              </w:rPr>
              <w:t>16.1.0</w:t>
            </w:r>
          </w:p>
        </w:tc>
      </w:tr>
      <w:tr w:rsidR="00D40151" w:rsidRPr="00873B6C" w14:paraId="0630EE0E" w14:textId="77777777" w:rsidTr="009D14FB">
        <w:tc>
          <w:tcPr>
            <w:tcW w:w="800" w:type="dxa"/>
            <w:shd w:val="solid" w:color="FFFFFF" w:fill="auto"/>
          </w:tcPr>
          <w:p w14:paraId="1252F51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3915B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A67B086"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06EBD695" w14:textId="77777777" w:rsidR="00D40151" w:rsidRPr="00873B6C" w:rsidRDefault="00D40151" w:rsidP="009D14FB">
            <w:pPr>
              <w:pStyle w:val="TAL"/>
              <w:rPr>
                <w:sz w:val="16"/>
                <w:szCs w:val="16"/>
              </w:rPr>
            </w:pPr>
            <w:r w:rsidRPr="00873B6C">
              <w:rPr>
                <w:sz w:val="16"/>
                <w:szCs w:val="16"/>
              </w:rPr>
              <w:t>1283</w:t>
            </w:r>
          </w:p>
        </w:tc>
        <w:tc>
          <w:tcPr>
            <w:tcW w:w="425" w:type="dxa"/>
            <w:shd w:val="solid" w:color="FFFFFF" w:fill="auto"/>
          </w:tcPr>
          <w:p w14:paraId="2093B3B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D619B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4A646B5" w14:textId="77777777" w:rsidR="00D40151" w:rsidRPr="00873B6C" w:rsidRDefault="00D40151" w:rsidP="009D14FB">
            <w:pPr>
              <w:pStyle w:val="TAL"/>
              <w:rPr>
                <w:sz w:val="16"/>
                <w:szCs w:val="16"/>
              </w:rPr>
            </w:pPr>
            <w:r w:rsidRPr="00873B6C">
              <w:rPr>
                <w:sz w:val="16"/>
                <w:szCs w:val="16"/>
              </w:rPr>
              <w:t>Interaction between MICO mode with active time and eDRX</w:t>
            </w:r>
          </w:p>
        </w:tc>
        <w:tc>
          <w:tcPr>
            <w:tcW w:w="708" w:type="dxa"/>
            <w:shd w:val="solid" w:color="FFFFFF" w:fill="auto"/>
          </w:tcPr>
          <w:p w14:paraId="79F34F2A" w14:textId="77777777" w:rsidR="00D40151" w:rsidRPr="00873B6C" w:rsidRDefault="00D40151" w:rsidP="009D14FB">
            <w:pPr>
              <w:pStyle w:val="TAC"/>
              <w:rPr>
                <w:sz w:val="16"/>
                <w:szCs w:val="16"/>
              </w:rPr>
            </w:pPr>
            <w:r w:rsidRPr="00873B6C">
              <w:rPr>
                <w:sz w:val="16"/>
                <w:szCs w:val="16"/>
              </w:rPr>
              <w:t>16.1.0</w:t>
            </w:r>
          </w:p>
        </w:tc>
      </w:tr>
      <w:tr w:rsidR="00D40151" w:rsidRPr="00873B6C" w14:paraId="2BAAB82E" w14:textId="77777777" w:rsidTr="009D14FB">
        <w:tc>
          <w:tcPr>
            <w:tcW w:w="800" w:type="dxa"/>
            <w:shd w:val="solid" w:color="FFFFFF" w:fill="auto"/>
          </w:tcPr>
          <w:p w14:paraId="1E2942D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FF6DF7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CE7C780"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52DD4939" w14:textId="77777777" w:rsidR="00D40151" w:rsidRPr="00873B6C" w:rsidRDefault="00D40151" w:rsidP="009D14FB">
            <w:pPr>
              <w:pStyle w:val="TAL"/>
              <w:rPr>
                <w:sz w:val="16"/>
                <w:szCs w:val="16"/>
              </w:rPr>
            </w:pPr>
            <w:r w:rsidRPr="00873B6C">
              <w:rPr>
                <w:sz w:val="16"/>
                <w:szCs w:val="16"/>
              </w:rPr>
              <w:t>1287</w:t>
            </w:r>
          </w:p>
        </w:tc>
        <w:tc>
          <w:tcPr>
            <w:tcW w:w="425" w:type="dxa"/>
            <w:shd w:val="solid" w:color="FFFFFF" w:fill="auto"/>
          </w:tcPr>
          <w:p w14:paraId="0E4EF3B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5E95FF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1288ED" w14:textId="77777777" w:rsidR="00D40151" w:rsidRPr="00873B6C" w:rsidRDefault="00D40151" w:rsidP="009D14FB">
            <w:pPr>
              <w:pStyle w:val="TAL"/>
              <w:rPr>
                <w:sz w:val="16"/>
                <w:szCs w:val="16"/>
              </w:rPr>
            </w:pPr>
            <w:r w:rsidRPr="00873B6C">
              <w:rPr>
                <w:sz w:val="16"/>
                <w:szCs w:val="16"/>
              </w:rPr>
              <w:t>Update reference to TS 24.250</w:t>
            </w:r>
          </w:p>
        </w:tc>
        <w:tc>
          <w:tcPr>
            <w:tcW w:w="708" w:type="dxa"/>
            <w:shd w:val="solid" w:color="FFFFFF" w:fill="auto"/>
          </w:tcPr>
          <w:p w14:paraId="131BC6EA" w14:textId="77777777" w:rsidR="00D40151" w:rsidRPr="00873B6C" w:rsidRDefault="00D40151" w:rsidP="009D14FB">
            <w:pPr>
              <w:pStyle w:val="TAC"/>
              <w:rPr>
                <w:sz w:val="16"/>
                <w:szCs w:val="16"/>
              </w:rPr>
            </w:pPr>
            <w:r w:rsidRPr="00873B6C">
              <w:rPr>
                <w:sz w:val="16"/>
                <w:szCs w:val="16"/>
              </w:rPr>
              <w:t>16.1.0</w:t>
            </w:r>
          </w:p>
        </w:tc>
      </w:tr>
      <w:tr w:rsidR="00D40151" w:rsidRPr="00873B6C" w14:paraId="07337AA8" w14:textId="77777777" w:rsidTr="009D14FB">
        <w:tc>
          <w:tcPr>
            <w:tcW w:w="800" w:type="dxa"/>
            <w:shd w:val="solid" w:color="FFFFFF" w:fill="auto"/>
          </w:tcPr>
          <w:p w14:paraId="4F6886E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80BAB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2CF676E" w14:textId="77777777" w:rsidR="00D40151" w:rsidRPr="00873B6C" w:rsidRDefault="00D40151" w:rsidP="009D14FB">
            <w:pPr>
              <w:pStyle w:val="TAC"/>
              <w:rPr>
                <w:sz w:val="16"/>
                <w:szCs w:val="16"/>
              </w:rPr>
            </w:pPr>
            <w:r w:rsidRPr="00873B6C">
              <w:rPr>
                <w:sz w:val="16"/>
                <w:szCs w:val="16"/>
              </w:rPr>
              <w:t>SP-190426</w:t>
            </w:r>
          </w:p>
        </w:tc>
        <w:tc>
          <w:tcPr>
            <w:tcW w:w="567" w:type="dxa"/>
            <w:shd w:val="solid" w:color="FFFFFF" w:fill="auto"/>
          </w:tcPr>
          <w:p w14:paraId="19BFD9FB" w14:textId="77777777" w:rsidR="00D40151" w:rsidRPr="00873B6C" w:rsidRDefault="00D40151" w:rsidP="009D14FB">
            <w:pPr>
              <w:pStyle w:val="TAL"/>
              <w:rPr>
                <w:sz w:val="16"/>
                <w:szCs w:val="16"/>
              </w:rPr>
            </w:pPr>
            <w:r w:rsidRPr="00873B6C">
              <w:rPr>
                <w:sz w:val="16"/>
                <w:szCs w:val="16"/>
              </w:rPr>
              <w:t>1291</w:t>
            </w:r>
          </w:p>
        </w:tc>
        <w:tc>
          <w:tcPr>
            <w:tcW w:w="425" w:type="dxa"/>
            <w:shd w:val="solid" w:color="FFFFFF" w:fill="auto"/>
          </w:tcPr>
          <w:p w14:paraId="701A1EC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51B21F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CF2D5C6" w14:textId="77777777" w:rsidR="00D40151" w:rsidRPr="00873B6C" w:rsidRDefault="00D40151" w:rsidP="009D14FB">
            <w:pPr>
              <w:pStyle w:val="TAL"/>
              <w:rPr>
                <w:sz w:val="16"/>
                <w:szCs w:val="16"/>
              </w:rPr>
            </w:pPr>
            <w:r w:rsidRPr="00873B6C">
              <w:rPr>
                <w:sz w:val="16"/>
                <w:szCs w:val="16"/>
              </w:rPr>
              <w:t>Introduction of UDICOM</w:t>
            </w:r>
          </w:p>
        </w:tc>
        <w:tc>
          <w:tcPr>
            <w:tcW w:w="708" w:type="dxa"/>
            <w:shd w:val="solid" w:color="FFFFFF" w:fill="auto"/>
          </w:tcPr>
          <w:p w14:paraId="3AFFECFD" w14:textId="77777777" w:rsidR="00D40151" w:rsidRPr="00873B6C" w:rsidRDefault="00D40151" w:rsidP="009D14FB">
            <w:pPr>
              <w:pStyle w:val="TAC"/>
              <w:rPr>
                <w:sz w:val="16"/>
                <w:szCs w:val="16"/>
              </w:rPr>
            </w:pPr>
            <w:r w:rsidRPr="00873B6C">
              <w:rPr>
                <w:sz w:val="16"/>
                <w:szCs w:val="16"/>
              </w:rPr>
              <w:t>16.1.0</w:t>
            </w:r>
          </w:p>
        </w:tc>
      </w:tr>
      <w:tr w:rsidR="00D40151" w:rsidRPr="00873B6C" w14:paraId="4CFB6519" w14:textId="77777777" w:rsidTr="009D14FB">
        <w:tc>
          <w:tcPr>
            <w:tcW w:w="800" w:type="dxa"/>
            <w:shd w:val="solid" w:color="FFFFFF" w:fill="auto"/>
          </w:tcPr>
          <w:p w14:paraId="5CF5433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8207A0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0F76C90" w14:textId="77777777" w:rsidR="00D40151" w:rsidRPr="00873B6C" w:rsidRDefault="00D40151" w:rsidP="009D14FB">
            <w:pPr>
              <w:pStyle w:val="TAC"/>
              <w:rPr>
                <w:sz w:val="16"/>
                <w:szCs w:val="16"/>
              </w:rPr>
            </w:pPr>
            <w:r w:rsidRPr="00873B6C">
              <w:rPr>
                <w:sz w:val="16"/>
                <w:szCs w:val="16"/>
              </w:rPr>
              <w:t>SP-190417</w:t>
            </w:r>
          </w:p>
        </w:tc>
        <w:tc>
          <w:tcPr>
            <w:tcW w:w="567" w:type="dxa"/>
            <w:shd w:val="solid" w:color="FFFFFF" w:fill="auto"/>
          </w:tcPr>
          <w:p w14:paraId="4F0CA55B" w14:textId="77777777" w:rsidR="00D40151" w:rsidRPr="00873B6C" w:rsidRDefault="00D40151" w:rsidP="009D14FB">
            <w:pPr>
              <w:pStyle w:val="TAL"/>
              <w:rPr>
                <w:sz w:val="16"/>
                <w:szCs w:val="16"/>
              </w:rPr>
            </w:pPr>
            <w:r w:rsidRPr="00873B6C">
              <w:rPr>
                <w:sz w:val="16"/>
                <w:szCs w:val="16"/>
              </w:rPr>
              <w:t>1296</w:t>
            </w:r>
          </w:p>
        </w:tc>
        <w:tc>
          <w:tcPr>
            <w:tcW w:w="425" w:type="dxa"/>
            <w:shd w:val="solid" w:color="FFFFFF" w:fill="auto"/>
          </w:tcPr>
          <w:p w14:paraId="3330741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4E3777E"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56BF964" w14:textId="77777777" w:rsidR="00D40151" w:rsidRPr="00873B6C" w:rsidRDefault="00D40151" w:rsidP="009D14FB">
            <w:pPr>
              <w:pStyle w:val="TAL"/>
              <w:rPr>
                <w:sz w:val="16"/>
                <w:szCs w:val="16"/>
              </w:rPr>
            </w:pPr>
            <w:r w:rsidRPr="00873B6C">
              <w:rPr>
                <w:sz w:val="16"/>
                <w:szCs w:val="16"/>
              </w:rPr>
              <w:t>Adding Support for Indicating Serialization Format in RDS</w:t>
            </w:r>
          </w:p>
        </w:tc>
        <w:tc>
          <w:tcPr>
            <w:tcW w:w="708" w:type="dxa"/>
            <w:shd w:val="solid" w:color="FFFFFF" w:fill="auto"/>
          </w:tcPr>
          <w:p w14:paraId="1A4B11ED" w14:textId="77777777" w:rsidR="00D40151" w:rsidRPr="00873B6C" w:rsidRDefault="00D40151" w:rsidP="009D14FB">
            <w:pPr>
              <w:pStyle w:val="TAC"/>
              <w:rPr>
                <w:sz w:val="16"/>
                <w:szCs w:val="16"/>
              </w:rPr>
            </w:pPr>
            <w:r w:rsidRPr="00873B6C">
              <w:rPr>
                <w:sz w:val="16"/>
                <w:szCs w:val="16"/>
              </w:rPr>
              <w:t>16.1.0</w:t>
            </w:r>
          </w:p>
        </w:tc>
      </w:tr>
      <w:tr w:rsidR="00D40151" w:rsidRPr="00873B6C" w14:paraId="02759FFD" w14:textId="77777777" w:rsidTr="009D14FB">
        <w:tc>
          <w:tcPr>
            <w:tcW w:w="800" w:type="dxa"/>
            <w:shd w:val="solid" w:color="FFFFFF" w:fill="auto"/>
          </w:tcPr>
          <w:p w14:paraId="63624C2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D10F08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DE83BE5"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714E734A" w14:textId="77777777" w:rsidR="00D40151" w:rsidRPr="00873B6C" w:rsidRDefault="00D40151" w:rsidP="009D14FB">
            <w:pPr>
              <w:pStyle w:val="TAL"/>
              <w:rPr>
                <w:sz w:val="16"/>
                <w:szCs w:val="16"/>
              </w:rPr>
            </w:pPr>
            <w:r w:rsidRPr="00873B6C">
              <w:rPr>
                <w:sz w:val="16"/>
                <w:szCs w:val="16"/>
              </w:rPr>
              <w:t>1297</w:t>
            </w:r>
          </w:p>
        </w:tc>
        <w:tc>
          <w:tcPr>
            <w:tcW w:w="425" w:type="dxa"/>
            <w:shd w:val="solid" w:color="FFFFFF" w:fill="auto"/>
          </w:tcPr>
          <w:p w14:paraId="69A9D97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4078B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8964CD" w14:textId="77777777" w:rsidR="00D40151" w:rsidRPr="00873B6C" w:rsidRDefault="00D40151" w:rsidP="009D14FB">
            <w:pPr>
              <w:pStyle w:val="TAL"/>
              <w:rPr>
                <w:sz w:val="16"/>
                <w:szCs w:val="16"/>
              </w:rPr>
            </w:pPr>
            <w:r w:rsidRPr="00873B6C">
              <w:rPr>
                <w:sz w:val="16"/>
                <w:szCs w:val="16"/>
              </w:rPr>
              <w:t>CAG and Network Slice Selection</w:t>
            </w:r>
          </w:p>
        </w:tc>
        <w:tc>
          <w:tcPr>
            <w:tcW w:w="708" w:type="dxa"/>
            <w:shd w:val="solid" w:color="FFFFFF" w:fill="auto"/>
          </w:tcPr>
          <w:p w14:paraId="51ECBF59" w14:textId="77777777" w:rsidR="00D40151" w:rsidRPr="00873B6C" w:rsidRDefault="00D40151" w:rsidP="009D14FB">
            <w:pPr>
              <w:pStyle w:val="TAC"/>
              <w:rPr>
                <w:sz w:val="16"/>
                <w:szCs w:val="16"/>
              </w:rPr>
            </w:pPr>
            <w:r w:rsidRPr="00873B6C">
              <w:rPr>
                <w:sz w:val="16"/>
                <w:szCs w:val="16"/>
              </w:rPr>
              <w:t>16.1.0</w:t>
            </w:r>
          </w:p>
        </w:tc>
      </w:tr>
      <w:tr w:rsidR="00D40151" w:rsidRPr="00873B6C" w14:paraId="3CE2663B" w14:textId="77777777" w:rsidTr="009D14FB">
        <w:tc>
          <w:tcPr>
            <w:tcW w:w="800" w:type="dxa"/>
            <w:shd w:val="solid" w:color="FFFFFF" w:fill="auto"/>
          </w:tcPr>
          <w:p w14:paraId="75875A8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4A951B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EB12536"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7CED5DE2" w14:textId="77777777" w:rsidR="00D40151" w:rsidRPr="00873B6C" w:rsidRDefault="00D40151" w:rsidP="009D14FB">
            <w:pPr>
              <w:pStyle w:val="TAL"/>
              <w:rPr>
                <w:sz w:val="16"/>
                <w:szCs w:val="16"/>
              </w:rPr>
            </w:pPr>
            <w:r w:rsidRPr="00873B6C">
              <w:rPr>
                <w:sz w:val="16"/>
                <w:szCs w:val="16"/>
              </w:rPr>
              <w:t>1298</w:t>
            </w:r>
          </w:p>
        </w:tc>
        <w:tc>
          <w:tcPr>
            <w:tcW w:w="425" w:type="dxa"/>
            <w:shd w:val="solid" w:color="FFFFFF" w:fill="auto"/>
          </w:tcPr>
          <w:p w14:paraId="39379C1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56B00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FE5364" w14:textId="77777777" w:rsidR="00D40151" w:rsidRPr="00873B6C" w:rsidRDefault="00D40151" w:rsidP="009D14FB">
            <w:pPr>
              <w:pStyle w:val="TAL"/>
              <w:rPr>
                <w:sz w:val="16"/>
                <w:szCs w:val="16"/>
              </w:rPr>
            </w:pPr>
            <w:r w:rsidRPr="00873B6C">
              <w:rPr>
                <w:sz w:val="16"/>
                <w:szCs w:val="16"/>
              </w:rPr>
              <w:t>Unified Access Control with NPN</w:t>
            </w:r>
          </w:p>
        </w:tc>
        <w:tc>
          <w:tcPr>
            <w:tcW w:w="708" w:type="dxa"/>
            <w:shd w:val="solid" w:color="FFFFFF" w:fill="auto"/>
          </w:tcPr>
          <w:p w14:paraId="7BD1DB99" w14:textId="77777777" w:rsidR="00D40151" w:rsidRPr="00873B6C" w:rsidRDefault="00D40151" w:rsidP="009D14FB">
            <w:pPr>
              <w:pStyle w:val="TAC"/>
              <w:rPr>
                <w:sz w:val="16"/>
                <w:szCs w:val="16"/>
              </w:rPr>
            </w:pPr>
            <w:r w:rsidRPr="00873B6C">
              <w:rPr>
                <w:sz w:val="16"/>
                <w:szCs w:val="16"/>
              </w:rPr>
              <w:t>16.1.0</w:t>
            </w:r>
          </w:p>
        </w:tc>
      </w:tr>
      <w:tr w:rsidR="00D40151" w:rsidRPr="00873B6C" w14:paraId="1E7CDB31" w14:textId="77777777" w:rsidTr="009D14FB">
        <w:tc>
          <w:tcPr>
            <w:tcW w:w="800" w:type="dxa"/>
            <w:shd w:val="solid" w:color="FFFFFF" w:fill="auto"/>
          </w:tcPr>
          <w:p w14:paraId="5478C3C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7FB2A5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9943A46"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68C7423" w14:textId="77777777" w:rsidR="00D40151" w:rsidRPr="00873B6C" w:rsidRDefault="00D40151" w:rsidP="009D14FB">
            <w:pPr>
              <w:pStyle w:val="TAL"/>
              <w:rPr>
                <w:sz w:val="16"/>
                <w:szCs w:val="16"/>
              </w:rPr>
            </w:pPr>
            <w:r w:rsidRPr="00873B6C">
              <w:rPr>
                <w:sz w:val="16"/>
                <w:szCs w:val="16"/>
              </w:rPr>
              <w:t>1301</w:t>
            </w:r>
          </w:p>
        </w:tc>
        <w:tc>
          <w:tcPr>
            <w:tcW w:w="425" w:type="dxa"/>
            <w:shd w:val="solid" w:color="FFFFFF" w:fill="auto"/>
          </w:tcPr>
          <w:p w14:paraId="55501AF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D281F31"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07419F5A" w14:textId="77777777" w:rsidR="00D40151" w:rsidRPr="00873B6C" w:rsidRDefault="00D40151" w:rsidP="009D14FB">
            <w:pPr>
              <w:pStyle w:val="TAL"/>
              <w:rPr>
                <w:sz w:val="16"/>
                <w:szCs w:val="16"/>
              </w:rPr>
            </w:pPr>
            <w:r w:rsidRPr="00873B6C">
              <w:rPr>
                <w:sz w:val="16"/>
                <w:szCs w:val="16"/>
              </w:rPr>
              <w:t>Configuring Transport Level Marking values</w:t>
            </w:r>
          </w:p>
        </w:tc>
        <w:tc>
          <w:tcPr>
            <w:tcW w:w="708" w:type="dxa"/>
            <w:shd w:val="solid" w:color="FFFFFF" w:fill="auto"/>
          </w:tcPr>
          <w:p w14:paraId="7B8AFF9B" w14:textId="77777777" w:rsidR="00D40151" w:rsidRPr="00873B6C" w:rsidRDefault="00D40151" w:rsidP="009D14FB">
            <w:pPr>
              <w:pStyle w:val="TAC"/>
              <w:rPr>
                <w:sz w:val="16"/>
                <w:szCs w:val="16"/>
              </w:rPr>
            </w:pPr>
            <w:r w:rsidRPr="00873B6C">
              <w:rPr>
                <w:sz w:val="16"/>
                <w:szCs w:val="16"/>
              </w:rPr>
              <w:t>16.1.0</w:t>
            </w:r>
          </w:p>
        </w:tc>
      </w:tr>
      <w:tr w:rsidR="00D40151" w:rsidRPr="00873B6C" w14:paraId="7745C5CE" w14:textId="77777777" w:rsidTr="009D14FB">
        <w:tc>
          <w:tcPr>
            <w:tcW w:w="800" w:type="dxa"/>
            <w:shd w:val="solid" w:color="FFFFFF" w:fill="auto"/>
          </w:tcPr>
          <w:p w14:paraId="36F1A04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E9E5D1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C6730DF"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2DCAC749" w14:textId="77777777" w:rsidR="00D40151" w:rsidRPr="00873B6C" w:rsidRDefault="00D40151" w:rsidP="009D14FB">
            <w:pPr>
              <w:pStyle w:val="TAL"/>
              <w:rPr>
                <w:sz w:val="16"/>
                <w:szCs w:val="16"/>
              </w:rPr>
            </w:pPr>
            <w:r w:rsidRPr="00873B6C">
              <w:rPr>
                <w:sz w:val="16"/>
                <w:szCs w:val="16"/>
              </w:rPr>
              <w:t>1303</w:t>
            </w:r>
          </w:p>
        </w:tc>
        <w:tc>
          <w:tcPr>
            <w:tcW w:w="425" w:type="dxa"/>
            <w:shd w:val="solid" w:color="FFFFFF" w:fill="auto"/>
          </w:tcPr>
          <w:p w14:paraId="574C010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9D13F2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7025BE" w14:textId="77777777" w:rsidR="00D40151" w:rsidRPr="00873B6C" w:rsidRDefault="00D40151" w:rsidP="009D14FB">
            <w:pPr>
              <w:pStyle w:val="TAL"/>
              <w:rPr>
                <w:sz w:val="16"/>
                <w:szCs w:val="16"/>
              </w:rPr>
            </w:pPr>
            <w:r w:rsidRPr="00873B6C">
              <w:rPr>
                <w:sz w:val="16"/>
                <w:szCs w:val="16"/>
              </w:rPr>
              <w:t>Alignment of Network Slice selection logic</w:t>
            </w:r>
          </w:p>
        </w:tc>
        <w:tc>
          <w:tcPr>
            <w:tcW w:w="708" w:type="dxa"/>
            <w:shd w:val="solid" w:color="FFFFFF" w:fill="auto"/>
          </w:tcPr>
          <w:p w14:paraId="68649F72" w14:textId="77777777" w:rsidR="00D40151" w:rsidRPr="00873B6C" w:rsidRDefault="00D40151" w:rsidP="009D14FB">
            <w:pPr>
              <w:pStyle w:val="TAC"/>
              <w:rPr>
                <w:sz w:val="16"/>
                <w:szCs w:val="16"/>
              </w:rPr>
            </w:pPr>
            <w:r w:rsidRPr="00873B6C">
              <w:rPr>
                <w:sz w:val="16"/>
                <w:szCs w:val="16"/>
              </w:rPr>
              <w:t>16.1.0</w:t>
            </w:r>
          </w:p>
        </w:tc>
      </w:tr>
      <w:tr w:rsidR="00D40151" w:rsidRPr="00873B6C" w14:paraId="004FF2F1" w14:textId="77777777" w:rsidTr="009D14FB">
        <w:tc>
          <w:tcPr>
            <w:tcW w:w="800" w:type="dxa"/>
            <w:shd w:val="solid" w:color="FFFFFF" w:fill="auto"/>
          </w:tcPr>
          <w:p w14:paraId="4AC2778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170747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23023A9"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3BD4F9F7" w14:textId="77777777" w:rsidR="00D40151" w:rsidRPr="00873B6C" w:rsidRDefault="00D40151" w:rsidP="009D14FB">
            <w:pPr>
              <w:pStyle w:val="TAL"/>
              <w:rPr>
                <w:sz w:val="16"/>
                <w:szCs w:val="16"/>
              </w:rPr>
            </w:pPr>
            <w:r w:rsidRPr="00873B6C">
              <w:rPr>
                <w:sz w:val="16"/>
                <w:szCs w:val="16"/>
              </w:rPr>
              <w:t>1305</w:t>
            </w:r>
          </w:p>
        </w:tc>
        <w:tc>
          <w:tcPr>
            <w:tcW w:w="425" w:type="dxa"/>
            <w:shd w:val="solid" w:color="FFFFFF" w:fill="auto"/>
          </w:tcPr>
          <w:p w14:paraId="74863E0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06E02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D1D576" w14:textId="77777777" w:rsidR="00D40151" w:rsidRPr="00873B6C" w:rsidRDefault="00D40151" w:rsidP="009D14FB">
            <w:pPr>
              <w:pStyle w:val="TAL"/>
              <w:rPr>
                <w:sz w:val="16"/>
                <w:szCs w:val="16"/>
              </w:rPr>
            </w:pPr>
            <w:r w:rsidRPr="00873B6C">
              <w:rPr>
                <w:sz w:val="16"/>
                <w:szCs w:val="16"/>
              </w:rPr>
              <w:t>Enforcement of UP integrity protection</w:t>
            </w:r>
          </w:p>
        </w:tc>
        <w:tc>
          <w:tcPr>
            <w:tcW w:w="708" w:type="dxa"/>
            <w:shd w:val="solid" w:color="FFFFFF" w:fill="auto"/>
          </w:tcPr>
          <w:p w14:paraId="6BF710E4" w14:textId="77777777" w:rsidR="00D40151" w:rsidRPr="00873B6C" w:rsidRDefault="00D40151" w:rsidP="009D14FB">
            <w:pPr>
              <w:pStyle w:val="TAC"/>
              <w:rPr>
                <w:sz w:val="16"/>
                <w:szCs w:val="16"/>
              </w:rPr>
            </w:pPr>
            <w:r w:rsidRPr="00873B6C">
              <w:rPr>
                <w:sz w:val="16"/>
                <w:szCs w:val="16"/>
              </w:rPr>
              <w:t>16.1.0</w:t>
            </w:r>
          </w:p>
        </w:tc>
      </w:tr>
      <w:tr w:rsidR="00D40151" w:rsidRPr="00873B6C" w14:paraId="16F2BDC7" w14:textId="77777777" w:rsidTr="009D14FB">
        <w:tc>
          <w:tcPr>
            <w:tcW w:w="800" w:type="dxa"/>
            <w:shd w:val="solid" w:color="FFFFFF" w:fill="auto"/>
          </w:tcPr>
          <w:p w14:paraId="1627C1A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E3BC1D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588051E"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6E391BC8" w14:textId="77777777" w:rsidR="00D40151" w:rsidRPr="00873B6C" w:rsidRDefault="00D40151" w:rsidP="009D14FB">
            <w:pPr>
              <w:pStyle w:val="TAL"/>
              <w:rPr>
                <w:sz w:val="16"/>
                <w:szCs w:val="16"/>
              </w:rPr>
            </w:pPr>
            <w:r w:rsidRPr="00873B6C">
              <w:rPr>
                <w:sz w:val="16"/>
                <w:szCs w:val="16"/>
              </w:rPr>
              <w:t>1306</w:t>
            </w:r>
          </w:p>
        </w:tc>
        <w:tc>
          <w:tcPr>
            <w:tcW w:w="425" w:type="dxa"/>
            <w:shd w:val="solid" w:color="FFFFFF" w:fill="auto"/>
          </w:tcPr>
          <w:p w14:paraId="1FEBA97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ED0092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FCD4DE" w14:textId="77777777" w:rsidR="00D40151" w:rsidRPr="00873B6C" w:rsidRDefault="00D40151" w:rsidP="009D14FB">
            <w:pPr>
              <w:pStyle w:val="TAL"/>
              <w:rPr>
                <w:sz w:val="16"/>
                <w:szCs w:val="16"/>
              </w:rPr>
            </w:pPr>
            <w:r w:rsidRPr="00873B6C">
              <w:rPr>
                <w:sz w:val="16"/>
                <w:szCs w:val="16"/>
              </w:rPr>
              <w:t>Ethernet support clarification</w:t>
            </w:r>
          </w:p>
        </w:tc>
        <w:tc>
          <w:tcPr>
            <w:tcW w:w="708" w:type="dxa"/>
            <w:shd w:val="solid" w:color="FFFFFF" w:fill="auto"/>
          </w:tcPr>
          <w:p w14:paraId="677F3A76" w14:textId="77777777" w:rsidR="00D40151" w:rsidRPr="00873B6C" w:rsidRDefault="00D40151" w:rsidP="009D14FB">
            <w:pPr>
              <w:pStyle w:val="TAC"/>
              <w:rPr>
                <w:sz w:val="16"/>
                <w:szCs w:val="16"/>
              </w:rPr>
            </w:pPr>
            <w:r w:rsidRPr="00873B6C">
              <w:rPr>
                <w:sz w:val="16"/>
                <w:szCs w:val="16"/>
              </w:rPr>
              <w:t>16.1.0</w:t>
            </w:r>
          </w:p>
        </w:tc>
      </w:tr>
      <w:tr w:rsidR="00D40151" w:rsidRPr="00873B6C" w14:paraId="71DCE5B3" w14:textId="77777777" w:rsidTr="009D14FB">
        <w:tc>
          <w:tcPr>
            <w:tcW w:w="800" w:type="dxa"/>
            <w:shd w:val="solid" w:color="FFFFFF" w:fill="auto"/>
          </w:tcPr>
          <w:p w14:paraId="796726E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54C3AD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879481B"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3FD00807" w14:textId="77777777" w:rsidR="00D40151" w:rsidRPr="00873B6C" w:rsidRDefault="00D40151" w:rsidP="009D14FB">
            <w:pPr>
              <w:pStyle w:val="TAL"/>
              <w:rPr>
                <w:sz w:val="16"/>
                <w:szCs w:val="16"/>
              </w:rPr>
            </w:pPr>
            <w:r w:rsidRPr="00873B6C">
              <w:rPr>
                <w:sz w:val="16"/>
                <w:szCs w:val="16"/>
              </w:rPr>
              <w:t>1307</w:t>
            </w:r>
          </w:p>
        </w:tc>
        <w:tc>
          <w:tcPr>
            <w:tcW w:w="425" w:type="dxa"/>
            <w:shd w:val="solid" w:color="FFFFFF" w:fill="auto"/>
          </w:tcPr>
          <w:p w14:paraId="2AD0D4A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87BCC6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5DB0A3" w14:textId="77777777" w:rsidR="00D40151" w:rsidRPr="00873B6C" w:rsidRDefault="00D40151" w:rsidP="009D14FB">
            <w:pPr>
              <w:pStyle w:val="TAL"/>
              <w:rPr>
                <w:sz w:val="16"/>
                <w:szCs w:val="16"/>
              </w:rPr>
            </w:pPr>
            <w:r w:rsidRPr="00873B6C">
              <w:rPr>
                <w:sz w:val="16"/>
                <w:szCs w:val="16"/>
              </w:rPr>
              <w:t>Generalized text for redundant user planes in RAN</w:t>
            </w:r>
          </w:p>
        </w:tc>
        <w:tc>
          <w:tcPr>
            <w:tcW w:w="708" w:type="dxa"/>
            <w:shd w:val="solid" w:color="FFFFFF" w:fill="auto"/>
          </w:tcPr>
          <w:p w14:paraId="154E248D" w14:textId="77777777" w:rsidR="00D40151" w:rsidRPr="00873B6C" w:rsidRDefault="00D40151" w:rsidP="009D14FB">
            <w:pPr>
              <w:pStyle w:val="TAC"/>
              <w:rPr>
                <w:sz w:val="16"/>
                <w:szCs w:val="16"/>
              </w:rPr>
            </w:pPr>
            <w:r w:rsidRPr="00873B6C">
              <w:rPr>
                <w:sz w:val="16"/>
                <w:szCs w:val="16"/>
              </w:rPr>
              <w:t>16.1.0</w:t>
            </w:r>
          </w:p>
        </w:tc>
      </w:tr>
      <w:tr w:rsidR="00D40151" w:rsidRPr="00873B6C" w14:paraId="0C4F9F58" w14:textId="77777777" w:rsidTr="009D14FB">
        <w:tc>
          <w:tcPr>
            <w:tcW w:w="800" w:type="dxa"/>
            <w:shd w:val="solid" w:color="FFFFFF" w:fill="auto"/>
          </w:tcPr>
          <w:p w14:paraId="4264F1D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59FDCF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0EBD6BA"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02997ADC" w14:textId="77777777" w:rsidR="00D40151" w:rsidRPr="00873B6C" w:rsidRDefault="00D40151" w:rsidP="009D14FB">
            <w:pPr>
              <w:pStyle w:val="TAL"/>
              <w:rPr>
                <w:sz w:val="16"/>
                <w:szCs w:val="16"/>
              </w:rPr>
            </w:pPr>
            <w:r w:rsidRPr="00873B6C">
              <w:rPr>
                <w:sz w:val="16"/>
                <w:szCs w:val="16"/>
              </w:rPr>
              <w:t>1308</w:t>
            </w:r>
          </w:p>
        </w:tc>
        <w:tc>
          <w:tcPr>
            <w:tcW w:w="425" w:type="dxa"/>
            <w:shd w:val="solid" w:color="FFFFFF" w:fill="auto"/>
          </w:tcPr>
          <w:p w14:paraId="550B02D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279DA4A"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37B818FB" w14:textId="77777777" w:rsidR="00D40151" w:rsidRPr="00873B6C" w:rsidRDefault="00D40151" w:rsidP="009D14FB">
            <w:pPr>
              <w:pStyle w:val="TAL"/>
              <w:rPr>
                <w:sz w:val="16"/>
                <w:szCs w:val="16"/>
              </w:rPr>
            </w:pPr>
            <w:r w:rsidRPr="00873B6C">
              <w:rPr>
                <w:sz w:val="16"/>
                <w:szCs w:val="16"/>
              </w:rPr>
              <w:t>DNN replacement in 5GC</w:t>
            </w:r>
          </w:p>
        </w:tc>
        <w:tc>
          <w:tcPr>
            <w:tcW w:w="708" w:type="dxa"/>
            <w:shd w:val="solid" w:color="FFFFFF" w:fill="auto"/>
          </w:tcPr>
          <w:p w14:paraId="2CA335B1" w14:textId="77777777" w:rsidR="00D40151" w:rsidRPr="00873B6C" w:rsidRDefault="00D40151" w:rsidP="009D14FB">
            <w:pPr>
              <w:pStyle w:val="TAC"/>
              <w:rPr>
                <w:sz w:val="16"/>
                <w:szCs w:val="16"/>
              </w:rPr>
            </w:pPr>
            <w:r w:rsidRPr="00873B6C">
              <w:rPr>
                <w:sz w:val="16"/>
                <w:szCs w:val="16"/>
              </w:rPr>
              <w:t>16.1.0</w:t>
            </w:r>
          </w:p>
        </w:tc>
      </w:tr>
      <w:tr w:rsidR="00D40151" w:rsidRPr="00873B6C" w14:paraId="6E41EF15" w14:textId="77777777" w:rsidTr="009D14FB">
        <w:tc>
          <w:tcPr>
            <w:tcW w:w="800" w:type="dxa"/>
            <w:shd w:val="solid" w:color="FFFFFF" w:fill="auto"/>
          </w:tcPr>
          <w:p w14:paraId="65A0B6D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193B8C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B23FC6F"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2E98283C" w14:textId="77777777" w:rsidR="00D40151" w:rsidRPr="00873B6C" w:rsidRDefault="00D40151" w:rsidP="009D14FB">
            <w:pPr>
              <w:pStyle w:val="TAL"/>
              <w:rPr>
                <w:sz w:val="16"/>
                <w:szCs w:val="16"/>
              </w:rPr>
            </w:pPr>
            <w:r w:rsidRPr="00873B6C">
              <w:rPr>
                <w:sz w:val="16"/>
                <w:szCs w:val="16"/>
              </w:rPr>
              <w:t>1312</w:t>
            </w:r>
          </w:p>
        </w:tc>
        <w:tc>
          <w:tcPr>
            <w:tcW w:w="425" w:type="dxa"/>
            <w:shd w:val="solid" w:color="FFFFFF" w:fill="auto"/>
          </w:tcPr>
          <w:p w14:paraId="1E4C4DA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4BE0E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A00B519" w14:textId="77777777" w:rsidR="00D40151" w:rsidRPr="00873B6C" w:rsidRDefault="00D40151" w:rsidP="009D14FB">
            <w:pPr>
              <w:pStyle w:val="TAL"/>
              <w:rPr>
                <w:sz w:val="16"/>
                <w:szCs w:val="16"/>
              </w:rPr>
            </w:pPr>
            <w:r w:rsidRPr="00873B6C">
              <w:rPr>
                <w:sz w:val="16"/>
                <w:szCs w:val="16"/>
              </w:rPr>
              <w:t>Extending the significance of the locality parameter</w:t>
            </w:r>
          </w:p>
        </w:tc>
        <w:tc>
          <w:tcPr>
            <w:tcW w:w="708" w:type="dxa"/>
            <w:shd w:val="solid" w:color="FFFFFF" w:fill="auto"/>
          </w:tcPr>
          <w:p w14:paraId="78304131" w14:textId="77777777" w:rsidR="00D40151" w:rsidRPr="00873B6C" w:rsidRDefault="00D40151" w:rsidP="009D14FB">
            <w:pPr>
              <w:pStyle w:val="TAC"/>
              <w:rPr>
                <w:sz w:val="16"/>
                <w:szCs w:val="16"/>
              </w:rPr>
            </w:pPr>
            <w:r w:rsidRPr="00873B6C">
              <w:rPr>
                <w:sz w:val="16"/>
                <w:szCs w:val="16"/>
              </w:rPr>
              <w:t>16.1.0</w:t>
            </w:r>
          </w:p>
        </w:tc>
      </w:tr>
      <w:tr w:rsidR="00D40151" w:rsidRPr="00873B6C" w14:paraId="7128906B" w14:textId="77777777" w:rsidTr="009D14FB">
        <w:tc>
          <w:tcPr>
            <w:tcW w:w="800" w:type="dxa"/>
            <w:shd w:val="solid" w:color="FFFFFF" w:fill="auto"/>
          </w:tcPr>
          <w:p w14:paraId="727DE34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283FA5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C28EC8B"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49078F20" w14:textId="77777777" w:rsidR="00D40151" w:rsidRPr="00873B6C" w:rsidRDefault="00D40151" w:rsidP="009D14FB">
            <w:pPr>
              <w:pStyle w:val="TAL"/>
              <w:rPr>
                <w:sz w:val="16"/>
                <w:szCs w:val="16"/>
              </w:rPr>
            </w:pPr>
            <w:r w:rsidRPr="00873B6C">
              <w:rPr>
                <w:sz w:val="16"/>
                <w:szCs w:val="16"/>
              </w:rPr>
              <w:t>1315</w:t>
            </w:r>
          </w:p>
        </w:tc>
        <w:tc>
          <w:tcPr>
            <w:tcW w:w="425" w:type="dxa"/>
            <w:shd w:val="solid" w:color="FFFFFF" w:fill="auto"/>
          </w:tcPr>
          <w:p w14:paraId="420A979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B656075"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6B32269E" w14:textId="77777777" w:rsidR="00D40151" w:rsidRPr="00873B6C" w:rsidRDefault="00D40151" w:rsidP="009D14FB">
            <w:pPr>
              <w:pStyle w:val="TAL"/>
              <w:rPr>
                <w:sz w:val="16"/>
                <w:szCs w:val="16"/>
              </w:rPr>
            </w:pPr>
            <w:r w:rsidRPr="00873B6C">
              <w:rPr>
                <w:sz w:val="16"/>
                <w:szCs w:val="16"/>
              </w:rPr>
              <w:t>Correcting AMF selection</w:t>
            </w:r>
          </w:p>
        </w:tc>
        <w:tc>
          <w:tcPr>
            <w:tcW w:w="708" w:type="dxa"/>
            <w:shd w:val="solid" w:color="FFFFFF" w:fill="auto"/>
          </w:tcPr>
          <w:p w14:paraId="7E006B7D" w14:textId="77777777" w:rsidR="00D40151" w:rsidRPr="00873B6C" w:rsidRDefault="00D40151" w:rsidP="009D14FB">
            <w:pPr>
              <w:pStyle w:val="TAC"/>
              <w:rPr>
                <w:sz w:val="16"/>
                <w:szCs w:val="16"/>
              </w:rPr>
            </w:pPr>
            <w:r w:rsidRPr="00873B6C">
              <w:rPr>
                <w:sz w:val="16"/>
                <w:szCs w:val="16"/>
              </w:rPr>
              <w:t>16.1.0</w:t>
            </w:r>
          </w:p>
        </w:tc>
      </w:tr>
      <w:tr w:rsidR="00D40151" w:rsidRPr="00873B6C" w14:paraId="6FFBCCF9" w14:textId="77777777" w:rsidTr="009D14FB">
        <w:tc>
          <w:tcPr>
            <w:tcW w:w="800" w:type="dxa"/>
            <w:shd w:val="solid" w:color="FFFFFF" w:fill="auto"/>
          </w:tcPr>
          <w:p w14:paraId="3C395C5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F9979F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DE896DA"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1EF003F0" w14:textId="77777777" w:rsidR="00D40151" w:rsidRPr="00873B6C" w:rsidRDefault="00D40151" w:rsidP="009D14FB">
            <w:pPr>
              <w:pStyle w:val="TAL"/>
              <w:rPr>
                <w:sz w:val="16"/>
                <w:szCs w:val="16"/>
              </w:rPr>
            </w:pPr>
            <w:r w:rsidRPr="00873B6C">
              <w:rPr>
                <w:sz w:val="16"/>
                <w:szCs w:val="16"/>
              </w:rPr>
              <w:t>1316</w:t>
            </w:r>
          </w:p>
        </w:tc>
        <w:tc>
          <w:tcPr>
            <w:tcW w:w="425" w:type="dxa"/>
            <w:shd w:val="solid" w:color="FFFFFF" w:fill="auto"/>
          </w:tcPr>
          <w:p w14:paraId="78D3C06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888AA0"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73B154A" w14:textId="77777777" w:rsidR="00D40151" w:rsidRPr="00873B6C" w:rsidRDefault="00D40151" w:rsidP="009D14FB">
            <w:pPr>
              <w:pStyle w:val="TAL"/>
              <w:rPr>
                <w:sz w:val="16"/>
                <w:szCs w:val="16"/>
              </w:rPr>
            </w:pPr>
            <w:r w:rsidRPr="00873B6C">
              <w:rPr>
                <w:sz w:val="16"/>
                <w:szCs w:val="16"/>
              </w:rPr>
              <w:t>Clarify which parameters are (not) applicable for I-SMF selection.</w:t>
            </w:r>
          </w:p>
        </w:tc>
        <w:tc>
          <w:tcPr>
            <w:tcW w:w="708" w:type="dxa"/>
            <w:shd w:val="solid" w:color="FFFFFF" w:fill="auto"/>
          </w:tcPr>
          <w:p w14:paraId="00AC606C" w14:textId="77777777" w:rsidR="00D40151" w:rsidRPr="00873B6C" w:rsidRDefault="00D40151" w:rsidP="009D14FB">
            <w:pPr>
              <w:pStyle w:val="TAC"/>
              <w:rPr>
                <w:sz w:val="16"/>
                <w:szCs w:val="16"/>
              </w:rPr>
            </w:pPr>
            <w:r w:rsidRPr="00873B6C">
              <w:rPr>
                <w:sz w:val="16"/>
                <w:szCs w:val="16"/>
              </w:rPr>
              <w:t>16.1.0</w:t>
            </w:r>
          </w:p>
        </w:tc>
      </w:tr>
      <w:tr w:rsidR="00D40151" w:rsidRPr="00873B6C" w14:paraId="6DB96F1F" w14:textId="77777777" w:rsidTr="009D14FB">
        <w:tc>
          <w:tcPr>
            <w:tcW w:w="800" w:type="dxa"/>
            <w:shd w:val="solid" w:color="FFFFFF" w:fill="auto"/>
          </w:tcPr>
          <w:p w14:paraId="29F36013" w14:textId="77777777" w:rsidR="00D40151" w:rsidRPr="00873B6C" w:rsidRDefault="00D40151" w:rsidP="009D14FB">
            <w:pPr>
              <w:pStyle w:val="TAC"/>
              <w:rPr>
                <w:sz w:val="16"/>
                <w:szCs w:val="16"/>
              </w:rPr>
            </w:pPr>
            <w:r w:rsidRPr="00873B6C">
              <w:rPr>
                <w:sz w:val="16"/>
                <w:szCs w:val="16"/>
              </w:rPr>
              <w:lastRenderedPageBreak/>
              <w:t>2019-06</w:t>
            </w:r>
          </w:p>
        </w:tc>
        <w:tc>
          <w:tcPr>
            <w:tcW w:w="800" w:type="dxa"/>
            <w:shd w:val="solid" w:color="FFFFFF" w:fill="auto"/>
          </w:tcPr>
          <w:p w14:paraId="78B9826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FCCB0E2"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6AAADDE3" w14:textId="77777777" w:rsidR="00D40151" w:rsidRPr="00873B6C" w:rsidRDefault="00D40151" w:rsidP="009D14FB">
            <w:pPr>
              <w:pStyle w:val="TAL"/>
              <w:rPr>
                <w:sz w:val="16"/>
                <w:szCs w:val="16"/>
              </w:rPr>
            </w:pPr>
            <w:r w:rsidRPr="00873B6C">
              <w:rPr>
                <w:sz w:val="16"/>
                <w:szCs w:val="16"/>
              </w:rPr>
              <w:t>1320</w:t>
            </w:r>
          </w:p>
        </w:tc>
        <w:tc>
          <w:tcPr>
            <w:tcW w:w="425" w:type="dxa"/>
            <w:shd w:val="solid" w:color="FFFFFF" w:fill="auto"/>
          </w:tcPr>
          <w:p w14:paraId="380F3D2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BAB07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41C731" w14:textId="77777777" w:rsidR="00D40151" w:rsidRPr="00873B6C" w:rsidRDefault="00D40151" w:rsidP="009D14FB">
            <w:pPr>
              <w:pStyle w:val="TAL"/>
              <w:rPr>
                <w:sz w:val="16"/>
                <w:szCs w:val="16"/>
              </w:rPr>
            </w:pPr>
            <w:r w:rsidRPr="00873B6C">
              <w:rPr>
                <w:sz w:val="16"/>
                <w:szCs w:val="16"/>
              </w:rPr>
              <w:t>Clarification on redundant N3 tunnel solution</w:t>
            </w:r>
          </w:p>
        </w:tc>
        <w:tc>
          <w:tcPr>
            <w:tcW w:w="708" w:type="dxa"/>
            <w:shd w:val="solid" w:color="FFFFFF" w:fill="auto"/>
          </w:tcPr>
          <w:p w14:paraId="15836B56" w14:textId="77777777" w:rsidR="00D40151" w:rsidRPr="00873B6C" w:rsidRDefault="00D40151" w:rsidP="009D14FB">
            <w:pPr>
              <w:pStyle w:val="TAC"/>
              <w:rPr>
                <w:sz w:val="16"/>
                <w:szCs w:val="16"/>
              </w:rPr>
            </w:pPr>
            <w:r w:rsidRPr="00873B6C">
              <w:rPr>
                <w:sz w:val="16"/>
                <w:szCs w:val="16"/>
              </w:rPr>
              <w:t>16.1.0</w:t>
            </w:r>
          </w:p>
        </w:tc>
      </w:tr>
      <w:tr w:rsidR="00D40151" w:rsidRPr="00873B6C" w14:paraId="24CC8C7C" w14:textId="77777777" w:rsidTr="009D14FB">
        <w:tc>
          <w:tcPr>
            <w:tcW w:w="800" w:type="dxa"/>
            <w:shd w:val="solid" w:color="FFFFFF" w:fill="auto"/>
          </w:tcPr>
          <w:p w14:paraId="7DE8F0E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C6E6C1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336762A"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3B601D2C" w14:textId="77777777" w:rsidR="00D40151" w:rsidRPr="00873B6C" w:rsidRDefault="00D40151" w:rsidP="009D14FB">
            <w:pPr>
              <w:pStyle w:val="TAL"/>
              <w:rPr>
                <w:sz w:val="16"/>
                <w:szCs w:val="16"/>
              </w:rPr>
            </w:pPr>
            <w:r w:rsidRPr="00873B6C">
              <w:rPr>
                <w:sz w:val="16"/>
                <w:szCs w:val="16"/>
              </w:rPr>
              <w:t>1321</w:t>
            </w:r>
          </w:p>
        </w:tc>
        <w:tc>
          <w:tcPr>
            <w:tcW w:w="425" w:type="dxa"/>
            <w:shd w:val="solid" w:color="FFFFFF" w:fill="auto"/>
          </w:tcPr>
          <w:p w14:paraId="714BFAB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ADF62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D0D9BA" w14:textId="77777777" w:rsidR="00D40151" w:rsidRPr="00873B6C" w:rsidRDefault="00D40151" w:rsidP="009D14FB">
            <w:pPr>
              <w:pStyle w:val="TAL"/>
              <w:rPr>
                <w:sz w:val="16"/>
                <w:szCs w:val="16"/>
              </w:rPr>
            </w:pPr>
            <w:r w:rsidRPr="00873B6C">
              <w:rPr>
                <w:sz w:val="16"/>
                <w:szCs w:val="16"/>
              </w:rPr>
              <w:t>Clarification on IWK without N26</w:t>
            </w:r>
          </w:p>
        </w:tc>
        <w:tc>
          <w:tcPr>
            <w:tcW w:w="708" w:type="dxa"/>
            <w:shd w:val="solid" w:color="FFFFFF" w:fill="auto"/>
          </w:tcPr>
          <w:p w14:paraId="053D8965" w14:textId="77777777" w:rsidR="00D40151" w:rsidRPr="00873B6C" w:rsidRDefault="00D40151" w:rsidP="009D14FB">
            <w:pPr>
              <w:pStyle w:val="TAC"/>
              <w:rPr>
                <w:sz w:val="16"/>
                <w:szCs w:val="16"/>
              </w:rPr>
            </w:pPr>
            <w:r w:rsidRPr="00873B6C">
              <w:rPr>
                <w:sz w:val="16"/>
                <w:szCs w:val="16"/>
              </w:rPr>
              <w:t>16.1.0</w:t>
            </w:r>
          </w:p>
        </w:tc>
      </w:tr>
      <w:tr w:rsidR="00D40151" w:rsidRPr="00873B6C" w14:paraId="5290B3E6" w14:textId="77777777" w:rsidTr="009D14FB">
        <w:tc>
          <w:tcPr>
            <w:tcW w:w="800" w:type="dxa"/>
            <w:shd w:val="solid" w:color="FFFFFF" w:fill="auto"/>
          </w:tcPr>
          <w:p w14:paraId="56362BA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7350E1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96973B3" w14:textId="77777777" w:rsidR="00D40151" w:rsidRPr="00873B6C" w:rsidRDefault="00D40151" w:rsidP="009D14FB">
            <w:pPr>
              <w:pStyle w:val="TAC"/>
              <w:rPr>
                <w:sz w:val="16"/>
                <w:szCs w:val="16"/>
              </w:rPr>
            </w:pPr>
            <w:r w:rsidRPr="00873B6C">
              <w:rPr>
                <w:sz w:val="16"/>
                <w:szCs w:val="16"/>
              </w:rPr>
              <w:t>SP-190418</w:t>
            </w:r>
          </w:p>
        </w:tc>
        <w:tc>
          <w:tcPr>
            <w:tcW w:w="567" w:type="dxa"/>
            <w:shd w:val="solid" w:color="FFFFFF" w:fill="auto"/>
          </w:tcPr>
          <w:p w14:paraId="6D88657A" w14:textId="77777777" w:rsidR="00D40151" w:rsidRPr="00873B6C" w:rsidRDefault="00D40151" w:rsidP="009D14FB">
            <w:pPr>
              <w:pStyle w:val="TAL"/>
              <w:rPr>
                <w:sz w:val="16"/>
                <w:szCs w:val="16"/>
              </w:rPr>
            </w:pPr>
            <w:r w:rsidRPr="00873B6C">
              <w:rPr>
                <w:sz w:val="16"/>
                <w:szCs w:val="16"/>
              </w:rPr>
              <w:t>1323</w:t>
            </w:r>
          </w:p>
        </w:tc>
        <w:tc>
          <w:tcPr>
            <w:tcW w:w="425" w:type="dxa"/>
            <w:shd w:val="solid" w:color="FFFFFF" w:fill="auto"/>
          </w:tcPr>
          <w:p w14:paraId="24A9F62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7550153"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32087C0" w14:textId="77777777" w:rsidR="00D40151" w:rsidRPr="00873B6C" w:rsidRDefault="00D40151" w:rsidP="009D14FB">
            <w:pPr>
              <w:pStyle w:val="TAL"/>
              <w:rPr>
                <w:sz w:val="16"/>
                <w:szCs w:val="16"/>
              </w:rPr>
            </w:pPr>
            <w:r w:rsidRPr="00873B6C">
              <w:rPr>
                <w:sz w:val="16"/>
                <w:szCs w:val="16"/>
              </w:rPr>
              <w:t>S6b optional for ePDG connected to 5GS</w:t>
            </w:r>
          </w:p>
        </w:tc>
        <w:tc>
          <w:tcPr>
            <w:tcW w:w="708" w:type="dxa"/>
            <w:shd w:val="solid" w:color="FFFFFF" w:fill="auto"/>
          </w:tcPr>
          <w:p w14:paraId="120485E1" w14:textId="77777777" w:rsidR="00D40151" w:rsidRPr="00873B6C" w:rsidRDefault="00D40151" w:rsidP="009D14FB">
            <w:pPr>
              <w:pStyle w:val="TAC"/>
              <w:rPr>
                <w:sz w:val="16"/>
                <w:szCs w:val="16"/>
              </w:rPr>
            </w:pPr>
            <w:r w:rsidRPr="00873B6C">
              <w:rPr>
                <w:sz w:val="16"/>
                <w:szCs w:val="16"/>
              </w:rPr>
              <w:t>16.1.0</w:t>
            </w:r>
          </w:p>
        </w:tc>
      </w:tr>
      <w:tr w:rsidR="00D40151" w:rsidRPr="00873B6C" w14:paraId="1841CEB2" w14:textId="77777777" w:rsidTr="009D14FB">
        <w:tc>
          <w:tcPr>
            <w:tcW w:w="800" w:type="dxa"/>
            <w:shd w:val="solid" w:color="FFFFFF" w:fill="auto"/>
          </w:tcPr>
          <w:p w14:paraId="1452610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7607D7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BBB169B"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235EE4E5" w14:textId="77777777" w:rsidR="00D40151" w:rsidRPr="00873B6C" w:rsidRDefault="00D40151" w:rsidP="009D14FB">
            <w:pPr>
              <w:pStyle w:val="TAL"/>
              <w:rPr>
                <w:sz w:val="16"/>
                <w:szCs w:val="16"/>
              </w:rPr>
            </w:pPr>
            <w:r w:rsidRPr="00873B6C">
              <w:rPr>
                <w:sz w:val="16"/>
                <w:szCs w:val="16"/>
              </w:rPr>
              <w:t>1328</w:t>
            </w:r>
          </w:p>
        </w:tc>
        <w:tc>
          <w:tcPr>
            <w:tcW w:w="425" w:type="dxa"/>
            <w:shd w:val="solid" w:color="FFFFFF" w:fill="auto"/>
          </w:tcPr>
          <w:p w14:paraId="0A7FDB9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61804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7B0BDF" w14:textId="77777777" w:rsidR="00D40151" w:rsidRPr="00873B6C" w:rsidRDefault="00D40151" w:rsidP="009D14FB">
            <w:pPr>
              <w:pStyle w:val="TAL"/>
              <w:rPr>
                <w:sz w:val="16"/>
                <w:szCs w:val="16"/>
              </w:rPr>
            </w:pPr>
            <w:r w:rsidRPr="00873B6C">
              <w:rPr>
                <w:sz w:val="16"/>
                <w:szCs w:val="16"/>
              </w:rPr>
              <w:t>Data forwarding for 5G-LAN multicast</w:t>
            </w:r>
          </w:p>
        </w:tc>
        <w:tc>
          <w:tcPr>
            <w:tcW w:w="708" w:type="dxa"/>
            <w:shd w:val="solid" w:color="FFFFFF" w:fill="auto"/>
          </w:tcPr>
          <w:p w14:paraId="058346DA" w14:textId="77777777" w:rsidR="00D40151" w:rsidRPr="00873B6C" w:rsidRDefault="00D40151" w:rsidP="009D14FB">
            <w:pPr>
              <w:pStyle w:val="TAC"/>
              <w:rPr>
                <w:sz w:val="16"/>
                <w:szCs w:val="16"/>
              </w:rPr>
            </w:pPr>
            <w:r w:rsidRPr="00873B6C">
              <w:rPr>
                <w:sz w:val="16"/>
                <w:szCs w:val="16"/>
              </w:rPr>
              <w:t>16.1.0</w:t>
            </w:r>
          </w:p>
        </w:tc>
      </w:tr>
      <w:tr w:rsidR="00D40151" w:rsidRPr="00873B6C" w14:paraId="7857F5A5" w14:textId="77777777" w:rsidTr="009D14FB">
        <w:tc>
          <w:tcPr>
            <w:tcW w:w="800" w:type="dxa"/>
            <w:shd w:val="solid" w:color="FFFFFF" w:fill="auto"/>
          </w:tcPr>
          <w:p w14:paraId="2FA350A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75A66F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22D106F"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25DC5216" w14:textId="77777777" w:rsidR="00D40151" w:rsidRPr="00873B6C" w:rsidRDefault="00D40151" w:rsidP="009D14FB">
            <w:pPr>
              <w:pStyle w:val="TAL"/>
              <w:rPr>
                <w:sz w:val="16"/>
                <w:szCs w:val="16"/>
              </w:rPr>
            </w:pPr>
            <w:r w:rsidRPr="00873B6C">
              <w:rPr>
                <w:sz w:val="16"/>
                <w:szCs w:val="16"/>
              </w:rPr>
              <w:t>1331</w:t>
            </w:r>
          </w:p>
        </w:tc>
        <w:tc>
          <w:tcPr>
            <w:tcW w:w="425" w:type="dxa"/>
            <w:shd w:val="solid" w:color="FFFFFF" w:fill="auto"/>
          </w:tcPr>
          <w:p w14:paraId="1045CEB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118093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264870" w14:textId="77777777" w:rsidR="00D40151" w:rsidRPr="00873B6C" w:rsidRDefault="00D40151" w:rsidP="009D14FB">
            <w:pPr>
              <w:pStyle w:val="TAL"/>
              <w:rPr>
                <w:sz w:val="16"/>
                <w:szCs w:val="16"/>
              </w:rPr>
            </w:pPr>
            <w:r w:rsidRPr="00873B6C">
              <w:rPr>
                <w:sz w:val="16"/>
                <w:szCs w:val="16"/>
              </w:rPr>
              <w:t>Support of Service Context Transfer in TS23.501</w:t>
            </w:r>
          </w:p>
        </w:tc>
        <w:tc>
          <w:tcPr>
            <w:tcW w:w="708" w:type="dxa"/>
            <w:shd w:val="solid" w:color="FFFFFF" w:fill="auto"/>
          </w:tcPr>
          <w:p w14:paraId="41B5D923" w14:textId="77777777" w:rsidR="00D40151" w:rsidRPr="00873B6C" w:rsidRDefault="00D40151" w:rsidP="009D14FB">
            <w:pPr>
              <w:pStyle w:val="TAC"/>
              <w:rPr>
                <w:sz w:val="16"/>
                <w:szCs w:val="16"/>
              </w:rPr>
            </w:pPr>
            <w:r w:rsidRPr="00873B6C">
              <w:rPr>
                <w:sz w:val="16"/>
                <w:szCs w:val="16"/>
              </w:rPr>
              <w:t>16.1.0</w:t>
            </w:r>
          </w:p>
        </w:tc>
      </w:tr>
      <w:tr w:rsidR="00D40151" w:rsidRPr="00873B6C" w14:paraId="48D3AA18" w14:textId="77777777" w:rsidTr="009D14FB">
        <w:tc>
          <w:tcPr>
            <w:tcW w:w="800" w:type="dxa"/>
            <w:shd w:val="solid" w:color="FFFFFF" w:fill="auto"/>
          </w:tcPr>
          <w:p w14:paraId="6177A44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5E693B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9BD6504"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31D91143" w14:textId="77777777" w:rsidR="00D40151" w:rsidRPr="00873B6C" w:rsidRDefault="00D40151" w:rsidP="009D14FB">
            <w:pPr>
              <w:pStyle w:val="TAL"/>
              <w:rPr>
                <w:sz w:val="16"/>
                <w:szCs w:val="16"/>
              </w:rPr>
            </w:pPr>
            <w:r w:rsidRPr="00873B6C">
              <w:rPr>
                <w:sz w:val="16"/>
                <w:szCs w:val="16"/>
              </w:rPr>
              <w:t>1333</w:t>
            </w:r>
          </w:p>
        </w:tc>
        <w:tc>
          <w:tcPr>
            <w:tcW w:w="425" w:type="dxa"/>
            <w:shd w:val="solid" w:color="FFFFFF" w:fill="auto"/>
          </w:tcPr>
          <w:p w14:paraId="6F7803C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A355A8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BDEF5A4" w14:textId="77777777" w:rsidR="00D40151" w:rsidRPr="00873B6C" w:rsidRDefault="00D40151" w:rsidP="009D14FB">
            <w:pPr>
              <w:pStyle w:val="TAL"/>
              <w:rPr>
                <w:sz w:val="16"/>
                <w:szCs w:val="16"/>
              </w:rPr>
            </w:pPr>
            <w:r w:rsidRPr="00873B6C">
              <w:rPr>
                <w:sz w:val="16"/>
                <w:szCs w:val="16"/>
              </w:rPr>
              <w:t>Alignment of IMS Voice Service via EPS Fallback with RAN specifications</w:t>
            </w:r>
          </w:p>
        </w:tc>
        <w:tc>
          <w:tcPr>
            <w:tcW w:w="708" w:type="dxa"/>
            <w:shd w:val="solid" w:color="FFFFFF" w:fill="auto"/>
          </w:tcPr>
          <w:p w14:paraId="53824D13" w14:textId="77777777" w:rsidR="00D40151" w:rsidRPr="00873B6C" w:rsidRDefault="00D40151" w:rsidP="009D14FB">
            <w:pPr>
              <w:pStyle w:val="TAC"/>
              <w:rPr>
                <w:sz w:val="16"/>
                <w:szCs w:val="16"/>
              </w:rPr>
            </w:pPr>
            <w:r w:rsidRPr="00873B6C">
              <w:rPr>
                <w:sz w:val="16"/>
                <w:szCs w:val="16"/>
              </w:rPr>
              <w:t>16.1.0</w:t>
            </w:r>
          </w:p>
        </w:tc>
      </w:tr>
      <w:tr w:rsidR="00D40151" w:rsidRPr="00873B6C" w14:paraId="4F4D2E25" w14:textId="77777777" w:rsidTr="009D14FB">
        <w:tc>
          <w:tcPr>
            <w:tcW w:w="800" w:type="dxa"/>
            <w:shd w:val="solid" w:color="FFFFFF" w:fill="auto"/>
          </w:tcPr>
          <w:p w14:paraId="7B312C8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886917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D8721ED"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542D5491" w14:textId="77777777" w:rsidR="00D40151" w:rsidRPr="00873B6C" w:rsidRDefault="00D40151" w:rsidP="009D14FB">
            <w:pPr>
              <w:pStyle w:val="TAL"/>
              <w:rPr>
                <w:sz w:val="16"/>
                <w:szCs w:val="16"/>
              </w:rPr>
            </w:pPr>
            <w:r w:rsidRPr="00873B6C">
              <w:rPr>
                <w:sz w:val="16"/>
                <w:szCs w:val="16"/>
              </w:rPr>
              <w:t>1337</w:t>
            </w:r>
          </w:p>
        </w:tc>
        <w:tc>
          <w:tcPr>
            <w:tcW w:w="425" w:type="dxa"/>
            <w:shd w:val="solid" w:color="FFFFFF" w:fill="auto"/>
          </w:tcPr>
          <w:p w14:paraId="6A1225D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542FA9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594E10E" w14:textId="77777777" w:rsidR="00D40151" w:rsidRPr="00873B6C" w:rsidRDefault="00D40151" w:rsidP="009D14FB">
            <w:pPr>
              <w:pStyle w:val="TAL"/>
              <w:rPr>
                <w:sz w:val="16"/>
                <w:szCs w:val="16"/>
              </w:rPr>
            </w:pPr>
            <w:r w:rsidRPr="00873B6C">
              <w:rPr>
                <w:sz w:val="16"/>
                <w:szCs w:val="16"/>
              </w:rPr>
              <w:t>Update to High Latency Overall Description</w:t>
            </w:r>
          </w:p>
        </w:tc>
        <w:tc>
          <w:tcPr>
            <w:tcW w:w="708" w:type="dxa"/>
            <w:shd w:val="solid" w:color="FFFFFF" w:fill="auto"/>
          </w:tcPr>
          <w:p w14:paraId="3B8A9A45" w14:textId="77777777" w:rsidR="00D40151" w:rsidRPr="00873B6C" w:rsidRDefault="00D40151" w:rsidP="009D14FB">
            <w:pPr>
              <w:pStyle w:val="TAC"/>
              <w:rPr>
                <w:sz w:val="16"/>
                <w:szCs w:val="16"/>
              </w:rPr>
            </w:pPr>
            <w:r w:rsidRPr="00873B6C">
              <w:rPr>
                <w:sz w:val="16"/>
                <w:szCs w:val="16"/>
              </w:rPr>
              <w:t>16.1.0</w:t>
            </w:r>
          </w:p>
        </w:tc>
      </w:tr>
      <w:tr w:rsidR="00D40151" w:rsidRPr="00873B6C" w14:paraId="7A8A5928" w14:textId="77777777" w:rsidTr="009D14FB">
        <w:tc>
          <w:tcPr>
            <w:tcW w:w="800" w:type="dxa"/>
            <w:shd w:val="solid" w:color="FFFFFF" w:fill="auto"/>
          </w:tcPr>
          <w:p w14:paraId="5EF01C8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C8448A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9E3288C"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5A975774" w14:textId="77777777" w:rsidR="00D40151" w:rsidRPr="00873B6C" w:rsidRDefault="00D40151" w:rsidP="009D14FB">
            <w:pPr>
              <w:pStyle w:val="TAL"/>
              <w:rPr>
                <w:sz w:val="16"/>
                <w:szCs w:val="16"/>
              </w:rPr>
            </w:pPr>
            <w:r w:rsidRPr="00873B6C">
              <w:rPr>
                <w:sz w:val="16"/>
                <w:szCs w:val="16"/>
              </w:rPr>
              <w:t>1338</w:t>
            </w:r>
          </w:p>
        </w:tc>
        <w:tc>
          <w:tcPr>
            <w:tcW w:w="425" w:type="dxa"/>
            <w:shd w:val="solid" w:color="FFFFFF" w:fill="auto"/>
          </w:tcPr>
          <w:p w14:paraId="7B02D9C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768881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38F4FA" w14:textId="77777777" w:rsidR="00D40151" w:rsidRPr="00873B6C" w:rsidRDefault="00D40151" w:rsidP="009D14FB">
            <w:pPr>
              <w:pStyle w:val="TAL"/>
              <w:rPr>
                <w:sz w:val="16"/>
                <w:szCs w:val="16"/>
              </w:rPr>
            </w:pPr>
            <w:r w:rsidRPr="00873B6C">
              <w:rPr>
                <w:sz w:val="16"/>
                <w:szCs w:val="16"/>
              </w:rPr>
              <w:t xml:space="preserve">NPN: Corrections to handling of Allowed CAG list and CAG-only indication </w:t>
            </w:r>
          </w:p>
        </w:tc>
        <w:tc>
          <w:tcPr>
            <w:tcW w:w="708" w:type="dxa"/>
            <w:shd w:val="solid" w:color="FFFFFF" w:fill="auto"/>
          </w:tcPr>
          <w:p w14:paraId="641AFDE0" w14:textId="77777777" w:rsidR="00D40151" w:rsidRPr="00873B6C" w:rsidRDefault="00D40151" w:rsidP="009D14FB">
            <w:pPr>
              <w:pStyle w:val="TAC"/>
              <w:rPr>
                <w:sz w:val="16"/>
                <w:szCs w:val="16"/>
              </w:rPr>
            </w:pPr>
            <w:r w:rsidRPr="00873B6C">
              <w:rPr>
                <w:sz w:val="16"/>
                <w:szCs w:val="16"/>
              </w:rPr>
              <w:t>16.1.0</w:t>
            </w:r>
          </w:p>
        </w:tc>
      </w:tr>
      <w:tr w:rsidR="00D40151" w:rsidRPr="00873B6C" w14:paraId="5DD41930" w14:textId="77777777" w:rsidTr="009D14FB">
        <w:tc>
          <w:tcPr>
            <w:tcW w:w="800" w:type="dxa"/>
            <w:shd w:val="solid" w:color="FFFFFF" w:fill="auto"/>
          </w:tcPr>
          <w:p w14:paraId="288B4B1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2CD93D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3AD860F"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52FCB6F5" w14:textId="77777777" w:rsidR="00D40151" w:rsidRPr="00873B6C" w:rsidRDefault="00D40151" w:rsidP="009D14FB">
            <w:pPr>
              <w:pStyle w:val="TAL"/>
              <w:rPr>
                <w:sz w:val="16"/>
                <w:szCs w:val="16"/>
              </w:rPr>
            </w:pPr>
            <w:r w:rsidRPr="00873B6C">
              <w:rPr>
                <w:sz w:val="16"/>
                <w:szCs w:val="16"/>
              </w:rPr>
              <w:t>1339</w:t>
            </w:r>
          </w:p>
        </w:tc>
        <w:tc>
          <w:tcPr>
            <w:tcW w:w="425" w:type="dxa"/>
            <w:shd w:val="solid" w:color="FFFFFF" w:fill="auto"/>
          </w:tcPr>
          <w:p w14:paraId="4403A6C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20F4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41A047" w14:textId="77777777" w:rsidR="00D40151" w:rsidRPr="00873B6C" w:rsidRDefault="00D40151" w:rsidP="009D14FB">
            <w:pPr>
              <w:pStyle w:val="TAL"/>
              <w:rPr>
                <w:sz w:val="16"/>
                <w:szCs w:val="16"/>
              </w:rPr>
            </w:pPr>
            <w:r w:rsidRPr="00873B6C">
              <w:rPr>
                <w:sz w:val="16"/>
                <w:szCs w:val="16"/>
              </w:rPr>
              <w:t xml:space="preserve">NPN: Correction to CAG-only indication </w:t>
            </w:r>
          </w:p>
        </w:tc>
        <w:tc>
          <w:tcPr>
            <w:tcW w:w="708" w:type="dxa"/>
            <w:shd w:val="solid" w:color="FFFFFF" w:fill="auto"/>
          </w:tcPr>
          <w:p w14:paraId="62AE8FEB" w14:textId="77777777" w:rsidR="00D40151" w:rsidRPr="00873B6C" w:rsidRDefault="00D40151" w:rsidP="009D14FB">
            <w:pPr>
              <w:pStyle w:val="TAC"/>
              <w:rPr>
                <w:sz w:val="16"/>
                <w:szCs w:val="16"/>
              </w:rPr>
            </w:pPr>
            <w:r w:rsidRPr="00873B6C">
              <w:rPr>
                <w:sz w:val="16"/>
                <w:szCs w:val="16"/>
              </w:rPr>
              <w:t>16.1.0</w:t>
            </w:r>
          </w:p>
        </w:tc>
      </w:tr>
      <w:tr w:rsidR="00D40151" w:rsidRPr="00873B6C" w14:paraId="7CFC784D" w14:textId="77777777" w:rsidTr="009D14FB">
        <w:tc>
          <w:tcPr>
            <w:tcW w:w="800" w:type="dxa"/>
            <w:shd w:val="solid" w:color="FFFFFF" w:fill="auto"/>
          </w:tcPr>
          <w:p w14:paraId="2CD7391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7B58AA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A95396D"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79C90819" w14:textId="77777777" w:rsidR="00D40151" w:rsidRPr="00873B6C" w:rsidRDefault="00D40151" w:rsidP="009D14FB">
            <w:pPr>
              <w:pStyle w:val="TAL"/>
              <w:rPr>
                <w:sz w:val="16"/>
                <w:szCs w:val="16"/>
              </w:rPr>
            </w:pPr>
            <w:r w:rsidRPr="00873B6C">
              <w:rPr>
                <w:sz w:val="16"/>
                <w:szCs w:val="16"/>
              </w:rPr>
              <w:t>1341</w:t>
            </w:r>
          </w:p>
        </w:tc>
        <w:tc>
          <w:tcPr>
            <w:tcW w:w="425" w:type="dxa"/>
            <w:shd w:val="solid" w:color="FFFFFF" w:fill="auto"/>
          </w:tcPr>
          <w:p w14:paraId="3048B0C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FB37CE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CC120C" w14:textId="77777777" w:rsidR="00D40151" w:rsidRPr="00873B6C" w:rsidRDefault="00D40151" w:rsidP="009D14FB">
            <w:pPr>
              <w:pStyle w:val="TAL"/>
              <w:rPr>
                <w:sz w:val="16"/>
                <w:szCs w:val="16"/>
              </w:rPr>
            </w:pPr>
            <w:r w:rsidRPr="00873B6C">
              <w:rPr>
                <w:sz w:val="16"/>
                <w:szCs w:val="16"/>
              </w:rPr>
              <w:t xml:space="preserve">NPN: Update and enforcement of new Allowed CAG list and CAG-only indication </w:t>
            </w:r>
          </w:p>
        </w:tc>
        <w:tc>
          <w:tcPr>
            <w:tcW w:w="708" w:type="dxa"/>
            <w:shd w:val="solid" w:color="FFFFFF" w:fill="auto"/>
          </w:tcPr>
          <w:p w14:paraId="56DD25B5" w14:textId="77777777" w:rsidR="00D40151" w:rsidRPr="00873B6C" w:rsidRDefault="00D40151" w:rsidP="009D14FB">
            <w:pPr>
              <w:pStyle w:val="TAC"/>
              <w:rPr>
                <w:sz w:val="16"/>
                <w:szCs w:val="16"/>
              </w:rPr>
            </w:pPr>
            <w:r w:rsidRPr="00873B6C">
              <w:rPr>
                <w:sz w:val="16"/>
                <w:szCs w:val="16"/>
              </w:rPr>
              <w:t>16.1.0</w:t>
            </w:r>
          </w:p>
        </w:tc>
      </w:tr>
      <w:tr w:rsidR="00D40151" w:rsidRPr="00873B6C" w14:paraId="5B7718D7" w14:textId="77777777" w:rsidTr="009D14FB">
        <w:tc>
          <w:tcPr>
            <w:tcW w:w="800" w:type="dxa"/>
            <w:shd w:val="solid" w:color="FFFFFF" w:fill="auto"/>
          </w:tcPr>
          <w:p w14:paraId="7CA0233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67428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13A459F"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438DBB14" w14:textId="77777777" w:rsidR="00D40151" w:rsidRPr="00873B6C" w:rsidRDefault="00D40151" w:rsidP="009D14FB">
            <w:pPr>
              <w:pStyle w:val="TAL"/>
              <w:rPr>
                <w:sz w:val="16"/>
                <w:szCs w:val="16"/>
              </w:rPr>
            </w:pPr>
            <w:r w:rsidRPr="00873B6C">
              <w:rPr>
                <w:sz w:val="16"/>
                <w:szCs w:val="16"/>
              </w:rPr>
              <w:t>1346</w:t>
            </w:r>
          </w:p>
        </w:tc>
        <w:tc>
          <w:tcPr>
            <w:tcW w:w="425" w:type="dxa"/>
            <w:shd w:val="solid" w:color="FFFFFF" w:fill="auto"/>
          </w:tcPr>
          <w:p w14:paraId="2F4ED1B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DCF74E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C58B15" w14:textId="77777777" w:rsidR="00D40151" w:rsidRPr="00873B6C" w:rsidRDefault="00D40151" w:rsidP="009D14FB">
            <w:pPr>
              <w:pStyle w:val="TAL"/>
              <w:rPr>
                <w:sz w:val="16"/>
                <w:szCs w:val="16"/>
              </w:rPr>
            </w:pPr>
            <w:r w:rsidRPr="00873B6C">
              <w:rPr>
                <w:sz w:val="16"/>
                <w:szCs w:val="16"/>
              </w:rPr>
              <w:t>CIoT scope clarification</w:t>
            </w:r>
          </w:p>
        </w:tc>
        <w:tc>
          <w:tcPr>
            <w:tcW w:w="708" w:type="dxa"/>
            <w:shd w:val="solid" w:color="FFFFFF" w:fill="auto"/>
          </w:tcPr>
          <w:p w14:paraId="27755629" w14:textId="77777777" w:rsidR="00D40151" w:rsidRPr="00873B6C" w:rsidRDefault="00D40151" w:rsidP="009D14FB">
            <w:pPr>
              <w:pStyle w:val="TAC"/>
              <w:rPr>
                <w:sz w:val="16"/>
                <w:szCs w:val="16"/>
              </w:rPr>
            </w:pPr>
            <w:r w:rsidRPr="00873B6C">
              <w:rPr>
                <w:sz w:val="16"/>
                <w:szCs w:val="16"/>
              </w:rPr>
              <w:t>16.1.0</w:t>
            </w:r>
          </w:p>
        </w:tc>
      </w:tr>
      <w:tr w:rsidR="00D40151" w:rsidRPr="00873B6C" w14:paraId="6CC66899" w14:textId="77777777" w:rsidTr="009D14FB">
        <w:tc>
          <w:tcPr>
            <w:tcW w:w="800" w:type="dxa"/>
            <w:shd w:val="solid" w:color="FFFFFF" w:fill="auto"/>
          </w:tcPr>
          <w:p w14:paraId="0300E7E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4CDE6D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A1E3A25" w14:textId="77777777" w:rsidR="00D40151" w:rsidRPr="00873B6C" w:rsidRDefault="00D40151" w:rsidP="009D14FB">
            <w:pPr>
              <w:pStyle w:val="TAC"/>
              <w:rPr>
                <w:sz w:val="16"/>
                <w:szCs w:val="16"/>
              </w:rPr>
            </w:pPr>
            <w:r w:rsidRPr="00873B6C">
              <w:rPr>
                <w:sz w:val="16"/>
                <w:szCs w:val="16"/>
              </w:rPr>
              <w:t>SP-190404</w:t>
            </w:r>
          </w:p>
        </w:tc>
        <w:tc>
          <w:tcPr>
            <w:tcW w:w="567" w:type="dxa"/>
            <w:shd w:val="solid" w:color="FFFFFF" w:fill="auto"/>
          </w:tcPr>
          <w:p w14:paraId="74A9A56F" w14:textId="77777777" w:rsidR="00D40151" w:rsidRPr="00873B6C" w:rsidRDefault="00D40151" w:rsidP="009D14FB">
            <w:pPr>
              <w:pStyle w:val="TAL"/>
              <w:rPr>
                <w:sz w:val="16"/>
                <w:szCs w:val="16"/>
              </w:rPr>
            </w:pPr>
            <w:r w:rsidRPr="00873B6C">
              <w:rPr>
                <w:sz w:val="16"/>
                <w:szCs w:val="16"/>
              </w:rPr>
              <w:t>1350</w:t>
            </w:r>
          </w:p>
        </w:tc>
        <w:tc>
          <w:tcPr>
            <w:tcW w:w="425" w:type="dxa"/>
            <w:shd w:val="solid" w:color="FFFFFF" w:fill="auto"/>
          </w:tcPr>
          <w:p w14:paraId="2B3C873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1D0900"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0EF16AD" w14:textId="77777777" w:rsidR="00D40151" w:rsidRPr="00873B6C" w:rsidRDefault="00D40151" w:rsidP="009D14FB">
            <w:pPr>
              <w:pStyle w:val="TAL"/>
              <w:rPr>
                <w:sz w:val="16"/>
                <w:szCs w:val="16"/>
              </w:rPr>
            </w:pPr>
            <w:r w:rsidRPr="00873B6C">
              <w:rPr>
                <w:sz w:val="16"/>
                <w:szCs w:val="16"/>
              </w:rPr>
              <w:t>Location Reporting of secondary cell</w:t>
            </w:r>
          </w:p>
        </w:tc>
        <w:tc>
          <w:tcPr>
            <w:tcW w:w="708" w:type="dxa"/>
            <w:shd w:val="solid" w:color="FFFFFF" w:fill="auto"/>
          </w:tcPr>
          <w:p w14:paraId="3F459DE0" w14:textId="77777777" w:rsidR="00D40151" w:rsidRPr="00873B6C" w:rsidRDefault="00D40151" w:rsidP="009D14FB">
            <w:pPr>
              <w:pStyle w:val="TAC"/>
              <w:rPr>
                <w:sz w:val="16"/>
                <w:szCs w:val="16"/>
              </w:rPr>
            </w:pPr>
            <w:r w:rsidRPr="00873B6C">
              <w:rPr>
                <w:sz w:val="16"/>
                <w:szCs w:val="16"/>
              </w:rPr>
              <w:t>16.1.0</w:t>
            </w:r>
          </w:p>
        </w:tc>
      </w:tr>
      <w:tr w:rsidR="00D40151" w:rsidRPr="00873B6C" w14:paraId="09E404A9" w14:textId="77777777" w:rsidTr="009D14FB">
        <w:tc>
          <w:tcPr>
            <w:tcW w:w="800" w:type="dxa"/>
            <w:shd w:val="solid" w:color="FFFFFF" w:fill="auto"/>
          </w:tcPr>
          <w:p w14:paraId="12A7A7B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4D94A1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EFBC91D"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7C5F544B" w14:textId="77777777" w:rsidR="00D40151" w:rsidRPr="00873B6C" w:rsidRDefault="00D40151" w:rsidP="009D14FB">
            <w:pPr>
              <w:pStyle w:val="TAL"/>
              <w:rPr>
                <w:sz w:val="16"/>
                <w:szCs w:val="16"/>
              </w:rPr>
            </w:pPr>
            <w:r w:rsidRPr="00873B6C">
              <w:rPr>
                <w:sz w:val="16"/>
                <w:szCs w:val="16"/>
              </w:rPr>
              <w:t>1351</w:t>
            </w:r>
          </w:p>
        </w:tc>
        <w:tc>
          <w:tcPr>
            <w:tcW w:w="425" w:type="dxa"/>
            <w:shd w:val="solid" w:color="FFFFFF" w:fill="auto"/>
          </w:tcPr>
          <w:p w14:paraId="7031BDA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F44910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47D3ED1" w14:textId="77777777" w:rsidR="00D40151" w:rsidRPr="00873B6C" w:rsidRDefault="00D40151" w:rsidP="009D14FB">
            <w:pPr>
              <w:pStyle w:val="TAL"/>
              <w:rPr>
                <w:sz w:val="16"/>
                <w:szCs w:val="16"/>
              </w:rPr>
            </w:pPr>
            <w:r w:rsidRPr="00873B6C">
              <w:rPr>
                <w:sz w:val="16"/>
                <w:szCs w:val="16"/>
              </w:rPr>
              <w:t>Network request re-activation of user-plane resources</w:t>
            </w:r>
          </w:p>
        </w:tc>
        <w:tc>
          <w:tcPr>
            <w:tcW w:w="708" w:type="dxa"/>
            <w:shd w:val="solid" w:color="FFFFFF" w:fill="auto"/>
          </w:tcPr>
          <w:p w14:paraId="13DFC061" w14:textId="77777777" w:rsidR="00D40151" w:rsidRPr="00873B6C" w:rsidRDefault="00D40151" w:rsidP="009D14FB">
            <w:pPr>
              <w:pStyle w:val="TAC"/>
              <w:rPr>
                <w:sz w:val="16"/>
                <w:szCs w:val="16"/>
              </w:rPr>
            </w:pPr>
            <w:r w:rsidRPr="00873B6C">
              <w:rPr>
                <w:sz w:val="16"/>
                <w:szCs w:val="16"/>
              </w:rPr>
              <w:t>16.1.0</w:t>
            </w:r>
          </w:p>
        </w:tc>
      </w:tr>
      <w:tr w:rsidR="00D40151" w:rsidRPr="00873B6C" w14:paraId="5DA2CC2A" w14:textId="77777777" w:rsidTr="009D14FB">
        <w:tc>
          <w:tcPr>
            <w:tcW w:w="800" w:type="dxa"/>
            <w:shd w:val="solid" w:color="FFFFFF" w:fill="auto"/>
          </w:tcPr>
          <w:p w14:paraId="0B937C7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419EBF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17E58AA"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471C6E37" w14:textId="77777777" w:rsidR="00D40151" w:rsidRPr="00873B6C" w:rsidRDefault="00D40151" w:rsidP="009D14FB">
            <w:pPr>
              <w:pStyle w:val="TAL"/>
              <w:rPr>
                <w:sz w:val="16"/>
                <w:szCs w:val="16"/>
              </w:rPr>
            </w:pPr>
            <w:r w:rsidRPr="00873B6C">
              <w:rPr>
                <w:sz w:val="16"/>
                <w:szCs w:val="16"/>
              </w:rPr>
              <w:t>1352</w:t>
            </w:r>
          </w:p>
        </w:tc>
        <w:tc>
          <w:tcPr>
            <w:tcW w:w="425" w:type="dxa"/>
            <w:shd w:val="solid" w:color="FFFFFF" w:fill="auto"/>
          </w:tcPr>
          <w:p w14:paraId="28BD028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615F67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39DFB44" w14:textId="77777777" w:rsidR="00D40151" w:rsidRPr="00873B6C" w:rsidRDefault="00D40151" w:rsidP="009D14FB">
            <w:pPr>
              <w:pStyle w:val="TAL"/>
              <w:rPr>
                <w:sz w:val="16"/>
                <w:szCs w:val="16"/>
              </w:rPr>
            </w:pPr>
            <w:r w:rsidRPr="00873B6C">
              <w:rPr>
                <w:sz w:val="16"/>
                <w:szCs w:val="16"/>
              </w:rPr>
              <w:t>Clarification on Access Network Performance Measurements</w:t>
            </w:r>
          </w:p>
        </w:tc>
        <w:tc>
          <w:tcPr>
            <w:tcW w:w="708" w:type="dxa"/>
            <w:shd w:val="solid" w:color="FFFFFF" w:fill="auto"/>
          </w:tcPr>
          <w:p w14:paraId="1EBD423C" w14:textId="77777777" w:rsidR="00D40151" w:rsidRPr="00873B6C" w:rsidRDefault="00D40151" w:rsidP="009D14FB">
            <w:pPr>
              <w:pStyle w:val="TAC"/>
              <w:rPr>
                <w:sz w:val="16"/>
                <w:szCs w:val="16"/>
              </w:rPr>
            </w:pPr>
            <w:r w:rsidRPr="00873B6C">
              <w:rPr>
                <w:sz w:val="16"/>
                <w:szCs w:val="16"/>
              </w:rPr>
              <w:t>16.1.0</w:t>
            </w:r>
          </w:p>
        </w:tc>
      </w:tr>
      <w:tr w:rsidR="00D40151" w:rsidRPr="00873B6C" w14:paraId="63F77AC3" w14:textId="77777777" w:rsidTr="009D14FB">
        <w:tc>
          <w:tcPr>
            <w:tcW w:w="800" w:type="dxa"/>
            <w:shd w:val="solid" w:color="FFFFFF" w:fill="auto"/>
          </w:tcPr>
          <w:p w14:paraId="497F555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4F94AD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AB8CCFB"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E9C9FD5" w14:textId="77777777" w:rsidR="00D40151" w:rsidRPr="00873B6C" w:rsidRDefault="00D40151" w:rsidP="009D14FB">
            <w:pPr>
              <w:pStyle w:val="TAL"/>
              <w:rPr>
                <w:sz w:val="16"/>
                <w:szCs w:val="16"/>
              </w:rPr>
            </w:pPr>
            <w:r w:rsidRPr="00873B6C">
              <w:rPr>
                <w:sz w:val="16"/>
                <w:szCs w:val="16"/>
              </w:rPr>
              <w:t>1358</w:t>
            </w:r>
          </w:p>
        </w:tc>
        <w:tc>
          <w:tcPr>
            <w:tcW w:w="425" w:type="dxa"/>
            <w:shd w:val="solid" w:color="FFFFFF" w:fill="auto"/>
          </w:tcPr>
          <w:p w14:paraId="59ACA8B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FD225F6"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C073D43" w14:textId="77777777" w:rsidR="00D40151" w:rsidRPr="00873B6C" w:rsidRDefault="00D40151" w:rsidP="009D14FB">
            <w:pPr>
              <w:pStyle w:val="TAL"/>
              <w:rPr>
                <w:sz w:val="16"/>
                <w:szCs w:val="16"/>
              </w:rPr>
            </w:pPr>
            <w:r w:rsidRPr="00873B6C">
              <w:rPr>
                <w:sz w:val="16"/>
                <w:szCs w:val="16"/>
              </w:rPr>
              <w:t>Emergency Fallback from non-3GPP/ePDG</w:t>
            </w:r>
          </w:p>
        </w:tc>
        <w:tc>
          <w:tcPr>
            <w:tcW w:w="708" w:type="dxa"/>
            <w:shd w:val="solid" w:color="FFFFFF" w:fill="auto"/>
          </w:tcPr>
          <w:p w14:paraId="4CC60696" w14:textId="77777777" w:rsidR="00D40151" w:rsidRPr="00873B6C" w:rsidRDefault="00D40151" w:rsidP="009D14FB">
            <w:pPr>
              <w:pStyle w:val="TAC"/>
              <w:rPr>
                <w:sz w:val="16"/>
                <w:szCs w:val="16"/>
              </w:rPr>
            </w:pPr>
            <w:r w:rsidRPr="00873B6C">
              <w:rPr>
                <w:sz w:val="16"/>
                <w:szCs w:val="16"/>
              </w:rPr>
              <w:t>16.1.0</w:t>
            </w:r>
          </w:p>
        </w:tc>
      </w:tr>
      <w:tr w:rsidR="00D40151" w:rsidRPr="00873B6C" w14:paraId="5C710711" w14:textId="77777777" w:rsidTr="009D14FB">
        <w:tc>
          <w:tcPr>
            <w:tcW w:w="800" w:type="dxa"/>
            <w:shd w:val="solid" w:color="FFFFFF" w:fill="auto"/>
          </w:tcPr>
          <w:p w14:paraId="282D759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305DBA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2C88AC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2280F0E7" w14:textId="77777777" w:rsidR="00D40151" w:rsidRPr="00873B6C" w:rsidRDefault="00D40151" w:rsidP="009D14FB">
            <w:pPr>
              <w:pStyle w:val="TAL"/>
              <w:rPr>
                <w:sz w:val="16"/>
                <w:szCs w:val="16"/>
              </w:rPr>
            </w:pPr>
            <w:r w:rsidRPr="00873B6C">
              <w:rPr>
                <w:sz w:val="16"/>
                <w:szCs w:val="16"/>
              </w:rPr>
              <w:t>1360</w:t>
            </w:r>
          </w:p>
        </w:tc>
        <w:tc>
          <w:tcPr>
            <w:tcW w:w="425" w:type="dxa"/>
            <w:shd w:val="solid" w:color="FFFFFF" w:fill="auto"/>
          </w:tcPr>
          <w:p w14:paraId="47A6840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236C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13305A" w14:textId="77777777" w:rsidR="00D40151" w:rsidRPr="00873B6C" w:rsidRDefault="00D40151" w:rsidP="009D14FB">
            <w:pPr>
              <w:pStyle w:val="TAL"/>
              <w:rPr>
                <w:sz w:val="16"/>
                <w:szCs w:val="16"/>
              </w:rPr>
            </w:pPr>
            <w:r w:rsidRPr="00873B6C">
              <w:rPr>
                <w:sz w:val="16"/>
                <w:szCs w:val="16"/>
              </w:rPr>
              <w:t>NIDD related indications</w:t>
            </w:r>
          </w:p>
        </w:tc>
        <w:tc>
          <w:tcPr>
            <w:tcW w:w="708" w:type="dxa"/>
            <w:shd w:val="solid" w:color="FFFFFF" w:fill="auto"/>
          </w:tcPr>
          <w:p w14:paraId="2732A1AC" w14:textId="77777777" w:rsidR="00D40151" w:rsidRPr="00873B6C" w:rsidRDefault="00D40151" w:rsidP="009D14FB">
            <w:pPr>
              <w:pStyle w:val="TAC"/>
              <w:rPr>
                <w:sz w:val="16"/>
                <w:szCs w:val="16"/>
              </w:rPr>
            </w:pPr>
            <w:r w:rsidRPr="00873B6C">
              <w:rPr>
                <w:sz w:val="16"/>
                <w:szCs w:val="16"/>
              </w:rPr>
              <w:t>16.1.0</w:t>
            </w:r>
          </w:p>
        </w:tc>
      </w:tr>
      <w:tr w:rsidR="00D40151" w:rsidRPr="00873B6C" w14:paraId="64F9F7E9" w14:textId="77777777" w:rsidTr="009D14FB">
        <w:tc>
          <w:tcPr>
            <w:tcW w:w="800" w:type="dxa"/>
            <w:shd w:val="solid" w:color="FFFFFF" w:fill="auto"/>
          </w:tcPr>
          <w:p w14:paraId="7729113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D87008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F2B9A00"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06BFC7F2" w14:textId="77777777" w:rsidR="00D40151" w:rsidRPr="00873B6C" w:rsidRDefault="00D40151" w:rsidP="009D14FB">
            <w:pPr>
              <w:pStyle w:val="TAL"/>
              <w:rPr>
                <w:sz w:val="16"/>
                <w:szCs w:val="16"/>
              </w:rPr>
            </w:pPr>
            <w:r w:rsidRPr="00873B6C">
              <w:rPr>
                <w:sz w:val="16"/>
                <w:szCs w:val="16"/>
              </w:rPr>
              <w:t>1362</w:t>
            </w:r>
          </w:p>
        </w:tc>
        <w:tc>
          <w:tcPr>
            <w:tcW w:w="425" w:type="dxa"/>
            <w:shd w:val="solid" w:color="FFFFFF" w:fill="auto"/>
          </w:tcPr>
          <w:p w14:paraId="06664F8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E04D15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E0E442" w14:textId="77777777" w:rsidR="00D40151" w:rsidRPr="00873B6C" w:rsidRDefault="00D40151" w:rsidP="009D14FB">
            <w:pPr>
              <w:pStyle w:val="TAL"/>
              <w:rPr>
                <w:sz w:val="16"/>
                <w:szCs w:val="16"/>
              </w:rPr>
            </w:pPr>
            <w:r w:rsidRPr="00873B6C">
              <w:rPr>
                <w:sz w:val="16"/>
                <w:szCs w:val="16"/>
              </w:rPr>
              <w:t>Description regarding NEF support of data retrieval from external party</w:t>
            </w:r>
          </w:p>
        </w:tc>
        <w:tc>
          <w:tcPr>
            <w:tcW w:w="708" w:type="dxa"/>
            <w:shd w:val="solid" w:color="FFFFFF" w:fill="auto"/>
          </w:tcPr>
          <w:p w14:paraId="03A17B0B" w14:textId="77777777" w:rsidR="00D40151" w:rsidRPr="00873B6C" w:rsidRDefault="00D40151" w:rsidP="009D14FB">
            <w:pPr>
              <w:pStyle w:val="TAC"/>
              <w:rPr>
                <w:sz w:val="16"/>
                <w:szCs w:val="16"/>
              </w:rPr>
            </w:pPr>
            <w:r w:rsidRPr="00873B6C">
              <w:rPr>
                <w:sz w:val="16"/>
                <w:szCs w:val="16"/>
              </w:rPr>
              <w:t>16.1.0</w:t>
            </w:r>
          </w:p>
        </w:tc>
      </w:tr>
      <w:tr w:rsidR="00D40151" w:rsidRPr="00873B6C" w14:paraId="0F3E4D5D" w14:textId="77777777" w:rsidTr="009D14FB">
        <w:tc>
          <w:tcPr>
            <w:tcW w:w="800" w:type="dxa"/>
            <w:shd w:val="solid" w:color="FFFFFF" w:fill="auto"/>
          </w:tcPr>
          <w:p w14:paraId="64A8983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2E41F0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487B126"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14A3FBF0" w14:textId="77777777" w:rsidR="00D40151" w:rsidRPr="00873B6C" w:rsidRDefault="00D40151" w:rsidP="009D14FB">
            <w:pPr>
              <w:pStyle w:val="TAL"/>
              <w:rPr>
                <w:sz w:val="16"/>
                <w:szCs w:val="16"/>
              </w:rPr>
            </w:pPr>
            <w:r w:rsidRPr="00873B6C">
              <w:rPr>
                <w:sz w:val="16"/>
                <w:szCs w:val="16"/>
              </w:rPr>
              <w:t>1366</w:t>
            </w:r>
          </w:p>
        </w:tc>
        <w:tc>
          <w:tcPr>
            <w:tcW w:w="425" w:type="dxa"/>
            <w:shd w:val="solid" w:color="FFFFFF" w:fill="auto"/>
          </w:tcPr>
          <w:p w14:paraId="7204E6D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11909A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94C241" w14:textId="77777777" w:rsidR="00D40151" w:rsidRPr="00873B6C" w:rsidRDefault="00D40151" w:rsidP="009D14FB">
            <w:pPr>
              <w:pStyle w:val="TAL"/>
              <w:rPr>
                <w:sz w:val="16"/>
                <w:szCs w:val="16"/>
              </w:rPr>
            </w:pPr>
            <w:r w:rsidRPr="00873B6C">
              <w:rPr>
                <w:sz w:val="16"/>
                <w:szCs w:val="16"/>
              </w:rPr>
              <w:t>Subscription Segmentation in PCF and UDR</w:t>
            </w:r>
          </w:p>
        </w:tc>
        <w:tc>
          <w:tcPr>
            <w:tcW w:w="708" w:type="dxa"/>
            <w:shd w:val="solid" w:color="FFFFFF" w:fill="auto"/>
          </w:tcPr>
          <w:p w14:paraId="7DED2F58" w14:textId="77777777" w:rsidR="00D40151" w:rsidRPr="00873B6C" w:rsidRDefault="00D40151" w:rsidP="009D14FB">
            <w:pPr>
              <w:pStyle w:val="TAC"/>
              <w:rPr>
                <w:sz w:val="16"/>
                <w:szCs w:val="16"/>
              </w:rPr>
            </w:pPr>
            <w:r w:rsidRPr="00873B6C">
              <w:rPr>
                <w:sz w:val="16"/>
                <w:szCs w:val="16"/>
              </w:rPr>
              <w:t>16.1.0</w:t>
            </w:r>
          </w:p>
        </w:tc>
      </w:tr>
      <w:tr w:rsidR="00D40151" w:rsidRPr="00873B6C" w14:paraId="4C6CC79D" w14:textId="77777777" w:rsidTr="009D14FB">
        <w:tc>
          <w:tcPr>
            <w:tcW w:w="800" w:type="dxa"/>
            <w:shd w:val="solid" w:color="FFFFFF" w:fill="auto"/>
          </w:tcPr>
          <w:p w14:paraId="642AAF2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48DE76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2F3F0ED"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436E9402" w14:textId="77777777" w:rsidR="00D40151" w:rsidRPr="00873B6C" w:rsidRDefault="00D40151" w:rsidP="009D14FB">
            <w:pPr>
              <w:pStyle w:val="TAL"/>
              <w:rPr>
                <w:sz w:val="16"/>
                <w:szCs w:val="16"/>
              </w:rPr>
            </w:pPr>
            <w:r w:rsidRPr="00873B6C">
              <w:rPr>
                <w:sz w:val="16"/>
                <w:szCs w:val="16"/>
              </w:rPr>
              <w:t>1367</w:t>
            </w:r>
          </w:p>
        </w:tc>
        <w:tc>
          <w:tcPr>
            <w:tcW w:w="425" w:type="dxa"/>
            <w:shd w:val="solid" w:color="FFFFFF" w:fill="auto"/>
          </w:tcPr>
          <w:p w14:paraId="0430D76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0C3AF74"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E2EE1B6" w14:textId="77777777" w:rsidR="00D40151" w:rsidRPr="00873B6C" w:rsidRDefault="00D40151" w:rsidP="009D14FB">
            <w:pPr>
              <w:pStyle w:val="TAL"/>
              <w:rPr>
                <w:sz w:val="16"/>
                <w:szCs w:val="16"/>
              </w:rPr>
            </w:pPr>
            <w:r w:rsidRPr="00873B6C">
              <w:rPr>
                <w:sz w:val="16"/>
                <w:szCs w:val="16"/>
              </w:rPr>
              <w:t>Serving PLMN UE-AMBR control</w:t>
            </w:r>
          </w:p>
        </w:tc>
        <w:tc>
          <w:tcPr>
            <w:tcW w:w="708" w:type="dxa"/>
            <w:shd w:val="solid" w:color="FFFFFF" w:fill="auto"/>
          </w:tcPr>
          <w:p w14:paraId="7795E485" w14:textId="77777777" w:rsidR="00D40151" w:rsidRPr="00873B6C" w:rsidRDefault="00D40151" w:rsidP="009D14FB">
            <w:pPr>
              <w:pStyle w:val="TAC"/>
              <w:rPr>
                <w:sz w:val="16"/>
                <w:szCs w:val="16"/>
              </w:rPr>
            </w:pPr>
            <w:r w:rsidRPr="00873B6C">
              <w:rPr>
                <w:sz w:val="16"/>
                <w:szCs w:val="16"/>
              </w:rPr>
              <w:t>16.1.0</w:t>
            </w:r>
          </w:p>
        </w:tc>
      </w:tr>
      <w:tr w:rsidR="00D40151" w:rsidRPr="00873B6C" w14:paraId="0DEE7DBF" w14:textId="77777777" w:rsidTr="009D14FB">
        <w:tc>
          <w:tcPr>
            <w:tcW w:w="800" w:type="dxa"/>
            <w:shd w:val="solid" w:color="FFFFFF" w:fill="auto"/>
          </w:tcPr>
          <w:p w14:paraId="0432B14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7C778B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A6FA7E1"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18882594" w14:textId="77777777" w:rsidR="00D40151" w:rsidRPr="00873B6C" w:rsidRDefault="00D40151" w:rsidP="009D14FB">
            <w:pPr>
              <w:pStyle w:val="TAL"/>
              <w:rPr>
                <w:sz w:val="16"/>
                <w:szCs w:val="16"/>
              </w:rPr>
            </w:pPr>
            <w:r w:rsidRPr="00873B6C">
              <w:rPr>
                <w:sz w:val="16"/>
                <w:szCs w:val="16"/>
              </w:rPr>
              <w:t>1372</w:t>
            </w:r>
          </w:p>
        </w:tc>
        <w:tc>
          <w:tcPr>
            <w:tcW w:w="425" w:type="dxa"/>
            <w:shd w:val="solid" w:color="FFFFFF" w:fill="auto"/>
          </w:tcPr>
          <w:p w14:paraId="3A16532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58064A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9A1DC3E" w14:textId="77777777" w:rsidR="00D40151" w:rsidRPr="00873B6C" w:rsidRDefault="00D40151" w:rsidP="009D14FB">
            <w:pPr>
              <w:pStyle w:val="TAL"/>
              <w:rPr>
                <w:sz w:val="16"/>
                <w:szCs w:val="16"/>
              </w:rPr>
            </w:pPr>
            <w:r w:rsidRPr="00873B6C">
              <w:rPr>
                <w:sz w:val="16"/>
                <w:szCs w:val="16"/>
              </w:rPr>
              <w:t>Access network selection for devices that do not support NAS over WLAN</w:t>
            </w:r>
          </w:p>
        </w:tc>
        <w:tc>
          <w:tcPr>
            <w:tcW w:w="708" w:type="dxa"/>
            <w:shd w:val="solid" w:color="FFFFFF" w:fill="auto"/>
          </w:tcPr>
          <w:p w14:paraId="418B093F" w14:textId="77777777" w:rsidR="00D40151" w:rsidRPr="00873B6C" w:rsidRDefault="00D40151" w:rsidP="009D14FB">
            <w:pPr>
              <w:pStyle w:val="TAC"/>
              <w:rPr>
                <w:sz w:val="16"/>
                <w:szCs w:val="16"/>
              </w:rPr>
            </w:pPr>
            <w:r w:rsidRPr="00873B6C">
              <w:rPr>
                <w:sz w:val="16"/>
                <w:szCs w:val="16"/>
              </w:rPr>
              <w:t>16.1.0</w:t>
            </w:r>
          </w:p>
        </w:tc>
      </w:tr>
      <w:tr w:rsidR="00D40151" w:rsidRPr="00873B6C" w14:paraId="53A5AA4A" w14:textId="77777777" w:rsidTr="009D14FB">
        <w:tc>
          <w:tcPr>
            <w:tcW w:w="800" w:type="dxa"/>
            <w:shd w:val="solid" w:color="FFFFFF" w:fill="auto"/>
          </w:tcPr>
          <w:p w14:paraId="115AC34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202722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2E22992"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096192FE" w14:textId="77777777" w:rsidR="00D40151" w:rsidRPr="00873B6C" w:rsidRDefault="00D40151" w:rsidP="009D14FB">
            <w:pPr>
              <w:pStyle w:val="TAL"/>
              <w:rPr>
                <w:sz w:val="16"/>
                <w:szCs w:val="16"/>
              </w:rPr>
            </w:pPr>
            <w:r w:rsidRPr="00873B6C">
              <w:rPr>
                <w:sz w:val="16"/>
                <w:szCs w:val="16"/>
              </w:rPr>
              <w:t>1374</w:t>
            </w:r>
          </w:p>
        </w:tc>
        <w:tc>
          <w:tcPr>
            <w:tcW w:w="425" w:type="dxa"/>
            <w:shd w:val="solid" w:color="FFFFFF" w:fill="auto"/>
          </w:tcPr>
          <w:p w14:paraId="7F50E2A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140C5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52A4031" w14:textId="77777777" w:rsidR="00D40151" w:rsidRPr="00873B6C" w:rsidRDefault="00D40151" w:rsidP="009D14FB">
            <w:pPr>
              <w:pStyle w:val="TAL"/>
              <w:rPr>
                <w:sz w:val="16"/>
                <w:szCs w:val="16"/>
              </w:rPr>
            </w:pPr>
            <w:r w:rsidRPr="00873B6C">
              <w:rPr>
                <w:sz w:val="16"/>
                <w:szCs w:val="16"/>
              </w:rPr>
              <w:t>AMF overload control for trusted non-3GPP access</w:t>
            </w:r>
          </w:p>
        </w:tc>
        <w:tc>
          <w:tcPr>
            <w:tcW w:w="708" w:type="dxa"/>
            <w:shd w:val="solid" w:color="FFFFFF" w:fill="auto"/>
          </w:tcPr>
          <w:p w14:paraId="20ED88CB" w14:textId="77777777" w:rsidR="00D40151" w:rsidRPr="00873B6C" w:rsidRDefault="00D40151" w:rsidP="009D14FB">
            <w:pPr>
              <w:pStyle w:val="TAC"/>
              <w:rPr>
                <w:sz w:val="16"/>
                <w:szCs w:val="16"/>
              </w:rPr>
            </w:pPr>
            <w:r w:rsidRPr="00873B6C">
              <w:rPr>
                <w:sz w:val="16"/>
                <w:szCs w:val="16"/>
              </w:rPr>
              <w:t>16.1.0</w:t>
            </w:r>
          </w:p>
        </w:tc>
      </w:tr>
      <w:tr w:rsidR="00D40151" w:rsidRPr="00873B6C" w14:paraId="512D2992" w14:textId="77777777" w:rsidTr="009D14FB">
        <w:tc>
          <w:tcPr>
            <w:tcW w:w="800" w:type="dxa"/>
            <w:shd w:val="solid" w:color="FFFFFF" w:fill="auto"/>
          </w:tcPr>
          <w:p w14:paraId="1582AAD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0E1627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18B069B"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7D895BEB" w14:textId="77777777" w:rsidR="00D40151" w:rsidRPr="00873B6C" w:rsidRDefault="00D40151" w:rsidP="009D14FB">
            <w:pPr>
              <w:pStyle w:val="TAL"/>
              <w:rPr>
                <w:sz w:val="16"/>
                <w:szCs w:val="16"/>
              </w:rPr>
            </w:pPr>
            <w:r w:rsidRPr="00873B6C">
              <w:rPr>
                <w:sz w:val="16"/>
                <w:szCs w:val="16"/>
              </w:rPr>
              <w:t>1375</w:t>
            </w:r>
          </w:p>
        </w:tc>
        <w:tc>
          <w:tcPr>
            <w:tcW w:w="425" w:type="dxa"/>
            <w:shd w:val="solid" w:color="FFFFFF" w:fill="auto"/>
          </w:tcPr>
          <w:p w14:paraId="1998511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36AB50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FB045DB" w14:textId="77777777" w:rsidR="00D40151" w:rsidRPr="00873B6C" w:rsidRDefault="00D40151" w:rsidP="009D14FB">
            <w:pPr>
              <w:pStyle w:val="TAL"/>
              <w:rPr>
                <w:sz w:val="16"/>
                <w:szCs w:val="16"/>
              </w:rPr>
            </w:pPr>
            <w:r w:rsidRPr="00873B6C">
              <w:rPr>
                <w:sz w:val="16"/>
                <w:szCs w:val="16"/>
              </w:rPr>
              <w:t>23.501 part of PCF selection for PDU sessions with same DNN and S-NSSAI</w:t>
            </w:r>
          </w:p>
        </w:tc>
        <w:tc>
          <w:tcPr>
            <w:tcW w:w="708" w:type="dxa"/>
            <w:shd w:val="solid" w:color="FFFFFF" w:fill="auto"/>
          </w:tcPr>
          <w:p w14:paraId="1874BAC0" w14:textId="77777777" w:rsidR="00D40151" w:rsidRPr="00873B6C" w:rsidRDefault="00D40151" w:rsidP="009D14FB">
            <w:pPr>
              <w:pStyle w:val="TAC"/>
              <w:rPr>
                <w:sz w:val="16"/>
                <w:szCs w:val="16"/>
              </w:rPr>
            </w:pPr>
            <w:r w:rsidRPr="00873B6C">
              <w:rPr>
                <w:sz w:val="16"/>
                <w:szCs w:val="16"/>
              </w:rPr>
              <w:t>16.1.0</w:t>
            </w:r>
          </w:p>
        </w:tc>
      </w:tr>
      <w:tr w:rsidR="00D40151" w:rsidRPr="00873B6C" w14:paraId="0D155681" w14:textId="77777777" w:rsidTr="009D14FB">
        <w:tc>
          <w:tcPr>
            <w:tcW w:w="800" w:type="dxa"/>
            <w:shd w:val="solid" w:color="FFFFFF" w:fill="auto"/>
          </w:tcPr>
          <w:p w14:paraId="4CA0AD5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B27B52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D5CA5DA"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7653877D" w14:textId="77777777" w:rsidR="00D40151" w:rsidRPr="00873B6C" w:rsidRDefault="00D40151" w:rsidP="009D14FB">
            <w:pPr>
              <w:pStyle w:val="TAL"/>
              <w:rPr>
                <w:sz w:val="16"/>
                <w:szCs w:val="16"/>
              </w:rPr>
            </w:pPr>
            <w:r w:rsidRPr="00873B6C">
              <w:rPr>
                <w:sz w:val="16"/>
                <w:szCs w:val="16"/>
              </w:rPr>
              <w:t>1376</w:t>
            </w:r>
          </w:p>
        </w:tc>
        <w:tc>
          <w:tcPr>
            <w:tcW w:w="425" w:type="dxa"/>
            <w:shd w:val="solid" w:color="FFFFFF" w:fill="auto"/>
          </w:tcPr>
          <w:p w14:paraId="7D81CAC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74E3F8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FE870F8" w14:textId="77777777" w:rsidR="00D40151" w:rsidRPr="00873B6C" w:rsidRDefault="00D40151" w:rsidP="009D14FB">
            <w:pPr>
              <w:pStyle w:val="TAL"/>
              <w:rPr>
                <w:sz w:val="16"/>
                <w:szCs w:val="16"/>
              </w:rPr>
            </w:pPr>
            <w:r w:rsidRPr="00873B6C">
              <w:rPr>
                <w:sz w:val="16"/>
                <w:szCs w:val="16"/>
              </w:rPr>
              <w:t>Support for Enhanced Coverage Restriction Control via NEF</w:t>
            </w:r>
          </w:p>
        </w:tc>
        <w:tc>
          <w:tcPr>
            <w:tcW w:w="708" w:type="dxa"/>
            <w:shd w:val="solid" w:color="FFFFFF" w:fill="auto"/>
          </w:tcPr>
          <w:p w14:paraId="634299DB" w14:textId="77777777" w:rsidR="00D40151" w:rsidRPr="00873B6C" w:rsidRDefault="00D40151" w:rsidP="009D14FB">
            <w:pPr>
              <w:pStyle w:val="TAC"/>
              <w:rPr>
                <w:sz w:val="16"/>
                <w:szCs w:val="16"/>
              </w:rPr>
            </w:pPr>
            <w:r w:rsidRPr="00873B6C">
              <w:rPr>
                <w:sz w:val="16"/>
                <w:szCs w:val="16"/>
              </w:rPr>
              <w:t>16.1.0</w:t>
            </w:r>
          </w:p>
        </w:tc>
      </w:tr>
      <w:tr w:rsidR="00D40151" w:rsidRPr="00873B6C" w14:paraId="48E5F6BA" w14:textId="77777777" w:rsidTr="009D14FB">
        <w:tc>
          <w:tcPr>
            <w:tcW w:w="800" w:type="dxa"/>
            <w:shd w:val="solid" w:color="FFFFFF" w:fill="auto"/>
          </w:tcPr>
          <w:p w14:paraId="06A4549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94D70B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AE99968"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4EAF19D3" w14:textId="77777777" w:rsidR="00D40151" w:rsidRPr="00873B6C" w:rsidRDefault="00D40151" w:rsidP="009D14FB">
            <w:pPr>
              <w:pStyle w:val="TAL"/>
              <w:rPr>
                <w:sz w:val="16"/>
                <w:szCs w:val="16"/>
              </w:rPr>
            </w:pPr>
            <w:r w:rsidRPr="00873B6C">
              <w:rPr>
                <w:sz w:val="16"/>
                <w:szCs w:val="16"/>
              </w:rPr>
              <w:t>1378</w:t>
            </w:r>
          </w:p>
        </w:tc>
        <w:tc>
          <w:tcPr>
            <w:tcW w:w="425" w:type="dxa"/>
            <w:shd w:val="solid" w:color="FFFFFF" w:fill="auto"/>
          </w:tcPr>
          <w:p w14:paraId="2E7E94D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9209FC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9E3418" w14:textId="77777777" w:rsidR="00D40151" w:rsidRPr="00873B6C" w:rsidRDefault="00D40151" w:rsidP="009D14FB">
            <w:pPr>
              <w:pStyle w:val="TAL"/>
              <w:rPr>
                <w:sz w:val="16"/>
                <w:szCs w:val="16"/>
              </w:rPr>
            </w:pPr>
            <w:r w:rsidRPr="00873B6C">
              <w:rPr>
                <w:sz w:val="16"/>
                <w:szCs w:val="16"/>
              </w:rPr>
              <w:t>Support for Dynamic Port Management in RDS</w:t>
            </w:r>
          </w:p>
        </w:tc>
        <w:tc>
          <w:tcPr>
            <w:tcW w:w="708" w:type="dxa"/>
            <w:shd w:val="solid" w:color="FFFFFF" w:fill="auto"/>
          </w:tcPr>
          <w:p w14:paraId="674122EE" w14:textId="77777777" w:rsidR="00D40151" w:rsidRPr="00873B6C" w:rsidRDefault="00D40151" w:rsidP="009D14FB">
            <w:pPr>
              <w:pStyle w:val="TAC"/>
              <w:rPr>
                <w:sz w:val="16"/>
                <w:szCs w:val="16"/>
              </w:rPr>
            </w:pPr>
            <w:r w:rsidRPr="00873B6C">
              <w:rPr>
                <w:sz w:val="16"/>
                <w:szCs w:val="16"/>
              </w:rPr>
              <w:t>16.1.0</w:t>
            </w:r>
          </w:p>
        </w:tc>
      </w:tr>
      <w:tr w:rsidR="00D40151" w:rsidRPr="00873B6C" w14:paraId="5A083771" w14:textId="77777777" w:rsidTr="009D14FB">
        <w:tc>
          <w:tcPr>
            <w:tcW w:w="800" w:type="dxa"/>
            <w:shd w:val="solid" w:color="FFFFFF" w:fill="auto"/>
          </w:tcPr>
          <w:p w14:paraId="3937177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18CC8B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FBDD34"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396208DB" w14:textId="77777777" w:rsidR="00D40151" w:rsidRPr="00873B6C" w:rsidRDefault="00D40151" w:rsidP="009D14FB">
            <w:pPr>
              <w:pStyle w:val="TAL"/>
              <w:rPr>
                <w:sz w:val="16"/>
                <w:szCs w:val="16"/>
              </w:rPr>
            </w:pPr>
            <w:r w:rsidRPr="00873B6C">
              <w:rPr>
                <w:sz w:val="16"/>
                <w:szCs w:val="16"/>
              </w:rPr>
              <w:t>1381</w:t>
            </w:r>
          </w:p>
        </w:tc>
        <w:tc>
          <w:tcPr>
            <w:tcW w:w="425" w:type="dxa"/>
            <w:shd w:val="solid" w:color="FFFFFF" w:fill="auto"/>
          </w:tcPr>
          <w:p w14:paraId="00FA81C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552001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5DB61A7" w14:textId="77777777" w:rsidR="00D40151" w:rsidRPr="00873B6C" w:rsidRDefault="00D40151" w:rsidP="009D14FB">
            <w:pPr>
              <w:pStyle w:val="TAL"/>
              <w:rPr>
                <w:sz w:val="16"/>
                <w:szCs w:val="16"/>
              </w:rPr>
            </w:pPr>
            <w:r w:rsidRPr="00873B6C">
              <w:rPr>
                <w:sz w:val="16"/>
                <w:szCs w:val="16"/>
              </w:rPr>
              <w:t>Introduction of TSN Sync soln #28A</w:t>
            </w:r>
          </w:p>
        </w:tc>
        <w:tc>
          <w:tcPr>
            <w:tcW w:w="708" w:type="dxa"/>
            <w:shd w:val="solid" w:color="FFFFFF" w:fill="auto"/>
          </w:tcPr>
          <w:p w14:paraId="5C3E3871" w14:textId="77777777" w:rsidR="00D40151" w:rsidRPr="00873B6C" w:rsidRDefault="00D40151" w:rsidP="009D14FB">
            <w:pPr>
              <w:pStyle w:val="TAC"/>
              <w:rPr>
                <w:sz w:val="16"/>
                <w:szCs w:val="16"/>
              </w:rPr>
            </w:pPr>
            <w:r w:rsidRPr="00873B6C">
              <w:rPr>
                <w:sz w:val="16"/>
                <w:szCs w:val="16"/>
              </w:rPr>
              <w:t>16.1.0</w:t>
            </w:r>
          </w:p>
        </w:tc>
      </w:tr>
      <w:tr w:rsidR="00D40151" w:rsidRPr="00873B6C" w14:paraId="79D92F19" w14:textId="77777777" w:rsidTr="009D14FB">
        <w:tc>
          <w:tcPr>
            <w:tcW w:w="800" w:type="dxa"/>
            <w:shd w:val="solid" w:color="FFFFFF" w:fill="auto"/>
          </w:tcPr>
          <w:p w14:paraId="0843D59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D6534F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EAE4D17"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1FD01EE9" w14:textId="77777777" w:rsidR="00D40151" w:rsidRPr="00873B6C" w:rsidRDefault="00D40151" w:rsidP="009D14FB">
            <w:pPr>
              <w:pStyle w:val="TAL"/>
              <w:rPr>
                <w:sz w:val="16"/>
                <w:szCs w:val="16"/>
              </w:rPr>
            </w:pPr>
            <w:r w:rsidRPr="00873B6C">
              <w:rPr>
                <w:sz w:val="16"/>
                <w:szCs w:val="16"/>
              </w:rPr>
              <w:t>1382</w:t>
            </w:r>
          </w:p>
        </w:tc>
        <w:tc>
          <w:tcPr>
            <w:tcW w:w="425" w:type="dxa"/>
            <w:shd w:val="solid" w:color="FFFFFF" w:fill="auto"/>
          </w:tcPr>
          <w:p w14:paraId="0E3E82E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316D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2F8DF6" w14:textId="77777777" w:rsidR="00D40151" w:rsidRPr="00873B6C" w:rsidRDefault="00D40151" w:rsidP="009D14FB">
            <w:pPr>
              <w:pStyle w:val="TAL"/>
              <w:rPr>
                <w:sz w:val="16"/>
                <w:szCs w:val="16"/>
              </w:rPr>
            </w:pPr>
            <w:r w:rsidRPr="00873B6C">
              <w:rPr>
                <w:sz w:val="16"/>
                <w:szCs w:val="16"/>
              </w:rPr>
              <w:t>Update to Survival time EN</w:t>
            </w:r>
          </w:p>
        </w:tc>
        <w:tc>
          <w:tcPr>
            <w:tcW w:w="708" w:type="dxa"/>
            <w:shd w:val="solid" w:color="FFFFFF" w:fill="auto"/>
          </w:tcPr>
          <w:p w14:paraId="196604F7" w14:textId="77777777" w:rsidR="00D40151" w:rsidRPr="00873B6C" w:rsidRDefault="00D40151" w:rsidP="009D14FB">
            <w:pPr>
              <w:pStyle w:val="TAC"/>
              <w:rPr>
                <w:sz w:val="16"/>
                <w:szCs w:val="16"/>
              </w:rPr>
            </w:pPr>
            <w:r w:rsidRPr="00873B6C">
              <w:rPr>
                <w:sz w:val="16"/>
                <w:szCs w:val="16"/>
              </w:rPr>
              <w:t>16.1.0</w:t>
            </w:r>
          </w:p>
        </w:tc>
      </w:tr>
      <w:tr w:rsidR="00D40151" w:rsidRPr="00873B6C" w14:paraId="007E0E69" w14:textId="77777777" w:rsidTr="009D14FB">
        <w:tc>
          <w:tcPr>
            <w:tcW w:w="800" w:type="dxa"/>
            <w:shd w:val="solid" w:color="FFFFFF" w:fill="auto"/>
          </w:tcPr>
          <w:p w14:paraId="1BF0DB3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2161CF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56185EC" w14:textId="77777777" w:rsidR="00D40151" w:rsidRPr="00873B6C" w:rsidRDefault="00D40151" w:rsidP="009D14FB">
            <w:pPr>
              <w:pStyle w:val="TAC"/>
              <w:rPr>
                <w:sz w:val="16"/>
                <w:szCs w:val="16"/>
              </w:rPr>
            </w:pPr>
            <w:r w:rsidRPr="00873B6C">
              <w:rPr>
                <w:sz w:val="16"/>
                <w:szCs w:val="16"/>
              </w:rPr>
              <w:t>SP-190419</w:t>
            </w:r>
          </w:p>
        </w:tc>
        <w:tc>
          <w:tcPr>
            <w:tcW w:w="567" w:type="dxa"/>
            <w:shd w:val="solid" w:color="FFFFFF" w:fill="auto"/>
          </w:tcPr>
          <w:p w14:paraId="295B7AF1" w14:textId="77777777" w:rsidR="00D40151" w:rsidRPr="00873B6C" w:rsidRDefault="00D40151" w:rsidP="009D14FB">
            <w:pPr>
              <w:pStyle w:val="TAL"/>
              <w:rPr>
                <w:sz w:val="16"/>
                <w:szCs w:val="16"/>
              </w:rPr>
            </w:pPr>
            <w:r w:rsidRPr="00873B6C">
              <w:rPr>
                <w:sz w:val="16"/>
                <w:szCs w:val="16"/>
              </w:rPr>
              <w:t>1384</w:t>
            </w:r>
          </w:p>
        </w:tc>
        <w:tc>
          <w:tcPr>
            <w:tcW w:w="425" w:type="dxa"/>
            <w:shd w:val="solid" w:color="FFFFFF" w:fill="auto"/>
          </w:tcPr>
          <w:p w14:paraId="35882F9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4977F7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302B601" w14:textId="77777777" w:rsidR="00D40151" w:rsidRPr="00873B6C" w:rsidRDefault="00D40151" w:rsidP="009D14FB">
            <w:pPr>
              <w:pStyle w:val="TAL"/>
              <w:rPr>
                <w:sz w:val="16"/>
                <w:szCs w:val="16"/>
              </w:rPr>
            </w:pPr>
            <w:r w:rsidRPr="00873B6C">
              <w:rPr>
                <w:sz w:val="16"/>
                <w:szCs w:val="16"/>
              </w:rPr>
              <w:t>Adding UDR NF Group ID association functionality</w:t>
            </w:r>
          </w:p>
        </w:tc>
        <w:tc>
          <w:tcPr>
            <w:tcW w:w="708" w:type="dxa"/>
            <w:shd w:val="solid" w:color="FFFFFF" w:fill="auto"/>
          </w:tcPr>
          <w:p w14:paraId="1A0D04CE" w14:textId="77777777" w:rsidR="00D40151" w:rsidRPr="00873B6C" w:rsidRDefault="00D40151" w:rsidP="009D14FB">
            <w:pPr>
              <w:pStyle w:val="TAC"/>
              <w:rPr>
                <w:sz w:val="16"/>
                <w:szCs w:val="16"/>
              </w:rPr>
            </w:pPr>
            <w:r w:rsidRPr="00873B6C">
              <w:rPr>
                <w:sz w:val="16"/>
                <w:szCs w:val="16"/>
              </w:rPr>
              <w:t>16.1.0</w:t>
            </w:r>
          </w:p>
        </w:tc>
      </w:tr>
      <w:tr w:rsidR="00D40151" w:rsidRPr="00873B6C" w14:paraId="76C0A901" w14:textId="77777777" w:rsidTr="009D14FB">
        <w:tc>
          <w:tcPr>
            <w:tcW w:w="800" w:type="dxa"/>
            <w:shd w:val="solid" w:color="FFFFFF" w:fill="auto"/>
          </w:tcPr>
          <w:p w14:paraId="7EFB85C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247B62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424B908"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6FDB5C31" w14:textId="77777777" w:rsidR="00D40151" w:rsidRPr="00873B6C" w:rsidRDefault="00D40151" w:rsidP="009D14FB">
            <w:pPr>
              <w:pStyle w:val="TAL"/>
              <w:rPr>
                <w:sz w:val="16"/>
                <w:szCs w:val="16"/>
              </w:rPr>
            </w:pPr>
            <w:r w:rsidRPr="00873B6C">
              <w:rPr>
                <w:sz w:val="16"/>
                <w:szCs w:val="16"/>
              </w:rPr>
              <w:t>1390</w:t>
            </w:r>
          </w:p>
        </w:tc>
        <w:tc>
          <w:tcPr>
            <w:tcW w:w="425" w:type="dxa"/>
            <w:shd w:val="solid" w:color="FFFFFF" w:fill="auto"/>
          </w:tcPr>
          <w:p w14:paraId="4D6CC06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01E32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17D33C8" w14:textId="77777777" w:rsidR="00D40151" w:rsidRPr="00873B6C" w:rsidRDefault="00D40151" w:rsidP="009D14FB">
            <w:pPr>
              <w:pStyle w:val="TAL"/>
              <w:rPr>
                <w:sz w:val="16"/>
                <w:szCs w:val="16"/>
              </w:rPr>
            </w:pPr>
            <w:r w:rsidRPr="00873B6C">
              <w:rPr>
                <w:sz w:val="16"/>
                <w:szCs w:val="16"/>
              </w:rPr>
              <w:t>Correction of use of PEI/IMEI for non-3GPP only UEs</w:t>
            </w:r>
          </w:p>
        </w:tc>
        <w:tc>
          <w:tcPr>
            <w:tcW w:w="708" w:type="dxa"/>
            <w:shd w:val="solid" w:color="FFFFFF" w:fill="auto"/>
          </w:tcPr>
          <w:p w14:paraId="3B3837C7" w14:textId="77777777" w:rsidR="00D40151" w:rsidRPr="00873B6C" w:rsidRDefault="00D40151" w:rsidP="009D14FB">
            <w:pPr>
              <w:pStyle w:val="TAC"/>
              <w:rPr>
                <w:sz w:val="16"/>
                <w:szCs w:val="16"/>
              </w:rPr>
            </w:pPr>
            <w:r w:rsidRPr="00873B6C">
              <w:rPr>
                <w:sz w:val="16"/>
                <w:szCs w:val="16"/>
              </w:rPr>
              <w:t>16.1.0</w:t>
            </w:r>
          </w:p>
        </w:tc>
      </w:tr>
      <w:tr w:rsidR="00D40151" w:rsidRPr="00873B6C" w14:paraId="482AF51E" w14:textId="77777777" w:rsidTr="009D14FB">
        <w:tc>
          <w:tcPr>
            <w:tcW w:w="800" w:type="dxa"/>
            <w:shd w:val="solid" w:color="FFFFFF" w:fill="auto"/>
          </w:tcPr>
          <w:p w14:paraId="58207D4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172040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E122D9B"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5A6C66DA" w14:textId="77777777" w:rsidR="00D40151" w:rsidRPr="00873B6C" w:rsidRDefault="00D40151" w:rsidP="009D14FB">
            <w:pPr>
              <w:pStyle w:val="TAL"/>
              <w:rPr>
                <w:sz w:val="16"/>
                <w:szCs w:val="16"/>
              </w:rPr>
            </w:pPr>
            <w:r w:rsidRPr="00873B6C">
              <w:rPr>
                <w:sz w:val="16"/>
                <w:szCs w:val="16"/>
              </w:rPr>
              <w:t>1395</w:t>
            </w:r>
          </w:p>
        </w:tc>
        <w:tc>
          <w:tcPr>
            <w:tcW w:w="425" w:type="dxa"/>
            <w:shd w:val="solid" w:color="FFFFFF" w:fill="auto"/>
          </w:tcPr>
          <w:p w14:paraId="0BB2A75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FCA8E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D8BC4F" w14:textId="77777777" w:rsidR="00D40151" w:rsidRPr="00873B6C" w:rsidRDefault="00D40151" w:rsidP="009D14FB">
            <w:pPr>
              <w:pStyle w:val="TAL"/>
              <w:rPr>
                <w:sz w:val="16"/>
                <w:szCs w:val="16"/>
              </w:rPr>
            </w:pPr>
            <w:r w:rsidRPr="00873B6C">
              <w:rPr>
                <w:sz w:val="16"/>
                <w:szCs w:val="16"/>
              </w:rPr>
              <w:t>Clarifications on Reflective QoS for MPTCP</w:t>
            </w:r>
          </w:p>
        </w:tc>
        <w:tc>
          <w:tcPr>
            <w:tcW w:w="708" w:type="dxa"/>
            <w:shd w:val="solid" w:color="FFFFFF" w:fill="auto"/>
          </w:tcPr>
          <w:p w14:paraId="2DBD09BA" w14:textId="77777777" w:rsidR="00D40151" w:rsidRPr="00873B6C" w:rsidRDefault="00D40151" w:rsidP="009D14FB">
            <w:pPr>
              <w:pStyle w:val="TAC"/>
              <w:rPr>
                <w:sz w:val="16"/>
                <w:szCs w:val="16"/>
              </w:rPr>
            </w:pPr>
            <w:r w:rsidRPr="00873B6C">
              <w:rPr>
                <w:sz w:val="16"/>
                <w:szCs w:val="16"/>
              </w:rPr>
              <w:t>16.1.0</w:t>
            </w:r>
          </w:p>
        </w:tc>
      </w:tr>
      <w:tr w:rsidR="00D40151" w:rsidRPr="00873B6C" w14:paraId="388F7B67" w14:textId="77777777" w:rsidTr="009D14FB">
        <w:tc>
          <w:tcPr>
            <w:tcW w:w="800" w:type="dxa"/>
            <w:shd w:val="solid" w:color="FFFFFF" w:fill="auto"/>
          </w:tcPr>
          <w:p w14:paraId="330A63D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0A587E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95A6282"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7B81EFA9" w14:textId="77777777" w:rsidR="00D40151" w:rsidRPr="00873B6C" w:rsidRDefault="00D40151" w:rsidP="009D14FB">
            <w:pPr>
              <w:pStyle w:val="TAL"/>
              <w:rPr>
                <w:sz w:val="16"/>
                <w:szCs w:val="16"/>
              </w:rPr>
            </w:pPr>
            <w:r w:rsidRPr="00873B6C">
              <w:rPr>
                <w:sz w:val="16"/>
                <w:szCs w:val="16"/>
              </w:rPr>
              <w:t>1396</w:t>
            </w:r>
          </w:p>
        </w:tc>
        <w:tc>
          <w:tcPr>
            <w:tcW w:w="425" w:type="dxa"/>
            <w:shd w:val="solid" w:color="FFFFFF" w:fill="auto"/>
          </w:tcPr>
          <w:p w14:paraId="42D42F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3B1D7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3E7704C" w14:textId="77777777" w:rsidR="00D40151" w:rsidRPr="00873B6C" w:rsidRDefault="00D40151" w:rsidP="009D14FB">
            <w:pPr>
              <w:pStyle w:val="TAL"/>
              <w:rPr>
                <w:sz w:val="16"/>
                <w:szCs w:val="16"/>
              </w:rPr>
            </w:pPr>
            <w:r w:rsidRPr="00873B6C">
              <w:rPr>
                <w:sz w:val="16"/>
                <w:szCs w:val="16"/>
              </w:rPr>
              <w:t>NW selection considering RAN sharing for SNPNs</w:t>
            </w:r>
          </w:p>
        </w:tc>
        <w:tc>
          <w:tcPr>
            <w:tcW w:w="708" w:type="dxa"/>
            <w:shd w:val="solid" w:color="FFFFFF" w:fill="auto"/>
          </w:tcPr>
          <w:p w14:paraId="50CBE14F" w14:textId="77777777" w:rsidR="00D40151" w:rsidRPr="00873B6C" w:rsidRDefault="00D40151" w:rsidP="009D14FB">
            <w:pPr>
              <w:pStyle w:val="TAC"/>
              <w:rPr>
                <w:sz w:val="16"/>
                <w:szCs w:val="16"/>
              </w:rPr>
            </w:pPr>
            <w:r w:rsidRPr="00873B6C">
              <w:rPr>
                <w:sz w:val="16"/>
                <w:szCs w:val="16"/>
              </w:rPr>
              <w:t>16.1.0</w:t>
            </w:r>
          </w:p>
        </w:tc>
      </w:tr>
      <w:tr w:rsidR="00D40151" w:rsidRPr="00873B6C" w14:paraId="6B9F0577" w14:textId="77777777" w:rsidTr="009D14FB">
        <w:tc>
          <w:tcPr>
            <w:tcW w:w="800" w:type="dxa"/>
            <w:shd w:val="solid" w:color="FFFFFF" w:fill="auto"/>
          </w:tcPr>
          <w:p w14:paraId="737DE0E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F28F60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7224F6" w14:textId="77777777" w:rsidR="00D40151" w:rsidRPr="00873B6C" w:rsidRDefault="00D40151" w:rsidP="009D14FB">
            <w:pPr>
              <w:pStyle w:val="TAC"/>
              <w:rPr>
                <w:sz w:val="16"/>
                <w:szCs w:val="16"/>
              </w:rPr>
            </w:pPr>
            <w:r w:rsidRPr="00873B6C">
              <w:rPr>
                <w:sz w:val="16"/>
                <w:szCs w:val="16"/>
              </w:rPr>
              <w:t>SP-190421</w:t>
            </w:r>
          </w:p>
        </w:tc>
        <w:tc>
          <w:tcPr>
            <w:tcW w:w="567" w:type="dxa"/>
            <w:shd w:val="solid" w:color="FFFFFF" w:fill="auto"/>
          </w:tcPr>
          <w:p w14:paraId="3300A55E" w14:textId="77777777" w:rsidR="00D40151" w:rsidRPr="00873B6C" w:rsidRDefault="00D40151" w:rsidP="009D14FB">
            <w:pPr>
              <w:pStyle w:val="TAL"/>
              <w:rPr>
                <w:sz w:val="16"/>
                <w:szCs w:val="16"/>
              </w:rPr>
            </w:pPr>
            <w:r w:rsidRPr="00873B6C">
              <w:rPr>
                <w:sz w:val="16"/>
                <w:szCs w:val="16"/>
              </w:rPr>
              <w:t>1404</w:t>
            </w:r>
          </w:p>
        </w:tc>
        <w:tc>
          <w:tcPr>
            <w:tcW w:w="425" w:type="dxa"/>
            <w:shd w:val="solid" w:color="FFFFFF" w:fill="auto"/>
          </w:tcPr>
          <w:p w14:paraId="3AD4E33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41E57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17653C" w14:textId="77777777" w:rsidR="00D40151" w:rsidRPr="00873B6C" w:rsidRDefault="00D40151" w:rsidP="009D14FB">
            <w:pPr>
              <w:pStyle w:val="TAL"/>
              <w:rPr>
                <w:sz w:val="16"/>
                <w:szCs w:val="16"/>
              </w:rPr>
            </w:pPr>
            <w:r w:rsidRPr="00873B6C">
              <w:rPr>
                <w:sz w:val="16"/>
                <w:szCs w:val="16"/>
              </w:rPr>
              <w:t>Target AMF Selection during mobility from EPS to 5GS</w:t>
            </w:r>
          </w:p>
        </w:tc>
        <w:tc>
          <w:tcPr>
            <w:tcW w:w="708" w:type="dxa"/>
            <w:shd w:val="solid" w:color="FFFFFF" w:fill="auto"/>
          </w:tcPr>
          <w:p w14:paraId="7B93AE9F" w14:textId="77777777" w:rsidR="00D40151" w:rsidRPr="00873B6C" w:rsidRDefault="00D40151" w:rsidP="009D14FB">
            <w:pPr>
              <w:pStyle w:val="TAC"/>
              <w:rPr>
                <w:sz w:val="16"/>
                <w:szCs w:val="16"/>
              </w:rPr>
            </w:pPr>
            <w:r w:rsidRPr="00873B6C">
              <w:rPr>
                <w:sz w:val="16"/>
                <w:szCs w:val="16"/>
              </w:rPr>
              <w:t>16.1.0</w:t>
            </w:r>
          </w:p>
        </w:tc>
      </w:tr>
      <w:tr w:rsidR="00D40151" w:rsidRPr="00873B6C" w14:paraId="0A76808E" w14:textId="77777777" w:rsidTr="009D14FB">
        <w:tc>
          <w:tcPr>
            <w:tcW w:w="800" w:type="dxa"/>
            <w:shd w:val="solid" w:color="FFFFFF" w:fill="auto"/>
          </w:tcPr>
          <w:p w14:paraId="4EA1A23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9D9C95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30CE306"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406E124E" w14:textId="77777777" w:rsidR="00D40151" w:rsidRPr="00873B6C" w:rsidRDefault="00D40151" w:rsidP="009D14FB">
            <w:pPr>
              <w:pStyle w:val="TAL"/>
              <w:rPr>
                <w:sz w:val="16"/>
                <w:szCs w:val="16"/>
              </w:rPr>
            </w:pPr>
            <w:r w:rsidRPr="00873B6C">
              <w:rPr>
                <w:sz w:val="16"/>
                <w:szCs w:val="16"/>
              </w:rPr>
              <w:t>1405</w:t>
            </w:r>
          </w:p>
        </w:tc>
        <w:tc>
          <w:tcPr>
            <w:tcW w:w="425" w:type="dxa"/>
            <w:shd w:val="solid" w:color="FFFFFF" w:fill="auto"/>
          </w:tcPr>
          <w:p w14:paraId="59C10BD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F0C2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5DB357" w14:textId="77777777" w:rsidR="00D40151" w:rsidRPr="00873B6C" w:rsidRDefault="00D40151" w:rsidP="009D14FB">
            <w:pPr>
              <w:pStyle w:val="TAL"/>
              <w:rPr>
                <w:sz w:val="16"/>
                <w:szCs w:val="16"/>
              </w:rPr>
            </w:pPr>
            <w:r w:rsidRPr="00873B6C">
              <w:rPr>
                <w:sz w:val="16"/>
                <w:szCs w:val="16"/>
              </w:rPr>
              <w:t>Corrections to analytics used by AMF for MICO mode and SMF for UPF selection</w:t>
            </w:r>
          </w:p>
        </w:tc>
        <w:tc>
          <w:tcPr>
            <w:tcW w:w="708" w:type="dxa"/>
            <w:shd w:val="solid" w:color="FFFFFF" w:fill="auto"/>
          </w:tcPr>
          <w:p w14:paraId="3DB601F9" w14:textId="77777777" w:rsidR="00D40151" w:rsidRPr="00873B6C" w:rsidRDefault="00D40151" w:rsidP="009D14FB">
            <w:pPr>
              <w:pStyle w:val="TAC"/>
              <w:rPr>
                <w:sz w:val="16"/>
                <w:szCs w:val="16"/>
              </w:rPr>
            </w:pPr>
            <w:r w:rsidRPr="00873B6C">
              <w:rPr>
                <w:sz w:val="16"/>
                <w:szCs w:val="16"/>
              </w:rPr>
              <w:t>16.1.0</w:t>
            </w:r>
          </w:p>
        </w:tc>
      </w:tr>
      <w:tr w:rsidR="00D40151" w:rsidRPr="00873B6C" w14:paraId="3F666227" w14:textId="77777777" w:rsidTr="009D14FB">
        <w:tc>
          <w:tcPr>
            <w:tcW w:w="800" w:type="dxa"/>
            <w:shd w:val="solid" w:color="FFFFFF" w:fill="auto"/>
          </w:tcPr>
          <w:p w14:paraId="7F2E8BE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7BAA96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F010DEA"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367F8068" w14:textId="77777777" w:rsidR="00D40151" w:rsidRPr="00873B6C" w:rsidRDefault="00D40151" w:rsidP="009D14FB">
            <w:pPr>
              <w:pStyle w:val="TAL"/>
              <w:rPr>
                <w:sz w:val="16"/>
                <w:szCs w:val="16"/>
              </w:rPr>
            </w:pPr>
            <w:r w:rsidRPr="00873B6C">
              <w:rPr>
                <w:sz w:val="16"/>
                <w:szCs w:val="16"/>
              </w:rPr>
              <w:t>1406</w:t>
            </w:r>
          </w:p>
        </w:tc>
        <w:tc>
          <w:tcPr>
            <w:tcW w:w="425" w:type="dxa"/>
            <w:shd w:val="solid" w:color="FFFFFF" w:fill="auto"/>
          </w:tcPr>
          <w:p w14:paraId="546DEAA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D0C0F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E87C6EE" w14:textId="77777777" w:rsidR="00D40151" w:rsidRPr="00873B6C" w:rsidRDefault="00D40151" w:rsidP="009D14FB">
            <w:pPr>
              <w:pStyle w:val="TAL"/>
              <w:rPr>
                <w:sz w:val="16"/>
                <w:szCs w:val="16"/>
              </w:rPr>
            </w:pPr>
            <w:r w:rsidRPr="00873B6C">
              <w:rPr>
                <w:sz w:val="16"/>
                <w:szCs w:val="16"/>
              </w:rPr>
              <w:t>Update NRF descriptions to support AF Available Data Registration as described in TS23.288</w:t>
            </w:r>
          </w:p>
        </w:tc>
        <w:tc>
          <w:tcPr>
            <w:tcW w:w="708" w:type="dxa"/>
            <w:shd w:val="solid" w:color="FFFFFF" w:fill="auto"/>
          </w:tcPr>
          <w:p w14:paraId="79E77452" w14:textId="77777777" w:rsidR="00D40151" w:rsidRPr="00873B6C" w:rsidRDefault="00D40151" w:rsidP="009D14FB">
            <w:pPr>
              <w:pStyle w:val="TAC"/>
              <w:rPr>
                <w:sz w:val="16"/>
                <w:szCs w:val="16"/>
              </w:rPr>
            </w:pPr>
            <w:r w:rsidRPr="00873B6C">
              <w:rPr>
                <w:sz w:val="16"/>
                <w:szCs w:val="16"/>
              </w:rPr>
              <w:t>16.1.0</w:t>
            </w:r>
          </w:p>
        </w:tc>
      </w:tr>
      <w:tr w:rsidR="00D40151" w:rsidRPr="00873B6C" w14:paraId="31926C54" w14:textId="77777777" w:rsidTr="009D14FB">
        <w:tc>
          <w:tcPr>
            <w:tcW w:w="800" w:type="dxa"/>
            <w:shd w:val="solid" w:color="FFFFFF" w:fill="auto"/>
          </w:tcPr>
          <w:p w14:paraId="55D04F7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384F47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EA2BB6B"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13FCB0F8" w14:textId="77777777" w:rsidR="00D40151" w:rsidRPr="00873B6C" w:rsidRDefault="00D40151" w:rsidP="009D14FB">
            <w:pPr>
              <w:pStyle w:val="TAL"/>
              <w:rPr>
                <w:sz w:val="16"/>
                <w:szCs w:val="16"/>
              </w:rPr>
            </w:pPr>
            <w:r w:rsidRPr="00873B6C">
              <w:rPr>
                <w:sz w:val="16"/>
                <w:szCs w:val="16"/>
              </w:rPr>
              <w:t>1408</w:t>
            </w:r>
          </w:p>
        </w:tc>
        <w:tc>
          <w:tcPr>
            <w:tcW w:w="425" w:type="dxa"/>
            <w:shd w:val="solid" w:color="FFFFFF" w:fill="auto"/>
          </w:tcPr>
          <w:p w14:paraId="601DDD4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4BFD0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B09B8B" w14:textId="77777777" w:rsidR="00D40151" w:rsidRPr="00873B6C" w:rsidRDefault="00D40151" w:rsidP="009D14FB">
            <w:pPr>
              <w:pStyle w:val="TAL"/>
              <w:rPr>
                <w:sz w:val="16"/>
                <w:szCs w:val="16"/>
              </w:rPr>
            </w:pPr>
            <w:r w:rsidRPr="00873B6C">
              <w:rPr>
                <w:sz w:val="16"/>
                <w:szCs w:val="16"/>
              </w:rPr>
              <w:t>Corrections and alignments for the 5QI characteristics table</w:t>
            </w:r>
          </w:p>
        </w:tc>
        <w:tc>
          <w:tcPr>
            <w:tcW w:w="708" w:type="dxa"/>
            <w:shd w:val="solid" w:color="FFFFFF" w:fill="auto"/>
          </w:tcPr>
          <w:p w14:paraId="7B4C1A1B" w14:textId="77777777" w:rsidR="00D40151" w:rsidRPr="00873B6C" w:rsidRDefault="00D40151" w:rsidP="009D14FB">
            <w:pPr>
              <w:pStyle w:val="TAC"/>
              <w:rPr>
                <w:sz w:val="16"/>
                <w:szCs w:val="16"/>
              </w:rPr>
            </w:pPr>
            <w:r w:rsidRPr="00873B6C">
              <w:rPr>
                <w:sz w:val="16"/>
                <w:szCs w:val="16"/>
              </w:rPr>
              <w:t>16.1.0</w:t>
            </w:r>
          </w:p>
        </w:tc>
      </w:tr>
      <w:tr w:rsidR="00D40151" w:rsidRPr="00873B6C" w14:paraId="01E159F3" w14:textId="77777777" w:rsidTr="009D14FB">
        <w:tc>
          <w:tcPr>
            <w:tcW w:w="800" w:type="dxa"/>
            <w:shd w:val="solid" w:color="FFFFFF" w:fill="auto"/>
          </w:tcPr>
          <w:p w14:paraId="5952A95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337F5E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4E183B3"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7A862943" w14:textId="77777777" w:rsidR="00D40151" w:rsidRPr="00873B6C" w:rsidRDefault="00D40151" w:rsidP="009D14FB">
            <w:pPr>
              <w:pStyle w:val="TAL"/>
              <w:rPr>
                <w:sz w:val="16"/>
                <w:szCs w:val="16"/>
              </w:rPr>
            </w:pPr>
            <w:r w:rsidRPr="00873B6C">
              <w:rPr>
                <w:sz w:val="16"/>
                <w:szCs w:val="16"/>
              </w:rPr>
              <w:t>1413</w:t>
            </w:r>
          </w:p>
        </w:tc>
        <w:tc>
          <w:tcPr>
            <w:tcW w:w="425" w:type="dxa"/>
            <w:shd w:val="solid" w:color="FFFFFF" w:fill="auto"/>
          </w:tcPr>
          <w:p w14:paraId="07E9FB3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657E51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4FBA6D3" w14:textId="77777777" w:rsidR="00D40151" w:rsidRPr="00873B6C" w:rsidRDefault="00D40151" w:rsidP="009D14FB">
            <w:pPr>
              <w:pStyle w:val="TAL"/>
              <w:rPr>
                <w:sz w:val="16"/>
                <w:szCs w:val="16"/>
              </w:rPr>
            </w:pPr>
            <w:r w:rsidRPr="00873B6C">
              <w:rPr>
                <w:sz w:val="16"/>
                <w:szCs w:val="16"/>
              </w:rPr>
              <w:t>NF Set concept for SMF</w:t>
            </w:r>
          </w:p>
        </w:tc>
        <w:tc>
          <w:tcPr>
            <w:tcW w:w="708" w:type="dxa"/>
            <w:shd w:val="solid" w:color="FFFFFF" w:fill="auto"/>
          </w:tcPr>
          <w:p w14:paraId="253BCAD7" w14:textId="77777777" w:rsidR="00D40151" w:rsidRPr="00873B6C" w:rsidRDefault="00D40151" w:rsidP="009D14FB">
            <w:pPr>
              <w:pStyle w:val="TAC"/>
              <w:rPr>
                <w:sz w:val="16"/>
                <w:szCs w:val="16"/>
              </w:rPr>
            </w:pPr>
            <w:r w:rsidRPr="00873B6C">
              <w:rPr>
                <w:sz w:val="16"/>
                <w:szCs w:val="16"/>
              </w:rPr>
              <w:t>16.1.0</w:t>
            </w:r>
          </w:p>
        </w:tc>
      </w:tr>
      <w:tr w:rsidR="00D40151" w:rsidRPr="00873B6C" w14:paraId="4E86BFA9" w14:textId="77777777" w:rsidTr="009D14FB">
        <w:tc>
          <w:tcPr>
            <w:tcW w:w="800" w:type="dxa"/>
            <w:shd w:val="solid" w:color="FFFFFF" w:fill="auto"/>
          </w:tcPr>
          <w:p w14:paraId="3D44697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48EB7D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22EEFF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0DB8E087" w14:textId="77777777" w:rsidR="00D40151" w:rsidRPr="00873B6C" w:rsidRDefault="00D40151" w:rsidP="009D14FB">
            <w:pPr>
              <w:pStyle w:val="TAL"/>
              <w:rPr>
                <w:sz w:val="16"/>
                <w:szCs w:val="16"/>
              </w:rPr>
            </w:pPr>
            <w:r w:rsidRPr="00873B6C">
              <w:rPr>
                <w:sz w:val="16"/>
                <w:szCs w:val="16"/>
              </w:rPr>
              <w:t>1417</w:t>
            </w:r>
          </w:p>
        </w:tc>
        <w:tc>
          <w:tcPr>
            <w:tcW w:w="425" w:type="dxa"/>
            <w:shd w:val="solid" w:color="FFFFFF" w:fill="auto"/>
          </w:tcPr>
          <w:p w14:paraId="088A500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D2C936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1FAA1C" w14:textId="77777777" w:rsidR="00D40151" w:rsidRPr="00873B6C" w:rsidRDefault="00D40151" w:rsidP="009D14FB">
            <w:pPr>
              <w:pStyle w:val="TAL"/>
              <w:rPr>
                <w:sz w:val="16"/>
                <w:szCs w:val="16"/>
              </w:rPr>
            </w:pPr>
            <w:r w:rsidRPr="00873B6C">
              <w:rPr>
                <w:sz w:val="16"/>
                <w:szCs w:val="16"/>
              </w:rPr>
              <w:t>Stateless IPv6 Address Autoconfiguration for Control Plane CIoT 5GS Optimisation</w:t>
            </w:r>
          </w:p>
        </w:tc>
        <w:tc>
          <w:tcPr>
            <w:tcW w:w="708" w:type="dxa"/>
            <w:shd w:val="solid" w:color="FFFFFF" w:fill="auto"/>
          </w:tcPr>
          <w:p w14:paraId="43CDF041" w14:textId="77777777" w:rsidR="00D40151" w:rsidRPr="00873B6C" w:rsidRDefault="00D40151" w:rsidP="009D14FB">
            <w:pPr>
              <w:pStyle w:val="TAC"/>
              <w:rPr>
                <w:sz w:val="16"/>
                <w:szCs w:val="16"/>
              </w:rPr>
            </w:pPr>
            <w:r w:rsidRPr="00873B6C">
              <w:rPr>
                <w:sz w:val="16"/>
                <w:szCs w:val="16"/>
              </w:rPr>
              <w:t>16.1.0</w:t>
            </w:r>
          </w:p>
        </w:tc>
      </w:tr>
      <w:tr w:rsidR="00D40151" w:rsidRPr="00873B6C" w14:paraId="780B86DF" w14:textId="77777777" w:rsidTr="009D14FB">
        <w:tc>
          <w:tcPr>
            <w:tcW w:w="800" w:type="dxa"/>
            <w:shd w:val="solid" w:color="FFFFFF" w:fill="auto"/>
          </w:tcPr>
          <w:p w14:paraId="22738C4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5D8C65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83D2BC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4DC55206" w14:textId="77777777" w:rsidR="00D40151" w:rsidRPr="00873B6C" w:rsidRDefault="00D40151" w:rsidP="009D14FB">
            <w:pPr>
              <w:pStyle w:val="TAL"/>
              <w:rPr>
                <w:sz w:val="16"/>
                <w:szCs w:val="16"/>
              </w:rPr>
            </w:pPr>
            <w:r w:rsidRPr="00873B6C">
              <w:rPr>
                <w:sz w:val="16"/>
                <w:szCs w:val="16"/>
              </w:rPr>
              <w:t>1418</w:t>
            </w:r>
          </w:p>
        </w:tc>
        <w:tc>
          <w:tcPr>
            <w:tcW w:w="425" w:type="dxa"/>
            <w:shd w:val="solid" w:color="FFFFFF" w:fill="auto"/>
          </w:tcPr>
          <w:p w14:paraId="25E89D2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7E0B28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22D15EB" w14:textId="77777777" w:rsidR="00D40151" w:rsidRPr="00873B6C" w:rsidRDefault="00D40151" w:rsidP="009D14FB">
            <w:pPr>
              <w:pStyle w:val="TAL"/>
              <w:rPr>
                <w:sz w:val="16"/>
                <w:szCs w:val="16"/>
              </w:rPr>
            </w:pPr>
            <w:r w:rsidRPr="00873B6C">
              <w:rPr>
                <w:sz w:val="16"/>
                <w:szCs w:val="16"/>
              </w:rPr>
              <w:t>Introduction of Small Data Rate Control Interworking with APN Rate Control</w:t>
            </w:r>
          </w:p>
        </w:tc>
        <w:tc>
          <w:tcPr>
            <w:tcW w:w="708" w:type="dxa"/>
            <w:shd w:val="solid" w:color="FFFFFF" w:fill="auto"/>
          </w:tcPr>
          <w:p w14:paraId="06AEB968" w14:textId="77777777" w:rsidR="00D40151" w:rsidRPr="00873B6C" w:rsidRDefault="00D40151" w:rsidP="009D14FB">
            <w:pPr>
              <w:pStyle w:val="TAC"/>
              <w:rPr>
                <w:sz w:val="16"/>
                <w:szCs w:val="16"/>
              </w:rPr>
            </w:pPr>
            <w:r w:rsidRPr="00873B6C">
              <w:rPr>
                <w:sz w:val="16"/>
                <w:szCs w:val="16"/>
              </w:rPr>
              <w:t>16.1.0</w:t>
            </w:r>
          </w:p>
        </w:tc>
      </w:tr>
      <w:tr w:rsidR="00D40151" w:rsidRPr="00873B6C" w14:paraId="2D764696" w14:textId="77777777" w:rsidTr="009D14FB">
        <w:tc>
          <w:tcPr>
            <w:tcW w:w="800" w:type="dxa"/>
            <w:shd w:val="solid" w:color="FFFFFF" w:fill="auto"/>
          </w:tcPr>
          <w:p w14:paraId="6D420CC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9F0FA3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CBB2A27"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434CF9C7" w14:textId="77777777" w:rsidR="00D40151" w:rsidRPr="00873B6C" w:rsidRDefault="00D40151" w:rsidP="009D14FB">
            <w:pPr>
              <w:pStyle w:val="TAL"/>
              <w:rPr>
                <w:sz w:val="16"/>
                <w:szCs w:val="16"/>
              </w:rPr>
            </w:pPr>
            <w:r w:rsidRPr="00873B6C">
              <w:rPr>
                <w:sz w:val="16"/>
                <w:szCs w:val="16"/>
              </w:rPr>
              <w:t>1420</w:t>
            </w:r>
          </w:p>
        </w:tc>
        <w:tc>
          <w:tcPr>
            <w:tcW w:w="425" w:type="dxa"/>
            <w:shd w:val="solid" w:color="FFFFFF" w:fill="auto"/>
          </w:tcPr>
          <w:p w14:paraId="7B17187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011760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8E9AF66" w14:textId="77777777" w:rsidR="00D40151" w:rsidRPr="00873B6C" w:rsidRDefault="00D40151" w:rsidP="009D14FB">
            <w:pPr>
              <w:pStyle w:val="TAL"/>
              <w:rPr>
                <w:sz w:val="16"/>
                <w:szCs w:val="16"/>
              </w:rPr>
            </w:pPr>
            <w:r w:rsidRPr="00873B6C">
              <w:rPr>
                <w:sz w:val="16"/>
                <w:szCs w:val="16"/>
              </w:rPr>
              <w:t>Location information for trusted N3GPP</w:t>
            </w:r>
          </w:p>
        </w:tc>
        <w:tc>
          <w:tcPr>
            <w:tcW w:w="708" w:type="dxa"/>
            <w:shd w:val="solid" w:color="FFFFFF" w:fill="auto"/>
          </w:tcPr>
          <w:p w14:paraId="37FAD97C" w14:textId="77777777" w:rsidR="00D40151" w:rsidRPr="00873B6C" w:rsidRDefault="00D40151" w:rsidP="009D14FB">
            <w:pPr>
              <w:pStyle w:val="TAC"/>
              <w:rPr>
                <w:sz w:val="16"/>
                <w:szCs w:val="16"/>
              </w:rPr>
            </w:pPr>
            <w:r w:rsidRPr="00873B6C">
              <w:rPr>
                <w:sz w:val="16"/>
                <w:szCs w:val="16"/>
              </w:rPr>
              <w:t>16.1.0</w:t>
            </w:r>
          </w:p>
        </w:tc>
      </w:tr>
      <w:tr w:rsidR="00D40151" w:rsidRPr="00873B6C" w14:paraId="0AAEA41D" w14:textId="77777777" w:rsidTr="009D14FB">
        <w:tc>
          <w:tcPr>
            <w:tcW w:w="800" w:type="dxa"/>
            <w:shd w:val="solid" w:color="FFFFFF" w:fill="auto"/>
          </w:tcPr>
          <w:p w14:paraId="2D7EA87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F12552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D5A2E56"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77B0594E" w14:textId="77777777" w:rsidR="00D40151" w:rsidRPr="00873B6C" w:rsidRDefault="00D40151" w:rsidP="009D14FB">
            <w:pPr>
              <w:pStyle w:val="TAL"/>
              <w:rPr>
                <w:sz w:val="16"/>
                <w:szCs w:val="16"/>
              </w:rPr>
            </w:pPr>
            <w:r w:rsidRPr="00873B6C">
              <w:rPr>
                <w:sz w:val="16"/>
                <w:szCs w:val="16"/>
              </w:rPr>
              <w:t>1423</w:t>
            </w:r>
          </w:p>
        </w:tc>
        <w:tc>
          <w:tcPr>
            <w:tcW w:w="425" w:type="dxa"/>
            <w:shd w:val="solid" w:color="FFFFFF" w:fill="auto"/>
          </w:tcPr>
          <w:p w14:paraId="435EEAC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B621F2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E50DCFF" w14:textId="77777777" w:rsidR="00D40151" w:rsidRPr="00873B6C" w:rsidRDefault="00D40151" w:rsidP="009D14FB">
            <w:pPr>
              <w:pStyle w:val="TAL"/>
              <w:rPr>
                <w:sz w:val="16"/>
                <w:szCs w:val="16"/>
              </w:rPr>
            </w:pPr>
            <w:r w:rsidRPr="00873B6C">
              <w:rPr>
                <w:sz w:val="16"/>
                <w:szCs w:val="16"/>
              </w:rPr>
              <w:t>TSC Burst Arrival Time usage and Clock Reference</w:t>
            </w:r>
          </w:p>
        </w:tc>
        <w:tc>
          <w:tcPr>
            <w:tcW w:w="708" w:type="dxa"/>
            <w:shd w:val="solid" w:color="FFFFFF" w:fill="auto"/>
          </w:tcPr>
          <w:p w14:paraId="2F3B22B1" w14:textId="77777777" w:rsidR="00D40151" w:rsidRPr="00873B6C" w:rsidRDefault="00D40151" w:rsidP="009D14FB">
            <w:pPr>
              <w:pStyle w:val="TAC"/>
              <w:rPr>
                <w:sz w:val="16"/>
                <w:szCs w:val="16"/>
              </w:rPr>
            </w:pPr>
            <w:r w:rsidRPr="00873B6C">
              <w:rPr>
                <w:sz w:val="16"/>
                <w:szCs w:val="16"/>
              </w:rPr>
              <w:t>16.1.0</w:t>
            </w:r>
          </w:p>
        </w:tc>
      </w:tr>
      <w:tr w:rsidR="00D40151" w:rsidRPr="00873B6C" w14:paraId="1413C47C" w14:textId="77777777" w:rsidTr="009D14FB">
        <w:tc>
          <w:tcPr>
            <w:tcW w:w="800" w:type="dxa"/>
            <w:shd w:val="solid" w:color="FFFFFF" w:fill="auto"/>
          </w:tcPr>
          <w:p w14:paraId="68DAAEC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86FAB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F0AE2B0"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3FA76B9B" w14:textId="77777777" w:rsidR="00D40151" w:rsidRPr="00873B6C" w:rsidRDefault="00D40151" w:rsidP="009D14FB">
            <w:pPr>
              <w:pStyle w:val="TAL"/>
              <w:rPr>
                <w:sz w:val="16"/>
                <w:szCs w:val="16"/>
              </w:rPr>
            </w:pPr>
            <w:r w:rsidRPr="00873B6C">
              <w:rPr>
                <w:sz w:val="16"/>
                <w:szCs w:val="16"/>
              </w:rPr>
              <w:t>1424</w:t>
            </w:r>
          </w:p>
        </w:tc>
        <w:tc>
          <w:tcPr>
            <w:tcW w:w="425" w:type="dxa"/>
            <w:shd w:val="solid" w:color="FFFFFF" w:fill="auto"/>
          </w:tcPr>
          <w:p w14:paraId="14D7E1D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8FFC85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B5F6F7" w14:textId="77777777" w:rsidR="00D40151" w:rsidRPr="00873B6C" w:rsidRDefault="00D40151" w:rsidP="009D14FB">
            <w:pPr>
              <w:pStyle w:val="TAL"/>
              <w:rPr>
                <w:sz w:val="16"/>
                <w:szCs w:val="16"/>
              </w:rPr>
            </w:pPr>
            <w:r w:rsidRPr="00873B6C">
              <w:rPr>
                <w:sz w:val="16"/>
                <w:szCs w:val="16"/>
              </w:rPr>
              <w:t>Correction on Location reporting procedure</w:t>
            </w:r>
          </w:p>
        </w:tc>
        <w:tc>
          <w:tcPr>
            <w:tcW w:w="708" w:type="dxa"/>
            <w:shd w:val="solid" w:color="FFFFFF" w:fill="auto"/>
          </w:tcPr>
          <w:p w14:paraId="2AD04C81" w14:textId="77777777" w:rsidR="00D40151" w:rsidRPr="00873B6C" w:rsidRDefault="00D40151" w:rsidP="009D14FB">
            <w:pPr>
              <w:pStyle w:val="TAC"/>
              <w:rPr>
                <w:sz w:val="16"/>
                <w:szCs w:val="16"/>
              </w:rPr>
            </w:pPr>
            <w:r w:rsidRPr="00873B6C">
              <w:rPr>
                <w:sz w:val="16"/>
                <w:szCs w:val="16"/>
              </w:rPr>
              <w:t>16.1.0</w:t>
            </w:r>
          </w:p>
        </w:tc>
      </w:tr>
      <w:tr w:rsidR="00D40151" w:rsidRPr="00873B6C" w14:paraId="4928B70A" w14:textId="77777777" w:rsidTr="009D14FB">
        <w:tc>
          <w:tcPr>
            <w:tcW w:w="800" w:type="dxa"/>
            <w:shd w:val="solid" w:color="FFFFFF" w:fill="auto"/>
          </w:tcPr>
          <w:p w14:paraId="556597C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57D434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8AD04A"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65656406" w14:textId="77777777" w:rsidR="00D40151" w:rsidRPr="00873B6C" w:rsidRDefault="00D40151" w:rsidP="009D14FB">
            <w:pPr>
              <w:pStyle w:val="TAL"/>
              <w:rPr>
                <w:sz w:val="16"/>
                <w:szCs w:val="16"/>
              </w:rPr>
            </w:pPr>
            <w:r w:rsidRPr="00873B6C">
              <w:rPr>
                <w:sz w:val="16"/>
                <w:szCs w:val="16"/>
              </w:rPr>
              <w:t>1425</w:t>
            </w:r>
          </w:p>
        </w:tc>
        <w:tc>
          <w:tcPr>
            <w:tcW w:w="425" w:type="dxa"/>
            <w:shd w:val="solid" w:color="FFFFFF" w:fill="auto"/>
          </w:tcPr>
          <w:p w14:paraId="7DBB1C6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E3DC70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30849B3" w14:textId="77777777" w:rsidR="00D40151" w:rsidRPr="00873B6C" w:rsidRDefault="00D40151" w:rsidP="009D14FB">
            <w:pPr>
              <w:pStyle w:val="TAL"/>
              <w:rPr>
                <w:sz w:val="16"/>
                <w:szCs w:val="16"/>
              </w:rPr>
            </w:pPr>
            <w:r w:rsidRPr="00873B6C">
              <w:rPr>
                <w:sz w:val="16"/>
                <w:szCs w:val="16"/>
              </w:rPr>
              <w:t xml:space="preserve"> Address editor's notes for 5GS Bridge management and QoS mapping</w:t>
            </w:r>
          </w:p>
        </w:tc>
        <w:tc>
          <w:tcPr>
            <w:tcW w:w="708" w:type="dxa"/>
            <w:shd w:val="solid" w:color="FFFFFF" w:fill="auto"/>
          </w:tcPr>
          <w:p w14:paraId="20005E27" w14:textId="77777777" w:rsidR="00D40151" w:rsidRPr="00873B6C" w:rsidRDefault="00D40151" w:rsidP="009D14FB">
            <w:pPr>
              <w:pStyle w:val="TAC"/>
              <w:rPr>
                <w:sz w:val="16"/>
                <w:szCs w:val="16"/>
              </w:rPr>
            </w:pPr>
            <w:r w:rsidRPr="00873B6C">
              <w:rPr>
                <w:sz w:val="16"/>
                <w:szCs w:val="16"/>
              </w:rPr>
              <w:t>16.1.0</w:t>
            </w:r>
          </w:p>
        </w:tc>
      </w:tr>
      <w:tr w:rsidR="00D40151" w:rsidRPr="00873B6C" w14:paraId="2F65F65D" w14:textId="77777777" w:rsidTr="009D14FB">
        <w:tc>
          <w:tcPr>
            <w:tcW w:w="800" w:type="dxa"/>
            <w:shd w:val="solid" w:color="FFFFFF" w:fill="auto"/>
          </w:tcPr>
          <w:p w14:paraId="3A02CF4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8D7A08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3372A6D"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16634BFA" w14:textId="77777777" w:rsidR="00D40151" w:rsidRPr="00873B6C" w:rsidRDefault="00D40151" w:rsidP="009D14FB">
            <w:pPr>
              <w:pStyle w:val="TAL"/>
              <w:rPr>
                <w:sz w:val="16"/>
                <w:szCs w:val="16"/>
              </w:rPr>
            </w:pPr>
            <w:r w:rsidRPr="00873B6C">
              <w:rPr>
                <w:sz w:val="16"/>
                <w:szCs w:val="16"/>
              </w:rPr>
              <w:t>1426</w:t>
            </w:r>
          </w:p>
        </w:tc>
        <w:tc>
          <w:tcPr>
            <w:tcW w:w="425" w:type="dxa"/>
            <w:shd w:val="solid" w:color="FFFFFF" w:fill="auto"/>
          </w:tcPr>
          <w:p w14:paraId="7A666805"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5B17C7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5014D7B" w14:textId="77777777" w:rsidR="00D40151" w:rsidRPr="00873B6C" w:rsidRDefault="00D40151" w:rsidP="009D14FB">
            <w:pPr>
              <w:pStyle w:val="TAL"/>
              <w:rPr>
                <w:sz w:val="16"/>
                <w:szCs w:val="16"/>
              </w:rPr>
            </w:pPr>
            <w:r w:rsidRPr="00873B6C">
              <w:rPr>
                <w:sz w:val="16"/>
                <w:szCs w:val="16"/>
              </w:rPr>
              <w:t>clarifications on SNPN</w:t>
            </w:r>
          </w:p>
        </w:tc>
        <w:tc>
          <w:tcPr>
            <w:tcW w:w="708" w:type="dxa"/>
            <w:shd w:val="solid" w:color="FFFFFF" w:fill="auto"/>
          </w:tcPr>
          <w:p w14:paraId="5E063682" w14:textId="77777777" w:rsidR="00D40151" w:rsidRPr="00873B6C" w:rsidRDefault="00D40151" w:rsidP="009D14FB">
            <w:pPr>
              <w:pStyle w:val="TAC"/>
              <w:rPr>
                <w:sz w:val="16"/>
                <w:szCs w:val="16"/>
              </w:rPr>
            </w:pPr>
            <w:r w:rsidRPr="00873B6C">
              <w:rPr>
                <w:sz w:val="16"/>
                <w:szCs w:val="16"/>
              </w:rPr>
              <w:t>16.1.0</w:t>
            </w:r>
          </w:p>
        </w:tc>
      </w:tr>
      <w:tr w:rsidR="00D40151" w:rsidRPr="00873B6C" w14:paraId="4FF543F4" w14:textId="77777777" w:rsidTr="009D14FB">
        <w:tc>
          <w:tcPr>
            <w:tcW w:w="800" w:type="dxa"/>
            <w:shd w:val="solid" w:color="FFFFFF" w:fill="auto"/>
          </w:tcPr>
          <w:p w14:paraId="75A91F2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41D256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D310BEE"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7DA37AC1" w14:textId="77777777" w:rsidR="00D40151" w:rsidRPr="00873B6C" w:rsidRDefault="00D40151" w:rsidP="009D14FB">
            <w:pPr>
              <w:pStyle w:val="TAL"/>
              <w:rPr>
                <w:sz w:val="16"/>
                <w:szCs w:val="16"/>
              </w:rPr>
            </w:pPr>
            <w:r w:rsidRPr="00873B6C">
              <w:rPr>
                <w:sz w:val="16"/>
                <w:szCs w:val="16"/>
              </w:rPr>
              <w:t>1427</w:t>
            </w:r>
          </w:p>
        </w:tc>
        <w:tc>
          <w:tcPr>
            <w:tcW w:w="425" w:type="dxa"/>
            <w:shd w:val="solid" w:color="FFFFFF" w:fill="auto"/>
          </w:tcPr>
          <w:p w14:paraId="03A941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F3E55CC"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56E3CFD" w14:textId="77777777" w:rsidR="00D40151" w:rsidRPr="00873B6C" w:rsidRDefault="00D40151" w:rsidP="009D14FB">
            <w:pPr>
              <w:pStyle w:val="TAL"/>
              <w:rPr>
                <w:sz w:val="16"/>
                <w:szCs w:val="16"/>
              </w:rPr>
            </w:pPr>
            <w:r w:rsidRPr="00873B6C">
              <w:rPr>
                <w:sz w:val="16"/>
                <w:szCs w:val="16"/>
              </w:rPr>
              <w:t>Support for unicast traffic forwarding within a 5G VN group</w:t>
            </w:r>
          </w:p>
        </w:tc>
        <w:tc>
          <w:tcPr>
            <w:tcW w:w="708" w:type="dxa"/>
            <w:shd w:val="solid" w:color="FFFFFF" w:fill="auto"/>
          </w:tcPr>
          <w:p w14:paraId="5126937F" w14:textId="77777777" w:rsidR="00D40151" w:rsidRPr="00873B6C" w:rsidRDefault="00D40151" w:rsidP="009D14FB">
            <w:pPr>
              <w:pStyle w:val="TAC"/>
              <w:rPr>
                <w:sz w:val="16"/>
                <w:szCs w:val="16"/>
              </w:rPr>
            </w:pPr>
            <w:r w:rsidRPr="00873B6C">
              <w:rPr>
                <w:sz w:val="16"/>
                <w:szCs w:val="16"/>
              </w:rPr>
              <w:t>16.1.0</w:t>
            </w:r>
          </w:p>
        </w:tc>
      </w:tr>
      <w:tr w:rsidR="00D40151" w:rsidRPr="00873B6C" w14:paraId="01EEE2E6" w14:textId="77777777" w:rsidTr="009D14FB">
        <w:tc>
          <w:tcPr>
            <w:tcW w:w="800" w:type="dxa"/>
            <w:shd w:val="solid" w:color="FFFFFF" w:fill="auto"/>
          </w:tcPr>
          <w:p w14:paraId="0F3CD92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C63B47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80FFAE7"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68191B13" w14:textId="77777777" w:rsidR="00D40151" w:rsidRPr="00873B6C" w:rsidRDefault="00D40151" w:rsidP="009D14FB">
            <w:pPr>
              <w:pStyle w:val="TAL"/>
              <w:rPr>
                <w:sz w:val="16"/>
                <w:szCs w:val="16"/>
              </w:rPr>
            </w:pPr>
            <w:r w:rsidRPr="00873B6C">
              <w:rPr>
                <w:sz w:val="16"/>
                <w:szCs w:val="16"/>
              </w:rPr>
              <w:t>1430</w:t>
            </w:r>
          </w:p>
        </w:tc>
        <w:tc>
          <w:tcPr>
            <w:tcW w:w="425" w:type="dxa"/>
            <w:shd w:val="solid" w:color="FFFFFF" w:fill="auto"/>
          </w:tcPr>
          <w:p w14:paraId="263099B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185FE50"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C7A0E10" w14:textId="267F9655" w:rsidR="00D40151" w:rsidRPr="00873B6C" w:rsidRDefault="00D40151" w:rsidP="009D14FB">
            <w:pPr>
              <w:pStyle w:val="TAL"/>
              <w:rPr>
                <w:sz w:val="16"/>
                <w:szCs w:val="16"/>
              </w:rPr>
            </w:pPr>
            <w:r w:rsidRPr="00873B6C">
              <w:rPr>
                <w:sz w:val="16"/>
                <w:szCs w:val="16"/>
              </w:rPr>
              <w:t xml:space="preserve">implementation of </w:t>
            </w:r>
            <w:r w:rsidR="00704A9E" w:rsidRPr="00873B6C">
              <w:rPr>
                <w:sz w:val="16"/>
                <w:szCs w:val="16"/>
              </w:rPr>
              <w:t>5G-VN</w:t>
            </w:r>
            <w:r w:rsidRPr="00873B6C">
              <w:rPr>
                <w:sz w:val="16"/>
                <w:szCs w:val="16"/>
              </w:rPr>
              <w:t xml:space="preserve"> related interfaces</w:t>
            </w:r>
          </w:p>
        </w:tc>
        <w:tc>
          <w:tcPr>
            <w:tcW w:w="708" w:type="dxa"/>
            <w:shd w:val="solid" w:color="FFFFFF" w:fill="auto"/>
          </w:tcPr>
          <w:p w14:paraId="717A7532" w14:textId="77777777" w:rsidR="00D40151" w:rsidRPr="00873B6C" w:rsidRDefault="00D40151" w:rsidP="009D14FB">
            <w:pPr>
              <w:pStyle w:val="TAC"/>
              <w:rPr>
                <w:sz w:val="16"/>
                <w:szCs w:val="16"/>
              </w:rPr>
            </w:pPr>
            <w:r w:rsidRPr="00873B6C">
              <w:rPr>
                <w:sz w:val="16"/>
                <w:szCs w:val="16"/>
              </w:rPr>
              <w:t>16.1.0</w:t>
            </w:r>
          </w:p>
        </w:tc>
      </w:tr>
      <w:tr w:rsidR="00D40151" w:rsidRPr="00873B6C" w14:paraId="64C72496" w14:textId="77777777" w:rsidTr="009D14FB">
        <w:tc>
          <w:tcPr>
            <w:tcW w:w="800" w:type="dxa"/>
            <w:shd w:val="solid" w:color="FFFFFF" w:fill="auto"/>
          </w:tcPr>
          <w:p w14:paraId="44833C0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9A3251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2D31C4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77F0B4B8" w14:textId="77777777" w:rsidR="00D40151" w:rsidRPr="00873B6C" w:rsidRDefault="00D40151" w:rsidP="009D14FB">
            <w:pPr>
              <w:pStyle w:val="TAL"/>
              <w:rPr>
                <w:sz w:val="16"/>
                <w:szCs w:val="16"/>
              </w:rPr>
            </w:pPr>
            <w:r w:rsidRPr="00873B6C">
              <w:rPr>
                <w:sz w:val="16"/>
                <w:szCs w:val="16"/>
              </w:rPr>
              <w:t>1431</w:t>
            </w:r>
          </w:p>
        </w:tc>
        <w:tc>
          <w:tcPr>
            <w:tcW w:w="425" w:type="dxa"/>
            <w:shd w:val="solid" w:color="FFFFFF" w:fill="auto"/>
          </w:tcPr>
          <w:p w14:paraId="6851EA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99A5F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680D1F2" w14:textId="77777777" w:rsidR="00D40151" w:rsidRPr="00873B6C" w:rsidRDefault="00D40151" w:rsidP="009D14FB">
            <w:pPr>
              <w:pStyle w:val="TAL"/>
              <w:rPr>
                <w:sz w:val="16"/>
                <w:szCs w:val="16"/>
              </w:rPr>
            </w:pPr>
            <w:r w:rsidRPr="00873B6C">
              <w:rPr>
                <w:sz w:val="16"/>
                <w:szCs w:val="16"/>
              </w:rPr>
              <w:t>Support of User Plane Optimisations in Preferred and Supported Network Behaviour</w:t>
            </w:r>
          </w:p>
        </w:tc>
        <w:tc>
          <w:tcPr>
            <w:tcW w:w="708" w:type="dxa"/>
            <w:shd w:val="solid" w:color="FFFFFF" w:fill="auto"/>
          </w:tcPr>
          <w:p w14:paraId="1702E2E5" w14:textId="77777777" w:rsidR="00D40151" w:rsidRPr="00873B6C" w:rsidRDefault="00D40151" w:rsidP="009D14FB">
            <w:pPr>
              <w:pStyle w:val="TAC"/>
              <w:rPr>
                <w:sz w:val="16"/>
                <w:szCs w:val="16"/>
              </w:rPr>
            </w:pPr>
            <w:r w:rsidRPr="00873B6C">
              <w:rPr>
                <w:sz w:val="16"/>
                <w:szCs w:val="16"/>
              </w:rPr>
              <w:t>16.1.0</w:t>
            </w:r>
          </w:p>
        </w:tc>
      </w:tr>
      <w:tr w:rsidR="00D40151" w:rsidRPr="00873B6C" w14:paraId="12FDCFAE" w14:textId="77777777" w:rsidTr="009D14FB">
        <w:tc>
          <w:tcPr>
            <w:tcW w:w="800" w:type="dxa"/>
            <w:shd w:val="solid" w:color="FFFFFF" w:fill="auto"/>
          </w:tcPr>
          <w:p w14:paraId="46D36D9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81F8D8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D842CF6"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42BD9B74" w14:textId="77777777" w:rsidR="00D40151" w:rsidRPr="00873B6C" w:rsidRDefault="00D40151" w:rsidP="009D14FB">
            <w:pPr>
              <w:pStyle w:val="TAL"/>
              <w:rPr>
                <w:sz w:val="16"/>
                <w:szCs w:val="16"/>
              </w:rPr>
            </w:pPr>
            <w:r w:rsidRPr="00873B6C">
              <w:rPr>
                <w:sz w:val="16"/>
                <w:szCs w:val="16"/>
              </w:rPr>
              <w:t>1432</w:t>
            </w:r>
          </w:p>
        </w:tc>
        <w:tc>
          <w:tcPr>
            <w:tcW w:w="425" w:type="dxa"/>
            <w:shd w:val="solid" w:color="FFFFFF" w:fill="auto"/>
          </w:tcPr>
          <w:p w14:paraId="7F0192E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A6E43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312D35B" w14:textId="77777777" w:rsidR="00D40151" w:rsidRPr="00873B6C" w:rsidRDefault="00D40151" w:rsidP="009D14FB">
            <w:pPr>
              <w:pStyle w:val="TAL"/>
              <w:rPr>
                <w:sz w:val="16"/>
                <w:szCs w:val="16"/>
              </w:rPr>
            </w:pPr>
            <w:r w:rsidRPr="00873B6C">
              <w:rPr>
                <w:sz w:val="16"/>
                <w:szCs w:val="16"/>
              </w:rPr>
              <w:t>Ingress timestamp signalling</w:t>
            </w:r>
          </w:p>
        </w:tc>
        <w:tc>
          <w:tcPr>
            <w:tcW w:w="708" w:type="dxa"/>
            <w:shd w:val="solid" w:color="FFFFFF" w:fill="auto"/>
          </w:tcPr>
          <w:p w14:paraId="34434012" w14:textId="77777777" w:rsidR="00D40151" w:rsidRPr="00873B6C" w:rsidRDefault="00D40151" w:rsidP="009D14FB">
            <w:pPr>
              <w:pStyle w:val="TAC"/>
              <w:rPr>
                <w:sz w:val="16"/>
                <w:szCs w:val="16"/>
              </w:rPr>
            </w:pPr>
            <w:r w:rsidRPr="00873B6C">
              <w:rPr>
                <w:sz w:val="16"/>
                <w:szCs w:val="16"/>
              </w:rPr>
              <w:t>16.1.0</w:t>
            </w:r>
          </w:p>
        </w:tc>
      </w:tr>
      <w:tr w:rsidR="00D40151" w:rsidRPr="00873B6C" w14:paraId="7916DCF4" w14:textId="77777777" w:rsidTr="009D14FB">
        <w:tc>
          <w:tcPr>
            <w:tcW w:w="800" w:type="dxa"/>
            <w:shd w:val="solid" w:color="FFFFFF" w:fill="auto"/>
          </w:tcPr>
          <w:p w14:paraId="2E14F13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476D53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DDECA6B"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37083520" w14:textId="77777777" w:rsidR="00D40151" w:rsidRPr="00873B6C" w:rsidRDefault="00D40151" w:rsidP="009D14FB">
            <w:pPr>
              <w:pStyle w:val="TAL"/>
              <w:rPr>
                <w:sz w:val="16"/>
                <w:szCs w:val="16"/>
              </w:rPr>
            </w:pPr>
            <w:r w:rsidRPr="00873B6C">
              <w:rPr>
                <w:sz w:val="16"/>
                <w:szCs w:val="16"/>
              </w:rPr>
              <w:t xml:space="preserve"> 1436</w:t>
            </w:r>
          </w:p>
        </w:tc>
        <w:tc>
          <w:tcPr>
            <w:tcW w:w="425" w:type="dxa"/>
            <w:shd w:val="solid" w:color="FFFFFF" w:fill="auto"/>
          </w:tcPr>
          <w:p w14:paraId="50EAE6B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EA0D48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0598FA" w14:textId="77777777" w:rsidR="00D40151" w:rsidRPr="00873B6C" w:rsidRDefault="00D40151" w:rsidP="009D14FB">
            <w:pPr>
              <w:pStyle w:val="TAL"/>
              <w:rPr>
                <w:sz w:val="16"/>
                <w:szCs w:val="16"/>
              </w:rPr>
            </w:pPr>
            <w:r w:rsidRPr="00873B6C">
              <w:rPr>
                <w:sz w:val="16"/>
                <w:szCs w:val="16"/>
              </w:rPr>
              <w:t>Align CHF service for offline only charging</w:t>
            </w:r>
          </w:p>
        </w:tc>
        <w:tc>
          <w:tcPr>
            <w:tcW w:w="708" w:type="dxa"/>
            <w:shd w:val="solid" w:color="FFFFFF" w:fill="auto"/>
          </w:tcPr>
          <w:p w14:paraId="00CAA489" w14:textId="77777777" w:rsidR="00D40151" w:rsidRPr="00873B6C" w:rsidRDefault="00D40151" w:rsidP="009D14FB">
            <w:pPr>
              <w:pStyle w:val="TAC"/>
              <w:rPr>
                <w:sz w:val="16"/>
                <w:szCs w:val="16"/>
              </w:rPr>
            </w:pPr>
            <w:r w:rsidRPr="00873B6C">
              <w:rPr>
                <w:sz w:val="16"/>
                <w:szCs w:val="16"/>
              </w:rPr>
              <w:t>16.1.0</w:t>
            </w:r>
          </w:p>
        </w:tc>
      </w:tr>
      <w:tr w:rsidR="00D40151" w:rsidRPr="00873B6C" w14:paraId="0F5BCF95" w14:textId="77777777" w:rsidTr="009D14FB">
        <w:tc>
          <w:tcPr>
            <w:tcW w:w="800" w:type="dxa"/>
            <w:shd w:val="solid" w:color="FFFFFF" w:fill="auto"/>
          </w:tcPr>
          <w:p w14:paraId="7D277DE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F1585F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7C060F8" w14:textId="77777777" w:rsidR="00D40151" w:rsidRPr="00873B6C" w:rsidRDefault="00D40151" w:rsidP="009D14FB">
            <w:pPr>
              <w:pStyle w:val="TAC"/>
              <w:rPr>
                <w:sz w:val="16"/>
                <w:szCs w:val="16"/>
              </w:rPr>
            </w:pPr>
            <w:r w:rsidRPr="00873B6C">
              <w:rPr>
                <w:sz w:val="16"/>
                <w:szCs w:val="16"/>
              </w:rPr>
              <w:t>SP-190419</w:t>
            </w:r>
          </w:p>
        </w:tc>
        <w:tc>
          <w:tcPr>
            <w:tcW w:w="567" w:type="dxa"/>
            <w:shd w:val="solid" w:color="FFFFFF" w:fill="auto"/>
          </w:tcPr>
          <w:p w14:paraId="1A54CBA9" w14:textId="77777777" w:rsidR="00D40151" w:rsidRPr="00873B6C" w:rsidRDefault="00D40151" w:rsidP="009D14FB">
            <w:pPr>
              <w:pStyle w:val="TAL"/>
              <w:rPr>
                <w:sz w:val="16"/>
                <w:szCs w:val="16"/>
              </w:rPr>
            </w:pPr>
            <w:r w:rsidRPr="00873B6C">
              <w:rPr>
                <w:sz w:val="16"/>
                <w:szCs w:val="16"/>
              </w:rPr>
              <w:t>1438</w:t>
            </w:r>
          </w:p>
        </w:tc>
        <w:tc>
          <w:tcPr>
            <w:tcW w:w="425" w:type="dxa"/>
            <w:shd w:val="solid" w:color="FFFFFF" w:fill="auto"/>
          </w:tcPr>
          <w:p w14:paraId="4215C36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7F5F1F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14FE593" w14:textId="77777777" w:rsidR="00D40151" w:rsidRPr="00873B6C" w:rsidRDefault="00D40151" w:rsidP="009D14FB">
            <w:pPr>
              <w:pStyle w:val="TAL"/>
              <w:rPr>
                <w:sz w:val="16"/>
                <w:szCs w:val="16"/>
              </w:rPr>
            </w:pPr>
            <w:r w:rsidRPr="00873B6C">
              <w:rPr>
                <w:sz w:val="16"/>
                <w:szCs w:val="16"/>
              </w:rPr>
              <w:t>HSS discovery via NRF</w:t>
            </w:r>
          </w:p>
        </w:tc>
        <w:tc>
          <w:tcPr>
            <w:tcW w:w="708" w:type="dxa"/>
            <w:shd w:val="solid" w:color="FFFFFF" w:fill="auto"/>
          </w:tcPr>
          <w:p w14:paraId="4126FA44" w14:textId="77777777" w:rsidR="00D40151" w:rsidRPr="00873B6C" w:rsidRDefault="00D40151" w:rsidP="009D14FB">
            <w:pPr>
              <w:pStyle w:val="TAC"/>
              <w:rPr>
                <w:sz w:val="16"/>
                <w:szCs w:val="16"/>
              </w:rPr>
            </w:pPr>
            <w:r w:rsidRPr="00873B6C">
              <w:rPr>
                <w:sz w:val="16"/>
                <w:szCs w:val="16"/>
              </w:rPr>
              <w:t>16.1.0</w:t>
            </w:r>
          </w:p>
        </w:tc>
      </w:tr>
      <w:tr w:rsidR="00D40151" w:rsidRPr="00873B6C" w14:paraId="21A27894" w14:textId="77777777" w:rsidTr="009D14FB">
        <w:tc>
          <w:tcPr>
            <w:tcW w:w="800" w:type="dxa"/>
            <w:shd w:val="solid" w:color="FFFFFF" w:fill="auto"/>
          </w:tcPr>
          <w:p w14:paraId="5037488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3E6C5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743EF3C"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043DBE6C" w14:textId="77777777" w:rsidR="00D40151" w:rsidRPr="00873B6C" w:rsidRDefault="00D40151" w:rsidP="009D14FB">
            <w:pPr>
              <w:pStyle w:val="TAL"/>
              <w:rPr>
                <w:sz w:val="16"/>
                <w:szCs w:val="16"/>
              </w:rPr>
            </w:pPr>
            <w:r w:rsidRPr="00873B6C">
              <w:rPr>
                <w:sz w:val="16"/>
                <w:szCs w:val="16"/>
              </w:rPr>
              <w:t>1443</w:t>
            </w:r>
          </w:p>
        </w:tc>
        <w:tc>
          <w:tcPr>
            <w:tcW w:w="425" w:type="dxa"/>
            <w:shd w:val="solid" w:color="FFFFFF" w:fill="auto"/>
          </w:tcPr>
          <w:p w14:paraId="4FBEDED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876F0D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030835" w14:textId="07B6EFDB" w:rsidR="00D40151" w:rsidRPr="00873B6C" w:rsidRDefault="00D40151" w:rsidP="009D14FB">
            <w:pPr>
              <w:pStyle w:val="TAL"/>
              <w:rPr>
                <w:sz w:val="16"/>
                <w:szCs w:val="16"/>
              </w:rPr>
            </w:pPr>
            <w:r w:rsidRPr="00873B6C">
              <w:rPr>
                <w:sz w:val="16"/>
                <w:szCs w:val="16"/>
              </w:rPr>
              <w:t xml:space="preserve">AF influence for traffic forwarding in </w:t>
            </w:r>
            <w:r w:rsidR="00704A9E" w:rsidRPr="00873B6C">
              <w:rPr>
                <w:sz w:val="16"/>
                <w:szCs w:val="16"/>
              </w:rPr>
              <w:t>5G-VN</w:t>
            </w:r>
          </w:p>
        </w:tc>
        <w:tc>
          <w:tcPr>
            <w:tcW w:w="708" w:type="dxa"/>
            <w:shd w:val="solid" w:color="FFFFFF" w:fill="auto"/>
          </w:tcPr>
          <w:p w14:paraId="2D5E9C64" w14:textId="77777777" w:rsidR="00D40151" w:rsidRPr="00873B6C" w:rsidRDefault="00D40151" w:rsidP="009D14FB">
            <w:pPr>
              <w:pStyle w:val="TAC"/>
              <w:rPr>
                <w:sz w:val="16"/>
                <w:szCs w:val="16"/>
              </w:rPr>
            </w:pPr>
            <w:r w:rsidRPr="00873B6C">
              <w:rPr>
                <w:sz w:val="16"/>
                <w:szCs w:val="16"/>
              </w:rPr>
              <w:t>16.1.0</w:t>
            </w:r>
          </w:p>
        </w:tc>
      </w:tr>
      <w:tr w:rsidR="00D40151" w:rsidRPr="00873B6C" w14:paraId="4C95C2C1" w14:textId="77777777" w:rsidTr="009D14FB">
        <w:tc>
          <w:tcPr>
            <w:tcW w:w="800" w:type="dxa"/>
            <w:shd w:val="solid" w:color="FFFFFF" w:fill="auto"/>
          </w:tcPr>
          <w:p w14:paraId="70F88DD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A668DA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B544490" w14:textId="77777777" w:rsidR="00D40151" w:rsidRPr="00873B6C" w:rsidRDefault="00D40151" w:rsidP="009D14FB">
            <w:pPr>
              <w:pStyle w:val="TAC"/>
              <w:rPr>
                <w:sz w:val="16"/>
                <w:szCs w:val="16"/>
              </w:rPr>
            </w:pPr>
            <w:r w:rsidRPr="00873B6C">
              <w:rPr>
                <w:sz w:val="16"/>
                <w:szCs w:val="16"/>
              </w:rPr>
              <w:t>SP-190431</w:t>
            </w:r>
          </w:p>
        </w:tc>
        <w:tc>
          <w:tcPr>
            <w:tcW w:w="567" w:type="dxa"/>
            <w:shd w:val="solid" w:color="FFFFFF" w:fill="auto"/>
          </w:tcPr>
          <w:p w14:paraId="0AD71172" w14:textId="77777777" w:rsidR="00D40151" w:rsidRPr="00873B6C" w:rsidRDefault="00D40151" w:rsidP="009D14FB">
            <w:pPr>
              <w:pStyle w:val="TAL"/>
              <w:rPr>
                <w:sz w:val="16"/>
                <w:szCs w:val="16"/>
              </w:rPr>
            </w:pPr>
            <w:r w:rsidRPr="00873B6C">
              <w:rPr>
                <w:sz w:val="16"/>
                <w:szCs w:val="16"/>
              </w:rPr>
              <w:t>1445</w:t>
            </w:r>
          </w:p>
        </w:tc>
        <w:tc>
          <w:tcPr>
            <w:tcW w:w="425" w:type="dxa"/>
            <w:shd w:val="solid" w:color="FFFFFF" w:fill="auto"/>
          </w:tcPr>
          <w:p w14:paraId="77C500A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B7EAE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BA814C" w14:textId="41F7C02D" w:rsidR="00D40151" w:rsidRPr="00873B6C" w:rsidRDefault="00D40151" w:rsidP="009D14FB">
            <w:pPr>
              <w:pStyle w:val="TAL"/>
              <w:rPr>
                <w:sz w:val="16"/>
                <w:szCs w:val="16"/>
              </w:rPr>
            </w:pPr>
            <w:r w:rsidRPr="00873B6C">
              <w:rPr>
                <w:sz w:val="16"/>
                <w:szCs w:val="16"/>
              </w:rPr>
              <w:t>Update of TS23.501 to finalize</w:t>
            </w:r>
            <w:r w:rsidR="00704A9E" w:rsidRPr="00873B6C">
              <w:rPr>
                <w:sz w:val="16"/>
                <w:szCs w:val="16"/>
              </w:rPr>
              <w:t xml:space="preserve"> </w:t>
            </w:r>
            <w:r w:rsidRPr="00873B6C">
              <w:rPr>
                <w:sz w:val="16"/>
                <w:szCs w:val="16"/>
              </w:rPr>
              <w:t>xBDT feature</w:t>
            </w:r>
          </w:p>
        </w:tc>
        <w:tc>
          <w:tcPr>
            <w:tcW w:w="708" w:type="dxa"/>
            <w:shd w:val="solid" w:color="FFFFFF" w:fill="auto"/>
          </w:tcPr>
          <w:p w14:paraId="42FF05FE" w14:textId="77777777" w:rsidR="00D40151" w:rsidRPr="00873B6C" w:rsidRDefault="00D40151" w:rsidP="009D14FB">
            <w:pPr>
              <w:pStyle w:val="TAC"/>
              <w:rPr>
                <w:sz w:val="16"/>
                <w:szCs w:val="16"/>
              </w:rPr>
            </w:pPr>
            <w:r w:rsidRPr="00873B6C">
              <w:rPr>
                <w:sz w:val="16"/>
                <w:szCs w:val="16"/>
              </w:rPr>
              <w:t>16.1.0</w:t>
            </w:r>
          </w:p>
        </w:tc>
      </w:tr>
      <w:tr w:rsidR="00D40151" w:rsidRPr="00873B6C" w14:paraId="18E66268" w14:textId="77777777" w:rsidTr="009D14FB">
        <w:tc>
          <w:tcPr>
            <w:tcW w:w="800" w:type="dxa"/>
            <w:shd w:val="solid" w:color="FFFFFF" w:fill="auto"/>
          </w:tcPr>
          <w:p w14:paraId="285D4C0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E3A107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4977FDA"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33108C03" w14:textId="77777777" w:rsidR="00D40151" w:rsidRPr="00873B6C" w:rsidRDefault="00D40151" w:rsidP="009D14FB">
            <w:pPr>
              <w:pStyle w:val="TAL"/>
              <w:rPr>
                <w:sz w:val="16"/>
                <w:szCs w:val="16"/>
              </w:rPr>
            </w:pPr>
            <w:r w:rsidRPr="00873B6C">
              <w:rPr>
                <w:sz w:val="16"/>
                <w:szCs w:val="16"/>
              </w:rPr>
              <w:t>1448</w:t>
            </w:r>
          </w:p>
        </w:tc>
        <w:tc>
          <w:tcPr>
            <w:tcW w:w="425" w:type="dxa"/>
            <w:shd w:val="solid" w:color="FFFFFF" w:fill="auto"/>
          </w:tcPr>
          <w:p w14:paraId="1CD8235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ACF6DD5"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72B55FF0" w14:textId="77777777" w:rsidR="00D40151" w:rsidRPr="00873B6C" w:rsidRDefault="00D40151" w:rsidP="009D14FB">
            <w:pPr>
              <w:pStyle w:val="TAL"/>
              <w:rPr>
                <w:sz w:val="16"/>
                <w:szCs w:val="16"/>
              </w:rPr>
            </w:pPr>
            <w:r w:rsidRPr="00873B6C">
              <w:rPr>
                <w:sz w:val="16"/>
                <w:szCs w:val="16"/>
              </w:rPr>
              <w:t>Vertical_LAN - Editorial clean up</w:t>
            </w:r>
          </w:p>
        </w:tc>
        <w:tc>
          <w:tcPr>
            <w:tcW w:w="708" w:type="dxa"/>
            <w:shd w:val="solid" w:color="FFFFFF" w:fill="auto"/>
          </w:tcPr>
          <w:p w14:paraId="332E790B" w14:textId="77777777" w:rsidR="00D40151" w:rsidRPr="00873B6C" w:rsidRDefault="00D40151" w:rsidP="009D14FB">
            <w:pPr>
              <w:pStyle w:val="TAC"/>
              <w:rPr>
                <w:sz w:val="16"/>
                <w:szCs w:val="16"/>
              </w:rPr>
            </w:pPr>
            <w:r w:rsidRPr="00873B6C">
              <w:rPr>
                <w:sz w:val="16"/>
                <w:szCs w:val="16"/>
              </w:rPr>
              <w:t>16.1.0</w:t>
            </w:r>
          </w:p>
        </w:tc>
      </w:tr>
      <w:tr w:rsidR="00D40151" w:rsidRPr="00873B6C" w14:paraId="027FF439" w14:textId="77777777" w:rsidTr="009D14FB">
        <w:tc>
          <w:tcPr>
            <w:tcW w:w="800" w:type="dxa"/>
            <w:shd w:val="solid" w:color="FFFFFF" w:fill="auto"/>
          </w:tcPr>
          <w:p w14:paraId="5959E73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90885C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701A1E7"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64ACD6A2" w14:textId="77777777" w:rsidR="00D40151" w:rsidRPr="00873B6C" w:rsidRDefault="00D40151" w:rsidP="009D14FB">
            <w:pPr>
              <w:pStyle w:val="TAL"/>
              <w:rPr>
                <w:sz w:val="16"/>
                <w:szCs w:val="16"/>
              </w:rPr>
            </w:pPr>
            <w:r w:rsidRPr="00873B6C">
              <w:rPr>
                <w:sz w:val="16"/>
                <w:szCs w:val="16"/>
              </w:rPr>
              <w:t>1449</w:t>
            </w:r>
          </w:p>
        </w:tc>
        <w:tc>
          <w:tcPr>
            <w:tcW w:w="425" w:type="dxa"/>
            <w:shd w:val="solid" w:color="FFFFFF" w:fill="auto"/>
          </w:tcPr>
          <w:p w14:paraId="55B2FC2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7FAB26"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2D5A1E1" w14:textId="77777777" w:rsidR="00D40151" w:rsidRPr="00873B6C" w:rsidRDefault="00D40151" w:rsidP="009D14FB">
            <w:pPr>
              <w:pStyle w:val="TAL"/>
              <w:rPr>
                <w:sz w:val="16"/>
                <w:szCs w:val="16"/>
              </w:rPr>
            </w:pPr>
            <w:r w:rsidRPr="00873B6C">
              <w:rPr>
                <w:sz w:val="16"/>
                <w:szCs w:val="16"/>
              </w:rPr>
              <w:t>Applicability of Allowed NSSAI to PLMNs whose TAIs are in the RA TAI list</w:t>
            </w:r>
          </w:p>
        </w:tc>
        <w:tc>
          <w:tcPr>
            <w:tcW w:w="708" w:type="dxa"/>
            <w:shd w:val="solid" w:color="FFFFFF" w:fill="auto"/>
          </w:tcPr>
          <w:p w14:paraId="28AFFCBF" w14:textId="77777777" w:rsidR="00D40151" w:rsidRPr="00873B6C" w:rsidRDefault="00D40151" w:rsidP="009D14FB">
            <w:pPr>
              <w:pStyle w:val="TAC"/>
              <w:rPr>
                <w:sz w:val="16"/>
                <w:szCs w:val="16"/>
              </w:rPr>
            </w:pPr>
            <w:r w:rsidRPr="00873B6C">
              <w:rPr>
                <w:sz w:val="16"/>
                <w:szCs w:val="16"/>
              </w:rPr>
              <w:t>16.1.0</w:t>
            </w:r>
          </w:p>
        </w:tc>
      </w:tr>
      <w:tr w:rsidR="00D40151" w:rsidRPr="00873B6C" w14:paraId="4C7C4266" w14:textId="77777777" w:rsidTr="009D14FB">
        <w:tc>
          <w:tcPr>
            <w:tcW w:w="800" w:type="dxa"/>
            <w:shd w:val="solid" w:color="FFFFFF" w:fill="auto"/>
          </w:tcPr>
          <w:p w14:paraId="01C8D11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00A943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0E59EB5"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4063A9A" w14:textId="77777777" w:rsidR="00D40151" w:rsidRPr="00873B6C" w:rsidRDefault="00D40151" w:rsidP="009D14FB">
            <w:pPr>
              <w:pStyle w:val="TAL"/>
              <w:rPr>
                <w:sz w:val="16"/>
                <w:szCs w:val="16"/>
              </w:rPr>
            </w:pPr>
            <w:r w:rsidRPr="00873B6C">
              <w:rPr>
                <w:sz w:val="16"/>
                <w:szCs w:val="16"/>
              </w:rPr>
              <w:t>1451</w:t>
            </w:r>
          </w:p>
        </w:tc>
        <w:tc>
          <w:tcPr>
            <w:tcW w:w="425" w:type="dxa"/>
            <w:shd w:val="solid" w:color="FFFFFF" w:fill="auto"/>
          </w:tcPr>
          <w:p w14:paraId="7E02D3B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D822333"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48D379E" w14:textId="77777777" w:rsidR="00D40151" w:rsidRPr="00873B6C" w:rsidRDefault="00D40151" w:rsidP="009D14FB">
            <w:pPr>
              <w:pStyle w:val="TAL"/>
              <w:rPr>
                <w:sz w:val="16"/>
                <w:szCs w:val="16"/>
              </w:rPr>
            </w:pPr>
            <w:r w:rsidRPr="00873B6C">
              <w:rPr>
                <w:sz w:val="16"/>
                <w:szCs w:val="16"/>
              </w:rPr>
              <w:t>Clarification on S-NSSAI for PDU session in Requested NSSAI</w:t>
            </w:r>
          </w:p>
        </w:tc>
        <w:tc>
          <w:tcPr>
            <w:tcW w:w="708" w:type="dxa"/>
            <w:shd w:val="solid" w:color="FFFFFF" w:fill="auto"/>
          </w:tcPr>
          <w:p w14:paraId="089B64F2" w14:textId="77777777" w:rsidR="00D40151" w:rsidRPr="00873B6C" w:rsidRDefault="00D40151" w:rsidP="009D14FB">
            <w:pPr>
              <w:pStyle w:val="TAC"/>
              <w:rPr>
                <w:sz w:val="16"/>
                <w:szCs w:val="16"/>
              </w:rPr>
            </w:pPr>
            <w:r w:rsidRPr="00873B6C">
              <w:rPr>
                <w:sz w:val="16"/>
                <w:szCs w:val="16"/>
              </w:rPr>
              <w:t>16.1.0</w:t>
            </w:r>
          </w:p>
        </w:tc>
      </w:tr>
      <w:tr w:rsidR="00D40151" w:rsidRPr="00873B6C" w14:paraId="176F4BDE" w14:textId="77777777" w:rsidTr="009D14FB">
        <w:tc>
          <w:tcPr>
            <w:tcW w:w="800" w:type="dxa"/>
            <w:shd w:val="solid" w:color="FFFFFF" w:fill="auto"/>
          </w:tcPr>
          <w:p w14:paraId="560C1C8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9AEEF8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7273C39"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773E230E" w14:textId="77777777" w:rsidR="00D40151" w:rsidRPr="00873B6C" w:rsidRDefault="00D40151" w:rsidP="009D14FB">
            <w:pPr>
              <w:pStyle w:val="TAL"/>
              <w:rPr>
                <w:sz w:val="16"/>
                <w:szCs w:val="16"/>
              </w:rPr>
            </w:pPr>
            <w:r w:rsidRPr="00873B6C">
              <w:rPr>
                <w:sz w:val="16"/>
                <w:szCs w:val="16"/>
              </w:rPr>
              <w:t>0990</w:t>
            </w:r>
          </w:p>
        </w:tc>
        <w:tc>
          <w:tcPr>
            <w:tcW w:w="425" w:type="dxa"/>
            <w:shd w:val="solid" w:color="FFFFFF" w:fill="auto"/>
          </w:tcPr>
          <w:p w14:paraId="25D3D3D0"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4A7192A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212E995" w14:textId="77777777" w:rsidR="00D40151" w:rsidRPr="00873B6C" w:rsidRDefault="00D40151" w:rsidP="009D14FB">
            <w:pPr>
              <w:pStyle w:val="TAL"/>
              <w:rPr>
                <w:sz w:val="16"/>
                <w:szCs w:val="16"/>
              </w:rPr>
            </w:pPr>
            <w:r w:rsidRPr="00873B6C">
              <w:rPr>
                <w:sz w:val="16"/>
                <w:szCs w:val="16"/>
              </w:rPr>
              <w:t>Introduction of QoS Monitoring to assist URLLC Service</w:t>
            </w:r>
          </w:p>
        </w:tc>
        <w:tc>
          <w:tcPr>
            <w:tcW w:w="708" w:type="dxa"/>
            <w:shd w:val="solid" w:color="FFFFFF" w:fill="auto"/>
          </w:tcPr>
          <w:p w14:paraId="2A97AA5C" w14:textId="77777777" w:rsidR="00D40151" w:rsidRPr="00873B6C" w:rsidRDefault="00D40151" w:rsidP="009D14FB">
            <w:pPr>
              <w:pStyle w:val="TAC"/>
              <w:rPr>
                <w:sz w:val="16"/>
                <w:szCs w:val="16"/>
              </w:rPr>
            </w:pPr>
            <w:r w:rsidRPr="00873B6C">
              <w:rPr>
                <w:sz w:val="16"/>
                <w:szCs w:val="16"/>
              </w:rPr>
              <w:t>16.2.0</w:t>
            </w:r>
          </w:p>
        </w:tc>
      </w:tr>
      <w:tr w:rsidR="00D40151" w:rsidRPr="00873B6C" w14:paraId="361B5D29" w14:textId="77777777" w:rsidTr="009D14FB">
        <w:tc>
          <w:tcPr>
            <w:tcW w:w="800" w:type="dxa"/>
            <w:shd w:val="solid" w:color="FFFFFF" w:fill="auto"/>
          </w:tcPr>
          <w:p w14:paraId="23BE2FD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23EC4D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D12559B"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536AEB8E" w14:textId="77777777" w:rsidR="00D40151" w:rsidRPr="00873B6C" w:rsidRDefault="00D40151" w:rsidP="009D14FB">
            <w:pPr>
              <w:pStyle w:val="TAL"/>
              <w:rPr>
                <w:sz w:val="16"/>
                <w:szCs w:val="16"/>
              </w:rPr>
            </w:pPr>
            <w:r w:rsidRPr="00873B6C">
              <w:rPr>
                <w:sz w:val="16"/>
                <w:szCs w:val="16"/>
              </w:rPr>
              <w:t>1097</w:t>
            </w:r>
          </w:p>
        </w:tc>
        <w:tc>
          <w:tcPr>
            <w:tcW w:w="425" w:type="dxa"/>
            <w:shd w:val="solid" w:color="FFFFFF" w:fill="auto"/>
          </w:tcPr>
          <w:p w14:paraId="47DB950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DF123B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F39B64" w14:textId="77777777" w:rsidR="00D40151" w:rsidRPr="00873B6C" w:rsidRDefault="00D40151" w:rsidP="009D14FB">
            <w:pPr>
              <w:pStyle w:val="TAL"/>
              <w:rPr>
                <w:sz w:val="16"/>
                <w:szCs w:val="16"/>
              </w:rPr>
            </w:pPr>
            <w:r w:rsidRPr="00873B6C">
              <w:rPr>
                <w:sz w:val="16"/>
                <w:szCs w:val="16"/>
              </w:rPr>
              <w:t>Support of Standalone Non-Public Networks</w:t>
            </w:r>
          </w:p>
        </w:tc>
        <w:tc>
          <w:tcPr>
            <w:tcW w:w="708" w:type="dxa"/>
            <w:shd w:val="solid" w:color="FFFFFF" w:fill="auto"/>
          </w:tcPr>
          <w:p w14:paraId="3A9D0D7E" w14:textId="77777777" w:rsidR="00D40151" w:rsidRPr="00873B6C" w:rsidRDefault="00D40151" w:rsidP="009D14FB">
            <w:pPr>
              <w:pStyle w:val="TAC"/>
              <w:rPr>
                <w:sz w:val="16"/>
                <w:szCs w:val="16"/>
              </w:rPr>
            </w:pPr>
            <w:r w:rsidRPr="00873B6C">
              <w:rPr>
                <w:sz w:val="16"/>
                <w:szCs w:val="16"/>
              </w:rPr>
              <w:t>16.2.0</w:t>
            </w:r>
          </w:p>
        </w:tc>
      </w:tr>
      <w:tr w:rsidR="00D40151" w:rsidRPr="00873B6C" w14:paraId="7C885C7A" w14:textId="77777777" w:rsidTr="009D14FB">
        <w:tc>
          <w:tcPr>
            <w:tcW w:w="800" w:type="dxa"/>
            <w:shd w:val="solid" w:color="FFFFFF" w:fill="auto"/>
          </w:tcPr>
          <w:p w14:paraId="52D1C52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4868D5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8EA1B33"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58225B60" w14:textId="77777777" w:rsidR="00D40151" w:rsidRPr="00873B6C" w:rsidRDefault="00D40151" w:rsidP="009D14FB">
            <w:pPr>
              <w:pStyle w:val="TAL"/>
              <w:rPr>
                <w:sz w:val="16"/>
                <w:szCs w:val="16"/>
              </w:rPr>
            </w:pPr>
            <w:r w:rsidRPr="00873B6C">
              <w:rPr>
                <w:sz w:val="16"/>
                <w:szCs w:val="16"/>
              </w:rPr>
              <w:t>1240</w:t>
            </w:r>
          </w:p>
        </w:tc>
        <w:tc>
          <w:tcPr>
            <w:tcW w:w="425" w:type="dxa"/>
            <w:shd w:val="solid" w:color="FFFFFF" w:fill="auto"/>
          </w:tcPr>
          <w:p w14:paraId="391868A3"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8730B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82C45A" w14:textId="77777777" w:rsidR="00D40151" w:rsidRPr="00873B6C" w:rsidRDefault="00D40151" w:rsidP="009D14FB">
            <w:pPr>
              <w:pStyle w:val="TAL"/>
              <w:rPr>
                <w:sz w:val="16"/>
                <w:szCs w:val="16"/>
              </w:rPr>
            </w:pPr>
            <w:r w:rsidRPr="00873B6C">
              <w:rPr>
                <w:sz w:val="16"/>
                <w:szCs w:val="16"/>
              </w:rPr>
              <w:t>Clarification of support of dual radio UE</w:t>
            </w:r>
          </w:p>
        </w:tc>
        <w:tc>
          <w:tcPr>
            <w:tcW w:w="708" w:type="dxa"/>
            <w:shd w:val="solid" w:color="FFFFFF" w:fill="auto"/>
          </w:tcPr>
          <w:p w14:paraId="63B39C84" w14:textId="77777777" w:rsidR="00D40151" w:rsidRPr="00873B6C" w:rsidRDefault="00D40151" w:rsidP="009D14FB">
            <w:pPr>
              <w:pStyle w:val="TAC"/>
              <w:rPr>
                <w:sz w:val="16"/>
                <w:szCs w:val="16"/>
              </w:rPr>
            </w:pPr>
            <w:r w:rsidRPr="00873B6C">
              <w:rPr>
                <w:sz w:val="16"/>
                <w:szCs w:val="16"/>
              </w:rPr>
              <w:t>16.2.0</w:t>
            </w:r>
          </w:p>
        </w:tc>
      </w:tr>
      <w:tr w:rsidR="00D40151" w:rsidRPr="00873B6C" w14:paraId="583DBFD3" w14:textId="77777777" w:rsidTr="009D14FB">
        <w:tc>
          <w:tcPr>
            <w:tcW w:w="800" w:type="dxa"/>
            <w:shd w:val="solid" w:color="FFFFFF" w:fill="auto"/>
          </w:tcPr>
          <w:p w14:paraId="16509D1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DA692FB"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A61800C"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397A3689" w14:textId="77777777" w:rsidR="00D40151" w:rsidRPr="00873B6C" w:rsidRDefault="00D40151" w:rsidP="009D14FB">
            <w:pPr>
              <w:pStyle w:val="TAL"/>
              <w:rPr>
                <w:sz w:val="16"/>
                <w:szCs w:val="16"/>
              </w:rPr>
            </w:pPr>
            <w:r w:rsidRPr="00873B6C">
              <w:rPr>
                <w:sz w:val="16"/>
                <w:szCs w:val="16"/>
              </w:rPr>
              <w:t>1329</w:t>
            </w:r>
          </w:p>
        </w:tc>
        <w:tc>
          <w:tcPr>
            <w:tcW w:w="425" w:type="dxa"/>
            <w:shd w:val="solid" w:color="FFFFFF" w:fill="auto"/>
          </w:tcPr>
          <w:p w14:paraId="208AE80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BF35E1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6D1ECD" w14:textId="77777777" w:rsidR="00D40151" w:rsidRPr="00873B6C" w:rsidRDefault="00D40151" w:rsidP="009D14FB">
            <w:pPr>
              <w:pStyle w:val="TAL"/>
              <w:rPr>
                <w:sz w:val="16"/>
                <w:szCs w:val="16"/>
              </w:rPr>
            </w:pPr>
            <w:r w:rsidRPr="00873B6C">
              <w:rPr>
                <w:sz w:val="16"/>
                <w:szCs w:val="16"/>
              </w:rPr>
              <w:t>IP Address Accessibility for MA PDU Session</w:t>
            </w:r>
          </w:p>
        </w:tc>
        <w:tc>
          <w:tcPr>
            <w:tcW w:w="708" w:type="dxa"/>
            <w:shd w:val="solid" w:color="FFFFFF" w:fill="auto"/>
          </w:tcPr>
          <w:p w14:paraId="7F4369C6" w14:textId="77777777" w:rsidR="00D40151" w:rsidRPr="00873B6C" w:rsidRDefault="00D40151" w:rsidP="009D14FB">
            <w:pPr>
              <w:pStyle w:val="TAC"/>
              <w:rPr>
                <w:sz w:val="16"/>
                <w:szCs w:val="16"/>
              </w:rPr>
            </w:pPr>
            <w:r w:rsidRPr="00873B6C">
              <w:rPr>
                <w:sz w:val="16"/>
                <w:szCs w:val="16"/>
              </w:rPr>
              <w:t>16.2.0</w:t>
            </w:r>
          </w:p>
        </w:tc>
      </w:tr>
      <w:tr w:rsidR="00D40151" w:rsidRPr="00873B6C" w14:paraId="4D806370" w14:textId="77777777" w:rsidTr="009D14FB">
        <w:tc>
          <w:tcPr>
            <w:tcW w:w="800" w:type="dxa"/>
            <w:shd w:val="solid" w:color="FFFFFF" w:fill="auto"/>
          </w:tcPr>
          <w:p w14:paraId="53F4D4E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2984DD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7EE826D"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740E634A" w14:textId="77777777" w:rsidR="00D40151" w:rsidRPr="00873B6C" w:rsidRDefault="00D40151" w:rsidP="009D14FB">
            <w:pPr>
              <w:pStyle w:val="TAL"/>
              <w:rPr>
                <w:sz w:val="16"/>
                <w:szCs w:val="16"/>
              </w:rPr>
            </w:pPr>
            <w:r w:rsidRPr="00873B6C">
              <w:rPr>
                <w:sz w:val="16"/>
                <w:szCs w:val="16"/>
              </w:rPr>
              <w:t>1330</w:t>
            </w:r>
          </w:p>
        </w:tc>
        <w:tc>
          <w:tcPr>
            <w:tcW w:w="425" w:type="dxa"/>
            <w:shd w:val="solid" w:color="FFFFFF" w:fill="auto"/>
          </w:tcPr>
          <w:p w14:paraId="670409F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0FF1A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B31A28" w14:textId="77777777" w:rsidR="00D40151" w:rsidRPr="00873B6C" w:rsidRDefault="00D40151" w:rsidP="009D14FB">
            <w:pPr>
              <w:pStyle w:val="TAL"/>
              <w:rPr>
                <w:sz w:val="16"/>
                <w:szCs w:val="16"/>
              </w:rPr>
            </w:pPr>
            <w:r w:rsidRPr="00873B6C">
              <w:rPr>
                <w:sz w:val="16"/>
                <w:szCs w:val="16"/>
              </w:rPr>
              <w:t>N3/N9 Tunnels for the MA-PDU Session</w:t>
            </w:r>
          </w:p>
        </w:tc>
        <w:tc>
          <w:tcPr>
            <w:tcW w:w="708" w:type="dxa"/>
            <w:shd w:val="solid" w:color="FFFFFF" w:fill="auto"/>
          </w:tcPr>
          <w:p w14:paraId="72FF76E0" w14:textId="77777777" w:rsidR="00D40151" w:rsidRPr="00873B6C" w:rsidRDefault="00D40151" w:rsidP="009D14FB">
            <w:pPr>
              <w:pStyle w:val="TAC"/>
              <w:rPr>
                <w:sz w:val="16"/>
                <w:szCs w:val="16"/>
              </w:rPr>
            </w:pPr>
            <w:r w:rsidRPr="00873B6C">
              <w:rPr>
                <w:sz w:val="16"/>
                <w:szCs w:val="16"/>
              </w:rPr>
              <w:t>16.2.0</w:t>
            </w:r>
          </w:p>
        </w:tc>
      </w:tr>
      <w:tr w:rsidR="00D40151" w:rsidRPr="00873B6C" w14:paraId="4A31CD9D" w14:textId="77777777" w:rsidTr="009D14FB">
        <w:tc>
          <w:tcPr>
            <w:tcW w:w="800" w:type="dxa"/>
            <w:shd w:val="solid" w:color="FFFFFF" w:fill="auto"/>
          </w:tcPr>
          <w:p w14:paraId="5173A77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CEC49A9"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FD2B288"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0117F8F5" w14:textId="77777777" w:rsidR="00D40151" w:rsidRPr="00873B6C" w:rsidRDefault="00D40151" w:rsidP="009D14FB">
            <w:pPr>
              <w:pStyle w:val="TAL"/>
              <w:rPr>
                <w:sz w:val="16"/>
                <w:szCs w:val="16"/>
              </w:rPr>
            </w:pPr>
            <w:r w:rsidRPr="00873B6C">
              <w:rPr>
                <w:sz w:val="16"/>
                <w:szCs w:val="16"/>
              </w:rPr>
              <w:t>1347</w:t>
            </w:r>
          </w:p>
        </w:tc>
        <w:tc>
          <w:tcPr>
            <w:tcW w:w="425" w:type="dxa"/>
            <w:shd w:val="solid" w:color="FFFFFF" w:fill="auto"/>
          </w:tcPr>
          <w:p w14:paraId="0FB671B3"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6534975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9E3271" w14:textId="77777777" w:rsidR="00D40151" w:rsidRPr="00873B6C" w:rsidRDefault="00D40151" w:rsidP="009D14FB">
            <w:pPr>
              <w:pStyle w:val="TAL"/>
              <w:rPr>
                <w:sz w:val="16"/>
                <w:szCs w:val="16"/>
              </w:rPr>
            </w:pPr>
            <w:r w:rsidRPr="00873B6C">
              <w:rPr>
                <w:sz w:val="16"/>
                <w:szCs w:val="16"/>
              </w:rPr>
              <w:t>Introducing of UP CIoT 5GS Optimisation capability</w:t>
            </w:r>
          </w:p>
        </w:tc>
        <w:tc>
          <w:tcPr>
            <w:tcW w:w="708" w:type="dxa"/>
            <w:shd w:val="solid" w:color="FFFFFF" w:fill="auto"/>
          </w:tcPr>
          <w:p w14:paraId="2901EEC5" w14:textId="77777777" w:rsidR="00D40151" w:rsidRPr="00873B6C" w:rsidRDefault="00D40151" w:rsidP="009D14FB">
            <w:pPr>
              <w:pStyle w:val="TAC"/>
              <w:rPr>
                <w:sz w:val="16"/>
                <w:szCs w:val="16"/>
              </w:rPr>
            </w:pPr>
            <w:r w:rsidRPr="00873B6C">
              <w:rPr>
                <w:sz w:val="16"/>
                <w:szCs w:val="16"/>
              </w:rPr>
              <w:t>16.2.0</w:t>
            </w:r>
          </w:p>
        </w:tc>
      </w:tr>
      <w:tr w:rsidR="00D40151" w:rsidRPr="00873B6C" w14:paraId="4A6AF72B" w14:textId="77777777" w:rsidTr="009D14FB">
        <w:tc>
          <w:tcPr>
            <w:tcW w:w="800" w:type="dxa"/>
            <w:shd w:val="solid" w:color="FFFFFF" w:fill="auto"/>
          </w:tcPr>
          <w:p w14:paraId="73A9D5E6" w14:textId="77777777" w:rsidR="00D40151" w:rsidRPr="00873B6C" w:rsidRDefault="00D40151" w:rsidP="009D14FB">
            <w:pPr>
              <w:pStyle w:val="TAC"/>
              <w:rPr>
                <w:sz w:val="16"/>
                <w:szCs w:val="16"/>
              </w:rPr>
            </w:pPr>
            <w:r w:rsidRPr="00873B6C">
              <w:rPr>
                <w:sz w:val="16"/>
                <w:szCs w:val="16"/>
              </w:rPr>
              <w:lastRenderedPageBreak/>
              <w:t>2019-09</w:t>
            </w:r>
          </w:p>
        </w:tc>
        <w:tc>
          <w:tcPr>
            <w:tcW w:w="800" w:type="dxa"/>
            <w:shd w:val="solid" w:color="FFFFFF" w:fill="auto"/>
          </w:tcPr>
          <w:p w14:paraId="557FDEE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597119F"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2F8BC21A" w14:textId="77777777" w:rsidR="00D40151" w:rsidRPr="00873B6C" w:rsidRDefault="00D40151" w:rsidP="009D14FB">
            <w:pPr>
              <w:pStyle w:val="TAL"/>
              <w:rPr>
                <w:sz w:val="16"/>
                <w:szCs w:val="16"/>
              </w:rPr>
            </w:pPr>
            <w:r w:rsidRPr="00873B6C">
              <w:rPr>
                <w:sz w:val="16"/>
                <w:szCs w:val="16"/>
              </w:rPr>
              <w:t>1364</w:t>
            </w:r>
          </w:p>
        </w:tc>
        <w:tc>
          <w:tcPr>
            <w:tcW w:w="425" w:type="dxa"/>
            <w:shd w:val="solid" w:color="FFFFFF" w:fill="auto"/>
          </w:tcPr>
          <w:p w14:paraId="1FA221E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FB9F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245E4E" w14:textId="77777777" w:rsidR="00D40151" w:rsidRPr="00873B6C" w:rsidRDefault="00D40151" w:rsidP="009D14FB">
            <w:pPr>
              <w:pStyle w:val="TAL"/>
              <w:rPr>
                <w:sz w:val="16"/>
                <w:szCs w:val="16"/>
              </w:rPr>
            </w:pPr>
            <w:r w:rsidRPr="00873B6C">
              <w:rPr>
                <w:sz w:val="16"/>
                <w:szCs w:val="16"/>
              </w:rPr>
              <w:t>NIDD Description Update for Maximum Packet Size</w:t>
            </w:r>
          </w:p>
        </w:tc>
        <w:tc>
          <w:tcPr>
            <w:tcW w:w="708" w:type="dxa"/>
            <w:shd w:val="solid" w:color="FFFFFF" w:fill="auto"/>
          </w:tcPr>
          <w:p w14:paraId="4F42A2C3" w14:textId="77777777" w:rsidR="00D40151" w:rsidRPr="00873B6C" w:rsidRDefault="00D40151" w:rsidP="009D14FB">
            <w:pPr>
              <w:pStyle w:val="TAC"/>
              <w:rPr>
                <w:sz w:val="16"/>
                <w:szCs w:val="16"/>
              </w:rPr>
            </w:pPr>
            <w:r w:rsidRPr="00873B6C">
              <w:rPr>
                <w:sz w:val="16"/>
                <w:szCs w:val="16"/>
              </w:rPr>
              <w:t>16.2.0</w:t>
            </w:r>
          </w:p>
        </w:tc>
      </w:tr>
      <w:tr w:rsidR="00D40151" w:rsidRPr="00873B6C" w14:paraId="774F7215" w14:textId="77777777" w:rsidTr="009D14FB">
        <w:tc>
          <w:tcPr>
            <w:tcW w:w="800" w:type="dxa"/>
            <w:shd w:val="solid" w:color="FFFFFF" w:fill="auto"/>
          </w:tcPr>
          <w:p w14:paraId="04990EC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ED8C02E"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C51A762"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438F5269" w14:textId="77777777" w:rsidR="00D40151" w:rsidRPr="00873B6C" w:rsidRDefault="00D40151" w:rsidP="009D14FB">
            <w:pPr>
              <w:pStyle w:val="TAL"/>
              <w:rPr>
                <w:sz w:val="16"/>
                <w:szCs w:val="16"/>
              </w:rPr>
            </w:pPr>
            <w:r w:rsidRPr="00873B6C">
              <w:rPr>
                <w:sz w:val="16"/>
                <w:szCs w:val="16"/>
              </w:rPr>
              <w:t>1371</w:t>
            </w:r>
          </w:p>
        </w:tc>
        <w:tc>
          <w:tcPr>
            <w:tcW w:w="425" w:type="dxa"/>
            <w:shd w:val="solid" w:color="FFFFFF" w:fill="auto"/>
          </w:tcPr>
          <w:p w14:paraId="6C5970F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E509A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51DAFD" w14:textId="77777777" w:rsidR="00D40151" w:rsidRPr="00873B6C" w:rsidRDefault="00D40151" w:rsidP="009D14FB">
            <w:pPr>
              <w:pStyle w:val="TAL"/>
              <w:rPr>
                <w:sz w:val="16"/>
                <w:szCs w:val="16"/>
              </w:rPr>
            </w:pPr>
            <w:r w:rsidRPr="00873B6C">
              <w:rPr>
                <w:sz w:val="16"/>
                <w:szCs w:val="16"/>
              </w:rPr>
              <w:t xml:space="preserve">Clarification for the related CAG identifier </w:t>
            </w:r>
          </w:p>
        </w:tc>
        <w:tc>
          <w:tcPr>
            <w:tcW w:w="708" w:type="dxa"/>
            <w:shd w:val="solid" w:color="FFFFFF" w:fill="auto"/>
          </w:tcPr>
          <w:p w14:paraId="204AF96C" w14:textId="77777777" w:rsidR="00D40151" w:rsidRPr="00873B6C" w:rsidRDefault="00D40151" w:rsidP="009D14FB">
            <w:pPr>
              <w:pStyle w:val="TAC"/>
              <w:rPr>
                <w:sz w:val="16"/>
                <w:szCs w:val="16"/>
              </w:rPr>
            </w:pPr>
            <w:r w:rsidRPr="00873B6C">
              <w:rPr>
                <w:sz w:val="16"/>
                <w:szCs w:val="16"/>
              </w:rPr>
              <w:t>16.2.0</w:t>
            </w:r>
          </w:p>
        </w:tc>
      </w:tr>
      <w:tr w:rsidR="00D40151" w:rsidRPr="00873B6C" w14:paraId="54ABBBC3" w14:textId="77777777" w:rsidTr="009D14FB">
        <w:tc>
          <w:tcPr>
            <w:tcW w:w="800" w:type="dxa"/>
            <w:shd w:val="solid" w:color="FFFFFF" w:fill="auto"/>
          </w:tcPr>
          <w:p w14:paraId="3DD88544"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67D627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336294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4FDA19F3" w14:textId="77777777" w:rsidR="00D40151" w:rsidRPr="00873B6C" w:rsidRDefault="00D40151" w:rsidP="009D14FB">
            <w:pPr>
              <w:pStyle w:val="TAL"/>
              <w:rPr>
                <w:sz w:val="16"/>
                <w:szCs w:val="16"/>
              </w:rPr>
            </w:pPr>
            <w:r w:rsidRPr="00873B6C">
              <w:rPr>
                <w:sz w:val="16"/>
                <w:szCs w:val="16"/>
              </w:rPr>
              <w:t>1379</w:t>
            </w:r>
          </w:p>
        </w:tc>
        <w:tc>
          <w:tcPr>
            <w:tcW w:w="425" w:type="dxa"/>
            <w:shd w:val="solid" w:color="FFFFFF" w:fill="auto"/>
          </w:tcPr>
          <w:p w14:paraId="7D226FF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D2E75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504C86" w14:textId="77777777" w:rsidR="00D40151" w:rsidRPr="00873B6C" w:rsidRDefault="00D40151" w:rsidP="009D14FB">
            <w:pPr>
              <w:pStyle w:val="TAL"/>
              <w:rPr>
                <w:sz w:val="16"/>
                <w:szCs w:val="16"/>
              </w:rPr>
            </w:pPr>
            <w:r w:rsidRPr="00873B6C">
              <w:rPr>
                <w:sz w:val="16"/>
                <w:szCs w:val="16"/>
              </w:rPr>
              <w:t>Support for access to PLMN services via SNPN and SNPN services via PLMN</w:t>
            </w:r>
          </w:p>
        </w:tc>
        <w:tc>
          <w:tcPr>
            <w:tcW w:w="708" w:type="dxa"/>
            <w:shd w:val="solid" w:color="FFFFFF" w:fill="auto"/>
          </w:tcPr>
          <w:p w14:paraId="2594B335" w14:textId="77777777" w:rsidR="00D40151" w:rsidRPr="00873B6C" w:rsidRDefault="00D40151" w:rsidP="009D14FB">
            <w:pPr>
              <w:pStyle w:val="TAC"/>
              <w:rPr>
                <w:sz w:val="16"/>
                <w:szCs w:val="16"/>
              </w:rPr>
            </w:pPr>
            <w:r w:rsidRPr="00873B6C">
              <w:rPr>
                <w:sz w:val="16"/>
                <w:szCs w:val="16"/>
              </w:rPr>
              <w:t>16.2.0</w:t>
            </w:r>
          </w:p>
        </w:tc>
      </w:tr>
      <w:tr w:rsidR="00D40151" w:rsidRPr="00873B6C" w14:paraId="3DEE24B9" w14:textId="77777777" w:rsidTr="009D14FB">
        <w:tc>
          <w:tcPr>
            <w:tcW w:w="800" w:type="dxa"/>
            <w:shd w:val="solid" w:color="FFFFFF" w:fill="auto"/>
          </w:tcPr>
          <w:p w14:paraId="5B4F1AEE"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4C8F64E"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C9DB9A5"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39E7C855" w14:textId="77777777" w:rsidR="00D40151" w:rsidRPr="00873B6C" w:rsidRDefault="00D40151" w:rsidP="009D14FB">
            <w:pPr>
              <w:pStyle w:val="TAL"/>
              <w:rPr>
                <w:sz w:val="16"/>
                <w:szCs w:val="16"/>
              </w:rPr>
            </w:pPr>
            <w:r w:rsidRPr="00873B6C">
              <w:rPr>
                <w:sz w:val="16"/>
                <w:szCs w:val="16"/>
              </w:rPr>
              <w:t>1414</w:t>
            </w:r>
          </w:p>
        </w:tc>
        <w:tc>
          <w:tcPr>
            <w:tcW w:w="425" w:type="dxa"/>
            <w:shd w:val="solid" w:color="FFFFFF" w:fill="auto"/>
          </w:tcPr>
          <w:p w14:paraId="0BFD331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B9E5E9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59E864A" w14:textId="77777777" w:rsidR="00D40151" w:rsidRPr="00873B6C" w:rsidRDefault="00D40151" w:rsidP="009D14FB">
            <w:pPr>
              <w:pStyle w:val="TAL"/>
              <w:rPr>
                <w:sz w:val="16"/>
                <w:szCs w:val="16"/>
              </w:rPr>
            </w:pPr>
            <w:r w:rsidRPr="00873B6C">
              <w:rPr>
                <w:sz w:val="16"/>
                <w:szCs w:val="16"/>
              </w:rPr>
              <w:t>QoS monitoring based on GTP-U paths</w:t>
            </w:r>
          </w:p>
        </w:tc>
        <w:tc>
          <w:tcPr>
            <w:tcW w:w="708" w:type="dxa"/>
            <w:shd w:val="solid" w:color="FFFFFF" w:fill="auto"/>
          </w:tcPr>
          <w:p w14:paraId="3D92A5C4" w14:textId="77777777" w:rsidR="00D40151" w:rsidRPr="00873B6C" w:rsidRDefault="00D40151" w:rsidP="009D14FB">
            <w:pPr>
              <w:pStyle w:val="TAC"/>
              <w:rPr>
                <w:sz w:val="16"/>
                <w:szCs w:val="16"/>
              </w:rPr>
            </w:pPr>
            <w:r w:rsidRPr="00873B6C">
              <w:rPr>
                <w:sz w:val="16"/>
                <w:szCs w:val="16"/>
              </w:rPr>
              <w:t>16.2.0</w:t>
            </w:r>
          </w:p>
        </w:tc>
      </w:tr>
      <w:tr w:rsidR="00D40151" w:rsidRPr="00873B6C" w14:paraId="25987EE2" w14:textId="77777777" w:rsidTr="009D14FB">
        <w:tc>
          <w:tcPr>
            <w:tcW w:w="800" w:type="dxa"/>
            <w:shd w:val="solid" w:color="FFFFFF" w:fill="auto"/>
          </w:tcPr>
          <w:p w14:paraId="7403A2D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A8B504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D936791" w14:textId="77777777" w:rsidR="00D40151" w:rsidRPr="00873B6C" w:rsidRDefault="00D40151" w:rsidP="009D14FB">
            <w:pPr>
              <w:pStyle w:val="TAC"/>
              <w:rPr>
                <w:sz w:val="16"/>
                <w:szCs w:val="16"/>
              </w:rPr>
            </w:pPr>
            <w:r w:rsidRPr="00873B6C">
              <w:rPr>
                <w:sz w:val="16"/>
                <w:szCs w:val="16"/>
              </w:rPr>
              <w:t>SP-190615</w:t>
            </w:r>
          </w:p>
        </w:tc>
        <w:tc>
          <w:tcPr>
            <w:tcW w:w="567" w:type="dxa"/>
            <w:shd w:val="solid" w:color="FFFFFF" w:fill="auto"/>
          </w:tcPr>
          <w:p w14:paraId="7AF91338" w14:textId="77777777" w:rsidR="00D40151" w:rsidRPr="00873B6C" w:rsidRDefault="00D40151" w:rsidP="009D14FB">
            <w:pPr>
              <w:pStyle w:val="TAL"/>
              <w:rPr>
                <w:sz w:val="16"/>
                <w:szCs w:val="16"/>
              </w:rPr>
            </w:pPr>
            <w:r w:rsidRPr="00873B6C">
              <w:rPr>
                <w:sz w:val="16"/>
                <w:szCs w:val="16"/>
              </w:rPr>
              <w:t>1440</w:t>
            </w:r>
          </w:p>
        </w:tc>
        <w:tc>
          <w:tcPr>
            <w:tcW w:w="425" w:type="dxa"/>
            <w:shd w:val="solid" w:color="FFFFFF" w:fill="auto"/>
          </w:tcPr>
          <w:p w14:paraId="40633A9D"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9CC68D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1DE9E60" w14:textId="77777777" w:rsidR="00D40151" w:rsidRPr="00873B6C" w:rsidRDefault="00D40151" w:rsidP="009D14FB">
            <w:pPr>
              <w:pStyle w:val="TAL"/>
              <w:rPr>
                <w:sz w:val="16"/>
                <w:szCs w:val="16"/>
              </w:rPr>
            </w:pPr>
            <w:r w:rsidRPr="00873B6C">
              <w:rPr>
                <w:sz w:val="16"/>
                <w:szCs w:val="16"/>
              </w:rPr>
              <w:t>Enhancements to QoS Handling for V2X Communication Over Uu Reference Point</w:t>
            </w:r>
          </w:p>
        </w:tc>
        <w:tc>
          <w:tcPr>
            <w:tcW w:w="708" w:type="dxa"/>
            <w:shd w:val="solid" w:color="FFFFFF" w:fill="auto"/>
          </w:tcPr>
          <w:p w14:paraId="046EB167" w14:textId="77777777" w:rsidR="00D40151" w:rsidRPr="00873B6C" w:rsidRDefault="00D40151" w:rsidP="009D14FB">
            <w:pPr>
              <w:pStyle w:val="TAC"/>
              <w:rPr>
                <w:sz w:val="16"/>
                <w:szCs w:val="16"/>
              </w:rPr>
            </w:pPr>
            <w:r w:rsidRPr="00873B6C">
              <w:rPr>
                <w:sz w:val="16"/>
                <w:szCs w:val="16"/>
              </w:rPr>
              <w:t>16.2.0</w:t>
            </w:r>
          </w:p>
        </w:tc>
      </w:tr>
      <w:tr w:rsidR="00D40151" w:rsidRPr="00873B6C" w14:paraId="7F19897B" w14:textId="77777777" w:rsidTr="009D14FB">
        <w:tc>
          <w:tcPr>
            <w:tcW w:w="800" w:type="dxa"/>
            <w:shd w:val="solid" w:color="FFFFFF" w:fill="auto"/>
          </w:tcPr>
          <w:p w14:paraId="66485BF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0FE32D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2EFFBA1"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3B950D75" w14:textId="77777777" w:rsidR="00D40151" w:rsidRPr="00873B6C" w:rsidRDefault="00D40151" w:rsidP="009D14FB">
            <w:pPr>
              <w:pStyle w:val="TAL"/>
              <w:rPr>
                <w:sz w:val="16"/>
                <w:szCs w:val="16"/>
              </w:rPr>
            </w:pPr>
            <w:r w:rsidRPr="00873B6C">
              <w:rPr>
                <w:sz w:val="16"/>
                <w:szCs w:val="16"/>
              </w:rPr>
              <w:t>1453</w:t>
            </w:r>
          </w:p>
        </w:tc>
        <w:tc>
          <w:tcPr>
            <w:tcW w:w="425" w:type="dxa"/>
            <w:shd w:val="solid" w:color="FFFFFF" w:fill="auto"/>
          </w:tcPr>
          <w:p w14:paraId="603208CC"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A88609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EF2D17" w14:textId="77777777" w:rsidR="00D40151" w:rsidRPr="00873B6C" w:rsidRDefault="00D40151" w:rsidP="009D14FB">
            <w:pPr>
              <w:pStyle w:val="TAL"/>
              <w:rPr>
                <w:sz w:val="16"/>
                <w:szCs w:val="16"/>
              </w:rPr>
            </w:pPr>
            <w:r w:rsidRPr="00873B6C">
              <w:rPr>
                <w:sz w:val="16"/>
                <w:szCs w:val="16"/>
              </w:rPr>
              <w:t>Completion of the PCF Group</w:t>
            </w:r>
          </w:p>
        </w:tc>
        <w:tc>
          <w:tcPr>
            <w:tcW w:w="708" w:type="dxa"/>
            <w:shd w:val="solid" w:color="FFFFFF" w:fill="auto"/>
          </w:tcPr>
          <w:p w14:paraId="5EA1C543" w14:textId="77777777" w:rsidR="00D40151" w:rsidRPr="00873B6C" w:rsidRDefault="00D40151" w:rsidP="009D14FB">
            <w:pPr>
              <w:pStyle w:val="TAC"/>
              <w:rPr>
                <w:sz w:val="16"/>
                <w:szCs w:val="16"/>
              </w:rPr>
            </w:pPr>
            <w:r w:rsidRPr="00873B6C">
              <w:rPr>
                <w:sz w:val="16"/>
                <w:szCs w:val="16"/>
              </w:rPr>
              <w:t>16.2.0</w:t>
            </w:r>
          </w:p>
        </w:tc>
      </w:tr>
      <w:tr w:rsidR="00D40151" w:rsidRPr="00873B6C" w14:paraId="4BF7D544" w14:textId="77777777" w:rsidTr="009D14FB">
        <w:tc>
          <w:tcPr>
            <w:tcW w:w="800" w:type="dxa"/>
            <w:shd w:val="solid" w:color="FFFFFF" w:fill="auto"/>
          </w:tcPr>
          <w:p w14:paraId="11BC3457"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C309C6F"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FEE3C51"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218CE225" w14:textId="77777777" w:rsidR="00D40151" w:rsidRPr="00873B6C" w:rsidRDefault="00D40151" w:rsidP="009D14FB">
            <w:pPr>
              <w:pStyle w:val="TAL"/>
              <w:rPr>
                <w:sz w:val="16"/>
                <w:szCs w:val="16"/>
              </w:rPr>
            </w:pPr>
            <w:r w:rsidRPr="00873B6C">
              <w:rPr>
                <w:sz w:val="16"/>
                <w:szCs w:val="16"/>
              </w:rPr>
              <w:t>1454</w:t>
            </w:r>
          </w:p>
        </w:tc>
        <w:tc>
          <w:tcPr>
            <w:tcW w:w="425" w:type="dxa"/>
            <w:shd w:val="solid" w:color="FFFFFF" w:fill="auto"/>
          </w:tcPr>
          <w:p w14:paraId="34CC5C8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F05FA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74B723" w14:textId="77777777" w:rsidR="00D40151" w:rsidRPr="00873B6C" w:rsidRDefault="00D40151" w:rsidP="009D14FB">
            <w:pPr>
              <w:pStyle w:val="TAL"/>
              <w:rPr>
                <w:sz w:val="16"/>
                <w:szCs w:val="16"/>
              </w:rPr>
            </w:pPr>
            <w:r w:rsidRPr="00873B6C">
              <w:rPr>
                <w:sz w:val="16"/>
                <w:szCs w:val="16"/>
              </w:rPr>
              <w:t>Inter Core Network Roaming</w:t>
            </w:r>
          </w:p>
        </w:tc>
        <w:tc>
          <w:tcPr>
            <w:tcW w:w="708" w:type="dxa"/>
            <w:shd w:val="solid" w:color="FFFFFF" w:fill="auto"/>
          </w:tcPr>
          <w:p w14:paraId="6FA299EC" w14:textId="77777777" w:rsidR="00D40151" w:rsidRPr="00873B6C" w:rsidRDefault="00D40151" w:rsidP="009D14FB">
            <w:pPr>
              <w:pStyle w:val="TAC"/>
              <w:rPr>
                <w:sz w:val="16"/>
                <w:szCs w:val="16"/>
              </w:rPr>
            </w:pPr>
            <w:r w:rsidRPr="00873B6C">
              <w:rPr>
                <w:sz w:val="16"/>
                <w:szCs w:val="16"/>
              </w:rPr>
              <w:t>16.2.0</w:t>
            </w:r>
          </w:p>
        </w:tc>
      </w:tr>
      <w:tr w:rsidR="00D40151" w:rsidRPr="00873B6C" w14:paraId="1159D70F" w14:textId="77777777" w:rsidTr="009D14FB">
        <w:tc>
          <w:tcPr>
            <w:tcW w:w="800" w:type="dxa"/>
            <w:shd w:val="solid" w:color="FFFFFF" w:fill="auto"/>
          </w:tcPr>
          <w:p w14:paraId="7DBD662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6048E7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7DAD408" w14:textId="77777777" w:rsidR="00D40151" w:rsidRPr="00873B6C" w:rsidRDefault="00D40151" w:rsidP="009D14FB">
            <w:pPr>
              <w:pStyle w:val="TAC"/>
              <w:rPr>
                <w:sz w:val="16"/>
                <w:szCs w:val="16"/>
              </w:rPr>
            </w:pPr>
            <w:r w:rsidRPr="00873B6C">
              <w:rPr>
                <w:sz w:val="16"/>
                <w:szCs w:val="16"/>
              </w:rPr>
              <w:t>SP-190609</w:t>
            </w:r>
          </w:p>
        </w:tc>
        <w:tc>
          <w:tcPr>
            <w:tcW w:w="567" w:type="dxa"/>
            <w:shd w:val="solid" w:color="FFFFFF" w:fill="auto"/>
          </w:tcPr>
          <w:p w14:paraId="01051E76" w14:textId="77777777" w:rsidR="00D40151" w:rsidRPr="00873B6C" w:rsidRDefault="00D40151" w:rsidP="009D14FB">
            <w:pPr>
              <w:pStyle w:val="TAL"/>
              <w:rPr>
                <w:sz w:val="16"/>
                <w:szCs w:val="16"/>
              </w:rPr>
            </w:pPr>
            <w:r w:rsidRPr="00873B6C">
              <w:rPr>
                <w:sz w:val="16"/>
                <w:szCs w:val="16"/>
              </w:rPr>
              <w:t>1455</w:t>
            </w:r>
          </w:p>
        </w:tc>
        <w:tc>
          <w:tcPr>
            <w:tcW w:w="425" w:type="dxa"/>
            <w:shd w:val="solid" w:color="FFFFFF" w:fill="auto"/>
          </w:tcPr>
          <w:p w14:paraId="3C6E496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E0267D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5627E6" w14:textId="77777777" w:rsidR="00D40151" w:rsidRPr="00873B6C" w:rsidRDefault="00D40151" w:rsidP="009D14FB">
            <w:pPr>
              <w:pStyle w:val="TAL"/>
              <w:rPr>
                <w:sz w:val="16"/>
                <w:szCs w:val="16"/>
              </w:rPr>
            </w:pPr>
            <w:r w:rsidRPr="00873B6C">
              <w:rPr>
                <w:sz w:val="16"/>
                <w:szCs w:val="16"/>
              </w:rPr>
              <w:t>Align PLMN selection with service requirements</w:t>
            </w:r>
          </w:p>
        </w:tc>
        <w:tc>
          <w:tcPr>
            <w:tcW w:w="708" w:type="dxa"/>
            <w:shd w:val="solid" w:color="FFFFFF" w:fill="auto"/>
          </w:tcPr>
          <w:p w14:paraId="1D459460" w14:textId="77777777" w:rsidR="00D40151" w:rsidRPr="00873B6C" w:rsidRDefault="00D40151" w:rsidP="009D14FB">
            <w:pPr>
              <w:pStyle w:val="TAC"/>
              <w:rPr>
                <w:sz w:val="16"/>
                <w:szCs w:val="16"/>
              </w:rPr>
            </w:pPr>
            <w:r w:rsidRPr="00873B6C">
              <w:rPr>
                <w:sz w:val="16"/>
                <w:szCs w:val="16"/>
              </w:rPr>
              <w:t>16.2.0</w:t>
            </w:r>
          </w:p>
        </w:tc>
      </w:tr>
      <w:tr w:rsidR="00D40151" w:rsidRPr="00873B6C" w14:paraId="791C8422" w14:textId="77777777" w:rsidTr="009D14FB">
        <w:tc>
          <w:tcPr>
            <w:tcW w:w="800" w:type="dxa"/>
            <w:shd w:val="solid" w:color="FFFFFF" w:fill="auto"/>
          </w:tcPr>
          <w:p w14:paraId="3E9C060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2A13C5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E95066F"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3624C3F1" w14:textId="77777777" w:rsidR="00D40151" w:rsidRPr="00873B6C" w:rsidRDefault="00D40151" w:rsidP="009D14FB">
            <w:pPr>
              <w:pStyle w:val="TAL"/>
              <w:rPr>
                <w:sz w:val="16"/>
                <w:szCs w:val="16"/>
              </w:rPr>
            </w:pPr>
            <w:r w:rsidRPr="00873B6C">
              <w:rPr>
                <w:sz w:val="16"/>
                <w:szCs w:val="16"/>
              </w:rPr>
              <w:t>1457</w:t>
            </w:r>
          </w:p>
        </w:tc>
        <w:tc>
          <w:tcPr>
            <w:tcW w:w="425" w:type="dxa"/>
            <w:shd w:val="solid" w:color="FFFFFF" w:fill="auto"/>
          </w:tcPr>
          <w:p w14:paraId="3B7DC97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A5EC8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70209A" w14:textId="77777777" w:rsidR="00D40151" w:rsidRPr="00873B6C" w:rsidRDefault="00D40151" w:rsidP="009D14FB">
            <w:pPr>
              <w:pStyle w:val="TAL"/>
              <w:rPr>
                <w:sz w:val="16"/>
                <w:szCs w:val="16"/>
              </w:rPr>
            </w:pPr>
            <w:r w:rsidRPr="00873B6C">
              <w:rPr>
                <w:sz w:val="16"/>
                <w:szCs w:val="16"/>
              </w:rPr>
              <w:t>NAS RAI corrections</w:t>
            </w:r>
          </w:p>
        </w:tc>
        <w:tc>
          <w:tcPr>
            <w:tcW w:w="708" w:type="dxa"/>
            <w:shd w:val="solid" w:color="FFFFFF" w:fill="auto"/>
          </w:tcPr>
          <w:p w14:paraId="3B9FB62C" w14:textId="77777777" w:rsidR="00D40151" w:rsidRPr="00873B6C" w:rsidRDefault="00D40151" w:rsidP="009D14FB">
            <w:pPr>
              <w:pStyle w:val="TAC"/>
              <w:rPr>
                <w:sz w:val="16"/>
                <w:szCs w:val="16"/>
              </w:rPr>
            </w:pPr>
            <w:r w:rsidRPr="00873B6C">
              <w:rPr>
                <w:sz w:val="16"/>
                <w:szCs w:val="16"/>
              </w:rPr>
              <w:t>16.2.0</w:t>
            </w:r>
          </w:p>
        </w:tc>
      </w:tr>
      <w:tr w:rsidR="00D40151" w:rsidRPr="00873B6C" w14:paraId="13E2BDF6" w14:textId="77777777" w:rsidTr="009D14FB">
        <w:tc>
          <w:tcPr>
            <w:tcW w:w="800" w:type="dxa"/>
            <w:shd w:val="solid" w:color="FFFFFF" w:fill="auto"/>
          </w:tcPr>
          <w:p w14:paraId="5605F77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DF4B9C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086C2D4"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7CED352D" w14:textId="77777777" w:rsidR="00D40151" w:rsidRPr="00873B6C" w:rsidRDefault="00D40151" w:rsidP="009D14FB">
            <w:pPr>
              <w:pStyle w:val="TAL"/>
              <w:rPr>
                <w:sz w:val="16"/>
                <w:szCs w:val="16"/>
              </w:rPr>
            </w:pPr>
            <w:r w:rsidRPr="00873B6C">
              <w:rPr>
                <w:sz w:val="16"/>
                <w:szCs w:val="16"/>
              </w:rPr>
              <w:t>1461</w:t>
            </w:r>
          </w:p>
        </w:tc>
        <w:tc>
          <w:tcPr>
            <w:tcW w:w="425" w:type="dxa"/>
            <w:shd w:val="solid" w:color="FFFFFF" w:fill="auto"/>
          </w:tcPr>
          <w:p w14:paraId="331DEA6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DB6FA7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B2864A" w14:textId="77777777" w:rsidR="00D40151" w:rsidRPr="00873B6C" w:rsidRDefault="00D40151" w:rsidP="009D14FB">
            <w:pPr>
              <w:pStyle w:val="TAL"/>
              <w:rPr>
                <w:sz w:val="16"/>
                <w:szCs w:val="16"/>
              </w:rPr>
            </w:pPr>
            <w:r w:rsidRPr="00873B6C">
              <w:rPr>
                <w:sz w:val="16"/>
                <w:szCs w:val="16"/>
              </w:rPr>
              <w:t>Clarifications to QoS support for NB-IoT</w:t>
            </w:r>
          </w:p>
        </w:tc>
        <w:tc>
          <w:tcPr>
            <w:tcW w:w="708" w:type="dxa"/>
            <w:shd w:val="solid" w:color="FFFFFF" w:fill="auto"/>
          </w:tcPr>
          <w:p w14:paraId="4ED67210" w14:textId="77777777" w:rsidR="00D40151" w:rsidRPr="00873B6C" w:rsidRDefault="00D40151" w:rsidP="009D14FB">
            <w:pPr>
              <w:pStyle w:val="TAC"/>
              <w:rPr>
                <w:sz w:val="16"/>
                <w:szCs w:val="16"/>
              </w:rPr>
            </w:pPr>
            <w:r w:rsidRPr="00873B6C">
              <w:rPr>
                <w:sz w:val="16"/>
                <w:szCs w:val="16"/>
              </w:rPr>
              <w:t>16.2.0</w:t>
            </w:r>
          </w:p>
        </w:tc>
      </w:tr>
      <w:tr w:rsidR="00D40151" w:rsidRPr="00873B6C" w14:paraId="31E276CB" w14:textId="77777777" w:rsidTr="009D14FB">
        <w:tc>
          <w:tcPr>
            <w:tcW w:w="800" w:type="dxa"/>
            <w:shd w:val="solid" w:color="FFFFFF" w:fill="auto"/>
          </w:tcPr>
          <w:p w14:paraId="7C9E3A4A"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D2F245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492EACF" w14:textId="77777777" w:rsidR="00D40151" w:rsidRPr="00873B6C" w:rsidRDefault="00D40151" w:rsidP="009D14FB">
            <w:pPr>
              <w:pStyle w:val="TAC"/>
              <w:rPr>
                <w:sz w:val="16"/>
                <w:szCs w:val="16"/>
              </w:rPr>
            </w:pPr>
            <w:r w:rsidRPr="00873B6C">
              <w:rPr>
                <w:sz w:val="16"/>
                <w:szCs w:val="16"/>
              </w:rPr>
              <w:t>SP-190617</w:t>
            </w:r>
          </w:p>
        </w:tc>
        <w:tc>
          <w:tcPr>
            <w:tcW w:w="567" w:type="dxa"/>
            <w:shd w:val="solid" w:color="FFFFFF" w:fill="auto"/>
          </w:tcPr>
          <w:p w14:paraId="4346FE09" w14:textId="77777777" w:rsidR="00D40151" w:rsidRPr="00873B6C" w:rsidRDefault="00D40151" w:rsidP="009D14FB">
            <w:pPr>
              <w:pStyle w:val="TAL"/>
              <w:rPr>
                <w:sz w:val="16"/>
                <w:szCs w:val="16"/>
              </w:rPr>
            </w:pPr>
            <w:r w:rsidRPr="00873B6C">
              <w:rPr>
                <w:sz w:val="16"/>
                <w:szCs w:val="16"/>
              </w:rPr>
              <w:t>1463</w:t>
            </w:r>
          </w:p>
        </w:tc>
        <w:tc>
          <w:tcPr>
            <w:tcW w:w="425" w:type="dxa"/>
            <w:shd w:val="solid" w:color="FFFFFF" w:fill="auto"/>
          </w:tcPr>
          <w:p w14:paraId="158C7C6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98D732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87830C" w14:textId="77777777" w:rsidR="00D40151" w:rsidRPr="00873B6C" w:rsidRDefault="00D40151" w:rsidP="009D14FB">
            <w:pPr>
              <w:pStyle w:val="TAL"/>
              <w:rPr>
                <w:sz w:val="16"/>
                <w:szCs w:val="16"/>
              </w:rPr>
            </w:pPr>
            <w:r w:rsidRPr="00873B6C">
              <w:rPr>
                <w:sz w:val="16"/>
                <w:szCs w:val="16"/>
              </w:rPr>
              <w:t>Correction on support of RACS</w:t>
            </w:r>
          </w:p>
        </w:tc>
        <w:tc>
          <w:tcPr>
            <w:tcW w:w="708" w:type="dxa"/>
            <w:shd w:val="solid" w:color="FFFFFF" w:fill="auto"/>
          </w:tcPr>
          <w:p w14:paraId="33BB4212" w14:textId="77777777" w:rsidR="00D40151" w:rsidRPr="00873B6C" w:rsidRDefault="00D40151" w:rsidP="009D14FB">
            <w:pPr>
              <w:pStyle w:val="TAC"/>
              <w:rPr>
                <w:sz w:val="16"/>
                <w:szCs w:val="16"/>
              </w:rPr>
            </w:pPr>
            <w:r w:rsidRPr="00873B6C">
              <w:rPr>
                <w:sz w:val="16"/>
                <w:szCs w:val="16"/>
              </w:rPr>
              <w:t>16.2.0</w:t>
            </w:r>
          </w:p>
        </w:tc>
      </w:tr>
      <w:tr w:rsidR="00D40151" w:rsidRPr="00873B6C" w14:paraId="0ED86728" w14:textId="77777777" w:rsidTr="009D14FB">
        <w:tc>
          <w:tcPr>
            <w:tcW w:w="800" w:type="dxa"/>
            <w:shd w:val="solid" w:color="FFFFFF" w:fill="auto"/>
          </w:tcPr>
          <w:p w14:paraId="57F423C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C0EA2C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8877951"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30460E24" w14:textId="77777777" w:rsidR="00D40151" w:rsidRPr="00873B6C" w:rsidRDefault="00D40151" w:rsidP="009D14FB">
            <w:pPr>
              <w:pStyle w:val="TAL"/>
              <w:rPr>
                <w:sz w:val="16"/>
                <w:szCs w:val="16"/>
              </w:rPr>
            </w:pPr>
            <w:r w:rsidRPr="00873B6C">
              <w:rPr>
                <w:sz w:val="16"/>
                <w:szCs w:val="16"/>
              </w:rPr>
              <w:t>1464</w:t>
            </w:r>
          </w:p>
        </w:tc>
        <w:tc>
          <w:tcPr>
            <w:tcW w:w="425" w:type="dxa"/>
            <w:shd w:val="solid" w:color="FFFFFF" w:fill="auto"/>
          </w:tcPr>
          <w:p w14:paraId="0A993C4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3A9D798"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5C0A25C" w14:textId="77777777" w:rsidR="00D40151" w:rsidRPr="00873B6C" w:rsidRDefault="00D40151" w:rsidP="009D14FB">
            <w:pPr>
              <w:pStyle w:val="TAL"/>
              <w:rPr>
                <w:sz w:val="16"/>
                <w:szCs w:val="16"/>
              </w:rPr>
            </w:pPr>
            <w:r w:rsidRPr="00873B6C">
              <w:rPr>
                <w:sz w:val="16"/>
                <w:szCs w:val="16"/>
              </w:rPr>
              <w:t>Completing Ethernet port management</w:t>
            </w:r>
          </w:p>
        </w:tc>
        <w:tc>
          <w:tcPr>
            <w:tcW w:w="708" w:type="dxa"/>
            <w:shd w:val="solid" w:color="FFFFFF" w:fill="auto"/>
          </w:tcPr>
          <w:p w14:paraId="1A21697C" w14:textId="77777777" w:rsidR="00D40151" w:rsidRPr="00873B6C" w:rsidRDefault="00D40151" w:rsidP="009D14FB">
            <w:pPr>
              <w:pStyle w:val="TAC"/>
              <w:rPr>
                <w:sz w:val="16"/>
                <w:szCs w:val="16"/>
              </w:rPr>
            </w:pPr>
            <w:r w:rsidRPr="00873B6C">
              <w:rPr>
                <w:sz w:val="16"/>
                <w:szCs w:val="16"/>
              </w:rPr>
              <w:t>16.2.0</w:t>
            </w:r>
          </w:p>
        </w:tc>
      </w:tr>
      <w:tr w:rsidR="00D40151" w:rsidRPr="00873B6C" w14:paraId="6CC7277E" w14:textId="77777777" w:rsidTr="009D14FB">
        <w:tc>
          <w:tcPr>
            <w:tcW w:w="800" w:type="dxa"/>
            <w:shd w:val="solid" w:color="FFFFFF" w:fill="auto"/>
          </w:tcPr>
          <w:p w14:paraId="1EFA2A5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E37506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B136DFC"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236F20CF" w14:textId="77777777" w:rsidR="00D40151" w:rsidRPr="00873B6C" w:rsidRDefault="00D40151" w:rsidP="009D14FB">
            <w:pPr>
              <w:pStyle w:val="TAL"/>
              <w:rPr>
                <w:sz w:val="16"/>
                <w:szCs w:val="16"/>
              </w:rPr>
            </w:pPr>
            <w:r w:rsidRPr="00873B6C">
              <w:rPr>
                <w:sz w:val="16"/>
                <w:szCs w:val="16"/>
              </w:rPr>
              <w:t>1465</w:t>
            </w:r>
          </w:p>
        </w:tc>
        <w:tc>
          <w:tcPr>
            <w:tcW w:w="425" w:type="dxa"/>
            <w:shd w:val="solid" w:color="FFFFFF" w:fill="auto"/>
          </w:tcPr>
          <w:p w14:paraId="794A6AE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6F3371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956937" w14:textId="77777777" w:rsidR="00D40151" w:rsidRPr="00873B6C" w:rsidRDefault="00D40151" w:rsidP="009D14FB">
            <w:pPr>
              <w:pStyle w:val="TAL"/>
              <w:rPr>
                <w:sz w:val="16"/>
                <w:szCs w:val="16"/>
              </w:rPr>
            </w:pPr>
            <w:r w:rsidRPr="00873B6C">
              <w:rPr>
                <w:sz w:val="16"/>
                <w:szCs w:val="16"/>
              </w:rPr>
              <w:t xml:space="preserve">Adding N4 Notification about buffered packets being dropped </w:t>
            </w:r>
          </w:p>
        </w:tc>
        <w:tc>
          <w:tcPr>
            <w:tcW w:w="708" w:type="dxa"/>
            <w:shd w:val="solid" w:color="FFFFFF" w:fill="auto"/>
          </w:tcPr>
          <w:p w14:paraId="1DF22020" w14:textId="77777777" w:rsidR="00D40151" w:rsidRPr="00873B6C" w:rsidRDefault="00D40151" w:rsidP="009D14FB">
            <w:pPr>
              <w:pStyle w:val="TAC"/>
              <w:rPr>
                <w:sz w:val="16"/>
                <w:szCs w:val="16"/>
              </w:rPr>
            </w:pPr>
            <w:r w:rsidRPr="00873B6C">
              <w:rPr>
                <w:sz w:val="16"/>
                <w:szCs w:val="16"/>
              </w:rPr>
              <w:t>16.2.0</w:t>
            </w:r>
          </w:p>
        </w:tc>
      </w:tr>
      <w:tr w:rsidR="00D40151" w:rsidRPr="00873B6C" w14:paraId="3FB6C377" w14:textId="77777777" w:rsidTr="009D14FB">
        <w:tc>
          <w:tcPr>
            <w:tcW w:w="800" w:type="dxa"/>
            <w:shd w:val="solid" w:color="FFFFFF" w:fill="auto"/>
          </w:tcPr>
          <w:p w14:paraId="2F42EBA2"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5567E3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233FD8F" w14:textId="77777777" w:rsidR="00D40151" w:rsidRPr="00873B6C" w:rsidRDefault="00D40151" w:rsidP="009D14FB">
            <w:pPr>
              <w:pStyle w:val="TAC"/>
              <w:rPr>
                <w:sz w:val="16"/>
                <w:szCs w:val="16"/>
              </w:rPr>
            </w:pPr>
            <w:r w:rsidRPr="00873B6C">
              <w:rPr>
                <w:sz w:val="16"/>
                <w:szCs w:val="16"/>
              </w:rPr>
              <w:t>SP-190609</w:t>
            </w:r>
          </w:p>
        </w:tc>
        <w:tc>
          <w:tcPr>
            <w:tcW w:w="567" w:type="dxa"/>
            <w:shd w:val="solid" w:color="FFFFFF" w:fill="auto"/>
          </w:tcPr>
          <w:p w14:paraId="2F933609" w14:textId="77777777" w:rsidR="00D40151" w:rsidRPr="00873B6C" w:rsidRDefault="00D40151" w:rsidP="009D14FB">
            <w:pPr>
              <w:pStyle w:val="TAL"/>
              <w:rPr>
                <w:sz w:val="16"/>
                <w:szCs w:val="16"/>
              </w:rPr>
            </w:pPr>
            <w:r w:rsidRPr="00873B6C">
              <w:rPr>
                <w:sz w:val="16"/>
                <w:szCs w:val="16"/>
              </w:rPr>
              <w:t>1466</w:t>
            </w:r>
          </w:p>
        </w:tc>
        <w:tc>
          <w:tcPr>
            <w:tcW w:w="425" w:type="dxa"/>
            <w:shd w:val="solid" w:color="FFFFFF" w:fill="auto"/>
          </w:tcPr>
          <w:p w14:paraId="3D8CBE0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B61F1D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86EDBD" w14:textId="77777777" w:rsidR="00D40151" w:rsidRPr="00873B6C" w:rsidRDefault="00D40151" w:rsidP="009D14FB">
            <w:pPr>
              <w:pStyle w:val="TAL"/>
              <w:rPr>
                <w:sz w:val="16"/>
                <w:szCs w:val="16"/>
              </w:rPr>
            </w:pPr>
            <w:r w:rsidRPr="00873B6C">
              <w:rPr>
                <w:sz w:val="16"/>
                <w:szCs w:val="16"/>
              </w:rPr>
              <w:t>PEI for 5G-RG and FN-RG</w:t>
            </w:r>
          </w:p>
        </w:tc>
        <w:tc>
          <w:tcPr>
            <w:tcW w:w="708" w:type="dxa"/>
            <w:shd w:val="solid" w:color="FFFFFF" w:fill="auto"/>
          </w:tcPr>
          <w:p w14:paraId="6E5B4D70" w14:textId="77777777" w:rsidR="00D40151" w:rsidRPr="00873B6C" w:rsidRDefault="00D40151" w:rsidP="009D14FB">
            <w:pPr>
              <w:pStyle w:val="TAC"/>
              <w:rPr>
                <w:sz w:val="16"/>
                <w:szCs w:val="16"/>
              </w:rPr>
            </w:pPr>
            <w:r w:rsidRPr="00873B6C">
              <w:rPr>
                <w:sz w:val="16"/>
                <w:szCs w:val="16"/>
              </w:rPr>
              <w:t>16.2.0</w:t>
            </w:r>
          </w:p>
        </w:tc>
      </w:tr>
      <w:tr w:rsidR="00D40151" w:rsidRPr="00873B6C" w14:paraId="0AB469E6" w14:textId="77777777" w:rsidTr="009D14FB">
        <w:tc>
          <w:tcPr>
            <w:tcW w:w="800" w:type="dxa"/>
            <w:shd w:val="solid" w:color="FFFFFF" w:fill="auto"/>
          </w:tcPr>
          <w:p w14:paraId="617576C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25ACC9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067B950"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463D00AA" w14:textId="77777777" w:rsidR="00D40151" w:rsidRPr="00873B6C" w:rsidRDefault="00D40151" w:rsidP="009D14FB">
            <w:pPr>
              <w:pStyle w:val="TAL"/>
              <w:rPr>
                <w:sz w:val="16"/>
                <w:szCs w:val="16"/>
              </w:rPr>
            </w:pPr>
            <w:r w:rsidRPr="00873B6C">
              <w:rPr>
                <w:sz w:val="16"/>
                <w:szCs w:val="16"/>
              </w:rPr>
              <w:t>1467</w:t>
            </w:r>
          </w:p>
        </w:tc>
        <w:tc>
          <w:tcPr>
            <w:tcW w:w="425" w:type="dxa"/>
            <w:shd w:val="solid" w:color="FFFFFF" w:fill="auto"/>
          </w:tcPr>
          <w:p w14:paraId="2D4F41F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4A364A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58F0B3" w14:textId="77777777" w:rsidR="00D40151" w:rsidRPr="00873B6C" w:rsidRDefault="00D40151" w:rsidP="009D14FB">
            <w:pPr>
              <w:pStyle w:val="TAL"/>
              <w:rPr>
                <w:sz w:val="16"/>
                <w:szCs w:val="16"/>
              </w:rPr>
            </w:pPr>
            <w:r w:rsidRPr="00873B6C">
              <w:rPr>
                <w:sz w:val="16"/>
                <w:szCs w:val="16"/>
              </w:rPr>
              <w:t xml:space="preserve">Corrections to general 5G LAN description </w:t>
            </w:r>
          </w:p>
        </w:tc>
        <w:tc>
          <w:tcPr>
            <w:tcW w:w="708" w:type="dxa"/>
            <w:shd w:val="solid" w:color="FFFFFF" w:fill="auto"/>
          </w:tcPr>
          <w:p w14:paraId="3E16C5F0" w14:textId="77777777" w:rsidR="00D40151" w:rsidRPr="00873B6C" w:rsidRDefault="00D40151" w:rsidP="009D14FB">
            <w:pPr>
              <w:pStyle w:val="TAC"/>
              <w:rPr>
                <w:sz w:val="16"/>
                <w:szCs w:val="16"/>
              </w:rPr>
            </w:pPr>
            <w:r w:rsidRPr="00873B6C">
              <w:rPr>
                <w:sz w:val="16"/>
                <w:szCs w:val="16"/>
              </w:rPr>
              <w:t>16.2.0</w:t>
            </w:r>
          </w:p>
        </w:tc>
      </w:tr>
      <w:tr w:rsidR="00D40151" w:rsidRPr="00873B6C" w14:paraId="51215249" w14:textId="77777777" w:rsidTr="009D14FB">
        <w:tc>
          <w:tcPr>
            <w:tcW w:w="800" w:type="dxa"/>
            <w:shd w:val="solid" w:color="FFFFFF" w:fill="auto"/>
          </w:tcPr>
          <w:p w14:paraId="464F4AA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AEF1DE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25A830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15617D3C" w14:textId="77777777" w:rsidR="00D40151" w:rsidRPr="00873B6C" w:rsidRDefault="00D40151" w:rsidP="009D14FB">
            <w:pPr>
              <w:pStyle w:val="TAL"/>
              <w:rPr>
                <w:sz w:val="16"/>
                <w:szCs w:val="16"/>
              </w:rPr>
            </w:pPr>
            <w:r w:rsidRPr="00873B6C">
              <w:rPr>
                <w:sz w:val="16"/>
                <w:szCs w:val="16"/>
              </w:rPr>
              <w:t>1468</w:t>
            </w:r>
          </w:p>
        </w:tc>
        <w:tc>
          <w:tcPr>
            <w:tcW w:w="425" w:type="dxa"/>
            <w:shd w:val="solid" w:color="FFFFFF" w:fill="auto"/>
          </w:tcPr>
          <w:p w14:paraId="580E2A9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28564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7D0800" w14:textId="77777777" w:rsidR="00D40151" w:rsidRPr="00873B6C" w:rsidRDefault="00D40151" w:rsidP="009D14FB">
            <w:pPr>
              <w:pStyle w:val="TAL"/>
              <w:rPr>
                <w:sz w:val="16"/>
                <w:szCs w:val="16"/>
              </w:rPr>
            </w:pPr>
            <w:r w:rsidRPr="00873B6C">
              <w:rPr>
                <w:sz w:val="16"/>
                <w:szCs w:val="16"/>
              </w:rPr>
              <w:t>5G LAN user plane corrections</w:t>
            </w:r>
          </w:p>
        </w:tc>
        <w:tc>
          <w:tcPr>
            <w:tcW w:w="708" w:type="dxa"/>
            <w:shd w:val="solid" w:color="FFFFFF" w:fill="auto"/>
          </w:tcPr>
          <w:p w14:paraId="51A8BB2B" w14:textId="77777777" w:rsidR="00D40151" w:rsidRPr="00873B6C" w:rsidRDefault="00D40151" w:rsidP="009D14FB">
            <w:pPr>
              <w:pStyle w:val="TAC"/>
              <w:rPr>
                <w:sz w:val="16"/>
                <w:szCs w:val="16"/>
              </w:rPr>
            </w:pPr>
            <w:r w:rsidRPr="00873B6C">
              <w:rPr>
                <w:sz w:val="16"/>
                <w:szCs w:val="16"/>
              </w:rPr>
              <w:t>16.2.0</w:t>
            </w:r>
          </w:p>
        </w:tc>
      </w:tr>
      <w:tr w:rsidR="00D40151" w:rsidRPr="00873B6C" w14:paraId="452C4180" w14:textId="77777777" w:rsidTr="009D14FB">
        <w:tc>
          <w:tcPr>
            <w:tcW w:w="800" w:type="dxa"/>
            <w:shd w:val="solid" w:color="FFFFFF" w:fill="auto"/>
          </w:tcPr>
          <w:p w14:paraId="065EA96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8961AC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18D3063"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10860A87" w14:textId="77777777" w:rsidR="00D40151" w:rsidRPr="00873B6C" w:rsidRDefault="00D40151" w:rsidP="009D14FB">
            <w:pPr>
              <w:pStyle w:val="TAL"/>
              <w:rPr>
                <w:sz w:val="16"/>
                <w:szCs w:val="16"/>
              </w:rPr>
            </w:pPr>
            <w:r w:rsidRPr="00873B6C">
              <w:rPr>
                <w:sz w:val="16"/>
                <w:szCs w:val="16"/>
              </w:rPr>
              <w:t>1469</w:t>
            </w:r>
          </w:p>
        </w:tc>
        <w:tc>
          <w:tcPr>
            <w:tcW w:w="425" w:type="dxa"/>
            <w:shd w:val="solid" w:color="FFFFFF" w:fill="auto"/>
          </w:tcPr>
          <w:p w14:paraId="014E983E"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F3322A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C5D10A" w14:textId="77777777" w:rsidR="00D40151" w:rsidRPr="00873B6C" w:rsidRDefault="00D40151" w:rsidP="009D14FB">
            <w:pPr>
              <w:pStyle w:val="TAL"/>
              <w:rPr>
                <w:sz w:val="16"/>
                <w:szCs w:val="16"/>
              </w:rPr>
            </w:pPr>
            <w:r w:rsidRPr="00873B6C">
              <w:rPr>
                <w:sz w:val="16"/>
                <w:szCs w:val="16"/>
              </w:rPr>
              <w:t>Awareness of UE PMF port number and MAC address in UPF</w:t>
            </w:r>
          </w:p>
        </w:tc>
        <w:tc>
          <w:tcPr>
            <w:tcW w:w="708" w:type="dxa"/>
            <w:shd w:val="solid" w:color="FFFFFF" w:fill="auto"/>
          </w:tcPr>
          <w:p w14:paraId="6AF1468B" w14:textId="77777777" w:rsidR="00D40151" w:rsidRPr="00873B6C" w:rsidRDefault="00D40151" w:rsidP="009D14FB">
            <w:pPr>
              <w:pStyle w:val="TAC"/>
              <w:rPr>
                <w:sz w:val="16"/>
                <w:szCs w:val="16"/>
              </w:rPr>
            </w:pPr>
            <w:r w:rsidRPr="00873B6C">
              <w:rPr>
                <w:sz w:val="16"/>
                <w:szCs w:val="16"/>
              </w:rPr>
              <w:t>16.2.0</w:t>
            </w:r>
          </w:p>
        </w:tc>
      </w:tr>
      <w:tr w:rsidR="00D40151" w:rsidRPr="00873B6C" w14:paraId="59329C8C" w14:textId="77777777" w:rsidTr="009D14FB">
        <w:tc>
          <w:tcPr>
            <w:tcW w:w="800" w:type="dxa"/>
            <w:shd w:val="solid" w:color="FFFFFF" w:fill="auto"/>
          </w:tcPr>
          <w:p w14:paraId="4DD9A0D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0FC540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B30C7BE"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796BA221" w14:textId="77777777" w:rsidR="00D40151" w:rsidRPr="00873B6C" w:rsidRDefault="00D40151" w:rsidP="009D14FB">
            <w:pPr>
              <w:pStyle w:val="TAL"/>
              <w:rPr>
                <w:sz w:val="16"/>
                <w:szCs w:val="16"/>
              </w:rPr>
            </w:pPr>
            <w:r w:rsidRPr="00873B6C">
              <w:rPr>
                <w:sz w:val="16"/>
                <w:szCs w:val="16"/>
              </w:rPr>
              <w:t>1470</w:t>
            </w:r>
          </w:p>
        </w:tc>
        <w:tc>
          <w:tcPr>
            <w:tcW w:w="425" w:type="dxa"/>
            <w:shd w:val="solid" w:color="FFFFFF" w:fill="auto"/>
          </w:tcPr>
          <w:p w14:paraId="3137D19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5703C3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C3B457" w14:textId="77777777" w:rsidR="00D40151" w:rsidRPr="00873B6C" w:rsidRDefault="00D40151" w:rsidP="009D14FB">
            <w:pPr>
              <w:pStyle w:val="TAL"/>
              <w:rPr>
                <w:sz w:val="16"/>
                <w:szCs w:val="16"/>
              </w:rPr>
            </w:pPr>
            <w:r w:rsidRPr="00873B6C">
              <w:rPr>
                <w:sz w:val="16"/>
                <w:szCs w:val="16"/>
              </w:rPr>
              <w:t>Clarification of the Locality of a NF Instance</w:t>
            </w:r>
          </w:p>
        </w:tc>
        <w:tc>
          <w:tcPr>
            <w:tcW w:w="708" w:type="dxa"/>
            <w:shd w:val="solid" w:color="FFFFFF" w:fill="auto"/>
          </w:tcPr>
          <w:p w14:paraId="57EA790C" w14:textId="77777777" w:rsidR="00D40151" w:rsidRPr="00873B6C" w:rsidRDefault="00D40151" w:rsidP="009D14FB">
            <w:pPr>
              <w:pStyle w:val="TAC"/>
              <w:rPr>
                <w:sz w:val="16"/>
                <w:szCs w:val="16"/>
              </w:rPr>
            </w:pPr>
            <w:r w:rsidRPr="00873B6C">
              <w:rPr>
                <w:sz w:val="16"/>
                <w:szCs w:val="16"/>
              </w:rPr>
              <w:t>16.2.0</w:t>
            </w:r>
          </w:p>
        </w:tc>
      </w:tr>
      <w:tr w:rsidR="00D40151" w:rsidRPr="00873B6C" w14:paraId="39E584E1" w14:textId="77777777" w:rsidTr="009D14FB">
        <w:tc>
          <w:tcPr>
            <w:tcW w:w="800" w:type="dxa"/>
            <w:shd w:val="solid" w:color="FFFFFF" w:fill="auto"/>
          </w:tcPr>
          <w:p w14:paraId="05AC82E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62580F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7D0BF3F"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0E45ACFB" w14:textId="77777777" w:rsidR="00D40151" w:rsidRPr="00873B6C" w:rsidRDefault="00D40151" w:rsidP="009D14FB">
            <w:pPr>
              <w:pStyle w:val="TAL"/>
              <w:rPr>
                <w:sz w:val="16"/>
                <w:szCs w:val="16"/>
              </w:rPr>
            </w:pPr>
            <w:r w:rsidRPr="00873B6C">
              <w:rPr>
                <w:sz w:val="16"/>
                <w:szCs w:val="16"/>
              </w:rPr>
              <w:t>1476</w:t>
            </w:r>
          </w:p>
        </w:tc>
        <w:tc>
          <w:tcPr>
            <w:tcW w:w="425" w:type="dxa"/>
            <w:shd w:val="solid" w:color="FFFFFF" w:fill="auto"/>
          </w:tcPr>
          <w:p w14:paraId="2209CB8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CD2230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95CE34" w14:textId="77777777" w:rsidR="00D40151" w:rsidRPr="00873B6C" w:rsidRDefault="00D40151" w:rsidP="009D14FB">
            <w:pPr>
              <w:pStyle w:val="TAL"/>
              <w:rPr>
                <w:sz w:val="16"/>
                <w:szCs w:val="16"/>
              </w:rPr>
            </w:pPr>
            <w:r w:rsidRPr="00873B6C">
              <w:rPr>
                <w:sz w:val="16"/>
                <w:szCs w:val="16"/>
              </w:rPr>
              <w:t>Replacement of VPLMN by serving PLMN where appropriate</w:t>
            </w:r>
          </w:p>
        </w:tc>
        <w:tc>
          <w:tcPr>
            <w:tcW w:w="708" w:type="dxa"/>
            <w:shd w:val="solid" w:color="FFFFFF" w:fill="auto"/>
          </w:tcPr>
          <w:p w14:paraId="12149003" w14:textId="77777777" w:rsidR="00D40151" w:rsidRPr="00873B6C" w:rsidRDefault="00D40151" w:rsidP="009D14FB">
            <w:pPr>
              <w:pStyle w:val="TAC"/>
              <w:rPr>
                <w:sz w:val="16"/>
                <w:szCs w:val="16"/>
              </w:rPr>
            </w:pPr>
            <w:r w:rsidRPr="00873B6C">
              <w:rPr>
                <w:sz w:val="16"/>
                <w:szCs w:val="16"/>
              </w:rPr>
              <w:t>16.2.0</w:t>
            </w:r>
          </w:p>
        </w:tc>
      </w:tr>
      <w:tr w:rsidR="00D40151" w:rsidRPr="00873B6C" w14:paraId="4087E06E" w14:textId="77777777" w:rsidTr="009D14FB">
        <w:tc>
          <w:tcPr>
            <w:tcW w:w="800" w:type="dxa"/>
            <w:shd w:val="solid" w:color="FFFFFF" w:fill="auto"/>
          </w:tcPr>
          <w:p w14:paraId="352771A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53FB2D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7BCAB29"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5BFF218E" w14:textId="77777777" w:rsidR="00D40151" w:rsidRPr="00873B6C" w:rsidRDefault="00D40151" w:rsidP="009D14FB">
            <w:pPr>
              <w:pStyle w:val="TAL"/>
              <w:rPr>
                <w:sz w:val="16"/>
                <w:szCs w:val="16"/>
              </w:rPr>
            </w:pPr>
            <w:r w:rsidRPr="00873B6C">
              <w:rPr>
                <w:sz w:val="16"/>
                <w:szCs w:val="16"/>
              </w:rPr>
              <w:t>1477</w:t>
            </w:r>
          </w:p>
        </w:tc>
        <w:tc>
          <w:tcPr>
            <w:tcW w:w="425" w:type="dxa"/>
            <w:shd w:val="solid" w:color="FFFFFF" w:fill="auto"/>
          </w:tcPr>
          <w:p w14:paraId="65B7205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61C9E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8BAA9C" w14:textId="77777777" w:rsidR="00D40151" w:rsidRPr="00873B6C" w:rsidRDefault="00D40151" w:rsidP="009D14FB">
            <w:pPr>
              <w:pStyle w:val="TAL"/>
              <w:rPr>
                <w:sz w:val="16"/>
                <w:szCs w:val="16"/>
              </w:rPr>
            </w:pPr>
            <w:r w:rsidRPr="00873B6C">
              <w:rPr>
                <w:sz w:val="16"/>
                <w:szCs w:val="16"/>
              </w:rPr>
              <w:t>Clarification on the misalignment of service area restriction between UE and Network</w:t>
            </w:r>
          </w:p>
        </w:tc>
        <w:tc>
          <w:tcPr>
            <w:tcW w:w="708" w:type="dxa"/>
            <w:shd w:val="solid" w:color="FFFFFF" w:fill="auto"/>
          </w:tcPr>
          <w:p w14:paraId="681D2100" w14:textId="77777777" w:rsidR="00D40151" w:rsidRPr="00873B6C" w:rsidRDefault="00D40151" w:rsidP="009D14FB">
            <w:pPr>
              <w:pStyle w:val="TAC"/>
              <w:rPr>
                <w:sz w:val="16"/>
                <w:szCs w:val="16"/>
              </w:rPr>
            </w:pPr>
            <w:r w:rsidRPr="00873B6C">
              <w:rPr>
                <w:sz w:val="16"/>
                <w:szCs w:val="16"/>
              </w:rPr>
              <w:t>16.2.0</w:t>
            </w:r>
          </w:p>
        </w:tc>
      </w:tr>
      <w:tr w:rsidR="00D40151" w:rsidRPr="00873B6C" w14:paraId="01652096" w14:textId="77777777" w:rsidTr="009D14FB">
        <w:tc>
          <w:tcPr>
            <w:tcW w:w="800" w:type="dxa"/>
            <w:shd w:val="solid" w:color="FFFFFF" w:fill="auto"/>
          </w:tcPr>
          <w:p w14:paraId="37B9B73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AB6E8AF"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6097FC2" w14:textId="77777777" w:rsidR="00D40151" w:rsidRPr="00873B6C" w:rsidRDefault="00D40151" w:rsidP="009D14FB">
            <w:pPr>
              <w:pStyle w:val="TAC"/>
              <w:rPr>
                <w:sz w:val="16"/>
                <w:szCs w:val="16"/>
              </w:rPr>
            </w:pPr>
            <w:r w:rsidRPr="00873B6C">
              <w:rPr>
                <w:sz w:val="16"/>
                <w:szCs w:val="16"/>
              </w:rPr>
              <w:t>SP-190611</w:t>
            </w:r>
          </w:p>
        </w:tc>
        <w:tc>
          <w:tcPr>
            <w:tcW w:w="567" w:type="dxa"/>
            <w:shd w:val="solid" w:color="FFFFFF" w:fill="auto"/>
          </w:tcPr>
          <w:p w14:paraId="3576E475" w14:textId="77777777" w:rsidR="00D40151" w:rsidRPr="00873B6C" w:rsidRDefault="00D40151" w:rsidP="009D14FB">
            <w:pPr>
              <w:pStyle w:val="TAL"/>
              <w:rPr>
                <w:sz w:val="16"/>
                <w:szCs w:val="16"/>
              </w:rPr>
            </w:pPr>
            <w:r w:rsidRPr="00873B6C">
              <w:rPr>
                <w:sz w:val="16"/>
                <w:szCs w:val="16"/>
              </w:rPr>
              <w:t>1478</w:t>
            </w:r>
          </w:p>
        </w:tc>
        <w:tc>
          <w:tcPr>
            <w:tcW w:w="425" w:type="dxa"/>
            <w:shd w:val="solid" w:color="FFFFFF" w:fill="auto"/>
          </w:tcPr>
          <w:p w14:paraId="2D27321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B8C7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B79C32" w14:textId="77777777" w:rsidR="00D40151" w:rsidRPr="00873B6C" w:rsidRDefault="00D40151" w:rsidP="009D14FB">
            <w:pPr>
              <w:pStyle w:val="TAL"/>
              <w:rPr>
                <w:sz w:val="16"/>
                <w:szCs w:val="16"/>
              </w:rPr>
            </w:pPr>
            <w:r w:rsidRPr="00873B6C">
              <w:rPr>
                <w:sz w:val="16"/>
                <w:szCs w:val="16"/>
              </w:rPr>
              <w:t>Correction of P-CSCF selection to consider proximity to UPF</w:t>
            </w:r>
          </w:p>
        </w:tc>
        <w:tc>
          <w:tcPr>
            <w:tcW w:w="708" w:type="dxa"/>
            <w:shd w:val="solid" w:color="FFFFFF" w:fill="auto"/>
          </w:tcPr>
          <w:p w14:paraId="08F02FC4" w14:textId="77777777" w:rsidR="00D40151" w:rsidRPr="00873B6C" w:rsidRDefault="00D40151" w:rsidP="009D14FB">
            <w:pPr>
              <w:pStyle w:val="TAC"/>
              <w:rPr>
                <w:sz w:val="16"/>
                <w:szCs w:val="16"/>
              </w:rPr>
            </w:pPr>
            <w:r w:rsidRPr="00873B6C">
              <w:rPr>
                <w:sz w:val="16"/>
                <w:szCs w:val="16"/>
              </w:rPr>
              <w:t>16.2.0</w:t>
            </w:r>
          </w:p>
        </w:tc>
      </w:tr>
      <w:tr w:rsidR="00D40151" w:rsidRPr="00873B6C" w14:paraId="2C36D091" w14:textId="77777777" w:rsidTr="009D14FB">
        <w:tc>
          <w:tcPr>
            <w:tcW w:w="800" w:type="dxa"/>
            <w:shd w:val="solid" w:color="FFFFFF" w:fill="auto"/>
          </w:tcPr>
          <w:p w14:paraId="1F9FDEAE"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32E77E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8BBA5B6"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11D11AC6" w14:textId="77777777" w:rsidR="00D40151" w:rsidRPr="00873B6C" w:rsidRDefault="00D40151" w:rsidP="009D14FB">
            <w:pPr>
              <w:pStyle w:val="TAL"/>
              <w:rPr>
                <w:sz w:val="16"/>
                <w:szCs w:val="16"/>
              </w:rPr>
            </w:pPr>
            <w:r w:rsidRPr="00873B6C">
              <w:rPr>
                <w:sz w:val="16"/>
                <w:szCs w:val="16"/>
              </w:rPr>
              <w:t>1479</w:t>
            </w:r>
          </w:p>
        </w:tc>
        <w:tc>
          <w:tcPr>
            <w:tcW w:w="425" w:type="dxa"/>
            <w:shd w:val="solid" w:color="FFFFFF" w:fill="auto"/>
          </w:tcPr>
          <w:p w14:paraId="1DFCE7B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A52EDE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7E02F3" w14:textId="77777777" w:rsidR="00D40151" w:rsidRPr="00873B6C" w:rsidRDefault="00D40151" w:rsidP="009D14FB">
            <w:pPr>
              <w:pStyle w:val="TAL"/>
              <w:rPr>
                <w:sz w:val="16"/>
                <w:szCs w:val="16"/>
              </w:rPr>
            </w:pPr>
            <w:r w:rsidRPr="00873B6C">
              <w:rPr>
                <w:sz w:val="16"/>
                <w:szCs w:val="16"/>
              </w:rPr>
              <w:t>Aligning Terminology referring to the CIoT 5GS Optimisations</w:t>
            </w:r>
          </w:p>
        </w:tc>
        <w:tc>
          <w:tcPr>
            <w:tcW w:w="708" w:type="dxa"/>
            <w:shd w:val="solid" w:color="FFFFFF" w:fill="auto"/>
          </w:tcPr>
          <w:p w14:paraId="3F43EF0E" w14:textId="77777777" w:rsidR="00D40151" w:rsidRPr="00873B6C" w:rsidRDefault="00D40151" w:rsidP="009D14FB">
            <w:pPr>
              <w:pStyle w:val="TAC"/>
              <w:rPr>
                <w:sz w:val="16"/>
                <w:szCs w:val="16"/>
              </w:rPr>
            </w:pPr>
            <w:r w:rsidRPr="00873B6C">
              <w:rPr>
                <w:sz w:val="16"/>
                <w:szCs w:val="16"/>
              </w:rPr>
              <w:t>16.2.0</w:t>
            </w:r>
          </w:p>
        </w:tc>
      </w:tr>
      <w:tr w:rsidR="00D40151" w:rsidRPr="00873B6C" w14:paraId="7708A2CB" w14:textId="77777777" w:rsidTr="009D14FB">
        <w:tc>
          <w:tcPr>
            <w:tcW w:w="800" w:type="dxa"/>
            <w:shd w:val="solid" w:color="FFFFFF" w:fill="auto"/>
          </w:tcPr>
          <w:p w14:paraId="4DEC146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4D7A96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08BBE06" w14:textId="77777777" w:rsidR="00D40151" w:rsidRPr="00873B6C" w:rsidRDefault="00D40151" w:rsidP="009D14FB">
            <w:pPr>
              <w:pStyle w:val="TAC"/>
              <w:rPr>
                <w:sz w:val="16"/>
                <w:szCs w:val="16"/>
              </w:rPr>
            </w:pPr>
            <w:r w:rsidRPr="00873B6C">
              <w:rPr>
                <w:sz w:val="16"/>
                <w:szCs w:val="16"/>
              </w:rPr>
              <w:t>SP-190617</w:t>
            </w:r>
          </w:p>
        </w:tc>
        <w:tc>
          <w:tcPr>
            <w:tcW w:w="567" w:type="dxa"/>
            <w:shd w:val="solid" w:color="FFFFFF" w:fill="auto"/>
          </w:tcPr>
          <w:p w14:paraId="5C05B6BB" w14:textId="77777777" w:rsidR="00D40151" w:rsidRPr="00873B6C" w:rsidRDefault="00D40151" w:rsidP="009D14FB">
            <w:pPr>
              <w:pStyle w:val="TAL"/>
              <w:rPr>
                <w:sz w:val="16"/>
                <w:szCs w:val="16"/>
              </w:rPr>
            </w:pPr>
            <w:r w:rsidRPr="00873B6C">
              <w:rPr>
                <w:sz w:val="16"/>
                <w:szCs w:val="16"/>
              </w:rPr>
              <w:t>1480</w:t>
            </w:r>
          </w:p>
        </w:tc>
        <w:tc>
          <w:tcPr>
            <w:tcW w:w="425" w:type="dxa"/>
            <w:shd w:val="solid" w:color="FFFFFF" w:fill="auto"/>
          </w:tcPr>
          <w:p w14:paraId="624019D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2D56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4D1855" w14:textId="577D1663" w:rsidR="00D40151" w:rsidRPr="00873B6C" w:rsidRDefault="00D40151" w:rsidP="009D14FB">
            <w:pPr>
              <w:pStyle w:val="TAL"/>
              <w:rPr>
                <w:sz w:val="16"/>
                <w:szCs w:val="16"/>
              </w:rPr>
            </w:pPr>
            <w:r w:rsidRPr="00873B6C">
              <w:rPr>
                <w:sz w:val="16"/>
                <w:szCs w:val="16"/>
              </w:rPr>
              <w:t xml:space="preserve">Corrections of PLMN assigned Capability </w:t>
            </w:r>
            <w:r w:rsidR="00704A9E" w:rsidRPr="00873B6C">
              <w:rPr>
                <w:sz w:val="16"/>
                <w:szCs w:val="16"/>
              </w:rPr>
              <w:t>signalling</w:t>
            </w:r>
          </w:p>
        </w:tc>
        <w:tc>
          <w:tcPr>
            <w:tcW w:w="708" w:type="dxa"/>
            <w:shd w:val="solid" w:color="FFFFFF" w:fill="auto"/>
          </w:tcPr>
          <w:p w14:paraId="06AB5C82" w14:textId="77777777" w:rsidR="00D40151" w:rsidRPr="00873B6C" w:rsidRDefault="00D40151" w:rsidP="009D14FB">
            <w:pPr>
              <w:pStyle w:val="TAC"/>
              <w:rPr>
                <w:sz w:val="16"/>
                <w:szCs w:val="16"/>
              </w:rPr>
            </w:pPr>
            <w:r w:rsidRPr="00873B6C">
              <w:rPr>
                <w:sz w:val="16"/>
                <w:szCs w:val="16"/>
              </w:rPr>
              <w:t>16.2.0</w:t>
            </w:r>
          </w:p>
        </w:tc>
      </w:tr>
      <w:tr w:rsidR="00D40151" w:rsidRPr="00873B6C" w14:paraId="60C25BC1" w14:textId="77777777" w:rsidTr="009D14FB">
        <w:tc>
          <w:tcPr>
            <w:tcW w:w="800" w:type="dxa"/>
            <w:shd w:val="solid" w:color="FFFFFF" w:fill="auto"/>
          </w:tcPr>
          <w:p w14:paraId="215A2F1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BCD948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8C876C2"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7D80B748" w14:textId="77777777" w:rsidR="00D40151" w:rsidRPr="00873B6C" w:rsidRDefault="00D40151" w:rsidP="009D14FB">
            <w:pPr>
              <w:pStyle w:val="TAL"/>
              <w:rPr>
                <w:sz w:val="16"/>
                <w:szCs w:val="16"/>
              </w:rPr>
            </w:pPr>
            <w:r w:rsidRPr="00873B6C">
              <w:rPr>
                <w:sz w:val="16"/>
                <w:szCs w:val="16"/>
              </w:rPr>
              <w:t>1483</w:t>
            </w:r>
          </w:p>
        </w:tc>
        <w:tc>
          <w:tcPr>
            <w:tcW w:w="425" w:type="dxa"/>
            <w:shd w:val="solid" w:color="FFFFFF" w:fill="auto"/>
          </w:tcPr>
          <w:p w14:paraId="4E0437F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2E323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CBE3AE" w14:textId="77777777" w:rsidR="00D40151" w:rsidRPr="00873B6C" w:rsidRDefault="00D40151" w:rsidP="009D14FB">
            <w:pPr>
              <w:pStyle w:val="TAL"/>
              <w:rPr>
                <w:sz w:val="16"/>
                <w:szCs w:val="16"/>
              </w:rPr>
            </w:pPr>
            <w:r w:rsidRPr="00873B6C">
              <w:rPr>
                <w:sz w:val="16"/>
                <w:szCs w:val="16"/>
              </w:rPr>
              <w:t>Correction of Network Slice selection with NSSF</w:t>
            </w:r>
          </w:p>
        </w:tc>
        <w:tc>
          <w:tcPr>
            <w:tcW w:w="708" w:type="dxa"/>
            <w:shd w:val="solid" w:color="FFFFFF" w:fill="auto"/>
          </w:tcPr>
          <w:p w14:paraId="5EEA621A" w14:textId="77777777" w:rsidR="00D40151" w:rsidRPr="00873B6C" w:rsidRDefault="00D40151" w:rsidP="009D14FB">
            <w:pPr>
              <w:pStyle w:val="TAC"/>
              <w:rPr>
                <w:sz w:val="16"/>
                <w:szCs w:val="16"/>
              </w:rPr>
            </w:pPr>
            <w:r w:rsidRPr="00873B6C">
              <w:rPr>
                <w:sz w:val="16"/>
                <w:szCs w:val="16"/>
              </w:rPr>
              <w:t>16.2.0</w:t>
            </w:r>
          </w:p>
        </w:tc>
      </w:tr>
      <w:tr w:rsidR="00D40151" w:rsidRPr="00873B6C" w14:paraId="7F4280E0" w14:textId="77777777" w:rsidTr="009D14FB">
        <w:tc>
          <w:tcPr>
            <w:tcW w:w="800" w:type="dxa"/>
            <w:shd w:val="solid" w:color="FFFFFF" w:fill="auto"/>
          </w:tcPr>
          <w:p w14:paraId="1B46F2ED"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BE2329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FBB58B7"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51475579" w14:textId="77777777" w:rsidR="00D40151" w:rsidRPr="00873B6C" w:rsidRDefault="00D40151" w:rsidP="009D14FB">
            <w:pPr>
              <w:pStyle w:val="TAL"/>
              <w:rPr>
                <w:sz w:val="16"/>
                <w:szCs w:val="16"/>
              </w:rPr>
            </w:pPr>
            <w:r w:rsidRPr="00873B6C">
              <w:rPr>
                <w:sz w:val="16"/>
                <w:szCs w:val="16"/>
              </w:rPr>
              <w:t>1487</w:t>
            </w:r>
          </w:p>
        </w:tc>
        <w:tc>
          <w:tcPr>
            <w:tcW w:w="425" w:type="dxa"/>
            <w:shd w:val="solid" w:color="FFFFFF" w:fill="auto"/>
          </w:tcPr>
          <w:p w14:paraId="38A6D98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3F2D578"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5F451DB" w14:textId="77777777" w:rsidR="00D40151" w:rsidRPr="00873B6C" w:rsidRDefault="00D40151" w:rsidP="009D14FB">
            <w:pPr>
              <w:pStyle w:val="TAL"/>
              <w:rPr>
                <w:sz w:val="16"/>
                <w:szCs w:val="16"/>
              </w:rPr>
            </w:pPr>
            <w:r w:rsidRPr="00873B6C">
              <w:rPr>
                <w:sz w:val="16"/>
                <w:szCs w:val="16"/>
              </w:rPr>
              <w:t>DNN replacement in 5GC</w:t>
            </w:r>
          </w:p>
        </w:tc>
        <w:tc>
          <w:tcPr>
            <w:tcW w:w="708" w:type="dxa"/>
            <w:shd w:val="solid" w:color="FFFFFF" w:fill="auto"/>
          </w:tcPr>
          <w:p w14:paraId="48F522BD" w14:textId="77777777" w:rsidR="00D40151" w:rsidRPr="00873B6C" w:rsidRDefault="00D40151" w:rsidP="009D14FB">
            <w:pPr>
              <w:pStyle w:val="TAC"/>
              <w:rPr>
                <w:sz w:val="16"/>
                <w:szCs w:val="16"/>
              </w:rPr>
            </w:pPr>
            <w:r w:rsidRPr="00873B6C">
              <w:rPr>
                <w:sz w:val="16"/>
                <w:szCs w:val="16"/>
              </w:rPr>
              <w:t>16.2.0</w:t>
            </w:r>
          </w:p>
        </w:tc>
      </w:tr>
      <w:tr w:rsidR="00D40151" w:rsidRPr="00873B6C" w14:paraId="42A6862F" w14:textId="77777777" w:rsidTr="009D14FB">
        <w:tc>
          <w:tcPr>
            <w:tcW w:w="800" w:type="dxa"/>
            <w:shd w:val="solid" w:color="FFFFFF" w:fill="auto"/>
          </w:tcPr>
          <w:p w14:paraId="355717D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93BA1A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FB53CC4"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56E8EE6A" w14:textId="77777777" w:rsidR="00D40151" w:rsidRPr="00873B6C" w:rsidRDefault="00D40151" w:rsidP="009D14FB">
            <w:pPr>
              <w:pStyle w:val="TAL"/>
              <w:rPr>
                <w:sz w:val="16"/>
                <w:szCs w:val="16"/>
              </w:rPr>
            </w:pPr>
            <w:r w:rsidRPr="00873B6C">
              <w:rPr>
                <w:sz w:val="16"/>
                <w:szCs w:val="16"/>
              </w:rPr>
              <w:t>1489</w:t>
            </w:r>
          </w:p>
        </w:tc>
        <w:tc>
          <w:tcPr>
            <w:tcW w:w="425" w:type="dxa"/>
            <w:shd w:val="solid" w:color="FFFFFF" w:fill="auto"/>
          </w:tcPr>
          <w:p w14:paraId="410F2FB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EA6B6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B54F94" w14:textId="77777777" w:rsidR="00D40151" w:rsidRPr="00873B6C" w:rsidRDefault="00D40151" w:rsidP="009D14FB">
            <w:pPr>
              <w:pStyle w:val="TAL"/>
              <w:rPr>
                <w:sz w:val="16"/>
                <w:szCs w:val="16"/>
              </w:rPr>
            </w:pPr>
            <w:r w:rsidRPr="00873B6C">
              <w:rPr>
                <w:sz w:val="16"/>
                <w:szCs w:val="16"/>
              </w:rPr>
              <w:t>Failure handling for redundancy based on dual connectivity</w:t>
            </w:r>
          </w:p>
        </w:tc>
        <w:tc>
          <w:tcPr>
            <w:tcW w:w="708" w:type="dxa"/>
            <w:shd w:val="solid" w:color="FFFFFF" w:fill="auto"/>
          </w:tcPr>
          <w:p w14:paraId="32BAC865" w14:textId="77777777" w:rsidR="00D40151" w:rsidRPr="00873B6C" w:rsidRDefault="00D40151" w:rsidP="009D14FB">
            <w:pPr>
              <w:pStyle w:val="TAC"/>
              <w:rPr>
                <w:sz w:val="16"/>
                <w:szCs w:val="16"/>
              </w:rPr>
            </w:pPr>
            <w:r w:rsidRPr="00873B6C">
              <w:rPr>
                <w:sz w:val="16"/>
                <w:szCs w:val="16"/>
              </w:rPr>
              <w:t>16.2.0</w:t>
            </w:r>
          </w:p>
        </w:tc>
      </w:tr>
      <w:tr w:rsidR="00D40151" w:rsidRPr="00873B6C" w14:paraId="304AEE8B" w14:textId="77777777" w:rsidTr="009D14FB">
        <w:tc>
          <w:tcPr>
            <w:tcW w:w="800" w:type="dxa"/>
            <w:shd w:val="solid" w:color="FFFFFF" w:fill="auto"/>
          </w:tcPr>
          <w:p w14:paraId="09769B7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6369DF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855D024"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2F1EA14A" w14:textId="77777777" w:rsidR="00D40151" w:rsidRPr="00873B6C" w:rsidRDefault="00D40151" w:rsidP="009D14FB">
            <w:pPr>
              <w:pStyle w:val="TAL"/>
              <w:rPr>
                <w:sz w:val="16"/>
                <w:szCs w:val="16"/>
              </w:rPr>
            </w:pPr>
            <w:r w:rsidRPr="00873B6C">
              <w:rPr>
                <w:sz w:val="16"/>
                <w:szCs w:val="16"/>
              </w:rPr>
              <w:t>1490</w:t>
            </w:r>
          </w:p>
        </w:tc>
        <w:tc>
          <w:tcPr>
            <w:tcW w:w="425" w:type="dxa"/>
            <w:shd w:val="solid" w:color="FFFFFF" w:fill="auto"/>
          </w:tcPr>
          <w:p w14:paraId="451E4DC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69B9A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9512B5" w14:textId="77777777" w:rsidR="00D40151" w:rsidRPr="00873B6C" w:rsidRDefault="00D40151" w:rsidP="009D14FB">
            <w:pPr>
              <w:pStyle w:val="TAL"/>
              <w:rPr>
                <w:sz w:val="16"/>
                <w:szCs w:val="16"/>
              </w:rPr>
            </w:pPr>
            <w:r w:rsidRPr="00873B6C">
              <w:rPr>
                <w:sz w:val="16"/>
                <w:szCs w:val="16"/>
              </w:rPr>
              <w:t>Clarification on reordering requirement with GTP-U redundancy</w:t>
            </w:r>
          </w:p>
        </w:tc>
        <w:tc>
          <w:tcPr>
            <w:tcW w:w="708" w:type="dxa"/>
            <w:shd w:val="solid" w:color="FFFFFF" w:fill="auto"/>
          </w:tcPr>
          <w:p w14:paraId="13FB71D7" w14:textId="77777777" w:rsidR="00D40151" w:rsidRPr="00873B6C" w:rsidRDefault="00D40151" w:rsidP="009D14FB">
            <w:pPr>
              <w:pStyle w:val="TAC"/>
              <w:rPr>
                <w:sz w:val="16"/>
                <w:szCs w:val="16"/>
              </w:rPr>
            </w:pPr>
            <w:r w:rsidRPr="00873B6C">
              <w:rPr>
                <w:sz w:val="16"/>
                <w:szCs w:val="16"/>
              </w:rPr>
              <w:t>16.2.0</w:t>
            </w:r>
          </w:p>
        </w:tc>
      </w:tr>
      <w:tr w:rsidR="00D40151" w:rsidRPr="00873B6C" w14:paraId="530CFD18" w14:textId="77777777" w:rsidTr="009D14FB">
        <w:tc>
          <w:tcPr>
            <w:tcW w:w="800" w:type="dxa"/>
            <w:shd w:val="solid" w:color="FFFFFF" w:fill="auto"/>
          </w:tcPr>
          <w:p w14:paraId="45AE0F2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1874D8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EB58356" w14:textId="77777777" w:rsidR="00D40151" w:rsidRPr="00873B6C" w:rsidRDefault="00D40151" w:rsidP="009D14FB">
            <w:pPr>
              <w:pStyle w:val="TAC"/>
              <w:rPr>
                <w:sz w:val="16"/>
                <w:szCs w:val="16"/>
              </w:rPr>
            </w:pPr>
            <w:r w:rsidRPr="00873B6C">
              <w:rPr>
                <w:sz w:val="16"/>
                <w:szCs w:val="16"/>
              </w:rPr>
              <w:t>SP-190601</w:t>
            </w:r>
          </w:p>
        </w:tc>
        <w:tc>
          <w:tcPr>
            <w:tcW w:w="567" w:type="dxa"/>
            <w:shd w:val="solid" w:color="FFFFFF" w:fill="auto"/>
          </w:tcPr>
          <w:p w14:paraId="147C77E6" w14:textId="77777777" w:rsidR="00D40151" w:rsidRPr="00873B6C" w:rsidRDefault="00D40151" w:rsidP="009D14FB">
            <w:pPr>
              <w:pStyle w:val="TAL"/>
              <w:rPr>
                <w:sz w:val="16"/>
                <w:szCs w:val="16"/>
              </w:rPr>
            </w:pPr>
            <w:r w:rsidRPr="00873B6C">
              <w:rPr>
                <w:sz w:val="16"/>
                <w:szCs w:val="16"/>
              </w:rPr>
              <w:t>1494</w:t>
            </w:r>
          </w:p>
        </w:tc>
        <w:tc>
          <w:tcPr>
            <w:tcW w:w="425" w:type="dxa"/>
            <w:shd w:val="solid" w:color="FFFFFF" w:fill="auto"/>
          </w:tcPr>
          <w:p w14:paraId="06107D9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ADA9F8"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E5E72D3" w14:textId="77777777" w:rsidR="00D40151" w:rsidRPr="00873B6C" w:rsidRDefault="00D40151" w:rsidP="009D14FB">
            <w:pPr>
              <w:pStyle w:val="TAL"/>
              <w:rPr>
                <w:sz w:val="16"/>
                <w:szCs w:val="16"/>
              </w:rPr>
            </w:pPr>
            <w:r w:rsidRPr="00873B6C">
              <w:rPr>
                <w:sz w:val="16"/>
                <w:szCs w:val="16"/>
              </w:rPr>
              <w:t>Discrepancy with TS 33.501 with respect to Secondary Authentication</w:t>
            </w:r>
          </w:p>
        </w:tc>
        <w:tc>
          <w:tcPr>
            <w:tcW w:w="708" w:type="dxa"/>
            <w:shd w:val="solid" w:color="FFFFFF" w:fill="auto"/>
          </w:tcPr>
          <w:p w14:paraId="4867D96D" w14:textId="77777777" w:rsidR="00D40151" w:rsidRPr="00873B6C" w:rsidRDefault="00D40151" w:rsidP="009D14FB">
            <w:pPr>
              <w:pStyle w:val="TAC"/>
              <w:rPr>
                <w:sz w:val="16"/>
                <w:szCs w:val="16"/>
              </w:rPr>
            </w:pPr>
            <w:r w:rsidRPr="00873B6C">
              <w:rPr>
                <w:sz w:val="16"/>
                <w:szCs w:val="16"/>
              </w:rPr>
              <w:t>16.2.0</w:t>
            </w:r>
          </w:p>
        </w:tc>
      </w:tr>
      <w:tr w:rsidR="00D40151" w:rsidRPr="00873B6C" w14:paraId="41943E96" w14:textId="77777777" w:rsidTr="009D14FB">
        <w:tc>
          <w:tcPr>
            <w:tcW w:w="800" w:type="dxa"/>
            <w:shd w:val="solid" w:color="FFFFFF" w:fill="auto"/>
          </w:tcPr>
          <w:p w14:paraId="34565B0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FEF2F8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5FF1DEB"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672B8C1F" w14:textId="77777777" w:rsidR="00D40151" w:rsidRPr="00873B6C" w:rsidRDefault="00D40151" w:rsidP="009D14FB">
            <w:pPr>
              <w:pStyle w:val="TAL"/>
              <w:rPr>
                <w:sz w:val="16"/>
                <w:szCs w:val="16"/>
              </w:rPr>
            </w:pPr>
            <w:r w:rsidRPr="00873B6C">
              <w:rPr>
                <w:sz w:val="16"/>
                <w:szCs w:val="16"/>
              </w:rPr>
              <w:t>1500</w:t>
            </w:r>
          </w:p>
        </w:tc>
        <w:tc>
          <w:tcPr>
            <w:tcW w:w="425" w:type="dxa"/>
            <w:shd w:val="solid" w:color="FFFFFF" w:fill="auto"/>
          </w:tcPr>
          <w:p w14:paraId="0CAB739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87EBBD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F88889" w14:textId="4F76F468" w:rsidR="00D40151" w:rsidRPr="00873B6C" w:rsidRDefault="00D40151" w:rsidP="009D14FB">
            <w:pPr>
              <w:pStyle w:val="TAL"/>
              <w:rPr>
                <w:sz w:val="16"/>
                <w:szCs w:val="16"/>
              </w:rPr>
            </w:pPr>
            <w:r w:rsidRPr="00873B6C">
              <w:rPr>
                <w:sz w:val="16"/>
                <w:szCs w:val="16"/>
              </w:rPr>
              <w:t xml:space="preserve">Clarification of traffic switching for GBR </w:t>
            </w:r>
            <w:r w:rsidR="00426DE4" w:rsidRPr="00873B6C">
              <w:rPr>
                <w:sz w:val="16"/>
                <w:szCs w:val="16"/>
              </w:rPr>
              <w:t>QoS Flow</w:t>
            </w:r>
            <w:r w:rsidRPr="00873B6C">
              <w:rPr>
                <w:sz w:val="16"/>
                <w:szCs w:val="16"/>
              </w:rPr>
              <w:t xml:space="preserve"> in MA PDU session</w:t>
            </w:r>
          </w:p>
        </w:tc>
        <w:tc>
          <w:tcPr>
            <w:tcW w:w="708" w:type="dxa"/>
            <w:shd w:val="solid" w:color="FFFFFF" w:fill="auto"/>
          </w:tcPr>
          <w:p w14:paraId="799AC569" w14:textId="77777777" w:rsidR="00D40151" w:rsidRPr="00873B6C" w:rsidRDefault="00D40151" w:rsidP="009D14FB">
            <w:pPr>
              <w:pStyle w:val="TAC"/>
              <w:rPr>
                <w:sz w:val="16"/>
                <w:szCs w:val="16"/>
              </w:rPr>
            </w:pPr>
            <w:r w:rsidRPr="00873B6C">
              <w:rPr>
                <w:sz w:val="16"/>
                <w:szCs w:val="16"/>
              </w:rPr>
              <w:t>16.2.0</w:t>
            </w:r>
          </w:p>
        </w:tc>
      </w:tr>
      <w:tr w:rsidR="00D40151" w:rsidRPr="00873B6C" w14:paraId="7A133395" w14:textId="77777777" w:rsidTr="009D14FB">
        <w:tc>
          <w:tcPr>
            <w:tcW w:w="800" w:type="dxa"/>
            <w:shd w:val="solid" w:color="FFFFFF" w:fill="auto"/>
          </w:tcPr>
          <w:p w14:paraId="6F31DAA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69D400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9AE6253"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71FEE7CF" w14:textId="77777777" w:rsidR="00D40151" w:rsidRPr="00873B6C" w:rsidRDefault="00D40151" w:rsidP="009D14FB">
            <w:pPr>
              <w:pStyle w:val="TAL"/>
              <w:rPr>
                <w:sz w:val="16"/>
                <w:szCs w:val="16"/>
              </w:rPr>
            </w:pPr>
            <w:r w:rsidRPr="00873B6C">
              <w:rPr>
                <w:sz w:val="16"/>
                <w:szCs w:val="16"/>
              </w:rPr>
              <w:t>1501</w:t>
            </w:r>
          </w:p>
        </w:tc>
        <w:tc>
          <w:tcPr>
            <w:tcW w:w="425" w:type="dxa"/>
            <w:shd w:val="solid" w:color="FFFFFF" w:fill="auto"/>
          </w:tcPr>
          <w:p w14:paraId="5B0FF25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DD12D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D6F9C6" w14:textId="77777777" w:rsidR="00D40151" w:rsidRPr="00873B6C" w:rsidRDefault="00D40151" w:rsidP="009D14FB">
            <w:pPr>
              <w:pStyle w:val="TAL"/>
              <w:rPr>
                <w:sz w:val="16"/>
                <w:szCs w:val="16"/>
              </w:rPr>
            </w:pPr>
            <w:r w:rsidRPr="00873B6C">
              <w:rPr>
                <w:sz w:val="16"/>
                <w:szCs w:val="16"/>
              </w:rPr>
              <w:t>N19 Tunnel management</w:t>
            </w:r>
          </w:p>
        </w:tc>
        <w:tc>
          <w:tcPr>
            <w:tcW w:w="708" w:type="dxa"/>
            <w:shd w:val="solid" w:color="FFFFFF" w:fill="auto"/>
          </w:tcPr>
          <w:p w14:paraId="4E38F4C6" w14:textId="77777777" w:rsidR="00D40151" w:rsidRPr="00873B6C" w:rsidRDefault="00D40151" w:rsidP="009D14FB">
            <w:pPr>
              <w:pStyle w:val="TAC"/>
              <w:rPr>
                <w:sz w:val="16"/>
                <w:szCs w:val="16"/>
              </w:rPr>
            </w:pPr>
            <w:r w:rsidRPr="00873B6C">
              <w:rPr>
                <w:sz w:val="16"/>
                <w:szCs w:val="16"/>
              </w:rPr>
              <w:t>16.2.0</w:t>
            </w:r>
          </w:p>
        </w:tc>
      </w:tr>
      <w:tr w:rsidR="00D40151" w:rsidRPr="00873B6C" w14:paraId="394D6AF6" w14:textId="77777777" w:rsidTr="009D14FB">
        <w:tc>
          <w:tcPr>
            <w:tcW w:w="800" w:type="dxa"/>
            <w:shd w:val="solid" w:color="FFFFFF" w:fill="auto"/>
          </w:tcPr>
          <w:p w14:paraId="4DAECB4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5B9F94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A9DDEE2"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657C4AC2" w14:textId="77777777" w:rsidR="00D40151" w:rsidRPr="00873B6C" w:rsidRDefault="00D40151" w:rsidP="009D14FB">
            <w:pPr>
              <w:pStyle w:val="TAL"/>
              <w:rPr>
                <w:sz w:val="16"/>
                <w:szCs w:val="16"/>
              </w:rPr>
            </w:pPr>
            <w:r w:rsidRPr="00873B6C">
              <w:rPr>
                <w:sz w:val="16"/>
                <w:szCs w:val="16"/>
              </w:rPr>
              <w:t>1504</w:t>
            </w:r>
          </w:p>
        </w:tc>
        <w:tc>
          <w:tcPr>
            <w:tcW w:w="425" w:type="dxa"/>
            <w:shd w:val="solid" w:color="FFFFFF" w:fill="auto"/>
          </w:tcPr>
          <w:p w14:paraId="6C4CD95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B3A5816"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8522579" w14:textId="77777777" w:rsidR="00D40151" w:rsidRPr="00873B6C" w:rsidRDefault="00D40151" w:rsidP="009D14FB">
            <w:pPr>
              <w:pStyle w:val="TAL"/>
              <w:rPr>
                <w:sz w:val="16"/>
                <w:szCs w:val="16"/>
              </w:rPr>
            </w:pPr>
            <w:r w:rsidRPr="00873B6C">
              <w:rPr>
                <w:sz w:val="16"/>
                <w:szCs w:val="16"/>
              </w:rPr>
              <w:t>TSN Time Synchronization Traffic Handling</w:t>
            </w:r>
          </w:p>
        </w:tc>
        <w:tc>
          <w:tcPr>
            <w:tcW w:w="708" w:type="dxa"/>
            <w:shd w:val="solid" w:color="FFFFFF" w:fill="auto"/>
          </w:tcPr>
          <w:p w14:paraId="327478DC" w14:textId="77777777" w:rsidR="00D40151" w:rsidRPr="00873B6C" w:rsidRDefault="00D40151" w:rsidP="009D14FB">
            <w:pPr>
              <w:pStyle w:val="TAC"/>
              <w:rPr>
                <w:sz w:val="16"/>
                <w:szCs w:val="16"/>
              </w:rPr>
            </w:pPr>
            <w:r w:rsidRPr="00873B6C">
              <w:rPr>
                <w:sz w:val="16"/>
                <w:szCs w:val="16"/>
              </w:rPr>
              <w:t>16.2.0</w:t>
            </w:r>
          </w:p>
        </w:tc>
      </w:tr>
      <w:tr w:rsidR="00D40151" w:rsidRPr="00873B6C" w14:paraId="2CB55FDE" w14:textId="77777777" w:rsidTr="009D14FB">
        <w:tc>
          <w:tcPr>
            <w:tcW w:w="800" w:type="dxa"/>
            <w:shd w:val="solid" w:color="FFFFFF" w:fill="auto"/>
          </w:tcPr>
          <w:p w14:paraId="6A0D2D7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6952C3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3CEA7A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5A0291CD" w14:textId="77777777" w:rsidR="00D40151" w:rsidRPr="00873B6C" w:rsidRDefault="00D40151" w:rsidP="009D14FB">
            <w:pPr>
              <w:pStyle w:val="TAL"/>
              <w:rPr>
                <w:sz w:val="16"/>
                <w:szCs w:val="16"/>
              </w:rPr>
            </w:pPr>
            <w:r w:rsidRPr="00873B6C">
              <w:rPr>
                <w:sz w:val="16"/>
                <w:szCs w:val="16"/>
              </w:rPr>
              <w:t>1507</w:t>
            </w:r>
          </w:p>
        </w:tc>
        <w:tc>
          <w:tcPr>
            <w:tcW w:w="425" w:type="dxa"/>
            <w:shd w:val="solid" w:color="FFFFFF" w:fill="auto"/>
          </w:tcPr>
          <w:p w14:paraId="2FA0411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1EEAEA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AE4010" w14:textId="77777777" w:rsidR="00D40151" w:rsidRPr="00873B6C" w:rsidRDefault="00D40151" w:rsidP="009D14FB">
            <w:pPr>
              <w:pStyle w:val="TAL"/>
              <w:rPr>
                <w:sz w:val="16"/>
                <w:szCs w:val="16"/>
              </w:rPr>
            </w:pPr>
            <w:r w:rsidRPr="00873B6C">
              <w:rPr>
                <w:sz w:val="16"/>
                <w:szCs w:val="16"/>
              </w:rPr>
              <w:t>TSC Assistance Information update</w:t>
            </w:r>
          </w:p>
        </w:tc>
        <w:tc>
          <w:tcPr>
            <w:tcW w:w="708" w:type="dxa"/>
            <w:shd w:val="solid" w:color="FFFFFF" w:fill="auto"/>
          </w:tcPr>
          <w:p w14:paraId="33DC7D08" w14:textId="77777777" w:rsidR="00D40151" w:rsidRPr="00873B6C" w:rsidRDefault="00D40151" w:rsidP="009D14FB">
            <w:pPr>
              <w:pStyle w:val="TAC"/>
              <w:rPr>
                <w:sz w:val="16"/>
                <w:szCs w:val="16"/>
              </w:rPr>
            </w:pPr>
            <w:r w:rsidRPr="00873B6C">
              <w:rPr>
                <w:sz w:val="16"/>
                <w:szCs w:val="16"/>
              </w:rPr>
              <w:t>16.2.0</w:t>
            </w:r>
          </w:p>
        </w:tc>
      </w:tr>
      <w:tr w:rsidR="00D40151" w:rsidRPr="00873B6C" w14:paraId="2DAB49E1" w14:textId="77777777" w:rsidTr="009D14FB">
        <w:tc>
          <w:tcPr>
            <w:tcW w:w="800" w:type="dxa"/>
            <w:shd w:val="solid" w:color="FFFFFF" w:fill="auto"/>
          </w:tcPr>
          <w:p w14:paraId="452B97D2"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46C3AC4"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7174520"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12C3A0E3" w14:textId="77777777" w:rsidR="00D40151" w:rsidRPr="00873B6C" w:rsidRDefault="00D40151" w:rsidP="009D14FB">
            <w:pPr>
              <w:pStyle w:val="TAL"/>
              <w:rPr>
                <w:sz w:val="16"/>
                <w:szCs w:val="16"/>
              </w:rPr>
            </w:pPr>
            <w:r w:rsidRPr="00873B6C">
              <w:rPr>
                <w:sz w:val="16"/>
                <w:szCs w:val="16"/>
              </w:rPr>
              <w:t>1509</w:t>
            </w:r>
          </w:p>
        </w:tc>
        <w:tc>
          <w:tcPr>
            <w:tcW w:w="425" w:type="dxa"/>
            <w:shd w:val="solid" w:color="FFFFFF" w:fill="auto"/>
          </w:tcPr>
          <w:p w14:paraId="75FFEA2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C68AC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C7899A" w14:textId="77777777" w:rsidR="00D40151" w:rsidRPr="00873B6C" w:rsidRDefault="00D40151" w:rsidP="009D14FB">
            <w:pPr>
              <w:pStyle w:val="TAL"/>
              <w:rPr>
                <w:sz w:val="16"/>
                <w:szCs w:val="16"/>
              </w:rPr>
            </w:pPr>
            <w:r w:rsidRPr="00873B6C">
              <w:rPr>
                <w:sz w:val="16"/>
                <w:szCs w:val="16"/>
              </w:rPr>
              <w:t>Handling of CIoT optimisations not supported over NR</w:t>
            </w:r>
          </w:p>
        </w:tc>
        <w:tc>
          <w:tcPr>
            <w:tcW w:w="708" w:type="dxa"/>
            <w:shd w:val="solid" w:color="FFFFFF" w:fill="auto"/>
          </w:tcPr>
          <w:p w14:paraId="6DF6BC86" w14:textId="77777777" w:rsidR="00D40151" w:rsidRPr="00873B6C" w:rsidRDefault="00D40151" w:rsidP="009D14FB">
            <w:pPr>
              <w:pStyle w:val="TAC"/>
              <w:rPr>
                <w:sz w:val="16"/>
                <w:szCs w:val="16"/>
              </w:rPr>
            </w:pPr>
            <w:r w:rsidRPr="00873B6C">
              <w:rPr>
                <w:sz w:val="16"/>
                <w:szCs w:val="16"/>
              </w:rPr>
              <w:t>16.2.0</w:t>
            </w:r>
          </w:p>
        </w:tc>
      </w:tr>
      <w:tr w:rsidR="00D40151" w:rsidRPr="00873B6C" w14:paraId="60F29D13" w14:textId="77777777" w:rsidTr="009D14FB">
        <w:tc>
          <w:tcPr>
            <w:tcW w:w="800" w:type="dxa"/>
            <w:shd w:val="solid" w:color="FFFFFF" w:fill="auto"/>
          </w:tcPr>
          <w:p w14:paraId="1F3E177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C177BE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BF881C4" w14:textId="77777777" w:rsidR="00D40151" w:rsidRPr="00873B6C" w:rsidRDefault="00D40151" w:rsidP="009D14FB">
            <w:pPr>
              <w:pStyle w:val="TAC"/>
              <w:rPr>
                <w:sz w:val="16"/>
                <w:szCs w:val="16"/>
              </w:rPr>
            </w:pPr>
            <w:r w:rsidRPr="00873B6C">
              <w:rPr>
                <w:sz w:val="16"/>
                <w:szCs w:val="16"/>
              </w:rPr>
              <w:t>SP-190617</w:t>
            </w:r>
          </w:p>
        </w:tc>
        <w:tc>
          <w:tcPr>
            <w:tcW w:w="567" w:type="dxa"/>
            <w:shd w:val="solid" w:color="FFFFFF" w:fill="auto"/>
          </w:tcPr>
          <w:p w14:paraId="27970EED" w14:textId="77777777" w:rsidR="00D40151" w:rsidRPr="00873B6C" w:rsidRDefault="00D40151" w:rsidP="009D14FB">
            <w:pPr>
              <w:pStyle w:val="TAL"/>
              <w:rPr>
                <w:sz w:val="16"/>
                <w:szCs w:val="16"/>
              </w:rPr>
            </w:pPr>
            <w:r w:rsidRPr="00873B6C">
              <w:rPr>
                <w:sz w:val="16"/>
                <w:szCs w:val="16"/>
              </w:rPr>
              <w:t>1517</w:t>
            </w:r>
          </w:p>
        </w:tc>
        <w:tc>
          <w:tcPr>
            <w:tcW w:w="425" w:type="dxa"/>
            <w:shd w:val="solid" w:color="FFFFFF" w:fill="auto"/>
          </w:tcPr>
          <w:p w14:paraId="692461F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3CEAEE6"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B187E8E" w14:textId="77777777" w:rsidR="00D40151" w:rsidRPr="00873B6C" w:rsidRDefault="00D40151" w:rsidP="009D14FB">
            <w:pPr>
              <w:pStyle w:val="TAL"/>
              <w:rPr>
                <w:sz w:val="16"/>
                <w:szCs w:val="16"/>
              </w:rPr>
            </w:pPr>
            <w:r w:rsidRPr="00873B6C">
              <w:rPr>
                <w:sz w:val="16"/>
                <w:szCs w:val="16"/>
              </w:rPr>
              <w:t>Handling of NB-IOT radio capabilities and RACS in 5GS</w:t>
            </w:r>
          </w:p>
        </w:tc>
        <w:tc>
          <w:tcPr>
            <w:tcW w:w="708" w:type="dxa"/>
            <w:shd w:val="solid" w:color="FFFFFF" w:fill="auto"/>
          </w:tcPr>
          <w:p w14:paraId="15BBCEA0" w14:textId="77777777" w:rsidR="00D40151" w:rsidRPr="00873B6C" w:rsidRDefault="00D40151" w:rsidP="009D14FB">
            <w:pPr>
              <w:pStyle w:val="TAC"/>
              <w:rPr>
                <w:sz w:val="16"/>
                <w:szCs w:val="16"/>
              </w:rPr>
            </w:pPr>
            <w:r w:rsidRPr="00873B6C">
              <w:rPr>
                <w:sz w:val="16"/>
                <w:szCs w:val="16"/>
              </w:rPr>
              <w:t>16.2.0</w:t>
            </w:r>
          </w:p>
        </w:tc>
      </w:tr>
      <w:tr w:rsidR="00D40151" w:rsidRPr="00873B6C" w14:paraId="35FC0267" w14:textId="77777777" w:rsidTr="009D14FB">
        <w:tc>
          <w:tcPr>
            <w:tcW w:w="800" w:type="dxa"/>
            <w:shd w:val="solid" w:color="FFFFFF" w:fill="auto"/>
          </w:tcPr>
          <w:p w14:paraId="5680D0A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6D1359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302A28C" w14:textId="77777777" w:rsidR="00D40151" w:rsidRPr="00873B6C" w:rsidRDefault="00D40151" w:rsidP="009D14FB">
            <w:pPr>
              <w:pStyle w:val="TAC"/>
              <w:rPr>
                <w:sz w:val="16"/>
                <w:szCs w:val="16"/>
              </w:rPr>
            </w:pPr>
            <w:r w:rsidRPr="00873B6C">
              <w:rPr>
                <w:sz w:val="16"/>
                <w:szCs w:val="16"/>
              </w:rPr>
              <w:t>SP-190601</w:t>
            </w:r>
          </w:p>
        </w:tc>
        <w:tc>
          <w:tcPr>
            <w:tcW w:w="567" w:type="dxa"/>
            <w:shd w:val="solid" w:color="FFFFFF" w:fill="auto"/>
          </w:tcPr>
          <w:p w14:paraId="5722BEE2" w14:textId="77777777" w:rsidR="00D40151" w:rsidRPr="00873B6C" w:rsidRDefault="00D40151" w:rsidP="009D14FB">
            <w:pPr>
              <w:pStyle w:val="TAL"/>
              <w:rPr>
                <w:sz w:val="16"/>
                <w:szCs w:val="16"/>
              </w:rPr>
            </w:pPr>
            <w:r w:rsidRPr="00873B6C">
              <w:rPr>
                <w:sz w:val="16"/>
                <w:szCs w:val="16"/>
              </w:rPr>
              <w:t>1519</w:t>
            </w:r>
          </w:p>
        </w:tc>
        <w:tc>
          <w:tcPr>
            <w:tcW w:w="425" w:type="dxa"/>
            <w:shd w:val="solid" w:color="FFFFFF" w:fill="auto"/>
          </w:tcPr>
          <w:p w14:paraId="6B01BEC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D0036CD"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C4328F8" w14:textId="77777777" w:rsidR="00D40151" w:rsidRPr="00873B6C" w:rsidRDefault="00D40151" w:rsidP="009D14FB">
            <w:pPr>
              <w:pStyle w:val="TAL"/>
              <w:rPr>
                <w:sz w:val="16"/>
                <w:szCs w:val="16"/>
              </w:rPr>
            </w:pPr>
            <w:r w:rsidRPr="00873B6C">
              <w:rPr>
                <w:sz w:val="16"/>
                <w:szCs w:val="16"/>
              </w:rPr>
              <w:t>Allowed NSSAI and TAI list from (previous) UE Configuration Update</w:t>
            </w:r>
          </w:p>
        </w:tc>
        <w:tc>
          <w:tcPr>
            <w:tcW w:w="708" w:type="dxa"/>
            <w:shd w:val="solid" w:color="FFFFFF" w:fill="auto"/>
          </w:tcPr>
          <w:p w14:paraId="47878B68" w14:textId="77777777" w:rsidR="00D40151" w:rsidRPr="00873B6C" w:rsidRDefault="00D40151" w:rsidP="009D14FB">
            <w:pPr>
              <w:pStyle w:val="TAC"/>
              <w:rPr>
                <w:sz w:val="16"/>
                <w:szCs w:val="16"/>
              </w:rPr>
            </w:pPr>
            <w:r w:rsidRPr="00873B6C">
              <w:rPr>
                <w:sz w:val="16"/>
                <w:szCs w:val="16"/>
              </w:rPr>
              <w:t>16.2.0</w:t>
            </w:r>
          </w:p>
        </w:tc>
      </w:tr>
      <w:tr w:rsidR="00D40151" w:rsidRPr="00873B6C" w14:paraId="4028BE3A" w14:textId="77777777" w:rsidTr="009D14FB">
        <w:tc>
          <w:tcPr>
            <w:tcW w:w="800" w:type="dxa"/>
            <w:shd w:val="solid" w:color="FFFFFF" w:fill="auto"/>
          </w:tcPr>
          <w:p w14:paraId="1FF4F94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40C7DD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E44D23D"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714230EB" w14:textId="77777777" w:rsidR="00D40151" w:rsidRPr="00873B6C" w:rsidRDefault="00D40151" w:rsidP="009D14FB">
            <w:pPr>
              <w:pStyle w:val="TAL"/>
              <w:rPr>
                <w:sz w:val="16"/>
                <w:szCs w:val="16"/>
              </w:rPr>
            </w:pPr>
            <w:r w:rsidRPr="00873B6C">
              <w:rPr>
                <w:sz w:val="16"/>
                <w:szCs w:val="16"/>
              </w:rPr>
              <w:t>1521</w:t>
            </w:r>
          </w:p>
        </w:tc>
        <w:tc>
          <w:tcPr>
            <w:tcW w:w="425" w:type="dxa"/>
            <w:shd w:val="solid" w:color="FFFFFF" w:fill="auto"/>
          </w:tcPr>
          <w:p w14:paraId="135BA18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4FAEB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EDE4E4" w14:textId="77777777" w:rsidR="00D40151" w:rsidRPr="00873B6C" w:rsidRDefault="00D40151" w:rsidP="009D14FB">
            <w:pPr>
              <w:pStyle w:val="TAL"/>
              <w:rPr>
                <w:sz w:val="16"/>
                <w:szCs w:val="16"/>
              </w:rPr>
            </w:pPr>
            <w:r w:rsidRPr="00873B6C">
              <w:rPr>
                <w:sz w:val="16"/>
                <w:szCs w:val="16"/>
              </w:rPr>
              <w:t xml:space="preserve">Use of the URSP rules when UE attaches to EPS </w:t>
            </w:r>
          </w:p>
        </w:tc>
        <w:tc>
          <w:tcPr>
            <w:tcW w:w="708" w:type="dxa"/>
            <w:shd w:val="solid" w:color="FFFFFF" w:fill="auto"/>
          </w:tcPr>
          <w:p w14:paraId="2572CCD5" w14:textId="77777777" w:rsidR="00D40151" w:rsidRPr="00873B6C" w:rsidRDefault="00D40151" w:rsidP="009D14FB">
            <w:pPr>
              <w:pStyle w:val="TAC"/>
              <w:rPr>
                <w:sz w:val="16"/>
                <w:szCs w:val="16"/>
              </w:rPr>
            </w:pPr>
            <w:r w:rsidRPr="00873B6C">
              <w:rPr>
                <w:sz w:val="16"/>
                <w:szCs w:val="16"/>
              </w:rPr>
              <w:t>16.2.0</w:t>
            </w:r>
          </w:p>
        </w:tc>
      </w:tr>
      <w:tr w:rsidR="00D40151" w:rsidRPr="00873B6C" w14:paraId="63690B76" w14:textId="77777777" w:rsidTr="009D14FB">
        <w:tc>
          <w:tcPr>
            <w:tcW w:w="800" w:type="dxa"/>
            <w:shd w:val="solid" w:color="FFFFFF" w:fill="auto"/>
          </w:tcPr>
          <w:p w14:paraId="76168F6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A888EE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3DF1327" w14:textId="77777777" w:rsidR="00D40151" w:rsidRPr="00873B6C" w:rsidRDefault="00D40151" w:rsidP="009D14FB">
            <w:pPr>
              <w:pStyle w:val="TAC"/>
              <w:rPr>
                <w:sz w:val="16"/>
                <w:szCs w:val="16"/>
              </w:rPr>
            </w:pPr>
            <w:r w:rsidRPr="00873B6C">
              <w:rPr>
                <w:sz w:val="16"/>
                <w:szCs w:val="16"/>
              </w:rPr>
              <w:t>SP-190624</w:t>
            </w:r>
          </w:p>
        </w:tc>
        <w:tc>
          <w:tcPr>
            <w:tcW w:w="567" w:type="dxa"/>
            <w:shd w:val="solid" w:color="FFFFFF" w:fill="auto"/>
          </w:tcPr>
          <w:p w14:paraId="5FEE93D6" w14:textId="77777777" w:rsidR="00D40151" w:rsidRPr="00873B6C" w:rsidRDefault="00D40151" w:rsidP="009D14FB">
            <w:pPr>
              <w:pStyle w:val="TAL"/>
              <w:rPr>
                <w:sz w:val="16"/>
                <w:szCs w:val="16"/>
              </w:rPr>
            </w:pPr>
            <w:r w:rsidRPr="00873B6C">
              <w:rPr>
                <w:sz w:val="16"/>
                <w:szCs w:val="16"/>
              </w:rPr>
              <w:t>1522</w:t>
            </w:r>
          </w:p>
        </w:tc>
        <w:tc>
          <w:tcPr>
            <w:tcW w:w="425" w:type="dxa"/>
            <w:shd w:val="solid" w:color="FFFFFF" w:fill="auto"/>
          </w:tcPr>
          <w:p w14:paraId="5EAA5C5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8A49EF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E742AA5" w14:textId="77777777" w:rsidR="00D40151" w:rsidRPr="00873B6C" w:rsidRDefault="00D40151" w:rsidP="009D14FB">
            <w:pPr>
              <w:pStyle w:val="TAL"/>
              <w:rPr>
                <w:sz w:val="16"/>
                <w:szCs w:val="16"/>
              </w:rPr>
            </w:pPr>
            <w:r w:rsidRPr="00873B6C">
              <w:rPr>
                <w:sz w:val="16"/>
                <w:szCs w:val="16"/>
              </w:rPr>
              <w:t xml:space="preserve">Introduction of the IAB support in 5GS </w:t>
            </w:r>
          </w:p>
        </w:tc>
        <w:tc>
          <w:tcPr>
            <w:tcW w:w="708" w:type="dxa"/>
            <w:shd w:val="solid" w:color="FFFFFF" w:fill="auto"/>
          </w:tcPr>
          <w:p w14:paraId="7994FADE" w14:textId="77777777" w:rsidR="00D40151" w:rsidRPr="00873B6C" w:rsidRDefault="00D40151" w:rsidP="009D14FB">
            <w:pPr>
              <w:pStyle w:val="TAC"/>
              <w:rPr>
                <w:sz w:val="16"/>
                <w:szCs w:val="16"/>
              </w:rPr>
            </w:pPr>
            <w:r w:rsidRPr="00873B6C">
              <w:rPr>
                <w:sz w:val="16"/>
                <w:szCs w:val="16"/>
              </w:rPr>
              <w:t>16.2.0</w:t>
            </w:r>
          </w:p>
        </w:tc>
      </w:tr>
      <w:tr w:rsidR="00D40151" w:rsidRPr="00873B6C" w14:paraId="71463E6F" w14:textId="77777777" w:rsidTr="009D14FB">
        <w:tc>
          <w:tcPr>
            <w:tcW w:w="800" w:type="dxa"/>
            <w:shd w:val="solid" w:color="FFFFFF" w:fill="auto"/>
          </w:tcPr>
          <w:p w14:paraId="4FE98E9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E10708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7B9C8ED"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5D5E1CCA" w14:textId="77777777" w:rsidR="00D40151" w:rsidRPr="00873B6C" w:rsidRDefault="00D40151" w:rsidP="009D14FB">
            <w:pPr>
              <w:pStyle w:val="TAL"/>
              <w:rPr>
                <w:sz w:val="16"/>
                <w:szCs w:val="16"/>
              </w:rPr>
            </w:pPr>
            <w:r w:rsidRPr="00873B6C">
              <w:rPr>
                <w:sz w:val="16"/>
                <w:szCs w:val="16"/>
              </w:rPr>
              <w:t>1540</w:t>
            </w:r>
          </w:p>
        </w:tc>
        <w:tc>
          <w:tcPr>
            <w:tcW w:w="425" w:type="dxa"/>
            <w:shd w:val="solid" w:color="FFFFFF" w:fill="auto"/>
          </w:tcPr>
          <w:p w14:paraId="7E83526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EFD8E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626748" w14:textId="77777777" w:rsidR="00D40151" w:rsidRPr="00873B6C" w:rsidRDefault="00D40151" w:rsidP="009D14FB">
            <w:pPr>
              <w:pStyle w:val="TAL"/>
              <w:rPr>
                <w:sz w:val="16"/>
                <w:szCs w:val="16"/>
              </w:rPr>
            </w:pPr>
            <w:r w:rsidRPr="00873B6C">
              <w:rPr>
                <w:sz w:val="16"/>
                <w:szCs w:val="16"/>
              </w:rPr>
              <w:t>Clarification on the meaning of Emergency Services Support indicator</w:t>
            </w:r>
          </w:p>
        </w:tc>
        <w:tc>
          <w:tcPr>
            <w:tcW w:w="708" w:type="dxa"/>
            <w:shd w:val="solid" w:color="FFFFFF" w:fill="auto"/>
          </w:tcPr>
          <w:p w14:paraId="4A210EEC" w14:textId="77777777" w:rsidR="00D40151" w:rsidRPr="00873B6C" w:rsidRDefault="00D40151" w:rsidP="009D14FB">
            <w:pPr>
              <w:pStyle w:val="TAC"/>
              <w:rPr>
                <w:sz w:val="16"/>
                <w:szCs w:val="16"/>
              </w:rPr>
            </w:pPr>
            <w:r w:rsidRPr="00873B6C">
              <w:rPr>
                <w:sz w:val="16"/>
                <w:szCs w:val="16"/>
              </w:rPr>
              <w:t>16.2.0</w:t>
            </w:r>
          </w:p>
        </w:tc>
      </w:tr>
      <w:tr w:rsidR="00D40151" w:rsidRPr="00873B6C" w14:paraId="2EA3257F" w14:textId="77777777" w:rsidTr="009D14FB">
        <w:tc>
          <w:tcPr>
            <w:tcW w:w="800" w:type="dxa"/>
            <w:shd w:val="solid" w:color="FFFFFF" w:fill="auto"/>
          </w:tcPr>
          <w:p w14:paraId="2ED62C3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96A6E6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3194E83"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6CE5D82C" w14:textId="77777777" w:rsidR="00D40151" w:rsidRPr="00873B6C" w:rsidRDefault="00D40151" w:rsidP="009D14FB">
            <w:pPr>
              <w:pStyle w:val="TAL"/>
              <w:rPr>
                <w:sz w:val="16"/>
                <w:szCs w:val="16"/>
              </w:rPr>
            </w:pPr>
            <w:r w:rsidRPr="00873B6C">
              <w:rPr>
                <w:sz w:val="16"/>
                <w:szCs w:val="16"/>
              </w:rPr>
              <w:t>1541</w:t>
            </w:r>
          </w:p>
        </w:tc>
        <w:tc>
          <w:tcPr>
            <w:tcW w:w="425" w:type="dxa"/>
            <w:shd w:val="solid" w:color="FFFFFF" w:fill="auto"/>
          </w:tcPr>
          <w:p w14:paraId="48A2EEF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DB76C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C674FF" w14:textId="77777777" w:rsidR="00D40151" w:rsidRPr="00873B6C" w:rsidRDefault="00D40151" w:rsidP="009D14FB">
            <w:pPr>
              <w:pStyle w:val="TAL"/>
              <w:rPr>
                <w:sz w:val="16"/>
                <w:szCs w:val="16"/>
              </w:rPr>
            </w:pPr>
            <w:r w:rsidRPr="00873B6C">
              <w:rPr>
                <w:sz w:val="16"/>
                <w:szCs w:val="16"/>
              </w:rPr>
              <w:t>Addition of missing CIoT services</w:t>
            </w:r>
          </w:p>
        </w:tc>
        <w:tc>
          <w:tcPr>
            <w:tcW w:w="708" w:type="dxa"/>
            <w:shd w:val="solid" w:color="FFFFFF" w:fill="auto"/>
          </w:tcPr>
          <w:p w14:paraId="088342B7" w14:textId="77777777" w:rsidR="00D40151" w:rsidRPr="00873B6C" w:rsidRDefault="00D40151" w:rsidP="009D14FB">
            <w:pPr>
              <w:pStyle w:val="TAC"/>
              <w:rPr>
                <w:sz w:val="16"/>
                <w:szCs w:val="16"/>
              </w:rPr>
            </w:pPr>
            <w:r w:rsidRPr="00873B6C">
              <w:rPr>
                <w:sz w:val="16"/>
                <w:szCs w:val="16"/>
              </w:rPr>
              <w:t>16.2.0</w:t>
            </w:r>
          </w:p>
        </w:tc>
      </w:tr>
      <w:tr w:rsidR="00D40151" w:rsidRPr="00873B6C" w14:paraId="67C0CF40" w14:textId="77777777" w:rsidTr="009D14FB">
        <w:tc>
          <w:tcPr>
            <w:tcW w:w="800" w:type="dxa"/>
            <w:shd w:val="solid" w:color="FFFFFF" w:fill="auto"/>
          </w:tcPr>
          <w:p w14:paraId="43E249C2"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B34826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87B649D" w14:textId="77777777" w:rsidR="00D40151" w:rsidRPr="00873B6C" w:rsidRDefault="00D40151" w:rsidP="009D14FB">
            <w:pPr>
              <w:pStyle w:val="TAC"/>
              <w:rPr>
                <w:sz w:val="16"/>
                <w:szCs w:val="16"/>
              </w:rPr>
            </w:pPr>
            <w:r w:rsidRPr="00873B6C">
              <w:rPr>
                <w:sz w:val="16"/>
                <w:szCs w:val="16"/>
              </w:rPr>
              <w:t>SP-190606</w:t>
            </w:r>
          </w:p>
        </w:tc>
        <w:tc>
          <w:tcPr>
            <w:tcW w:w="567" w:type="dxa"/>
            <w:shd w:val="solid" w:color="FFFFFF" w:fill="auto"/>
          </w:tcPr>
          <w:p w14:paraId="00CFA18C" w14:textId="77777777" w:rsidR="00D40151" w:rsidRPr="00873B6C" w:rsidRDefault="00D40151" w:rsidP="009D14FB">
            <w:pPr>
              <w:pStyle w:val="TAL"/>
              <w:rPr>
                <w:sz w:val="16"/>
                <w:szCs w:val="16"/>
              </w:rPr>
            </w:pPr>
            <w:r w:rsidRPr="00873B6C">
              <w:rPr>
                <w:sz w:val="16"/>
                <w:szCs w:val="16"/>
              </w:rPr>
              <w:t>1543</w:t>
            </w:r>
          </w:p>
        </w:tc>
        <w:tc>
          <w:tcPr>
            <w:tcW w:w="425" w:type="dxa"/>
            <w:shd w:val="solid" w:color="FFFFFF" w:fill="auto"/>
          </w:tcPr>
          <w:p w14:paraId="3875286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19C38F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41FB20" w14:textId="77777777" w:rsidR="00D40151" w:rsidRPr="00873B6C" w:rsidRDefault="00D40151" w:rsidP="009D14FB">
            <w:pPr>
              <w:pStyle w:val="TAL"/>
              <w:rPr>
                <w:sz w:val="16"/>
                <w:szCs w:val="16"/>
              </w:rPr>
            </w:pPr>
            <w:r w:rsidRPr="00873B6C">
              <w:rPr>
                <w:sz w:val="16"/>
                <w:szCs w:val="16"/>
              </w:rPr>
              <w:t>Addition of missing GMLC and its service</w:t>
            </w:r>
          </w:p>
        </w:tc>
        <w:tc>
          <w:tcPr>
            <w:tcW w:w="708" w:type="dxa"/>
            <w:shd w:val="solid" w:color="FFFFFF" w:fill="auto"/>
          </w:tcPr>
          <w:p w14:paraId="3B4BD896" w14:textId="77777777" w:rsidR="00D40151" w:rsidRPr="00873B6C" w:rsidRDefault="00D40151" w:rsidP="009D14FB">
            <w:pPr>
              <w:pStyle w:val="TAC"/>
              <w:rPr>
                <w:sz w:val="16"/>
                <w:szCs w:val="16"/>
              </w:rPr>
            </w:pPr>
            <w:r w:rsidRPr="00873B6C">
              <w:rPr>
                <w:sz w:val="16"/>
                <w:szCs w:val="16"/>
              </w:rPr>
              <w:t>16.2.0</w:t>
            </w:r>
          </w:p>
        </w:tc>
      </w:tr>
      <w:tr w:rsidR="00D40151" w:rsidRPr="00873B6C" w14:paraId="3B77B8B9" w14:textId="77777777" w:rsidTr="009D14FB">
        <w:tc>
          <w:tcPr>
            <w:tcW w:w="800" w:type="dxa"/>
            <w:shd w:val="solid" w:color="FFFFFF" w:fill="auto"/>
          </w:tcPr>
          <w:p w14:paraId="6ADBC58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C34DE5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342D92B" w14:textId="77777777" w:rsidR="00D40151" w:rsidRPr="00873B6C" w:rsidRDefault="00D40151" w:rsidP="009D14FB">
            <w:pPr>
              <w:pStyle w:val="TAC"/>
              <w:rPr>
                <w:sz w:val="16"/>
                <w:szCs w:val="16"/>
              </w:rPr>
            </w:pPr>
            <w:r w:rsidRPr="00873B6C">
              <w:rPr>
                <w:sz w:val="16"/>
                <w:szCs w:val="16"/>
              </w:rPr>
              <w:t>SP-190614</w:t>
            </w:r>
          </w:p>
        </w:tc>
        <w:tc>
          <w:tcPr>
            <w:tcW w:w="567" w:type="dxa"/>
            <w:shd w:val="solid" w:color="FFFFFF" w:fill="auto"/>
          </w:tcPr>
          <w:p w14:paraId="1692227C" w14:textId="77777777" w:rsidR="00D40151" w:rsidRPr="00873B6C" w:rsidRDefault="00D40151" w:rsidP="009D14FB">
            <w:pPr>
              <w:pStyle w:val="TAL"/>
              <w:rPr>
                <w:sz w:val="16"/>
                <w:szCs w:val="16"/>
              </w:rPr>
            </w:pPr>
            <w:r w:rsidRPr="00873B6C">
              <w:rPr>
                <w:sz w:val="16"/>
                <w:szCs w:val="16"/>
              </w:rPr>
              <w:t>1544</w:t>
            </w:r>
          </w:p>
        </w:tc>
        <w:tc>
          <w:tcPr>
            <w:tcW w:w="425" w:type="dxa"/>
            <w:shd w:val="solid" w:color="FFFFFF" w:fill="auto"/>
          </w:tcPr>
          <w:p w14:paraId="7F41BD0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7FE529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B28362" w14:textId="77777777" w:rsidR="00D40151" w:rsidRPr="00873B6C" w:rsidRDefault="00D40151" w:rsidP="009D14FB">
            <w:pPr>
              <w:pStyle w:val="TAL"/>
              <w:rPr>
                <w:sz w:val="16"/>
                <w:szCs w:val="16"/>
              </w:rPr>
            </w:pPr>
            <w:r w:rsidRPr="00873B6C">
              <w:rPr>
                <w:sz w:val="16"/>
                <w:szCs w:val="16"/>
              </w:rPr>
              <w:t>Mobility event management</w:t>
            </w:r>
          </w:p>
        </w:tc>
        <w:tc>
          <w:tcPr>
            <w:tcW w:w="708" w:type="dxa"/>
            <w:shd w:val="solid" w:color="FFFFFF" w:fill="auto"/>
          </w:tcPr>
          <w:p w14:paraId="6566FFFF" w14:textId="77777777" w:rsidR="00D40151" w:rsidRPr="00873B6C" w:rsidRDefault="00D40151" w:rsidP="009D14FB">
            <w:pPr>
              <w:pStyle w:val="TAC"/>
              <w:rPr>
                <w:sz w:val="16"/>
                <w:szCs w:val="16"/>
              </w:rPr>
            </w:pPr>
            <w:r w:rsidRPr="00873B6C">
              <w:rPr>
                <w:sz w:val="16"/>
                <w:szCs w:val="16"/>
              </w:rPr>
              <w:t>16.2.0</w:t>
            </w:r>
          </w:p>
        </w:tc>
      </w:tr>
      <w:tr w:rsidR="00D40151" w:rsidRPr="00873B6C" w14:paraId="0F0E10D5" w14:textId="77777777" w:rsidTr="009D14FB">
        <w:tc>
          <w:tcPr>
            <w:tcW w:w="800" w:type="dxa"/>
            <w:shd w:val="solid" w:color="FFFFFF" w:fill="auto"/>
          </w:tcPr>
          <w:p w14:paraId="7AF657F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7987E02"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026FB41"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4281AF00" w14:textId="77777777" w:rsidR="00D40151" w:rsidRPr="00873B6C" w:rsidRDefault="00D40151" w:rsidP="009D14FB">
            <w:pPr>
              <w:pStyle w:val="TAL"/>
              <w:rPr>
                <w:sz w:val="16"/>
                <w:szCs w:val="16"/>
              </w:rPr>
            </w:pPr>
            <w:r w:rsidRPr="00873B6C">
              <w:rPr>
                <w:sz w:val="16"/>
                <w:szCs w:val="16"/>
              </w:rPr>
              <w:t>1547</w:t>
            </w:r>
          </w:p>
        </w:tc>
        <w:tc>
          <w:tcPr>
            <w:tcW w:w="425" w:type="dxa"/>
            <w:shd w:val="solid" w:color="FFFFFF" w:fill="auto"/>
          </w:tcPr>
          <w:p w14:paraId="04236A4C"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B18A2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0EAC65" w14:textId="77777777" w:rsidR="00D40151" w:rsidRPr="00873B6C" w:rsidRDefault="00D40151" w:rsidP="009D14FB">
            <w:pPr>
              <w:pStyle w:val="TAL"/>
              <w:rPr>
                <w:sz w:val="16"/>
                <w:szCs w:val="16"/>
              </w:rPr>
            </w:pPr>
            <w:r w:rsidRPr="00873B6C">
              <w:rPr>
                <w:sz w:val="16"/>
                <w:szCs w:val="16"/>
              </w:rPr>
              <w:t>Improvement for support of redundant transmission on N3/N9 interfaces</w:t>
            </w:r>
          </w:p>
        </w:tc>
        <w:tc>
          <w:tcPr>
            <w:tcW w:w="708" w:type="dxa"/>
            <w:shd w:val="solid" w:color="FFFFFF" w:fill="auto"/>
          </w:tcPr>
          <w:p w14:paraId="70F8ACE7" w14:textId="77777777" w:rsidR="00D40151" w:rsidRPr="00873B6C" w:rsidRDefault="00D40151" w:rsidP="009D14FB">
            <w:pPr>
              <w:pStyle w:val="TAC"/>
              <w:rPr>
                <w:sz w:val="16"/>
                <w:szCs w:val="16"/>
              </w:rPr>
            </w:pPr>
            <w:r w:rsidRPr="00873B6C">
              <w:rPr>
                <w:sz w:val="16"/>
                <w:szCs w:val="16"/>
              </w:rPr>
              <w:t>16.2.0</w:t>
            </w:r>
          </w:p>
        </w:tc>
      </w:tr>
      <w:tr w:rsidR="00D40151" w:rsidRPr="00873B6C" w14:paraId="3EFE58A9" w14:textId="77777777" w:rsidTr="009D14FB">
        <w:tc>
          <w:tcPr>
            <w:tcW w:w="800" w:type="dxa"/>
            <w:shd w:val="solid" w:color="FFFFFF" w:fill="auto"/>
          </w:tcPr>
          <w:p w14:paraId="29A8790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F3887A4"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6B886F3"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201E1975" w14:textId="77777777" w:rsidR="00D40151" w:rsidRPr="00873B6C" w:rsidRDefault="00D40151" w:rsidP="009D14FB">
            <w:pPr>
              <w:pStyle w:val="TAL"/>
              <w:rPr>
                <w:sz w:val="16"/>
                <w:szCs w:val="16"/>
              </w:rPr>
            </w:pPr>
            <w:r w:rsidRPr="00873B6C">
              <w:rPr>
                <w:sz w:val="16"/>
                <w:szCs w:val="16"/>
              </w:rPr>
              <w:t>1548</w:t>
            </w:r>
          </w:p>
        </w:tc>
        <w:tc>
          <w:tcPr>
            <w:tcW w:w="425" w:type="dxa"/>
            <w:shd w:val="solid" w:color="FFFFFF" w:fill="auto"/>
          </w:tcPr>
          <w:p w14:paraId="3DC356A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9E0F50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24E0A4" w14:textId="77777777" w:rsidR="00D40151" w:rsidRPr="00873B6C" w:rsidRDefault="00D40151" w:rsidP="009D14FB">
            <w:pPr>
              <w:pStyle w:val="TAL"/>
              <w:rPr>
                <w:sz w:val="16"/>
                <w:szCs w:val="16"/>
              </w:rPr>
            </w:pPr>
            <w:r w:rsidRPr="00873B6C">
              <w:rPr>
                <w:sz w:val="16"/>
                <w:szCs w:val="16"/>
              </w:rPr>
              <w:t xml:space="preserve">Clarification on S-NSSAI(s) for PDU session </w:t>
            </w:r>
          </w:p>
        </w:tc>
        <w:tc>
          <w:tcPr>
            <w:tcW w:w="708" w:type="dxa"/>
            <w:shd w:val="solid" w:color="FFFFFF" w:fill="auto"/>
          </w:tcPr>
          <w:p w14:paraId="1FCAB7EA" w14:textId="77777777" w:rsidR="00D40151" w:rsidRPr="00873B6C" w:rsidRDefault="00D40151" w:rsidP="009D14FB">
            <w:pPr>
              <w:pStyle w:val="TAC"/>
              <w:rPr>
                <w:sz w:val="16"/>
                <w:szCs w:val="16"/>
              </w:rPr>
            </w:pPr>
            <w:r w:rsidRPr="00873B6C">
              <w:rPr>
                <w:sz w:val="16"/>
                <w:szCs w:val="16"/>
              </w:rPr>
              <w:t>16.2.0</w:t>
            </w:r>
          </w:p>
        </w:tc>
      </w:tr>
      <w:tr w:rsidR="00D40151" w:rsidRPr="00873B6C" w14:paraId="69C553F5" w14:textId="77777777" w:rsidTr="009D14FB">
        <w:tc>
          <w:tcPr>
            <w:tcW w:w="800" w:type="dxa"/>
            <w:shd w:val="solid" w:color="FFFFFF" w:fill="auto"/>
          </w:tcPr>
          <w:p w14:paraId="3E9C1E44"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641EC8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A1A9D27"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5A0BB2EA" w14:textId="77777777" w:rsidR="00D40151" w:rsidRPr="00873B6C" w:rsidRDefault="00D40151" w:rsidP="009D14FB">
            <w:pPr>
              <w:pStyle w:val="TAL"/>
              <w:rPr>
                <w:sz w:val="16"/>
                <w:szCs w:val="16"/>
              </w:rPr>
            </w:pPr>
            <w:r w:rsidRPr="00873B6C">
              <w:rPr>
                <w:sz w:val="16"/>
                <w:szCs w:val="16"/>
              </w:rPr>
              <w:t>1556</w:t>
            </w:r>
          </w:p>
        </w:tc>
        <w:tc>
          <w:tcPr>
            <w:tcW w:w="425" w:type="dxa"/>
            <w:shd w:val="solid" w:color="FFFFFF" w:fill="auto"/>
          </w:tcPr>
          <w:p w14:paraId="0DDB9B5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CE42F41"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18F59CBE" w14:textId="77777777" w:rsidR="00D40151" w:rsidRPr="00873B6C" w:rsidRDefault="00D40151" w:rsidP="009D14FB">
            <w:pPr>
              <w:pStyle w:val="TAL"/>
              <w:rPr>
                <w:sz w:val="16"/>
                <w:szCs w:val="16"/>
              </w:rPr>
            </w:pPr>
            <w:r w:rsidRPr="00873B6C">
              <w:rPr>
                <w:sz w:val="16"/>
                <w:szCs w:val="16"/>
              </w:rPr>
              <w:t>Adding Policy Charging and Control related reference points</w:t>
            </w:r>
          </w:p>
        </w:tc>
        <w:tc>
          <w:tcPr>
            <w:tcW w:w="708" w:type="dxa"/>
            <w:shd w:val="solid" w:color="FFFFFF" w:fill="auto"/>
          </w:tcPr>
          <w:p w14:paraId="218AED7B" w14:textId="77777777" w:rsidR="00D40151" w:rsidRPr="00873B6C" w:rsidRDefault="00D40151" w:rsidP="009D14FB">
            <w:pPr>
              <w:pStyle w:val="TAC"/>
              <w:rPr>
                <w:sz w:val="16"/>
                <w:szCs w:val="16"/>
              </w:rPr>
            </w:pPr>
            <w:r w:rsidRPr="00873B6C">
              <w:rPr>
                <w:sz w:val="16"/>
                <w:szCs w:val="16"/>
              </w:rPr>
              <w:t>16.2.0</w:t>
            </w:r>
          </w:p>
        </w:tc>
      </w:tr>
      <w:tr w:rsidR="00D40151" w:rsidRPr="00873B6C" w14:paraId="63829FCB" w14:textId="77777777" w:rsidTr="009D14FB">
        <w:tc>
          <w:tcPr>
            <w:tcW w:w="800" w:type="dxa"/>
            <w:shd w:val="solid" w:color="FFFFFF" w:fill="auto"/>
          </w:tcPr>
          <w:p w14:paraId="5232DAC2"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3FF2EE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FB61E84"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38BD914F" w14:textId="77777777" w:rsidR="00D40151" w:rsidRPr="00873B6C" w:rsidRDefault="00D40151" w:rsidP="009D14FB">
            <w:pPr>
              <w:pStyle w:val="TAL"/>
              <w:rPr>
                <w:sz w:val="16"/>
                <w:szCs w:val="16"/>
              </w:rPr>
            </w:pPr>
            <w:r w:rsidRPr="00873B6C">
              <w:rPr>
                <w:sz w:val="16"/>
                <w:szCs w:val="16"/>
              </w:rPr>
              <w:t>1557</w:t>
            </w:r>
          </w:p>
        </w:tc>
        <w:tc>
          <w:tcPr>
            <w:tcW w:w="425" w:type="dxa"/>
            <w:shd w:val="solid" w:color="FFFFFF" w:fill="auto"/>
          </w:tcPr>
          <w:p w14:paraId="5B7C582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4E52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3B11818" w14:textId="77777777" w:rsidR="00D40151" w:rsidRPr="00873B6C" w:rsidRDefault="00D40151" w:rsidP="009D14FB">
            <w:pPr>
              <w:pStyle w:val="TAL"/>
              <w:rPr>
                <w:sz w:val="16"/>
                <w:szCs w:val="16"/>
              </w:rPr>
            </w:pPr>
            <w:r w:rsidRPr="00873B6C">
              <w:rPr>
                <w:sz w:val="16"/>
                <w:szCs w:val="16"/>
              </w:rPr>
              <w:t>Update to NEF related reference points</w:t>
            </w:r>
          </w:p>
        </w:tc>
        <w:tc>
          <w:tcPr>
            <w:tcW w:w="708" w:type="dxa"/>
            <w:shd w:val="solid" w:color="FFFFFF" w:fill="auto"/>
          </w:tcPr>
          <w:p w14:paraId="6BF650B2" w14:textId="77777777" w:rsidR="00D40151" w:rsidRPr="00873B6C" w:rsidRDefault="00D40151" w:rsidP="009D14FB">
            <w:pPr>
              <w:pStyle w:val="TAC"/>
              <w:rPr>
                <w:sz w:val="16"/>
                <w:szCs w:val="16"/>
              </w:rPr>
            </w:pPr>
            <w:r w:rsidRPr="00873B6C">
              <w:rPr>
                <w:sz w:val="16"/>
                <w:szCs w:val="16"/>
              </w:rPr>
              <w:t>16.2.0</w:t>
            </w:r>
          </w:p>
        </w:tc>
      </w:tr>
      <w:tr w:rsidR="00D40151" w:rsidRPr="00873B6C" w14:paraId="565D5A69" w14:textId="77777777" w:rsidTr="009D14FB">
        <w:tc>
          <w:tcPr>
            <w:tcW w:w="800" w:type="dxa"/>
            <w:shd w:val="solid" w:color="FFFFFF" w:fill="auto"/>
          </w:tcPr>
          <w:p w14:paraId="2539149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9D71F79"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CDF3727" w14:textId="77777777" w:rsidR="00D40151" w:rsidRPr="00873B6C" w:rsidRDefault="00D40151" w:rsidP="009D14FB">
            <w:pPr>
              <w:pStyle w:val="TAC"/>
              <w:rPr>
                <w:sz w:val="16"/>
                <w:szCs w:val="16"/>
              </w:rPr>
            </w:pPr>
            <w:r w:rsidRPr="00873B6C">
              <w:rPr>
                <w:sz w:val="16"/>
                <w:szCs w:val="16"/>
              </w:rPr>
              <w:t>SP-190611</w:t>
            </w:r>
          </w:p>
        </w:tc>
        <w:tc>
          <w:tcPr>
            <w:tcW w:w="567" w:type="dxa"/>
            <w:shd w:val="solid" w:color="FFFFFF" w:fill="auto"/>
          </w:tcPr>
          <w:p w14:paraId="4A53B6F9" w14:textId="77777777" w:rsidR="00D40151" w:rsidRPr="00873B6C" w:rsidRDefault="00D40151" w:rsidP="009D14FB">
            <w:pPr>
              <w:pStyle w:val="TAL"/>
              <w:rPr>
                <w:sz w:val="16"/>
                <w:szCs w:val="16"/>
              </w:rPr>
            </w:pPr>
            <w:r w:rsidRPr="00873B6C">
              <w:rPr>
                <w:sz w:val="16"/>
                <w:szCs w:val="16"/>
              </w:rPr>
              <w:t>1563</w:t>
            </w:r>
          </w:p>
        </w:tc>
        <w:tc>
          <w:tcPr>
            <w:tcW w:w="425" w:type="dxa"/>
            <w:shd w:val="solid" w:color="FFFFFF" w:fill="auto"/>
          </w:tcPr>
          <w:p w14:paraId="089F463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54E0E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44D79C" w14:textId="77777777" w:rsidR="00D40151" w:rsidRPr="00873B6C" w:rsidRDefault="00D40151" w:rsidP="009D14FB">
            <w:pPr>
              <w:pStyle w:val="TAL"/>
              <w:rPr>
                <w:sz w:val="16"/>
                <w:szCs w:val="16"/>
              </w:rPr>
            </w:pPr>
            <w:r w:rsidRPr="00873B6C">
              <w:rPr>
                <w:sz w:val="16"/>
                <w:szCs w:val="16"/>
              </w:rPr>
              <w:t>NF Group resolution by SCP</w:t>
            </w:r>
          </w:p>
        </w:tc>
        <w:tc>
          <w:tcPr>
            <w:tcW w:w="708" w:type="dxa"/>
            <w:shd w:val="solid" w:color="FFFFFF" w:fill="auto"/>
          </w:tcPr>
          <w:p w14:paraId="3C103F68" w14:textId="77777777" w:rsidR="00D40151" w:rsidRPr="00873B6C" w:rsidRDefault="00D40151" w:rsidP="009D14FB">
            <w:pPr>
              <w:pStyle w:val="TAC"/>
              <w:rPr>
                <w:sz w:val="16"/>
                <w:szCs w:val="16"/>
              </w:rPr>
            </w:pPr>
            <w:r w:rsidRPr="00873B6C">
              <w:rPr>
                <w:sz w:val="16"/>
                <w:szCs w:val="16"/>
              </w:rPr>
              <w:t>16.2.0</w:t>
            </w:r>
          </w:p>
        </w:tc>
      </w:tr>
      <w:tr w:rsidR="00D40151" w:rsidRPr="00873B6C" w14:paraId="45B6C629" w14:textId="77777777" w:rsidTr="009D14FB">
        <w:tc>
          <w:tcPr>
            <w:tcW w:w="800" w:type="dxa"/>
            <w:shd w:val="solid" w:color="FFFFFF" w:fill="auto"/>
          </w:tcPr>
          <w:p w14:paraId="566261F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755D35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299A5CB"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6B7A39E1" w14:textId="77777777" w:rsidR="00D40151" w:rsidRPr="00873B6C" w:rsidRDefault="00D40151" w:rsidP="009D14FB">
            <w:pPr>
              <w:pStyle w:val="TAL"/>
              <w:rPr>
                <w:sz w:val="16"/>
                <w:szCs w:val="16"/>
              </w:rPr>
            </w:pPr>
            <w:r w:rsidRPr="00873B6C">
              <w:rPr>
                <w:sz w:val="16"/>
                <w:szCs w:val="16"/>
              </w:rPr>
              <w:t>1570</w:t>
            </w:r>
          </w:p>
        </w:tc>
        <w:tc>
          <w:tcPr>
            <w:tcW w:w="425" w:type="dxa"/>
            <w:shd w:val="solid" w:color="FFFFFF" w:fill="auto"/>
          </w:tcPr>
          <w:p w14:paraId="4B0B647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1A59F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FB0532" w14:textId="77777777" w:rsidR="00D40151" w:rsidRPr="00873B6C" w:rsidRDefault="00D40151" w:rsidP="009D14FB">
            <w:pPr>
              <w:pStyle w:val="TAL"/>
              <w:rPr>
                <w:sz w:val="16"/>
                <w:szCs w:val="16"/>
              </w:rPr>
            </w:pPr>
            <w:r w:rsidRPr="00873B6C">
              <w:rPr>
                <w:sz w:val="16"/>
                <w:szCs w:val="16"/>
              </w:rPr>
              <w:t>Corrections about default QoS rule</w:t>
            </w:r>
          </w:p>
        </w:tc>
        <w:tc>
          <w:tcPr>
            <w:tcW w:w="708" w:type="dxa"/>
            <w:shd w:val="solid" w:color="FFFFFF" w:fill="auto"/>
          </w:tcPr>
          <w:p w14:paraId="3903112D" w14:textId="77777777" w:rsidR="00D40151" w:rsidRPr="00873B6C" w:rsidRDefault="00D40151" w:rsidP="009D14FB">
            <w:pPr>
              <w:pStyle w:val="TAC"/>
              <w:rPr>
                <w:sz w:val="16"/>
                <w:szCs w:val="16"/>
              </w:rPr>
            </w:pPr>
            <w:r w:rsidRPr="00873B6C">
              <w:rPr>
                <w:sz w:val="16"/>
                <w:szCs w:val="16"/>
              </w:rPr>
              <w:t>16.2.0</w:t>
            </w:r>
          </w:p>
        </w:tc>
      </w:tr>
      <w:tr w:rsidR="00D40151" w:rsidRPr="00873B6C" w14:paraId="1A764041" w14:textId="77777777" w:rsidTr="009D14FB">
        <w:tc>
          <w:tcPr>
            <w:tcW w:w="800" w:type="dxa"/>
            <w:shd w:val="solid" w:color="FFFFFF" w:fill="auto"/>
          </w:tcPr>
          <w:p w14:paraId="0FDCFDE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C04FC5B"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651F172"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20A879B5" w14:textId="77777777" w:rsidR="00D40151" w:rsidRPr="00873B6C" w:rsidRDefault="00D40151" w:rsidP="009D14FB">
            <w:pPr>
              <w:pStyle w:val="TAL"/>
              <w:rPr>
                <w:sz w:val="16"/>
                <w:szCs w:val="16"/>
              </w:rPr>
            </w:pPr>
            <w:r w:rsidRPr="00873B6C">
              <w:rPr>
                <w:sz w:val="16"/>
                <w:szCs w:val="16"/>
              </w:rPr>
              <w:t>1571</w:t>
            </w:r>
          </w:p>
        </w:tc>
        <w:tc>
          <w:tcPr>
            <w:tcW w:w="425" w:type="dxa"/>
            <w:shd w:val="solid" w:color="FFFFFF" w:fill="auto"/>
          </w:tcPr>
          <w:p w14:paraId="7A51DFA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1FF08A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FFACA0E" w14:textId="77777777" w:rsidR="00D40151" w:rsidRPr="00873B6C" w:rsidRDefault="00D40151" w:rsidP="009D14FB">
            <w:pPr>
              <w:pStyle w:val="TAL"/>
              <w:rPr>
                <w:sz w:val="16"/>
                <w:szCs w:val="16"/>
              </w:rPr>
            </w:pPr>
            <w:r w:rsidRPr="00873B6C">
              <w:rPr>
                <w:sz w:val="16"/>
                <w:szCs w:val="16"/>
              </w:rPr>
              <w:t>Interworking for MA PDU Session</w:t>
            </w:r>
          </w:p>
        </w:tc>
        <w:tc>
          <w:tcPr>
            <w:tcW w:w="708" w:type="dxa"/>
            <w:shd w:val="solid" w:color="FFFFFF" w:fill="auto"/>
          </w:tcPr>
          <w:p w14:paraId="73262C16" w14:textId="77777777" w:rsidR="00D40151" w:rsidRPr="00873B6C" w:rsidRDefault="00D40151" w:rsidP="009D14FB">
            <w:pPr>
              <w:pStyle w:val="TAC"/>
              <w:rPr>
                <w:sz w:val="16"/>
                <w:szCs w:val="16"/>
              </w:rPr>
            </w:pPr>
            <w:r w:rsidRPr="00873B6C">
              <w:rPr>
                <w:sz w:val="16"/>
                <w:szCs w:val="16"/>
              </w:rPr>
              <w:t>16.2.0</w:t>
            </w:r>
          </w:p>
        </w:tc>
      </w:tr>
      <w:tr w:rsidR="00D40151" w:rsidRPr="00873B6C" w14:paraId="75BD807E" w14:textId="77777777" w:rsidTr="009D14FB">
        <w:tc>
          <w:tcPr>
            <w:tcW w:w="800" w:type="dxa"/>
            <w:shd w:val="solid" w:color="FFFFFF" w:fill="auto"/>
          </w:tcPr>
          <w:p w14:paraId="458BC59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E292D9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CC6E8FA"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65E4809B" w14:textId="77777777" w:rsidR="00D40151" w:rsidRPr="00873B6C" w:rsidRDefault="00D40151" w:rsidP="009D14FB">
            <w:pPr>
              <w:pStyle w:val="TAL"/>
              <w:rPr>
                <w:sz w:val="16"/>
                <w:szCs w:val="16"/>
              </w:rPr>
            </w:pPr>
            <w:r w:rsidRPr="00873B6C">
              <w:rPr>
                <w:sz w:val="16"/>
                <w:szCs w:val="16"/>
              </w:rPr>
              <w:t>1573</w:t>
            </w:r>
          </w:p>
        </w:tc>
        <w:tc>
          <w:tcPr>
            <w:tcW w:w="425" w:type="dxa"/>
            <w:shd w:val="solid" w:color="FFFFFF" w:fill="auto"/>
          </w:tcPr>
          <w:p w14:paraId="0A26A69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7D167A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82ADD1" w14:textId="77777777" w:rsidR="00D40151" w:rsidRPr="00873B6C" w:rsidRDefault="00D40151" w:rsidP="009D14FB">
            <w:pPr>
              <w:pStyle w:val="TAL"/>
              <w:rPr>
                <w:sz w:val="16"/>
                <w:szCs w:val="16"/>
              </w:rPr>
            </w:pPr>
            <w:r w:rsidRPr="00873B6C">
              <w:rPr>
                <w:sz w:val="16"/>
                <w:szCs w:val="16"/>
              </w:rPr>
              <w:t>Conditions to use CP or UP CIoT</w:t>
            </w:r>
          </w:p>
        </w:tc>
        <w:tc>
          <w:tcPr>
            <w:tcW w:w="708" w:type="dxa"/>
            <w:shd w:val="solid" w:color="FFFFFF" w:fill="auto"/>
          </w:tcPr>
          <w:p w14:paraId="3B52E239" w14:textId="77777777" w:rsidR="00D40151" w:rsidRPr="00873B6C" w:rsidRDefault="00D40151" w:rsidP="009D14FB">
            <w:pPr>
              <w:pStyle w:val="TAC"/>
              <w:rPr>
                <w:sz w:val="16"/>
                <w:szCs w:val="16"/>
              </w:rPr>
            </w:pPr>
            <w:r w:rsidRPr="00873B6C">
              <w:rPr>
                <w:sz w:val="16"/>
                <w:szCs w:val="16"/>
              </w:rPr>
              <w:t>16.2.0</w:t>
            </w:r>
          </w:p>
        </w:tc>
      </w:tr>
      <w:tr w:rsidR="00D40151" w:rsidRPr="00873B6C" w14:paraId="3BC4FA54" w14:textId="77777777" w:rsidTr="009D14FB">
        <w:tc>
          <w:tcPr>
            <w:tcW w:w="800" w:type="dxa"/>
            <w:shd w:val="solid" w:color="FFFFFF" w:fill="auto"/>
          </w:tcPr>
          <w:p w14:paraId="01F74F2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7A505F5"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0E2399B"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61C8E995" w14:textId="77777777" w:rsidR="00D40151" w:rsidRPr="00873B6C" w:rsidRDefault="00D40151" w:rsidP="009D14FB">
            <w:pPr>
              <w:pStyle w:val="TAL"/>
              <w:rPr>
                <w:sz w:val="16"/>
                <w:szCs w:val="16"/>
              </w:rPr>
            </w:pPr>
            <w:r w:rsidRPr="00873B6C">
              <w:rPr>
                <w:sz w:val="16"/>
                <w:szCs w:val="16"/>
              </w:rPr>
              <w:t>1578</w:t>
            </w:r>
          </w:p>
        </w:tc>
        <w:tc>
          <w:tcPr>
            <w:tcW w:w="425" w:type="dxa"/>
            <w:shd w:val="solid" w:color="FFFFFF" w:fill="auto"/>
          </w:tcPr>
          <w:p w14:paraId="73B5D47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1A4C32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E08F8E" w14:textId="77777777" w:rsidR="00D40151" w:rsidRPr="00873B6C" w:rsidRDefault="00D40151" w:rsidP="009D14FB">
            <w:pPr>
              <w:pStyle w:val="TAL"/>
              <w:rPr>
                <w:sz w:val="16"/>
                <w:szCs w:val="16"/>
              </w:rPr>
            </w:pPr>
            <w:r w:rsidRPr="00873B6C">
              <w:rPr>
                <w:sz w:val="16"/>
                <w:szCs w:val="16"/>
              </w:rPr>
              <w:t xml:space="preserve">Correction of NAS transport for LCS </w:t>
            </w:r>
          </w:p>
        </w:tc>
        <w:tc>
          <w:tcPr>
            <w:tcW w:w="708" w:type="dxa"/>
            <w:shd w:val="solid" w:color="FFFFFF" w:fill="auto"/>
          </w:tcPr>
          <w:p w14:paraId="69F01E3D" w14:textId="77777777" w:rsidR="00D40151" w:rsidRPr="00873B6C" w:rsidRDefault="00D40151" w:rsidP="009D14FB">
            <w:pPr>
              <w:pStyle w:val="TAC"/>
              <w:rPr>
                <w:sz w:val="16"/>
                <w:szCs w:val="16"/>
              </w:rPr>
            </w:pPr>
            <w:r w:rsidRPr="00873B6C">
              <w:rPr>
                <w:sz w:val="16"/>
                <w:szCs w:val="16"/>
              </w:rPr>
              <w:t>16.2.0</w:t>
            </w:r>
          </w:p>
        </w:tc>
      </w:tr>
      <w:tr w:rsidR="00D40151" w:rsidRPr="00873B6C" w14:paraId="4E7DAE59" w14:textId="77777777" w:rsidTr="009D14FB">
        <w:tc>
          <w:tcPr>
            <w:tcW w:w="800" w:type="dxa"/>
            <w:shd w:val="solid" w:color="FFFFFF" w:fill="auto"/>
          </w:tcPr>
          <w:p w14:paraId="0EC43F2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9B6D44B"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5FB0C07"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5B0926A8" w14:textId="77777777" w:rsidR="00D40151" w:rsidRPr="00873B6C" w:rsidRDefault="00D40151" w:rsidP="009D14FB">
            <w:pPr>
              <w:pStyle w:val="TAL"/>
              <w:rPr>
                <w:sz w:val="16"/>
                <w:szCs w:val="16"/>
              </w:rPr>
            </w:pPr>
            <w:r w:rsidRPr="00873B6C">
              <w:rPr>
                <w:sz w:val="16"/>
                <w:szCs w:val="16"/>
              </w:rPr>
              <w:t>1580</w:t>
            </w:r>
          </w:p>
        </w:tc>
        <w:tc>
          <w:tcPr>
            <w:tcW w:w="425" w:type="dxa"/>
            <w:shd w:val="solid" w:color="FFFFFF" w:fill="auto"/>
          </w:tcPr>
          <w:p w14:paraId="091CEB2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574FA4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B22C7D" w14:textId="77777777" w:rsidR="00D40151" w:rsidRPr="00873B6C" w:rsidRDefault="00D40151" w:rsidP="009D14FB">
            <w:pPr>
              <w:pStyle w:val="TAL"/>
              <w:rPr>
                <w:sz w:val="16"/>
                <w:szCs w:val="16"/>
              </w:rPr>
            </w:pPr>
            <w:r w:rsidRPr="00873B6C">
              <w:rPr>
                <w:sz w:val="16"/>
                <w:szCs w:val="16"/>
              </w:rPr>
              <w:t>Corrections to Control Plane CIoT 5GS Optimisation description</w:t>
            </w:r>
          </w:p>
        </w:tc>
        <w:tc>
          <w:tcPr>
            <w:tcW w:w="708" w:type="dxa"/>
            <w:shd w:val="solid" w:color="FFFFFF" w:fill="auto"/>
          </w:tcPr>
          <w:p w14:paraId="4561A82D" w14:textId="77777777" w:rsidR="00D40151" w:rsidRPr="00873B6C" w:rsidRDefault="00D40151" w:rsidP="009D14FB">
            <w:pPr>
              <w:pStyle w:val="TAC"/>
              <w:rPr>
                <w:sz w:val="16"/>
                <w:szCs w:val="16"/>
              </w:rPr>
            </w:pPr>
            <w:r w:rsidRPr="00873B6C">
              <w:rPr>
                <w:sz w:val="16"/>
                <w:szCs w:val="16"/>
              </w:rPr>
              <w:t>16.2.0</w:t>
            </w:r>
          </w:p>
        </w:tc>
      </w:tr>
      <w:tr w:rsidR="00D40151" w:rsidRPr="00873B6C" w14:paraId="47E801F7" w14:textId="77777777" w:rsidTr="009D14FB">
        <w:tc>
          <w:tcPr>
            <w:tcW w:w="800" w:type="dxa"/>
            <w:shd w:val="solid" w:color="FFFFFF" w:fill="auto"/>
          </w:tcPr>
          <w:p w14:paraId="46966AA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386EFE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AAE12DC"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431666A0" w14:textId="77777777" w:rsidR="00D40151" w:rsidRPr="00873B6C" w:rsidRDefault="00D40151" w:rsidP="009D14FB">
            <w:pPr>
              <w:pStyle w:val="TAL"/>
              <w:rPr>
                <w:sz w:val="16"/>
                <w:szCs w:val="16"/>
              </w:rPr>
            </w:pPr>
            <w:r w:rsidRPr="00873B6C">
              <w:rPr>
                <w:sz w:val="16"/>
                <w:szCs w:val="16"/>
              </w:rPr>
              <w:t>1581</w:t>
            </w:r>
          </w:p>
        </w:tc>
        <w:tc>
          <w:tcPr>
            <w:tcW w:w="425" w:type="dxa"/>
            <w:shd w:val="solid" w:color="FFFFFF" w:fill="auto"/>
          </w:tcPr>
          <w:p w14:paraId="4D6BE6C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F808A2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3FCBCF" w14:textId="77777777" w:rsidR="00D40151" w:rsidRPr="00873B6C" w:rsidRDefault="00D40151" w:rsidP="009D14FB">
            <w:pPr>
              <w:pStyle w:val="TAL"/>
              <w:rPr>
                <w:sz w:val="16"/>
                <w:szCs w:val="16"/>
              </w:rPr>
            </w:pPr>
            <w:r w:rsidRPr="00873B6C">
              <w:rPr>
                <w:sz w:val="16"/>
                <w:szCs w:val="16"/>
              </w:rPr>
              <w:t>Alignment of the term Early Data Transmission</w:t>
            </w:r>
          </w:p>
        </w:tc>
        <w:tc>
          <w:tcPr>
            <w:tcW w:w="708" w:type="dxa"/>
            <w:shd w:val="solid" w:color="FFFFFF" w:fill="auto"/>
          </w:tcPr>
          <w:p w14:paraId="477AAA67" w14:textId="77777777" w:rsidR="00D40151" w:rsidRPr="00873B6C" w:rsidRDefault="00D40151" w:rsidP="009D14FB">
            <w:pPr>
              <w:pStyle w:val="TAC"/>
              <w:rPr>
                <w:sz w:val="16"/>
                <w:szCs w:val="16"/>
              </w:rPr>
            </w:pPr>
            <w:r w:rsidRPr="00873B6C">
              <w:rPr>
                <w:sz w:val="16"/>
                <w:szCs w:val="16"/>
              </w:rPr>
              <w:t>16.2.0</w:t>
            </w:r>
          </w:p>
        </w:tc>
      </w:tr>
      <w:tr w:rsidR="00D40151" w:rsidRPr="00873B6C" w14:paraId="51F9F8F3" w14:textId="77777777" w:rsidTr="009D14FB">
        <w:tc>
          <w:tcPr>
            <w:tcW w:w="800" w:type="dxa"/>
            <w:shd w:val="solid" w:color="FFFFFF" w:fill="auto"/>
          </w:tcPr>
          <w:p w14:paraId="2AA044B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177D34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CF02ABF"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34A4BBD4" w14:textId="77777777" w:rsidR="00D40151" w:rsidRPr="00873B6C" w:rsidRDefault="00D40151" w:rsidP="009D14FB">
            <w:pPr>
              <w:pStyle w:val="TAL"/>
              <w:rPr>
                <w:sz w:val="16"/>
                <w:szCs w:val="16"/>
              </w:rPr>
            </w:pPr>
            <w:r w:rsidRPr="00873B6C">
              <w:rPr>
                <w:sz w:val="16"/>
                <w:szCs w:val="16"/>
              </w:rPr>
              <w:t>1586</w:t>
            </w:r>
          </w:p>
        </w:tc>
        <w:tc>
          <w:tcPr>
            <w:tcW w:w="425" w:type="dxa"/>
            <w:shd w:val="solid" w:color="FFFFFF" w:fill="auto"/>
          </w:tcPr>
          <w:p w14:paraId="2EC670B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DDEAE8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2DAB55B" w14:textId="77777777" w:rsidR="00D40151" w:rsidRPr="00873B6C" w:rsidRDefault="00D40151" w:rsidP="009D14FB">
            <w:pPr>
              <w:pStyle w:val="TAL"/>
              <w:rPr>
                <w:sz w:val="16"/>
                <w:szCs w:val="16"/>
              </w:rPr>
            </w:pPr>
            <w:r w:rsidRPr="00873B6C">
              <w:rPr>
                <w:sz w:val="16"/>
                <w:szCs w:val="16"/>
              </w:rPr>
              <w:t>Network request re-activation of user-plane resources</w:t>
            </w:r>
          </w:p>
        </w:tc>
        <w:tc>
          <w:tcPr>
            <w:tcW w:w="708" w:type="dxa"/>
            <w:shd w:val="solid" w:color="FFFFFF" w:fill="auto"/>
          </w:tcPr>
          <w:p w14:paraId="0B6C3A01" w14:textId="77777777" w:rsidR="00D40151" w:rsidRPr="00873B6C" w:rsidRDefault="00D40151" w:rsidP="009D14FB">
            <w:pPr>
              <w:pStyle w:val="TAC"/>
              <w:rPr>
                <w:sz w:val="16"/>
                <w:szCs w:val="16"/>
              </w:rPr>
            </w:pPr>
            <w:r w:rsidRPr="00873B6C">
              <w:rPr>
                <w:sz w:val="16"/>
                <w:szCs w:val="16"/>
              </w:rPr>
              <w:t>16.2.0</w:t>
            </w:r>
          </w:p>
        </w:tc>
      </w:tr>
      <w:tr w:rsidR="00D40151" w:rsidRPr="00873B6C" w14:paraId="7EEBEBD9" w14:textId="77777777" w:rsidTr="009D14FB">
        <w:tc>
          <w:tcPr>
            <w:tcW w:w="800" w:type="dxa"/>
            <w:shd w:val="solid" w:color="FFFFFF" w:fill="auto"/>
          </w:tcPr>
          <w:p w14:paraId="7DD07224"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0B7D68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7AEA248"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319493CD" w14:textId="77777777" w:rsidR="00D40151" w:rsidRPr="00873B6C" w:rsidRDefault="00D40151" w:rsidP="009D14FB">
            <w:pPr>
              <w:pStyle w:val="TAL"/>
              <w:rPr>
                <w:sz w:val="16"/>
                <w:szCs w:val="16"/>
              </w:rPr>
            </w:pPr>
            <w:r w:rsidRPr="00873B6C">
              <w:rPr>
                <w:sz w:val="16"/>
                <w:szCs w:val="16"/>
              </w:rPr>
              <w:t>1587</w:t>
            </w:r>
          </w:p>
        </w:tc>
        <w:tc>
          <w:tcPr>
            <w:tcW w:w="425" w:type="dxa"/>
            <w:shd w:val="solid" w:color="FFFFFF" w:fill="auto"/>
          </w:tcPr>
          <w:p w14:paraId="2BF6EBA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ABC1B4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6F1496" w14:textId="77777777" w:rsidR="00D40151" w:rsidRPr="00873B6C" w:rsidRDefault="00D40151" w:rsidP="009D14FB">
            <w:pPr>
              <w:pStyle w:val="TAL"/>
              <w:rPr>
                <w:sz w:val="16"/>
                <w:szCs w:val="16"/>
              </w:rPr>
            </w:pPr>
            <w:r w:rsidRPr="00873B6C">
              <w:rPr>
                <w:sz w:val="16"/>
                <w:szCs w:val="16"/>
              </w:rPr>
              <w:t>PMF message delivery</w:t>
            </w:r>
          </w:p>
        </w:tc>
        <w:tc>
          <w:tcPr>
            <w:tcW w:w="708" w:type="dxa"/>
            <w:shd w:val="solid" w:color="FFFFFF" w:fill="auto"/>
          </w:tcPr>
          <w:p w14:paraId="09759543" w14:textId="77777777" w:rsidR="00D40151" w:rsidRPr="00873B6C" w:rsidRDefault="00D40151" w:rsidP="009D14FB">
            <w:pPr>
              <w:pStyle w:val="TAC"/>
              <w:rPr>
                <w:sz w:val="16"/>
                <w:szCs w:val="16"/>
              </w:rPr>
            </w:pPr>
            <w:r w:rsidRPr="00873B6C">
              <w:rPr>
                <w:sz w:val="16"/>
                <w:szCs w:val="16"/>
              </w:rPr>
              <w:t>16.2.0</w:t>
            </w:r>
          </w:p>
        </w:tc>
      </w:tr>
      <w:tr w:rsidR="00D40151" w:rsidRPr="00873B6C" w14:paraId="33CB7CDF" w14:textId="77777777" w:rsidTr="009D14FB">
        <w:tc>
          <w:tcPr>
            <w:tcW w:w="800" w:type="dxa"/>
            <w:shd w:val="solid" w:color="FFFFFF" w:fill="auto"/>
          </w:tcPr>
          <w:p w14:paraId="3BC3F31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751C4F2"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6FD60F7" w14:textId="77777777" w:rsidR="00D40151" w:rsidRPr="00873B6C" w:rsidRDefault="00D40151" w:rsidP="009D14FB">
            <w:pPr>
              <w:pStyle w:val="TAC"/>
              <w:rPr>
                <w:sz w:val="16"/>
                <w:szCs w:val="16"/>
              </w:rPr>
            </w:pPr>
            <w:r w:rsidRPr="00873B6C">
              <w:rPr>
                <w:sz w:val="16"/>
                <w:szCs w:val="16"/>
              </w:rPr>
              <w:t>SP-190613</w:t>
            </w:r>
          </w:p>
        </w:tc>
        <w:tc>
          <w:tcPr>
            <w:tcW w:w="567" w:type="dxa"/>
            <w:shd w:val="solid" w:color="FFFFFF" w:fill="auto"/>
          </w:tcPr>
          <w:p w14:paraId="017DB089" w14:textId="77777777" w:rsidR="00D40151" w:rsidRPr="00873B6C" w:rsidRDefault="00D40151" w:rsidP="009D14FB">
            <w:pPr>
              <w:pStyle w:val="TAL"/>
              <w:rPr>
                <w:sz w:val="16"/>
                <w:szCs w:val="16"/>
              </w:rPr>
            </w:pPr>
            <w:r w:rsidRPr="00873B6C">
              <w:rPr>
                <w:sz w:val="16"/>
                <w:szCs w:val="16"/>
              </w:rPr>
              <w:t>1588</w:t>
            </w:r>
          </w:p>
        </w:tc>
        <w:tc>
          <w:tcPr>
            <w:tcW w:w="425" w:type="dxa"/>
            <w:shd w:val="solid" w:color="FFFFFF" w:fill="auto"/>
          </w:tcPr>
          <w:p w14:paraId="4DEA323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C95358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33387A2" w14:textId="77777777" w:rsidR="00D40151" w:rsidRPr="00873B6C" w:rsidRDefault="00D40151" w:rsidP="009D14FB">
            <w:pPr>
              <w:pStyle w:val="TAL"/>
              <w:rPr>
                <w:sz w:val="16"/>
                <w:szCs w:val="16"/>
              </w:rPr>
            </w:pPr>
            <w:r w:rsidRPr="00873B6C">
              <w:rPr>
                <w:sz w:val="16"/>
                <w:szCs w:val="16"/>
              </w:rPr>
              <w:t>AMF capability of Network Slice-Specific Authentication and Authorization</w:t>
            </w:r>
          </w:p>
        </w:tc>
        <w:tc>
          <w:tcPr>
            <w:tcW w:w="708" w:type="dxa"/>
            <w:shd w:val="solid" w:color="FFFFFF" w:fill="auto"/>
          </w:tcPr>
          <w:p w14:paraId="1AE73AE7" w14:textId="77777777" w:rsidR="00D40151" w:rsidRPr="00873B6C" w:rsidRDefault="00D40151" w:rsidP="009D14FB">
            <w:pPr>
              <w:pStyle w:val="TAC"/>
              <w:rPr>
                <w:sz w:val="16"/>
                <w:szCs w:val="16"/>
              </w:rPr>
            </w:pPr>
            <w:r w:rsidRPr="00873B6C">
              <w:rPr>
                <w:sz w:val="16"/>
                <w:szCs w:val="16"/>
              </w:rPr>
              <w:t>16.2.0</w:t>
            </w:r>
          </w:p>
        </w:tc>
      </w:tr>
      <w:tr w:rsidR="00D40151" w:rsidRPr="00873B6C" w14:paraId="297466B5" w14:textId="77777777" w:rsidTr="009D14FB">
        <w:tc>
          <w:tcPr>
            <w:tcW w:w="800" w:type="dxa"/>
            <w:shd w:val="solid" w:color="FFFFFF" w:fill="auto"/>
          </w:tcPr>
          <w:p w14:paraId="20823F6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FC6CB0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8669983"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231C209E" w14:textId="77777777" w:rsidR="00D40151" w:rsidRPr="00873B6C" w:rsidRDefault="00D40151" w:rsidP="009D14FB">
            <w:pPr>
              <w:pStyle w:val="TAL"/>
              <w:rPr>
                <w:sz w:val="16"/>
                <w:szCs w:val="16"/>
              </w:rPr>
            </w:pPr>
            <w:r w:rsidRPr="00873B6C">
              <w:rPr>
                <w:sz w:val="16"/>
                <w:szCs w:val="16"/>
              </w:rPr>
              <w:t>1589</w:t>
            </w:r>
          </w:p>
        </w:tc>
        <w:tc>
          <w:tcPr>
            <w:tcW w:w="425" w:type="dxa"/>
            <w:shd w:val="solid" w:color="FFFFFF" w:fill="auto"/>
          </w:tcPr>
          <w:p w14:paraId="091C01B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27A01A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9D298B" w14:textId="77777777" w:rsidR="00D40151" w:rsidRPr="00873B6C" w:rsidRDefault="00D40151" w:rsidP="009D14FB">
            <w:pPr>
              <w:pStyle w:val="TAL"/>
              <w:rPr>
                <w:sz w:val="16"/>
                <w:szCs w:val="16"/>
              </w:rPr>
            </w:pPr>
            <w:r w:rsidRPr="00873B6C">
              <w:rPr>
                <w:sz w:val="16"/>
                <w:szCs w:val="16"/>
              </w:rPr>
              <w:t>Priority of CHF selection</w:t>
            </w:r>
          </w:p>
        </w:tc>
        <w:tc>
          <w:tcPr>
            <w:tcW w:w="708" w:type="dxa"/>
            <w:shd w:val="solid" w:color="FFFFFF" w:fill="auto"/>
          </w:tcPr>
          <w:p w14:paraId="414FB235" w14:textId="77777777" w:rsidR="00D40151" w:rsidRPr="00873B6C" w:rsidRDefault="00D40151" w:rsidP="009D14FB">
            <w:pPr>
              <w:pStyle w:val="TAC"/>
              <w:rPr>
                <w:sz w:val="16"/>
                <w:szCs w:val="16"/>
              </w:rPr>
            </w:pPr>
            <w:r w:rsidRPr="00873B6C">
              <w:rPr>
                <w:sz w:val="16"/>
                <w:szCs w:val="16"/>
              </w:rPr>
              <w:t>16.2.0</w:t>
            </w:r>
          </w:p>
        </w:tc>
      </w:tr>
      <w:tr w:rsidR="00D40151" w:rsidRPr="00873B6C" w14:paraId="223128EC" w14:textId="77777777" w:rsidTr="009D14FB">
        <w:tc>
          <w:tcPr>
            <w:tcW w:w="800" w:type="dxa"/>
            <w:shd w:val="solid" w:color="FFFFFF" w:fill="auto"/>
          </w:tcPr>
          <w:p w14:paraId="7195043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CCFC9B5"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A7A1E36"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49E5E864" w14:textId="77777777" w:rsidR="00D40151" w:rsidRPr="00873B6C" w:rsidRDefault="00D40151" w:rsidP="009D14FB">
            <w:pPr>
              <w:pStyle w:val="TAL"/>
              <w:rPr>
                <w:sz w:val="16"/>
                <w:szCs w:val="16"/>
              </w:rPr>
            </w:pPr>
            <w:r w:rsidRPr="00873B6C">
              <w:rPr>
                <w:sz w:val="16"/>
                <w:szCs w:val="16"/>
              </w:rPr>
              <w:t>1596</w:t>
            </w:r>
          </w:p>
        </w:tc>
        <w:tc>
          <w:tcPr>
            <w:tcW w:w="425" w:type="dxa"/>
            <w:shd w:val="solid" w:color="FFFFFF" w:fill="auto"/>
          </w:tcPr>
          <w:p w14:paraId="141117F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D0940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2CBA6B6" w14:textId="77777777" w:rsidR="00D40151" w:rsidRPr="00873B6C" w:rsidRDefault="00D40151" w:rsidP="009D14FB">
            <w:pPr>
              <w:pStyle w:val="TAL"/>
              <w:rPr>
                <w:sz w:val="16"/>
                <w:szCs w:val="16"/>
              </w:rPr>
            </w:pPr>
            <w:r w:rsidRPr="00873B6C">
              <w:rPr>
                <w:sz w:val="16"/>
                <w:szCs w:val="16"/>
              </w:rPr>
              <w:t>Clarify short DRX cycle length CM-CONNECTED with RRC inactive for eMTC</w:t>
            </w:r>
          </w:p>
        </w:tc>
        <w:tc>
          <w:tcPr>
            <w:tcW w:w="708" w:type="dxa"/>
            <w:shd w:val="solid" w:color="FFFFFF" w:fill="auto"/>
          </w:tcPr>
          <w:p w14:paraId="69C769C2" w14:textId="77777777" w:rsidR="00D40151" w:rsidRPr="00873B6C" w:rsidRDefault="00D40151" w:rsidP="009D14FB">
            <w:pPr>
              <w:pStyle w:val="TAC"/>
              <w:rPr>
                <w:sz w:val="16"/>
                <w:szCs w:val="16"/>
              </w:rPr>
            </w:pPr>
            <w:r w:rsidRPr="00873B6C">
              <w:rPr>
                <w:sz w:val="16"/>
                <w:szCs w:val="16"/>
              </w:rPr>
              <w:t>16.2.0</w:t>
            </w:r>
          </w:p>
        </w:tc>
      </w:tr>
      <w:tr w:rsidR="00D40151" w:rsidRPr="00873B6C" w14:paraId="4FD9FD80" w14:textId="77777777" w:rsidTr="009D14FB">
        <w:tc>
          <w:tcPr>
            <w:tcW w:w="800" w:type="dxa"/>
            <w:shd w:val="solid" w:color="FFFFFF" w:fill="auto"/>
          </w:tcPr>
          <w:p w14:paraId="52FB995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9373E0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7538A0D"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5AE40A0F" w14:textId="77777777" w:rsidR="00D40151" w:rsidRPr="00873B6C" w:rsidRDefault="00D40151" w:rsidP="009D14FB">
            <w:pPr>
              <w:pStyle w:val="TAL"/>
              <w:rPr>
                <w:sz w:val="16"/>
                <w:szCs w:val="16"/>
              </w:rPr>
            </w:pPr>
            <w:r w:rsidRPr="00873B6C">
              <w:rPr>
                <w:sz w:val="16"/>
                <w:szCs w:val="16"/>
              </w:rPr>
              <w:t>1598</w:t>
            </w:r>
          </w:p>
        </w:tc>
        <w:tc>
          <w:tcPr>
            <w:tcW w:w="425" w:type="dxa"/>
            <w:shd w:val="solid" w:color="FFFFFF" w:fill="auto"/>
          </w:tcPr>
          <w:p w14:paraId="7962CCA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E52B9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A532C3" w14:textId="77777777" w:rsidR="00D40151" w:rsidRPr="00873B6C" w:rsidRDefault="00D40151" w:rsidP="009D14FB">
            <w:pPr>
              <w:pStyle w:val="TAL"/>
              <w:rPr>
                <w:sz w:val="16"/>
                <w:szCs w:val="16"/>
              </w:rPr>
            </w:pPr>
            <w:r w:rsidRPr="00873B6C">
              <w:rPr>
                <w:sz w:val="16"/>
                <w:szCs w:val="16"/>
              </w:rPr>
              <w:t>Clarification on NEF discovery by an AF</w:t>
            </w:r>
          </w:p>
        </w:tc>
        <w:tc>
          <w:tcPr>
            <w:tcW w:w="708" w:type="dxa"/>
            <w:shd w:val="solid" w:color="FFFFFF" w:fill="auto"/>
          </w:tcPr>
          <w:p w14:paraId="2A9922D5" w14:textId="77777777" w:rsidR="00D40151" w:rsidRPr="00873B6C" w:rsidRDefault="00D40151" w:rsidP="009D14FB">
            <w:pPr>
              <w:pStyle w:val="TAC"/>
              <w:rPr>
                <w:sz w:val="16"/>
                <w:szCs w:val="16"/>
              </w:rPr>
            </w:pPr>
            <w:r w:rsidRPr="00873B6C">
              <w:rPr>
                <w:sz w:val="16"/>
                <w:szCs w:val="16"/>
              </w:rPr>
              <w:t>16.2.0</w:t>
            </w:r>
          </w:p>
        </w:tc>
      </w:tr>
      <w:tr w:rsidR="00D40151" w:rsidRPr="00873B6C" w14:paraId="5A48253D" w14:textId="77777777" w:rsidTr="009D14FB">
        <w:tc>
          <w:tcPr>
            <w:tcW w:w="800" w:type="dxa"/>
            <w:shd w:val="solid" w:color="FFFFFF" w:fill="auto"/>
          </w:tcPr>
          <w:p w14:paraId="78DEF33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C25450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CD69C8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303F9F3E" w14:textId="77777777" w:rsidR="00D40151" w:rsidRPr="00873B6C" w:rsidRDefault="00D40151" w:rsidP="009D14FB">
            <w:pPr>
              <w:pStyle w:val="TAL"/>
              <w:rPr>
                <w:sz w:val="16"/>
                <w:szCs w:val="16"/>
              </w:rPr>
            </w:pPr>
            <w:r w:rsidRPr="00873B6C">
              <w:rPr>
                <w:sz w:val="16"/>
                <w:szCs w:val="16"/>
              </w:rPr>
              <w:t xml:space="preserve"> 1604</w:t>
            </w:r>
          </w:p>
        </w:tc>
        <w:tc>
          <w:tcPr>
            <w:tcW w:w="425" w:type="dxa"/>
            <w:shd w:val="solid" w:color="FFFFFF" w:fill="auto"/>
          </w:tcPr>
          <w:p w14:paraId="13CCC9D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2681F6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89E4F8" w14:textId="2418733F" w:rsidR="00D40151" w:rsidRPr="00873B6C" w:rsidRDefault="00D40151" w:rsidP="009D14FB">
            <w:pPr>
              <w:pStyle w:val="TAL"/>
              <w:rPr>
                <w:sz w:val="16"/>
                <w:szCs w:val="16"/>
              </w:rPr>
            </w:pPr>
            <w:r w:rsidRPr="00873B6C">
              <w:rPr>
                <w:sz w:val="16"/>
                <w:szCs w:val="16"/>
              </w:rPr>
              <w:t>Exclusive Gating Mechanism</w:t>
            </w:r>
            <w:r w:rsidR="00704A9E" w:rsidRPr="00873B6C">
              <w:rPr>
                <w:sz w:val="16"/>
                <w:szCs w:val="16"/>
              </w:rPr>
              <w:t xml:space="preserve"> </w:t>
            </w:r>
          </w:p>
        </w:tc>
        <w:tc>
          <w:tcPr>
            <w:tcW w:w="708" w:type="dxa"/>
            <w:shd w:val="solid" w:color="FFFFFF" w:fill="auto"/>
          </w:tcPr>
          <w:p w14:paraId="4821F887" w14:textId="77777777" w:rsidR="00D40151" w:rsidRPr="00873B6C" w:rsidRDefault="00D40151" w:rsidP="009D14FB">
            <w:pPr>
              <w:pStyle w:val="TAC"/>
              <w:rPr>
                <w:sz w:val="16"/>
                <w:szCs w:val="16"/>
              </w:rPr>
            </w:pPr>
            <w:r w:rsidRPr="00873B6C">
              <w:rPr>
                <w:sz w:val="16"/>
                <w:szCs w:val="16"/>
              </w:rPr>
              <w:t>16.2.0</w:t>
            </w:r>
          </w:p>
        </w:tc>
      </w:tr>
      <w:tr w:rsidR="00D40151" w:rsidRPr="00873B6C" w14:paraId="435086A5" w14:textId="77777777" w:rsidTr="009D14FB">
        <w:tc>
          <w:tcPr>
            <w:tcW w:w="800" w:type="dxa"/>
            <w:shd w:val="solid" w:color="FFFFFF" w:fill="auto"/>
          </w:tcPr>
          <w:p w14:paraId="1CC978F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832737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284B755" w14:textId="77777777" w:rsidR="00D40151" w:rsidRPr="00873B6C" w:rsidRDefault="00D40151" w:rsidP="009D14FB">
            <w:pPr>
              <w:pStyle w:val="TAC"/>
              <w:rPr>
                <w:sz w:val="16"/>
                <w:szCs w:val="16"/>
              </w:rPr>
            </w:pPr>
            <w:r w:rsidRPr="00873B6C">
              <w:rPr>
                <w:sz w:val="16"/>
                <w:szCs w:val="16"/>
              </w:rPr>
              <w:t>SP-190611</w:t>
            </w:r>
          </w:p>
        </w:tc>
        <w:tc>
          <w:tcPr>
            <w:tcW w:w="567" w:type="dxa"/>
            <w:shd w:val="solid" w:color="FFFFFF" w:fill="auto"/>
          </w:tcPr>
          <w:p w14:paraId="787A11B7" w14:textId="77777777" w:rsidR="00D40151" w:rsidRPr="00873B6C" w:rsidRDefault="00D40151" w:rsidP="009D14FB">
            <w:pPr>
              <w:pStyle w:val="TAL"/>
              <w:rPr>
                <w:sz w:val="16"/>
                <w:szCs w:val="16"/>
              </w:rPr>
            </w:pPr>
            <w:r w:rsidRPr="00873B6C">
              <w:rPr>
                <w:sz w:val="16"/>
                <w:szCs w:val="16"/>
              </w:rPr>
              <w:t>1607</w:t>
            </w:r>
          </w:p>
        </w:tc>
        <w:tc>
          <w:tcPr>
            <w:tcW w:w="425" w:type="dxa"/>
            <w:shd w:val="solid" w:color="FFFFFF" w:fill="auto"/>
          </w:tcPr>
          <w:p w14:paraId="7E06918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094E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151403" w14:textId="77777777" w:rsidR="00D40151" w:rsidRPr="00873B6C" w:rsidRDefault="00D40151" w:rsidP="009D14FB">
            <w:pPr>
              <w:pStyle w:val="TAL"/>
              <w:rPr>
                <w:sz w:val="16"/>
                <w:szCs w:val="16"/>
              </w:rPr>
            </w:pPr>
            <w:r w:rsidRPr="00873B6C">
              <w:rPr>
                <w:sz w:val="16"/>
                <w:szCs w:val="16"/>
              </w:rPr>
              <w:t xml:space="preserve"> Update P-CSCF Discovery using NRF</w:t>
            </w:r>
          </w:p>
        </w:tc>
        <w:tc>
          <w:tcPr>
            <w:tcW w:w="708" w:type="dxa"/>
            <w:shd w:val="solid" w:color="FFFFFF" w:fill="auto"/>
          </w:tcPr>
          <w:p w14:paraId="48AD8192" w14:textId="77777777" w:rsidR="00D40151" w:rsidRPr="00873B6C" w:rsidRDefault="00D40151" w:rsidP="009D14FB">
            <w:pPr>
              <w:pStyle w:val="TAC"/>
              <w:rPr>
                <w:sz w:val="16"/>
                <w:szCs w:val="16"/>
              </w:rPr>
            </w:pPr>
            <w:r w:rsidRPr="00873B6C">
              <w:rPr>
                <w:sz w:val="16"/>
                <w:szCs w:val="16"/>
              </w:rPr>
              <w:t>16.2.0</w:t>
            </w:r>
          </w:p>
        </w:tc>
      </w:tr>
      <w:tr w:rsidR="00D40151" w:rsidRPr="00873B6C" w14:paraId="0A399C7A" w14:textId="77777777" w:rsidTr="009D14FB">
        <w:tc>
          <w:tcPr>
            <w:tcW w:w="800" w:type="dxa"/>
            <w:shd w:val="solid" w:color="FFFFFF" w:fill="auto"/>
          </w:tcPr>
          <w:p w14:paraId="034A422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2D8C6AE"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14AEC5C"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125A6C87" w14:textId="77777777" w:rsidR="00D40151" w:rsidRPr="00873B6C" w:rsidRDefault="00D40151" w:rsidP="009D14FB">
            <w:pPr>
              <w:pStyle w:val="TAL"/>
              <w:rPr>
                <w:sz w:val="16"/>
                <w:szCs w:val="16"/>
              </w:rPr>
            </w:pPr>
            <w:r w:rsidRPr="00873B6C">
              <w:rPr>
                <w:sz w:val="16"/>
                <w:szCs w:val="16"/>
              </w:rPr>
              <w:t>1608</w:t>
            </w:r>
          </w:p>
        </w:tc>
        <w:tc>
          <w:tcPr>
            <w:tcW w:w="425" w:type="dxa"/>
            <w:shd w:val="solid" w:color="FFFFFF" w:fill="auto"/>
          </w:tcPr>
          <w:p w14:paraId="320228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CA06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59E3CD" w14:textId="77777777" w:rsidR="00D40151" w:rsidRPr="00873B6C" w:rsidRDefault="00D40151" w:rsidP="009D14FB">
            <w:pPr>
              <w:pStyle w:val="TAL"/>
              <w:rPr>
                <w:sz w:val="16"/>
                <w:szCs w:val="16"/>
              </w:rPr>
            </w:pPr>
            <w:r w:rsidRPr="00873B6C">
              <w:rPr>
                <w:sz w:val="16"/>
                <w:szCs w:val="16"/>
              </w:rPr>
              <w:t>GUAMI allocation for standalone non-public network</w:t>
            </w:r>
          </w:p>
        </w:tc>
        <w:tc>
          <w:tcPr>
            <w:tcW w:w="708" w:type="dxa"/>
            <w:shd w:val="solid" w:color="FFFFFF" w:fill="auto"/>
          </w:tcPr>
          <w:p w14:paraId="5F84F1B5" w14:textId="77777777" w:rsidR="00D40151" w:rsidRPr="00873B6C" w:rsidRDefault="00D40151" w:rsidP="009D14FB">
            <w:pPr>
              <w:pStyle w:val="TAC"/>
              <w:rPr>
                <w:sz w:val="16"/>
                <w:szCs w:val="16"/>
              </w:rPr>
            </w:pPr>
            <w:r w:rsidRPr="00873B6C">
              <w:rPr>
                <w:sz w:val="16"/>
                <w:szCs w:val="16"/>
              </w:rPr>
              <w:t>16.2.0</w:t>
            </w:r>
          </w:p>
        </w:tc>
      </w:tr>
      <w:tr w:rsidR="00D40151" w:rsidRPr="00873B6C" w14:paraId="437D3F2C" w14:textId="77777777" w:rsidTr="009D14FB">
        <w:tc>
          <w:tcPr>
            <w:tcW w:w="800" w:type="dxa"/>
            <w:shd w:val="solid" w:color="FFFFFF" w:fill="auto"/>
          </w:tcPr>
          <w:p w14:paraId="5F34A12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1163A4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CC717C7"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0CE8008B" w14:textId="77777777" w:rsidR="00D40151" w:rsidRPr="00873B6C" w:rsidRDefault="00D40151" w:rsidP="009D14FB">
            <w:pPr>
              <w:pStyle w:val="TAL"/>
              <w:rPr>
                <w:sz w:val="16"/>
                <w:szCs w:val="16"/>
              </w:rPr>
            </w:pPr>
            <w:r w:rsidRPr="00873B6C">
              <w:rPr>
                <w:sz w:val="16"/>
                <w:szCs w:val="16"/>
              </w:rPr>
              <w:t>1622</w:t>
            </w:r>
          </w:p>
        </w:tc>
        <w:tc>
          <w:tcPr>
            <w:tcW w:w="425" w:type="dxa"/>
            <w:shd w:val="solid" w:color="FFFFFF" w:fill="auto"/>
          </w:tcPr>
          <w:p w14:paraId="3B698BD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B27A6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27A6B2" w14:textId="77777777" w:rsidR="00D40151" w:rsidRPr="00873B6C" w:rsidRDefault="00D40151" w:rsidP="009D14FB">
            <w:pPr>
              <w:pStyle w:val="TAL"/>
              <w:rPr>
                <w:sz w:val="16"/>
                <w:szCs w:val="16"/>
              </w:rPr>
            </w:pPr>
            <w:r w:rsidRPr="00873B6C">
              <w:rPr>
                <w:sz w:val="16"/>
                <w:szCs w:val="16"/>
              </w:rPr>
              <w:t>Relation between Group and Set</w:t>
            </w:r>
          </w:p>
        </w:tc>
        <w:tc>
          <w:tcPr>
            <w:tcW w:w="708" w:type="dxa"/>
            <w:shd w:val="solid" w:color="FFFFFF" w:fill="auto"/>
          </w:tcPr>
          <w:p w14:paraId="5B32B602" w14:textId="77777777" w:rsidR="00D40151" w:rsidRPr="00873B6C" w:rsidRDefault="00D40151" w:rsidP="009D14FB">
            <w:pPr>
              <w:pStyle w:val="TAC"/>
              <w:rPr>
                <w:sz w:val="16"/>
                <w:szCs w:val="16"/>
              </w:rPr>
            </w:pPr>
            <w:r w:rsidRPr="00873B6C">
              <w:rPr>
                <w:sz w:val="16"/>
                <w:szCs w:val="16"/>
              </w:rPr>
              <w:t>16.2.0</w:t>
            </w:r>
          </w:p>
        </w:tc>
      </w:tr>
      <w:tr w:rsidR="00D40151" w:rsidRPr="00873B6C" w14:paraId="15286553" w14:textId="77777777" w:rsidTr="009D14FB">
        <w:tc>
          <w:tcPr>
            <w:tcW w:w="800" w:type="dxa"/>
            <w:shd w:val="solid" w:color="FFFFFF" w:fill="auto"/>
          </w:tcPr>
          <w:p w14:paraId="36ED49A9" w14:textId="77777777" w:rsidR="00D40151" w:rsidRPr="00873B6C" w:rsidRDefault="00D40151" w:rsidP="009D14FB">
            <w:pPr>
              <w:pStyle w:val="TAC"/>
              <w:rPr>
                <w:sz w:val="16"/>
                <w:szCs w:val="16"/>
              </w:rPr>
            </w:pPr>
            <w:r w:rsidRPr="00873B6C">
              <w:rPr>
                <w:sz w:val="16"/>
                <w:szCs w:val="16"/>
              </w:rPr>
              <w:lastRenderedPageBreak/>
              <w:t>2019-09</w:t>
            </w:r>
          </w:p>
        </w:tc>
        <w:tc>
          <w:tcPr>
            <w:tcW w:w="800" w:type="dxa"/>
            <w:shd w:val="solid" w:color="FFFFFF" w:fill="auto"/>
          </w:tcPr>
          <w:p w14:paraId="482FA79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73D4BD5"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35930D83" w14:textId="77777777" w:rsidR="00D40151" w:rsidRPr="00873B6C" w:rsidRDefault="00D40151" w:rsidP="009D14FB">
            <w:pPr>
              <w:pStyle w:val="TAL"/>
              <w:rPr>
                <w:sz w:val="16"/>
                <w:szCs w:val="16"/>
              </w:rPr>
            </w:pPr>
            <w:r w:rsidRPr="00873B6C">
              <w:rPr>
                <w:sz w:val="16"/>
                <w:szCs w:val="16"/>
              </w:rPr>
              <w:t>1624</w:t>
            </w:r>
          </w:p>
        </w:tc>
        <w:tc>
          <w:tcPr>
            <w:tcW w:w="425" w:type="dxa"/>
            <w:shd w:val="solid" w:color="FFFFFF" w:fill="auto"/>
          </w:tcPr>
          <w:p w14:paraId="657A19F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437F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76E9D6" w14:textId="77777777" w:rsidR="00D40151" w:rsidRPr="00873B6C" w:rsidRDefault="00D40151" w:rsidP="009D14FB">
            <w:pPr>
              <w:pStyle w:val="TAL"/>
              <w:rPr>
                <w:sz w:val="16"/>
                <w:szCs w:val="16"/>
              </w:rPr>
            </w:pPr>
            <w:r w:rsidRPr="00873B6C">
              <w:rPr>
                <w:sz w:val="16"/>
                <w:szCs w:val="16"/>
              </w:rPr>
              <w:t>Network Function/NF Service Context</w:t>
            </w:r>
          </w:p>
        </w:tc>
        <w:tc>
          <w:tcPr>
            <w:tcW w:w="708" w:type="dxa"/>
            <w:shd w:val="solid" w:color="FFFFFF" w:fill="auto"/>
          </w:tcPr>
          <w:p w14:paraId="1CF59A2D" w14:textId="77777777" w:rsidR="00D40151" w:rsidRPr="00873B6C" w:rsidRDefault="00D40151" w:rsidP="009D14FB">
            <w:pPr>
              <w:pStyle w:val="TAC"/>
              <w:rPr>
                <w:sz w:val="16"/>
                <w:szCs w:val="16"/>
              </w:rPr>
            </w:pPr>
            <w:r w:rsidRPr="00873B6C">
              <w:rPr>
                <w:sz w:val="16"/>
                <w:szCs w:val="16"/>
              </w:rPr>
              <w:t>16.2.0</w:t>
            </w:r>
          </w:p>
        </w:tc>
      </w:tr>
      <w:tr w:rsidR="00D40151" w:rsidRPr="00873B6C" w14:paraId="6E995435" w14:textId="77777777" w:rsidTr="009D14FB">
        <w:tc>
          <w:tcPr>
            <w:tcW w:w="800" w:type="dxa"/>
            <w:shd w:val="solid" w:color="FFFFFF" w:fill="auto"/>
          </w:tcPr>
          <w:p w14:paraId="49C3E4BD"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B2AFA5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AD34AC7"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56E88657" w14:textId="77777777" w:rsidR="00D40151" w:rsidRPr="00873B6C" w:rsidRDefault="00D40151" w:rsidP="009D14FB">
            <w:pPr>
              <w:pStyle w:val="TAL"/>
              <w:rPr>
                <w:sz w:val="16"/>
                <w:szCs w:val="16"/>
              </w:rPr>
            </w:pPr>
            <w:r w:rsidRPr="00873B6C">
              <w:rPr>
                <w:sz w:val="16"/>
                <w:szCs w:val="16"/>
              </w:rPr>
              <w:t>1632</w:t>
            </w:r>
          </w:p>
        </w:tc>
        <w:tc>
          <w:tcPr>
            <w:tcW w:w="425" w:type="dxa"/>
            <w:shd w:val="solid" w:color="FFFFFF" w:fill="auto"/>
          </w:tcPr>
          <w:p w14:paraId="31768D7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C1E3A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C7FD2E" w14:textId="77777777" w:rsidR="00D40151" w:rsidRPr="00873B6C" w:rsidRDefault="00D40151" w:rsidP="009D14FB">
            <w:pPr>
              <w:pStyle w:val="TAL"/>
              <w:rPr>
                <w:sz w:val="16"/>
                <w:szCs w:val="16"/>
              </w:rPr>
            </w:pPr>
            <w:r w:rsidRPr="00873B6C">
              <w:rPr>
                <w:sz w:val="16"/>
                <w:szCs w:val="16"/>
              </w:rPr>
              <w:t>Clarification on strictly periodic timer in relation to MICO mode.</w:t>
            </w:r>
          </w:p>
        </w:tc>
        <w:tc>
          <w:tcPr>
            <w:tcW w:w="708" w:type="dxa"/>
            <w:shd w:val="solid" w:color="FFFFFF" w:fill="auto"/>
          </w:tcPr>
          <w:p w14:paraId="79488814" w14:textId="77777777" w:rsidR="00D40151" w:rsidRPr="00873B6C" w:rsidRDefault="00D40151" w:rsidP="009D14FB">
            <w:pPr>
              <w:pStyle w:val="TAC"/>
              <w:rPr>
                <w:sz w:val="16"/>
                <w:szCs w:val="16"/>
              </w:rPr>
            </w:pPr>
            <w:r w:rsidRPr="00873B6C">
              <w:rPr>
                <w:sz w:val="16"/>
                <w:szCs w:val="16"/>
              </w:rPr>
              <w:t>16.2.0</w:t>
            </w:r>
          </w:p>
        </w:tc>
      </w:tr>
      <w:tr w:rsidR="00D40151" w:rsidRPr="00873B6C" w14:paraId="04BE4C9D" w14:textId="77777777" w:rsidTr="009D14FB">
        <w:tc>
          <w:tcPr>
            <w:tcW w:w="800" w:type="dxa"/>
            <w:shd w:val="solid" w:color="FFFFFF" w:fill="auto"/>
          </w:tcPr>
          <w:p w14:paraId="0B4079A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387D402"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CDD307C"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5C99E421" w14:textId="77777777" w:rsidR="00D40151" w:rsidRPr="00873B6C" w:rsidRDefault="00D40151" w:rsidP="009D14FB">
            <w:pPr>
              <w:pStyle w:val="TAL"/>
              <w:rPr>
                <w:sz w:val="16"/>
                <w:szCs w:val="16"/>
              </w:rPr>
            </w:pPr>
            <w:r w:rsidRPr="00873B6C">
              <w:rPr>
                <w:sz w:val="16"/>
                <w:szCs w:val="16"/>
              </w:rPr>
              <w:t>1636</w:t>
            </w:r>
          </w:p>
        </w:tc>
        <w:tc>
          <w:tcPr>
            <w:tcW w:w="425" w:type="dxa"/>
            <w:shd w:val="solid" w:color="FFFFFF" w:fill="auto"/>
          </w:tcPr>
          <w:p w14:paraId="16D1B31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5D0187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46DC3B" w14:textId="77777777" w:rsidR="00D40151" w:rsidRPr="00873B6C" w:rsidRDefault="00D40151" w:rsidP="009D14FB">
            <w:pPr>
              <w:pStyle w:val="TAL"/>
              <w:rPr>
                <w:sz w:val="16"/>
                <w:szCs w:val="16"/>
              </w:rPr>
            </w:pPr>
            <w:r w:rsidRPr="00873B6C">
              <w:rPr>
                <w:sz w:val="16"/>
                <w:szCs w:val="16"/>
              </w:rPr>
              <w:t>Mandatory support of ATSSS-LL for PDU Sessions of type Ethernet</w:t>
            </w:r>
          </w:p>
        </w:tc>
        <w:tc>
          <w:tcPr>
            <w:tcW w:w="708" w:type="dxa"/>
            <w:shd w:val="solid" w:color="FFFFFF" w:fill="auto"/>
          </w:tcPr>
          <w:p w14:paraId="087B7EDB" w14:textId="77777777" w:rsidR="00D40151" w:rsidRPr="00873B6C" w:rsidRDefault="00D40151" w:rsidP="009D14FB">
            <w:pPr>
              <w:pStyle w:val="TAC"/>
              <w:rPr>
                <w:sz w:val="16"/>
                <w:szCs w:val="16"/>
              </w:rPr>
            </w:pPr>
            <w:r w:rsidRPr="00873B6C">
              <w:rPr>
                <w:sz w:val="16"/>
                <w:szCs w:val="16"/>
              </w:rPr>
              <w:t>16.2.0</w:t>
            </w:r>
          </w:p>
        </w:tc>
      </w:tr>
      <w:tr w:rsidR="00D40151" w:rsidRPr="00873B6C" w14:paraId="6DC3F5EC" w14:textId="77777777" w:rsidTr="009D14FB">
        <w:tc>
          <w:tcPr>
            <w:tcW w:w="800" w:type="dxa"/>
            <w:shd w:val="solid" w:color="FFFFFF" w:fill="auto"/>
          </w:tcPr>
          <w:p w14:paraId="138DC73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120CBA5"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2314F09"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58B1DACB" w14:textId="77777777" w:rsidR="00D40151" w:rsidRPr="00873B6C" w:rsidRDefault="00D40151" w:rsidP="009D14FB">
            <w:pPr>
              <w:pStyle w:val="TAL"/>
              <w:rPr>
                <w:sz w:val="16"/>
                <w:szCs w:val="16"/>
              </w:rPr>
            </w:pPr>
            <w:r w:rsidRPr="00873B6C">
              <w:rPr>
                <w:sz w:val="16"/>
                <w:szCs w:val="16"/>
              </w:rPr>
              <w:t>1637</w:t>
            </w:r>
          </w:p>
        </w:tc>
        <w:tc>
          <w:tcPr>
            <w:tcW w:w="425" w:type="dxa"/>
            <w:shd w:val="solid" w:color="FFFFFF" w:fill="auto"/>
          </w:tcPr>
          <w:p w14:paraId="3A23855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FC06F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7D4B88" w14:textId="77777777" w:rsidR="00D40151" w:rsidRPr="00873B6C" w:rsidRDefault="00D40151" w:rsidP="009D14FB">
            <w:pPr>
              <w:pStyle w:val="TAL"/>
              <w:rPr>
                <w:sz w:val="16"/>
                <w:szCs w:val="16"/>
              </w:rPr>
            </w:pPr>
            <w:r w:rsidRPr="00873B6C">
              <w:rPr>
                <w:sz w:val="16"/>
                <w:szCs w:val="16"/>
              </w:rPr>
              <w:t>Update of 5G LAN-type service feature description</w:t>
            </w:r>
          </w:p>
        </w:tc>
        <w:tc>
          <w:tcPr>
            <w:tcW w:w="708" w:type="dxa"/>
            <w:shd w:val="solid" w:color="FFFFFF" w:fill="auto"/>
          </w:tcPr>
          <w:p w14:paraId="25C766EA" w14:textId="77777777" w:rsidR="00D40151" w:rsidRPr="00873B6C" w:rsidRDefault="00D40151" w:rsidP="009D14FB">
            <w:pPr>
              <w:pStyle w:val="TAC"/>
              <w:rPr>
                <w:sz w:val="16"/>
                <w:szCs w:val="16"/>
              </w:rPr>
            </w:pPr>
            <w:r w:rsidRPr="00873B6C">
              <w:rPr>
                <w:sz w:val="16"/>
                <w:szCs w:val="16"/>
              </w:rPr>
              <w:t>16.2.0</w:t>
            </w:r>
          </w:p>
        </w:tc>
      </w:tr>
      <w:tr w:rsidR="00D40151" w:rsidRPr="00873B6C" w14:paraId="1C363504" w14:textId="77777777" w:rsidTr="009D14FB">
        <w:tc>
          <w:tcPr>
            <w:tcW w:w="800" w:type="dxa"/>
            <w:shd w:val="solid" w:color="FFFFFF" w:fill="auto"/>
          </w:tcPr>
          <w:p w14:paraId="11BE538D"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D98029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BA847CD"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61D7615B" w14:textId="77777777" w:rsidR="00D40151" w:rsidRPr="00873B6C" w:rsidRDefault="00D40151" w:rsidP="009D14FB">
            <w:pPr>
              <w:pStyle w:val="TAL"/>
              <w:rPr>
                <w:sz w:val="16"/>
                <w:szCs w:val="16"/>
              </w:rPr>
            </w:pPr>
            <w:r w:rsidRPr="00873B6C">
              <w:rPr>
                <w:sz w:val="16"/>
                <w:szCs w:val="16"/>
              </w:rPr>
              <w:t>1643</w:t>
            </w:r>
          </w:p>
        </w:tc>
        <w:tc>
          <w:tcPr>
            <w:tcW w:w="425" w:type="dxa"/>
            <w:shd w:val="solid" w:color="FFFFFF" w:fill="auto"/>
          </w:tcPr>
          <w:p w14:paraId="1EBED0C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95B36C9"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B51791C" w14:textId="77777777" w:rsidR="00D40151" w:rsidRPr="00873B6C" w:rsidRDefault="00D40151" w:rsidP="009D14FB">
            <w:pPr>
              <w:pStyle w:val="TAL"/>
              <w:rPr>
                <w:sz w:val="16"/>
                <w:szCs w:val="16"/>
              </w:rPr>
            </w:pPr>
            <w:r w:rsidRPr="00873B6C">
              <w:rPr>
                <w:sz w:val="16"/>
                <w:szCs w:val="16"/>
              </w:rPr>
              <w:t>Clarifications on URLLC support</w:t>
            </w:r>
          </w:p>
        </w:tc>
        <w:tc>
          <w:tcPr>
            <w:tcW w:w="708" w:type="dxa"/>
            <w:shd w:val="solid" w:color="FFFFFF" w:fill="auto"/>
          </w:tcPr>
          <w:p w14:paraId="5FA01AEF" w14:textId="77777777" w:rsidR="00D40151" w:rsidRPr="00873B6C" w:rsidRDefault="00D40151" w:rsidP="009D14FB">
            <w:pPr>
              <w:pStyle w:val="TAC"/>
              <w:rPr>
                <w:sz w:val="16"/>
                <w:szCs w:val="16"/>
              </w:rPr>
            </w:pPr>
            <w:r w:rsidRPr="00873B6C">
              <w:rPr>
                <w:sz w:val="16"/>
                <w:szCs w:val="16"/>
              </w:rPr>
              <w:t>16.2.0</w:t>
            </w:r>
          </w:p>
        </w:tc>
      </w:tr>
      <w:tr w:rsidR="00D40151" w:rsidRPr="00873B6C" w14:paraId="3067F132" w14:textId="77777777" w:rsidTr="009D14FB">
        <w:tc>
          <w:tcPr>
            <w:tcW w:w="800" w:type="dxa"/>
            <w:shd w:val="solid" w:color="FFFFFF" w:fill="auto"/>
          </w:tcPr>
          <w:p w14:paraId="669CAD6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3B4FED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1A06CD1"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327B8669" w14:textId="77777777" w:rsidR="00D40151" w:rsidRPr="00873B6C" w:rsidRDefault="00D40151" w:rsidP="009D14FB">
            <w:pPr>
              <w:pStyle w:val="TAL"/>
              <w:rPr>
                <w:sz w:val="16"/>
                <w:szCs w:val="16"/>
              </w:rPr>
            </w:pPr>
            <w:r w:rsidRPr="00873B6C">
              <w:rPr>
                <w:sz w:val="16"/>
                <w:szCs w:val="16"/>
              </w:rPr>
              <w:t>1644</w:t>
            </w:r>
          </w:p>
        </w:tc>
        <w:tc>
          <w:tcPr>
            <w:tcW w:w="425" w:type="dxa"/>
            <w:shd w:val="solid" w:color="FFFFFF" w:fill="auto"/>
          </w:tcPr>
          <w:p w14:paraId="47E046F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0FE70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1F855C" w14:textId="77777777" w:rsidR="00D40151" w:rsidRPr="00873B6C" w:rsidRDefault="00D40151" w:rsidP="009D14FB">
            <w:pPr>
              <w:pStyle w:val="TAL"/>
              <w:rPr>
                <w:sz w:val="16"/>
                <w:szCs w:val="16"/>
              </w:rPr>
            </w:pPr>
            <w:r w:rsidRPr="00873B6C">
              <w:rPr>
                <w:sz w:val="16"/>
                <w:szCs w:val="16"/>
              </w:rPr>
              <w:t>Clarification and correction to AF response</w:t>
            </w:r>
          </w:p>
        </w:tc>
        <w:tc>
          <w:tcPr>
            <w:tcW w:w="708" w:type="dxa"/>
            <w:shd w:val="solid" w:color="FFFFFF" w:fill="auto"/>
          </w:tcPr>
          <w:p w14:paraId="4F4BF7A2" w14:textId="77777777" w:rsidR="00D40151" w:rsidRPr="00873B6C" w:rsidRDefault="00D40151" w:rsidP="009D14FB">
            <w:pPr>
              <w:pStyle w:val="TAC"/>
              <w:rPr>
                <w:sz w:val="16"/>
                <w:szCs w:val="16"/>
              </w:rPr>
            </w:pPr>
            <w:r w:rsidRPr="00873B6C">
              <w:rPr>
                <w:sz w:val="16"/>
                <w:szCs w:val="16"/>
              </w:rPr>
              <w:t>16.2.0</w:t>
            </w:r>
          </w:p>
        </w:tc>
      </w:tr>
      <w:tr w:rsidR="00D40151" w:rsidRPr="00873B6C" w14:paraId="5A4F7D27" w14:textId="77777777" w:rsidTr="009D14FB">
        <w:tc>
          <w:tcPr>
            <w:tcW w:w="800" w:type="dxa"/>
            <w:shd w:val="solid" w:color="FFFFFF" w:fill="auto"/>
          </w:tcPr>
          <w:p w14:paraId="1E9CE1D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3916E79"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D47B83F"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4374541B" w14:textId="77777777" w:rsidR="00D40151" w:rsidRPr="00873B6C" w:rsidRDefault="00D40151" w:rsidP="009D14FB">
            <w:pPr>
              <w:pStyle w:val="TAL"/>
              <w:rPr>
                <w:sz w:val="16"/>
                <w:szCs w:val="16"/>
              </w:rPr>
            </w:pPr>
            <w:r w:rsidRPr="00873B6C">
              <w:rPr>
                <w:sz w:val="16"/>
                <w:szCs w:val="16"/>
              </w:rPr>
              <w:t>1646</w:t>
            </w:r>
          </w:p>
        </w:tc>
        <w:tc>
          <w:tcPr>
            <w:tcW w:w="425" w:type="dxa"/>
            <w:shd w:val="solid" w:color="FFFFFF" w:fill="auto"/>
          </w:tcPr>
          <w:p w14:paraId="60CB562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3B5789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E082A4" w14:textId="77777777" w:rsidR="00D40151" w:rsidRPr="00873B6C" w:rsidRDefault="00D40151" w:rsidP="009D14FB">
            <w:pPr>
              <w:pStyle w:val="TAL"/>
              <w:rPr>
                <w:sz w:val="16"/>
                <w:szCs w:val="16"/>
              </w:rPr>
            </w:pPr>
            <w:r w:rsidRPr="00873B6C">
              <w:rPr>
                <w:sz w:val="16"/>
                <w:szCs w:val="16"/>
              </w:rPr>
              <w:t>MA PDU IP Address/Prefix Handling in UPF</w:t>
            </w:r>
          </w:p>
        </w:tc>
        <w:tc>
          <w:tcPr>
            <w:tcW w:w="708" w:type="dxa"/>
            <w:shd w:val="solid" w:color="FFFFFF" w:fill="auto"/>
          </w:tcPr>
          <w:p w14:paraId="27008733" w14:textId="77777777" w:rsidR="00D40151" w:rsidRPr="00873B6C" w:rsidRDefault="00D40151" w:rsidP="009D14FB">
            <w:pPr>
              <w:pStyle w:val="TAC"/>
              <w:rPr>
                <w:sz w:val="16"/>
                <w:szCs w:val="16"/>
              </w:rPr>
            </w:pPr>
            <w:r w:rsidRPr="00873B6C">
              <w:rPr>
                <w:sz w:val="16"/>
                <w:szCs w:val="16"/>
              </w:rPr>
              <w:t>16.2.0</w:t>
            </w:r>
          </w:p>
        </w:tc>
      </w:tr>
      <w:tr w:rsidR="00D40151" w:rsidRPr="00873B6C" w14:paraId="071B0616" w14:textId="77777777" w:rsidTr="009D14FB">
        <w:tc>
          <w:tcPr>
            <w:tcW w:w="800" w:type="dxa"/>
            <w:shd w:val="solid" w:color="FFFFFF" w:fill="auto"/>
          </w:tcPr>
          <w:p w14:paraId="368121E7"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2FE618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3EF4963"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4DDF254B" w14:textId="77777777" w:rsidR="00D40151" w:rsidRPr="00873B6C" w:rsidRDefault="00D40151" w:rsidP="009D14FB">
            <w:pPr>
              <w:pStyle w:val="TAL"/>
              <w:rPr>
                <w:sz w:val="16"/>
                <w:szCs w:val="16"/>
              </w:rPr>
            </w:pPr>
            <w:r w:rsidRPr="00873B6C">
              <w:rPr>
                <w:sz w:val="16"/>
                <w:szCs w:val="16"/>
              </w:rPr>
              <w:t>1647</w:t>
            </w:r>
          </w:p>
        </w:tc>
        <w:tc>
          <w:tcPr>
            <w:tcW w:w="425" w:type="dxa"/>
            <w:shd w:val="solid" w:color="FFFFFF" w:fill="auto"/>
          </w:tcPr>
          <w:p w14:paraId="04A68F4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D379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FDF59A7" w14:textId="77777777" w:rsidR="00D40151" w:rsidRPr="00873B6C" w:rsidRDefault="00D40151" w:rsidP="009D14FB">
            <w:pPr>
              <w:pStyle w:val="TAL"/>
              <w:rPr>
                <w:sz w:val="16"/>
                <w:szCs w:val="16"/>
              </w:rPr>
            </w:pPr>
            <w:r w:rsidRPr="00873B6C">
              <w:rPr>
                <w:sz w:val="16"/>
                <w:szCs w:val="16"/>
              </w:rPr>
              <w:t>Use of NW instance for N19 interface</w:t>
            </w:r>
          </w:p>
        </w:tc>
        <w:tc>
          <w:tcPr>
            <w:tcW w:w="708" w:type="dxa"/>
            <w:shd w:val="solid" w:color="FFFFFF" w:fill="auto"/>
          </w:tcPr>
          <w:p w14:paraId="767F277E" w14:textId="77777777" w:rsidR="00D40151" w:rsidRPr="00873B6C" w:rsidRDefault="00D40151" w:rsidP="009D14FB">
            <w:pPr>
              <w:pStyle w:val="TAC"/>
              <w:rPr>
                <w:sz w:val="16"/>
                <w:szCs w:val="16"/>
              </w:rPr>
            </w:pPr>
            <w:r w:rsidRPr="00873B6C">
              <w:rPr>
                <w:sz w:val="16"/>
                <w:szCs w:val="16"/>
              </w:rPr>
              <w:t>16.2.0</w:t>
            </w:r>
          </w:p>
        </w:tc>
      </w:tr>
      <w:tr w:rsidR="00D40151" w:rsidRPr="00873B6C" w14:paraId="62F1D502" w14:textId="77777777" w:rsidTr="009D14FB">
        <w:tc>
          <w:tcPr>
            <w:tcW w:w="800" w:type="dxa"/>
            <w:shd w:val="solid" w:color="FFFFFF" w:fill="auto"/>
          </w:tcPr>
          <w:p w14:paraId="32C53077"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1E1211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4BF63B8" w14:textId="77777777" w:rsidR="00D40151" w:rsidRPr="00873B6C" w:rsidRDefault="00D40151" w:rsidP="009D14FB">
            <w:pPr>
              <w:pStyle w:val="TAC"/>
              <w:rPr>
                <w:sz w:val="16"/>
                <w:szCs w:val="16"/>
              </w:rPr>
            </w:pPr>
            <w:r w:rsidRPr="00873B6C">
              <w:rPr>
                <w:sz w:val="16"/>
                <w:szCs w:val="16"/>
              </w:rPr>
              <w:t>SP-190609</w:t>
            </w:r>
          </w:p>
        </w:tc>
        <w:tc>
          <w:tcPr>
            <w:tcW w:w="567" w:type="dxa"/>
            <w:shd w:val="solid" w:color="FFFFFF" w:fill="auto"/>
          </w:tcPr>
          <w:p w14:paraId="7D61670D" w14:textId="77777777" w:rsidR="00D40151" w:rsidRPr="00873B6C" w:rsidRDefault="00D40151" w:rsidP="009D14FB">
            <w:pPr>
              <w:pStyle w:val="TAL"/>
              <w:rPr>
                <w:sz w:val="16"/>
                <w:szCs w:val="16"/>
              </w:rPr>
            </w:pPr>
            <w:r w:rsidRPr="00873B6C">
              <w:rPr>
                <w:sz w:val="16"/>
                <w:szCs w:val="16"/>
              </w:rPr>
              <w:t>1650</w:t>
            </w:r>
          </w:p>
        </w:tc>
        <w:tc>
          <w:tcPr>
            <w:tcW w:w="425" w:type="dxa"/>
            <w:shd w:val="solid" w:color="FFFFFF" w:fill="auto"/>
          </w:tcPr>
          <w:p w14:paraId="1CBB5C6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D5A1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9EDF03" w14:textId="77777777" w:rsidR="00D40151" w:rsidRPr="00873B6C" w:rsidRDefault="00D40151" w:rsidP="009D14FB">
            <w:pPr>
              <w:pStyle w:val="TAL"/>
              <w:rPr>
                <w:sz w:val="16"/>
                <w:szCs w:val="16"/>
              </w:rPr>
            </w:pPr>
            <w:r w:rsidRPr="00873B6C">
              <w:rPr>
                <w:sz w:val="16"/>
                <w:szCs w:val="16"/>
              </w:rPr>
              <w:t>Corrections for devices that do not support 5GC NAS over WLAN access</w:t>
            </w:r>
          </w:p>
        </w:tc>
        <w:tc>
          <w:tcPr>
            <w:tcW w:w="708" w:type="dxa"/>
            <w:shd w:val="solid" w:color="FFFFFF" w:fill="auto"/>
          </w:tcPr>
          <w:p w14:paraId="79DE5F10" w14:textId="77777777" w:rsidR="00D40151" w:rsidRPr="00873B6C" w:rsidRDefault="00D40151" w:rsidP="009D14FB">
            <w:pPr>
              <w:pStyle w:val="TAC"/>
              <w:rPr>
                <w:sz w:val="16"/>
                <w:szCs w:val="16"/>
              </w:rPr>
            </w:pPr>
            <w:r w:rsidRPr="00873B6C">
              <w:rPr>
                <w:sz w:val="16"/>
                <w:szCs w:val="16"/>
              </w:rPr>
              <w:t>16.2.0</w:t>
            </w:r>
          </w:p>
        </w:tc>
      </w:tr>
      <w:tr w:rsidR="00D40151" w:rsidRPr="00873B6C" w14:paraId="5AAEB901" w14:textId="77777777" w:rsidTr="009D14FB">
        <w:tc>
          <w:tcPr>
            <w:tcW w:w="800" w:type="dxa"/>
            <w:shd w:val="solid" w:color="FFFFFF" w:fill="auto"/>
          </w:tcPr>
          <w:p w14:paraId="728592A7"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958043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0A642B1"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5559472F" w14:textId="77777777" w:rsidR="00D40151" w:rsidRPr="00873B6C" w:rsidRDefault="00D40151" w:rsidP="009D14FB">
            <w:pPr>
              <w:pStyle w:val="TAL"/>
              <w:rPr>
                <w:sz w:val="16"/>
                <w:szCs w:val="16"/>
              </w:rPr>
            </w:pPr>
            <w:r w:rsidRPr="00873B6C">
              <w:rPr>
                <w:sz w:val="16"/>
                <w:szCs w:val="16"/>
              </w:rPr>
              <w:t>1652</w:t>
            </w:r>
          </w:p>
        </w:tc>
        <w:tc>
          <w:tcPr>
            <w:tcW w:w="425" w:type="dxa"/>
            <w:shd w:val="solid" w:color="FFFFFF" w:fill="auto"/>
          </w:tcPr>
          <w:p w14:paraId="5D0CA97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9CE40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98DB02" w14:textId="77777777" w:rsidR="00D40151" w:rsidRPr="00873B6C" w:rsidRDefault="00D40151" w:rsidP="009D14FB">
            <w:pPr>
              <w:pStyle w:val="TAL"/>
              <w:rPr>
                <w:sz w:val="16"/>
                <w:szCs w:val="16"/>
              </w:rPr>
            </w:pPr>
            <w:r w:rsidRPr="00873B6C">
              <w:rPr>
                <w:sz w:val="16"/>
                <w:szCs w:val="16"/>
              </w:rPr>
              <w:t>Correction to protocol stacks for RTT measurements</w:t>
            </w:r>
          </w:p>
        </w:tc>
        <w:tc>
          <w:tcPr>
            <w:tcW w:w="708" w:type="dxa"/>
            <w:shd w:val="solid" w:color="FFFFFF" w:fill="auto"/>
          </w:tcPr>
          <w:p w14:paraId="6B1689BB" w14:textId="77777777" w:rsidR="00D40151" w:rsidRPr="00873B6C" w:rsidRDefault="00D40151" w:rsidP="009D14FB">
            <w:pPr>
              <w:pStyle w:val="TAC"/>
              <w:rPr>
                <w:sz w:val="16"/>
                <w:szCs w:val="16"/>
              </w:rPr>
            </w:pPr>
            <w:r w:rsidRPr="00873B6C">
              <w:rPr>
                <w:sz w:val="16"/>
                <w:szCs w:val="16"/>
              </w:rPr>
              <w:t>16.2.0</w:t>
            </w:r>
          </w:p>
        </w:tc>
      </w:tr>
      <w:tr w:rsidR="00D40151" w:rsidRPr="00873B6C" w14:paraId="53B737CA" w14:textId="77777777" w:rsidTr="009D14FB">
        <w:tc>
          <w:tcPr>
            <w:tcW w:w="800" w:type="dxa"/>
            <w:shd w:val="solid" w:color="FFFFFF" w:fill="auto"/>
          </w:tcPr>
          <w:p w14:paraId="7BFC2EC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49AA8B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C46241C"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79E3F42D" w14:textId="77777777" w:rsidR="00D40151" w:rsidRPr="00873B6C" w:rsidRDefault="00D40151" w:rsidP="009D14FB">
            <w:pPr>
              <w:pStyle w:val="TAL"/>
              <w:rPr>
                <w:sz w:val="16"/>
                <w:szCs w:val="16"/>
              </w:rPr>
            </w:pPr>
            <w:r w:rsidRPr="00873B6C">
              <w:rPr>
                <w:sz w:val="16"/>
                <w:szCs w:val="16"/>
              </w:rPr>
              <w:t>1653</w:t>
            </w:r>
          </w:p>
        </w:tc>
        <w:tc>
          <w:tcPr>
            <w:tcW w:w="425" w:type="dxa"/>
            <w:shd w:val="solid" w:color="FFFFFF" w:fill="auto"/>
          </w:tcPr>
          <w:p w14:paraId="391B506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7E8EC4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BCCCE9" w14:textId="77777777" w:rsidR="00D40151" w:rsidRPr="00873B6C" w:rsidRDefault="00D40151" w:rsidP="009D14FB">
            <w:pPr>
              <w:pStyle w:val="TAL"/>
              <w:rPr>
                <w:sz w:val="16"/>
                <w:szCs w:val="16"/>
              </w:rPr>
            </w:pPr>
            <w:r w:rsidRPr="00873B6C">
              <w:rPr>
                <w:sz w:val="16"/>
                <w:szCs w:val="16"/>
              </w:rPr>
              <w:t>Clarification about an MA PDU Session using only MPTCP functionality</w:t>
            </w:r>
          </w:p>
        </w:tc>
        <w:tc>
          <w:tcPr>
            <w:tcW w:w="708" w:type="dxa"/>
            <w:shd w:val="solid" w:color="FFFFFF" w:fill="auto"/>
          </w:tcPr>
          <w:p w14:paraId="7F0DE92C" w14:textId="77777777" w:rsidR="00D40151" w:rsidRPr="00873B6C" w:rsidRDefault="00D40151" w:rsidP="009D14FB">
            <w:pPr>
              <w:pStyle w:val="TAC"/>
              <w:rPr>
                <w:sz w:val="16"/>
                <w:szCs w:val="16"/>
              </w:rPr>
            </w:pPr>
            <w:r w:rsidRPr="00873B6C">
              <w:rPr>
                <w:sz w:val="16"/>
                <w:szCs w:val="16"/>
              </w:rPr>
              <w:t>16.2.0</w:t>
            </w:r>
          </w:p>
        </w:tc>
      </w:tr>
      <w:tr w:rsidR="00D40151" w:rsidRPr="00873B6C" w14:paraId="5AED5BA9" w14:textId="77777777" w:rsidTr="009D14FB">
        <w:tc>
          <w:tcPr>
            <w:tcW w:w="800" w:type="dxa"/>
            <w:shd w:val="solid" w:color="FFFFFF" w:fill="auto"/>
          </w:tcPr>
          <w:p w14:paraId="36E4357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BE51F4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FEEC8D4"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169B5099" w14:textId="77777777" w:rsidR="00D40151" w:rsidRPr="00873B6C" w:rsidRDefault="00D40151" w:rsidP="009D14FB">
            <w:pPr>
              <w:pStyle w:val="TAL"/>
              <w:rPr>
                <w:sz w:val="16"/>
                <w:szCs w:val="16"/>
              </w:rPr>
            </w:pPr>
            <w:r w:rsidRPr="00873B6C">
              <w:rPr>
                <w:sz w:val="16"/>
                <w:szCs w:val="16"/>
              </w:rPr>
              <w:t>1659</w:t>
            </w:r>
          </w:p>
        </w:tc>
        <w:tc>
          <w:tcPr>
            <w:tcW w:w="425" w:type="dxa"/>
            <w:shd w:val="solid" w:color="FFFFFF" w:fill="auto"/>
          </w:tcPr>
          <w:p w14:paraId="5F6FC06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35A39C"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DD2703C" w14:textId="77777777" w:rsidR="00D40151" w:rsidRPr="00873B6C" w:rsidRDefault="00D40151" w:rsidP="009D14FB">
            <w:pPr>
              <w:pStyle w:val="TAL"/>
              <w:rPr>
                <w:sz w:val="16"/>
                <w:szCs w:val="16"/>
              </w:rPr>
            </w:pPr>
            <w:r w:rsidRPr="00873B6C">
              <w:rPr>
                <w:sz w:val="16"/>
                <w:szCs w:val="16"/>
              </w:rPr>
              <w:t>Support of forwarding of broadcast and multicast packets</w:t>
            </w:r>
          </w:p>
        </w:tc>
        <w:tc>
          <w:tcPr>
            <w:tcW w:w="708" w:type="dxa"/>
            <w:shd w:val="solid" w:color="FFFFFF" w:fill="auto"/>
          </w:tcPr>
          <w:p w14:paraId="3D28A276" w14:textId="77777777" w:rsidR="00D40151" w:rsidRPr="00873B6C" w:rsidRDefault="00D40151" w:rsidP="009D14FB">
            <w:pPr>
              <w:pStyle w:val="TAC"/>
              <w:rPr>
                <w:sz w:val="16"/>
                <w:szCs w:val="16"/>
              </w:rPr>
            </w:pPr>
            <w:r w:rsidRPr="00873B6C">
              <w:rPr>
                <w:sz w:val="16"/>
                <w:szCs w:val="16"/>
              </w:rPr>
              <w:t>16.2.0</w:t>
            </w:r>
          </w:p>
        </w:tc>
      </w:tr>
      <w:tr w:rsidR="00D40151" w:rsidRPr="00873B6C" w14:paraId="6E74EA5D" w14:textId="77777777" w:rsidTr="009D14FB">
        <w:tc>
          <w:tcPr>
            <w:tcW w:w="800" w:type="dxa"/>
            <w:shd w:val="solid" w:color="FFFFFF" w:fill="auto"/>
          </w:tcPr>
          <w:p w14:paraId="5EE2579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C46CC44"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3171E14"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18E9A2C9" w14:textId="77777777" w:rsidR="00D40151" w:rsidRPr="00873B6C" w:rsidRDefault="00D40151" w:rsidP="009D14FB">
            <w:pPr>
              <w:pStyle w:val="TAL"/>
              <w:rPr>
                <w:sz w:val="16"/>
                <w:szCs w:val="16"/>
              </w:rPr>
            </w:pPr>
            <w:r w:rsidRPr="00873B6C">
              <w:rPr>
                <w:sz w:val="16"/>
                <w:szCs w:val="16"/>
              </w:rPr>
              <w:t>1660</w:t>
            </w:r>
          </w:p>
        </w:tc>
        <w:tc>
          <w:tcPr>
            <w:tcW w:w="425" w:type="dxa"/>
            <w:shd w:val="solid" w:color="FFFFFF" w:fill="auto"/>
          </w:tcPr>
          <w:p w14:paraId="5616B15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F9F2D67"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89DA27B" w14:textId="77777777" w:rsidR="00D40151" w:rsidRPr="00873B6C" w:rsidRDefault="00D40151" w:rsidP="009D14FB">
            <w:pPr>
              <w:pStyle w:val="TAL"/>
              <w:rPr>
                <w:sz w:val="16"/>
                <w:szCs w:val="16"/>
              </w:rPr>
            </w:pPr>
            <w:r w:rsidRPr="00873B6C">
              <w:rPr>
                <w:sz w:val="16"/>
                <w:szCs w:val="16"/>
              </w:rPr>
              <w:t>Address editor's notes for TSN</w:t>
            </w:r>
          </w:p>
        </w:tc>
        <w:tc>
          <w:tcPr>
            <w:tcW w:w="708" w:type="dxa"/>
            <w:shd w:val="solid" w:color="FFFFFF" w:fill="auto"/>
          </w:tcPr>
          <w:p w14:paraId="326F2F43" w14:textId="77777777" w:rsidR="00D40151" w:rsidRPr="00873B6C" w:rsidRDefault="00D40151" w:rsidP="009D14FB">
            <w:pPr>
              <w:pStyle w:val="TAC"/>
              <w:rPr>
                <w:sz w:val="16"/>
                <w:szCs w:val="16"/>
              </w:rPr>
            </w:pPr>
            <w:r w:rsidRPr="00873B6C">
              <w:rPr>
                <w:sz w:val="16"/>
                <w:szCs w:val="16"/>
              </w:rPr>
              <w:t>16.2.0</w:t>
            </w:r>
          </w:p>
        </w:tc>
      </w:tr>
      <w:tr w:rsidR="00D40151" w:rsidRPr="00873B6C" w14:paraId="26B66DC4" w14:textId="77777777" w:rsidTr="009D14FB">
        <w:tc>
          <w:tcPr>
            <w:tcW w:w="800" w:type="dxa"/>
            <w:shd w:val="solid" w:color="FFFFFF" w:fill="auto"/>
          </w:tcPr>
          <w:p w14:paraId="164FE78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270DAC4"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E854CB3"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2ADC2B0C" w14:textId="77777777" w:rsidR="00D40151" w:rsidRPr="00873B6C" w:rsidRDefault="00D40151" w:rsidP="009D14FB">
            <w:pPr>
              <w:pStyle w:val="TAL"/>
              <w:rPr>
                <w:sz w:val="16"/>
                <w:szCs w:val="16"/>
              </w:rPr>
            </w:pPr>
            <w:r w:rsidRPr="00873B6C">
              <w:rPr>
                <w:sz w:val="16"/>
                <w:szCs w:val="16"/>
              </w:rPr>
              <w:t>1664</w:t>
            </w:r>
          </w:p>
        </w:tc>
        <w:tc>
          <w:tcPr>
            <w:tcW w:w="425" w:type="dxa"/>
            <w:shd w:val="solid" w:color="FFFFFF" w:fill="auto"/>
          </w:tcPr>
          <w:p w14:paraId="5B6C31C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0BF08B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BD673D" w14:textId="77777777" w:rsidR="00D40151" w:rsidRPr="00873B6C" w:rsidRDefault="00D40151" w:rsidP="009D14FB">
            <w:pPr>
              <w:pStyle w:val="TAL"/>
              <w:rPr>
                <w:sz w:val="16"/>
                <w:szCs w:val="16"/>
              </w:rPr>
            </w:pPr>
            <w:r w:rsidRPr="00873B6C">
              <w:rPr>
                <w:sz w:val="16"/>
                <w:szCs w:val="16"/>
              </w:rPr>
              <w:t>eSBA SMF and PCF selection-option 2</w:t>
            </w:r>
          </w:p>
        </w:tc>
        <w:tc>
          <w:tcPr>
            <w:tcW w:w="708" w:type="dxa"/>
            <w:shd w:val="solid" w:color="FFFFFF" w:fill="auto"/>
          </w:tcPr>
          <w:p w14:paraId="4C2E4914" w14:textId="77777777" w:rsidR="00D40151" w:rsidRPr="00873B6C" w:rsidRDefault="00D40151" w:rsidP="009D14FB">
            <w:pPr>
              <w:pStyle w:val="TAC"/>
              <w:rPr>
                <w:sz w:val="16"/>
                <w:szCs w:val="16"/>
              </w:rPr>
            </w:pPr>
            <w:r w:rsidRPr="00873B6C">
              <w:rPr>
                <w:sz w:val="16"/>
                <w:szCs w:val="16"/>
              </w:rPr>
              <w:t>16.2.0</w:t>
            </w:r>
          </w:p>
        </w:tc>
      </w:tr>
      <w:tr w:rsidR="00D40151" w:rsidRPr="00873B6C" w14:paraId="45E53F38" w14:textId="77777777" w:rsidTr="009D14FB">
        <w:tc>
          <w:tcPr>
            <w:tcW w:w="800" w:type="dxa"/>
            <w:shd w:val="solid" w:color="FFFFFF" w:fill="auto"/>
          </w:tcPr>
          <w:p w14:paraId="3F9DC874"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31FD239"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6D0A482"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5D43D3DC" w14:textId="77777777" w:rsidR="00D40151" w:rsidRPr="00873B6C" w:rsidRDefault="00D40151" w:rsidP="009D14FB">
            <w:pPr>
              <w:pStyle w:val="TAL"/>
              <w:rPr>
                <w:sz w:val="16"/>
                <w:szCs w:val="16"/>
              </w:rPr>
            </w:pPr>
            <w:r w:rsidRPr="00873B6C">
              <w:rPr>
                <w:sz w:val="16"/>
                <w:szCs w:val="16"/>
              </w:rPr>
              <w:t>1665</w:t>
            </w:r>
          </w:p>
        </w:tc>
        <w:tc>
          <w:tcPr>
            <w:tcW w:w="425" w:type="dxa"/>
            <w:shd w:val="solid" w:color="FFFFFF" w:fill="auto"/>
          </w:tcPr>
          <w:p w14:paraId="0E23877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1009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3C678C" w14:textId="77777777" w:rsidR="00D40151" w:rsidRPr="00873B6C" w:rsidRDefault="00D40151" w:rsidP="009D14FB">
            <w:pPr>
              <w:pStyle w:val="TAL"/>
              <w:rPr>
                <w:sz w:val="16"/>
                <w:szCs w:val="16"/>
              </w:rPr>
            </w:pPr>
            <w:r w:rsidRPr="00873B6C">
              <w:rPr>
                <w:sz w:val="16"/>
                <w:szCs w:val="16"/>
              </w:rPr>
              <w:t>Clarification on Preferred Network Behaviour for CIoT 5GS Optimisations</w:t>
            </w:r>
          </w:p>
        </w:tc>
        <w:tc>
          <w:tcPr>
            <w:tcW w:w="708" w:type="dxa"/>
            <w:shd w:val="solid" w:color="FFFFFF" w:fill="auto"/>
          </w:tcPr>
          <w:p w14:paraId="065D5728" w14:textId="77777777" w:rsidR="00D40151" w:rsidRPr="00873B6C" w:rsidRDefault="00D40151" w:rsidP="009D14FB">
            <w:pPr>
              <w:pStyle w:val="TAC"/>
              <w:rPr>
                <w:sz w:val="16"/>
                <w:szCs w:val="16"/>
              </w:rPr>
            </w:pPr>
            <w:r w:rsidRPr="00873B6C">
              <w:rPr>
                <w:sz w:val="16"/>
                <w:szCs w:val="16"/>
              </w:rPr>
              <w:t>16.2.0</w:t>
            </w:r>
          </w:p>
        </w:tc>
      </w:tr>
      <w:tr w:rsidR="00D40151" w:rsidRPr="00873B6C" w14:paraId="6638922F" w14:textId="77777777" w:rsidTr="009D14FB">
        <w:tc>
          <w:tcPr>
            <w:tcW w:w="800" w:type="dxa"/>
            <w:shd w:val="solid" w:color="FFFFFF" w:fill="auto"/>
          </w:tcPr>
          <w:p w14:paraId="06B72F3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C9A619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99DA755"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00292F71" w14:textId="77777777" w:rsidR="00D40151" w:rsidRPr="00873B6C" w:rsidRDefault="00D40151" w:rsidP="009D14FB">
            <w:pPr>
              <w:pStyle w:val="TAL"/>
              <w:rPr>
                <w:sz w:val="16"/>
                <w:szCs w:val="16"/>
              </w:rPr>
            </w:pPr>
            <w:r w:rsidRPr="00873B6C">
              <w:rPr>
                <w:sz w:val="16"/>
                <w:szCs w:val="16"/>
              </w:rPr>
              <w:t>1669</w:t>
            </w:r>
          </w:p>
        </w:tc>
        <w:tc>
          <w:tcPr>
            <w:tcW w:w="425" w:type="dxa"/>
            <w:shd w:val="solid" w:color="FFFFFF" w:fill="auto"/>
          </w:tcPr>
          <w:p w14:paraId="470DA11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E911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3EE11B" w14:textId="77777777" w:rsidR="00D40151" w:rsidRPr="00873B6C" w:rsidRDefault="00D40151" w:rsidP="009D14FB">
            <w:pPr>
              <w:pStyle w:val="TAL"/>
              <w:rPr>
                <w:sz w:val="16"/>
                <w:szCs w:val="16"/>
              </w:rPr>
            </w:pPr>
            <w:r w:rsidRPr="00873B6C">
              <w:rPr>
                <w:sz w:val="16"/>
                <w:szCs w:val="16"/>
              </w:rPr>
              <w:t>Removal of eDRX support with RRC_INACTIVE for NB-IoT</w:t>
            </w:r>
          </w:p>
        </w:tc>
        <w:tc>
          <w:tcPr>
            <w:tcW w:w="708" w:type="dxa"/>
            <w:shd w:val="solid" w:color="FFFFFF" w:fill="auto"/>
          </w:tcPr>
          <w:p w14:paraId="5F4E9F0D" w14:textId="77777777" w:rsidR="00D40151" w:rsidRPr="00873B6C" w:rsidRDefault="00D40151" w:rsidP="009D14FB">
            <w:pPr>
              <w:pStyle w:val="TAC"/>
              <w:rPr>
                <w:sz w:val="16"/>
                <w:szCs w:val="16"/>
              </w:rPr>
            </w:pPr>
            <w:r w:rsidRPr="00873B6C">
              <w:rPr>
                <w:sz w:val="16"/>
                <w:szCs w:val="16"/>
              </w:rPr>
              <w:t>16.2.0</w:t>
            </w:r>
          </w:p>
        </w:tc>
      </w:tr>
      <w:tr w:rsidR="00D40151" w:rsidRPr="00873B6C" w14:paraId="7E8332D4" w14:textId="77777777" w:rsidTr="009D14FB">
        <w:tc>
          <w:tcPr>
            <w:tcW w:w="800" w:type="dxa"/>
            <w:shd w:val="solid" w:color="FFFFFF" w:fill="auto"/>
          </w:tcPr>
          <w:p w14:paraId="234CF47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A4B0F1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C8F8083"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7841E52C" w14:textId="77777777" w:rsidR="00D40151" w:rsidRPr="00873B6C" w:rsidRDefault="00D40151" w:rsidP="009D14FB">
            <w:pPr>
              <w:pStyle w:val="TAL"/>
              <w:rPr>
                <w:sz w:val="16"/>
                <w:szCs w:val="16"/>
              </w:rPr>
            </w:pPr>
            <w:r w:rsidRPr="00873B6C">
              <w:rPr>
                <w:sz w:val="16"/>
                <w:szCs w:val="16"/>
              </w:rPr>
              <w:t>1670</w:t>
            </w:r>
          </w:p>
        </w:tc>
        <w:tc>
          <w:tcPr>
            <w:tcW w:w="425" w:type="dxa"/>
            <w:shd w:val="solid" w:color="FFFFFF" w:fill="auto"/>
          </w:tcPr>
          <w:p w14:paraId="1301C30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5A452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08E866" w14:textId="77777777" w:rsidR="00D40151" w:rsidRPr="00873B6C" w:rsidRDefault="00D40151" w:rsidP="009D14FB">
            <w:pPr>
              <w:pStyle w:val="TAL"/>
              <w:rPr>
                <w:sz w:val="16"/>
                <w:szCs w:val="16"/>
              </w:rPr>
            </w:pPr>
            <w:r w:rsidRPr="00873B6C">
              <w:rPr>
                <w:sz w:val="16"/>
                <w:szCs w:val="16"/>
              </w:rPr>
              <w:t>UPF Service Area awareness for keeping UL N3 Tunnel available</w:t>
            </w:r>
          </w:p>
        </w:tc>
        <w:tc>
          <w:tcPr>
            <w:tcW w:w="708" w:type="dxa"/>
            <w:shd w:val="solid" w:color="FFFFFF" w:fill="auto"/>
          </w:tcPr>
          <w:p w14:paraId="0CC862CE" w14:textId="77777777" w:rsidR="00D40151" w:rsidRPr="00873B6C" w:rsidRDefault="00D40151" w:rsidP="009D14FB">
            <w:pPr>
              <w:pStyle w:val="TAC"/>
              <w:rPr>
                <w:sz w:val="16"/>
                <w:szCs w:val="16"/>
              </w:rPr>
            </w:pPr>
            <w:r w:rsidRPr="00873B6C">
              <w:rPr>
                <w:sz w:val="16"/>
                <w:szCs w:val="16"/>
              </w:rPr>
              <w:t>16.2.0</w:t>
            </w:r>
          </w:p>
        </w:tc>
      </w:tr>
      <w:tr w:rsidR="00D40151" w:rsidRPr="00873B6C" w14:paraId="44ACA219" w14:textId="77777777" w:rsidTr="009D14FB">
        <w:tc>
          <w:tcPr>
            <w:tcW w:w="800" w:type="dxa"/>
            <w:shd w:val="solid" w:color="FFFFFF" w:fill="auto"/>
          </w:tcPr>
          <w:p w14:paraId="0A41DF7D"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C27644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E3DBAAD" w14:textId="77777777" w:rsidR="00D40151" w:rsidRPr="00873B6C" w:rsidRDefault="00D40151" w:rsidP="009D14FB">
            <w:pPr>
              <w:pStyle w:val="TAC"/>
              <w:rPr>
                <w:sz w:val="16"/>
                <w:szCs w:val="16"/>
              </w:rPr>
            </w:pPr>
            <w:r w:rsidRPr="00873B6C">
              <w:rPr>
                <w:sz w:val="16"/>
                <w:szCs w:val="16"/>
              </w:rPr>
              <w:t>SP-190612</w:t>
            </w:r>
          </w:p>
        </w:tc>
        <w:tc>
          <w:tcPr>
            <w:tcW w:w="567" w:type="dxa"/>
            <w:shd w:val="solid" w:color="FFFFFF" w:fill="auto"/>
          </w:tcPr>
          <w:p w14:paraId="112F4702" w14:textId="77777777" w:rsidR="00D40151" w:rsidRPr="00873B6C" w:rsidRDefault="00D40151" w:rsidP="009D14FB">
            <w:pPr>
              <w:pStyle w:val="TAL"/>
              <w:rPr>
                <w:sz w:val="16"/>
                <w:szCs w:val="16"/>
              </w:rPr>
            </w:pPr>
            <w:r w:rsidRPr="00873B6C">
              <w:rPr>
                <w:sz w:val="16"/>
                <w:szCs w:val="16"/>
              </w:rPr>
              <w:t>1671</w:t>
            </w:r>
          </w:p>
        </w:tc>
        <w:tc>
          <w:tcPr>
            <w:tcW w:w="425" w:type="dxa"/>
            <w:shd w:val="solid" w:color="FFFFFF" w:fill="auto"/>
          </w:tcPr>
          <w:p w14:paraId="5DC3C82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AE180D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19872F" w14:textId="77777777" w:rsidR="00D40151" w:rsidRPr="00873B6C" w:rsidRDefault="00D40151" w:rsidP="009D14FB">
            <w:pPr>
              <w:pStyle w:val="TAL"/>
              <w:rPr>
                <w:sz w:val="16"/>
                <w:szCs w:val="16"/>
              </w:rPr>
            </w:pPr>
            <w:r w:rsidRPr="00873B6C">
              <w:rPr>
                <w:sz w:val="16"/>
                <w:szCs w:val="16"/>
              </w:rPr>
              <w:t>Correction on data collection from an AF</w:t>
            </w:r>
          </w:p>
        </w:tc>
        <w:tc>
          <w:tcPr>
            <w:tcW w:w="708" w:type="dxa"/>
            <w:shd w:val="solid" w:color="FFFFFF" w:fill="auto"/>
          </w:tcPr>
          <w:p w14:paraId="0663FB4E" w14:textId="77777777" w:rsidR="00D40151" w:rsidRPr="00873B6C" w:rsidRDefault="00D40151" w:rsidP="009D14FB">
            <w:pPr>
              <w:pStyle w:val="TAC"/>
              <w:rPr>
                <w:sz w:val="16"/>
                <w:szCs w:val="16"/>
              </w:rPr>
            </w:pPr>
            <w:r w:rsidRPr="00873B6C">
              <w:rPr>
                <w:sz w:val="16"/>
                <w:szCs w:val="16"/>
              </w:rPr>
              <w:t>16.2.0</w:t>
            </w:r>
          </w:p>
        </w:tc>
      </w:tr>
      <w:tr w:rsidR="00D40151" w:rsidRPr="00873B6C" w14:paraId="69EADF1C" w14:textId="77777777" w:rsidTr="009D14FB">
        <w:tc>
          <w:tcPr>
            <w:tcW w:w="800" w:type="dxa"/>
            <w:shd w:val="solid" w:color="FFFFFF" w:fill="auto"/>
          </w:tcPr>
          <w:p w14:paraId="2DD36CDA"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303C3E2"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27E830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2A7579C9" w14:textId="77777777" w:rsidR="00D40151" w:rsidRPr="00873B6C" w:rsidRDefault="00D40151" w:rsidP="009D14FB">
            <w:pPr>
              <w:pStyle w:val="TAL"/>
              <w:rPr>
                <w:sz w:val="16"/>
                <w:szCs w:val="16"/>
              </w:rPr>
            </w:pPr>
            <w:r w:rsidRPr="00873B6C">
              <w:rPr>
                <w:sz w:val="16"/>
                <w:szCs w:val="16"/>
              </w:rPr>
              <w:t>1675</w:t>
            </w:r>
          </w:p>
        </w:tc>
        <w:tc>
          <w:tcPr>
            <w:tcW w:w="425" w:type="dxa"/>
            <w:shd w:val="solid" w:color="FFFFFF" w:fill="auto"/>
          </w:tcPr>
          <w:p w14:paraId="77CDF07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28F7E1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5E434DB" w14:textId="77777777" w:rsidR="00D40151" w:rsidRPr="00873B6C" w:rsidRDefault="00D40151" w:rsidP="009D14FB">
            <w:pPr>
              <w:pStyle w:val="TAL"/>
              <w:rPr>
                <w:sz w:val="16"/>
                <w:szCs w:val="16"/>
              </w:rPr>
            </w:pPr>
            <w:r w:rsidRPr="00873B6C">
              <w:rPr>
                <w:sz w:val="16"/>
                <w:szCs w:val="16"/>
              </w:rPr>
              <w:t>Modification to the QoS parameters mapping for 5GS Bridge configuration</w:t>
            </w:r>
          </w:p>
        </w:tc>
        <w:tc>
          <w:tcPr>
            <w:tcW w:w="708" w:type="dxa"/>
            <w:shd w:val="solid" w:color="FFFFFF" w:fill="auto"/>
          </w:tcPr>
          <w:p w14:paraId="5ECC97DD" w14:textId="77777777" w:rsidR="00D40151" w:rsidRPr="00873B6C" w:rsidRDefault="00D40151" w:rsidP="009D14FB">
            <w:pPr>
              <w:pStyle w:val="TAC"/>
              <w:rPr>
                <w:sz w:val="16"/>
                <w:szCs w:val="16"/>
              </w:rPr>
            </w:pPr>
            <w:r w:rsidRPr="00873B6C">
              <w:rPr>
                <w:sz w:val="16"/>
                <w:szCs w:val="16"/>
              </w:rPr>
              <w:t>16.2.0</w:t>
            </w:r>
          </w:p>
        </w:tc>
      </w:tr>
      <w:tr w:rsidR="00D40151" w:rsidRPr="00873B6C" w14:paraId="10FE11CD" w14:textId="77777777" w:rsidTr="009D14FB">
        <w:tc>
          <w:tcPr>
            <w:tcW w:w="800" w:type="dxa"/>
            <w:shd w:val="solid" w:color="FFFFFF" w:fill="auto"/>
          </w:tcPr>
          <w:p w14:paraId="727E2F9A"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DF51F8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FC67BBD" w14:textId="77777777" w:rsidR="00D40151" w:rsidRPr="00873B6C" w:rsidRDefault="00D40151" w:rsidP="009D14FB">
            <w:pPr>
              <w:pStyle w:val="TAC"/>
              <w:rPr>
                <w:sz w:val="16"/>
                <w:szCs w:val="16"/>
              </w:rPr>
            </w:pPr>
            <w:r w:rsidRPr="00873B6C">
              <w:rPr>
                <w:sz w:val="16"/>
                <w:szCs w:val="16"/>
              </w:rPr>
              <w:t>SP-190612</w:t>
            </w:r>
          </w:p>
        </w:tc>
        <w:tc>
          <w:tcPr>
            <w:tcW w:w="567" w:type="dxa"/>
            <w:shd w:val="solid" w:color="FFFFFF" w:fill="auto"/>
          </w:tcPr>
          <w:p w14:paraId="2C8606CF" w14:textId="77777777" w:rsidR="00D40151" w:rsidRPr="00873B6C" w:rsidRDefault="00D40151" w:rsidP="009D14FB">
            <w:pPr>
              <w:pStyle w:val="TAL"/>
              <w:rPr>
                <w:sz w:val="16"/>
                <w:szCs w:val="16"/>
              </w:rPr>
            </w:pPr>
            <w:r w:rsidRPr="00873B6C">
              <w:rPr>
                <w:sz w:val="16"/>
                <w:szCs w:val="16"/>
              </w:rPr>
              <w:t>1677</w:t>
            </w:r>
          </w:p>
        </w:tc>
        <w:tc>
          <w:tcPr>
            <w:tcW w:w="425" w:type="dxa"/>
            <w:shd w:val="solid" w:color="FFFFFF" w:fill="auto"/>
          </w:tcPr>
          <w:p w14:paraId="2CC0047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7959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5A0431" w14:textId="77777777" w:rsidR="00D40151" w:rsidRPr="00873B6C" w:rsidRDefault="00D40151" w:rsidP="009D14FB">
            <w:pPr>
              <w:pStyle w:val="TAL"/>
              <w:rPr>
                <w:sz w:val="16"/>
                <w:szCs w:val="16"/>
              </w:rPr>
            </w:pPr>
            <w:r w:rsidRPr="00873B6C">
              <w:rPr>
                <w:sz w:val="16"/>
                <w:szCs w:val="16"/>
              </w:rPr>
              <w:t>Updating the stored information in NRF to support BSF discovery</w:t>
            </w:r>
          </w:p>
        </w:tc>
        <w:tc>
          <w:tcPr>
            <w:tcW w:w="708" w:type="dxa"/>
            <w:shd w:val="solid" w:color="FFFFFF" w:fill="auto"/>
          </w:tcPr>
          <w:p w14:paraId="7F5F95AD" w14:textId="77777777" w:rsidR="00D40151" w:rsidRPr="00873B6C" w:rsidRDefault="00D40151" w:rsidP="009D14FB">
            <w:pPr>
              <w:pStyle w:val="TAC"/>
              <w:rPr>
                <w:sz w:val="16"/>
                <w:szCs w:val="16"/>
              </w:rPr>
            </w:pPr>
            <w:r w:rsidRPr="00873B6C">
              <w:rPr>
                <w:sz w:val="16"/>
                <w:szCs w:val="16"/>
              </w:rPr>
              <w:t>16.2.0</w:t>
            </w:r>
          </w:p>
        </w:tc>
      </w:tr>
      <w:tr w:rsidR="00D40151" w:rsidRPr="00873B6C" w14:paraId="751CBE97" w14:textId="77777777" w:rsidTr="009D14FB">
        <w:tc>
          <w:tcPr>
            <w:tcW w:w="800" w:type="dxa"/>
            <w:shd w:val="solid" w:color="FFFFFF" w:fill="auto"/>
          </w:tcPr>
          <w:p w14:paraId="7DFD940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423BC7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A02BDE1"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063B62F8" w14:textId="77777777" w:rsidR="00D40151" w:rsidRPr="00873B6C" w:rsidRDefault="00D40151" w:rsidP="009D14FB">
            <w:pPr>
              <w:pStyle w:val="TAL"/>
              <w:rPr>
                <w:sz w:val="16"/>
                <w:szCs w:val="16"/>
              </w:rPr>
            </w:pPr>
            <w:r w:rsidRPr="00873B6C">
              <w:rPr>
                <w:sz w:val="16"/>
                <w:szCs w:val="16"/>
              </w:rPr>
              <w:t>1678</w:t>
            </w:r>
          </w:p>
        </w:tc>
        <w:tc>
          <w:tcPr>
            <w:tcW w:w="425" w:type="dxa"/>
            <w:shd w:val="solid" w:color="FFFFFF" w:fill="auto"/>
          </w:tcPr>
          <w:p w14:paraId="2F506BBB"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3B41C225"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4C1DDC8" w14:textId="77777777" w:rsidR="00D40151" w:rsidRPr="00873B6C" w:rsidRDefault="00D40151" w:rsidP="009D14FB">
            <w:pPr>
              <w:pStyle w:val="TAL"/>
              <w:rPr>
                <w:sz w:val="16"/>
                <w:szCs w:val="16"/>
              </w:rPr>
            </w:pPr>
            <w:r w:rsidRPr="00873B6C">
              <w:rPr>
                <w:sz w:val="16"/>
                <w:szCs w:val="16"/>
              </w:rPr>
              <w:t>On the usage of rateRatio, one-step vs two-step sync operation and dedicated QoS Flow</w:t>
            </w:r>
          </w:p>
        </w:tc>
        <w:tc>
          <w:tcPr>
            <w:tcW w:w="708" w:type="dxa"/>
            <w:shd w:val="solid" w:color="FFFFFF" w:fill="auto"/>
          </w:tcPr>
          <w:p w14:paraId="7C662169" w14:textId="77777777" w:rsidR="00D40151" w:rsidRPr="00873B6C" w:rsidRDefault="00D40151" w:rsidP="009D14FB">
            <w:pPr>
              <w:pStyle w:val="TAC"/>
              <w:rPr>
                <w:sz w:val="16"/>
                <w:szCs w:val="16"/>
              </w:rPr>
            </w:pPr>
            <w:r w:rsidRPr="00873B6C">
              <w:rPr>
                <w:sz w:val="16"/>
                <w:szCs w:val="16"/>
              </w:rPr>
              <w:t>16.2.0</w:t>
            </w:r>
          </w:p>
        </w:tc>
      </w:tr>
      <w:tr w:rsidR="00D40151" w:rsidRPr="00873B6C" w14:paraId="625FE949" w14:textId="77777777" w:rsidTr="009D14FB">
        <w:tc>
          <w:tcPr>
            <w:tcW w:w="800" w:type="dxa"/>
            <w:shd w:val="solid" w:color="FFFFFF" w:fill="auto"/>
          </w:tcPr>
          <w:p w14:paraId="6AC8940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BE39D0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60C9A5E"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3C8AED27" w14:textId="77777777" w:rsidR="00D40151" w:rsidRPr="00873B6C" w:rsidRDefault="00D40151" w:rsidP="009D14FB">
            <w:pPr>
              <w:pStyle w:val="TAL"/>
              <w:rPr>
                <w:sz w:val="16"/>
                <w:szCs w:val="16"/>
              </w:rPr>
            </w:pPr>
            <w:r w:rsidRPr="00873B6C">
              <w:rPr>
                <w:sz w:val="16"/>
                <w:szCs w:val="16"/>
              </w:rPr>
              <w:t>1363</w:t>
            </w:r>
          </w:p>
        </w:tc>
        <w:tc>
          <w:tcPr>
            <w:tcW w:w="425" w:type="dxa"/>
            <w:shd w:val="solid" w:color="FFFFFF" w:fill="auto"/>
          </w:tcPr>
          <w:p w14:paraId="38B8C55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376673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062FBC2" w14:textId="77777777" w:rsidR="00D40151" w:rsidRPr="00873B6C" w:rsidRDefault="00D40151" w:rsidP="009D14FB">
            <w:pPr>
              <w:pStyle w:val="TAL"/>
              <w:rPr>
                <w:sz w:val="16"/>
                <w:szCs w:val="16"/>
              </w:rPr>
            </w:pPr>
            <w:r w:rsidRPr="00873B6C">
              <w:rPr>
                <w:sz w:val="16"/>
                <w:szCs w:val="16"/>
              </w:rPr>
              <w:t>Identification of LTE-M (eMTC) traffic</w:t>
            </w:r>
          </w:p>
        </w:tc>
        <w:tc>
          <w:tcPr>
            <w:tcW w:w="708" w:type="dxa"/>
            <w:shd w:val="solid" w:color="FFFFFF" w:fill="auto"/>
          </w:tcPr>
          <w:p w14:paraId="4060F33B" w14:textId="77777777" w:rsidR="00D40151" w:rsidRPr="00873B6C" w:rsidRDefault="00D40151" w:rsidP="009D14FB">
            <w:pPr>
              <w:pStyle w:val="TAC"/>
              <w:rPr>
                <w:sz w:val="16"/>
                <w:szCs w:val="16"/>
              </w:rPr>
            </w:pPr>
            <w:r w:rsidRPr="00873B6C">
              <w:rPr>
                <w:sz w:val="16"/>
                <w:szCs w:val="16"/>
              </w:rPr>
              <w:t>16.3.0</w:t>
            </w:r>
          </w:p>
        </w:tc>
      </w:tr>
      <w:tr w:rsidR="00D40151" w:rsidRPr="00873B6C" w14:paraId="242E5FC7" w14:textId="77777777" w:rsidTr="009D14FB">
        <w:tc>
          <w:tcPr>
            <w:tcW w:w="800" w:type="dxa"/>
            <w:shd w:val="solid" w:color="FFFFFF" w:fill="auto"/>
          </w:tcPr>
          <w:p w14:paraId="148580F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0B16F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2171C6B" w14:textId="77777777" w:rsidR="00D40151" w:rsidRPr="00873B6C" w:rsidRDefault="00D40151" w:rsidP="009D14FB">
            <w:pPr>
              <w:pStyle w:val="TAC"/>
              <w:rPr>
                <w:sz w:val="16"/>
                <w:szCs w:val="16"/>
              </w:rPr>
            </w:pPr>
            <w:r w:rsidRPr="00873B6C">
              <w:rPr>
                <w:sz w:val="16"/>
                <w:szCs w:val="16"/>
              </w:rPr>
              <w:t>SP-191076</w:t>
            </w:r>
          </w:p>
        </w:tc>
        <w:tc>
          <w:tcPr>
            <w:tcW w:w="567" w:type="dxa"/>
            <w:shd w:val="solid" w:color="FFFFFF" w:fill="auto"/>
          </w:tcPr>
          <w:p w14:paraId="1BA9E80D" w14:textId="77777777" w:rsidR="00D40151" w:rsidRPr="00873B6C" w:rsidRDefault="00D40151" w:rsidP="009D14FB">
            <w:pPr>
              <w:pStyle w:val="TAL"/>
              <w:rPr>
                <w:sz w:val="16"/>
                <w:szCs w:val="16"/>
              </w:rPr>
            </w:pPr>
            <w:r w:rsidRPr="00873B6C">
              <w:rPr>
                <w:sz w:val="16"/>
                <w:szCs w:val="16"/>
              </w:rPr>
              <w:t>1373</w:t>
            </w:r>
          </w:p>
        </w:tc>
        <w:tc>
          <w:tcPr>
            <w:tcW w:w="425" w:type="dxa"/>
            <w:shd w:val="solid" w:color="FFFFFF" w:fill="auto"/>
          </w:tcPr>
          <w:p w14:paraId="6037F08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1308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2E0C87" w14:textId="77777777" w:rsidR="00D40151" w:rsidRPr="00873B6C" w:rsidRDefault="00D40151" w:rsidP="009D14FB">
            <w:pPr>
              <w:pStyle w:val="TAL"/>
              <w:rPr>
                <w:sz w:val="16"/>
                <w:szCs w:val="16"/>
              </w:rPr>
            </w:pPr>
            <w:r w:rsidRPr="00873B6C">
              <w:rPr>
                <w:sz w:val="16"/>
                <w:szCs w:val="16"/>
              </w:rPr>
              <w:t>Corrections to Trusted Non-3GPP Access Network selection</w:t>
            </w:r>
          </w:p>
        </w:tc>
        <w:tc>
          <w:tcPr>
            <w:tcW w:w="708" w:type="dxa"/>
            <w:shd w:val="solid" w:color="FFFFFF" w:fill="auto"/>
          </w:tcPr>
          <w:p w14:paraId="07A370E3" w14:textId="77777777" w:rsidR="00D40151" w:rsidRPr="00873B6C" w:rsidRDefault="00D40151" w:rsidP="009D14FB">
            <w:pPr>
              <w:pStyle w:val="TAC"/>
              <w:rPr>
                <w:sz w:val="16"/>
                <w:szCs w:val="16"/>
              </w:rPr>
            </w:pPr>
            <w:r w:rsidRPr="00873B6C">
              <w:rPr>
                <w:sz w:val="16"/>
                <w:szCs w:val="16"/>
              </w:rPr>
              <w:t>16.3.0</w:t>
            </w:r>
          </w:p>
        </w:tc>
      </w:tr>
      <w:tr w:rsidR="00D40151" w:rsidRPr="00873B6C" w14:paraId="37031D88" w14:textId="77777777" w:rsidTr="009D14FB">
        <w:tc>
          <w:tcPr>
            <w:tcW w:w="800" w:type="dxa"/>
            <w:shd w:val="solid" w:color="FFFFFF" w:fill="auto"/>
          </w:tcPr>
          <w:p w14:paraId="221D085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ED5000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C6E6534"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122D6E3C" w14:textId="77777777" w:rsidR="00D40151" w:rsidRPr="00873B6C" w:rsidRDefault="00D40151" w:rsidP="009D14FB">
            <w:pPr>
              <w:pStyle w:val="TAL"/>
              <w:rPr>
                <w:sz w:val="16"/>
                <w:szCs w:val="16"/>
              </w:rPr>
            </w:pPr>
            <w:r w:rsidRPr="00873B6C">
              <w:rPr>
                <w:sz w:val="16"/>
                <w:szCs w:val="16"/>
              </w:rPr>
              <w:t>1459</w:t>
            </w:r>
          </w:p>
        </w:tc>
        <w:tc>
          <w:tcPr>
            <w:tcW w:w="425" w:type="dxa"/>
            <w:shd w:val="solid" w:color="FFFFFF" w:fill="auto"/>
          </w:tcPr>
          <w:p w14:paraId="73EAAE5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D2E2D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FA5728F" w14:textId="77777777" w:rsidR="00D40151" w:rsidRPr="00873B6C" w:rsidRDefault="00D40151" w:rsidP="009D14FB">
            <w:pPr>
              <w:pStyle w:val="TAL"/>
              <w:rPr>
                <w:sz w:val="16"/>
                <w:szCs w:val="16"/>
              </w:rPr>
            </w:pPr>
            <w:r w:rsidRPr="00873B6C">
              <w:rPr>
                <w:sz w:val="16"/>
                <w:szCs w:val="16"/>
              </w:rPr>
              <w:t>Correcting AMF selection</w:t>
            </w:r>
          </w:p>
        </w:tc>
        <w:tc>
          <w:tcPr>
            <w:tcW w:w="708" w:type="dxa"/>
            <w:shd w:val="solid" w:color="FFFFFF" w:fill="auto"/>
          </w:tcPr>
          <w:p w14:paraId="4928A307" w14:textId="77777777" w:rsidR="00D40151" w:rsidRPr="00873B6C" w:rsidRDefault="00D40151" w:rsidP="009D14FB">
            <w:pPr>
              <w:pStyle w:val="TAC"/>
              <w:rPr>
                <w:sz w:val="16"/>
                <w:szCs w:val="16"/>
              </w:rPr>
            </w:pPr>
            <w:r w:rsidRPr="00873B6C">
              <w:rPr>
                <w:sz w:val="16"/>
                <w:szCs w:val="16"/>
              </w:rPr>
              <w:t>16.3.0</w:t>
            </w:r>
          </w:p>
        </w:tc>
      </w:tr>
      <w:tr w:rsidR="00D40151" w:rsidRPr="00873B6C" w14:paraId="4CAB5DA6" w14:textId="77777777" w:rsidTr="009D14FB">
        <w:tc>
          <w:tcPr>
            <w:tcW w:w="800" w:type="dxa"/>
            <w:shd w:val="solid" w:color="FFFFFF" w:fill="auto"/>
          </w:tcPr>
          <w:p w14:paraId="0D90CA0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6A2CC9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E8FFEEC"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65336871" w14:textId="77777777" w:rsidR="00D40151" w:rsidRPr="00873B6C" w:rsidRDefault="00D40151" w:rsidP="009D14FB">
            <w:pPr>
              <w:pStyle w:val="TAL"/>
              <w:rPr>
                <w:sz w:val="16"/>
                <w:szCs w:val="16"/>
              </w:rPr>
            </w:pPr>
            <w:r w:rsidRPr="00873B6C">
              <w:rPr>
                <w:sz w:val="16"/>
                <w:szCs w:val="16"/>
              </w:rPr>
              <w:t>1472</w:t>
            </w:r>
          </w:p>
        </w:tc>
        <w:tc>
          <w:tcPr>
            <w:tcW w:w="425" w:type="dxa"/>
            <w:shd w:val="solid" w:color="FFFFFF" w:fill="auto"/>
          </w:tcPr>
          <w:p w14:paraId="003AA68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1407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622E4B" w14:textId="77777777" w:rsidR="00D40151" w:rsidRPr="00873B6C" w:rsidRDefault="00D40151" w:rsidP="009D14FB">
            <w:pPr>
              <w:pStyle w:val="TAL"/>
              <w:rPr>
                <w:sz w:val="16"/>
                <w:szCs w:val="16"/>
              </w:rPr>
            </w:pPr>
            <w:r w:rsidRPr="00873B6C">
              <w:rPr>
                <w:sz w:val="16"/>
                <w:szCs w:val="16"/>
              </w:rPr>
              <w:t>Correcting behavior if binding indication is not provided</w:t>
            </w:r>
          </w:p>
        </w:tc>
        <w:tc>
          <w:tcPr>
            <w:tcW w:w="708" w:type="dxa"/>
            <w:shd w:val="solid" w:color="FFFFFF" w:fill="auto"/>
          </w:tcPr>
          <w:p w14:paraId="6D96C909" w14:textId="77777777" w:rsidR="00D40151" w:rsidRPr="00873B6C" w:rsidRDefault="00D40151" w:rsidP="009D14FB">
            <w:pPr>
              <w:pStyle w:val="TAC"/>
              <w:rPr>
                <w:sz w:val="16"/>
                <w:szCs w:val="16"/>
              </w:rPr>
            </w:pPr>
            <w:r w:rsidRPr="00873B6C">
              <w:rPr>
                <w:sz w:val="16"/>
                <w:szCs w:val="16"/>
              </w:rPr>
              <w:t>16.3.0</w:t>
            </w:r>
          </w:p>
        </w:tc>
      </w:tr>
      <w:tr w:rsidR="00D40151" w:rsidRPr="00873B6C" w14:paraId="2E648488" w14:textId="77777777" w:rsidTr="009D14FB">
        <w:tc>
          <w:tcPr>
            <w:tcW w:w="800" w:type="dxa"/>
            <w:shd w:val="solid" w:color="FFFFFF" w:fill="auto"/>
          </w:tcPr>
          <w:p w14:paraId="65347B0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961821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CC829BC"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45F5DD6D" w14:textId="77777777" w:rsidR="00D40151" w:rsidRPr="00873B6C" w:rsidRDefault="00D40151" w:rsidP="009D14FB">
            <w:pPr>
              <w:pStyle w:val="TAL"/>
              <w:rPr>
                <w:sz w:val="16"/>
                <w:szCs w:val="16"/>
              </w:rPr>
            </w:pPr>
            <w:r w:rsidRPr="00873B6C">
              <w:rPr>
                <w:sz w:val="16"/>
                <w:szCs w:val="16"/>
              </w:rPr>
              <w:t>1473</w:t>
            </w:r>
          </w:p>
        </w:tc>
        <w:tc>
          <w:tcPr>
            <w:tcW w:w="425" w:type="dxa"/>
            <w:shd w:val="solid" w:color="FFFFFF" w:fill="auto"/>
          </w:tcPr>
          <w:p w14:paraId="043C670F"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C4A505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F9D62D" w14:textId="77777777" w:rsidR="00D40151" w:rsidRPr="00873B6C" w:rsidRDefault="00D40151" w:rsidP="009D14FB">
            <w:pPr>
              <w:pStyle w:val="TAL"/>
              <w:rPr>
                <w:sz w:val="16"/>
                <w:szCs w:val="16"/>
              </w:rPr>
            </w:pPr>
            <w:r w:rsidRPr="00873B6C">
              <w:rPr>
                <w:sz w:val="16"/>
                <w:szCs w:val="16"/>
              </w:rPr>
              <w:t>Correcting delegated discovery and selection and the use of IDs in binding</w:t>
            </w:r>
          </w:p>
        </w:tc>
        <w:tc>
          <w:tcPr>
            <w:tcW w:w="708" w:type="dxa"/>
            <w:shd w:val="solid" w:color="FFFFFF" w:fill="auto"/>
          </w:tcPr>
          <w:p w14:paraId="309A66BF" w14:textId="77777777" w:rsidR="00D40151" w:rsidRPr="00873B6C" w:rsidRDefault="00D40151" w:rsidP="009D14FB">
            <w:pPr>
              <w:pStyle w:val="TAC"/>
              <w:rPr>
                <w:sz w:val="16"/>
                <w:szCs w:val="16"/>
              </w:rPr>
            </w:pPr>
            <w:r w:rsidRPr="00873B6C">
              <w:rPr>
                <w:sz w:val="16"/>
                <w:szCs w:val="16"/>
              </w:rPr>
              <w:t>16.3.0</w:t>
            </w:r>
          </w:p>
        </w:tc>
      </w:tr>
      <w:tr w:rsidR="00D40151" w:rsidRPr="00873B6C" w14:paraId="29813288" w14:textId="77777777" w:rsidTr="009D14FB">
        <w:tc>
          <w:tcPr>
            <w:tcW w:w="800" w:type="dxa"/>
            <w:shd w:val="solid" w:color="FFFFFF" w:fill="auto"/>
          </w:tcPr>
          <w:p w14:paraId="613D126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EF7A75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DDBE86E"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870C1C3" w14:textId="77777777" w:rsidR="00D40151" w:rsidRPr="00873B6C" w:rsidRDefault="00D40151" w:rsidP="009D14FB">
            <w:pPr>
              <w:pStyle w:val="TAL"/>
              <w:rPr>
                <w:sz w:val="16"/>
                <w:szCs w:val="16"/>
              </w:rPr>
            </w:pPr>
            <w:r w:rsidRPr="00873B6C">
              <w:rPr>
                <w:sz w:val="16"/>
                <w:szCs w:val="16"/>
              </w:rPr>
              <w:t>1485</w:t>
            </w:r>
          </w:p>
        </w:tc>
        <w:tc>
          <w:tcPr>
            <w:tcW w:w="425" w:type="dxa"/>
            <w:shd w:val="solid" w:color="FFFFFF" w:fill="auto"/>
          </w:tcPr>
          <w:p w14:paraId="18C6552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BBD374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FF23B1" w14:textId="77777777" w:rsidR="00D40151" w:rsidRPr="00873B6C" w:rsidRDefault="00D40151" w:rsidP="009D14FB">
            <w:pPr>
              <w:pStyle w:val="TAL"/>
              <w:rPr>
                <w:sz w:val="16"/>
                <w:szCs w:val="16"/>
              </w:rPr>
            </w:pPr>
            <w:r w:rsidRPr="00873B6C">
              <w:rPr>
                <w:sz w:val="16"/>
                <w:szCs w:val="16"/>
              </w:rPr>
              <w:t>Service Gap Control at IWK</w:t>
            </w:r>
          </w:p>
        </w:tc>
        <w:tc>
          <w:tcPr>
            <w:tcW w:w="708" w:type="dxa"/>
            <w:shd w:val="solid" w:color="FFFFFF" w:fill="auto"/>
          </w:tcPr>
          <w:p w14:paraId="7B092945" w14:textId="77777777" w:rsidR="00D40151" w:rsidRPr="00873B6C" w:rsidRDefault="00D40151" w:rsidP="009D14FB">
            <w:pPr>
              <w:pStyle w:val="TAC"/>
              <w:rPr>
                <w:sz w:val="16"/>
                <w:szCs w:val="16"/>
              </w:rPr>
            </w:pPr>
            <w:r w:rsidRPr="00873B6C">
              <w:rPr>
                <w:sz w:val="16"/>
                <w:szCs w:val="16"/>
              </w:rPr>
              <w:t>16.3.0</w:t>
            </w:r>
          </w:p>
        </w:tc>
      </w:tr>
      <w:tr w:rsidR="00D40151" w:rsidRPr="00873B6C" w14:paraId="3877CA5D" w14:textId="77777777" w:rsidTr="009D14FB">
        <w:tc>
          <w:tcPr>
            <w:tcW w:w="800" w:type="dxa"/>
            <w:shd w:val="solid" w:color="FFFFFF" w:fill="auto"/>
          </w:tcPr>
          <w:p w14:paraId="5C7C45A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687EA2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72E007B"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4AD53843" w14:textId="77777777" w:rsidR="00D40151" w:rsidRPr="00873B6C" w:rsidRDefault="00D40151" w:rsidP="009D14FB">
            <w:pPr>
              <w:pStyle w:val="TAL"/>
              <w:rPr>
                <w:sz w:val="16"/>
                <w:szCs w:val="16"/>
              </w:rPr>
            </w:pPr>
            <w:r w:rsidRPr="00873B6C">
              <w:rPr>
                <w:sz w:val="16"/>
                <w:szCs w:val="16"/>
              </w:rPr>
              <w:t>1486</w:t>
            </w:r>
          </w:p>
        </w:tc>
        <w:tc>
          <w:tcPr>
            <w:tcW w:w="425" w:type="dxa"/>
            <w:shd w:val="solid" w:color="FFFFFF" w:fill="auto"/>
          </w:tcPr>
          <w:p w14:paraId="70DC4A6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1FA9C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C25A38" w14:textId="77777777" w:rsidR="00D40151" w:rsidRPr="00873B6C" w:rsidRDefault="00D40151" w:rsidP="009D14FB">
            <w:pPr>
              <w:pStyle w:val="TAL"/>
              <w:rPr>
                <w:sz w:val="16"/>
                <w:szCs w:val="16"/>
              </w:rPr>
            </w:pPr>
            <w:r w:rsidRPr="00873B6C">
              <w:rPr>
                <w:sz w:val="16"/>
                <w:szCs w:val="16"/>
              </w:rPr>
              <w:t>Serving PLMN rate control parameters in modification procedure</w:t>
            </w:r>
          </w:p>
        </w:tc>
        <w:tc>
          <w:tcPr>
            <w:tcW w:w="708" w:type="dxa"/>
            <w:shd w:val="solid" w:color="FFFFFF" w:fill="auto"/>
          </w:tcPr>
          <w:p w14:paraId="4E0BDF06" w14:textId="77777777" w:rsidR="00D40151" w:rsidRPr="00873B6C" w:rsidRDefault="00D40151" w:rsidP="009D14FB">
            <w:pPr>
              <w:pStyle w:val="TAC"/>
              <w:rPr>
                <w:sz w:val="16"/>
                <w:szCs w:val="16"/>
              </w:rPr>
            </w:pPr>
            <w:r w:rsidRPr="00873B6C">
              <w:rPr>
                <w:sz w:val="16"/>
                <w:szCs w:val="16"/>
              </w:rPr>
              <w:t>16.3.0</w:t>
            </w:r>
          </w:p>
        </w:tc>
      </w:tr>
      <w:tr w:rsidR="00D40151" w:rsidRPr="00873B6C" w14:paraId="587ECCC8" w14:textId="77777777" w:rsidTr="009D14FB">
        <w:tc>
          <w:tcPr>
            <w:tcW w:w="800" w:type="dxa"/>
            <w:shd w:val="solid" w:color="FFFFFF" w:fill="auto"/>
          </w:tcPr>
          <w:p w14:paraId="669B1BD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786E61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D35A692"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4E43FAF1" w14:textId="77777777" w:rsidR="00D40151" w:rsidRPr="00873B6C" w:rsidRDefault="00D40151" w:rsidP="009D14FB">
            <w:pPr>
              <w:pStyle w:val="TAL"/>
              <w:rPr>
                <w:sz w:val="16"/>
                <w:szCs w:val="16"/>
              </w:rPr>
            </w:pPr>
            <w:r w:rsidRPr="00873B6C">
              <w:rPr>
                <w:sz w:val="16"/>
                <w:szCs w:val="16"/>
              </w:rPr>
              <w:t>1527</w:t>
            </w:r>
          </w:p>
        </w:tc>
        <w:tc>
          <w:tcPr>
            <w:tcW w:w="425" w:type="dxa"/>
            <w:shd w:val="solid" w:color="FFFFFF" w:fill="auto"/>
          </w:tcPr>
          <w:p w14:paraId="20FEC97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983B2D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71EA47" w14:textId="77777777" w:rsidR="00D40151" w:rsidRPr="00873B6C" w:rsidRDefault="00D40151" w:rsidP="009D14FB">
            <w:pPr>
              <w:pStyle w:val="TAL"/>
              <w:rPr>
                <w:sz w:val="16"/>
                <w:szCs w:val="16"/>
              </w:rPr>
            </w:pPr>
            <w:r w:rsidRPr="00873B6C">
              <w:rPr>
                <w:sz w:val="16"/>
                <w:szCs w:val="16"/>
              </w:rPr>
              <w:t>SMF Set and UPF</w:t>
            </w:r>
          </w:p>
        </w:tc>
        <w:tc>
          <w:tcPr>
            <w:tcW w:w="708" w:type="dxa"/>
            <w:shd w:val="solid" w:color="FFFFFF" w:fill="auto"/>
          </w:tcPr>
          <w:p w14:paraId="39359AC2" w14:textId="77777777" w:rsidR="00D40151" w:rsidRPr="00873B6C" w:rsidRDefault="00D40151" w:rsidP="009D14FB">
            <w:pPr>
              <w:pStyle w:val="TAC"/>
              <w:rPr>
                <w:sz w:val="16"/>
                <w:szCs w:val="16"/>
              </w:rPr>
            </w:pPr>
            <w:r w:rsidRPr="00873B6C">
              <w:rPr>
                <w:sz w:val="16"/>
                <w:szCs w:val="16"/>
              </w:rPr>
              <w:t>16.3.0</w:t>
            </w:r>
          </w:p>
        </w:tc>
      </w:tr>
      <w:tr w:rsidR="00D40151" w:rsidRPr="00873B6C" w14:paraId="32AC5CBE" w14:textId="77777777" w:rsidTr="009D14FB">
        <w:tc>
          <w:tcPr>
            <w:tcW w:w="800" w:type="dxa"/>
            <w:shd w:val="solid" w:color="FFFFFF" w:fill="auto"/>
          </w:tcPr>
          <w:p w14:paraId="1382F95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2A51D0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3588BBC" w14:textId="77777777" w:rsidR="00D40151" w:rsidRPr="00873B6C" w:rsidRDefault="00D40151" w:rsidP="009D14FB">
            <w:pPr>
              <w:pStyle w:val="TAC"/>
              <w:rPr>
                <w:sz w:val="16"/>
                <w:szCs w:val="16"/>
              </w:rPr>
            </w:pPr>
            <w:r w:rsidRPr="00873B6C">
              <w:rPr>
                <w:sz w:val="16"/>
                <w:szCs w:val="16"/>
              </w:rPr>
              <w:t>SP-191076</w:t>
            </w:r>
          </w:p>
        </w:tc>
        <w:tc>
          <w:tcPr>
            <w:tcW w:w="567" w:type="dxa"/>
            <w:shd w:val="solid" w:color="FFFFFF" w:fill="auto"/>
          </w:tcPr>
          <w:p w14:paraId="66F5897B" w14:textId="77777777" w:rsidR="00D40151" w:rsidRPr="00873B6C" w:rsidRDefault="00D40151" w:rsidP="009D14FB">
            <w:pPr>
              <w:pStyle w:val="TAL"/>
              <w:rPr>
                <w:sz w:val="16"/>
                <w:szCs w:val="16"/>
              </w:rPr>
            </w:pPr>
            <w:r w:rsidRPr="00873B6C">
              <w:rPr>
                <w:sz w:val="16"/>
                <w:szCs w:val="16"/>
              </w:rPr>
              <w:t>1553</w:t>
            </w:r>
          </w:p>
        </w:tc>
        <w:tc>
          <w:tcPr>
            <w:tcW w:w="425" w:type="dxa"/>
            <w:shd w:val="solid" w:color="FFFFFF" w:fill="auto"/>
          </w:tcPr>
          <w:p w14:paraId="74A819E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FF5EA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1F591E" w14:textId="77777777" w:rsidR="00D40151" w:rsidRPr="00873B6C" w:rsidRDefault="00D40151" w:rsidP="009D14FB">
            <w:pPr>
              <w:pStyle w:val="TAL"/>
              <w:rPr>
                <w:sz w:val="16"/>
                <w:szCs w:val="16"/>
              </w:rPr>
            </w:pPr>
            <w:r w:rsidRPr="00873B6C">
              <w:rPr>
                <w:sz w:val="16"/>
                <w:szCs w:val="16"/>
              </w:rPr>
              <w:t>Completing the introduction of TNGF in 23.501</w:t>
            </w:r>
          </w:p>
        </w:tc>
        <w:tc>
          <w:tcPr>
            <w:tcW w:w="708" w:type="dxa"/>
            <w:shd w:val="solid" w:color="FFFFFF" w:fill="auto"/>
          </w:tcPr>
          <w:p w14:paraId="75AAC09E" w14:textId="77777777" w:rsidR="00D40151" w:rsidRPr="00873B6C" w:rsidRDefault="00D40151" w:rsidP="009D14FB">
            <w:pPr>
              <w:pStyle w:val="TAC"/>
              <w:rPr>
                <w:sz w:val="16"/>
                <w:szCs w:val="16"/>
              </w:rPr>
            </w:pPr>
            <w:r w:rsidRPr="00873B6C">
              <w:rPr>
                <w:sz w:val="16"/>
                <w:szCs w:val="16"/>
              </w:rPr>
              <w:t>16.3.0</w:t>
            </w:r>
          </w:p>
        </w:tc>
      </w:tr>
      <w:tr w:rsidR="00D40151" w:rsidRPr="00873B6C" w14:paraId="59C3C3D3" w14:textId="77777777" w:rsidTr="009D14FB">
        <w:tc>
          <w:tcPr>
            <w:tcW w:w="800" w:type="dxa"/>
            <w:shd w:val="solid" w:color="FFFFFF" w:fill="auto"/>
          </w:tcPr>
          <w:p w14:paraId="196EBBD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829FB2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D9405C5"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02AE15CF" w14:textId="77777777" w:rsidR="00D40151" w:rsidRPr="00873B6C" w:rsidRDefault="00D40151" w:rsidP="009D14FB">
            <w:pPr>
              <w:pStyle w:val="TAL"/>
              <w:rPr>
                <w:sz w:val="16"/>
                <w:szCs w:val="16"/>
              </w:rPr>
            </w:pPr>
            <w:r w:rsidRPr="00873B6C">
              <w:rPr>
                <w:sz w:val="16"/>
                <w:szCs w:val="16"/>
              </w:rPr>
              <w:t>1564</w:t>
            </w:r>
          </w:p>
        </w:tc>
        <w:tc>
          <w:tcPr>
            <w:tcW w:w="425" w:type="dxa"/>
            <w:shd w:val="solid" w:color="FFFFFF" w:fill="auto"/>
          </w:tcPr>
          <w:p w14:paraId="6B87655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4487F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4A4CBB" w14:textId="77777777" w:rsidR="00D40151" w:rsidRPr="00873B6C" w:rsidRDefault="00D40151" w:rsidP="009D14FB">
            <w:pPr>
              <w:pStyle w:val="TAL"/>
              <w:rPr>
                <w:sz w:val="16"/>
                <w:szCs w:val="16"/>
              </w:rPr>
            </w:pPr>
            <w:r w:rsidRPr="00873B6C">
              <w:rPr>
                <w:sz w:val="16"/>
                <w:szCs w:val="16"/>
              </w:rPr>
              <w:t>Correction to deletion of PLMN-assigned UE Radio Capability ID</w:t>
            </w:r>
          </w:p>
        </w:tc>
        <w:tc>
          <w:tcPr>
            <w:tcW w:w="708" w:type="dxa"/>
            <w:shd w:val="solid" w:color="FFFFFF" w:fill="auto"/>
          </w:tcPr>
          <w:p w14:paraId="396E5BC7" w14:textId="77777777" w:rsidR="00D40151" w:rsidRPr="00873B6C" w:rsidRDefault="00D40151" w:rsidP="009D14FB">
            <w:pPr>
              <w:pStyle w:val="TAC"/>
              <w:rPr>
                <w:sz w:val="16"/>
                <w:szCs w:val="16"/>
              </w:rPr>
            </w:pPr>
            <w:r w:rsidRPr="00873B6C">
              <w:rPr>
                <w:sz w:val="16"/>
                <w:szCs w:val="16"/>
              </w:rPr>
              <w:t>16.3.0</w:t>
            </w:r>
          </w:p>
        </w:tc>
      </w:tr>
      <w:tr w:rsidR="00D40151" w:rsidRPr="00873B6C" w14:paraId="6F5B8B6C" w14:textId="77777777" w:rsidTr="009D14FB">
        <w:tc>
          <w:tcPr>
            <w:tcW w:w="800" w:type="dxa"/>
            <w:shd w:val="solid" w:color="FFFFFF" w:fill="auto"/>
          </w:tcPr>
          <w:p w14:paraId="463C4A0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1F08FE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4CCCAC9"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4F8C5A42" w14:textId="77777777" w:rsidR="00D40151" w:rsidRPr="00873B6C" w:rsidRDefault="00D40151" w:rsidP="009D14FB">
            <w:pPr>
              <w:pStyle w:val="TAL"/>
              <w:rPr>
                <w:sz w:val="16"/>
                <w:szCs w:val="16"/>
              </w:rPr>
            </w:pPr>
            <w:r w:rsidRPr="00873B6C">
              <w:rPr>
                <w:sz w:val="16"/>
                <w:szCs w:val="16"/>
              </w:rPr>
              <w:t>1576</w:t>
            </w:r>
          </w:p>
        </w:tc>
        <w:tc>
          <w:tcPr>
            <w:tcW w:w="425" w:type="dxa"/>
            <w:shd w:val="solid" w:color="FFFFFF" w:fill="auto"/>
          </w:tcPr>
          <w:p w14:paraId="566F7CA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E0D00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D86047" w14:textId="77777777" w:rsidR="00D40151" w:rsidRPr="00873B6C" w:rsidRDefault="00D40151" w:rsidP="009D14FB">
            <w:pPr>
              <w:pStyle w:val="TAL"/>
              <w:rPr>
                <w:sz w:val="16"/>
                <w:szCs w:val="16"/>
              </w:rPr>
            </w:pPr>
            <w:r w:rsidRPr="00873B6C">
              <w:rPr>
                <w:sz w:val="16"/>
                <w:szCs w:val="16"/>
              </w:rPr>
              <w:t>Correction of UE Radio Capability Update IE encoding</w:t>
            </w:r>
          </w:p>
        </w:tc>
        <w:tc>
          <w:tcPr>
            <w:tcW w:w="708" w:type="dxa"/>
            <w:shd w:val="solid" w:color="FFFFFF" w:fill="auto"/>
          </w:tcPr>
          <w:p w14:paraId="3EF2455B" w14:textId="77777777" w:rsidR="00D40151" w:rsidRPr="00873B6C" w:rsidRDefault="00D40151" w:rsidP="009D14FB">
            <w:pPr>
              <w:pStyle w:val="TAC"/>
              <w:rPr>
                <w:sz w:val="16"/>
                <w:szCs w:val="16"/>
              </w:rPr>
            </w:pPr>
            <w:r w:rsidRPr="00873B6C">
              <w:rPr>
                <w:sz w:val="16"/>
                <w:szCs w:val="16"/>
              </w:rPr>
              <w:t>16.3.0</w:t>
            </w:r>
          </w:p>
        </w:tc>
      </w:tr>
      <w:tr w:rsidR="00D40151" w:rsidRPr="00873B6C" w14:paraId="4411C57F" w14:textId="77777777" w:rsidTr="009D14FB">
        <w:tc>
          <w:tcPr>
            <w:tcW w:w="800" w:type="dxa"/>
            <w:shd w:val="solid" w:color="FFFFFF" w:fill="auto"/>
          </w:tcPr>
          <w:p w14:paraId="2600A67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2001E2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9913A45"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33755830" w14:textId="77777777" w:rsidR="00D40151" w:rsidRPr="00873B6C" w:rsidRDefault="00D40151" w:rsidP="009D14FB">
            <w:pPr>
              <w:pStyle w:val="TAL"/>
              <w:rPr>
                <w:sz w:val="16"/>
                <w:szCs w:val="16"/>
              </w:rPr>
            </w:pPr>
            <w:r w:rsidRPr="00873B6C">
              <w:rPr>
                <w:sz w:val="16"/>
                <w:szCs w:val="16"/>
              </w:rPr>
              <w:t>1592</w:t>
            </w:r>
          </w:p>
        </w:tc>
        <w:tc>
          <w:tcPr>
            <w:tcW w:w="425" w:type="dxa"/>
            <w:shd w:val="solid" w:color="FFFFFF" w:fill="auto"/>
          </w:tcPr>
          <w:p w14:paraId="37C5023A"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1BF34E4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00EC026" w14:textId="77777777" w:rsidR="00D40151" w:rsidRPr="00873B6C" w:rsidRDefault="00D40151" w:rsidP="009D14FB">
            <w:pPr>
              <w:pStyle w:val="TAL"/>
              <w:rPr>
                <w:sz w:val="16"/>
                <w:szCs w:val="16"/>
              </w:rPr>
            </w:pPr>
            <w:r w:rsidRPr="00873B6C">
              <w:rPr>
                <w:sz w:val="16"/>
                <w:szCs w:val="16"/>
              </w:rPr>
              <w:t>Resolution of Editor's Note on UCMF-AMF interaction</w:t>
            </w:r>
          </w:p>
        </w:tc>
        <w:tc>
          <w:tcPr>
            <w:tcW w:w="708" w:type="dxa"/>
            <w:shd w:val="solid" w:color="FFFFFF" w:fill="auto"/>
          </w:tcPr>
          <w:p w14:paraId="30EE6126" w14:textId="77777777" w:rsidR="00D40151" w:rsidRPr="00873B6C" w:rsidRDefault="00D40151" w:rsidP="009D14FB">
            <w:pPr>
              <w:pStyle w:val="TAC"/>
              <w:rPr>
                <w:sz w:val="16"/>
                <w:szCs w:val="16"/>
              </w:rPr>
            </w:pPr>
            <w:r w:rsidRPr="00873B6C">
              <w:rPr>
                <w:sz w:val="16"/>
                <w:szCs w:val="16"/>
              </w:rPr>
              <w:t>16.3.0</w:t>
            </w:r>
          </w:p>
        </w:tc>
      </w:tr>
      <w:tr w:rsidR="00D40151" w:rsidRPr="00873B6C" w14:paraId="6ACB796D" w14:textId="77777777" w:rsidTr="009D14FB">
        <w:tc>
          <w:tcPr>
            <w:tcW w:w="800" w:type="dxa"/>
            <w:shd w:val="solid" w:color="FFFFFF" w:fill="auto"/>
          </w:tcPr>
          <w:p w14:paraId="78D2790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D7A880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0C0E662"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23530AC8" w14:textId="77777777" w:rsidR="00D40151" w:rsidRPr="00873B6C" w:rsidRDefault="00D40151" w:rsidP="009D14FB">
            <w:pPr>
              <w:pStyle w:val="TAL"/>
              <w:rPr>
                <w:sz w:val="16"/>
                <w:szCs w:val="16"/>
              </w:rPr>
            </w:pPr>
            <w:r w:rsidRPr="00873B6C">
              <w:rPr>
                <w:sz w:val="16"/>
                <w:szCs w:val="16"/>
              </w:rPr>
              <w:t>1594</w:t>
            </w:r>
          </w:p>
        </w:tc>
        <w:tc>
          <w:tcPr>
            <w:tcW w:w="425" w:type="dxa"/>
            <w:shd w:val="solid" w:color="FFFFFF" w:fill="auto"/>
          </w:tcPr>
          <w:p w14:paraId="43D1519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0337A1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DF068A" w14:textId="77777777" w:rsidR="00D40151" w:rsidRPr="00873B6C" w:rsidRDefault="00D40151" w:rsidP="009D14FB">
            <w:pPr>
              <w:pStyle w:val="TAL"/>
              <w:rPr>
                <w:sz w:val="16"/>
                <w:szCs w:val="16"/>
              </w:rPr>
            </w:pPr>
            <w:r w:rsidRPr="00873B6C">
              <w:rPr>
                <w:sz w:val="16"/>
                <w:szCs w:val="16"/>
              </w:rPr>
              <w:t xml:space="preserve">I-NEF in Interworking Scenarios </w:t>
            </w:r>
          </w:p>
        </w:tc>
        <w:tc>
          <w:tcPr>
            <w:tcW w:w="708" w:type="dxa"/>
            <w:shd w:val="solid" w:color="FFFFFF" w:fill="auto"/>
          </w:tcPr>
          <w:p w14:paraId="440ABB97" w14:textId="77777777" w:rsidR="00D40151" w:rsidRPr="00873B6C" w:rsidRDefault="00D40151" w:rsidP="009D14FB">
            <w:pPr>
              <w:pStyle w:val="TAC"/>
              <w:rPr>
                <w:sz w:val="16"/>
                <w:szCs w:val="16"/>
              </w:rPr>
            </w:pPr>
            <w:r w:rsidRPr="00873B6C">
              <w:rPr>
                <w:sz w:val="16"/>
                <w:szCs w:val="16"/>
              </w:rPr>
              <w:t>16.3.0</w:t>
            </w:r>
          </w:p>
        </w:tc>
      </w:tr>
      <w:tr w:rsidR="00D40151" w:rsidRPr="00873B6C" w14:paraId="6F424B72" w14:textId="77777777" w:rsidTr="009D14FB">
        <w:tc>
          <w:tcPr>
            <w:tcW w:w="800" w:type="dxa"/>
            <w:shd w:val="solid" w:color="FFFFFF" w:fill="auto"/>
          </w:tcPr>
          <w:p w14:paraId="1AFE482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823D0A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10926A9"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571CE282" w14:textId="77777777" w:rsidR="00D40151" w:rsidRPr="00873B6C" w:rsidRDefault="00D40151" w:rsidP="009D14FB">
            <w:pPr>
              <w:pStyle w:val="TAL"/>
              <w:rPr>
                <w:sz w:val="16"/>
                <w:szCs w:val="16"/>
              </w:rPr>
            </w:pPr>
            <w:r w:rsidRPr="00873B6C">
              <w:rPr>
                <w:sz w:val="16"/>
                <w:szCs w:val="16"/>
              </w:rPr>
              <w:t>1623</w:t>
            </w:r>
          </w:p>
        </w:tc>
        <w:tc>
          <w:tcPr>
            <w:tcW w:w="425" w:type="dxa"/>
            <w:shd w:val="solid" w:color="FFFFFF" w:fill="auto"/>
          </w:tcPr>
          <w:p w14:paraId="0A2A692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810A6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D16D12" w14:textId="77777777" w:rsidR="00D40151" w:rsidRPr="00873B6C" w:rsidRDefault="00D40151" w:rsidP="009D14FB">
            <w:pPr>
              <w:pStyle w:val="TAL"/>
              <w:rPr>
                <w:sz w:val="16"/>
                <w:szCs w:val="16"/>
              </w:rPr>
            </w:pPr>
            <w:r w:rsidRPr="00873B6C">
              <w:rPr>
                <w:sz w:val="16"/>
                <w:szCs w:val="16"/>
              </w:rPr>
              <w:t>NRF use of UDR Group ID Mapping service</w:t>
            </w:r>
          </w:p>
        </w:tc>
        <w:tc>
          <w:tcPr>
            <w:tcW w:w="708" w:type="dxa"/>
            <w:shd w:val="solid" w:color="FFFFFF" w:fill="auto"/>
          </w:tcPr>
          <w:p w14:paraId="6A52382F" w14:textId="77777777" w:rsidR="00D40151" w:rsidRPr="00873B6C" w:rsidRDefault="00D40151" w:rsidP="009D14FB">
            <w:pPr>
              <w:pStyle w:val="TAC"/>
              <w:rPr>
                <w:sz w:val="16"/>
                <w:szCs w:val="16"/>
              </w:rPr>
            </w:pPr>
            <w:r w:rsidRPr="00873B6C">
              <w:rPr>
                <w:sz w:val="16"/>
                <w:szCs w:val="16"/>
              </w:rPr>
              <w:t>16.3.0</w:t>
            </w:r>
          </w:p>
        </w:tc>
      </w:tr>
      <w:tr w:rsidR="00D40151" w:rsidRPr="00873B6C" w14:paraId="7060CE88" w14:textId="77777777" w:rsidTr="009D14FB">
        <w:tc>
          <w:tcPr>
            <w:tcW w:w="800" w:type="dxa"/>
            <w:shd w:val="solid" w:color="FFFFFF" w:fill="auto"/>
          </w:tcPr>
          <w:p w14:paraId="5D55559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DC1616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EC20381" w14:textId="77777777" w:rsidR="00D40151" w:rsidRPr="00873B6C" w:rsidRDefault="00D40151" w:rsidP="009D14FB">
            <w:pPr>
              <w:pStyle w:val="TAC"/>
              <w:rPr>
                <w:sz w:val="16"/>
                <w:szCs w:val="16"/>
              </w:rPr>
            </w:pPr>
            <w:r w:rsidRPr="00873B6C">
              <w:rPr>
                <w:sz w:val="16"/>
                <w:szCs w:val="16"/>
              </w:rPr>
              <w:t>SP-191080</w:t>
            </w:r>
          </w:p>
        </w:tc>
        <w:tc>
          <w:tcPr>
            <w:tcW w:w="567" w:type="dxa"/>
            <w:shd w:val="solid" w:color="FFFFFF" w:fill="auto"/>
          </w:tcPr>
          <w:p w14:paraId="240D6553" w14:textId="77777777" w:rsidR="00D40151" w:rsidRPr="00873B6C" w:rsidRDefault="00D40151" w:rsidP="009D14FB">
            <w:pPr>
              <w:pStyle w:val="TAL"/>
              <w:rPr>
                <w:sz w:val="16"/>
                <w:szCs w:val="16"/>
              </w:rPr>
            </w:pPr>
            <w:r w:rsidRPr="00873B6C">
              <w:rPr>
                <w:sz w:val="16"/>
                <w:szCs w:val="16"/>
              </w:rPr>
              <w:t>1654</w:t>
            </w:r>
          </w:p>
        </w:tc>
        <w:tc>
          <w:tcPr>
            <w:tcW w:w="425" w:type="dxa"/>
            <w:shd w:val="solid" w:color="FFFFFF" w:fill="auto"/>
          </w:tcPr>
          <w:p w14:paraId="30F4E59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E1798E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52D793" w14:textId="77777777" w:rsidR="00D40151" w:rsidRPr="00873B6C" w:rsidRDefault="00D40151" w:rsidP="009D14FB">
            <w:pPr>
              <w:pStyle w:val="TAL"/>
              <w:rPr>
                <w:sz w:val="16"/>
                <w:szCs w:val="16"/>
              </w:rPr>
            </w:pPr>
            <w:r w:rsidRPr="00873B6C">
              <w:rPr>
                <w:sz w:val="16"/>
                <w:szCs w:val="16"/>
              </w:rPr>
              <w:t>UE related analytics for UPF selection</w:t>
            </w:r>
          </w:p>
        </w:tc>
        <w:tc>
          <w:tcPr>
            <w:tcW w:w="708" w:type="dxa"/>
            <w:shd w:val="solid" w:color="FFFFFF" w:fill="auto"/>
          </w:tcPr>
          <w:p w14:paraId="4724F892" w14:textId="77777777" w:rsidR="00D40151" w:rsidRPr="00873B6C" w:rsidRDefault="00D40151" w:rsidP="009D14FB">
            <w:pPr>
              <w:pStyle w:val="TAC"/>
              <w:rPr>
                <w:sz w:val="16"/>
                <w:szCs w:val="16"/>
              </w:rPr>
            </w:pPr>
            <w:r w:rsidRPr="00873B6C">
              <w:rPr>
                <w:sz w:val="16"/>
                <w:szCs w:val="16"/>
              </w:rPr>
              <w:t>16.3.0</w:t>
            </w:r>
          </w:p>
        </w:tc>
      </w:tr>
      <w:tr w:rsidR="00D40151" w:rsidRPr="00873B6C" w14:paraId="3C39910A" w14:textId="77777777" w:rsidTr="009D14FB">
        <w:tc>
          <w:tcPr>
            <w:tcW w:w="800" w:type="dxa"/>
            <w:shd w:val="solid" w:color="FFFFFF" w:fill="auto"/>
          </w:tcPr>
          <w:p w14:paraId="4CE01AE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C753EE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8F9F63C"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386833FD" w14:textId="77777777" w:rsidR="00D40151" w:rsidRPr="00873B6C" w:rsidRDefault="00D40151" w:rsidP="009D14FB">
            <w:pPr>
              <w:pStyle w:val="TAL"/>
              <w:rPr>
                <w:sz w:val="16"/>
                <w:szCs w:val="16"/>
              </w:rPr>
            </w:pPr>
            <w:r w:rsidRPr="00873B6C">
              <w:rPr>
                <w:sz w:val="16"/>
                <w:szCs w:val="16"/>
              </w:rPr>
              <w:t>1666</w:t>
            </w:r>
          </w:p>
        </w:tc>
        <w:tc>
          <w:tcPr>
            <w:tcW w:w="425" w:type="dxa"/>
            <w:shd w:val="solid" w:color="FFFFFF" w:fill="auto"/>
          </w:tcPr>
          <w:p w14:paraId="109F42BC"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48CFE7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E7BB52" w14:textId="77777777" w:rsidR="00D40151" w:rsidRPr="00873B6C" w:rsidRDefault="00D40151" w:rsidP="009D14FB">
            <w:pPr>
              <w:pStyle w:val="TAL"/>
              <w:rPr>
                <w:sz w:val="16"/>
                <w:szCs w:val="16"/>
              </w:rPr>
            </w:pPr>
            <w:r w:rsidRPr="00873B6C">
              <w:rPr>
                <w:sz w:val="16"/>
                <w:szCs w:val="16"/>
              </w:rPr>
              <w:t>Corrections to Small Data Rate Control and Exception Reporting</w:t>
            </w:r>
          </w:p>
        </w:tc>
        <w:tc>
          <w:tcPr>
            <w:tcW w:w="708" w:type="dxa"/>
            <w:shd w:val="solid" w:color="FFFFFF" w:fill="auto"/>
          </w:tcPr>
          <w:p w14:paraId="570A2BA7" w14:textId="77777777" w:rsidR="00D40151" w:rsidRPr="00873B6C" w:rsidRDefault="00D40151" w:rsidP="009D14FB">
            <w:pPr>
              <w:pStyle w:val="TAC"/>
              <w:rPr>
                <w:sz w:val="16"/>
                <w:szCs w:val="16"/>
              </w:rPr>
            </w:pPr>
            <w:r w:rsidRPr="00873B6C">
              <w:rPr>
                <w:sz w:val="16"/>
                <w:szCs w:val="16"/>
              </w:rPr>
              <w:t>16.3.0</w:t>
            </w:r>
          </w:p>
        </w:tc>
      </w:tr>
      <w:tr w:rsidR="00D40151" w:rsidRPr="00873B6C" w14:paraId="0EE5AE67" w14:textId="77777777" w:rsidTr="009D14FB">
        <w:tc>
          <w:tcPr>
            <w:tcW w:w="800" w:type="dxa"/>
            <w:shd w:val="solid" w:color="FFFFFF" w:fill="auto"/>
          </w:tcPr>
          <w:p w14:paraId="077E11A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A776E5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2D19897"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5DD7922D" w14:textId="77777777" w:rsidR="00D40151" w:rsidRPr="00873B6C" w:rsidRDefault="00D40151" w:rsidP="009D14FB">
            <w:pPr>
              <w:pStyle w:val="TAL"/>
              <w:rPr>
                <w:sz w:val="16"/>
                <w:szCs w:val="16"/>
              </w:rPr>
            </w:pPr>
            <w:r w:rsidRPr="00873B6C">
              <w:rPr>
                <w:sz w:val="16"/>
                <w:szCs w:val="16"/>
              </w:rPr>
              <w:t>1667</w:t>
            </w:r>
          </w:p>
        </w:tc>
        <w:tc>
          <w:tcPr>
            <w:tcW w:w="425" w:type="dxa"/>
            <w:shd w:val="solid" w:color="FFFFFF" w:fill="auto"/>
          </w:tcPr>
          <w:p w14:paraId="320FA077"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C8BC01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854D114" w14:textId="77777777" w:rsidR="00D40151" w:rsidRPr="00873B6C" w:rsidRDefault="00D40151" w:rsidP="009D14FB">
            <w:pPr>
              <w:pStyle w:val="TAL"/>
              <w:rPr>
                <w:sz w:val="16"/>
                <w:szCs w:val="16"/>
              </w:rPr>
            </w:pPr>
            <w:r w:rsidRPr="00873B6C">
              <w:rPr>
                <w:sz w:val="16"/>
                <w:szCs w:val="16"/>
              </w:rPr>
              <w:t>Introduction of RRC Connection Re-Establishment for CP</w:t>
            </w:r>
          </w:p>
        </w:tc>
        <w:tc>
          <w:tcPr>
            <w:tcW w:w="708" w:type="dxa"/>
            <w:shd w:val="solid" w:color="FFFFFF" w:fill="auto"/>
          </w:tcPr>
          <w:p w14:paraId="28E5B1E0" w14:textId="77777777" w:rsidR="00D40151" w:rsidRPr="00873B6C" w:rsidRDefault="00D40151" w:rsidP="009D14FB">
            <w:pPr>
              <w:pStyle w:val="TAC"/>
              <w:rPr>
                <w:sz w:val="16"/>
                <w:szCs w:val="16"/>
              </w:rPr>
            </w:pPr>
            <w:r w:rsidRPr="00873B6C">
              <w:rPr>
                <w:sz w:val="16"/>
                <w:szCs w:val="16"/>
              </w:rPr>
              <w:t>16.3.0</w:t>
            </w:r>
          </w:p>
        </w:tc>
      </w:tr>
      <w:tr w:rsidR="00D40151" w:rsidRPr="00873B6C" w14:paraId="2F5A212F" w14:textId="77777777" w:rsidTr="009D14FB">
        <w:tc>
          <w:tcPr>
            <w:tcW w:w="800" w:type="dxa"/>
            <w:shd w:val="solid" w:color="FFFFFF" w:fill="auto"/>
          </w:tcPr>
          <w:p w14:paraId="1C60589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7339B6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1DCC21C"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1D0F9F44" w14:textId="77777777" w:rsidR="00D40151" w:rsidRPr="00873B6C" w:rsidRDefault="00D40151" w:rsidP="009D14FB">
            <w:pPr>
              <w:pStyle w:val="TAL"/>
              <w:rPr>
                <w:sz w:val="16"/>
                <w:szCs w:val="16"/>
              </w:rPr>
            </w:pPr>
            <w:r w:rsidRPr="00873B6C">
              <w:rPr>
                <w:sz w:val="16"/>
                <w:szCs w:val="16"/>
              </w:rPr>
              <w:t>1679</w:t>
            </w:r>
          </w:p>
        </w:tc>
        <w:tc>
          <w:tcPr>
            <w:tcW w:w="425" w:type="dxa"/>
            <w:shd w:val="solid" w:color="FFFFFF" w:fill="auto"/>
          </w:tcPr>
          <w:p w14:paraId="7B5DA72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2E361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1BC623" w14:textId="77777777" w:rsidR="00D40151" w:rsidRPr="00873B6C" w:rsidRDefault="00D40151" w:rsidP="009D14FB">
            <w:pPr>
              <w:pStyle w:val="TAL"/>
              <w:rPr>
                <w:sz w:val="16"/>
                <w:szCs w:val="16"/>
              </w:rPr>
            </w:pPr>
            <w:r w:rsidRPr="00873B6C">
              <w:rPr>
                <w:sz w:val="16"/>
                <w:szCs w:val="16"/>
              </w:rPr>
              <w:t>Clarification on target address in service request message</w:t>
            </w:r>
          </w:p>
        </w:tc>
        <w:tc>
          <w:tcPr>
            <w:tcW w:w="708" w:type="dxa"/>
            <w:shd w:val="solid" w:color="FFFFFF" w:fill="auto"/>
          </w:tcPr>
          <w:p w14:paraId="5C8D2F3D" w14:textId="77777777" w:rsidR="00D40151" w:rsidRPr="00873B6C" w:rsidRDefault="00D40151" w:rsidP="009D14FB">
            <w:pPr>
              <w:pStyle w:val="TAC"/>
              <w:rPr>
                <w:sz w:val="16"/>
                <w:szCs w:val="16"/>
              </w:rPr>
            </w:pPr>
            <w:r w:rsidRPr="00873B6C">
              <w:rPr>
                <w:sz w:val="16"/>
                <w:szCs w:val="16"/>
              </w:rPr>
              <w:t>16.3.0</w:t>
            </w:r>
          </w:p>
        </w:tc>
      </w:tr>
      <w:tr w:rsidR="00D40151" w:rsidRPr="00873B6C" w14:paraId="66D2D383" w14:textId="77777777" w:rsidTr="009D14FB">
        <w:tc>
          <w:tcPr>
            <w:tcW w:w="800" w:type="dxa"/>
            <w:shd w:val="solid" w:color="FFFFFF" w:fill="auto"/>
          </w:tcPr>
          <w:p w14:paraId="2FB7E2B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C823E4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B9B3C65"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3D68E767" w14:textId="77777777" w:rsidR="00D40151" w:rsidRPr="00873B6C" w:rsidRDefault="00D40151" w:rsidP="009D14FB">
            <w:pPr>
              <w:pStyle w:val="TAL"/>
              <w:rPr>
                <w:sz w:val="16"/>
                <w:szCs w:val="16"/>
              </w:rPr>
            </w:pPr>
            <w:r w:rsidRPr="00873B6C">
              <w:rPr>
                <w:sz w:val="16"/>
                <w:szCs w:val="16"/>
              </w:rPr>
              <w:t>1687</w:t>
            </w:r>
          </w:p>
        </w:tc>
        <w:tc>
          <w:tcPr>
            <w:tcW w:w="425" w:type="dxa"/>
            <w:shd w:val="solid" w:color="FFFFFF" w:fill="auto"/>
          </w:tcPr>
          <w:p w14:paraId="7C8225D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7F3B27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B12E3D6" w14:textId="77777777" w:rsidR="00D40151" w:rsidRPr="00873B6C" w:rsidRDefault="00D40151" w:rsidP="009D14FB">
            <w:pPr>
              <w:pStyle w:val="TAL"/>
              <w:rPr>
                <w:sz w:val="16"/>
                <w:szCs w:val="16"/>
              </w:rPr>
            </w:pPr>
            <w:r w:rsidRPr="00873B6C">
              <w:rPr>
                <w:sz w:val="16"/>
                <w:szCs w:val="16"/>
              </w:rPr>
              <w:t>Condition for the UE to provide a Requested NSSAI</w:t>
            </w:r>
          </w:p>
        </w:tc>
        <w:tc>
          <w:tcPr>
            <w:tcW w:w="708" w:type="dxa"/>
            <w:shd w:val="solid" w:color="FFFFFF" w:fill="auto"/>
          </w:tcPr>
          <w:p w14:paraId="2EBB69B3" w14:textId="77777777" w:rsidR="00D40151" w:rsidRPr="00873B6C" w:rsidRDefault="00D40151" w:rsidP="009D14FB">
            <w:pPr>
              <w:pStyle w:val="TAC"/>
              <w:rPr>
                <w:sz w:val="16"/>
                <w:szCs w:val="16"/>
              </w:rPr>
            </w:pPr>
            <w:r w:rsidRPr="00873B6C">
              <w:rPr>
                <w:sz w:val="16"/>
                <w:szCs w:val="16"/>
              </w:rPr>
              <w:t>16.3.0</w:t>
            </w:r>
          </w:p>
        </w:tc>
      </w:tr>
      <w:tr w:rsidR="00D40151" w:rsidRPr="00873B6C" w14:paraId="7D983088" w14:textId="77777777" w:rsidTr="009D14FB">
        <w:tc>
          <w:tcPr>
            <w:tcW w:w="800" w:type="dxa"/>
            <w:shd w:val="solid" w:color="FFFFFF" w:fill="auto"/>
          </w:tcPr>
          <w:p w14:paraId="4109407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AFB53C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6C9A966" w14:textId="77777777" w:rsidR="00D40151" w:rsidRPr="00873B6C" w:rsidRDefault="00D40151" w:rsidP="009D14FB">
            <w:pPr>
              <w:pStyle w:val="TAC"/>
              <w:rPr>
                <w:sz w:val="16"/>
                <w:szCs w:val="16"/>
              </w:rPr>
            </w:pPr>
            <w:r w:rsidRPr="00873B6C">
              <w:rPr>
                <w:sz w:val="16"/>
                <w:szCs w:val="16"/>
              </w:rPr>
              <w:t>SP-191076</w:t>
            </w:r>
          </w:p>
        </w:tc>
        <w:tc>
          <w:tcPr>
            <w:tcW w:w="567" w:type="dxa"/>
            <w:shd w:val="solid" w:color="FFFFFF" w:fill="auto"/>
          </w:tcPr>
          <w:p w14:paraId="7174790E" w14:textId="77777777" w:rsidR="00D40151" w:rsidRPr="00873B6C" w:rsidRDefault="00D40151" w:rsidP="009D14FB">
            <w:pPr>
              <w:pStyle w:val="TAL"/>
              <w:rPr>
                <w:sz w:val="16"/>
                <w:szCs w:val="16"/>
              </w:rPr>
            </w:pPr>
            <w:r w:rsidRPr="00873B6C">
              <w:rPr>
                <w:sz w:val="16"/>
                <w:szCs w:val="16"/>
              </w:rPr>
              <w:t>1688</w:t>
            </w:r>
          </w:p>
        </w:tc>
        <w:tc>
          <w:tcPr>
            <w:tcW w:w="425" w:type="dxa"/>
            <w:shd w:val="solid" w:color="FFFFFF" w:fill="auto"/>
          </w:tcPr>
          <w:p w14:paraId="1C55077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50C6A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57C2ED" w14:textId="77777777" w:rsidR="00D40151" w:rsidRPr="00873B6C" w:rsidRDefault="00D40151" w:rsidP="009D14FB">
            <w:pPr>
              <w:pStyle w:val="TAL"/>
              <w:rPr>
                <w:sz w:val="16"/>
                <w:szCs w:val="16"/>
              </w:rPr>
            </w:pPr>
            <w:r w:rsidRPr="00873B6C">
              <w:rPr>
                <w:sz w:val="16"/>
                <w:szCs w:val="16"/>
              </w:rPr>
              <w:t>Network slicing impacts of Wireless and Wireline Convergence</w:t>
            </w:r>
          </w:p>
        </w:tc>
        <w:tc>
          <w:tcPr>
            <w:tcW w:w="708" w:type="dxa"/>
            <w:shd w:val="solid" w:color="FFFFFF" w:fill="auto"/>
          </w:tcPr>
          <w:p w14:paraId="69DDD097" w14:textId="77777777" w:rsidR="00D40151" w:rsidRPr="00873B6C" w:rsidRDefault="00D40151" w:rsidP="009D14FB">
            <w:pPr>
              <w:pStyle w:val="TAC"/>
              <w:rPr>
                <w:sz w:val="16"/>
                <w:szCs w:val="16"/>
              </w:rPr>
            </w:pPr>
            <w:r w:rsidRPr="00873B6C">
              <w:rPr>
                <w:sz w:val="16"/>
                <w:szCs w:val="16"/>
              </w:rPr>
              <w:t>16.3.0</w:t>
            </w:r>
          </w:p>
        </w:tc>
      </w:tr>
      <w:tr w:rsidR="00D40151" w:rsidRPr="00873B6C" w14:paraId="6C814698" w14:textId="77777777" w:rsidTr="009D14FB">
        <w:tc>
          <w:tcPr>
            <w:tcW w:w="800" w:type="dxa"/>
            <w:shd w:val="solid" w:color="FFFFFF" w:fill="auto"/>
          </w:tcPr>
          <w:p w14:paraId="528ABF0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FCF3F7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CC39758"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3691EB41" w14:textId="77777777" w:rsidR="00D40151" w:rsidRPr="00873B6C" w:rsidRDefault="00D40151" w:rsidP="009D14FB">
            <w:pPr>
              <w:pStyle w:val="TAL"/>
              <w:rPr>
                <w:sz w:val="16"/>
                <w:szCs w:val="16"/>
              </w:rPr>
            </w:pPr>
            <w:r w:rsidRPr="00873B6C">
              <w:rPr>
                <w:sz w:val="16"/>
                <w:szCs w:val="16"/>
              </w:rPr>
              <w:t>1689</w:t>
            </w:r>
          </w:p>
        </w:tc>
        <w:tc>
          <w:tcPr>
            <w:tcW w:w="425" w:type="dxa"/>
            <w:shd w:val="solid" w:color="FFFFFF" w:fill="auto"/>
          </w:tcPr>
          <w:p w14:paraId="16FADFC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166990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085D15" w14:textId="77777777" w:rsidR="00D40151" w:rsidRPr="00873B6C" w:rsidRDefault="00D40151" w:rsidP="009D14FB">
            <w:pPr>
              <w:pStyle w:val="TAL"/>
              <w:rPr>
                <w:sz w:val="16"/>
                <w:szCs w:val="16"/>
              </w:rPr>
            </w:pPr>
            <w:r w:rsidRPr="00873B6C">
              <w:rPr>
                <w:sz w:val="16"/>
                <w:szCs w:val="16"/>
              </w:rPr>
              <w:t>Support of TAs with heterogeneous support of eDRX</w:t>
            </w:r>
          </w:p>
        </w:tc>
        <w:tc>
          <w:tcPr>
            <w:tcW w:w="708" w:type="dxa"/>
            <w:shd w:val="solid" w:color="FFFFFF" w:fill="auto"/>
          </w:tcPr>
          <w:p w14:paraId="03E7BE6E" w14:textId="77777777" w:rsidR="00D40151" w:rsidRPr="00873B6C" w:rsidRDefault="00D40151" w:rsidP="009D14FB">
            <w:pPr>
              <w:pStyle w:val="TAC"/>
              <w:rPr>
                <w:sz w:val="16"/>
                <w:szCs w:val="16"/>
              </w:rPr>
            </w:pPr>
            <w:r w:rsidRPr="00873B6C">
              <w:rPr>
                <w:sz w:val="16"/>
                <w:szCs w:val="16"/>
              </w:rPr>
              <w:t>16.3.0</w:t>
            </w:r>
          </w:p>
        </w:tc>
      </w:tr>
      <w:tr w:rsidR="00D40151" w:rsidRPr="00873B6C" w14:paraId="0F6D8229" w14:textId="77777777" w:rsidTr="009D14FB">
        <w:tc>
          <w:tcPr>
            <w:tcW w:w="800" w:type="dxa"/>
            <w:shd w:val="solid" w:color="FFFFFF" w:fill="auto"/>
          </w:tcPr>
          <w:p w14:paraId="367E1DB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F47EAD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5096518"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4781086" w14:textId="77777777" w:rsidR="00D40151" w:rsidRPr="00873B6C" w:rsidRDefault="00D40151" w:rsidP="009D14FB">
            <w:pPr>
              <w:pStyle w:val="TAL"/>
              <w:rPr>
                <w:sz w:val="16"/>
                <w:szCs w:val="16"/>
              </w:rPr>
            </w:pPr>
            <w:r w:rsidRPr="00873B6C">
              <w:rPr>
                <w:sz w:val="16"/>
                <w:szCs w:val="16"/>
              </w:rPr>
              <w:t>1690</w:t>
            </w:r>
          </w:p>
        </w:tc>
        <w:tc>
          <w:tcPr>
            <w:tcW w:w="425" w:type="dxa"/>
            <w:shd w:val="solid" w:color="FFFFFF" w:fill="auto"/>
          </w:tcPr>
          <w:p w14:paraId="3D1ED77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3CFAE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7311E4" w14:textId="77777777" w:rsidR="00D40151" w:rsidRPr="00873B6C" w:rsidRDefault="00D40151" w:rsidP="009D14FB">
            <w:pPr>
              <w:pStyle w:val="TAL"/>
              <w:rPr>
                <w:sz w:val="16"/>
                <w:szCs w:val="16"/>
              </w:rPr>
            </w:pPr>
            <w:r w:rsidRPr="00873B6C">
              <w:rPr>
                <w:sz w:val="16"/>
                <w:szCs w:val="16"/>
              </w:rPr>
              <w:t>Control Plane CIoT 5GS Optimisations restriction on NR</w:t>
            </w:r>
          </w:p>
        </w:tc>
        <w:tc>
          <w:tcPr>
            <w:tcW w:w="708" w:type="dxa"/>
            <w:shd w:val="solid" w:color="FFFFFF" w:fill="auto"/>
          </w:tcPr>
          <w:p w14:paraId="1A822FB9" w14:textId="77777777" w:rsidR="00D40151" w:rsidRPr="00873B6C" w:rsidRDefault="00D40151" w:rsidP="009D14FB">
            <w:pPr>
              <w:pStyle w:val="TAC"/>
              <w:rPr>
                <w:sz w:val="16"/>
                <w:szCs w:val="16"/>
              </w:rPr>
            </w:pPr>
            <w:r w:rsidRPr="00873B6C">
              <w:rPr>
                <w:sz w:val="16"/>
                <w:szCs w:val="16"/>
              </w:rPr>
              <w:t>16.3.0</w:t>
            </w:r>
          </w:p>
        </w:tc>
      </w:tr>
      <w:tr w:rsidR="00D40151" w:rsidRPr="00873B6C" w14:paraId="06A97121" w14:textId="77777777" w:rsidTr="009D14FB">
        <w:tc>
          <w:tcPr>
            <w:tcW w:w="800" w:type="dxa"/>
            <w:shd w:val="solid" w:color="FFFFFF" w:fill="auto"/>
          </w:tcPr>
          <w:p w14:paraId="772709F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FB6A6A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D24C8DD"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573A787C" w14:textId="77777777" w:rsidR="00D40151" w:rsidRPr="00873B6C" w:rsidRDefault="00D40151" w:rsidP="009D14FB">
            <w:pPr>
              <w:pStyle w:val="TAL"/>
              <w:rPr>
                <w:sz w:val="16"/>
                <w:szCs w:val="16"/>
              </w:rPr>
            </w:pPr>
            <w:r w:rsidRPr="00873B6C">
              <w:rPr>
                <w:sz w:val="16"/>
                <w:szCs w:val="16"/>
              </w:rPr>
              <w:t>1692</w:t>
            </w:r>
          </w:p>
        </w:tc>
        <w:tc>
          <w:tcPr>
            <w:tcW w:w="425" w:type="dxa"/>
            <w:shd w:val="solid" w:color="FFFFFF" w:fill="auto"/>
          </w:tcPr>
          <w:p w14:paraId="792D21B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7315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119A0F7" w14:textId="77777777" w:rsidR="00D40151" w:rsidRPr="00873B6C" w:rsidRDefault="00D40151" w:rsidP="009D14FB">
            <w:pPr>
              <w:pStyle w:val="TAL"/>
              <w:rPr>
                <w:sz w:val="16"/>
                <w:szCs w:val="16"/>
              </w:rPr>
            </w:pPr>
            <w:r w:rsidRPr="00873B6C">
              <w:rPr>
                <w:sz w:val="16"/>
                <w:szCs w:val="16"/>
              </w:rPr>
              <w:t>Addition of I-NEF to Network Functions</w:t>
            </w:r>
          </w:p>
        </w:tc>
        <w:tc>
          <w:tcPr>
            <w:tcW w:w="708" w:type="dxa"/>
            <w:shd w:val="solid" w:color="FFFFFF" w:fill="auto"/>
          </w:tcPr>
          <w:p w14:paraId="4F40DEA0" w14:textId="77777777" w:rsidR="00D40151" w:rsidRPr="00873B6C" w:rsidRDefault="00D40151" w:rsidP="009D14FB">
            <w:pPr>
              <w:pStyle w:val="TAC"/>
              <w:rPr>
                <w:sz w:val="16"/>
                <w:szCs w:val="16"/>
              </w:rPr>
            </w:pPr>
            <w:r w:rsidRPr="00873B6C">
              <w:rPr>
                <w:sz w:val="16"/>
                <w:szCs w:val="16"/>
              </w:rPr>
              <w:t>16.3.0</w:t>
            </w:r>
          </w:p>
        </w:tc>
      </w:tr>
      <w:tr w:rsidR="00D40151" w:rsidRPr="00873B6C" w14:paraId="4D5BA140" w14:textId="77777777" w:rsidTr="009D14FB">
        <w:tc>
          <w:tcPr>
            <w:tcW w:w="800" w:type="dxa"/>
            <w:shd w:val="solid" w:color="FFFFFF" w:fill="auto"/>
          </w:tcPr>
          <w:p w14:paraId="2D65A52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F7CA7E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C42E6C5"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0D9BEBD6" w14:textId="77777777" w:rsidR="00D40151" w:rsidRPr="00873B6C" w:rsidRDefault="00D40151" w:rsidP="009D14FB">
            <w:pPr>
              <w:pStyle w:val="TAL"/>
              <w:rPr>
                <w:sz w:val="16"/>
                <w:szCs w:val="16"/>
              </w:rPr>
            </w:pPr>
            <w:r w:rsidRPr="00873B6C">
              <w:rPr>
                <w:sz w:val="16"/>
                <w:szCs w:val="16"/>
              </w:rPr>
              <w:t>1693</w:t>
            </w:r>
          </w:p>
        </w:tc>
        <w:tc>
          <w:tcPr>
            <w:tcW w:w="425" w:type="dxa"/>
            <w:shd w:val="solid" w:color="FFFFFF" w:fill="auto"/>
          </w:tcPr>
          <w:p w14:paraId="31B3232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0590BD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278A60" w14:textId="77777777" w:rsidR="00D40151" w:rsidRPr="00873B6C" w:rsidRDefault="00D40151" w:rsidP="009D14FB">
            <w:pPr>
              <w:pStyle w:val="TAL"/>
              <w:rPr>
                <w:sz w:val="16"/>
                <w:szCs w:val="16"/>
              </w:rPr>
            </w:pPr>
            <w:r w:rsidRPr="00873B6C">
              <w:rPr>
                <w:sz w:val="16"/>
                <w:szCs w:val="16"/>
              </w:rPr>
              <w:t>Service Exposure in Interworking Scenarios</w:t>
            </w:r>
          </w:p>
        </w:tc>
        <w:tc>
          <w:tcPr>
            <w:tcW w:w="708" w:type="dxa"/>
            <w:shd w:val="solid" w:color="FFFFFF" w:fill="auto"/>
          </w:tcPr>
          <w:p w14:paraId="0EF44DDC" w14:textId="77777777" w:rsidR="00D40151" w:rsidRPr="00873B6C" w:rsidRDefault="00D40151" w:rsidP="009D14FB">
            <w:pPr>
              <w:pStyle w:val="TAC"/>
              <w:rPr>
                <w:sz w:val="16"/>
                <w:szCs w:val="16"/>
              </w:rPr>
            </w:pPr>
            <w:r w:rsidRPr="00873B6C">
              <w:rPr>
                <w:sz w:val="16"/>
                <w:szCs w:val="16"/>
              </w:rPr>
              <w:t>16.3.0</w:t>
            </w:r>
          </w:p>
        </w:tc>
      </w:tr>
      <w:tr w:rsidR="00D40151" w:rsidRPr="00873B6C" w14:paraId="0E4C9E84" w14:textId="77777777" w:rsidTr="009D14FB">
        <w:tc>
          <w:tcPr>
            <w:tcW w:w="800" w:type="dxa"/>
            <w:shd w:val="solid" w:color="FFFFFF" w:fill="auto"/>
          </w:tcPr>
          <w:p w14:paraId="4F45F42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9B48F8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EF3F914"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60A73A79" w14:textId="77777777" w:rsidR="00D40151" w:rsidRPr="00873B6C" w:rsidRDefault="00D40151" w:rsidP="009D14FB">
            <w:pPr>
              <w:pStyle w:val="TAL"/>
              <w:rPr>
                <w:sz w:val="16"/>
                <w:szCs w:val="16"/>
              </w:rPr>
            </w:pPr>
            <w:r w:rsidRPr="00873B6C">
              <w:rPr>
                <w:sz w:val="16"/>
                <w:szCs w:val="16"/>
              </w:rPr>
              <w:t>1695</w:t>
            </w:r>
          </w:p>
        </w:tc>
        <w:tc>
          <w:tcPr>
            <w:tcW w:w="425" w:type="dxa"/>
            <w:shd w:val="solid" w:color="FFFFFF" w:fill="auto"/>
          </w:tcPr>
          <w:p w14:paraId="0A7B155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EEF6FB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9DC501" w14:textId="77777777" w:rsidR="00D40151" w:rsidRPr="00873B6C" w:rsidRDefault="00D40151" w:rsidP="009D14FB">
            <w:pPr>
              <w:pStyle w:val="TAL"/>
              <w:rPr>
                <w:sz w:val="16"/>
                <w:szCs w:val="16"/>
              </w:rPr>
            </w:pPr>
            <w:r w:rsidRPr="00873B6C">
              <w:rPr>
                <w:sz w:val="16"/>
                <w:szCs w:val="16"/>
              </w:rPr>
              <w:t>Correction to PPI setting control over N4</w:t>
            </w:r>
          </w:p>
        </w:tc>
        <w:tc>
          <w:tcPr>
            <w:tcW w:w="708" w:type="dxa"/>
            <w:shd w:val="solid" w:color="FFFFFF" w:fill="auto"/>
          </w:tcPr>
          <w:p w14:paraId="699B8510" w14:textId="77777777" w:rsidR="00D40151" w:rsidRPr="00873B6C" w:rsidRDefault="00D40151" w:rsidP="009D14FB">
            <w:pPr>
              <w:pStyle w:val="TAC"/>
              <w:rPr>
                <w:sz w:val="16"/>
                <w:szCs w:val="16"/>
              </w:rPr>
            </w:pPr>
            <w:r w:rsidRPr="00873B6C">
              <w:rPr>
                <w:sz w:val="16"/>
                <w:szCs w:val="16"/>
              </w:rPr>
              <w:t>16.3.0</w:t>
            </w:r>
          </w:p>
        </w:tc>
      </w:tr>
      <w:tr w:rsidR="00D40151" w:rsidRPr="00873B6C" w14:paraId="350E2527" w14:textId="77777777" w:rsidTr="009D14FB">
        <w:tc>
          <w:tcPr>
            <w:tcW w:w="800" w:type="dxa"/>
            <w:shd w:val="solid" w:color="FFFFFF" w:fill="auto"/>
          </w:tcPr>
          <w:p w14:paraId="2C69F06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738F0C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E797C5F"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75A53B60" w14:textId="77777777" w:rsidR="00D40151" w:rsidRPr="00873B6C" w:rsidRDefault="00D40151" w:rsidP="009D14FB">
            <w:pPr>
              <w:pStyle w:val="TAL"/>
              <w:rPr>
                <w:sz w:val="16"/>
                <w:szCs w:val="16"/>
              </w:rPr>
            </w:pPr>
            <w:r w:rsidRPr="00873B6C">
              <w:rPr>
                <w:sz w:val="16"/>
                <w:szCs w:val="16"/>
              </w:rPr>
              <w:t>1697</w:t>
            </w:r>
          </w:p>
        </w:tc>
        <w:tc>
          <w:tcPr>
            <w:tcW w:w="425" w:type="dxa"/>
            <w:shd w:val="solid" w:color="FFFFFF" w:fill="auto"/>
          </w:tcPr>
          <w:p w14:paraId="5EE3BD2C"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1DD1F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FBDB14" w14:textId="77777777" w:rsidR="00D40151" w:rsidRPr="00873B6C" w:rsidRDefault="00D40151" w:rsidP="009D14FB">
            <w:pPr>
              <w:pStyle w:val="TAL"/>
              <w:rPr>
                <w:sz w:val="16"/>
                <w:szCs w:val="16"/>
              </w:rPr>
            </w:pPr>
            <w:r w:rsidRPr="00873B6C">
              <w:rPr>
                <w:sz w:val="16"/>
                <w:szCs w:val="16"/>
              </w:rPr>
              <w:t>Interaction between ETSUN and CIoT.</w:t>
            </w:r>
          </w:p>
        </w:tc>
        <w:tc>
          <w:tcPr>
            <w:tcW w:w="708" w:type="dxa"/>
            <w:shd w:val="solid" w:color="FFFFFF" w:fill="auto"/>
          </w:tcPr>
          <w:p w14:paraId="2B108D6C" w14:textId="77777777" w:rsidR="00D40151" w:rsidRPr="00873B6C" w:rsidRDefault="00D40151" w:rsidP="009D14FB">
            <w:pPr>
              <w:pStyle w:val="TAC"/>
              <w:rPr>
                <w:sz w:val="16"/>
                <w:szCs w:val="16"/>
              </w:rPr>
            </w:pPr>
            <w:r w:rsidRPr="00873B6C">
              <w:rPr>
                <w:sz w:val="16"/>
                <w:szCs w:val="16"/>
              </w:rPr>
              <w:t>16.3.0</w:t>
            </w:r>
          </w:p>
        </w:tc>
      </w:tr>
      <w:tr w:rsidR="00D40151" w:rsidRPr="00873B6C" w14:paraId="170B509A" w14:textId="77777777" w:rsidTr="009D14FB">
        <w:tc>
          <w:tcPr>
            <w:tcW w:w="800" w:type="dxa"/>
            <w:shd w:val="solid" w:color="FFFFFF" w:fill="auto"/>
          </w:tcPr>
          <w:p w14:paraId="7AB4167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9CFCAF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3AB6FC7"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42EC08A6" w14:textId="77777777" w:rsidR="00D40151" w:rsidRPr="00873B6C" w:rsidRDefault="00D40151" w:rsidP="009D14FB">
            <w:pPr>
              <w:pStyle w:val="TAL"/>
              <w:rPr>
                <w:sz w:val="16"/>
                <w:szCs w:val="16"/>
              </w:rPr>
            </w:pPr>
            <w:r w:rsidRPr="00873B6C">
              <w:rPr>
                <w:sz w:val="16"/>
                <w:szCs w:val="16"/>
              </w:rPr>
              <w:t>1698</w:t>
            </w:r>
          </w:p>
        </w:tc>
        <w:tc>
          <w:tcPr>
            <w:tcW w:w="425" w:type="dxa"/>
            <w:shd w:val="solid" w:color="FFFFFF" w:fill="auto"/>
          </w:tcPr>
          <w:p w14:paraId="74149C9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5C880A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FD9105" w14:textId="77777777" w:rsidR="00D40151" w:rsidRPr="00873B6C" w:rsidRDefault="00D40151" w:rsidP="009D14FB">
            <w:pPr>
              <w:pStyle w:val="TAL"/>
              <w:rPr>
                <w:sz w:val="16"/>
                <w:szCs w:val="16"/>
              </w:rPr>
            </w:pPr>
            <w:r w:rsidRPr="00873B6C">
              <w:rPr>
                <w:sz w:val="16"/>
                <w:szCs w:val="16"/>
              </w:rPr>
              <w:t>Clarifications to ETSUN specification</w:t>
            </w:r>
          </w:p>
        </w:tc>
        <w:tc>
          <w:tcPr>
            <w:tcW w:w="708" w:type="dxa"/>
            <w:shd w:val="solid" w:color="FFFFFF" w:fill="auto"/>
          </w:tcPr>
          <w:p w14:paraId="25B11F52" w14:textId="77777777" w:rsidR="00D40151" w:rsidRPr="00873B6C" w:rsidRDefault="00D40151" w:rsidP="009D14FB">
            <w:pPr>
              <w:pStyle w:val="TAC"/>
              <w:rPr>
                <w:sz w:val="16"/>
                <w:szCs w:val="16"/>
              </w:rPr>
            </w:pPr>
            <w:r w:rsidRPr="00873B6C">
              <w:rPr>
                <w:sz w:val="16"/>
                <w:szCs w:val="16"/>
              </w:rPr>
              <w:t>16.3.0</w:t>
            </w:r>
          </w:p>
        </w:tc>
      </w:tr>
      <w:tr w:rsidR="00D40151" w:rsidRPr="00873B6C" w14:paraId="50A9BB55" w14:textId="77777777" w:rsidTr="009D14FB">
        <w:tc>
          <w:tcPr>
            <w:tcW w:w="800" w:type="dxa"/>
            <w:shd w:val="solid" w:color="FFFFFF" w:fill="auto"/>
          </w:tcPr>
          <w:p w14:paraId="281FE62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ACE626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AA2E923"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26D688CE" w14:textId="77777777" w:rsidR="00D40151" w:rsidRPr="00873B6C" w:rsidRDefault="00D40151" w:rsidP="009D14FB">
            <w:pPr>
              <w:pStyle w:val="TAL"/>
              <w:rPr>
                <w:sz w:val="16"/>
                <w:szCs w:val="16"/>
              </w:rPr>
            </w:pPr>
            <w:r w:rsidRPr="00873B6C">
              <w:rPr>
                <w:sz w:val="16"/>
                <w:szCs w:val="16"/>
              </w:rPr>
              <w:t>1702</w:t>
            </w:r>
          </w:p>
        </w:tc>
        <w:tc>
          <w:tcPr>
            <w:tcW w:w="425" w:type="dxa"/>
            <w:shd w:val="solid" w:color="FFFFFF" w:fill="auto"/>
          </w:tcPr>
          <w:p w14:paraId="0F4B1D4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FB0045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A350A1" w14:textId="77777777" w:rsidR="00D40151" w:rsidRPr="00873B6C" w:rsidRDefault="00D40151" w:rsidP="009D14FB">
            <w:pPr>
              <w:pStyle w:val="TAL"/>
              <w:rPr>
                <w:sz w:val="16"/>
                <w:szCs w:val="16"/>
              </w:rPr>
            </w:pPr>
            <w:r w:rsidRPr="00873B6C">
              <w:rPr>
                <w:sz w:val="16"/>
                <w:szCs w:val="16"/>
              </w:rPr>
              <w:t>Clarification on QoS Support for ATSSS</w:t>
            </w:r>
          </w:p>
        </w:tc>
        <w:tc>
          <w:tcPr>
            <w:tcW w:w="708" w:type="dxa"/>
            <w:shd w:val="solid" w:color="FFFFFF" w:fill="auto"/>
          </w:tcPr>
          <w:p w14:paraId="4A58EDDB" w14:textId="77777777" w:rsidR="00D40151" w:rsidRPr="00873B6C" w:rsidRDefault="00D40151" w:rsidP="009D14FB">
            <w:pPr>
              <w:pStyle w:val="TAC"/>
              <w:rPr>
                <w:sz w:val="16"/>
                <w:szCs w:val="16"/>
              </w:rPr>
            </w:pPr>
            <w:r w:rsidRPr="00873B6C">
              <w:rPr>
                <w:sz w:val="16"/>
                <w:szCs w:val="16"/>
              </w:rPr>
              <w:t>16.3.0</w:t>
            </w:r>
          </w:p>
        </w:tc>
      </w:tr>
      <w:tr w:rsidR="00D40151" w:rsidRPr="00873B6C" w14:paraId="60EA7528" w14:textId="77777777" w:rsidTr="009D14FB">
        <w:tc>
          <w:tcPr>
            <w:tcW w:w="800" w:type="dxa"/>
            <w:shd w:val="solid" w:color="FFFFFF" w:fill="auto"/>
          </w:tcPr>
          <w:p w14:paraId="1A847E6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7F1023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3EDD90F"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76ACE452" w14:textId="77777777" w:rsidR="00D40151" w:rsidRPr="00873B6C" w:rsidRDefault="00D40151" w:rsidP="009D14FB">
            <w:pPr>
              <w:pStyle w:val="TAL"/>
              <w:rPr>
                <w:sz w:val="16"/>
                <w:szCs w:val="16"/>
              </w:rPr>
            </w:pPr>
            <w:r w:rsidRPr="00873B6C">
              <w:rPr>
                <w:sz w:val="16"/>
                <w:szCs w:val="16"/>
              </w:rPr>
              <w:t>1703</w:t>
            </w:r>
          </w:p>
        </w:tc>
        <w:tc>
          <w:tcPr>
            <w:tcW w:w="425" w:type="dxa"/>
            <w:shd w:val="solid" w:color="FFFFFF" w:fill="auto"/>
          </w:tcPr>
          <w:p w14:paraId="61C00FC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029439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12E7F2" w14:textId="77777777" w:rsidR="00D40151" w:rsidRPr="00873B6C" w:rsidRDefault="00D40151" w:rsidP="009D14FB">
            <w:pPr>
              <w:pStyle w:val="TAL"/>
              <w:rPr>
                <w:sz w:val="16"/>
                <w:szCs w:val="16"/>
              </w:rPr>
            </w:pPr>
            <w:r w:rsidRPr="00873B6C">
              <w:rPr>
                <w:sz w:val="16"/>
                <w:szCs w:val="16"/>
              </w:rPr>
              <w:t>Clarification on DNN replacement</w:t>
            </w:r>
          </w:p>
        </w:tc>
        <w:tc>
          <w:tcPr>
            <w:tcW w:w="708" w:type="dxa"/>
            <w:shd w:val="solid" w:color="FFFFFF" w:fill="auto"/>
          </w:tcPr>
          <w:p w14:paraId="725924EC" w14:textId="77777777" w:rsidR="00D40151" w:rsidRPr="00873B6C" w:rsidRDefault="00D40151" w:rsidP="009D14FB">
            <w:pPr>
              <w:pStyle w:val="TAC"/>
              <w:rPr>
                <w:sz w:val="16"/>
                <w:szCs w:val="16"/>
              </w:rPr>
            </w:pPr>
            <w:r w:rsidRPr="00873B6C">
              <w:rPr>
                <w:sz w:val="16"/>
                <w:szCs w:val="16"/>
              </w:rPr>
              <w:t>16.3.0</w:t>
            </w:r>
          </w:p>
        </w:tc>
      </w:tr>
      <w:tr w:rsidR="00D40151" w:rsidRPr="00873B6C" w14:paraId="377FEB1B" w14:textId="77777777" w:rsidTr="009D14FB">
        <w:tc>
          <w:tcPr>
            <w:tcW w:w="800" w:type="dxa"/>
            <w:shd w:val="solid" w:color="FFFFFF" w:fill="auto"/>
          </w:tcPr>
          <w:p w14:paraId="1D9D707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BEFBB5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6F341C9"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6D2FB0E8" w14:textId="77777777" w:rsidR="00D40151" w:rsidRPr="00873B6C" w:rsidRDefault="00D40151" w:rsidP="009D14FB">
            <w:pPr>
              <w:pStyle w:val="TAL"/>
              <w:rPr>
                <w:sz w:val="16"/>
                <w:szCs w:val="16"/>
              </w:rPr>
            </w:pPr>
            <w:r w:rsidRPr="00873B6C">
              <w:rPr>
                <w:sz w:val="16"/>
                <w:szCs w:val="16"/>
              </w:rPr>
              <w:t>1710</w:t>
            </w:r>
          </w:p>
        </w:tc>
        <w:tc>
          <w:tcPr>
            <w:tcW w:w="425" w:type="dxa"/>
            <w:shd w:val="solid" w:color="FFFFFF" w:fill="auto"/>
          </w:tcPr>
          <w:p w14:paraId="59A29BE8" w14:textId="77777777" w:rsidR="00D40151" w:rsidRPr="00873B6C" w:rsidRDefault="00D40151" w:rsidP="009D14FB">
            <w:pPr>
              <w:pStyle w:val="TAL"/>
              <w:rPr>
                <w:sz w:val="16"/>
                <w:szCs w:val="16"/>
              </w:rPr>
            </w:pPr>
            <w:r w:rsidRPr="00873B6C">
              <w:rPr>
                <w:sz w:val="16"/>
                <w:szCs w:val="16"/>
              </w:rPr>
              <w:t xml:space="preserve">4 </w:t>
            </w:r>
          </w:p>
        </w:tc>
        <w:tc>
          <w:tcPr>
            <w:tcW w:w="425" w:type="dxa"/>
            <w:shd w:val="solid" w:color="FFFFFF" w:fill="auto"/>
          </w:tcPr>
          <w:p w14:paraId="4E43F53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2301F8" w14:textId="77777777" w:rsidR="00D40151" w:rsidRPr="00873B6C" w:rsidRDefault="00D40151" w:rsidP="009D14FB">
            <w:pPr>
              <w:pStyle w:val="TAL"/>
              <w:rPr>
                <w:sz w:val="16"/>
                <w:szCs w:val="16"/>
              </w:rPr>
            </w:pPr>
            <w:r w:rsidRPr="00873B6C">
              <w:rPr>
                <w:sz w:val="16"/>
                <w:szCs w:val="16"/>
              </w:rPr>
              <w:t>Clarification on N6 traffic routing information for Ethernet type PDU Session</w:t>
            </w:r>
          </w:p>
        </w:tc>
        <w:tc>
          <w:tcPr>
            <w:tcW w:w="708" w:type="dxa"/>
            <w:shd w:val="solid" w:color="FFFFFF" w:fill="auto"/>
          </w:tcPr>
          <w:p w14:paraId="7A0F4967" w14:textId="77777777" w:rsidR="00D40151" w:rsidRPr="00873B6C" w:rsidRDefault="00D40151" w:rsidP="009D14FB">
            <w:pPr>
              <w:pStyle w:val="TAC"/>
              <w:rPr>
                <w:sz w:val="16"/>
                <w:szCs w:val="16"/>
              </w:rPr>
            </w:pPr>
            <w:r w:rsidRPr="00873B6C">
              <w:rPr>
                <w:sz w:val="16"/>
                <w:szCs w:val="16"/>
              </w:rPr>
              <w:t>16.3.0</w:t>
            </w:r>
          </w:p>
        </w:tc>
      </w:tr>
      <w:tr w:rsidR="00D40151" w:rsidRPr="00873B6C" w14:paraId="4974782E" w14:textId="77777777" w:rsidTr="009D14FB">
        <w:tc>
          <w:tcPr>
            <w:tcW w:w="800" w:type="dxa"/>
            <w:shd w:val="solid" w:color="FFFFFF" w:fill="auto"/>
          </w:tcPr>
          <w:p w14:paraId="416B39D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997789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2FA70F4"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CCC25A4" w14:textId="77777777" w:rsidR="00D40151" w:rsidRPr="00873B6C" w:rsidRDefault="00D40151" w:rsidP="009D14FB">
            <w:pPr>
              <w:pStyle w:val="TAL"/>
              <w:rPr>
                <w:sz w:val="16"/>
                <w:szCs w:val="16"/>
              </w:rPr>
            </w:pPr>
            <w:r w:rsidRPr="00873B6C">
              <w:rPr>
                <w:sz w:val="16"/>
                <w:szCs w:val="16"/>
              </w:rPr>
              <w:t>1711</w:t>
            </w:r>
          </w:p>
        </w:tc>
        <w:tc>
          <w:tcPr>
            <w:tcW w:w="425" w:type="dxa"/>
            <w:shd w:val="solid" w:color="FFFFFF" w:fill="auto"/>
          </w:tcPr>
          <w:p w14:paraId="6ECCFF1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962C8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A86628" w14:textId="0C045760" w:rsidR="00D40151" w:rsidRPr="00873B6C" w:rsidRDefault="00D40151" w:rsidP="009D14FB">
            <w:pPr>
              <w:pStyle w:val="TAL"/>
              <w:rPr>
                <w:sz w:val="16"/>
                <w:szCs w:val="16"/>
              </w:rPr>
            </w:pPr>
            <w:r w:rsidRPr="00873B6C">
              <w:rPr>
                <w:sz w:val="16"/>
                <w:szCs w:val="16"/>
              </w:rPr>
              <w:t xml:space="preserve">clarification on N6-based traffic forwarding of </w:t>
            </w:r>
            <w:r w:rsidR="00704A9E" w:rsidRPr="00873B6C">
              <w:rPr>
                <w:sz w:val="16"/>
                <w:szCs w:val="16"/>
              </w:rPr>
              <w:t>5G-VN</w:t>
            </w:r>
          </w:p>
        </w:tc>
        <w:tc>
          <w:tcPr>
            <w:tcW w:w="708" w:type="dxa"/>
            <w:shd w:val="solid" w:color="FFFFFF" w:fill="auto"/>
          </w:tcPr>
          <w:p w14:paraId="70640DDB" w14:textId="77777777" w:rsidR="00D40151" w:rsidRPr="00873B6C" w:rsidRDefault="00D40151" w:rsidP="009D14FB">
            <w:pPr>
              <w:pStyle w:val="TAC"/>
              <w:rPr>
                <w:sz w:val="16"/>
                <w:szCs w:val="16"/>
              </w:rPr>
            </w:pPr>
            <w:r w:rsidRPr="00873B6C">
              <w:rPr>
                <w:sz w:val="16"/>
                <w:szCs w:val="16"/>
              </w:rPr>
              <w:t>16.3.0</w:t>
            </w:r>
          </w:p>
        </w:tc>
      </w:tr>
      <w:tr w:rsidR="00D40151" w:rsidRPr="00873B6C" w14:paraId="0D79ADCA" w14:textId="77777777" w:rsidTr="009D14FB">
        <w:tc>
          <w:tcPr>
            <w:tcW w:w="800" w:type="dxa"/>
            <w:shd w:val="solid" w:color="FFFFFF" w:fill="auto"/>
          </w:tcPr>
          <w:p w14:paraId="14334CA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F10C1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0EE0104"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15A9B997" w14:textId="77777777" w:rsidR="00D40151" w:rsidRPr="00873B6C" w:rsidRDefault="00D40151" w:rsidP="009D14FB">
            <w:pPr>
              <w:pStyle w:val="TAL"/>
              <w:rPr>
                <w:sz w:val="16"/>
                <w:szCs w:val="16"/>
              </w:rPr>
            </w:pPr>
            <w:r w:rsidRPr="00873B6C">
              <w:rPr>
                <w:sz w:val="16"/>
                <w:szCs w:val="16"/>
              </w:rPr>
              <w:t>1714</w:t>
            </w:r>
          </w:p>
        </w:tc>
        <w:tc>
          <w:tcPr>
            <w:tcW w:w="425" w:type="dxa"/>
            <w:shd w:val="solid" w:color="FFFFFF" w:fill="auto"/>
          </w:tcPr>
          <w:p w14:paraId="2B41A61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8E21E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B6F7A1" w14:textId="77777777" w:rsidR="00D40151" w:rsidRPr="00873B6C" w:rsidRDefault="00D40151" w:rsidP="009D14FB">
            <w:pPr>
              <w:pStyle w:val="TAL"/>
              <w:rPr>
                <w:sz w:val="16"/>
                <w:szCs w:val="16"/>
              </w:rPr>
            </w:pPr>
            <w:r w:rsidRPr="00873B6C">
              <w:rPr>
                <w:sz w:val="16"/>
                <w:szCs w:val="16"/>
              </w:rPr>
              <w:t>MA PDU Upgrade in modification procedure</w:t>
            </w:r>
          </w:p>
        </w:tc>
        <w:tc>
          <w:tcPr>
            <w:tcW w:w="708" w:type="dxa"/>
            <w:shd w:val="solid" w:color="FFFFFF" w:fill="auto"/>
          </w:tcPr>
          <w:p w14:paraId="0146A020" w14:textId="77777777" w:rsidR="00D40151" w:rsidRPr="00873B6C" w:rsidRDefault="00D40151" w:rsidP="009D14FB">
            <w:pPr>
              <w:pStyle w:val="TAC"/>
              <w:rPr>
                <w:sz w:val="16"/>
                <w:szCs w:val="16"/>
              </w:rPr>
            </w:pPr>
            <w:r w:rsidRPr="00873B6C">
              <w:rPr>
                <w:sz w:val="16"/>
                <w:szCs w:val="16"/>
              </w:rPr>
              <w:t>16.3.0</w:t>
            </w:r>
          </w:p>
        </w:tc>
      </w:tr>
      <w:tr w:rsidR="00D40151" w:rsidRPr="00873B6C" w14:paraId="38D426E2" w14:textId="77777777" w:rsidTr="009D14FB">
        <w:tc>
          <w:tcPr>
            <w:tcW w:w="800" w:type="dxa"/>
            <w:shd w:val="solid" w:color="FFFFFF" w:fill="auto"/>
          </w:tcPr>
          <w:p w14:paraId="100CE0C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917C85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06E4B01"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22400B6E" w14:textId="77777777" w:rsidR="00D40151" w:rsidRPr="00873B6C" w:rsidRDefault="00D40151" w:rsidP="009D14FB">
            <w:pPr>
              <w:pStyle w:val="TAL"/>
              <w:rPr>
                <w:sz w:val="16"/>
                <w:szCs w:val="16"/>
              </w:rPr>
            </w:pPr>
            <w:r w:rsidRPr="00873B6C">
              <w:rPr>
                <w:sz w:val="16"/>
                <w:szCs w:val="16"/>
              </w:rPr>
              <w:t>1715</w:t>
            </w:r>
          </w:p>
        </w:tc>
        <w:tc>
          <w:tcPr>
            <w:tcW w:w="425" w:type="dxa"/>
            <w:shd w:val="solid" w:color="FFFFFF" w:fill="auto"/>
          </w:tcPr>
          <w:p w14:paraId="0E0338EE"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2CABC9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67D7A7" w14:textId="77777777" w:rsidR="00D40151" w:rsidRPr="00873B6C" w:rsidRDefault="00D40151" w:rsidP="009D14FB">
            <w:pPr>
              <w:pStyle w:val="TAL"/>
              <w:rPr>
                <w:sz w:val="16"/>
                <w:szCs w:val="16"/>
              </w:rPr>
            </w:pPr>
            <w:r w:rsidRPr="00873B6C">
              <w:rPr>
                <w:sz w:val="16"/>
                <w:szCs w:val="16"/>
              </w:rPr>
              <w:t>Delegated discovery and selection in SCP for CHF and SMSF</w:t>
            </w:r>
          </w:p>
        </w:tc>
        <w:tc>
          <w:tcPr>
            <w:tcW w:w="708" w:type="dxa"/>
            <w:shd w:val="solid" w:color="FFFFFF" w:fill="auto"/>
          </w:tcPr>
          <w:p w14:paraId="0BC8FE65" w14:textId="77777777" w:rsidR="00D40151" w:rsidRPr="00873B6C" w:rsidRDefault="00D40151" w:rsidP="009D14FB">
            <w:pPr>
              <w:pStyle w:val="TAC"/>
              <w:rPr>
                <w:sz w:val="16"/>
                <w:szCs w:val="16"/>
              </w:rPr>
            </w:pPr>
            <w:r w:rsidRPr="00873B6C">
              <w:rPr>
                <w:sz w:val="16"/>
                <w:szCs w:val="16"/>
              </w:rPr>
              <w:t>16.3.0</w:t>
            </w:r>
          </w:p>
        </w:tc>
      </w:tr>
      <w:tr w:rsidR="00D40151" w:rsidRPr="00873B6C" w14:paraId="456A8D1D" w14:textId="77777777" w:rsidTr="009D14FB">
        <w:tc>
          <w:tcPr>
            <w:tcW w:w="800" w:type="dxa"/>
            <w:shd w:val="solid" w:color="FFFFFF" w:fill="auto"/>
          </w:tcPr>
          <w:p w14:paraId="3DE47CC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194900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B652D70"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338CE892" w14:textId="77777777" w:rsidR="00D40151" w:rsidRPr="00873B6C" w:rsidRDefault="00D40151" w:rsidP="009D14FB">
            <w:pPr>
              <w:pStyle w:val="TAL"/>
              <w:rPr>
                <w:sz w:val="16"/>
                <w:szCs w:val="16"/>
              </w:rPr>
            </w:pPr>
            <w:r w:rsidRPr="00873B6C">
              <w:rPr>
                <w:sz w:val="16"/>
                <w:szCs w:val="16"/>
              </w:rPr>
              <w:t>1716</w:t>
            </w:r>
          </w:p>
        </w:tc>
        <w:tc>
          <w:tcPr>
            <w:tcW w:w="425" w:type="dxa"/>
            <w:shd w:val="solid" w:color="FFFFFF" w:fill="auto"/>
          </w:tcPr>
          <w:p w14:paraId="3FC307E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12DABF"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65EA335" w14:textId="77777777" w:rsidR="00D40151" w:rsidRPr="00873B6C" w:rsidRDefault="00D40151" w:rsidP="009D14FB">
            <w:pPr>
              <w:pStyle w:val="TAL"/>
              <w:rPr>
                <w:sz w:val="16"/>
                <w:szCs w:val="16"/>
              </w:rPr>
            </w:pPr>
            <w:r w:rsidRPr="00873B6C">
              <w:rPr>
                <w:sz w:val="16"/>
                <w:szCs w:val="16"/>
              </w:rPr>
              <w:t>Update N4 rules for QoS Monitoring</w:t>
            </w:r>
          </w:p>
        </w:tc>
        <w:tc>
          <w:tcPr>
            <w:tcW w:w="708" w:type="dxa"/>
            <w:shd w:val="solid" w:color="FFFFFF" w:fill="auto"/>
          </w:tcPr>
          <w:p w14:paraId="37A80F95" w14:textId="77777777" w:rsidR="00D40151" w:rsidRPr="00873B6C" w:rsidRDefault="00D40151" w:rsidP="009D14FB">
            <w:pPr>
              <w:pStyle w:val="TAC"/>
              <w:rPr>
                <w:sz w:val="16"/>
                <w:szCs w:val="16"/>
              </w:rPr>
            </w:pPr>
            <w:r w:rsidRPr="00873B6C">
              <w:rPr>
                <w:sz w:val="16"/>
                <w:szCs w:val="16"/>
              </w:rPr>
              <w:t>16.3.0</w:t>
            </w:r>
          </w:p>
        </w:tc>
      </w:tr>
      <w:tr w:rsidR="00D40151" w:rsidRPr="00873B6C" w14:paraId="20E663BC" w14:textId="77777777" w:rsidTr="009D14FB">
        <w:tc>
          <w:tcPr>
            <w:tcW w:w="800" w:type="dxa"/>
            <w:shd w:val="solid" w:color="FFFFFF" w:fill="auto"/>
          </w:tcPr>
          <w:p w14:paraId="23B45E0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9886A9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16D1AB6"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31A69062" w14:textId="77777777" w:rsidR="00D40151" w:rsidRPr="00873B6C" w:rsidRDefault="00D40151" w:rsidP="009D14FB">
            <w:pPr>
              <w:pStyle w:val="TAL"/>
              <w:rPr>
                <w:sz w:val="16"/>
                <w:szCs w:val="16"/>
              </w:rPr>
            </w:pPr>
            <w:r w:rsidRPr="00873B6C">
              <w:rPr>
                <w:sz w:val="16"/>
                <w:szCs w:val="16"/>
              </w:rPr>
              <w:t>1717</w:t>
            </w:r>
          </w:p>
        </w:tc>
        <w:tc>
          <w:tcPr>
            <w:tcW w:w="425" w:type="dxa"/>
            <w:shd w:val="solid" w:color="FFFFFF" w:fill="auto"/>
          </w:tcPr>
          <w:p w14:paraId="5DFDD8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E6357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21E920" w14:textId="77777777" w:rsidR="00D40151" w:rsidRPr="00873B6C" w:rsidRDefault="00D40151" w:rsidP="009D14FB">
            <w:pPr>
              <w:pStyle w:val="TAL"/>
              <w:rPr>
                <w:sz w:val="16"/>
                <w:szCs w:val="16"/>
              </w:rPr>
            </w:pPr>
            <w:r w:rsidRPr="00873B6C">
              <w:rPr>
                <w:sz w:val="16"/>
                <w:szCs w:val="16"/>
              </w:rPr>
              <w:t>Clarification on UE capability update</w:t>
            </w:r>
          </w:p>
        </w:tc>
        <w:tc>
          <w:tcPr>
            <w:tcW w:w="708" w:type="dxa"/>
            <w:shd w:val="solid" w:color="FFFFFF" w:fill="auto"/>
          </w:tcPr>
          <w:p w14:paraId="53F9600B" w14:textId="77777777" w:rsidR="00D40151" w:rsidRPr="00873B6C" w:rsidRDefault="00D40151" w:rsidP="009D14FB">
            <w:pPr>
              <w:pStyle w:val="TAC"/>
              <w:rPr>
                <w:sz w:val="16"/>
                <w:szCs w:val="16"/>
              </w:rPr>
            </w:pPr>
            <w:r w:rsidRPr="00873B6C">
              <w:rPr>
                <w:sz w:val="16"/>
                <w:szCs w:val="16"/>
              </w:rPr>
              <w:t>16.3.0</w:t>
            </w:r>
          </w:p>
        </w:tc>
      </w:tr>
      <w:tr w:rsidR="00D40151" w:rsidRPr="00873B6C" w14:paraId="7B72594B" w14:textId="77777777" w:rsidTr="009D14FB">
        <w:tc>
          <w:tcPr>
            <w:tcW w:w="800" w:type="dxa"/>
            <w:shd w:val="solid" w:color="FFFFFF" w:fill="auto"/>
          </w:tcPr>
          <w:p w14:paraId="418CDFB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46E4C3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66E9553"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B636598" w14:textId="77777777" w:rsidR="00D40151" w:rsidRPr="00873B6C" w:rsidRDefault="00D40151" w:rsidP="009D14FB">
            <w:pPr>
              <w:pStyle w:val="TAL"/>
              <w:rPr>
                <w:sz w:val="16"/>
                <w:szCs w:val="16"/>
              </w:rPr>
            </w:pPr>
            <w:r w:rsidRPr="00873B6C">
              <w:rPr>
                <w:sz w:val="16"/>
                <w:szCs w:val="16"/>
              </w:rPr>
              <w:t>1721</w:t>
            </w:r>
          </w:p>
        </w:tc>
        <w:tc>
          <w:tcPr>
            <w:tcW w:w="425" w:type="dxa"/>
            <w:shd w:val="solid" w:color="FFFFFF" w:fill="auto"/>
          </w:tcPr>
          <w:p w14:paraId="2F3D6D4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2954C5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9DF3B5" w14:textId="77777777" w:rsidR="00D40151" w:rsidRPr="00873B6C" w:rsidRDefault="00D40151" w:rsidP="009D14FB">
            <w:pPr>
              <w:pStyle w:val="TAL"/>
              <w:rPr>
                <w:sz w:val="16"/>
                <w:szCs w:val="16"/>
              </w:rPr>
            </w:pPr>
            <w:r w:rsidRPr="00873B6C">
              <w:rPr>
                <w:sz w:val="16"/>
                <w:szCs w:val="16"/>
              </w:rPr>
              <w:t>Removal of ENs for control plane congestion control</w:t>
            </w:r>
          </w:p>
        </w:tc>
        <w:tc>
          <w:tcPr>
            <w:tcW w:w="708" w:type="dxa"/>
            <w:shd w:val="solid" w:color="FFFFFF" w:fill="auto"/>
          </w:tcPr>
          <w:p w14:paraId="0A9B1B48" w14:textId="77777777" w:rsidR="00D40151" w:rsidRPr="00873B6C" w:rsidRDefault="00D40151" w:rsidP="009D14FB">
            <w:pPr>
              <w:pStyle w:val="TAC"/>
              <w:rPr>
                <w:sz w:val="16"/>
                <w:szCs w:val="16"/>
              </w:rPr>
            </w:pPr>
            <w:r w:rsidRPr="00873B6C">
              <w:rPr>
                <w:sz w:val="16"/>
                <w:szCs w:val="16"/>
              </w:rPr>
              <w:t>16.3.0</w:t>
            </w:r>
          </w:p>
        </w:tc>
      </w:tr>
      <w:tr w:rsidR="00D40151" w:rsidRPr="00873B6C" w14:paraId="286407F0" w14:textId="77777777" w:rsidTr="009D14FB">
        <w:tc>
          <w:tcPr>
            <w:tcW w:w="800" w:type="dxa"/>
            <w:shd w:val="solid" w:color="FFFFFF" w:fill="auto"/>
          </w:tcPr>
          <w:p w14:paraId="6CD87EA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88039A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A311CF9"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49318414" w14:textId="77777777" w:rsidR="00D40151" w:rsidRPr="00873B6C" w:rsidRDefault="00D40151" w:rsidP="009D14FB">
            <w:pPr>
              <w:pStyle w:val="TAL"/>
              <w:rPr>
                <w:sz w:val="16"/>
                <w:szCs w:val="16"/>
              </w:rPr>
            </w:pPr>
            <w:r w:rsidRPr="00873B6C">
              <w:rPr>
                <w:sz w:val="16"/>
                <w:szCs w:val="16"/>
              </w:rPr>
              <w:t>1722</w:t>
            </w:r>
          </w:p>
        </w:tc>
        <w:tc>
          <w:tcPr>
            <w:tcW w:w="425" w:type="dxa"/>
            <w:shd w:val="solid" w:color="FFFFFF" w:fill="auto"/>
          </w:tcPr>
          <w:p w14:paraId="0BA4C46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B0FE57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E38AC2" w14:textId="77777777" w:rsidR="00D40151" w:rsidRPr="00873B6C" w:rsidRDefault="00D40151" w:rsidP="009D14FB">
            <w:pPr>
              <w:pStyle w:val="TAL"/>
              <w:rPr>
                <w:sz w:val="16"/>
                <w:szCs w:val="16"/>
              </w:rPr>
            </w:pPr>
            <w:r w:rsidRPr="00873B6C">
              <w:rPr>
                <w:sz w:val="16"/>
                <w:szCs w:val="16"/>
              </w:rPr>
              <w:t>Multicast forwarding for Ethernet type PDU Session</w:t>
            </w:r>
          </w:p>
        </w:tc>
        <w:tc>
          <w:tcPr>
            <w:tcW w:w="708" w:type="dxa"/>
            <w:shd w:val="solid" w:color="FFFFFF" w:fill="auto"/>
          </w:tcPr>
          <w:p w14:paraId="234EFD9C" w14:textId="77777777" w:rsidR="00D40151" w:rsidRPr="00873B6C" w:rsidRDefault="00D40151" w:rsidP="009D14FB">
            <w:pPr>
              <w:pStyle w:val="TAC"/>
              <w:rPr>
                <w:sz w:val="16"/>
                <w:szCs w:val="16"/>
              </w:rPr>
            </w:pPr>
            <w:r w:rsidRPr="00873B6C">
              <w:rPr>
                <w:sz w:val="16"/>
                <w:szCs w:val="16"/>
              </w:rPr>
              <w:t>16.3.0</w:t>
            </w:r>
          </w:p>
        </w:tc>
      </w:tr>
      <w:tr w:rsidR="00D40151" w:rsidRPr="00873B6C" w14:paraId="44D611F9" w14:textId="77777777" w:rsidTr="009D14FB">
        <w:tc>
          <w:tcPr>
            <w:tcW w:w="800" w:type="dxa"/>
            <w:shd w:val="solid" w:color="FFFFFF" w:fill="auto"/>
          </w:tcPr>
          <w:p w14:paraId="209159D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330ED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725FA8B" w14:textId="77777777" w:rsidR="00D40151" w:rsidRPr="00873B6C" w:rsidRDefault="00D40151" w:rsidP="009D14FB">
            <w:pPr>
              <w:pStyle w:val="TAC"/>
              <w:rPr>
                <w:sz w:val="16"/>
                <w:szCs w:val="16"/>
              </w:rPr>
            </w:pPr>
            <w:r w:rsidRPr="00873B6C">
              <w:rPr>
                <w:sz w:val="16"/>
                <w:szCs w:val="16"/>
              </w:rPr>
              <w:t>SP-191081</w:t>
            </w:r>
          </w:p>
        </w:tc>
        <w:tc>
          <w:tcPr>
            <w:tcW w:w="567" w:type="dxa"/>
            <w:shd w:val="solid" w:color="FFFFFF" w:fill="auto"/>
          </w:tcPr>
          <w:p w14:paraId="570969DC" w14:textId="77777777" w:rsidR="00D40151" w:rsidRPr="00873B6C" w:rsidRDefault="00D40151" w:rsidP="009D14FB">
            <w:pPr>
              <w:pStyle w:val="TAL"/>
              <w:rPr>
                <w:sz w:val="16"/>
                <w:szCs w:val="16"/>
              </w:rPr>
            </w:pPr>
            <w:r w:rsidRPr="00873B6C">
              <w:rPr>
                <w:sz w:val="16"/>
                <w:szCs w:val="16"/>
              </w:rPr>
              <w:t>1723</w:t>
            </w:r>
          </w:p>
        </w:tc>
        <w:tc>
          <w:tcPr>
            <w:tcW w:w="425" w:type="dxa"/>
            <w:shd w:val="solid" w:color="FFFFFF" w:fill="auto"/>
          </w:tcPr>
          <w:p w14:paraId="1F2EF2B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721D37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BB0BB3" w14:textId="77777777" w:rsidR="00D40151" w:rsidRPr="00873B6C" w:rsidRDefault="00D40151" w:rsidP="009D14FB">
            <w:pPr>
              <w:pStyle w:val="TAL"/>
              <w:rPr>
                <w:sz w:val="16"/>
                <w:szCs w:val="16"/>
              </w:rPr>
            </w:pPr>
            <w:r w:rsidRPr="00873B6C">
              <w:rPr>
                <w:sz w:val="16"/>
                <w:szCs w:val="16"/>
              </w:rPr>
              <w:t>Alignments to support Network Slice-Specific Authentication and Authorization</w:t>
            </w:r>
          </w:p>
        </w:tc>
        <w:tc>
          <w:tcPr>
            <w:tcW w:w="708" w:type="dxa"/>
            <w:shd w:val="solid" w:color="FFFFFF" w:fill="auto"/>
          </w:tcPr>
          <w:p w14:paraId="7DBC88B9" w14:textId="77777777" w:rsidR="00D40151" w:rsidRPr="00873B6C" w:rsidRDefault="00D40151" w:rsidP="009D14FB">
            <w:pPr>
              <w:pStyle w:val="TAC"/>
              <w:rPr>
                <w:sz w:val="16"/>
                <w:szCs w:val="16"/>
              </w:rPr>
            </w:pPr>
            <w:r w:rsidRPr="00873B6C">
              <w:rPr>
                <w:sz w:val="16"/>
                <w:szCs w:val="16"/>
              </w:rPr>
              <w:t>16.3.0</w:t>
            </w:r>
          </w:p>
        </w:tc>
      </w:tr>
      <w:tr w:rsidR="00D40151" w:rsidRPr="00873B6C" w14:paraId="0B4458D0" w14:textId="77777777" w:rsidTr="009D14FB">
        <w:tc>
          <w:tcPr>
            <w:tcW w:w="800" w:type="dxa"/>
            <w:shd w:val="solid" w:color="FFFFFF" w:fill="auto"/>
          </w:tcPr>
          <w:p w14:paraId="637C658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64FF7B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4DECAC6"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6215D69C" w14:textId="77777777" w:rsidR="00D40151" w:rsidRPr="00873B6C" w:rsidRDefault="00D40151" w:rsidP="009D14FB">
            <w:pPr>
              <w:pStyle w:val="TAL"/>
              <w:rPr>
                <w:sz w:val="16"/>
                <w:szCs w:val="16"/>
              </w:rPr>
            </w:pPr>
            <w:r w:rsidRPr="00873B6C">
              <w:rPr>
                <w:sz w:val="16"/>
                <w:szCs w:val="16"/>
              </w:rPr>
              <w:t>1726</w:t>
            </w:r>
          </w:p>
        </w:tc>
        <w:tc>
          <w:tcPr>
            <w:tcW w:w="425" w:type="dxa"/>
            <w:shd w:val="solid" w:color="FFFFFF" w:fill="auto"/>
          </w:tcPr>
          <w:p w14:paraId="7AD6FFDA" w14:textId="77777777" w:rsidR="00D40151" w:rsidRPr="00873B6C" w:rsidRDefault="00D40151" w:rsidP="009D14FB">
            <w:pPr>
              <w:pStyle w:val="TAL"/>
              <w:rPr>
                <w:sz w:val="16"/>
                <w:szCs w:val="16"/>
              </w:rPr>
            </w:pPr>
            <w:r w:rsidRPr="00873B6C">
              <w:rPr>
                <w:sz w:val="16"/>
                <w:szCs w:val="16"/>
              </w:rPr>
              <w:t xml:space="preserve">2 </w:t>
            </w:r>
          </w:p>
        </w:tc>
        <w:tc>
          <w:tcPr>
            <w:tcW w:w="425" w:type="dxa"/>
            <w:shd w:val="solid" w:color="FFFFFF" w:fill="auto"/>
          </w:tcPr>
          <w:p w14:paraId="25223E9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C7EC04" w14:textId="77777777" w:rsidR="00D40151" w:rsidRPr="00873B6C" w:rsidRDefault="00D40151" w:rsidP="009D14FB">
            <w:pPr>
              <w:pStyle w:val="TAL"/>
              <w:rPr>
                <w:sz w:val="16"/>
                <w:szCs w:val="16"/>
              </w:rPr>
            </w:pPr>
            <w:r w:rsidRPr="00873B6C">
              <w:rPr>
                <w:sz w:val="16"/>
                <w:szCs w:val="16"/>
              </w:rPr>
              <w:t>Clarification on IPv6 Router Advertisement message in ETSUN</w:t>
            </w:r>
          </w:p>
        </w:tc>
        <w:tc>
          <w:tcPr>
            <w:tcW w:w="708" w:type="dxa"/>
            <w:shd w:val="solid" w:color="FFFFFF" w:fill="auto"/>
          </w:tcPr>
          <w:p w14:paraId="69B62207" w14:textId="77777777" w:rsidR="00D40151" w:rsidRPr="00873B6C" w:rsidRDefault="00D40151" w:rsidP="009D14FB">
            <w:pPr>
              <w:pStyle w:val="TAC"/>
              <w:rPr>
                <w:sz w:val="16"/>
                <w:szCs w:val="16"/>
              </w:rPr>
            </w:pPr>
            <w:r w:rsidRPr="00873B6C">
              <w:rPr>
                <w:sz w:val="16"/>
                <w:szCs w:val="16"/>
              </w:rPr>
              <w:t>16.3.0</w:t>
            </w:r>
          </w:p>
        </w:tc>
      </w:tr>
      <w:tr w:rsidR="00D40151" w:rsidRPr="00873B6C" w14:paraId="4F14DD53" w14:textId="77777777" w:rsidTr="009D14FB">
        <w:tc>
          <w:tcPr>
            <w:tcW w:w="800" w:type="dxa"/>
            <w:shd w:val="solid" w:color="FFFFFF" w:fill="auto"/>
          </w:tcPr>
          <w:p w14:paraId="580FD71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2BC4C2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CC32F9E"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27068F26" w14:textId="77777777" w:rsidR="00D40151" w:rsidRPr="00873B6C" w:rsidRDefault="00D40151" w:rsidP="009D14FB">
            <w:pPr>
              <w:pStyle w:val="TAL"/>
              <w:rPr>
                <w:sz w:val="16"/>
                <w:szCs w:val="16"/>
              </w:rPr>
            </w:pPr>
            <w:r w:rsidRPr="00873B6C">
              <w:rPr>
                <w:sz w:val="16"/>
                <w:szCs w:val="16"/>
              </w:rPr>
              <w:t>1728</w:t>
            </w:r>
          </w:p>
        </w:tc>
        <w:tc>
          <w:tcPr>
            <w:tcW w:w="425" w:type="dxa"/>
            <w:shd w:val="solid" w:color="FFFFFF" w:fill="auto"/>
          </w:tcPr>
          <w:p w14:paraId="41AE7AF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B077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F688C8" w14:textId="77777777" w:rsidR="00D40151" w:rsidRPr="00873B6C" w:rsidRDefault="00D40151" w:rsidP="009D14FB">
            <w:pPr>
              <w:pStyle w:val="TAL"/>
              <w:rPr>
                <w:sz w:val="16"/>
                <w:szCs w:val="16"/>
              </w:rPr>
            </w:pPr>
            <w:r w:rsidRPr="00873B6C">
              <w:rPr>
                <w:sz w:val="16"/>
                <w:szCs w:val="16"/>
              </w:rPr>
              <w:t>SMF selection clarification</w:t>
            </w:r>
          </w:p>
        </w:tc>
        <w:tc>
          <w:tcPr>
            <w:tcW w:w="708" w:type="dxa"/>
            <w:shd w:val="solid" w:color="FFFFFF" w:fill="auto"/>
          </w:tcPr>
          <w:p w14:paraId="6DEA42E2" w14:textId="77777777" w:rsidR="00D40151" w:rsidRPr="00873B6C" w:rsidRDefault="00D40151" w:rsidP="009D14FB">
            <w:pPr>
              <w:pStyle w:val="TAC"/>
              <w:rPr>
                <w:sz w:val="16"/>
                <w:szCs w:val="16"/>
              </w:rPr>
            </w:pPr>
            <w:r w:rsidRPr="00873B6C">
              <w:rPr>
                <w:sz w:val="16"/>
                <w:szCs w:val="16"/>
              </w:rPr>
              <w:t>16.3.0</w:t>
            </w:r>
          </w:p>
        </w:tc>
      </w:tr>
      <w:tr w:rsidR="00D40151" w:rsidRPr="00873B6C" w14:paraId="18FE1286" w14:textId="77777777" w:rsidTr="009D14FB">
        <w:tc>
          <w:tcPr>
            <w:tcW w:w="800" w:type="dxa"/>
            <w:shd w:val="solid" w:color="FFFFFF" w:fill="auto"/>
          </w:tcPr>
          <w:p w14:paraId="6E7B917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5896E8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46236A4"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56D7063F" w14:textId="77777777" w:rsidR="00D40151" w:rsidRPr="00873B6C" w:rsidRDefault="00D40151" w:rsidP="009D14FB">
            <w:pPr>
              <w:pStyle w:val="TAL"/>
              <w:rPr>
                <w:sz w:val="16"/>
                <w:szCs w:val="16"/>
              </w:rPr>
            </w:pPr>
            <w:r w:rsidRPr="00873B6C">
              <w:rPr>
                <w:sz w:val="16"/>
                <w:szCs w:val="16"/>
              </w:rPr>
              <w:t>1729</w:t>
            </w:r>
          </w:p>
        </w:tc>
        <w:tc>
          <w:tcPr>
            <w:tcW w:w="425" w:type="dxa"/>
            <w:shd w:val="solid" w:color="FFFFFF" w:fill="auto"/>
          </w:tcPr>
          <w:p w14:paraId="12178278"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AF4F8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EB6EB4" w14:textId="77777777" w:rsidR="00D40151" w:rsidRPr="00873B6C" w:rsidRDefault="00D40151" w:rsidP="009D14FB">
            <w:pPr>
              <w:pStyle w:val="TAL"/>
              <w:rPr>
                <w:sz w:val="16"/>
                <w:szCs w:val="16"/>
              </w:rPr>
            </w:pPr>
            <w:r w:rsidRPr="00873B6C">
              <w:rPr>
                <w:sz w:val="16"/>
                <w:szCs w:val="16"/>
              </w:rPr>
              <w:t>Group ID and Set ID</w:t>
            </w:r>
          </w:p>
        </w:tc>
        <w:tc>
          <w:tcPr>
            <w:tcW w:w="708" w:type="dxa"/>
            <w:shd w:val="solid" w:color="FFFFFF" w:fill="auto"/>
          </w:tcPr>
          <w:p w14:paraId="6D02A197" w14:textId="77777777" w:rsidR="00D40151" w:rsidRPr="00873B6C" w:rsidRDefault="00D40151" w:rsidP="009D14FB">
            <w:pPr>
              <w:pStyle w:val="TAC"/>
              <w:rPr>
                <w:sz w:val="16"/>
                <w:szCs w:val="16"/>
              </w:rPr>
            </w:pPr>
            <w:r w:rsidRPr="00873B6C">
              <w:rPr>
                <w:sz w:val="16"/>
                <w:szCs w:val="16"/>
              </w:rPr>
              <w:t>16.3.0</w:t>
            </w:r>
          </w:p>
        </w:tc>
      </w:tr>
      <w:tr w:rsidR="00D40151" w:rsidRPr="00873B6C" w14:paraId="4613B1E6" w14:textId="77777777" w:rsidTr="009D14FB">
        <w:tc>
          <w:tcPr>
            <w:tcW w:w="800" w:type="dxa"/>
            <w:shd w:val="solid" w:color="FFFFFF" w:fill="auto"/>
          </w:tcPr>
          <w:p w14:paraId="66194B1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363665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75AB48F" w14:textId="77777777" w:rsidR="00D40151" w:rsidRPr="00873B6C" w:rsidRDefault="00D40151" w:rsidP="009D14FB">
            <w:pPr>
              <w:pStyle w:val="TAC"/>
              <w:rPr>
                <w:sz w:val="16"/>
                <w:szCs w:val="16"/>
              </w:rPr>
            </w:pPr>
            <w:r w:rsidRPr="00873B6C">
              <w:rPr>
                <w:sz w:val="16"/>
                <w:szCs w:val="16"/>
              </w:rPr>
              <w:t>SP-191081</w:t>
            </w:r>
          </w:p>
        </w:tc>
        <w:tc>
          <w:tcPr>
            <w:tcW w:w="567" w:type="dxa"/>
            <w:shd w:val="solid" w:color="FFFFFF" w:fill="auto"/>
          </w:tcPr>
          <w:p w14:paraId="7DCDA365" w14:textId="77777777" w:rsidR="00D40151" w:rsidRPr="00873B6C" w:rsidRDefault="00D40151" w:rsidP="009D14FB">
            <w:pPr>
              <w:pStyle w:val="TAL"/>
              <w:rPr>
                <w:sz w:val="16"/>
                <w:szCs w:val="16"/>
              </w:rPr>
            </w:pPr>
            <w:r w:rsidRPr="00873B6C">
              <w:rPr>
                <w:sz w:val="16"/>
                <w:szCs w:val="16"/>
              </w:rPr>
              <w:t>1730</w:t>
            </w:r>
          </w:p>
        </w:tc>
        <w:tc>
          <w:tcPr>
            <w:tcW w:w="425" w:type="dxa"/>
            <w:shd w:val="solid" w:color="FFFFFF" w:fill="auto"/>
          </w:tcPr>
          <w:p w14:paraId="5502448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0C3C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880F94" w14:textId="77777777" w:rsidR="00D40151" w:rsidRPr="00873B6C" w:rsidRDefault="00D40151" w:rsidP="009D14FB">
            <w:pPr>
              <w:pStyle w:val="TAL"/>
              <w:rPr>
                <w:sz w:val="16"/>
                <w:szCs w:val="16"/>
              </w:rPr>
            </w:pPr>
            <w:r w:rsidRPr="00873B6C">
              <w:rPr>
                <w:sz w:val="16"/>
                <w:szCs w:val="16"/>
              </w:rPr>
              <w:t>AMF redirection at handover from 4G to 5G</w:t>
            </w:r>
          </w:p>
        </w:tc>
        <w:tc>
          <w:tcPr>
            <w:tcW w:w="708" w:type="dxa"/>
            <w:shd w:val="solid" w:color="FFFFFF" w:fill="auto"/>
          </w:tcPr>
          <w:p w14:paraId="59CA6F10" w14:textId="77777777" w:rsidR="00D40151" w:rsidRPr="00873B6C" w:rsidRDefault="00D40151" w:rsidP="009D14FB">
            <w:pPr>
              <w:pStyle w:val="TAC"/>
              <w:rPr>
                <w:sz w:val="16"/>
                <w:szCs w:val="16"/>
              </w:rPr>
            </w:pPr>
            <w:r w:rsidRPr="00873B6C">
              <w:rPr>
                <w:sz w:val="16"/>
                <w:szCs w:val="16"/>
              </w:rPr>
              <w:t>16.3.0</w:t>
            </w:r>
          </w:p>
        </w:tc>
      </w:tr>
      <w:tr w:rsidR="00D40151" w:rsidRPr="00873B6C" w14:paraId="5D5EAAC6" w14:textId="77777777" w:rsidTr="009D14FB">
        <w:tc>
          <w:tcPr>
            <w:tcW w:w="800" w:type="dxa"/>
            <w:shd w:val="solid" w:color="FFFFFF" w:fill="auto"/>
          </w:tcPr>
          <w:p w14:paraId="7C9C8C68" w14:textId="77777777" w:rsidR="00D40151" w:rsidRPr="00873B6C" w:rsidRDefault="00D40151" w:rsidP="009D14FB">
            <w:pPr>
              <w:pStyle w:val="TAC"/>
              <w:rPr>
                <w:sz w:val="16"/>
                <w:szCs w:val="16"/>
              </w:rPr>
            </w:pPr>
            <w:r w:rsidRPr="00873B6C">
              <w:rPr>
                <w:sz w:val="16"/>
                <w:szCs w:val="16"/>
              </w:rPr>
              <w:lastRenderedPageBreak/>
              <w:t>2019-12</w:t>
            </w:r>
          </w:p>
        </w:tc>
        <w:tc>
          <w:tcPr>
            <w:tcW w:w="800" w:type="dxa"/>
            <w:shd w:val="solid" w:color="FFFFFF" w:fill="auto"/>
          </w:tcPr>
          <w:p w14:paraId="1CC3796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2153592"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52B4CAA6" w14:textId="77777777" w:rsidR="00D40151" w:rsidRPr="00873B6C" w:rsidRDefault="00D40151" w:rsidP="009D14FB">
            <w:pPr>
              <w:pStyle w:val="TAL"/>
              <w:rPr>
                <w:sz w:val="16"/>
                <w:szCs w:val="16"/>
              </w:rPr>
            </w:pPr>
            <w:r w:rsidRPr="00873B6C">
              <w:rPr>
                <w:sz w:val="16"/>
                <w:szCs w:val="16"/>
              </w:rPr>
              <w:t>1733</w:t>
            </w:r>
          </w:p>
        </w:tc>
        <w:tc>
          <w:tcPr>
            <w:tcW w:w="425" w:type="dxa"/>
            <w:shd w:val="solid" w:color="FFFFFF" w:fill="auto"/>
          </w:tcPr>
          <w:p w14:paraId="7CCF2D60"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330CAB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1719C8" w14:textId="77777777" w:rsidR="00D40151" w:rsidRPr="00873B6C" w:rsidRDefault="00D40151" w:rsidP="009D14FB">
            <w:pPr>
              <w:pStyle w:val="TAL"/>
              <w:rPr>
                <w:sz w:val="16"/>
                <w:szCs w:val="16"/>
              </w:rPr>
            </w:pPr>
            <w:r w:rsidRPr="00873B6C">
              <w:rPr>
                <w:sz w:val="16"/>
                <w:szCs w:val="16"/>
              </w:rPr>
              <w:t>Clarification of Access Availability report via N4</w:t>
            </w:r>
          </w:p>
        </w:tc>
        <w:tc>
          <w:tcPr>
            <w:tcW w:w="708" w:type="dxa"/>
            <w:shd w:val="solid" w:color="FFFFFF" w:fill="auto"/>
          </w:tcPr>
          <w:p w14:paraId="7944BEF5" w14:textId="77777777" w:rsidR="00D40151" w:rsidRPr="00873B6C" w:rsidRDefault="00D40151" w:rsidP="009D14FB">
            <w:pPr>
              <w:pStyle w:val="TAC"/>
              <w:rPr>
                <w:sz w:val="16"/>
                <w:szCs w:val="16"/>
              </w:rPr>
            </w:pPr>
            <w:r w:rsidRPr="00873B6C">
              <w:rPr>
                <w:sz w:val="16"/>
                <w:szCs w:val="16"/>
              </w:rPr>
              <w:t>16.3.0</w:t>
            </w:r>
          </w:p>
        </w:tc>
      </w:tr>
      <w:tr w:rsidR="00D40151" w:rsidRPr="00873B6C" w14:paraId="7EE59866" w14:textId="77777777" w:rsidTr="009D14FB">
        <w:tc>
          <w:tcPr>
            <w:tcW w:w="800" w:type="dxa"/>
            <w:shd w:val="solid" w:color="FFFFFF" w:fill="auto"/>
          </w:tcPr>
          <w:p w14:paraId="13CA4BD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2CB5B4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E78ADA5"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56AA7565" w14:textId="77777777" w:rsidR="00D40151" w:rsidRPr="00873B6C" w:rsidRDefault="00D40151" w:rsidP="009D14FB">
            <w:pPr>
              <w:pStyle w:val="TAL"/>
              <w:rPr>
                <w:sz w:val="16"/>
                <w:szCs w:val="16"/>
              </w:rPr>
            </w:pPr>
            <w:r w:rsidRPr="00873B6C">
              <w:rPr>
                <w:sz w:val="16"/>
                <w:szCs w:val="16"/>
              </w:rPr>
              <w:t>1734</w:t>
            </w:r>
          </w:p>
        </w:tc>
        <w:tc>
          <w:tcPr>
            <w:tcW w:w="425" w:type="dxa"/>
            <w:shd w:val="solid" w:color="FFFFFF" w:fill="auto"/>
          </w:tcPr>
          <w:p w14:paraId="64669774"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4ECD2F5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9DA2D3" w14:textId="77777777" w:rsidR="00D40151" w:rsidRPr="00873B6C" w:rsidRDefault="00D40151" w:rsidP="009D14FB">
            <w:pPr>
              <w:pStyle w:val="TAL"/>
              <w:rPr>
                <w:sz w:val="16"/>
                <w:szCs w:val="16"/>
              </w:rPr>
            </w:pPr>
            <w:r w:rsidRPr="00873B6C">
              <w:rPr>
                <w:sz w:val="16"/>
                <w:szCs w:val="16"/>
              </w:rPr>
              <w:t>Clarification of terms in secondary authentication</w:t>
            </w:r>
          </w:p>
        </w:tc>
        <w:tc>
          <w:tcPr>
            <w:tcW w:w="708" w:type="dxa"/>
            <w:shd w:val="solid" w:color="FFFFFF" w:fill="auto"/>
          </w:tcPr>
          <w:p w14:paraId="2A7C556A" w14:textId="77777777" w:rsidR="00D40151" w:rsidRPr="00873B6C" w:rsidRDefault="00D40151" w:rsidP="009D14FB">
            <w:pPr>
              <w:pStyle w:val="TAC"/>
              <w:rPr>
                <w:sz w:val="16"/>
                <w:szCs w:val="16"/>
              </w:rPr>
            </w:pPr>
            <w:r w:rsidRPr="00873B6C">
              <w:rPr>
                <w:sz w:val="16"/>
                <w:szCs w:val="16"/>
              </w:rPr>
              <w:t>16.3.0</w:t>
            </w:r>
          </w:p>
        </w:tc>
      </w:tr>
      <w:tr w:rsidR="00D40151" w:rsidRPr="00873B6C" w14:paraId="519149C1" w14:textId="77777777" w:rsidTr="009D14FB">
        <w:tc>
          <w:tcPr>
            <w:tcW w:w="800" w:type="dxa"/>
            <w:shd w:val="solid" w:color="FFFFFF" w:fill="auto"/>
          </w:tcPr>
          <w:p w14:paraId="4914798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1877F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64528F5" w14:textId="77777777" w:rsidR="00D40151" w:rsidRPr="00873B6C" w:rsidRDefault="00D40151" w:rsidP="009D14FB">
            <w:pPr>
              <w:pStyle w:val="TAC"/>
              <w:rPr>
                <w:sz w:val="16"/>
                <w:szCs w:val="16"/>
              </w:rPr>
            </w:pPr>
            <w:r w:rsidRPr="00873B6C">
              <w:rPr>
                <w:sz w:val="16"/>
                <w:szCs w:val="16"/>
              </w:rPr>
              <w:t>SP-191084</w:t>
            </w:r>
          </w:p>
        </w:tc>
        <w:tc>
          <w:tcPr>
            <w:tcW w:w="567" w:type="dxa"/>
            <w:shd w:val="solid" w:color="FFFFFF" w:fill="auto"/>
          </w:tcPr>
          <w:p w14:paraId="16410D02" w14:textId="77777777" w:rsidR="00D40151" w:rsidRPr="00873B6C" w:rsidRDefault="00D40151" w:rsidP="009D14FB">
            <w:pPr>
              <w:pStyle w:val="TAL"/>
              <w:rPr>
                <w:sz w:val="16"/>
                <w:szCs w:val="16"/>
              </w:rPr>
            </w:pPr>
            <w:r w:rsidRPr="00873B6C">
              <w:rPr>
                <w:sz w:val="16"/>
                <w:szCs w:val="16"/>
              </w:rPr>
              <w:t>1735</w:t>
            </w:r>
          </w:p>
        </w:tc>
        <w:tc>
          <w:tcPr>
            <w:tcW w:w="425" w:type="dxa"/>
            <w:shd w:val="solid" w:color="FFFFFF" w:fill="auto"/>
          </w:tcPr>
          <w:p w14:paraId="589CBC93"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0FFB2BB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1C9F7C8" w14:textId="6C27AF11" w:rsidR="00D40151" w:rsidRPr="00873B6C" w:rsidRDefault="00D40151" w:rsidP="009D14FB">
            <w:pPr>
              <w:pStyle w:val="TAL"/>
              <w:rPr>
                <w:sz w:val="16"/>
                <w:szCs w:val="16"/>
              </w:rPr>
            </w:pPr>
            <w:r w:rsidRPr="00873B6C">
              <w:rPr>
                <w:sz w:val="16"/>
                <w:szCs w:val="16"/>
              </w:rPr>
              <w:t>Extension of standardized 5QI to QoS characteristics mapping table to accommodate</w:t>
            </w:r>
            <w:r w:rsidR="00704A9E" w:rsidRPr="00873B6C">
              <w:rPr>
                <w:sz w:val="16"/>
                <w:szCs w:val="16"/>
              </w:rPr>
              <w:t xml:space="preserve"> </w:t>
            </w:r>
            <w:r w:rsidRPr="00873B6C">
              <w:rPr>
                <w:sz w:val="16"/>
                <w:szCs w:val="16"/>
              </w:rPr>
              <w:t>enhanced V2X requirements</w:t>
            </w:r>
          </w:p>
        </w:tc>
        <w:tc>
          <w:tcPr>
            <w:tcW w:w="708" w:type="dxa"/>
            <w:shd w:val="solid" w:color="FFFFFF" w:fill="auto"/>
          </w:tcPr>
          <w:p w14:paraId="2C3392BE" w14:textId="77777777" w:rsidR="00D40151" w:rsidRPr="00873B6C" w:rsidRDefault="00D40151" w:rsidP="009D14FB">
            <w:pPr>
              <w:pStyle w:val="TAC"/>
              <w:rPr>
                <w:sz w:val="16"/>
                <w:szCs w:val="16"/>
              </w:rPr>
            </w:pPr>
            <w:r w:rsidRPr="00873B6C">
              <w:rPr>
                <w:sz w:val="16"/>
                <w:szCs w:val="16"/>
              </w:rPr>
              <w:t>16.3.0</w:t>
            </w:r>
          </w:p>
        </w:tc>
      </w:tr>
      <w:tr w:rsidR="00D40151" w:rsidRPr="00873B6C" w14:paraId="39F63A14" w14:textId="77777777" w:rsidTr="009D14FB">
        <w:tc>
          <w:tcPr>
            <w:tcW w:w="800" w:type="dxa"/>
            <w:shd w:val="solid" w:color="FFFFFF" w:fill="auto"/>
          </w:tcPr>
          <w:p w14:paraId="4DC75CE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445254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BB3D037"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5C47831A" w14:textId="77777777" w:rsidR="00D40151" w:rsidRPr="00873B6C" w:rsidRDefault="00D40151" w:rsidP="009D14FB">
            <w:pPr>
              <w:pStyle w:val="TAL"/>
              <w:rPr>
                <w:sz w:val="16"/>
                <w:szCs w:val="16"/>
              </w:rPr>
            </w:pPr>
            <w:r w:rsidRPr="00873B6C">
              <w:rPr>
                <w:sz w:val="16"/>
                <w:szCs w:val="16"/>
              </w:rPr>
              <w:t>1736</w:t>
            </w:r>
          </w:p>
        </w:tc>
        <w:tc>
          <w:tcPr>
            <w:tcW w:w="425" w:type="dxa"/>
            <w:shd w:val="solid" w:color="FFFFFF" w:fill="auto"/>
          </w:tcPr>
          <w:p w14:paraId="3E7D745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DE4AC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B40F58" w14:textId="77777777" w:rsidR="00D40151" w:rsidRPr="00873B6C" w:rsidRDefault="00D40151" w:rsidP="009D14FB">
            <w:pPr>
              <w:pStyle w:val="TAL"/>
              <w:rPr>
                <w:sz w:val="16"/>
                <w:szCs w:val="16"/>
              </w:rPr>
            </w:pPr>
            <w:r w:rsidRPr="00873B6C">
              <w:rPr>
                <w:sz w:val="16"/>
                <w:szCs w:val="16"/>
              </w:rPr>
              <w:t>Determination of Emergency Services Fallback support in the AMF</w:t>
            </w:r>
          </w:p>
        </w:tc>
        <w:tc>
          <w:tcPr>
            <w:tcW w:w="708" w:type="dxa"/>
            <w:shd w:val="solid" w:color="FFFFFF" w:fill="auto"/>
          </w:tcPr>
          <w:p w14:paraId="2EBD947D" w14:textId="77777777" w:rsidR="00D40151" w:rsidRPr="00873B6C" w:rsidRDefault="00D40151" w:rsidP="009D14FB">
            <w:pPr>
              <w:pStyle w:val="TAC"/>
              <w:rPr>
                <w:sz w:val="16"/>
                <w:szCs w:val="16"/>
              </w:rPr>
            </w:pPr>
            <w:r w:rsidRPr="00873B6C">
              <w:rPr>
                <w:sz w:val="16"/>
                <w:szCs w:val="16"/>
              </w:rPr>
              <w:t>16.3.0</w:t>
            </w:r>
          </w:p>
        </w:tc>
      </w:tr>
      <w:tr w:rsidR="00D40151" w:rsidRPr="00873B6C" w14:paraId="00F9A329" w14:textId="77777777" w:rsidTr="009D14FB">
        <w:tc>
          <w:tcPr>
            <w:tcW w:w="800" w:type="dxa"/>
            <w:shd w:val="solid" w:color="FFFFFF" w:fill="auto"/>
          </w:tcPr>
          <w:p w14:paraId="361EF3B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C78CD9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174A580" w14:textId="77777777" w:rsidR="00D40151" w:rsidRPr="00873B6C" w:rsidRDefault="00D40151" w:rsidP="009D14FB">
            <w:pPr>
              <w:pStyle w:val="TAC"/>
              <w:rPr>
                <w:sz w:val="16"/>
                <w:szCs w:val="16"/>
              </w:rPr>
            </w:pPr>
            <w:r w:rsidRPr="00873B6C">
              <w:rPr>
                <w:sz w:val="16"/>
                <w:szCs w:val="16"/>
              </w:rPr>
              <w:t>SP-191080</w:t>
            </w:r>
          </w:p>
        </w:tc>
        <w:tc>
          <w:tcPr>
            <w:tcW w:w="567" w:type="dxa"/>
            <w:shd w:val="solid" w:color="FFFFFF" w:fill="auto"/>
          </w:tcPr>
          <w:p w14:paraId="12FDF273" w14:textId="77777777" w:rsidR="00D40151" w:rsidRPr="00873B6C" w:rsidRDefault="00D40151" w:rsidP="009D14FB">
            <w:pPr>
              <w:pStyle w:val="TAL"/>
              <w:rPr>
                <w:sz w:val="16"/>
                <w:szCs w:val="16"/>
              </w:rPr>
            </w:pPr>
            <w:r w:rsidRPr="00873B6C">
              <w:rPr>
                <w:sz w:val="16"/>
                <w:szCs w:val="16"/>
              </w:rPr>
              <w:t>1737</w:t>
            </w:r>
          </w:p>
        </w:tc>
        <w:tc>
          <w:tcPr>
            <w:tcW w:w="425" w:type="dxa"/>
            <w:shd w:val="solid" w:color="FFFFFF" w:fill="auto"/>
          </w:tcPr>
          <w:p w14:paraId="334ADC2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9ED7F3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373FA6" w14:textId="77777777" w:rsidR="00D40151" w:rsidRPr="00873B6C" w:rsidRDefault="00D40151" w:rsidP="009D14FB">
            <w:pPr>
              <w:pStyle w:val="TAL"/>
              <w:rPr>
                <w:sz w:val="16"/>
                <w:szCs w:val="16"/>
              </w:rPr>
            </w:pPr>
            <w:r w:rsidRPr="00873B6C">
              <w:rPr>
                <w:sz w:val="16"/>
                <w:szCs w:val="16"/>
              </w:rPr>
              <w:t xml:space="preserve">UDM Discovery by Internal Group ID </w:t>
            </w:r>
          </w:p>
        </w:tc>
        <w:tc>
          <w:tcPr>
            <w:tcW w:w="708" w:type="dxa"/>
            <w:shd w:val="solid" w:color="FFFFFF" w:fill="auto"/>
          </w:tcPr>
          <w:p w14:paraId="6D9179C6" w14:textId="77777777" w:rsidR="00D40151" w:rsidRPr="00873B6C" w:rsidRDefault="00D40151" w:rsidP="009D14FB">
            <w:pPr>
              <w:pStyle w:val="TAC"/>
              <w:rPr>
                <w:sz w:val="16"/>
                <w:szCs w:val="16"/>
              </w:rPr>
            </w:pPr>
            <w:r w:rsidRPr="00873B6C">
              <w:rPr>
                <w:sz w:val="16"/>
                <w:szCs w:val="16"/>
              </w:rPr>
              <w:t>16.3.0</w:t>
            </w:r>
          </w:p>
        </w:tc>
      </w:tr>
      <w:tr w:rsidR="00D40151" w:rsidRPr="00873B6C" w14:paraId="0CFA6E43" w14:textId="77777777" w:rsidTr="009D14FB">
        <w:tc>
          <w:tcPr>
            <w:tcW w:w="800" w:type="dxa"/>
            <w:shd w:val="solid" w:color="FFFFFF" w:fill="auto"/>
          </w:tcPr>
          <w:p w14:paraId="03F503A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99B155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D8F4603"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7C7DEF00" w14:textId="77777777" w:rsidR="00D40151" w:rsidRPr="00873B6C" w:rsidRDefault="00D40151" w:rsidP="009D14FB">
            <w:pPr>
              <w:pStyle w:val="TAL"/>
              <w:rPr>
                <w:sz w:val="16"/>
                <w:szCs w:val="16"/>
              </w:rPr>
            </w:pPr>
            <w:r w:rsidRPr="00873B6C">
              <w:rPr>
                <w:sz w:val="16"/>
                <w:szCs w:val="16"/>
              </w:rPr>
              <w:t>1738</w:t>
            </w:r>
          </w:p>
        </w:tc>
        <w:tc>
          <w:tcPr>
            <w:tcW w:w="425" w:type="dxa"/>
            <w:shd w:val="solid" w:color="FFFFFF" w:fill="auto"/>
          </w:tcPr>
          <w:p w14:paraId="0646D46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64F41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9342D4" w14:textId="77777777" w:rsidR="00D40151" w:rsidRPr="00873B6C" w:rsidRDefault="00D40151" w:rsidP="009D14FB">
            <w:pPr>
              <w:pStyle w:val="TAL"/>
              <w:rPr>
                <w:sz w:val="16"/>
                <w:szCs w:val="16"/>
              </w:rPr>
            </w:pPr>
            <w:r w:rsidRPr="00873B6C">
              <w:rPr>
                <w:sz w:val="16"/>
                <w:szCs w:val="16"/>
              </w:rPr>
              <w:t>UE may provide NSSAI in AS for initial registration</w:t>
            </w:r>
          </w:p>
        </w:tc>
        <w:tc>
          <w:tcPr>
            <w:tcW w:w="708" w:type="dxa"/>
            <w:shd w:val="solid" w:color="FFFFFF" w:fill="auto"/>
          </w:tcPr>
          <w:p w14:paraId="717768BF" w14:textId="77777777" w:rsidR="00D40151" w:rsidRPr="00873B6C" w:rsidRDefault="00D40151" w:rsidP="009D14FB">
            <w:pPr>
              <w:pStyle w:val="TAC"/>
              <w:rPr>
                <w:sz w:val="16"/>
                <w:szCs w:val="16"/>
              </w:rPr>
            </w:pPr>
            <w:r w:rsidRPr="00873B6C">
              <w:rPr>
                <w:sz w:val="16"/>
                <w:szCs w:val="16"/>
              </w:rPr>
              <w:t>16.3.0</w:t>
            </w:r>
          </w:p>
        </w:tc>
      </w:tr>
      <w:tr w:rsidR="00D40151" w:rsidRPr="00873B6C" w14:paraId="2B9B6AEF" w14:textId="77777777" w:rsidTr="009D14FB">
        <w:tc>
          <w:tcPr>
            <w:tcW w:w="800" w:type="dxa"/>
            <w:shd w:val="solid" w:color="FFFFFF" w:fill="auto"/>
          </w:tcPr>
          <w:p w14:paraId="7E64B20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80E2D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2FC1BBF"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2CC141A2" w14:textId="77777777" w:rsidR="00D40151" w:rsidRPr="00873B6C" w:rsidRDefault="00D40151" w:rsidP="009D14FB">
            <w:pPr>
              <w:pStyle w:val="TAL"/>
              <w:rPr>
                <w:sz w:val="16"/>
                <w:szCs w:val="16"/>
              </w:rPr>
            </w:pPr>
            <w:r w:rsidRPr="00873B6C">
              <w:rPr>
                <w:sz w:val="16"/>
                <w:szCs w:val="16"/>
              </w:rPr>
              <w:t>1739</w:t>
            </w:r>
          </w:p>
        </w:tc>
        <w:tc>
          <w:tcPr>
            <w:tcW w:w="425" w:type="dxa"/>
            <w:shd w:val="solid" w:color="FFFFFF" w:fill="auto"/>
          </w:tcPr>
          <w:p w14:paraId="0CFFB620"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48FAAE0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F362E3" w14:textId="77777777" w:rsidR="00D40151" w:rsidRPr="00873B6C" w:rsidRDefault="00D40151" w:rsidP="009D14FB">
            <w:pPr>
              <w:pStyle w:val="TAL"/>
              <w:rPr>
                <w:sz w:val="16"/>
                <w:szCs w:val="16"/>
              </w:rPr>
            </w:pPr>
            <w:r w:rsidRPr="00873B6C">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873B6C" w:rsidRDefault="00D40151" w:rsidP="009D14FB">
            <w:pPr>
              <w:pStyle w:val="TAC"/>
              <w:rPr>
                <w:sz w:val="16"/>
                <w:szCs w:val="16"/>
              </w:rPr>
            </w:pPr>
            <w:r w:rsidRPr="00873B6C">
              <w:rPr>
                <w:sz w:val="16"/>
                <w:szCs w:val="16"/>
              </w:rPr>
              <w:t>16.3.0</w:t>
            </w:r>
          </w:p>
        </w:tc>
      </w:tr>
      <w:tr w:rsidR="00D40151" w:rsidRPr="00873B6C" w14:paraId="2AC7E9CE" w14:textId="77777777" w:rsidTr="009D14FB">
        <w:tc>
          <w:tcPr>
            <w:tcW w:w="800" w:type="dxa"/>
            <w:shd w:val="solid" w:color="FFFFFF" w:fill="auto"/>
          </w:tcPr>
          <w:p w14:paraId="0462285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4B18EE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AC522B1"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27D0BF29" w14:textId="77777777" w:rsidR="00D40151" w:rsidRPr="00873B6C" w:rsidRDefault="00D40151" w:rsidP="009D14FB">
            <w:pPr>
              <w:pStyle w:val="TAL"/>
              <w:rPr>
                <w:sz w:val="16"/>
                <w:szCs w:val="16"/>
              </w:rPr>
            </w:pPr>
            <w:r w:rsidRPr="00873B6C">
              <w:rPr>
                <w:sz w:val="16"/>
                <w:szCs w:val="16"/>
              </w:rPr>
              <w:t>1740</w:t>
            </w:r>
          </w:p>
        </w:tc>
        <w:tc>
          <w:tcPr>
            <w:tcW w:w="425" w:type="dxa"/>
            <w:shd w:val="solid" w:color="FFFFFF" w:fill="auto"/>
          </w:tcPr>
          <w:p w14:paraId="0E42603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372BD8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DECFAD" w14:textId="77777777" w:rsidR="00D40151" w:rsidRPr="00873B6C" w:rsidRDefault="00D40151" w:rsidP="009D14FB">
            <w:pPr>
              <w:pStyle w:val="TAL"/>
              <w:rPr>
                <w:sz w:val="16"/>
                <w:szCs w:val="16"/>
              </w:rPr>
            </w:pPr>
            <w:r w:rsidRPr="00873B6C">
              <w:rPr>
                <w:sz w:val="16"/>
                <w:szCs w:val="16"/>
              </w:rPr>
              <w:t>Clarification of Homogeneous Support of IMS Voice over PS Sessions</w:t>
            </w:r>
          </w:p>
        </w:tc>
        <w:tc>
          <w:tcPr>
            <w:tcW w:w="708" w:type="dxa"/>
            <w:shd w:val="solid" w:color="FFFFFF" w:fill="auto"/>
          </w:tcPr>
          <w:p w14:paraId="15D1C038" w14:textId="77777777" w:rsidR="00D40151" w:rsidRPr="00873B6C" w:rsidRDefault="00D40151" w:rsidP="009D14FB">
            <w:pPr>
              <w:pStyle w:val="TAC"/>
              <w:rPr>
                <w:sz w:val="16"/>
                <w:szCs w:val="16"/>
              </w:rPr>
            </w:pPr>
            <w:r w:rsidRPr="00873B6C">
              <w:rPr>
                <w:sz w:val="16"/>
                <w:szCs w:val="16"/>
              </w:rPr>
              <w:t>16.3.0</w:t>
            </w:r>
          </w:p>
        </w:tc>
      </w:tr>
      <w:tr w:rsidR="00D40151" w:rsidRPr="00873B6C" w14:paraId="3D6D1864" w14:textId="77777777" w:rsidTr="009D14FB">
        <w:tc>
          <w:tcPr>
            <w:tcW w:w="800" w:type="dxa"/>
            <w:shd w:val="solid" w:color="FFFFFF" w:fill="auto"/>
          </w:tcPr>
          <w:p w14:paraId="526145E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8C4508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E51B35E"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3F5AE7B4" w14:textId="77777777" w:rsidR="00D40151" w:rsidRPr="00873B6C" w:rsidRDefault="00D40151" w:rsidP="009D14FB">
            <w:pPr>
              <w:pStyle w:val="TAL"/>
              <w:rPr>
                <w:sz w:val="16"/>
                <w:szCs w:val="16"/>
              </w:rPr>
            </w:pPr>
            <w:r w:rsidRPr="00873B6C">
              <w:rPr>
                <w:sz w:val="16"/>
                <w:szCs w:val="16"/>
              </w:rPr>
              <w:t>1742</w:t>
            </w:r>
          </w:p>
        </w:tc>
        <w:tc>
          <w:tcPr>
            <w:tcW w:w="425" w:type="dxa"/>
            <w:shd w:val="solid" w:color="FFFFFF" w:fill="auto"/>
          </w:tcPr>
          <w:p w14:paraId="1D77B3F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43FE0D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A0CD2D" w14:textId="77777777" w:rsidR="00D40151" w:rsidRPr="00873B6C" w:rsidRDefault="00D40151" w:rsidP="009D14FB">
            <w:pPr>
              <w:pStyle w:val="TAL"/>
              <w:rPr>
                <w:sz w:val="16"/>
                <w:szCs w:val="16"/>
              </w:rPr>
            </w:pPr>
            <w:r w:rsidRPr="00873B6C">
              <w:rPr>
                <w:sz w:val="16"/>
                <w:szCs w:val="16"/>
              </w:rPr>
              <w:t>Enhancement of UP path management based on the coordination with AFs</w:t>
            </w:r>
          </w:p>
        </w:tc>
        <w:tc>
          <w:tcPr>
            <w:tcW w:w="708" w:type="dxa"/>
            <w:shd w:val="solid" w:color="FFFFFF" w:fill="auto"/>
          </w:tcPr>
          <w:p w14:paraId="40EC1EF9" w14:textId="77777777" w:rsidR="00D40151" w:rsidRPr="00873B6C" w:rsidRDefault="00D40151" w:rsidP="009D14FB">
            <w:pPr>
              <w:pStyle w:val="TAC"/>
              <w:rPr>
                <w:sz w:val="16"/>
                <w:szCs w:val="16"/>
              </w:rPr>
            </w:pPr>
            <w:r w:rsidRPr="00873B6C">
              <w:rPr>
                <w:sz w:val="16"/>
                <w:szCs w:val="16"/>
              </w:rPr>
              <w:t>16.3.0</w:t>
            </w:r>
          </w:p>
        </w:tc>
      </w:tr>
      <w:tr w:rsidR="00D40151" w:rsidRPr="00873B6C" w14:paraId="670AAD21" w14:textId="77777777" w:rsidTr="009D14FB">
        <w:tc>
          <w:tcPr>
            <w:tcW w:w="800" w:type="dxa"/>
            <w:shd w:val="solid" w:color="FFFFFF" w:fill="auto"/>
          </w:tcPr>
          <w:p w14:paraId="1D4D775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FE720B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0DFC2FC"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43480C99" w14:textId="77777777" w:rsidR="00D40151" w:rsidRPr="00873B6C" w:rsidRDefault="00D40151" w:rsidP="009D14FB">
            <w:pPr>
              <w:pStyle w:val="TAL"/>
              <w:rPr>
                <w:sz w:val="16"/>
                <w:szCs w:val="16"/>
              </w:rPr>
            </w:pPr>
            <w:r w:rsidRPr="00873B6C">
              <w:rPr>
                <w:sz w:val="16"/>
                <w:szCs w:val="16"/>
              </w:rPr>
              <w:t>1743</w:t>
            </w:r>
          </w:p>
        </w:tc>
        <w:tc>
          <w:tcPr>
            <w:tcW w:w="425" w:type="dxa"/>
            <w:shd w:val="solid" w:color="FFFFFF" w:fill="auto"/>
          </w:tcPr>
          <w:p w14:paraId="3E18154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CF470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86EB57" w14:textId="77777777" w:rsidR="00D40151" w:rsidRPr="00873B6C" w:rsidRDefault="00D40151" w:rsidP="009D14FB">
            <w:pPr>
              <w:pStyle w:val="TAL"/>
              <w:rPr>
                <w:sz w:val="16"/>
                <w:szCs w:val="16"/>
              </w:rPr>
            </w:pPr>
            <w:r w:rsidRPr="00873B6C">
              <w:rPr>
                <w:sz w:val="16"/>
                <w:szCs w:val="16"/>
              </w:rPr>
              <w:t>PCF selection for multiple PDU Sessions to the same DNN and S-NSSAI</w:t>
            </w:r>
          </w:p>
        </w:tc>
        <w:tc>
          <w:tcPr>
            <w:tcW w:w="708" w:type="dxa"/>
            <w:shd w:val="solid" w:color="FFFFFF" w:fill="auto"/>
          </w:tcPr>
          <w:p w14:paraId="3AFF1663" w14:textId="77777777" w:rsidR="00D40151" w:rsidRPr="00873B6C" w:rsidRDefault="00D40151" w:rsidP="009D14FB">
            <w:pPr>
              <w:pStyle w:val="TAC"/>
              <w:rPr>
                <w:sz w:val="16"/>
                <w:szCs w:val="16"/>
              </w:rPr>
            </w:pPr>
            <w:r w:rsidRPr="00873B6C">
              <w:rPr>
                <w:sz w:val="16"/>
                <w:szCs w:val="16"/>
              </w:rPr>
              <w:t>16.3.0</w:t>
            </w:r>
          </w:p>
        </w:tc>
      </w:tr>
      <w:tr w:rsidR="00D40151" w:rsidRPr="00873B6C" w14:paraId="6EBE1FE8" w14:textId="77777777" w:rsidTr="009D14FB">
        <w:tc>
          <w:tcPr>
            <w:tcW w:w="800" w:type="dxa"/>
            <w:shd w:val="solid" w:color="FFFFFF" w:fill="auto"/>
          </w:tcPr>
          <w:p w14:paraId="1FA0AAA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1C0609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C46BECC"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411283A2" w14:textId="77777777" w:rsidR="00D40151" w:rsidRPr="00873B6C" w:rsidRDefault="00D40151" w:rsidP="009D14FB">
            <w:pPr>
              <w:pStyle w:val="TAL"/>
              <w:rPr>
                <w:sz w:val="16"/>
                <w:szCs w:val="16"/>
              </w:rPr>
            </w:pPr>
            <w:r w:rsidRPr="00873B6C">
              <w:rPr>
                <w:sz w:val="16"/>
                <w:szCs w:val="16"/>
              </w:rPr>
              <w:t>1745</w:t>
            </w:r>
          </w:p>
        </w:tc>
        <w:tc>
          <w:tcPr>
            <w:tcW w:w="425" w:type="dxa"/>
            <w:shd w:val="solid" w:color="FFFFFF" w:fill="auto"/>
          </w:tcPr>
          <w:p w14:paraId="7E50AA8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7A9E9B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78A73D" w14:textId="77777777" w:rsidR="00D40151" w:rsidRPr="00873B6C" w:rsidRDefault="00D40151" w:rsidP="009D14FB">
            <w:pPr>
              <w:pStyle w:val="TAL"/>
              <w:rPr>
                <w:sz w:val="16"/>
                <w:szCs w:val="16"/>
              </w:rPr>
            </w:pPr>
            <w:r w:rsidRPr="00873B6C">
              <w:rPr>
                <w:sz w:val="16"/>
                <w:szCs w:val="16"/>
              </w:rPr>
              <w:t>Extended NAS timers for CE mode B</w:t>
            </w:r>
          </w:p>
        </w:tc>
        <w:tc>
          <w:tcPr>
            <w:tcW w:w="708" w:type="dxa"/>
            <w:shd w:val="solid" w:color="FFFFFF" w:fill="auto"/>
          </w:tcPr>
          <w:p w14:paraId="4BB4B630" w14:textId="77777777" w:rsidR="00D40151" w:rsidRPr="00873B6C" w:rsidRDefault="00D40151" w:rsidP="009D14FB">
            <w:pPr>
              <w:pStyle w:val="TAC"/>
              <w:rPr>
                <w:sz w:val="16"/>
                <w:szCs w:val="16"/>
              </w:rPr>
            </w:pPr>
            <w:r w:rsidRPr="00873B6C">
              <w:rPr>
                <w:sz w:val="16"/>
                <w:szCs w:val="16"/>
              </w:rPr>
              <w:t>16.3.0</w:t>
            </w:r>
          </w:p>
        </w:tc>
      </w:tr>
      <w:tr w:rsidR="00D40151" w:rsidRPr="00873B6C" w14:paraId="7C8479D6" w14:textId="77777777" w:rsidTr="009D14FB">
        <w:tc>
          <w:tcPr>
            <w:tcW w:w="800" w:type="dxa"/>
            <w:shd w:val="solid" w:color="FFFFFF" w:fill="auto"/>
          </w:tcPr>
          <w:p w14:paraId="0EDB0AA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433AC5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D683883"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324CD36E" w14:textId="77777777" w:rsidR="00D40151" w:rsidRPr="00873B6C" w:rsidRDefault="00D40151" w:rsidP="009D14FB">
            <w:pPr>
              <w:pStyle w:val="TAL"/>
              <w:rPr>
                <w:sz w:val="16"/>
                <w:szCs w:val="16"/>
              </w:rPr>
            </w:pPr>
            <w:r w:rsidRPr="00873B6C">
              <w:rPr>
                <w:sz w:val="16"/>
                <w:szCs w:val="16"/>
              </w:rPr>
              <w:t>1746</w:t>
            </w:r>
          </w:p>
        </w:tc>
        <w:tc>
          <w:tcPr>
            <w:tcW w:w="425" w:type="dxa"/>
            <w:shd w:val="solid" w:color="FFFFFF" w:fill="auto"/>
          </w:tcPr>
          <w:p w14:paraId="4857F4A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150C43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854CC0" w14:textId="77777777" w:rsidR="00D40151" w:rsidRPr="00873B6C" w:rsidRDefault="00D40151" w:rsidP="009D14FB">
            <w:pPr>
              <w:pStyle w:val="TAL"/>
              <w:rPr>
                <w:sz w:val="16"/>
                <w:szCs w:val="16"/>
              </w:rPr>
            </w:pPr>
            <w:r w:rsidRPr="00873B6C">
              <w:rPr>
                <w:sz w:val="16"/>
                <w:szCs w:val="16"/>
              </w:rPr>
              <w:t>Correcting AMF decision to set CP only indicator</w:t>
            </w:r>
          </w:p>
        </w:tc>
        <w:tc>
          <w:tcPr>
            <w:tcW w:w="708" w:type="dxa"/>
            <w:shd w:val="solid" w:color="FFFFFF" w:fill="auto"/>
          </w:tcPr>
          <w:p w14:paraId="0EDE2D81" w14:textId="77777777" w:rsidR="00D40151" w:rsidRPr="00873B6C" w:rsidRDefault="00D40151" w:rsidP="009D14FB">
            <w:pPr>
              <w:pStyle w:val="TAC"/>
              <w:rPr>
                <w:sz w:val="16"/>
                <w:szCs w:val="16"/>
              </w:rPr>
            </w:pPr>
            <w:r w:rsidRPr="00873B6C">
              <w:rPr>
                <w:sz w:val="16"/>
                <w:szCs w:val="16"/>
              </w:rPr>
              <w:t>16.3.0</w:t>
            </w:r>
          </w:p>
        </w:tc>
      </w:tr>
      <w:tr w:rsidR="00D40151" w:rsidRPr="00873B6C" w14:paraId="43395DCC" w14:textId="77777777" w:rsidTr="009D14FB">
        <w:tc>
          <w:tcPr>
            <w:tcW w:w="800" w:type="dxa"/>
            <w:shd w:val="solid" w:color="FFFFFF" w:fill="auto"/>
          </w:tcPr>
          <w:p w14:paraId="01430DF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47C778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6016C7A"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FAB56C6" w14:textId="77777777" w:rsidR="00D40151" w:rsidRPr="00873B6C" w:rsidRDefault="00D40151" w:rsidP="009D14FB">
            <w:pPr>
              <w:pStyle w:val="TAL"/>
              <w:rPr>
                <w:sz w:val="16"/>
                <w:szCs w:val="16"/>
              </w:rPr>
            </w:pPr>
            <w:r w:rsidRPr="00873B6C">
              <w:rPr>
                <w:sz w:val="16"/>
                <w:szCs w:val="16"/>
              </w:rPr>
              <w:t>1747</w:t>
            </w:r>
          </w:p>
        </w:tc>
        <w:tc>
          <w:tcPr>
            <w:tcW w:w="425" w:type="dxa"/>
            <w:shd w:val="solid" w:color="FFFFFF" w:fill="auto"/>
          </w:tcPr>
          <w:p w14:paraId="1B2CCB57"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2081812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457A82" w14:textId="77777777" w:rsidR="00D40151" w:rsidRPr="00873B6C" w:rsidRDefault="00D40151" w:rsidP="009D14FB">
            <w:pPr>
              <w:pStyle w:val="TAL"/>
              <w:rPr>
                <w:sz w:val="16"/>
                <w:szCs w:val="16"/>
              </w:rPr>
            </w:pPr>
            <w:r w:rsidRPr="00873B6C">
              <w:rPr>
                <w:sz w:val="16"/>
                <w:szCs w:val="16"/>
              </w:rPr>
              <w:t>5GS Bridge Management</w:t>
            </w:r>
          </w:p>
        </w:tc>
        <w:tc>
          <w:tcPr>
            <w:tcW w:w="708" w:type="dxa"/>
            <w:shd w:val="solid" w:color="FFFFFF" w:fill="auto"/>
          </w:tcPr>
          <w:p w14:paraId="3B799AEE" w14:textId="77777777" w:rsidR="00D40151" w:rsidRPr="00873B6C" w:rsidRDefault="00D40151" w:rsidP="009D14FB">
            <w:pPr>
              <w:pStyle w:val="TAC"/>
              <w:rPr>
                <w:sz w:val="16"/>
                <w:szCs w:val="16"/>
              </w:rPr>
            </w:pPr>
            <w:r w:rsidRPr="00873B6C">
              <w:rPr>
                <w:sz w:val="16"/>
                <w:szCs w:val="16"/>
              </w:rPr>
              <w:t>16.3.0</w:t>
            </w:r>
          </w:p>
        </w:tc>
      </w:tr>
      <w:tr w:rsidR="00D40151" w:rsidRPr="00873B6C" w14:paraId="14C19AF7" w14:textId="77777777" w:rsidTr="009D14FB">
        <w:tc>
          <w:tcPr>
            <w:tcW w:w="800" w:type="dxa"/>
            <w:shd w:val="solid" w:color="FFFFFF" w:fill="auto"/>
          </w:tcPr>
          <w:p w14:paraId="0AD043F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2CB061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1B540CC"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5183C4F9" w14:textId="77777777" w:rsidR="00D40151" w:rsidRPr="00873B6C" w:rsidRDefault="00D40151" w:rsidP="009D14FB">
            <w:pPr>
              <w:pStyle w:val="TAL"/>
              <w:rPr>
                <w:sz w:val="16"/>
                <w:szCs w:val="16"/>
              </w:rPr>
            </w:pPr>
            <w:r w:rsidRPr="00873B6C">
              <w:rPr>
                <w:sz w:val="16"/>
                <w:szCs w:val="16"/>
              </w:rPr>
              <w:t>1750</w:t>
            </w:r>
          </w:p>
        </w:tc>
        <w:tc>
          <w:tcPr>
            <w:tcW w:w="425" w:type="dxa"/>
            <w:shd w:val="solid" w:color="FFFFFF" w:fill="auto"/>
          </w:tcPr>
          <w:p w14:paraId="47286FD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556FD0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357CF6" w14:textId="77777777" w:rsidR="00D40151" w:rsidRPr="00873B6C" w:rsidRDefault="00D40151" w:rsidP="009D14FB">
            <w:pPr>
              <w:pStyle w:val="TAL"/>
              <w:rPr>
                <w:sz w:val="16"/>
                <w:szCs w:val="16"/>
              </w:rPr>
            </w:pPr>
            <w:r w:rsidRPr="00873B6C">
              <w:rPr>
                <w:sz w:val="16"/>
                <w:szCs w:val="16"/>
              </w:rPr>
              <w:t>Completing QoS and TSCAI mapping</w:t>
            </w:r>
          </w:p>
        </w:tc>
        <w:tc>
          <w:tcPr>
            <w:tcW w:w="708" w:type="dxa"/>
            <w:shd w:val="solid" w:color="FFFFFF" w:fill="auto"/>
          </w:tcPr>
          <w:p w14:paraId="1007C29C" w14:textId="77777777" w:rsidR="00D40151" w:rsidRPr="00873B6C" w:rsidRDefault="00D40151" w:rsidP="009D14FB">
            <w:pPr>
              <w:pStyle w:val="TAC"/>
              <w:rPr>
                <w:sz w:val="16"/>
                <w:szCs w:val="16"/>
              </w:rPr>
            </w:pPr>
            <w:r w:rsidRPr="00873B6C">
              <w:rPr>
                <w:sz w:val="16"/>
                <w:szCs w:val="16"/>
              </w:rPr>
              <w:t>16.3.0</w:t>
            </w:r>
          </w:p>
        </w:tc>
      </w:tr>
      <w:tr w:rsidR="00D40151" w:rsidRPr="00873B6C" w14:paraId="2761256F" w14:textId="77777777" w:rsidTr="009D14FB">
        <w:tc>
          <w:tcPr>
            <w:tcW w:w="800" w:type="dxa"/>
            <w:shd w:val="solid" w:color="FFFFFF" w:fill="auto"/>
          </w:tcPr>
          <w:p w14:paraId="6262A35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D21F20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A4E4505"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47BA81E5" w14:textId="77777777" w:rsidR="00D40151" w:rsidRPr="00873B6C" w:rsidRDefault="00D40151" w:rsidP="009D14FB">
            <w:pPr>
              <w:pStyle w:val="TAL"/>
              <w:rPr>
                <w:sz w:val="16"/>
                <w:szCs w:val="16"/>
              </w:rPr>
            </w:pPr>
            <w:r w:rsidRPr="00873B6C">
              <w:rPr>
                <w:sz w:val="16"/>
                <w:szCs w:val="16"/>
              </w:rPr>
              <w:t>1751</w:t>
            </w:r>
          </w:p>
        </w:tc>
        <w:tc>
          <w:tcPr>
            <w:tcW w:w="425" w:type="dxa"/>
            <w:shd w:val="solid" w:color="FFFFFF" w:fill="auto"/>
          </w:tcPr>
          <w:p w14:paraId="5916070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D198E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736294" w14:textId="77777777" w:rsidR="00D40151" w:rsidRPr="00873B6C" w:rsidRDefault="00D40151" w:rsidP="009D14FB">
            <w:pPr>
              <w:pStyle w:val="TAL"/>
              <w:rPr>
                <w:sz w:val="16"/>
                <w:szCs w:val="16"/>
              </w:rPr>
            </w:pPr>
            <w:r w:rsidRPr="00873B6C">
              <w:rPr>
                <w:sz w:val="16"/>
                <w:szCs w:val="16"/>
              </w:rPr>
              <w:t>Clarifying N3IWF access to SNPN</w:t>
            </w:r>
          </w:p>
        </w:tc>
        <w:tc>
          <w:tcPr>
            <w:tcW w:w="708" w:type="dxa"/>
            <w:shd w:val="solid" w:color="FFFFFF" w:fill="auto"/>
          </w:tcPr>
          <w:p w14:paraId="1D99911F" w14:textId="77777777" w:rsidR="00D40151" w:rsidRPr="00873B6C" w:rsidRDefault="00D40151" w:rsidP="009D14FB">
            <w:pPr>
              <w:pStyle w:val="TAC"/>
              <w:rPr>
                <w:sz w:val="16"/>
                <w:szCs w:val="16"/>
              </w:rPr>
            </w:pPr>
            <w:r w:rsidRPr="00873B6C">
              <w:rPr>
                <w:sz w:val="16"/>
                <w:szCs w:val="16"/>
              </w:rPr>
              <w:t>16.3.0</w:t>
            </w:r>
          </w:p>
        </w:tc>
      </w:tr>
      <w:tr w:rsidR="00D40151" w:rsidRPr="00873B6C" w14:paraId="7335E5CB" w14:textId="77777777" w:rsidTr="009D14FB">
        <w:tc>
          <w:tcPr>
            <w:tcW w:w="800" w:type="dxa"/>
            <w:shd w:val="solid" w:color="FFFFFF" w:fill="auto"/>
          </w:tcPr>
          <w:p w14:paraId="54E5DEA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19A8F0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16D860F"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11BCE616" w14:textId="77777777" w:rsidR="00D40151" w:rsidRPr="00873B6C" w:rsidRDefault="00D40151" w:rsidP="009D14FB">
            <w:pPr>
              <w:pStyle w:val="TAL"/>
              <w:rPr>
                <w:sz w:val="16"/>
                <w:szCs w:val="16"/>
              </w:rPr>
            </w:pPr>
            <w:r w:rsidRPr="00873B6C">
              <w:rPr>
                <w:sz w:val="16"/>
                <w:szCs w:val="16"/>
              </w:rPr>
              <w:t>1752</w:t>
            </w:r>
          </w:p>
        </w:tc>
        <w:tc>
          <w:tcPr>
            <w:tcW w:w="425" w:type="dxa"/>
            <w:shd w:val="solid" w:color="FFFFFF" w:fill="auto"/>
          </w:tcPr>
          <w:p w14:paraId="16D39E8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F7668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9E872B" w14:textId="77777777" w:rsidR="00D40151" w:rsidRPr="00873B6C" w:rsidRDefault="00D40151" w:rsidP="009D14FB">
            <w:pPr>
              <w:pStyle w:val="TAL"/>
              <w:rPr>
                <w:sz w:val="16"/>
                <w:szCs w:val="16"/>
              </w:rPr>
            </w:pPr>
            <w:r w:rsidRPr="00873B6C">
              <w:rPr>
                <w:sz w:val="16"/>
                <w:szCs w:val="16"/>
              </w:rPr>
              <w:t>Clarifying CAG handling during RRC resume procedure</w:t>
            </w:r>
          </w:p>
        </w:tc>
        <w:tc>
          <w:tcPr>
            <w:tcW w:w="708" w:type="dxa"/>
            <w:shd w:val="solid" w:color="FFFFFF" w:fill="auto"/>
          </w:tcPr>
          <w:p w14:paraId="38B42D2D" w14:textId="77777777" w:rsidR="00D40151" w:rsidRPr="00873B6C" w:rsidRDefault="00D40151" w:rsidP="009D14FB">
            <w:pPr>
              <w:pStyle w:val="TAC"/>
              <w:rPr>
                <w:sz w:val="16"/>
                <w:szCs w:val="16"/>
              </w:rPr>
            </w:pPr>
            <w:r w:rsidRPr="00873B6C">
              <w:rPr>
                <w:sz w:val="16"/>
                <w:szCs w:val="16"/>
              </w:rPr>
              <w:t>16.3.0</w:t>
            </w:r>
          </w:p>
        </w:tc>
      </w:tr>
      <w:tr w:rsidR="00D40151" w:rsidRPr="00873B6C" w14:paraId="2E6C4ADA" w14:textId="77777777" w:rsidTr="009D14FB">
        <w:tc>
          <w:tcPr>
            <w:tcW w:w="800" w:type="dxa"/>
            <w:shd w:val="solid" w:color="FFFFFF" w:fill="auto"/>
          </w:tcPr>
          <w:p w14:paraId="75BDA3C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7407C5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FEE9288"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0E785A74" w14:textId="77777777" w:rsidR="00D40151" w:rsidRPr="00873B6C" w:rsidRDefault="00D40151" w:rsidP="009D14FB">
            <w:pPr>
              <w:pStyle w:val="TAL"/>
              <w:rPr>
                <w:sz w:val="16"/>
                <w:szCs w:val="16"/>
              </w:rPr>
            </w:pPr>
            <w:r w:rsidRPr="00873B6C">
              <w:rPr>
                <w:sz w:val="16"/>
                <w:szCs w:val="16"/>
              </w:rPr>
              <w:t>1754</w:t>
            </w:r>
          </w:p>
        </w:tc>
        <w:tc>
          <w:tcPr>
            <w:tcW w:w="425" w:type="dxa"/>
            <w:shd w:val="solid" w:color="FFFFFF" w:fill="auto"/>
          </w:tcPr>
          <w:p w14:paraId="3A32CEF6"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4A3A7D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E97737" w14:textId="77777777" w:rsidR="00D40151" w:rsidRPr="00873B6C" w:rsidRDefault="00D40151" w:rsidP="009D14FB">
            <w:pPr>
              <w:pStyle w:val="TAL"/>
              <w:rPr>
                <w:sz w:val="16"/>
                <w:szCs w:val="16"/>
              </w:rPr>
            </w:pPr>
            <w:r w:rsidRPr="00873B6C">
              <w:rPr>
                <w:sz w:val="16"/>
                <w:szCs w:val="16"/>
              </w:rPr>
              <w:t>Update to Clause 4.2.7 Reference Points</w:t>
            </w:r>
          </w:p>
        </w:tc>
        <w:tc>
          <w:tcPr>
            <w:tcW w:w="708" w:type="dxa"/>
            <w:shd w:val="solid" w:color="FFFFFF" w:fill="auto"/>
          </w:tcPr>
          <w:p w14:paraId="578F458E" w14:textId="77777777" w:rsidR="00D40151" w:rsidRPr="00873B6C" w:rsidRDefault="00D40151" w:rsidP="009D14FB">
            <w:pPr>
              <w:pStyle w:val="TAC"/>
              <w:rPr>
                <w:sz w:val="16"/>
                <w:szCs w:val="16"/>
              </w:rPr>
            </w:pPr>
            <w:r w:rsidRPr="00873B6C">
              <w:rPr>
                <w:sz w:val="16"/>
                <w:szCs w:val="16"/>
              </w:rPr>
              <w:t>16.3.0</w:t>
            </w:r>
          </w:p>
        </w:tc>
      </w:tr>
      <w:tr w:rsidR="00D40151" w:rsidRPr="00873B6C" w14:paraId="707F78C5" w14:textId="77777777" w:rsidTr="009D14FB">
        <w:tc>
          <w:tcPr>
            <w:tcW w:w="800" w:type="dxa"/>
            <w:shd w:val="solid" w:color="FFFFFF" w:fill="auto"/>
          </w:tcPr>
          <w:p w14:paraId="0B80671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80075D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4B481D5"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3BE596FB" w14:textId="77777777" w:rsidR="00D40151" w:rsidRPr="00873B6C" w:rsidRDefault="00D40151" w:rsidP="009D14FB">
            <w:pPr>
              <w:pStyle w:val="TAL"/>
              <w:rPr>
                <w:sz w:val="16"/>
                <w:szCs w:val="16"/>
              </w:rPr>
            </w:pPr>
            <w:r w:rsidRPr="00873B6C">
              <w:rPr>
                <w:sz w:val="16"/>
                <w:szCs w:val="16"/>
              </w:rPr>
              <w:t>1755</w:t>
            </w:r>
          </w:p>
        </w:tc>
        <w:tc>
          <w:tcPr>
            <w:tcW w:w="425" w:type="dxa"/>
            <w:shd w:val="solid" w:color="FFFFFF" w:fill="auto"/>
          </w:tcPr>
          <w:p w14:paraId="71DDE36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86A373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D6285A" w14:textId="77777777" w:rsidR="00D40151" w:rsidRPr="00873B6C" w:rsidRDefault="00D40151" w:rsidP="009D14FB">
            <w:pPr>
              <w:pStyle w:val="TAL"/>
              <w:rPr>
                <w:sz w:val="16"/>
                <w:szCs w:val="16"/>
              </w:rPr>
            </w:pPr>
            <w:r w:rsidRPr="00873B6C">
              <w:rPr>
                <w:sz w:val="16"/>
                <w:szCs w:val="16"/>
              </w:rPr>
              <w:t>Corrections on Session-AMBR setting and enforcement</w:t>
            </w:r>
          </w:p>
        </w:tc>
        <w:tc>
          <w:tcPr>
            <w:tcW w:w="708" w:type="dxa"/>
            <w:shd w:val="solid" w:color="FFFFFF" w:fill="auto"/>
          </w:tcPr>
          <w:p w14:paraId="2BD6F4F0" w14:textId="77777777" w:rsidR="00D40151" w:rsidRPr="00873B6C" w:rsidRDefault="00D40151" w:rsidP="009D14FB">
            <w:pPr>
              <w:pStyle w:val="TAC"/>
              <w:rPr>
                <w:sz w:val="16"/>
                <w:szCs w:val="16"/>
              </w:rPr>
            </w:pPr>
            <w:r w:rsidRPr="00873B6C">
              <w:rPr>
                <w:sz w:val="16"/>
                <w:szCs w:val="16"/>
              </w:rPr>
              <w:t>16.3.0</w:t>
            </w:r>
          </w:p>
        </w:tc>
      </w:tr>
      <w:tr w:rsidR="00D40151" w:rsidRPr="00873B6C" w14:paraId="265190DE" w14:textId="77777777" w:rsidTr="009D14FB">
        <w:tc>
          <w:tcPr>
            <w:tcW w:w="800" w:type="dxa"/>
            <w:shd w:val="solid" w:color="FFFFFF" w:fill="auto"/>
          </w:tcPr>
          <w:p w14:paraId="654918B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04748E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9C4A6E1"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5842BADC" w14:textId="77777777" w:rsidR="00D40151" w:rsidRPr="00873B6C" w:rsidRDefault="00D40151" w:rsidP="009D14FB">
            <w:pPr>
              <w:pStyle w:val="TAL"/>
              <w:rPr>
                <w:sz w:val="16"/>
                <w:szCs w:val="16"/>
              </w:rPr>
            </w:pPr>
            <w:r w:rsidRPr="00873B6C">
              <w:rPr>
                <w:sz w:val="16"/>
                <w:szCs w:val="16"/>
              </w:rPr>
              <w:t>1757</w:t>
            </w:r>
          </w:p>
        </w:tc>
        <w:tc>
          <w:tcPr>
            <w:tcW w:w="425" w:type="dxa"/>
            <w:shd w:val="solid" w:color="FFFFFF" w:fill="auto"/>
          </w:tcPr>
          <w:p w14:paraId="130781CF"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220BADA7"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511B623" w14:textId="77777777" w:rsidR="00D40151" w:rsidRPr="00873B6C" w:rsidRDefault="00D40151" w:rsidP="009D14FB">
            <w:pPr>
              <w:pStyle w:val="TAL"/>
              <w:rPr>
                <w:sz w:val="16"/>
                <w:szCs w:val="16"/>
              </w:rPr>
            </w:pPr>
            <w:r w:rsidRPr="00873B6C">
              <w:rPr>
                <w:sz w:val="16"/>
                <w:szCs w:val="16"/>
              </w:rPr>
              <w:t>Correction on PCF selection and discovery</w:t>
            </w:r>
          </w:p>
        </w:tc>
        <w:tc>
          <w:tcPr>
            <w:tcW w:w="708" w:type="dxa"/>
            <w:shd w:val="solid" w:color="FFFFFF" w:fill="auto"/>
          </w:tcPr>
          <w:p w14:paraId="038527B9" w14:textId="77777777" w:rsidR="00D40151" w:rsidRPr="00873B6C" w:rsidRDefault="00D40151" w:rsidP="009D14FB">
            <w:pPr>
              <w:pStyle w:val="TAC"/>
              <w:rPr>
                <w:sz w:val="16"/>
                <w:szCs w:val="16"/>
              </w:rPr>
            </w:pPr>
            <w:r w:rsidRPr="00873B6C">
              <w:rPr>
                <w:sz w:val="16"/>
                <w:szCs w:val="16"/>
              </w:rPr>
              <w:t>16.3.0</w:t>
            </w:r>
          </w:p>
        </w:tc>
      </w:tr>
      <w:tr w:rsidR="00D40151" w:rsidRPr="00873B6C" w14:paraId="55A89DDD" w14:textId="77777777" w:rsidTr="009D14FB">
        <w:tc>
          <w:tcPr>
            <w:tcW w:w="800" w:type="dxa"/>
            <w:shd w:val="solid" w:color="FFFFFF" w:fill="auto"/>
          </w:tcPr>
          <w:p w14:paraId="222F520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C6A343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1626791" w14:textId="77777777" w:rsidR="00D40151" w:rsidRPr="00873B6C" w:rsidRDefault="00D40151" w:rsidP="009D14FB">
            <w:pPr>
              <w:pStyle w:val="TAC"/>
              <w:rPr>
                <w:sz w:val="16"/>
                <w:szCs w:val="16"/>
              </w:rPr>
            </w:pPr>
            <w:r w:rsidRPr="00873B6C">
              <w:rPr>
                <w:sz w:val="16"/>
                <w:szCs w:val="16"/>
              </w:rPr>
              <w:t>SP-191078</w:t>
            </w:r>
          </w:p>
        </w:tc>
        <w:tc>
          <w:tcPr>
            <w:tcW w:w="567" w:type="dxa"/>
            <w:shd w:val="solid" w:color="FFFFFF" w:fill="auto"/>
          </w:tcPr>
          <w:p w14:paraId="172BFEFE" w14:textId="77777777" w:rsidR="00D40151" w:rsidRPr="00873B6C" w:rsidRDefault="00D40151" w:rsidP="009D14FB">
            <w:pPr>
              <w:pStyle w:val="TAL"/>
              <w:rPr>
                <w:sz w:val="16"/>
                <w:szCs w:val="16"/>
              </w:rPr>
            </w:pPr>
            <w:r w:rsidRPr="00873B6C">
              <w:rPr>
                <w:sz w:val="16"/>
                <w:szCs w:val="16"/>
              </w:rPr>
              <w:t>1759</w:t>
            </w:r>
          </w:p>
        </w:tc>
        <w:tc>
          <w:tcPr>
            <w:tcW w:w="425" w:type="dxa"/>
            <w:shd w:val="solid" w:color="FFFFFF" w:fill="auto"/>
          </w:tcPr>
          <w:p w14:paraId="0DE21D8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693BA4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5E27C2" w14:textId="77777777" w:rsidR="00D40151" w:rsidRPr="00873B6C" w:rsidRDefault="00D40151" w:rsidP="009D14FB">
            <w:pPr>
              <w:pStyle w:val="TAL"/>
              <w:rPr>
                <w:sz w:val="16"/>
                <w:szCs w:val="16"/>
              </w:rPr>
            </w:pPr>
            <w:r w:rsidRPr="00873B6C">
              <w:rPr>
                <w:sz w:val="16"/>
                <w:szCs w:val="16"/>
              </w:rPr>
              <w:t>UDR service for mapping IMS Public Identity to HSS Group ID for HSS selection</w:t>
            </w:r>
          </w:p>
        </w:tc>
        <w:tc>
          <w:tcPr>
            <w:tcW w:w="708" w:type="dxa"/>
            <w:shd w:val="solid" w:color="FFFFFF" w:fill="auto"/>
          </w:tcPr>
          <w:p w14:paraId="232821E2" w14:textId="77777777" w:rsidR="00D40151" w:rsidRPr="00873B6C" w:rsidRDefault="00D40151" w:rsidP="009D14FB">
            <w:pPr>
              <w:pStyle w:val="TAC"/>
              <w:rPr>
                <w:sz w:val="16"/>
                <w:szCs w:val="16"/>
              </w:rPr>
            </w:pPr>
            <w:r w:rsidRPr="00873B6C">
              <w:rPr>
                <w:sz w:val="16"/>
                <w:szCs w:val="16"/>
              </w:rPr>
              <w:t>16.3.0</w:t>
            </w:r>
          </w:p>
        </w:tc>
      </w:tr>
      <w:tr w:rsidR="00D40151" w:rsidRPr="00873B6C" w14:paraId="2C96C3ED" w14:textId="77777777" w:rsidTr="009D14FB">
        <w:tc>
          <w:tcPr>
            <w:tcW w:w="800" w:type="dxa"/>
            <w:shd w:val="solid" w:color="FFFFFF" w:fill="auto"/>
          </w:tcPr>
          <w:p w14:paraId="40BCFB0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CF824C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6A78DDB"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24F9E0CE" w14:textId="77777777" w:rsidR="00D40151" w:rsidRPr="00873B6C" w:rsidRDefault="00D40151" w:rsidP="009D14FB">
            <w:pPr>
              <w:pStyle w:val="TAL"/>
              <w:rPr>
                <w:sz w:val="16"/>
                <w:szCs w:val="16"/>
              </w:rPr>
            </w:pPr>
            <w:r w:rsidRPr="00873B6C">
              <w:rPr>
                <w:sz w:val="16"/>
                <w:szCs w:val="16"/>
              </w:rPr>
              <w:t>1765</w:t>
            </w:r>
          </w:p>
        </w:tc>
        <w:tc>
          <w:tcPr>
            <w:tcW w:w="425" w:type="dxa"/>
            <w:shd w:val="solid" w:color="FFFFFF" w:fill="auto"/>
          </w:tcPr>
          <w:p w14:paraId="2131F4F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48E543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4157DC" w14:textId="77777777" w:rsidR="00D40151" w:rsidRPr="00873B6C" w:rsidRDefault="00D40151" w:rsidP="009D14FB">
            <w:pPr>
              <w:pStyle w:val="TAL"/>
              <w:rPr>
                <w:sz w:val="16"/>
                <w:szCs w:val="16"/>
              </w:rPr>
            </w:pPr>
            <w:r w:rsidRPr="00873B6C">
              <w:rPr>
                <w:sz w:val="16"/>
                <w:szCs w:val="16"/>
              </w:rPr>
              <w:t>Notification receiver information in a subscription</w:t>
            </w:r>
          </w:p>
        </w:tc>
        <w:tc>
          <w:tcPr>
            <w:tcW w:w="708" w:type="dxa"/>
            <w:shd w:val="solid" w:color="FFFFFF" w:fill="auto"/>
          </w:tcPr>
          <w:p w14:paraId="6CD46E42" w14:textId="77777777" w:rsidR="00D40151" w:rsidRPr="00873B6C" w:rsidRDefault="00D40151" w:rsidP="009D14FB">
            <w:pPr>
              <w:pStyle w:val="TAC"/>
              <w:rPr>
                <w:sz w:val="16"/>
                <w:szCs w:val="16"/>
              </w:rPr>
            </w:pPr>
            <w:r w:rsidRPr="00873B6C">
              <w:rPr>
                <w:sz w:val="16"/>
                <w:szCs w:val="16"/>
              </w:rPr>
              <w:t>16.3.0</w:t>
            </w:r>
          </w:p>
        </w:tc>
      </w:tr>
      <w:tr w:rsidR="00D40151" w:rsidRPr="00873B6C" w14:paraId="13326C56" w14:textId="77777777" w:rsidTr="009D14FB">
        <w:tc>
          <w:tcPr>
            <w:tcW w:w="800" w:type="dxa"/>
            <w:shd w:val="solid" w:color="FFFFFF" w:fill="auto"/>
          </w:tcPr>
          <w:p w14:paraId="2EE72EF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600B73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4813610"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3C03B424" w14:textId="77777777" w:rsidR="00D40151" w:rsidRPr="00873B6C" w:rsidRDefault="00D40151" w:rsidP="009D14FB">
            <w:pPr>
              <w:pStyle w:val="TAL"/>
              <w:rPr>
                <w:sz w:val="16"/>
                <w:szCs w:val="16"/>
              </w:rPr>
            </w:pPr>
            <w:r w:rsidRPr="00873B6C">
              <w:rPr>
                <w:sz w:val="16"/>
                <w:szCs w:val="16"/>
              </w:rPr>
              <w:t>1766</w:t>
            </w:r>
          </w:p>
        </w:tc>
        <w:tc>
          <w:tcPr>
            <w:tcW w:w="425" w:type="dxa"/>
            <w:shd w:val="solid" w:color="FFFFFF" w:fill="auto"/>
          </w:tcPr>
          <w:p w14:paraId="7522A8F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DB9B8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EA779A" w14:textId="77777777" w:rsidR="00D40151" w:rsidRPr="00873B6C" w:rsidRDefault="00D40151" w:rsidP="009D14FB">
            <w:pPr>
              <w:pStyle w:val="TAL"/>
              <w:rPr>
                <w:sz w:val="16"/>
                <w:szCs w:val="16"/>
              </w:rPr>
            </w:pPr>
            <w:r w:rsidRPr="00873B6C">
              <w:rPr>
                <w:sz w:val="16"/>
                <w:szCs w:val="16"/>
              </w:rPr>
              <w:t xml:space="preserve">Correcting delegated discovery for PCF </w:t>
            </w:r>
          </w:p>
        </w:tc>
        <w:tc>
          <w:tcPr>
            <w:tcW w:w="708" w:type="dxa"/>
            <w:shd w:val="solid" w:color="FFFFFF" w:fill="auto"/>
          </w:tcPr>
          <w:p w14:paraId="05FB427D" w14:textId="77777777" w:rsidR="00D40151" w:rsidRPr="00873B6C" w:rsidRDefault="00D40151" w:rsidP="009D14FB">
            <w:pPr>
              <w:pStyle w:val="TAC"/>
              <w:rPr>
                <w:sz w:val="16"/>
                <w:szCs w:val="16"/>
              </w:rPr>
            </w:pPr>
            <w:r w:rsidRPr="00873B6C">
              <w:rPr>
                <w:sz w:val="16"/>
                <w:szCs w:val="16"/>
              </w:rPr>
              <w:t>16.3.0</w:t>
            </w:r>
          </w:p>
        </w:tc>
      </w:tr>
      <w:tr w:rsidR="00D40151" w:rsidRPr="00873B6C" w14:paraId="24821CDA" w14:textId="77777777" w:rsidTr="009D14FB">
        <w:tc>
          <w:tcPr>
            <w:tcW w:w="800" w:type="dxa"/>
            <w:shd w:val="solid" w:color="FFFFFF" w:fill="auto"/>
          </w:tcPr>
          <w:p w14:paraId="1072D83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0DC851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6EA095C"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1B75F800" w14:textId="77777777" w:rsidR="00D40151" w:rsidRPr="00873B6C" w:rsidRDefault="00D40151" w:rsidP="009D14FB">
            <w:pPr>
              <w:pStyle w:val="TAL"/>
              <w:rPr>
                <w:sz w:val="16"/>
                <w:szCs w:val="16"/>
              </w:rPr>
            </w:pPr>
            <w:r w:rsidRPr="00873B6C">
              <w:rPr>
                <w:sz w:val="16"/>
                <w:szCs w:val="16"/>
              </w:rPr>
              <w:t>1767</w:t>
            </w:r>
          </w:p>
        </w:tc>
        <w:tc>
          <w:tcPr>
            <w:tcW w:w="425" w:type="dxa"/>
            <w:shd w:val="solid" w:color="FFFFFF" w:fill="auto"/>
          </w:tcPr>
          <w:p w14:paraId="17B7C8D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0A13D8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C1E77D" w14:textId="77777777" w:rsidR="00D40151" w:rsidRPr="00873B6C" w:rsidRDefault="00D40151" w:rsidP="009D14FB">
            <w:pPr>
              <w:pStyle w:val="TAL"/>
              <w:rPr>
                <w:sz w:val="16"/>
                <w:szCs w:val="16"/>
              </w:rPr>
            </w:pPr>
            <w:r w:rsidRPr="00873B6C">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873B6C" w:rsidRDefault="00D40151" w:rsidP="009D14FB">
            <w:pPr>
              <w:pStyle w:val="TAC"/>
              <w:rPr>
                <w:sz w:val="16"/>
                <w:szCs w:val="16"/>
              </w:rPr>
            </w:pPr>
            <w:r w:rsidRPr="00873B6C">
              <w:rPr>
                <w:sz w:val="16"/>
                <w:szCs w:val="16"/>
              </w:rPr>
              <w:t>16.3.0</w:t>
            </w:r>
          </w:p>
        </w:tc>
      </w:tr>
      <w:tr w:rsidR="00D40151" w:rsidRPr="00873B6C" w14:paraId="69D7CE4B" w14:textId="77777777" w:rsidTr="009D14FB">
        <w:tc>
          <w:tcPr>
            <w:tcW w:w="800" w:type="dxa"/>
            <w:shd w:val="solid" w:color="FFFFFF" w:fill="auto"/>
          </w:tcPr>
          <w:p w14:paraId="2E99937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4BA0B0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045CF22"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1127F8B0" w14:textId="77777777" w:rsidR="00D40151" w:rsidRPr="00873B6C" w:rsidRDefault="00D40151" w:rsidP="009D14FB">
            <w:pPr>
              <w:pStyle w:val="TAL"/>
              <w:rPr>
                <w:sz w:val="16"/>
                <w:szCs w:val="16"/>
              </w:rPr>
            </w:pPr>
            <w:r w:rsidRPr="00873B6C">
              <w:rPr>
                <w:sz w:val="16"/>
                <w:szCs w:val="16"/>
              </w:rPr>
              <w:t>1768</w:t>
            </w:r>
          </w:p>
        </w:tc>
        <w:tc>
          <w:tcPr>
            <w:tcW w:w="425" w:type="dxa"/>
            <w:shd w:val="solid" w:color="FFFFFF" w:fill="auto"/>
          </w:tcPr>
          <w:p w14:paraId="457C274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6FC48A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7C5455" w14:textId="77777777" w:rsidR="00D40151" w:rsidRPr="00873B6C" w:rsidRDefault="00D40151" w:rsidP="009D14FB">
            <w:pPr>
              <w:pStyle w:val="TAL"/>
              <w:rPr>
                <w:sz w:val="16"/>
                <w:szCs w:val="16"/>
              </w:rPr>
            </w:pPr>
            <w:r w:rsidRPr="00873B6C">
              <w:rPr>
                <w:sz w:val="16"/>
                <w:szCs w:val="16"/>
              </w:rPr>
              <w:t>Delivery of SMF waiting time to AF for session continuity</w:t>
            </w:r>
          </w:p>
        </w:tc>
        <w:tc>
          <w:tcPr>
            <w:tcW w:w="708" w:type="dxa"/>
            <w:shd w:val="solid" w:color="FFFFFF" w:fill="auto"/>
          </w:tcPr>
          <w:p w14:paraId="57BC3205" w14:textId="77777777" w:rsidR="00D40151" w:rsidRPr="00873B6C" w:rsidRDefault="00D40151" w:rsidP="009D14FB">
            <w:pPr>
              <w:pStyle w:val="TAC"/>
              <w:rPr>
                <w:sz w:val="16"/>
                <w:szCs w:val="16"/>
              </w:rPr>
            </w:pPr>
            <w:r w:rsidRPr="00873B6C">
              <w:rPr>
                <w:sz w:val="16"/>
                <w:szCs w:val="16"/>
              </w:rPr>
              <w:t>16.3.0</w:t>
            </w:r>
          </w:p>
        </w:tc>
      </w:tr>
      <w:tr w:rsidR="00D40151" w:rsidRPr="00873B6C" w14:paraId="7168E0BB" w14:textId="77777777" w:rsidTr="009D14FB">
        <w:tc>
          <w:tcPr>
            <w:tcW w:w="800" w:type="dxa"/>
            <w:shd w:val="solid" w:color="FFFFFF" w:fill="auto"/>
          </w:tcPr>
          <w:p w14:paraId="1712035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916F04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00BCAAC"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0F6B1941" w14:textId="77777777" w:rsidR="00D40151" w:rsidRPr="00873B6C" w:rsidRDefault="00D40151" w:rsidP="009D14FB">
            <w:pPr>
              <w:pStyle w:val="TAL"/>
              <w:rPr>
                <w:sz w:val="16"/>
                <w:szCs w:val="16"/>
              </w:rPr>
            </w:pPr>
            <w:r w:rsidRPr="00873B6C">
              <w:rPr>
                <w:sz w:val="16"/>
                <w:szCs w:val="16"/>
              </w:rPr>
              <w:t>1769</w:t>
            </w:r>
          </w:p>
        </w:tc>
        <w:tc>
          <w:tcPr>
            <w:tcW w:w="425" w:type="dxa"/>
            <w:shd w:val="solid" w:color="FFFFFF" w:fill="auto"/>
          </w:tcPr>
          <w:p w14:paraId="1AB4945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CAB19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FC6728" w14:textId="77777777" w:rsidR="00D40151" w:rsidRPr="00873B6C" w:rsidRDefault="00D40151" w:rsidP="009D14FB">
            <w:pPr>
              <w:pStyle w:val="TAL"/>
              <w:rPr>
                <w:sz w:val="16"/>
                <w:szCs w:val="16"/>
              </w:rPr>
            </w:pPr>
            <w:r w:rsidRPr="00873B6C">
              <w:rPr>
                <w:sz w:val="16"/>
                <w:szCs w:val="16"/>
              </w:rPr>
              <w:t>Corrections for performance measurements</w:t>
            </w:r>
          </w:p>
        </w:tc>
        <w:tc>
          <w:tcPr>
            <w:tcW w:w="708" w:type="dxa"/>
            <w:shd w:val="solid" w:color="FFFFFF" w:fill="auto"/>
          </w:tcPr>
          <w:p w14:paraId="700E5893" w14:textId="77777777" w:rsidR="00D40151" w:rsidRPr="00873B6C" w:rsidRDefault="00D40151" w:rsidP="009D14FB">
            <w:pPr>
              <w:pStyle w:val="TAC"/>
              <w:rPr>
                <w:sz w:val="16"/>
                <w:szCs w:val="16"/>
              </w:rPr>
            </w:pPr>
            <w:r w:rsidRPr="00873B6C">
              <w:rPr>
                <w:sz w:val="16"/>
                <w:szCs w:val="16"/>
              </w:rPr>
              <w:t>16.3.0</w:t>
            </w:r>
          </w:p>
        </w:tc>
      </w:tr>
      <w:tr w:rsidR="00D40151" w:rsidRPr="00873B6C" w14:paraId="46BFAA36" w14:textId="77777777" w:rsidTr="009D14FB">
        <w:tc>
          <w:tcPr>
            <w:tcW w:w="800" w:type="dxa"/>
            <w:shd w:val="solid" w:color="FFFFFF" w:fill="auto"/>
          </w:tcPr>
          <w:p w14:paraId="5F82645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850219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52487DA"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057C7750" w14:textId="77777777" w:rsidR="00D40151" w:rsidRPr="00873B6C" w:rsidRDefault="00D40151" w:rsidP="009D14FB">
            <w:pPr>
              <w:pStyle w:val="TAL"/>
              <w:rPr>
                <w:sz w:val="16"/>
                <w:szCs w:val="16"/>
              </w:rPr>
            </w:pPr>
            <w:r w:rsidRPr="00873B6C">
              <w:rPr>
                <w:sz w:val="16"/>
                <w:szCs w:val="16"/>
              </w:rPr>
              <w:t>1770</w:t>
            </w:r>
          </w:p>
        </w:tc>
        <w:tc>
          <w:tcPr>
            <w:tcW w:w="425" w:type="dxa"/>
            <w:shd w:val="solid" w:color="FFFFFF" w:fill="auto"/>
          </w:tcPr>
          <w:p w14:paraId="12F9E59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7EAC90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2EB0DD" w14:textId="77777777" w:rsidR="00D40151" w:rsidRPr="00873B6C" w:rsidRDefault="00D40151" w:rsidP="009D14FB">
            <w:pPr>
              <w:pStyle w:val="TAL"/>
              <w:rPr>
                <w:sz w:val="16"/>
                <w:szCs w:val="16"/>
              </w:rPr>
            </w:pPr>
            <w:r w:rsidRPr="00873B6C">
              <w:rPr>
                <w:sz w:val="16"/>
                <w:szCs w:val="16"/>
              </w:rPr>
              <w:t>Correction on TNLA binding</w:t>
            </w:r>
          </w:p>
        </w:tc>
        <w:tc>
          <w:tcPr>
            <w:tcW w:w="708" w:type="dxa"/>
            <w:shd w:val="solid" w:color="FFFFFF" w:fill="auto"/>
          </w:tcPr>
          <w:p w14:paraId="0B43E548" w14:textId="77777777" w:rsidR="00D40151" w:rsidRPr="00873B6C" w:rsidRDefault="00D40151" w:rsidP="009D14FB">
            <w:pPr>
              <w:pStyle w:val="TAC"/>
              <w:rPr>
                <w:sz w:val="16"/>
                <w:szCs w:val="16"/>
              </w:rPr>
            </w:pPr>
            <w:r w:rsidRPr="00873B6C">
              <w:rPr>
                <w:sz w:val="16"/>
                <w:szCs w:val="16"/>
              </w:rPr>
              <w:t>16.3.0</w:t>
            </w:r>
          </w:p>
        </w:tc>
      </w:tr>
      <w:tr w:rsidR="00D40151" w:rsidRPr="00873B6C" w14:paraId="1A9AECA3" w14:textId="77777777" w:rsidTr="009D14FB">
        <w:tc>
          <w:tcPr>
            <w:tcW w:w="800" w:type="dxa"/>
            <w:shd w:val="solid" w:color="FFFFFF" w:fill="auto"/>
          </w:tcPr>
          <w:p w14:paraId="41F1B62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0E5DC8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D49B8CD"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50436C42" w14:textId="77777777" w:rsidR="00D40151" w:rsidRPr="00873B6C" w:rsidRDefault="00D40151" w:rsidP="009D14FB">
            <w:pPr>
              <w:pStyle w:val="TAL"/>
              <w:rPr>
                <w:sz w:val="16"/>
                <w:szCs w:val="16"/>
              </w:rPr>
            </w:pPr>
            <w:r w:rsidRPr="00873B6C">
              <w:rPr>
                <w:sz w:val="16"/>
                <w:szCs w:val="16"/>
              </w:rPr>
              <w:t>1771</w:t>
            </w:r>
          </w:p>
        </w:tc>
        <w:tc>
          <w:tcPr>
            <w:tcW w:w="425" w:type="dxa"/>
            <w:shd w:val="solid" w:color="FFFFFF" w:fill="auto"/>
          </w:tcPr>
          <w:p w14:paraId="459D0D5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516D6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3CF46F" w14:textId="77777777" w:rsidR="00D40151" w:rsidRPr="00873B6C" w:rsidRDefault="00D40151" w:rsidP="009D14FB">
            <w:pPr>
              <w:pStyle w:val="TAL"/>
              <w:rPr>
                <w:sz w:val="16"/>
                <w:szCs w:val="16"/>
              </w:rPr>
            </w:pPr>
            <w:r w:rsidRPr="00873B6C">
              <w:rPr>
                <w:sz w:val="16"/>
                <w:szCs w:val="16"/>
              </w:rPr>
              <w:t xml:space="preserve">General corrections for MA PDU sessions </w:t>
            </w:r>
          </w:p>
        </w:tc>
        <w:tc>
          <w:tcPr>
            <w:tcW w:w="708" w:type="dxa"/>
            <w:shd w:val="solid" w:color="FFFFFF" w:fill="auto"/>
          </w:tcPr>
          <w:p w14:paraId="657A299A" w14:textId="77777777" w:rsidR="00D40151" w:rsidRPr="00873B6C" w:rsidRDefault="00D40151" w:rsidP="009D14FB">
            <w:pPr>
              <w:pStyle w:val="TAC"/>
              <w:rPr>
                <w:sz w:val="16"/>
                <w:szCs w:val="16"/>
              </w:rPr>
            </w:pPr>
            <w:r w:rsidRPr="00873B6C">
              <w:rPr>
                <w:sz w:val="16"/>
                <w:szCs w:val="16"/>
              </w:rPr>
              <w:t>16.3.0</w:t>
            </w:r>
          </w:p>
        </w:tc>
      </w:tr>
      <w:tr w:rsidR="00D40151" w:rsidRPr="00873B6C" w14:paraId="527828D6" w14:textId="77777777" w:rsidTr="009D14FB">
        <w:tc>
          <w:tcPr>
            <w:tcW w:w="800" w:type="dxa"/>
            <w:shd w:val="solid" w:color="FFFFFF" w:fill="auto"/>
          </w:tcPr>
          <w:p w14:paraId="4474EE1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4DE25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963777A"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27EB821A" w14:textId="77777777" w:rsidR="00D40151" w:rsidRPr="00873B6C" w:rsidRDefault="00D40151" w:rsidP="009D14FB">
            <w:pPr>
              <w:pStyle w:val="TAL"/>
              <w:rPr>
                <w:sz w:val="16"/>
                <w:szCs w:val="16"/>
              </w:rPr>
            </w:pPr>
            <w:r w:rsidRPr="00873B6C">
              <w:rPr>
                <w:sz w:val="16"/>
                <w:szCs w:val="16"/>
              </w:rPr>
              <w:t>1772</w:t>
            </w:r>
          </w:p>
        </w:tc>
        <w:tc>
          <w:tcPr>
            <w:tcW w:w="425" w:type="dxa"/>
            <w:shd w:val="solid" w:color="FFFFFF" w:fill="auto"/>
          </w:tcPr>
          <w:p w14:paraId="10EADFD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D98E3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4F895E" w14:textId="77777777" w:rsidR="00D40151" w:rsidRPr="00873B6C" w:rsidRDefault="00D40151" w:rsidP="009D14FB">
            <w:pPr>
              <w:pStyle w:val="TAL"/>
              <w:rPr>
                <w:sz w:val="16"/>
                <w:szCs w:val="16"/>
              </w:rPr>
            </w:pPr>
            <w:r w:rsidRPr="00873B6C">
              <w:rPr>
                <w:sz w:val="16"/>
                <w:szCs w:val="16"/>
              </w:rPr>
              <w:t>Corrections to interworking with EPS for ATSSS</w:t>
            </w:r>
          </w:p>
        </w:tc>
        <w:tc>
          <w:tcPr>
            <w:tcW w:w="708" w:type="dxa"/>
            <w:shd w:val="solid" w:color="FFFFFF" w:fill="auto"/>
          </w:tcPr>
          <w:p w14:paraId="3F559D16" w14:textId="77777777" w:rsidR="00D40151" w:rsidRPr="00873B6C" w:rsidRDefault="00D40151" w:rsidP="009D14FB">
            <w:pPr>
              <w:pStyle w:val="TAC"/>
              <w:rPr>
                <w:sz w:val="16"/>
                <w:szCs w:val="16"/>
              </w:rPr>
            </w:pPr>
            <w:r w:rsidRPr="00873B6C">
              <w:rPr>
                <w:sz w:val="16"/>
                <w:szCs w:val="16"/>
              </w:rPr>
              <w:t>16.3.0</w:t>
            </w:r>
          </w:p>
        </w:tc>
      </w:tr>
      <w:tr w:rsidR="00D40151" w:rsidRPr="00873B6C" w14:paraId="307124CC" w14:textId="77777777" w:rsidTr="009D14FB">
        <w:tc>
          <w:tcPr>
            <w:tcW w:w="800" w:type="dxa"/>
            <w:shd w:val="solid" w:color="FFFFFF" w:fill="auto"/>
          </w:tcPr>
          <w:p w14:paraId="66C37D6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4AE7BD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4D27D89"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7A26F012" w14:textId="77777777" w:rsidR="00D40151" w:rsidRPr="00873B6C" w:rsidRDefault="00D40151" w:rsidP="009D14FB">
            <w:pPr>
              <w:pStyle w:val="TAL"/>
              <w:rPr>
                <w:sz w:val="16"/>
                <w:szCs w:val="16"/>
              </w:rPr>
            </w:pPr>
            <w:r w:rsidRPr="00873B6C">
              <w:rPr>
                <w:sz w:val="16"/>
                <w:szCs w:val="16"/>
              </w:rPr>
              <w:t>1773</w:t>
            </w:r>
          </w:p>
        </w:tc>
        <w:tc>
          <w:tcPr>
            <w:tcW w:w="425" w:type="dxa"/>
            <w:shd w:val="solid" w:color="FFFFFF" w:fill="auto"/>
          </w:tcPr>
          <w:p w14:paraId="42D4D3A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9C99E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DF75C6" w14:textId="77777777" w:rsidR="00D40151" w:rsidRPr="00873B6C" w:rsidRDefault="00D40151" w:rsidP="009D14FB">
            <w:pPr>
              <w:pStyle w:val="TAL"/>
              <w:rPr>
                <w:sz w:val="16"/>
                <w:szCs w:val="16"/>
              </w:rPr>
            </w:pPr>
            <w:r w:rsidRPr="00873B6C">
              <w:rPr>
                <w:sz w:val="16"/>
                <w:szCs w:val="16"/>
              </w:rPr>
              <w:t>N4 impacts due to ATSSS</w:t>
            </w:r>
          </w:p>
        </w:tc>
        <w:tc>
          <w:tcPr>
            <w:tcW w:w="708" w:type="dxa"/>
            <w:shd w:val="solid" w:color="FFFFFF" w:fill="auto"/>
          </w:tcPr>
          <w:p w14:paraId="05B5F47D" w14:textId="77777777" w:rsidR="00D40151" w:rsidRPr="00873B6C" w:rsidRDefault="00D40151" w:rsidP="009D14FB">
            <w:pPr>
              <w:pStyle w:val="TAC"/>
              <w:rPr>
                <w:sz w:val="16"/>
                <w:szCs w:val="16"/>
              </w:rPr>
            </w:pPr>
            <w:r w:rsidRPr="00873B6C">
              <w:rPr>
                <w:sz w:val="16"/>
                <w:szCs w:val="16"/>
              </w:rPr>
              <w:t>16.3.0</w:t>
            </w:r>
          </w:p>
        </w:tc>
      </w:tr>
      <w:tr w:rsidR="00D40151" w:rsidRPr="00873B6C" w14:paraId="7B0C8B57" w14:textId="77777777" w:rsidTr="009D14FB">
        <w:tc>
          <w:tcPr>
            <w:tcW w:w="800" w:type="dxa"/>
            <w:shd w:val="solid" w:color="FFFFFF" w:fill="auto"/>
          </w:tcPr>
          <w:p w14:paraId="7F9D613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3A7D3F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87BD27E"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71472036" w14:textId="77777777" w:rsidR="00D40151" w:rsidRPr="00873B6C" w:rsidRDefault="00D40151" w:rsidP="009D14FB">
            <w:pPr>
              <w:pStyle w:val="TAL"/>
              <w:rPr>
                <w:sz w:val="16"/>
                <w:szCs w:val="16"/>
              </w:rPr>
            </w:pPr>
            <w:r w:rsidRPr="00873B6C">
              <w:rPr>
                <w:sz w:val="16"/>
                <w:szCs w:val="16"/>
              </w:rPr>
              <w:t>1774</w:t>
            </w:r>
          </w:p>
        </w:tc>
        <w:tc>
          <w:tcPr>
            <w:tcW w:w="425" w:type="dxa"/>
            <w:shd w:val="solid" w:color="FFFFFF" w:fill="auto"/>
          </w:tcPr>
          <w:p w14:paraId="50AB9BC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284B5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301786" w14:textId="77777777" w:rsidR="00D40151" w:rsidRPr="00873B6C" w:rsidRDefault="00D40151" w:rsidP="009D14FB">
            <w:pPr>
              <w:pStyle w:val="TAL"/>
              <w:rPr>
                <w:sz w:val="16"/>
                <w:szCs w:val="16"/>
              </w:rPr>
            </w:pPr>
            <w:r w:rsidRPr="00873B6C">
              <w:rPr>
                <w:sz w:val="16"/>
                <w:szCs w:val="16"/>
              </w:rPr>
              <w:t>Corrections to steering functionalities description</w:t>
            </w:r>
          </w:p>
        </w:tc>
        <w:tc>
          <w:tcPr>
            <w:tcW w:w="708" w:type="dxa"/>
            <w:shd w:val="solid" w:color="FFFFFF" w:fill="auto"/>
          </w:tcPr>
          <w:p w14:paraId="080320C3" w14:textId="77777777" w:rsidR="00D40151" w:rsidRPr="00873B6C" w:rsidRDefault="00D40151" w:rsidP="009D14FB">
            <w:pPr>
              <w:pStyle w:val="TAC"/>
              <w:rPr>
                <w:sz w:val="16"/>
                <w:szCs w:val="16"/>
              </w:rPr>
            </w:pPr>
            <w:r w:rsidRPr="00873B6C">
              <w:rPr>
                <w:sz w:val="16"/>
                <w:szCs w:val="16"/>
              </w:rPr>
              <w:t>16.3.0</w:t>
            </w:r>
          </w:p>
        </w:tc>
      </w:tr>
      <w:tr w:rsidR="00D40151" w:rsidRPr="00873B6C" w14:paraId="7CB03B0A" w14:textId="77777777" w:rsidTr="009D14FB">
        <w:tc>
          <w:tcPr>
            <w:tcW w:w="800" w:type="dxa"/>
            <w:shd w:val="solid" w:color="FFFFFF" w:fill="auto"/>
          </w:tcPr>
          <w:p w14:paraId="2B4A72C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22224F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2F10E6B"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04C2EDED" w14:textId="77777777" w:rsidR="00D40151" w:rsidRPr="00873B6C" w:rsidRDefault="00D40151" w:rsidP="009D14FB">
            <w:pPr>
              <w:pStyle w:val="TAL"/>
              <w:rPr>
                <w:sz w:val="16"/>
                <w:szCs w:val="16"/>
              </w:rPr>
            </w:pPr>
            <w:r w:rsidRPr="00873B6C">
              <w:rPr>
                <w:sz w:val="16"/>
                <w:szCs w:val="16"/>
              </w:rPr>
              <w:t>1775</w:t>
            </w:r>
          </w:p>
        </w:tc>
        <w:tc>
          <w:tcPr>
            <w:tcW w:w="425" w:type="dxa"/>
            <w:shd w:val="solid" w:color="FFFFFF" w:fill="auto"/>
          </w:tcPr>
          <w:p w14:paraId="452E426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AB6A1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5F29F4" w14:textId="77777777" w:rsidR="00D40151" w:rsidRPr="00873B6C" w:rsidRDefault="00D40151" w:rsidP="009D14FB">
            <w:pPr>
              <w:pStyle w:val="TAL"/>
              <w:rPr>
                <w:sz w:val="16"/>
                <w:szCs w:val="16"/>
              </w:rPr>
            </w:pPr>
            <w:r w:rsidRPr="00873B6C">
              <w:rPr>
                <w:sz w:val="16"/>
                <w:szCs w:val="16"/>
              </w:rPr>
              <w:t>PCF selection for DNN replacement</w:t>
            </w:r>
          </w:p>
        </w:tc>
        <w:tc>
          <w:tcPr>
            <w:tcW w:w="708" w:type="dxa"/>
            <w:shd w:val="solid" w:color="FFFFFF" w:fill="auto"/>
          </w:tcPr>
          <w:p w14:paraId="3CD97026" w14:textId="77777777" w:rsidR="00D40151" w:rsidRPr="00873B6C" w:rsidRDefault="00D40151" w:rsidP="009D14FB">
            <w:pPr>
              <w:pStyle w:val="TAC"/>
              <w:rPr>
                <w:sz w:val="16"/>
                <w:szCs w:val="16"/>
              </w:rPr>
            </w:pPr>
            <w:r w:rsidRPr="00873B6C">
              <w:rPr>
                <w:sz w:val="16"/>
                <w:szCs w:val="16"/>
              </w:rPr>
              <w:t>16.3.0</w:t>
            </w:r>
          </w:p>
        </w:tc>
      </w:tr>
      <w:tr w:rsidR="00D40151" w:rsidRPr="00873B6C" w14:paraId="21F3CC54" w14:textId="77777777" w:rsidTr="009D14FB">
        <w:tc>
          <w:tcPr>
            <w:tcW w:w="800" w:type="dxa"/>
            <w:shd w:val="solid" w:color="FFFFFF" w:fill="auto"/>
          </w:tcPr>
          <w:p w14:paraId="0FD5FBA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F23E37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ED98BF1"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3ADA7C3C" w14:textId="77777777" w:rsidR="00D40151" w:rsidRPr="00873B6C" w:rsidRDefault="00D40151" w:rsidP="009D14FB">
            <w:pPr>
              <w:pStyle w:val="TAL"/>
              <w:rPr>
                <w:sz w:val="16"/>
                <w:szCs w:val="16"/>
              </w:rPr>
            </w:pPr>
            <w:r w:rsidRPr="00873B6C">
              <w:rPr>
                <w:sz w:val="16"/>
                <w:szCs w:val="16"/>
              </w:rPr>
              <w:t>1778</w:t>
            </w:r>
          </w:p>
        </w:tc>
        <w:tc>
          <w:tcPr>
            <w:tcW w:w="425" w:type="dxa"/>
            <w:shd w:val="solid" w:color="FFFFFF" w:fill="auto"/>
          </w:tcPr>
          <w:p w14:paraId="6ADCE1E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6D398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9C1B71" w14:textId="77777777" w:rsidR="00D40151" w:rsidRPr="00873B6C" w:rsidRDefault="00D40151" w:rsidP="009D14FB">
            <w:pPr>
              <w:pStyle w:val="TAL"/>
              <w:rPr>
                <w:sz w:val="16"/>
                <w:szCs w:val="16"/>
              </w:rPr>
            </w:pPr>
            <w:r w:rsidRPr="00873B6C">
              <w:rPr>
                <w:sz w:val="16"/>
                <w:szCs w:val="16"/>
              </w:rPr>
              <w:t>Remote Interference Management support</w:t>
            </w:r>
          </w:p>
        </w:tc>
        <w:tc>
          <w:tcPr>
            <w:tcW w:w="708" w:type="dxa"/>
            <w:shd w:val="solid" w:color="FFFFFF" w:fill="auto"/>
          </w:tcPr>
          <w:p w14:paraId="75D5B0FD" w14:textId="77777777" w:rsidR="00D40151" w:rsidRPr="00873B6C" w:rsidRDefault="00D40151" w:rsidP="009D14FB">
            <w:pPr>
              <w:pStyle w:val="TAC"/>
              <w:rPr>
                <w:sz w:val="16"/>
                <w:szCs w:val="16"/>
              </w:rPr>
            </w:pPr>
            <w:r w:rsidRPr="00873B6C">
              <w:rPr>
                <w:sz w:val="16"/>
                <w:szCs w:val="16"/>
              </w:rPr>
              <w:t>16.3.0</w:t>
            </w:r>
          </w:p>
        </w:tc>
      </w:tr>
      <w:tr w:rsidR="00D40151" w:rsidRPr="00873B6C" w14:paraId="249ECEF1" w14:textId="77777777" w:rsidTr="009D14FB">
        <w:tc>
          <w:tcPr>
            <w:tcW w:w="800" w:type="dxa"/>
            <w:shd w:val="solid" w:color="FFFFFF" w:fill="auto"/>
          </w:tcPr>
          <w:p w14:paraId="20F2741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05BFAA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3AAEAC0" w14:textId="77777777" w:rsidR="00D40151" w:rsidRPr="00873B6C" w:rsidRDefault="00D40151" w:rsidP="009D14FB">
            <w:pPr>
              <w:pStyle w:val="TAC"/>
              <w:rPr>
                <w:sz w:val="16"/>
                <w:szCs w:val="16"/>
              </w:rPr>
            </w:pPr>
            <w:r w:rsidRPr="00873B6C">
              <w:rPr>
                <w:sz w:val="16"/>
                <w:szCs w:val="16"/>
              </w:rPr>
              <w:t>SP-191084</w:t>
            </w:r>
          </w:p>
        </w:tc>
        <w:tc>
          <w:tcPr>
            <w:tcW w:w="567" w:type="dxa"/>
            <w:shd w:val="solid" w:color="FFFFFF" w:fill="auto"/>
          </w:tcPr>
          <w:p w14:paraId="3EFC8FAE" w14:textId="77777777" w:rsidR="00D40151" w:rsidRPr="00873B6C" w:rsidRDefault="00D40151" w:rsidP="009D14FB">
            <w:pPr>
              <w:pStyle w:val="TAL"/>
              <w:rPr>
                <w:sz w:val="16"/>
                <w:szCs w:val="16"/>
              </w:rPr>
            </w:pPr>
            <w:r w:rsidRPr="00873B6C">
              <w:rPr>
                <w:sz w:val="16"/>
                <w:szCs w:val="16"/>
              </w:rPr>
              <w:t>1785</w:t>
            </w:r>
          </w:p>
        </w:tc>
        <w:tc>
          <w:tcPr>
            <w:tcW w:w="425" w:type="dxa"/>
            <w:shd w:val="solid" w:color="FFFFFF" w:fill="auto"/>
          </w:tcPr>
          <w:p w14:paraId="7A20EE6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C680B9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907B3E" w14:textId="77777777" w:rsidR="00D40151" w:rsidRPr="00873B6C" w:rsidRDefault="00D40151" w:rsidP="009D14FB">
            <w:pPr>
              <w:pStyle w:val="TAL"/>
              <w:rPr>
                <w:sz w:val="16"/>
                <w:szCs w:val="16"/>
              </w:rPr>
            </w:pPr>
            <w:r w:rsidRPr="00873B6C">
              <w:rPr>
                <w:sz w:val="16"/>
                <w:szCs w:val="16"/>
              </w:rPr>
              <w:t>Corrections to handling of Alternative QoS Profiles</w:t>
            </w:r>
          </w:p>
        </w:tc>
        <w:tc>
          <w:tcPr>
            <w:tcW w:w="708" w:type="dxa"/>
            <w:shd w:val="solid" w:color="FFFFFF" w:fill="auto"/>
          </w:tcPr>
          <w:p w14:paraId="27D4AA87" w14:textId="77777777" w:rsidR="00D40151" w:rsidRPr="00873B6C" w:rsidRDefault="00D40151" w:rsidP="009D14FB">
            <w:pPr>
              <w:pStyle w:val="TAC"/>
              <w:rPr>
                <w:sz w:val="16"/>
                <w:szCs w:val="16"/>
              </w:rPr>
            </w:pPr>
            <w:r w:rsidRPr="00873B6C">
              <w:rPr>
                <w:sz w:val="16"/>
                <w:szCs w:val="16"/>
              </w:rPr>
              <w:t>16.3.0</w:t>
            </w:r>
          </w:p>
        </w:tc>
      </w:tr>
      <w:tr w:rsidR="00D40151" w:rsidRPr="00873B6C" w14:paraId="0792A111" w14:textId="77777777" w:rsidTr="009D14FB">
        <w:tc>
          <w:tcPr>
            <w:tcW w:w="800" w:type="dxa"/>
            <w:shd w:val="solid" w:color="FFFFFF" w:fill="auto"/>
          </w:tcPr>
          <w:p w14:paraId="7B75BB7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EA645E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BD4C898" w14:textId="77777777" w:rsidR="00D40151" w:rsidRPr="00873B6C" w:rsidRDefault="00D40151" w:rsidP="009D14FB">
            <w:pPr>
              <w:pStyle w:val="TAC"/>
              <w:rPr>
                <w:sz w:val="16"/>
                <w:szCs w:val="16"/>
              </w:rPr>
            </w:pPr>
            <w:r w:rsidRPr="00873B6C">
              <w:rPr>
                <w:sz w:val="16"/>
                <w:szCs w:val="16"/>
              </w:rPr>
              <w:t>SP-191080</w:t>
            </w:r>
          </w:p>
        </w:tc>
        <w:tc>
          <w:tcPr>
            <w:tcW w:w="567" w:type="dxa"/>
            <w:shd w:val="solid" w:color="FFFFFF" w:fill="auto"/>
          </w:tcPr>
          <w:p w14:paraId="2D205E0A" w14:textId="77777777" w:rsidR="00D40151" w:rsidRPr="00873B6C" w:rsidRDefault="00D40151" w:rsidP="009D14FB">
            <w:pPr>
              <w:pStyle w:val="TAL"/>
              <w:rPr>
                <w:sz w:val="16"/>
                <w:szCs w:val="16"/>
              </w:rPr>
            </w:pPr>
            <w:r w:rsidRPr="00873B6C">
              <w:rPr>
                <w:sz w:val="16"/>
                <w:szCs w:val="16"/>
              </w:rPr>
              <w:t>1787</w:t>
            </w:r>
          </w:p>
        </w:tc>
        <w:tc>
          <w:tcPr>
            <w:tcW w:w="425" w:type="dxa"/>
            <w:shd w:val="solid" w:color="FFFFFF" w:fill="auto"/>
          </w:tcPr>
          <w:p w14:paraId="4DC471FC"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0455AD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FD838E" w14:textId="77777777" w:rsidR="00D40151" w:rsidRPr="00873B6C" w:rsidRDefault="00D40151" w:rsidP="009D14FB">
            <w:pPr>
              <w:pStyle w:val="TAL"/>
              <w:rPr>
                <w:sz w:val="16"/>
                <w:szCs w:val="16"/>
              </w:rPr>
            </w:pPr>
            <w:r w:rsidRPr="00873B6C">
              <w:rPr>
                <w:sz w:val="16"/>
                <w:szCs w:val="16"/>
              </w:rPr>
              <w:t>Consistency on Definitions related to NWDAF</w:t>
            </w:r>
          </w:p>
        </w:tc>
        <w:tc>
          <w:tcPr>
            <w:tcW w:w="708" w:type="dxa"/>
            <w:shd w:val="solid" w:color="FFFFFF" w:fill="auto"/>
          </w:tcPr>
          <w:p w14:paraId="49ACDC77" w14:textId="77777777" w:rsidR="00D40151" w:rsidRPr="00873B6C" w:rsidRDefault="00D40151" w:rsidP="009D14FB">
            <w:pPr>
              <w:pStyle w:val="TAC"/>
              <w:rPr>
                <w:sz w:val="16"/>
                <w:szCs w:val="16"/>
              </w:rPr>
            </w:pPr>
            <w:r w:rsidRPr="00873B6C">
              <w:rPr>
                <w:sz w:val="16"/>
                <w:szCs w:val="16"/>
              </w:rPr>
              <w:t>16.3.0</w:t>
            </w:r>
          </w:p>
        </w:tc>
      </w:tr>
      <w:tr w:rsidR="00D40151" w:rsidRPr="00873B6C" w14:paraId="215542E8" w14:textId="77777777" w:rsidTr="009D14FB">
        <w:tc>
          <w:tcPr>
            <w:tcW w:w="800" w:type="dxa"/>
            <w:shd w:val="solid" w:color="FFFFFF" w:fill="auto"/>
          </w:tcPr>
          <w:p w14:paraId="1F39C8D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6DBAF4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4DF632D"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8EC73E9" w14:textId="77777777" w:rsidR="00D40151" w:rsidRPr="00873B6C" w:rsidRDefault="00D40151" w:rsidP="009D14FB">
            <w:pPr>
              <w:pStyle w:val="TAL"/>
              <w:rPr>
                <w:sz w:val="16"/>
                <w:szCs w:val="16"/>
              </w:rPr>
            </w:pPr>
            <w:r w:rsidRPr="00873B6C">
              <w:rPr>
                <w:sz w:val="16"/>
                <w:szCs w:val="16"/>
              </w:rPr>
              <w:t>1792</w:t>
            </w:r>
          </w:p>
        </w:tc>
        <w:tc>
          <w:tcPr>
            <w:tcW w:w="425" w:type="dxa"/>
            <w:shd w:val="solid" w:color="FFFFFF" w:fill="auto"/>
          </w:tcPr>
          <w:p w14:paraId="2227A53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F8D98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BD3D7A" w14:textId="77777777" w:rsidR="00D40151" w:rsidRPr="00873B6C" w:rsidRDefault="00D40151" w:rsidP="009D14FB">
            <w:pPr>
              <w:pStyle w:val="TAL"/>
              <w:rPr>
                <w:sz w:val="16"/>
                <w:szCs w:val="16"/>
              </w:rPr>
            </w:pPr>
            <w:r w:rsidRPr="00873B6C">
              <w:rPr>
                <w:sz w:val="16"/>
                <w:szCs w:val="16"/>
              </w:rPr>
              <w:t xml:space="preserve">EDT support for UP CIoT Optimisation </w:t>
            </w:r>
          </w:p>
        </w:tc>
        <w:tc>
          <w:tcPr>
            <w:tcW w:w="708" w:type="dxa"/>
            <w:shd w:val="solid" w:color="FFFFFF" w:fill="auto"/>
          </w:tcPr>
          <w:p w14:paraId="74EC1E59" w14:textId="77777777" w:rsidR="00D40151" w:rsidRPr="00873B6C" w:rsidRDefault="00D40151" w:rsidP="009D14FB">
            <w:pPr>
              <w:pStyle w:val="TAC"/>
              <w:rPr>
                <w:sz w:val="16"/>
                <w:szCs w:val="16"/>
              </w:rPr>
            </w:pPr>
            <w:r w:rsidRPr="00873B6C">
              <w:rPr>
                <w:sz w:val="16"/>
                <w:szCs w:val="16"/>
              </w:rPr>
              <w:t>16.3.0</w:t>
            </w:r>
          </w:p>
        </w:tc>
      </w:tr>
      <w:tr w:rsidR="00D40151" w:rsidRPr="00873B6C" w14:paraId="38BD1C6A" w14:textId="77777777" w:rsidTr="009D14FB">
        <w:tc>
          <w:tcPr>
            <w:tcW w:w="800" w:type="dxa"/>
            <w:shd w:val="solid" w:color="FFFFFF" w:fill="auto"/>
          </w:tcPr>
          <w:p w14:paraId="5EF47A7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40A622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D641382"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034D5BEA" w14:textId="77777777" w:rsidR="00D40151" w:rsidRPr="00873B6C" w:rsidRDefault="00D40151" w:rsidP="009D14FB">
            <w:pPr>
              <w:pStyle w:val="TAL"/>
              <w:rPr>
                <w:sz w:val="16"/>
                <w:szCs w:val="16"/>
              </w:rPr>
            </w:pPr>
            <w:r w:rsidRPr="00873B6C">
              <w:rPr>
                <w:sz w:val="16"/>
                <w:szCs w:val="16"/>
              </w:rPr>
              <w:t>1797</w:t>
            </w:r>
          </w:p>
        </w:tc>
        <w:tc>
          <w:tcPr>
            <w:tcW w:w="425" w:type="dxa"/>
            <w:shd w:val="solid" w:color="FFFFFF" w:fill="auto"/>
          </w:tcPr>
          <w:p w14:paraId="49CBD2E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B660E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50ED1D" w14:textId="77777777" w:rsidR="00D40151" w:rsidRPr="00873B6C" w:rsidRDefault="00D40151" w:rsidP="009D14FB">
            <w:pPr>
              <w:pStyle w:val="TAL"/>
              <w:rPr>
                <w:sz w:val="16"/>
                <w:szCs w:val="16"/>
              </w:rPr>
            </w:pPr>
            <w:r w:rsidRPr="00873B6C">
              <w:rPr>
                <w:sz w:val="16"/>
                <w:szCs w:val="16"/>
              </w:rPr>
              <w:t>Support of PLMN managed NIDs</w:t>
            </w:r>
          </w:p>
        </w:tc>
        <w:tc>
          <w:tcPr>
            <w:tcW w:w="708" w:type="dxa"/>
            <w:shd w:val="solid" w:color="FFFFFF" w:fill="auto"/>
          </w:tcPr>
          <w:p w14:paraId="0CA533B3" w14:textId="77777777" w:rsidR="00D40151" w:rsidRPr="00873B6C" w:rsidRDefault="00D40151" w:rsidP="009D14FB">
            <w:pPr>
              <w:pStyle w:val="TAC"/>
              <w:rPr>
                <w:sz w:val="16"/>
                <w:szCs w:val="16"/>
              </w:rPr>
            </w:pPr>
            <w:r w:rsidRPr="00873B6C">
              <w:rPr>
                <w:sz w:val="16"/>
                <w:szCs w:val="16"/>
              </w:rPr>
              <w:t>16.3.0</w:t>
            </w:r>
          </w:p>
        </w:tc>
      </w:tr>
      <w:tr w:rsidR="00D40151" w:rsidRPr="00873B6C" w14:paraId="70997745" w14:textId="77777777" w:rsidTr="009D14FB">
        <w:tc>
          <w:tcPr>
            <w:tcW w:w="800" w:type="dxa"/>
            <w:shd w:val="solid" w:color="FFFFFF" w:fill="auto"/>
          </w:tcPr>
          <w:p w14:paraId="49F7E5C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637B46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2109F78"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32C2A672" w14:textId="77777777" w:rsidR="00D40151" w:rsidRPr="00873B6C" w:rsidRDefault="00D40151" w:rsidP="009D14FB">
            <w:pPr>
              <w:pStyle w:val="TAL"/>
              <w:rPr>
                <w:sz w:val="16"/>
                <w:szCs w:val="16"/>
              </w:rPr>
            </w:pPr>
            <w:r w:rsidRPr="00873B6C">
              <w:rPr>
                <w:sz w:val="16"/>
                <w:szCs w:val="16"/>
              </w:rPr>
              <w:t>1798</w:t>
            </w:r>
          </w:p>
        </w:tc>
        <w:tc>
          <w:tcPr>
            <w:tcW w:w="425" w:type="dxa"/>
            <w:shd w:val="solid" w:color="FFFFFF" w:fill="auto"/>
          </w:tcPr>
          <w:p w14:paraId="707833C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E6888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4C83B0" w14:textId="77777777" w:rsidR="00D40151" w:rsidRPr="00873B6C" w:rsidRDefault="00D40151" w:rsidP="009D14FB">
            <w:pPr>
              <w:pStyle w:val="TAL"/>
              <w:rPr>
                <w:sz w:val="16"/>
                <w:szCs w:val="16"/>
              </w:rPr>
            </w:pPr>
            <w:r w:rsidRPr="00873B6C">
              <w:rPr>
                <w:sz w:val="16"/>
                <w:szCs w:val="16"/>
              </w:rPr>
              <w:t>Support of NG-RAN sharing options for NPN</w:t>
            </w:r>
          </w:p>
        </w:tc>
        <w:tc>
          <w:tcPr>
            <w:tcW w:w="708" w:type="dxa"/>
            <w:shd w:val="solid" w:color="FFFFFF" w:fill="auto"/>
          </w:tcPr>
          <w:p w14:paraId="6164BC52" w14:textId="77777777" w:rsidR="00D40151" w:rsidRPr="00873B6C" w:rsidRDefault="00D40151" w:rsidP="009D14FB">
            <w:pPr>
              <w:pStyle w:val="TAC"/>
              <w:rPr>
                <w:sz w:val="16"/>
                <w:szCs w:val="16"/>
              </w:rPr>
            </w:pPr>
            <w:r w:rsidRPr="00873B6C">
              <w:rPr>
                <w:sz w:val="16"/>
                <w:szCs w:val="16"/>
              </w:rPr>
              <w:t>16.3.0</w:t>
            </w:r>
          </w:p>
        </w:tc>
      </w:tr>
      <w:tr w:rsidR="00D40151" w:rsidRPr="00873B6C" w14:paraId="6A8FE6DB" w14:textId="77777777" w:rsidTr="009D14FB">
        <w:tc>
          <w:tcPr>
            <w:tcW w:w="800" w:type="dxa"/>
            <w:shd w:val="solid" w:color="FFFFFF" w:fill="auto"/>
          </w:tcPr>
          <w:p w14:paraId="4A8177F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3E4402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67D266D"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4A3807C7" w14:textId="77777777" w:rsidR="00D40151" w:rsidRPr="00873B6C" w:rsidRDefault="00D40151" w:rsidP="009D14FB">
            <w:pPr>
              <w:pStyle w:val="TAL"/>
              <w:rPr>
                <w:sz w:val="16"/>
                <w:szCs w:val="16"/>
              </w:rPr>
            </w:pPr>
            <w:r w:rsidRPr="00873B6C">
              <w:rPr>
                <w:sz w:val="16"/>
                <w:szCs w:val="16"/>
              </w:rPr>
              <w:t>1801</w:t>
            </w:r>
          </w:p>
        </w:tc>
        <w:tc>
          <w:tcPr>
            <w:tcW w:w="425" w:type="dxa"/>
            <w:shd w:val="solid" w:color="FFFFFF" w:fill="auto"/>
          </w:tcPr>
          <w:p w14:paraId="628F318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6B4EB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B7EAC4" w14:textId="77777777" w:rsidR="00D40151" w:rsidRPr="00873B6C" w:rsidRDefault="00D40151" w:rsidP="009D14FB">
            <w:pPr>
              <w:pStyle w:val="TAL"/>
              <w:rPr>
                <w:sz w:val="16"/>
                <w:szCs w:val="16"/>
                <w:lang w:val="fr-FR"/>
              </w:rPr>
            </w:pPr>
            <w:r w:rsidRPr="00873B6C">
              <w:rPr>
                <w:sz w:val="16"/>
                <w:szCs w:val="16"/>
                <w:lang w:val="fr-FR"/>
              </w:rPr>
              <w:t>TS 23.501: PEI format for non-3GPP devices</w:t>
            </w:r>
          </w:p>
        </w:tc>
        <w:tc>
          <w:tcPr>
            <w:tcW w:w="708" w:type="dxa"/>
            <w:shd w:val="solid" w:color="FFFFFF" w:fill="auto"/>
          </w:tcPr>
          <w:p w14:paraId="37B6600F" w14:textId="77777777" w:rsidR="00D40151" w:rsidRPr="00873B6C" w:rsidRDefault="00D40151" w:rsidP="009D14FB">
            <w:pPr>
              <w:pStyle w:val="TAC"/>
              <w:rPr>
                <w:sz w:val="16"/>
                <w:szCs w:val="16"/>
              </w:rPr>
            </w:pPr>
            <w:r w:rsidRPr="00873B6C">
              <w:rPr>
                <w:sz w:val="16"/>
                <w:szCs w:val="16"/>
              </w:rPr>
              <w:t>16.3.0</w:t>
            </w:r>
          </w:p>
        </w:tc>
      </w:tr>
      <w:tr w:rsidR="00D40151" w:rsidRPr="00873B6C" w14:paraId="64E680DB" w14:textId="77777777" w:rsidTr="009D14FB">
        <w:tc>
          <w:tcPr>
            <w:tcW w:w="800" w:type="dxa"/>
            <w:shd w:val="solid" w:color="FFFFFF" w:fill="auto"/>
          </w:tcPr>
          <w:p w14:paraId="2D983D5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47728D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A67D82B"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CDCA556" w14:textId="77777777" w:rsidR="00D40151" w:rsidRPr="00873B6C" w:rsidRDefault="00D40151" w:rsidP="009D14FB">
            <w:pPr>
              <w:pStyle w:val="TAL"/>
              <w:rPr>
                <w:sz w:val="16"/>
                <w:szCs w:val="16"/>
              </w:rPr>
            </w:pPr>
            <w:r w:rsidRPr="00873B6C">
              <w:rPr>
                <w:sz w:val="16"/>
                <w:szCs w:val="16"/>
              </w:rPr>
              <w:t>1802</w:t>
            </w:r>
          </w:p>
        </w:tc>
        <w:tc>
          <w:tcPr>
            <w:tcW w:w="425" w:type="dxa"/>
            <w:shd w:val="solid" w:color="FFFFFF" w:fill="auto"/>
          </w:tcPr>
          <w:p w14:paraId="67BFCB8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EFDA7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9D4B64" w14:textId="77777777" w:rsidR="00D40151" w:rsidRPr="00873B6C" w:rsidRDefault="00D40151" w:rsidP="009D14FB">
            <w:pPr>
              <w:pStyle w:val="TAL"/>
              <w:rPr>
                <w:sz w:val="16"/>
                <w:szCs w:val="16"/>
              </w:rPr>
            </w:pPr>
            <w:r w:rsidRPr="00873B6C">
              <w:rPr>
                <w:sz w:val="16"/>
                <w:szCs w:val="16"/>
              </w:rPr>
              <w:t>TSN 5QI clarification and static TSC QoS Flow establishment</w:t>
            </w:r>
          </w:p>
        </w:tc>
        <w:tc>
          <w:tcPr>
            <w:tcW w:w="708" w:type="dxa"/>
            <w:shd w:val="solid" w:color="FFFFFF" w:fill="auto"/>
          </w:tcPr>
          <w:p w14:paraId="246229B3" w14:textId="77777777" w:rsidR="00D40151" w:rsidRPr="00873B6C" w:rsidRDefault="00D40151" w:rsidP="009D14FB">
            <w:pPr>
              <w:pStyle w:val="TAC"/>
              <w:rPr>
                <w:sz w:val="16"/>
                <w:szCs w:val="16"/>
              </w:rPr>
            </w:pPr>
            <w:r w:rsidRPr="00873B6C">
              <w:rPr>
                <w:sz w:val="16"/>
                <w:szCs w:val="16"/>
              </w:rPr>
              <w:t>16.3.0</w:t>
            </w:r>
          </w:p>
        </w:tc>
      </w:tr>
      <w:tr w:rsidR="00D40151" w:rsidRPr="00873B6C" w14:paraId="1C9F6E57" w14:textId="77777777" w:rsidTr="009D14FB">
        <w:tc>
          <w:tcPr>
            <w:tcW w:w="800" w:type="dxa"/>
            <w:shd w:val="solid" w:color="FFFFFF" w:fill="auto"/>
          </w:tcPr>
          <w:p w14:paraId="79EA40A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AC0150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5F2670F"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5F687DEB" w14:textId="77777777" w:rsidR="00D40151" w:rsidRPr="00873B6C" w:rsidRDefault="00D40151" w:rsidP="009D14FB">
            <w:pPr>
              <w:pStyle w:val="TAL"/>
              <w:rPr>
                <w:sz w:val="16"/>
                <w:szCs w:val="16"/>
              </w:rPr>
            </w:pPr>
            <w:r w:rsidRPr="00873B6C">
              <w:rPr>
                <w:sz w:val="16"/>
                <w:szCs w:val="16"/>
              </w:rPr>
              <w:t>1804</w:t>
            </w:r>
          </w:p>
        </w:tc>
        <w:tc>
          <w:tcPr>
            <w:tcW w:w="425" w:type="dxa"/>
            <w:shd w:val="solid" w:color="FFFFFF" w:fill="auto"/>
          </w:tcPr>
          <w:p w14:paraId="46B3878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063E44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38FFCF" w14:textId="77777777" w:rsidR="00D40151" w:rsidRPr="00873B6C" w:rsidRDefault="00D40151" w:rsidP="009D14FB">
            <w:pPr>
              <w:pStyle w:val="TAL"/>
              <w:rPr>
                <w:sz w:val="16"/>
                <w:szCs w:val="16"/>
              </w:rPr>
            </w:pPr>
            <w:r w:rsidRPr="00873B6C">
              <w:rPr>
                <w:sz w:val="16"/>
                <w:szCs w:val="16"/>
              </w:rPr>
              <w:t>5GS bridge model interpretation</w:t>
            </w:r>
          </w:p>
        </w:tc>
        <w:tc>
          <w:tcPr>
            <w:tcW w:w="708" w:type="dxa"/>
            <w:shd w:val="solid" w:color="FFFFFF" w:fill="auto"/>
          </w:tcPr>
          <w:p w14:paraId="7CBA92D2" w14:textId="77777777" w:rsidR="00D40151" w:rsidRPr="00873B6C" w:rsidRDefault="00D40151" w:rsidP="009D14FB">
            <w:pPr>
              <w:pStyle w:val="TAC"/>
              <w:rPr>
                <w:sz w:val="16"/>
                <w:szCs w:val="16"/>
              </w:rPr>
            </w:pPr>
            <w:r w:rsidRPr="00873B6C">
              <w:rPr>
                <w:sz w:val="16"/>
                <w:szCs w:val="16"/>
              </w:rPr>
              <w:t>16.3.0</w:t>
            </w:r>
          </w:p>
        </w:tc>
      </w:tr>
      <w:tr w:rsidR="00D40151" w:rsidRPr="00873B6C" w14:paraId="6829D772" w14:textId="77777777" w:rsidTr="009D14FB">
        <w:tc>
          <w:tcPr>
            <w:tcW w:w="800" w:type="dxa"/>
            <w:shd w:val="solid" w:color="FFFFFF" w:fill="auto"/>
          </w:tcPr>
          <w:p w14:paraId="2B58B06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47382F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E73C54C"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1A64DBB7" w14:textId="77777777" w:rsidR="00D40151" w:rsidRPr="00873B6C" w:rsidRDefault="00D40151" w:rsidP="009D14FB">
            <w:pPr>
              <w:pStyle w:val="TAL"/>
              <w:rPr>
                <w:sz w:val="16"/>
                <w:szCs w:val="16"/>
              </w:rPr>
            </w:pPr>
            <w:r w:rsidRPr="00873B6C">
              <w:rPr>
                <w:sz w:val="16"/>
                <w:szCs w:val="16"/>
              </w:rPr>
              <w:t xml:space="preserve"> 1806</w:t>
            </w:r>
          </w:p>
        </w:tc>
        <w:tc>
          <w:tcPr>
            <w:tcW w:w="425" w:type="dxa"/>
            <w:shd w:val="solid" w:color="FFFFFF" w:fill="auto"/>
          </w:tcPr>
          <w:p w14:paraId="2A4DAC8F"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0E1C2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FB8FBC" w14:textId="6DFDD3FF" w:rsidR="00D40151" w:rsidRPr="00873B6C" w:rsidRDefault="00704A9E" w:rsidP="009D14FB">
            <w:pPr>
              <w:pStyle w:val="TAL"/>
              <w:rPr>
                <w:sz w:val="16"/>
                <w:szCs w:val="16"/>
              </w:rPr>
            </w:pPr>
            <w:r w:rsidRPr="00873B6C">
              <w:rPr>
                <w:sz w:val="16"/>
                <w:szCs w:val="16"/>
              </w:rPr>
              <w:t xml:space="preserve"> </w:t>
            </w:r>
            <w:r w:rsidR="00D40151" w:rsidRPr="00873B6C">
              <w:rPr>
                <w:sz w:val="16"/>
                <w:szCs w:val="16"/>
              </w:rPr>
              <w:t xml:space="preserve">Revision on MDBV mapping </w:t>
            </w:r>
          </w:p>
        </w:tc>
        <w:tc>
          <w:tcPr>
            <w:tcW w:w="708" w:type="dxa"/>
            <w:shd w:val="solid" w:color="FFFFFF" w:fill="auto"/>
          </w:tcPr>
          <w:p w14:paraId="20C607E6" w14:textId="77777777" w:rsidR="00D40151" w:rsidRPr="00873B6C" w:rsidRDefault="00D40151" w:rsidP="009D14FB">
            <w:pPr>
              <w:pStyle w:val="TAC"/>
              <w:rPr>
                <w:sz w:val="16"/>
                <w:szCs w:val="16"/>
              </w:rPr>
            </w:pPr>
            <w:r w:rsidRPr="00873B6C">
              <w:rPr>
                <w:sz w:val="16"/>
                <w:szCs w:val="16"/>
              </w:rPr>
              <w:t>16.3.0</w:t>
            </w:r>
          </w:p>
        </w:tc>
      </w:tr>
      <w:tr w:rsidR="00D40151" w:rsidRPr="00873B6C" w14:paraId="186B8AC7" w14:textId="77777777" w:rsidTr="009D14FB">
        <w:tc>
          <w:tcPr>
            <w:tcW w:w="800" w:type="dxa"/>
            <w:shd w:val="solid" w:color="FFFFFF" w:fill="auto"/>
          </w:tcPr>
          <w:p w14:paraId="283B28E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09CDC6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CBFC431"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03D659CE" w14:textId="77777777" w:rsidR="00D40151" w:rsidRPr="00873B6C" w:rsidRDefault="00D40151" w:rsidP="009D14FB">
            <w:pPr>
              <w:pStyle w:val="TAL"/>
              <w:rPr>
                <w:sz w:val="16"/>
                <w:szCs w:val="16"/>
              </w:rPr>
            </w:pPr>
            <w:r w:rsidRPr="00873B6C">
              <w:rPr>
                <w:sz w:val="16"/>
                <w:szCs w:val="16"/>
              </w:rPr>
              <w:t>1815</w:t>
            </w:r>
          </w:p>
        </w:tc>
        <w:tc>
          <w:tcPr>
            <w:tcW w:w="425" w:type="dxa"/>
            <w:shd w:val="solid" w:color="FFFFFF" w:fill="auto"/>
          </w:tcPr>
          <w:p w14:paraId="513FF62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DD450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105604" w14:textId="77777777" w:rsidR="00D40151" w:rsidRPr="00873B6C" w:rsidRDefault="00D40151" w:rsidP="009D14FB">
            <w:pPr>
              <w:pStyle w:val="TAL"/>
              <w:rPr>
                <w:sz w:val="16"/>
                <w:szCs w:val="16"/>
              </w:rPr>
            </w:pPr>
            <w:r w:rsidRPr="00873B6C">
              <w:rPr>
                <w:sz w:val="16"/>
                <w:szCs w:val="16"/>
              </w:rPr>
              <w:t>clarification on the Qos parameters mapping and TSCAI creation</w:t>
            </w:r>
          </w:p>
        </w:tc>
        <w:tc>
          <w:tcPr>
            <w:tcW w:w="708" w:type="dxa"/>
            <w:shd w:val="solid" w:color="FFFFFF" w:fill="auto"/>
          </w:tcPr>
          <w:p w14:paraId="0EC0E05A" w14:textId="77777777" w:rsidR="00D40151" w:rsidRPr="00873B6C" w:rsidRDefault="00D40151" w:rsidP="009D14FB">
            <w:pPr>
              <w:pStyle w:val="TAC"/>
              <w:rPr>
                <w:sz w:val="16"/>
                <w:szCs w:val="16"/>
              </w:rPr>
            </w:pPr>
            <w:r w:rsidRPr="00873B6C">
              <w:rPr>
                <w:sz w:val="16"/>
                <w:szCs w:val="16"/>
              </w:rPr>
              <w:t>16.3.0</w:t>
            </w:r>
          </w:p>
        </w:tc>
      </w:tr>
      <w:tr w:rsidR="00D40151" w:rsidRPr="00873B6C" w14:paraId="7C651815" w14:textId="77777777" w:rsidTr="009D14FB">
        <w:tc>
          <w:tcPr>
            <w:tcW w:w="800" w:type="dxa"/>
            <w:shd w:val="solid" w:color="FFFFFF" w:fill="auto"/>
          </w:tcPr>
          <w:p w14:paraId="70B7C2F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4BF734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FB6DDEF"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356D03EC" w14:textId="77777777" w:rsidR="00D40151" w:rsidRPr="00873B6C" w:rsidRDefault="00D40151" w:rsidP="009D14FB">
            <w:pPr>
              <w:pStyle w:val="TAL"/>
              <w:rPr>
                <w:sz w:val="16"/>
                <w:szCs w:val="16"/>
              </w:rPr>
            </w:pPr>
            <w:r w:rsidRPr="00873B6C">
              <w:rPr>
                <w:sz w:val="16"/>
                <w:szCs w:val="16"/>
              </w:rPr>
              <w:t>1816</w:t>
            </w:r>
          </w:p>
        </w:tc>
        <w:tc>
          <w:tcPr>
            <w:tcW w:w="425" w:type="dxa"/>
            <w:shd w:val="solid" w:color="FFFFFF" w:fill="auto"/>
          </w:tcPr>
          <w:p w14:paraId="323C565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FCA21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78C9EC" w14:textId="77777777" w:rsidR="00D40151" w:rsidRPr="00873B6C" w:rsidRDefault="00D40151" w:rsidP="009D14FB">
            <w:pPr>
              <w:pStyle w:val="TAL"/>
              <w:rPr>
                <w:sz w:val="16"/>
                <w:szCs w:val="16"/>
              </w:rPr>
            </w:pPr>
            <w:r w:rsidRPr="00873B6C">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873B6C" w:rsidRDefault="00D40151" w:rsidP="009D14FB">
            <w:pPr>
              <w:pStyle w:val="TAC"/>
              <w:rPr>
                <w:sz w:val="16"/>
                <w:szCs w:val="16"/>
              </w:rPr>
            </w:pPr>
            <w:r w:rsidRPr="00873B6C">
              <w:rPr>
                <w:sz w:val="16"/>
                <w:szCs w:val="16"/>
              </w:rPr>
              <w:t>16.3.0</w:t>
            </w:r>
          </w:p>
        </w:tc>
      </w:tr>
      <w:tr w:rsidR="00D40151" w:rsidRPr="00873B6C" w14:paraId="733322F2" w14:textId="77777777" w:rsidTr="009D14FB">
        <w:tc>
          <w:tcPr>
            <w:tcW w:w="800" w:type="dxa"/>
            <w:shd w:val="solid" w:color="FFFFFF" w:fill="auto"/>
          </w:tcPr>
          <w:p w14:paraId="4D59D57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A5E149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649863A"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5DAF4BF1" w14:textId="77777777" w:rsidR="00D40151" w:rsidRPr="00873B6C" w:rsidRDefault="00D40151" w:rsidP="009D14FB">
            <w:pPr>
              <w:pStyle w:val="TAL"/>
              <w:rPr>
                <w:sz w:val="16"/>
                <w:szCs w:val="16"/>
              </w:rPr>
            </w:pPr>
            <w:r w:rsidRPr="00873B6C">
              <w:rPr>
                <w:sz w:val="16"/>
                <w:szCs w:val="16"/>
              </w:rPr>
              <w:t>1817</w:t>
            </w:r>
          </w:p>
        </w:tc>
        <w:tc>
          <w:tcPr>
            <w:tcW w:w="425" w:type="dxa"/>
            <w:shd w:val="solid" w:color="FFFFFF" w:fill="auto"/>
          </w:tcPr>
          <w:p w14:paraId="2901337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E2051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D1F3A8" w14:textId="77777777" w:rsidR="00D40151" w:rsidRPr="00873B6C" w:rsidRDefault="00D40151" w:rsidP="009D14FB">
            <w:pPr>
              <w:pStyle w:val="TAL"/>
              <w:rPr>
                <w:sz w:val="16"/>
                <w:szCs w:val="16"/>
              </w:rPr>
            </w:pPr>
            <w:r w:rsidRPr="00873B6C">
              <w:rPr>
                <w:sz w:val="16"/>
                <w:szCs w:val="16"/>
              </w:rPr>
              <w:t>Expected UE behaviour data contents</w:t>
            </w:r>
          </w:p>
        </w:tc>
        <w:tc>
          <w:tcPr>
            <w:tcW w:w="708" w:type="dxa"/>
            <w:shd w:val="solid" w:color="FFFFFF" w:fill="auto"/>
          </w:tcPr>
          <w:p w14:paraId="197D33A6" w14:textId="77777777" w:rsidR="00D40151" w:rsidRPr="00873B6C" w:rsidRDefault="00D40151" w:rsidP="009D14FB">
            <w:pPr>
              <w:pStyle w:val="TAC"/>
              <w:rPr>
                <w:sz w:val="16"/>
                <w:szCs w:val="16"/>
              </w:rPr>
            </w:pPr>
            <w:r w:rsidRPr="00873B6C">
              <w:rPr>
                <w:sz w:val="16"/>
                <w:szCs w:val="16"/>
              </w:rPr>
              <w:t>16.3.0</w:t>
            </w:r>
          </w:p>
        </w:tc>
      </w:tr>
      <w:tr w:rsidR="00D40151" w:rsidRPr="00873B6C" w14:paraId="1A36E514" w14:textId="77777777" w:rsidTr="009D14FB">
        <w:tc>
          <w:tcPr>
            <w:tcW w:w="800" w:type="dxa"/>
            <w:shd w:val="solid" w:color="FFFFFF" w:fill="auto"/>
          </w:tcPr>
          <w:p w14:paraId="0BD08E3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AED521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D72077A"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A95C116" w14:textId="77777777" w:rsidR="00D40151" w:rsidRPr="00873B6C" w:rsidRDefault="00D40151" w:rsidP="009D14FB">
            <w:pPr>
              <w:pStyle w:val="TAL"/>
              <w:rPr>
                <w:sz w:val="16"/>
                <w:szCs w:val="16"/>
              </w:rPr>
            </w:pPr>
            <w:r w:rsidRPr="00873B6C">
              <w:rPr>
                <w:sz w:val="16"/>
                <w:szCs w:val="16"/>
              </w:rPr>
              <w:t>1818</w:t>
            </w:r>
          </w:p>
        </w:tc>
        <w:tc>
          <w:tcPr>
            <w:tcW w:w="425" w:type="dxa"/>
            <w:shd w:val="solid" w:color="FFFFFF" w:fill="auto"/>
          </w:tcPr>
          <w:p w14:paraId="5E1D6D2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9F1CDF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77FB56" w14:textId="77777777" w:rsidR="00D40151" w:rsidRPr="00873B6C" w:rsidRDefault="00D40151" w:rsidP="009D14FB">
            <w:pPr>
              <w:pStyle w:val="TAL"/>
              <w:rPr>
                <w:sz w:val="16"/>
                <w:szCs w:val="16"/>
              </w:rPr>
            </w:pPr>
            <w:r w:rsidRPr="00873B6C">
              <w:rPr>
                <w:sz w:val="16"/>
                <w:szCs w:val="16"/>
              </w:rPr>
              <w:t>Correction of Small Data Rate Control interworking</w:t>
            </w:r>
          </w:p>
        </w:tc>
        <w:tc>
          <w:tcPr>
            <w:tcW w:w="708" w:type="dxa"/>
            <w:shd w:val="solid" w:color="FFFFFF" w:fill="auto"/>
          </w:tcPr>
          <w:p w14:paraId="61F1F452" w14:textId="77777777" w:rsidR="00D40151" w:rsidRPr="00873B6C" w:rsidRDefault="00D40151" w:rsidP="009D14FB">
            <w:pPr>
              <w:pStyle w:val="TAC"/>
              <w:rPr>
                <w:sz w:val="16"/>
                <w:szCs w:val="16"/>
              </w:rPr>
            </w:pPr>
            <w:r w:rsidRPr="00873B6C">
              <w:rPr>
                <w:sz w:val="16"/>
                <w:szCs w:val="16"/>
              </w:rPr>
              <w:t>16.3.0</w:t>
            </w:r>
          </w:p>
        </w:tc>
      </w:tr>
      <w:tr w:rsidR="00D40151" w:rsidRPr="00873B6C" w14:paraId="337D4D20" w14:textId="77777777" w:rsidTr="009D14FB">
        <w:tc>
          <w:tcPr>
            <w:tcW w:w="800" w:type="dxa"/>
            <w:shd w:val="solid" w:color="FFFFFF" w:fill="auto"/>
          </w:tcPr>
          <w:p w14:paraId="46FEEA5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C70B65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B0F096E"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1AE9B028" w14:textId="77777777" w:rsidR="00D40151" w:rsidRPr="00873B6C" w:rsidRDefault="00D40151" w:rsidP="009D14FB">
            <w:pPr>
              <w:pStyle w:val="TAL"/>
              <w:rPr>
                <w:sz w:val="16"/>
                <w:szCs w:val="16"/>
              </w:rPr>
            </w:pPr>
            <w:r w:rsidRPr="00873B6C">
              <w:rPr>
                <w:sz w:val="16"/>
                <w:szCs w:val="16"/>
              </w:rPr>
              <w:t>1819</w:t>
            </w:r>
          </w:p>
        </w:tc>
        <w:tc>
          <w:tcPr>
            <w:tcW w:w="425" w:type="dxa"/>
            <w:shd w:val="solid" w:color="FFFFFF" w:fill="auto"/>
          </w:tcPr>
          <w:p w14:paraId="1217B74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2DF53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99B365" w14:textId="77777777" w:rsidR="00D40151" w:rsidRPr="00873B6C" w:rsidRDefault="00D40151" w:rsidP="009D14FB">
            <w:pPr>
              <w:pStyle w:val="TAL"/>
              <w:rPr>
                <w:sz w:val="16"/>
                <w:szCs w:val="16"/>
              </w:rPr>
            </w:pPr>
            <w:r w:rsidRPr="00873B6C">
              <w:rPr>
                <w:sz w:val="16"/>
                <w:szCs w:val="16"/>
              </w:rPr>
              <w:t>Network selection correction</w:t>
            </w:r>
          </w:p>
        </w:tc>
        <w:tc>
          <w:tcPr>
            <w:tcW w:w="708" w:type="dxa"/>
            <w:shd w:val="solid" w:color="FFFFFF" w:fill="auto"/>
          </w:tcPr>
          <w:p w14:paraId="6F83EF39" w14:textId="77777777" w:rsidR="00D40151" w:rsidRPr="00873B6C" w:rsidRDefault="00D40151" w:rsidP="009D14FB">
            <w:pPr>
              <w:pStyle w:val="TAC"/>
              <w:rPr>
                <w:sz w:val="16"/>
                <w:szCs w:val="16"/>
              </w:rPr>
            </w:pPr>
            <w:r w:rsidRPr="00873B6C">
              <w:rPr>
                <w:sz w:val="16"/>
                <w:szCs w:val="16"/>
              </w:rPr>
              <w:t>16.3.0</w:t>
            </w:r>
          </w:p>
        </w:tc>
      </w:tr>
      <w:tr w:rsidR="00D40151" w:rsidRPr="00873B6C" w14:paraId="1B4AC5A9" w14:textId="77777777" w:rsidTr="009D14FB">
        <w:tc>
          <w:tcPr>
            <w:tcW w:w="800" w:type="dxa"/>
            <w:shd w:val="solid" w:color="FFFFFF" w:fill="auto"/>
          </w:tcPr>
          <w:p w14:paraId="6904A25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1D5862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78955A0"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5AA6968B" w14:textId="77777777" w:rsidR="00D40151" w:rsidRPr="00873B6C" w:rsidRDefault="00D40151" w:rsidP="009D14FB">
            <w:pPr>
              <w:pStyle w:val="TAL"/>
              <w:rPr>
                <w:sz w:val="16"/>
                <w:szCs w:val="16"/>
              </w:rPr>
            </w:pPr>
            <w:r w:rsidRPr="00873B6C">
              <w:rPr>
                <w:sz w:val="16"/>
                <w:szCs w:val="16"/>
              </w:rPr>
              <w:t>1821</w:t>
            </w:r>
          </w:p>
        </w:tc>
        <w:tc>
          <w:tcPr>
            <w:tcW w:w="425" w:type="dxa"/>
            <w:shd w:val="solid" w:color="FFFFFF" w:fill="auto"/>
          </w:tcPr>
          <w:p w14:paraId="43EA2DE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9F00E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5D8A1A" w14:textId="1D98AD62" w:rsidR="00D40151" w:rsidRPr="00873B6C" w:rsidRDefault="00D40151" w:rsidP="009D14FB">
            <w:pPr>
              <w:pStyle w:val="TAL"/>
              <w:rPr>
                <w:sz w:val="16"/>
                <w:szCs w:val="16"/>
              </w:rPr>
            </w:pPr>
            <w:r w:rsidRPr="00873B6C">
              <w:rPr>
                <w:sz w:val="16"/>
                <w:szCs w:val="16"/>
              </w:rPr>
              <w:t xml:space="preserve">Clarification of SMF management of </w:t>
            </w:r>
            <w:r w:rsidR="00704A9E" w:rsidRPr="00873B6C">
              <w:rPr>
                <w:sz w:val="16"/>
                <w:szCs w:val="16"/>
              </w:rPr>
              <w:t>5G-VN</w:t>
            </w:r>
            <w:r w:rsidRPr="00873B6C">
              <w:rPr>
                <w:sz w:val="16"/>
                <w:szCs w:val="16"/>
              </w:rPr>
              <w:t xml:space="preserve"> PDU sessions</w:t>
            </w:r>
          </w:p>
        </w:tc>
        <w:tc>
          <w:tcPr>
            <w:tcW w:w="708" w:type="dxa"/>
            <w:shd w:val="solid" w:color="FFFFFF" w:fill="auto"/>
          </w:tcPr>
          <w:p w14:paraId="7487DD89" w14:textId="77777777" w:rsidR="00D40151" w:rsidRPr="00873B6C" w:rsidRDefault="00D40151" w:rsidP="009D14FB">
            <w:pPr>
              <w:pStyle w:val="TAC"/>
              <w:rPr>
                <w:sz w:val="16"/>
                <w:szCs w:val="16"/>
              </w:rPr>
            </w:pPr>
            <w:r w:rsidRPr="00873B6C">
              <w:rPr>
                <w:sz w:val="16"/>
                <w:szCs w:val="16"/>
              </w:rPr>
              <w:t>16.3.0</w:t>
            </w:r>
          </w:p>
        </w:tc>
      </w:tr>
      <w:tr w:rsidR="00D40151" w:rsidRPr="00873B6C" w14:paraId="6D879A78" w14:textId="77777777" w:rsidTr="009D14FB">
        <w:tc>
          <w:tcPr>
            <w:tcW w:w="800" w:type="dxa"/>
            <w:shd w:val="solid" w:color="FFFFFF" w:fill="auto"/>
          </w:tcPr>
          <w:p w14:paraId="1E8DA5A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B18FFE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91D89D8"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0D3E1045" w14:textId="77777777" w:rsidR="00D40151" w:rsidRPr="00873B6C" w:rsidRDefault="00D40151" w:rsidP="009D14FB">
            <w:pPr>
              <w:pStyle w:val="TAL"/>
              <w:rPr>
                <w:sz w:val="16"/>
                <w:szCs w:val="16"/>
              </w:rPr>
            </w:pPr>
            <w:r w:rsidRPr="00873B6C">
              <w:rPr>
                <w:sz w:val="16"/>
                <w:szCs w:val="16"/>
              </w:rPr>
              <w:t>1822</w:t>
            </w:r>
          </w:p>
        </w:tc>
        <w:tc>
          <w:tcPr>
            <w:tcW w:w="425" w:type="dxa"/>
            <w:shd w:val="solid" w:color="FFFFFF" w:fill="auto"/>
          </w:tcPr>
          <w:p w14:paraId="2102D0A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40B693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D12971" w14:textId="0540423A" w:rsidR="00D40151" w:rsidRPr="00873B6C" w:rsidRDefault="00D40151" w:rsidP="009D14FB">
            <w:pPr>
              <w:pStyle w:val="TAL"/>
              <w:rPr>
                <w:sz w:val="16"/>
                <w:szCs w:val="16"/>
              </w:rPr>
            </w:pPr>
            <w:r w:rsidRPr="00873B6C">
              <w:rPr>
                <w:sz w:val="16"/>
                <w:szCs w:val="16"/>
              </w:rPr>
              <w:t xml:space="preserve">Clarification of UPF selection for </w:t>
            </w:r>
            <w:r w:rsidR="00704A9E" w:rsidRPr="00873B6C">
              <w:rPr>
                <w:sz w:val="16"/>
                <w:szCs w:val="16"/>
              </w:rPr>
              <w:t>5G-VN</w:t>
            </w:r>
            <w:r w:rsidRPr="00873B6C">
              <w:rPr>
                <w:sz w:val="16"/>
                <w:szCs w:val="16"/>
              </w:rPr>
              <w:t xml:space="preserve"> communication</w:t>
            </w:r>
          </w:p>
        </w:tc>
        <w:tc>
          <w:tcPr>
            <w:tcW w:w="708" w:type="dxa"/>
            <w:shd w:val="solid" w:color="FFFFFF" w:fill="auto"/>
          </w:tcPr>
          <w:p w14:paraId="272FBD8D" w14:textId="77777777" w:rsidR="00D40151" w:rsidRPr="00873B6C" w:rsidRDefault="00D40151" w:rsidP="009D14FB">
            <w:pPr>
              <w:pStyle w:val="TAC"/>
              <w:rPr>
                <w:sz w:val="16"/>
                <w:szCs w:val="16"/>
              </w:rPr>
            </w:pPr>
            <w:r w:rsidRPr="00873B6C">
              <w:rPr>
                <w:sz w:val="16"/>
                <w:szCs w:val="16"/>
              </w:rPr>
              <w:t>16.3.0</w:t>
            </w:r>
          </w:p>
        </w:tc>
      </w:tr>
      <w:tr w:rsidR="00D40151" w:rsidRPr="00873B6C" w14:paraId="03AC0D7C" w14:textId="77777777" w:rsidTr="009D14FB">
        <w:tc>
          <w:tcPr>
            <w:tcW w:w="800" w:type="dxa"/>
            <w:shd w:val="solid" w:color="FFFFFF" w:fill="auto"/>
          </w:tcPr>
          <w:p w14:paraId="063DDC0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E2F3B9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50D95B3"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3534D450" w14:textId="77777777" w:rsidR="00D40151" w:rsidRPr="00873B6C" w:rsidRDefault="00D40151" w:rsidP="009D14FB">
            <w:pPr>
              <w:pStyle w:val="TAL"/>
              <w:rPr>
                <w:sz w:val="16"/>
                <w:szCs w:val="16"/>
              </w:rPr>
            </w:pPr>
            <w:r w:rsidRPr="00873B6C">
              <w:rPr>
                <w:sz w:val="16"/>
                <w:szCs w:val="16"/>
              </w:rPr>
              <w:t>1823</w:t>
            </w:r>
          </w:p>
        </w:tc>
        <w:tc>
          <w:tcPr>
            <w:tcW w:w="425" w:type="dxa"/>
            <w:shd w:val="solid" w:color="FFFFFF" w:fill="auto"/>
          </w:tcPr>
          <w:p w14:paraId="46C1C43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290A8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A7A260" w14:textId="0D395256" w:rsidR="00D40151" w:rsidRPr="00873B6C" w:rsidRDefault="00D40151" w:rsidP="009D14FB">
            <w:pPr>
              <w:pStyle w:val="TAL"/>
              <w:rPr>
                <w:sz w:val="16"/>
                <w:szCs w:val="16"/>
              </w:rPr>
            </w:pPr>
            <w:r w:rsidRPr="00873B6C">
              <w:rPr>
                <w:sz w:val="16"/>
                <w:szCs w:val="16"/>
              </w:rPr>
              <w:t xml:space="preserve">Clarification of use of AF influence in </w:t>
            </w:r>
            <w:r w:rsidR="00704A9E" w:rsidRPr="00873B6C">
              <w:rPr>
                <w:sz w:val="16"/>
                <w:szCs w:val="16"/>
              </w:rPr>
              <w:t>5G-VN</w:t>
            </w:r>
          </w:p>
        </w:tc>
        <w:tc>
          <w:tcPr>
            <w:tcW w:w="708" w:type="dxa"/>
            <w:shd w:val="solid" w:color="FFFFFF" w:fill="auto"/>
          </w:tcPr>
          <w:p w14:paraId="040D0CAD" w14:textId="77777777" w:rsidR="00D40151" w:rsidRPr="00873B6C" w:rsidRDefault="00D40151" w:rsidP="009D14FB">
            <w:pPr>
              <w:pStyle w:val="TAC"/>
              <w:rPr>
                <w:sz w:val="16"/>
                <w:szCs w:val="16"/>
              </w:rPr>
            </w:pPr>
            <w:r w:rsidRPr="00873B6C">
              <w:rPr>
                <w:sz w:val="16"/>
                <w:szCs w:val="16"/>
              </w:rPr>
              <w:t>16.3.0</w:t>
            </w:r>
          </w:p>
        </w:tc>
      </w:tr>
      <w:tr w:rsidR="00D40151" w:rsidRPr="00873B6C" w14:paraId="31823A62" w14:textId="77777777" w:rsidTr="009D14FB">
        <w:tc>
          <w:tcPr>
            <w:tcW w:w="800" w:type="dxa"/>
            <w:shd w:val="solid" w:color="FFFFFF" w:fill="auto"/>
          </w:tcPr>
          <w:p w14:paraId="7A8E103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710AA0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556BFCF"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3C091AB4" w14:textId="77777777" w:rsidR="00D40151" w:rsidRPr="00873B6C" w:rsidRDefault="00D40151" w:rsidP="009D14FB">
            <w:pPr>
              <w:pStyle w:val="TAL"/>
              <w:rPr>
                <w:sz w:val="16"/>
                <w:szCs w:val="16"/>
              </w:rPr>
            </w:pPr>
            <w:r w:rsidRPr="00873B6C">
              <w:rPr>
                <w:sz w:val="16"/>
                <w:szCs w:val="16"/>
              </w:rPr>
              <w:t>1828</w:t>
            </w:r>
          </w:p>
        </w:tc>
        <w:tc>
          <w:tcPr>
            <w:tcW w:w="425" w:type="dxa"/>
            <w:shd w:val="solid" w:color="FFFFFF" w:fill="auto"/>
          </w:tcPr>
          <w:p w14:paraId="44522F3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FE9A0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0B0DB57" w14:textId="77777777" w:rsidR="00D40151" w:rsidRPr="00873B6C" w:rsidRDefault="00D40151" w:rsidP="009D14FB">
            <w:pPr>
              <w:pStyle w:val="TAL"/>
              <w:rPr>
                <w:sz w:val="16"/>
                <w:szCs w:val="16"/>
              </w:rPr>
            </w:pPr>
            <w:r w:rsidRPr="00873B6C">
              <w:rPr>
                <w:sz w:val="16"/>
                <w:szCs w:val="16"/>
              </w:rPr>
              <w:t>Misleading RACS architecture pictures</w:t>
            </w:r>
          </w:p>
        </w:tc>
        <w:tc>
          <w:tcPr>
            <w:tcW w:w="708" w:type="dxa"/>
            <w:shd w:val="solid" w:color="FFFFFF" w:fill="auto"/>
          </w:tcPr>
          <w:p w14:paraId="7BDB9223" w14:textId="77777777" w:rsidR="00D40151" w:rsidRPr="00873B6C" w:rsidRDefault="00D40151" w:rsidP="009D14FB">
            <w:pPr>
              <w:pStyle w:val="TAC"/>
              <w:rPr>
                <w:sz w:val="16"/>
                <w:szCs w:val="16"/>
              </w:rPr>
            </w:pPr>
            <w:r w:rsidRPr="00873B6C">
              <w:rPr>
                <w:sz w:val="16"/>
                <w:szCs w:val="16"/>
              </w:rPr>
              <w:t>16.3.0</w:t>
            </w:r>
          </w:p>
        </w:tc>
      </w:tr>
      <w:tr w:rsidR="00D40151" w:rsidRPr="00873B6C" w14:paraId="472C68FD" w14:textId="77777777" w:rsidTr="009D14FB">
        <w:tc>
          <w:tcPr>
            <w:tcW w:w="800" w:type="dxa"/>
            <w:shd w:val="solid" w:color="FFFFFF" w:fill="auto"/>
          </w:tcPr>
          <w:p w14:paraId="6C068A3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1F0ED7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2D2E2BF"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0F517E2D" w14:textId="77777777" w:rsidR="00D40151" w:rsidRPr="00873B6C" w:rsidRDefault="00D40151" w:rsidP="009D14FB">
            <w:pPr>
              <w:pStyle w:val="TAL"/>
              <w:rPr>
                <w:sz w:val="16"/>
                <w:szCs w:val="16"/>
              </w:rPr>
            </w:pPr>
            <w:r w:rsidRPr="00873B6C">
              <w:rPr>
                <w:sz w:val="16"/>
                <w:szCs w:val="16"/>
              </w:rPr>
              <w:t>1829</w:t>
            </w:r>
          </w:p>
        </w:tc>
        <w:tc>
          <w:tcPr>
            <w:tcW w:w="425" w:type="dxa"/>
            <w:shd w:val="solid" w:color="FFFFFF" w:fill="auto"/>
          </w:tcPr>
          <w:p w14:paraId="44622E15"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058EBC2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D462C1" w14:textId="77777777" w:rsidR="00D40151" w:rsidRPr="00873B6C" w:rsidRDefault="00D40151" w:rsidP="009D14FB">
            <w:pPr>
              <w:pStyle w:val="TAL"/>
              <w:rPr>
                <w:sz w:val="16"/>
                <w:szCs w:val="16"/>
              </w:rPr>
            </w:pPr>
            <w:r w:rsidRPr="00873B6C">
              <w:rPr>
                <w:sz w:val="16"/>
                <w:szCs w:val="16"/>
              </w:rPr>
              <w:t>removing requirement that TAC+SV is used to identify UE model in manufacturer assigned ID</w:t>
            </w:r>
          </w:p>
        </w:tc>
        <w:tc>
          <w:tcPr>
            <w:tcW w:w="708" w:type="dxa"/>
            <w:shd w:val="solid" w:color="FFFFFF" w:fill="auto"/>
          </w:tcPr>
          <w:p w14:paraId="21DD705D" w14:textId="77777777" w:rsidR="00D40151" w:rsidRPr="00873B6C" w:rsidRDefault="00D40151" w:rsidP="009D14FB">
            <w:pPr>
              <w:pStyle w:val="TAC"/>
              <w:rPr>
                <w:sz w:val="16"/>
                <w:szCs w:val="16"/>
              </w:rPr>
            </w:pPr>
            <w:r w:rsidRPr="00873B6C">
              <w:rPr>
                <w:sz w:val="16"/>
                <w:szCs w:val="16"/>
              </w:rPr>
              <w:t>16.3.0</w:t>
            </w:r>
          </w:p>
        </w:tc>
      </w:tr>
      <w:tr w:rsidR="00D40151" w:rsidRPr="00873B6C" w14:paraId="3E97D027" w14:textId="77777777" w:rsidTr="009D14FB">
        <w:tc>
          <w:tcPr>
            <w:tcW w:w="800" w:type="dxa"/>
            <w:shd w:val="solid" w:color="FFFFFF" w:fill="auto"/>
          </w:tcPr>
          <w:p w14:paraId="0DC49D8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ADB57C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BC30EB6"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65183667" w14:textId="77777777" w:rsidR="00D40151" w:rsidRPr="00873B6C" w:rsidRDefault="00D40151" w:rsidP="009D14FB">
            <w:pPr>
              <w:pStyle w:val="TAL"/>
              <w:rPr>
                <w:sz w:val="16"/>
                <w:szCs w:val="16"/>
              </w:rPr>
            </w:pPr>
            <w:r w:rsidRPr="00873B6C">
              <w:rPr>
                <w:sz w:val="16"/>
                <w:szCs w:val="16"/>
              </w:rPr>
              <w:t>1833</w:t>
            </w:r>
          </w:p>
        </w:tc>
        <w:tc>
          <w:tcPr>
            <w:tcW w:w="425" w:type="dxa"/>
            <w:shd w:val="solid" w:color="FFFFFF" w:fill="auto"/>
          </w:tcPr>
          <w:p w14:paraId="6CEC08E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61E469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8692AD" w14:textId="77777777" w:rsidR="00D40151" w:rsidRPr="00873B6C" w:rsidRDefault="00D40151" w:rsidP="009D14FB">
            <w:pPr>
              <w:pStyle w:val="TAL"/>
              <w:rPr>
                <w:sz w:val="16"/>
                <w:szCs w:val="16"/>
              </w:rPr>
            </w:pPr>
            <w:r w:rsidRPr="00873B6C">
              <w:rPr>
                <w:sz w:val="16"/>
                <w:szCs w:val="16"/>
              </w:rPr>
              <w:t>changing IAB-MT to IAB-UE</w:t>
            </w:r>
          </w:p>
        </w:tc>
        <w:tc>
          <w:tcPr>
            <w:tcW w:w="708" w:type="dxa"/>
            <w:shd w:val="solid" w:color="FFFFFF" w:fill="auto"/>
          </w:tcPr>
          <w:p w14:paraId="3FB5DACD" w14:textId="77777777" w:rsidR="00D40151" w:rsidRPr="00873B6C" w:rsidRDefault="00D40151" w:rsidP="009D14FB">
            <w:pPr>
              <w:pStyle w:val="TAC"/>
              <w:rPr>
                <w:sz w:val="16"/>
                <w:szCs w:val="16"/>
              </w:rPr>
            </w:pPr>
            <w:r w:rsidRPr="00873B6C">
              <w:rPr>
                <w:sz w:val="16"/>
                <w:szCs w:val="16"/>
              </w:rPr>
              <w:t>16.3.0</w:t>
            </w:r>
          </w:p>
        </w:tc>
      </w:tr>
      <w:tr w:rsidR="00D40151" w:rsidRPr="00873B6C" w14:paraId="77E0E2DA" w14:textId="77777777" w:rsidTr="009D14FB">
        <w:tc>
          <w:tcPr>
            <w:tcW w:w="800" w:type="dxa"/>
            <w:shd w:val="solid" w:color="FFFFFF" w:fill="auto"/>
          </w:tcPr>
          <w:p w14:paraId="61192E4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E121A6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78C1133"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137CB051" w14:textId="77777777" w:rsidR="00D40151" w:rsidRPr="00873B6C" w:rsidRDefault="00D40151" w:rsidP="009D14FB">
            <w:pPr>
              <w:pStyle w:val="TAL"/>
              <w:rPr>
                <w:sz w:val="16"/>
                <w:szCs w:val="16"/>
              </w:rPr>
            </w:pPr>
            <w:r w:rsidRPr="00873B6C">
              <w:rPr>
                <w:sz w:val="16"/>
                <w:szCs w:val="16"/>
              </w:rPr>
              <w:t>1837</w:t>
            </w:r>
          </w:p>
        </w:tc>
        <w:tc>
          <w:tcPr>
            <w:tcW w:w="425" w:type="dxa"/>
            <w:shd w:val="solid" w:color="FFFFFF" w:fill="auto"/>
          </w:tcPr>
          <w:p w14:paraId="3184BE4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84CC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DA4B1D2" w14:textId="77777777" w:rsidR="00D40151" w:rsidRPr="00873B6C" w:rsidRDefault="00D40151" w:rsidP="009D14FB">
            <w:pPr>
              <w:pStyle w:val="TAL"/>
              <w:rPr>
                <w:sz w:val="16"/>
                <w:szCs w:val="16"/>
              </w:rPr>
            </w:pPr>
            <w:r w:rsidRPr="00873B6C">
              <w:rPr>
                <w:sz w:val="16"/>
                <w:szCs w:val="16"/>
              </w:rPr>
              <w:t>Correction on applicability of slicing to more than 3GPP access</w:t>
            </w:r>
          </w:p>
        </w:tc>
        <w:tc>
          <w:tcPr>
            <w:tcW w:w="708" w:type="dxa"/>
            <w:shd w:val="solid" w:color="FFFFFF" w:fill="auto"/>
          </w:tcPr>
          <w:p w14:paraId="52468ECB" w14:textId="77777777" w:rsidR="00D40151" w:rsidRPr="00873B6C" w:rsidRDefault="00D40151" w:rsidP="009D14FB">
            <w:pPr>
              <w:pStyle w:val="TAC"/>
              <w:rPr>
                <w:sz w:val="16"/>
                <w:szCs w:val="16"/>
              </w:rPr>
            </w:pPr>
            <w:r w:rsidRPr="00873B6C">
              <w:rPr>
                <w:sz w:val="16"/>
                <w:szCs w:val="16"/>
              </w:rPr>
              <w:t>16.3.0</w:t>
            </w:r>
          </w:p>
        </w:tc>
      </w:tr>
      <w:tr w:rsidR="00D40151" w:rsidRPr="00873B6C" w14:paraId="13770A3E" w14:textId="77777777" w:rsidTr="009D14FB">
        <w:tc>
          <w:tcPr>
            <w:tcW w:w="800" w:type="dxa"/>
            <w:shd w:val="solid" w:color="FFFFFF" w:fill="auto"/>
          </w:tcPr>
          <w:p w14:paraId="096BAEA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316D31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DADF912"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3638F2D8" w14:textId="77777777" w:rsidR="00D40151" w:rsidRPr="00873B6C" w:rsidRDefault="00D40151" w:rsidP="009D14FB">
            <w:pPr>
              <w:pStyle w:val="TAL"/>
              <w:rPr>
                <w:sz w:val="16"/>
                <w:szCs w:val="16"/>
              </w:rPr>
            </w:pPr>
            <w:r w:rsidRPr="00873B6C">
              <w:rPr>
                <w:sz w:val="16"/>
                <w:szCs w:val="16"/>
              </w:rPr>
              <w:t>1839</w:t>
            </w:r>
          </w:p>
        </w:tc>
        <w:tc>
          <w:tcPr>
            <w:tcW w:w="425" w:type="dxa"/>
            <w:shd w:val="solid" w:color="FFFFFF" w:fill="auto"/>
          </w:tcPr>
          <w:p w14:paraId="41C9280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1078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ED3F97" w14:textId="77777777" w:rsidR="00D40151" w:rsidRPr="00873B6C" w:rsidRDefault="00D40151" w:rsidP="009D14FB">
            <w:pPr>
              <w:pStyle w:val="TAL"/>
              <w:rPr>
                <w:sz w:val="16"/>
                <w:szCs w:val="16"/>
              </w:rPr>
            </w:pPr>
            <w:r w:rsidRPr="00873B6C">
              <w:rPr>
                <w:sz w:val="16"/>
                <w:szCs w:val="16"/>
              </w:rPr>
              <w:t>Incorrect reference to clause in specification</w:t>
            </w:r>
          </w:p>
        </w:tc>
        <w:tc>
          <w:tcPr>
            <w:tcW w:w="708" w:type="dxa"/>
            <w:shd w:val="solid" w:color="FFFFFF" w:fill="auto"/>
          </w:tcPr>
          <w:p w14:paraId="37AD6E8E" w14:textId="77777777" w:rsidR="00D40151" w:rsidRPr="00873B6C" w:rsidRDefault="00D40151" w:rsidP="009D14FB">
            <w:pPr>
              <w:pStyle w:val="TAC"/>
              <w:rPr>
                <w:sz w:val="16"/>
                <w:szCs w:val="16"/>
              </w:rPr>
            </w:pPr>
            <w:r w:rsidRPr="00873B6C">
              <w:rPr>
                <w:sz w:val="16"/>
                <w:szCs w:val="16"/>
              </w:rPr>
              <w:t>16.3.0</w:t>
            </w:r>
          </w:p>
        </w:tc>
      </w:tr>
      <w:tr w:rsidR="00D40151" w:rsidRPr="00873B6C" w14:paraId="167FE93B" w14:textId="77777777" w:rsidTr="009D14FB">
        <w:tc>
          <w:tcPr>
            <w:tcW w:w="800" w:type="dxa"/>
            <w:shd w:val="solid" w:color="FFFFFF" w:fill="auto"/>
          </w:tcPr>
          <w:p w14:paraId="58D0990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58B9D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82DB50A"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3C8738BE" w14:textId="77777777" w:rsidR="00D40151" w:rsidRPr="00873B6C" w:rsidRDefault="00D40151" w:rsidP="009D14FB">
            <w:pPr>
              <w:pStyle w:val="TAL"/>
              <w:rPr>
                <w:sz w:val="16"/>
                <w:szCs w:val="16"/>
              </w:rPr>
            </w:pPr>
            <w:r w:rsidRPr="00873B6C">
              <w:rPr>
                <w:sz w:val="16"/>
                <w:szCs w:val="16"/>
              </w:rPr>
              <w:t>1840</w:t>
            </w:r>
          </w:p>
        </w:tc>
        <w:tc>
          <w:tcPr>
            <w:tcW w:w="425" w:type="dxa"/>
            <w:shd w:val="solid" w:color="FFFFFF" w:fill="auto"/>
          </w:tcPr>
          <w:p w14:paraId="2A98B1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ED9C6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A8D9E2" w14:textId="77777777" w:rsidR="00D40151" w:rsidRPr="00873B6C" w:rsidRDefault="00D40151" w:rsidP="009D14FB">
            <w:pPr>
              <w:pStyle w:val="TAL"/>
              <w:rPr>
                <w:sz w:val="16"/>
                <w:szCs w:val="16"/>
              </w:rPr>
            </w:pPr>
            <w:r w:rsidRPr="00873B6C">
              <w:rPr>
                <w:sz w:val="16"/>
                <w:szCs w:val="16"/>
              </w:rPr>
              <w:t>Alignment with SA5 on Charging for 5G connection and mobility domain</w:t>
            </w:r>
          </w:p>
        </w:tc>
        <w:tc>
          <w:tcPr>
            <w:tcW w:w="708" w:type="dxa"/>
            <w:shd w:val="solid" w:color="FFFFFF" w:fill="auto"/>
          </w:tcPr>
          <w:p w14:paraId="3FBB7B8F" w14:textId="77777777" w:rsidR="00D40151" w:rsidRPr="00873B6C" w:rsidRDefault="00D40151" w:rsidP="009D14FB">
            <w:pPr>
              <w:pStyle w:val="TAC"/>
              <w:rPr>
                <w:sz w:val="16"/>
                <w:szCs w:val="16"/>
              </w:rPr>
            </w:pPr>
            <w:r w:rsidRPr="00873B6C">
              <w:rPr>
                <w:sz w:val="16"/>
                <w:szCs w:val="16"/>
              </w:rPr>
              <w:t>16.3.0</w:t>
            </w:r>
          </w:p>
        </w:tc>
      </w:tr>
      <w:tr w:rsidR="00D40151" w:rsidRPr="00873B6C" w14:paraId="7DA6C522" w14:textId="77777777" w:rsidTr="009D14FB">
        <w:tc>
          <w:tcPr>
            <w:tcW w:w="800" w:type="dxa"/>
            <w:shd w:val="solid" w:color="FFFFFF" w:fill="auto"/>
          </w:tcPr>
          <w:p w14:paraId="44232C7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46D954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B0428D8"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799FC9D2" w14:textId="77777777" w:rsidR="00D40151" w:rsidRPr="00873B6C" w:rsidRDefault="00D40151" w:rsidP="009D14FB">
            <w:pPr>
              <w:pStyle w:val="TAL"/>
              <w:rPr>
                <w:sz w:val="16"/>
                <w:szCs w:val="16"/>
              </w:rPr>
            </w:pPr>
            <w:r w:rsidRPr="00873B6C">
              <w:rPr>
                <w:sz w:val="16"/>
                <w:szCs w:val="16"/>
              </w:rPr>
              <w:t>1842</w:t>
            </w:r>
          </w:p>
        </w:tc>
        <w:tc>
          <w:tcPr>
            <w:tcW w:w="425" w:type="dxa"/>
            <w:shd w:val="solid" w:color="FFFFFF" w:fill="auto"/>
          </w:tcPr>
          <w:p w14:paraId="020E77F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01C661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855EC4" w14:textId="77777777" w:rsidR="00D40151" w:rsidRPr="00873B6C" w:rsidRDefault="00D40151" w:rsidP="009D14FB">
            <w:pPr>
              <w:pStyle w:val="TAL"/>
              <w:rPr>
                <w:sz w:val="16"/>
                <w:szCs w:val="16"/>
              </w:rPr>
            </w:pPr>
            <w:r w:rsidRPr="00873B6C">
              <w:rPr>
                <w:sz w:val="16"/>
                <w:szCs w:val="16"/>
              </w:rPr>
              <w:t>PDU Session with SSC mode 2/3</w:t>
            </w:r>
          </w:p>
        </w:tc>
        <w:tc>
          <w:tcPr>
            <w:tcW w:w="708" w:type="dxa"/>
            <w:shd w:val="solid" w:color="FFFFFF" w:fill="auto"/>
          </w:tcPr>
          <w:p w14:paraId="039170F3" w14:textId="77777777" w:rsidR="00D40151" w:rsidRPr="00873B6C" w:rsidRDefault="00D40151" w:rsidP="009D14FB">
            <w:pPr>
              <w:pStyle w:val="TAC"/>
              <w:rPr>
                <w:sz w:val="16"/>
                <w:szCs w:val="16"/>
              </w:rPr>
            </w:pPr>
            <w:r w:rsidRPr="00873B6C">
              <w:rPr>
                <w:sz w:val="16"/>
                <w:szCs w:val="16"/>
              </w:rPr>
              <w:t>16.3.0</w:t>
            </w:r>
          </w:p>
        </w:tc>
      </w:tr>
      <w:tr w:rsidR="00D40151" w:rsidRPr="00873B6C" w14:paraId="3907C2B9" w14:textId="77777777" w:rsidTr="009D14FB">
        <w:tc>
          <w:tcPr>
            <w:tcW w:w="800" w:type="dxa"/>
            <w:shd w:val="solid" w:color="FFFFFF" w:fill="auto"/>
          </w:tcPr>
          <w:p w14:paraId="01E5A5A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211050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1FBE0ED"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76F0B1B8" w14:textId="77777777" w:rsidR="00D40151" w:rsidRPr="00873B6C" w:rsidRDefault="00D40151" w:rsidP="009D14FB">
            <w:pPr>
              <w:pStyle w:val="TAL"/>
              <w:rPr>
                <w:sz w:val="16"/>
                <w:szCs w:val="16"/>
              </w:rPr>
            </w:pPr>
            <w:r w:rsidRPr="00873B6C">
              <w:rPr>
                <w:sz w:val="16"/>
                <w:szCs w:val="16"/>
              </w:rPr>
              <w:t>1845</w:t>
            </w:r>
          </w:p>
        </w:tc>
        <w:tc>
          <w:tcPr>
            <w:tcW w:w="425" w:type="dxa"/>
            <w:shd w:val="solid" w:color="FFFFFF" w:fill="auto"/>
          </w:tcPr>
          <w:p w14:paraId="0ADEE6F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44E7236"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080401B" w14:textId="77777777" w:rsidR="00D40151" w:rsidRPr="00873B6C" w:rsidRDefault="00D40151" w:rsidP="009D14FB">
            <w:pPr>
              <w:pStyle w:val="TAL"/>
              <w:rPr>
                <w:sz w:val="16"/>
                <w:szCs w:val="16"/>
              </w:rPr>
            </w:pPr>
            <w:r w:rsidRPr="00873B6C">
              <w:rPr>
                <w:sz w:val="16"/>
                <w:szCs w:val="16"/>
              </w:rPr>
              <w:t>General description and data volume reporting for NR in unlicensed bands</w:t>
            </w:r>
          </w:p>
        </w:tc>
        <w:tc>
          <w:tcPr>
            <w:tcW w:w="708" w:type="dxa"/>
            <w:shd w:val="solid" w:color="FFFFFF" w:fill="auto"/>
          </w:tcPr>
          <w:p w14:paraId="03283862" w14:textId="77777777" w:rsidR="00D40151" w:rsidRPr="00873B6C" w:rsidRDefault="00D40151" w:rsidP="009D14FB">
            <w:pPr>
              <w:pStyle w:val="TAC"/>
              <w:rPr>
                <w:sz w:val="16"/>
                <w:szCs w:val="16"/>
              </w:rPr>
            </w:pPr>
            <w:r w:rsidRPr="00873B6C">
              <w:rPr>
                <w:sz w:val="16"/>
                <w:szCs w:val="16"/>
              </w:rPr>
              <w:t>16.3.0</w:t>
            </w:r>
          </w:p>
        </w:tc>
      </w:tr>
      <w:tr w:rsidR="00D40151" w:rsidRPr="00873B6C" w14:paraId="3EEBE493" w14:textId="77777777" w:rsidTr="009D14FB">
        <w:tc>
          <w:tcPr>
            <w:tcW w:w="800" w:type="dxa"/>
            <w:shd w:val="solid" w:color="FFFFFF" w:fill="auto"/>
          </w:tcPr>
          <w:p w14:paraId="79C5F2B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9FE7B6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2D1F01E"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7AF5A1D6" w14:textId="77777777" w:rsidR="00D40151" w:rsidRPr="00873B6C" w:rsidRDefault="00D40151" w:rsidP="009D14FB">
            <w:pPr>
              <w:pStyle w:val="TAL"/>
              <w:rPr>
                <w:sz w:val="16"/>
                <w:szCs w:val="16"/>
              </w:rPr>
            </w:pPr>
            <w:r w:rsidRPr="00873B6C">
              <w:rPr>
                <w:sz w:val="16"/>
                <w:szCs w:val="16"/>
              </w:rPr>
              <w:t>1847</w:t>
            </w:r>
          </w:p>
        </w:tc>
        <w:tc>
          <w:tcPr>
            <w:tcW w:w="425" w:type="dxa"/>
            <w:shd w:val="solid" w:color="FFFFFF" w:fill="auto"/>
          </w:tcPr>
          <w:p w14:paraId="3C4E812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BDC37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D0036DF" w14:textId="77777777" w:rsidR="00D40151" w:rsidRPr="00873B6C" w:rsidRDefault="00D40151" w:rsidP="009D14FB">
            <w:pPr>
              <w:pStyle w:val="TAL"/>
              <w:rPr>
                <w:sz w:val="16"/>
                <w:szCs w:val="16"/>
              </w:rPr>
            </w:pPr>
            <w:r w:rsidRPr="00873B6C">
              <w:rPr>
                <w:sz w:val="16"/>
                <w:szCs w:val="16"/>
              </w:rPr>
              <w:t>Access restrictions for primary and secondary RAT</w:t>
            </w:r>
          </w:p>
        </w:tc>
        <w:tc>
          <w:tcPr>
            <w:tcW w:w="708" w:type="dxa"/>
            <w:shd w:val="solid" w:color="FFFFFF" w:fill="auto"/>
          </w:tcPr>
          <w:p w14:paraId="1C45DAE9" w14:textId="77777777" w:rsidR="00D40151" w:rsidRPr="00873B6C" w:rsidRDefault="00D40151" w:rsidP="009D14FB">
            <w:pPr>
              <w:pStyle w:val="TAC"/>
              <w:rPr>
                <w:sz w:val="16"/>
                <w:szCs w:val="16"/>
              </w:rPr>
            </w:pPr>
            <w:r w:rsidRPr="00873B6C">
              <w:rPr>
                <w:sz w:val="16"/>
                <w:szCs w:val="16"/>
              </w:rPr>
              <w:t>16.3.0</w:t>
            </w:r>
          </w:p>
        </w:tc>
      </w:tr>
      <w:tr w:rsidR="00D40151" w:rsidRPr="00873B6C" w14:paraId="11453A1D" w14:textId="77777777" w:rsidTr="009D14FB">
        <w:tc>
          <w:tcPr>
            <w:tcW w:w="800" w:type="dxa"/>
            <w:shd w:val="solid" w:color="FFFFFF" w:fill="auto"/>
          </w:tcPr>
          <w:p w14:paraId="7AACC3A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0D9C45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D4F0BB6"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6C811C7B" w14:textId="77777777" w:rsidR="00D40151" w:rsidRPr="00873B6C" w:rsidRDefault="00D40151" w:rsidP="009D14FB">
            <w:pPr>
              <w:pStyle w:val="TAL"/>
              <w:rPr>
                <w:sz w:val="16"/>
                <w:szCs w:val="16"/>
              </w:rPr>
            </w:pPr>
            <w:r w:rsidRPr="00873B6C">
              <w:rPr>
                <w:sz w:val="16"/>
                <w:szCs w:val="16"/>
              </w:rPr>
              <w:t>1849</w:t>
            </w:r>
          </w:p>
        </w:tc>
        <w:tc>
          <w:tcPr>
            <w:tcW w:w="425" w:type="dxa"/>
            <w:shd w:val="solid" w:color="FFFFFF" w:fill="auto"/>
          </w:tcPr>
          <w:p w14:paraId="302E92F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5C815E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7FDC790" w14:textId="77777777" w:rsidR="00D40151" w:rsidRPr="00873B6C" w:rsidRDefault="00D40151" w:rsidP="009D14FB">
            <w:pPr>
              <w:pStyle w:val="TAL"/>
              <w:rPr>
                <w:sz w:val="16"/>
                <w:szCs w:val="16"/>
              </w:rPr>
            </w:pPr>
            <w:r w:rsidRPr="00873B6C">
              <w:rPr>
                <w:sz w:val="16"/>
                <w:szCs w:val="16"/>
              </w:rPr>
              <w:t>Introduction of UE specific DRX for NB-IOT</w:t>
            </w:r>
          </w:p>
        </w:tc>
        <w:tc>
          <w:tcPr>
            <w:tcW w:w="708" w:type="dxa"/>
            <w:shd w:val="solid" w:color="FFFFFF" w:fill="auto"/>
          </w:tcPr>
          <w:p w14:paraId="0DDDCE6F" w14:textId="77777777" w:rsidR="00D40151" w:rsidRPr="00873B6C" w:rsidRDefault="00D40151" w:rsidP="009D14FB">
            <w:pPr>
              <w:pStyle w:val="TAC"/>
              <w:rPr>
                <w:sz w:val="16"/>
                <w:szCs w:val="16"/>
              </w:rPr>
            </w:pPr>
            <w:r w:rsidRPr="00873B6C">
              <w:rPr>
                <w:sz w:val="16"/>
                <w:szCs w:val="16"/>
              </w:rPr>
              <w:t>16.3.0</w:t>
            </w:r>
          </w:p>
        </w:tc>
      </w:tr>
      <w:tr w:rsidR="00D40151" w:rsidRPr="00873B6C" w14:paraId="07228B40" w14:textId="77777777" w:rsidTr="009D14FB">
        <w:tc>
          <w:tcPr>
            <w:tcW w:w="800" w:type="dxa"/>
            <w:shd w:val="solid" w:color="FFFFFF" w:fill="auto"/>
          </w:tcPr>
          <w:p w14:paraId="27D3307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BF64AF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2A61555"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188D3B9E" w14:textId="77777777" w:rsidR="00D40151" w:rsidRPr="00873B6C" w:rsidRDefault="00D40151" w:rsidP="009D14FB">
            <w:pPr>
              <w:pStyle w:val="TAL"/>
              <w:rPr>
                <w:sz w:val="16"/>
                <w:szCs w:val="16"/>
              </w:rPr>
            </w:pPr>
            <w:r w:rsidRPr="00873B6C">
              <w:rPr>
                <w:sz w:val="16"/>
                <w:szCs w:val="16"/>
              </w:rPr>
              <w:t>1853</w:t>
            </w:r>
          </w:p>
        </w:tc>
        <w:tc>
          <w:tcPr>
            <w:tcW w:w="425" w:type="dxa"/>
            <w:shd w:val="solid" w:color="FFFFFF" w:fill="auto"/>
          </w:tcPr>
          <w:p w14:paraId="7D34D8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F6DA6A8"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C9F5CD0" w14:textId="77777777" w:rsidR="00D40151" w:rsidRPr="00873B6C" w:rsidRDefault="00D40151" w:rsidP="009D14FB">
            <w:pPr>
              <w:pStyle w:val="TAL"/>
              <w:rPr>
                <w:sz w:val="16"/>
                <w:szCs w:val="16"/>
              </w:rPr>
            </w:pPr>
            <w:r w:rsidRPr="00873B6C">
              <w:rPr>
                <w:sz w:val="16"/>
                <w:szCs w:val="16"/>
              </w:rPr>
              <w:t>Correction of QFI value in QER</w:t>
            </w:r>
          </w:p>
        </w:tc>
        <w:tc>
          <w:tcPr>
            <w:tcW w:w="708" w:type="dxa"/>
            <w:shd w:val="solid" w:color="FFFFFF" w:fill="auto"/>
          </w:tcPr>
          <w:p w14:paraId="68B8730C" w14:textId="77777777" w:rsidR="00D40151" w:rsidRPr="00873B6C" w:rsidRDefault="00D40151" w:rsidP="009D14FB">
            <w:pPr>
              <w:pStyle w:val="TAC"/>
              <w:rPr>
                <w:sz w:val="16"/>
                <w:szCs w:val="16"/>
              </w:rPr>
            </w:pPr>
            <w:r w:rsidRPr="00873B6C">
              <w:rPr>
                <w:sz w:val="16"/>
                <w:szCs w:val="16"/>
              </w:rPr>
              <w:t>16.3.0</w:t>
            </w:r>
          </w:p>
        </w:tc>
      </w:tr>
      <w:tr w:rsidR="00D40151" w:rsidRPr="00873B6C" w14:paraId="38805039" w14:textId="77777777" w:rsidTr="009D14FB">
        <w:tc>
          <w:tcPr>
            <w:tcW w:w="800" w:type="dxa"/>
            <w:shd w:val="solid" w:color="FFFFFF" w:fill="auto"/>
          </w:tcPr>
          <w:p w14:paraId="5344BB5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ED3CF1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EBBD6E7"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3730554D" w14:textId="77777777" w:rsidR="00D40151" w:rsidRPr="00873B6C" w:rsidRDefault="00D40151" w:rsidP="009D14FB">
            <w:pPr>
              <w:pStyle w:val="TAL"/>
              <w:rPr>
                <w:sz w:val="16"/>
                <w:szCs w:val="16"/>
              </w:rPr>
            </w:pPr>
            <w:r w:rsidRPr="00873B6C">
              <w:rPr>
                <w:sz w:val="16"/>
                <w:szCs w:val="16"/>
              </w:rPr>
              <w:t>1854</w:t>
            </w:r>
          </w:p>
        </w:tc>
        <w:tc>
          <w:tcPr>
            <w:tcW w:w="425" w:type="dxa"/>
            <w:shd w:val="solid" w:color="FFFFFF" w:fill="auto"/>
          </w:tcPr>
          <w:p w14:paraId="54454EB4"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1E920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83BDC0" w14:textId="77777777" w:rsidR="00D40151" w:rsidRPr="00873B6C" w:rsidRDefault="00D40151" w:rsidP="009D14FB">
            <w:pPr>
              <w:pStyle w:val="TAL"/>
              <w:rPr>
                <w:sz w:val="16"/>
                <w:szCs w:val="16"/>
              </w:rPr>
            </w:pPr>
            <w:r w:rsidRPr="00873B6C">
              <w:rPr>
                <w:sz w:val="16"/>
                <w:szCs w:val="16"/>
              </w:rPr>
              <w:t>Management of GBR QoS Flows at handover</w:t>
            </w:r>
          </w:p>
        </w:tc>
        <w:tc>
          <w:tcPr>
            <w:tcW w:w="708" w:type="dxa"/>
            <w:shd w:val="solid" w:color="FFFFFF" w:fill="auto"/>
          </w:tcPr>
          <w:p w14:paraId="44136E6E" w14:textId="77777777" w:rsidR="00D40151" w:rsidRPr="00873B6C" w:rsidRDefault="00D40151" w:rsidP="009D14FB">
            <w:pPr>
              <w:pStyle w:val="TAC"/>
              <w:rPr>
                <w:sz w:val="16"/>
                <w:szCs w:val="16"/>
              </w:rPr>
            </w:pPr>
            <w:r w:rsidRPr="00873B6C">
              <w:rPr>
                <w:sz w:val="16"/>
                <w:szCs w:val="16"/>
              </w:rPr>
              <w:t>16.3.0</w:t>
            </w:r>
          </w:p>
        </w:tc>
      </w:tr>
      <w:tr w:rsidR="00D40151" w:rsidRPr="00873B6C" w14:paraId="79488006" w14:textId="77777777" w:rsidTr="009D14FB">
        <w:tc>
          <w:tcPr>
            <w:tcW w:w="800" w:type="dxa"/>
            <w:shd w:val="solid" w:color="FFFFFF" w:fill="auto"/>
          </w:tcPr>
          <w:p w14:paraId="2D926184" w14:textId="77777777" w:rsidR="00D40151" w:rsidRPr="00873B6C" w:rsidRDefault="00D40151" w:rsidP="009D14FB">
            <w:pPr>
              <w:pStyle w:val="TAC"/>
              <w:rPr>
                <w:sz w:val="16"/>
                <w:szCs w:val="16"/>
              </w:rPr>
            </w:pPr>
            <w:r w:rsidRPr="00873B6C">
              <w:rPr>
                <w:sz w:val="16"/>
                <w:szCs w:val="16"/>
              </w:rPr>
              <w:lastRenderedPageBreak/>
              <w:t>2019-12</w:t>
            </w:r>
          </w:p>
        </w:tc>
        <w:tc>
          <w:tcPr>
            <w:tcW w:w="800" w:type="dxa"/>
            <w:shd w:val="solid" w:color="FFFFFF" w:fill="auto"/>
          </w:tcPr>
          <w:p w14:paraId="63B3D16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4745A92"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7EC34ED4" w14:textId="77777777" w:rsidR="00D40151" w:rsidRPr="00873B6C" w:rsidRDefault="00D40151" w:rsidP="009D14FB">
            <w:pPr>
              <w:pStyle w:val="TAL"/>
              <w:rPr>
                <w:sz w:val="16"/>
                <w:szCs w:val="16"/>
              </w:rPr>
            </w:pPr>
            <w:r w:rsidRPr="00873B6C">
              <w:rPr>
                <w:sz w:val="16"/>
                <w:szCs w:val="16"/>
              </w:rPr>
              <w:t>1857</w:t>
            </w:r>
          </w:p>
        </w:tc>
        <w:tc>
          <w:tcPr>
            <w:tcW w:w="425" w:type="dxa"/>
            <w:shd w:val="solid" w:color="FFFFFF" w:fill="auto"/>
          </w:tcPr>
          <w:p w14:paraId="25B41946"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93A48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FA628F" w14:textId="77777777" w:rsidR="00D40151" w:rsidRPr="00873B6C" w:rsidRDefault="00D40151" w:rsidP="009D14FB">
            <w:pPr>
              <w:pStyle w:val="TAL"/>
              <w:rPr>
                <w:sz w:val="16"/>
                <w:szCs w:val="16"/>
              </w:rPr>
            </w:pPr>
            <w:r w:rsidRPr="00873B6C">
              <w:rPr>
                <w:sz w:val="16"/>
                <w:szCs w:val="16"/>
              </w:rPr>
              <w:t>Updates to the 5G VN broadcast solution</w:t>
            </w:r>
          </w:p>
        </w:tc>
        <w:tc>
          <w:tcPr>
            <w:tcW w:w="708" w:type="dxa"/>
            <w:shd w:val="solid" w:color="FFFFFF" w:fill="auto"/>
          </w:tcPr>
          <w:p w14:paraId="6FA3C84F" w14:textId="77777777" w:rsidR="00D40151" w:rsidRPr="00873B6C" w:rsidRDefault="00D40151" w:rsidP="009D14FB">
            <w:pPr>
              <w:pStyle w:val="TAC"/>
              <w:rPr>
                <w:sz w:val="16"/>
                <w:szCs w:val="16"/>
              </w:rPr>
            </w:pPr>
            <w:r w:rsidRPr="00873B6C">
              <w:rPr>
                <w:sz w:val="16"/>
                <w:szCs w:val="16"/>
              </w:rPr>
              <w:t>16.3.0</w:t>
            </w:r>
          </w:p>
        </w:tc>
      </w:tr>
      <w:tr w:rsidR="00D40151" w:rsidRPr="00873B6C" w14:paraId="12C9A747" w14:textId="77777777" w:rsidTr="009D14FB">
        <w:tc>
          <w:tcPr>
            <w:tcW w:w="800" w:type="dxa"/>
            <w:shd w:val="solid" w:color="FFFFFF" w:fill="auto"/>
          </w:tcPr>
          <w:p w14:paraId="6D6453C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CEFAF6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22994E1"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204162FE" w14:textId="77777777" w:rsidR="00D40151" w:rsidRPr="00873B6C" w:rsidRDefault="00D40151" w:rsidP="009D14FB">
            <w:pPr>
              <w:pStyle w:val="TAL"/>
              <w:rPr>
                <w:sz w:val="16"/>
                <w:szCs w:val="16"/>
              </w:rPr>
            </w:pPr>
            <w:r w:rsidRPr="00873B6C">
              <w:rPr>
                <w:sz w:val="16"/>
                <w:szCs w:val="16"/>
              </w:rPr>
              <w:t>1859</w:t>
            </w:r>
          </w:p>
        </w:tc>
        <w:tc>
          <w:tcPr>
            <w:tcW w:w="425" w:type="dxa"/>
            <w:shd w:val="solid" w:color="FFFFFF" w:fill="auto"/>
          </w:tcPr>
          <w:p w14:paraId="077F694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DF70C8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A79BC9" w14:textId="77777777" w:rsidR="00D40151" w:rsidRPr="00873B6C" w:rsidRDefault="00D40151" w:rsidP="009D14FB">
            <w:pPr>
              <w:pStyle w:val="TAL"/>
              <w:rPr>
                <w:sz w:val="16"/>
                <w:szCs w:val="16"/>
              </w:rPr>
            </w:pPr>
            <w:r w:rsidRPr="00873B6C">
              <w:rPr>
                <w:sz w:val="16"/>
                <w:szCs w:val="16"/>
              </w:rPr>
              <w:t>PDU session anchor terminology clarification</w:t>
            </w:r>
          </w:p>
        </w:tc>
        <w:tc>
          <w:tcPr>
            <w:tcW w:w="708" w:type="dxa"/>
            <w:shd w:val="solid" w:color="FFFFFF" w:fill="auto"/>
          </w:tcPr>
          <w:p w14:paraId="3E104F94" w14:textId="77777777" w:rsidR="00D40151" w:rsidRPr="00873B6C" w:rsidRDefault="00D40151" w:rsidP="009D14FB">
            <w:pPr>
              <w:pStyle w:val="TAC"/>
              <w:rPr>
                <w:sz w:val="16"/>
                <w:szCs w:val="16"/>
              </w:rPr>
            </w:pPr>
            <w:r w:rsidRPr="00873B6C">
              <w:rPr>
                <w:sz w:val="16"/>
                <w:szCs w:val="16"/>
              </w:rPr>
              <w:t>16.3.0</w:t>
            </w:r>
          </w:p>
        </w:tc>
      </w:tr>
      <w:tr w:rsidR="00D40151" w:rsidRPr="00873B6C" w14:paraId="79CF67B3" w14:textId="77777777" w:rsidTr="009D14FB">
        <w:tc>
          <w:tcPr>
            <w:tcW w:w="800" w:type="dxa"/>
            <w:shd w:val="solid" w:color="FFFFFF" w:fill="auto"/>
          </w:tcPr>
          <w:p w14:paraId="5D22FF5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2AAC7C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CBF2451"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1BE0F70B" w14:textId="77777777" w:rsidR="00D40151" w:rsidRPr="00873B6C" w:rsidRDefault="00D40151" w:rsidP="009D14FB">
            <w:pPr>
              <w:pStyle w:val="TAL"/>
              <w:rPr>
                <w:sz w:val="16"/>
                <w:szCs w:val="16"/>
              </w:rPr>
            </w:pPr>
            <w:r w:rsidRPr="00873B6C">
              <w:rPr>
                <w:sz w:val="16"/>
                <w:szCs w:val="16"/>
              </w:rPr>
              <w:t>1860</w:t>
            </w:r>
          </w:p>
        </w:tc>
        <w:tc>
          <w:tcPr>
            <w:tcW w:w="425" w:type="dxa"/>
            <w:shd w:val="solid" w:color="FFFFFF" w:fill="auto"/>
          </w:tcPr>
          <w:p w14:paraId="20721CA4"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4C189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C60AF6" w14:textId="77777777" w:rsidR="00D40151" w:rsidRPr="00873B6C" w:rsidRDefault="00D40151" w:rsidP="009D14FB">
            <w:pPr>
              <w:pStyle w:val="TAL"/>
              <w:rPr>
                <w:sz w:val="16"/>
                <w:szCs w:val="16"/>
              </w:rPr>
            </w:pPr>
            <w:r w:rsidRPr="00873B6C">
              <w:rPr>
                <w:sz w:val="16"/>
                <w:szCs w:val="16"/>
              </w:rPr>
              <w:t>Remove incorrect reasoning of default MDBV value setting</w:t>
            </w:r>
          </w:p>
        </w:tc>
        <w:tc>
          <w:tcPr>
            <w:tcW w:w="708" w:type="dxa"/>
            <w:shd w:val="solid" w:color="FFFFFF" w:fill="auto"/>
          </w:tcPr>
          <w:p w14:paraId="0B9F5012" w14:textId="77777777" w:rsidR="00D40151" w:rsidRPr="00873B6C" w:rsidRDefault="00D40151" w:rsidP="009D14FB">
            <w:pPr>
              <w:pStyle w:val="TAC"/>
              <w:rPr>
                <w:sz w:val="16"/>
                <w:szCs w:val="16"/>
              </w:rPr>
            </w:pPr>
            <w:r w:rsidRPr="00873B6C">
              <w:rPr>
                <w:sz w:val="16"/>
                <w:szCs w:val="16"/>
              </w:rPr>
              <w:t>16.3.0</w:t>
            </w:r>
          </w:p>
        </w:tc>
      </w:tr>
      <w:tr w:rsidR="00D40151" w:rsidRPr="00873B6C" w14:paraId="6A87F88F" w14:textId="77777777" w:rsidTr="009D14FB">
        <w:tc>
          <w:tcPr>
            <w:tcW w:w="800" w:type="dxa"/>
            <w:shd w:val="solid" w:color="FFFFFF" w:fill="auto"/>
          </w:tcPr>
          <w:p w14:paraId="24CA41D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E4C28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ACCB2D2"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29F4FE87" w14:textId="77777777" w:rsidR="00D40151" w:rsidRPr="00873B6C" w:rsidRDefault="00D40151" w:rsidP="009D14FB">
            <w:pPr>
              <w:pStyle w:val="TAL"/>
              <w:rPr>
                <w:sz w:val="16"/>
                <w:szCs w:val="16"/>
              </w:rPr>
            </w:pPr>
            <w:r w:rsidRPr="00873B6C">
              <w:rPr>
                <w:sz w:val="16"/>
                <w:szCs w:val="16"/>
              </w:rPr>
              <w:t>1868</w:t>
            </w:r>
          </w:p>
        </w:tc>
        <w:tc>
          <w:tcPr>
            <w:tcW w:w="425" w:type="dxa"/>
            <w:shd w:val="solid" w:color="FFFFFF" w:fill="auto"/>
          </w:tcPr>
          <w:p w14:paraId="36D54B86"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2FBF1C4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ACF6BC" w14:textId="77777777" w:rsidR="00D40151" w:rsidRPr="00873B6C" w:rsidRDefault="00D40151" w:rsidP="009D14FB">
            <w:pPr>
              <w:pStyle w:val="TAL"/>
              <w:rPr>
                <w:sz w:val="16"/>
                <w:szCs w:val="16"/>
              </w:rPr>
            </w:pPr>
            <w:r w:rsidRPr="00873B6C">
              <w:rPr>
                <w:sz w:val="16"/>
                <w:szCs w:val="16"/>
              </w:rPr>
              <w:t>ATSSS Link-Specific Multipath IP Address Configuration</w:t>
            </w:r>
          </w:p>
        </w:tc>
        <w:tc>
          <w:tcPr>
            <w:tcW w:w="708" w:type="dxa"/>
            <w:shd w:val="solid" w:color="FFFFFF" w:fill="auto"/>
          </w:tcPr>
          <w:p w14:paraId="73825872" w14:textId="77777777" w:rsidR="00D40151" w:rsidRPr="00873B6C" w:rsidRDefault="00D40151" w:rsidP="009D14FB">
            <w:pPr>
              <w:pStyle w:val="TAC"/>
              <w:rPr>
                <w:sz w:val="16"/>
                <w:szCs w:val="16"/>
              </w:rPr>
            </w:pPr>
            <w:r w:rsidRPr="00873B6C">
              <w:rPr>
                <w:sz w:val="16"/>
                <w:szCs w:val="16"/>
              </w:rPr>
              <w:t>16.3.0</w:t>
            </w:r>
          </w:p>
        </w:tc>
      </w:tr>
      <w:tr w:rsidR="00D40151" w:rsidRPr="00873B6C" w14:paraId="3F8CA524" w14:textId="77777777" w:rsidTr="009D14FB">
        <w:tc>
          <w:tcPr>
            <w:tcW w:w="800" w:type="dxa"/>
            <w:shd w:val="solid" w:color="FFFFFF" w:fill="auto"/>
          </w:tcPr>
          <w:p w14:paraId="7D577C8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052686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47BBAA5"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69B3F826" w14:textId="77777777" w:rsidR="00D40151" w:rsidRPr="00873B6C" w:rsidRDefault="00D40151" w:rsidP="009D14FB">
            <w:pPr>
              <w:pStyle w:val="TAL"/>
              <w:rPr>
                <w:sz w:val="16"/>
                <w:szCs w:val="16"/>
              </w:rPr>
            </w:pPr>
            <w:r w:rsidRPr="00873B6C">
              <w:rPr>
                <w:sz w:val="16"/>
                <w:szCs w:val="16"/>
              </w:rPr>
              <w:t>1869</w:t>
            </w:r>
          </w:p>
        </w:tc>
        <w:tc>
          <w:tcPr>
            <w:tcW w:w="425" w:type="dxa"/>
            <w:shd w:val="solid" w:color="FFFFFF" w:fill="auto"/>
          </w:tcPr>
          <w:p w14:paraId="3843AA17"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16E0F7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836D05" w14:textId="77777777" w:rsidR="00D40151" w:rsidRPr="00873B6C" w:rsidRDefault="00D40151" w:rsidP="009D14FB">
            <w:pPr>
              <w:pStyle w:val="TAL"/>
              <w:rPr>
                <w:sz w:val="16"/>
                <w:szCs w:val="16"/>
              </w:rPr>
            </w:pPr>
            <w:r w:rsidRPr="00873B6C">
              <w:rPr>
                <w:sz w:val="16"/>
                <w:szCs w:val="16"/>
              </w:rPr>
              <w:t>ATSSS Steering of non-MPTCP Traffic</w:t>
            </w:r>
          </w:p>
        </w:tc>
        <w:tc>
          <w:tcPr>
            <w:tcW w:w="708" w:type="dxa"/>
            <w:shd w:val="solid" w:color="FFFFFF" w:fill="auto"/>
          </w:tcPr>
          <w:p w14:paraId="7FFA4742" w14:textId="77777777" w:rsidR="00D40151" w:rsidRPr="00873B6C" w:rsidRDefault="00D40151" w:rsidP="009D14FB">
            <w:pPr>
              <w:pStyle w:val="TAC"/>
              <w:rPr>
                <w:sz w:val="16"/>
                <w:szCs w:val="16"/>
              </w:rPr>
            </w:pPr>
            <w:r w:rsidRPr="00873B6C">
              <w:rPr>
                <w:sz w:val="16"/>
                <w:szCs w:val="16"/>
              </w:rPr>
              <w:t>16.3.0</w:t>
            </w:r>
          </w:p>
        </w:tc>
      </w:tr>
      <w:tr w:rsidR="00D40151" w:rsidRPr="00873B6C" w14:paraId="079BEF8C" w14:textId="77777777" w:rsidTr="009D14FB">
        <w:tc>
          <w:tcPr>
            <w:tcW w:w="800" w:type="dxa"/>
            <w:shd w:val="solid" w:color="FFFFFF" w:fill="auto"/>
          </w:tcPr>
          <w:p w14:paraId="11A81AC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918808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C070638"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74866A15" w14:textId="77777777" w:rsidR="00D40151" w:rsidRPr="00873B6C" w:rsidRDefault="00D40151" w:rsidP="009D14FB">
            <w:pPr>
              <w:pStyle w:val="TAL"/>
              <w:rPr>
                <w:sz w:val="16"/>
                <w:szCs w:val="16"/>
              </w:rPr>
            </w:pPr>
            <w:r w:rsidRPr="00873B6C">
              <w:rPr>
                <w:sz w:val="16"/>
                <w:szCs w:val="16"/>
              </w:rPr>
              <w:t>1870</w:t>
            </w:r>
          </w:p>
        </w:tc>
        <w:tc>
          <w:tcPr>
            <w:tcW w:w="425" w:type="dxa"/>
            <w:shd w:val="solid" w:color="FFFFFF" w:fill="auto"/>
          </w:tcPr>
          <w:p w14:paraId="63A09C5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39B9BF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BC0A96" w14:textId="77777777" w:rsidR="00D40151" w:rsidRPr="00873B6C" w:rsidRDefault="00D40151" w:rsidP="009D14FB">
            <w:pPr>
              <w:pStyle w:val="TAL"/>
              <w:rPr>
                <w:sz w:val="16"/>
                <w:szCs w:val="16"/>
              </w:rPr>
            </w:pPr>
            <w:r w:rsidRPr="00873B6C">
              <w:rPr>
                <w:sz w:val="16"/>
                <w:szCs w:val="16"/>
              </w:rPr>
              <w:t>ATSSS PMF Protocol over UDP</w:t>
            </w:r>
          </w:p>
        </w:tc>
        <w:tc>
          <w:tcPr>
            <w:tcW w:w="708" w:type="dxa"/>
            <w:shd w:val="solid" w:color="FFFFFF" w:fill="auto"/>
          </w:tcPr>
          <w:p w14:paraId="7FEECF84" w14:textId="77777777" w:rsidR="00D40151" w:rsidRPr="00873B6C" w:rsidRDefault="00D40151" w:rsidP="009D14FB">
            <w:pPr>
              <w:pStyle w:val="TAC"/>
              <w:rPr>
                <w:sz w:val="16"/>
                <w:szCs w:val="16"/>
              </w:rPr>
            </w:pPr>
            <w:r w:rsidRPr="00873B6C">
              <w:rPr>
                <w:sz w:val="16"/>
                <w:szCs w:val="16"/>
              </w:rPr>
              <w:t>16.3.0</w:t>
            </w:r>
          </w:p>
        </w:tc>
      </w:tr>
      <w:tr w:rsidR="00D40151" w:rsidRPr="00873B6C" w14:paraId="399A9D2C" w14:textId="77777777" w:rsidTr="009D14FB">
        <w:tc>
          <w:tcPr>
            <w:tcW w:w="800" w:type="dxa"/>
            <w:shd w:val="solid" w:color="FFFFFF" w:fill="auto"/>
          </w:tcPr>
          <w:p w14:paraId="0441734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DEF2A3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B33D3F4"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4E570C29" w14:textId="77777777" w:rsidR="00D40151" w:rsidRPr="00873B6C" w:rsidRDefault="00D40151" w:rsidP="009D14FB">
            <w:pPr>
              <w:pStyle w:val="TAL"/>
              <w:rPr>
                <w:sz w:val="16"/>
                <w:szCs w:val="16"/>
              </w:rPr>
            </w:pPr>
            <w:r w:rsidRPr="00873B6C">
              <w:rPr>
                <w:sz w:val="16"/>
                <w:szCs w:val="16"/>
              </w:rPr>
              <w:t>1875</w:t>
            </w:r>
          </w:p>
        </w:tc>
        <w:tc>
          <w:tcPr>
            <w:tcW w:w="425" w:type="dxa"/>
            <w:shd w:val="solid" w:color="FFFFFF" w:fill="auto"/>
          </w:tcPr>
          <w:p w14:paraId="7C7A568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C56B73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BF6CC2" w14:textId="77777777" w:rsidR="00D40151" w:rsidRPr="00873B6C" w:rsidRDefault="00D40151" w:rsidP="009D14FB">
            <w:pPr>
              <w:pStyle w:val="TAL"/>
              <w:rPr>
                <w:sz w:val="16"/>
                <w:szCs w:val="16"/>
              </w:rPr>
            </w:pPr>
            <w:r w:rsidRPr="00873B6C">
              <w:rPr>
                <w:sz w:val="16"/>
                <w:szCs w:val="16"/>
              </w:rPr>
              <w:t>Interworking with EPS for the MA PDU Session</w:t>
            </w:r>
          </w:p>
        </w:tc>
        <w:tc>
          <w:tcPr>
            <w:tcW w:w="708" w:type="dxa"/>
            <w:shd w:val="solid" w:color="FFFFFF" w:fill="auto"/>
          </w:tcPr>
          <w:p w14:paraId="3BBC15BC" w14:textId="77777777" w:rsidR="00D40151" w:rsidRPr="00873B6C" w:rsidRDefault="00D40151" w:rsidP="009D14FB">
            <w:pPr>
              <w:pStyle w:val="TAC"/>
              <w:rPr>
                <w:sz w:val="16"/>
                <w:szCs w:val="16"/>
              </w:rPr>
            </w:pPr>
            <w:r w:rsidRPr="00873B6C">
              <w:rPr>
                <w:sz w:val="16"/>
                <w:szCs w:val="16"/>
              </w:rPr>
              <w:t>16.3.0</w:t>
            </w:r>
          </w:p>
        </w:tc>
      </w:tr>
      <w:tr w:rsidR="00D40151" w:rsidRPr="00873B6C" w14:paraId="61B02C46" w14:textId="77777777" w:rsidTr="009D14FB">
        <w:tc>
          <w:tcPr>
            <w:tcW w:w="800" w:type="dxa"/>
            <w:shd w:val="solid" w:color="FFFFFF" w:fill="auto"/>
          </w:tcPr>
          <w:p w14:paraId="7B8C6C9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52E9AE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7F92C50"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2D25F332" w14:textId="77777777" w:rsidR="00D40151" w:rsidRPr="00873B6C" w:rsidRDefault="00D40151" w:rsidP="009D14FB">
            <w:pPr>
              <w:pStyle w:val="TAL"/>
              <w:rPr>
                <w:sz w:val="16"/>
                <w:szCs w:val="16"/>
              </w:rPr>
            </w:pPr>
            <w:r w:rsidRPr="00873B6C">
              <w:rPr>
                <w:sz w:val="16"/>
                <w:szCs w:val="16"/>
              </w:rPr>
              <w:t>1878</w:t>
            </w:r>
          </w:p>
        </w:tc>
        <w:tc>
          <w:tcPr>
            <w:tcW w:w="425" w:type="dxa"/>
            <w:shd w:val="solid" w:color="FFFFFF" w:fill="auto"/>
          </w:tcPr>
          <w:p w14:paraId="23EFA20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B26B5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1BAD49" w14:textId="77777777" w:rsidR="00D40151" w:rsidRPr="00873B6C" w:rsidRDefault="00D40151" w:rsidP="009D14FB">
            <w:pPr>
              <w:pStyle w:val="TAL"/>
              <w:rPr>
                <w:sz w:val="16"/>
                <w:szCs w:val="16"/>
              </w:rPr>
            </w:pPr>
            <w:r w:rsidRPr="00873B6C">
              <w:rPr>
                <w:sz w:val="16"/>
                <w:szCs w:val="16"/>
              </w:rPr>
              <w:t>5G URLLC Handling PDU Session Failure</w:t>
            </w:r>
          </w:p>
        </w:tc>
        <w:tc>
          <w:tcPr>
            <w:tcW w:w="708" w:type="dxa"/>
            <w:shd w:val="solid" w:color="FFFFFF" w:fill="auto"/>
          </w:tcPr>
          <w:p w14:paraId="5BD3A6BB" w14:textId="77777777" w:rsidR="00D40151" w:rsidRPr="00873B6C" w:rsidRDefault="00D40151" w:rsidP="009D14FB">
            <w:pPr>
              <w:pStyle w:val="TAC"/>
              <w:rPr>
                <w:sz w:val="16"/>
                <w:szCs w:val="16"/>
              </w:rPr>
            </w:pPr>
            <w:r w:rsidRPr="00873B6C">
              <w:rPr>
                <w:sz w:val="16"/>
                <w:szCs w:val="16"/>
              </w:rPr>
              <w:t>16.3.0</w:t>
            </w:r>
          </w:p>
        </w:tc>
      </w:tr>
      <w:tr w:rsidR="00D40151" w:rsidRPr="00873B6C" w14:paraId="040A8B22" w14:textId="77777777" w:rsidTr="009D14FB">
        <w:tc>
          <w:tcPr>
            <w:tcW w:w="800" w:type="dxa"/>
            <w:shd w:val="solid" w:color="FFFFFF" w:fill="auto"/>
          </w:tcPr>
          <w:p w14:paraId="3E9F593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22D658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29C8C6A"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AC383F7" w14:textId="77777777" w:rsidR="00D40151" w:rsidRPr="00873B6C" w:rsidRDefault="00D40151" w:rsidP="009D14FB">
            <w:pPr>
              <w:pStyle w:val="TAL"/>
              <w:rPr>
                <w:sz w:val="16"/>
                <w:szCs w:val="16"/>
              </w:rPr>
            </w:pPr>
            <w:r w:rsidRPr="00873B6C">
              <w:rPr>
                <w:sz w:val="16"/>
                <w:szCs w:val="16"/>
              </w:rPr>
              <w:t>1879</w:t>
            </w:r>
          </w:p>
        </w:tc>
        <w:tc>
          <w:tcPr>
            <w:tcW w:w="425" w:type="dxa"/>
            <w:shd w:val="solid" w:color="FFFFFF" w:fill="auto"/>
          </w:tcPr>
          <w:p w14:paraId="69AA9A2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0E9D5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BB829F" w14:textId="77777777" w:rsidR="00D40151" w:rsidRPr="00873B6C" w:rsidRDefault="00D40151" w:rsidP="009D14FB">
            <w:pPr>
              <w:pStyle w:val="TAL"/>
              <w:rPr>
                <w:sz w:val="16"/>
                <w:szCs w:val="16"/>
              </w:rPr>
            </w:pPr>
            <w:r w:rsidRPr="00873B6C">
              <w:rPr>
                <w:sz w:val="16"/>
                <w:szCs w:val="16"/>
              </w:rPr>
              <w:t>UPF selection for 5G URLLC PDU Sessions</w:t>
            </w:r>
          </w:p>
        </w:tc>
        <w:tc>
          <w:tcPr>
            <w:tcW w:w="708" w:type="dxa"/>
            <w:shd w:val="solid" w:color="FFFFFF" w:fill="auto"/>
          </w:tcPr>
          <w:p w14:paraId="758ED83D" w14:textId="77777777" w:rsidR="00D40151" w:rsidRPr="00873B6C" w:rsidRDefault="00D40151" w:rsidP="009D14FB">
            <w:pPr>
              <w:pStyle w:val="TAC"/>
              <w:rPr>
                <w:sz w:val="16"/>
                <w:szCs w:val="16"/>
              </w:rPr>
            </w:pPr>
            <w:r w:rsidRPr="00873B6C">
              <w:rPr>
                <w:sz w:val="16"/>
                <w:szCs w:val="16"/>
              </w:rPr>
              <w:t>16.3.0</w:t>
            </w:r>
          </w:p>
        </w:tc>
      </w:tr>
      <w:tr w:rsidR="00D40151" w:rsidRPr="00873B6C" w14:paraId="07C6168B" w14:textId="77777777" w:rsidTr="009D14FB">
        <w:tc>
          <w:tcPr>
            <w:tcW w:w="800" w:type="dxa"/>
            <w:shd w:val="solid" w:color="FFFFFF" w:fill="auto"/>
          </w:tcPr>
          <w:p w14:paraId="23884B4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EBCB7E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8E84CAB"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32D232F5" w14:textId="77777777" w:rsidR="00D40151" w:rsidRPr="00873B6C" w:rsidRDefault="00D40151" w:rsidP="009D14FB">
            <w:pPr>
              <w:pStyle w:val="TAL"/>
              <w:rPr>
                <w:sz w:val="16"/>
                <w:szCs w:val="16"/>
              </w:rPr>
            </w:pPr>
            <w:r w:rsidRPr="00873B6C">
              <w:rPr>
                <w:sz w:val="16"/>
                <w:szCs w:val="16"/>
              </w:rPr>
              <w:t>1881</w:t>
            </w:r>
          </w:p>
        </w:tc>
        <w:tc>
          <w:tcPr>
            <w:tcW w:w="425" w:type="dxa"/>
            <w:shd w:val="solid" w:color="FFFFFF" w:fill="auto"/>
          </w:tcPr>
          <w:p w14:paraId="44F9BDF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BFA7CB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8F17E1" w14:textId="77777777" w:rsidR="00D40151" w:rsidRPr="00873B6C" w:rsidRDefault="00D40151" w:rsidP="009D14FB">
            <w:pPr>
              <w:pStyle w:val="TAL"/>
              <w:rPr>
                <w:sz w:val="16"/>
                <w:szCs w:val="16"/>
              </w:rPr>
            </w:pPr>
            <w:r w:rsidRPr="00873B6C">
              <w:rPr>
                <w:sz w:val="16"/>
                <w:szCs w:val="16"/>
              </w:rPr>
              <w:t>UE identifier for SNPN</w:t>
            </w:r>
          </w:p>
        </w:tc>
        <w:tc>
          <w:tcPr>
            <w:tcW w:w="708" w:type="dxa"/>
            <w:shd w:val="solid" w:color="FFFFFF" w:fill="auto"/>
          </w:tcPr>
          <w:p w14:paraId="7393CA55" w14:textId="77777777" w:rsidR="00D40151" w:rsidRPr="00873B6C" w:rsidRDefault="00D40151" w:rsidP="009D14FB">
            <w:pPr>
              <w:pStyle w:val="TAC"/>
              <w:rPr>
                <w:sz w:val="16"/>
                <w:szCs w:val="16"/>
              </w:rPr>
            </w:pPr>
            <w:r w:rsidRPr="00873B6C">
              <w:rPr>
                <w:sz w:val="16"/>
                <w:szCs w:val="16"/>
              </w:rPr>
              <w:t>16.3.0</w:t>
            </w:r>
          </w:p>
        </w:tc>
      </w:tr>
      <w:tr w:rsidR="00D40151" w:rsidRPr="00873B6C" w14:paraId="0F72D189" w14:textId="77777777" w:rsidTr="009D14FB">
        <w:tc>
          <w:tcPr>
            <w:tcW w:w="800" w:type="dxa"/>
            <w:shd w:val="solid" w:color="FFFFFF" w:fill="auto"/>
          </w:tcPr>
          <w:p w14:paraId="555B891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3A82D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5EDF1C9"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246189FB" w14:textId="77777777" w:rsidR="00D40151" w:rsidRPr="00873B6C" w:rsidRDefault="00D40151" w:rsidP="009D14FB">
            <w:pPr>
              <w:pStyle w:val="TAL"/>
              <w:rPr>
                <w:sz w:val="16"/>
                <w:szCs w:val="16"/>
              </w:rPr>
            </w:pPr>
            <w:r w:rsidRPr="00873B6C">
              <w:rPr>
                <w:sz w:val="16"/>
                <w:szCs w:val="16"/>
              </w:rPr>
              <w:t>1887</w:t>
            </w:r>
          </w:p>
        </w:tc>
        <w:tc>
          <w:tcPr>
            <w:tcW w:w="425" w:type="dxa"/>
            <w:shd w:val="solid" w:color="FFFFFF" w:fill="auto"/>
          </w:tcPr>
          <w:p w14:paraId="4CF7337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27ED29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61F40D" w14:textId="77777777" w:rsidR="00D40151" w:rsidRPr="00873B6C" w:rsidRDefault="00D40151" w:rsidP="009D14FB">
            <w:pPr>
              <w:pStyle w:val="TAL"/>
              <w:rPr>
                <w:sz w:val="16"/>
                <w:szCs w:val="16"/>
              </w:rPr>
            </w:pPr>
            <w:r w:rsidRPr="00873B6C">
              <w:rPr>
                <w:sz w:val="16"/>
                <w:szCs w:val="16"/>
              </w:rPr>
              <w:t>N4 Impacts - Bridge Management</w:t>
            </w:r>
          </w:p>
        </w:tc>
        <w:tc>
          <w:tcPr>
            <w:tcW w:w="708" w:type="dxa"/>
            <w:shd w:val="solid" w:color="FFFFFF" w:fill="auto"/>
          </w:tcPr>
          <w:p w14:paraId="46DC609A" w14:textId="77777777" w:rsidR="00D40151" w:rsidRPr="00873B6C" w:rsidRDefault="00D40151" w:rsidP="009D14FB">
            <w:pPr>
              <w:pStyle w:val="TAC"/>
              <w:rPr>
                <w:sz w:val="16"/>
                <w:szCs w:val="16"/>
              </w:rPr>
            </w:pPr>
            <w:r w:rsidRPr="00873B6C">
              <w:rPr>
                <w:sz w:val="16"/>
                <w:szCs w:val="16"/>
              </w:rPr>
              <w:t>16.3.0</w:t>
            </w:r>
          </w:p>
        </w:tc>
      </w:tr>
      <w:tr w:rsidR="00D40151" w:rsidRPr="00873B6C" w14:paraId="483145D7" w14:textId="77777777" w:rsidTr="009D14FB">
        <w:tc>
          <w:tcPr>
            <w:tcW w:w="800" w:type="dxa"/>
            <w:shd w:val="solid" w:color="FFFFFF" w:fill="auto"/>
          </w:tcPr>
          <w:p w14:paraId="42DD233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89D333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1C2F2AB"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2EE43F3F" w14:textId="77777777" w:rsidR="00D40151" w:rsidRPr="00873B6C" w:rsidRDefault="00D40151" w:rsidP="009D14FB">
            <w:pPr>
              <w:pStyle w:val="TAL"/>
              <w:rPr>
                <w:sz w:val="16"/>
                <w:szCs w:val="16"/>
              </w:rPr>
            </w:pPr>
            <w:r w:rsidRPr="00873B6C">
              <w:rPr>
                <w:sz w:val="16"/>
                <w:szCs w:val="16"/>
              </w:rPr>
              <w:t>1888</w:t>
            </w:r>
          </w:p>
        </w:tc>
        <w:tc>
          <w:tcPr>
            <w:tcW w:w="425" w:type="dxa"/>
            <w:shd w:val="solid" w:color="FFFFFF" w:fill="auto"/>
          </w:tcPr>
          <w:p w14:paraId="055B256A"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4B70F9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DE5459" w14:textId="77777777" w:rsidR="00D40151" w:rsidRPr="00873B6C" w:rsidRDefault="00D40151" w:rsidP="009D14FB">
            <w:pPr>
              <w:pStyle w:val="TAL"/>
              <w:rPr>
                <w:sz w:val="16"/>
                <w:szCs w:val="16"/>
              </w:rPr>
            </w:pPr>
            <w:r w:rsidRPr="00873B6C">
              <w:rPr>
                <w:sz w:val="16"/>
                <w:szCs w:val="16"/>
              </w:rPr>
              <w:t>Clarification for TSC QoS Mapping clause</w:t>
            </w:r>
          </w:p>
        </w:tc>
        <w:tc>
          <w:tcPr>
            <w:tcW w:w="708" w:type="dxa"/>
            <w:shd w:val="solid" w:color="FFFFFF" w:fill="auto"/>
          </w:tcPr>
          <w:p w14:paraId="6556A628" w14:textId="77777777" w:rsidR="00D40151" w:rsidRPr="00873B6C" w:rsidRDefault="00D40151" w:rsidP="009D14FB">
            <w:pPr>
              <w:pStyle w:val="TAC"/>
              <w:rPr>
                <w:sz w:val="16"/>
                <w:szCs w:val="16"/>
              </w:rPr>
            </w:pPr>
            <w:r w:rsidRPr="00873B6C">
              <w:rPr>
                <w:sz w:val="16"/>
                <w:szCs w:val="16"/>
              </w:rPr>
              <w:t>16.3.0</w:t>
            </w:r>
          </w:p>
        </w:tc>
      </w:tr>
      <w:tr w:rsidR="00D40151" w:rsidRPr="00873B6C" w14:paraId="05D6F0D0" w14:textId="77777777" w:rsidTr="009D14FB">
        <w:tc>
          <w:tcPr>
            <w:tcW w:w="800" w:type="dxa"/>
            <w:shd w:val="solid" w:color="FFFFFF" w:fill="auto"/>
          </w:tcPr>
          <w:p w14:paraId="255125D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5268A8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29DC89F"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1A26323D" w14:textId="77777777" w:rsidR="00D40151" w:rsidRPr="00873B6C" w:rsidRDefault="00D40151" w:rsidP="009D14FB">
            <w:pPr>
              <w:pStyle w:val="TAL"/>
              <w:rPr>
                <w:sz w:val="16"/>
                <w:szCs w:val="16"/>
              </w:rPr>
            </w:pPr>
            <w:r w:rsidRPr="00873B6C">
              <w:rPr>
                <w:sz w:val="16"/>
                <w:szCs w:val="16"/>
              </w:rPr>
              <w:t>1889</w:t>
            </w:r>
          </w:p>
        </w:tc>
        <w:tc>
          <w:tcPr>
            <w:tcW w:w="425" w:type="dxa"/>
            <w:shd w:val="solid" w:color="FFFFFF" w:fill="auto"/>
          </w:tcPr>
          <w:p w14:paraId="466203A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93338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0757E6" w14:textId="77777777" w:rsidR="00D40151" w:rsidRPr="00873B6C" w:rsidRDefault="00D40151" w:rsidP="009D14FB">
            <w:pPr>
              <w:pStyle w:val="TAL"/>
              <w:rPr>
                <w:sz w:val="16"/>
                <w:szCs w:val="16"/>
              </w:rPr>
            </w:pPr>
            <w:r w:rsidRPr="00873B6C">
              <w:rPr>
                <w:sz w:val="16"/>
                <w:szCs w:val="16"/>
              </w:rPr>
              <w:t>TSC PDU Session Restrictions</w:t>
            </w:r>
          </w:p>
        </w:tc>
        <w:tc>
          <w:tcPr>
            <w:tcW w:w="708" w:type="dxa"/>
            <w:shd w:val="solid" w:color="FFFFFF" w:fill="auto"/>
          </w:tcPr>
          <w:p w14:paraId="1DC41143" w14:textId="77777777" w:rsidR="00D40151" w:rsidRPr="00873B6C" w:rsidRDefault="00D40151" w:rsidP="009D14FB">
            <w:pPr>
              <w:pStyle w:val="TAC"/>
              <w:rPr>
                <w:sz w:val="16"/>
                <w:szCs w:val="16"/>
              </w:rPr>
            </w:pPr>
            <w:r w:rsidRPr="00873B6C">
              <w:rPr>
                <w:sz w:val="16"/>
                <w:szCs w:val="16"/>
              </w:rPr>
              <w:t>16.3.0</w:t>
            </w:r>
          </w:p>
        </w:tc>
      </w:tr>
      <w:tr w:rsidR="00D40151" w:rsidRPr="00873B6C" w14:paraId="14E5FAD6" w14:textId="77777777" w:rsidTr="009D14FB">
        <w:tc>
          <w:tcPr>
            <w:tcW w:w="800" w:type="dxa"/>
            <w:shd w:val="solid" w:color="FFFFFF" w:fill="auto"/>
          </w:tcPr>
          <w:p w14:paraId="21E11B4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3DF4F3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8EF29E7"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4A2767D9" w14:textId="77777777" w:rsidR="00D40151" w:rsidRPr="00873B6C" w:rsidRDefault="00D40151" w:rsidP="009D14FB">
            <w:pPr>
              <w:pStyle w:val="TAL"/>
              <w:rPr>
                <w:sz w:val="16"/>
                <w:szCs w:val="16"/>
              </w:rPr>
            </w:pPr>
            <w:r w:rsidRPr="00873B6C">
              <w:rPr>
                <w:sz w:val="16"/>
                <w:szCs w:val="16"/>
              </w:rPr>
              <w:t>1890</w:t>
            </w:r>
          </w:p>
        </w:tc>
        <w:tc>
          <w:tcPr>
            <w:tcW w:w="425" w:type="dxa"/>
            <w:shd w:val="solid" w:color="FFFFFF" w:fill="auto"/>
          </w:tcPr>
          <w:p w14:paraId="64C7BD0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5DAAD3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6DF965" w14:textId="77777777" w:rsidR="00D40151" w:rsidRPr="00873B6C" w:rsidRDefault="00D40151" w:rsidP="009D14FB">
            <w:pPr>
              <w:pStyle w:val="TAL"/>
              <w:rPr>
                <w:sz w:val="16"/>
                <w:szCs w:val="16"/>
              </w:rPr>
            </w:pPr>
            <w:r w:rsidRPr="00873B6C">
              <w:rPr>
                <w:sz w:val="16"/>
                <w:szCs w:val="16"/>
              </w:rPr>
              <w:t>TSCAI granularity</w:t>
            </w:r>
          </w:p>
        </w:tc>
        <w:tc>
          <w:tcPr>
            <w:tcW w:w="708" w:type="dxa"/>
            <w:shd w:val="solid" w:color="FFFFFF" w:fill="auto"/>
          </w:tcPr>
          <w:p w14:paraId="7F0599B0" w14:textId="77777777" w:rsidR="00D40151" w:rsidRPr="00873B6C" w:rsidRDefault="00D40151" w:rsidP="009D14FB">
            <w:pPr>
              <w:pStyle w:val="TAC"/>
              <w:rPr>
                <w:sz w:val="16"/>
                <w:szCs w:val="16"/>
              </w:rPr>
            </w:pPr>
            <w:r w:rsidRPr="00873B6C">
              <w:rPr>
                <w:sz w:val="16"/>
                <w:szCs w:val="16"/>
              </w:rPr>
              <w:t>16.3.0</w:t>
            </w:r>
          </w:p>
        </w:tc>
      </w:tr>
      <w:tr w:rsidR="00D40151" w:rsidRPr="00873B6C" w14:paraId="1120E10F" w14:textId="77777777" w:rsidTr="009D14FB">
        <w:tc>
          <w:tcPr>
            <w:tcW w:w="800" w:type="dxa"/>
            <w:shd w:val="solid" w:color="FFFFFF" w:fill="auto"/>
          </w:tcPr>
          <w:p w14:paraId="55D4ADF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B23E9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BC95E9C"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473F2D56" w14:textId="77777777" w:rsidR="00D40151" w:rsidRPr="00873B6C" w:rsidRDefault="00D40151" w:rsidP="009D14FB">
            <w:pPr>
              <w:pStyle w:val="TAL"/>
              <w:rPr>
                <w:sz w:val="16"/>
                <w:szCs w:val="16"/>
              </w:rPr>
            </w:pPr>
            <w:r w:rsidRPr="00873B6C">
              <w:rPr>
                <w:sz w:val="16"/>
                <w:szCs w:val="16"/>
              </w:rPr>
              <w:t>1893</w:t>
            </w:r>
          </w:p>
        </w:tc>
        <w:tc>
          <w:tcPr>
            <w:tcW w:w="425" w:type="dxa"/>
            <w:shd w:val="solid" w:color="FFFFFF" w:fill="auto"/>
          </w:tcPr>
          <w:p w14:paraId="5DBB0B9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BB887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2F7BAC" w14:textId="77777777" w:rsidR="00D40151" w:rsidRPr="00873B6C" w:rsidRDefault="00D40151" w:rsidP="009D14FB">
            <w:pPr>
              <w:pStyle w:val="TAL"/>
              <w:rPr>
                <w:sz w:val="16"/>
                <w:szCs w:val="16"/>
              </w:rPr>
            </w:pPr>
            <w:r w:rsidRPr="00873B6C">
              <w:rPr>
                <w:sz w:val="16"/>
                <w:szCs w:val="16"/>
              </w:rPr>
              <w:t>UPF functional update for TSC</w:t>
            </w:r>
          </w:p>
        </w:tc>
        <w:tc>
          <w:tcPr>
            <w:tcW w:w="708" w:type="dxa"/>
            <w:shd w:val="solid" w:color="FFFFFF" w:fill="auto"/>
          </w:tcPr>
          <w:p w14:paraId="35A835B3" w14:textId="77777777" w:rsidR="00D40151" w:rsidRPr="00873B6C" w:rsidRDefault="00D40151" w:rsidP="009D14FB">
            <w:pPr>
              <w:pStyle w:val="TAC"/>
              <w:rPr>
                <w:sz w:val="16"/>
                <w:szCs w:val="16"/>
              </w:rPr>
            </w:pPr>
            <w:r w:rsidRPr="00873B6C">
              <w:rPr>
                <w:sz w:val="16"/>
                <w:szCs w:val="16"/>
              </w:rPr>
              <w:t>16.3.0</w:t>
            </w:r>
          </w:p>
        </w:tc>
      </w:tr>
      <w:tr w:rsidR="00D40151" w:rsidRPr="00873B6C" w14:paraId="31A6B4C8" w14:textId="77777777" w:rsidTr="009D14FB">
        <w:tc>
          <w:tcPr>
            <w:tcW w:w="800" w:type="dxa"/>
            <w:shd w:val="solid" w:color="FFFFFF" w:fill="auto"/>
          </w:tcPr>
          <w:p w14:paraId="3566A57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DE57AE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7A7BE44"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693AF6D7" w14:textId="77777777" w:rsidR="00D40151" w:rsidRPr="00873B6C" w:rsidRDefault="00D40151" w:rsidP="009D14FB">
            <w:pPr>
              <w:pStyle w:val="TAL"/>
              <w:rPr>
                <w:sz w:val="16"/>
                <w:szCs w:val="16"/>
              </w:rPr>
            </w:pPr>
            <w:r w:rsidRPr="00873B6C">
              <w:rPr>
                <w:sz w:val="16"/>
                <w:szCs w:val="16"/>
              </w:rPr>
              <w:t>1895</w:t>
            </w:r>
          </w:p>
        </w:tc>
        <w:tc>
          <w:tcPr>
            <w:tcW w:w="425" w:type="dxa"/>
            <w:shd w:val="solid" w:color="FFFFFF" w:fill="auto"/>
          </w:tcPr>
          <w:p w14:paraId="161C828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EC8488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92B0C4" w14:textId="77777777" w:rsidR="00D40151" w:rsidRPr="00873B6C" w:rsidRDefault="00D40151" w:rsidP="009D14FB">
            <w:pPr>
              <w:pStyle w:val="TAL"/>
              <w:rPr>
                <w:sz w:val="16"/>
                <w:szCs w:val="16"/>
              </w:rPr>
            </w:pPr>
            <w:r w:rsidRPr="00873B6C">
              <w:rPr>
                <w:sz w:val="16"/>
                <w:szCs w:val="16"/>
              </w:rPr>
              <w:t>Clarification on SMF identifier in HR roaming</w:t>
            </w:r>
          </w:p>
        </w:tc>
        <w:tc>
          <w:tcPr>
            <w:tcW w:w="708" w:type="dxa"/>
            <w:shd w:val="solid" w:color="FFFFFF" w:fill="auto"/>
          </w:tcPr>
          <w:p w14:paraId="4A942D9D" w14:textId="77777777" w:rsidR="00D40151" w:rsidRPr="00873B6C" w:rsidRDefault="00D40151" w:rsidP="009D14FB">
            <w:pPr>
              <w:pStyle w:val="TAC"/>
              <w:rPr>
                <w:sz w:val="16"/>
                <w:szCs w:val="16"/>
              </w:rPr>
            </w:pPr>
            <w:r w:rsidRPr="00873B6C">
              <w:rPr>
                <w:sz w:val="16"/>
                <w:szCs w:val="16"/>
              </w:rPr>
              <w:t>16.3.0</w:t>
            </w:r>
          </w:p>
        </w:tc>
      </w:tr>
      <w:tr w:rsidR="00D40151" w:rsidRPr="00873B6C" w14:paraId="2921C6BA" w14:textId="77777777" w:rsidTr="009D14FB">
        <w:tc>
          <w:tcPr>
            <w:tcW w:w="800" w:type="dxa"/>
            <w:shd w:val="solid" w:color="FFFFFF" w:fill="auto"/>
          </w:tcPr>
          <w:p w14:paraId="637220D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C62BD2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3008F2F"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2781F97C" w14:textId="77777777" w:rsidR="00D40151" w:rsidRPr="00873B6C" w:rsidRDefault="00D40151" w:rsidP="009D14FB">
            <w:pPr>
              <w:pStyle w:val="TAL"/>
              <w:rPr>
                <w:sz w:val="16"/>
                <w:szCs w:val="16"/>
              </w:rPr>
            </w:pPr>
            <w:r w:rsidRPr="00873B6C">
              <w:rPr>
                <w:sz w:val="16"/>
                <w:szCs w:val="16"/>
              </w:rPr>
              <w:t>1899</w:t>
            </w:r>
          </w:p>
        </w:tc>
        <w:tc>
          <w:tcPr>
            <w:tcW w:w="425" w:type="dxa"/>
            <w:shd w:val="solid" w:color="FFFFFF" w:fill="auto"/>
          </w:tcPr>
          <w:p w14:paraId="404CC3B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FE249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FCF9E03" w14:textId="77777777" w:rsidR="00D40151" w:rsidRPr="00873B6C" w:rsidRDefault="00D40151" w:rsidP="009D14FB">
            <w:pPr>
              <w:pStyle w:val="TAL"/>
              <w:rPr>
                <w:sz w:val="16"/>
                <w:szCs w:val="16"/>
              </w:rPr>
            </w:pPr>
            <w:r w:rsidRPr="00873B6C">
              <w:rPr>
                <w:sz w:val="16"/>
                <w:szCs w:val="16"/>
              </w:rPr>
              <w:t>Clarifications on CN assistance information sent to the RAN</w:t>
            </w:r>
          </w:p>
        </w:tc>
        <w:tc>
          <w:tcPr>
            <w:tcW w:w="708" w:type="dxa"/>
            <w:shd w:val="solid" w:color="FFFFFF" w:fill="auto"/>
          </w:tcPr>
          <w:p w14:paraId="1AEDA00D" w14:textId="77777777" w:rsidR="00D40151" w:rsidRPr="00873B6C" w:rsidRDefault="00D40151" w:rsidP="009D14FB">
            <w:pPr>
              <w:pStyle w:val="TAC"/>
              <w:rPr>
                <w:sz w:val="16"/>
                <w:szCs w:val="16"/>
              </w:rPr>
            </w:pPr>
            <w:r w:rsidRPr="00873B6C">
              <w:rPr>
                <w:sz w:val="16"/>
                <w:szCs w:val="16"/>
              </w:rPr>
              <w:t>16.3.0</w:t>
            </w:r>
          </w:p>
        </w:tc>
      </w:tr>
      <w:tr w:rsidR="00D40151" w:rsidRPr="00873B6C" w14:paraId="1A243DE4" w14:textId="77777777" w:rsidTr="009D14FB">
        <w:tc>
          <w:tcPr>
            <w:tcW w:w="800" w:type="dxa"/>
            <w:shd w:val="solid" w:color="FFFFFF" w:fill="auto"/>
          </w:tcPr>
          <w:p w14:paraId="0FD1834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3A6B72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DCD2404"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21EB86FF" w14:textId="77777777" w:rsidR="00D40151" w:rsidRPr="00873B6C" w:rsidRDefault="00D40151" w:rsidP="009D14FB">
            <w:pPr>
              <w:pStyle w:val="TAL"/>
              <w:rPr>
                <w:sz w:val="16"/>
                <w:szCs w:val="16"/>
              </w:rPr>
            </w:pPr>
            <w:r w:rsidRPr="00873B6C">
              <w:rPr>
                <w:sz w:val="16"/>
                <w:szCs w:val="16"/>
              </w:rPr>
              <w:t>1901</w:t>
            </w:r>
          </w:p>
        </w:tc>
        <w:tc>
          <w:tcPr>
            <w:tcW w:w="425" w:type="dxa"/>
            <w:shd w:val="solid" w:color="FFFFFF" w:fill="auto"/>
          </w:tcPr>
          <w:p w14:paraId="63A69A6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97F7E34"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B193740" w14:textId="77777777" w:rsidR="00D40151" w:rsidRPr="00873B6C" w:rsidRDefault="00D40151" w:rsidP="009D14FB">
            <w:pPr>
              <w:pStyle w:val="TAL"/>
              <w:rPr>
                <w:sz w:val="16"/>
                <w:szCs w:val="16"/>
              </w:rPr>
            </w:pPr>
            <w:r w:rsidRPr="00873B6C">
              <w:rPr>
                <w:sz w:val="16"/>
                <w:szCs w:val="16"/>
              </w:rPr>
              <w:t xml:space="preserve">Handling of IAB-indication to 5GC </w:t>
            </w:r>
          </w:p>
        </w:tc>
        <w:tc>
          <w:tcPr>
            <w:tcW w:w="708" w:type="dxa"/>
            <w:shd w:val="solid" w:color="FFFFFF" w:fill="auto"/>
          </w:tcPr>
          <w:p w14:paraId="11699275" w14:textId="77777777" w:rsidR="00D40151" w:rsidRPr="00873B6C" w:rsidRDefault="00D40151" w:rsidP="009D14FB">
            <w:pPr>
              <w:pStyle w:val="TAC"/>
              <w:rPr>
                <w:sz w:val="16"/>
                <w:szCs w:val="16"/>
              </w:rPr>
            </w:pPr>
            <w:r w:rsidRPr="00873B6C">
              <w:rPr>
                <w:sz w:val="16"/>
                <w:szCs w:val="16"/>
              </w:rPr>
              <w:t>16.3.0</w:t>
            </w:r>
          </w:p>
        </w:tc>
      </w:tr>
      <w:tr w:rsidR="00D40151" w:rsidRPr="00873B6C" w14:paraId="36C5050C" w14:textId="77777777" w:rsidTr="009D14FB">
        <w:tc>
          <w:tcPr>
            <w:tcW w:w="800" w:type="dxa"/>
            <w:shd w:val="solid" w:color="FFFFFF" w:fill="auto"/>
          </w:tcPr>
          <w:p w14:paraId="7B670DD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B8A21C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D3DDBAE"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092171A3" w14:textId="77777777" w:rsidR="00D40151" w:rsidRPr="00873B6C" w:rsidRDefault="00D40151" w:rsidP="009D14FB">
            <w:pPr>
              <w:pStyle w:val="TAL"/>
              <w:rPr>
                <w:sz w:val="16"/>
                <w:szCs w:val="16"/>
              </w:rPr>
            </w:pPr>
            <w:r w:rsidRPr="00873B6C">
              <w:rPr>
                <w:sz w:val="16"/>
                <w:szCs w:val="16"/>
              </w:rPr>
              <w:t>1902</w:t>
            </w:r>
          </w:p>
        </w:tc>
        <w:tc>
          <w:tcPr>
            <w:tcW w:w="425" w:type="dxa"/>
            <w:shd w:val="solid" w:color="FFFFFF" w:fill="auto"/>
          </w:tcPr>
          <w:p w14:paraId="631142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82C0D4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D0643AC" w14:textId="77777777" w:rsidR="00D40151" w:rsidRPr="00873B6C" w:rsidRDefault="00D40151" w:rsidP="009D14FB">
            <w:pPr>
              <w:pStyle w:val="TAL"/>
              <w:rPr>
                <w:sz w:val="16"/>
                <w:szCs w:val="16"/>
              </w:rPr>
            </w:pPr>
            <w:r w:rsidRPr="00873B6C">
              <w:rPr>
                <w:sz w:val="16"/>
                <w:szCs w:val="16"/>
              </w:rPr>
              <w:t xml:space="preserve">Handling of OAM traffic for IAB-node </w:t>
            </w:r>
          </w:p>
        </w:tc>
        <w:tc>
          <w:tcPr>
            <w:tcW w:w="708" w:type="dxa"/>
            <w:shd w:val="solid" w:color="FFFFFF" w:fill="auto"/>
          </w:tcPr>
          <w:p w14:paraId="345EE006" w14:textId="77777777" w:rsidR="00D40151" w:rsidRPr="00873B6C" w:rsidRDefault="00D40151" w:rsidP="009D14FB">
            <w:pPr>
              <w:pStyle w:val="TAC"/>
              <w:rPr>
                <w:sz w:val="16"/>
                <w:szCs w:val="16"/>
              </w:rPr>
            </w:pPr>
            <w:r w:rsidRPr="00873B6C">
              <w:rPr>
                <w:sz w:val="16"/>
                <w:szCs w:val="16"/>
              </w:rPr>
              <w:t>16.3.0</w:t>
            </w:r>
          </w:p>
        </w:tc>
      </w:tr>
      <w:tr w:rsidR="00D40151" w:rsidRPr="00873B6C" w14:paraId="0B41640C" w14:textId="77777777" w:rsidTr="009D14FB">
        <w:tc>
          <w:tcPr>
            <w:tcW w:w="800" w:type="dxa"/>
            <w:shd w:val="solid" w:color="FFFFFF" w:fill="auto"/>
          </w:tcPr>
          <w:p w14:paraId="3F5F600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8F4792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5D8FAB3"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501698F1" w14:textId="77777777" w:rsidR="00D40151" w:rsidRPr="00873B6C" w:rsidRDefault="00D40151" w:rsidP="009D14FB">
            <w:pPr>
              <w:pStyle w:val="TAL"/>
              <w:rPr>
                <w:sz w:val="16"/>
                <w:szCs w:val="16"/>
              </w:rPr>
            </w:pPr>
            <w:r w:rsidRPr="00873B6C">
              <w:rPr>
                <w:sz w:val="16"/>
                <w:szCs w:val="16"/>
              </w:rPr>
              <w:t>1903</w:t>
            </w:r>
          </w:p>
        </w:tc>
        <w:tc>
          <w:tcPr>
            <w:tcW w:w="425" w:type="dxa"/>
            <w:shd w:val="solid" w:color="FFFFFF" w:fill="auto"/>
          </w:tcPr>
          <w:p w14:paraId="0DF62F5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82012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E722C7F" w14:textId="77777777" w:rsidR="00D40151" w:rsidRPr="00873B6C" w:rsidRDefault="00D40151" w:rsidP="009D14FB">
            <w:pPr>
              <w:pStyle w:val="TAL"/>
              <w:rPr>
                <w:sz w:val="16"/>
                <w:szCs w:val="16"/>
              </w:rPr>
            </w:pPr>
            <w:r w:rsidRPr="00873B6C">
              <w:rPr>
                <w:sz w:val="16"/>
                <w:szCs w:val="16"/>
              </w:rPr>
              <w:t xml:space="preserve">Support of IAB operation in EN-DC mode </w:t>
            </w:r>
          </w:p>
        </w:tc>
        <w:tc>
          <w:tcPr>
            <w:tcW w:w="708" w:type="dxa"/>
            <w:shd w:val="solid" w:color="FFFFFF" w:fill="auto"/>
          </w:tcPr>
          <w:p w14:paraId="2D21F85A" w14:textId="77777777" w:rsidR="00D40151" w:rsidRPr="00873B6C" w:rsidRDefault="00D40151" w:rsidP="009D14FB">
            <w:pPr>
              <w:pStyle w:val="TAC"/>
              <w:rPr>
                <w:sz w:val="16"/>
                <w:szCs w:val="16"/>
              </w:rPr>
            </w:pPr>
            <w:r w:rsidRPr="00873B6C">
              <w:rPr>
                <w:sz w:val="16"/>
                <w:szCs w:val="16"/>
              </w:rPr>
              <w:t>16.3.0</w:t>
            </w:r>
          </w:p>
        </w:tc>
      </w:tr>
      <w:tr w:rsidR="00D40151" w:rsidRPr="00873B6C" w14:paraId="18BA736C" w14:textId="77777777" w:rsidTr="009D14FB">
        <w:tc>
          <w:tcPr>
            <w:tcW w:w="800" w:type="dxa"/>
            <w:shd w:val="solid" w:color="FFFFFF" w:fill="auto"/>
          </w:tcPr>
          <w:p w14:paraId="66A7E18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18492B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5FE8FE3"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71E2E3E2" w14:textId="77777777" w:rsidR="00D40151" w:rsidRPr="00873B6C" w:rsidRDefault="00D40151" w:rsidP="009D14FB">
            <w:pPr>
              <w:pStyle w:val="TAL"/>
              <w:rPr>
                <w:sz w:val="16"/>
                <w:szCs w:val="16"/>
              </w:rPr>
            </w:pPr>
            <w:r w:rsidRPr="00873B6C">
              <w:rPr>
                <w:sz w:val="16"/>
                <w:szCs w:val="16"/>
              </w:rPr>
              <w:t>1905</w:t>
            </w:r>
          </w:p>
        </w:tc>
        <w:tc>
          <w:tcPr>
            <w:tcW w:w="425" w:type="dxa"/>
            <w:shd w:val="solid" w:color="FFFFFF" w:fill="auto"/>
          </w:tcPr>
          <w:p w14:paraId="284D4EF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DA0E2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5DB427" w14:textId="77777777" w:rsidR="00D40151" w:rsidRPr="00873B6C" w:rsidRDefault="00D40151" w:rsidP="009D14FB">
            <w:pPr>
              <w:pStyle w:val="TAL"/>
              <w:rPr>
                <w:sz w:val="16"/>
                <w:szCs w:val="16"/>
              </w:rPr>
            </w:pPr>
            <w:r w:rsidRPr="00873B6C">
              <w:rPr>
                <w:sz w:val="16"/>
                <w:szCs w:val="16"/>
              </w:rPr>
              <w:t xml:space="preserve">Mobility support limitation for IAB </w:t>
            </w:r>
          </w:p>
        </w:tc>
        <w:tc>
          <w:tcPr>
            <w:tcW w:w="708" w:type="dxa"/>
            <w:shd w:val="solid" w:color="FFFFFF" w:fill="auto"/>
          </w:tcPr>
          <w:p w14:paraId="45D508AB" w14:textId="77777777" w:rsidR="00D40151" w:rsidRPr="00873B6C" w:rsidRDefault="00D40151" w:rsidP="009D14FB">
            <w:pPr>
              <w:pStyle w:val="TAC"/>
              <w:rPr>
                <w:sz w:val="16"/>
                <w:szCs w:val="16"/>
              </w:rPr>
            </w:pPr>
            <w:r w:rsidRPr="00873B6C">
              <w:rPr>
                <w:sz w:val="16"/>
                <w:szCs w:val="16"/>
              </w:rPr>
              <w:t>16.3.0</w:t>
            </w:r>
          </w:p>
        </w:tc>
      </w:tr>
      <w:tr w:rsidR="00D40151" w:rsidRPr="00873B6C" w14:paraId="026C3470" w14:textId="77777777" w:rsidTr="009D14FB">
        <w:tc>
          <w:tcPr>
            <w:tcW w:w="800" w:type="dxa"/>
            <w:shd w:val="solid" w:color="FFFFFF" w:fill="auto"/>
          </w:tcPr>
          <w:p w14:paraId="43EAADE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D1E758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49054A7" w14:textId="77777777" w:rsidR="00D40151" w:rsidRPr="00873B6C" w:rsidRDefault="00D40151" w:rsidP="009D14FB">
            <w:pPr>
              <w:pStyle w:val="TAC"/>
              <w:rPr>
                <w:sz w:val="16"/>
                <w:szCs w:val="16"/>
              </w:rPr>
            </w:pPr>
            <w:r w:rsidRPr="00873B6C">
              <w:rPr>
                <w:sz w:val="16"/>
                <w:szCs w:val="16"/>
              </w:rPr>
              <w:t>SP-191078</w:t>
            </w:r>
          </w:p>
        </w:tc>
        <w:tc>
          <w:tcPr>
            <w:tcW w:w="567" w:type="dxa"/>
            <w:shd w:val="solid" w:color="FFFFFF" w:fill="auto"/>
          </w:tcPr>
          <w:p w14:paraId="200C4783" w14:textId="77777777" w:rsidR="00D40151" w:rsidRPr="00873B6C" w:rsidRDefault="00D40151" w:rsidP="009D14FB">
            <w:pPr>
              <w:pStyle w:val="TAL"/>
              <w:rPr>
                <w:sz w:val="16"/>
                <w:szCs w:val="16"/>
              </w:rPr>
            </w:pPr>
            <w:r w:rsidRPr="00873B6C">
              <w:rPr>
                <w:sz w:val="16"/>
                <w:szCs w:val="16"/>
              </w:rPr>
              <w:t>1912</w:t>
            </w:r>
          </w:p>
        </w:tc>
        <w:tc>
          <w:tcPr>
            <w:tcW w:w="425" w:type="dxa"/>
            <w:shd w:val="solid" w:color="FFFFFF" w:fill="auto"/>
          </w:tcPr>
          <w:p w14:paraId="122032F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84F5D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B983AC" w14:textId="77777777" w:rsidR="00D40151" w:rsidRPr="00873B6C" w:rsidRDefault="00D40151" w:rsidP="009D14FB">
            <w:pPr>
              <w:pStyle w:val="TAL"/>
              <w:rPr>
                <w:sz w:val="16"/>
                <w:szCs w:val="16"/>
              </w:rPr>
            </w:pPr>
            <w:r w:rsidRPr="00873B6C">
              <w:rPr>
                <w:sz w:val="16"/>
                <w:szCs w:val="16"/>
              </w:rPr>
              <w:t>Including IMS related interfaces in list of 5G interfaces</w:t>
            </w:r>
          </w:p>
        </w:tc>
        <w:tc>
          <w:tcPr>
            <w:tcW w:w="708" w:type="dxa"/>
            <w:shd w:val="solid" w:color="FFFFFF" w:fill="auto"/>
          </w:tcPr>
          <w:p w14:paraId="42FD171B" w14:textId="77777777" w:rsidR="00D40151" w:rsidRPr="00873B6C" w:rsidRDefault="00D40151" w:rsidP="009D14FB">
            <w:pPr>
              <w:pStyle w:val="TAC"/>
              <w:rPr>
                <w:sz w:val="16"/>
                <w:szCs w:val="16"/>
              </w:rPr>
            </w:pPr>
            <w:r w:rsidRPr="00873B6C">
              <w:rPr>
                <w:sz w:val="16"/>
                <w:szCs w:val="16"/>
              </w:rPr>
              <w:t>16.3.0</w:t>
            </w:r>
          </w:p>
        </w:tc>
      </w:tr>
      <w:tr w:rsidR="00D40151" w:rsidRPr="00873B6C" w14:paraId="721E6FEE" w14:textId="77777777" w:rsidTr="009D14FB">
        <w:tc>
          <w:tcPr>
            <w:tcW w:w="800" w:type="dxa"/>
            <w:shd w:val="solid" w:color="FFFFFF" w:fill="auto"/>
          </w:tcPr>
          <w:p w14:paraId="0C24670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B92710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C0734C8"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6B80DB82" w14:textId="77777777" w:rsidR="00D40151" w:rsidRPr="00873B6C" w:rsidRDefault="00D40151" w:rsidP="009D14FB">
            <w:pPr>
              <w:pStyle w:val="TAL"/>
              <w:rPr>
                <w:sz w:val="16"/>
                <w:szCs w:val="16"/>
              </w:rPr>
            </w:pPr>
            <w:r w:rsidRPr="00873B6C">
              <w:rPr>
                <w:sz w:val="16"/>
                <w:szCs w:val="16"/>
              </w:rPr>
              <w:t>1918</w:t>
            </w:r>
          </w:p>
        </w:tc>
        <w:tc>
          <w:tcPr>
            <w:tcW w:w="425" w:type="dxa"/>
            <w:shd w:val="solid" w:color="FFFFFF" w:fill="auto"/>
          </w:tcPr>
          <w:p w14:paraId="4971F7F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443CF8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7D1203" w14:textId="77777777" w:rsidR="00D40151" w:rsidRPr="00873B6C" w:rsidRDefault="00D40151" w:rsidP="009D14FB">
            <w:pPr>
              <w:pStyle w:val="TAL"/>
              <w:rPr>
                <w:sz w:val="16"/>
                <w:szCs w:val="16"/>
              </w:rPr>
            </w:pPr>
            <w:r w:rsidRPr="00873B6C">
              <w:rPr>
                <w:sz w:val="16"/>
                <w:szCs w:val="16"/>
              </w:rPr>
              <w:t>Clarification on UE mobility event notification</w:t>
            </w:r>
          </w:p>
        </w:tc>
        <w:tc>
          <w:tcPr>
            <w:tcW w:w="708" w:type="dxa"/>
            <w:shd w:val="solid" w:color="FFFFFF" w:fill="auto"/>
          </w:tcPr>
          <w:p w14:paraId="6128B7C2" w14:textId="77777777" w:rsidR="00D40151" w:rsidRPr="00873B6C" w:rsidRDefault="00D40151" w:rsidP="009D14FB">
            <w:pPr>
              <w:pStyle w:val="TAC"/>
              <w:rPr>
                <w:sz w:val="16"/>
                <w:szCs w:val="16"/>
              </w:rPr>
            </w:pPr>
            <w:r w:rsidRPr="00873B6C">
              <w:rPr>
                <w:sz w:val="16"/>
                <w:szCs w:val="16"/>
              </w:rPr>
              <w:t>16.3.0</w:t>
            </w:r>
          </w:p>
        </w:tc>
      </w:tr>
      <w:tr w:rsidR="00D40151" w:rsidRPr="00873B6C" w14:paraId="515666D2" w14:textId="77777777" w:rsidTr="009D14FB">
        <w:tc>
          <w:tcPr>
            <w:tcW w:w="800" w:type="dxa"/>
            <w:shd w:val="solid" w:color="FFFFFF" w:fill="auto"/>
          </w:tcPr>
          <w:p w14:paraId="14B8F13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60B09F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08A6F5F" w14:textId="77777777" w:rsidR="00D40151" w:rsidRPr="00873B6C" w:rsidRDefault="00D40151" w:rsidP="009D14FB">
            <w:pPr>
              <w:pStyle w:val="TAC"/>
              <w:rPr>
                <w:sz w:val="16"/>
                <w:szCs w:val="16"/>
              </w:rPr>
            </w:pPr>
            <w:r w:rsidRPr="00873B6C">
              <w:rPr>
                <w:sz w:val="16"/>
                <w:szCs w:val="16"/>
              </w:rPr>
              <w:t>SP-191076</w:t>
            </w:r>
          </w:p>
        </w:tc>
        <w:tc>
          <w:tcPr>
            <w:tcW w:w="567" w:type="dxa"/>
            <w:shd w:val="solid" w:color="FFFFFF" w:fill="auto"/>
          </w:tcPr>
          <w:p w14:paraId="19DF6828" w14:textId="77777777" w:rsidR="00D40151" w:rsidRPr="00873B6C" w:rsidRDefault="00D40151" w:rsidP="009D14FB">
            <w:pPr>
              <w:pStyle w:val="TAL"/>
              <w:rPr>
                <w:sz w:val="16"/>
                <w:szCs w:val="16"/>
              </w:rPr>
            </w:pPr>
            <w:r w:rsidRPr="00873B6C">
              <w:rPr>
                <w:sz w:val="16"/>
                <w:szCs w:val="16"/>
              </w:rPr>
              <w:t>1920</w:t>
            </w:r>
          </w:p>
        </w:tc>
        <w:tc>
          <w:tcPr>
            <w:tcW w:w="425" w:type="dxa"/>
            <w:shd w:val="solid" w:color="FFFFFF" w:fill="auto"/>
          </w:tcPr>
          <w:p w14:paraId="2AAB757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EC518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41971D" w14:textId="77777777" w:rsidR="00D40151" w:rsidRPr="00873B6C" w:rsidRDefault="00D40151" w:rsidP="009D14FB">
            <w:pPr>
              <w:pStyle w:val="TAL"/>
              <w:rPr>
                <w:sz w:val="16"/>
                <w:szCs w:val="16"/>
              </w:rPr>
            </w:pPr>
            <w:r w:rsidRPr="00873B6C">
              <w:rPr>
                <w:sz w:val="16"/>
                <w:szCs w:val="16"/>
              </w:rPr>
              <w:t>Avoid specifying SUPI / SUCI and PEI used for FN RG both in 23.501 and 23.316</w:t>
            </w:r>
          </w:p>
        </w:tc>
        <w:tc>
          <w:tcPr>
            <w:tcW w:w="708" w:type="dxa"/>
            <w:shd w:val="solid" w:color="FFFFFF" w:fill="auto"/>
          </w:tcPr>
          <w:p w14:paraId="014F1146" w14:textId="77777777" w:rsidR="00D40151" w:rsidRPr="00873B6C" w:rsidRDefault="00D40151" w:rsidP="009D14FB">
            <w:pPr>
              <w:pStyle w:val="TAC"/>
              <w:rPr>
                <w:sz w:val="16"/>
                <w:szCs w:val="16"/>
              </w:rPr>
            </w:pPr>
            <w:r w:rsidRPr="00873B6C">
              <w:rPr>
                <w:sz w:val="16"/>
                <w:szCs w:val="16"/>
              </w:rPr>
              <w:t>16.3.0</w:t>
            </w:r>
          </w:p>
        </w:tc>
      </w:tr>
      <w:tr w:rsidR="00D40151" w:rsidRPr="00873B6C" w14:paraId="4EA314EB" w14:textId="77777777" w:rsidTr="009D14FB">
        <w:tc>
          <w:tcPr>
            <w:tcW w:w="800" w:type="dxa"/>
            <w:shd w:val="solid" w:color="FFFFFF" w:fill="auto"/>
          </w:tcPr>
          <w:p w14:paraId="7AB36F9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0CBD47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6A3658D"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357B9728" w14:textId="77777777" w:rsidR="00D40151" w:rsidRPr="00873B6C" w:rsidRDefault="00D40151" w:rsidP="009D14FB">
            <w:pPr>
              <w:pStyle w:val="TAL"/>
              <w:rPr>
                <w:sz w:val="16"/>
                <w:szCs w:val="16"/>
              </w:rPr>
            </w:pPr>
            <w:r w:rsidRPr="00873B6C">
              <w:rPr>
                <w:sz w:val="16"/>
                <w:szCs w:val="16"/>
              </w:rPr>
              <w:t>1923</w:t>
            </w:r>
          </w:p>
        </w:tc>
        <w:tc>
          <w:tcPr>
            <w:tcW w:w="425" w:type="dxa"/>
            <w:shd w:val="solid" w:color="FFFFFF" w:fill="auto"/>
          </w:tcPr>
          <w:p w14:paraId="6162B79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3290DF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908AF56" w14:textId="77777777" w:rsidR="00D40151" w:rsidRPr="00873B6C" w:rsidRDefault="00D40151" w:rsidP="009D14FB">
            <w:pPr>
              <w:pStyle w:val="TAL"/>
              <w:rPr>
                <w:sz w:val="16"/>
                <w:szCs w:val="16"/>
              </w:rPr>
            </w:pPr>
            <w:r w:rsidRPr="00873B6C">
              <w:rPr>
                <w:sz w:val="16"/>
                <w:szCs w:val="16"/>
              </w:rPr>
              <w:t>Corrections to ATSSS capabilities of a MA PDU Session</w:t>
            </w:r>
          </w:p>
        </w:tc>
        <w:tc>
          <w:tcPr>
            <w:tcW w:w="708" w:type="dxa"/>
            <w:shd w:val="solid" w:color="FFFFFF" w:fill="auto"/>
          </w:tcPr>
          <w:p w14:paraId="5D3B7FCF" w14:textId="77777777" w:rsidR="00D40151" w:rsidRPr="00873B6C" w:rsidRDefault="00D40151" w:rsidP="009D14FB">
            <w:pPr>
              <w:pStyle w:val="TAC"/>
              <w:rPr>
                <w:sz w:val="16"/>
                <w:szCs w:val="16"/>
              </w:rPr>
            </w:pPr>
            <w:r w:rsidRPr="00873B6C">
              <w:rPr>
                <w:sz w:val="16"/>
                <w:szCs w:val="16"/>
              </w:rPr>
              <w:t>16.3.0</w:t>
            </w:r>
          </w:p>
        </w:tc>
      </w:tr>
      <w:tr w:rsidR="00D40151" w:rsidRPr="00873B6C" w14:paraId="01378B5E" w14:textId="77777777" w:rsidTr="009D14FB">
        <w:tc>
          <w:tcPr>
            <w:tcW w:w="800" w:type="dxa"/>
            <w:shd w:val="solid" w:color="FFFFFF" w:fill="auto"/>
          </w:tcPr>
          <w:p w14:paraId="61666AB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118C52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E5108E5"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25CEFFDA" w14:textId="77777777" w:rsidR="00D40151" w:rsidRPr="00873B6C" w:rsidRDefault="00D40151" w:rsidP="009D14FB">
            <w:pPr>
              <w:pStyle w:val="TAL"/>
              <w:rPr>
                <w:sz w:val="16"/>
                <w:szCs w:val="16"/>
              </w:rPr>
            </w:pPr>
            <w:r w:rsidRPr="00873B6C">
              <w:rPr>
                <w:sz w:val="16"/>
                <w:szCs w:val="16"/>
              </w:rPr>
              <w:t>1924</w:t>
            </w:r>
          </w:p>
        </w:tc>
        <w:tc>
          <w:tcPr>
            <w:tcW w:w="425" w:type="dxa"/>
            <w:shd w:val="solid" w:color="FFFFFF" w:fill="auto"/>
          </w:tcPr>
          <w:p w14:paraId="113A0CB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B05822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D5EA6DA" w14:textId="77777777" w:rsidR="00D40151" w:rsidRPr="00873B6C" w:rsidRDefault="00D40151" w:rsidP="009D14FB">
            <w:pPr>
              <w:pStyle w:val="TAL"/>
              <w:rPr>
                <w:sz w:val="16"/>
                <w:szCs w:val="16"/>
              </w:rPr>
            </w:pPr>
            <w:r w:rsidRPr="00873B6C">
              <w:rPr>
                <w:sz w:val="16"/>
                <w:szCs w:val="16"/>
              </w:rPr>
              <w:t>Applicability of UP Security Policy to a MA PDU Session</w:t>
            </w:r>
          </w:p>
        </w:tc>
        <w:tc>
          <w:tcPr>
            <w:tcW w:w="708" w:type="dxa"/>
            <w:shd w:val="solid" w:color="FFFFFF" w:fill="auto"/>
          </w:tcPr>
          <w:p w14:paraId="5333B1C4" w14:textId="77777777" w:rsidR="00D40151" w:rsidRPr="00873B6C" w:rsidRDefault="00D40151" w:rsidP="009D14FB">
            <w:pPr>
              <w:pStyle w:val="TAC"/>
              <w:rPr>
                <w:sz w:val="16"/>
                <w:szCs w:val="16"/>
              </w:rPr>
            </w:pPr>
            <w:r w:rsidRPr="00873B6C">
              <w:rPr>
                <w:sz w:val="16"/>
                <w:szCs w:val="16"/>
              </w:rPr>
              <w:t>16.3.0</w:t>
            </w:r>
          </w:p>
        </w:tc>
      </w:tr>
      <w:tr w:rsidR="00D40151" w:rsidRPr="00873B6C" w14:paraId="7CE6DD6E" w14:textId="77777777" w:rsidTr="009D14FB">
        <w:tc>
          <w:tcPr>
            <w:tcW w:w="800" w:type="dxa"/>
            <w:shd w:val="solid" w:color="FFFFFF" w:fill="auto"/>
          </w:tcPr>
          <w:p w14:paraId="4AEA3C7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71F48C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636BBAD"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1CCAB218" w14:textId="77777777" w:rsidR="00D40151" w:rsidRPr="00873B6C" w:rsidRDefault="00D40151" w:rsidP="009D14FB">
            <w:pPr>
              <w:pStyle w:val="TAL"/>
              <w:rPr>
                <w:sz w:val="16"/>
                <w:szCs w:val="16"/>
              </w:rPr>
            </w:pPr>
            <w:r w:rsidRPr="00873B6C">
              <w:rPr>
                <w:sz w:val="16"/>
                <w:szCs w:val="16"/>
              </w:rPr>
              <w:t>1929</w:t>
            </w:r>
          </w:p>
        </w:tc>
        <w:tc>
          <w:tcPr>
            <w:tcW w:w="425" w:type="dxa"/>
            <w:shd w:val="solid" w:color="FFFFFF" w:fill="auto"/>
          </w:tcPr>
          <w:p w14:paraId="271EF8D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A3C49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D53E4F" w14:textId="77777777" w:rsidR="00D40151" w:rsidRPr="00873B6C" w:rsidRDefault="00D40151" w:rsidP="009D14FB">
            <w:pPr>
              <w:pStyle w:val="TAL"/>
              <w:rPr>
                <w:sz w:val="16"/>
                <w:szCs w:val="16"/>
              </w:rPr>
            </w:pPr>
            <w:r w:rsidRPr="00873B6C">
              <w:rPr>
                <w:sz w:val="16"/>
                <w:szCs w:val="16"/>
              </w:rPr>
              <w:t>(I)SMF notifications: which SMF events need to be supported by ISMF</w:t>
            </w:r>
          </w:p>
        </w:tc>
        <w:tc>
          <w:tcPr>
            <w:tcW w:w="708" w:type="dxa"/>
            <w:shd w:val="solid" w:color="FFFFFF" w:fill="auto"/>
          </w:tcPr>
          <w:p w14:paraId="00C411AD" w14:textId="77777777" w:rsidR="00D40151" w:rsidRPr="00873B6C" w:rsidRDefault="00D40151" w:rsidP="009D14FB">
            <w:pPr>
              <w:pStyle w:val="TAC"/>
              <w:rPr>
                <w:sz w:val="16"/>
                <w:szCs w:val="16"/>
              </w:rPr>
            </w:pPr>
            <w:r w:rsidRPr="00873B6C">
              <w:rPr>
                <w:sz w:val="16"/>
                <w:szCs w:val="16"/>
              </w:rPr>
              <w:t>16.3.0</w:t>
            </w:r>
          </w:p>
        </w:tc>
      </w:tr>
      <w:tr w:rsidR="00D40151" w:rsidRPr="00873B6C" w14:paraId="174222DF" w14:textId="77777777" w:rsidTr="009D14FB">
        <w:tc>
          <w:tcPr>
            <w:tcW w:w="800" w:type="dxa"/>
            <w:shd w:val="solid" w:color="FFFFFF" w:fill="auto"/>
          </w:tcPr>
          <w:p w14:paraId="3FC9BF0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9B2042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D55FDC4"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6F551D8" w14:textId="77777777" w:rsidR="00D40151" w:rsidRPr="00873B6C" w:rsidRDefault="00D40151" w:rsidP="009D14FB">
            <w:pPr>
              <w:pStyle w:val="TAL"/>
              <w:rPr>
                <w:sz w:val="16"/>
                <w:szCs w:val="16"/>
              </w:rPr>
            </w:pPr>
            <w:r w:rsidRPr="00873B6C">
              <w:rPr>
                <w:sz w:val="16"/>
                <w:szCs w:val="16"/>
              </w:rPr>
              <w:t>1932</w:t>
            </w:r>
          </w:p>
        </w:tc>
        <w:tc>
          <w:tcPr>
            <w:tcW w:w="425" w:type="dxa"/>
            <w:shd w:val="solid" w:color="FFFFFF" w:fill="auto"/>
          </w:tcPr>
          <w:p w14:paraId="6C51BF3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7222CA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16C913" w14:textId="77777777" w:rsidR="00D40151" w:rsidRPr="00873B6C" w:rsidRDefault="00D40151" w:rsidP="009D14FB">
            <w:pPr>
              <w:pStyle w:val="TAL"/>
              <w:rPr>
                <w:sz w:val="16"/>
                <w:szCs w:val="16"/>
              </w:rPr>
            </w:pPr>
            <w:r w:rsidRPr="00873B6C">
              <w:rPr>
                <w:sz w:val="16"/>
                <w:szCs w:val="16"/>
              </w:rPr>
              <w:t>Clarification on the PDU session management for VN</w:t>
            </w:r>
          </w:p>
        </w:tc>
        <w:tc>
          <w:tcPr>
            <w:tcW w:w="708" w:type="dxa"/>
            <w:shd w:val="solid" w:color="FFFFFF" w:fill="auto"/>
          </w:tcPr>
          <w:p w14:paraId="262C944D" w14:textId="77777777" w:rsidR="00D40151" w:rsidRPr="00873B6C" w:rsidRDefault="00D40151" w:rsidP="009D14FB">
            <w:pPr>
              <w:pStyle w:val="TAC"/>
              <w:rPr>
                <w:sz w:val="16"/>
                <w:szCs w:val="16"/>
              </w:rPr>
            </w:pPr>
            <w:r w:rsidRPr="00873B6C">
              <w:rPr>
                <w:sz w:val="16"/>
                <w:szCs w:val="16"/>
              </w:rPr>
              <w:t>16.3.0</w:t>
            </w:r>
          </w:p>
        </w:tc>
      </w:tr>
      <w:tr w:rsidR="00D40151" w:rsidRPr="00873B6C" w14:paraId="74548DDC" w14:textId="77777777" w:rsidTr="009D14FB">
        <w:tc>
          <w:tcPr>
            <w:tcW w:w="800" w:type="dxa"/>
            <w:shd w:val="solid" w:color="FFFFFF" w:fill="auto"/>
          </w:tcPr>
          <w:p w14:paraId="5F4070C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633126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055D548"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67E3F928" w14:textId="77777777" w:rsidR="00D40151" w:rsidRPr="00873B6C" w:rsidRDefault="00D40151" w:rsidP="009D14FB">
            <w:pPr>
              <w:pStyle w:val="TAL"/>
              <w:rPr>
                <w:sz w:val="16"/>
                <w:szCs w:val="16"/>
              </w:rPr>
            </w:pPr>
            <w:r w:rsidRPr="00873B6C">
              <w:rPr>
                <w:sz w:val="16"/>
                <w:szCs w:val="16"/>
              </w:rPr>
              <w:t>1934</w:t>
            </w:r>
          </w:p>
        </w:tc>
        <w:tc>
          <w:tcPr>
            <w:tcW w:w="425" w:type="dxa"/>
            <w:shd w:val="solid" w:color="FFFFFF" w:fill="auto"/>
          </w:tcPr>
          <w:p w14:paraId="2FDA50BE"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655861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9C0C8C" w14:textId="77777777" w:rsidR="00D40151" w:rsidRPr="00873B6C" w:rsidRDefault="00D40151" w:rsidP="009D14FB">
            <w:pPr>
              <w:pStyle w:val="TAL"/>
              <w:rPr>
                <w:sz w:val="16"/>
                <w:szCs w:val="16"/>
              </w:rPr>
            </w:pPr>
            <w:r w:rsidRPr="00873B6C">
              <w:rPr>
                <w:sz w:val="16"/>
                <w:szCs w:val="16"/>
              </w:rPr>
              <w:t>Correction on SMSF change</w:t>
            </w:r>
          </w:p>
        </w:tc>
        <w:tc>
          <w:tcPr>
            <w:tcW w:w="708" w:type="dxa"/>
            <w:shd w:val="solid" w:color="FFFFFF" w:fill="auto"/>
          </w:tcPr>
          <w:p w14:paraId="1F9A0F95" w14:textId="77777777" w:rsidR="00D40151" w:rsidRPr="00873B6C" w:rsidRDefault="00D40151" w:rsidP="009D14FB">
            <w:pPr>
              <w:pStyle w:val="TAC"/>
              <w:rPr>
                <w:sz w:val="16"/>
                <w:szCs w:val="16"/>
              </w:rPr>
            </w:pPr>
            <w:r w:rsidRPr="00873B6C">
              <w:rPr>
                <w:sz w:val="16"/>
                <w:szCs w:val="16"/>
              </w:rPr>
              <w:t>16.3.0</w:t>
            </w:r>
          </w:p>
        </w:tc>
      </w:tr>
      <w:tr w:rsidR="00D40151" w:rsidRPr="00873B6C" w14:paraId="25E2CD7D" w14:textId="77777777" w:rsidTr="009D14FB">
        <w:tc>
          <w:tcPr>
            <w:tcW w:w="800" w:type="dxa"/>
            <w:shd w:val="solid" w:color="FFFFFF" w:fill="auto"/>
          </w:tcPr>
          <w:p w14:paraId="6AD31CB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0028D8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CFD1CAF"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554243D5" w14:textId="77777777" w:rsidR="00D40151" w:rsidRPr="00873B6C" w:rsidRDefault="00D40151" w:rsidP="009D14FB">
            <w:pPr>
              <w:pStyle w:val="TAL"/>
              <w:rPr>
                <w:sz w:val="16"/>
                <w:szCs w:val="16"/>
              </w:rPr>
            </w:pPr>
            <w:r w:rsidRPr="00873B6C">
              <w:rPr>
                <w:sz w:val="16"/>
                <w:szCs w:val="16"/>
              </w:rPr>
              <w:t>1935</w:t>
            </w:r>
          </w:p>
        </w:tc>
        <w:tc>
          <w:tcPr>
            <w:tcW w:w="425" w:type="dxa"/>
            <w:shd w:val="solid" w:color="FFFFFF" w:fill="auto"/>
          </w:tcPr>
          <w:p w14:paraId="6A312F8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BFA00A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F7C4A2" w14:textId="77777777" w:rsidR="00D40151" w:rsidRPr="00873B6C" w:rsidRDefault="00D40151" w:rsidP="009D14FB">
            <w:pPr>
              <w:pStyle w:val="TAL"/>
              <w:rPr>
                <w:sz w:val="16"/>
                <w:szCs w:val="16"/>
              </w:rPr>
            </w:pPr>
            <w:r w:rsidRPr="00873B6C">
              <w:rPr>
                <w:sz w:val="16"/>
                <w:szCs w:val="16"/>
              </w:rPr>
              <w:t>Correction on UE context handling during inter system mobility</w:t>
            </w:r>
          </w:p>
        </w:tc>
        <w:tc>
          <w:tcPr>
            <w:tcW w:w="708" w:type="dxa"/>
            <w:shd w:val="solid" w:color="FFFFFF" w:fill="auto"/>
          </w:tcPr>
          <w:p w14:paraId="7C3F5D14" w14:textId="77777777" w:rsidR="00D40151" w:rsidRPr="00873B6C" w:rsidRDefault="00D40151" w:rsidP="009D14FB">
            <w:pPr>
              <w:pStyle w:val="TAC"/>
              <w:rPr>
                <w:sz w:val="16"/>
                <w:szCs w:val="16"/>
              </w:rPr>
            </w:pPr>
            <w:r w:rsidRPr="00873B6C">
              <w:rPr>
                <w:sz w:val="16"/>
                <w:szCs w:val="16"/>
              </w:rPr>
              <w:t>16.3.0</w:t>
            </w:r>
          </w:p>
        </w:tc>
      </w:tr>
      <w:tr w:rsidR="00D40151" w:rsidRPr="00873B6C" w14:paraId="1749C6B9" w14:textId="77777777" w:rsidTr="009D14FB">
        <w:tc>
          <w:tcPr>
            <w:tcW w:w="800" w:type="dxa"/>
            <w:shd w:val="solid" w:color="FFFFFF" w:fill="auto"/>
          </w:tcPr>
          <w:p w14:paraId="08F20CC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8E0018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4A6B74F"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1AD33ECC" w14:textId="77777777" w:rsidR="00D40151" w:rsidRPr="00873B6C" w:rsidRDefault="00D40151" w:rsidP="009D14FB">
            <w:pPr>
              <w:pStyle w:val="TAL"/>
              <w:rPr>
                <w:sz w:val="16"/>
                <w:szCs w:val="16"/>
              </w:rPr>
            </w:pPr>
            <w:r w:rsidRPr="00873B6C">
              <w:rPr>
                <w:sz w:val="16"/>
                <w:szCs w:val="16"/>
              </w:rPr>
              <w:t>1936</w:t>
            </w:r>
          </w:p>
        </w:tc>
        <w:tc>
          <w:tcPr>
            <w:tcW w:w="425" w:type="dxa"/>
            <w:shd w:val="solid" w:color="FFFFFF" w:fill="auto"/>
          </w:tcPr>
          <w:p w14:paraId="351CDD9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F6CEC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AB6969" w14:textId="77777777" w:rsidR="00D40151" w:rsidRPr="00873B6C" w:rsidRDefault="00D40151" w:rsidP="009D14FB">
            <w:pPr>
              <w:pStyle w:val="TAL"/>
              <w:rPr>
                <w:sz w:val="16"/>
                <w:szCs w:val="16"/>
              </w:rPr>
            </w:pPr>
            <w:r w:rsidRPr="00873B6C">
              <w:rPr>
                <w:sz w:val="16"/>
                <w:szCs w:val="16"/>
              </w:rPr>
              <w:t>Inclusion of Version Identifier in PLMN assigned ID</w:t>
            </w:r>
          </w:p>
        </w:tc>
        <w:tc>
          <w:tcPr>
            <w:tcW w:w="708" w:type="dxa"/>
            <w:shd w:val="solid" w:color="FFFFFF" w:fill="auto"/>
          </w:tcPr>
          <w:p w14:paraId="4AF79632" w14:textId="77777777" w:rsidR="00D40151" w:rsidRPr="00873B6C" w:rsidRDefault="00D40151" w:rsidP="009D14FB">
            <w:pPr>
              <w:pStyle w:val="TAC"/>
              <w:rPr>
                <w:sz w:val="16"/>
                <w:szCs w:val="16"/>
              </w:rPr>
            </w:pPr>
            <w:r w:rsidRPr="00873B6C">
              <w:rPr>
                <w:sz w:val="16"/>
                <w:szCs w:val="16"/>
              </w:rPr>
              <w:t>16.3.0</w:t>
            </w:r>
          </w:p>
        </w:tc>
      </w:tr>
      <w:tr w:rsidR="00D40151" w:rsidRPr="00873B6C" w14:paraId="14CC143C" w14:textId="77777777" w:rsidTr="009D14FB">
        <w:tc>
          <w:tcPr>
            <w:tcW w:w="800" w:type="dxa"/>
            <w:shd w:val="solid" w:color="FFFFFF" w:fill="auto"/>
          </w:tcPr>
          <w:p w14:paraId="04595BE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326BB2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FE79187"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61C6BC56" w14:textId="77777777" w:rsidR="00D40151" w:rsidRPr="00873B6C" w:rsidRDefault="00D40151" w:rsidP="009D14FB">
            <w:pPr>
              <w:pStyle w:val="TAL"/>
              <w:rPr>
                <w:sz w:val="16"/>
                <w:szCs w:val="16"/>
              </w:rPr>
            </w:pPr>
            <w:r w:rsidRPr="00873B6C">
              <w:rPr>
                <w:sz w:val="16"/>
                <w:szCs w:val="16"/>
              </w:rPr>
              <w:t>1937</w:t>
            </w:r>
          </w:p>
        </w:tc>
        <w:tc>
          <w:tcPr>
            <w:tcW w:w="425" w:type="dxa"/>
            <w:shd w:val="solid" w:color="FFFFFF" w:fill="auto"/>
          </w:tcPr>
          <w:p w14:paraId="2034165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94A056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BE6602" w14:textId="77777777" w:rsidR="00D40151" w:rsidRPr="00873B6C" w:rsidRDefault="00D40151" w:rsidP="009D14FB">
            <w:pPr>
              <w:pStyle w:val="TAL"/>
              <w:rPr>
                <w:sz w:val="16"/>
                <w:szCs w:val="16"/>
              </w:rPr>
            </w:pPr>
            <w:r w:rsidRPr="00873B6C">
              <w:rPr>
                <w:sz w:val="16"/>
                <w:szCs w:val="16"/>
              </w:rPr>
              <w:t>Corrections for link-specific multipath address/prefix and MPTCP proxy IP address</w:t>
            </w:r>
          </w:p>
        </w:tc>
        <w:tc>
          <w:tcPr>
            <w:tcW w:w="708" w:type="dxa"/>
            <w:shd w:val="solid" w:color="FFFFFF" w:fill="auto"/>
          </w:tcPr>
          <w:p w14:paraId="5E5C44E6" w14:textId="77777777" w:rsidR="00D40151" w:rsidRPr="00873B6C" w:rsidRDefault="00D40151" w:rsidP="009D14FB">
            <w:pPr>
              <w:pStyle w:val="TAC"/>
              <w:rPr>
                <w:sz w:val="16"/>
                <w:szCs w:val="16"/>
              </w:rPr>
            </w:pPr>
            <w:r w:rsidRPr="00873B6C">
              <w:rPr>
                <w:sz w:val="16"/>
                <w:szCs w:val="16"/>
              </w:rPr>
              <w:t>16.3.0</w:t>
            </w:r>
          </w:p>
        </w:tc>
      </w:tr>
      <w:tr w:rsidR="00D40151" w:rsidRPr="00873B6C" w14:paraId="741FB538" w14:textId="77777777" w:rsidTr="009D14FB">
        <w:tc>
          <w:tcPr>
            <w:tcW w:w="800" w:type="dxa"/>
            <w:shd w:val="solid" w:color="FFFFFF" w:fill="auto"/>
          </w:tcPr>
          <w:p w14:paraId="7430EBC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3D1408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DA546CB"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2899CC17" w14:textId="77777777" w:rsidR="00D40151" w:rsidRPr="00873B6C" w:rsidRDefault="00D40151" w:rsidP="009D14FB">
            <w:pPr>
              <w:pStyle w:val="TAL"/>
              <w:rPr>
                <w:sz w:val="16"/>
                <w:szCs w:val="16"/>
              </w:rPr>
            </w:pPr>
            <w:r w:rsidRPr="00873B6C">
              <w:rPr>
                <w:sz w:val="16"/>
                <w:szCs w:val="16"/>
              </w:rPr>
              <w:t>1940</w:t>
            </w:r>
          </w:p>
        </w:tc>
        <w:tc>
          <w:tcPr>
            <w:tcW w:w="425" w:type="dxa"/>
            <w:shd w:val="solid" w:color="FFFFFF" w:fill="auto"/>
          </w:tcPr>
          <w:p w14:paraId="2F3748E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6F38D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975FD5" w14:textId="77777777" w:rsidR="00D40151" w:rsidRPr="00873B6C" w:rsidRDefault="00D40151" w:rsidP="009D14FB">
            <w:pPr>
              <w:pStyle w:val="TAL"/>
              <w:rPr>
                <w:sz w:val="16"/>
                <w:szCs w:val="16"/>
              </w:rPr>
            </w:pPr>
            <w:r w:rsidRPr="00873B6C">
              <w:rPr>
                <w:sz w:val="16"/>
                <w:szCs w:val="16"/>
              </w:rPr>
              <w:t>Selecting SMF that support static IP address</w:t>
            </w:r>
          </w:p>
        </w:tc>
        <w:tc>
          <w:tcPr>
            <w:tcW w:w="708" w:type="dxa"/>
            <w:shd w:val="solid" w:color="FFFFFF" w:fill="auto"/>
          </w:tcPr>
          <w:p w14:paraId="62445FE5" w14:textId="77777777" w:rsidR="00D40151" w:rsidRPr="00873B6C" w:rsidRDefault="00D40151" w:rsidP="009D14FB">
            <w:pPr>
              <w:pStyle w:val="TAC"/>
              <w:rPr>
                <w:sz w:val="16"/>
                <w:szCs w:val="16"/>
              </w:rPr>
            </w:pPr>
            <w:r w:rsidRPr="00873B6C">
              <w:rPr>
                <w:sz w:val="16"/>
                <w:szCs w:val="16"/>
              </w:rPr>
              <w:t>16.3.0</w:t>
            </w:r>
          </w:p>
        </w:tc>
      </w:tr>
      <w:tr w:rsidR="00D40151" w:rsidRPr="00873B6C" w14:paraId="7CE3D638" w14:textId="77777777" w:rsidTr="009D14FB">
        <w:tc>
          <w:tcPr>
            <w:tcW w:w="800" w:type="dxa"/>
            <w:shd w:val="solid" w:color="FFFFFF" w:fill="auto"/>
          </w:tcPr>
          <w:p w14:paraId="7F782E2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08FCEC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7FDB509"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0B17124F" w14:textId="77777777" w:rsidR="00D40151" w:rsidRPr="00873B6C" w:rsidRDefault="00D40151" w:rsidP="009D14FB">
            <w:pPr>
              <w:pStyle w:val="TAL"/>
              <w:rPr>
                <w:sz w:val="16"/>
                <w:szCs w:val="16"/>
              </w:rPr>
            </w:pPr>
            <w:r w:rsidRPr="00873B6C">
              <w:rPr>
                <w:sz w:val="16"/>
                <w:szCs w:val="16"/>
              </w:rPr>
              <w:t>1941</w:t>
            </w:r>
          </w:p>
        </w:tc>
        <w:tc>
          <w:tcPr>
            <w:tcW w:w="425" w:type="dxa"/>
            <w:shd w:val="solid" w:color="FFFFFF" w:fill="auto"/>
          </w:tcPr>
          <w:p w14:paraId="0F2613B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2CF94C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8C21DD" w14:textId="77777777" w:rsidR="00D40151" w:rsidRPr="00873B6C" w:rsidRDefault="00D40151" w:rsidP="009D14FB">
            <w:pPr>
              <w:pStyle w:val="TAL"/>
              <w:rPr>
                <w:sz w:val="16"/>
                <w:szCs w:val="16"/>
              </w:rPr>
            </w:pPr>
            <w:r w:rsidRPr="00873B6C">
              <w:rPr>
                <w:sz w:val="16"/>
                <w:szCs w:val="16"/>
              </w:rPr>
              <w:t>Number of EBIs</w:t>
            </w:r>
          </w:p>
        </w:tc>
        <w:tc>
          <w:tcPr>
            <w:tcW w:w="708" w:type="dxa"/>
            <w:shd w:val="solid" w:color="FFFFFF" w:fill="auto"/>
          </w:tcPr>
          <w:p w14:paraId="0AFBE744" w14:textId="77777777" w:rsidR="00D40151" w:rsidRPr="00873B6C" w:rsidRDefault="00D40151" w:rsidP="009D14FB">
            <w:pPr>
              <w:pStyle w:val="TAC"/>
              <w:rPr>
                <w:sz w:val="16"/>
                <w:szCs w:val="16"/>
              </w:rPr>
            </w:pPr>
            <w:r w:rsidRPr="00873B6C">
              <w:rPr>
                <w:sz w:val="16"/>
                <w:szCs w:val="16"/>
              </w:rPr>
              <w:t>16.3.0</w:t>
            </w:r>
          </w:p>
        </w:tc>
      </w:tr>
      <w:tr w:rsidR="00D40151" w:rsidRPr="00873B6C" w14:paraId="1E92A292" w14:textId="77777777" w:rsidTr="009D14FB">
        <w:tc>
          <w:tcPr>
            <w:tcW w:w="800" w:type="dxa"/>
            <w:shd w:val="solid" w:color="FFFFFF" w:fill="auto"/>
          </w:tcPr>
          <w:p w14:paraId="4B9E1D3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BD40FB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16BAA8F"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7A7B09EF" w14:textId="77777777" w:rsidR="00D40151" w:rsidRPr="00873B6C" w:rsidRDefault="00D40151" w:rsidP="009D14FB">
            <w:pPr>
              <w:pStyle w:val="TAL"/>
              <w:rPr>
                <w:sz w:val="16"/>
                <w:szCs w:val="16"/>
              </w:rPr>
            </w:pPr>
            <w:r w:rsidRPr="00873B6C">
              <w:rPr>
                <w:sz w:val="16"/>
                <w:szCs w:val="16"/>
              </w:rPr>
              <w:t>1942</w:t>
            </w:r>
          </w:p>
        </w:tc>
        <w:tc>
          <w:tcPr>
            <w:tcW w:w="425" w:type="dxa"/>
            <w:shd w:val="solid" w:color="FFFFFF" w:fill="auto"/>
          </w:tcPr>
          <w:p w14:paraId="5D391BC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2EC32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50DCF3" w14:textId="77777777" w:rsidR="00D40151" w:rsidRPr="00873B6C" w:rsidRDefault="00D40151" w:rsidP="009D14FB">
            <w:pPr>
              <w:pStyle w:val="TAL"/>
              <w:rPr>
                <w:sz w:val="16"/>
                <w:szCs w:val="16"/>
              </w:rPr>
            </w:pPr>
            <w:r w:rsidRPr="00873B6C">
              <w:rPr>
                <w:sz w:val="16"/>
                <w:szCs w:val="16"/>
              </w:rPr>
              <w:t>Notification URI</w:t>
            </w:r>
          </w:p>
        </w:tc>
        <w:tc>
          <w:tcPr>
            <w:tcW w:w="708" w:type="dxa"/>
            <w:shd w:val="solid" w:color="FFFFFF" w:fill="auto"/>
          </w:tcPr>
          <w:p w14:paraId="3B394180" w14:textId="77777777" w:rsidR="00D40151" w:rsidRPr="00873B6C" w:rsidRDefault="00D40151" w:rsidP="009D14FB">
            <w:pPr>
              <w:pStyle w:val="TAC"/>
              <w:rPr>
                <w:sz w:val="16"/>
                <w:szCs w:val="16"/>
              </w:rPr>
            </w:pPr>
            <w:r w:rsidRPr="00873B6C">
              <w:rPr>
                <w:sz w:val="16"/>
                <w:szCs w:val="16"/>
              </w:rPr>
              <w:t>16.3.0</w:t>
            </w:r>
          </w:p>
        </w:tc>
      </w:tr>
      <w:tr w:rsidR="00D40151" w:rsidRPr="00873B6C" w14:paraId="7A1D2A90" w14:textId="77777777" w:rsidTr="009D14FB">
        <w:tc>
          <w:tcPr>
            <w:tcW w:w="800" w:type="dxa"/>
            <w:shd w:val="solid" w:color="FFFFFF" w:fill="auto"/>
          </w:tcPr>
          <w:p w14:paraId="7A73710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9C54B3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0E3D6CC"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1FB42B13" w14:textId="77777777" w:rsidR="00D40151" w:rsidRPr="00873B6C" w:rsidRDefault="00D40151" w:rsidP="009D14FB">
            <w:pPr>
              <w:pStyle w:val="TAL"/>
              <w:rPr>
                <w:sz w:val="16"/>
                <w:szCs w:val="16"/>
              </w:rPr>
            </w:pPr>
            <w:r w:rsidRPr="00873B6C">
              <w:rPr>
                <w:sz w:val="16"/>
                <w:szCs w:val="16"/>
              </w:rPr>
              <w:t>1943</w:t>
            </w:r>
          </w:p>
        </w:tc>
        <w:tc>
          <w:tcPr>
            <w:tcW w:w="425" w:type="dxa"/>
            <w:shd w:val="solid" w:color="FFFFFF" w:fill="auto"/>
          </w:tcPr>
          <w:p w14:paraId="5DE53F0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EAF180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399863" w14:textId="77777777" w:rsidR="00D40151" w:rsidRPr="00873B6C" w:rsidRDefault="00D40151" w:rsidP="009D14FB">
            <w:pPr>
              <w:pStyle w:val="TAL"/>
              <w:rPr>
                <w:sz w:val="16"/>
                <w:szCs w:val="16"/>
              </w:rPr>
            </w:pPr>
            <w:r w:rsidRPr="00873B6C">
              <w:rPr>
                <w:sz w:val="16"/>
                <w:szCs w:val="16"/>
              </w:rPr>
              <w:t>I-SMF handling of N4 Information</w:t>
            </w:r>
          </w:p>
        </w:tc>
        <w:tc>
          <w:tcPr>
            <w:tcW w:w="708" w:type="dxa"/>
            <w:shd w:val="solid" w:color="FFFFFF" w:fill="auto"/>
          </w:tcPr>
          <w:p w14:paraId="6297F19E" w14:textId="77777777" w:rsidR="00D40151" w:rsidRPr="00873B6C" w:rsidRDefault="00D40151" w:rsidP="009D14FB">
            <w:pPr>
              <w:pStyle w:val="TAC"/>
              <w:rPr>
                <w:sz w:val="16"/>
                <w:szCs w:val="16"/>
              </w:rPr>
            </w:pPr>
            <w:r w:rsidRPr="00873B6C">
              <w:rPr>
                <w:sz w:val="16"/>
                <w:szCs w:val="16"/>
              </w:rPr>
              <w:t>16.3.0</w:t>
            </w:r>
          </w:p>
        </w:tc>
      </w:tr>
      <w:tr w:rsidR="00D40151" w:rsidRPr="00873B6C" w14:paraId="71907421" w14:textId="77777777" w:rsidTr="009D14FB">
        <w:tc>
          <w:tcPr>
            <w:tcW w:w="800" w:type="dxa"/>
            <w:shd w:val="solid" w:color="FFFFFF" w:fill="auto"/>
          </w:tcPr>
          <w:p w14:paraId="4BF6D34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714BD2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1AAA537"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1A911376" w14:textId="77777777" w:rsidR="00D40151" w:rsidRPr="00873B6C" w:rsidRDefault="00D40151" w:rsidP="009D14FB">
            <w:pPr>
              <w:pStyle w:val="TAL"/>
              <w:rPr>
                <w:sz w:val="16"/>
                <w:szCs w:val="16"/>
              </w:rPr>
            </w:pPr>
            <w:r w:rsidRPr="00873B6C">
              <w:rPr>
                <w:sz w:val="16"/>
                <w:szCs w:val="16"/>
              </w:rPr>
              <w:t>1945</w:t>
            </w:r>
          </w:p>
        </w:tc>
        <w:tc>
          <w:tcPr>
            <w:tcW w:w="425" w:type="dxa"/>
            <w:shd w:val="solid" w:color="FFFFFF" w:fill="auto"/>
          </w:tcPr>
          <w:p w14:paraId="4AA45F9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EF4403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50F47F" w14:textId="77777777" w:rsidR="00D40151" w:rsidRPr="00873B6C" w:rsidRDefault="00D40151" w:rsidP="009D14FB">
            <w:pPr>
              <w:pStyle w:val="TAL"/>
              <w:rPr>
                <w:sz w:val="16"/>
                <w:szCs w:val="16"/>
              </w:rPr>
            </w:pPr>
            <w:r w:rsidRPr="00873B6C">
              <w:rPr>
                <w:sz w:val="16"/>
                <w:szCs w:val="16"/>
              </w:rPr>
              <w:t>Correction of implementation of CR #1321</w:t>
            </w:r>
          </w:p>
        </w:tc>
        <w:tc>
          <w:tcPr>
            <w:tcW w:w="708" w:type="dxa"/>
            <w:shd w:val="solid" w:color="FFFFFF" w:fill="auto"/>
          </w:tcPr>
          <w:p w14:paraId="0BC0768B" w14:textId="77777777" w:rsidR="00D40151" w:rsidRPr="00873B6C" w:rsidRDefault="00D40151" w:rsidP="009D14FB">
            <w:pPr>
              <w:pStyle w:val="TAC"/>
              <w:rPr>
                <w:sz w:val="16"/>
                <w:szCs w:val="16"/>
              </w:rPr>
            </w:pPr>
            <w:r w:rsidRPr="00873B6C">
              <w:rPr>
                <w:sz w:val="16"/>
                <w:szCs w:val="16"/>
              </w:rPr>
              <w:t>16.3.0</w:t>
            </w:r>
          </w:p>
        </w:tc>
      </w:tr>
      <w:tr w:rsidR="00D40151" w:rsidRPr="00873B6C" w14:paraId="00C11FDA" w14:textId="77777777" w:rsidTr="009D14FB">
        <w:tc>
          <w:tcPr>
            <w:tcW w:w="800" w:type="dxa"/>
            <w:shd w:val="solid" w:color="FFFFFF" w:fill="auto"/>
          </w:tcPr>
          <w:p w14:paraId="4DC41AB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7409FC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53ED7A9"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56E428C3" w14:textId="77777777" w:rsidR="00D40151" w:rsidRPr="00873B6C" w:rsidRDefault="00D40151" w:rsidP="009D14FB">
            <w:pPr>
              <w:pStyle w:val="TAL"/>
              <w:rPr>
                <w:sz w:val="16"/>
                <w:szCs w:val="16"/>
              </w:rPr>
            </w:pPr>
            <w:r w:rsidRPr="00873B6C">
              <w:rPr>
                <w:sz w:val="16"/>
                <w:szCs w:val="16"/>
              </w:rPr>
              <w:t>1949</w:t>
            </w:r>
          </w:p>
        </w:tc>
        <w:tc>
          <w:tcPr>
            <w:tcW w:w="425" w:type="dxa"/>
            <w:shd w:val="solid" w:color="FFFFFF" w:fill="auto"/>
          </w:tcPr>
          <w:p w14:paraId="09FCADCA"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3DA3D5E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51EF9C" w14:textId="77777777" w:rsidR="00D40151" w:rsidRPr="00873B6C" w:rsidRDefault="00D40151" w:rsidP="009D14FB">
            <w:pPr>
              <w:pStyle w:val="TAL"/>
              <w:rPr>
                <w:sz w:val="16"/>
                <w:szCs w:val="16"/>
              </w:rPr>
            </w:pPr>
            <w:r w:rsidRPr="00873B6C">
              <w:rPr>
                <w:sz w:val="16"/>
                <w:szCs w:val="16"/>
              </w:rPr>
              <w:t>Clarification on the PCF selection</w:t>
            </w:r>
          </w:p>
        </w:tc>
        <w:tc>
          <w:tcPr>
            <w:tcW w:w="708" w:type="dxa"/>
            <w:shd w:val="solid" w:color="FFFFFF" w:fill="auto"/>
          </w:tcPr>
          <w:p w14:paraId="4F6214B4" w14:textId="77777777" w:rsidR="00D40151" w:rsidRPr="00873B6C" w:rsidRDefault="00D40151" w:rsidP="009D14FB">
            <w:pPr>
              <w:pStyle w:val="TAC"/>
              <w:rPr>
                <w:sz w:val="16"/>
                <w:szCs w:val="16"/>
              </w:rPr>
            </w:pPr>
            <w:r w:rsidRPr="00873B6C">
              <w:rPr>
                <w:sz w:val="16"/>
                <w:szCs w:val="16"/>
              </w:rPr>
              <w:t>16.3.0</w:t>
            </w:r>
          </w:p>
        </w:tc>
      </w:tr>
      <w:tr w:rsidR="00D40151" w:rsidRPr="00873B6C" w14:paraId="2319EA02" w14:textId="77777777" w:rsidTr="009D14FB">
        <w:tc>
          <w:tcPr>
            <w:tcW w:w="800" w:type="dxa"/>
            <w:shd w:val="solid" w:color="FFFFFF" w:fill="auto"/>
          </w:tcPr>
          <w:p w14:paraId="0BEF953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13CEAA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901DA93"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772AFE72" w14:textId="77777777" w:rsidR="00D40151" w:rsidRPr="00873B6C" w:rsidRDefault="00D40151" w:rsidP="009D14FB">
            <w:pPr>
              <w:pStyle w:val="TAL"/>
              <w:rPr>
                <w:sz w:val="16"/>
                <w:szCs w:val="16"/>
              </w:rPr>
            </w:pPr>
            <w:r w:rsidRPr="00873B6C">
              <w:rPr>
                <w:sz w:val="16"/>
                <w:szCs w:val="16"/>
              </w:rPr>
              <w:t>1956</w:t>
            </w:r>
          </w:p>
        </w:tc>
        <w:tc>
          <w:tcPr>
            <w:tcW w:w="425" w:type="dxa"/>
            <w:shd w:val="solid" w:color="FFFFFF" w:fill="auto"/>
          </w:tcPr>
          <w:p w14:paraId="4770629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82E20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612699C2" w14:textId="77777777" w:rsidR="00D40151" w:rsidRPr="00873B6C" w:rsidRDefault="00D40151" w:rsidP="009D14FB">
            <w:pPr>
              <w:pStyle w:val="TAL"/>
              <w:rPr>
                <w:sz w:val="16"/>
                <w:szCs w:val="16"/>
              </w:rPr>
            </w:pPr>
            <w:r w:rsidRPr="00873B6C">
              <w:rPr>
                <w:sz w:val="16"/>
                <w:szCs w:val="16"/>
              </w:rPr>
              <w:t>Removal of wrongly implemented Network Slicing CR #1031 and mirror CR #1131</w:t>
            </w:r>
          </w:p>
        </w:tc>
        <w:tc>
          <w:tcPr>
            <w:tcW w:w="708" w:type="dxa"/>
            <w:shd w:val="solid" w:color="FFFFFF" w:fill="auto"/>
          </w:tcPr>
          <w:p w14:paraId="20E5988C" w14:textId="77777777" w:rsidR="00D40151" w:rsidRPr="00873B6C" w:rsidRDefault="00D40151" w:rsidP="009D14FB">
            <w:pPr>
              <w:pStyle w:val="TAC"/>
              <w:rPr>
                <w:sz w:val="16"/>
                <w:szCs w:val="16"/>
              </w:rPr>
            </w:pPr>
            <w:r w:rsidRPr="00873B6C">
              <w:rPr>
                <w:sz w:val="16"/>
                <w:szCs w:val="16"/>
              </w:rPr>
              <w:t>16.3.0</w:t>
            </w:r>
          </w:p>
        </w:tc>
      </w:tr>
      <w:tr w:rsidR="00D40151" w:rsidRPr="00873B6C" w14:paraId="5F17502A" w14:textId="77777777" w:rsidTr="009D14FB">
        <w:tc>
          <w:tcPr>
            <w:tcW w:w="800" w:type="dxa"/>
            <w:shd w:val="solid" w:color="FFFFFF" w:fill="auto"/>
          </w:tcPr>
          <w:p w14:paraId="34331C9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7DC290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41F4537"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7EAF2DFC" w14:textId="77777777" w:rsidR="00D40151" w:rsidRPr="00873B6C" w:rsidRDefault="00D40151" w:rsidP="009D14FB">
            <w:pPr>
              <w:pStyle w:val="TAL"/>
              <w:rPr>
                <w:sz w:val="16"/>
                <w:szCs w:val="16"/>
              </w:rPr>
            </w:pPr>
            <w:r w:rsidRPr="00873B6C">
              <w:rPr>
                <w:sz w:val="16"/>
                <w:szCs w:val="16"/>
              </w:rPr>
              <w:t>1971</w:t>
            </w:r>
          </w:p>
        </w:tc>
        <w:tc>
          <w:tcPr>
            <w:tcW w:w="425" w:type="dxa"/>
            <w:shd w:val="solid" w:color="FFFFFF" w:fill="auto"/>
          </w:tcPr>
          <w:p w14:paraId="2184290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6272E4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279591" w14:textId="77777777" w:rsidR="00D40151" w:rsidRPr="00873B6C" w:rsidRDefault="00D40151" w:rsidP="009D14FB">
            <w:pPr>
              <w:pStyle w:val="TAL"/>
              <w:rPr>
                <w:sz w:val="16"/>
                <w:szCs w:val="16"/>
              </w:rPr>
            </w:pPr>
            <w:r w:rsidRPr="00873B6C">
              <w:rPr>
                <w:sz w:val="16"/>
                <w:szCs w:val="16"/>
              </w:rPr>
              <w:t>Correction on support of redundant transmission on N3/N9 interfaces</w:t>
            </w:r>
          </w:p>
        </w:tc>
        <w:tc>
          <w:tcPr>
            <w:tcW w:w="708" w:type="dxa"/>
            <w:shd w:val="solid" w:color="FFFFFF" w:fill="auto"/>
          </w:tcPr>
          <w:p w14:paraId="71A1967E" w14:textId="77777777" w:rsidR="00D40151" w:rsidRPr="00873B6C" w:rsidRDefault="00D40151" w:rsidP="009D14FB">
            <w:pPr>
              <w:pStyle w:val="TAC"/>
              <w:rPr>
                <w:sz w:val="16"/>
                <w:szCs w:val="16"/>
              </w:rPr>
            </w:pPr>
            <w:r w:rsidRPr="00873B6C">
              <w:rPr>
                <w:sz w:val="16"/>
                <w:szCs w:val="16"/>
              </w:rPr>
              <w:t>16.3.0</w:t>
            </w:r>
          </w:p>
        </w:tc>
      </w:tr>
      <w:tr w:rsidR="00D40151" w:rsidRPr="00873B6C" w14:paraId="3499196F" w14:textId="77777777" w:rsidTr="009D14FB">
        <w:tc>
          <w:tcPr>
            <w:tcW w:w="800" w:type="dxa"/>
            <w:shd w:val="solid" w:color="FFFFFF" w:fill="auto"/>
          </w:tcPr>
          <w:p w14:paraId="1C6B46C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A87333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FC550B4"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1FB5BCF2" w14:textId="77777777" w:rsidR="00D40151" w:rsidRPr="00873B6C" w:rsidRDefault="00D40151" w:rsidP="009D14FB">
            <w:pPr>
              <w:pStyle w:val="TAL"/>
              <w:rPr>
                <w:sz w:val="16"/>
                <w:szCs w:val="16"/>
              </w:rPr>
            </w:pPr>
            <w:r w:rsidRPr="00873B6C">
              <w:rPr>
                <w:sz w:val="16"/>
                <w:szCs w:val="16"/>
              </w:rPr>
              <w:t>1972</w:t>
            </w:r>
          </w:p>
        </w:tc>
        <w:tc>
          <w:tcPr>
            <w:tcW w:w="425" w:type="dxa"/>
            <w:shd w:val="solid" w:color="FFFFFF" w:fill="auto"/>
          </w:tcPr>
          <w:p w14:paraId="1A1E423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5DE271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8DAC25" w14:textId="77777777" w:rsidR="00D40151" w:rsidRPr="00873B6C" w:rsidRDefault="00D40151" w:rsidP="009D14FB">
            <w:pPr>
              <w:pStyle w:val="TAL"/>
              <w:rPr>
                <w:sz w:val="16"/>
                <w:szCs w:val="16"/>
              </w:rPr>
            </w:pPr>
            <w:r w:rsidRPr="00873B6C">
              <w:rPr>
                <w:sz w:val="16"/>
                <w:szCs w:val="16"/>
              </w:rPr>
              <w:t>Clarification on Control Plane Only Indicator</w:t>
            </w:r>
          </w:p>
        </w:tc>
        <w:tc>
          <w:tcPr>
            <w:tcW w:w="708" w:type="dxa"/>
            <w:shd w:val="solid" w:color="FFFFFF" w:fill="auto"/>
          </w:tcPr>
          <w:p w14:paraId="0411A950" w14:textId="77777777" w:rsidR="00D40151" w:rsidRPr="00873B6C" w:rsidRDefault="00D40151" w:rsidP="009D14FB">
            <w:pPr>
              <w:pStyle w:val="TAC"/>
              <w:rPr>
                <w:sz w:val="16"/>
                <w:szCs w:val="16"/>
              </w:rPr>
            </w:pPr>
            <w:r w:rsidRPr="00873B6C">
              <w:rPr>
                <w:sz w:val="16"/>
                <w:szCs w:val="16"/>
              </w:rPr>
              <w:t>16.3.0</w:t>
            </w:r>
          </w:p>
        </w:tc>
      </w:tr>
      <w:tr w:rsidR="00D40151" w:rsidRPr="00873B6C" w14:paraId="53D011EF" w14:textId="77777777" w:rsidTr="009D14FB">
        <w:tc>
          <w:tcPr>
            <w:tcW w:w="800" w:type="dxa"/>
            <w:shd w:val="solid" w:color="FFFFFF" w:fill="auto"/>
          </w:tcPr>
          <w:p w14:paraId="70719A1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130DA8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A3CC1EA"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67E8096B" w14:textId="77777777" w:rsidR="00D40151" w:rsidRPr="00873B6C" w:rsidRDefault="00D40151" w:rsidP="009D14FB">
            <w:pPr>
              <w:pStyle w:val="TAL"/>
              <w:rPr>
                <w:sz w:val="16"/>
                <w:szCs w:val="16"/>
              </w:rPr>
            </w:pPr>
            <w:r w:rsidRPr="00873B6C">
              <w:rPr>
                <w:sz w:val="16"/>
                <w:szCs w:val="16"/>
              </w:rPr>
              <w:t>1973</w:t>
            </w:r>
          </w:p>
        </w:tc>
        <w:tc>
          <w:tcPr>
            <w:tcW w:w="425" w:type="dxa"/>
            <w:shd w:val="solid" w:color="FFFFFF" w:fill="auto"/>
          </w:tcPr>
          <w:p w14:paraId="4BBE3E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7B9AF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F47F1A" w14:textId="77777777" w:rsidR="00D40151" w:rsidRPr="00873B6C" w:rsidRDefault="00D40151" w:rsidP="009D14FB">
            <w:pPr>
              <w:pStyle w:val="TAL"/>
              <w:rPr>
                <w:sz w:val="16"/>
                <w:szCs w:val="16"/>
              </w:rPr>
            </w:pPr>
            <w:r w:rsidRPr="00873B6C">
              <w:rPr>
                <w:sz w:val="16"/>
                <w:szCs w:val="16"/>
              </w:rPr>
              <w:t>Correction and clarification to AF influence in URLLC</w:t>
            </w:r>
          </w:p>
        </w:tc>
        <w:tc>
          <w:tcPr>
            <w:tcW w:w="708" w:type="dxa"/>
            <w:shd w:val="solid" w:color="FFFFFF" w:fill="auto"/>
          </w:tcPr>
          <w:p w14:paraId="1ABCB09C" w14:textId="77777777" w:rsidR="00D40151" w:rsidRPr="00873B6C" w:rsidRDefault="00D40151" w:rsidP="009D14FB">
            <w:pPr>
              <w:pStyle w:val="TAC"/>
              <w:rPr>
                <w:sz w:val="16"/>
                <w:szCs w:val="16"/>
              </w:rPr>
            </w:pPr>
            <w:r w:rsidRPr="00873B6C">
              <w:rPr>
                <w:sz w:val="16"/>
                <w:szCs w:val="16"/>
              </w:rPr>
              <w:t>16.3.0</w:t>
            </w:r>
          </w:p>
        </w:tc>
      </w:tr>
      <w:tr w:rsidR="00D40151" w:rsidRPr="00873B6C" w14:paraId="1E58A2DD" w14:textId="77777777" w:rsidTr="009D14FB">
        <w:tc>
          <w:tcPr>
            <w:tcW w:w="800" w:type="dxa"/>
            <w:shd w:val="solid" w:color="FFFFFF" w:fill="auto"/>
          </w:tcPr>
          <w:p w14:paraId="704CDFA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02DF89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EA6A5BB"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2A30A77D" w14:textId="77777777" w:rsidR="00D40151" w:rsidRPr="00873B6C" w:rsidRDefault="00D40151" w:rsidP="009D14FB">
            <w:pPr>
              <w:pStyle w:val="TAL"/>
              <w:rPr>
                <w:sz w:val="16"/>
                <w:szCs w:val="16"/>
              </w:rPr>
            </w:pPr>
            <w:r w:rsidRPr="00873B6C">
              <w:rPr>
                <w:sz w:val="16"/>
                <w:szCs w:val="16"/>
              </w:rPr>
              <w:t>1976</w:t>
            </w:r>
          </w:p>
        </w:tc>
        <w:tc>
          <w:tcPr>
            <w:tcW w:w="425" w:type="dxa"/>
            <w:shd w:val="solid" w:color="FFFFFF" w:fill="auto"/>
          </w:tcPr>
          <w:p w14:paraId="279634D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876BC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2D5FBF" w14:textId="77777777" w:rsidR="00D40151" w:rsidRPr="00873B6C" w:rsidRDefault="00D40151" w:rsidP="009D14FB">
            <w:pPr>
              <w:pStyle w:val="TAL"/>
              <w:rPr>
                <w:sz w:val="16"/>
                <w:szCs w:val="16"/>
              </w:rPr>
            </w:pPr>
            <w:r w:rsidRPr="00873B6C">
              <w:rPr>
                <w:sz w:val="16"/>
                <w:szCs w:val="16"/>
              </w:rPr>
              <w:t>ULCL/BP based on the local routing policy</w:t>
            </w:r>
          </w:p>
        </w:tc>
        <w:tc>
          <w:tcPr>
            <w:tcW w:w="708" w:type="dxa"/>
            <w:shd w:val="solid" w:color="FFFFFF" w:fill="auto"/>
          </w:tcPr>
          <w:p w14:paraId="7DBEDE07" w14:textId="77777777" w:rsidR="00D40151" w:rsidRPr="00873B6C" w:rsidRDefault="00D40151" w:rsidP="009D14FB">
            <w:pPr>
              <w:pStyle w:val="TAC"/>
              <w:rPr>
                <w:sz w:val="16"/>
                <w:szCs w:val="16"/>
              </w:rPr>
            </w:pPr>
            <w:r w:rsidRPr="00873B6C">
              <w:rPr>
                <w:sz w:val="16"/>
                <w:szCs w:val="16"/>
              </w:rPr>
              <w:t>16.3.0</w:t>
            </w:r>
          </w:p>
        </w:tc>
      </w:tr>
      <w:tr w:rsidR="00D40151" w:rsidRPr="00873B6C" w14:paraId="545B94F3" w14:textId="77777777" w:rsidTr="009D14FB">
        <w:tc>
          <w:tcPr>
            <w:tcW w:w="800" w:type="dxa"/>
            <w:shd w:val="solid" w:color="FFFFFF" w:fill="auto"/>
          </w:tcPr>
          <w:p w14:paraId="496CB68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AA416E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40EF03C" w14:textId="77777777" w:rsidR="00D40151" w:rsidRPr="00873B6C" w:rsidRDefault="00D40151" w:rsidP="009D14FB">
            <w:pPr>
              <w:pStyle w:val="TAC"/>
              <w:rPr>
                <w:sz w:val="16"/>
                <w:szCs w:val="16"/>
              </w:rPr>
            </w:pPr>
            <w:r w:rsidRPr="00873B6C">
              <w:rPr>
                <w:sz w:val="16"/>
                <w:szCs w:val="16"/>
              </w:rPr>
              <w:t>SP-191081</w:t>
            </w:r>
          </w:p>
        </w:tc>
        <w:tc>
          <w:tcPr>
            <w:tcW w:w="567" w:type="dxa"/>
            <w:shd w:val="solid" w:color="FFFFFF" w:fill="auto"/>
          </w:tcPr>
          <w:p w14:paraId="3C230B9C" w14:textId="77777777" w:rsidR="00D40151" w:rsidRPr="00873B6C" w:rsidRDefault="00D40151" w:rsidP="009D14FB">
            <w:pPr>
              <w:pStyle w:val="TAL"/>
              <w:rPr>
                <w:sz w:val="16"/>
                <w:szCs w:val="16"/>
              </w:rPr>
            </w:pPr>
            <w:r w:rsidRPr="00873B6C">
              <w:rPr>
                <w:sz w:val="16"/>
                <w:szCs w:val="16"/>
              </w:rPr>
              <w:t>1979</w:t>
            </w:r>
          </w:p>
        </w:tc>
        <w:tc>
          <w:tcPr>
            <w:tcW w:w="425" w:type="dxa"/>
            <w:shd w:val="solid" w:color="FFFFFF" w:fill="auto"/>
          </w:tcPr>
          <w:p w14:paraId="2781230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029CF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F95487" w14:textId="77777777" w:rsidR="00D40151" w:rsidRPr="00873B6C" w:rsidRDefault="00D40151" w:rsidP="009D14FB">
            <w:pPr>
              <w:pStyle w:val="TAL"/>
              <w:rPr>
                <w:sz w:val="16"/>
                <w:szCs w:val="16"/>
              </w:rPr>
            </w:pPr>
            <w:r w:rsidRPr="00873B6C">
              <w:rPr>
                <w:sz w:val="16"/>
                <w:szCs w:val="16"/>
              </w:rPr>
              <w:t>On NSSAA Services</w:t>
            </w:r>
          </w:p>
        </w:tc>
        <w:tc>
          <w:tcPr>
            <w:tcW w:w="708" w:type="dxa"/>
            <w:shd w:val="solid" w:color="FFFFFF" w:fill="auto"/>
          </w:tcPr>
          <w:p w14:paraId="3E2CB654" w14:textId="77777777" w:rsidR="00D40151" w:rsidRPr="00873B6C" w:rsidRDefault="00D40151" w:rsidP="009D14FB">
            <w:pPr>
              <w:pStyle w:val="TAC"/>
              <w:rPr>
                <w:sz w:val="16"/>
                <w:szCs w:val="16"/>
              </w:rPr>
            </w:pPr>
            <w:r w:rsidRPr="00873B6C">
              <w:rPr>
                <w:sz w:val="16"/>
                <w:szCs w:val="16"/>
              </w:rPr>
              <w:t>16.3.0</w:t>
            </w:r>
          </w:p>
        </w:tc>
      </w:tr>
      <w:tr w:rsidR="00D40151" w:rsidRPr="00873B6C" w14:paraId="225692D7" w14:textId="77777777" w:rsidTr="009D14FB">
        <w:tc>
          <w:tcPr>
            <w:tcW w:w="800" w:type="dxa"/>
            <w:shd w:val="solid" w:color="FFFFFF" w:fill="auto"/>
          </w:tcPr>
          <w:p w14:paraId="586DFF5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EE9E7B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E6AAD39"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1D842C77" w14:textId="77777777" w:rsidR="00D40151" w:rsidRPr="00873B6C" w:rsidRDefault="00D40151" w:rsidP="009D14FB">
            <w:pPr>
              <w:pStyle w:val="TAL"/>
              <w:rPr>
                <w:sz w:val="16"/>
                <w:szCs w:val="16"/>
              </w:rPr>
            </w:pPr>
            <w:r w:rsidRPr="00873B6C">
              <w:rPr>
                <w:sz w:val="16"/>
                <w:szCs w:val="16"/>
              </w:rPr>
              <w:t>1981</w:t>
            </w:r>
          </w:p>
        </w:tc>
        <w:tc>
          <w:tcPr>
            <w:tcW w:w="425" w:type="dxa"/>
            <w:shd w:val="solid" w:color="FFFFFF" w:fill="auto"/>
          </w:tcPr>
          <w:p w14:paraId="72AA9304"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4D6ECB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44612F" w14:textId="77777777" w:rsidR="00D40151" w:rsidRPr="00873B6C" w:rsidRDefault="00D40151" w:rsidP="009D14FB">
            <w:pPr>
              <w:pStyle w:val="TAL"/>
              <w:rPr>
                <w:sz w:val="16"/>
                <w:szCs w:val="16"/>
              </w:rPr>
            </w:pPr>
            <w:r w:rsidRPr="00873B6C">
              <w:rPr>
                <w:sz w:val="16"/>
                <w:szCs w:val="16"/>
              </w:rPr>
              <w:t>Applying Per-Stream Filtering and Policing</w:t>
            </w:r>
          </w:p>
        </w:tc>
        <w:tc>
          <w:tcPr>
            <w:tcW w:w="708" w:type="dxa"/>
            <w:shd w:val="solid" w:color="FFFFFF" w:fill="auto"/>
          </w:tcPr>
          <w:p w14:paraId="1E50F1BD" w14:textId="77777777" w:rsidR="00D40151" w:rsidRPr="00873B6C" w:rsidRDefault="00D40151" w:rsidP="009D14FB">
            <w:pPr>
              <w:pStyle w:val="TAC"/>
              <w:rPr>
                <w:sz w:val="16"/>
                <w:szCs w:val="16"/>
              </w:rPr>
            </w:pPr>
            <w:r w:rsidRPr="00873B6C">
              <w:rPr>
                <w:sz w:val="16"/>
                <w:szCs w:val="16"/>
              </w:rPr>
              <w:t>16.3.0</w:t>
            </w:r>
          </w:p>
        </w:tc>
      </w:tr>
      <w:tr w:rsidR="00D40151" w:rsidRPr="00873B6C" w14:paraId="65397C09" w14:textId="77777777" w:rsidTr="009D14FB">
        <w:tc>
          <w:tcPr>
            <w:tcW w:w="800" w:type="dxa"/>
            <w:shd w:val="solid" w:color="FFFFFF" w:fill="auto"/>
          </w:tcPr>
          <w:p w14:paraId="6E4BF7E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37242C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179328D"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219505BE" w14:textId="77777777" w:rsidR="00D40151" w:rsidRPr="00873B6C" w:rsidRDefault="00D40151" w:rsidP="009D14FB">
            <w:pPr>
              <w:pStyle w:val="TAL"/>
              <w:rPr>
                <w:sz w:val="16"/>
                <w:szCs w:val="16"/>
              </w:rPr>
            </w:pPr>
            <w:r w:rsidRPr="00873B6C">
              <w:rPr>
                <w:sz w:val="16"/>
                <w:szCs w:val="16"/>
              </w:rPr>
              <w:t>1985</w:t>
            </w:r>
          </w:p>
        </w:tc>
        <w:tc>
          <w:tcPr>
            <w:tcW w:w="425" w:type="dxa"/>
            <w:shd w:val="solid" w:color="FFFFFF" w:fill="auto"/>
          </w:tcPr>
          <w:p w14:paraId="6D0A1E8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429BA4"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6E59BC6A" w14:textId="77777777" w:rsidR="00D40151" w:rsidRPr="00873B6C" w:rsidRDefault="00D40151" w:rsidP="009D14FB">
            <w:pPr>
              <w:pStyle w:val="TAL"/>
              <w:rPr>
                <w:sz w:val="16"/>
                <w:szCs w:val="16"/>
              </w:rPr>
            </w:pPr>
            <w:r w:rsidRPr="00873B6C">
              <w:rPr>
                <w:sz w:val="16"/>
                <w:szCs w:val="16"/>
              </w:rPr>
              <w:t>S-NSSAI setting for emergency service</w:t>
            </w:r>
          </w:p>
        </w:tc>
        <w:tc>
          <w:tcPr>
            <w:tcW w:w="708" w:type="dxa"/>
            <w:shd w:val="solid" w:color="FFFFFF" w:fill="auto"/>
          </w:tcPr>
          <w:p w14:paraId="039E268C" w14:textId="77777777" w:rsidR="00D40151" w:rsidRPr="00873B6C" w:rsidRDefault="00D40151" w:rsidP="009D14FB">
            <w:pPr>
              <w:pStyle w:val="TAC"/>
              <w:rPr>
                <w:sz w:val="16"/>
                <w:szCs w:val="16"/>
              </w:rPr>
            </w:pPr>
            <w:r w:rsidRPr="00873B6C">
              <w:rPr>
                <w:sz w:val="16"/>
                <w:szCs w:val="16"/>
              </w:rPr>
              <w:t>16.3.0</w:t>
            </w:r>
          </w:p>
        </w:tc>
      </w:tr>
      <w:tr w:rsidR="00D40151" w:rsidRPr="00873B6C" w14:paraId="6F3B40EE" w14:textId="77777777" w:rsidTr="009D14FB">
        <w:tc>
          <w:tcPr>
            <w:tcW w:w="800" w:type="dxa"/>
            <w:shd w:val="solid" w:color="FFFFFF" w:fill="auto"/>
          </w:tcPr>
          <w:p w14:paraId="6958416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9D302D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F209878"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10860D70" w14:textId="77777777" w:rsidR="00D40151" w:rsidRPr="00873B6C" w:rsidRDefault="00D40151" w:rsidP="009D14FB">
            <w:pPr>
              <w:pStyle w:val="TAL"/>
              <w:rPr>
                <w:sz w:val="16"/>
                <w:szCs w:val="16"/>
              </w:rPr>
            </w:pPr>
            <w:r w:rsidRPr="00873B6C">
              <w:rPr>
                <w:sz w:val="16"/>
                <w:szCs w:val="16"/>
              </w:rPr>
              <w:t>1986</w:t>
            </w:r>
          </w:p>
        </w:tc>
        <w:tc>
          <w:tcPr>
            <w:tcW w:w="425" w:type="dxa"/>
            <w:shd w:val="solid" w:color="FFFFFF" w:fill="auto"/>
          </w:tcPr>
          <w:p w14:paraId="01BE2D0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7D10C0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9C736C6" w14:textId="77777777" w:rsidR="00D40151" w:rsidRPr="00873B6C" w:rsidRDefault="00D40151" w:rsidP="009D14FB">
            <w:pPr>
              <w:pStyle w:val="TAL"/>
              <w:rPr>
                <w:sz w:val="16"/>
                <w:szCs w:val="16"/>
              </w:rPr>
            </w:pPr>
            <w:r w:rsidRPr="00873B6C">
              <w:rPr>
                <w:sz w:val="16"/>
                <w:szCs w:val="16"/>
              </w:rPr>
              <w:t>Solution on support of NAT in 5GS</w:t>
            </w:r>
          </w:p>
        </w:tc>
        <w:tc>
          <w:tcPr>
            <w:tcW w:w="708" w:type="dxa"/>
            <w:shd w:val="solid" w:color="FFFFFF" w:fill="auto"/>
          </w:tcPr>
          <w:p w14:paraId="5A8D0665" w14:textId="77777777" w:rsidR="00D40151" w:rsidRPr="00873B6C" w:rsidRDefault="00D40151" w:rsidP="009D14FB">
            <w:pPr>
              <w:pStyle w:val="TAC"/>
              <w:rPr>
                <w:sz w:val="16"/>
                <w:szCs w:val="16"/>
              </w:rPr>
            </w:pPr>
            <w:r w:rsidRPr="00873B6C">
              <w:rPr>
                <w:sz w:val="16"/>
                <w:szCs w:val="16"/>
              </w:rPr>
              <w:t>16.3.0</w:t>
            </w:r>
          </w:p>
        </w:tc>
      </w:tr>
      <w:tr w:rsidR="00D40151" w:rsidRPr="00873B6C" w14:paraId="4DE25827" w14:textId="77777777" w:rsidTr="009D14FB">
        <w:tc>
          <w:tcPr>
            <w:tcW w:w="800" w:type="dxa"/>
            <w:shd w:val="solid" w:color="FFFFFF" w:fill="auto"/>
          </w:tcPr>
          <w:p w14:paraId="4F36EE6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965070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3CBDCC2" w14:textId="77777777" w:rsidR="00D40151" w:rsidRPr="00873B6C" w:rsidRDefault="00D40151" w:rsidP="009D14FB">
            <w:pPr>
              <w:pStyle w:val="TAC"/>
              <w:rPr>
                <w:sz w:val="16"/>
                <w:szCs w:val="16"/>
              </w:rPr>
            </w:pPr>
            <w:r w:rsidRPr="00873B6C">
              <w:rPr>
                <w:sz w:val="16"/>
                <w:szCs w:val="16"/>
              </w:rPr>
              <w:t>SP-191080</w:t>
            </w:r>
          </w:p>
        </w:tc>
        <w:tc>
          <w:tcPr>
            <w:tcW w:w="567" w:type="dxa"/>
            <w:shd w:val="solid" w:color="FFFFFF" w:fill="auto"/>
          </w:tcPr>
          <w:p w14:paraId="3EE0B4F3" w14:textId="77777777" w:rsidR="00D40151" w:rsidRPr="00873B6C" w:rsidRDefault="00D40151" w:rsidP="009D14FB">
            <w:pPr>
              <w:pStyle w:val="TAL"/>
              <w:rPr>
                <w:sz w:val="16"/>
                <w:szCs w:val="16"/>
              </w:rPr>
            </w:pPr>
            <w:r w:rsidRPr="00873B6C">
              <w:rPr>
                <w:sz w:val="16"/>
                <w:szCs w:val="16"/>
              </w:rPr>
              <w:t>1992</w:t>
            </w:r>
          </w:p>
        </w:tc>
        <w:tc>
          <w:tcPr>
            <w:tcW w:w="425" w:type="dxa"/>
            <w:shd w:val="solid" w:color="FFFFFF" w:fill="auto"/>
          </w:tcPr>
          <w:p w14:paraId="4D8AAA2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BADF51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9FDD7A" w14:textId="77777777" w:rsidR="00D40151" w:rsidRPr="00873B6C" w:rsidRDefault="00D40151" w:rsidP="009D14FB">
            <w:pPr>
              <w:pStyle w:val="TAL"/>
              <w:rPr>
                <w:sz w:val="16"/>
                <w:szCs w:val="16"/>
              </w:rPr>
            </w:pPr>
            <w:r w:rsidRPr="00873B6C">
              <w:rPr>
                <w:sz w:val="16"/>
                <w:szCs w:val="16"/>
              </w:rPr>
              <w:t>Corrections to NWDAF discovery and selection</w:t>
            </w:r>
          </w:p>
        </w:tc>
        <w:tc>
          <w:tcPr>
            <w:tcW w:w="708" w:type="dxa"/>
            <w:shd w:val="solid" w:color="FFFFFF" w:fill="auto"/>
          </w:tcPr>
          <w:p w14:paraId="7F0069A8" w14:textId="77777777" w:rsidR="00D40151" w:rsidRPr="00873B6C" w:rsidRDefault="00D40151" w:rsidP="009D14FB">
            <w:pPr>
              <w:pStyle w:val="TAC"/>
              <w:rPr>
                <w:sz w:val="16"/>
                <w:szCs w:val="16"/>
              </w:rPr>
            </w:pPr>
            <w:r w:rsidRPr="00873B6C">
              <w:rPr>
                <w:sz w:val="16"/>
                <w:szCs w:val="16"/>
              </w:rPr>
              <w:t>16.3.0</w:t>
            </w:r>
          </w:p>
        </w:tc>
      </w:tr>
      <w:tr w:rsidR="00D40151" w:rsidRPr="00873B6C" w14:paraId="5FBF8195" w14:textId="77777777" w:rsidTr="009D14FB">
        <w:tc>
          <w:tcPr>
            <w:tcW w:w="800" w:type="dxa"/>
            <w:shd w:val="solid" w:color="FFFFFF" w:fill="auto"/>
          </w:tcPr>
          <w:p w14:paraId="7F5CAF6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1C1D71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4654AB9"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5CF06BFA" w14:textId="77777777" w:rsidR="00D40151" w:rsidRPr="00873B6C" w:rsidRDefault="00D40151" w:rsidP="009D14FB">
            <w:pPr>
              <w:pStyle w:val="TAL"/>
              <w:rPr>
                <w:sz w:val="16"/>
                <w:szCs w:val="16"/>
              </w:rPr>
            </w:pPr>
            <w:r w:rsidRPr="00873B6C">
              <w:rPr>
                <w:sz w:val="16"/>
                <w:szCs w:val="16"/>
              </w:rPr>
              <w:t>1993</w:t>
            </w:r>
          </w:p>
        </w:tc>
        <w:tc>
          <w:tcPr>
            <w:tcW w:w="425" w:type="dxa"/>
            <w:shd w:val="solid" w:color="FFFFFF" w:fill="auto"/>
          </w:tcPr>
          <w:p w14:paraId="0E6B4EA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5B642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22FC4C" w14:textId="77777777" w:rsidR="00D40151" w:rsidRPr="00873B6C" w:rsidRDefault="00D40151" w:rsidP="009D14FB">
            <w:pPr>
              <w:pStyle w:val="TAL"/>
              <w:rPr>
                <w:sz w:val="16"/>
                <w:szCs w:val="16"/>
              </w:rPr>
            </w:pPr>
            <w:r w:rsidRPr="00873B6C">
              <w:rPr>
                <w:sz w:val="16"/>
                <w:szCs w:val="16"/>
              </w:rPr>
              <w:t xml:space="preserve">UE support of CP optimization over NB-IoT </w:t>
            </w:r>
          </w:p>
        </w:tc>
        <w:tc>
          <w:tcPr>
            <w:tcW w:w="708" w:type="dxa"/>
            <w:shd w:val="solid" w:color="FFFFFF" w:fill="auto"/>
          </w:tcPr>
          <w:p w14:paraId="6535E5D8" w14:textId="77777777" w:rsidR="00D40151" w:rsidRPr="00873B6C" w:rsidRDefault="00D40151" w:rsidP="009D14FB">
            <w:pPr>
              <w:pStyle w:val="TAC"/>
              <w:rPr>
                <w:sz w:val="16"/>
                <w:szCs w:val="16"/>
              </w:rPr>
            </w:pPr>
            <w:r w:rsidRPr="00873B6C">
              <w:rPr>
                <w:sz w:val="16"/>
                <w:szCs w:val="16"/>
              </w:rPr>
              <w:t>16.3.0</w:t>
            </w:r>
          </w:p>
        </w:tc>
      </w:tr>
      <w:tr w:rsidR="00D40151" w:rsidRPr="00873B6C" w14:paraId="061E08C5" w14:textId="77777777" w:rsidTr="009D14FB">
        <w:tc>
          <w:tcPr>
            <w:tcW w:w="800" w:type="dxa"/>
            <w:shd w:val="solid" w:color="FFFFFF" w:fill="auto"/>
          </w:tcPr>
          <w:p w14:paraId="50DB237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1EC937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BE283D6"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6BE8A4C0" w14:textId="77777777" w:rsidR="00D40151" w:rsidRPr="00873B6C" w:rsidRDefault="00D40151" w:rsidP="009D14FB">
            <w:pPr>
              <w:pStyle w:val="TAL"/>
              <w:rPr>
                <w:sz w:val="16"/>
                <w:szCs w:val="16"/>
              </w:rPr>
            </w:pPr>
            <w:r w:rsidRPr="00873B6C">
              <w:rPr>
                <w:sz w:val="16"/>
                <w:szCs w:val="16"/>
              </w:rPr>
              <w:t>1994</w:t>
            </w:r>
          </w:p>
        </w:tc>
        <w:tc>
          <w:tcPr>
            <w:tcW w:w="425" w:type="dxa"/>
            <w:shd w:val="solid" w:color="FFFFFF" w:fill="auto"/>
          </w:tcPr>
          <w:p w14:paraId="57053BD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ED52B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EDE946" w14:textId="77777777" w:rsidR="00D40151" w:rsidRPr="00873B6C" w:rsidRDefault="00D40151" w:rsidP="009D14FB">
            <w:pPr>
              <w:pStyle w:val="TAL"/>
              <w:rPr>
                <w:sz w:val="16"/>
                <w:szCs w:val="16"/>
              </w:rPr>
            </w:pPr>
            <w:r w:rsidRPr="00873B6C">
              <w:rPr>
                <w:sz w:val="16"/>
                <w:szCs w:val="16"/>
              </w:rPr>
              <w:t>Correction of CHF discovery to consider eSBA binding principles</w:t>
            </w:r>
          </w:p>
        </w:tc>
        <w:tc>
          <w:tcPr>
            <w:tcW w:w="708" w:type="dxa"/>
            <w:shd w:val="solid" w:color="FFFFFF" w:fill="auto"/>
          </w:tcPr>
          <w:p w14:paraId="0C1B15BF" w14:textId="77777777" w:rsidR="00D40151" w:rsidRPr="00873B6C" w:rsidRDefault="00D40151" w:rsidP="009D14FB">
            <w:pPr>
              <w:pStyle w:val="TAC"/>
              <w:rPr>
                <w:sz w:val="16"/>
                <w:szCs w:val="16"/>
              </w:rPr>
            </w:pPr>
            <w:r w:rsidRPr="00873B6C">
              <w:rPr>
                <w:sz w:val="16"/>
                <w:szCs w:val="16"/>
              </w:rPr>
              <w:t>16.3.0</w:t>
            </w:r>
          </w:p>
        </w:tc>
      </w:tr>
      <w:tr w:rsidR="00D40151" w:rsidRPr="00873B6C" w14:paraId="1D54783A" w14:textId="77777777" w:rsidTr="009D14FB">
        <w:tc>
          <w:tcPr>
            <w:tcW w:w="800" w:type="dxa"/>
            <w:shd w:val="solid" w:color="FFFFFF" w:fill="auto"/>
          </w:tcPr>
          <w:p w14:paraId="494332E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20395E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E9A0F7D"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07510914" w14:textId="77777777" w:rsidR="00D40151" w:rsidRPr="00873B6C" w:rsidRDefault="00D40151" w:rsidP="009D14FB">
            <w:pPr>
              <w:pStyle w:val="TAL"/>
              <w:rPr>
                <w:sz w:val="16"/>
                <w:szCs w:val="16"/>
              </w:rPr>
            </w:pPr>
            <w:r w:rsidRPr="00873B6C">
              <w:rPr>
                <w:sz w:val="16"/>
                <w:szCs w:val="16"/>
              </w:rPr>
              <w:t>1997</w:t>
            </w:r>
          </w:p>
        </w:tc>
        <w:tc>
          <w:tcPr>
            <w:tcW w:w="425" w:type="dxa"/>
            <w:shd w:val="solid" w:color="FFFFFF" w:fill="auto"/>
          </w:tcPr>
          <w:p w14:paraId="4AD5EF8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C51D3E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3BD715" w14:textId="77777777" w:rsidR="00D40151" w:rsidRPr="00873B6C" w:rsidRDefault="00D40151" w:rsidP="009D14FB">
            <w:pPr>
              <w:pStyle w:val="TAL"/>
              <w:rPr>
                <w:sz w:val="16"/>
                <w:szCs w:val="16"/>
              </w:rPr>
            </w:pPr>
            <w:r w:rsidRPr="00873B6C">
              <w:rPr>
                <w:sz w:val="16"/>
                <w:szCs w:val="16"/>
              </w:rPr>
              <w:t>PNI-NPN - Reusing NSSAI for AMF selection when NPN isolation is needed</w:t>
            </w:r>
          </w:p>
        </w:tc>
        <w:tc>
          <w:tcPr>
            <w:tcW w:w="708" w:type="dxa"/>
            <w:shd w:val="solid" w:color="FFFFFF" w:fill="auto"/>
          </w:tcPr>
          <w:p w14:paraId="24B70C02" w14:textId="77777777" w:rsidR="00D40151" w:rsidRPr="00873B6C" w:rsidRDefault="00D40151" w:rsidP="009D14FB">
            <w:pPr>
              <w:pStyle w:val="TAC"/>
              <w:rPr>
                <w:sz w:val="16"/>
                <w:szCs w:val="16"/>
              </w:rPr>
            </w:pPr>
            <w:r w:rsidRPr="00873B6C">
              <w:rPr>
                <w:sz w:val="16"/>
                <w:szCs w:val="16"/>
              </w:rPr>
              <w:t>16.3.0</w:t>
            </w:r>
          </w:p>
        </w:tc>
      </w:tr>
      <w:tr w:rsidR="00D40151" w:rsidRPr="00873B6C" w14:paraId="2B66F3DF" w14:textId="77777777" w:rsidTr="009D14FB">
        <w:tc>
          <w:tcPr>
            <w:tcW w:w="800" w:type="dxa"/>
            <w:shd w:val="solid" w:color="FFFFFF" w:fill="auto"/>
          </w:tcPr>
          <w:p w14:paraId="4C95183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ECE08D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134D474" w14:textId="77777777" w:rsidR="00D40151" w:rsidRPr="00873B6C" w:rsidRDefault="00D40151" w:rsidP="009D14FB">
            <w:pPr>
              <w:pStyle w:val="TAC"/>
              <w:rPr>
                <w:sz w:val="16"/>
                <w:szCs w:val="16"/>
              </w:rPr>
            </w:pPr>
            <w:r w:rsidRPr="00873B6C">
              <w:rPr>
                <w:sz w:val="16"/>
                <w:szCs w:val="16"/>
              </w:rPr>
              <w:t>SP-191084</w:t>
            </w:r>
          </w:p>
        </w:tc>
        <w:tc>
          <w:tcPr>
            <w:tcW w:w="567" w:type="dxa"/>
            <w:shd w:val="solid" w:color="FFFFFF" w:fill="auto"/>
          </w:tcPr>
          <w:p w14:paraId="32C72528" w14:textId="77777777" w:rsidR="00D40151" w:rsidRPr="00873B6C" w:rsidRDefault="00D40151" w:rsidP="009D14FB">
            <w:pPr>
              <w:pStyle w:val="TAL"/>
              <w:rPr>
                <w:sz w:val="16"/>
                <w:szCs w:val="16"/>
              </w:rPr>
            </w:pPr>
            <w:r w:rsidRPr="00873B6C">
              <w:rPr>
                <w:sz w:val="16"/>
                <w:szCs w:val="16"/>
              </w:rPr>
              <w:t>2001</w:t>
            </w:r>
          </w:p>
        </w:tc>
        <w:tc>
          <w:tcPr>
            <w:tcW w:w="425" w:type="dxa"/>
            <w:shd w:val="solid" w:color="FFFFFF" w:fill="auto"/>
          </w:tcPr>
          <w:p w14:paraId="1CE940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B4F03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366AE9" w14:textId="77777777" w:rsidR="00D40151" w:rsidRPr="00873B6C" w:rsidRDefault="00D40151" w:rsidP="009D14FB">
            <w:pPr>
              <w:pStyle w:val="TAL"/>
              <w:rPr>
                <w:sz w:val="16"/>
                <w:szCs w:val="16"/>
              </w:rPr>
            </w:pPr>
            <w:r w:rsidRPr="00873B6C">
              <w:rPr>
                <w:sz w:val="16"/>
                <w:szCs w:val="16"/>
              </w:rPr>
              <w:t>Correction on the support of V2X in 5GS</w:t>
            </w:r>
          </w:p>
        </w:tc>
        <w:tc>
          <w:tcPr>
            <w:tcW w:w="708" w:type="dxa"/>
            <w:shd w:val="solid" w:color="FFFFFF" w:fill="auto"/>
          </w:tcPr>
          <w:p w14:paraId="7FB05983" w14:textId="77777777" w:rsidR="00D40151" w:rsidRPr="00873B6C" w:rsidRDefault="00D40151" w:rsidP="009D14FB">
            <w:pPr>
              <w:pStyle w:val="TAC"/>
              <w:rPr>
                <w:sz w:val="16"/>
                <w:szCs w:val="16"/>
              </w:rPr>
            </w:pPr>
            <w:r w:rsidRPr="00873B6C">
              <w:rPr>
                <w:sz w:val="16"/>
                <w:szCs w:val="16"/>
              </w:rPr>
              <w:t>16.3.0</w:t>
            </w:r>
          </w:p>
        </w:tc>
      </w:tr>
      <w:tr w:rsidR="00D40151" w:rsidRPr="00873B6C" w14:paraId="716A3741" w14:textId="77777777" w:rsidTr="009D14FB">
        <w:tc>
          <w:tcPr>
            <w:tcW w:w="800" w:type="dxa"/>
            <w:shd w:val="solid" w:color="FFFFFF" w:fill="auto"/>
          </w:tcPr>
          <w:p w14:paraId="27A6807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99B0F8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CAF6DA9"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410EA80A" w14:textId="77777777" w:rsidR="00D40151" w:rsidRPr="00873B6C" w:rsidRDefault="00D40151" w:rsidP="009D14FB">
            <w:pPr>
              <w:pStyle w:val="TAL"/>
              <w:rPr>
                <w:sz w:val="16"/>
                <w:szCs w:val="16"/>
              </w:rPr>
            </w:pPr>
            <w:r w:rsidRPr="00873B6C">
              <w:rPr>
                <w:sz w:val="16"/>
                <w:szCs w:val="16"/>
              </w:rPr>
              <w:t>2003</w:t>
            </w:r>
          </w:p>
        </w:tc>
        <w:tc>
          <w:tcPr>
            <w:tcW w:w="425" w:type="dxa"/>
            <w:shd w:val="solid" w:color="FFFFFF" w:fill="auto"/>
          </w:tcPr>
          <w:p w14:paraId="6A51519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CB3CC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A7B90F" w14:textId="77777777" w:rsidR="00D40151" w:rsidRPr="00873B6C" w:rsidRDefault="00D40151" w:rsidP="009D14FB">
            <w:pPr>
              <w:pStyle w:val="TAL"/>
              <w:rPr>
                <w:sz w:val="16"/>
                <w:szCs w:val="16"/>
              </w:rPr>
            </w:pPr>
            <w:r w:rsidRPr="00873B6C">
              <w:rPr>
                <w:sz w:val="16"/>
                <w:szCs w:val="16"/>
              </w:rPr>
              <w:t xml:space="preserve">Remove protocol stack diagrams for IAB </w:t>
            </w:r>
          </w:p>
        </w:tc>
        <w:tc>
          <w:tcPr>
            <w:tcW w:w="708" w:type="dxa"/>
            <w:shd w:val="solid" w:color="FFFFFF" w:fill="auto"/>
          </w:tcPr>
          <w:p w14:paraId="45733FFA" w14:textId="77777777" w:rsidR="00D40151" w:rsidRPr="00873B6C" w:rsidRDefault="00D40151" w:rsidP="009D14FB">
            <w:pPr>
              <w:pStyle w:val="TAC"/>
              <w:rPr>
                <w:sz w:val="16"/>
                <w:szCs w:val="16"/>
              </w:rPr>
            </w:pPr>
            <w:r w:rsidRPr="00873B6C">
              <w:rPr>
                <w:sz w:val="16"/>
                <w:szCs w:val="16"/>
              </w:rPr>
              <w:t>16.3.0</w:t>
            </w:r>
          </w:p>
        </w:tc>
      </w:tr>
      <w:tr w:rsidR="00D40151" w:rsidRPr="00873B6C" w14:paraId="734500E6" w14:textId="77777777" w:rsidTr="009D14FB">
        <w:tc>
          <w:tcPr>
            <w:tcW w:w="800" w:type="dxa"/>
            <w:shd w:val="solid" w:color="FFFFFF" w:fill="auto"/>
          </w:tcPr>
          <w:p w14:paraId="12D6A5D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FA5BC7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43C0F61"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2F26B02A" w14:textId="77777777" w:rsidR="00D40151" w:rsidRPr="00873B6C" w:rsidRDefault="00D40151" w:rsidP="009D14FB">
            <w:pPr>
              <w:pStyle w:val="TAL"/>
              <w:rPr>
                <w:sz w:val="16"/>
                <w:szCs w:val="16"/>
              </w:rPr>
            </w:pPr>
            <w:r w:rsidRPr="00873B6C">
              <w:rPr>
                <w:sz w:val="16"/>
                <w:szCs w:val="16"/>
              </w:rPr>
              <w:t>2004</w:t>
            </w:r>
          </w:p>
        </w:tc>
        <w:tc>
          <w:tcPr>
            <w:tcW w:w="425" w:type="dxa"/>
            <w:shd w:val="solid" w:color="FFFFFF" w:fill="auto"/>
          </w:tcPr>
          <w:p w14:paraId="7A41106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D1E19E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D48376" w14:textId="77777777" w:rsidR="00D40151" w:rsidRPr="00873B6C" w:rsidRDefault="00D40151" w:rsidP="009D14FB">
            <w:pPr>
              <w:pStyle w:val="TAL"/>
              <w:rPr>
                <w:sz w:val="16"/>
                <w:szCs w:val="16"/>
              </w:rPr>
            </w:pPr>
            <w:r w:rsidRPr="00873B6C">
              <w:rPr>
                <w:sz w:val="16"/>
                <w:szCs w:val="16"/>
              </w:rPr>
              <w:t>Remove Editor's Notes for IAB related clauses</w:t>
            </w:r>
          </w:p>
        </w:tc>
        <w:tc>
          <w:tcPr>
            <w:tcW w:w="708" w:type="dxa"/>
            <w:shd w:val="solid" w:color="FFFFFF" w:fill="auto"/>
          </w:tcPr>
          <w:p w14:paraId="51C4502F" w14:textId="77777777" w:rsidR="00D40151" w:rsidRPr="00873B6C" w:rsidRDefault="00D40151" w:rsidP="009D14FB">
            <w:pPr>
              <w:pStyle w:val="TAC"/>
              <w:rPr>
                <w:sz w:val="16"/>
                <w:szCs w:val="16"/>
              </w:rPr>
            </w:pPr>
            <w:r w:rsidRPr="00873B6C">
              <w:rPr>
                <w:sz w:val="16"/>
                <w:szCs w:val="16"/>
              </w:rPr>
              <w:t>16.3.0</w:t>
            </w:r>
          </w:p>
        </w:tc>
      </w:tr>
      <w:tr w:rsidR="00D40151" w:rsidRPr="00873B6C" w14:paraId="4EA7328F" w14:textId="77777777" w:rsidTr="009D14FB">
        <w:tc>
          <w:tcPr>
            <w:tcW w:w="800" w:type="dxa"/>
            <w:shd w:val="solid" w:color="FFFFFF" w:fill="auto"/>
          </w:tcPr>
          <w:p w14:paraId="394071F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861C94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A72B45A" w14:textId="77777777" w:rsidR="00D40151" w:rsidRPr="00873B6C" w:rsidRDefault="00D40151" w:rsidP="009D14FB">
            <w:pPr>
              <w:pStyle w:val="TAC"/>
              <w:rPr>
                <w:sz w:val="16"/>
                <w:szCs w:val="16"/>
              </w:rPr>
            </w:pPr>
            <w:r w:rsidRPr="00873B6C">
              <w:rPr>
                <w:sz w:val="16"/>
                <w:szCs w:val="16"/>
              </w:rPr>
              <w:t>SP-191081</w:t>
            </w:r>
          </w:p>
        </w:tc>
        <w:tc>
          <w:tcPr>
            <w:tcW w:w="567" w:type="dxa"/>
            <w:shd w:val="solid" w:color="FFFFFF" w:fill="auto"/>
          </w:tcPr>
          <w:p w14:paraId="7D7DD6B4" w14:textId="77777777" w:rsidR="00D40151" w:rsidRPr="00873B6C" w:rsidRDefault="00D40151" w:rsidP="009D14FB">
            <w:pPr>
              <w:pStyle w:val="TAL"/>
              <w:rPr>
                <w:sz w:val="16"/>
                <w:szCs w:val="16"/>
              </w:rPr>
            </w:pPr>
            <w:r w:rsidRPr="00873B6C">
              <w:rPr>
                <w:sz w:val="16"/>
                <w:szCs w:val="16"/>
              </w:rPr>
              <w:t>2005</w:t>
            </w:r>
          </w:p>
        </w:tc>
        <w:tc>
          <w:tcPr>
            <w:tcW w:w="425" w:type="dxa"/>
            <w:shd w:val="solid" w:color="FFFFFF" w:fill="auto"/>
          </w:tcPr>
          <w:p w14:paraId="5FA2BA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0E5AE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637443" w14:textId="77777777" w:rsidR="00D40151" w:rsidRPr="00873B6C" w:rsidRDefault="00D40151" w:rsidP="009D14FB">
            <w:pPr>
              <w:pStyle w:val="TAL"/>
              <w:rPr>
                <w:sz w:val="16"/>
                <w:szCs w:val="16"/>
              </w:rPr>
            </w:pPr>
            <w:r w:rsidRPr="00873B6C">
              <w:rPr>
                <w:sz w:val="16"/>
                <w:szCs w:val="16"/>
              </w:rPr>
              <w:t>Correction on pending NSSAA indication to UE</w:t>
            </w:r>
          </w:p>
        </w:tc>
        <w:tc>
          <w:tcPr>
            <w:tcW w:w="708" w:type="dxa"/>
            <w:shd w:val="solid" w:color="FFFFFF" w:fill="auto"/>
          </w:tcPr>
          <w:p w14:paraId="306FDE12" w14:textId="77777777" w:rsidR="00D40151" w:rsidRPr="00873B6C" w:rsidRDefault="00D40151" w:rsidP="009D14FB">
            <w:pPr>
              <w:pStyle w:val="TAC"/>
              <w:rPr>
                <w:sz w:val="16"/>
                <w:szCs w:val="16"/>
              </w:rPr>
            </w:pPr>
            <w:r w:rsidRPr="00873B6C">
              <w:rPr>
                <w:sz w:val="16"/>
                <w:szCs w:val="16"/>
              </w:rPr>
              <w:t>16.3.0</w:t>
            </w:r>
          </w:p>
        </w:tc>
      </w:tr>
      <w:tr w:rsidR="00D40151" w:rsidRPr="00873B6C" w14:paraId="6E1E3421" w14:textId="77777777" w:rsidTr="009D14FB">
        <w:tc>
          <w:tcPr>
            <w:tcW w:w="800" w:type="dxa"/>
            <w:shd w:val="solid" w:color="FFFFFF" w:fill="auto"/>
          </w:tcPr>
          <w:p w14:paraId="7F4B869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F76D03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C1E3F38"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0F6C2981" w14:textId="77777777" w:rsidR="00D40151" w:rsidRPr="00873B6C" w:rsidRDefault="00D40151" w:rsidP="009D14FB">
            <w:pPr>
              <w:pStyle w:val="TAL"/>
              <w:rPr>
                <w:sz w:val="16"/>
                <w:szCs w:val="16"/>
              </w:rPr>
            </w:pPr>
            <w:r w:rsidRPr="00873B6C">
              <w:rPr>
                <w:sz w:val="16"/>
                <w:szCs w:val="16"/>
              </w:rPr>
              <w:t>2006</w:t>
            </w:r>
          </w:p>
        </w:tc>
        <w:tc>
          <w:tcPr>
            <w:tcW w:w="425" w:type="dxa"/>
            <w:shd w:val="solid" w:color="FFFFFF" w:fill="auto"/>
          </w:tcPr>
          <w:p w14:paraId="4380EB6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3D337A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0A6007" w14:textId="77777777" w:rsidR="00D40151" w:rsidRPr="00873B6C" w:rsidRDefault="00D40151" w:rsidP="009D14FB">
            <w:pPr>
              <w:pStyle w:val="TAL"/>
              <w:rPr>
                <w:sz w:val="16"/>
                <w:szCs w:val="16"/>
              </w:rPr>
            </w:pPr>
            <w:r w:rsidRPr="00873B6C">
              <w:rPr>
                <w:sz w:val="16"/>
                <w:szCs w:val="16"/>
              </w:rPr>
              <w:t>ETSUN: correction for I-SMF trace</w:t>
            </w:r>
          </w:p>
        </w:tc>
        <w:tc>
          <w:tcPr>
            <w:tcW w:w="708" w:type="dxa"/>
            <w:shd w:val="solid" w:color="FFFFFF" w:fill="auto"/>
          </w:tcPr>
          <w:p w14:paraId="3E12B107" w14:textId="77777777" w:rsidR="00D40151" w:rsidRPr="00873B6C" w:rsidRDefault="00D40151" w:rsidP="009D14FB">
            <w:pPr>
              <w:pStyle w:val="TAC"/>
              <w:rPr>
                <w:sz w:val="16"/>
                <w:szCs w:val="16"/>
              </w:rPr>
            </w:pPr>
            <w:r w:rsidRPr="00873B6C">
              <w:rPr>
                <w:sz w:val="16"/>
                <w:szCs w:val="16"/>
              </w:rPr>
              <w:t>16.3.0</w:t>
            </w:r>
          </w:p>
        </w:tc>
      </w:tr>
      <w:tr w:rsidR="00D40151" w:rsidRPr="00873B6C" w14:paraId="58AB9848" w14:textId="77777777" w:rsidTr="009D14FB">
        <w:tc>
          <w:tcPr>
            <w:tcW w:w="800" w:type="dxa"/>
            <w:shd w:val="solid" w:color="FFFFFF" w:fill="auto"/>
          </w:tcPr>
          <w:p w14:paraId="17C2C6F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65861B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7A9EE8B"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D311965" w14:textId="77777777" w:rsidR="00D40151" w:rsidRPr="00873B6C" w:rsidRDefault="00D40151" w:rsidP="009D14FB">
            <w:pPr>
              <w:pStyle w:val="TAL"/>
              <w:rPr>
                <w:sz w:val="16"/>
                <w:szCs w:val="16"/>
              </w:rPr>
            </w:pPr>
            <w:r w:rsidRPr="00873B6C">
              <w:rPr>
                <w:sz w:val="16"/>
                <w:szCs w:val="16"/>
              </w:rPr>
              <w:t>1482</w:t>
            </w:r>
          </w:p>
        </w:tc>
        <w:tc>
          <w:tcPr>
            <w:tcW w:w="425" w:type="dxa"/>
            <w:shd w:val="solid" w:color="FFFFFF" w:fill="auto"/>
          </w:tcPr>
          <w:p w14:paraId="1FA81BCC"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0F3F2E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E263AE" w14:textId="77777777" w:rsidR="00D40151" w:rsidRPr="00873B6C" w:rsidRDefault="00D40151" w:rsidP="009D14FB">
            <w:pPr>
              <w:pStyle w:val="TAL"/>
              <w:rPr>
                <w:sz w:val="16"/>
                <w:szCs w:val="16"/>
              </w:rPr>
            </w:pPr>
            <w:r w:rsidRPr="00873B6C">
              <w:rPr>
                <w:sz w:val="16"/>
                <w:szCs w:val="16"/>
              </w:rPr>
              <w:t>Alignments and corrections to Non-Public Network functionality</w:t>
            </w:r>
          </w:p>
        </w:tc>
        <w:tc>
          <w:tcPr>
            <w:tcW w:w="708" w:type="dxa"/>
            <w:shd w:val="solid" w:color="FFFFFF" w:fill="auto"/>
          </w:tcPr>
          <w:p w14:paraId="5916BF09" w14:textId="77777777" w:rsidR="00D40151" w:rsidRPr="00873B6C" w:rsidRDefault="00D40151" w:rsidP="009D14FB">
            <w:pPr>
              <w:pStyle w:val="TAC"/>
              <w:rPr>
                <w:sz w:val="16"/>
                <w:szCs w:val="16"/>
              </w:rPr>
            </w:pPr>
            <w:r w:rsidRPr="00873B6C">
              <w:rPr>
                <w:sz w:val="16"/>
                <w:szCs w:val="16"/>
              </w:rPr>
              <w:t>16.4.0</w:t>
            </w:r>
          </w:p>
        </w:tc>
      </w:tr>
      <w:tr w:rsidR="00D40151" w:rsidRPr="00873B6C" w14:paraId="2F244A02" w14:textId="77777777" w:rsidTr="009D14FB">
        <w:tc>
          <w:tcPr>
            <w:tcW w:w="800" w:type="dxa"/>
            <w:shd w:val="solid" w:color="FFFFFF" w:fill="auto"/>
          </w:tcPr>
          <w:p w14:paraId="49FDDE1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B3E13B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7862008"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F878542" w14:textId="77777777" w:rsidR="00D40151" w:rsidRPr="00873B6C" w:rsidRDefault="00D40151" w:rsidP="009D14FB">
            <w:pPr>
              <w:pStyle w:val="TAL"/>
              <w:rPr>
                <w:sz w:val="16"/>
                <w:szCs w:val="16"/>
              </w:rPr>
            </w:pPr>
            <w:r w:rsidRPr="00873B6C">
              <w:rPr>
                <w:sz w:val="16"/>
                <w:szCs w:val="16"/>
              </w:rPr>
              <w:t>1520</w:t>
            </w:r>
          </w:p>
        </w:tc>
        <w:tc>
          <w:tcPr>
            <w:tcW w:w="425" w:type="dxa"/>
            <w:shd w:val="solid" w:color="FFFFFF" w:fill="auto"/>
          </w:tcPr>
          <w:p w14:paraId="4D10113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C7135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1CB87A" w14:textId="77777777" w:rsidR="00D40151" w:rsidRPr="00873B6C" w:rsidRDefault="00D40151" w:rsidP="009D14FB">
            <w:pPr>
              <w:pStyle w:val="TAL"/>
              <w:rPr>
                <w:sz w:val="16"/>
                <w:szCs w:val="16"/>
              </w:rPr>
            </w:pPr>
            <w:r w:rsidRPr="00873B6C">
              <w:rPr>
                <w:sz w:val="16"/>
                <w:szCs w:val="16"/>
              </w:rPr>
              <w:t>PLMN+CAG information - minimum, maximum storage and survival of power cycle</w:t>
            </w:r>
          </w:p>
        </w:tc>
        <w:tc>
          <w:tcPr>
            <w:tcW w:w="708" w:type="dxa"/>
            <w:shd w:val="solid" w:color="FFFFFF" w:fill="auto"/>
          </w:tcPr>
          <w:p w14:paraId="4EDDD43F" w14:textId="77777777" w:rsidR="00D40151" w:rsidRPr="00873B6C" w:rsidRDefault="00D40151" w:rsidP="009D14FB">
            <w:pPr>
              <w:pStyle w:val="TAC"/>
              <w:rPr>
                <w:sz w:val="16"/>
                <w:szCs w:val="16"/>
              </w:rPr>
            </w:pPr>
            <w:r w:rsidRPr="00873B6C">
              <w:rPr>
                <w:sz w:val="16"/>
                <w:szCs w:val="16"/>
              </w:rPr>
              <w:t>16.4.0</w:t>
            </w:r>
          </w:p>
        </w:tc>
      </w:tr>
      <w:tr w:rsidR="00D40151" w:rsidRPr="00873B6C" w14:paraId="45FDE38C" w14:textId="77777777" w:rsidTr="009D14FB">
        <w:tc>
          <w:tcPr>
            <w:tcW w:w="800" w:type="dxa"/>
            <w:shd w:val="solid" w:color="FFFFFF" w:fill="auto"/>
          </w:tcPr>
          <w:p w14:paraId="1E37EF6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2E79FC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AEA5875"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B506A4E" w14:textId="77777777" w:rsidR="00D40151" w:rsidRPr="00873B6C" w:rsidRDefault="00D40151" w:rsidP="009D14FB">
            <w:pPr>
              <w:pStyle w:val="TAL"/>
              <w:rPr>
                <w:sz w:val="16"/>
                <w:szCs w:val="16"/>
              </w:rPr>
            </w:pPr>
            <w:r w:rsidRPr="00873B6C">
              <w:rPr>
                <w:sz w:val="16"/>
                <w:szCs w:val="16"/>
              </w:rPr>
              <w:t>1595</w:t>
            </w:r>
          </w:p>
        </w:tc>
        <w:tc>
          <w:tcPr>
            <w:tcW w:w="425" w:type="dxa"/>
            <w:shd w:val="solid" w:color="FFFFFF" w:fill="auto"/>
          </w:tcPr>
          <w:p w14:paraId="170AF81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ADC8EA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5A7A83" w14:textId="77777777" w:rsidR="00D40151" w:rsidRPr="00873B6C" w:rsidRDefault="00D40151" w:rsidP="009D14FB">
            <w:pPr>
              <w:pStyle w:val="TAL"/>
              <w:rPr>
                <w:sz w:val="16"/>
                <w:szCs w:val="16"/>
              </w:rPr>
            </w:pPr>
            <w:r w:rsidRPr="00873B6C">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873B6C" w:rsidRDefault="00D40151" w:rsidP="009D14FB">
            <w:pPr>
              <w:pStyle w:val="TAC"/>
              <w:rPr>
                <w:sz w:val="16"/>
                <w:szCs w:val="16"/>
              </w:rPr>
            </w:pPr>
            <w:r w:rsidRPr="00873B6C">
              <w:rPr>
                <w:sz w:val="16"/>
                <w:szCs w:val="16"/>
              </w:rPr>
              <w:t>16.4.0</w:t>
            </w:r>
          </w:p>
        </w:tc>
      </w:tr>
      <w:tr w:rsidR="00D40151" w:rsidRPr="00873B6C" w14:paraId="5710D577" w14:textId="77777777" w:rsidTr="009D14FB">
        <w:tc>
          <w:tcPr>
            <w:tcW w:w="800" w:type="dxa"/>
            <w:shd w:val="solid" w:color="FFFFFF" w:fill="auto"/>
          </w:tcPr>
          <w:p w14:paraId="380F3BB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B739F3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DB108B4"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6BA7D2E8" w14:textId="77777777" w:rsidR="00D40151" w:rsidRPr="00873B6C" w:rsidRDefault="00D40151" w:rsidP="009D14FB">
            <w:pPr>
              <w:pStyle w:val="TAL"/>
              <w:rPr>
                <w:sz w:val="16"/>
                <w:szCs w:val="16"/>
              </w:rPr>
            </w:pPr>
            <w:r w:rsidRPr="00873B6C">
              <w:rPr>
                <w:sz w:val="16"/>
                <w:szCs w:val="16"/>
              </w:rPr>
              <w:t>1668</w:t>
            </w:r>
          </w:p>
        </w:tc>
        <w:tc>
          <w:tcPr>
            <w:tcW w:w="425" w:type="dxa"/>
            <w:shd w:val="solid" w:color="FFFFFF" w:fill="auto"/>
          </w:tcPr>
          <w:p w14:paraId="2052EF3E"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8B0D2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93BB92" w14:textId="77777777" w:rsidR="00D40151" w:rsidRPr="00873B6C" w:rsidRDefault="00D40151" w:rsidP="009D14FB">
            <w:pPr>
              <w:pStyle w:val="TAL"/>
              <w:rPr>
                <w:sz w:val="16"/>
                <w:szCs w:val="16"/>
              </w:rPr>
            </w:pPr>
            <w:r w:rsidRPr="00873B6C">
              <w:rPr>
                <w:sz w:val="16"/>
                <w:szCs w:val="16"/>
              </w:rPr>
              <w:t>Clarification to MICO mode and Periodic Registration Timer Control</w:t>
            </w:r>
          </w:p>
        </w:tc>
        <w:tc>
          <w:tcPr>
            <w:tcW w:w="708" w:type="dxa"/>
            <w:shd w:val="solid" w:color="FFFFFF" w:fill="auto"/>
          </w:tcPr>
          <w:p w14:paraId="188F9341" w14:textId="77777777" w:rsidR="00D40151" w:rsidRPr="00873B6C" w:rsidRDefault="00D40151" w:rsidP="009D14FB">
            <w:pPr>
              <w:pStyle w:val="TAC"/>
              <w:rPr>
                <w:sz w:val="16"/>
                <w:szCs w:val="16"/>
              </w:rPr>
            </w:pPr>
            <w:r w:rsidRPr="00873B6C">
              <w:rPr>
                <w:sz w:val="16"/>
                <w:szCs w:val="16"/>
              </w:rPr>
              <w:t>16.4.0</w:t>
            </w:r>
          </w:p>
        </w:tc>
      </w:tr>
      <w:tr w:rsidR="00D40151" w:rsidRPr="00873B6C" w14:paraId="43D58B44" w14:textId="77777777" w:rsidTr="009D14FB">
        <w:tc>
          <w:tcPr>
            <w:tcW w:w="800" w:type="dxa"/>
            <w:shd w:val="solid" w:color="FFFFFF" w:fill="auto"/>
          </w:tcPr>
          <w:p w14:paraId="3BDA208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A1FB7C3"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DD974F3"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4A68888F" w14:textId="77777777" w:rsidR="00D40151" w:rsidRPr="00873B6C" w:rsidRDefault="00D40151" w:rsidP="009D14FB">
            <w:pPr>
              <w:pStyle w:val="TAL"/>
              <w:rPr>
                <w:sz w:val="16"/>
                <w:szCs w:val="16"/>
              </w:rPr>
            </w:pPr>
            <w:r w:rsidRPr="00873B6C">
              <w:rPr>
                <w:sz w:val="16"/>
                <w:szCs w:val="16"/>
              </w:rPr>
              <w:t>1691</w:t>
            </w:r>
          </w:p>
        </w:tc>
        <w:tc>
          <w:tcPr>
            <w:tcW w:w="425" w:type="dxa"/>
            <w:shd w:val="solid" w:color="FFFFFF" w:fill="auto"/>
          </w:tcPr>
          <w:p w14:paraId="274BC09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0278D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5C5BFC" w14:textId="77777777" w:rsidR="00D40151" w:rsidRPr="00873B6C" w:rsidRDefault="00D40151" w:rsidP="009D14FB">
            <w:pPr>
              <w:pStyle w:val="TAL"/>
              <w:rPr>
                <w:sz w:val="16"/>
                <w:szCs w:val="16"/>
              </w:rPr>
            </w:pPr>
            <w:r w:rsidRPr="00873B6C">
              <w:rPr>
                <w:sz w:val="16"/>
                <w:szCs w:val="16"/>
              </w:rPr>
              <w:t>Alignment with TS 23.502 and clarification on Extended Buffering</w:t>
            </w:r>
          </w:p>
        </w:tc>
        <w:tc>
          <w:tcPr>
            <w:tcW w:w="708" w:type="dxa"/>
            <w:shd w:val="solid" w:color="FFFFFF" w:fill="auto"/>
          </w:tcPr>
          <w:p w14:paraId="7A41A7F6" w14:textId="77777777" w:rsidR="00D40151" w:rsidRPr="00873B6C" w:rsidRDefault="00D40151" w:rsidP="009D14FB">
            <w:pPr>
              <w:pStyle w:val="TAC"/>
              <w:rPr>
                <w:sz w:val="16"/>
                <w:szCs w:val="16"/>
              </w:rPr>
            </w:pPr>
            <w:r w:rsidRPr="00873B6C">
              <w:rPr>
                <w:sz w:val="16"/>
                <w:szCs w:val="16"/>
              </w:rPr>
              <w:t>16.4.0</w:t>
            </w:r>
          </w:p>
        </w:tc>
      </w:tr>
      <w:tr w:rsidR="00D40151" w:rsidRPr="00873B6C" w14:paraId="345A87FC" w14:textId="77777777" w:rsidTr="009D14FB">
        <w:tc>
          <w:tcPr>
            <w:tcW w:w="800" w:type="dxa"/>
            <w:shd w:val="solid" w:color="FFFFFF" w:fill="auto"/>
          </w:tcPr>
          <w:p w14:paraId="724C962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F28557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962A7CB"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68CBE532" w14:textId="77777777" w:rsidR="00D40151" w:rsidRPr="00873B6C" w:rsidRDefault="00D40151" w:rsidP="009D14FB">
            <w:pPr>
              <w:pStyle w:val="TAL"/>
              <w:rPr>
                <w:sz w:val="16"/>
                <w:szCs w:val="16"/>
              </w:rPr>
            </w:pPr>
            <w:r w:rsidRPr="00873B6C">
              <w:rPr>
                <w:sz w:val="16"/>
                <w:szCs w:val="16"/>
              </w:rPr>
              <w:t>1749</w:t>
            </w:r>
          </w:p>
        </w:tc>
        <w:tc>
          <w:tcPr>
            <w:tcW w:w="425" w:type="dxa"/>
            <w:shd w:val="solid" w:color="FFFFFF" w:fill="auto"/>
          </w:tcPr>
          <w:p w14:paraId="71248FD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22AE514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707FCA" w14:textId="77777777" w:rsidR="00D40151" w:rsidRPr="00873B6C" w:rsidRDefault="00D40151" w:rsidP="009D14FB">
            <w:pPr>
              <w:pStyle w:val="TAL"/>
              <w:rPr>
                <w:sz w:val="16"/>
                <w:szCs w:val="16"/>
              </w:rPr>
            </w:pPr>
            <w:r w:rsidRPr="00873B6C">
              <w:rPr>
                <w:sz w:val="16"/>
                <w:szCs w:val="16"/>
              </w:rPr>
              <w:t>Item#4: Apply StaticFilteringEntry information in 5GS</w:t>
            </w:r>
          </w:p>
        </w:tc>
        <w:tc>
          <w:tcPr>
            <w:tcW w:w="708" w:type="dxa"/>
            <w:shd w:val="solid" w:color="FFFFFF" w:fill="auto"/>
          </w:tcPr>
          <w:p w14:paraId="3AE312F1" w14:textId="77777777" w:rsidR="00D40151" w:rsidRPr="00873B6C" w:rsidRDefault="00D40151" w:rsidP="009D14FB">
            <w:pPr>
              <w:pStyle w:val="TAC"/>
              <w:rPr>
                <w:sz w:val="16"/>
                <w:szCs w:val="16"/>
              </w:rPr>
            </w:pPr>
            <w:r w:rsidRPr="00873B6C">
              <w:rPr>
                <w:sz w:val="16"/>
                <w:szCs w:val="16"/>
              </w:rPr>
              <w:t>16.4.0</w:t>
            </w:r>
          </w:p>
        </w:tc>
      </w:tr>
      <w:tr w:rsidR="00D40151" w:rsidRPr="00873B6C" w14:paraId="2CFD2C57" w14:textId="77777777" w:rsidTr="009D14FB">
        <w:tc>
          <w:tcPr>
            <w:tcW w:w="800" w:type="dxa"/>
            <w:shd w:val="solid" w:color="FFFFFF" w:fill="auto"/>
          </w:tcPr>
          <w:p w14:paraId="101F9F9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83B5EC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8AF7467"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4E1135CF" w14:textId="77777777" w:rsidR="00D40151" w:rsidRPr="00873B6C" w:rsidRDefault="00D40151" w:rsidP="009D14FB">
            <w:pPr>
              <w:pStyle w:val="TAL"/>
              <w:rPr>
                <w:sz w:val="16"/>
                <w:szCs w:val="16"/>
              </w:rPr>
            </w:pPr>
            <w:r w:rsidRPr="00873B6C">
              <w:rPr>
                <w:sz w:val="16"/>
                <w:szCs w:val="16"/>
              </w:rPr>
              <w:t>1782</w:t>
            </w:r>
          </w:p>
        </w:tc>
        <w:tc>
          <w:tcPr>
            <w:tcW w:w="425" w:type="dxa"/>
            <w:shd w:val="solid" w:color="FFFFFF" w:fill="auto"/>
          </w:tcPr>
          <w:p w14:paraId="054A2E5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9E0F89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AE17D8" w14:textId="77777777" w:rsidR="00D40151" w:rsidRPr="00873B6C" w:rsidRDefault="00D40151" w:rsidP="009D14FB">
            <w:pPr>
              <w:pStyle w:val="TAL"/>
              <w:rPr>
                <w:sz w:val="16"/>
                <w:szCs w:val="16"/>
              </w:rPr>
            </w:pPr>
            <w:r w:rsidRPr="00873B6C">
              <w:rPr>
                <w:sz w:val="16"/>
                <w:szCs w:val="16"/>
              </w:rPr>
              <w:t>Applicability of PS data off to ATSSS and MA PDU sessions</w:t>
            </w:r>
          </w:p>
        </w:tc>
        <w:tc>
          <w:tcPr>
            <w:tcW w:w="708" w:type="dxa"/>
            <w:shd w:val="solid" w:color="FFFFFF" w:fill="auto"/>
          </w:tcPr>
          <w:p w14:paraId="2FD58286" w14:textId="77777777" w:rsidR="00D40151" w:rsidRPr="00873B6C" w:rsidRDefault="00D40151" w:rsidP="009D14FB">
            <w:pPr>
              <w:pStyle w:val="TAC"/>
              <w:rPr>
                <w:sz w:val="16"/>
                <w:szCs w:val="16"/>
              </w:rPr>
            </w:pPr>
            <w:r w:rsidRPr="00873B6C">
              <w:rPr>
                <w:sz w:val="16"/>
                <w:szCs w:val="16"/>
              </w:rPr>
              <w:t>16.4.0</w:t>
            </w:r>
          </w:p>
        </w:tc>
      </w:tr>
      <w:tr w:rsidR="00D40151" w:rsidRPr="00873B6C" w14:paraId="590AD1DD" w14:textId="77777777" w:rsidTr="009D14FB">
        <w:tc>
          <w:tcPr>
            <w:tcW w:w="800" w:type="dxa"/>
            <w:shd w:val="solid" w:color="FFFFFF" w:fill="auto"/>
          </w:tcPr>
          <w:p w14:paraId="079AE165" w14:textId="77777777" w:rsidR="00D40151" w:rsidRPr="00873B6C" w:rsidRDefault="00D40151" w:rsidP="009D14FB">
            <w:pPr>
              <w:pStyle w:val="TAC"/>
              <w:rPr>
                <w:sz w:val="16"/>
                <w:szCs w:val="16"/>
              </w:rPr>
            </w:pPr>
            <w:r w:rsidRPr="00873B6C">
              <w:rPr>
                <w:sz w:val="16"/>
                <w:szCs w:val="16"/>
              </w:rPr>
              <w:lastRenderedPageBreak/>
              <w:t>2020-03</w:t>
            </w:r>
          </w:p>
        </w:tc>
        <w:tc>
          <w:tcPr>
            <w:tcW w:w="800" w:type="dxa"/>
            <w:shd w:val="solid" w:color="FFFFFF" w:fill="auto"/>
          </w:tcPr>
          <w:p w14:paraId="5BC5A6B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899E88A"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537ACE19" w14:textId="77777777" w:rsidR="00D40151" w:rsidRPr="00873B6C" w:rsidRDefault="00D40151" w:rsidP="009D14FB">
            <w:pPr>
              <w:pStyle w:val="TAL"/>
              <w:rPr>
                <w:sz w:val="16"/>
                <w:szCs w:val="16"/>
              </w:rPr>
            </w:pPr>
            <w:r w:rsidRPr="00873B6C">
              <w:rPr>
                <w:sz w:val="16"/>
                <w:szCs w:val="16"/>
              </w:rPr>
              <w:t>1783</w:t>
            </w:r>
          </w:p>
        </w:tc>
        <w:tc>
          <w:tcPr>
            <w:tcW w:w="425" w:type="dxa"/>
            <w:shd w:val="solid" w:color="FFFFFF" w:fill="auto"/>
          </w:tcPr>
          <w:p w14:paraId="2941785D"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4FB3551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D4FE65" w14:textId="77777777" w:rsidR="00D40151" w:rsidRPr="00873B6C" w:rsidRDefault="00D40151" w:rsidP="009D14FB">
            <w:pPr>
              <w:pStyle w:val="TAL"/>
              <w:rPr>
                <w:sz w:val="16"/>
                <w:szCs w:val="16"/>
              </w:rPr>
            </w:pPr>
            <w:r w:rsidRPr="00873B6C">
              <w:rPr>
                <w:sz w:val="16"/>
                <w:szCs w:val="16"/>
              </w:rPr>
              <w:t>UE IDLE over N3GPP responding to indication of DL data when access is available</w:t>
            </w:r>
          </w:p>
        </w:tc>
        <w:tc>
          <w:tcPr>
            <w:tcW w:w="708" w:type="dxa"/>
            <w:shd w:val="solid" w:color="FFFFFF" w:fill="auto"/>
          </w:tcPr>
          <w:p w14:paraId="5F303FC2" w14:textId="77777777" w:rsidR="00D40151" w:rsidRPr="00873B6C" w:rsidRDefault="00D40151" w:rsidP="009D14FB">
            <w:pPr>
              <w:pStyle w:val="TAC"/>
              <w:rPr>
                <w:sz w:val="16"/>
                <w:szCs w:val="16"/>
              </w:rPr>
            </w:pPr>
            <w:r w:rsidRPr="00873B6C">
              <w:rPr>
                <w:sz w:val="16"/>
                <w:szCs w:val="16"/>
              </w:rPr>
              <w:t>16.4.0</w:t>
            </w:r>
          </w:p>
        </w:tc>
      </w:tr>
      <w:tr w:rsidR="00D40151" w:rsidRPr="00873B6C" w14:paraId="44E9CF64" w14:textId="77777777" w:rsidTr="009D14FB">
        <w:tc>
          <w:tcPr>
            <w:tcW w:w="800" w:type="dxa"/>
            <w:shd w:val="solid" w:color="FFFFFF" w:fill="auto"/>
          </w:tcPr>
          <w:p w14:paraId="0F21E3B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22930C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1403714"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78DC160" w14:textId="77777777" w:rsidR="00D40151" w:rsidRPr="00873B6C" w:rsidRDefault="00D40151" w:rsidP="009D14FB">
            <w:pPr>
              <w:pStyle w:val="TAL"/>
              <w:rPr>
                <w:sz w:val="16"/>
                <w:szCs w:val="16"/>
              </w:rPr>
            </w:pPr>
            <w:r w:rsidRPr="00873B6C">
              <w:rPr>
                <w:sz w:val="16"/>
                <w:szCs w:val="16"/>
              </w:rPr>
              <w:t>1799</w:t>
            </w:r>
          </w:p>
        </w:tc>
        <w:tc>
          <w:tcPr>
            <w:tcW w:w="425" w:type="dxa"/>
            <w:shd w:val="solid" w:color="FFFFFF" w:fill="auto"/>
          </w:tcPr>
          <w:p w14:paraId="544041D0"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40299C6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622570" w14:textId="77777777" w:rsidR="00D40151" w:rsidRPr="00873B6C" w:rsidRDefault="00D40151" w:rsidP="009D14FB">
            <w:pPr>
              <w:pStyle w:val="TAL"/>
              <w:rPr>
                <w:sz w:val="16"/>
                <w:szCs w:val="16"/>
              </w:rPr>
            </w:pPr>
            <w:r w:rsidRPr="00873B6C">
              <w:rPr>
                <w:sz w:val="16"/>
                <w:szCs w:val="16"/>
              </w:rPr>
              <w:t>Support of CAG ID privacy</w:t>
            </w:r>
          </w:p>
        </w:tc>
        <w:tc>
          <w:tcPr>
            <w:tcW w:w="708" w:type="dxa"/>
            <w:shd w:val="solid" w:color="FFFFFF" w:fill="auto"/>
          </w:tcPr>
          <w:p w14:paraId="2B43037E" w14:textId="77777777" w:rsidR="00D40151" w:rsidRPr="00873B6C" w:rsidRDefault="00D40151" w:rsidP="009D14FB">
            <w:pPr>
              <w:pStyle w:val="TAC"/>
              <w:rPr>
                <w:sz w:val="16"/>
                <w:szCs w:val="16"/>
              </w:rPr>
            </w:pPr>
            <w:r w:rsidRPr="00873B6C">
              <w:rPr>
                <w:sz w:val="16"/>
                <w:szCs w:val="16"/>
              </w:rPr>
              <w:t>16.4.0</w:t>
            </w:r>
          </w:p>
        </w:tc>
      </w:tr>
      <w:tr w:rsidR="00D40151" w:rsidRPr="00873B6C" w14:paraId="1AEB0AE6" w14:textId="77777777" w:rsidTr="009D14FB">
        <w:tc>
          <w:tcPr>
            <w:tcW w:w="800" w:type="dxa"/>
            <w:shd w:val="solid" w:color="FFFFFF" w:fill="auto"/>
          </w:tcPr>
          <w:p w14:paraId="58C6084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03809D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0DE87F3"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34123F02" w14:textId="77777777" w:rsidR="00D40151" w:rsidRPr="00873B6C" w:rsidRDefault="00D40151" w:rsidP="009D14FB">
            <w:pPr>
              <w:pStyle w:val="TAL"/>
              <w:rPr>
                <w:sz w:val="16"/>
                <w:szCs w:val="16"/>
              </w:rPr>
            </w:pPr>
            <w:r w:rsidRPr="00873B6C">
              <w:rPr>
                <w:sz w:val="16"/>
                <w:szCs w:val="16"/>
              </w:rPr>
              <w:t>1848</w:t>
            </w:r>
          </w:p>
        </w:tc>
        <w:tc>
          <w:tcPr>
            <w:tcW w:w="425" w:type="dxa"/>
            <w:shd w:val="solid" w:color="FFFFFF" w:fill="auto"/>
          </w:tcPr>
          <w:p w14:paraId="3B07FF60" w14:textId="77777777" w:rsidR="00D40151" w:rsidRPr="00873B6C" w:rsidRDefault="00D40151" w:rsidP="009D14FB">
            <w:pPr>
              <w:pStyle w:val="TAL"/>
              <w:rPr>
                <w:sz w:val="16"/>
                <w:szCs w:val="16"/>
              </w:rPr>
            </w:pPr>
            <w:r w:rsidRPr="00873B6C">
              <w:rPr>
                <w:sz w:val="16"/>
                <w:szCs w:val="16"/>
              </w:rPr>
              <w:t>14</w:t>
            </w:r>
          </w:p>
        </w:tc>
        <w:tc>
          <w:tcPr>
            <w:tcW w:w="425" w:type="dxa"/>
            <w:shd w:val="solid" w:color="FFFFFF" w:fill="auto"/>
          </w:tcPr>
          <w:p w14:paraId="3CDCE2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FADB98" w14:textId="77777777" w:rsidR="00D40151" w:rsidRPr="00873B6C" w:rsidRDefault="00D40151" w:rsidP="009D14FB">
            <w:pPr>
              <w:pStyle w:val="TAL"/>
              <w:rPr>
                <w:sz w:val="16"/>
                <w:szCs w:val="16"/>
              </w:rPr>
            </w:pPr>
            <w:r w:rsidRPr="00873B6C">
              <w:rPr>
                <w:sz w:val="16"/>
                <w:szCs w:val="16"/>
              </w:rPr>
              <w:t>Introduction of the Inter PLMN UP functionality in the architecture</w:t>
            </w:r>
          </w:p>
        </w:tc>
        <w:tc>
          <w:tcPr>
            <w:tcW w:w="708" w:type="dxa"/>
            <w:shd w:val="solid" w:color="FFFFFF" w:fill="auto"/>
          </w:tcPr>
          <w:p w14:paraId="32C717DB" w14:textId="77777777" w:rsidR="00D40151" w:rsidRPr="00873B6C" w:rsidRDefault="00D40151" w:rsidP="009D14FB">
            <w:pPr>
              <w:pStyle w:val="TAC"/>
              <w:rPr>
                <w:sz w:val="16"/>
                <w:szCs w:val="16"/>
              </w:rPr>
            </w:pPr>
            <w:r w:rsidRPr="00873B6C">
              <w:rPr>
                <w:sz w:val="16"/>
                <w:szCs w:val="16"/>
              </w:rPr>
              <w:t>16.4.0</w:t>
            </w:r>
          </w:p>
        </w:tc>
      </w:tr>
      <w:tr w:rsidR="00D40151" w:rsidRPr="00873B6C" w14:paraId="57073BC3" w14:textId="77777777" w:rsidTr="009D14FB">
        <w:tc>
          <w:tcPr>
            <w:tcW w:w="800" w:type="dxa"/>
            <w:shd w:val="solid" w:color="FFFFFF" w:fill="auto"/>
          </w:tcPr>
          <w:p w14:paraId="460DCC7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A69EE8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CF15603"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017D932D" w14:textId="77777777" w:rsidR="00D40151" w:rsidRPr="00873B6C" w:rsidRDefault="00D40151" w:rsidP="009D14FB">
            <w:pPr>
              <w:pStyle w:val="TAL"/>
              <w:rPr>
                <w:sz w:val="16"/>
                <w:szCs w:val="16"/>
              </w:rPr>
            </w:pPr>
            <w:r w:rsidRPr="00873B6C">
              <w:rPr>
                <w:sz w:val="16"/>
                <w:szCs w:val="16"/>
              </w:rPr>
              <w:t>1882</w:t>
            </w:r>
          </w:p>
        </w:tc>
        <w:tc>
          <w:tcPr>
            <w:tcW w:w="425" w:type="dxa"/>
            <w:shd w:val="solid" w:color="FFFFFF" w:fill="auto"/>
          </w:tcPr>
          <w:p w14:paraId="4983CFF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0CEB7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65CDE8" w14:textId="77777777" w:rsidR="00D40151" w:rsidRPr="00873B6C" w:rsidRDefault="00D40151" w:rsidP="009D14FB">
            <w:pPr>
              <w:pStyle w:val="TAL"/>
              <w:rPr>
                <w:sz w:val="16"/>
                <w:szCs w:val="16"/>
              </w:rPr>
            </w:pPr>
            <w:r w:rsidRPr="00873B6C">
              <w:rPr>
                <w:sz w:val="16"/>
                <w:szCs w:val="16"/>
              </w:rPr>
              <w:t>UDM - AUSF Discovery &amp; Selection in an SNPN</w:t>
            </w:r>
          </w:p>
        </w:tc>
        <w:tc>
          <w:tcPr>
            <w:tcW w:w="708" w:type="dxa"/>
            <w:shd w:val="solid" w:color="FFFFFF" w:fill="auto"/>
          </w:tcPr>
          <w:p w14:paraId="5D992402" w14:textId="77777777" w:rsidR="00D40151" w:rsidRPr="00873B6C" w:rsidRDefault="00D40151" w:rsidP="009D14FB">
            <w:pPr>
              <w:pStyle w:val="TAC"/>
              <w:rPr>
                <w:sz w:val="16"/>
                <w:szCs w:val="16"/>
              </w:rPr>
            </w:pPr>
            <w:r w:rsidRPr="00873B6C">
              <w:rPr>
                <w:sz w:val="16"/>
                <w:szCs w:val="16"/>
              </w:rPr>
              <w:t>16.4.0</w:t>
            </w:r>
          </w:p>
        </w:tc>
      </w:tr>
      <w:tr w:rsidR="00D40151" w:rsidRPr="00873B6C" w14:paraId="75C4A473" w14:textId="77777777" w:rsidTr="009D14FB">
        <w:tc>
          <w:tcPr>
            <w:tcW w:w="800" w:type="dxa"/>
            <w:shd w:val="solid" w:color="FFFFFF" w:fill="auto"/>
          </w:tcPr>
          <w:p w14:paraId="4B8C9C4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C5433F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55AABAC"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3278EBFB" w14:textId="77777777" w:rsidR="00D40151" w:rsidRPr="00873B6C" w:rsidRDefault="00D40151" w:rsidP="009D14FB">
            <w:pPr>
              <w:pStyle w:val="TAL"/>
              <w:rPr>
                <w:sz w:val="16"/>
                <w:szCs w:val="16"/>
              </w:rPr>
            </w:pPr>
            <w:r w:rsidRPr="00873B6C">
              <w:rPr>
                <w:sz w:val="16"/>
                <w:szCs w:val="16"/>
              </w:rPr>
              <w:t>1947</w:t>
            </w:r>
          </w:p>
        </w:tc>
        <w:tc>
          <w:tcPr>
            <w:tcW w:w="425" w:type="dxa"/>
            <w:shd w:val="solid" w:color="FFFFFF" w:fill="auto"/>
          </w:tcPr>
          <w:p w14:paraId="6401D7D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5C172C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5BF2F6" w14:textId="77777777" w:rsidR="00D40151" w:rsidRPr="00873B6C" w:rsidRDefault="00D40151" w:rsidP="009D14FB">
            <w:pPr>
              <w:pStyle w:val="TAL"/>
              <w:rPr>
                <w:sz w:val="16"/>
                <w:szCs w:val="16"/>
              </w:rPr>
            </w:pPr>
            <w:r w:rsidRPr="00873B6C">
              <w:rPr>
                <w:sz w:val="16"/>
                <w:szCs w:val="16"/>
              </w:rPr>
              <w:t>Corrections to general MA PDU session handling</w:t>
            </w:r>
          </w:p>
        </w:tc>
        <w:tc>
          <w:tcPr>
            <w:tcW w:w="708" w:type="dxa"/>
            <w:shd w:val="solid" w:color="FFFFFF" w:fill="auto"/>
          </w:tcPr>
          <w:p w14:paraId="37849E96" w14:textId="77777777" w:rsidR="00D40151" w:rsidRPr="00873B6C" w:rsidRDefault="00D40151" w:rsidP="009D14FB">
            <w:pPr>
              <w:pStyle w:val="TAC"/>
              <w:rPr>
                <w:sz w:val="16"/>
                <w:szCs w:val="16"/>
              </w:rPr>
            </w:pPr>
            <w:r w:rsidRPr="00873B6C">
              <w:rPr>
                <w:sz w:val="16"/>
                <w:szCs w:val="16"/>
              </w:rPr>
              <w:t>16.4.0</w:t>
            </w:r>
          </w:p>
        </w:tc>
      </w:tr>
      <w:tr w:rsidR="00D40151" w:rsidRPr="00873B6C" w14:paraId="6C6D6D17" w14:textId="77777777" w:rsidTr="009D14FB">
        <w:tc>
          <w:tcPr>
            <w:tcW w:w="800" w:type="dxa"/>
            <w:shd w:val="solid" w:color="FFFFFF" w:fill="auto"/>
          </w:tcPr>
          <w:p w14:paraId="13E5C65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0F5D2B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1A08BCC"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271FCD47" w14:textId="77777777" w:rsidR="00D40151" w:rsidRPr="00873B6C" w:rsidRDefault="00D40151" w:rsidP="009D14FB">
            <w:pPr>
              <w:pStyle w:val="TAL"/>
              <w:rPr>
                <w:sz w:val="16"/>
                <w:szCs w:val="16"/>
              </w:rPr>
            </w:pPr>
            <w:r w:rsidRPr="00873B6C">
              <w:rPr>
                <w:sz w:val="16"/>
                <w:szCs w:val="16"/>
              </w:rPr>
              <w:t>1951</w:t>
            </w:r>
          </w:p>
        </w:tc>
        <w:tc>
          <w:tcPr>
            <w:tcW w:w="425" w:type="dxa"/>
            <w:shd w:val="solid" w:color="FFFFFF" w:fill="auto"/>
          </w:tcPr>
          <w:p w14:paraId="0A12F12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3BA9F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9979A0C" w14:textId="77777777" w:rsidR="00D40151" w:rsidRPr="00873B6C" w:rsidRDefault="00D40151" w:rsidP="009D14FB">
            <w:pPr>
              <w:pStyle w:val="TAL"/>
              <w:rPr>
                <w:sz w:val="16"/>
                <w:szCs w:val="16"/>
              </w:rPr>
            </w:pPr>
            <w:r w:rsidRPr="00873B6C">
              <w:rPr>
                <w:sz w:val="16"/>
                <w:szCs w:val="16"/>
              </w:rPr>
              <w:t>Clarifying gPTP message forwarding for multiple TSN PDU sessions</w:t>
            </w:r>
          </w:p>
        </w:tc>
        <w:tc>
          <w:tcPr>
            <w:tcW w:w="708" w:type="dxa"/>
            <w:shd w:val="solid" w:color="FFFFFF" w:fill="auto"/>
          </w:tcPr>
          <w:p w14:paraId="47FDBDF6" w14:textId="77777777" w:rsidR="00D40151" w:rsidRPr="00873B6C" w:rsidRDefault="00D40151" w:rsidP="009D14FB">
            <w:pPr>
              <w:pStyle w:val="TAC"/>
              <w:rPr>
                <w:sz w:val="16"/>
                <w:szCs w:val="16"/>
              </w:rPr>
            </w:pPr>
            <w:r w:rsidRPr="00873B6C">
              <w:rPr>
                <w:sz w:val="16"/>
                <w:szCs w:val="16"/>
              </w:rPr>
              <w:t>16.4.0</w:t>
            </w:r>
          </w:p>
        </w:tc>
      </w:tr>
      <w:tr w:rsidR="00D40151" w:rsidRPr="00873B6C" w14:paraId="5579822C" w14:textId="77777777" w:rsidTr="009D14FB">
        <w:tc>
          <w:tcPr>
            <w:tcW w:w="800" w:type="dxa"/>
            <w:shd w:val="solid" w:color="FFFFFF" w:fill="auto"/>
          </w:tcPr>
          <w:p w14:paraId="3CFF0CA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F965CD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6742740"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1112B438" w14:textId="77777777" w:rsidR="00D40151" w:rsidRPr="00873B6C" w:rsidRDefault="00D40151" w:rsidP="009D14FB">
            <w:pPr>
              <w:pStyle w:val="TAL"/>
              <w:rPr>
                <w:sz w:val="16"/>
                <w:szCs w:val="16"/>
              </w:rPr>
            </w:pPr>
            <w:r w:rsidRPr="00873B6C">
              <w:rPr>
                <w:sz w:val="16"/>
                <w:szCs w:val="16"/>
              </w:rPr>
              <w:t>1957</w:t>
            </w:r>
          </w:p>
        </w:tc>
        <w:tc>
          <w:tcPr>
            <w:tcW w:w="425" w:type="dxa"/>
            <w:shd w:val="solid" w:color="FFFFFF" w:fill="auto"/>
          </w:tcPr>
          <w:p w14:paraId="1598866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76846B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6E2158" w14:textId="77777777" w:rsidR="00D40151" w:rsidRPr="00873B6C" w:rsidRDefault="00D40151" w:rsidP="009D14FB">
            <w:pPr>
              <w:pStyle w:val="TAL"/>
              <w:rPr>
                <w:sz w:val="16"/>
                <w:szCs w:val="16"/>
              </w:rPr>
            </w:pPr>
            <w:r w:rsidRPr="00873B6C">
              <w:rPr>
                <w:sz w:val="16"/>
                <w:szCs w:val="16"/>
              </w:rPr>
              <w:t>Adding ATSSS functionality into the UPF</w:t>
            </w:r>
          </w:p>
        </w:tc>
        <w:tc>
          <w:tcPr>
            <w:tcW w:w="708" w:type="dxa"/>
            <w:shd w:val="solid" w:color="FFFFFF" w:fill="auto"/>
          </w:tcPr>
          <w:p w14:paraId="1A01E34B" w14:textId="77777777" w:rsidR="00D40151" w:rsidRPr="00873B6C" w:rsidRDefault="00D40151" w:rsidP="009D14FB">
            <w:pPr>
              <w:pStyle w:val="TAC"/>
              <w:rPr>
                <w:sz w:val="16"/>
                <w:szCs w:val="16"/>
              </w:rPr>
            </w:pPr>
            <w:r w:rsidRPr="00873B6C">
              <w:rPr>
                <w:sz w:val="16"/>
                <w:szCs w:val="16"/>
              </w:rPr>
              <w:t>16.4.0</w:t>
            </w:r>
          </w:p>
        </w:tc>
      </w:tr>
      <w:tr w:rsidR="00D40151" w:rsidRPr="00873B6C" w14:paraId="3F50999C" w14:textId="77777777" w:rsidTr="009D14FB">
        <w:tc>
          <w:tcPr>
            <w:tcW w:w="800" w:type="dxa"/>
            <w:shd w:val="solid" w:color="FFFFFF" w:fill="auto"/>
          </w:tcPr>
          <w:p w14:paraId="3183A83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2D9958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04A61CB"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109664FE" w14:textId="77777777" w:rsidR="00D40151" w:rsidRPr="00873B6C" w:rsidRDefault="00D40151" w:rsidP="009D14FB">
            <w:pPr>
              <w:pStyle w:val="TAL"/>
              <w:rPr>
                <w:sz w:val="16"/>
                <w:szCs w:val="16"/>
              </w:rPr>
            </w:pPr>
            <w:r w:rsidRPr="00873B6C">
              <w:rPr>
                <w:sz w:val="16"/>
                <w:szCs w:val="16"/>
              </w:rPr>
              <w:t>1980</w:t>
            </w:r>
          </w:p>
        </w:tc>
        <w:tc>
          <w:tcPr>
            <w:tcW w:w="425" w:type="dxa"/>
            <w:shd w:val="solid" w:color="FFFFFF" w:fill="auto"/>
          </w:tcPr>
          <w:p w14:paraId="74AD193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FAE6F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053896" w14:textId="77777777" w:rsidR="00D40151" w:rsidRPr="00873B6C" w:rsidRDefault="00D40151" w:rsidP="009D14FB">
            <w:pPr>
              <w:pStyle w:val="TAL"/>
              <w:rPr>
                <w:sz w:val="16"/>
                <w:szCs w:val="16"/>
              </w:rPr>
            </w:pPr>
            <w:r w:rsidRPr="00873B6C">
              <w:rPr>
                <w:sz w:val="16"/>
                <w:szCs w:val="16"/>
              </w:rPr>
              <w:t>MDBV mapping and configuration for TSC QoS Flow</w:t>
            </w:r>
          </w:p>
        </w:tc>
        <w:tc>
          <w:tcPr>
            <w:tcW w:w="708" w:type="dxa"/>
            <w:shd w:val="solid" w:color="FFFFFF" w:fill="auto"/>
          </w:tcPr>
          <w:p w14:paraId="2D58B626" w14:textId="77777777" w:rsidR="00D40151" w:rsidRPr="00873B6C" w:rsidRDefault="00D40151" w:rsidP="009D14FB">
            <w:pPr>
              <w:pStyle w:val="TAC"/>
              <w:rPr>
                <w:sz w:val="16"/>
                <w:szCs w:val="16"/>
              </w:rPr>
            </w:pPr>
            <w:r w:rsidRPr="00873B6C">
              <w:rPr>
                <w:sz w:val="16"/>
                <w:szCs w:val="16"/>
              </w:rPr>
              <w:t>16.4.0</w:t>
            </w:r>
          </w:p>
        </w:tc>
      </w:tr>
      <w:tr w:rsidR="00D40151" w:rsidRPr="00873B6C" w14:paraId="46553494" w14:textId="77777777" w:rsidTr="009D14FB">
        <w:tc>
          <w:tcPr>
            <w:tcW w:w="800" w:type="dxa"/>
            <w:shd w:val="solid" w:color="FFFFFF" w:fill="auto"/>
          </w:tcPr>
          <w:p w14:paraId="1221CC4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5A70BD3"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47D686E"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A1C2871" w14:textId="77777777" w:rsidR="00D40151" w:rsidRPr="00873B6C" w:rsidRDefault="00D40151" w:rsidP="009D14FB">
            <w:pPr>
              <w:pStyle w:val="TAL"/>
              <w:rPr>
                <w:sz w:val="16"/>
                <w:szCs w:val="16"/>
              </w:rPr>
            </w:pPr>
            <w:r w:rsidRPr="00873B6C">
              <w:rPr>
                <w:sz w:val="16"/>
                <w:szCs w:val="16"/>
              </w:rPr>
              <w:t>2007</w:t>
            </w:r>
          </w:p>
        </w:tc>
        <w:tc>
          <w:tcPr>
            <w:tcW w:w="425" w:type="dxa"/>
            <w:shd w:val="solid" w:color="FFFFFF" w:fill="auto"/>
          </w:tcPr>
          <w:p w14:paraId="654840C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FEA08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4D7565" w14:textId="77777777" w:rsidR="00D40151" w:rsidRPr="00873B6C" w:rsidRDefault="00D40151" w:rsidP="009D14FB">
            <w:pPr>
              <w:pStyle w:val="TAL"/>
              <w:rPr>
                <w:sz w:val="16"/>
                <w:szCs w:val="16"/>
              </w:rPr>
            </w:pPr>
            <w:r w:rsidRPr="00873B6C">
              <w:rPr>
                <w:sz w:val="16"/>
                <w:szCs w:val="16"/>
              </w:rPr>
              <w:t>Correction on TSCAI: TSN open issue #1</w:t>
            </w:r>
          </w:p>
        </w:tc>
        <w:tc>
          <w:tcPr>
            <w:tcW w:w="708" w:type="dxa"/>
            <w:shd w:val="solid" w:color="FFFFFF" w:fill="auto"/>
          </w:tcPr>
          <w:p w14:paraId="669D9475" w14:textId="77777777" w:rsidR="00D40151" w:rsidRPr="00873B6C" w:rsidRDefault="00D40151" w:rsidP="009D14FB">
            <w:pPr>
              <w:pStyle w:val="TAC"/>
              <w:rPr>
                <w:sz w:val="16"/>
                <w:szCs w:val="16"/>
              </w:rPr>
            </w:pPr>
            <w:r w:rsidRPr="00873B6C">
              <w:rPr>
                <w:sz w:val="16"/>
                <w:szCs w:val="16"/>
              </w:rPr>
              <w:t>16.4.0</w:t>
            </w:r>
          </w:p>
        </w:tc>
      </w:tr>
      <w:tr w:rsidR="00D40151" w:rsidRPr="00873B6C" w14:paraId="31600FF9" w14:textId="77777777" w:rsidTr="009D14FB">
        <w:tc>
          <w:tcPr>
            <w:tcW w:w="800" w:type="dxa"/>
            <w:shd w:val="solid" w:color="FFFFFF" w:fill="auto"/>
          </w:tcPr>
          <w:p w14:paraId="4DCEF71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7E9373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8F741D8"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70A5DCA6" w14:textId="77777777" w:rsidR="00D40151" w:rsidRPr="00873B6C" w:rsidRDefault="00D40151" w:rsidP="009D14FB">
            <w:pPr>
              <w:pStyle w:val="TAL"/>
              <w:rPr>
                <w:sz w:val="16"/>
                <w:szCs w:val="16"/>
              </w:rPr>
            </w:pPr>
            <w:r w:rsidRPr="00873B6C">
              <w:rPr>
                <w:sz w:val="16"/>
                <w:szCs w:val="16"/>
              </w:rPr>
              <w:t>2009</w:t>
            </w:r>
          </w:p>
        </w:tc>
        <w:tc>
          <w:tcPr>
            <w:tcW w:w="425" w:type="dxa"/>
            <w:shd w:val="solid" w:color="FFFFFF" w:fill="auto"/>
          </w:tcPr>
          <w:p w14:paraId="260EBCB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69E4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63D203" w14:textId="77777777" w:rsidR="00D40151" w:rsidRPr="00873B6C" w:rsidRDefault="00D40151" w:rsidP="009D14FB">
            <w:pPr>
              <w:pStyle w:val="TAL"/>
              <w:rPr>
                <w:sz w:val="16"/>
                <w:szCs w:val="16"/>
              </w:rPr>
            </w:pPr>
            <w:r w:rsidRPr="00873B6C">
              <w:rPr>
                <w:sz w:val="16"/>
                <w:szCs w:val="16"/>
              </w:rPr>
              <w:t>Correct errors in Port Management information table</w:t>
            </w:r>
          </w:p>
        </w:tc>
        <w:tc>
          <w:tcPr>
            <w:tcW w:w="708" w:type="dxa"/>
            <w:shd w:val="solid" w:color="FFFFFF" w:fill="auto"/>
          </w:tcPr>
          <w:p w14:paraId="137CAF5C" w14:textId="77777777" w:rsidR="00D40151" w:rsidRPr="00873B6C" w:rsidRDefault="00D40151" w:rsidP="009D14FB">
            <w:pPr>
              <w:pStyle w:val="TAC"/>
              <w:rPr>
                <w:sz w:val="16"/>
                <w:szCs w:val="16"/>
              </w:rPr>
            </w:pPr>
            <w:r w:rsidRPr="00873B6C">
              <w:rPr>
                <w:sz w:val="16"/>
                <w:szCs w:val="16"/>
              </w:rPr>
              <w:t>16.4.0</w:t>
            </w:r>
          </w:p>
        </w:tc>
      </w:tr>
      <w:tr w:rsidR="00D40151" w:rsidRPr="00873B6C" w14:paraId="48B47475" w14:textId="77777777" w:rsidTr="009D14FB">
        <w:tc>
          <w:tcPr>
            <w:tcW w:w="800" w:type="dxa"/>
            <w:shd w:val="solid" w:color="FFFFFF" w:fill="auto"/>
          </w:tcPr>
          <w:p w14:paraId="4D519C1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EDE405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F578B4C" w14:textId="77777777" w:rsidR="00D40151" w:rsidRPr="00873B6C" w:rsidRDefault="00D40151" w:rsidP="009D14FB">
            <w:pPr>
              <w:pStyle w:val="TAC"/>
              <w:rPr>
                <w:sz w:val="16"/>
                <w:szCs w:val="16"/>
              </w:rPr>
            </w:pPr>
            <w:r w:rsidRPr="00873B6C">
              <w:rPr>
                <w:sz w:val="16"/>
                <w:szCs w:val="16"/>
              </w:rPr>
              <w:t>SP-200071</w:t>
            </w:r>
          </w:p>
        </w:tc>
        <w:tc>
          <w:tcPr>
            <w:tcW w:w="567" w:type="dxa"/>
            <w:shd w:val="solid" w:color="FFFFFF" w:fill="auto"/>
          </w:tcPr>
          <w:p w14:paraId="1C87AAD8" w14:textId="77777777" w:rsidR="00D40151" w:rsidRPr="00873B6C" w:rsidRDefault="00D40151" w:rsidP="009D14FB">
            <w:pPr>
              <w:pStyle w:val="TAL"/>
              <w:rPr>
                <w:sz w:val="16"/>
                <w:szCs w:val="16"/>
              </w:rPr>
            </w:pPr>
            <w:r w:rsidRPr="00873B6C">
              <w:rPr>
                <w:sz w:val="16"/>
                <w:szCs w:val="16"/>
              </w:rPr>
              <w:t>2011</w:t>
            </w:r>
          </w:p>
        </w:tc>
        <w:tc>
          <w:tcPr>
            <w:tcW w:w="425" w:type="dxa"/>
            <w:shd w:val="solid" w:color="FFFFFF" w:fill="auto"/>
          </w:tcPr>
          <w:p w14:paraId="1BB1D7D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0B235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C92233" w14:textId="77777777" w:rsidR="00D40151" w:rsidRPr="00873B6C" w:rsidRDefault="00D40151" w:rsidP="009D14FB">
            <w:pPr>
              <w:pStyle w:val="TAL"/>
              <w:rPr>
                <w:sz w:val="16"/>
                <w:szCs w:val="16"/>
              </w:rPr>
            </w:pPr>
            <w:r w:rsidRPr="00873B6C">
              <w:rPr>
                <w:sz w:val="16"/>
                <w:szCs w:val="16"/>
              </w:rPr>
              <w:t>Re-allowing UE for services after the NSSAA revocation</w:t>
            </w:r>
          </w:p>
        </w:tc>
        <w:tc>
          <w:tcPr>
            <w:tcW w:w="708" w:type="dxa"/>
            <w:shd w:val="solid" w:color="FFFFFF" w:fill="auto"/>
          </w:tcPr>
          <w:p w14:paraId="0231B9E0" w14:textId="77777777" w:rsidR="00D40151" w:rsidRPr="00873B6C" w:rsidRDefault="00D40151" w:rsidP="009D14FB">
            <w:pPr>
              <w:pStyle w:val="TAC"/>
              <w:rPr>
                <w:sz w:val="16"/>
                <w:szCs w:val="16"/>
              </w:rPr>
            </w:pPr>
            <w:r w:rsidRPr="00873B6C">
              <w:rPr>
                <w:sz w:val="16"/>
                <w:szCs w:val="16"/>
              </w:rPr>
              <w:t>16.4.0</w:t>
            </w:r>
          </w:p>
        </w:tc>
      </w:tr>
      <w:tr w:rsidR="00D40151" w:rsidRPr="00873B6C" w14:paraId="583EA3F4" w14:textId="77777777" w:rsidTr="009D14FB">
        <w:tc>
          <w:tcPr>
            <w:tcW w:w="800" w:type="dxa"/>
            <w:shd w:val="solid" w:color="FFFFFF" w:fill="auto"/>
          </w:tcPr>
          <w:p w14:paraId="4DE47B2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15679E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D8FD68D"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226E98B" w14:textId="77777777" w:rsidR="00D40151" w:rsidRPr="00873B6C" w:rsidRDefault="00D40151" w:rsidP="009D14FB">
            <w:pPr>
              <w:pStyle w:val="TAL"/>
              <w:rPr>
                <w:sz w:val="16"/>
                <w:szCs w:val="16"/>
              </w:rPr>
            </w:pPr>
            <w:r w:rsidRPr="00873B6C">
              <w:rPr>
                <w:sz w:val="16"/>
                <w:szCs w:val="16"/>
              </w:rPr>
              <w:t>2015</w:t>
            </w:r>
          </w:p>
        </w:tc>
        <w:tc>
          <w:tcPr>
            <w:tcW w:w="425" w:type="dxa"/>
            <w:shd w:val="solid" w:color="FFFFFF" w:fill="auto"/>
          </w:tcPr>
          <w:p w14:paraId="79DA38F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C8097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1EE008" w14:textId="77777777" w:rsidR="00D40151" w:rsidRPr="00873B6C" w:rsidRDefault="00D40151" w:rsidP="009D14FB">
            <w:pPr>
              <w:pStyle w:val="TAL"/>
              <w:rPr>
                <w:sz w:val="16"/>
                <w:szCs w:val="16"/>
              </w:rPr>
            </w:pPr>
            <w:r w:rsidRPr="00873B6C">
              <w:rPr>
                <w:sz w:val="16"/>
                <w:szCs w:val="16"/>
              </w:rPr>
              <w:t>CN component of the PDB is configured per UL and DL</w:t>
            </w:r>
          </w:p>
        </w:tc>
        <w:tc>
          <w:tcPr>
            <w:tcW w:w="708" w:type="dxa"/>
            <w:shd w:val="solid" w:color="FFFFFF" w:fill="auto"/>
          </w:tcPr>
          <w:p w14:paraId="778584A5" w14:textId="77777777" w:rsidR="00D40151" w:rsidRPr="00873B6C" w:rsidRDefault="00D40151" w:rsidP="009D14FB">
            <w:pPr>
              <w:pStyle w:val="TAC"/>
              <w:rPr>
                <w:sz w:val="16"/>
                <w:szCs w:val="16"/>
              </w:rPr>
            </w:pPr>
            <w:r w:rsidRPr="00873B6C">
              <w:rPr>
                <w:sz w:val="16"/>
                <w:szCs w:val="16"/>
              </w:rPr>
              <w:t>16.4.0</w:t>
            </w:r>
          </w:p>
        </w:tc>
      </w:tr>
      <w:tr w:rsidR="00D40151" w:rsidRPr="00873B6C" w14:paraId="213F3479" w14:textId="77777777" w:rsidTr="009D14FB">
        <w:tc>
          <w:tcPr>
            <w:tcW w:w="800" w:type="dxa"/>
            <w:shd w:val="solid" w:color="FFFFFF" w:fill="auto"/>
          </w:tcPr>
          <w:p w14:paraId="7624A4C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D237A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9AE58C9"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309103BE" w14:textId="77777777" w:rsidR="00D40151" w:rsidRPr="00873B6C" w:rsidRDefault="00D40151" w:rsidP="009D14FB">
            <w:pPr>
              <w:pStyle w:val="TAL"/>
              <w:rPr>
                <w:sz w:val="16"/>
                <w:szCs w:val="16"/>
              </w:rPr>
            </w:pPr>
            <w:r w:rsidRPr="00873B6C">
              <w:rPr>
                <w:sz w:val="16"/>
                <w:szCs w:val="16"/>
              </w:rPr>
              <w:t>2017</w:t>
            </w:r>
          </w:p>
        </w:tc>
        <w:tc>
          <w:tcPr>
            <w:tcW w:w="425" w:type="dxa"/>
            <w:shd w:val="solid" w:color="FFFFFF" w:fill="auto"/>
          </w:tcPr>
          <w:p w14:paraId="4649591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6EB31E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E72CE3" w14:textId="77777777" w:rsidR="00D40151" w:rsidRPr="00873B6C" w:rsidRDefault="00D40151" w:rsidP="009D14FB">
            <w:pPr>
              <w:pStyle w:val="TAL"/>
              <w:rPr>
                <w:sz w:val="16"/>
                <w:szCs w:val="16"/>
              </w:rPr>
            </w:pPr>
            <w:r w:rsidRPr="00873B6C">
              <w:rPr>
                <w:sz w:val="16"/>
                <w:szCs w:val="16"/>
              </w:rPr>
              <w:t>Correcting AMF selection</w:t>
            </w:r>
          </w:p>
        </w:tc>
        <w:tc>
          <w:tcPr>
            <w:tcW w:w="708" w:type="dxa"/>
            <w:shd w:val="solid" w:color="FFFFFF" w:fill="auto"/>
          </w:tcPr>
          <w:p w14:paraId="4AB1C77F" w14:textId="77777777" w:rsidR="00D40151" w:rsidRPr="00873B6C" w:rsidRDefault="00D40151" w:rsidP="009D14FB">
            <w:pPr>
              <w:pStyle w:val="TAC"/>
              <w:rPr>
                <w:sz w:val="16"/>
                <w:szCs w:val="16"/>
              </w:rPr>
            </w:pPr>
            <w:r w:rsidRPr="00873B6C">
              <w:rPr>
                <w:sz w:val="16"/>
                <w:szCs w:val="16"/>
              </w:rPr>
              <w:t>16.4.0</w:t>
            </w:r>
          </w:p>
        </w:tc>
      </w:tr>
      <w:tr w:rsidR="00D40151" w:rsidRPr="00873B6C" w14:paraId="496671A8" w14:textId="77777777" w:rsidTr="009D14FB">
        <w:tc>
          <w:tcPr>
            <w:tcW w:w="800" w:type="dxa"/>
            <w:shd w:val="solid" w:color="FFFFFF" w:fill="auto"/>
          </w:tcPr>
          <w:p w14:paraId="10CCB79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8AACC3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B69C0C2"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5314BDB3" w14:textId="77777777" w:rsidR="00D40151" w:rsidRPr="00873B6C" w:rsidRDefault="00D40151" w:rsidP="009D14FB">
            <w:pPr>
              <w:pStyle w:val="TAL"/>
              <w:rPr>
                <w:sz w:val="16"/>
                <w:szCs w:val="16"/>
              </w:rPr>
            </w:pPr>
            <w:r w:rsidRPr="00873B6C">
              <w:rPr>
                <w:sz w:val="16"/>
                <w:szCs w:val="16"/>
              </w:rPr>
              <w:t>2019</w:t>
            </w:r>
          </w:p>
        </w:tc>
        <w:tc>
          <w:tcPr>
            <w:tcW w:w="425" w:type="dxa"/>
            <w:shd w:val="solid" w:color="FFFFFF" w:fill="auto"/>
          </w:tcPr>
          <w:p w14:paraId="5DBE532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9897B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65FA1D" w14:textId="77777777" w:rsidR="00D40151" w:rsidRPr="00873B6C" w:rsidRDefault="00D40151" w:rsidP="009D14FB">
            <w:pPr>
              <w:pStyle w:val="TAL"/>
              <w:rPr>
                <w:sz w:val="16"/>
                <w:szCs w:val="16"/>
              </w:rPr>
            </w:pPr>
            <w:r w:rsidRPr="00873B6C">
              <w:rPr>
                <w:sz w:val="16"/>
                <w:szCs w:val="16"/>
              </w:rPr>
              <w:t>Procedures for handover between SNPN and PLMN</w:t>
            </w:r>
          </w:p>
        </w:tc>
        <w:tc>
          <w:tcPr>
            <w:tcW w:w="708" w:type="dxa"/>
            <w:shd w:val="solid" w:color="FFFFFF" w:fill="auto"/>
          </w:tcPr>
          <w:p w14:paraId="153911A4" w14:textId="77777777" w:rsidR="00D40151" w:rsidRPr="00873B6C" w:rsidRDefault="00D40151" w:rsidP="009D14FB">
            <w:pPr>
              <w:pStyle w:val="TAC"/>
              <w:rPr>
                <w:sz w:val="16"/>
                <w:szCs w:val="16"/>
              </w:rPr>
            </w:pPr>
            <w:r w:rsidRPr="00873B6C">
              <w:rPr>
                <w:sz w:val="16"/>
                <w:szCs w:val="16"/>
              </w:rPr>
              <w:t>16.4.0</w:t>
            </w:r>
          </w:p>
        </w:tc>
      </w:tr>
      <w:tr w:rsidR="00D40151" w:rsidRPr="00873B6C" w14:paraId="7EC28073" w14:textId="77777777" w:rsidTr="009D14FB">
        <w:tc>
          <w:tcPr>
            <w:tcW w:w="800" w:type="dxa"/>
            <w:shd w:val="solid" w:color="FFFFFF" w:fill="auto"/>
          </w:tcPr>
          <w:p w14:paraId="7A2312E5"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E98C55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5D86976"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4A52A431" w14:textId="77777777" w:rsidR="00D40151" w:rsidRPr="00873B6C" w:rsidRDefault="00D40151" w:rsidP="009D14FB">
            <w:pPr>
              <w:pStyle w:val="TAL"/>
              <w:rPr>
                <w:sz w:val="16"/>
                <w:szCs w:val="16"/>
              </w:rPr>
            </w:pPr>
            <w:r w:rsidRPr="00873B6C">
              <w:rPr>
                <w:sz w:val="16"/>
                <w:szCs w:val="16"/>
              </w:rPr>
              <w:t>2020</w:t>
            </w:r>
          </w:p>
        </w:tc>
        <w:tc>
          <w:tcPr>
            <w:tcW w:w="425" w:type="dxa"/>
            <w:shd w:val="solid" w:color="FFFFFF" w:fill="auto"/>
          </w:tcPr>
          <w:p w14:paraId="5F71BAD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91A08E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6D33E62" w14:textId="77777777" w:rsidR="00D40151" w:rsidRPr="00873B6C" w:rsidRDefault="00D40151" w:rsidP="009D14FB">
            <w:pPr>
              <w:pStyle w:val="TAL"/>
              <w:rPr>
                <w:sz w:val="16"/>
                <w:szCs w:val="16"/>
              </w:rPr>
            </w:pPr>
            <w:r w:rsidRPr="00873B6C">
              <w:rPr>
                <w:sz w:val="16"/>
                <w:szCs w:val="16"/>
              </w:rPr>
              <w:t>MTU size considerations</w:t>
            </w:r>
          </w:p>
        </w:tc>
        <w:tc>
          <w:tcPr>
            <w:tcW w:w="708" w:type="dxa"/>
            <w:shd w:val="solid" w:color="FFFFFF" w:fill="auto"/>
          </w:tcPr>
          <w:p w14:paraId="510D1A9B" w14:textId="77777777" w:rsidR="00D40151" w:rsidRPr="00873B6C" w:rsidRDefault="00D40151" w:rsidP="009D14FB">
            <w:pPr>
              <w:pStyle w:val="TAC"/>
              <w:rPr>
                <w:sz w:val="16"/>
                <w:szCs w:val="16"/>
              </w:rPr>
            </w:pPr>
            <w:r w:rsidRPr="00873B6C">
              <w:rPr>
                <w:sz w:val="16"/>
                <w:szCs w:val="16"/>
              </w:rPr>
              <w:t>16.4.0</w:t>
            </w:r>
          </w:p>
        </w:tc>
      </w:tr>
      <w:tr w:rsidR="00D40151" w:rsidRPr="00873B6C" w14:paraId="480774D6" w14:textId="77777777" w:rsidTr="009D14FB">
        <w:tc>
          <w:tcPr>
            <w:tcW w:w="800" w:type="dxa"/>
            <w:shd w:val="solid" w:color="FFFFFF" w:fill="auto"/>
          </w:tcPr>
          <w:p w14:paraId="06C6BB4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10C7F2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7777AAD" w14:textId="77777777" w:rsidR="00D40151" w:rsidRPr="00873B6C" w:rsidRDefault="00D40151" w:rsidP="009D14FB">
            <w:pPr>
              <w:pStyle w:val="TAC"/>
              <w:rPr>
                <w:sz w:val="16"/>
                <w:szCs w:val="16"/>
              </w:rPr>
            </w:pPr>
            <w:r w:rsidRPr="00873B6C">
              <w:rPr>
                <w:sz w:val="16"/>
                <w:szCs w:val="16"/>
              </w:rPr>
              <w:t>SP-200065</w:t>
            </w:r>
          </w:p>
        </w:tc>
        <w:tc>
          <w:tcPr>
            <w:tcW w:w="567" w:type="dxa"/>
            <w:shd w:val="solid" w:color="FFFFFF" w:fill="auto"/>
          </w:tcPr>
          <w:p w14:paraId="2DAA0176" w14:textId="77777777" w:rsidR="00D40151" w:rsidRPr="00873B6C" w:rsidRDefault="00D40151" w:rsidP="009D14FB">
            <w:pPr>
              <w:pStyle w:val="TAL"/>
              <w:rPr>
                <w:sz w:val="16"/>
                <w:szCs w:val="16"/>
              </w:rPr>
            </w:pPr>
            <w:r w:rsidRPr="00873B6C">
              <w:rPr>
                <w:sz w:val="16"/>
                <w:szCs w:val="16"/>
              </w:rPr>
              <w:t>2021</w:t>
            </w:r>
          </w:p>
        </w:tc>
        <w:tc>
          <w:tcPr>
            <w:tcW w:w="425" w:type="dxa"/>
            <w:shd w:val="solid" w:color="FFFFFF" w:fill="auto"/>
          </w:tcPr>
          <w:p w14:paraId="6E06D1B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6A7A4F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701841" w14:textId="77777777" w:rsidR="00D40151" w:rsidRPr="00873B6C" w:rsidRDefault="00D40151" w:rsidP="009D14FB">
            <w:pPr>
              <w:pStyle w:val="TAL"/>
              <w:rPr>
                <w:sz w:val="16"/>
                <w:szCs w:val="16"/>
              </w:rPr>
            </w:pPr>
            <w:r w:rsidRPr="00873B6C">
              <w:rPr>
                <w:sz w:val="16"/>
                <w:szCs w:val="16"/>
              </w:rPr>
              <w:t>Binding for notification reselection corrections</w:t>
            </w:r>
          </w:p>
        </w:tc>
        <w:tc>
          <w:tcPr>
            <w:tcW w:w="708" w:type="dxa"/>
            <w:shd w:val="solid" w:color="FFFFFF" w:fill="auto"/>
          </w:tcPr>
          <w:p w14:paraId="3F5F59DE" w14:textId="77777777" w:rsidR="00D40151" w:rsidRPr="00873B6C" w:rsidRDefault="00D40151" w:rsidP="009D14FB">
            <w:pPr>
              <w:pStyle w:val="TAC"/>
              <w:rPr>
                <w:sz w:val="16"/>
                <w:szCs w:val="16"/>
              </w:rPr>
            </w:pPr>
            <w:r w:rsidRPr="00873B6C">
              <w:rPr>
                <w:sz w:val="16"/>
                <w:szCs w:val="16"/>
              </w:rPr>
              <w:t>16.4.0</w:t>
            </w:r>
          </w:p>
        </w:tc>
      </w:tr>
      <w:tr w:rsidR="00D40151" w:rsidRPr="00873B6C" w14:paraId="34E75145" w14:textId="77777777" w:rsidTr="009D14FB">
        <w:tc>
          <w:tcPr>
            <w:tcW w:w="800" w:type="dxa"/>
            <w:shd w:val="solid" w:color="FFFFFF" w:fill="auto"/>
          </w:tcPr>
          <w:p w14:paraId="611A11C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027F50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7F0C8B1" w14:textId="77777777" w:rsidR="00D40151" w:rsidRPr="00873B6C" w:rsidRDefault="00D40151" w:rsidP="009D14FB">
            <w:pPr>
              <w:pStyle w:val="TAC"/>
              <w:rPr>
                <w:sz w:val="16"/>
                <w:szCs w:val="16"/>
              </w:rPr>
            </w:pPr>
            <w:r w:rsidRPr="00873B6C">
              <w:rPr>
                <w:sz w:val="16"/>
                <w:szCs w:val="16"/>
              </w:rPr>
              <w:t>SP-200065</w:t>
            </w:r>
          </w:p>
        </w:tc>
        <w:tc>
          <w:tcPr>
            <w:tcW w:w="567" w:type="dxa"/>
            <w:shd w:val="solid" w:color="FFFFFF" w:fill="auto"/>
          </w:tcPr>
          <w:p w14:paraId="4B500764" w14:textId="77777777" w:rsidR="00D40151" w:rsidRPr="00873B6C" w:rsidRDefault="00D40151" w:rsidP="009D14FB">
            <w:pPr>
              <w:pStyle w:val="TAL"/>
              <w:rPr>
                <w:sz w:val="16"/>
                <w:szCs w:val="16"/>
              </w:rPr>
            </w:pPr>
            <w:r w:rsidRPr="00873B6C">
              <w:rPr>
                <w:sz w:val="16"/>
                <w:szCs w:val="16"/>
              </w:rPr>
              <w:t>2022</w:t>
            </w:r>
          </w:p>
        </w:tc>
        <w:tc>
          <w:tcPr>
            <w:tcW w:w="425" w:type="dxa"/>
            <w:shd w:val="solid" w:color="FFFFFF" w:fill="auto"/>
          </w:tcPr>
          <w:p w14:paraId="5838600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5C9623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CA6247" w14:textId="77777777" w:rsidR="00D40151" w:rsidRPr="00873B6C" w:rsidRDefault="00D40151" w:rsidP="009D14FB">
            <w:pPr>
              <w:pStyle w:val="TAL"/>
              <w:rPr>
                <w:sz w:val="16"/>
                <w:szCs w:val="16"/>
              </w:rPr>
            </w:pPr>
            <w:r w:rsidRPr="00873B6C">
              <w:rPr>
                <w:sz w:val="16"/>
                <w:szCs w:val="16"/>
              </w:rPr>
              <w:t>Correcting delegated discovery for PCF</w:t>
            </w:r>
          </w:p>
        </w:tc>
        <w:tc>
          <w:tcPr>
            <w:tcW w:w="708" w:type="dxa"/>
            <w:shd w:val="solid" w:color="FFFFFF" w:fill="auto"/>
          </w:tcPr>
          <w:p w14:paraId="04290667" w14:textId="77777777" w:rsidR="00D40151" w:rsidRPr="00873B6C" w:rsidRDefault="00D40151" w:rsidP="009D14FB">
            <w:pPr>
              <w:pStyle w:val="TAC"/>
              <w:rPr>
                <w:sz w:val="16"/>
                <w:szCs w:val="16"/>
              </w:rPr>
            </w:pPr>
            <w:r w:rsidRPr="00873B6C">
              <w:rPr>
                <w:sz w:val="16"/>
                <w:szCs w:val="16"/>
              </w:rPr>
              <w:t>16.4.0</w:t>
            </w:r>
          </w:p>
        </w:tc>
      </w:tr>
      <w:tr w:rsidR="00D40151" w:rsidRPr="00873B6C" w14:paraId="30FACADF" w14:textId="77777777" w:rsidTr="009D14FB">
        <w:tc>
          <w:tcPr>
            <w:tcW w:w="800" w:type="dxa"/>
            <w:shd w:val="solid" w:color="FFFFFF" w:fill="auto"/>
          </w:tcPr>
          <w:p w14:paraId="2925923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167332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F214917"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0AFDB181" w14:textId="77777777" w:rsidR="00D40151" w:rsidRPr="00873B6C" w:rsidRDefault="00D40151" w:rsidP="009D14FB">
            <w:pPr>
              <w:pStyle w:val="TAL"/>
              <w:rPr>
                <w:sz w:val="16"/>
                <w:szCs w:val="16"/>
              </w:rPr>
            </w:pPr>
            <w:r w:rsidRPr="00873B6C">
              <w:rPr>
                <w:sz w:val="16"/>
                <w:szCs w:val="16"/>
              </w:rPr>
              <w:t>2026</w:t>
            </w:r>
          </w:p>
        </w:tc>
        <w:tc>
          <w:tcPr>
            <w:tcW w:w="425" w:type="dxa"/>
            <w:shd w:val="solid" w:color="FFFFFF" w:fill="auto"/>
          </w:tcPr>
          <w:p w14:paraId="418F538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284BF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AEDBCF" w14:textId="4E5A64FF" w:rsidR="00D40151" w:rsidRPr="00873B6C" w:rsidRDefault="00D40151" w:rsidP="009D14FB">
            <w:pPr>
              <w:pStyle w:val="TAL"/>
              <w:rPr>
                <w:sz w:val="16"/>
                <w:szCs w:val="16"/>
              </w:rPr>
            </w:pPr>
            <w:r w:rsidRPr="00873B6C">
              <w:rPr>
                <w:sz w:val="16"/>
                <w:szCs w:val="16"/>
              </w:rPr>
              <w:t>Correction of current context and using 5GS bridge to refer to 5GS functions act as TSN bridge</w:t>
            </w:r>
            <w:r w:rsidR="00704A9E" w:rsidRPr="00873B6C">
              <w:rPr>
                <w:sz w:val="16"/>
                <w:szCs w:val="16"/>
              </w:rPr>
              <w:t xml:space="preserve"> </w:t>
            </w:r>
          </w:p>
        </w:tc>
        <w:tc>
          <w:tcPr>
            <w:tcW w:w="708" w:type="dxa"/>
            <w:shd w:val="solid" w:color="FFFFFF" w:fill="auto"/>
          </w:tcPr>
          <w:p w14:paraId="3433596F" w14:textId="77777777" w:rsidR="00D40151" w:rsidRPr="00873B6C" w:rsidRDefault="00D40151" w:rsidP="009D14FB">
            <w:pPr>
              <w:pStyle w:val="TAC"/>
              <w:rPr>
                <w:sz w:val="16"/>
                <w:szCs w:val="16"/>
              </w:rPr>
            </w:pPr>
            <w:r w:rsidRPr="00873B6C">
              <w:rPr>
                <w:sz w:val="16"/>
                <w:szCs w:val="16"/>
              </w:rPr>
              <w:t>16.4.0</w:t>
            </w:r>
          </w:p>
        </w:tc>
      </w:tr>
      <w:tr w:rsidR="00D40151" w:rsidRPr="00873B6C" w14:paraId="653F9815" w14:textId="77777777" w:rsidTr="009D14FB">
        <w:tc>
          <w:tcPr>
            <w:tcW w:w="800" w:type="dxa"/>
            <w:shd w:val="solid" w:color="FFFFFF" w:fill="auto"/>
          </w:tcPr>
          <w:p w14:paraId="204594C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86A0A0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70FD064"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04BA4CFF" w14:textId="77777777" w:rsidR="00D40151" w:rsidRPr="00873B6C" w:rsidRDefault="00D40151" w:rsidP="009D14FB">
            <w:pPr>
              <w:pStyle w:val="TAL"/>
              <w:rPr>
                <w:sz w:val="16"/>
                <w:szCs w:val="16"/>
              </w:rPr>
            </w:pPr>
            <w:r w:rsidRPr="00873B6C">
              <w:rPr>
                <w:sz w:val="16"/>
                <w:szCs w:val="16"/>
              </w:rPr>
              <w:t>2027</w:t>
            </w:r>
          </w:p>
        </w:tc>
        <w:tc>
          <w:tcPr>
            <w:tcW w:w="425" w:type="dxa"/>
            <w:shd w:val="solid" w:color="FFFFFF" w:fill="auto"/>
          </w:tcPr>
          <w:p w14:paraId="7A287CB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E4688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EA8E62" w14:textId="77777777" w:rsidR="00D40151" w:rsidRPr="00873B6C" w:rsidRDefault="00D40151" w:rsidP="009D14FB">
            <w:pPr>
              <w:pStyle w:val="TAL"/>
              <w:rPr>
                <w:sz w:val="16"/>
                <w:szCs w:val="16"/>
              </w:rPr>
            </w:pPr>
            <w:r w:rsidRPr="00873B6C">
              <w:rPr>
                <w:sz w:val="16"/>
                <w:szCs w:val="16"/>
              </w:rPr>
              <w:t>Support of Wireline access requires both N1 signalling and N2 signalling</w:t>
            </w:r>
          </w:p>
        </w:tc>
        <w:tc>
          <w:tcPr>
            <w:tcW w:w="708" w:type="dxa"/>
            <w:shd w:val="solid" w:color="FFFFFF" w:fill="auto"/>
          </w:tcPr>
          <w:p w14:paraId="2B6538C5" w14:textId="77777777" w:rsidR="00D40151" w:rsidRPr="00873B6C" w:rsidRDefault="00D40151" w:rsidP="009D14FB">
            <w:pPr>
              <w:pStyle w:val="TAC"/>
              <w:rPr>
                <w:sz w:val="16"/>
                <w:szCs w:val="16"/>
              </w:rPr>
            </w:pPr>
            <w:r w:rsidRPr="00873B6C">
              <w:rPr>
                <w:sz w:val="16"/>
                <w:szCs w:val="16"/>
              </w:rPr>
              <w:t>16.4.0</w:t>
            </w:r>
          </w:p>
        </w:tc>
      </w:tr>
      <w:tr w:rsidR="00D40151" w:rsidRPr="00873B6C" w14:paraId="7DB4C3BB" w14:textId="77777777" w:rsidTr="009D14FB">
        <w:tc>
          <w:tcPr>
            <w:tcW w:w="800" w:type="dxa"/>
            <w:shd w:val="solid" w:color="FFFFFF" w:fill="auto"/>
          </w:tcPr>
          <w:p w14:paraId="53BA5883"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EE26F3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FD21BE0"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7A843A5C" w14:textId="77777777" w:rsidR="00D40151" w:rsidRPr="00873B6C" w:rsidRDefault="00D40151" w:rsidP="009D14FB">
            <w:pPr>
              <w:pStyle w:val="TAL"/>
              <w:rPr>
                <w:sz w:val="16"/>
                <w:szCs w:val="16"/>
              </w:rPr>
            </w:pPr>
            <w:r w:rsidRPr="00873B6C">
              <w:rPr>
                <w:sz w:val="16"/>
                <w:szCs w:val="16"/>
              </w:rPr>
              <w:t>2028</w:t>
            </w:r>
          </w:p>
        </w:tc>
        <w:tc>
          <w:tcPr>
            <w:tcW w:w="425" w:type="dxa"/>
            <w:shd w:val="solid" w:color="FFFFFF" w:fill="auto"/>
          </w:tcPr>
          <w:p w14:paraId="3DBFE16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536B0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2AF715" w14:textId="77777777" w:rsidR="00D40151" w:rsidRPr="00873B6C" w:rsidRDefault="00D40151" w:rsidP="009D14FB">
            <w:pPr>
              <w:pStyle w:val="TAL"/>
              <w:rPr>
                <w:sz w:val="16"/>
                <w:szCs w:val="16"/>
              </w:rPr>
            </w:pPr>
            <w:r w:rsidRPr="00873B6C">
              <w:rPr>
                <w:sz w:val="16"/>
                <w:szCs w:val="16"/>
              </w:rPr>
              <w:t>Clarification on the 5G VN usage of IP Multicast mechanisms from TS 23.316</w:t>
            </w:r>
          </w:p>
        </w:tc>
        <w:tc>
          <w:tcPr>
            <w:tcW w:w="708" w:type="dxa"/>
            <w:shd w:val="solid" w:color="FFFFFF" w:fill="auto"/>
          </w:tcPr>
          <w:p w14:paraId="7155A556" w14:textId="77777777" w:rsidR="00D40151" w:rsidRPr="00873B6C" w:rsidRDefault="00D40151" w:rsidP="009D14FB">
            <w:pPr>
              <w:pStyle w:val="TAC"/>
              <w:rPr>
                <w:sz w:val="16"/>
                <w:szCs w:val="16"/>
              </w:rPr>
            </w:pPr>
            <w:r w:rsidRPr="00873B6C">
              <w:rPr>
                <w:sz w:val="16"/>
                <w:szCs w:val="16"/>
              </w:rPr>
              <w:t>16.4.0</w:t>
            </w:r>
          </w:p>
        </w:tc>
      </w:tr>
      <w:tr w:rsidR="00D40151" w:rsidRPr="00873B6C" w14:paraId="548C4F3F" w14:textId="77777777" w:rsidTr="009D14FB">
        <w:tc>
          <w:tcPr>
            <w:tcW w:w="800" w:type="dxa"/>
            <w:shd w:val="solid" w:color="FFFFFF" w:fill="auto"/>
          </w:tcPr>
          <w:p w14:paraId="1AC5E7E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55F46D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32D747C"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21DA6C60" w14:textId="77777777" w:rsidR="00D40151" w:rsidRPr="00873B6C" w:rsidRDefault="00D40151" w:rsidP="009D14FB">
            <w:pPr>
              <w:pStyle w:val="TAL"/>
              <w:rPr>
                <w:sz w:val="16"/>
                <w:szCs w:val="16"/>
              </w:rPr>
            </w:pPr>
            <w:r w:rsidRPr="00873B6C">
              <w:rPr>
                <w:sz w:val="16"/>
                <w:szCs w:val="16"/>
              </w:rPr>
              <w:t>2029</w:t>
            </w:r>
          </w:p>
        </w:tc>
        <w:tc>
          <w:tcPr>
            <w:tcW w:w="425" w:type="dxa"/>
            <w:shd w:val="solid" w:color="FFFFFF" w:fill="auto"/>
          </w:tcPr>
          <w:p w14:paraId="537C629C"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5DFDC4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1369D0" w14:textId="77777777" w:rsidR="00D40151" w:rsidRPr="00873B6C" w:rsidRDefault="00D40151" w:rsidP="009D14FB">
            <w:pPr>
              <w:pStyle w:val="TAL"/>
              <w:rPr>
                <w:sz w:val="16"/>
                <w:szCs w:val="16"/>
              </w:rPr>
            </w:pPr>
            <w:r w:rsidRPr="00873B6C">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873B6C" w:rsidRDefault="00D40151" w:rsidP="009D14FB">
            <w:pPr>
              <w:pStyle w:val="TAC"/>
              <w:rPr>
                <w:sz w:val="16"/>
                <w:szCs w:val="16"/>
              </w:rPr>
            </w:pPr>
            <w:r w:rsidRPr="00873B6C">
              <w:rPr>
                <w:sz w:val="16"/>
                <w:szCs w:val="16"/>
              </w:rPr>
              <w:t>16.4.0</w:t>
            </w:r>
          </w:p>
        </w:tc>
      </w:tr>
      <w:tr w:rsidR="00D40151" w:rsidRPr="00873B6C" w14:paraId="5FE02BD4" w14:textId="77777777" w:rsidTr="009D14FB">
        <w:tc>
          <w:tcPr>
            <w:tcW w:w="800" w:type="dxa"/>
            <w:shd w:val="solid" w:color="FFFFFF" w:fill="auto"/>
          </w:tcPr>
          <w:p w14:paraId="25C9010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B39148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7D6491A" w14:textId="77777777" w:rsidR="00D40151" w:rsidRPr="00873B6C" w:rsidRDefault="00D40151" w:rsidP="009D14FB">
            <w:pPr>
              <w:pStyle w:val="TAC"/>
              <w:rPr>
                <w:sz w:val="16"/>
                <w:szCs w:val="16"/>
              </w:rPr>
            </w:pPr>
            <w:r w:rsidRPr="00873B6C">
              <w:rPr>
                <w:sz w:val="16"/>
                <w:szCs w:val="16"/>
              </w:rPr>
              <w:t>SP-200072</w:t>
            </w:r>
          </w:p>
        </w:tc>
        <w:tc>
          <w:tcPr>
            <w:tcW w:w="567" w:type="dxa"/>
            <w:shd w:val="solid" w:color="FFFFFF" w:fill="auto"/>
          </w:tcPr>
          <w:p w14:paraId="02BF4929" w14:textId="77777777" w:rsidR="00D40151" w:rsidRPr="00873B6C" w:rsidRDefault="00D40151" w:rsidP="009D14FB">
            <w:pPr>
              <w:pStyle w:val="TAL"/>
              <w:rPr>
                <w:sz w:val="16"/>
                <w:szCs w:val="16"/>
              </w:rPr>
            </w:pPr>
            <w:r w:rsidRPr="00873B6C">
              <w:rPr>
                <w:sz w:val="16"/>
                <w:szCs w:val="16"/>
              </w:rPr>
              <w:t>2030</w:t>
            </w:r>
          </w:p>
        </w:tc>
        <w:tc>
          <w:tcPr>
            <w:tcW w:w="425" w:type="dxa"/>
            <w:shd w:val="solid" w:color="FFFFFF" w:fill="auto"/>
          </w:tcPr>
          <w:p w14:paraId="7F664DC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2C2F2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CE0D48" w14:textId="77777777" w:rsidR="00D40151" w:rsidRPr="00873B6C" w:rsidRDefault="00D40151" w:rsidP="009D14FB">
            <w:pPr>
              <w:pStyle w:val="TAL"/>
              <w:rPr>
                <w:sz w:val="16"/>
                <w:szCs w:val="16"/>
              </w:rPr>
            </w:pPr>
            <w:r w:rsidRPr="00873B6C">
              <w:rPr>
                <w:sz w:val="16"/>
                <w:szCs w:val="16"/>
              </w:rPr>
              <w:t>Criteria for I-SMF (and V-SMF) selection and change including also ATSSS cases</w:t>
            </w:r>
          </w:p>
        </w:tc>
        <w:tc>
          <w:tcPr>
            <w:tcW w:w="708" w:type="dxa"/>
            <w:shd w:val="solid" w:color="FFFFFF" w:fill="auto"/>
          </w:tcPr>
          <w:p w14:paraId="0AE07474" w14:textId="77777777" w:rsidR="00D40151" w:rsidRPr="00873B6C" w:rsidRDefault="00D40151" w:rsidP="009D14FB">
            <w:pPr>
              <w:pStyle w:val="TAC"/>
              <w:rPr>
                <w:sz w:val="16"/>
                <w:szCs w:val="16"/>
              </w:rPr>
            </w:pPr>
            <w:r w:rsidRPr="00873B6C">
              <w:rPr>
                <w:sz w:val="16"/>
                <w:szCs w:val="16"/>
              </w:rPr>
              <w:t>16.4.0</w:t>
            </w:r>
          </w:p>
        </w:tc>
      </w:tr>
      <w:tr w:rsidR="00D40151" w:rsidRPr="00873B6C" w14:paraId="391F4F59" w14:textId="77777777" w:rsidTr="009D14FB">
        <w:tc>
          <w:tcPr>
            <w:tcW w:w="800" w:type="dxa"/>
            <w:shd w:val="solid" w:color="FFFFFF" w:fill="auto"/>
          </w:tcPr>
          <w:p w14:paraId="35FE4BD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7B1540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8F22660"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2CB71ECC" w14:textId="77777777" w:rsidR="00D40151" w:rsidRPr="00873B6C" w:rsidRDefault="00D40151" w:rsidP="009D14FB">
            <w:pPr>
              <w:pStyle w:val="TAL"/>
              <w:rPr>
                <w:sz w:val="16"/>
                <w:szCs w:val="16"/>
              </w:rPr>
            </w:pPr>
            <w:r w:rsidRPr="00873B6C">
              <w:rPr>
                <w:sz w:val="16"/>
                <w:szCs w:val="16"/>
              </w:rPr>
              <w:t>2031</w:t>
            </w:r>
          </w:p>
        </w:tc>
        <w:tc>
          <w:tcPr>
            <w:tcW w:w="425" w:type="dxa"/>
            <w:shd w:val="solid" w:color="FFFFFF" w:fill="auto"/>
          </w:tcPr>
          <w:p w14:paraId="08253D7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B4EC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D85F85" w14:textId="77777777" w:rsidR="00D40151" w:rsidRPr="00873B6C" w:rsidRDefault="00D40151" w:rsidP="009D14FB">
            <w:pPr>
              <w:pStyle w:val="TAL"/>
              <w:rPr>
                <w:sz w:val="16"/>
                <w:szCs w:val="16"/>
              </w:rPr>
            </w:pPr>
            <w:r w:rsidRPr="00873B6C">
              <w:rPr>
                <w:sz w:val="16"/>
                <w:szCs w:val="16"/>
              </w:rPr>
              <w:t>Support of TNAP identifier when the Trusted Access does not correspond to WLAN</w:t>
            </w:r>
          </w:p>
        </w:tc>
        <w:tc>
          <w:tcPr>
            <w:tcW w:w="708" w:type="dxa"/>
            <w:shd w:val="solid" w:color="FFFFFF" w:fill="auto"/>
          </w:tcPr>
          <w:p w14:paraId="11D525FF" w14:textId="77777777" w:rsidR="00D40151" w:rsidRPr="00873B6C" w:rsidRDefault="00D40151" w:rsidP="009D14FB">
            <w:pPr>
              <w:pStyle w:val="TAC"/>
              <w:rPr>
                <w:sz w:val="16"/>
                <w:szCs w:val="16"/>
              </w:rPr>
            </w:pPr>
            <w:r w:rsidRPr="00873B6C">
              <w:rPr>
                <w:sz w:val="16"/>
                <w:szCs w:val="16"/>
              </w:rPr>
              <w:t>16.4.0</w:t>
            </w:r>
          </w:p>
        </w:tc>
      </w:tr>
      <w:tr w:rsidR="00D40151" w:rsidRPr="00873B6C" w14:paraId="3370404A" w14:textId="77777777" w:rsidTr="009D14FB">
        <w:tc>
          <w:tcPr>
            <w:tcW w:w="800" w:type="dxa"/>
            <w:shd w:val="solid" w:color="FFFFFF" w:fill="auto"/>
          </w:tcPr>
          <w:p w14:paraId="0133ED8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02B8EC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2127B55"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7A1252E7" w14:textId="77777777" w:rsidR="00D40151" w:rsidRPr="00873B6C" w:rsidRDefault="00D40151" w:rsidP="009D14FB">
            <w:pPr>
              <w:pStyle w:val="TAL"/>
              <w:rPr>
                <w:sz w:val="16"/>
                <w:szCs w:val="16"/>
              </w:rPr>
            </w:pPr>
            <w:r w:rsidRPr="00873B6C">
              <w:rPr>
                <w:sz w:val="16"/>
                <w:szCs w:val="16"/>
              </w:rPr>
              <w:t>2032</w:t>
            </w:r>
          </w:p>
        </w:tc>
        <w:tc>
          <w:tcPr>
            <w:tcW w:w="425" w:type="dxa"/>
            <w:shd w:val="solid" w:color="FFFFFF" w:fill="auto"/>
          </w:tcPr>
          <w:p w14:paraId="2C035EC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56EF4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253B9F" w14:textId="77777777" w:rsidR="00D40151" w:rsidRPr="00873B6C" w:rsidRDefault="00D40151" w:rsidP="009D14FB">
            <w:pPr>
              <w:pStyle w:val="TAL"/>
              <w:rPr>
                <w:sz w:val="16"/>
                <w:szCs w:val="16"/>
              </w:rPr>
            </w:pPr>
            <w:r w:rsidRPr="00873B6C">
              <w:rPr>
                <w:sz w:val="16"/>
                <w:szCs w:val="16"/>
              </w:rPr>
              <w:t>ATSSS capabilities cooperation between the UE and UPF</w:t>
            </w:r>
          </w:p>
        </w:tc>
        <w:tc>
          <w:tcPr>
            <w:tcW w:w="708" w:type="dxa"/>
            <w:shd w:val="solid" w:color="FFFFFF" w:fill="auto"/>
          </w:tcPr>
          <w:p w14:paraId="616D26A4" w14:textId="77777777" w:rsidR="00D40151" w:rsidRPr="00873B6C" w:rsidRDefault="00D40151" w:rsidP="009D14FB">
            <w:pPr>
              <w:pStyle w:val="TAC"/>
              <w:rPr>
                <w:sz w:val="16"/>
                <w:szCs w:val="16"/>
              </w:rPr>
            </w:pPr>
            <w:r w:rsidRPr="00873B6C">
              <w:rPr>
                <w:sz w:val="16"/>
                <w:szCs w:val="16"/>
              </w:rPr>
              <w:t>16.4.0</w:t>
            </w:r>
          </w:p>
        </w:tc>
      </w:tr>
      <w:tr w:rsidR="00D40151" w:rsidRPr="00873B6C" w14:paraId="67250296" w14:textId="77777777" w:rsidTr="009D14FB">
        <w:tc>
          <w:tcPr>
            <w:tcW w:w="800" w:type="dxa"/>
            <w:shd w:val="solid" w:color="FFFFFF" w:fill="auto"/>
          </w:tcPr>
          <w:p w14:paraId="745F212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08715C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95B5A05"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20994CC8" w14:textId="77777777" w:rsidR="00D40151" w:rsidRPr="00873B6C" w:rsidRDefault="00D40151" w:rsidP="009D14FB">
            <w:pPr>
              <w:pStyle w:val="TAL"/>
              <w:rPr>
                <w:sz w:val="16"/>
                <w:szCs w:val="16"/>
              </w:rPr>
            </w:pPr>
            <w:r w:rsidRPr="00873B6C">
              <w:rPr>
                <w:sz w:val="16"/>
                <w:szCs w:val="16"/>
              </w:rPr>
              <w:t>2033</w:t>
            </w:r>
          </w:p>
        </w:tc>
        <w:tc>
          <w:tcPr>
            <w:tcW w:w="425" w:type="dxa"/>
            <w:shd w:val="solid" w:color="FFFFFF" w:fill="auto"/>
          </w:tcPr>
          <w:p w14:paraId="3423673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D3BFC5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14CF233" w14:textId="77777777" w:rsidR="00D40151" w:rsidRPr="00873B6C" w:rsidRDefault="00D40151" w:rsidP="009D14FB">
            <w:pPr>
              <w:pStyle w:val="TAL"/>
              <w:rPr>
                <w:sz w:val="16"/>
                <w:szCs w:val="16"/>
              </w:rPr>
            </w:pPr>
            <w:r w:rsidRPr="00873B6C">
              <w:rPr>
                <w:sz w:val="16"/>
                <w:szCs w:val="16"/>
              </w:rPr>
              <w:t>Access type and RAT type per Non-3GPP accesses</w:t>
            </w:r>
          </w:p>
        </w:tc>
        <w:tc>
          <w:tcPr>
            <w:tcW w:w="708" w:type="dxa"/>
            <w:shd w:val="solid" w:color="FFFFFF" w:fill="auto"/>
          </w:tcPr>
          <w:p w14:paraId="4FF43869" w14:textId="77777777" w:rsidR="00D40151" w:rsidRPr="00873B6C" w:rsidRDefault="00D40151" w:rsidP="009D14FB">
            <w:pPr>
              <w:pStyle w:val="TAC"/>
              <w:rPr>
                <w:sz w:val="16"/>
                <w:szCs w:val="16"/>
              </w:rPr>
            </w:pPr>
            <w:r w:rsidRPr="00873B6C">
              <w:rPr>
                <w:sz w:val="16"/>
                <w:szCs w:val="16"/>
              </w:rPr>
              <w:t>16.4.0</w:t>
            </w:r>
          </w:p>
        </w:tc>
      </w:tr>
      <w:tr w:rsidR="00D40151" w:rsidRPr="00873B6C" w14:paraId="5067AF55" w14:textId="77777777" w:rsidTr="009D14FB">
        <w:tc>
          <w:tcPr>
            <w:tcW w:w="800" w:type="dxa"/>
            <w:shd w:val="solid" w:color="FFFFFF" w:fill="auto"/>
          </w:tcPr>
          <w:p w14:paraId="11E12AA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62E33A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580E949"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2D8257E8" w14:textId="77777777" w:rsidR="00D40151" w:rsidRPr="00873B6C" w:rsidRDefault="00D40151" w:rsidP="009D14FB">
            <w:pPr>
              <w:pStyle w:val="TAL"/>
              <w:rPr>
                <w:sz w:val="16"/>
                <w:szCs w:val="16"/>
              </w:rPr>
            </w:pPr>
            <w:r w:rsidRPr="00873B6C">
              <w:rPr>
                <w:sz w:val="16"/>
                <w:szCs w:val="16"/>
              </w:rPr>
              <w:t>2035</w:t>
            </w:r>
          </w:p>
        </w:tc>
        <w:tc>
          <w:tcPr>
            <w:tcW w:w="425" w:type="dxa"/>
            <w:shd w:val="solid" w:color="FFFFFF" w:fill="auto"/>
          </w:tcPr>
          <w:p w14:paraId="7C73369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B0170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13F38EF" w14:textId="77777777" w:rsidR="00D40151" w:rsidRPr="00873B6C" w:rsidRDefault="00D40151" w:rsidP="009D14FB">
            <w:pPr>
              <w:pStyle w:val="TAL"/>
              <w:rPr>
                <w:sz w:val="16"/>
                <w:szCs w:val="16"/>
              </w:rPr>
            </w:pPr>
            <w:r w:rsidRPr="00873B6C">
              <w:rPr>
                <w:sz w:val="16"/>
                <w:szCs w:val="16"/>
              </w:rPr>
              <w:t>Service Gap Control handling at UE side during IWK</w:t>
            </w:r>
          </w:p>
        </w:tc>
        <w:tc>
          <w:tcPr>
            <w:tcW w:w="708" w:type="dxa"/>
            <w:shd w:val="solid" w:color="FFFFFF" w:fill="auto"/>
          </w:tcPr>
          <w:p w14:paraId="6177EA62" w14:textId="77777777" w:rsidR="00D40151" w:rsidRPr="00873B6C" w:rsidRDefault="00D40151" w:rsidP="009D14FB">
            <w:pPr>
              <w:pStyle w:val="TAC"/>
              <w:rPr>
                <w:sz w:val="16"/>
                <w:szCs w:val="16"/>
              </w:rPr>
            </w:pPr>
            <w:r w:rsidRPr="00873B6C">
              <w:rPr>
                <w:sz w:val="16"/>
                <w:szCs w:val="16"/>
              </w:rPr>
              <w:t>16.4.0</w:t>
            </w:r>
          </w:p>
        </w:tc>
      </w:tr>
      <w:tr w:rsidR="00D40151" w:rsidRPr="00873B6C" w14:paraId="07BD5D7C" w14:textId="77777777" w:rsidTr="009D14FB">
        <w:tc>
          <w:tcPr>
            <w:tcW w:w="800" w:type="dxa"/>
            <w:shd w:val="solid" w:color="FFFFFF" w:fill="auto"/>
          </w:tcPr>
          <w:p w14:paraId="34BE21C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D22973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3104DEF"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138A96C7" w14:textId="77777777" w:rsidR="00D40151" w:rsidRPr="00873B6C" w:rsidRDefault="00D40151" w:rsidP="009D14FB">
            <w:pPr>
              <w:pStyle w:val="TAL"/>
              <w:rPr>
                <w:sz w:val="16"/>
                <w:szCs w:val="16"/>
              </w:rPr>
            </w:pPr>
            <w:r w:rsidRPr="00873B6C">
              <w:rPr>
                <w:sz w:val="16"/>
                <w:szCs w:val="16"/>
              </w:rPr>
              <w:t>2036</w:t>
            </w:r>
          </w:p>
        </w:tc>
        <w:tc>
          <w:tcPr>
            <w:tcW w:w="425" w:type="dxa"/>
            <w:shd w:val="solid" w:color="FFFFFF" w:fill="auto"/>
          </w:tcPr>
          <w:p w14:paraId="46C718A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F0A6A2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975B0C" w14:textId="77777777" w:rsidR="00D40151" w:rsidRPr="00873B6C" w:rsidRDefault="00D40151" w:rsidP="009D14FB">
            <w:pPr>
              <w:pStyle w:val="TAL"/>
              <w:rPr>
                <w:sz w:val="16"/>
                <w:szCs w:val="16"/>
              </w:rPr>
            </w:pPr>
            <w:r w:rsidRPr="00873B6C">
              <w:rPr>
                <w:sz w:val="16"/>
                <w:szCs w:val="16"/>
              </w:rPr>
              <w:t>Corrections for handling of serving networks not supporting ATSSS</w:t>
            </w:r>
          </w:p>
        </w:tc>
        <w:tc>
          <w:tcPr>
            <w:tcW w:w="708" w:type="dxa"/>
            <w:shd w:val="solid" w:color="FFFFFF" w:fill="auto"/>
          </w:tcPr>
          <w:p w14:paraId="228C9F06" w14:textId="77777777" w:rsidR="00D40151" w:rsidRPr="00873B6C" w:rsidRDefault="00D40151" w:rsidP="009D14FB">
            <w:pPr>
              <w:pStyle w:val="TAC"/>
              <w:rPr>
                <w:sz w:val="16"/>
                <w:szCs w:val="16"/>
              </w:rPr>
            </w:pPr>
            <w:r w:rsidRPr="00873B6C">
              <w:rPr>
                <w:sz w:val="16"/>
                <w:szCs w:val="16"/>
              </w:rPr>
              <w:t>16.4.0</w:t>
            </w:r>
          </w:p>
        </w:tc>
      </w:tr>
      <w:tr w:rsidR="00D40151" w:rsidRPr="00873B6C" w14:paraId="50421BF0" w14:textId="77777777" w:rsidTr="009D14FB">
        <w:tc>
          <w:tcPr>
            <w:tcW w:w="800" w:type="dxa"/>
            <w:shd w:val="solid" w:color="FFFFFF" w:fill="auto"/>
          </w:tcPr>
          <w:p w14:paraId="06B8094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D48E193"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002BD1C"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41DCCEB" w14:textId="77777777" w:rsidR="00D40151" w:rsidRPr="00873B6C" w:rsidRDefault="00D40151" w:rsidP="009D14FB">
            <w:pPr>
              <w:pStyle w:val="TAL"/>
              <w:rPr>
                <w:sz w:val="16"/>
                <w:szCs w:val="16"/>
              </w:rPr>
            </w:pPr>
            <w:r w:rsidRPr="00873B6C">
              <w:rPr>
                <w:sz w:val="16"/>
                <w:szCs w:val="16"/>
              </w:rPr>
              <w:t>2038</w:t>
            </w:r>
          </w:p>
        </w:tc>
        <w:tc>
          <w:tcPr>
            <w:tcW w:w="425" w:type="dxa"/>
            <w:shd w:val="solid" w:color="FFFFFF" w:fill="auto"/>
          </w:tcPr>
          <w:p w14:paraId="564AFC8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5C5D65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BD0D57" w14:textId="77777777" w:rsidR="00D40151" w:rsidRPr="00873B6C" w:rsidRDefault="00D40151" w:rsidP="009D14FB">
            <w:pPr>
              <w:pStyle w:val="TAL"/>
              <w:rPr>
                <w:sz w:val="16"/>
                <w:szCs w:val="16"/>
              </w:rPr>
            </w:pPr>
            <w:r w:rsidRPr="00873B6C">
              <w:rPr>
                <w:sz w:val="16"/>
                <w:szCs w:val="16"/>
              </w:rPr>
              <w:t>Requested NSSAI provided at the AS layer</w:t>
            </w:r>
          </w:p>
        </w:tc>
        <w:tc>
          <w:tcPr>
            <w:tcW w:w="708" w:type="dxa"/>
            <w:shd w:val="solid" w:color="FFFFFF" w:fill="auto"/>
          </w:tcPr>
          <w:p w14:paraId="2CB5A9DC" w14:textId="77777777" w:rsidR="00D40151" w:rsidRPr="00873B6C" w:rsidRDefault="00D40151" w:rsidP="009D14FB">
            <w:pPr>
              <w:pStyle w:val="TAC"/>
              <w:rPr>
                <w:sz w:val="16"/>
                <w:szCs w:val="16"/>
              </w:rPr>
            </w:pPr>
            <w:r w:rsidRPr="00873B6C">
              <w:rPr>
                <w:sz w:val="16"/>
                <w:szCs w:val="16"/>
              </w:rPr>
              <w:t>16.4.0</w:t>
            </w:r>
          </w:p>
        </w:tc>
      </w:tr>
      <w:tr w:rsidR="00D40151" w:rsidRPr="00873B6C" w14:paraId="6137E7B2" w14:textId="77777777" w:rsidTr="009D14FB">
        <w:tc>
          <w:tcPr>
            <w:tcW w:w="800" w:type="dxa"/>
            <w:shd w:val="solid" w:color="FFFFFF" w:fill="auto"/>
          </w:tcPr>
          <w:p w14:paraId="133696D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0446E2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C417CD1" w14:textId="77777777" w:rsidR="00D40151" w:rsidRPr="00873B6C" w:rsidRDefault="00D40151" w:rsidP="009D14FB">
            <w:pPr>
              <w:pStyle w:val="TAC"/>
              <w:rPr>
                <w:sz w:val="16"/>
                <w:szCs w:val="16"/>
              </w:rPr>
            </w:pPr>
            <w:r w:rsidRPr="00873B6C">
              <w:rPr>
                <w:sz w:val="16"/>
                <w:szCs w:val="16"/>
              </w:rPr>
              <w:t>SP-200071</w:t>
            </w:r>
          </w:p>
        </w:tc>
        <w:tc>
          <w:tcPr>
            <w:tcW w:w="567" w:type="dxa"/>
            <w:shd w:val="solid" w:color="FFFFFF" w:fill="auto"/>
          </w:tcPr>
          <w:p w14:paraId="075E4ACD" w14:textId="77777777" w:rsidR="00D40151" w:rsidRPr="00873B6C" w:rsidRDefault="00D40151" w:rsidP="009D14FB">
            <w:pPr>
              <w:pStyle w:val="TAL"/>
              <w:rPr>
                <w:sz w:val="16"/>
                <w:szCs w:val="16"/>
              </w:rPr>
            </w:pPr>
            <w:r w:rsidRPr="00873B6C">
              <w:rPr>
                <w:sz w:val="16"/>
                <w:szCs w:val="16"/>
              </w:rPr>
              <w:t>2040</w:t>
            </w:r>
          </w:p>
        </w:tc>
        <w:tc>
          <w:tcPr>
            <w:tcW w:w="425" w:type="dxa"/>
            <w:shd w:val="solid" w:color="FFFFFF" w:fill="auto"/>
          </w:tcPr>
          <w:p w14:paraId="47684B0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71319F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D905EF" w14:textId="77777777" w:rsidR="00D40151" w:rsidRPr="00873B6C" w:rsidRDefault="00D40151" w:rsidP="009D14FB">
            <w:pPr>
              <w:pStyle w:val="TAL"/>
              <w:rPr>
                <w:sz w:val="16"/>
                <w:szCs w:val="16"/>
              </w:rPr>
            </w:pPr>
            <w:r w:rsidRPr="00873B6C">
              <w:rPr>
                <w:sz w:val="16"/>
                <w:szCs w:val="16"/>
              </w:rPr>
              <w:t>Clarification on pending NSSAI in Network Slice-Specific Authentication and Authorization</w:t>
            </w:r>
          </w:p>
        </w:tc>
        <w:tc>
          <w:tcPr>
            <w:tcW w:w="708" w:type="dxa"/>
            <w:shd w:val="solid" w:color="FFFFFF" w:fill="auto"/>
          </w:tcPr>
          <w:p w14:paraId="5AC56170" w14:textId="77777777" w:rsidR="00D40151" w:rsidRPr="00873B6C" w:rsidRDefault="00D40151" w:rsidP="009D14FB">
            <w:pPr>
              <w:pStyle w:val="TAC"/>
              <w:rPr>
                <w:sz w:val="16"/>
                <w:szCs w:val="16"/>
              </w:rPr>
            </w:pPr>
            <w:r w:rsidRPr="00873B6C">
              <w:rPr>
                <w:sz w:val="16"/>
                <w:szCs w:val="16"/>
              </w:rPr>
              <w:t>16.4.0</w:t>
            </w:r>
          </w:p>
        </w:tc>
      </w:tr>
      <w:tr w:rsidR="00D40151" w:rsidRPr="00873B6C" w14:paraId="1E294559" w14:textId="77777777" w:rsidTr="009D14FB">
        <w:tc>
          <w:tcPr>
            <w:tcW w:w="800" w:type="dxa"/>
            <w:shd w:val="solid" w:color="FFFFFF" w:fill="auto"/>
          </w:tcPr>
          <w:p w14:paraId="38C0789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AE0474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91A33C6"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1D40FE63" w14:textId="77777777" w:rsidR="00D40151" w:rsidRPr="00873B6C" w:rsidRDefault="00D40151" w:rsidP="009D14FB">
            <w:pPr>
              <w:pStyle w:val="TAL"/>
              <w:rPr>
                <w:sz w:val="16"/>
                <w:szCs w:val="16"/>
              </w:rPr>
            </w:pPr>
            <w:r w:rsidRPr="00873B6C">
              <w:rPr>
                <w:sz w:val="16"/>
                <w:szCs w:val="16"/>
              </w:rPr>
              <w:t>2042</w:t>
            </w:r>
          </w:p>
        </w:tc>
        <w:tc>
          <w:tcPr>
            <w:tcW w:w="425" w:type="dxa"/>
            <w:shd w:val="solid" w:color="FFFFFF" w:fill="auto"/>
          </w:tcPr>
          <w:p w14:paraId="616BCC11"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F8099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8F3C85" w14:textId="77777777" w:rsidR="00D40151" w:rsidRPr="00873B6C" w:rsidRDefault="00D40151" w:rsidP="009D14FB">
            <w:pPr>
              <w:pStyle w:val="TAL"/>
              <w:rPr>
                <w:sz w:val="16"/>
                <w:szCs w:val="16"/>
              </w:rPr>
            </w:pPr>
            <w:r w:rsidRPr="00873B6C">
              <w:rPr>
                <w:sz w:val="16"/>
                <w:szCs w:val="16"/>
              </w:rPr>
              <w:t>Item #5 Support of emergency services for Rel-16 UE not supporting CAG in CAG cells</w:t>
            </w:r>
          </w:p>
        </w:tc>
        <w:tc>
          <w:tcPr>
            <w:tcW w:w="708" w:type="dxa"/>
            <w:shd w:val="solid" w:color="FFFFFF" w:fill="auto"/>
          </w:tcPr>
          <w:p w14:paraId="291177AF" w14:textId="77777777" w:rsidR="00D40151" w:rsidRPr="00873B6C" w:rsidRDefault="00D40151" w:rsidP="009D14FB">
            <w:pPr>
              <w:pStyle w:val="TAC"/>
              <w:rPr>
                <w:sz w:val="16"/>
                <w:szCs w:val="16"/>
              </w:rPr>
            </w:pPr>
            <w:r w:rsidRPr="00873B6C">
              <w:rPr>
                <w:sz w:val="16"/>
                <w:szCs w:val="16"/>
              </w:rPr>
              <w:t>16.4.0</w:t>
            </w:r>
          </w:p>
        </w:tc>
      </w:tr>
      <w:tr w:rsidR="00D40151" w:rsidRPr="00873B6C" w14:paraId="0C692BD2" w14:textId="77777777" w:rsidTr="009D14FB">
        <w:tc>
          <w:tcPr>
            <w:tcW w:w="800" w:type="dxa"/>
            <w:shd w:val="solid" w:color="FFFFFF" w:fill="auto"/>
          </w:tcPr>
          <w:p w14:paraId="305639D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F5535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C8AAB23"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2ED42DAA" w14:textId="77777777" w:rsidR="00D40151" w:rsidRPr="00873B6C" w:rsidRDefault="00D40151" w:rsidP="009D14FB">
            <w:pPr>
              <w:pStyle w:val="TAL"/>
              <w:rPr>
                <w:sz w:val="16"/>
                <w:szCs w:val="16"/>
              </w:rPr>
            </w:pPr>
            <w:r w:rsidRPr="00873B6C">
              <w:rPr>
                <w:sz w:val="16"/>
                <w:szCs w:val="16"/>
              </w:rPr>
              <w:t>2044</w:t>
            </w:r>
          </w:p>
        </w:tc>
        <w:tc>
          <w:tcPr>
            <w:tcW w:w="425" w:type="dxa"/>
            <w:shd w:val="solid" w:color="FFFFFF" w:fill="auto"/>
          </w:tcPr>
          <w:p w14:paraId="1CE8A55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41B67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69E69C" w14:textId="77777777" w:rsidR="00D40151" w:rsidRPr="00873B6C" w:rsidRDefault="00D40151" w:rsidP="009D14FB">
            <w:pPr>
              <w:pStyle w:val="TAL"/>
              <w:rPr>
                <w:sz w:val="16"/>
                <w:szCs w:val="16"/>
              </w:rPr>
            </w:pPr>
            <w:r w:rsidRPr="00873B6C">
              <w:rPr>
                <w:sz w:val="16"/>
                <w:szCs w:val="16"/>
              </w:rPr>
              <w:t>Clarification the deregistration in single access</w:t>
            </w:r>
          </w:p>
        </w:tc>
        <w:tc>
          <w:tcPr>
            <w:tcW w:w="708" w:type="dxa"/>
            <w:shd w:val="solid" w:color="FFFFFF" w:fill="auto"/>
          </w:tcPr>
          <w:p w14:paraId="5BC0BEEB" w14:textId="77777777" w:rsidR="00D40151" w:rsidRPr="00873B6C" w:rsidRDefault="00D40151" w:rsidP="009D14FB">
            <w:pPr>
              <w:pStyle w:val="TAC"/>
              <w:rPr>
                <w:sz w:val="16"/>
                <w:szCs w:val="16"/>
              </w:rPr>
            </w:pPr>
            <w:r w:rsidRPr="00873B6C">
              <w:rPr>
                <w:sz w:val="16"/>
                <w:szCs w:val="16"/>
              </w:rPr>
              <w:t>16.4.0</w:t>
            </w:r>
          </w:p>
        </w:tc>
      </w:tr>
      <w:tr w:rsidR="00D40151" w:rsidRPr="00873B6C" w14:paraId="5E8BAF30" w14:textId="77777777" w:rsidTr="009D14FB">
        <w:tc>
          <w:tcPr>
            <w:tcW w:w="800" w:type="dxa"/>
            <w:shd w:val="solid" w:color="FFFFFF" w:fill="auto"/>
          </w:tcPr>
          <w:p w14:paraId="39C2C0B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F686433"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2D9076A"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AFE5655" w14:textId="77777777" w:rsidR="00D40151" w:rsidRPr="00873B6C" w:rsidRDefault="00D40151" w:rsidP="009D14FB">
            <w:pPr>
              <w:pStyle w:val="TAL"/>
              <w:rPr>
                <w:sz w:val="16"/>
                <w:szCs w:val="16"/>
              </w:rPr>
            </w:pPr>
            <w:r w:rsidRPr="00873B6C">
              <w:rPr>
                <w:sz w:val="16"/>
                <w:szCs w:val="16"/>
              </w:rPr>
              <w:t>2046</w:t>
            </w:r>
          </w:p>
        </w:tc>
        <w:tc>
          <w:tcPr>
            <w:tcW w:w="425" w:type="dxa"/>
            <w:shd w:val="solid" w:color="FFFFFF" w:fill="auto"/>
          </w:tcPr>
          <w:p w14:paraId="4A42D92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19100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DBD0E5" w14:textId="77777777" w:rsidR="00D40151" w:rsidRPr="00873B6C" w:rsidRDefault="00D40151" w:rsidP="009D14FB">
            <w:pPr>
              <w:pStyle w:val="TAL"/>
              <w:rPr>
                <w:sz w:val="16"/>
                <w:szCs w:val="16"/>
              </w:rPr>
            </w:pPr>
            <w:r w:rsidRPr="00873B6C">
              <w:rPr>
                <w:sz w:val="16"/>
                <w:szCs w:val="16"/>
              </w:rPr>
              <w:t>Clarification of N2 based handover considering CAG IDs supported by the target NG-RAN node</w:t>
            </w:r>
          </w:p>
        </w:tc>
        <w:tc>
          <w:tcPr>
            <w:tcW w:w="708" w:type="dxa"/>
            <w:shd w:val="solid" w:color="FFFFFF" w:fill="auto"/>
          </w:tcPr>
          <w:p w14:paraId="35E99F29" w14:textId="77777777" w:rsidR="00D40151" w:rsidRPr="00873B6C" w:rsidRDefault="00D40151" w:rsidP="009D14FB">
            <w:pPr>
              <w:pStyle w:val="TAC"/>
              <w:rPr>
                <w:sz w:val="16"/>
                <w:szCs w:val="16"/>
              </w:rPr>
            </w:pPr>
            <w:r w:rsidRPr="00873B6C">
              <w:rPr>
                <w:sz w:val="16"/>
                <w:szCs w:val="16"/>
              </w:rPr>
              <w:t>16.4.0</w:t>
            </w:r>
          </w:p>
        </w:tc>
      </w:tr>
      <w:tr w:rsidR="00D40151" w:rsidRPr="00873B6C" w14:paraId="468F54CD" w14:textId="77777777" w:rsidTr="009D14FB">
        <w:tc>
          <w:tcPr>
            <w:tcW w:w="800" w:type="dxa"/>
            <w:shd w:val="solid" w:color="FFFFFF" w:fill="auto"/>
          </w:tcPr>
          <w:p w14:paraId="2FCCAAF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9C6A59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4CC2525"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16B9BD42" w14:textId="77777777" w:rsidR="00D40151" w:rsidRPr="00873B6C" w:rsidRDefault="00D40151" w:rsidP="009D14FB">
            <w:pPr>
              <w:pStyle w:val="TAL"/>
              <w:rPr>
                <w:sz w:val="16"/>
                <w:szCs w:val="16"/>
              </w:rPr>
            </w:pPr>
            <w:r w:rsidRPr="00873B6C">
              <w:rPr>
                <w:sz w:val="16"/>
                <w:szCs w:val="16"/>
              </w:rPr>
              <w:t>2047</w:t>
            </w:r>
          </w:p>
        </w:tc>
        <w:tc>
          <w:tcPr>
            <w:tcW w:w="425" w:type="dxa"/>
            <w:shd w:val="solid" w:color="FFFFFF" w:fill="auto"/>
          </w:tcPr>
          <w:p w14:paraId="6E9E4505"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48CACBE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FE075C" w14:textId="77777777" w:rsidR="00D40151" w:rsidRPr="00873B6C" w:rsidRDefault="00D40151" w:rsidP="009D14FB">
            <w:pPr>
              <w:pStyle w:val="TAL"/>
              <w:rPr>
                <w:sz w:val="16"/>
                <w:szCs w:val="16"/>
              </w:rPr>
            </w:pPr>
            <w:r w:rsidRPr="00873B6C">
              <w:rPr>
                <w:sz w:val="16"/>
                <w:szCs w:val="16"/>
              </w:rPr>
              <w:t>TS23.501 - Correction on User Location Information</w:t>
            </w:r>
          </w:p>
        </w:tc>
        <w:tc>
          <w:tcPr>
            <w:tcW w:w="708" w:type="dxa"/>
            <w:shd w:val="solid" w:color="FFFFFF" w:fill="auto"/>
          </w:tcPr>
          <w:p w14:paraId="7A6D1A1A" w14:textId="77777777" w:rsidR="00D40151" w:rsidRPr="00873B6C" w:rsidRDefault="00D40151" w:rsidP="009D14FB">
            <w:pPr>
              <w:pStyle w:val="TAC"/>
              <w:rPr>
                <w:sz w:val="16"/>
                <w:szCs w:val="16"/>
              </w:rPr>
            </w:pPr>
            <w:r w:rsidRPr="00873B6C">
              <w:rPr>
                <w:sz w:val="16"/>
                <w:szCs w:val="16"/>
              </w:rPr>
              <w:t>16.4.0</w:t>
            </w:r>
          </w:p>
        </w:tc>
      </w:tr>
      <w:tr w:rsidR="00D40151" w:rsidRPr="00873B6C" w14:paraId="7A853C76" w14:textId="77777777" w:rsidTr="009D14FB">
        <w:tc>
          <w:tcPr>
            <w:tcW w:w="800" w:type="dxa"/>
            <w:shd w:val="solid" w:color="FFFFFF" w:fill="auto"/>
          </w:tcPr>
          <w:p w14:paraId="03B511F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47F143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A382408" w14:textId="77777777" w:rsidR="00D40151" w:rsidRPr="00873B6C" w:rsidRDefault="00D40151" w:rsidP="009D14FB">
            <w:pPr>
              <w:pStyle w:val="TAC"/>
              <w:rPr>
                <w:sz w:val="16"/>
                <w:szCs w:val="16"/>
              </w:rPr>
            </w:pPr>
            <w:r w:rsidRPr="00873B6C">
              <w:rPr>
                <w:sz w:val="16"/>
                <w:szCs w:val="16"/>
              </w:rPr>
              <w:t>SP-200072</w:t>
            </w:r>
          </w:p>
        </w:tc>
        <w:tc>
          <w:tcPr>
            <w:tcW w:w="567" w:type="dxa"/>
            <w:shd w:val="solid" w:color="FFFFFF" w:fill="auto"/>
          </w:tcPr>
          <w:p w14:paraId="46CAFF67" w14:textId="77777777" w:rsidR="00D40151" w:rsidRPr="00873B6C" w:rsidRDefault="00D40151" w:rsidP="009D14FB">
            <w:pPr>
              <w:pStyle w:val="TAL"/>
              <w:rPr>
                <w:sz w:val="16"/>
                <w:szCs w:val="16"/>
              </w:rPr>
            </w:pPr>
            <w:r w:rsidRPr="00873B6C">
              <w:rPr>
                <w:sz w:val="16"/>
                <w:szCs w:val="16"/>
              </w:rPr>
              <w:t>2048</w:t>
            </w:r>
          </w:p>
        </w:tc>
        <w:tc>
          <w:tcPr>
            <w:tcW w:w="425" w:type="dxa"/>
            <w:shd w:val="solid" w:color="FFFFFF" w:fill="auto"/>
          </w:tcPr>
          <w:p w14:paraId="74B4EA9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B9934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7FAD1A" w14:textId="77777777" w:rsidR="00D40151" w:rsidRPr="00873B6C" w:rsidRDefault="00D40151" w:rsidP="009D14FB">
            <w:pPr>
              <w:pStyle w:val="TAL"/>
              <w:rPr>
                <w:sz w:val="16"/>
                <w:szCs w:val="16"/>
              </w:rPr>
            </w:pPr>
            <w:r w:rsidRPr="00873B6C">
              <w:rPr>
                <w:sz w:val="16"/>
                <w:szCs w:val="16"/>
              </w:rPr>
              <w:t>Paging Policy Differentiation</w:t>
            </w:r>
          </w:p>
        </w:tc>
        <w:tc>
          <w:tcPr>
            <w:tcW w:w="708" w:type="dxa"/>
            <w:shd w:val="solid" w:color="FFFFFF" w:fill="auto"/>
          </w:tcPr>
          <w:p w14:paraId="0020846F" w14:textId="77777777" w:rsidR="00D40151" w:rsidRPr="00873B6C" w:rsidRDefault="00D40151" w:rsidP="009D14FB">
            <w:pPr>
              <w:pStyle w:val="TAC"/>
              <w:rPr>
                <w:sz w:val="16"/>
                <w:szCs w:val="16"/>
              </w:rPr>
            </w:pPr>
            <w:r w:rsidRPr="00873B6C">
              <w:rPr>
                <w:sz w:val="16"/>
                <w:szCs w:val="16"/>
              </w:rPr>
              <w:t>16.4.0</w:t>
            </w:r>
          </w:p>
        </w:tc>
      </w:tr>
      <w:tr w:rsidR="00D40151" w:rsidRPr="00873B6C" w14:paraId="2C819A63" w14:textId="77777777" w:rsidTr="009D14FB">
        <w:tc>
          <w:tcPr>
            <w:tcW w:w="800" w:type="dxa"/>
            <w:shd w:val="solid" w:color="FFFFFF" w:fill="auto"/>
          </w:tcPr>
          <w:p w14:paraId="646D662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3F545A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37EF7AF"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8F0B563" w14:textId="77777777" w:rsidR="00D40151" w:rsidRPr="00873B6C" w:rsidRDefault="00D40151" w:rsidP="009D14FB">
            <w:pPr>
              <w:pStyle w:val="TAL"/>
              <w:rPr>
                <w:sz w:val="16"/>
                <w:szCs w:val="16"/>
              </w:rPr>
            </w:pPr>
            <w:r w:rsidRPr="00873B6C">
              <w:rPr>
                <w:sz w:val="16"/>
                <w:szCs w:val="16"/>
              </w:rPr>
              <w:t>2050</w:t>
            </w:r>
          </w:p>
        </w:tc>
        <w:tc>
          <w:tcPr>
            <w:tcW w:w="425" w:type="dxa"/>
            <w:shd w:val="solid" w:color="FFFFFF" w:fill="auto"/>
          </w:tcPr>
          <w:p w14:paraId="056B756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682B8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F16FF2" w14:textId="77777777" w:rsidR="00D40151" w:rsidRPr="00873B6C" w:rsidRDefault="00D40151" w:rsidP="009D14FB">
            <w:pPr>
              <w:pStyle w:val="TAL"/>
              <w:rPr>
                <w:sz w:val="16"/>
                <w:szCs w:val="16"/>
              </w:rPr>
            </w:pPr>
            <w:r w:rsidRPr="00873B6C">
              <w:rPr>
                <w:sz w:val="16"/>
                <w:szCs w:val="16"/>
              </w:rPr>
              <w:t>TSN CN PDB</w:t>
            </w:r>
          </w:p>
        </w:tc>
        <w:tc>
          <w:tcPr>
            <w:tcW w:w="708" w:type="dxa"/>
            <w:shd w:val="solid" w:color="FFFFFF" w:fill="auto"/>
          </w:tcPr>
          <w:p w14:paraId="4C607BFE" w14:textId="77777777" w:rsidR="00D40151" w:rsidRPr="00873B6C" w:rsidRDefault="00D40151" w:rsidP="009D14FB">
            <w:pPr>
              <w:pStyle w:val="TAC"/>
              <w:rPr>
                <w:sz w:val="16"/>
                <w:szCs w:val="16"/>
              </w:rPr>
            </w:pPr>
            <w:r w:rsidRPr="00873B6C">
              <w:rPr>
                <w:sz w:val="16"/>
                <w:szCs w:val="16"/>
              </w:rPr>
              <w:t>16.4.0</w:t>
            </w:r>
          </w:p>
        </w:tc>
      </w:tr>
      <w:tr w:rsidR="00D40151" w:rsidRPr="00873B6C" w14:paraId="64682A7D" w14:textId="77777777" w:rsidTr="009D14FB">
        <w:tc>
          <w:tcPr>
            <w:tcW w:w="800" w:type="dxa"/>
            <w:shd w:val="solid" w:color="FFFFFF" w:fill="auto"/>
          </w:tcPr>
          <w:p w14:paraId="030C9D03"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5F035C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B4C349E"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758B5EA6" w14:textId="77777777" w:rsidR="00D40151" w:rsidRPr="00873B6C" w:rsidRDefault="00D40151" w:rsidP="009D14FB">
            <w:pPr>
              <w:pStyle w:val="TAL"/>
              <w:rPr>
                <w:sz w:val="16"/>
                <w:szCs w:val="16"/>
              </w:rPr>
            </w:pPr>
            <w:r w:rsidRPr="00873B6C">
              <w:rPr>
                <w:sz w:val="16"/>
                <w:szCs w:val="16"/>
              </w:rPr>
              <w:t>2051</w:t>
            </w:r>
          </w:p>
        </w:tc>
        <w:tc>
          <w:tcPr>
            <w:tcW w:w="425" w:type="dxa"/>
            <w:shd w:val="solid" w:color="FFFFFF" w:fill="auto"/>
          </w:tcPr>
          <w:p w14:paraId="7EBAEA8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3C54B4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E6198C" w14:textId="77777777" w:rsidR="00D40151" w:rsidRPr="00873B6C" w:rsidRDefault="00D40151" w:rsidP="009D14FB">
            <w:pPr>
              <w:pStyle w:val="TAL"/>
              <w:rPr>
                <w:sz w:val="16"/>
                <w:szCs w:val="16"/>
              </w:rPr>
            </w:pPr>
            <w:r w:rsidRPr="00873B6C">
              <w:rPr>
                <w:sz w:val="16"/>
                <w:szCs w:val="16"/>
              </w:rPr>
              <w:t>Access availability report configuration in the UPF</w:t>
            </w:r>
          </w:p>
        </w:tc>
        <w:tc>
          <w:tcPr>
            <w:tcW w:w="708" w:type="dxa"/>
            <w:shd w:val="solid" w:color="FFFFFF" w:fill="auto"/>
          </w:tcPr>
          <w:p w14:paraId="706EC428" w14:textId="77777777" w:rsidR="00D40151" w:rsidRPr="00873B6C" w:rsidRDefault="00D40151" w:rsidP="009D14FB">
            <w:pPr>
              <w:pStyle w:val="TAC"/>
              <w:rPr>
                <w:sz w:val="16"/>
                <w:szCs w:val="16"/>
              </w:rPr>
            </w:pPr>
            <w:r w:rsidRPr="00873B6C">
              <w:rPr>
                <w:sz w:val="16"/>
                <w:szCs w:val="16"/>
              </w:rPr>
              <w:t>16.4.0</w:t>
            </w:r>
          </w:p>
        </w:tc>
      </w:tr>
      <w:tr w:rsidR="00D40151" w:rsidRPr="00873B6C" w14:paraId="5A1DC420" w14:textId="77777777" w:rsidTr="009D14FB">
        <w:tc>
          <w:tcPr>
            <w:tcW w:w="800" w:type="dxa"/>
            <w:shd w:val="solid" w:color="FFFFFF" w:fill="auto"/>
          </w:tcPr>
          <w:p w14:paraId="0B32F64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D1E8E6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8490CDB"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057F23CD" w14:textId="77777777" w:rsidR="00D40151" w:rsidRPr="00873B6C" w:rsidRDefault="00D40151" w:rsidP="009D14FB">
            <w:pPr>
              <w:pStyle w:val="TAL"/>
              <w:rPr>
                <w:sz w:val="16"/>
                <w:szCs w:val="16"/>
              </w:rPr>
            </w:pPr>
            <w:r w:rsidRPr="00873B6C">
              <w:rPr>
                <w:sz w:val="16"/>
                <w:szCs w:val="16"/>
              </w:rPr>
              <w:t>2053</w:t>
            </w:r>
          </w:p>
        </w:tc>
        <w:tc>
          <w:tcPr>
            <w:tcW w:w="425" w:type="dxa"/>
            <w:shd w:val="solid" w:color="FFFFFF" w:fill="auto"/>
          </w:tcPr>
          <w:p w14:paraId="798D14B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4606E8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7CCD70" w14:textId="77777777" w:rsidR="00D40151" w:rsidRPr="00873B6C" w:rsidRDefault="00D40151" w:rsidP="009D14FB">
            <w:pPr>
              <w:pStyle w:val="TAL"/>
              <w:rPr>
                <w:sz w:val="16"/>
                <w:szCs w:val="16"/>
              </w:rPr>
            </w:pPr>
            <w:r w:rsidRPr="00873B6C">
              <w:rPr>
                <w:sz w:val="16"/>
                <w:szCs w:val="16"/>
              </w:rPr>
              <w:t>Assistance indication for WUS grouping</w:t>
            </w:r>
          </w:p>
        </w:tc>
        <w:tc>
          <w:tcPr>
            <w:tcW w:w="708" w:type="dxa"/>
            <w:shd w:val="solid" w:color="FFFFFF" w:fill="auto"/>
          </w:tcPr>
          <w:p w14:paraId="38E23BD2" w14:textId="77777777" w:rsidR="00D40151" w:rsidRPr="00873B6C" w:rsidRDefault="00D40151" w:rsidP="009D14FB">
            <w:pPr>
              <w:pStyle w:val="TAC"/>
              <w:rPr>
                <w:sz w:val="16"/>
                <w:szCs w:val="16"/>
              </w:rPr>
            </w:pPr>
            <w:r w:rsidRPr="00873B6C">
              <w:rPr>
                <w:sz w:val="16"/>
                <w:szCs w:val="16"/>
              </w:rPr>
              <w:t>16.4.0</w:t>
            </w:r>
          </w:p>
        </w:tc>
      </w:tr>
      <w:tr w:rsidR="00D40151" w:rsidRPr="00873B6C" w14:paraId="110CC206" w14:textId="77777777" w:rsidTr="009D14FB">
        <w:tc>
          <w:tcPr>
            <w:tcW w:w="800" w:type="dxa"/>
            <w:shd w:val="solid" w:color="FFFFFF" w:fill="auto"/>
          </w:tcPr>
          <w:p w14:paraId="42F9DB7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666186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5C3515C"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0114E867" w14:textId="77777777" w:rsidR="00D40151" w:rsidRPr="00873B6C" w:rsidRDefault="00D40151" w:rsidP="009D14FB">
            <w:pPr>
              <w:pStyle w:val="TAL"/>
              <w:rPr>
                <w:sz w:val="16"/>
                <w:szCs w:val="16"/>
              </w:rPr>
            </w:pPr>
            <w:r w:rsidRPr="00873B6C">
              <w:rPr>
                <w:sz w:val="16"/>
                <w:szCs w:val="16"/>
              </w:rPr>
              <w:t>2054</w:t>
            </w:r>
          </w:p>
        </w:tc>
        <w:tc>
          <w:tcPr>
            <w:tcW w:w="425" w:type="dxa"/>
            <w:shd w:val="solid" w:color="FFFFFF" w:fill="auto"/>
          </w:tcPr>
          <w:p w14:paraId="1A2470D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308BAA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ED448B" w14:textId="77777777" w:rsidR="00D40151" w:rsidRPr="00873B6C" w:rsidRDefault="00D40151" w:rsidP="009D14FB">
            <w:pPr>
              <w:pStyle w:val="TAL"/>
              <w:rPr>
                <w:sz w:val="16"/>
                <w:szCs w:val="16"/>
              </w:rPr>
            </w:pPr>
            <w:r w:rsidRPr="00873B6C">
              <w:rPr>
                <w:sz w:val="16"/>
                <w:szCs w:val="16"/>
              </w:rPr>
              <w:t>Correction on MDBV and CN PDB</w:t>
            </w:r>
          </w:p>
        </w:tc>
        <w:tc>
          <w:tcPr>
            <w:tcW w:w="708" w:type="dxa"/>
            <w:shd w:val="solid" w:color="FFFFFF" w:fill="auto"/>
          </w:tcPr>
          <w:p w14:paraId="296B363E" w14:textId="77777777" w:rsidR="00D40151" w:rsidRPr="00873B6C" w:rsidRDefault="00D40151" w:rsidP="009D14FB">
            <w:pPr>
              <w:pStyle w:val="TAC"/>
              <w:rPr>
                <w:sz w:val="16"/>
                <w:szCs w:val="16"/>
              </w:rPr>
            </w:pPr>
            <w:r w:rsidRPr="00873B6C">
              <w:rPr>
                <w:sz w:val="16"/>
                <w:szCs w:val="16"/>
              </w:rPr>
              <w:t>16.4.0</w:t>
            </w:r>
          </w:p>
        </w:tc>
      </w:tr>
      <w:tr w:rsidR="00D40151" w:rsidRPr="00873B6C" w14:paraId="0E6BEFEE" w14:textId="77777777" w:rsidTr="009D14FB">
        <w:tc>
          <w:tcPr>
            <w:tcW w:w="800" w:type="dxa"/>
            <w:shd w:val="solid" w:color="FFFFFF" w:fill="auto"/>
          </w:tcPr>
          <w:p w14:paraId="317C128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FDFC7A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6FACF6C"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EF42AFE" w14:textId="77777777" w:rsidR="00D40151" w:rsidRPr="00873B6C" w:rsidRDefault="00D40151" w:rsidP="009D14FB">
            <w:pPr>
              <w:pStyle w:val="TAL"/>
              <w:rPr>
                <w:sz w:val="16"/>
                <w:szCs w:val="16"/>
              </w:rPr>
            </w:pPr>
            <w:r w:rsidRPr="00873B6C">
              <w:rPr>
                <w:sz w:val="16"/>
                <w:szCs w:val="16"/>
              </w:rPr>
              <w:t>2056</w:t>
            </w:r>
          </w:p>
        </w:tc>
        <w:tc>
          <w:tcPr>
            <w:tcW w:w="425" w:type="dxa"/>
            <w:shd w:val="solid" w:color="FFFFFF" w:fill="auto"/>
          </w:tcPr>
          <w:p w14:paraId="18221410" w14:textId="77777777" w:rsidR="00D40151" w:rsidRPr="00873B6C" w:rsidRDefault="00D40151" w:rsidP="009D14FB">
            <w:pPr>
              <w:pStyle w:val="TAL"/>
              <w:rPr>
                <w:sz w:val="16"/>
                <w:szCs w:val="16"/>
              </w:rPr>
            </w:pPr>
            <w:r w:rsidRPr="00873B6C">
              <w:rPr>
                <w:sz w:val="16"/>
                <w:szCs w:val="16"/>
              </w:rPr>
              <w:t xml:space="preserve">2 </w:t>
            </w:r>
          </w:p>
        </w:tc>
        <w:tc>
          <w:tcPr>
            <w:tcW w:w="425" w:type="dxa"/>
            <w:shd w:val="solid" w:color="FFFFFF" w:fill="auto"/>
          </w:tcPr>
          <w:p w14:paraId="6E686FB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92D1BE" w14:textId="77777777" w:rsidR="00D40151" w:rsidRPr="00873B6C" w:rsidRDefault="00D40151" w:rsidP="009D14FB">
            <w:pPr>
              <w:pStyle w:val="TAL"/>
              <w:rPr>
                <w:sz w:val="16"/>
                <w:szCs w:val="16"/>
              </w:rPr>
            </w:pPr>
            <w:r w:rsidRPr="00873B6C">
              <w:rPr>
                <w:sz w:val="16"/>
                <w:szCs w:val="16"/>
              </w:rPr>
              <w:t>Default ARP values for dedicated QoS Flows</w:t>
            </w:r>
          </w:p>
        </w:tc>
        <w:tc>
          <w:tcPr>
            <w:tcW w:w="708" w:type="dxa"/>
            <w:shd w:val="solid" w:color="FFFFFF" w:fill="auto"/>
          </w:tcPr>
          <w:p w14:paraId="16852F15" w14:textId="77777777" w:rsidR="00D40151" w:rsidRPr="00873B6C" w:rsidRDefault="00D40151" w:rsidP="009D14FB">
            <w:pPr>
              <w:pStyle w:val="TAC"/>
              <w:rPr>
                <w:sz w:val="16"/>
                <w:szCs w:val="16"/>
              </w:rPr>
            </w:pPr>
            <w:r w:rsidRPr="00873B6C">
              <w:rPr>
                <w:sz w:val="16"/>
                <w:szCs w:val="16"/>
              </w:rPr>
              <w:t>16.4.0</w:t>
            </w:r>
          </w:p>
        </w:tc>
      </w:tr>
      <w:tr w:rsidR="00D40151" w:rsidRPr="00873B6C" w14:paraId="7D3A7C61" w14:textId="77777777" w:rsidTr="009D14FB">
        <w:tc>
          <w:tcPr>
            <w:tcW w:w="800" w:type="dxa"/>
            <w:shd w:val="solid" w:color="FFFFFF" w:fill="auto"/>
          </w:tcPr>
          <w:p w14:paraId="5DE032E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D0CF57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532EA77"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3D59D5A3" w14:textId="77777777" w:rsidR="00D40151" w:rsidRPr="00873B6C" w:rsidRDefault="00D40151" w:rsidP="009D14FB">
            <w:pPr>
              <w:pStyle w:val="TAL"/>
              <w:rPr>
                <w:sz w:val="16"/>
                <w:szCs w:val="16"/>
              </w:rPr>
            </w:pPr>
            <w:r w:rsidRPr="00873B6C">
              <w:rPr>
                <w:sz w:val="16"/>
                <w:szCs w:val="16"/>
              </w:rPr>
              <w:t>2057</w:t>
            </w:r>
          </w:p>
        </w:tc>
        <w:tc>
          <w:tcPr>
            <w:tcW w:w="425" w:type="dxa"/>
            <w:shd w:val="solid" w:color="FFFFFF" w:fill="auto"/>
          </w:tcPr>
          <w:p w14:paraId="3A65922D"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65A598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D90DCB" w14:textId="77777777" w:rsidR="00D40151" w:rsidRPr="00873B6C" w:rsidRDefault="00D40151" w:rsidP="009D14FB">
            <w:pPr>
              <w:pStyle w:val="TAL"/>
              <w:rPr>
                <w:sz w:val="16"/>
                <w:szCs w:val="16"/>
              </w:rPr>
            </w:pPr>
            <w:r w:rsidRPr="00873B6C">
              <w:rPr>
                <w:sz w:val="16"/>
                <w:szCs w:val="16"/>
              </w:rPr>
              <w:t>Correction of ARP description</w:t>
            </w:r>
          </w:p>
        </w:tc>
        <w:tc>
          <w:tcPr>
            <w:tcW w:w="708" w:type="dxa"/>
            <w:shd w:val="solid" w:color="FFFFFF" w:fill="auto"/>
          </w:tcPr>
          <w:p w14:paraId="4DF2F8AA" w14:textId="77777777" w:rsidR="00D40151" w:rsidRPr="00873B6C" w:rsidRDefault="00D40151" w:rsidP="009D14FB">
            <w:pPr>
              <w:pStyle w:val="TAC"/>
              <w:rPr>
                <w:sz w:val="16"/>
                <w:szCs w:val="16"/>
              </w:rPr>
            </w:pPr>
            <w:r w:rsidRPr="00873B6C">
              <w:rPr>
                <w:sz w:val="16"/>
                <w:szCs w:val="16"/>
              </w:rPr>
              <w:t>16.4.0</w:t>
            </w:r>
          </w:p>
        </w:tc>
      </w:tr>
      <w:tr w:rsidR="00D40151" w:rsidRPr="00873B6C" w14:paraId="5D52BA76" w14:textId="77777777" w:rsidTr="009D14FB">
        <w:tc>
          <w:tcPr>
            <w:tcW w:w="800" w:type="dxa"/>
            <w:shd w:val="solid" w:color="FFFFFF" w:fill="auto"/>
          </w:tcPr>
          <w:p w14:paraId="47C2814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BE6A4A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A47CAC0"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F39FC0C" w14:textId="77777777" w:rsidR="00D40151" w:rsidRPr="00873B6C" w:rsidRDefault="00D40151" w:rsidP="009D14FB">
            <w:pPr>
              <w:pStyle w:val="TAL"/>
              <w:rPr>
                <w:sz w:val="16"/>
                <w:szCs w:val="16"/>
              </w:rPr>
            </w:pPr>
            <w:r w:rsidRPr="00873B6C">
              <w:rPr>
                <w:sz w:val="16"/>
                <w:szCs w:val="16"/>
              </w:rPr>
              <w:t>2060</w:t>
            </w:r>
          </w:p>
        </w:tc>
        <w:tc>
          <w:tcPr>
            <w:tcW w:w="425" w:type="dxa"/>
            <w:shd w:val="solid" w:color="FFFFFF" w:fill="auto"/>
          </w:tcPr>
          <w:p w14:paraId="0E87191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FDAAB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F30C8C" w14:textId="77777777" w:rsidR="00D40151" w:rsidRPr="00873B6C" w:rsidRDefault="00D40151" w:rsidP="009D14FB">
            <w:pPr>
              <w:pStyle w:val="TAL"/>
              <w:rPr>
                <w:sz w:val="16"/>
                <w:szCs w:val="16"/>
              </w:rPr>
            </w:pPr>
            <w:r w:rsidRPr="00873B6C">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873B6C" w:rsidRDefault="00D40151" w:rsidP="009D14FB">
            <w:pPr>
              <w:pStyle w:val="TAC"/>
              <w:rPr>
                <w:sz w:val="16"/>
                <w:szCs w:val="16"/>
              </w:rPr>
            </w:pPr>
            <w:r w:rsidRPr="00873B6C">
              <w:rPr>
                <w:sz w:val="16"/>
                <w:szCs w:val="16"/>
              </w:rPr>
              <w:t>16.4.0</w:t>
            </w:r>
          </w:p>
        </w:tc>
      </w:tr>
      <w:tr w:rsidR="00D40151" w:rsidRPr="00873B6C" w14:paraId="34B0F7AA" w14:textId="77777777" w:rsidTr="009D14FB">
        <w:tc>
          <w:tcPr>
            <w:tcW w:w="800" w:type="dxa"/>
            <w:shd w:val="solid" w:color="FFFFFF" w:fill="auto"/>
          </w:tcPr>
          <w:p w14:paraId="49C8285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EC08BE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BC36E16"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73632E09" w14:textId="77777777" w:rsidR="00D40151" w:rsidRPr="00873B6C" w:rsidRDefault="00D40151" w:rsidP="009D14FB">
            <w:pPr>
              <w:pStyle w:val="TAL"/>
              <w:rPr>
                <w:sz w:val="16"/>
                <w:szCs w:val="16"/>
              </w:rPr>
            </w:pPr>
            <w:r w:rsidRPr="00873B6C">
              <w:rPr>
                <w:sz w:val="16"/>
                <w:szCs w:val="16"/>
              </w:rPr>
              <w:t>2064</w:t>
            </w:r>
          </w:p>
        </w:tc>
        <w:tc>
          <w:tcPr>
            <w:tcW w:w="425" w:type="dxa"/>
            <w:shd w:val="solid" w:color="FFFFFF" w:fill="auto"/>
          </w:tcPr>
          <w:p w14:paraId="3EEA0CA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3F32B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DD2FE8" w14:textId="77777777" w:rsidR="00D40151" w:rsidRPr="00873B6C" w:rsidRDefault="00D40151" w:rsidP="009D14FB">
            <w:pPr>
              <w:pStyle w:val="TAL"/>
              <w:rPr>
                <w:sz w:val="16"/>
                <w:szCs w:val="16"/>
              </w:rPr>
            </w:pPr>
            <w:r w:rsidRPr="00873B6C">
              <w:rPr>
                <w:sz w:val="16"/>
                <w:szCs w:val="16"/>
              </w:rPr>
              <w:t>Item#4: Clarification on the PSFP and Qbv for TSC traffic</w:t>
            </w:r>
          </w:p>
        </w:tc>
        <w:tc>
          <w:tcPr>
            <w:tcW w:w="708" w:type="dxa"/>
            <w:shd w:val="solid" w:color="FFFFFF" w:fill="auto"/>
          </w:tcPr>
          <w:p w14:paraId="4A839326" w14:textId="77777777" w:rsidR="00D40151" w:rsidRPr="00873B6C" w:rsidRDefault="00D40151" w:rsidP="009D14FB">
            <w:pPr>
              <w:pStyle w:val="TAC"/>
              <w:rPr>
                <w:sz w:val="16"/>
                <w:szCs w:val="16"/>
              </w:rPr>
            </w:pPr>
            <w:r w:rsidRPr="00873B6C">
              <w:rPr>
                <w:sz w:val="16"/>
                <w:szCs w:val="16"/>
              </w:rPr>
              <w:t>16.4.0</w:t>
            </w:r>
          </w:p>
        </w:tc>
      </w:tr>
      <w:tr w:rsidR="00D40151" w:rsidRPr="00873B6C" w14:paraId="495A8E00" w14:textId="77777777" w:rsidTr="009D14FB">
        <w:tc>
          <w:tcPr>
            <w:tcW w:w="800" w:type="dxa"/>
            <w:shd w:val="solid" w:color="FFFFFF" w:fill="auto"/>
          </w:tcPr>
          <w:p w14:paraId="041A0CF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6F981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22ADE69"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1A32834" w14:textId="77777777" w:rsidR="00D40151" w:rsidRPr="00873B6C" w:rsidRDefault="00D40151" w:rsidP="009D14FB">
            <w:pPr>
              <w:pStyle w:val="TAL"/>
              <w:rPr>
                <w:sz w:val="16"/>
                <w:szCs w:val="16"/>
              </w:rPr>
            </w:pPr>
            <w:r w:rsidRPr="00873B6C">
              <w:rPr>
                <w:sz w:val="16"/>
                <w:szCs w:val="16"/>
              </w:rPr>
              <w:t>2067</w:t>
            </w:r>
          </w:p>
        </w:tc>
        <w:tc>
          <w:tcPr>
            <w:tcW w:w="425" w:type="dxa"/>
            <w:shd w:val="solid" w:color="FFFFFF" w:fill="auto"/>
          </w:tcPr>
          <w:p w14:paraId="5B4A265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6AE7E9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3B91FE" w14:textId="77777777" w:rsidR="00D40151" w:rsidRPr="00873B6C" w:rsidRDefault="00D40151" w:rsidP="009D14FB">
            <w:pPr>
              <w:pStyle w:val="TAL"/>
              <w:rPr>
                <w:sz w:val="16"/>
                <w:szCs w:val="16"/>
              </w:rPr>
            </w:pPr>
            <w:r w:rsidRPr="00873B6C">
              <w:rPr>
                <w:sz w:val="16"/>
                <w:szCs w:val="16"/>
              </w:rPr>
              <w:t>Clarifying TSCAI based on TSN clock used by PSFP gate operation</w:t>
            </w:r>
          </w:p>
        </w:tc>
        <w:tc>
          <w:tcPr>
            <w:tcW w:w="708" w:type="dxa"/>
            <w:shd w:val="solid" w:color="FFFFFF" w:fill="auto"/>
          </w:tcPr>
          <w:p w14:paraId="1B5C9205" w14:textId="77777777" w:rsidR="00D40151" w:rsidRPr="00873B6C" w:rsidRDefault="00D40151" w:rsidP="009D14FB">
            <w:pPr>
              <w:pStyle w:val="TAC"/>
              <w:rPr>
                <w:sz w:val="16"/>
                <w:szCs w:val="16"/>
              </w:rPr>
            </w:pPr>
            <w:r w:rsidRPr="00873B6C">
              <w:rPr>
                <w:sz w:val="16"/>
                <w:szCs w:val="16"/>
              </w:rPr>
              <w:t>16.4.0</w:t>
            </w:r>
          </w:p>
        </w:tc>
      </w:tr>
      <w:tr w:rsidR="00D40151" w:rsidRPr="00873B6C" w14:paraId="03A50830" w14:textId="77777777" w:rsidTr="009D14FB">
        <w:tc>
          <w:tcPr>
            <w:tcW w:w="800" w:type="dxa"/>
            <w:shd w:val="solid" w:color="FFFFFF" w:fill="auto"/>
          </w:tcPr>
          <w:p w14:paraId="32067B1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DAC896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F1F2349"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08996138" w14:textId="77777777" w:rsidR="00D40151" w:rsidRPr="00873B6C" w:rsidRDefault="00D40151" w:rsidP="009D14FB">
            <w:pPr>
              <w:pStyle w:val="TAL"/>
              <w:rPr>
                <w:sz w:val="16"/>
                <w:szCs w:val="16"/>
              </w:rPr>
            </w:pPr>
            <w:r w:rsidRPr="00873B6C">
              <w:rPr>
                <w:sz w:val="16"/>
                <w:szCs w:val="16"/>
              </w:rPr>
              <w:t>2069</w:t>
            </w:r>
          </w:p>
        </w:tc>
        <w:tc>
          <w:tcPr>
            <w:tcW w:w="425" w:type="dxa"/>
            <w:shd w:val="solid" w:color="FFFFFF" w:fill="auto"/>
          </w:tcPr>
          <w:p w14:paraId="7F334F92"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6E8097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2E3B69" w14:textId="77777777" w:rsidR="00D40151" w:rsidRPr="00873B6C" w:rsidRDefault="00D40151" w:rsidP="009D14FB">
            <w:pPr>
              <w:pStyle w:val="TAL"/>
              <w:rPr>
                <w:sz w:val="16"/>
                <w:szCs w:val="16"/>
              </w:rPr>
            </w:pPr>
            <w:r w:rsidRPr="00873B6C">
              <w:rPr>
                <w:sz w:val="16"/>
                <w:szCs w:val="16"/>
              </w:rPr>
              <w:t>Clarifying UL configuration issue</w:t>
            </w:r>
          </w:p>
        </w:tc>
        <w:tc>
          <w:tcPr>
            <w:tcW w:w="708" w:type="dxa"/>
            <w:shd w:val="solid" w:color="FFFFFF" w:fill="auto"/>
          </w:tcPr>
          <w:p w14:paraId="46AA0595" w14:textId="77777777" w:rsidR="00D40151" w:rsidRPr="00873B6C" w:rsidRDefault="00D40151" w:rsidP="009D14FB">
            <w:pPr>
              <w:pStyle w:val="TAC"/>
              <w:rPr>
                <w:sz w:val="16"/>
                <w:szCs w:val="16"/>
              </w:rPr>
            </w:pPr>
            <w:r w:rsidRPr="00873B6C">
              <w:rPr>
                <w:sz w:val="16"/>
                <w:szCs w:val="16"/>
              </w:rPr>
              <w:t>16.4.0</w:t>
            </w:r>
          </w:p>
        </w:tc>
      </w:tr>
      <w:tr w:rsidR="00D40151" w:rsidRPr="00873B6C" w14:paraId="0E555240" w14:textId="77777777" w:rsidTr="009D14FB">
        <w:tc>
          <w:tcPr>
            <w:tcW w:w="800" w:type="dxa"/>
            <w:shd w:val="solid" w:color="FFFFFF" w:fill="auto"/>
          </w:tcPr>
          <w:p w14:paraId="6D37D1D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17AB626"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BAA7F63"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46E5B98E" w14:textId="77777777" w:rsidR="00D40151" w:rsidRPr="00873B6C" w:rsidRDefault="00D40151" w:rsidP="009D14FB">
            <w:pPr>
              <w:pStyle w:val="TAL"/>
              <w:rPr>
                <w:sz w:val="16"/>
                <w:szCs w:val="16"/>
              </w:rPr>
            </w:pPr>
            <w:r w:rsidRPr="00873B6C">
              <w:rPr>
                <w:sz w:val="16"/>
                <w:szCs w:val="16"/>
              </w:rPr>
              <w:t>2070</w:t>
            </w:r>
          </w:p>
        </w:tc>
        <w:tc>
          <w:tcPr>
            <w:tcW w:w="425" w:type="dxa"/>
            <w:shd w:val="solid" w:color="FFFFFF" w:fill="auto"/>
          </w:tcPr>
          <w:p w14:paraId="760C461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FE9C1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AFB54A" w14:textId="77777777" w:rsidR="00D40151" w:rsidRPr="00873B6C" w:rsidRDefault="00D40151" w:rsidP="009D14FB">
            <w:pPr>
              <w:pStyle w:val="TAL"/>
              <w:rPr>
                <w:sz w:val="16"/>
                <w:szCs w:val="16"/>
              </w:rPr>
            </w:pPr>
            <w:r w:rsidRPr="00873B6C">
              <w:rPr>
                <w:sz w:val="16"/>
                <w:szCs w:val="16"/>
              </w:rPr>
              <w:t>Traffic Forwarding issue at UPF side</w:t>
            </w:r>
          </w:p>
        </w:tc>
        <w:tc>
          <w:tcPr>
            <w:tcW w:w="708" w:type="dxa"/>
            <w:shd w:val="solid" w:color="FFFFFF" w:fill="auto"/>
          </w:tcPr>
          <w:p w14:paraId="50CAC786" w14:textId="77777777" w:rsidR="00D40151" w:rsidRPr="00873B6C" w:rsidRDefault="00D40151" w:rsidP="009D14FB">
            <w:pPr>
              <w:pStyle w:val="TAC"/>
              <w:rPr>
                <w:sz w:val="16"/>
                <w:szCs w:val="16"/>
              </w:rPr>
            </w:pPr>
            <w:r w:rsidRPr="00873B6C">
              <w:rPr>
                <w:sz w:val="16"/>
                <w:szCs w:val="16"/>
              </w:rPr>
              <w:t>16.4.0</w:t>
            </w:r>
          </w:p>
        </w:tc>
      </w:tr>
      <w:tr w:rsidR="00D40151" w:rsidRPr="00873B6C" w14:paraId="35C3B7A8" w14:textId="77777777" w:rsidTr="009D14FB">
        <w:tc>
          <w:tcPr>
            <w:tcW w:w="800" w:type="dxa"/>
            <w:shd w:val="solid" w:color="FFFFFF" w:fill="auto"/>
          </w:tcPr>
          <w:p w14:paraId="7A410A4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C35673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7C5A630"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148546EC" w14:textId="77777777" w:rsidR="00D40151" w:rsidRPr="00873B6C" w:rsidRDefault="00D40151" w:rsidP="009D14FB">
            <w:pPr>
              <w:pStyle w:val="TAL"/>
              <w:rPr>
                <w:sz w:val="16"/>
                <w:szCs w:val="16"/>
              </w:rPr>
            </w:pPr>
            <w:r w:rsidRPr="00873B6C">
              <w:rPr>
                <w:sz w:val="16"/>
                <w:szCs w:val="16"/>
              </w:rPr>
              <w:t>2073</w:t>
            </w:r>
          </w:p>
        </w:tc>
        <w:tc>
          <w:tcPr>
            <w:tcW w:w="425" w:type="dxa"/>
            <w:shd w:val="solid" w:color="FFFFFF" w:fill="auto"/>
          </w:tcPr>
          <w:p w14:paraId="57FE8A2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06B96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03B050" w14:textId="77777777" w:rsidR="00D40151" w:rsidRPr="00873B6C" w:rsidRDefault="00D40151" w:rsidP="009D14FB">
            <w:pPr>
              <w:pStyle w:val="TAL"/>
              <w:rPr>
                <w:sz w:val="16"/>
                <w:szCs w:val="16"/>
              </w:rPr>
            </w:pPr>
            <w:r w:rsidRPr="00873B6C">
              <w:rPr>
                <w:sz w:val="16"/>
                <w:szCs w:val="16"/>
              </w:rPr>
              <w:t>#1_Clarification for supporting 5G VN group communication</w:t>
            </w:r>
          </w:p>
        </w:tc>
        <w:tc>
          <w:tcPr>
            <w:tcW w:w="708" w:type="dxa"/>
            <w:shd w:val="solid" w:color="FFFFFF" w:fill="auto"/>
          </w:tcPr>
          <w:p w14:paraId="248FA543" w14:textId="77777777" w:rsidR="00D40151" w:rsidRPr="00873B6C" w:rsidRDefault="00D40151" w:rsidP="009D14FB">
            <w:pPr>
              <w:pStyle w:val="TAC"/>
              <w:rPr>
                <w:sz w:val="16"/>
                <w:szCs w:val="16"/>
              </w:rPr>
            </w:pPr>
            <w:r w:rsidRPr="00873B6C">
              <w:rPr>
                <w:sz w:val="16"/>
                <w:szCs w:val="16"/>
              </w:rPr>
              <w:t>16.4.0</w:t>
            </w:r>
          </w:p>
        </w:tc>
      </w:tr>
      <w:tr w:rsidR="00D40151" w:rsidRPr="00873B6C" w14:paraId="4E8208D3" w14:textId="77777777" w:rsidTr="009D14FB">
        <w:tc>
          <w:tcPr>
            <w:tcW w:w="800" w:type="dxa"/>
            <w:shd w:val="solid" w:color="FFFFFF" w:fill="auto"/>
          </w:tcPr>
          <w:p w14:paraId="30698A5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BECEB1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B02E59C"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92F63DF" w14:textId="77777777" w:rsidR="00D40151" w:rsidRPr="00873B6C" w:rsidRDefault="00D40151" w:rsidP="009D14FB">
            <w:pPr>
              <w:pStyle w:val="TAL"/>
              <w:rPr>
                <w:sz w:val="16"/>
                <w:szCs w:val="16"/>
              </w:rPr>
            </w:pPr>
            <w:r w:rsidRPr="00873B6C">
              <w:rPr>
                <w:sz w:val="16"/>
                <w:szCs w:val="16"/>
              </w:rPr>
              <w:t>2074</w:t>
            </w:r>
          </w:p>
        </w:tc>
        <w:tc>
          <w:tcPr>
            <w:tcW w:w="425" w:type="dxa"/>
            <w:shd w:val="solid" w:color="FFFFFF" w:fill="auto"/>
          </w:tcPr>
          <w:p w14:paraId="1A171F7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41E7C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A9B87B" w14:textId="6B18679C" w:rsidR="00D40151" w:rsidRPr="00873B6C" w:rsidRDefault="00D40151" w:rsidP="009D14FB">
            <w:pPr>
              <w:pStyle w:val="TAL"/>
              <w:rPr>
                <w:sz w:val="16"/>
                <w:szCs w:val="16"/>
              </w:rPr>
            </w:pPr>
            <w:r w:rsidRPr="00873B6C">
              <w:rPr>
                <w:sz w:val="16"/>
                <w:szCs w:val="16"/>
              </w:rPr>
              <w:t xml:space="preserve">#2_clarification on N6-based traffic forwarding of </w:t>
            </w:r>
            <w:r w:rsidR="00704A9E" w:rsidRPr="00873B6C">
              <w:rPr>
                <w:sz w:val="16"/>
                <w:szCs w:val="16"/>
              </w:rPr>
              <w:t>5G-VN</w:t>
            </w:r>
          </w:p>
        </w:tc>
        <w:tc>
          <w:tcPr>
            <w:tcW w:w="708" w:type="dxa"/>
            <w:shd w:val="solid" w:color="FFFFFF" w:fill="auto"/>
          </w:tcPr>
          <w:p w14:paraId="2A16FA03" w14:textId="77777777" w:rsidR="00D40151" w:rsidRPr="00873B6C" w:rsidRDefault="00D40151" w:rsidP="009D14FB">
            <w:pPr>
              <w:pStyle w:val="TAC"/>
              <w:rPr>
                <w:sz w:val="16"/>
                <w:szCs w:val="16"/>
              </w:rPr>
            </w:pPr>
            <w:r w:rsidRPr="00873B6C">
              <w:rPr>
                <w:sz w:val="16"/>
                <w:szCs w:val="16"/>
              </w:rPr>
              <w:t>16.4.0</w:t>
            </w:r>
          </w:p>
        </w:tc>
      </w:tr>
      <w:tr w:rsidR="00D40151" w:rsidRPr="00873B6C" w14:paraId="6EA27ED1" w14:textId="77777777" w:rsidTr="009D14FB">
        <w:tc>
          <w:tcPr>
            <w:tcW w:w="800" w:type="dxa"/>
            <w:shd w:val="solid" w:color="FFFFFF" w:fill="auto"/>
          </w:tcPr>
          <w:p w14:paraId="6D99684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14285F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01B5A95"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146EE2E5" w14:textId="77777777" w:rsidR="00D40151" w:rsidRPr="00873B6C" w:rsidRDefault="00D40151" w:rsidP="009D14FB">
            <w:pPr>
              <w:pStyle w:val="TAL"/>
              <w:rPr>
                <w:sz w:val="16"/>
                <w:szCs w:val="16"/>
              </w:rPr>
            </w:pPr>
            <w:r w:rsidRPr="00873B6C">
              <w:rPr>
                <w:sz w:val="16"/>
                <w:szCs w:val="16"/>
              </w:rPr>
              <w:t>2079</w:t>
            </w:r>
          </w:p>
        </w:tc>
        <w:tc>
          <w:tcPr>
            <w:tcW w:w="425" w:type="dxa"/>
            <w:shd w:val="solid" w:color="FFFFFF" w:fill="auto"/>
          </w:tcPr>
          <w:p w14:paraId="7D0319B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AFEA05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59935B" w14:textId="77777777" w:rsidR="00D40151" w:rsidRPr="00873B6C" w:rsidRDefault="00D40151" w:rsidP="009D14FB">
            <w:pPr>
              <w:pStyle w:val="TAL"/>
              <w:rPr>
                <w:sz w:val="16"/>
                <w:szCs w:val="16"/>
                <w:lang w:val="fr-FR"/>
              </w:rPr>
            </w:pPr>
            <w:r w:rsidRPr="00873B6C">
              <w:rPr>
                <w:sz w:val="16"/>
                <w:szCs w:val="16"/>
                <w:lang w:val="fr-FR"/>
              </w:rPr>
              <w:t>Clarification on multiple PDU Session anchors for a MA PDU Session</w:t>
            </w:r>
          </w:p>
        </w:tc>
        <w:tc>
          <w:tcPr>
            <w:tcW w:w="708" w:type="dxa"/>
            <w:shd w:val="solid" w:color="FFFFFF" w:fill="auto"/>
          </w:tcPr>
          <w:p w14:paraId="2876BFA2" w14:textId="77777777" w:rsidR="00D40151" w:rsidRPr="00873B6C" w:rsidRDefault="00D40151" w:rsidP="009D14FB">
            <w:pPr>
              <w:pStyle w:val="TAC"/>
              <w:rPr>
                <w:sz w:val="16"/>
                <w:szCs w:val="16"/>
              </w:rPr>
            </w:pPr>
            <w:r w:rsidRPr="00873B6C">
              <w:rPr>
                <w:sz w:val="16"/>
                <w:szCs w:val="16"/>
              </w:rPr>
              <w:t>16.4.0</w:t>
            </w:r>
          </w:p>
        </w:tc>
      </w:tr>
      <w:tr w:rsidR="00D40151" w:rsidRPr="00873B6C" w14:paraId="36A68C7B" w14:textId="77777777" w:rsidTr="009D14FB">
        <w:tc>
          <w:tcPr>
            <w:tcW w:w="800" w:type="dxa"/>
            <w:shd w:val="solid" w:color="FFFFFF" w:fill="auto"/>
          </w:tcPr>
          <w:p w14:paraId="6AE8176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4D5BD0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6C198D2"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7C10A3FA" w14:textId="77777777" w:rsidR="00D40151" w:rsidRPr="00873B6C" w:rsidRDefault="00D40151" w:rsidP="009D14FB">
            <w:pPr>
              <w:pStyle w:val="TAL"/>
              <w:rPr>
                <w:sz w:val="16"/>
                <w:szCs w:val="16"/>
              </w:rPr>
            </w:pPr>
            <w:r w:rsidRPr="00873B6C">
              <w:rPr>
                <w:sz w:val="16"/>
                <w:szCs w:val="16"/>
              </w:rPr>
              <w:t>2084</w:t>
            </w:r>
          </w:p>
        </w:tc>
        <w:tc>
          <w:tcPr>
            <w:tcW w:w="425" w:type="dxa"/>
            <w:shd w:val="solid" w:color="FFFFFF" w:fill="auto"/>
          </w:tcPr>
          <w:p w14:paraId="256F990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54F12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77AC13" w14:textId="77777777" w:rsidR="00D40151" w:rsidRPr="00873B6C" w:rsidRDefault="00D40151" w:rsidP="009D14FB">
            <w:pPr>
              <w:pStyle w:val="TAL"/>
              <w:rPr>
                <w:sz w:val="16"/>
                <w:szCs w:val="16"/>
              </w:rPr>
            </w:pPr>
            <w:r w:rsidRPr="00873B6C">
              <w:rPr>
                <w:sz w:val="16"/>
                <w:szCs w:val="16"/>
              </w:rPr>
              <w:t>Correction to Emergency services support by SNPN</w:t>
            </w:r>
          </w:p>
        </w:tc>
        <w:tc>
          <w:tcPr>
            <w:tcW w:w="708" w:type="dxa"/>
            <w:shd w:val="solid" w:color="FFFFFF" w:fill="auto"/>
          </w:tcPr>
          <w:p w14:paraId="5B1102D5" w14:textId="77777777" w:rsidR="00D40151" w:rsidRPr="00873B6C" w:rsidRDefault="00D40151" w:rsidP="009D14FB">
            <w:pPr>
              <w:pStyle w:val="TAC"/>
              <w:rPr>
                <w:sz w:val="16"/>
                <w:szCs w:val="16"/>
              </w:rPr>
            </w:pPr>
            <w:r w:rsidRPr="00873B6C">
              <w:rPr>
                <w:sz w:val="16"/>
                <w:szCs w:val="16"/>
              </w:rPr>
              <w:t>16.4.0</w:t>
            </w:r>
          </w:p>
        </w:tc>
      </w:tr>
      <w:tr w:rsidR="00D40151" w:rsidRPr="00873B6C" w14:paraId="1400BFF8" w14:textId="77777777" w:rsidTr="009D14FB">
        <w:tc>
          <w:tcPr>
            <w:tcW w:w="800" w:type="dxa"/>
            <w:shd w:val="solid" w:color="FFFFFF" w:fill="auto"/>
          </w:tcPr>
          <w:p w14:paraId="2E68222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BF1FE7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DBCEB96"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13A69BCF" w14:textId="77777777" w:rsidR="00D40151" w:rsidRPr="00873B6C" w:rsidRDefault="00D40151" w:rsidP="009D14FB">
            <w:pPr>
              <w:pStyle w:val="TAL"/>
              <w:rPr>
                <w:sz w:val="16"/>
                <w:szCs w:val="16"/>
              </w:rPr>
            </w:pPr>
            <w:r w:rsidRPr="00873B6C">
              <w:rPr>
                <w:sz w:val="16"/>
                <w:szCs w:val="16"/>
              </w:rPr>
              <w:t>2085</w:t>
            </w:r>
          </w:p>
        </w:tc>
        <w:tc>
          <w:tcPr>
            <w:tcW w:w="425" w:type="dxa"/>
            <w:shd w:val="solid" w:color="FFFFFF" w:fill="auto"/>
          </w:tcPr>
          <w:p w14:paraId="79B3FE28"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92A39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FDC4AB" w14:textId="77777777" w:rsidR="00D40151" w:rsidRPr="00873B6C" w:rsidRDefault="00D40151" w:rsidP="009D14FB">
            <w:pPr>
              <w:pStyle w:val="TAL"/>
              <w:rPr>
                <w:sz w:val="16"/>
                <w:szCs w:val="16"/>
              </w:rPr>
            </w:pPr>
            <w:r w:rsidRPr="00873B6C">
              <w:rPr>
                <w:sz w:val="16"/>
                <w:szCs w:val="16"/>
              </w:rPr>
              <w:t>Correction to TSN stream aggregation and QoS parameter mapping guidelines</w:t>
            </w:r>
          </w:p>
        </w:tc>
        <w:tc>
          <w:tcPr>
            <w:tcW w:w="708" w:type="dxa"/>
            <w:shd w:val="solid" w:color="FFFFFF" w:fill="auto"/>
          </w:tcPr>
          <w:p w14:paraId="296EA01A" w14:textId="77777777" w:rsidR="00D40151" w:rsidRPr="00873B6C" w:rsidRDefault="00D40151" w:rsidP="009D14FB">
            <w:pPr>
              <w:pStyle w:val="TAC"/>
              <w:rPr>
                <w:sz w:val="16"/>
                <w:szCs w:val="16"/>
              </w:rPr>
            </w:pPr>
            <w:r w:rsidRPr="00873B6C">
              <w:rPr>
                <w:sz w:val="16"/>
                <w:szCs w:val="16"/>
              </w:rPr>
              <w:t>16.4.0</w:t>
            </w:r>
          </w:p>
        </w:tc>
      </w:tr>
      <w:tr w:rsidR="00D40151" w:rsidRPr="00873B6C" w14:paraId="4274437E" w14:textId="77777777" w:rsidTr="009D14FB">
        <w:tc>
          <w:tcPr>
            <w:tcW w:w="800" w:type="dxa"/>
            <w:shd w:val="solid" w:color="FFFFFF" w:fill="auto"/>
          </w:tcPr>
          <w:p w14:paraId="7BD13B3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4DADBE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B32AB57"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61E42FED" w14:textId="77777777" w:rsidR="00D40151" w:rsidRPr="00873B6C" w:rsidRDefault="00D40151" w:rsidP="009D14FB">
            <w:pPr>
              <w:pStyle w:val="TAL"/>
              <w:rPr>
                <w:sz w:val="16"/>
                <w:szCs w:val="16"/>
              </w:rPr>
            </w:pPr>
            <w:r w:rsidRPr="00873B6C">
              <w:rPr>
                <w:sz w:val="16"/>
                <w:szCs w:val="16"/>
              </w:rPr>
              <w:t>2087</w:t>
            </w:r>
          </w:p>
        </w:tc>
        <w:tc>
          <w:tcPr>
            <w:tcW w:w="425" w:type="dxa"/>
            <w:shd w:val="solid" w:color="FFFFFF" w:fill="auto"/>
          </w:tcPr>
          <w:p w14:paraId="0A0F72B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B175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FF56AF" w14:textId="77777777" w:rsidR="00D40151" w:rsidRPr="00873B6C" w:rsidRDefault="00D40151" w:rsidP="009D14FB">
            <w:pPr>
              <w:pStyle w:val="TAL"/>
              <w:rPr>
                <w:sz w:val="16"/>
                <w:szCs w:val="16"/>
              </w:rPr>
            </w:pPr>
            <w:r w:rsidRPr="00873B6C">
              <w:rPr>
                <w:sz w:val="16"/>
                <w:szCs w:val="16"/>
              </w:rPr>
              <w:t>Clarification on the use of reference points N14 and N26</w:t>
            </w:r>
          </w:p>
        </w:tc>
        <w:tc>
          <w:tcPr>
            <w:tcW w:w="708" w:type="dxa"/>
            <w:shd w:val="solid" w:color="FFFFFF" w:fill="auto"/>
          </w:tcPr>
          <w:p w14:paraId="3DAD7528" w14:textId="77777777" w:rsidR="00D40151" w:rsidRPr="00873B6C" w:rsidRDefault="00D40151" w:rsidP="009D14FB">
            <w:pPr>
              <w:pStyle w:val="TAC"/>
              <w:rPr>
                <w:sz w:val="16"/>
                <w:szCs w:val="16"/>
              </w:rPr>
            </w:pPr>
            <w:r w:rsidRPr="00873B6C">
              <w:rPr>
                <w:sz w:val="16"/>
                <w:szCs w:val="16"/>
              </w:rPr>
              <w:t>16.4.0</w:t>
            </w:r>
          </w:p>
        </w:tc>
      </w:tr>
      <w:tr w:rsidR="00D40151" w:rsidRPr="00873B6C" w14:paraId="413FAF24" w14:textId="77777777" w:rsidTr="009D14FB">
        <w:tc>
          <w:tcPr>
            <w:tcW w:w="800" w:type="dxa"/>
            <w:shd w:val="solid" w:color="FFFFFF" w:fill="auto"/>
          </w:tcPr>
          <w:p w14:paraId="014E08F3"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9BA136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286B73F"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6530E202" w14:textId="77777777" w:rsidR="00D40151" w:rsidRPr="00873B6C" w:rsidRDefault="00D40151" w:rsidP="009D14FB">
            <w:pPr>
              <w:pStyle w:val="TAL"/>
              <w:rPr>
                <w:sz w:val="16"/>
                <w:szCs w:val="16"/>
              </w:rPr>
            </w:pPr>
            <w:r w:rsidRPr="00873B6C">
              <w:rPr>
                <w:sz w:val="16"/>
                <w:szCs w:val="16"/>
              </w:rPr>
              <w:t>2088</w:t>
            </w:r>
          </w:p>
        </w:tc>
        <w:tc>
          <w:tcPr>
            <w:tcW w:w="425" w:type="dxa"/>
            <w:shd w:val="solid" w:color="FFFFFF" w:fill="auto"/>
          </w:tcPr>
          <w:p w14:paraId="1F5B617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B6B3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13E1B8" w14:textId="77777777" w:rsidR="00D40151" w:rsidRPr="00873B6C" w:rsidRDefault="00D40151" w:rsidP="009D14FB">
            <w:pPr>
              <w:pStyle w:val="TAL"/>
              <w:rPr>
                <w:sz w:val="16"/>
                <w:szCs w:val="16"/>
              </w:rPr>
            </w:pPr>
            <w:r w:rsidRPr="00873B6C">
              <w:rPr>
                <w:sz w:val="16"/>
                <w:szCs w:val="16"/>
              </w:rPr>
              <w:t>NAS signalling of CP Relocation Indication Truncated 5G-S-TMSI Parameters</w:t>
            </w:r>
          </w:p>
        </w:tc>
        <w:tc>
          <w:tcPr>
            <w:tcW w:w="708" w:type="dxa"/>
            <w:shd w:val="solid" w:color="FFFFFF" w:fill="auto"/>
          </w:tcPr>
          <w:p w14:paraId="68C74F72" w14:textId="77777777" w:rsidR="00D40151" w:rsidRPr="00873B6C" w:rsidRDefault="00D40151" w:rsidP="009D14FB">
            <w:pPr>
              <w:pStyle w:val="TAC"/>
              <w:rPr>
                <w:sz w:val="16"/>
                <w:szCs w:val="16"/>
              </w:rPr>
            </w:pPr>
            <w:r w:rsidRPr="00873B6C">
              <w:rPr>
                <w:sz w:val="16"/>
                <w:szCs w:val="16"/>
              </w:rPr>
              <w:t>16.4.0</w:t>
            </w:r>
          </w:p>
        </w:tc>
      </w:tr>
      <w:tr w:rsidR="00D40151" w:rsidRPr="00873B6C" w14:paraId="019E927C" w14:textId="77777777" w:rsidTr="009D14FB">
        <w:tc>
          <w:tcPr>
            <w:tcW w:w="800" w:type="dxa"/>
            <w:shd w:val="solid" w:color="FFFFFF" w:fill="auto"/>
          </w:tcPr>
          <w:p w14:paraId="432ED30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63141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20711BF"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7440A03B" w14:textId="77777777" w:rsidR="00D40151" w:rsidRPr="00873B6C" w:rsidRDefault="00D40151" w:rsidP="009D14FB">
            <w:pPr>
              <w:pStyle w:val="TAL"/>
              <w:rPr>
                <w:sz w:val="16"/>
                <w:szCs w:val="16"/>
              </w:rPr>
            </w:pPr>
            <w:r w:rsidRPr="00873B6C">
              <w:rPr>
                <w:sz w:val="16"/>
                <w:szCs w:val="16"/>
              </w:rPr>
              <w:t>2089</w:t>
            </w:r>
          </w:p>
        </w:tc>
        <w:tc>
          <w:tcPr>
            <w:tcW w:w="425" w:type="dxa"/>
            <w:shd w:val="solid" w:color="FFFFFF" w:fill="auto"/>
          </w:tcPr>
          <w:p w14:paraId="6E4FDB1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894CB5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487A54" w14:textId="77777777" w:rsidR="00D40151" w:rsidRPr="00873B6C" w:rsidRDefault="00D40151" w:rsidP="009D14FB">
            <w:pPr>
              <w:pStyle w:val="TAL"/>
              <w:rPr>
                <w:sz w:val="16"/>
                <w:szCs w:val="16"/>
              </w:rPr>
            </w:pPr>
            <w:r w:rsidRPr="00873B6C">
              <w:rPr>
                <w:sz w:val="16"/>
                <w:szCs w:val="16"/>
              </w:rPr>
              <w:t>Correction for MO Exception Data Rate and its inclusion in charging information</w:t>
            </w:r>
          </w:p>
        </w:tc>
        <w:tc>
          <w:tcPr>
            <w:tcW w:w="708" w:type="dxa"/>
            <w:shd w:val="solid" w:color="FFFFFF" w:fill="auto"/>
          </w:tcPr>
          <w:p w14:paraId="2A89C02F" w14:textId="77777777" w:rsidR="00D40151" w:rsidRPr="00873B6C" w:rsidRDefault="00D40151" w:rsidP="009D14FB">
            <w:pPr>
              <w:pStyle w:val="TAC"/>
              <w:rPr>
                <w:sz w:val="16"/>
                <w:szCs w:val="16"/>
              </w:rPr>
            </w:pPr>
            <w:r w:rsidRPr="00873B6C">
              <w:rPr>
                <w:sz w:val="16"/>
                <w:szCs w:val="16"/>
              </w:rPr>
              <w:t>16.4.0</w:t>
            </w:r>
          </w:p>
        </w:tc>
      </w:tr>
      <w:tr w:rsidR="00D40151" w:rsidRPr="00873B6C" w14:paraId="278A75D2" w14:textId="77777777" w:rsidTr="009D14FB">
        <w:tc>
          <w:tcPr>
            <w:tcW w:w="800" w:type="dxa"/>
            <w:shd w:val="solid" w:color="FFFFFF" w:fill="auto"/>
          </w:tcPr>
          <w:p w14:paraId="3B66567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011097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8A63DC2"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6C9BEF2D" w14:textId="77777777" w:rsidR="00D40151" w:rsidRPr="00873B6C" w:rsidRDefault="00D40151" w:rsidP="009D14FB">
            <w:pPr>
              <w:pStyle w:val="TAL"/>
              <w:rPr>
                <w:sz w:val="16"/>
                <w:szCs w:val="16"/>
              </w:rPr>
            </w:pPr>
            <w:r w:rsidRPr="00873B6C">
              <w:rPr>
                <w:sz w:val="16"/>
                <w:szCs w:val="16"/>
              </w:rPr>
              <w:t>2097</w:t>
            </w:r>
          </w:p>
        </w:tc>
        <w:tc>
          <w:tcPr>
            <w:tcW w:w="425" w:type="dxa"/>
            <w:shd w:val="solid" w:color="FFFFFF" w:fill="auto"/>
          </w:tcPr>
          <w:p w14:paraId="353377E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28C8C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EB56D9" w14:textId="77777777" w:rsidR="00D40151" w:rsidRPr="00873B6C" w:rsidRDefault="00D40151" w:rsidP="009D14FB">
            <w:pPr>
              <w:pStyle w:val="TAL"/>
              <w:rPr>
                <w:sz w:val="16"/>
                <w:szCs w:val="16"/>
              </w:rPr>
            </w:pPr>
            <w:r w:rsidRPr="00873B6C">
              <w:rPr>
                <w:sz w:val="16"/>
                <w:szCs w:val="16"/>
              </w:rPr>
              <w:t xml:space="preserve">Correction to Access SNPN via PLMN </w:t>
            </w:r>
          </w:p>
        </w:tc>
        <w:tc>
          <w:tcPr>
            <w:tcW w:w="708" w:type="dxa"/>
            <w:shd w:val="solid" w:color="FFFFFF" w:fill="auto"/>
          </w:tcPr>
          <w:p w14:paraId="436F7FE6" w14:textId="77777777" w:rsidR="00D40151" w:rsidRPr="00873B6C" w:rsidRDefault="00D40151" w:rsidP="009D14FB">
            <w:pPr>
              <w:pStyle w:val="TAC"/>
              <w:rPr>
                <w:sz w:val="16"/>
                <w:szCs w:val="16"/>
              </w:rPr>
            </w:pPr>
            <w:r w:rsidRPr="00873B6C">
              <w:rPr>
                <w:sz w:val="16"/>
                <w:szCs w:val="16"/>
              </w:rPr>
              <w:t>16.4.0</w:t>
            </w:r>
          </w:p>
        </w:tc>
      </w:tr>
      <w:tr w:rsidR="00D40151" w:rsidRPr="00873B6C" w14:paraId="243C4F07" w14:textId="77777777" w:rsidTr="009D14FB">
        <w:tc>
          <w:tcPr>
            <w:tcW w:w="800" w:type="dxa"/>
            <w:shd w:val="solid" w:color="FFFFFF" w:fill="auto"/>
          </w:tcPr>
          <w:p w14:paraId="05D6B5E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90D5D1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0B95D6D" w14:textId="77777777" w:rsidR="00D40151" w:rsidRPr="00873B6C" w:rsidRDefault="00D40151" w:rsidP="009D14FB">
            <w:pPr>
              <w:pStyle w:val="TAC"/>
              <w:rPr>
                <w:sz w:val="16"/>
                <w:szCs w:val="16"/>
              </w:rPr>
            </w:pPr>
            <w:r w:rsidRPr="00873B6C">
              <w:rPr>
                <w:sz w:val="16"/>
                <w:szCs w:val="16"/>
              </w:rPr>
              <w:t>SP-200060</w:t>
            </w:r>
          </w:p>
        </w:tc>
        <w:tc>
          <w:tcPr>
            <w:tcW w:w="567" w:type="dxa"/>
            <w:shd w:val="solid" w:color="FFFFFF" w:fill="auto"/>
          </w:tcPr>
          <w:p w14:paraId="5241F42A" w14:textId="77777777" w:rsidR="00D40151" w:rsidRPr="00873B6C" w:rsidRDefault="00D40151" w:rsidP="009D14FB">
            <w:pPr>
              <w:pStyle w:val="TAL"/>
              <w:rPr>
                <w:sz w:val="16"/>
                <w:szCs w:val="16"/>
              </w:rPr>
            </w:pPr>
            <w:r w:rsidRPr="00873B6C">
              <w:rPr>
                <w:sz w:val="16"/>
                <w:szCs w:val="16"/>
              </w:rPr>
              <w:t>2100</w:t>
            </w:r>
          </w:p>
        </w:tc>
        <w:tc>
          <w:tcPr>
            <w:tcW w:w="425" w:type="dxa"/>
            <w:shd w:val="solid" w:color="FFFFFF" w:fill="auto"/>
          </w:tcPr>
          <w:p w14:paraId="4740D9B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DEDB90C"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3E0BA3B" w14:textId="77777777" w:rsidR="00D40151" w:rsidRPr="00873B6C" w:rsidRDefault="00D40151" w:rsidP="009D14FB">
            <w:pPr>
              <w:pStyle w:val="TAL"/>
              <w:rPr>
                <w:sz w:val="16"/>
                <w:szCs w:val="16"/>
              </w:rPr>
            </w:pPr>
            <w:r w:rsidRPr="00873B6C">
              <w:rPr>
                <w:sz w:val="16"/>
                <w:szCs w:val="16"/>
              </w:rPr>
              <w:t>Alignment with SA5 on Charging for SMS over NAS</w:t>
            </w:r>
          </w:p>
        </w:tc>
        <w:tc>
          <w:tcPr>
            <w:tcW w:w="708" w:type="dxa"/>
            <w:shd w:val="solid" w:color="FFFFFF" w:fill="auto"/>
          </w:tcPr>
          <w:p w14:paraId="1F553E1B" w14:textId="77777777" w:rsidR="00D40151" w:rsidRPr="00873B6C" w:rsidRDefault="00D40151" w:rsidP="009D14FB">
            <w:pPr>
              <w:pStyle w:val="TAC"/>
              <w:rPr>
                <w:sz w:val="16"/>
                <w:szCs w:val="16"/>
              </w:rPr>
            </w:pPr>
            <w:r w:rsidRPr="00873B6C">
              <w:rPr>
                <w:sz w:val="16"/>
                <w:szCs w:val="16"/>
              </w:rPr>
              <w:t>16.4.0</w:t>
            </w:r>
          </w:p>
        </w:tc>
      </w:tr>
      <w:tr w:rsidR="00D40151" w:rsidRPr="00873B6C" w14:paraId="10305720" w14:textId="77777777" w:rsidTr="009D14FB">
        <w:tc>
          <w:tcPr>
            <w:tcW w:w="800" w:type="dxa"/>
            <w:shd w:val="solid" w:color="FFFFFF" w:fill="auto"/>
          </w:tcPr>
          <w:p w14:paraId="38B08261" w14:textId="77777777" w:rsidR="00D40151" w:rsidRPr="00873B6C" w:rsidRDefault="00D40151" w:rsidP="009D14FB">
            <w:pPr>
              <w:pStyle w:val="TAC"/>
              <w:rPr>
                <w:sz w:val="16"/>
                <w:szCs w:val="16"/>
              </w:rPr>
            </w:pPr>
            <w:r w:rsidRPr="00873B6C">
              <w:rPr>
                <w:sz w:val="16"/>
                <w:szCs w:val="16"/>
              </w:rPr>
              <w:lastRenderedPageBreak/>
              <w:t>2020-03</w:t>
            </w:r>
          </w:p>
        </w:tc>
        <w:tc>
          <w:tcPr>
            <w:tcW w:w="800" w:type="dxa"/>
            <w:shd w:val="solid" w:color="FFFFFF" w:fill="auto"/>
          </w:tcPr>
          <w:p w14:paraId="66869DF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5675862" w14:textId="77777777" w:rsidR="00D40151" w:rsidRPr="00873B6C" w:rsidRDefault="00D40151" w:rsidP="009D14FB">
            <w:pPr>
              <w:pStyle w:val="TAC"/>
              <w:rPr>
                <w:sz w:val="16"/>
                <w:szCs w:val="16"/>
              </w:rPr>
            </w:pPr>
            <w:r w:rsidRPr="00873B6C">
              <w:rPr>
                <w:sz w:val="16"/>
                <w:szCs w:val="16"/>
              </w:rPr>
              <w:t>SP-200064</w:t>
            </w:r>
          </w:p>
        </w:tc>
        <w:tc>
          <w:tcPr>
            <w:tcW w:w="567" w:type="dxa"/>
            <w:shd w:val="solid" w:color="FFFFFF" w:fill="auto"/>
          </w:tcPr>
          <w:p w14:paraId="78B69C43" w14:textId="77777777" w:rsidR="00D40151" w:rsidRPr="00873B6C" w:rsidRDefault="00D40151" w:rsidP="009D14FB">
            <w:pPr>
              <w:pStyle w:val="TAL"/>
              <w:rPr>
                <w:sz w:val="16"/>
                <w:szCs w:val="16"/>
              </w:rPr>
            </w:pPr>
            <w:r w:rsidRPr="00873B6C">
              <w:rPr>
                <w:sz w:val="16"/>
                <w:szCs w:val="16"/>
              </w:rPr>
              <w:t>2102</w:t>
            </w:r>
          </w:p>
        </w:tc>
        <w:tc>
          <w:tcPr>
            <w:tcW w:w="425" w:type="dxa"/>
            <w:shd w:val="solid" w:color="FFFFFF" w:fill="auto"/>
          </w:tcPr>
          <w:p w14:paraId="1095AF6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977B07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B93365" w14:textId="77777777" w:rsidR="00D40151" w:rsidRPr="00873B6C" w:rsidRDefault="00D40151" w:rsidP="009D14FB">
            <w:pPr>
              <w:pStyle w:val="TAL"/>
              <w:rPr>
                <w:sz w:val="16"/>
                <w:szCs w:val="16"/>
              </w:rPr>
            </w:pPr>
            <w:r w:rsidRPr="00873B6C">
              <w:rPr>
                <w:sz w:val="16"/>
                <w:szCs w:val="16"/>
              </w:rPr>
              <w:t>NEF service to support location transfer</w:t>
            </w:r>
          </w:p>
        </w:tc>
        <w:tc>
          <w:tcPr>
            <w:tcW w:w="708" w:type="dxa"/>
            <w:shd w:val="solid" w:color="FFFFFF" w:fill="auto"/>
          </w:tcPr>
          <w:p w14:paraId="5EF5A10D" w14:textId="77777777" w:rsidR="00D40151" w:rsidRPr="00873B6C" w:rsidRDefault="00D40151" w:rsidP="009D14FB">
            <w:pPr>
              <w:pStyle w:val="TAC"/>
              <w:rPr>
                <w:sz w:val="16"/>
                <w:szCs w:val="16"/>
              </w:rPr>
            </w:pPr>
            <w:r w:rsidRPr="00873B6C">
              <w:rPr>
                <w:sz w:val="16"/>
                <w:szCs w:val="16"/>
              </w:rPr>
              <w:t>16.4.0</w:t>
            </w:r>
          </w:p>
        </w:tc>
      </w:tr>
      <w:tr w:rsidR="00D40151" w:rsidRPr="00873B6C" w14:paraId="04496210" w14:textId="77777777" w:rsidTr="009D14FB">
        <w:tc>
          <w:tcPr>
            <w:tcW w:w="800" w:type="dxa"/>
            <w:shd w:val="solid" w:color="FFFFFF" w:fill="auto"/>
          </w:tcPr>
          <w:p w14:paraId="298B339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C467D2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73BE01E" w14:textId="77777777" w:rsidR="00D40151" w:rsidRPr="00873B6C" w:rsidRDefault="00D40151" w:rsidP="009D14FB">
            <w:pPr>
              <w:pStyle w:val="TAC"/>
              <w:rPr>
                <w:sz w:val="16"/>
                <w:szCs w:val="16"/>
              </w:rPr>
            </w:pPr>
            <w:r w:rsidRPr="00873B6C">
              <w:rPr>
                <w:sz w:val="16"/>
                <w:szCs w:val="16"/>
              </w:rPr>
              <w:t>SP-200074</w:t>
            </w:r>
          </w:p>
        </w:tc>
        <w:tc>
          <w:tcPr>
            <w:tcW w:w="567" w:type="dxa"/>
            <w:shd w:val="solid" w:color="FFFFFF" w:fill="auto"/>
          </w:tcPr>
          <w:p w14:paraId="6F11930C" w14:textId="77777777" w:rsidR="00D40151" w:rsidRPr="00873B6C" w:rsidRDefault="00D40151" w:rsidP="009D14FB">
            <w:pPr>
              <w:pStyle w:val="TAL"/>
              <w:rPr>
                <w:sz w:val="16"/>
                <w:szCs w:val="16"/>
              </w:rPr>
            </w:pPr>
            <w:r w:rsidRPr="00873B6C">
              <w:rPr>
                <w:sz w:val="16"/>
                <w:szCs w:val="16"/>
              </w:rPr>
              <w:t xml:space="preserve">2106 </w:t>
            </w:r>
          </w:p>
        </w:tc>
        <w:tc>
          <w:tcPr>
            <w:tcW w:w="425" w:type="dxa"/>
            <w:shd w:val="solid" w:color="FFFFFF" w:fill="auto"/>
          </w:tcPr>
          <w:p w14:paraId="10431D6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9CB135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B1C92B" w14:textId="77777777" w:rsidR="00D40151" w:rsidRPr="00873B6C" w:rsidRDefault="00D40151" w:rsidP="009D14FB">
            <w:pPr>
              <w:pStyle w:val="TAL"/>
              <w:rPr>
                <w:sz w:val="16"/>
                <w:szCs w:val="16"/>
              </w:rPr>
            </w:pPr>
            <w:r w:rsidRPr="00873B6C">
              <w:rPr>
                <w:sz w:val="16"/>
                <w:szCs w:val="16"/>
              </w:rPr>
              <w:t>UCMF provisioning correction</w:t>
            </w:r>
          </w:p>
        </w:tc>
        <w:tc>
          <w:tcPr>
            <w:tcW w:w="708" w:type="dxa"/>
            <w:shd w:val="solid" w:color="FFFFFF" w:fill="auto"/>
          </w:tcPr>
          <w:p w14:paraId="057F6B70" w14:textId="77777777" w:rsidR="00D40151" w:rsidRPr="00873B6C" w:rsidRDefault="00D40151" w:rsidP="009D14FB">
            <w:pPr>
              <w:pStyle w:val="TAC"/>
              <w:rPr>
                <w:sz w:val="16"/>
                <w:szCs w:val="16"/>
              </w:rPr>
            </w:pPr>
            <w:r w:rsidRPr="00873B6C">
              <w:rPr>
                <w:sz w:val="16"/>
                <w:szCs w:val="16"/>
              </w:rPr>
              <w:t>16.4.0</w:t>
            </w:r>
          </w:p>
        </w:tc>
      </w:tr>
      <w:tr w:rsidR="00D40151" w:rsidRPr="00873B6C" w14:paraId="61F4E453" w14:textId="77777777" w:rsidTr="009D14FB">
        <w:tc>
          <w:tcPr>
            <w:tcW w:w="800" w:type="dxa"/>
            <w:shd w:val="solid" w:color="FFFFFF" w:fill="auto"/>
          </w:tcPr>
          <w:p w14:paraId="0E43A00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35F30C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5DFA614"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6FF307EF" w14:textId="77777777" w:rsidR="00D40151" w:rsidRPr="00873B6C" w:rsidRDefault="00D40151" w:rsidP="009D14FB">
            <w:pPr>
              <w:pStyle w:val="TAL"/>
              <w:rPr>
                <w:sz w:val="16"/>
                <w:szCs w:val="16"/>
              </w:rPr>
            </w:pPr>
            <w:r w:rsidRPr="00873B6C">
              <w:rPr>
                <w:sz w:val="16"/>
                <w:szCs w:val="16"/>
              </w:rPr>
              <w:t>2108</w:t>
            </w:r>
          </w:p>
        </w:tc>
        <w:tc>
          <w:tcPr>
            <w:tcW w:w="425" w:type="dxa"/>
            <w:shd w:val="solid" w:color="FFFFFF" w:fill="auto"/>
          </w:tcPr>
          <w:p w14:paraId="59843E4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1561D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BE8285" w14:textId="77777777" w:rsidR="00D40151" w:rsidRPr="00873B6C" w:rsidRDefault="00D40151" w:rsidP="009D14FB">
            <w:pPr>
              <w:pStyle w:val="TAL"/>
              <w:rPr>
                <w:sz w:val="16"/>
                <w:szCs w:val="16"/>
              </w:rPr>
            </w:pPr>
            <w:r w:rsidRPr="00873B6C">
              <w:rPr>
                <w:sz w:val="16"/>
                <w:szCs w:val="16"/>
              </w:rPr>
              <w:t>Clarification on the CN tunnel info allocation and release</w:t>
            </w:r>
          </w:p>
        </w:tc>
        <w:tc>
          <w:tcPr>
            <w:tcW w:w="708" w:type="dxa"/>
            <w:shd w:val="solid" w:color="FFFFFF" w:fill="auto"/>
          </w:tcPr>
          <w:p w14:paraId="6AA1F305" w14:textId="77777777" w:rsidR="00D40151" w:rsidRPr="00873B6C" w:rsidRDefault="00D40151" w:rsidP="009D14FB">
            <w:pPr>
              <w:pStyle w:val="TAC"/>
              <w:rPr>
                <w:sz w:val="16"/>
                <w:szCs w:val="16"/>
              </w:rPr>
            </w:pPr>
            <w:r w:rsidRPr="00873B6C">
              <w:rPr>
                <w:sz w:val="16"/>
                <w:szCs w:val="16"/>
              </w:rPr>
              <w:t>16.4.0</w:t>
            </w:r>
          </w:p>
        </w:tc>
      </w:tr>
      <w:tr w:rsidR="00D40151" w:rsidRPr="00873B6C" w14:paraId="525DEA00" w14:textId="77777777" w:rsidTr="009D14FB">
        <w:tc>
          <w:tcPr>
            <w:tcW w:w="800" w:type="dxa"/>
            <w:shd w:val="solid" w:color="FFFFFF" w:fill="auto"/>
          </w:tcPr>
          <w:p w14:paraId="0AE8385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9C73D6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B8C38D1"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0D6C88F0" w14:textId="77777777" w:rsidR="00D40151" w:rsidRPr="00873B6C" w:rsidRDefault="00D40151" w:rsidP="009D14FB">
            <w:pPr>
              <w:pStyle w:val="TAL"/>
              <w:rPr>
                <w:sz w:val="16"/>
                <w:szCs w:val="16"/>
              </w:rPr>
            </w:pPr>
            <w:r w:rsidRPr="00873B6C">
              <w:rPr>
                <w:sz w:val="16"/>
                <w:szCs w:val="16"/>
              </w:rPr>
              <w:t>2109</w:t>
            </w:r>
          </w:p>
        </w:tc>
        <w:tc>
          <w:tcPr>
            <w:tcW w:w="425" w:type="dxa"/>
            <w:shd w:val="solid" w:color="FFFFFF" w:fill="auto"/>
          </w:tcPr>
          <w:p w14:paraId="17CE1EF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986403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5A8C6C" w14:textId="77777777" w:rsidR="00D40151" w:rsidRPr="00873B6C" w:rsidRDefault="00D40151" w:rsidP="009D14FB">
            <w:pPr>
              <w:pStyle w:val="TAL"/>
              <w:rPr>
                <w:sz w:val="16"/>
                <w:szCs w:val="16"/>
              </w:rPr>
            </w:pPr>
            <w:r w:rsidRPr="00873B6C">
              <w:rPr>
                <w:sz w:val="16"/>
                <w:szCs w:val="16"/>
              </w:rPr>
              <w:t>Clarification on internal group ID usage</w:t>
            </w:r>
          </w:p>
        </w:tc>
        <w:tc>
          <w:tcPr>
            <w:tcW w:w="708" w:type="dxa"/>
            <w:shd w:val="solid" w:color="FFFFFF" w:fill="auto"/>
          </w:tcPr>
          <w:p w14:paraId="42C9CA2D" w14:textId="77777777" w:rsidR="00D40151" w:rsidRPr="00873B6C" w:rsidRDefault="00D40151" w:rsidP="009D14FB">
            <w:pPr>
              <w:pStyle w:val="TAC"/>
              <w:rPr>
                <w:sz w:val="16"/>
                <w:szCs w:val="16"/>
              </w:rPr>
            </w:pPr>
            <w:r w:rsidRPr="00873B6C">
              <w:rPr>
                <w:sz w:val="16"/>
                <w:szCs w:val="16"/>
              </w:rPr>
              <w:t>16.4.0</w:t>
            </w:r>
          </w:p>
        </w:tc>
      </w:tr>
      <w:tr w:rsidR="00D40151" w:rsidRPr="00873B6C" w14:paraId="48A47A7C" w14:textId="77777777" w:rsidTr="009D14FB">
        <w:tc>
          <w:tcPr>
            <w:tcW w:w="800" w:type="dxa"/>
            <w:shd w:val="solid" w:color="FFFFFF" w:fill="auto"/>
          </w:tcPr>
          <w:p w14:paraId="77E6F10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1BA142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AA4F2D2" w14:textId="77777777" w:rsidR="00D40151" w:rsidRPr="00873B6C" w:rsidRDefault="00D40151" w:rsidP="009D14FB">
            <w:pPr>
              <w:pStyle w:val="TAC"/>
              <w:rPr>
                <w:sz w:val="16"/>
                <w:szCs w:val="16"/>
              </w:rPr>
            </w:pPr>
            <w:r w:rsidRPr="00873B6C">
              <w:rPr>
                <w:sz w:val="16"/>
                <w:szCs w:val="16"/>
              </w:rPr>
              <w:t>SP-200065</w:t>
            </w:r>
          </w:p>
        </w:tc>
        <w:tc>
          <w:tcPr>
            <w:tcW w:w="567" w:type="dxa"/>
            <w:shd w:val="solid" w:color="FFFFFF" w:fill="auto"/>
          </w:tcPr>
          <w:p w14:paraId="75040820" w14:textId="77777777" w:rsidR="00D40151" w:rsidRPr="00873B6C" w:rsidRDefault="00D40151" w:rsidP="009D14FB">
            <w:pPr>
              <w:pStyle w:val="TAL"/>
              <w:rPr>
                <w:sz w:val="16"/>
                <w:szCs w:val="16"/>
              </w:rPr>
            </w:pPr>
            <w:r w:rsidRPr="00873B6C">
              <w:rPr>
                <w:sz w:val="16"/>
                <w:szCs w:val="16"/>
              </w:rPr>
              <w:t>2111</w:t>
            </w:r>
          </w:p>
        </w:tc>
        <w:tc>
          <w:tcPr>
            <w:tcW w:w="425" w:type="dxa"/>
            <w:shd w:val="solid" w:color="FFFFFF" w:fill="auto"/>
          </w:tcPr>
          <w:p w14:paraId="36B8A96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480FA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8DC387" w14:textId="77777777" w:rsidR="00D40151" w:rsidRPr="00873B6C" w:rsidRDefault="00D40151" w:rsidP="009D14FB">
            <w:pPr>
              <w:pStyle w:val="TAL"/>
              <w:rPr>
                <w:sz w:val="16"/>
                <w:szCs w:val="16"/>
              </w:rPr>
            </w:pPr>
            <w:r w:rsidRPr="00873B6C">
              <w:rPr>
                <w:sz w:val="16"/>
                <w:szCs w:val="16"/>
              </w:rPr>
              <w:t>Update of the binding related descriptions</w:t>
            </w:r>
          </w:p>
        </w:tc>
        <w:tc>
          <w:tcPr>
            <w:tcW w:w="708" w:type="dxa"/>
            <w:shd w:val="solid" w:color="FFFFFF" w:fill="auto"/>
          </w:tcPr>
          <w:p w14:paraId="1192D28F" w14:textId="77777777" w:rsidR="00D40151" w:rsidRPr="00873B6C" w:rsidRDefault="00D40151" w:rsidP="009D14FB">
            <w:pPr>
              <w:pStyle w:val="TAC"/>
              <w:rPr>
                <w:sz w:val="16"/>
                <w:szCs w:val="16"/>
              </w:rPr>
            </w:pPr>
            <w:r w:rsidRPr="00873B6C">
              <w:rPr>
                <w:sz w:val="16"/>
                <w:szCs w:val="16"/>
              </w:rPr>
              <w:t>16.4.0</w:t>
            </w:r>
          </w:p>
        </w:tc>
      </w:tr>
      <w:tr w:rsidR="00D40151" w:rsidRPr="00873B6C" w14:paraId="62320C74" w14:textId="77777777" w:rsidTr="009D14FB">
        <w:tc>
          <w:tcPr>
            <w:tcW w:w="800" w:type="dxa"/>
            <w:shd w:val="solid" w:color="FFFFFF" w:fill="auto"/>
          </w:tcPr>
          <w:p w14:paraId="68FBCC4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ED8827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312757B" w14:textId="77777777" w:rsidR="00D40151" w:rsidRPr="00873B6C" w:rsidRDefault="00D40151" w:rsidP="009D14FB">
            <w:pPr>
              <w:pStyle w:val="TAC"/>
              <w:rPr>
                <w:sz w:val="16"/>
                <w:szCs w:val="16"/>
              </w:rPr>
            </w:pPr>
            <w:r w:rsidRPr="00873B6C">
              <w:rPr>
                <w:sz w:val="16"/>
                <w:szCs w:val="16"/>
              </w:rPr>
              <w:t>SP-200074</w:t>
            </w:r>
          </w:p>
        </w:tc>
        <w:tc>
          <w:tcPr>
            <w:tcW w:w="567" w:type="dxa"/>
            <w:shd w:val="solid" w:color="FFFFFF" w:fill="auto"/>
          </w:tcPr>
          <w:p w14:paraId="2631F6DB" w14:textId="77777777" w:rsidR="00D40151" w:rsidRPr="00873B6C" w:rsidRDefault="00D40151" w:rsidP="009D14FB">
            <w:pPr>
              <w:pStyle w:val="TAL"/>
              <w:rPr>
                <w:sz w:val="16"/>
                <w:szCs w:val="16"/>
              </w:rPr>
            </w:pPr>
            <w:r w:rsidRPr="00873B6C">
              <w:rPr>
                <w:sz w:val="16"/>
                <w:szCs w:val="16"/>
              </w:rPr>
              <w:t>2116</w:t>
            </w:r>
          </w:p>
        </w:tc>
        <w:tc>
          <w:tcPr>
            <w:tcW w:w="425" w:type="dxa"/>
            <w:shd w:val="solid" w:color="FFFFFF" w:fill="auto"/>
          </w:tcPr>
          <w:p w14:paraId="65D7FD1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A15F4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6265E5" w14:textId="77777777" w:rsidR="00D40151" w:rsidRPr="00873B6C" w:rsidRDefault="00D40151" w:rsidP="009D14FB">
            <w:pPr>
              <w:pStyle w:val="TAL"/>
              <w:rPr>
                <w:sz w:val="16"/>
                <w:szCs w:val="16"/>
              </w:rPr>
            </w:pPr>
            <w:r w:rsidRPr="00873B6C">
              <w:rPr>
                <w:sz w:val="16"/>
                <w:szCs w:val="16"/>
              </w:rPr>
              <w:t>On UCMF discovery</w:t>
            </w:r>
          </w:p>
        </w:tc>
        <w:tc>
          <w:tcPr>
            <w:tcW w:w="708" w:type="dxa"/>
            <w:shd w:val="solid" w:color="FFFFFF" w:fill="auto"/>
          </w:tcPr>
          <w:p w14:paraId="04EBB958" w14:textId="77777777" w:rsidR="00D40151" w:rsidRPr="00873B6C" w:rsidRDefault="00D40151" w:rsidP="009D14FB">
            <w:pPr>
              <w:pStyle w:val="TAC"/>
              <w:rPr>
                <w:sz w:val="16"/>
                <w:szCs w:val="16"/>
              </w:rPr>
            </w:pPr>
            <w:r w:rsidRPr="00873B6C">
              <w:rPr>
                <w:sz w:val="16"/>
                <w:szCs w:val="16"/>
              </w:rPr>
              <w:t>16.4.0</w:t>
            </w:r>
          </w:p>
        </w:tc>
      </w:tr>
      <w:tr w:rsidR="00D40151" w:rsidRPr="00873B6C" w14:paraId="3A1E285A" w14:textId="77777777" w:rsidTr="009D14FB">
        <w:tc>
          <w:tcPr>
            <w:tcW w:w="800" w:type="dxa"/>
            <w:shd w:val="solid" w:color="FFFFFF" w:fill="auto"/>
          </w:tcPr>
          <w:p w14:paraId="3514B3C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41B9D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284A562" w14:textId="77777777" w:rsidR="00D40151" w:rsidRPr="00873B6C" w:rsidRDefault="00D40151" w:rsidP="009D14FB">
            <w:pPr>
              <w:pStyle w:val="TAC"/>
              <w:rPr>
                <w:sz w:val="16"/>
                <w:szCs w:val="16"/>
              </w:rPr>
            </w:pPr>
            <w:r w:rsidRPr="00873B6C">
              <w:rPr>
                <w:sz w:val="16"/>
                <w:szCs w:val="16"/>
              </w:rPr>
              <w:t>SP-200074</w:t>
            </w:r>
          </w:p>
        </w:tc>
        <w:tc>
          <w:tcPr>
            <w:tcW w:w="567" w:type="dxa"/>
            <w:shd w:val="solid" w:color="FFFFFF" w:fill="auto"/>
          </w:tcPr>
          <w:p w14:paraId="45C986BB" w14:textId="77777777" w:rsidR="00D40151" w:rsidRPr="00873B6C" w:rsidRDefault="00D40151" w:rsidP="009D14FB">
            <w:pPr>
              <w:pStyle w:val="TAL"/>
              <w:rPr>
                <w:sz w:val="16"/>
                <w:szCs w:val="16"/>
              </w:rPr>
            </w:pPr>
            <w:r w:rsidRPr="00873B6C">
              <w:rPr>
                <w:sz w:val="16"/>
                <w:szCs w:val="16"/>
              </w:rPr>
              <w:t>2117</w:t>
            </w:r>
          </w:p>
        </w:tc>
        <w:tc>
          <w:tcPr>
            <w:tcW w:w="425" w:type="dxa"/>
            <w:shd w:val="solid" w:color="FFFFFF" w:fill="auto"/>
          </w:tcPr>
          <w:p w14:paraId="5F427D8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4D5F2A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CB490F" w14:textId="77777777" w:rsidR="00D40151" w:rsidRPr="00873B6C" w:rsidRDefault="00D40151" w:rsidP="009D14FB">
            <w:pPr>
              <w:pStyle w:val="TAL"/>
              <w:rPr>
                <w:sz w:val="16"/>
                <w:szCs w:val="16"/>
              </w:rPr>
            </w:pPr>
            <w:r w:rsidRPr="00873B6C">
              <w:rPr>
                <w:sz w:val="16"/>
                <w:szCs w:val="16"/>
              </w:rPr>
              <w:t>RACS and NB-IoT corrections</w:t>
            </w:r>
          </w:p>
        </w:tc>
        <w:tc>
          <w:tcPr>
            <w:tcW w:w="708" w:type="dxa"/>
            <w:shd w:val="solid" w:color="FFFFFF" w:fill="auto"/>
          </w:tcPr>
          <w:p w14:paraId="07BEB479" w14:textId="77777777" w:rsidR="00D40151" w:rsidRPr="00873B6C" w:rsidRDefault="00D40151" w:rsidP="009D14FB">
            <w:pPr>
              <w:pStyle w:val="TAC"/>
              <w:rPr>
                <w:sz w:val="16"/>
                <w:szCs w:val="16"/>
              </w:rPr>
            </w:pPr>
            <w:r w:rsidRPr="00873B6C">
              <w:rPr>
                <w:sz w:val="16"/>
                <w:szCs w:val="16"/>
              </w:rPr>
              <w:t>16.4.0</w:t>
            </w:r>
          </w:p>
        </w:tc>
      </w:tr>
      <w:tr w:rsidR="00D40151" w:rsidRPr="00873B6C" w14:paraId="533D2B7B" w14:textId="77777777" w:rsidTr="009D14FB">
        <w:tc>
          <w:tcPr>
            <w:tcW w:w="800" w:type="dxa"/>
            <w:shd w:val="solid" w:color="FFFFFF" w:fill="auto"/>
          </w:tcPr>
          <w:p w14:paraId="31FEC67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61148F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028A48A" w14:textId="77777777" w:rsidR="00D40151" w:rsidRPr="00873B6C" w:rsidRDefault="00D40151" w:rsidP="009D14FB">
            <w:pPr>
              <w:pStyle w:val="TAC"/>
              <w:rPr>
                <w:sz w:val="16"/>
                <w:szCs w:val="16"/>
              </w:rPr>
            </w:pPr>
            <w:r w:rsidRPr="00873B6C">
              <w:rPr>
                <w:sz w:val="16"/>
                <w:szCs w:val="16"/>
              </w:rPr>
              <w:t>SP-200067</w:t>
            </w:r>
          </w:p>
        </w:tc>
        <w:tc>
          <w:tcPr>
            <w:tcW w:w="567" w:type="dxa"/>
            <w:shd w:val="solid" w:color="FFFFFF" w:fill="auto"/>
          </w:tcPr>
          <w:p w14:paraId="223D0B31" w14:textId="77777777" w:rsidR="00D40151" w:rsidRPr="00873B6C" w:rsidRDefault="00D40151" w:rsidP="009D14FB">
            <w:pPr>
              <w:pStyle w:val="TAL"/>
              <w:rPr>
                <w:sz w:val="16"/>
                <w:szCs w:val="16"/>
              </w:rPr>
            </w:pPr>
            <w:r w:rsidRPr="00873B6C">
              <w:rPr>
                <w:sz w:val="16"/>
                <w:szCs w:val="16"/>
              </w:rPr>
              <w:t>2122</w:t>
            </w:r>
          </w:p>
        </w:tc>
        <w:tc>
          <w:tcPr>
            <w:tcW w:w="425" w:type="dxa"/>
            <w:shd w:val="solid" w:color="FFFFFF" w:fill="auto"/>
          </w:tcPr>
          <w:p w14:paraId="1AE30E1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3A0B0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AE220C" w14:textId="77777777" w:rsidR="00D40151" w:rsidRPr="00873B6C" w:rsidRDefault="00D40151" w:rsidP="009D14FB">
            <w:pPr>
              <w:pStyle w:val="TAL"/>
              <w:rPr>
                <w:sz w:val="16"/>
                <w:szCs w:val="16"/>
              </w:rPr>
            </w:pPr>
            <w:r w:rsidRPr="00873B6C">
              <w:rPr>
                <w:sz w:val="16"/>
                <w:szCs w:val="16"/>
              </w:rPr>
              <w:t>Correction for the wrongly implemented CR1785r8</w:t>
            </w:r>
          </w:p>
        </w:tc>
        <w:tc>
          <w:tcPr>
            <w:tcW w:w="708" w:type="dxa"/>
            <w:shd w:val="solid" w:color="FFFFFF" w:fill="auto"/>
          </w:tcPr>
          <w:p w14:paraId="315CE154" w14:textId="77777777" w:rsidR="00D40151" w:rsidRPr="00873B6C" w:rsidRDefault="00D40151" w:rsidP="009D14FB">
            <w:pPr>
              <w:pStyle w:val="TAC"/>
              <w:rPr>
                <w:sz w:val="16"/>
                <w:szCs w:val="16"/>
              </w:rPr>
            </w:pPr>
            <w:r w:rsidRPr="00873B6C">
              <w:rPr>
                <w:sz w:val="16"/>
                <w:szCs w:val="16"/>
              </w:rPr>
              <w:t>16.4.0</w:t>
            </w:r>
          </w:p>
        </w:tc>
      </w:tr>
      <w:tr w:rsidR="00D40151" w:rsidRPr="00873B6C" w14:paraId="62E9DA80" w14:textId="77777777" w:rsidTr="009D14FB">
        <w:tc>
          <w:tcPr>
            <w:tcW w:w="800" w:type="dxa"/>
            <w:shd w:val="solid" w:color="FFFFFF" w:fill="auto"/>
          </w:tcPr>
          <w:p w14:paraId="6CB9F0F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45E010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55B6150" w14:textId="77777777" w:rsidR="00D40151" w:rsidRPr="00873B6C" w:rsidRDefault="00D40151" w:rsidP="009D14FB">
            <w:pPr>
              <w:pStyle w:val="TAC"/>
              <w:rPr>
                <w:sz w:val="16"/>
                <w:szCs w:val="16"/>
              </w:rPr>
            </w:pPr>
            <w:r w:rsidRPr="00873B6C">
              <w:rPr>
                <w:sz w:val="16"/>
                <w:szCs w:val="16"/>
              </w:rPr>
              <w:t>SP-200067</w:t>
            </w:r>
          </w:p>
        </w:tc>
        <w:tc>
          <w:tcPr>
            <w:tcW w:w="567" w:type="dxa"/>
            <w:shd w:val="solid" w:color="FFFFFF" w:fill="auto"/>
          </w:tcPr>
          <w:p w14:paraId="6DB0EAC3" w14:textId="77777777" w:rsidR="00D40151" w:rsidRPr="00873B6C" w:rsidRDefault="00D40151" w:rsidP="009D14FB">
            <w:pPr>
              <w:pStyle w:val="TAL"/>
              <w:rPr>
                <w:sz w:val="16"/>
                <w:szCs w:val="16"/>
              </w:rPr>
            </w:pPr>
            <w:r w:rsidRPr="00873B6C">
              <w:rPr>
                <w:sz w:val="16"/>
                <w:szCs w:val="16"/>
              </w:rPr>
              <w:t>2123</w:t>
            </w:r>
          </w:p>
        </w:tc>
        <w:tc>
          <w:tcPr>
            <w:tcW w:w="425" w:type="dxa"/>
            <w:shd w:val="solid" w:color="FFFFFF" w:fill="auto"/>
          </w:tcPr>
          <w:p w14:paraId="372B3D97"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0E6A2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EEF7A9" w14:textId="77777777" w:rsidR="00D40151" w:rsidRPr="00873B6C" w:rsidRDefault="00D40151" w:rsidP="009D14FB">
            <w:pPr>
              <w:pStyle w:val="TAL"/>
              <w:rPr>
                <w:sz w:val="16"/>
                <w:szCs w:val="16"/>
              </w:rPr>
            </w:pPr>
            <w:r w:rsidRPr="00873B6C">
              <w:rPr>
                <w:sz w:val="16"/>
                <w:szCs w:val="16"/>
              </w:rPr>
              <w:t>Corrections of Alternative QoS Profiles - proper TS version</w:t>
            </w:r>
          </w:p>
        </w:tc>
        <w:tc>
          <w:tcPr>
            <w:tcW w:w="708" w:type="dxa"/>
            <w:shd w:val="solid" w:color="FFFFFF" w:fill="auto"/>
          </w:tcPr>
          <w:p w14:paraId="3CA00B9A" w14:textId="77777777" w:rsidR="00D40151" w:rsidRPr="00873B6C" w:rsidRDefault="00D40151" w:rsidP="009D14FB">
            <w:pPr>
              <w:pStyle w:val="TAC"/>
              <w:rPr>
                <w:sz w:val="16"/>
                <w:szCs w:val="16"/>
              </w:rPr>
            </w:pPr>
            <w:r w:rsidRPr="00873B6C">
              <w:rPr>
                <w:sz w:val="16"/>
                <w:szCs w:val="16"/>
              </w:rPr>
              <w:t>16.4.0</w:t>
            </w:r>
          </w:p>
        </w:tc>
      </w:tr>
      <w:tr w:rsidR="00D40151" w:rsidRPr="00873B6C" w14:paraId="3C733E31" w14:textId="77777777" w:rsidTr="009D14FB">
        <w:tc>
          <w:tcPr>
            <w:tcW w:w="800" w:type="dxa"/>
            <w:shd w:val="solid" w:color="FFFFFF" w:fill="auto"/>
          </w:tcPr>
          <w:p w14:paraId="40704C3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F29EE5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6AA720C"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03E637C4" w14:textId="77777777" w:rsidR="00D40151" w:rsidRPr="00873B6C" w:rsidRDefault="00D40151" w:rsidP="009D14FB">
            <w:pPr>
              <w:pStyle w:val="TAL"/>
              <w:rPr>
                <w:sz w:val="16"/>
                <w:szCs w:val="16"/>
              </w:rPr>
            </w:pPr>
            <w:r w:rsidRPr="00873B6C">
              <w:rPr>
                <w:sz w:val="16"/>
                <w:szCs w:val="16"/>
              </w:rPr>
              <w:t>2128</w:t>
            </w:r>
          </w:p>
        </w:tc>
        <w:tc>
          <w:tcPr>
            <w:tcW w:w="425" w:type="dxa"/>
            <w:shd w:val="solid" w:color="FFFFFF" w:fill="auto"/>
          </w:tcPr>
          <w:p w14:paraId="31F601F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5B732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08398D" w14:textId="77777777" w:rsidR="00D40151" w:rsidRPr="00873B6C" w:rsidRDefault="00D40151" w:rsidP="009D14FB">
            <w:pPr>
              <w:pStyle w:val="TAL"/>
              <w:rPr>
                <w:sz w:val="16"/>
                <w:szCs w:val="16"/>
              </w:rPr>
            </w:pPr>
            <w:r w:rsidRPr="00873B6C">
              <w:rPr>
                <w:sz w:val="16"/>
                <w:szCs w:val="16"/>
              </w:rPr>
              <w:t>Sending EPS APN rate control information during PDU session establishment</w:t>
            </w:r>
          </w:p>
        </w:tc>
        <w:tc>
          <w:tcPr>
            <w:tcW w:w="708" w:type="dxa"/>
            <w:shd w:val="solid" w:color="FFFFFF" w:fill="auto"/>
          </w:tcPr>
          <w:p w14:paraId="7694905D" w14:textId="77777777" w:rsidR="00D40151" w:rsidRPr="00873B6C" w:rsidRDefault="00D40151" w:rsidP="009D14FB">
            <w:pPr>
              <w:pStyle w:val="TAC"/>
              <w:rPr>
                <w:sz w:val="16"/>
                <w:szCs w:val="16"/>
              </w:rPr>
            </w:pPr>
            <w:r w:rsidRPr="00873B6C">
              <w:rPr>
                <w:sz w:val="16"/>
                <w:szCs w:val="16"/>
              </w:rPr>
              <w:t>16.4.0</w:t>
            </w:r>
          </w:p>
        </w:tc>
      </w:tr>
      <w:tr w:rsidR="00D40151" w:rsidRPr="00873B6C" w14:paraId="60563FB1" w14:textId="77777777" w:rsidTr="009D14FB">
        <w:tc>
          <w:tcPr>
            <w:tcW w:w="800" w:type="dxa"/>
            <w:shd w:val="solid" w:color="FFFFFF" w:fill="auto"/>
          </w:tcPr>
          <w:p w14:paraId="2C25A1C3"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ABB860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7110891"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73827698" w14:textId="77777777" w:rsidR="00D40151" w:rsidRPr="00873B6C" w:rsidRDefault="00D40151" w:rsidP="009D14FB">
            <w:pPr>
              <w:pStyle w:val="TAL"/>
              <w:rPr>
                <w:sz w:val="16"/>
                <w:szCs w:val="16"/>
              </w:rPr>
            </w:pPr>
            <w:r w:rsidRPr="00873B6C">
              <w:rPr>
                <w:sz w:val="16"/>
                <w:szCs w:val="16"/>
              </w:rPr>
              <w:t>2132</w:t>
            </w:r>
          </w:p>
        </w:tc>
        <w:tc>
          <w:tcPr>
            <w:tcW w:w="425" w:type="dxa"/>
            <w:shd w:val="solid" w:color="FFFFFF" w:fill="auto"/>
          </w:tcPr>
          <w:p w14:paraId="6F0C8FD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FF7173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42EA1B" w14:textId="77777777" w:rsidR="00D40151" w:rsidRPr="00873B6C" w:rsidRDefault="00D40151" w:rsidP="009D14FB">
            <w:pPr>
              <w:pStyle w:val="TAL"/>
              <w:rPr>
                <w:sz w:val="16"/>
                <w:szCs w:val="16"/>
              </w:rPr>
            </w:pPr>
            <w:r w:rsidRPr="00873B6C">
              <w:rPr>
                <w:sz w:val="16"/>
                <w:szCs w:val="16"/>
              </w:rPr>
              <w:t>Correction to Reference Points for Non-3GPP Access</w:t>
            </w:r>
          </w:p>
        </w:tc>
        <w:tc>
          <w:tcPr>
            <w:tcW w:w="708" w:type="dxa"/>
            <w:shd w:val="solid" w:color="FFFFFF" w:fill="auto"/>
          </w:tcPr>
          <w:p w14:paraId="031BE614" w14:textId="77777777" w:rsidR="00D40151" w:rsidRPr="00873B6C" w:rsidRDefault="00D40151" w:rsidP="009D14FB">
            <w:pPr>
              <w:pStyle w:val="TAC"/>
              <w:rPr>
                <w:sz w:val="16"/>
                <w:szCs w:val="16"/>
              </w:rPr>
            </w:pPr>
            <w:r w:rsidRPr="00873B6C">
              <w:rPr>
                <w:sz w:val="16"/>
                <w:szCs w:val="16"/>
              </w:rPr>
              <w:t>16.4.0</w:t>
            </w:r>
          </w:p>
        </w:tc>
      </w:tr>
      <w:tr w:rsidR="00D40151" w:rsidRPr="00873B6C" w14:paraId="2120D20F" w14:textId="77777777" w:rsidTr="009D14FB">
        <w:tc>
          <w:tcPr>
            <w:tcW w:w="800" w:type="dxa"/>
            <w:shd w:val="solid" w:color="FFFFFF" w:fill="auto"/>
          </w:tcPr>
          <w:p w14:paraId="67D64C8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341F49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45104C5"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330D116" w14:textId="77777777" w:rsidR="00D40151" w:rsidRPr="00873B6C" w:rsidRDefault="00D40151" w:rsidP="009D14FB">
            <w:pPr>
              <w:pStyle w:val="TAL"/>
              <w:rPr>
                <w:sz w:val="16"/>
                <w:szCs w:val="16"/>
              </w:rPr>
            </w:pPr>
            <w:r w:rsidRPr="00873B6C">
              <w:rPr>
                <w:sz w:val="16"/>
                <w:szCs w:val="16"/>
              </w:rPr>
              <w:t>2133</w:t>
            </w:r>
          </w:p>
        </w:tc>
        <w:tc>
          <w:tcPr>
            <w:tcW w:w="425" w:type="dxa"/>
            <w:shd w:val="solid" w:color="FFFFFF" w:fill="auto"/>
          </w:tcPr>
          <w:p w14:paraId="22D1F27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B4F7EE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C4E658" w14:textId="77777777" w:rsidR="00D40151" w:rsidRPr="00873B6C" w:rsidRDefault="00D40151" w:rsidP="009D14FB">
            <w:pPr>
              <w:pStyle w:val="TAL"/>
              <w:rPr>
                <w:sz w:val="16"/>
                <w:szCs w:val="16"/>
              </w:rPr>
            </w:pPr>
            <w:r w:rsidRPr="00873B6C">
              <w:rPr>
                <w:sz w:val="16"/>
                <w:szCs w:val="16"/>
              </w:rPr>
              <w:t>Clarification of TSN stream and traffic class</w:t>
            </w:r>
          </w:p>
        </w:tc>
        <w:tc>
          <w:tcPr>
            <w:tcW w:w="708" w:type="dxa"/>
            <w:shd w:val="solid" w:color="FFFFFF" w:fill="auto"/>
          </w:tcPr>
          <w:p w14:paraId="13C5AA3E" w14:textId="77777777" w:rsidR="00D40151" w:rsidRPr="00873B6C" w:rsidRDefault="00D40151" w:rsidP="009D14FB">
            <w:pPr>
              <w:pStyle w:val="TAC"/>
              <w:rPr>
                <w:sz w:val="16"/>
                <w:szCs w:val="16"/>
              </w:rPr>
            </w:pPr>
            <w:r w:rsidRPr="00873B6C">
              <w:rPr>
                <w:sz w:val="16"/>
                <w:szCs w:val="16"/>
              </w:rPr>
              <w:t>16.4.0</w:t>
            </w:r>
          </w:p>
        </w:tc>
      </w:tr>
      <w:tr w:rsidR="00D40151" w:rsidRPr="00873B6C" w14:paraId="284AA6E6" w14:textId="77777777" w:rsidTr="009D14FB">
        <w:tc>
          <w:tcPr>
            <w:tcW w:w="800" w:type="dxa"/>
            <w:shd w:val="solid" w:color="FFFFFF" w:fill="auto"/>
          </w:tcPr>
          <w:p w14:paraId="0327528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694FC8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CA87C77"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6BBE5A2" w14:textId="77777777" w:rsidR="00D40151" w:rsidRPr="00873B6C" w:rsidRDefault="00D40151" w:rsidP="009D14FB">
            <w:pPr>
              <w:pStyle w:val="TAL"/>
              <w:rPr>
                <w:sz w:val="16"/>
                <w:szCs w:val="16"/>
              </w:rPr>
            </w:pPr>
            <w:r w:rsidRPr="00873B6C">
              <w:rPr>
                <w:sz w:val="16"/>
                <w:szCs w:val="16"/>
              </w:rPr>
              <w:t xml:space="preserve">2136 </w:t>
            </w:r>
          </w:p>
        </w:tc>
        <w:tc>
          <w:tcPr>
            <w:tcW w:w="425" w:type="dxa"/>
            <w:shd w:val="solid" w:color="FFFFFF" w:fill="auto"/>
          </w:tcPr>
          <w:p w14:paraId="416529D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0289C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6C5004" w14:textId="77777777" w:rsidR="00D40151" w:rsidRPr="00873B6C" w:rsidRDefault="00D40151" w:rsidP="009D14FB">
            <w:pPr>
              <w:pStyle w:val="TAL"/>
              <w:rPr>
                <w:sz w:val="16"/>
                <w:szCs w:val="16"/>
              </w:rPr>
            </w:pPr>
            <w:r w:rsidRPr="00873B6C">
              <w:rPr>
                <w:sz w:val="16"/>
                <w:szCs w:val="16"/>
              </w:rPr>
              <w:t>Correction to UE configuration update procedure conditions for re-registration</w:t>
            </w:r>
          </w:p>
        </w:tc>
        <w:tc>
          <w:tcPr>
            <w:tcW w:w="708" w:type="dxa"/>
            <w:shd w:val="solid" w:color="FFFFFF" w:fill="auto"/>
          </w:tcPr>
          <w:p w14:paraId="0B467030" w14:textId="77777777" w:rsidR="00D40151" w:rsidRPr="00873B6C" w:rsidRDefault="00D40151" w:rsidP="009D14FB">
            <w:pPr>
              <w:pStyle w:val="TAC"/>
              <w:rPr>
                <w:sz w:val="16"/>
                <w:szCs w:val="16"/>
              </w:rPr>
            </w:pPr>
            <w:r w:rsidRPr="00873B6C">
              <w:rPr>
                <w:sz w:val="16"/>
                <w:szCs w:val="16"/>
              </w:rPr>
              <w:t>16.4.0</w:t>
            </w:r>
          </w:p>
        </w:tc>
      </w:tr>
      <w:tr w:rsidR="00D40151" w:rsidRPr="00873B6C" w14:paraId="5EDAF6DE" w14:textId="77777777" w:rsidTr="009D14FB">
        <w:tc>
          <w:tcPr>
            <w:tcW w:w="800" w:type="dxa"/>
            <w:shd w:val="solid" w:color="FFFFFF" w:fill="auto"/>
          </w:tcPr>
          <w:p w14:paraId="52F187A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6ED805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06224D6"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02BF04C" w14:textId="77777777" w:rsidR="00D40151" w:rsidRPr="00873B6C" w:rsidRDefault="00D40151" w:rsidP="009D14FB">
            <w:pPr>
              <w:pStyle w:val="TAL"/>
              <w:rPr>
                <w:sz w:val="16"/>
                <w:szCs w:val="16"/>
              </w:rPr>
            </w:pPr>
            <w:r w:rsidRPr="00873B6C">
              <w:rPr>
                <w:sz w:val="16"/>
                <w:szCs w:val="16"/>
              </w:rPr>
              <w:t xml:space="preserve">2137 </w:t>
            </w:r>
          </w:p>
        </w:tc>
        <w:tc>
          <w:tcPr>
            <w:tcW w:w="425" w:type="dxa"/>
            <w:shd w:val="solid" w:color="FFFFFF" w:fill="auto"/>
          </w:tcPr>
          <w:p w14:paraId="70AE632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D1FD8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9B4B838" w14:textId="77777777" w:rsidR="00D40151" w:rsidRPr="00873B6C" w:rsidRDefault="00D40151" w:rsidP="009D14FB">
            <w:pPr>
              <w:pStyle w:val="TAL"/>
              <w:rPr>
                <w:sz w:val="16"/>
                <w:szCs w:val="16"/>
              </w:rPr>
            </w:pPr>
            <w:r w:rsidRPr="00873B6C">
              <w:rPr>
                <w:sz w:val="16"/>
                <w:szCs w:val="16"/>
              </w:rPr>
              <w:t>Selecting network for Emergency services</w:t>
            </w:r>
          </w:p>
        </w:tc>
        <w:tc>
          <w:tcPr>
            <w:tcW w:w="708" w:type="dxa"/>
            <w:shd w:val="solid" w:color="FFFFFF" w:fill="auto"/>
          </w:tcPr>
          <w:p w14:paraId="250C2B04" w14:textId="77777777" w:rsidR="00D40151" w:rsidRPr="00873B6C" w:rsidRDefault="00D40151" w:rsidP="009D14FB">
            <w:pPr>
              <w:pStyle w:val="TAC"/>
              <w:rPr>
                <w:sz w:val="16"/>
                <w:szCs w:val="16"/>
              </w:rPr>
            </w:pPr>
            <w:r w:rsidRPr="00873B6C">
              <w:rPr>
                <w:sz w:val="16"/>
                <w:szCs w:val="16"/>
              </w:rPr>
              <w:t>16.4.0</w:t>
            </w:r>
          </w:p>
        </w:tc>
      </w:tr>
      <w:tr w:rsidR="00D40151" w:rsidRPr="00873B6C" w14:paraId="784E2CE6" w14:textId="77777777" w:rsidTr="009D14FB">
        <w:tc>
          <w:tcPr>
            <w:tcW w:w="800" w:type="dxa"/>
            <w:shd w:val="solid" w:color="FFFFFF" w:fill="auto"/>
          </w:tcPr>
          <w:p w14:paraId="113D884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0A0E4C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77584DA" w14:textId="77777777" w:rsidR="00D40151" w:rsidRPr="00873B6C" w:rsidRDefault="00D40151" w:rsidP="009D14FB">
            <w:pPr>
              <w:pStyle w:val="TAC"/>
              <w:rPr>
                <w:sz w:val="16"/>
                <w:szCs w:val="16"/>
              </w:rPr>
            </w:pPr>
            <w:r w:rsidRPr="00873B6C">
              <w:rPr>
                <w:sz w:val="16"/>
                <w:szCs w:val="16"/>
              </w:rPr>
              <w:t>SP-200070</w:t>
            </w:r>
          </w:p>
        </w:tc>
        <w:tc>
          <w:tcPr>
            <w:tcW w:w="567" w:type="dxa"/>
            <w:shd w:val="solid" w:color="FFFFFF" w:fill="auto"/>
          </w:tcPr>
          <w:p w14:paraId="327681E1" w14:textId="77777777" w:rsidR="00D40151" w:rsidRPr="00873B6C" w:rsidRDefault="00D40151" w:rsidP="009D14FB">
            <w:pPr>
              <w:pStyle w:val="TAL"/>
              <w:rPr>
                <w:sz w:val="16"/>
                <w:szCs w:val="16"/>
              </w:rPr>
            </w:pPr>
            <w:r w:rsidRPr="00873B6C">
              <w:rPr>
                <w:sz w:val="16"/>
                <w:szCs w:val="16"/>
              </w:rPr>
              <w:t>2140</w:t>
            </w:r>
          </w:p>
        </w:tc>
        <w:tc>
          <w:tcPr>
            <w:tcW w:w="425" w:type="dxa"/>
            <w:shd w:val="solid" w:color="FFFFFF" w:fill="auto"/>
          </w:tcPr>
          <w:p w14:paraId="07615C2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18D5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B9E1F8" w14:textId="77777777" w:rsidR="00D40151" w:rsidRPr="00873B6C" w:rsidRDefault="00D40151" w:rsidP="009D14FB">
            <w:pPr>
              <w:pStyle w:val="TAL"/>
              <w:rPr>
                <w:sz w:val="16"/>
                <w:szCs w:val="16"/>
              </w:rPr>
            </w:pPr>
            <w:r w:rsidRPr="00873B6C">
              <w:rPr>
                <w:sz w:val="16"/>
                <w:szCs w:val="16"/>
              </w:rPr>
              <w:t>Corrections to UE mobility event notification</w:t>
            </w:r>
          </w:p>
        </w:tc>
        <w:tc>
          <w:tcPr>
            <w:tcW w:w="708" w:type="dxa"/>
            <w:shd w:val="solid" w:color="FFFFFF" w:fill="auto"/>
          </w:tcPr>
          <w:p w14:paraId="021EF29D" w14:textId="77777777" w:rsidR="00D40151" w:rsidRPr="00873B6C" w:rsidRDefault="00D40151" w:rsidP="009D14FB">
            <w:pPr>
              <w:pStyle w:val="TAC"/>
              <w:rPr>
                <w:sz w:val="16"/>
                <w:szCs w:val="16"/>
              </w:rPr>
            </w:pPr>
            <w:r w:rsidRPr="00873B6C">
              <w:rPr>
                <w:sz w:val="16"/>
                <w:szCs w:val="16"/>
              </w:rPr>
              <w:t>16.4.0</w:t>
            </w:r>
          </w:p>
        </w:tc>
      </w:tr>
      <w:tr w:rsidR="00D40151" w:rsidRPr="00873B6C" w14:paraId="79C799D9" w14:textId="77777777" w:rsidTr="009D14FB">
        <w:tc>
          <w:tcPr>
            <w:tcW w:w="800" w:type="dxa"/>
            <w:shd w:val="solid" w:color="FFFFFF" w:fill="auto"/>
          </w:tcPr>
          <w:p w14:paraId="6A1D78C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7AF599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D0BB909"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75C6724C" w14:textId="77777777" w:rsidR="00D40151" w:rsidRPr="00873B6C" w:rsidRDefault="00D40151" w:rsidP="009D14FB">
            <w:pPr>
              <w:pStyle w:val="TAL"/>
              <w:rPr>
                <w:sz w:val="16"/>
                <w:szCs w:val="16"/>
              </w:rPr>
            </w:pPr>
            <w:r w:rsidRPr="00873B6C">
              <w:rPr>
                <w:sz w:val="16"/>
                <w:szCs w:val="16"/>
              </w:rPr>
              <w:t>2141</w:t>
            </w:r>
          </w:p>
        </w:tc>
        <w:tc>
          <w:tcPr>
            <w:tcW w:w="425" w:type="dxa"/>
            <w:shd w:val="solid" w:color="FFFFFF" w:fill="auto"/>
          </w:tcPr>
          <w:p w14:paraId="591BBA5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7C817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4B097B" w14:textId="77777777" w:rsidR="00D40151" w:rsidRPr="00873B6C" w:rsidRDefault="00D40151" w:rsidP="009D14FB">
            <w:pPr>
              <w:pStyle w:val="TAL"/>
              <w:rPr>
                <w:sz w:val="16"/>
                <w:szCs w:val="16"/>
              </w:rPr>
            </w:pPr>
            <w:r w:rsidRPr="00873B6C">
              <w:rPr>
                <w:sz w:val="16"/>
                <w:szCs w:val="16"/>
              </w:rPr>
              <w:t>QoS handling of MA PDU Session for interworking with N26</w:t>
            </w:r>
          </w:p>
        </w:tc>
        <w:tc>
          <w:tcPr>
            <w:tcW w:w="708" w:type="dxa"/>
            <w:shd w:val="solid" w:color="FFFFFF" w:fill="auto"/>
          </w:tcPr>
          <w:p w14:paraId="43B7B5D6" w14:textId="77777777" w:rsidR="00D40151" w:rsidRPr="00873B6C" w:rsidRDefault="00D40151" w:rsidP="009D14FB">
            <w:pPr>
              <w:pStyle w:val="TAC"/>
              <w:rPr>
                <w:sz w:val="16"/>
                <w:szCs w:val="16"/>
              </w:rPr>
            </w:pPr>
            <w:r w:rsidRPr="00873B6C">
              <w:rPr>
                <w:sz w:val="16"/>
                <w:szCs w:val="16"/>
              </w:rPr>
              <w:t>16.4.0</w:t>
            </w:r>
          </w:p>
        </w:tc>
      </w:tr>
      <w:tr w:rsidR="00D40151" w:rsidRPr="00873B6C" w14:paraId="30AC39BC" w14:textId="77777777" w:rsidTr="009D14FB">
        <w:tc>
          <w:tcPr>
            <w:tcW w:w="800" w:type="dxa"/>
            <w:shd w:val="solid" w:color="FFFFFF" w:fill="auto"/>
          </w:tcPr>
          <w:p w14:paraId="7966022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96CA63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830AFE5"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3ED8B4F7" w14:textId="77777777" w:rsidR="00D40151" w:rsidRPr="00873B6C" w:rsidRDefault="00D40151" w:rsidP="009D14FB">
            <w:pPr>
              <w:pStyle w:val="TAL"/>
              <w:rPr>
                <w:sz w:val="16"/>
                <w:szCs w:val="16"/>
              </w:rPr>
            </w:pPr>
            <w:r w:rsidRPr="00873B6C">
              <w:rPr>
                <w:sz w:val="16"/>
                <w:szCs w:val="16"/>
              </w:rPr>
              <w:t>2143</w:t>
            </w:r>
          </w:p>
        </w:tc>
        <w:tc>
          <w:tcPr>
            <w:tcW w:w="425" w:type="dxa"/>
            <w:shd w:val="solid" w:color="FFFFFF" w:fill="auto"/>
          </w:tcPr>
          <w:p w14:paraId="1AA33A3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FD9C6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654938" w14:textId="77777777" w:rsidR="00D40151" w:rsidRPr="00873B6C" w:rsidRDefault="00D40151" w:rsidP="009D14FB">
            <w:pPr>
              <w:pStyle w:val="TAL"/>
              <w:rPr>
                <w:sz w:val="16"/>
                <w:szCs w:val="16"/>
              </w:rPr>
            </w:pPr>
            <w:r w:rsidRPr="00873B6C">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873B6C" w:rsidRDefault="00D40151" w:rsidP="009D14FB">
            <w:pPr>
              <w:pStyle w:val="TAC"/>
              <w:rPr>
                <w:sz w:val="16"/>
                <w:szCs w:val="16"/>
              </w:rPr>
            </w:pPr>
            <w:r w:rsidRPr="00873B6C">
              <w:rPr>
                <w:sz w:val="16"/>
                <w:szCs w:val="16"/>
              </w:rPr>
              <w:t>16.4.0</w:t>
            </w:r>
          </w:p>
        </w:tc>
      </w:tr>
      <w:tr w:rsidR="00D40151" w:rsidRPr="00873B6C" w14:paraId="67C8344C" w14:textId="77777777" w:rsidTr="009D14FB">
        <w:tc>
          <w:tcPr>
            <w:tcW w:w="800" w:type="dxa"/>
            <w:shd w:val="solid" w:color="FFFFFF" w:fill="auto"/>
          </w:tcPr>
          <w:p w14:paraId="5A2FBCA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4647CC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E14982B"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071E7F6B" w14:textId="77777777" w:rsidR="00D40151" w:rsidRPr="00873B6C" w:rsidRDefault="00D40151" w:rsidP="009D14FB">
            <w:pPr>
              <w:pStyle w:val="TAL"/>
              <w:rPr>
                <w:sz w:val="16"/>
                <w:szCs w:val="16"/>
              </w:rPr>
            </w:pPr>
            <w:r w:rsidRPr="00873B6C">
              <w:rPr>
                <w:sz w:val="16"/>
                <w:szCs w:val="16"/>
              </w:rPr>
              <w:t>2147</w:t>
            </w:r>
          </w:p>
        </w:tc>
        <w:tc>
          <w:tcPr>
            <w:tcW w:w="425" w:type="dxa"/>
            <w:shd w:val="solid" w:color="FFFFFF" w:fill="auto"/>
          </w:tcPr>
          <w:p w14:paraId="380ADE8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4078C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A311F6" w14:textId="77777777" w:rsidR="00D40151" w:rsidRPr="00873B6C" w:rsidRDefault="00D40151" w:rsidP="009D14FB">
            <w:pPr>
              <w:pStyle w:val="TAL"/>
              <w:rPr>
                <w:sz w:val="16"/>
                <w:szCs w:val="16"/>
              </w:rPr>
            </w:pPr>
            <w:r w:rsidRPr="00873B6C">
              <w:rPr>
                <w:sz w:val="16"/>
                <w:szCs w:val="16"/>
              </w:rPr>
              <w:t>PDU Session release when Control Plane Only indication becomes not applicable</w:t>
            </w:r>
          </w:p>
        </w:tc>
        <w:tc>
          <w:tcPr>
            <w:tcW w:w="708" w:type="dxa"/>
            <w:shd w:val="solid" w:color="FFFFFF" w:fill="auto"/>
          </w:tcPr>
          <w:p w14:paraId="0AF4AE1D" w14:textId="77777777" w:rsidR="00D40151" w:rsidRPr="00873B6C" w:rsidRDefault="00D40151" w:rsidP="009D14FB">
            <w:pPr>
              <w:pStyle w:val="TAC"/>
              <w:rPr>
                <w:sz w:val="16"/>
                <w:szCs w:val="16"/>
              </w:rPr>
            </w:pPr>
            <w:r w:rsidRPr="00873B6C">
              <w:rPr>
                <w:sz w:val="16"/>
                <w:szCs w:val="16"/>
              </w:rPr>
              <w:t>16.4.0</w:t>
            </w:r>
          </w:p>
        </w:tc>
      </w:tr>
      <w:tr w:rsidR="00D40151" w:rsidRPr="00873B6C" w14:paraId="2495CD92" w14:textId="77777777" w:rsidTr="009D14FB">
        <w:tc>
          <w:tcPr>
            <w:tcW w:w="800" w:type="dxa"/>
            <w:shd w:val="solid" w:color="FFFFFF" w:fill="auto"/>
          </w:tcPr>
          <w:p w14:paraId="068B41E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76D226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0CE76B5"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2BACBFB1" w14:textId="77777777" w:rsidR="00D40151" w:rsidRPr="00873B6C" w:rsidRDefault="00D40151" w:rsidP="009D14FB">
            <w:pPr>
              <w:pStyle w:val="TAL"/>
              <w:rPr>
                <w:sz w:val="16"/>
                <w:szCs w:val="16"/>
              </w:rPr>
            </w:pPr>
            <w:r w:rsidRPr="00873B6C">
              <w:rPr>
                <w:sz w:val="16"/>
                <w:szCs w:val="16"/>
              </w:rPr>
              <w:t>2148</w:t>
            </w:r>
          </w:p>
        </w:tc>
        <w:tc>
          <w:tcPr>
            <w:tcW w:w="425" w:type="dxa"/>
            <w:shd w:val="solid" w:color="FFFFFF" w:fill="auto"/>
          </w:tcPr>
          <w:p w14:paraId="1D42BD2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45F181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2C40E2" w14:textId="4A5BBB15" w:rsidR="00D40151" w:rsidRPr="00873B6C" w:rsidRDefault="00D40151" w:rsidP="009D14FB">
            <w:pPr>
              <w:pStyle w:val="TAL"/>
              <w:rPr>
                <w:sz w:val="16"/>
                <w:szCs w:val="16"/>
              </w:rPr>
            </w:pPr>
            <w:r w:rsidRPr="00873B6C">
              <w:rPr>
                <w:sz w:val="16"/>
                <w:szCs w:val="16"/>
              </w:rPr>
              <w:t>Correction on PTW determincation</w:t>
            </w:r>
            <w:r w:rsidR="00704A9E" w:rsidRPr="00873B6C">
              <w:rPr>
                <w:sz w:val="16"/>
                <w:szCs w:val="16"/>
              </w:rPr>
              <w:t xml:space="preserve"> </w:t>
            </w:r>
          </w:p>
        </w:tc>
        <w:tc>
          <w:tcPr>
            <w:tcW w:w="708" w:type="dxa"/>
            <w:shd w:val="solid" w:color="FFFFFF" w:fill="auto"/>
          </w:tcPr>
          <w:p w14:paraId="0FC21B16" w14:textId="77777777" w:rsidR="00D40151" w:rsidRPr="00873B6C" w:rsidRDefault="00D40151" w:rsidP="009D14FB">
            <w:pPr>
              <w:pStyle w:val="TAC"/>
              <w:rPr>
                <w:sz w:val="16"/>
                <w:szCs w:val="16"/>
              </w:rPr>
            </w:pPr>
            <w:r w:rsidRPr="00873B6C">
              <w:rPr>
                <w:sz w:val="16"/>
                <w:szCs w:val="16"/>
              </w:rPr>
              <w:t>16.4.0</w:t>
            </w:r>
          </w:p>
        </w:tc>
      </w:tr>
      <w:tr w:rsidR="00D40151" w:rsidRPr="00873B6C" w14:paraId="40B5CF91" w14:textId="77777777" w:rsidTr="009D14FB">
        <w:tc>
          <w:tcPr>
            <w:tcW w:w="800" w:type="dxa"/>
            <w:shd w:val="solid" w:color="FFFFFF" w:fill="auto"/>
          </w:tcPr>
          <w:p w14:paraId="21FC24D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11D4A6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BBC4183"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402A0E3D" w14:textId="77777777" w:rsidR="00D40151" w:rsidRPr="00873B6C" w:rsidRDefault="00D40151" w:rsidP="009D14FB">
            <w:pPr>
              <w:pStyle w:val="TAL"/>
              <w:rPr>
                <w:sz w:val="16"/>
                <w:szCs w:val="16"/>
              </w:rPr>
            </w:pPr>
            <w:r w:rsidRPr="00873B6C">
              <w:rPr>
                <w:sz w:val="16"/>
                <w:szCs w:val="16"/>
              </w:rPr>
              <w:t>2150</w:t>
            </w:r>
          </w:p>
        </w:tc>
        <w:tc>
          <w:tcPr>
            <w:tcW w:w="425" w:type="dxa"/>
            <w:shd w:val="solid" w:color="FFFFFF" w:fill="auto"/>
          </w:tcPr>
          <w:p w14:paraId="2871173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594B0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4350A2D" w14:textId="77777777" w:rsidR="00D40151" w:rsidRPr="00873B6C" w:rsidRDefault="00D40151" w:rsidP="009D14FB">
            <w:pPr>
              <w:pStyle w:val="TAL"/>
              <w:rPr>
                <w:sz w:val="16"/>
                <w:szCs w:val="16"/>
                <w:lang w:val="fr-FR"/>
              </w:rPr>
            </w:pPr>
            <w:r w:rsidRPr="00873B6C">
              <w:rPr>
                <w:sz w:val="16"/>
                <w:szCs w:val="16"/>
                <w:lang w:val="fr-FR"/>
              </w:rPr>
              <w:t>Correction on MA PDU Session request indication</w:t>
            </w:r>
          </w:p>
        </w:tc>
        <w:tc>
          <w:tcPr>
            <w:tcW w:w="708" w:type="dxa"/>
            <w:shd w:val="solid" w:color="FFFFFF" w:fill="auto"/>
          </w:tcPr>
          <w:p w14:paraId="01D41853" w14:textId="77777777" w:rsidR="00D40151" w:rsidRPr="00873B6C" w:rsidRDefault="00D40151" w:rsidP="009D14FB">
            <w:pPr>
              <w:pStyle w:val="TAC"/>
              <w:rPr>
                <w:sz w:val="16"/>
                <w:szCs w:val="16"/>
              </w:rPr>
            </w:pPr>
            <w:r w:rsidRPr="00873B6C">
              <w:rPr>
                <w:sz w:val="16"/>
                <w:szCs w:val="16"/>
              </w:rPr>
              <w:t>16.4.0</w:t>
            </w:r>
          </w:p>
        </w:tc>
      </w:tr>
      <w:tr w:rsidR="00D40151" w:rsidRPr="00873B6C" w14:paraId="398DF137" w14:textId="77777777" w:rsidTr="009D14FB">
        <w:tc>
          <w:tcPr>
            <w:tcW w:w="800" w:type="dxa"/>
            <w:shd w:val="solid" w:color="FFFFFF" w:fill="auto"/>
          </w:tcPr>
          <w:p w14:paraId="19E8B5F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F9A59E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F775566" w14:textId="77777777" w:rsidR="00D40151" w:rsidRPr="00873B6C" w:rsidRDefault="00D40151" w:rsidP="009D14FB">
            <w:pPr>
              <w:pStyle w:val="TAC"/>
              <w:rPr>
                <w:sz w:val="16"/>
                <w:szCs w:val="16"/>
              </w:rPr>
            </w:pPr>
            <w:r w:rsidRPr="00873B6C">
              <w:rPr>
                <w:sz w:val="16"/>
                <w:szCs w:val="16"/>
              </w:rPr>
              <w:t>SP-200067</w:t>
            </w:r>
          </w:p>
        </w:tc>
        <w:tc>
          <w:tcPr>
            <w:tcW w:w="567" w:type="dxa"/>
            <w:shd w:val="solid" w:color="FFFFFF" w:fill="auto"/>
          </w:tcPr>
          <w:p w14:paraId="1013EE2B" w14:textId="77777777" w:rsidR="00D40151" w:rsidRPr="00873B6C" w:rsidRDefault="00D40151" w:rsidP="009D14FB">
            <w:pPr>
              <w:pStyle w:val="TAL"/>
              <w:rPr>
                <w:sz w:val="16"/>
                <w:szCs w:val="16"/>
              </w:rPr>
            </w:pPr>
            <w:r w:rsidRPr="00873B6C">
              <w:rPr>
                <w:sz w:val="16"/>
                <w:szCs w:val="16"/>
              </w:rPr>
              <w:t>2154</w:t>
            </w:r>
          </w:p>
        </w:tc>
        <w:tc>
          <w:tcPr>
            <w:tcW w:w="425" w:type="dxa"/>
            <w:shd w:val="solid" w:color="FFFFFF" w:fill="auto"/>
          </w:tcPr>
          <w:p w14:paraId="67A49F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182B8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E85C44" w14:textId="77777777" w:rsidR="00D40151" w:rsidRPr="00873B6C" w:rsidRDefault="00D40151" w:rsidP="009D14FB">
            <w:pPr>
              <w:pStyle w:val="TAL"/>
              <w:rPr>
                <w:sz w:val="16"/>
                <w:szCs w:val="16"/>
              </w:rPr>
            </w:pPr>
            <w:r w:rsidRPr="00873B6C">
              <w:rPr>
                <w:sz w:val="16"/>
                <w:szCs w:val="16"/>
              </w:rPr>
              <w:t>Update N4 rules to support QoS Monitoring and ATSSS</w:t>
            </w:r>
          </w:p>
        </w:tc>
        <w:tc>
          <w:tcPr>
            <w:tcW w:w="708" w:type="dxa"/>
            <w:shd w:val="solid" w:color="FFFFFF" w:fill="auto"/>
          </w:tcPr>
          <w:p w14:paraId="3328A6A6" w14:textId="77777777" w:rsidR="00D40151" w:rsidRPr="00873B6C" w:rsidRDefault="00D40151" w:rsidP="009D14FB">
            <w:pPr>
              <w:pStyle w:val="TAC"/>
              <w:rPr>
                <w:sz w:val="16"/>
                <w:szCs w:val="16"/>
              </w:rPr>
            </w:pPr>
            <w:r w:rsidRPr="00873B6C">
              <w:rPr>
                <w:sz w:val="16"/>
                <w:szCs w:val="16"/>
              </w:rPr>
              <w:t>16.4.0</w:t>
            </w:r>
          </w:p>
        </w:tc>
      </w:tr>
      <w:tr w:rsidR="00D40151" w:rsidRPr="00873B6C" w14:paraId="798BB4A2" w14:textId="77777777" w:rsidTr="009D14FB">
        <w:tc>
          <w:tcPr>
            <w:tcW w:w="800" w:type="dxa"/>
            <w:shd w:val="solid" w:color="FFFFFF" w:fill="auto"/>
          </w:tcPr>
          <w:p w14:paraId="156BACB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ECCB06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D976E46" w14:textId="77777777" w:rsidR="00D40151" w:rsidRPr="00873B6C" w:rsidRDefault="00D40151" w:rsidP="009D14FB">
            <w:pPr>
              <w:pStyle w:val="TAC"/>
              <w:rPr>
                <w:sz w:val="16"/>
                <w:szCs w:val="16"/>
              </w:rPr>
            </w:pPr>
            <w:r w:rsidRPr="00873B6C">
              <w:rPr>
                <w:sz w:val="16"/>
                <w:szCs w:val="16"/>
              </w:rPr>
              <w:t>SP-200081</w:t>
            </w:r>
          </w:p>
        </w:tc>
        <w:tc>
          <w:tcPr>
            <w:tcW w:w="567" w:type="dxa"/>
            <w:shd w:val="solid" w:color="FFFFFF" w:fill="auto"/>
          </w:tcPr>
          <w:p w14:paraId="656E68FD" w14:textId="77777777" w:rsidR="00D40151" w:rsidRPr="00873B6C" w:rsidRDefault="00D40151" w:rsidP="009D14FB">
            <w:pPr>
              <w:pStyle w:val="TAL"/>
              <w:rPr>
                <w:sz w:val="16"/>
                <w:szCs w:val="16"/>
              </w:rPr>
            </w:pPr>
            <w:r w:rsidRPr="00873B6C">
              <w:rPr>
                <w:sz w:val="16"/>
                <w:szCs w:val="16"/>
              </w:rPr>
              <w:t>2157</w:t>
            </w:r>
          </w:p>
        </w:tc>
        <w:tc>
          <w:tcPr>
            <w:tcW w:w="425" w:type="dxa"/>
            <w:shd w:val="solid" w:color="FFFFFF" w:fill="auto"/>
          </w:tcPr>
          <w:p w14:paraId="57BEB1F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9BE14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23FADD" w14:textId="77777777" w:rsidR="00D40151" w:rsidRPr="00873B6C" w:rsidRDefault="00D40151" w:rsidP="009D14FB">
            <w:pPr>
              <w:pStyle w:val="TAL"/>
              <w:rPr>
                <w:sz w:val="16"/>
                <w:szCs w:val="16"/>
              </w:rPr>
            </w:pPr>
            <w:r w:rsidRPr="00873B6C">
              <w:rPr>
                <w:sz w:val="16"/>
                <w:szCs w:val="16"/>
              </w:rPr>
              <w:t>Subscription based access restriction for E-UTRA in unlicensed</w:t>
            </w:r>
          </w:p>
        </w:tc>
        <w:tc>
          <w:tcPr>
            <w:tcW w:w="708" w:type="dxa"/>
            <w:shd w:val="solid" w:color="FFFFFF" w:fill="auto"/>
          </w:tcPr>
          <w:p w14:paraId="2B5BBDC3" w14:textId="77777777" w:rsidR="00D40151" w:rsidRPr="00873B6C" w:rsidRDefault="00D40151" w:rsidP="009D14FB">
            <w:pPr>
              <w:pStyle w:val="TAC"/>
              <w:rPr>
                <w:sz w:val="16"/>
                <w:szCs w:val="16"/>
              </w:rPr>
            </w:pPr>
            <w:r w:rsidRPr="00873B6C">
              <w:rPr>
                <w:sz w:val="16"/>
                <w:szCs w:val="16"/>
              </w:rPr>
              <w:t>16.4.0</w:t>
            </w:r>
          </w:p>
        </w:tc>
      </w:tr>
      <w:tr w:rsidR="00D40151" w:rsidRPr="00873B6C" w14:paraId="54A6225A" w14:textId="77777777" w:rsidTr="009D14FB">
        <w:tc>
          <w:tcPr>
            <w:tcW w:w="800" w:type="dxa"/>
            <w:shd w:val="solid" w:color="FFFFFF" w:fill="auto"/>
          </w:tcPr>
          <w:p w14:paraId="7F9DA00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D117CC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2EC6304"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419F54F0" w14:textId="77777777" w:rsidR="00D40151" w:rsidRPr="00873B6C" w:rsidRDefault="00D40151" w:rsidP="009D14FB">
            <w:pPr>
              <w:pStyle w:val="TAL"/>
              <w:rPr>
                <w:sz w:val="16"/>
                <w:szCs w:val="16"/>
              </w:rPr>
            </w:pPr>
            <w:r w:rsidRPr="00873B6C">
              <w:rPr>
                <w:sz w:val="16"/>
                <w:szCs w:val="16"/>
              </w:rPr>
              <w:t>2158</w:t>
            </w:r>
          </w:p>
        </w:tc>
        <w:tc>
          <w:tcPr>
            <w:tcW w:w="425" w:type="dxa"/>
            <w:shd w:val="solid" w:color="FFFFFF" w:fill="auto"/>
          </w:tcPr>
          <w:p w14:paraId="188A55C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E0994E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A31593" w14:textId="77777777" w:rsidR="00D40151" w:rsidRPr="00873B6C" w:rsidRDefault="00D40151" w:rsidP="009D14FB">
            <w:pPr>
              <w:pStyle w:val="TAL"/>
              <w:rPr>
                <w:sz w:val="16"/>
                <w:szCs w:val="16"/>
              </w:rPr>
            </w:pPr>
            <w:r w:rsidRPr="00873B6C">
              <w:rPr>
                <w:sz w:val="16"/>
                <w:szCs w:val="16"/>
              </w:rPr>
              <w:t>Subscription based access restriction for LTE-M</w:t>
            </w:r>
          </w:p>
        </w:tc>
        <w:tc>
          <w:tcPr>
            <w:tcW w:w="708" w:type="dxa"/>
            <w:shd w:val="solid" w:color="FFFFFF" w:fill="auto"/>
          </w:tcPr>
          <w:p w14:paraId="2B7F7B33" w14:textId="77777777" w:rsidR="00D40151" w:rsidRPr="00873B6C" w:rsidRDefault="00D40151" w:rsidP="009D14FB">
            <w:pPr>
              <w:pStyle w:val="TAC"/>
              <w:rPr>
                <w:sz w:val="16"/>
                <w:szCs w:val="16"/>
              </w:rPr>
            </w:pPr>
            <w:r w:rsidRPr="00873B6C">
              <w:rPr>
                <w:sz w:val="16"/>
                <w:szCs w:val="16"/>
              </w:rPr>
              <w:t>16.4.0</w:t>
            </w:r>
          </w:p>
        </w:tc>
      </w:tr>
      <w:tr w:rsidR="00D40151" w:rsidRPr="00873B6C" w14:paraId="01D231E5" w14:textId="77777777" w:rsidTr="009D14FB">
        <w:tc>
          <w:tcPr>
            <w:tcW w:w="800" w:type="dxa"/>
            <w:shd w:val="solid" w:color="FFFFFF" w:fill="auto"/>
          </w:tcPr>
          <w:p w14:paraId="0480B3D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87FC3C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88580A1" w14:textId="77777777" w:rsidR="00D40151" w:rsidRPr="00873B6C" w:rsidRDefault="00D40151" w:rsidP="009D14FB">
            <w:pPr>
              <w:pStyle w:val="TAC"/>
              <w:rPr>
                <w:sz w:val="16"/>
                <w:szCs w:val="16"/>
              </w:rPr>
            </w:pPr>
            <w:r w:rsidRPr="00873B6C">
              <w:rPr>
                <w:sz w:val="16"/>
                <w:szCs w:val="16"/>
              </w:rPr>
              <w:t>SP-200070</w:t>
            </w:r>
          </w:p>
        </w:tc>
        <w:tc>
          <w:tcPr>
            <w:tcW w:w="567" w:type="dxa"/>
            <w:shd w:val="solid" w:color="FFFFFF" w:fill="auto"/>
          </w:tcPr>
          <w:p w14:paraId="74A47F32" w14:textId="77777777" w:rsidR="00D40151" w:rsidRPr="00873B6C" w:rsidRDefault="00D40151" w:rsidP="009D14FB">
            <w:pPr>
              <w:pStyle w:val="TAL"/>
              <w:rPr>
                <w:sz w:val="16"/>
                <w:szCs w:val="16"/>
              </w:rPr>
            </w:pPr>
            <w:r w:rsidRPr="00873B6C">
              <w:rPr>
                <w:sz w:val="16"/>
                <w:szCs w:val="16"/>
              </w:rPr>
              <w:t>2159</w:t>
            </w:r>
          </w:p>
        </w:tc>
        <w:tc>
          <w:tcPr>
            <w:tcW w:w="425" w:type="dxa"/>
            <w:shd w:val="solid" w:color="FFFFFF" w:fill="auto"/>
          </w:tcPr>
          <w:p w14:paraId="65B091C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D57FC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947C4B" w14:textId="77777777" w:rsidR="00D40151" w:rsidRPr="00873B6C" w:rsidRDefault="00D40151" w:rsidP="009D14FB">
            <w:pPr>
              <w:pStyle w:val="TAL"/>
              <w:rPr>
                <w:sz w:val="16"/>
                <w:szCs w:val="16"/>
              </w:rPr>
            </w:pPr>
            <w:r w:rsidRPr="00873B6C">
              <w:rPr>
                <w:sz w:val="16"/>
                <w:szCs w:val="16"/>
              </w:rPr>
              <w:t>Clarification on NWDAF information maintained in NRF</w:t>
            </w:r>
          </w:p>
        </w:tc>
        <w:tc>
          <w:tcPr>
            <w:tcW w:w="708" w:type="dxa"/>
            <w:shd w:val="solid" w:color="FFFFFF" w:fill="auto"/>
          </w:tcPr>
          <w:p w14:paraId="79711226" w14:textId="77777777" w:rsidR="00D40151" w:rsidRPr="00873B6C" w:rsidRDefault="00D40151" w:rsidP="009D14FB">
            <w:pPr>
              <w:pStyle w:val="TAC"/>
              <w:rPr>
                <w:sz w:val="16"/>
                <w:szCs w:val="16"/>
              </w:rPr>
            </w:pPr>
            <w:r w:rsidRPr="00873B6C">
              <w:rPr>
                <w:sz w:val="16"/>
                <w:szCs w:val="16"/>
              </w:rPr>
              <w:t>16.4.0</w:t>
            </w:r>
          </w:p>
        </w:tc>
      </w:tr>
      <w:tr w:rsidR="00D40151" w:rsidRPr="00873B6C" w14:paraId="190E0CEB" w14:textId="77777777" w:rsidTr="009D14FB">
        <w:tc>
          <w:tcPr>
            <w:tcW w:w="800" w:type="dxa"/>
            <w:shd w:val="solid" w:color="FFFFFF" w:fill="auto"/>
          </w:tcPr>
          <w:p w14:paraId="77D0DBD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28F4D36"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E91C357"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68FFDFAF" w14:textId="77777777" w:rsidR="00D40151" w:rsidRPr="00873B6C" w:rsidRDefault="00D40151" w:rsidP="009D14FB">
            <w:pPr>
              <w:pStyle w:val="TAL"/>
              <w:rPr>
                <w:sz w:val="16"/>
                <w:szCs w:val="16"/>
              </w:rPr>
            </w:pPr>
            <w:r w:rsidRPr="00873B6C">
              <w:rPr>
                <w:sz w:val="16"/>
                <w:szCs w:val="16"/>
              </w:rPr>
              <w:t>2160</w:t>
            </w:r>
          </w:p>
        </w:tc>
        <w:tc>
          <w:tcPr>
            <w:tcW w:w="425" w:type="dxa"/>
            <w:shd w:val="solid" w:color="FFFFFF" w:fill="auto"/>
          </w:tcPr>
          <w:p w14:paraId="3B3518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F05AE0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F2A49B" w14:textId="77777777" w:rsidR="00D40151" w:rsidRPr="00873B6C" w:rsidRDefault="00D40151" w:rsidP="009D14FB">
            <w:pPr>
              <w:pStyle w:val="TAL"/>
              <w:rPr>
                <w:sz w:val="16"/>
                <w:szCs w:val="16"/>
              </w:rPr>
            </w:pPr>
            <w:r w:rsidRPr="00873B6C">
              <w:rPr>
                <w:sz w:val="16"/>
                <w:szCs w:val="16"/>
              </w:rPr>
              <w:t>Missing capabilities in 5GMM Capability IE</w:t>
            </w:r>
          </w:p>
        </w:tc>
        <w:tc>
          <w:tcPr>
            <w:tcW w:w="708" w:type="dxa"/>
            <w:shd w:val="solid" w:color="FFFFFF" w:fill="auto"/>
          </w:tcPr>
          <w:p w14:paraId="52A1823C" w14:textId="77777777" w:rsidR="00D40151" w:rsidRPr="00873B6C" w:rsidRDefault="00D40151" w:rsidP="009D14FB">
            <w:pPr>
              <w:pStyle w:val="TAC"/>
              <w:rPr>
                <w:sz w:val="16"/>
                <w:szCs w:val="16"/>
              </w:rPr>
            </w:pPr>
            <w:r w:rsidRPr="00873B6C">
              <w:rPr>
                <w:sz w:val="16"/>
                <w:szCs w:val="16"/>
              </w:rPr>
              <w:t>16.4.0</w:t>
            </w:r>
          </w:p>
        </w:tc>
      </w:tr>
      <w:tr w:rsidR="00D40151" w:rsidRPr="00873B6C" w14:paraId="152C3B19" w14:textId="77777777" w:rsidTr="009D14FB">
        <w:tc>
          <w:tcPr>
            <w:tcW w:w="800" w:type="dxa"/>
            <w:shd w:val="solid" w:color="FFFFFF" w:fill="auto"/>
          </w:tcPr>
          <w:p w14:paraId="4B12540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92EADB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ECC2F03" w14:textId="77777777" w:rsidR="00D40151" w:rsidRPr="00873B6C" w:rsidRDefault="00D40151" w:rsidP="009D14FB">
            <w:pPr>
              <w:pStyle w:val="TAC"/>
              <w:rPr>
                <w:sz w:val="16"/>
                <w:szCs w:val="16"/>
              </w:rPr>
            </w:pPr>
            <w:r w:rsidRPr="00873B6C">
              <w:rPr>
                <w:sz w:val="16"/>
                <w:szCs w:val="16"/>
              </w:rPr>
              <w:t>SP-200074</w:t>
            </w:r>
          </w:p>
        </w:tc>
        <w:tc>
          <w:tcPr>
            <w:tcW w:w="567" w:type="dxa"/>
            <w:shd w:val="solid" w:color="FFFFFF" w:fill="auto"/>
          </w:tcPr>
          <w:p w14:paraId="6A344986" w14:textId="77777777" w:rsidR="00D40151" w:rsidRPr="00873B6C" w:rsidRDefault="00D40151" w:rsidP="009D14FB">
            <w:pPr>
              <w:pStyle w:val="TAL"/>
              <w:rPr>
                <w:sz w:val="16"/>
                <w:szCs w:val="16"/>
              </w:rPr>
            </w:pPr>
            <w:r w:rsidRPr="00873B6C">
              <w:rPr>
                <w:sz w:val="16"/>
                <w:szCs w:val="16"/>
              </w:rPr>
              <w:t>2161</w:t>
            </w:r>
          </w:p>
        </w:tc>
        <w:tc>
          <w:tcPr>
            <w:tcW w:w="425" w:type="dxa"/>
            <w:shd w:val="solid" w:color="FFFFFF" w:fill="auto"/>
          </w:tcPr>
          <w:p w14:paraId="72F585CC"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01AE76F"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332D5EC6" w14:textId="77777777" w:rsidR="00D40151" w:rsidRPr="00873B6C" w:rsidRDefault="00D40151" w:rsidP="009D14FB">
            <w:pPr>
              <w:pStyle w:val="TAL"/>
              <w:rPr>
                <w:sz w:val="16"/>
                <w:szCs w:val="16"/>
              </w:rPr>
            </w:pPr>
            <w:r w:rsidRPr="00873B6C">
              <w:rPr>
                <w:sz w:val="16"/>
                <w:szCs w:val="16"/>
              </w:rPr>
              <w:t>Editorial updates in RACS clauses</w:t>
            </w:r>
          </w:p>
        </w:tc>
        <w:tc>
          <w:tcPr>
            <w:tcW w:w="708" w:type="dxa"/>
            <w:shd w:val="solid" w:color="FFFFFF" w:fill="auto"/>
          </w:tcPr>
          <w:p w14:paraId="6E999669" w14:textId="77777777" w:rsidR="00D40151" w:rsidRPr="00873B6C" w:rsidRDefault="00D40151" w:rsidP="009D14FB">
            <w:pPr>
              <w:pStyle w:val="TAC"/>
              <w:rPr>
                <w:sz w:val="16"/>
                <w:szCs w:val="16"/>
              </w:rPr>
            </w:pPr>
            <w:r w:rsidRPr="00873B6C">
              <w:rPr>
                <w:sz w:val="16"/>
                <w:szCs w:val="16"/>
              </w:rPr>
              <w:t>16.4.0</w:t>
            </w:r>
          </w:p>
        </w:tc>
      </w:tr>
      <w:tr w:rsidR="00D40151" w:rsidRPr="00873B6C" w14:paraId="5BE46C8E" w14:textId="77777777" w:rsidTr="009D14FB">
        <w:tc>
          <w:tcPr>
            <w:tcW w:w="800" w:type="dxa"/>
            <w:shd w:val="solid" w:color="FFFFFF" w:fill="auto"/>
          </w:tcPr>
          <w:p w14:paraId="5CE3F8C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0CC148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03C7342"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4A1E7A40" w14:textId="77777777" w:rsidR="00D40151" w:rsidRPr="00873B6C" w:rsidRDefault="00D40151" w:rsidP="009D14FB">
            <w:pPr>
              <w:pStyle w:val="TAL"/>
              <w:rPr>
                <w:sz w:val="16"/>
                <w:szCs w:val="16"/>
              </w:rPr>
            </w:pPr>
            <w:r w:rsidRPr="00873B6C">
              <w:rPr>
                <w:sz w:val="16"/>
                <w:szCs w:val="16"/>
              </w:rPr>
              <w:t>2163</w:t>
            </w:r>
          </w:p>
        </w:tc>
        <w:tc>
          <w:tcPr>
            <w:tcW w:w="425" w:type="dxa"/>
            <w:shd w:val="solid" w:color="FFFFFF" w:fill="auto"/>
          </w:tcPr>
          <w:p w14:paraId="0E44C9D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FFFCF62"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13C3EF18" w14:textId="77777777" w:rsidR="00D40151" w:rsidRPr="00873B6C" w:rsidRDefault="00D40151" w:rsidP="009D14FB">
            <w:pPr>
              <w:pStyle w:val="TAL"/>
              <w:rPr>
                <w:sz w:val="16"/>
                <w:szCs w:val="16"/>
              </w:rPr>
            </w:pPr>
            <w:r w:rsidRPr="00873B6C">
              <w:rPr>
                <w:sz w:val="16"/>
                <w:szCs w:val="16"/>
              </w:rPr>
              <w:t>Mega CR on editorial corrections for 5G_CIoT</w:t>
            </w:r>
          </w:p>
        </w:tc>
        <w:tc>
          <w:tcPr>
            <w:tcW w:w="708" w:type="dxa"/>
            <w:shd w:val="solid" w:color="FFFFFF" w:fill="auto"/>
          </w:tcPr>
          <w:p w14:paraId="5EB8355F" w14:textId="77777777" w:rsidR="00D40151" w:rsidRPr="00873B6C" w:rsidRDefault="00D40151" w:rsidP="009D14FB">
            <w:pPr>
              <w:pStyle w:val="TAC"/>
              <w:rPr>
                <w:sz w:val="16"/>
                <w:szCs w:val="16"/>
              </w:rPr>
            </w:pPr>
            <w:r w:rsidRPr="00873B6C">
              <w:rPr>
                <w:sz w:val="16"/>
                <w:szCs w:val="16"/>
              </w:rPr>
              <w:t>16.4.0</w:t>
            </w:r>
          </w:p>
        </w:tc>
      </w:tr>
      <w:tr w:rsidR="00D40151" w:rsidRPr="00873B6C" w14:paraId="12D37651" w14:textId="77777777" w:rsidTr="009D14FB">
        <w:tc>
          <w:tcPr>
            <w:tcW w:w="800" w:type="dxa"/>
            <w:shd w:val="solid" w:color="FFFFFF" w:fill="auto"/>
          </w:tcPr>
          <w:p w14:paraId="652564C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697A39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26BE9BD"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60F2EA99" w14:textId="77777777" w:rsidR="00D40151" w:rsidRPr="00873B6C" w:rsidRDefault="00D40151" w:rsidP="009D14FB">
            <w:pPr>
              <w:pStyle w:val="TAL"/>
              <w:rPr>
                <w:sz w:val="16"/>
                <w:szCs w:val="16"/>
              </w:rPr>
            </w:pPr>
            <w:r w:rsidRPr="00873B6C">
              <w:rPr>
                <w:sz w:val="16"/>
                <w:szCs w:val="16"/>
              </w:rPr>
              <w:t>2164</w:t>
            </w:r>
          </w:p>
        </w:tc>
        <w:tc>
          <w:tcPr>
            <w:tcW w:w="425" w:type="dxa"/>
            <w:shd w:val="solid" w:color="FFFFFF" w:fill="auto"/>
          </w:tcPr>
          <w:p w14:paraId="621EE1D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5CB1B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F44706" w14:textId="77777777" w:rsidR="00D40151" w:rsidRPr="00873B6C" w:rsidRDefault="00D40151" w:rsidP="009D14FB">
            <w:pPr>
              <w:pStyle w:val="TAL"/>
              <w:rPr>
                <w:sz w:val="16"/>
                <w:szCs w:val="16"/>
              </w:rPr>
            </w:pPr>
            <w:r w:rsidRPr="00873B6C">
              <w:rPr>
                <w:sz w:val="16"/>
                <w:szCs w:val="16"/>
              </w:rPr>
              <w:t>Correction to network selection with multiple subscribed SNPNs</w:t>
            </w:r>
          </w:p>
        </w:tc>
        <w:tc>
          <w:tcPr>
            <w:tcW w:w="708" w:type="dxa"/>
            <w:shd w:val="solid" w:color="FFFFFF" w:fill="auto"/>
          </w:tcPr>
          <w:p w14:paraId="1555ACD0" w14:textId="77777777" w:rsidR="00D40151" w:rsidRPr="00873B6C" w:rsidRDefault="00D40151" w:rsidP="009D14FB">
            <w:pPr>
              <w:pStyle w:val="TAC"/>
              <w:rPr>
                <w:sz w:val="16"/>
                <w:szCs w:val="16"/>
              </w:rPr>
            </w:pPr>
            <w:r w:rsidRPr="00873B6C">
              <w:rPr>
                <w:sz w:val="16"/>
                <w:szCs w:val="16"/>
              </w:rPr>
              <w:t>16.4.0</w:t>
            </w:r>
          </w:p>
        </w:tc>
      </w:tr>
      <w:tr w:rsidR="00D40151" w:rsidRPr="00873B6C" w14:paraId="44D48C9C" w14:textId="77777777" w:rsidTr="009D14FB">
        <w:tc>
          <w:tcPr>
            <w:tcW w:w="800" w:type="dxa"/>
            <w:shd w:val="solid" w:color="FFFFFF" w:fill="auto"/>
          </w:tcPr>
          <w:p w14:paraId="556EB13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291F9E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52DDC9B"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B74E22D" w14:textId="77777777" w:rsidR="00D40151" w:rsidRPr="00873B6C" w:rsidRDefault="00D40151" w:rsidP="009D14FB">
            <w:pPr>
              <w:pStyle w:val="TAL"/>
              <w:rPr>
                <w:sz w:val="16"/>
                <w:szCs w:val="16"/>
              </w:rPr>
            </w:pPr>
            <w:r w:rsidRPr="00873B6C">
              <w:rPr>
                <w:sz w:val="16"/>
                <w:szCs w:val="16"/>
              </w:rPr>
              <w:t>2165</w:t>
            </w:r>
          </w:p>
        </w:tc>
        <w:tc>
          <w:tcPr>
            <w:tcW w:w="425" w:type="dxa"/>
            <w:shd w:val="solid" w:color="FFFFFF" w:fill="auto"/>
          </w:tcPr>
          <w:p w14:paraId="5E15B73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2244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A89B3C" w14:textId="77777777" w:rsidR="00D40151" w:rsidRPr="00873B6C" w:rsidRDefault="00D40151" w:rsidP="009D14FB">
            <w:pPr>
              <w:pStyle w:val="TAL"/>
              <w:rPr>
                <w:sz w:val="16"/>
                <w:szCs w:val="16"/>
              </w:rPr>
            </w:pPr>
            <w:r w:rsidRPr="00873B6C">
              <w:rPr>
                <w:sz w:val="16"/>
                <w:szCs w:val="16"/>
              </w:rPr>
              <w:t>Clarification for Support for multiple TSN working domains</w:t>
            </w:r>
          </w:p>
        </w:tc>
        <w:tc>
          <w:tcPr>
            <w:tcW w:w="708" w:type="dxa"/>
            <w:shd w:val="solid" w:color="FFFFFF" w:fill="auto"/>
          </w:tcPr>
          <w:p w14:paraId="1A583421" w14:textId="77777777" w:rsidR="00D40151" w:rsidRPr="00873B6C" w:rsidRDefault="00D40151" w:rsidP="009D14FB">
            <w:pPr>
              <w:pStyle w:val="TAC"/>
              <w:rPr>
                <w:sz w:val="16"/>
                <w:szCs w:val="16"/>
              </w:rPr>
            </w:pPr>
            <w:r w:rsidRPr="00873B6C">
              <w:rPr>
                <w:sz w:val="16"/>
                <w:szCs w:val="16"/>
              </w:rPr>
              <w:t>16.4.0</w:t>
            </w:r>
          </w:p>
        </w:tc>
      </w:tr>
      <w:tr w:rsidR="00D40151" w:rsidRPr="00873B6C" w14:paraId="5DF0A7BF" w14:textId="77777777" w:rsidTr="009D14FB">
        <w:tc>
          <w:tcPr>
            <w:tcW w:w="800" w:type="dxa"/>
            <w:shd w:val="solid" w:color="FFFFFF" w:fill="auto"/>
          </w:tcPr>
          <w:p w14:paraId="2923267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487B5B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5530B71" w14:textId="77777777" w:rsidR="00D40151" w:rsidRPr="00873B6C" w:rsidRDefault="00D40151" w:rsidP="009D14FB">
            <w:pPr>
              <w:pStyle w:val="TAC"/>
              <w:rPr>
                <w:sz w:val="16"/>
                <w:szCs w:val="16"/>
              </w:rPr>
            </w:pPr>
            <w:r w:rsidRPr="00873B6C">
              <w:rPr>
                <w:sz w:val="16"/>
                <w:szCs w:val="16"/>
              </w:rPr>
              <w:t>SP-200072</w:t>
            </w:r>
          </w:p>
        </w:tc>
        <w:tc>
          <w:tcPr>
            <w:tcW w:w="567" w:type="dxa"/>
            <w:shd w:val="solid" w:color="FFFFFF" w:fill="auto"/>
          </w:tcPr>
          <w:p w14:paraId="7DEABF58" w14:textId="77777777" w:rsidR="00D40151" w:rsidRPr="00873B6C" w:rsidRDefault="00D40151" w:rsidP="009D14FB">
            <w:pPr>
              <w:pStyle w:val="TAL"/>
              <w:rPr>
                <w:sz w:val="16"/>
                <w:szCs w:val="16"/>
              </w:rPr>
            </w:pPr>
            <w:r w:rsidRPr="00873B6C">
              <w:rPr>
                <w:sz w:val="16"/>
                <w:szCs w:val="16"/>
              </w:rPr>
              <w:t>2169</w:t>
            </w:r>
          </w:p>
        </w:tc>
        <w:tc>
          <w:tcPr>
            <w:tcW w:w="425" w:type="dxa"/>
            <w:shd w:val="solid" w:color="FFFFFF" w:fill="auto"/>
          </w:tcPr>
          <w:p w14:paraId="31BB963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7FAB5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DD8BF0" w14:textId="77777777" w:rsidR="00D40151" w:rsidRPr="00873B6C" w:rsidRDefault="00D40151" w:rsidP="009D14FB">
            <w:pPr>
              <w:pStyle w:val="TAL"/>
              <w:rPr>
                <w:sz w:val="16"/>
                <w:szCs w:val="16"/>
              </w:rPr>
            </w:pPr>
            <w:r w:rsidRPr="00873B6C">
              <w:rPr>
                <w:sz w:val="16"/>
                <w:szCs w:val="16"/>
              </w:rPr>
              <w:t>ETSUN related CR for non-FASMO corrections</w:t>
            </w:r>
          </w:p>
        </w:tc>
        <w:tc>
          <w:tcPr>
            <w:tcW w:w="708" w:type="dxa"/>
            <w:shd w:val="solid" w:color="FFFFFF" w:fill="auto"/>
          </w:tcPr>
          <w:p w14:paraId="3E4E53C6" w14:textId="77777777" w:rsidR="00D40151" w:rsidRPr="00873B6C" w:rsidRDefault="00D40151" w:rsidP="009D14FB">
            <w:pPr>
              <w:pStyle w:val="TAC"/>
              <w:rPr>
                <w:sz w:val="16"/>
                <w:szCs w:val="16"/>
              </w:rPr>
            </w:pPr>
            <w:r w:rsidRPr="00873B6C">
              <w:rPr>
                <w:sz w:val="16"/>
                <w:szCs w:val="16"/>
              </w:rPr>
              <w:t>16.4.0</w:t>
            </w:r>
          </w:p>
        </w:tc>
      </w:tr>
      <w:tr w:rsidR="00D40151" w:rsidRPr="00873B6C" w14:paraId="4DE307B7" w14:textId="77777777" w:rsidTr="009D14FB">
        <w:tc>
          <w:tcPr>
            <w:tcW w:w="800" w:type="dxa"/>
            <w:shd w:val="solid" w:color="FFFFFF" w:fill="auto"/>
          </w:tcPr>
          <w:p w14:paraId="74603BE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AE6EDE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8408602"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5E62008C" w14:textId="77777777" w:rsidR="00D40151" w:rsidRPr="00873B6C" w:rsidRDefault="00D40151" w:rsidP="009D14FB">
            <w:pPr>
              <w:pStyle w:val="TAL"/>
              <w:rPr>
                <w:sz w:val="16"/>
                <w:szCs w:val="16"/>
              </w:rPr>
            </w:pPr>
            <w:r w:rsidRPr="00873B6C">
              <w:rPr>
                <w:sz w:val="16"/>
                <w:szCs w:val="16"/>
              </w:rPr>
              <w:t>2171</w:t>
            </w:r>
          </w:p>
        </w:tc>
        <w:tc>
          <w:tcPr>
            <w:tcW w:w="425" w:type="dxa"/>
            <w:shd w:val="solid" w:color="FFFFFF" w:fill="auto"/>
          </w:tcPr>
          <w:p w14:paraId="70BBE49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33D0D4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336564" w14:textId="77777777" w:rsidR="00D40151" w:rsidRPr="00873B6C" w:rsidRDefault="00D40151" w:rsidP="009D14FB">
            <w:pPr>
              <w:pStyle w:val="TAL"/>
              <w:rPr>
                <w:sz w:val="16"/>
                <w:szCs w:val="16"/>
              </w:rPr>
            </w:pPr>
            <w:r w:rsidRPr="00873B6C">
              <w:rPr>
                <w:sz w:val="16"/>
                <w:szCs w:val="16"/>
              </w:rPr>
              <w:t>Adding reference points in the Architecture to support Time Sensitive Communication</w:t>
            </w:r>
          </w:p>
        </w:tc>
        <w:tc>
          <w:tcPr>
            <w:tcW w:w="708" w:type="dxa"/>
            <w:shd w:val="solid" w:color="FFFFFF" w:fill="auto"/>
          </w:tcPr>
          <w:p w14:paraId="36C565E6" w14:textId="77777777" w:rsidR="00D40151" w:rsidRPr="00873B6C" w:rsidRDefault="00D40151" w:rsidP="009D14FB">
            <w:pPr>
              <w:pStyle w:val="TAC"/>
              <w:rPr>
                <w:sz w:val="16"/>
                <w:szCs w:val="16"/>
              </w:rPr>
            </w:pPr>
            <w:r w:rsidRPr="00873B6C">
              <w:rPr>
                <w:sz w:val="16"/>
                <w:szCs w:val="16"/>
              </w:rPr>
              <w:t>16.4.0</w:t>
            </w:r>
          </w:p>
        </w:tc>
      </w:tr>
      <w:tr w:rsidR="00D40151" w:rsidRPr="00873B6C" w14:paraId="1CD570BB" w14:textId="77777777" w:rsidTr="009D14FB">
        <w:tc>
          <w:tcPr>
            <w:tcW w:w="800" w:type="dxa"/>
            <w:shd w:val="solid" w:color="FFFFFF" w:fill="auto"/>
          </w:tcPr>
          <w:p w14:paraId="19ABC52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DB85D6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4E46DF8"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5A5BA16D" w14:textId="77777777" w:rsidR="00D40151" w:rsidRPr="00873B6C" w:rsidRDefault="00D40151" w:rsidP="009D14FB">
            <w:pPr>
              <w:pStyle w:val="TAL"/>
              <w:rPr>
                <w:sz w:val="16"/>
                <w:szCs w:val="16"/>
              </w:rPr>
            </w:pPr>
            <w:r w:rsidRPr="00873B6C">
              <w:rPr>
                <w:sz w:val="16"/>
                <w:szCs w:val="16"/>
              </w:rPr>
              <w:t>2172</w:t>
            </w:r>
          </w:p>
        </w:tc>
        <w:tc>
          <w:tcPr>
            <w:tcW w:w="425" w:type="dxa"/>
            <w:shd w:val="solid" w:color="FFFFFF" w:fill="auto"/>
          </w:tcPr>
          <w:p w14:paraId="084CC6B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7108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71D06E" w14:textId="77777777" w:rsidR="00D40151" w:rsidRPr="00873B6C" w:rsidRDefault="00D40151" w:rsidP="009D14FB">
            <w:pPr>
              <w:pStyle w:val="TAL"/>
              <w:rPr>
                <w:sz w:val="16"/>
                <w:szCs w:val="16"/>
              </w:rPr>
            </w:pPr>
            <w:r w:rsidRPr="00873B6C">
              <w:rPr>
                <w:sz w:val="16"/>
                <w:szCs w:val="16"/>
              </w:rPr>
              <w:t>UPF selection based on traffic classes and VLAN</w:t>
            </w:r>
          </w:p>
        </w:tc>
        <w:tc>
          <w:tcPr>
            <w:tcW w:w="708" w:type="dxa"/>
            <w:shd w:val="solid" w:color="FFFFFF" w:fill="auto"/>
          </w:tcPr>
          <w:p w14:paraId="4C5610F5" w14:textId="77777777" w:rsidR="00D40151" w:rsidRPr="00873B6C" w:rsidRDefault="00D40151" w:rsidP="009D14FB">
            <w:pPr>
              <w:pStyle w:val="TAC"/>
              <w:rPr>
                <w:sz w:val="16"/>
                <w:szCs w:val="16"/>
              </w:rPr>
            </w:pPr>
            <w:r w:rsidRPr="00873B6C">
              <w:rPr>
                <w:sz w:val="16"/>
                <w:szCs w:val="16"/>
              </w:rPr>
              <w:t>16.4.0</w:t>
            </w:r>
          </w:p>
        </w:tc>
      </w:tr>
      <w:tr w:rsidR="00D40151" w:rsidRPr="00873B6C" w14:paraId="091C32EF" w14:textId="77777777" w:rsidTr="009D14FB">
        <w:tc>
          <w:tcPr>
            <w:tcW w:w="800" w:type="dxa"/>
            <w:shd w:val="solid" w:color="FFFFFF" w:fill="auto"/>
          </w:tcPr>
          <w:p w14:paraId="435274B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D54BF4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73B4ACE" w14:textId="77777777" w:rsidR="00D40151" w:rsidRPr="00873B6C" w:rsidRDefault="00D40151" w:rsidP="009D14FB">
            <w:pPr>
              <w:pStyle w:val="TAC"/>
              <w:rPr>
                <w:sz w:val="16"/>
                <w:szCs w:val="16"/>
              </w:rPr>
            </w:pPr>
            <w:r w:rsidRPr="00873B6C">
              <w:rPr>
                <w:sz w:val="16"/>
                <w:szCs w:val="16"/>
              </w:rPr>
              <w:t>SP-200060</w:t>
            </w:r>
          </w:p>
        </w:tc>
        <w:tc>
          <w:tcPr>
            <w:tcW w:w="567" w:type="dxa"/>
            <w:shd w:val="solid" w:color="FFFFFF" w:fill="auto"/>
          </w:tcPr>
          <w:p w14:paraId="48B1A145" w14:textId="77777777" w:rsidR="00D40151" w:rsidRPr="00873B6C" w:rsidRDefault="00D40151" w:rsidP="009D14FB">
            <w:pPr>
              <w:pStyle w:val="TAL"/>
              <w:rPr>
                <w:sz w:val="16"/>
                <w:szCs w:val="16"/>
              </w:rPr>
            </w:pPr>
            <w:r w:rsidRPr="00873B6C">
              <w:rPr>
                <w:sz w:val="16"/>
                <w:szCs w:val="16"/>
              </w:rPr>
              <w:t>2175</w:t>
            </w:r>
          </w:p>
        </w:tc>
        <w:tc>
          <w:tcPr>
            <w:tcW w:w="425" w:type="dxa"/>
            <w:shd w:val="solid" w:color="FFFFFF" w:fill="auto"/>
          </w:tcPr>
          <w:p w14:paraId="6184A52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C01E16"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D4EFAD3" w14:textId="77777777" w:rsidR="00D40151" w:rsidRPr="00873B6C" w:rsidRDefault="00D40151" w:rsidP="009D14FB">
            <w:pPr>
              <w:pStyle w:val="TAL"/>
              <w:rPr>
                <w:sz w:val="16"/>
                <w:szCs w:val="16"/>
              </w:rPr>
            </w:pPr>
            <w:r w:rsidRPr="00873B6C">
              <w:rPr>
                <w:sz w:val="16"/>
                <w:szCs w:val="16"/>
              </w:rPr>
              <w:t>UE capability match request during the registration procedure</w:t>
            </w:r>
          </w:p>
        </w:tc>
        <w:tc>
          <w:tcPr>
            <w:tcW w:w="708" w:type="dxa"/>
            <w:shd w:val="solid" w:color="FFFFFF" w:fill="auto"/>
          </w:tcPr>
          <w:p w14:paraId="19F93969" w14:textId="77777777" w:rsidR="00D40151" w:rsidRPr="00873B6C" w:rsidRDefault="00D40151" w:rsidP="009D14FB">
            <w:pPr>
              <w:pStyle w:val="TAC"/>
              <w:rPr>
                <w:sz w:val="16"/>
                <w:szCs w:val="16"/>
              </w:rPr>
            </w:pPr>
            <w:r w:rsidRPr="00873B6C">
              <w:rPr>
                <w:sz w:val="16"/>
                <w:szCs w:val="16"/>
              </w:rPr>
              <w:t>16.4.0</w:t>
            </w:r>
          </w:p>
        </w:tc>
      </w:tr>
      <w:tr w:rsidR="00D40151" w:rsidRPr="00873B6C" w14:paraId="51137006" w14:textId="77777777" w:rsidTr="009D14FB">
        <w:tc>
          <w:tcPr>
            <w:tcW w:w="800" w:type="dxa"/>
            <w:shd w:val="solid" w:color="FFFFFF" w:fill="auto"/>
          </w:tcPr>
          <w:p w14:paraId="19DAC0B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820B1D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9530170"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06ADD10" w14:textId="77777777" w:rsidR="00D40151" w:rsidRPr="00873B6C" w:rsidRDefault="00D40151" w:rsidP="009D14FB">
            <w:pPr>
              <w:pStyle w:val="TAL"/>
              <w:rPr>
                <w:sz w:val="16"/>
                <w:szCs w:val="16"/>
              </w:rPr>
            </w:pPr>
            <w:r w:rsidRPr="00873B6C">
              <w:rPr>
                <w:sz w:val="16"/>
                <w:szCs w:val="16"/>
              </w:rPr>
              <w:t>2178</w:t>
            </w:r>
          </w:p>
        </w:tc>
        <w:tc>
          <w:tcPr>
            <w:tcW w:w="425" w:type="dxa"/>
            <w:shd w:val="solid" w:color="FFFFFF" w:fill="auto"/>
          </w:tcPr>
          <w:p w14:paraId="3EAF6B3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AB093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0A93F8" w14:textId="77777777" w:rsidR="00D40151" w:rsidRPr="00873B6C" w:rsidRDefault="00D40151" w:rsidP="009D14FB">
            <w:pPr>
              <w:pStyle w:val="TAL"/>
              <w:rPr>
                <w:sz w:val="16"/>
                <w:szCs w:val="16"/>
              </w:rPr>
            </w:pPr>
            <w:r w:rsidRPr="00873B6C">
              <w:rPr>
                <w:sz w:val="16"/>
                <w:szCs w:val="16"/>
              </w:rPr>
              <w:t>Replace IEEE802.1Qbv with IEEE802.1Q</w:t>
            </w:r>
          </w:p>
        </w:tc>
        <w:tc>
          <w:tcPr>
            <w:tcW w:w="708" w:type="dxa"/>
            <w:shd w:val="solid" w:color="FFFFFF" w:fill="auto"/>
          </w:tcPr>
          <w:p w14:paraId="17DB3F2D" w14:textId="77777777" w:rsidR="00D40151" w:rsidRPr="00873B6C" w:rsidRDefault="00D40151" w:rsidP="009D14FB">
            <w:pPr>
              <w:pStyle w:val="TAC"/>
              <w:rPr>
                <w:sz w:val="16"/>
                <w:szCs w:val="16"/>
              </w:rPr>
            </w:pPr>
            <w:r w:rsidRPr="00873B6C">
              <w:rPr>
                <w:sz w:val="16"/>
                <w:szCs w:val="16"/>
              </w:rPr>
              <w:t>16.4.0</w:t>
            </w:r>
          </w:p>
        </w:tc>
      </w:tr>
      <w:tr w:rsidR="00D40151" w:rsidRPr="00873B6C" w14:paraId="51F6039F" w14:textId="77777777" w:rsidTr="009D14FB">
        <w:tc>
          <w:tcPr>
            <w:tcW w:w="800" w:type="dxa"/>
            <w:shd w:val="solid" w:color="FFFFFF" w:fill="auto"/>
          </w:tcPr>
          <w:p w14:paraId="71BD656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9E713D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0F17554"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A2ED6E8" w14:textId="77777777" w:rsidR="00D40151" w:rsidRPr="00873B6C" w:rsidRDefault="00D40151" w:rsidP="009D14FB">
            <w:pPr>
              <w:pStyle w:val="TAL"/>
              <w:rPr>
                <w:sz w:val="16"/>
                <w:szCs w:val="16"/>
              </w:rPr>
            </w:pPr>
            <w:r w:rsidRPr="00873B6C">
              <w:rPr>
                <w:sz w:val="16"/>
                <w:szCs w:val="16"/>
              </w:rPr>
              <w:t>2183</w:t>
            </w:r>
          </w:p>
        </w:tc>
        <w:tc>
          <w:tcPr>
            <w:tcW w:w="425" w:type="dxa"/>
            <w:shd w:val="solid" w:color="FFFFFF" w:fill="auto"/>
          </w:tcPr>
          <w:p w14:paraId="01F74F63"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07AD446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D253F05" w14:textId="77777777" w:rsidR="00D40151" w:rsidRPr="00873B6C" w:rsidRDefault="00D40151" w:rsidP="009D14FB">
            <w:pPr>
              <w:pStyle w:val="TAL"/>
              <w:rPr>
                <w:sz w:val="16"/>
                <w:szCs w:val="16"/>
              </w:rPr>
            </w:pPr>
            <w:r w:rsidRPr="00873B6C">
              <w:rPr>
                <w:sz w:val="16"/>
                <w:szCs w:val="16"/>
              </w:rPr>
              <w:t>Correction on QoS Flow Binding about TSN</w:t>
            </w:r>
          </w:p>
        </w:tc>
        <w:tc>
          <w:tcPr>
            <w:tcW w:w="708" w:type="dxa"/>
            <w:shd w:val="solid" w:color="FFFFFF" w:fill="auto"/>
          </w:tcPr>
          <w:p w14:paraId="38EF5E00" w14:textId="77777777" w:rsidR="00D40151" w:rsidRPr="00873B6C" w:rsidRDefault="00D40151" w:rsidP="009D14FB">
            <w:pPr>
              <w:pStyle w:val="TAC"/>
              <w:rPr>
                <w:sz w:val="16"/>
                <w:szCs w:val="16"/>
              </w:rPr>
            </w:pPr>
            <w:r w:rsidRPr="00873B6C">
              <w:rPr>
                <w:sz w:val="16"/>
                <w:szCs w:val="16"/>
              </w:rPr>
              <w:t>16.4.0</w:t>
            </w:r>
          </w:p>
        </w:tc>
      </w:tr>
      <w:tr w:rsidR="00D40151" w:rsidRPr="00873B6C" w14:paraId="484E4BC4" w14:textId="77777777" w:rsidTr="009D14FB">
        <w:tc>
          <w:tcPr>
            <w:tcW w:w="800" w:type="dxa"/>
            <w:shd w:val="solid" w:color="FFFFFF" w:fill="auto"/>
          </w:tcPr>
          <w:p w14:paraId="65F5D635"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3279B3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17AD018"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1F8E0243" w14:textId="77777777" w:rsidR="00D40151" w:rsidRPr="00873B6C" w:rsidRDefault="00D40151" w:rsidP="009D14FB">
            <w:pPr>
              <w:pStyle w:val="TAL"/>
              <w:rPr>
                <w:sz w:val="16"/>
                <w:szCs w:val="16"/>
              </w:rPr>
            </w:pPr>
            <w:r w:rsidRPr="00873B6C">
              <w:rPr>
                <w:sz w:val="16"/>
                <w:szCs w:val="16"/>
              </w:rPr>
              <w:t>2186</w:t>
            </w:r>
          </w:p>
        </w:tc>
        <w:tc>
          <w:tcPr>
            <w:tcW w:w="425" w:type="dxa"/>
            <w:shd w:val="solid" w:color="FFFFFF" w:fill="auto"/>
          </w:tcPr>
          <w:p w14:paraId="25F97A24"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6ECF7A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9EBF95" w14:textId="77777777" w:rsidR="00D40151" w:rsidRPr="00873B6C" w:rsidRDefault="00D40151" w:rsidP="009D14FB">
            <w:pPr>
              <w:pStyle w:val="TAL"/>
              <w:rPr>
                <w:sz w:val="16"/>
                <w:szCs w:val="16"/>
              </w:rPr>
            </w:pPr>
            <w:r w:rsidRPr="00873B6C">
              <w:rPr>
                <w:sz w:val="16"/>
                <w:szCs w:val="16"/>
              </w:rPr>
              <w:t>Correction for support of N5CW devices to access 5GC via trusted WLAN access networks</w:t>
            </w:r>
          </w:p>
        </w:tc>
        <w:tc>
          <w:tcPr>
            <w:tcW w:w="708" w:type="dxa"/>
            <w:shd w:val="solid" w:color="FFFFFF" w:fill="auto"/>
          </w:tcPr>
          <w:p w14:paraId="6D2890F7" w14:textId="77777777" w:rsidR="00D40151" w:rsidRPr="00873B6C" w:rsidRDefault="00D40151" w:rsidP="009D14FB">
            <w:pPr>
              <w:pStyle w:val="TAC"/>
              <w:rPr>
                <w:sz w:val="16"/>
                <w:szCs w:val="16"/>
              </w:rPr>
            </w:pPr>
            <w:r w:rsidRPr="00873B6C">
              <w:rPr>
                <w:sz w:val="16"/>
                <w:szCs w:val="16"/>
              </w:rPr>
              <w:t>16.4.0</w:t>
            </w:r>
          </w:p>
        </w:tc>
      </w:tr>
      <w:tr w:rsidR="00D40151" w:rsidRPr="00873B6C" w14:paraId="26057476" w14:textId="77777777" w:rsidTr="009D14FB">
        <w:tc>
          <w:tcPr>
            <w:tcW w:w="800" w:type="dxa"/>
            <w:shd w:val="solid" w:color="FFFFFF" w:fill="auto"/>
          </w:tcPr>
          <w:p w14:paraId="7EBD77B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5A7902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8534519" w14:textId="77777777" w:rsidR="00D40151" w:rsidRPr="00873B6C" w:rsidRDefault="00D40151" w:rsidP="009D14FB">
            <w:pPr>
              <w:pStyle w:val="TAC"/>
              <w:rPr>
                <w:sz w:val="16"/>
                <w:szCs w:val="16"/>
              </w:rPr>
            </w:pPr>
            <w:r w:rsidRPr="00873B6C">
              <w:rPr>
                <w:sz w:val="16"/>
                <w:szCs w:val="16"/>
              </w:rPr>
              <w:t>SP-200065</w:t>
            </w:r>
          </w:p>
        </w:tc>
        <w:tc>
          <w:tcPr>
            <w:tcW w:w="567" w:type="dxa"/>
            <w:shd w:val="solid" w:color="FFFFFF" w:fill="auto"/>
          </w:tcPr>
          <w:p w14:paraId="3D8EAABF" w14:textId="77777777" w:rsidR="00D40151" w:rsidRPr="00873B6C" w:rsidRDefault="00D40151" w:rsidP="009D14FB">
            <w:pPr>
              <w:pStyle w:val="TAL"/>
              <w:rPr>
                <w:sz w:val="16"/>
                <w:szCs w:val="16"/>
              </w:rPr>
            </w:pPr>
            <w:r w:rsidRPr="00873B6C">
              <w:rPr>
                <w:sz w:val="16"/>
                <w:szCs w:val="16"/>
              </w:rPr>
              <w:t>2190</w:t>
            </w:r>
          </w:p>
        </w:tc>
        <w:tc>
          <w:tcPr>
            <w:tcW w:w="425" w:type="dxa"/>
            <w:shd w:val="solid" w:color="FFFFFF" w:fill="auto"/>
          </w:tcPr>
          <w:p w14:paraId="253932FC"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1E65BF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825F71" w14:textId="77777777" w:rsidR="00D40151" w:rsidRPr="00873B6C" w:rsidRDefault="00D40151" w:rsidP="009D14FB">
            <w:pPr>
              <w:pStyle w:val="TAL"/>
              <w:rPr>
                <w:sz w:val="16"/>
                <w:szCs w:val="16"/>
              </w:rPr>
            </w:pPr>
            <w:r w:rsidRPr="00873B6C">
              <w:rPr>
                <w:sz w:val="16"/>
                <w:szCs w:val="16"/>
              </w:rPr>
              <w:t>Endpoint Address correction</w:t>
            </w:r>
          </w:p>
        </w:tc>
        <w:tc>
          <w:tcPr>
            <w:tcW w:w="708" w:type="dxa"/>
            <w:shd w:val="solid" w:color="FFFFFF" w:fill="auto"/>
          </w:tcPr>
          <w:p w14:paraId="64943D6D" w14:textId="77777777" w:rsidR="00D40151" w:rsidRPr="00873B6C" w:rsidRDefault="00D40151" w:rsidP="009D14FB">
            <w:pPr>
              <w:pStyle w:val="TAC"/>
              <w:rPr>
                <w:sz w:val="16"/>
                <w:szCs w:val="16"/>
              </w:rPr>
            </w:pPr>
            <w:r w:rsidRPr="00873B6C">
              <w:rPr>
                <w:sz w:val="16"/>
                <w:szCs w:val="16"/>
              </w:rPr>
              <w:t>16.4.0</w:t>
            </w:r>
          </w:p>
        </w:tc>
      </w:tr>
      <w:tr w:rsidR="00D40151" w:rsidRPr="00873B6C" w14:paraId="5F29BD3D" w14:textId="77777777" w:rsidTr="009D14FB">
        <w:tc>
          <w:tcPr>
            <w:tcW w:w="800" w:type="dxa"/>
            <w:shd w:val="solid" w:color="FFFFFF" w:fill="auto"/>
          </w:tcPr>
          <w:p w14:paraId="3A51A1F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8C05FE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72CA1A0"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46413624" w14:textId="77777777" w:rsidR="00D40151" w:rsidRPr="00873B6C" w:rsidRDefault="00D40151" w:rsidP="009D14FB">
            <w:pPr>
              <w:pStyle w:val="TAL"/>
              <w:rPr>
                <w:sz w:val="16"/>
                <w:szCs w:val="16"/>
              </w:rPr>
            </w:pPr>
            <w:r w:rsidRPr="00873B6C">
              <w:rPr>
                <w:sz w:val="16"/>
                <w:szCs w:val="16"/>
              </w:rPr>
              <w:t>2191</w:t>
            </w:r>
          </w:p>
        </w:tc>
        <w:tc>
          <w:tcPr>
            <w:tcW w:w="425" w:type="dxa"/>
            <w:shd w:val="solid" w:color="FFFFFF" w:fill="auto"/>
          </w:tcPr>
          <w:p w14:paraId="4EC6D3B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CB464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919FD5" w14:textId="77777777" w:rsidR="00D40151" w:rsidRPr="00873B6C" w:rsidRDefault="00D40151" w:rsidP="009D14FB">
            <w:pPr>
              <w:pStyle w:val="TAL"/>
              <w:rPr>
                <w:sz w:val="16"/>
                <w:szCs w:val="16"/>
              </w:rPr>
            </w:pPr>
            <w:r w:rsidRPr="00873B6C">
              <w:rPr>
                <w:sz w:val="16"/>
                <w:szCs w:val="16"/>
              </w:rPr>
              <w:t>Clarification on PS Data Off for non-3GPP access PDU Session</w:t>
            </w:r>
          </w:p>
        </w:tc>
        <w:tc>
          <w:tcPr>
            <w:tcW w:w="708" w:type="dxa"/>
            <w:shd w:val="solid" w:color="FFFFFF" w:fill="auto"/>
          </w:tcPr>
          <w:p w14:paraId="40AD9B40" w14:textId="77777777" w:rsidR="00D40151" w:rsidRPr="00873B6C" w:rsidRDefault="00D40151" w:rsidP="009D14FB">
            <w:pPr>
              <w:pStyle w:val="TAC"/>
              <w:rPr>
                <w:sz w:val="16"/>
                <w:szCs w:val="16"/>
              </w:rPr>
            </w:pPr>
            <w:r w:rsidRPr="00873B6C">
              <w:rPr>
                <w:sz w:val="16"/>
                <w:szCs w:val="16"/>
              </w:rPr>
              <w:t>16.4.0</w:t>
            </w:r>
          </w:p>
        </w:tc>
      </w:tr>
      <w:tr w:rsidR="00D40151" w:rsidRPr="00873B6C" w14:paraId="0E2B6DD8" w14:textId="77777777" w:rsidTr="009D14FB">
        <w:tc>
          <w:tcPr>
            <w:tcW w:w="800" w:type="dxa"/>
            <w:shd w:val="solid" w:color="FFFFFF" w:fill="auto"/>
          </w:tcPr>
          <w:p w14:paraId="5F4DC8F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622A216"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9B10C58" w14:textId="77777777" w:rsidR="00D40151" w:rsidRPr="00873B6C" w:rsidRDefault="00D40151" w:rsidP="009D14FB">
            <w:pPr>
              <w:pStyle w:val="TAC"/>
              <w:rPr>
                <w:sz w:val="16"/>
                <w:szCs w:val="16"/>
              </w:rPr>
            </w:pPr>
            <w:r w:rsidRPr="00873B6C">
              <w:rPr>
                <w:sz w:val="16"/>
                <w:szCs w:val="16"/>
              </w:rPr>
              <w:t>SP-200071</w:t>
            </w:r>
          </w:p>
        </w:tc>
        <w:tc>
          <w:tcPr>
            <w:tcW w:w="567" w:type="dxa"/>
            <w:shd w:val="solid" w:color="FFFFFF" w:fill="auto"/>
          </w:tcPr>
          <w:p w14:paraId="58336A74" w14:textId="77777777" w:rsidR="00D40151" w:rsidRPr="00873B6C" w:rsidRDefault="00D40151" w:rsidP="009D14FB">
            <w:pPr>
              <w:pStyle w:val="TAL"/>
              <w:rPr>
                <w:sz w:val="16"/>
                <w:szCs w:val="16"/>
              </w:rPr>
            </w:pPr>
            <w:r w:rsidRPr="00873B6C">
              <w:rPr>
                <w:sz w:val="16"/>
                <w:szCs w:val="16"/>
              </w:rPr>
              <w:t>2192</w:t>
            </w:r>
          </w:p>
        </w:tc>
        <w:tc>
          <w:tcPr>
            <w:tcW w:w="425" w:type="dxa"/>
            <w:shd w:val="solid" w:color="FFFFFF" w:fill="auto"/>
          </w:tcPr>
          <w:p w14:paraId="4787BFD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D7F4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D05D38" w14:textId="77777777" w:rsidR="00D40151" w:rsidRPr="00873B6C" w:rsidRDefault="00D40151" w:rsidP="009D14FB">
            <w:pPr>
              <w:pStyle w:val="TAL"/>
              <w:rPr>
                <w:sz w:val="16"/>
                <w:szCs w:val="16"/>
              </w:rPr>
            </w:pPr>
            <w:r w:rsidRPr="00873B6C">
              <w:rPr>
                <w:sz w:val="16"/>
                <w:szCs w:val="16"/>
              </w:rPr>
              <w:t>Handling of NSSAA during N2 handover procedure</w:t>
            </w:r>
          </w:p>
        </w:tc>
        <w:tc>
          <w:tcPr>
            <w:tcW w:w="708" w:type="dxa"/>
            <w:shd w:val="solid" w:color="FFFFFF" w:fill="auto"/>
          </w:tcPr>
          <w:p w14:paraId="7494DE92" w14:textId="77777777" w:rsidR="00D40151" w:rsidRPr="00873B6C" w:rsidRDefault="00D40151" w:rsidP="009D14FB">
            <w:pPr>
              <w:pStyle w:val="TAC"/>
              <w:rPr>
                <w:sz w:val="16"/>
                <w:szCs w:val="16"/>
              </w:rPr>
            </w:pPr>
            <w:r w:rsidRPr="00873B6C">
              <w:rPr>
                <w:sz w:val="16"/>
                <w:szCs w:val="16"/>
              </w:rPr>
              <w:t>16.4.0</w:t>
            </w:r>
          </w:p>
        </w:tc>
      </w:tr>
      <w:tr w:rsidR="00D40151" w:rsidRPr="00873B6C" w14:paraId="01C668CA" w14:textId="77777777" w:rsidTr="009D14FB">
        <w:tc>
          <w:tcPr>
            <w:tcW w:w="800" w:type="dxa"/>
            <w:shd w:val="solid" w:color="FFFFFF" w:fill="auto"/>
          </w:tcPr>
          <w:p w14:paraId="3321B30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EDE499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0BB1B13"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50A783A" w14:textId="77777777" w:rsidR="00D40151" w:rsidRPr="00873B6C" w:rsidRDefault="00D40151" w:rsidP="009D14FB">
            <w:pPr>
              <w:pStyle w:val="TAL"/>
              <w:rPr>
                <w:sz w:val="16"/>
                <w:szCs w:val="16"/>
              </w:rPr>
            </w:pPr>
            <w:r w:rsidRPr="00873B6C">
              <w:rPr>
                <w:sz w:val="16"/>
                <w:szCs w:val="16"/>
              </w:rPr>
              <w:t>2194</w:t>
            </w:r>
          </w:p>
        </w:tc>
        <w:tc>
          <w:tcPr>
            <w:tcW w:w="425" w:type="dxa"/>
            <w:shd w:val="solid" w:color="FFFFFF" w:fill="auto"/>
          </w:tcPr>
          <w:p w14:paraId="3DB318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AB128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7C6A90" w14:textId="77777777" w:rsidR="00D40151" w:rsidRPr="00873B6C" w:rsidRDefault="00D40151" w:rsidP="009D14FB">
            <w:pPr>
              <w:pStyle w:val="TAL"/>
              <w:rPr>
                <w:sz w:val="16"/>
                <w:szCs w:val="16"/>
              </w:rPr>
            </w:pPr>
            <w:r w:rsidRPr="00873B6C">
              <w:rPr>
                <w:sz w:val="16"/>
                <w:szCs w:val="16"/>
              </w:rPr>
              <w:t xml:space="preserve">Clear description of Access to an SNPN </w:t>
            </w:r>
          </w:p>
        </w:tc>
        <w:tc>
          <w:tcPr>
            <w:tcW w:w="708" w:type="dxa"/>
            <w:shd w:val="solid" w:color="FFFFFF" w:fill="auto"/>
          </w:tcPr>
          <w:p w14:paraId="5510D4F4" w14:textId="77777777" w:rsidR="00D40151" w:rsidRPr="00873B6C" w:rsidRDefault="00D40151" w:rsidP="009D14FB">
            <w:pPr>
              <w:pStyle w:val="TAC"/>
              <w:rPr>
                <w:sz w:val="16"/>
                <w:szCs w:val="16"/>
              </w:rPr>
            </w:pPr>
            <w:r w:rsidRPr="00873B6C">
              <w:rPr>
                <w:sz w:val="16"/>
                <w:szCs w:val="16"/>
              </w:rPr>
              <w:t>16.4.0</w:t>
            </w:r>
          </w:p>
        </w:tc>
      </w:tr>
      <w:tr w:rsidR="00D40151" w:rsidRPr="00873B6C" w14:paraId="50C60A05" w14:textId="77777777" w:rsidTr="009D14FB">
        <w:tc>
          <w:tcPr>
            <w:tcW w:w="800" w:type="dxa"/>
            <w:shd w:val="solid" w:color="FFFFFF" w:fill="auto"/>
          </w:tcPr>
          <w:p w14:paraId="33AEC02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20FAAC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E16C398"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0A5A865F" w14:textId="77777777" w:rsidR="00D40151" w:rsidRPr="00873B6C" w:rsidRDefault="00D40151" w:rsidP="009D14FB">
            <w:pPr>
              <w:pStyle w:val="TAL"/>
              <w:rPr>
                <w:sz w:val="16"/>
                <w:szCs w:val="16"/>
              </w:rPr>
            </w:pPr>
            <w:r w:rsidRPr="00873B6C">
              <w:rPr>
                <w:sz w:val="16"/>
                <w:szCs w:val="16"/>
              </w:rPr>
              <w:t>2195</w:t>
            </w:r>
          </w:p>
        </w:tc>
        <w:tc>
          <w:tcPr>
            <w:tcW w:w="425" w:type="dxa"/>
            <w:shd w:val="solid" w:color="FFFFFF" w:fill="auto"/>
          </w:tcPr>
          <w:p w14:paraId="4DE1B06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639E4C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0A229F" w14:textId="77777777" w:rsidR="00D40151" w:rsidRPr="00873B6C" w:rsidRDefault="00D40151" w:rsidP="009D14FB">
            <w:pPr>
              <w:pStyle w:val="TAL"/>
              <w:rPr>
                <w:sz w:val="16"/>
                <w:szCs w:val="16"/>
              </w:rPr>
            </w:pPr>
            <w:r w:rsidRPr="00873B6C">
              <w:rPr>
                <w:sz w:val="16"/>
                <w:szCs w:val="16"/>
              </w:rPr>
              <w:t>AMF Management</w:t>
            </w:r>
          </w:p>
        </w:tc>
        <w:tc>
          <w:tcPr>
            <w:tcW w:w="708" w:type="dxa"/>
            <w:shd w:val="solid" w:color="FFFFFF" w:fill="auto"/>
          </w:tcPr>
          <w:p w14:paraId="5DDF0B6C" w14:textId="77777777" w:rsidR="00D40151" w:rsidRPr="00873B6C" w:rsidRDefault="00D40151" w:rsidP="009D14FB">
            <w:pPr>
              <w:pStyle w:val="TAC"/>
              <w:rPr>
                <w:sz w:val="16"/>
                <w:szCs w:val="16"/>
              </w:rPr>
            </w:pPr>
            <w:r w:rsidRPr="00873B6C">
              <w:rPr>
                <w:sz w:val="16"/>
                <w:szCs w:val="16"/>
              </w:rPr>
              <w:t>16.4.0</w:t>
            </w:r>
          </w:p>
        </w:tc>
      </w:tr>
      <w:tr w:rsidR="00D40151" w:rsidRPr="00873B6C" w14:paraId="6E838090" w14:textId="77777777" w:rsidTr="009D14FB">
        <w:tc>
          <w:tcPr>
            <w:tcW w:w="800" w:type="dxa"/>
            <w:shd w:val="solid" w:color="FFFFFF" w:fill="auto"/>
          </w:tcPr>
          <w:p w14:paraId="587B4F3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D9AABF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1C3613F"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3F766ACE" w14:textId="77777777" w:rsidR="00D40151" w:rsidRPr="00873B6C" w:rsidRDefault="00D40151" w:rsidP="009D14FB">
            <w:pPr>
              <w:pStyle w:val="TAL"/>
              <w:rPr>
                <w:sz w:val="16"/>
                <w:szCs w:val="16"/>
              </w:rPr>
            </w:pPr>
            <w:r w:rsidRPr="00873B6C">
              <w:rPr>
                <w:sz w:val="16"/>
                <w:szCs w:val="16"/>
              </w:rPr>
              <w:t>2197</w:t>
            </w:r>
          </w:p>
        </w:tc>
        <w:tc>
          <w:tcPr>
            <w:tcW w:w="425" w:type="dxa"/>
            <w:shd w:val="solid" w:color="FFFFFF" w:fill="auto"/>
          </w:tcPr>
          <w:p w14:paraId="3CEC2E2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B3DD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36BC43" w14:textId="224BB89F" w:rsidR="00D40151" w:rsidRPr="00873B6C" w:rsidRDefault="00D40151" w:rsidP="009D14FB">
            <w:pPr>
              <w:pStyle w:val="TAL"/>
              <w:rPr>
                <w:sz w:val="16"/>
                <w:szCs w:val="16"/>
              </w:rPr>
            </w:pPr>
            <w:r w:rsidRPr="00873B6C">
              <w:rPr>
                <w:sz w:val="16"/>
                <w:szCs w:val="16"/>
              </w:rPr>
              <w:t xml:space="preserve">Vertical_LAN </w:t>
            </w:r>
            <w:r w:rsidR="00704A9E" w:rsidRPr="00873B6C">
              <w:rPr>
                <w:sz w:val="16"/>
                <w:szCs w:val="16"/>
              </w:rPr>
              <w:t>5G-VN</w:t>
            </w:r>
            <w:r w:rsidRPr="00873B6C">
              <w:rPr>
                <w:sz w:val="16"/>
                <w:szCs w:val="16"/>
              </w:rPr>
              <w:t xml:space="preserve"> related CR for non-FASMO corrections</w:t>
            </w:r>
          </w:p>
        </w:tc>
        <w:tc>
          <w:tcPr>
            <w:tcW w:w="708" w:type="dxa"/>
            <w:shd w:val="solid" w:color="FFFFFF" w:fill="auto"/>
          </w:tcPr>
          <w:p w14:paraId="24E1338D" w14:textId="77777777" w:rsidR="00D40151" w:rsidRPr="00873B6C" w:rsidRDefault="00D40151" w:rsidP="009D14FB">
            <w:pPr>
              <w:pStyle w:val="TAC"/>
              <w:rPr>
                <w:sz w:val="16"/>
                <w:szCs w:val="16"/>
              </w:rPr>
            </w:pPr>
            <w:r w:rsidRPr="00873B6C">
              <w:rPr>
                <w:sz w:val="16"/>
                <w:szCs w:val="16"/>
              </w:rPr>
              <w:t>16.4.0</w:t>
            </w:r>
          </w:p>
        </w:tc>
      </w:tr>
      <w:tr w:rsidR="00D40151" w:rsidRPr="00873B6C" w14:paraId="4CA1F3E1" w14:textId="77777777" w:rsidTr="009D14FB">
        <w:tc>
          <w:tcPr>
            <w:tcW w:w="800" w:type="dxa"/>
            <w:shd w:val="solid" w:color="FFFFFF" w:fill="auto"/>
          </w:tcPr>
          <w:p w14:paraId="45E7F41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E8B35C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D9AC199"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6501EE4F" w14:textId="77777777" w:rsidR="00D40151" w:rsidRPr="00873B6C" w:rsidRDefault="00D40151" w:rsidP="009D14FB">
            <w:pPr>
              <w:pStyle w:val="TAL"/>
              <w:rPr>
                <w:sz w:val="16"/>
                <w:szCs w:val="16"/>
              </w:rPr>
            </w:pPr>
            <w:r w:rsidRPr="00873B6C">
              <w:rPr>
                <w:sz w:val="16"/>
                <w:szCs w:val="16"/>
              </w:rPr>
              <w:t>2198</w:t>
            </w:r>
          </w:p>
        </w:tc>
        <w:tc>
          <w:tcPr>
            <w:tcW w:w="425" w:type="dxa"/>
            <w:shd w:val="solid" w:color="FFFFFF" w:fill="auto"/>
          </w:tcPr>
          <w:p w14:paraId="162043E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DA1B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4ED65E" w14:textId="77777777" w:rsidR="00D40151" w:rsidRPr="00873B6C" w:rsidRDefault="00D40151" w:rsidP="009D14FB">
            <w:pPr>
              <w:pStyle w:val="TAL"/>
              <w:rPr>
                <w:sz w:val="16"/>
                <w:szCs w:val="16"/>
              </w:rPr>
            </w:pPr>
            <w:r w:rsidRPr="00873B6C">
              <w:rPr>
                <w:sz w:val="16"/>
                <w:szCs w:val="16"/>
              </w:rPr>
              <w:t>Vertical_LAN TSN related CR for non-FASMO corrections</w:t>
            </w:r>
          </w:p>
        </w:tc>
        <w:tc>
          <w:tcPr>
            <w:tcW w:w="708" w:type="dxa"/>
            <w:shd w:val="solid" w:color="FFFFFF" w:fill="auto"/>
          </w:tcPr>
          <w:p w14:paraId="2B829BDB" w14:textId="77777777" w:rsidR="00D40151" w:rsidRPr="00873B6C" w:rsidRDefault="00D40151" w:rsidP="009D14FB">
            <w:pPr>
              <w:pStyle w:val="TAC"/>
              <w:rPr>
                <w:sz w:val="16"/>
                <w:szCs w:val="16"/>
              </w:rPr>
            </w:pPr>
            <w:r w:rsidRPr="00873B6C">
              <w:rPr>
                <w:sz w:val="16"/>
                <w:szCs w:val="16"/>
              </w:rPr>
              <w:t>16.4.0</w:t>
            </w:r>
          </w:p>
        </w:tc>
      </w:tr>
      <w:tr w:rsidR="00D40151" w:rsidRPr="00873B6C" w14:paraId="204245B5" w14:textId="77777777" w:rsidTr="009D14FB">
        <w:tc>
          <w:tcPr>
            <w:tcW w:w="800" w:type="dxa"/>
            <w:shd w:val="solid" w:color="FFFFFF" w:fill="auto"/>
          </w:tcPr>
          <w:p w14:paraId="7C15D7F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D0B787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C198E19"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B6D54B0" w14:textId="77777777" w:rsidR="00D40151" w:rsidRPr="00873B6C" w:rsidRDefault="00D40151" w:rsidP="009D14FB">
            <w:pPr>
              <w:pStyle w:val="TAL"/>
              <w:rPr>
                <w:sz w:val="16"/>
                <w:szCs w:val="16"/>
              </w:rPr>
            </w:pPr>
            <w:r w:rsidRPr="00873B6C">
              <w:rPr>
                <w:sz w:val="16"/>
                <w:szCs w:val="16"/>
              </w:rPr>
              <w:t>2199</w:t>
            </w:r>
          </w:p>
        </w:tc>
        <w:tc>
          <w:tcPr>
            <w:tcW w:w="425" w:type="dxa"/>
            <w:shd w:val="solid" w:color="FFFFFF" w:fill="auto"/>
          </w:tcPr>
          <w:p w14:paraId="1C56A44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2E9F8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4FFD64C" w14:textId="77777777" w:rsidR="00D40151" w:rsidRPr="00873B6C" w:rsidRDefault="00D40151" w:rsidP="009D14FB">
            <w:pPr>
              <w:pStyle w:val="TAL"/>
              <w:rPr>
                <w:sz w:val="16"/>
                <w:szCs w:val="16"/>
              </w:rPr>
            </w:pPr>
            <w:r w:rsidRPr="00873B6C">
              <w:rPr>
                <w:sz w:val="16"/>
                <w:szCs w:val="16"/>
              </w:rPr>
              <w:t>Vertical_LAN NPN related CR for non-FASMO corrections</w:t>
            </w:r>
          </w:p>
        </w:tc>
        <w:tc>
          <w:tcPr>
            <w:tcW w:w="708" w:type="dxa"/>
            <w:shd w:val="solid" w:color="FFFFFF" w:fill="auto"/>
          </w:tcPr>
          <w:p w14:paraId="05CCE38D" w14:textId="77777777" w:rsidR="00D40151" w:rsidRPr="00873B6C" w:rsidRDefault="00D40151" w:rsidP="009D14FB">
            <w:pPr>
              <w:pStyle w:val="TAC"/>
              <w:rPr>
                <w:sz w:val="16"/>
                <w:szCs w:val="16"/>
              </w:rPr>
            </w:pPr>
            <w:r w:rsidRPr="00873B6C">
              <w:rPr>
                <w:sz w:val="16"/>
                <w:szCs w:val="16"/>
              </w:rPr>
              <w:t>16.4.0</w:t>
            </w:r>
          </w:p>
        </w:tc>
      </w:tr>
      <w:tr w:rsidR="00D40151" w:rsidRPr="00873B6C" w14:paraId="6D34DB4B" w14:textId="77777777" w:rsidTr="009D14FB">
        <w:tc>
          <w:tcPr>
            <w:tcW w:w="800" w:type="dxa"/>
            <w:shd w:val="solid" w:color="FFFFFF" w:fill="auto"/>
          </w:tcPr>
          <w:p w14:paraId="2978EE0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F510C2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34C7DE1"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2885D351" w14:textId="77777777" w:rsidR="00D40151" w:rsidRPr="00873B6C" w:rsidRDefault="00D40151" w:rsidP="009D14FB">
            <w:pPr>
              <w:pStyle w:val="TAL"/>
              <w:rPr>
                <w:sz w:val="16"/>
                <w:szCs w:val="16"/>
              </w:rPr>
            </w:pPr>
            <w:r w:rsidRPr="00873B6C">
              <w:rPr>
                <w:sz w:val="16"/>
                <w:szCs w:val="16"/>
              </w:rPr>
              <w:t>2201</w:t>
            </w:r>
          </w:p>
        </w:tc>
        <w:tc>
          <w:tcPr>
            <w:tcW w:w="425" w:type="dxa"/>
            <w:shd w:val="solid" w:color="FFFFFF" w:fill="auto"/>
          </w:tcPr>
          <w:p w14:paraId="3108953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150E7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C90E8B" w14:textId="77777777" w:rsidR="00D40151" w:rsidRPr="00873B6C" w:rsidRDefault="00D40151" w:rsidP="009D14FB">
            <w:pPr>
              <w:pStyle w:val="TAL"/>
              <w:rPr>
                <w:sz w:val="16"/>
                <w:szCs w:val="16"/>
              </w:rPr>
            </w:pPr>
            <w:r w:rsidRPr="00873B6C">
              <w:rPr>
                <w:sz w:val="16"/>
                <w:szCs w:val="16"/>
              </w:rPr>
              <w:t>Correction on area of interest used by SMF</w:t>
            </w:r>
          </w:p>
        </w:tc>
        <w:tc>
          <w:tcPr>
            <w:tcW w:w="708" w:type="dxa"/>
            <w:shd w:val="solid" w:color="FFFFFF" w:fill="auto"/>
          </w:tcPr>
          <w:p w14:paraId="473F949B" w14:textId="77777777" w:rsidR="00D40151" w:rsidRPr="00873B6C" w:rsidRDefault="00D40151" w:rsidP="009D14FB">
            <w:pPr>
              <w:pStyle w:val="TAC"/>
              <w:rPr>
                <w:sz w:val="16"/>
                <w:szCs w:val="16"/>
              </w:rPr>
            </w:pPr>
            <w:r w:rsidRPr="00873B6C">
              <w:rPr>
                <w:sz w:val="16"/>
                <w:szCs w:val="16"/>
              </w:rPr>
              <w:t>16.4.0</w:t>
            </w:r>
          </w:p>
        </w:tc>
      </w:tr>
      <w:tr w:rsidR="00D40151" w:rsidRPr="00873B6C" w14:paraId="1F73FB33" w14:textId="77777777" w:rsidTr="009D14FB">
        <w:tc>
          <w:tcPr>
            <w:tcW w:w="800" w:type="dxa"/>
            <w:shd w:val="solid" w:color="FFFFFF" w:fill="auto"/>
          </w:tcPr>
          <w:p w14:paraId="1FCDB60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1CDB01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AEA4CDC"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9936538" w14:textId="77777777" w:rsidR="00D40151" w:rsidRPr="00873B6C" w:rsidRDefault="00D40151" w:rsidP="009D14FB">
            <w:pPr>
              <w:pStyle w:val="TAL"/>
              <w:rPr>
                <w:sz w:val="16"/>
                <w:szCs w:val="16"/>
              </w:rPr>
            </w:pPr>
            <w:r w:rsidRPr="00873B6C">
              <w:rPr>
                <w:sz w:val="16"/>
                <w:szCs w:val="16"/>
              </w:rPr>
              <w:t>2202</w:t>
            </w:r>
          </w:p>
        </w:tc>
        <w:tc>
          <w:tcPr>
            <w:tcW w:w="425" w:type="dxa"/>
            <w:shd w:val="solid" w:color="FFFFFF" w:fill="auto"/>
          </w:tcPr>
          <w:p w14:paraId="369EF24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AC08A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8C014C" w14:textId="77777777" w:rsidR="00D40151" w:rsidRPr="00873B6C" w:rsidRDefault="00D40151" w:rsidP="009D14FB">
            <w:pPr>
              <w:pStyle w:val="TAL"/>
              <w:rPr>
                <w:sz w:val="16"/>
                <w:szCs w:val="16"/>
              </w:rPr>
            </w:pPr>
            <w:r w:rsidRPr="00873B6C">
              <w:rPr>
                <w:sz w:val="16"/>
                <w:szCs w:val="16"/>
              </w:rPr>
              <w:t>TSN working domain and aggregation</w:t>
            </w:r>
          </w:p>
        </w:tc>
        <w:tc>
          <w:tcPr>
            <w:tcW w:w="708" w:type="dxa"/>
            <w:shd w:val="solid" w:color="FFFFFF" w:fill="auto"/>
          </w:tcPr>
          <w:p w14:paraId="711A77D4" w14:textId="77777777" w:rsidR="00D40151" w:rsidRPr="00873B6C" w:rsidRDefault="00D40151" w:rsidP="009D14FB">
            <w:pPr>
              <w:pStyle w:val="TAC"/>
              <w:rPr>
                <w:sz w:val="16"/>
                <w:szCs w:val="16"/>
              </w:rPr>
            </w:pPr>
            <w:r w:rsidRPr="00873B6C">
              <w:rPr>
                <w:sz w:val="16"/>
                <w:szCs w:val="16"/>
              </w:rPr>
              <w:t>16.4.0</w:t>
            </w:r>
          </w:p>
        </w:tc>
      </w:tr>
      <w:tr w:rsidR="00D40151" w:rsidRPr="00873B6C" w14:paraId="2BC52C2B" w14:textId="77777777" w:rsidTr="009D14FB">
        <w:tc>
          <w:tcPr>
            <w:tcW w:w="800" w:type="dxa"/>
            <w:shd w:val="solid" w:color="FFFFFF" w:fill="auto"/>
          </w:tcPr>
          <w:p w14:paraId="3F789EA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16C5A2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4CBFF1D"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106A6B2" w14:textId="77777777" w:rsidR="00D40151" w:rsidRPr="00873B6C" w:rsidRDefault="00D40151" w:rsidP="009D14FB">
            <w:pPr>
              <w:pStyle w:val="TAL"/>
              <w:rPr>
                <w:sz w:val="16"/>
                <w:szCs w:val="16"/>
              </w:rPr>
            </w:pPr>
            <w:r w:rsidRPr="00873B6C">
              <w:rPr>
                <w:sz w:val="16"/>
                <w:szCs w:val="16"/>
              </w:rPr>
              <w:t>2204</w:t>
            </w:r>
          </w:p>
        </w:tc>
        <w:tc>
          <w:tcPr>
            <w:tcW w:w="425" w:type="dxa"/>
            <w:shd w:val="solid" w:color="FFFFFF" w:fill="auto"/>
          </w:tcPr>
          <w:p w14:paraId="1735C6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FE43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6B3827" w14:textId="77777777" w:rsidR="00D40151" w:rsidRPr="00873B6C" w:rsidRDefault="00D40151" w:rsidP="009D14FB">
            <w:pPr>
              <w:pStyle w:val="TAL"/>
              <w:rPr>
                <w:sz w:val="16"/>
                <w:szCs w:val="16"/>
              </w:rPr>
            </w:pPr>
            <w:r w:rsidRPr="00873B6C">
              <w:rPr>
                <w:sz w:val="16"/>
                <w:szCs w:val="16"/>
              </w:rPr>
              <w:t>Updates for Bridge Delay information reporting and QoS mapping</w:t>
            </w:r>
          </w:p>
        </w:tc>
        <w:tc>
          <w:tcPr>
            <w:tcW w:w="708" w:type="dxa"/>
            <w:shd w:val="solid" w:color="FFFFFF" w:fill="auto"/>
          </w:tcPr>
          <w:p w14:paraId="11560331" w14:textId="77777777" w:rsidR="00D40151" w:rsidRPr="00873B6C" w:rsidRDefault="00D40151" w:rsidP="009D14FB">
            <w:pPr>
              <w:pStyle w:val="TAC"/>
              <w:rPr>
                <w:sz w:val="16"/>
                <w:szCs w:val="16"/>
              </w:rPr>
            </w:pPr>
            <w:r w:rsidRPr="00873B6C">
              <w:rPr>
                <w:sz w:val="16"/>
                <w:szCs w:val="16"/>
              </w:rPr>
              <w:t>16.4.0</w:t>
            </w:r>
          </w:p>
        </w:tc>
      </w:tr>
      <w:tr w:rsidR="00D40151" w:rsidRPr="00873B6C" w14:paraId="1B005F6A" w14:textId="77777777" w:rsidTr="009D14FB">
        <w:tc>
          <w:tcPr>
            <w:tcW w:w="800" w:type="dxa"/>
            <w:shd w:val="solid" w:color="FFFFFF" w:fill="auto"/>
          </w:tcPr>
          <w:p w14:paraId="463C3E65"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0327B3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BACB9C0"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C5EE85F" w14:textId="77777777" w:rsidR="00D40151" w:rsidRPr="00873B6C" w:rsidRDefault="00D40151" w:rsidP="009D14FB">
            <w:pPr>
              <w:pStyle w:val="TAL"/>
              <w:rPr>
                <w:sz w:val="16"/>
                <w:szCs w:val="16"/>
              </w:rPr>
            </w:pPr>
            <w:r w:rsidRPr="00873B6C">
              <w:rPr>
                <w:sz w:val="16"/>
                <w:szCs w:val="16"/>
              </w:rPr>
              <w:t>2205</w:t>
            </w:r>
          </w:p>
        </w:tc>
        <w:tc>
          <w:tcPr>
            <w:tcW w:w="425" w:type="dxa"/>
            <w:shd w:val="solid" w:color="FFFFFF" w:fill="auto"/>
          </w:tcPr>
          <w:p w14:paraId="5005547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78605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8B79F8" w14:textId="77777777" w:rsidR="00D40151" w:rsidRPr="00873B6C" w:rsidRDefault="00D40151" w:rsidP="009D14FB">
            <w:pPr>
              <w:pStyle w:val="TAL"/>
              <w:rPr>
                <w:sz w:val="16"/>
                <w:szCs w:val="16"/>
              </w:rPr>
            </w:pPr>
            <w:r w:rsidRPr="00873B6C">
              <w:rPr>
                <w:sz w:val="16"/>
                <w:szCs w:val="16"/>
              </w:rPr>
              <w:t>Incorrect reference to IEEE 1588 Timestamp data type in normative Annex H.2</w:t>
            </w:r>
          </w:p>
        </w:tc>
        <w:tc>
          <w:tcPr>
            <w:tcW w:w="708" w:type="dxa"/>
            <w:shd w:val="solid" w:color="FFFFFF" w:fill="auto"/>
          </w:tcPr>
          <w:p w14:paraId="60D308AB" w14:textId="77777777" w:rsidR="00D40151" w:rsidRPr="00873B6C" w:rsidRDefault="00D40151" w:rsidP="009D14FB">
            <w:pPr>
              <w:pStyle w:val="TAC"/>
              <w:rPr>
                <w:sz w:val="16"/>
                <w:szCs w:val="16"/>
              </w:rPr>
            </w:pPr>
            <w:r w:rsidRPr="00873B6C">
              <w:rPr>
                <w:sz w:val="16"/>
                <w:szCs w:val="16"/>
              </w:rPr>
              <w:t>16.4.0</w:t>
            </w:r>
          </w:p>
        </w:tc>
      </w:tr>
      <w:tr w:rsidR="00D40151" w:rsidRPr="00873B6C" w14:paraId="52674CCF" w14:textId="77777777" w:rsidTr="009D14FB">
        <w:tc>
          <w:tcPr>
            <w:tcW w:w="800" w:type="dxa"/>
            <w:shd w:val="solid" w:color="FFFFFF" w:fill="auto"/>
          </w:tcPr>
          <w:p w14:paraId="7859306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0A404B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F56AE95"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3B7487DC" w14:textId="77777777" w:rsidR="00D40151" w:rsidRPr="00873B6C" w:rsidRDefault="00D40151" w:rsidP="009D14FB">
            <w:pPr>
              <w:pStyle w:val="TAL"/>
              <w:rPr>
                <w:sz w:val="16"/>
                <w:szCs w:val="16"/>
              </w:rPr>
            </w:pPr>
            <w:r w:rsidRPr="00873B6C">
              <w:rPr>
                <w:sz w:val="16"/>
                <w:szCs w:val="16"/>
              </w:rPr>
              <w:t>2209</w:t>
            </w:r>
          </w:p>
        </w:tc>
        <w:tc>
          <w:tcPr>
            <w:tcW w:w="425" w:type="dxa"/>
            <w:shd w:val="solid" w:color="FFFFFF" w:fill="auto"/>
          </w:tcPr>
          <w:p w14:paraId="008CD4F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5D303F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4BD459" w14:textId="77777777" w:rsidR="00D40151" w:rsidRPr="00873B6C" w:rsidRDefault="00D40151" w:rsidP="009D14FB">
            <w:pPr>
              <w:pStyle w:val="TAL"/>
              <w:rPr>
                <w:sz w:val="16"/>
                <w:szCs w:val="16"/>
              </w:rPr>
            </w:pPr>
            <w:r w:rsidRPr="00873B6C">
              <w:rPr>
                <w:sz w:val="16"/>
                <w:szCs w:val="16"/>
              </w:rPr>
              <w:t>Clarification on network instance determination</w:t>
            </w:r>
          </w:p>
        </w:tc>
        <w:tc>
          <w:tcPr>
            <w:tcW w:w="708" w:type="dxa"/>
            <w:shd w:val="solid" w:color="FFFFFF" w:fill="auto"/>
          </w:tcPr>
          <w:p w14:paraId="271E59C9" w14:textId="77777777" w:rsidR="00D40151" w:rsidRPr="00873B6C" w:rsidRDefault="00D40151" w:rsidP="009D14FB">
            <w:pPr>
              <w:pStyle w:val="TAC"/>
              <w:rPr>
                <w:sz w:val="16"/>
                <w:szCs w:val="16"/>
              </w:rPr>
            </w:pPr>
            <w:r w:rsidRPr="00873B6C">
              <w:rPr>
                <w:sz w:val="16"/>
                <w:szCs w:val="16"/>
              </w:rPr>
              <w:t>16.4.0</w:t>
            </w:r>
          </w:p>
        </w:tc>
      </w:tr>
      <w:tr w:rsidR="00D40151" w:rsidRPr="00873B6C" w14:paraId="0AD9A1F7" w14:textId="77777777" w:rsidTr="009D14FB">
        <w:tc>
          <w:tcPr>
            <w:tcW w:w="800" w:type="dxa"/>
            <w:shd w:val="solid" w:color="FFFFFF" w:fill="auto"/>
          </w:tcPr>
          <w:p w14:paraId="5FFA846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8B6502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52D3E0E"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63B29C24" w14:textId="77777777" w:rsidR="00D40151" w:rsidRPr="00873B6C" w:rsidRDefault="00D40151" w:rsidP="009D14FB">
            <w:pPr>
              <w:pStyle w:val="TAL"/>
              <w:rPr>
                <w:sz w:val="16"/>
                <w:szCs w:val="16"/>
              </w:rPr>
            </w:pPr>
            <w:r w:rsidRPr="00873B6C">
              <w:rPr>
                <w:sz w:val="16"/>
                <w:szCs w:val="16"/>
              </w:rPr>
              <w:t>2212</w:t>
            </w:r>
          </w:p>
        </w:tc>
        <w:tc>
          <w:tcPr>
            <w:tcW w:w="425" w:type="dxa"/>
            <w:shd w:val="solid" w:color="FFFFFF" w:fill="auto"/>
          </w:tcPr>
          <w:p w14:paraId="561CF10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F58C07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DB696B" w14:textId="77777777" w:rsidR="00D40151" w:rsidRPr="00873B6C" w:rsidRDefault="00D40151" w:rsidP="009D14FB">
            <w:pPr>
              <w:pStyle w:val="TAL"/>
              <w:rPr>
                <w:sz w:val="16"/>
                <w:szCs w:val="16"/>
              </w:rPr>
            </w:pPr>
            <w:r w:rsidRPr="00873B6C">
              <w:rPr>
                <w:sz w:val="16"/>
                <w:szCs w:val="16"/>
              </w:rPr>
              <w:t>UPF selection based on TSN parameters and context correction</w:t>
            </w:r>
          </w:p>
        </w:tc>
        <w:tc>
          <w:tcPr>
            <w:tcW w:w="708" w:type="dxa"/>
            <w:shd w:val="solid" w:color="FFFFFF" w:fill="auto"/>
          </w:tcPr>
          <w:p w14:paraId="4E681AD1" w14:textId="77777777" w:rsidR="00D40151" w:rsidRPr="00873B6C" w:rsidRDefault="00D40151" w:rsidP="009D14FB">
            <w:pPr>
              <w:pStyle w:val="TAC"/>
              <w:rPr>
                <w:sz w:val="16"/>
                <w:szCs w:val="16"/>
              </w:rPr>
            </w:pPr>
            <w:r w:rsidRPr="00873B6C">
              <w:rPr>
                <w:sz w:val="16"/>
                <w:szCs w:val="16"/>
              </w:rPr>
              <w:t>16.4.0</w:t>
            </w:r>
          </w:p>
        </w:tc>
      </w:tr>
      <w:tr w:rsidR="00D40151" w:rsidRPr="00873B6C" w14:paraId="4275B73A" w14:textId="77777777" w:rsidTr="009D14FB">
        <w:tc>
          <w:tcPr>
            <w:tcW w:w="800" w:type="dxa"/>
            <w:shd w:val="solid" w:color="FFFFFF" w:fill="auto"/>
          </w:tcPr>
          <w:p w14:paraId="5A2732A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CCE49A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0EBFBCA"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78271460" w14:textId="77777777" w:rsidR="00D40151" w:rsidRPr="00873B6C" w:rsidRDefault="00D40151" w:rsidP="009D14FB">
            <w:pPr>
              <w:pStyle w:val="TAL"/>
              <w:rPr>
                <w:sz w:val="16"/>
                <w:szCs w:val="16"/>
              </w:rPr>
            </w:pPr>
            <w:r w:rsidRPr="00873B6C">
              <w:rPr>
                <w:sz w:val="16"/>
                <w:szCs w:val="16"/>
              </w:rPr>
              <w:t>2214</w:t>
            </w:r>
          </w:p>
        </w:tc>
        <w:tc>
          <w:tcPr>
            <w:tcW w:w="425" w:type="dxa"/>
            <w:shd w:val="solid" w:color="FFFFFF" w:fill="auto"/>
          </w:tcPr>
          <w:p w14:paraId="0E45963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A0C4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A21A44" w14:textId="77777777" w:rsidR="00D40151" w:rsidRPr="00873B6C" w:rsidRDefault="00D40151" w:rsidP="009D14FB">
            <w:pPr>
              <w:pStyle w:val="TAL"/>
              <w:rPr>
                <w:sz w:val="16"/>
                <w:szCs w:val="16"/>
              </w:rPr>
            </w:pPr>
            <w:r w:rsidRPr="00873B6C">
              <w:rPr>
                <w:sz w:val="16"/>
                <w:szCs w:val="16"/>
              </w:rPr>
              <w:t>Inclusion of Requested NSSAI in AN Parameters for non-3GPP access</w:t>
            </w:r>
          </w:p>
        </w:tc>
        <w:tc>
          <w:tcPr>
            <w:tcW w:w="708" w:type="dxa"/>
            <w:shd w:val="solid" w:color="FFFFFF" w:fill="auto"/>
          </w:tcPr>
          <w:p w14:paraId="1DD65488" w14:textId="77777777" w:rsidR="00D40151" w:rsidRPr="00873B6C" w:rsidRDefault="00D40151" w:rsidP="009D14FB">
            <w:pPr>
              <w:pStyle w:val="TAC"/>
              <w:rPr>
                <w:sz w:val="16"/>
                <w:szCs w:val="16"/>
              </w:rPr>
            </w:pPr>
            <w:r w:rsidRPr="00873B6C">
              <w:rPr>
                <w:sz w:val="16"/>
                <w:szCs w:val="16"/>
              </w:rPr>
              <w:t>16.4.0</w:t>
            </w:r>
          </w:p>
        </w:tc>
      </w:tr>
      <w:tr w:rsidR="00D40151" w:rsidRPr="00873B6C" w14:paraId="3F92B797" w14:textId="77777777" w:rsidTr="009D14FB">
        <w:tc>
          <w:tcPr>
            <w:tcW w:w="800" w:type="dxa"/>
            <w:shd w:val="solid" w:color="FFFFFF" w:fill="auto"/>
          </w:tcPr>
          <w:p w14:paraId="3903136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60BF60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3EAAA22"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6C8DC5A5" w14:textId="77777777" w:rsidR="00D40151" w:rsidRPr="00873B6C" w:rsidRDefault="00D40151" w:rsidP="009D14FB">
            <w:pPr>
              <w:pStyle w:val="TAL"/>
              <w:rPr>
                <w:sz w:val="16"/>
                <w:szCs w:val="16"/>
              </w:rPr>
            </w:pPr>
            <w:r w:rsidRPr="00873B6C">
              <w:rPr>
                <w:sz w:val="16"/>
                <w:szCs w:val="16"/>
              </w:rPr>
              <w:t>2216</w:t>
            </w:r>
          </w:p>
        </w:tc>
        <w:tc>
          <w:tcPr>
            <w:tcW w:w="425" w:type="dxa"/>
            <w:shd w:val="solid" w:color="FFFFFF" w:fill="auto"/>
          </w:tcPr>
          <w:p w14:paraId="15E44F5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C494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92E7AB" w14:textId="77777777" w:rsidR="00D40151" w:rsidRPr="00873B6C" w:rsidRDefault="00D40151" w:rsidP="009D14FB">
            <w:pPr>
              <w:pStyle w:val="TAL"/>
              <w:rPr>
                <w:sz w:val="16"/>
                <w:szCs w:val="16"/>
              </w:rPr>
            </w:pPr>
            <w:r w:rsidRPr="00873B6C">
              <w:rPr>
                <w:sz w:val="16"/>
                <w:szCs w:val="16"/>
              </w:rPr>
              <w:t>5WWC related CR for non-FASMO corrections</w:t>
            </w:r>
          </w:p>
        </w:tc>
        <w:tc>
          <w:tcPr>
            <w:tcW w:w="708" w:type="dxa"/>
            <w:shd w:val="solid" w:color="FFFFFF" w:fill="auto"/>
          </w:tcPr>
          <w:p w14:paraId="70CE90B7" w14:textId="77777777" w:rsidR="00D40151" w:rsidRPr="00873B6C" w:rsidRDefault="00D40151" w:rsidP="009D14FB">
            <w:pPr>
              <w:pStyle w:val="TAC"/>
              <w:rPr>
                <w:sz w:val="16"/>
                <w:szCs w:val="16"/>
              </w:rPr>
            </w:pPr>
            <w:r w:rsidRPr="00873B6C">
              <w:rPr>
                <w:sz w:val="16"/>
                <w:szCs w:val="16"/>
              </w:rPr>
              <w:t>16.4.0</w:t>
            </w:r>
          </w:p>
        </w:tc>
      </w:tr>
      <w:tr w:rsidR="00D40151" w:rsidRPr="00873B6C" w14:paraId="45BC8E2E" w14:textId="77777777" w:rsidTr="009D14FB">
        <w:tc>
          <w:tcPr>
            <w:tcW w:w="800" w:type="dxa"/>
            <w:shd w:val="solid" w:color="FFFFFF" w:fill="auto"/>
          </w:tcPr>
          <w:p w14:paraId="7A99E01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C37A49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DB1BF44" w14:textId="77777777" w:rsidR="00D40151" w:rsidRPr="00873B6C" w:rsidRDefault="00D40151" w:rsidP="009D14FB">
            <w:pPr>
              <w:pStyle w:val="TAC"/>
              <w:rPr>
                <w:sz w:val="16"/>
                <w:szCs w:val="16"/>
              </w:rPr>
            </w:pPr>
            <w:r w:rsidRPr="00873B6C">
              <w:rPr>
                <w:sz w:val="16"/>
                <w:szCs w:val="16"/>
              </w:rPr>
              <w:t>SP-200293</w:t>
            </w:r>
          </w:p>
        </w:tc>
        <w:tc>
          <w:tcPr>
            <w:tcW w:w="567" w:type="dxa"/>
            <w:shd w:val="solid" w:color="FFFFFF" w:fill="auto"/>
          </w:tcPr>
          <w:p w14:paraId="27039D80" w14:textId="77777777" w:rsidR="00D40151" w:rsidRPr="00873B6C" w:rsidRDefault="00D40151" w:rsidP="009D14FB">
            <w:pPr>
              <w:pStyle w:val="TAL"/>
              <w:rPr>
                <w:sz w:val="16"/>
                <w:szCs w:val="16"/>
              </w:rPr>
            </w:pPr>
            <w:r w:rsidRPr="00873B6C">
              <w:rPr>
                <w:sz w:val="16"/>
                <w:szCs w:val="16"/>
              </w:rPr>
              <w:t>2179</w:t>
            </w:r>
          </w:p>
        </w:tc>
        <w:tc>
          <w:tcPr>
            <w:tcW w:w="425" w:type="dxa"/>
            <w:shd w:val="solid" w:color="FFFFFF" w:fill="auto"/>
          </w:tcPr>
          <w:p w14:paraId="50BDEC7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125C7E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72E2FA" w14:textId="77777777" w:rsidR="00D40151" w:rsidRPr="00873B6C" w:rsidRDefault="00D40151" w:rsidP="009D14FB">
            <w:pPr>
              <w:pStyle w:val="TAL"/>
              <w:rPr>
                <w:sz w:val="16"/>
                <w:szCs w:val="16"/>
              </w:rPr>
            </w:pPr>
            <w:r w:rsidRPr="00873B6C">
              <w:rPr>
                <w:sz w:val="16"/>
                <w:szCs w:val="16"/>
              </w:rPr>
              <w:t>Change of the restriction of enhanced coverage</w:t>
            </w:r>
          </w:p>
        </w:tc>
        <w:tc>
          <w:tcPr>
            <w:tcW w:w="708" w:type="dxa"/>
            <w:shd w:val="solid" w:color="FFFFFF" w:fill="auto"/>
          </w:tcPr>
          <w:p w14:paraId="6F7A6689" w14:textId="77777777" w:rsidR="00D40151" w:rsidRPr="00873B6C" w:rsidRDefault="00D40151" w:rsidP="009D14FB">
            <w:pPr>
              <w:pStyle w:val="TAC"/>
              <w:rPr>
                <w:sz w:val="16"/>
                <w:szCs w:val="16"/>
              </w:rPr>
            </w:pPr>
            <w:r w:rsidRPr="00873B6C">
              <w:rPr>
                <w:sz w:val="16"/>
                <w:szCs w:val="16"/>
              </w:rPr>
              <w:t>16.4.0</w:t>
            </w:r>
          </w:p>
        </w:tc>
      </w:tr>
      <w:tr w:rsidR="00D40151" w:rsidRPr="00873B6C" w14:paraId="0EEDBBED" w14:textId="77777777" w:rsidTr="009D14FB">
        <w:tc>
          <w:tcPr>
            <w:tcW w:w="800" w:type="dxa"/>
            <w:shd w:val="solid" w:color="FFFFFF" w:fill="auto"/>
          </w:tcPr>
          <w:p w14:paraId="6DA750A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6CDFD9F"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787866A"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553C7F8D" w14:textId="77777777" w:rsidR="00D40151" w:rsidRPr="00873B6C" w:rsidRDefault="00D40151" w:rsidP="009D14FB">
            <w:pPr>
              <w:pStyle w:val="TAL"/>
              <w:rPr>
                <w:sz w:val="16"/>
                <w:szCs w:val="16"/>
              </w:rPr>
            </w:pPr>
            <w:r w:rsidRPr="00873B6C">
              <w:rPr>
                <w:sz w:val="16"/>
                <w:szCs w:val="16"/>
              </w:rPr>
              <w:t>2131</w:t>
            </w:r>
          </w:p>
        </w:tc>
        <w:tc>
          <w:tcPr>
            <w:tcW w:w="425" w:type="dxa"/>
            <w:shd w:val="solid" w:color="FFFFFF" w:fill="auto"/>
          </w:tcPr>
          <w:p w14:paraId="0CF6256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A05D0C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2880B9" w14:textId="77777777" w:rsidR="00D40151" w:rsidRPr="00873B6C" w:rsidRDefault="00D40151" w:rsidP="009D14FB">
            <w:pPr>
              <w:pStyle w:val="TAL"/>
              <w:rPr>
                <w:sz w:val="16"/>
                <w:szCs w:val="16"/>
              </w:rPr>
            </w:pPr>
            <w:r w:rsidRPr="00873B6C">
              <w:rPr>
                <w:sz w:val="16"/>
                <w:szCs w:val="16"/>
              </w:rPr>
              <w:t>Support of ETSUN and ATSSS</w:t>
            </w:r>
          </w:p>
        </w:tc>
        <w:tc>
          <w:tcPr>
            <w:tcW w:w="708" w:type="dxa"/>
            <w:shd w:val="solid" w:color="FFFFFF" w:fill="auto"/>
          </w:tcPr>
          <w:p w14:paraId="28DF05C9" w14:textId="77777777" w:rsidR="00D40151" w:rsidRPr="00873B6C" w:rsidRDefault="00D40151" w:rsidP="009D14FB">
            <w:pPr>
              <w:pStyle w:val="TAC"/>
              <w:rPr>
                <w:sz w:val="16"/>
                <w:szCs w:val="16"/>
              </w:rPr>
            </w:pPr>
            <w:r w:rsidRPr="00873B6C">
              <w:rPr>
                <w:sz w:val="16"/>
                <w:szCs w:val="16"/>
              </w:rPr>
              <w:t>16.5.0</w:t>
            </w:r>
          </w:p>
        </w:tc>
      </w:tr>
      <w:tr w:rsidR="00D40151" w:rsidRPr="00873B6C" w14:paraId="27D5F4AC" w14:textId="77777777" w:rsidTr="009D14FB">
        <w:tc>
          <w:tcPr>
            <w:tcW w:w="800" w:type="dxa"/>
            <w:shd w:val="solid" w:color="FFFFFF" w:fill="auto"/>
          </w:tcPr>
          <w:p w14:paraId="514F26A6"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648A86F1"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167C72F" w14:textId="77777777" w:rsidR="00D40151" w:rsidRPr="00873B6C" w:rsidRDefault="00D40151" w:rsidP="009D14FB">
            <w:pPr>
              <w:pStyle w:val="TAC"/>
              <w:rPr>
                <w:sz w:val="16"/>
                <w:szCs w:val="16"/>
              </w:rPr>
            </w:pPr>
            <w:r w:rsidRPr="00873B6C">
              <w:rPr>
                <w:sz w:val="16"/>
                <w:szCs w:val="16"/>
              </w:rPr>
              <w:t>SP-200424</w:t>
            </w:r>
          </w:p>
        </w:tc>
        <w:tc>
          <w:tcPr>
            <w:tcW w:w="567" w:type="dxa"/>
            <w:shd w:val="solid" w:color="FFFFFF" w:fill="auto"/>
          </w:tcPr>
          <w:p w14:paraId="755124AC" w14:textId="77777777" w:rsidR="00D40151" w:rsidRPr="00873B6C" w:rsidRDefault="00D40151" w:rsidP="009D14FB">
            <w:pPr>
              <w:pStyle w:val="TAL"/>
              <w:rPr>
                <w:sz w:val="16"/>
                <w:szCs w:val="16"/>
              </w:rPr>
            </w:pPr>
            <w:r w:rsidRPr="00873B6C">
              <w:rPr>
                <w:sz w:val="16"/>
                <w:szCs w:val="16"/>
              </w:rPr>
              <w:t>2138</w:t>
            </w:r>
          </w:p>
        </w:tc>
        <w:tc>
          <w:tcPr>
            <w:tcW w:w="425" w:type="dxa"/>
            <w:shd w:val="solid" w:color="FFFFFF" w:fill="auto"/>
          </w:tcPr>
          <w:p w14:paraId="44F8C91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746E20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58FCC2" w14:textId="77777777" w:rsidR="00D40151" w:rsidRPr="00873B6C" w:rsidRDefault="00D40151" w:rsidP="009D14FB">
            <w:pPr>
              <w:pStyle w:val="TAL"/>
              <w:rPr>
                <w:sz w:val="16"/>
                <w:szCs w:val="16"/>
              </w:rPr>
            </w:pPr>
            <w:r w:rsidRPr="00873B6C">
              <w:rPr>
                <w:sz w:val="16"/>
                <w:szCs w:val="16"/>
              </w:rPr>
              <w:t>Selection of direct vs indirect communication</w:t>
            </w:r>
          </w:p>
        </w:tc>
        <w:tc>
          <w:tcPr>
            <w:tcW w:w="708" w:type="dxa"/>
            <w:shd w:val="solid" w:color="FFFFFF" w:fill="auto"/>
          </w:tcPr>
          <w:p w14:paraId="11E56164" w14:textId="77777777" w:rsidR="00D40151" w:rsidRPr="00873B6C" w:rsidRDefault="00D40151" w:rsidP="009D14FB">
            <w:pPr>
              <w:pStyle w:val="TAC"/>
              <w:rPr>
                <w:sz w:val="16"/>
                <w:szCs w:val="16"/>
              </w:rPr>
            </w:pPr>
            <w:r w:rsidRPr="00873B6C">
              <w:rPr>
                <w:sz w:val="16"/>
                <w:szCs w:val="16"/>
              </w:rPr>
              <w:t>16.5.0</w:t>
            </w:r>
          </w:p>
        </w:tc>
      </w:tr>
      <w:tr w:rsidR="00D40151" w:rsidRPr="00873B6C" w14:paraId="4FB81D53" w14:textId="77777777" w:rsidTr="009D14FB">
        <w:tc>
          <w:tcPr>
            <w:tcW w:w="800" w:type="dxa"/>
            <w:shd w:val="solid" w:color="FFFFFF" w:fill="auto"/>
          </w:tcPr>
          <w:p w14:paraId="56183EE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B32FF2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E72B0E9"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40F9DAB2" w14:textId="77777777" w:rsidR="00D40151" w:rsidRPr="00873B6C" w:rsidRDefault="00D40151" w:rsidP="009D14FB">
            <w:pPr>
              <w:pStyle w:val="TAL"/>
              <w:rPr>
                <w:sz w:val="16"/>
                <w:szCs w:val="16"/>
              </w:rPr>
            </w:pPr>
            <w:r w:rsidRPr="00873B6C">
              <w:rPr>
                <w:sz w:val="16"/>
                <w:szCs w:val="16"/>
              </w:rPr>
              <w:t>2153</w:t>
            </w:r>
          </w:p>
        </w:tc>
        <w:tc>
          <w:tcPr>
            <w:tcW w:w="425" w:type="dxa"/>
            <w:shd w:val="solid" w:color="FFFFFF" w:fill="auto"/>
          </w:tcPr>
          <w:p w14:paraId="4C47C8D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8F0A25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90D353" w14:textId="77777777" w:rsidR="00D40151" w:rsidRPr="00873B6C" w:rsidRDefault="00D40151" w:rsidP="009D14FB">
            <w:pPr>
              <w:pStyle w:val="TAL"/>
              <w:rPr>
                <w:sz w:val="16"/>
                <w:szCs w:val="16"/>
              </w:rPr>
            </w:pPr>
            <w:r w:rsidRPr="00873B6C">
              <w:rPr>
                <w:sz w:val="16"/>
                <w:szCs w:val="16"/>
              </w:rPr>
              <w:t>Steering modes for GBR traffic</w:t>
            </w:r>
          </w:p>
        </w:tc>
        <w:tc>
          <w:tcPr>
            <w:tcW w:w="708" w:type="dxa"/>
            <w:shd w:val="solid" w:color="FFFFFF" w:fill="auto"/>
          </w:tcPr>
          <w:p w14:paraId="4907EA66" w14:textId="77777777" w:rsidR="00D40151" w:rsidRPr="00873B6C" w:rsidRDefault="00D40151" w:rsidP="009D14FB">
            <w:pPr>
              <w:pStyle w:val="TAC"/>
              <w:rPr>
                <w:sz w:val="16"/>
                <w:szCs w:val="16"/>
              </w:rPr>
            </w:pPr>
            <w:r w:rsidRPr="00873B6C">
              <w:rPr>
                <w:sz w:val="16"/>
                <w:szCs w:val="16"/>
              </w:rPr>
              <w:t>16.5.0</w:t>
            </w:r>
          </w:p>
        </w:tc>
      </w:tr>
      <w:tr w:rsidR="00D40151" w:rsidRPr="00873B6C" w14:paraId="09CFA47B" w14:textId="77777777" w:rsidTr="009D14FB">
        <w:tc>
          <w:tcPr>
            <w:tcW w:w="800" w:type="dxa"/>
            <w:shd w:val="solid" w:color="FFFFFF" w:fill="auto"/>
          </w:tcPr>
          <w:p w14:paraId="6549E3E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EB9CEB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93C3799"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362D9863" w14:textId="77777777" w:rsidR="00D40151" w:rsidRPr="00873B6C" w:rsidRDefault="00D40151" w:rsidP="009D14FB">
            <w:pPr>
              <w:pStyle w:val="TAL"/>
              <w:rPr>
                <w:sz w:val="16"/>
                <w:szCs w:val="16"/>
              </w:rPr>
            </w:pPr>
            <w:r w:rsidRPr="00873B6C">
              <w:rPr>
                <w:sz w:val="16"/>
                <w:szCs w:val="16"/>
              </w:rPr>
              <w:t>2170</w:t>
            </w:r>
          </w:p>
        </w:tc>
        <w:tc>
          <w:tcPr>
            <w:tcW w:w="425" w:type="dxa"/>
            <w:shd w:val="solid" w:color="FFFFFF" w:fill="auto"/>
          </w:tcPr>
          <w:p w14:paraId="0E3BE37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91E3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BEA5F5" w14:textId="77777777" w:rsidR="00D40151" w:rsidRPr="00873B6C" w:rsidRDefault="00D40151" w:rsidP="009D14FB">
            <w:pPr>
              <w:pStyle w:val="TAL"/>
              <w:rPr>
                <w:sz w:val="16"/>
                <w:szCs w:val="16"/>
                <w:lang w:val="fr-FR"/>
              </w:rPr>
            </w:pPr>
            <w:r w:rsidRPr="00873B6C">
              <w:rPr>
                <w:sz w:val="16"/>
                <w:szCs w:val="16"/>
                <w:lang w:val="fr-FR"/>
              </w:rPr>
              <w:t>QoS container vs. TSCAI input container</w:t>
            </w:r>
          </w:p>
        </w:tc>
        <w:tc>
          <w:tcPr>
            <w:tcW w:w="708" w:type="dxa"/>
            <w:shd w:val="solid" w:color="FFFFFF" w:fill="auto"/>
          </w:tcPr>
          <w:p w14:paraId="61F186DD" w14:textId="77777777" w:rsidR="00D40151" w:rsidRPr="00873B6C" w:rsidRDefault="00D40151" w:rsidP="009D14FB">
            <w:pPr>
              <w:pStyle w:val="TAC"/>
              <w:rPr>
                <w:sz w:val="16"/>
                <w:szCs w:val="16"/>
              </w:rPr>
            </w:pPr>
            <w:r w:rsidRPr="00873B6C">
              <w:rPr>
                <w:sz w:val="16"/>
                <w:szCs w:val="16"/>
              </w:rPr>
              <w:t>16.5.0</w:t>
            </w:r>
          </w:p>
        </w:tc>
      </w:tr>
      <w:tr w:rsidR="00D40151" w:rsidRPr="00873B6C" w14:paraId="53B5834F" w14:textId="77777777" w:rsidTr="009D14FB">
        <w:tc>
          <w:tcPr>
            <w:tcW w:w="800" w:type="dxa"/>
            <w:shd w:val="solid" w:color="FFFFFF" w:fill="auto"/>
          </w:tcPr>
          <w:p w14:paraId="7DE5AE2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6F56826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4D595D6"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70E22CA6" w14:textId="77777777" w:rsidR="00D40151" w:rsidRPr="00873B6C" w:rsidRDefault="00D40151" w:rsidP="009D14FB">
            <w:pPr>
              <w:pStyle w:val="TAL"/>
              <w:rPr>
                <w:sz w:val="16"/>
                <w:szCs w:val="16"/>
              </w:rPr>
            </w:pPr>
            <w:r w:rsidRPr="00873B6C">
              <w:rPr>
                <w:sz w:val="16"/>
                <w:szCs w:val="16"/>
              </w:rPr>
              <w:t>2217</w:t>
            </w:r>
          </w:p>
        </w:tc>
        <w:tc>
          <w:tcPr>
            <w:tcW w:w="425" w:type="dxa"/>
            <w:shd w:val="solid" w:color="FFFFFF" w:fill="auto"/>
          </w:tcPr>
          <w:p w14:paraId="2FD7CA7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7E783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D6B90A" w14:textId="77777777" w:rsidR="00D40151" w:rsidRPr="00873B6C" w:rsidRDefault="00D40151" w:rsidP="009D14FB">
            <w:pPr>
              <w:pStyle w:val="TAL"/>
              <w:rPr>
                <w:sz w:val="16"/>
                <w:szCs w:val="16"/>
              </w:rPr>
            </w:pPr>
            <w:r w:rsidRPr="00873B6C">
              <w:rPr>
                <w:sz w:val="16"/>
                <w:szCs w:val="16"/>
              </w:rPr>
              <w:t>Fix terminology on maximum number of CAGs per cell instead of per NG-RAN node</w:t>
            </w:r>
          </w:p>
        </w:tc>
        <w:tc>
          <w:tcPr>
            <w:tcW w:w="708" w:type="dxa"/>
            <w:shd w:val="solid" w:color="FFFFFF" w:fill="auto"/>
          </w:tcPr>
          <w:p w14:paraId="02856D0F" w14:textId="77777777" w:rsidR="00D40151" w:rsidRPr="00873B6C" w:rsidRDefault="00D40151" w:rsidP="009D14FB">
            <w:pPr>
              <w:pStyle w:val="TAC"/>
              <w:rPr>
                <w:sz w:val="16"/>
                <w:szCs w:val="16"/>
              </w:rPr>
            </w:pPr>
            <w:r w:rsidRPr="00873B6C">
              <w:rPr>
                <w:sz w:val="16"/>
                <w:szCs w:val="16"/>
              </w:rPr>
              <w:t>16.5.0</w:t>
            </w:r>
          </w:p>
        </w:tc>
      </w:tr>
      <w:tr w:rsidR="00D40151" w:rsidRPr="00873B6C" w14:paraId="2F2FC8C5" w14:textId="77777777" w:rsidTr="009D14FB">
        <w:tc>
          <w:tcPr>
            <w:tcW w:w="800" w:type="dxa"/>
            <w:shd w:val="solid" w:color="FFFFFF" w:fill="auto"/>
          </w:tcPr>
          <w:p w14:paraId="757B5AA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8511BD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AA523D2" w14:textId="77777777" w:rsidR="00D40151" w:rsidRPr="00873B6C" w:rsidRDefault="00D40151" w:rsidP="009D14FB">
            <w:pPr>
              <w:pStyle w:val="TAC"/>
              <w:rPr>
                <w:sz w:val="16"/>
                <w:szCs w:val="16"/>
              </w:rPr>
            </w:pPr>
            <w:r w:rsidRPr="00873B6C">
              <w:rPr>
                <w:sz w:val="16"/>
                <w:szCs w:val="16"/>
              </w:rPr>
              <w:t>SP-200425</w:t>
            </w:r>
          </w:p>
        </w:tc>
        <w:tc>
          <w:tcPr>
            <w:tcW w:w="567" w:type="dxa"/>
            <w:shd w:val="solid" w:color="FFFFFF" w:fill="auto"/>
          </w:tcPr>
          <w:p w14:paraId="2C5C3C02" w14:textId="77777777" w:rsidR="00D40151" w:rsidRPr="00873B6C" w:rsidRDefault="00D40151" w:rsidP="009D14FB">
            <w:pPr>
              <w:pStyle w:val="TAL"/>
              <w:rPr>
                <w:sz w:val="16"/>
                <w:szCs w:val="16"/>
              </w:rPr>
            </w:pPr>
            <w:r w:rsidRPr="00873B6C">
              <w:rPr>
                <w:sz w:val="16"/>
                <w:szCs w:val="16"/>
              </w:rPr>
              <w:t>2222</w:t>
            </w:r>
          </w:p>
        </w:tc>
        <w:tc>
          <w:tcPr>
            <w:tcW w:w="425" w:type="dxa"/>
            <w:shd w:val="solid" w:color="FFFFFF" w:fill="auto"/>
          </w:tcPr>
          <w:p w14:paraId="6976D0F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E3CB0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43BEB4" w14:textId="77777777" w:rsidR="00D40151" w:rsidRPr="00873B6C" w:rsidRDefault="00D40151" w:rsidP="009D14FB">
            <w:pPr>
              <w:pStyle w:val="TAL"/>
              <w:rPr>
                <w:sz w:val="16"/>
                <w:szCs w:val="16"/>
              </w:rPr>
            </w:pPr>
            <w:r w:rsidRPr="00873B6C">
              <w:rPr>
                <w:sz w:val="16"/>
                <w:szCs w:val="16"/>
              </w:rPr>
              <w:t>Update of QoS monitoring for URLLC based on RAN WG3 decision</w:t>
            </w:r>
          </w:p>
        </w:tc>
        <w:tc>
          <w:tcPr>
            <w:tcW w:w="708" w:type="dxa"/>
            <w:shd w:val="solid" w:color="FFFFFF" w:fill="auto"/>
          </w:tcPr>
          <w:p w14:paraId="46F7E598" w14:textId="77777777" w:rsidR="00D40151" w:rsidRPr="00873B6C" w:rsidRDefault="00D40151" w:rsidP="009D14FB">
            <w:pPr>
              <w:pStyle w:val="TAC"/>
              <w:rPr>
                <w:sz w:val="16"/>
                <w:szCs w:val="16"/>
              </w:rPr>
            </w:pPr>
            <w:r w:rsidRPr="00873B6C">
              <w:rPr>
                <w:sz w:val="16"/>
                <w:szCs w:val="16"/>
              </w:rPr>
              <w:t>16.5.0</w:t>
            </w:r>
          </w:p>
        </w:tc>
      </w:tr>
      <w:tr w:rsidR="00D40151" w:rsidRPr="00873B6C" w14:paraId="279EC30D" w14:textId="77777777" w:rsidTr="009D14FB">
        <w:tc>
          <w:tcPr>
            <w:tcW w:w="800" w:type="dxa"/>
            <w:shd w:val="solid" w:color="FFFFFF" w:fill="auto"/>
          </w:tcPr>
          <w:p w14:paraId="5735EB2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A8B433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B9E34C0"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F5A8430" w14:textId="77777777" w:rsidR="00D40151" w:rsidRPr="00873B6C" w:rsidRDefault="00D40151" w:rsidP="009D14FB">
            <w:pPr>
              <w:pStyle w:val="TAL"/>
              <w:rPr>
                <w:sz w:val="16"/>
                <w:szCs w:val="16"/>
              </w:rPr>
            </w:pPr>
            <w:r w:rsidRPr="00873B6C">
              <w:rPr>
                <w:sz w:val="16"/>
                <w:szCs w:val="16"/>
              </w:rPr>
              <w:t>2223</w:t>
            </w:r>
          </w:p>
        </w:tc>
        <w:tc>
          <w:tcPr>
            <w:tcW w:w="425" w:type="dxa"/>
            <w:shd w:val="solid" w:color="FFFFFF" w:fill="auto"/>
          </w:tcPr>
          <w:p w14:paraId="2E8E087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9E8A88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97472D" w14:textId="77777777" w:rsidR="00D40151" w:rsidRPr="00873B6C" w:rsidRDefault="00D40151" w:rsidP="009D14FB">
            <w:pPr>
              <w:pStyle w:val="TAL"/>
              <w:rPr>
                <w:sz w:val="16"/>
                <w:szCs w:val="16"/>
              </w:rPr>
            </w:pPr>
            <w:r w:rsidRPr="00873B6C">
              <w:rPr>
                <w:sz w:val="16"/>
                <w:szCs w:val="16"/>
              </w:rPr>
              <w:t>Clarification on the supported and non-supported features and services for SNPN</w:t>
            </w:r>
          </w:p>
        </w:tc>
        <w:tc>
          <w:tcPr>
            <w:tcW w:w="708" w:type="dxa"/>
            <w:shd w:val="solid" w:color="FFFFFF" w:fill="auto"/>
          </w:tcPr>
          <w:p w14:paraId="7F9238EC" w14:textId="77777777" w:rsidR="00D40151" w:rsidRPr="00873B6C" w:rsidRDefault="00D40151" w:rsidP="009D14FB">
            <w:pPr>
              <w:pStyle w:val="TAC"/>
              <w:rPr>
                <w:sz w:val="16"/>
                <w:szCs w:val="16"/>
              </w:rPr>
            </w:pPr>
            <w:r w:rsidRPr="00873B6C">
              <w:rPr>
                <w:sz w:val="16"/>
                <w:szCs w:val="16"/>
              </w:rPr>
              <w:t>16.5.0</w:t>
            </w:r>
          </w:p>
        </w:tc>
      </w:tr>
      <w:tr w:rsidR="00D40151" w:rsidRPr="00873B6C" w14:paraId="7AF557EE" w14:textId="77777777" w:rsidTr="009D14FB">
        <w:tc>
          <w:tcPr>
            <w:tcW w:w="800" w:type="dxa"/>
            <w:shd w:val="solid" w:color="FFFFFF" w:fill="auto"/>
          </w:tcPr>
          <w:p w14:paraId="10AD9361" w14:textId="77777777" w:rsidR="00D40151" w:rsidRPr="00873B6C" w:rsidRDefault="00D40151" w:rsidP="009D14FB">
            <w:pPr>
              <w:pStyle w:val="TAC"/>
              <w:rPr>
                <w:sz w:val="16"/>
                <w:szCs w:val="16"/>
              </w:rPr>
            </w:pPr>
            <w:r w:rsidRPr="00873B6C">
              <w:rPr>
                <w:sz w:val="16"/>
                <w:szCs w:val="16"/>
              </w:rPr>
              <w:lastRenderedPageBreak/>
              <w:t>2020-07</w:t>
            </w:r>
          </w:p>
        </w:tc>
        <w:tc>
          <w:tcPr>
            <w:tcW w:w="800" w:type="dxa"/>
            <w:shd w:val="solid" w:color="FFFFFF" w:fill="auto"/>
          </w:tcPr>
          <w:p w14:paraId="6DFBB8E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CF1F08D"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8A641B1" w14:textId="77777777" w:rsidR="00D40151" w:rsidRPr="00873B6C" w:rsidRDefault="00D40151" w:rsidP="009D14FB">
            <w:pPr>
              <w:pStyle w:val="TAL"/>
              <w:rPr>
                <w:sz w:val="16"/>
                <w:szCs w:val="16"/>
              </w:rPr>
            </w:pPr>
            <w:r w:rsidRPr="00873B6C">
              <w:rPr>
                <w:sz w:val="16"/>
                <w:szCs w:val="16"/>
              </w:rPr>
              <w:t>2224</w:t>
            </w:r>
          </w:p>
        </w:tc>
        <w:tc>
          <w:tcPr>
            <w:tcW w:w="425" w:type="dxa"/>
            <w:shd w:val="solid" w:color="FFFFFF" w:fill="auto"/>
          </w:tcPr>
          <w:p w14:paraId="3D32EF8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61AF74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8D9A0A" w14:textId="77777777" w:rsidR="00D40151" w:rsidRPr="00873B6C" w:rsidRDefault="00D40151" w:rsidP="009D14FB">
            <w:pPr>
              <w:pStyle w:val="TAL"/>
              <w:rPr>
                <w:sz w:val="16"/>
                <w:szCs w:val="16"/>
              </w:rPr>
            </w:pPr>
            <w:r w:rsidRPr="00873B6C">
              <w:rPr>
                <w:sz w:val="16"/>
                <w:szCs w:val="16"/>
              </w:rPr>
              <w:t>SMF to request the UE IP address from the DN-AAA server based on subscription information</w:t>
            </w:r>
          </w:p>
        </w:tc>
        <w:tc>
          <w:tcPr>
            <w:tcW w:w="708" w:type="dxa"/>
            <w:shd w:val="solid" w:color="FFFFFF" w:fill="auto"/>
          </w:tcPr>
          <w:p w14:paraId="5A5B4866" w14:textId="77777777" w:rsidR="00D40151" w:rsidRPr="00873B6C" w:rsidRDefault="00D40151" w:rsidP="009D14FB">
            <w:pPr>
              <w:pStyle w:val="TAC"/>
              <w:rPr>
                <w:sz w:val="16"/>
                <w:szCs w:val="16"/>
              </w:rPr>
            </w:pPr>
            <w:r w:rsidRPr="00873B6C">
              <w:rPr>
                <w:sz w:val="16"/>
                <w:szCs w:val="16"/>
              </w:rPr>
              <w:t>16.5.0</w:t>
            </w:r>
          </w:p>
        </w:tc>
      </w:tr>
      <w:tr w:rsidR="00D40151" w:rsidRPr="00873B6C" w14:paraId="1C57D937" w14:textId="77777777" w:rsidTr="009D14FB">
        <w:tc>
          <w:tcPr>
            <w:tcW w:w="800" w:type="dxa"/>
            <w:shd w:val="solid" w:color="FFFFFF" w:fill="auto"/>
          </w:tcPr>
          <w:p w14:paraId="313B2E5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66E64A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4181D5B"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7C2AF8DB" w14:textId="77777777" w:rsidR="00D40151" w:rsidRPr="00873B6C" w:rsidRDefault="00D40151" w:rsidP="009D14FB">
            <w:pPr>
              <w:pStyle w:val="TAL"/>
              <w:rPr>
                <w:sz w:val="16"/>
                <w:szCs w:val="16"/>
              </w:rPr>
            </w:pPr>
            <w:r w:rsidRPr="00873B6C">
              <w:rPr>
                <w:sz w:val="16"/>
                <w:szCs w:val="16"/>
              </w:rPr>
              <w:t>2225</w:t>
            </w:r>
          </w:p>
        </w:tc>
        <w:tc>
          <w:tcPr>
            <w:tcW w:w="425" w:type="dxa"/>
            <w:shd w:val="solid" w:color="FFFFFF" w:fill="auto"/>
          </w:tcPr>
          <w:p w14:paraId="1799F0B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7B5037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5385D0" w14:textId="77777777" w:rsidR="00D40151" w:rsidRPr="00873B6C" w:rsidRDefault="00D40151" w:rsidP="009D14FB">
            <w:pPr>
              <w:pStyle w:val="TAL"/>
              <w:rPr>
                <w:sz w:val="16"/>
                <w:szCs w:val="16"/>
              </w:rPr>
            </w:pPr>
            <w:r w:rsidRPr="00873B6C">
              <w:rPr>
                <w:sz w:val="16"/>
                <w:szCs w:val="16"/>
              </w:rPr>
              <w:t>Support of ETSUN within and between PLMN(s)</w:t>
            </w:r>
          </w:p>
        </w:tc>
        <w:tc>
          <w:tcPr>
            <w:tcW w:w="708" w:type="dxa"/>
            <w:shd w:val="solid" w:color="FFFFFF" w:fill="auto"/>
          </w:tcPr>
          <w:p w14:paraId="0D414745" w14:textId="77777777" w:rsidR="00D40151" w:rsidRPr="00873B6C" w:rsidRDefault="00D40151" w:rsidP="009D14FB">
            <w:pPr>
              <w:pStyle w:val="TAC"/>
              <w:rPr>
                <w:sz w:val="16"/>
                <w:szCs w:val="16"/>
              </w:rPr>
            </w:pPr>
            <w:r w:rsidRPr="00873B6C">
              <w:rPr>
                <w:sz w:val="16"/>
                <w:szCs w:val="16"/>
              </w:rPr>
              <w:t>16.5.0</w:t>
            </w:r>
          </w:p>
        </w:tc>
      </w:tr>
      <w:tr w:rsidR="00D40151" w:rsidRPr="00873B6C" w14:paraId="4740C527" w14:textId="77777777" w:rsidTr="009D14FB">
        <w:tc>
          <w:tcPr>
            <w:tcW w:w="800" w:type="dxa"/>
            <w:shd w:val="solid" w:color="FFFFFF" w:fill="auto"/>
          </w:tcPr>
          <w:p w14:paraId="7134E0D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4A21AA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9E5596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EA38B00" w14:textId="77777777" w:rsidR="00D40151" w:rsidRPr="00873B6C" w:rsidRDefault="00D40151" w:rsidP="009D14FB">
            <w:pPr>
              <w:pStyle w:val="TAL"/>
              <w:rPr>
                <w:sz w:val="16"/>
                <w:szCs w:val="16"/>
              </w:rPr>
            </w:pPr>
            <w:r w:rsidRPr="00873B6C">
              <w:rPr>
                <w:sz w:val="16"/>
                <w:szCs w:val="16"/>
              </w:rPr>
              <w:t>2227</w:t>
            </w:r>
          </w:p>
        </w:tc>
        <w:tc>
          <w:tcPr>
            <w:tcW w:w="425" w:type="dxa"/>
            <w:shd w:val="solid" w:color="FFFFFF" w:fill="auto"/>
          </w:tcPr>
          <w:p w14:paraId="43185CE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8B03AC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CC5EC7" w14:textId="77777777" w:rsidR="00D40151" w:rsidRPr="00873B6C" w:rsidRDefault="00D40151" w:rsidP="009D14FB">
            <w:pPr>
              <w:pStyle w:val="TAL"/>
              <w:rPr>
                <w:sz w:val="16"/>
                <w:szCs w:val="16"/>
              </w:rPr>
            </w:pPr>
            <w:r w:rsidRPr="00873B6C">
              <w:rPr>
                <w:sz w:val="16"/>
                <w:szCs w:val="16"/>
              </w:rPr>
              <w:t>TSN QoS information for DL traffic</w:t>
            </w:r>
          </w:p>
        </w:tc>
        <w:tc>
          <w:tcPr>
            <w:tcW w:w="708" w:type="dxa"/>
            <w:shd w:val="solid" w:color="FFFFFF" w:fill="auto"/>
          </w:tcPr>
          <w:p w14:paraId="2A5CDAC0" w14:textId="77777777" w:rsidR="00D40151" w:rsidRPr="00873B6C" w:rsidRDefault="00D40151" w:rsidP="009D14FB">
            <w:pPr>
              <w:pStyle w:val="TAC"/>
              <w:rPr>
                <w:sz w:val="16"/>
                <w:szCs w:val="16"/>
              </w:rPr>
            </w:pPr>
            <w:r w:rsidRPr="00873B6C">
              <w:rPr>
                <w:sz w:val="16"/>
                <w:szCs w:val="16"/>
              </w:rPr>
              <w:t>16.5.0</w:t>
            </w:r>
          </w:p>
        </w:tc>
      </w:tr>
      <w:tr w:rsidR="00D40151" w:rsidRPr="00873B6C" w14:paraId="1739424E" w14:textId="77777777" w:rsidTr="009D14FB">
        <w:tc>
          <w:tcPr>
            <w:tcW w:w="800" w:type="dxa"/>
            <w:shd w:val="solid" w:color="FFFFFF" w:fill="auto"/>
          </w:tcPr>
          <w:p w14:paraId="1AD834F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375ED94"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E2849E5" w14:textId="77777777" w:rsidR="00D40151" w:rsidRPr="00873B6C" w:rsidRDefault="00D40151" w:rsidP="009D14FB">
            <w:pPr>
              <w:pStyle w:val="TAC"/>
              <w:rPr>
                <w:sz w:val="16"/>
                <w:szCs w:val="16"/>
              </w:rPr>
            </w:pPr>
            <w:r w:rsidRPr="00873B6C">
              <w:rPr>
                <w:sz w:val="16"/>
                <w:szCs w:val="16"/>
              </w:rPr>
              <w:t>SP-200437</w:t>
            </w:r>
          </w:p>
        </w:tc>
        <w:tc>
          <w:tcPr>
            <w:tcW w:w="567" w:type="dxa"/>
            <w:shd w:val="solid" w:color="FFFFFF" w:fill="auto"/>
          </w:tcPr>
          <w:p w14:paraId="3AA784DF" w14:textId="77777777" w:rsidR="00D40151" w:rsidRPr="00873B6C" w:rsidRDefault="00D40151" w:rsidP="009D14FB">
            <w:pPr>
              <w:pStyle w:val="TAL"/>
              <w:rPr>
                <w:sz w:val="16"/>
                <w:szCs w:val="16"/>
              </w:rPr>
            </w:pPr>
            <w:r w:rsidRPr="00873B6C">
              <w:rPr>
                <w:sz w:val="16"/>
                <w:szCs w:val="16"/>
              </w:rPr>
              <w:t>2232</w:t>
            </w:r>
          </w:p>
        </w:tc>
        <w:tc>
          <w:tcPr>
            <w:tcW w:w="425" w:type="dxa"/>
            <w:shd w:val="solid" w:color="FFFFFF" w:fill="auto"/>
          </w:tcPr>
          <w:p w14:paraId="47A13F1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FFD6A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DD76F7" w14:textId="77777777" w:rsidR="00D40151" w:rsidRPr="00873B6C" w:rsidRDefault="00D40151" w:rsidP="009D14FB">
            <w:pPr>
              <w:pStyle w:val="TAL"/>
              <w:rPr>
                <w:sz w:val="16"/>
                <w:szCs w:val="16"/>
              </w:rPr>
            </w:pPr>
            <w:r w:rsidRPr="00873B6C">
              <w:rPr>
                <w:sz w:val="16"/>
                <w:szCs w:val="16"/>
              </w:rPr>
              <w:t>Common Network Exposure</w:t>
            </w:r>
          </w:p>
        </w:tc>
        <w:tc>
          <w:tcPr>
            <w:tcW w:w="708" w:type="dxa"/>
            <w:shd w:val="solid" w:color="FFFFFF" w:fill="auto"/>
          </w:tcPr>
          <w:p w14:paraId="5629A8B0" w14:textId="77777777" w:rsidR="00D40151" w:rsidRPr="00873B6C" w:rsidRDefault="00D40151" w:rsidP="009D14FB">
            <w:pPr>
              <w:pStyle w:val="TAC"/>
              <w:rPr>
                <w:sz w:val="16"/>
                <w:szCs w:val="16"/>
              </w:rPr>
            </w:pPr>
            <w:r w:rsidRPr="00873B6C">
              <w:rPr>
                <w:sz w:val="16"/>
                <w:szCs w:val="16"/>
              </w:rPr>
              <w:t>16.5.0</w:t>
            </w:r>
          </w:p>
        </w:tc>
      </w:tr>
      <w:tr w:rsidR="00D40151" w:rsidRPr="00873B6C" w14:paraId="76F1322B" w14:textId="77777777" w:rsidTr="009D14FB">
        <w:tc>
          <w:tcPr>
            <w:tcW w:w="800" w:type="dxa"/>
            <w:shd w:val="solid" w:color="FFFFFF" w:fill="auto"/>
          </w:tcPr>
          <w:p w14:paraId="0AB16010"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1BF025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7CA2DE8"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24FF6C0" w14:textId="77777777" w:rsidR="00D40151" w:rsidRPr="00873B6C" w:rsidRDefault="00D40151" w:rsidP="009D14FB">
            <w:pPr>
              <w:pStyle w:val="TAL"/>
              <w:rPr>
                <w:sz w:val="16"/>
                <w:szCs w:val="16"/>
              </w:rPr>
            </w:pPr>
            <w:r w:rsidRPr="00873B6C">
              <w:rPr>
                <w:sz w:val="16"/>
                <w:szCs w:val="16"/>
              </w:rPr>
              <w:t>2234</w:t>
            </w:r>
          </w:p>
        </w:tc>
        <w:tc>
          <w:tcPr>
            <w:tcW w:w="425" w:type="dxa"/>
            <w:shd w:val="solid" w:color="FFFFFF" w:fill="auto"/>
          </w:tcPr>
          <w:p w14:paraId="20B9D29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3D065C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DCB631" w14:textId="77777777" w:rsidR="00D40151" w:rsidRPr="00873B6C" w:rsidRDefault="00D40151" w:rsidP="009D14FB">
            <w:pPr>
              <w:pStyle w:val="TAL"/>
              <w:rPr>
                <w:sz w:val="16"/>
                <w:szCs w:val="16"/>
              </w:rPr>
            </w:pPr>
            <w:r w:rsidRPr="00873B6C">
              <w:rPr>
                <w:sz w:val="16"/>
                <w:szCs w:val="16"/>
              </w:rPr>
              <w:t>Alignment of traffic forwarding information</w:t>
            </w:r>
          </w:p>
        </w:tc>
        <w:tc>
          <w:tcPr>
            <w:tcW w:w="708" w:type="dxa"/>
            <w:shd w:val="solid" w:color="FFFFFF" w:fill="auto"/>
          </w:tcPr>
          <w:p w14:paraId="7A465328" w14:textId="77777777" w:rsidR="00D40151" w:rsidRPr="00873B6C" w:rsidRDefault="00D40151" w:rsidP="009D14FB">
            <w:pPr>
              <w:pStyle w:val="TAC"/>
              <w:rPr>
                <w:sz w:val="16"/>
                <w:szCs w:val="16"/>
              </w:rPr>
            </w:pPr>
            <w:r w:rsidRPr="00873B6C">
              <w:rPr>
                <w:sz w:val="16"/>
                <w:szCs w:val="16"/>
              </w:rPr>
              <w:t>16.5.0</w:t>
            </w:r>
          </w:p>
        </w:tc>
      </w:tr>
      <w:tr w:rsidR="00D40151" w:rsidRPr="00873B6C" w14:paraId="4A92F501" w14:textId="77777777" w:rsidTr="009D14FB">
        <w:tc>
          <w:tcPr>
            <w:tcW w:w="800" w:type="dxa"/>
            <w:shd w:val="solid" w:color="FFFFFF" w:fill="auto"/>
          </w:tcPr>
          <w:p w14:paraId="1E1E999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6F6834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A1723B2" w14:textId="77777777" w:rsidR="00D40151" w:rsidRPr="00873B6C" w:rsidRDefault="00D40151" w:rsidP="009D14FB">
            <w:pPr>
              <w:pStyle w:val="TAC"/>
              <w:rPr>
                <w:sz w:val="16"/>
                <w:szCs w:val="16"/>
              </w:rPr>
            </w:pPr>
            <w:r w:rsidRPr="00873B6C">
              <w:rPr>
                <w:sz w:val="16"/>
                <w:szCs w:val="16"/>
              </w:rPr>
              <w:t>SP-200436</w:t>
            </w:r>
          </w:p>
        </w:tc>
        <w:tc>
          <w:tcPr>
            <w:tcW w:w="567" w:type="dxa"/>
            <w:shd w:val="solid" w:color="FFFFFF" w:fill="auto"/>
          </w:tcPr>
          <w:p w14:paraId="34C12288" w14:textId="77777777" w:rsidR="00D40151" w:rsidRPr="00873B6C" w:rsidRDefault="00D40151" w:rsidP="009D14FB">
            <w:pPr>
              <w:pStyle w:val="TAL"/>
              <w:rPr>
                <w:sz w:val="16"/>
                <w:szCs w:val="16"/>
              </w:rPr>
            </w:pPr>
            <w:r w:rsidRPr="00873B6C">
              <w:rPr>
                <w:sz w:val="16"/>
                <w:szCs w:val="16"/>
              </w:rPr>
              <w:t>2236</w:t>
            </w:r>
          </w:p>
        </w:tc>
        <w:tc>
          <w:tcPr>
            <w:tcW w:w="425" w:type="dxa"/>
            <w:shd w:val="solid" w:color="FFFFFF" w:fill="auto"/>
          </w:tcPr>
          <w:p w14:paraId="70567E1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302B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026E32" w14:textId="77777777" w:rsidR="00D40151" w:rsidRPr="00873B6C" w:rsidRDefault="00D40151" w:rsidP="009D14FB">
            <w:pPr>
              <w:pStyle w:val="TAL"/>
              <w:rPr>
                <w:sz w:val="16"/>
                <w:szCs w:val="16"/>
              </w:rPr>
            </w:pPr>
            <w:r w:rsidRPr="00873B6C">
              <w:rPr>
                <w:sz w:val="16"/>
                <w:szCs w:val="16"/>
              </w:rPr>
              <w:t>Missing the Radio Capability Filtering linkage to the UE Radio Capability ID</w:t>
            </w:r>
          </w:p>
        </w:tc>
        <w:tc>
          <w:tcPr>
            <w:tcW w:w="708" w:type="dxa"/>
            <w:shd w:val="solid" w:color="FFFFFF" w:fill="auto"/>
          </w:tcPr>
          <w:p w14:paraId="284A6F0C" w14:textId="77777777" w:rsidR="00D40151" w:rsidRPr="00873B6C" w:rsidRDefault="00D40151" w:rsidP="009D14FB">
            <w:pPr>
              <w:pStyle w:val="TAC"/>
              <w:rPr>
                <w:sz w:val="16"/>
                <w:szCs w:val="16"/>
              </w:rPr>
            </w:pPr>
            <w:r w:rsidRPr="00873B6C">
              <w:rPr>
                <w:sz w:val="16"/>
                <w:szCs w:val="16"/>
              </w:rPr>
              <w:t>16.5.0</w:t>
            </w:r>
          </w:p>
        </w:tc>
      </w:tr>
      <w:tr w:rsidR="00D40151" w:rsidRPr="00873B6C" w14:paraId="4CD6CC3B" w14:textId="77777777" w:rsidTr="009D14FB">
        <w:tc>
          <w:tcPr>
            <w:tcW w:w="800" w:type="dxa"/>
            <w:shd w:val="solid" w:color="FFFFFF" w:fill="auto"/>
          </w:tcPr>
          <w:p w14:paraId="02CDF272"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1DAB30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E13663F" w14:textId="77777777" w:rsidR="00D40151" w:rsidRPr="00873B6C" w:rsidRDefault="00D40151" w:rsidP="009D14FB">
            <w:pPr>
              <w:pStyle w:val="TAC"/>
              <w:rPr>
                <w:sz w:val="16"/>
                <w:szCs w:val="16"/>
              </w:rPr>
            </w:pPr>
            <w:r w:rsidRPr="00873B6C">
              <w:rPr>
                <w:sz w:val="16"/>
                <w:szCs w:val="16"/>
              </w:rPr>
              <w:t>SP-200552</w:t>
            </w:r>
          </w:p>
        </w:tc>
        <w:tc>
          <w:tcPr>
            <w:tcW w:w="567" w:type="dxa"/>
            <w:shd w:val="solid" w:color="FFFFFF" w:fill="auto"/>
          </w:tcPr>
          <w:p w14:paraId="394640AD" w14:textId="77777777" w:rsidR="00D40151" w:rsidRPr="00873B6C" w:rsidRDefault="00D40151" w:rsidP="009D14FB">
            <w:pPr>
              <w:pStyle w:val="TAL"/>
              <w:rPr>
                <w:sz w:val="16"/>
                <w:szCs w:val="16"/>
              </w:rPr>
            </w:pPr>
            <w:r w:rsidRPr="00873B6C">
              <w:rPr>
                <w:sz w:val="16"/>
                <w:szCs w:val="16"/>
              </w:rPr>
              <w:t>2238</w:t>
            </w:r>
          </w:p>
        </w:tc>
        <w:tc>
          <w:tcPr>
            <w:tcW w:w="425" w:type="dxa"/>
            <w:shd w:val="solid" w:color="FFFFFF" w:fill="auto"/>
          </w:tcPr>
          <w:p w14:paraId="572BF2C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0CC2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7BB626" w14:textId="77777777" w:rsidR="00D40151" w:rsidRPr="00873B6C" w:rsidRDefault="00D40151" w:rsidP="009D14FB">
            <w:pPr>
              <w:pStyle w:val="TAL"/>
              <w:rPr>
                <w:sz w:val="16"/>
                <w:szCs w:val="16"/>
              </w:rPr>
            </w:pPr>
            <w:r w:rsidRPr="00873B6C">
              <w:rPr>
                <w:sz w:val="16"/>
                <w:szCs w:val="16"/>
              </w:rPr>
              <w:t>ARP values for additional QoS Flows</w:t>
            </w:r>
          </w:p>
        </w:tc>
        <w:tc>
          <w:tcPr>
            <w:tcW w:w="708" w:type="dxa"/>
            <w:shd w:val="solid" w:color="FFFFFF" w:fill="auto"/>
          </w:tcPr>
          <w:p w14:paraId="4507871A" w14:textId="77777777" w:rsidR="00D40151" w:rsidRPr="00873B6C" w:rsidRDefault="00D40151" w:rsidP="009D14FB">
            <w:pPr>
              <w:pStyle w:val="TAC"/>
              <w:rPr>
                <w:sz w:val="16"/>
                <w:szCs w:val="16"/>
              </w:rPr>
            </w:pPr>
            <w:r w:rsidRPr="00873B6C">
              <w:rPr>
                <w:sz w:val="16"/>
                <w:szCs w:val="16"/>
              </w:rPr>
              <w:t>16.5.0</w:t>
            </w:r>
          </w:p>
        </w:tc>
      </w:tr>
      <w:tr w:rsidR="00D40151" w:rsidRPr="00873B6C" w14:paraId="0855F66D" w14:textId="77777777" w:rsidTr="009D14FB">
        <w:tc>
          <w:tcPr>
            <w:tcW w:w="800" w:type="dxa"/>
            <w:shd w:val="solid" w:color="FFFFFF" w:fill="auto"/>
          </w:tcPr>
          <w:p w14:paraId="6765E0D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A6F0659"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0535C4D"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3908B2E4" w14:textId="77777777" w:rsidR="00D40151" w:rsidRPr="00873B6C" w:rsidRDefault="00D40151" w:rsidP="009D14FB">
            <w:pPr>
              <w:pStyle w:val="TAL"/>
              <w:rPr>
                <w:sz w:val="16"/>
                <w:szCs w:val="16"/>
              </w:rPr>
            </w:pPr>
            <w:r w:rsidRPr="00873B6C">
              <w:rPr>
                <w:sz w:val="16"/>
                <w:szCs w:val="16"/>
              </w:rPr>
              <w:t>2240</w:t>
            </w:r>
          </w:p>
        </w:tc>
        <w:tc>
          <w:tcPr>
            <w:tcW w:w="425" w:type="dxa"/>
            <w:shd w:val="solid" w:color="FFFFFF" w:fill="auto"/>
          </w:tcPr>
          <w:p w14:paraId="1DC3A2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5309D6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12DC65" w14:textId="77777777" w:rsidR="00D40151" w:rsidRPr="00873B6C" w:rsidRDefault="00D40151" w:rsidP="009D14FB">
            <w:pPr>
              <w:pStyle w:val="TAL"/>
              <w:rPr>
                <w:sz w:val="16"/>
                <w:szCs w:val="16"/>
              </w:rPr>
            </w:pPr>
            <w:r w:rsidRPr="00873B6C">
              <w:rPr>
                <w:sz w:val="16"/>
                <w:szCs w:val="16"/>
              </w:rPr>
              <w:t>Handling of mobility when target does not support ATSSS</w:t>
            </w:r>
          </w:p>
        </w:tc>
        <w:tc>
          <w:tcPr>
            <w:tcW w:w="708" w:type="dxa"/>
            <w:shd w:val="solid" w:color="FFFFFF" w:fill="auto"/>
          </w:tcPr>
          <w:p w14:paraId="1F9DEB3B" w14:textId="77777777" w:rsidR="00D40151" w:rsidRPr="00873B6C" w:rsidRDefault="00D40151" w:rsidP="009D14FB">
            <w:pPr>
              <w:pStyle w:val="TAC"/>
              <w:rPr>
                <w:sz w:val="16"/>
                <w:szCs w:val="16"/>
              </w:rPr>
            </w:pPr>
            <w:r w:rsidRPr="00873B6C">
              <w:rPr>
                <w:sz w:val="16"/>
                <w:szCs w:val="16"/>
              </w:rPr>
              <w:t>16.5.0</w:t>
            </w:r>
          </w:p>
        </w:tc>
      </w:tr>
      <w:tr w:rsidR="00D40151" w:rsidRPr="00873B6C" w14:paraId="115AF594" w14:textId="77777777" w:rsidTr="009D14FB">
        <w:tc>
          <w:tcPr>
            <w:tcW w:w="800" w:type="dxa"/>
            <w:shd w:val="solid" w:color="FFFFFF" w:fill="auto"/>
          </w:tcPr>
          <w:p w14:paraId="64DB6BB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0C04D8E"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C6C2702" w14:textId="77777777" w:rsidR="00D40151" w:rsidRPr="00873B6C" w:rsidRDefault="00D40151" w:rsidP="009D14FB">
            <w:pPr>
              <w:pStyle w:val="TAC"/>
              <w:rPr>
                <w:sz w:val="16"/>
                <w:szCs w:val="16"/>
              </w:rPr>
            </w:pPr>
            <w:r w:rsidRPr="00873B6C">
              <w:rPr>
                <w:sz w:val="16"/>
                <w:szCs w:val="16"/>
              </w:rPr>
              <w:t>SP-200420</w:t>
            </w:r>
          </w:p>
        </w:tc>
        <w:tc>
          <w:tcPr>
            <w:tcW w:w="567" w:type="dxa"/>
            <w:shd w:val="solid" w:color="FFFFFF" w:fill="auto"/>
          </w:tcPr>
          <w:p w14:paraId="5C21838B" w14:textId="77777777" w:rsidR="00D40151" w:rsidRPr="00873B6C" w:rsidRDefault="00D40151" w:rsidP="009D14FB">
            <w:pPr>
              <w:pStyle w:val="TAL"/>
              <w:rPr>
                <w:sz w:val="16"/>
                <w:szCs w:val="16"/>
              </w:rPr>
            </w:pPr>
            <w:r w:rsidRPr="00873B6C">
              <w:rPr>
                <w:sz w:val="16"/>
                <w:szCs w:val="16"/>
              </w:rPr>
              <w:t>2242</w:t>
            </w:r>
          </w:p>
        </w:tc>
        <w:tc>
          <w:tcPr>
            <w:tcW w:w="425" w:type="dxa"/>
            <w:shd w:val="solid" w:color="FFFFFF" w:fill="auto"/>
          </w:tcPr>
          <w:p w14:paraId="0CC0433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6E0498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2571E676" w14:textId="77777777" w:rsidR="00D40151" w:rsidRPr="00873B6C" w:rsidRDefault="00D40151" w:rsidP="009D14FB">
            <w:pPr>
              <w:pStyle w:val="TAL"/>
              <w:rPr>
                <w:sz w:val="16"/>
                <w:szCs w:val="16"/>
              </w:rPr>
            </w:pPr>
            <w:r w:rsidRPr="00873B6C">
              <w:rPr>
                <w:sz w:val="16"/>
                <w:szCs w:val="16"/>
              </w:rPr>
              <w:t>UE radio capability retrieval</w:t>
            </w:r>
          </w:p>
        </w:tc>
        <w:tc>
          <w:tcPr>
            <w:tcW w:w="708" w:type="dxa"/>
            <w:shd w:val="solid" w:color="FFFFFF" w:fill="auto"/>
          </w:tcPr>
          <w:p w14:paraId="1DA3009B" w14:textId="77777777" w:rsidR="00D40151" w:rsidRPr="00873B6C" w:rsidRDefault="00D40151" w:rsidP="009D14FB">
            <w:pPr>
              <w:pStyle w:val="TAC"/>
              <w:rPr>
                <w:sz w:val="16"/>
                <w:szCs w:val="16"/>
              </w:rPr>
            </w:pPr>
            <w:r w:rsidRPr="00873B6C">
              <w:rPr>
                <w:sz w:val="16"/>
                <w:szCs w:val="16"/>
              </w:rPr>
              <w:t>16.5.0</w:t>
            </w:r>
          </w:p>
        </w:tc>
      </w:tr>
      <w:tr w:rsidR="00D40151" w:rsidRPr="00873B6C" w14:paraId="0C059082" w14:textId="77777777" w:rsidTr="009D14FB">
        <w:tc>
          <w:tcPr>
            <w:tcW w:w="800" w:type="dxa"/>
            <w:shd w:val="solid" w:color="FFFFFF" w:fill="auto"/>
          </w:tcPr>
          <w:p w14:paraId="698BFC3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A58A95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6647D9C"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0833CD2D" w14:textId="77777777" w:rsidR="00D40151" w:rsidRPr="00873B6C" w:rsidRDefault="00D40151" w:rsidP="009D14FB">
            <w:pPr>
              <w:pStyle w:val="TAL"/>
              <w:rPr>
                <w:sz w:val="16"/>
                <w:szCs w:val="16"/>
              </w:rPr>
            </w:pPr>
            <w:r w:rsidRPr="00873B6C">
              <w:rPr>
                <w:sz w:val="16"/>
                <w:szCs w:val="16"/>
              </w:rPr>
              <w:t>2246</w:t>
            </w:r>
          </w:p>
        </w:tc>
        <w:tc>
          <w:tcPr>
            <w:tcW w:w="425" w:type="dxa"/>
            <w:shd w:val="solid" w:color="FFFFFF" w:fill="auto"/>
          </w:tcPr>
          <w:p w14:paraId="4652E26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4C580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EB5FC9" w14:textId="77777777" w:rsidR="00D40151" w:rsidRPr="00873B6C" w:rsidRDefault="00D40151" w:rsidP="009D14FB">
            <w:pPr>
              <w:pStyle w:val="TAL"/>
              <w:rPr>
                <w:sz w:val="16"/>
                <w:szCs w:val="16"/>
              </w:rPr>
            </w:pPr>
            <w:r w:rsidRPr="00873B6C">
              <w:rPr>
                <w:sz w:val="16"/>
                <w:szCs w:val="16"/>
              </w:rPr>
              <w:t>QoS parameters mapping: GFBR, ARP</w:t>
            </w:r>
          </w:p>
        </w:tc>
        <w:tc>
          <w:tcPr>
            <w:tcW w:w="708" w:type="dxa"/>
            <w:shd w:val="solid" w:color="FFFFFF" w:fill="auto"/>
          </w:tcPr>
          <w:p w14:paraId="7BC69315" w14:textId="77777777" w:rsidR="00D40151" w:rsidRPr="00873B6C" w:rsidRDefault="00D40151" w:rsidP="009D14FB">
            <w:pPr>
              <w:pStyle w:val="TAC"/>
              <w:rPr>
                <w:sz w:val="16"/>
                <w:szCs w:val="16"/>
              </w:rPr>
            </w:pPr>
            <w:r w:rsidRPr="00873B6C">
              <w:rPr>
                <w:sz w:val="16"/>
                <w:szCs w:val="16"/>
              </w:rPr>
              <w:t>16.5.0</w:t>
            </w:r>
          </w:p>
        </w:tc>
      </w:tr>
      <w:tr w:rsidR="00D40151" w:rsidRPr="00873B6C" w14:paraId="52B80440" w14:textId="77777777" w:rsidTr="009D14FB">
        <w:tc>
          <w:tcPr>
            <w:tcW w:w="800" w:type="dxa"/>
            <w:shd w:val="solid" w:color="FFFFFF" w:fill="auto"/>
          </w:tcPr>
          <w:p w14:paraId="4C8572B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68EA5C1"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979BDB3"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6E6F34AC" w14:textId="77777777" w:rsidR="00D40151" w:rsidRPr="00873B6C" w:rsidRDefault="00D40151" w:rsidP="009D14FB">
            <w:pPr>
              <w:pStyle w:val="TAL"/>
              <w:rPr>
                <w:sz w:val="16"/>
                <w:szCs w:val="16"/>
              </w:rPr>
            </w:pPr>
            <w:r w:rsidRPr="00873B6C">
              <w:rPr>
                <w:sz w:val="16"/>
                <w:szCs w:val="16"/>
              </w:rPr>
              <w:t>2247</w:t>
            </w:r>
          </w:p>
        </w:tc>
        <w:tc>
          <w:tcPr>
            <w:tcW w:w="425" w:type="dxa"/>
            <w:shd w:val="solid" w:color="FFFFFF" w:fill="auto"/>
          </w:tcPr>
          <w:p w14:paraId="3B44909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6CA0B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5D6EFA" w14:textId="77777777" w:rsidR="00D40151" w:rsidRPr="00873B6C" w:rsidRDefault="00D40151" w:rsidP="009D14FB">
            <w:pPr>
              <w:pStyle w:val="TAL"/>
              <w:rPr>
                <w:sz w:val="16"/>
                <w:szCs w:val="16"/>
              </w:rPr>
            </w:pPr>
            <w:r w:rsidRPr="00873B6C">
              <w:rPr>
                <w:sz w:val="16"/>
                <w:szCs w:val="16"/>
              </w:rPr>
              <w:t>UPF selection criteria</w:t>
            </w:r>
          </w:p>
        </w:tc>
        <w:tc>
          <w:tcPr>
            <w:tcW w:w="708" w:type="dxa"/>
            <w:shd w:val="solid" w:color="FFFFFF" w:fill="auto"/>
          </w:tcPr>
          <w:p w14:paraId="0577745F" w14:textId="77777777" w:rsidR="00D40151" w:rsidRPr="00873B6C" w:rsidRDefault="00D40151" w:rsidP="009D14FB">
            <w:pPr>
              <w:pStyle w:val="TAC"/>
              <w:rPr>
                <w:sz w:val="16"/>
                <w:szCs w:val="16"/>
              </w:rPr>
            </w:pPr>
            <w:r w:rsidRPr="00873B6C">
              <w:rPr>
                <w:sz w:val="16"/>
                <w:szCs w:val="16"/>
              </w:rPr>
              <w:t>16.5.0</w:t>
            </w:r>
          </w:p>
        </w:tc>
      </w:tr>
      <w:tr w:rsidR="00D40151" w:rsidRPr="00873B6C" w14:paraId="0ED70DA0" w14:textId="77777777" w:rsidTr="009D14FB">
        <w:tc>
          <w:tcPr>
            <w:tcW w:w="800" w:type="dxa"/>
            <w:shd w:val="solid" w:color="FFFFFF" w:fill="auto"/>
          </w:tcPr>
          <w:p w14:paraId="7887FDB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41E2A7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4507D09"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7ED99FA0" w14:textId="77777777" w:rsidR="00D40151" w:rsidRPr="00873B6C" w:rsidRDefault="00D40151" w:rsidP="009D14FB">
            <w:pPr>
              <w:pStyle w:val="TAL"/>
              <w:rPr>
                <w:sz w:val="16"/>
                <w:szCs w:val="16"/>
              </w:rPr>
            </w:pPr>
            <w:r w:rsidRPr="00873B6C">
              <w:rPr>
                <w:sz w:val="16"/>
                <w:szCs w:val="16"/>
              </w:rPr>
              <w:t>2248</w:t>
            </w:r>
          </w:p>
        </w:tc>
        <w:tc>
          <w:tcPr>
            <w:tcW w:w="425" w:type="dxa"/>
            <w:shd w:val="solid" w:color="FFFFFF" w:fill="auto"/>
          </w:tcPr>
          <w:p w14:paraId="7DCDC9C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AC23BC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7CC19F" w14:textId="77777777" w:rsidR="00D40151" w:rsidRPr="00873B6C" w:rsidRDefault="00D40151" w:rsidP="009D14FB">
            <w:pPr>
              <w:pStyle w:val="TAL"/>
              <w:rPr>
                <w:sz w:val="16"/>
                <w:szCs w:val="16"/>
              </w:rPr>
            </w:pPr>
            <w:r w:rsidRPr="00873B6C">
              <w:rPr>
                <w:sz w:val="16"/>
                <w:szCs w:val="16"/>
              </w:rPr>
              <w:t>Missing change in Annex I</w:t>
            </w:r>
          </w:p>
        </w:tc>
        <w:tc>
          <w:tcPr>
            <w:tcW w:w="708" w:type="dxa"/>
            <w:shd w:val="solid" w:color="FFFFFF" w:fill="auto"/>
          </w:tcPr>
          <w:p w14:paraId="151CD9AA" w14:textId="77777777" w:rsidR="00D40151" w:rsidRPr="00873B6C" w:rsidRDefault="00D40151" w:rsidP="009D14FB">
            <w:pPr>
              <w:pStyle w:val="TAC"/>
              <w:rPr>
                <w:sz w:val="16"/>
                <w:szCs w:val="16"/>
              </w:rPr>
            </w:pPr>
            <w:r w:rsidRPr="00873B6C">
              <w:rPr>
                <w:sz w:val="16"/>
                <w:szCs w:val="16"/>
              </w:rPr>
              <w:t>16.5.0</w:t>
            </w:r>
          </w:p>
        </w:tc>
      </w:tr>
      <w:tr w:rsidR="00D40151" w:rsidRPr="00873B6C" w14:paraId="7D983463" w14:textId="77777777" w:rsidTr="009D14FB">
        <w:tc>
          <w:tcPr>
            <w:tcW w:w="800" w:type="dxa"/>
            <w:shd w:val="solid" w:color="FFFFFF" w:fill="auto"/>
          </w:tcPr>
          <w:p w14:paraId="6B3275C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9DE795E"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6E2C5AB"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34C605A4" w14:textId="77777777" w:rsidR="00D40151" w:rsidRPr="00873B6C" w:rsidRDefault="00D40151" w:rsidP="009D14FB">
            <w:pPr>
              <w:pStyle w:val="TAL"/>
              <w:rPr>
                <w:sz w:val="16"/>
                <w:szCs w:val="16"/>
              </w:rPr>
            </w:pPr>
            <w:r w:rsidRPr="00873B6C">
              <w:rPr>
                <w:sz w:val="16"/>
                <w:szCs w:val="16"/>
              </w:rPr>
              <w:t>2251</w:t>
            </w:r>
          </w:p>
        </w:tc>
        <w:tc>
          <w:tcPr>
            <w:tcW w:w="425" w:type="dxa"/>
            <w:shd w:val="solid" w:color="FFFFFF" w:fill="auto"/>
          </w:tcPr>
          <w:p w14:paraId="2BD33A3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6D67C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336402" w14:textId="77777777" w:rsidR="00D40151" w:rsidRPr="00873B6C" w:rsidRDefault="00D40151" w:rsidP="009D14FB">
            <w:pPr>
              <w:pStyle w:val="TAL"/>
              <w:rPr>
                <w:sz w:val="16"/>
                <w:szCs w:val="16"/>
              </w:rPr>
            </w:pPr>
            <w:r w:rsidRPr="00873B6C">
              <w:rPr>
                <w:sz w:val="16"/>
                <w:szCs w:val="16"/>
              </w:rPr>
              <w:t>Correction on the derived MDBV</w:t>
            </w:r>
          </w:p>
        </w:tc>
        <w:tc>
          <w:tcPr>
            <w:tcW w:w="708" w:type="dxa"/>
            <w:shd w:val="solid" w:color="FFFFFF" w:fill="auto"/>
          </w:tcPr>
          <w:p w14:paraId="77908055" w14:textId="77777777" w:rsidR="00D40151" w:rsidRPr="00873B6C" w:rsidRDefault="00D40151" w:rsidP="009D14FB">
            <w:pPr>
              <w:pStyle w:val="TAC"/>
              <w:rPr>
                <w:sz w:val="16"/>
                <w:szCs w:val="16"/>
              </w:rPr>
            </w:pPr>
            <w:r w:rsidRPr="00873B6C">
              <w:rPr>
                <w:sz w:val="16"/>
                <w:szCs w:val="16"/>
              </w:rPr>
              <w:t>16.5.0</w:t>
            </w:r>
          </w:p>
        </w:tc>
      </w:tr>
      <w:tr w:rsidR="00D40151" w:rsidRPr="00873B6C" w14:paraId="345C24F4" w14:textId="77777777" w:rsidTr="009D14FB">
        <w:tc>
          <w:tcPr>
            <w:tcW w:w="800" w:type="dxa"/>
            <w:shd w:val="solid" w:color="FFFFFF" w:fill="auto"/>
          </w:tcPr>
          <w:p w14:paraId="531EAF60"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B3AE7FD"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DE2C73F" w14:textId="77777777" w:rsidR="00D40151" w:rsidRPr="00873B6C" w:rsidRDefault="00D40151" w:rsidP="009D14FB">
            <w:pPr>
              <w:pStyle w:val="TAC"/>
              <w:rPr>
                <w:sz w:val="16"/>
                <w:szCs w:val="16"/>
              </w:rPr>
            </w:pPr>
            <w:r w:rsidRPr="00873B6C">
              <w:rPr>
                <w:sz w:val="16"/>
                <w:szCs w:val="16"/>
              </w:rPr>
              <w:t>SP-200436</w:t>
            </w:r>
          </w:p>
        </w:tc>
        <w:tc>
          <w:tcPr>
            <w:tcW w:w="567" w:type="dxa"/>
            <w:shd w:val="solid" w:color="FFFFFF" w:fill="auto"/>
          </w:tcPr>
          <w:p w14:paraId="0002C323" w14:textId="77777777" w:rsidR="00D40151" w:rsidRPr="00873B6C" w:rsidRDefault="00D40151" w:rsidP="009D14FB">
            <w:pPr>
              <w:pStyle w:val="TAL"/>
              <w:rPr>
                <w:sz w:val="16"/>
                <w:szCs w:val="16"/>
              </w:rPr>
            </w:pPr>
            <w:r w:rsidRPr="00873B6C">
              <w:rPr>
                <w:sz w:val="16"/>
                <w:szCs w:val="16"/>
              </w:rPr>
              <w:t>2254</w:t>
            </w:r>
          </w:p>
        </w:tc>
        <w:tc>
          <w:tcPr>
            <w:tcW w:w="425" w:type="dxa"/>
            <w:shd w:val="solid" w:color="FFFFFF" w:fill="auto"/>
          </w:tcPr>
          <w:p w14:paraId="0504C3F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2DDF7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6DCAD6" w14:textId="77777777" w:rsidR="00D40151" w:rsidRPr="00873B6C" w:rsidRDefault="00D40151" w:rsidP="009D14FB">
            <w:pPr>
              <w:pStyle w:val="TAL"/>
              <w:rPr>
                <w:sz w:val="16"/>
                <w:szCs w:val="16"/>
              </w:rPr>
            </w:pPr>
            <w:r w:rsidRPr="00873B6C">
              <w:rPr>
                <w:sz w:val="16"/>
                <w:szCs w:val="16"/>
              </w:rPr>
              <w:t>Correction on the interface N58 b/w NEF and AF</w:t>
            </w:r>
          </w:p>
        </w:tc>
        <w:tc>
          <w:tcPr>
            <w:tcW w:w="708" w:type="dxa"/>
            <w:shd w:val="solid" w:color="FFFFFF" w:fill="auto"/>
          </w:tcPr>
          <w:p w14:paraId="670B377A" w14:textId="77777777" w:rsidR="00D40151" w:rsidRPr="00873B6C" w:rsidRDefault="00D40151" w:rsidP="009D14FB">
            <w:pPr>
              <w:pStyle w:val="TAC"/>
              <w:rPr>
                <w:sz w:val="16"/>
                <w:szCs w:val="16"/>
              </w:rPr>
            </w:pPr>
            <w:r w:rsidRPr="00873B6C">
              <w:rPr>
                <w:sz w:val="16"/>
                <w:szCs w:val="16"/>
              </w:rPr>
              <w:t>16.5.0</w:t>
            </w:r>
          </w:p>
        </w:tc>
      </w:tr>
      <w:tr w:rsidR="00D40151" w:rsidRPr="00873B6C" w14:paraId="4236FB23" w14:textId="77777777" w:rsidTr="009D14FB">
        <w:tc>
          <w:tcPr>
            <w:tcW w:w="800" w:type="dxa"/>
            <w:shd w:val="solid" w:color="FFFFFF" w:fill="auto"/>
          </w:tcPr>
          <w:p w14:paraId="4E02721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EE0BBB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E8D6A7E" w14:textId="77777777" w:rsidR="00D40151" w:rsidRPr="00873B6C" w:rsidRDefault="00D40151" w:rsidP="009D14FB">
            <w:pPr>
              <w:pStyle w:val="TAC"/>
              <w:rPr>
                <w:sz w:val="16"/>
                <w:szCs w:val="16"/>
              </w:rPr>
            </w:pPr>
            <w:r w:rsidRPr="00873B6C">
              <w:rPr>
                <w:sz w:val="16"/>
                <w:szCs w:val="16"/>
              </w:rPr>
              <w:t>SP-200436</w:t>
            </w:r>
          </w:p>
        </w:tc>
        <w:tc>
          <w:tcPr>
            <w:tcW w:w="567" w:type="dxa"/>
            <w:shd w:val="solid" w:color="FFFFFF" w:fill="auto"/>
          </w:tcPr>
          <w:p w14:paraId="323B1A8C" w14:textId="77777777" w:rsidR="00D40151" w:rsidRPr="00873B6C" w:rsidRDefault="00D40151" w:rsidP="009D14FB">
            <w:pPr>
              <w:pStyle w:val="TAL"/>
              <w:rPr>
                <w:sz w:val="16"/>
                <w:szCs w:val="16"/>
              </w:rPr>
            </w:pPr>
            <w:r w:rsidRPr="00873B6C">
              <w:rPr>
                <w:sz w:val="16"/>
                <w:szCs w:val="16"/>
              </w:rPr>
              <w:t>2255</w:t>
            </w:r>
          </w:p>
        </w:tc>
        <w:tc>
          <w:tcPr>
            <w:tcW w:w="425" w:type="dxa"/>
            <w:shd w:val="solid" w:color="FFFFFF" w:fill="auto"/>
          </w:tcPr>
          <w:p w14:paraId="20763E3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33E41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5C78C6" w14:textId="77777777" w:rsidR="00D40151" w:rsidRPr="00873B6C" w:rsidRDefault="00D40151" w:rsidP="009D14FB">
            <w:pPr>
              <w:pStyle w:val="TAL"/>
              <w:rPr>
                <w:sz w:val="16"/>
                <w:szCs w:val="16"/>
              </w:rPr>
            </w:pPr>
            <w:r w:rsidRPr="00873B6C">
              <w:rPr>
                <w:sz w:val="16"/>
                <w:szCs w:val="16"/>
              </w:rPr>
              <w:t>Support of multiple radio capability formats</w:t>
            </w:r>
          </w:p>
        </w:tc>
        <w:tc>
          <w:tcPr>
            <w:tcW w:w="708" w:type="dxa"/>
            <w:shd w:val="solid" w:color="FFFFFF" w:fill="auto"/>
          </w:tcPr>
          <w:p w14:paraId="14920E30" w14:textId="77777777" w:rsidR="00D40151" w:rsidRPr="00873B6C" w:rsidRDefault="00D40151" w:rsidP="009D14FB">
            <w:pPr>
              <w:pStyle w:val="TAC"/>
              <w:rPr>
                <w:sz w:val="16"/>
                <w:szCs w:val="16"/>
              </w:rPr>
            </w:pPr>
            <w:r w:rsidRPr="00873B6C">
              <w:rPr>
                <w:sz w:val="16"/>
                <w:szCs w:val="16"/>
              </w:rPr>
              <w:t>16.5.0</w:t>
            </w:r>
          </w:p>
        </w:tc>
      </w:tr>
      <w:tr w:rsidR="00D40151" w:rsidRPr="00873B6C" w14:paraId="6D798844" w14:textId="77777777" w:rsidTr="009D14FB">
        <w:tc>
          <w:tcPr>
            <w:tcW w:w="800" w:type="dxa"/>
            <w:shd w:val="solid" w:color="FFFFFF" w:fill="auto"/>
          </w:tcPr>
          <w:p w14:paraId="524D544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BA78E4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609E2C7" w14:textId="77777777" w:rsidR="00D40151" w:rsidRPr="00873B6C" w:rsidRDefault="00D40151" w:rsidP="009D14FB">
            <w:pPr>
              <w:pStyle w:val="TAC"/>
              <w:rPr>
                <w:sz w:val="16"/>
                <w:szCs w:val="16"/>
              </w:rPr>
            </w:pPr>
            <w:r w:rsidRPr="00873B6C">
              <w:rPr>
                <w:sz w:val="16"/>
                <w:szCs w:val="16"/>
              </w:rPr>
              <w:t>SP-200436</w:t>
            </w:r>
          </w:p>
        </w:tc>
        <w:tc>
          <w:tcPr>
            <w:tcW w:w="567" w:type="dxa"/>
            <w:shd w:val="solid" w:color="FFFFFF" w:fill="auto"/>
          </w:tcPr>
          <w:p w14:paraId="244DD3EC" w14:textId="77777777" w:rsidR="00D40151" w:rsidRPr="00873B6C" w:rsidRDefault="00D40151" w:rsidP="009D14FB">
            <w:pPr>
              <w:pStyle w:val="TAL"/>
              <w:rPr>
                <w:sz w:val="16"/>
                <w:szCs w:val="16"/>
              </w:rPr>
            </w:pPr>
            <w:r w:rsidRPr="00873B6C">
              <w:rPr>
                <w:sz w:val="16"/>
                <w:szCs w:val="16"/>
              </w:rPr>
              <w:t>2257</w:t>
            </w:r>
          </w:p>
        </w:tc>
        <w:tc>
          <w:tcPr>
            <w:tcW w:w="425" w:type="dxa"/>
            <w:shd w:val="solid" w:color="FFFFFF" w:fill="auto"/>
          </w:tcPr>
          <w:p w14:paraId="58C7C03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2653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5C4F94" w14:textId="77777777" w:rsidR="00D40151" w:rsidRPr="00873B6C" w:rsidRDefault="00D40151" w:rsidP="009D14FB">
            <w:pPr>
              <w:pStyle w:val="TAL"/>
              <w:rPr>
                <w:sz w:val="16"/>
                <w:szCs w:val="16"/>
              </w:rPr>
            </w:pPr>
            <w:r w:rsidRPr="00873B6C">
              <w:rPr>
                <w:sz w:val="16"/>
                <w:szCs w:val="16"/>
              </w:rPr>
              <w:t>Clarification on Version ID</w:t>
            </w:r>
          </w:p>
        </w:tc>
        <w:tc>
          <w:tcPr>
            <w:tcW w:w="708" w:type="dxa"/>
            <w:shd w:val="solid" w:color="FFFFFF" w:fill="auto"/>
          </w:tcPr>
          <w:p w14:paraId="57658A5A" w14:textId="77777777" w:rsidR="00D40151" w:rsidRPr="00873B6C" w:rsidRDefault="00D40151" w:rsidP="009D14FB">
            <w:pPr>
              <w:pStyle w:val="TAC"/>
              <w:rPr>
                <w:sz w:val="16"/>
                <w:szCs w:val="16"/>
              </w:rPr>
            </w:pPr>
            <w:r w:rsidRPr="00873B6C">
              <w:rPr>
                <w:sz w:val="16"/>
                <w:szCs w:val="16"/>
              </w:rPr>
              <w:t>16.5.0</w:t>
            </w:r>
          </w:p>
        </w:tc>
      </w:tr>
      <w:tr w:rsidR="00D40151" w:rsidRPr="00873B6C" w14:paraId="41F04368" w14:textId="77777777" w:rsidTr="009D14FB">
        <w:tc>
          <w:tcPr>
            <w:tcW w:w="800" w:type="dxa"/>
            <w:shd w:val="solid" w:color="FFFFFF" w:fill="auto"/>
          </w:tcPr>
          <w:p w14:paraId="6A6D964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92B327C"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93C68DB"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7D8F8108" w14:textId="77777777" w:rsidR="00D40151" w:rsidRPr="00873B6C" w:rsidRDefault="00D40151" w:rsidP="009D14FB">
            <w:pPr>
              <w:pStyle w:val="TAL"/>
              <w:rPr>
                <w:sz w:val="16"/>
                <w:szCs w:val="16"/>
              </w:rPr>
            </w:pPr>
            <w:r w:rsidRPr="00873B6C">
              <w:rPr>
                <w:sz w:val="16"/>
                <w:szCs w:val="16"/>
              </w:rPr>
              <w:t>2258</w:t>
            </w:r>
          </w:p>
        </w:tc>
        <w:tc>
          <w:tcPr>
            <w:tcW w:w="425" w:type="dxa"/>
            <w:shd w:val="solid" w:color="FFFFFF" w:fill="auto"/>
          </w:tcPr>
          <w:p w14:paraId="05560A3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D1BE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753180" w14:textId="77777777" w:rsidR="00D40151" w:rsidRPr="00873B6C" w:rsidRDefault="00D40151" w:rsidP="009D14FB">
            <w:pPr>
              <w:pStyle w:val="TAL"/>
              <w:rPr>
                <w:sz w:val="16"/>
                <w:szCs w:val="16"/>
              </w:rPr>
            </w:pPr>
            <w:r w:rsidRPr="00873B6C">
              <w:rPr>
                <w:sz w:val="16"/>
                <w:szCs w:val="16"/>
              </w:rPr>
              <w:t>Corrections to steering modes</w:t>
            </w:r>
          </w:p>
        </w:tc>
        <w:tc>
          <w:tcPr>
            <w:tcW w:w="708" w:type="dxa"/>
            <w:shd w:val="solid" w:color="FFFFFF" w:fill="auto"/>
          </w:tcPr>
          <w:p w14:paraId="3FF8AC21" w14:textId="77777777" w:rsidR="00D40151" w:rsidRPr="00873B6C" w:rsidRDefault="00D40151" w:rsidP="009D14FB">
            <w:pPr>
              <w:pStyle w:val="TAC"/>
              <w:rPr>
                <w:sz w:val="16"/>
                <w:szCs w:val="16"/>
              </w:rPr>
            </w:pPr>
            <w:r w:rsidRPr="00873B6C">
              <w:rPr>
                <w:sz w:val="16"/>
                <w:szCs w:val="16"/>
              </w:rPr>
              <w:t>16.5.0</w:t>
            </w:r>
          </w:p>
        </w:tc>
      </w:tr>
      <w:tr w:rsidR="00D40151" w:rsidRPr="00873B6C" w14:paraId="708B2724" w14:textId="77777777" w:rsidTr="009D14FB">
        <w:tc>
          <w:tcPr>
            <w:tcW w:w="800" w:type="dxa"/>
            <w:shd w:val="solid" w:color="FFFFFF" w:fill="auto"/>
          </w:tcPr>
          <w:p w14:paraId="3956C952"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1760EC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921C6C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FD39C01" w14:textId="77777777" w:rsidR="00D40151" w:rsidRPr="00873B6C" w:rsidRDefault="00D40151" w:rsidP="009D14FB">
            <w:pPr>
              <w:pStyle w:val="TAL"/>
              <w:rPr>
                <w:sz w:val="16"/>
                <w:szCs w:val="16"/>
              </w:rPr>
            </w:pPr>
            <w:r w:rsidRPr="00873B6C">
              <w:rPr>
                <w:sz w:val="16"/>
                <w:szCs w:val="16"/>
              </w:rPr>
              <w:t>2263</w:t>
            </w:r>
          </w:p>
        </w:tc>
        <w:tc>
          <w:tcPr>
            <w:tcW w:w="425" w:type="dxa"/>
            <w:shd w:val="solid" w:color="FFFFFF" w:fill="auto"/>
          </w:tcPr>
          <w:p w14:paraId="5414B8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A0202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33A355" w14:textId="77777777" w:rsidR="00D40151" w:rsidRPr="00873B6C" w:rsidRDefault="00D40151" w:rsidP="009D14FB">
            <w:pPr>
              <w:pStyle w:val="TAL"/>
              <w:rPr>
                <w:sz w:val="16"/>
                <w:szCs w:val="16"/>
              </w:rPr>
            </w:pPr>
            <w:r w:rsidRPr="00873B6C">
              <w:rPr>
                <w:sz w:val="16"/>
                <w:szCs w:val="16"/>
              </w:rPr>
              <w:t>NF selection in SNPN 5GC</w:t>
            </w:r>
          </w:p>
        </w:tc>
        <w:tc>
          <w:tcPr>
            <w:tcW w:w="708" w:type="dxa"/>
            <w:shd w:val="solid" w:color="FFFFFF" w:fill="auto"/>
          </w:tcPr>
          <w:p w14:paraId="2A0DDAAF" w14:textId="77777777" w:rsidR="00D40151" w:rsidRPr="00873B6C" w:rsidRDefault="00D40151" w:rsidP="009D14FB">
            <w:pPr>
              <w:pStyle w:val="TAC"/>
              <w:rPr>
                <w:sz w:val="16"/>
                <w:szCs w:val="16"/>
              </w:rPr>
            </w:pPr>
            <w:r w:rsidRPr="00873B6C">
              <w:rPr>
                <w:sz w:val="16"/>
                <w:szCs w:val="16"/>
              </w:rPr>
              <w:t>16.5.0</w:t>
            </w:r>
          </w:p>
        </w:tc>
      </w:tr>
      <w:tr w:rsidR="00D40151" w:rsidRPr="00873B6C" w14:paraId="77A4D336" w14:textId="77777777" w:rsidTr="009D14FB">
        <w:tc>
          <w:tcPr>
            <w:tcW w:w="800" w:type="dxa"/>
            <w:shd w:val="solid" w:color="FFFFFF" w:fill="auto"/>
          </w:tcPr>
          <w:p w14:paraId="2569796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A64336C"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115947E"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43EE92F2" w14:textId="77777777" w:rsidR="00D40151" w:rsidRPr="00873B6C" w:rsidRDefault="00D40151" w:rsidP="009D14FB">
            <w:pPr>
              <w:pStyle w:val="TAL"/>
              <w:rPr>
                <w:sz w:val="16"/>
                <w:szCs w:val="16"/>
              </w:rPr>
            </w:pPr>
            <w:r w:rsidRPr="00873B6C">
              <w:rPr>
                <w:sz w:val="16"/>
                <w:szCs w:val="16"/>
              </w:rPr>
              <w:t>2268</w:t>
            </w:r>
          </w:p>
        </w:tc>
        <w:tc>
          <w:tcPr>
            <w:tcW w:w="425" w:type="dxa"/>
            <w:shd w:val="solid" w:color="FFFFFF" w:fill="auto"/>
          </w:tcPr>
          <w:p w14:paraId="32881A5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A675F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D835FB" w14:textId="77777777" w:rsidR="00D40151" w:rsidRPr="00873B6C" w:rsidRDefault="00D40151" w:rsidP="009D14FB">
            <w:pPr>
              <w:pStyle w:val="TAL"/>
              <w:rPr>
                <w:sz w:val="16"/>
                <w:szCs w:val="16"/>
              </w:rPr>
            </w:pPr>
            <w:r w:rsidRPr="00873B6C">
              <w:rPr>
                <w:sz w:val="16"/>
                <w:szCs w:val="16"/>
              </w:rPr>
              <w:t>Handling of pending NSSAI</w:t>
            </w:r>
          </w:p>
        </w:tc>
        <w:tc>
          <w:tcPr>
            <w:tcW w:w="708" w:type="dxa"/>
            <w:shd w:val="solid" w:color="FFFFFF" w:fill="auto"/>
          </w:tcPr>
          <w:p w14:paraId="339BB613" w14:textId="77777777" w:rsidR="00D40151" w:rsidRPr="00873B6C" w:rsidRDefault="00D40151" w:rsidP="009D14FB">
            <w:pPr>
              <w:pStyle w:val="TAC"/>
              <w:rPr>
                <w:sz w:val="16"/>
                <w:szCs w:val="16"/>
              </w:rPr>
            </w:pPr>
            <w:r w:rsidRPr="00873B6C">
              <w:rPr>
                <w:sz w:val="16"/>
                <w:szCs w:val="16"/>
              </w:rPr>
              <w:t>16.5.0</w:t>
            </w:r>
          </w:p>
        </w:tc>
      </w:tr>
      <w:tr w:rsidR="00D40151" w:rsidRPr="00873B6C" w14:paraId="34981A10" w14:textId="77777777" w:rsidTr="009D14FB">
        <w:tc>
          <w:tcPr>
            <w:tcW w:w="800" w:type="dxa"/>
            <w:shd w:val="solid" w:color="FFFFFF" w:fill="auto"/>
          </w:tcPr>
          <w:p w14:paraId="0947B66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F2E5E8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0ECF5DF" w14:textId="77777777" w:rsidR="00D40151" w:rsidRPr="00873B6C" w:rsidRDefault="00D40151" w:rsidP="009D14FB">
            <w:pPr>
              <w:pStyle w:val="TAC"/>
              <w:rPr>
                <w:sz w:val="16"/>
                <w:szCs w:val="16"/>
              </w:rPr>
            </w:pPr>
            <w:r w:rsidRPr="00873B6C">
              <w:rPr>
                <w:sz w:val="16"/>
                <w:szCs w:val="16"/>
              </w:rPr>
              <w:t>SP-200424</w:t>
            </w:r>
          </w:p>
        </w:tc>
        <w:tc>
          <w:tcPr>
            <w:tcW w:w="567" w:type="dxa"/>
            <w:shd w:val="solid" w:color="FFFFFF" w:fill="auto"/>
          </w:tcPr>
          <w:p w14:paraId="2DA158E2" w14:textId="77777777" w:rsidR="00D40151" w:rsidRPr="00873B6C" w:rsidRDefault="00D40151" w:rsidP="009D14FB">
            <w:pPr>
              <w:pStyle w:val="TAL"/>
              <w:rPr>
                <w:sz w:val="16"/>
                <w:szCs w:val="16"/>
              </w:rPr>
            </w:pPr>
            <w:r w:rsidRPr="00873B6C">
              <w:rPr>
                <w:sz w:val="16"/>
                <w:szCs w:val="16"/>
              </w:rPr>
              <w:t>2269</w:t>
            </w:r>
          </w:p>
        </w:tc>
        <w:tc>
          <w:tcPr>
            <w:tcW w:w="425" w:type="dxa"/>
            <w:shd w:val="solid" w:color="FFFFFF" w:fill="auto"/>
          </w:tcPr>
          <w:p w14:paraId="21DBAD0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389674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4B7C5C" w14:textId="77777777" w:rsidR="00D40151" w:rsidRPr="00873B6C" w:rsidRDefault="00D40151" w:rsidP="009D14FB">
            <w:pPr>
              <w:pStyle w:val="TAL"/>
              <w:rPr>
                <w:sz w:val="16"/>
                <w:szCs w:val="16"/>
              </w:rPr>
            </w:pPr>
            <w:r w:rsidRPr="00873B6C">
              <w:rPr>
                <w:sz w:val="16"/>
                <w:szCs w:val="16"/>
              </w:rPr>
              <w:t>Enablers for multiple SCPs (23.501)</w:t>
            </w:r>
          </w:p>
        </w:tc>
        <w:tc>
          <w:tcPr>
            <w:tcW w:w="708" w:type="dxa"/>
            <w:shd w:val="solid" w:color="FFFFFF" w:fill="auto"/>
          </w:tcPr>
          <w:p w14:paraId="6FEEBB66" w14:textId="77777777" w:rsidR="00D40151" w:rsidRPr="00873B6C" w:rsidRDefault="00D40151" w:rsidP="009D14FB">
            <w:pPr>
              <w:pStyle w:val="TAC"/>
              <w:rPr>
                <w:sz w:val="16"/>
                <w:szCs w:val="16"/>
              </w:rPr>
            </w:pPr>
            <w:r w:rsidRPr="00873B6C">
              <w:rPr>
                <w:sz w:val="16"/>
                <w:szCs w:val="16"/>
              </w:rPr>
              <w:t>16.5.0</w:t>
            </w:r>
          </w:p>
        </w:tc>
      </w:tr>
      <w:tr w:rsidR="00D40151" w:rsidRPr="00873B6C" w14:paraId="192C1951" w14:textId="77777777" w:rsidTr="009D14FB">
        <w:tc>
          <w:tcPr>
            <w:tcW w:w="800" w:type="dxa"/>
            <w:shd w:val="solid" w:color="FFFFFF" w:fill="auto"/>
          </w:tcPr>
          <w:p w14:paraId="4A2CA1C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D46C0C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E5DA32D"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3949C0E0" w14:textId="77777777" w:rsidR="00D40151" w:rsidRPr="00873B6C" w:rsidRDefault="00D40151" w:rsidP="009D14FB">
            <w:pPr>
              <w:pStyle w:val="TAL"/>
              <w:rPr>
                <w:sz w:val="16"/>
                <w:szCs w:val="16"/>
              </w:rPr>
            </w:pPr>
            <w:r w:rsidRPr="00873B6C">
              <w:rPr>
                <w:sz w:val="16"/>
                <w:szCs w:val="16"/>
              </w:rPr>
              <w:t>2270</w:t>
            </w:r>
          </w:p>
        </w:tc>
        <w:tc>
          <w:tcPr>
            <w:tcW w:w="425" w:type="dxa"/>
            <w:shd w:val="solid" w:color="FFFFFF" w:fill="auto"/>
          </w:tcPr>
          <w:p w14:paraId="5D792EC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05A8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1BF0D0" w14:textId="77777777" w:rsidR="00D40151" w:rsidRPr="00873B6C" w:rsidRDefault="00D40151" w:rsidP="009D14FB">
            <w:pPr>
              <w:pStyle w:val="TAL"/>
              <w:rPr>
                <w:sz w:val="16"/>
                <w:szCs w:val="16"/>
              </w:rPr>
            </w:pPr>
            <w:r w:rsidRPr="00873B6C">
              <w:rPr>
                <w:sz w:val="16"/>
                <w:szCs w:val="16"/>
              </w:rPr>
              <w:t>Removal of service area for UE registration with empty Allowed NSSAI due to pending NSSAA</w:t>
            </w:r>
          </w:p>
        </w:tc>
        <w:tc>
          <w:tcPr>
            <w:tcW w:w="708" w:type="dxa"/>
            <w:shd w:val="solid" w:color="FFFFFF" w:fill="auto"/>
          </w:tcPr>
          <w:p w14:paraId="23F21569" w14:textId="77777777" w:rsidR="00D40151" w:rsidRPr="00873B6C" w:rsidRDefault="00D40151" w:rsidP="009D14FB">
            <w:pPr>
              <w:pStyle w:val="TAC"/>
              <w:rPr>
                <w:sz w:val="16"/>
                <w:szCs w:val="16"/>
              </w:rPr>
            </w:pPr>
            <w:r w:rsidRPr="00873B6C">
              <w:rPr>
                <w:sz w:val="16"/>
                <w:szCs w:val="16"/>
              </w:rPr>
              <w:t>16.5.0</w:t>
            </w:r>
          </w:p>
        </w:tc>
      </w:tr>
      <w:tr w:rsidR="00D40151" w:rsidRPr="00873B6C" w14:paraId="78E7BDA5" w14:textId="77777777" w:rsidTr="009D14FB">
        <w:tc>
          <w:tcPr>
            <w:tcW w:w="800" w:type="dxa"/>
            <w:shd w:val="solid" w:color="FFFFFF" w:fill="auto"/>
          </w:tcPr>
          <w:p w14:paraId="4BD3E66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B3BF80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6A71E39" w14:textId="77777777" w:rsidR="00D40151" w:rsidRPr="00873B6C" w:rsidRDefault="00D40151" w:rsidP="009D14FB">
            <w:pPr>
              <w:pStyle w:val="TAC"/>
              <w:rPr>
                <w:sz w:val="16"/>
                <w:szCs w:val="16"/>
              </w:rPr>
            </w:pPr>
            <w:r w:rsidRPr="00873B6C">
              <w:rPr>
                <w:sz w:val="16"/>
                <w:szCs w:val="16"/>
              </w:rPr>
              <w:t>SP-200424</w:t>
            </w:r>
          </w:p>
        </w:tc>
        <w:tc>
          <w:tcPr>
            <w:tcW w:w="567" w:type="dxa"/>
            <w:shd w:val="solid" w:color="FFFFFF" w:fill="auto"/>
          </w:tcPr>
          <w:p w14:paraId="343F7050" w14:textId="77777777" w:rsidR="00D40151" w:rsidRPr="00873B6C" w:rsidRDefault="00D40151" w:rsidP="009D14FB">
            <w:pPr>
              <w:pStyle w:val="TAL"/>
              <w:rPr>
                <w:sz w:val="16"/>
                <w:szCs w:val="16"/>
              </w:rPr>
            </w:pPr>
            <w:r w:rsidRPr="00873B6C">
              <w:rPr>
                <w:sz w:val="16"/>
                <w:szCs w:val="16"/>
              </w:rPr>
              <w:t>2271</w:t>
            </w:r>
          </w:p>
        </w:tc>
        <w:tc>
          <w:tcPr>
            <w:tcW w:w="425" w:type="dxa"/>
            <w:shd w:val="solid" w:color="FFFFFF" w:fill="auto"/>
          </w:tcPr>
          <w:p w14:paraId="00C46D5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AA3E9B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48F688" w14:textId="77777777" w:rsidR="00D40151" w:rsidRPr="00873B6C" w:rsidRDefault="00D40151" w:rsidP="009D14FB">
            <w:pPr>
              <w:pStyle w:val="TAL"/>
              <w:rPr>
                <w:sz w:val="16"/>
                <w:szCs w:val="16"/>
              </w:rPr>
            </w:pPr>
            <w:r w:rsidRPr="00873B6C">
              <w:rPr>
                <w:sz w:val="16"/>
                <w:szCs w:val="16"/>
              </w:rPr>
              <w:t>Corrections to Principles for Binding, Selection and Reselection</w:t>
            </w:r>
          </w:p>
        </w:tc>
        <w:tc>
          <w:tcPr>
            <w:tcW w:w="708" w:type="dxa"/>
            <w:shd w:val="solid" w:color="FFFFFF" w:fill="auto"/>
          </w:tcPr>
          <w:p w14:paraId="03268C79" w14:textId="77777777" w:rsidR="00D40151" w:rsidRPr="00873B6C" w:rsidRDefault="00D40151" w:rsidP="009D14FB">
            <w:pPr>
              <w:pStyle w:val="TAC"/>
              <w:rPr>
                <w:sz w:val="16"/>
                <w:szCs w:val="16"/>
              </w:rPr>
            </w:pPr>
            <w:r w:rsidRPr="00873B6C">
              <w:rPr>
                <w:sz w:val="16"/>
                <w:szCs w:val="16"/>
              </w:rPr>
              <w:t>16.5.0</w:t>
            </w:r>
          </w:p>
        </w:tc>
      </w:tr>
      <w:tr w:rsidR="00D40151" w:rsidRPr="00873B6C" w14:paraId="067330EB" w14:textId="77777777" w:rsidTr="009D14FB">
        <w:tc>
          <w:tcPr>
            <w:tcW w:w="800" w:type="dxa"/>
            <w:shd w:val="solid" w:color="FFFFFF" w:fill="auto"/>
          </w:tcPr>
          <w:p w14:paraId="6D634BE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564533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4D8F431"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521CD0C5" w14:textId="77777777" w:rsidR="00D40151" w:rsidRPr="00873B6C" w:rsidRDefault="00D40151" w:rsidP="009D14FB">
            <w:pPr>
              <w:pStyle w:val="TAL"/>
              <w:rPr>
                <w:sz w:val="16"/>
                <w:szCs w:val="16"/>
              </w:rPr>
            </w:pPr>
            <w:r w:rsidRPr="00873B6C">
              <w:rPr>
                <w:sz w:val="16"/>
                <w:szCs w:val="16"/>
              </w:rPr>
              <w:t>2274</w:t>
            </w:r>
          </w:p>
        </w:tc>
        <w:tc>
          <w:tcPr>
            <w:tcW w:w="425" w:type="dxa"/>
            <w:shd w:val="solid" w:color="FFFFFF" w:fill="auto"/>
          </w:tcPr>
          <w:p w14:paraId="3681EEA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1AD7B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712A9F" w14:textId="77777777" w:rsidR="00D40151" w:rsidRPr="00873B6C" w:rsidRDefault="00D40151" w:rsidP="009D14FB">
            <w:pPr>
              <w:pStyle w:val="TAL"/>
              <w:rPr>
                <w:sz w:val="16"/>
                <w:szCs w:val="16"/>
              </w:rPr>
            </w:pPr>
            <w:r w:rsidRPr="00873B6C">
              <w:rPr>
                <w:sz w:val="16"/>
                <w:szCs w:val="16"/>
              </w:rPr>
              <w:t>Clarification for the NSSAI in NSSAA procedure of roaming scenario</w:t>
            </w:r>
          </w:p>
        </w:tc>
        <w:tc>
          <w:tcPr>
            <w:tcW w:w="708" w:type="dxa"/>
            <w:shd w:val="solid" w:color="FFFFFF" w:fill="auto"/>
          </w:tcPr>
          <w:p w14:paraId="7B7D069A" w14:textId="77777777" w:rsidR="00D40151" w:rsidRPr="00873B6C" w:rsidRDefault="00D40151" w:rsidP="009D14FB">
            <w:pPr>
              <w:pStyle w:val="TAC"/>
              <w:rPr>
                <w:sz w:val="16"/>
                <w:szCs w:val="16"/>
              </w:rPr>
            </w:pPr>
            <w:r w:rsidRPr="00873B6C">
              <w:rPr>
                <w:sz w:val="16"/>
                <w:szCs w:val="16"/>
              </w:rPr>
              <w:t>16.5.0</w:t>
            </w:r>
          </w:p>
        </w:tc>
      </w:tr>
      <w:tr w:rsidR="00D40151" w:rsidRPr="00873B6C" w14:paraId="0193A7F8" w14:textId="77777777" w:rsidTr="009D14FB">
        <w:tc>
          <w:tcPr>
            <w:tcW w:w="800" w:type="dxa"/>
            <w:shd w:val="solid" w:color="FFFFFF" w:fill="auto"/>
          </w:tcPr>
          <w:p w14:paraId="0C285B4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34347B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7239199"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3A956B0F" w14:textId="77777777" w:rsidR="00D40151" w:rsidRPr="00873B6C" w:rsidRDefault="00D40151" w:rsidP="009D14FB">
            <w:pPr>
              <w:pStyle w:val="TAL"/>
              <w:rPr>
                <w:sz w:val="16"/>
                <w:szCs w:val="16"/>
              </w:rPr>
            </w:pPr>
            <w:r w:rsidRPr="00873B6C">
              <w:rPr>
                <w:sz w:val="16"/>
                <w:szCs w:val="16"/>
              </w:rPr>
              <w:t>2276</w:t>
            </w:r>
          </w:p>
        </w:tc>
        <w:tc>
          <w:tcPr>
            <w:tcW w:w="425" w:type="dxa"/>
            <w:shd w:val="solid" w:color="FFFFFF" w:fill="auto"/>
          </w:tcPr>
          <w:p w14:paraId="1138EC1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FC575A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3EB4CC" w14:textId="77777777" w:rsidR="00D40151" w:rsidRPr="00873B6C" w:rsidRDefault="00D40151" w:rsidP="009D14FB">
            <w:pPr>
              <w:pStyle w:val="TAL"/>
              <w:rPr>
                <w:sz w:val="16"/>
                <w:szCs w:val="16"/>
              </w:rPr>
            </w:pPr>
            <w:r w:rsidRPr="00873B6C">
              <w:rPr>
                <w:sz w:val="16"/>
                <w:szCs w:val="16"/>
              </w:rPr>
              <w:t>MA-PDU Session establishment in Non-allowed Area</w:t>
            </w:r>
          </w:p>
        </w:tc>
        <w:tc>
          <w:tcPr>
            <w:tcW w:w="708" w:type="dxa"/>
            <w:shd w:val="solid" w:color="FFFFFF" w:fill="auto"/>
          </w:tcPr>
          <w:p w14:paraId="31AAD3FF" w14:textId="77777777" w:rsidR="00D40151" w:rsidRPr="00873B6C" w:rsidRDefault="00D40151" w:rsidP="009D14FB">
            <w:pPr>
              <w:pStyle w:val="TAC"/>
              <w:rPr>
                <w:sz w:val="16"/>
                <w:szCs w:val="16"/>
              </w:rPr>
            </w:pPr>
            <w:r w:rsidRPr="00873B6C">
              <w:rPr>
                <w:sz w:val="16"/>
                <w:szCs w:val="16"/>
              </w:rPr>
              <w:t>16.5.0</w:t>
            </w:r>
          </w:p>
        </w:tc>
      </w:tr>
      <w:tr w:rsidR="00D40151" w:rsidRPr="00873B6C" w14:paraId="42575E00" w14:textId="77777777" w:rsidTr="009D14FB">
        <w:tc>
          <w:tcPr>
            <w:tcW w:w="800" w:type="dxa"/>
            <w:shd w:val="solid" w:color="FFFFFF" w:fill="auto"/>
          </w:tcPr>
          <w:p w14:paraId="189F8FC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C5B0E4C"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C405284"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1AAA461B" w14:textId="77777777" w:rsidR="00D40151" w:rsidRPr="00873B6C" w:rsidRDefault="00D40151" w:rsidP="009D14FB">
            <w:pPr>
              <w:pStyle w:val="TAL"/>
              <w:rPr>
                <w:sz w:val="16"/>
                <w:szCs w:val="16"/>
              </w:rPr>
            </w:pPr>
            <w:r w:rsidRPr="00873B6C">
              <w:rPr>
                <w:sz w:val="16"/>
                <w:szCs w:val="16"/>
              </w:rPr>
              <w:t>2277</w:t>
            </w:r>
          </w:p>
        </w:tc>
        <w:tc>
          <w:tcPr>
            <w:tcW w:w="425" w:type="dxa"/>
            <w:shd w:val="solid" w:color="FFFFFF" w:fill="auto"/>
          </w:tcPr>
          <w:p w14:paraId="11503D7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52FF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175892" w14:textId="77777777" w:rsidR="00D40151" w:rsidRPr="00873B6C" w:rsidRDefault="00D40151" w:rsidP="009D14FB">
            <w:pPr>
              <w:pStyle w:val="TAL"/>
              <w:rPr>
                <w:sz w:val="16"/>
                <w:szCs w:val="16"/>
              </w:rPr>
            </w:pPr>
            <w:r w:rsidRPr="00873B6C">
              <w:rPr>
                <w:sz w:val="16"/>
                <w:szCs w:val="16"/>
              </w:rPr>
              <w:t>Small data rate control enforcement of normal and exception data</w:t>
            </w:r>
          </w:p>
        </w:tc>
        <w:tc>
          <w:tcPr>
            <w:tcW w:w="708" w:type="dxa"/>
            <w:shd w:val="solid" w:color="FFFFFF" w:fill="auto"/>
          </w:tcPr>
          <w:p w14:paraId="57ADD1D3" w14:textId="77777777" w:rsidR="00D40151" w:rsidRPr="00873B6C" w:rsidRDefault="00D40151" w:rsidP="009D14FB">
            <w:pPr>
              <w:pStyle w:val="TAC"/>
              <w:rPr>
                <w:sz w:val="16"/>
                <w:szCs w:val="16"/>
              </w:rPr>
            </w:pPr>
            <w:r w:rsidRPr="00873B6C">
              <w:rPr>
                <w:sz w:val="16"/>
                <w:szCs w:val="16"/>
              </w:rPr>
              <w:t>16.5.0</w:t>
            </w:r>
          </w:p>
        </w:tc>
      </w:tr>
      <w:tr w:rsidR="00D40151" w:rsidRPr="00873B6C" w14:paraId="7E1BD3A8" w14:textId="77777777" w:rsidTr="009D14FB">
        <w:tc>
          <w:tcPr>
            <w:tcW w:w="800" w:type="dxa"/>
            <w:shd w:val="solid" w:color="FFFFFF" w:fill="auto"/>
          </w:tcPr>
          <w:p w14:paraId="2CBDF16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DE1E5BE"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E3752C9"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B6FBBAB" w14:textId="77777777" w:rsidR="00D40151" w:rsidRPr="00873B6C" w:rsidRDefault="00D40151" w:rsidP="009D14FB">
            <w:pPr>
              <w:pStyle w:val="TAL"/>
              <w:rPr>
                <w:sz w:val="16"/>
                <w:szCs w:val="16"/>
              </w:rPr>
            </w:pPr>
            <w:r w:rsidRPr="00873B6C">
              <w:rPr>
                <w:sz w:val="16"/>
                <w:szCs w:val="16"/>
              </w:rPr>
              <w:t>2278</w:t>
            </w:r>
          </w:p>
        </w:tc>
        <w:tc>
          <w:tcPr>
            <w:tcW w:w="425" w:type="dxa"/>
            <w:shd w:val="solid" w:color="FFFFFF" w:fill="auto"/>
          </w:tcPr>
          <w:p w14:paraId="287F500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72D42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4DD66E" w14:textId="77777777" w:rsidR="00D40151" w:rsidRPr="00873B6C" w:rsidRDefault="00D40151" w:rsidP="009D14FB">
            <w:pPr>
              <w:pStyle w:val="TAL"/>
              <w:rPr>
                <w:sz w:val="16"/>
                <w:szCs w:val="16"/>
              </w:rPr>
            </w:pPr>
            <w:r w:rsidRPr="00873B6C">
              <w:rPr>
                <w:sz w:val="16"/>
                <w:szCs w:val="16"/>
              </w:rPr>
              <w:t>Correcting 5GS TSN bridge delays</w:t>
            </w:r>
          </w:p>
        </w:tc>
        <w:tc>
          <w:tcPr>
            <w:tcW w:w="708" w:type="dxa"/>
            <w:shd w:val="solid" w:color="FFFFFF" w:fill="auto"/>
          </w:tcPr>
          <w:p w14:paraId="6B2824E2" w14:textId="77777777" w:rsidR="00D40151" w:rsidRPr="00873B6C" w:rsidRDefault="00D40151" w:rsidP="009D14FB">
            <w:pPr>
              <w:pStyle w:val="TAC"/>
              <w:rPr>
                <w:sz w:val="16"/>
                <w:szCs w:val="16"/>
              </w:rPr>
            </w:pPr>
            <w:r w:rsidRPr="00873B6C">
              <w:rPr>
                <w:sz w:val="16"/>
                <w:szCs w:val="16"/>
              </w:rPr>
              <w:t>16.5.0</w:t>
            </w:r>
          </w:p>
        </w:tc>
      </w:tr>
      <w:tr w:rsidR="00D40151" w:rsidRPr="00873B6C" w14:paraId="0D1BBED7" w14:textId="77777777" w:rsidTr="009D14FB">
        <w:tc>
          <w:tcPr>
            <w:tcW w:w="800" w:type="dxa"/>
            <w:shd w:val="solid" w:color="FFFFFF" w:fill="auto"/>
          </w:tcPr>
          <w:p w14:paraId="0C93C10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B61F4A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7F377D9" w14:textId="77777777" w:rsidR="00D40151" w:rsidRPr="00873B6C" w:rsidRDefault="00D40151" w:rsidP="009D14FB">
            <w:pPr>
              <w:pStyle w:val="TAC"/>
              <w:rPr>
                <w:sz w:val="16"/>
                <w:szCs w:val="16"/>
              </w:rPr>
            </w:pPr>
            <w:r w:rsidRPr="00873B6C">
              <w:rPr>
                <w:sz w:val="16"/>
                <w:szCs w:val="16"/>
              </w:rPr>
              <w:t>SP-200430</w:t>
            </w:r>
          </w:p>
        </w:tc>
        <w:tc>
          <w:tcPr>
            <w:tcW w:w="567" w:type="dxa"/>
            <w:shd w:val="solid" w:color="FFFFFF" w:fill="auto"/>
          </w:tcPr>
          <w:p w14:paraId="724976C0" w14:textId="77777777" w:rsidR="00D40151" w:rsidRPr="00873B6C" w:rsidRDefault="00D40151" w:rsidP="009D14FB">
            <w:pPr>
              <w:pStyle w:val="TAL"/>
              <w:rPr>
                <w:sz w:val="16"/>
                <w:szCs w:val="16"/>
              </w:rPr>
            </w:pPr>
            <w:r w:rsidRPr="00873B6C">
              <w:rPr>
                <w:sz w:val="16"/>
                <w:szCs w:val="16"/>
              </w:rPr>
              <w:t>2279</w:t>
            </w:r>
          </w:p>
        </w:tc>
        <w:tc>
          <w:tcPr>
            <w:tcW w:w="425" w:type="dxa"/>
            <w:shd w:val="solid" w:color="FFFFFF" w:fill="auto"/>
          </w:tcPr>
          <w:p w14:paraId="075DA96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F396F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859D78" w14:textId="77777777" w:rsidR="00D40151" w:rsidRPr="00873B6C" w:rsidRDefault="00D40151" w:rsidP="009D14FB">
            <w:pPr>
              <w:pStyle w:val="TAL"/>
              <w:rPr>
                <w:sz w:val="16"/>
                <w:szCs w:val="16"/>
              </w:rPr>
            </w:pPr>
            <w:r w:rsidRPr="00873B6C">
              <w:rPr>
                <w:sz w:val="16"/>
                <w:szCs w:val="16"/>
              </w:rPr>
              <w:t>Corrections to HSS Discovery</w:t>
            </w:r>
          </w:p>
        </w:tc>
        <w:tc>
          <w:tcPr>
            <w:tcW w:w="708" w:type="dxa"/>
            <w:shd w:val="solid" w:color="FFFFFF" w:fill="auto"/>
          </w:tcPr>
          <w:p w14:paraId="25F6EE2B" w14:textId="77777777" w:rsidR="00D40151" w:rsidRPr="00873B6C" w:rsidRDefault="00D40151" w:rsidP="009D14FB">
            <w:pPr>
              <w:pStyle w:val="TAC"/>
              <w:rPr>
                <w:sz w:val="16"/>
                <w:szCs w:val="16"/>
              </w:rPr>
            </w:pPr>
            <w:r w:rsidRPr="00873B6C">
              <w:rPr>
                <w:sz w:val="16"/>
                <w:szCs w:val="16"/>
              </w:rPr>
              <w:t>16.5.0</w:t>
            </w:r>
          </w:p>
        </w:tc>
      </w:tr>
      <w:tr w:rsidR="00D40151" w:rsidRPr="00873B6C" w14:paraId="4D3866F6" w14:textId="77777777" w:rsidTr="009D14FB">
        <w:tc>
          <w:tcPr>
            <w:tcW w:w="800" w:type="dxa"/>
            <w:shd w:val="solid" w:color="FFFFFF" w:fill="auto"/>
          </w:tcPr>
          <w:p w14:paraId="7C750210"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FDD165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FAF3BF5"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09C07DD" w14:textId="77777777" w:rsidR="00D40151" w:rsidRPr="00873B6C" w:rsidRDefault="00D40151" w:rsidP="009D14FB">
            <w:pPr>
              <w:pStyle w:val="TAL"/>
              <w:rPr>
                <w:sz w:val="16"/>
                <w:szCs w:val="16"/>
              </w:rPr>
            </w:pPr>
            <w:r w:rsidRPr="00873B6C">
              <w:rPr>
                <w:sz w:val="16"/>
                <w:szCs w:val="16"/>
              </w:rPr>
              <w:t>2285</w:t>
            </w:r>
          </w:p>
        </w:tc>
        <w:tc>
          <w:tcPr>
            <w:tcW w:w="425" w:type="dxa"/>
            <w:shd w:val="solid" w:color="FFFFFF" w:fill="auto"/>
          </w:tcPr>
          <w:p w14:paraId="4CE6654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C927C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078083" w14:textId="77777777" w:rsidR="00D40151" w:rsidRPr="00873B6C" w:rsidRDefault="00D40151" w:rsidP="009D14FB">
            <w:pPr>
              <w:pStyle w:val="TAL"/>
              <w:rPr>
                <w:sz w:val="16"/>
                <w:szCs w:val="16"/>
              </w:rPr>
            </w:pPr>
            <w:r w:rsidRPr="00873B6C">
              <w:rPr>
                <w:sz w:val="16"/>
                <w:szCs w:val="16"/>
              </w:rPr>
              <w:t>Annex I Clarification</w:t>
            </w:r>
          </w:p>
        </w:tc>
        <w:tc>
          <w:tcPr>
            <w:tcW w:w="708" w:type="dxa"/>
            <w:shd w:val="solid" w:color="FFFFFF" w:fill="auto"/>
          </w:tcPr>
          <w:p w14:paraId="5FDA1A86" w14:textId="77777777" w:rsidR="00D40151" w:rsidRPr="00873B6C" w:rsidRDefault="00D40151" w:rsidP="009D14FB">
            <w:pPr>
              <w:pStyle w:val="TAC"/>
              <w:rPr>
                <w:sz w:val="16"/>
                <w:szCs w:val="16"/>
              </w:rPr>
            </w:pPr>
            <w:r w:rsidRPr="00873B6C">
              <w:rPr>
                <w:sz w:val="16"/>
                <w:szCs w:val="16"/>
              </w:rPr>
              <w:t>16.5.0</w:t>
            </w:r>
          </w:p>
        </w:tc>
      </w:tr>
      <w:tr w:rsidR="00D40151" w:rsidRPr="00873B6C" w14:paraId="7C8B6843" w14:textId="77777777" w:rsidTr="009D14FB">
        <w:tc>
          <w:tcPr>
            <w:tcW w:w="800" w:type="dxa"/>
            <w:shd w:val="solid" w:color="FFFFFF" w:fill="auto"/>
          </w:tcPr>
          <w:p w14:paraId="07D2D4D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E3D18E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8F0F7A3"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F58F803" w14:textId="77777777" w:rsidR="00D40151" w:rsidRPr="00873B6C" w:rsidRDefault="00D40151" w:rsidP="009D14FB">
            <w:pPr>
              <w:pStyle w:val="TAL"/>
              <w:rPr>
                <w:sz w:val="16"/>
                <w:szCs w:val="16"/>
              </w:rPr>
            </w:pPr>
            <w:r w:rsidRPr="00873B6C">
              <w:rPr>
                <w:sz w:val="16"/>
                <w:szCs w:val="16"/>
              </w:rPr>
              <w:t>2287</w:t>
            </w:r>
          </w:p>
        </w:tc>
        <w:tc>
          <w:tcPr>
            <w:tcW w:w="425" w:type="dxa"/>
            <w:shd w:val="solid" w:color="FFFFFF" w:fill="auto"/>
          </w:tcPr>
          <w:p w14:paraId="732F761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ED2128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1D3AC7" w14:textId="77777777" w:rsidR="00D40151" w:rsidRPr="00873B6C" w:rsidRDefault="00D40151" w:rsidP="009D14FB">
            <w:pPr>
              <w:pStyle w:val="TAL"/>
              <w:rPr>
                <w:sz w:val="16"/>
                <w:szCs w:val="16"/>
              </w:rPr>
            </w:pPr>
            <w:r w:rsidRPr="00873B6C">
              <w:rPr>
                <w:sz w:val="16"/>
                <w:szCs w:val="16"/>
              </w:rPr>
              <w:t>Bridge Management Clarification</w:t>
            </w:r>
          </w:p>
        </w:tc>
        <w:tc>
          <w:tcPr>
            <w:tcW w:w="708" w:type="dxa"/>
            <w:shd w:val="solid" w:color="FFFFFF" w:fill="auto"/>
          </w:tcPr>
          <w:p w14:paraId="6864C2A0" w14:textId="77777777" w:rsidR="00D40151" w:rsidRPr="00873B6C" w:rsidRDefault="00D40151" w:rsidP="009D14FB">
            <w:pPr>
              <w:pStyle w:val="TAC"/>
              <w:rPr>
                <w:sz w:val="16"/>
                <w:szCs w:val="16"/>
              </w:rPr>
            </w:pPr>
            <w:r w:rsidRPr="00873B6C">
              <w:rPr>
                <w:sz w:val="16"/>
                <w:szCs w:val="16"/>
              </w:rPr>
              <w:t>16.5.0</w:t>
            </w:r>
          </w:p>
        </w:tc>
      </w:tr>
      <w:tr w:rsidR="00D40151" w:rsidRPr="00873B6C" w14:paraId="5EE5C139" w14:textId="77777777" w:rsidTr="009D14FB">
        <w:tc>
          <w:tcPr>
            <w:tcW w:w="800" w:type="dxa"/>
            <w:shd w:val="solid" w:color="FFFFFF" w:fill="auto"/>
          </w:tcPr>
          <w:p w14:paraId="0B2BC10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8984E8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6089077"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419B0AC2" w14:textId="77777777" w:rsidR="00D40151" w:rsidRPr="00873B6C" w:rsidRDefault="00D40151" w:rsidP="009D14FB">
            <w:pPr>
              <w:pStyle w:val="TAL"/>
              <w:rPr>
                <w:sz w:val="16"/>
                <w:szCs w:val="16"/>
              </w:rPr>
            </w:pPr>
            <w:r w:rsidRPr="00873B6C">
              <w:rPr>
                <w:sz w:val="16"/>
                <w:szCs w:val="16"/>
              </w:rPr>
              <w:t>2292</w:t>
            </w:r>
          </w:p>
        </w:tc>
        <w:tc>
          <w:tcPr>
            <w:tcW w:w="425" w:type="dxa"/>
            <w:shd w:val="solid" w:color="FFFFFF" w:fill="auto"/>
          </w:tcPr>
          <w:p w14:paraId="73F8931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23082D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1790A0" w14:textId="77777777" w:rsidR="00D40151" w:rsidRPr="00873B6C" w:rsidRDefault="00D40151" w:rsidP="009D14FB">
            <w:pPr>
              <w:pStyle w:val="TAL"/>
              <w:rPr>
                <w:sz w:val="16"/>
                <w:szCs w:val="16"/>
              </w:rPr>
            </w:pPr>
            <w:r w:rsidRPr="00873B6C">
              <w:rPr>
                <w:sz w:val="16"/>
                <w:szCs w:val="16"/>
              </w:rPr>
              <w:t>Correction on ATSSS rule generation</w:t>
            </w:r>
          </w:p>
        </w:tc>
        <w:tc>
          <w:tcPr>
            <w:tcW w:w="708" w:type="dxa"/>
            <w:shd w:val="solid" w:color="FFFFFF" w:fill="auto"/>
          </w:tcPr>
          <w:p w14:paraId="351417E7" w14:textId="77777777" w:rsidR="00D40151" w:rsidRPr="00873B6C" w:rsidRDefault="00D40151" w:rsidP="009D14FB">
            <w:pPr>
              <w:pStyle w:val="TAC"/>
              <w:rPr>
                <w:sz w:val="16"/>
                <w:szCs w:val="16"/>
              </w:rPr>
            </w:pPr>
            <w:r w:rsidRPr="00873B6C">
              <w:rPr>
                <w:sz w:val="16"/>
                <w:szCs w:val="16"/>
              </w:rPr>
              <w:t>16.5.0</w:t>
            </w:r>
          </w:p>
        </w:tc>
      </w:tr>
      <w:tr w:rsidR="00D40151" w:rsidRPr="00873B6C" w14:paraId="04668629" w14:textId="77777777" w:rsidTr="009D14FB">
        <w:tc>
          <w:tcPr>
            <w:tcW w:w="800" w:type="dxa"/>
            <w:shd w:val="solid" w:color="FFFFFF" w:fill="auto"/>
          </w:tcPr>
          <w:p w14:paraId="2F328C69"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14176C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77699F2" w14:textId="77777777" w:rsidR="00D40151" w:rsidRPr="00873B6C" w:rsidRDefault="00D40151" w:rsidP="009D14FB">
            <w:pPr>
              <w:pStyle w:val="TAC"/>
              <w:rPr>
                <w:sz w:val="16"/>
                <w:szCs w:val="16"/>
              </w:rPr>
            </w:pPr>
            <w:r w:rsidRPr="00873B6C">
              <w:rPr>
                <w:sz w:val="16"/>
                <w:szCs w:val="16"/>
              </w:rPr>
              <w:t>SP-200425</w:t>
            </w:r>
          </w:p>
        </w:tc>
        <w:tc>
          <w:tcPr>
            <w:tcW w:w="567" w:type="dxa"/>
            <w:shd w:val="solid" w:color="FFFFFF" w:fill="auto"/>
          </w:tcPr>
          <w:p w14:paraId="6BFC90BC" w14:textId="77777777" w:rsidR="00D40151" w:rsidRPr="00873B6C" w:rsidRDefault="00D40151" w:rsidP="009D14FB">
            <w:pPr>
              <w:pStyle w:val="TAL"/>
              <w:rPr>
                <w:sz w:val="16"/>
                <w:szCs w:val="16"/>
              </w:rPr>
            </w:pPr>
            <w:r w:rsidRPr="00873B6C">
              <w:rPr>
                <w:sz w:val="16"/>
                <w:szCs w:val="16"/>
              </w:rPr>
              <w:t>2293</w:t>
            </w:r>
          </w:p>
        </w:tc>
        <w:tc>
          <w:tcPr>
            <w:tcW w:w="425" w:type="dxa"/>
            <w:shd w:val="solid" w:color="FFFFFF" w:fill="auto"/>
          </w:tcPr>
          <w:p w14:paraId="5349628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5499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804550" w14:textId="77777777" w:rsidR="00D40151" w:rsidRPr="00873B6C" w:rsidRDefault="00D40151" w:rsidP="009D14FB">
            <w:pPr>
              <w:pStyle w:val="TAL"/>
              <w:rPr>
                <w:sz w:val="16"/>
                <w:szCs w:val="16"/>
              </w:rPr>
            </w:pPr>
            <w:r w:rsidRPr="00873B6C">
              <w:rPr>
                <w:sz w:val="16"/>
                <w:szCs w:val="16"/>
              </w:rPr>
              <w:t>Correction of RAN part of packet delay for QoS monitoring</w:t>
            </w:r>
          </w:p>
        </w:tc>
        <w:tc>
          <w:tcPr>
            <w:tcW w:w="708" w:type="dxa"/>
            <w:shd w:val="solid" w:color="FFFFFF" w:fill="auto"/>
          </w:tcPr>
          <w:p w14:paraId="04EFF3BE" w14:textId="77777777" w:rsidR="00D40151" w:rsidRPr="00873B6C" w:rsidRDefault="00D40151" w:rsidP="009D14FB">
            <w:pPr>
              <w:pStyle w:val="TAC"/>
              <w:rPr>
                <w:sz w:val="16"/>
                <w:szCs w:val="16"/>
              </w:rPr>
            </w:pPr>
            <w:r w:rsidRPr="00873B6C">
              <w:rPr>
                <w:sz w:val="16"/>
                <w:szCs w:val="16"/>
              </w:rPr>
              <w:t>16.5.0</w:t>
            </w:r>
          </w:p>
        </w:tc>
      </w:tr>
      <w:tr w:rsidR="00D40151" w:rsidRPr="00873B6C" w14:paraId="162C1CDD" w14:textId="77777777" w:rsidTr="009D14FB">
        <w:tc>
          <w:tcPr>
            <w:tcW w:w="800" w:type="dxa"/>
            <w:shd w:val="solid" w:color="FFFFFF" w:fill="auto"/>
          </w:tcPr>
          <w:p w14:paraId="6C3586F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C87BB2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E237FBD" w14:textId="77777777" w:rsidR="00D40151" w:rsidRPr="00873B6C" w:rsidRDefault="00D40151" w:rsidP="009D14FB">
            <w:pPr>
              <w:pStyle w:val="TAC"/>
              <w:rPr>
                <w:sz w:val="16"/>
                <w:szCs w:val="16"/>
              </w:rPr>
            </w:pPr>
            <w:r w:rsidRPr="00873B6C">
              <w:rPr>
                <w:sz w:val="16"/>
                <w:szCs w:val="16"/>
              </w:rPr>
              <w:t>SP-200420</w:t>
            </w:r>
          </w:p>
        </w:tc>
        <w:tc>
          <w:tcPr>
            <w:tcW w:w="567" w:type="dxa"/>
            <w:shd w:val="solid" w:color="FFFFFF" w:fill="auto"/>
          </w:tcPr>
          <w:p w14:paraId="12E854D2" w14:textId="77777777" w:rsidR="00D40151" w:rsidRPr="00873B6C" w:rsidRDefault="00D40151" w:rsidP="009D14FB">
            <w:pPr>
              <w:pStyle w:val="TAL"/>
              <w:rPr>
                <w:sz w:val="16"/>
                <w:szCs w:val="16"/>
              </w:rPr>
            </w:pPr>
            <w:r w:rsidRPr="00873B6C">
              <w:rPr>
                <w:sz w:val="16"/>
                <w:szCs w:val="16"/>
              </w:rPr>
              <w:t>2299</w:t>
            </w:r>
          </w:p>
        </w:tc>
        <w:tc>
          <w:tcPr>
            <w:tcW w:w="425" w:type="dxa"/>
            <w:shd w:val="solid" w:color="FFFFFF" w:fill="auto"/>
          </w:tcPr>
          <w:p w14:paraId="760AC9F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F3D69D"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237D0780" w14:textId="77777777" w:rsidR="00D40151" w:rsidRPr="00873B6C" w:rsidRDefault="00D40151" w:rsidP="009D14FB">
            <w:pPr>
              <w:pStyle w:val="TAL"/>
              <w:rPr>
                <w:sz w:val="16"/>
                <w:szCs w:val="16"/>
              </w:rPr>
            </w:pPr>
            <w:r w:rsidRPr="00873B6C">
              <w:rPr>
                <w:sz w:val="16"/>
                <w:szCs w:val="16"/>
              </w:rPr>
              <w:t>Incorrect NOTE 14 for 5QI 3</w:t>
            </w:r>
          </w:p>
        </w:tc>
        <w:tc>
          <w:tcPr>
            <w:tcW w:w="708" w:type="dxa"/>
            <w:shd w:val="solid" w:color="FFFFFF" w:fill="auto"/>
          </w:tcPr>
          <w:p w14:paraId="0E957166" w14:textId="77777777" w:rsidR="00D40151" w:rsidRPr="00873B6C" w:rsidRDefault="00D40151" w:rsidP="009D14FB">
            <w:pPr>
              <w:pStyle w:val="TAC"/>
              <w:rPr>
                <w:sz w:val="16"/>
                <w:szCs w:val="16"/>
              </w:rPr>
            </w:pPr>
            <w:r w:rsidRPr="00873B6C">
              <w:rPr>
                <w:sz w:val="16"/>
                <w:szCs w:val="16"/>
              </w:rPr>
              <w:t>16.5.0</w:t>
            </w:r>
          </w:p>
        </w:tc>
      </w:tr>
      <w:tr w:rsidR="00D40151" w:rsidRPr="00873B6C" w14:paraId="21A98E8E" w14:textId="77777777" w:rsidTr="009D14FB">
        <w:tc>
          <w:tcPr>
            <w:tcW w:w="800" w:type="dxa"/>
            <w:shd w:val="solid" w:color="FFFFFF" w:fill="auto"/>
          </w:tcPr>
          <w:p w14:paraId="355C16B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8E0287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A7C7F92"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5536DBEE" w14:textId="77777777" w:rsidR="00D40151" w:rsidRPr="00873B6C" w:rsidRDefault="00D40151" w:rsidP="009D14FB">
            <w:pPr>
              <w:pStyle w:val="TAL"/>
              <w:rPr>
                <w:sz w:val="16"/>
                <w:szCs w:val="16"/>
              </w:rPr>
            </w:pPr>
            <w:r w:rsidRPr="00873B6C">
              <w:rPr>
                <w:sz w:val="16"/>
                <w:szCs w:val="16"/>
              </w:rPr>
              <w:t>2302</w:t>
            </w:r>
          </w:p>
        </w:tc>
        <w:tc>
          <w:tcPr>
            <w:tcW w:w="425" w:type="dxa"/>
            <w:shd w:val="solid" w:color="FFFFFF" w:fill="auto"/>
          </w:tcPr>
          <w:p w14:paraId="34A015C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C701E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4A33B8" w14:textId="77777777" w:rsidR="00D40151" w:rsidRPr="00873B6C" w:rsidRDefault="00D40151" w:rsidP="009D14FB">
            <w:pPr>
              <w:pStyle w:val="TAL"/>
              <w:rPr>
                <w:sz w:val="16"/>
                <w:szCs w:val="16"/>
              </w:rPr>
            </w:pPr>
            <w:r w:rsidRPr="00873B6C">
              <w:rPr>
                <w:sz w:val="16"/>
                <w:szCs w:val="16"/>
              </w:rPr>
              <w:t>Corrections to restriction of use of Enhanced Coverage</w:t>
            </w:r>
          </w:p>
        </w:tc>
        <w:tc>
          <w:tcPr>
            <w:tcW w:w="708" w:type="dxa"/>
            <w:shd w:val="solid" w:color="FFFFFF" w:fill="auto"/>
          </w:tcPr>
          <w:p w14:paraId="5DAF1AF2" w14:textId="77777777" w:rsidR="00D40151" w:rsidRPr="00873B6C" w:rsidRDefault="00D40151" w:rsidP="009D14FB">
            <w:pPr>
              <w:pStyle w:val="TAC"/>
              <w:rPr>
                <w:sz w:val="16"/>
                <w:szCs w:val="16"/>
              </w:rPr>
            </w:pPr>
            <w:r w:rsidRPr="00873B6C">
              <w:rPr>
                <w:sz w:val="16"/>
                <w:szCs w:val="16"/>
              </w:rPr>
              <w:t>16.5.0</w:t>
            </w:r>
          </w:p>
        </w:tc>
      </w:tr>
      <w:tr w:rsidR="00D40151" w:rsidRPr="00873B6C" w14:paraId="7133E034" w14:textId="77777777" w:rsidTr="009D14FB">
        <w:tc>
          <w:tcPr>
            <w:tcW w:w="800" w:type="dxa"/>
            <w:shd w:val="solid" w:color="FFFFFF" w:fill="auto"/>
          </w:tcPr>
          <w:p w14:paraId="00CEB2D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4B04A29"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A19CF20"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5B2BE7DC" w14:textId="77777777" w:rsidR="00D40151" w:rsidRPr="00873B6C" w:rsidRDefault="00D40151" w:rsidP="009D14FB">
            <w:pPr>
              <w:pStyle w:val="TAL"/>
              <w:rPr>
                <w:sz w:val="16"/>
                <w:szCs w:val="16"/>
              </w:rPr>
            </w:pPr>
            <w:r w:rsidRPr="00873B6C">
              <w:rPr>
                <w:sz w:val="16"/>
                <w:szCs w:val="16"/>
              </w:rPr>
              <w:t>2303</w:t>
            </w:r>
          </w:p>
        </w:tc>
        <w:tc>
          <w:tcPr>
            <w:tcW w:w="425" w:type="dxa"/>
            <w:shd w:val="solid" w:color="FFFFFF" w:fill="auto"/>
          </w:tcPr>
          <w:p w14:paraId="3E6AD45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361CD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200489" w14:textId="77777777" w:rsidR="00D40151" w:rsidRPr="00873B6C" w:rsidRDefault="00D40151" w:rsidP="009D14FB">
            <w:pPr>
              <w:pStyle w:val="TAL"/>
              <w:rPr>
                <w:sz w:val="16"/>
                <w:szCs w:val="16"/>
              </w:rPr>
            </w:pPr>
            <w:r w:rsidRPr="00873B6C">
              <w:rPr>
                <w:sz w:val="16"/>
                <w:szCs w:val="16"/>
              </w:rPr>
              <w:t>Corrections related to UPF support of RTT measurements without PMF</w:t>
            </w:r>
          </w:p>
        </w:tc>
        <w:tc>
          <w:tcPr>
            <w:tcW w:w="708" w:type="dxa"/>
            <w:shd w:val="solid" w:color="FFFFFF" w:fill="auto"/>
          </w:tcPr>
          <w:p w14:paraId="395AF348" w14:textId="77777777" w:rsidR="00D40151" w:rsidRPr="00873B6C" w:rsidRDefault="00D40151" w:rsidP="009D14FB">
            <w:pPr>
              <w:pStyle w:val="TAC"/>
              <w:rPr>
                <w:sz w:val="16"/>
                <w:szCs w:val="16"/>
              </w:rPr>
            </w:pPr>
            <w:r w:rsidRPr="00873B6C">
              <w:rPr>
                <w:sz w:val="16"/>
                <w:szCs w:val="16"/>
              </w:rPr>
              <w:t>16.5.0</w:t>
            </w:r>
          </w:p>
        </w:tc>
      </w:tr>
      <w:tr w:rsidR="00D40151" w:rsidRPr="00873B6C" w14:paraId="4CC590BB" w14:textId="77777777" w:rsidTr="009D14FB">
        <w:tc>
          <w:tcPr>
            <w:tcW w:w="800" w:type="dxa"/>
            <w:shd w:val="solid" w:color="FFFFFF" w:fill="auto"/>
          </w:tcPr>
          <w:p w14:paraId="6E2D1CE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3BBC1F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50DAD32"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8BA5066" w14:textId="77777777" w:rsidR="00D40151" w:rsidRPr="00873B6C" w:rsidRDefault="00D40151" w:rsidP="009D14FB">
            <w:pPr>
              <w:pStyle w:val="TAL"/>
              <w:rPr>
                <w:sz w:val="16"/>
                <w:szCs w:val="16"/>
              </w:rPr>
            </w:pPr>
            <w:r w:rsidRPr="00873B6C">
              <w:rPr>
                <w:sz w:val="16"/>
                <w:szCs w:val="16"/>
              </w:rPr>
              <w:t>2305</w:t>
            </w:r>
          </w:p>
        </w:tc>
        <w:tc>
          <w:tcPr>
            <w:tcW w:w="425" w:type="dxa"/>
            <w:shd w:val="solid" w:color="FFFFFF" w:fill="auto"/>
          </w:tcPr>
          <w:p w14:paraId="7EAB2ED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3113D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D33D94" w14:textId="77777777" w:rsidR="00D40151" w:rsidRPr="00873B6C" w:rsidRDefault="00D40151" w:rsidP="009D14FB">
            <w:pPr>
              <w:pStyle w:val="TAL"/>
              <w:rPr>
                <w:sz w:val="16"/>
                <w:szCs w:val="16"/>
              </w:rPr>
            </w:pPr>
            <w:r w:rsidRPr="00873B6C">
              <w:rPr>
                <w:sz w:val="16"/>
                <w:szCs w:val="16"/>
              </w:rPr>
              <w:t>Correction on RAN sharing for NPN networks</w:t>
            </w:r>
          </w:p>
        </w:tc>
        <w:tc>
          <w:tcPr>
            <w:tcW w:w="708" w:type="dxa"/>
            <w:shd w:val="solid" w:color="FFFFFF" w:fill="auto"/>
          </w:tcPr>
          <w:p w14:paraId="0BEE3720" w14:textId="77777777" w:rsidR="00D40151" w:rsidRPr="00873B6C" w:rsidRDefault="00D40151" w:rsidP="009D14FB">
            <w:pPr>
              <w:pStyle w:val="TAC"/>
              <w:rPr>
                <w:sz w:val="16"/>
                <w:szCs w:val="16"/>
              </w:rPr>
            </w:pPr>
            <w:r w:rsidRPr="00873B6C">
              <w:rPr>
                <w:sz w:val="16"/>
                <w:szCs w:val="16"/>
              </w:rPr>
              <w:t>16.5.0</w:t>
            </w:r>
          </w:p>
        </w:tc>
      </w:tr>
      <w:tr w:rsidR="00D40151" w:rsidRPr="00873B6C" w14:paraId="433CE4B5" w14:textId="77777777" w:rsidTr="009D14FB">
        <w:tc>
          <w:tcPr>
            <w:tcW w:w="800" w:type="dxa"/>
            <w:shd w:val="solid" w:color="FFFFFF" w:fill="auto"/>
          </w:tcPr>
          <w:p w14:paraId="524E220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A7D884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CE18B58" w14:textId="77777777" w:rsidR="00D40151" w:rsidRPr="00873B6C" w:rsidRDefault="00D40151" w:rsidP="009D14FB">
            <w:pPr>
              <w:pStyle w:val="TAC"/>
              <w:rPr>
                <w:sz w:val="16"/>
                <w:szCs w:val="16"/>
              </w:rPr>
            </w:pPr>
            <w:r w:rsidRPr="00873B6C">
              <w:rPr>
                <w:sz w:val="16"/>
                <w:szCs w:val="16"/>
              </w:rPr>
              <w:t>SP-200427</w:t>
            </w:r>
          </w:p>
        </w:tc>
        <w:tc>
          <w:tcPr>
            <w:tcW w:w="567" w:type="dxa"/>
            <w:shd w:val="solid" w:color="FFFFFF" w:fill="auto"/>
          </w:tcPr>
          <w:p w14:paraId="53AB855C" w14:textId="77777777" w:rsidR="00D40151" w:rsidRPr="00873B6C" w:rsidRDefault="00D40151" w:rsidP="009D14FB">
            <w:pPr>
              <w:pStyle w:val="TAL"/>
              <w:rPr>
                <w:sz w:val="16"/>
                <w:szCs w:val="16"/>
              </w:rPr>
            </w:pPr>
            <w:r w:rsidRPr="00873B6C">
              <w:rPr>
                <w:sz w:val="16"/>
                <w:szCs w:val="16"/>
              </w:rPr>
              <w:t>2308</w:t>
            </w:r>
          </w:p>
        </w:tc>
        <w:tc>
          <w:tcPr>
            <w:tcW w:w="425" w:type="dxa"/>
            <w:shd w:val="solid" w:color="FFFFFF" w:fill="auto"/>
          </w:tcPr>
          <w:p w14:paraId="762804D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84DC36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4F3664" w14:textId="77777777" w:rsidR="00D40151" w:rsidRPr="00873B6C" w:rsidRDefault="00D40151" w:rsidP="009D14FB">
            <w:pPr>
              <w:pStyle w:val="TAL"/>
              <w:rPr>
                <w:sz w:val="16"/>
                <w:szCs w:val="16"/>
              </w:rPr>
            </w:pPr>
            <w:r w:rsidRPr="00873B6C">
              <w:rPr>
                <w:sz w:val="16"/>
                <w:szCs w:val="16"/>
              </w:rPr>
              <w:t>Correction on RAT type</w:t>
            </w:r>
          </w:p>
        </w:tc>
        <w:tc>
          <w:tcPr>
            <w:tcW w:w="708" w:type="dxa"/>
            <w:shd w:val="solid" w:color="FFFFFF" w:fill="auto"/>
          </w:tcPr>
          <w:p w14:paraId="2BE675AB" w14:textId="77777777" w:rsidR="00D40151" w:rsidRPr="00873B6C" w:rsidRDefault="00D40151" w:rsidP="009D14FB">
            <w:pPr>
              <w:pStyle w:val="TAC"/>
              <w:rPr>
                <w:sz w:val="16"/>
                <w:szCs w:val="16"/>
              </w:rPr>
            </w:pPr>
            <w:r w:rsidRPr="00873B6C">
              <w:rPr>
                <w:sz w:val="16"/>
                <w:szCs w:val="16"/>
              </w:rPr>
              <w:t>16.5.0</w:t>
            </w:r>
          </w:p>
        </w:tc>
      </w:tr>
      <w:tr w:rsidR="00D40151" w:rsidRPr="00873B6C" w14:paraId="64F8B5BE" w14:textId="77777777" w:rsidTr="009D14FB">
        <w:tc>
          <w:tcPr>
            <w:tcW w:w="800" w:type="dxa"/>
            <w:shd w:val="solid" w:color="FFFFFF" w:fill="auto"/>
          </w:tcPr>
          <w:p w14:paraId="121EC77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1D65C7F"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7A7462F" w14:textId="77777777" w:rsidR="00D40151" w:rsidRPr="00873B6C" w:rsidRDefault="00D40151" w:rsidP="009D14FB">
            <w:pPr>
              <w:pStyle w:val="TAC"/>
              <w:rPr>
                <w:sz w:val="16"/>
                <w:szCs w:val="16"/>
              </w:rPr>
            </w:pPr>
            <w:r w:rsidRPr="00873B6C">
              <w:rPr>
                <w:sz w:val="16"/>
                <w:szCs w:val="16"/>
              </w:rPr>
              <w:t>SP-200427</w:t>
            </w:r>
          </w:p>
        </w:tc>
        <w:tc>
          <w:tcPr>
            <w:tcW w:w="567" w:type="dxa"/>
            <w:shd w:val="solid" w:color="FFFFFF" w:fill="auto"/>
          </w:tcPr>
          <w:p w14:paraId="473C4EF1" w14:textId="77777777" w:rsidR="00D40151" w:rsidRPr="00873B6C" w:rsidRDefault="00D40151" w:rsidP="009D14FB">
            <w:pPr>
              <w:pStyle w:val="TAL"/>
              <w:rPr>
                <w:sz w:val="16"/>
                <w:szCs w:val="16"/>
              </w:rPr>
            </w:pPr>
            <w:r w:rsidRPr="00873B6C">
              <w:rPr>
                <w:sz w:val="16"/>
                <w:szCs w:val="16"/>
              </w:rPr>
              <w:t>2309</w:t>
            </w:r>
          </w:p>
        </w:tc>
        <w:tc>
          <w:tcPr>
            <w:tcW w:w="425" w:type="dxa"/>
            <w:shd w:val="solid" w:color="FFFFFF" w:fill="auto"/>
          </w:tcPr>
          <w:p w14:paraId="6FAD538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76A7C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330F6C" w14:textId="77777777" w:rsidR="00D40151" w:rsidRPr="00873B6C" w:rsidRDefault="00D40151" w:rsidP="009D14FB">
            <w:pPr>
              <w:pStyle w:val="TAL"/>
              <w:rPr>
                <w:sz w:val="16"/>
                <w:szCs w:val="16"/>
              </w:rPr>
            </w:pPr>
            <w:r w:rsidRPr="00873B6C">
              <w:rPr>
                <w:sz w:val="16"/>
                <w:szCs w:val="16"/>
              </w:rPr>
              <w:t>Correction on wireline access and reference point between N5CW device and TWAP</w:t>
            </w:r>
          </w:p>
        </w:tc>
        <w:tc>
          <w:tcPr>
            <w:tcW w:w="708" w:type="dxa"/>
            <w:shd w:val="solid" w:color="FFFFFF" w:fill="auto"/>
          </w:tcPr>
          <w:p w14:paraId="70E38F2D" w14:textId="77777777" w:rsidR="00D40151" w:rsidRPr="00873B6C" w:rsidRDefault="00D40151" w:rsidP="009D14FB">
            <w:pPr>
              <w:pStyle w:val="TAC"/>
              <w:rPr>
                <w:sz w:val="16"/>
                <w:szCs w:val="16"/>
              </w:rPr>
            </w:pPr>
            <w:r w:rsidRPr="00873B6C">
              <w:rPr>
                <w:sz w:val="16"/>
                <w:szCs w:val="16"/>
              </w:rPr>
              <w:t>16.5.0</w:t>
            </w:r>
          </w:p>
        </w:tc>
      </w:tr>
      <w:tr w:rsidR="00D40151" w:rsidRPr="00873B6C" w14:paraId="45395EF2" w14:textId="77777777" w:rsidTr="009D14FB">
        <w:tc>
          <w:tcPr>
            <w:tcW w:w="800" w:type="dxa"/>
            <w:shd w:val="solid" w:color="FFFFFF" w:fill="auto"/>
          </w:tcPr>
          <w:p w14:paraId="346138B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0CA175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3EDD09A" w14:textId="77777777" w:rsidR="00D40151" w:rsidRPr="00873B6C" w:rsidRDefault="00D40151" w:rsidP="009D14FB">
            <w:pPr>
              <w:pStyle w:val="TAC"/>
              <w:rPr>
                <w:sz w:val="16"/>
                <w:szCs w:val="16"/>
              </w:rPr>
            </w:pPr>
            <w:r w:rsidRPr="00873B6C">
              <w:rPr>
                <w:sz w:val="16"/>
                <w:szCs w:val="16"/>
              </w:rPr>
              <w:t>SP-200552</w:t>
            </w:r>
          </w:p>
        </w:tc>
        <w:tc>
          <w:tcPr>
            <w:tcW w:w="567" w:type="dxa"/>
            <w:shd w:val="solid" w:color="FFFFFF" w:fill="auto"/>
          </w:tcPr>
          <w:p w14:paraId="45686AAD" w14:textId="77777777" w:rsidR="00D40151" w:rsidRPr="00873B6C" w:rsidRDefault="00D40151" w:rsidP="009D14FB">
            <w:pPr>
              <w:pStyle w:val="TAL"/>
              <w:rPr>
                <w:sz w:val="16"/>
                <w:szCs w:val="16"/>
              </w:rPr>
            </w:pPr>
            <w:r w:rsidRPr="00873B6C">
              <w:rPr>
                <w:sz w:val="16"/>
                <w:szCs w:val="16"/>
              </w:rPr>
              <w:t>2311</w:t>
            </w:r>
          </w:p>
        </w:tc>
        <w:tc>
          <w:tcPr>
            <w:tcW w:w="425" w:type="dxa"/>
            <w:shd w:val="solid" w:color="FFFFFF" w:fill="auto"/>
          </w:tcPr>
          <w:p w14:paraId="51D15AA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7903A9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2323D4D3" w14:textId="77777777" w:rsidR="00D40151" w:rsidRPr="00873B6C" w:rsidRDefault="00D40151" w:rsidP="009D14FB">
            <w:pPr>
              <w:pStyle w:val="TAL"/>
              <w:rPr>
                <w:sz w:val="16"/>
                <w:szCs w:val="16"/>
              </w:rPr>
            </w:pPr>
            <w:r w:rsidRPr="00873B6C">
              <w:rPr>
                <w:sz w:val="16"/>
                <w:szCs w:val="16"/>
              </w:rPr>
              <w:t>Remove restriction for support of eCall over NR</w:t>
            </w:r>
          </w:p>
        </w:tc>
        <w:tc>
          <w:tcPr>
            <w:tcW w:w="708" w:type="dxa"/>
            <w:shd w:val="solid" w:color="FFFFFF" w:fill="auto"/>
          </w:tcPr>
          <w:p w14:paraId="30A857B4" w14:textId="77777777" w:rsidR="00D40151" w:rsidRPr="00873B6C" w:rsidRDefault="00D40151" w:rsidP="009D14FB">
            <w:pPr>
              <w:pStyle w:val="TAC"/>
              <w:rPr>
                <w:sz w:val="16"/>
                <w:szCs w:val="16"/>
              </w:rPr>
            </w:pPr>
            <w:r w:rsidRPr="00873B6C">
              <w:rPr>
                <w:sz w:val="16"/>
                <w:szCs w:val="16"/>
              </w:rPr>
              <w:t>16.5.0</w:t>
            </w:r>
          </w:p>
        </w:tc>
      </w:tr>
      <w:tr w:rsidR="00D40151" w:rsidRPr="00873B6C" w14:paraId="0D3E3E81" w14:textId="77777777" w:rsidTr="009D14FB">
        <w:tc>
          <w:tcPr>
            <w:tcW w:w="800" w:type="dxa"/>
            <w:shd w:val="solid" w:color="FFFFFF" w:fill="auto"/>
          </w:tcPr>
          <w:p w14:paraId="44FC397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B364681"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C3B9164"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64456A97" w14:textId="77777777" w:rsidR="00D40151" w:rsidRPr="00873B6C" w:rsidRDefault="00D40151" w:rsidP="009D14FB">
            <w:pPr>
              <w:pStyle w:val="TAL"/>
              <w:rPr>
                <w:sz w:val="16"/>
                <w:szCs w:val="16"/>
              </w:rPr>
            </w:pPr>
            <w:r w:rsidRPr="00873B6C">
              <w:rPr>
                <w:sz w:val="16"/>
                <w:szCs w:val="16"/>
              </w:rPr>
              <w:t>2315</w:t>
            </w:r>
          </w:p>
        </w:tc>
        <w:tc>
          <w:tcPr>
            <w:tcW w:w="425" w:type="dxa"/>
            <w:shd w:val="solid" w:color="FFFFFF" w:fill="auto"/>
          </w:tcPr>
          <w:p w14:paraId="561704B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1C9C7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ACA0F0" w14:textId="77777777" w:rsidR="00D40151" w:rsidRPr="00873B6C" w:rsidRDefault="00D40151" w:rsidP="009D14FB">
            <w:pPr>
              <w:pStyle w:val="TAL"/>
              <w:rPr>
                <w:sz w:val="16"/>
                <w:szCs w:val="16"/>
              </w:rPr>
            </w:pPr>
            <w:r w:rsidRPr="00873B6C">
              <w:rPr>
                <w:sz w:val="16"/>
                <w:szCs w:val="16"/>
              </w:rPr>
              <w:t>Pause of Charging</w:t>
            </w:r>
          </w:p>
        </w:tc>
        <w:tc>
          <w:tcPr>
            <w:tcW w:w="708" w:type="dxa"/>
            <w:shd w:val="solid" w:color="FFFFFF" w:fill="auto"/>
          </w:tcPr>
          <w:p w14:paraId="79A6C0C5" w14:textId="77777777" w:rsidR="00D40151" w:rsidRPr="00873B6C" w:rsidRDefault="00D40151" w:rsidP="009D14FB">
            <w:pPr>
              <w:pStyle w:val="TAC"/>
              <w:rPr>
                <w:sz w:val="16"/>
                <w:szCs w:val="16"/>
              </w:rPr>
            </w:pPr>
            <w:r w:rsidRPr="00873B6C">
              <w:rPr>
                <w:sz w:val="16"/>
                <w:szCs w:val="16"/>
              </w:rPr>
              <w:t>16.5.0</w:t>
            </w:r>
          </w:p>
        </w:tc>
      </w:tr>
      <w:tr w:rsidR="00D40151" w:rsidRPr="00873B6C" w14:paraId="60C4209E" w14:textId="77777777" w:rsidTr="009D14FB">
        <w:tc>
          <w:tcPr>
            <w:tcW w:w="800" w:type="dxa"/>
            <w:shd w:val="solid" w:color="FFFFFF" w:fill="auto"/>
          </w:tcPr>
          <w:p w14:paraId="27F0A05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543523D"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2B6CFF2"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0A542BF8" w14:textId="77777777" w:rsidR="00D40151" w:rsidRPr="00873B6C" w:rsidRDefault="00D40151" w:rsidP="009D14FB">
            <w:pPr>
              <w:pStyle w:val="TAL"/>
              <w:rPr>
                <w:sz w:val="16"/>
                <w:szCs w:val="16"/>
              </w:rPr>
            </w:pPr>
            <w:r w:rsidRPr="00873B6C">
              <w:rPr>
                <w:sz w:val="16"/>
                <w:szCs w:val="16"/>
              </w:rPr>
              <w:t>2319</w:t>
            </w:r>
          </w:p>
        </w:tc>
        <w:tc>
          <w:tcPr>
            <w:tcW w:w="425" w:type="dxa"/>
            <w:shd w:val="solid" w:color="FFFFFF" w:fill="auto"/>
          </w:tcPr>
          <w:p w14:paraId="5A276D4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598591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9EC3D0" w14:textId="77777777" w:rsidR="00D40151" w:rsidRPr="00873B6C" w:rsidRDefault="00D40151" w:rsidP="009D14FB">
            <w:pPr>
              <w:pStyle w:val="TAL"/>
              <w:rPr>
                <w:sz w:val="16"/>
                <w:szCs w:val="16"/>
              </w:rPr>
            </w:pPr>
            <w:r w:rsidRPr="00873B6C">
              <w:rPr>
                <w:sz w:val="16"/>
                <w:szCs w:val="16"/>
              </w:rPr>
              <w:t>Alignment on Identifying PDU session in TSN AF</w:t>
            </w:r>
          </w:p>
        </w:tc>
        <w:tc>
          <w:tcPr>
            <w:tcW w:w="708" w:type="dxa"/>
            <w:shd w:val="solid" w:color="FFFFFF" w:fill="auto"/>
          </w:tcPr>
          <w:p w14:paraId="55CAD116" w14:textId="77777777" w:rsidR="00D40151" w:rsidRPr="00873B6C" w:rsidRDefault="00D40151" w:rsidP="009D14FB">
            <w:pPr>
              <w:pStyle w:val="TAC"/>
              <w:rPr>
                <w:sz w:val="16"/>
                <w:szCs w:val="16"/>
              </w:rPr>
            </w:pPr>
            <w:r w:rsidRPr="00873B6C">
              <w:rPr>
                <w:sz w:val="16"/>
                <w:szCs w:val="16"/>
              </w:rPr>
              <w:t>16.5.0</w:t>
            </w:r>
          </w:p>
        </w:tc>
      </w:tr>
      <w:tr w:rsidR="00D40151" w:rsidRPr="00873B6C" w14:paraId="7AEBF627" w14:textId="77777777" w:rsidTr="009D14FB">
        <w:tc>
          <w:tcPr>
            <w:tcW w:w="800" w:type="dxa"/>
            <w:shd w:val="solid" w:color="FFFFFF" w:fill="auto"/>
          </w:tcPr>
          <w:p w14:paraId="5F242F4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A35B2FF"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920A712"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04B62D7E" w14:textId="77777777" w:rsidR="00D40151" w:rsidRPr="00873B6C" w:rsidRDefault="00D40151" w:rsidP="009D14FB">
            <w:pPr>
              <w:pStyle w:val="TAL"/>
              <w:rPr>
                <w:sz w:val="16"/>
                <w:szCs w:val="16"/>
              </w:rPr>
            </w:pPr>
            <w:r w:rsidRPr="00873B6C">
              <w:rPr>
                <w:sz w:val="16"/>
                <w:szCs w:val="16"/>
              </w:rPr>
              <w:t>2321</w:t>
            </w:r>
          </w:p>
        </w:tc>
        <w:tc>
          <w:tcPr>
            <w:tcW w:w="425" w:type="dxa"/>
            <w:shd w:val="solid" w:color="FFFFFF" w:fill="auto"/>
          </w:tcPr>
          <w:p w14:paraId="5BFBE6F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9D90B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99BDBB" w14:textId="77777777" w:rsidR="00D40151" w:rsidRPr="00873B6C" w:rsidRDefault="00D40151" w:rsidP="009D14FB">
            <w:pPr>
              <w:pStyle w:val="TAL"/>
              <w:rPr>
                <w:sz w:val="16"/>
                <w:szCs w:val="16"/>
              </w:rPr>
            </w:pPr>
            <w:r w:rsidRPr="00873B6C">
              <w:rPr>
                <w:sz w:val="16"/>
                <w:szCs w:val="16"/>
              </w:rPr>
              <w:t>Clarification on the bridge delay</w:t>
            </w:r>
          </w:p>
        </w:tc>
        <w:tc>
          <w:tcPr>
            <w:tcW w:w="708" w:type="dxa"/>
            <w:shd w:val="solid" w:color="FFFFFF" w:fill="auto"/>
          </w:tcPr>
          <w:p w14:paraId="13107F2F" w14:textId="77777777" w:rsidR="00D40151" w:rsidRPr="00873B6C" w:rsidRDefault="00D40151" w:rsidP="009D14FB">
            <w:pPr>
              <w:pStyle w:val="TAC"/>
              <w:rPr>
                <w:sz w:val="16"/>
                <w:szCs w:val="16"/>
              </w:rPr>
            </w:pPr>
            <w:r w:rsidRPr="00873B6C">
              <w:rPr>
                <w:sz w:val="16"/>
                <w:szCs w:val="16"/>
              </w:rPr>
              <w:t>16.5.0</w:t>
            </w:r>
          </w:p>
        </w:tc>
      </w:tr>
      <w:tr w:rsidR="00D40151" w:rsidRPr="00873B6C" w14:paraId="51328242" w14:textId="77777777" w:rsidTr="009D14FB">
        <w:tc>
          <w:tcPr>
            <w:tcW w:w="800" w:type="dxa"/>
            <w:shd w:val="solid" w:color="FFFFFF" w:fill="auto"/>
          </w:tcPr>
          <w:p w14:paraId="494F2C5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D647D9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332D2FD"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1FD4F22E" w14:textId="77777777" w:rsidR="00D40151" w:rsidRPr="00873B6C" w:rsidRDefault="00D40151" w:rsidP="009D14FB">
            <w:pPr>
              <w:pStyle w:val="TAL"/>
              <w:rPr>
                <w:sz w:val="16"/>
                <w:szCs w:val="16"/>
              </w:rPr>
            </w:pPr>
            <w:r w:rsidRPr="00873B6C">
              <w:rPr>
                <w:sz w:val="16"/>
                <w:szCs w:val="16"/>
              </w:rPr>
              <w:t>2327</w:t>
            </w:r>
          </w:p>
        </w:tc>
        <w:tc>
          <w:tcPr>
            <w:tcW w:w="425" w:type="dxa"/>
            <w:shd w:val="solid" w:color="FFFFFF" w:fill="auto"/>
          </w:tcPr>
          <w:p w14:paraId="475B800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C4AE0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A135BB" w14:textId="77777777" w:rsidR="00D40151" w:rsidRPr="00873B6C" w:rsidRDefault="00D40151" w:rsidP="009D14FB">
            <w:pPr>
              <w:pStyle w:val="TAL"/>
              <w:rPr>
                <w:sz w:val="16"/>
                <w:szCs w:val="16"/>
              </w:rPr>
            </w:pPr>
            <w:r w:rsidRPr="00873B6C">
              <w:rPr>
                <w:sz w:val="16"/>
                <w:szCs w:val="16"/>
              </w:rPr>
              <w:t>Correction of reference to mptcp RFC8684</w:t>
            </w:r>
          </w:p>
        </w:tc>
        <w:tc>
          <w:tcPr>
            <w:tcW w:w="708" w:type="dxa"/>
            <w:shd w:val="solid" w:color="FFFFFF" w:fill="auto"/>
          </w:tcPr>
          <w:p w14:paraId="669730A8" w14:textId="77777777" w:rsidR="00D40151" w:rsidRPr="00873B6C" w:rsidRDefault="00D40151" w:rsidP="009D14FB">
            <w:pPr>
              <w:pStyle w:val="TAC"/>
              <w:rPr>
                <w:sz w:val="16"/>
                <w:szCs w:val="16"/>
              </w:rPr>
            </w:pPr>
            <w:r w:rsidRPr="00873B6C">
              <w:rPr>
                <w:sz w:val="16"/>
                <w:szCs w:val="16"/>
              </w:rPr>
              <w:t>16.5.0</w:t>
            </w:r>
          </w:p>
        </w:tc>
      </w:tr>
      <w:tr w:rsidR="00D40151" w:rsidRPr="00873B6C" w14:paraId="6CF399B7" w14:textId="77777777" w:rsidTr="009D14FB">
        <w:tc>
          <w:tcPr>
            <w:tcW w:w="800" w:type="dxa"/>
            <w:shd w:val="solid" w:color="FFFFFF" w:fill="auto"/>
          </w:tcPr>
          <w:p w14:paraId="19BC070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D66645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C2464C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B3AF3D8" w14:textId="77777777" w:rsidR="00D40151" w:rsidRPr="00873B6C" w:rsidRDefault="00D40151" w:rsidP="009D14FB">
            <w:pPr>
              <w:pStyle w:val="TAL"/>
              <w:rPr>
                <w:sz w:val="16"/>
                <w:szCs w:val="16"/>
              </w:rPr>
            </w:pPr>
            <w:r w:rsidRPr="00873B6C">
              <w:rPr>
                <w:sz w:val="16"/>
                <w:szCs w:val="16"/>
              </w:rPr>
              <w:t>2334</w:t>
            </w:r>
          </w:p>
        </w:tc>
        <w:tc>
          <w:tcPr>
            <w:tcW w:w="425" w:type="dxa"/>
            <w:shd w:val="solid" w:color="FFFFFF" w:fill="auto"/>
          </w:tcPr>
          <w:p w14:paraId="7FA97F3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482EB8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916B16" w14:textId="77777777" w:rsidR="00D40151" w:rsidRPr="00873B6C" w:rsidRDefault="00D40151" w:rsidP="009D14FB">
            <w:pPr>
              <w:pStyle w:val="TAL"/>
              <w:rPr>
                <w:sz w:val="16"/>
                <w:szCs w:val="16"/>
              </w:rPr>
            </w:pPr>
            <w:r w:rsidRPr="00873B6C">
              <w:rPr>
                <w:sz w:val="16"/>
                <w:szCs w:val="16"/>
              </w:rPr>
              <w:t>Clarify the 5GS Bridge ID</w:t>
            </w:r>
          </w:p>
        </w:tc>
        <w:tc>
          <w:tcPr>
            <w:tcW w:w="708" w:type="dxa"/>
            <w:shd w:val="solid" w:color="FFFFFF" w:fill="auto"/>
          </w:tcPr>
          <w:p w14:paraId="5EC5FFCF" w14:textId="77777777" w:rsidR="00D40151" w:rsidRPr="00873B6C" w:rsidRDefault="00D40151" w:rsidP="009D14FB">
            <w:pPr>
              <w:pStyle w:val="TAC"/>
              <w:rPr>
                <w:sz w:val="16"/>
                <w:szCs w:val="16"/>
              </w:rPr>
            </w:pPr>
            <w:r w:rsidRPr="00873B6C">
              <w:rPr>
                <w:sz w:val="16"/>
                <w:szCs w:val="16"/>
              </w:rPr>
              <w:t>16.5.0</w:t>
            </w:r>
          </w:p>
        </w:tc>
      </w:tr>
      <w:tr w:rsidR="00D40151" w:rsidRPr="00873B6C" w14:paraId="3F05E0D1" w14:textId="77777777" w:rsidTr="009D14FB">
        <w:tc>
          <w:tcPr>
            <w:tcW w:w="800" w:type="dxa"/>
            <w:shd w:val="solid" w:color="FFFFFF" w:fill="auto"/>
          </w:tcPr>
          <w:p w14:paraId="585CE270"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E67BE5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CFD559C"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4DCA2B65" w14:textId="77777777" w:rsidR="00D40151" w:rsidRPr="00873B6C" w:rsidRDefault="00D40151" w:rsidP="009D14FB">
            <w:pPr>
              <w:pStyle w:val="TAL"/>
              <w:rPr>
                <w:sz w:val="16"/>
                <w:szCs w:val="16"/>
              </w:rPr>
            </w:pPr>
            <w:r w:rsidRPr="00873B6C">
              <w:rPr>
                <w:sz w:val="16"/>
                <w:szCs w:val="16"/>
              </w:rPr>
              <w:t>2336</w:t>
            </w:r>
          </w:p>
        </w:tc>
        <w:tc>
          <w:tcPr>
            <w:tcW w:w="425" w:type="dxa"/>
            <w:shd w:val="solid" w:color="FFFFFF" w:fill="auto"/>
          </w:tcPr>
          <w:p w14:paraId="5FEFA6E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7E36E6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0FF209" w14:textId="77777777" w:rsidR="00D40151" w:rsidRPr="00873B6C" w:rsidRDefault="00D40151" w:rsidP="009D14FB">
            <w:pPr>
              <w:pStyle w:val="TAL"/>
              <w:rPr>
                <w:sz w:val="16"/>
                <w:szCs w:val="16"/>
              </w:rPr>
            </w:pPr>
            <w:r w:rsidRPr="00873B6C">
              <w:rPr>
                <w:sz w:val="16"/>
                <w:szCs w:val="16"/>
              </w:rPr>
              <w:t>Correction on the value of S-NSSAIs for NSSAA</w:t>
            </w:r>
          </w:p>
        </w:tc>
        <w:tc>
          <w:tcPr>
            <w:tcW w:w="708" w:type="dxa"/>
            <w:shd w:val="solid" w:color="FFFFFF" w:fill="auto"/>
          </w:tcPr>
          <w:p w14:paraId="6DC52413" w14:textId="77777777" w:rsidR="00D40151" w:rsidRPr="00873B6C" w:rsidRDefault="00D40151" w:rsidP="009D14FB">
            <w:pPr>
              <w:pStyle w:val="TAC"/>
              <w:rPr>
                <w:sz w:val="16"/>
                <w:szCs w:val="16"/>
              </w:rPr>
            </w:pPr>
            <w:r w:rsidRPr="00873B6C">
              <w:rPr>
                <w:sz w:val="16"/>
                <w:szCs w:val="16"/>
              </w:rPr>
              <w:t>16.5.0</w:t>
            </w:r>
          </w:p>
        </w:tc>
      </w:tr>
      <w:tr w:rsidR="00D40151" w:rsidRPr="00873B6C" w14:paraId="68284D98" w14:textId="77777777" w:rsidTr="009D14FB">
        <w:tc>
          <w:tcPr>
            <w:tcW w:w="800" w:type="dxa"/>
            <w:shd w:val="solid" w:color="FFFFFF" w:fill="auto"/>
          </w:tcPr>
          <w:p w14:paraId="5F8E8BC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A94AFDF"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52BFDC4"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73B31680" w14:textId="77777777" w:rsidR="00D40151" w:rsidRPr="00873B6C" w:rsidRDefault="00D40151" w:rsidP="009D14FB">
            <w:pPr>
              <w:pStyle w:val="TAL"/>
              <w:rPr>
                <w:sz w:val="16"/>
                <w:szCs w:val="16"/>
              </w:rPr>
            </w:pPr>
            <w:r w:rsidRPr="00873B6C">
              <w:rPr>
                <w:sz w:val="16"/>
                <w:szCs w:val="16"/>
              </w:rPr>
              <w:t>2338</w:t>
            </w:r>
          </w:p>
        </w:tc>
        <w:tc>
          <w:tcPr>
            <w:tcW w:w="425" w:type="dxa"/>
            <w:shd w:val="solid" w:color="FFFFFF" w:fill="auto"/>
          </w:tcPr>
          <w:p w14:paraId="3873259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475B3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6E3E97" w14:textId="77777777" w:rsidR="00D40151" w:rsidRPr="00873B6C" w:rsidRDefault="00D40151" w:rsidP="009D14FB">
            <w:pPr>
              <w:pStyle w:val="TAL"/>
              <w:rPr>
                <w:sz w:val="16"/>
                <w:szCs w:val="16"/>
              </w:rPr>
            </w:pPr>
            <w:r w:rsidRPr="00873B6C">
              <w:rPr>
                <w:sz w:val="16"/>
                <w:szCs w:val="16"/>
              </w:rPr>
              <w:t>Correction on description about area of interest</w:t>
            </w:r>
          </w:p>
        </w:tc>
        <w:tc>
          <w:tcPr>
            <w:tcW w:w="708" w:type="dxa"/>
            <w:shd w:val="solid" w:color="FFFFFF" w:fill="auto"/>
          </w:tcPr>
          <w:p w14:paraId="7A63F7DA" w14:textId="77777777" w:rsidR="00D40151" w:rsidRPr="00873B6C" w:rsidRDefault="00D40151" w:rsidP="009D14FB">
            <w:pPr>
              <w:pStyle w:val="TAC"/>
              <w:rPr>
                <w:sz w:val="16"/>
                <w:szCs w:val="16"/>
              </w:rPr>
            </w:pPr>
            <w:r w:rsidRPr="00873B6C">
              <w:rPr>
                <w:sz w:val="16"/>
                <w:szCs w:val="16"/>
              </w:rPr>
              <w:t>16.5.0</w:t>
            </w:r>
          </w:p>
        </w:tc>
      </w:tr>
      <w:tr w:rsidR="00D40151" w:rsidRPr="00873B6C" w14:paraId="087F036F" w14:textId="77777777" w:rsidTr="009D14FB">
        <w:tc>
          <w:tcPr>
            <w:tcW w:w="800" w:type="dxa"/>
            <w:shd w:val="solid" w:color="FFFFFF" w:fill="auto"/>
          </w:tcPr>
          <w:p w14:paraId="6D35B38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035572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95D38A0"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68523A93" w14:textId="77777777" w:rsidR="00D40151" w:rsidRPr="00873B6C" w:rsidRDefault="00D40151" w:rsidP="009D14FB">
            <w:pPr>
              <w:pStyle w:val="TAL"/>
              <w:rPr>
                <w:sz w:val="16"/>
                <w:szCs w:val="16"/>
              </w:rPr>
            </w:pPr>
            <w:r w:rsidRPr="00873B6C">
              <w:rPr>
                <w:sz w:val="16"/>
                <w:szCs w:val="16"/>
              </w:rPr>
              <w:t>2339</w:t>
            </w:r>
          </w:p>
        </w:tc>
        <w:tc>
          <w:tcPr>
            <w:tcW w:w="425" w:type="dxa"/>
            <w:shd w:val="solid" w:color="FFFFFF" w:fill="auto"/>
          </w:tcPr>
          <w:p w14:paraId="359DFB2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BA15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D726F6" w14:textId="77777777" w:rsidR="00D40151" w:rsidRPr="00873B6C" w:rsidRDefault="00D40151" w:rsidP="009D14FB">
            <w:pPr>
              <w:pStyle w:val="TAL"/>
              <w:rPr>
                <w:sz w:val="16"/>
                <w:szCs w:val="16"/>
              </w:rPr>
            </w:pPr>
            <w:r w:rsidRPr="00873B6C">
              <w:rPr>
                <w:sz w:val="16"/>
                <w:szCs w:val="16"/>
              </w:rPr>
              <w:t>Reordering DL data during SR procedure</w:t>
            </w:r>
          </w:p>
        </w:tc>
        <w:tc>
          <w:tcPr>
            <w:tcW w:w="708" w:type="dxa"/>
            <w:shd w:val="solid" w:color="FFFFFF" w:fill="auto"/>
          </w:tcPr>
          <w:p w14:paraId="09FEA14F" w14:textId="77777777" w:rsidR="00D40151" w:rsidRPr="00873B6C" w:rsidRDefault="00D40151" w:rsidP="009D14FB">
            <w:pPr>
              <w:pStyle w:val="TAC"/>
              <w:rPr>
                <w:sz w:val="16"/>
                <w:szCs w:val="16"/>
              </w:rPr>
            </w:pPr>
            <w:r w:rsidRPr="00873B6C">
              <w:rPr>
                <w:sz w:val="16"/>
                <w:szCs w:val="16"/>
              </w:rPr>
              <w:t>16.5.0</w:t>
            </w:r>
          </w:p>
        </w:tc>
      </w:tr>
      <w:tr w:rsidR="00D40151" w:rsidRPr="00873B6C" w14:paraId="05F523B2" w14:textId="77777777" w:rsidTr="009D14FB">
        <w:tc>
          <w:tcPr>
            <w:tcW w:w="800" w:type="dxa"/>
            <w:shd w:val="solid" w:color="FFFFFF" w:fill="auto"/>
          </w:tcPr>
          <w:p w14:paraId="0BB3617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BAFB9A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F72DD58"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4A23524" w14:textId="77777777" w:rsidR="00D40151" w:rsidRPr="00873B6C" w:rsidRDefault="00D40151" w:rsidP="009D14FB">
            <w:pPr>
              <w:pStyle w:val="TAL"/>
              <w:rPr>
                <w:sz w:val="16"/>
                <w:szCs w:val="16"/>
              </w:rPr>
            </w:pPr>
            <w:r w:rsidRPr="00873B6C">
              <w:rPr>
                <w:sz w:val="16"/>
                <w:szCs w:val="16"/>
              </w:rPr>
              <w:t>2340</w:t>
            </w:r>
          </w:p>
        </w:tc>
        <w:tc>
          <w:tcPr>
            <w:tcW w:w="425" w:type="dxa"/>
            <w:shd w:val="solid" w:color="FFFFFF" w:fill="auto"/>
          </w:tcPr>
          <w:p w14:paraId="2DDD541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EF97B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9B8158" w14:textId="77777777" w:rsidR="00D40151" w:rsidRPr="00873B6C" w:rsidRDefault="00D40151" w:rsidP="009D14FB">
            <w:pPr>
              <w:pStyle w:val="TAL"/>
              <w:rPr>
                <w:sz w:val="16"/>
                <w:szCs w:val="16"/>
              </w:rPr>
            </w:pPr>
            <w:r w:rsidRPr="00873B6C">
              <w:rPr>
                <w:sz w:val="16"/>
                <w:szCs w:val="16"/>
              </w:rPr>
              <w:t>Correction for TSCAI Calculation</w:t>
            </w:r>
          </w:p>
        </w:tc>
        <w:tc>
          <w:tcPr>
            <w:tcW w:w="708" w:type="dxa"/>
            <w:shd w:val="solid" w:color="FFFFFF" w:fill="auto"/>
          </w:tcPr>
          <w:p w14:paraId="30BE0C93" w14:textId="77777777" w:rsidR="00D40151" w:rsidRPr="00873B6C" w:rsidRDefault="00D40151" w:rsidP="009D14FB">
            <w:pPr>
              <w:pStyle w:val="TAC"/>
              <w:rPr>
                <w:sz w:val="16"/>
                <w:szCs w:val="16"/>
              </w:rPr>
            </w:pPr>
            <w:r w:rsidRPr="00873B6C">
              <w:rPr>
                <w:sz w:val="16"/>
                <w:szCs w:val="16"/>
              </w:rPr>
              <w:t>16.5.0</w:t>
            </w:r>
          </w:p>
        </w:tc>
      </w:tr>
      <w:tr w:rsidR="00D40151" w:rsidRPr="00873B6C" w14:paraId="50E8FE09" w14:textId="77777777" w:rsidTr="009D14FB">
        <w:tc>
          <w:tcPr>
            <w:tcW w:w="800" w:type="dxa"/>
            <w:shd w:val="solid" w:color="FFFFFF" w:fill="auto"/>
          </w:tcPr>
          <w:p w14:paraId="2867114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50F5BD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94308AC"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6BB05F7C" w14:textId="77777777" w:rsidR="00D40151" w:rsidRPr="00873B6C" w:rsidRDefault="00D40151" w:rsidP="009D14FB">
            <w:pPr>
              <w:pStyle w:val="TAL"/>
              <w:rPr>
                <w:sz w:val="16"/>
                <w:szCs w:val="16"/>
              </w:rPr>
            </w:pPr>
            <w:r w:rsidRPr="00873B6C">
              <w:rPr>
                <w:sz w:val="16"/>
                <w:szCs w:val="16"/>
              </w:rPr>
              <w:t>2341</w:t>
            </w:r>
          </w:p>
        </w:tc>
        <w:tc>
          <w:tcPr>
            <w:tcW w:w="425" w:type="dxa"/>
            <w:shd w:val="solid" w:color="FFFFFF" w:fill="auto"/>
          </w:tcPr>
          <w:p w14:paraId="684C104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91A6E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15DE96" w14:textId="77777777" w:rsidR="00D40151" w:rsidRPr="00873B6C" w:rsidRDefault="00D40151" w:rsidP="009D14FB">
            <w:pPr>
              <w:pStyle w:val="TAL"/>
              <w:rPr>
                <w:sz w:val="16"/>
                <w:szCs w:val="16"/>
              </w:rPr>
            </w:pPr>
            <w:r w:rsidRPr="00873B6C">
              <w:rPr>
                <w:sz w:val="16"/>
                <w:szCs w:val="16"/>
              </w:rPr>
              <w:t>Correction on QoS handling for priority sessions</w:t>
            </w:r>
          </w:p>
        </w:tc>
        <w:tc>
          <w:tcPr>
            <w:tcW w:w="708" w:type="dxa"/>
            <w:shd w:val="solid" w:color="FFFFFF" w:fill="auto"/>
          </w:tcPr>
          <w:p w14:paraId="6008E93F" w14:textId="77777777" w:rsidR="00D40151" w:rsidRPr="00873B6C" w:rsidRDefault="00D40151" w:rsidP="009D14FB">
            <w:pPr>
              <w:pStyle w:val="TAC"/>
              <w:rPr>
                <w:sz w:val="16"/>
                <w:szCs w:val="16"/>
              </w:rPr>
            </w:pPr>
            <w:r w:rsidRPr="00873B6C">
              <w:rPr>
                <w:sz w:val="16"/>
                <w:szCs w:val="16"/>
              </w:rPr>
              <w:t>16.5.0</w:t>
            </w:r>
          </w:p>
        </w:tc>
      </w:tr>
      <w:tr w:rsidR="00D40151" w:rsidRPr="00873B6C" w14:paraId="41B0412C" w14:textId="77777777" w:rsidTr="009D14FB">
        <w:tc>
          <w:tcPr>
            <w:tcW w:w="800" w:type="dxa"/>
            <w:shd w:val="solid" w:color="FFFFFF" w:fill="auto"/>
          </w:tcPr>
          <w:p w14:paraId="15668B8B"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A04190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A4110F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D348B08" w14:textId="77777777" w:rsidR="00D40151" w:rsidRPr="00873B6C" w:rsidRDefault="00D40151" w:rsidP="009D14FB">
            <w:pPr>
              <w:pStyle w:val="TAL"/>
              <w:rPr>
                <w:sz w:val="16"/>
                <w:szCs w:val="16"/>
              </w:rPr>
            </w:pPr>
            <w:r w:rsidRPr="00873B6C">
              <w:rPr>
                <w:sz w:val="16"/>
                <w:szCs w:val="16"/>
              </w:rPr>
              <w:t>2344</w:t>
            </w:r>
          </w:p>
        </w:tc>
        <w:tc>
          <w:tcPr>
            <w:tcW w:w="425" w:type="dxa"/>
            <w:shd w:val="solid" w:color="FFFFFF" w:fill="auto"/>
          </w:tcPr>
          <w:p w14:paraId="03C6675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D76EE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B841FB" w14:textId="77777777" w:rsidR="00D40151" w:rsidRPr="00873B6C" w:rsidRDefault="00D40151" w:rsidP="009D14FB">
            <w:pPr>
              <w:pStyle w:val="TAL"/>
              <w:rPr>
                <w:sz w:val="16"/>
                <w:szCs w:val="16"/>
              </w:rPr>
            </w:pPr>
            <w:r w:rsidRPr="00873B6C">
              <w:rPr>
                <w:sz w:val="16"/>
                <w:szCs w:val="16"/>
              </w:rPr>
              <w:t>Correction of the gPTP domain and the selection of UPF</w:t>
            </w:r>
          </w:p>
        </w:tc>
        <w:tc>
          <w:tcPr>
            <w:tcW w:w="708" w:type="dxa"/>
            <w:shd w:val="solid" w:color="FFFFFF" w:fill="auto"/>
          </w:tcPr>
          <w:p w14:paraId="65C7EBDC" w14:textId="77777777" w:rsidR="00D40151" w:rsidRPr="00873B6C" w:rsidRDefault="00D40151" w:rsidP="009D14FB">
            <w:pPr>
              <w:pStyle w:val="TAC"/>
              <w:rPr>
                <w:sz w:val="16"/>
                <w:szCs w:val="16"/>
              </w:rPr>
            </w:pPr>
            <w:r w:rsidRPr="00873B6C">
              <w:rPr>
                <w:sz w:val="16"/>
                <w:szCs w:val="16"/>
              </w:rPr>
              <w:t>16.5.0</w:t>
            </w:r>
          </w:p>
        </w:tc>
      </w:tr>
      <w:tr w:rsidR="00D40151" w:rsidRPr="00873B6C" w14:paraId="2E0486BF" w14:textId="77777777" w:rsidTr="009D14FB">
        <w:tc>
          <w:tcPr>
            <w:tcW w:w="800" w:type="dxa"/>
            <w:shd w:val="solid" w:color="FFFFFF" w:fill="auto"/>
          </w:tcPr>
          <w:p w14:paraId="21C0FE3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3E4630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BB823D0"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242D0B6" w14:textId="77777777" w:rsidR="00D40151" w:rsidRPr="00873B6C" w:rsidRDefault="00D40151" w:rsidP="009D14FB">
            <w:pPr>
              <w:pStyle w:val="TAL"/>
              <w:rPr>
                <w:sz w:val="16"/>
                <w:szCs w:val="16"/>
              </w:rPr>
            </w:pPr>
            <w:r w:rsidRPr="00873B6C">
              <w:rPr>
                <w:sz w:val="16"/>
                <w:szCs w:val="16"/>
              </w:rPr>
              <w:t>2346</w:t>
            </w:r>
          </w:p>
        </w:tc>
        <w:tc>
          <w:tcPr>
            <w:tcW w:w="425" w:type="dxa"/>
            <w:shd w:val="solid" w:color="FFFFFF" w:fill="auto"/>
          </w:tcPr>
          <w:p w14:paraId="284D8A3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BB5CD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BE61C58" w14:textId="77777777" w:rsidR="00D40151" w:rsidRPr="00873B6C" w:rsidRDefault="00D40151" w:rsidP="009D14FB">
            <w:pPr>
              <w:pStyle w:val="TAL"/>
              <w:rPr>
                <w:sz w:val="16"/>
                <w:szCs w:val="16"/>
              </w:rPr>
            </w:pPr>
            <w:r w:rsidRPr="00873B6C">
              <w:rPr>
                <w:sz w:val="16"/>
                <w:szCs w:val="16"/>
              </w:rPr>
              <w:t>Update on 5G VN group subscription data retrieval</w:t>
            </w:r>
          </w:p>
        </w:tc>
        <w:tc>
          <w:tcPr>
            <w:tcW w:w="708" w:type="dxa"/>
            <w:shd w:val="solid" w:color="FFFFFF" w:fill="auto"/>
          </w:tcPr>
          <w:p w14:paraId="55DA2D31" w14:textId="77777777" w:rsidR="00D40151" w:rsidRPr="00873B6C" w:rsidRDefault="00D40151" w:rsidP="009D14FB">
            <w:pPr>
              <w:pStyle w:val="TAC"/>
              <w:rPr>
                <w:sz w:val="16"/>
                <w:szCs w:val="16"/>
              </w:rPr>
            </w:pPr>
            <w:r w:rsidRPr="00873B6C">
              <w:rPr>
                <w:sz w:val="16"/>
                <w:szCs w:val="16"/>
              </w:rPr>
              <w:t>16.5.0</w:t>
            </w:r>
          </w:p>
        </w:tc>
      </w:tr>
      <w:tr w:rsidR="00D40151" w:rsidRPr="00873B6C" w14:paraId="7F229E2F" w14:textId="77777777" w:rsidTr="009D14FB">
        <w:tc>
          <w:tcPr>
            <w:tcW w:w="800" w:type="dxa"/>
            <w:shd w:val="solid" w:color="FFFFFF" w:fill="auto"/>
          </w:tcPr>
          <w:p w14:paraId="7EB20DF9"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FCEF954"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23FC656"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33A89B46" w14:textId="77777777" w:rsidR="00D40151" w:rsidRPr="00873B6C" w:rsidRDefault="00D40151" w:rsidP="009D14FB">
            <w:pPr>
              <w:pStyle w:val="TAL"/>
              <w:rPr>
                <w:sz w:val="16"/>
                <w:szCs w:val="16"/>
              </w:rPr>
            </w:pPr>
            <w:r w:rsidRPr="00873B6C">
              <w:rPr>
                <w:sz w:val="16"/>
                <w:szCs w:val="16"/>
              </w:rPr>
              <w:t>2347</w:t>
            </w:r>
          </w:p>
        </w:tc>
        <w:tc>
          <w:tcPr>
            <w:tcW w:w="425" w:type="dxa"/>
            <w:shd w:val="solid" w:color="FFFFFF" w:fill="auto"/>
          </w:tcPr>
          <w:p w14:paraId="6659919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5331A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89E03A" w14:textId="77777777" w:rsidR="00D40151" w:rsidRPr="00873B6C" w:rsidRDefault="00D40151" w:rsidP="009D14FB">
            <w:pPr>
              <w:pStyle w:val="TAL"/>
              <w:rPr>
                <w:sz w:val="16"/>
                <w:szCs w:val="16"/>
              </w:rPr>
            </w:pPr>
            <w:r w:rsidRPr="00873B6C">
              <w:rPr>
                <w:sz w:val="16"/>
                <w:szCs w:val="16"/>
              </w:rPr>
              <w:t>Update on IPUPS functionality</w:t>
            </w:r>
          </w:p>
        </w:tc>
        <w:tc>
          <w:tcPr>
            <w:tcW w:w="708" w:type="dxa"/>
            <w:shd w:val="solid" w:color="FFFFFF" w:fill="auto"/>
          </w:tcPr>
          <w:p w14:paraId="186BEAFD" w14:textId="77777777" w:rsidR="00D40151" w:rsidRPr="00873B6C" w:rsidRDefault="00D40151" w:rsidP="009D14FB">
            <w:pPr>
              <w:pStyle w:val="TAC"/>
              <w:rPr>
                <w:sz w:val="16"/>
                <w:szCs w:val="16"/>
              </w:rPr>
            </w:pPr>
            <w:r w:rsidRPr="00873B6C">
              <w:rPr>
                <w:sz w:val="16"/>
                <w:szCs w:val="16"/>
              </w:rPr>
              <w:t>16.5.0</w:t>
            </w:r>
          </w:p>
        </w:tc>
      </w:tr>
      <w:tr w:rsidR="00D40151" w:rsidRPr="00873B6C" w14:paraId="12A1426A" w14:textId="77777777" w:rsidTr="009D14FB">
        <w:tc>
          <w:tcPr>
            <w:tcW w:w="800" w:type="dxa"/>
            <w:shd w:val="solid" w:color="FFFFFF" w:fill="auto"/>
          </w:tcPr>
          <w:p w14:paraId="6E1B6CB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D262A81"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C396D1B"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321B8145" w14:textId="77777777" w:rsidR="00D40151" w:rsidRPr="00873B6C" w:rsidRDefault="00D40151" w:rsidP="009D14FB">
            <w:pPr>
              <w:pStyle w:val="TAL"/>
              <w:rPr>
                <w:sz w:val="16"/>
                <w:szCs w:val="16"/>
              </w:rPr>
            </w:pPr>
            <w:r w:rsidRPr="00873B6C">
              <w:rPr>
                <w:sz w:val="16"/>
                <w:szCs w:val="16"/>
              </w:rPr>
              <w:t>2348</w:t>
            </w:r>
          </w:p>
        </w:tc>
        <w:tc>
          <w:tcPr>
            <w:tcW w:w="425" w:type="dxa"/>
            <w:shd w:val="solid" w:color="FFFFFF" w:fill="auto"/>
          </w:tcPr>
          <w:p w14:paraId="643B137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96605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E95BF0" w14:textId="77777777" w:rsidR="00D40151" w:rsidRPr="00873B6C" w:rsidRDefault="00D40151" w:rsidP="009D14FB">
            <w:pPr>
              <w:pStyle w:val="TAL"/>
              <w:rPr>
                <w:sz w:val="16"/>
                <w:szCs w:val="16"/>
              </w:rPr>
            </w:pPr>
            <w:r w:rsidRPr="00873B6C">
              <w:rPr>
                <w:sz w:val="16"/>
                <w:szCs w:val="16"/>
              </w:rPr>
              <w:t>Support of 5G LAN-type service under ETSUN architecture</w:t>
            </w:r>
          </w:p>
        </w:tc>
        <w:tc>
          <w:tcPr>
            <w:tcW w:w="708" w:type="dxa"/>
            <w:shd w:val="solid" w:color="FFFFFF" w:fill="auto"/>
          </w:tcPr>
          <w:p w14:paraId="3878F023" w14:textId="77777777" w:rsidR="00D40151" w:rsidRPr="00873B6C" w:rsidRDefault="00D40151" w:rsidP="009D14FB">
            <w:pPr>
              <w:pStyle w:val="TAC"/>
              <w:rPr>
                <w:sz w:val="16"/>
                <w:szCs w:val="16"/>
              </w:rPr>
            </w:pPr>
            <w:r w:rsidRPr="00873B6C">
              <w:rPr>
                <w:sz w:val="16"/>
                <w:szCs w:val="16"/>
              </w:rPr>
              <w:t>16.5.0</w:t>
            </w:r>
          </w:p>
        </w:tc>
      </w:tr>
      <w:tr w:rsidR="00D40151" w:rsidRPr="00873B6C" w14:paraId="342B52C5" w14:textId="77777777" w:rsidTr="009D14FB">
        <w:tc>
          <w:tcPr>
            <w:tcW w:w="800" w:type="dxa"/>
            <w:shd w:val="solid" w:color="FFFFFF" w:fill="auto"/>
          </w:tcPr>
          <w:p w14:paraId="4F7D8BD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E6B6F5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A9AE5C0"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436CB05F" w14:textId="77777777" w:rsidR="00D40151" w:rsidRPr="00873B6C" w:rsidRDefault="00D40151" w:rsidP="009D14FB">
            <w:pPr>
              <w:pStyle w:val="TAL"/>
              <w:rPr>
                <w:sz w:val="16"/>
                <w:szCs w:val="16"/>
              </w:rPr>
            </w:pPr>
            <w:r w:rsidRPr="00873B6C">
              <w:rPr>
                <w:sz w:val="16"/>
                <w:szCs w:val="16"/>
              </w:rPr>
              <w:t>2350</w:t>
            </w:r>
          </w:p>
        </w:tc>
        <w:tc>
          <w:tcPr>
            <w:tcW w:w="425" w:type="dxa"/>
            <w:shd w:val="solid" w:color="FFFFFF" w:fill="auto"/>
          </w:tcPr>
          <w:p w14:paraId="3BB6FA2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5A6F17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898F5D" w14:textId="77777777" w:rsidR="00D40151" w:rsidRPr="00873B6C" w:rsidRDefault="00D40151" w:rsidP="009D14FB">
            <w:pPr>
              <w:pStyle w:val="TAL"/>
              <w:rPr>
                <w:sz w:val="16"/>
                <w:szCs w:val="16"/>
              </w:rPr>
            </w:pPr>
            <w:r w:rsidRPr="00873B6C">
              <w:rPr>
                <w:sz w:val="16"/>
                <w:szCs w:val="16"/>
              </w:rPr>
              <w:t>Correction on AF influence on traffic routing</w:t>
            </w:r>
          </w:p>
        </w:tc>
        <w:tc>
          <w:tcPr>
            <w:tcW w:w="708" w:type="dxa"/>
            <w:shd w:val="solid" w:color="FFFFFF" w:fill="auto"/>
          </w:tcPr>
          <w:p w14:paraId="584D9A75" w14:textId="77777777" w:rsidR="00D40151" w:rsidRPr="00873B6C" w:rsidRDefault="00D40151" w:rsidP="009D14FB">
            <w:pPr>
              <w:pStyle w:val="TAC"/>
              <w:rPr>
                <w:sz w:val="16"/>
                <w:szCs w:val="16"/>
              </w:rPr>
            </w:pPr>
            <w:r w:rsidRPr="00873B6C">
              <w:rPr>
                <w:sz w:val="16"/>
                <w:szCs w:val="16"/>
              </w:rPr>
              <w:t>16.5.0</w:t>
            </w:r>
          </w:p>
        </w:tc>
      </w:tr>
      <w:tr w:rsidR="00D40151" w:rsidRPr="00873B6C" w14:paraId="6A1AFDA9" w14:textId="77777777" w:rsidTr="009D14FB">
        <w:tc>
          <w:tcPr>
            <w:tcW w:w="800" w:type="dxa"/>
            <w:shd w:val="solid" w:color="FFFFFF" w:fill="auto"/>
          </w:tcPr>
          <w:p w14:paraId="7D13285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63000E4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4300D10"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1271E7CC" w14:textId="77777777" w:rsidR="00D40151" w:rsidRPr="00873B6C" w:rsidRDefault="00D40151" w:rsidP="009D14FB">
            <w:pPr>
              <w:pStyle w:val="TAL"/>
              <w:rPr>
                <w:sz w:val="16"/>
                <w:szCs w:val="16"/>
              </w:rPr>
            </w:pPr>
            <w:r w:rsidRPr="00873B6C">
              <w:rPr>
                <w:sz w:val="16"/>
                <w:szCs w:val="16"/>
              </w:rPr>
              <w:t>2351</w:t>
            </w:r>
          </w:p>
        </w:tc>
        <w:tc>
          <w:tcPr>
            <w:tcW w:w="425" w:type="dxa"/>
            <w:shd w:val="solid" w:color="FFFFFF" w:fill="auto"/>
          </w:tcPr>
          <w:p w14:paraId="36D62D7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19A019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3C113E" w14:textId="77777777" w:rsidR="00D40151" w:rsidRPr="00873B6C" w:rsidRDefault="00D40151" w:rsidP="009D14FB">
            <w:pPr>
              <w:pStyle w:val="TAL"/>
              <w:rPr>
                <w:sz w:val="16"/>
                <w:szCs w:val="16"/>
              </w:rPr>
            </w:pPr>
            <w:r w:rsidRPr="00873B6C">
              <w:rPr>
                <w:sz w:val="16"/>
                <w:szCs w:val="16"/>
              </w:rPr>
              <w:t>Correction on Control and User Plane Protocol Stacks</w:t>
            </w:r>
          </w:p>
        </w:tc>
        <w:tc>
          <w:tcPr>
            <w:tcW w:w="708" w:type="dxa"/>
            <w:shd w:val="solid" w:color="FFFFFF" w:fill="auto"/>
          </w:tcPr>
          <w:p w14:paraId="476E3603" w14:textId="77777777" w:rsidR="00D40151" w:rsidRPr="00873B6C" w:rsidRDefault="00D40151" w:rsidP="009D14FB">
            <w:pPr>
              <w:pStyle w:val="TAC"/>
              <w:rPr>
                <w:sz w:val="16"/>
                <w:szCs w:val="16"/>
              </w:rPr>
            </w:pPr>
            <w:r w:rsidRPr="00873B6C">
              <w:rPr>
                <w:sz w:val="16"/>
                <w:szCs w:val="16"/>
              </w:rPr>
              <w:t>16.5.0</w:t>
            </w:r>
          </w:p>
        </w:tc>
      </w:tr>
      <w:tr w:rsidR="00D40151" w:rsidRPr="00873B6C" w14:paraId="4CC0E11C" w14:textId="77777777" w:rsidTr="009D14FB">
        <w:tc>
          <w:tcPr>
            <w:tcW w:w="800" w:type="dxa"/>
            <w:shd w:val="solid" w:color="FFFFFF" w:fill="auto"/>
          </w:tcPr>
          <w:p w14:paraId="28821DC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2BE2069"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2EE14F0"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32A62F41" w14:textId="77777777" w:rsidR="00D40151" w:rsidRPr="00873B6C" w:rsidRDefault="00D40151" w:rsidP="009D14FB">
            <w:pPr>
              <w:pStyle w:val="TAL"/>
              <w:rPr>
                <w:sz w:val="16"/>
                <w:szCs w:val="16"/>
              </w:rPr>
            </w:pPr>
            <w:r w:rsidRPr="00873B6C">
              <w:rPr>
                <w:sz w:val="16"/>
                <w:szCs w:val="16"/>
              </w:rPr>
              <w:t>2352</w:t>
            </w:r>
          </w:p>
        </w:tc>
        <w:tc>
          <w:tcPr>
            <w:tcW w:w="425" w:type="dxa"/>
            <w:shd w:val="solid" w:color="FFFFFF" w:fill="auto"/>
          </w:tcPr>
          <w:p w14:paraId="2C6F920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F41DF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3A2D99" w14:textId="77777777" w:rsidR="00D40151" w:rsidRPr="00873B6C" w:rsidRDefault="00D40151" w:rsidP="009D14FB">
            <w:pPr>
              <w:pStyle w:val="TAL"/>
              <w:rPr>
                <w:sz w:val="16"/>
                <w:szCs w:val="16"/>
              </w:rPr>
            </w:pPr>
            <w:r w:rsidRPr="00873B6C">
              <w:rPr>
                <w:sz w:val="16"/>
                <w:szCs w:val="16"/>
              </w:rPr>
              <w:t>Support of emergency services for Rel-15 UE in CAG cells</w:t>
            </w:r>
          </w:p>
        </w:tc>
        <w:tc>
          <w:tcPr>
            <w:tcW w:w="708" w:type="dxa"/>
            <w:shd w:val="solid" w:color="FFFFFF" w:fill="auto"/>
          </w:tcPr>
          <w:p w14:paraId="2BF40DC4" w14:textId="77777777" w:rsidR="00D40151" w:rsidRPr="00873B6C" w:rsidRDefault="00D40151" w:rsidP="009D14FB">
            <w:pPr>
              <w:pStyle w:val="TAC"/>
              <w:rPr>
                <w:sz w:val="16"/>
                <w:szCs w:val="16"/>
              </w:rPr>
            </w:pPr>
            <w:r w:rsidRPr="00873B6C">
              <w:rPr>
                <w:sz w:val="16"/>
                <w:szCs w:val="16"/>
              </w:rPr>
              <w:t>16.5.0</w:t>
            </w:r>
          </w:p>
        </w:tc>
      </w:tr>
      <w:tr w:rsidR="00D40151" w:rsidRPr="00873B6C" w14:paraId="05F886B8" w14:textId="77777777" w:rsidTr="009D14FB">
        <w:tc>
          <w:tcPr>
            <w:tcW w:w="800" w:type="dxa"/>
            <w:shd w:val="solid" w:color="FFFFFF" w:fill="auto"/>
          </w:tcPr>
          <w:p w14:paraId="1E88BEE6"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F103B3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CBCBFFE" w14:textId="77777777" w:rsidR="00D40151" w:rsidRPr="00873B6C" w:rsidRDefault="00D40151" w:rsidP="009D14FB">
            <w:pPr>
              <w:pStyle w:val="TAC"/>
              <w:rPr>
                <w:sz w:val="16"/>
                <w:szCs w:val="16"/>
              </w:rPr>
            </w:pPr>
            <w:r w:rsidRPr="00873B6C">
              <w:rPr>
                <w:sz w:val="16"/>
                <w:szCs w:val="16"/>
              </w:rPr>
              <w:t>SP-200424</w:t>
            </w:r>
          </w:p>
        </w:tc>
        <w:tc>
          <w:tcPr>
            <w:tcW w:w="567" w:type="dxa"/>
            <w:shd w:val="solid" w:color="FFFFFF" w:fill="auto"/>
          </w:tcPr>
          <w:p w14:paraId="601E356F" w14:textId="77777777" w:rsidR="00D40151" w:rsidRPr="00873B6C" w:rsidRDefault="00D40151" w:rsidP="009D14FB">
            <w:pPr>
              <w:pStyle w:val="TAL"/>
              <w:rPr>
                <w:sz w:val="16"/>
                <w:szCs w:val="16"/>
              </w:rPr>
            </w:pPr>
            <w:r w:rsidRPr="00873B6C">
              <w:rPr>
                <w:sz w:val="16"/>
                <w:szCs w:val="16"/>
              </w:rPr>
              <w:t>2353</w:t>
            </w:r>
          </w:p>
        </w:tc>
        <w:tc>
          <w:tcPr>
            <w:tcW w:w="425" w:type="dxa"/>
            <w:shd w:val="solid" w:color="FFFFFF" w:fill="auto"/>
          </w:tcPr>
          <w:p w14:paraId="01F4CC1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745CC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B76518" w14:textId="77777777" w:rsidR="00D40151" w:rsidRPr="00873B6C" w:rsidRDefault="00D40151" w:rsidP="009D14FB">
            <w:pPr>
              <w:pStyle w:val="TAL"/>
              <w:rPr>
                <w:sz w:val="16"/>
                <w:szCs w:val="16"/>
              </w:rPr>
            </w:pPr>
            <w:r w:rsidRPr="00873B6C">
              <w:rPr>
                <w:sz w:val="16"/>
                <w:szCs w:val="16"/>
              </w:rPr>
              <w:t>Update of NF profile</w:t>
            </w:r>
          </w:p>
        </w:tc>
        <w:tc>
          <w:tcPr>
            <w:tcW w:w="708" w:type="dxa"/>
            <w:shd w:val="solid" w:color="FFFFFF" w:fill="auto"/>
          </w:tcPr>
          <w:p w14:paraId="05AE2CC7" w14:textId="77777777" w:rsidR="00D40151" w:rsidRPr="00873B6C" w:rsidRDefault="00D40151" w:rsidP="009D14FB">
            <w:pPr>
              <w:pStyle w:val="TAC"/>
              <w:rPr>
                <w:sz w:val="16"/>
                <w:szCs w:val="16"/>
              </w:rPr>
            </w:pPr>
            <w:r w:rsidRPr="00873B6C">
              <w:rPr>
                <w:sz w:val="16"/>
                <w:szCs w:val="16"/>
              </w:rPr>
              <w:t>16.5.0</w:t>
            </w:r>
          </w:p>
        </w:tc>
      </w:tr>
      <w:tr w:rsidR="00D40151" w:rsidRPr="00873B6C" w14:paraId="2864613F" w14:textId="77777777" w:rsidTr="009D14FB">
        <w:tc>
          <w:tcPr>
            <w:tcW w:w="800" w:type="dxa"/>
            <w:shd w:val="solid" w:color="FFFFFF" w:fill="auto"/>
          </w:tcPr>
          <w:p w14:paraId="2A54EBB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6E32E5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47559D5"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450409E2" w14:textId="77777777" w:rsidR="00D40151" w:rsidRPr="00873B6C" w:rsidRDefault="00D40151" w:rsidP="009D14FB">
            <w:pPr>
              <w:pStyle w:val="TAL"/>
              <w:rPr>
                <w:sz w:val="16"/>
                <w:szCs w:val="16"/>
              </w:rPr>
            </w:pPr>
            <w:r w:rsidRPr="00873B6C">
              <w:rPr>
                <w:sz w:val="16"/>
                <w:szCs w:val="16"/>
              </w:rPr>
              <w:t>2363</w:t>
            </w:r>
          </w:p>
        </w:tc>
        <w:tc>
          <w:tcPr>
            <w:tcW w:w="425" w:type="dxa"/>
            <w:shd w:val="solid" w:color="FFFFFF" w:fill="auto"/>
          </w:tcPr>
          <w:p w14:paraId="46FC043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D3A4EA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E9327D" w14:textId="77777777" w:rsidR="00D40151" w:rsidRPr="00873B6C" w:rsidRDefault="00D40151" w:rsidP="009D14FB">
            <w:pPr>
              <w:pStyle w:val="TAL"/>
              <w:rPr>
                <w:sz w:val="16"/>
                <w:szCs w:val="16"/>
              </w:rPr>
            </w:pPr>
            <w:r w:rsidRPr="00873B6C">
              <w:rPr>
                <w:sz w:val="16"/>
                <w:szCs w:val="16"/>
              </w:rPr>
              <w:t>VLAN Information configuration and information exchange</w:t>
            </w:r>
          </w:p>
        </w:tc>
        <w:tc>
          <w:tcPr>
            <w:tcW w:w="708" w:type="dxa"/>
            <w:shd w:val="solid" w:color="FFFFFF" w:fill="auto"/>
          </w:tcPr>
          <w:p w14:paraId="1D42D7FA" w14:textId="77777777" w:rsidR="00D40151" w:rsidRPr="00873B6C" w:rsidRDefault="00D40151" w:rsidP="009D14FB">
            <w:pPr>
              <w:pStyle w:val="TAC"/>
              <w:rPr>
                <w:sz w:val="16"/>
                <w:szCs w:val="16"/>
              </w:rPr>
            </w:pPr>
            <w:r w:rsidRPr="00873B6C">
              <w:rPr>
                <w:sz w:val="16"/>
                <w:szCs w:val="16"/>
              </w:rPr>
              <w:t>16.5.0</w:t>
            </w:r>
          </w:p>
        </w:tc>
      </w:tr>
      <w:tr w:rsidR="00D40151" w:rsidRPr="00873B6C" w14:paraId="5DC55263" w14:textId="77777777" w:rsidTr="009D14FB">
        <w:tc>
          <w:tcPr>
            <w:tcW w:w="800" w:type="dxa"/>
            <w:shd w:val="solid" w:color="FFFFFF" w:fill="auto"/>
          </w:tcPr>
          <w:p w14:paraId="2DF3760B"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0045AC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21AD1B7"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09EC4275" w14:textId="77777777" w:rsidR="00D40151" w:rsidRPr="00873B6C" w:rsidRDefault="00D40151" w:rsidP="009D14FB">
            <w:pPr>
              <w:pStyle w:val="TAL"/>
              <w:rPr>
                <w:sz w:val="16"/>
                <w:szCs w:val="16"/>
              </w:rPr>
            </w:pPr>
            <w:r w:rsidRPr="00873B6C">
              <w:rPr>
                <w:sz w:val="16"/>
                <w:szCs w:val="16"/>
              </w:rPr>
              <w:t>2365</w:t>
            </w:r>
          </w:p>
        </w:tc>
        <w:tc>
          <w:tcPr>
            <w:tcW w:w="425" w:type="dxa"/>
            <w:shd w:val="solid" w:color="FFFFFF" w:fill="auto"/>
          </w:tcPr>
          <w:p w14:paraId="47BE486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9ECD00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F5FF0D" w14:textId="77777777" w:rsidR="00D40151" w:rsidRPr="00873B6C" w:rsidRDefault="00D40151" w:rsidP="009D14FB">
            <w:pPr>
              <w:pStyle w:val="TAL"/>
              <w:rPr>
                <w:sz w:val="16"/>
                <w:szCs w:val="16"/>
              </w:rPr>
            </w:pPr>
            <w:r w:rsidRPr="00873B6C">
              <w:rPr>
                <w:sz w:val="16"/>
                <w:szCs w:val="16"/>
              </w:rPr>
              <w:t>MA PDU Session not supported in ETSUN case</w:t>
            </w:r>
          </w:p>
        </w:tc>
        <w:tc>
          <w:tcPr>
            <w:tcW w:w="708" w:type="dxa"/>
            <w:shd w:val="solid" w:color="FFFFFF" w:fill="auto"/>
          </w:tcPr>
          <w:p w14:paraId="44467362" w14:textId="77777777" w:rsidR="00D40151" w:rsidRPr="00873B6C" w:rsidRDefault="00D40151" w:rsidP="009D14FB">
            <w:pPr>
              <w:pStyle w:val="TAC"/>
              <w:rPr>
                <w:sz w:val="16"/>
                <w:szCs w:val="16"/>
              </w:rPr>
            </w:pPr>
            <w:r w:rsidRPr="00873B6C">
              <w:rPr>
                <w:sz w:val="16"/>
                <w:szCs w:val="16"/>
              </w:rPr>
              <w:t>16.5.0</w:t>
            </w:r>
          </w:p>
        </w:tc>
      </w:tr>
      <w:tr w:rsidR="00D40151" w:rsidRPr="00873B6C" w14:paraId="313F183D" w14:textId="77777777" w:rsidTr="009D14FB">
        <w:tc>
          <w:tcPr>
            <w:tcW w:w="800" w:type="dxa"/>
            <w:shd w:val="solid" w:color="FFFFFF" w:fill="auto"/>
          </w:tcPr>
          <w:p w14:paraId="75F68D5B"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E99E3C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0C33B28" w14:textId="77777777" w:rsidR="00D40151" w:rsidRPr="00873B6C" w:rsidRDefault="00D40151" w:rsidP="009D14FB">
            <w:pPr>
              <w:pStyle w:val="TAC"/>
              <w:rPr>
                <w:sz w:val="16"/>
                <w:szCs w:val="16"/>
              </w:rPr>
            </w:pPr>
            <w:r w:rsidRPr="00873B6C">
              <w:rPr>
                <w:sz w:val="16"/>
                <w:szCs w:val="16"/>
              </w:rPr>
              <w:t>SP-200515</w:t>
            </w:r>
          </w:p>
        </w:tc>
        <w:tc>
          <w:tcPr>
            <w:tcW w:w="567" w:type="dxa"/>
            <w:shd w:val="solid" w:color="FFFFFF" w:fill="auto"/>
          </w:tcPr>
          <w:p w14:paraId="1CC1316B" w14:textId="77777777" w:rsidR="00D40151" w:rsidRPr="00873B6C" w:rsidRDefault="00D40151" w:rsidP="009D14FB">
            <w:pPr>
              <w:pStyle w:val="TAL"/>
              <w:rPr>
                <w:sz w:val="16"/>
                <w:szCs w:val="16"/>
              </w:rPr>
            </w:pPr>
            <w:r w:rsidRPr="00873B6C">
              <w:rPr>
                <w:sz w:val="16"/>
                <w:szCs w:val="16"/>
              </w:rPr>
              <w:t>2230</w:t>
            </w:r>
          </w:p>
        </w:tc>
        <w:tc>
          <w:tcPr>
            <w:tcW w:w="425" w:type="dxa"/>
            <w:shd w:val="solid" w:color="FFFFFF" w:fill="auto"/>
          </w:tcPr>
          <w:p w14:paraId="3A919F1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F90877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6AB0D0B" w14:textId="74B5CC42" w:rsidR="00D40151" w:rsidRPr="00873B6C" w:rsidRDefault="009722D9" w:rsidP="009D14FB">
            <w:pPr>
              <w:pStyle w:val="TAL"/>
              <w:rPr>
                <w:sz w:val="16"/>
                <w:szCs w:val="16"/>
              </w:rPr>
            </w:pPr>
            <w:r w:rsidRPr="00873B6C">
              <w:rPr>
                <w:sz w:val="16"/>
                <w:szCs w:val="16"/>
              </w:rPr>
              <w:t>Splitting</w:t>
            </w:r>
            <w:r w:rsidR="00D40151" w:rsidRPr="00873B6C">
              <w:rPr>
                <w:sz w:val="16"/>
                <w:szCs w:val="16"/>
              </w:rPr>
              <w:t xml:space="preserve"> port management information into port- and bridge-specific information</w:t>
            </w:r>
          </w:p>
        </w:tc>
        <w:tc>
          <w:tcPr>
            <w:tcW w:w="708" w:type="dxa"/>
            <w:shd w:val="solid" w:color="FFFFFF" w:fill="auto"/>
          </w:tcPr>
          <w:p w14:paraId="4B204D37" w14:textId="77777777" w:rsidR="00D40151" w:rsidRPr="00873B6C" w:rsidRDefault="00D40151" w:rsidP="009D14FB">
            <w:pPr>
              <w:pStyle w:val="TAC"/>
              <w:rPr>
                <w:sz w:val="16"/>
                <w:szCs w:val="16"/>
              </w:rPr>
            </w:pPr>
            <w:r w:rsidRPr="00873B6C">
              <w:rPr>
                <w:sz w:val="16"/>
                <w:szCs w:val="16"/>
              </w:rPr>
              <w:t>16.5.0</w:t>
            </w:r>
          </w:p>
        </w:tc>
      </w:tr>
      <w:tr w:rsidR="00D40151" w:rsidRPr="00873B6C" w14:paraId="25B89E8F" w14:textId="77777777" w:rsidTr="009D14FB">
        <w:tc>
          <w:tcPr>
            <w:tcW w:w="800" w:type="dxa"/>
            <w:shd w:val="solid" w:color="FFFFFF" w:fill="auto"/>
          </w:tcPr>
          <w:p w14:paraId="5C91AD2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BACBEEE"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D25A3C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7808D1AC" w14:textId="77777777" w:rsidR="00D40151" w:rsidRPr="00873B6C" w:rsidRDefault="00D40151" w:rsidP="009D14FB">
            <w:pPr>
              <w:pStyle w:val="TAL"/>
              <w:rPr>
                <w:sz w:val="16"/>
                <w:szCs w:val="16"/>
              </w:rPr>
            </w:pPr>
            <w:r w:rsidRPr="00873B6C">
              <w:rPr>
                <w:sz w:val="16"/>
                <w:szCs w:val="16"/>
              </w:rPr>
              <w:t>2135</w:t>
            </w:r>
          </w:p>
        </w:tc>
        <w:tc>
          <w:tcPr>
            <w:tcW w:w="425" w:type="dxa"/>
            <w:shd w:val="solid" w:color="FFFFFF" w:fill="auto"/>
          </w:tcPr>
          <w:p w14:paraId="05609F29"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66C69C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601BE3" w14:textId="77777777" w:rsidR="00D40151" w:rsidRPr="00873B6C" w:rsidRDefault="00D40151" w:rsidP="009D14FB">
            <w:pPr>
              <w:pStyle w:val="TAL"/>
              <w:rPr>
                <w:sz w:val="16"/>
                <w:szCs w:val="16"/>
              </w:rPr>
            </w:pPr>
            <w:r w:rsidRPr="00873B6C">
              <w:rPr>
                <w:sz w:val="16"/>
                <w:szCs w:val="16"/>
              </w:rPr>
              <w:t>Updating the UE with new CAG information</w:t>
            </w:r>
          </w:p>
        </w:tc>
        <w:tc>
          <w:tcPr>
            <w:tcW w:w="708" w:type="dxa"/>
            <w:shd w:val="solid" w:color="FFFFFF" w:fill="auto"/>
          </w:tcPr>
          <w:p w14:paraId="3E1AD05F" w14:textId="77777777" w:rsidR="00D40151" w:rsidRPr="00873B6C" w:rsidRDefault="00D40151" w:rsidP="009D14FB">
            <w:pPr>
              <w:pStyle w:val="TAC"/>
              <w:rPr>
                <w:sz w:val="16"/>
                <w:szCs w:val="16"/>
              </w:rPr>
            </w:pPr>
            <w:r w:rsidRPr="00873B6C">
              <w:rPr>
                <w:sz w:val="16"/>
                <w:szCs w:val="16"/>
              </w:rPr>
              <w:t>16.5.0</w:t>
            </w:r>
          </w:p>
        </w:tc>
      </w:tr>
      <w:tr w:rsidR="00D40151" w:rsidRPr="00873B6C" w14:paraId="571C79D9" w14:textId="77777777" w:rsidTr="009D14FB">
        <w:tc>
          <w:tcPr>
            <w:tcW w:w="800" w:type="dxa"/>
            <w:shd w:val="solid" w:color="FFFFFF" w:fill="auto"/>
          </w:tcPr>
          <w:p w14:paraId="36A7A9D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92A96E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1EC3645" w14:textId="77777777" w:rsidR="00D40151" w:rsidRPr="00873B6C" w:rsidRDefault="00D40151" w:rsidP="009D14FB">
            <w:pPr>
              <w:pStyle w:val="TAC"/>
              <w:rPr>
                <w:sz w:val="16"/>
                <w:szCs w:val="16"/>
              </w:rPr>
            </w:pPr>
            <w:r w:rsidRPr="00873B6C">
              <w:rPr>
                <w:sz w:val="16"/>
                <w:szCs w:val="16"/>
              </w:rPr>
              <w:t>SP-200588</w:t>
            </w:r>
          </w:p>
        </w:tc>
        <w:tc>
          <w:tcPr>
            <w:tcW w:w="567" w:type="dxa"/>
            <w:shd w:val="solid" w:color="FFFFFF" w:fill="auto"/>
          </w:tcPr>
          <w:p w14:paraId="6DEAD5CC" w14:textId="77777777" w:rsidR="00D40151" w:rsidRPr="00873B6C" w:rsidRDefault="00D40151" w:rsidP="009D14FB">
            <w:pPr>
              <w:pStyle w:val="TAL"/>
              <w:rPr>
                <w:sz w:val="16"/>
                <w:szCs w:val="16"/>
              </w:rPr>
            </w:pPr>
            <w:r w:rsidRPr="00873B6C">
              <w:rPr>
                <w:sz w:val="16"/>
                <w:szCs w:val="16"/>
              </w:rPr>
              <w:t>2370</w:t>
            </w:r>
          </w:p>
        </w:tc>
        <w:tc>
          <w:tcPr>
            <w:tcW w:w="425" w:type="dxa"/>
            <w:shd w:val="solid" w:color="FFFFFF" w:fill="auto"/>
          </w:tcPr>
          <w:p w14:paraId="6518E00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658572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131888" w14:textId="77777777" w:rsidR="00D40151" w:rsidRPr="00873B6C" w:rsidRDefault="00D40151" w:rsidP="009D14FB">
            <w:pPr>
              <w:pStyle w:val="TAL"/>
              <w:rPr>
                <w:sz w:val="16"/>
                <w:szCs w:val="16"/>
              </w:rPr>
            </w:pPr>
            <w:r w:rsidRPr="00873B6C">
              <w:rPr>
                <w:sz w:val="16"/>
                <w:szCs w:val="16"/>
              </w:rPr>
              <w:t>Alignment on Alternative QoS Profile</w:t>
            </w:r>
          </w:p>
          <w:p w14:paraId="25A0CBD6" w14:textId="77777777" w:rsidR="00D40151" w:rsidRPr="00873B6C" w:rsidRDefault="00D40151" w:rsidP="009D14FB">
            <w:pPr>
              <w:pStyle w:val="TAL"/>
              <w:rPr>
                <w:color w:val="0000FF"/>
                <w:sz w:val="16"/>
                <w:szCs w:val="16"/>
              </w:rPr>
            </w:pPr>
            <w:r w:rsidRPr="00873B6C">
              <w:rPr>
                <w:color w:val="0000FF"/>
                <w:sz w:val="16"/>
                <w:szCs w:val="16"/>
              </w:rPr>
              <w:t>(This CR was noted, corrected to implement CR2730R1 in v16.5.1)</w:t>
            </w:r>
          </w:p>
        </w:tc>
        <w:tc>
          <w:tcPr>
            <w:tcW w:w="708" w:type="dxa"/>
            <w:shd w:val="solid" w:color="FFFFFF" w:fill="auto"/>
          </w:tcPr>
          <w:p w14:paraId="24B88D96" w14:textId="77777777" w:rsidR="00D40151" w:rsidRPr="00873B6C" w:rsidRDefault="00D40151" w:rsidP="009D14FB">
            <w:pPr>
              <w:pStyle w:val="TAC"/>
              <w:rPr>
                <w:sz w:val="16"/>
                <w:szCs w:val="16"/>
              </w:rPr>
            </w:pPr>
            <w:r w:rsidRPr="00873B6C">
              <w:rPr>
                <w:sz w:val="16"/>
                <w:szCs w:val="16"/>
              </w:rPr>
              <w:t>16.5.0</w:t>
            </w:r>
          </w:p>
        </w:tc>
      </w:tr>
      <w:tr w:rsidR="00D40151" w:rsidRPr="00873B6C" w14:paraId="0943DDE1" w14:textId="77777777" w:rsidTr="009D14FB">
        <w:tc>
          <w:tcPr>
            <w:tcW w:w="800" w:type="dxa"/>
            <w:shd w:val="solid" w:color="FFFFFF" w:fill="auto"/>
          </w:tcPr>
          <w:p w14:paraId="7A7B692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6B7EBA0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7B3F19D" w14:textId="77777777" w:rsidR="00D40151" w:rsidRPr="00873B6C" w:rsidRDefault="00D40151" w:rsidP="009D14FB">
            <w:pPr>
              <w:pStyle w:val="TAC"/>
              <w:rPr>
                <w:sz w:val="16"/>
                <w:szCs w:val="16"/>
              </w:rPr>
            </w:pPr>
            <w:r w:rsidRPr="00873B6C">
              <w:rPr>
                <w:sz w:val="16"/>
                <w:szCs w:val="16"/>
              </w:rPr>
              <w:t>SP-200420</w:t>
            </w:r>
          </w:p>
        </w:tc>
        <w:tc>
          <w:tcPr>
            <w:tcW w:w="567" w:type="dxa"/>
            <w:shd w:val="solid" w:color="FFFFFF" w:fill="auto"/>
          </w:tcPr>
          <w:p w14:paraId="4D490819" w14:textId="77777777" w:rsidR="00D40151" w:rsidRPr="00873B6C" w:rsidRDefault="00D40151" w:rsidP="009D14FB">
            <w:pPr>
              <w:pStyle w:val="TAL"/>
              <w:rPr>
                <w:sz w:val="16"/>
                <w:szCs w:val="16"/>
              </w:rPr>
            </w:pPr>
            <w:r w:rsidRPr="00873B6C">
              <w:rPr>
                <w:sz w:val="16"/>
                <w:szCs w:val="16"/>
              </w:rPr>
              <w:t>1732</w:t>
            </w:r>
          </w:p>
        </w:tc>
        <w:tc>
          <w:tcPr>
            <w:tcW w:w="425" w:type="dxa"/>
            <w:shd w:val="solid" w:color="FFFFFF" w:fill="auto"/>
          </w:tcPr>
          <w:p w14:paraId="05C88EDD"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A1D575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2ACF1D5" w14:textId="77777777" w:rsidR="00D40151" w:rsidRPr="00873B6C" w:rsidRDefault="00D40151" w:rsidP="009D14FB">
            <w:pPr>
              <w:pStyle w:val="TAL"/>
              <w:rPr>
                <w:sz w:val="16"/>
                <w:szCs w:val="16"/>
              </w:rPr>
            </w:pPr>
            <w:r w:rsidRPr="00873B6C">
              <w:rPr>
                <w:sz w:val="16"/>
                <w:szCs w:val="16"/>
              </w:rPr>
              <w:t>Reflective QoS</w:t>
            </w:r>
          </w:p>
        </w:tc>
        <w:tc>
          <w:tcPr>
            <w:tcW w:w="708" w:type="dxa"/>
            <w:shd w:val="solid" w:color="FFFFFF" w:fill="auto"/>
          </w:tcPr>
          <w:p w14:paraId="4FC66600" w14:textId="77777777" w:rsidR="00D40151" w:rsidRPr="00873B6C" w:rsidRDefault="00D40151" w:rsidP="009D14FB">
            <w:pPr>
              <w:pStyle w:val="TAC"/>
              <w:rPr>
                <w:sz w:val="16"/>
                <w:szCs w:val="16"/>
              </w:rPr>
            </w:pPr>
            <w:r w:rsidRPr="00873B6C">
              <w:rPr>
                <w:sz w:val="16"/>
                <w:szCs w:val="16"/>
              </w:rPr>
              <w:t>16.5.0</w:t>
            </w:r>
          </w:p>
        </w:tc>
      </w:tr>
      <w:tr w:rsidR="00D40151" w:rsidRPr="00873B6C" w14:paraId="1B39F594" w14:textId="77777777" w:rsidTr="009D14FB">
        <w:tc>
          <w:tcPr>
            <w:tcW w:w="800" w:type="dxa"/>
            <w:shd w:val="solid" w:color="FFFFFF" w:fill="auto"/>
          </w:tcPr>
          <w:p w14:paraId="0BA3A5FB"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0234C3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5300FD6"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1FDC3227" w14:textId="77777777" w:rsidR="00D40151" w:rsidRPr="00873B6C" w:rsidRDefault="00D40151" w:rsidP="009D14FB">
            <w:pPr>
              <w:pStyle w:val="TAL"/>
              <w:rPr>
                <w:sz w:val="16"/>
                <w:szCs w:val="16"/>
              </w:rPr>
            </w:pPr>
            <w:r w:rsidRPr="00873B6C">
              <w:rPr>
                <w:sz w:val="16"/>
                <w:szCs w:val="16"/>
              </w:rPr>
              <w:t>2243</w:t>
            </w:r>
          </w:p>
        </w:tc>
        <w:tc>
          <w:tcPr>
            <w:tcW w:w="425" w:type="dxa"/>
            <w:shd w:val="solid" w:color="FFFFFF" w:fill="auto"/>
          </w:tcPr>
          <w:p w14:paraId="5D7CB87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4BE87B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68B444" w14:textId="77777777" w:rsidR="00D40151" w:rsidRPr="00873B6C" w:rsidRDefault="00D40151" w:rsidP="009D14FB">
            <w:pPr>
              <w:pStyle w:val="TAL"/>
              <w:rPr>
                <w:sz w:val="16"/>
                <w:szCs w:val="16"/>
              </w:rPr>
            </w:pPr>
            <w:r w:rsidRPr="00873B6C">
              <w:rPr>
                <w:sz w:val="16"/>
                <w:szCs w:val="16"/>
              </w:rPr>
              <w:t>Service Area Restriction clarification</w:t>
            </w:r>
          </w:p>
        </w:tc>
        <w:tc>
          <w:tcPr>
            <w:tcW w:w="708" w:type="dxa"/>
            <w:shd w:val="solid" w:color="FFFFFF" w:fill="auto"/>
          </w:tcPr>
          <w:p w14:paraId="07D89788" w14:textId="77777777" w:rsidR="00D40151" w:rsidRPr="00873B6C" w:rsidRDefault="00D40151" w:rsidP="009D14FB">
            <w:pPr>
              <w:pStyle w:val="TAC"/>
              <w:rPr>
                <w:sz w:val="16"/>
                <w:szCs w:val="16"/>
              </w:rPr>
            </w:pPr>
            <w:r w:rsidRPr="00873B6C">
              <w:rPr>
                <w:sz w:val="16"/>
                <w:szCs w:val="16"/>
              </w:rPr>
              <w:t>16.5.0</w:t>
            </w:r>
          </w:p>
        </w:tc>
      </w:tr>
      <w:tr w:rsidR="00D40151" w:rsidRPr="00873B6C" w14:paraId="15EE3188" w14:textId="77777777" w:rsidTr="009D14FB">
        <w:tc>
          <w:tcPr>
            <w:tcW w:w="800" w:type="dxa"/>
            <w:shd w:val="solid" w:color="FFFFFF" w:fill="auto"/>
          </w:tcPr>
          <w:p w14:paraId="198EF8F3" w14:textId="77777777" w:rsidR="00D40151" w:rsidRPr="00873B6C" w:rsidRDefault="00D40151" w:rsidP="009D14FB">
            <w:pPr>
              <w:pStyle w:val="TAC"/>
              <w:rPr>
                <w:sz w:val="16"/>
                <w:szCs w:val="16"/>
              </w:rPr>
            </w:pPr>
            <w:r w:rsidRPr="00873B6C">
              <w:rPr>
                <w:sz w:val="16"/>
                <w:szCs w:val="16"/>
              </w:rPr>
              <w:lastRenderedPageBreak/>
              <w:t>2020-07</w:t>
            </w:r>
          </w:p>
        </w:tc>
        <w:tc>
          <w:tcPr>
            <w:tcW w:w="800" w:type="dxa"/>
            <w:shd w:val="solid" w:color="FFFFFF" w:fill="auto"/>
          </w:tcPr>
          <w:p w14:paraId="1CF12F0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BA54A6C" w14:textId="77777777" w:rsidR="00D40151" w:rsidRPr="00873B6C" w:rsidRDefault="00D40151" w:rsidP="009D14FB">
            <w:pPr>
              <w:pStyle w:val="TAC"/>
              <w:rPr>
                <w:sz w:val="16"/>
                <w:szCs w:val="16"/>
              </w:rPr>
            </w:pPr>
            <w:r w:rsidRPr="00873B6C">
              <w:rPr>
                <w:sz w:val="16"/>
                <w:szCs w:val="16"/>
              </w:rPr>
              <w:t>SP-200610</w:t>
            </w:r>
          </w:p>
        </w:tc>
        <w:tc>
          <w:tcPr>
            <w:tcW w:w="567" w:type="dxa"/>
            <w:shd w:val="solid" w:color="FFFFFF" w:fill="auto"/>
          </w:tcPr>
          <w:p w14:paraId="3F250440" w14:textId="77777777" w:rsidR="00D40151" w:rsidRPr="00873B6C" w:rsidRDefault="00D40151" w:rsidP="009D14FB">
            <w:pPr>
              <w:pStyle w:val="TAL"/>
              <w:rPr>
                <w:sz w:val="16"/>
                <w:szCs w:val="16"/>
              </w:rPr>
            </w:pPr>
            <w:r w:rsidRPr="00873B6C">
              <w:rPr>
                <w:sz w:val="16"/>
                <w:szCs w:val="16"/>
              </w:rPr>
              <w:t>2361</w:t>
            </w:r>
          </w:p>
        </w:tc>
        <w:tc>
          <w:tcPr>
            <w:tcW w:w="425" w:type="dxa"/>
            <w:shd w:val="solid" w:color="FFFFFF" w:fill="auto"/>
          </w:tcPr>
          <w:p w14:paraId="0A20DE3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9F900E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A558FE" w14:textId="77777777" w:rsidR="00D40151" w:rsidRPr="00873B6C" w:rsidRDefault="00D40151" w:rsidP="009D14FB">
            <w:pPr>
              <w:pStyle w:val="TAL"/>
              <w:rPr>
                <w:sz w:val="16"/>
                <w:szCs w:val="16"/>
              </w:rPr>
            </w:pPr>
            <w:r w:rsidRPr="00873B6C">
              <w:rPr>
                <w:sz w:val="16"/>
                <w:szCs w:val="16"/>
              </w:rPr>
              <w:t>PDU Session release when Control Plane Only indication is not available</w:t>
            </w:r>
          </w:p>
        </w:tc>
        <w:tc>
          <w:tcPr>
            <w:tcW w:w="708" w:type="dxa"/>
            <w:shd w:val="solid" w:color="FFFFFF" w:fill="auto"/>
          </w:tcPr>
          <w:p w14:paraId="7253DA64" w14:textId="77777777" w:rsidR="00D40151" w:rsidRPr="00873B6C" w:rsidRDefault="00D40151" w:rsidP="009D14FB">
            <w:pPr>
              <w:pStyle w:val="TAC"/>
              <w:rPr>
                <w:sz w:val="16"/>
                <w:szCs w:val="16"/>
              </w:rPr>
            </w:pPr>
            <w:r w:rsidRPr="00873B6C">
              <w:rPr>
                <w:sz w:val="16"/>
                <w:szCs w:val="16"/>
              </w:rPr>
              <w:t>16.5.0</w:t>
            </w:r>
          </w:p>
        </w:tc>
      </w:tr>
      <w:tr w:rsidR="00D40151" w:rsidRPr="00873B6C" w14:paraId="5460C89A" w14:textId="77777777" w:rsidTr="009D14FB">
        <w:tc>
          <w:tcPr>
            <w:tcW w:w="800" w:type="dxa"/>
            <w:shd w:val="solid" w:color="FFFFFF" w:fill="auto"/>
          </w:tcPr>
          <w:p w14:paraId="6DEEE3F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0ACE92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4795669"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3DF4BA6F" w14:textId="77777777" w:rsidR="00D40151" w:rsidRPr="00873B6C" w:rsidRDefault="00D40151" w:rsidP="009D14FB">
            <w:pPr>
              <w:pStyle w:val="TAL"/>
              <w:rPr>
                <w:sz w:val="16"/>
                <w:szCs w:val="16"/>
              </w:rPr>
            </w:pPr>
            <w:r w:rsidRPr="00873B6C">
              <w:rPr>
                <w:sz w:val="16"/>
                <w:szCs w:val="16"/>
              </w:rPr>
              <w:t>2368</w:t>
            </w:r>
          </w:p>
        </w:tc>
        <w:tc>
          <w:tcPr>
            <w:tcW w:w="425" w:type="dxa"/>
            <w:shd w:val="solid" w:color="FFFFFF" w:fill="auto"/>
          </w:tcPr>
          <w:p w14:paraId="70A113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820B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F46817" w14:textId="77777777" w:rsidR="00D40151" w:rsidRPr="00873B6C" w:rsidRDefault="00D40151" w:rsidP="009D14FB">
            <w:pPr>
              <w:pStyle w:val="TAL"/>
              <w:rPr>
                <w:sz w:val="16"/>
                <w:szCs w:val="16"/>
              </w:rPr>
            </w:pPr>
            <w:r w:rsidRPr="00873B6C">
              <w:rPr>
                <w:sz w:val="16"/>
                <w:szCs w:val="16"/>
              </w:rPr>
              <w:t>PCO support for DNS over (D)TLS (avoiding attacks against DNS traffic)</w:t>
            </w:r>
          </w:p>
        </w:tc>
        <w:tc>
          <w:tcPr>
            <w:tcW w:w="708" w:type="dxa"/>
            <w:shd w:val="solid" w:color="FFFFFF" w:fill="auto"/>
          </w:tcPr>
          <w:p w14:paraId="7449F59F" w14:textId="77777777" w:rsidR="00D40151" w:rsidRPr="00873B6C" w:rsidRDefault="00D40151" w:rsidP="009D14FB">
            <w:pPr>
              <w:pStyle w:val="TAC"/>
              <w:rPr>
                <w:sz w:val="16"/>
                <w:szCs w:val="16"/>
              </w:rPr>
            </w:pPr>
            <w:r w:rsidRPr="00873B6C">
              <w:rPr>
                <w:sz w:val="16"/>
                <w:szCs w:val="16"/>
              </w:rPr>
              <w:t>16.5.0</w:t>
            </w:r>
          </w:p>
        </w:tc>
      </w:tr>
      <w:tr w:rsidR="00D40151" w:rsidRPr="00873B6C" w14:paraId="4457B487" w14:textId="77777777" w:rsidTr="009D14FB">
        <w:tc>
          <w:tcPr>
            <w:tcW w:w="800" w:type="dxa"/>
            <w:shd w:val="solid" w:color="FFFFFF" w:fill="auto"/>
          </w:tcPr>
          <w:p w14:paraId="1FFC8EE5"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7029D9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A647EBF" w14:textId="77777777" w:rsidR="00D40151" w:rsidRPr="00873B6C" w:rsidRDefault="00D40151" w:rsidP="009D14FB">
            <w:pPr>
              <w:pStyle w:val="TAC"/>
              <w:rPr>
                <w:sz w:val="16"/>
                <w:szCs w:val="16"/>
              </w:rPr>
            </w:pPr>
            <w:r w:rsidRPr="00873B6C">
              <w:rPr>
                <w:sz w:val="16"/>
                <w:szCs w:val="16"/>
              </w:rPr>
              <w:t>SP-200427</w:t>
            </w:r>
          </w:p>
        </w:tc>
        <w:tc>
          <w:tcPr>
            <w:tcW w:w="567" w:type="dxa"/>
            <w:shd w:val="solid" w:color="FFFFFF" w:fill="auto"/>
          </w:tcPr>
          <w:p w14:paraId="7C5F5DDE" w14:textId="77777777" w:rsidR="00D40151" w:rsidRPr="00873B6C" w:rsidRDefault="00D40151" w:rsidP="009D14FB">
            <w:pPr>
              <w:pStyle w:val="TAL"/>
              <w:rPr>
                <w:sz w:val="16"/>
                <w:szCs w:val="16"/>
              </w:rPr>
            </w:pPr>
            <w:r w:rsidRPr="00873B6C">
              <w:rPr>
                <w:sz w:val="16"/>
                <w:szCs w:val="16"/>
              </w:rPr>
              <w:t>2369</w:t>
            </w:r>
          </w:p>
        </w:tc>
        <w:tc>
          <w:tcPr>
            <w:tcW w:w="425" w:type="dxa"/>
            <w:shd w:val="solid" w:color="FFFFFF" w:fill="auto"/>
          </w:tcPr>
          <w:p w14:paraId="71A110D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1030C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2BCA9C" w14:textId="77777777" w:rsidR="00D40151" w:rsidRPr="00873B6C" w:rsidRDefault="00D40151" w:rsidP="009D14FB">
            <w:pPr>
              <w:pStyle w:val="TAL"/>
              <w:rPr>
                <w:sz w:val="16"/>
                <w:szCs w:val="16"/>
              </w:rPr>
            </w:pPr>
            <w:r w:rsidRPr="00873B6C">
              <w:rPr>
                <w:sz w:val="16"/>
                <w:szCs w:val="16"/>
              </w:rPr>
              <w:t>Clarification of the Support of the Frame Routing Feature</w:t>
            </w:r>
          </w:p>
        </w:tc>
        <w:tc>
          <w:tcPr>
            <w:tcW w:w="708" w:type="dxa"/>
            <w:shd w:val="solid" w:color="FFFFFF" w:fill="auto"/>
          </w:tcPr>
          <w:p w14:paraId="7608A2BA" w14:textId="77777777" w:rsidR="00D40151" w:rsidRPr="00873B6C" w:rsidRDefault="00D40151" w:rsidP="009D14FB">
            <w:pPr>
              <w:pStyle w:val="TAC"/>
              <w:rPr>
                <w:sz w:val="16"/>
                <w:szCs w:val="16"/>
              </w:rPr>
            </w:pPr>
            <w:r w:rsidRPr="00873B6C">
              <w:rPr>
                <w:sz w:val="16"/>
                <w:szCs w:val="16"/>
              </w:rPr>
              <w:t>16.5.0</w:t>
            </w:r>
          </w:p>
        </w:tc>
      </w:tr>
      <w:tr w:rsidR="00D40151" w:rsidRPr="00873B6C" w14:paraId="538696E0" w14:textId="77777777" w:rsidTr="009D14FB">
        <w:tc>
          <w:tcPr>
            <w:tcW w:w="800" w:type="dxa"/>
            <w:shd w:val="solid" w:color="FFFFFF" w:fill="auto"/>
          </w:tcPr>
          <w:p w14:paraId="73B57BB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45882DD"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2A1082B"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16C30FB9" w14:textId="77777777" w:rsidR="00D40151" w:rsidRPr="00873B6C" w:rsidRDefault="00D40151" w:rsidP="009D14FB">
            <w:pPr>
              <w:pStyle w:val="TAL"/>
              <w:rPr>
                <w:sz w:val="16"/>
                <w:szCs w:val="16"/>
              </w:rPr>
            </w:pPr>
            <w:r w:rsidRPr="00873B6C">
              <w:rPr>
                <w:sz w:val="16"/>
                <w:szCs w:val="16"/>
              </w:rPr>
              <w:t>2371</w:t>
            </w:r>
          </w:p>
        </w:tc>
        <w:tc>
          <w:tcPr>
            <w:tcW w:w="425" w:type="dxa"/>
            <w:shd w:val="solid" w:color="FFFFFF" w:fill="auto"/>
          </w:tcPr>
          <w:p w14:paraId="543EE53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BECC4A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41FC30" w14:textId="77777777" w:rsidR="00D40151" w:rsidRPr="00873B6C" w:rsidRDefault="00D40151" w:rsidP="009D14FB">
            <w:pPr>
              <w:pStyle w:val="TAL"/>
              <w:rPr>
                <w:sz w:val="16"/>
                <w:szCs w:val="16"/>
              </w:rPr>
            </w:pPr>
            <w:r w:rsidRPr="00873B6C">
              <w:rPr>
                <w:sz w:val="16"/>
                <w:szCs w:val="16"/>
              </w:rPr>
              <w:t>URLLC - TSN interworking with ETSUN</w:t>
            </w:r>
          </w:p>
        </w:tc>
        <w:tc>
          <w:tcPr>
            <w:tcW w:w="708" w:type="dxa"/>
            <w:shd w:val="solid" w:color="FFFFFF" w:fill="auto"/>
          </w:tcPr>
          <w:p w14:paraId="1F748106" w14:textId="77777777" w:rsidR="00D40151" w:rsidRPr="00873B6C" w:rsidRDefault="00D40151" w:rsidP="009D14FB">
            <w:pPr>
              <w:pStyle w:val="TAC"/>
              <w:rPr>
                <w:sz w:val="16"/>
                <w:szCs w:val="16"/>
              </w:rPr>
            </w:pPr>
            <w:r w:rsidRPr="00873B6C">
              <w:rPr>
                <w:sz w:val="16"/>
                <w:szCs w:val="16"/>
              </w:rPr>
              <w:t>16.5.0</w:t>
            </w:r>
          </w:p>
        </w:tc>
      </w:tr>
      <w:tr w:rsidR="00D40151" w:rsidRPr="00873B6C" w14:paraId="0604897F" w14:textId="77777777" w:rsidTr="009D14FB">
        <w:tc>
          <w:tcPr>
            <w:tcW w:w="800" w:type="dxa"/>
            <w:shd w:val="solid" w:color="FFFFFF" w:fill="auto"/>
          </w:tcPr>
          <w:p w14:paraId="6D56E51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99F9BC4"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B278426"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76056664" w14:textId="77777777" w:rsidR="00D40151" w:rsidRPr="00873B6C" w:rsidRDefault="00D40151" w:rsidP="009D14FB">
            <w:pPr>
              <w:pStyle w:val="TAL"/>
              <w:rPr>
                <w:sz w:val="16"/>
                <w:szCs w:val="16"/>
              </w:rPr>
            </w:pPr>
            <w:r w:rsidRPr="00873B6C">
              <w:rPr>
                <w:sz w:val="16"/>
                <w:szCs w:val="16"/>
              </w:rPr>
              <w:t>2372</w:t>
            </w:r>
          </w:p>
        </w:tc>
        <w:tc>
          <w:tcPr>
            <w:tcW w:w="425" w:type="dxa"/>
            <w:shd w:val="solid" w:color="FFFFFF" w:fill="auto"/>
          </w:tcPr>
          <w:p w14:paraId="4835FA32"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59CC315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8DED5D" w14:textId="77777777" w:rsidR="00D40151" w:rsidRPr="00873B6C" w:rsidRDefault="00D40151" w:rsidP="009D14FB">
            <w:pPr>
              <w:pStyle w:val="TAL"/>
              <w:rPr>
                <w:sz w:val="16"/>
                <w:szCs w:val="16"/>
              </w:rPr>
            </w:pPr>
            <w:r w:rsidRPr="00873B6C">
              <w:rPr>
                <w:sz w:val="16"/>
                <w:szCs w:val="16"/>
              </w:rPr>
              <w:t xml:space="preserve">Replacing AUSF by NSSAAF to support NSSAA </w:t>
            </w:r>
          </w:p>
        </w:tc>
        <w:tc>
          <w:tcPr>
            <w:tcW w:w="708" w:type="dxa"/>
            <w:shd w:val="solid" w:color="FFFFFF" w:fill="auto"/>
          </w:tcPr>
          <w:p w14:paraId="24D7CDF2" w14:textId="77777777" w:rsidR="00D40151" w:rsidRPr="00873B6C" w:rsidRDefault="00D40151" w:rsidP="009D14FB">
            <w:pPr>
              <w:pStyle w:val="TAC"/>
              <w:rPr>
                <w:sz w:val="16"/>
                <w:szCs w:val="16"/>
              </w:rPr>
            </w:pPr>
            <w:r w:rsidRPr="00873B6C">
              <w:rPr>
                <w:sz w:val="16"/>
                <w:szCs w:val="16"/>
              </w:rPr>
              <w:t>16.5.0</w:t>
            </w:r>
          </w:p>
        </w:tc>
      </w:tr>
      <w:tr w:rsidR="00D40151" w:rsidRPr="00873B6C" w14:paraId="59576BAC" w14:textId="77777777" w:rsidTr="009D14FB">
        <w:tc>
          <w:tcPr>
            <w:tcW w:w="800" w:type="dxa"/>
            <w:shd w:val="solid" w:color="FFFFFF" w:fill="auto"/>
          </w:tcPr>
          <w:p w14:paraId="771B72A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30B30C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F5A817C"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1E262108" w14:textId="77777777" w:rsidR="00D40151" w:rsidRPr="00873B6C" w:rsidRDefault="00D40151" w:rsidP="009D14FB">
            <w:pPr>
              <w:pStyle w:val="TAL"/>
              <w:rPr>
                <w:sz w:val="16"/>
                <w:szCs w:val="16"/>
              </w:rPr>
            </w:pPr>
            <w:r w:rsidRPr="00873B6C">
              <w:rPr>
                <w:sz w:val="16"/>
                <w:szCs w:val="16"/>
              </w:rPr>
              <w:t>2374</w:t>
            </w:r>
          </w:p>
        </w:tc>
        <w:tc>
          <w:tcPr>
            <w:tcW w:w="425" w:type="dxa"/>
            <w:shd w:val="solid" w:color="FFFFFF" w:fill="auto"/>
          </w:tcPr>
          <w:p w14:paraId="37CDDF1D"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6FF51FA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CBDB0E" w14:textId="77777777" w:rsidR="00D40151" w:rsidRPr="00873B6C" w:rsidRDefault="00D40151" w:rsidP="009D14FB">
            <w:pPr>
              <w:pStyle w:val="TAL"/>
              <w:rPr>
                <w:sz w:val="16"/>
                <w:szCs w:val="16"/>
              </w:rPr>
            </w:pPr>
            <w:r w:rsidRPr="00873B6C">
              <w:rPr>
                <w:sz w:val="16"/>
                <w:szCs w:val="16"/>
              </w:rPr>
              <w:t>Removal of I-NEF</w:t>
            </w:r>
          </w:p>
        </w:tc>
        <w:tc>
          <w:tcPr>
            <w:tcW w:w="708" w:type="dxa"/>
            <w:shd w:val="solid" w:color="FFFFFF" w:fill="auto"/>
          </w:tcPr>
          <w:p w14:paraId="0C9F60F6" w14:textId="77777777" w:rsidR="00D40151" w:rsidRPr="00873B6C" w:rsidRDefault="00D40151" w:rsidP="009D14FB">
            <w:pPr>
              <w:pStyle w:val="TAC"/>
              <w:rPr>
                <w:sz w:val="16"/>
                <w:szCs w:val="16"/>
              </w:rPr>
            </w:pPr>
            <w:r w:rsidRPr="00873B6C">
              <w:rPr>
                <w:sz w:val="16"/>
                <w:szCs w:val="16"/>
              </w:rPr>
              <w:t>16.5.0</w:t>
            </w:r>
          </w:p>
        </w:tc>
      </w:tr>
      <w:tr w:rsidR="00D40151" w:rsidRPr="00873B6C" w14:paraId="21DA917E" w14:textId="77777777" w:rsidTr="009D14FB">
        <w:tc>
          <w:tcPr>
            <w:tcW w:w="800" w:type="dxa"/>
            <w:shd w:val="solid" w:color="FFFFFF" w:fill="auto"/>
          </w:tcPr>
          <w:p w14:paraId="09CA891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9F9140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38191D4"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3CC44A95" w14:textId="77777777" w:rsidR="00D40151" w:rsidRPr="00873B6C" w:rsidRDefault="00D40151" w:rsidP="009D14FB">
            <w:pPr>
              <w:pStyle w:val="TAL"/>
              <w:rPr>
                <w:sz w:val="16"/>
                <w:szCs w:val="16"/>
              </w:rPr>
            </w:pPr>
            <w:r w:rsidRPr="00873B6C">
              <w:rPr>
                <w:sz w:val="16"/>
                <w:szCs w:val="16"/>
              </w:rPr>
              <w:t>2378</w:t>
            </w:r>
          </w:p>
        </w:tc>
        <w:tc>
          <w:tcPr>
            <w:tcW w:w="425" w:type="dxa"/>
            <w:shd w:val="solid" w:color="FFFFFF" w:fill="auto"/>
          </w:tcPr>
          <w:p w14:paraId="516E046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ACC2B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B57B6D" w14:textId="77777777" w:rsidR="00D40151" w:rsidRPr="00873B6C" w:rsidRDefault="00D40151" w:rsidP="009D14FB">
            <w:pPr>
              <w:pStyle w:val="TAL"/>
              <w:rPr>
                <w:sz w:val="16"/>
                <w:szCs w:val="16"/>
              </w:rPr>
            </w:pPr>
            <w:r w:rsidRPr="00873B6C">
              <w:rPr>
                <w:sz w:val="16"/>
                <w:szCs w:val="16"/>
              </w:rPr>
              <w:t>UE specific DRX for NB-IoT RAN support clarification based on LS R2-2004057</w:t>
            </w:r>
          </w:p>
        </w:tc>
        <w:tc>
          <w:tcPr>
            <w:tcW w:w="708" w:type="dxa"/>
            <w:shd w:val="solid" w:color="FFFFFF" w:fill="auto"/>
          </w:tcPr>
          <w:p w14:paraId="374D0C38" w14:textId="77777777" w:rsidR="00D40151" w:rsidRPr="00873B6C" w:rsidRDefault="00D40151" w:rsidP="009D14FB">
            <w:pPr>
              <w:pStyle w:val="TAC"/>
              <w:rPr>
                <w:sz w:val="16"/>
                <w:szCs w:val="16"/>
              </w:rPr>
            </w:pPr>
            <w:r w:rsidRPr="00873B6C">
              <w:rPr>
                <w:sz w:val="16"/>
                <w:szCs w:val="16"/>
              </w:rPr>
              <w:t>16.5.0</w:t>
            </w:r>
          </w:p>
        </w:tc>
      </w:tr>
      <w:tr w:rsidR="00D40151" w:rsidRPr="00873B6C" w14:paraId="02AC7EE3" w14:textId="77777777" w:rsidTr="009D14FB">
        <w:tc>
          <w:tcPr>
            <w:tcW w:w="800" w:type="dxa"/>
            <w:shd w:val="solid" w:color="FFFFFF" w:fill="auto"/>
          </w:tcPr>
          <w:p w14:paraId="590C5DB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A75537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20F9F00" w14:textId="77777777" w:rsidR="00D40151" w:rsidRPr="00873B6C" w:rsidRDefault="00D40151" w:rsidP="009D14FB">
            <w:pPr>
              <w:pStyle w:val="TAC"/>
              <w:rPr>
                <w:sz w:val="16"/>
                <w:szCs w:val="16"/>
              </w:rPr>
            </w:pPr>
            <w:r w:rsidRPr="00873B6C">
              <w:rPr>
                <w:sz w:val="16"/>
                <w:szCs w:val="16"/>
              </w:rPr>
              <w:t>SP-200434</w:t>
            </w:r>
          </w:p>
        </w:tc>
        <w:tc>
          <w:tcPr>
            <w:tcW w:w="567" w:type="dxa"/>
            <w:shd w:val="solid" w:color="FFFFFF" w:fill="auto"/>
          </w:tcPr>
          <w:p w14:paraId="7C538143" w14:textId="77777777" w:rsidR="00D40151" w:rsidRPr="00873B6C" w:rsidRDefault="00D40151" w:rsidP="009D14FB">
            <w:pPr>
              <w:pStyle w:val="TAL"/>
              <w:rPr>
                <w:sz w:val="16"/>
                <w:szCs w:val="16"/>
              </w:rPr>
            </w:pPr>
            <w:r w:rsidRPr="00873B6C">
              <w:rPr>
                <w:sz w:val="16"/>
                <w:szCs w:val="16"/>
              </w:rPr>
              <w:t>2379</w:t>
            </w:r>
          </w:p>
        </w:tc>
        <w:tc>
          <w:tcPr>
            <w:tcW w:w="425" w:type="dxa"/>
            <w:shd w:val="solid" w:color="FFFFFF" w:fill="auto"/>
          </w:tcPr>
          <w:p w14:paraId="2A92E55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07635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1DEB8ED" w14:textId="77777777" w:rsidR="00D40151" w:rsidRPr="00873B6C" w:rsidRDefault="00D40151" w:rsidP="009D14FB">
            <w:pPr>
              <w:pStyle w:val="TAL"/>
              <w:rPr>
                <w:sz w:val="16"/>
                <w:szCs w:val="16"/>
              </w:rPr>
            </w:pPr>
            <w:r w:rsidRPr="00873B6C">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873B6C" w:rsidRDefault="00D40151" w:rsidP="009D14FB">
            <w:pPr>
              <w:pStyle w:val="TAC"/>
              <w:rPr>
                <w:sz w:val="16"/>
                <w:szCs w:val="16"/>
              </w:rPr>
            </w:pPr>
            <w:r w:rsidRPr="00873B6C">
              <w:rPr>
                <w:sz w:val="16"/>
                <w:szCs w:val="16"/>
              </w:rPr>
              <w:t>16.5.0</w:t>
            </w:r>
          </w:p>
        </w:tc>
      </w:tr>
      <w:tr w:rsidR="00D40151" w:rsidRPr="00873B6C" w14:paraId="56231D40" w14:textId="77777777" w:rsidTr="009D14FB">
        <w:tc>
          <w:tcPr>
            <w:tcW w:w="800" w:type="dxa"/>
            <w:shd w:val="solid" w:color="FFFFFF" w:fill="auto"/>
          </w:tcPr>
          <w:p w14:paraId="2E8C7F2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EF6562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B54115A"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32A74D9" w14:textId="77777777" w:rsidR="00D40151" w:rsidRPr="00873B6C" w:rsidRDefault="00D40151" w:rsidP="009D14FB">
            <w:pPr>
              <w:pStyle w:val="TAL"/>
              <w:rPr>
                <w:sz w:val="16"/>
                <w:szCs w:val="16"/>
              </w:rPr>
            </w:pPr>
            <w:r w:rsidRPr="00873B6C">
              <w:rPr>
                <w:sz w:val="16"/>
                <w:szCs w:val="16"/>
              </w:rPr>
              <w:t>2380</w:t>
            </w:r>
          </w:p>
        </w:tc>
        <w:tc>
          <w:tcPr>
            <w:tcW w:w="425" w:type="dxa"/>
            <w:shd w:val="solid" w:color="FFFFFF" w:fill="auto"/>
          </w:tcPr>
          <w:p w14:paraId="1ED189C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79FE5D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426D88" w14:textId="77777777" w:rsidR="00D40151" w:rsidRPr="00873B6C" w:rsidRDefault="00D40151" w:rsidP="009D14FB">
            <w:pPr>
              <w:pStyle w:val="TAL"/>
              <w:rPr>
                <w:sz w:val="16"/>
                <w:szCs w:val="16"/>
              </w:rPr>
            </w:pPr>
            <w:r w:rsidRPr="00873B6C">
              <w:rPr>
                <w:sz w:val="16"/>
                <w:szCs w:val="16"/>
              </w:rPr>
              <w:t>Handling manipulation of CAG by VPLMN -Sol 1</w:t>
            </w:r>
          </w:p>
        </w:tc>
        <w:tc>
          <w:tcPr>
            <w:tcW w:w="708" w:type="dxa"/>
            <w:shd w:val="solid" w:color="FFFFFF" w:fill="auto"/>
          </w:tcPr>
          <w:p w14:paraId="1B70EC3A" w14:textId="77777777" w:rsidR="00D40151" w:rsidRPr="00873B6C" w:rsidRDefault="00D40151" w:rsidP="009D14FB">
            <w:pPr>
              <w:pStyle w:val="TAC"/>
              <w:rPr>
                <w:sz w:val="16"/>
                <w:szCs w:val="16"/>
              </w:rPr>
            </w:pPr>
            <w:r w:rsidRPr="00873B6C">
              <w:rPr>
                <w:sz w:val="16"/>
                <w:szCs w:val="16"/>
              </w:rPr>
              <w:t>16.5.0</w:t>
            </w:r>
          </w:p>
        </w:tc>
      </w:tr>
      <w:tr w:rsidR="00D40151" w:rsidRPr="00873B6C" w14:paraId="69D5341D" w14:textId="77777777" w:rsidTr="009D14FB">
        <w:tc>
          <w:tcPr>
            <w:tcW w:w="800" w:type="dxa"/>
            <w:shd w:val="solid" w:color="FFFFFF" w:fill="auto"/>
          </w:tcPr>
          <w:p w14:paraId="1C25F239"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6CA439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890756A" w14:textId="77777777" w:rsidR="00D40151" w:rsidRPr="00873B6C" w:rsidRDefault="00D40151" w:rsidP="009D14FB">
            <w:pPr>
              <w:pStyle w:val="TAC"/>
              <w:rPr>
                <w:sz w:val="16"/>
                <w:szCs w:val="16"/>
              </w:rPr>
            </w:pPr>
            <w:r w:rsidRPr="00873B6C">
              <w:rPr>
                <w:sz w:val="16"/>
                <w:szCs w:val="16"/>
              </w:rPr>
              <w:t>SP-200435</w:t>
            </w:r>
          </w:p>
        </w:tc>
        <w:tc>
          <w:tcPr>
            <w:tcW w:w="567" w:type="dxa"/>
            <w:shd w:val="solid" w:color="FFFFFF" w:fill="auto"/>
          </w:tcPr>
          <w:p w14:paraId="68F530C2" w14:textId="77777777" w:rsidR="00D40151" w:rsidRPr="00873B6C" w:rsidRDefault="00D40151" w:rsidP="009D14FB">
            <w:pPr>
              <w:pStyle w:val="TAL"/>
              <w:rPr>
                <w:sz w:val="16"/>
                <w:szCs w:val="16"/>
              </w:rPr>
            </w:pPr>
            <w:r w:rsidRPr="00873B6C">
              <w:rPr>
                <w:sz w:val="16"/>
                <w:szCs w:val="16"/>
              </w:rPr>
              <w:t>2382</w:t>
            </w:r>
          </w:p>
        </w:tc>
        <w:tc>
          <w:tcPr>
            <w:tcW w:w="425" w:type="dxa"/>
            <w:shd w:val="solid" w:color="FFFFFF" w:fill="auto"/>
          </w:tcPr>
          <w:p w14:paraId="215C66B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DDEF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2B5447" w14:textId="77777777" w:rsidR="00D40151" w:rsidRPr="00873B6C" w:rsidRDefault="00D40151" w:rsidP="009D14FB">
            <w:pPr>
              <w:pStyle w:val="TAL"/>
              <w:rPr>
                <w:sz w:val="16"/>
                <w:szCs w:val="16"/>
              </w:rPr>
            </w:pPr>
            <w:r w:rsidRPr="00873B6C">
              <w:rPr>
                <w:sz w:val="16"/>
                <w:szCs w:val="16"/>
              </w:rPr>
              <w:t>IAB support in NPN deployment</w:t>
            </w:r>
          </w:p>
        </w:tc>
        <w:tc>
          <w:tcPr>
            <w:tcW w:w="708" w:type="dxa"/>
            <w:shd w:val="solid" w:color="FFFFFF" w:fill="auto"/>
          </w:tcPr>
          <w:p w14:paraId="524CDD5E" w14:textId="77777777" w:rsidR="00D40151" w:rsidRPr="00873B6C" w:rsidRDefault="00D40151" w:rsidP="009D14FB">
            <w:pPr>
              <w:pStyle w:val="TAC"/>
              <w:rPr>
                <w:sz w:val="16"/>
                <w:szCs w:val="16"/>
              </w:rPr>
            </w:pPr>
            <w:r w:rsidRPr="00873B6C">
              <w:rPr>
                <w:sz w:val="16"/>
                <w:szCs w:val="16"/>
              </w:rPr>
              <w:t>16.5.0</w:t>
            </w:r>
          </w:p>
        </w:tc>
      </w:tr>
      <w:tr w:rsidR="00D40151" w:rsidRPr="00873B6C" w14:paraId="7ECB9563" w14:textId="77777777" w:rsidTr="009D14FB">
        <w:tc>
          <w:tcPr>
            <w:tcW w:w="800" w:type="dxa"/>
            <w:shd w:val="solid" w:color="FFFFFF" w:fill="auto"/>
          </w:tcPr>
          <w:p w14:paraId="333D3BFD" w14:textId="77777777" w:rsidR="00D40151" w:rsidRPr="00873B6C" w:rsidRDefault="00D40151" w:rsidP="009D14FB">
            <w:pPr>
              <w:pStyle w:val="TAC"/>
              <w:rPr>
                <w:sz w:val="16"/>
                <w:szCs w:val="16"/>
              </w:rPr>
            </w:pPr>
            <w:r w:rsidRPr="00873B6C">
              <w:rPr>
                <w:sz w:val="16"/>
                <w:szCs w:val="16"/>
              </w:rPr>
              <w:t>2020-08</w:t>
            </w:r>
          </w:p>
        </w:tc>
        <w:tc>
          <w:tcPr>
            <w:tcW w:w="800" w:type="dxa"/>
            <w:shd w:val="solid" w:color="FFFFFF" w:fill="auto"/>
          </w:tcPr>
          <w:p w14:paraId="4F3331A0"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A03A35C" w14:textId="77777777" w:rsidR="00D40151" w:rsidRPr="00873B6C" w:rsidRDefault="00D40151" w:rsidP="009D14FB">
            <w:pPr>
              <w:pStyle w:val="TAC"/>
              <w:rPr>
                <w:sz w:val="16"/>
                <w:szCs w:val="16"/>
              </w:rPr>
            </w:pPr>
            <w:r w:rsidRPr="00873B6C">
              <w:rPr>
                <w:sz w:val="16"/>
                <w:szCs w:val="16"/>
              </w:rPr>
              <w:t>SP-200434</w:t>
            </w:r>
          </w:p>
        </w:tc>
        <w:tc>
          <w:tcPr>
            <w:tcW w:w="567" w:type="dxa"/>
            <w:shd w:val="solid" w:color="FFFFFF" w:fill="auto"/>
          </w:tcPr>
          <w:p w14:paraId="789EF143" w14:textId="77777777" w:rsidR="00D40151" w:rsidRPr="00873B6C" w:rsidRDefault="00D40151" w:rsidP="009D14FB">
            <w:pPr>
              <w:pStyle w:val="TAL"/>
              <w:rPr>
                <w:sz w:val="16"/>
                <w:szCs w:val="16"/>
              </w:rPr>
            </w:pPr>
            <w:r w:rsidRPr="00873B6C">
              <w:rPr>
                <w:sz w:val="16"/>
                <w:szCs w:val="16"/>
              </w:rPr>
              <w:t>2370</w:t>
            </w:r>
          </w:p>
        </w:tc>
        <w:tc>
          <w:tcPr>
            <w:tcW w:w="425" w:type="dxa"/>
            <w:shd w:val="solid" w:color="FFFFFF" w:fill="auto"/>
          </w:tcPr>
          <w:p w14:paraId="049A867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7251EB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18B8D0" w14:textId="77777777" w:rsidR="00D40151" w:rsidRPr="00873B6C" w:rsidRDefault="00D40151" w:rsidP="009D14FB">
            <w:pPr>
              <w:pStyle w:val="TAL"/>
              <w:rPr>
                <w:sz w:val="16"/>
                <w:szCs w:val="16"/>
              </w:rPr>
            </w:pPr>
            <w:r w:rsidRPr="00873B6C">
              <w:rPr>
                <w:sz w:val="16"/>
                <w:szCs w:val="16"/>
              </w:rPr>
              <w:t>Alignment on Alternative QoS Profile</w:t>
            </w:r>
          </w:p>
          <w:p w14:paraId="1D76C4FA" w14:textId="65339EB4" w:rsidR="00D40151" w:rsidRPr="00873B6C" w:rsidRDefault="00D40151" w:rsidP="009D14FB">
            <w:pPr>
              <w:pStyle w:val="TAL"/>
              <w:rPr>
                <w:sz w:val="16"/>
                <w:szCs w:val="16"/>
              </w:rPr>
            </w:pPr>
            <w:r w:rsidRPr="00873B6C">
              <w:rPr>
                <w:color w:val="0000FF"/>
                <w:sz w:val="16"/>
                <w:szCs w:val="16"/>
              </w:rPr>
              <w:t xml:space="preserve">(Correction to </w:t>
            </w:r>
            <w:r w:rsidR="009722D9" w:rsidRPr="00873B6C">
              <w:rPr>
                <w:color w:val="0000FF"/>
                <w:sz w:val="16"/>
                <w:szCs w:val="16"/>
              </w:rPr>
              <w:t>implementation</w:t>
            </w:r>
            <w:r w:rsidRPr="00873B6C">
              <w:rPr>
                <w:color w:val="0000FF"/>
                <w:sz w:val="16"/>
                <w:szCs w:val="16"/>
              </w:rPr>
              <w:t xml:space="preserve"> of CR2730R2 from v16.5.0)</w:t>
            </w:r>
          </w:p>
        </w:tc>
        <w:tc>
          <w:tcPr>
            <w:tcW w:w="708" w:type="dxa"/>
            <w:shd w:val="solid" w:color="FFFFFF" w:fill="auto"/>
          </w:tcPr>
          <w:p w14:paraId="706F743F" w14:textId="77777777" w:rsidR="00D40151" w:rsidRPr="00873B6C" w:rsidRDefault="00D40151" w:rsidP="009D14FB">
            <w:pPr>
              <w:pStyle w:val="TAC"/>
              <w:rPr>
                <w:sz w:val="16"/>
                <w:szCs w:val="16"/>
              </w:rPr>
            </w:pPr>
            <w:r w:rsidRPr="00873B6C">
              <w:rPr>
                <w:sz w:val="16"/>
                <w:szCs w:val="16"/>
              </w:rPr>
              <w:t>16.5.1</w:t>
            </w:r>
          </w:p>
        </w:tc>
      </w:tr>
      <w:tr w:rsidR="00D40151" w:rsidRPr="00873B6C" w14:paraId="432A4D45" w14:textId="77777777" w:rsidTr="009D14FB">
        <w:tc>
          <w:tcPr>
            <w:tcW w:w="800" w:type="dxa"/>
            <w:shd w:val="solid" w:color="FFFFFF" w:fill="auto"/>
          </w:tcPr>
          <w:p w14:paraId="632EE49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9041E72"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E10A79F"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6FFB5F0B" w14:textId="77777777" w:rsidR="00D40151" w:rsidRPr="00873B6C" w:rsidRDefault="00D40151" w:rsidP="009D14FB">
            <w:pPr>
              <w:pStyle w:val="TAL"/>
              <w:rPr>
                <w:sz w:val="16"/>
                <w:szCs w:val="16"/>
              </w:rPr>
            </w:pPr>
            <w:r w:rsidRPr="00873B6C">
              <w:rPr>
                <w:sz w:val="16"/>
                <w:szCs w:val="16"/>
              </w:rPr>
              <w:t>2266</w:t>
            </w:r>
          </w:p>
        </w:tc>
        <w:tc>
          <w:tcPr>
            <w:tcW w:w="425" w:type="dxa"/>
            <w:shd w:val="solid" w:color="FFFFFF" w:fill="auto"/>
          </w:tcPr>
          <w:p w14:paraId="197A127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B2462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DF380C" w14:textId="77777777" w:rsidR="00D40151" w:rsidRPr="00873B6C" w:rsidRDefault="00D40151" w:rsidP="009D14FB">
            <w:pPr>
              <w:pStyle w:val="TAL"/>
              <w:rPr>
                <w:sz w:val="16"/>
                <w:szCs w:val="16"/>
              </w:rPr>
            </w:pPr>
            <w:r w:rsidRPr="00873B6C">
              <w:rPr>
                <w:sz w:val="16"/>
                <w:szCs w:val="16"/>
              </w:rPr>
              <w:t>Human readable name for SNPN</w:t>
            </w:r>
          </w:p>
        </w:tc>
        <w:tc>
          <w:tcPr>
            <w:tcW w:w="708" w:type="dxa"/>
            <w:shd w:val="solid" w:color="FFFFFF" w:fill="auto"/>
          </w:tcPr>
          <w:p w14:paraId="3775F44F" w14:textId="77777777" w:rsidR="00D40151" w:rsidRPr="00873B6C" w:rsidRDefault="00D40151" w:rsidP="009D14FB">
            <w:pPr>
              <w:pStyle w:val="TAC"/>
              <w:rPr>
                <w:sz w:val="16"/>
                <w:szCs w:val="16"/>
              </w:rPr>
            </w:pPr>
            <w:r w:rsidRPr="00873B6C">
              <w:rPr>
                <w:sz w:val="16"/>
                <w:szCs w:val="16"/>
              </w:rPr>
              <w:t>16.6.0</w:t>
            </w:r>
          </w:p>
        </w:tc>
      </w:tr>
      <w:tr w:rsidR="00D40151" w:rsidRPr="00873B6C" w14:paraId="492111F2" w14:textId="77777777" w:rsidTr="009D14FB">
        <w:tc>
          <w:tcPr>
            <w:tcW w:w="800" w:type="dxa"/>
            <w:shd w:val="solid" w:color="FFFFFF" w:fill="auto"/>
          </w:tcPr>
          <w:p w14:paraId="48E3305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EC2AFD5"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DE04EA1" w14:textId="77777777" w:rsidR="00D40151" w:rsidRPr="00873B6C" w:rsidRDefault="00D40151" w:rsidP="009D14FB">
            <w:pPr>
              <w:pStyle w:val="TAC"/>
              <w:rPr>
                <w:sz w:val="16"/>
                <w:szCs w:val="16"/>
              </w:rPr>
            </w:pPr>
            <w:r w:rsidRPr="00873B6C">
              <w:rPr>
                <w:sz w:val="16"/>
                <w:szCs w:val="16"/>
              </w:rPr>
              <w:t>SP-200685</w:t>
            </w:r>
          </w:p>
        </w:tc>
        <w:tc>
          <w:tcPr>
            <w:tcW w:w="567" w:type="dxa"/>
            <w:shd w:val="solid" w:color="FFFFFF" w:fill="auto"/>
          </w:tcPr>
          <w:p w14:paraId="41353E92" w14:textId="77777777" w:rsidR="00D40151" w:rsidRPr="00873B6C" w:rsidRDefault="00D40151" w:rsidP="009D14FB">
            <w:pPr>
              <w:pStyle w:val="TAL"/>
              <w:rPr>
                <w:sz w:val="16"/>
                <w:szCs w:val="16"/>
              </w:rPr>
            </w:pPr>
            <w:r w:rsidRPr="00873B6C">
              <w:rPr>
                <w:sz w:val="16"/>
                <w:szCs w:val="16"/>
              </w:rPr>
              <w:t>2387</w:t>
            </w:r>
          </w:p>
        </w:tc>
        <w:tc>
          <w:tcPr>
            <w:tcW w:w="425" w:type="dxa"/>
            <w:shd w:val="solid" w:color="FFFFFF" w:fill="auto"/>
          </w:tcPr>
          <w:p w14:paraId="32AE36D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07A9A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8F2D2F" w14:textId="77777777" w:rsidR="00D40151" w:rsidRPr="00873B6C" w:rsidRDefault="00D40151" w:rsidP="009D14FB">
            <w:pPr>
              <w:pStyle w:val="TAL"/>
              <w:rPr>
                <w:sz w:val="16"/>
                <w:szCs w:val="16"/>
              </w:rPr>
            </w:pPr>
            <w:r w:rsidRPr="00873B6C">
              <w:rPr>
                <w:sz w:val="16"/>
                <w:szCs w:val="16"/>
              </w:rPr>
              <w:t>Correction for URLLC GTP-U Path Monitoring</w:t>
            </w:r>
          </w:p>
        </w:tc>
        <w:tc>
          <w:tcPr>
            <w:tcW w:w="708" w:type="dxa"/>
            <w:shd w:val="solid" w:color="FFFFFF" w:fill="auto"/>
          </w:tcPr>
          <w:p w14:paraId="41C54CD3" w14:textId="77777777" w:rsidR="00D40151" w:rsidRPr="00873B6C" w:rsidRDefault="00D40151" w:rsidP="009D14FB">
            <w:pPr>
              <w:pStyle w:val="TAC"/>
              <w:rPr>
                <w:sz w:val="16"/>
                <w:szCs w:val="16"/>
              </w:rPr>
            </w:pPr>
            <w:r w:rsidRPr="00873B6C">
              <w:rPr>
                <w:sz w:val="16"/>
                <w:szCs w:val="16"/>
              </w:rPr>
              <w:t>16.6.0</w:t>
            </w:r>
          </w:p>
        </w:tc>
      </w:tr>
      <w:tr w:rsidR="00D40151" w:rsidRPr="00873B6C" w14:paraId="18C9D58F" w14:textId="77777777" w:rsidTr="009D14FB">
        <w:tc>
          <w:tcPr>
            <w:tcW w:w="800" w:type="dxa"/>
            <w:shd w:val="solid" w:color="FFFFFF" w:fill="auto"/>
          </w:tcPr>
          <w:p w14:paraId="14BA3BD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7969985"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778C6B2A" w14:textId="77777777" w:rsidR="00D40151" w:rsidRPr="00873B6C" w:rsidRDefault="00D40151" w:rsidP="009D14FB">
            <w:pPr>
              <w:pStyle w:val="TAC"/>
              <w:rPr>
                <w:sz w:val="16"/>
                <w:szCs w:val="16"/>
              </w:rPr>
            </w:pPr>
            <w:r w:rsidRPr="00873B6C">
              <w:rPr>
                <w:sz w:val="16"/>
                <w:szCs w:val="16"/>
              </w:rPr>
              <w:t>SP-200687</w:t>
            </w:r>
          </w:p>
        </w:tc>
        <w:tc>
          <w:tcPr>
            <w:tcW w:w="567" w:type="dxa"/>
            <w:shd w:val="solid" w:color="FFFFFF" w:fill="auto"/>
          </w:tcPr>
          <w:p w14:paraId="60F82104" w14:textId="77777777" w:rsidR="00D40151" w:rsidRPr="00873B6C" w:rsidRDefault="00D40151" w:rsidP="009D14FB">
            <w:pPr>
              <w:pStyle w:val="TAL"/>
              <w:rPr>
                <w:sz w:val="16"/>
                <w:szCs w:val="16"/>
              </w:rPr>
            </w:pPr>
            <w:r w:rsidRPr="00873B6C">
              <w:rPr>
                <w:sz w:val="16"/>
                <w:szCs w:val="16"/>
              </w:rPr>
              <w:t>2390</w:t>
            </w:r>
          </w:p>
        </w:tc>
        <w:tc>
          <w:tcPr>
            <w:tcW w:w="425" w:type="dxa"/>
            <w:shd w:val="solid" w:color="FFFFFF" w:fill="auto"/>
          </w:tcPr>
          <w:p w14:paraId="2A1792E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56BC3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2B303F" w14:textId="77777777" w:rsidR="00D40151" w:rsidRPr="00873B6C" w:rsidRDefault="00D40151" w:rsidP="009D14FB">
            <w:pPr>
              <w:pStyle w:val="TAL"/>
              <w:rPr>
                <w:sz w:val="16"/>
                <w:szCs w:val="16"/>
              </w:rPr>
            </w:pPr>
            <w:r w:rsidRPr="00873B6C">
              <w:rPr>
                <w:sz w:val="16"/>
                <w:szCs w:val="16"/>
              </w:rPr>
              <w:t>HSS NF profile Update</w:t>
            </w:r>
          </w:p>
        </w:tc>
        <w:tc>
          <w:tcPr>
            <w:tcW w:w="708" w:type="dxa"/>
            <w:shd w:val="solid" w:color="FFFFFF" w:fill="auto"/>
          </w:tcPr>
          <w:p w14:paraId="7DE6C2BD" w14:textId="77777777" w:rsidR="00D40151" w:rsidRPr="00873B6C" w:rsidRDefault="00D40151" w:rsidP="009D14FB">
            <w:pPr>
              <w:pStyle w:val="TAC"/>
              <w:rPr>
                <w:sz w:val="16"/>
                <w:szCs w:val="16"/>
              </w:rPr>
            </w:pPr>
            <w:r w:rsidRPr="00873B6C">
              <w:rPr>
                <w:sz w:val="16"/>
                <w:szCs w:val="16"/>
              </w:rPr>
              <w:t>16.6.0</w:t>
            </w:r>
          </w:p>
        </w:tc>
      </w:tr>
      <w:tr w:rsidR="00D40151" w:rsidRPr="00873B6C" w14:paraId="1A7F2189" w14:textId="77777777" w:rsidTr="009D14FB">
        <w:tc>
          <w:tcPr>
            <w:tcW w:w="800" w:type="dxa"/>
            <w:shd w:val="solid" w:color="FFFFFF" w:fill="auto"/>
          </w:tcPr>
          <w:p w14:paraId="12127D0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6A536A94"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D2CA555" w14:textId="77777777" w:rsidR="00D40151" w:rsidRPr="00873B6C" w:rsidRDefault="00D40151" w:rsidP="009D14FB">
            <w:pPr>
              <w:pStyle w:val="TAC"/>
              <w:rPr>
                <w:sz w:val="16"/>
                <w:szCs w:val="16"/>
              </w:rPr>
            </w:pPr>
            <w:r w:rsidRPr="00873B6C">
              <w:rPr>
                <w:sz w:val="16"/>
                <w:szCs w:val="16"/>
              </w:rPr>
              <w:t>SP-200678</w:t>
            </w:r>
          </w:p>
        </w:tc>
        <w:tc>
          <w:tcPr>
            <w:tcW w:w="567" w:type="dxa"/>
            <w:shd w:val="solid" w:color="FFFFFF" w:fill="auto"/>
          </w:tcPr>
          <w:p w14:paraId="54CF6121" w14:textId="77777777" w:rsidR="00D40151" w:rsidRPr="00873B6C" w:rsidRDefault="00D40151" w:rsidP="009D14FB">
            <w:pPr>
              <w:pStyle w:val="TAL"/>
              <w:rPr>
                <w:sz w:val="16"/>
                <w:szCs w:val="16"/>
              </w:rPr>
            </w:pPr>
            <w:r w:rsidRPr="00873B6C">
              <w:rPr>
                <w:sz w:val="16"/>
                <w:szCs w:val="16"/>
              </w:rPr>
              <w:t>2391</w:t>
            </w:r>
          </w:p>
        </w:tc>
        <w:tc>
          <w:tcPr>
            <w:tcW w:w="425" w:type="dxa"/>
            <w:shd w:val="solid" w:color="FFFFFF" w:fill="auto"/>
          </w:tcPr>
          <w:p w14:paraId="32CE12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699EEA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6549C4" w14:textId="77777777" w:rsidR="00D40151" w:rsidRPr="00873B6C" w:rsidRDefault="00D40151" w:rsidP="009D14FB">
            <w:pPr>
              <w:pStyle w:val="TAL"/>
              <w:rPr>
                <w:sz w:val="16"/>
                <w:szCs w:val="16"/>
              </w:rPr>
            </w:pPr>
            <w:r w:rsidRPr="00873B6C">
              <w:rPr>
                <w:sz w:val="16"/>
                <w:szCs w:val="16"/>
              </w:rPr>
              <w:t>HSS Selection Update</w:t>
            </w:r>
          </w:p>
        </w:tc>
        <w:tc>
          <w:tcPr>
            <w:tcW w:w="708" w:type="dxa"/>
            <w:shd w:val="solid" w:color="FFFFFF" w:fill="auto"/>
          </w:tcPr>
          <w:p w14:paraId="1ACBE0E3" w14:textId="77777777" w:rsidR="00D40151" w:rsidRPr="00873B6C" w:rsidRDefault="00D40151" w:rsidP="009D14FB">
            <w:pPr>
              <w:pStyle w:val="TAC"/>
              <w:rPr>
                <w:sz w:val="16"/>
                <w:szCs w:val="16"/>
              </w:rPr>
            </w:pPr>
            <w:r w:rsidRPr="00873B6C">
              <w:rPr>
                <w:sz w:val="16"/>
                <w:szCs w:val="16"/>
              </w:rPr>
              <w:t>16.6.0</w:t>
            </w:r>
          </w:p>
        </w:tc>
      </w:tr>
      <w:tr w:rsidR="00D40151" w:rsidRPr="00873B6C" w14:paraId="27655A35" w14:textId="77777777" w:rsidTr="009D14FB">
        <w:tc>
          <w:tcPr>
            <w:tcW w:w="800" w:type="dxa"/>
            <w:shd w:val="solid" w:color="FFFFFF" w:fill="auto"/>
          </w:tcPr>
          <w:p w14:paraId="1A3639AC"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2D4F381A"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53281543"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3C480AF" w14:textId="77777777" w:rsidR="00D40151" w:rsidRPr="00873B6C" w:rsidRDefault="00D40151" w:rsidP="009D14FB">
            <w:pPr>
              <w:pStyle w:val="TAL"/>
              <w:rPr>
                <w:sz w:val="16"/>
                <w:szCs w:val="16"/>
              </w:rPr>
            </w:pPr>
            <w:r w:rsidRPr="00873B6C">
              <w:rPr>
                <w:sz w:val="16"/>
                <w:szCs w:val="16"/>
              </w:rPr>
              <w:t>2392</w:t>
            </w:r>
          </w:p>
        </w:tc>
        <w:tc>
          <w:tcPr>
            <w:tcW w:w="425" w:type="dxa"/>
            <w:shd w:val="solid" w:color="FFFFFF" w:fill="auto"/>
          </w:tcPr>
          <w:p w14:paraId="64898F2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C45428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16F955" w14:textId="77777777" w:rsidR="00D40151" w:rsidRPr="00873B6C" w:rsidRDefault="00D40151" w:rsidP="009D14FB">
            <w:pPr>
              <w:pStyle w:val="TAL"/>
              <w:rPr>
                <w:sz w:val="16"/>
                <w:szCs w:val="16"/>
              </w:rPr>
            </w:pPr>
            <w:r w:rsidRPr="00873B6C">
              <w:rPr>
                <w:sz w:val="16"/>
                <w:szCs w:val="16"/>
              </w:rPr>
              <w:t>PSFP clarifications including IEEE LS response on TSN support</w:t>
            </w:r>
          </w:p>
        </w:tc>
        <w:tc>
          <w:tcPr>
            <w:tcW w:w="708" w:type="dxa"/>
            <w:shd w:val="solid" w:color="FFFFFF" w:fill="auto"/>
          </w:tcPr>
          <w:p w14:paraId="0468111E" w14:textId="77777777" w:rsidR="00D40151" w:rsidRPr="00873B6C" w:rsidRDefault="00D40151" w:rsidP="009D14FB">
            <w:pPr>
              <w:pStyle w:val="TAC"/>
              <w:rPr>
                <w:sz w:val="16"/>
                <w:szCs w:val="16"/>
              </w:rPr>
            </w:pPr>
            <w:r w:rsidRPr="00873B6C">
              <w:rPr>
                <w:sz w:val="16"/>
                <w:szCs w:val="16"/>
              </w:rPr>
              <w:t>16.6.0</w:t>
            </w:r>
          </w:p>
        </w:tc>
      </w:tr>
      <w:tr w:rsidR="00D40151" w:rsidRPr="00873B6C" w14:paraId="28CD768C" w14:textId="77777777" w:rsidTr="009D14FB">
        <w:tc>
          <w:tcPr>
            <w:tcW w:w="800" w:type="dxa"/>
            <w:shd w:val="solid" w:color="FFFFFF" w:fill="auto"/>
          </w:tcPr>
          <w:p w14:paraId="7642607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6B7BC4CA"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6397A7D"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661CBFAF" w14:textId="77777777" w:rsidR="00D40151" w:rsidRPr="00873B6C" w:rsidRDefault="00D40151" w:rsidP="009D14FB">
            <w:pPr>
              <w:pStyle w:val="TAL"/>
              <w:rPr>
                <w:sz w:val="16"/>
                <w:szCs w:val="16"/>
              </w:rPr>
            </w:pPr>
            <w:r w:rsidRPr="00873B6C">
              <w:rPr>
                <w:sz w:val="16"/>
                <w:szCs w:val="16"/>
              </w:rPr>
              <w:t>2393</w:t>
            </w:r>
          </w:p>
        </w:tc>
        <w:tc>
          <w:tcPr>
            <w:tcW w:w="425" w:type="dxa"/>
            <w:shd w:val="solid" w:color="FFFFFF" w:fill="auto"/>
          </w:tcPr>
          <w:p w14:paraId="77F2983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0C5F7D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C254DE" w14:textId="77777777" w:rsidR="00D40151" w:rsidRPr="00873B6C" w:rsidRDefault="00D40151" w:rsidP="009D14FB">
            <w:pPr>
              <w:pStyle w:val="TAL"/>
              <w:rPr>
                <w:sz w:val="16"/>
                <w:szCs w:val="16"/>
              </w:rPr>
            </w:pPr>
            <w:r w:rsidRPr="00873B6C">
              <w:rPr>
                <w:sz w:val="16"/>
                <w:szCs w:val="16"/>
              </w:rPr>
              <w:t xml:space="preserve">Addressing technical comments from IEEE LS response on TSN support </w:t>
            </w:r>
          </w:p>
        </w:tc>
        <w:tc>
          <w:tcPr>
            <w:tcW w:w="708" w:type="dxa"/>
            <w:shd w:val="solid" w:color="FFFFFF" w:fill="auto"/>
          </w:tcPr>
          <w:p w14:paraId="7B3E86FC" w14:textId="77777777" w:rsidR="00D40151" w:rsidRPr="00873B6C" w:rsidRDefault="00D40151" w:rsidP="009D14FB">
            <w:pPr>
              <w:pStyle w:val="TAC"/>
              <w:rPr>
                <w:sz w:val="16"/>
                <w:szCs w:val="16"/>
              </w:rPr>
            </w:pPr>
            <w:r w:rsidRPr="00873B6C">
              <w:rPr>
                <w:sz w:val="16"/>
                <w:szCs w:val="16"/>
              </w:rPr>
              <w:t>16.6.0</w:t>
            </w:r>
          </w:p>
        </w:tc>
      </w:tr>
      <w:tr w:rsidR="00D40151" w:rsidRPr="00873B6C" w14:paraId="0EB263F6" w14:textId="77777777" w:rsidTr="009D14FB">
        <w:tc>
          <w:tcPr>
            <w:tcW w:w="800" w:type="dxa"/>
            <w:shd w:val="solid" w:color="FFFFFF" w:fill="auto"/>
          </w:tcPr>
          <w:p w14:paraId="6D499C3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BFAF57F"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25A8EB5F"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5C5A5402" w14:textId="77777777" w:rsidR="00D40151" w:rsidRPr="00873B6C" w:rsidRDefault="00D40151" w:rsidP="009D14FB">
            <w:pPr>
              <w:pStyle w:val="TAL"/>
              <w:rPr>
                <w:sz w:val="16"/>
                <w:szCs w:val="16"/>
              </w:rPr>
            </w:pPr>
            <w:r w:rsidRPr="00873B6C">
              <w:rPr>
                <w:sz w:val="16"/>
                <w:szCs w:val="16"/>
              </w:rPr>
              <w:t>2394</w:t>
            </w:r>
          </w:p>
        </w:tc>
        <w:tc>
          <w:tcPr>
            <w:tcW w:w="425" w:type="dxa"/>
            <w:shd w:val="solid" w:color="FFFFFF" w:fill="auto"/>
          </w:tcPr>
          <w:p w14:paraId="1055A8E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3E113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266C21" w14:textId="77777777" w:rsidR="00D40151" w:rsidRPr="00873B6C" w:rsidRDefault="00D40151" w:rsidP="009D14FB">
            <w:pPr>
              <w:pStyle w:val="TAL"/>
              <w:rPr>
                <w:sz w:val="16"/>
                <w:szCs w:val="16"/>
              </w:rPr>
            </w:pPr>
            <w:r w:rsidRPr="00873B6C">
              <w:rPr>
                <w:sz w:val="16"/>
                <w:szCs w:val="16"/>
              </w:rPr>
              <w:t xml:space="preserve">Addressing wording comments from IEEE LS response on TSN support </w:t>
            </w:r>
          </w:p>
        </w:tc>
        <w:tc>
          <w:tcPr>
            <w:tcW w:w="708" w:type="dxa"/>
            <w:shd w:val="solid" w:color="FFFFFF" w:fill="auto"/>
          </w:tcPr>
          <w:p w14:paraId="2E0EF3F9" w14:textId="77777777" w:rsidR="00D40151" w:rsidRPr="00873B6C" w:rsidRDefault="00D40151" w:rsidP="009D14FB">
            <w:pPr>
              <w:pStyle w:val="TAC"/>
              <w:rPr>
                <w:sz w:val="16"/>
                <w:szCs w:val="16"/>
              </w:rPr>
            </w:pPr>
            <w:r w:rsidRPr="00873B6C">
              <w:rPr>
                <w:sz w:val="16"/>
                <w:szCs w:val="16"/>
              </w:rPr>
              <w:t>16.6.0</w:t>
            </w:r>
          </w:p>
        </w:tc>
      </w:tr>
      <w:tr w:rsidR="00D40151" w:rsidRPr="00873B6C" w14:paraId="666F9D39" w14:textId="77777777" w:rsidTr="009D14FB">
        <w:tc>
          <w:tcPr>
            <w:tcW w:w="800" w:type="dxa"/>
            <w:shd w:val="solid" w:color="FFFFFF" w:fill="auto"/>
          </w:tcPr>
          <w:p w14:paraId="6CB1994C"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452FD01"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2EC10E12"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3F458202" w14:textId="77777777" w:rsidR="00D40151" w:rsidRPr="00873B6C" w:rsidRDefault="00D40151" w:rsidP="009D14FB">
            <w:pPr>
              <w:pStyle w:val="TAL"/>
              <w:rPr>
                <w:sz w:val="16"/>
                <w:szCs w:val="16"/>
              </w:rPr>
            </w:pPr>
            <w:r w:rsidRPr="00873B6C">
              <w:rPr>
                <w:sz w:val="16"/>
                <w:szCs w:val="16"/>
              </w:rPr>
              <w:t>2395</w:t>
            </w:r>
          </w:p>
        </w:tc>
        <w:tc>
          <w:tcPr>
            <w:tcW w:w="425" w:type="dxa"/>
            <w:shd w:val="solid" w:color="FFFFFF" w:fill="auto"/>
          </w:tcPr>
          <w:p w14:paraId="68996CC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0EEF74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90D7E6" w14:textId="77777777" w:rsidR="00D40151" w:rsidRPr="00873B6C" w:rsidRDefault="00D40151" w:rsidP="009D14FB">
            <w:pPr>
              <w:pStyle w:val="TAL"/>
              <w:rPr>
                <w:sz w:val="16"/>
                <w:szCs w:val="16"/>
              </w:rPr>
            </w:pPr>
            <w:r w:rsidRPr="00873B6C">
              <w:rPr>
                <w:sz w:val="16"/>
                <w:szCs w:val="16"/>
              </w:rPr>
              <w:t>Delay clarifications including IEEE LS input clarifications</w:t>
            </w:r>
          </w:p>
        </w:tc>
        <w:tc>
          <w:tcPr>
            <w:tcW w:w="708" w:type="dxa"/>
            <w:shd w:val="solid" w:color="FFFFFF" w:fill="auto"/>
          </w:tcPr>
          <w:p w14:paraId="31B7777C" w14:textId="77777777" w:rsidR="00D40151" w:rsidRPr="00873B6C" w:rsidRDefault="00D40151" w:rsidP="009D14FB">
            <w:pPr>
              <w:pStyle w:val="TAC"/>
              <w:rPr>
                <w:sz w:val="16"/>
                <w:szCs w:val="16"/>
              </w:rPr>
            </w:pPr>
            <w:r w:rsidRPr="00873B6C">
              <w:rPr>
                <w:sz w:val="16"/>
                <w:szCs w:val="16"/>
              </w:rPr>
              <w:t>16.6.0</w:t>
            </w:r>
          </w:p>
        </w:tc>
      </w:tr>
      <w:tr w:rsidR="00D40151" w:rsidRPr="00873B6C" w14:paraId="18DC8C8C" w14:textId="77777777" w:rsidTr="009D14FB">
        <w:tc>
          <w:tcPr>
            <w:tcW w:w="800" w:type="dxa"/>
            <w:shd w:val="solid" w:color="FFFFFF" w:fill="auto"/>
          </w:tcPr>
          <w:p w14:paraId="62EF70FE"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6CE9F96"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FCCF2C5"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48A28A9" w14:textId="77777777" w:rsidR="00D40151" w:rsidRPr="00873B6C" w:rsidRDefault="00D40151" w:rsidP="009D14FB">
            <w:pPr>
              <w:pStyle w:val="TAL"/>
              <w:rPr>
                <w:sz w:val="16"/>
                <w:szCs w:val="16"/>
              </w:rPr>
            </w:pPr>
            <w:r w:rsidRPr="00873B6C">
              <w:rPr>
                <w:sz w:val="16"/>
                <w:szCs w:val="16"/>
              </w:rPr>
              <w:t>2396</w:t>
            </w:r>
          </w:p>
        </w:tc>
        <w:tc>
          <w:tcPr>
            <w:tcW w:w="425" w:type="dxa"/>
            <w:shd w:val="solid" w:color="FFFFFF" w:fill="auto"/>
          </w:tcPr>
          <w:p w14:paraId="0346C4F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FF35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AD0206" w14:textId="77777777" w:rsidR="00D40151" w:rsidRPr="00873B6C" w:rsidRDefault="00D40151" w:rsidP="009D14FB">
            <w:pPr>
              <w:pStyle w:val="TAL"/>
              <w:rPr>
                <w:sz w:val="16"/>
                <w:szCs w:val="16"/>
              </w:rPr>
            </w:pPr>
            <w:r w:rsidRPr="00873B6C">
              <w:rPr>
                <w:sz w:val="16"/>
                <w:szCs w:val="16"/>
              </w:rPr>
              <w:t>Solving Synchronization issues, addressing IEEE LS response</w:t>
            </w:r>
          </w:p>
        </w:tc>
        <w:tc>
          <w:tcPr>
            <w:tcW w:w="708" w:type="dxa"/>
            <w:shd w:val="solid" w:color="FFFFFF" w:fill="auto"/>
          </w:tcPr>
          <w:p w14:paraId="0933875C" w14:textId="77777777" w:rsidR="00D40151" w:rsidRPr="00873B6C" w:rsidRDefault="00D40151" w:rsidP="009D14FB">
            <w:pPr>
              <w:pStyle w:val="TAC"/>
              <w:rPr>
                <w:sz w:val="16"/>
                <w:szCs w:val="16"/>
              </w:rPr>
            </w:pPr>
            <w:r w:rsidRPr="00873B6C">
              <w:rPr>
                <w:sz w:val="16"/>
                <w:szCs w:val="16"/>
              </w:rPr>
              <w:t>16.6.0</w:t>
            </w:r>
          </w:p>
        </w:tc>
      </w:tr>
      <w:tr w:rsidR="00D40151" w:rsidRPr="00873B6C" w14:paraId="6B208532" w14:textId="77777777" w:rsidTr="009D14FB">
        <w:tc>
          <w:tcPr>
            <w:tcW w:w="800" w:type="dxa"/>
            <w:shd w:val="solid" w:color="FFFFFF" w:fill="auto"/>
          </w:tcPr>
          <w:p w14:paraId="60088C3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2F7B3AE"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3B4FFAA"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1C0F459" w14:textId="77777777" w:rsidR="00D40151" w:rsidRPr="00873B6C" w:rsidRDefault="00D40151" w:rsidP="009D14FB">
            <w:pPr>
              <w:pStyle w:val="TAL"/>
              <w:rPr>
                <w:sz w:val="16"/>
                <w:szCs w:val="16"/>
              </w:rPr>
            </w:pPr>
            <w:r w:rsidRPr="00873B6C">
              <w:rPr>
                <w:sz w:val="16"/>
                <w:szCs w:val="16"/>
              </w:rPr>
              <w:t>2398</w:t>
            </w:r>
          </w:p>
        </w:tc>
        <w:tc>
          <w:tcPr>
            <w:tcW w:w="425" w:type="dxa"/>
            <w:shd w:val="solid" w:color="FFFFFF" w:fill="auto"/>
          </w:tcPr>
          <w:p w14:paraId="226AE12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94BB74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C32E81" w14:textId="77777777" w:rsidR="00D40151" w:rsidRPr="00873B6C" w:rsidRDefault="00D40151" w:rsidP="009D14FB">
            <w:pPr>
              <w:pStyle w:val="TAL"/>
              <w:rPr>
                <w:sz w:val="16"/>
                <w:szCs w:val="16"/>
              </w:rPr>
            </w:pPr>
            <w:r w:rsidRPr="00873B6C">
              <w:rPr>
                <w:sz w:val="16"/>
                <w:szCs w:val="16"/>
              </w:rPr>
              <w:t>Mapping GBR and Averaging Window</w:t>
            </w:r>
          </w:p>
        </w:tc>
        <w:tc>
          <w:tcPr>
            <w:tcW w:w="708" w:type="dxa"/>
            <w:shd w:val="solid" w:color="FFFFFF" w:fill="auto"/>
          </w:tcPr>
          <w:p w14:paraId="22DBF3B1" w14:textId="77777777" w:rsidR="00D40151" w:rsidRPr="00873B6C" w:rsidRDefault="00D40151" w:rsidP="009D14FB">
            <w:pPr>
              <w:pStyle w:val="TAC"/>
              <w:rPr>
                <w:sz w:val="16"/>
                <w:szCs w:val="16"/>
              </w:rPr>
            </w:pPr>
            <w:r w:rsidRPr="00873B6C">
              <w:rPr>
                <w:sz w:val="16"/>
                <w:szCs w:val="16"/>
              </w:rPr>
              <w:t>16.6.0</w:t>
            </w:r>
          </w:p>
        </w:tc>
      </w:tr>
      <w:tr w:rsidR="00D40151" w:rsidRPr="00873B6C" w14:paraId="44F82AD2" w14:textId="77777777" w:rsidTr="009D14FB">
        <w:tc>
          <w:tcPr>
            <w:tcW w:w="800" w:type="dxa"/>
            <w:shd w:val="solid" w:color="FFFFFF" w:fill="auto"/>
          </w:tcPr>
          <w:p w14:paraId="59A2BC5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31FFBBE"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D099353" w14:textId="77777777" w:rsidR="00D40151" w:rsidRPr="00873B6C" w:rsidRDefault="00D40151" w:rsidP="009D14FB">
            <w:pPr>
              <w:pStyle w:val="TAC"/>
              <w:rPr>
                <w:sz w:val="16"/>
                <w:szCs w:val="16"/>
              </w:rPr>
            </w:pPr>
            <w:r w:rsidRPr="00873B6C">
              <w:rPr>
                <w:sz w:val="16"/>
                <w:szCs w:val="16"/>
              </w:rPr>
              <w:t>SP-200686</w:t>
            </w:r>
          </w:p>
        </w:tc>
        <w:tc>
          <w:tcPr>
            <w:tcW w:w="567" w:type="dxa"/>
            <w:shd w:val="solid" w:color="FFFFFF" w:fill="auto"/>
          </w:tcPr>
          <w:p w14:paraId="43658ED3" w14:textId="77777777" w:rsidR="00D40151" w:rsidRPr="00873B6C" w:rsidRDefault="00D40151" w:rsidP="009D14FB">
            <w:pPr>
              <w:pStyle w:val="TAL"/>
              <w:rPr>
                <w:sz w:val="16"/>
                <w:szCs w:val="16"/>
              </w:rPr>
            </w:pPr>
            <w:r w:rsidRPr="00873B6C">
              <w:rPr>
                <w:sz w:val="16"/>
                <w:szCs w:val="16"/>
              </w:rPr>
              <w:t>2400</w:t>
            </w:r>
          </w:p>
        </w:tc>
        <w:tc>
          <w:tcPr>
            <w:tcW w:w="425" w:type="dxa"/>
            <w:shd w:val="solid" w:color="FFFFFF" w:fill="auto"/>
          </w:tcPr>
          <w:p w14:paraId="2A250CE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A6D6C29"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2DB441B" w14:textId="77777777" w:rsidR="00D40151" w:rsidRPr="00873B6C" w:rsidRDefault="00D40151" w:rsidP="009D14FB">
            <w:pPr>
              <w:pStyle w:val="TAL"/>
              <w:rPr>
                <w:sz w:val="16"/>
                <w:szCs w:val="16"/>
              </w:rPr>
            </w:pPr>
            <w:r w:rsidRPr="00873B6C">
              <w:rPr>
                <w:sz w:val="16"/>
                <w:szCs w:val="16"/>
              </w:rPr>
              <w:t>UE user plane integrity protection mandatory at full rate</w:t>
            </w:r>
          </w:p>
        </w:tc>
        <w:tc>
          <w:tcPr>
            <w:tcW w:w="708" w:type="dxa"/>
            <w:shd w:val="solid" w:color="FFFFFF" w:fill="auto"/>
          </w:tcPr>
          <w:p w14:paraId="30D05FCE" w14:textId="77777777" w:rsidR="00D40151" w:rsidRPr="00873B6C" w:rsidRDefault="00D40151" w:rsidP="009D14FB">
            <w:pPr>
              <w:pStyle w:val="TAC"/>
              <w:rPr>
                <w:sz w:val="16"/>
                <w:szCs w:val="16"/>
              </w:rPr>
            </w:pPr>
            <w:r w:rsidRPr="00873B6C">
              <w:rPr>
                <w:sz w:val="16"/>
                <w:szCs w:val="16"/>
              </w:rPr>
              <w:t>16.6.0</w:t>
            </w:r>
          </w:p>
        </w:tc>
      </w:tr>
      <w:tr w:rsidR="00D40151" w:rsidRPr="00873B6C" w14:paraId="478B1D79" w14:textId="77777777" w:rsidTr="009D14FB">
        <w:tc>
          <w:tcPr>
            <w:tcW w:w="800" w:type="dxa"/>
            <w:shd w:val="solid" w:color="FFFFFF" w:fill="auto"/>
          </w:tcPr>
          <w:p w14:paraId="7F8F819E"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F6C879B"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19B0CDE"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74496607" w14:textId="77777777" w:rsidR="00D40151" w:rsidRPr="00873B6C" w:rsidRDefault="00D40151" w:rsidP="009D14FB">
            <w:pPr>
              <w:pStyle w:val="TAL"/>
              <w:rPr>
                <w:sz w:val="16"/>
                <w:szCs w:val="16"/>
              </w:rPr>
            </w:pPr>
            <w:r w:rsidRPr="00873B6C">
              <w:rPr>
                <w:sz w:val="16"/>
                <w:szCs w:val="16"/>
              </w:rPr>
              <w:t>2403</w:t>
            </w:r>
          </w:p>
        </w:tc>
        <w:tc>
          <w:tcPr>
            <w:tcW w:w="425" w:type="dxa"/>
            <w:shd w:val="solid" w:color="FFFFFF" w:fill="auto"/>
          </w:tcPr>
          <w:p w14:paraId="3EDC226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2015F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F6A08E" w14:textId="77777777" w:rsidR="00D40151" w:rsidRPr="00873B6C" w:rsidRDefault="00D40151" w:rsidP="009D14FB">
            <w:pPr>
              <w:pStyle w:val="TAL"/>
              <w:rPr>
                <w:sz w:val="16"/>
                <w:szCs w:val="16"/>
              </w:rPr>
            </w:pPr>
            <w:r w:rsidRPr="00873B6C">
              <w:rPr>
                <w:sz w:val="16"/>
                <w:szCs w:val="16"/>
              </w:rPr>
              <w:t>Correction to TSN stream identification in PSFP information</w:t>
            </w:r>
          </w:p>
        </w:tc>
        <w:tc>
          <w:tcPr>
            <w:tcW w:w="708" w:type="dxa"/>
            <w:shd w:val="solid" w:color="FFFFFF" w:fill="auto"/>
          </w:tcPr>
          <w:p w14:paraId="437A57E7" w14:textId="77777777" w:rsidR="00D40151" w:rsidRPr="00873B6C" w:rsidRDefault="00D40151" w:rsidP="009D14FB">
            <w:pPr>
              <w:pStyle w:val="TAC"/>
              <w:rPr>
                <w:sz w:val="16"/>
                <w:szCs w:val="16"/>
              </w:rPr>
            </w:pPr>
            <w:r w:rsidRPr="00873B6C">
              <w:rPr>
                <w:sz w:val="16"/>
                <w:szCs w:val="16"/>
              </w:rPr>
              <w:t>16.6.0</w:t>
            </w:r>
          </w:p>
        </w:tc>
      </w:tr>
      <w:tr w:rsidR="00D40151" w:rsidRPr="00873B6C" w14:paraId="49C6E563" w14:textId="77777777" w:rsidTr="009D14FB">
        <w:tc>
          <w:tcPr>
            <w:tcW w:w="800" w:type="dxa"/>
            <w:shd w:val="solid" w:color="FFFFFF" w:fill="auto"/>
          </w:tcPr>
          <w:p w14:paraId="3EF67BA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0F2A790"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812F662"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1A82FADA" w14:textId="77777777" w:rsidR="00D40151" w:rsidRPr="00873B6C" w:rsidRDefault="00D40151" w:rsidP="009D14FB">
            <w:pPr>
              <w:pStyle w:val="TAL"/>
              <w:rPr>
                <w:sz w:val="16"/>
                <w:szCs w:val="16"/>
              </w:rPr>
            </w:pPr>
            <w:r w:rsidRPr="00873B6C">
              <w:rPr>
                <w:sz w:val="16"/>
                <w:szCs w:val="16"/>
              </w:rPr>
              <w:t>2404</w:t>
            </w:r>
          </w:p>
        </w:tc>
        <w:tc>
          <w:tcPr>
            <w:tcW w:w="425" w:type="dxa"/>
            <w:shd w:val="solid" w:color="FFFFFF" w:fill="auto"/>
          </w:tcPr>
          <w:p w14:paraId="2DDE2A3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06D34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E42D54" w14:textId="75CDA941" w:rsidR="00D40151" w:rsidRPr="00873B6C" w:rsidRDefault="00D40151" w:rsidP="009D14FB">
            <w:pPr>
              <w:pStyle w:val="TAL"/>
              <w:rPr>
                <w:sz w:val="16"/>
                <w:szCs w:val="16"/>
              </w:rPr>
            </w:pPr>
            <w:r w:rsidRPr="00873B6C">
              <w:rPr>
                <w:sz w:val="16"/>
                <w:szCs w:val="16"/>
              </w:rPr>
              <w:t xml:space="preserve">Correction and </w:t>
            </w:r>
            <w:r w:rsidR="009D14FB" w:rsidRPr="00873B6C">
              <w:rPr>
                <w:sz w:val="16"/>
                <w:szCs w:val="16"/>
              </w:rPr>
              <w:t>clarification</w:t>
            </w:r>
            <w:r w:rsidRPr="00873B6C">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873B6C" w:rsidRDefault="00D40151" w:rsidP="009D14FB">
            <w:pPr>
              <w:pStyle w:val="TAC"/>
              <w:rPr>
                <w:sz w:val="16"/>
                <w:szCs w:val="16"/>
              </w:rPr>
            </w:pPr>
            <w:r w:rsidRPr="00873B6C">
              <w:rPr>
                <w:sz w:val="16"/>
                <w:szCs w:val="16"/>
              </w:rPr>
              <w:t>16.6.0</w:t>
            </w:r>
          </w:p>
        </w:tc>
      </w:tr>
      <w:tr w:rsidR="00D40151" w:rsidRPr="00873B6C" w14:paraId="50009DDF" w14:textId="77777777" w:rsidTr="009D14FB">
        <w:tc>
          <w:tcPr>
            <w:tcW w:w="800" w:type="dxa"/>
            <w:shd w:val="solid" w:color="FFFFFF" w:fill="auto"/>
          </w:tcPr>
          <w:p w14:paraId="6E5ADA4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2E74FBC3"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58EB2834"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50722DDA" w14:textId="77777777" w:rsidR="00D40151" w:rsidRPr="00873B6C" w:rsidRDefault="00D40151" w:rsidP="009D14FB">
            <w:pPr>
              <w:pStyle w:val="TAL"/>
              <w:rPr>
                <w:sz w:val="16"/>
                <w:szCs w:val="16"/>
              </w:rPr>
            </w:pPr>
            <w:r w:rsidRPr="00873B6C">
              <w:rPr>
                <w:sz w:val="16"/>
                <w:szCs w:val="16"/>
              </w:rPr>
              <w:t>2405</w:t>
            </w:r>
          </w:p>
        </w:tc>
        <w:tc>
          <w:tcPr>
            <w:tcW w:w="425" w:type="dxa"/>
            <w:shd w:val="solid" w:color="FFFFFF" w:fill="auto"/>
          </w:tcPr>
          <w:p w14:paraId="4755F1A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724EF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F3E64B" w14:textId="77777777" w:rsidR="00D40151" w:rsidRPr="00873B6C" w:rsidRDefault="00D40151" w:rsidP="009D14FB">
            <w:pPr>
              <w:pStyle w:val="TAL"/>
              <w:rPr>
                <w:sz w:val="16"/>
                <w:szCs w:val="16"/>
              </w:rPr>
            </w:pPr>
            <w:r w:rsidRPr="00873B6C">
              <w:rPr>
                <w:sz w:val="16"/>
                <w:szCs w:val="16"/>
              </w:rPr>
              <w:t>5GS BMCA support and PTP port state configuration</w:t>
            </w:r>
          </w:p>
        </w:tc>
        <w:tc>
          <w:tcPr>
            <w:tcW w:w="708" w:type="dxa"/>
            <w:shd w:val="solid" w:color="FFFFFF" w:fill="auto"/>
          </w:tcPr>
          <w:p w14:paraId="1DD6AEE7" w14:textId="77777777" w:rsidR="00D40151" w:rsidRPr="00873B6C" w:rsidRDefault="00D40151" w:rsidP="009D14FB">
            <w:pPr>
              <w:pStyle w:val="TAC"/>
              <w:rPr>
                <w:sz w:val="16"/>
                <w:szCs w:val="16"/>
              </w:rPr>
            </w:pPr>
            <w:r w:rsidRPr="00873B6C">
              <w:rPr>
                <w:sz w:val="16"/>
                <w:szCs w:val="16"/>
              </w:rPr>
              <w:t>16.6.0</w:t>
            </w:r>
          </w:p>
        </w:tc>
      </w:tr>
      <w:tr w:rsidR="00D40151" w:rsidRPr="00873B6C" w14:paraId="21663733" w14:textId="77777777" w:rsidTr="009D14FB">
        <w:tc>
          <w:tcPr>
            <w:tcW w:w="800" w:type="dxa"/>
            <w:shd w:val="solid" w:color="FFFFFF" w:fill="auto"/>
          </w:tcPr>
          <w:p w14:paraId="42B55891"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2138360"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1A3C568" w14:textId="77777777" w:rsidR="00D40151" w:rsidRPr="00873B6C" w:rsidRDefault="00D40151" w:rsidP="009D14FB">
            <w:pPr>
              <w:pStyle w:val="TAC"/>
              <w:rPr>
                <w:sz w:val="16"/>
                <w:szCs w:val="16"/>
              </w:rPr>
            </w:pPr>
            <w:r w:rsidRPr="00873B6C">
              <w:rPr>
                <w:sz w:val="16"/>
                <w:szCs w:val="16"/>
              </w:rPr>
              <w:t>SP-200686</w:t>
            </w:r>
          </w:p>
        </w:tc>
        <w:tc>
          <w:tcPr>
            <w:tcW w:w="567" w:type="dxa"/>
            <w:shd w:val="solid" w:color="FFFFFF" w:fill="auto"/>
          </w:tcPr>
          <w:p w14:paraId="02D8DDDC" w14:textId="77777777" w:rsidR="00D40151" w:rsidRPr="00873B6C" w:rsidRDefault="00D40151" w:rsidP="009D14FB">
            <w:pPr>
              <w:pStyle w:val="TAL"/>
              <w:rPr>
                <w:sz w:val="16"/>
                <w:szCs w:val="16"/>
              </w:rPr>
            </w:pPr>
            <w:r w:rsidRPr="00873B6C">
              <w:rPr>
                <w:sz w:val="16"/>
                <w:szCs w:val="16"/>
              </w:rPr>
              <w:t>2407</w:t>
            </w:r>
          </w:p>
        </w:tc>
        <w:tc>
          <w:tcPr>
            <w:tcW w:w="425" w:type="dxa"/>
            <w:shd w:val="solid" w:color="FFFFFF" w:fill="auto"/>
          </w:tcPr>
          <w:p w14:paraId="54C3E17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9AC8A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5B3DCD" w14:textId="77777777" w:rsidR="00D40151" w:rsidRPr="00873B6C" w:rsidRDefault="00D40151" w:rsidP="009D14FB">
            <w:pPr>
              <w:pStyle w:val="TAL"/>
              <w:rPr>
                <w:sz w:val="16"/>
                <w:szCs w:val="16"/>
              </w:rPr>
            </w:pPr>
            <w:r w:rsidRPr="00873B6C">
              <w:rPr>
                <w:sz w:val="16"/>
                <w:szCs w:val="16"/>
              </w:rPr>
              <w:t>WUS system support for 5GC</w:t>
            </w:r>
          </w:p>
        </w:tc>
        <w:tc>
          <w:tcPr>
            <w:tcW w:w="708" w:type="dxa"/>
            <w:shd w:val="solid" w:color="FFFFFF" w:fill="auto"/>
          </w:tcPr>
          <w:p w14:paraId="265EE439" w14:textId="77777777" w:rsidR="00D40151" w:rsidRPr="00873B6C" w:rsidRDefault="00D40151" w:rsidP="009D14FB">
            <w:pPr>
              <w:pStyle w:val="TAC"/>
              <w:rPr>
                <w:sz w:val="16"/>
                <w:szCs w:val="16"/>
              </w:rPr>
            </w:pPr>
            <w:r w:rsidRPr="00873B6C">
              <w:rPr>
                <w:sz w:val="16"/>
                <w:szCs w:val="16"/>
              </w:rPr>
              <w:t>16.6.0</w:t>
            </w:r>
          </w:p>
        </w:tc>
      </w:tr>
      <w:tr w:rsidR="00D40151" w:rsidRPr="00873B6C" w14:paraId="2C2AB07B" w14:textId="77777777" w:rsidTr="009D14FB">
        <w:tc>
          <w:tcPr>
            <w:tcW w:w="800" w:type="dxa"/>
            <w:shd w:val="solid" w:color="FFFFFF" w:fill="auto"/>
          </w:tcPr>
          <w:p w14:paraId="696066DB"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256DCC4"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96012AF" w14:textId="77777777" w:rsidR="00D40151" w:rsidRPr="00873B6C" w:rsidRDefault="00D40151" w:rsidP="009D14FB">
            <w:pPr>
              <w:pStyle w:val="TAC"/>
              <w:rPr>
                <w:sz w:val="16"/>
                <w:szCs w:val="16"/>
              </w:rPr>
            </w:pPr>
            <w:r w:rsidRPr="00873B6C">
              <w:rPr>
                <w:sz w:val="16"/>
                <w:szCs w:val="16"/>
              </w:rPr>
              <w:t>SP-200674</w:t>
            </w:r>
          </w:p>
        </w:tc>
        <w:tc>
          <w:tcPr>
            <w:tcW w:w="567" w:type="dxa"/>
            <w:shd w:val="solid" w:color="FFFFFF" w:fill="auto"/>
          </w:tcPr>
          <w:p w14:paraId="05B9A85B" w14:textId="77777777" w:rsidR="00D40151" w:rsidRPr="00873B6C" w:rsidRDefault="00D40151" w:rsidP="009D14FB">
            <w:pPr>
              <w:pStyle w:val="TAL"/>
              <w:rPr>
                <w:sz w:val="16"/>
                <w:szCs w:val="16"/>
              </w:rPr>
            </w:pPr>
            <w:r w:rsidRPr="00873B6C">
              <w:rPr>
                <w:sz w:val="16"/>
                <w:szCs w:val="16"/>
              </w:rPr>
              <w:t>2409</w:t>
            </w:r>
          </w:p>
        </w:tc>
        <w:tc>
          <w:tcPr>
            <w:tcW w:w="425" w:type="dxa"/>
            <w:shd w:val="solid" w:color="FFFFFF" w:fill="auto"/>
          </w:tcPr>
          <w:p w14:paraId="3E7C6A4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606CB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ABDC47" w14:textId="77777777" w:rsidR="00D40151" w:rsidRPr="00873B6C" w:rsidRDefault="00D40151" w:rsidP="009D14FB">
            <w:pPr>
              <w:pStyle w:val="TAL"/>
              <w:rPr>
                <w:sz w:val="16"/>
                <w:szCs w:val="16"/>
              </w:rPr>
            </w:pPr>
            <w:r w:rsidRPr="00873B6C">
              <w:rPr>
                <w:sz w:val="16"/>
                <w:szCs w:val="16"/>
              </w:rPr>
              <w:t>Routing Binding indication without delegated discovery</w:t>
            </w:r>
          </w:p>
        </w:tc>
        <w:tc>
          <w:tcPr>
            <w:tcW w:w="708" w:type="dxa"/>
            <w:shd w:val="solid" w:color="FFFFFF" w:fill="auto"/>
          </w:tcPr>
          <w:p w14:paraId="152E4C1D" w14:textId="77777777" w:rsidR="00D40151" w:rsidRPr="00873B6C" w:rsidRDefault="00D40151" w:rsidP="009D14FB">
            <w:pPr>
              <w:pStyle w:val="TAC"/>
              <w:rPr>
                <w:sz w:val="16"/>
                <w:szCs w:val="16"/>
              </w:rPr>
            </w:pPr>
            <w:r w:rsidRPr="00873B6C">
              <w:rPr>
                <w:sz w:val="16"/>
                <w:szCs w:val="16"/>
              </w:rPr>
              <w:t>16.6.0</w:t>
            </w:r>
          </w:p>
        </w:tc>
      </w:tr>
      <w:tr w:rsidR="00D40151" w:rsidRPr="00873B6C" w14:paraId="4243E82C" w14:textId="77777777" w:rsidTr="009D14FB">
        <w:tc>
          <w:tcPr>
            <w:tcW w:w="800" w:type="dxa"/>
            <w:shd w:val="solid" w:color="FFFFFF" w:fill="auto"/>
          </w:tcPr>
          <w:p w14:paraId="7CC11E2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7AE6BE1"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96D42B9"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0FA57E97" w14:textId="77777777" w:rsidR="00D40151" w:rsidRPr="00873B6C" w:rsidRDefault="00D40151" w:rsidP="009D14FB">
            <w:pPr>
              <w:pStyle w:val="TAL"/>
              <w:rPr>
                <w:sz w:val="16"/>
                <w:szCs w:val="16"/>
              </w:rPr>
            </w:pPr>
            <w:r w:rsidRPr="00873B6C">
              <w:rPr>
                <w:sz w:val="16"/>
                <w:szCs w:val="16"/>
              </w:rPr>
              <w:t>2410</w:t>
            </w:r>
          </w:p>
        </w:tc>
        <w:tc>
          <w:tcPr>
            <w:tcW w:w="425" w:type="dxa"/>
            <w:shd w:val="solid" w:color="FFFFFF" w:fill="auto"/>
          </w:tcPr>
          <w:p w14:paraId="5AF60FF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CD0526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F5E5B3" w14:textId="5F0E74A9" w:rsidR="00D40151" w:rsidRPr="00873B6C" w:rsidRDefault="00D40151" w:rsidP="009D14FB">
            <w:pPr>
              <w:pStyle w:val="TAL"/>
              <w:rPr>
                <w:sz w:val="16"/>
                <w:szCs w:val="16"/>
              </w:rPr>
            </w:pPr>
            <w:r w:rsidRPr="00873B6C">
              <w:rPr>
                <w:sz w:val="16"/>
                <w:szCs w:val="16"/>
              </w:rPr>
              <w:t>Clarify the Announ</w:t>
            </w:r>
            <w:r w:rsidR="009D14FB" w:rsidRPr="00873B6C">
              <w:rPr>
                <w:sz w:val="16"/>
                <w:szCs w:val="16"/>
              </w:rPr>
              <w:t>c</w:t>
            </w:r>
            <w:r w:rsidRPr="00873B6C">
              <w:rPr>
                <w:sz w:val="16"/>
                <w:szCs w:val="16"/>
              </w:rPr>
              <w:t>e message handling</w:t>
            </w:r>
          </w:p>
        </w:tc>
        <w:tc>
          <w:tcPr>
            <w:tcW w:w="708" w:type="dxa"/>
            <w:shd w:val="solid" w:color="FFFFFF" w:fill="auto"/>
          </w:tcPr>
          <w:p w14:paraId="4A79EB47" w14:textId="77777777" w:rsidR="00D40151" w:rsidRPr="00873B6C" w:rsidRDefault="00D40151" w:rsidP="009D14FB">
            <w:pPr>
              <w:pStyle w:val="TAC"/>
              <w:rPr>
                <w:sz w:val="16"/>
                <w:szCs w:val="16"/>
              </w:rPr>
            </w:pPr>
            <w:r w:rsidRPr="00873B6C">
              <w:rPr>
                <w:sz w:val="16"/>
                <w:szCs w:val="16"/>
              </w:rPr>
              <w:t>16.6.0</w:t>
            </w:r>
          </w:p>
        </w:tc>
      </w:tr>
      <w:tr w:rsidR="00D40151" w:rsidRPr="00873B6C" w14:paraId="6CF040FD" w14:textId="77777777" w:rsidTr="009D14FB">
        <w:tc>
          <w:tcPr>
            <w:tcW w:w="800" w:type="dxa"/>
            <w:shd w:val="solid" w:color="FFFFFF" w:fill="auto"/>
          </w:tcPr>
          <w:p w14:paraId="422EB09B"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43A153C"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34D59FE" w14:textId="77777777" w:rsidR="00D40151" w:rsidRPr="00873B6C" w:rsidRDefault="00D40151" w:rsidP="009D14FB">
            <w:pPr>
              <w:pStyle w:val="TAC"/>
              <w:rPr>
                <w:sz w:val="16"/>
                <w:szCs w:val="16"/>
              </w:rPr>
            </w:pPr>
            <w:r w:rsidRPr="00873B6C">
              <w:rPr>
                <w:sz w:val="16"/>
                <w:szCs w:val="16"/>
              </w:rPr>
              <w:t>SP-200671</w:t>
            </w:r>
          </w:p>
        </w:tc>
        <w:tc>
          <w:tcPr>
            <w:tcW w:w="567" w:type="dxa"/>
            <w:shd w:val="solid" w:color="FFFFFF" w:fill="auto"/>
          </w:tcPr>
          <w:p w14:paraId="19822BC9" w14:textId="77777777" w:rsidR="00D40151" w:rsidRPr="00873B6C" w:rsidRDefault="00D40151" w:rsidP="009D14FB">
            <w:pPr>
              <w:pStyle w:val="TAL"/>
              <w:rPr>
                <w:sz w:val="16"/>
                <w:szCs w:val="16"/>
              </w:rPr>
            </w:pPr>
            <w:r w:rsidRPr="00873B6C">
              <w:rPr>
                <w:sz w:val="16"/>
                <w:szCs w:val="16"/>
              </w:rPr>
              <w:t>2420</w:t>
            </w:r>
          </w:p>
        </w:tc>
        <w:tc>
          <w:tcPr>
            <w:tcW w:w="425" w:type="dxa"/>
            <w:shd w:val="solid" w:color="FFFFFF" w:fill="auto"/>
          </w:tcPr>
          <w:p w14:paraId="31D66E93"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0A5CCBD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25054ADB" w14:textId="77777777" w:rsidR="00D40151" w:rsidRPr="00873B6C" w:rsidRDefault="00D40151" w:rsidP="009D14FB">
            <w:pPr>
              <w:pStyle w:val="TAL"/>
              <w:rPr>
                <w:sz w:val="16"/>
                <w:szCs w:val="16"/>
              </w:rPr>
            </w:pPr>
            <w:r w:rsidRPr="00873B6C">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873B6C" w:rsidRDefault="00D40151" w:rsidP="009D14FB">
            <w:pPr>
              <w:pStyle w:val="TAC"/>
              <w:rPr>
                <w:sz w:val="16"/>
                <w:szCs w:val="16"/>
              </w:rPr>
            </w:pPr>
            <w:r w:rsidRPr="00873B6C">
              <w:rPr>
                <w:sz w:val="16"/>
                <w:szCs w:val="16"/>
              </w:rPr>
              <w:t>16.6.0</w:t>
            </w:r>
          </w:p>
        </w:tc>
      </w:tr>
      <w:tr w:rsidR="00D40151" w:rsidRPr="00873B6C" w14:paraId="1B1E1873" w14:textId="77777777" w:rsidTr="009D14FB">
        <w:tc>
          <w:tcPr>
            <w:tcW w:w="800" w:type="dxa"/>
            <w:shd w:val="solid" w:color="FFFFFF" w:fill="auto"/>
          </w:tcPr>
          <w:p w14:paraId="57FA1A3A"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0CD07B3"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4AD35B2"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3F1B512" w14:textId="77777777" w:rsidR="00D40151" w:rsidRPr="00873B6C" w:rsidRDefault="00D40151" w:rsidP="009D14FB">
            <w:pPr>
              <w:pStyle w:val="TAL"/>
              <w:rPr>
                <w:sz w:val="16"/>
                <w:szCs w:val="16"/>
              </w:rPr>
            </w:pPr>
            <w:r w:rsidRPr="00873B6C">
              <w:rPr>
                <w:sz w:val="16"/>
                <w:szCs w:val="16"/>
              </w:rPr>
              <w:t>2421</w:t>
            </w:r>
          </w:p>
        </w:tc>
        <w:tc>
          <w:tcPr>
            <w:tcW w:w="425" w:type="dxa"/>
            <w:shd w:val="solid" w:color="FFFFFF" w:fill="auto"/>
          </w:tcPr>
          <w:p w14:paraId="2ABC515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589AD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C0D73D" w14:textId="77777777" w:rsidR="00D40151" w:rsidRPr="00873B6C" w:rsidRDefault="00D40151" w:rsidP="009D14FB">
            <w:pPr>
              <w:pStyle w:val="TAL"/>
              <w:rPr>
                <w:sz w:val="16"/>
                <w:szCs w:val="16"/>
              </w:rPr>
            </w:pPr>
            <w:r w:rsidRPr="00873B6C">
              <w:rPr>
                <w:sz w:val="16"/>
                <w:szCs w:val="16"/>
              </w:rPr>
              <w:t>correction on the bridge model and NW-TT ports</w:t>
            </w:r>
          </w:p>
        </w:tc>
        <w:tc>
          <w:tcPr>
            <w:tcW w:w="708" w:type="dxa"/>
            <w:shd w:val="solid" w:color="FFFFFF" w:fill="auto"/>
          </w:tcPr>
          <w:p w14:paraId="4A0E213E" w14:textId="77777777" w:rsidR="00D40151" w:rsidRPr="00873B6C" w:rsidRDefault="00D40151" w:rsidP="009D14FB">
            <w:pPr>
              <w:pStyle w:val="TAC"/>
              <w:rPr>
                <w:sz w:val="16"/>
                <w:szCs w:val="16"/>
              </w:rPr>
            </w:pPr>
            <w:r w:rsidRPr="00873B6C">
              <w:rPr>
                <w:sz w:val="16"/>
                <w:szCs w:val="16"/>
              </w:rPr>
              <w:t>16.6.0</w:t>
            </w:r>
          </w:p>
        </w:tc>
      </w:tr>
      <w:tr w:rsidR="00D40151" w:rsidRPr="00873B6C" w14:paraId="44604AD2" w14:textId="77777777" w:rsidTr="009D14FB">
        <w:tc>
          <w:tcPr>
            <w:tcW w:w="800" w:type="dxa"/>
            <w:shd w:val="solid" w:color="FFFFFF" w:fill="auto"/>
          </w:tcPr>
          <w:p w14:paraId="6C9CADD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1C62EE7"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B024270"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60BB9974" w14:textId="77777777" w:rsidR="00D40151" w:rsidRPr="00873B6C" w:rsidRDefault="00D40151" w:rsidP="009D14FB">
            <w:pPr>
              <w:pStyle w:val="TAL"/>
              <w:rPr>
                <w:sz w:val="16"/>
                <w:szCs w:val="16"/>
              </w:rPr>
            </w:pPr>
            <w:r w:rsidRPr="00873B6C">
              <w:rPr>
                <w:sz w:val="16"/>
                <w:szCs w:val="16"/>
              </w:rPr>
              <w:t>2424</w:t>
            </w:r>
          </w:p>
        </w:tc>
        <w:tc>
          <w:tcPr>
            <w:tcW w:w="425" w:type="dxa"/>
            <w:shd w:val="solid" w:color="FFFFFF" w:fill="auto"/>
          </w:tcPr>
          <w:p w14:paraId="17FADE05"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0E24285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2CE9ED" w14:textId="77777777" w:rsidR="00D40151" w:rsidRPr="00873B6C" w:rsidRDefault="00D40151" w:rsidP="009D14FB">
            <w:pPr>
              <w:pStyle w:val="TAL"/>
              <w:rPr>
                <w:sz w:val="16"/>
                <w:szCs w:val="16"/>
              </w:rPr>
            </w:pPr>
            <w:r w:rsidRPr="00873B6C">
              <w:rPr>
                <w:sz w:val="16"/>
                <w:szCs w:val="16"/>
              </w:rPr>
              <w:t>Overview Clarifications for multiple UP resource support for an NB-IoT UE</w:t>
            </w:r>
          </w:p>
        </w:tc>
        <w:tc>
          <w:tcPr>
            <w:tcW w:w="708" w:type="dxa"/>
            <w:shd w:val="solid" w:color="FFFFFF" w:fill="auto"/>
          </w:tcPr>
          <w:p w14:paraId="0216EBCA" w14:textId="77777777" w:rsidR="00D40151" w:rsidRPr="00873B6C" w:rsidRDefault="00D40151" w:rsidP="009D14FB">
            <w:pPr>
              <w:pStyle w:val="TAC"/>
              <w:rPr>
                <w:sz w:val="16"/>
                <w:szCs w:val="16"/>
              </w:rPr>
            </w:pPr>
            <w:r w:rsidRPr="00873B6C">
              <w:rPr>
                <w:sz w:val="16"/>
                <w:szCs w:val="16"/>
              </w:rPr>
              <w:t>16.6.0</w:t>
            </w:r>
          </w:p>
        </w:tc>
      </w:tr>
      <w:tr w:rsidR="00D40151" w:rsidRPr="00873B6C" w14:paraId="147B8FFA" w14:textId="77777777" w:rsidTr="009D14FB">
        <w:tc>
          <w:tcPr>
            <w:tcW w:w="800" w:type="dxa"/>
            <w:shd w:val="solid" w:color="FFFFFF" w:fill="auto"/>
          </w:tcPr>
          <w:p w14:paraId="3D233B1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0B9F12A4"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709AC7E9"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7CF42788" w14:textId="77777777" w:rsidR="00D40151" w:rsidRPr="00873B6C" w:rsidRDefault="00D40151" w:rsidP="009D14FB">
            <w:pPr>
              <w:pStyle w:val="TAL"/>
              <w:rPr>
                <w:sz w:val="16"/>
                <w:szCs w:val="16"/>
              </w:rPr>
            </w:pPr>
            <w:r w:rsidRPr="00873B6C">
              <w:rPr>
                <w:sz w:val="16"/>
                <w:szCs w:val="16"/>
              </w:rPr>
              <w:t>2425</w:t>
            </w:r>
          </w:p>
        </w:tc>
        <w:tc>
          <w:tcPr>
            <w:tcW w:w="425" w:type="dxa"/>
            <w:shd w:val="solid" w:color="FFFFFF" w:fill="auto"/>
          </w:tcPr>
          <w:p w14:paraId="3D9D9035"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60B2083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F1D9FC" w14:textId="77777777" w:rsidR="00D40151" w:rsidRPr="00873B6C" w:rsidRDefault="00D40151" w:rsidP="009D14FB">
            <w:pPr>
              <w:pStyle w:val="TAL"/>
              <w:rPr>
                <w:sz w:val="16"/>
                <w:szCs w:val="16"/>
              </w:rPr>
            </w:pPr>
            <w:r w:rsidRPr="00873B6C">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873B6C" w:rsidRDefault="00D40151" w:rsidP="009D14FB">
            <w:pPr>
              <w:pStyle w:val="TAC"/>
              <w:rPr>
                <w:sz w:val="16"/>
                <w:szCs w:val="16"/>
              </w:rPr>
            </w:pPr>
            <w:r w:rsidRPr="00873B6C">
              <w:rPr>
                <w:sz w:val="16"/>
                <w:szCs w:val="16"/>
              </w:rPr>
              <w:t>16.6.0</w:t>
            </w:r>
          </w:p>
        </w:tc>
      </w:tr>
      <w:tr w:rsidR="00D40151" w:rsidRPr="00873B6C" w14:paraId="63CADC63" w14:textId="77777777" w:rsidTr="009D14FB">
        <w:tc>
          <w:tcPr>
            <w:tcW w:w="800" w:type="dxa"/>
            <w:shd w:val="solid" w:color="FFFFFF" w:fill="auto"/>
          </w:tcPr>
          <w:p w14:paraId="634F144E"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6BCACDCC"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5E4606AA"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3F7A95D4" w14:textId="77777777" w:rsidR="00D40151" w:rsidRPr="00873B6C" w:rsidRDefault="00D40151" w:rsidP="009D14FB">
            <w:pPr>
              <w:pStyle w:val="TAL"/>
              <w:rPr>
                <w:sz w:val="16"/>
                <w:szCs w:val="16"/>
              </w:rPr>
            </w:pPr>
            <w:r w:rsidRPr="00873B6C">
              <w:rPr>
                <w:sz w:val="16"/>
                <w:szCs w:val="16"/>
              </w:rPr>
              <w:t>2426</w:t>
            </w:r>
          </w:p>
        </w:tc>
        <w:tc>
          <w:tcPr>
            <w:tcW w:w="425" w:type="dxa"/>
            <w:shd w:val="solid" w:color="FFFFFF" w:fill="auto"/>
          </w:tcPr>
          <w:p w14:paraId="5CD2B956"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1B1CF1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68E256" w14:textId="77777777" w:rsidR="00D40151" w:rsidRPr="00873B6C" w:rsidRDefault="00D40151" w:rsidP="009D14FB">
            <w:pPr>
              <w:pStyle w:val="TAL"/>
              <w:rPr>
                <w:sz w:val="16"/>
                <w:szCs w:val="16"/>
              </w:rPr>
            </w:pPr>
            <w:r w:rsidRPr="00873B6C">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873B6C" w:rsidRDefault="00D40151" w:rsidP="009D14FB">
            <w:pPr>
              <w:pStyle w:val="TAC"/>
              <w:rPr>
                <w:sz w:val="16"/>
                <w:szCs w:val="16"/>
              </w:rPr>
            </w:pPr>
            <w:r w:rsidRPr="00873B6C">
              <w:rPr>
                <w:sz w:val="16"/>
                <w:szCs w:val="16"/>
              </w:rPr>
              <w:t>16.6.0</w:t>
            </w:r>
          </w:p>
        </w:tc>
      </w:tr>
      <w:tr w:rsidR="00D40151" w:rsidRPr="00873B6C" w14:paraId="6FB98204" w14:textId="77777777" w:rsidTr="009D14FB">
        <w:tc>
          <w:tcPr>
            <w:tcW w:w="800" w:type="dxa"/>
            <w:shd w:val="solid" w:color="FFFFFF" w:fill="auto"/>
          </w:tcPr>
          <w:p w14:paraId="7875A9E3"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5036732"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7E9ABB35"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110CDC7D" w14:textId="77777777" w:rsidR="00D40151" w:rsidRPr="00873B6C" w:rsidRDefault="00D40151" w:rsidP="009D14FB">
            <w:pPr>
              <w:pStyle w:val="TAL"/>
              <w:rPr>
                <w:sz w:val="16"/>
                <w:szCs w:val="16"/>
              </w:rPr>
            </w:pPr>
            <w:r w:rsidRPr="00873B6C">
              <w:rPr>
                <w:sz w:val="16"/>
                <w:szCs w:val="16"/>
              </w:rPr>
              <w:t>2427</w:t>
            </w:r>
          </w:p>
        </w:tc>
        <w:tc>
          <w:tcPr>
            <w:tcW w:w="425" w:type="dxa"/>
            <w:shd w:val="solid" w:color="FFFFFF" w:fill="auto"/>
          </w:tcPr>
          <w:p w14:paraId="3573612E"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2663FD4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F83EEB" w14:textId="77777777" w:rsidR="00D40151" w:rsidRPr="00873B6C" w:rsidRDefault="00D40151" w:rsidP="009D14FB">
            <w:pPr>
              <w:pStyle w:val="TAL"/>
              <w:rPr>
                <w:sz w:val="16"/>
                <w:szCs w:val="16"/>
              </w:rPr>
            </w:pPr>
            <w:r w:rsidRPr="00873B6C">
              <w:rPr>
                <w:sz w:val="16"/>
                <w:szCs w:val="16"/>
              </w:rPr>
              <w:t xml:space="preserve">Drop downlink packets with notification of the discarded downlink packet </w:t>
            </w:r>
          </w:p>
        </w:tc>
        <w:tc>
          <w:tcPr>
            <w:tcW w:w="708" w:type="dxa"/>
            <w:shd w:val="solid" w:color="FFFFFF" w:fill="auto"/>
          </w:tcPr>
          <w:p w14:paraId="2292AB11" w14:textId="77777777" w:rsidR="00D40151" w:rsidRPr="00873B6C" w:rsidRDefault="00D40151" w:rsidP="009D14FB">
            <w:pPr>
              <w:pStyle w:val="TAC"/>
              <w:rPr>
                <w:sz w:val="16"/>
                <w:szCs w:val="16"/>
              </w:rPr>
            </w:pPr>
            <w:r w:rsidRPr="00873B6C">
              <w:rPr>
                <w:sz w:val="16"/>
                <w:szCs w:val="16"/>
              </w:rPr>
              <w:t>16.6.0</w:t>
            </w:r>
          </w:p>
        </w:tc>
      </w:tr>
      <w:tr w:rsidR="00D40151" w:rsidRPr="00873B6C" w14:paraId="3CA7CE33" w14:textId="77777777" w:rsidTr="009D14FB">
        <w:tc>
          <w:tcPr>
            <w:tcW w:w="800" w:type="dxa"/>
            <w:shd w:val="solid" w:color="FFFFFF" w:fill="auto"/>
          </w:tcPr>
          <w:p w14:paraId="3ABDC14C"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CAD658A"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31D2C4F"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5139AFFC" w14:textId="77777777" w:rsidR="00D40151" w:rsidRPr="00873B6C" w:rsidRDefault="00D40151" w:rsidP="009D14FB">
            <w:pPr>
              <w:pStyle w:val="TAL"/>
              <w:rPr>
                <w:sz w:val="16"/>
                <w:szCs w:val="16"/>
              </w:rPr>
            </w:pPr>
            <w:r w:rsidRPr="00873B6C">
              <w:rPr>
                <w:sz w:val="16"/>
                <w:szCs w:val="16"/>
              </w:rPr>
              <w:t>2428</w:t>
            </w:r>
          </w:p>
        </w:tc>
        <w:tc>
          <w:tcPr>
            <w:tcW w:w="425" w:type="dxa"/>
            <w:shd w:val="solid" w:color="FFFFFF" w:fill="auto"/>
          </w:tcPr>
          <w:p w14:paraId="2D2135DB"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6E1BEE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8DD39F" w14:textId="77777777" w:rsidR="00D40151" w:rsidRPr="00873B6C" w:rsidRDefault="00D40151" w:rsidP="009D14FB">
            <w:pPr>
              <w:pStyle w:val="TAL"/>
              <w:rPr>
                <w:sz w:val="16"/>
                <w:szCs w:val="16"/>
              </w:rPr>
            </w:pPr>
            <w:r w:rsidRPr="00873B6C">
              <w:rPr>
                <w:sz w:val="16"/>
                <w:szCs w:val="16"/>
              </w:rPr>
              <w:t>Overview of redirecting UE via service reject to align with CT1</w:t>
            </w:r>
          </w:p>
        </w:tc>
        <w:tc>
          <w:tcPr>
            <w:tcW w:w="708" w:type="dxa"/>
            <w:shd w:val="solid" w:color="FFFFFF" w:fill="auto"/>
          </w:tcPr>
          <w:p w14:paraId="1BFC647D" w14:textId="77777777" w:rsidR="00D40151" w:rsidRPr="00873B6C" w:rsidRDefault="00D40151" w:rsidP="009D14FB">
            <w:pPr>
              <w:pStyle w:val="TAC"/>
              <w:rPr>
                <w:sz w:val="16"/>
                <w:szCs w:val="16"/>
              </w:rPr>
            </w:pPr>
            <w:r w:rsidRPr="00873B6C">
              <w:rPr>
                <w:sz w:val="16"/>
                <w:szCs w:val="16"/>
              </w:rPr>
              <w:t>16.6.0</w:t>
            </w:r>
          </w:p>
        </w:tc>
      </w:tr>
      <w:tr w:rsidR="00D40151" w:rsidRPr="00873B6C" w14:paraId="2365E14E" w14:textId="77777777" w:rsidTr="009D14FB">
        <w:tc>
          <w:tcPr>
            <w:tcW w:w="800" w:type="dxa"/>
            <w:shd w:val="solid" w:color="FFFFFF" w:fill="auto"/>
          </w:tcPr>
          <w:p w14:paraId="0C9E5C9D"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2539D98"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CD1B0A7"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2372C7BE" w14:textId="77777777" w:rsidR="00D40151" w:rsidRPr="00873B6C" w:rsidRDefault="00D40151" w:rsidP="009D14FB">
            <w:pPr>
              <w:pStyle w:val="TAL"/>
              <w:rPr>
                <w:sz w:val="16"/>
                <w:szCs w:val="16"/>
              </w:rPr>
            </w:pPr>
            <w:r w:rsidRPr="00873B6C">
              <w:rPr>
                <w:sz w:val="16"/>
                <w:szCs w:val="16"/>
              </w:rPr>
              <w:t>2430</w:t>
            </w:r>
          </w:p>
        </w:tc>
        <w:tc>
          <w:tcPr>
            <w:tcW w:w="425" w:type="dxa"/>
            <w:shd w:val="solid" w:color="FFFFFF" w:fill="auto"/>
          </w:tcPr>
          <w:p w14:paraId="05658C0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3B9D7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96366B" w14:textId="77777777" w:rsidR="00D40151" w:rsidRPr="00873B6C" w:rsidRDefault="00D40151" w:rsidP="009D14FB">
            <w:pPr>
              <w:pStyle w:val="TAL"/>
              <w:rPr>
                <w:sz w:val="16"/>
                <w:szCs w:val="16"/>
              </w:rPr>
            </w:pPr>
            <w:r w:rsidRPr="00873B6C">
              <w:rPr>
                <w:sz w:val="16"/>
                <w:szCs w:val="16"/>
              </w:rPr>
              <w:t>23.501: Revision on PNI-NPN CAG Configuration Update</w:t>
            </w:r>
          </w:p>
        </w:tc>
        <w:tc>
          <w:tcPr>
            <w:tcW w:w="708" w:type="dxa"/>
            <w:shd w:val="solid" w:color="FFFFFF" w:fill="auto"/>
          </w:tcPr>
          <w:p w14:paraId="3CB268A9" w14:textId="77777777" w:rsidR="00D40151" w:rsidRPr="00873B6C" w:rsidRDefault="00D40151" w:rsidP="009D14FB">
            <w:pPr>
              <w:pStyle w:val="TAC"/>
              <w:rPr>
                <w:sz w:val="16"/>
                <w:szCs w:val="16"/>
              </w:rPr>
            </w:pPr>
            <w:r w:rsidRPr="00873B6C">
              <w:rPr>
                <w:sz w:val="16"/>
                <w:szCs w:val="16"/>
              </w:rPr>
              <w:t>16.6.0</w:t>
            </w:r>
          </w:p>
        </w:tc>
      </w:tr>
      <w:tr w:rsidR="00D40151" w:rsidRPr="00873B6C" w14:paraId="2180C267" w14:textId="77777777" w:rsidTr="009D14FB">
        <w:tc>
          <w:tcPr>
            <w:tcW w:w="800" w:type="dxa"/>
            <w:shd w:val="solid" w:color="FFFFFF" w:fill="auto"/>
          </w:tcPr>
          <w:p w14:paraId="168132DF"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5895E10"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1EA8FD6" w14:textId="77777777" w:rsidR="00D40151" w:rsidRPr="00873B6C" w:rsidRDefault="00D40151" w:rsidP="009D14FB">
            <w:pPr>
              <w:pStyle w:val="TAC"/>
              <w:rPr>
                <w:sz w:val="16"/>
                <w:szCs w:val="16"/>
              </w:rPr>
            </w:pPr>
            <w:r w:rsidRPr="00873B6C">
              <w:rPr>
                <w:sz w:val="16"/>
                <w:szCs w:val="16"/>
              </w:rPr>
              <w:t>SP-200674</w:t>
            </w:r>
          </w:p>
        </w:tc>
        <w:tc>
          <w:tcPr>
            <w:tcW w:w="567" w:type="dxa"/>
            <w:shd w:val="solid" w:color="FFFFFF" w:fill="auto"/>
          </w:tcPr>
          <w:p w14:paraId="0E9CE0AF" w14:textId="77777777" w:rsidR="00D40151" w:rsidRPr="00873B6C" w:rsidRDefault="00D40151" w:rsidP="009D14FB">
            <w:pPr>
              <w:pStyle w:val="TAL"/>
              <w:rPr>
                <w:sz w:val="16"/>
                <w:szCs w:val="16"/>
              </w:rPr>
            </w:pPr>
            <w:r w:rsidRPr="00873B6C">
              <w:rPr>
                <w:sz w:val="16"/>
                <w:szCs w:val="16"/>
              </w:rPr>
              <w:t>2431</w:t>
            </w:r>
          </w:p>
        </w:tc>
        <w:tc>
          <w:tcPr>
            <w:tcW w:w="425" w:type="dxa"/>
            <w:shd w:val="solid" w:color="FFFFFF" w:fill="auto"/>
          </w:tcPr>
          <w:p w14:paraId="3364482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31E5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49C22F" w14:textId="77777777" w:rsidR="00D40151" w:rsidRPr="00873B6C" w:rsidRDefault="00D40151" w:rsidP="009D14FB">
            <w:pPr>
              <w:pStyle w:val="TAL"/>
              <w:rPr>
                <w:sz w:val="16"/>
                <w:szCs w:val="16"/>
              </w:rPr>
            </w:pPr>
            <w:r w:rsidRPr="00873B6C">
              <w:rPr>
                <w:sz w:val="16"/>
                <w:szCs w:val="16"/>
              </w:rPr>
              <w:t>Correction for NF instance set</w:t>
            </w:r>
          </w:p>
        </w:tc>
        <w:tc>
          <w:tcPr>
            <w:tcW w:w="708" w:type="dxa"/>
            <w:shd w:val="solid" w:color="FFFFFF" w:fill="auto"/>
          </w:tcPr>
          <w:p w14:paraId="7AAB87AC" w14:textId="77777777" w:rsidR="00D40151" w:rsidRPr="00873B6C" w:rsidRDefault="00D40151" w:rsidP="009D14FB">
            <w:pPr>
              <w:pStyle w:val="TAC"/>
              <w:rPr>
                <w:sz w:val="16"/>
                <w:szCs w:val="16"/>
              </w:rPr>
            </w:pPr>
            <w:r w:rsidRPr="00873B6C">
              <w:rPr>
                <w:sz w:val="16"/>
                <w:szCs w:val="16"/>
              </w:rPr>
              <w:t>16.6.0</w:t>
            </w:r>
          </w:p>
        </w:tc>
      </w:tr>
      <w:tr w:rsidR="00D40151" w:rsidRPr="00873B6C" w14:paraId="76CF6854" w14:textId="77777777" w:rsidTr="009D14FB">
        <w:tc>
          <w:tcPr>
            <w:tcW w:w="800" w:type="dxa"/>
            <w:shd w:val="solid" w:color="FFFFFF" w:fill="auto"/>
          </w:tcPr>
          <w:p w14:paraId="63AEB911"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0FE9E3D"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3095491"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17FE0051" w14:textId="77777777" w:rsidR="00D40151" w:rsidRPr="00873B6C" w:rsidRDefault="00D40151" w:rsidP="009D14FB">
            <w:pPr>
              <w:pStyle w:val="TAL"/>
              <w:rPr>
                <w:sz w:val="16"/>
                <w:szCs w:val="16"/>
              </w:rPr>
            </w:pPr>
            <w:r w:rsidRPr="00873B6C">
              <w:rPr>
                <w:sz w:val="16"/>
                <w:szCs w:val="16"/>
              </w:rPr>
              <w:t>2435</w:t>
            </w:r>
          </w:p>
        </w:tc>
        <w:tc>
          <w:tcPr>
            <w:tcW w:w="425" w:type="dxa"/>
            <w:shd w:val="solid" w:color="FFFFFF" w:fill="auto"/>
          </w:tcPr>
          <w:p w14:paraId="065EDB67"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0013BC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401CFC" w14:textId="77777777" w:rsidR="00D40151" w:rsidRPr="00873B6C" w:rsidRDefault="00D40151" w:rsidP="009D14FB">
            <w:pPr>
              <w:pStyle w:val="TAL"/>
              <w:rPr>
                <w:sz w:val="16"/>
                <w:szCs w:val="16"/>
              </w:rPr>
            </w:pPr>
            <w:r w:rsidRPr="00873B6C">
              <w:rPr>
                <w:sz w:val="16"/>
                <w:szCs w:val="16"/>
              </w:rPr>
              <w:t>remove bridge name to align with CT3</w:t>
            </w:r>
          </w:p>
        </w:tc>
        <w:tc>
          <w:tcPr>
            <w:tcW w:w="708" w:type="dxa"/>
            <w:shd w:val="solid" w:color="FFFFFF" w:fill="auto"/>
          </w:tcPr>
          <w:p w14:paraId="06A4AEB7" w14:textId="77777777" w:rsidR="00D40151" w:rsidRPr="00873B6C" w:rsidRDefault="00D40151" w:rsidP="009D14FB">
            <w:pPr>
              <w:pStyle w:val="TAC"/>
              <w:rPr>
                <w:sz w:val="16"/>
                <w:szCs w:val="16"/>
              </w:rPr>
            </w:pPr>
            <w:r w:rsidRPr="00873B6C">
              <w:rPr>
                <w:sz w:val="16"/>
                <w:szCs w:val="16"/>
              </w:rPr>
              <w:t>16.6.0</w:t>
            </w:r>
          </w:p>
        </w:tc>
      </w:tr>
      <w:tr w:rsidR="00D40151" w:rsidRPr="00873B6C" w14:paraId="15492A98" w14:textId="77777777" w:rsidTr="009D14FB">
        <w:tc>
          <w:tcPr>
            <w:tcW w:w="800" w:type="dxa"/>
            <w:shd w:val="solid" w:color="FFFFFF" w:fill="auto"/>
          </w:tcPr>
          <w:p w14:paraId="0DE261F6"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0D4DCFB"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12E4F04"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289A3162" w14:textId="77777777" w:rsidR="00D40151" w:rsidRPr="00873B6C" w:rsidRDefault="00D40151" w:rsidP="009D14FB">
            <w:pPr>
              <w:pStyle w:val="TAL"/>
              <w:rPr>
                <w:sz w:val="16"/>
                <w:szCs w:val="16"/>
              </w:rPr>
            </w:pPr>
            <w:r w:rsidRPr="00873B6C">
              <w:rPr>
                <w:sz w:val="16"/>
                <w:szCs w:val="16"/>
              </w:rPr>
              <w:t>2437</w:t>
            </w:r>
          </w:p>
        </w:tc>
        <w:tc>
          <w:tcPr>
            <w:tcW w:w="425" w:type="dxa"/>
            <w:shd w:val="solid" w:color="FFFFFF" w:fill="auto"/>
          </w:tcPr>
          <w:p w14:paraId="3E6549C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CC34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09F114" w14:textId="77777777" w:rsidR="00D40151" w:rsidRPr="00873B6C" w:rsidRDefault="00D40151" w:rsidP="009D14FB">
            <w:pPr>
              <w:pStyle w:val="TAL"/>
              <w:rPr>
                <w:sz w:val="16"/>
                <w:szCs w:val="16"/>
              </w:rPr>
            </w:pPr>
            <w:r w:rsidRPr="00873B6C">
              <w:rPr>
                <w:sz w:val="16"/>
                <w:szCs w:val="16"/>
              </w:rPr>
              <w:t>Clarify Ethernet Frames handling for Ethernet PDU session</w:t>
            </w:r>
          </w:p>
        </w:tc>
        <w:tc>
          <w:tcPr>
            <w:tcW w:w="708" w:type="dxa"/>
            <w:shd w:val="solid" w:color="FFFFFF" w:fill="auto"/>
          </w:tcPr>
          <w:p w14:paraId="1772418B" w14:textId="77777777" w:rsidR="00D40151" w:rsidRPr="00873B6C" w:rsidRDefault="00D40151" w:rsidP="009D14FB">
            <w:pPr>
              <w:pStyle w:val="TAC"/>
              <w:rPr>
                <w:sz w:val="16"/>
                <w:szCs w:val="16"/>
              </w:rPr>
            </w:pPr>
            <w:r w:rsidRPr="00873B6C">
              <w:rPr>
                <w:sz w:val="16"/>
                <w:szCs w:val="16"/>
              </w:rPr>
              <w:t>16.6.0</w:t>
            </w:r>
          </w:p>
        </w:tc>
      </w:tr>
      <w:tr w:rsidR="00D40151" w:rsidRPr="00873B6C" w14:paraId="3925502A" w14:textId="77777777" w:rsidTr="009D14FB">
        <w:tc>
          <w:tcPr>
            <w:tcW w:w="800" w:type="dxa"/>
            <w:shd w:val="solid" w:color="FFFFFF" w:fill="auto"/>
          </w:tcPr>
          <w:p w14:paraId="32F3CC6E"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DF66F2D"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213FBAD"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53AAC5A8" w14:textId="77777777" w:rsidR="00D40151" w:rsidRPr="00873B6C" w:rsidRDefault="00D40151" w:rsidP="009D14FB">
            <w:pPr>
              <w:pStyle w:val="TAL"/>
              <w:rPr>
                <w:sz w:val="16"/>
                <w:szCs w:val="16"/>
              </w:rPr>
            </w:pPr>
            <w:r w:rsidRPr="00873B6C">
              <w:rPr>
                <w:sz w:val="16"/>
                <w:szCs w:val="16"/>
              </w:rPr>
              <w:t>2438</w:t>
            </w:r>
          </w:p>
        </w:tc>
        <w:tc>
          <w:tcPr>
            <w:tcW w:w="425" w:type="dxa"/>
            <w:shd w:val="solid" w:color="FFFFFF" w:fill="auto"/>
          </w:tcPr>
          <w:p w14:paraId="596DA582"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5E7357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E32E5D" w14:textId="77777777" w:rsidR="00D40151" w:rsidRPr="00873B6C" w:rsidRDefault="00D40151" w:rsidP="009D14FB">
            <w:pPr>
              <w:pStyle w:val="TAL"/>
              <w:rPr>
                <w:sz w:val="16"/>
                <w:szCs w:val="16"/>
              </w:rPr>
            </w:pPr>
            <w:r w:rsidRPr="00873B6C">
              <w:rPr>
                <w:sz w:val="16"/>
                <w:szCs w:val="16"/>
              </w:rPr>
              <w:t>dedicated SMF selection clarification</w:t>
            </w:r>
          </w:p>
        </w:tc>
        <w:tc>
          <w:tcPr>
            <w:tcW w:w="708" w:type="dxa"/>
            <w:shd w:val="solid" w:color="FFFFFF" w:fill="auto"/>
          </w:tcPr>
          <w:p w14:paraId="6B766C4A" w14:textId="77777777" w:rsidR="00D40151" w:rsidRPr="00873B6C" w:rsidRDefault="00D40151" w:rsidP="009D14FB">
            <w:pPr>
              <w:pStyle w:val="TAC"/>
              <w:rPr>
                <w:sz w:val="16"/>
                <w:szCs w:val="16"/>
              </w:rPr>
            </w:pPr>
            <w:r w:rsidRPr="00873B6C">
              <w:rPr>
                <w:sz w:val="16"/>
                <w:szCs w:val="16"/>
              </w:rPr>
              <w:t>16.6.0</w:t>
            </w:r>
          </w:p>
        </w:tc>
      </w:tr>
      <w:tr w:rsidR="00D40151" w:rsidRPr="00873B6C" w14:paraId="10A2CFE1" w14:textId="77777777" w:rsidTr="009D14FB">
        <w:tc>
          <w:tcPr>
            <w:tcW w:w="800" w:type="dxa"/>
            <w:shd w:val="solid" w:color="FFFFFF" w:fill="auto"/>
          </w:tcPr>
          <w:p w14:paraId="678129B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6129E569"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F52D320"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77A2E45" w14:textId="77777777" w:rsidR="00D40151" w:rsidRPr="00873B6C" w:rsidRDefault="00D40151" w:rsidP="009D14FB">
            <w:pPr>
              <w:pStyle w:val="TAL"/>
              <w:rPr>
                <w:sz w:val="16"/>
                <w:szCs w:val="16"/>
              </w:rPr>
            </w:pPr>
            <w:r w:rsidRPr="00873B6C">
              <w:rPr>
                <w:sz w:val="16"/>
                <w:szCs w:val="16"/>
              </w:rPr>
              <w:t>2439</w:t>
            </w:r>
          </w:p>
        </w:tc>
        <w:tc>
          <w:tcPr>
            <w:tcW w:w="425" w:type="dxa"/>
            <w:shd w:val="solid" w:color="FFFFFF" w:fill="auto"/>
          </w:tcPr>
          <w:p w14:paraId="354DD706"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063EBF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407036" w14:textId="4DF6636F" w:rsidR="00D40151" w:rsidRPr="00873B6C" w:rsidRDefault="00704A9E" w:rsidP="009D14FB">
            <w:pPr>
              <w:pStyle w:val="TAL"/>
              <w:rPr>
                <w:sz w:val="16"/>
                <w:szCs w:val="16"/>
              </w:rPr>
            </w:pPr>
            <w:r w:rsidRPr="00873B6C">
              <w:rPr>
                <w:sz w:val="16"/>
                <w:szCs w:val="16"/>
              </w:rPr>
              <w:t>5G-VN</w:t>
            </w:r>
            <w:r w:rsidR="00D40151" w:rsidRPr="00873B6C">
              <w:rPr>
                <w:sz w:val="16"/>
                <w:szCs w:val="16"/>
              </w:rPr>
              <w:t xml:space="preserve"> clarifications</w:t>
            </w:r>
          </w:p>
        </w:tc>
        <w:tc>
          <w:tcPr>
            <w:tcW w:w="708" w:type="dxa"/>
            <w:shd w:val="solid" w:color="FFFFFF" w:fill="auto"/>
          </w:tcPr>
          <w:p w14:paraId="331D9325" w14:textId="77777777" w:rsidR="00D40151" w:rsidRPr="00873B6C" w:rsidRDefault="00D40151" w:rsidP="009D14FB">
            <w:pPr>
              <w:pStyle w:val="TAC"/>
              <w:rPr>
                <w:sz w:val="16"/>
                <w:szCs w:val="16"/>
              </w:rPr>
            </w:pPr>
            <w:r w:rsidRPr="00873B6C">
              <w:rPr>
                <w:sz w:val="16"/>
                <w:szCs w:val="16"/>
              </w:rPr>
              <w:t>16.6.0</w:t>
            </w:r>
          </w:p>
        </w:tc>
      </w:tr>
      <w:tr w:rsidR="00D40151" w:rsidRPr="00873B6C" w14:paraId="35352AA7" w14:textId="77777777" w:rsidTr="009D14FB">
        <w:tc>
          <w:tcPr>
            <w:tcW w:w="800" w:type="dxa"/>
            <w:shd w:val="solid" w:color="FFFFFF" w:fill="auto"/>
          </w:tcPr>
          <w:p w14:paraId="510DB19F"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563F429"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69A82BD"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60966F30" w14:textId="77777777" w:rsidR="00D40151" w:rsidRPr="00873B6C" w:rsidRDefault="00D40151" w:rsidP="009D14FB">
            <w:pPr>
              <w:pStyle w:val="TAL"/>
              <w:rPr>
                <w:sz w:val="16"/>
                <w:szCs w:val="16"/>
              </w:rPr>
            </w:pPr>
            <w:r w:rsidRPr="00873B6C">
              <w:rPr>
                <w:sz w:val="16"/>
                <w:szCs w:val="16"/>
              </w:rPr>
              <w:t>2440</w:t>
            </w:r>
          </w:p>
        </w:tc>
        <w:tc>
          <w:tcPr>
            <w:tcW w:w="425" w:type="dxa"/>
            <w:shd w:val="solid" w:color="FFFFFF" w:fill="auto"/>
          </w:tcPr>
          <w:p w14:paraId="06347F2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6FF82B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45939F" w14:textId="77777777" w:rsidR="00D40151" w:rsidRPr="00873B6C" w:rsidRDefault="00D40151" w:rsidP="009D14FB">
            <w:pPr>
              <w:pStyle w:val="TAL"/>
              <w:rPr>
                <w:sz w:val="16"/>
                <w:szCs w:val="16"/>
              </w:rPr>
            </w:pPr>
            <w:r w:rsidRPr="00873B6C">
              <w:rPr>
                <w:sz w:val="16"/>
                <w:szCs w:val="16"/>
              </w:rPr>
              <w:t>Clarification on the 5G VN usage of IP Multicast mechanisms</w:t>
            </w:r>
          </w:p>
        </w:tc>
        <w:tc>
          <w:tcPr>
            <w:tcW w:w="708" w:type="dxa"/>
            <w:shd w:val="solid" w:color="FFFFFF" w:fill="auto"/>
          </w:tcPr>
          <w:p w14:paraId="0F3D1401" w14:textId="77777777" w:rsidR="00D40151" w:rsidRPr="00873B6C" w:rsidRDefault="00D40151" w:rsidP="009D14FB">
            <w:pPr>
              <w:pStyle w:val="TAC"/>
              <w:rPr>
                <w:sz w:val="16"/>
                <w:szCs w:val="16"/>
              </w:rPr>
            </w:pPr>
            <w:r w:rsidRPr="00873B6C">
              <w:rPr>
                <w:sz w:val="16"/>
                <w:szCs w:val="16"/>
              </w:rPr>
              <w:t>16.6.0</w:t>
            </w:r>
          </w:p>
        </w:tc>
      </w:tr>
      <w:tr w:rsidR="00D40151" w:rsidRPr="00873B6C" w14:paraId="777A747E" w14:textId="77777777" w:rsidTr="009D14FB">
        <w:tc>
          <w:tcPr>
            <w:tcW w:w="800" w:type="dxa"/>
            <w:shd w:val="solid" w:color="FFFFFF" w:fill="auto"/>
          </w:tcPr>
          <w:p w14:paraId="53B21CA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30270FC"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FB55B79" w14:textId="77777777" w:rsidR="00D40151" w:rsidRPr="00873B6C" w:rsidRDefault="00D40151" w:rsidP="009D14FB">
            <w:pPr>
              <w:pStyle w:val="TAC"/>
              <w:rPr>
                <w:sz w:val="16"/>
                <w:szCs w:val="16"/>
              </w:rPr>
            </w:pPr>
            <w:r w:rsidRPr="00873B6C">
              <w:rPr>
                <w:sz w:val="16"/>
                <w:szCs w:val="16"/>
              </w:rPr>
              <w:t>SP-200686</w:t>
            </w:r>
          </w:p>
        </w:tc>
        <w:tc>
          <w:tcPr>
            <w:tcW w:w="567" w:type="dxa"/>
            <w:shd w:val="solid" w:color="FFFFFF" w:fill="auto"/>
          </w:tcPr>
          <w:p w14:paraId="2B830866" w14:textId="77777777" w:rsidR="00D40151" w:rsidRPr="00873B6C" w:rsidRDefault="00D40151" w:rsidP="009D14FB">
            <w:pPr>
              <w:pStyle w:val="TAL"/>
              <w:rPr>
                <w:sz w:val="16"/>
                <w:szCs w:val="16"/>
              </w:rPr>
            </w:pPr>
            <w:r w:rsidRPr="00873B6C">
              <w:rPr>
                <w:sz w:val="16"/>
                <w:szCs w:val="16"/>
              </w:rPr>
              <w:t>2442</w:t>
            </w:r>
          </w:p>
        </w:tc>
        <w:tc>
          <w:tcPr>
            <w:tcW w:w="425" w:type="dxa"/>
            <w:shd w:val="solid" w:color="FFFFFF" w:fill="auto"/>
          </w:tcPr>
          <w:p w14:paraId="5CE609E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017668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C5CB19" w14:textId="77777777" w:rsidR="00D40151" w:rsidRPr="00873B6C" w:rsidRDefault="00D40151" w:rsidP="009D14FB">
            <w:pPr>
              <w:pStyle w:val="TAL"/>
              <w:rPr>
                <w:sz w:val="16"/>
                <w:szCs w:val="16"/>
              </w:rPr>
            </w:pPr>
            <w:r w:rsidRPr="00873B6C">
              <w:rPr>
                <w:sz w:val="16"/>
                <w:szCs w:val="16"/>
              </w:rPr>
              <w:t>Support for DTLS</w:t>
            </w:r>
          </w:p>
        </w:tc>
        <w:tc>
          <w:tcPr>
            <w:tcW w:w="708" w:type="dxa"/>
            <w:shd w:val="solid" w:color="FFFFFF" w:fill="auto"/>
          </w:tcPr>
          <w:p w14:paraId="6B0D4770" w14:textId="77777777" w:rsidR="00D40151" w:rsidRPr="00873B6C" w:rsidRDefault="00D40151" w:rsidP="009D14FB">
            <w:pPr>
              <w:pStyle w:val="TAC"/>
              <w:rPr>
                <w:sz w:val="16"/>
                <w:szCs w:val="16"/>
              </w:rPr>
            </w:pPr>
            <w:r w:rsidRPr="00873B6C">
              <w:rPr>
                <w:sz w:val="16"/>
                <w:szCs w:val="16"/>
              </w:rPr>
              <w:t>16.6.0</w:t>
            </w:r>
          </w:p>
        </w:tc>
      </w:tr>
      <w:tr w:rsidR="00D40151" w:rsidRPr="00873B6C" w14:paraId="6FF6DC6E" w14:textId="77777777" w:rsidTr="009D14FB">
        <w:tc>
          <w:tcPr>
            <w:tcW w:w="800" w:type="dxa"/>
            <w:shd w:val="solid" w:color="FFFFFF" w:fill="auto"/>
          </w:tcPr>
          <w:p w14:paraId="2FD3F9B0"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21EAEC6"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E23D9F8"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606DB245" w14:textId="77777777" w:rsidR="00D40151" w:rsidRPr="00873B6C" w:rsidRDefault="00D40151" w:rsidP="009D14FB">
            <w:pPr>
              <w:pStyle w:val="TAL"/>
              <w:rPr>
                <w:sz w:val="16"/>
                <w:szCs w:val="16"/>
              </w:rPr>
            </w:pPr>
            <w:r w:rsidRPr="00873B6C">
              <w:rPr>
                <w:sz w:val="16"/>
                <w:szCs w:val="16"/>
              </w:rPr>
              <w:t>2443</w:t>
            </w:r>
          </w:p>
        </w:tc>
        <w:tc>
          <w:tcPr>
            <w:tcW w:w="425" w:type="dxa"/>
            <w:shd w:val="solid" w:color="FFFFFF" w:fill="auto"/>
          </w:tcPr>
          <w:p w14:paraId="6B5CDD3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9FE3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F887B7" w14:textId="77777777" w:rsidR="00D40151" w:rsidRPr="00873B6C" w:rsidRDefault="00D40151" w:rsidP="009D14FB">
            <w:pPr>
              <w:pStyle w:val="TAL"/>
              <w:rPr>
                <w:sz w:val="16"/>
                <w:szCs w:val="16"/>
              </w:rPr>
            </w:pPr>
            <w:r w:rsidRPr="00873B6C">
              <w:rPr>
                <w:sz w:val="16"/>
                <w:szCs w:val="16"/>
              </w:rPr>
              <w:t>Extended Connected Timer in mobility messages</w:t>
            </w:r>
          </w:p>
        </w:tc>
        <w:tc>
          <w:tcPr>
            <w:tcW w:w="708" w:type="dxa"/>
            <w:shd w:val="solid" w:color="FFFFFF" w:fill="auto"/>
          </w:tcPr>
          <w:p w14:paraId="2D7B584A" w14:textId="77777777" w:rsidR="00D40151" w:rsidRPr="00873B6C" w:rsidRDefault="00D40151" w:rsidP="009D14FB">
            <w:pPr>
              <w:pStyle w:val="TAC"/>
              <w:rPr>
                <w:sz w:val="16"/>
                <w:szCs w:val="16"/>
              </w:rPr>
            </w:pPr>
            <w:r w:rsidRPr="00873B6C">
              <w:rPr>
                <w:sz w:val="16"/>
                <w:szCs w:val="16"/>
              </w:rPr>
              <w:t>16.6.0</w:t>
            </w:r>
          </w:p>
        </w:tc>
      </w:tr>
      <w:tr w:rsidR="00D40151" w:rsidRPr="00873B6C" w14:paraId="47F3EB0B" w14:textId="77777777" w:rsidTr="009D14FB">
        <w:tc>
          <w:tcPr>
            <w:tcW w:w="800" w:type="dxa"/>
            <w:shd w:val="solid" w:color="FFFFFF" w:fill="auto"/>
          </w:tcPr>
          <w:p w14:paraId="6C736816"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226D0536"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B6DADC7" w14:textId="77777777" w:rsidR="00D40151" w:rsidRPr="00873B6C" w:rsidRDefault="00D40151" w:rsidP="009D14FB">
            <w:pPr>
              <w:pStyle w:val="TAC"/>
              <w:rPr>
                <w:sz w:val="16"/>
                <w:szCs w:val="16"/>
              </w:rPr>
            </w:pPr>
            <w:r w:rsidRPr="00873B6C">
              <w:rPr>
                <w:sz w:val="16"/>
                <w:szCs w:val="16"/>
              </w:rPr>
              <w:t>SP-200674</w:t>
            </w:r>
          </w:p>
        </w:tc>
        <w:tc>
          <w:tcPr>
            <w:tcW w:w="567" w:type="dxa"/>
            <w:shd w:val="solid" w:color="FFFFFF" w:fill="auto"/>
          </w:tcPr>
          <w:p w14:paraId="49B077DF" w14:textId="77777777" w:rsidR="00D40151" w:rsidRPr="00873B6C" w:rsidRDefault="00D40151" w:rsidP="009D14FB">
            <w:pPr>
              <w:pStyle w:val="TAL"/>
              <w:rPr>
                <w:sz w:val="16"/>
                <w:szCs w:val="16"/>
              </w:rPr>
            </w:pPr>
            <w:r w:rsidRPr="00873B6C">
              <w:rPr>
                <w:sz w:val="16"/>
                <w:szCs w:val="16"/>
              </w:rPr>
              <w:t>2444</w:t>
            </w:r>
          </w:p>
        </w:tc>
        <w:tc>
          <w:tcPr>
            <w:tcW w:w="425" w:type="dxa"/>
            <w:shd w:val="solid" w:color="FFFFFF" w:fill="auto"/>
          </w:tcPr>
          <w:p w14:paraId="11F371E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365F7E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E4F160" w14:textId="77777777" w:rsidR="00D40151" w:rsidRPr="00873B6C" w:rsidRDefault="00D40151" w:rsidP="009D14FB">
            <w:pPr>
              <w:pStyle w:val="TAL"/>
              <w:rPr>
                <w:sz w:val="16"/>
                <w:szCs w:val="16"/>
              </w:rPr>
            </w:pPr>
            <w:r w:rsidRPr="00873B6C">
              <w:rPr>
                <w:sz w:val="16"/>
                <w:szCs w:val="16"/>
              </w:rPr>
              <w:t>Clarifications on SCP registration and discovery procedures</w:t>
            </w:r>
          </w:p>
        </w:tc>
        <w:tc>
          <w:tcPr>
            <w:tcW w:w="708" w:type="dxa"/>
            <w:shd w:val="solid" w:color="FFFFFF" w:fill="auto"/>
          </w:tcPr>
          <w:p w14:paraId="1F0CC525" w14:textId="77777777" w:rsidR="00D40151" w:rsidRPr="00873B6C" w:rsidRDefault="00D40151" w:rsidP="009D14FB">
            <w:pPr>
              <w:pStyle w:val="TAC"/>
              <w:rPr>
                <w:sz w:val="16"/>
                <w:szCs w:val="16"/>
              </w:rPr>
            </w:pPr>
            <w:r w:rsidRPr="00873B6C">
              <w:rPr>
                <w:sz w:val="16"/>
                <w:szCs w:val="16"/>
              </w:rPr>
              <w:t>16.6.0</w:t>
            </w:r>
          </w:p>
        </w:tc>
      </w:tr>
      <w:tr w:rsidR="00D40151" w:rsidRPr="00873B6C" w14:paraId="3E418995" w14:textId="77777777" w:rsidTr="009D14FB">
        <w:tc>
          <w:tcPr>
            <w:tcW w:w="800" w:type="dxa"/>
            <w:shd w:val="solid" w:color="FFFFFF" w:fill="auto"/>
          </w:tcPr>
          <w:p w14:paraId="738CCD3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BAA07CD"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4FA4CAB"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515C0613" w14:textId="77777777" w:rsidR="00D40151" w:rsidRPr="00873B6C" w:rsidRDefault="00D40151" w:rsidP="009D14FB">
            <w:pPr>
              <w:pStyle w:val="TAL"/>
              <w:rPr>
                <w:sz w:val="16"/>
                <w:szCs w:val="16"/>
              </w:rPr>
            </w:pPr>
            <w:r w:rsidRPr="00873B6C">
              <w:rPr>
                <w:sz w:val="16"/>
                <w:szCs w:val="16"/>
              </w:rPr>
              <w:t>2446</w:t>
            </w:r>
          </w:p>
        </w:tc>
        <w:tc>
          <w:tcPr>
            <w:tcW w:w="425" w:type="dxa"/>
            <w:shd w:val="solid" w:color="FFFFFF" w:fill="auto"/>
          </w:tcPr>
          <w:p w14:paraId="5261EB7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192B8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B16E6B" w14:textId="77777777" w:rsidR="00D40151" w:rsidRPr="00873B6C" w:rsidRDefault="00D40151" w:rsidP="009D14FB">
            <w:pPr>
              <w:pStyle w:val="TAL"/>
              <w:rPr>
                <w:sz w:val="16"/>
                <w:szCs w:val="16"/>
              </w:rPr>
            </w:pPr>
            <w:r w:rsidRPr="00873B6C">
              <w:rPr>
                <w:sz w:val="16"/>
                <w:szCs w:val="16"/>
              </w:rPr>
              <w:t>Resolution of open items related to IEEE LS</w:t>
            </w:r>
          </w:p>
        </w:tc>
        <w:tc>
          <w:tcPr>
            <w:tcW w:w="708" w:type="dxa"/>
            <w:shd w:val="solid" w:color="FFFFFF" w:fill="auto"/>
          </w:tcPr>
          <w:p w14:paraId="65E5DC4E" w14:textId="77777777" w:rsidR="00D40151" w:rsidRPr="00873B6C" w:rsidRDefault="00D40151" w:rsidP="009D14FB">
            <w:pPr>
              <w:pStyle w:val="TAC"/>
              <w:rPr>
                <w:sz w:val="16"/>
                <w:szCs w:val="16"/>
              </w:rPr>
            </w:pPr>
            <w:r w:rsidRPr="00873B6C">
              <w:rPr>
                <w:sz w:val="16"/>
                <w:szCs w:val="16"/>
              </w:rPr>
              <w:t>16.6.0</w:t>
            </w:r>
          </w:p>
        </w:tc>
      </w:tr>
      <w:tr w:rsidR="00D40151" w:rsidRPr="00873B6C" w14:paraId="744E9FC7" w14:textId="77777777" w:rsidTr="009D14FB">
        <w:tc>
          <w:tcPr>
            <w:tcW w:w="800" w:type="dxa"/>
            <w:shd w:val="solid" w:color="FFFFFF" w:fill="auto"/>
          </w:tcPr>
          <w:p w14:paraId="7347EC8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2949B0E4"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B13D700" w14:textId="77777777" w:rsidR="00D40151" w:rsidRPr="00873B6C" w:rsidRDefault="00D40151" w:rsidP="009D14FB">
            <w:pPr>
              <w:pStyle w:val="TAC"/>
              <w:rPr>
                <w:sz w:val="16"/>
                <w:szCs w:val="16"/>
              </w:rPr>
            </w:pPr>
            <w:r w:rsidRPr="00873B6C">
              <w:rPr>
                <w:sz w:val="16"/>
                <w:szCs w:val="16"/>
              </w:rPr>
              <w:t>SP-200674</w:t>
            </w:r>
          </w:p>
        </w:tc>
        <w:tc>
          <w:tcPr>
            <w:tcW w:w="567" w:type="dxa"/>
            <w:shd w:val="solid" w:color="FFFFFF" w:fill="auto"/>
          </w:tcPr>
          <w:p w14:paraId="132BC902" w14:textId="77777777" w:rsidR="00D40151" w:rsidRPr="00873B6C" w:rsidRDefault="00D40151" w:rsidP="009D14FB">
            <w:pPr>
              <w:pStyle w:val="TAL"/>
              <w:rPr>
                <w:sz w:val="16"/>
                <w:szCs w:val="16"/>
              </w:rPr>
            </w:pPr>
            <w:r w:rsidRPr="00873B6C">
              <w:rPr>
                <w:sz w:val="16"/>
                <w:szCs w:val="16"/>
              </w:rPr>
              <w:t>2447</w:t>
            </w:r>
          </w:p>
        </w:tc>
        <w:tc>
          <w:tcPr>
            <w:tcW w:w="425" w:type="dxa"/>
            <w:shd w:val="solid" w:color="FFFFFF" w:fill="auto"/>
          </w:tcPr>
          <w:p w14:paraId="11CB197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79B8AA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22B52E" w14:textId="77777777" w:rsidR="00D40151" w:rsidRPr="00873B6C" w:rsidRDefault="00D40151" w:rsidP="009D14FB">
            <w:pPr>
              <w:pStyle w:val="TAL"/>
              <w:rPr>
                <w:sz w:val="16"/>
                <w:szCs w:val="16"/>
              </w:rPr>
            </w:pPr>
            <w:r w:rsidRPr="00873B6C">
              <w:rPr>
                <w:sz w:val="16"/>
                <w:szCs w:val="16"/>
              </w:rPr>
              <w:t>Clarification on SCP selection to support multi-SCPs</w:t>
            </w:r>
          </w:p>
        </w:tc>
        <w:tc>
          <w:tcPr>
            <w:tcW w:w="708" w:type="dxa"/>
            <w:shd w:val="solid" w:color="FFFFFF" w:fill="auto"/>
          </w:tcPr>
          <w:p w14:paraId="7F8D8C5C" w14:textId="77777777" w:rsidR="00D40151" w:rsidRPr="00873B6C" w:rsidRDefault="00D40151" w:rsidP="009D14FB">
            <w:pPr>
              <w:pStyle w:val="TAC"/>
              <w:rPr>
                <w:sz w:val="16"/>
                <w:szCs w:val="16"/>
              </w:rPr>
            </w:pPr>
            <w:r w:rsidRPr="00873B6C">
              <w:rPr>
                <w:sz w:val="16"/>
                <w:szCs w:val="16"/>
              </w:rPr>
              <w:t>16.6.0</w:t>
            </w:r>
          </w:p>
        </w:tc>
      </w:tr>
      <w:tr w:rsidR="00D40151" w:rsidRPr="00873B6C" w14:paraId="7A5E24BD" w14:textId="77777777" w:rsidTr="009D14FB">
        <w:tc>
          <w:tcPr>
            <w:tcW w:w="800" w:type="dxa"/>
            <w:shd w:val="solid" w:color="FFFFFF" w:fill="auto"/>
          </w:tcPr>
          <w:p w14:paraId="075486F7"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0CA53F9"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7D0451AB"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29BE01A3" w14:textId="77777777" w:rsidR="00D40151" w:rsidRPr="00873B6C" w:rsidRDefault="00D40151" w:rsidP="009D14FB">
            <w:pPr>
              <w:pStyle w:val="TAL"/>
              <w:rPr>
                <w:sz w:val="16"/>
                <w:szCs w:val="16"/>
              </w:rPr>
            </w:pPr>
            <w:r w:rsidRPr="00873B6C">
              <w:rPr>
                <w:sz w:val="16"/>
                <w:szCs w:val="16"/>
              </w:rPr>
              <w:t>2449</w:t>
            </w:r>
          </w:p>
        </w:tc>
        <w:tc>
          <w:tcPr>
            <w:tcW w:w="425" w:type="dxa"/>
            <w:shd w:val="solid" w:color="FFFFFF" w:fill="auto"/>
          </w:tcPr>
          <w:p w14:paraId="79518F1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8EAA2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7AE0A1" w14:textId="77777777" w:rsidR="00D40151" w:rsidRPr="00873B6C" w:rsidRDefault="00D40151" w:rsidP="009D14FB">
            <w:pPr>
              <w:pStyle w:val="TAL"/>
              <w:rPr>
                <w:sz w:val="16"/>
                <w:szCs w:val="16"/>
              </w:rPr>
            </w:pPr>
            <w:r w:rsidRPr="00873B6C">
              <w:rPr>
                <w:sz w:val="16"/>
                <w:szCs w:val="16"/>
              </w:rPr>
              <w:t>Change the Default QoS Flow to the QoS Flow with the default QoS rule</w:t>
            </w:r>
          </w:p>
        </w:tc>
        <w:tc>
          <w:tcPr>
            <w:tcW w:w="708" w:type="dxa"/>
            <w:shd w:val="solid" w:color="FFFFFF" w:fill="auto"/>
          </w:tcPr>
          <w:p w14:paraId="410866D7" w14:textId="77777777" w:rsidR="00D40151" w:rsidRPr="00873B6C" w:rsidRDefault="00D40151" w:rsidP="009D14FB">
            <w:pPr>
              <w:pStyle w:val="TAC"/>
              <w:rPr>
                <w:sz w:val="16"/>
                <w:szCs w:val="16"/>
              </w:rPr>
            </w:pPr>
            <w:r w:rsidRPr="00873B6C">
              <w:rPr>
                <w:sz w:val="16"/>
                <w:szCs w:val="16"/>
              </w:rPr>
              <w:t>16.6.0</w:t>
            </w:r>
          </w:p>
        </w:tc>
      </w:tr>
      <w:tr w:rsidR="00D40151" w:rsidRPr="00873B6C" w14:paraId="15041631" w14:textId="77777777" w:rsidTr="009D14FB">
        <w:tc>
          <w:tcPr>
            <w:tcW w:w="800" w:type="dxa"/>
            <w:shd w:val="solid" w:color="FFFFFF" w:fill="auto"/>
          </w:tcPr>
          <w:p w14:paraId="08B45050"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0879C50A"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288B80C"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12096CAB" w14:textId="77777777" w:rsidR="00D40151" w:rsidRPr="00873B6C" w:rsidRDefault="00D40151" w:rsidP="009D14FB">
            <w:pPr>
              <w:pStyle w:val="TAL"/>
              <w:rPr>
                <w:sz w:val="16"/>
                <w:szCs w:val="16"/>
              </w:rPr>
            </w:pPr>
            <w:r w:rsidRPr="00873B6C">
              <w:rPr>
                <w:sz w:val="16"/>
                <w:szCs w:val="16"/>
              </w:rPr>
              <w:t>2451</w:t>
            </w:r>
          </w:p>
        </w:tc>
        <w:tc>
          <w:tcPr>
            <w:tcW w:w="425" w:type="dxa"/>
            <w:shd w:val="solid" w:color="FFFFFF" w:fill="auto"/>
          </w:tcPr>
          <w:p w14:paraId="0E9A9A7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247F8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3C3B25" w14:textId="77777777" w:rsidR="00D40151" w:rsidRPr="00873B6C" w:rsidRDefault="00D40151" w:rsidP="009D14FB">
            <w:pPr>
              <w:pStyle w:val="TAL"/>
              <w:rPr>
                <w:sz w:val="16"/>
                <w:szCs w:val="16"/>
              </w:rPr>
            </w:pPr>
            <w:r w:rsidRPr="00873B6C">
              <w:rPr>
                <w:sz w:val="16"/>
                <w:szCs w:val="16"/>
              </w:rPr>
              <w:t>Moving NW-TT ports from BMI into BMIC</w:t>
            </w:r>
          </w:p>
        </w:tc>
        <w:tc>
          <w:tcPr>
            <w:tcW w:w="708" w:type="dxa"/>
            <w:shd w:val="solid" w:color="FFFFFF" w:fill="auto"/>
          </w:tcPr>
          <w:p w14:paraId="44B5FEFD" w14:textId="77777777" w:rsidR="00D40151" w:rsidRPr="00873B6C" w:rsidRDefault="00D40151" w:rsidP="009D14FB">
            <w:pPr>
              <w:pStyle w:val="TAC"/>
              <w:rPr>
                <w:sz w:val="16"/>
                <w:szCs w:val="16"/>
              </w:rPr>
            </w:pPr>
            <w:r w:rsidRPr="00873B6C">
              <w:rPr>
                <w:sz w:val="16"/>
                <w:szCs w:val="16"/>
              </w:rPr>
              <w:t>16.6.0</w:t>
            </w:r>
          </w:p>
        </w:tc>
      </w:tr>
      <w:tr w:rsidR="00D40151" w:rsidRPr="00873B6C" w14:paraId="12A7AE59" w14:textId="77777777" w:rsidTr="009D14FB">
        <w:tc>
          <w:tcPr>
            <w:tcW w:w="800" w:type="dxa"/>
            <w:shd w:val="solid" w:color="FFFFFF" w:fill="auto"/>
          </w:tcPr>
          <w:p w14:paraId="58D406F4"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91B9E79"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39B6E03" w14:textId="77777777" w:rsidR="00D40151" w:rsidRPr="00873B6C" w:rsidRDefault="00D40151" w:rsidP="009D14FB">
            <w:pPr>
              <w:pStyle w:val="TAC"/>
              <w:rPr>
                <w:sz w:val="16"/>
                <w:szCs w:val="16"/>
              </w:rPr>
            </w:pPr>
            <w:r w:rsidRPr="00873B6C">
              <w:rPr>
                <w:sz w:val="16"/>
                <w:szCs w:val="16"/>
              </w:rPr>
              <w:t>SP-200683</w:t>
            </w:r>
          </w:p>
        </w:tc>
        <w:tc>
          <w:tcPr>
            <w:tcW w:w="567" w:type="dxa"/>
            <w:shd w:val="solid" w:color="FFFFFF" w:fill="auto"/>
          </w:tcPr>
          <w:p w14:paraId="4CD82BB3" w14:textId="77777777" w:rsidR="00D40151" w:rsidRPr="00873B6C" w:rsidRDefault="00D40151" w:rsidP="009D14FB">
            <w:pPr>
              <w:pStyle w:val="TAL"/>
              <w:rPr>
                <w:sz w:val="16"/>
                <w:szCs w:val="16"/>
              </w:rPr>
            </w:pPr>
            <w:r w:rsidRPr="00873B6C">
              <w:rPr>
                <w:sz w:val="16"/>
                <w:szCs w:val="16"/>
              </w:rPr>
              <w:t>2452</w:t>
            </w:r>
          </w:p>
        </w:tc>
        <w:tc>
          <w:tcPr>
            <w:tcW w:w="425" w:type="dxa"/>
            <w:shd w:val="solid" w:color="FFFFFF" w:fill="auto"/>
          </w:tcPr>
          <w:p w14:paraId="1C115E3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5895A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E715B65" w14:textId="52B18EC7" w:rsidR="00D40151" w:rsidRPr="00873B6C" w:rsidRDefault="00D40151" w:rsidP="009D14FB">
            <w:pPr>
              <w:pStyle w:val="TAL"/>
              <w:rPr>
                <w:sz w:val="16"/>
                <w:szCs w:val="16"/>
              </w:rPr>
            </w:pPr>
            <w:r w:rsidRPr="00873B6C">
              <w:rPr>
                <w:sz w:val="16"/>
                <w:szCs w:val="16"/>
              </w:rPr>
              <w:t>New 5QIs for OAM traffic over IAB</w:t>
            </w:r>
            <w:r w:rsidR="00704A9E" w:rsidRPr="00873B6C">
              <w:rPr>
                <w:sz w:val="16"/>
                <w:szCs w:val="16"/>
              </w:rPr>
              <w:t xml:space="preserve"> </w:t>
            </w:r>
          </w:p>
        </w:tc>
        <w:tc>
          <w:tcPr>
            <w:tcW w:w="708" w:type="dxa"/>
            <w:shd w:val="solid" w:color="FFFFFF" w:fill="auto"/>
          </w:tcPr>
          <w:p w14:paraId="7DCBE89C" w14:textId="77777777" w:rsidR="00D40151" w:rsidRPr="00873B6C" w:rsidRDefault="00D40151" w:rsidP="009D14FB">
            <w:pPr>
              <w:pStyle w:val="TAC"/>
              <w:rPr>
                <w:sz w:val="16"/>
                <w:szCs w:val="16"/>
              </w:rPr>
            </w:pPr>
            <w:r w:rsidRPr="00873B6C">
              <w:rPr>
                <w:sz w:val="16"/>
                <w:szCs w:val="16"/>
              </w:rPr>
              <w:t>16.6.0</w:t>
            </w:r>
          </w:p>
        </w:tc>
      </w:tr>
      <w:tr w:rsidR="00D40151" w:rsidRPr="00873B6C" w14:paraId="598E18C1" w14:textId="77777777" w:rsidTr="009D14FB">
        <w:tc>
          <w:tcPr>
            <w:tcW w:w="800" w:type="dxa"/>
            <w:shd w:val="solid" w:color="FFFFFF" w:fill="auto"/>
          </w:tcPr>
          <w:p w14:paraId="45D8419B"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459B6C5"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50C566C7" w14:textId="77777777" w:rsidR="00D40151" w:rsidRPr="00873B6C" w:rsidRDefault="00D40151" w:rsidP="009D14FB">
            <w:pPr>
              <w:pStyle w:val="TAC"/>
              <w:rPr>
                <w:sz w:val="16"/>
                <w:szCs w:val="16"/>
              </w:rPr>
            </w:pPr>
            <w:r w:rsidRPr="00873B6C">
              <w:rPr>
                <w:sz w:val="16"/>
                <w:szCs w:val="16"/>
              </w:rPr>
              <w:t>SP-200677</w:t>
            </w:r>
          </w:p>
        </w:tc>
        <w:tc>
          <w:tcPr>
            <w:tcW w:w="567" w:type="dxa"/>
            <w:shd w:val="solid" w:color="FFFFFF" w:fill="auto"/>
          </w:tcPr>
          <w:p w14:paraId="4004B783" w14:textId="77777777" w:rsidR="00D40151" w:rsidRPr="00873B6C" w:rsidRDefault="00D40151" w:rsidP="009D14FB">
            <w:pPr>
              <w:pStyle w:val="TAL"/>
              <w:rPr>
                <w:sz w:val="16"/>
                <w:szCs w:val="16"/>
              </w:rPr>
            </w:pPr>
            <w:r w:rsidRPr="00873B6C">
              <w:rPr>
                <w:sz w:val="16"/>
                <w:szCs w:val="16"/>
              </w:rPr>
              <w:t>2453</w:t>
            </w:r>
          </w:p>
        </w:tc>
        <w:tc>
          <w:tcPr>
            <w:tcW w:w="425" w:type="dxa"/>
            <w:shd w:val="solid" w:color="FFFFFF" w:fill="auto"/>
          </w:tcPr>
          <w:p w14:paraId="1000E08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CB3516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46772B" w14:textId="77777777" w:rsidR="00D40151" w:rsidRPr="00873B6C" w:rsidRDefault="00D40151" w:rsidP="009D14FB">
            <w:pPr>
              <w:pStyle w:val="TAL"/>
              <w:rPr>
                <w:sz w:val="16"/>
                <w:szCs w:val="16"/>
              </w:rPr>
            </w:pPr>
            <w:r w:rsidRPr="00873B6C">
              <w:rPr>
                <w:sz w:val="16"/>
                <w:szCs w:val="16"/>
              </w:rPr>
              <w:t>RFC for draft-ietf-tcpm-converters</w:t>
            </w:r>
          </w:p>
        </w:tc>
        <w:tc>
          <w:tcPr>
            <w:tcW w:w="708" w:type="dxa"/>
            <w:shd w:val="solid" w:color="FFFFFF" w:fill="auto"/>
          </w:tcPr>
          <w:p w14:paraId="6856808A" w14:textId="77777777" w:rsidR="00D40151" w:rsidRPr="00873B6C" w:rsidRDefault="00D40151" w:rsidP="009D14FB">
            <w:pPr>
              <w:pStyle w:val="TAC"/>
              <w:rPr>
                <w:sz w:val="16"/>
                <w:szCs w:val="16"/>
              </w:rPr>
            </w:pPr>
            <w:r w:rsidRPr="00873B6C">
              <w:rPr>
                <w:sz w:val="16"/>
                <w:szCs w:val="16"/>
              </w:rPr>
              <w:t>16.6.0</w:t>
            </w:r>
          </w:p>
        </w:tc>
      </w:tr>
      <w:tr w:rsidR="00D40151" w:rsidRPr="00873B6C" w14:paraId="1F6AF830" w14:textId="77777777" w:rsidTr="009D14FB">
        <w:tc>
          <w:tcPr>
            <w:tcW w:w="800" w:type="dxa"/>
            <w:shd w:val="solid" w:color="FFFFFF" w:fill="auto"/>
          </w:tcPr>
          <w:p w14:paraId="3B58902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F9F4BE3"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2D2F18E2"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02DA72A4" w14:textId="77777777" w:rsidR="00D40151" w:rsidRPr="00873B6C" w:rsidRDefault="00D40151" w:rsidP="009D14FB">
            <w:pPr>
              <w:pStyle w:val="TAL"/>
              <w:rPr>
                <w:sz w:val="16"/>
                <w:szCs w:val="16"/>
              </w:rPr>
            </w:pPr>
            <w:r w:rsidRPr="00873B6C">
              <w:rPr>
                <w:sz w:val="16"/>
                <w:szCs w:val="16"/>
              </w:rPr>
              <w:t>2455</w:t>
            </w:r>
          </w:p>
        </w:tc>
        <w:tc>
          <w:tcPr>
            <w:tcW w:w="425" w:type="dxa"/>
            <w:shd w:val="solid" w:color="FFFFFF" w:fill="auto"/>
          </w:tcPr>
          <w:p w14:paraId="116CBD9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3B142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44119D" w14:textId="77777777" w:rsidR="00D40151" w:rsidRPr="00873B6C" w:rsidRDefault="00D40151" w:rsidP="009D14FB">
            <w:pPr>
              <w:pStyle w:val="TAL"/>
              <w:rPr>
                <w:sz w:val="16"/>
                <w:szCs w:val="16"/>
              </w:rPr>
            </w:pPr>
            <w:r w:rsidRPr="00873B6C">
              <w:rPr>
                <w:sz w:val="16"/>
                <w:szCs w:val="16"/>
              </w:rPr>
              <w:t xml:space="preserve">Clarification of network sharing for NPN </w:t>
            </w:r>
          </w:p>
        </w:tc>
        <w:tc>
          <w:tcPr>
            <w:tcW w:w="708" w:type="dxa"/>
            <w:shd w:val="solid" w:color="FFFFFF" w:fill="auto"/>
          </w:tcPr>
          <w:p w14:paraId="58646B08" w14:textId="77777777" w:rsidR="00D40151" w:rsidRPr="00873B6C" w:rsidRDefault="00D40151" w:rsidP="009D14FB">
            <w:pPr>
              <w:pStyle w:val="TAC"/>
              <w:rPr>
                <w:sz w:val="16"/>
                <w:szCs w:val="16"/>
              </w:rPr>
            </w:pPr>
            <w:r w:rsidRPr="00873B6C">
              <w:rPr>
                <w:sz w:val="16"/>
                <w:szCs w:val="16"/>
              </w:rPr>
              <w:t>16.6.0</w:t>
            </w:r>
          </w:p>
        </w:tc>
      </w:tr>
      <w:tr w:rsidR="00D40151" w:rsidRPr="00873B6C" w14:paraId="39486FDB" w14:textId="77777777" w:rsidTr="009D14FB">
        <w:tc>
          <w:tcPr>
            <w:tcW w:w="800" w:type="dxa"/>
            <w:shd w:val="solid" w:color="FFFFFF" w:fill="auto"/>
          </w:tcPr>
          <w:p w14:paraId="65BFFA97"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0FD52B1"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615A0FFD" w14:textId="77777777" w:rsidR="00D40151" w:rsidRPr="00873B6C" w:rsidRDefault="00D40151" w:rsidP="009D14FB">
            <w:pPr>
              <w:pStyle w:val="TAC"/>
              <w:rPr>
                <w:sz w:val="16"/>
                <w:szCs w:val="16"/>
              </w:rPr>
            </w:pPr>
            <w:r w:rsidRPr="00873B6C">
              <w:rPr>
                <w:sz w:val="16"/>
                <w:szCs w:val="16"/>
              </w:rPr>
              <w:t>SP-200802</w:t>
            </w:r>
          </w:p>
        </w:tc>
        <w:tc>
          <w:tcPr>
            <w:tcW w:w="567" w:type="dxa"/>
            <w:shd w:val="solid" w:color="FFFFFF" w:fill="auto"/>
          </w:tcPr>
          <w:p w14:paraId="572445E2" w14:textId="77777777" w:rsidR="00D40151" w:rsidRPr="00873B6C" w:rsidRDefault="00D40151" w:rsidP="009D14FB">
            <w:pPr>
              <w:pStyle w:val="TAL"/>
              <w:rPr>
                <w:sz w:val="16"/>
                <w:szCs w:val="16"/>
              </w:rPr>
            </w:pPr>
            <w:r w:rsidRPr="00873B6C">
              <w:rPr>
                <w:sz w:val="16"/>
                <w:szCs w:val="16"/>
              </w:rPr>
              <w:t>2383</w:t>
            </w:r>
          </w:p>
        </w:tc>
        <w:tc>
          <w:tcPr>
            <w:tcW w:w="425" w:type="dxa"/>
            <w:shd w:val="solid" w:color="FFFFFF" w:fill="auto"/>
          </w:tcPr>
          <w:p w14:paraId="2599DB4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A7ED7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1F9650" w14:textId="77777777" w:rsidR="00D40151" w:rsidRPr="00873B6C" w:rsidRDefault="00D40151" w:rsidP="009D14FB">
            <w:pPr>
              <w:pStyle w:val="TAL"/>
              <w:rPr>
                <w:sz w:val="16"/>
                <w:szCs w:val="16"/>
              </w:rPr>
            </w:pPr>
            <w:r w:rsidRPr="00873B6C">
              <w:rPr>
                <w:sz w:val="16"/>
                <w:szCs w:val="16"/>
              </w:rPr>
              <w:t>Signalling of UE Radio Capability ID in Registration procedure</w:t>
            </w:r>
          </w:p>
        </w:tc>
        <w:tc>
          <w:tcPr>
            <w:tcW w:w="708" w:type="dxa"/>
            <w:shd w:val="solid" w:color="FFFFFF" w:fill="auto"/>
          </w:tcPr>
          <w:p w14:paraId="49D631FC" w14:textId="77777777" w:rsidR="00D40151" w:rsidRPr="00873B6C" w:rsidRDefault="00D40151" w:rsidP="009D14FB">
            <w:pPr>
              <w:pStyle w:val="TAC"/>
              <w:rPr>
                <w:sz w:val="16"/>
                <w:szCs w:val="16"/>
              </w:rPr>
            </w:pPr>
            <w:r w:rsidRPr="00873B6C">
              <w:rPr>
                <w:sz w:val="16"/>
                <w:szCs w:val="16"/>
              </w:rPr>
              <w:t>16.6.0</w:t>
            </w:r>
          </w:p>
        </w:tc>
      </w:tr>
      <w:tr w:rsidR="009D14FB" w:rsidRPr="00873B6C" w14:paraId="7B92A1D7" w14:textId="77777777" w:rsidTr="009D14FB">
        <w:tc>
          <w:tcPr>
            <w:tcW w:w="800" w:type="dxa"/>
            <w:shd w:val="solid" w:color="FFFFFF" w:fill="auto"/>
          </w:tcPr>
          <w:p w14:paraId="59C9B9D7" w14:textId="0D9B9D12" w:rsidR="009D14FB" w:rsidRPr="00873B6C" w:rsidRDefault="009D14FB" w:rsidP="009D14FB">
            <w:pPr>
              <w:pStyle w:val="TAC"/>
              <w:rPr>
                <w:sz w:val="16"/>
                <w:szCs w:val="16"/>
              </w:rPr>
            </w:pPr>
            <w:r w:rsidRPr="00873B6C">
              <w:rPr>
                <w:sz w:val="16"/>
                <w:szCs w:val="16"/>
              </w:rPr>
              <w:t>2020-12</w:t>
            </w:r>
          </w:p>
        </w:tc>
        <w:tc>
          <w:tcPr>
            <w:tcW w:w="800" w:type="dxa"/>
            <w:shd w:val="solid" w:color="FFFFFF" w:fill="auto"/>
          </w:tcPr>
          <w:p w14:paraId="2AEB4992" w14:textId="4489824F" w:rsidR="009D14FB" w:rsidRPr="00873B6C" w:rsidRDefault="009D14FB" w:rsidP="009D14FB">
            <w:pPr>
              <w:pStyle w:val="TAL"/>
              <w:rPr>
                <w:sz w:val="16"/>
                <w:szCs w:val="16"/>
              </w:rPr>
            </w:pPr>
            <w:r w:rsidRPr="00873B6C">
              <w:rPr>
                <w:sz w:val="16"/>
                <w:szCs w:val="16"/>
              </w:rPr>
              <w:t>SP#90E</w:t>
            </w:r>
          </w:p>
        </w:tc>
        <w:tc>
          <w:tcPr>
            <w:tcW w:w="1094" w:type="dxa"/>
            <w:shd w:val="solid" w:color="FFFFFF" w:fill="auto"/>
          </w:tcPr>
          <w:p w14:paraId="1F721F10" w14:textId="0089D7B9" w:rsidR="009D14FB" w:rsidRPr="00873B6C" w:rsidRDefault="009D14FB" w:rsidP="009D14FB">
            <w:pPr>
              <w:pStyle w:val="TAC"/>
              <w:rPr>
                <w:sz w:val="16"/>
                <w:szCs w:val="16"/>
              </w:rPr>
            </w:pPr>
            <w:r w:rsidRPr="00873B6C">
              <w:rPr>
                <w:sz w:val="16"/>
                <w:szCs w:val="16"/>
              </w:rPr>
              <w:t>SP-200950</w:t>
            </w:r>
          </w:p>
        </w:tc>
        <w:tc>
          <w:tcPr>
            <w:tcW w:w="567" w:type="dxa"/>
            <w:shd w:val="solid" w:color="FFFFFF" w:fill="auto"/>
          </w:tcPr>
          <w:p w14:paraId="781E650D" w14:textId="09CE2723" w:rsidR="009D14FB" w:rsidRPr="00873B6C" w:rsidRDefault="009D14FB" w:rsidP="009D14FB">
            <w:pPr>
              <w:pStyle w:val="TAL"/>
              <w:rPr>
                <w:sz w:val="16"/>
                <w:szCs w:val="16"/>
              </w:rPr>
            </w:pPr>
            <w:r w:rsidRPr="00873B6C">
              <w:rPr>
                <w:sz w:val="16"/>
                <w:szCs w:val="16"/>
              </w:rPr>
              <w:t>2228</w:t>
            </w:r>
          </w:p>
        </w:tc>
        <w:tc>
          <w:tcPr>
            <w:tcW w:w="425" w:type="dxa"/>
            <w:shd w:val="solid" w:color="FFFFFF" w:fill="auto"/>
          </w:tcPr>
          <w:p w14:paraId="4117A56C" w14:textId="1BEA12EB" w:rsidR="009D14FB" w:rsidRPr="00873B6C" w:rsidRDefault="009D14FB" w:rsidP="009D14FB">
            <w:pPr>
              <w:pStyle w:val="TAL"/>
              <w:rPr>
                <w:sz w:val="16"/>
                <w:szCs w:val="16"/>
              </w:rPr>
            </w:pPr>
            <w:r w:rsidRPr="00873B6C">
              <w:rPr>
                <w:sz w:val="16"/>
                <w:szCs w:val="16"/>
              </w:rPr>
              <w:t>4</w:t>
            </w:r>
          </w:p>
        </w:tc>
        <w:tc>
          <w:tcPr>
            <w:tcW w:w="425" w:type="dxa"/>
            <w:shd w:val="solid" w:color="FFFFFF" w:fill="auto"/>
          </w:tcPr>
          <w:p w14:paraId="43320A42" w14:textId="44DB8708" w:rsidR="009D14FB" w:rsidRPr="00873B6C" w:rsidRDefault="009D14FB" w:rsidP="009D14FB">
            <w:pPr>
              <w:pStyle w:val="TAL"/>
              <w:rPr>
                <w:sz w:val="16"/>
                <w:szCs w:val="16"/>
              </w:rPr>
            </w:pPr>
            <w:r w:rsidRPr="00873B6C">
              <w:rPr>
                <w:sz w:val="16"/>
                <w:szCs w:val="16"/>
              </w:rPr>
              <w:t>F</w:t>
            </w:r>
          </w:p>
        </w:tc>
        <w:tc>
          <w:tcPr>
            <w:tcW w:w="4820" w:type="dxa"/>
            <w:shd w:val="solid" w:color="FFFFFF" w:fill="auto"/>
          </w:tcPr>
          <w:p w14:paraId="71C060A3" w14:textId="626CBC8A" w:rsidR="009D14FB" w:rsidRPr="00873B6C" w:rsidRDefault="009D14FB" w:rsidP="009D14FB">
            <w:pPr>
              <w:pStyle w:val="TAL"/>
              <w:rPr>
                <w:sz w:val="16"/>
                <w:szCs w:val="16"/>
              </w:rPr>
            </w:pPr>
            <w:r w:rsidRPr="00873B6C">
              <w:rPr>
                <w:sz w:val="16"/>
                <w:szCs w:val="16"/>
              </w:rPr>
              <w:t>Correction of Alternative QoS Profile handling</w:t>
            </w:r>
          </w:p>
        </w:tc>
        <w:tc>
          <w:tcPr>
            <w:tcW w:w="708" w:type="dxa"/>
            <w:shd w:val="solid" w:color="FFFFFF" w:fill="auto"/>
          </w:tcPr>
          <w:p w14:paraId="7C48452C" w14:textId="6F670A99" w:rsidR="009D14FB" w:rsidRPr="00873B6C" w:rsidRDefault="009D14FB" w:rsidP="009D14FB">
            <w:pPr>
              <w:pStyle w:val="TAC"/>
              <w:rPr>
                <w:sz w:val="16"/>
                <w:szCs w:val="16"/>
              </w:rPr>
            </w:pPr>
            <w:r w:rsidRPr="00873B6C">
              <w:rPr>
                <w:sz w:val="16"/>
                <w:szCs w:val="16"/>
              </w:rPr>
              <w:t>16.7.0</w:t>
            </w:r>
          </w:p>
        </w:tc>
      </w:tr>
      <w:tr w:rsidR="009D14FB" w:rsidRPr="00873B6C" w14:paraId="117C28E8" w14:textId="77777777" w:rsidTr="009D14FB">
        <w:tc>
          <w:tcPr>
            <w:tcW w:w="800" w:type="dxa"/>
            <w:shd w:val="solid" w:color="FFFFFF" w:fill="auto"/>
          </w:tcPr>
          <w:p w14:paraId="087562BF" w14:textId="633A09F2" w:rsidR="009D14FB" w:rsidRPr="00873B6C" w:rsidRDefault="009D14FB" w:rsidP="009D14FB">
            <w:pPr>
              <w:pStyle w:val="TAC"/>
              <w:rPr>
                <w:sz w:val="16"/>
                <w:szCs w:val="16"/>
              </w:rPr>
            </w:pPr>
            <w:r w:rsidRPr="00873B6C">
              <w:rPr>
                <w:sz w:val="16"/>
                <w:szCs w:val="16"/>
              </w:rPr>
              <w:t>2020-12</w:t>
            </w:r>
          </w:p>
        </w:tc>
        <w:tc>
          <w:tcPr>
            <w:tcW w:w="800" w:type="dxa"/>
            <w:shd w:val="solid" w:color="FFFFFF" w:fill="auto"/>
          </w:tcPr>
          <w:p w14:paraId="1A59F196" w14:textId="449C758F" w:rsidR="009D14FB" w:rsidRPr="00873B6C" w:rsidRDefault="009D14FB" w:rsidP="009D14FB">
            <w:pPr>
              <w:pStyle w:val="TAL"/>
              <w:rPr>
                <w:sz w:val="16"/>
                <w:szCs w:val="16"/>
              </w:rPr>
            </w:pPr>
            <w:r w:rsidRPr="00873B6C">
              <w:rPr>
                <w:sz w:val="16"/>
                <w:szCs w:val="16"/>
              </w:rPr>
              <w:t>SP#90E</w:t>
            </w:r>
          </w:p>
        </w:tc>
        <w:tc>
          <w:tcPr>
            <w:tcW w:w="1094" w:type="dxa"/>
            <w:shd w:val="solid" w:color="FFFFFF" w:fill="auto"/>
          </w:tcPr>
          <w:p w14:paraId="0795C3D0" w14:textId="4243BB27" w:rsidR="009D14FB" w:rsidRPr="00873B6C" w:rsidRDefault="009D14FB" w:rsidP="009D14FB">
            <w:pPr>
              <w:pStyle w:val="TAC"/>
              <w:rPr>
                <w:sz w:val="16"/>
                <w:szCs w:val="16"/>
              </w:rPr>
            </w:pPr>
            <w:r w:rsidRPr="00873B6C">
              <w:rPr>
                <w:sz w:val="16"/>
                <w:szCs w:val="16"/>
              </w:rPr>
              <w:t>SP-200946</w:t>
            </w:r>
          </w:p>
        </w:tc>
        <w:tc>
          <w:tcPr>
            <w:tcW w:w="567" w:type="dxa"/>
            <w:shd w:val="solid" w:color="FFFFFF" w:fill="auto"/>
          </w:tcPr>
          <w:p w14:paraId="1785BE82" w14:textId="1F1C61F0" w:rsidR="009D14FB" w:rsidRPr="00873B6C" w:rsidRDefault="009D14FB" w:rsidP="009D14FB">
            <w:pPr>
              <w:pStyle w:val="TAL"/>
              <w:rPr>
                <w:sz w:val="16"/>
                <w:szCs w:val="16"/>
              </w:rPr>
            </w:pPr>
            <w:r w:rsidRPr="00873B6C">
              <w:rPr>
                <w:sz w:val="16"/>
                <w:szCs w:val="16"/>
              </w:rPr>
              <w:t>2389</w:t>
            </w:r>
          </w:p>
        </w:tc>
        <w:tc>
          <w:tcPr>
            <w:tcW w:w="425" w:type="dxa"/>
            <w:shd w:val="solid" w:color="FFFFFF" w:fill="auto"/>
          </w:tcPr>
          <w:p w14:paraId="00EA40B2" w14:textId="79A9A03D" w:rsidR="009D14FB" w:rsidRPr="00873B6C" w:rsidRDefault="009D14FB" w:rsidP="009D14FB">
            <w:pPr>
              <w:pStyle w:val="TAL"/>
              <w:rPr>
                <w:sz w:val="16"/>
                <w:szCs w:val="16"/>
              </w:rPr>
            </w:pPr>
            <w:r w:rsidRPr="00873B6C">
              <w:rPr>
                <w:sz w:val="16"/>
                <w:szCs w:val="16"/>
              </w:rPr>
              <w:t>1</w:t>
            </w:r>
          </w:p>
        </w:tc>
        <w:tc>
          <w:tcPr>
            <w:tcW w:w="425" w:type="dxa"/>
            <w:shd w:val="solid" w:color="FFFFFF" w:fill="auto"/>
          </w:tcPr>
          <w:p w14:paraId="35C09A5F" w14:textId="5CACD6E1" w:rsidR="009D14FB" w:rsidRPr="00873B6C" w:rsidRDefault="009D14FB" w:rsidP="009D14FB">
            <w:pPr>
              <w:pStyle w:val="TAL"/>
              <w:rPr>
                <w:sz w:val="16"/>
                <w:szCs w:val="16"/>
              </w:rPr>
            </w:pPr>
            <w:r w:rsidRPr="00873B6C">
              <w:rPr>
                <w:sz w:val="16"/>
                <w:szCs w:val="16"/>
              </w:rPr>
              <w:t>F</w:t>
            </w:r>
          </w:p>
        </w:tc>
        <w:tc>
          <w:tcPr>
            <w:tcW w:w="4820" w:type="dxa"/>
            <w:shd w:val="solid" w:color="FFFFFF" w:fill="auto"/>
          </w:tcPr>
          <w:p w14:paraId="38EF00B6" w14:textId="6D42A70E" w:rsidR="009D14FB" w:rsidRPr="00873B6C" w:rsidRDefault="009D14FB" w:rsidP="009D14FB">
            <w:pPr>
              <w:pStyle w:val="TAL"/>
              <w:rPr>
                <w:sz w:val="16"/>
                <w:szCs w:val="16"/>
              </w:rPr>
            </w:pPr>
            <w:r w:rsidRPr="00873B6C">
              <w:rPr>
                <w:sz w:val="16"/>
                <w:szCs w:val="16"/>
              </w:rPr>
              <w:t>Handling of AAA-S address in NSSAA</w:t>
            </w:r>
          </w:p>
        </w:tc>
        <w:tc>
          <w:tcPr>
            <w:tcW w:w="708" w:type="dxa"/>
            <w:shd w:val="solid" w:color="FFFFFF" w:fill="auto"/>
          </w:tcPr>
          <w:p w14:paraId="43FB0F06" w14:textId="571AB732" w:rsidR="009D14FB" w:rsidRPr="00873B6C" w:rsidRDefault="009D14FB" w:rsidP="009D14FB">
            <w:pPr>
              <w:pStyle w:val="TAC"/>
              <w:rPr>
                <w:sz w:val="16"/>
                <w:szCs w:val="16"/>
              </w:rPr>
            </w:pPr>
            <w:r w:rsidRPr="00873B6C">
              <w:rPr>
                <w:sz w:val="16"/>
                <w:szCs w:val="16"/>
              </w:rPr>
              <w:t>16.7.0</w:t>
            </w:r>
          </w:p>
        </w:tc>
      </w:tr>
      <w:tr w:rsidR="009D14FB" w:rsidRPr="00873B6C" w14:paraId="69C9B0BF" w14:textId="77777777" w:rsidTr="009D14FB">
        <w:tc>
          <w:tcPr>
            <w:tcW w:w="800" w:type="dxa"/>
            <w:shd w:val="solid" w:color="FFFFFF" w:fill="auto"/>
          </w:tcPr>
          <w:p w14:paraId="5DDFE472" w14:textId="798E7D74" w:rsidR="009D14FB" w:rsidRPr="00873B6C" w:rsidRDefault="009D14FB" w:rsidP="009D14FB">
            <w:pPr>
              <w:pStyle w:val="TAC"/>
              <w:rPr>
                <w:sz w:val="16"/>
                <w:szCs w:val="16"/>
              </w:rPr>
            </w:pPr>
            <w:r w:rsidRPr="00873B6C">
              <w:rPr>
                <w:sz w:val="16"/>
                <w:szCs w:val="16"/>
              </w:rPr>
              <w:t>2020-12</w:t>
            </w:r>
          </w:p>
        </w:tc>
        <w:tc>
          <w:tcPr>
            <w:tcW w:w="800" w:type="dxa"/>
            <w:shd w:val="solid" w:color="FFFFFF" w:fill="auto"/>
          </w:tcPr>
          <w:p w14:paraId="714BE079" w14:textId="6A6FC4D2" w:rsidR="009D14FB" w:rsidRPr="00873B6C" w:rsidRDefault="009D14FB" w:rsidP="009D14FB">
            <w:pPr>
              <w:pStyle w:val="TAL"/>
              <w:rPr>
                <w:sz w:val="16"/>
                <w:szCs w:val="16"/>
              </w:rPr>
            </w:pPr>
            <w:r w:rsidRPr="00873B6C">
              <w:rPr>
                <w:sz w:val="16"/>
                <w:szCs w:val="16"/>
              </w:rPr>
              <w:t>SP#90E</w:t>
            </w:r>
          </w:p>
        </w:tc>
        <w:tc>
          <w:tcPr>
            <w:tcW w:w="1094" w:type="dxa"/>
            <w:shd w:val="solid" w:color="FFFFFF" w:fill="auto"/>
          </w:tcPr>
          <w:p w14:paraId="06EF73DA" w14:textId="24038DB6" w:rsidR="009D14FB" w:rsidRPr="00873B6C" w:rsidRDefault="009D14FB" w:rsidP="009D14FB">
            <w:pPr>
              <w:pStyle w:val="TAC"/>
              <w:rPr>
                <w:sz w:val="16"/>
                <w:szCs w:val="16"/>
              </w:rPr>
            </w:pPr>
            <w:r w:rsidRPr="00873B6C">
              <w:rPr>
                <w:sz w:val="16"/>
                <w:szCs w:val="16"/>
              </w:rPr>
              <w:t>SP-200951</w:t>
            </w:r>
          </w:p>
        </w:tc>
        <w:tc>
          <w:tcPr>
            <w:tcW w:w="567" w:type="dxa"/>
            <w:shd w:val="solid" w:color="FFFFFF" w:fill="auto"/>
          </w:tcPr>
          <w:p w14:paraId="2B3C2945" w14:textId="56883F77" w:rsidR="009D14FB" w:rsidRPr="00873B6C" w:rsidRDefault="009D14FB" w:rsidP="009D14FB">
            <w:pPr>
              <w:pStyle w:val="TAL"/>
              <w:rPr>
                <w:sz w:val="16"/>
                <w:szCs w:val="16"/>
              </w:rPr>
            </w:pPr>
            <w:r w:rsidRPr="00873B6C">
              <w:rPr>
                <w:sz w:val="16"/>
                <w:szCs w:val="16"/>
              </w:rPr>
              <w:t>2408</w:t>
            </w:r>
          </w:p>
        </w:tc>
        <w:tc>
          <w:tcPr>
            <w:tcW w:w="425" w:type="dxa"/>
            <w:shd w:val="solid" w:color="FFFFFF" w:fill="auto"/>
          </w:tcPr>
          <w:p w14:paraId="3E0802F3" w14:textId="0B133512" w:rsidR="009D14FB" w:rsidRPr="00873B6C" w:rsidRDefault="009D14FB" w:rsidP="009D14FB">
            <w:pPr>
              <w:pStyle w:val="TAL"/>
              <w:rPr>
                <w:sz w:val="16"/>
                <w:szCs w:val="16"/>
              </w:rPr>
            </w:pPr>
            <w:r w:rsidRPr="00873B6C">
              <w:rPr>
                <w:sz w:val="16"/>
                <w:szCs w:val="16"/>
              </w:rPr>
              <w:t>2</w:t>
            </w:r>
          </w:p>
        </w:tc>
        <w:tc>
          <w:tcPr>
            <w:tcW w:w="425" w:type="dxa"/>
            <w:shd w:val="solid" w:color="FFFFFF" w:fill="auto"/>
          </w:tcPr>
          <w:p w14:paraId="5465F7AC" w14:textId="222A8B35" w:rsidR="009D14FB" w:rsidRPr="00873B6C" w:rsidRDefault="009D14FB" w:rsidP="009D14FB">
            <w:pPr>
              <w:pStyle w:val="TAL"/>
              <w:rPr>
                <w:sz w:val="16"/>
                <w:szCs w:val="16"/>
              </w:rPr>
            </w:pPr>
            <w:r w:rsidRPr="00873B6C">
              <w:rPr>
                <w:sz w:val="16"/>
                <w:szCs w:val="16"/>
              </w:rPr>
              <w:t>F</w:t>
            </w:r>
          </w:p>
        </w:tc>
        <w:tc>
          <w:tcPr>
            <w:tcW w:w="4820" w:type="dxa"/>
            <w:shd w:val="solid" w:color="FFFFFF" w:fill="auto"/>
          </w:tcPr>
          <w:p w14:paraId="66DB61B1" w14:textId="6F39DBA7" w:rsidR="009D14FB" w:rsidRPr="00873B6C" w:rsidRDefault="009D14FB" w:rsidP="009D14FB">
            <w:pPr>
              <w:pStyle w:val="TAL"/>
              <w:rPr>
                <w:sz w:val="16"/>
                <w:szCs w:val="16"/>
              </w:rPr>
            </w:pPr>
            <w:r w:rsidRPr="00873B6C">
              <w:rPr>
                <w:sz w:val="16"/>
                <w:szCs w:val="16"/>
              </w:rPr>
              <w:t>Indication of redundancy transmission</w:t>
            </w:r>
          </w:p>
        </w:tc>
        <w:tc>
          <w:tcPr>
            <w:tcW w:w="708" w:type="dxa"/>
            <w:shd w:val="solid" w:color="FFFFFF" w:fill="auto"/>
          </w:tcPr>
          <w:p w14:paraId="093FA5D6" w14:textId="733F189C" w:rsidR="009D14FB" w:rsidRPr="00873B6C" w:rsidRDefault="009D14FB" w:rsidP="009D14FB">
            <w:pPr>
              <w:pStyle w:val="TAC"/>
              <w:rPr>
                <w:sz w:val="16"/>
                <w:szCs w:val="16"/>
              </w:rPr>
            </w:pPr>
            <w:r w:rsidRPr="00873B6C">
              <w:rPr>
                <w:sz w:val="16"/>
                <w:szCs w:val="16"/>
              </w:rPr>
              <w:t>16.7.0</w:t>
            </w:r>
          </w:p>
        </w:tc>
      </w:tr>
      <w:tr w:rsidR="003B51EA" w:rsidRPr="00873B6C" w14:paraId="0F99D904" w14:textId="77777777" w:rsidTr="009D14FB">
        <w:tc>
          <w:tcPr>
            <w:tcW w:w="800" w:type="dxa"/>
            <w:shd w:val="solid" w:color="FFFFFF" w:fill="auto"/>
          </w:tcPr>
          <w:p w14:paraId="778B543E" w14:textId="1C272AEC"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372BB759" w14:textId="25A6699E"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2325AFAB" w14:textId="4B6E5270"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77D100E5" w14:textId="0D1E76A1" w:rsidR="003B51EA" w:rsidRPr="00873B6C" w:rsidRDefault="003B51EA" w:rsidP="009D14FB">
            <w:pPr>
              <w:pStyle w:val="TAL"/>
              <w:rPr>
                <w:sz w:val="16"/>
                <w:szCs w:val="16"/>
              </w:rPr>
            </w:pPr>
            <w:r w:rsidRPr="00873B6C">
              <w:rPr>
                <w:sz w:val="16"/>
                <w:szCs w:val="16"/>
              </w:rPr>
              <w:t>2416</w:t>
            </w:r>
          </w:p>
        </w:tc>
        <w:tc>
          <w:tcPr>
            <w:tcW w:w="425" w:type="dxa"/>
            <w:shd w:val="solid" w:color="FFFFFF" w:fill="auto"/>
          </w:tcPr>
          <w:p w14:paraId="281C3FDD" w14:textId="4288926E" w:rsidR="003B51EA" w:rsidRPr="00873B6C" w:rsidRDefault="003B51EA" w:rsidP="009D14FB">
            <w:pPr>
              <w:pStyle w:val="TAL"/>
              <w:rPr>
                <w:sz w:val="16"/>
                <w:szCs w:val="16"/>
              </w:rPr>
            </w:pPr>
            <w:r w:rsidRPr="00873B6C">
              <w:rPr>
                <w:sz w:val="16"/>
                <w:szCs w:val="16"/>
              </w:rPr>
              <w:t>1</w:t>
            </w:r>
          </w:p>
        </w:tc>
        <w:tc>
          <w:tcPr>
            <w:tcW w:w="425" w:type="dxa"/>
            <w:shd w:val="solid" w:color="FFFFFF" w:fill="auto"/>
          </w:tcPr>
          <w:p w14:paraId="5ECABFB3" w14:textId="4F36A47B"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23291BA2" w14:textId="7DF54030" w:rsidR="003B51EA" w:rsidRPr="00873B6C" w:rsidRDefault="003B51EA" w:rsidP="009D14FB">
            <w:pPr>
              <w:pStyle w:val="TAL"/>
              <w:rPr>
                <w:sz w:val="16"/>
                <w:szCs w:val="16"/>
              </w:rPr>
            </w:pPr>
            <w:r w:rsidRPr="00873B6C">
              <w:rPr>
                <w:sz w:val="16"/>
                <w:szCs w:val="16"/>
              </w:rPr>
              <w:t>TSCAI update during Handover procedure</w:t>
            </w:r>
          </w:p>
        </w:tc>
        <w:tc>
          <w:tcPr>
            <w:tcW w:w="708" w:type="dxa"/>
            <w:shd w:val="solid" w:color="FFFFFF" w:fill="auto"/>
          </w:tcPr>
          <w:p w14:paraId="7B15D503" w14:textId="3196CB2C" w:rsidR="003B51EA" w:rsidRPr="00873B6C" w:rsidRDefault="003B51EA" w:rsidP="009D14FB">
            <w:pPr>
              <w:pStyle w:val="TAC"/>
              <w:rPr>
                <w:sz w:val="16"/>
                <w:szCs w:val="16"/>
              </w:rPr>
            </w:pPr>
            <w:r w:rsidRPr="00873B6C">
              <w:rPr>
                <w:sz w:val="16"/>
                <w:szCs w:val="16"/>
              </w:rPr>
              <w:t>16.7.0</w:t>
            </w:r>
          </w:p>
        </w:tc>
      </w:tr>
      <w:tr w:rsidR="003B51EA" w:rsidRPr="00873B6C" w14:paraId="28DF7E43" w14:textId="77777777" w:rsidTr="009D14FB">
        <w:tc>
          <w:tcPr>
            <w:tcW w:w="800" w:type="dxa"/>
            <w:shd w:val="solid" w:color="FFFFFF" w:fill="auto"/>
          </w:tcPr>
          <w:p w14:paraId="5E6EE836" w14:textId="20FB8BE9"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5FCF3914" w14:textId="6D332CA1"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2BCDAFD3" w14:textId="52DEA766" w:rsidR="003B51EA" w:rsidRPr="00873B6C" w:rsidRDefault="003B51EA" w:rsidP="009D14FB">
            <w:pPr>
              <w:pStyle w:val="TAC"/>
              <w:rPr>
                <w:sz w:val="16"/>
                <w:szCs w:val="16"/>
              </w:rPr>
            </w:pPr>
            <w:r w:rsidRPr="00873B6C">
              <w:rPr>
                <w:sz w:val="16"/>
                <w:szCs w:val="16"/>
              </w:rPr>
              <w:t>SP-200949</w:t>
            </w:r>
          </w:p>
        </w:tc>
        <w:tc>
          <w:tcPr>
            <w:tcW w:w="567" w:type="dxa"/>
            <w:shd w:val="solid" w:color="FFFFFF" w:fill="auto"/>
          </w:tcPr>
          <w:p w14:paraId="0CDEF94A" w14:textId="15B137F1" w:rsidR="003B51EA" w:rsidRPr="00873B6C" w:rsidRDefault="003B51EA" w:rsidP="009D14FB">
            <w:pPr>
              <w:pStyle w:val="TAL"/>
              <w:rPr>
                <w:sz w:val="16"/>
                <w:szCs w:val="16"/>
              </w:rPr>
            </w:pPr>
            <w:r w:rsidRPr="00873B6C">
              <w:rPr>
                <w:sz w:val="16"/>
                <w:szCs w:val="16"/>
              </w:rPr>
              <w:t>2456</w:t>
            </w:r>
          </w:p>
        </w:tc>
        <w:tc>
          <w:tcPr>
            <w:tcW w:w="425" w:type="dxa"/>
            <w:shd w:val="solid" w:color="FFFFFF" w:fill="auto"/>
          </w:tcPr>
          <w:p w14:paraId="610E31DF" w14:textId="21BCF826" w:rsidR="003B51EA" w:rsidRPr="00873B6C" w:rsidRDefault="003B51EA" w:rsidP="009D14FB">
            <w:pPr>
              <w:pStyle w:val="TAL"/>
              <w:rPr>
                <w:sz w:val="16"/>
                <w:szCs w:val="16"/>
              </w:rPr>
            </w:pPr>
            <w:r w:rsidRPr="00873B6C">
              <w:rPr>
                <w:sz w:val="16"/>
                <w:szCs w:val="16"/>
              </w:rPr>
              <w:t>1</w:t>
            </w:r>
          </w:p>
        </w:tc>
        <w:tc>
          <w:tcPr>
            <w:tcW w:w="425" w:type="dxa"/>
            <w:shd w:val="solid" w:color="FFFFFF" w:fill="auto"/>
          </w:tcPr>
          <w:p w14:paraId="789C155F" w14:textId="35C7B2FB"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16ECC3CB" w14:textId="713329FC" w:rsidR="003B51EA" w:rsidRPr="00873B6C" w:rsidRDefault="003B51EA" w:rsidP="009D14FB">
            <w:pPr>
              <w:pStyle w:val="TAL"/>
              <w:rPr>
                <w:sz w:val="16"/>
                <w:szCs w:val="16"/>
              </w:rPr>
            </w:pPr>
            <w:r w:rsidRPr="00873B6C">
              <w:rPr>
                <w:sz w:val="16"/>
                <w:szCs w:val="16"/>
              </w:rPr>
              <w:t>Correction on SMF change with eSBA</w:t>
            </w:r>
          </w:p>
        </w:tc>
        <w:tc>
          <w:tcPr>
            <w:tcW w:w="708" w:type="dxa"/>
            <w:shd w:val="solid" w:color="FFFFFF" w:fill="auto"/>
          </w:tcPr>
          <w:p w14:paraId="141FF3FA" w14:textId="371F188A" w:rsidR="003B51EA" w:rsidRPr="00873B6C" w:rsidRDefault="003B51EA" w:rsidP="009D14FB">
            <w:pPr>
              <w:pStyle w:val="TAC"/>
              <w:rPr>
                <w:sz w:val="16"/>
                <w:szCs w:val="16"/>
              </w:rPr>
            </w:pPr>
            <w:r w:rsidRPr="00873B6C">
              <w:rPr>
                <w:sz w:val="16"/>
                <w:szCs w:val="16"/>
              </w:rPr>
              <w:t>16.7.0</w:t>
            </w:r>
          </w:p>
        </w:tc>
      </w:tr>
      <w:tr w:rsidR="003B51EA" w:rsidRPr="00873B6C" w14:paraId="49BB2606" w14:textId="77777777" w:rsidTr="009D14FB">
        <w:tc>
          <w:tcPr>
            <w:tcW w:w="800" w:type="dxa"/>
            <w:shd w:val="solid" w:color="FFFFFF" w:fill="auto"/>
          </w:tcPr>
          <w:p w14:paraId="21BCF988" w14:textId="2BAEA300" w:rsidR="003B51EA" w:rsidRPr="00873B6C" w:rsidRDefault="003B51EA" w:rsidP="009D14FB">
            <w:pPr>
              <w:pStyle w:val="TAC"/>
              <w:rPr>
                <w:sz w:val="16"/>
                <w:szCs w:val="16"/>
              </w:rPr>
            </w:pPr>
            <w:r w:rsidRPr="00873B6C">
              <w:rPr>
                <w:sz w:val="16"/>
                <w:szCs w:val="16"/>
              </w:rPr>
              <w:lastRenderedPageBreak/>
              <w:t>2020-12</w:t>
            </w:r>
          </w:p>
        </w:tc>
        <w:tc>
          <w:tcPr>
            <w:tcW w:w="800" w:type="dxa"/>
            <w:shd w:val="solid" w:color="FFFFFF" w:fill="auto"/>
          </w:tcPr>
          <w:p w14:paraId="69BD9485" w14:textId="65B00346"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28F7A269" w14:textId="4532BC17"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3F1E65CB" w14:textId="54619D1C" w:rsidR="003B51EA" w:rsidRPr="00873B6C" w:rsidRDefault="003B51EA" w:rsidP="009D14FB">
            <w:pPr>
              <w:pStyle w:val="TAL"/>
              <w:rPr>
                <w:sz w:val="16"/>
                <w:szCs w:val="16"/>
              </w:rPr>
            </w:pPr>
            <w:r w:rsidRPr="00873B6C">
              <w:rPr>
                <w:sz w:val="16"/>
                <w:szCs w:val="16"/>
              </w:rPr>
              <w:t>2465</w:t>
            </w:r>
          </w:p>
        </w:tc>
        <w:tc>
          <w:tcPr>
            <w:tcW w:w="425" w:type="dxa"/>
            <w:shd w:val="solid" w:color="FFFFFF" w:fill="auto"/>
          </w:tcPr>
          <w:p w14:paraId="0C33F9CF" w14:textId="6C042C3A" w:rsidR="003B51EA" w:rsidRPr="00873B6C" w:rsidRDefault="003B51EA" w:rsidP="009D14FB">
            <w:pPr>
              <w:pStyle w:val="TAL"/>
              <w:rPr>
                <w:sz w:val="16"/>
                <w:szCs w:val="16"/>
              </w:rPr>
            </w:pPr>
            <w:r w:rsidRPr="00873B6C">
              <w:rPr>
                <w:sz w:val="16"/>
                <w:szCs w:val="16"/>
              </w:rPr>
              <w:t xml:space="preserve">1 </w:t>
            </w:r>
          </w:p>
        </w:tc>
        <w:tc>
          <w:tcPr>
            <w:tcW w:w="425" w:type="dxa"/>
            <w:shd w:val="solid" w:color="FFFFFF" w:fill="auto"/>
          </w:tcPr>
          <w:p w14:paraId="4103449A" w14:textId="5E525298"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356BAFF2" w14:textId="4668D539" w:rsidR="003B51EA" w:rsidRPr="00873B6C" w:rsidRDefault="003B51EA" w:rsidP="009D14FB">
            <w:pPr>
              <w:pStyle w:val="TAL"/>
              <w:rPr>
                <w:sz w:val="16"/>
                <w:szCs w:val="16"/>
              </w:rPr>
            </w:pPr>
            <w:r w:rsidRPr="00873B6C">
              <w:rPr>
                <w:sz w:val="16"/>
                <w:szCs w:val="16"/>
              </w:rPr>
              <w:t>Reject UE access to SNPN service via a PLMN to align with CT1</w:t>
            </w:r>
          </w:p>
        </w:tc>
        <w:tc>
          <w:tcPr>
            <w:tcW w:w="708" w:type="dxa"/>
            <w:shd w:val="solid" w:color="FFFFFF" w:fill="auto"/>
          </w:tcPr>
          <w:p w14:paraId="7F49B53F" w14:textId="269101DB" w:rsidR="003B51EA" w:rsidRPr="00873B6C" w:rsidRDefault="003B51EA" w:rsidP="009D14FB">
            <w:pPr>
              <w:pStyle w:val="TAC"/>
              <w:rPr>
                <w:sz w:val="16"/>
                <w:szCs w:val="16"/>
              </w:rPr>
            </w:pPr>
            <w:r w:rsidRPr="00873B6C">
              <w:rPr>
                <w:sz w:val="16"/>
                <w:szCs w:val="16"/>
              </w:rPr>
              <w:t>16.7.0</w:t>
            </w:r>
          </w:p>
        </w:tc>
      </w:tr>
      <w:tr w:rsidR="003B51EA" w:rsidRPr="00873B6C" w14:paraId="56D5A600" w14:textId="77777777" w:rsidTr="009D14FB">
        <w:tc>
          <w:tcPr>
            <w:tcW w:w="800" w:type="dxa"/>
            <w:shd w:val="solid" w:color="FFFFFF" w:fill="auto"/>
          </w:tcPr>
          <w:p w14:paraId="725774CF" w14:textId="5D4E3CBE"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20291FD0" w14:textId="1D7D30B3"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64B636B7" w14:textId="31E606C7"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3D5E079C" w14:textId="7DCCAC4E" w:rsidR="003B51EA" w:rsidRPr="00873B6C" w:rsidRDefault="003B51EA" w:rsidP="009D14FB">
            <w:pPr>
              <w:pStyle w:val="TAL"/>
              <w:rPr>
                <w:sz w:val="16"/>
                <w:szCs w:val="16"/>
              </w:rPr>
            </w:pPr>
            <w:r w:rsidRPr="00873B6C">
              <w:rPr>
                <w:sz w:val="16"/>
                <w:szCs w:val="16"/>
              </w:rPr>
              <w:t>2466</w:t>
            </w:r>
          </w:p>
        </w:tc>
        <w:tc>
          <w:tcPr>
            <w:tcW w:w="425" w:type="dxa"/>
            <w:shd w:val="solid" w:color="FFFFFF" w:fill="auto"/>
          </w:tcPr>
          <w:p w14:paraId="5B56D28C" w14:textId="516721C6" w:rsidR="003B51EA" w:rsidRPr="00873B6C" w:rsidRDefault="003B51EA" w:rsidP="009D14FB">
            <w:pPr>
              <w:pStyle w:val="TAL"/>
              <w:rPr>
                <w:sz w:val="16"/>
                <w:szCs w:val="16"/>
              </w:rPr>
            </w:pPr>
            <w:r w:rsidRPr="00873B6C">
              <w:rPr>
                <w:sz w:val="16"/>
                <w:szCs w:val="16"/>
              </w:rPr>
              <w:t xml:space="preserve">1 </w:t>
            </w:r>
          </w:p>
        </w:tc>
        <w:tc>
          <w:tcPr>
            <w:tcW w:w="425" w:type="dxa"/>
            <w:shd w:val="solid" w:color="FFFFFF" w:fill="auto"/>
          </w:tcPr>
          <w:p w14:paraId="2CD82DC3" w14:textId="76C1A4F3"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7C6050B4" w14:textId="18A6AAB9" w:rsidR="003B51EA" w:rsidRPr="00873B6C" w:rsidRDefault="003B51EA" w:rsidP="009D14FB">
            <w:pPr>
              <w:pStyle w:val="TAL"/>
              <w:rPr>
                <w:sz w:val="16"/>
                <w:szCs w:val="16"/>
              </w:rPr>
            </w:pPr>
            <w:r w:rsidRPr="00873B6C">
              <w:rPr>
                <w:sz w:val="16"/>
                <w:szCs w:val="16"/>
              </w:rPr>
              <w:t>Clarification on gPTP handling at NW-TT acting as the GM</w:t>
            </w:r>
          </w:p>
        </w:tc>
        <w:tc>
          <w:tcPr>
            <w:tcW w:w="708" w:type="dxa"/>
            <w:shd w:val="solid" w:color="FFFFFF" w:fill="auto"/>
          </w:tcPr>
          <w:p w14:paraId="1604F271" w14:textId="73240755" w:rsidR="003B51EA" w:rsidRPr="00873B6C" w:rsidRDefault="003B51EA" w:rsidP="009D14FB">
            <w:pPr>
              <w:pStyle w:val="TAC"/>
              <w:rPr>
                <w:sz w:val="16"/>
                <w:szCs w:val="16"/>
              </w:rPr>
            </w:pPr>
            <w:r w:rsidRPr="00873B6C">
              <w:rPr>
                <w:sz w:val="16"/>
                <w:szCs w:val="16"/>
              </w:rPr>
              <w:t>16.7.0</w:t>
            </w:r>
          </w:p>
        </w:tc>
      </w:tr>
      <w:tr w:rsidR="003B51EA" w:rsidRPr="00873B6C" w14:paraId="6B6CB886" w14:textId="77777777" w:rsidTr="009D14FB">
        <w:tc>
          <w:tcPr>
            <w:tcW w:w="800" w:type="dxa"/>
            <w:shd w:val="solid" w:color="FFFFFF" w:fill="auto"/>
          </w:tcPr>
          <w:p w14:paraId="688F74E7" w14:textId="44EFDC9F"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6284B0E3" w14:textId="40EFA7FD"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1782CEAE" w14:textId="5DBD5496"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103FB75D" w14:textId="60C5BE04" w:rsidR="003B51EA" w:rsidRPr="00873B6C" w:rsidRDefault="003B51EA" w:rsidP="009D14FB">
            <w:pPr>
              <w:pStyle w:val="TAL"/>
              <w:rPr>
                <w:sz w:val="16"/>
                <w:szCs w:val="16"/>
              </w:rPr>
            </w:pPr>
            <w:r w:rsidRPr="00873B6C">
              <w:rPr>
                <w:sz w:val="16"/>
                <w:szCs w:val="16"/>
              </w:rPr>
              <w:t>2468</w:t>
            </w:r>
          </w:p>
        </w:tc>
        <w:tc>
          <w:tcPr>
            <w:tcW w:w="425" w:type="dxa"/>
            <w:shd w:val="solid" w:color="FFFFFF" w:fill="auto"/>
          </w:tcPr>
          <w:p w14:paraId="776A2F91" w14:textId="28DFC08F" w:rsidR="003B51EA" w:rsidRPr="00873B6C" w:rsidRDefault="003B51EA" w:rsidP="009D14FB">
            <w:pPr>
              <w:pStyle w:val="TAL"/>
              <w:rPr>
                <w:sz w:val="16"/>
                <w:szCs w:val="16"/>
              </w:rPr>
            </w:pPr>
            <w:r w:rsidRPr="00873B6C">
              <w:rPr>
                <w:sz w:val="16"/>
                <w:szCs w:val="16"/>
              </w:rPr>
              <w:t xml:space="preserve">1 </w:t>
            </w:r>
          </w:p>
        </w:tc>
        <w:tc>
          <w:tcPr>
            <w:tcW w:w="425" w:type="dxa"/>
            <w:shd w:val="solid" w:color="FFFFFF" w:fill="auto"/>
          </w:tcPr>
          <w:p w14:paraId="3FAFC423" w14:textId="10F65757"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5504534C" w14:textId="00517198" w:rsidR="003B51EA" w:rsidRPr="00873B6C" w:rsidRDefault="00704A9E" w:rsidP="009D14FB">
            <w:pPr>
              <w:pStyle w:val="TAL"/>
              <w:rPr>
                <w:sz w:val="16"/>
                <w:szCs w:val="16"/>
              </w:rPr>
            </w:pPr>
            <w:r w:rsidRPr="00873B6C">
              <w:rPr>
                <w:sz w:val="16"/>
                <w:szCs w:val="16"/>
              </w:rPr>
              <w:t>5G-VN</w:t>
            </w:r>
            <w:r w:rsidR="003B51EA" w:rsidRPr="00873B6C">
              <w:rPr>
                <w:sz w:val="16"/>
                <w:szCs w:val="16"/>
              </w:rPr>
              <w:t xml:space="preserve"> clarifications</w:t>
            </w:r>
          </w:p>
        </w:tc>
        <w:tc>
          <w:tcPr>
            <w:tcW w:w="708" w:type="dxa"/>
            <w:shd w:val="solid" w:color="FFFFFF" w:fill="auto"/>
          </w:tcPr>
          <w:p w14:paraId="21FC699F" w14:textId="3D586E9D" w:rsidR="003B51EA" w:rsidRPr="00873B6C" w:rsidRDefault="003B51EA" w:rsidP="009D14FB">
            <w:pPr>
              <w:pStyle w:val="TAC"/>
              <w:rPr>
                <w:sz w:val="16"/>
                <w:szCs w:val="16"/>
              </w:rPr>
            </w:pPr>
            <w:r w:rsidRPr="00873B6C">
              <w:rPr>
                <w:sz w:val="16"/>
                <w:szCs w:val="16"/>
              </w:rPr>
              <w:t>16.7.0</w:t>
            </w:r>
          </w:p>
        </w:tc>
      </w:tr>
      <w:tr w:rsidR="003B51EA" w:rsidRPr="00873B6C" w14:paraId="7E12D2AE" w14:textId="77777777" w:rsidTr="009D14FB">
        <w:tc>
          <w:tcPr>
            <w:tcW w:w="800" w:type="dxa"/>
            <w:shd w:val="solid" w:color="FFFFFF" w:fill="auto"/>
          </w:tcPr>
          <w:p w14:paraId="5D631E13" w14:textId="3329667B"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3E859A04" w14:textId="564D4D88"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26726080" w14:textId="4C32C67B"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0CECC833" w14:textId="5C4368FE" w:rsidR="003B51EA" w:rsidRPr="00873B6C" w:rsidRDefault="003B51EA" w:rsidP="009D14FB">
            <w:pPr>
              <w:pStyle w:val="TAL"/>
              <w:rPr>
                <w:sz w:val="16"/>
                <w:szCs w:val="16"/>
              </w:rPr>
            </w:pPr>
            <w:r w:rsidRPr="00873B6C">
              <w:rPr>
                <w:sz w:val="16"/>
                <w:szCs w:val="16"/>
              </w:rPr>
              <w:t>2470</w:t>
            </w:r>
          </w:p>
        </w:tc>
        <w:tc>
          <w:tcPr>
            <w:tcW w:w="425" w:type="dxa"/>
            <w:shd w:val="solid" w:color="FFFFFF" w:fill="auto"/>
          </w:tcPr>
          <w:p w14:paraId="72C8FAC1" w14:textId="5B92EB14" w:rsidR="003B51EA" w:rsidRPr="00873B6C" w:rsidRDefault="003B51EA" w:rsidP="009D14FB">
            <w:pPr>
              <w:pStyle w:val="TAL"/>
              <w:rPr>
                <w:sz w:val="16"/>
                <w:szCs w:val="16"/>
              </w:rPr>
            </w:pPr>
            <w:r w:rsidRPr="00873B6C">
              <w:rPr>
                <w:sz w:val="16"/>
                <w:szCs w:val="16"/>
              </w:rPr>
              <w:t>-</w:t>
            </w:r>
          </w:p>
        </w:tc>
        <w:tc>
          <w:tcPr>
            <w:tcW w:w="425" w:type="dxa"/>
            <w:shd w:val="solid" w:color="FFFFFF" w:fill="auto"/>
          </w:tcPr>
          <w:p w14:paraId="2348C117" w14:textId="01A4FEA7"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39245650" w14:textId="2A3E421A" w:rsidR="003B51EA" w:rsidRPr="00873B6C" w:rsidRDefault="003B51EA" w:rsidP="009D14FB">
            <w:pPr>
              <w:pStyle w:val="TAL"/>
              <w:rPr>
                <w:sz w:val="16"/>
                <w:szCs w:val="16"/>
              </w:rPr>
            </w:pPr>
            <w:r w:rsidRPr="00873B6C">
              <w:rPr>
                <w:sz w:val="16"/>
                <w:szCs w:val="16"/>
              </w:rPr>
              <w:t>Correction to inaccurate and misleading NOTE4 in the BMIC table</w:t>
            </w:r>
          </w:p>
        </w:tc>
        <w:tc>
          <w:tcPr>
            <w:tcW w:w="708" w:type="dxa"/>
            <w:shd w:val="solid" w:color="FFFFFF" w:fill="auto"/>
          </w:tcPr>
          <w:p w14:paraId="4210156D" w14:textId="61EA842D" w:rsidR="003B51EA" w:rsidRPr="00873B6C" w:rsidRDefault="003B51EA" w:rsidP="009D14FB">
            <w:pPr>
              <w:pStyle w:val="TAC"/>
              <w:rPr>
                <w:sz w:val="16"/>
                <w:szCs w:val="16"/>
              </w:rPr>
            </w:pPr>
            <w:r w:rsidRPr="00873B6C">
              <w:rPr>
                <w:sz w:val="16"/>
                <w:szCs w:val="16"/>
              </w:rPr>
              <w:t>16.7.0</w:t>
            </w:r>
          </w:p>
        </w:tc>
      </w:tr>
      <w:tr w:rsidR="003B51EA" w:rsidRPr="00873B6C" w14:paraId="42974C3E" w14:textId="77777777" w:rsidTr="009D14FB">
        <w:tc>
          <w:tcPr>
            <w:tcW w:w="800" w:type="dxa"/>
            <w:shd w:val="solid" w:color="FFFFFF" w:fill="auto"/>
          </w:tcPr>
          <w:p w14:paraId="643FA6BA" w14:textId="4154B280"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78EC2275" w14:textId="6950B961"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15F2CA22" w14:textId="766A28DB"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1E4135EC" w14:textId="0ED92651" w:rsidR="003B51EA" w:rsidRPr="00873B6C" w:rsidRDefault="003B51EA" w:rsidP="009D14FB">
            <w:pPr>
              <w:pStyle w:val="TAL"/>
              <w:rPr>
                <w:sz w:val="16"/>
                <w:szCs w:val="16"/>
              </w:rPr>
            </w:pPr>
            <w:r w:rsidRPr="00873B6C">
              <w:rPr>
                <w:sz w:val="16"/>
                <w:szCs w:val="16"/>
              </w:rPr>
              <w:t>2472</w:t>
            </w:r>
          </w:p>
        </w:tc>
        <w:tc>
          <w:tcPr>
            <w:tcW w:w="425" w:type="dxa"/>
            <w:shd w:val="solid" w:color="FFFFFF" w:fill="auto"/>
          </w:tcPr>
          <w:p w14:paraId="46BE61B8" w14:textId="791B25D7" w:rsidR="003B51EA" w:rsidRPr="00873B6C" w:rsidRDefault="003B51EA" w:rsidP="009D14FB">
            <w:pPr>
              <w:pStyle w:val="TAL"/>
              <w:rPr>
                <w:sz w:val="16"/>
                <w:szCs w:val="16"/>
              </w:rPr>
            </w:pPr>
            <w:r w:rsidRPr="00873B6C">
              <w:rPr>
                <w:sz w:val="16"/>
                <w:szCs w:val="16"/>
              </w:rPr>
              <w:t>-</w:t>
            </w:r>
          </w:p>
        </w:tc>
        <w:tc>
          <w:tcPr>
            <w:tcW w:w="425" w:type="dxa"/>
            <w:shd w:val="solid" w:color="FFFFFF" w:fill="auto"/>
          </w:tcPr>
          <w:p w14:paraId="10B7B886" w14:textId="6E14FAD2"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732E96A3" w14:textId="0369C963" w:rsidR="003B51EA" w:rsidRPr="00873B6C" w:rsidRDefault="003B51EA" w:rsidP="009D14FB">
            <w:pPr>
              <w:pStyle w:val="TAL"/>
              <w:rPr>
                <w:sz w:val="16"/>
                <w:szCs w:val="16"/>
              </w:rPr>
            </w:pPr>
            <w:r w:rsidRPr="00873B6C">
              <w:rPr>
                <w:sz w:val="16"/>
                <w:szCs w:val="16"/>
              </w:rPr>
              <w:t>Clarification of TSN AF role</w:t>
            </w:r>
          </w:p>
        </w:tc>
        <w:tc>
          <w:tcPr>
            <w:tcW w:w="708" w:type="dxa"/>
            <w:shd w:val="solid" w:color="FFFFFF" w:fill="auto"/>
          </w:tcPr>
          <w:p w14:paraId="5D55E0A0" w14:textId="03B784C2" w:rsidR="003B51EA" w:rsidRPr="00873B6C" w:rsidRDefault="003B51EA" w:rsidP="009D14FB">
            <w:pPr>
              <w:pStyle w:val="TAC"/>
              <w:rPr>
                <w:sz w:val="16"/>
                <w:szCs w:val="16"/>
              </w:rPr>
            </w:pPr>
            <w:r w:rsidRPr="00873B6C">
              <w:rPr>
                <w:sz w:val="16"/>
                <w:szCs w:val="16"/>
              </w:rPr>
              <w:t>16.7.0</w:t>
            </w:r>
          </w:p>
        </w:tc>
      </w:tr>
      <w:tr w:rsidR="003B51EA" w:rsidRPr="00873B6C" w14:paraId="3AA2CA82" w14:textId="77777777" w:rsidTr="009D14FB">
        <w:tc>
          <w:tcPr>
            <w:tcW w:w="800" w:type="dxa"/>
            <w:shd w:val="solid" w:color="FFFFFF" w:fill="auto"/>
          </w:tcPr>
          <w:p w14:paraId="762D71E3" w14:textId="123FB56C"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487708FA" w14:textId="311F9BB2"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19A02DDF" w14:textId="0EE7173B" w:rsidR="003B51EA" w:rsidRPr="00873B6C" w:rsidRDefault="003B51EA" w:rsidP="009D14FB">
            <w:pPr>
              <w:pStyle w:val="TAC"/>
              <w:rPr>
                <w:sz w:val="16"/>
                <w:szCs w:val="16"/>
              </w:rPr>
            </w:pPr>
            <w:r w:rsidRPr="00873B6C">
              <w:rPr>
                <w:sz w:val="16"/>
                <w:szCs w:val="16"/>
              </w:rPr>
              <w:t>SP-200945</w:t>
            </w:r>
          </w:p>
        </w:tc>
        <w:tc>
          <w:tcPr>
            <w:tcW w:w="567" w:type="dxa"/>
            <w:shd w:val="solid" w:color="FFFFFF" w:fill="auto"/>
          </w:tcPr>
          <w:p w14:paraId="310C8FB1" w14:textId="46807E90" w:rsidR="003B51EA" w:rsidRPr="00873B6C" w:rsidRDefault="003B51EA" w:rsidP="009D14FB">
            <w:pPr>
              <w:pStyle w:val="TAL"/>
              <w:rPr>
                <w:sz w:val="16"/>
                <w:szCs w:val="16"/>
              </w:rPr>
            </w:pPr>
            <w:r w:rsidRPr="00873B6C">
              <w:rPr>
                <w:sz w:val="16"/>
                <w:szCs w:val="16"/>
              </w:rPr>
              <w:t>2474</w:t>
            </w:r>
          </w:p>
        </w:tc>
        <w:tc>
          <w:tcPr>
            <w:tcW w:w="425" w:type="dxa"/>
            <w:shd w:val="solid" w:color="FFFFFF" w:fill="auto"/>
          </w:tcPr>
          <w:p w14:paraId="49F13E4F" w14:textId="4E38DDAC" w:rsidR="003B51EA" w:rsidRPr="00873B6C" w:rsidRDefault="003B51EA" w:rsidP="009D14FB">
            <w:pPr>
              <w:pStyle w:val="TAL"/>
              <w:rPr>
                <w:sz w:val="16"/>
                <w:szCs w:val="16"/>
              </w:rPr>
            </w:pPr>
            <w:r w:rsidRPr="00873B6C">
              <w:rPr>
                <w:sz w:val="16"/>
                <w:szCs w:val="16"/>
              </w:rPr>
              <w:t>1</w:t>
            </w:r>
          </w:p>
        </w:tc>
        <w:tc>
          <w:tcPr>
            <w:tcW w:w="425" w:type="dxa"/>
            <w:shd w:val="solid" w:color="FFFFFF" w:fill="auto"/>
          </w:tcPr>
          <w:p w14:paraId="46F041B4" w14:textId="7FE8E1B4" w:rsidR="003B51EA" w:rsidRPr="00873B6C" w:rsidRDefault="003B51EA" w:rsidP="009D14FB">
            <w:pPr>
              <w:pStyle w:val="TAL"/>
              <w:rPr>
                <w:sz w:val="16"/>
                <w:szCs w:val="16"/>
              </w:rPr>
            </w:pPr>
            <w:r w:rsidRPr="00873B6C">
              <w:rPr>
                <w:sz w:val="16"/>
                <w:szCs w:val="16"/>
              </w:rPr>
              <w:t>A</w:t>
            </w:r>
          </w:p>
        </w:tc>
        <w:tc>
          <w:tcPr>
            <w:tcW w:w="4820" w:type="dxa"/>
            <w:shd w:val="solid" w:color="FFFFFF" w:fill="auto"/>
          </w:tcPr>
          <w:p w14:paraId="0A156A8A" w14:textId="23806C5D" w:rsidR="003B51EA" w:rsidRPr="00873B6C" w:rsidRDefault="003B51EA" w:rsidP="009D14FB">
            <w:pPr>
              <w:pStyle w:val="TAL"/>
              <w:rPr>
                <w:sz w:val="16"/>
                <w:szCs w:val="16"/>
              </w:rPr>
            </w:pPr>
            <w:r w:rsidRPr="00873B6C">
              <w:rPr>
                <w:sz w:val="16"/>
                <w:szCs w:val="16"/>
              </w:rPr>
              <w:t>Correcting Xn handover at network sharing</w:t>
            </w:r>
          </w:p>
        </w:tc>
        <w:tc>
          <w:tcPr>
            <w:tcW w:w="708" w:type="dxa"/>
            <w:shd w:val="solid" w:color="FFFFFF" w:fill="auto"/>
          </w:tcPr>
          <w:p w14:paraId="72A4E2EE" w14:textId="4CD63582" w:rsidR="003B51EA" w:rsidRPr="00873B6C" w:rsidRDefault="003B51EA" w:rsidP="009D14FB">
            <w:pPr>
              <w:pStyle w:val="TAC"/>
              <w:rPr>
                <w:sz w:val="16"/>
                <w:szCs w:val="16"/>
              </w:rPr>
            </w:pPr>
            <w:r w:rsidRPr="00873B6C">
              <w:rPr>
                <w:sz w:val="16"/>
                <w:szCs w:val="16"/>
              </w:rPr>
              <w:t>16.7.0</w:t>
            </w:r>
          </w:p>
        </w:tc>
      </w:tr>
      <w:tr w:rsidR="003B51EA" w:rsidRPr="00873B6C" w14:paraId="179628E0" w14:textId="77777777" w:rsidTr="009D14FB">
        <w:tc>
          <w:tcPr>
            <w:tcW w:w="800" w:type="dxa"/>
            <w:shd w:val="solid" w:color="FFFFFF" w:fill="auto"/>
          </w:tcPr>
          <w:p w14:paraId="3E3A2A00" w14:textId="76AAE593"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586A1D56" w14:textId="15362E31"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79F45630" w14:textId="0A6B74A5" w:rsidR="003B51EA" w:rsidRPr="00873B6C" w:rsidRDefault="003B51EA" w:rsidP="009D14FB">
            <w:pPr>
              <w:pStyle w:val="TAC"/>
              <w:rPr>
                <w:sz w:val="16"/>
                <w:szCs w:val="16"/>
              </w:rPr>
            </w:pPr>
            <w:r w:rsidRPr="00873B6C">
              <w:rPr>
                <w:sz w:val="16"/>
                <w:szCs w:val="16"/>
              </w:rPr>
              <w:t>SP-200951</w:t>
            </w:r>
          </w:p>
        </w:tc>
        <w:tc>
          <w:tcPr>
            <w:tcW w:w="567" w:type="dxa"/>
            <w:shd w:val="solid" w:color="FFFFFF" w:fill="auto"/>
          </w:tcPr>
          <w:p w14:paraId="2D9B697F" w14:textId="31D7C2CF" w:rsidR="003B51EA" w:rsidRPr="00873B6C" w:rsidRDefault="003B51EA" w:rsidP="009D14FB">
            <w:pPr>
              <w:pStyle w:val="TAL"/>
              <w:rPr>
                <w:sz w:val="16"/>
                <w:szCs w:val="16"/>
              </w:rPr>
            </w:pPr>
            <w:r w:rsidRPr="00873B6C">
              <w:rPr>
                <w:sz w:val="16"/>
                <w:szCs w:val="16"/>
              </w:rPr>
              <w:t>2475</w:t>
            </w:r>
          </w:p>
        </w:tc>
        <w:tc>
          <w:tcPr>
            <w:tcW w:w="425" w:type="dxa"/>
            <w:shd w:val="solid" w:color="FFFFFF" w:fill="auto"/>
          </w:tcPr>
          <w:p w14:paraId="3E2B02EE" w14:textId="28C4FA47" w:rsidR="003B51EA" w:rsidRPr="00873B6C" w:rsidRDefault="003B51EA" w:rsidP="009D14FB">
            <w:pPr>
              <w:pStyle w:val="TAL"/>
              <w:rPr>
                <w:sz w:val="16"/>
                <w:szCs w:val="16"/>
              </w:rPr>
            </w:pPr>
            <w:r w:rsidRPr="00873B6C">
              <w:rPr>
                <w:sz w:val="16"/>
                <w:szCs w:val="16"/>
              </w:rPr>
              <w:t>1</w:t>
            </w:r>
          </w:p>
        </w:tc>
        <w:tc>
          <w:tcPr>
            <w:tcW w:w="425" w:type="dxa"/>
            <w:shd w:val="solid" w:color="FFFFFF" w:fill="auto"/>
          </w:tcPr>
          <w:p w14:paraId="131C3D7B" w14:textId="6472EBA7"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3D6F4311" w14:textId="22690990" w:rsidR="003B51EA" w:rsidRPr="00873B6C" w:rsidRDefault="003B51EA" w:rsidP="009D14FB">
            <w:pPr>
              <w:pStyle w:val="TAL"/>
              <w:rPr>
                <w:sz w:val="16"/>
                <w:szCs w:val="16"/>
              </w:rPr>
            </w:pPr>
            <w:r w:rsidRPr="00873B6C">
              <w:rPr>
                <w:sz w:val="16"/>
                <w:szCs w:val="16"/>
              </w:rPr>
              <w:t>Correction to QoS monitoring for URLLC on GTP-U</w:t>
            </w:r>
          </w:p>
        </w:tc>
        <w:tc>
          <w:tcPr>
            <w:tcW w:w="708" w:type="dxa"/>
            <w:shd w:val="solid" w:color="FFFFFF" w:fill="auto"/>
          </w:tcPr>
          <w:p w14:paraId="706CC388" w14:textId="56F3DC81" w:rsidR="003B51EA" w:rsidRPr="00873B6C" w:rsidRDefault="003B51EA" w:rsidP="009D14FB">
            <w:pPr>
              <w:pStyle w:val="TAC"/>
              <w:rPr>
                <w:sz w:val="16"/>
                <w:szCs w:val="16"/>
              </w:rPr>
            </w:pPr>
            <w:r w:rsidRPr="00873B6C">
              <w:rPr>
                <w:sz w:val="16"/>
                <w:szCs w:val="16"/>
              </w:rPr>
              <w:t>16.7.0</w:t>
            </w:r>
          </w:p>
        </w:tc>
      </w:tr>
      <w:tr w:rsidR="000037BE" w:rsidRPr="00873B6C" w14:paraId="779D1986" w14:textId="77777777" w:rsidTr="009D14FB">
        <w:tc>
          <w:tcPr>
            <w:tcW w:w="800" w:type="dxa"/>
            <w:shd w:val="solid" w:color="FFFFFF" w:fill="auto"/>
          </w:tcPr>
          <w:p w14:paraId="677B599C" w14:textId="60E914AD" w:rsidR="000037BE" w:rsidRPr="00873B6C" w:rsidRDefault="000037BE" w:rsidP="009D14FB">
            <w:pPr>
              <w:pStyle w:val="TAC"/>
              <w:rPr>
                <w:sz w:val="16"/>
                <w:szCs w:val="16"/>
              </w:rPr>
            </w:pPr>
            <w:r w:rsidRPr="00873B6C">
              <w:rPr>
                <w:sz w:val="16"/>
                <w:szCs w:val="16"/>
              </w:rPr>
              <w:t>2020-12</w:t>
            </w:r>
          </w:p>
        </w:tc>
        <w:tc>
          <w:tcPr>
            <w:tcW w:w="800" w:type="dxa"/>
            <w:shd w:val="solid" w:color="FFFFFF" w:fill="auto"/>
          </w:tcPr>
          <w:p w14:paraId="0229B282" w14:textId="68CB195F" w:rsidR="000037BE" w:rsidRPr="00873B6C" w:rsidRDefault="000037BE" w:rsidP="009D14FB">
            <w:pPr>
              <w:pStyle w:val="TAL"/>
              <w:rPr>
                <w:sz w:val="16"/>
                <w:szCs w:val="16"/>
              </w:rPr>
            </w:pPr>
            <w:r w:rsidRPr="00873B6C">
              <w:rPr>
                <w:sz w:val="16"/>
                <w:szCs w:val="16"/>
              </w:rPr>
              <w:t>SP#90E</w:t>
            </w:r>
          </w:p>
        </w:tc>
        <w:tc>
          <w:tcPr>
            <w:tcW w:w="1094" w:type="dxa"/>
            <w:shd w:val="solid" w:color="FFFFFF" w:fill="auto"/>
          </w:tcPr>
          <w:p w14:paraId="14B1C9DF" w14:textId="680A0D46" w:rsidR="000037BE" w:rsidRPr="00873B6C" w:rsidRDefault="000037BE" w:rsidP="009D14FB">
            <w:pPr>
              <w:pStyle w:val="TAC"/>
              <w:rPr>
                <w:sz w:val="16"/>
                <w:szCs w:val="16"/>
              </w:rPr>
            </w:pPr>
            <w:r w:rsidRPr="00873B6C">
              <w:rPr>
                <w:sz w:val="16"/>
                <w:szCs w:val="16"/>
              </w:rPr>
              <w:t>SP-200947</w:t>
            </w:r>
          </w:p>
        </w:tc>
        <w:tc>
          <w:tcPr>
            <w:tcW w:w="567" w:type="dxa"/>
            <w:shd w:val="solid" w:color="FFFFFF" w:fill="auto"/>
          </w:tcPr>
          <w:p w14:paraId="039A1CAD" w14:textId="1AE4C2C6" w:rsidR="000037BE" w:rsidRPr="00873B6C" w:rsidRDefault="000037BE" w:rsidP="009D14FB">
            <w:pPr>
              <w:pStyle w:val="TAL"/>
              <w:rPr>
                <w:sz w:val="16"/>
                <w:szCs w:val="16"/>
              </w:rPr>
            </w:pPr>
            <w:r w:rsidRPr="00873B6C">
              <w:rPr>
                <w:sz w:val="16"/>
                <w:szCs w:val="16"/>
              </w:rPr>
              <w:t>2476</w:t>
            </w:r>
          </w:p>
        </w:tc>
        <w:tc>
          <w:tcPr>
            <w:tcW w:w="425" w:type="dxa"/>
            <w:shd w:val="solid" w:color="FFFFFF" w:fill="auto"/>
          </w:tcPr>
          <w:p w14:paraId="4A4AC6DA" w14:textId="057399CC" w:rsidR="000037BE" w:rsidRPr="00873B6C" w:rsidRDefault="000037BE" w:rsidP="009D14FB">
            <w:pPr>
              <w:pStyle w:val="TAL"/>
              <w:rPr>
                <w:sz w:val="16"/>
                <w:szCs w:val="16"/>
              </w:rPr>
            </w:pPr>
            <w:r w:rsidRPr="00873B6C">
              <w:rPr>
                <w:sz w:val="16"/>
                <w:szCs w:val="16"/>
              </w:rPr>
              <w:t>-</w:t>
            </w:r>
          </w:p>
        </w:tc>
        <w:tc>
          <w:tcPr>
            <w:tcW w:w="425" w:type="dxa"/>
            <w:shd w:val="solid" w:color="FFFFFF" w:fill="auto"/>
          </w:tcPr>
          <w:p w14:paraId="31BB8744" w14:textId="2DF6B0F9" w:rsidR="000037BE" w:rsidRPr="00873B6C" w:rsidRDefault="000037BE" w:rsidP="009D14FB">
            <w:pPr>
              <w:pStyle w:val="TAL"/>
              <w:rPr>
                <w:sz w:val="16"/>
                <w:szCs w:val="16"/>
              </w:rPr>
            </w:pPr>
            <w:r w:rsidRPr="00873B6C">
              <w:rPr>
                <w:sz w:val="16"/>
                <w:szCs w:val="16"/>
              </w:rPr>
              <w:t>F</w:t>
            </w:r>
          </w:p>
        </w:tc>
        <w:tc>
          <w:tcPr>
            <w:tcW w:w="4820" w:type="dxa"/>
            <w:shd w:val="solid" w:color="FFFFFF" w:fill="auto"/>
          </w:tcPr>
          <w:p w14:paraId="02410F07" w14:textId="755BA536" w:rsidR="000037BE" w:rsidRPr="00873B6C" w:rsidRDefault="000037BE" w:rsidP="009D14FB">
            <w:pPr>
              <w:pStyle w:val="TAL"/>
              <w:rPr>
                <w:sz w:val="16"/>
                <w:szCs w:val="16"/>
              </w:rPr>
            </w:pPr>
            <w:r w:rsidRPr="00873B6C">
              <w:rPr>
                <w:sz w:val="16"/>
                <w:szCs w:val="16"/>
              </w:rPr>
              <w:t>Exception data reporting and connected state</w:t>
            </w:r>
          </w:p>
        </w:tc>
        <w:tc>
          <w:tcPr>
            <w:tcW w:w="708" w:type="dxa"/>
            <w:shd w:val="solid" w:color="FFFFFF" w:fill="auto"/>
          </w:tcPr>
          <w:p w14:paraId="14EA326C" w14:textId="5F19539A" w:rsidR="000037BE" w:rsidRPr="00873B6C" w:rsidRDefault="000037BE" w:rsidP="009D14FB">
            <w:pPr>
              <w:pStyle w:val="TAC"/>
              <w:rPr>
                <w:sz w:val="16"/>
                <w:szCs w:val="16"/>
              </w:rPr>
            </w:pPr>
            <w:r w:rsidRPr="00873B6C">
              <w:rPr>
                <w:sz w:val="16"/>
                <w:szCs w:val="16"/>
              </w:rPr>
              <w:t>16.7.0</w:t>
            </w:r>
          </w:p>
        </w:tc>
      </w:tr>
      <w:tr w:rsidR="000037BE" w:rsidRPr="00873B6C" w14:paraId="0E999AC9" w14:textId="77777777" w:rsidTr="009D14FB">
        <w:tc>
          <w:tcPr>
            <w:tcW w:w="800" w:type="dxa"/>
            <w:shd w:val="solid" w:color="FFFFFF" w:fill="auto"/>
          </w:tcPr>
          <w:p w14:paraId="445074D8" w14:textId="35D3D701" w:rsidR="000037BE" w:rsidRPr="00873B6C" w:rsidRDefault="000037BE" w:rsidP="009D14FB">
            <w:pPr>
              <w:pStyle w:val="TAC"/>
              <w:rPr>
                <w:sz w:val="16"/>
                <w:szCs w:val="16"/>
              </w:rPr>
            </w:pPr>
            <w:r w:rsidRPr="00873B6C">
              <w:rPr>
                <w:sz w:val="16"/>
                <w:szCs w:val="16"/>
              </w:rPr>
              <w:t>2020-12</w:t>
            </w:r>
          </w:p>
        </w:tc>
        <w:tc>
          <w:tcPr>
            <w:tcW w:w="800" w:type="dxa"/>
            <w:shd w:val="solid" w:color="FFFFFF" w:fill="auto"/>
          </w:tcPr>
          <w:p w14:paraId="5D9F6DD7" w14:textId="1AEC0DDE" w:rsidR="000037BE" w:rsidRPr="00873B6C" w:rsidRDefault="000037BE" w:rsidP="009D14FB">
            <w:pPr>
              <w:pStyle w:val="TAL"/>
              <w:rPr>
                <w:sz w:val="16"/>
                <w:szCs w:val="16"/>
              </w:rPr>
            </w:pPr>
            <w:r w:rsidRPr="00873B6C">
              <w:rPr>
                <w:sz w:val="16"/>
                <w:szCs w:val="16"/>
              </w:rPr>
              <w:t>SP#90E</w:t>
            </w:r>
          </w:p>
        </w:tc>
        <w:tc>
          <w:tcPr>
            <w:tcW w:w="1094" w:type="dxa"/>
            <w:shd w:val="solid" w:color="FFFFFF" w:fill="auto"/>
          </w:tcPr>
          <w:p w14:paraId="4845B61C" w14:textId="76340D9F" w:rsidR="000037BE" w:rsidRPr="00873B6C" w:rsidRDefault="00CD64F1" w:rsidP="009D14FB">
            <w:pPr>
              <w:pStyle w:val="TAC"/>
              <w:rPr>
                <w:sz w:val="16"/>
                <w:szCs w:val="16"/>
              </w:rPr>
            </w:pPr>
            <w:r w:rsidRPr="00873B6C">
              <w:rPr>
                <w:sz w:val="16"/>
                <w:szCs w:val="16"/>
              </w:rPr>
              <w:t>SP-200959</w:t>
            </w:r>
          </w:p>
        </w:tc>
        <w:tc>
          <w:tcPr>
            <w:tcW w:w="567" w:type="dxa"/>
            <w:shd w:val="solid" w:color="FFFFFF" w:fill="auto"/>
          </w:tcPr>
          <w:p w14:paraId="35682451" w14:textId="32BA6002" w:rsidR="000037BE" w:rsidRPr="00873B6C" w:rsidRDefault="000037BE" w:rsidP="009D14FB">
            <w:pPr>
              <w:pStyle w:val="TAL"/>
              <w:rPr>
                <w:sz w:val="16"/>
                <w:szCs w:val="16"/>
              </w:rPr>
            </w:pPr>
            <w:r w:rsidRPr="00873B6C">
              <w:rPr>
                <w:sz w:val="16"/>
                <w:szCs w:val="16"/>
              </w:rPr>
              <w:t>2477</w:t>
            </w:r>
          </w:p>
        </w:tc>
        <w:tc>
          <w:tcPr>
            <w:tcW w:w="425" w:type="dxa"/>
            <w:shd w:val="solid" w:color="FFFFFF" w:fill="auto"/>
          </w:tcPr>
          <w:p w14:paraId="77461096" w14:textId="6CB7BD64" w:rsidR="000037BE" w:rsidRPr="00873B6C" w:rsidRDefault="000037BE" w:rsidP="009D14FB">
            <w:pPr>
              <w:pStyle w:val="TAL"/>
              <w:rPr>
                <w:sz w:val="16"/>
                <w:szCs w:val="16"/>
              </w:rPr>
            </w:pPr>
            <w:r w:rsidRPr="00873B6C">
              <w:rPr>
                <w:sz w:val="16"/>
                <w:szCs w:val="16"/>
              </w:rPr>
              <w:t>-</w:t>
            </w:r>
          </w:p>
        </w:tc>
        <w:tc>
          <w:tcPr>
            <w:tcW w:w="425" w:type="dxa"/>
            <w:shd w:val="solid" w:color="FFFFFF" w:fill="auto"/>
          </w:tcPr>
          <w:p w14:paraId="55F7508A" w14:textId="2212BDA2" w:rsidR="000037BE" w:rsidRPr="00873B6C" w:rsidRDefault="000037BE" w:rsidP="009D14FB">
            <w:pPr>
              <w:pStyle w:val="TAL"/>
              <w:rPr>
                <w:sz w:val="16"/>
                <w:szCs w:val="16"/>
              </w:rPr>
            </w:pPr>
            <w:r w:rsidRPr="00873B6C">
              <w:rPr>
                <w:sz w:val="16"/>
                <w:szCs w:val="16"/>
              </w:rPr>
              <w:t>F</w:t>
            </w:r>
          </w:p>
        </w:tc>
        <w:tc>
          <w:tcPr>
            <w:tcW w:w="4820" w:type="dxa"/>
            <w:shd w:val="solid" w:color="FFFFFF" w:fill="auto"/>
          </w:tcPr>
          <w:p w14:paraId="0BD99654" w14:textId="12E88562" w:rsidR="000037BE" w:rsidRPr="00873B6C" w:rsidRDefault="000037BE" w:rsidP="009D14FB">
            <w:pPr>
              <w:pStyle w:val="TAL"/>
              <w:rPr>
                <w:sz w:val="16"/>
                <w:szCs w:val="16"/>
              </w:rPr>
            </w:pPr>
            <w:r w:rsidRPr="00873B6C">
              <w:rPr>
                <w:sz w:val="16"/>
                <w:szCs w:val="16"/>
              </w:rPr>
              <w:t>V-SMF selection</w:t>
            </w:r>
          </w:p>
        </w:tc>
        <w:tc>
          <w:tcPr>
            <w:tcW w:w="708" w:type="dxa"/>
            <w:shd w:val="solid" w:color="FFFFFF" w:fill="auto"/>
          </w:tcPr>
          <w:p w14:paraId="3568BFFA" w14:textId="7672188F" w:rsidR="000037BE" w:rsidRPr="00873B6C" w:rsidRDefault="000037BE" w:rsidP="009D14FB">
            <w:pPr>
              <w:pStyle w:val="TAC"/>
              <w:rPr>
                <w:sz w:val="16"/>
                <w:szCs w:val="16"/>
              </w:rPr>
            </w:pPr>
            <w:r w:rsidRPr="00873B6C">
              <w:rPr>
                <w:sz w:val="16"/>
                <w:szCs w:val="16"/>
              </w:rPr>
              <w:t>16.7.0</w:t>
            </w:r>
          </w:p>
        </w:tc>
      </w:tr>
      <w:tr w:rsidR="00CD64F1" w:rsidRPr="00873B6C" w14:paraId="0EB653DE" w14:textId="77777777" w:rsidTr="009D14FB">
        <w:tc>
          <w:tcPr>
            <w:tcW w:w="800" w:type="dxa"/>
            <w:shd w:val="solid" w:color="FFFFFF" w:fill="auto"/>
          </w:tcPr>
          <w:p w14:paraId="1403852C" w14:textId="03BC2A71"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6618B7F5" w14:textId="64B4ECC4"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5D561D13" w14:textId="762D202F" w:rsidR="00CD64F1" w:rsidRPr="00873B6C" w:rsidRDefault="00CD64F1" w:rsidP="009D14FB">
            <w:pPr>
              <w:pStyle w:val="TAC"/>
              <w:rPr>
                <w:sz w:val="16"/>
                <w:szCs w:val="16"/>
              </w:rPr>
            </w:pPr>
            <w:r w:rsidRPr="00873B6C">
              <w:rPr>
                <w:sz w:val="16"/>
                <w:szCs w:val="16"/>
              </w:rPr>
              <w:t>SP-200947</w:t>
            </w:r>
          </w:p>
        </w:tc>
        <w:tc>
          <w:tcPr>
            <w:tcW w:w="567" w:type="dxa"/>
            <w:shd w:val="solid" w:color="FFFFFF" w:fill="auto"/>
          </w:tcPr>
          <w:p w14:paraId="4BA65165" w14:textId="1927432C" w:rsidR="00CD64F1" w:rsidRPr="00873B6C" w:rsidRDefault="00CD64F1" w:rsidP="009D14FB">
            <w:pPr>
              <w:pStyle w:val="TAL"/>
              <w:rPr>
                <w:sz w:val="16"/>
                <w:szCs w:val="16"/>
              </w:rPr>
            </w:pPr>
            <w:r w:rsidRPr="00873B6C">
              <w:rPr>
                <w:sz w:val="16"/>
                <w:szCs w:val="16"/>
              </w:rPr>
              <w:t>2481</w:t>
            </w:r>
          </w:p>
        </w:tc>
        <w:tc>
          <w:tcPr>
            <w:tcW w:w="425" w:type="dxa"/>
            <w:shd w:val="solid" w:color="FFFFFF" w:fill="auto"/>
          </w:tcPr>
          <w:p w14:paraId="468D7452" w14:textId="0806151C" w:rsidR="00CD64F1" w:rsidRPr="00873B6C" w:rsidRDefault="00CD64F1" w:rsidP="009D14FB">
            <w:pPr>
              <w:pStyle w:val="TAL"/>
              <w:rPr>
                <w:sz w:val="16"/>
                <w:szCs w:val="16"/>
              </w:rPr>
            </w:pPr>
            <w:r w:rsidRPr="00873B6C">
              <w:rPr>
                <w:sz w:val="16"/>
                <w:szCs w:val="16"/>
              </w:rPr>
              <w:t xml:space="preserve">- </w:t>
            </w:r>
          </w:p>
        </w:tc>
        <w:tc>
          <w:tcPr>
            <w:tcW w:w="425" w:type="dxa"/>
            <w:shd w:val="solid" w:color="FFFFFF" w:fill="auto"/>
          </w:tcPr>
          <w:p w14:paraId="3BB44575" w14:textId="6A4BC06B"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0DD960EA" w14:textId="64E9BE0F" w:rsidR="00CD64F1" w:rsidRPr="00873B6C" w:rsidRDefault="00CD64F1" w:rsidP="009D14FB">
            <w:pPr>
              <w:pStyle w:val="TAL"/>
              <w:rPr>
                <w:sz w:val="16"/>
                <w:szCs w:val="16"/>
              </w:rPr>
            </w:pPr>
            <w:r w:rsidRPr="00873B6C">
              <w:rPr>
                <w:sz w:val="16"/>
                <w:szCs w:val="16"/>
              </w:rPr>
              <w:t>Correction on Enhanced Coverage Restriction</w:t>
            </w:r>
          </w:p>
        </w:tc>
        <w:tc>
          <w:tcPr>
            <w:tcW w:w="708" w:type="dxa"/>
            <w:shd w:val="solid" w:color="FFFFFF" w:fill="auto"/>
          </w:tcPr>
          <w:p w14:paraId="6767A874" w14:textId="275F2970" w:rsidR="00CD64F1" w:rsidRPr="00873B6C" w:rsidRDefault="00CD64F1" w:rsidP="009D14FB">
            <w:pPr>
              <w:pStyle w:val="TAC"/>
              <w:rPr>
                <w:sz w:val="16"/>
                <w:szCs w:val="16"/>
              </w:rPr>
            </w:pPr>
            <w:r w:rsidRPr="00873B6C">
              <w:rPr>
                <w:sz w:val="16"/>
                <w:szCs w:val="16"/>
              </w:rPr>
              <w:t>16.7.0</w:t>
            </w:r>
          </w:p>
        </w:tc>
      </w:tr>
      <w:tr w:rsidR="00CD64F1" w:rsidRPr="00873B6C" w14:paraId="0EDAC24C" w14:textId="77777777" w:rsidTr="009D14FB">
        <w:tc>
          <w:tcPr>
            <w:tcW w:w="800" w:type="dxa"/>
            <w:shd w:val="solid" w:color="FFFFFF" w:fill="auto"/>
          </w:tcPr>
          <w:p w14:paraId="77C284B9" w14:textId="795C8FF5"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7C6A96A1" w14:textId="6F0BAC9A"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0218E35" w14:textId="6B5D42FC" w:rsidR="00CD64F1" w:rsidRPr="00873B6C" w:rsidRDefault="00CD64F1" w:rsidP="009D14FB">
            <w:pPr>
              <w:pStyle w:val="TAC"/>
              <w:rPr>
                <w:sz w:val="16"/>
                <w:szCs w:val="16"/>
              </w:rPr>
            </w:pPr>
            <w:r w:rsidRPr="00873B6C">
              <w:rPr>
                <w:sz w:val="16"/>
                <w:szCs w:val="16"/>
              </w:rPr>
              <w:t>SP-200947</w:t>
            </w:r>
          </w:p>
        </w:tc>
        <w:tc>
          <w:tcPr>
            <w:tcW w:w="567" w:type="dxa"/>
            <w:shd w:val="solid" w:color="FFFFFF" w:fill="auto"/>
          </w:tcPr>
          <w:p w14:paraId="42595A80" w14:textId="52F4BFD5" w:rsidR="00CD64F1" w:rsidRPr="00873B6C" w:rsidRDefault="00CD64F1" w:rsidP="009D14FB">
            <w:pPr>
              <w:pStyle w:val="TAL"/>
              <w:rPr>
                <w:sz w:val="16"/>
                <w:szCs w:val="16"/>
              </w:rPr>
            </w:pPr>
            <w:r w:rsidRPr="00873B6C">
              <w:rPr>
                <w:sz w:val="16"/>
                <w:szCs w:val="16"/>
              </w:rPr>
              <w:t>2482</w:t>
            </w:r>
          </w:p>
        </w:tc>
        <w:tc>
          <w:tcPr>
            <w:tcW w:w="425" w:type="dxa"/>
            <w:shd w:val="solid" w:color="FFFFFF" w:fill="auto"/>
          </w:tcPr>
          <w:p w14:paraId="78F1B2C5" w14:textId="76DFFA30" w:rsidR="00CD64F1" w:rsidRPr="00873B6C" w:rsidRDefault="00CD64F1" w:rsidP="009D14FB">
            <w:pPr>
              <w:pStyle w:val="TAL"/>
              <w:rPr>
                <w:sz w:val="16"/>
                <w:szCs w:val="16"/>
              </w:rPr>
            </w:pPr>
            <w:r w:rsidRPr="00873B6C">
              <w:rPr>
                <w:sz w:val="16"/>
                <w:szCs w:val="16"/>
              </w:rPr>
              <w:t>-</w:t>
            </w:r>
          </w:p>
        </w:tc>
        <w:tc>
          <w:tcPr>
            <w:tcW w:w="425" w:type="dxa"/>
            <w:shd w:val="solid" w:color="FFFFFF" w:fill="auto"/>
          </w:tcPr>
          <w:p w14:paraId="6B641A56" w14:textId="29848D03"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7A534F4C" w14:textId="0DFD89B8" w:rsidR="00CD64F1" w:rsidRPr="00873B6C" w:rsidRDefault="00CD64F1" w:rsidP="009D14FB">
            <w:pPr>
              <w:pStyle w:val="TAL"/>
              <w:rPr>
                <w:sz w:val="16"/>
                <w:szCs w:val="16"/>
              </w:rPr>
            </w:pPr>
            <w:r w:rsidRPr="00873B6C">
              <w:rPr>
                <w:sz w:val="16"/>
                <w:szCs w:val="16"/>
              </w:rPr>
              <w:t>Event Configuration Synchronization between 4G&amp;5G</w:t>
            </w:r>
          </w:p>
        </w:tc>
        <w:tc>
          <w:tcPr>
            <w:tcW w:w="708" w:type="dxa"/>
            <w:shd w:val="solid" w:color="FFFFFF" w:fill="auto"/>
          </w:tcPr>
          <w:p w14:paraId="691612C3" w14:textId="77E8B863" w:rsidR="00CD64F1" w:rsidRPr="00873B6C" w:rsidRDefault="00CD64F1" w:rsidP="009D14FB">
            <w:pPr>
              <w:pStyle w:val="TAC"/>
              <w:rPr>
                <w:sz w:val="16"/>
                <w:szCs w:val="16"/>
              </w:rPr>
            </w:pPr>
            <w:r w:rsidRPr="00873B6C">
              <w:rPr>
                <w:sz w:val="16"/>
                <w:szCs w:val="16"/>
              </w:rPr>
              <w:t>16.7.0</w:t>
            </w:r>
          </w:p>
        </w:tc>
      </w:tr>
      <w:tr w:rsidR="00CD64F1" w:rsidRPr="00873B6C" w14:paraId="74E0E179" w14:textId="77777777" w:rsidTr="009D14FB">
        <w:tc>
          <w:tcPr>
            <w:tcW w:w="800" w:type="dxa"/>
            <w:shd w:val="solid" w:color="FFFFFF" w:fill="auto"/>
          </w:tcPr>
          <w:p w14:paraId="7B66A2E8" w14:textId="7236C4A2"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2B849E1C" w14:textId="3A22676C"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19B26D85" w14:textId="67431FBF" w:rsidR="00CD64F1" w:rsidRPr="00873B6C" w:rsidRDefault="00CD64F1" w:rsidP="009D14FB">
            <w:pPr>
              <w:pStyle w:val="TAC"/>
              <w:rPr>
                <w:sz w:val="16"/>
                <w:szCs w:val="16"/>
              </w:rPr>
            </w:pPr>
            <w:r w:rsidRPr="00873B6C">
              <w:rPr>
                <w:sz w:val="16"/>
                <w:szCs w:val="16"/>
              </w:rPr>
              <w:t>SP-200949</w:t>
            </w:r>
          </w:p>
        </w:tc>
        <w:tc>
          <w:tcPr>
            <w:tcW w:w="567" w:type="dxa"/>
            <w:shd w:val="solid" w:color="FFFFFF" w:fill="auto"/>
          </w:tcPr>
          <w:p w14:paraId="6D203685" w14:textId="30C75DDB" w:rsidR="00CD64F1" w:rsidRPr="00873B6C" w:rsidRDefault="00CD64F1" w:rsidP="009D14FB">
            <w:pPr>
              <w:pStyle w:val="TAL"/>
              <w:rPr>
                <w:sz w:val="16"/>
                <w:szCs w:val="16"/>
              </w:rPr>
            </w:pPr>
            <w:r w:rsidRPr="00873B6C">
              <w:rPr>
                <w:sz w:val="16"/>
                <w:szCs w:val="16"/>
              </w:rPr>
              <w:t>2483</w:t>
            </w:r>
          </w:p>
        </w:tc>
        <w:tc>
          <w:tcPr>
            <w:tcW w:w="425" w:type="dxa"/>
            <w:shd w:val="solid" w:color="FFFFFF" w:fill="auto"/>
          </w:tcPr>
          <w:p w14:paraId="07D876CB" w14:textId="21885BC1"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16520192" w14:textId="0E174621"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6312FDE0" w14:textId="0A5AF27D" w:rsidR="00CD64F1" w:rsidRPr="00873B6C" w:rsidRDefault="00CD64F1" w:rsidP="009D14FB">
            <w:pPr>
              <w:pStyle w:val="TAL"/>
              <w:rPr>
                <w:sz w:val="16"/>
                <w:szCs w:val="16"/>
              </w:rPr>
            </w:pPr>
            <w:r w:rsidRPr="00873B6C">
              <w:rPr>
                <w:sz w:val="16"/>
                <w:szCs w:val="16"/>
              </w:rPr>
              <w:t>Group Id from AMF to SMF removal when SCP is responsible for reselection</w:t>
            </w:r>
          </w:p>
        </w:tc>
        <w:tc>
          <w:tcPr>
            <w:tcW w:w="708" w:type="dxa"/>
            <w:shd w:val="solid" w:color="FFFFFF" w:fill="auto"/>
          </w:tcPr>
          <w:p w14:paraId="6AA27149" w14:textId="212286D9" w:rsidR="00CD64F1" w:rsidRPr="00873B6C" w:rsidRDefault="00CD64F1" w:rsidP="009D14FB">
            <w:pPr>
              <w:pStyle w:val="TAC"/>
              <w:rPr>
                <w:sz w:val="16"/>
                <w:szCs w:val="16"/>
              </w:rPr>
            </w:pPr>
            <w:r w:rsidRPr="00873B6C">
              <w:rPr>
                <w:sz w:val="16"/>
                <w:szCs w:val="16"/>
              </w:rPr>
              <w:t>16.7.0</w:t>
            </w:r>
          </w:p>
        </w:tc>
      </w:tr>
      <w:tr w:rsidR="00CD64F1" w:rsidRPr="00873B6C" w14:paraId="40B65876" w14:textId="77777777" w:rsidTr="009D14FB">
        <w:tc>
          <w:tcPr>
            <w:tcW w:w="800" w:type="dxa"/>
            <w:shd w:val="solid" w:color="FFFFFF" w:fill="auto"/>
          </w:tcPr>
          <w:p w14:paraId="4CC80D32" w14:textId="2E6C844E"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31AF1520" w14:textId="141C6B39"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4CA3DED" w14:textId="601680EF"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7DB663A4" w14:textId="6838848D" w:rsidR="00CD64F1" w:rsidRPr="00873B6C" w:rsidRDefault="00CD64F1" w:rsidP="009D14FB">
            <w:pPr>
              <w:pStyle w:val="TAL"/>
              <w:rPr>
                <w:sz w:val="16"/>
                <w:szCs w:val="16"/>
              </w:rPr>
            </w:pPr>
            <w:r w:rsidRPr="00873B6C">
              <w:rPr>
                <w:sz w:val="16"/>
                <w:szCs w:val="16"/>
              </w:rPr>
              <w:t>2485</w:t>
            </w:r>
          </w:p>
        </w:tc>
        <w:tc>
          <w:tcPr>
            <w:tcW w:w="425" w:type="dxa"/>
            <w:shd w:val="solid" w:color="FFFFFF" w:fill="auto"/>
          </w:tcPr>
          <w:p w14:paraId="591993C5" w14:textId="0D68945F"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4546DCE2" w14:textId="1F64F997"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4A94AEA8" w14:textId="2E24C575" w:rsidR="00CD64F1" w:rsidRPr="00873B6C" w:rsidRDefault="00CD64F1" w:rsidP="009D14FB">
            <w:pPr>
              <w:pStyle w:val="TAL"/>
              <w:rPr>
                <w:sz w:val="16"/>
                <w:szCs w:val="16"/>
              </w:rPr>
            </w:pPr>
            <w:r w:rsidRPr="00873B6C">
              <w:rPr>
                <w:sz w:val="16"/>
                <w:szCs w:val="16"/>
              </w:rPr>
              <w:t>Continuation of PDU sessions upon mobility to a target PLMN</w:t>
            </w:r>
          </w:p>
        </w:tc>
        <w:tc>
          <w:tcPr>
            <w:tcW w:w="708" w:type="dxa"/>
            <w:shd w:val="solid" w:color="FFFFFF" w:fill="auto"/>
          </w:tcPr>
          <w:p w14:paraId="44FD33BB" w14:textId="0AEBB157" w:rsidR="00CD64F1" w:rsidRPr="00873B6C" w:rsidRDefault="00CD64F1" w:rsidP="009D14FB">
            <w:pPr>
              <w:pStyle w:val="TAC"/>
              <w:rPr>
                <w:sz w:val="16"/>
                <w:szCs w:val="16"/>
              </w:rPr>
            </w:pPr>
            <w:r w:rsidRPr="00873B6C">
              <w:rPr>
                <w:sz w:val="16"/>
                <w:szCs w:val="16"/>
              </w:rPr>
              <w:t>16.7.0</w:t>
            </w:r>
          </w:p>
        </w:tc>
      </w:tr>
      <w:tr w:rsidR="00CD64F1" w:rsidRPr="00873B6C" w14:paraId="419EB116" w14:textId="77777777" w:rsidTr="009D14FB">
        <w:tc>
          <w:tcPr>
            <w:tcW w:w="800" w:type="dxa"/>
            <w:shd w:val="solid" w:color="FFFFFF" w:fill="auto"/>
          </w:tcPr>
          <w:p w14:paraId="037BB556" w14:textId="7FFC8350"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3BE855EC" w14:textId="15468A9A"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5B35029E" w14:textId="3322D496"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1BB256F8" w14:textId="09BEB038" w:rsidR="00CD64F1" w:rsidRPr="00873B6C" w:rsidRDefault="00CD64F1" w:rsidP="009D14FB">
            <w:pPr>
              <w:pStyle w:val="TAL"/>
              <w:rPr>
                <w:sz w:val="16"/>
                <w:szCs w:val="16"/>
              </w:rPr>
            </w:pPr>
            <w:r w:rsidRPr="00873B6C">
              <w:rPr>
                <w:sz w:val="16"/>
                <w:szCs w:val="16"/>
              </w:rPr>
              <w:t>2486</w:t>
            </w:r>
          </w:p>
        </w:tc>
        <w:tc>
          <w:tcPr>
            <w:tcW w:w="425" w:type="dxa"/>
            <w:shd w:val="solid" w:color="FFFFFF" w:fill="auto"/>
          </w:tcPr>
          <w:p w14:paraId="23BF2D54" w14:textId="5038A85C"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783AC30F" w14:textId="110F744A"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015A0499" w14:textId="56D13674" w:rsidR="00CD64F1" w:rsidRPr="00873B6C" w:rsidRDefault="00CD64F1" w:rsidP="009D14FB">
            <w:pPr>
              <w:pStyle w:val="TAL"/>
              <w:rPr>
                <w:sz w:val="16"/>
                <w:szCs w:val="16"/>
              </w:rPr>
            </w:pPr>
            <w:r w:rsidRPr="00873B6C">
              <w:rPr>
                <w:sz w:val="16"/>
                <w:szCs w:val="16"/>
              </w:rPr>
              <w:t>Clarification of CAG information</w:t>
            </w:r>
          </w:p>
        </w:tc>
        <w:tc>
          <w:tcPr>
            <w:tcW w:w="708" w:type="dxa"/>
            <w:shd w:val="solid" w:color="FFFFFF" w:fill="auto"/>
          </w:tcPr>
          <w:p w14:paraId="756F15A7" w14:textId="00871FC5" w:rsidR="00CD64F1" w:rsidRPr="00873B6C" w:rsidRDefault="00CD64F1" w:rsidP="009D14FB">
            <w:pPr>
              <w:pStyle w:val="TAC"/>
              <w:rPr>
                <w:sz w:val="16"/>
                <w:szCs w:val="16"/>
              </w:rPr>
            </w:pPr>
            <w:r w:rsidRPr="00873B6C">
              <w:rPr>
                <w:sz w:val="16"/>
                <w:szCs w:val="16"/>
              </w:rPr>
              <w:t>16.7.0</w:t>
            </w:r>
          </w:p>
        </w:tc>
      </w:tr>
      <w:tr w:rsidR="00CD64F1" w:rsidRPr="00873B6C" w14:paraId="1D854F3F" w14:textId="77777777" w:rsidTr="009D14FB">
        <w:tc>
          <w:tcPr>
            <w:tcW w:w="800" w:type="dxa"/>
            <w:shd w:val="solid" w:color="FFFFFF" w:fill="auto"/>
          </w:tcPr>
          <w:p w14:paraId="0546A9E0" w14:textId="1E3DE48D"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02EFAC54" w14:textId="4775C5B2"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3FB2D498" w14:textId="00551B52" w:rsidR="00CD64F1" w:rsidRPr="00873B6C" w:rsidRDefault="00CD64F1" w:rsidP="009D14FB">
            <w:pPr>
              <w:pStyle w:val="TAC"/>
              <w:rPr>
                <w:sz w:val="16"/>
                <w:szCs w:val="16"/>
              </w:rPr>
            </w:pPr>
            <w:r w:rsidRPr="00873B6C">
              <w:rPr>
                <w:sz w:val="16"/>
                <w:szCs w:val="16"/>
              </w:rPr>
              <w:t>SP-200958</w:t>
            </w:r>
          </w:p>
        </w:tc>
        <w:tc>
          <w:tcPr>
            <w:tcW w:w="567" w:type="dxa"/>
            <w:shd w:val="solid" w:color="FFFFFF" w:fill="auto"/>
          </w:tcPr>
          <w:p w14:paraId="4A929DBF" w14:textId="02D8AA56" w:rsidR="00CD64F1" w:rsidRPr="00873B6C" w:rsidRDefault="00CD64F1" w:rsidP="009D14FB">
            <w:pPr>
              <w:pStyle w:val="TAL"/>
              <w:rPr>
                <w:sz w:val="16"/>
                <w:szCs w:val="16"/>
              </w:rPr>
            </w:pPr>
            <w:r w:rsidRPr="00873B6C">
              <w:rPr>
                <w:sz w:val="16"/>
                <w:szCs w:val="16"/>
              </w:rPr>
              <w:t>2487</w:t>
            </w:r>
          </w:p>
        </w:tc>
        <w:tc>
          <w:tcPr>
            <w:tcW w:w="425" w:type="dxa"/>
            <w:shd w:val="solid" w:color="FFFFFF" w:fill="auto"/>
          </w:tcPr>
          <w:p w14:paraId="75BA79C2" w14:textId="44F31810" w:rsidR="00CD64F1" w:rsidRPr="00873B6C" w:rsidRDefault="00CD64F1" w:rsidP="009D14FB">
            <w:pPr>
              <w:pStyle w:val="TAL"/>
              <w:rPr>
                <w:sz w:val="16"/>
                <w:szCs w:val="16"/>
              </w:rPr>
            </w:pPr>
            <w:r w:rsidRPr="00873B6C">
              <w:rPr>
                <w:sz w:val="16"/>
                <w:szCs w:val="16"/>
              </w:rPr>
              <w:t>-</w:t>
            </w:r>
          </w:p>
        </w:tc>
        <w:tc>
          <w:tcPr>
            <w:tcW w:w="425" w:type="dxa"/>
            <w:shd w:val="solid" w:color="FFFFFF" w:fill="auto"/>
          </w:tcPr>
          <w:p w14:paraId="0DDDEB5C" w14:textId="3951744D"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59AE0D9" w14:textId="4282BA87" w:rsidR="00CD64F1" w:rsidRPr="00873B6C" w:rsidRDefault="00CD64F1" w:rsidP="009D14FB">
            <w:pPr>
              <w:pStyle w:val="TAL"/>
              <w:rPr>
                <w:sz w:val="16"/>
                <w:szCs w:val="16"/>
              </w:rPr>
            </w:pPr>
            <w:r w:rsidRPr="00873B6C">
              <w:rPr>
                <w:sz w:val="16"/>
                <w:szCs w:val="16"/>
              </w:rPr>
              <w:t>Removal of NSSAA related statements</w:t>
            </w:r>
          </w:p>
        </w:tc>
        <w:tc>
          <w:tcPr>
            <w:tcW w:w="708" w:type="dxa"/>
            <w:shd w:val="solid" w:color="FFFFFF" w:fill="auto"/>
          </w:tcPr>
          <w:p w14:paraId="71B08FB0" w14:textId="7C6DBB82" w:rsidR="00CD64F1" w:rsidRPr="00873B6C" w:rsidRDefault="00CD64F1" w:rsidP="009D14FB">
            <w:pPr>
              <w:pStyle w:val="TAC"/>
              <w:rPr>
                <w:sz w:val="16"/>
                <w:szCs w:val="16"/>
              </w:rPr>
            </w:pPr>
            <w:r w:rsidRPr="00873B6C">
              <w:rPr>
                <w:sz w:val="16"/>
                <w:szCs w:val="16"/>
              </w:rPr>
              <w:t>16.7.0</w:t>
            </w:r>
          </w:p>
        </w:tc>
      </w:tr>
      <w:tr w:rsidR="00CD64F1" w:rsidRPr="00873B6C" w14:paraId="77BD1FA2" w14:textId="77777777" w:rsidTr="009D14FB">
        <w:tc>
          <w:tcPr>
            <w:tcW w:w="800" w:type="dxa"/>
            <w:shd w:val="solid" w:color="FFFFFF" w:fill="auto"/>
          </w:tcPr>
          <w:p w14:paraId="01633D72" w14:textId="2D738AF4"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738E753" w14:textId="44A68B48"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3D0F3BBD" w14:textId="77BB6C1F"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0C7385C6" w14:textId="2078D9CE" w:rsidR="00CD64F1" w:rsidRPr="00873B6C" w:rsidRDefault="00CD64F1" w:rsidP="009D14FB">
            <w:pPr>
              <w:pStyle w:val="TAL"/>
              <w:rPr>
                <w:sz w:val="16"/>
                <w:szCs w:val="16"/>
              </w:rPr>
            </w:pPr>
            <w:r w:rsidRPr="00873B6C">
              <w:rPr>
                <w:sz w:val="16"/>
                <w:szCs w:val="16"/>
              </w:rPr>
              <w:t>2488</w:t>
            </w:r>
          </w:p>
        </w:tc>
        <w:tc>
          <w:tcPr>
            <w:tcW w:w="425" w:type="dxa"/>
            <w:shd w:val="solid" w:color="FFFFFF" w:fill="auto"/>
          </w:tcPr>
          <w:p w14:paraId="46DFB4AD" w14:textId="0FECA286"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0F233016" w14:textId="66BA4292"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53F86A4C" w14:textId="0B1D2259" w:rsidR="00CD64F1" w:rsidRPr="00873B6C" w:rsidRDefault="00CD64F1" w:rsidP="009D14FB">
            <w:pPr>
              <w:pStyle w:val="TAL"/>
              <w:rPr>
                <w:sz w:val="16"/>
                <w:szCs w:val="16"/>
              </w:rPr>
            </w:pPr>
            <w:r w:rsidRPr="00873B6C">
              <w:rPr>
                <w:sz w:val="16"/>
                <w:szCs w:val="16"/>
              </w:rPr>
              <w:t>Alignment with CT specification on updating the UE with new CAG information</w:t>
            </w:r>
          </w:p>
        </w:tc>
        <w:tc>
          <w:tcPr>
            <w:tcW w:w="708" w:type="dxa"/>
            <w:shd w:val="solid" w:color="FFFFFF" w:fill="auto"/>
          </w:tcPr>
          <w:p w14:paraId="7C12C930" w14:textId="6AEC285F" w:rsidR="00CD64F1" w:rsidRPr="00873B6C" w:rsidRDefault="00CD64F1" w:rsidP="009D14FB">
            <w:pPr>
              <w:pStyle w:val="TAC"/>
              <w:rPr>
                <w:sz w:val="16"/>
                <w:szCs w:val="16"/>
              </w:rPr>
            </w:pPr>
            <w:r w:rsidRPr="00873B6C">
              <w:rPr>
                <w:sz w:val="16"/>
                <w:szCs w:val="16"/>
              </w:rPr>
              <w:t>16.7.0</w:t>
            </w:r>
          </w:p>
        </w:tc>
      </w:tr>
      <w:tr w:rsidR="00CD64F1" w:rsidRPr="00873B6C" w14:paraId="6839F5BB" w14:textId="77777777" w:rsidTr="009D14FB">
        <w:tc>
          <w:tcPr>
            <w:tcW w:w="800" w:type="dxa"/>
            <w:shd w:val="solid" w:color="FFFFFF" w:fill="auto"/>
          </w:tcPr>
          <w:p w14:paraId="3C35C541" w14:textId="129507BD"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75DD0FF3" w14:textId="7A569A59"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3CB9C61A" w14:textId="2E4C780B"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3DF1B1C8" w14:textId="1F47FA78" w:rsidR="00CD64F1" w:rsidRPr="00873B6C" w:rsidRDefault="00CD64F1" w:rsidP="009D14FB">
            <w:pPr>
              <w:pStyle w:val="TAL"/>
              <w:rPr>
                <w:sz w:val="16"/>
                <w:szCs w:val="16"/>
              </w:rPr>
            </w:pPr>
            <w:r w:rsidRPr="00873B6C">
              <w:rPr>
                <w:sz w:val="16"/>
                <w:szCs w:val="16"/>
              </w:rPr>
              <w:t>2490</w:t>
            </w:r>
          </w:p>
        </w:tc>
        <w:tc>
          <w:tcPr>
            <w:tcW w:w="425" w:type="dxa"/>
            <w:shd w:val="solid" w:color="FFFFFF" w:fill="auto"/>
          </w:tcPr>
          <w:p w14:paraId="7C3E136E" w14:textId="3E948692"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747C51A1" w14:textId="61245AB8"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60547244" w14:textId="3F028165" w:rsidR="00CD64F1" w:rsidRPr="00873B6C" w:rsidRDefault="00CD64F1" w:rsidP="009D14FB">
            <w:pPr>
              <w:pStyle w:val="TAL"/>
              <w:rPr>
                <w:sz w:val="16"/>
                <w:szCs w:val="16"/>
              </w:rPr>
            </w:pPr>
            <w:r w:rsidRPr="00873B6C">
              <w:rPr>
                <w:sz w:val="16"/>
                <w:szCs w:val="16"/>
              </w:rPr>
              <w:t>Correction on AMF discovery and selection</w:t>
            </w:r>
          </w:p>
        </w:tc>
        <w:tc>
          <w:tcPr>
            <w:tcW w:w="708" w:type="dxa"/>
            <w:shd w:val="solid" w:color="FFFFFF" w:fill="auto"/>
          </w:tcPr>
          <w:p w14:paraId="22B08062" w14:textId="074E7C1B" w:rsidR="00CD64F1" w:rsidRPr="00873B6C" w:rsidRDefault="00CD64F1" w:rsidP="009D14FB">
            <w:pPr>
              <w:pStyle w:val="TAC"/>
              <w:rPr>
                <w:sz w:val="16"/>
                <w:szCs w:val="16"/>
              </w:rPr>
            </w:pPr>
            <w:r w:rsidRPr="00873B6C">
              <w:rPr>
                <w:sz w:val="16"/>
                <w:szCs w:val="16"/>
              </w:rPr>
              <w:t>16.7.0</w:t>
            </w:r>
          </w:p>
        </w:tc>
      </w:tr>
      <w:tr w:rsidR="00CD64F1" w:rsidRPr="00873B6C" w14:paraId="7A9CDC59" w14:textId="77777777" w:rsidTr="009D14FB">
        <w:tc>
          <w:tcPr>
            <w:tcW w:w="800" w:type="dxa"/>
            <w:shd w:val="solid" w:color="FFFFFF" w:fill="auto"/>
          </w:tcPr>
          <w:p w14:paraId="5F4C00C8" w14:textId="6EBE2DC7"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01C6E169" w14:textId="10EF176B"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45C23875" w14:textId="53C8326C"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46FCCD01" w14:textId="0926A897" w:rsidR="00CD64F1" w:rsidRPr="00873B6C" w:rsidRDefault="00CD64F1" w:rsidP="009D14FB">
            <w:pPr>
              <w:pStyle w:val="TAL"/>
              <w:rPr>
                <w:sz w:val="16"/>
                <w:szCs w:val="16"/>
              </w:rPr>
            </w:pPr>
            <w:r w:rsidRPr="00873B6C">
              <w:rPr>
                <w:sz w:val="16"/>
                <w:szCs w:val="16"/>
              </w:rPr>
              <w:t>2499</w:t>
            </w:r>
          </w:p>
        </w:tc>
        <w:tc>
          <w:tcPr>
            <w:tcW w:w="425" w:type="dxa"/>
            <w:shd w:val="solid" w:color="FFFFFF" w:fill="auto"/>
          </w:tcPr>
          <w:p w14:paraId="6B516A70" w14:textId="47B1D013"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2D6D4B0B" w14:textId="071BD1B0"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54E49E51" w14:textId="5367071E" w:rsidR="00CD64F1" w:rsidRPr="00873B6C" w:rsidRDefault="00CD64F1" w:rsidP="009D14FB">
            <w:pPr>
              <w:pStyle w:val="TAL"/>
              <w:rPr>
                <w:sz w:val="16"/>
                <w:szCs w:val="16"/>
              </w:rPr>
            </w:pPr>
            <w:r w:rsidRPr="00873B6C">
              <w:rPr>
                <w:sz w:val="16"/>
                <w:szCs w:val="16"/>
              </w:rPr>
              <w:t>S-NSSAI handling at the Inter PLMN mobility</w:t>
            </w:r>
          </w:p>
        </w:tc>
        <w:tc>
          <w:tcPr>
            <w:tcW w:w="708" w:type="dxa"/>
            <w:shd w:val="solid" w:color="FFFFFF" w:fill="auto"/>
          </w:tcPr>
          <w:p w14:paraId="619A618A" w14:textId="399D4A06" w:rsidR="00CD64F1" w:rsidRPr="00873B6C" w:rsidRDefault="00CD64F1" w:rsidP="009D14FB">
            <w:pPr>
              <w:pStyle w:val="TAC"/>
              <w:rPr>
                <w:sz w:val="16"/>
                <w:szCs w:val="16"/>
              </w:rPr>
            </w:pPr>
            <w:r w:rsidRPr="00873B6C">
              <w:rPr>
                <w:sz w:val="16"/>
                <w:szCs w:val="16"/>
              </w:rPr>
              <w:t>16.7.0</w:t>
            </w:r>
          </w:p>
        </w:tc>
      </w:tr>
      <w:tr w:rsidR="00CD64F1" w:rsidRPr="00873B6C" w14:paraId="441F0F2D" w14:textId="77777777" w:rsidTr="009D14FB">
        <w:tc>
          <w:tcPr>
            <w:tcW w:w="800" w:type="dxa"/>
            <w:shd w:val="solid" w:color="FFFFFF" w:fill="auto"/>
          </w:tcPr>
          <w:p w14:paraId="0F448E4F" w14:textId="76961945"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41428DE" w14:textId="775469CB"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470A105" w14:textId="7754DE78"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0FDE0487" w14:textId="78F1AA2F" w:rsidR="00CD64F1" w:rsidRPr="00873B6C" w:rsidRDefault="00CD64F1" w:rsidP="009D14FB">
            <w:pPr>
              <w:pStyle w:val="TAL"/>
              <w:rPr>
                <w:sz w:val="16"/>
                <w:szCs w:val="16"/>
              </w:rPr>
            </w:pPr>
            <w:r w:rsidRPr="00873B6C">
              <w:rPr>
                <w:sz w:val="16"/>
                <w:szCs w:val="16"/>
              </w:rPr>
              <w:t>2500</w:t>
            </w:r>
          </w:p>
        </w:tc>
        <w:tc>
          <w:tcPr>
            <w:tcW w:w="425" w:type="dxa"/>
            <w:shd w:val="solid" w:color="FFFFFF" w:fill="auto"/>
          </w:tcPr>
          <w:p w14:paraId="53605C00" w14:textId="21E00781" w:rsidR="00CD64F1" w:rsidRPr="00873B6C" w:rsidRDefault="00CD64F1" w:rsidP="009D14FB">
            <w:pPr>
              <w:pStyle w:val="TAL"/>
              <w:rPr>
                <w:sz w:val="16"/>
                <w:szCs w:val="16"/>
              </w:rPr>
            </w:pPr>
            <w:r w:rsidRPr="00873B6C">
              <w:rPr>
                <w:sz w:val="16"/>
                <w:szCs w:val="16"/>
              </w:rPr>
              <w:t>-</w:t>
            </w:r>
          </w:p>
        </w:tc>
        <w:tc>
          <w:tcPr>
            <w:tcW w:w="425" w:type="dxa"/>
            <w:shd w:val="solid" w:color="FFFFFF" w:fill="auto"/>
          </w:tcPr>
          <w:p w14:paraId="32B6453E" w14:textId="7089C4EB"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58B1BD1" w14:textId="6F683253" w:rsidR="00CD64F1" w:rsidRPr="00873B6C" w:rsidRDefault="00CD64F1" w:rsidP="009D14FB">
            <w:pPr>
              <w:pStyle w:val="TAL"/>
              <w:rPr>
                <w:sz w:val="16"/>
                <w:szCs w:val="16"/>
              </w:rPr>
            </w:pPr>
            <w:r w:rsidRPr="00873B6C">
              <w:rPr>
                <w:sz w:val="16"/>
                <w:szCs w:val="16"/>
              </w:rPr>
              <w:t>Correction on mobility restriction</w:t>
            </w:r>
          </w:p>
        </w:tc>
        <w:tc>
          <w:tcPr>
            <w:tcW w:w="708" w:type="dxa"/>
            <w:shd w:val="solid" w:color="FFFFFF" w:fill="auto"/>
          </w:tcPr>
          <w:p w14:paraId="14B6CE8F" w14:textId="1B92A5CE" w:rsidR="00CD64F1" w:rsidRPr="00873B6C" w:rsidRDefault="00CD64F1" w:rsidP="009D14FB">
            <w:pPr>
              <w:pStyle w:val="TAC"/>
              <w:rPr>
                <w:sz w:val="16"/>
                <w:szCs w:val="16"/>
              </w:rPr>
            </w:pPr>
            <w:r w:rsidRPr="00873B6C">
              <w:rPr>
                <w:sz w:val="16"/>
                <w:szCs w:val="16"/>
              </w:rPr>
              <w:t>16.7.0</w:t>
            </w:r>
          </w:p>
        </w:tc>
      </w:tr>
      <w:tr w:rsidR="00CD64F1" w:rsidRPr="00873B6C" w14:paraId="6654FA41" w14:textId="77777777" w:rsidTr="009D14FB">
        <w:tc>
          <w:tcPr>
            <w:tcW w:w="800" w:type="dxa"/>
            <w:shd w:val="solid" w:color="FFFFFF" w:fill="auto"/>
          </w:tcPr>
          <w:p w14:paraId="41E4331B" w14:textId="65117BA8"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6A897244" w14:textId="6AC1D962"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35F18447" w14:textId="649D957F"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0D6C6F03" w14:textId="047A1741" w:rsidR="00CD64F1" w:rsidRPr="00873B6C" w:rsidRDefault="00CD64F1" w:rsidP="009D14FB">
            <w:pPr>
              <w:pStyle w:val="TAL"/>
              <w:rPr>
                <w:sz w:val="16"/>
                <w:szCs w:val="16"/>
              </w:rPr>
            </w:pPr>
            <w:r w:rsidRPr="00873B6C">
              <w:rPr>
                <w:sz w:val="16"/>
                <w:szCs w:val="16"/>
              </w:rPr>
              <w:t>2502</w:t>
            </w:r>
          </w:p>
        </w:tc>
        <w:tc>
          <w:tcPr>
            <w:tcW w:w="425" w:type="dxa"/>
            <w:shd w:val="solid" w:color="FFFFFF" w:fill="auto"/>
          </w:tcPr>
          <w:p w14:paraId="13EB8A0E" w14:textId="167E23E9"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4E1BE4E5" w14:textId="73E8C9F7"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F290CAB" w14:textId="3A720191" w:rsidR="00CD64F1" w:rsidRPr="00873B6C" w:rsidRDefault="00CD64F1" w:rsidP="009D14FB">
            <w:pPr>
              <w:pStyle w:val="TAL"/>
              <w:rPr>
                <w:sz w:val="16"/>
                <w:szCs w:val="16"/>
              </w:rPr>
            </w:pPr>
            <w:r w:rsidRPr="00873B6C">
              <w:rPr>
                <w:sz w:val="16"/>
                <w:szCs w:val="16"/>
              </w:rPr>
              <w:t>Correction of AF use of Internal Group Identifier</w:t>
            </w:r>
          </w:p>
        </w:tc>
        <w:tc>
          <w:tcPr>
            <w:tcW w:w="708" w:type="dxa"/>
            <w:shd w:val="solid" w:color="FFFFFF" w:fill="auto"/>
          </w:tcPr>
          <w:p w14:paraId="04D7D00B" w14:textId="3E2AFA1B" w:rsidR="00CD64F1" w:rsidRPr="00873B6C" w:rsidRDefault="00CD64F1" w:rsidP="009D14FB">
            <w:pPr>
              <w:pStyle w:val="TAC"/>
              <w:rPr>
                <w:sz w:val="16"/>
                <w:szCs w:val="16"/>
              </w:rPr>
            </w:pPr>
            <w:r w:rsidRPr="00873B6C">
              <w:rPr>
                <w:sz w:val="16"/>
                <w:szCs w:val="16"/>
              </w:rPr>
              <w:t>16.7.0</w:t>
            </w:r>
          </w:p>
        </w:tc>
      </w:tr>
      <w:tr w:rsidR="00CD64F1" w:rsidRPr="00873B6C" w14:paraId="02E9ACA9" w14:textId="77777777" w:rsidTr="009D14FB">
        <w:tc>
          <w:tcPr>
            <w:tcW w:w="800" w:type="dxa"/>
            <w:shd w:val="solid" w:color="FFFFFF" w:fill="auto"/>
          </w:tcPr>
          <w:p w14:paraId="7ADEF260" w14:textId="59919287"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60541C3" w14:textId="40AF3BA8"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2B8BD78" w14:textId="195069E8"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24496017" w14:textId="073B45D7" w:rsidR="00CD64F1" w:rsidRPr="00873B6C" w:rsidRDefault="00CD64F1" w:rsidP="009D14FB">
            <w:pPr>
              <w:pStyle w:val="TAL"/>
              <w:rPr>
                <w:sz w:val="16"/>
                <w:szCs w:val="16"/>
              </w:rPr>
            </w:pPr>
            <w:r w:rsidRPr="00873B6C">
              <w:rPr>
                <w:sz w:val="16"/>
                <w:szCs w:val="16"/>
              </w:rPr>
              <w:t>2504</w:t>
            </w:r>
          </w:p>
        </w:tc>
        <w:tc>
          <w:tcPr>
            <w:tcW w:w="425" w:type="dxa"/>
            <w:shd w:val="solid" w:color="FFFFFF" w:fill="auto"/>
          </w:tcPr>
          <w:p w14:paraId="2DF80E60" w14:textId="0E46E386"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204C3F4F" w14:textId="3A38A6BB"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282589A6" w14:textId="6E5968C3" w:rsidR="00CD64F1" w:rsidRPr="00873B6C" w:rsidRDefault="00CD64F1" w:rsidP="009D14FB">
            <w:pPr>
              <w:pStyle w:val="TAL"/>
              <w:rPr>
                <w:sz w:val="16"/>
                <w:szCs w:val="16"/>
              </w:rPr>
            </w:pPr>
            <w:r w:rsidRPr="00873B6C">
              <w:rPr>
                <w:sz w:val="16"/>
                <w:szCs w:val="16"/>
              </w:rPr>
              <w:t>Clarification on UPF report Bridge ID</w:t>
            </w:r>
          </w:p>
        </w:tc>
        <w:tc>
          <w:tcPr>
            <w:tcW w:w="708" w:type="dxa"/>
            <w:shd w:val="solid" w:color="FFFFFF" w:fill="auto"/>
          </w:tcPr>
          <w:p w14:paraId="431E77E0" w14:textId="460C2696" w:rsidR="00CD64F1" w:rsidRPr="00873B6C" w:rsidRDefault="00CD64F1" w:rsidP="009D14FB">
            <w:pPr>
              <w:pStyle w:val="TAC"/>
              <w:rPr>
                <w:sz w:val="16"/>
                <w:szCs w:val="16"/>
              </w:rPr>
            </w:pPr>
            <w:r w:rsidRPr="00873B6C">
              <w:rPr>
                <w:sz w:val="16"/>
                <w:szCs w:val="16"/>
              </w:rPr>
              <w:t>16.7.0</w:t>
            </w:r>
          </w:p>
        </w:tc>
      </w:tr>
      <w:tr w:rsidR="00CD64F1" w:rsidRPr="00873B6C" w14:paraId="5B8B39CF" w14:textId="77777777" w:rsidTr="009D14FB">
        <w:tc>
          <w:tcPr>
            <w:tcW w:w="800" w:type="dxa"/>
            <w:shd w:val="solid" w:color="FFFFFF" w:fill="auto"/>
          </w:tcPr>
          <w:p w14:paraId="25BD6D29" w14:textId="0735AC05"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6F1197A8" w14:textId="3114F98F"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10F3F91A" w14:textId="6B20125E" w:rsidR="00CD64F1" w:rsidRPr="00873B6C" w:rsidRDefault="00CD64F1" w:rsidP="009D14FB">
            <w:pPr>
              <w:pStyle w:val="TAC"/>
              <w:rPr>
                <w:sz w:val="16"/>
                <w:szCs w:val="16"/>
              </w:rPr>
            </w:pPr>
            <w:r w:rsidRPr="00873B6C">
              <w:rPr>
                <w:sz w:val="16"/>
                <w:szCs w:val="16"/>
              </w:rPr>
              <w:t>SP-200954</w:t>
            </w:r>
          </w:p>
        </w:tc>
        <w:tc>
          <w:tcPr>
            <w:tcW w:w="567" w:type="dxa"/>
            <w:shd w:val="solid" w:color="FFFFFF" w:fill="auto"/>
          </w:tcPr>
          <w:p w14:paraId="7AA811AA" w14:textId="2A637E06" w:rsidR="00CD64F1" w:rsidRPr="00873B6C" w:rsidRDefault="00CD64F1" w:rsidP="009D14FB">
            <w:pPr>
              <w:pStyle w:val="TAL"/>
              <w:rPr>
                <w:sz w:val="16"/>
                <w:szCs w:val="16"/>
              </w:rPr>
            </w:pPr>
            <w:r w:rsidRPr="00873B6C">
              <w:rPr>
                <w:sz w:val="16"/>
                <w:szCs w:val="16"/>
              </w:rPr>
              <w:t>2510</w:t>
            </w:r>
          </w:p>
        </w:tc>
        <w:tc>
          <w:tcPr>
            <w:tcW w:w="425" w:type="dxa"/>
            <w:shd w:val="solid" w:color="FFFFFF" w:fill="auto"/>
          </w:tcPr>
          <w:p w14:paraId="1CBAA1F1" w14:textId="3788014D" w:rsidR="00CD64F1" w:rsidRPr="00873B6C" w:rsidRDefault="00CD64F1" w:rsidP="009D14FB">
            <w:pPr>
              <w:pStyle w:val="TAL"/>
              <w:rPr>
                <w:sz w:val="16"/>
                <w:szCs w:val="16"/>
              </w:rPr>
            </w:pPr>
            <w:r w:rsidRPr="00873B6C">
              <w:rPr>
                <w:sz w:val="16"/>
                <w:szCs w:val="16"/>
              </w:rPr>
              <w:t>-</w:t>
            </w:r>
          </w:p>
        </w:tc>
        <w:tc>
          <w:tcPr>
            <w:tcW w:w="425" w:type="dxa"/>
            <w:shd w:val="solid" w:color="FFFFFF" w:fill="auto"/>
          </w:tcPr>
          <w:p w14:paraId="3EE365B4" w14:textId="50545EDC"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34C18B59" w14:textId="4505CAAF" w:rsidR="00CD64F1" w:rsidRPr="00873B6C" w:rsidRDefault="00CD64F1" w:rsidP="009D14FB">
            <w:pPr>
              <w:pStyle w:val="TAL"/>
              <w:rPr>
                <w:sz w:val="16"/>
                <w:szCs w:val="16"/>
              </w:rPr>
            </w:pPr>
            <w:r w:rsidRPr="00873B6C">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873B6C" w:rsidRDefault="00CD64F1" w:rsidP="009D14FB">
            <w:pPr>
              <w:pStyle w:val="TAC"/>
              <w:rPr>
                <w:sz w:val="16"/>
                <w:szCs w:val="16"/>
              </w:rPr>
            </w:pPr>
            <w:r w:rsidRPr="00873B6C">
              <w:rPr>
                <w:sz w:val="16"/>
                <w:szCs w:val="16"/>
              </w:rPr>
              <w:t>16.7.0</w:t>
            </w:r>
          </w:p>
        </w:tc>
      </w:tr>
      <w:tr w:rsidR="00CD64F1" w:rsidRPr="00873B6C" w14:paraId="16E6D49A" w14:textId="77777777" w:rsidTr="009D14FB">
        <w:tc>
          <w:tcPr>
            <w:tcW w:w="800" w:type="dxa"/>
            <w:shd w:val="solid" w:color="FFFFFF" w:fill="auto"/>
          </w:tcPr>
          <w:p w14:paraId="496919BF" w14:textId="3076DC6E"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600D7DAB" w14:textId="5AF3428C"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009AEC55" w14:textId="22FDADB0"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526918DF" w14:textId="0B4F9775" w:rsidR="00CD64F1" w:rsidRPr="00873B6C" w:rsidRDefault="00CD64F1" w:rsidP="009D14FB">
            <w:pPr>
              <w:pStyle w:val="TAL"/>
              <w:rPr>
                <w:sz w:val="16"/>
                <w:szCs w:val="16"/>
              </w:rPr>
            </w:pPr>
            <w:r w:rsidRPr="00873B6C">
              <w:rPr>
                <w:sz w:val="16"/>
                <w:szCs w:val="16"/>
              </w:rPr>
              <w:t>2511</w:t>
            </w:r>
          </w:p>
        </w:tc>
        <w:tc>
          <w:tcPr>
            <w:tcW w:w="425" w:type="dxa"/>
            <w:shd w:val="solid" w:color="FFFFFF" w:fill="auto"/>
          </w:tcPr>
          <w:p w14:paraId="24EC125C" w14:textId="3F1C2A87"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0F890F38" w14:textId="0D9A6A28"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81988E0" w14:textId="7BA643B0" w:rsidR="00CD64F1" w:rsidRPr="00873B6C" w:rsidRDefault="00CD64F1" w:rsidP="009D14FB">
            <w:pPr>
              <w:pStyle w:val="TAL"/>
              <w:rPr>
                <w:sz w:val="16"/>
                <w:szCs w:val="16"/>
              </w:rPr>
            </w:pPr>
            <w:r w:rsidRPr="00873B6C">
              <w:rPr>
                <w:sz w:val="16"/>
                <w:szCs w:val="16"/>
              </w:rPr>
              <w:t>Updates to N4 for NW-TT port number reporting</w:t>
            </w:r>
          </w:p>
        </w:tc>
        <w:tc>
          <w:tcPr>
            <w:tcW w:w="708" w:type="dxa"/>
            <w:shd w:val="solid" w:color="FFFFFF" w:fill="auto"/>
          </w:tcPr>
          <w:p w14:paraId="26A4AF53" w14:textId="4F3708DB" w:rsidR="00CD64F1" w:rsidRPr="00873B6C" w:rsidRDefault="00CD64F1" w:rsidP="009D14FB">
            <w:pPr>
              <w:pStyle w:val="TAC"/>
              <w:rPr>
                <w:sz w:val="16"/>
                <w:szCs w:val="16"/>
              </w:rPr>
            </w:pPr>
            <w:r w:rsidRPr="00873B6C">
              <w:rPr>
                <w:sz w:val="16"/>
                <w:szCs w:val="16"/>
              </w:rPr>
              <w:t>16.7.0</w:t>
            </w:r>
          </w:p>
        </w:tc>
      </w:tr>
      <w:tr w:rsidR="00CD64F1" w:rsidRPr="00873B6C" w14:paraId="09D400BD" w14:textId="77777777" w:rsidTr="009D14FB">
        <w:tc>
          <w:tcPr>
            <w:tcW w:w="800" w:type="dxa"/>
            <w:shd w:val="solid" w:color="FFFFFF" w:fill="auto"/>
          </w:tcPr>
          <w:p w14:paraId="07CD7B8F" w14:textId="252D0397"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7109D6DE" w14:textId="4AEF82C9"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184EC26" w14:textId="22D58A7C"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03643E0F" w14:textId="72A9F383" w:rsidR="00CD64F1" w:rsidRPr="00873B6C" w:rsidRDefault="00CD64F1" w:rsidP="009D14FB">
            <w:pPr>
              <w:pStyle w:val="TAL"/>
              <w:rPr>
                <w:sz w:val="16"/>
                <w:szCs w:val="16"/>
              </w:rPr>
            </w:pPr>
            <w:r w:rsidRPr="00873B6C">
              <w:rPr>
                <w:sz w:val="16"/>
                <w:szCs w:val="16"/>
              </w:rPr>
              <w:t>2512</w:t>
            </w:r>
          </w:p>
        </w:tc>
        <w:tc>
          <w:tcPr>
            <w:tcW w:w="425" w:type="dxa"/>
            <w:shd w:val="solid" w:color="FFFFFF" w:fill="auto"/>
          </w:tcPr>
          <w:p w14:paraId="37AD672B" w14:textId="165038B5"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125BAC6C" w14:textId="6C499907"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61F26FDE" w14:textId="072335A3" w:rsidR="00CD64F1" w:rsidRPr="00873B6C" w:rsidRDefault="00CD64F1" w:rsidP="009D14FB">
            <w:pPr>
              <w:pStyle w:val="TAL"/>
              <w:rPr>
                <w:sz w:val="16"/>
                <w:szCs w:val="16"/>
              </w:rPr>
            </w:pPr>
            <w:r w:rsidRPr="00873B6C">
              <w:rPr>
                <w:sz w:val="16"/>
                <w:szCs w:val="16"/>
              </w:rPr>
              <w:t>TSN QoS determination</w:t>
            </w:r>
          </w:p>
        </w:tc>
        <w:tc>
          <w:tcPr>
            <w:tcW w:w="708" w:type="dxa"/>
            <w:shd w:val="solid" w:color="FFFFFF" w:fill="auto"/>
          </w:tcPr>
          <w:p w14:paraId="2CBA802D" w14:textId="1DA56C49" w:rsidR="00CD64F1" w:rsidRPr="00873B6C" w:rsidRDefault="00CD64F1" w:rsidP="009D14FB">
            <w:pPr>
              <w:pStyle w:val="TAC"/>
              <w:rPr>
                <w:sz w:val="16"/>
                <w:szCs w:val="16"/>
              </w:rPr>
            </w:pPr>
            <w:r w:rsidRPr="00873B6C">
              <w:rPr>
                <w:sz w:val="16"/>
                <w:szCs w:val="16"/>
              </w:rPr>
              <w:t>16.7.0</w:t>
            </w:r>
          </w:p>
        </w:tc>
      </w:tr>
      <w:tr w:rsidR="00CD64F1" w:rsidRPr="00873B6C" w14:paraId="30CAFC5B" w14:textId="77777777" w:rsidTr="009D14FB">
        <w:tc>
          <w:tcPr>
            <w:tcW w:w="800" w:type="dxa"/>
            <w:shd w:val="solid" w:color="FFFFFF" w:fill="auto"/>
          </w:tcPr>
          <w:p w14:paraId="58AC2300" w14:textId="76400DD7"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EC7A119" w14:textId="125FE8B2"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B7C1DB7" w14:textId="257EB8D4"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538CC2F5" w14:textId="0DBE8B9A" w:rsidR="00CD64F1" w:rsidRPr="00873B6C" w:rsidRDefault="00CD64F1" w:rsidP="009D14FB">
            <w:pPr>
              <w:pStyle w:val="TAL"/>
              <w:rPr>
                <w:sz w:val="16"/>
                <w:szCs w:val="16"/>
              </w:rPr>
            </w:pPr>
            <w:r w:rsidRPr="00873B6C">
              <w:rPr>
                <w:sz w:val="16"/>
                <w:szCs w:val="16"/>
              </w:rPr>
              <w:t>2521</w:t>
            </w:r>
          </w:p>
        </w:tc>
        <w:tc>
          <w:tcPr>
            <w:tcW w:w="425" w:type="dxa"/>
            <w:shd w:val="solid" w:color="FFFFFF" w:fill="auto"/>
          </w:tcPr>
          <w:p w14:paraId="5A2003CC" w14:textId="76784585"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193E9E4D" w14:textId="21913CAC"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24BA6C0" w14:textId="08FF62D1" w:rsidR="00CD64F1" w:rsidRPr="00873B6C" w:rsidRDefault="00CD64F1" w:rsidP="009D14FB">
            <w:pPr>
              <w:pStyle w:val="TAL"/>
              <w:rPr>
                <w:sz w:val="16"/>
                <w:szCs w:val="16"/>
              </w:rPr>
            </w:pPr>
            <w:r w:rsidRPr="00873B6C">
              <w:rPr>
                <w:sz w:val="16"/>
                <w:szCs w:val="16"/>
              </w:rPr>
              <w:t>N3IWF selection procedure when accessing SNPN via PLMN</w:t>
            </w:r>
          </w:p>
        </w:tc>
        <w:tc>
          <w:tcPr>
            <w:tcW w:w="708" w:type="dxa"/>
            <w:shd w:val="solid" w:color="FFFFFF" w:fill="auto"/>
          </w:tcPr>
          <w:p w14:paraId="7B48BEC1" w14:textId="622650E6" w:rsidR="00CD64F1" w:rsidRPr="00873B6C" w:rsidRDefault="00CD64F1" w:rsidP="009D14FB">
            <w:pPr>
              <w:pStyle w:val="TAC"/>
              <w:rPr>
                <w:sz w:val="16"/>
                <w:szCs w:val="16"/>
              </w:rPr>
            </w:pPr>
            <w:r w:rsidRPr="00873B6C">
              <w:rPr>
                <w:sz w:val="16"/>
                <w:szCs w:val="16"/>
              </w:rPr>
              <w:t>16.7.0</w:t>
            </w:r>
          </w:p>
        </w:tc>
      </w:tr>
      <w:tr w:rsidR="00CD64F1" w:rsidRPr="00873B6C" w14:paraId="765BAB04" w14:textId="77777777" w:rsidTr="009D14FB">
        <w:tc>
          <w:tcPr>
            <w:tcW w:w="800" w:type="dxa"/>
            <w:shd w:val="solid" w:color="FFFFFF" w:fill="auto"/>
          </w:tcPr>
          <w:p w14:paraId="26212080" w14:textId="35BCA4BA"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FE88E7D" w14:textId="2108392E"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77AF2FE4" w14:textId="314F1D54"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16CD3FE8" w14:textId="7A798CDA" w:rsidR="00CD64F1" w:rsidRPr="00873B6C" w:rsidRDefault="00CD64F1" w:rsidP="009D14FB">
            <w:pPr>
              <w:pStyle w:val="TAL"/>
              <w:rPr>
                <w:sz w:val="16"/>
                <w:szCs w:val="16"/>
              </w:rPr>
            </w:pPr>
            <w:r w:rsidRPr="00873B6C">
              <w:rPr>
                <w:sz w:val="16"/>
                <w:szCs w:val="16"/>
              </w:rPr>
              <w:t>2523</w:t>
            </w:r>
          </w:p>
        </w:tc>
        <w:tc>
          <w:tcPr>
            <w:tcW w:w="425" w:type="dxa"/>
            <w:shd w:val="solid" w:color="FFFFFF" w:fill="auto"/>
          </w:tcPr>
          <w:p w14:paraId="5B196758" w14:textId="1CDA3AA1"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789E806B" w14:textId="7916A603"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73B186D3" w14:textId="117A81FB" w:rsidR="00CD64F1" w:rsidRPr="00873B6C" w:rsidRDefault="00CD64F1" w:rsidP="009D14FB">
            <w:pPr>
              <w:pStyle w:val="TAL"/>
              <w:rPr>
                <w:sz w:val="16"/>
                <w:szCs w:val="16"/>
              </w:rPr>
            </w:pPr>
            <w:r w:rsidRPr="00873B6C">
              <w:rPr>
                <w:sz w:val="16"/>
                <w:szCs w:val="16"/>
              </w:rPr>
              <w:t>Mega CR to clean up</w:t>
            </w:r>
          </w:p>
        </w:tc>
        <w:tc>
          <w:tcPr>
            <w:tcW w:w="708" w:type="dxa"/>
            <w:shd w:val="solid" w:color="FFFFFF" w:fill="auto"/>
          </w:tcPr>
          <w:p w14:paraId="7C8E3387" w14:textId="75682A78" w:rsidR="00CD64F1" w:rsidRPr="00873B6C" w:rsidRDefault="00CD64F1" w:rsidP="009D14FB">
            <w:pPr>
              <w:pStyle w:val="TAC"/>
              <w:rPr>
                <w:sz w:val="16"/>
                <w:szCs w:val="16"/>
              </w:rPr>
            </w:pPr>
            <w:r w:rsidRPr="00873B6C">
              <w:rPr>
                <w:sz w:val="16"/>
                <w:szCs w:val="16"/>
              </w:rPr>
              <w:t>16.7.0</w:t>
            </w:r>
          </w:p>
        </w:tc>
      </w:tr>
      <w:tr w:rsidR="008A60FE" w:rsidRPr="00873B6C" w14:paraId="40513F7C" w14:textId="77777777" w:rsidTr="009D14FB">
        <w:tc>
          <w:tcPr>
            <w:tcW w:w="800" w:type="dxa"/>
            <w:shd w:val="solid" w:color="FFFFFF" w:fill="auto"/>
          </w:tcPr>
          <w:p w14:paraId="669593CD" w14:textId="3AACF112"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13540634" w14:textId="4BFD7E65"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197EAD7E" w14:textId="3E6549B1" w:rsidR="008A60FE" w:rsidRPr="00873B6C" w:rsidRDefault="008A60FE" w:rsidP="009D14FB">
            <w:pPr>
              <w:pStyle w:val="TAC"/>
              <w:rPr>
                <w:sz w:val="16"/>
                <w:szCs w:val="16"/>
              </w:rPr>
            </w:pPr>
            <w:r w:rsidRPr="00873B6C">
              <w:rPr>
                <w:sz w:val="16"/>
                <w:szCs w:val="16"/>
              </w:rPr>
              <w:t>SP-210243</w:t>
            </w:r>
          </w:p>
        </w:tc>
        <w:tc>
          <w:tcPr>
            <w:tcW w:w="567" w:type="dxa"/>
            <w:shd w:val="solid" w:color="FFFFFF" w:fill="auto"/>
          </w:tcPr>
          <w:p w14:paraId="2BD281E2" w14:textId="0D64990F" w:rsidR="008A60FE" w:rsidRPr="00873B6C" w:rsidRDefault="008A60FE" w:rsidP="009D14FB">
            <w:pPr>
              <w:pStyle w:val="TAL"/>
              <w:rPr>
                <w:sz w:val="16"/>
                <w:szCs w:val="16"/>
              </w:rPr>
            </w:pPr>
            <w:r w:rsidRPr="00873B6C">
              <w:rPr>
                <w:sz w:val="16"/>
                <w:szCs w:val="16"/>
              </w:rPr>
              <w:t>2463</w:t>
            </w:r>
          </w:p>
        </w:tc>
        <w:tc>
          <w:tcPr>
            <w:tcW w:w="425" w:type="dxa"/>
            <w:shd w:val="solid" w:color="FFFFFF" w:fill="auto"/>
          </w:tcPr>
          <w:p w14:paraId="45CD7D0A" w14:textId="15FA321A" w:rsidR="008A60FE" w:rsidRPr="00873B6C" w:rsidRDefault="008A60FE" w:rsidP="009D14FB">
            <w:pPr>
              <w:pStyle w:val="TAL"/>
              <w:rPr>
                <w:sz w:val="16"/>
                <w:szCs w:val="16"/>
              </w:rPr>
            </w:pPr>
            <w:r w:rsidRPr="00873B6C">
              <w:rPr>
                <w:sz w:val="16"/>
                <w:szCs w:val="16"/>
              </w:rPr>
              <w:t xml:space="preserve">2 </w:t>
            </w:r>
          </w:p>
        </w:tc>
        <w:tc>
          <w:tcPr>
            <w:tcW w:w="425" w:type="dxa"/>
            <w:shd w:val="solid" w:color="FFFFFF" w:fill="auto"/>
          </w:tcPr>
          <w:p w14:paraId="7742BC79" w14:textId="2F56100F"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564577F9" w14:textId="514AD1F3" w:rsidR="008A60FE" w:rsidRPr="00873B6C" w:rsidRDefault="008A60FE" w:rsidP="009D14FB">
            <w:pPr>
              <w:pStyle w:val="TAL"/>
              <w:rPr>
                <w:sz w:val="16"/>
                <w:szCs w:val="16"/>
              </w:rPr>
            </w:pPr>
            <w:r w:rsidRPr="00873B6C">
              <w:rPr>
                <w:sz w:val="16"/>
                <w:szCs w:val="16"/>
              </w:rPr>
              <w:t>Correction on Ethernet Type PDU session and MAC address association</w:t>
            </w:r>
          </w:p>
        </w:tc>
        <w:tc>
          <w:tcPr>
            <w:tcW w:w="708" w:type="dxa"/>
            <w:shd w:val="solid" w:color="FFFFFF" w:fill="auto"/>
          </w:tcPr>
          <w:p w14:paraId="42187BC6" w14:textId="6DDE6BC8" w:rsidR="008A60FE" w:rsidRPr="00873B6C" w:rsidRDefault="008A60FE" w:rsidP="009D14FB">
            <w:pPr>
              <w:pStyle w:val="TAC"/>
              <w:rPr>
                <w:sz w:val="16"/>
                <w:szCs w:val="16"/>
              </w:rPr>
            </w:pPr>
            <w:r w:rsidRPr="00873B6C">
              <w:rPr>
                <w:sz w:val="16"/>
                <w:szCs w:val="16"/>
              </w:rPr>
              <w:t>16.8.0</w:t>
            </w:r>
          </w:p>
        </w:tc>
      </w:tr>
      <w:tr w:rsidR="008A60FE" w:rsidRPr="00873B6C" w14:paraId="5C1441CA" w14:textId="77777777" w:rsidTr="009D14FB">
        <w:tc>
          <w:tcPr>
            <w:tcW w:w="800" w:type="dxa"/>
            <w:shd w:val="solid" w:color="FFFFFF" w:fill="auto"/>
          </w:tcPr>
          <w:p w14:paraId="4C67D35D" w14:textId="102CC883"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46248681" w14:textId="2115132C"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0248D60A" w14:textId="164633F3" w:rsidR="008A60FE" w:rsidRPr="00873B6C" w:rsidRDefault="008A60FE" w:rsidP="009D14FB">
            <w:pPr>
              <w:pStyle w:val="TAC"/>
              <w:rPr>
                <w:sz w:val="16"/>
                <w:szCs w:val="16"/>
              </w:rPr>
            </w:pPr>
            <w:r w:rsidRPr="00873B6C">
              <w:rPr>
                <w:sz w:val="16"/>
                <w:szCs w:val="16"/>
              </w:rPr>
              <w:t>SP-210245</w:t>
            </w:r>
          </w:p>
        </w:tc>
        <w:tc>
          <w:tcPr>
            <w:tcW w:w="567" w:type="dxa"/>
            <w:shd w:val="solid" w:color="FFFFFF" w:fill="auto"/>
          </w:tcPr>
          <w:p w14:paraId="3F47E293" w14:textId="4B5452FC" w:rsidR="008A60FE" w:rsidRPr="00873B6C" w:rsidRDefault="008A60FE" w:rsidP="009D14FB">
            <w:pPr>
              <w:pStyle w:val="TAL"/>
              <w:rPr>
                <w:sz w:val="16"/>
                <w:szCs w:val="16"/>
              </w:rPr>
            </w:pPr>
            <w:r w:rsidRPr="00873B6C">
              <w:rPr>
                <w:sz w:val="16"/>
                <w:szCs w:val="16"/>
              </w:rPr>
              <w:t>2531</w:t>
            </w:r>
          </w:p>
        </w:tc>
        <w:tc>
          <w:tcPr>
            <w:tcW w:w="425" w:type="dxa"/>
            <w:shd w:val="solid" w:color="FFFFFF" w:fill="auto"/>
          </w:tcPr>
          <w:p w14:paraId="43CBE9EF" w14:textId="16AFEE6E"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00DA6014" w14:textId="0E0B110E"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54A4821B" w14:textId="0169ED9D" w:rsidR="008A60FE" w:rsidRPr="00873B6C" w:rsidRDefault="008A60FE" w:rsidP="009D14FB">
            <w:pPr>
              <w:pStyle w:val="TAL"/>
              <w:rPr>
                <w:sz w:val="16"/>
                <w:szCs w:val="16"/>
              </w:rPr>
            </w:pPr>
            <w:r w:rsidRPr="00873B6C">
              <w:rPr>
                <w:sz w:val="16"/>
                <w:szCs w:val="16"/>
              </w:rPr>
              <w:t>Clarification on LADN support for an MA PDU Session</w:t>
            </w:r>
          </w:p>
        </w:tc>
        <w:tc>
          <w:tcPr>
            <w:tcW w:w="708" w:type="dxa"/>
            <w:shd w:val="solid" w:color="FFFFFF" w:fill="auto"/>
          </w:tcPr>
          <w:p w14:paraId="46203168" w14:textId="2807D325" w:rsidR="008A60FE" w:rsidRPr="00873B6C" w:rsidRDefault="008A60FE" w:rsidP="009D14FB">
            <w:pPr>
              <w:pStyle w:val="TAC"/>
              <w:rPr>
                <w:sz w:val="16"/>
                <w:szCs w:val="16"/>
              </w:rPr>
            </w:pPr>
            <w:r w:rsidRPr="00873B6C">
              <w:rPr>
                <w:sz w:val="16"/>
                <w:szCs w:val="16"/>
              </w:rPr>
              <w:t>16.8.0</w:t>
            </w:r>
          </w:p>
        </w:tc>
      </w:tr>
      <w:tr w:rsidR="008A60FE" w:rsidRPr="00873B6C" w14:paraId="7918C1CF" w14:textId="77777777" w:rsidTr="009D14FB">
        <w:tc>
          <w:tcPr>
            <w:tcW w:w="800" w:type="dxa"/>
            <w:shd w:val="solid" w:color="FFFFFF" w:fill="auto"/>
          </w:tcPr>
          <w:p w14:paraId="476168B1" w14:textId="45D009C0"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7EFA3C5E" w14:textId="5912E5C9"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60EADBD5" w14:textId="76415221" w:rsidR="008A60FE" w:rsidRPr="00873B6C" w:rsidRDefault="008A60FE" w:rsidP="009D14FB">
            <w:pPr>
              <w:pStyle w:val="TAC"/>
              <w:rPr>
                <w:sz w:val="16"/>
                <w:szCs w:val="16"/>
              </w:rPr>
            </w:pPr>
            <w:r w:rsidRPr="00873B6C">
              <w:rPr>
                <w:sz w:val="16"/>
                <w:szCs w:val="16"/>
              </w:rPr>
              <w:t>SP-210242</w:t>
            </w:r>
          </w:p>
        </w:tc>
        <w:tc>
          <w:tcPr>
            <w:tcW w:w="567" w:type="dxa"/>
            <w:shd w:val="solid" w:color="FFFFFF" w:fill="auto"/>
          </w:tcPr>
          <w:p w14:paraId="2D00539F" w14:textId="288255A4" w:rsidR="008A60FE" w:rsidRPr="00873B6C" w:rsidRDefault="008A60FE" w:rsidP="009D14FB">
            <w:pPr>
              <w:pStyle w:val="TAL"/>
              <w:rPr>
                <w:sz w:val="16"/>
                <w:szCs w:val="16"/>
              </w:rPr>
            </w:pPr>
            <w:r w:rsidRPr="00873B6C">
              <w:rPr>
                <w:sz w:val="16"/>
                <w:szCs w:val="16"/>
              </w:rPr>
              <w:t>2532</w:t>
            </w:r>
          </w:p>
        </w:tc>
        <w:tc>
          <w:tcPr>
            <w:tcW w:w="425" w:type="dxa"/>
            <w:shd w:val="solid" w:color="FFFFFF" w:fill="auto"/>
          </w:tcPr>
          <w:p w14:paraId="0094BB0E" w14:textId="72D1DA49" w:rsidR="008A60FE" w:rsidRPr="00873B6C" w:rsidRDefault="008A60FE" w:rsidP="009D14FB">
            <w:pPr>
              <w:pStyle w:val="TAL"/>
              <w:rPr>
                <w:sz w:val="16"/>
                <w:szCs w:val="16"/>
              </w:rPr>
            </w:pPr>
            <w:r w:rsidRPr="00873B6C">
              <w:rPr>
                <w:sz w:val="16"/>
                <w:szCs w:val="16"/>
              </w:rPr>
              <w:t xml:space="preserve">1 </w:t>
            </w:r>
          </w:p>
        </w:tc>
        <w:tc>
          <w:tcPr>
            <w:tcW w:w="425" w:type="dxa"/>
            <w:shd w:val="solid" w:color="FFFFFF" w:fill="auto"/>
          </w:tcPr>
          <w:p w14:paraId="64D8B5B7" w14:textId="3C2AF9C7"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68C01F12" w14:textId="0DB86682" w:rsidR="008A60FE" w:rsidRPr="00873B6C" w:rsidRDefault="008A60FE" w:rsidP="009D14FB">
            <w:pPr>
              <w:pStyle w:val="TAL"/>
              <w:rPr>
                <w:sz w:val="16"/>
                <w:szCs w:val="16"/>
              </w:rPr>
            </w:pPr>
            <w:r w:rsidRPr="00873B6C">
              <w:rPr>
                <w:sz w:val="16"/>
                <w:szCs w:val="16"/>
              </w:rPr>
              <w:t>Correction of packet delay calculation for QoS monitoring</w:t>
            </w:r>
          </w:p>
        </w:tc>
        <w:tc>
          <w:tcPr>
            <w:tcW w:w="708" w:type="dxa"/>
            <w:shd w:val="solid" w:color="FFFFFF" w:fill="auto"/>
          </w:tcPr>
          <w:p w14:paraId="2D74E8EE" w14:textId="6FBEA74C" w:rsidR="008A60FE" w:rsidRPr="00873B6C" w:rsidRDefault="008A60FE" w:rsidP="009D14FB">
            <w:pPr>
              <w:pStyle w:val="TAC"/>
              <w:rPr>
                <w:sz w:val="16"/>
                <w:szCs w:val="16"/>
              </w:rPr>
            </w:pPr>
            <w:r w:rsidRPr="00873B6C">
              <w:rPr>
                <w:sz w:val="16"/>
                <w:szCs w:val="16"/>
              </w:rPr>
              <w:t>16.8.0</w:t>
            </w:r>
          </w:p>
        </w:tc>
      </w:tr>
      <w:tr w:rsidR="008A60FE" w:rsidRPr="00873B6C" w14:paraId="044E08AC" w14:textId="77777777" w:rsidTr="009D14FB">
        <w:tc>
          <w:tcPr>
            <w:tcW w:w="800" w:type="dxa"/>
            <w:shd w:val="solid" w:color="FFFFFF" w:fill="auto"/>
          </w:tcPr>
          <w:p w14:paraId="37041BB7" w14:textId="40AF64CF"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33A80DFA" w14:textId="23BB2720"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512D0922" w14:textId="1AA48744" w:rsidR="008A60FE" w:rsidRPr="00873B6C" w:rsidRDefault="008A60FE" w:rsidP="009D14FB">
            <w:pPr>
              <w:pStyle w:val="TAC"/>
              <w:rPr>
                <w:sz w:val="16"/>
                <w:szCs w:val="16"/>
              </w:rPr>
            </w:pPr>
            <w:r w:rsidRPr="00873B6C">
              <w:rPr>
                <w:sz w:val="16"/>
                <w:szCs w:val="16"/>
              </w:rPr>
              <w:t>SP-210081</w:t>
            </w:r>
          </w:p>
        </w:tc>
        <w:tc>
          <w:tcPr>
            <w:tcW w:w="567" w:type="dxa"/>
            <w:shd w:val="solid" w:color="FFFFFF" w:fill="auto"/>
          </w:tcPr>
          <w:p w14:paraId="47C44AF9" w14:textId="0D4F0C75" w:rsidR="008A60FE" w:rsidRPr="00873B6C" w:rsidRDefault="008A60FE" w:rsidP="009D14FB">
            <w:pPr>
              <w:pStyle w:val="TAL"/>
              <w:rPr>
                <w:sz w:val="16"/>
                <w:szCs w:val="16"/>
              </w:rPr>
            </w:pPr>
            <w:r w:rsidRPr="00873B6C">
              <w:rPr>
                <w:sz w:val="16"/>
                <w:szCs w:val="16"/>
              </w:rPr>
              <w:t>2534</w:t>
            </w:r>
          </w:p>
        </w:tc>
        <w:tc>
          <w:tcPr>
            <w:tcW w:w="425" w:type="dxa"/>
            <w:shd w:val="solid" w:color="FFFFFF" w:fill="auto"/>
          </w:tcPr>
          <w:p w14:paraId="507D0254" w14:textId="343E30F8" w:rsidR="008A60FE" w:rsidRPr="00873B6C" w:rsidRDefault="008A60FE" w:rsidP="009D14FB">
            <w:pPr>
              <w:pStyle w:val="TAL"/>
              <w:rPr>
                <w:sz w:val="16"/>
                <w:szCs w:val="16"/>
              </w:rPr>
            </w:pPr>
            <w:r w:rsidRPr="00873B6C">
              <w:rPr>
                <w:sz w:val="16"/>
                <w:szCs w:val="16"/>
              </w:rPr>
              <w:t xml:space="preserve">1 </w:t>
            </w:r>
          </w:p>
        </w:tc>
        <w:tc>
          <w:tcPr>
            <w:tcW w:w="425" w:type="dxa"/>
            <w:shd w:val="solid" w:color="FFFFFF" w:fill="auto"/>
          </w:tcPr>
          <w:p w14:paraId="66CF427B" w14:textId="2679105A"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38364D17" w14:textId="607F9C85" w:rsidR="008A60FE" w:rsidRPr="00873B6C" w:rsidRDefault="008A60FE" w:rsidP="009D14FB">
            <w:pPr>
              <w:pStyle w:val="TAL"/>
              <w:rPr>
                <w:sz w:val="16"/>
                <w:szCs w:val="16"/>
              </w:rPr>
            </w:pPr>
            <w:r w:rsidRPr="00873B6C">
              <w:rPr>
                <w:sz w:val="16"/>
                <w:szCs w:val="16"/>
              </w:rPr>
              <w:t>Correction on the determination of S-NSSAI for interworking</w:t>
            </w:r>
          </w:p>
        </w:tc>
        <w:tc>
          <w:tcPr>
            <w:tcW w:w="708" w:type="dxa"/>
            <w:shd w:val="solid" w:color="FFFFFF" w:fill="auto"/>
          </w:tcPr>
          <w:p w14:paraId="16382E1F" w14:textId="2E6DFF24" w:rsidR="008A60FE" w:rsidRPr="00873B6C" w:rsidRDefault="008A60FE" w:rsidP="009D14FB">
            <w:pPr>
              <w:pStyle w:val="TAC"/>
              <w:rPr>
                <w:sz w:val="16"/>
                <w:szCs w:val="16"/>
              </w:rPr>
            </w:pPr>
            <w:r w:rsidRPr="00873B6C">
              <w:rPr>
                <w:sz w:val="16"/>
                <w:szCs w:val="16"/>
              </w:rPr>
              <w:t>16.8.0</w:t>
            </w:r>
          </w:p>
        </w:tc>
      </w:tr>
      <w:tr w:rsidR="008A60FE" w:rsidRPr="00873B6C" w14:paraId="5E231394" w14:textId="77777777" w:rsidTr="009D14FB">
        <w:tc>
          <w:tcPr>
            <w:tcW w:w="800" w:type="dxa"/>
            <w:shd w:val="solid" w:color="FFFFFF" w:fill="auto"/>
          </w:tcPr>
          <w:p w14:paraId="21A8DD57" w14:textId="02B2F3A1"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664009E7" w14:textId="26391951"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41C8BEB5" w14:textId="6FF28A2C" w:rsidR="008A60FE" w:rsidRPr="00873B6C" w:rsidRDefault="008A60FE" w:rsidP="009D14FB">
            <w:pPr>
              <w:pStyle w:val="TAC"/>
              <w:rPr>
                <w:sz w:val="16"/>
                <w:szCs w:val="16"/>
              </w:rPr>
            </w:pPr>
            <w:r w:rsidRPr="00873B6C">
              <w:rPr>
                <w:sz w:val="16"/>
                <w:szCs w:val="16"/>
              </w:rPr>
              <w:t>SP-210055</w:t>
            </w:r>
          </w:p>
        </w:tc>
        <w:tc>
          <w:tcPr>
            <w:tcW w:w="567" w:type="dxa"/>
            <w:shd w:val="solid" w:color="FFFFFF" w:fill="auto"/>
          </w:tcPr>
          <w:p w14:paraId="4D48ECC9" w14:textId="164EBB52" w:rsidR="008A60FE" w:rsidRPr="00873B6C" w:rsidRDefault="008A60FE" w:rsidP="009D14FB">
            <w:pPr>
              <w:pStyle w:val="TAL"/>
              <w:rPr>
                <w:sz w:val="16"/>
                <w:szCs w:val="16"/>
              </w:rPr>
            </w:pPr>
            <w:r w:rsidRPr="00873B6C">
              <w:rPr>
                <w:sz w:val="16"/>
                <w:szCs w:val="16"/>
              </w:rPr>
              <w:t>2535</w:t>
            </w:r>
          </w:p>
        </w:tc>
        <w:tc>
          <w:tcPr>
            <w:tcW w:w="425" w:type="dxa"/>
            <w:shd w:val="solid" w:color="FFFFFF" w:fill="auto"/>
          </w:tcPr>
          <w:p w14:paraId="01B0BC5B" w14:textId="54F71794" w:rsidR="008A60FE" w:rsidRPr="00873B6C" w:rsidRDefault="008A60FE" w:rsidP="009D14FB">
            <w:pPr>
              <w:pStyle w:val="TAL"/>
              <w:rPr>
                <w:sz w:val="16"/>
                <w:szCs w:val="16"/>
              </w:rPr>
            </w:pPr>
            <w:r w:rsidRPr="00873B6C">
              <w:rPr>
                <w:sz w:val="16"/>
                <w:szCs w:val="16"/>
              </w:rPr>
              <w:t>-</w:t>
            </w:r>
          </w:p>
        </w:tc>
        <w:tc>
          <w:tcPr>
            <w:tcW w:w="425" w:type="dxa"/>
            <w:shd w:val="solid" w:color="FFFFFF" w:fill="auto"/>
          </w:tcPr>
          <w:p w14:paraId="7436A0A9" w14:textId="7384F5C1"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6EBE56AD" w14:textId="5A2B07F7" w:rsidR="008A60FE" w:rsidRPr="00873B6C" w:rsidRDefault="008A60FE" w:rsidP="009D14FB">
            <w:pPr>
              <w:pStyle w:val="TAL"/>
              <w:rPr>
                <w:sz w:val="16"/>
                <w:szCs w:val="16"/>
              </w:rPr>
            </w:pPr>
            <w:r w:rsidRPr="00873B6C">
              <w:rPr>
                <w:sz w:val="16"/>
                <w:szCs w:val="16"/>
              </w:rPr>
              <w:t>Correction on UE Radio Capability Handling during suspend</w:t>
            </w:r>
          </w:p>
        </w:tc>
        <w:tc>
          <w:tcPr>
            <w:tcW w:w="708" w:type="dxa"/>
            <w:shd w:val="solid" w:color="FFFFFF" w:fill="auto"/>
          </w:tcPr>
          <w:p w14:paraId="17100F2E" w14:textId="533371A2" w:rsidR="008A60FE" w:rsidRPr="00873B6C" w:rsidRDefault="008A60FE" w:rsidP="009D14FB">
            <w:pPr>
              <w:pStyle w:val="TAC"/>
              <w:rPr>
                <w:sz w:val="16"/>
                <w:szCs w:val="16"/>
              </w:rPr>
            </w:pPr>
            <w:r w:rsidRPr="00873B6C">
              <w:rPr>
                <w:sz w:val="16"/>
                <w:szCs w:val="16"/>
              </w:rPr>
              <w:t>16.8.0</w:t>
            </w:r>
          </w:p>
        </w:tc>
      </w:tr>
      <w:tr w:rsidR="008A60FE" w:rsidRPr="00873B6C" w14:paraId="4E501FC3" w14:textId="77777777" w:rsidTr="009D14FB">
        <w:tc>
          <w:tcPr>
            <w:tcW w:w="800" w:type="dxa"/>
            <w:shd w:val="solid" w:color="FFFFFF" w:fill="auto"/>
          </w:tcPr>
          <w:p w14:paraId="3229582E" w14:textId="72DF69FB"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7728A65D" w14:textId="7FF1C2D5"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6D832CD4" w14:textId="1B60E6B3" w:rsidR="008A60FE" w:rsidRPr="00873B6C" w:rsidRDefault="008A60FE" w:rsidP="009D14FB">
            <w:pPr>
              <w:pStyle w:val="TAC"/>
              <w:rPr>
                <w:sz w:val="16"/>
                <w:szCs w:val="16"/>
              </w:rPr>
            </w:pPr>
            <w:r w:rsidRPr="00873B6C">
              <w:rPr>
                <w:sz w:val="16"/>
                <w:szCs w:val="16"/>
              </w:rPr>
              <w:t>SP-210243</w:t>
            </w:r>
          </w:p>
        </w:tc>
        <w:tc>
          <w:tcPr>
            <w:tcW w:w="567" w:type="dxa"/>
            <w:shd w:val="solid" w:color="FFFFFF" w:fill="auto"/>
          </w:tcPr>
          <w:p w14:paraId="5C5BA259" w14:textId="0CBB9480" w:rsidR="008A60FE" w:rsidRPr="00873B6C" w:rsidRDefault="008A60FE" w:rsidP="009D14FB">
            <w:pPr>
              <w:pStyle w:val="TAL"/>
              <w:rPr>
                <w:sz w:val="16"/>
                <w:szCs w:val="16"/>
              </w:rPr>
            </w:pPr>
            <w:r w:rsidRPr="00873B6C">
              <w:rPr>
                <w:sz w:val="16"/>
                <w:szCs w:val="16"/>
              </w:rPr>
              <w:t>2540</w:t>
            </w:r>
          </w:p>
        </w:tc>
        <w:tc>
          <w:tcPr>
            <w:tcW w:w="425" w:type="dxa"/>
            <w:shd w:val="solid" w:color="FFFFFF" w:fill="auto"/>
          </w:tcPr>
          <w:p w14:paraId="4270085F" w14:textId="17BE24BF" w:rsidR="008A60FE" w:rsidRPr="00873B6C" w:rsidRDefault="008A60FE" w:rsidP="009D14FB">
            <w:pPr>
              <w:pStyle w:val="TAL"/>
              <w:rPr>
                <w:sz w:val="16"/>
                <w:szCs w:val="16"/>
              </w:rPr>
            </w:pPr>
            <w:r w:rsidRPr="00873B6C">
              <w:rPr>
                <w:sz w:val="16"/>
                <w:szCs w:val="16"/>
              </w:rPr>
              <w:t>2</w:t>
            </w:r>
          </w:p>
        </w:tc>
        <w:tc>
          <w:tcPr>
            <w:tcW w:w="425" w:type="dxa"/>
            <w:shd w:val="solid" w:color="FFFFFF" w:fill="auto"/>
          </w:tcPr>
          <w:p w14:paraId="5EFE0EC2" w14:textId="7E2687D7"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5389180B" w14:textId="65935889" w:rsidR="008A60FE" w:rsidRPr="00873B6C" w:rsidRDefault="008A60FE" w:rsidP="009D14FB">
            <w:pPr>
              <w:pStyle w:val="TAL"/>
              <w:rPr>
                <w:sz w:val="16"/>
                <w:szCs w:val="16"/>
              </w:rPr>
            </w:pPr>
            <w:r w:rsidRPr="00873B6C">
              <w:rPr>
                <w:sz w:val="16"/>
                <w:szCs w:val="16"/>
              </w:rPr>
              <w:t>Correction on gap analysis on charging for 5G service based architecture</w:t>
            </w:r>
          </w:p>
        </w:tc>
        <w:tc>
          <w:tcPr>
            <w:tcW w:w="708" w:type="dxa"/>
            <w:shd w:val="solid" w:color="FFFFFF" w:fill="auto"/>
          </w:tcPr>
          <w:p w14:paraId="4D6C4998" w14:textId="47D0C18F" w:rsidR="008A60FE" w:rsidRPr="00873B6C" w:rsidRDefault="008A60FE" w:rsidP="009D14FB">
            <w:pPr>
              <w:pStyle w:val="TAC"/>
              <w:rPr>
                <w:sz w:val="16"/>
                <w:szCs w:val="16"/>
              </w:rPr>
            </w:pPr>
            <w:r w:rsidRPr="00873B6C">
              <w:rPr>
                <w:sz w:val="16"/>
                <w:szCs w:val="16"/>
              </w:rPr>
              <w:t>16.8.0</w:t>
            </w:r>
          </w:p>
        </w:tc>
      </w:tr>
      <w:tr w:rsidR="008A60FE" w:rsidRPr="00873B6C" w14:paraId="27A27B5F" w14:textId="77777777" w:rsidTr="009D14FB">
        <w:tc>
          <w:tcPr>
            <w:tcW w:w="800" w:type="dxa"/>
            <w:shd w:val="solid" w:color="FFFFFF" w:fill="auto"/>
          </w:tcPr>
          <w:p w14:paraId="6B9D67B1" w14:textId="1F63A25D"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109FE37F" w14:textId="4C587BC3"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60E72BB8" w14:textId="47997431" w:rsidR="008A60FE" w:rsidRPr="00873B6C" w:rsidRDefault="008A60FE" w:rsidP="009D14FB">
            <w:pPr>
              <w:pStyle w:val="TAC"/>
              <w:rPr>
                <w:sz w:val="16"/>
                <w:szCs w:val="16"/>
              </w:rPr>
            </w:pPr>
            <w:r w:rsidRPr="00873B6C">
              <w:rPr>
                <w:sz w:val="16"/>
                <w:szCs w:val="16"/>
              </w:rPr>
              <w:t>SP-210081</w:t>
            </w:r>
          </w:p>
        </w:tc>
        <w:tc>
          <w:tcPr>
            <w:tcW w:w="567" w:type="dxa"/>
            <w:shd w:val="solid" w:color="FFFFFF" w:fill="auto"/>
          </w:tcPr>
          <w:p w14:paraId="1F850E9B" w14:textId="71C175F5" w:rsidR="008A60FE" w:rsidRPr="00873B6C" w:rsidRDefault="008A60FE" w:rsidP="009D14FB">
            <w:pPr>
              <w:pStyle w:val="TAL"/>
              <w:rPr>
                <w:sz w:val="16"/>
                <w:szCs w:val="16"/>
              </w:rPr>
            </w:pPr>
            <w:r w:rsidRPr="00873B6C">
              <w:rPr>
                <w:sz w:val="16"/>
                <w:szCs w:val="16"/>
              </w:rPr>
              <w:t>2546</w:t>
            </w:r>
          </w:p>
        </w:tc>
        <w:tc>
          <w:tcPr>
            <w:tcW w:w="425" w:type="dxa"/>
            <w:shd w:val="solid" w:color="FFFFFF" w:fill="auto"/>
          </w:tcPr>
          <w:p w14:paraId="4E8E2534" w14:textId="4949E0F8"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3E360E03" w14:textId="1D2EC502"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3AC465ED" w14:textId="4C1F0539" w:rsidR="008A60FE" w:rsidRPr="00873B6C" w:rsidRDefault="008A60FE" w:rsidP="009D14FB">
            <w:pPr>
              <w:pStyle w:val="TAL"/>
              <w:rPr>
                <w:sz w:val="16"/>
                <w:szCs w:val="16"/>
              </w:rPr>
            </w:pPr>
            <w:r w:rsidRPr="00873B6C">
              <w:rPr>
                <w:sz w:val="16"/>
                <w:szCs w:val="16"/>
              </w:rPr>
              <w:t>Correction of UE radio capability handling</w:t>
            </w:r>
          </w:p>
        </w:tc>
        <w:tc>
          <w:tcPr>
            <w:tcW w:w="708" w:type="dxa"/>
            <w:shd w:val="solid" w:color="FFFFFF" w:fill="auto"/>
          </w:tcPr>
          <w:p w14:paraId="1B8710F6" w14:textId="74184FCA" w:rsidR="008A60FE" w:rsidRPr="00873B6C" w:rsidRDefault="008A60FE" w:rsidP="009D14FB">
            <w:pPr>
              <w:pStyle w:val="TAC"/>
              <w:rPr>
                <w:sz w:val="16"/>
                <w:szCs w:val="16"/>
              </w:rPr>
            </w:pPr>
            <w:r w:rsidRPr="00873B6C">
              <w:rPr>
                <w:sz w:val="16"/>
                <w:szCs w:val="16"/>
              </w:rPr>
              <w:t>16.8.0</w:t>
            </w:r>
          </w:p>
        </w:tc>
      </w:tr>
      <w:tr w:rsidR="008A60FE" w:rsidRPr="00873B6C" w14:paraId="73D70EB7" w14:textId="77777777" w:rsidTr="009D14FB">
        <w:tc>
          <w:tcPr>
            <w:tcW w:w="800" w:type="dxa"/>
            <w:shd w:val="solid" w:color="FFFFFF" w:fill="auto"/>
          </w:tcPr>
          <w:p w14:paraId="66C93B54" w14:textId="1C5C7DBD"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50F5E366" w14:textId="23508DDC"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0421B0C0" w14:textId="07C68291" w:rsidR="008A60FE" w:rsidRPr="00873B6C" w:rsidRDefault="008A60FE" w:rsidP="009D14FB">
            <w:pPr>
              <w:pStyle w:val="TAC"/>
              <w:rPr>
                <w:sz w:val="16"/>
                <w:szCs w:val="16"/>
              </w:rPr>
            </w:pPr>
            <w:r w:rsidRPr="00873B6C">
              <w:rPr>
                <w:sz w:val="16"/>
                <w:szCs w:val="16"/>
              </w:rPr>
              <w:t>SP-210243</w:t>
            </w:r>
          </w:p>
        </w:tc>
        <w:tc>
          <w:tcPr>
            <w:tcW w:w="567" w:type="dxa"/>
            <w:shd w:val="solid" w:color="FFFFFF" w:fill="auto"/>
          </w:tcPr>
          <w:p w14:paraId="1B86706C" w14:textId="75700ABF" w:rsidR="008A60FE" w:rsidRPr="00873B6C" w:rsidRDefault="008A60FE" w:rsidP="009D14FB">
            <w:pPr>
              <w:pStyle w:val="TAL"/>
              <w:rPr>
                <w:sz w:val="16"/>
                <w:szCs w:val="16"/>
              </w:rPr>
            </w:pPr>
            <w:r w:rsidRPr="00873B6C">
              <w:rPr>
                <w:sz w:val="16"/>
                <w:szCs w:val="16"/>
              </w:rPr>
              <w:t>2555</w:t>
            </w:r>
          </w:p>
        </w:tc>
        <w:tc>
          <w:tcPr>
            <w:tcW w:w="425" w:type="dxa"/>
            <w:shd w:val="solid" w:color="FFFFFF" w:fill="auto"/>
          </w:tcPr>
          <w:p w14:paraId="0F939B55" w14:textId="09DFA80D"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2CBAB2EB" w14:textId="53C1CB4B"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116EAD34" w14:textId="529DAC04" w:rsidR="008A60FE" w:rsidRPr="00873B6C" w:rsidRDefault="008A60FE" w:rsidP="009D14FB">
            <w:pPr>
              <w:pStyle w:val="TAL"/>
              <w:rPr>
                <w:sz w:val="16"/>
                <w:szCs w:val="16"/>
              </w:rPr>
            </w:pPr>
            <w:r w:rsidRPr="00873B6C">
              <w:rPr>
                <w:sz w:val="16"/>
                <w:szCs w:val="16"/>
              </w:rPr>
              <w:t>5G-EIR Discovery and Selection</w:t>
            </w:r>
          </w:p>
        </w:tc>
        <w:tc>
          <w:tcPr>
            <w:tcW w:w="708" w:type="dxa"/>
            <w:shd w:val="solid" w:color="FFFFFF" w:fill="auto"/>
          </w:tcPr>
          <w:p w14:paraId="5DF75079" w14:textId="0101B40D" w:rsidR="008A60FE" w:rsidRPr="00873B6C" w:rsidRDefault="008A60FE" w:rsidP="009D14FB">
            <w:pPr>
              <w:pStyle w:val="TAC"/>
              <w:rPr>
                <w:sz w:val="16"/>
                <w:szCs w:val="16"/>
              </w:rPr>
            </w:pPr>
            <w:r w:rsidRPr="00873B6C">
              <w:rPr>
                <w:sz w:val="16"/>
                <w:szCs w:val="16"/>
              </w:rPr>
              <w:t>16.8.0</w:t>
            </w:r>
          </w:p>
        </w:tc>
      </w:tr>
      <w:tr w:rsidR="008A60FE" w:rsidRPr="00873B6C" w14:paraId="7CF006F7" w14:textId="77777777" w:rsidTr="009D14FB">
        <w:tc>
          <w:tcPr>
            <w:tcW w:w="800" w:type="dxa"/>
            <w:shd w:val="solid" w:color="FFFFFF" w:fill="auto"/>
          </w:tcPr>
          <w:p w14:paraId="0A477E12" w14:textId="1F4827E5"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73BC348E" w14:textId="2E2F40E7"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16391862" w14:textId="408DF2D9" w:rsidR="008A60FE" w:rsidRPr="00873B6C" w:rsidRDefault="008A60FE" w:rsidP="009D14FB">
            <w:pPr>
              <w:pStyle w:val="TAC"/>
              <w:rPr>
                <w:sz w:val="16"/>
                <w:szCs w:val="16"/>
              </w:rPr>
            </w:pPr>
            <w:r w:rsidRPr="00873B6C">
              <w:rPr>
                <w:sz w:val="16"/>
                <w:szCs w:val="16"/>
              </w:rPr>
              <w:t>SP-210242</w:t>
            </w:r>
          </w:p>
        </w:tc>
        <w:tc>
          <w:tcPr>
            <w:tcW w:w="567" w:type="dxa"/>
            <w:shd w:val="solid" w:color="FFFFFF" w:fill="auto"/>
          </w:tcPr>
          <w:p w14:paraId="2769378D" w14:textId="5C1A37BF" w:rsidR="008A60FE" w:rsidRPr="00873B6C" w:rsidRDefault="008A60FE" w:rsidP="009D14FB">
            <w:pPr>
              <w:pStyle w:val="TAL"/>
              <w:rPr>
                <w:sz w:val="16"/>
                <w:szCs w:val="16"/>
              </w:rPr>
            </w:pPr>
            <w:r w:rsidRPr="00873B6C">
              <w:rPr>
                <w:sz w:val="16"/>
                <w:szCs w:val="16"/>
              </w:rPr>
              <w:t>2557</w:t>
            </w:r>
          </w:p>
        </w:tc>
        <w:tc>
          <w:tcPr>
            <w:tcW w:w="425" w:type="dxa"/>
            <w:shd w:val="solid" w:color="FFFFFF" w:fill="auto"/>
          </w:tcPr>
          <w:p w14:paraId="0A84EECC" w14:textId="5688D884"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28C9C208" w14:textId="6FD24709"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5F25700A" w14:textId="1163E67D" w:rsidR="008A60FE" w:rsidRPr="00873B6C" w:rsidRDefault="008A60FE" w:rsidP="009D14FB">
            <w:pPr>
              <w:pStyle w:val="TAL"/>
              <w:rPr>
                <w:sz w:val="16"/>
                <w:szCs w:val="16"/>
              </w:rPr>
            </w:pPr>
            <w:r w:rsidRPr="00873B6C">
              <w:rPr>
                <w:sz w:val="16"/>
                <w:szCs w:val="16"/>
              </w:rPr>
              <w:t xml:space="preserve">Removal of erroneous RAN requirements </w:t>
            </w:r>
          </w:p>
        </w:tc>
        <w:tc>
          <w:tcPr>
            <w:tcW w:w="708" w:type="dxa"/>
            <w:shd w:val="solid" w:color="FFFFFF" w:fill="auto"/>
          </w:tcPr>
          <w:p w14:paraId="3A48263F" w14:textId="2326C6CC" w:rsidR="008A60FE" w:rsidRPr="00873B6C" w:rsidRDefault="008A60FE" w:rsidP="009D14FB">
            <w:pPr>
              <w:pStyle w:val="TAC"/>
              <w:rPr>
                <w:sz w:val="16"/>
                <w:szCs w:val="16"/>
              </w:rPr>
            </w:pPr>
            <w:r w:rsidRPr="00873B6C">
              <w:rPr>
                <w:sz w:val="16"/>
                <w:szCs w:val="16"/>
              </w:rPr>
              <w:t>16.8.0</w:t>
            </w:r>
          </w:p>
        </w:tc>
      </w:tr>
      <w:tr w:rsidR="008A60FE" w:rsidRPr="00873B6C" w14:paraId="13F6BF8A" w14:textId="77777777" w:rsidTr="009D14FB">
        <w:tc>
          <w:tcPr>
            <w:tcW w:w="800" w:type="dxa"/>
            <w:shd w:val="solid" w:color="FFFFFF" w:fill="auto"/>
          </w:tcPr>
          <w:p w14:paraId="3449C284" w14:textId="7C1ED251"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0CB80BB0" w14:textId="45776EAD"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0BA5083A" w14:textId="388A66D9" w:rsidR="008A60FE" w:rsidRPr="00873B6C" w:rsidRDefault="008A60FE" w:rsidP="009D14FB">
            <w:pPr>
              <w:pStyle w:val="TAC"/>
              <w:rPr>
                <w:sz w:val="16"/>
                <w:szCs w:val="16"/>
              </w:rPr>
            </w:pPr>
            <w:r w:rsidRPr="00873B6C">
              <w:rPr>
                <w:sz w:val="16"/>
                <w:szCs w:val="16"/>
              </w:rPr>
              <w:t>SP-210081</w:t>
            </w:r>
          </w:p>
        </w:tc>
        <w:tc>
          <w:tcPr>
            <w:tcW w:w="567" w:type="dxa"/>
            <w:shd w:val="solid" w:color="FFFFFF" w:fill="auto"/>
          </w:tcPr>
          <w:p w14:paraId="55394FC4" w14:textId="1A7387FE" w:rsidR="008A60FE" w:rsidRPr="00873B6C" w:rsidRDefault="008A60FE" w:rsidP="009D14FB">
            <w:pPr>
              <w:pStyle w:val="TAL"/>
              <w:rPr>
                <w:sz w:val="16"/>
                <w:szCs w:val="16"/>
              </w:rPr>
            </w:pPr>
            <w:r w:rsidRPr="00873B6C">
              <w:rPr>
                <w:sz w:val="16"/>
                <w:szCs w:val="16"/>
              </w:rPr>
              <w:t>2559</w:t>
            </w:r>
          </w:p>
        </w:tc>
        <w:tc>
          <w:tcPr>
            <w:tcW w:w="425" w:type="dxa"/>
            <w:shd w:val="solid" w:color="FFFFFF" w:fill="auto"/>
          </w:tcPr>
          <w:p w14:paraId="12B602F9" w14:textId="4D17B6FE"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6B9CCC18" w14:textId="5DEC1658"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794E930D" w14:textId="480505AE" w:rsidR="008A60FE" w:rsidRPr="00873B6C" w:rsidRDefault="008A60FE" w:rsidP="009D14FB">
            <w:pPr>
              <w:pStyle w:val="TAL"/>
              <w:rPr>
                <w:sz w:val="16"/>
                <w:szCs w:val="16"/>
              </w:rPr>
            </w:pPr>
            <w:r w:rsidRPr="00873B6C">
              <w:rPr>
                <w:sz w:val="16"/>
                <w:szCs w:val="16"/>
              </w:rPr>
              <w:t xml:space="preserve">Correction to Mobility Restrictions and Access Restrictions   </w:t>
            </w:r>
          </w:p>
        </w:tc>
        <w:tc>
          <w:tcPr>
            <w:tcW w:w="708" w:type="dxa"/>
            <w:shd w:val="solid" w:color="FFFFFF" w:fill="auto"/>
          </w:tcPr>
          <w:p w14:paraId="566C4DEF" w14:textId="42152F1E" w:rsidR="008A60FE" w:rsidRPr="00873B6C" w:rsidRDefault="008A60FE" w:rsidP="009D14FB">
            <w:pPr>
              <w:pStyle w:val="TAC"/>
              <w:rPr>
                <w:sz w:val="16"/>
                <w:szCs w:val="16"/>
              </w:rPr>
            </w:pPr>
            <w:r w:rsidRPr="00873B6C">
              <w:rPr>
                <w:sz w:val="16"/>
                <w:szCs w:val="16"/>
              </w:rPr>
              <w:t>16.8.0</w:t>
            </w:r>
          </w:p>
        </w:tc>
      </w:tr>
      <w:tr w:rsidR="008A60FE" w:rsidRPr="00873B6C" w14:paraId="5ABDCE5D" w14:textId="77777777" w:rsidTr="009D14FB">
        <w:tc>
          <w:tcPr>
            <w:tcW w:w="800" w:type="dxa"/>
            <w:shd w:val="solid" w:color="FFFFFF" w:fill="auto"/>
          </w:tcPr>
          <w:p w14:paraId="6F530F9C" w14:textId="3EA2AD1D"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608AC9C2" w14:textId="01D7F786"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476AFB81" w14:textId="40C8E637" w:rsidR="008A60FE" w:rsidRPr="00873B6C" w:rsidRDefault="008A60FE" w:rsidP="009D14FB">
            <w:pPr>
              <w:pStyle w:val="TAC"/>
              <w:rPr>
                <w:sz w:val="16"/>
                <w:szCs w:val="16"/>
              </w:rPr>
            </w:pPr>
            <w:r w:rsidRPr="00873B6C">
              <w:rPr>
                <w:sz w:val="16"/>
                <w:szCs w:val="16"/>
              </w:rPr>
              <w:t>SP-210054</w:t>
            </w:r>
          </w:p>
        </w:tc>
        <w:tc>
          <w:tcPr>
            <w:tcW w:w="567" w:type="dxa"/>
            <w:shd w:val="solid" w:color="FFFFFF" w:fill="auto"/>
          </w:tcPr>
          <w:p w14:paraId="6E3F7082" w14:textId="026CA25A" w:rsidR="008A60FE" w:rsidRPr="00873B6C" w:rsidRDefault="008A60FE" w:rsidP="009D14FB">
            <w:pPr>
              <w:pStyle w:val="TAL"/>
              <w:rPr>
                <w:sz w:val="16"/>
                <w:szCs w:val="16"/>
              </w:rPr>
            </w:pPr>
            <w:r w:rsidRPr="00873B6C">
              <w:rPr>
                <w:sz w:val="16"/>
                <w:szCs w:val="16"/>
              </w:rPr>
              <w:t>2569</w:t>
            </w:r>
          </w:p>
        </w:tc>
        <w:tc>
          <w:tcPr>
            <w:tcW w:w="425" w:type="dxa"/>
            <w:shd w:val="solid" w:color="FFFFFF" w:fill="auto"/>
          </w:tcPr>
          <w:p w14:paraId="12CC139B" w14:textId="4CA52DCD"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3A18D5D6" w14:textId="2434913A"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65D032E1" w14:textId="0F30BE90" w:rsidR="008A60FE" w:rsidRPr="00873B6C" w:rsidRDefault="008A60FE" w:rsidP="009D14FB">
            <w:pPr>
              <w:pStyle w:val="TAL"/>
              <w:rPr>
                <w:sz w:val="16"/>
                <w:szCs w:val="16"/>
              </w:rPr>
            </w:pPr>
            <w:r w:rsidRPr="00873B6C">
              <w:rPr>
                <w:sz w:val="16"/>
                <w:szCs w:val="16"/>
              </w:rPr>
              <w:t>Support for IMS emergency from CAG non-supporting UE</w:t>
            </w:r>
          </w:p>
        </w:tc>
        <w:tc>
          <w:tcPr>
            <w:tcW w:w="708" w:type="dxa"/>
            <w:shd w:val="solid" w:color="FFFFFF" w:fill="auto"/>
          </w:tcPr>
          <w:p w14:paraId="7F3CCE28" w14:textId="229476DA" w:rsidR="008A60FE" w:rsidRPr="00873B6C" w:rsidRDefault="008A60FE" w:rsidP="009D14FB">
            <w:pPr>
              <w:pStyle w:val="TAC"/>
              <w:rPr>
                <w:sz w:val="16"/>
                <w:szCs w:val="16"/>
              </w:rPr>
            </w:pPr>
            <w:r w:rsidRPr="00873B6C">
              <w:rPr>
                <w:sz w:val="16"/>
                <w:szCs w:val="16"/>
              </w:rPr>
              <w:t>16.8.0</w:t>
            </w:r>
          </w:p>
        </w:tc>
      </w:tr>
      <w:tr w:rsidR="008A60FE" w:rsidRPr="00873B6C" w14:paraId="511F7ADE" w14:textId="77777777" w:rsidTr="009D14FB">
        <w:tc>
          <w:tcPr>
            <w:tcW w:w="800" w:type="dxa"/>
            <w:shd w:val="solid" w:color="FFFFFF" w:fill="auto"/>
          </w:tcPr>
          <w:p w14:paraId="30A88B76" w14:textId="3FB97B81"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4CFB0622" w14:textId="49C3CA12"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55271F24" w14:textId="19A0EB28" w:rsidR="008A60FE" w:rsidRPr="00873B6C" w:rsidRDefault="008A60FE" w:rsidP="009D14FB">
            <w:pPr>
              <w:pStyle w:val="TAC"/>
              <w:rPr>
                <w:sz w:val="16"/>
                <w:szCs w:val="16"/>
              </w:rPr>
            </w:pPr>
            <w:r w:rsidRPr="00873B6C">
              <w:rPr>
                <w:sz w:val="16"/>
                <w:szCs w:val="16"/>
              </w:rPr>
              <w:t>SP-210080</w:t>
            </w:r>
          </w:p>
        </w:tc>
        <w:tc>
          <w:tcPr>
            <w:tcW w:w="567" w:type="dxa"/>
            <w:shd w:val="solid" w:color="FFFFFF" w:fill="auto"/>
          </w:tcPr>
          <w:p w14:paraId="58E28B48" w14:textId="3E4E16E4" w:rsidR="008A60FE" w:rsidRPr="00873B6C" w:rsidRDefault="008A60FE" w:rsidP="009D14FB">
            <w:pPr>
              <w:pStyle w:val="TAL"/>
              <w:rPr>
                <w:sz w:val="16"/>
                <w:szCs w:val="16"/>
              </w:rPr>
            </w:pPr>
            <w:r w:rsidRPr="00873B6C">
              <w:rPr>
                <w:sz w:val="16"/>
                <w:szCs w:val="16"/>
              </w:rPr>
              <w:t>2570</w:t>
            </w:r>
          </w:p>
        </w:tc>
        <w:tc>
          <w:tcPr>
            <w:tcW w:w="425" w:type="dxa"/>
            <w:shd w:val="solid" w:color="FFFFFF" w:fill="auto"/>
          </w:tcPr>
          <w:p w14:paraId="060635E2" w14:textId="70A83411"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374DC1B8" w14:textId="2C34D40A"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3D0D8689" w14:textId="70C3910F" w:rsidR="008A60FE" w:rsidRPr="00873B6C" w:rsidRDefault="008A60FE" w:rsidP="009D14FB">
            <w:pPr>
              <w:pStyle w:val="TAL"/>
              <w:rPr>
                <w:sz w:val="16"/>
                <w:szCs w:val="16"/>
              </w:rPr>
            </w:pPr>
            <w:r w:rsidRPr="00873B6C">
              <w:rPr>
                <w:sz w:val="16"/>
                <w:szCs w:val="16"/>
              </w:rPr>
              <w:t>Handling of UTRAN UE radio capabilities</w:t>
            </w:r>
          </w:p>
        </w:tc>
        <w:tc>
          <w:tcPr>
            <w:tcW w:w="708" w:type="dxa"/>
            <w:shd w:val="solid" w:color="FFFFFF" w:fill="auto"/>
          </w:tcPr>
          <w:p w14:paraId="4AEF15AD" w14:textId="387934EB" w:rsidR="008A60FE" w:rsidRPr="00873B6C" w:rsidRDefault="008A60FE" w:rsidP="009D14FB">
            <w:pPr>
              <w:pStyle w:val="TAC"/>
              <w:rPr>
                <w:sz w:val="16"/>
                <w:szCs w:val="16"/>
              </w:rPr>
            </w:pPr>
            <w:r w:rsidRPr="00873B6C">
              <w:rPr>
                <w:sz w:val="16"/>
                <w:szCs w:val="16"/>
              </w:rPr>
              <w:t>16.8.0</w:t>
            </w:r>
          </w:p>
        </w:tc>
      </w:tr>
      <w:tr w:rsidR="008A60FE" w:rsidRPr="00873B6C" w14:paraId="3B0A91FB" w14:textId="77777777" w:rsidTr="009D14FB">
        <w:tc>
          <w:tcPr>
            <w:tcW w:w="800" w:type="dxa"/>
            <w:shd w:val="solid" w:color="FFFFFF" w:fill="auto"/>
          </w:tcPr>
          <w:p w14:paraId="401818D0" w14:textId="1F8F0E4C"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777CC4E4" w14:textId="4E24315B"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089A5D29" w14:textId="0A19EDD6" w:rsidR="008A60FE" w:rsidRPr="00873B6C" w:rsidRDefault="008A60FE" w:rsidP="009D14FB">
            <w:pPr>
              <w:pStyle w:val="TAC"/>
              <w:rPr>
                <w:sz w:val="16"/>
                <w:szCs w:val="16"/>
              </w:rPr>
            </w:pPr>
            <w:r w:rsidRPr="00873B6C">
              <w:rPr>
                <w:sz w:val="16"/>
                <w:szCs w:val="16"/>
              </w:rPr>
              <w:t>SP-210244</w:t>
            </w:r>
          </w:p>
        </w:tc>
        <w:tc>
          <w:tcPr>
            <w:tcW w:w="567" w:type="dxa"/>
            <w:shd w:val="solid" w:color="FFFFFF" w:fill="auto"/>
          </w:tcPr>
          <w:p w14:paraId="24F4AAF7" w14:textId="344F2AD4" w:rsidR="008A60FE" w:rsidRPr="00873B6C" w:rsidRDefault="008A60FE" w:rsidP="009D14FB">
            <w:pPr>
              <w:pStyle w:val="TAL"/>
              <w:rPr>
                <w:sz w:val="16"/>
                <w:szCs w:val="16"/>
              </w:rPr>
            </w:pPr>
            <w:r w:rsidRPr="00873B6C">
              <w:rPr>
                <w:sz w:val="16"/>
                <w:szCs w:val="16"/>
              </w:rPr>
              <w:t>2589</w:t>
            </w:r>
          </w:p>
        </w:tc>
        <w:tc>
          <w:tcPr>
            <w:tcW w:w="425" w:type="dxa"/>
            <w:shd w:val="solid" w:color="FFFFFF" w:fill="auto"/>
          </w:tcPr>
          <w:p w14:paraId="594F7AA1" w14:textId="72EFEF83" w:rsidR="008A60FE" w:rsidRPr="00873B6C" w:rsidRDefault="008A60FE" w:rsidP="009D14FB">
            <w:pPr>
              <w:pStyle w:val="TAL"/>
              <w:rPr>
                <w:sz w:val="16"/>
                <w:szCs w:val="16"/>
              </w:rPr>
            </w:pPr>
            <w:r w:rsidRPr="00873B6C">
              <w:rPr>
                <w:sz w:val="16"/>
                <w:szCs w:val="16"/>
              </w:rPr>
              <w:t xml:space="preserve">- </w:t>
            </w:r>
          </w:p>
        </w:tc>
        <w:tc>
          <w:tcPr>
            <w:tcW w:w="425" w:type="dxa"/>
            <w:shd w:val="solid" w:color="FFFFFF" w:fill="auto"/>
          </w:tcPr>
          <w:p w14:paraId="59205578" w14:textId="01DDF4C5"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487BB469" w14:textId="1CA5D34C" w:rsidR="008A60FE" w:rsidRPr="00873B6C" w:rsidRDefault="008A60FE" w:rsidP="009D14FB">
            <w:pPr>
              <w:pStyle w:val="TAL"/>
              <w:rPr>
                <w:sz w:val="16"/>
                <w:szCs w:val="16"/>
              </w:rPr>
            </w:pPr>
            <w:r w:rsidRPr="00873B6C">
              <w:rPr>
                <w:sz w:val="16"/>
                <w:szCs w:val="16"/>
              </w:rPr>
              <w:t>Correction on reference to BBF</w:t>
            </w:r>
          </w:p>
        </w:tc>
        <w:tc>
          <w:tcPr>
            <w:tcW w:w="708" w:type="dxa"/>
            <w:shd w:val="solid" w:color="FFFFFF" w:fill="auto"/>
          </w:tcPr>
          <w:p w14:paraId="4CC4F57D" w14:textId="1FAEC00B" w:rsidR="008A60FE" w:rsidRPr="00873B6C" w:rsidRDefault="008A60FE" w:rsidP="009D14FB">
            <w:pPr>
              <w:pStyle w:val="TAC"/>
              <w:rPr>
                <w:sz w:val="16"/>
                <w:szCs w:val="16"/>
              </w:rPr>
            </w:pPr>
            <w:r w:rsidRPr="00873B6C">
              <w:rPr>
                <w:sz w:val="16"/>
                <w:szCs w:val="16"/>
              </w:rPr>
              <w:t>16.8.0</w:t>
            </w:r>
          </w:p>
        </w:tc>
      </w:tr>
      <w:tr w:rsidR="003A2901" w:rsidRPr="00873B6C" w14:paraId="33342A9D" w14:textId="77777777" w:rsidTr="009D14FB">
        <w:tc>
          <w:tcPr>
            <w:tcW w:w="800" w:type="dxa"/>
            <w:shd w:val="solid" w:color="FFFFFF" w:fill="auto"/>
          </w:tcPr>
          <w:p w14:paraId="7D05360F" w14:textId="7353A066"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4BF7DFD3" w14:textId="6A3D6150"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7F527D96" w14:textId="43B2C03F" w:rsidR="003A2901" w:rsidRPr="00873B6C" w:rsidRDefault="003A2901" w:rsidP="009D14FB">
            <w:pPr>
              <w:pStyle w:val="TAC"/>
              <w:rPr>
                <w:sz w:val="16"/>
                <w:szCs w:val="16"/>
              </w:rPr>
            </w:pPr>
            <w:r w:rsidRPr="00873B6C">
              <w:rPr>
                <w:sz w:val="16"/>
                <w:szCs w:val="16"/>
              </w:rPr>
              <w:t>SP-210243</w:t>
            </w:r>
          </w:p>
        </w:tc>
        <w:tc>
          <w:tcPr>
            <w:tcW w:w="567" w:type="dxa"/>
            <w:shd w:val="solid" w:color="FFFFFF" w:fill="auto"/>
          </w:tcPr>
          <w:p w14:paraId="1AA8DED4" w14:textId="1E0C5421" w:rsidR="003A2901" w:rsidRPr="00873B6C" w:rsidRDefault="003A2901" w:rsidP="009D14FB">
            <w:pPr>
              <w:pStyle w:val="TAL"/>
              <w:rPr>
                <w:sz w:val="16"/>
                <w:szCs w:val="16"/>
              </w:rPr>
            </w:pPr>
            <w:r w:rsidRPr="00873B6C">
              <w:rPr>
                <w:sz w:val="16"/>
                <w:szCs w:val="16"/>
              </w:rPr>
              <w:t>2600</w:t>
            </w:r>
          </w:p>
        </w:tc>
        <w:tc>
          <w:tcPr>
            <w:tcW w:w="425" w:type="dxa"/>
            <w:shd w:val="solid" w:color="FFFFFF" w:fill="auto"/>
          </w:tcPr>
          <w:p w14:paraId="5B791DE4" w14:textId="6D4A254E"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507C9A7B" w14:textId="41EFFD44"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573F34AD" w14:textId="13EB1067" w:rsidR="003A2901" w:rsidRPr="00873B6C" w:rsidRDefault="003A2901" w:rsidP="009D14FB">
            <w:pPr>
              <w:pStyle w:val="TAL"/>
              <w:rPr>
                <w:sz w:val="16"/>
                <w:szCs w:val="16"/>
              </w:rPr>
            </w:pPr>
            <w:r w:rsidRPr="00873B6C">
              <w:rPr>
                <w:sz w:val="16"/>
                <w:szCs w:val="16"/>
              </w:rPr>
              <w:t>IMS voice over PS Session Supported Indication taking into account UE S1 mode status</w:t>
            </w:r>
          </w:p>
        </w:tc>
        <w:tc>
          <w:tcPr>
            <w:tcW w:w="708" w:type="dxa"/>
            <w:shd w:val="solid" w:color="FFFFFF" w:fill="auto"/>
          </w:tcPr>
          <w:p w14:paraId="2ED4C271" w14:textId="2AA80265" w:rsidR="003A2901" w:rsidRPr="00873B6C" w:rsidRDefault="003A2901" w:rsidP="009D14FB">
            <w:pPr>
              <w:pStyle w:val="TAC"/>
              <w:rPr>
                <w:sz w:val="16"/>
                <w:szCs w:val="16"/>
              </w:rPr>
            </w:pPr>
            <w:r w:rsidRPr="00873B6C">
              <w:rPr>
                <w:sz w:val="16"/>
                <w:szCs w:val="16"/>
              </w:rPr>
              <w:t>16.8.0</w:t>
            </w:r>
          </w:p>
        </w:tc>
      </w:tr>
      <w:tr w:rsidR="003A2901" w:rsidRPr="00873B6C" w14:paraId="4254F347" w14:textId="77777777" w:rsidTr="009D14FB">
        <w:tc>
          <w:tcPr>
            <w:tcW w:w="800" w:type="dxa"/>
            <w:shd w:val="solid" w:color="FFFFFF" w:fill="auto"/>
          </w:tcPr>
          <w:p w14:paraId="2A147ED4" w14:textId="5005B831"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F5261EE" w14:textId="067821FF"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4683DC46" w14:textId="51B76135" w:rsidR="003A2901" w:rsidRPr="00873B6C" w:rsidRDefault="003A2901" w:rsidP="009D14FB">
            <w:pPr>
              <w:pStyle w:val="TAC"/>
              <w:rPr>
                <w:sz w:val="16"/>
                <w:szCs w:val="16"/>
              </w:rPr>
            </w:pPr>
            <w:r w:rsidRPr="00873B6C">
              <w:rPr>
                <w:sz w:val="16"/>
                <w:szCs w:val="16"/>
              </w:rPr>
              <w:t>SP-210054</w:t>
            </w:r>
          </w:p>
        </w:tc>
        <w:tc>
          <w:tcPr>
            <w:tcW w:w="567" w:type="dxa"/>
            <w:shd w:val="solid" w:color="FFFFFF" w:fill="auto"/>
          </w:tcPr>
          <w:p w14:paraId="4BA64A29" w14:textId="50F56C12" w:rsidR="003A2901" w:rsidRPr="00873B6C" w:rsidRDefault="003A2901" w:rsidP="009D14FB">
            <w:pPr>
              <w:pStyle w:val="TAL"/>
              <w:rPr>
                <w:sz w:val="16"/>
                <w:szCs w:val="16"/>
              </w:rPr>
            </w:pPr>
            <w:r w:rsidRPr="00873B6C">
              <w:rPr>
                <w:sz w:val="16"/>
                <w:szCs w:val="16"/>
              </w:rPr>
              <w:t>2603</w:t>
            </w:r>
          </w:p>
        </w:tc>
        <w:tc>
          <w:tcPr>
            <w:tcW w:w="425" w:type="dxa"/>
            <w:shd w:val="solid" w:color="FFFFFF" w:fill="auto"/>
          </w:tcPr>
          <w:p w14:paraId="4577F3D7" w14:textId="13F1432C"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25D25CFE" w14:textId="13524D18"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1246469B" w14:textId="3BB12CFE" w:rsidR="003A2901" w:rsidRPr="00873B6C" w:rsidRDefault="003A2901" w:rsidP="009D14FB">
            <w:pPr>
              <w:pStyle w:val="TAL"/>
              <w:rPr>
                <w:sz w:val="16"/>
                <w:szCs w:val="16"/>
              </w:rPr>
            </w:pPr>
            <w:r w:rsidRPr="00873B6C">
              <w:rPr>
                <w:sz w:val="16"/>
                <w:szCs w:val="16"/>
              </w:rPr>
              <w:t>clarification on the determination of the egress port for DL traffic</w:t>
            </w:r>
          </w:p>
        </w:tc>
        <w:tc>
          <w:tcPr>
            <w:tcW w:w="708" w:type="dxa"/>
            <w:shd w:val="solid" w:color="FFFFFF" w:fill="auto"/>
          </w:tcPr>
          <w:p w14:paraId="2D0F62FB" w14:textId="1CDF224D" w:rsidR="003A2901" w:rsidRPr="00873B6C" w:rsidRDefault="003A2901" w:rsidP="009D14FB">
            <w:pPr>
              <w:pStyle w:val="TAC"/>
              <w:rPr>
                <w:sz w:val="16"/>
                <w:szCs w:val="16"/>
              </w:rPr>
            </w:pPr>
            <w:r w:rsidRPr="00873B6C">
              <w:rPr>
                <w:sz w:val="16"/>
                <w:szCs w:val="16"/>
              </w:rPr>
              <w:t>16.8.0</w:t>
            </w:r>
          </w:p>
        </w:tc>
      </w:tr>
      <w:tr w:rsidR="003A2901" w:rsidRPr="00873B6C" w14:paraId="3DC49062" w14:textId="77777777" w:rsidTr="009D14FB">
        <w:tc>
          <w:tcPr>
            <w:tcW w:w="800" w:type="dxa"/>
            <w:shd w:val="solid" w:color="FFFFFF" w:fill="auto"/>
          </w:tcPr>
          <w:p w14:paraId="2632584E" w14:textId="38E3D133"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74727044" w14:textId="16DD63F4"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6549C8ED" w14:textId="4E68973D" w:rsidR="003A2901" w:rsidRPr="00873B6C" w:rsidRDefault="003A2901" w:rsidP="009D14FB">
            <w:pPr>
              <w:pStyle w:val="TAC"/>
              <w:rPr>
                <w:sz w:val="16"/>
                <w:szCs w:val="16"/>
              </w:rPr>
            </w:pPr>
            <w:r w:rsidRPr="00873B6C">
              <w:rPr>
                <w:sz w:val="16"/>
                <w:szCs w:val="16"/>
              </w:rPr>
              <w:t>SP-210054</w:t>
            </w:r>
          </w:p>
        </w:tc>
        <w:tc>
          <w:tcPr>
            <w:tcW w:w="567" w:type="dxa"/>
            <w:shd w:val="solid" w:color="FFFFFF" w:fill="auto"/>
          </w:tcPr>
          <w:p w14:paraId="5AAE1F69" w14:textId="442C1EE1" w:rsidR="003A2901" w:rsidRPr="00873B6C" w:rsidRDefault="003A2901" w:rsidP="009D14FB">
            <w:pPr>
              <w:pStyle w:val="TAL"/>
              <w:rPr>
                <w:sz w:val="16"/>
                <w:szCs w:val="16"/>
              </w:rPr>
            </w:pPr>
            <w:r w:rsidRPr="00873B6C">
              <w:rPr>
                <w:sz w:val="16"/>
                <w:szCs w:val="16"/>
              </w:rPr>
              <w:t>2604</w:t>
            </w:r>
          </w:p>
        </w:tc>
        <w:tc>
          <w:tcPr>
            <w:tcW w:w="425" w:type="dxa"/>
            <w:shd w:val="solid" w:color="FFFFFF" w:fill="auto"/>
          </w:tcPr>
          <w:p w14:paraId="64F7EDE3" w14:textId="6012524A" w:rsidR="003A2901" w:rsidRPr="00873B6C" w:rsidRDefault="003A2901" w:rsidP="009D14FB">
            <w:pPr>
              <w:pStyle w:val="TAL"/>
              <w:rPr>
                <w:sz w:val="16"/>
                <w:szCs w:val="16"/>
              </w:rPr>
            </w:pPr>
            <w:r w:rsidRPr="00873B6C">
              <w:rPr>
                <w:sz w:val="16"/>
                <w:szCs w:val="16"/>
              </w:rPr>
              <w:t xml:space="preserve">- </w:t>
            </w:r>
          </w:p>
        </w:tc>
        <w:tc>
          <w:tcPr>
            <w:tcW w:w="425" w:type="dxa"/>
            <w:shd w:val="solid" w:color="FFFFFF" w:fill="auto"/>
          </w:tcPr>
          <w:p w14:paraId="166E0924" w14:textId="24AECE23"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16615E3B" w14:textId="2C1F2055" w:rsidR="003A2901" w:rsidRPr="00873B6C" w:rsidRDefault="003A2901" w:rsidP="009D14FB">
            <w:pPr>
              <w:pStyle w:val="TAL"/>
              <w:rPr>
                <w:sz w:val="16"/>
                <w:szCs w:val="16"/>
              </w:rPr>
            </w:pPr>
            <w:r w:rsidRPr="00873B6C">
              <w:rPr>
                <w:sz w:val="16"/>
                <w:szCs w:val="16"/>
              </w:rPr>
              <w:t>Correction for reporting of 5GS Bridge information</w:t>
            </w:r>
          </w:p>
        </w:tc>
        <w:tc>
          <w:tcPr>
            <w:tcW w:w="708" w:type="dxa"/>
            <w:shd w:val="solid" w:color="FFFFFF" w:fill="auto"/>
          </w:tcPr>
          <w:p w14:paraId="3068C118" w14:textId="7B89834A" w:rsidR="003A2901" w:rsidRPr="00873B6C" w:rsidRDefault="003A2901" w:rsidP="009D14FB">
            <w:pPr>
              <w:pStyle w:val="TAC"/>
              <w:rPr>
                <w:sz w:val="16"/>
                <w:szCs w:val="16"/>
              </w:rPr>
            </w:pPr>
            <w:r w:rsidRPr="00873B6C">
              <w:rPr>
                <w:sz w:val="16"/>
                <w:szCs w:val="16"/>
              </w:rPr>
              <w:t>16.8.0</w:t>
            </w:r>
          </w:p>
        </w:tc>
      </w:tr>
      <w:tr w:rsidR="003A2901" w:rsidRPr="00873B6C" w14:paraId="5A27AB84" w14:textId="77777777" w:rsidTr="009D14FB">
        <w:tc>
          <w:tcPr>
            <w:tcW w:w="800" w:type="dxa"/>
            <w:shd w:val="solid" w:color="FFFFFF" w:fill="auto"/>
          </w:tcPr>
          <w:p w14:paraId="4AEC74C0" w14:textId="3EEBDA7F"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C47D33F" w14:textId="792A080F"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1A800E80" w14:textId="2AB55BA8" w:rsidR="003A2901" w:rsidRPr="00873B6C" w:rsidRDefault="003A2901" w:rsidP="009D14FB">
            <w:pPr>
              <w:pStyle w:val="TAC"/>
              <w:rPr>
                <w:sz w:val="16"/>
                <w:szCs w:val="16"/>
              </w:rPr>
            </w:pPr>
            <w:r w:rsidRPr="00873B6C">
              <w:rPr>
                <w:sz w:val="16"/>
                <w:szCs w:val="16"/>
              </w:rPr>
              <w:t>SP-210054</w:t>
            </w:r>
          </w:p>
        </w:tc>
        <w:tc>
          <w:tcPr>
            <w:tcW w:w="567" w:type="dxa"/>
            <w:shd w:val="solid" w:color="FFFFFF" w:fill="auto"/>
          </w:tcPr>
          <w:p w14:paraId="3DB90CA8" w14:textId="7737D30B" w:rsidR="003A2901" w:rsidRPr="00873B6C" w:rsidRDefault="003A2901" w:rsidP="009D14FB">
            <w:pPr>
              <w:pStyle w:val="TAL"/>
              <w:rPr>
                <w:sz w:val="16"/>
                <w:szCs w:val="16"/>
              </w:rPr>
            </w:pPr>
            <w:r w:rsidRPr="00873B6C">
              <w:rPr>
                <w:sz w:val="16"/>
                <w:szCs w:val="16"/>
              </w:rPr>
              <w:t>2605</w:t>
            </w:r>
          </w:p>
        </w:tc>
        <w:tc>
          <w:tcPr>
            <w:tcW w:w="425" w:type="dxa"/>
            <w:shd w:val="solid" w:color="FFFFFF" w:fill="auto"/>
          </w:tcPr>
          <w:p w14:paraId="7F275FCB" w14:textId="5A503327" w:rsidR="003A2901" w:rsidRPr="00873B6C" w:rsidRDefault="003A2901" w:rsidP="009D14FB">
            <w:pPr>
              <w:pStyle w:val="TAL"/>
              <w:rPr>
                <w:sz w:val="16"/>
                <w:szCs w:val="16"/>
              </w:rPr>
            </w:pPr>
            <w:r w:rsidRPr="00873B6C">
              <w:rPr>
                <w:sz w:val="16"/>
                <w:szCs w:val="16"/>
              </w:rPr>
              <w:t xml:space="preserve">- </w:t>
            </w:r>
          </w:p>
        </w:tc>
        <w:tc>
          <w:tcPr>
            <w:tcW w:w="425" w:type="dxa"/>
            <w:shd w:val="solid" w:color="FFFFFF" w:fill="auto"/>
          </w:tcPr>
          <w:p w14:paraId="2492FBFD" w14:textId="65249967"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35D9DB86" w14:textId="3F2BE165" w:rsidR="003A2901" w:rsidRPr="00873B6C" w:rsidRDefault="003A2901" w:rsidP="009D14FB">
            <w:pPr>
              <w:pStyle w:val="TAL"/>
              <w:rPr>
                <w:sz w:val="16"/>
                <w:szCs w:val="16"/>
              </w:rPr>
            </w:pPr>
            <w:r w:rsidRPr="00873B6C">
              <w:rPr>
                <w:sz w:val="16"/>
                <w:szCs w:val="16"/>
              </w:rPr>
              <w:t>Clarification for the stream filter instance</w:t>
            </w:r>
          </w:p>
        </w:tc>
        <w:tc>
          <w:tcPr>
            <w:tcW w:w="708" w:type="dxa"/>
            <w:shd w:val="solid" w:color="FFFFFF" w:fill="auto"/>
          </w:tcPr>
          <w:p w14:paraId="01C76984" w14:textId="09B0CD88" w:rsidR="003A2901" w:rsidRPr="00873B6C" w:rsidRDefault="003A2901" w:rsidP="009D14FB">
            <w:pPr>
              <w:pStyle w:val="TAC"/>
              <w:rPr>
                <w:sz w:val="16"/>
                <w:szCs w:val="16"/>
              </w:rPr>
            </w:pPr>
            <w:r w:rsidRPr="00873B6C">
              <w:rPr>
                <w:sz w:val="16"/>
                <w:szCs w:val="16"/>
              </w:rPr>
              <w:t>16.8.0</w:t>
            </w:r>
          </w:p>
        </w:tc>
      </w:tr>
      <w:tr w:rsidR="003A2901" w:rsidRPr="00873B6C" w14:paraId="45680E3C" w14:textId="77777777" w:rsidTr="009D14FB">
        <w:tc>
          <w:tcPr>
            <w:tcW w:w="800" w:type="dxa"/>
            <w:shd w:val="solid" w:color="FFFFFF" w:fill="auto"/>
          </w:tcPr>
          <w:p w14:paraId="7A50FFDA" w14:textId="43F6EBC3"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10745538" w14:textId="72BF7B1E"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59F6051B" w14:textId="1116240A" w:rsidR="003A2901" w:rsidRPr="00873B6C" w:rsidRDefault="003A2901" w:rsidP="009D14FB">
            <w:pPr>
              <w:pStyle w:val="TAC"/>
              <w:rPr>
                <w:sz w:val="16"/>
                <w:szCs w:val="16"/>
              </w:rPr>
            </w:pPr>
            <w:r w:rsidRPr="00873B6C">
              <w:rPr>
                <w:sz w:val="16"/>
                <w:szCs w:val="16"/>
              </w:rPr>
              <w:t>SP-210081</w:t>
            </w:r>
          </w:p>
        </w:tc>
        <w:tc>
          <w:tcPr>
            <w:tcW w:w="567" w:type="dxa"/>
            <w:shd w:val="solid" w:color="FFFFFF" w:fill="auto"/>
          </w:tcPr>
          <w:p w14:paraId="4E2ECCC0" w14:textId="7E704EFD" w:rsidR="003A2901" w:rsidRPr="00873B6C" w:rsidRDefault="003A2901" w:rsidP="009D14FB">
            <w:pPr>
              <w:pStyle w:val="TAL"/>
              <w:rPr>
                <w:sz w:val="16"/>
                <w:szCs w:val="16"/>
              </w:rPr>
            </w:pPr>
            <w:r w:rsidRPr="00873B6C">
              <w:rPr>
                <w:sz w:val="16"/>
                <w:szCs w:val="16"/>
              </w:rPr>
              <w:t>2622</w:t>
            </w:r>
          </w:p>
        </w:tc>
        <w:tc>
          <w:tcPr>
            <w:tcW w:w="425" w:type="dxa"/>
            <w:shd w:val="solid" w:color="FFFFFF" w:fill="auto"/>
          </w:tcPr>
          <w:p w14:paraId="7471C9D3" w14:textId="6A40CA9C"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4C5888F4" w14:textId="55CB3B5D"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7B8AE8A8" w14:textId="5D3D1C9C" w:rsidR="003A2901" w:rsidRPr="00873B6C" w:rsidRDefault="003A2901" w:rsidP="009D14FB">
            <w:pPr>
              <w:pStyle w:val="TAL"/>
              <w:rPr>
                <w:sz w:val="16"/>
                <w:szCs w:val="16"/>
              </w:rPr>
            </w:pPr>
            <w:r w:rsidRPr="00873B6C">
              <w:rPr>
                <w:sz w:val="16"/>
                <w:szCs w:val="16"/>
              </w:rPr>
              <w:t>S-NSSAI for emergency services</w:t>
            </w:r>
          </w:p>
        </w:tc>
        <w:tc>
          <w:tcPr>
            <w:tcW w:w="708" w:type="dxa"/>
            <w:shd w:val="solid" w:color="FFFFFF" w:fill="auto"/>
          </w:tcPr>
          <w:p w14:paraId="1B0C6414" w14:textId="44ACE94D" w:rsidR="003A2901" w:rsidRPr="00873B6C" w:rsidRDefault="003A2901" w:rsidP="009D14FB">
            <w:pPr>
              <w:pStyle w:val="TAC"/>
              <w:rPr>
                <w:sz w:val="16"/>
                <w:szCs w:val="16"/>
              </w:rPr>
            </w:pPr>
            <w:r w:rsidRPr="00873B6C">
              <w:rPr>
                <w:sz w:val="16"/>
                <w:szCs w:val="16"/>
              </w:rPr>
              <w:t>16.8.0</w:t>
            </w:r>
          </w:p>
        </w:tc>
      </w:tr>
      <w:tr w:rsidR="003A2901" w:rsidRPr="00873B6C" w14:paraId="33190A3C" w14:textId="77777777" w:rsidTr="009D14FB">
        <w:tc>
          <w:tcPr>
            <w:tcW w:w="800" w:type="dxa"/>
            <w:shd w:val="solid" w:color="FFFFFF" w:fill="auto"/>
          </w:tcPr>
          <w:p w14:paraId="2B86B9EB" w14:textId="62AA70F1"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A9730C7" w14:textId="3FBBC2E4"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45373C47" w14:textId="2222B1D8" w:rsidR="003A2901" w:rsidRPr="00873B6C" w:rsidRDefault="003A2901" w:rsidP="009D14FB">
            <w:pPr>
              <w:pStyle w:val="TAC"/>
              <w:rPr>
                <w:sz w:val="16"/>
                <w:szCs w:val="16"/>
              </w:rPr>
            </w:pPr>
            <w:r w:rsidRPr="00873B6C">
              <w:rPr>
                <w:sz w:val="16"/>
                <w:szCs w:val="16"/>
              </w:rPr>
              <w:t>SP-210081</w:t>
            </w:r>
          </w:p>
        </w:tc>
        <w:tc>
          <w:tcPr>
            <w:tcW w:w="567" w:type="dxa"/>
            <w:shd w:val="solid" w:color="FFFFFF" w:fill="auto"/>
          </w:tcPr>
          <w:p w14:paraId="73103E8A" w14:textId="4E75AB63" w:rsidR="003A2901" w:rsidRPr="00873B6C" w:rsidRDefault="003A2901" w:rsidP="009D14FB">
            <w:pPr>
              <w:pStyle w:val="TAL"/>
              <w:rPr>
                <w:sz w:val="16"/>
                <w:szCs w:val="16"/>
              </w:rPr>
            </w:pPr>
            <w:r w:rsidRPr="00873B6C">
              <w:rPr>
                <w:sz w:val="16"/>
                <w:szCs w:val="16"/>
              </w:rPr>
              <w:t>2623</w:t>
            </w:r>
          </w:p>
        </w:tc>
        <w:tc>
          <w:tcPr>
            <w:tcW w:w="425" w:type="dxa"/>
            <w:shd w:val="solid" w:color="FFFFFF" w:fill="auto"/>
          </w:tcPr>
          <w:p w14:paraId="513C30AA" w14:textId="208B72DA"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0D23BF67" w14:textId="4907D472"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2F729D7F" w14:textId="2F426B7F" w:rsidR="003A2901" w:rsidRPr="00873B6C" w:rsidRDefault="003A2901" w:rsidP="009D14FB">
            <w:pPr>
              <w:pStyle w:val="TAL"/>
              <w:rPr>
                <w:sz w:val="16"/>
                <w:szCs w:val="16"/>
              </w:rPr>
            </w:pPr>
            <w:r w:rsidRPr="00873B6C">
              <w:rPr>
                <w:sz w:val="16"/>
                <w:szCs w:val="16"/>
              </w:rPr>
              <w:t xml:space="preserve">Inter PLMN mobility for emergency services </w:t>
            </w:r>
          </w:p>
        </w:tc>
        <w:tc>
          <w:tcPr>
            <w:tcW w:w="708" w:type="dxa"/>
            <w:shd w:val="solid" w:color="FFFFFF" w:fill="auto"/>
          </w:tcPr>
          <w:p w14:paraId="5B10EB20" w14:textId="21954740" w:rsidR="003A2901" w:rsidRPr="00873B6C" w:rsidRDefault="003A2901" w:rsidP="009D14FB">
            <w:pPr>
              <w:pStyle w:val="TAC"/>
              <w:rPr>
                <w:sz w:val="16"/>
                <w:szCs w:val="16"/>
              </w:rPr>
            </w:pPr>
            <w:r w:rsidRPr="00873B6C">
              <w:rPr>
                <w:sz w:val="16"/>
                <w:szCs w:val="16"/>
              </w:rPr>
              <w:t>16.8.0</w:t>
            </w:r>
          </w:p>
        </w:tc>
      </w:tr>
      <w:tr w:rsidR="003A2901" w:rsidRPr="00873B6C" w14:paraId="261DCEFD" w14:textId="77777777" w:rsidTr="009D14FB">
        <w:tc>
          <w:tcPr>
            <w:tcW w:w="800" w:type="dxa"/>
            <w:shd w:val="solid" w:color="FFFFFF" w:fill="auto"/>
          </w:tcPr>
          <w:p w14:paraId="7B056C6A" w14:textId="609A74BC"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1A1D1CB1" w14:textId="207D2C50"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69E2785B" w14:textId="230BE086" w:rsidR="003A2901" w:rsidRPr="00873B6C" w:rsidRDefault="003A2901" w:rsidP="009D14FB">
            <w:pPr>
              <w:pStyle w:val="TAC"/>
              <w:rPr>
                <w:sz w:val="16"/>
                <w:szCs w:val="16"/>
              </w:rPr>
            </w:pPr>
            <w:r w:rsidRPr="00873B6C">
              <w:rPr>
                <w:sz w:val="16"/>
                <w:szCs w:val="16"/>
              </w:rPr>
              <w:t>SP-210081</w:t>
            </w:r>
          </w:p>
        </w:tc>
        <w:tc>
          <w:tcPr>
            <w:tcW w:w="567" w:type="dxa"/>
            <w:shd w:val="solid" w:color="FFFFFF" w:fill="auto"/>
          </w:tcPr>
          <w:p w14:paraId="303034E5" w14:textId="60C8DD65" w:rsidR="003A2901" w:rsidRPr="00873B6C" w:rsidRDefault="003A2901" w:rsidP="009D14FB">
            <w:pPr>
              <w:pStyle w:val="TAL"/>
              <w:rPr>
                <w:sz w:val="16"/>
                <w:szCs w:val="16"/>
              </w:rPr>
            </w:pPr>
            <w:r w:rsidRPr="00873B6C">
              <w:rPr>
                <w:sz w:val="16"/>
                <w:szCs w:val="16"/>
              </w:rPr>
              <w:t>2632</w:t>
            </w:r>
          </w:p>
        </w:tc>
        <w:tc>
          <w:tcPr>
            <w:tcW w:w="425" w:type="dxa"/>
            <w:shd w:val="solid" w:color="FFFFFF" w:fill="auto"/>
          </w:tcPr>
          <w:p w14:paraId="4469F601" w14:textId="4BDF328C"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300F62C6" w14:textId="232ED4EB"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594D1AAC" w14:textId="79544D13" w:rsidR="003A2901" w:rsidRPr="00873B6C" w:rsidRDefault="003A2901" w:rsidP="009D14FB">
            <w:pPr>
              <w:pStyle w:val="TAL"/>
              <w:rPr>
                <w:sz w:val="16"/>
                <w:szCs w:val="16"/>
              </w:rPr>
            </w:pPr>
            <w:r w:rsidRPr="00873B6C">
              <w:rPr>
                <w:sz w:val="16"/>
                <w:szCs w:val="16"/>
              </w:rPr>
              <w:t>NGAP UE-TNLA-binding update</w:t>
            </w:r>
          </w:p>
        </w:tc>
        <w:tc>
          <w:tcPr>
            <w:tcW w:w="708" w:type="dxa"/>
            <w:shd w:val="solid" w:color="FFFFFF" w:fill="auto"/>
          </w:tcPr>
          <w:p w14:paraId="7E052307" w14:textId="731A1379" w:rsidR="003A2901" w:rsidRPr="00873B6C" w:rsidRDefault="003A2901" w:rsidP="009D14FB">
            <w:pPr>
              <w:pStyle w:val="TAC"/>
              <w:rPr>
                <w:sz w:val="16"/>
                <w:szCs w:val="16"/>
              </w:rPr>
            </w:pPr>
            <w:r w:rsidRPr="00873B6C">
              <w:rPr>
                <w:sz w:val="16"/>
                <w:szCs w:val="16"/>
              </w:rPr>
              <w:t>16.8.0</w:t>
            </w:r>
          </w:p>
        </w:tc>
      </w:tr>
      <w:tr w:rsidR="003A2901" w:rsidRPr="00873B6C" w14:paraId="7F9E0685" w14:textId="77777777" w:rsidTr="009D14FB">
        <w:tc>
          <w:tcPr>
            <w:tcW w:w="800" w:type="dxa"/>
            <w:shd w:val="solid" w:color="FFFFFF" w:fill="auto"/>
          </w:tcPr>
          <w:p w14:paraId="73BB81A7" w14:textId="6C6D1759"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7B69D87A" w14:textId="30259510"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26A2C76B" w14:textId="4387BB86" w:rsidR="003A2901" w:rsidRPr="00873B6C" w:rsidRDefault="003A2901" w:rsidP="009D14FB">
            <w:pPr>
              <w:pStyle w:val="TAC"/>
              <w:rPr>
                <w:sz w:val="16"/>
                <w:szCs w:val="16"/>
              </w:rPr>
            </w:pPr>
            <w:r w:rsidRPr="00873B6C">
              <w:rPr>
                <w:sz w:val="16"/>
                <w:szCs w:val="16"/>
              </w:rPr>
              <w:t>SP-210081</w:t>
            </w:r>
          </w:p>
        </w:tc>
        <w:tc>
          <w:tcPr>
            <w:tcW w:w="567" w:type="dxa"/>
            <w:shd w:val="solid" w:color="FFFFFF" w:fill="auto"/>
          </w:tcPr>
          <w:p w14:paraId="4DC91A87" w14:textId="37938E51" w:rsidR="003A2901" w:rsidRPr="00873B6C" w:rsidRDefault="003A2901" w:rsidP="009D14FB">
            <w:pPr>
              <w:pStyle w:val="TAL"/>
              <w:rPr>
                <w:sz w:val="16"/>
                <w:szCs w:val="16"/>
              </w:rPr>
            </w:pPr>
            <w:r w:rsidRPr="00873B6C">
              <w:rPr>
                <w:sz w:val="16"/>
                <w:szCs w:val="16"/>
              </w:rPr>
              <w:t>2636</w:t>
            </w:r>
          </w:p>
        </w:tc>
        <w:tc>
          <w:tcPr>
            <w:tcW w:w="425" w:type="dxa"/>
            <w:shd w:val="solid" w:color="FFFFFF" w:fill="auto"/>
          </w:tcPr>
          <w:p w14:paraId="370B91E6" w14:textId="2D2FEBF7"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51E8EAC3" w14:textId="0E35F7E0"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6F831C3E" w14:textId="248000D5" w:rsidR="003A2901" w:rsidRPr="00873B6C" w:rsidRDefault="003A2901" w:rsidP="009D14FB">
            <w:pPr>
              <w:pStyle w:val="TAL"/>
              <w:rPr>
                <w:sz w:val="16"/>
                <w:szCs w:val="16"/>
              </w:rPr>
            </w:pPr>
            <w:r w:rsidRPr="00873B6C">
              <w:rPr>
                <w:sz w:val="16"/>
                <w:szCs w:val="16"/>
              </w:rPr>
              <w:t>AMF reallocation during EPS to 5GS handover using N26</w:t>
            </w:r>
          </w:p>
        </w:tc>
        <w:tc>
          <w:tcPr>
            <w:tcW w:w="708" w:type="dxa"/>
            <w:shd w:val="solid" w:color="FFFFFF" w:fill="auto"/>
          </w:tcPr>
          <w:p w14:paraId="13DF7BD3" w14:textId="219573C3" w:rsidR="003A2901" w:rsidRPr="00873B6C" w:rsidRDefault="003A2901" w:rsidP="009D14FB">
            <w:pPr>
              <w:pStyle w:val="TAC"/>
              <w:rPr>
                <w:sz w:val="16"/>
                <w:szCs w:val="16"/>
              </w:rPr>
            </w:pPr>
            <w:r w:rsidRPr="00873B6C">
              <w:rPr>
                <w:sz w:val="16"/>
                <w:szCs w:val="16"/>
              </w:rPr>
              <w:t>16.8.0</w:t>
            </w:r>
          </w:p>
        </w:tc>
      </w:tr>
      <w:tr w:rsidR="003A2901" w:rsidRPr="00873B6C" w14:paraId="3771DA94" w14:textId="77777777" w:rsidTr="009D14FB">
        <w:tc>
          <w:tcPr>
            <w:tcW w:w="800" w:type="dxa"/>
            <w:shd w:val="solid" w:color="FFFFFF" w:fill="auto"/>
          </w:tcPr>
          <w:p w14:paraId="32EBF96C" w14:textId="25DB3A81"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21CC7994" w14:textId="66603F6D"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3C60F856" w14:textId="078007EC" w:rsidR="003A2901" w:rsidRPr="00873B6C" w:rsidRDefault="003A2901" w:rsidP="009D14FB">
            <w:pPr>
              <w:pStyle w:val="TAC"/>
              <w:rPr>
                <w:sz w:val="16"/>
                <w:szCs w:val="16"/>
              </w:rPr>
            </w:pPr>
            <w:r w:rsidRPr="00873B6C">
              <w:rPr>
                <w:sz w:val="16"/>
                <w:szCs w:val="16"/>
              </w:rPr>
              <w:t>SP-210055</w:t>
            </w:r>
          </w:p>
        </w:tc>
        <w:tc>
          <w:tcPr>
            <w:tcW w:w="567" w:type="dxa"/>
            <w:shd w:val="solid" w:color="FFFFFF" w:fill="auto"/>
          </w:tcPr>
          <w:p w14:paraId="6F23BF59" w14:textId="25C28C7B" w:rsidR="003A2901" w:rsidRPr="00873B6C" w:rsidRDefault="003A2901" w:rsidP="009D14FB">
            <w:pPr>
              <w:pStyle w:val="TAL"/>
              <w:rPr>
                <w:sz w:val="16"/>
                <w:szCs w:val="16"/>
              </w:rPr>
            </w:pPr>
            <w:r w:rsidRPr="00873B6C">
              <w:rPr>
                <w:sz w:val="16"/>
                <w:szCs w:val="16"/>
              </w:rPr>
              <w:t>2641</w:t>
            </w:r>
          </w:p>
        </w:tc>
        <w:tc>
          <w:tcPr>
            <w:tcW w:w="425" w:type="dxa"/>
            <w:shd w:val="solid" w:color="FFFFFF" w:fill="auto"/>
          </w:tcPr>
          <w:p w14:paraId="4970BDCE" w14:textId="52AC387C" w:rsidR="003A2901" w:rsidRPr="00873B6C" w:rsidRDefault="003A2901" w:rsidP="009D14FB">
            <w:pPr>
              <w:pStyle w:val="TAL"/>
              <w:rPr>
                <w:sz w:val="16"/>
                <w:szCs w:val="16"/>
              </w:rPr>
            </w:pPr>
            <w:r w:rsidRPr="00873B6C">
              <w:rPr>
                <w:sz w:val="16"/>
                <w:szCs w:val="16"/>
              </w:rPr>
              <w:t>-</w:t>
            </w:r>
          </w:p>
        </w:tc>
        <w:tc>
          <w:tcPr>
            <w:tcW w:w="425" w:type="dxa"/>
            <w:shd w:val="solid" w:color="FFFFFF" w:fill="auto"/>
          </w:tcPr>
          <w:p w14:paraId="052E6713" w14:textId="7697A2F8"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6034F235" w14:textId="5C554802" w:rsidR="003A2901" w:rsidRPr="00873B6C" w:rsidRDefault="003A2901" w:rsidP="009D14FB">
            <w:pPr>
              <w:pStyle w:val="TAL"/>
              <w:rPr>
                <w:sz w:val="16"/>
                <w:szCs w:val="16"/>
              </w:rPr>
            </w:pPr>
            <w:r w:rsidRPr="00873B6C">
              <w:rPr>
                <w:sz w:val="16"/>
                <w:szCs w:val="16"/>
              </w:rPr>
              <w:t>Clarification on support of QoS for Control Plane CIoT 5GS Optimisation</w:t>
            </w:r>
          </w:p>
        </w:tc>
        <w:tc>
          <w:tcPr>
            <w:tcW w:w="708" w:type="dxa"/>
            <w:shd w:val="solid" w:color="FFFFFF" w:fill="auto"/>
          </w:tcPr>
          <w:p w14:paraId="6A3CBED5" w14:textId="33899A3D" w:rsidR="003A2901" w:rsidRPr="00873B6C" w:rsidRDefault="003A2901" w:rsidP="009D14FB">
            <w:pPr>
              <w:pStyle w:val="TAC"/>
              <w:rPr>
                <w:sz w:val="16"/>
                <w:szCs w:val="16"/>
              </w:rPr>
            </w:pPr>
            <w:r w:rsidRPr="00873B6C">
              <w:rPr>
                <w:sz w:val="16"/>
                <w:szCs w:val="16"/>
              </w:rPr>
              <w:t>16.8.0</w:t>
            </w:r>
          </w:p>
        </w:tc>
      </w:tr>
      <w:tr w:rsidR="003A2901" w:rsidRPr="00873B6C" w14:paraId="1B8B4DCC" w14:textId="77777777" w:rsidTr="009D14FB">
        <w:tc>
          <w:tcPr>
            <w:tcW w:w="800" w:type="dxa"/>
            <w:shd w:val="solid" w:color="FFFFFF" w:fill="auto"/>
          </w:tcPr>
          <w:p w14:paraId="131A0946" w14:textId="4A344EB2"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8E2850A" w14:textId="53BBD65C"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5516BCD4" w14:textId="275A8B39" w:rsidR="003A2901" w:rsidRPr="00873B6C" w:rsidRDefault="003A2901" w:rsidP="009D14FB">
            <w:pPr>
              <w:pStyle w:val="TAC"/>
              <w:rPr>
                <w:sz w:val="16"/>
                <w:szCs w:val="16"/>
              </w:rPr>
            </w:pPr>
            <w:r w:rsidRPr="00873B6C">
              <w:rPr>
                <w:sz w:val="16"/>
                <w:szCs w:val="16"/>
              </w:rPr>
              <w:t>SP-210242</w:t>
            </w:r>
          </w:p>
        </w:tc>
        <w:tc>
          <w:tcPr>
            <w:tcW w:w="567" w:type="dxa"/>
            <w:shd w:val="solid" w:color="FFFFFF" w:fill="auto"/>
          </w:tcPr>
          <w:p w14:paraId="6456F5F1" w14:textId="04BEB998" w:rsidR="003A2901" w:rsidRPr="00873B6C" w:rsidRDefault="003A2901" w:rsidP="009D14FB">
            <w:pPr>
              <w:pStyle w:val="TAL"/>
              <w:rPr>
                <w:sz w:val="16"/>
                <w:szCs w:val="16"/>
              </w:rPr>
            </w:pPr>
            <w:r w:rsidRPr="00873B6C">
              <w:rPr>
                <w:sz w:val="16"/>
                <w:szCs w:val="16"/>
              </w:rPr>
              <w:t>2655</w:t>
            </w:r>
          </w:p>
        </w:tc>
        <w:tc>
          <w:tcPr>
            <w:tcW w:w="425" w:type="dxa"/>
            <w:shd w:val="solid" w:color="FFFFFF" w:fill="auto"/>
          </w:tcPr>
          <w:p w14:paraId="77261216" w14:textId="4A1675DD"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0A90D9A5" w14:textId="5724C2FB"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71FA47F6" w14:textId="46402F11" w:rsidR="003A2901" w:rsidRPr="00873B6C" w:rsidRDefault="003A2901" w:rsidP="009D14FB">
            <w:pPr>
              <w:pStyle w:val="TAL"/>
              <w:rPr>
                <w:sz w:val="16"/>
                <w:szCs w:val="16"/>
              </w:rPr>
            </w:pPr>
            <w:r w:rsidRPr="00873B6C">
              <w:rPr>
                <w:sz w:val="16"/>
                <w:szCs w:val="16"/>
              </w:rPr>
              <w:t>Correction on QoS monitoring for URLLC</w:t>
            </w:r>
          </w:p>
        </w:tc>
        <w:tc>
          <w:tcPr>
            <w:tcW w:w="708" w:type="dxa"/>
            <w:shd w:val="solid" w:color="FFFFFF" w:fill="auto"/>
          </w:tcPr>
          <w:p w14:paraId="29A78AF9" w14:textId="482825EB" w:rsidR="003A2901" w:rsidRPr="00873B6C" w:rsidRDefault="003A2901" w:rsidP="009D14FB">
            <w:pPr>
              <w:pStyle w:val="TAC"/>
              <w:rPr>
                <w:sz w:val="16"/>
                <w:szCs w:val="16"/>
              </w:rPr>
            </w:pPr>
            <w:r w:rsidRPr="00873B6C">
              <w:rPr>
                <w:sz w:val="16"/>
                <w:szCs w:val="16"/>
              </w:rPr>
              <w:t>16.8.0</w:t>
            </w:r>
          </w:p>
        </w:tc>
      </w:tr>
      <w:tr w:rsidR="003A2901" w:rsidRPr="00873B6C" w14:paraId="6A6718E3" w14:textId="77777777" w:rsidTr="009D14FB">
        <w:tc>
          <w:tcPr>
            <w:tcW w:w="800" w:type="dxa"/>
            <w:shd w:val="solid" w:color="FFFFFF" w:fill="auto"/>
          </w:tcPr>
          <w:p w14:paraId="75CD8AF6" w14:textId="1032B63A"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958F5AD" w14:textId="048588EB"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14D5E6DC" w14:textId="24BC9BBF" w:rsidR="003A2901" w:rsidRPr="00873B6C" w:rsidRDefault="003A2901" w:rsidP="009D14FB">
            <w:pPr>
              <w:pStyle w:val="TAC"/>
              <w:rPr>
                <w:sz w:val="16"/>
                <w:szCs w:val="16"/>
              </w:rPr>
            </w:pPr>
            <w:r w:rsidRPr="00873B6C">
              <w:rPr>
                <w:sz w:val="16"/>
                <w:szCs w:val="16"/>
              </w:rPr>
              <w:t>SP-210055</w:t>
            </w:r>
          </w:p>
        </w:tc>
        <w:tc>
          <w:tcPr>
            <w:tcW w:w="567" w:type="dxa"/>
            <w:shd w:val="solid" w:color="FFFFFF" w:fill="auto"/>
          </w:tcPr>
          <w:p w14:paraId="6D0646CF" w14:textId="0A64613A" w:rsidR="003A2901" w:rsidRPr="00873B6C" w:rsidRDefault="003A2901" w:rsidP="009D14FB">
            <w:pPr>
              <w:pStyle w:val="TAL"/>
              <w:rPr>
                <w:sz w:val="16"/>
                <w:szCs w:val="16"/>
              </w:rPr>
            </w:pPr>
            <w:r w:rsidRPr="00873B6C">
              <w:rPr>
                <w:sz w:val="16"/>
                <w:szCs w:val="16"/>
              </w:rPr>
              <w:t>2657</w:t>
            </w:r>
          </w:p>
        </w:tc>
        <w:tc>
          <w:tcPr>
            <w:tcW w:w="425" w:type="dxa"/>
            <w:shd w:val="solid" w:color="FFFFFF" w:fill="auto"/>
          </w:tcPr>
          <w:p w14:paraId="24D75894" w14:textId="451D67A6" w:rsidR="003A2901" w:rsidRPr="00873B6C" w:rsidRDefault="003A2901" w:rsidP="009D14FB">
            <w:pPr>
              <w:pStyle w:val="TAL"/>
              <w:rPr>
                <w:sz w:val="16"/>
                <w:szCs w:val="16"/>
              </w:rPr>
            </w:pPr>
            <w:r w:rsidRPr="00873B6C">
              <w:rPr>
                <w:sz w:val="16"/>
                <w:szCs w:val="16"/>
              </w:rPr>
              <w:t xml:space="preserve">1 </w:t>
            </w:r>
          </w:p>
        </w:tc>
        <w:tc>
          <w:tcPr>
            <w:tcW w:w="425" w:type="dxa"/>
            <w:shd w:val="solid" w:color="FFFFFF" w:fill="auto"/>
          </w:tcPr>
          <w:p w14:paraId="746DF676" w14:textId="629DD875"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3994FEC2" w14:textId="196ECD1B" w:rsidR="003A2901" w:rsidRPr="00873B6C" w:rsidRDefault="003A2901" w:rsidP="009D14FB">
            <w:pPr>
              <w:pStyle w:val="TAL"/>
              <w:rPr>
                <w:sz w:val="16"/>
                <w:szCs w:val="16"/>
              </w:rPr>
            </w:pPr>
            <w:r w:rsidRPr="00873B6C">
              <w:rPr>
                <w:sz w:val="16"/>
                <w:szCs w:val="16"/>
              </w:rPr>
              <w:t xml:space="preserve">Downlink data report by UPF </w:t>
            </w:r>
          </w:p>
        </w:tc>
        <w:tc>
          <w:tcPr>
            <w:tcW w:w="708" w:type="dxa"/>
            <w:shd w:val="solid" w:color="FFFFFF" w:fill="auto"/>
          </w:tcPr>
          <w:p w14:paraId="23FE35EA" w14:textId="69F0D7A9" w:rsidR="003A2901" w:rsidRPr="00873B6C" w:rsidRDefault="003A2901" w:rsidP="009D14FB">
            <w:pPr>
              <w:pStyle w:val="TAC"/>
              <w:rPr>
                <w:sz w:val="16"/>
                <w:szCs w:val="16"/>
              </w:rPr>
            </w:pPr>
            <w:r w:rsidRPr="00873B6C">
              <w:rPr>
                <w:sz w:val="16"/>
                <w:szCs w:val="16"/>
              </w:rPr>
              <w:t>16.8.0</w:t>
            </w:r>
          </w:p>
        </w:tc>
      </w:tr>
      <w:tr w:rsidR="00E537C9" w:rsidRPr="00873B6C" w14:paraId="7F0F1167" w14:textId="77777777" w:rsidTr="009D14FB">
        <w:tc>
          <w:tcPr>
            <w:tcW w:w="800" w:type="dxa"/>
            <w:shd w:val="solid" w:color="FFFFFF" w:fill="auto"/>
          </w:tcPr>
          <w:p w14:paraId="64042017" w14:textId="001B8C4B" w:rsidR="00E537C9" w:rsidRPr="00873B6C" w:rsidRDefault="00E537C9" w:rsidP="009D14FB">
            <w:pPr>
              <w:pStyle w:val="TAC"/>
              <w:rPr>
                <w:sz w:val="16"/>
                <w:szCs w:val="16"/>
              </w:rPr>
            </w:pPr>
            <w:r w:rsidRPr="00873B6C">
              <w:rPr>
                <w:sz w:val="16"/>
                <w:szCs w:val="16"/>
              </w:rPr>
              <w:t>2021-03</w:t>
            </w:r>
          </w:p>
        </w:tc>
        <w:tc>
          <w:tcPr>
            <w:tcW w:w="800" w:type="dxa"/>
            <w:shd w:val="solid" w:color="FFFFFF" w:fill="auto"/>
          </w:tcPr>
          <w:p w14:paraId="0D4FF1E4" w14:textId="3BE1B93E" w:rsidR="00E537C9" w:rsidRPr="00873B6C" w:rsidRDefault="00E537C9" w:rsidP="009D14FB">
            <w:pPr>
              <w:pStyle w:val="TAL"/>
              <w:rPr>
                <w:sz w:val="16"/>
                <w:szCs w:val="16"/>
              </w:rPr>
            </w:pPr>
            <w:r w:rsidRPr="00873B6C">
              <w:rPr>
                <w:sz w:val="16"/>
                <w:szCs w:val="16"/>
              </w:rPr>
              <w:t>SP#91E</w:t>
            </w:r>
          </w:p>
        </w:tc>
        <w:tc>
          <w:tcPr>
            <w:tcW w:w="1094" w:type="dxa"/>
            <w:shd w:val="solid" w:color="FFFFFF" w:fill="auto"/>
          </w:tcPr>
          <w:p w14:paraId="4EFF8202" w14:textId="56973B72" w:rsidR="00E537C9" w:rsidRPr="00873B6C" w:rsidRDefault="00E537C9" w:rsidP="009D14FB">
            <w:pPr>
              <w:pStyle w:val="TAC"/>
              <w:rPr>
                <w:sz w:val="16"/>
                <w:szCs w:val="16"/>
              </w:rPr>
            </w:pPr>
            <w:r w:rsidRPr="00873B6C">
              <w:rPr>
                <w:sz w:val="16"/>
                <w:szCs w:val="16"/>
              </w:rPr>
              <w:t>SP-210081</w:t>
            </w:r>
          </w:p>
        </w:tc>
        <w:tc>
          <w:tcPr>
            <w:tcW w:w="567" w:type="dxa"/>
            <w:shd w:val="solid" w:color="FFFFFF" w:fill="auto"/>
          </w:tcPr>
          <w:p w14:paraId="3B2B59D3" w14:textId="6E300780" w:rsidR="00E537C9" w:rsidRPr="00873B6C" w:rsidRDefault="00E537C9" w:rsidP="009D14FB">
            <w:pPr>
              <w:pStyle w:val="TAL"/>
              <w:rPr>
                <w:sz w:val="16"/>
                <w:szCs w:val="16"/>
              </w:rPr>
            </w:pPr>
            <w:r w:rsidRPr="00873B6C">
              <w:rPr>
                <w:sz w:val="16"/>
                <w:szCs w:val="16"/>
              </w:rPr>
              <w:t>2664</w:t>
            </w:r>
          </w:p>
        </w:tc>
        <w:tc>
          <w:tcPr>
            <w:tcW w:w="425" w:type="dxa"/>
            <w:shd w:val="solid" w:color="FFFFFF" w:fill="auto"/>
          </w:tcPr>
          <w:p w14:paraId="0921B7FE" w14:textId="6BC70001" w:rsidR="00E537C9" w:rsidRPr="00873B6C" w:rsidRDefault="00E537C9" w:rsidP="009D14FB">
            <w:pPr>
              <w:pStyle w:val="TAL"/>
              <w:rPr>
                <w:sz w:val="16"/>
                <w:szCs w:val="16"/>
              </w:rPr>
            </w:pPr>
            <w:r w:rsidRPr="00873B6C">
              <w:rPr>
                <w:sz w:val="16"/>
                <w:szCs w:val="16"/>
              </w:rPr>
              <w:t>-</w:t>
            </w:r>
          </w:p>
        </w:tc>
        <w:tc>
          <w:tcPr>
            <w:tcW w:w="425" w:type="dxa"/>
            <w:shd w:val="solid" w:color="FFFFFF" w:fill="auto"/>
          </w:tcPr>
          <w:p w14:paraId="6D9C318F" w14:textId="6A0C1A2E" w:rsidR="00E537C9" w:rsidRPr="00873B6C" w:rsidRDefault="00E537C9" w:rsidP="009D14FB">
            <w:pPr>
              <w:pStyle w:val="TAL"/>
              <w:rPr>
                <w:sz w:val="16"/>
                <w:szCs w:val="16"/>
              </w:rPr>
            </w:pPr>
            <w:r w:rsidRPr="00873B6C">
              <w:rPr>
                <w:sz w:val="16"/>
                <w:szCs w:val="16"/>
              </w:rPr>
              <w:t>F</w:t>
            </w:r>
          </w:p>
        </w:tc>
        <w:tc>
          <w:tcPr>
            <w:tcW w:w="4820" w:type="dxa"/>
            <w:shd w:val="solid" w:color="FFFFFF" w:fill="auto"/>
          </w:tcPr>
          <w:p w14:paraId="1C263430" w14:textId="7C0E5688" w:rsidR="00E537C9" w:rsidRPr="00873B6C" w:rsidRDefault="00E537C9" w:rsidP="009D14FB">
            <w:pPr>
              <w:pStyle w:val="TAL"/>
              <w:rPr>
                <w:sz w:val="16"/>
                <w:szCs w:val="16"/>
              </w:rPr>
            </w:pPr>
            <w:r w:rsidRPr="00873B6C">
              <w:rPr>
                <w:sz w:val="16"/>
                <w:szCs w:val="16"/>
              </w:rPr>
              <w:t>Provide recommended cells for paging information in NGAP UE CONTEXT RESUME REQUEST message</w:t>
            </w:r>
          </w:p>
        </w:tc>
        <w:tc>
          <w:tcPr>
            <w:tcW w:w="708" w:type="dxa"/>
            <w:shd w:val="solid" w:color="FFFFFF" w:fill="auto"/>
          </w:tcPr>
          <w:p w14:paraId="00ACC505" w14:textId="2FDC8B9B" w:rsidR="00E537C9" w:rsidRPr="00873B6C" w:rsidRDefault="00E537C9" w:rsidP="009D14FB">
            <w:pPr>
              <w:pStyle w:val="TAC"/>
              <w:rPr>
                <w:sz w:val="16"/>
                <w:szCs w:val="16"/>
              </w:rPr>
            </w:pPr>
            <w:r w:rsidRPr="00873B6C">
              <w:rPr>
                <w:sz w:val="16"/>
                <w:szCs w:val="16"/>
              </w:rPr>
              <w:t>16.8.0</w:t>
            </w:r>
          </w:p>
        </w:tc>
      </w:tr>
      <w:tr w:rsidR="00E537C9" w:rsidRPr="00873B6C" w14:paraId="2E9850A2" w14:textId="77777777" w:rsidTr="00ED0998">
        <w:tc>
          <w:tcPr>
            <w:tcW w:w="800" w:type="dxa"/>
            <w:tcBorders>
              <w:bottom w:val="single" w:sz="6" w:space="0" w:color="auto"/>
            </w:tcBorders>
            <w:shd w:val="solid" w:color="FFFFFF" w:fill="auto"/>
          </w:tcPr>
          <w:p w14:paraId="43413A17" w14:textId="245A2DD8" w:rsidR="00E537C9" w:rsidRPr="00873B6C" w:rsidRDefault="00E537C9" w:rsidP="009D14FB">
            <w:pPr>
              <w:pStyle w:val="TAC"/>
              <w:rPr>
                <w:sz w:val="16"/>
                <w:szCs w:val="16"/>
              </w:rPr>
            </w:pPr>
            <w:r w:rsidRPr="00873B6C">
              <w:rPr>
                <w:sz w:val="16"/>
                <w:szCs w:val="16"/>
              </w:rPr>
              <w:t>2021-03</w:t>
            </w:r>
          </w:p>
        </w:tc>
        <w:tc>
          <w:tcPr>
            <w:tcW w:w="800" w:type="dxa"/>
            <w:tcBorders>
              <w:bottom w:val="single" w:sz="6" w:space="0" w:color="auto"/>
            </w:tcBorders>
            <w:shd w:val="solid" w:color="FFFFFF" w:fill="auto"/>
          </w:tcPr>
          <w:p w14:paraId="385E68AF" w14:textId="329D8CE3" w:rsidR="00E537C9" w:rsidRPr="00873B6C" w:rsidRDefault="00E537C9" w:rsidP="009D14FB">
            <w:pPr>
              <w:pStyle w:val="TAL"/>
              <w:rPr>
                <w:sz w:val="16"/>
                <w:szCs w:val="16"/>
              </w:rPr>
            </w:pPr>
            <w:r w:rsidRPr="00873B6C">
              <w:rPr>
                <w:sz w:val="16"/>
                <w:szCs w:val="16"/>
              </w:rPr>
              <w:t>SP#91E</w:t>
            </w:r>
          </w:p>
        </w:tc>
        <w:tc>
          <w:tcPr>
            <w:tcW w:w="1094" w:type="dxa"/>
            <w:tcBorders>
              <w:bottom w:val="single" w:sz="6" w:space="0" w:color="auto"/>
            </w:tcBorders>
            <w:shd w:val="solid" w:color="FFFFFF" w:fill="auto"/>
          </w:tcPr>
          <w:p w14:paraId="18E2E3BC" w14:textId="2A9734FB" w:rsidR="00E537C9" w:rsidRPr="00873B6C" w:rsidRDefault="00E537C9" w:rsidP="009D14FB">
            <w:pPr>
              <w:pStyle w:val="TAC"/>
              <w:rPr>
                <w:sz w:val="16"/>
                <w:szCs w:val="16"/>
              </w:rPr>
            </w:pPr>
            <w:r w:rsidRPr="00873B6C">
              <w:rPr>
                <w:sz w:val="16"/>
                <w:szCs w:val="16"/>
              </w:rPr>
              <w:t>SP-210078</w:t>
            </w:r>
          </w:p>
        </w:tc>
        <w:tc>
          <w:tcPr>
            <w:tcW w:w="567" w:type="dxa"/>
            <w:tcBorders>
              <w:bottom w:val="single" w:sz="6" w:space="0" w:color="auto"/>
            </w:tcBorders>
            <w:shd w:val="solid" w:color="FFFFFF" w:fill="auto"/>
          </w:tcPr>
          <w:p w14:paraId="534754D3" w14:textId="25E3EFA1" w:rsidR="00E537C9" w:rsidRPr="00873B6C" w:rsidRDefault="00E537C9" w:rsidP="009D14FB">
            <w:pPr>
              <w:pStyle w:val="TAL"/>
              <w:rPr>
                <w:sz w:val="16"/>
                <w:szCs w:val="16"/>
              </w:rPr>
            </w:pPr>
            <w:r w:rsidRPr="00873B6C">
              <w:rPr>
                <w:sz w:val="16"/>
                <w:szCs w:val="16"/>
              </w:rPr>
              <w:t>2665</w:t>
            </w:r>
          </w:p>
        </w:tc>
        <w:tc>
          <w:tcPr>
            <w:tcW w:w="425" w:type="dxa"/>
            <w:tcBorders>
              <w:bottom w:val="single" w:sz="6" w:space="0" w:color="auto"/>
            </w:tcBorders>
            <w:shd w:val="solid" w:color="FFFFFF" w:fill="auto"/>
          </w:tcPr>
          <w:p w14:paraId="728DFEF6" w14:textId="48B8531B" w:rsidR="00E537C9" w:rsidRPr="00873B6C" w:rsidRDefault="00E537C9" w:rsidP="009D14FB">
            <w:pPr>
              <w:pStyle w:val="TAL"/>
              <w:rPr>
                <w:sz w:val="16"/>
                <w:szCs w:val="16"/>
              </w:rPr>
            </w:pPr>
            <w:r w:rsidRPr="00873B6C">
              <w:rPr>
                <w:sz w:val="16"/>
                <w:szCs w:val="16"/>
              </w:rPr>
              <w:t>-</w:t>
            </w:r>
          </w:p>
        </w:tc>
        <w:tc>
          <w:tcPr>
            <w:tcW w:w="425" w:type="dxa"/>
            <w:tcBorders>
              <w:bottom w:val="single" w:sz="6" w:space="0" w:color="auto"/>
            </w:tcBorders>
            <w:shd w:val="solid" w:color="FFFFFF" w:fill="auto"/>
          </w:tcPr>
          <w:p w14:paraId="4C7B1B2D" w14:textId="0FE1EFFA" w:rsidR="00E537C9" w:rsidRPr="00873B6C" w:rsidRDefault="00E537C9" w:rsidP="009D14FB">
            <w:pPr>
              <w:pStyle w:val="TAL"/>
              <w:rPr>
                <w:sz w:val="16"/>
                <w:szCs w:val="16"/>
              </w:rPr>
            </w:pPr>
            <w:r w:rsidRPr="00873B6C">
              <w:rPr>
                <w:sz w:val="16"/>
                <w:szCs w:val="16"/>
              </w:rPr>
              <w:t>F</w:t>
            </w:r>
          </w:p>
        </w:tc>
        <w:tc>
          <w:tcPr>
            <w:tcW w:w="4820" w:type="dxa"/>
            <w:tcBorders>
              <w:bottom w:val="single" w:sz="6" w:space="0" w:color="auto"/>
            </w:tcBorders>
            <w:shd w:val="solid" w:color="FFFFFF" w:fill="auto"/>
          </w:tcPr>
          <w:p w14:paraId="29CE7846" w14:textId="05C6D9E3" w:rsidR="00E537C9" w:rsidRPr="00873B6C" w:rsidRDefault="00E537C9" w:rsidP="009D14FB">
            <w:pPr>
              <w:pStyle w:val="TAL"/>
              <w:rPr>
                <w:sz w:val="16"/>
                <w:szCs w:val="16"/>
              </w:rPr>
            </w:pPr>
            <w:r w:rsidRPr="00873B6C">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873B6C" w:rsidRDefault="00E537C9" w:rsidP="009D14FB">
            <w:pPr>
              <w:pStyle w:val="TAC"/>
              <w:rPr>
                <w:sz w:val="16"/>
                <w:szCs w:val="16"/>
              </w:rPr>
            </w:pPr>
            <w:r w:rsidRPr="00873B6C">
              <w:rPr>
                <w:sz w:val="16"/>
                <w:szCs w:val="16"/>
              </w:rPr>
              <w:t>16.8.0</w:t>
            </w:r>
          </w:p>
        </w:tc>
      </w:tr>
      <w:tr w:rsidR="00E537C9" w:rsidRPr="00873B6C"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873B6C" w:rsidRDefault="00E537C9" w:rsidP="009D14FB">
            <w:pPr>
              <w:pStyle w:val="TAC"/>
              <w:rPr>
                <w:sz w:val="16"/>
                <w:szCs w:val="16"/>
              </w:rPr>
            </w:pPr>
            <w:r w:rsidRPr="00873B6C">
              <w:rPr>
                <w:sz w:val="16"/>
                <w:szCs w:val="16"/>
              </w:rPr>
              <w:t>2021-03</w:t>
            </w:r>
          </w:p>
        </w:tc>
        <w:tc>
          <w:tcPr>
            <w:tcW w:w="800" w:type="dxa"/>
            <w:tcBorders>
              <w:bottom w:val="single" w:sz="12" w:space="0" w:color="auto"/>
            </w:tcBorders>
            <w:shd w:val="solid" w:color="FFFFFF" w:fill="auto"/>
          </w:tcPr>
          <w:p w14:paraId="12FBE7DC" w14:textId="64A85281" w:rsidR="00E537C9" w:rsidRPr="00873B6C" w:rsidRDefault="00E537C9" w:rsidP="009D14FB">
            <w:pPr>
              <w:pStyle w:val="TAL"/>
              <w:rPr>
                <w:sz w:val="16"/>
                <w:szCs w:val="16"/>
              </w:rPr>
            </w:pPr>
            <w:r w:rsidRPr="00873B6C">
              <w:rPr>
                <w:sz w:val="16"/>
                <w:szCs w:val="16"/>
              </w:rPr>
              <w:t>SP#91E</w:t>
            </w:r>
          </w:p>
        </w:tc>
        <w:tc>
          <w:tcPr>
            <w:tcW w:w="1094" w:type="dxa"/>
            <w:tcBorders>
              <w:bottom w:val="single" w:sz="12" w:space="0" w:color="auto"/>
            </w:tcBorders>
            <w:shd w:val="solid" w:color="FFFFFF" w:fill="auto"/>
          </w:tcPr>
          <w:p w14:paraId="64FA8E9A" w14:textId="674FF1E8" w:rsidR="00E537C9" w:rsidRPr="00873B6C" w:rsidRDefault="00E537C9" w:rsidP="009D14FB">
            <w:pPr>
              <w:pStyle w:val="TAC"/>
              <w:rPr>
                <w:sz w:val="16"/>
                <w:szCs w:val="16"/>
              </w:rPr>
            </w:pPr>
            <w:r w:rsidRPr="00873B6C">
              <w:rPr>
                <w:sz w:val="16"/>
                <w:szCs w:val="16"/>
              </w:rPr>
              <w:t>SP-210077</w:t>
            </w:r>
          </w:p>
        </w:tc>
        <w:tc>
          <w:tcPr>
            <w:tcW w:w="567" w:type="dxa"/>
            <w:tcBorders>
              <w:bottom w:val="single" w:sz="12" w:space="0" w:color="auto"/>
            </w:tcBorders>
            <w:shd w:val="solid" w:color="FFFFFF" w:fill="auto"/>
          </w:tcPr>
          <w:p w14:paraId="7B3DA62C" w14:textId="2DE3A799" w:rsidR="00E537C9" w:rsidRPr="00873B6C" w:rsidRDefault="00E537C9" w:rsidP="009D14FB">
            <w:pPr>
              <w:pStyle w:val="TAL"/>
              <w:rPr>
                <w:sz w:val="16"/>
                <w:szCs w:val="16"/>
              </w:rPr>
            </w:pPr>
            <w:r w:rsidRPr="00873B6C">
              <w:rPr>
                <w:sz w:val="16"/>
                <w:szCs w:val="16"/>
              </w:rPr>
              <w:t>2683</w:t>
            </w:r>
          </w:p>
        </w:tc>
        <w:tc>
          <w:tcPr>
            <w:tcW w:w="425" w:type="dxa"/>
            <w:tcBorders>
              <w:bottom w:val="single" w:sz="12" w:space="0" w:color="auto"/>
            </w:tcBorders>
            <w:shd w:val="solid" w:color="FFFFFF" w:fill="auto"/>
          </w:tcPr>
          <w:p w14:paraId="071CEC56" w14:textId="797E8D1A" w:rsidR="00E537C9" w:rsidRPr="00873B6C" w:rsidRDefault="00E537C9" w:rsidP="009D14FB">
            <w:pPr>
              <w:pStyle w:val="TAL"/>
              <w:rPr>
                <w:sz w:val="16"/>
                <w:szCs w:val="16"/>
              </w:rPr>
            </w:pPr>
            <w:r w:rsidRPr="00873B6C">
              <w:rPr>
                <w:sz w:val="16"/>
                <w:szCs w:val="16"/>
              </w:rPr>
              <w:t>1</w:t>
            </w:r>
          </w:p>
        </w:tc>
        <w:tc>
          <w:tcPr>
            <w:tcW w:w="425" w:type="dxa"/>
            <w:tcBorders>
              <w:bottom w:val="single" w:sz="12" w:space="0" w:color="auto"/>
            </w:tcBorders>
            <w:shd w:val="solid" w:color="FFFFFF" w:fill="auto"/>
          </w:tcPr>
          <w:p w14:paraId="7BA34694" w14:textId="76AB8442" w:rsidR="00E537C9" w:rsidRPr="00873B6C" w:rsidRDefault="00E537C9" w:rsidP="009D14FB">
            <w:pPr>
              <w:pStyle w:val="TAL"/>
              <w:rPr>
                <w:sz w:val="16"/>
                <w:szCs w:val="16"/>
              </w:rPr>
            </w:pPr>
            <w:r w:rsidRPr="00873B6C">
              <w:rPr>
                <w:sz w:val="16"/>
                <w:szCs w:val="16"/>
              </w:rPr>
              <w:t>F</w:t>
            </w:r>
          </w:p>
        </w:tc>
        <w:tc>
          <w:tcPr>
            <w:tcW w:w="4820" w:type="dxa"/>
            <w:tcBorders>
              <w:bottom w:val="single" w:sz="12" w:space="0" w:color="auto"/>
            </w:tcBorders>
            <w:shd w:val="solid" w:color="FFFFFF" w:fill="auto"/>
          </w:tcPr>
          <w:p w14:paraId="41D78377" w14:textId="2277C1BB" w:rsidR="00E537C9" w:rsidRPr="00873B6C" w:rsidRDefault="00E537C9" w:rsidP="009D14FB">
            <w:pPr>
              <w:pStyle w:val="TAL"/>
              <w:rPr>
                <w:sz w:val="16"/>
                <w:szCs w:val="16"/>
              </w:rPr>
            </w:pPr>
            <w:r w:rsidRPr="00873B6C">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873B6C" w:rsidRDefault="00E537C9" w:rsidP="009D14FB">
            <w:pPr>
              <w:pStyle w:val="TAC"/>
              <w:rPr>
                <w:sz w:val="16"/>
                <w:szCs w:val="16"/>
              </w:rPr>
            </w:pPr>
            <w:r w:rsidRPr="00873B6C">
              <w:rPr>
                <w:sz w:val="16"/>
                <w:szCs w:val="16"/>
              </w:rPr>
              <w:t>16.8.0</w:t>
            </w:r>
          </w:p>
        </w:tc>
      </w:tr>
      <w:tr w:rsidR="00C05113" w:rsidRPr="00873B6C"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873B6C" w:rsidRDefault="00C05113" w:rsidP="009D14FB">
            <w:pPr>
              <w:pStyle w:val="TAC"/>
              <w:rPr>
                <w:sz w:val="16"/>
                <w:szCs w:val="16"/>
              </w:rPr>
            </w:pPr>
            <w:r w:rsidRPr="00873B6C">
              <w:rPr>
                <w:sz w:val="16"/>
                <w:szCs w:val="16"/>
              </w:rPr>
              <w:t>2021-03</w:t>
            </w:r>
          </w:p>
        </w:tc>
        <w:tc>
          <w:tcPr>
            <w:tcW w:w="800" w:type="dxa"/>
            <w:tcBorders>
              <w:top w:val="single" w:sz="12" w:space="0" w:color="auto"/>
            </w:tcBorders>
            <w:shd w:val="solid" w:color="FFFFFF" w:fill="auto"/>
          </w:tcPr>
          <w:p w14:paraId="02EE8B43" w14:textId="7250704F" w:rsidR="00C05113" w:rsidRPr="00873B6C" w:rsidRDefault="00C05113" w:rsidP="009D14FB">
            <w:pPr>
              <w:pStyle w:val="TAL"/>
              <w:rPr>
                <w:sz w:val="16"/>
                <w:szCs w:val="16"/>
              </w:rPr>
            </w:pPr>
            <w:r w:rsidRPr="00873B6C">
              <w:rPr>
                <w:sz w:val="16"/>
                <w:szCs w:val="16"/>
              </w:rPr>
              <w:t>SP#91E</w:t>
            </w:r>
          </w:p>
        </w:tc>
        <w:tc>
          <w:tcPr>
            <w:tcW w:w="1094" w:type="dxa"/>
            <w:tcBorders>
              <w:top w:val="single" w:sz="12" w:space="0" w:color="auto"/>
            </w:tcBorders>
            <w:shd w:val="solid" w:color="FFFFFF" w:fill="auto"/>
          </w:tcPr>
          <w:p w14:paraId="14613507" w14:textId="39FD8333" w:rsidR="00C05113" w:rsidRPr="00873B6C" w:rsidRDefault="00C05113" w:rsidP="009D14FB">
            <w:pPr>
              <w:pStyle w:val="TAC"/>
              <w:rPr>
                <w:sz w:val="16"/>
                <w:szCs w:val="16"/>
              </w:rPr>
            </w:pPr>
            <w:r w:rsidRPr="00873B6C">
              <w:rPr>
                <w:sz w:val="16"/>
                <w:szCs w:val="16"/>
              </w:rPr>
              <w:t>SP-210067</w:t>
            </w:r>
          </w:p>
        </w:tc>
        <w:tc>
          <w:tcPr>
            <w:tcW w:w="567" w:type="dxa"/>
            <w:tcBorders>
              <w:top w:val="single" w:sz="12" w:space="0" w:color="auto"/>
            </w:tcBorders>
            <w:shd w:val="solid" w:color="FFFFFF" w:fill="auto"/>
          </w:tcPr>
          <w:p w14:paraId="703BFD0C" w14:textId="5D55DB8A" w:rsidR="00C05113" w:rsidRPr="00873B6C" w:rsidRDefault="00C05113" w:rsidP="009D14FB">
            <w:pPr>
              <w:pStyle w:val="TAL"/>
              <w:rPr>
                <w:sz w:val="16"/>
                <w:szCs w:val="16"/>
              </w:rPr>
            </w:pPr>
            <w:r w:rsidRPr="00873B6C">
              <w:rPr>
                <w:sz w:val="16"/>
                <w:szCs w:val="16"/>
              </w:rPr>
              <w:t>2457</w:t>
            </w:r>
          </w:p>
        </w:tc>
        <w:tc>
          <w:tcPr>
            <w:tcW w:w="425" w:type="dxa"/>
            <w:tcBorders>
              <w:top w:val="single" w:sz="12" w:space="0" w:color="auto"/>
            </w:tcBorders>
            <w:shd w:val="solid" w:color="FFFFFF" w:fill="auto"/>
          </w:tcPr>
          <w:p w14:paraId="4867AC58" w14:textId="03C0DAC2" w:rsidR="00C05113" w:rsidRPr="00873B6C" w:rsidRDefault="00C05113" w:rsidP="009D14FB">
            <w:pPr>
              <w:pStyle w:val="TAL"/>
              <w:rPr>
                <w:sz w:val="16"/>
                <w:szCs w:val="16"/>
              </w:rPr>
            </w:pPr>
            <w:r w:rsidRPr="00873B6C">
              <w:rPr>
                <w:sz w:val="16"/>
                <w:szCs w:val="16"/>
              </w:rPr>
              <w:t>1</w:t>
            </w:r>
          </w:p>
        </w:tc>
        <w:tc>
          <w:tcPr>
            <w:tcW w:w="425" w:type="dxa"/>
            <w:tcBorders>
              <w:top w:val="single" w:sz="12" w:space="0" w:color="auto"/>
            </w:tcBorders>
            <w:shd w:val="solid" w:color="FFFFFF" w:fill="auto"/>
          </w:tcPr>
          <w:p w14:paraId="4C4B96E4" w14:textId="25A5C111" w:rsidR="00C05113" w:rsidRPr="00873B6C" w:rsidRDefault="00C05113" w:rsidP="009D14FB">
            <w:pPr>
              <w:pStyle w:val="TAL"/>
              <w:rPr>
                <w:sz w:val="16"/>
                <w:szCs w:val="16"/>
              </w:rPr>
            </w:pPr>
            <w:r w:rsidRPr="00873B6C">
              <w:rPr>
                <w:sz w:val="16"/>
                <w:szCs w:val="16"/>
              </w:rPr>
              <w:t>B</w:t>
            </w:r>
          </w:p>
        </w:tc>
        <w:tc>
          <w:tcPr>
            <w:tcW w:w="4820" w:type="dxa"/>
            <w:tcBorders>
              <w:top w:val="single" w:sz="12" w:space="0" w:color="auto"/>
            </w:tcBorders>
            <w:shd w:val="solid" w:color="FFFFFF" w:fill="auto"/>
          </w:tcPr>
          <w:p w14:paraId="0AE88A63" w14:textId="21439D7D" w:rsidR="00C05113" w:rsidRPr="00873B6C" w:rsidRDefault="00C05113" w:rsidP="009D14FB">
            <w:pPr>
              <w:pStyle w:val="TAL"/>
              <w:rPr>
                <w:sz w:val="16"/>
                <w:szCs w:val="16"/>
              </w:rPr>
            </w:pPr>
            <w:r w:rsidRPr="00873B6C">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873B6C" w:rsidRDefault="00C05113" w:rsidP="009D14FB">
            <w:pPr>
              <w:pStyle w:val="TAC"/>
              <w:rPr>
                <w:b/>
                <w:bCs/>
                <w:sz w:val="16"/>
                <w:szCs w:val="16"/>
              </w:rPr>
            </w:pPr>
            <w:r w:rsidRPr="00873B6C">
              <w:rPr>
                <w:b/>
                <w:bCs/>
                <w:sz w:val="16"/>
                <w:szCs w:val="16"/>
              </w:rPr>
              <w:t>17.0.0</w:t>
            </w:r>
          </w:p>
        </w:tc>
      </w:tr>
      <w:tr w:rsidR="00C05113" w:rsidRPr="00873B6C" w14:paraId="7B83DD0D" w14:textId="77777777" w:rsidTr="009D14FB">
        <w:tc>
          <w:tcPr>
            <w:tcW w:w="800" w:type="dxa"/>
            <w:shd w:val="solid" w:color="FFFFFF" w:fill="auto"/>
          </w:tcPr>
          <w:p w14:paraId="4314A3BD" w14:textId="0CC428E6" w:rsidR="00C05113" w:rsidRPr="00873B6C" w:rsidRDefault="00C05113" w:rsidP="009D14FB">
            <w:pPr>
              <w:pStyle w:val="TAC"/>
              <w:rPr>
                <w:sz w:val="16"/>
                <w:szCs w:val="16"/>
              </w:rPr>
            </w:pPr>
            <w:r w:rsidRPr="00873B6C">
              <w:rPr>
                <w:sz w:val="16"/>
                <w:szCs w:val="16"/>
              </w:rPr>
              <w:t>2021-03</w:t>
            </w:r>
          </w:p>
        </w:tc>
        <w:tc>
          <w:tcPr>
            <w:tcW w:w="800" w:type="dxa"/>
            <w:shd w:val="solid" w:color="FFFFFF" w:fill="auto"/>
          </w:tcPr>
          <w:p w14:paraId="09DA4FDF" w14:textId="5C61A5B1" w:rsidR="00C05113" w:rsidRPr="00873B6C" w:rsidRDefault="00C05113" w:rsidP="009D14FB">
            <w:pPr>
              <w:pStyle w:val="TAL"/>
              <w:rPr>
                <w:sz w:val="16"/>
                <w:szCs w:val="16"/>
              </w:rPr>
            </w:pPr>
            <w:r w:rsidRPr="00873B6C">
              <w:rPr>
                <w:sz w:val="16"/>
                <w:szCs w:val="16"/>
              </w:rPr>
              <w:t>SP#91E</w:t>
            </w:r>
          </w:p>
        </w:tc>
        <w:tc>
          <w:tcPr>
            <w:tcW w:w="1094" w:type="dxa"/>
            <w:shd w:val="solid" w:color="FFFFFF" w:fill="auto"/>
          </w:tcPr>
          <w:p w14:paraId="1736D90F" w14:textId="3A439706" w:rsidR="00C05113" w:rsidRPr="00873B6C" w:rsidRDefault="00C05113" w:rsidP="009D14FB">
            <w:pPr>
              <w:pStyle w:val="TAC"/>
              <w:rPr>
                <w:sz w:val="16"/>
                <w:szCs w:val="16"/>
              </w:rPr>
            </w:pPr>
            <w:r w:rsidRPr="00873B6C">
              <w:rPr>
                <w:sz w:val="16"/>
                <w:szCs w:val="16"/>
              </w:rPr>
              <w:t>SP-210088</w:t>
            </w:r>
          </w:p>
        </w:tc>
        <w:tc>
          <w:tcPr>
            <w:tcW w:w="567" w:type="dxa"/>
            <w:shd w:val="solid" w:color="FFFFFF" w:fill="auto"/>
          </w:tcPr>
          <w:p w14:paraId="2E31CD06" w14:textId="2F4D18C0" w:rsidR="00C05113" w:rsidRPr="00873B6C" w:rsidRDefault="00C05113" w:rsidP="009D14FB">
            <w:pPr>
              <w:pStyle w:val="TAL"/>
              <w:rPr>
                <w:sz w:val="16"/>
                <w:szCs w:val="16"/>
              </w:rPr>
            </w:pPr>
            <w:r w:rsidRPr="00873B6C">
              <w:rPr>
                <w:sz w:val="16"/>
                <w:szCs w:val="16"/>
              </w:rPr>
              <w:t>2525</w:t>
            </w:r>
          </w:p>
        </w:tc>
        <w:tc>
          <w:tcPr>
            <w:tcW w:w="425" w:type="dxa"/>
            <w:shd w:val="solid" w:color="FFFFFF" w:fill="auto"/>
          </w:tcPr>
          <w:p w14:paraId="479317FA" w14:textId="1CA352F6" w:rsidR="00C05113" w:rsidRPr="00873B6C" w:rsidRDefault="00C05113" w:rsidP="009D14FB">
            <w:pPr>
              <w:pStyle w:val="TAL"/>
              <w:rPr>
                <w:sz w:val="16"/>
                <w:szCs w:val="16"/>
              </w:rPr>
            </w:pPr>
            <w:r w:rsidRPr="00873B6C">
              <w:rPr>
                <w:sz w:val="16"/>
                <w:szCs w:val="16"/>
              </w:rPr>
              <w:t>1</w:t>
            </w:r>
          </w:p>
        </w:tc>
        <w:tc>
          <w:tcPr>
            <w:tcW w:w="425" w:type="dxa"/>
            <w:shd w:val="solid" w:color="FFFFFF" w:fill="auto"/>
          </w:tcPr>
          <w:p w14:paraId="710B9F85" w14:textId="1833C109" w:rsidR="00C05113" w:rsidRPr="00873B6C" w:rsidRDefault="00C05113" w:rsidP="009D14FB">
            <w:pPr>
              <w:pStyle w:val="TAL"/>
              <w:rPr>
                <w:sz w:val="16"/>
                <w:szCs w:val="16"/>
              </w:rPr>
            </w:pPr>
            <w:r w:rsidRPr="00873B6C">
              <w:rPr>
                <w:sz w:val="16"/>
                <w:szCs w:val="16"/>
              </w:rPr>
              <w:t>B</w:t>
            </w:r>
          </w:p>
        </w:tc>
        <w:tc>
          <w:tcPr>
            <w:tcW w:w="4820" w:type="dxa"/>
            <w:shd w:val="solid" w:color="FFFFFF" w:fill="auto"/>
          </w:tcPr>
          <w:p w14:paraId="65F39904" w14:textId="3CF9F5BA" w:rsidR="00C05113" w:rsidRPr="00873B6C" w:rsidRDefault="00C05113" w:rsidP="009D14FB">
            <w:pPr>
              <w:pStyle w:val="TAL"/>
              <w:rPr>
                <w:sz w:val="16"/>
                <w:szCs w:val="16"/>
              </w:rPr>
            </w:pPr>
            <w:r w:rsidRPr="00873B6C">
              <w:rPr>
                <w:sz w:val="16"/>
                <w:szCs w:val="16"/>
              </w:rPr>
              <w:t>Support of different slices over different Non 3GPP access</w:t>
            </w:r>
          </w:p>
        </w:tc>
        <w:tc>
          <w:tcPr>
            <w:tcW w:w="708" w:type="dxa"/>
            <w:shd w:val="solid" w:color="FFFFFF" w:fill="auto"/>
          </w:tcPr>
          <w:p w14:paraId="4D421747" w14:textId="039E0E12" w:rsidR="00C05113" w:rsidRPr="00873B6C" w:rsidRDefault="00C05113" w:rsidP="009D14FB">
            <w:pPr>
              <w:pStyle w:val="TAC"/>
              <w:rPr>
                <w:b/>
                <w:bCs/>
                <w:sz w:val="16"/>
                <w:szCs w:val="16"/>
              </w:rPr>
            </w:pPr>
            <w:r w:rsidRPr="00873B6C">
              <w:rPr>
                <w:b/>
                <w:bCs/>
                <w:sz w:val="16"/>
                <w:szCs w:val="16"/>
              </w:rPr>
              <w:t>17.0.0</w:t>
            </w:r>
          </w:p>
        </w:tc>
      </w:tr>
      <w:tr w:rsidR="00C05113" w:rsidRPr="00873B6C" w14:paraId="1B7A7BFC" w14:textId="77777777" w:rsidTr="009D14FB">
        <w:tc>
          <w:tcPr>
            <w:tcW w:w="800" w:type="dxa"/>
            <w:shd w:val="solid" w:color="FFFFFF" w:fill="auto"/>
          </w:tcPr>
          <w:p w14:paraId="45AD65BD" w14:textId="44F327E5" w:rsidR="00C05113" w:rsidRPr="00873B6C" w:rsidRDefault="00C05113" w:rsidP="009D14FB">
            <w:pPr>
              <w:pStyle w:val="TAC"/>
              <w:rPr>
                <w:sz w:val="16"/>
                <w:szCs w:val="16"/>
              </w:rPr>
            </w:pPr>
            <w:r w:rsidRPr="00873B6C">
              <w:rPr>
                <w:sz w:val="16"/>
                <w:szCs w:val="16"/>
              </w:rPr>
              <w:t>2021-03</w:t>
            </w:r>
          </w:p>
        </w:tc>
        <w:tc>
          <w:tcPr>
            <w:tcW w:w="800" w:type="dxa"/>
            <w:shd w:val="solid" w:color="FFFFFF" w:fill="auto"/>
          </w:tcPr>
          <w:p w14:paraId="2824D795" w14:textId="3F4E629E" w:rsidR="00C05113" w:rsidRPr="00873B6C" w:rsidRDefault="00C05113" w:rsidP="009D14FB">
            <w:pPr>
              <w:pStyle w:val="TAL"/>
              <w:rPr>
                <w:sz w:val="16"/>
                <w:szCs w:val="16"/>
              </w:rPr>
            </w:pPr>
            <w:r w:rsidRPr="00873B6C">
              <w:rPr>
                <w:sz w:val="16"/>
                <w:szCs w:val="16"/>
              </w:rPr>
              <w:t>SP#91E</w:t>
            </w:r>
          </w:p>
        </w:tc>
        <w:tc>
          <w:tcPr>
            <w:tcW w:w="1094" w:type="dxa"/>
            <w:shd w:val="solid" w:color="FFFFFF" w:fill="auto"/>
          </w:tcPr>
          <w:p w14:paraId="286F3364" w14:textId="2EB94D5F" w:rsidR="00C05113" w:rsidRPr="00873B6C" w:rsidRDefault="00C05113" w:rsidP="009D14FB">
            <w:pPr>
              <w:pStyle w:val="TAC"/>
              <w:rPr>
                <w:sz w:val="16"/>
                <w:szCs w:val="16"/>
              </w:rPr>
            </w:pPr>
            <w:r w:rsidRPr="00873B6C">
              <w:rPr>
                <w:sz w:val="16"/>
                <w:szCs w:val="16"/>
              </w:rPr>
              <w:t>SP-210068</w:t>
            </w:r>
          </w:p>
        </w:tc>
        <w:tc>
          <w:tcPr>
            <w:tcW w:w="567" w:type="dxa"/>
            <w:shd w:val="solid" w:color="FFFFFF" w:fill="auto"/>
          </w:tcPr>
          <w:p w14:paraId="4D134903" w14:textId="46332F25" w:rsidR="00C05113" w:rsidRPr="00873B6C" w:rsidRDefault="00C05113" w:rsidP="009D14FB">
            <w:pPr>
              <w:pStyle w:val="TAL"/>
              <w:rPr>
                <w:sz w:val="16"/>
                <w:szCs w:val="16"/>
              </w:rPr>
            </w:pPr>
            <w:r w:rsidRPr="00873B6C">
              <w:rPr>
                <w:sz w:val="16"/>
                <w:szCs w:val="16"/>
              </w:rPr>
              <w:t>2527</w:t>
            </w:r>
          </w:p>
        </w:tc>
        <w:tc>
          <w:tcPr>
            <w:tcW w:w="425" w:type="dxa"/>
            <w:shd w:val="solid" w:color="FFFFFF" w:fill="auto"/>
          </w:tcPr>
          <w:p w14:paraId="77E4CF14" w14:textId="23094674" w:rsidR="00C05113" w:rsidRPr="00873B6C" w:rsidRDefault="00C05113" w:rsidP="009D14FB">
            <w:pPr>
              <w:pStyle w:val="TAL"/>
              <w:rPr>
                <w:sz w:val="16"/>
                <w:szCs w:val="16"/>
              </w:rPr>
            </w:pPr>
            <w:r w:rsidRPr="00873B6C">
              <w:rPr>
                <w:sz w:val="16"/>
                <w:szCs w:val="16"/>
              </w:rPr>
              <w:t>1</w:t>
            </w:r>
          </w:p>
        </w:tc>
        <w:tc>
          <w:tcPr>
            <w:tcW w:w="425" w:type="dxa"/>
            <w:shd w:val="solid" w:color="FFFFFF" w:fill="auto"/>
          </w:tcPr>
          <w:p w14:paraId="1FE92E0D" w14:textId="03C6B7D0" w:rsidR="00C05113" w:rsidRPr="00873B6C" w:rsidRDefault="00C05113" w:rsidP="009D14FB">
            <w:pPr>
              <w:pStyle w:val="TAL"/>
              <w:rPr>
                <w:sz w:val="16"/>
                <w:szCs w:val="16"/>
              </w:rPr>
            </w:pPr>
            <w:r w:rsidRPr="00873B6C">
              <w:rPr>
                <w:sz w:val="16"/>
                <w:szCs w:val="16"/>
              </w:rPr>
              <w:t>B</w:t>
            </w:r>
          </w:p>
        </w:tc>
        <w:tc>
          <w:tcPr>
            <w:tcW w:w="4820" w:type="dxa"/>
            <w:shd w:val="solid" w:color="FFFFFF" w:fill="auto"/>
          </w:tcPr>
          <w:p w14:paraId="4F985EE5" w14:textId="315E8D22" w:rsidR="00C05113" w:rsidRPr="00873B6C" w:rsidRDefault="00C05113" w:rsidP="009D14FB">
            <w:pPr>
              <w:pStyle w:val="TAL"/>
              <w:rPr>
                <w:sz w:val="16"/>
                <w:szCs w:val="16"/>
              </w:rPr>
            </w:pPr>
            <w:r w:rsidRPr="00873B6C">
              <w:rPr>
                <w:sz w:val="16"/>
                <w:szCs w:val="16"/>
              </w:rPr>
              <w:t>MA PDU sessions with connectivity over E-UTRAN/EPC and non-3GPP access to 5GC</w:t>
            </w:r>
          </w:p>
        </w:tc>
        <w:tc>
          <w:tcPr>
            <w:tcW w:w="708" w:type="dxa"/>
            <w:shd w:val="solid" w:color="FFFFFF" w:fill="auto"/>
          </w:tcPr>
          <w:p w14:paraId="237D5D8C" w14:textId="049B62B2" w:rsidR="00C05113" w:rsidRPr="00873B6C" w:rsidRDefault="00C05113" w:rsidP="009D14FB">
            <w:pPr>
              <w:pStyle w:val="TAC"/>
              <w:rPr>
                <w:b/>
                <w:bCs/>
                <w:sz w:val="16"/>
                <w:szCs w:val="16"/>
              </w:rPr>
            </w:pPr>
            <w:r w:rsidRPr="00873B6C">
              <w:rPr>
                <w:b/>
                <w:bCs/>
                <w:sz w:val="16"/>
                <w:szCs w:val="16"/>
              </w:rPr>
              <w:t>17.0.0</w:t>
            </w:r>
          </w:p>
        </w:tc>
      </w:tr>
      <w:tr w:rsidR="00821D9E" w:rsidRPr="00873B6C" w14:paraId="2CECBA8D" w14:textId="77777777" w:rsidTr="009D14FB">
        <w:tc>
          <w:tcPr>
            <w:tcW w:w="800" w:type="dxa"/>
            <w:shd w:val="solid" w:color="FFFFFF" w:fill="auto"/>
          </w:tcPr>
          <w:p w14:paraId="38DB6967" w14:textId="10BD844C" w:rsidR="00821D9E" w:rsidRPr="00873B6C" w:rsidRDefault="00821D9E" w:rsidP="009D14FB">
            <w:pPr>
              <w:pStyle w:val="TAC"/>
              <w:rPr>
                <w:sz w:val="16"/>
                <w:szCs w:val="16"/>
              </w:rPr>
            </w:pPr>
            <w:r w:rsidRPr="00873B6C">
              <w:rPr>
                <w:sz w:val="16"/>
                <w:szCs w:val="16"/>
              </w:rPr>
              <w:t>2021-03</w:t>
            </w:r>
          </w:p>
        </w:tc>
        <w:tc>
          <w:tcPr>
            <w:tcW w:w="800" w:type="dxa"/>
            <w:shd w:val="solid" w:color="FFFFFF" w:fill="auto"/>
          </w:tcPr>
          <w:p w14:paraId="54675AED" w14:textId="51891F9D" w:rsidR="00821D9E" w:rsidRPr="00873B6C" w:rsidRDefault="00821D9E" w:rsidP="009D14FB">
            <w:pPr>
              <w:pStyle w:val="TAL"/>
              <w:rPr>
                <w:sz w:val="16"/>
                <w:szCs w:val="16"/>
              </w:rPr>
            </w:pPr>
            <w:r w:rsidRPr="00873B6C">
              <w:rPr>
                <w:sz w:val="16"/>
                <w:szCs w:val="16"/>
              </w:rPr>
              <w:t>SP#91E</w:t>
            </w:r>
          </w:p>
        </w:tc>
        <w:tc>
          <w:tcPr>
            <w:tcW w:w="1094" w:type="dxa"/>
            <w:shd w:val="solid" w:color="FFFFFF" w:fill="auto"/>
          </w:tcPr>
          <w:p w14:paraId="1C180D04" w14:textId="79B06583" w:rsidR="00821D9E" w:rsidRPr="00873B6C" w:rsidRDefault="00821D9E" w:rsidP="009D14FB">
            <w:pPr>
              <w:pStyle w:val="TAC"/>
              <w:rPr>
                <w:sz w:val="16"/>
                <w:szCs w:val="16"/>
              </w:rPr>
            </w:pPr>
            <w:r w:rsidRPr="00873B6C">
              <w:rPr>
                <w:sz w:val="16"/>
                <w:szCs w:val="16"/>
              </w:rPr>
              <w:t>SP-210072</w:t>
            </w:r>
          </w:p>
        </w:tc>
        <w:tc>
          <w:tcPr>
            <w:tcW w:w="567" w:type="dxa"/>
            <w:shd w:val="solid" w:color="FFFFFF" w:fill="auto"/>
          </w:tcPr>
          <w:p w14:paraId="61B820E7" w14:textId="3C60F524" w:rsidR="00821D9E" w:rsidRPr="00873B6C" w:rsidRDefault="00821D9E" w:rsidP="009D14FB">
            <w:pPr>
              <w:pStyle w:val="TAL"/>
              <w:rPr>
                <w:sz w:val="16"/>
                <w:szCs w:val="16"/>
              </w:rPr>
            </w:pPr>
            <w:r w:rsidRPr="00873B6C">
              <w:rPr>
                <w:sz w:val="16"/>
                <w:szCs w:val="16"/>
              </w:rPr>
              <w:t>2530</w:t>
            </w:r>
          </w:p>
        </w:tc>
        <w:tc>
          <w:tcPr>
            <w:tcW w:w="425" w:type="dxa"/>
            <w:shd w:val="solid" w:color="FFFFFF" w:fill="auto"/>
          </w:tcPr>
          <w:p w14:paraId="6FD31E93" w14:textId="6E50BFAE" w:rsidR="00821D9E" w:rsidRPr="00873B6C" w:rsidRDefault="00821D9E" w:rsidP="009D14FB">
            <w:pPr>
              <w:pStyle w:val="TAL"/>
              <w:rPr>
                <w:sz w:val="16"/>
                <w:szCs w:val="16"/>
              </w:rPr>
            </w:pPr>
            <w:r w:rsidRPr="00873B6C">
              <w:rPr>
                <w:sz w:val="16"/>
                <w:szCs w:val="16"/>
              </w:rPr>
              <w:t>1</w:t>
            </w:r>
          </w:p>
        </w:tc>
        <w:tc>
          <w:tcPr>
            <w:tcW w:w="425" w:type="dxa"/>
            <w:shd w:val="solid" w:color="FFFFFF" w:fill="auto"/>
          </w:tcPr>
          <w:p w14:paraId="1148D362" w14:textId="005014D8" w:rsidR="00821D9E" w:rsidRPr="00873B6C" w:rsidRDefault="00821D9E" w:rsidP="009D14FB">
            <w:pPr>
              <w:pStyle w:val="TAL"/>
              <w:rPr>
                <w:sz w:val="16"/>
                <w:szCs w:val="16"/>
              </w:rPr>
            </w:pPr>
            <w:r w:rsidRPr="00873B6C">
              <w:rPr>
                <w:sz w:val="16"/>
                <w:szCs w:val="16"/>
              </w:rPr>
              <w:t>B</w:t>
            </w:r>
          </w:p>
        </w:tc>
        <w:tc>
          <w:tcPr>
            <w:tcW w:w="4820" w:type="dxa"/>
            <w:shd w:val="solid" w:color="FFFFFF" w:fill="auto"/>
          </w:tcPr>
          <w:p w14:paraId="31E21252" w14:textId="20781C54" w:rsidR="00821D9E" w:rsidRPr="00873B6C" w:rsidRDefault="00821D9E" w:rsidP="009D14FB">
            <w:pPr>
              <w:pStyle w:val="TAL"/>
              <w:rPr>
                <w:sz w:val="16"/>
                <w:szCs w:val="16"/>
              </w:rPr>
            </w:pPr>
            <w:r w:rsidRPr="00873B6C">
              <w:rPr>
                <w:sz w:val="16"/>
                <w:szCs w:val="16"/>
              </w:rPr>
              <w:t>Enchantments for supporting Supported Analytics Delay mechanism</w:t>
            </w:r>
          </w:p>
        </w:tc>
        <w:tc>
          <w:tcPr>
            <w:tcW w:w="708" w:type="dxa"/>
            <w:shd w:val="solid" w:color="FFFFFF" w:fill="auto"/>
          </w:tcPr>
          <w:p w14:paraId="48E5A4B6" w14:textId="19C6FCBD" w:rsidR="00821D9E" w:rsidRPr="00873B6C" w:rsidRDefault="00821D9E" w:rsidP="009D14FB">
            <w:pPr>
              <w:pStyle w:val="TAC"/>
              <w:rPr>
                <w:b/>
                <w:bCs/>
                <w:sz w:val="16"/>
                <w:szCs w:val="16"/>
              </w:rPr>
            </w:pPr>
            <w:r w:rsidRPr="00873B6C">
              <w:rPr>
                <w:b/>
                <w:bCs/>
                <w:sz w:val="16"/>
                <w:szCs w:val="16"/>
              </w:rPr>
              <w:t>17.0.0</w:t>
            </w:r>
          </w:p>
        </w:tc>
      </w:tr>
      <w:tr w:rsidR="00821D9E" w:rsidRPr="00873B6C" w14:paraId="587994ED" w14:textId="77777777" w:rsidTr="009D14FB">
        <w:tc>
          <w:tcPr>
            <w:tcW w:w="800" w:type="dxa"/>
            <w:shd w:val="solid" w:color="FFFFFF" w:fill="auto"/>
          </w:tcPr>
          <w:p w14:paraId="683E4936" w14:textId="4B533AAA" w:rsidR="00821D9E" w:rsidRPr="00873B6C" w:rsidRDefault="00821D9E" w:rsidP="009D14FB">
            <w:pPr>
              <w:pStyle w:val="TAC"/>
              <w:rPr>
                <w:sz w:val="16"/>
                <w:szCs w:val="16"/>
              </w:rPr>
            </w:pPr>
            <w:r w:rsidRPr="00873B6C">
              <w:rPr>
                <w:sz w:val="16"/>
                <w:szCs w:val="16"/>
              </w:rPr>
              <w:t>2021-03</w:t>
            </w:r>
          </w:p>
        </w:tc>
        <w:tc>
          <w:tcPr>
            <w:tcW w:w="800" w:type="dxa"/>
            <w:shd w:val="solid" w:color="FFFFFF" w:fill="auto"/>
          </w:tcPr>
          <w:p w14:paraId="388B7B67" w14:textId="52FE5B2E" w:rsidR="00821D9E" w:rsidRPr="00873B6C" w:rsidRDefault="00821D9E" w:rsidP="009D14FB">
            <w:pPr>
              <w:pStyle w:val="TAL"/>
              <w:rPr>
                <w:sz w:val="16"/>
                <w:szCs w:val="16"/>
              </w:rPr>
            </w:pPr>
            <w:r w:rsidRPr="00873B6C">
              <w:rPr>
                <w:sz w:val="16"/>
                <w:szCs w:val="16"/>
              </w:rPr>
              <w:t>SP#91E</w:t>
            </w:r>
          </w:p>
        </w:tc>
        <w:tc>
          <w:tcPr>
            <w:tcW w:w="1094" w:type="dxa"/>
            <w:shd w:val="solid" w:color="FFFFFF" w:fill="auto"/>
          </w:tcPr>
          <w:p w14:paraId="5A09EFA4" w14:textId="65B29A67" w:rsidR="00821D9E" w:rsidRPr="00873B6C" w:rsidRDefault="00821D9E" w:rsidP="009D14FB">
            <w:pPr>
              <w:pStyle w:val="TAC"/>
              <w:rPr>
                <w:sz w:val="16"/>
                <w:szCs w:val="16"/>
              </w:rPr>
            </w:pPr>
            <w:r w:rsidRPr="00873B6C">
              <w:rPr>
                <w:sz w:val="16"/>
                <w:szCs w:val="16"/>
              </w:rPr>
              <w:t>SP-210085</w:t>
            </w:r>
          </w:p>
        </w:tc>
        <w:tc>
          <w:tcPr>
            <w:tcW w:w="567" w:type="dxa"/>
            <w:shd w:val="solid" w:color="FFFFFF" w:fill="auto"/>
          </w:tcPr>
          <w:p w14:paraId="4A3B3C85" w14:textId="2AAFC3A3" w:rsidR="00821D9E" w:rsidRPr="00873B6C" w:rsidRDefault="00821D9E" w:rsidP="009D14FB">
            <w:pPr>
              <w:pStyle w:val="TAL"/>
              <w:rPr>
                <w:sz w:val="16"/>
                <w:szCs w:val="16"/>
              </w:rPr>
            </w:pPr>
            <w:r w:rsidRPr="00873B6C">
              <w:rPr>
                <w:sz w:val="16"/>
                <w:szCs w:val="16"/>
              </w:rPr>
              <w:t>2536</w:t>
            </w:r>
          </w:p>
        </w:tc>
        <w:tc>
          <w:tcPr>
            <w:tcW w:w="425" w:type="dxa"/>
            <w:shd w:val="solid" w:color="FFFFFF" w:fill="auto"/>
          </w:tcPr>
          <w:p w14:paraId="5D8DA144" w14:textId="42DE9EFC" w:rsidR="00821D9E" w:rsidRPr="00873B6C" w:rsidRDefault="00821D9E" w:rsidP="009D14FB">
            <w:pPr>
              <w:pStyle w:val="TAL"/>
              <w:rPr>
                <w:sz w:val="16"/>
                <w:szCs w:val="16"/>
              </w:rPr>
            </w:pPr>
            <w:r w:rsidRPr="00873B6C">
              <w:rPr>
                <w:sz w:val="16"/>
                <w:szCs w:val="16"/>
              </w:rPr>
              <w:t>1</w:t>
            </w:r>
          </w:p>
        </w:tc>
        <w:tc>
          <w:tcPr>
            <w:tcW w:w="425" w:type="dxa"/>
            <w:shd w:val="solid" w:color="FFFFFF" w:fill="auto"/>
          </w:tcPr>
          <w:p w14:paraId="1D709D93" w14:textId="3C1D4B92" w:rsidR="00821D9E" w:rsidRPr="00873B6C" w:rsidRDefault="00821D9E" w:rsidP="009D14FB">
            <w:pPr>
              <w:pStyle w:val="TAL"/>
              <w:rPr>
                <w:sz w:val="16"/>
                <w:szCs w:val="16"/>
              </w:rPr>
            </w:pPr>
            <w:r w:rsidRPr="00873B6C">
              <w:rPr>
                <w:sz w:val="16"/>
                <w:szCs w:val="16"/>
              </w:rPr>
              <w:t>B</w:t>
            </w:r>
          </w:p>
        </w:tc>
        <w:tc>
          <w:tcPr>
            <w:tcW w:w="4820" w:type="dxa"/>
            <w:shd w:val="solid" w:color="FFFFFF" w:fill="auto"/>
          </w:tcPr>
          <w:p w14:paraId="0459CB26" w14:textId="65400FFF" w:rsidR="00821D9E" w:rsidRPr="00873B6C" w:rsidRDefault="00821D9E" w:rsidP="009D14FB">
            <w:pPr>
              <w:pStyle w:val="TAL"/>
              <w:rPr>
                <w:sz w:val="16"/>
                <w:szCs w:val="16"/>
              </w:rPr>
            </w:pPr>
            <w:r w:rsidRPr="00873B6C">
              <w:rPr>
                <w:sz w:val="16"/>
                <w:szCs w:val="16"/>
              </w:rPr>
              <w:t>Multimedia Priority Service (MPS) Phase 2 support for Data Transport Service</w:t>
            </w:r>
          </w:p>
        </w:tc>
        <w:tc>
          <w:tcPr>
            <w:tcW w:w="708" w:type="dxa"/>
            <w:shd w:val="solid" w:color="FFFFFF" w:fill="auto"/>
          </w:tcPr>
          <w:p w14:paraId="03D333DF" w14:textId="206683F4" w:rsidR="00821D9E" w:rsidRPr="00873B6C" w:rsidRDefault="00821D9E" w:rsidP="009D14FB">
            <w:pPr>
              <w:pStyle w:val="TAC"/>
              <w:rPr>
                <w:b/>
                <w:bCs/>
                <w:sz w:val="16"/>
                <w:szCs w:val="16"/>
              </w:rPr>
            </w:pPr>
            <w:r w:rsidRPr="00873B6C">
              <w:rPr>
                <w:b/>
                <w:bCs/>
                <w:sz w:val="16"/>
                <w:szCs w:val="16"/>
              </w:rPr>
              <w:t>17.0.0</w:t>
            </w:r>
          </w:p>
        </w:tc>
      </w:tr>
      <w:tr w:rsidR="00DC49BB" w:rsidRPr="00873B6C" w14:paraId="1C01A3A5" w14:textId="77777777" w:rsidTr="009D14FB">
        <w:tc>
          <w:tcPr>
            <w:tcW w:w="800" w:type="dxa"/>
            <w:shd w:val="solid" w:color="FFFFFF" w:fill="auto"/>
          </w:tcPr>
          <w:p w14:paraId="00FFB4FC" w14:textId="05EFAD6A" w:rsidR="00DC49BB" w:rsidRPr="00873B6C" w:rsidRDefault="00DC49BB" w:rsidP="009D14FB">
            <w:pPr>
              <w:pStyle w:val="TAC"/>
              <w:rPr>
                <w:sz w:val="16"/>
                <w:szCs w:val="16"/>
              </w:rPr>
            </w:pPr>
            <w:r w:rsidRPr="00873B6C">
              <w:rPr>
                <w:sz w:val="16"/>
                <w:szCs w:val="16"/>
              </w:rPr>
              <w:t>2021-03</w:t>
            </w:r>
          </w:p>
        </w:tc>
        <w:tc>
          <w:tcPr>
            <w:tcW w:w="800" w:type="dxa"/>
            <w:shd w:val="solid" w:color="FFFFFF" w:fill="auto"/>
          </w:tcPr>
          <w:p w14:paraId="6CCEC8AA" w14:textId="56DC5F06" w:rsidR="00DC49BB" w:rsidRPr="00873B6C" w:rsidRDefault="00DC49BB" w:rsidP="009D14FB">
            <w:pPr>
              <w:pStyle w:val="TAL"/>
              <w:rPr>
                <w:sz w:val="16"/>
                <w:szCs w:val="16"/>
              </w:rPr>
            </w:pPr>
            <w:r w:rsidRPr="00873B6C">
              <w:rPr>
                <w:sz w:val="16"/>
                <w:szCs w:val="16"/>
              </w:rPr>
              <w:t>SP#91E</w:t>
            </w:r>
          </w:p>
        </w:tc>
        <w:tc>
          <w:tcPr>
            <w:tcW w:w="1094" w:type="dxa"/>
            <w:shd w:val="solid" w:color="FFFFFF" w:fill="auto"/>
          </w:tcPr>
          <w:p w14:paraId="53F50689" w14:textId="346FDFDE" w:rsidR="00DC49BB" w:rsidRPr="00873B6C" w:rsidRDefault="00DC49BB" w:rsidP="009D14FB">
            <w:pPr>
              <w:pStyle w:val="TAC"/>
              <w:rPr>
                <w:sz w:val="16"/>
                <w:szCs w:val="16"/>
              </w:rPr>
            </w:pPr>
            <w:r w:rsidRPr="00873B6C">
              <w:rPr>
                <w:sz w:val="16"/>
                <w:szCs w:val="16"/>
              </w:rPr>
              <w:t>SP-210065</w:t>
            </w:r>
          </w:p>
        </w:tc>
        <w:tc>
          <w:tcPr>
            <w:tcW w:w="567" w:type="dxa"/>
            <w:shd w:val="solid" w:color="FFFFFF" w:fill="auto"/>
          </w:tcPr>
          <w:p w14:paraId="7A08A6FC" w14:textId="663A2B74" w:rsidR="00DC49BB" w:rsidRPr="00873B6C" w:rsidRDefault="00DC49BB" w:rsidP="009D14FB">
            <w:pPr>
              <w:pStyle w:val="TAL"/>
              <w:rPr>
                <w:sz w:val="16"/>
                <w:szCs w:val="16"/>
              </w:rPr>
            </w:pPr>
            <w:r w:rsidRPr="00873B6C">
              <w:rPr>
                <w:sz w:val="16"/>
                <w:szCs w:val="16"/>
              </w:rPr>
              <w:t>2537</w:t>
            </w:r>
          </w:p>
        </w:tc>
        <w:tc>
          <w:tcPr>
            <w:tcW w:w="425" w:type="dxa"/>
            <w:shd w:val="solid" w:color="FFFFFF" w:fill="auto"/>
          </w:tcPr>
          <w:p w14:paraId="38FAFCFF" w14:textId="41990476" w:rsidR="00DC49BB" w:rsidRPr="00873B6C" w:rsidRDefault="00DC49BB" w:rsidP="009D14FB">
            <w:pPr>
              <w:pStyle w:val="TAL"/>
              <w:rPr>
                <w:sz w:val="16"/>
                <w:szCs w:val="16"/>
              </w:rPr>
            </w:pPr>
            <w:r w:rsidRPr="00873B6C">
              <w:rPr>
                <w:sz w:val="16"/>
                <w:szCs w:val="16"/>
              </w:rPr>
              <w:t>-</w:t>
            </w:r>
          </w:p>
        </w:tc>
        <w:tc>
          <w:tcPr>
            <w:tcW w:w="425" w:type="dxa"/>
            <w:shd w:val="solid" w:color="FFFFFF" w:fill="auto"/>
          </w:tcPr>
          <w:p w14:paraId="0FC88866" w14:textId="7181E931" w:rsidR="00DC49BB" w:rsidRPr="00873B6C" w:rsidRDefault="00DC49BB" w:rsidP="009D14FB">
            <w:pPr>
              <w:pStyle w:val="TAL"/>
              <w:rPr>
                <w:sz w:val="16"/>
                <w:szCs w:val="16"/>
              </w:rPr>
            </w:pPr>
            <w:r w:rsidRPr="00873B6C">
              <w:rPr>
                <w:sz w:val="16"/>
                <w:szCs w:val="16"/>
              </w:rPr>
              <w:t>C</w:t>
            </w:r>
          </w:p>
        </w:tc>
        <w:tc>
          <w:tcPr>
            <w:tcW w:w="4820" w:type="dxa"/>
            <w:shd w:val="solid" w:color="FFFFFF" w:fill="auto"/>
          </w:tcPr>
          <w:p w14:paraId="1B2568A7" w14:textId="542A10D5" w:rsidR="00DC49BB" w:rsidRPr="00873B6C" w:rsidRDefault="00DC49BB" w:rsidP="009D14FB">
            <w:pPr>
              <w:pStyle w:val="TAL"/>
              <w:rPr>
                <w:sz w:val="16"/>
                <w:szCs w:val="16"/>
              </w:rPr>
            </w:pPr>
            <w:r w:rsidRPr="00873B6C">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873B6C" w:rsidRDefault="00DC49BB" w:rsidP="009D14FB">
            <w:pPr>
              <w:pStyle w:val="TAC"/>
              <w:rPr>
                <w:b/>
                <w:bCs/>
                <w:sz w:val="16"/>
                <w:szCs w:val="16"/>
              </w:rPr>
            </w:pPr>
            <w:r w:rsidRPr="00873B6C">
              <w:rPr>
                <w:b/>
                <w:bCs/>
                <w:sz w:val="16"/>
                <w:szCs w:val="16"/>
              </w:rPr>
              <w:t>17.0.0</w:t>
            </w:r>
          </w:p>
        </w:tc>
      </w:tr>
      <w:tr w:rsidR="001C7C66" w:rsidRPr="00873B6C" w14:paraId="09CA56DE" w14:textId="77777777" w:rsidTr="009D14FB">
        <w:tc>
          <w:tcPr>
            <w:tcW w:w="800" w:type="dxa"/>
            <w:shd w:val="solid" w:color="FFFFFF" w:fill="auto"/>
          </w:tcPr>
          <w:p w14:paraId="7941E4F9" w14:textId="32732DE2" w:rsidR="001C7C66" w:rsidRPr="00873B6C" w:rsidRDefault="001C7C66" w:rsidP="009D14FB">
            <w:pPr>
              <w:pStyle w:val="TAC"/>
              <w:rPr>
                <w:sz w:val="16"/>
                <w:szCs w:val="16"/>
              </w:rPr>
            </w:pPr>
            <w:r w:rsidRPr="00873B6C">
              <w:rPr>
                <w:sz w:val="16"/>
                <w:szCs w:val="16"/>
              </w:rPr>
              <w:t>2021-03</w:t>
            </w:r>
          </w:p>
        </w:tc>
        <w:tc>
          <w:tcPr>
            <w:tcW w:w="800" w:type="dxa"/>
            <w:shd w:val="solid" w:color="FFFFFF" w:fill="auto"/>
          </w:tcPr>
          <w:p w14:paraId="6FFA1393" w14:textId="07B40987" w:rsidR="001C7C66" w:rsidRPr="00873B6C" w:rsidRDefault="001C7C66" w:rsidP="009D14FB">
            <w:pPr>
              <w:pStyle w:val="TAL"/>
              <w:rPr>
                <w:sz w:val="16"/>
                <w:szCs w:val="16"/>
              </w:rPr>
            </w:pPr>
            <w:r w:rsidRPr="00873B6C">
              <w:rPr>
                <w:sz w:val="16"/>
                <w:szCs w:val="16"/>
              </w:rPr>
              <w:t>SP#91E</w:t>
            </w:r>
          </w:p>
        </w:tc>
        <w:tc>
          <w:tcPr>
            <w:tcW w:w="1094" w:type="dxa"/>
            <w:shd w:val="solid" w:color="FFFFFF" w:fill="auto"/>
          </w:tcPr>
          <w:p w14:paraId="67CDD6A0" w14:textId="4C61948F" w:rsidR="001C7C66" w:rsidRPr="00873B6C" w:rsidRDefault="001C7C66" w:rsidP="009D14FB">
            <w:pPr>
              <w:pStyle w:val="TAC"/>
              <w:rPr>
                <w:sz w:val="16"/>
                <w:szCs w:val="16"/>
              </w:rPr>
            </w:pPr>
            <w:r w:rsidRPr="00873B6C">
              <w:rPr>
                <w:sz w:val="16"/>
                <w:szCs w:val="16"/>
              </w:rPr>
              <w:t>SP-210065</w:t>
            </w:r>
          </w:p>
        </w:tc>
        <w:tc>
          <w:tcPr>
            <w:tcW w:w="567" w:type="dxa"/>
            <w:shd w:val="solid" w:color="FFFFFF" w:fill="auto"/>
          </w:tcPr>
          <w:p w14:paraId="5EAFAB70" w14:textId="1762F0BD" w:rsidR="001C7C66" w:rsidRPr="00873B6C" w:rsidRDefault="001C7C66" w:rsidP="009D14FB">
            <w:pPr>
              <w:pStyle w:val="TAL"/>
              <w:rPr>
                <w:sz w:val="16"/>
                <w:szCs w:val="16"/>
              </w:rPr>
            </w:pPr>
            <w:r w:rsidRPr="00873B6C">
              <w:rPr>
                <w:sz w:val="16"/>
                <w:szCs w:val="16"/>
              </w:rPr>
              <w:t>2538</w:t>
            </w:r>
          </w:p>
        </w:tc>
        <w:tc>
          <w:tcPr>
            <w:tcW w:w="425" w:type="dxa"/>
            <w:shd w:val="solid" w:color="FFFFFF" w:fill="auto"/>
          </w:tcPr>
          <w:p w14:paraId="1450D66F" w14:textId="06CA3941" w:rsidR="001C7C66" w:rsidRPr="00873B6C" w:rsidRDefault="001C7C66" w:rsidP="009D14FB">
            <w:pPr>
              <w:pStyle w:val="TAL"/>
              <w:rPr>
                <w:sz w:val="16"/>
                <w:szCs w:val="16"/>
              </w:rPr>
            </w:pPr>
            <w:r w:rsidRPr="00873B6C">
              <w:rPr>
                <w:sz w:val="16"/>
                <w:szCs w:val="16"/>
              </w:rPr>
              <w:t>1</w:t>
            </w:r>
          </w:p>
        </w:tc>
        <w:tc>
          <w:tcPr>
            <w:tcW w:w="425" w:type="dxa"/>
            <w:shd w:val="solid" w:color="FFFFFF" w:fill="auto"/>
          </w:tcPr>
          <w:p w14:paraId="7C3F25A1" w14:textId="6EEA5140" w:rsidR="001C7C66" w:rsidRPr="00873B6C" w:rsidRDefault="001C7C66" w:rsidP="009D14FB">
            <w:pPr>
              <w:pStyle w:val="TAL"/>
              <w:rPr>
                <w:sz w:val="16"/>
                <w:szCs w:val="16"/>
              </w:rPr>
            </w:pPr>
            <w:r w:rsidRPr="00873B6C">
              <w:rPr>
                <w:sz w:val="16"/>
                <w:szCs w:val="16"/>
              </w:rPr>
              <w:t>C</w:t>
            </w:r>
          </w:p>
        </w:tc>
        <w:tc>
          <w:tcPr>
            <w:tcW w:w="4820" w:type="dxa"/>
            <w:shd w:val="solid" w:color="FFFFFF" w:fill="auto"/>
          </w:tcPr>
          <w:p w14:paraId="1D93925E" w14:textId="4BBDD357" w:rsidR="001C7C66" w:rsidRPr="00873B6C" w:rsidRDefault="001C7C66" w:rsidP="009D14FB">
            <w:pPr>
              <w:pStyle w:val="TAL"/>
              <w:rPr>
                <w:sz w:val="16"/>
                <w:szCs w:val="16"/>
              </w:rPr>
            </w:pPr>
            <w:r w:rsidRPr="00873B6C">
              <w:rPr>
                <w:sz w:val="16"/>
                <w:szCs w:val="16"/>
              </w:rPr>
              <w:t xml:space="preserve">Identification and mobility restrictions for satellite access </w:t>
            </w:r>
          </w:p>
        </w:tc>
        <w:tc>
          <w:tcPr>
            <w:tcW w:w="708" w:type="dxa"/>
            <w:shd w:val="solid" w:color="FFFFFF" w:fill="auto"/>
          </w:tcPr>
          <w:p w14:paraId="4162E3CF" w14:textId="70C2C061" w:rsidR="001C7C66" w:rsidRPr="00873B6C" w:rsidRDefault="001C7C66" w:rsidP="009D14FB">
            <w:pPr>
              <w:pStyle w:val="TAC"/>
              <w:rPr>
                <w:b/>
                <w:bCs/>
                <w:sz w:val="16"/>
                <w:szCs w:val="16"/>
              </w:rPr>
            </w:pPr>
            <w:r w:rsidRPr="00873B6C">
              <w:rPr>
                <w:b/>
                <w:bCs/>
                <w:sz w:val="16"/>
                <w:szCs w:val="16"/>
              </w:rPr>
              <w:t>17.0.0</w:t>
            </w:r>
          </w:p>
        </w:tc>
      </w:tr>
      <w:tr w:rsidR="001C7C66" w:rsidRPr="00873B6C" w14:paraId="1AD15A58" w14:textId="77777777" w:rsidTr="009D14FB">
        <w:tc>
          <w:tcPr>
            <w:tcW w:w="800" w:type="dxa"/>
            <w:shd w:val="solid" w:color="FFFFFF" w:fill="auto"/>
          </w:tcPr>
          <w:p w14:paraId="48ABA974" w14:textId="6C83A0D5" w:rsidR="001C7C66" w:rsidRPr="00873B6C" w:rsidRDefault="001C7C66" w:rsidP="009D14FB">
            <w:pPr>
              <w:pStyle w:val="TAC"/>
              <w:rPr>
                <w:sz w:val="16"/>
                <w:szCs w:val="16"/>
              </w:rPr>
            </w:pPr>
            <w:r w:rsidRPr="00873B6C">
              <w:rPr>
                <w:sz w:val="16"/>
                <w:szCs w:val="16"/>
              </w:rPr>
              <w:lastRenderedPageBreak/>
              <w:t>2021-03</w:t>
            </w:r>
          </w:p>
        </w:tc>
        <w:tc>
          <w:tcPr>
            <w:tcW w:w="800" w:type="dxa"/>
            <w:shd w:val="solid" w:color="FFFFFF" w:fill="auto"/>
          </w:tcPr>
          <w:p w14:paraId="7C908FE5" w14:textId="10BDF46E" w:rsidR="001C7C66" w:rsidRPr="00873B6C" w:rsidRDefault="001C7C66" w:rsidP="009D14FB">
            <w:pPr>
              <w:pStyle w:val="TAL"/>
              <w:rPr>
                <w:sz w:val="16"/>
                <w:szCs w:val="16"/>
              </w:rPr>
            </w:pPr>
            <w:r w:rsidRPr="00873B6C">
              <w:rPr>
                <w:sz w:val="16"/>
                <w:szCs w:val="16"/>
              </w:rPr>
              <w:t>SP#91E</w:t>
            </w:r>
          </w:p>
        </w:tc>
        <w:tc>
          <w:tcPr>
            <w:tcW w:w="1094" w:type="dxa"/>
            <w:shd w:val="solid" w:color="FFFFFF" w:fill="auto"/>
          </w:tcPr>
          <w:p w14:paraId="50ED2C57" w14:textId="7C57A3BB" w:rsidR="001C7C66" w:rsidRPr="00873B6C" w:rsidRDefault="001C7C66" w:rsidP="009D14FB">
            <w:pPr>
              <w:pStyle w:val="TAC"/>
              <w:rPr>
                <w:sz w:val="16"/>
                <w:szCs w:val="16"/>
              </w:rPr>
            </w:pPr>
            <w:r w:rsidRPr="00873B6C">
              <w:rPr>
                <w:sz w:val="16"/>
                <w:szCs w:val="16"/>
              </w:rPr>
              <w:t>SP-210084</w:t>
            </w:r>
          </w:p>
        </w:tc>
        <w:tc>
          <w:tcPr>
            <w:tcW w:w="567" w:type="dxa"/>
            <w:shd w:val="solid" w:color="FFFFFF" w:fill="auto"/>
          </w:tcPr>
          <w:p w14:paraId="35CAF207" w14:textId="62DAC291" w:rsidR="001C7C66" w:rsidRPr="00873B6C" w:rsidRDefault="001C7C66" w:rsidP="009D14FB">
            <w:pPr>
              <w:pStyle w:val="TAL"/>
              <w:rPr>
                <w:sz w:val="16"/>
                <w:szCs w:val="16"/>
              </w:rPr>
            </w:pPr>
            <w:r w:rsidRPr="00873B6C">
              <w:rPr>
                <w:sz w:val="16"/>
                <w:szCs w:val="16"/>
              </w:rPr>
              <w:t>2542</w:t>
            </w:r>
          </w:p>
        </w:tc>
        <w:tc>
          <w:tcPr>
            <w:tcW w:w="425" w:type="dxa"/>
            <w:shd w:val="solid" w:color="FFFFFF" w:fill="auto"/>
          </w:tcPr>
          <w:p w14:paraId="45B3CA03" w14:textId="79AF8111" w:rsidR="001C7C66" w:rsidRPr="00873B6C" w:rsidRDefault="001C7C66" w:rsidP="009D14FB">
            <w:pPr>
              <w:pStyle w:val="TAL"/>
              <w:rPr>
                <w:sz w:val="16"/>
                <w:szCs w:val="16"/>
              </w:rPr>
            </w:pPr>
            <w:r w:rsidRPr="00873B6C">
              <w:rPr>
                <w:sz w:val="16"/>
                <w:szCs w:val="16"/>
              </w:rPr>
              <w:t>1</w:t>
            </w:r>
          </w:p>
        </w:tc>
        <w:tc>
          <w:tcPr>
            <w:tcW w:w="425" w:type="dxa"/>
            <w:shd w:val="solid" w:color="FFFFFF" w:fill="auto"/>
          </w:tcPr>
          <w:p w14:paraId="1D59BC45" w14:textId="16AA2CFE" w:rsidR="001C7C66" w:rsidRPr="00873B6C" w:rsidRDefault="001C7C66" w:rsidP="009D14FB">
            <w:pPr>
              <w:pStyle w:val="TAL"/>
              <w:rPr>
                <w:sz w:val="16"/>
                <w:szCs w:val="16"/>
              </w:rPr>
            </w:pPr>
            <w:r w:rsidRPr="00873B6C">
              <w:rPr>
                <w:sz w:val="16"/>
                <w:szCs w:val="16"/>
              </w:rPr>
              <w:t>B</w:t>
            </w:r>
          </w:p>
        </w:tc>
        <w:tc>
          <w:tcPr>
            <w:tcW w:w="4820" w:type="dxa"/>
            <w:shd w:val="solid" w:color="FFFFFF" w:fill="auto"/>
          </w:tcPr>
          <w:p w14:paraId="16985B1E" w14:textId="4AD275D3" w:rsidR="001C7C66" w:rsidRPr="00873B6C" w:rsidRDefault="001C7C66" w:rsidP="009D14FB">
            <w:pPr>
              <w:pStyle w:val="TAL"/>
              <w:rPr>
                <w:sz w:val="16"/>
                <w:szCs w:val="16"/>
              </w:rPr>
            </w:pPr>
            <w:r w:rsidRPr="00873B6C">
              <w:rPr>
                <w:sz w:val="16"/>
                <w:szCs w:val="16"/>
              </w:rPr>
              <w:t>KI#2-1: Capturing the FS_IIoT conclusions on static filtering entries</w:t>
            </w:r>
          </w:p>
        </w:tc>
        <w:tc>
          <w:tcPr>
            <w:tcW w:w="708" w:type="dxa"/>
            <w:shd w:val="solid" w:color="FFFFFF" w:fill="auto"/>
          </w:tcPr>
          <w:p w14:paraId="6DEC3C47" w14:textId="4BE70698" w:rsidR="001C7C66" w:rsidRPr="00873B6C" w:rsidRDefault="001C7C66" w:rsidP="009D14FB">
            <w:pPr>
              <w:pStyle w:val="TAC"/>
              <w:rPr>
                <w:b/>
                <w:bCs/>
                <w:sz w:val="16"/>
                <w:szCs w:val="16"/>
              </w:rPr>
            </w:pPr>
            <w:r w:rsidRPr="00873B6C">
              <w:rPr>
                <w:b/>
                <w:bCs/>
                <w:sz w:val="16"/>
                <w:szCs w:val="16"/>
              </w:rPr>
              <w:t>17.0.0</w:t>
            </w:r>
          </w:p>
        </w:tc>
      </w:tr>
      <w:tr w:rsidR="00BD3ADB" w:rsidRPr="00873B6C" w14:paraId="7DF8D629" w14:textId="77777777" w:rsidTr="009D14FB">
        <w:tc>
          <w:tcPr>
            <w:tcW w:w="800" w:type="dxa"/>
            <w:shd w:val="solid" w:color="FFFFFF" w:fill="auto"/>
          </w:tcPr>
          <w:p w14:paraId="407D6F42" w14:textId="4E3CCFC4" w:rsidR="00BD3ADB" w:rsidRPr="00873B6C" w:rsidRDefault="00BD3ADB" w:rsidP="009D14FB">
            <w:pPr>
              <w:pStyle w:val="TAC"/>
              <w:rPr>
                <w:sz w:val="16"/>
                <w:szCs w:val="16"/>
              </w:rPr>
            </w:pPr>
            <w:r w:rsidRPr="00873B6C">
              <w:rPr>
                <w:sz w:val="16"/>
                <w:szCs w:val="16"/>
              </w:rPr>
              <w:t>2021-03</w:t>
            </w:r>
          </w:p>
        </w:tc>
        <w:tc>
          <w:tcPr>
            <w:tcW w:w="800" w:type="dxa"/>
            <w:shd w:val="solid" w:color="FFFFFF" w:fill="auto"/>
          </w:tcPr>
          <w:p w14:paraId="2722067A" w14:textId="0DFB6933" w:rsidR="00BD3ADB" w:rsidRPr="00873B6C" w:rsidRDefault="00BD3ADB" w:rsidP="009D14FB">
            <w:pPr>
              <w:pStyle w:val="TAL"/>
              <w:rPr>
                <w:sz w:val="16"/>
                <w:szCs w:val="16"/>
              </w:rPr>
            </w:pPr>
            <w:r w:rsidRPr="00873B6C">
              <w:rPr>
                <w:sz w:val="16"/>
                <w:szCs w:val="16"/>
              </w:rPr>
              <w:t>SP#91E</w:t>
            </w:r>
          </w:p>
        </w:tc>
        <w:tc>
          <w:tcPr>
            <w:tcW w:w="1094" w:type="dxa"/>
            <w:shd w:val="solid" w:color="FFFFFF" w:fill="auto"/>
          </w:tcPr>
          <w:p w14:paraId="5F5F4571" w14:textId="4908AA37" w:rsidR="00BD3ADB" w:rsidRPr="00873B6C" w:rsidRDefault="00BD3ADB" w:rsidP="009D14FB">
            <w:pPr>
              <w:pStyle w:val="TAC"/>
              <w:rPr>
                <w:sz w:val="16"/>
                <w:szCs w:val="16"/>
              </w:rPr>
            </w:pPr>
            <w:r w:rsidRPr="00873B6C">
              <w:rPr>
                <w:sz w:val="16"/>
                <w:szCs w:val="16"/>
              </w:rPr>
              <w:t>SP-210088</w:t>
            </w:r>
          </w:p>
        </w:tc>
        <w:tc>
          <w:tcPr>
            <w:tcW w:w="567" w:type="dxa"/>
            <w:shd w:val="solid" w:color="FFFFFF" w:fill="auto"/>
          </w:tcPr>
          <w:p w14:paraId="64F7F90F" w14:textId="32AFB341" w:rsidR="00BD3ADB" w:rsidRPr="00873B6C" w:rsidRDefault="00BD3ADB" w:rsidP="009D14FB">
            <w:pPr>
              <w:pStyle w:val="TAL"/>
              <w:rPr>
                <w:sz w:val="16"/>
                <w:szCs w:val="16"/>
              </w:rPr>
            </w:pPr>
            <w:r w:rsidRPr="00873B6C">
              <w:rPr>
                <w:sz w:val="16"/>
                <w:szCs w:val="16"/>
              </w:rPr>
              <w:t>2544</w:t>
            </w:r>
          </w:p>
        </w:tc>
        <w:tc>
          <w:tcPr>
            <w:tcW w:w="425" w:type="dxa"/>
            <w:shd w:val="solid" w:color="FFFFFF" w:fill="auto"/>
          </w:tcPr>
          <w:p w14:paraId="181A9BB4" w14:textId="5C3F40AA" w:rsidR="00BD3ADB" w:rsidRPr="00873B6C" w:rsidRDefault="00BD3ADB" w:rsidP="009D14FB">
            <w:pPr>
              <w:pStyle w:val="TAL"/>
              <w:rPr>
                <w:sz w:val="16"/>
                <w:szCs w:val="16"/>
              </w:rPr>
            </w:pPr>
            <w:r w:rsidRPr="00873B6C">
              <w:rPr>
                <w:sz w:val="16"/>
                <w:szCs w:val="16"/>
              </w:rPr>
              <w:t>1</w:t>
            </w:r>
          </w:p>
        </w:tc>
        <w:tc>
          <w:tcPr>
            <w:tcW w:w="425" w:type="dxa"/>
            <w:shd w:val="solid" w:color="FFFFFF" w:fill="auto"/>
          </w:tcPr>
          <w:p w14:paraId="4FD40768" w14:textId="0C36591F" w:rsidR="00BD3ADB" w:rsidRPr="00873B6C" w:rsidRDefault="00BD3ADB" w:rsidP="009D14FB">
            <w:pPr>
              <w:pStyle w:val="TAL"/>
              <w:rPr>
                <w:sz w:val="16"/>
                <w:szCs w:val="16"/>
              </w:rPr>
            </w:pPr>
            <w:r w:rsidRPr="00873B6C">
              <w:rPr>
                <w:sz w:val="16"/>
                <w:szCs w:val="16"/>
              </w:rPr>
              <w:t>C</w:t>
            </w:r>
          </w:p>
        </w:tc>
        <w:tc>
          <w:tcPr>
            <w:tcW w:w="4820" w:type="dxa"/>
            <w:shd w:val="solid" w:color="FFFFFF" w:fill="auto"/>
          </w:tcPr>
          <w:p w14:paraId="142CF168" w14:textId="23C407DC" w:rsidR="00BD3ADB" w:rsidRPr="00873B6C" w:rsidRDefault="00BD3ADB" w:rsidP="009D14FB">
            <w:pPr>
              <w:pStyle w:val="TAL"/>
              <w:rPr>
                <w:sz w:val="16"/>
                <w:szCs w:val="16"/>
              </w:rPr>
            </w:pPr>
            <w:r w:rsidRPr="00873B6C">
              <w:rPr>
                <w:sz w:val="16"/>
                <w:szCs w:val="16"/>
              </w:rPr>
              <w:t>IP index from UDM</w:t>
            </w:r>
          </w:p>
        </w:tc>
        <w:tc>
          <w:tcPr>
            <w:tcW w:w="708" w:type="dxa"/>
            <w:shd w:val="solid" w:color="FFFFFF" w:fill="auto"/>
          </w:tcPr>
          <w:p w14:paraId="1B35E758" w14:textId="6F7AECF4" w:rsidR="00BD3ADB" w:rsidRPr="00873B6C" w:rsidRDefault="00BD3ADB" w:rsidP="009D14FB">
            <w:pPr>
              <w:pStyle w:val="TAC"/>
              <w:rPr>
                <w:b/>
                <w:bCs/>
                <w:sz w:val="16"/>
                <w:szCs w:val="16"/>
              </w:rPr>
            </w:pPr>
            <w:r w:rsidRPr="00873B6C">
              <w:rPr>
                <w:b/>
                <w:bCs/>
                <w:sz w:val="16"/>
                <w:szCs w:val="16"/>
              </w:rPr>
              <w:t>17.0.0</w:t>
            </w:r>
          </w:p>
        </w:tc>
      </w:tr>
      <w:tr w:rsidR="00BD3ADB" w:rsidRPr="00873B6C" w14:paraId="79069EF2" w14:textId="77777777" w:rsidTr="009D14FB">
        <w:tc>
          <w:tcPr>
            <w:tcW w:w="800" w:type="dxa"/>
            <w:shd w:val="solid" w:color="FFFFFF" w:fill="auto"/>
          </w:tcPr>
          <w:p w14:paraId="5AA4887B" w14:textId="0E0CA71F" w:rsidR="00BD3ADB" w:rsidRPr="00873B6C" w:rsidRDefault="00BD3ADB" w:rsidP="009D14FB">
            <w:pPr>
              <w:pStyle w:val="TAC"/>
              <w:rPr>
                <w:sz w:val="16"/>
                <w:szCs w:val="16"/>
              </w:rPr>
            </w:pPr>
            <w:r w:rsidRPr="00873B6C">
              <w:rPr>
                <w:sz w:val="16"/>
                <w:szCs w:val="16"/>
              </w:rPr>
              <w:t>2021-03</w:t>
            </w:r>
          </w:p>
        </w:tc>
        <w:tc>
          <w:tcPr>
            <w:tcW w:w="800" w:type="dxa"/>
            <w:shd w:val="solid" w:color="FFFFFF" w:fill="auto"/>
          </w:tcPr>
          <w:p w14:paraId="7514C7AC" w14:textId="167417D2" w:rsidR="00BD3ADB" w:rsidRPr="00873B6C" w:rsidRDefault="00BD3ADB" w:rsidP="009D14FB">
            <w:pPr>
              <w:pStyle w:val="TAL"/>
              <w:rPr>
                <w:sz w:val="16"/>
                <w:szCs w:val="16"/>
              </w:rPr>
            </w:pPr>
            <w:r w:rsidRPr="00873B6C">
              <w:rPr>
                <w:sz w:val="16"/>
                <w:szCs w:val="16"/>
              </w:rPr>
              <w:t>SP#91E</w:t>
            </w:r>
          </w:p>
        </w:tc>
        <w:tc>
          <w:tcPr>
            <w:tcW w:w="1094" w:type="dxa"/>
            <w:shd w:val="solid" w:color="FFFFFF" w:fill="auto"/>
          </w:tcPr>
          <w:p w14:paraId="393D0E64" w14:textId="73F9F3D9" w:rsidR="00BD3ADB" w:rsidRPr="00873B6C" w:rsidRDefault="00BD3ADB" w:rsidP="009D14FB">
            <w:pPr>
              <w:pStyle w:val="TAC"/>
              <w:rPr>
                <w:sz w:val="16"/>
                <w:szCs w:val="16"/>
              </w:rPr>
            </w:pPr>
            <w:r w:rsidRPr="00873B6C">
              <w:rPr>
                <w:sz w:val="16"/>
                <w:szCs w:val="16"/>
              </w:rPr>
              <w:t>SP-210084</w:t>
            </w:r>
          </w:p>
        </w:tc>
        <w:tc>
          <w:tcPr>
            <w:tcW w:w="567" w:type="dxa"/>
            <w:shd w:val="solid" w:color="FFFFFF" w:fill="auto"/>
          </w:tcPr>
          <w:p w14:paraId="765DE45F" w14:textId="3D25ADAC" w:rsidR="00BD3ADB" w:rsidRPr="00873B6C" w:rsidRDefault="00BD3ADB" w:rsidP="009D14FB">
            <w:pPr>
              <w:pStyle w:val="TAL"/>
              <w:rPr>
                <w:sz w:val="16"/>
                <w:szCs w:val="16"/>
              </w:rPr>
            </w:pPr>
            <w:r w:rsidRPr="00873B6C">
              <w:rPr>
                <w:sz w:val="16"/>
                <w:szCs w:val="16"/>
              </w:rPr>
              <w:t>2549</w:t>
            </w:r>
          </w:p>
        </w:tc>
        <w:tc>
          <w:tcPr>
            <w:tcW w:w="425" w:type="dxa"/>
            <w:shd w:val="solid" w:color="FFFFFF" w:fill="auto"/>
          </w:tcPr>
          <w:p w14:paraId="0B0F0CBF" w14:textId="180A2F87" w:rsidR="00BD3ADB" w:rsidRPr="00873B6C" w:rsidRDefault="00BD3ADB" w:rsidP="009D14FB">
            <w:pPr>
              <w:pStyle w:val="TAL"/>
              <w:rPr>
                <w:sz w:val="16"/>
                <w:szCs w:val="16"/>
              </w:rPr>
            </w:pPr>
            <w:r w:rsidRPr="00873B6C">
              <w:rPr>
                <w:sz w:val="16"/>
                <w:szCs w:val="16"/>
              </w:rPr>
              <w:t>1</w:t>
            </w:r>
          </w:p>
        </w:tc>
        <w:tc>
          <w:tcPr>
            <w:tcW w:w="425" w:type="dxa"/>
            <w:shd w:val="solid" w:color="FFFFFF" w:fill="auto"/>
          </w:tcPr>
          <w:p w14:paraId="5B68B528" w14:textId="52059B7E" w:rsidR="00BD3ADB" w:rsidRPr="00873B6C" w:rsidRDefault="00BD3ADB" w:rsidP="009D14FB">
            <w:pPr>
              <w:pStyle w:val="TAL"/>
              <w:rPr>
                <w:sz w:val="16"/>
                <w:szCs w:val="16"/>
              </w:rPr>
            </w:pPr>
            <w:r w:rsidRPr="00873B6C">
              <w:rPr>
                <w:sz w:val="16"/>
                <w:szCs w:val="16"/>
              </w:rPr>
              <w:t>C</w:t>
            </w:r>
          </w:p>
        </w:tc>
        <w:tc>
          <w:tcPr>
            <w:tcW w:w="4820" w:type="dxa"/>
            <w:shd w:val="solid" w:color="FFFFFF" w:fill="auto"/>
          </w:tcPr>
          <w:p w14:paraId="5AFA9B18" w14:textId="5B374FB7" w:rsidR="00BD3ADB" w:rsidRPr="00873B6C" w:rsidRDefault="00BD3ADB" w:rsidP="009D14FB">
            <w:pPr>
              <w:pStyle w:val="TAL"/>
              <w:rPr>
                <w:sz w:val="16"/>
                <w:szCs w:val="16"/>
              </w:rPr>
            </w:pPr>
            <w:r w:rsidRPr="00873B6C">
              <w:rPr>
                <w:sz w:val="16"/>
                <w:szCs w:val="16"/>
              </w:rPr>
              <w:t>KI#1-4: Control of PTP functionality in DS-TT and NW-TT</w:t>
            </w:r>
          </w:p>
        </w:tc>
        <w:tc>
          <w:tcPr>
            <w:tcW w:w="708" w:type="dxa"/>
            <w:shd w:val="solid" w:color="FFFFFF" w:fill="auto"/>
          </w:tcPr>
          <w:p w14:paraId="5B1CC035" w14:textId="1A4CABCC" w:rsidR="00BD3ADB" w:rsidRPr="00873B6C" w:rsidRDefault="00BD3ADB" w:rsidP="009D14FB">
            <w:pPr>
              <w:pStyle w:val="TAC"/>
              <w:rPr>
                <w:b/>
                <w:bCs/>
                <w:sz w:val="16"/>
                <w:szCs w:val="16"/>
              </w:rPr>
            </w:pPr>
            <w:r w:rsidRPr="00873B6C">
              <w:rPr>
                <w:b/>
                <w:bCs/>
                <w:sz w:val="16"/>
                <w:szCs w:val="16"/>
              </w:rPr>
              <w:t>17.0.0</w:t>
            </w:r>
          </w:p>
        </w:tc>
      </w:tr>
      <w:tr w:rsidR="00B00E92" w:rsidRPr="00873B6C" w14:paraId="528294CF" w14:textId="77777777" w:rsidTr="009D14FB">
        <w:tc>
          <w:tcPr>
            <w:tcW w:w="800" w:type="dxa"/>
            <w:shd w:val="solid" w:color="FFFFFF" w:fill="auto"/>
          </w:tcPr>
          <w:p w14:paraId="08AEC97B" w14:textId="7693BAA3" w:rsidR="00B00E92" w:rsidRPr="00873B6C" w:rsidRDefault="00B00E92" w:rsidP="009D14FB">
            <w:pPr>
              <w:pStyle w:val="TAC"/>
              <w:rPr>
                <w:sz w:val="16"/>
                <w:szCs w:val="16"/>
              </w:rPr>
            </w:pPr>
            <w:r w:rsidRPr="00873B6C">
              <w:rPr>
                <w:sz w:val="16"/>
                <w:szCs w:val="16"/>
              </w:rPr>
              <w:t>2021-03</w:t>
            </w:r>
          </w:p>
        </w:tc>
        <w:tc>
          <w:tcPr>
            <w:tcW w:w="800" w:type="dxa"/>
            <w:shd w:val="solid" w:color="FFFFFF" w:fill="auto"/>
          </w:tcPr>
          <w:p w14:paraId="34742B0E" w14:textId="1C6BFF92" w:rsidR="00B00E92" w:rsidRPr="00873B6C" w:rsidRDefault="00B00E92" w:rsidP="009D14FB">
            <w:pPr>
              <w:pStyle w:val="TAL"/>
              <w:rPr>
                <w:sz w:val="16"/>
                <w:szCs w:val="16"/>
              </w:rPr>
            </w:pPr>
            <w:r w:rsidRPr="00873B6C">
              <w:rPr>
                <w:sz w:val="16"/>
                <w:szCs w:val="16"/>
              </w:rPr>
              <w:t>SP#91E</w:t>
            </w:r>
          </w:p>
        </w:tc>
        <w:tc>
          <w:tcPr>
            <w:tcW w:w="1094" w:type="dxa"/>
            <w:shd w:val="solid" w:color="FFFFFF" w:fill="auto"/>
          </w:tcPr>
          <w:p w14:paraId="67A49AD7" w14:textId="05418A45" w:rsidR="00B00E92" w:rsidRPr="00873B6C" w:rsidRDefault="00B00E92" w:rsidP="009D14FB">
            <w:pPr>
              <w:pStyle w:val="TAC"/>
              <w:rPr>
                <w:sz w:val="16"/>
                <w:szCs w:val="16"/>
              </w:rPr>
            </w:pPr>
            <w:r w:rsidRPr="00873B6C">
              <w:rPr>
                <w:sz w:val="16"/>
                <w:szCs w:val="16"/>
              </w:rPr>
              <w:t>SP-210074</w:t>
            </w:r>
          </w:p>
        </w:tc>
        <w:tc>
          <w:tcPr>
            <w:tcW w:w="567" w:type="dxa"/>
            <w:shd w:val="solid" w:color="FFFFFF" w:fill="auto"/>
          </w:tcPr>
          <w:p w14:paraId="30D51362" w14:textId="6C52402E" w:rsidR="00B00E92" w:rsidRPr="00873B6C" w:rsidRDefault="00B00E92" w:rsidP="009D14FB">
            <w:pPr>
              <w:pStyle w:val="TAL"/>
              <w:rPr>
                <w:sz w:val="16"/>
                <w:szCs w:val="16"/>
              </w:rPr>
            </w:pPr>
            <w:r w:rsidRPr="00873B6C">
              <w:rPr>
                <w:sz w:val="16"/>
                <w:szCs w:val="16"/>
              </w:rPr>
              <w:t>2550</w:t>
            </w:r>
          </w:p>
        </w:tc>
        <w:tc>
          <w:tcPr>
            <w:tcW w:w="425" w:type="dxa"/>
            <w:shd w:val="solid" w:color="FFFFFF" w:fill="auto"/>
          </w:tcPr>
          <w:p w14:paraId="795551F1" w14:textId="6B6F12D1" w:rsidR="00B00E92" w:rsidRPr="00873B6C" w:rsidRDefault="00B00E92" w:rsidP="009D14FB">
            <w:pPr>
              <w:pStyle w:val="TAL"/>
              <w:rPr>
                <w:sz w:val="16"/>
                <w:szCs w:val="16"/>
              </w:rPr>
            </w:pPr>
            <w:r w:rsidRPr="00873B6C">
              <w:rPr>
                <w:sz w:val="16"/>
                <w:szCs w:val="16"/>
              </w:rPr>
              <w:t>1</w:t>
            </w:r>
          </w:p>
        </w:tc>
        <w:tc>
          <w:tcPr>
            <w:tcW w:w="425" w:type="dxa"/>
            <w:shd w:val="solid" w:color="FFFFFF" w:fill="auto"/>
          </w:tcPr>
          <w:p w14:paraId="5935855B" w14:textId="56F64E63" w:rsidR="00B00E92" w:rsidRPr="00873B6C" w:rsidRDefault="00B00E92" w:rsidP="009D14FB">
            <w:pPr>
              <w:pStyle w:val="TAL"/>
              <w:rPr>
                <w:sz w:val="16"/>
                <w:szCs w:val="16"/>
              </w:rPr>
            </w:pPr>
            <w:r w:rsidRPr="00873B6C">
              <w:rPr>
                <w:sz w:val="16"/>
                <w:szCs w:val="16"/>
              </w:rPr>
              <w:t>C</w:t>
            </w:r>
          </w:p>
        </w:tc>
        <w:tc>
          <w:tcPr>
            <w:tcW w:w="4820" w:type="dxa"/>
            <w:shd w:val="solid" w:color="FFFFFF" w:fill="auto"/>
          </w:tcPr>
          <w:p w14:paraId="7549E92B" w14:textId="62279641" w:rsidR="00B00E92" w:rsidRPr="00873B6C" w:rsidRDefault="00B00E92" w:rsidP="009D14FB">
            <w:pPr>
              <w:pStyle w:val="TAL"/>
              <w:rPr>
                <w:sz w:val="16"/>
                <w:szCs w:val="16"/>
              </w:rPr>
            </w:pPr>
            <w:r w:rsidRPr="00873B6C">
              <w:rPr>
                <w:sz w:val="16"/>
                <w:szCs w:val="16"/>
              </w:rPr>
              <w:t>SNPN selection for access to SNPNs using credentials from an entity separate from the SNPN</w:t>
            </w:r>
          </w:p>
        </w:tc>
        <w:tc>
          <w:tcPr>
            <w:tcW w:w="708" w:type="dxa"/>
            <w:shd w:val="solid" w:color="FFFFFF" w:fill="auto"/>
          </w:tcPr>
          <w:p w14:paraId="2F831327" w14:textId="5A115C3E" w:rsidR="00B00E92" w:rsidRPr="00873B6C" w:rsidRDefault="00B00E92" w:rsidP="009D14FB">
            <w:pPr>
              <w:pStyle w:val="TAC"/>
              <w:rPr>
                <w:b/>
                <w:bCs/>
                <w:sz w:val="16"/>
                <w:szCs w:val="16"/>
              </w:rPr>
            </w:pPr>
            <w:r w:rsidRPr="00873B6C">
              <w:rPr>
                <w:b/>
                <w:bCs/>
                <w:sz w:val="16"/>
                <w:szCs w:val="16"/>
              </w:rPr>
              <w:t>17.0.0</w:t>
            </w:r>
          </w:p>
        </w:tc>
      </w:tr>
      <w:tr w:rsidR="001E021F" w:rsidRPr="00873B6C" w14:paraId="0320332A" w14:textId="77777777" w:rsidTr="009D14FB">
        <w:tc>
          <w:tcPr>
            <w:tcW w:w="800" w:type="dxa"/>
            <w:shd w:val="solid" w:color="FFFFFF" w:fill="auto"/>
          </w:tcPr>
          <w:p w14:paraId="31C90E16" w14:textId="0557727B" w:rsidR="001E021F" w:rsidRPr="00873B6C" w:rsidRDefault="001E021F" w:rsidP="009D14FB">
            <w:pPr>
              <w:pStyle w:val="TAC"/>
              <w:rPr>
                <w:sz w:val="16"/>
                <w:szCs w:val="16"/>
              </w:rPr>
            </w:pPr>
            <w:r w:rsidRPr="00873B6C">
              <w:rPr>
                <w:sz w:val="16"/>
                <w:szCs w:val="16"/>
              </w:rPr>
              <w:t>2021-03</w:t>
            </w:r>
          </w:p>
        </w:tc>
        <w:tc>
          <w:tcPr>
            <w:tcW w:w="800" w:type="dxa"/>
            <w:shd w:val="solid" w:color="FFFFFF" w:fill="auto"/>
          </w:tcPr>
          <w:p w14:paraId="092E413B" w14:textId="06CF9036" w:rsidR="001E021F" w:rsidRPr="00873B6C" w:rsidRDefault="001E021F" w:rsidP="009D14FB">
            <w:pPr>
              <w:pStyle w:val="TAL"/>
              <w:rPr>
                <w:sz w:val="16"/>
                <w:szCs w:val="16"/>
              </w:rPr>
            </w:pPr>
            <w:r w:rsidRPr="00873B6C">
              <w:rPr>
                <w:sz w:val="16"/>
                <w:szCs w:val="16"/>
              </w:rPr>
              <w:t>SP#91E</w:t>
            </w:r>
          </w:p>
        </w:tc>
        <w:tc>
          <w:tcPr>
            <w:tcW w:w="1094" w:type="dxa"/>
            <w:shd w:val="solid" w:color="FFFFFF" w:fill="auto"/>
          </w:tcPr>
          <w:p w14:paraId="4E8922BD" w14:textId="5056E9C4" w:rsidR="001E021F" w:rsidRPr="00873B6C" w:rsidRDefault="001E021F" w:rsidP="009D14FB">
            <w:pPr>
              <w:pStyle w:val="TAC"/>
              <w:rPr>
                <w:sz w:val="16"/>
                <w:szCs w:val="16"/>
              </w:rPr>
            </w:pPr>
            <w:r w:rsidRPr="00873B6C">
              <w:rPr>
                <w:sz w:val="16"/>
                <w:szCs w:val="16"/>
              </w:rPr>
              <w:t>SP-210074</w:t>
            </w:r>
          </w:p>
        </w:tc>
        <w:tc>
          <w:tcPr>
            <w:tcW w:w="567" w:type="dxa"/>
            <w:shd w:val="solid" w:color="FFFFFF" w:fill="auto"/>
          </w:tcPr>
          <w:p w14:paraId="7E06903D" w14:textId="09A029D5" w:rsidR="001E021F" w:rsidRPr="00873B6C" w:rsidRDefault="001E021F" w:rsidP="009D14FB">
            <w:pPr>
              <w:pStyle w:val="TAL"/>
              <w:rPr>
                <w:sz w:val="16"/>
                <w:szCs w:val="16"/>
              </w:rPr>
            </w:pPr>
            <w:r w:rsidRPr="00873B6C">
              <w:rPr>
                <w:sz w:val="16"/>
                <w:szCs w:val="16"/>
              </w:rPr>
              <w:t>2551</w:t>
            </w:r>
          </w:p>
        </w:tc>
        <w:tc>
          <w:tcPr>
            <w:tcW w:w="425" w:type="dxa"/>
            <w:shd w:val="solid" w:color="FFFFFF" w:fill="auto"/>
          </w:tcPr>
          <w:p w14:paraId="5CD85D5C" w14:textId="7CEDA4F6" w:rsidR="001E021F" w:rsidRPr="00873B6C" w:rsidRDefault="001E021F" w:rsidP="009D14FB">
            <w:pPr>
              <w:pStyle w:val="TAL"/>
              <w:rPr>
                <w:sz w:val="16"/>
                <w:szCs w:val="16"/>
              </w:rPr>
            </w:pPr>
            <w:r w:rsidRPr="00873B6C">
              <w:rPr>
                <w:sz w:val="16"/>
                <w:szCs w:val="16"/>
              </w:rPr>
              <w:t>1</w:t>
            </w:r>
          </w:p>
        </w:tc>
        <w:tc>
          <w:tcPr>
            <w:tcW w:w="425" w:type="dxa"/>
            <w:shd w:val="solid" w:color="FFFFFF" w:fill="auto"/>
          </w:tcPr>
          <w:p w14:paraId="73826D28" w14:textId="472AE633" w:rsidR="001E021F" w:rsidRPr="00873B6C" w:rsidRDefault="001E021F" w:rsidP="009D14FB">
            <w:pPr>
              <w:pStyle w:val="TAL"/>
              <w:rPr>
                <w:sz w:val="16"/>
                <w:szCs w:val="16"/>
              </w:rPr>
            </w:pPr>
            <w:r w:rsidRPr="00873B6C">
              <w:rPr>
                <w:sz w:val="16"/>
                <w:szCs w:val="16"/>
              </w:rPr>
              <w:t>D</w:t>
            </w:r>
          </w:p>
        </w:tc>
        <w:tc>
          <w:tcPr>
            <w:tcW w:w="4820" w:type="dxa"/>
            <w:shd w:val="solid" w:color="FFFFFF" w:fill="auto"/>
          </w:tcPr>
          <w:p w14:paraId="6DA29675" w14:textId="2086FD4D" w:rsidR="001E021F" w:rsidRPr="00873B6C" w:rsidRDefault="001E021F" w:rsidP="009D14FB">
            <w:pPr>
              <w:pStyle w:val="TAL"/>
              <w:rPr>
                <w:sz w:val="16"/>
                <w:szCs w:val="16"/>
              </w:rPr>
            </w:pPr>
            <w:r w:rsidRPr="00873B6C">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873B6C" w:rsidRDefault="001E021F" w:rsidP="009D14FB">
            <w:pPr>
              <w:pStyle w:val="TAC"/>
              <w:rPr>
                <w:b/>
                <w:bCs/>
                <w:sz w:val="16"/>
                <w:szCs w:val="16"/>
              </w:rPr>
            </w:pPr>
            <w:r w:rsidRPr="00873B6C">
              <w:rPr>
                <w:b/>
                <w:bCs/>
                <w:sz w:val="16"/>
                <w:szCs w:val="16"/>
              </w:rPr>
              <w:t>17.0.0</w:t>
            </w:r>
          </w:p>
        </w:tc>
      </w:tr>
      <w:tr w:rsidR="001E021F" w:rsidRPr="00873B6C" w14:paraId="4B7145B3" w14:textId="77777777" w:rsidTr="009D14FB">
        <w:tc>
          <w:tcPr>
            <w:tcW w:w="800" w:type="dxa"/>
            <w:shd w:val="solid" w:color="FFFFFF" w:fill="auto"/>
          </w:tcPr>
          <w:p w14:paraId="1F754DD4" w14:textId="538BCE80" w:rsidR="001E021F" w:rsidRPr="00873B6C" w:rsidRDefault="001E021F" w:rsidP="009D14FB">
            <w:pPr>
              <w:pStyle w:val="TAC"/>
              <w:rPr>
                <w:sz w:val="16"/>
                <w:szCs w:val="16"/>
              </w:rPr>
            </w:pPr>
            <w:r w:rsidRPr="00873B6C">
              <w:rPr>
                <w:sz w:val="16"/>
                <w:szCs w:val="16"/>
              </w:rPr>
              <w:t>2021-03</w:t>
            </w:r>
          </w:p>
        </w:tc>
        <w:tc>
          <w:tcPr>
            <w:tcW w:w="800" w:type="dxa"/>
            <w:shd w:val="solid" w:color="FFFFFF" w:fill="auto"/>
          </w:tcPr>
          <w:p w14:paraId="72377BE7" w14:textId="357DE29C" w:rsidR="001E021F" w:rsidRPr="00873B6C" w:rsidRDefault="001E021F" w:rsidP="009D14FB">
            <w:pPr>
              <w:pStyle w:val="TAL"/>
              <w:rPr>
                <w:sz w:val="16"/>
                <w:szCs w:val="16"/>
              </w:rPr>
            </w:pPr>
            <w:r w:rsidRPr="00873B6C">
              <w:rPr>
                <w:sz w:val="16"/>
                <w:szCs w:val="16"/>
              </w:rPr>
              <w:t>SP#91E</w:t>
            </w:r>
          </w:p>
        </w:tc>
        <w:tc>
          <w:tcPr>
            <w:tcW w:w="1094" w:type="dxa"/>
            <w:shd w:val="solid" w:color="FFFFFF" w:fill="auto"/>
          </w:tcPr>
          <w:p w14:paraId="55994E78" w14:textId="60222F22" w:rsidR="001E021F" w:rsidRPr="00873B6C" w:rsidRDefault="001E021F" w:rsidP="009D14FB">
            <w:pPr>
              <w:pStyle w:val="TAC"/>
              <w:rPr>
                <w:sz w:val="16"/>
                <w:szCs w:val="16"/>
              </w:rPr>
            </w:pPr>
            <w:r w:rsidRPr="00873B6C">
              <w:rPr>
                <w:sz w:val="16"/>
                <w:szCs w:val="16"/>
              </w:rPr>
              <w:t>SP-210088</w:t>
            </w:r>
          </w:p>
        </w:tc>
        <w:tc>
          <w:tcPr>
            <w:tcW w:w="567" w:type="dxa"/>
            <w:shd w:val="solid" w:color="FFFFFF" w:fill="auto"/>
          </w:tcPr>
          <w:p w14:paraId="75642DAD" w14:textId="65DDC428" w:rsidR="001E021F" w:rsidRPr="00873B6C" w:rsidRDefault="001E021F" w:rsidP="009D14FB">
            <w:pPr>
              <w:pStyle w:val="TAL"/>
              <w:rPr>
                <w:sz w:val="16"/>
                <w:szCs w:val="16"/>
              </w:rPr>
            </w:pPr>
            <w:r w:rsidRPr="00873B6C">
              <w:rPr>
                <w:sz w:val="16"/>
                <w:szCs w:val="16"/>
              </w:rPr>
              <w:t>2560</w:t>
            </w:r>
          </w:p>
        </w:tc>
        <w:tc>
          <w:tcPr>
            <w:tcW w:w="425" w:type="dxa"/>
            <w:shd w:val="solid" w:color="FFFFFF" w:fill="auto"/>
          </w:tcPr>
          <w:p w14:paraId="1F394F1E" w14:textId="32851441" w:rsidR="001E021F" w:rsidRPr="00873B6C" w:rsidRDefault="001E021F" w:rsidP="009D14FB">
            <w:pPr>
              <w:pStyle w:val="TAL"/>
              <w:rPr>
                <w:sz w:val="16"/>
                <w:szCs w:val="16"/>
              </w:rPr>
            </w:pPr>
            <w:r w:rsidRPr="00873B6C">
              <w:rPr>
                <w:sz w:val="16"/>
                <w:szCs w:val="16"/>
              </w:rPr>
              <w:t>1</w:t>
            </w:r>
          </w:p>
        </w:tc>
        <w:tc>
          <w:tcPr>
            <w:tcW w:w="425" w:type="dxa"/>
            <w:shd w:val="solid" w:color="FFFFFF" w:fill="auto"/>
          </w:tcPr>
          <w:p w14:paraId="749D02BE" w14:textId="241A5603" w:rsidR="001E021F" w:rsidRPr="00873B6C" w:rsidRDefault="001E021F" w:rsidP="009D14FB">
            <w:pPr>
              <w:pStyle w:val="TAL"/>
              <w:rPr>
                <w:sz w:val="16"/>
                <w:szCs w:val="16"/>
              </w:rPr>
            </w:pPr>
            <w:r w:rsidRPr="00873B6C">
              <w:rPr>
                <w:sz w:val="16"/>
                <w:szCs w:val="16"/>
              </w:rPr>
              <w:t>B</w:t>
            </w:r>
          </w:p>
        </w:tc>
        <w:tc>
          <w:tcPr>
            <w:tcW w:w="4820" w:type="dxa"/>
            <w:shd w:val="solid" w:color="FFFFFF" w:fill="auto"/>
          </w:tcPr>
          <w:p w14:paraId="467F32DA" w14:textId="58C128F0" w:rsidR="001E021F" w:rsidRPr="00873B6C" w:rsidRDefault="001E021F" w:rsidP="009D14FB">
            <w:pPr>
              <w:pStyle w:val="TAL"/>
              <w:rPr>
                <w:sz w:val="16"/>
                <w:szCs w:val="16"/>
              </w:rPr>
            </w:pPr>
            <w:r w:rsidRPr="00873B6C">
              <w:rPr>
                <w:sz w:val="16"/>
                <w:szCs w:val="16"/>
              </w:rPr>
              <w:t>5G system architecture updates to support Dynamically Changing Policies in the 5GC</w:t>
            </w:r>
          </w:p>
        </w:tc>
        <w:tc>
          <w:tcPr>
            <w:tcW w:w="708" w:type="dxa"/>
            <w:shd w:val="solid" w:color="FFFFFF" w:fill="auto"/>
          </w:tcPr>
          <w:p w14:paraId="18CEAA8B" w14:textId="27119537" w:rsidR="001E021F" w:rsidRPr="00873B6C" w:rsidRDefault="001E021F" w:rsidP="009D14FB">
            <w:pPr>
              <w:pStyle w:val="TAC"/>
              <w:rPr>
                <w:b/>
                <w:bCs/>
                <w:sz w:val="16"/>
                <w:szCs w:val="16"/>
              </w:rPr>
            </w:pPr>
            <w:r w:rsidRPr="00873B6C">
              <w:rPr>
                <w:b/>
                <w:bCs/>
                <w:sz w:val="16"/>
                <w:szCs w:val="16"/>
              </w:rPr>
              <w:t>17.0.0</w:t>
            </w:r>
          </w:p>
        </w:tc>
      </w:tr>
      <w:tr w:rsidR="00967FB9" w:rsidRPr="00873B6C" w14:paraId="1B9EC748" w14:textId="77777777" w:rsidTr="009D14FB">
        <w:tc>
          <w:tcPr>
            <w:tcW w:w="800" w:type="dxa"/>
            <w:shd w:val="solid" w:color="FFFFFF" w:fill="auto"/>
          </w:tcPr>
          <w:p w14:paraId="533A23D8" w14:textId="354FD5AC" w:rsidR="00967FB9" w:rsidRPr="00873B6C" w:rsidRDefault="00967FB9" w:rsidP="009D14FB">
            <w:pPr>
              <w:pStyle w:val="TAC"/>
              <w:rPr>
                <w:sz w:val="16"/>
                <w:szCs w:val="16"/>
              </w:rPr>
            </w:pPr>
            <w:r w:rsidRPr="00873B6C">
              <w:rPr>
                <w:sz w:val="16"/>
                <w:szCs w:val="16"/>
              </w:rPr>
              <w:t>2021-03</w:t>
            </w:r>
          </w:p>
        </w:tc>
        <w:tc>
          <w:tcPr>
            <w:tcW w:w="800" w:type="dxa"/>
            <w:shd w:val="solid" w:color="FFFFFF" w:fill="auto"/>
          </w:tcPr>
          <w:p w14:paraId="787E0555" w14:textId="52C4EA05" w:rsidR="00967FB9" w:rsidRPr="00873B6C" w:rsidRDefault="00967FB9" w:rsidP="009D14FB">
            <w:pPr>
              <w:pStyle w:val="TAL"/>
              <w:rPr>
                <w:sz w:val="16"/>
                <w:szCs w:val="16"/>
              </w:rPr>
            </w:pPr>
            <w:r w:rsidRPr="00873B6C">
              <w:rPr>
                <w:sz w:val="16"/>
                <w:szCs w:val="16"/>
              </w:rPr>
              <w:t>SP#91E</w:t>
            </w:r>
          </w:p>
        </w:tc>
        <w:tc>
          <w:tcPr>
            <w:tcW w:w="1094" w:type="dxa"/>
            <w:shd w:val="solid" w:color="FFFFFF" w:fill="auto"/>
          </w:tcPr>
          <w:p w14:paraId="159F955A" w14:textId="178F1E2E" w:rsidR="00967FB9" w:rsidRPr="00873B6C" w:rsidRDefault="00967FB9" w:rsidP="009D14FB">
            <w:pPr>
              <w:pStyle w:val="TAC"/>
              <w:rPr>
                <w:sz w:val="16"/>
                <w:szCs w:val="16"/>
              </w:rPr>
            </w:pPr>
            <w:r w:rsidRPr="00873B6C">
              <w:rPr>
                <w:sz w:val="16"/>
                <w:szCs w:val="16"/>
              </w:rPr>
              <w:t>SP-210088</w:t>
            </w:r>
          </w:p>
        </w:tc>
        <w:tc>
          <w:tcPr>
            <w:tcW w:w="567" w:type="dxa"/>
            <w:shd w:val="solid" w:color="FFFFFF" w:fill="auto"/>
          </w:tcPr>
          <w:p w14:paraId="263160C2" w14:textId="33F6D321" w:rsidR="00967FB9" w:rsidRPr="00873B6C" w:rsidRDefault="00967FB9" w:rsidP="009D14FB">
            <w:pPr>
              <w:pStyle w:val="TAL"/>
              <w:rPr>
                <w:sz w:val="16"/>
                <w:szCs w:val="16"/>
              </w:rPr>
            </w:pPr>
            <w:r w:rsidRPr="00873B6C">
              <w:rPr>
                <w:sz w:val="16"/>
                <w:szCs w:val="16"/>
              </w:rPr>
              <w:t>2561</w:t>
            </w:r>
          </w:p>
        </w:tc>
        <w:tc>
          <w:tcPr>
            <w:tcW w:w="425" w:type="dxa"/>
            <w:shd w:val="solid" w:color="FFFFFF" w:fill="auto"/>
          </w:tcPr>
          <w:p w14:paraId="4F59BBC1" w14:textId="08E4DA5B" w:rsidR="00967FB9" w:rsidRPr="00873B6C" w:rsidRDefault="00967FB9" w:rsidP="009D14FB">
            <w:pPr>
              <w:pStyle w:val="TAL"/>
              <w:rPr>
                <w:sz w:val="16"/>
                <w:szCs w:val="16"/>
              </w:rPr>
            </w:pPr>
            <w:r w:rsidRPr="00873B6C">
              <w:rPr>
                <w:sz w:val="16"/>
                <w:szCs w:val="16"/>
              </w:rPr>
              <w:t>-</w:t>
            </w:r>
          </w:p>
        </w:tc>
        <w:tc>
          <w:tcPr>
            <w:tcW w:w="425" w:type="dxa"/>
            <w:shd w:val="solid" w:color="FFFFFF" w:fill="auto"/>
          </w:tcPr>
          <w:p w14:paraId="4084CDAE" w14:textId="718273AC" w:rsidR="00967FB9" w:rsidRPr="00873B6C" w:rsidRDefault="00967FB9" w:rsidP="009D14FB">
            <w:pPr>
              <w:pStyle w:val="TAL"/>
              <w:rPr>
                <w:sz w:val="16"/>
                <w:szCs w:val="16"/>
              </w:rPr>
            </w:pPr>
            <w:r w:rsidRPr="00873B6C">
              <w:rPr>
                <w:sz w:val="16"/>
                <w:szCs w:val="16"/>
              </w:rPr>
              <w:t>B</w:t>
            </w:r>
          </w:p>
        </w:tc>
        <w:tc>
          <w:tcPr>
            <w:tcW w:w="4820" w:type="dxa"/>
            <w:shd w:val="solid" w:color="FFFFFF" w:fill="auto"/>
          </w:tcPr>
          <w:p w14:paraId="41D35BA3" w14:textId="75BAC1AF" w:rsidR="00967FB9" w:rsidRPr="00873B6C" w:rsidRDefault="00967FB9" w:rsidP="009D14FB">
            <w:pPr>
              <w:pStyle w:val="TAL"/>
              <w:rPr>
                <w:sz w:val="16"/>
                <w:szCs w:val="16"/>
              </w:rPr>
            </w:pPr>
            <w:r w:rsidRPr="00873B6C">
              <w:rPr>
                <w:sz w:val="16"/>
                <w:szCs w:val="16"/>
              </w:rPr>
              <w:t>DCAMP related update of BSF services (23.501)</w:t>
            </w:r>
          </w:p>
        </w:tc>
        <w:tc>
          <w:tcPr>
            <w:tcW w:w="708" w:type="dxa"/>
            <w:shd w:val="solid" w:color="FFFFFF" w:fill="auto"/>
          </w:tcPr>
          <w:p w14:paraId="646F445E" w14:textId="2FE5DAF1" w:rsidR="00967FB9" w:rsidRPr="00873B6C" w:rsidRDefault="00967FB9" w:rsidP="009D14FB">
            <w:pPr>
              <w:pStyle w:val="TAC"/>
              <w:rPr>
                <w:b/>
                <w:bCs/>
                <w:sz w:val="16"/>
                <w:szCs w:val="16"/>
              </w:rPr>
            </w:pPr>
            <w:r w:rsidRPr="00873B6C">
              <w:rPr>
                <w:b/>
                <w:bCs/>
                <w:sz w:val="16"/>
                <w:szCs w:val="16"/>
              </w:rPr>
              <w:t>17.0.0</w:t>
            </w:r>
          </w:p>
        </w:tc>
      </w:tr>
      <w:tr w:rsidR="00967FB9" w:rsidRPr="00873B6C" w14:paraId="65CD54F2" w14:textId="77777777" w:rsidTr="009D14FB">
        <w:tc>
          <w:tcPr>
            <w:tcW w:w="800" w:type="dxa"/>
            <w:shd w:val="solid" w:color="FFFFFF" w:fill="auto"/>
          </w:tcPr>
          <w:p w14:paraId="7211B631" w14:textId="1140C4E6" w:rsidR="00967FB9" w:rsidRPr="00873B6C" w:rsidRDefault="00967FB9" w:rsidP="009D14FB">
            <w:pPr>
              <w:pStyle w:val="TAC"/>
              <w:rPr>
                <w:sz w:val="16"/>
                <w:szCs w:val="16"/>
              </w:rPr>
            </w:pPr>
            <w:r w:rsidRPr="00873B6C">
              <w:rPr>
                <w:sz w:val="16"/>
                <w:szCs w:val="16"/>
              </w:rPr>
              <w:t>2021-03</w:t>
            </w:r>
          </w:p>
        </w:tc>
        <w:tc>
          <w:tcPr>
            <w:tcW w:w="800" w:type="dxa"/>
            <w:shd w:val="solid" w:color="FFFFFF" w:fill="auto"/>
          </w:tcPr>
          <w:p w14:paraId="2C877495" w14:textId="7CCE5E21" w:rsidR="00967FB9" w:rsidRPr="00873B6C" w:rsidRDefault="00967FB9" w:rsidP="009D14FB">
            <w:pPr>
              <w:pStyle w:val="TAL"/>
              <w:rPr>
                <w:sz w:val="16"/>
                <w:szCs w:val="16"/>
              </w:rPr>
            </w:pPr>
            <w:r w:rsidRPr="00873B6C">
              <w:rPr>
                <w:sz w:val="16"/>
                <w:szCs w:val="16"/>
              </w:rPr>
              <w:t>SP#91E</w:t>
            </w:r>
          </w:p>
        </w:tc>
        <w:tc>
          <w:tcPr>
            <w:tcW w:w="1094" w:type="dxa"/>
            <w:shd w:val="solid" w:color="FFFFFF" w:fill="auto"/>
          </w:tcPr>
          <w:p w14:paraId="6390387E" w14:textId="61D7AE49" w:rsidR="00967FB9" w:rsidRPr="00873B6C" w:rsidRDefault="00967FB9" w:rsidP="009D14FB">
            <w:pPr>
              <w:pStyle w:val="TAC"/>
              <w:rPr>
                <w:sz w:val="16"/>
                <w:szCs w:val="16"/>
              </w:rPr>
            </w:pPr>
            <w:r w:rsidRPr="00873B6C">
              <w:rPr>
                <w:sz w:val="16"/>
                <w:szCs w:val="16"/>
              </w:rPr>
              <w:t>SP-210074</w:t>
            </w:r>
          </w:p>
        </w:tc>
        <w:tc>
          <w:tcPr>
            <w:tcW w:w="567" w:type="dxa"/>
            <w:shd w:val="solid" w:color="FFFFFF" w:fill="auto"/>
          </w:tcPr>
          <w:p w14:paraId="2ED414BD" w14:textId="1E41DBCD" w:rsidR="00967FB9" w:rsidRPr="00873B6C" w:rsidRDefault="00967FB9" w:rsidP="009D14FB">
            <w:pPr>
              <w:pStyle w:val="TAL"/>
              <w:rPr>
                <w:sz w:val="16"/>
                <w:szCs w:val="16"/>
              </w:rPr>
            </w:pPr>
            <w:r w:rsidRPr="00873B6C">
              <w:rPr>
                <w:sz w:val="16"/>
                <w:szCs w:val="16"/>
              </w:rPr>
              <w:t>2563</w:t>
            </w:r>
          </w:p>
        </w:tc>
        <w:tc>
          <w:tcPr>
            <w:tcW w:w="425" w:type="dxa"/>
            <w:shd w:val="solid" w:color="FFFFFF" w:fill="auto"/>
          </w:tcPr>
          <w:p w14:paraId="192C5DC5" w14:textId="32793FB9" w:rsidR="00967FB9" w:rsidRPr="00873B6C" w:rsidRDefault="00967FB9" w:rsidP="009D14FB">
            <w:pPr>
              <w:pStyle w:val="TAL"/>
              <w:rPr>
                <w:sz w:val="16"/>
                <w:szCs w:val="16"/>
              </w:rPr>
            </w:pPr>
            <w:r w:rsidRPr="00873B6C">
              <w:rPr>
                <w:sz w:val="16"/>
                <w:szCs w:val="16"/>
              </w:rPr>
              <w:t>1</w:t>
            </w:r>
          </w:p>
        </w:tc>
        <w:tc>
          <w:tcPr>
            <w:tcW w:w="425" w:type="dxa"/>
            <w:shd w:val="solid" w:color="FFFFFF" w:fill="auto"/>
          </w:tcPr>
          <w:p w14:paraId="56161081" w14:textId="255070A7" w:rsidR="00967FB9" w:rsidRPr="00873B6C" w:rsidRDefault="00967FB9" w:rsidP="009D14FB">
            <w:pPr>
              <w:pStyle w:val="TAL"/>
              <w:rPr>
                <w:sz w:val="16"/>
                <w:szCs w:val="16"/>
              </w:rPr>
            </w:pPr>
            <w:r w:rsidRPr="00873B6C">
              <w:rPr>
                <w:sz w:val="16"/>
                <w:szCs w:val="16"/>
              </w:rPr>
              <w:t>B</w:t>
            </w:r>
          </w:p>
        </w:tc>
        <w:tc>
          <w:tcPr>
            <w:tcW w:w="4820" w:type="dxa"/>
            <w:shd w:val="solid" w:color="FFFFFF" w:fill="auto"/>
          </w:tcPr>
          <w:p w14:paraId="2783F8B6" w14:textId="53543B6B" w:rsidR="00967FB9" w:rsidRPr="00873B6C" w:rsidRDefault="00967FB9" w:rsidP="009D14FB">
            <w:pPr>
              <w:pStyle w:val="TAL"/>
              <w:rPr>
                <w:sz w:val="16"/>
                <w:szCs w:val="16"/>
              </w:rPr>
            </w:pPr>
            <w:r w:rsidRPr="00873B6C">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873B6C" w:rsidRDefault="00967FB9" w:rsidP="009D14FB">
            <w:pPr>
              <w:pStyle w:val="TAC"/>
              <w:rPr>
                <w:b/>
                <w:bCs/>
                <w:sz w:val="16"/>
                <w:szCs w:val="16"/>
              </w:rPr>
            </w:pPr>
            <w:r w:rsidRPr="00873B6C">
              <w:rPr>
                <w:b/>
                <w:bCs/>
                <w:sz w:val="16"/>
                <w:szCs w:val="16"/>
              </w:rPr>
              <w:t>17.0.0</w:t>
            </w:r>
          </w:p>
        </w:tc>
      </w:tr>
      <w:tr w:rsidR="00967FB9" w:rsidRPr="00873B6C" w14:paraId="0E3A72A6" w14:textId="77777777" w:rsidTr="009D14FB">
        <w:tc>
          <w:tcPr>
            <w:tcW w:w="800" w:type="dxa"/>
            <w:shd w:val="solid" w:color="FFFFFF" w:fill="auto"/>
          </w:tcPr>
          <w:p w14:paraId="333AC16C" w14:textId="734D0831" w:rsidR="00967FB9" w:rsidRPr="00873B6C" w:rsidRDefault="00967FB9" w:rsidP="009D14FB">
            <w:pPr>
              <w:pStyle w:val="TAC"/>
              <w:rPr>
                <w:sz w:val="16"/>
                <w:szCs w:val="16"/>
              </w:rPr>
            </w:pPr>
            <w:r w:rsidRPr="00873B6C">
              <w:rPr>
                <w:sz w:val="16"/>
                <w:szCs w:val="16"/>
              </w:rPr>
              <w:t>2021-03</w:t>
            </w:r>
          </w:p>
        </w:tc>
        <w:tc>
          <w:tcPr>
            <w:tcW w:w="800" w:type="dxa"/>
            <w:shd w:val="solid" w:color="FFFFFF" w:fill="auto"/>
          </w:tcPr>
          <w:p w14:paraId="701B0C25" w14:textId="6D404159" w:rsidR="00967FB9" w:rsidRPr="00873B6C" w:rsidRDefault="00967FB9" w:rsidP="009D14FB">
            <w:pPr>
              <w:pStyle w:val="TAL"/>
              <w:rPr>
                <w:sz w:val="16"/>
                <w:szCs w:val="16"/>
              </w:rPr>
            </w:pPr>
            <w:r w:rsidRPr="00873B6C">
              <w:rPr>
                <w:sz w:val="16"/>
                <w:szCs w:val="16"/>
              </w:rPr>
              <w:t>SP#91E</w:t>
            </w:r>
          </w:p>
        </w:tc>
        <w:tc>
          <w:tcPr>
            <w:tcW w:w="1094" w:type="dxa"/>
            <w:shd w:val="solid" w:color="FFFFFF" w:fill="auto"/>
          </w:tcPr>
          <w:p w14:paraId="58ADE552" w14:textId="1601C1CF" w:rsidR="00967FB9" w:rsidRPr="00873B6C" w:rsidRDefault="00967FB9" w:rsidP="009D14FB">
            <w:pPr>
              <w:pStyle w:val="TAC"/>
              <w:rPr>
                <w:sz w:val="16"/>
                <w:szCs w:val="16"/>
              </w:rPr>
            </w:pPr>
            <w:r w:rsidRPr="00873B6C">
              <w:rPr>
                <w:sz w:val="16"/>
                <w:szCs w:val="16"/>
              </w:rPr>
              <w:t>SP-210072</w:t>
            </w:r>
          </w:p>
        </w:tc>
        <w:tc>
          <w:tcPr>
            <w:tcW w:w="567" w:type="dxa"/>
            <w:shd w:val="solid" w:color="FFFFFF" w:fill="auto"/>
          </w:tcPr>
          <w:p w14:paraId="22435AA0" w14:textId="580AE82A" w:rsidR="00967FB9" w:rsidRPr="00873B6C" w:rsidRDefault="00967FB9" w:rsidP="009D14FB">
            <w:pPr>
              <w:pStyle w:val="TAL"/>
              <w:rPr>
                <w:sz w:val="16"/>
                <w:szCs w:val="16"/>
              </w:rPr>
            </w:pPr>
            <w:r w:rsidRPr="00873B6C">
              <w:rPr>
                <w:sz w:val="16"/>
                <w:szCs w:val="16"/>
              </w:rPr>
              <w:t>2567</w:t>
            </w:r>
          </w:p>
        </w:tc>
        <w:tc>
          <w:tcPr>
            <w:tcW w:w="425" w:type="dxa"/>
            <w:shd w:val="solid" w:color="FFFFFF" w:fill="auto"/>
          </w:tcPr>
          <w:p w14:paraId="0CF86BD1" w14:textId="0F2A2072" w:rsidR="00967FB9" w:rsidRPr="00873B6C" w:rsidRDefault="00967FB9" w:rsidP="009D14FB">
            <w:pPr>
              <w:pStyle w:val="TAL"/>
              <w:rPr>
                <w:sz w:val="16"/>
                <w:szCs w:val="16"/>
              </w:rPr>
            </w:pPr>
            <w:r w:rsidRPr="00873B6C">
              <w:rPr>
                <w:sz w:val="16"/>
                <w:szCs w:val="16"/>
              </w:rPr>
              <w:t>1</w:t>
            </w:r>
          </w:p>
        </w:tc>
        <w:tc>
          <w:tcPr>
            <w:tcW w:w="425" w:type="dxa"/>
            <w:shd w:val="solid" w:color="FFFFFF" w:fill="auto"/>
          </w:tcPr>
          <w:p w14:paraId="314CF38A" w14:textId="43D973B0" w:rsidR="00967FB9" w:rsidRPr="00873B6C" w:rsidRDefault="00967FB9" w:rsidP="009D14FB">
            <w:pPr>
              <w:pStyle w:val="TAL"/>
              <w:rPr>
                <w:sz w:val="16"/>
                <w:szCs w:val="16"/>
              </w:rPr>
            </w:pPr>
            <w:r w:rsidRPr="00873B6C">
              <w:rPr>
                <w:sz w:val="16"/>
                <w:szCs w:val="16"/>
              </w:rPr>
              <w:t>B</w:t>
            </w:r>
          </w:p>
        </w:tc>
        <w:tc>
          <w:tcPr>
            <w:tcW w:w="4820" w:type="dxa"/>
            <w:shd w:val="solid" w:color="FFFFFF" w:fill="auto"/>
          </w:tcPr>
          <w:p w14:paraId="7027BAF7" w14:textId="67A52269" w:rsidR="00967FB9" w:rsidRPr="00873B6C" w:rsidRDefault="00967FB9" w:rsidP="009D14FB">
            <w:pPr>
              <w:pStyle w:val="TAL"/>
              <w:rPr>
                <w:sz w:val="16"/>
                <w:szCs w:val="16"/>
              </w:rPr>
            </w:pPr>
            <w:r w:rsidRPr="00873B6C">
              <w:rPr>
                <w:sz w:val="16"/>
                <w:szCs w:val="16"/>
              </w:rPr>
              <w:t>Network Slice restriction based on NWDAF analytics</w:t>
            </w:r>
          </w:p>
        </w:tc>
        <w:tc>
          <w:tcPr>
            <w:tcW w:w="708" w:type="dxa"/>
            <w:shd w:val="solid" w:color="FFFFFF" w:fill="auto"/>
          </w:tcPr>
          <w:p w14:paraId="3F3C7AA9" w14:textId="13A3CDD2" w:rsidR="00967FB9" w:rsidRPr="00873B6C" w:rsidRDefault="00967FB9" w:rsidP="009D14FB">
            <w:pPr>
              <w:pStyle w:val="TAC"/>
              <w:rPr>
                <w:b/>
                <w:bCs/>
                <w:sz w:val="16"/>
                <w:szCs w:val="16"/>
              </w:rPr>
            </w:pPr>
            <w:r w:rsidRPr="00873B6C">
              <w:rPr>
                <w:b/>
                <w:bCs/>
                <w:sz w:val="16"/>
                <w:szCs w:val="16"/>
              </w:rPr>
              <w:t>17.0.0</w:t>
            </w:r>
          </w:p>
        </w:tc>
      </w:tr>
      <w:tr w:rsidR="001F3682" w:rsidRPr="00873B6C" w14:paraId="2A605B1A" w14:textId="77777777" w:rsidTr="009D14FB">
        <w:tc>
          <w:tcPr>
            <w:tcW w:w="800" w:type="dxa"/>
            <w:shd w:val="solid" w:color="FFFFFF" w:fill="auto"/>
          </w:tcPr>
          <w:p w14:paraId="3A421993" w14:textId="4D93B21C"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14DBDE44" w14:textId="3624C8D2"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51EAA394" w14:textId="22CB46D2" w:rsidR="001F3682" w:rsidRPr="00873B6C" w:rsidRDefault="001F3682" w:rsidP="009D14FB">
            <w:pPr>
              <w:pStyle w:val="TAC"/>
              <w:rPr>
                <w:sz w:val="16"/>
                <w:szCs w:val="16"/>
              </w:rPr>
            </w:pPr>
            <w:r w:rsidRPr="00873B6C">
              <w:rPr>
                <w:sz w:val="16"/>
                <w:szCs w:val="16"/>
              </w:rPr>
              <w:t>SP-210087</w:t>
            </w:r>
          </w:p>
        </w:tc>
        <w:tc>
          <w:tcPr>
            <w:tcW w:w="567" w:type="dxa"/>
            <w:shd w:val="solid" w:color="FFFFFF" w:fill="auto"/>
          </w:tcPr>
          <w:p w14:paraId="31924C8B" w14:textId="258F4E72" w:rsidR="001F3682" w:rsidRPr="00873B6C" w:rsidRDefault="001F3682" w:rsidP="009D14FB">
            <w:pPr>
              <w:pStyle w:val="TAL"/>
              <w:rPr>
                <w:sz w:val="16"/>
                <w:szCs w:val="16"/>
              </w:rPr>
            </w:pPr>
            <w:r w:rsidRPr="00873B6C">
              <w:rPr>
                <w:sz w:val="16"/>
                <w:szCs w:val="16"/>
              </w:rPr>
              <w:t>2571</w:t>
            </w:r>
          </w:p>
        </w:tc>
        <w:tc>
          <w:tcPr>
            <w:tcW w:w="425" w:type="dxa"/>
            <w:shd w:val="solid" w:color="FFFFFF" w:fill="auto"/>
          </w:tcPr>
          <w:p w14:paraId="548F39ED" w14:textId="610691BE"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15AE133D" w14:textId="5463127F" w:rsidR="001F3682" w:rsidRPr="00873B6C" w:rsidRDefault="001F3682" w:rsidP="009D14FB">
            <w:pPr>
              <w:pStyle w:val="TAL"/>
              <w:rPr>
                <w:sz w:val="16"/>
                <w:szCs w:val="16"/>
              </w:rPr>
            </w:pPr>
            <w:r w:rsidRPr="00873B6C">
              <w:rPr>
                <w:sz w:val="16"/>
                <w:szCs w:val="16"/>
              </w:rPr>
              <w:t>C</w:t>
            </w:r>
          </w:p>
        </w:tc>
        <w:tc>
          <w:tcPr>
            <w:tcW w:w="4820" w:type="dxa"/>
            <w:shd w:val="solid" w:color="FFFFFF" w:fill="auto"/>
          </w:tcPr>
          <w:p w14:paraId="5224D257" w14:textId="056585D1" w:rsidR="001F3682" w:rsidRPr="00873B6C" w:rsidRDefault="001F3682" w:rsidP="009D14FB">
            <w:pPr>
              <w:pStyle w:val="TAL"/>
              <w:rPr>
                <w:sz w:val="16"/>
                <w:szCs w:val="16"/>
              </w:rPr>
            </w:pPr>
            <w:r w:rsidRPr="00873B6C">
              <w:rPr>
                <w:sz w:val="16"/>
                <w:szCs w:val="16"/>
              </w:rPr>
              <w:t>New SST for High-Performance Machine-Type Communications (HMTC)</w:t>
            </w:r>
          </w:p>
        </w:tc>
        <w:tc>
          <w:tcPr>
            <w:tcW w:w="708" w:type="dxa"/>
            <w:shd w:val="solid" w:color="FFFFFF" w:fill="auto"/>
          </w:tcPr>
          <w:p w14:paraId="69A642DF" w14:textId="6853233E" w:rsidR="001F3682" w:rsidRPr="00873B6C" w:rsidRDefault="001F3682" w:rsidP="009D14FB">
            <w:pPr>
              <w:pStyle w:val="TAC"/>
              <w:rPr>
                <w:b/>
                <w:bCs/>
                <w:sz w:val="16"/>
                <w:szCs w:val="16"/>
              </w:rPr>
            </w:pPr>
            <w:r w:rsidRPr="00873B6C">
              <w:rPr>
                <w:b/>
                <w:bCs/>
                <w:sz w:val="16"/>
                <w:szCs w:val="16"/>
              </w:rPr>
              <w:t>17.0.0</w:t>
            </w:r>
          </w:p>
        </w:tc>
      </w:tr>
      <w:tr w:rsidR="001F3682" w:rsidRPr="00873B6C" w14:paraId="482550E9" w14:textId="77777777" w:rsidTr="009D14FB">
        <w:tc>
          <w:tcPr>
            <w:tcW w:w="800" w:type="dxa"/>
            <w:shd w:val="solid" w:color="FFFFFF" w:fill="auto"/>
          </w:tcPr>
          <w:p w14:paraId="5D57C424" w14:textId="5A9DCC9D"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0B0C923E" w14:textId="72BF984C"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7C52FCFB" w14:textId="1EC3EDB4" w:rsidR="001F3682" w:rsidRPr="00873B6C" w:rsidRDefault="001F3682" w:rsidP="009D14FB">
            <w:pPr>
              <w:pStyle w:val="TAC"/>
              <w:rPr>
                <w:sz w:val="16"/>
                <w:szCs w:val="16"/>
              </w:rPr>
            </w:pPr>
            <w:r w:rsidRPr="00873B6C">
              <w:rPr>
                <w:sz w:val="16"/>
                <w:szCs w:val="16"/>
              </w:rPr>
              <w:t>SP-210084</w:t>
            </w:r>
          </w:p>
        </w:tc>
        <w:tc>
          <w:tcPr>
            <w:tcW w:w="567" w:type="dxa"/>
            <w:shd w:val="solid" w:color="FFFFFF" w:fill="auto"/>
          </w:tcPr>
          <w:p w14:paraId="16C02CB0" w14:textId="63AD0EE8" w:rsidR="001F3682" w:rsidRPr="00873B6C" w:rsidRDefault="001F3682" w:rsidP="009D14FB">
            <w:pPr>
              <w:pStyle w:val="TAL"/>
              <w:rPr>
                <w:sz w:val="16"/>
                <w:szCs w:val="16"/>
              </w:rPr>
            </w:pPr>
            <w:r w:rsidRPr="00873B6C">
              <w:rPr>
                <w:sz w:val="16"/>
                <w:szCs w:val="16"/>
              </w:rPr>
              <w:t>2573</w:t>
            </w:r>
          </w:p>
        </w:tc>
        <w:tc>
          <w:tcPr>
            <w:tcW w:w="425" w:type="dxa"/>
            <w:shd w:val="solid" w:color="FFFFFF" w:fill="auto"/>
          </w:tcPr>
          <w:p w14:paraId="657F0705" w14:textId="07C25B83"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553D35AA" w14:textId="3B8B24FB" w:rsidR="001F3682" w:rsidRPr="00873B6C" w:rsidRDefault="001F3682" w:rsidP="009D14FB">
            <w:pPr>
              <w:pStyle w:val="TAL"/>
              <w:rPr>
                <w:sz w:val="16"/>
                <w:szCs w:val="16"/>
              </w:rPr>
            </w:pPr>
            <w:r w:rsidRPr="00873B6C">
              <w:rPr>
                <w:sz w:val="16"/>
                <w:szCs w:val="16"/>
              </w:rPr>
              <w:t>B</w:t>
            </w:r>
          </w:p>
        </w:tc>
        <w:tc>
          <w:tcPr>
            <w:tcW w:w="4820" w:type="dxa"/>
            <w:shd w:val="solid" w:color="FFFFFF" w:fill="auto"/>
          </w:tcPr>
          <w:p w14:paraId="28409559" w14:textId="4E33EA1F" w:rsidR="001F3682" w:rsidRPr="00873B6C" w:rsidRDefault="001F3682" w:rsidP="009D14FB">
            <w:pPr>
              <w:pStyle w:val="TAL"/>
              <w:rPr>
                <w:sz w:val="16"/>
                <w:szCs w:val="16"/>
              </w:rPr>
            </w:pPr>
            <w:r w:rsidRPr="00873B6C">
              <w:rPr>
                <w:sz w:val="16"/>
                <w:szCs w:val="16"/>
              </w:rPr>
              <w:t>Introduction of the architectures for Time Sensing Communication other than TSN.</w:t>
            </w:r>
          </w:p>
        </w:tc>
        <w:tc>
          <w:tcPr>
            <w:tcW w:w="708" w:type="dxa"/>
            <w:shd w:val="solid" w:color="FFFFFF" w:fill="auto"/>
          </w:tcPr>
          <w:p w14:paraId="50AE41F6" w14:textId="7ACAC399" w:rsidR="001F3682" w:rsidRPr="00873B6C" w:rsidRDefault="001F3682" w:rsidP="009D14FB">
            <w:pPr>
              <w:pStyle w:val="TAC"/>
              <w:rPr>
                <w:b/>
                <w:bCs/>
                <w:sz w:val="16"/>
                <w:szCs w:val="16"/>
              </w:rPr>
            </w:pPr>
            <w:r w:rsidRPr="00873B6C">
              <w:rPr>
                <w:b/>
                <w:bCs/>
                <w:sz w:val="16"/>
                <w:szCs w:val="16"/>
              </w:rPr>
              <w:t>17.0.0</w:t>
            </w:r>
          </w:p>
        </w:tc>
      </w:tr>
      <w:tr w:rsidR="001F3682" w:rsidRPr="00873B6C" w14:paraId="4AC1DCAD" w14:textId="77777777" w:rsidTr="009D14FB">
        <w:tc>
          <w:tcPr>
            <w:tcW w:w="800" w:type="dxa"/>
            <w:shd w:val="solid" w:color="FFFFFF" w:fill="auto"/>
          </w:tcPr>
          <w:p w14:paraId="69414583" w14:textId="0A3BC19A"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0814A66F" w14:textId="317EE1E0"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1B419CC2" w14:textId="6D68925B" w:rsidR="001F3682" w:rsidRPr="00873B6C" w:rsidRDefault="001F3682" w:rsidP="009D14FB">
            <w:pPr>
              <w:pStyle w:val="TAC"/>
              <w:rPr>
                <w:sz w:val="16"/>
                <w:szCs w:val="16"/>
              </w:rPr>
            </w:pPr>
            <w:r w:rsidRPr="00873B6C">
              <w:rPr>
                <w:sz w:val="16"/>
                <w:szCs w:val="16"/>
              </w:rPr>
              <w:t>SP-210086</w:t>
            </w:r>
          </w:p>
        </w:tc>
        <w:tc>
          <w:tcPr>
            <w:tcW w:w="567" w:type="dxa"/>
            <w:shd w:val="solid" w:color="FFFFFF" w:fill="auto"/>
          </w:tcPr>
          <w:p w14:paraId="3F278D4D" w14:textId="22621E40" w:rsidR="001F3682" w:rsidRPr="00873B6C" w:rsidRDefault="001F3682" w:rsidP="009D14FB">
            <w:pPr>
              <w:pStyle w:val="TAL"/>
              <w:rPr>
                <w:sz w:val="16"/>
                <w:szCs w:val="16"/>
              </w:rPr>
            </w:pPr>
            <w:r w:rsidRPr="00873B6C">
              <w:rPr>
                <w:sz w:val="16"/>
                <w:szCs w:val="16"/>
              </w:rPr>
              <w:t>2574</w:t>
            </w:r>
          </w:p>
        </w:tc>
        <w:tc>
          <w:tcPr>
            <w:tcW w:w="425" w:type="dxa"/>
            <w:shd w:val="solid" w:color="FFFFFF" w:fill="auto"/>
          </w:tcPr>
          <w:p w14:paraId="6B64A01B" w14:textId="163BA0E8"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0E5F238C" w14:textId="60BF3230" w:rsidR="001F3682" w:rsidRPr="00873B6C" w:rsidRDefault="001F3682" w:rsidP="009D14FB">
            <w:pPr>
              <w:pStyle w:val="TAL"/>
              <w:rPr>
                <w:sz w:val="16"/>
                <w:szCs w:val="16"/>
              </w:rPr>
            </w:pPr>
            <w:r w:rsidRPr="00873B6C">
              <w:rPr>
                <w:sz w:val="16"/>
                <w:szCs w:val="16"/>
              </w:rPr>
              <w:t>B</w:t>
            </w:r>
          </w:p>
        </w:tc>
        <w:tc>
          <w:tcPr>
            <w:tcW w:w="4820" w:type="dxa"/>
            <w:shd w:val="solid" w:color="FFFFFF" w:fill="auto"/>
          </w:tcPr>
          <w:p w14:paraId="72E36F86" w14:textId="571C6596" w:rsidR="001F3682" w:rsidRPr="00873B6C" w:rsidRDefault="001F3682" w:rsidP="009D14FB">
            <w:pPr>
              <w:pStyle w:val="TAL"/>
              <w:rPr>
                <w:sz w:val="16"/>
                <w:szCs w:val="16"/>
              </w:rPr>
            </w:pPr>
            <w:r w:rsidRPr="00873B6C">
              <w:rPr>
                <w:sz w:val="16"/>
                <w:szCs w:val="16"/>
              </w:rPr>
              <w:t>Introduction of Paging Cause feature</w:t>
            </w:r>
          </w:p>
        </w:tc>
        <w:tc>
          <w:tcPr>
            <w:tcW w:w="708" w:type="dxa"/>
            <w:shd w:val="solid" w:color="FFFFFF" w:fill="auto"/>
          </w:tcPr>
          <w:p w14:paraId="1A3A5454" w14:textId="5DAE440F" w:rsidR="001F3682" w:rsidRPr="00873B6C" w:rsidRDefault="001F3682" w:rsidP="009D14FB">
            <w:pPr>
              <w:pStyle w:val="TAC"/>
              <w:rPr>
                <w:b/>
                <w:bCs/>
                <w:sz w:val="16"/>
                <w:szCs w:val="16"/>
              </w:rPr>
            </w:pPr>
            <w:r w:rsidRPr="00873B6C">
              <w:rPr>
                <w:b/>
                <w:bCs/>
                <w:sz w:val="16"/>
                <w:szCs w:val="16"/>
              </w:rPr>
              <w:t>17.0.0</w:t>
            </w:r>
          </w:p>
        </w:tc>
      </w:tr>
      <w:tr w:rsidR="001F3682" w:rsidRPr="00873B6C" w14:paraId="7795BCCB" w14:textId="77777777" w:rsidTr="009D14FB">
        <w:tc>
          <w:tcPr>
            <w:tcW w:w="800" w:type="dxa"/>
            <w:shd w:val="solid" w:color="FFFFFF" w:fill="auto"/>
          </w:tcPr>
          <w:p w14:paraId="7CA7439D" w14:textId="4678A7B0"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37D9DEFD" w14:textId="1DC5F32A"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3C4C5A9D" w14:textId="1E4B3FB4" w:rsidR="001F3682" w:rsidRPr="00873B6C" w:rsidRDefault="001F3682" w:rsidP="009D14FB">
            <w:pPr>
              <w:pStyle w:val="TAC"/>
              <w:rPr>
                <w:sz w:val="16"/>
                <w:szCs w:val="16"/>
              </w:rPr>
            </w:pPr>
            <w:r w:rsidRPr="00873B6C">
              <w:rPr>
                <w:sz w:val="16"/>
                <w:szCs w:val="16"/>
              </w:rPr>
              <w:t>SP-210072</w:t>
            </w:r>
          </w:p>
        </w:tc>
        <w:tc>
          <w:tcPr>
            <w:tcW w:w="567" w:type="dxa"/>
            <w:shd w:val="solid" w:color="FFFFFF" w:fill="auto"/>
          </w:tcPr>
          <w:p w14:paraId="583D168B" w14:textId="6B070BF7" w:rsidR="001F3682" w:rsidRPr="00873B6C" w:rsidRDefault="001F3682" w:rsidP="009D14FB">
            <w:pPr>
              <w:pStyle w:val="TAL"/>
              <w:rPr>
                <w:sz w:val="16"/>
                <w:szCs w:val="16"/>
              </w:rPr>
            </w:pPr>
            <w:r w:rsidRPr="00873B6C">
              <w:rPr>
                <w:sz w:val="16"/>
                <w:szCs w:val="16"/>
              </w:rPr>
              <w:t>2575</w:t>
            </w:r>
          </w:p>
        </w:tc>
        <w:tc>
          <w:tcPr>
            <w:tcW w:w="425" w:type="dxa"/>
            <w:shd w:val="solid" w:color="FFFFFF" w:fill="auto"/>
          </w:tcPr>
          <w:p w14:paraId="3A96C6B6" w14:textId="553B8D32"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45520364" w14:textId="0F949FEC" w:rsidR="001F3682" w:rsidRPr="00873B6C" w:rsidRDefault="001F3682" w:rsidP="009D14FB">
            <w:pPr>
              <w:pStyle w:val="TAL"/>
              <w:rPr>
                <w:sz w:val="16"/>
                <w:szCs w:val="16"/>
              </w:rPr>
            </w:pPr>
            <w:r w:rsidRPr="00873B6C">
              <w:rPr>
                <w:sz w:val="16"/>
                <w:szCs w:val="16"/>
              </w:rPr>
              <w:t>B</w:t>
            </w:r>
          </w:p>
        </w:tc>
        <w:tc>
          <w:tcPr>
            <w:tcW w:w="4820" w:type="dxa"/>
            <w:shd w:val="solid" w:color="FFFFFF" w:fill="auto"/>
          </w:tcPr>
          <w:p w14:paraId="7658F3E8" w14:textId="350DC2D1" w:rsidR="001F3682" w:rsidRPr="00873B6C" w:rsidRDefault="001F3682" w:rsidP="009D14FB">
            <w:pPr>
              <w:pStyle w:val="TAL"/>
              <w:rPr>
                <w:sz w:val="16"/>
                <w:szCs w:val="16"/>
              </w:rPr>
            </w:pPr>
            <w:r w:rsidRPr="00873B6C">
              <w:rPr>
                <w:sz w:val="16"/>
                <w:szCs w:val="16"/>
              </w:rPr>
              <w:t>NWDAF discovery and selection</w:t>
            </w:r>
          </w:p>
        </w:tc>
        <w:tc>
          <w:tcPr>
            <w:tcW w:w="708" w:type="dxa"/>
            <w:shd w:val="solid" w:color="FFFFFF" w:fill="auto"/>
          </w:tcPr>
          <w:p w14:paraId="4D9210A7" w14:textId="14871346" w:rsidR="001F3682" w:rsidRPr="00873B6C" w:rsidRDefault="001F3682" w:rsidP="009D14FB">
            <w:pPr>
              <w:pStyle w:val="TAC"/>
              <w:rPr>
                <w:b/>
                <w:bCs/>
                <w:sz w:val="16"/>
                <w:szCs w:val="16"/>
              </w:rPr>
            </w:pPr>
            <w:r w:rsidRPr="00873B6C">
              <w:rPr>
                <w:b/>
                <w:bCs/>
                <w:sz w:val="16"/>
                <w:szCs w:val="16"/>
              </w:rPr>
              <w:t>17.0.0</w:t>
            </w:r>
          </w:p>
        </w:tc>
      </w:tr>
      <w:tr w:rsidR="001F3682" w:rsidRPr="00873B6C" w14:paraId="3AD8388C" w14:textId="77777777" w:rsidTr="009D14FB">
        <w:tc>
          <w:tcPr>
            <w:tcW w:w="800" w:type="dxa"/>
            <w:shd w:val="solid" w:color="FFFFFF" w:fill="auto"/>
          </w:tcPr>
          <w:p w14:paraId="0BF08561" w14:textId="13FE30AC"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25399E6D" w14:textId="199DF9D9"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2E7F7A50" w14:textId="13096274" w:rsidR="001F3682" w:rsidRPr="00873B6C" w:rsidRDefault="001F3682" w:rsidP="009D14FB">
            <w:pPr>
              <w:pStyle w:val="TAC"/>
              <w:rPr>
                <w:sz w:val="16"/>
                <w:szCs w:val="16"/>
              </w:rPr>
            </w:pPr>
            <w:r w:rsidRPr="00873B6C">
              <w:rPr>
                <w:sz w:val="16"/>
                <w:szCs w:val="16"/>
              </w:rPr>
              <w:t>SP-210072</w:t>
            </w:r>
          </w:p>
        </w:tc>
        <w:tc>
          <w:tcPr>
            <w:tcW w:w="567" w:type="dxa"/>
            <w:shd w:val="solid" w:color="FFFFFF" w:fill="auto"/>
          </w:tcPr>
          <w:p w14:paraId="6B842A2C" w14:textId="39127C5C" w:rsidR="001F3682" w:rsidRPr="00873B6C" w:rsidRDefault="001F3682" w:rsidP="009D14FB">
            <w:pPr>
              <w:pStyle w:val="TAL"/>
              <w:rPr>
                <w:sz w:val="16"/>
                <w:szCs w:val="16"/>
              </w:rPr>
            </w:pPr>
            <w:r w:rsidRPr="00873B6C">
              <w:rPr>
                <w:sz w:val="16"/>
                <w:szCs w:val="16"/>
              </w:rPr>
              <w:t>2576</w:t>
            </w:r>
          </w:p>
        </w:tc>
        <w:tc>
          <w:tcPr>
            <w:tcW w:w="425" w:type="dxa"/>
            <w:shd w:val="solid" w:color="FFFFFF" w:fill="auto"/>
          </w:tcPr>
          <w:p w14:paraId="4852D564" w14:textId="5F844057"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2CD13D76" w14:textId="2F8104BD" w:rsidR="001F3682" w:rsidRPr="00873B6C" w:rsidRDefault="001F3682" w:rsidP="009D14FB">
            <w:pPr>
              <w:pStyle w:val="TAL"/>
              <w:rPr>
                <w:sz w:val="16"/>
                <w:szCs w:val="16"/>
              </w:rPr>
            </w:pPr>
            <w:r w:rsidRPr="00873B6C">
              <w:rPr>
                <w:sz w:val="16"/>
                <w:szCs w:val="16"/>
              </w:rPr>
              <w:t>B</w:t>
            </w:r>
          </w:p>
        </w:tc>
        <w:tc>
          <w:tcPr>
            <w:tcW w:w="4820" w:type="dxa"/>
            <w:shd w:val="solid" w:color="FFFFFF" w:fill="auto"/>
          </w:tcPr>
          <w:p w14:paraId="722FB36D" w14:textId="1D812450" w:rsidR="001F3682" w:rsidRPr="00873B6C" w:rsidRDefault="001F3682" w:rsidP="009D14FB">
            <w:pPr>
              <w:pStyle w:val="TAL"/>
              <w:rPr>
                <w:sz w:val="16"/>
                <w:szCs w:val="16"/>
              </w:rPr>
            </w:pPr>
            <w:r w:rsidRPr="00873B6C">
              <w:rPr>
                <w:sz w:val="16"/>
                <w:szCs w:val="16"/>
              </w:rPr>
              <w:t>DCCF Discovery</w:t>
            </w:r>
          </w:p>
        </w:tc>
        <w:tc>
          <w:tcPr>
            <w:tcW w:w="708" w:type="dxa"/>
            <w:shd w:val="solid" w:color="FFFFFF" w:fill="auto"/>
          </w:tcPr>
          <w:p w14:paraId="2B035B74" w14:textId="7C419DE9" w:rsidR="001F3682" w:rsidRPr="00873B6C" w:rsidRDefault="001F3682" w:rsidP="009D14FB">
            <w:pPr>
              <w:pStyle w:val="TAC"/>
              <w:rPr>
                <w:b/>
                <w:bCs/>
                <w:sz w:val="16"/>
                <w:szCs w:val="16"/>
              </w:rPr>
            </w:pPr>
            <w:r w:rsidRPr="00873B6C">
              <w:rPr>
                <w:b/>
                <w:bCs/>
                <w:sz w:val="16"/>
                <w:szCs w:val="16"/>
              </w:rPr>
              <w:t>17.0.0</w:t>
            </w:r>
          </w:p>
        </w:tc>
      </w:tr>
      <w:tr w:rsidR="00F92505" w:rsidRPr="00873B6C" w14:paraId="1B81FB31" w14:textId="77777777" w:rsidTr="009D14FB">
        <w:tc>
          <w:tcPr>
            <w:tcW w:w="800" w:type="dxa"/>
            <w:shd w:val="solid" w:color="FFFFFF" w:fill="auto"/>
          </w:tcPr>
          <w:p w14:paraId="1052D3EB" w14:textId="648E53AD" w:rsidR="00F92505" w:rsidRPr="00873B6C" w:rsidRDefault="00F92505" w:rsidP="009D14FB">
            <w:pPr>
              <w:pStyle w:val="TAC"/>
              <w:rPr>
                <w:sz w:val="16"/>
                <w:szCs w:val="16"/>
              </w:rPr>
            </w:pPr>
            <w:r w:rsidRPr="00873B6C">
              <w:rPr>
                <w:sz w:val="16"/>
                <w:szCs w:val="16"/>
              </w:rPr>
              <w:t>2021-03</w:t>
            </w:r>
          </w:p>
        </w:tc>
        <w:tc>
          <w:tcPr>
            <w:tcW w:w="800" w:type="dxa"/>
            <w:shd w:val="solid" w:color="FFFFFF" w:fill="auto"/>
          </w:tcPr>
          <w:p w14:paraId="54988F4C" w14:textId="432CFBA0" w:rsidR="00F92505" w:rsidRPr="00873B6C" w:rsidRDefault="00F92505" w:rsidP="009D14FB">
            <w:pPr>
              <w:pStyle w:val="TAL"/>
              <w:rPr>
                <w:sz w:val="16"/>
                <w:szCs w:val="16"/>
              </w:rPr>
            </w:pPr>
            <w:r w:rsidRPr="00873B6C">
              <w:rPr>
                <w:sz w:val="16"/>
                <w:szCs w:val="16"/>
              </w:rPr>
              <w:t>SP#91E</w:t>
            </w:r>
          </w:p>
        </w:tc>
        <w:tc>
          <w:tcPr>
            <w:tcW w:w="1094" w:type="dxa"/>
            <w:shd w:val="solid" w:color="FFFFFF" w:fill="auto"/>
          </w:tcPr>
          <w:p w14:paraId="7BBE47E6" w14:textId="50AD38F5" w:rsidR="00F92505" w:rsidRPr="00873B6C" w:rsidRDefault="00F92505" w:rsidP="009D14FB">
            <w:pPr>
              <w:pStyle w:val="TAC"/>
              <w:rPr>
                <w:sz w:val="16"/>
                <w:szCs w:val="16"/>
              </w:rPr>
            </w:pPr>
            <w:r w:rsidRPr="00873B6C">
              <w:rPr>
                <w:sz w:val="16"/>
                <w:szCs w:val="16"/>
              </w:rPr>
              <w:t>SP-210072</w:t>
            </w:r>
          </w:p>
        </w:tc>
        <w:tc>
          <w:tcPr>
            <w:tcW w:w="567" w:type="dxa"/>
            <w:shd w:val="solid" w:color="FFFFFF" w:fill="auto"/>
          </w:tcPr>
          <w:p w14:paraId="4DD934F8" w14:textId="4B5CA08A" w:rsidR="00F92505" w:rsidRPr="00873B6C" w:rsidRDefault="00F92505" w:rsidP="009D14FB">
            <w:pPr>
              <w:pStyle w:val="TAL"/>
              <w:rPr>
                <w:sz w:val="16"/>
                <w:szCs w:val="16"/>
              </w:rPr>
            </w:pPr>
            <w:r w:rsidRPr="00873B6C">
              <w:rPr>
                <w:sz w:val="16"/>
                <w:szCs w:val="16"/>
              </w:rPr>
              <w:t>2577</w:t>
            </w:r>
          </w:p>
        </w:tc>
        <w:tc>
          <w:tcPr>
            <w:tcW w:w="425" w:type="dxa"/>
            <w:shd w:val="solid" w:color="FFFFFF" w:fill="auto"/>
          </w:tcPr>
          <w:p w14:paraId="20D1F606" w14:textId="6071740A" w:rsidR="00F92505" w:rsidRPr="00873B6C" w:rsidRDefault="00F92505" w:rsidP="009D14FB">
            <w:pPr>
              <w:pStyle w:val="TAL"/>
              <w:rPr>
                <w:sz w:val="16"/>
                <w:szCs w:val="16"/>
              </w:rPr>
            </w:pPr>
            <w:r w:rsidRPr="00873B6C">
              <w:rPr>
                <w:sz w:val="16"/>
                <w:szCs w:val="16"/>
              </w:rPr>
              <w:t>1</w:t>
            </w:r>
          </w:p>
        </w:tc>
        <w:tc>
          <w:tcPr>
            <w:tcW w:w="425" w:type="dxa"/>
            <w:shd w:val="solid" w:color="FFFFFF" w:fill="auto"/>
          </w:tcPr>
          <w:p w14:paraId="31D7F52F" w14:textId="191DD2CE" w:rsidR="00F92505" w:rsidRPr="00873B6C" w:rsidRDefault="00F92505" w:rsidP="009D14FB">
            <w:pPr>
              <w:pStyle w:val="TAL"/>
              <w:rPr>
                <w:sz w:val="16"/>
                <w:szCs w:val="16"/>
              </w:rPr>
            </w:pPr>
            <w:r w:rsidRPr="00873B6C">
              <w:rPr>
                <w:sz w:val="16"/>
                <w:szCs w:val="16"/>
              </w:rPr>
              <w:t>B</w:t>
            </w:r>
          </w:p>
        </w:tc>
        <w:tc>
          <w:tcPr>
            <w:tcW w:w="4820" w:type="dxa"/>
            <w:shd w:val="solid" w:color="FFFFFF" w:fill="auto"/>
          </w:tcPr>
          <w:p w14:paraId="44E5DDF9" w14:textId="5B0FC61D" w:rsidR="00F92505" w:rsidRPr="00873B6C" w:rsidRDefault="00F92505" w:rsidP="009D14FB">
            <w:pPr>
              <w:pStyle w:val="TAL"/>
              <w:rPr>
                <w:sz w:val="16"/>
                <w:szCs w:val="16"/>
              </w:rPr>
            </w:pPr>
            <w:r w:rsidRPr="00873B6C">
              <w:rPr>
                <w:sz w:val="16"/>
                <w:szCs w:val="16"/>
              </w:rPr>
              <w:t>NWDAF Discovery</w:t>
            </w:r>
          </w:p>
        </w:tc>
        <w:tc>
          <w:tcPr>
            <w:tcW w:w="708" w:type="dxa"/>
            <w:shd w:val="solid" w:color="FFFFFF" w:fill="auto"/>
          </w:tcPr>
          <w:p w14:paraId="41816163" w14:textId="646DDD8A" w:rsidR="00F92505" w:rsidRPr="00873B6C" w:rsidRDefault="00F92505" w:rsidP="009D14FB">
            <w:pPr>
              <w:pStyle w:val="TAC"/>
              <w:rPr>
                <w:b/>
                <w:bCs/>
                <w:sz w:val="16"/>
                <w:szCs w:val="16"/>
              </w:rPr>
            </w:pPr>
            <w:r w:rsidRPr="00873B6C">
              <w:rPr>
                <w:b/>
                <w:bCs/>
                <w:sz w:val="16"/>
                <w:szCs w:val="16"/>
              </w:rPr>
              <w:t>17.0.0</w:t>
            </w:r>
          </w:p>
        </w:tc>
      </w:tr>
      <w:tr w:rsidR="00F92505" w:rsidRPr="00873B6C" w14:paraId="10FE79EB" w14:textId="77777777" w:rsidTr="009D14FB">
        <w:tc>
          <w:tcPr>
            <w:tcW w:w="800" w:type="dxa"/>
            <w:shd w:val="solid" w:color="FFFFFF" w:fill="auto"/>
          </w:tcPr>
          <w:p w14:paraId="569C4EB7" w14:textId="0D97E685" w:rsidR="00F92505" w:rsidRPr="00873B6C" w:rsidRDefault="00F92505" w:rsidP="009D14FB">
            <w:pPr>
              <w:pStyle w:val="TAC"/>
              <w:rPr>
                <w:sz w:val="16"/>
                <w:szCs w:val="16"/>
              </w:rPr>
            </w:pPr>
            <w:r w:rsidRPr="00873B6C">
              <w:rPr>
                <w:sz w:val="16"/>
                <w:szCs w:val="16"/>
              </w:rPr>
              <w:t>2021-03</w:t>
            </w:r>
          </w:p>
        </w:tc>
        <w:tc>
          <w:tcPr>
            <w:tcW w:w="800" w:type="dxa"/>
            <w:shd w:val="solid" w:color="FFFFFF" w:fill="auto"/>
          </w:tcPr>
          <w:p w14:paraId="45849F3E" w14:textId="17732DFF" w:rsidR="00F92505" w:rsidRPr="00873B6C" w:rsidRDefault="00F92505" w:rsidP="009D14FB">
            <w:pPr>
              <w:pStyle w:val="TAL"/>
              <w:rPr>
                <w:sz w:val="16"/>
                <w:szCs w:val="16"/>
              </w:rPr>
            </w:pPr>
            <w:r w:rsidRPr="00873B6C">
              <w:rPr>
                <w:sz w:val="16"/>
                <w:szCs w:val="16"/>
              </w:rPr>
              <w:t>SP#91E</w:t>
            </w:r>
          </w:p>
        </w:tc>
        <w:tc>
          <w:tcPr>
            <w:tcW w:w="1094" w:type="dxa"/>
            <w:shd w:val="solid" w:color="FFFFFF" w:fill="auto"/>
          </w:tcPr>
          <w:p w14:paraId="0BDDE26C" w14:textId="7AF7885F" w:rsidR="00F92505" w:rsidRPr="00873B6C" w:rsidRDefault="00F92505" w:rsidP="009D14FB">
            <w:pPr>
              <w:pStyle w:val="TAC"/>
              <w:rPr>
                <w:sz w:val="16"/>
                <w:szCs w:val="16"/>
              </w:rPr>
            </w:pPr>
            <w:r w:rsidRPr="00873B6C">
              <w:rPr>
                <w:sz w:val="16"/>
                <w:szCs w:val="16"/>
              </w:rPr>
              <w:t>SP-210072</w:t>
            </w:r>
          </w:p>
        </w:tc>
        <w:tc>
          <w:tcPr>
            <w:tcW w:w="567" w:type="dxa"/>
            <w:shd w:val="solid" w:color="FFFFFF" w:fill="auto"/>
          </w:tcPr>
          <w:p w14:paraId="5A43F4FE" w14:textId="312A87E8" w:rsidR="00F92505" w:rsidRPr="00873B6C" w:rsidRDefault="00F92505" w:rsidP="009D14FB">
            <w:pPr>
              <w:pStyle w:val="TAL"/>
              <w:rPr>
                <w:sz w:val="16"/>
                <w:szCs w:val="16"/>
              </w:rPr>
            </w:pPr>
            <w:r w:rsidRPr="00873B6C">
              <w:rPr>
                <w:sz w:val="16"/>
                <w:szCs w:val="16"/>
              </w:rPr>
              <w:t>2581</w:t>
            </w:r>
          </w:p>
        </w:tc>
        <w:tc>
          <w:tcPr>
            <w:tcW w:w="425" w:type="dxa"/>
            <w:shd w:val="solid" w:color="FFFFFF" w:fill="auto"/>
          </w:tcPr>
          <w:p w14:paraId="7C1A911B" w14:textId="421B0763" w:rsidR="00F92505" w:rsidRPr="00873B6C" w:rsidRDefault="00F92505" w:rsidP="009D14FB">
            <w:pPr>
              <w:pStyle w:val="TAL"/>
              <w:rPr>
                <w:sz w:val="16"/>
                <w:szCs w:val="16"/>
              </w:rPr>
            </w:pPr>
            <w:r w:rsidRPr="00873B6C">
              <w:rPr>
                <w:sz w:val="16"/>
                <w:szCs w:val="16"/>
              </w:rPr>
              <w:t>1</w:t>
            </w:r>
          </w:p>
        </w:tc>
        <w:tc>
          <w:tcPr>
            <w:tcW w:w="425" w:type="dxa"/>
            <w:shd w:val="solid" w:color="FFFFFF" w:fill="auto"/>
          </w:tcPr>
          <w:p w14:paraId="223DBB09" w14:textId="25107D14" w:rsidR="00F92505" w:rsidRPr="00873B6C" w:rsidRDefault="00F92505" w:rsidP="009D14FB">
            <w:pPr>
              <w:pStyle w:val="TAL"/>
              <w:rPr>
                <w:sz w:val="16"/>
                <w:szCs w:val="16"/>
              </w:rPr>
            </w:pPr>
            <w:r w:rsidRPr="00873B6C">
              <w:rPr>
                <w:sz w:val="16"/>
                <w:szCs w:val="16"/>
              </w:rPr>
              <w:t>B</w:t>
            </w:r>
          </w:p>
        </w:tc>
        <w:tc>
          <w:tcPr>
            <w:tcW w:w="4820" w:type="dxa"/>
            <w:shd w:val="solid" w:color="FFFFFF" w:fill="auto"/>
          </w:tcPr>
          <w:p w14:paraId="353D166C" w14:textId="50417A24" w:rsidR="00F92505" w:rsidRPr="00873B6C" w:rsidRDefault="00F92505" w:rsidP="009D14FB">
            <w:pPr>
              <w:pStyle w:val="TAL"/>
              <w:rPr>
                <w:sz w:val="16"/>
                <w:szCs w:val="16"/>
              </w:rPr>
            </w:pPr>
            <w:r w:rsidRPr="00873B6C">
              <w:rPr>
                <w:sz w:val="16"/>
                <w:szCs w:val="16"/>
              </w:rPr>
              <w:t>Adding the usage of Redundant Transmission Experience analytics for URLLC service</w:t>
            </w:r>
          </w:p>
        </w:tc>
        <w:tc>
          <w:tcPr>
            <w:tcW w:w="708" w:type="dxa"/>
            <w:shd w:val="solid" w:color="FFFFFF" w:fill="auto"/>
          </w:tcPr>
          <w:p w14:paraId="0391F206" w14:textId="677C022E" w:rsidR="00F92505" w:rsidRPr="00873B6C" w:rsidRDefault="00F92505" w:rsidP="009D14FB">
            <w:pPr>
              <w:pStyle w:val="TAC"/>
              <w:rPr>
                <w:b/>
                <w:bCs/>
                <w:sz w:val="16"/>
                <w:szCs w:val="16"/>
              </w:rPr>
            </w:pPr>
            <w:r w:rsidRPr="00873B6C">
              <w:rPr>
                <w:b/>
                <w:bCs/>
                <w:sz w:val="16"/>
                <w:szCs w:val="16"/>
              </w:rPr>
              <w:t>17.0.0</w:t>
            </w:r>
          </w:p>
        </w:tc>
      </w:tr>
      <w:tr w:rsidR="00405088" w:rsidRPr="00873B6C" w14:paraId="5001609A" w14:textId="77777777" w:rsidTr="009D14FB">
        <w:tc>
          <w:tcPr>
            <w:tcW w:w="800" w:type="dxa"/>
            <w:shd w:val="solid" w:color="FFFFFF" w:fill="auto"/>
          </w:tcPr>
          <w:p w14:paraId="1072A191" w14:textId="5FE3E277"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18ACE742" w14:textId="4473C5FF"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3C308F91" w14:textId="34A42DD4" w:rsidR="00405088" w:rsidRPr="00873B6C" w:rsidRDefault="00405088" w:rsidP="009D14FB">
            <w:pPr>
              <w:pStyle w:val="TAC"/>
              <w:rPr>
                <w:sz w:val="16"/>
                <w:szCs w:val="16"/>
              </w:rPr>
            </w:pPr>
            <w:r w:rsidRPr="00873B6C">
              <w:rPr>
                <w:sz w:val="16"/>
                <w:szCs w:val="16"/>
              </w:rPr>
              <w:t>SP-210072</w:t>
            </w:r>
          </w:p>
        </w:tc>
        <w:tc>
          <w:tcPr>
            <w:tcW w:w="567" w:type="dxa"/>
            <w:shd w:val="solid" w:color="FFFFFF" w:fill="auto"/>
          </w:tcPr>
          <w:p w14:paraId="2E00772F" w14:textId="17F9880A" w:rsidR="00405088" w:rsidRPr="00873B6C" w:rsidRDefault="00405088" w:rsidP="009D14FB">
            <w:pPr>
              <w:pStyle w:val="TAL"/>
              <w:rPr>
                <w:sz w:val="16"/>
                <w:szCs w:val="16"/>
              </w:rPr>
            </w:pPr>
            <w:r w:rsidRPr="00873B6C">
              <w:rPr>
                <w:sz w:val="16"/>
                <w:szCs w:val="16"/>
              </w:rPr>
              <w:t>2582</w:t>
            </w:r>
          </w:p>
        </w:tc>
        <w:tc>
          <w:tcPr>
            <w:tcW w:w="425" w:type="dxa"/>
            <w:shd w:val="solid" w:color="FFFFFF" w:fill="auto"/>
          </w:tcPr>
          <w:p w14:paraId="62E900D1" w14:textId="0F1C72FA"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1FD13B5A" w14:textId="5A99D2F1"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38DEB4FA" w14:textId="2589DB06" w:rsidR="00405088" w:rsidRPr="00873B6C" w:rsidRDefault="00405088" w:rsidP="009D14FB">
            <w:pPr>
              <w:pStyle w:val="TAL"/>
              <w:rPr>
                <w:sz w:val="16"/>
                <w:szCs w:val="16"/>
              </w:rPr>
            </w:pPr>
            <w:r w:rsidRPr="00873B6C">
              <w:rPr>
                <w:sz w:val="16"/>
                <w:szCs w:val="16"/>
              </w:rPr>
              <w:t>Adding the usage of extended UE Mobility analytics for LADN service</w:t>
            </w:r>
          </w:p>
        </w:tc>
        <w:tc>
          <w:tcPr>
            <w:tcW w:w="708" w:type="dxa"/>
            <w:shd w:val="solid" w:color="FFFFFF" w:fill="auto"/>
          </w:tcPr>
          <w:p w14:paraId="52D1A706" w14:textId="68119B81" w:rsidR="00405088" w:rsidRPr="00873B6C" w:rsidRDefault="00405088" w:rsidP="009D14FB">
            <w:pPr>
              <w:pStyle w:val="TAC"/>
              <w:rPr>
                <w:b/>
                <w:bCs/>
                <w:sz w:val="16"/>
                <w:szCs w:val="16"/>
              </w:rPr>
            </w:pPr>
            <w:r w:rsidRPr="00873B6C">
              <w:rPr>
                <w:b/>
                <w:bCs/>
                <w:sz w:val="16"/>
                <w:szCs w:val="16"/>
              </w:rPr>
              <w:t>17.0.0</w:t>
            </w:r>
          </w:p>
        </w:tc>
      </w:tr>
      <w:tr w:rsidR="00405088" w:rsidRPr="00873B6C" w14:paraId="45070DA8" w14:textId="77777777" w:rsidTr="009D14FB">
        <w:tc>
          <w:tcPr>
            <w:tcW w:w="800" w:type="dxa"/>
            <w:shd w:val="solid" w:color="FFFFFF" w:fill="auto"/>
          </w:tcPr>
          <w:p w14:paraId="422D1583" w14:textId="3AA3BBC0"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569F1084" w14:textId="366686CC"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2F496E32" w14:textId="08F124DC" w:rsidR="00405088" w:rsidRPr="00873B6C" w:rsidRDefault="00405088" w:rsidP="009D14FB">
            <w:pPr>
              <w:pStyle w:val="TAC"/>
              <w:rPr>
                <w:sz w:val="16"/>
                <w:szCs w:val="16"/>
              </w:rPr>
            </w:pPr>
            <w:r w:rsidRPr="00873B6C">
              <w:rPr>
                <w:sz w:val="16"/>
                <w:szCs w:val="16"/>
              </w:rPr>
              <w:t>SP-210068</w:t>
            </w:r>
          </w:p>
        </w:tc>
        <w:tc>
          <w:tcPr>
            <w:tcW w:w="567" w:type="dxa"/>
            <w:shd w:val="solid" w:color="FFFFFF" w:fill="auto"/>
          </w:tcPr>
          <w:p w14:paraId="2F1550A0" w14:textId="727C38C9" w:rsidR="00405088" w:rsidRPr="00873B6C" w:rsidRDefault="00405088" w:rsidP="009D14FB">
            <w:pPr>
              <w:pStyle w:val="TAL"/>
              <w:rPr>
                <w:sz w:val="16"/>
                <w:szCs w:val="16"/>
              </w:rPr>
            </w:pPr>
            <w:r w:rsidRPr="00873B6C">
              <w:rPr>
                <w:sz w:val="16"/>
                <w:szCs w:val="16"/>
              </w:rPr>
              <w:t>2583</w:t>
            </w:r>
          </w:p>
        </w:tc>
        <w:tc>
          <w:tcPr>
            <w:tcW w:w="425" w:type="dxa"/>
            <w:shd w:val="solid" w:color="FFFFFF" w:fill="auto"/>
          </w:tcPr>
          <w:p w14:paraId="5FC2E982" w14:textId="424D8B0A"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538502D5" w14:textId="133A9513"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30CA80B8" w14:textId="418F1F29" w:rsidR="00405088" w:rsidRPr="00873B6C" w:rsidRDefault="00405088" w:rsidP="009D14FB">
            <w:pPr>
              <w:pStyle w:val="TAL"/>
              <w:rPr>
                <w:sz w:val="16"/>
                <w:szCs w:val="16"/>
              </w:rPr>
            </w:pPr>
            <w:r w:rsidRPr="00873B6C">
              <w:rPr>
                <w:sz w:val="16"/>
                <w:szCs w:val="16"/>
              </w:rPr>
              <w:t>PMF enhancements to support per QoS Flow measurements</w:t>
            </w:r>
          </w:p>
        </w:tc>
        <w:tc>
          <w:tcPr>
            <w:tcW w:w="708" w:type="dxa"/>
            <w:shd w:val="solid" w:color="FFFFFF" w:fill="auto"/>
          </w:tcPr>
          <w:p w14:paraId="63B8D66D" w14:textId="631BAC87" w:rsidR="00405088" w:rsidRPr="00873B6C" w:rsidRDefault="00405088" w:rsidP="009D14FB">
            <w:pPr>
              <w:pStyle w:val="TAC"/>
              <w:rPr>
                <w:b/>
                <w:bCs/>
                <w:sz w:val="16"/>
                <w:szCs w:val="16"/>
              </w:rPr>
            </w:pPr>
            <w:r w:rsidRPr="00873B6C">
              <w:rPr>
                <w:b/>
                <w:bCs/>
                <w:sz w:val="16"/>
                <w:szCs w:val="16"/>
              </w:rPr>
              <w:t>17.0.0</w:t>
            </w:r>
          </w:p>
        </w:tc>
      </w:tr>
      <w:tr w:rsidR="00405088" w:rsidRPr="00873B6C" w14:paraId="0C25D337" w14:textId="77777777" w:rsidTr="009D14FB">
        <w:tc>
          <w:tcPr>
            <w:tcW w:w="800" w:type="dxa"/>
            <w:shd w:val="solid" w:color="FFFFFF" w:fill="auto"/>
          </w:tcPr>
          <w:p w14:paraId="4D50E85D" w14:textId="222489FF"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33EF172C" w14:textId="6ECECB22"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7658AF39" w14:textId="3A6A5A90" w:rsidR="00405088" w:rsidRPr="00873B6C" w:rsidRDefault="00405088" w:rsidP="009D14FB">
            <w:pPr>
              <w:pStyle w:val="TAC"/>
              <w:rPr>
                <w:sz w:val="16"/>
                <w:szCs w:val="16"/>
              </w:rPr>
            </w:pPr>
            <w:r w:rsidRPr="00873B6C">
              <w:rPr>
                <w:sz w:val="16"/>
                <w:szCs w:val="16"/>
              </w:rPr>
              <w:t>SP-210072</w:t>
            </w:r>
          </w:p>
        </w:tc>
        <w:tc>
          <w:tcPr>
            <w:tcW w:w="567" w:type="dxa"/>
            <w:shd w:val="solid" w:color="FFFFFF" w:fill="auto"/>
          </w:tcPr>
          <w:p w14:paraId="43471F68" w14:textId="039B88EC" w:rsidR="00405088" w:rsidRPr="00873B6C" w:rsidRDefault="00405088" w:rsidP="009D14FB">
            <w:pPr>
              <w:pStyle w:val="TAL"/>
              <w:rPr>
                <w:sz w:val="16"/>
                <w:szCs w:val="16"/>
              </w:rPr>
            </w:pPr>
            <w:r w:rsidRPr="00873B6C">
              <w:rPr>
                <w:sz w:val="16"/>
                <w:szCs w:val="16"/>
              </w:rPr>
              <w:t>2584</w:t>
            </w:r>
          </w:p>
        </w:tc>
        <w:tc>
          <w:tcPr>
            <w:tcW w:w="425" w:type="dxa"/>
            <w:shd w:val="solid" w:color="FFFFFF" w:fill="auto"/>
          </w:tcPr>
          <w:p w14:paraId="1A8CC2CF" w14:textId="3BBF9F02"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251A3380" w14:textId="665891D1"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79368718" w14:textId="79E8FDF0" w:rsidR="00405088" w:rsidRPr="00873B6C" w:rsidRDefault="00405088" w:rsidP="009D14FB">
            <w:pPr>
              <w:pStyle w:val="TAL"/>
              <w:rPr>
                <w:sz w:val="16"/>
                <w:szCs w:val="16"/>
              </w:rPr>
            </w:pPr>
            <w:r w:rsidRPr="00873B6C">
              <w:rPr>
                <w:sz w:val="16"/>
                <w:szCs w:val="16"/>
              </w:rPr>
              <w:t xml:space="preserve">Extensions of NWDAF services </w:t>
            </w:r>
          </w:p>
        </w:tc>
        <w:tc>
          <w:tcPr>
            <w:tcW w:w="708" w:type="dxa"/>
            <w:shd w:val="solid" w:color="FFFFFF" w:fill="auto"/>
          </w:tcPr>
          <w:p w14:paraId="3BE99C81" w14:textId="63691DEF" w:rsidR="00405088" w:rsidRPr="00873B6C" w:rsidRDefault="00405088" w:rsidP="009D14FB">
            <w:pPr>
              <w:pStyle w:val="TAC"/>
              <w:rPr>
                <w:b/>
                <w:bCs/>
                <w:sz w:val="16"/>
                <w:szCs w:val="16"/>
              </w:rPr>
            </w:pPr>
            <w:r w:rsidRPr="00873B6C">
              <w:rPr>
                <w:b/>
                <w:bCs/>
                <w:sz w:val="16"/>
                <w:szCs w:val="16"/>
              </w:rPr>
              <w:t>17.0.0</w:t>
            </w:r>
          </w:p>
        </w:tc>
      </w:tr>
      <w:tr w:rsidR="00405088" w:rsidRPr="00873B6C" w14:paraId="0F10D1EB" w14:textId="77777777" w:rsidTr="009D14FB">
        <w:tc>
          <w:tcPr>
            <w:tcW w:w="800" w:type="dxa"/>
            <w:shd w:val="solid" w:color="FFFFFF" w:fill="auto"/>
          </w:tcPr>
          <w:p w14:paraId="15DAACAE" w14:textId="1351D1B5"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011F5E57" w14:textId="44E6BC1C"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2B72DBE4" w14:textId="0E3B3414" w:rsidR="00405088" w:rsidRPr="00873B6C" w:rsidRDefault="00405088" w:rsidP="009D14FB">
            <w:pPr>
              <w:pStyle w:val="TAC"/>
              <w:rPr>
                <w:sz w:val="16"/>
                <w:szCs w:val="16"/>
              </w:rPr>
            </w:pPr>
            <w:r w:rsidRPr="00873B6C">
              <w:rPr>
                <w:sz w:val="16"/>
                <w:szCs w:val="16"/>
              </w:rPr>
              <w:t>SP-210072</w:t>
            </w:r>
          </w:p>
        </w:tc>
        <w:tc>
          <w:tcPr>
            <w:tcW w:w="567" w:type="dxa"/>
            <w:shd w:val="solid" w:color="FFFFFF" w:fill="auto"/>
          </w:tcPr>
          <w:p w14:paraId="706A7AB7" w14:textId="2654E059" w:rsidR="00405088" w:rsidRPr="00873B6C" w:rsidRDefault="00405088" w:rsidP="009D14FB">
            <w:pPr>
              <w:pStyle w:val="TAL"/>
              <w:rPr>
                <w:sz w:val="16"/>
                <w:szCs w:val="16"/>
              </w:rPr>
            </w:pPr>
            <w:r w:rsidRPr="00873B6C">
              <w:rPr>
                <w:sz w:val="16"/>
                <w:szCs w:val="16"/>
              </w:rPr>
              <w:t>2585</w:t>
            </w:r>
          </w:p>
        </w:tc>
        <w:tc>
          <w:tcPr>
            <w:tcW w:w="425" w:type="dxa"/>
            <w:shd w:val="solid" w:color="FFFFFF" w:fill="auto"/>
          </w:tcPr>
          <w:p w14:paraId="3FF2AF5C" w14:textId="35C99B8A"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5C3E3BCE" w14:textId="28E75756"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5A893071" w14:textId="15844441" w:rsidR="00405088" w:rsidRPr="00873B6C" w:rsidRDefault="00405088" w:rsidP="009D14FB">
            <w:pPr>
              <w:pStyle w:val="TAL"/>
              <w:rPr>
                <w:sz w:val="16"/>
                <w:szCs w:val="16"/>
              </w:rPr>
            </w:pPr>
            <w:r w:rsidRPr="00873B6C">
              <w:rPr>
                <w:sz w:val="16"/>
                <w:szCs w:val="16"/>
              </w:rPr>
              <w:t xml:space="preserve">NWDAF discovery and selection based on provided ML models </w:t>
            </w:r>
          </w:p>
        </w:tc>
        <w:tc>
          <w:tcPr>
            <w:tcW w:w="708" w:type="dxa"/>
            <w:shd w:val="solid" w:color="FFFFFF" w:fill="auto"/>
          </w:tcPr>
          <w:p w14:paraId="5C143A63" w14:textId="3148DFC6" w:rsidR="00405088" w:rsidRPr="00873B6C" w:rsidRDefault="00405088" w:rsidP="009D14FB">
            <w:pPr>
              <w:pStyle w:val="TAC"/>
              <w:rPr>
                <w:b/>
                <w:bCs/>
                <w:sz w:val="16"/>
                <w:szCs w:val="16"/>
              </w:rPr>
            </w:pPr>
            <w:r w:rsidRPr="00873B6C">
              <w:rPr>
                <w:b/>
                <w:bCs/>
                <w:sz w:val="16"/>
                <w:szCs w:val="16"/>
              </w:rPr>
              <w:t>17.0.0</w:t>
            </w:r>
          </w:p>
        </w:tc>
      </w:tr>
      <w:tr w:rsidR="00405088" w:rsidRPr="00873B6C" w14:paraId="14B59D3E" w14:textId="77777777" w:rsidTr="009D14FB">
        <w:tc>
          <w:tcPr>
            <w:tcW w:w="800" w:type="dxa"/>
            <w:shd w:val="solid" w:color="FFFFFF" w:fill="auto"/>
          </w:tcPr>
          <w:p w14:paraId="64329290" w14:textId="165E0B7F"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032D8B6A" w14:textId="30EBD4EA"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054A009B" w14:textId="0B0857E2" w:rsidR="00405088" w:rsidRPr="00873B6C" w:rsidRDefault="00405088" w:rsidP="009D14FB">
            <w:pPr>
              <w:pStyle w:val="TAC"/>
              <w:rPr>
                <w:sz w:val="16"/>
                <w:szCs w:val="16"/>
              </w:rPr>
            </w:pPr>
            <w:r w:rsidRPr="00873B6C">
              <w:rPr>
                <w:sz w:val="16"/>
                <w:szCs w:val="16"/>
              </w:rPr>
              <w:t>SP-210072</w:t>
            </w:r>
          </w:p>
        </w:tc>
        <w:tc>
          <w:tcPr>
            <w:tcW w:w="567" w:type="dxa"/>
            <w:shd w:val="solid" w:color="FFFFFF" w:fill="auto"/>
          </w:tcPr>
          <w:p w14:paraId="0305FC67" w14:textId="79DB074A" w:rsidR="00405088" w:rsidRPr="00873B6C" w:rsidRDefault="00405088" w:rsidP="009D14FB">
            <w:pPr>
              <w:pStyle w:val="TAL"/>
              <w:rPr>
                <w:sz w:val="16"/>
                <w:szCs w:val="16"/>
              </w:rPr>
            </w:pPr>
            <w:r w:rsidRPr="00873B6C">
              <w:rPr>
                <w:sz w:val="16"/>
                <w:szCs w:val="16"/>
              </w:rPr>
              <w:t>2586</w:t>
            </w:r>
          </w:p>
        </w:tc>
        <w:tc>
          <w:tcPr>
            <w:tcW w:w="425" w:type="dxa"/>
            <w:shd w:val="solid" w:color="FFFFFF" w:fill="auto"/>
          </w:tcPr>
          <w:p w14:paraId="17B0A778" w14:textId="21E2065B"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6F1569AF" w14:textId="543DB52F"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23844642" w14:textId="24D7025A" w:rsidR="00405088" w:rsidRPr="00873B6C" w:rsidRDefault="00405088" w:rsidP="009D14FB">
            <w:pPr>
              <w:pStyle w:val="TAL"/>
              <w:rPr>
                <w:sz w:val="16"/>
                <w:szCs w:val="16"/>
              </w:rPr>
            </w:pPr>
            <w:r w:rsidRPr="00873B6C">
              <w:rPr>
                <w:sz w:val="16"/>
                <w:szCs w:val="16"/>
              </w:rPr>
              <w:t>UP path selection enhancement based on analytics info provided by NWDAF</w:t>
            </w:r>
          </w:p>
        </w:tc>
        <w:tc>
          <w:tcPr>
            <w:tcW w:w="708" w:type="dxa"/>
            <w:shd w:val="solid" w:color="FFFFFF" w:fill="auto"/>
          </w:tcPr>
          <w:p w14:paraId="24881C62" w14:textId="3C8EC083" w:rsidR="00405088" w:rsidRPr="00873B6C" w:rsidRDefault="00405088" w:rsidP="009D14FB">
            <w:pPr>
              <w:pStyle w:val="TAC"/>
              <w:rPr>
                <w:b/>
                <w:bCs/>
                <w:sz w:val="16"/>
                <w:szCs w:val="16"/>
              </w:rPr>
            </w:pPr>
            <w:r w:rsidRPr="00873B6C">
              <w:rPr>
                <w:b/>
                <w:bCs/>
                <w:sz w:val="16"/>
                <w:szCs w:val="16"/>
              </w:rPr>
              <w:t>17.0.0</w:t>
            </w:r>
          </w:p>
        </w:tc>
      </w:tr>
      <w:tr w:rsidR="00405088" w:rsidRPr="00873B6C" w14:paraId="1AD79F9F" w14:textId="77777777" w:rsidTr="009D14FB">
        <w:tc>
          <w:tcPr>
            <w:tcW w:w="800" w:type="dxa"/>
            <w:shd w:val="solid" w:color="FFFFFF" w:fill="auto"/>
          </w:tcPr>
          <w:p w14:paraId="0FBA5982" w14:textId="5D1346F0"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7B08851F" w14:textId="47955D86"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10E7FF9C" w14:textId="0FA0CD07" w:rsidR="00405088" w:rsidRPr="00873B6C" w:rsidRDefault="00405088" w:rsidP="009D14FB">
            <w:pPr>
              <w:pStyle w:val="TAC"/>
              <w:rPr>
                <w:sz w:val="16"/>
                <w:szCs w:val="16"/>
              </w:rPr>
            </w:pPr>
            <w:r w:rsidRPr="00873B6C">
              <w:rPr>
                <w:sz w:val="16"/>
                <w:szCs w:val="16"/>
              </w:rPr>
              <w:t>SP-210068</w:t>
            </w:r>
          </w:p>
        </w:tc>
        <w:tc>
          <w:tcPr>
            <w:tcW w:w="567" w:type="dxa"/>
            <w:shd w:val="solid" w:color="FFFFFF" w:fill="auto"/>
          </w:tcPr>
          <w:p w14:paraId="2F45B533" w14:textId="400D6DAF" w:rsidR="00405088" w:rsidRPr="00873B6C" w:rsidRDefault="00405088" w:rsidP="009D14FB">
            <w:pPr>
              <w:pStyle w:val="TAL"/>
              <w:rPr>
                <w:sz w:val="16"/>
                <w:szCs w:val="16"/>
              </w:rPr>
            </w:pPr>
            <w:r w:rsidRPr="00873B6C">
              <w:rPr>
                <w:sz w:val="16"/>
                <w:szCs w:val="16"/>
              </w:rPr>
              <w:t>2587</w:t>
            </w:r>
          </w:p>
        </w:tc>
        <w:tc>
          <w:tcPr>
            <w:tcW w:w="425" w:type="dxa"/>
            <w:shd w:val="solid" w:color="FFFFFF" w:fill="auto"/>
          </w:tcPr>
          <w:p w14:paraId="204541D7" w14:textId="4B6C3875"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1BFBA68E" w14:textId="5C365CB1"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20315A13" w14:textId="0025B121" w:rsidR="00405088" w:rsidRPr="00873B6C" w:rsidRDefault="00405088" w:rsidP="009D14FB">
            <w:pPr>
              <w:pStyle w:val="TAL"/>
              <w:rPr>
                <w:sz w:val="16"/>
                <w:szCs w:val="16"/>
              </w:rPr>
            </w:pPr>
            <w:r w:rsidRPr="00873B6C">
              <w:rPr>
                <w:sz w:val="16"/>
                <w:szCs w:val="16"/>
              </w:rPr>
              <w:t>Packet Loss Rate measurements</w:t>
            </w:r>
          </w:p>
        </w:tc>
        <w:tc>
          <w:tcPr>
            <w:tcW w:w="708" w:type="dxa"/>
            <w:shd w:val="solid" w:color="FFFFFF" w:fill="auto"/>
          </w:tcPr>
          <w:p w14:paraId="20593F21" w14:textId="7526D167" w:rsidR="00405088" w:rsidRPr="00873B6C" w:rsidRDefault="00405088" w:rsidP="009D14FB">
            <w:pPr>
              <w:pStyle w:val="TAC"/>
              <w:rPr>
                <w:b/>
                <w:bCs/>
                <w:sz w:val="16"/>
                <w:szCs w:val="16"/>
              </w:rPr>
            </w:pPr>
            <w:r w:rsidRPr="00873B6C">
              <w:rPr>
                <w:b/>
                <w:bCs/>
                <w:sz w:val="16"/>
                <w:szCs w:val="16"/>
              </w:rPr>
              <w:t>17.0.0</w:t>
            </w:r>
          </w:p>
        </w:tc>
      </w:tr>
      <w:tr w:rsidR="00405088" w:rsidRPr="00873B6C" w14:paraId="2084A483" w14:textId="77777777" w:rsidTr="009D14FB">
        <w:tc>
          <w:tcPr>
            <w:tcW w:w="800" w:type="dxa"/>
            <w:shd w:val="solid" w:color="FFFFFF" w:fill="auto"/>
          </w:tcPr>
          <w:p w14:paraId="4E7FE367" w14:textId="1BA7ECAA"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1B43B4DF" w14:textId="142EFCA5"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0F7E894F" w14:textId="33DB0FBA" w:rsidR="00405088" w:rsidRPr="00873B6C" w:rsidRDefault="00405088" w:rsidP="009D14FB">
            <w:pPr>
              <w:pStyle w:val="TAC"/>
              <w:rPr>
                <w:sz w:val="16"/>
                <w:szCs w:val="16"/>
              </w:rPr>
            </w:pPr>
            <w:r w:rsidRPr="00873B6C">
              <w:rPr>
                <w:sz w:val="16"/>
                <w:szCs w:val="16"/>
              </w:rPr>
              <w:t>SP-210068</w:t>
            </w:r>
          </w:p>
        </w:tc>
        <w:tc>
          <w:tcPr>
            <w:tcW w:w="567" w:type="dxa"/>
            <w:shd w:val="solid" w:color="FFFFFF" w:fill="auto"/>
          </w:tcPr>
          <w:p w14:paraId="04665B51" w14:textId="269EC66A" w:rsidR="00405088" w:rsidRPr="00873B6C" w:rsidRDefault="00405088" w:rsidP="009D14FB">
            <w:pPr>
              <w:pStyle w:val="TAL"/>
              <w:rPr>
                <w:sz w:val="16"/>
                <w:szCs w:val="16"/>
              </w:rPr>
            </w:pPr>
            <w:r w:rsidRPr="00873B6C">
              <w:rPr>
                <w:sz w:val="16"/>
                <w:szCs w:val="16"/>
              </w:rPr>
              <w:t>2590</w:t>
            </w:r>
          </w:p>
        </w:tc>
        <w:tc>
          <w:tcPr>
            <w:tcW w:w="425" w:type="dxa"/>
            <w:shd w:val="solid" w:color="FFFFFF" w:fill="auto"/>
          </w:tcPr>
          <w:p w14:paraId="65C9EE11" w14:textId="7CE82E66"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0EBEF27F" w14:textId="73647084"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4E69B054" w14:textId="23DB6C6B" w:rsidR="00405088" w:rsidRPr="00873B6C" w:rsidRDefault="00405088" w:rsidP="009D14FB">
            <w:pPr>
              <w:pStyle w:val="TAL"/>
              <w:rPr>
                <w:sz w:val="16"/>
                <w:szCs w:val="16"/>
              </w:rPr>
            </w:pPr>
            <w:r w:rsidRPr="00873B6C">
              <w:rPr>
                <w:sz w:val="16"/>
                <w:szCs w:val="16"/>
              </w:rPr>
              <w:t>Applying thresholds to Load-Balancing steering mode in ATSSS</w:t>
            </w:r>
          </w:p>
        </w:tc>
        <w:tc>
          <w:tcPr>
            <w:tcW w:w="708" w:type="dxa"/>
            <w:shd w:val="solid" w:color="FFFFFF" w:fill="auto"/>
          </w:tcPr>
          <w:p w14:paraId="479E5737" w14:textId="024FA253" w:rsidR="00405088" w:rsidRPr="00873B6C" w:rsidRDefault="00405088" w:rsidP="009D14FB">
            <w:pPr>
              <w:pStyle w:val="TAC"/>
              <w:rPr>
                <w:b/>
                <w:bCs/>
                <w:sz w:val="16"/>
                <w:szCs w:val="16"/>
              </w:rPr>
            </w:pPr>
            <w:r w:rsidRPr="00873B6C">
              <w:rPr>
                <w:b/>
                <w:bCs/>
                <w:sz w:val="16"/>
                <w:szCs w:val="16"/>
              </w:rPr>
              <w:t>17.0.0</w:t>
            </w:r>
          </w:p>
        </w:tc>
      </w:tr>
      <w:tr w:rsidR="00405088" w:rsidRPr="00873B6C" w14:paraId="27AB3C59" w14:textId="77777777" w:rsidTr="009D14FB">
        <w:tc>
          <w:tcPr>
            <w:tcW w:w="800" w:type="dxa"/>
            <w:shd w:val="solid" w:color="FFFFFF" w:fill="auto"/>
          </w:tcPr>
          <w:p w14:paraId="50FC946C" w14:textId="6F36ED7C"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04D6C4E9" w14:textId="29418F01"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3E4CD1AC" w14:textId="2031FE38" w:rsidR="00405088" w:rsidRPr="00873B6C" w:rsidRDefault="00405088" w:rsidP="009D14FB">
            <w:pPr>
              <w:pStyle w:val="TAC"/>
              <w:rPr>
                <w:sz w:val="16"/>
                <w:szCs w:val="16"/>
              </w:rPr>
            </w:pPr>
            <w:r w:rsidRPr="00873B6C">
              <w:rPr>
                <w:sz w:val="16"/>
                <w:szCs w:val="16"/>
              </w:rPr>
              <w:t>SP-210064</w:t>
            </w:r>
          </w:p>
        </w:tc>
        <w:tc>
          <w:tcPr>
            <w:tcW w:w="567" w:type="dxa"/>
            <w:shd w:val="solid" w:color="FFFFFF" w:fill="auto"/>
          </w:tcPr>
          <w:p w14:paraId="241481B6" w14:textId="12BA0C09" w:rsidR="00405088" w:rsidRPr="00873B6C" w:rsidRDefault="00405088" w:rsidP="009D14FB">
            <w:pPr>
              <w:pStyle w:val="TAL"/>
              <w:rPr>
                <w:sz w:val="16"/>
                <w:szCs w:val="16"/>
              </w:rPr>
            </w:pPr>
            <w:r w:rsidRPr="00873B6C">
              <w:rPr>
                <w:sz w:val="16"/>
                <w:szCs w:val="16"/>
              </w:rPr>
              <w:t>2596</w:t>
            </w:r>
          </w:p>
        </w:tc>
        <w:tc>
          <w:tcPr>
            <w:tcW w:w="425" w:type="dxa"/>
            <w:shd w:val="solid" w:color="FFFFFF" w:fill="auto"/>
          </w:tcPr>
          <w:p w14:paraId="41C0EEDF" w14:textId="07182347"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2198ACFE" w14:textId="6D00BF4F"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793146CA" w14:textId="45E88C38" w:rsidR="00405088" w:rsidRPr="00873B6C" w:rsidRDefault="00405088" w:rsidP="009D14FB">
            <w:pPr>
              <w:pStyle w:val="TAL"/>
              <w:rPr>
                <w:sz w:val="16"/>
                <w:szCs w:val="16"/>
              </w:rPr>
            </w:pPr>
            <w:r w:rsidRPr="00873B6C">
              <w:rPr>
                <w:sz w:val="16"/>
                <w:szCs w:val="16"/>
              </w:rPr>
              <w:t>AF Services for 5G ProSe</w:t>
            </w:r>
          </w:p>
        </w:tc>
        <w:tc>
          <w:tcPr>
            <w:tcW w:w="708" w:type="dxa"/>
            <w:shd w:val="solid" w:color="FFFFFF" w:fill="auto"/>
          </w:tcPr>
          <w:p w14:paraId="7275AE43" w14:textId="194FF902" w:rsidR="00405088" w:rsidRPr="00873B6C" w:rsidRDefault="00405088" w:rsidP="009D14FB">
            <w:pPr>
              <w:pStyle w:val="TAC"/>
              <w:rPr>
                <w:b/>
                <w:bCs/>
                <w:sz w:val="16"/>
                <w:szCs w:val="16"/>
              </w:rPr>
            </w:pPr>
            <w:r w:rsidRPr="00873B6C">
              <w:rPr>
                <w:b/>
                <w:bCs/>
                <w:sz w:val="16"/>
                <w:szCs w:val="16"/>
              </w:rPr>
              <w:t>17.0.0</w:t>
            </w:r>
          </w:p>
        </w:tc>
      </w:tr>
      <w:tr w:rsidR="007C0A9B" w:rsidRPr="00873B6C" w14:paraId="1797672A" w14:textId="77777777" w:rsidTr="009D14FB">
        <w:tc>
          <w:tcPr>
            <w:tcW w:w="800" w:type="dxa"/>
            <w:shd w:val="solid" w:color="FFFFFF" w:fill="auto"/>
          </w:tcPr>
          <w:p w14:paraId="29BB6F4E" w14:textId="265D854F" w:rsidR="007C0A9B" w:rsidRPr="00873B6C" w:rsidRDefault="007C0A9B" w:rsidP="009D14FB">
            <w:pPr>
              <w:pStyle w:val="TAC"/>
              <w:rPr>
                <w:sz w:val="16"/>
                <w:szCs w:val="16"/>
              </w:rPr>
            </w:pPr>
            <w:r w:rsidRPr="00873B6C">
              <w:rPr>
                <w:sz w:val="16"/>
                <w:szCs w:val="16"/>
              </w:rPr>
              <w:t>2021-03</w:t>
            </w:r>
          </w:p>
        </w:tc>
        <w:tc>
          <w:tcPr>
            <w:tcW w:w="800" w:type="dxa"/>
            <w:shd w:val="solid" w:color="FFFFFF" w:fill="auto"/>
          </w:tcPr>
          <w:p w14:paraId="16A9D2FD" w14:textId="6CCFF360" w:rsidR="007C0A9B" w:rsidRPr="00873B6C" w:rsidRDefault="007C0A9B" w:rsidP="009D14FB">
            <w:pPr>
              <w:pStyle w:val="TAL"/>
              <w:rPr>
                <w:sz w:val="16"/>
                <w:szCs w:val="16"/>
              </w:rPr>
            </w:pPr>
            <w:r w:rsidRPr="00873B6C">
              <w:rPr>
                <w:sz w:val="16"/>
                <w:szCs w:val="16"/>
              </w:rPr>
              <w:t>SP#91E</w:t>
            </w:r>
          </w:p>
        </w:tc>
        <w:tc>
          <w:tcPr>
            <w:tcW w:w="1094" w:type="dxa"/>
            <w:shd w:val="solid" w:color="FFFFFF" w:fill="auto"/>
          </w:tcPr>
          <w:p w14:paraId="0C0FF61D" w14:textId="4366CCD3" w:rsidR="007C0A9B" w:rsidRPr="00873B6C" w:rsidRDefault="007C0A9B" w:rsidP="009D14FB">
            <w:pPr>
              <w:pStyle w:val="TAC"/>
              <w:rPr>
                <w:sz w:val="16"/>
                <w:szCs w:val="16"/>
              </w:rPr>
            </w:pPr>
            <w:r w:rsidRPr="00873B6C">
              <w:rPr>
                <w:sz w:val="16"/>
                <w:szCs w:val="16"/>
              </w:rPr>
              <w:t>SP-210084</w:t>
            </w:r>
          </w:p>
        </w:tc>
        <w:tc>
          <w:tcPr>
            <w:tcW w:w="567" w:type="dxa"/>
            <w:shd w:val="solid" w:color="FFFFFF" w:fill="auto"/>
          </w:tcPr>
          <w:p w14:paraId="5B616939" w14:textId="2CE96B31" w:rsidR="007C0A9B" w:rsidRPr="00873B6C" w:rsidRDefault="007C0A9B" w:rsidP="009D14FB">
            <w:pPr>
              <w:pStyle w:val="TAL"/>
              <w:rPr>
                <w:sz w:val="16"/>
                <w:szCs w:val="16"/>
              </w:rPr>
            </w:pPr>
            <w:r w:rsidRPr="00873B6C">
              <w:rPr>
                <w:sz w:val="16"/>
                <w:szCs w:val="16"/>
              </w:rPr>
              <w:t>2606</w:t>
            </w:r>
          </w:p>
        </w:tc>
        <w:tc>
          <w:tcPr>
            <w:tcW w:w="425" w:type="dxa"/>
            <w:shd w:val="solid" w:color="FFFFFF" w:fill="auto"/>
          </w:tcPr>
          <w:p w14:paraId="430E981F" w14:textId="5D61311C" w:rsidR="007C0A9B" w:rsidRPr="00873B6C" w:rsidRDefault="007C0A9B" w:rsidP="009D14FB">
            <w:pPr>
              <w:pStyle w:val="TAL"/>
              <w:rPr>
                <w:sz w:val="16"/>
                <w:szCs w:val="16"/>
              </w:rPr>
            </w:pPr>
            <w:r w:rsidRPr="00873B6C">
              <w:rPr>
                <w:sz w:val="16"/>
                <w:szCs w:val="16"/>
              </w:rPr>
              <w:t>1</w:t>
            </w:r>
          </w:p>
        </w:tc>
        <w:tc>
          <w:tcPr>
            <w:tcW w:w="425" w:type="dxa"/>
            <w:shd w:val="solid" w:color="FFFFFF" w:fill="auto"/>
          </w:tcPr>
          <w:p w14:paraId="21EEA858" w14:textId="1CADB54B" w:rsidR="007C0A9B" w:rsidRPr="00873B6C" w:rsidRDefault="007C0A9B" w:rsidP="009D14FB">
            <w:pPr>
              <w:pStyle w:val="TAL"/>
              <w:rPr>
                <w:sz w:val="16"/>
                <w:szCs w:val="16"/>
              </w:rPr>
            </w:pPr>
            <w:r w:rsidRPr="00873B6C">
              <w:rPr>
                <w:sz w:val="16"/>
                <w:szCs w:val="16"/>
              </w:rPr>
              <w:t>B</w:t>
            </w:r>
          </w:p>
        </w:tc>
        <w:tc>
          <w:tcPr>
            <w:tcW w:w="4820" w:type="dxa"/>
            <w:shd w:val="solid" w:color="FFFFFF" w:fill="auto"/>
          </w:tcPr>
          <w:p w14:paraId="5BBCEB98" w14:textId="527E29D7" w:rsidR="007C0A9B" w:rsidRPr="00873B6C" w:rsidRDefault="007C0A9B" w:rsidP="009D14FB">
            <w:pPr>
              <w:pStyle w:val="TAL"/>
              <w:rPr>
                <w:sz w:val="16"/>
                <w:szCs w:val="16"/>
              </w:rPr>
            </w:pPr>
            <w:r w:rsidRPr="00873B6C">
              <w:rPr>
                <w:sz w:val="16"/>
                <w:szCs w:val="16"/>
              </w:rPr>
              <w:t>KI#2 Supporting UE-UE TSC</w:t>
            </w:r>
          </w:p>
        </w:tc>
        <w:tc>
          <w:tcPr>
            <w:tcW w:w="708" w:type="dxa"/>
            <w:shd w:val="solid" w:color="FFFFFF" w:fill="auto"/>
          </w:tcPr>
          <w:p w14:paraId="79A705D3" w14:textId="025F70DD" w:rsidR="007C0A9B" w:rsidRPr="00873B6C" w:rsidRDefault="007C0A9B" w:rsidP="009D14FB">
            <w:pPr>
              <w:pStyle w:val="TAC"/>
              <w:rPr>
                <w:b/>
                <w:bCs/>
                <w:sz w:val="16"/>
                <w:szCs w:val="16"/>
              </w:rPr>
            </w:pPr>
            <w:r w:rsidRPr="00873B6C">
              <w:rPr>
                <w:b/>
                <w:bCs/>
                <w:sz w:val="16"/>
                <w:szCs w:val="16"/>
              </w:rPr>
              <w:t>17.0.0</w:t>
            </w:r>
          </w:p>
        </w:tc>
      </w:tr>
      <w:tr w:rsidR="009D42BF" w:rsidRPr="00873B6C" w14:paraId="7E8A92B2" w14:textId="77777777" w:rsidTr="009D14FB">
        <w:tc>
          <w:tcPr>
            <w:tcW w:w="800" w:type="dxa"/>
            <w:shd w:val="solid" w:color="FFFFFF" w:fill="auto"/>
          </w:tcPr>
          <w:p w14:paraId="41BE0F25" w14:textId="252ABE70" w:rsidR="009D42BF" w:rsidRPr="00873B6C" w:rsidRDefault="009D42BF" w:rsidP="009D14FB">
            <w:pPr>
              <w:pStyle w:val="TAC"/>
              <w:rPr>
                <w:sz w:val="16"/>
                <w:szCs w:val="16"/>
              </w:rPr>
            </w:pPr>
            <w:r w:rsidRPr="00873B6C">
              <w:rPr>
                <w:sz w:val="16"/>
                <w:szCs w:val="16"/>
              </w:rPr>
              <w:t>2021-03</w:t>
            </w:r>
          </w:p>
        </w:tc>
        <w:tc>
          <w:tcPr>
            <w:tcW w:w="800" w:type="dxa"/>
            <w:shd w:val="solid" w:color="FFFFFF" w:fill="auto"/>
          </w:tcPr>
          <w:p w14:paraId="3357E1A6" w14:textId="73D88741" w:rsidR="009D42BF" w:rsidRPr="00873B6C" w:rsidRDefault="009D42BF" w:rsidP="009D14FB">
            <w:pPr>
              <w:pStyle w:val="TAL"/>
              <w:rPr>
                <w:sz w:val="16"/>
                <w:szCs w:val="16"/>
              </w:rPr>
            </w:pPr>
            <w:r w:rsidRPr="00873B6C">
              <w:rPr>
                <w:sz w:val="16"/>
                <w:szCs w:val="16"/>
              </w:rPr>
              <w:t>SP#91E</w:t>
            </w:r>
          </w:p>
        </w:tc>
        <w:tc>
          <w:tcPr>
            <w:tcW w:w="1094" w:type="dxa"/>
            <w:shd w:val="solid" w:color="FFFFFF" w:fill="auto"/>
          </w:tcPr>
          <w:p w14:paraId="4D7863A9" w14:textId="03E343E1" w:rsidR="009D42BF" w:rsidRPr="00873B6C" w:rsidRDefault="009D42BF" w:rsidP="009D14FB">
            <w:pPr>
              <w:pStyle w:val="TAC"/>
              <w:rPr>
                <w:sz w:val="16"/>
                <w:szCs w:val="16"/>
              </w:rPr>
            </w:pPr>
            <w:r w:rsidRPr="00873B6C">
              <w:rPr>
                <w:sz w:val="16"/>
                <w:szCs w:val="16"/>
              </w:rPr>
              <w:t>SP-210074</w:t>
            </w:r>
          </w:p>
        </w:tc>
        <w:tc>
          <w:tcPr>
            <w:tcW w:w="567" w:type="dxa"/>
            <w:shd w:val="solid" w:color="FFFFFF" w:fill="auto"/>
          </w:tcPr>
          <w:p w14:paraId="1E9439BE" w14:textId="7AD4456F" w:rsidR="009D42BF" w:rsidRPr="00873B6C" w:rsidRDefault="009D42BF" w:rsidP="009D14FB">
            <w:pPr>
              <w:pStyle w:val="TAL"/>
              <w:rPr>
                <w:sz w:val="16"/>
                <w:szCs w:val="16"/>
              </w:rPr>
            </w:pPr>
            <w:r w:rsidRPr="00873B6C">
              <w:rPr>
                <w:sz w:val="16"/>
                <w:szCs w:val="16"/>
              </w:rPr>
              <w:t>2611</w:t>
            </w:r>
          </w:p>
        </w:tc>
        <w:tc>
          <w:tcPr>
            <w:tcW w:w="425" w:type="dxa"/>
            <w:shd w:val="solid" w:color="FFFFFF" w:fill="auto"/>
          </w:tcPr>
          <w:p w14:paraId="3777DE5A" w14:textId="7BA649B8" w:rsidR="009D42BF" w:rsidRPr="00873B6C" w:rsidRDefault="009D42BF" w:rsidP="009D14FB">
            <w:pPr>
              <w:pStyle w:val="TAL"/>
              <w:rPr>
                <w:sz w:val="16"/>
                <w:szCs w:val="16"/>
              </w:rPr>
            </w:pPr>
            <w:r w:rsidRPr="00873B6C">
              <w:rPr>
                <w:sz w:val="16"/>
                <w:szCs w:val="16"/>
              </w:rPr>
              <w:t xml:space="preserve">1 </w:t>
            </w:r>
          </w:p>
        </w:tc>
        <w:tc>
          <w:tcPr>
            <w:tcW w:w="425" w:type="dxa"/>
            <w:shd w:val="solid" w:color="FFFFFF" w:fill="auto"/>
          </w:tcPr>
          <w:p w14:paraId="0C9A029B" w14:textId="4C3B16E6" w:rsidR="009D42BF" w:rsidRPr="00873B6C" w:rsidRDefault="009D42BF" w:rsidP="009D14FB">
            <w:pPr>
              <w:pStyle w:val="TAL"/>
              <w:rPr>
                <w:sz w:val="16"/>
                <w:szCs w:val="16"/>
              </w:rPr>
            </w:pPr>
            <w:r w:rsidRPr="00873B6C">
              <w:rPr>
                <w:sz w:val="16"/>
                <w:szCs w:val="16"/>
              </w:rPr>
              <w:t>B</w:t>
            </w:r>
          </w:p>
        </w:tc>
        <w:tc>
          <w:tcPr>
            <w:tcW w:w="4820" w:type="dxa"/>
            <w:shd w:val="solid" w:color="FFFFFF" w:fill="auto"/>
          </w:tcPr>
          <w:p w14:paraId="0B62BAF8" w14:textId="67FFA450" w:rsidR="009D42BF" w:rsidRPr="00873B6C" w:rsidRDefault="009D42BF" w:rsidP="009D14FB">
            <w:pPr>
              <w:pStyle w:val="TAL"/>
              <w:rPr>
                <w:sz w:val="16"/>
                <w:szCs w:val="16"/>
              </w:rPr>
            </w:pPr>
            <w:r w:rsidRPr="00873B6C">
              <w:rPr>
                <w:sz w:val="16"/>
                <w:szCs w:val="16"/>
              </w:rPr>
              <w:t>SNPN support AAA Server for primary authentication and authorization</w:t>
            </w:r>
          </w:p>
        </w:tc>
        <w:tc>
          <w:tcPr>
            <w:tcW w:w="708" w:type="dxa"/>
            <w:shd w:val="solid" w:color="FFFFFF" w:fill="auto"/>
          </w:tcPr>
          <w:p w14:paraId="65AB7A95" w14:textId="00B1B3EF" w:rsidR="009D42BF" w:rsidRPr="00873B6C" w:rsidRDefault="009D42BF" w:rsidP="009D14FB">
            <w:pPr>
              <w:pStyle w:val="TAC"/>
              <w:rPr>
                <w:b/>
                <w:bCs/>
                <w:sz w:val="16"/>
                <w:szCs w:val="16"/>
              </w:rPr>
            </w:pPr>
            <w:r w:rsidRPr="00873B6C">
              <w:rPr>
                <w:b/>
                <w:bCs/>
                <w:sz w:val="16"/>
                <w:szCs w:val="16"/>
              </w:rPr>
              <w:t>17.0.0</w:t>
            </w:r>
          </w:p>
        </w:tc>
      </w:tr>
      <w:tr w:rsidR="009D42BF" w:rsidRPr="00873B6C" w14:paraId="608018EF" w14:textId="77777777" w:rsidTr="009D14FB">
        <w:tc>
          <w:tcPr>
            <w:tcW w:w="800" w:type="dxa"/>
            <w:shd w:val="solid" w:color="FFFFFF" w:fill="auto"/>
          </w:tcPr>
          <w:p w14:paraId="02F6497E" w14:textId="2D496177" w:rsidR="009D42BF" w:rsidRPr="00873B6C" w:rsidRDefault="009D42BF" w:rsidP="009D14FB">
            <w:pPr>
              <w:pStyle w:val="TAC"/>
              <w:rPr>
                <w:sz w:val="16"/>
                <w:szCs w:val="16"/>
              </w:rPr>
            </w:pPr>
            <w:r w:rsidRPr="00873B6C">
              <w:rPr>
                <w:sz w:val="16"/>
                <w:szCs w:val="16"/>
              </w:rPr>
              <w:t>2021-03</w:t>
            </w:r>
          </w:p>
        </w:tc>
        <w:tc>
          <w:tcPr>
            <w:tcW w:w="800" w:type="dxa"/>
            <w:shd w:val="solid" w:color="FFFFFF" w:fill="auto"/>
          </w:tcPr>
          <w:p w14:paraId="3D6E1B39" w14:textId="732CE77F" w:rsidR="009D42BF" w:rsidRPr="00873B6C" w:rsidRDefault="009D42BF" w:rsidP="009D14FB">
            <w:pPr>
              <w:pStyle w:val="TAL"/>
              <w:rPr>
                <w:sz w:val="16"/>
                <w:szCs w:val="16"/>
              </w:rPr>
            </w:pPr>
            <w:r w:rsidRPr="00873B6C">
              <w:rPr>
                <w:sz w:val="16"/>
                <w:szCs w:val="16"/>
              </w:rPr>
              <w:t>SP#91E</w:t>
            </w:r>
          </w:p>
        </w:tc>
        <w:tc>
          <w:tcPr>
            <w:tcW w:w="1094" w:type="dxa"/>
            <w:shd w:val="solid" w:color="FFFFFF" w:fill="auto"/>
          </w:tcPr>
          <w:p w14:paraId="4417393E" w14:textId="3AB06029" w:rsidR="009D42BF" w:rsidRPr="00873B6C" w:rsidRDefault="009D42BF" w:rsidP="009D14FB">
            <w:pPr>
              <w:pStyle w:val="TAC"/>
              <w:rPr>
                <w:sz w:val="16"/>
                <w:szCs w:val="16"/>
              </w:rPr>
            </w:pPr>
            <w:r w:rsidRPr="00873B6C">
              <w:rPr>
                <w:sz w:val="16"/>
                <w:szCs w:val="16"/>
              </w:rPr>
              <w:t>SP-210072</w:t>
            </w:r>
          </w:p>
        </w:tc>
        <w:tc>
          <w:tcPr>
            <w:tcW w:w="567" w:type="dxa"/>
            <w:shd w:val="solid" w:color="FFFFFF" w:fill="auto"/>
          </w:tcPr>
          <w:p w14:paraId="49FBE0B5" w14:textId="7A23277A" w:rsidR="009D42BF" w:rsidRPr="00873B6C" w:rsidRDefault="009D42BF" w:rsidP="009D14FB">
            <w:pPr>
              <w:pStyle w:val="TAL"/>
              <w:rPr>
                <w:sz w:val="16"/>
                <w:szCs w:val="16"/>
              </w:rPr>
            </w:pPr>
            <w:r w:rsidRPr="00873B6C">
              <w:rPr>
                <w:sz w:val="16"/>
                <w:szCs w:val="16"/>
              </w:rPr>
              <w:t>2614</w:t>
            </w:r>
          </w:p>
        </w:tc>
        <w:tc>
          <w:tcPr>
            <w:tcW w:w="425" w:type="dxa"/>
            <w:shd w:val="solid" w:color="FFFFFF" w:fill="auto"/>
          </w:tcPr>
          <w:p w14:paraId="5EE849C8" w14:textId="0B2E3D77" w:rsidR="009D42BF" w:rsidRPr="00873B6C" w:rsidRDefault="009D42BF" w:rsidP="009D14FB">
            <w:pPr>
              <w:pStyle w:val="TAL"/>
              <w:rPr>
                <w:sz w:val="16"/>
                <w:szCs w:val="16"/>
              </w:rPr>
            </w:pPr>
            <w:r w:rsidRPr="00873B6C">
              <w:rPr>
                <w:sz w:val="16"/>
                <w:szCs w:val="16"/>
              </w:rPr>
              <w:t>1</w:t>
            </w:r>
          </w:p>
        </w:tc>
        <w:tc>
          <w:tcPr>
            <w:tcW w:w="425" w:type="dxa"/>
            <w:shd w:val="solid" w:color="FFFFFF" w:fill="auto"/>
          </w:tcPr>
          <w:p w14:paraId="1063692E" w14:textId="6D97BDF6" w:rsidR="009D42BF" w:rsidRPr="00873B6C" w:rsidRDefault="009D42BF" w:rsidP="009D14FB">
            <w:pPr>
              <w:pStyle w:val="TAL"/>
              <w:rPr>
                <w:sz w:val="16"/>
                <w:szCs w:val="16"/>
              </w:rPr>
            </w:pPr>
            <w:r w:rsidRPr="00873B6C">
              <w:rPr>
                <w:sz w:val="16"/>
                <w:szCs w:val="16"/>
              </w:rPr>
              <w:t>B</w:t>
            </w:r>
          </w:p>
        </w:tc>
        <w:tc>
          <w:tcPr>
            <w:tcW w:w="4820" w:type="dxa"/>
            <w:shd w:val="solid" w:color="FFFFFF" w:fill="auto"/>
          </w:tcPr>
          <w:p w14:paraId="50C6D649" w14:textId="78DFBF07" w:rsidR="009D42BF" w:rsidRPr="00873B6C" w:rsidRDefault="009D42BF" w:rsidP="009D14FB">
            <w:pPr>
              <w:pStyle w:val="TAL"/>
              <w:rPr>
                <w:sz w:val="16"/>
                <w:szCs w:val="16"/>
              </w:rPr>
            </w:pPr>
            <w:r w:rsidRPr="00873B6C">
              <w:rPr>
                <w:sz w:val="16"/>
                <w:szCs w:val="16"/>
              </w:rPr>
              <w:t>NWDAF discovery and selection for model sharing</w:t>
            </w:r>
          </w:p>
        </w:tc>
        <w:tc>
          <w:tcPr>
            <w:tcW w:w="708" w:type="dxa"/>
            <w:shd w:val="solid" w:color="FFFFFF" w:fill="auto"/>
          </w:tcPr>
          <w:p w14:paraId="7717A0C8" w14:textId="447A1894" w:rsidR="009D42BF" w:rsidRPr="00873B6C" w:rsidRDefault="009D42BF" w:rsidP="009D14FB">
            <w:pPr>
              <w:pStyle w:val="TAC"/>
              <w:rPr>
                <w:b/>
                <w:bCs/>
                <w:sz w:val="16"/>
                <w:szCs w:val="16"/>
              </w:rPr>
            </w:pPr>
            <w:r w:rsidRPr="00873B6C">
              <w:rPr>
                <w:b/>
                <w:bCs/>
                <w:sz w:val="16"/>
                <w:szCs w:val="16"/>
              </w:rPr>
              <w:t>17.0.0</w:t>
            </w:r>
          </w:p>
        </w:tc>
      </w:tr>
      <w:tr w:rsidR="009D42BF" w:rsidRPr="00873B6C" w14:paraId="4B444CA2" w14:textId="77777777" w:rsidTr="009D14FB">
        <w:tc>
          <w:tcPr>
            <w:tcW w:w="800" w:type="dxa"/>
            <w:shd w:val="solid" w:color="FFFFFF" w:fill="auto"/>
          </w:tcPr>
          <w:p w14:paraId="2FDB584E" w14:textId="163CCF6D" w:rsidR="009D42BF" w:rsidRPr="00873B6C" w:rsidRDefault="009D42BF" w:rsidP="009D14FB">
            <w:pPr>
              <w:pStyle w:val="TAC"/>
              <w:rPr>
                <w:sz w:val="16"/>
                <w:szCs w:val="16"/>
              </w:rPr>
            </w:pPr>
            <w:r w:rsidRPr="00873B6C">
              <w:rPr>
                <w:sz w:val="16"/>
                <w:szCs w:val="16"/>
              </w:rPr>
              <w:t>2021-03</w:t>
            </w:r>
          </w:p>
        </w:tc>
        <w:tc>
          <w:tcPr>
            <w:tcW w:w="800" w:type="dxa"/>
            <w:shd w:val="solid" w:color="FFFFFF" w:fill="auto"/>
          </w:tcPr>
          <w:p w14:paraId="0CD7785D" w14:textId="35EE43A4" w:rsidR="009D42BF" w:rsidRPr="00873B6C" w:rsidRDefault="009D42BF" w:rsidP="009D14FB">
            <w:pPr>
              <w:pStyle w:val="TAL"/>
              <w:rPr>
                <w:sz w:val="16"/>
                <w:szCs w:val="16"/>
              </w:rPr>
            </w:pPr>
            <w:r w:rsidRPr="00873B6C">
              <w:rPr>
                <w:sz w:val="16"/>
                <w:szCs w:val="16"/>
              </w:rPr>
              <w:t>SP#91E</w:t>
            </w:r>
          </w:p>
        </w:tc>
        <w:tc>
          <w:tcPr>
            <w:tcW w:w="1094" w:type="dxa"/>
            <w:shd w:val="solid" w:color="FFFFFF" w:fill="auto"/>
          </w:tcPr>
          <w:p w14:paraId="41313AF6" w14:textId="5A6C1E32" w:rsidR="009D42BF" w:rsidRPr="00873B6C" w:rsidRDefault="009D42BF" w:rsidP="009D14FB">
            <w:pPr>
              <w:pStyle w:val="TAC"/>
              <w:rPr>
                <w:sz w:val="16"/>
                <w:szCs w:val="16"/>
              </w:rPr>
            </w:pPr>
            <w:r w:rsidRPr="00873B6C">
              <w:rPr>
                <w:sz w:val="16"/>
                <w:szCs w:val="16"/>
              </w:rPr>
              <w:t>SP-210072</w:t>
            </w:r>
          </w:p>
        </w:tc>
        <w:tc>
          <w:tcPr>
            <w:tcW w:w="567" w:type="dxa"/>
            <w:shd w:val="solid" w:color="FFFFFF" w:fill="auto"/>
          </w:tcPr>
          <w:p w14:paraId="18AFCB88" w14:textId="7CB71124" w:rsidR="009D42BF" w:rsidRPr="00873B6C" w:rsidRDefault="009D42BF" w:rsidP="009D14FB">
            <w:pPr>
              <w:pStyle w:val="TAL"/>
              <w:rPr>
                <w:sz w:val="16"/>
                <w:szCs w:val="16"/>
              </w:rPr>
            </w:pPr>
            <w:r w:rsidRPr="00873B6C">
              <w:rPr>
                <w:sz w:val="16"/>
                <w:szCs w:val="16"/>
              </w:rPr>
              <w:t>2615</w:t>
            </w:r>
          </w:p>
        </w:tc>
        <w:tc>
          <w:tcPr>
            <w:tcW w:w="425" w:type="dxa"/>
            <w:shd w:val="solid" w:color="FFFFFF" w:fill="auto"/>
          </w:tcPr>
          <w:p w14:paraId="2B1FE3EB" w14:textId="6C785836" w:rsidR="009D42BF" w:rsidRPr="00873B6C" w:rsidRDefault="009D42BF" w:rsidP="009D14FB">
            <w:pPr>
              <w:pStyle w:val="TAL"/>
              <w:rPr>
                <w:sz w:val="16"/>
                <w:szCs w:val="16"/>
              </w:rPr>
            </w:pPr>
            <w:r w:rsidRPr="00873B6C">
              <w:rPr>
                <w:sz w:val="16"/>
                <w:szCs w:val="16"/>
              </w:rPr>
              <w:t>1</w:t>
            </w:r>
          </w:p>
        </w:tc>
        <w:tc>
          <w:tcPr>
            <w:tcW w:w="425" w:type="dxa"/>
            <w:shd w:val="solid" w:color="FFFFFF" w:fill="auto"/>
          </w:tcPr>
          <w:p w14:paraId="01777B1A" w14:textId="3BD1FE59" w:rsidR="009D42BF" w:rsidRPr="00873B6C" w:rsidRDefault="009D42BF" w:rsidP="009D14FB">
            <w:pPr>
              <w:pStyle w:val="TAL"/>
              <w:rPr>
                <w:sz w:val="16"/>
                <w:szCs w:val="16"/>
              </w:rPr>
            </w:pPr>
            <w:r w:rsidRPr="00873B6C">
              <w:rPr>
                <w:sz w:val="16"/>
                <w:szCs w:val="16"/>
              </w:rPr>
              <w:t>B</w:t>
            </w:r>
          </w:p>
        </w:tc>
        <w:tc>
          <w:tcPr>
            <w:tcW w:w="4820" w:type="dxa"/>
            <w:shd w:val="solid" w:color="FFFFFF" w:fill="auto"/>
          </w:tcPr>
          <w:p w14:paraId="5FBA47EB" w14:textId="58E0EA5F" w:rsidR="009D42BF" w:rsidRPr="00873B6C" w:rsidRDefault="009D42BF" w:rsidP="009D14FB">
            <w:pPr>
              <w:pStyle w:val="TAL"/>
              <w:rPr>
                <w:sz w:val="16"/>
                <w:szCs w:val="16"/>
              </w:rPr>
            </w:pPr>
            <w:r w:rsidRPr="00873B6C">
              <w:rPr>
                <w:sz w:val="16"/>
                <w:szCs w:val="16"/>
              </w:rPr>
              <w:t>Triggers for network analytics</w:t>
            </w:r>
          </w:p>
        </w:tc>
        <w:tc>
          <w:tcPr>
            <w:tcW w:w="708" w:type="dxa"/>
            <w:shd w:val="solid" w:color="FFFFFF" w:fill="auto"/>
          </w:tcPr>
          <w:p w14:paraId="0865FA69" w14:textId="7749EC24" w:rsidR="009D42BF" w:rsidRPr="00873B6C" w:rsidRDefault="009D42BF" w:rsidP="009D14FB">
            <w:pPr>
              <w:pStyle w:val="TAC"/>
              <w:rPr>
                <w:b/>
                <w:bCs/>
                <w:sz w:val="16"/>
                <w:szCs w:val="16"/>
              </w:rPr>
            </w:pPr>
            <w:r w:rsidRPr="00873B6C">
              <w:rPr>
                <w:b/>
                <w:bCs/>
                <w:sz w:val="16"/>
                <w:szCs w:val="16"/>
              </w:rPr>
              <w:t>17.0.0</w:t>
            </w:r>
          </w:p>
        </w:tc>
      </w:tr>
      <w:tr w:rsidR="002D6443" w:rsidRPr="00873B6C" w14:paraId="0B1B4FED" w14:textId="77777777" w:rsidTr="009D14FB">
        <w:tc>
          <w:tcPr>
            <w:tcW w:w="800" w:type="dxa"/>
            <w:shd w:val="solid" w:color="FFFFFF" w:fill="auto"/>
          </w:tcPr>
          <w:p w14:paraId="4CDBB2F7" w14:textId="31D5F2E4" w:rsidR="002D6443" w:rsidRPr="00873B6C" w:rsidRDefault="002D6443" w:rsidP="009D14FB">
            <w:pPr>
              <w:pStyle w:val="TAC"/>
              <w:rPr>
                <w:sz w:val="16"/>
                <w:szCs w:val="16"/>
              </w:rPr>
            </w:pPr>
            <w:r w:rsidRPr="00873B6C">
              <w:rPr>
                <w:sz w:val="16"/>
                <w:szCs w:val="16"/>
              </w:rPr>
              <w:t>2021-03</w:t>
            </w:r>
          </w:p>
        </w:tc>
        <w:tc>
          <w:tcPr>
            <w:tcW w:w="800" w:type="dxa"/>
            <w:shd w:val="solid" w:color="FFFFFF" w:fill="auto"/>
          </w:tcPr>
          <w:p w14:paraId="236D8CE4" w14:textId="77D3ECB7" w:rsidR="002D6443" w:rsidRPr="00873B6C" w:rsidRDefault="002D6443" w:rsidP="009D14FB">
            <w:pPr>
              <w:pStyle w:val="TAL"/>
              <w:rPr>
                <w:sz w:val="16"/>
                <w:szCs w:val="16"/>
              </w:rPr>
            </w:pPr>
            <w:r w:rsidRPr="00873B6C">
              <w:rPr>
                <w:sz w:val="16"/>
                <w:szCs w:val="16"/>
              </w:rPr>
              <w:t>SP#91E</w:t>
            </w:r>
          </w:p>
        </w:tc>
        <w:tc>
          <w:tcPr>
            <w:tcW w:w="1094" w:type="dxa"/>
            <w:shd w:val="solid" w:color="FFFFFF" w:fill="auto"/>
          </w:tcPr>
          <w:p w14:paraId="3CC2D487" w14:textId="1C7E1990" w:rsidR="002D6443" w:rsidRPr="00873B6C" w:rsidRDefault="002D6443" w:rsidP="009D14FB">
            <w:pPr>
              <w:pStyle w:val="TAC"/>
              <w:rPr>
                <w:sz w:val="16"/>
                <w:szCs w:val="16"/>
              </w:rPr>
            </w:pPr>
            <w:r w:rsidRPr="00873B6C">
              <w:rPr>
                <w:sz w:val="16"/>
                <w:szCs w:val="16"/>
              </w:rPr>
              <w:t>SP-210084</w:t>
            </w:r>
          </w:p>
        </w:tc>
        <w:tc>
          <w:tcPr>
            <w:tcW w:w="567" w:type="dxa"/>
            <w:shd w:val="solid" w:color="FFFFFF" w:fill="auto"/>
          </w:tcPr>
          <w:p w14:paraId="196026BF" w14:textId="2DE1F66F" w:rsidR="002D6443" w:rsidRPr="00873B6C" w:rsidRDefault="002D6443" w:rsidP="009D14FB">
            <w:pPr>
              <w:pStyle w:val="TAL"/>
              <w:rPr>
                <w:sz w:val="16"/>
                <w:szCs w:val="16"/>
              </w:rPr>
            </w:pPr>
            <w:r w:rsidRPr="00873B6C">
              <w:rPr>
                <w:sz w:val="16"/>
                <w:szCs w:val="16"/>
              </w:rPr>
              <w:t>2618</w:t>
            </w:r>
          </w:p>
        </w:tc>
        <w:tc>
          <w:tcPr>
            <w:tcW w:w="425" w:type="dxa"/>
            <w:shd w:val="solid" w:color="FFFFFF" w:fill="auto"/>
          </w:tcPr>
          <w:p w14:paraId="18BB2FDA" w14:textId="3695A1D0" w:rsidR="002D6443" w:rsidRPr="00873B6C" w:rsidRDefault="002D6443" w:rsidP="009D14FB">
            <w:pPr>
              <w:pStyle w:val="TAL"/>
              <w:rPr>
                <w:sz w:val="16"/>
                <w:szCs w:val="16"/>
              </w:rPr>
            </w:pPr>
            <w:r w:rsidRPr="00873B6C">
              <w:rPr>
                <w:sz w:val="16"/>
                <w:szCs w:val="16"/>
              </w:rPr>
              <w:t>1</w:t>
            </w:r>
          </w:p>
        </w:tc>
        <w:tc>
          <w:tcPr>
            <w:tcW w:w="425" w:type="dxa"/>
            <w:shd w:val="solid" w:color="FFFFFF" w:fill="auto"/>
          </w:tcPr>
          <w:p w14:paraId="60277617" w14:textId="734D90D0" w:rsidR="002D6443" w:rsidRPr="00873B6C" w:rsidRDefault="002D6443" w:rsidP="009D14FB">
            <w:pPr>
              <w:pStyle w:val="TAL"/>
              <w:rPr>
                <w:sz w:val="16"/>
                <w:szCs w:val="16"/>
              </w:rPr>
            </w:pPr>
            <w:r w:rsidRPr="00873B6C">
              <w:rPr>
                <w:sz w:val="16"/>
                <w:szCs w:val="16"/>
              </w:rPr>
              <w:t>B</w:t>
            </w:r>
          </w:p>
        </w:tc>
        <w:tc>
          <w:tcPr>
            <w:tcW w:w="4820" w:type="dxa"/>
            <w:shd w:val="solid" w:color="FFFFFF" w:fill="auto"/>
          </w:tcPr>
          <w:p w14:paraId="64EA3D86" w14:textId="44019D9F" w:rsidR="002D6443" w:rsidRPr="00873B6C" w:rsidRDefault="002D6443" w:rsidP="009D14FB">
            <w:pPr>
              <w:pStyle w:val="TAL"/>
              <w:rPr>
                <w:sz w:val="16"/>
                <w:szCs w:val="16"/>
              </w:rPr>
            </w:pPr>
            <w:r w:rsidRPr="00873B6C">
              <w:rPr>
                <w:sz w:val="16"/>
                <w:szCs w:val="16"/>
              </w:rPr>
              <w:t>KI#2 BMIC and PMIC for TSC without IEEE TSN network</w:t>
            </w:r>
          </w:p>
        </w:tc>
        <w:tc>
          <w:tcPr>
            <w:tcW w:w="708" w:type="dxa"/>
            <w:shd w:val="solid" w:color="FFFFFF" w:fill="auto"/>
          </w:tcPr>
          <w:p w14:paraId="09473079" w14:textId="38ACB1BF" w:rsidR="002D6443" w:rsidRPr="00873B6C" w:rsidRDefault="002D6443" w:rsidP="009D14FB">
            <w:pPr>
              <w:pStyle w:val="TAC"/>
              <w:rPr>
                <w:b/>
                <w:bCs/>
                <w:sz w:val="16"/>
                <w:szCs w:val="16"/>
              </w:rPr>
            </w:pPr>
            <w:r w:rsidRPr="00873B6C">
              <w:rPr>
                <w:b/>
                <w:bCs/>
                <w:sz w:val="16"/>
                <w:szCs w:val="16"/>
              </w:rPr>
              <w:t>17.0.0</w:t>
            </w:r>
          </w:p>
        </w:tc>
      </w:tr>
      <w:tr w:rsidR="000E35F2" w:rsidRPr="00873B6C" w14:paraId="6849436E" w14:textId="77777777" w:rsidTr="009D14FB">
        <w:tc>
          <w:tcPr>
            <w:tcW w:w="800" w:type="dxa"/>
            <w:shd w:val="solid" w:color="FFFFFF" w:fill="auto"/>
          </w:tcPr>
          <w:p w14:paraId="0C64D67D" w14:textId="5DACBE8E"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1385259F" w14:textId="4717477F"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7600FEAE" w14:textId="1C3A7099"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1F3742B6" w14:textId="6BFF7132" w:rsidR="000E35F2" w:rsidRPr="00873B6C" w:rsidRDefault="000E35F2" w:rsidP="009D14FB">
            <w:pPr>
              <w:pStyle w:val="TAL"/>
              <w:rPr>
                <w:sz w:val="16"/>
                <w:szCs w:val="16"/>
              </w:rPr>
            </w:pPr>
            <w:r w:rsidRPr="00873B6C">
              <w:rPr>
                <w:sz w:val="16"/>
                <w:szCs w:val="16"/>
              </w:rPr>
              <w:t>2619</w:t>
            </w:r>
          </w:p>
        </w:tc>
        <w:tc>
          <w:tcPr>
            <w:tcW w:w="425" w:type="dxa"/>
            <w:shd w:val="solid" w:color="FFFFFF" w:fill="auto"/>
          </w:tcPr>
          <w:p w14:paraId="2607105E" w14:textId="29AB5006"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780BAE3A" w14:textId="57442DD9" w:rsidR="000E35F2" w:rsidRPr="00873B6C" w:rsidRDefault="000E35F2" w:rsidP="009D14FB">
            <w:pPr>
              <w:pStyle w:val="TAL"/>
              <w:rPr>
                <w:sz w:val="16"/>
                <w:szCs w:val="16"/>
              </w:rPr>
            </w:pPr>
            <w:r w:rsidRPr="00873B6C">
              <w:rPr>
                <w:sz w:val="16"/>
                <w:szCs w:val="16"/>
              </w:rPr>
              <w:t>B</w:t>
            </w:r>
          </w:p>
        </w:tc>
        <w:tc>
          <w:tcPr>
            <w:tcW w:w="4820" w:type="dxa"/>
            <w:shd w:val="solid" w:color="FFFFFF" w:fill="auto"/>
          </w:tcPr>
          <w:p w14:paraId="7327DD3B" w14:textId="2261BE27" w:rsidR="000E35F2" w:rsidRPr="00873B6C" w:rsidRDefault="000E35F2" w:rsidP="009D14FB">
            <w:pPr>
              <w:pStyle w:val="TAL"/>
              <w:rPr>
                <w:sz w:val="16"/>
                <w:szCs w:val="16"/>
              </w:rPr>
            </w:pPr>
            <w:r w:rsidRPr="00873B6C">
              <w:rPr>
                <w:sz w:val="16"/>
                <w:szCs w:val="16"/>
              </w:rPr>
              <w:t>KI#3A - TSC Assistance container determined by NEF</w:t>
            </w:r>
          </w:p>
        </w:tc>
        <w:tc>
          <w:tcPr>
            <w:tcW w:w="708" w:type="dxa"/>
            <w:shd w:val="solid" w:color="FFFFFF" w:fill="auto"/>
          </w:tcPr>
          <w:p w14:paraId="5B5F0B81" w14:textId="32CD5CF3" w:rsidR="000E35F2" w:rsidRPr="00873B6C" w:rsidRDefault="000E35F2" w:rsidP="009D14FB">
            <w:pPr>
              <w:pStyle w:val="TAC"/>
              <w:rPr>
                <w:b/>
                <w:bCs/>
                <w:sz w:val="16"/>
                <w:szCs w:val="16"/>
              </w:rPr>
            </w:pPr>
            <w:r w:rsidRPr="00873B6C">
              <w:rPr>
                <w:b/>
                <w:bCs/>
                <w:sz w:val="16"/>
                <w:szCs w:val="16"/>
              </w:rPr>
              <w:t>17.0.0</w:t>
            </w:r>
          </w:p>
        </w:tc>
      </w:tr>
      <w:tr w:rsidR="000E35F2" w:rsidRPr="00873B6C" w14:paraId="7A3165D8" w14:textId="77777777" w:rsidTr="009D14FB">
        <w:tc>
          <w:tcPr>
            <w:tcW w:w="800" w:type="dxa"/>
            <w:shd w:val="solid" w:color="FFFFFF" w:fill="auto"/>
          </w:tcPr>
          <w:p w14:paraId="6CA56F3A" w14:textId="541D0481"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21A8E52E" w14:textId="7842BE93"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676CE44F" w14:textId="75AFCBB3"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577F994B" w14:textId="1930DF62" w:rsidR="000E35F2" w:rsidRPr="00873B6C" w:rsidRDefault="000E35F2" w:rsidP="009D14FB">
            <w:pPr>
              <w:pStyle w:val="TAL"/>
              <w:rPr>
                <w:sz w:val="16"/>
                <w:szCs w:val="16"/>
              </w:rPr>
            </w:pPr>
            <w:r w:rsidRPr="00873B6C">
              <w:rPr>
                <w:sz w:val="16"/>
                <w:szCs w:val="16"/>
              </w:rPr>
              <w:t>2620</w:t>
            </w:r>
          </w:p>
        </w:tc>
        <w:tc>
          <w:tcPr>
            <w:tcW w:w="425" w:type="dxa"/>
            <w:shd w:val="solid" w:color="FFFFFF" w:fill="auto"/>
          </w:tcPr>
          <w:p w14:paraId="5528AFFB" w14:textId="4188E102"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14F412F1" w14:textId="4273EDC0" w:rsidR="000E35F2" w:rsidRPr="00873B6C" w:rsidRDefault="000E35F2" w:rsidP="009D14FB">
            <w:pPr>
              <w:pStyle w:val="TAL"/>
              <w:rPr>
                <w:sz w:val="16"/>
                <w:szCs w:val="16"/>
              </w:rPr>
            </w:pPr>
            <w:r w:rsidRPr="00873B6C">
              <w:rPr>
                <w:sz w:val="16"/>
                <w:szCs w:val="16"/>
              </w:rPr>
              <w:t>B</w:t>
            </w:r>
          </w:p>
        </w:tc>
        <w:tc>
          <w:tcPr>
            <w:tcW w:w="4820" w:type="dxa"/>
            <w:shd w:val="solid" w:color="FFFFFF" w:fill="auto"/>
          </w:tcPr>
          <w:p w14:paraId="72876A76" w14:textId="6C346287" w:rsidR="000E35F2" w:rsidRPr="00873B6C" w:rsidRDefault="000E35F2" w:rsidP="009D14FB">
            <w:pPr>
              <w:pStyle w:val="TAL"/>
              <w:rPr>
                <w:sz w:val="16"/>
                <w:szCs w:val="16"/>
              </w:rPr>
            </w:pPr>
            <w:r w:rsidRPr="00873B6C">
              <w:rPr>
                <w:sz w:val="16"/>
                <w:szCs w:val="16"/>
              </w:rPr>
              <w:t xml:space="preserve">KI#1-3, UL Sync including New </w:t>
            </w:r>
            <w:r w:rsidR="00426DE4" w:rsidRPr="00873B6C">
              <w:rPr>
                <w:sz w:val="16"/>
                <w:szCs w:val="16"/>
              </w:rPr>
              <w:t>QoS Flow</w:t>
            </w:r>
            <w:r w:rsidRPr="00873B6C">
              <w:rPr>
                <w:sz w:val="16"/>
                <w:szCs w:val="16"/>
              </w:rPr>
              <w:t xml:space="preserve"> establishment for the gPTP</w:t>
            </w:r>
          </w:p>
        </w:tc>
        <w:tc>
          <w:tcPr>
            <w:tcW w:w="708" w:type="dxa"/>
            <w:shd w:val="solid" w:color="FFFFFF" w:fill="auto"/>
          </w:tcPr>
          <w:p w14:paraId="500C1293" w14:textId="28129F40" w:rsidR="000E35F2" w:rsidRPr="00873B6C" w:rsidRDefault="000E35F2" w:rsidP="009D14FB">
            <w:pPr>
              <w:pStyle w:val="TAC"/>
              <w:rPr>
                <w:b/>
                <w:bCs/>
                <w:sz w:val="16"/>
                <w:szCs w:val="16"/>
              </w:rPr>
            </w:pPr>
            <w:r w:rsidRPr="00873B6C">
              <w:rPr>
                <w:b/>
                <w:bCs/>
                <w:sz w:val="16"/>
                <w:szCs w:val="16"/>
              </w:rPr>
              <w:t>17.0.0</w:t>
            </w:r>
          </w:p>
        </w:tc>
      </w:tr>
      <w:tr w:rsidR="000E35F2" w:rsidRPr="00873B6C" w14:paraId="0ADE1504" w14:textId="77777777" w:rsidTr="009D14FB">
        <w:tc>
          <w:tcPr>
            <w:tcW w:w="800" w:type="dxa"/>
            <w:shd w:val="solid" w:color="FFFFFF" w:fill="auto"/>
          </w:tcPr>
          <w:p w14:paraId="0AB847C6" w14:textId="04D8F979"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5AA63B0A" w14:textId="12E74138"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3633CCBE" w14:textId="2AA1A28B"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7C427441" w14:textId="34D973F8" w:rsidR="000E35F2" w:rsidRPr="00873B6C" w:rsidRDefault="000E35F2" w:rsidP="009D14FB">
            <w:pPr>
              <w:pStyle w:val="TAL"/>
              <w:rPr>
                <w:sz w:val="16"/>
                <w:szCs w:val="16"/>
              </w:rPr>
            </w:pPr>
            <w:r w:rsidRPr="00873B6C">
              <w:rPr>
                <w:sz w:val="16"/>
                <w:szCs w:val="16"/>
              </w:rPr>
              <w:t>2621</w:t>
            </w:r>
          </w:p>
        </w:tc>
        <w:tc>
          <w:tcPr>
            <w:tcW w:w="425" w:type="dxa"/>
            <w:shd w:val="solid" w:color="FFFFFF" w:fill="auto"/>
          </w:tcPr>
          <w:p w14:paraId="1C72DCA6" w14:textId="3FAC3645"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7D8789AB" w14:textId="50CD6092" w:rsidR="000E35F2" w:rsidRPr="00873B6C" w:rsidRDefault="000E35F2" w:rsidP="009D14FB">
            <w:pPr>
              <w:pStyle w:val="TAL"/>
              <w:rPr>
                <w:sz w:val="16"/>
                <w:szCs w:val="16"/>
              </w:rPr>
            </w:pPr>
            <w:r w:rsidRPr="00873B6C">
              <w:rPr>
                <w:sz w:val="16"/>
                <w:szCs w:val="16"/>
              </w:rPr>
              <w:t>C</w:t>
            </w:r>
          </w:p>
        </w:tc>
        <w:tc>
          <w:tcPr>
            <w:tcW w:w="4820" w:type="dxa"/>
            <w:shd w:val="solid" w:color="FFFFFF" w:fill="auto"/>
          </w:tcPr>
          <w:p w14:paraId="53B95C42" w14:textId="529C17F9" w:rsidR="000E35F2" w:rsidRPr="00873B6C" w:rsidRDefault="000E35F2" w:rsidP="009D14FB">
            <w:pPr>
              <w:pStyle w:val="TAL"/>
              <w:rPr>
                <w:sz w:val="16"/>
                <w:szCs w:val="16"/>
              </w:rPr>
            </w:pPr>
            <w:r w:rsidRPr="00873B6C">
              <w:rPr>
                <w:sz w:val="16"/>
                <w:szCs w:val="16"/>
              </w:rPr>
              <w:t>KI#3 Updating AF functional description</w:t>
            </w:r>
          </w:p>
        </w:tc>
        <w:tc>
          <w:tcPr>
            <w:tcW w:w="708" w:type="dxa"/>
            <w:shd w:val="solid" w:color="FFFFFF" w:fill="auto"/>
          </w:tcPr>
          <w:p w14:paraId="091522A0" w14:textId="35753C46" w:rsidR="000E35F2" w:rsidRPr="00873B6C" w:rsidRDefault="000E35F2" w:rsidP="009D14FB">
            <w:pPr>
              <w:pStyle w:val="TAC"/>
              <w:rPr>
                <w:b/>
                <w:bCs/>
                <w:sz w:val="16"/>
                <w:szCs w:val="16"/>
              </w:rPr>
            </w:pPr>
            <w:r w:rsidRPr="00873B6C">
              <w:rPr>
                <w:b/>
                <w:bCs/>
                <w:sz w:val="16"/>
                <w:szCs w:val="16"/>
              </w:rPr>
              <w:t>17.0.0</w:t>
            </w:r>
          </w:p>
        </w:tc>
      </w:tr>
      <w:tr w:rsidR="000E35F2" w:rsidRPr="00873B6C" w14:paraId="0046B030" w14:textId="77777777" w:rsidTr="009D14FB">
        <w:tc>
          <w:tcPr>
            <w:tcW w:w="800" w:type="dxa"/>
            <w:shd w:val="solid" w:color="FFFFFF" w:fill="auto"/>
          </w:tcPr>
          <w:p w14:paraId="11CCBC7E" w14:textId="32E1D2D1"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7667D8B4" w14:textId="1C616A4E"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08F174AB" w14:textId="04538A31" w:rsidR="000E35F2" w:rsidRPr="00873B6C" w:rsidRDefault="000E35F2" w:rsidP="009D14FB">
            <w:pPr>
              <w:pStyle w:val="TAC"/>
              <w:rPr>
                <w:sz w:val="16"/>
                <w:szCs w:val="16"/>
              </w:rPr>
            </w:pPr>
            <w:r w:rsidRPr="00873B6C">
              <w:rPr>
                <w:sz w:val="16"/>
                <w:szCs w:val="16"/>
              </w:rPr>
              <w:t>SP-210087</w:t>
            </w:r>
          </w:p>
        </w:tc>
        <w:tc>
          <w:tcPr>
            <w:tcW w:w="567" w:type="dxa"/>
            <w:shd w:val="solid" w:color="FFFFFF" w:fill="auto"/>
          </w:tcPr>
          <w:p w14:paraId="32158097" w14:textId="7A7AF6C6" w:rsidR="000E35F2" w:rsidRPr="00873B6C" w:rsidRDefault="000E35F2" w:rsidP="009D14FB">
            <w:pPr>
              <w:pStyle w:val="TAL"/>
              <w:rPr>
                <w:sz w:val="16"/>
                <w:szCs w:val="16"/>
              </w:rPr>
            </w:pPr>
            <w:r w:rsidRPr="00873B6C">
              <w:rPr>
                <w:sz w:val="16"/>
                <w:szCs w:val="16"/>
              </w:rPr>
              <w:t>2624</w:t>
            </w:r>
          </w:p>
        </w:tc>
        <w:tc>
          <w:tcPr>
            <w:tcW w:w="425" w:type="dxa"/>
            <w:shd w:val="solid" w:color="FFFFFF" w:fill="auto"/>
          </w:tcPr>
          <w:p w14:paraId="7DF2EABB" w14:textId="48A8AA1A"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6B240BE1" w14:textId="54FDB91D" w:rsidR="000E35F2" w:rsidRPr="00873B6C" w:rsidRDefault="000E35F2" w:rsidP="009D14FB">
            <w:pPr>
              <w:pStyle w:val="TAL"/>
              <w:rPr>
                <w:sz w:val="16"/>
                <w:szCs w:val="16"/>
              </w:rPr>
            </w:pPr>
            <w:r w:rsidRPr="00873B6C">
              <w:rPr>
                <w:sz w:val="16"/>
                <w:szCs w:val="16"/>
              </w:rPr>
              <w:t>D</w:t>
            </w:r>
          </w:p>
        </w:tc>
        <w:tc>
          <w:tcPr>
            <w:tcW w:w="4820" w:type="dxa"/>
            <w:shd w:val="solid" w:color="FFFFFF" w:fill="auto"/>
          </w:tcPr>
          <w:p w14:paraId="60E8B1FE" w14:textId="1138838F" w:rsidR="000E35F2" w:rsidRPr="00873B6C" w:rsidRDefault="000E35F2" w:rsidP="009D14FB">
            <w:pPr>
              <w:pStyle w:val="TAL"/>
              <w:rPr>
                <w:sz w:val="16"/>
                <w:szCs w:val="16"/>
              </w:rPr>
            </w:pPr>
            <w:r w:rsidRPr="00873B6C">
              <w:rPr>
                <w:sz w:val="16"/>
                <w:szCs w:val="16"/>
              </w:rPr>
              <w:t>23.501 Inclusive language review</w:t>
            </w:r>
          </w:p>
        </w:tc>
        <w:tc>
          <w:tcPr>
            <w:tcW w:w="708" w:type="dxa"/>
            <w:shd w:val="solid" w:color="FFFFFF" w:fill="auto"/>
          </w:tcPr>
          <w:p w14:paraId="5A0155D5" w14:textId="38CD759F" w:rsidR="000E35F2" w:rsidRPr="00873B6C" w:rsidRDefault="000E35F2" w:rsidP="009D14FB">
            <w:pPr>
              <w:pStyle w:val="TAC"/>
              <w:rPr>
                <w:b/>
                <w:bCs/>
                <w:sz w:val="16"/>
                <w:szCs w:val="16"/>
              </w:rPr>
            </w:pPr>
            <w:r w:rsidRPr="00873B6C">
              <w:rPr>
                <w:b/>
                <w:bCs/>
                <w:sz w:val="16"/>
                <w:szCs w:val="16"/>
              </w:rPr>
              <w:t>17.0.0</w:t>
            </w:r>
          </w:p>
        </w:tc>
      </w:tr>
      <w:tr w:rsidR="000E35F2" w:rsidRPr="00873B6C" w14:paraId="3BE9AB59" w14:textId="77777777" w:rsidTr="009D14FB">
        <w:tc>
          <w:tcPr>
            <w:tcW w:w="800" w:type="dxa"/>
            <w:shd w:val="solid" w:color="FFFFFF" w:fill="auto"/>
          </w:tcPr>
          <w:p w14:paraId="6BF8E29E" w14:textId="0E5F3D45"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461AC2BB" w14:textId="76BE3291"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0BAD592D" w14:textId="6A32516A" w:rsidR="000E35F2" w:rsidRPr="00873B6C" w:rsidRDefault="000E35F2" w:rsidP="009D14FB">
            <w:pPr>
              <w:pStyle w:val="TAC"/>
              <w:rPr>
                <w:sz w:val="16"/>
                <w:szCs w:val="16"/>
              </w:rPr>
            </w:pPr>
            <w:r w:rsidRPr="00873B6C">
              <w:rPr>
                <w:sz w:val="16"/>
                <w:szCs w:val="16"/>
              </w:rPr>
              <w:t>SP-210074</w:t>
            </w:r>
          </w:p>
        </w:tc>
        <w:tc>
          <w:tcPr>
            <w:tcW w:w="567" w:type="dxa"/>
            <w:shd w:val="solid" w:color="FFFFFF" w:fill="auto"/>
          </w:tcPr>
          <w:p w14:paraId="1442D3A4" w14:textId="51307EF4" w:rsidR="000E35F2" w:rsidRPr="00873B6C" w:rsidRDefault="000E35F2" w:rsidP="009D14FB">
            <w:pPr>
              <w:pStyle w:val="TAL"/>
              <w:rPr>
                <w:sz w:val="16"/>
                <w:szCs w:val="16"/>
              </w:rPr>
            </w:pPr>
            <w:r w:rsidRPr="00873B6C">
              <w:rPr>
                <w:sz w:val="16"/>
                <w:szCs w:val="16"/>
              </w:rPr>
              <w:t>2625</w:t>
            </w:r>
          </w:p>
        </w:tc>
        <w:tc>
          <w:tcPr>
            <w:tcW w:w="425" w:type="dxa"/>
            <w:shd w:val="solid" w:color="FFFFFF" w:fill="auto"/>
          </w:tcPr>
          <w:p w14:paraId="62BDE835" w14:textId="611862A5"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2A822AD9" w14:textId="69977B7E" w:rsidR="000E35F2" w:rsidRPr="00873B6C" w:rsidRDefault="000E35F2" w:rsidP="009D14FB">
            <w:pPr>
              <w:pStyle w:val="TAL"/>
              <w:rPr>
                <w:sz w:val="16"/>
                <w:szCs w:val="16"/>
              </w:rPr>
            </w:pPr>
            <w:r w:rsidRPr="00873B6C">
              <w:rPr>
                <w:sz w:val="16"/>
                <w:szCs w:val="16"/>
              </w:rPr>
              <w:t>B</w:t>
            </w:r>
          </w:p>
        </w:tc>
        <w:tc>
          <w:tcPr>
            <w:tcW w:w="4820" w:type="dxa"/>
            <w:shd w:val="solid" w:color="FFFFFF" w:fill="auto"/>
          </w:tcPr>
          <w:p w14:paraId="5EB28865" w14:textId="33619EB3" w:rsidR="000E35F2" w:rsidRPr="00873B6C" w:rsidRDefault="000E35F2" w:rsidP="009D14FB">
            <w:pPr>
              <w:pStyle w:val="TAL"/>
              <w:rPr>
                <w:sz w:val="16"/>
                <w:szCs w:val="16"/>
              </w:rPr>
            </w:pPr>
            <w:r w:rsidRPr="00873B6C">
              <w:rPr>
                <w:sz w:val="16"/>
                <w:szCs w:val="16"/>
              </w:rPr>
              <w:t>SNPN with separate entity hosting subscription</w:t>
            </w:r>
          </w:p>
        </w:tc>
        <w:tc>
          <w:tcPr>
            <w:tcW w:w="708" w:type="dxa"/>
            <w:shd w:val="solid" w:color="FFFFFF" w:fill="auto"/>
          </w:tcPr>
          <w:p w14:paraId="02276210" w14:textId="11271500" w:rsidR="000E35F2" w:rsidRPr="00873B6C" w:rsidRDefault="000E35F2" w:rsidP="009D14FB">
            <w:pPr>
              <w:pStyle w:val="TAC"/>
              <w:rPr>
                <w:b/>
                <w:bCs/>
                <w:sz w:val="16"/>
                <w:szCs w:val="16"/>
              </w:rPr>
            </w:pPr>
            <w:r w:rsidRPr="00873B6C">
              <w:rPr>
                <w:b/>
                <w:bCs/>
                <w:sz w:val="16"/>
                <w:szCs w:val="16"/>
              </w:rPr>
              <w:t>17.0.0</w:t>
            </w:r>
          </w:p>
        </w:tc>
      </w:tr>
      <w:tr w:rsidR="000E35F2" w:rsidRPr="00873B6C" w14:paraId="1E17D6A1" w14:textId="77777777" w:rsidTr="009D14FB">
        <w:tc>
          <w:tcPr>
            <w:tcW w:w="800" w:type="dxa"/>
            <w:shd w:val="solid" w:color="FFFFFF" w:fill="auto"/>
          </w:tcPr>
          <w:p w14:paraId="5BF60149" w14:textId="1391B123"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079C470F" w14:textId="57454C9A"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115EAF64" w14:textId="40ACBE0E"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787B57DB" w14:textId="4E974488" w:rsidR="000E35F2" w:rsidRPr="00873B6C" w:rsidRDefault="000E35F2" w:rsidP="009D14FB">
            <w:pPr>
              <w:pStyle w:val="TAL"/>
              <w:rPr>
                <w:sz w:val="16"/>
                <w:szCs w:val="16"/>
              </w:rPr>
            </w:pPr>
            <w:r w:rsidRPr="00873B6C">
              <w:rPr>
                <w:sz w:val="16"/>
                <w:szCs w:val="16"/>
              </w:rPr>
              <w:t>2627</w:t>
            </w:r>
          </w:p>
        </w:tc>
        <w:tc>
          <w:tcPr>
            <w:tcW w:w="425" w:type="dxa"/>
            <w:shd w:val="solid" w:color="FFFFFF" w:fill="auto"/>
          </w:tcPr>
          <w:p w14:paraId="2EE6662B" w14:textId="034A90E8"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57EA51F7" w14:textId="199F6723" w:rsidR="000E35F2" w:rsidRPr="00873B6C" w:rsidRDefault="000E35F2" w:rsidP="009D14FB">
            <w:pPr>
              <w:pStyle w:val="TAL"/>
              <w:rPr>
                <w:sz w:val="16"/>
                <w:szCs w:val="16"/>
              </w:rPr>
            </w:pPr>
            <w:r w:rsidRPr="00873B6C">
              <w:rPr>
                <w:sz w:val="16"/>
                <w:szCs w:val="16"/>
              </w:rPr>
              <w:t>C</w:t>
            </w:r>
          </w:p>
        </w:tc>
        <w:tc>
          <w:tcPr>
            <w:tcW w:w="4820" w:type="dxa"/>
            <w:shd w:val="solid" w:color="FFFFFF" w:fill="auto"/>
          </w:tcPr>
          <w:p w14:paraId="53576279" w14:textId="5C39FE81" w:rsidR="000E35F2" w:rsidRPr="00873B6C" w:rsidRDefault="000E35F2" w:rsidP="009D14FB">
            <w:pPr>
              <w:pStyle w:val="TAL"/>
              <w:rPr>
                <w:sz w:val="16"/>
                <w:szCs w:val="16"/>
              </w:rPr>
            </w:pPr>
            <w:r w:rsidRPr="00873B6C">
              <w:rPr>
                <w:sz w:val="16"/>
                <w:szCs w:val="16"/>
              </w:rPr>
              <w:t xml:space="preserve">Generalizing TSC </w:t>
            </w:r>
            <w:r w:rsidR="00323277" w:rsidRPr="00873B6C">
              <w:rPr>
                <w:sz w:val="16"/>
                <w:szCs w:val="16"/>
              </w:rPr>
              <w:t>clause</w:t>
            </w:r>
            <w:r w:rsidRPr="00873B6C">
              <w:rPr>
                <w:sz w:val="16"/>
                <w:szCs w:val="16"/>
              </w:rPr>
              <w:t xml:space="preserve"> 5.27</w:t>
            </w:r>
          </w:p>
        </w:tc>
        <w:tc>
          <w:tcPr>
            <w:tcW w:w="708" w:type="dxa"/>
            <w:shd w:val="solid" w:color="FFFFFF" w:fill="auto"/>
          </w:tcPr>
          <w:p w14:paraId="5A698B74" w14:textId="06AE39A0" w:rsidR="000E35F2" w:rsidRPr="00873B6C" w:rsidRDefault="000E35F2" w:rsidP="009D14FB">
            <w:pPr>
              <w:pStyle w:val="TAC"/>
              <w:rPr>
                <w:b/>
                <w:bCs/>
                <w:sz w:val="16"/>
                <w:szCs w:val="16"/>
              </w:rPr>
            </w:pPr>
            <w:r w:rsidRPr="00873B6C">
              <w:rPr>
                <w:b/>
                <w:bCs/>
                <w:sz w:val="16"/>
                <w:szCs w:val="16"/>
              </w:rPr>
              <w:t>17.0.0</w:t>
            </w:r>
          </w:p>
        </w:tc>
      </w:tr>
      <w:tr w:rsidR="000E35F2" w:rsidRPr="00873B6C" w14:paraId="4D07FBE9" w14:textId="77777777" w:rsidTr="009D14FB">
        <w:tc>
          <w:tcPr>
            <w:tcW w:w="800" w:type="dxa"/>
            <w:shd w:val="solid" w:color="FFFFFF" w:fill="auto"/>
          </w:tcPr>
          <w:p w14:paraId="06686F45" w14:textId="46580790"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6F814E7B" w14:textId="3A270B0F"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4EACA929" w14:textId="169683DC"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50E27A10" w14:textId="0C28173B" w:rsidR="000E35F2" w:rsidRPr="00873B6C" w:rsidRDefault="000E35F2" w:rsidP="009D14FB">
            <w:pPr>
              <w:pStyle w:val="TAL"/>
              <w:rPr>
                <w:sz w:val="16"/>
                <w:szCs w:val="16"/>
              </w:rPr>
            </w:pPr>
            <w:r w:rsidRPr="00873B6C">
              <w:rPr>
                <w:sz w:val="16"/>
                <w:szCs w:val="16"/>
              </w:rPr>
              <w:t>2628</w:t>
            </w:r>
          </w:p>
        </w:tc>
        <w:tc>
          <w:tcPr>
            <w:tcW w:w="425" w:type="dxa"/>
            <w:shd w:val="solid" w:color="FFFFFF" w:fill="auto"/>
          </w:tcPr>
          <w:p w14:paraId="1B718E6F" w14:textId="7238EA36"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6E71EAE6" w14:textId="595305D5" w:rsidR="000E35F2" w:rsidRPr="00873B6C" w:rsidRDefault="000E35F2" w:rsidP="009D14FB">
            <w:pPr>
              <w:pStyle w:val="TAL"/>
              <w:rPr>
                <w:sz w:val="16"/>
                <w:szCs w:val="16"/>
              </w:rPr>
            </w:pPr>
            <w:r w:rsidRPr="00873B6C">
              <w:rPr>
                <w:sz w:val="16"/>
                <w:szCs w:val="16"/>
              </w:rPr>
              <w:t>C</w:t>
            </w:r>
          </w:p>
        </w:tc>
        <w:tc>
          <w:tcPr>
            <w:tcW w:w="4820" w:type="dxa"/>
            <w:shd w:val="solid" w:color="FFFFFF" w:fill="auto"/>
          </w:tcPr>
          <w:p w14:paraId="234D6AB3" w14:textId="49BE39C3" w:rsidR="000E35F2" w:rsidRPr="00873B6C" w:rsidRDefault="000E35F2" w:rsidP="009D14FB">
            <w:pPr>
              <w:pStyle w:val="TAL"/>
              <w:rPr>
                <w:sz w:val="16"/>
                <w:szCs w:val="16"/>
              </w:rPr>
            </w:pPr>
            <w:r w:rsidRPr="00873B6C">
              <w:rPr>
                <w:sz w:val="16"/>
                <w:szCs w:val="16"/>
              </w:rPr>
              <w:t>TSCAI applicability</w:t>
            </w:r>
          </w:p>
        </w:tc>
        <w:tc>
          <w:tcPr>
            <w:tcW w:w="708" w:type="dxa"/>
            <w:shd w:val="solid" w:color="FFFFFF" w:fill="auto"/>
          </w:tcPr>
          <w:p w14:paraId="6C03134A" w14:textId="2963B8C0" w:rsidR="000E35F2" w:rsidRPr="00873B6C" w:rsidRDefault="000E35F2" w:rsidP="009D14FB">
            <w:pPr>
              <w:pStyle w:val="TAC"/>
              <w:rPr>
                <w:b/>
                <w:bCs/>
                <w:sz w:val="16"/>
                <w:szCs w:val="16"/>
              </w:rPr>
            </w:pPr>
            <w:r w:rsidRPr="00873B6C">
              <w:rPr>
                <w:b/>
                <w:bCs/>
                <w:sz w:val="16"/>
                <w:szCs w:val="16"/>
              </w:rPr>
              <w:t>17.0.0</w:t>
            </w:r>
          </w:p>
        </w:tc>
      </w:tr>
      <w:tr w:rsidR="008D5A3F" w:rsidRPr="00873B6C" w14:paraId="0C2B7DCF" w14:textId="77777777" w:rsidTr="009D14FB">
        <w:tc>
          <w:tcPr>
            <w:tcW w:w="800" w:type="dxa"/>
            <w:shd w:val="solid" w:color="FFFFFF" w:fill="auto"/>
          </w:tcPr>
          <w:p w14:paraId="6894D1D3" w14:textId="7B861981" w:rsidR="008D5A3F" w:rsidRPr="00873B6C" w:rsidRDefault="008D5A3F" w:rsidP="009D14FB">
            <w:pPr>
              <w:pStyle w:val="TAC"/>
              <w:rPr>
                <w:sz w:val="16"/>
                <w:szCs w:val="16"/>
              </w:rPr>
            </w:pPr>
            <w:r w:rsidRPr="00873B6C">
              <w:rPr>
                <w:sz w:val="16"/>
                <w:szCs w:val="16"/>
              </w:rPr>
              <w:t>2021-03</w:t>
            </w:r>
          </w:p>
        </w:tc>
        <w:tc>
          <w:tcPr>
            <w:tcW w:w="800" w:type="dxa"/>
            <w:shd w:val="solid" w:color="FFFFFF" w:fill="auto"/>
          </w:tcPr>
          <w:p w14:paraId="304267BE" w14:textId="628D699D" w:rsidR="008D5A3F" w:rsidRPr="00873B6C" w:rsidRDefault="008D5A3F" w:rsidP="009D14FB">
            <w:pPr>
              <w:pStyle w:val="TAL"/>
              <w:rPr>
                <w:sz w:val="16"/>
                <w:szCs w:val="16"/>
              </w:rPr>
            </w:pPr>
            <w:r w:rsidRPr="00873B6C">
              <w:rPr>
                <w:sz w:val="16"/>
                <w:szCs w:val="16"/>
              </w:rPr>
              <w:t>SP#91E</w:t>
            </w:r>
          </w:p>
        </w:tc>
        <w:tc>
          <w:tcPr>
            <w:tcW w:w="1094" w:type="dxa"/>
            <w:shd w:val="solid" w:color="FFFFFF" w:fill="auto"/>
          </w:tcPr>
          <w:p w14:paraId="7E92A090" w14:textId="13DAFCAD" w:rsidR="008D5A3F" w:rsidRPr="00873B6C" w:rsidRDefault="008D5A3F" w:rsidP="009D14FB">
            <w:pPr>
              <w:pStyle w:val="TAC"/>
              <w:rPr>
                <w:sz w:val="16"/>
                <w:szCs w:val="16"/>
              </w:rPr>
            </w:pPr>
            <w:r w:rsidRPr="00873B6C">
              <w:rPr>
                <w:sz w:val="16"/>
                <w:szCs w:val="16"/>
              </w:rPr>
              <w:t>SP-210084</w:t>
            </w:r>
          </w:p>
        </w:tc>
        <w:tc>
          <w:tcPr>
            <w:tcW w:w="567" w:type="dxa"/>
            <w:shd w:val="solid" w:color="FFFFFF" w:fill="auto"/>
          </w:tcPr>
          <w:p w14:paraId="5A26AB86" w14:textId="424B3D6C" w:rsidR="008D5A3F" w:rsidRPr="00873B6C" w:rsidRDefault="008D5A3F" w:rsidP="009D14FB">
            <w:pPr>
              <w:pStyle w:val="TAL"/>
              <w:rPr>
                <w:sz w:val="16"/>
                <w:szCs w:val="16"/>
              </w:rPr>
            </w:pPr>
            <w:r w:rsidRPr="00873B6C">
              <w:rPr>
                <w:sz w:val="16"/>
                <w:szCs w:val="16"/>
              </w:rPr>
              <w:t>2629</w:t>
            </w:r>
          </w:p>
        </w:tc>
        <w:tc>
          <w:tcPr>
            <w:tcW w:w="425" w:type="dxa"/>
            <w:shd w:val="solid" w:color="FFFFFF" w:fill="auto"/>
          </w:tcPr>
          <w:p w14:paraId="188F0D39" w14:textId="6277D8C4" w:rsidR="008D5A3F" w:rsidRPr="00873B6C" w:rsidRDefault="008D5A3F" w:rsidP="009D14FB">
            <w:pPr>
              <w:pStyle w:val="TAL"/>
              <w:rPr>
                <w:sz w:val="16"/>
                <w:szCs w:val="16"/>
              </w:rPr>
            </w:pPr>
            <w:r w:rsidRPr="00873B6C">
              <w:rPr>
                <w:sz w:val="16"/>
                <w:szCs w:val="16"/>
              </w:rPr>
              <w:t>1</w:t>
            </w:r>
          </w:p>
        </w:tc>
        <w:tc>
          <w:tcPr>
            <w:tcW w:w="425" w:type="dxa"/>
            <w:shd w:val="solid" w:color="FFFFFF" w:fill="auto"/>
          </w:tcPr>
          <w:p w14:paraId="42FAF981" w14:textId="358D6991" w:rsidR="008D5A3F" w:rsidRPr="00873B6C" w:rsidRDefault="008D5A3F" w:rsidP="009D14FB">
            <w:pPr>
              <w:pStyle w:val="TAL"/>
              <w:rPr>
                <w:sz w:val="16"/>
                <w:szCs w:val="16"/>
              </w:rPr>
            </w:pPr>
            <w:r w:rsidRPr="00873B6C">
              <w:rPr>
                <w:sz w:val="16"/>
                <w:szCs w:val="16"/>
              </w:rPr>
              <w:t>B</w:t>
            </w:r>
          </w:p>
        </w:tc>
        <w:tc>
          <w:tcPr>
            <w:tcW w:w="4820" w:type="dxa"/>
            <w:shd w:val="solid" w:color="FFFFFF" w:fill="auto"/>
          </w:tcPr>
          <w:p w14:paraId="3142B3BD" w14:textId="619C757A" w:rsidR="008D5A3F" w:rsidRPr="00873B6C" w:rsidRDefault="008D5A3F" w:rsidP="009D14FB">
            <w:pPr>
              <w:pStyle w:val="TAL"/>
              <w:rPr>
                <w:sz w:val="16"/>
                <w:szCs w:val="16"/>
              </w:rPr>
            </w:pPr>
            <w:r w:rsidRPr="00873B6C">
              <w:rPr>
                <w:sz w:val="16"/>
                <w:szCs w:val="16"/>
              </w:rPr>
              <w:t xml:space="preserve">KI#3B-1: Exposure of Time synchronization as a service </w:t>
            </w:r>
          </w:p>
        </w:tc>
        <w:tc>
          <w:tcPr>
            <w:tcW w:w="708" w:type="dxa"/>
            <w:shd w:val="solid" w:color="FFFFFF" w:fill="auto"/>
          </w:tcPr>
          <w:p w14:paraId="66F62662" w14:textId="30F4F710" w:rsidR="008D5A3F" w:rsidRPr="00873B6C" w:rsidRDefault="008D5A3F" w:rsidP="009D14FB">
            <w:pPr>
              <w:pStyle w:val="TAC"/>
              <w:rPr>
                <w:b/>
                <w:bCs/>
                <w:sz w:val="16"/>
                <w:szCs w:val="16"/>
              </w:rPr>
            </w:pPr>
            <w:r w:rsidRPr="00873B6C">
              <w:rPr>
                <w:b/>
                <w:bCs/>
                <w:sz w:val="16"/>
                <w:szCs w:val="16"/>
              </w:rPr>
              <w:t>17.0.0</w:t>
            </w:r>
          </w:p>
        </w:tc>
      </w:tr>
      <w:tr w:rsidR="006101B9" w:rsidRPr="00873B6C" w14:paraId="15F86958" w14:textId="77777777" w:rsidTr="009D14FB">
        <w:tc>
          <w:tcPr>
            <w:tcW w:w="800" w:type="dxa"/>
            <w:shd w:val="solid" w:color="FFFFFF" w:fill="auto"/>
          </w:tcPr>
          <w:p w14:paraId="249CEB6D" w14:textId="75EE091E" w:rsidR="006101B9" w:rsidRPr="00873B6C" w:rsidRDefault="006101B9" w:rsidP="009D14FB">
            <w:pPr>
              <w:pStyle w:val="TAC"/>
              <w:rPr>
                <w:sz w:val="16"/>
                <w:szCs w:val="16"/>
              </w:rPr>
            </w:pPr>
            <w:r w:rsidRPr="00873B6C">
              <w:rPr>
                <w:sz w:val="16"/>
                <w:szCs w:val="16"/>
              </w:rPr>
              <w:t>2021-03</w:t>
            </w:r>
          </w:p>
        </w:tc>
        <w:tc>
          <w:tcPr>
            <w:tcW w:w="800" w:type="dxa"/>
            <w:shd w:val="solid" w:color="FFFFFF" w:fill="auto"/>
          </w:tcPr>
          <w:p w14:paraId="33006ED1" w14:textId="47E0ADEC" w:rsidR="006101B9" w:rsidRPr="00873B6C" w:rsidRDefault="006101B9" w:rsidP="009D14FB">
            <w:pPr>
              <w:pStyle w:val="TAL"/>
              <w:rPr>
                <w:sz w:val="16"/>
                <w:szCs w:val="16"/>
              </w:rPr>
            </w:pPr>
            <w:r w:rsidRPr="00873B6C">
              <w:rPr>
                <w:sz w:val="16"/>
                <w:szCs w:val="16"/>
              </w:rPr>
              <w:t>SP#91E</w:t>
            </w:r>
          </w:p>
        </w:tc>
        <w:tc>
          <w:tcPr>
            <w:tcW w:w="1094" w:type="dxa"/>
            <w:shd w:val="solid" w:color="FFFFFF" w:fill="auto"/>
          </w:tcPr>
          <w:p w14:paraId="32A826F0" w14:textId="1DBD6160" w:rsidR="006101B9" w:rsidRPr="00873B6C" w:rsidRDefault="006101B9" w:rsidP="009D14FB">
            <w:pPr>
              <w:pStyle w:val="TAC"/>
              <w:rPr>
                <w:sz w:val="16"/>
                <w:szCs w:val="16"/>
              </w:rPr>
            </w:pPr>
            <w:r w:rsidRPr="00873B6C">
              <w:rPr>
                <w:sz w:val="16"/>
                <w:szCs w:val="16"/>
              </w:rPr>
              <w:t>SP-210069</w:t>
            </w:r>
          </w:p>
        </w:tc>
        <w:tc>
          <w:tcPr>
            <w:tcW w:w="567" w:type="dxa"/>
            <w:shd w:val="solid" w:color="FFFFFF" w:fill="auto"/>
          </w:tcPr>
          <w:p w14:paraId="77EA84F3" w14:textId="03D91875" w:rsidR="006101B9" w:rsidRPr="00873B6C" w:rsidRDefault="006101B9" w:rsidP="009D14FB">
            <w:pPr>
              <w:pStyle w:val="TAL"/>
              <w:rPr>
                <w:sz w:val="16"/>
                <w:szCs w:val="16"/>
              </w:rPr>
            </w:pPr>
            <w:r w:rsidRPr="00873B6C">
              <w:rPr>
                <w:sz w:val="16"/>
                <w:szCs w:val="16"/>
              </w:rPr>
              <w:t>2634</w:t>
            </w:r>
          </w:p>
        </w:tc>
        <w:tc>
          <w:tcPr>
            <w:tcW w:w="425" w:type="dxa"/>
            <w:shd w:val="solid" w:color="FFFFFF" w:fill="auto"/>
          </w:tcPr>
          <w:p w14:paraId="7AFB4E38" w14:textId="2823FE73" w:rsidR="006101B9" w:rsidRPr="00873B6C" w:rsidRDefault="006101B9" w:rsidP="009D14FB">
            <w:pPr>
              <w:pStyle w:val="TAL"/>
              <w:rPr>
                <w:sz w:val="16"/>
                <w:szCs w:val="16"/>
              </w:rPr>
            </w:pPr>
            <w:r w:rsidRPr="00873B6C">
              <w:rPr>
                <w:sz w:val="16"/>
                <w:szCs w:val="16"/>
              </w:rPr>
              <w:t>1</w:t>
            </w:r>
          </w:p>
        </w:tc>
        <w:tc>
          <w:tcPr>
            <w:tcW w:w="425" w:type="dxa"/>
            <w:shd w:val="solid" w:color="FFFFFF" w:fill="auto"/>
          </w:tcPr>
          <w:p w14:paraId="15F4A292" w14:textId="025ACC35" w:rsidR="006101B9" w:rsidRPr="00873B6C" w:rsidRDefault="006101B9" w:rsidP="009D14FB">
            <w:pPr>
              <w:pStyle w:val="TAL"/>
              <w:rPr>
                <w:sz w:val="16"/>
                <w:szCs w:val="16"/>
              </w:rPr>
            </w:pPr>
            <w:r w:rsidRPr="00873B6C">
              <w:rPr>
                <w:sz w:val="16"/>
                <w:szCs w:val="16"/>
              </w:rPr>
              <w:t>B</w:t>
            </w:r>
          </w:p>
        </w:tc>
        <w:tc>
          <w:tcPr>
            <w:tcW w:w="4820" w:type="dxa"/>
            <w:shd w:val="solid" w:color="FFFFFF" w:fill="auto"/>
          </w:tcPr>
          <w:p w14:paraId="650D87FD" w14:textId="18007672" w:rsidR="006101B9" w:rsidRPr="00873B6C" w:rsidRDefault="006101B9" w:rsidP="009D14FB">
            <w:pPr>
              <w:pStyle w:val="TAL"/>
              <w:rPr>
                <w:sz w:val="16"/>
                <w:szCs w:val="16"/>
              </w:rPr>
            </w:pPr>
            <w:r w:rsidRPr="00873B6C">
              <w:rPr>
                <w:sz w:val="16"/>
                <w:szCs w:val="16"/>
              </w:rPr>
              <w:t>KI #1-1, I-SMF selection</w:t>
            </w:r>
          </w:p>
        </w:tc>
        <w:tc>
          <w:tcPr>
            <w:tcW w:w="708" w:type="dxa"/>
            <w:shd w:val="solid" w:color="FFFFFF" w:fill="auto"/>
          </w:tcPr>
          <w:p w14:paraId="5326E3A7" w14:textId="2C841424" w:rsidR="006101B9" w:rsidRPr="00873B6C" w:rsidRDefault="006101B9" w:rsidP="009D14FB">
            <w:pPr>
              <w:pStyle w:val="TAC"/>
              <w:rPr>
                <w:b/>
                <w:bCs/>
                <w:sz w:val="16"/>
                <w:szCs w:val="16"/>
              </w:rPr>
            </w:pPr>
            <w:r w:rsidRPr="00873B6C">
              <w:rPr>
                <w:b/>
                <w:bCs/>
                <w:sz w:val="16"/>
                <w:szCs w:val="16"/>
              </w:rPr>
              <w:t>17.0.0</w:t>
            </w:r>
          </w:p>
        </w:tc>
      </w:tr>
      <w:tr w:rsidR="006101B9" w:rsidRPr="00873B6C" w14:paraId="723F9598" w14:textId="77777777" w:rsidTr="009D14FB">
        <w:tc>
          <w:tcPr>
            <w:tcW w:w="800" w:type="dxa"/>
            <w:shd w:val="solid" w:color="FFFFFF" w:fill="auto"/>
          </w:tcPr>
          <w:p w14:paraId="566F932F" w14:textId="0C5AEC3F" w:rsidR="006101B9" w:rsidRPr="00873B6C" w:rsidRDefault="006101B9" w:rsidP="009D14FB">
            <w:pPr>
              <w:pStyle w:val="TAC"/>
              <w:rPr>
                <w:sz w:val="16"/>
                <w:szCs w:val="16"/>
              </w:rPr>
            </w:pPr>
            <w:r w:rsidRPr="00873B6C">
              <w:rPr>
                <w:sz w:val="16"/>
                <w:szCs w:val="16"/>
              </w:rPr>
              <w:t>2021-03</w:t>
            </w:r>
          </w:p>
        </w:tc>
        <w:tc>
          <w:tcPr>
            <w:tcW w:w="800" w:type="dxa"/>
            <w:shd w:val="solid" w:color="FFFFFF" w:fill="auto"/>
          </w:tcPr>
          <w:p w14:paraId="116E4326" w14:textId="1725E277" w:rsidR="006101B9" w:rsidRPr="00873B6C" w:rsidRDefault="006101B9" w:rsidP="009D14FB">
            <w:pPr>
              <w:pStyle w:val="TAL"/>
              <w:rPr>
                <w:sz w:val="16"/>
                <w:szCs w:val="16"/>
              </w:rPr>
            </w:pPr>
            <w:r w:rsidRPr="00873B6C">
              <w:rPr>
                <w:sz w:val="16"/>
                <w:szCs w:val="16"/>
              </w:rPr>
              <w:t>SP#91E</w:t>
            </w:r>
          </w:p>
        </w:tc>
        <w:tc>
          <w:tcPr>
            <w:tcW w:w="1094" w:type="dxa"/>
            <w:shd w:val="solid" w:color="FFFFFF" w:fill="auto"/>
          </w:tcPr>
          <w:p w14:paraId="4E12D0CF" w14:textId="0CAE8749" w:rsidR="006101B9" w:rsidRPr="00873B6C" w:rsidRDefault="006101B9" w:rsidP="009D14FB">
            <w:pPr>
              <w:pStyle w:val="TAC"/>
              <w:rPr>
                <w:sz w:val="16"/>
                <w:szCs w:val="16"/>
              </w:rPr>
            </w:pPr>
            <w:r w:rsidRPr="00873B6C">
              <w:rPr>
                <w:sz w:val="16"/>
                <w:szCs w:val="16"/>
              </w:rPr>
              <w:t>SP-210064</w:t>
            </w:r>
          </w:p>
        </w:tc>
        <w:tc>
          <w:tcPr>
            <w:tcW w:w="567" w:type="dxa"/>
            <w:shd w:val="solid" w:color="FFFFFF" w:fill="auto"/>
          </w:tcPr>
          <w:p w14:paraId="42E18465" w14:textId="3984F1A0" w:rsidR="006101B9" w:rsidRPr="00873B6C" w:rsidRDefault="006101B9" w:rsidP="009D14FB">
            <w:pPr>
              <w:pStyle w:val="TAL"/>
              <w:rPr>
                <w:sz w:val="16"/>
                <w:szCs w:val="16"/>
              </w:rPr>
            </w:pPr>
            <w:r w:rsidRPr="00873B6C">
              <w:rPr>
                <w:sz w:val="16"/>
                <w:szCs w:val="16"/>
              </w:rPr>
              <w:t>2637</w:t>
            </w:r>
          </w:p>
        </w:tc>
        <w:tc>
          <w:tcPr>
            <w:tcW w:w="425" w:type="dxa"/>
            <w:shd w:val="solid" w:color="FFFFFF" w:fill="auto"/>
          </w:tcPr>
          <w:p w14:paraId="60A0DF72" w14:textId="0A3617CE" w:rsidR="006101B9" w:rsidRPr="00873B6C" w:rsidRDefault="006101B9" w:rsidP="009D14FB">
            <w:pPr>
              <w:pStyle w:val="TAL"/>
              <w:rPr>
                <w:sz w:val="16"/>
                <w:szCs w:val="16"/>
              </w:rPr>
            </w:pPr>
            <w:r w:rsidRPr="00873B6C">
              <w:rPr>
                <w:sz w:val="16"/>
                <w:szCs w:val="16"/>
              </w:rPr>
              <w:t xml:space="preserve">1 </w:t>
            </w:r>
          </w:p>
        </w:tc>
        <w:tc>
          <w:tcPr>
            <w:tcW w:w="425" w:type="dxa"/>
            <w:shd w:val="solid" w:color="FFFFFF" w:fill="auto"/>
          </w:tcPr>
          <w:p w14:paraId="16A90091" w14:textId="1147C27E" w:rsidR="006101B9" w:rsidRPr="00873B6C" w:rsidRDefault="006101B9" w:rsidP="009D14FB">
            <w:pPr>
              <w:pStyle w:val="TAL"/>
              <w:rPr>
                <w:sz w:val="16"/>
                <w:szCs w:val="16"/>
              </w:rPr>
            </w:pPr>
            <w:r w:rsidRPr="00873B6C">
              <w:rPr>
                <w:sz w:val="16"/>
                <w:szCs w:val="16"/>
              </w:rPr>
              <w:t>B</w:t>
            </w:r>
          </w:p>
        </w:tc>
        <w:tc>
          <w:tcPr>
            <w:tcW w:w="4820" w:type="dxa"/>
            <w:shd w:val="solid" w:color="FFFFFF" w:fill="auto"/>
          </w:tcPr>
          <w:p w14:paraId="6C878095" w14:textId="6F89988F" w:rsidR="006101B9" w:rsidRPr="00873B6C" w:rsidRDefault="006101B9" w:rsidP="009D14FB">
            <w:pPr>
              <w:pStyle w:val="TAL"/>
              <w:rPr>
                <w:sz w:val="16"/>
                <w:szCs w:val="16"/>
              </w:rPr>
            </w:pPr>
            <w:r w:rsidRPr="00873B6C">
              <w:rPr>
                <w:sz w:val="16"/>
                <w:szCs w:val="16"/>
              </w:rPr>
              <w:t>5G Architecture reference model for ProSe</w:t>
            </w:r>
          </w:p>
        </w:tc>
        <w:tc>
          <w:tcPr>
            <w:tcW w:w="708" w:type="dxa"/>
            <w:shd w:val="solid" w:color="FFFFFF" w:fill="auto"/>
          </w:tcPr>
          <w:p w14:paraId="255CC007" w14:textId="2396487C" w:rsidR="006101B9" w:rsidRPr="00873B6C" w:rsidRDefault="006101B9" w:rsidP="009D14FB">
            <w:pPr>
              <w:pStyle w:val="TAC"/>
              <w:rPr>
                <w:b/>
                <w:bCs/>
                <w:sz w:val="16"/>
                <w:szCs w:val="16"/>
              </w:rPr>
            </w:pPr>
            <w:r w:rsidRPr="00873B6C">
              <w:rPr>
                <w:b/>
                <w:bCs/>
                <w:sz w:val="16"/>
                <w:szCs w:val="16"/>
              </w:rPr>
              <w:t>17.0.0</w:t>
            </w:r>
          </w:p>
        </w:tc>
      </w:tr>
      <w:tr w:rsidR="00D63C5A" w:rsidRPr="00873B6C" w14:paraId="1A0A8215" w14:textId="77777777" w:rsidTr="009D14FB">
        <w:tc>
          <w:tcPr>
            <w:tcW w:w="800" w:type="dxa"/>
            <w:shd w:val="solid" w:color="FFFFFF" w:fill="auto"/>
          </w:tcPr>
          <w:p w14:paraId="0280F3A5" w14:textId="202D1641" w:rsidR="00D63C5A" w:rsidRPr="00873B6C" w:rsidRDefault="00D63C5A" w:rsidP="009D14FB">
            <w:pPr>
              <w:pStyle w:val="TAC"/>
              <w:rPr>
                <w:sz w:val="16"/>
                <w:szCs w:val="16"/>
              </w:rPr>
            </w:pPr>
            <w:r w:rsidRPr="00873B6C">
              <w:rPr>
                <w:sz w:val="16"/>
                <w:szCs w:val="16"/>
              </w:rPr>
              <w:t>2021-03</w:t>
            </w:r>
          </w:p>
        </w:tc>
        <w:tc>
          <w:tcPr>
            <w:tcW w:w="800" w:type="dxa"/>
            <w:shd w:val="solid" w:color="FFFFFF" w:fill="auto"/>
          </w:tcPr>
          <w:p w14:paraId="280FA283" w14:textId="7CBB7F0C" w:rsidR="00D63C5A" w:rsidRPr="00873B6C" w:rsidRDefault="00D63C5A" w:rsidP="009D14FB">
            <w:pPr>
              <w:pStyle w:val="TAL"/>
              <w:rPr>
                <w:sz w:val="16"/>
                <w:szCs w:val="16"/>
              </w:rPr>
            </w:pPr>
            <w:r w:rsidRPr="00873B6C">
              <w:rPr>
                <w:sz w:val="16"/>
                <w:szCs w:val="16"/>
              </w:rPr>
              <w:t>SP#91E</w:t>
            </w:r>
          </w:p>
        </w:tc>
        <w:tc>
          <w:tcPr>
            <w:tcW w:w="1094" w:type="dxa"/>
            <w:shd w:val="solid" w:color="FFFFFF" w:fill="auto"/>
          </w:tcPr>
          <w:p w14:paraId="7ADA3D73" w14:textId="273E6105" w:rsidR="00D63C5A" w:rsidRPr="00873B6C" w:rsidRDefault="00D63C5A" w:rsidP="009D14FB">
            <w:pPr>
              <w:pStyle w:val="TAC"/>
              <w:rPr>
                <w:sz w:val="16"/>
                <w:szCs w:val="16"/>
              </w:rPr>
            </w:pPr>
            <w:r w:rsidRPr="00873B6C">
              <w:rPr>
                <w:sz w:val="16"/>
                <w:szCs w:val="16"/>
              </w:rPr>
              <w:t>SP-210072</w:t>
            </w:r>
          </w:p>
        </w:tc>
        <w:tc>
          <w:tcPr>
            <w:tcW w:w="567" w:type="dxa"/>
            <w:shd w:val="solid" w:color="FFFFFF" w:fill="auto"/>
          </w:tcPr>
          <w:p w14:paraId="21746F06" w14:textId="638986D1" w:rsidR="00D63C5A" w:rsidRPr="00873B6C" w:rsidRDefault="00D63C5A" w:rsidP="009D14FB">
            <w:pPr>
              <w:pStyle w:val="TAL"/>
              <w:rPr>
                <w:sz w:val="16"/>
                <w:szCs w:val="16"/>
              </w:rPr>
            </w:pPr>
            <w:r w:rsidRPr="00873B6C">
              <w:rPr>
                <w:sz w:val="16"/>
                <w:szCs w:val="16"/>
              </w:rPr>
              <w:t>2642</w:t>
            </w:r>
          </w:p>
        </w:tc>
        <w:tc>
          <w:tcPr>
            <w:tcW w:w="425" w:type="dxa"/>
            <w:shd w:val="solid" w:color="FFFFFF" w:fill="auto"/>
          </w:tcPr>
          <w:p w14:paraId="0AD3F19B" w14:textId="36C70918" w:rsidR="00D63C5A" w:rsidRPr="00873B6C" w:rsidRDefault="00D63C5A" w:rsidP="009D14FB">
            <w:pPr>
              <w:pStyle w:val="TAL"/>
              <w:rPr>
                <w:sz w:val="16"/>
                <w:szCs w:val="16"/>
              </w:rPr>
            </w:pPr>
            <w:r w:rsidRPr="00873B6C">
              <w:rPr>
                <w:sz w:val="16"/>
                <w:szCs w:val="16"/>
              </w:rPr>
              <w:t xml:space="preserve">1 </w:t>
            </w:r>
          </w:p>
        </w:tc>
        <w:tc>
          <w:tcPr>
            <w:tcW w:w="425" w:type="dxa"/>
            <w:shd w:val="solid" w:color="FFFFFF" w:fill="auto"/>
          </w:tcPr>
          <w:p w14:paraId="7FE8722A" w14:textId="0912DBBB" w:rsidR="00D63C5A" w:rsidRPr="00873B6C" w:rsidRDefault="00D63C5A" w:rsidP="009D14FB">
            <w:pPr>
              <w:pStyle w:val="TAL"/>
              <w:rPr>
                <w:sz w:val="16"/>
                <w:szCs w:val="16"/>
              </w:rPr>
            </w:pPr>
            <w:r w:rsidRPr="00873B6C">
              <w:rPr>
                <w:sz w:val="16"/>
                <w:szCs w:val="16"/>
              </w:rPr>
              <w:t>B</w:t>
            </w:r>
          </w:p>
        </w:tc>
        <w:tc>
          <w:tcPr>
            <w:tcW w:w="4820" w:type="dxa"/>
            <w:shd w:val="solid" w:color="FFFFFF" w:fill="auto"/>
          </w:tcPr>
          <w:p w14:paraId="1370B191" w14:textId="77A9557B" w:rsidR="00D63C5A" w:rsidRPr="00873B6C" w:rsidRDefault="00D63C5A" w:rsidP="009D14FB">
            <w:pPr>
              <w:pStyle w:val="TAL"/>
              <w:rPr>
                <w:sz w:val="16"/>
                <w:szCs w:val="16"/>
              </w:rPr>
            </w:pPr>
            <w:r w:rsidRPr="00873B6C">
              <w:rPr>
                <w:sz w:val="16"/>
                <w:szCs w:val="16"/>
              </w:rPr>
              <w:t xml:space="preserve">Architectural changes to increasing efficiency of data collection </w:t>
            </w:r>
          </w:p>
        </w:tc>
        <w:tc>
          <w:tcPr>
            <w:tcW w:w="708" w:type="dxa"/>
            <w:shd w:val="solid" w:color="FFFFFF" w:fill="auto"/>
          </w:tcPr>
          <w:p w14:paraId="6558C856" w14:textId="157AAC93" w:rsidR="00D63C5A" w:rsidRPr="00873B6C" w:rsidRDefault="00D63C5A" w:rsidP="009D14FB">
            <w:pPr>
              <w:pStyle w:val="TAC"/>
              <w:rPr>
                <w:b/>
                <w:bCs/>
                <w:sz w:val="16"/>
                <w:szCs w:val="16"/>
              </w:rPr>
            </w:pPr>
            <w:r w:rsidRPr="00873B6C">
              <w:rPr>
                <w:b/>
                <w:bCs/>
                <w:sz w:val="16"/>
                <w:szCs w:val="16"/>
              </w:rPr>
              <w:t>17.0.0</w:t>
            </w:r>
          </w:p>
        </w:tc>
      </w:tr>
      <w:tr w:rsidR="00FD5C4A" w:rsidRPr="00873B6C" w14:paraId="6958AF50" w14:textId="77777777" w:rsidTr="009D14FB">
        <w:tc>
          <w:tcPr>
            <w:tcW w:w="800" w:type="dxa"/>
            <w:shd w:val="solid" w:color="FFFFFF" w:fill="auto"/>
          </w:tcPr>
          <w:p w14:paraId="007D5786" w14:textId="0A4A887A" w:rsidR="00FD5C4A" w:rsidRPr="00873B6C" w:rsidRDefault="00FD5C4A" w:rsidP="009D14FB">
            <w:pPr>
              <w:pStyle w:val="TAC"/>
              <w:rPr>
                <w:sz w:val="16"/>
                <w:szCs w:val="16"/>
              </w:rPr>
            </w:pPr>
            <w:r w:rsidRPr="00873B6C">
              <w:rPr>
                <w:sz w:val="16"/>
                <w:szCs w:val="16"/>
              </w:rPr>
              <w:t>2021-03</w:t>
            </w:r>
          </w:p>
        </w:tc>
        <w:tc>
          <w:tcPr>
            <w:tcW w:w="800" w:type="dxa"/>
            <w:shd w:val="solid" w:color="FFFFFF" w:fill="auto"/>
          </w:tcPr>
          <w:p w14:paraId="6393566A" w14:textId="68625FD3" w:rsidR="00FD5C4A" w:rsidRPr="00873B6C" w:rsidRDefault="00FD5C4A" w:rsidP="009D14FB">
            <w:pPr>
              <w:pStyle w:val="TAL"/>
              <w:rPr>
                <w:sz w:val="16"/>
                <w:szCs w:val="16"/>
              </w:rPr>
            </w:pPr>
            <w:r w:rsidRPr="00873B6C">
              <w:rPr>
                <w:sz w:val="16"/>
                <w:szCs w:val="16"/>
              </w:rPr>
              <w:t>SP#91E</w:t>
            </w:r>
          </w:p>
        </w:tc>
        <w:tc>
          <w:tcPr>
            <w:tcW w:w="1094" w:type="dxa"/>
            <w:shd w:val="solid" w:color="FFFFFF" w:fill="auto"/>
          </w:tcPr>
          <w:p w14:paraId="26671D31" w14:textId="0417E4B3" w:rsidR="00FD5C4A" w:rsidRPr="00873B6C" w:rsidRDefault="00FD5C4A" w:rsidP="009D14FB">
            <w:pPr>
              <w:pStyle w:val="TAC"/>
              <w:rPr>
                <w:sz w:val="16"/>
                <w:szCs w:val="16"/>
              </w:rPr>
            </w:pPr>
            <w:r w:rsidRPr="00873B6C">
              <w:rPr>
                <w:sz w:val="16"/>
                <w:szCs w:val="16"/>
              </w:rPr>
              <w:t>SP-210088</w:t>
            </w:r>
          </w:p>
        </w:tc>
        <w:tc>
          <w:tcPr>
            <w:tcW w:w="567" w:type="dxa"/>
            <w:shd w:val="solid" w:color="FFFFFF" w:fill="auto"/>
          </w:tcPr>
          <w:p w14:paraId="5CD7A954" w14:textId="4E8F8437" w:rsidR="00FD5C4A" w:rsidRPr="00873B6C" w:rsidRDefault="00FD5C4A" w:rsidP="009D14FB">
            <w:pPr>
              <w:pStyle w:val="TAL"/>
              <w:rPr>
                <w:sz w:val="16"/>
                <w:szCs w:val="16"/>
              </w:rPr>
            </w:pPr>
            <w:r w:rsidRPr="00873B6C">
              <w:rPr>
                <w:sz w:val="16"/>
                <w:szCs w:val="16"/>
              </w:rPr>
              <w:t>2644</w:t>
            </w:r>
          </w:p>
        </w:tc>
        <w:tc>
          <w:tcPr>
            <w:tcW w:w="425" w:type="dxa"/>
            <w:shd w:val="solid" w:color="FFFFFF" w:fill="auto"/>
          </w:tcPr>
          <w:p w14:paraId="5887F520" w14:textId="33ACDA17" w:rsidR="00FD5C4A" w:rsidRPr="00873B6C" w:rsidRDefault="00FD5C4A" w:rsidP="009D14FB">
            <w:pPr>
              <w:pStyle w:val="TAL"/>
              <w:rPr>
                <w:sz w:val="16"/>
                <w:szCs w:val="16"/>
              </w:rPr>
            </w:pPr>
            <w:r w:rsidRPr="00873B6C">
              <w:rPr>
                <w:sz w:val="16"/>
                <w:szCs w:val="16"/>
              </w:rPr>
              <w:t>1</w:t>
            </w:r>
          </w:p>
        </w:tc>
        <w:tc>
          <w:tcPr>
            <w:tcW w:w="425" w:type="dxa"/>
            <w:shd w:val="solid" w:color="FFFFFF" w:fill="auto"/>
          </w:tcPr>
          <w:p w14:paraId="72D39EE5" w14:textId="2EDA6DE4" w:rsidR="00FD5C4A" w:rsidRPr="00873B6C" w:rsidRDefault="00FD5C4A" w:rsidP="009D14FB">
            <w:pPr>
              <w:pStyle w:val="TAL"/>
              <w:rPr>
                <w:sz w:val="16"/>
                <w:szCs w:val="16"/>
              </w:rPr>
            </w:pPr>
            <w:r w:rsidRPr="00873B6C">
              <w:rPr>
                <w:sz w:val="16"/>
                <w:szCs w:val="16"/>
              </w:rPr>
              <w:t>B</w:t>
            </w:r>
          </w:p>
        </w:tc>
        <w:tc>
          <w:tcPr>
            <w:tcW w:w="4820" w:type="dxa"/>
            <w:shd w:val="solid" w:color="FFFFFF" w:fill="auto"/>
          </w:tcPr>
          <w:p w14:paraId="3B83A1F7" w14:textId="549D7CDC" w:rsidR="00FD5C4A" w:rsidRPr="00873B6C" w:rsidRDefault="00FD5C4A" w:rsidP="009D14FB">
            <w:pPr>
              <w:pStyle w:val="TAL"/>
              <w:rPr>
                <w:sz w:val="16"/>
                <w:szCs w:val="16"/>
              </w:rPr>
            </w:pPr>
            <w:r w:rsidRPr="00873B6C">
              <w:rPr>
                <w:sz w:val="16"/>
                <w:szCs w:val="16"/>
              </w:rPr>
              <w:t>Selecting the same PCF for AMF and SMF</w:t>
            </w:r>
          </w:p>
        </w:tc>
        <w:tc>
          <w:tcPr>
            <w:tcW w:w="708" w:type="dxa"/>
            <w:shd w:val="solid" w:color="FFFFFF" w:fill="auto"/>
          </w:tcPr>
          <w:p w14:paraId="43E9546D" w14:textId="65384ED2" w:rsidR="00FD5C4A" w:rsidRPr="00873B6C" w:rsidRDefault="00FD5C4A" w:rsidP="009D14FB">
            <w:pPr>
              <w:pStyle w:val="TAC"/>
              <w:rPr>
                <w:b/>
                <w:bCs/>
                <w:sz w:val="16"/>
                <w:szCs w:val="16"/>
              </w:rPr>
            </w:pPr>
            <w:r w:rsidRPr="00873B6C">
              <w:rPr>
                <w:b/>
                <w:bCs/>
                <w:sz w:val="16"/>
                <w:szCs w:val="16"/>
              </w:rPr>
              <w:t>17.0.0</w:t>
            </w:r>
          </w:p>
        </w:tc>
      </w:tr>
      <w:tr w:rsidR="00FD5C4A" w:rsidRPr="00873B6C" w14:paraId="53CBB75A" w14:textId="77777777" w:rsidTr="009D14FB">
        <w:tc>
          <w:tcPr>
            <w:tcW w:w="800" w:type="dxa"/>
            <w:shd w:val="solid" w:color="FFFFFF" w:fill="auto"/>
          </w:tcPr>
          <w:p w14:paraId="478F1CEF" w14:textId="4945E4F1" w:rsidR="00FD5C4A" w:rsidRPr="00873B6C" w:rsidRDefault="00FD5C4A" w:rsidP="009D14FB">
            <w:pPr>
              <w:pStyle w:val="TAC"/>
              <w:rPr>
                <w:sz w:val="16"/>
                <w:szCs w:val="16"/>
              </w:rPr>
            </w:pPr>
            <w:r w:rsidRPr="00873B6C">
              <w:rPr>
                <w:sz w:val="16"/>
                <w:szCs w:val="16"/>
              </w:rPr>
              <w:t>2021-03</w:t>
            </w:r>
          </w:p>
        </w:tc>
        <w:tc>
          <w:tcPr>
            <w:tcW w:w="800" w:type="dxa"/>
            <w:shd w:val="solid" w:color="FFFFFF" w:fill="auto"/>
          </w:tcPr>
          <w:p w14:paraId="5855DD7B" w14:textId="196CC4F3" w:rsidR="00FD5C4A" w:rsidRPr="00873B6C" w:rsidRDefault="00FD5C4A" w:rsidP="009D14FB">
            <w:pPr>
              <w:pStyle w:val="TAL"/>
              <w:rPr>
                <w:sz w:val="16"/>
                <w:szCs w:val="16"/>
              </w:rPr>
            </w:pPr>
            <w:r w:rsidRPr="00873B6C">
              <w:rPr>
                <w:sz w:val="16"/>
                <w:szCs w:val="16"/>
              </w:rPr>
              <w:t>SP#91E</w:t>
            </w:r>
          </w:p>
        </w:tc>
        <w:tc>
          <w:tcPr>
            <w:tcW w:w="1094" w:type="dxa"/>
            <w:shd w:val="solid" w:color="FFFFFF" w:fill="auto"/>
          </w:tcPr>
          <w:p w14:paraId="711E9DA9" w14:textId="3FF6D755" w:rsidR="00FD5C4A" w:rsidRPr="00873B6C" w:rsidRDefault="00FD5C4A" w:rsidP="009D14FB">
            <w:pPr>
              <w:pStyle w:val="TAC"/>
              <w:rPr>
                <w:sz w:val="16"/>
                <w:szCs w:val="16"/>
              </w:rPr>
            </w:pPr>
            <w:r w:rsidRPr="00873B6C">
              <w:rPr>
                <w:sz w:val="16"/>
                <w:szCs w:val="16"/>
              </w:rPr>
              <w:t>SP-210069</w:t>
            </w:r>
          </w:p>
        </w:tc>
        <w:tc>
          <w:tcPr>
            <w:tcW w:w="567" w:type="dxa"/>
            <w:shd w:val="solid" w:color="FFFFFF" w:fill="auto"/>
          </w:tcPr>
          <w:p w14:paraId="3E933E67" w14:textId="08005877" w:rsidR="00FD5C4A" w:rsidRPr="00873B6C" w:rsidRDefault="00FD5C4A" w:rsidP="009D14FB">
            <w:pPr>
              <w:pStyle w:val="TAL"/>
              <w:rPr>
                <w:sz w:val="16"/>
                <w:szCs w:val="16"/>
              </w:rPr>
            </w:pPr>
            <w:r w:rsidRPr="00873B6C">
              <w:rPr>
                <w:sz w:val="16"/>
                <w:szCs w:val="16"/>
              </w:rPr>
              <w:t>2646</w:t>
            </w:r>
          </w:p>
        </w:tc>
        <w:tc>
          <w:tcPr>
            <w:tcW w:w="425" w:type="dxa"/>
            <w:shd w:val="solid" w:color="FFFFFF" w:fill="auto"/>
          </w:tcPr>
          <w:p w14:paraId="31CDBF60" w14:textId="2FD763FA" w:rsidR="00FD5C4A" w:rsidRPr="00873B6C" w:rsidRDefault="00FD5C4A" w:rsidP="009D14FB">
            <w:pPr>
              <w:pStyle w:val="TAL"/>
              <w:rPr>
                <w:sz w:val="16"/>
                <w:szCs w:val="16"/>
              </w:rPr>
            </w:pPr>
            <w:r w:rsidRPr="00873B6C">
              <w:rPr>
                <w:sz w:val="16"/>
                <w:szCs w:val="16"/>
              </w:rPr>
              <w:t>1</w:t>
            </w:r>
          </w:p>
        </w:tc>
        <w:tc>
          <w:tcPr>
            <w:tcW w:w="425" w:type="dxa"/>
            <w:shd w:val="solid" w:color="FFFFFF" w:fill="auto"/>
          </w:tcPr>
          <w:p w14:paraId="3D338411" w14:textId="6472BC39" w:rsidR="00FD5C4A" w:rsidRPr="00873B6C" w:rsidRDefault="00FD5C4A" w:rsidP="009D14FB">
            <w:pPr>
              <w:pStyle w:val="TAL"/>
              <w:rPr>
                <w:sz w:val="16"/>
                <w:szCs w:val="16"/>
              </w:rPr>
            </w:pPr>
            <w:r w:rsidRPr="00873B6C">
              <w:rPr>
                <w:sz w:val="16"/>
                <w:szCs w:val="16"/>
              </w:rPr>
              <w:t>B</w:t>
            </w:r>
          </w:p>
        </w:tc>
        <w:tc>
          <w:tcPr>
            <w:tcW w:w="4820" w:type="dxa"/>
            <w:shd w:val="solid" w:color="FFFFFF" w:fill="auto"/>
          </w:tcPr>
          <w:p w14:paraId="7C5E50DF" w14:textId="761F36D7" w:rsidR="00FD5C4A" w:rsidRPr="00873B6C" w:rsidRDefault="00FD5C4A" w:rsidP="009D14FB">
            <w:pPr>
              <w:pStyle w:val="TAL"/>
              <w:rPr>
                <w:sz w:val="16"/>
                <w:szCs w:val="16"/>
              </w:rPr>
            </w:pPr>
            <w:r w:rsidRPr="00873B6C">
              <w:rPr>
                <w:sz w:val="16"/>
                <w:szCs w:val="16"/>
              </w:rPr>
              <w:t>EC KI2 Target PSA buffering</w:t>
            </w:r>
          </w:p>
        </w:tc>
        <w:tc>
          <w:tcPr>
            <w:tcW w:w="708" w:type="dxa"/>
            <w:shd w:val="solid" w:color="FFFFFF" w:fill="auto"/>
          </w:tcPr>
          <w:p w14:paraId="49516CE7" w14:textId="0A55A086" w:rsidR="00FD5C4A" w:rsidRPr="00873B6C" w:rsidRDefault="00FD5C4A" w:rsidP="009D14FB">
            <w:pPr>
              <w:pStyle w:val="TAC"/>
              <w:rPr>
                <w:b/>
                <w:bCs/>
                <w:sz w:val="16"/>
                <w:szCs w:val="16"/>
              </w:rPr>
            </w:pPr>
            <w:r w:rsidRPr="00873B6C">
              <w:rPr>
                <w:b/>
                <w:bCs/>
                <w:sz w:val="16"/>
                <w:szCs w:val="16"/>
              </w:rPr>
              <w:t>17.0.0</w:t>
            </w:r>
          </w:p>
        </w:tc>
      </w:tr>
      <w:tr w:rsidR="00FD5C4A" w:rsidRPr="00873B6C" w14:paraId="008F9DC4" w14:textId="77777777" w:rsidTr="009D14FB">
        <w:tc>
          <w:tcPr>
            <w:tcW w:w="800" w:type="dxa"/>
            <w:shd w:val="solid" w:color="FFFFFF" w:fill="auto"/>
          </w:tcPr>
          <w:p w14:paraId="07FCEA55" w14:textId="20A41E9A" w:rsidR="00FD5C4A" w:rsidRPr="00873B6C" w:rsidRDefault="00FD5C4A" w:rsidP="009D14FB">
            <w:pPr>
              <w:pStyle w:val="TAC"/>
              <w:rPr>
                <w:sz w:val="16"/>
                <w:szCs w:val="16"/>
              </w:rPr>
            </w:pPr>
            <w:r w:rsidRPr="00873B6C">
              <w:rPr>
                <w:sz w:val="16"/>
                <w:szCs w:val="16"/>
              </w:rPr>
              <w:t>2021-03</w:t>
            </w:r>
          </w:p>
        </w:tc>
        <w:tc>
          <w:tcPr>
            <w:tcW w:w="800" w:type="dxa"/>
            <w:shd w:val="solid" w:color="FFFFFF" w:fill="auto"/>
          </w:tcPr>
          <w:p w14:paraId="0CB6744E" w14:textId="5336CED7" w:rsidR="00FD5C4A" w:rsidRPr="00873B6C" w:rsidRDefault="00FD5C4A" w:rsidP="009D14FB">
            <w:pPr>
              <w:pStyle w:val="TAL"/>
              <w:rPr>
                <w:sz w:val="16"/>
                <w:szCs w:val="16"/>
              </w:rPr>
            </w:pPr>
            <w:r w:rsidRPr="00873B6C">
              <w:rPr>
                <w:sz w:val="16"/>
                <w:szCs w:val="16"/>
              </w:rPr>
              <w:t>SP#91E</w:t>
            </w:r>
          </w:p>
        </w:tc>
        <w:tc>
          <w:tcPr>
            <w:tcW w:w="1094" w:type="dxa"/>
            <w:shd w:val="solid" w:color="FFFFFF" w:fill="auto"/>
          </w:tcPr>
          <w:p w14:paraId="4E989B5E" w14:textId="158AFE8C" w:rsidR="00FD5C4A" w:rsidRPr="00873B6C" w:rsidRDefault="00FD5C4A" w:rsidP="009D14FB">
            <w:pPr>
              <w:pStyle w:val="TAC"/>
              <w:rPr>
                <w:sz w:val="16"/>
                <w:szCs w:val="16"/>
              </w:rPr>
            </w:pPr>
            <w:r w:rsidRPr="00873B6C">
              <w:rPr>
                <w:sz w:val="16"/>
                <w:szCs w:val="16"/>
              </w:rPr>
              <w:t>SP-210074</w:t>
            </w:r>
          </w:p>
        </w:tc>
        <w:tc>
          <w:tcPr>
            <w:tcW w:w="567" w:type="dxa"/>
            <w:shd w:val="solid" w:color="FFFFFF" w:fill="auto"/>
          </w:tcPr>
          <w:p w14:paraId="4F8D467B" w14:textId="0A3FC3F8" w:rsidR="00FD5C4A" w:rsidRPr="00873B6C" w:rsidRDefault="00FD5C4A" w:rsidP="009D14FB">
            <w:pPr>
              <w:pStyle w:val="TAL"/>
              <w:rPr>
                <w:sz w:val="16"/>
                <w:szCs w:val="16"/>
              </w:rPr>
            </w:pPr>
            <w:r w:rsidRPr="00873B6C">
              <w:rPr>
                <w:sz w:val="16"/>
                <w:szCs w:val="16"/>
              </w:rPr>
              <w:t>2648</w:t>
            </w:r>
          </w:p>
        </w:tc>
        <w:tc>
          <w:tcPr>
            <w:tcW w:w="425" w:type="dxa"/>
            <w:shd w:val="solid" w:color="FFFFFF" w:fill="auto"/>
          </w:tcPr>
          <w:p w14:paraId="79D5B4A5" w14:textId="7CB0D241" w:rsidR="00FD5C4A" w:rsidRPr="00873B6C" w:rsidRDefault="00FD5C4A" w:rsidP="009D14FB">
            <w:pPr>
              <w:pStyle w:val="TAL"/>
              <w:rPr>
                <w:sz w:val="16"/>
                <w:szCs w:val="16"/>
              </w:rPr>
            </w:pPr>
            <w:r w:rsidRPr="00873B6C">
              <w:rPr>
                <w:sz w:val="16"/>
                <w:szCs w:val="16"/>
              </w:rPr>
              <w:t>1</w:t>
            </w:r>
          </w:p>
        </w:tc>
        <w:tc>
          <w:tcPr>
            <w:tcW w:w="425" w:type="dxa"/>
            <w:shd w:val="solid" w:color="FFFFFF" w:fill="auto"/>
          </w:tcPr>
          <w:p w14:paraId="16802796" w14:textId="719B1742" w:rsidR="00FD5C4A" w:rsidRPr="00873B6C" w:rsidRDefault="00FD5C4A" w:rsidP="009D14FB">
            <w:pPr>
              <w:pStyle w:val="TAL"/>
              <w:rPr>
                <w:sz w:val="16"/>
                <w:szCs w:val="16"/>
              </w:rPr>
            </w:pPr>
            <w:r w:rsidRPr="00873B6C">
              <w:rPr>
                <w:sz w:val="16"/>
                <w:szCs w:val="16"/>
              </w:rPr>
              <w:t>C</w:t>
            </w:r>
          </w:p>
        </w:tc>
        <w:tc>
          <w:tcPr>
            <w:tcW w:w="4820" w:type="dxa"/>
            <w:shd w:val="solid" w:color="FFFFFF" w:fill="auto"/>
          </w:tcPr>
          <w:p w14:paraId="4D7B72E5" w14:textId="350DAD3F" w:rsidR="00FD5C4A" w:rsidRPr="00873B6C" w:rsidRDefault="00FD5C4A" w:rsidP="009D14FB">
            <w:pPr>
              <w:pStyle w:val="TAL"/>
              <w:rPr>
                <w:sz w:val="16"/>
                <w:szCs w:val="16"/>
              </w:rPr>
            </w:pPr>
            <w:r w:rsidRPr="00873B6C">
              <w:rPr>
                <w:sz w:val="16"/>
                <w:szCs w:val="16"/>
              </w:rPr>
              <w:t>Support for normal IMS voice over SNPN</w:t>
            </w:r>
          </w:p>
        </w:tc>
        <w:tc>
          <w:tcPr>
            <w:tcW w:w="708" w:type="dxa"/>
            <w:shd w:val="solid" w:color="FFFFFF" w:fill="auto"/>
          </w:tcPr>
          <w:p w14:paraId="13F38706" w14:textId="103E3116" w:rsidR="00FD5C4A" w:rsidRPr="00873B6C" w:rsidRDefault="00FD5C4A" w:rsidP="009D14FB">
            <w:pPr>
              <w:pStyle w:val="TAC"/>
              <w:rPr>
                <w:b/>
                <w:bCs/>
                <w:sz w:val="16"/>
                <w:szCs w:val="16"/>
              </w:rPr>
            </w:pPr>
            <w:r w:rsidRPr="00873B6C">
              <w:rPr>
                <w:b/>
                <w:bCs/>
                <w:sz w:val="16"/>
                <w:szCs w:val="16"/>
              </w:rPr>
              <w:t>17.0.0</w:t>
            </w:r>
          </w:p>
        </w:tc>
      </w:tr>
      <w:tr w:rsidR="0047544D" w:rsidRPr="00873B6C" w14:paraId="5093D6CC" w14:textId="77777777" w:rsidTr="009D14FB">
        <w:tc>
          <w:tcPr>
            <w:tcW w:w="800" w:type="dxa"/>
            <w:shd w:val="solid" w:color="FFFFFF" w:fill="auto"/>
          </w:tcPr>
          <w:p w14:paraId="5476D2B0" w14:textId="52A43D6E"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6D7D9BFA" w14:textId="01D57F54"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06D5B132" w14:textId="2E3F38BD" w:rsidR="0047544D" w:rsidRPr="00873B6C" w:rsidRDefault="0047544D" w:rsidP="009D14FB">
            <w:pPr>
              <w:pStyle w:val="TAC"/>
              <w:rPr>
                <w:sz w:val="16"/>
                <w:szCs w:val="16"/>
              </w:rPr>
            </w:pPr>
            <w:r w:rsidRPr="00873B6C">
              <w:rPr>
                <w:sz w:val="16"/>
                <w:szCs w:val="16"/>
              </w:rPr>
              <w:t>SP-210065</w:t>
            </w:r>
          </w:p>
        </w:tc>
        <w:tc>
          <w:tcPr>
            <w:tcW w:w="567" w:type="dxa"/>
            <w:shd w:val="solid" w:color="FFFFFF" w:fill="auto"/>
          </w:tcPr>
          <w:p w14:paraId="4EFB89E1" w14:textId="2505AF56" w:rsidR="0047544D" w:rsidRPr="00873B6C" w:rsidRDefault="0047544D" w:rsidP="009D14FB">
            <w:pPr>
              <w:pStyle w:val="TAL"/>
              <w:rPr>
                <w:sz w:val="16"/>
                <w:szCs w:val="16"/>
              </w:rPr>
            </w:pPr>
            <w:r w:rsidRPr="00873B6C">
              <w:rPr>
                <w:sz w:val="16"/>
                <w:szCs w:val="16"/>
              </w:rPr>
              <w:t>2651</w:t>
            </w:r>
          </w:p>
        </w:tc>
        <w:tc>
          <w:tcPr>
            <w:tcW w:w="425" w:type="dxa"/>
            <w:shd w:val="solid" w:color="FFFFFF" w:fill="auto"/>
          </w:tcPr>
          <w:p w14:paraId="22E557DA" w14:textId="182FBDAD"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53681B3D" w14:textId="763000EE" w:rsidR="0047544D" w:rsidRPr="00873B6C" w:rsidRDefault="0047544D" w:rsidP="009D14FB">
            <w:pPr>
              <w:pStyle w:val="TAL"/>
              <w:rPr>
                <w:sz w:val="16"/>
                <w:szCs w:val="16"/>
              </w:rPr>
            </w:pPr>
            <w:r w:rsidRPr="00873B6C">
              <w:rPr>
                <w:sz w:val="16"/>
                <w:szCs w:val="16"/>
              </w:rPr>
              <w:t>C</w:t>
            </w:r>
          </w:p>
        </w:tc>
        <w:tc>
          <w:tcPr>
            <w:tcW w:w="4820" w:type="dxa"/>
            <w:shd w:val="solid" w:color="FFFFFF" w:fill="auto"/>
          </w:tcPr>
          <w:p w14:paraId="5BE9D338" w14:textId="6DF72D93" w:rsidR="0047544D" w:rsidRPr="00873B6C" w:rsidRDefault="0047544D" w:rsidP="009D14FB">
            <w:pPr>
              <w:pStyle w:val="TAL"/>
              <w:rPr>
                <w:sz w:val="16"/>
                <w:szCs w:val="16"/>
              </w:rPr>
            </w:pPr>
            <w:r w:rsidRPr="00873B6C">
              <w:rPr>
                <w:sz w:val="16"/>
                <w:szCs w:val="16"/>
              </w:rPr>
              <w:t>5QIs for satellite access</w:t>
            </w:r>
          </w:p>
        </w:tc>
        <w:tc>
          <w:tcPr>
            <w:tcW w:w="708" w:type="dxa"/>
            <w:shd w:val="solid" w:color="FFFFFF" w:fill="auto"/>
          </w:tcPr>
          <w:p w14:paraId="3458DFF0" w14:textId="3CFA1F76" w:rsidR="0047544D" w:rsidRPr="00873B6C" w:rsidRDefault="0047544D" w:rsidP="009D14FB">
            <w:pPr>
              <w:pStyle w:val="TAC"/>
              <w:rPr>
                <w:b/>
                <w:bCs/>
                <w:sz w:val="16"/>
                <w:szCs w:val="16"/>
              </w:rPr>
            </w:pPr>
            <w:r w:rsidRPr="00873B6C">
              <w:rPr>
                <w:b/>
                <w:bCs/>
                <w:sz w:val="16"/>
                <w:szCs w:val="16"/>
              </w:rPr>
              <w:t>17.0.0</w:t>
            </w:r>
          </w:p>
        </w:tc>
      </w:tr>
      <w:tr w:rsidR="0047544D" w:rsidRPr="00873B6C" w14:paraId="7A12A136" w14:textId="77777777" w:rsidTr="009D14FB">
        <w:tc>
          <w:tcPr>
            <w:tcW w:w="800" w:type="dxa"/>
            <w:shd w:val="solid" w:color="FFFFFF" w:fill="auto"/>
          </w:tcPr>
          <w:p w14:paraId="53E3B87B" w14:textId="37BF80D1"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62292385" w14:textId="48BD907E"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5F44812D" w14:textId="170A00C3" w:rsidR="0047544D" w:rsidRPr="00873B6C" w:rsidRDefault="0047544D" w:rsidP="009D14FB">
            <w:pPr>
              <w:pStyle w:val="TAC"/>
              <w:rPr>
                <w:sz w:val="16"/>
                <w:szCs w:val="16"/>
              </w:rPr>
            </w:pPr>
            <w:r w:rsidRPr="00873B6C">
              <w:rPr>
                <w:sz w:val="16"/>
                <w:szCs w:val="16"/>
              </w:rPr>
              <w:t>SP-210089</w:t>
            </w:r>
          </w:p>
        </w:tc>
        <w:tc>
          <w:tcPr>
            <w:tcW w:w="567" w:type="dxa"/>
            <w:shd w:val="solid" w:color="FFFFFF" w:fill="auto"/>
          </w:tcPr>
          <w:p w14:paraId="621C8FB6" w14:textId="68A958C5" w:rsidR="0047544D" w:rsidRPr="00873B6C" w:rsidRDefault="0047544D" w:rsidP="009D14FB">
            <w:pPr>
              <w:pStyle w:val="TAL"/>
              <w:rPr>
                <w:sz w:val="16"/>
                <w:szCs w:val="16"/>
              </w:rPr>
            </w:pPr>
            <w:r w:rsidRPr="00873B6C">
              <w:rPr>
                <w:sz w:val="16"/>
                <w:szCs w:val="16"/>
              </w:rPr>
              <w:t>2653</w:t>
            </w:r>
          </w:p>
        </w:tc>
        <w:tc>
          <w:tcPr>
            <w:tcW w:w="425" w:type="dxa"/>
            <w:shd w:val="solid" w:color="FFFFFF" w:fill="auto"/>
          </w:tcPr>
          <w:p w14:paraId="7CC21653" w14:textId="21210495"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3CDF6CDB" w14:textId="09C78F79"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625FED64" w14:textId="3EA69FAD" w:rsidR="0047544D" w:rsidRPr="00873B6C" w:rsidRDefault="0047544D" w:rsidP="009D14FB">
            <w:pPr>
              <w:pStyle w:val="TAL"/>
              <w:rPr>
                <w:sz w:val="16"/>
                <w:szCs w:val="16"/>
              </w:rPr>
            </w:pPr>
            <w:r w:rsidRPr="00873B6C">
              <w:rPr>
                <w:sz w:val="16"/>
                <w:szCs w:val="16"/>
              </w:rPr>
              <w:t>Service Assistance Information for 3GPP Advanced Interactive Service</w:t>
            </w:r>
          </w:p>
        </w:tc>
        <w:tc>
          <w:tcPr>
            <w:tcW w:w="708" w:type="dxa"/>
            <w:shd w:val="solid" w:color="FFFFFF" w:fill="auto"/>
          </w:tcPr>
          <w:p w14:paraId="1522FB62" w14:textId="10E8C785" w:rsidR="0047544D" w:rsidRPr="00873B6C" w:rsidRDefault="0047544D" w:rsidP="009D14FB">
            <w:pPr>
              <w:pStyle w:val="TAC"/>
              <w:rPr>
                <w:b/>
                <w:bCs/>
                <w:sz w:val="16"/>
                <w:szCs w:val="16"/>
              </w:rPr>
            </w:pPr>
            <w:r w:rsidRPr="00873B6C">
              <w:rPr>
                <w:b/>
                <w:bCs/>
                <w:sz w:val="16"/>
                <w:szCs w:val="16"/>
              </w:rPr>
              <w:t>17.0.0</w:t>
            </w:r>
          </w:p>
        </w:tc>
      </w:tr>
      <w:tr w:rsidR="0047544D" w:rsidRPr="00873B6C" w14:paraId="5A21425B" w14:textId="77777777" w:rsidTr="009D14FB">
        <w:tc>
          <w:tcPr>
            <w:tcW w:w="800" w:type="dxa"/>
            <w:shd w:val="solid" w:color="FFFFFF" w:fill="auto"/>
          </w:tcPr>
          <w:p w14:paraId="086C96D0" w14:textId="48FB7D7E"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48E268CD" w14:textId="730A1BD8"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30DB6600" w14:textId="35784E15" w:rsidR="0047544D" w:rsidRPr="00873B6C" w:rsidRDefault="0047544D" w:rsidP="009D14FB">
            <w:pPr>
              <w:pStyle w:val="TAC"/>
              <w:rPr>
                <w:sz w:val="16"/>
                <w:szCs w:val="16"/>
              </w:rPr>
            </w:pPr>
            <w:r w:rsidRPr="00873B6C">
              <w:rPr>
                <w:sz w:val="16"/>
                <w:szCs w:val="16"/>
              </w:rPr>
              <w:t>SP-210068</w:t>
            </w:r>
          </w:p>
        </w:tc>
        <w:tc>
          <w:tcPr>
            <w:tcW w:w="567" w:type="dxa"/>
            <w:shd w:val="solid" w:color="FFFFFF" w:fill="auto"/>
          </w:tcPr>
          <w:p w14:paraId="6BE4EC8F" w14:textId="58CDDC43" w:rsidR="0047544D" w:rsidRPr="00873B6C" w:rsidRDefault="0047544D" w:rsidP="009D14FB">
            <w:pPr>
              <w:pStyle w:val="TAL"/>
              <w:rPr>
                <w:sz w:val="16"/>
                <w:szCs w:val="16"/>
              </w:rPr>
            </w:pPr>
            <w:r w:rsidRPr="00873B6C">
              <w:rPr>
                <w:sz w:val="16"/>
                <w:szCs w:val="16"/>
              </w:rPr>
              <w:t>2654</w:t>
            </w:r>
          </w:p>
        </w:tc>
        <w:tc>
          <w:tcPr>
            <w:tcW w:w="425" w:type="dxa"/>
            <w:shd w:val="solid" w:color="FFFFFF" w:fill="auto"/>
          </w:tcPr>
          <w:p w14:paraId="48540CA1" w14:textId="33301087"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5B755EDE" w14:textId="7AC60EA2"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40C55772" w14:textId="100BF30F" w:rsidR="0047544D" w:rsidRPr="00873B6C" w:rsidRDefault="0047544D" w:rsidP="009D14FB">
            <w:pPr>
              <w:pStyle w:val="TAL"/>
              <w:rPr>
                <w:sz w:val="16"/>
                <w:szCs w:val="16"/>
              </w:rPr>
            </w:pPr>
            <w:r w:rsidRPr="00873B6C">
              <w:rPr>
                <w:sz w:val="16"/>
                <w:szCs w:val="16"/>
              </w:rPr>
              <w:t xml:space="preserve">Introduction of steering mode indicator </w:t>
            </w:r>
          </w:p>
        </w:tc>
        <w:tc>
          <w:tcPr>
            <w:tcW w:w="708" w:type="dxa"/>
            <w:shd w:val="solid" w:color="FFFFFF" w:fill="auto"/>
          </w:tcPr>
          <w:p w14:paraId="6DB8805C" w14:textId="7CE8E280" w:rsidR="0047544D" w:rsidRPr="00873B6C" w:rsidRDefault="0047544D" w:rsidP="009D14FB">
            <w:pPr>
              <w:pStyle w:val="TAC"/>
              <w:rPr>
                <w:b/>
                <w:bCs/>
                <w:sz w:val="16"/>
                <w:szCs w:val="16"/>
              </w:rPr>
            </w:pPr>
            <w:r w:rsidRPr="00873B6C">
              <w:rPr>
                <w:b/>
                <w:bCs/>
                <w:sz w:val="16"/>
                <w:szCs w:val="16"/>
              </w:rPr>
              <w:t>17.0.0</w:t>
            </w:r>
          </w:p>
        </w:tc>
      </w:tr>
      <w:tr w:rsidR="0047544D" w:rsidRPr="00873B6C" w14:paraId="0CD22C53" w14:textId="77777777" w:rsidTr="009D14FB">
        <w:tc>
          <w:tcPr>
            <w:tcW w:w="800" w:type="dxa"/>
            <w:shd w:val="solid" w:color="FFFFFF" w:fill="auto"/>
          </w:tcPr>
          <w:p w14:paraId="76B74F52" w14:textId="75FB1523"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716AF0B3" w14:textId="3C66C744"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2EA1033B" w14:textId="04E07E23" w:rsidR="0047544D" w:rsidRPr="00873B6C" w:rsidRDefault="0047544D" w:rsidP="009D14FB">
            <w:pPr>
              <w:pStyle w:val="TAC"/>
              <w:rPr>
                <w:sz w:val="16"/>
                <w:szCs w:val="16"/>
              </w:rPr>
            </w:pPr>
            <w:r w:rsidRPr="00873B6C">
              <w:rPr>
                <w:sz w:val="16"/>
                <w:szCs w:val="16"/>
              </w:rPr>
              <w:t>SP-210069</w:t>
            </w:r>
          </w:p>
        </w:tc>
        <w:tc>
          <w:tcPr>
            <w:tcW w:w="567" w:type="dxa"/>
            <w:shd w:val="solid" w:color="FFFFFF" w:fill="auto"/>
          </w:tcPr>
          <w:p w14:paraId="7205C02D" w14:textId="24FE554B" w:rsidR="0047544D" w:rsidRPr="00873B6C" w:rsidRDefault="0047544D" w:rsidP="009D14FB">
            <w:pPr>
              <w:pStyle w:val="TAL"/>
              <w:rPr>
                <w:sz w:val="16"/>
                <w:szCs w:val="16"/>
              </w:rPr>
            </w:pPr>
            <w:r w:rsidRPr="00873B6C">
              <w:rPr>
                <w:sz w:val="16"/>
                <w:szCs w:val="16"/>
              </w:rPr>
              <w:t>2656</w:t>
            </w:r>
          </w:p>
        </w:tc>
        <w:tc>
          <w:tcPr>
            <w:tcW w:w="425" w:type="dxa"/>
            <w:shd w:val="solid" w:color="FFFFFF" w:fill="auto"/>
          </w:tcPr>
          <w:p w14:paraId="61AA8511" w14:textId="3EE6359C"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65BFCDCB" w14:textId="3805E1F3"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0A46BED0" w14:textId="7ACD3B7A" w:rsidR="0047544D" w:rsidRPr="00873B6C" w:rsidRDefault="0047544D" w:rsidP="009D14FB">
            <w:pPr>
              <w:pStyle w:val="TAL"/>
              <w:rPr>
                <w:sz w:val="16"/>
                <w:szCs w:val="16"/>
              </w:rPr>
            </w:pPr>
            <w:r w:rsidRPr="00873B6C">
              <w:rPr>
                <w:sz w:val="16"/>
                <w:szCs w:val="16"/>
              </w:rPr>
              <w:t xml:space="preserve">Adding some parameters for local NEF selection </w:t>
            </w:r>
          </w:p>
        </w:tc>
        <w:tc>
          <w:tcPr>
            <w:tcW w:w="708" w:type="dxa"/>
            <w:shd w:val="solid" w:color="FFFFFF" w:fill="auto"/>
          </w:tcPr>
          <w:p w14:paraId="5712F1C6" w14:textId="33998815" w:rsidR="0047544D" w:rsidRPr="00873B6C" w:rsidRDefault="0047544D" w:rsidP="009D14FB">
            <w:pPr>
              <w:pStyle w:val="TAC"/>
              <w:rPr>
                <w:b/>
                <w:bCs/>
                <w:sz w:val="16"/>
                <w:szCs w:val="16"/>
              </w:rPr>
            </w:pPr>
            <w:r w:rsidRPr="00873B6C">
              <w:rPr>
                <w:b/>
                <w:bCs/>
                <w:sz w:val="16"/>
                <w:szCs w:val="16"/>
              </w:rPr>
              <w:t>17.0.0</w:t>
            </w:r>
          </w:p>
        </w:tc>
      </w:tr>
      <w:tr w:rsidR="0047544D" w:rsidRPr="00873B6C" w14:paraId="0787623C" w14:textId="77777777" w:rsidTr="009D14FB">
        <w:tc>
          <w:tcPr>
            <w:tcW w:w="800" w:type="dxa"/>
            <w:shd w:val="solid" w:color="FFFFFF" w:fill="auto"/>
          </w:tcPr>
          <w:p w14:paraId="119B79DB" w14:textId="6FD04952"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149E9443" w14:textId="2499D177"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22AA8FAE" w14:textId="736B00B5" w:rsidR="0047544D" w:rsidRPr="00873B6C" w:rsidRDefault="0047544D" w:rsidP="009D14FB">
            <w:pPr>
              <w:pStyle w:val="TAC"/>
              <w:rPr>
                <w:sz w:val="16"/>
                <w:szCs w:val="16"/>
              </w:rPr>
            </w:pPr>
            <w:r w:rsidRPr="00873B6C">
              <w:rPr>
                <w:sz w:val="16"/>
                <w:szCs w:val="16"/>
              </w:rPr>
              <w:t>SP-210072</w:t>
            </w:r>
          </w:p>
        </w:tc>
        <w:tc>
          <w:tcPr>
            <w:tcW w:w="567" w:type="dxa"/>
            <w:shd w:val="solid" w:color="FFFFFF" w:fill="auto"/>
          </w:tcPr>
          <w:p w14:paraId="0456C8AD" w14:textId="2B76B494" w:rsidR="0047544D" w:rsidRPr="00873B6C" w:rsidRDefault="0047544D" w:rsidP="009D14FB">
            <w:pPr>
              <w:pStyle w:val="TAL"/>
              <w:rPr>
                <w:sz w:val="16"/>
                <w:szCs w:val="16"/>
              </w:rPr>
            </w:pPr>
            <w:r w:rsidRPr="00873B6C">
              <w:rPr>
                <w:sz w:val="16"/>
                <w:szCs w:val="16"/>
              </w:rPr>
              <w:t>2659</w:t>
            </w:r>
          </w:p>
        </w:tc>
        <w:tc>
          <w:tcPr>
            <w:tcW w:w="425" w:type="dxa"/>
            <w:shd w:val="solid" w:color="FFFFFF" w:fill="auto"/>
          </w:tcPr>
          <w:p w14:paraId="105D4CBF" w14:textId="342AE297"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66560231" w14:textId="78B4B66F"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0C9F0498" w14:textId="55D2C58C" w:rsidR="0047544D" w:rsidRPr="00873B6C" w:rsidRDefault="0047544D" w:rsidP="009D14FB">
            <w:pPr>
              <w:pStyle w:val="TAL"/>
              <w:rPr>
                <w:sz w:val="16"/>
                <w:szCs w:val="16"/>
              </w:rPr>
            </w:pPr>
            <w:r w:rsidRPr="00873B6C">
              <w:rPr>
                <w:sz w:val="16"/>
                <w:szCs w:val="16"/>
              </w:rPr>
              <w:t>Principle for logical decomposition of NWDAF</w:t>
            </w:r>
          </w:p>
        </w:tc>
        <w:tc>
          <w:tcPr>
            <w:tcW w:w="708" w:type="dxa"/>
            <w:shd w:val="solid" w:color="FFFFFF" w:fill="auto"/>
          </w:tcPr>
          <w:p w14:paraId="4B7FF92F" w14:textId="3795BE11" w:rsidR="0047544D" w:rsidRPr="00873B6C" w:rsidRDefault="0047544D" w:rsidP="009D14FB">
            <w:pPr>
              <w:pStyle w:val="TAC"/>
              <w:rPr>
                <w:b/>
                <w:bCs/>
                <w:sz w:val="16"/>
                <w:szCs w:val="16"/>
              </w:rPr>
            </w:pPr>
            <w:r w:rsidRPr="00873B6C">
              <w:rPr>
                <w:b/>
                <w:bCs/>
                <w:sz w:val="16"/>
                <w:szCs w:val="16"/>
              </w:rPr>
              <w:t>17.0.0</w:t>
            </w:r>
          </w:p>
        </w:tc>
      </w:tr>
      <w:tr w:rsidR="0047544D" w:rsidRPr="00873B6C" w14:paraId="535E44C0" w14:textId="77777777" w:rsidTr="009D14FB">
        <w:tc>
          <w:tcPr>
            <w:tcW w:w="800" w:type="dxa"/>
            <w:shd w:val="solid" w:color="FFFFFF" w:fill="auto"/>
          </w:tcPr>
          <w:p w14:paraId="40C28CAE" w14:textId="628065A5"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029BC336" w14:textId="72C85A5B"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2C9C937C" w14:textId="7EB725C0" w:rsidR="0047544D" w:rsidRPr="00873B6C" w:rsidRDefault="0047544D" w:rsidP="009D14FB">
            <w:pPr>
              <w:pStyle w:val="TAC"/>
              <w:rPr>
                <w:sz w:val="16"/>
                <w:szCs w:val="16"/>
              </w:rPr>
            </w:pPr>
            <w:r w:rsidRPr="00873B6C">
              <w:rPr>
                <w:sz w:val="16"/>
                <w:szCs w:val="16"/>
              </w:rPr>
              <w:t>SP-210088</w:t>
            </w:r>
          </w:p>
        </w:tc>
        <w:tc>
          <w:tcPr>
            <w:tcW w:w="567" w:type="dxa"/>
            <w:shd w:val="solid" w:color="FFFFFF" w:fill="auto"/>
          </w:tcPr>
          <w:p w14:paraId="0DD2BD9D" w14:textId="0006997C" w:rsidR="0047544D" w:rsidRPr="00873B6C" w:rsidRDefault="0047544D" w:rsidP="009D14FB">
            <w:pPr>
              <w:pStyle w:val="TAL"/>
              <w:rPr>
                <w:sz w:val="16"/>
                <w:szCs w:val="16"/>
              </w:rPr>
            </w:pPr>
            <w:r w:rsidRPr="00873B6C">
              <w:rPr>
                <w:sz w:val="16"/>
                <w:szCs w:val="16"/>
              </w:rPr>
              <w:t>2662</w:t>
            </w:r>
          </w:p>
        </w:tc>
        <w:tc>
          <w:tcPr>
            <w:tcW w:w="425" w:type="dxa"/>
            <w:shd w:val="solid" w:color="FFFFFF" w:fill="auto"/>
          </w:tcPr>
          <w:p w14:paraId="68C0F80A" w14:textId="22BC0D1A"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4DF886D3" w14:textId="355210FE"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52593BC5" w14:textId="6F3FD40F" w:rsidR="0047544D" w:rsidRPr="00873B6C" w:rsidRDefault="0047544D" w:rsidP="009D14FB">
            <w:pPr>
              <w:pStyle w:val="TAL"/>
              <w:rPr>
                <w:sz w:val="16"/>
                <w:szCs w:val="16"/>
              </w:rPr>
            </w:pPr>
            <w:r w:rsidRPr="00873B6C">
              <w:rPr>
                <w:sz w:val="16"/>
                <w:szCs w:val="16"/>
              </w:rPr>
              <w:t>Update to N3IWF selection for N3SLICE</w:t>
            </w:r>
          </w:p>
        </w:tc>
        <w:tc>
          <w:tcPr>
            <w:tcW w:w="708" w:type="dxa"/>
            <w:shd w:val="solid" w:color="FFFFFF" w:fill="auto"/>
          </w:tcPr>
          <w:p w14:paraId="4456DCB7" w14:textId="34DA679F" w:rsidR="0047544D" w:rsidRPr="00873B6C" w:rsidRDefault="0047544D" w:rsidP="009D14FB">
            <w:pPr>
              <w:pStyle w:val="TAC"/>
              <w:rPr>
                <w:b/>
                <w:bCs/>
                <w:sz w:val="16"/>
                <w:szCs w:val="16"/>
              </w:rPr>
            </w:pPr>
            <w:r w:rsidRPr="00873B6C">
              <w:rPr>
                <w:b/>
                <w:bCs/>
                <w:sz w:val="16"/>
                <w:szCs w:val="16"/>
              </w:rPr>
              <w:t>17.0.0</w:t>
            </w:r>
          </w:p>
        </w:tc>
      </w:tr>
      <w:tr w:rsidR="0047544D" w:rsidRPr="00873B6C" w14:paraId="5696DA7C" w14:textId="77777777" w:rsidTr="009D14FB">
        <w:tc>
          <w:tcPr>
            <w:tcW w:w="800" w:type="dxa"/>
            <w:shd w:val="solid" w:color="FFFFFF" w:fill="auto"/>
          </w:tcPr>
          <w:p w14:paraId="12624993" w14:textId="7448A95A"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5FAD53BC" w14:textId="2295C786"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17722A24" w14:textId="0E2AD76E" w:rsidR="0047544D" w:rsidRPr="00873B6C" w:rsidRDefault="0047544D" w:rsidP="009D14FB">
            <w:pPr>
              <w:pStyle w:val="TAC"/>
              <w:rPr>
                <w:sz w:val="16"/>
                <w:szCs w:val="16"/>
              </w:rPr>
            </w:pPr>
            <w:r w:rsidRPr="00873B6C">
              <w:rPr>
                <w:sz w:val="16"/>
                <w:szCs w:val="16"/>
              </w:rPr>
              <w:t>SP-210084</w:t>
            </w:r>
          </w:p>
        </w:tc>
        <w:tc>
          <w:tcPr>
            <w:tcW w:w="567" w:type="dxa"/>
            <w:shd w:val="solid" w:color="FFFFFF" w:fill="auto"/>
          </w:tcPr>
          <w:p w14:paraId="11C76E90" w14:textId="7F78AA7E" w:rsidR="0047544D" w:rsidRPr="00873B6C" w:rsidRDefault="0047544D" w:rsidP="009D14FB">
            <w:pPr>
              <w:pStyle w:val="TAL"/>
              <w:rPr>
                <w:sz w:val="16"/>
                <w:szCs w:val="16"/>
              </w:rPr>
            </w:pPr>
            <w:r w:rsidRPr="00873B6C">
              <w:rPr>
                <w:sz w:val="16"/>
                <w:szCs w:val="16"/>
              </w:rPr>
              <w:t>2668</w:t>
            </w:r>
          </w:p>
        </w:tc>
        <w:tc>
          <w:tcPr>
            <w:tcW w:w="425" w:type="dxa"/>
            <w:shd w:val="solid" w:color="FFFFFF" w:fill="auto"/>
          </w:tcPr>
          <w:p w14:paraId="2AE948BB" w14:textId="30F3F06F"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5297ED2C" w14:textId="6D41B4EB"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29729684" w14:textId="38541EB5" w:rsidR="0047544D" w:rsidRPr="00873B6C" w:rsidRDefault="0047544D" w:rsidP="009D14FB">
            <w:pPr>
              <w:pStyle w:val="TAL"/>
              <w:rPr>
                <w:sz w:val="16"/>
                <w:szCs w:val="16"/>
              </w:rPr>
            </w:pPr>
            <w:r w:rsidRPr="00873B6C">
              <w:rPr>
                <w:sz w:val="16"/>
                <w:szCs w:val="16"/>
              </w:rPr>
              <w:t>Support for PTP in time synchronization service and BMCA</w:t>
            </w:r>
          </w:p>
        </w:tc>
        <w:tc>
          <w:tcPr>
            <w:tcW w:w="708" w:type="dxa"/>
            <w:shd w:val="solid" w:color="FFFFFF" w:fill="auto"/>
          </w:tcPr>
          <w:p w14:paraId="2C04FE27" w14:textId="5E5BD73C" w:rsidR="0047544D" w:rsidRPr="00873B6C" w:rsidRDefault="0047544D" w:rsidP="009D14FB">
            <w:pPr>
              <w:pStyle w:val="TAC"/>
              <w:rPr>
                <w:b/>
                <w:bCs/>
                <w:sz w:val="16"/>
                <w:szCs w:val="16"/>
              </w:rPr>
            </w:pPr>
            <w:r w:rsidRPr="00873B6C">
              <w:rPr>
                <w:b/>
                <w:bCs/>
                <w:sz w:val="16"/>
                <w:szCs w:val="16"/>
              </w:rPr>
              <w:t>17.0.0</w:t>
            </w:r>
          </w:p>
        </w:tc>
      </w:tr>
      <w:tr w:rsidR="006D2D57" w:rsidRPr="00873B6C" w14:paraId="34FEA248" w14:textId="77777777" w:rsidTr="009D14FB">
        <w:tc>
          <w:tcPr>
            <w:tcW w:w="800" w:type="dxa"/>
            <w:shd w:val="solid" w:color="FFFFFF" w:fill="auto"/>
          </w:tcPr>
          <w:p w14:paraId="6DD4E24C" w14:textId="27A4790D"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1AFA6BD5" w14:textId="6BC4B9D7"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1407855A" w14:textId="5F2B6704" w:rsidR="006D2D57" w:rsidRPr="00873B6C" w:rsidRDefault="006D2D57" w:rsidP="009D14FB">
            <w:pPr>
              <w:pStyle w:val="TAC"/>
              <w:rPr>
                <w:sz w:val="16"/>
                <w:szCs w:val="16"/>
              </w:rPr>
            </w:pPr>
            <w:r w:rsidRPr="00873B6C">
              <w:rPr>
                <w:sz w:val="16"/>
                <w:szCs w:val="16"/>
              </w:rPr>
              <w:t>SP-210072</w:t>
            </w:r>
          </w:p>
        </w:tc>
        <w:tc>
          <w:tcPr>
            <w:tcW w:w="567" w:type="dxa"/>
            <w:shd w:val="solid" w:color="FFFFFF" w:fill="auto"/>
          </w:tcPr>
          <w:p w14:paraId="7F937F4B" w14:textId="5C88056A" w:rsidR="006D2D57" w:rsidRPr="00873B6C" w:rsidRDefault="006D2D57" w:rsidP="009D14FB">
            <w:pPr>
              <w:pStyle w:val="TAL"/>
              <w:rPr>
                <w:sz w:val="16"/>
                <w:szCs w:val="16"/>
              </w:rPr>
            </w:pPr>
            <w:r w:rsidRPr="00873B6C">
              <w:rPr>
                <w:sz w:val="16"/>
                <w:szCs w:val="16"/>
              </w:rPr>
              <w:t>2670</w:t>
            </w:r>
          </w:p>
        </w:tc>
        <w:tc>
          <w:tcPr>
            <w:tcW w:w="425" w:type="dxa"/>
            <w:shd w:val="solid" w:color="FFFFFF" w:fill="auto"/>
          </w:tcPr>
          <w:p w14:paraId="588769E3" w14:textId="0603801A"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5DF61D3A" w14:textId="3662B7C2"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45CC2C43" w14:textId="4FEA00BE" w:rsidR="006D2D57" w:rsidRPr="00873B6C" w:rsidRDefault="006D2D57" w:rsidP="009D14FB">
            <w:pPr>
              <w:pStyle w:val="TAL"/>
              <w:rPr>
                <w:sz w:val="16"/>
                <w:szCs w:val="16"/>
              </w:rPr>
            </w:pPr>
            <w:r w:rsidRPr="00873B6C">
              <w:rPr>
                <w:sz w:val="16"/>
                <w:szCs w:val="16"/>
              </w:rPr>
              <w:t>NWDAF new abbreviation</w:t>
            </w:r>
          </w:p>
        </w:tc>
        <w:tc>
          <w:tcPr>
            <w:tcW w:w="708" w:type="dxa"/>
            <w:shd w:val="solid" w:color="FFFFFF" w:fill="auto"/>
          </w:tcPr>
          <w:p w14:paraId="44CAD949" w14:textId="10F6B60D" w:rsidR="006D2D57" w:rsidRPr="00873B6C" w:rsidRDefault="006D2D57" w:rsidP="009D14FB">
            <w:pPr>
              <w:pStyle w:val="TAC"/>
              <w:rPr>
                <w:b/>
                <w:bCs/>
                <w:sz w:val="16"/>
                <w:szCs w:val="16"/>
              </w:rPr>
            </w:pPr>
            <w:r w:rsidRPr="00873B6C">
              <w:rPr>
                <w:b/>
                <w:bCs/>
                <w:sz w:val="16"/>
                <w:szCs w:val="16"/>
              </w:rPr>
              <w:t>17.0.0</w:t>
            </w:r>
          </w:p>
        </w:tc>
      </w:tr>
      <w:tr w:rsidR="006D2D57" w:rsidRPr="00873B6C" w14:paraId="142A43D0" w14:textId="77777777" w:rsidTr="009D14FB">
        <w:tc>
          <w:tcPr>
            <w:tcW w:w="800" w:type="dxa"/>
            <w:shd w:val="solid" w:color="FFFFFF" w:fill="auto"/>
          </w:tcPr>
          <w:p w14:paraId="546DDF77" w14:textId="34783285"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1622B9F1" w14:textId="0236D563"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4D4400A2" w14:textId="6D91BED7" w:rsidR="006D2D57" w:rsidRPr="00873B6C" w:rsidRDefault="006D2D57" w:rsidP="009D14FB">
            <w:pPr>
              <w:pStyle w:val="TAC"/>
              <w:rPr>
                <w:sz w:val="16"/>
                <w:szCs w:val="16"/>
              </w:rPr>
            </w:pPr>
            <w:r w:rsidRPr="00873B6C">
              <w:rPr>
                <w:sz w:val="16"/>
                <w:szCs w:val="16"/>
              </w:rPr>
              <w:t>SP-210069</w:t>
            </w:r>
          </w:p>
        </w:tc>
        <w:tc>
          <w:tcPr>
            <w:tcW w:w="567" w:type="dxa"/>
            <w:shd w:val="solid" w:color="FFFFFF" w:fill="auto"/>
          </w:tcPr>
          <w:p w14:paraId="44D91587" w14:textId="7B43EA8B" w:rsidR="006D2D57" w:rsidRPr="00873B6C" w:rsidRDefault="006D2D57" w:rsidP="009D14FB">
            <w:pPr>
              <w:pStyle w:val="TAL"/>
              <w:rPr>
                <w:sz w:val="16"/>
                <w:szCs w:val="16"/>
              </w:rPr>
            </w:pPr>
            <w:r w:rsidRPr="00873B6C">
              <w:rPr>
                <w:sz w:val="16"/>
                <w:szCs w:val="16"/>
              </w:rPr>
              <w:t>2672</w:t>
            </w:r>
          </w:p>
        </w:tc>
        <w:tc>
          <w:tcPr>
            <w:tcW w:w="425" w:type="dxa"/>
            <w:shd w:val="solid" w:color="FFFFFF" w:fill="auto"/>
          </w:tcPr>
          <w:p w14:paraId="571BAB3E" w14:textId="7D9CA72B"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5B854323" w14:textId="3349E80A"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226D78D9" w14:textId="7CEEBB3B" w:rsidR="006D2D57" w:rsidRPr="00873B6C" w:rsidRDefault="006D2D57" w:rsidP="009D14FB">
            <w:pPr>
              <w:pStyle w:val="TAL"/>
              <w:rPr>
                <w:sz w:val="16"/>
                <w:szCs w:val="16"/>
              </w:rPr>
            </w:pPr>
            <w:r w:rsidRPr="00873B6C">
              <w:rPr>
                <w:sz w:val="16"/>
                <w:szCs w:val="16"/>
              </w:rPr>
              <w:t>AF Influence enhancement for EAS IP replacement</w:t>
            </w:r>
          </w:p>
        </w:tc>
        <w:tc>
          <w:tcPr>
            <w:tcW w:w="708" w:type="dxa"/>
            <w:shd w:val="solid" w:color="FFFFFF" w:fill="auto"/>
          </w:tcPr>
          <w:p w14:paraId="5CC1DC38" w14:textId="1A83B32F" w:rsidR="006D2D57" w:rsidRPr="00873B6C" w:rsidRDefault="006D2D57" w:rsidP="009D14FB">
            <w:pPr>
              <w:pStyle w:val="TAC"/>
              <w:rPr>
                <w:b/>
                <w:bCs/>
                <w:sz w:val="16"/>
                <w:szCs w:val="16"/>
              </w:rPr>
            </w:pPr>
            <w:r w:rsidRPr="00873B6C">
              <w:rPr>
                <w:b/>
                <w:bCs/>
                <w:sz w:val="16"/>
                <w:szCs w:val="16"/>
              </w:rPr>
              <w:t>17.0.0</w:t>
            </w:r>
          </w:p>
        </w:tc>
      </w:tr>
      <w:tr w:rsidR="006D2D57" w:rsidRPr="00873B6C" w14:paraId="467DD304" w14:textId="77777777" w:rsidTr="009D14FB">
        <w:tc>
          <w:tcPr>
            <w:tcW w:w="800" w:type="dxa"/>
            <w:shd w:val="solid" w:color="FFFFFF" w:fill="auto"/>
          </w:tcPr>
          <w:p w14:paraId="5716276A" w14:textId="64151D10"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07F2EBEC" w14:textId="1908DC23"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0D516B1E" w14:textId="6DF0FB02" w:rsidR="006D2D57" w:rsidRPr="00873B6C" w:rsidRDefault="006D2D57" w:rsidP="009D14FB">
            <w:pPr>
              <w:pStyle w:val="TAC"/>
              <w:rPr>
                <w:sz w:val="16"/>
                <w:szCs w:val="16"/>
              </w:rPr>
            </w:pPr>
            <w:r w:rsidRPr="00873B6C">
              <w:rPr>
                <w:sz w:val="16"/>
                <w:szCs w:val="16"/>
              </w:rPr>
              <w:t>SP-210064</w:t>
            </w:r>
          </w:p>
        </w:tc>
        <w:tc>
          <w:tcPr>
            <w:tcW w:w="567" w:type="dxa"/>
            <w:shd w:val="solid" w:color="FFFFFF" w:fill="auto"/>
          </w:tcPr>
          <w:p w14:paraId="07872216" w14:textId="6BFFCC1C" w:rsidR="006D2D57" w:rsidRPr="00873B6C" w:rsidRDefault="006D2D57" w:rsidP="009D14FB">
            <w:pPr>
              <w:pStyle w:val="TAL"/>
              <w:rPr>
                <w:sz w:val="16"/>
                <w:szCs w:val="16"/>
              </w:rPr>
            </w:pPr>
            <w:r w:rsidRPr="00873B6C">
              <w:rPr>
                <w:sz w:val="16"/>
                <w:szCs w:val="16"/>
              </w:rPr>
              <w:t>2673</w:t>
            </w:r>
          </w:p>
        </w:tc>
        <w:tc>
          <w:tcPr>
            <w:tcW w:w="425" w:type="dxa"/>
            <w:shd w:val="solid" w:color="FFFFFF" w:fill="auto"/>
          </w:tcPr>
          <w:p w14:paraId="663364B5" w14:textId="553421E6" w:rsidR="006D2D57" w:rsidRPr="00873B6C" w:rsidRDefault="006D2D57" w:rsidP="009D14FB">
            <w:pPr>
              <w:pStyle w:val="TAL"/>
              <w:rPr>
                <w:sz w:val="16"/>
                <w:szCs w:val="16"/>
              </w:rPr>
            </w:pPr>
            <w:r w:rsidRPr="00873B6C">
              <w:rPr>
                <w:sz w:val="16"/>
                <w:szCs w:val="16"/>
              </w:rPr>
              <w:t>-</w:t>
            </w:r>
          </w:p>
        </w:tc>
        <w:tc>
          <w:tcPr>
            <w:tcW w:w="425" w:type="dxa"/>
            <w:shd w:val="solid" w:color="FFFFFF" w:fill="auto"/>
          </w:tcPr>
          <w:p w14:paraId="5CAB4EDE" w14:textId="0585C8DF"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32FD6FB1" w14:textId="26FAD017" w:rsidR="006D2D57" w:rsidRPr="00873B6C" w:rsidRDefault="006D2D57" w:rsidP="009D14FB">
            <w:pPr>
              <w:pStyle w:val="TAL"/>
              <w:rPr>
                <w:sz w:val="16"/>
                <w:szCs w:val="16"/>
              </w:rPr>
            </w:pPr>
            <w:r w:rsidRPr="00873B6C">
              <w:rPr>
                <w:sz w:val="16"/>
                <w:szCs w:val="16"/>
              </w:rPr>
              <w:t>Add general 5G ProSe support to 5GS</w:t>
            </w:r>
          </w:p>
        </w:tc>
        <w:tc>
          <w:tcPr>
            <w:tcW w:w="708" w:type="dxa"/>
            <w:shd w:val="solid" w:color="FFFFFF" w:fill="auto"/>
          </w:tcPr>
          <w:p w14:paraId="3FB2B95C" w14:textId="4E364F49" w:rsidR="006D2D57" w:rsidRPr="00873B6C" w:rsidRDefault="006D2D57" w:rsidP="009D14FB">
            <w:pPr>
              <w:pStyle w:val="TAC"/>
              <w:rPr>
                <w:b/>
                <w:bCs/>
                <w:sz w:val="16"/>
                <w:szCs w:val="16"/>
              </w:rPr>
            </w:pPr>
            <w:r w:rsidRPr="00873B6C">
              <w:rPr>
                <w:b/>
                <w:bCs/>
                <w:sz w:val="16"/>
                <w:szCs w:val="16"/>
              </w:rPr>
              <w:t>17.0.0</w:t>
            </w:r>
          </w:p>
        </w:tc>
      </w:tr>
      <w:tr w:rsidR="006D2D57" w:rsidRPr="00873B6C" w14:paraId="38F2C278" w14:textId="77777777" w:rsidTr="009D14FB">
        <w:tc>
          <w:tcPr>
            <w:tcW w:w="800" w:type="dxa"/>
            <w:shd w:val="solid" w:color="FFFFFF" w:fill="auto"/>
          </w:tcPr>
          <w:p w14:paraId="6A494E5E" w14:textId="541B58F3"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19504C82" w14:textId="38303693"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3893E155" w14:textId="371DDBC5" w:rsidR="006D2D57" w:rsidRPr="00873B6C" w:rsidRDefault="006D2D57" w:rsidP="009D14FB">
            <w:pPr>
              <w:pStyle w:val="TAC"/>
              <w:rPr>
                <w:sz w:val="16"/>
                <w:szCs w:val="16"/>
              </w:rPr>
            </w:pPr>
            <w:r w:rsidRPr="00873B6C">
              <w:rPr>
                <w:sz w:val="16"/>
                <w:szCs w:val="16"/>
              </w:rPr>
              <w:t>SP-210065</w:t>
            </w:r>
          </w:p>
        </w:tc>
        <w:tc>
          <w:tcPr>
            <w:tcW w:w="567" w:type="dxa"/>
            <w:shd w:val="solid" w:color="FFFFFF" w:fill="auto"/>
          </w:tcPr>
          <w:p w14:paraId="1C384602" w14:textId="02EA6190" w:rsidR="006D2D57" w:rsidRPr="00873B6C" w:rsidRDefault="006D2D57" w:rsidP="009D14FB">
            <w:pPr>
              <w:pStyle w:val="TAL"/>
              <w:rPr>
                <w:sz w:val="16"/>
                <w:szCs w:val="16"/>
              </w:rPr>
            </w:pPr>
            <w:r w:rsidRPr="00873B6C">
              <w:rPr>
                <w:sz w:val="16"/>
                <w:szCs w:val="16"/>
              </w:rPr>
              <w:t>2674</w:t>
            </w:r>
          </w:p>
        </w:tc>
        <w:tc>
          <w:tcPr>
            <w:tcW w:w="425" w:type="dxa"/>
            <w:shd w:val="solid" w:color="FFFFFF" w:fill="auto"/>
          </w:tcPr>
          <w:p w14:paraId="35E2832F" w14:textId="3D9E6426"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4DCF6E5A" w14:textId="1B6D3461" w:rsidR="006D2D57" w:rsidRPr="00873B6C" w:rsidRDefault="006D2D57" w:rsidP="009D14FB">
            <w:pPr>
              <w:pStyle w:val="TAL"/>
              <w:rPr>
                <w:sz w:val="16"/>
                <w:szCs w:val="16"/>
              </w:rPr>
            </w:pPr>
            <w:r w:rsidRPr="00873B6C">
              <w:rPr>
                <w:sz w:val="16"/>
                <w:szCs w:val="16"/>
              </w:rPr>
              <w:t>C</w:t>
            </w:r>
          </w:p>
        </w:tc>
        <w:tc>
          <w:tcPr>
            <w:tcW w:w="4820" w:type="dxa"/>
            <w:shd w:val="solid" w:color="FFFFFF" w:fill="auto"/>
          </w:tcPr>
          <w:p w14:paraId="29C94917" w14:textId="7522121D" w:rsidR="006D2D57" w:rsidRPr="00873B6C" w:rsidRDefault="006D2D57" w:rsidP="009D14FB">
            <w:pPr>
              <w:pStyle w:val="TAL"/>
              <w:rPr>
                <w:sz w:val="16"/>
                <w:szCs w:val="16"/>
              </w:rPr>
            </w:pPr>
            <w:r w:rsidRPr="00873B6C">
              <w:rPr>
                <w:sz w:val="16"/>
                <w:szCs w:val="16"/>
              </w:rPr>
              <w:t>Detection of satellite backhaul based on configuration information</w:t>
            </w:r>
          </w:p>
        </w:tc>
        <w:tc>
          <w:tcPr>
            <w:tcW w:w="708" w:type="dxa"/>
            <w:shd w:val="solid" w:color="FFFFFF" w:fill="auto"/>
          </w:tcPr>
          <w:p w14:paraId="2A05BB64" w14:textId="5AFE4DB3" w:rsidR="006D2D57" w:rsidRPr="00873B6C" w:rsidRDefault="006D2D57" w:rsidP="009D14FB">
            <w:pPr>
              <w:pStyle w:val="TAC"/>
              <w:rPr>
                <w:b/>
                <w:bCs/>
                <w:sz w:val="16"/>
                <w:szCs w:val="16"/>
              </w:rPr>
            </w:pPr>
            <w:r w:rsidRPr="00873B6C">
              <w:rPr>
                <w:b/>
                <w:bCs/>
                <w:sz w:val="16"/>
                <w:szCs w:val="16"/>
              </w:rPr>
              <w:t>17.0.0</w:t>
            </w:r>
          </w:p>
        </w:tc>
      </w:tr>
      <w:tr w:rsidR="006D2D57" w:rsidRPr="00873B6C" w14:paraId="3B547BA3" w14:textId="77777777" w:rsidTr="009D14FB">
        <w:tc>
          <w:tcPr>
            <w:tcW w:w="800" w:type="dxa"/>
            <w:shd w:val="solid" w:color="FFFFFF" w:fill="auto"/>
          </w:tcPr>
          <w:p w14:paraId="45EB58B6" w14:textId="3317F1D2"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70B70825" w14:textId="38A4E01A"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38C05EF7" w14:textId="05D37609" w:rsidR="006D2D57" w:rsidRPr="00873B6C" w:rsidRDefault="006D2D57" w:rsidP="009D14FB">
            <w:pPr>
              <w:pStyle w:val="TAC"/>
              <w:rPr>
                <w:sz w:val="16"/>
                <w:szCs w:val="16"/>
              </w:rPr>
            </w:pPr>
            <w:r w:rsidRPr="00873B6C">
              <w:rPr>
                <w:sz w:val="16"/>
                <w:szCs w:val="16"/>
              </w:rPr>
              <w:t>SP-210072</w:t>
            </w:r>
          </w:p>
        </w:tc>
        <w:tc>
          <w:tcPr>
            <w:tcW w:w="567" w:type="dxa"/>
            <w:shd w:val="solid" w:color="FFFFFF" w:fill="auto"/>
          </w:tcPr>
          <w:p w14:paraId="4707F662" w14:textId="099D721E" w:rsidR="006D2D57" w:rsidRPr="00873B6C" w:rsidRDefault="006D2D57" w:rsidP="009D14FB">
            <w:pPr>
              <w:pStyle w:val="TAL"/>
              <w:rPr>
                <w:sz w:val="16"/>
                <w:szCs w:val="16"/>
              </w:rPr>
            </w:pPr>
            <w:r w:rsidRPr="00873B6C">
              <w:rPr>
                <w:sz w:val="16"/>
                <w:szCs w:val="16"/>
              </w:rPr>
              <w:t>2677</w:t>
            </w:r>
          </w:p>
        </w:tc>
        <w:tc>
          <w:tcPr>
            <w:tcW w:w="425" w:type="dxa"/>
            <w:shd w:val="solid" w:color="FFFFFF" w:fill="auto"/>
          </w:tcPr>
          <w:p w14:paraId="1783E07A" w14:textId="556F41F8"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394757C0" w14:textId="2021B71E" w:rsidR="006D2D57" w:rsidRPr="00873B6C" w:rsidRDefault="006D2D57" w:rsidP="009D14FB">
            <w:pPr>
              <w:pStyle w:val="TAL"/>
              <w:rPr>
                <w:sz w:val="16"/>
                <w:szCs w:val="16"/>
              </w:rPr>
            </w:pPr>
            <w:r w:rsidRPr="00873B6C">
              <w:rPr>
                <w:sz w:val="16"/>
                <w:szCs w:val="16"/>
              </w:rPr>
              <w:t>C</w:t>
            </w:r>
          </w:p>
        </w:tc>
        <w:tc>
          <w:tcPr>
            <w:tcW w:w="4820" w:type="dxa"/>
            <w:shd w:val="solid" w:color="FFFFFF" w:fill="auto"/>
          </w:tcPr>
          <w:p w14:paraId="00FE39C5" w14:textId="286DAA1D" w:rsidR="006D2D57" w:rsidRPr="00873B6C" w:rsidRDefault="006D2D57" w:rsidP="009D14FB">
            <w:pPr>
              <w:pStyle w:val="TAL"/>
              <w:rPr>
                <w:sz w:val="16"/>
                <w:szCs w:val="16"/>
              </w:rPr>
            </w:pPr>
            <w:r w:rsidRPr="00873B6C">
              <w:rPr>
                <w:sz w:val="16"/>
                <w:szCs w:val="16"/>
              </w:rPr>
              <w:t>NWDAF discovery and selection for KI#2 NWDAF Reselection</w:t>
            </w:r>
          </w:p>
        </w:tc>
        <w:tc>
          <w:tcPr>
            <w:tcW w:w="708" w:type="dxa"/>
            <w:shd w:val="solid" w:color="FFFFFF" w:fill="auto"/>
          </w:tcPr>
          <w:p w14:paraId="33FAE5F3" w14:textId="187A2858" w:rsidR="006D2D57" w:rsidRPr="00873B6C" w:rsidRDefault="006D2D57" w:rsidP="009D14FB">
            <w:pPr>
              <w:pStyle w:val="TAC"/>
              <w:rPr>
                <w:b/>
                <w:bCs/>
                <w:sz w:val="16"/>
                <w:szCs w:val="16"/>
              </w:rPr>
            </w:pPr>
            <w:r w:rsidRPr="00873B6C">
              <w:rPr>
                <w:b/>
                <w:bCs/>
                <w:sz w:val="16"/>
                <w:szCs w:val="16"/>
              </w:rPr>
              <w:t>17.0.0</w:t>
            </w:r>
          </w:p>
        </w:tc>
      </w:tr>
      <w:tr w:rsidR="006D2D57" w:rsidRPr="00873B6C" w14:paraId="13F72976" w14:textId="77777777" w:rsidTr="009D14FB">
        <w:tc>
          <w:tcPr>
            <w:tcW w:w="800" w:type="dxa"/>
            <w:shd w:val="solid" w:color="FFFFFF" w:fill="auto"/>
          </w:tcPr>
          <w:p w14:paraId="58420271" w14:textId="0BFE54AF"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77647D7E" w14:textId="3703759F"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652F3FCF" w14:textId="0B2B9DDA" w:rsidR="006D2D57" w:rsidRPr="00873B6C" w:rsidRDefault="006D2D57" w:rsidP="009D14FB">
            <w:pPr>
              <w:pStyle w:val="TAC"/>
              <w:rPr>
                <w:sz w:val="16"/>
                <w:szCs w:val="16"/>
              </w:rPr>
            </w:pPr>
            <w:r w:rsidRPr="00873B6C">
              <w:rPr>
                <w:sz w:val="16"/>
                <w:szCs w:val="16"/>
              </w:rPr>
              <w:t>SP-210064</w:t>
            </w:r>
          </w:p>
        </w:tc>
        <w:tc>
          <w:tcPr>
            <w:tcW w:w="567" w:type="dxa"/>
            <w:shd w:val="solid" w:color="FFFFFF" w:fill="auto"/>
          </w:tcPr>
          <w:p w14:paraId="60AFDDE9" w14:textId="6EA3FAFB" w:rsidR="006D2D57" w:rsidRPr="00873B6C" w:rsidRDefault="006D2D57" w:rsidP="009D14FB">
            <w:pPr>
              <w:pStyle w:val="TAL"/>
              <w:rPr>
                <w:sz w:val="16"/>
                <w:szCs w:val="16"/>
              </w:rPr>
            </w:pPr>
            <w:r w:rsidRPr="00873B6C">
              <w:rPr>
                <w:sz w:val="16"/>
                <w:szCs w:val="16"/>
              </w:rPr>
              <w:t>2678</w:t>
            </w:r>
          </w:p>
        </w:tc>
        <w:tc>
          <w:tcPr>
            <w:tcW w:w="425" w:type="dxa"/>
            <w:shd w:val="solid" w:color="FFFFFF" w:fill="auto"/>
          </w:tcPr>
          <w:p w14:paraId="55E11B32" w14:textId="74013C01" w:rsidR="006D2D57" w:rsidRPr="00873B6C" w:rsidRDefault="006D2D57" w:rsidP="009D14FB">
            <w:pPr>
              <w:pStyle w:val="TAL"/>
              <w:rPr>
                <w:sz w:val="16"/>
                <w:szCs w:val="16"/>
              </w:rPr>
            </w:pPr>
            <w:r w:rsidRPr="00873B6C">
              <w:rPr>
                <w:sz w:val="16"/>
                <w:szCs w:val="16"/>
              </w:rPr>
              <w:t>-</w:t>
            </w:r>
          </w:p>
        </w:tc>
        <w:tc>
          <w:tcPr>
            <w:tcW w:w="425" w:type="dxa"/>
            <w:shd w:val="solid" w:color="FFFFFF" w:fill="auto"/>
          </w:tcPr>
          <w:p w14:paraId="37DD280E" w14:textId="20790866"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3A56613A" w14:textId="03CAC0E6" w:rsidR="006D2D57" w:rsidRPr="00873B6C" w:rsidRDefault="006D2D57" w:rsidP="009D14FB">
            <w:pPr>
              <w:pStyle w:val="TAL"/>
              <w:rPr>
                <w:sz w:val="16"/>
                <w:szCs w:val="16"/>
              </w:rPr>
            </w:pPr>
            <w:r w:rsidRPr="00873B6C">
              <w:rPr>
                <w:sz w:val="16"/>
                <w:szCs w:val="16"/>
              </w:rPr>
              <w:t>Introducing 5G DDNMF services for ProSe support</w:t>
            </w:r>
          </w:p>
        </w:tc>
        <w:tc>
          <w:tcPr>
            <w:tcW w:w="708" w:type="dxa"/>
            <w:shd w:val="solid" w:color="FFFFFF" w:fill="auto"/>
          </w:tcPr>
          <w:p w14:paraId="1EDCB421" w14:textId="36C7FB34" w:rsidR="006D2D57" w:rsidRPr="00873B6C" w:rsidRDefault="006D2D57" w:rsidP="009D14FB">
            <w:pPr>
              <w:pStyle w:val="TAC"/>
              <w:rPr>
                <w:b/>
                <w:bCs/>
                <w:sz w:val="16"/>
                <w:szCs w:val="16"/>
              </w:rPr>
            </w:pPr>
            <w:r w:rsidRPr="00873B6C">
              <w:rPr>
                <w:b/>
                <w:bCs/>
                <w:sz w:val="16"/>
                <w:szCs w:val="16"/>
              </w:rPr>
              <w:t>17.0.0</w:t>
            </w:r>
          </w:p>
        </w:tc>
      </w:tr>
      <w:tr w:rsidR="006D2D57" w:rsidRPr="00873B6C" w14:paraId="21DCE112" w14:textId="77777777" w:rsidTr="009D14FB">
        <w:tc>
          <w:tcPr>
            <w:tcW w:w="800" w:type="dxa"/>
            <w:shd w:val="solid" w:color="FFFFFF" w:fill="auto"/>
          </w:tcPr>
          <w:p w14:paraId="573B5651" w14:textId="31B340B0"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1A6B538B" w14:textId="44C56EE9"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2270C77A" w14:textId="6E52F7ED" w:rsidR="006D2D57" w:rsidRPr="00873B6C" w:rsidRDefault="006D2D57" w:rsidP="009D14FB">
            <w:pPr>
              <w:pStyle w:val="TAC"/>
              <w:rPr>
                <w:sz w:val="16"/>
                <w:szCs w:val="16"/>
              </w:rPr>
            </w:pPr>
            <w:r w:rsidRPr="00873B6C">
              <w:rPr>
                <w:sz w:val="16"/>
                <w:szCs w:val="16"/>
              </w:rPr>
              <w:t>SP-210083</w:t>
            </w:r>
          </w:p>
        </w:tc>
        <w:tc>
          <w:tcPr>
            <w:tcW w:w="567" w:type="dxa"/>
            <w:shd w:val="solid" w:color="FFFFFF" w:fill="auto"/>
          </w:tcPr>
          <w:p w14:paraId="5BA14DD7" w14:textId="2D56A1E2" w:rsidR="006D2D57" w:rsidRPr="00873B6C" w:rsidRDefault="006D2D57" w:rsidP="009D14FB">
            <w:pPr>
              <w:pStyle w:val="TAL"/>
              <w:rPr>
                <w:sz w:val="16"/>
                <w:szCs w:val="16"/>
              </w:rPr>
            </w:pPr>
            <w:r w:rsidRPr="00873B6C">
              <w:rPr>
                <w:sz w:val="16"/>
                <w:szCs w:val="16"/>
              </w:rPr>
              <w:t>2679</w:t>
            </w:r>
          </w:p>
        </w:tc>
        <w:tc>
          <w:tcPr>
            <w:tcW w:w="425" w:type="dxa"/>
            <w:shd w:val="solid" w:color="FFFFFF" w:fill="auto"/>
          </w:tcPr>
          <w:p w14:paraId="563405A0" w14:textId="132A01C8"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24C8A0C5" w14:textId="20A3830E"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3FCC70A5" w14:textId="398F7E35" w:rsidR="006D2D57" w:rsidRPr="00873B6C" w:rsidRDefault="006D2D57" w:rsidP="009D14FB">
            <w:pPr>
              <w:pStyle w:val="TAL"/>
              <w:rPr>
                <w:sz w:val="16"/>
                <w:szCs w:val="16"/>
              </w:rPr>
            </w:pPr>
            <w:r w:rsidRPr="00873B6C">
              <w:rPr>
                <w:sz w:val="16"/>
                <w:szCs w:val="16"/>
              </w:rPr>
              <w:t>TS23.501 KI#1 Network Slice Admission Control Function (NSACF) definition</w:t>
            </w:r>
          </w:p>
        </w:tc>
        <w:tc>
          <w:tcPr>
            <w:tcW w:w="708" w:type="dxa"/>
            <w:shd w:val="solid" w:color="FFFFFF" w:fill="auto"/>
          </w:tcPr>
          <w:p w14:paraId="210A43EF" w14:textId="57F1F0CD" w:rsidR="006D2D57" w:rsidRPr="00873B6C" w:rsidRDefault="006D2D57" w:rsidP="009D14FB">
            <w:pPr>
              <w:pStyle w:val="TAC"/>
              <w:rPr>
                <w:b/>
                <w:bCs/>
                <w:sz w:val="16"/>
                <w:szCs w:val="16"/>
              </w:rPr>
            </w:pPr>
            <w:r w:rsidRPr="00873B6C">
              <w:rPr>
                <w:b/>
                <w:bCs/>
                <w:sz w:val="16"/>
                <w:szCs w:val="16"/>
              </w:rPr>
              <w:t>17.0.0</w:t>
            </w:r>
          </w:p>
        </w:tc>
      </w:tr>
      <w:tr w:rsidR="00757CAF" w:rsidRPr="00873B6C" w14:paraId="6610422A" w14:textId="77777777" w:rsidTr="009D14FB">
        <w:tc>
          <w:tcPr>
            <w:tcW w:w="800" w:type="dxa"/>
            <w:shd w:val="solid" w:color="FFFFFF" w:fill="auto"/>
          </w:tcPr>
          <w:p w14:paraId="1FEC2921" w14:textId="18C74144" w:rsidR="00757CAF" w:rsidRPr="00873B6C" w:rsidRDefault="00757CAF" w:rsidP="009D14FB">
            <w:pPr>
              <w:pStyle w:val="TAC"/>
              <w:rPr>
                <w:sz w:val="16"/>
                <w:szCs w:val="16"/>
              </w:rPr>
            </w:pPr>
            <w:r w:rsidRPr="00873B6C">
              <w:rPr>
                <w:sz w:val="16"/>
                <w:szCs w:val="16"/>
              </w:rPr>
              <w:lastRenderedPageBreak/>
              <w:t>2021-03</w:t>
            </w:r>
          </w:p>
        </w:tc>
        <w:tc>
          <w:tcPr>
            <w:tcW w:w="800" w:type="dxa"/>
            <w:shd w:val="solid" w:color="FFFFFF" w:fill="auto"/>
          </w:tcPr>
          <w:p w14:paraId="41F28A77" w14:textId="2F1F98C8" w:rsidR="00757CAF" w:rsidRPr="00873B6C" w:rsidRDefault="00757CAF" w:rsidP="009D14FB">
            <w:pPr>
              <w:pStyle w:val="TAL"/>
              <w:rPr>
                <w:sz w:val="16"/>
                <w:szCs w:val="16"/>
              </w:rPr>
            </w:pPr>
            <w:r w:rsidRPr="00873B6C">
              <w:rPr>
                <w:sz w:val="16"/>
                <w:szCs w:val="16"/>
              </w:rPr>
              <w:t>SP#91E</w:t>
            </w:r>
          </w:p>
        </w:tc>
        <w:tc>
          <w:tcPr>
            <w:tcW w:w="1094" w:type="dxa"/>
            <w:shd w:val="solid" w:color="FFFFFF" w:fill="auto"/>
          </w:tcPr>
          <w:p w14:paraId="10B6C8E8" w14:textId="526264A8" w:rsidR="00757CAF" w:rsidRPr="00873B6C" w:rsidRDefault="00757CAF" w:rsidP="009D14FB">
            <w:pPr>
              <w:pStyle w:val="TAC"/>
              <w:rPr>
                <w:sz w:val="16"/>
                <w:szCs w:val="16"/>
              </w:rPr>
            </w:pPr>
            <w:r w:rsidRPr="00873B6C">
              <w:rPr>
                <w:sz w:val="16"/>
                <w:szCs w:val="16"/>
              </w:rPr>
              <w:t>SP-210074</w:t>
            </w:r>
          </w:p>
        </w:tc>
        <w:tc>
          <w:tcPr>
            <w:tcW w:w="567" w:type="dxa"/>
            <w:shd w:val="solid" w:color="FFFFFF" w:fill="auto"/>
          </w:tcPr>
          <w:p w14:paraId="4F461F4F" w14:textId="41AF9ED4" w:rsidR="00757CAF" w:rsidRPr="00873B6C" w:rsidRDefault="00757CAF" w:rsidP="009D14FB">
            <w:pPr>
              <w:pStyle w:val="TAL"/>
              <w:rPr>
                <w:sz w:val="16"/>
                <w:szCs w:val="16"/>
              </w:rPr>
            </w:pPr>
            <w:r w:rsidRPr="00873B6C">
              <w:rPr>
                <w:sz w:val="16"/>
                <w:szCs w:val="16"/>
              </w:rPr>
              <w:t>2684</w:t>
            </w:r>
          </w:p>
        </w:tc>
        <w:tc>
          <w:tcPr>
            <w:tcW w:w="425" w:type="dxa"/>
            <w:shd w:val="solid" w:color="FFFFFF" w:fill="auto"/>
          </w:tcPr>
          <w:p w14:paraId="502BE7EC" w14:textId="356EA218" w:rsidR="00757CAF" w:rsidRPr="00873B6C" w:rsidRDefault="00757CAF" w:rsidP="009D14FB">
            <w:pPr>
              <w:pStyle w:val="TAL"/>
              <w:rPr>
                <w:sz w:val="16"/>
                <w:szCs w:val="16"/>
              </w:rPr>
            </w:pPr>
            <w:r w:rsidRPr="00873B6C">
              <w:rPr>
                <w:sz w:val="16"/>
                <w:szCs w:val="16"/>
              </w:rPr>
              <w:t>1</w:t>
            </w:r>
          </w:p>
        </w:tc>
        <w:tc>
          <w:tcPr>
            <w:tcW w:w="425" w:type="dxa"/>
            <w:shd w:val="solid" w:color="FFFFFF" w:fill="auto"/>
          </w:tcPr>
          <w:p w14:paraId="3F6D3ADA" w14:textId="60901AD8" w:rsidR="00757CAF" w:rsidRPr="00873B6C" w:rsidRDefault="00757CAF" w:rsidP="009D14FB">
            <w:pPr>
              <w:pStyle w:val="TAL"/>
              <w:rPr>
                <w:sz w:val="16"/>
                <w:szCs w:val="16"/>
              </w:rPr>
            </w:pPr>
            <w:r w:rsidRPr="00873B6C">
              <w:rPr>
                <w:sz w:val="16"/>
                <w:szCs w:val="16"/>
              </w:rPr>
              <w:t>B</w:t>
            </w:r>
          </w:p>
        </w:tc>
        <w:tc>
          <w:tcPr>
            <w:tcW w:w="4820" w:type="dxa"/>
            <w:shd w:val="solid" w:color="FFFFFF" w:fill="auto"/>
          </w:tcPr>
          <w:p w14:paraId="5C77892C" w14:textId="4D26539C" w:rsidR="00757CAF" w:rsidRPr="00873B6C" w:rsidRDefault="00757CAF" w:rsidP="009D14FB">
            <w:pPr>
              <w:pStyle w:val="TAL"/>
              <w:rPr>
                <w:sz w:val="16"/>
                <w:szCs w:val="16"/>
              </w:rPr>
            </w:pPr>
            <w:r w:rsidRPr="00873B6C">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873B6C" w:rsidRDefault="00757CAF" w:rsidP="009D14FB">
            <w:pPr>
              <w:pStyle w:val="TAC"/>
              <w:rPr>
                <w:b/>
                <w:bCs/>
                <w:sz w:val="16"/>
                <w:szCs w:val="16"/>
              </w:rPr>
            </w:pPr>
            <w:r w:rsidRPr="00873B6C">
              <w:rPr>
                <w:b/>
                <w:bCs/>
                <w:sz w:val="16"/>
                <w:szCs w:val="16"/>
              </w:rPr>
              <w:t>17.0.0</w:t>
            </w:r>
          </w:p>
        </w:tc>
      </w:tr>
      <w:tr w:rsidR="0013348C" w:rsidRPr="00873B6C" w14:paraId="3454C628" w14:textId="77777777" w:rsidTr="009D14FB">
        <w:tc>
          <w:tcPr>
            <w:tcW w:w="800" w:type="dxa"/>
            <w:shd w:val="solid" w:color="FFFFFF" w:fill="auto"/>
          </w:tcPr>
          <w:p w14:paraId="2E47E616" w14:textId="3342C7B8" w:rsidR="0013348C" w:rsidRPr="00873B6C" w:rsidRDefault="0013348C" w:rsidP="009D14FB">
            <w:pPr>
              <w:pStyle w:val="TAC"/>
              <w:rPr>
                <w:sz w:val="16"/>
                <w:szCs w:val="16"/>
              </w:rPr>
            </w:pPr>
            <w:r w:rsidRPr="00873B6C">
              <w:rPr>
                <w:sz w:val="16"/>
                <w:szCs w:val="16"/>
              </w:rPr>
              <w:t>2021-03</w:t>
            </w:r>
          </w:p>
        </w:tc>
        <w:tc>
          <w:tcPr>
            <w:tcW w:w="800" w:type="dxa"/>
            <w:shd w:val="solid" w:color="FFFFFF" w:fill="auto"/>
          </w:tcPr>
          <w:p w14:paraId="1752AE70" w14:textId="23F4B9DC" w:rsidR="0013348C" w:rsidRPr="00873B6C" w:rsidRDefault="0013348C" w:rsidP="009D14FB">
            <w:pPr>
              <w:pStyle w:val="TAL"/>
              <w:rPr>
                <w:sz w:val="16"/>
                <w:szCs w:val="16"/>
              </w:rPr>
            </w:pPr>
            <w:r w:rsidRPr="00873B6C">
              <w:rPr>
                <w:sz w:val="16"/>
                <w:szCs w:val="16"/>
              </w:rPr>
              <w:t>SP#91E</w:t>
            </w:r>
          </w:p>
        </w:tc>
        <w:tc>
          <w:tcPr>
            <w:tcW w:w="1094" w:type="dxa"/>
            <w:shd w:val="solid" w:color="FFFFFF" w:fill="auto"/>
          </w:tcPr>
          <w:p w14:paraId="59FACD5C" w14:textId="45238B89" w:rsidR="0013348C" w:rsidRPr="00873B6C" w:rsidRDefault="0013348C" w:rsidP="009D14FB">
            <w:pPr>
              <w:pStyle w:val="TAC"/>
              <w:rPr>
                <w:sz w:val="16"/>
                <w:szCs w:val="16"/>
              </w:rPr>
            </w:pPr>
            <w:r w:rsidRPr="00873B6C">
              <w:rPr>
                <w:sz w:val="16"/>
                <w:szCs w:val="16"/>
              </w:rPr>
              <w:t>SP-2102</w:t>
            </w:r>
            <w:r w:rsidR="007918F2" w:rsidRPr="00873B6C">
              <w:rPr>
                <w:sz w:val="16"/>
                <w:szCs w:val="16"/>
              </w:rPr>
              <w:t>7</w:t>
            </w:r>
            <w:r w:rsidRPr="00873B6C">
              <w:rPr>
                <w:sz w:val="16"/>
                <w:szCs w:val="16"/>
              </w:rPr>
              <w:t>1</w:t>
            </w:r>
          </w:p>
        </w:tc>
        <w:tc>
          <w:tcPr>
            <w:tcW w:w="567" w:type="dxa"/>
            <w:shd w:val="solid" w:color="FFFFFF" w:fill="auto"/>
          </w:tcPr>
          <w:p w14:paraId="05A537FD" w14:textId="06FAE373" w:rsidR="0013348C" w:rsidRPr="00873B6C" w:rsidRDefault="007918F2" w:rsidP="009D14FB">
            <w:pPr>
              <w:pStyle w:val="TAL"/>
              <w:rPr>
                <w:sz w:val="16"/>
                <w:szCs w:val="16"/>
              </w:rPr>
            </w:pPr>
            <w:r w:rsidRPr="00873B6C">
              <w:rPr>
                <w:sz w:val="16"/>
                <w:szCs w:val="16"/>
              </w:rPr>
              <w:t>0</w:t>
            </w:r>
            <w:r w:rsidR="0013348C" w:rsidRPr="00873B6C">
              <w:rPr>
                <w:sz w:val="16"/>
                <w:szCs w:val="16"/>
              </w:rPr>
              <w:t>254</w:t>
            </w:r>
          </w:p>
        </w:tc>
        <w:tc>
          <w:tcPr>
            <w:tcW w:w="425" w:type="dxa"/>
            <w:shd w:val="solid" w:color="FFFFFF" w:fill="auto"/>
          </w:tcPr>
          <w:p w14:paraId="2E61982A" w14:textId="3AFFF6AA" w:rsidR="0013348C" w:rsidRPr="00873B6C" w:rsidRDefault="0013348C" w:rsidP="009D14FB">
            <w:pPr>
              <w:pStyle w:val="TAL"/>
              <w:rPr>
                <w:sz w:val="16"/>
                <w:szCs w:val="16"/>
              </w:rPr>
            </w:pPr>
            <w:r w:rsidRPr="00873B6C">
              <w:rPr>
                <w:sz w:val="16"/>
                <w:szCs w:val="16"/>
              </w:rPr>
              <w:t>3</w:t>
            </w:r>
          </w:p>
        </w:tc>
        <w:tc>
          <w:tcPr>
            <w:tcW w:w="425" w:type="dxa"/>
            <w:shd w:val="solid" w:color="FFFFFF" w:fill="auto"/>
          </w:tcPr>
          <w:p w14:paraId="71174006" w14:textId="3781AE71" w:rsidR="0013348C" w:rsidRPr="00873B6C" w:rsidRDefault="0013348C" w:rsidP="009D14FB">
            <w:pPr>
              <w:pStyle w:val="TAL"/>
              <w:rPr>
                <w:sz w:val="16"/>
                <w:szCs w:val="16"/>
              </w:rPr>
            </w:pPr>
            <w:r w:rsidRPr="00873B6C">
              <w:rPr>
                <w:sz w:val="16"/>
                <w:szCs w:val="16"/>
              </w:rPr>
              <w:t>B</w:t>
            </w:r>
          </w:p>
        </w:tc>
        <w:tc>
          <w:tcPr>
            <w:tcW w:w="4820" w:type="dxa"/>
            <w:shd w:val="solid" w:color="FFFFFF" w:fill="auto"/>
          </w:tcPr>
          <w:p w14:paraId="24000BEF" w14:textId="0306F8E1" w:rsidR="0013348C" w:rsidRPr="00873B6C" w:rsidRDefault="0013348C" w:rsidP="009D14FB">
            <w:pPr>
              <w:pStyle w:val="TAL"/>
              <w:rPr>
                <w:sz w:val="16"/>
                <w:szCs w:val="16"/>
              </w:rPr>
            </w:pPr>
            <w:r w:rsidRPr="00873B6C">
              <w:rPr>
                <w:sz w:val="16"/>
                <w:szCs w:val="16"/>
              </w:rPr>
              <w:t>Network selection for NR satellite access</w:t>
            </w:r>
          </w:p>
        </w:tc>
        <w:tc>
          <w:tcPr>
            <w:tcW w:w="708" w:type="dxa"/>
            <w:shd w:val="solid" w:color="FFFFFF" w:fill="auto"/>
          </w:tcPr>
          <w:p w14:paraId="30D69D14" w14:textId="35E2EE16" w:rsidR="0013348C" w:rsidRPr="00873B6C" w:rsidRDefault="0013348C" w:rsidP="009D14FB">
            <w:pPr>
              <w:pStyle w:val="TAC"/>
              <w:rPr>
                <w:b/>
                <w:bCs/>
                <w:sz w:val="16"/>
                <w:szCs w:val="16"/>
              </w:rPr>
            </w:pPr>
            <w:r w:rsidRPr="00873B6C">
              <w:rPr>
                <w:b/>
                <w:bCs/>
                <w:sz w:val="16"/>
                <w:szCs w:val="16"/>
              </w:rPr>
              <w:t>17.0.0</w:t>
            </w:r>
          </w:p>
        </w:tc>
      </w:tr>
      <w:tr w:rsidR="00C922CA" w:rsidRPr="00873B6C" w14:paraId="6CAF173B" w14:textId="77777777" w:rsidTr="009D14FB">
        <w:tc>
          <w:tcPr>
            <w:tcW w:w="800" w:type="dxa"/>
            <w:shd w:val="solid" w:color="FFFFFF" w:fill="auto"/>
          </w:tcPr>
          <w:p w14:paraId="273C0981" w14:textId="71D4E0E5" w:rsidR="00C922CA" w:rsidRPr="00873B6C" w:rsidRDefault="00C922CA" w:rsidP="009D14FB">
            <w:pPr>
              <w:pStyle w:val="TAC"/>
              <w:rPr>
                <w:sz w:val="16"/>
                <w:szCs w:val="16"/>
              </w:rPr>
            </w:pPr>
            <w:r w:rsidRPr="00873B6C">
              <w:rPr>
                <w:sz w:val="16"/>
                <w:szCs w:val="16"/>
              </w:rPr>
              <w:t>2021-06</w:t>
            </w:r>
          </w:p>
        </w:tc>
        <w:tc>
          <w:tcPr>
            <w:tcW w:w="800" w:type="dxa"/>
            <w:shd w:val="solid" w:color="FFFFFF" w:fill="auto"/>
          </w:tcPr>
          <w:p w14:paraId="454550A3" w14:textId="27864784" w:rsidR="00C922CA" w:rsidRPr="00873B6C" w:rsidRDefault="00C922CA" w:rsidP="009D14FB">
            <w:pPr>
              <w:pStyle w:val="TAL"/>
              <w:rPr>
                <w:sz w:val="16"/>
                <w:szCs w:val="16"/>
              </w:rPr>
            </w:pPr>
            <w:r w:rsidRPr="00873B6C">
              <w:rPr>
                <w:sz w:val="16"/>
                <w:szCs w:val="16"/>
              </w:rPr>
              <w:t>SP#92E</w:t>
            </w:r>
          </w:p>
        </w:tc>
        <w:tc>
          <w:tcPr>
            <w:tcW w:w="1094" w:type="dxa"/>
            <w:shd w:val="solid" w:color="FFFFFF" w:fill="auto"/>
          </w:tcPr>
          <w:p w14:paraId="0F334E97" w14:textId="1EEECD6D" w:rsidR="00C922CA" w:rsidRPr="00873B6C" w:rsidRDefault="00C922CA" w:rsidP="009D14FB">
            <w:pPr>
              <w:pStyle w:val="TAC"/>
              <w:rPr>
                <w:sz w:val="16"/>
                <w:szCs w:val="16"/>
              </w:rPr>
            </w:pPr>
            <w:r w:rsidRPr="00873B6C">
              <w:rPr>
                <w:sz w:val="16"/>
                <w:szCs w:val="16"/>
              </w:rPr>
              <w:t>SP-210323</w:t>
            </w:r>
          </w:p>
        </w:tc>
        <w:tc>
          <w:tcPr>
            <w:tcW w:w="567" w:type="dxa"/>
            <w:shd w:val="solid" w:color="FFFFFF" w:fill="auto"/>
          </w:tcPr>
          <w:p w14:paraId="3E5AB45F" w14:textId="7BE9519E" w:rsidR="00C922CA" w:rsidRPr="00873B6C" w:rsidRDefault="00C922CA" w:rsidP="009D14FB">
            <w:pPr>
              <w:pStyle w:val="TAL"/>
              <w:rPr>
                <w:sz w:val="16"/>
                <w:szCs w:val="16"/>
              </w:rPr>
            </w:pPr>
            <w:r w:rsidRPr="00873B6C">
              <w:rPr>
                <w:sz w:val="16"/>
                <w:szCs w:val="16"/>
              </w:rPr>
              <w:t>2553</w:t>
            </w:r>
          </w:p>
        </w:tc>
        <w:tc>
          <w:tcPr>
            <w:tcW w:w="425" w:type="dxa"/>
            <w:shd w:val="solid" w:color="FFFFFF" w:fill="auto"/>
          </w:tcPr>
          <w:p w14:paraId="38C67F39" w14:textId="616A8B8D" w:rsidR="00C922CA" w:rsidRPr="00873B6C" w:rsidRDefault="00C922CA" w:rsidP="009D14FB">
            <w:pPr>
              <w:pStyle w:val="TAL"/>
              <w:rPr>
                <w:sz w:val="16"/>
                <w:szCs w:val="16"/>
              </w:rPr>
            </w:pPr>
            <w:r w:rsidRPr="00873B6C">
              <w:rPr>
                <w:sz w:val="16"/>
                <w:szCs w:val="16"/>
              </w:rPr>
              <w:t>5</w:t>
            </w:r>
          </w:p>
        </w:tc>
        <w:tc>
          <w:tcPr>
            <w:tcW w:w="425" w:type="dxa"/>
            <w:shd w:val="solid" w:color="FFFFFF" w:fill="auto"/>
          </w:tcPr>
          <w:p w14:paraId="320B77F6" w14:textId="6075F55D" w:rsidR="00C922CA" w:rsidRPr="00873B6C" w:rsidRDefault="00C922CA" w:rsidP="009D14FB">
            <w:pPr>
              <w:pStyle w:val="TAL"/>
              <w:rPr>
                <w:sz w:val="16"/>
                <w:szCs w:val="16"/>
              </w:rPr>
            </w:pPr>
            <w:r w:rsidRPr="00873B6C">
              <w:rPr>
                <w:sz w:val="16"/>
                <w:szCs w:val="16"/>
              </w:rPr>
              <w:t>B</w:t>
            </w:r>
          </w:p>
        </w:tc>
        <w:tc>
          <w:tcPr>
            <w:tcW w:w="4820" w:type="dxa"/>
            <w:shd w:val="solid" w:color="FFFFFF" w:fill="auto"/>
          </w:tcPr>
          <w:p w14:paraId="7D05F26D" w14:textId="0F365FA1" w:rsidR="00C922CA" w:rsidRPr="00873B6C" w:rsidRDefault="00C922CA" w:rsidP="009D14FB">
            <w:pPr>
              <w:pStyle w:val="TAL"/>
              <w:rPr>
                <w:sz w:val="16"/>
                <w:szCs w:val="16"/>
              </w:rPr>
            </w:pPr>
            <w:r w:rsidRPr="00873B6C">
              <w:rPr>
                <w:sz w:val="16"/>
                <w:szCs w:val="16"/>
              </w:rPr>
              <w:t>Function Description for Multi-SIM devices</w:t>
            </w:r>
          </w:p>
        </w:tc>
        <w:tc>
          <w:tcPr>
            <w:tcW w:w="708" w:type="dxa"/>
            <w:shd w:val="solid" w:color="FFFFFF" w:fill="auto"/>
          </w:tcPr>
          <w:p w14:paraId="68324C89" w14:textId="6FEA2EC1" w:rsidR="00C922CA" w:rsidRPr="00873B6C" w:rsidRDefault="00C922CA" w:rsidP="009D14FB">
            <w:pPr>
              <w:pStyle w:val="TAC"/>
              <w:rPr>
                <w:sz w:val="16"/>
                <w:szCs w:val="16"/>
              </w:rPr>
            </w:pPr>
            <w:r w:rsidRPr="00873B6C">
              <w:rPr>
                <w:sz w:val="16"/>
                <w:szCs w:val="16"/>
              </w:rPr>
              <w:t>17.1.0</w:t>
            </w:r>
          </w:p>
        </w:tc>
      </w:tr>
      <w:tr w:rsidR="00C922CA" w:rsidRPr="00873B6C" w14:paraId="6D0BF8C5" w14:textId="77777777" w:rsidTr="009D14FB">
        <w:tc>
          <w:tcPr>
            <w:tcW w:w="800" w:type="dxa"/>
            <w:shd w:val="solid" w:color="FFFFFF" w:fill="auto"/>
          </w:tcPr>
          <w:p w14:paraId="6E5F165D" w14:textId="7F537CB9" w:rsidR="00C922CA" w:rsidRPr="00873B6C" w:rsidRDefault="00C922CA" w:rsidP="009D14FB">
            <w:pPr>
              <w:pStyle w:val="TAC"/>
              <w:rPr>
                <w:sz w:val="16"/>
                <w:szCs w:val="16"/>
              </w:rPr>
            </w:pPr>
            <w:r w:rsidRPr="00873B6C">
              <w:rPr>
                <w:sz w:val="16"/>
                <w:szCs w:val="16"/>
              </w:rPr>
              <w:t>2021-06</w:t>
            </w:r>
          </w:p>
        </w:tc>
        <w:tc>
          <w:tcPr>
            <w:tcW w:w="800" w:type="dxa"/>
            <w:shd w:val="solid" w:color="FFFFFF" w:fill="auto"/>
          </w:tcPr>
          <w:p w14:paraId="50E9DDF4" w14:textId="40E4B96C" w:rsidR="00C922CA" w:rsidRPr="00873B6C" w:rsidRDefault="00C922CA" w:rsidP="009D14FB">
            <w:pPr>
              <w:pStyle w:val="TAL"/>
              <w:rPr>
                <w:sz w:val="16"/>
                <w:szCs w:val="16"/>
              </w:rPr>
            </w:pPr>
            <w:r w:rsidRPr="00873B6C">
              <w:rPr>
                <w:sz w:val="16"/>
                <w:szCs w:val="16"/>
              </w:rPr>
              <w:t>SP#92E</w:t>
            </w:r>
          </w:p>
        </w:tc>
        <w:tc>
          <w:tcPr>
            <w:tcW w:w="1094" w:type="dxa"/>
            <w:shd w:val="solid" w:color="FFFFFF" w:fill="auto"/>
          </w:tcPr>
          <w:p w14:paraId="36F4B055" w14:textId="7E900B9A" w:rsidR="00C922CA" w:rsidRPr="00873B6C" w:rsidRDefault="00C922CA" w:rsidP="009D14FB">
            <w:pPr>
              <w:pStyle w:val="TAC"/>
              <w:rPr>
                <w:sz w:val="16"/>
                <w:szCs w:val="16"/>
              </w:rPr>
            </w:pPr>
            <w:r w:rsidRPr="00873B6C">
              <w:rPr>
                <w:sz w:val="16"/>
                <w:szCs w:val="16"/>
              </w:rPr>
              <w:t>SP-210353</w:t>
            </w:r>
          </w:p>
        </w:tc>
        <w:tc>
          <w:tcPr>
            <w:tcW w:w="567" w:type="dxa"/>
            <w:shd w:val="solid" w:color="FFFFFF" w:fill="auto"/>
          </w:tcPr>
          <w:p w14:paraId="641D8CC9" w14:textId="5C68727A" w:rsidR="00C922CA" w:rsidRPr="00873B6C" w:rsidRDefault="00C922CA" w:rsidP="009D14FB">
            <w:pPr>
              <w:pStyle w:val="TAL"/>
              <w:rPr>
                <w:sz w:val="16"/>
                <w:szCs w:val="16"/>
              </w:rPr>
            </w:pPr>
            <w:r w:rsidRPr="00873B6C">
              <w:rPr>
                <w:sz w:val="16"/>
                <w:szCs w:val="16"/>
              </w:rPr>
              <w:t>2562</w:t>
            </w:r>
          </w:p>
        </w:tc>
        <w:tc>
          <w:tcPr>
            <w:tcW w:w="425" w:type="dxa"/>
            <w:shd w:val="solid" w:color="FFFFFF" w:fill="auto"/>
          </w:tcPr>
          <w:p w14:paraId="5CAEE80A" w14:textId="4D4C0A8C" w:rsidR="00C922CA" w:rsidRPr="00873B6C" w:rsidRDefault="00C922CA" w:rsidP="009D14FB">
            <w:pPr>
              <w:pStyle w:val="TAL"/>
              <w:rPr>
                <w:sz w:val="16"/>
                <w:szCs w:val="16"/>
              </w:rPr>
            </w:pPr>
            <w:r w:rsidRPr="00873B6C">
              <w:rPr>
                <w:sz w:val="16"/>
                <w:szCs w:val="16"/>
              </w:rPr>
              <w:t>7</w:t>
            </w:r>
          </w:p>
        </w:tc>
        <w:tc>
          <w:tcPr>
            <w:tcW w:w="425" w:type="dxa"/>
            <w:shd w:val="solid" w:color="FFFFFF" w:fill="auto"/>
          </w:tcPr>
          <w:p w14:paraId="3D08AC7D" w14:textId="47E26CF9" w:rsidR="00C922CA" w:rsidRPr="00873B6C" w:rsidRDefault="00C922CA" w:rsidP="009D14FB">
            <w:pPr>
              <w:pStyle w:val="TAL"/>
              <w:rPr>
                <w:sz w:val="16"/>
                <w:szCs w:val="16"/>
              </w:rPr>
            </w:pPr>
            <w:r w:rsidRPr="00873B6C">
              <w:rPr>
                <w:sz w:val="16"/>
                <w:szCs w:val="16"/>
              </w:rPr>
              <w:t>B</w:t>
            </w:r>
          </w:p>
        </w:tc>
        <w:tc>
          <w:tcPr>
            <w:tcW w:w="4820" w:type="dxa"/>
            <w:shd w:val="solid" w:color="FFFFFF" w:fill="auto"/>
          </w:tcPr>
          <w:p w14:paraId="10CDFD9F" w14:textId="1CBFC6E8" w:rsidR="00C922CA" w:rsidRPr="00873B6C" w:rsidRDefault="00C922CA" w:rsidP="009D14FB">
            <w:pPr>
              <w:pStyle w:val="TAL"/>
              <w:rPr>
                <w:sz w:val="16"/>
                <w:szCs w:val="16"/>
              </w:rPr>
            </w:pPr>
            <w:r w:rsidRPr="00873B6C">
              <w:rPr>
                <w:sz w:val="16"/>
                <w:szCs w:val="16"/>
              </w:rPr>
              <w:t>UE onboarding</w:t>
            </w:r>
          </w:p>
        </w:tc>
        <w:tc>
          <w:tcPr>
            <w:tcW w:w="708" w:type="dxa"/>
            <w:shd w:val="solid" w:color="FFFFFF" w:fill="auto"/>
          </w:tcPr>
          <w:p w14:paraId="498777CE" w14:textId="0F34D98E" w:rsidR="00C922CA" w:rsidRPr="00873B6C" w:rsidRDefault="00C922CA" w:rsidP="009D14FB">
            <w:pPr>
              <w:pStyle w:val="TAC"/>
              <w:rPr>
                <w:sz w:val="16"/>
                <w:szCs w:val="16"/>
              </w:rPr>
            </w:pPr>
            <w:r w:rsidRPr="00873B6C">
              <w:rPr>
                <w:sz w:val="16"/>
                <w:szCs w:val="16"/>
              </w:rPr>
              <w:t>17.1.0</w:t>
            </w:r>
          </w:p>
        </w:tc>
      </w:tr>
      <w:tr w:rsidR="00C922CA" w:rsidRPr="00873B6C" w14:paraId="3181FE2D" w14:textId="77777777" w:rsidTr="009D14FB">
        <w:tc>
          <w:tcPr>
            <w:tcW w:w="800" w:type="dxa"/>
            <w:shd w:val="solid" w:color="FFFFFF" w:fill="auto"/>
          </w:tcPr>
          <w:p w14:paraId="0E09E0B0" w14:textId="6300E00F" w:rsidR="00C922CA" w:rsidRPr="00873B6C" w:rsidRDefault="00C922CA" w:rsidP="009D14FB">
            <w:pPr>
              <w:pStyle w:val="TAC"/>
              <w:rPr>
                <w:sz w:val="16"/>
                <w:szCs w:val="16"/>
              </w:rPr>
            </w:pPr>
            <w:r w:rsidRPr="00873B6C">
              <w:rPr>
                <w:sz w:val="16"/>
                <w:szCs w:val="16"/>
              </w:rPr>
              <w:t>2021-06</w:t>
            </w:r>
          </w:p>
        </w:tc>
        <w:tc>
          <w:tcPr>
            <w:tcW w:w="800" w:type="dxa"/>
            <w:shd w:val="solid" w:color="FFFFFF" w:fill="auto"/>
          </w:tcPr>
          <w:p w14:paraId="2BFD6D7F" w14:textId="33A085E1" w:rsidR="00C922CA" w:rsidRPr="00873B6C" w:rsidRDefault="00C922CA" w:rsidP="009D14FB">
            <w:pPr>
              <w:pStyle w:val="TAL"/>
              <w:rPr>
                <w:sz w:val="16"/>
                <w:szCs w:val="16"/>
              </w:rPr>
            </w:pPr>
            <w:r w:rsidRPr="00873B6C">
              <w:rPr>
                <w:sz w:val="16"/>
                <w:szCs w:val="16"/>
              </w:rPr>
              <w:t>SP#92E</w:t>
            </w:r>
          </w:p>
        </w:tc>
        <w:tc>
          <w:tcPr>
            <w:tcW w:w="1094" w:type="dxa"/>
            <w:shd w:val="solid" w:color="FFFFFF" w:fill="auto"/>
          </w:tcPr>
          <w:p w14:paraId="345E6566" w14:textId="6AC9B35B" w:rsidR="00C922CA" w:rsidRPr="00873B6C" w:rsidRDefault="00C922CA" w:rsidP="009D14FB">
            <w:pPr>
              <w:pStyle w:val="TAC"/>
              <w:rPr>
                <w:sz w:val="16"/>
                <w:szCs w:val="16"/>
              </w:rPr>
            </w:pPr>
            <w:r w:rsidRPr="00873B6C">
              <w:rPr>
                <w:sz w:val="16"/>
                <w:szCs w:val="16"/>
              </w:rPr>
              <w:t>SP-210359</w:t>
            </w:r>
          </w:p>
        </w:tc>
        <w:tc>
          <w:tcPr>
            <w:tcW w:w="567" w:type="dxa"/>
            <w:shd w:val="solid" w:color="FFFFFF" w:fill="auto"/>
          </w:tcPr>
          <w:p w14:paraId="2464BFBD" w14:textId="5CD7314C" w:rsidR="00C922CA" w:rsidRPr="00873B6C" w:rsidRDefault="00C922CA" w:rsidP="009D14FB">
            <w:pPr>
              <w:pStyle w:val="TAL"/>
              <w:rPr>
                <w:sz w:val="16"/>
                <w:szCs w:val="16"/>
              </w:rPr>
            </w:pPr>
            <w:r w:rsidRPr="00873B6C">
              <w:rPr>
                <w:sz w:val="16"/>
                <w:szCs w:val="16"/>
              </w:rPr>
              <w:t>2635</w:t>
            </w:r>
          </w:p>
        </w:tc>
        <w:tc>
          <w:tcPr>
            <w:tcW w:w="425" w:type="dxa"/>
            <w:shd w:val="solid" w:color="FFFFFF" w:fill="auto"/>
          </w:tcPr>
          <w:p w14:paraId="481C8CA7" w14:textId="62024E15" w:rsidR="00C922CA" w:rsidRPr="00873B6C" w:rsidRDefault="00C922CA" w:rsidP="009D14FB">
            <w:pPr>
              <w:pStyle w:val="TAL"/>
              <w:rPr>
                <w:sz w:val="16"/>
                <w:szCs w:val="16"/>
              </w:rPr>
            </w:pPr>
            <w:r w:rsidRPr="00873B6C">
              <w:rPr>
                <w:sz w:val="16"/>
                <w:szCs w:val="16"/>
              </w:rPr>
              <w:t>2</w:t>
            </w:r>
          </w:p>
        </w:tc>
        <w:tc>
          <w:tcPr>
            <w:tcW w:w="425" w:type="dxa"/>
            <w:shd w:val="solid" w:color="FFFFFF" w:fill="auto"/>
          </w:tcPr>
          <w:p w14:paraId="0A4CB817" w14:textId="2AC01C29" w:rsidR="00C922CA" w:rsidRPr="00873B6C" w:rsidRDefault="00C922CA" w:rsidP="009D14FB">
            <w:pPr>
              <w:pStyle w:val="TAL"/>
              <w:rPr>
                <w:sz w:val="16"/>
                <w:szCs w:val="16"/>
              </w:rPr>
            </w:pPr>
            <w:r w:rsidRPr="00873B6C">
              <w:rPr>
                <w:sz w:val="16"/>
                <w:szCs w:val="16"/>
              </w:rPr>
              <w:t>B</w:t>
            </w:r>
          </w:p>
        </w:tc>
        <w:tc>
          <w:tcPr>
            <w:tcW w:w="4820" w:type="dxa"/>
            <w:shd w:val="solid" w:color="FFFFFF" w:fill="auto"/>
          </w:tcPr>
          <w:p w14:paraId="3C3F0087" w14:textId="0BFA8356" w:rsidR="00C922CA" w:rsidRPr="00873B6C" w:rsidRDefault="00C922CA" w:rsidP="009D14FB">
            <w:pPr>
              <w:pStyle w:val="TAL"/>
              <w:rPr>
                <w:sz w:val="16"/>
                <w:szCs w:val="16"/>
              </w:rPr>
            </w:pPr>
            <w:r w:rsidRPr="00873B6C">
              <w:rPr>
                <w:sz w:val="16"/>
                <w:szCs w:val="16"/>
              </w:rPr>
              <w:t>KI #1-1, Update for supporting UL time sync with gPTP message</w:t>
            </w:r>
          </w:p>
        </w:tc>
        <w:tc>
          <w:tcPr>
            <w:tcW w:w="708" w:type="dxa"/>
            <w:shd w:val="solid" w:color="FFFFFF" w:fill="auto"/>
          </w:tcPr>
          <w:p w14:paraId="58042165" w14:textId="3F667ECB" w:rsidR="00C922CA" w:rsidRPr="00873B6C" w:rsidRDefault="00C922CA" w:rsidP="009D14FB">
            <w:pPr>
              <w:pStyle w:val="TAC"/>
              <w:rPr>
                <w:sz w:val="16"/>
                <w:szCs w:val="16"/>
              </w:rPr>
            </w:pPr>
            <w:r w:rsidRPr="00873B6C">
              <w:rPr>
                <w:sz w:val="16"/>
                <w:szCs w:val="16"/>
              </w:rPr>
              <w:t>17.1.0</w:t>
            </w:r>
          </w:p>
        </w:tc>
      </w:tr>
      <w:tr w:rsidR="00C922CA" w:rsidRPr="00873B6C" w14:paraId="305738BD" w14:textId="77777777" w:rsidTr="009D14FB">
        <w:tc>
          <w:tcPr>
            <w:tcW w:w="800" w:type="dxa"/>
            <w:shd w:val="solid" w:color="FFFFFF" w:fill="auto"/>
          </w:tcPr>
          <w:p w14:paraId="602BBDDE" w14:textId="1D28779D" w:rsidR="00C922CA" w:rsidRPr="00873B6C" w:rsidRDefault="00C922CA" w:rsidP="009D14FB">
            <w:pPr>
              <w:pStyle w:val="TAC"/>
              <w:rPr>
                <w:sz w:val="16"/>
                <w:szCs w:val="16"/>
              </w:rPr>
            </w:pPr>
            <w:r w:rsidRPr="00873B6C">
              <w:rPr>
                <w:sz w:val="16"/>
                <w:szCs w:val="16"/>
              </w:rPr>
              <w:t>2021-06</w:t>
            </w:r>
          </w:p>
        </w:tc>
        <w:tc>
          <w:tcPr>
            <w:tcW w:w="800" w:type="dxa"/>
            <w:shd w:val="solid" w:color="FFFFFF" w:fill="auto"/>
          </w:tcPr>
          <w:p w14:paraId="091FC864" w14:textId="34818A6B" w:rsidR="00C922CA" w:rsidRPr="00873B6C" w:rsidRDefault="00C922CA" w:rsidP="009D14FB">
            <w:pPr>
              <w:pStyle w:val="TAL"/>
              <w:rPr>
                <w:sz w:val="16"/>
                <w:szCs w:val="16"/>
              </w:rPr>
            </w:pPr>
            <w:r w:rsidRPr="00873B6C">
              <w:rPr>
                <w:sz w:val="16"/>
                <w:szCs w:val="16"/>
              </w:rPr>
              <w:t>SP#92E</w:t>
            </w:r>
          </w:p>
        </w:tc>
        <w:tc>
          <w:tcPr>
            <w:tcW w:w="1094" w:type="dxa"/>
            <w:shd w:val="solid" w:color="FFFFFF" w:fill="auto"/>
          </w:tcPr>
          <w:p w14:paraId="23575688" w14:textId="2937F2A3" w:rsidR="00C922CA" w:rsidRPr="00873B6C" w:rsidRDefault="00C922CA" w:rsidP="009D14FB">
            <w:pPr>
              <w:pStyle w:val="TAC"/>
              <w:rPr>
                <w:sz w:val="16"/>
                <w:szCs w:val="16"/>
              </w:rPr>
            </w:pPr>
            <w:r w:rsidRPr="00873B6C">
              <w:rPr>
                <w:sz w:val="16"/>
                <w:szCs w:val="16"/>
              </w:rPr>
              <w:t>SP-210345</w:t>
            </w:r>
          </w:p>
        </w:tc>
        <w:tc>
          <w:tcPr>
            <w:tcW w:w="567" w:type="dxa"/>
            <w:shd w:val="solid" w:color="FFFFFF" w:fill="auto"/>
          </w:tcPr>
          <w:p w14:paraId="689F6DB4" w14:textId="2667B3B3" w:rsidR="00C922CA" w:rsidRPr="00873B6C" w:rsidRDefault="00C922CA" w:rsidP="009D14FB">
            <w:pPr>
              <w:pStyle w:val="TAL"/>
              <w:rPr>
                <w:sz w:val="16"/>
                <w:szCs w:val="16"/>
              </w:rPr>
            </w:pPr>
            <w:r w:rsidRPr="00873B6C">
              <w:rPr>
                <w:sz w:val="16"/>
                <w:szCs w:val="16"/>
              </w:rPr>
              <w:t>2647</w:t>
            </w:r>
          </w:p>
        </w:tc>
        <w:tc>
          <w:tcPr>
            <w:tcW w:w="425" w:type="dxa"/>
            <w:shd w:val="solid" w:color="FFFFFF" w:fill="auto"/>
          </w:tcPr>
          <w:p w14:paraId="47408B7A" w14:textId="1D875648" w:rsidR="00C922CA" w:rsidRPr="00873B6C" w:rsidRDefault="00C922CA" w:rsidP="009D14FB">
            <w:pPr>
              <w:pStyle w:val="TAL"/>
              <w:rPr>
                <w:sz w:val="16"/>
                <w:szCs w:val="16"/>
              </w:rPr>
            </w:pPr>
            <w:r w:rsidRPr="00873B6C">
              <w:rPr>
                <w:sz w:val="16"/>
                <w:szCs w:val="16"/>
              </w:rPr>
              <w:t>2</w:t>
            </w:r>
          </w:p>
        </w:tc>
        <w:tc>
          <w:tcPr>
            <w:tcW w:w="425" w:type="dxa"/>
            <w:shd w:val="solid" w:color="FFFFFF" w:fill="auto"/>
          </w:tcPr>
          <w:p w14:paraId="12338F2E" w14:textId="372397AC" w:rsidR="00C922CA" w:rsidRPr="00873B6C" w:rsidRDefault="00C922CA" w:rsidP="009D14FB">
            <w:pPr>
              <w:pStyle w:val="TAL"/>
              <w:rPr>
                <w:sz w:val="16"/>
                <w:szCs w:val="16"/>
              </w:rPr>
            </w:pPr>
            <w:r w:rsidRPr="00873B6C">
              <w:rPr>
                <w:sz w:val="16"/>
                <w:szCs w:val="16"/>
              </w:rPr>
              <w:t>B</w:t>
            </w:r>
          </w:p>
        </w:tc>
        <w:tc>
          <w:tcPr>
            <w:tcW w:w="4820" w:type="dxa"/>
            <w:shd w:val="solid" w:color="FFFFFF" w:fill="auto"/>
          </w:tcPr>
          <w:p w14:paraId="5F08929A" w14:textId="6FB260C9" w:rsidR="00C922CA" w:rsidRPr="00873B6C" w:rsidRDefault="00C922CA" w:rsidP="009D14FB">
            <w:pPr>
              <w:pStyle w:val="TAL"/>
              <w:rPr>
                <w:sz w:val="16"/>
                <w:szCs w:val="16"/>
              </w:rPr>
            </w:pPr>
            <w:r w:rsidRPr="00873B6C">
              <w:rPr>
                <w:sz w:val="16"/>
                <w:szCs w:val="16"/>
              </w:rPr>
              <w:t>PMF extensions for sending UE-assistance data to UPF</w:t>
            </w:r>
          </w:p>
        </w:tc>
        <w:tc>
          <w:tcPr>
            <w:tcW w:w="708" w:type="dxa"/>
            <w:shd w:val="solid" w:color="FFFFFF" w:fill="auto"/>
          </w:tcPr>
          <w:p w14:paraId="66ED154E" w14:textId="14FEDE2F" w:rsidR="00C922CA" w:rsidRPr="00873B6C" w:rsidRDefault="00C922CA" w:rsidP="009D14FB">
            <w:pPr>
              <w:pStyle w:val="TAC"/>
              <w:rPr>
                <w:sz w:val="16"/>
                <w:szCs w:val="16"/>
              </w:rPr>
            </w:pPr>
            <w:r w:rsidRPr="00873B6C">
              <w:rPr>
                <w:sz w:val="16"/>
                <w:szCs w:val="16"/>
              </w:rPr>
              <w:t>17.1.0</w:t>
            </w:r>
          </w:p>
        </w:tc>
      </w:tr>
      <w:tr w:rsidR="008E69B3" w:rsidRPr="00873B6C" w14:paraId="7E11FEA4" w14:textId="77777777" w:rsidTr="009D14FB">
        <w:tc>
          <w:tcPr>
            <w:tcW w:w="800" w:type="dxa"/>
            <w:shd w:val="solid" w:color="FFFFFF" w:fill="auto"/>
          </w:tcPr>
          <w:p w14:paraId="7EF3DA6A" w14:textId="1362CEC5" w:rsidR="008E69B3" w:rsidRPr="00873B6C" w:rsidRDefault="008E69B3" w:rsidP="009D14FB">
            <w:pPr>
              <w:pStyle w:val="TAC"/>
              <w:rPr>
                <w:sz w:val="16"/>
                <w:szCs w:val="16"/>
              </w:rPr>
            </w:pPr>
            <w:r w:rsidRPr="00873B6C">
              <w:rPr>
                <w:sz w:val="16"/>
                <w:szCs w:val="16"/>
              </w:rPr>
              <w:t>2021-06</w:t>
            </w:r>
          </w:p>
        </w:tc>
        <w:tc>
          <w:tcPr>
            <w:tcW w:w="800" w:type="dxa"/>
            <w:shd w:val="solid" w:color="FFFFFF" w:fill="auto"/>
          </w:tcPr>
          <w:p w14:paraId="6C0F0B57" w14:textId="50A31257" w:rsidR="008E69B3" w:rsidRPr="00873B6C" w:rsidRDefault="008E69B3" w:rsidP="009D14FB">
            <w:pPr>
              <w:pStyle w:val="TAL"/>
              <w:rPr>
                <w:sz w:val="16"/>
                <w:szCs w:val="16"/>
              </w:rPr>
            </w:pPr>
            <w:r w:rsidRPr="00873B6C">
              <w:rPr>
                <w:sz w:val="16"/>
                <w:szCs w:val="16"/>
              </w:rPr>
              <w:t>SP#92E</w:t>
            </w:r>
          </w:p>
        </w:tc>
        <w:tc>
          <w:tcPr>
            <w:tcW w:w="1094" w:type="dxa"/>
            <w:shd w:val="solid" w:color="FFFFFF" w:fill="auto"/>
          </w:tcPr>
          <w:p w14:paraId="18330C1B" w14:textId="51D5EE2A" w:rsidR="008E69B3" w:rsidRPr="00873B6C" w:rsidRDefault="008E69B3" w:rsidP="009D14FB">
            <w:pPr>
              <w:pStyle w:val="TAC"/>
              <w:rPr>
                <w:sz w:val="16"/>
                <w:szCs w:val="16"/>
              </w:rPr>
            </w:pPr>
            <w:r w:rsidRPr="00873B6C">
              <w:rPr>
                <w:sz w:val="16"/>
                <w:szCs w:val="16"/>
              </w:rPr>
              <w:t>SP-210354</w:t>
            </w:r>
          </w:p>
        </w:tc>
        <w:tc>
          <w:tcPr>
            <w:tcW w:w="567" w:type="dxa"/>
            <w:shd w:val="solid" w:color="FFFFFF" w:fill="auto"/>
          </w:tcPr>
          <w:p w14:paraId="79643941" w14:textId="782686EC" w:rsidR="008E69B3" w:rsidRPr="00873B6C" w:rsidRDefault="008E69B3" w:rsidP="009D14FB">
            <w:pPr>
              <w:pStyle w:val="TAL"/>
              <w:rPr>
                <w:sz w:val="16"/>
                <w:szCs w:val="16"/>
              </w:rPr>
            </w:pPr>
            <w:r w:rsidRPr="00873B6C">
              <w:rPr>
                <w:sz w:val="16"/>
                <w:szCs w:val="16"/>
              </w:rPr>
              <w:t>2649</w:t>
            </w:r>
          </w:p>
        </w:tc>
        <w:tc>
          <w:tcPr>
            <w:tcW w:w="425" w:type="dxa"/>
            <w:shd w:val="solid" w:color="FFFFFF" w:fill="auto"/>
          </w:tcPr>
          <w:p w14:paraId="14F55D77" w14:textId="692B5A0A" w:rsidR="008E69B3" w:rsidRPr="00873B6C" w:rsidRDefault="008E69B3" w:rsidP="009D14FB">
            <w:pPr>
              <w:pStyle w:val="TAL"/>
              <w:rPr>
                <w:sz w:val="16"/>
                <w:szCs w:val="16"/>
              </w:rPr>
            </w:pPr>
            <w:r w:rsidRPr="00873B6C">
              <w:rPr>
                <w:sz w:val="16"/>
                <w:szCs w:val="16"/>
              </w:rPr>
              <w:t>3</w:t>
            </w:r>
          </w:p>
        </w:tc>
        <w:tc>
          <w:tcPr>
            <w:tcW w:w="425" w:type="dxa"/>
            <w:shd w:val="solid" w:color="FFFFFF" w:fill="auto"/>
          </w:tcPr>
          <w:p w14:paraId="240F529B" w14:textId="4C3D64A9" w:rsidR="008E69B3" w:rsidRPr="00873B6C" w:rsidRDefault="008E69B3" w:rsidP="009D14FB">
            <w:pPr>
              <w:pStyle w:val="TAL"/>
              <w:rPr>
                <w:sz w:val="16"/>
                <w:szCs w:val="16"/>
              </w:rPr>
            </w:pPr>
            <w:r w:rsidRPr="00873B6C">
              <w:rPr>
                <w:sz w:val="16"/>
                <w:szCs w:val="16"/>
              </w:rPr>
              <w:t>C</w:t>
            </w:r>
          </w:p>
        </w:tc>
        <w:tc>
          <w:tcPr>
            <w:tcW w:w="4820" w:type="dxa"/>
            <w:shd w:val="solid" w:color="FFFFFF" w:fill="auto"/>
          </w:tcPr>
          <w:p w14:paraId="7AE0DCDF" w14:textId="6FE2D2DC" w:rsidR="008E69B3" w:rsidRPr="00873B6C" w:rsidRDefault="008E69B3" w:rsidP="009D14FB">
            <w:pPr>
              <w:pStyle w:val="TAL"/>
              <w:rPr>
                <w:sz w:val="16"/>
                <w:szCs w:val="16"/>
              </w:rPr>
            </w:pPr>
            <w:r w:rsidRPr="00873B6C">
              <w:rPr>
                <w:sz w:val="16"/>
                <w:szCs w:val="16"/>
              </w:rPr>
              <w:t>Support for IMS emergency services over SNPN</w:t>
            </w:r>
          </w:p>
        </w:tc>
        <w:tc>
          <w:tcPr>
            <w:tcW w:w="708" w:type="dxa"/>
            <w:shd w:val="solid" w:color="FFFFFF" w:fill="auto"/>
          </w:tcPr>
          <w:p w14:paraId="1F864BAD" w14:textId="396A7613" w:rsidR="008E69B3" w:rsidRPr="00873B6C" w:rsidRDefault="008E69B3" w:rsidP="009D14FB">
            <w:pPr>
              <w:pStyle w:val="TAC"/>
              <w:rPr>
                <w:sz w:val="16"/>
                <w:szCs w:val="16"/>
              </w:rPr>
            </w:pPr>
            <w:r w:rsidRPr="00873B6C">
              <w:rPr>
                <w:sz w:val="16"/>
                <w:szCs w:val="16"/>
              </w:rPr>
              <w:t>17.1.0</w:t>
            </w:r>
          </w:p>
        </w:tc>
      </w:tr>
      <w:tr w:rsidR="008E69B3" w:rsidRPr="00873B6C" w14:paraId="06576AC0" w14:textId="77777777" w:rsidTr="009D14FB">
        <w:tc>
          <w:tcPr>
            <w:tcW w:w="800" w:type="dxa"/>
            <w:shd w:val="solid" w:color="FFFFFF" w:fill="auto"/>
          </w:tcPr>
          <w:p w14:paraId="18191E39" w14:textId="62A6F887" w:rsidR="008E69B3" w:rsidRPr="00873B6C" w:rsidRDefault="008E69B3" w:rsidP="009D14FB">
            <w:pPr>
              <w:pStyle w:val="TAC"/>
              <w:rPr>
                <w:sz w:val="16"/>
                <w:szCs w:val="16"/>
              </w:rPr>
            </w:pPr>
            <w:r w:rsidRPr="00873B6C">
              <w:rPr>
                <w:sz w:val="16"/>
                <w:szCs w:val="16"/>
              </w:rPr>
              <w:t>2021-06</w:t>
            </w:r>
          </w:p>
        </w:tc>
        <w:tc>
          <w:tcPr>
            <w:tcW w:w="800" w:type="dxa"/>
            <w:shd w:val="solid" w:color="FFFFFF" w:fill="auto"/>
          </w:tcPr>
          <w:p w14:paraId="16A9333F" w14:textId="3A993666" w:rsidR="008E69B3" w:rsidRPr="00873B6C" w:rsidRDefault="008E69B3" w:rsidP="009D14FB">
            <w:pPr>
              <w:pStyle w:val="TAL"/>
              <w:rPr>
                <w:sz w:val="16"/>
                <w:szCs w:val="16"/>
              </w:rPr>
            </w:pPr>
            <w:r w:rsidRPr="00873B6C">
              <w:rPr>
                <w:sz w:val="16"/>
                <w:szCs w:val="16"/>
              </w:rPr>
              <w:t>SP#92E</w:t>
            </w:r>
          </w:p>
        </w:tc>
        <w:tc>
          <w:tcPr>
            <w:tcW w:w="1094" w:type="dxa"/>
            <w:shd w:val="solid" w:color="FFFFFF" w:fill="auto"/>
          </w:tcPr>
          <w:p w14:paraId="741FB6C0" w14:textId="31857462" w:rsidR="008E69B3" w:rsidRPr="00873B6C" w:rsidRDefault="008E69B3" w:rsidP="009D14FB">
            <w:pPr>
              <w:pStyle w:val="TAC"/>
              <w:rPr>
                <w:sz w:val="16"/>
                <w:szCs w:val="16"/>
              </w:rPr>
            </w:pPr>
            <w:r w:rsidRPr="00873B6C">
              <w:rPr>
                <w:sz w:val="16"/>
                <w:szCs w:val="16"/>
              </w:rPr>
              <w:t>SP-210355</w:t>
            </w:r>
          </w:p>
        </w:tc>
        <w:tc>
          <w:tcPr>
            <w:tcW w:w="567" w:type="dxa"/>
            <w:shd w:val="solid" w:color="FFFFFF" w:fill="auto"/>
          </w:tcPr>
          <w:p w14:paraId="7FB2CCCC" w14:textId="4D21632E" w:rsidR="008E69B3" w:rsidRPr="00873B6C" w:rsidRDefault="008E69B3" w:rsidP="009D14FB">
            <w:pPr>
              <w:pStyle w:val="TAL"/>
              <w:rPr>
                <w:sz w:val="16"/>
                <w:szCs w:val="16"/>
              </w:rPr>
            </w:pPr>
            <w:r w:rsidRPr="00873B6C">
              <w:rPr>
                <w:sz w:val="16"/>
                <w:szCs w:val="16"/>
              </w:rPr>
              <w:t>2680</w:t>
            </w:r>
          </w:p>
        </w:tc>
        <w:tc>
          <w:tcPr>
            <w:tcW w:w="425" w:type="dxa"/>
            <w:shd w:val="solid" w:color="FFFFFF" w:fill="auto"/>
          </w:tcPr>
          <w:p w14:paraId="0967A16D" w14:textId="70CFDF67" w:rsidR="008E69B3" w:rsidRPr="00873B6C" w:rsidRDefault="008E69B3" w:rsidP="009D14FB">
            <w:pPr>
              <w:pStyle w:val="TAL"/>
              <w:rPr>
                <w:sz w:val="16"/>
                <w:szCs w:val="16"/>
              </w:rPr>
            </w:pPr>
            <w:r w:rsidRPr="00873B6C">
              <w:rPr>
                <w:sz w:val="16"/>
                <w:szCs w:val="16"/>
              </w:rPr>
              <w:t>3</w:t>
            </w:r>
          </w:p>
        </w:tc>
        <w:tc>
          <w:tcPr>
            <w:tcW w:w="425" w:type="dxa"/>
            <w:shd w:val="solid" w:color="FFFFFF" w:fill="auto"/>
          </w:tcPr>
          <w:p w14:paraId="67A89B0D" w14:textId="16340D50" w:rsidR="008E69B3" w:rsidRPr="00873B6C" w:rsidRDefault="008E69B3" w:rsidP="009D14FB">
            <w:pPr>
              <w:pStyle w:val="TAL"/>
              <w:rPr>
                <w:sz w:val="16"/>
                <w:szCs w:val="16"/>
              </w:rPr>
            </w:pPr>
            <w:r w:rsidRPr="00873B6C">
              <w:rPr>
                <w:sz w:val="16"/>
                <w:szCs w:val="16"/>
              </w:rPr>
              <w:t>B</w:t>
            </w:r>
          </w:p>
        </w:tc>
        <w:tc>
          <w:tcPr>
            <w:tcW w:w="4820" w:type="dxa"/>
            <w:shd w:val="solid" w:color="FFFFFF" w:fill="auto"/>
          </w:tcPr>
          <w:p w14:paraId="4A51345D" w14:textId="2B9131BD" w:rsidR="008E69B3" w:rsidRPr="00873B6C" w:rsidRDefault="008E69B3" w:rsidP="009D14FB">
            <w:pPr>
              <w:pStyle w:val="TAL"/>
              <w:rPr>
                <w:sz w:val="16"/>
                <w:szCs w:val="16"/>
              </w:rPr>
            </w:pPr>
            <w:r w:rsidRPr="00873B6C">
              <w:rPr>
                <w:sz w:val="16"/>
                <w:szCs w:val="16"/>
              </w:rPr>
              <w:t>TS23.501 KI#2 Network Slice Admission Control Function (NSACF) definition</w:t>
            </w:r>
          </w:p>
        </w:tc>
        <w:tc>
          <w:tcPr>
            <w:tcW w:w="708" w:type="dxa"/>
            <w:shd w:val="solid" w:color="FFFFFF" w:fill="auto"/>
          </w:tcPr>
          <w:p w14:paraId="2852AA2E" w14:textId="6877AB59" w:rsidR="008E69B3" w:rsidRPr="00873B6C" w:rsidRDefault="008E69B3" w:rsidP="009D14FB">
            <w:pPr>
              <w:pStyle w:val="TAC"/>
              <w:rPr>
                <w:sz w:val="16"/>
                <w:szCs w:val="16"/>
              </w:rPr>
            </w:pPr>
            <w:r w:rsidRPr="00873B6C">
              <w:rPr>
                <w:sz w:val="16"/>
                <w:szCs w:val="16"/>
              </w:rPr>
              <w:t>17.1.0</w:t>
            </w:r>
          </w:p>
        </w:tc>
      </w:tr>
      <w:tr w:rsidR="00607A94" w:rsidRPr="00873B6C" w14:paraId="766C3EA5" w14:textId="77777777" w:rsidTr="009D14FB">
        <w:tc>
          <w:tcPr>
            <w:tcW w:w="800" w:type="dxa"/>
            <w:shd w:val="solid" w:color="FFFFFF" w:fill="auto"/>
          </w:tcPr>
          <w:p w14:paraId="0AC9EC6E" w14:textId="31AC3FD8"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7F7FDCAC" w14:textId="381A1DB5"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6741B2D6" w14:textId="29E4CD99" w:rsidR="00607A94" w:rsidRPr="00873B6C" w:rsidRDefault="00607A94" w:rsidP="009D14FB">
            <w:pPr>
              <w:pStyle w:val="TAC"/>
              <w:rPr>
                <w:sz w:val="16"/>
                <w:szCs w:val="16"/>
              </w:rPr>
            </w:pPr>
            <w:r w:rsidRPr="00873B6C">
              <w:rPr>
                <w:sz w:val="16"/>
                <w:szCs w:val="16"/>
              </w:rPr>
              <w:t>SP-210344</w:t>
            </w:r>
          </w:p>
        </w:tc>
        <w:tc>
          <w:tcPr>
            <w:tcW w:w="567" w:type="dxa"/>
            <w:shd w:val="solid" w:color="FFFFFF" w:fill="auto"/>
          </w:tcPr>
          <w:p w14:paraId="5E769B6D" w14:textId="213DD352" w:rsidR="00607A94" w:rsidRPr="00873B6C" w:rsidRDefault="00607A94" w:rsidP="009D14FB">
            <w:pPr>
              <w:pStyle w:val="TAL"/>
              <w:rPr>
                <w:sz w:val="16"/>
                <w:szCs w:val="16"/>
              </w:rPr>
            </w:pPr>
            <w:r w:rsidRPr="00873B6C">
              <w:rPr>
                <w:sz w:val="16"/>
                <w:szCs w:val="16"/>
              </w:rPr>
              <w:t>2689</w:t>
            </w:r>
          </w:p>
        </w:tc>
        <w:tc>
          <w:tcPr>
            <w:tcW w:w="425" w:type="dxa"/>
            <w:shd w:val="solid" w:color="FFFFFF" w:fill="auto"/>
          </w:tcPr>
          <w:p w14:paraId="07357CB8" w14:textId="53D3F8D5" w:rsidR="00607A94" w:rsidRPr="00873B6C" w:rsidRDefault="00607A94" w:rsidP="009D14FB">
            <w:pPr>
              <w:pStyle w:val="TAL"/>
              <w:rPr>
                <w:sz w:val="16"/>
                <w:szCs w:val="16"/>
              </w:rPr>
            </w:pPr>
            <w:r w:rsidRPr="00873B6C">
              <w:rPr>
                <w:sz w:val="16"/>
                <w:szCs w:val="16"/>
              </w:rPr>
              <w:t>2</w:t>
            </w:r>
          </w:p>
        </w:tc>
        <w:tc>
          <w:tcPr>
            <w:tcW w:w="425" w:type="dxa"/>
            <w:shd w:val="solid" w:color="FFFFFF" w:fill="auto"/>
          </w:tcPr>
          <w:p w14:paraId="29FE4356" w14:textId="77479D13" w:rsidR="00607A94" w:rsidRPr="00873B6C" w:rsidRDefault="00607A94" w:rsidP="009D14FB">
            <w:pPr>
              <w:pStyle w:val="TAL"/>
              <w:rPr>
                <w:sz w:val="16"/>
                <w:szCs w:val="16"/>
              </w:rPr>
            </w:pPr>
            <w:r w:rsidRPr="00873B6C">
              <w:rPr>
                <w:sz w:val="16"/>
                <w:szCs w:val="16"/>
              </w:rPr>
              <w:t>B</w:t>
            </w:r>
          </w:p>
        </w:tc>
        <w:tc>
          <w:tcPr>
            <w:tcW w:w="4820" w:type="dxa"/>
            <w:shd w:val="solid" w:color="FFFFFF" w:fill="auto"/>
          </w:tcPr>
          <w:p w14:paraId="1A69FF54" w14:textId="6F9700BC" w:rsidR="00607A94" w:rsidRPr="00873B6C" w:rsidRDefault="00607A94" w:rsidP="009D14FB">
            <w:pPr>
              <w:pStyle w:val="TAL"/>
              <w:rPr>
                <w:sz w:val="16"/>
                <w:szCs w:val="16"/>
              </w:rPr>
            </w:pPr>
            <w:r w:rsidRPr="00873B6C">
              <w:rPr>
                <w:sz w:val="16"/>
                <w:szCs w:val="16"/>
              </w:rPr>
              <w:t>5MBS architecture</w:t>
            </w:r>
          </w:p>
        </w:tc>
        <w:tc>
          <w:tcPr>
            <w:tcW w:w="708" w:type="dxa"/>
            <w:shd w:val="solid" w:color="FFFFFF" w:fill="auto"/>
          </w:tcPr>
          <w:p w14:paraId="6F74FF1F" w14:textId="250F9E39" w:rsidR="00607A94" w:rsidRPr="00873B6C" w:rsidRDefault="00607A94" w:rsidP="009D14FB">
            <w:pPr>
              <w:pStyle w:val="TAC"/>
              <w:rPr>
                <w:sz w:val="16"/>
                <w:szCs w:val="16"/>
              </w:rPr>
            </w:pPr>
            <w:r w:rsidRPr="00873B6C">
              <w:rPr>
                <w:sz w:val="16"/>
                <w:szCs w:val="16"/>
              </w:rPr>
              <w:t>17.1.0</w:t>
            </w:r>
          </w:p>
        </w:tc>
      </w:tr>
      <w:tr w:rsidR="00607A94" w:rsidRPr="00873B6C" w14:paraId="679871AA" w14:textId="77777777" w:rsidTr="009D14FB">
        <w:tc>
          <w:tcPr>
            <w:tcW w:w="800" w:type="dxa"/>
            <w:shd w:val="solid" w:color="FFFFFF" w:fill="auto"/>
          </w:tcPr>
          <w:p w14:paraId="19A89459" w14:textId="5E4D872F"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734FCCAE" w14:textId="5F47FCA6"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576C31CF" w14:textId="6EDE6343" w:rsidR="00607A94" w:rsidRPr="00873B6C" w:rsidRDefault="00607A94" w:rsidP="009D14FB">
            <w:pPr>
              <w:pStyle w:val="TAC"/>
              <w:rPr>
                <w:sz w:val="16"/>
                <w:szCs w:val="16"/>
              </w:rPr>
            </w:pPr>
            <w:r w:rsidRPr="00873B6C">
              <w:rPr>
                <w:sz w:val="16"/>
                <w:szCs w:val="16"/>
              </w:rPr>
              <w:t>SP-210359</w:t>
            </w:r>
          </w:p>
        </w:tc>
        <w:tc>
          <w:tcPr>
            <w:tcW w:w="567" w:type="dxa"/>
            <w:shd w:val="solid" w:color="FFFFFF" w:fill="auto"/>
          </w:tcPr>
          <w:p w14:paraId="6CBFC31D" w14:textId="2548E69B" w:rsidR="00607A94" w:rsidRPr="00873B6C" w:rsidRDefault="00607A94" w:rsidP="009D14FB">
            <w:pPr>
              <w:pStyle w:val="TAL"/>
              <w:rPr>
                <w:sz w:val="16"/>
                <w:szCs w:val="16"/>
              </w:rPr>
            </w:pPr>
            <w:r w:rsidRPr="00873B6C">
              <w:rPr>
                <w:sz w:val="16"/>
                <w:szCs w:val="16"/>
              </w:rPr>
              <w:t>2690</w:t>
            </w:r>
          </w:p>
        </w:tc>
        <w:tc>
          <w:tcPr>
            <w:tcW w:w="425" w:type="dxa"/>
            <w:shd w:val="solid" w:color="FFFFFF" w:fill="auto"/>
          </w:tcPr>
          <w:p w14:paraId="13AD257A" w14:textId="017B9CA6" w:rsidR="00607A94" w:rsidRPr="00873B6C" w:rsidRDefault="00607A94" w:rsidP="009D14FB">
            <w:pPr>
              <w:pStyle w:val="TAL"/>
              <w:rPr>
                <w:sz w:val="16"/>
                <w:szCs w:val="16"/>
              </w:rPr>
            </w:pPr>
            <w:r w:rsidRPr="00873B6C">
              <w:rPr>
                <w:sz w:val="16"/>
                <w:szCs w:val="16"/>
              </w:rPr>
              <w:t>3</w:t>
            </w:r>
          </w:p>
        </w:tc>
        <w:tc>
          <w:tcPr>
            <w:tcW w:w="425" w:type="dxa"/>
            <w:shd w:val="solid" w:color="FFFFFF" w:fill="auto"/>
          </w:tcPr>
          <w:p w14:paraId="74836932" w14:textId="5B2A7559" w:rsidR="00607A94" w:rsidRPr="00873B6C" w:rsidRDefault="00607A94" w:rsidP="009D14FB">
            <w:pPr>
              <w:pStyle w:val="TAL"/>
              <w:rPr>
                <w:sz w:val="16"/>
                <w:szCs w:val="16"/>
              </w:rPr>
            </w:pPr>
            <w:r w:rsidRPr="00873B6C">
              <w:rPr>
                <w:sz w:val="16"/>
                <w:szCs w:val="16"/>
              </w:rPr>
              <w:t>B</w:t>
            </w:r>
          </w:p>
        </w:tc>
        <w:tc>
          <w:tcPr>
            <w:tcW w:w="4820" w:type="dxa"/>
            <w:shd w:val="solid" w:color="FFFFFF" w:fill="auto"/>
          </w:tcPr>
          <w:p w14:paraId="7067A5FC" w14:textId="0E22FA06" w:rsidR="00607A94" w:rsidRPr="00873B6C" w:rsidRDefault="00607A94" w:rsidP="009D14FB">
            <w:pPr>
              <w:pStyle w:val="TAL"/>
              <w:rPr>
                <w:sz w:val="16"/>
                <w:szCs w:val="16"/>
              </w:rPr>
            </w:pPr>
            <w:r w:rsidRPr="00873B6C">
              <w:rPr>
                <w:sz w:val="16"/>
                <w:szCs w:val="16"/>
              </w:rPr>
              <w:t>Support for IEEE 1588 Boundary Clocks in time synchronization service</w:t>
            </w:r>
          </w:p>
        </w:tc>
        <w:tc>
          <w:tcPr>
            <w:tcW w:w="708" w:type="dxa"/>
            <w:shd w:val="solid" w:color="FFFFFF" w:fill="auto"/>
          </w:tcPr>
          <w:p w14:paraId="5357BA71" w14:textId="761956BB" w:rsidR="00607A94" w:rsidRPr="00873B6C" w:rsidRDefault="00607A94" w:rsidP="009D14FB">
            <w:pPr>
              <w:pStyle w:val="TAC"/>
              <w:rPr>
                <w:sz w:val="16"/>
                <w:szCs w:val="16"/>
              </w:rPr>
            </w:pPr>
            <w:r w:rsidRPr="00873B6C">
              <w:rPr>
                <w:sz w:val="16"/>
                <w:szCs w:val="16"/>
              </w:rPr>
              <w:t>17.1.0</w:t>
            </w:r>
          </w:p>
        </w:tc>
      </w:tr>
      <w:tr w:rsidR="00607A94" w:rsidRPr="00873B6C" w14:paraId="2555C561" w14:textId="77777777" w:rsidTr="009D14FB">
        <w:tc>
          <w:tcPr>
            <w:tcW w:w="800" w:type="dxa"/>
            <w:shd w:val="solid" w:color="FFFFFF" w:fill="auto"/>
          </w:tcPr>
          <w:p w14:paraId="1B74AF5E" w14:textId="6681F367"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66786790" w14:textId="2263961B"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3429E4EB" w14:textId="1D5ACEFE" w:rsidR="00607A94" w:rsidRPr="00873B6C" w:rsidRDefault="00607A94" w:rsidP="009D14FB">
            <w:pPr>
              <w:pStyle w:val="TAC"/>
              <w:rPr>
                <w:sz w:val="16"/>
                <w:szCs w:val="16"/>
              </w:rPr>
            </w:pPr>
            <w:r w:rsidRPr="00873B6C">
              <w:rPr>
                <w:sz w:val="16"/>
                <w:szCs w:val="16"/>
              </w:rPr>
              <w:t>SP-210346</w:t>
            </w:r>
          </w:p>
        </w:tc>
        <w:tc>
          <w:tcPr>
            <w:tcW w:w="567" w:type="dxa"/>
            <w:shd w:val="solid" w:color="FFFFFF" w:fill="auto"/>
          </w:tcPr>
          <w:p w14:paraId="463FCA89" w14:textId="776610D2" w:rsidR="00607A94" w:rsidRPr="00873B6C" w:rsidRDefault="00607A94" w:rsidP="009D14FB">
            <w:pPr>
              <w:pStyle w:val="TAL"/>
              <w:rPr>
                <w:sz w:val="16"/>
                <w:szCs w:val="16"/>
              </w:rPr>
            </w:pPr>
            <w:r w:rsidRPr="00873B6C">
              <w:rPr>
                <w:sz w:val="16"/>
                <w:szCs w:val="16"/>
              </w:rPr>
              <w:t>2691</w:t>
            </w:r>
          </w:p>
        </w:tc>
        <w:tc>
          <w:tcPr>
            <w:tcW w:w="425" w:type="dxa"/>
            <w:shd w:val="solid" w:color="FFFFFF" w:fill="auto"/>
          </w:tcPr>
          <w:p w14:paraId="1849C855" w14:textId="19B701CE" w:rsidR="00607A94" w:rsidRPr="00873B6C" w:rsidRDefault="00607A94" w:rsidP="009D14FB">
            <w:pPr>
              <w:pStyle w:val="TAL"/>
              <w:rPr>
                <w:sz w:val="16"/>
                <w:szCs w:val="16"/>
              </w:rPr>
            </w:pPr>
            <w:r w:rsidRPr="00873B6C">
              <w:rPr>
                <w:sz w:val="16"/>
                <w:szCs w:val="16"/>
              </w:rPr>
              <w:t>1</w:t>
            </w:r>
          </w:p>
        </w:tc>
        <w:tc>
          <w:tcPr>
            <w:tcW w:w="425" w:type="dxa"/>
            <w:shd w:val="solid" w:color="FFFFFF" w:fill="auto"/>
          </w:tcPr>
          <w:p w14:paraId="61972132" w14:textId="7CD4C3EE" w:rsidR="00607A94" w:rsidRPr="00873B6C" w:rsidRDefault="00607A94" w:rsidP="009D14FB">
            <w:pPr>
              <w:pStyle w:val="TAL"/>
              <w:rPr>
                <w:sz w:val="16"/>
                <w:szCs w:val="16"/>
              </w:rPr>
            </w:pPr>
            <w:r w:rsidRPr="00873B6C">
              <w:rPr>
                <w:sz w:val="16"/>
                <w:szCs w:val="16"/>
              </w:rPr>
              <w:t>B</w:t>
            </w:r>
          </w:p>
        </w:tc>
        <w:tc>
          <w:tcPr>
            <w:tcW w:w="4820" w:type="dxa"/>
            <w:shd w:val="solid" w:color="FFFFFF" w:fill="auto"/>
          </w:tcPr>
          <w:p w14:paraId="7DE15D77" w14:textId="480314B7" w:rsidR="00607A94" w:rsidRPr="00873B6C" w:rsidRDefault="00607A94" w:rsidP="009D14FB">
            <w:pPr>
              <w:pStyle w:val="TAL"/>
              <w:rPr>
                <w:sz w:val="16"/>
                <w:szCs w:val="16"/>
              </w:rPr>
            </w:pPr>
            <w:r w:rsidRPr="00873B6C">
              <w:rPr>
                <w:sz w:val="16"/>
                <w:szCs w:val="16"/>
              </w:rPr>
              <w:t xml:space="preserve">Support for L2TP on N6 </w:t>
            </w:r>
          </w:p>
        </w:tc>
        <w:tc>
          <w:tcPr>
            <w:tcW w:w="708" w:type="dxa"/>
            <w:shd w:val="solid" w:color="FFFFFF" w:fill="auto"/>
          </w:tcPr>
          <w:p w14:paraId="49CBAA6C" w14:textId="2F7D5CCF" w:rsidR="00607A94" w:rsidRPr="00873B6C" w:rsidRDefault="00607A94" w:rsidP="009D14FB">
            <w:pPr>
              <w:pStyle w:val="TAC"/>
              <w:rPr>
                <w:sz w:val="16"/>
                <w:szCs w:val="16"/>
              </w:rPr>
            </w:pPr>
            <w:r w:rsidRPr="00873B6C">
              <w:rPr>
                <w:sz w:val="16"/>
                <w:szCs w:val="16"/>
              </w:rPr>
              <w:t>17.1.0</w:t>
            </w:r>
          </w:p>
        </w:tc>
      </w:tr>
      <w:tr w:rsidR="00607A94" w:rsidRPr="00873B6C" w14:paraId="353F5004" w14:textId="77777777" w:rsidTr="009D14FB">
        <w:tc>
          <w:tcPr>
            <w:tcW w:w="800" w:type="dxa"/>
            <w:shd w:val="solid" w:color="FFFFFF" w:fill="auto"/>
          </w:tcPr>
          <w:p w14:paraId="3B9405C7" w14:textId="58ED7F65"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38AE835A" w14:textId="2A3D2CA5"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19F1E84B" w14:textId="14FDBE2B" w:rsidR="00607A94" w:rsidRPr="00873B6C" w:rsidRDefault="00607A94" w:rsidP="009D14FB">
            <w:pPr>
              <w:pStyle w:val="TAC"/>
              <w:rPr>
                <w:sz w:val="16"/>
                <w:szCs w:val="16"/>
              </w:rPr>
            </w:pPr>
            <w:r w:rsidRPr="00873B6C">
              <w:rPr>
                <w:sz w:val="16"/>
                <w:szCs w:val="16"/>
              </w:rPr>
              <w:t>SP-210342</w:t>
            </w:r>
          </w:p>
        </w:tc>
        <w:tc>
          <w:tcPr>
            <w:tcW w:w="567" w:type="dxa"/>
            <w:shd w:val="solid" w:color="FFFFFF" w:fill="auto"/>
          </w:tcPr>
          <w:p w14:paraId="70693B7E" w14:textId="0965F11C" w:rsidR="00607A94" w:rsidRPr="00873B6C" w:rsidRDefault="00607A94" w:rsidP="009D14FB">
            <w:pPr>
              <w:pStyle w:val="TAL"/>
              <w:rPr>
                <w:sz w:val="16"/>
                <w:szCs w:val="16"/>
              </w:rPr>
            </w:pPr>
            <w:r w:rsidRPr="00873B6C">
              <w:rPr>
                <w:sz w:val="16"/>
                <w:szCs w:val="16"/>
              </w:rPr>
              <w:t>2693</w:t>
            </w:r>
          </w:p>
        </w:tc>
        <w:tc>
          <w:tcPr>
            <w:tcW w:w="425" w:type="dxa"/>
            <w:shd w:val="solid" w:color="FFFFFF" w:fill="auto"/>
          </w:tcPr>
          <w:p w14:paraId="101C3E19" w14:textId="64C84147" w:rsidR="00607A94" w:rsidRPr="00873B6C" w:rsidRDefault="00607A94" w:rsidP="009D14FB">
            <w:pPr>
              <w:pStyle w:val="TAL"/>
              <w:rPr>
                <w:sz w:val="16"/>
                <w:szCs w:val="16"/>
              </w:rPr>
            </w:pPr>
            <w:r w:rsidRPr="00873B6C">
              <w:rPr>
                <w:sz w:val="16"/>
                <w:szCs w:val="16"/>
              </w:rPr>
              <w:t>1</w:t>
            </w:r>
          </w:p>
        </w:tc>
        <w:tc>
          <w:tcPr>
            <w:tcW w:w="425" w:type="dxa"/>
            <w:shd w:val="solid" w:color="FFFFFF" w:fill="auto"/>
          </w:tcPr>
          <w:p w14:paraId="2686F929" w14:textId="69B55087" w:rsidR="00607A94" w:rsidRPr="00873B6C" w:rsidRDefault="00607A94" w:rsidP="009D14FB">
            <w:pPr>
              <w:pStyle w:val="TAL"/>
              <w:rPr>
                <w:sz w:val="16"/>
                <w:szCs w:val="16"/>
              </w:rPr>
            </w:pPr>
            <w:r w:rsidRPr="00873B6C">
              <w:rPr>
                <w:sz w:val="16"/>
                <w:szCs w:val="16"/>
              </w:rPr>
              <w:t>C</w:t>
            </w:r>
          </w:p>
        </w:tc>
        <w:tc>
          <w:tcPr>
            <w:tcW w:w="4820" w:type="dxa"/>
            <w:shd w:val="solid" w:color="FFFFFF" w:fill="auto"/>
          </w:tcPr>
          <w:p w14:paraId="23115697" w14:textId="6CE12963" w:rsidR="00607A94" w:rsidRPr="00873B6C" w:rsidRDefault="00607A94" w:rsidP="009D14FB">
            <w:pPr>
              <w:pStyle w:val="TAL"/>
              <w:rPr>
                <w:sz w:val="16"/>
                <w:szCs w:val="16"/>
              </w:rPr>
            </w:pPr>
            <w:r w:rsidRPr="00873B6C">
              <w:rPr>
                <w:sz w:val="16"/>
                <w:szCs w:val="16"/>
              </w:rPr>
              <w:t>UE location verification for NR satellite access</w:t>
            </w:r>
          </w:p>
        </w:tc>
        <w:tc>
          <w:tcPr>
            <w:tcW w:w="708" w:type="dxa"/>
            <w:shd w:val="solid" w:color="FFFFFF" w:fill="auto"/>
          </w:tcPr>
          <w:p w14:paraId="6B339746" w14:textId="4F71C28A" w:rsidR="00607A94" w:rsidRPr="00873B6C" w:rsidRDefault="00607A94" w:rsidP="009D14FB">
            <w:pPr>
              <w:pStyle w:val="TAC"/>
              <w:rPr>
                <w:sz w:val="16"/>
                <w:szCs w:val="16"/>
              </w:rPr>
            </w:pPr>
            <w:r w:rsidRPr="00873B6C">
              <w:rPr>
                <w:sz w:val="16"/>
                <w:szCs w:val="16"/>
              </w:rPr>
              <w:t>17.1.0</w:t>
            </w:r>
          </w:p>
        </w:tc>
      </w:tr>
      <w:tr w:rsidR="00607A94" w:rsidRPr="00873B6C" w14:paraId="529A807A" w14:textId="77777777" w:rsidTr="009D14FB">
        <w:tc>
          <w:tcPr>
            <w:tcW w:w="800" w:type="dxa"/>
            <w:shd w:val="solid" w:color="FFFFFF" w:fill="auto"/>
          </w:tcPr>
          <w:p w14:paraId="4E3D8B8E" w14:textId="0C3FAB9B"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2A1FACB7" w14:textId="01A70047"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1C31B210" w14:textId="48F7C76F" w:rsidR="00607A94" w:rsidRPr="00873B6C" w:rsidRDefault="00607A94" w:rsidP="009D14FB">
            <w:pPr>
              <w:pStyle w:val="TAC"/>
              <w:rPr>
                <w:sz w:val="16"/>
                <w:szCs w:val="16"/>
              </w:rPr>
            </w:pPr>
            <w:r w:rsidRPr="00873B6C">
              <w:rPr>
                <w:sz w:val="16"/>
                <w:szCs w:val="16"/>
              </w:rPr>
              <w:t>SP-210344</w:t>
            </w:r>
          </w:p>
        </w:tc>
        <w:tc>
          <w:tcPr>
            <w:tcW w:w="567" w:type="dxa"/>
            <w:shd w:val="solid" w:color="FFFFFF" w:fill="auto"/>
          </w:tcPr>
          <w:p w14:paraId="3988D186" w14:textId="27EA51C4" w:rsidR="00607A94" w:rsidRPr="00873B6C" w:rsidRDefault="00607A94" w:rsidP="009D14FB">
            <w:pPr>
              <w:pStyle w:val="TAL"/>
              <w:rPr>
                <w:sz w:val="16"/>
                <w:szCs w:val="16"/>
              </w:rPr>
            </w:pPr>
            <w:r w:rsidRPr="00873B6C">
              <w:rPr>
                <w:sz w:val="16"/>
                <w:szCs w:val="16"/>
              </w:rPr>
              <w:t>2696</w:t>
            </w:r>
          </w:p>
        </w:tc>
        <w:tc>
          <w:tcPr>
            <w:tcW w:w="425" w:type="dxa"/>
            <w:shd w:val="solid" w:color="FFFFFF" w:fill="auto"/>
          </w:tcPr>
          <w:p w14:paraId="50DAE6FB" w14:textId="7F29621E" w:rsidR="00607A94" w:rsidRPr="00873B6C" w:rsidRDefault="00607A94" w:rsidP="009D14FB">
            <w:pPr>
              <w:pStyle w:val="TAL"/>
              <w:rPr>
                <w:sz w:val="16"/>
                <w:szCs w:val="16"/>
              </w:rPr>
            </w:pPr>
            <w:r w:rsidRPr="00873B6C">
              <w:rPr>
                <w:sz w:val="16"/>
                <w:szCs w:val="16"/>
              </w:rPr>
              <w:t>4</w:t>
            </w:r>
          </w:p>
        </w:tc>
        <w:tc>
          <w:tcPr>
            <w:tcW w:w="425" w:type="dxa"/>
            <w:shd w:val="solid" w:color="FFFFFF" w:fill="auto"/>
          </w:tcPr>
          <w:p w14:paraId="78DC1B33" w14:textId="09F02549" w:rsidR="00607A94" w:rsidRPr="00873B6C" w:rsidRDefault="00607A94" w:rsidP="009D14FB">
            <w:pPr>
              <w:pStyle w:val="TAL"/>
              <w:rPr>
                <w:sz w:val="16"/>
                <w:szCs w:val="16"/>
              </w:rPr>
            </w:pPr>
            <w:r w:rsidRPr="00873B6C">
              <w:rPr>
                <w:sz w:val="16"/>
                <w:szCs w:val="16"/>
              </w:rPr>
              <w:t>B</w:t>
            </w:r>
          </w:p>
        </w:tc>
        <w:tc>
          <w:tcPr>
            <w:tcW w:w="4820" w:type="dxa"/>
            <w:shd w:val="solid" w:color="FFFFFF" w:fill="auto"/>
          </w:tcPr>
          <w:p w14:paraId="2F0C6293" w14:textId="28EA8B89" w:rsidR="00607A94" w:rsidRPr="00873B6C" w:rsidRDefault="00607A94" w:rsidP="009D14FB">
            <w:pPr>
              <w:pStyle w:val="TAL"/>
              <w:rPr>
                <w:sz w:val="16"/>
                <w:szCs w:val="16"/>
              </w:rPr>
            </w:pPr>
            <w:r w:rsidRPr="00873B6C">
              <w:rPr>
                <w:sz w:val="16"/>
                <w:szCs w:val="16"/>
              </w:rPr>
              <w:t>N4 extensions for 5MBS</w:t>
            </w:r>
          </w:p>
        </w:tc>
        <w:tc>
          <w:tcPr>
            <w:tcW w:w="708" w:type="dxa"/>
            <w:shd w:val="solid" w:color="FFFFFF" w:fill="auto"/>
          </w:tcPr>
          <w:p w14:paraId="092E5C60" w14:textId="67AD54BE" w:rsidR="00607A94" w:rsidRPr="00873B6C" w:rsidRDefault="00607A94" w:rsidP="009D14FB">
            <w:pPr>
              <w:pStyle w:val="TAC"/>
              <w:rPr>
                <w:sz w:val="16"/>
                <w:szCs w:val="16"/>
              </w:rPr>
            </w:pPr>
            <w:r w:rsidRPr="00873B6C">
              <w:rPr>
                <w:sz w:val="16"/>
                <w:szCs w:val="16"/>
              </w:rPr>
              <w:t>17.1.0</w:t>
            </w:r>
          </w:p>
        </w:tc>
      </w:tr>
      <w:tr w:rsidR="00227007" w:rsidRPr="00873B6C" w14:paraId="1A36D62C" w14:textId="77777777" w:rsidTr="009D14FB">
        <w:tc>
          <w:tcPr>
            <w:tcW w:w="800" w:type="dxa"/>
            <w:shd w:val="solid" w:color="FFFFFF" w:fill="auto"/>
          </w:tcPr>
          <w:p w14:paraId="62FCF76F" w14:textId="44C30D0F" w:rsidR="00227007" w:rsidRPr="00873B6C" w:rsidRDefault="00227007" w:rsidP="009D14FB">
            <w:pPr>
              <w:pStyle w:val="TAC"/>
              <w:rPr>
                <w:sz w:val="16"/>
                <w:szCs w:val="16"/>
              </w:rPr>
            </w:pPr>
            <w:r w:rsidRPr="00873B6C">
              <w:rPr>
                <w:sz w:val="16"/>
                <w:szCs w:val="16"/>
              </w:rPr>
              <w:t>2021-06</w:t>
            </w:r>
          </w:p>
        </w:tc>
        <w:tc>
          <w:tcPr>
            <w:tcW w:w="800" w:type="dxa"/>
            <w:shd w:val="solid" w:color="FFFFFF" w:fill="auto"/>
          </w:tcPr>
          <w:p w14:paraId="1DAD5224" w14:textId="09D8BF56" w:rsidR="00227007" w:rsidRPr="00873B6C" w:rsidRDefault="00227007" w:rsidP="009D14FB">
            <w:pPr>
              <w:pStyle w:val="TAL"/>
              <w:rPr>
                <w:sz w:val="16"/>
                <w:szCs w:val="16"/>
              </w:rPr>
            </w:pPr>
            <w:r w:rsidRPr="00873B6C">
              <w:rPr>
                <w:sz w:val="16"/>
                <w:szCs w:val="16"/>
              </w:rPr>
              <w:t>SP#92E</w:t>
            </w:r>
          </w:p>
        </w:tc>
        <w:tc>
          <w:tcPr>
            <w:tcW w:w="1094" w:type="dxa"/>
            <w:shd w:val="solid" w:color="FFFFFF" w:fill="auto"/>
          </w:tcPr>
          <w:p w14:paraId="1D34E960" w14:textId="4EF3A562" w:rsidR="00227007" w:rsidRPr="00873B6C" w:rsidRDefault="00227007" w:rsidP="009D14FB">
            <w:pPr>
              <w:pStyle w:val="TAC"/>
              <w:rPr>
                <w:sz w:val="16"/>
                <w:szCs w:val="16"/>
              </w:rPr>
            </w:pPr>
            <w:r w:rsidRPr="00873B6C">
              <w:rPr>
                <w:sz w:val="16"/>
                <w:szCs w:val="16"/>
              </w:rPr>
              <w:t>SP-210345</w:t>
            </w:r>
          </w:p>
        </w:tc>
        <w:tc>
          <w:tcPr>
            <w:tcW w:w="567" w:type="dxa"/>
            <w:shd w:val="solid" w:color="FFFFFF" w:fill="auto"/>
          </w:tcPr>
          <w:p w14:paraId="11E9C77E" w14:textId="53B31806" w:rsidR="00227007" w:rsidRPr="00873B6C" w:rsidRDefault="00227007" w:rsidP="009D14FB">
            <w:pPr>
              <w:pStyle w:val="TAL"/>
              <w:rPr>
                <w:sz w:val="16"/>
                <w:szCs w:val="16"/>
              </w:rPr>
            </w:pPr>
            <w:r w:rsidRPr="00873B6C">
              <w:rPr>
                <w:sz w:val="16"/>
                <w:szCs w:val="16"/>
              </w:rPr>
              <w:t>2697</w:t>
            </w:r>
          </w:p>
        </w:tc>
        <w:tc>
          <w:tcPr>
            <w:tcW w:w="425" w:type="dxa"/>
            <w:shd w:val="solid" w:color="FFFFFF" w:fill="auto"/>
          </w:tcPr>
          <w:p w14:paraId="5096E86A" w14:textId="5354F8CE" w:rsidR="00227007" w:rsidRPr="00873B6C" w:rsidRDefault="00227007" w:rsidP="009D14FB">
            <w:pPr>
              <w:pStyle w:val="TAL"/>
              <w:rPr>
                <w:sz w:val="16"/>
                <w:szCs w:val="16"/>
              </w:rPr>
            </w:pPr>
            <w:r w:rsidRPr="00873B6C">
              <w:rPr>
                <w:sz w:val="16"/>
                <w:szCs w:val="16"/>
              </w:rPr>
              <w:t>1</w:t>
            </w:r>
          </w:p>
        </w:tc>
        <w:tc>
          <w:tcPr>
            <w:tcW w:w="425" w:type="dxa"/>
            <w:shd w:val="solid" w:color="FFFFFF" w:fill="auto"/>
          </w:tcPr>
          <w:p w14:paraId="485F1AD3" w14:textId="28E7E5DB" w:rsidR="00227007" w:rsidRPr="00873B6C" w:rsidRDefault="00227007" w:rsidP="009D14FB">
            <w:pPr>
              <w:pStyle w:val="TAL"/>
              <w:rPr>
                <w:sz w:val="16"/>
                <w:szCs w:val="16"/>
              </w:rPr>
            </w:pPr>
            <w:r w:rsidRPr="00873B6C">
              <w:rPr>
                <w:sz w:val="16"/>
                <w:szCs w:val="16"/>
              </w:rPr>
              <w:t>C</w:t>
            </w:r>
          </w:p>
        </w:tc>
        <w:tc>
          <w:tcPr>
            <w:tcW w:w="4820" w:type="dxa"/>
            <w:shd w:val="solid" w:color="FFFFFF" w:fill="auto"/>
          </w:tcPr>
          <w:p w14:paraId="0394F536" w14:textId="6E08546F" w:rsidR="00227007" w:rsidRPr="00873B6C" w:rsidRDefault="00227007" w:rsidP="009D14FB">
            <w:pPr>
              <w:pStyle w:val="TAL"/>
              <w:rPr>
                <w:sz w:val="16"/>
                <w:szCs w:val="16"/>
              </w:rPr>
            </w:pPr>
            <w:r w:rsidRPr="00873B6C">
              <w:rPr>
                <w:sz w:val="16"/>
                <w:szCs w:val="16"/>
              </w:rPr>
              <w:t>Handling of Ethernet PDU Session type for MA PDU Session with a 3GPP EPC leg</w:t>
            </w:r>
          </w:p>
        </w:tc>
        <w:tc>
          <w:tcPr>
            <w:tcW w:w="708" w:type="dxa"/>
            <w:shd w:val="solid" w:color="FFFFFF" w:fill="auto"/>
          </w:tcPr>
          <w:p w14:paraId="048FC2F5" w14:textId="60C3BC20" w:rsidR="00227007" w:rsidRPr="00873B6C" w:rsidRDefault="00227007" w:rsidP="009D14FB">
            <w:pPr>
              <w:pStyle w:val="TAC"/>
              <w:rPr>
                <w:sz w:val="16"/>
                <w:szCs w:val="16"/>
              </w:rPr>
            </w:pPr>
            <w:r w:rsidRPr="00873B6C">
              <w:rPr>
                <w:sz w:val="16"/>
                <w:szCs w:val="16"/>
              </w:rPr>
              <w:t>17.1.0</w:t>
            </w:r>
          </w:p>
        </w:tc>
      </w:tr>
      <w:tr w:rsidR="00227007" w:rsidRPr="00873B6C" w14:paraId="0FB0E555" w14:textId="77777777" w:rsidTr="009D14FB">
        <w:tc>
          <w:tcPr>
            <w:tcW w:w="800" w:type="dxa"/>
            <w:shd w:val="solid" w:color="FFFFFF" w:fill="auto"/>
          </w:tcPr>
          <w:p w14:paraId="71A3E11A" w14:textId="105AA52E" w:rsidR="00227007" w:rsidRPr="00873B6C" w:rsidRDefault="00227007" w:rsidP="009D14FB">
            <w:pPr>
              <w:pStyle w:val="TAC"/>
              <w:rPr>
                <w:sz w:val="16"/>
                <w:szCs w:val="16"/>
              </w:rPr>
            </w:pPr>
            <w:r w:rsidRPr="00873B6C">
              <w:rPr>
                <w:sz w:val="16"/>
                <w:szCs w:val="16"/>
              </w:rPr>
              <w:t>2021-06</w:t>
            </w:r>
          </w:p>
        </w:tc>
        <w:tc>
          <w:tcPr>
            <w:tcW w:w="800" w:type="dxa"/>
            <w:shd w:val="solid" w:color="FFFFFF" w:fill="auto"/>
          </w:tcPr>
          <w:p w14:paraId="36FF9AB5" w14:textId="007F8B24" w:rsidR="00227007" w:rsidRPr="00873B6C" w:rsidRDefault="00227007" w:rsidP="009D14FB">
            <w:pPr>
              <w:pStyle w:val="TAL"/>
              <w:rPr>
                <w:sz w:val="16"/>
                <w:szCs w:val="16"/>
              </w:rPr>
            </w:pPr>
            <w:r w:rsidRPr="00873B6C">
              <w:rPr>
                <w:sz w:val="16"/>
                <w:szCs w:val="16"/>
              </w:rPr>
              <w:t>SP#92E</w:t>
            </w:r>
          </w:p>
        </w:tc>
        <w:tc>
          <w:tcPr>
            <w:tcW w:w="1094" w:type="dxa"/>
            <w:shd w:val="solid" w:color="FFFFFF" w:fill="auto"/>
          </w:tcPr>
          <w:p w14:paraId="06DED9C4" w14:textId="75807240" w:rsidR="00227007" w:rsidRPr="00873B6C" w:rsidRDefault="00227007" w:rsidP="009D14FB">
            <w:pPr>
              <w:pStyle w:val="TAC"/>
              <w:rPr>
                <w:sz w:val="16"/>
                <w:szCs w:val="16"/>
              </w:rPr>
            </w:pPr>
            <w:r w:rsidRPr="00873B6C">
              <w:rPr>
                <w:sz w:val="16"/>
                <w:szCs w:val="16"/>
              </w:rPr>
              <w:t>SP-210337</w:t>
            </w:r>
          </w:p>
        </w:tc>
        <w:tc>
          <w:tcPr>
            <w:tcW w:w="567" w:type="dxa"/>
            <w:shd w:val="solid" w:color="FFFFFF" w:fill="auto"/>
          </w:tcPr>
          <w:p w14:paraId="2E54D6AC" w14:textId="1D7485CE" w:rsidR="00227007" w:rsidRPr="00873B6C" w:rsidRDefault="00227007" w:rsidP="009D14FB">
            <w:pPr>
              <w:pStyle w:val="TAL"/>
              <w:rPr>
                <w:sz w:val="16"/>
                <w:szCs w:val="16"/>
              </w:rPr>
            </w:pPr>
            <w:r w:rsidRPr="00873B6C">
              <w:rPr>
                <w:sz w:val="16"/>
                <w:szCs w:val="16"/>
              </w:rPr>
              <w:t>2701</w:t>
            </w:r>
          </w:p>
        </w:tc>
        <w:tc>
          <w:tcPr>
            <w:tcW w:w="425" w:type="dxa"/>
            <w:shd w:val="solid" w:color="FFFFFF" w:fill="auto"/>
          </w:tcPr>
          <w:p w14:paraId="07BC4D3E" w14:textId="52A26D1B" w:rsidR="00227007" w:rsidRPr="00873B6C" w:rsidRDefault="00227007" w:rsidP="009D14FB">
            <w:pPr>
              <w:pStyle w:val="TAL"/>
              <w:rPr>
                <w:sz w:val="16"/>
                <w:szCs w:val="16"/>
              </w:rPr>
            </w:pPr>
            <w:r w:rsidRPr="00873B6C">
              <w:rPr>
                <w:sz w:val="16"/>
                <w:szCs w:val="16"/>
              </w:rPr>
              <w:t>2</w:t>
            </w:r>
          </w:p>
        </w:tc>
        <w:tc>
          <w:tcPr>
            <w:tcW w:w="425" w:type="dxa"/>
            <w:shd w:val="solid" w:color="FFFFFF" w:fill="auto"/>
          </w:tcPr>
          <w:p w14:paraId="5DEC054F" w14:textId="11EB509C" w:rsidR="00227007" w:rsidRPr="00873B6C" w:rsidRDefault="00227007" w:rsidP="009D14FB">
            <w:pPr>
              <w:pStyle w:val="TAL"/>
              <w:rPr>
                <w:sz w:val="16"/>
                <w:szCs w:val="16"/>
              </w:rPr>
            </w:pPr>
            <w:r w:rsidRPr="00873B6C">
              <w:rPr>
                <w:sz w:val="16"/>
                <w:szCs w:val="16"/>
              </w:rPr>
              <w:t>B</w:t>
            </w:r>
          </w:p>
        </w:tc>
        <w:tc>
          <w:tcPr>
            <w:tcW w:w="4820" w:type="dxa"/>
            <w:shd w:val="solid" w:color="FFFFFF" w:fill="auto"/>
          </w:tcPr>
          <w:p w14:paraId="429493F9" w14:textId="4D314066" w:rsidR="00227007" w:rsidRPr="00873B6C" w:rsidRDefault="00227007" w:rsidP="009D14FB">
            <w:pPr>
              <w:pStyle w:val="TAL"/>
              <w:rPr>
                <w:sz w:val="16"/>
                <w:szCs w:val="16"/>
              </w:rPr>
            </w:pPr>
            <w:r w:rsidRPr="00873B6C">
              <w:rPr>
                <w:sz w:val="16"/>
                <w:szCs w:val="16"/>
              </w:rPr>
              <w:t>New 5QI values to support Advance Interactive Services (AIS) in 5G</w:t>
            </w:r>
          </w:p>
        </w:tc>
        <w:tc>
          <w:tcPr>
            <w:tcW w:w="708" w:type="dxa"/>
            <w:shd w:val="solid" w:color="FFFFFF" w:fill="auto"/>
          </w:tcPr>
          <w:p w14:paraId="58FD7CFD" w14:textId="2D454B48" w:rsidR="00227007" w:rsidRPr="00873B6C" w:rsidRDefault="00227007" w:rsidP="009D14FB">
            <w:pPr>
              <w:pStyle w:val="TAC"/>
              <w:rPr>
                <w:sz w:val="16"/>
                <w:szCs w:val="16"/>
              </w:rPr>
            </w:pPr>
            <w:r w:rsidRPr="00873B6C">
              <w:rPr>
                <w:sz w:val="16"/>
                <w:szCs w:val="16"/>
              </w:rPr>
              <w:t>17.1.0</w:t>
            </w:r>
          </w:p>
        </w:tc>
      </w:tr>
      <w:tr w:rsidR="00227007" w:rsidRPr="00873B6C" w14:paraId="2AC2ABC8" w14:textId="77777777" w:rsidTr="009D14FB">
        <w:tc>
          <w:tcPr>
            <w:tcW w:w="800" w:type="dxa"/>
            <w:shd w:val="solid" w:color="FFFFFF" w:fill="auto"/>
          </w:tcPr>
          <w:p w14:paraId="79AA5485" w14:textId="0944E92F" w:rsidR="00227007" w:rsidRPr="00873B6C" w:rsidRDefault="00227007" w:rsidP="009D14FB">
            <w:pPr>
              <w:pStyle w:val="TAC"/>
              <w:rPr>
                <w:sz w:val="16"/>
                <w:szCs w:val="16"/>
              </w:rPr>
            </w:pPr>
            <w:r w:rsidRPr="00873B6C">
              <w:rPr>
                <w:sz w:val="16"/>
                <w:szCs w:val="16"/>
              </w:rPr>
              <w:t>2021-06</w:t>
            </w:r>
          </w:p>
        </w:tc>
        <w:tc>
          <w:tcPr>
            <w:tcW w:w="800" w:type="dxa"/>
            <w:shd w:val="solid" w:color="FFFFFF" w:fill="auto"/>
          </w:tcPr>
          <w:p w14:paraId="1679773E" w14:textId="33B2552A" w:rsidR="00227007" w:rsidRPr="00873B6C" w:rsidRDefault="00227007" w:rsidP="009D14FB">
            <w:pPr>
              <w:pStyle w:val="TAL"/>
              <w:rPr>
                <w:sz w:val="16"/>
                <w:szCs w:val="16"/>
              </w:rPr>
            </w:pPr>
            <w:r w:rsidRPr="00873B6C">
              <w:rPr>
                <w:sz w:val="16"/>
                <w:szCs w:val="16"/>
              </w:rPr>
              <w:t>SP#92E</w:t>
            </w:r>
          </w:p>
        </w:tc>
        <w:tc>
          <w:tcPr>
            <w:tcW w:w="1094" w:type="dxa"/>
            <w:shd w:val="solid" w:color="FFFFFF" w:fill="auto"/>
          </w:tcPr>
          <w:p w14:paraId="4CE041FD" w14:textId="7D6ACAE0" w:rsidR="00227007" w:rsidRPr="00873B6C" w:rsidRDefault="00227007" w:rsidP="009D14FB">
            <w:pPr>
              <w:pStyle w:val="TAC"/>
              <w:rPr>
                <w:sz w:val="16"/>
                <w:szCs w:val="16"/>
              </w:rPr>
            </w:pPr>
            <w:r w:rsidRPr="00873B6C">
              <w:rPr>
                <w:sz w:val="16"/>
                <w:szCs w:val="16"/>
              </w:rPr>
              <w:t>SP-210351</w:t>
            </w:r>
          </w:p>
        </w:tc>
        <w:tc>
          <w:tcPr>
            <w:tcW w:w="567" w:type="dxa"/>
            <w:shd w:val="solid" w:color="FFFFFF" w:fill="auto"/>
          </w:tcPr>
          <w:p w14:paraId="52507727" w14:textId="340929BD" w:rsidR="00227007" w:rsidRPr="00873B6C" w:rsidRDefault="00227007" w:rsidP="009D14FB">
            <w:pPr>
              <w:pStyle w:val="TAL"/>
              <w:rPr>
                <w:sz w:val="16"/>
                <w:szCs w:val="16"/>
              </w:rPr>
            </w:pPr>
            <w:r w:rsidRPr="00873B6C">
              <w:rPr>
                <w:sz w:val="16"/>
                <w:szCs w:val="16"/>
              </w:rPr>
              <w:t>2702</w:t>
            </w:r>
          </w:p>
        </w:tc>
        <w:tc>
          <w:tcPr>
            <w:tcW w:w="425" w:type="dxa"/>
            <w:shd w:val="solid" w:color="FFFFFF" w:fill="auto"/>
          </w:tcPr>
          <w:p w14:paraId="73F7F0C0" w14:textId="484A4D3F" w:rsidR="00227007" w:rsidRPr="00873B6C" w:rsidRDefault="00227007" w:rsidP="009D14FB">
            <w:pPr>
              <w:pStyle w:val="TAL"/>
              <w:rPr>
                <w:sz w:val="16"/>
                <w:szCs w:val="16"/>
              </w:rPr>
            </w:pPr>
            <w:r w:rsidRPr="00873B6C">
              <w:rPr>
                <w:sz w:val="16"/>
                <w:szCs w:val="16"/>
              </w:rPr>
              <w:t>2</w:t>
            </w:r>
          </w:p>
        </w:tc>
        <w:tc>
          <w:tcPr>
            <w:tcW w:w="425" w:type="dxa"/>
            <w:shd w:val="solid" w:color="FFFFFF" w:fill="auto"/>
          </w:tcPr>
          <w:p w14:paraId="09DBF0F0" w14:textId="4F4AE0D0" w:rsidR="00227007" w:rsidRPr="00873B6C" w:rsidRDefault="00227007" w:rsidP="009D14FB">
            <w:pPr>
              <w:pStyle w:val="TAL"/>
              <w:rPr>
                <w:sz w:val="16"/>
                <w:szCs w:val="16"/>
              </w:rPr>
            </w:pPr>
            <w:r w:rsidRPr="00873B6C">
              <w:rPr>
                <w:sz w:val="16"/>
                <w:szCs w:val="16"/>
              </w:rPr>
              <w:t>B</w:t>
            </w:r>
          </w:p>
        </w:tc>
        <w:tc>
          <w:tcPr>
            <w:tcW w:w="4820" w:type="dxa"/>
            <w:shd w:val="solid" w:color="FFFFFF" w:fill="auto"/>
          </w:tcPr>
          <w:p w14:paraId="55B6CBFA" w14:textId="2E4C57B5" w:rsidR="00227007" w:rsidRPr="00873B6C" w:rsidRDefault="00227007" w:rsidP="009D14FB">
            <w:pPr>
              <w:pStyle w:val="TAL"/>
              <w:rPr>
                <w:sz w:val="16"/>
                <w:szCs w:val="16"/>
              </w:rPr>
            </w:pPr>
            <w:r w:rsidRPr="00873B6C">
              <w:rPr>
                <w:sz w:val="16"/>
                <w:szCs w:val="16"/>
              </w:rPr>
              <w:t>Discover NWDAF for UE related Analytics using UDM</w:t>
            </w:r>
          </w:p>
        </w:tc>
        <w:tc>
          <w:tcPr>
            <w:tcW w:w="708" w:type="dxa"/>
            <w:shd w:val="solid" w:color="FFFFFF" w:fill="auto"/>
          </w:tcPr>
          <w:p w14:paraId="60BC16C7" w14:textId="64C17C80" w:rsidR="00227007" w:rsidRPr="00873B6C" w:rsidRDefault="00227007" w:rsidP="009D14FB">
            <w:pPr>
              <w:pStyle w:val="TAC"/>
              <w:rPr>
                <w:sz w:val="16"/>
                <w:szCs w:val="16"/>
              </w:rPr>
            </w:pPr>
            <w:r w:rsidRPr="00873B6C">
              <w:rPr>
                <w:sz w:val="16"/>
                <w:szCs w:val="16"/>
              </w:rPr>
              <w:t>17.1.0</w:t>
            </w:r>
          </w:p>
        </w:tc>
      </w:tr>
      <w:tr w:rsidR="00BA212C" w:rsidRPr="00873B6C" w14:paraId="626CB662" w14:textId="77777777" w:rsidTr="009D14FB">
        <w:tc>
          <w:tcPr>
            <w:tcW w:w="800" w:type="dxa"/>
            <w:shd w:val="solid" w:color="FFFFFF" w:fill="auto"/>
          </w:tcPr>
          <w:p w14:paraId="02BDDE17" w14:textId="7F9DBDEA"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48FDC7B6" w14:textId="618BC4EC"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4AE3632A" w14:textId="3D64E4A5" w:rsidR="00BA212C" w:rsidRPr="00873B6C" w:rsidRDefault="00BA212C" w:rsidP="009D14FB">
            <w:pPr>
              <w:pStyle w:val="TAC"/>
              <w:rPr>
                <w:sz w:val="16"/>
                <w:szCs w:val="16"/>
              </w:rPr>
            </w:pPr>
            <w:r w:rsidRPr="00873B6C">
              <w:rPr>
                <w:sz w:val="16"/>
                <w:szCs w:val="16"/>
              </w:rPr>
              <w:t>SP-210351</w:t>
            </w:r>
          </w:p>
        </w:tc>
        <w:tc>
          <w:tcPr>
            <w:tcW w:w="567" w:type="dxa"/>
            <w:shd w:val="solid" w:color="FFFFFF" w:fill="auto"/>
          </w:tcPr>
          <w:p w14:paraId="10602F22" w14:textId="1DC83627" w:rsidR="00BA212C" w:rsidRPr="00873B6C" w:rsidRDefault="00BA212C" w:rsidP="009D14FB">
            <w:pPr>
              <w:pStyle w:val="TAL"/>
              <w:rPr>
                <w:sz w:val="16"/>
                <w:szCs w:val="16"/>
              </w:rPr>
            </w:pPr>
            <w:r w:rsidRPr="00873B6C">
              <w:rPr>
                <w:sz w:val="16"/>
                <w:szCs w:val="16"/>
              </w:rPr>
              <w:t>2705</w:t>
            </w:r>
          </w:p>
        </w:tc>
        <w:tc>
          <w:tcPr>
            <w:tcW w:w="425" w:type="dxa"/>
            <w:shd w:val="solid" w:color="FFFFFF" w:fill="auto"/>
          </w:tcPr>
          <w:p w14:paraId="54FCDBE7" w14:textId="2D3B54A0"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038D21BC" w14:textId="67923D89"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5853E397" w14:textId="394594A9" w:rsidR="00BA212C" w:rsidRPr="00873B6C" w:rsidRDefault="00BA212C" w:rsidP="009D14FB">
            <w:pPr>
              <w:pStyle w:val="TAL"/>
              <w:rPr>
                <w:sz w:val="16"/>
                <w:szCs w:val="16"/>
              </w:rPr>
            </w:pPr>
            <w:r w:rsidRPr="00873B6C">
              <w:rPr>
                <w:sz w:val="16"/>
                <w:szCs w:val="16"/>
              </w:rPr>
              <w:t>CR to update NWDAF discovery and selection for MTLF</w:t>
            </w:r>
          </w:p>
        </w:tc>
        <w:tc>
          <w:tcPr>
            <w:tcW w:w="708" w:type="dxa"/>
            <w:shd w:val="solid" w:color="FFFFFF" w:fill="auto"/>
          </w:tcPr>
          <w:p w14:paraId="254EFDD6" w14:textId="0D8C0F5C" w:rsidR="00BA212C" w:rsidRPr="00873B6C" w:rsidRDefault="00BA212C" w:rsidP="009D14FB">
            <w:pPr>
              <w:pStyle w:val="TAC"/>
              <w:rPr>
                <w:sz w:val="16"/>
                <w:szCs w:val="16"/>
              </w:rPr>
            </w:pPr>
            <w:r w:rsidRPr="00873B6C">
              <w:rPr>
                <w:sz w:val="16"/>
                <w:szCs w:val="16"/>
              </w:rPr>
              <w:t>17.1.0</w:t>
            </w:r>
          </w:p>
        </w:tc>
      </w:tr>
      <w:tr w:rsidR="00BA212C" w:rsidRPr="00873B6C" w14:paraId="1B5444EE" w14:textId="77777777" w:rsidTr="009D14FB">
        <w:tc>
          <w:tcPr>
            <w:tcW w:w="800" w:type="dxa"/>
            <w:shd w:val="solid" w:color="FFFFFF" w:fill="auto"/>
          </w:tcPr>
          <w:p w14:paraId="73CBBEDA" w14:textId="0AE50E45"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6A65AB8D" w14:textId="10611C33"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597331E3" w14:textId="137498DD" w:rsidR="00BA212C" w:rsidRPr="00873B6C" w:rsidRDefault="00BA212C" w:rsidP="009D14FB">
            <w:pPr>
              <w:pStyle w:val="TAC"/>
              <w:rPr>
                <w:sz w:val="16"/>
                <w:szCs w:val="16"/>
              </w:rPr>
            </w:pPr>
            <w:r w:rsidRPr="00873B6C">
              <w:rPr>
                <w:sz w:val="16"/>
                <w:szCs w:val="16"/>
              </w:rPr>
              <w:t>SP-210355</w:t>
            </w:r>
          </w:p>
        </w:tc>
        <w:tc>
          <w:tcPr>
            <w:tcW w:w="567" w:type="dxa"/>
            <w:shd w:val="solid" w:color="FFFFFF" w:fill="auto"/>
          </w:tcPr>
          <w:p w14:paraId="334DC05C" w14:textId="38894782" w:rsidR="00BA212C" w:rsidRPr="00873B6C" w:rsidRDefault="00BA212C" w:rsidP="009D14FB">
            <w:pPr>
              <w:pStyle w:val="TAL"/>
              <w:rPr>
                <w:sz w:val="16"/>
                <w:szCs w:val="16"/>
              </w:rPr>
            </w:pPr>
            <w:r w:rsidRPr="00873B6C">
              <w:rPr>
                <w:sz w:val="16"/>
                <w:szCs w:val="16"/>
              </w:rPr>
              <w:t>2706</w:t>
            </w:r>
          </w:p>
        </w:tc>
        <w:tc>
          <w:tcPr>
            <w:tcW w:w="425" w:type="dxa"/>
            <w:shd w:val="solid" w:color="FFFFFF" w:fill="auto"/>
          </w:tcPr>
          <w:p w14:paraId="48D95CAB" w14:textId="78AB7D54" w:rsidR="00BA212C" w:rsidRPr="00873B6C" w:rsidRDefault="00BA212C" w:rsidP="009D14FB">
            <w:pPr>
              <w:pStyle w:val="TAL"/>
              <w:rPr>
                <w:sz w:val="16"/>
                <w:szCs w:val="16"/>
              </w:rPr>
            </w:pPr>
            <w:r w:rsidRPr="00873B6C">
              <w:rPr>
                <w:sz w:val="16"/>
                <w:szCs w:val="16"/>
              </w:rPr>
              <w:t>3</w:t>
            </w:r>
          </w:p>
        </w:tc>
        <w:tc>
          <w:tcPr>
            <w:tcW w:w="425" w:type="dxa"/>
            <w:shd w:val="solid" w:color="FFFFFF" w:fill="auto"/>
          </w:tcPr>
          <w:p w14:paraId="55C4DE64" w14:textId="5A1C64D1"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7C948D19" w14:textId="5D489642" w:rsidR="00BA212C" w:rsidRPr="00873B6C" w:rsidRDefault="00BA212C" w:rsidP="009D14FB">
            <w:pPr>
              <w:pStyle w:val="TAL"/>
              <w:rPr>
                <w:sz w:val="16"/>
                <w:szCs w:val="16"/>
              </w:rPr>
            </w:pPr>
            <w:r w:rsidRPr="00873B6C">
              <w:rPr>
                <w:sz w:val="16"/>
                <w:szCs w:val="16"/>
              </w:rPr>
              <w:t>Support for UE-Slice-MBR</w:t>
            </w:r>
          </w:p>
        </w:tc>
        <w:tc>
          <w:tcPr>
            <w:tcW w:w="708" w:type="dxa"/>
            <w:shd w:val="solid" w:color="FFFFFF" w:fill="auto"/>
          </w:tcPr>
          <w:p w14:paraId="69F5F210" w14:textId="4BC26B01" w:rsidR="00BA212C" w:rsidRPr="00873B6C" w:rsidRDefault="00BA212C" w:rsidP="009D14FB">
            <w:pPr>
              <w:pStyle w:val="TAC"/>
              <w:rPr>
                <w:sz w:val="16"/>
                <w:szCs w:val="16"/>
              </w:rPr>
            </w:pPr>
            <w:r w:rsidRPr="00873B6C">
              <w:rPr>
                <w:sz w:val="16"/>
                <w:szCs w:val="16"/>
              </w:rPr>
              <w:t>17.1.0</w:t>
            </w:r>
          </w:p>
        </w:tc>
      </w:tr>
      <w:tr w:rsidR="00BA212C" w:rsidRPr="00873B6C" w14:paraId="5533F207" w14:textId="77777777" w:rsidTr="009D14FB">
        <w:tc>
          <w:tcPr>
            <w:tcW w:w="800" w:type="dxa"/>
            <w:shd w:val="solid" w:color="FFFFFF" w:fill="auto"/>
          </w:tcPr>
          <w:p w14:paraId="38522BC1" w14:textId="44D8E4C3"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43654FE6" w14:textId="4FCCEE19"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20B6FAA8" w14:textId="7F8CA21E" w:rsidR="00BA212C" w:rsidRPr="00873B6C" w:rsidRDefault="00BA212C" w:rsidP="009D14FB">
            <w:pPr>
              <w:pStyle w:val="TAC"/>
              <w:rPr>
                <w:sz w:val="16"/>
                <w:szCs w:val="16"/>
              </w:rPr>
            </w:pPr>
            <w:r w:rsidRPr="00873B6C">
              <w:rPr>
                <w:sz w:val="16"/>
                <w:szCs w:val="16"/>
              </w:rPr>
              <w:t>SP-210347</w:t>
            </w:r>
          </w:p>
        </w:tc>
        <w:tc>
          <w:tcPr>
            <w:tcW w:w="567" w:type="dxa"/>
            <w:shd w:val="solid" w:color="FFFFFF" w:fill="auto"/>
          </w:tcPr>
          <w:p w14:paraId="26BAB92D" w14:textId="604AFB45" w:rsidR="00BA212C" w:rsidRPr="00873B6C" w:rsidRDefault="00BA212C" w:rsidP="009D14FB">
            <w:pPr>
              <w:pStyle w:val="TAL"/>
              <w:rPr>
                <w:sz w:val="16"/>
                <w:szCs w:val="16"/>
              </w:rPr>
            </w:pPr>
            <w:r w:rsidRPr="00873B6C">
              <w:rPr>
                <w:sz w:val="16"/>
                <w:szCs w:val="16"/>
              </w:rPr>
              <w:t>2707</w:t>
            </w:r>
          </w:p>
        </w:tc>
        <w:tc>
          <w:tcPr>
            <w:tcW w:w="425" w:type="dxa"/>
            <w:shd w:val="solid" w:color="FFFFFF" w:fill="auto"/>
          </w:tcPr>
          <w:p w14:paraId="645ECB63" w14:textId="1E829D9C"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23AD7F37" w14:textId="5C8713D5"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51F62A2F" w14:textId="6A7EAD0E" w:rsidR="00BA212C" w:rsidRPr="00873B6C" w:rsidRDefault="00BA212C" w:rsidP="009D14FB">
            <w:pPr>
              <w:pStyle w:val="TAL"/>
              <w:rPr>
                <w:sz w:val="16"/>
                <w:szCs w:val="16"/>
              </w:rPr>
            </w:pPr>
            <w:r w:rsidRPr="00873B6C">
              <w:rPr>
                <w:sz w:val="16"/>
                <w:szCs w:val="16"/>
              </w:rPr>
              <w:t>EASDF discovery and selection</w:t>
            </w:r>
            <w:r w:rsidR="00472CD7" w:rsidRPr="00873B6C">
              <w:rPr>
                <w:sz w:val="16"/>
                <w:szCs w:val="16"/>
              </w:rPr>
              <w:t xml:space="preserve"> and</w:t>
            </w:r>
            <w:r w:rsidRPr="00873B6C">
              <w:rPr>
                <w:sz w:val="16"/>
                <w:szCs w:val="16"/>
              </w:rPr>
              <w:t xml:space="preserve"> update of edge computing description</w:t>
            </w:r>
          </w:p>
        </w:tc>
        <w:tc>
          <w:tcPr>
            <w:tcW w:w="708" w:type="dxa"/>
            <w:shd w:val="solid" w:color="FFFFFF" w:fill="auto"/>
          </w:tcPr>
          <w:p w14:paraId="6BBD38AB" w14:textId="2F480BB3" w:rsidR="00BA212C" w:rsidRPr="00873B6C" w:rsidRDefault="00BA212C" w:rsidP="009D14FB">
            <w:pPr>
              <w:pStyle w:val="TAC"/>
              <w:rPr>
                <w:sz w:val="16"/>
                <w:szCs w:val="16"/>
              </w:rPr>
            </w:pPr>
            <w:r w:rsidRPr="00873B6C">
              <w:rPr>
                <w:sz w:val="16"/>
                <w:szCs w:val="16"/>
              </w:rPr>
              <w:t>17.1.0</w:t>
            </w:r>
          </w:p>
        </w:tc>
      </w:tr>
      <w:tr w:rsidR="00BA212C" w:rsidRPr="00873B6C" w14:paraId="1902B147" w14:textId="77777777" w:rsidTr="009D14FB">
        <w:tc>
          <w:tcPr>
            <w:tcW w:w="800" w:type="dxa"/>
            <w:shd w:val="solid" w:color="FFFFFF" w:fill="auto"/>
          </w:tcPr>
          <w:p w14:paraId="5F47AA77" w14:textId="1757A073"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5B63823A" w14:textId="17B32356"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1387D399" w14:textId="200BBDD9" w:rsidR="00BA212C" w:rsidRPr="00873B6C" w:rsidRDefault="00BA212C" w:rsidP="009D14FB">
            <w:pPr>
              <w:pStyle w:val="TAC"/>
              <w:rPr>
                <w:sz w:val="16"/>
                <w:szCs w:val="16"/>
              </w:rPr>
            </w:pPr>
            <w:r w:rsidRPr="00873B6C">
              <w:rPr>
                <w:sz w:val="16"/>
                <w:szCs w:val="16"/>
              </w:rPr>
              <w:t>SP-210351</w:t>
            </w:r>
          </w:p>
        </w:tc>
        <w:tc>
          <w:tcPr>
            <w:tcW w:w="567" w:type="dxa"/>
            <w:shd w:val="solid" w:color="FFFFFF" w:fill="auto"/>
          </w:tcPr>
          <w:p w14:paraId="5CCD56F8" w14:textId="2B3E8435" w:rsidR="00BA212C" w:rsidRPr="00873B6C" w:rsidRDefault="00BA212C" w:rsidP="009D14FB">
            <w:pPr>
              <w:pStyle w:val="TAL"/>
              <w:rPr>
                <w:sz w:val="16"/>
                <w:szCs w:val="16"/>
              </w:rPr>
            </w:pPr>
            <w:r w:rsidRPr="00873B6C">
              <w:rPr>
                <w:sz w:val="16"/>
                <w:szCs w:val="16"/>
              </w:rPr>
              <w:t>2708</w:t>
            </w:r>
          </w:p>
        </w:tc>
        <w:tc>
          <w:tcPr>
            <w:tcW w:w="425" w:type="dxa"/>
            <w:shd w:val="solid" w:color="FFFFFF" w:fill="auto"/>
          </w:tcPr>
          <w:p w14:paraId="4C8E3F63" w14:textId="1B86D8B8"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082283E6" w14:textId="4550C324"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2F2AB43F" w14:textId="319AF091" w:rsidR="00BA212C" w:rsidRPr="00873B6C" w:rsidRDefault="00BA212C" w:rsidP="009D14FB">
            <w:pPr>
              <w:pStyle w:val="TAL"/>
              <w:rPr>
                <w:sz w:val="16"/>
                <w:szCs w:val="16"/>
              </w:rPr>
            </w:pPr>
            <w:r w:rsidRPr="00873B6C">
              <w:rPr>
                <w:sz w:val="16"/>
                <w:szCs w:val="16"/>
              </w:rPr>
              <w:t>Adding the usage of Session Management Congestion Control Experience analytics</w:t>
            </w:r>
          </w:p>
        </w:tc>
        <w:tc>
          <w:tcPr>
            <w:tcW w:w="708" w:type="dxa"/>
            <w:shd w:val="solid" w:color="FFFFFF" w:fill="auto"/>
          </w:tcPr>
          <w:p w14:paraId="14519661" w14:textId="7790DB1A" w:rsidR="00BA212C" w:rsidRPr="00873B6C" w:rsidRDefault="00BA212C" w:rsidP="009D14FB">
            <w:pPr>
              <w:pStyle w:val="TAC"/>
              <w:rPr>
                <w:sz w:val="16"/>
                <w:szCs w:val="16"/>
              </w:rPr>
            </w:pPr>
            <w:r w:rsidRPr="00873B6C">
              <w:rPr>
                <w:sz w:val="16"/>
                <w:szCs w:val="16"/>
              </w:rPr>
              <w:t>17.1.0</w:t>
            </w:r>
          </w:p>
        </w:tc>
      </w:tr>
      <w:tr w:rsidR="00BA212C" w:rsidRPr="00873B6C" w14:paraId="079CA9BA" w14:textId="77777777" w:rsidTr="009D14FB">
        <w:tc>
          <w:tcPr>
            <w:tcW w:w="800" w:type="dxa"/>
            <w:shd w:val="solid" w:color="FFFFFF" w:fill="auto"/>
          </w:tcPr>
          <w:p w14:paraId="06C85C61" w14:textId="202802D7"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4F8CA484" w14:textId="3A01A369"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61904D65" w14:textId="28009191" w:rsidR="00BA212C" w:rsidRPr="00873B6C" w:rsidRDefault="00BA212C" w:rsidP="009D14FB">
            <w:pPr>
              <w:pStyle w:val="TAC"/>
              <w:rPr>
                <w:sz w:val="16"/>
                <w:szCs w:val="16"/>
              </w:rPr>
            </w:pPr>
            <w:r w:rsidRPr="00873B6C">
              <w:rPr>
                <w:sz w:val="16"/>
                <w:szCs w:val="16"/>
              </w:rPr>
              <w:t>SP-210353</w:t>
            </w:r>
          </w:p>
        </w:tc>
        <w:tc>
          <w:tcPr>
            <w:tcW w:w="567" w:type="dxa"/>
            <w:shd w:val="solid" w:color="FFFFFF" w:fill="auto"/>
          </w:tcPr>
          <w:p w14:paraId="77F5F5AD" w14:textId="44E526DC" w:rsidR="00BA212C" w:rsidRPr="00873B6C" w:rsidRDefault="00BA212C" w:rsidP="009D14FB">
            <w:pPr>
              <w:pStyle w:val="TAL"/>
              <w:rPr>
                <w:sz w:val="16"/>
                <w:szCs w:val="16"/>
              </w:rPr>
            </w:pPr>
            <w:r w:rsidRPr="00873B6C">
              <w:rPr>
                <w:sz w:val="16"/>
                <w:szCs w:val="16"/>
              </w:rPr>
              <w:t>2709</w:t>
            </w:r>
          </w:p>
        </w:tc>
        <w:tc>
          <w:tcPr>
            <w:tcW w:w="425" w:type="dxa"/>
            <w:shd w:val="solid" w:color="FFFFFF" w:fill="auto"/>
          </w:tcPr>
          <w:p w14:paraId="31DEF3D2" w14:textId="65805C83"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513C9070" w14:textId="64755AE3"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1B7DE7AA" w14:textId="1B46BF63" w:rsidR="00BA212C" w:rsidRPr="00873B6C" w:rsidRDefault="00BA212C" w:rsidP="009D14FB">
            <w:pPr>
              <w:pStyle w:val="TAL"/>
              <w:rPr>
                <w:sz w:val="16"/>
                <w:szCs w:val="16"/>
              </w:rPr>
            </w:pPr>
            <w:r w:rsidRPr="00873B6C">
              <w:rPr>
                <w:sz w:val="16"/>
                <w:szCs w:val="16"/>
              </w:rPr>
              <w:t>Enabling restricted PDU Session for remote provisioning of UE via User Plane</w:t>
            </w:r>
          </w:p>
        </w:tc>
        <w:tc>
          <w:tcPr>
            <w:tcW w:w="708" w:type="dxa"/>
            <w:shd w:val="solid" w:color="FFFFFF" w:fill="auto"/>
          </w:tcPr>
          <w:p w14:paraId="482D2978" w14:textId="732C17A8" w:rsidR="00BA212C" w:rsidRPr="00873B6C" w:rsidRDefault="00BA212C" w:rsidP="009D14FB">
            <w:pPr>
              <w:pStyle w:val="TAC"/>
              <w:rPr>
                <w:sz w:val="16"/>
                <w:szCs w:val="16"/>
              </w:rPr>
            </w:pPr>
            <w:r w:rsidRPr="00873B6C">
              <w:rPr>
                <w:sz w:val="16"/>
                <w:szCs w:val="16"/>
              </w:rPr>
              <w:t>17.1.0</w:t>
            </w:r>
          </w:p>
        </w:tc>
      </w:tr>
      <w:tr w:rsidR="00BA212C" w:rsidRPr="00873B6C" w14:paraId="52B7720F" w14:textId="77777777" w:rsidTr="009D14FB">
        <w:tc>
          <w:tcPr>
            <w:tcW w:w="800" w:type="dxa"/>
            <w:shd w:val="solid" w:color="FFFFFF" w:fill="auto"/>
          </w:tcPr>
          <w:p w14:paraId="471EDDB4" w14:textId="629F816A"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062C1963" w14:textId="1C34A2CA"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64D69A05" w14:textId="4844B5C7" w:rsidR="00BA212C" w:rsidRPr="00873B6C" w:rsidRDefault="005E258C" w:rsidP="009D14FB">
            <w:pPr>
              <w:pStyle w:val="TAC"/>
              <w:rPr>
                <w:sz w:val="16"/>
                <w:szCs w:val="16"/>
              </w:rPr>
            </w:pPr>
            <w:r w:rsidRPr="00873B6C">
              <w:rPr>
                <w:sz w:val="16"/>
                <w:szCs w:val="16"/>
              </w:rPr>
              <w:t>SP-210572</w:t>
            </w:r>
          </w:p>
        </w:tc>
        <w:tc>
          <w:tcPr>
            <w:tcW w:w="567" w:type="dxa"/>
            <w:shd w:val="solid" w:color="FFFFFF" w:fill="auto"/>
          </w:tcPr>
          <w:p w14:paraId="17DF8E5B" w14:textId="44CA5505" w:rsidR="00BA212C" w:rsidRPr="00873B6C" w:rsidRDefault="00BA212C" w:rsidP="009D14FB">
            <w:pPr>
              <w:pStyle w:val="TAL"/>
              <w:rPr>
                <w:sz w:val="16"/>
                <w:szCs w:val="16"/>
              </w:rPr>
            </w:pPr>
            <w:r w:rsidRPr="00873B6C">
              <w:rPr>
                <w:sz w:val="16"/>
                <w:szCs w:val="16"/>
              </w:rPr>
              <w:t>2714</w:t>
            </w:r>
          </w:p>
        </w:tc>
        <w:tc>
          <w:tcPr>
            <w:tcW w:w="425" w:type="dxa"/>
            <w:shd w:val="solid" w:color="FFFFFF" w:fill="auto"/>
          </w:tcPr>
          <w:p w14:paraId="7664F90B" w14:textId="71BA6C3C" w:rsidR="00BA212C" w:rsidRPr="00873B6C" w:rsidRDefault="005E258C" w:rsidP="009D14FB">
            <w:pPr>
              <w:pStyle w:val="TAL"/>
              <w:rPr>
                <w:sz w:val="16"/>
                <w:szCs w:val="16"/>
              </w:rPr>
            </w:pPr>
            <w:r w:rsidRPr="00873B6C">
              <w:rPr>
                <w:sz w:val="16"/>
                <w:szCs w:val="16"/>
              </w:rPr>
              <w:t>4</w:t>
            </w:r>
          </w:p>
        </w:tc>
        <w:tc>
          <w:tcPr>
            <w:tcW w:w="425" w:type="dxa"/>
            <w:shd w:val="solid" w:color="FFFFFF" w:fill="auto"/>
          </w:tcPr>
          <w:p w14:paraId="1AB31FD9" w14:textId="7BD08E30"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64D97D41" w14:textId="0FEF8C01" w:rsidR="00BA212C" w:rsidRPr="00873B6C" w:rsidRDefault="00BA212C" w:rsidP="009D14FB">
            <w:pPr>
              <w:pStyle w:val="TAL"/>
              <w:rPr>
                <w:sz w:val="16"/>
                <w:szCs w:val="16"/>
              </w:rPr>
            </w:pPr>
            <w:r w:rsidRPr="00873B6C">
              <w:rPr>
                <w:sz w:val="16"/>
                <w:szCs w:val="16"/>
              </w:rPr>
              <w:t>Remote provisioning of credentials for NSSAA or secondary authentication/authorisation</w:t>
            </w:r>
          </w:p>
        </w:tc>
        <w:tc>
          <w:tcPr>
            <w:tcW w:w="708" w:type="dxa"/>
            <w:shd w:val="solid" w:color="FFFFFF" w:fill="auto"/>
          </w:tcPr>
          <w:p w14:paraId="06A71403" w14:textId="107E369D" w:rsidR="00BA212C" w:rsidRPr="00873B6C" w:rsidRDefault="00BA212C" w:rsidP="009D14FB">
            <w:pPr>
              <w:pStyle w:val="TAC"/>
              <w:rPr>
                <w:sz w:val="16"/>
                <w:szCs w:val="16"/>
              </w:rPr>
            </w:pPr>
            <w:r w:rsidRPr="00873B6C">
              <w:rPr>
                <w:sz w:val="16"/>
                <w:szCs w:val="16"/>
              </w:rPr>
              <w:t>17.1.0</w:t>
            </w:r>
          </w:p>
        </w:tc>
      </w:tr>
      <w:tr w:rsidR="00BA212C" w:rsidRPr="00873B6C" w14:paraId="397BC67D" w14:textId="77777777" w:rsidTr="009D14FB">
        <w:tc>
          <w:tcPr>
            <w:tcW w:w="800" w:type="dxa"/>
            <w:shd w:val="solid" w:color="FFFFFF" w:fill="auto"/>
          </w:tcPr>
          <w:p w14:paraId="4BFE87E9" w14:textId="5C7A6FB1"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7EB0DB3E" w14:textId="601BC1AD"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61D7E56A" w14:textId="3B5F1004" w:rsidR="00BA212C" w:rsidRPr="00873B6C" w:rsidRDefault="00BA212C" w:rsidP="009D14FB">
            <w:pPr>
              <w:pStyle w:val="TAC"/>
              <w:rPr>
                <w:sz w:val="16"/>
                <w:szCs w:val="16"/>
              </w:rPr>
            </w:pPr>
            <w:r w:rsidRPr="00873B6C">
              <w:rPr>
                <w:sz w:val="16"/>
                <w:szCs w:val="16"/>
              </w:rPr>
              <w:t>SP-210353</w:t>
            </w:r>
          </w:p>
        </w:tc>
        <w:tc>
          <w:tcPr>
            <w:tcW w:w="567" w:type="dxa"/>
            <w:shd w:val="solid" w:color="FFFFFF" w:fill="auto"/>
          </w:tcPr>
          <w:p w14:paraId="3288F225" w14:textId="005F0685" w:rsidR="00BA212C" w:rsidRPr="00873B6C" w:rsidRDefault="00BA212C" w:rsidP="009D14FB">
            <w:pPr>
              <w:pStyle w:val="TAL"/>
              <w:rPr>
                <w:sz w:val="16"/>
                <w:szCs w:val="16"/>
              </w:rPr>
            </w:pPr>
            <w:r w:rsidRPr="00873B6C">
              <w:rPr>
                <w:sz w:val="16"/>
                <w:szCs w:val="16"/>
              </w:rPr>
              <w:t>2717</w:t>
            </w:r>
          </w:p>
        </w:tc>
        <w:tc>
          <w:tcPr>
            <w:tcW w:w="425" w:type="dxa"/>
            <w:shd w:val="solid" w:color="FFFFFF" w:fill="auto"/>
          </w:tcPr>
          <w:p w14:paraId="4ABE38BA" w14:textId="3A658B60"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7E9315C0" w14:textId="064E01A5"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6BB67350" w14:textId="5154C038" w:rsidR="00BA212C" w:rsidRPr="00873B6C" w:rsidRDefault="00BA212C" w:rsidP="009D14FB">
            <w:pPr>
              <w:pStyle w:val="TAL"/>
              <w:rPr>
                <w:sz w:val="16"/>
                <w:szCs w:val="16"/>
              </w:rPr>
            </w:pPr>
            <w:r w:rsidRPr="00873B6C">
              <w:rPr>
                <w:sz w:val="16"/>
                <w:szCs w:val="16"/>
              </w:rPr>
              <w:t>Network access control by Credential Holder</w:t>
            </w:r>
          </w:p>
        </w:tc>
        <w:tc>
          <w:tcPr>
            <w:tcW w:w="708" w:type="dxa"/>
            <w:shd w:val="solid" w:color="FFFFFF" w:fill="auto"/>
          </w:tcPr>
          <w:p w14:paraId="5172BAF9" w14:textId="7285F12E" w:rsidR="00BA212C" w:rsidRPr="00873B6C" w:rsidRDefault="00BA212C" w:rsidP="009D14FB">
            <w:pPr>
              <w:pStyle w:val="TAC"/>
              <w:rPr>
                <w:sz w:val="16"/>
                <w:szCs w:val="16"/>
              </w:rPr>
            </w:pPr>
            <w:r w:rsidRPr="00873B6C">
              <w:rPr>
                <w:sz w:val="16"/>
                <w:szCs w:val="16"/>
              </w:rPr>
              <w:t>17.1.0</w:t>
            </w:r>
          </w:p>
        </w:tc>
      </w:tr>
      <w:tr w:rsidR="00BA212C" w:rsidRPr="00873B6C" w14:paraId="1848EF8D" w14:textId="77777777" w:rsidTr="009D14FB">
        <w:tc>
          <w:tcPr>
            <w:tcW w:w="800" w:type="dxa"/>
            <w:shd w:val="solid" w:color="FFFFFF" w:fill="auto"/>
          </w:tcPr>
          <w:p w14:paraId="0BF26FDB" w14:textId="411AA9CC"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6EB9D423" w14:textId="36F0CC14"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6A0C29AA" w14:textId="17839743" w:rsidR="00BA212C" w:rsidRPr="00873B6C" w:rsidRDefault="00BA212C" w:rsidP="009D14FB">
            <w:pPr>
              <w:pStyle w:val="TAC"/>
              <w:rPr>
                <w:sz w:val="16"/>
                <w:szCs w:val="16"/>
              </w:rPr>
            </w:pPr>
            <w:r w:rsidRPr="00873B6C">
              <w:rPr>
                <w:sz w:val="16"/>
                <w:szCs w:val="16"/>
              </w:rPr>
              <w:t>SP-210353</w:t>
            </w:r>
          </w:p>
        </w:tc>
        <w:tc>
          <w:tcPr>
            <w:tcW w:w="567" w:type="dxa"/>
            <w:shd w:val="solid" w:color="FFFFFF" w:fill="auto"/>
          </w:tcPr>
          <w:p w14:paraId="6FA74EC6" w14:textId="01B16658" w:rsidR="00BA212C" w:rsidRPr="00873B6C" w:rsidRDefault="00BA212C" w:rsidP="009D14FB">
            <w:pPr>
              <w:pStyle w:val="TAL"/>
              <w:rPr>
                <w:sz w:val="16"/>
                <w:szCs w:val="16"/>
              </w:rPr>
            </w:pPr>
            <w:r w:rsidRPr="00873B6C">
              <w:rPr>
                <w:sz w:val="16"/>
                <w:szCs w:val="16"/>
              </w:rPr>
              <w:t>2718</w:t>
            </w:r>
          </w:p>
        </w:tc>
        <w:tc>
          <w:tcPr>
            <w:tcW w:w="425" w:type="dxa"/>
            <w:shd w:val="solid" w:color="FFFFFF" w:fill="auto"/>
          </w:tcPr>
          <w:p w14:paraId="0085F0FA" w14:textId="2EA6B86E" w:rsidR="00BA212C" w:rsidRPr="00873B6C" w:rsidRDefault="00BA212C" w:rsidP="009D14FB">
            <w:pPr>
              <w:pStyle w:val="TAL"/>
              <w:rPr>
                <w:sz w:val="16"/>
                <w:szCs w:val="16"/>
              </w:rPr>
            </w:pPr>
            <w:r w:rsidRPr="00873B6C">
              <w:rPr>
                <w:sz w:val="16"/>
                <w:szCs w:val="16"/>
              </w:rPr>
              <w:t>4</w:t>
            </w:r>
          </w:p>
        </w:tc>
        <w:tc>
          <w:tcPr>
            <w:tcW w:w="425" w:type="dxa"/>
            <w:shd w:val="solid" w:color="FFFFFF" w:fill="auto"/>
          </w:tcPr>
          <w:p w14:paraId="2D7A61CA" w14:textId="4CE27225"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4B065A59" w14:textId="484EF115" w:rsidR="00BA212C" w:rsidRPr="00873B6C" w:rsidRDefault="00BA212C" w:rsidP="009D14FB">
            <w:pPr>
              <w:pStyle w:val="TAL"/>
              <w:rPr>
                <w:sz w:val="16"/>
                <w:szCs w:val="16"/>
              </w:rPr>
            </w:pPr>
            <w:r w:rsidRPr="00873B6C">
              <w:rPr>
                <w:sz w:val="16"/>
                <w:szCs w:val="16"/>
              </w:rPr>
              <w:t>KI#2 T2: Informative guideline for mapping QoS parameters and DSCP marking</w:t>
            </w:r>
          </w:p>
        </w:tc>
        <w:tc>
          <w:tcPr>
            <w:tcW w:w="708" w:type="dxa"/>
            <w:shd w:val="solid" w:color="FFFFFF" w:fill="auto"/>
          </w:tcPr>
          <w:p w14:paraId="4DC4F71D" w14:textId="69F2DD0C" w:rsidR="00BA212C" w:rsidRPr="00873B6C" w:rsidRDefault="00BA212C" w:rsidP="009D14FB">
            <w:pPr>
              <w:pStyle w:val="TAC"/>
              <w:rPr>
                <w:sz w:val="16"/>
                <w:szCs w:val="16"/>
              </w:rPr>
            </w:pPr>
            <w:r w:rsidRPr="00873B6C">
              <w:rPr>
                <w:sz w:val="16"/>
                <w:szCs w:val="16"/>
              </w:rPr>
              <w:t>17.1.0</w:t>
            </w:r>
          </w:p>
        </w:tc>
      </w:tr>
      <w:tr w:rsidR="00BA212C" w:rsidRPr="00873B6C" w14:paraId="65C07CDE" w14:textId="77777777" w:rsidTr="009D14FB">
        <w:tc>
          <w:tcPr>
            <w:tcW w:w="800" w:type="dxa"/>
            <w:shd w:val="solid" w:color="FFFFFF" w:fill="auto"/>
          </w:tcPr>
          <w:p w14:paraId="2F799186" w14:textId="24834517"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65D07FF2" w14:textId="5AFE412C"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0AC94A16" w14:textId="0D6E5791" w:rsidR="00BA212C" w:rsidRPr="00873B6C" w:rsidRDefault="00BA212C" w:rsidP="009D14FB">
            <w:pPr>
              <w:pStyle w:val="TAC"/>
              <w:rPr>
                <w:sz w:val="16"/>
                <w:szCs w:val="16"/>
              </w:rPr>
            </w:pPr>
            <w:r w:rsidRPr="00873B6C">
              <w:rPr>
                <w:sz w:val="16"/>
                <w:szCs w:val="16"/>
              </w:rPr>
              <w:t>SP-210355</w:t>
            </w:r>
          </w:p>
        </w:tc>
        <w:tc>
          <w:tcPr>
            <w:tcW w:w="567" w:type="dxa"/>
            <w:shd w:val="solid" w:color="FFFFFF" w:fill="auto"/>
          </w:tcPr>
          <w:p w14:paraId="672BDDA5" w14:textId="484256AD" w:rsidR="00BA212C" w:rsidRPr="00873B6C" w:rsidRDefault="00BA212C" w:rsidP="009D14FB">
            <w:pPr>
              <w:pStyle w:val="TAL"/>
              <w:rPr>
                <w:sz w:val="16"/>
                <w:szCs w:val="16"/>
              </w:rPr>
            </w:pPr>
            <w:r w:rsidRPr="00873B6C">
              <w:rPr>
                <w:sz w:val="16"/>
                <w:szCs w:val="16"/>
              </w:rPr>
              <w:t>2719</w:t>
            </w:r>
          </w:p>
        </w:tc>
        <w:tc>
          <w:tcPr>
            <w:tcW w:w="425" w:type="dxa"/>
            <w:shd w:val="solid" w:color="FFFFFF" w:fill="auto"/>
          </w:tcPr>
          <w:p w14:paraId="18E2F0DD" w14:textId="186E4E89" w:rsidR="00BA212C" w:rsidRPr="00873B6C" w:rsidRDefault="00BA212C" w:rsidP="009D14FB">
            <w:pPr>
              <w:pStyle w:val="TAL"/>
              <w:rPr>
                <w:sz w:val="16"/>
                <w:szCs w:val="16"/>
              </w:rPr>
            </w:pPr>
            <w:r w:rsidRPr="00873B6C">
              <w:rPr>
                <w:sz w:val="16"/>
                <w:szCs w:val="16"/>
              </w:rPr>
              <w:t>2</w:t>
            </w:r>
          </w:p>
        </w:tc>
        <w:tc>
          <w:tcPr>
            <w:tcW w:w="425" w:type="dxa"/>
            <w:shd w:val="solid" w:color="FFFFFF" w:fill="auto"/>
          </w:tcPr>
          <w:p w14:paraId="553F13AB" w14:textId="3769350C"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6FE2689A" w14:textId="54958366" w:rsidR="00BA212C" w:rsidRPr="00873B6C" w:rsidRDefault="00BA212C" w:rsidP="009D14FB">
            <w:pPr>
              <w:pStyle w:val="TAL"/>
              <w:rPr>
                <w:sz w:val="16"/>
                <w:szCs w:val="16"/>
              </w:rPr>
            </w:pPr>
            <w:r w:rsidRPr="00873B6C">
              <w:rPr>
                <w:sz w:val="16"/>
                <w:szCs w:val="16"/>
              </w:rPr>
              <w:t>Support of 5GC assisted cell selection to access network slice</w:t>
            </w:r>
          </w:p>
        </w:tc>
        <w:tc>
          <w:tcPr>
            <w:tcW w:w="708" w:type="dxa"/>
            <w:shd w:val="solid" w:color="FFFFFF" w:fill="auto"/>
          </w:tcPr>
          <w:p w14:paraId="5BD3C1D9" w14:textId="2BE4F507" w:rsidR="00BA212C" w:rsidRPr="00873B6C" w:rsidRDefault="00BA212C" w:rsidP="009D14FB">
            <w:pPr>
              <w:pStyle w:val="TAC"/>
              <w:rPr>
                <w:sz w:val="16"/>
                <w:szCs w:val="16"/>
              </w:rPr>
            </w:pPr>
            <w:r w:rsidRPr="00873B6C">
              <w:rPr>
                <w:sz w:val="16"/>
                <w:szCs w:val="16"/>
              </w:rPr>
              <w:t>17.1.0</w:t>
            </w:r>
          </w:p>
        </w:tc>
      </w:tr>
      <w:tr w:rsidR="00BA212C" w:rsidRPr="00873B6C" w14:paraId="44BFC97C" w14:textId="77777777" w:rsidTr="009D14FB">
        <w:tc>
          <w:tcPr>
            <w:tcW w:w="800" w:type="dxa"/>
            <w:shd w:val="solid" w:color="FFFFFF" w:fill="auto"/>
          </w:tcPr>
          <w:p w14:paraId="113D08AA" w14:textId="0CA16893"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6D821382" w14:textId="273590AB"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32335372" w14:textId="73CAEB54" w:rsidR="00BA212C" w:rsidRPr="00873B6C" w:rsidRDefault="00BA212C" w:rsidP="009D14FB">
            <w:pPr>
              <w:pStyle w:val="TAC"/>
              <w:rPr>
                <w:sz w:val="16"/>
                <w:szCs w:val="16"/>
              </w:rPr>
            </w:pPr>
            <w:r w:rsidRPr="00873B6C">
              <w:rPr>
                <w:sz w:val="16"/>
                <w:szCs w:val="16"/>
              </w:rPr>
              <w:t>SP-210345</w:t>
            </w:r>
          </w:p>
        </w:tc>
        <w:tc>
          <w:tcPr>
            <w:tcW w:w="567" w:type="dxa"/>
            <w:shd w:val="solid" w:color="FFFFFF" w:fill="auto"/>
          </w:tcPr>
          <w:p w14:paraId="76150192" w14:textId="017BA2B8" w:rsidR="00BA212C" w:rsidRPr="00873B6C" w:rsidRDefault="00BA212C" w:rsidP="009D14FB">
            <w:pPr>
              <w:pStyle w:val="TAL"/>
              <w:rPr>
                <w:sz w:val="16"/>
                <w:szCs w:val="16"/>
              </w:rPr>
            </w:pPr>
            <w:r w:rsidRPr="00873B6C">
              <w:rPr>
                <w:sz w:val="16"/>
                <w:szCs w:val="16"/>
              </w:rPr>
              <w:t>2720</w:t>
            </w:r>
          </w:p>
        </w:tc>
        <w:tc>
          <w:tcPr>
            <w:tcW w:w="425" w:type="dxa"/>
            <w:shd w:val="solid" w:color="FFFFFF" w:fill="auto"/>
          </w:tcPr>
          <w:p w14:paraId="1EEA30FB" w14:textId="405ACC04"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1965D93D" w14:textId="322C7F55"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734BBAA5" w14:textId="23770E4B" w:rsidR="00BA212C" w:rsidRPr="00873B6C" w:rsidRDefault="00BA212C" w:rsidP="009D14FB">
            <w:pPr>
              <w:pStyle w:val="TAL"/>
              <w:rPr>
                <w:sz w:val="16"/>
                <w:szCs w:val="16"/>
              </w:rPr>
            </w:pPr>
            <w:r w:rsidRPr="00873B6C">
              <w:rPr>
                <w:sz w:val="16"/>
                <w:szCs w:val="16"/>
              </w:rPr>
              <w:t xml:space="preserve">Decision to apply measurements per </w:t>
            </w:r>
            <w:r w:rsidR="00426DE4" w:rsidRPr="00873B6C">
              <w:rPr>
                <w:sz w:val="16"/>
                <w:szCs w:val="16"/>
              </w:rPr>
              <w:t>QoS Flow</w:t>
            </w:r>
          </w:p>
        </w:tc>
        <w:tc>
          <w:tcPr>
            <w:tcW w:w="708" w:type="dxa"/>
            <w:shd w:val="solid" w:color="FFFFFF" w:fill="auto"/>
          </w:tcPr>
          <w:p w14:paraId="3B4442B4" w14:textId="15717218" w:rsidR="00BA212C" w:rsidRPr="00873B6C" w:rsidRDefault="00BA212C" w:rsidP="009D14FB">
            <w:pPr>
              <w:pStyle w:val="TAC"/>
              <w:rPr>
                <w:sz w:val="16"/>
                <w:szCs w:val="16"/>
              </w:rPr>
            </w:pPr>
            <w:r w:rsidRPr="00873B6C">
              <w:rPr>
                <w:sz w:val="16"/>
                <w:szCs w:val="16"/>
              </w:rPr>
              <w:t>17.1.0</w:t>
            </w:r>
          </w:p>
        </w:tc>
      </w:tr>
      <w:tr w:rsidR="00B93E3D" w:rsidRPr="00873B6C" w14:paraId="2F9F1DD2" w14:textId="77777777" w:rsidTr="009D14FB">
        <w:tc>
          <w:tcPr>
            <w:tcW w:w="800" w:type="dxa"/>
            <w:shd w:val="solid" w:color="FFFFFF" w:fill="auto"/>
          </w:tcPr>
          <w:p w14:paraId="3DA40501" w14:textId="0647D31D"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5860C669" w14:textId="0C7AC080"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13A89C30" w14:textId="665F09D3" w:rsidR="00B93E3D" w:rsidRPr="00873B6C" w:rsidRDefault="00B93E3D" w:rsidP="009D14FB">
            <w:pPr>
              <w:pStyle w:val="TAC"/>
              <w:rPr>
                <w:sz w:val="16"/>
                <w:szCs w:val="16"/>
              </w:rPr>
            </w:pPr>
            <w:r w:rsidRPr="00873B6C">
              <w:rPr>
                <w:sz w:val="16"/>
                <w:szCs w:val="16"/>
              </w:rPr>
              <w:t>SP-210345</w:t>
            </w:r>
          </w:p>
        </w:tc>
        <w:tc>
          <w:tcPr>
            <w:tcW w:w="567" w:type="dxa"/>
            <w:shd w:val="solid" w:color="FFFFFF" w:fill="auto"/>
          </w:tcPr>
          <w:p w14:paraId="467CA272" w14:textId="6F0AD52A" w:rsidR="00B93E3D" w:rsidRPr="00873B6C" w:rsidRDefault="00B93E3D" w:rsidP="009D14FB">
            <w:pPr>
              <w:pStyle w:val="TAL"/>
              <w:rPr>
                <w:sz w:val="16"/>
                <w:szCs w:val="16"/>
              </w:rPr>
            </w:pPr>
            <w:r w:rsidRPr="00873B6C">
              <w:rPr>
                <w:sz w:val="16"/>
                <w:szCs w:val="16"/>
              </w:rPr>
              <w:t>2721</w:t>
            </w:r>
          </w:p>
        </w:tc>
        <w:tc>
          <w:tcPr>
            <w:tcW w:w="425" w:type="dxa"/>
            <w:shd w:val="solid" w:color="FFFFFF" w:fill="auto"/>
          </w:tcPr>
          <w:p w14:paraId="3670D46B" w14:textId="63F46B6E" w:rsidR="00B93E3D" w:rsidRPr="00873B6C" w:rsidRDefault="00B93E3D" w:rsidP="009D14FB">
            <w:pPr>
              <w:pStyle w:val="TAL"/>
              <w:rPr>
                <w:sz w:val="16"/>
                <w:szCs w:val="16"/>
              </w:rPr>
            </w:pPr>
            <w:r w:rsidRPr="00873B6C">
              <w:rPr>
                <w:sz w:val="16"/>
                <w:szCs w:val="16"/>
              </w:rPr>
              <w:t>5</w:t>
            </w:r>
          </w:p>
        </w:tc>
        <w:tc>
          <w:tcPr>
            <w:tcW w:w="425" w:type="dxa"/>
            <w:shd w:val="solid" w:color="FFFFFF" w:fill="auto"/>
          </w:tcPr>
          <w:p w14:paraId="2191E105" w14:textId="12ABCA66"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74722F9D" w14:textId="357D9D01" w:rsidR="00B93E3D" w:rsidRPr="00873B6C" w:rsidRDefault="00B93E3D" w:rsidP="009D14FB">
            <w:pPr>
              <w:pStyle w:val="TAL"/>
              <w:rPr>
                <w:sz w:val="16"/>
                <w:szCs w:val="16"/>
              </w:rPr>
            </w:pPr>
            <w:r w:rsidRPr="00873B6C">
              <w:rPr>
                <w:sz w:val="16"/>
                <w:szCs w:val="16"/>
              </w:rPr>
              <w:t xml:space="preserve">Send PMF messages to a target </w:t>
            </w:r>
            <w:r w:rsidR="00426DE4" w:rsidRPr="00873B6C">
              <w:rPr>
                <w:sz w:val="16"/>
                <w:szCs w:val="16"/>
              </w:rPr>
              <w:t>QoS Flow</w:t>
            </w:r>
          </w:p>
        </w:tc>
        <w:tc>
          <w:tcPr>
            <w:tcW w:w="708" w:type="dxa"/>
            <w:shd w:val="solid" w:color="FFFFFF" w:fill="auto"/>
          </w:tcPr>
          <w:p w14:paraId="5B99A015" w14:textId="5D5AEE04" w:rsidR="00B93E3D" w:rsidRPr="00873B6C" w:rsidRDefault="00B93E3D" w:rsidP="009D14FB">
            <w:pPr>
              <w:pStyle w:val="TAC"/>
              <w:rPr>
                <w:sz w:val="16"/>
                <w:szCs w:val="16"/>
              </w:rPr>
            </w:pPr>
            <w:r w:rsidRPr="00873B6C">
              <w:rPr>
                <w:sz w:val="16"/>
                <w:szCs w:val="16"/>
              </w:rPr>
              <w:t>17.1.0</w:t>
            </w:r>
          </w:p>
        </w:tc>
      </w:tr>
      <w:tr w:rsidR="00B93E3D" w:rsidRPr="00873B6C" w14:paraId="64D5AA8A" w14:textId="77777777" w:rsidTr="009D14FB">
        <w:tc>
          <w:tcPr>
            <w:tcW w:w="800" w:type="dxa"/>
            <w:shd w:val="solid" w:color="FFFFFF" w:fill="auto"/>
          </w:tcPr>
          <w:p w14:paraId="3E7D5B5E" w14:textId="73FC6F0F"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6A26FAB7" w14:textId="363D871D"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746D28F3" w14:textId="44095B1D" w:rsidR="00B93E3D" w:rsidRPr="00873B6C" w:rsidRDefault="00B93E3D" w:rsidP="009D14FB">
            <w:pPr>
              <w:pStyle w:val="TAC"/>
              <w:rPr>
                <w:sz w:val="16"/>
                <w:szCs w:val="16"/>
              </w:rPr>
            </w:pPr>
            <w:r w:rsidRPr="00873B6C">
              <w:rPr>
                <w:sz w:val="16"/>
                <w:szCs w:val="16"/>
              </w:rPr>
              <w:t>SP-210330</w:t>
            </w:r>
          </w:p>
        </w:tc>
        <w:tc>
          <w:tcPr>
            <w:tcW w:w="567" w:type="dxa"/>
            <w:shd w:val="solid" w:color="FFFFFF" w:fill="auto"/>
          </w:tcPr>
          <w:p w14:paraId="1AC8F6C1" w14:textId="3365781A" w:rsidR="00B93E3D" w:rsidRPr="00873B6C" w:rsidRDefault="00B93E3D" w:rsidP="009D14FB">
            <w:pPr>
              <w:pStyle w:val="TAL"/>
              <w:rPr>
                <w:sz w:val="16"/>
                <w:szCs w:val="16"/>
              </w:rPr>
            </w:pPr>
            <w:r w:rsidRPr="00873B6C">
              <w:rPr>
                <w:sz w:val="16"/>
                <w:szCs w:val="16"/>
              </w:rPr>
              <w:t>2723</w:t>
            </w:r>
          </w:p>
        </w:tc>
        <w:tc>
          <w:tcPr>
            <w:tcW w:w="425" w:type="dxa"/>
            <w:shd w:val="solid" w:color="FFFFFF" w:fill="auto"/>
          </w:tcPr>
          <w:p w14:paraId="2AAF02FC" w14:textId="38D313CF" w:rsidR="00B93E3D" w:rsidRPr="00873B6C" w:rsidRDefault="00B93E3D" w:rsidP="009D14FB">
            <w:pPr>
              <w:pStyle w:val="TAL"/>
              <w:rPr>
                <w:sz w:val="16"/>
                <w:szCs w:val="16"/>
              </w:rPr>
            </w:pPr>
            <w:r w:rsidRPr="00873B6C">
              <w:rPr>
                <w:sz w:val="16"/>
                <w:szCs w:val="16"/>
              </w:rPr>
              <w:t>-</w:t>
            </w:r>
          </w:p>
        </w:tc>
        <w:tc>
          <w:tcPr>
            <w:tcW w:w="425" w:type="dxa"/>
            <w:shd w:val="solid" w:color="FFFFFF" w:fill="auto"/>
          </w:tcPr>
          <w:p w14:paraId="17125238" w14:textId="1991E512" w:rsidR="00B93E3D" w:rsidRPr="00873B6C" w:rsidRDefault="00B93E3D" w:rsidP="009D14FB">
            <w:pPr>
              <w:pStyle w:val="TAL"/>
              <w:rPr>
                <w:sz w:val="16"/>
                <w:szCs w:val="16"/>
              </w:rPr>
            </w:pPr>
            <w:r w:rsidRPr="00873B6C">
              <w:rPr>
                <w:sz w:val="16"/>
                <w:szCs w:val="16"/>
              </w:rPr>
              <w:t>A</w:t>
            </w:r>
          </w:p>
        </w:tc>
        <w:tc>
          <w:tcPr>
            <w:tcW w:w="4820" w:type="dxa"/>
            <w:shd w:val="solid" w:color="FFFFFF" w:fill="auto"/>
          </w:tcPr>
          <w:p w14:paraId="34E8EB90" w14:textId="5F726E96" w:rsidR="00B93E3D" w:rsidRPr="00873B6C" w:rsidRDefault="00B93E3D" w:rsidP="009D14FB">
            <w:pPr>
              <w:pStyle w:val="TAL"/>
              <w:rPr>
                <w:sz w:val="16"/>
                <w:szCs w:val="16"/>
              </w:rPr>
            </w:pPr>
            <w:r w:rsidRPr="00873B6C">
              <w:rPr>
                <w:sz w:val="16"/>
                <w:szCs w:val="16"/>
              </w:rPr>
              <w:t>Correction to the N3IWF selection procedure</w:t>
            </w:r>
          </w:p>
        </w:tc>
        <w:tc>
          <w:tcPr>
            <w:tcW w:w="708" w:type="dxa"/>
            <w:shd w:val="solid" w:color="FFFFFF" w:fill="auto"/>
          </w:tcPr>
          <w:p w14:paraId="66A1B626" w14:textId="59ADF563" w:rsidR="00B93E3D" w:rsidRPr="00873B6C" w:rsidRDefault="00B93E3D" w:rsidP="009D14FB">
            <w:pPr>
              <w:pStyle w:val="TAC"/>
              <w:rPr>
                <w:sz w:val="16"/>
                <w:szCs w:val="16"/>
              </w:rPr>
            </w:pPr>
            <w:r w:rsidRPr="00873B6C">
              <w:rPr>
                <w:sz w:val="16"/>
                <w:szCs w:val="16"/>
              </w:rPr>
              <w:t>17.1.0</w:t>
            </w:r>
          </w:p>
        </w:tc>
      </w:tr>
      <w:tr w:rsidR="00B93E3D" w:rsidRPr="00873B6C" w14:paraId="0F22C4BC" w14:textId="77777777" w:rsidTr="009D14FB">
        <w:tc>
          <w:tcPr>
            <w:tcW w:w="800" w:type="dxa"/>
            <w:shd w:val="solid" w:color="FFFFFF" w:fill="auto"/>
          </w:tcPr>
          <w:p w14:paraId="660E4A8E" w14:textId="43E21C3D"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4D4F0BF7" w14:textId="546235FD"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6C8AEF86" w14:textId="794BFAA7" w:rsidR="00B93E3D" w:rsidRPr="00873B6C" w:rsidRDefault="00B93E3D" w:rsidP="009D14FB">
            <w:pPr>
              <w:pStyle w:val="TAC"/>
              <w:rPr>
                <w:sz w:val="16"/>
                <w:szCs w:val="16"/>
              </w:rPr>
            </w:pPr>
            <w:r w:rsidRPr="00873B6C">
              <w:rPr>
                <w:sz w:val="16"/>
                <w:szCs w:val="16"/>
              </w:rPr>
              <w:t>SP-210355</w:t>
            </w:r>
          </w:p>
        </w:tc>
        <w:tc>
          <w:tcPr>
            <w:tcW w:w="567" w:type="dxa"/>
            <w:shd w:val="solid" w:color="FFFFFF" w:fill="auto"/>
          </w:tcPr>
          <w:p w14:paraId="2913DDFE" w14:textId="7ABFB319" w:rsidR="00B93E3D" w:rsidRPr="00873B6C" w:rsidRDefault="00B93E3D" w:rsidP="009D14FB">
            <w:pPr>
              <w:pStyle w:val="TAL"/>
              <w:rPr>
                <w:sz w:val="16"/>
                <w:szCs w:val="16"/>
              </w:rPr>
            </w:pPr>
            <w:r w:rsidRPr="00873B6C">
              <w:rPr>
                <w:sz w:val="16"/>
                <w:szCs w:val="16"/>
              </w:rPr>
              <w:t>2727</w:t>
            </w:r>
          </w:p>
        </w:tc>
        <w:tc>
          <w:tcPr>
            <w:tcW w:w="425" w:type="dxa"/>
            <w:shd w:val="solid" w:color="FFFFFF" w:fill="auto"/>
          </w:tcPr>
          <w:p w14:paraId="7A382BEB" w14:textId="625CA2D1" w:rsidR="00B93E3D" w:rsidRPr="00873B6C" w:rsidRDefault="00B93E3D" w:rsidP="009D14FB">
            <w:pPr>
              <w:pStyle w:val="TAL"/>
              <w:rPr>
                <w:sz w:val="16"/>
                <w:szCs w:val="16"/>
              </w:rPr>
            </w:pPr>
            <w:r w:rsidRPr="00873B6C">
              <w:rPr>
                <w:sz w:val="16"/>
                <w:szCs w:val="16"/>
              </w:rPr>
              <w:t>2</w:t>
            </w:r>
          </w:p>
        </w:tc>
        <w:tc>
          <w:tcPr>
            <w:tcW w:w="425" w:type="dxa"/>
            <w:shd w:val="solid" w:color="FFFFFF" w:fill="auto"/>
          </w:tcPr>
          <w:p w14:paraId="57F9BD9F" w14:textId="04EA2202"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22EC624B" w14:textId="72492839" w:rsidR="00B93E3D" w:rsidRPr="00873B6C" w:rsidRDefault="00B93E3D" w:rsidP="009D14FB">
            <w:pPr>
              <w:pStyle w:val="TAL"/>
              <w:rPr>
                <w:sz w:val="16"/>
                <w:szCs w:val="16"/>
              </w:rPr>
            </w:pPr>
            <w:r w:rsidRPr="00873B6C">
              <w:rPr>
                <w:sz w:val="16"/>
                <w:szCs w:val="16"/>
              </w:rPr>
              <w:t>NSACF functional descriptions</w:t>
            </w:r>
          </w:p>
        </w:tc>
        <w:tc>
          <w:tcPr>
            <w:tcW w:w="708" w:type="dxa"/>
            <w:shd w:val="solid" w:color="FFFFFF" w:fill="auto"/>
          </w:tcPr>
          <w:p w14:paraId="61838F71" w14:textId="5EFEA809" w:rsidR="00B93E3D" w:rsidRPr="00873B6C" w:rsidRDefault="00B93E3D" w:rsidP="009D14FB">
            <w:pPr>
              <w:pStyle w:val="TAC"/>
              <w:rPr>
                <w:sz w:val="16"/>
                <w:szCs w:val="16"/>
              </w:rPr>
            </w:pPr>
            <w:r w:rsidRPr="00873B6C">
              <w:rPr>
                <w:sz w:val="16"/>
                <w:szCs w:val="16"/>
              </w:rPr>
              <w:t>17.1.0</w:t>
            </w:r>
          </w:p>
        </w:tc>
      </w:tr>
      <w:tr w:rsidR="00B93E3D" w:rsidRPr="00873B6C" w14:paraId="492FD4DD" w14:textId="77777777" w:rsidTr="009D14FB">
        <w:tc>
          <w:tcPr>
            <w:tcW w:w="800" w:type="dxa"/>
            <w:shd w:val="solid" w:color="FFFFFF" w:fill="auto"/>
          </w:tcPr>
          <w:p w14:paraId="4A4A77DD" w14:textId="4B05EB91"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25E525F0" w14:textId="3D2AE5E1"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62ED3B0E" w14:textId="7F633E5D" w:rsidR="00B93E3D" w:rsidRPr="00873B6C" w:rsidRDefault="00B93E3D" w:rsidP="009D14FB">
            <w:pPr>
              <w:pStyle w:val="TAC"/>
              <w:rPr>
                <w:sz w:val="16"/>
                <w:szCs w:val="16"/>
              </w:rPr>
            </w:pPr>
            <w:r w:rsidRPr="00873B6C">
              <w:rPr>
                <w:sz w:val="16"/>
                <w:szCs w:val="16"/>
              </w:rPr>
              <w:t>SP-210355</w:t>
            </w:r>
          </w:p>
        </w:tc>
        <w:tc>
          <w:tcPr>
            <w:tcW w:w="567" w:type="dxa"/>
            <w:shd w:val="solid" w:color="FFFFFF" w:fill="auto"/>
          </w:tcPr>
          <w:p w14:paraId="41FF843E" w14:textId="2F0F93A3" w:rsidR="00B93E3D" w:rsidRPr="00873B6C" w:rsidRDefault="00B93E3D" w:rsidP="009D14FB">
            <w:pPr>
              <w:pStyle w:val="TAL"/>
              <w:rPr>
                <w:sz w:val="16"/>
                <w:szCs w:val="16"/>
              </w:rPr>
            </w:pPr>
            <w:r w:rsidRPr="00873B6C">
              <w:rPr>
                <w:sz w:val="16"/>
                <w:szCs w:val="16"/>
              </w:rPr>
              <w:t>2728</w:t>
            </w:r>
          </w:p>
        </w:tc>
        <w:tc>
          <w:tcPr>
            <w:tcW w:w="425" w:type="dxa"/>
            <w:shd w:val="solid" w:color="FFFFFF" w:fill="auto"/>
          </w:tcPr>
          <w:p w14:paraId="0281178B" w14:textId="1CE2C36B" w:rsidR="00B93E3D" w:rsidRPr="00873B6C" w:rsidRDefault="00B93E3D" w:rsidP="009D14FB">
            <w:pPr>
              <w:pStyle w:val="TAL"/>
              <w:rPr>
                <w:sz w:val="16"/>
                <w:szCs w:val="16"/>
              </w:rPr>
            </w:pPr>
            <w:r w:rsidRPr="00873B6C">
              <w:rPr>
                <w:sz w:val="16"/>
                <w:szCs w:val="16"/>
              </w:rPr>
              <w:t>4</w:t>
            </w:r>
          </w:p>
        </w:tc>
        <w:tc>
          <w:tcPr>
            <w:tcW w:w="425" w:type="dxa"/>
            <w:shd w:val="solid" w:color="FFFFFF" w:fill="auto"/>
          </w:tcPr>
          <w:p w14:paraId="2D70DAE2" w14:textId="51EC9B88"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5D89CA19" w14:textId="0C78550B" w:rsidR="00B93E3D" w:rsidRPr="00873B6C" w:rsidRDefault="00B93E3D" w:rsidP="009D14FB">
            <w:pPr>
              <w:pStyle w:val="TAL"/>
              <w:rPr>
                <w:sz w:val="16"/>
                <w:szCs w:val="16"/>
              </w:rPr>
            </w:pPr>
            <w:r w:rsidRPr="00873B6C">
              <w:rPr>
                <w:sz w:val="16"/>
                <w:szCs w:val="16"/>
              </w:rPr>
              <w:t>Updates of NSACF discovery and selection</w:t>
            </w:r>
          </w:p>
        </w:tc>
        <w:tc>
          <w:tcPr>
            <w:tcW w:w="708" w:type="dxa"/>
            <w:shd w:val="solid" w:color="FFFFFF" w:fill="auto"/>
          </w:tcPr>
          <w:p w14:paraId="0A1B0231" w14:textId="17FE84FB" w:rsidR="00B93E3D" w:rsidRPr="00873B6C" w:rsidRDefault="00B93E3D" w:rsidP="009D14FB">
            <w:pPr>
              <w:pStyle w:val="TAC"/>
              <w:rPr>
                <w:sz w:val="16"/>
                <w:szCs w:val="16"/>
              </w:rPr>
            </w:pPr>
            <w:r w:rsidRPr="00873B6C">
              <w:rPr>
                <w:sz w:val="16"/>
                <w:szCs w:val="16"/>
              </w:rPr>
              <w:t>17.1.0</w:t>
            </w:r>
          </w:p>
        </w:tc>
      </w:tr>
      <w:tr w:rsidR="00B93E3D" w:rsidRPr="00873B6C" w14:paraId="4E8EF3DC" w14:textId="77777777" w:rsidTr="009D14FB">
        <w:tc>
          <w:tcPr>
            <w:tcW w:w="800" w:type="dxa"/>
            <w:shd w:val="solid" w:color="FFFFFF" w:fill="auto"/>
          </w:tcPr>
          <w:p w14:paraId="7FCAD3E1" w14:textId="5D2E2785"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232F49F6" w14:textId="4EAF0909"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68353982" w14:textId="6507494D" w:rsidR="00B93E3D" w:rsidRPr="00873B6C" w:rsidRDefault="00B93E3D" w:rsidP="009D14FB">
            <w:pPr>
              <w:pStyle w:val="TAC"/>
              <w:rPr>
                <w:sz w:val="16"/>
                <w:szCs w:val="16"/>
              </w:rPr>
            </w:pPr>
            <w:r w:rsidRPr="00873B6C">
              <w:rPr>
                <w:sz w:val="16"/>
                <w:szCs w:val="16"/>
              </w:rPr>
              <w:t>SP-210355</w:t>
            </w:r>
          </w:p>
        </w:tc>
        <w:tc>
          <w:tcPr>
            <w:tcW w:w="567" w:type="dxa"/>
            <w:shd w:val="solid" w:color="FFFFFF" w:fill="auto"/>
          </w:tcPr>
          <w:p w14:paraId="5CEC1394" w14:textId="6534B53B" w:rsidR="00B93E3D" w:rsidRPr="00873B6C" w:rsidRDefault="00B93E3D" w:rsidP="009D14FB">
            <w:pPr>
              <w:pStyle w:val="TAL"/>
              <w:rPr>
                <w:sz w:val="16"/>
                <w:szCs w:val="16"/>
              </w:rPr>
            </w:pPr>
            <w:r w:rsidRPr="00873B6C">
              <w:rPr>
                <w:sz w:val="16"/>
                <w:szCs w:val="16"/>
              </w:rPr>
              <w:t>2729</w:t>
            </w:r>
          </w:p>
        </w:tc>
        <w:tc>
          <w:tcPr>
            <w:tcW w:w="425" w:type="dxa"/>
            <w:shd w:val="solid" w:color="FFFFFF" w:fill="auto"/>
          </w:tcPr>
          <w:p w14:paraId="67B80F6C" w14:textId="19580A08" w:rsidR="00B93E3D" w:rsidRPr="00873B6C" w:rsidRDefault="00B93E3D" w:rsidP="009D14FB">
            <w:pPr>
              <w:pStyle w:val="TAL"/>
              <w:rPr>
                <w:sz w:val="16"/>
                <w:szCs w:val="16"/>
              </w:rPr>
            </w:pPr>
            <w:r w:rsidRPr="00873B6C">
              <w:rPr>
                <w:sz w:val="16"/>
                <w:szCs w:val="16"/>
              </w:rPr>
              <w:t>1</w:t>
            </w:r>
          </w:p>
        </w:tc>
        <w:tc>
          <w:tcPr>
            <w:tcW w:w="425" w:type="dxa"/>
            <w:shd w:val="solid" w:color="FFFFFF" w:fill="auto"/>
          </w:tcPr>
          <w:p w14:paraId="1B348957" w14:textId="5A2730C6"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49857FAF" w14:textId="51D149C1" w:rsidR="00B93E3D" w:rsidRPr="00873B6C" w:rsidRDefault="00B93E3D" w:rsidP="009D14FB">
            <w:pPr>
              <w:pStyle w:val="TAL"/>
              <w:rPr>
                <w:sz w:val="16"/>
                <w:szCs w:val="16"/>
              </w:rPr>
            </w:pPr>
            <w:r w:rsidRPr="00873B6C">
              <w:rPr>
                <w:sz w:val="16"/>
                <w:szCs w:val="16"/>
              </w:rPr>
              <w:t>NSAC support in roaming</w:t>
            </w:r>
          </w:p>
        </w:tc>
        <w:tc>
          <w:tcPr>
            <w:tcW w:w="708" w:type="dxa"/>
            <w:shd w:val="solid" w:color="FFFFFF" w:fill="auto"/>
          </w:tcPr>
          <w:p w14:paraId="21803571" w14:textId="31B8C1B8" w:rsidR="00B93E3D" w:rsidRPr="00873B6C" w:rsidRDefault="00B93E3D" w:rsidP="009D14FB">
            <w:pPr>
              <w:pStyle w:val="TAC"/>
              <w:rPr>
                <w:sz w:val="16"/>
                <w:szCs w:val="16"/>
              </w:rPr>
            </w:pPr>
            <w:r w:rsidRPr="00873B6C">
              <w:rPr>
                <w:sz w:val="16"/>
                <w:szCs w:val="16"/>
              </w:rPr>
              <w:t>17.1.0</w:t>
            </w:r>
          </w:p>
        </w:tc>
      </w:tr>
      <w:tr w:rsidR="00B93E3D" w:rsidRPr="00873B6C" w14:paraId="2BC56F16" w14:textId="77777777" w:rsidTr="009D14FB">
        <w:tc>
          <w:tcPr>
            <w:tcW w:w="800" w:type="dxa"/>
            <w:shd w:val="solid" w:color="FFFFFF" w:fill="auto"/>
          </w:tcPr>
          <w:p w14:paraId="24DC7B15" w14:textId="50437456"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396A9165" w14:textId="46D2DCCF"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4858B572" w14:textId="6CF6B7EC" w:rsidR="00B93E3D" w:rsidRPr="00873B6C" w:rsidRDefault="00B93E3D" w:rsidP="009D14FB">
            <w:pPr>
              <w:pStyle w:val="TAC"/>
              <w:rPr>
                <w:sz w:val="16"/>
                <w:szCs w:val="16"/>
              </w:rPr>
            </w:pPr>
            <w:r w:rsidRPr="00873B6C">
              <w:rPr>
                <w:sz w:val="16"/>
                <w:szCs w:val="16"/>
              </w:rPr>
              <w:t>SP-210363</w:t>
            </w:r>
          </w:p>
        </w:tc>
        <w:tc>
          <w:tcPr>
            <w:tcW w:w="567" w:type="dxa"/>
            <w:shd w:val="solid" w:color="FFFFFF" w:fill="auto"/>
          </w:tcPr>
          <w:p w14:paraId="0E35A385" w14:textId="7106AE87" w:rsidR="00B93E3D" w:rsidRPr="00873B6C" w:rsidRDefault="00B93E3D" w:rsidP="009D14FB">
            <w:pPr>
              <w:pStyle w:val="TAL"/>
              <w:rPr>
                <w:sz w:val="16"/>
                <w:szCs w:val="16"/>
              </w:rPr>
            </w:pPr>
            <w:r w:rsidRPr="00873B6C">
              <w:rPr>
                <w:sz w:val="16"/>
                <w:szCs w:val="16"/>
              </w:rPr>
              <w:t>2736</w:t>
            </w:r>
          </w:p>
        </w:tc>
        <w:tc>
          <w:tcPr>
            <w:tcW w:w="425" w:type="dxa"/>
            <w:shd w:val="solid" w:color="FFFFFF" w:fill="auto"/>
          </w:tcPr>
          <w:p w14:paraId="3ACED545" w14:textId="62B67A2F" w:rsidR="00B93E3D" w:rsidRPr="00873B6C" w:rsidRDefault="00B93E3D" w:rsidP="009D14FB">
            <w:pPr>
              <w:pStyle w:val="TAL"/>
              <w:rPr>
                <w:sz w:val="16"/>
                <w:szCs w:val="16"/>
              </w:rPr>
            </w:pPr>
            <w:r w:rsidRPr="00873B6C">
              <w:rPr>
                <w:sz w:val="16"/>
                <w:szCs w:val="16"/>
              </w:rPr>
              <w:t xml:space="preserve">4 </w:t>
            </w:r>
          </w:p>
        </w:tc>
        <w:tc>
          <w:tcPr>
            <w:tcW w:w="425" w:type="dxa"/>
            <w:shd w:val="solid" w:color="FFFFFF" w:fill="auto"/>
          </w:tcPr>
          <w:p w14:paraId="2BD89B7F" w14:textId="24E71D31"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2FD23267" w14:textId="286193A6" w:rsidR="00B93E3D" w:rsidRPr="00873B6C" w:rsidRDefault="00B93E3D" w:rsidP="009D14FB">
            <w:pPr>
              <w:pStyle w:val="TAL"/>
              <w:rPr>
                <w:sz w:val="16"/>
                <w:szCs w:val="16"/>
              </w:rPr>
            </w:pPr>
            <w:r w:rsidRPr="00873B6C">
              <w:rPr>
                <w:sz w:val="16"/>
                <w:szCs w:val="16"/>
              </w:rPr>
              <w:t>Clarification on UE provides PDU Session Pair ID based on URSP rules</w:t>
            </w:r>
          </w:p>
        </w:tc>
        <w:tc>
          <w:tcPr>
            <w:tcW w:w="708" w:type="dxa"/>
            <w:shd w:val="solid" w:color="FFFFFF" w:fill="auto"/>
          </w:tcPr>
          <w:p w14:paraId="2DE45609" w14:textId="7E65BBA5" w:rsidR="00B93E3D" w:rsidRPr="00873B6C" w:rsidRDefault="00B93E3D" w:rsidP="009D14FB">
            <w:pPr>
              <w:pStyle w:val="TAC"/>
              <w:rPr>
                <w:sz w:val="16"/>
                <w:szCs w:val="16"/>
              </w:rPr>
            </w:pPr>
            <w:r w:rsidRPr="00873B6C">
              <w:rPr>
                <w:sz w:val="16"/>
                <w:szCs w:val="16"/>
              </w:rPr>
              <w:t>17.1.0</w:t>
            </w:r>
          </w:p>
        </w:tc>
      </w:tr>
      <w:tr w:rsidR="00B04F2B" w:rsidRPr="00873B6C" w14:paraId="7010480B" w14:textId="77777777" w:rsidTr="009D14FB">
        <w:tc>
          <w:tcPr>
            <w:tcW w:w="800" w:type="dxa"/>
            <w:shd w:val="solid" w:color="FFFFFF" w:fill="auto"/>
          </w:tcPr>
          <w:p w14:paraId="702A710B" w14:textId="3BA8BB64"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273FA231" w14:textId="5329CCA9"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4F3DFA8E" w14:textId="426BB700" w:rsidR="00B04F2B" w:rsidRPr="00873B6C" w:rsidRDefault="00B04F2B" w:rsidP="009D14FB">
            <w:pPr>
              <w:pStyle w:val="TAC"/>
              <w:rPr>
                <w:sz w:val="16"/>
                <w:szCs w:val="16"/>
              </w:rPr>
            </w:pPr>
            <w:r w:rsidRPr="00873B6C">
              <w:rPr>
                <w:sz w:val="16"/>
                <w:szCs w:val="16"/>
              </w:rPr>
              <w:t>SP-210337</w:t>
            </w:r>
          </w:p>
        </w:tc>
        <w:tc>
          <w:tcPr>
            <w:tcW w:w="567" w:type="dxa"/>
            <w:shd w:val="solid" w:color="FFFFFF" w:fill="auto"/>
          </w:tcPr>
          <w:p w14:paraId="17C201BD" w14:textId="5AD52B3E" w:rsidR="00B04F2B" w:rsidRPr="00873B6C" w:rsidRDefault="00B04F2B" w:rsidP="009D14FB">
            <w:pPr>
              <w:pStyle w:val="TAL"/>
              <w:rPr>
                <w:sz w:val="16"/>
                <w:szCs w:val="16"/>
              </w:rPr>
            </w:pPr>
            <w:r w:rsidRPr="00873B6C">
              <w:rPr>
                <w:sz w:val="16"/>
                <w:szCs w:val="16"/>
              </w:rPr>
              <w:t>2740</w:t>
            </w:r>
          </w:p>
        </w:tc>
        <w:tc>
          <w:tcPr>
            <w:tcW w:w="425" w:type="dxa"/>
            <w:shd w:val="solid" w:color="FFFFFF" w:fill="auto"/>
          </w:tcPr>
          <w:p w14:paraId="08C97592" w14:textId="048A1938" w:rsidR="00B04F2B" w:rsidRPr="00873B6C" w:rsidRDefault="00B04F2B" w:rsidP="009D14FB">
            <w:pPr>
              <w:pStyle w:val="TAL"/>
              <w:rPr>
                <w:sz w:val="16"/>
                <w:szCs w:val="16"/>
              </w:rPr>
            </w:pPr>
            <w:r w:rsidRPr="00873B6C">
              <w:rPr>
                <w:sz w:val="16"/>
                <w:szCs w:val="16"/>
              </w:rPr>
              <w:t>2</w:t>
            </w:r>
          </w:p>
        </w:tc>
        <w:tc>
          <w:tcPr>
            <w:tcW w:w="425" w:type="dxa"/>
            <w:shd w:val="solid" w:color="FFFFFF" w:fill="auto"/>
          </w:tcPr>
          <w:p w14:paraId="33B02793" w14:textId="40B793BA"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07EAFB76" w14:textId="081E584C" w:rsidR="00B04F2B" w:rsidRPr="00873B6C" w:rsidRDefault="00B04F2B" w:rsidP="009D14FB">
            <w:pPr>
              <w:pStyle w:val="TAL"/>
              <w:rPr>
                <w:sz w:val="16"/>
                <w:szCs w:val="16"/>
              </w:rPr>
            </w:pPr>
            <w:r w:rsidRPr="00873B6C">
              <w:rPr>
                <w:sz w:val="16"/>
                <w:szCs w:val="16"/>
              </w:rPr>
              <w:t>New standardized 5QI values for Advanced Interactive Services</w:t>
            </w:r>
          </w:p>
        </w:tc>
        <w:tc>
          <w:tcPr>
            <w:tcW w:w="708" w:type="dxa"/>
            <w:shd w:val="solid" w:color="FFFFFF" w:fill="auto"/>
          </w:tcPr>
          <w:p w14:paraId="5CBD952A" w14:textId="3DFF3475" w:rsidR="00B04F2B" w:rsidRPr="00873B6C" w:rsidRDefault="00B04F2B" w:rsidP="009D14FB">
            <w:pPr>
              <w:pStyle w:val="TAC"/>
              <w:rPr>
                <w:sz w:val="16"/>
                <w:szCs w:val="16"/>
              </w:rPr>
            </w:pPr>
            <w:r w:rsidRPr="00873B6C">
              <w:rPr>
                <w:sz w:val="16"/>
                <w:szCs w:val="16"/>
              </w:rPr>
              <w:t>17.1.0</w:t>
            </w:r>
          </w:p>
        </w:tc>
      </w:tr>
      <w:tr w:rsidR="00B04F2B" w:rsidRPr="00873B6C" w14:paraId="73920B9E" w14:textId="77777777" w:rsidTr="009D14FB">
        <w:tc>
          <w:tcPr>
            <w:tcW w:w="800" w:type="dxa"/>
            <w:shd w:val="solid" w:color="FFFFFF" w:fill="auto"/>
          </w:tcPr>
          <w:p w14:paraId="55937924" w14:textId="44D49945"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159B418F" w14:textId="2B08C30F"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002EB883" w14:textId="02639B56" w:rsidR="00B04F2B" w:rsidRPr="00873B6C" w:rsidRDefault="00B04F2B" w:rsidP="009D14FB">
            <w:pPr>
              <w:pStyle w:val="TAC"/>
              <w:rPr>
                <w:sz w:val="16"/>
                <w:szCs w:val="16"/>
              </w:rPr>
            </w:pPr>
            <w:r w:rsidRPr="00873B6C">
              <w:rPr>
                <w:sz w:val="16"/>
                <w:szCs w:val="16"/>
              </w:rPr>
              <w:t>SP-210345</w:t>
            </w:r>
          </w:p>
        </w:tc>
        <w:tc>
          <w:tcPr>
            <w:tcW w:w="567" w:type="dxa"/>
            <w:shd w:val="solid" w:color="FFFFFF" w:fill="auto"/>
          </w:tcPr>
          <w:p w14:paraId="1B69177D" w14:textId="14FFF6C5" w:rsidR="00B04F2B" w:rsidRPr="00873B6C" w:rsidRDefault="00B04F2B" w:rsidP="009D14FB">
            <w:pPr>
              <w:pStyle w:val="TAL"/>
              <w:rPr>
                <w:sz w:val="16"/>
                <w:szCs w:val="16"/>
              </w:rPr>
            </w:pPr>
            <w:r w:rsidRPr="00873B6C">
              <w:rPr>
                <w:sz w:val="16"/>
                <w:szCs w:val="16"/>
              </w:rPr>
              <w:t>2743</w:t>
            </w:r>
          </w:p>
        </w:tc>
        <w:tc>
          <w:tcPr>
            <w:tcW w:w="425" w:type="dxa"/>
            <w:shd w:val="solid" w:color="FFFFFF" w:fill="auto"/>
          </w:tcPr>
          <w:p w14:paraId="29B6DC19" w14:textId="3C0CE2B4" w:rsidR="00B04F2B" w:rsidRPr="00873B6C" w:rsidRDefault="00B04F2B" w:rsidP="009D14FB">
            <w:pPr>
              <w:pStyle w:val="TAL"/>
              <w:rPr>
                <w:sz w:val="16"/>
                <w:szCs w:val="16"/>
              </w:rPr>
            </w:pPr>
            <w:r w:rsidRPr="00873B6C">
              <w:rPr>
                <w:sz w:val="16"/>
                <w:szCs w:val="16"/>
              </w:rPr>
              <w:t>3</w:t>
            </w:r>
          </w:p>
        </w:tc>
        <w:tc>
          <w:tcPr>
            <w:tcW w:w="425" w:type="dxa"/>
            <w:shd w:val="solid" w:color="FFFFFF" w:fill="auto"/>
          </w:tcPr>
          <w:p w14:paraId="67266A18" w14:textId="2A9CEDAC"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47C111B4" w14:textId="572775CA" w:rsidR="00B04F2B" w:rsidRPr="00873B6C" w:rsidRDefault="00B04F2B" w:rsidP="009D14FB">
            <w:pPr>
              <w:pStyle w:val="TAL"/>
              <w:rPr>
                <w:sz w:val="16"/>
                <w:szCs w:val="16"/>
              </w:rPr>
            </w:pPr>
            <w:r w:rsidRPr="00873B6C">
              <w:rPr>
                <w:sz w:val="16"/>
                <w:szCs w:val="16"/>
              </w:rPr>
              <w:t>Introduction of UE-assistance operation</w:t>
            </w:r>
          </w:p>
        </w:tc>
        <w:tc>
          <w:tcPr>
            <w:tcW w:w="708" w:type="dxa"/>
            <w:shd w:val="solid" w:color="FFFFFF" w:fill="auto"/>
          </w:tcPr>
          <w:p w14:paraId="54D11150" w14:textId="52595E15" w:rsidR="00B04F2B" w:rsidRPr="00873B6C" w:rsidRDefault="00B04F2B" w:rsidP="009D14FB">
            <w:pPr>
              <w:pStyle w:val="TAC"/>
              <w:rPr>
                <w:sz w:val="16"/>
                <w:szCs w:val="16"/>
              </w:rPr>
            </w:pPr>
            <w:r w:rsidRPr="00873B6C">
              <w:rPr>
                <w:sz w:val="16"/>
                <w:szCs w:val="16"/>
              </w:rPr>
              <w:t>17.1.0</w:t>
            </w:r>
          </w:p>
        </w:tc>
      </w:tr>
      <w:tr w:rsidR="00B04F2B" w:rsidRPr="00873B6C" w14:paraId="475A1E6E" w14:textId="77777777" w:rsidTr="009D14FB">
        <w:tc>
          <w:tcPr>
            <w:tcW w:w="800" w:type="dxa"/>
            <w:shd w:val="solid" w:color="FFFFFF" w:fill="auto"/>
          </w:tcPr>
          <w:p w14:paraId="2D4FD825" w14:textId="674E3CD9"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6B23D530" w14:textId="3F813756"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58B672CB" w14:textId="07E54DB4" w:rsidR="00B04F2B" w:rsidRPr="00873B6C" w:rsidRDefault="00B04F2B" w:rsidP="009D14FB">
            <w:pPr>
              <w:pStyle w:val="TAC"/>
              <w:rPr>
                <w:sz w:val="16"/>
                <w:szCs w:val="16"/>
              </w:rPr>
            </w:pPr>
            <w:r w:rsidRPr="00873B6C">
              <w:rPr>
                <w:sz w:val="16"/>
                <w:szCs w:val="16"/>
              </w:rPr>
              <w:t>SP-210345</w:t>
            </w:r>
          </w:p>
        </w:tc>
        <w:tc>
          <w:tcPr>
            <w:tcW w:w="567" w:type="dxa"/>
            <w:shd w:val="solid" w:color="FFFFFF" w:fill="auto"/>
          </w:tcPr>
          <w:p w14:paraId="6A5EC65C" w14:textId="5B0CE9AB" w:rsidR="00B04F2B" w:rsidRPr="00873B6C" w:rsidRDefault="00B04F2B" w:rsidP="009D14FB">
            <w:pPr>
              <w:pStyle w:val="TAL"/>
              <w:rPr>
                <w:sz w:val="16"/>
                <w:szCs w:val="16"/>
              </w:rPr>
            </w:pPr>
            <w:r w:rsidRPr="00873B6C">
              <w:rPr>
                <w:sz w:val="16"/>
                <w:szCs w:val="16"/>
              </w:rPr>
              <w:t>2744</w:t>
            </w:r>
          </w:p>
        </w:tc>
        <w:tc>
          <w:tcPr>
            <w:tcW w:w="425" w:type="dxa"/>
            <w:shd w:val="solid" w:color="FFFFFF" w:fill="auto"/>
          </w:tcPr>
          <w:p w14:paraId="50ECB7D9" w14:textId="0C911ACA" w:rsidR="00B04F2B" w:rsidRPr="00873B6C" w:rsidRDefault="00B04F2B" w:rsidP="009D14FB">
            <w:pPr>
              <w:pStyle w:val="TAL"/>
              <w:rPr>
                <w:sz w:val="16"/>
                <w:szCs w:val="16"/>
              </w:rPr>
            </w:pPr>
            <w:r w:rsidRPr="00873B6C">
              <w:rPr>
                <w:sz w:val="16"/>
                <w:szCs w:val="16"/>
              </w:rPr>
              <w:t>1</w:t>
            </w:r>
          </w:p>
        </w:tc>
        <w:tc>
          <w:tcPr>
            <w:tcW w:w="425" w:type="dxa"/>
            <w:shd w:val="solid" w:color="FFFFFF" w:fill="auto"/>
          </w:tcPr>
          <w:p w14:paraId="2455E669" w14:textId="3FC49F91"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0E75172D" w14:textId="746954C0" w:rsidR="00B04F2B" w:rsidRPr="00873B6C" w:rsidRDefault="00B04F2B" w:rsidP="009D14FB">
            <w:pPr>
              <w:pStyle w:val="TAL"/>
              <w:rPr>
                <w:sz w:val="16"/>
                <w:szCs w:val="16"/>
              </w:rPr>
            </w:pPr>
            <w:r w:rsidRPr="00873B6C">
              <w:rPr>
                <w:sz w:val="16"/>
                <w:szCs w:val="16"/>
              </w:rPr>
              <w:t>Thresholds for Priority-based mode</w:t>
            </w:r>
          </w:p>
        </w:tc>
        <w:tc>
          <w:tcPr>
            <w:tcW w:w="708" w:type="dxa"/>
            <w:shd w:val="solid" w:color="FFFFFF" w:fill="auto"/>
          </w:tcPr>
          <w:p w14:paraId="3D06C255" w14:textId="7BB0F16D" w:rsidR="00B04F2B" w:rsidRPr="00873B6C" w:rsidRDefault="00B04F2B" w:rsidP="009D14FB">
            <w:pPr>
              <w:pStyle w:val="TAC"/>
              <w:rPr>
                <w:sz w:val="16"/>
                <w:szCs w:val="16"/>
              </w:rPr>
            </w:pPr>
            <w:r w:rsidRPr="00873B6C">
              <w:rPr>
                <w:sz w:val="16"/>
                <w:szCs w:val="16"/>
              </w:rPr>
              <w:t>17.1.0</w:t>
            </w:r>
          </w:p>
        </w:tc>
      </w:tr>
      <w:tr w:rsidR="00B04F2B" w:rsidRPr="00873B6C" w14:paraId="5B081704" w14:textId="77777777" w:rsidTr="009D14FB">
        <w:tc>
          <w:tcPr>
            <w:tcW w:w="800" w:type="dxa"/>
            <w:shd w:val="solid" w:color="FFFFFF" w:fill="auto"/>
          </w:tcPr>
          <w:p w14:paraId="7839C3AE" w14:textId="6067D6E8"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5B14DE20" w14:textId="0AAC760D"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4A9A4B77" w14:textId="1A1234D0" w:rsidR="00B04F2B" w:rsidRPr="00873B6C" w:rsidRDefault="00B04F2B" w:rsidP="009D14FB">
            <w:pPr>
              <w:pStyle w:val="TAC"/>
              <w:rPr>
                <w:sz w:val="16"/>
                <w:szCs w:val="16"/>
              </w:rPr>
            </w:pPr>
            <w:r w:rsidRPr="00873B6C">
              <w:rPr>
                <w:sz w:val="16"/>
                <w:szCs w:val="16"/>
              </w:rPr>
              <w:t>SP-210345</w:t>
            </w:r>
          </w:p>
        </w:tc>
        <w:tc>
          <w:tcPr>
            <w:tcW w:w="567" w:type="dxa"/>
            <w:shd w:val="solid" w:color="FFFFFF" w:fill="auto"/>
          </w:tcPr>
          <w:p w14:paraId="1C4DE5E8" w14:textId="64310457" w:rsidR="00B04F2B" w:rsidRPr="00873B6C" w:rsidRDefault="00B04F2B" w:rsidP="009D14FB">
            <w:pPr>
              <w:pStyle w:val="TAL"/>
              <w:rPr>
                <w:sz w:val="16"/>
                <w:szCs w:val="16"/>
              </w:rPr>
            </w:pPr>
            <w:r w:rsidRPr="00873B6C">
              <w:rPr>
                <w:sz w:val="16"/>
                <w:szCs w:val="16"/>
              </w:rPr>
              <w:t>2746</w:t>
            </w:r>
          </w:p>
        </w:tc>
        <w:tc>
          <w:tcPr>
            <w:tcW w:w="425" w:type="dxa"/>
            <w:shd w:val="solid" w:color="FFFFFF" w:fill="auto"/>
          </w:tcPr>
          <w:p w14:paraId="7379A84E" w14:textId="25A1144E" w:rsidR="00B04F2B" w:rsidRPr="00873B6C" w:rsidRDefault="00B04F2B" w:rsidP="009D14FB">
            <w:pPr>
              <w:pStyle w:val="TAL"/>
              <w:rPr>
                <w:sz w:val="16"/>
                <w:szCs w:val="16"/>
              </w:rPr>
            </w:pPr>
            <w:r w:rsidRPr="00873B6C">
              <w:rPr>
                <w:sz w:val="16"/>
                <w:szCs w:val="16"/>
              </w:rPr>
              <w:t>3</w:t>
            </w:r>
          </w:p>
        </w:tc>
        <w:tc>
          <w:tcPr>
            <w:tcW w:w="425" w:type="dxa"/>
            <w:shd w:val="solid" w:color="FFFFFF" w:fill="auto"/>
          </w:tcPr>
          <w:p w14:paraId="1D3AACED" w14:textId="7A7CE89A"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6F08CBD9" w14:textId="4E492680" w:rsidR="00B04F2B" w:rsidRPr="00873B6C" w:rsidRDefault="00B04F2B" w:rsidP="009D14FB">
            <w:pPr>
              <w:pStyle w:val="TAL"/>
              <w:rPr>
                <w:sz w:val="16"/>
                <w:szCs w:val="16"/>
              </w:rPr>
            </w:pPr>
            <w:r w:rsidRPr="00873B6C">
              <w:rPr>
                <w:sz w:val="16"/>
                <w:szCs w:val="16"/>
              </w:rPr>
              <w:t>QoS Flow recognition for per QoS Flow measurements</w:t>
            </w:r>
          </w:p>
        </w:tc>
        <w:tc>
          <w:tcPr>
            <w:tcW w:w="708" w:type="dxa"/>
            <w:shd w:val="solid" w:color="FFFFFF" w:fill="auto"/>
          </w:tcPr>
          <w:p w14:paraId="3F81362C" w14:textId="28DC6F56" w:rsidR="00B04F2B" w:rsidRPr="00873B6C" w:rsidRDefault="00B04F2B" w:rsidP="009D14FB">
            <w:pPr>
              <w:pStyle w:val="TAC"/>
              <w:rPr>
                <w:sz w:val="16"/>
                <w:szCs w:val="16"/>
              </w:rPr>
            </w:pPr>
            <w:r w:rsidRPr="00873B6C">
              <w:rPr>
                <w:sz w:val="16"/>
                <w:szCs w:val="16"/>
              </w:rPr>
              <w:t>17.1.0</w:t>
            </w:r>
          </w:p>
        </w:tc>
      </w:tr>
      <w:tr w:rsidR="00B04F2B" w:rsidRPr="00873B6C" w14:paraId="42344C73" w14:textId="77777777" w:rsidTr="009D14FB">
        <w:tc>
          <w:tcPr>
            <w:tcW w:w="800" w:type="dxa"/>
            <w:shd w:val="solid" w:color="FFFFFF" w:fill="auto"/>
          </w:tcPr>
          <w:p w14:paraId="09FE6226" w14:textId="6B65AC25"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7F07FAA2" w14:textId="3689F583"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702706D8" w14:textId="39165EA5" w:rsidR="00B04F2B" w:rsidRPr="00873B6C" w:rsidRDefault="00B04F2B" w:rsidP="009D14FB">
            <w:pPr>
              <w:pStyle w:val="TAC"/>
              <w:rPr>
                <w:sz w:val="16"/>
                <w:szCs w:val="16"/>
              </w:rPr>
            </w:pPr>
            <w:r w:rsidRPr="00873B6C">
              <w:rPr>
                <w:sz w:val="16"/>
                <w:szCs w:val="16"/>
              </w:rPr>
              <w:t>SP-210353</w:t>
            </w:r>
          </w:p>
        </w:tc>
        <w:tc>
          <w:tcPr>
            <w:tcW w:w="567" w:type="dxa"/>
            <w:shd w:val="solid" w:color="FFFFFF" w:fill="auto"/>
          </w:tcPr>
          <w:p w14:paraId="243E7F30" w14:textId="316201B5" w:rsidR="00B04F2B" w:rsidRPr="00873B6C" w:rsidRDefault="00B04F2B" w:rsidP="009D14FB">
            <w:pPr>
              <w:pStyle w:val="TAL"/>
              <w:rPr>
                <w:sz w:val="16"/>
                <w:szCs w:val="16"/>
              </w:rPr>
            </w:pPr>
            <w:r w:rsidRPr="00873B6C">
              <w:rPr>
                <w:sz w:val="16"/>
                <w:szCs w:val="16"/>
              </w:rPr>
              <w:t>2755</w:t>
            </w:r>
          </w:p>
        </w:tc>
        <w:tc>
          <w:tcPr>
            <w:tcW w:w="425" w:type="dxa"/>
            <w:shd w:val="solid" w:color="FFFFFF" w:fill="auto"/>
          </w:tcPr>
          <w:p w14:paraId="0CA20B83" w14:textId="437AA2FE" w:rsidR="00B04F2B" w:rsidRPr="00873B6C" w:rsidRDefault="00B04F2B" w:rsidP="009D14FB">
            <w:pPr>
              <w:pStyle w:val="TAL"/>
              <w:rPr>
                <w:sz w:val="16"/>
                <w:szCs w:val="16"/>
              </w:rPr>
            </w:pPr>
            <w:r w:rsidRPr="00873B6C">
              <w:rPr>
                <w:sz w:val="16"/>
                <w:szCs w:val="16"/>
              </w:rPr>
              <w:t>3</w:t>
            </w:r>
          </w:p>
        </w:tc>
        <w:tc>
          <w:tcPr>
            <w:tcW w:w="425" w:type="dxa"/>
            <w:shd w:val="solid" w:color="FFFFFF" w:fill="auto"/>
          </w:tcPr>
          <w:p w14:paraId="3FA06779" w14:textId="6BFED76C"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07AE605B" w14:textId="2224A0C7" w:rsidR="00B04F2B" w:rsidRPr="00873B6C" w:rsidRDefault="00B04F2B" w:rsidP="009D14FB">
            <w:pPr>
              <w:pStyle w:val="TAL"/>
              <w:rPr>
                <w:sz w:val="16"/>
                <w:szCs w:val="16"/>
              </w:rPr>
            </w:pPr>
            <w:r w:rsidRPr="00873B6C">
              <w:rPr>
                <w:sz w:val="16"/>
                <w:szCs w:val="16"/>
              </w:rPr>
              <w:t xml:space="preserve">De-registration for onboarding registered UE </w:t>
            </w:r>
          </w:p>
        </w:tc>
        <w:tc>
          <w:tcPr>
            <w:tcW w:w="708" w:type="dxa"/>
            <w:shd w:val="solid" w:color="FFFFFF" w:fill="auto"/>
          </w:tcPr>
          <w:p w14:paraId="47B33CE7" w14:textId="65DDCCC4" w:rsidR="00B04F2B" w:rsidRPr="00873B6C" w:rsidRDefault="00B04F2B" w:rsidP="009D14FB">
            <w:pPr>
              <w:pStyle w:val="TAC"/>
              <w:rPr>
                <w:sz w:val="16"/>
                <w:szCs w:val="16"/>
              </w:rPr>
            </w:pPr>
            <w:r w:rsidRPr="00873B6C">
              <w:rPr>
                <w:sz w:val="16"/>
                <w:szCs w:val="16"/>
              </w:rPr>
              <w:t>17.1.0</w:t>
            </w:r>
          </w:p>
        </w:tc>
      </w:tr>
      <w:tr w:rsidR="00B04F2B" w:rsidRPr="00873B6C" w14:paraId="47AB6DFF" w14:textId="77777777" w:rsidTr="009D14FB">
        <w:tc>
          <w:tcPr>
            <w:tcW w:w="800" w:type="dxa"/>
            <w:shd w:val="solid" w:color="FFFFFF" w:fill="auto"/>
          </w:tcPr>
          <w:p w14:paraId="65F4156E" w14:textId="16A7AF79"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5FE705A2" w14:textId="3A0374A6"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3CD00E8A" w14:textId="701F682C" w:rsidR="00B04F2B" w:rsidRPr="00873B6C" w:rsidRDefault="00B04F2B" w:rsidP="009D14FB">
            <w:pPr>
              <w:pStyle w:val="TAC"/>
              <w:rPr>
                <w:sz w:val="16"/>
                <w:szCs w:val="16"/>
              </w:rPr>
            </w:pPr>
            <w:r w:rsidRPr="00873B6C">
              <w:rPr>
                <w:sz w:val="16"/>
                <w:szCs w:val="16"/>
              </w:rPr>
              <w:t>SP-210347</w:t>
            </w:r>
          </w:p>
        </w:tc>
        <w:tc>
          <w:tcPr>
            <w:tcW w:w="567" w:type="dxa"/>
            <w:shd w:val="solid" w:color="FFFFFF" w:fill="auto"/>
          </w:tcPr>
          <w:p w14:paraId="14CA932F" w14:textId="765F9245" w:rsidR="00B04F2B" w:rsidRPr="00873B6C" w:rsidRDefault="00B04F2B" w:rsidP="009D14FB">
            <w:pPr>
              <w:pStyle w:val="TAL"/>
              <w:rPr>
                <w:sz w:val="16"/>
                <w:szCs w:val="16"/>
              </w:rPr>
            </w:pPr>
            <w:r w:rsidRPr="00873B6C">
              <w:rPr>
                <w:sz w:val="16"/>
                <w:szCs w:val="16"/>
              </w:rPr>
              <w:t>2757</w:t>
            </w:r>
          </w:p>
        </w:tc>
        <w:tc>
          <w:tcPr>
            <w:tcW w:w="425" w:type="dxa"/>
            <w:shd w:val="solid" w:color="FFFFFF" w:fill="auto"/>
          </w:tcPr>
          <w:p w14:paraId="3A7D3DC1" w14:textId="58469AB1" w:rsidR="00B04F2B" w:rsidRPr="00873B6C" w:rsidRDefault="00B04F2B" w:rsidP="009D14FB">
            <w:pPr>
              <w:pStyle w:val="TAL"/>
              <w:rPr>
                <w:sz w:val="16"/>
                <w:szCs w:val="16"/>
              </w:rPr>
            </w:pPr>
            <w:r w:rsidRPr="00873B6C">
              <w:rPr>
                <w:sz w:val="16"/>
                <w:szCs w:val="16"/>
              </w:rPr>
              <w:t>4</w:t>
            </w:r>
          </w:p>
        </w:tc>
        <w:tc>
          <w:tcPr>
            <w:tcW w:w="425" w:type="dxa"/>
            <w:shd w:val="solid" w:color="FFFFFF" w:fill="auto"/>
          </w:tcPr>
          <w:p w14:paraId="71B6DA1F" w14:textId="255C6547"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0EDABC45" w14:textId="54E4FF35" w:rsidR="00B04F2B" w:rsidRPr="00873B6C" w:rsidRDefault="00B04F2B" w:rsidP="009D14FB">
            <w:pPr>
              <w:pStyle w:val="TAL"/>
              <w:rPr>
                <w:sz w:val="16"/>
                <w:szCs w:val="16"/>
              </w:rPr>
            </w:pPr>
            <w:r w:rsidRPr="00873B6C">
              <w:rPr>
                <w:sz w:val="16"/>
                <w:szCs w:val="16"/>
              </w:rPr>
              <w:t>AF Influence enhancement for EAS IP replacement</w:t>
            </w:r>
          </w:p>
        </w:tc>
        <w:tc>
          <w:tcPr>
            <w:tcW w:w="708" w:type="dxa"/>
            <w:shd w:val="solid" w:color="FFFFFF" w:fill="auto"/>
          </w:tcPr>
          <w:p w14:paraId="787550D8" w14:textId="56C3C184" w:rsidR="00B04F2B" w:rsidRPr="00873B6C" w:rsidRDefault="00B04F2B" w:rsidP="009D14FB">
            <w:pPr>
              <w:pStyle w:val="TAC"/>
              <w:rPr>
                <w:sz w:val="16"/>
                <w:szCs w:val="16"/>
              </w:rPr>
            </w:pPr>
            <w:r w:rsidRPr="00873B6C">
              <w:rPr>
                <w:sz w:val="16"/>
                <w:szCs w:val="16"/>
              </w:rPr>
              <w:t>17.1.0</w:t>
            </w:r>
          </w:p>
        </w:tc>
      </w:tr>
      <w:tr w:rsidR="00B04F2B" w:rsidRPr="00873B6C" w14:paraId="77505FB9" w14:textId="77777777" w:rsidTr="009D14FB">
        <w:tc>
          <w:tcPr>
            <w:tcW w:w="800" w:type="dxa"/>
            <w:shd w:val="solid" w:color="FFFFFF" w:fill="auto"/>
          </w:tcPr>
          <w:p w14:paraId="0AB94D5D" w14:textId="61753A16"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01D9A867" w14:textId="69423DD3"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161E3310" w14:textId="01E75707" w:rsidR="00B04F2B" w:rsidRPr="00873B6C" w:rsidRDefault="00B04F2B" w:rsidP="009D14FB">
            <w:pPr>
              <w:pStyle w:val="TAC"/>
              <w:rPr>
                <w:sz w:val="16"/>
                <w:szCs w:val="16"/>
              </w:rPr>
            </w:pPr>
            <w:r w:rsidRPr="00873B6C">
              <w:rPr>
                <w:sz w:val="16"/>
                <w:szCs w:val="16"/>
              </w:rPr>
              <w:t>SP-210351</w:t>
            </w:r>
          </w:p>
        </w:tc>
        <w:tc>
          <w:tcPr>
            <w:tcW w:w="567" w:type="dxa"/>
            <w:shd w:val="solid" w:color="FFFFFF" w:fill="auto"/>
          </w:tcPr>
          <w:p w14:paraId="1F99B6C5" w14:textId="67FF86BA" w:rsidR="00B04F2B" w:rsidRPr="00873B6C" w:rsidRDefault="00B04F2B" w:rsidP="009D14FB">
            <w:pPr>
              <w:pStyle w:val="TAL"/>
              <w:rPr>
                <w:sz w:val="16"/>
                <w:szCs w:val="16"/>
              </w:rPr>
            </w:pPr>
            <w:r w:rsidRPr="00873B6C">
              <w:rPr>
                <w:sz w:val="16"/>
                <w:szCs w:val="16"/>
              </w:rPr>
              <w:t>2758</w:t>
            </w:r>
          </w:p>
        </w:tc>
        <w:tc>
          <w:tcPr>
            <w:tcW w:w="425" w:type="dxa"/>
            <w:shd w:val="solid" w:color="FFFFFF" w:fill="auto"/>
          </w:tcPr>
          <w:p w14:paraId="670578C2" w14:textId="4C30F5B6" w:rsidR="00B04F2B" w:rsidRPr="00873B6C" w:rsidRDefault="00B04F2B" w:rsidP="009D14FB">
            <w:pPr>
              <w:pStyle w:val="TAL"/>
              <w:rPr>
                <w:sz w:val="16"/>
                <w:szCs w:val="16"/>
              </w:rPr>
            </w:pPr>
            <w:r w:rsidRPr="00873B6C">
              <w:rPr>
                <w:sz w:val="16"/>
                <w:szCs w:val="16"/>
              </w:rPr>
              <w:t>1</w:t>
            </w:r>
          </w:p>
        </w:tc>
        <w:tc>
          <w:tcPr>
            <w:tcW w:w="425" w:type="dxa"/>
            <w:shd w:val="solid" w:color="FFFFFF" w:fill="auto"/>
          </w:tcPr>
          <w:p w14:paraId="57F69878" w14:textId="320BCD85"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2A442650" w14:textId="450112F7" w:rsidR="00B04F2B" w:rsidRPr="00873B6C" w:rsidRDefault="00B04F2B" w:rsidP="009D14FB">
            <w:pPr>
              <w:pStyle w:val="TAL"/>
              <w:rPr>
                <w:sz w:val="16"/>
                <w:szCs w:val="16"/>
              </w:rPr>
            </w:pPr>
            <w:r w:rsidRPr="00873B6C">
              <w:rPr>
                <w:sz w:val="16"/>
                <w:szCs w:val="16"/>
              </w:rPr>
              <w:t>Updating AMF exposed events in TS 23.501.</w:t>
            </w:r>
          </w:p>
        </w:tc>
        <w:tc>
          <w:tcPr>
            <w:tcW w:w="708" w:type="dxa"/>
            <w:shd w:val="solid" w:color="FFFFFF" w:fill="auto"/>
          </w:tcPr>
          <w:p w14:paraId="137E8210" w14:textId="1864F9B7" w:rsidR="00B04F2B" w:rsidRPr="00873B6C" w:rsidRDefault="00B04F2B" w:rsidP="009D14FB">
            <w:pPr>
              <w:pStyle w:val="TAC"/>
              <w:rPr>
                <w:sz w:val="16"/>
                <w:szCs w:val="16"/>
              </w:rPr>
            </w:pPr>
            <w:r w:rsidRPr="00873B6C">
              <w:rPr>
                <w:sz w:val="16"/>
                <w:szCs w:val="16"/>
              </w:rPr>
              <w:t>17.1.0</w:t>
            </w:r>
          </w:p>
        </w:tc>
      </w:tr>
      <w:tr w:rsidR="00B04F2B" w:rsidRPr="00873B6C" w14:paraId="41B97363" w14:textId="77777777" w:rsidTr="009D14FB">
        <w:tc>
          <w:tcPr>
            <w:tcW w:w="800" w:type="dxa"/>
            <w:shd w:val="solid" w:color="FFFFFF" w:fill="auto"/>
          </w:tcPr>
          <w:p w14:paraId="2EAEF536" w14:textId="028C78E8"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0901EF2A" w14:textId="62070AE3"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2A40C9DE" w14:textId="38976129" w:rsidR="00B04F2B" w:rsidRPr="00873B6C" w:rsidRDefault="00B04F2B" w:rsidP="009D14FB">
            <w:pPr>
              <w:pStyle w:val="TAC"/>
              <w:rPr>
                <w:sz w:val="16"/>
                <w:szCs w:val="16"/>
              </w:rPr>
            </w:pPr>
            <w:r w:rsidRPr="00873B6C">
              <w:rPr>
                <w:sz w:val="16"/>
                <w:szCs w:val="16"/>
              </w:rPr>
              <w:t>SP-210351</w:t>
            </w:r>
          </w:p>
        </w:tc>
        <w:tc>
          <w:tcPr>
            <w:tcW w:w="567" w:type="dxa"/>
            <w:shd w:val="solid" w:color="FFFFFF" w:fill="auto"/>
          </w:tcPr>
          <w:p w14:paraId="128D188D" w14:textId="4908AA98" w:rsidR="00B04F2B" w:rsidRPr="00873B6C" w:rsidRDefault="00B04F2B" w:rsidP="009D14FB">
            <w:pPr>
              <w:pStyle w:val="TAL"/>
              <w:rPr>
                <w:sz w:val="16"/>
                <w:szCs w:val="16"/>
              </w:rPr>
            </w:pPr>
            <w:r w:rsidRPr="00873B6C">
              <w:rPr>
                <w:sz w:val="16"/>
                <w:szCs w:val="16"/>
              </w:rPr>
              <w:t>2759</w:t>
            </w:r>
          </w:p>
        </w:tc>
        <w:tc>
          <w:tcPr>
            <w:tcW w:w="425" w:type="dxa"/>
            <w:shd w:val="solid" w:color="FFFFFF" w:fill="auto"/>
          </w:tcPr>
          <w:p w14:paraId="49F396F7" w14:textId="56C56AA2" w:rsidR="00B04F2B" w:rsidRPr="00873B6C" w:rsidRDefault="00B04F2B" w:rsidP="009D14FB">
            <w:pPr>
              <w:pStyle w:val="TAL"/>
              <w:rPr>
                <w:sz w:val="16"/>
                <w:szCs w:val="16"/>
              </w:rPr>
            </w:pPr>
            <w:r w:rsidRPr="00873B6C">
              <w:rPr>
                <w:sz w:val="16"/>
                <w:szCs w:val="16"/>
              </w:rPr>
              <w:t>1</w:t>
            </w:r>
          </w:p>
        </w:tc>
        <w:tc>
          <w:tcPr>
            <w:tcW w:w="425" w:type="dxa"/>
            <w:shd w:val="solid" w:color="FFFFFF" w:fill="auto"/>
          </w:tcPr>
          <w:p w14:paraId="20F34EFC" w14:textId="738610DD"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3129D770" w14:textId="6E7BA4C7" w:rsidR="00B04F2B" w:rsidRPr="00873B6C" w:rsidRDefault="00B04F2B" w:rsidP="009D14FB">
            <w:pPr>
              <w:pStyle w:val="TAL"/>
              <w:rPr>
                <w:sz w:val="16"/>
                <w:szCs w:val="16"/>
              </w:rPr>
            </w:pPr>
            <w:r w:rsidRPr="00873B6C">
              <w:rPr>
                <w:sz w:val="16"/>
                <w:szCs w:val="16"/>
              </w:rPr>
              <w:t>Alignment of NWDAF discovery of data exposure capability in TS 23.501.</w:t>
            </w:r>
          </w:p>
        </w:tc>
        <w:tc>
          <w:tcPr>
            <w:tcW w:w="708" w:type="dxa"/>
            <w:shd w:val="solid" w:color="FFFFFF" w:fill="auto"/>
          </w:tcPr>
          <w:p w14:paraId="2D3ABEE0" w14:textId="57E134F0" w:rsidR="00B04F2B" w:rsidRPr="00873B6C" w:rsidRDefault="00B04F2B" w:rsidP="009D14FB">
            <w:pPr>
              <w:pStyle w:val="TAC"/>
              <w:rPr>
                <w:sz w:val="16"/>
                <w:szCs w:val="16"/>
              </w:rPr>
            </w:pPr>
            <w:r w:rsidRPr="00873B6C">
              <w:rPr>
                <w:sz w:val="16"/>
                <w:szCs w:val="16"/>
              </w:rPr>
              <w:t>17.1.0</w:t>
            </w:r>
          </w:p>
        </w:tc>
      </w:tr>
      <w:tr w:rsidR="00B04F2B" w:rsidRPr="00873B6C" w14:paraId="700AB392" w14:textId="77777777" w:rsidTr="009D14FB">
        <w:tc>
          <w:tcPr>
            <w:tcW w:w="800" w:type="dxa"/>
            <w:shd w:val="solid" w:color="FFFFFF" w:fill="auto"/>
          </w:tcPr>
          <w:p w14:paraId="6954ED7D" w14:textId="6597DB5A"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7A27CC71" w14:textId="0DC6FA85"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63DB0ACD" w14:textId="7762550D" w:rsidR="00B04F2B" w:rsidRPr="00873B6C" w:rsidRDefault="00B04F2B" w:rsidP="009D14FB">
            <w:pPr>
              <w:pStyle w:val="TAC"/>
              <w:rPr>
                <w:sz w:val="16"/>
                <w:szCs w:val="16"/>
              </w:rPr>
            </w:pPr>
            <w:r w:rsidRPr="00873B6C">
              <w:rPr>
                <w:sz w:val="16"/>
                <w:szCs w:val="16"/>
              </w:rPr>
              <w:t>SP-210351</w:t>
            </w:r>
          </w:p>
        </w:tc>
        <w:tc>
          <w:tcPr>
            <w:tcW w:w="567" w:type="dxa"/>
            <w:shd w:val="solid" w:color="FFFFFF" w:fill="auto"/>
          </w:tcPr>
          <w:p w14:paraId="653A4F22" w14:textId="2AC12ADB" w:rsidR="00B04F2B" w:rsidRPr="00873B6C" w:rsidRDefault="00B04F2B" w:rsidP="009D14FB">
            <w:pPr>
              <w:pStyle w:val="TAL"/>
              <w:rPr>
                <w:sz w:val="16"/>
                <w:szCs w:val="16"/>
              </w:rPr>
            </w:pPr>
            <w:r w:rsidRPr="00873B6C">
              <w:rPr>
                <w:sz w:val="16"/>
                <w:szCs w:val="16"/>
              </w:rPr>
              <w:t>2760</w:t>
            </w:r>
          </w:p>
        </w:tc>
        <w:tc>
          <w:tcPr>
            <w:tcW w:w="425" w:type="dxa"/>
            <w:shd w:val="solid" w:color="FFFFFF" w:fill="auto"/>
          </w:tcPr>
          <w:p w14:paraId="08FAC470" w14:textId="44290617" w:rsidR="00B04F2B" w:rsidRPr="00873B6C" w:rsidRDefault="00B04F2B" w:rsidP="009D14FB">
            <w:pPr>
              <w:pStyle w:val="TAL"/>
              <w:rPr>
                <w:sz w:val="16"/>
                <w:szCs w:val="16"/>
              </w:rPr>
            </w:pPr>
            <w:r w:rsidRPr="00873B6C">
              <w:rPr>
                <w:sz w:val="16"/>
                <w:szCs w:val="16"/>
              </w:rPr>
              <w:t xml:space="preserve">1 </w:t>
            </w:r>
          </w:p>
        </w:tc>
        <w:tc>
          <w:tcPr>
            <w:tcW w:w="425" w:type="dxa"/>
            <w:shd w:val="solid" w:color="FFFFFF" w:fill="auto"/>
          </w:tcPr>
          <w:p w14:paraId="174EC48C" w14:textId="245011CD" w:rsidR="00B04F2B" w:rsidRPr="00873B6C" w:rsidRDefault="00B04F2B" w:rsidP="009D14FB">
            <w:pPr>
              <w:pStyle w:val="TAL"/>
              <w:rPr>
                <w:sz w:val="16"/>
                <w:szCs w:val="16"/>
              </w:rPr>
            </w:pPr>
            <w:r w:rsidRPr="00873B6C">
              <w:rPr>
                <w:sz w:val="16"/>
                <w:szCs w:val="16"/>
              </w:rPr>
              <w:t>F</w:t>
            </w:r>
          </w:p>
        </w:tc>
        <w:tc>
          <w:tcPr>
            <w:tcW w:w="4820" w:type="dxa"/>
            <w:shd w:val="solid" w:color="FFFFFF" w:fill="auto"/>
          </w:tcPr>
          <w:p w14:paraId="43D6E9C1" w14:textId="3E204776" w:rsidR="00B04F2B" w:rsidRPr="00873B6C" w:rsidRDefault="00B04F2B" w:rsidP="009D14FB">
            <w:pPr>
              <w:pStyle w:val="TAL"/>
              <w:rPr>
                <w:sz w:val="16"/>
                <w:szCs w:val="16"/>
              </w:rPr>
            </w:pPr>
            <w:r w:rsidRPr="00873B6C">
              <w:rPr>
                <w:sz w:val="16"/>
                <w:szCs w:val="16"/>
              </w:rPr>
              <w:t>Clarify the Supported Analytics Delay</w:t>
            </w:r>
          </w:p>
        </w:tc>
        <w:tc>
          <w:tcPr>
            <w:tcW w:w="708" w:type="dxa"/>
            <w:shd w:val="solid" w:color="FFFFFF" w:fill="auto"/>
          </w:tcPr>
          <w:p w14:paraId="26D2621D" w14:textId="2B063EA4" w:rsidR="00B04F2B" w:rsidRPr="00873B6C" w:rsidRDefault="00B04F2B" w:rsidP="009D14FB">
            <w:pPr>
              <w:pStyle w:val="TAC"/>
              <w:rPr>
                <w:sz w:val="16"/>
                <w:szCs w:val="16"/>
              </w:rPr>
            </w:pPr>
            <w:r w:rsidRPr="00873B6C">
              <w:rPr>
                <w:sz w:val="16"/>
                <w:szCs w:val="16"/>
              </w:rPr>
              <w:t>17.1.0</w:t>
            </w:r>
          </w:p>
        </w:tc>
      </w:tr>
      <w:tr w:rsidR="00B04F2B" w:rsidRPr="00873B6C" w14:paraId="1E881635" w14:textId="77777777" w:rsidTr="009D14FB">
        <w:tc>
          <w:tcPr>
            <w:tcW w:w="800" w:type="dxa"/>
            <w:shd w:val="solid" w:color="FFFFFF" w:fill="auto"/>
          </w:tcPr>
          <w:p w14:paraId="175881F0" w14:textId="65C8B78F"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397D9E38" w14:textId="6036CDA7"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232B8F81" w14:textId="5939C717" w:rsidR="00B04F2B" w:rsidRPr="00873B6C" w:rsidRDefault="00B04F2B" w:rsidP="009D14FB">
            <w:pPr>
              <w:pStyle w:val="TAC"/>
              <w:rPr>
                <w:sz w:val="16"/>
                <w:szCs w:val="16"/>
              </w:rPr>
            </w:pPr>
            <w:r w:rsidRPr="00873B6C">
              <w:rPr>
                <w:sz w:val="16"/>
                <w:szCs w:val="16"/>
              </w:rPr>
              <w:t>SP-210351</w:t>
            </w:r>
          </w:p>
        </w:tc>
        <w:tc>
          <w:tcPr>
            <w:tcW w:w="567" w:type="dxa"/>
            <w:shd w:val="solid" w:color="FFFFFF" w:fill="auto"/>
          </w:tcPr>
          <w:p w14:paraId="592D1470" w14:textId="676B6FD3" w:rsidR="00B04F2B" w:rsidRPr="00873B6C" w:rsidRDefault="00B04F2B" w:rsidP="009D14FB">
            <w:pPr>
              <w:pStyle w:val="TAL"/>
              <w:rPr>
                <w:sz w:val="16"/>
                <w:szCs w:val="16"/>
              </w:rPr>
            </w:pPr>
            <w:r w:rsidRPr="00873B6C">
              <w:rPr>
                <w:sz w:val="16"/>
                <w:szCs w:val="16"/>
              </w:rPr>
              <w:t>2761</w:t>
            </w:r>
          </w:p>
        </w:tc>
        <w:tc>
          <w:tcPr>
            <w:tcW w:w="425" w:type="dxa"/>
            <w:shd w:val="solid" w:color="FFFFFF" w:fill="auto"/>
          </w:tcPr>
          <w:p w14:paraId="3175FEF4" w14:textId="6C33121D" w:rsidR="00B04F2B" w:rsidRPr="00873B6C" w:rsidRDefault="00B04F2B" w:rsidP="009D14FB">
            <w:pPr>
              <w:pStyle w:val="TAL"/>
              <w:rPr>
                <w:sz w:val="16"/>
                <w:szCs w:val="16"/>
              </w:rPr>
            </w:pPr>
            <w:r w:rsidRPr="00873B6C">
              <w:rPr>
                <w:sz w:val="16"/>
                <w:szCs w:val="16"/>
              </w:rPr>
              <w:t>4</w:t>
            </w:r>
          </w:p>
        </w:tc>
        <w:tc>
          <w:tcPr>
            <w:tcW w:w="425" w:type="dxa"/>
            <w:shd w:val="solid" w:color="FFFFFF" w:fill="auto"/>
          </w:tcPr>
          <w:p w14:paraId="16C2B08F" w14:textId="14ECF7D5"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45FC103A" w14:textId="427C8106" w:rsidR="00B04F2B" w:rsidRPr="00873B6C" w:rsidRDefault="00B04F2B" w:rsidP="009D14FB">
            <w:pPr>
              <w:pStyle w:val="TAL"/>
              <w:rPr>
                <w:sz w:val="16"/>
                <w:szCs w:val="16"/>
              </w:rPr>
            </w:pPr>
            <w:r w:rsidRPr="00873B6C">
              <w:rPr>
                <w:sz w:val="16"/>
                <w:szCs w:val="16"/>
              </w:rPr>
              <w:t>Update the NWDAF profile for ML Model</w:t>
            </w:r>
          </w:p>
        </w:tc>
        <w:tc>
          <w:tcPr>
            <w:tcW w:w="708" w:type="dxa"/>
            <w:shd w:val="solid" w:color="FFFFFF" w:fill="auto"/>
          </w:tcPr>
          <w:p w14:paraId="72075656" w14:textId="58528772" w:rsidR="00B04F2B" w:rsidRPr="00873B6C" w:rsidRDefault="00B04F2B" w:rsidP="009D14FB">
            <w:pPr>
              <w:pStyle w:val="TAC"/>
              <w:rPr>
                <w:sz w:val="16"/>
                <w:szCs w:val="16"/>
              </w:rPr>
            </w:pPr>
            <w:r w:rsidRPr="00873B6C">
              <w:rPr>
                <w:sz w:val="16"/>
                <w:szCs w:val="16"/>
              </w:rPr>
              <w:t>17.1.0</w:t>
            </w:r>
          </w:p>
        </w:tc>
      </w:tr>
      <w:tr w:rsidR="00B04F2B" w:rsidRPr="00873B6C" w14:paraId="4EB5BA1F" w14:textId="77777777" w:rsidTr="009D14FB">
        <w:tc>
          <w:tcPr>
            <w:tcW w:w="800" w:type="dxa"/>
            <w:shd w:val="solid" w:color="FFFFFF" w:fill="auto"/>
          </w:tcPr>
          <w:p w14:paraId="175AD756" w14:textId="2CB20F9B"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1303C19B" w14:textId="460D66B4"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1227161A" w14:textId="1EC9C951" w:rsidR="00B04F2B" w:rsidRPr="00873B6C" w:rsidRDefault="00B04F2B" w:rsidP="009D14FB">
            <w:pPr>
              <w:pStyle w:val="TAC"/>
              <w:rPr>
                <w:sz w:val="16"/>
                <w:szCs w:val="16"/>
              </w:rPr>
            </w:pPr>
            <w:r w:rsidRPr="00873B6C">
              <w:rPr>
                <w:sz w:val="16"/>
                <w:szCs w:val="16"/>
              </w:rPr>
              <w:t>SP-210347</w:t>
            </w:r>
          </w:p>
        </w:tc>
        <w:tc>
          <w:tcPr>
            <w:tcW w:w="567" w:type="dxa"/>
            <w:shd w:val="solid" w:color="FFFFFF" w:fill="auto"/>
          </w:tcPr>
          <w:p w14:paraId="00879F2B" w14:textId="793D81D1" w:rsidR="00B04F2B" w:rsidRPr="00873B6C" w:rsidRDefault="00B04F2B" w:rsidP="009D14FB">
            <w:pPr>
              <w:pStyle w:val="TAL"/>
              <w:rPr>
                <w:sz w:val="16"/>
                <w:szCs w:val="16"/>
              </w:rPr>
            </w:pPr>
            <w:r w:rsidRPr="00873B6C">
              <w:rPr>
                <w:sz w:val="16"/>
                <w:szCs w:val="16"/>
              </w:rPr>
              <w:t>2762</w:t>
            </w:r>
          </w:p>
        </w:tc>
        <w:tc>
          <w:tcPr>
            <w:tcW w:w="425" w:type="dxa"/>
            <w:shd w:val="solid" w:color="FFFFFF" w:fill="auto"/>
          </w:tcPr>
          <w:p w14:paraId="6DF1DF2E" w14:textId="65550887" w:rsidR="00B04F2B" w:rsidRPr="00873B6C" w:rsidRDefault="00B04F2B" w:rsidP="009D14FB">
            <w:pPr>
              <w:pStyle w:val="TAL"/>
              <w:rPr>
                <w:sz w:val="16"/>
                <w:szCs w:val="16"/>
              </w:rPr>
            </w:pPr>
            <w:r w:rsidRPr="00873B6C">
              <w:rPr>
                <w:sz w:val="16"/>
                <w:szCs w:val="16"/>
              </w:rPr>
              <w:t>1</w:t>
            </w:r>
          </w:p>
        </w:tc>
        <w:tc>
          <w:tcPr>
            <w:tcW w:w="425" w:type="dxa"/>
            <w:shd w:val="solid" w:color="FFFFFF" w:fill="auto"/>
          </w:tcPr>
          <w:p w14:paraId="730BC824" w14:textId="2E3AD740"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260A1021" w14:textId="687BB31C" w:rsidR="00B04F2B" w:rsidRPr="00873B6C" w:rsidRDefault="00B04F2B" w:rsidP="009D14FB">
            <w:pPr>
              <w:pStyle w:val="TAL"/>
              <w:rPr>
                <w:sz w:val="16"/>
                <w:szCs w:val="16"/>
              </w:rPr>
            </w:pPr>
            <w:r w:rsidRPr="00873B6C">
              <w:rPr>
                <w:sz w:val="16"/>
                <w:szCs w:val="16"/>
              </w:rPr>
              <w:t>SMF function update to support Edge computing enhancement</w:t>
            </w:r>
          </w:p>
        </w:tc>
        <w:tc>
          <w:tcPr>
            <w:tcW w:w="708" w:type="dxa"/>
            <w:shd w:val="solid" w:color="FFFFFF" w:fill="auto"/>
          </w:tcPr>
          <w:p w14:paraId="6B198FFD" w14:textId="33FED0B2" w:rsidR="00B04F2B" w:rsidRPr="00873B6C" w:rsidRDefault="00B04F2B" w:rsidP="009D14FB">
            <w:pPr>
              <w:pStyle w:val="TAC"/>
              <w:rPr>
                <w:sz w:val="16"/>
                <w:szCs w:val="16"/>
              </w:rPr>
            </w:pPr>
            <w:r w:rsidRPr="00873B6C">
              <w:rPr>
                <w:sz w:val="16"/>
                <w:szCs w:val="16"/>
              </w:rPr>
              <w:t>17.1.0</w:t>
            </w:r>
          </w:p>
        </w:tc>
      </w:tr>
      <w:tr w:rsidR="00B96062" w:rsidRPr="00873B6C" w14:paraId="3905342A" w14:textId="77777777" w:rsidTr="009D14FB">
        <w:tc>
          <w:tcPr>
            <w:tcW w:w="800" w:type="dxa"/>
            <w:shd w:val="solid" w:color="FFFFFF" w:fill="auto"/>
          </w:tcPr>
          <w:p w14:paraId="4A038115" w14:textId="17AF0F78"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037BCC7A" w14:textId="31F12AC3"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3F6004D7" w14:textId="31F4677A" w:rsidR="00B96062" w:rsidRPr="00873B6C" w:rsidRDefault="00B96062" w:rsidP="009D14FB">
            <w:pPr>
              <w:pStyle w:val="TAC"/>
              <w:rPr>
                <w:sz w:val="16"/>
                <w:szCs w:val="16"/>
              </w:rPr>
            </w:pPr>
            <w:r w:rsidRPr="00873B6C">
              <w:rPr>
                <w:sz w:val="16"/>
                <w:szCs w:val="16"/>
              </w:rPr>
              <w:t>SP-210347</w:t>
            </w:r>
          </w:p>
        </w:tc>
        <w:tc>
          <w:tcPr>
            <w:tcW w:w="567" w:type="dxa"/>
            <w:shd w:val="solid" w:color="FFFFFF" w:fill="auto"/>
          </w:tcPr>
          <w:p w14:paraId="61A67F80" w14:textId="4A55E1F6" w:rsidR="00B96062" w:rsidRPr="00873B6C" w:rsidRDefault="00B96062" w:rsidP="009D14FB">
            <w:pPr>
              <w:pStyle w:val="TAL"/>
              <w:rPr>
                <w:sz w:val="16"/>
                <w:szCs w:val="16"/>
              </w:rPr>
            </w:pPr>
            <w:r w:rsidRPr="00873B6C">
              <w:rPr>
                <w:sz w:val="16"/>
                <w:szCs w:val="16"/>
              </w:rPr>
              <w:t>2763</w:t>
            </w:r>
          </w:p>
        </w:tc>
        <w:tc>
          <w:tcPr>
            <w:tcW w:w="425" w:type="dxa"/>
            <w:shd w:val="solid" w:color="FFFFFF" w:fill="auto"/>
          </w:tcPr>
          <w:p w14:paraId="4B7631B5" w14:textId="02F54E9E"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105DCF4A" w14:textId="7BA4CEC1"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79E5F7E3" w14:textId="24B210EE" w:rsidR="00B96062" w:rsidRPr="00873B6C" w:rsidRDefault="00B96062" w:rsidP="009D14FB">
            <w:pPr>
              <w:pStyle w:val="TAL"/>
              <w:rPr>
                <w:sz w:val="16"/>
                <w:szCs w:val="16"/>
              </w:rPr>
            </w:pPr>
            <w:r w:rsidRPr="00873B6C">
              <w:rPr>
                <w:sz w:val="16"/>
                <w:szCs w:val="16"/>
              </w:rPr>
              <w:t>Update of Edge Computing</w:t>
            </w:r>
          </w:p>
        </w:tc>
        <w:tc>
          <w:tcPr>
            <w:tcW w:w="708" w:type="dxa"/>
            <w:shd w:val="solid" w:color="FFFFFF" w:fill="auto"/>
          </w:tcPr>
          <w:p w14:paraId="0663AD8A" w14:textId="373008D1" w:rsidR="00B96062" w:rsidRPr="00873B6C" w:rsidRDefault="00B96062" w:rsidP="009D14FB">
            <w:pPr>
              <w:pStyle w:val="TAC"/>
              <w:rPr>
                <w:sz w:val="16"/>
                <w:szCs w:val="16"/>
              </w:rPr>
            </w:pPr>
            <w:r w:rsidRPr="00873B6C">
              <w:rPr>
                <w:sz w:val="16"/>
                <w:szCs w:val="16"/>
              </w:rPr>
              <w:t>17.1.0</w:t>
            </w:r>
          </w:p>
        </w:tc>
      </w:tr>
      <w:tr w:rsidR="00B96062" w:rsidRPr="00873B6C" w14:paraId="258D2931" w14:textId="77777777" w:rsidTr="009D14FB">
        <w:tc>
          <w:tcPr>
            <w:tcW w:w="800" w:type="dxa"/>
            <w:shd w:val="solid" w:color="FFFFFF" w:fill="auto"/>
          </w:tcPr>
          <w:p w14:paraId="6AF9FA21" w14:textId="3371FB4B"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12FDBB21" w14:textId="36C23274"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2B008D46" w14:textId="3B33B8E8" w:rsidR="00B96062" w:rsidRPr="00873B6C" w:rsidRDefault="00B96062" w:rsidP="009D14FB">
            <w:pPr>
              <w:pStyle w:val="TAC"/>
              <w:rPr>
                <w:sz w:val="16"/>
                <w:szCs w:val="16"/>
              </w:rPr>
            </w:pPr>
            <w:r w:rsidRPr="00873B6C">
              <w:rPr>
                <w:sz w:val="16"/>
                <w:szCs w:val="16"/>
              </w:rPr>
              <w:t>SP-210347</w:t>
            </w:r>
          </w:p>
        </w:tc>
        <w:tc>
          <w:tcPr>
            <w:tcW w:w="567" w:type="dxa"/>
            <w:shd w:val="solid" w:color="FFFFFF" w:fill="auto"/>
          </w:tcPr>
          <w:p w14:paraId="4F387751" w14:textId="0A75BD5C" w:rsidR="00B96062" w:rsidRPr="00873B6C" w:rsidRDefault="00B96062" w:rsidP="009D14FB">
            <w:pPr>
              <w:pStyle w:val="TAL"/>
              <w:rPr>
                <w:sz w:val="16"/>
                <w:szCs w:val="16"/>
              </w:rPr>
            </w:pPr>
            <w:r w:rsidRPr="00873B6C">
              <w:rPr>
                <w:sz w:val="16"/>
                <w:szCs w:val="16"/>
              </w:rPr>
              <w:t>2765</w:t>
            </w:r>
          </w:p>
        </w:tc>
        <w:tc>
          <w:tcPr>
            <w:tcW w:w="425" w:type="dxa"/>
            <w:shd w:val="solid" w:color="FFFFFF" w:fill="auto"/>
          </w:tcPr>
          <w:p w14:paraId="444643CE" w14:textId="0B1658DD"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56A40675" w14:textId="24EA7D68"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6D98A16D" w14:textId="0A13208A" w:rsidR="00B96062" w:rsidRPr="00873B6C" w:rsidRDefault="00B96062" w:rsidP="009D14FB">
            <w:pPr>
              <w:pStyle w:val="TAL"/>
              <w:rPr>
                <w:sz w:val="16"/>
                <w:szCs w:val="16"/>
              </w:rPr>
            </w:pPr>
            <w:r w:rsidRPr="00873B6C">
              <w:rPr>
                <w:sz w:val="16"/>
                <w:szCs w:val="16"/>
              </w:rPr>
              <w:t>Adding EASDF services</w:t>
            </w:r>
          </w:p>
        </w:tc>
        <w:tc>
          <w:tcPr>
            <w:tcW w:w="708" w:type="dxa"/>
            <w:shd w:val="solid" w:color="FFFFFF" w:fill="auto"/>
          </w:tcPr>
          <w:p w14:paraId="1375B428" w14:textId="5AFA85E2" w:rsidR="00B96062" w:rsidRPr="00873B6C" w:rsidRDefault="00B96062" w:rsidP="009D14FB">
            <w:pPr>
              <w:pStyle w:val="TAC"/>
              <w:rPr>
                <w:sz w:val="16"/>
                <w:szCs w:val="16"/>
              </w:rPr>
            </w:pPr>
            <w:r w:rsidRPr="00873B6C">
              <w:rPr>
                <w:sz w:val="16"/>
                <w:szCs w:val="16"/>
              </w:rPr>
              <w:t>17.1.0</w:t>
            </w:r>
          </w:p>
        </w:tc>
      </w:tr>
      <w:tr w:rsidR="00B96062" w:rsidRPr="00873B6C" w14:paraId="6D314B26" w14:textId="77777777" w:rsidTr="009D14FB">
        <w:tc>
          <w:tcPr>
            <w:tcW w:w="800" w:type="dxa"/>
            <w:shd w:val="solid" w:color="FFFFFF" w:fill="auto"/>
          </w:tcPr>
          <w:p w14:paraId="6B33CAD4" w14:textId="171CE82B"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3CF91E4D" w14:textId="4B037ABC"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3C0C5068" w14:textId="4F2359F0" w:rsidR="00B96062" w:rsidRPr="00873B6C" w:rsidRDefault="00B96062" w:rsidP="009D14FB">
            <w:pPr>
              <w:pStyle w:val="TAC"/>
              <w:rPr>
                <w:sz w:val="16"/>
                <w:szCs w:val="16"/>
              </w:rPr>
            </w:pPr>
            <w:r w:rsidRPr="00873B6C">
              <w:rPr>
                <w:sz w:val="16"/>
                <w:szCs w:val="16"/>
              </w:rPr>
              <w:t>SP-210359</w:t>
            </w:r>
          </w:p>
        </w:tc>
        <w:tc>
          <w:tcPr>
            <w:tcW w:w="567" w:type="dxa"/>
            <w:shd w:val="solid" w:color="FFFFFF" w:fill="auto"/>
          </w:tcPr>
          <w:p w14:paraId="3F7576DB" w14:textId="7A87C775" w:rsidR="00B96062" w:rsidRPr="00873B6C" w:rsidRDefault="00B96062" w:rsidP="009D14FB">
            <w:pPr>
              <w:pStyle w:val="TAL"/>
              <w:rPr>
                <w:sz w:val="16"/>
                <w:szCs w:val="16"/>
              </w:rPr>
            </w:pPr>
            <w:r w:rsidRPr="00873B6C">
              <w:rPr>
                <w:sz w:val="16"/>
                <w:szCs w:val="16"/>
              </w:rPr>
              <w:t>2768</w:t>
            </w:r>
          </w:p>
        </w:tc>
        <w:tc>
          <w:tcPr>
            <w:tcW w:w="425" w:type="dxa"/>
            <w:shd w:val="solid" w:color="FFFFFF" w:fill="auto"/>
          </w:tcPr>
          <w:p w14:paraId="185D7791" w14:textId="69A7D07B"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54C0BE81" w14:textId="266E9C99"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015949FC" w14:textId="0062EB25" w:rsidR="00B96062" w:rsidRPr="00873B6C" w:rsidRDefault="00B96062" w:rsidP="009D14FB">
            <w:pPr>
              <w:pStyle w:val="TAL"/>
              <w:rPr>
                <w:sz w:val="16"/>
                <w:szCs w:val="16"/>
              </w:rPr>
            </w:pPr>
            <w:r w:rsidRPr="00873B6C">
              <w:rPr>
                <w:sz w:val="16"/>
                <w:szCs w:val="16"/>
              </w:rPr>
              <w:t>Update for support of TSC other than TSN</w:t>
            </w:r>
          </w:p>
        </w:tc>
        <w:tc>
          <w:tcPr>
            <w:tcW w:w="708" w:type="dxa"/>
            <w:shd w:val="solid" w:color="FFFFFF" w:fill="auto"/>
          </w:tcPr>
          <w:p w14:paraId="59780A55" w14:textId="4C57E21F" w:rsidR="00B96062" w:rsidRPr="00873B6C" w:rsidRDefault="00B96062" w:rsidP="009D14FB">
            <w:pPr>
              <w:pStyle w:val="TAC"/>
              <w:rPr>
                <w:sz w:val="16"/>
                <w:szCs w:val="16"/>
              </w:rPr>
            </w:pPr>
            <w:r w:rsidRPr="00873B6C">
              <w:rPr>
                <w:sz w:val="16"/>
                <w:szCs w:val="16"/>
              </w:rPr>
              <w:t>17.1.0</w:t>
            </w:r>
          </w:p>
        </w:tc>
      </w:tr>
      <w:tr w:rsidR="00B96062" w:rsidRPr="00873B6C" w14:paraId="64232C44" w14:textId="77777777" w:rsidTr="009D14FB">
        <w:tc>
          <w:tcPr>
            <w:tcW w:w="800" w:type="dxa"/>
            <w:shd w:val="solid" w:color="FFFFFF" w:fill="auto"/>
          </w:tcPr>
          <w:p w14:paraId="7D7698E2" w14:textId="34661228"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49D42105" w14:textId="4AD3601F"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6A038DA9" w14:textId="153B0C0B" w:rsidR="00B96062" w:rsidRPr="00873B6C" w:rsidRDefault="00B96062" w:rsidP="009D14FB">
            <w:pPr>
              <w:pStyle w:val="TAC"/>
              <w:rPr>
                <w:sz w:val="16"/>
                <w:szCs w:val="16"/>
              </w:rPr>
            </w:pPr>
            <w:r w:rsidRPr="00873B6C">
              <w:rPr>
                <w:sz w:val="16"/>
                <w:szCs w:val="16"/>
              </w:rPr>
              <w:t>SP-210359</w:t>
            </w:r>
          </w:p>
        </w:tc>
        <w:tc>
          <w:tcPr>
            <w:tcW w:w="567" w:type="dxa"/>
            <w:shd w:val="solid" w:color="FFFFFF" w:fill="auto"/>
          </w:tcPr>
          <w:p w14:paraId="255E8C39" w14:textId="59E4ECE9" w:rsidR="00B96062" w:rsidRPr="00873B6C" w:rsidRDefault="00B96062" w:rsidP="009D14FB">
            <w:pPr>
              <w:pStyle w:val="TAL"/>
              <w:rPr>
                <w:sz w:val="16"/>
                <w:szCs w:val="16"/>
              </w:rPr>
            </w:pPr>
            <w:r w:rsidRPr="00873B6C">
              <w:rPr>
                <w:sz w:val="16"/>
                <w:szCs w:val="16"/>
              </w:rPr>
              <w:t>2769</w:t>
            </w:r>
          </w:p>
        </w:tc>
        <w:tc>
          <w:tcPr>
            <w:tcW w:w="425" w:type="dxa"/>
            <w:shd w:val="solid" w:color="FFFFFF" w:fill="auto"/>
          </w:tcPr>
          <w:p w14:paraId="37363BE7" w14:textId="5B8269FA" w:rsidR="00B96062" w:rsidRPr="00873B6C" w:rsidRDefault="00B96062" w:rsidP="009D14FB">
            <w:pPr>
              <w:pStyle w:val="TAL"/>
              <w:rPr>
                <w:sz w:val="16"/>
                <w:szCs w:val="16"/>
              </w:rPr>
            </w:pPr>
            <w:r w:rsidRPr="00873B6C">
              <w:rPr>
                <w:sz w:val="16"/>
                <w:szCs w:val="16"/>
              </w:rPr>
              <w:t>2</w:t>
            </w:r>
          </w:p>
        </w:tc>
        <w:tc>
          <w:tcPr>
            <w:tcW w:w="425" w:type="dxa"/>
            <w:shd w:val="solid" w:color="FFFFFF" w:fill="auto"/>
          </w:tcPr>
          <w:p w14:paraId="36A4D48D" w14:textId="3E657A69"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6C7AF192" w14:textId="202F8EB5" w:rsidR="00B96062" w:rsidRPr="00873B6C" w:rsidRDefault="00B96062" w:rsidP="009D14FB">
            <w:pPr>
              <w:pStyle w:val="TAL"/>
              <w:rPr>
                <w:sz w:val="16"/>
                <w:szCs w:val="16"/>
              </w:rPr>
            </w:pPr>
            <w:r w:rsidRPr="00873B6C">
              <w:rPr>
                <w:sz w:val="16"/>
                <w:szCs w:val="16"/>
              </w:rPr>
              <w:t>Correction for Survival Time</w:t>
            </w:r>
          </w:p>
        </w:tc>
        <w:tc>
          <w:tcPr>
            <w:tcW w:w="708" w:type="dxa"/>
            <w:shd w:val="solid" w:color="FFFFFF" w:fill="auto"/>
          </w:tcPr>
          <w:p w14:paraId="439271C3" w14:textId="5EE7B380" w:rsidR="00B96062" w:rsidRPr="00873B6C" w:rsidRDefault="00B96062" w:rsidP="009D14FB">
            <w:pPr>
              <w:pStyle w:val="TAC"/>
              <w:rPr>
                <w:sz w:val="16"/>
                <w:szCs w:val="16"/>
              </w:rPr>
            </w:pPr>
            <w:r w:rsidRPr="00873B6C">
              <w:rPr>
                <w:sz w:val="16"/>
                <w:szCs w:val="16"/>
              </w:rPr>
              <w:t>17.1.0</w:t>
            </w:r>
          </w:p>
        </w:tc>
      </w:tr>
      <w:tr w:rsidR="00B96062" w:rsidRPr="00873B6C" w14:paraId="7949DC2D" w14:textId="77777777" w:rsidTr="009D14FB">
        <w:tc>
          <w:tcPr>
            <w:tcW w:w="800" w:type="dxa"/>
            <w:shd w:val="solid" w:color="FFFFFF" w:fill="auto"/>
          </w:tcPr>
          <w:p w14:paraId="281C648D" w14:textId="21909679"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644A48C4" w14:textId="42E957A1"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10D6755A" w14:textId="0D0E2C38" w:rsidR="00B96062" w:rsidRPr="00873B6C" w:rsidRDefault="00B96062" w:rsidP="009D14FB">
            <w:pPr>
              <w:pStyle w:val="TAC"/>
              <w:rPr>
                <w:sz w:val="16"/>
                <w:szCs w:val="16"/>
              </w:rPr>
            </w:pPr>
            <w:r w:rsidRPr="00873B6C">
              <w:rPr>
                <w:sz w:val="16"/>
                <w:szCs w:val="16"/>
              </w:rPr>
              <w:t>SP-210359</w:t>
            </w:r>
          </w:p>
        </w:tc>
        <w:tc>
          <w:tcPr>
            <w:tcW w:w="567" w:type="dxa"/>
            <w:shd w:val="solid" w:color="FFFFFF" w:fill="auto"/>
          </w:tcPr>
          <w:p w14:paraId="0E60B1A0" w14:textId="41C11A35" w:rsidR="00B96062" w:rsidRPr="00873B6C" w:rsidRDefault="00B96062" w:rsidP="009D14FB">
            <w:pPr>
              <w:pStyle w:val="TAL"/>
              <w:rPr>
                <w:sz w:val="16"/>
                <w:szCs w:val="16"/>
              </w:rPr>
            </w:pPr>
            <w:r w:rsidRPr="00873B6C">
              <w:rPr>
                <w:sz w:val="16"/>
                <w:szCs w:val="16"/>
              </w:rPr>
              <w:t>2773</w:t>
            </w:r>
          </w:p>
        </w:tc>
        <w:tc>
          <w:tcPr>
            <w:tcW w:w="425" w:type="dxa"/>
            <w:shd w:val="solid" w:color="FFFFFF" w:fill="auto"/>
          </w:tcPr>
          <w:p w14:paraId="2E8AF5E2" w14:textId="1BAFBFF7" w:rsidR="00B96062" w:rsidRPr="00873B6C" w:rsidRDefault="00B96062" w:rsidP="009D14FB">
            <w:pPr>
              <w:pStyle w:val="TAL"/>
              <w:rPr>
                <w:sz w:val="16"/>
                <w:szCs w:val="16"/>
              </w:rPr>
            </w:pPr>
            <w:r w:rsidRPr="00873B6C">
              <w:rPr>
                <w:sz w:val="16"/>
                <w:szCs w:val="16"/>
              </w:rPr>
              <w:t>3</w:t>
            </w:r>
          </w:p>
        </w:tc>
        <w:tc>
          <w:tcPr>
            <w:tcW w:w="425" w:type="dxa"/>
            <w:shd w:val="solid" w:color="FFFFFF" w:fill="auto"/>
          </w:tcPr>
          <w:p w14:paraId="24079FC4" w14:textId="5CE9426E"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5388F2AD" w14:textId="39EAF3A2" w:rsidR="00B96062" w:rsidRPr="00873B6C" w:rsidRDefault="00B96062" w:rsidP="009D14FB">
            <w:pPr>
              <w:pStyle w:val="TAL"/>
              <w:rPr>
                <w:sz w:val="16"/>
                <w:szCs w:val="16"/>
              </w:rPr>
            </w:pPr>
            <w:r w:rsidRPr="00873B6C">
              <w:rPr>
                <w:sz w:val="16"/>
                <w:szCs w:val="16"/>
              </w:rPr>
              <w:t>Update for PTP in time synchronization service and BMCA</w:t>
            </w:r>
          </w:p>
        </w:tc>
        <w:tc>
          <w:tcPr>
            <w:tcW w:w="708" w:type="dxa"/>
            <w:shd w:val="solid" w:color="FFFFFF" w:fill="auto"/>
          </w:tcPr>
          <w:p w14:paraId="47D2B3D5" w14:textId="63745986" w:rsidR="00B96062" w:rsidRPr="00873B6C" w:rsidRDefault="00B96062" w:rsidP="009D14FB">
            <w:pPr>
              <w:pStyle w:val="TAC"/>
              <w:rPr>
                <w:sz w:val="16"/>
                <w:szCs w:val="16"/>
              </w:rPr>
            </w:pPr>
            <w:r w:rsidRPr="00873B6C">
              <w:rPr>
                <w:sz w:val="16"/>
                <w:szCs w:val="16"/>
              </w:rPr>
              <w:t>17.1.0</w:t>
            </w:r>
          </w:p>
        </w:tc>
      </w:tr>
      <w:tr w:rsidR="00B96062" w:rsidRPr="00873B6C" w14:paraId="40549D6A" w14:textId="77777777" w:rsidTr="009D14FB">
        <w:tc>
          <w:tcPr>
            <w:tcW w:w="800" w:type="dxa"/>
            <w:shd w:val="solid" w:color="FFFFFF" w:fill="auto"/>
          </w:tcPr>
          <w:p w14:paraId="00794CA0" w14:textId="0927BB63"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487D4029" w14:textId="544C6A34"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08133AEB" w14:textId="7F4B4010" w:rsidR="00B96062" w:rsidRPr="00873B6C" w:rsidRDefault="00B96062" w:rsidP="009D14FB">
            <w:pPr>
              <w:pStyle w:val="TAC"/>
              <w:rPr>
                <w:sz w:val="16"/>
                <w:szCs w:val="16"/>
              </w:rPr>
            </w:pPr>
            <w:r w:rsidRPr="00873B6C">
              <w:rPr>
                <w:sz w:val="16"/>
                <w:szCs w:val="16"/>
              </w:rPr>
              <w:t>SP-210342</w:t>
            </w:r>
          </w:p>
        </w:tc>
        <w:tc>
          <w:tcPr>
            <w:tcW w:w="567" w:type="dxa"/>
            <w:shd w:val="solid" w:color="FFFFFF" w:fill="auto"/>
          </w:tcPr>
          <w:p w14:paraId="64C7F607" w14:textId="793E9648" w:rsidR="00B96062" w:rsidRPr="00873B6C" w:rsidRDefault="00B96062" w:rsidP="009D14FB">
            <w:pPr>
              <w:pStyle w:val="TAL"/>
              <w:rPr>
                <w:sz w:val="16"/>
                <w:szCs w:val="16"/>
              </w:rPr>
            </w:pPr>
            <w:r w:rsidRPr="00873B6C">
              <w:rPr>
                <w:sz w:val="16"/>
                <w:szCs w:val="16"/>
              </w:rPr>
              <w:t>2781</w:t>
            </w:r>
          </w:p>
        </w:tc>
        <w:tc>
          <w:tcPr>
            <w:tcW w:w="425" w:type="dxa"/>
            <w:shd w:val="solid" w:color="FFFFFF" w:fill="auto"/>
          </w:tcPr>
          <w:p w14:paraId="66364E45" w14:textId="4C717999"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4C65A434" w14:textId="5A5AFE29"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72593162" w14:textId="67FF00D3" w:rsidR="00B96062" w:rsidRPr="00873B6C" w:rsidRDefault="00B96062" w:rsidP="009D14FB">
            <w:pPr>
              <w:pStyle w:val="TAL"/>
              <w:rPr>
                <w:sz w:val="16"/>
                <w:szCs w:val="16"/>
              </w:rPr>
            </w:pPr>
            <w:r w:rsidRPr="00873B6C">
              <w:rPr>
                <w:sz w:val="16"/>
                <w:szCs w:val="16"/>
              </w:rPr>
              <w:t>Support of new RATs in 5GS integrating satellite access</w:t>
            </w:r>
          </w:p>
        </w:tc>
        <w:tc>
          <w:tcPr>
            <w:tcW w:w="708" w:type="dxa"/>
            <w:shd w:val="solid" w:color="FFFFFF" w:fill="auto"/>
          </w:tcPr>
          <w:p w14:paraId="62C87C47" w14:textId="6282C964" w:rsidR="00B96062" w:rsidRPr="00873B6C" w:rsidRDefault="00B96062" w:rsidP="009D14FB">
            <w:pPr>
              <w:pStyle w:val="TAC"/>
              <w:rPr>
                <w:sz w:val="16"/>
                <w:szCs w:val="16"/>
              </w:rPr>
            </w:pPr>
            <w:r w:rsidRPr="00873B6C">
              <w:rPr>
                <w:sz w:val="16"/>
                <w:szCs w:val="16"/>
              </w:rPr>
              <w:t>17.1.0</w:t>
            </w:r>
          </w:p>
        </w:tc>
      </w:tr>
      <w:tr w:rsidR="00B96062" w:rsidRPr="00873B6C" w14:paraId="2DC041EE" w14:textId="77777777" w:rsidTr="009D14FB">
        <w:tc>
          <w:tcPr>
            <w:tcW w:w="800" w:type="dxa"/>
            <w:shd w:val="solid" w:color="FFFFFF" w:fill="auto"/>
          </w:tcPr>
          <w:p w14:paraId="29ECB755" w14:textId="43AE07C0"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79420CB2" w14:textId="066C24C0"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75EDFA2D" w14:textId="1D19E4AD" w:rsidR="00B96062" w:rsidRPr="00873B6C" w:rsidRDefault="00B96062" w:rsidP="009D14FB">
            <w:pPr>
              <w:pStyle w:val="TAC"/>
              <w:rPr>
                <w:sz w:val="16"/>
                <w:szCs w:val="16"/>
              </w:rPr>
            </w:pPr>
            <w:r w:rsidRPr="00873B6C">
              <w:rPr>
                <w:sz w:val="16"/>
                <w:szCs w:val="16"/>
              </w:rPr>
              <w:t>SP-210363</w:t>
            </w:r>
          </w:p>
        </w:tc>
        <w:tc>
          <w:tcPr>
            <w:tcW w:w="567" w:type="dxa"/>
            <w:shd w:val="solid" w:color="FFFFFF" w:fill="auto"/>
          </w:tcPr>
          <w:p w14:paraId="45A397BE" w14:textId="644E6C28" w:rsidR="00B96062" w:rsidRPr="00873B6C" w:rsidRDefault="00B96062" w:rsidP="009D14FB">
            <w:pPr>
              <w:pStyle w:val="TAL"/>
              <w:rPr>
                <w:sz w:val="16"/>
                <w:szCs w:val="16"/>
              </w:rPr>
            </w:pPr>
            <w:r w:rsidRPr="00873B6C">
              <w:rPr>
                <w:sz w:val="16"/>
                <w:szCs w:val="16"/>
              </w:rPr>
              <w:t>2783</w:t>
            </w:r>
          </w:p>
        </w:tc>
        <w:tc>
          <w:tcPr>
            <w:tcW w:w="425" w:type="dxa"/>
            <w:shd w:val="solid" w:color="FFFFFF" w:fill="auto"/>
          </w:tcPr>
          <w:p w14:paraId="3001368E" w14:textId="7D123B7A" w:rsidR="00B96062" w:rsidRPr="00873B6C" w:rsidRDefault="00B96062" w:rsidP="009D14FB">
            <w:pPr>
              <w:pStyle w:val="TAL"/>
              <w:rPr>
                <w:sz w:val="16"/>
                <w:szCs w:val="16"/>
              </w:rPr>
            </w:pPr>
            <w:r w:rsidRPr="00873B6C">
              <w:rPr>
                <w:sz w:val="16"/>
                <w:szCs w:val="16"/>
              </w:rPr>
              <w:t>2</w:t>
            </w:r>
          </w:p>
        </w:tc>
        <w:tc>
          <w:tcPr>
            <w:tcW w:w="425" w:type="dxa"/>
            <w:shd w:val="solid" w:color="FFFFFF" w:fill="auto"/>
          </w:tcPr>
          <w:p w14:paraId="3996B9F5" w14:textId="45755F3A" w:rsidR="00B96062" w:rsidRPr="00873B6C" w:rsidRDefault="00B96062" w:rsidP="009D14FB">
            <w:pPr>
              <w:pStyle w:val="TAL"/>
              <w:rPr>
                <w:sz w:val="16"/>
                <w:szCs w:val="16"/>
              </w:rPr>
            </w:pPr>
            <w:r w:rsidRPr="00873B6C">
              <w:rPr>
                <w:sz w:val="16"/>
                <w:szCs w:val="16"/>
              </w:rPr>
              <w:t>F</w:t>
            </w:r>
          </w:p>
        </w:tc>
        <w:tc>
          <w:tcPr>
            <w:tcW w:w="4820" w:type="dxa"/>
            <w:shd w:val="solid" w:color="FFFFFF" w:fill="auto"/>
          </w:tcPr>
          <w:p w14:paraId="6668B3B5" w14:textId="34A72261" w:rsidR="00B96062" w:rsidRPr="00873B6C" w:rsidRDefault="00B96062" w:rsidP="009D14FB">
            <w:pPr>
              <w:pStyle w:val="TAL"/>
              <w:rPr>
                <w:sz w:val="16"/>
                <w:szCs w:val="16"/>
              </w:rPr>
            </w:pPr>
            <w:r w:rsidRPr="00873B6C">
              <w:rPr>
                <w:sz w:val="16"/>
                <w:szCs w:val="16"/>
              </w:rPr>
              <w:t>(Mirror)Correct the NOTE for N6</w:t>
            </w:r>
          </w:p>
        </w:tc>
        <w:tc>
          <w:tcPr>
            <w:tcW w:w="708" w:type="dxa"/>
            <w:shd w:val="solid" w:color="FFFFFF" w:fill="auto"/>
          </w:tcPr>
          <w:p w14:paraId="59C32070" w14:textId="67864DFC" w:rsidR="00B96062" w:rsidRPr="00873B6C" w:rsidRDefault="00B96062" w:rsidP="009D14FB">
            <w:pPr>
              <w:pStyle w:val="TAC"/>
              <w:rPr>
                <w:sz w:val="16"/>
                <w:szCs w:val="16"/>
              </w:rPr>
            </w:pPr>
            <w:r w:rsidRPr="00873B6C">
              <w:rPr>
                <w:sz w:val="16"/>
                <w:szCs w:val="16"/>
              </w:rPr>
              <w:t>17.1.0</w:t>
            </w:r>
          </w:p>
        </w:tc>
      </w:tr>
      <w:tr w:rsidR="00B96062" w:rsidRPr="00873B6C" w14:paraId="1FD7B7A4" w14:textId="77777777" w:rsidTr="009D14FB">
        <w:tc>
          <w:tcPr>
            <w:tcW w:w="800" w:type="dxa"/>
            <w:shd w:val="solid" w:color="FFFFFF" w:fill="auto"/>
          </w:tcPr>
          <w:p w14:paraId="6401F010" w14:textId="31ACD4CA"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396374B6" w14:textId="4E6C046D"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378132A6" w14:textId="4931A908" w:rsidR="00B96062" w:rsidRPr="00873B6C" w:rsidRDefault="00B96062" w:rsidP="009D14FB">
            <w:pPr>
              <w:pStyle w:val="TAC"/>
              <w:rPr>
                <w:sz w:val="16"/>
                <w:szCs w:val="16"/>
              </w:rPr>
            </w:pPr>
            <w:r w:rsidRPr="00873B6C">
              <w:rPr>
                <w:sz w:val="16"/>
                <w:szCs w:val="16"/>
              </w:rPr>
              <w:t>SP-210355</w:t>
            </w:r>
          </w:p>
        </w:tc>
        <w:tc>
          <w:tcPr>
            <w:tcW w:w="567" w:type="dxa"/>
            <w:shd w:val="solid" w:color="FFFFFF" w:fill="auto"/>
          </w:tcPr>
          <w:p w14:paraId="7280DD8C" w14:textId="630308AF" w:rsidR="00B96062" w:rsidRPr="00873B6C" w:rsidRDefault="00B96062" w:rsidP="009D14FB">
            <w:pPr>
              <w:pStyle w:val="TAL"/>
              <w:rPr>
                <w:sz w:val="16"/>
                <w:szCs w:val="16"/>
              </w:rPr>
            </w:pPr>
            <w:r w:rsidRPr="00873B6C">
              <w:rPr>
                <w:sz w:val="16"/>
                <w:szCs w:val="16"/>
              </w:rPr>
              <w:t>2789</w:t>
            </w:r>
          </w:p>
        </w:tc>
        <w:tc>
          <w:tcPr>
            <w:tcW w:w="425" w:type="dxa"/>
            <w:shd w:val="solid" w:color="FFFFFF" w:fill="auto"/>
          </w:tcPr>
          <w:p w14:paraId="54C03C7E" w14:textId="3B27181D" w:rsidR="00B96062" w:rsidRPr="00873B6C" w:rsidRDefault="00B96062" w:rsidP="009D14FB">
            <w:pPr>
              <w:pStyle w:val="TAL"/>
              <w:rPr>
                <w:sz w:val="16"/>
                <w:szCs w:val="16"/>
              </w:rPr>
            </w:pPr>
            <w:r w:rsidRPr="00873B6C">
              <w:rPr>
                <w:sz w:val="16"/>
                <w:szCs w:val="16"/>
              </w:rPr>
              <w:t>5</w:t>
            </w:r>
          </w:p>
        </w:tc>
        <w:tc>
          <w:tcPr>
            <w:tcW w:w="425" w:type="dxa"/>
            <w:shd w:val="solid" w:color="FFFFFF" w:fill="auto"/>
          </w:tcPr>
          <w:p w14:paraId="6DDD98B2" w14:textId="356F4831"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6937C638" w14:textId="45A795FB" w:rsidR="00B96062" w:rsidRPr="00873B6C" w:rsidRDefault="00B96062" w:rsidP="009D14FB">
            <w:pPr>
              <w:pStyle w:val="TAL"/>
              <w:rPr>
                <w:sz w:val="16"/>
                <w:szCs w:val="16"/>
              </w:rPr>
            </w:pPr>
            <w:r w:rsidRPr="00873B6C">
              <w:rPr>
                <w:sz w:val="16"/>
                <w:szCs w:val="16"/>
              </w:rPr>
              <w:t xml:space="preserve">Roaming support for NSAC </w:t>
            </w:r>
          </w:p>
        </w:tc>
        <w:tc>
          <w:tcPr>
            <w:tcW w:w="708" w:type="dxa"/>
            <w:shd w:val="solid" w:color="FFFFFF" w:fill="auto"/>
          </w:tcPr>
          <w:p w14:paraId="1BBC3F5E" w14:textId="0EE7023B" w:rsidR="00B96062" w:rsidRPr="00873B6C" w:rsidRDefault="00B96062" w:rsidP="009D14FB">
            <w:pPr>
              <w:pStyle w:val="TAC"/>
              <w:rPr>
                <w:sz w:val="16"/>
                <w:szCs w:val="16"/>
              </w:rPr>
            </w:pPr>
            <w:r w:rsidRPr="00873B6C">
              <w:rPr>
                <w:sz w:val="16"/>
                <w:szCs w:val="16"/>
              </w:rPr>
              <w:t>17.1.0</w:t>
            </w:r>
          </w:p>
        </w:tc>
      </w:tr>
      <w:tr w:rsidR="00B96062" w:rsidRPr="00873B6C" w14:paraId="47FD374D" w14:textId="77777777" w:rsidTr="009D14FB">
        <w:tc>
          <w:tcPr>
            <w:tcW w:w="800" w:type="dxa"/>
            <w:shd w:val="solid" w:color="FFFFFF" w:fill="auto"/>
          </w:tcPr>
          <w:p w14:paraId="01B03C35" w14:textId="583F6661"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61027A18" w14:textId="1347762D"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3712D771" w14:textId="349A75C9" w:rsidR="00B96062" w:rsidRPr="00873B6C" w:rsidRDefault="00B96062" w:rsidP="009D14FB">
            <w:pPr>
              <w:pStyle w:val="TAC"/>
              <w:rPr>
                <w:sz w:val="16"/>
                <w:szCs w:val="16"/>
              </w:rPr>
            </w:pPr>
            <w:r w:rsidRPr="00873B6C">
              <w:rPr>
                <w:sz w:val="16"/>
                <w:szCs w:val="16"/>
              </w:rPr>
              <w:t>SP-210363</w:t>
            </w:r>
          </w:p>
        </w:tc>
        <w:tc>
          <w:tcPr>
            <w:tcW w:w="567" w:type="dxa"/>
            <w:shd w:val="solid" w:color="FFFFFF" w:fill="auto"/>
          </w:tcPr>
          <w:p w14:paraId="68DFEA08" w14:textId="28E14E90" w:rsidR="00B96062" w:rsidRPr="00873B6C" w:rsidRDefault="00B96062" w:rsidP="009D14FB">
            <w:pPr>
              <w:pStyle w:val="TAL"/>
              <w:rPr>
                <w:sz w:val="16"/>
                <w:szCs w:val="16"/>
              </w:rPr>
            </w:pPr>
            <w:r w:rsidRPr="00873B6C">
              <w:rPr>
                <w:sz w:val="16"/>
                <w:szCs w:val="16"/>
              </w:rPr>
              <w:t>2790</w:t>
            </w:r>
          </w:p>
        </w:tc>
        <w:tc>
          <w:tcPr>
            <w:tcW w:w="425" w:type="dxa"/>
            <w:shd w:val="solid" w:color="FFFFFF" w:fill="auto"/>
          </w:tcPr>
          <w:p w14:paraId="712228E4" w14:textId="2F011BEB"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4687B9EC" w14:textId="79492708"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5FF47FC1" w14:textId="5E45BE18" w:rsidR="00B96062" w:rsidRPr="00873B6C" w:rsidRDefault="00B96062" w:rsidP="009D14FB">
            <w:pPr>
              <w:pStyle w:val="TAL"/>
              <w:rPr>
                <w:sz w:val="16"/>
                <w:szCs w:val="16"/>
              </w:rPr>
            </w:pPr>
            <w:r w:rsidRPr="00873B6C">
              <w:rPr>
                <w:sz w:val="16"/>
                <w:szCs w:val="16"/>
              </w:rPr>
              <w:t>Support GERAN/UTRAN access in SMF+PGW-C</w:t>
            </w:r>
          </w:p>
        </w:tc>
        <w:tc>
          <w:tcPr>
            <w:tcW w:w="708" w:type="dxa"/>
            <w:shd w:val="solid" w:color="FFFFFF" w:fill="auto"/>
          </w:tcPr>
          <w:p w14:paraId="41D5F3F8" w14:textId="584C1A28" w:rsidR="00B96062" w:rsidRPr="00873B6C" w:rsidRDefault="00B96062" w:rsidP="009D14FB">
            <w:pPr>
              <w:pStyle w:val="TAC"/>
              <w:rPr>
                <w:sz w:val="16"/>
                <w:szCs w:val="16"/>
              </w:rPr>
            </w:pPr>
            <w:r w:rsidRPr="00873B6C">
              <w:rPr>
                <w:sz w:val="16"/>
                <w:szCs w:val="16"/>
              </w:rPr>
              <w:t>17.1.0</w:t>
            </w:r>
          </w:p>
        </w:tc>
      </w:tr>
      <w:tr w:rsidR="00B96062" w:rsidRPr="00873B6C" w14:paraId="65E797D9" w14:textId="77777777" w:rsidTr="009D14FB">
        <w:tc>
          <w:tcPr>
            <w:tcW w:w="800" w:type="dxa"/>
            <w:shd w:val="solid" w:color="FFFFFF" w:fill="auto"/>
          </w:tcPr>
          <w:p w14:paraId="2C7DBA83" w14:textId="00B9479D"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6E68F573" w14:textId="5EFCF51A"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4B9D3004" w14:textId="5183E2F9" w:rsidR="00B96062" w:rsidRPr="00873B6C" w:rsidRDefault="00B96062" w:rsidP="009D14FB">
            <w:pPr>
              <w:pStyle w:val="TAC"/>
              <w:rPr>
                <w:sz w:val="16"/>
                <w:szCs w:val="16"/>
              </w:rPr>
            </w:pPr>
            <w:r w:rsidRPr="00873B6C">
              <w:rPr>
                <w:sz w:val="16"/>
                <w:szCs w:val="16"/>
              </w:rPr>
              <w:t>SP-210359</w:t>
            </w:r>
          </w:p>
        </w:tc>
        <w:tc>
          <w:tcPr>
            <w:tcW w:w="567" w:type="dxa"/>
            <w:shd w:val="solid" w:color="FFFFFF" w:fill="auto"/>
          </w:tcPr>
          <w:p w14:paraId="6847F160" w14:textId="049A1CAF" w:rsidR="00B96062" w:rsidRPr="00873B6C" w:rsidRDefault="00B96062" w:rsidP="009D14FB">
            <w:pPr>
              <w:pStyle w:val="TAL"/>
              <w:rPr>
                <w:sz w:val="16"/>
                <w:szCs w:val="16"/>
              </w:rPr>
            </w:pPr>
            <w:r w:rsidRPr="00873B6C">
              <w:rPr>
                <w:sz w:val="16"/>
                <w:szCs w:val="16"/>
              </w:rPr>
              <w:t>2791</w:t>
            </w:r>
          </w:p>
        </w:tc>
        <w:tc>
          <w:tcPr>
            <w:tcW w:w="425" w:type="dxa"/>
            <w:shd w:val="solid" w:color="FFFFFF" w:fill="auto"/>
          </w:tcPr>
          <w:p w14:paraId="2B03ED9B" w14:textId="042CFA82"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50BF2534" w14:textId="3B9DACF2"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50032A2F" w14:textId="51DAC9FD" w:rsidR="00B96062" w:rsidRPr="00873B6C" w:rsidRDefault="00B96062" w:rsidP="009D14FB">
            <w:pPr>
              <w:pStyle w:val="TAL"/>
              <w:rPr>
                <w:sz w:val="16"/>
                <w:szCs w:val="16"/>
              </w:rPr>
            </w:pPr>
            <w:r w:rsidRPr="00873B6C">
              <w:rPr>
                <w:sz w:val="16"/>
                <w:szCs w:val="16"/>
              </w:rPr>
              <w:t>KI#3B, Resolving EN for Future PDU Session</w:t>
            </w:r>
          </w:p>
        </w:tc>
        <w:tc>
          <w:tcPr>
            <w:tcW w:w="708" w:type="dxa"/>
            <w:shd w:val="solid" w:color="FFFFFF" w:fill="auto"/>
          </w:tcPr>
          <w:p w14:paraId="2476354D" w14:textId="28D0F5CC" w:rsidR="00B96062" w:rsidRPr="00873B6C" w:rsidRDefault="00B96062" w:rsidP="009D14FB">
            <w:pPr>
              <w:pStyle w:val="TAC"/>
              <w:rPr>
                <w:sz w:val="16"/>
                <w:szCs w:val="16"/>
              </w:rPr>
            </w:pPr>
            <w:r w:rsidRPr="00873B6C">
              <w:rPr>
                <w:sz w:val="16"/>
                <w:szCs w:val="16"/>
              </w:rPr>
              <w:t>17.1.0</w:t>
            </w:r>
          </w:p>
        </w:tc>
      </w:tr>
      <w:tr w:rsidR="00B96062" w:rsidRPr="00873B6C" w14:paraId="6897FC5E" w14:textId="77777777" w:rsidTr="009D14FB">
        <w:tc>
          <w:tcPr>
            <w:tcW w:w="800" w:type="dxa"/>
            <w:shd w:val="solid" w:color="FFFFFF" w:fill="auto"/>
          </w:tcPr>
          <w:p w14:paraId="0CB9EC6B" w14:textId="29B99457"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53AF8156" w14:textId="4F7CA08D"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0F01B07D" w14:textId="6ED83C05" w:rsidR="00B96062" w:rsidRPr="00873B6C" w:rsidRDefault="00B96062" w:rsidP="009D14FB">
            <w:pPr>
              <w:pStyle w:val="TAC"/>
              <w:rPr>
                <w:sz w:val="16"/>
                <w:szCs w:val="16"/>
              </w:rPr>
            </w:pPr>
            <w:r w:rsidRPr="00873B6C">
              <w:rPr>
                <w:sz w:val="16"/>
                <w:szCs w:val="16"/>
              </w:rPr>
              <w:t>SP-210351</w:t>
            </w:r>
          </w:p>
        </w:tc>
        <w:tc>
          <w:tcPr>
            <w:tcW w:w="567" w:type="dxa"/>
            <w:shd w:val="solid" w:color="FFFFFF" w:fill="auto"/>
          </w:tcPr>
          <w:p w14:paraId="4EDC62A2" w14:textId="5ED4CA33" w:rsidR="00B96062" w:rsidRPr="00873B6C" w:rsidRDefault="00B96062" w:rsidP="009D14FB">
            <w:pPr>
              <w:pStyle w:val="TAL"/>
              <w:rPr>
                <w:sz w:val="16"/>
                <w:szCs w:val="16"/>
              </w:rPr>
            </w:pPr>
            <w:r w:rsidRPr="00873B6C">
              <w:rPr>
                <w:sz w:val="16"/>
                <w:szCs w:val="16"/>
              </w:rPr>
              <w:t>2795</w:t>
            </w:r>
          </w:p>
        </w:tc>
        <w:tc>
          <w:tcPr>
            <w:tcW w:w="425" w:type="dxa"/>
            <w:shd w:val="solid" w:color="FFFFFF" w:fill="auto"/>
          </w:tcPr>
          <w:p w14:paraId="77C0B5AB" w14:textId="42E50BC2"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370652A3" w14:textId="04760971" w:rsidR="00B96062" w:rsidRPr="00873B6C" w:rsidRDefault="00B96062" w:rsidP="009D14FB">
            <w:pPr>
              <w:pStyle w:val="TAL"/>
              <w:rPr>
                <w:sz w:val="16"/>
                <w:szCs w:val="16"/>
              </w:rPr>
            </w:pPr>
            <w:r w:rsidRPr="00873B6C">
              <w:rPr>
                <w:sz w:val="16"/>
                <w:szCs w:val="16"/>
              </w:rPr>
              <w:t>C</w:t>
            </w:r>
          </w:p>
        </w:tc>
        <w:tc>
          <w:tcPr>
            <w:tcW w:w="4820" w:type="dxa"/>
            <w:shd w:val="solid" w:color="FFFFFF" w:fill="auto"/>
          </w:tcPr>
          <w:p w14:paraId="089D1840" w14:textId="359C6ABA" w:rsidR="00B96062" w:rsidRPr="00873B6C" w:rsidRDefault="00B96062" w:rsidP="009D14FB">
            <w:pPr>
              <w:pStyle w:val="TAL"/>
              <w:rPr>
                <w:sz w:val="16"/>
                <w:szCs w:val="16"/>
              </w:rPr>
            </w:pPr>
            <w:r w:rsidRPr="00873B6C">
              <w:rPr>
                <w:sz w:val="16"/>
                <w:szCs w:val="16"/>
              </w:rPr>
              <w:t>Add a use case for network slice load analytics</w:t>
            </w:r>
          </w:p>
        </w:tc>
        <w:tc>
          <w:tcPr>
            <w:tcW w:w="708" w:type="dxa"/>
            <w:shd w:val="solid" w:color="FFFFFF" w:fill="auto"/>
          </w:tcPr>
          <w:p w14:paraId="0DB80B59" w14:textId="29BD100B" w:rsidR="00B96062" w:rsidRPr="00873B6C" w:rsidRDefault="00B96062" w:rsidP="009D14FB">
            <w:pPr>
              <w:pStyle w:val="TAC"/>
              <w:rPr>
                <w:sz w:val="16"/>
                <w:szCs w:val="16"/>
              </w:rPr>
            </w:pPr>
            <w:r w:rsidRPr="00873B6C">
              <w:rPr>
                <w:sz w:val="16"/>
                <w:szCs w:val="16"/>
              </w:rPr>
              <w:t>17.1.0</w:t>
            </w:r>
          </w:p>
        </w:tc>
      </w:tr>
      <w:tr w:rsidR="00B96062" w:rsidRPr="00873B6C" w14:paraId="5CA7EAA4" w14:textId="77777777" w:rsidTr="009D14FB">
        <w:tc>
          <w:tcPr>
            <w:tcW w:w="800" w:type="dxa"/>
            <w:shd w:val="solid" w:color="FFFFFF" w:fill="auto"/>
          </w:tcPr>
          <w:p w14:paraId="076C763E" w14:textId="30E1799C"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6700EA62" w14:textId="55031BF4"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292CA4D8" w14:textId="6226480F" w:rsidR="00B96062" w:rsidRPr="00873B6C" w:rsidRDefault="00B96062" w:rsidP="009D14FB">
            <w:pPr>
              <w:pStyle w:val="TAC"/>
              <w:rPr>
                <w:sz w:val="16"/>
                <w:szCs w:val="16"/>
              </w:rPr>
            </w:pPr>
            <w:r w:rsidRPr="00873B6C">
              <w:rPr>
                <w:sz w:val="16"/>
                <w:szCs w:val="16"/>
              </w:rPr>
              <w:t>SP-210353</w:t>
            </w:r>
          </w:p>
        </w:tc>
        <w:tc>
          <w:tcPr>
            <w:tcW w:w="567" w:type="dxa"/>
            <w:shd w:val="solid" w:color="FFFFFF" w:fill="auto"/>
          </w:tcPr>
          <w:p w14:paraId="30BCB3E2" w14:textId="60EE0700" w:rsidR="00B96062" w:rsidRPr="00873B6C" w:rsidRDefault="00B96062" w:rsidP="009D14FB">
            <w:pPr>
              <w:pStyle w:val="TAL"/>
              <w:rPr>
                <w:sz w:val="16"/>
                <w:szCs w:val="16"/>
              </w:rPr>
            </w:pPr>
            <w:r w:rsidRPr="00873B6C">
              <w:rPr>
                <w:sz w:val="16"/>
                <w:szCs w:val="16"/>
              </w:rPr>
              <w:t>2799</w:t>
            </w:r>
          </w:p>
        </w:tc>
        <w:tc>
          <w:tcPr>
            <w:tcW w:w="425" w:type="dxa"/>
            <w:shd w:val="solid" w:color="FFFFFF" w:fill="auto"/>
          </w:tcPr>
          <w:p w14:paraId="524DAE88" w14:textId="6AED864B"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092D718C" w14:textId="55D992EF"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2F69CF0B" w14:textId="2F3726B1" w:rsidR="00B96062" w:rsidRPr="00873B6C" w:rsidRDefault="00B96062" w:rsidP="009D14FB">
            <w:pPr>
              <w:pStyle w:val="TAL"/>
              <w:rPr>
                <w:sz w:val="16"/>
                <w:szCs w:val="16"/>
              </w:rPr>
            </w:pPr>
            <w:r w:rsidRPr="00873B6C">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873B6C" w:rsidRDefault="00B96062" w:rsidP="009D14FB">
            <w:pPr>
              <w:pStyle w:val="TAC"/>
              <w:rPr>
                <w:sz w:val="16"/>
                <w:szCs w:val="16"/>
              </w:rPr>
            </w:pPr>
            <w:r w:rsidRPr="00873B6C">
              <w:rPr>
                <w:sz w:val="16"/>
                <w:szCs w:val="16"/>
              </w:rPr>
              <w:t>17.1.0</w:t>
            </w:r>
          </w:p>
        </w:tc>
      </w:tr>
      <w:tr w:rsidR="00B96062" w:rsidRPr="00873B6C" w14:paraId="756B4783" w14:textId="77777777" w:rsidTr="009D14FB">
        <w:tc>
          <w:tcPr>
            <w:tcW w:w="800" w:type="dxa"/>
            <w:shd w:val="solid" w:color="FFFFFF" w:fill="auto"/>
          </w:tcPr>
          <w:p w14:paraId="76A08619" w14:textId="2FA36C7E"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07455D54" w14:textId="2B85FA03"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0B1A16E4" w14:textId="3E2857CF" w:rsidR="00B96062" w:rsidRPr="00873B6C" w:rsidRDefault="00B96062" w:rsidP="009D14FB">
            <w:pPr>
              <w:pStyle w:val="TAC"/>
              <w:rPr>
                <w:sz w:val="16"/>
                <w:szCs w:val="16"/>
              </w:rPr>
            </w:pPr>
            <w:r w:rsidRPr="00873B6C">
              <w:rPr>
                <w:sz w:val="16"/>
                <w:szCs w:val="16"/>
              </w:rPr>
              <w:t>SP-210354</w:t>
            </w:r>
          </w:p>
        </w:tc>
        <w:tc>
          <w:tcPr>
            <w:tcW w:w="567" w:type="dxa"/>
            <w:shd w:val="solid" w:color="FFFFFF" w:fill="auto"/>
          </w:tcPr>
          <w:p w14:paraId="02ECE539" w14:textId="573D8A42" w:rsidR="00B96062" w:rsidRPr="00873B6C" w:rsidRDefault="00B96062" w:rsidP="009D14FB">
            <w:pPr>
              <w:pStyle w:val="TAL"/>
              <w:rPr>
                <w:sz w:val="16"/>
                <w:szCs w:val="16"/>
              </w:rPr>
            </w:pPr>
            <w:r w:rsidRPr="00873B6C">
              <w:rPr>
                <w:sz w:val="16"/>
                <w:szCs w:val="16"/>
              </w:rPr>
              <w:t>2801</w:t>
            </w:r>
          </w:p>
        </w:tc>
        <w:tc>
          <w:tcPr>
            <w:tcW w:w="425" w:type="dxa"/>
            <w:shd w:val="solid" w:color="FFFFFF" w:fill="auto"/>
          </w:tcPr>
          <w:p w14:paraId="55227E9E" w14:textId="366B29B4" w:rsidR="00B96062" w:rsidRPr="00873B6C" w:rsidRDefault="00B96062" w:rsidP="009D14FB">
            <w:pPr>
              <w:pStyle w:val="TAL"/>
              <w:rPr>
                <w:sz w:val="16"/>
                <w:szCs w:val="16"/>
              </w:rPr>
            </w:pPr>
            <w:r w:rsidRPr="00873B6C">
              <w:rPr>
                <w:sz w:val="16"/>
                <w:szCs w:val="16"/>
              </w:rPr>
              <w:t>2</w:t>
            </w:r>
          </w:p>
        </w:tc>
        <w:tc>
          <w:tcPr>
            <w:tcW w:w="425" w:type="dxa"/>
            <w:shd w:val="solid" w:color="FFFFFF" w:fill="auto"/>
          </w:tcPr>
          <w:p w14:paraId="2760551C" w14:textId="4DCF1D8E" w:rsidR="00B96062" w:rsidRPr="00873B6C" w:rsidRDefault="00B96062" w:rsidP="009D14FB">
            <w:pPr>
              <w:pStyle w:val="TAL"/>
              <w:rPr>
                <w:sz w:val="16"/>
                <w:szCs w:val="16"/>
              </w:rPr>
            </w:pPr>
            <w:r w:rsidRPr="00873B6C">
              <w:rPr>
                <w:sz w:val="16"/>
                <w:szCs w:val="16"/>
              </w:rPr>
              <w:t>D</w:t>
            </w:r>
          </w:p>
        </w:tc>
        <w:tc>
          <w:tcPr>
            <w:tcW w:w="4820" w:type="dxa"/>
            <w:shd w:val="solid" w:color="FFFFFF" w:fill="auto"/>
          </w:tcPr>
          <w:p w14:paraId="35ADD842" w14:textId="2E020025" w:rsidR="00B96062" w:rsidRPr="00873B6C" w:rsidRDefault="00B96062" w:rsidP="009D14FB">
            <w:pPr>
              <w:pStyle w:val="TAL"/>
              <w:rPr>
                <w:sz w:val="16"/>
                <w:szCs w:val="16"/>
              </w:rPr>
            </w:pPr>
            <w:r w:rsidRPr="00873B6C">
              <w:rPr>
                <w:sz w:val="16"/>
                <w:szCs w:val="16"/>
              </w:rPr>
              <w:t>Correction to UE identifier sent to AMF by UE</w:t>
            </w:r>
          </w:p>
        </w:tc>
        <w:tc>
          <w:tcPr>
            <w:tcW w:w="708" w:type="dxa"/>
            <w:shd w:val="solid" w:color="FFFFFF" w:fill="auto"/>
          </w:tcPr>
          <w:p w14:paraId="694E2195" w14:textId="40B7F15D" w:rsidR="00B96062" w:rsidRPr="00873B6C" w:rsidRDefault="00B96062" w:rsidP="009D14FB">
            <w:pPr>
              <w:pStyle w:val="TAC"/>
              <w:rPr>
                <w:sz w:val="16"/>
                <w:szCs w:val="16"/>
              </w:rPr>
            </w:pPr>
            <w:r w:rsidRPr="00873B6C">
              <w:rPr>
                <w:sz w:val="16"/>
                <w:szCs w:val="16"/>
              </w:rPr>
              <w:t>17.1.0</w:t>
            </w:r>
          </w:p>
        </w:tc>
      </w:tr>
      <w:tr w:rsidR="00681FC7" w:rsidRPr="00873B6C" w14:paraId="17F2E9DF" w14:textId="77777777" w:rsidTr="00055D0B">
        <w:tc>
          <w:tcPr>
            <w:tcW w:w="800" w:type="dxa"/>
            <w:shd w:val="solid" w:color="FFFFFF" w:fill="auto"/>
          </w:tcPr>
          <w:p w14:paraId="25727E05" w14:textId="77777777" w:rsidR="00681FC7" w:rsidRPr="00873B6C" w:rsidRDefault="00681FC7" w:rsidP="00055D0B">
            <w:pPr>
              <w:pStyle w:val="TAC"/>
              <w:rPr>
                <w:sz w:val="16"/>
                <w:szCs w:val="16"/>
              </w:rPr>
            </w:pPr>
            <w:r w:rsidRPr="00873B6C">
              <w:rPr>
                <w:sz w:val="16"/>
                <w:szCs w:val="16"/>
              </w:rPr>
              <w:t>2021-06</w:t>
            </w:r>
          </w:p>
        </w:tc>
        <w:tc>
          <w:tcPr>
            <w:tcW w:w="800" w:type="dxa"/>
            <w:shd w:val="solid" w:color="FFFFFF" w:fill="auto"/>
          </w:tcPr>
          <w:p w14:paraId="345943B5" w14:textId="77777777" w:rsidR="00681FC7" w:rsidRPr="00873B6C" w:rsidRDefault="00681FC7" w:rsidP="00055D0B">
            <w:pPr>
              <w:pStyle w:val="TAL"/>
              <w:rPr>
                <w:sz w:val="16"/>
                <w:szCs w:val="16"/>
              </w:rPr>
            </w:pPr>
            <w:r w:rsidRPr="00873B6C">
              <w:rPr>
                <w:sz w:val="16"/>
                <w:szCs w:val="16"/>
              </w:rPr>
              <w:t>SP#92E</w:t>
            </w:r>
          </w:p>
        </w:tc>
        <w:tc>
          <w:tcPr>
            <w:tcW w:w="1094" w:type="dxa"/>
            <w:shd w:val="solid" w:color="FFFFFF" w:fill="auto"/>
          </w:tcPr>
          <w:p w14:paraId="5F8751F1" w14:textId="77777777" w:rsidR="00681FC7" w:rsidRPr="00873B6C" w:rsidRDefault="00681FC7" w:rsidP="00055D0B">
            <w:pPr>
              <w:pStyle w:val="TAC"/>
              <w:rPr>
                <w:sz w:val="16"/>
                <w:szCs w:val="16"/>
              </w:rPr>
            </w:pPr>
            <w:r w:rsidRPr="00873B6C">
              <w:rPr>
                <w:sz w:val="16"/>
                <w:szCs w:val="16"/>
              </w:rPr>
              <w:t>SP-210353</w:t>
            </w:r>
          </w:p>
        </w:tc>
        <w:tc>
          <w:tcPr>
            <w:tcW w:w="567" w:type="dxa"/>
            <w:shd w:val="solid" w:color="FFFFFF" w:fill="auto"/>
          </w:tcPr>
          <w:p w14:paraId="655F6690" w14:textId="77777777" w:rsidR="00681FC7" w:rsidRPr="00873B6C" w:rsidRDefault="00681FC7" w:rsidP="00055D0B">
            <w:pPr>
              <w:pStyle w:val="TAL"/>
              <w:rPr>
                <w:sz w:val="16"/>
                <w:szCs w:val="16"/>
              </w:rPr>
            </w:pPr>
            <w:r w:rsidRPr="00873B6C">
              <w:rPr>
                <w:sz w:val="16"/>
                <w:szCs w:val="16"/>
              </w:rPr>
              <w:t>2802</w:t>
            </w:r>
          </w:p>
        </w:tc>
        <w:tc>
          <w:tcPr>
            <w:tcW w:w="425" w:type="dxa"/>
            <w:shd w:val="solid" w:color="FFFFFF" w:fill="auto"/>
          </w:tcPr>
          <w:p w14:paraId="17EE7E41" w14:textId="77777777" w:rsidR="00681FC7" w:rsidRPr="00873B6C" w:rsidRDefault="00681FC7" w:rsidP="00055D0B">
            <w:pPr>
              <w:pStyle w:val="TAL"/>
              <w:rPr>
                <w:sz w:val="16"/>
                <w:szCs w:val="16"/>
              </w:rPr>
            </w:pPr>
            <w:r w:rsidRPr="00873B6C">
              <w:rPr>
                <w:sz w:val="16"/>
                <w:szCs w:val="16"/>
              </w:rPr>
              <w:t>1</w:t>
            </w:r>
          </w:p>
        </w:tc>
        <w:tc>
          <w:tcPr>
            <w:tcW w:w="425" w:type="dxa"/>
            <w:shd w:val="solid" w:color="FFFFFF" w:fill="auto"/>
          </w:tcPr>
          <w:p w14:paraId="336E3238" w14:textId="77777777" w:rsidR="00681FC7" w:rsidRPr="00873B6C" w:rsidRDefault="00681FC7" w:rsidP="00055D0B">
            <w:pPr>
              <w:pStyle w:val="TAL"/>
              <w:rPr>
                <w:sz w:val="16"/>
                <w:szCs w:val="16"/>
              </w:rPr>
            </w:pPr>
            <w:r w:rsidRPr="00873B6C">
              <w:rPr>
                <w:sz w:val="16"/>
                <w:szCs w:val="16"/>
              </w:rPr>
              <w:t>B</w:t>
            </w:r>
          </w:p>
        </w:tc>
        <w:tc>
          <w:tcPr>
            <w:tcW w:w="4820" w:type="dxa"/>
            <w:shd w:val="solid" w:color="FFFFFF" w:fill="auto"/>
          </w:tcPr>
          <w:p w14:paraId="2589676F" w14:textId="77777777" w:rsidR="00681FC7" w:rsidRPr="00873B6C" w:rsidRDefault="00681FC7" w:rsidP="00055D0B">
            <w:pPr>
              <w:pStyle w:val="TAL"/>
              <w:rPr>
                <w:sz w:val="16"/>
                <w:szCs w:val="16"/>
              </w:rPr>
            </w:pPr>
            <w:r w:rsidRPr="00873B6C">
              <w:rPr>
                <w:sz w:val="16"/>
                <w:szCs w:val="16"/>
              </w:rPr>
              <w:t>User Plane Remote Provisioning of UEs if PLMN as ON</w:t>
            </w:r>
          </w:p>
        </w:tc>
        <w:tc>
          <w:tcPr>
            <w:tcW w:w="708" w:type="dxa"/>
            <w:shd w:val="solid" w:color="FFFFFF" w:fill="auto"/>
          </w:tcPr>
          <w:p w14:paraId="2351E60B" w14:textId="77777777" w:rsidR="00681FC7" w:rsidRPr="00873B6C" w:rsidRDefault="00681FC7" w:rsidP="00055D0B">
            <w:pPr>
              <w:pStyle w:val="TAC"/>
              <w:rPr>
                <w:sz w:val="16"/>
                <w:szCs w:val="16"/>
              </w:rPr>
            </w:pPr>
            <w:r w:rsidRPr="00873B6C">
              <w:rPr>
                <w:sz w:val="16"/>
                <w:szCs w:val="16"/>
              </w:rPr>
              <w:t>17.1.0</w:t>
            </w:r>
          </w:p>
        </w:tc>
      </w:tr>
      <w:tr w:rsidR="00681FC7" w:rsidRPr="00873B6C" w14:paraId="6843FEF8" w14:textId="77777777" w:rsidTr="009D14FB">
        <w:tc>
          <w:tcPr>
            <w:tcW w:w="800" w:type="dxa"/>
            <w:shd w:val="solid" w:color="FFFFFF" w:fill="auto"/>
          </w:tcPr>
          <w:p w14:paraId="21DEC4C0" w14:textId="13994BBC"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7A2EC400" w14:textId="7AFB2464"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6F22346D" w14:textId="1DAEA9FA" w:rsidR="00681FC7" w:rsidRPr="00873B6C" w:rsidRDefault="00681FC7" w:rsidP="009D14FB">
            <w:pPr>
              <w:pStyle w:val="TAC"/>
              <w:rPr>
                <w:sz w:val="16"/>
                <w:szCs w:val="16"/>
              </w:rPr>
            </w:pPr>
            <w:r w:rsidRPr="00873B6C">
              <w:rPr>
                <w:sz w:val="16"/>
                <w:szCs w:val="16"/>
              </w:rPr>
              <w:t>SP-210347</w:t>
            </w:r>
          </w:p>
        </w:tc>
        <w:tc>
          <w:tcPr>
            <w:tcW w:w="567" w:type="dxa"/>
            <w:shd w:val="solid" w:color="FFFFFF" w:fill="auto"/>
          </w:tcPr>
          <w:p w14:paraId="0E422054" w14:textId="4E06B9C9" w:rsidR="00681FC7" w:rsidRPr="00873B6C" w:rsidRDefault="00681FC7" w:rsidP="009D14FB">
            <w:pPr>
              <w:pStyle w:val="TAL"/>
              <w:rPr>
                <w:sz w:val="16"/>
                <w:szCs w:val="16"/>
              </w:rPr>
            </w:pPr>
            <w:r w:rsidRPr="00873B6C">
              <w:rPr>
                <w:sz w:val="16"/>
                <w:szCs w:val="16"/>
              </w:rPr>
              <w:t>2804</w:t>
            </w:r>
          </w:p>
        </w:tc>
        <w:tc>
          <w:tcPr>
            <w:tcW w:w="425" w:type="dxa"/>
            <w:shd w:val="solid" w:color="FFFFFF" w:fill="auto"/>
          </w:tcPr>
          <w:p w14:paraId="19DEEB31" w14:textId="1E787FF0" w:rsidR="00681FC7" w:rsidRPr="00873B6C" w:rsidRDefault="00681FC7" w:rsidP="009D14FB">
            <w:pPr>
              <w:pStyle w:val="TAL"/>
              <w:rPr>
                <w:sz w:val="16"/>
                <w:szCs w:val="16"/>
              </w:rPr>
            </w:pPr>
            <w:r w:rsidRPr="00873B6C">
              <w:rPr>
                <w:sz w:val="16"/>
                <w:szCs w:val="16"/>
              </w:rPr>
              <w:t>3</w:t>
            </w:r>
          </w:p>
        </w:tc>
        <w:tc>
          <w:tcPr>
            <w:tcW w:w="425" w:type="dxa"/>
            <w:shd w:val="solid" w:color="FFFFFF" w:fill="auto"/>
          </w:tcPr>
          <w:p w14:paraId="17F184E1" w14:textId="5999B6FB" w:rsidR="00681FC7" w:rsidRPr="00873B6C" w:rsidRDefault="00681FC7" w:rsidP="009D14FB">
            <w:pPr>
              <w:pStyle w:val="TAL"/>
              <w:rPr>
                <w:sz w:val="16"/>
                <w:szCs w:val="16"/>
              </w:rPr>
            </w:pPr>
            <w:r w:rsidRPr="00873B6C">
              <w:rPr>
                <w:sz w:val="16"/>
                <w:szCs w:val="16"/>
              </w:rPr>
              <w:t>B</w:t>
            </w:r>
          </w:p>
        </w:tc>
        <w:tc>
          <w:tcPr>
            <w:tcW w:w="4820" w:type="dxa"/>
            <w:shd w:val="solid" w:color="FFFFFF" w:fill="auto"/>
          </w:tcPr>
          <w:p w14:paraId="2783698E" w14:textId="180CA503" w:rsidR="00681FC7" w:rsidRPr="00873B6C" w:rsidRDefault="00681FC7" w:rsidP="009D14FB">
            <w:pPr>
              <w:pStyle w:val="TAL"/>
              <w:rPr>
                <w:sz w:val="16"/>
                <w:szCs w:val="16"/>
              </w:rPr>
            </w:pPr>
            <w:r w:rsidRPr="00873B6C">
              <w:rPr>
                <w:sz w:val="16"/>
                <w:szCs w:val="16"/>
              </w:rPr>
              <w:t>Edge relocation considering user plane lantecy requirement</w:t>
            </w:r>
          </w:p>
        </w:tc>
        <w:tc>
          <w:tcPr>
            <w:tcW w:w="708" w:type="dxa"/>
            <w:shd w:val="solid" w:color="FFFFFF" w:fill="auto"/>
          </w:tcPr>
          <w:p w14:paraId="777540CD" w14:textId="0C46C480" w:rsidR="00681FC7" w:rsidRPr="00873B6C" w:rsidRDefault="00681FC7" w:rsidP="009D14FB">
            <w:pPr>
              <w:pStyle w:val="TAC"/>
              <w:rPr>
                <w:sz w:val="16"/>
                <w:szCs w:val="16"/>
              </w:rPr>
            </w:pPr>
            <w:r w:rsidRPr="00873B6C">
              <w:rPr>
                <w:sz w:val="16"/>
                <w:szCs w:val="16"/>
              </w:rPr>
              <w:t>17.1.0</w:t>
            </w:r>
          </w:p>
        </w:tc>
      </w:tr>
      <w:tr w:rsidR="00681FC7" w:rsidRPr="00873B6C" w14:paraId="00B92BB3" w14:textId="77777777" w:rsidTr="009D14FB">
        <w:tc>
          <w:tcPr>
            <w:tcW w:w="800" w:type="dxa"/>
            <w:shd w:val="solid" w:color="FFFFFF" w:fill="auto"/>
          </w:tcPr>
          <w:p w14:paraId="7E8BD45D" w14:textId="5ACE2EDE"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555EECCB" w14:textId="32E8E75F"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35AF0F13" w14:textId="72C97652" w:rsidR="00681FC7" w:rsidRPr="00873B6C" w:rsidRDefault="00681FC7" w:rsidP="009D14FB">
            <w:pPr>
              <w:pStyle w:val="TAC"/>
              <w:rPr>
                <w:sz w:val="16"/>
                <w:szCs w:val="16"/>
              </w:rPr>
            </w:pPr>
            <w:r w:rsidRPr="00873B6C">
              <w:rPr>
                <w:sz w:val="16"/>
                <w:szCs w:val="16"/>
              </w:rPr>
              <w:t>SP-210351</w:t>
            </w:r>
          </w:p>
        </w:tc>
        <w:tc>
          <w:tcPr>
            <w:tcW w:w="567" w:type="dxa"/>
            <w:shd w:val="solid" w:color="FFFFFF" w:fill="auto"/>
          </w:tcPr>
          <w:p w14:paraId="17E211E3" w14:textId="16F13EEB" w:rsidR="00681FC7" w:rsidRPr="00873B6C" w:rsidRDefault="00681FC7" w:rsidP="009D14FB">
            <w:pPr>
              <w:pStyle w:val="TAL"/>
              <w:rPr>
                <w:sz w:val="16"/>
                <w:szCs w:val="16"/>
              </w:rPr>
            </w:pPr>
            <w:r w:rsidRPr="00873B6C">
              <w:rPr>
                <w:sz w:val="16"/>
                <w:szCs w:val="16"/>
              </w:rPr>
              <w:t>2805</w:t>
            </w:r>
          </w:p>
        </w:tc>
        <w:tc>
          <w:tcPr>
            <w:tcW w:w="425" w:type="dxa"/>
            <w:shd w:val="solid" w:color="FFFFFF" w:fill="auto"/>
          </w:tcPr>
          <w:p w14:paraId="56D4FDF7" w14:textId="77F9EC94" w:rsidR="00681FC7" w:rsidRPr="00873B6C" w:rsidRDefault="00681FC7" w:rsidP="009D14FB">
            <w:pPr>
              <w:pStyle w:val="TAL"/>
              <w:rPr>
                <w:sz w:val="16"/>
                <w:szCs w:val="16"/>
              </w:rPr>
            </w:pPr>
            <w:r w:rsidRPr="00873B6C">
              <w:rPr>
                <w:sz w:val="16"/>
                <w:szCs w:val="16"/>
              </w:rPr>
              <w:t>1</w:t>
            </w:r>
          </w:p>
        </w:tc>
        <w:tc>
          <w:tcPr>
            <w:tcW w:w="425" w:type="dxa"/>
            <w:shd w:val="solid" w:color="FFFFFF" w:fill="auto"/>
          </w:tcPr>
          <w:p w14:paraId="441FD807" w14:textId="7A543E74" w:rsidR="00681FC7" w:rsidRPr="00873B6C" w:rsidRDefault="00681FC7" w:rsidP="009D14FB">
            <w:pPr>
              <w:pStyle w:val="TAL"/>
              <w:rPr>
                <w:sz w:val="16"/>
                <w:szCs w:val="16"/>
              </w:rPr>
            </w:pPr>
            <w:r w:rsidRPr="00873B6C">
              <w:rPr>
                <w:sz w:val="16"/>
                <w:szCs w:val="16"/>
              </w:rPr>
              <w:t>C</w:t>
            </w:r>
          </w:p>
        </w:tc>
        <w:tc>
          <w:tcPr>
            <w:tcW w:w="4820" w:type="dxa"/>
            <w:shd w:val="solid" w:color="FFFFFF" w:fill="auto"/>
          </w:tcPr>
          <w:p w14:paraId="14AF6295" w14:textId="79635539" w:rsidR="00681FC7" w:rsidRPr="00873B6C" w:rsidRDefault="00681FC7" w:rsidP="009D14FB">
            <w:pPr>
              <w:pStyle w:val="TAL"/>
              <w:rPr>
                <w:sz w:val="16"/>
                <w:szCs w:val="16"/>
              </w:rPr>
            </w:pPr>
            <w:r w:rsidRPr="00873B6C">
              <w:rPr>
                <w:sz w:val="16"/>
                <w:szCs w:val="16"/>
              </w:rPr>
              <w:t>Use of TAI(s) for slice restriction based on analytics</w:t>
            </w:r>
          </w:p>
        </w:tc>
        <w:tc>
          <w:tcPr>
            <w:tcW w:w="708" w:type="dxa"/>
            <w:shd w:val="solid" w:color="FFFFFF" w:fill="auto"/>
          </w:tcPr>
          <w:p w14:paraId="2765A008" w14:textId="5FB50C9B" w:rsidR="00681FC7" w:rsidRPr="00873B6C" w:rsidRDefault="00681FC7" w:rsidP="009D14FB">
            <w:pPr>
              <w:pStyle w:val="TAC"/>
              <w:rPr>
                <w:sz w:val="16"/>
                <w:szCs w:val="16"/>
              </w:rPr>
            </w:pPr>
            <w:r w:rsidRPr="00873B6C">
              <w:rPr>
                <w:sz w:val="16"/>
                <w:szCs w:val="16"/>
              </w:rPr>
              <w:t>17.1.0</w:t>
            </w:r>
          </w:p>
        </w:tc>
      </w:tr>
      <w:tr w:rsidR="00681FC7" w:rsidRPr="00873B6C" w14:paraId="6A6DA5B6" w14:textId="77777777" w:rsidTr="009D14FB">
        <w:tc>
          <w:tcPr>
            <w:tcW w:w="800" w:type="dxa"/>
            <w:shd w:val="solid" w:color="FFFFFF" w:fill="auto"/>
          </w:tcPr>
          <w:p w14:paraId="306FDCFF" w14:textId="0B7B2BC9" w:rsidR="00681FC7" w:rsidRPr="00873B6C" w:rsidRDefault="00681FC7" w:rsidP="009D14FB">
            <w:pPr>
              <w:pStyle w:val="TAC"/>
              <w:rPr>
                <w:sz w:val="16"/>
                <w:szCs w:val="16"/>
              </w:rPr>
            </w:pPr>
            <w:r w:rsidRPr="00873B6C">
              <w:rPr>
                <w:sz w:val="16"/>
                <w:szCs w:val="16"/>
              </w:rPr>
              <w:lastRenderedPageBreak/>
              <w:t>2021-06</w:t>
            </w:r>
          </w:p>
        </w:tc>
        <w:tc>
          <w:tcPr>
            <w:tcW w:w="800" w:type="dxa"/>
            <w:shd w:val="solid" w:color="FFFFFF" w:fill="auto"/>
          </w:tcPr>
          <w:p w14:paraId="4E7DE6BF" w14:textId="0F4B6A61"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4F0A0B7F" w14:textId="5A66266F" w:rsidR="00681FC7" w:rsidRPr="00873B6C" w:rsidRDefault="00681FC7" w:rsidP="009D14FB">
            <w:pPr>
              <w:pStyle w:val="TAC"/>
              <w:rPr>
                <w:sz w:val="16"/>
                <w:szCs w:val="16"/>
              </w:rPr>
            </w:pPr>
            <w:r w:rsidRPr="00873B6C">
              <w:rPr>
                <w:sz w:val="16"/>
                <w:szCs w:val="16"/>
              </w:rPr>
              <w:t>SP-210337</w:t>
            </w:r>
          </w:p>
        </w:tc>
        <w:tc>
          <w:tcPr>
            <w:tcW w:w="567" w:type="dxa"/>
            <w:shd w:val="solid" w:color="FFFFFF" w:fill="auto"/>
          </w:tcPr>
          <w:p w14:paraId="4F67E65F" w14:textId="1ED58248" w:rsidR="00681FC7" w:rsidRPr="00873B6C" w:rsidRDefault="00681FC7" w:rsidP="009D14FB">
            <w:pPr>
              <w:pStyle w:val="TAL"/>
              <w:rPr>
                <w:sz w:val="16"/>
                <w:szCs w:val="16"/>
              </w:rPr>
            </w:pPr>
            <w:r w:rsidRPr="00873B6C">
              <w:rPr>
                <w:sz w:val="16"/>
                <w:szCs w:val="16"/>
              </w:rPr>
              <w:t>2806</w:t>
            </w:r>
          </w:p>
        </w:tc>
        <w:tc>
          <w:tcPr>
            <w:tcW w:w="425" w:type="dxa"/>
            <w:shd w:val="solid" w:color="FFFFFF" w:fill="auto"/>
          </w:tcPr>
          <w:p w14:paraId="5FFD9F2E" w14:textId="460BFA2D" w:rsidR="00681FC7" w:rsidRPr="00873B6C" w:rsidRDefault="00681FC7" w:rsidP="009D14FB">
            <w:pPr>
              <w:pStyle w:val="TAL"/>
              <w:rPr>
                <w:sz w:val="16"/>
                <w:szCs w:val="16"/>
              </w:rPr>
            </w:pPr>
            <w:r w:rsidRPr="00873B6C">
              <w:rPr>
                <w:sz w:val="16"/>
                <w:szCs w:val="16"/>
              </w:rPr>
              <w:t>1</w:t>
            </w:r>
          </w:p>
        </w:tc>
        <w:tc>
          <w:tcPr>
            <w:tcW w:w="425" w:type="dxa"/>
            <w:shd w:val="solid" w:color="FFFFFF" w:fill="auto"/>
          </w:tcPr>
          <w:p w14:paraId="1FD08B4B" w14:textId="365F8940" w:rsidR="00681FC7" w:rsidRPr="00873B6C" w:rsidRDefault="00681FC7" w:rsidP="009D14FB">
            <w:pPr>
              <w:pStyle w:val="TAL"/>
              <w:rPr>
                <w:sz w:val="16"/>
                <w:szCs w:val="16"/>
              </w:rPr>
            </w:pPr>
            <w:r w:rsidRPr="00873B6C">
              <w:rPr>
                <w:sz w:val="16"/>
                <w:szCs w:val="16"/>
              </w:rPr>
              <w:t>F</w:t>
            </w:r>
          </w:p>
        </w:tc>
        <w:tc>
          <w:tcPr>
            <w:tcW w:w="4820" w:type="dxa"/>
            <w:shd w:val="solid" w:color="FFFFFF" w:fill="auto"/>
          </w:tcPr>
          <w:p w14:paraId="1E7C7F16" w14:textId="33D7C80D" w:rsidR="00681FC7" w:rsidRPr="00873B6C" w:rsidRDefault="00681FC7" w:rsidP="009D14FB">
            <w:pPr>
              <w:pStyle w:val="TAL"/>
              <w:rPr>
                <w:sz w:val="16"/>
                <w:szCs w:val="16"/>
              </w:rPr>
            </w:pPr>
            <w:r w:rsidRPr="00873B6C">
              <w:rPr>
                <w:sz w:val="16"/>
                <w:szCs w:val="16"/>
              </w:rPr>
              <w:t>Packet size for PDB</w:t>
            </w:r>
          </w:p>
        </w:tc>
        <w:tc>
          <w:tcPr>
            <w:tcW w:w="708" w:type="dxa"/>
            <w:shd w:val="solid" w:color="FFFFFF" w:fill="auto"/>
          </w:tcPr>
          <w:p w14:paraId="2924235E" w14:textId="72EC7777" w:rsidR="00681FC7" w:rsidRPr="00873B6C" w:rsidRDefault="00681FC7" w:rsidP="009D14FB">
            <w:pPr>
              <w:pStyle w:val="TAC"/>
              <w:rPr>
                <w:sz w:val="16"/>
                <w:szCs w:val="16"/>
              </w:rPr>
            </w:pPr>
            <w:r w:rsidRPr="00873B6C">
              <w:rPr>
                <w:sz w:val="16"/>
                <w:szCs w:val="16"/>
              </w:rPr>
              <w:t>17.1.0</w:t>
            </w:r>
          </w:p>
        </w:tc>
      </w:tr>
      <w:tr w:rsidR="00681FC7" w:rsidRPr="00873B6C" w14:paraId="2E369F1F" w14:textId="77777777" w:rsidTr="009D14FB">
        <w:tc>
          <w:tcPr>
            <w:tcW w:w="800" w:type="dxa"/>
            <w:shd w:val="solid" w:color="FFFFFF" w:fill="auto"/>
          </w:tcPr>
          <w:p w14:paraId="55C9328E" w14:textId="00833A76"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22A5565E" w14:textId="45667E4F"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3BEF1363" w14:textId="537D3607" w:rsidR="00681FC7" w:rsidRPr="00873B6C" w:rsidRDefault="00681FC7" w:rsidP="009D14FB">
            <w:pPr>
              <w:pStyle w:val="TAC"/>
              <w:rPr>
                <w:sz w:val="16"/>
                <w:szCs w:val="16"/>
              </w:rPr>
            </w:pPr>
            <w:r w:rsidRPr="00873B6C">
              <w:rPr>
                <w:sz w:val="16"/>
                <w:szCs w:val="16"/>
              </w:rPr>
              <w:t>SP-210351</w:t>
            </w:r>
          </w:p>
        </w:tc>
        <w:tc>
          <w:tcPr>
            <w:tcW w:w="567" w:type="dxa"/>
            <w:shd w:val="solid" w:color="FFFFFF" w:fill="auto"/>
          </w:tcPr>
          <w:p w14:paraId="5DC7A27E" w14:textId="1FC81DFA" w:rsidR="00681FC7" w:rsidRPr="00873B6C" w:rsidRDefault="00681FC7" w:rsidP="009D14FB">
            <w:pPr>
              <w:pStyle w:val="TAL"/>
              <w:rPr>
                <w:sz w:val="16"/>
                <w:szCs w:val="16"/>
              </w:rPr>
            </w:pPr>
            <w:r w:rsidRPr="00873B6C">
              <w:rPr>
                <w:sz w:val="16"/>
                <w:szCs w:val="16"/>
              </w:rPr>
              <w:t>2807</w:t>
            </w:r>
          </w:p>
        </w:tc>
        <w:tc>
          <w:tcPr>
            <w:tcW w:w="425" w:type="dxa"/>
            <w:shd w:val="solid" w:color="FFFFFF" w:fill="auto"/>
          </w:tcPr>
          <w:p w14:paraId="4EB19A55" w14:textId="4431CF7A" w:rsidR="00681FC7" w:rsidRPr="00873B6C" w:rsidRDefault="00681FC7" w:rsidP="009D14FB">
            <w:pPr>
              <w:pStyle w:val="TAL"/>
              <w:rPr>
                <w:sz w:val="16"/>
                <w:szCs w:val="16"/>
              </w:rPr>
            </w:pPr>
            <w:r w:rsidRPr="00873B6C">
              <w:rPr>
                <w:sz w:val="16"/>
                <w:szCs w:val="16"/>
              </w:rPr>
              <w:t>-</w:t>
            </w:r>
          </w:p>
        </w:tc>
        <w:tc>
          <w:tcPr>
            <w:tcW w:w="425" w:type="dxa"/>
            <w:shd w:val="solid" w:color="FFFFFF" w:fill="auto"/>
          </w:tcPr>
          <w:p w14:paraId="0E7A9190" w14:textId="58652028" w:rsidR="00681FC7" w:rsidRPr="00873B6C" w:rsidRDefault="00681FC7" w:rsidP="009D14FB">
            <w:pPr>
              <w:pStyle w:val="TAL"/>
              <w:rPr>
                <w:sz w:val="16"/>
                <w:szCs w:val="16"/>
              </w:rPr>
            </w:pPr>
            <w:r w:rsidRPr="00873B6C">
              <w:rPr>
                <w:sz w:val="16"/>
                <w:szCs w:val="16"/>
              </w:rPr>
              <w:t>F</w:t>
            </w:r>
          </w:p>
        </w:tc>
        <w:tc>
          <w:tcPr>
            <w:tcW w:w="4820" w:type="dxa"/>
            <w:shd w:val="solid" w:color="FFFFFF" w:fill="auto"/>
          </w:tcPr>
          <w:p w14:paraId="0F2EFD42" w14:textId="302BA21A" w:rsidR="00681FC7" w:rsidRPr="00873B6C" w:rsidRDefault="00681FC7" w:rsidP="009D14FB">
            <w:pPr>
              <w:pStyle w:val="TAL"/>
              <w:rPr>
                <w:sz w:val="16"/>
                <w:szCs w:val="16"/>
              </w:rPr>
            </w:pPr>
            <w:r w:rsidRPr="00873B6C">
              <w:rPr>
                <w:sz w:val="16"/>
                <w:szCs w:val="16"/>
              </w:rPr>
              <w:t>Corrections for ADRF services</w:t>
            </w:r>
          </w:p>
        </w:tc>
        <w:tc>
          <w:tcPr>
            <w:tcW w:w="708" w:type="dxa"/>
            <w:shd w:val="solid" w:color="FFFFFF" w:fill="auto"/>
          </w:tcPr>
          <w:p w14:paraId="18B68C72" w14:textId="5C32FC20" w:rsidR="00681FC7" w:rsidRPr="00873B6C" w:rsidRDefault="00681FC7" w:rsidP="009D14FB">
            <w:pPr>
              <w:pStyle w:val="TAC"/>
              <w:rPr>
                <w:sz w:val="16"/>
                <w:szCs w:val="16"/>
              </w:rPr>
            </w:pPr>
            <w:r w:rsidRPr="00873B6C">
              <w:rPr>
                <w:sz w:val="16"/>
                <w:szCs w:val="16"/>
              </w:rPr>
              <w:t>17.1.0</w:t>
            </w:r>
          </w:p>
        </w:tc>
      </w:tr>
      <w:tr w:rsidR="00681FC7" w:rsidRPr="00873B6C" w14:paraId="358F570A" w14:textId="77777777" w:rsidTr="009D14FB">
        <w:tc>
          <w:tcPr>
            <w:tcW w:w="800" w:type="dxa"/>
            <w:shd w:val="solid" w:color="FFFFFF" w:fill="auto"/>
          </w:tcPr>
          <w:p w14:paraId="37298A28" w14:textId="570AE8DB"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4FA5EBFC" w14:textId="58940BAC"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2B5AF904" w14:textId="5D4717CE" w:rsidR="00681FC7" w:rsidRPr="00873B6C" w:rsidRDefault="00681FC7" w:rsidP="009D14FB">
            <w:pPr>
              <w:pStyle w:val="TAC"/>
              <w:rPr>
                <w:sz w:val="16"/>
                <w:szCs w:val="16"/>
              </w:rPr>
            </w:pPr>
            <w:r w:rsidRPr="00873B6C">
              <w:rPr>
                <w:sz w:val="16"/>
                <w:szCs w:val="16"/>
              </w:rPr>
              <w:t>SP-210351</w:t>
            </w:r>
          </w:p>
        </w:tc>
        <w:tc>
          <w:tcPr>
            <w:tcW w:w="567" w:type="dxa"/>
            <w:shd w:val="solid" w:color="FFFFFF" w:fill="auto"/>
          </w:tcPr>
          <w:p w14:paraId="5C0FD974" w14:textId="4F0679EF" w:rsidR="00681FC7" w:rsidRPr="00873B6C" w:rsidRDefault="00681FC7" w:rsidP="009D14FB">
            <w:pPr>
              <w:pStyle w:val="TAL"/>
              <w:rPr>
                <w:sz w:val="16"/>
                <w:szCs w:val="16"/>
              </w:rPr>
            </w:pPr>
            <w:r w:rsidRPr="00873B6C">
              <w:rPr>
                <w:sz w:val="16"/>
                <w:szCs w:val="16"/>
              </w:rPr>
              <w:t>2808</w:t>
            </w:r>
          </w:p>
        </w:tc>
        <w:tc>
          <w:tcPr>
            <w:tcW w:w="425" w:type="dxa"/>
            <w:shd w:val="solid" w:color="FFFFFF" w:fill="auto"/>
          </w:tcPr>
          <w:p w14:paraId="67163086" w14:textId="4F37F167" w:rsidR="00681FC7" w:rsidRPr="00873B6C" w:rsidRDefault="00681FC7" w:rsidP="009D14FB">
            <w:pPr>
              <w:pStyle w:val="TAL"/>
              <w:rPr>
                <w:sz w:val="16"/>
                <w:szCs w:val="16"/>
              </w:rPr>
            </w:pPr>
            <w:r w:rsidRPr="00873B6C">
              <w:rPr>
                <w:sz w:val="16"/>
                <w:szCs w:val="16"/>
              </w:rPr>
              <w:t>-</w:t>
            </w:r>
          </w:p>
        </w:tc>
        <w:tc>
          <w:tcPr>
            <w:tcW w:w="425" w:type="dxa"/>
            <w:shd w:val="solid" w:color="FFFFFF" w:fill="auto"/>
          </w:tcPr>
          <w:p w14:paraId="59506868" w14:textId="78AFF541" w:rsidR="00681FC7" w:rsidRPr="00873B6C" w:rsidRDefault="00681FC7" w:rsidP="009D14FB">
            <w:pPr>
              <w:pStyle w:val="TAL"/>
              <w:rPr>
                <w:sz w:val="16"/>
                <w:szCs w:val="16"/>
              </w:rPr>
            </w:pPr>
            <w:r w:rsidRPr="00873B6C">
              <w:rPr>
                <w:sz w:val="16"/>
                <w:szCs w:val="16"/>
              </w:rPr>
              <w:t>F</w:t>
            </w:r>
          </w:p>
        </w:tc>
        <w:tc>
          <w:tcPr>
            <w:tcW w:w="4820" w:type="dxa"/>
            <w:shd w:val="solid" w:color="FFFFFF" w:fill="auto"/>
          </w:tcPr>
          <w:p w14:paraId="7CC254EA" w14:textId="460C9A8A" w:rsidR="00681FC7" w:rsidRPr="00873B6C" w:rsidRDefault="00681FC7" w:rsidP="009D14FB">
            <w:pPr>
              <w:pStyle w:val="TAL"/>
              <w:rPr>
                <w:sz w:val="16"/>
                <w:szCs w:val="16"/>
              </w:rPr>
            </w:pPr>
            <w:r w:rsidRPr="00873B6C">
              <w:rPr>
                <w:sz w:val="16"/>
                <w:szCs w:val="16"/>
              </w:rPr>
              <w:t>Reference to DCCF and MFAF Services description clause</w:t>
            </w:r>
          </w:p>
        </w:tc>
        <w:tc>
          <w:tcPr>
            <w:tcW w:w="708" w:type="dxa"/>
            <w:shd w:val="solid" w:color="FFFFFF" w:fill="auto"/>
          </w:tcPr>
          <w:p w14:paraId="46408DDE" w14:textId="7BD3E01E" w:rsidR="00681FC7" w:rsidRPr="00873B6C" w:rsidRDefault="00681FC7" w:rsidP="009D14FB">
            <w:pPr>
              <w:pStyle w:val="TAC"/>
              <w:rPr>
                <w:sz w:val="16"/>
                <w:szCs w:val="16"/>
              </w:rPr>
            </w:pPr>
            <w:r w:rsidRPr="00873B6C">
              <w:rPr>
                <w:sz w:val="16"/>
                <w:szCs w:val="16"/>
              </w:rPr>
              <w:t>17.1.0</w:t>
            </w:r>
          </w:p>
        </w:tc>
      </w:tr>
      <w:tr w:rsidR="00681FC7" w:rsidRPr="00873B6C" w14:paraId="0813F4A7" w14:textId="77777777" w:rsidTr="009D14FB">
        <w:tc>
          <w:tcPr>
            <w:tcW w:w="800" w:type="dxa"/>
            <w:shd w:val="solid" w:color="FFFFFF" w:fill="auto"/>
          </w:tcPr>
          <w:p w14:paraId="7FA1A61C" w14:textId="009D5276"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776E7A3A" w14:textId="2E71174A"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6453FF39" w14:textId="5050079A" w:rsidR="00681FC7" w:rsidRPr="00873B6C" w:rsidRDefault="00681FC7" w:rsidP="009D14FB">
            <w:pPr>
              <w:pStyle w:val="TAC"/>
              <w:rPr>
                <w:sz w:val="16"/>
                <w:szCs w:val="16"/>
              </w:rPr>
            </w:pPr>
            <w:r w:rsidRPr="00873B6C">
              <w:rPr>
                <w:sz w:val="16"/>
                <w:szCs w:val="16"/>
              </w:rPr>
              <w:t>SP-210337</w:t>
            </w:r>
          </w:p>
        </w:tc>
        <w:tc>
          <w:tcPr>
            <w:tcW w:w="567" w:type="dxa"/>
            <w:shd w:val="solid" w:color="FFFFFF" w:fill="auto"/>
          </w:tcPr>
          <w:p w14:paraId="05732D2A" w14:textId="5BB3DBC3" w:rsidR="00681FC7" w:rsidRPr="00873B6C" w:rsidRDefault="00681FC7" w:rsidP="009D14FB">
            <w:pPr>
              <w:pStyle w:val="TAL"/>
              <w:rPr>
                <w:sz w:val="16"/>
                <w:szCs w:val="16"/>
              </w:rPr>
            </w:pPr>
            <w:r w:rsidRPr="00873B6C">
              <w:rPr>
                <w:sz w:val="16"/>
                <w:szCs w:val="16"/>
              </w:rPr>
              <w:t>2809</w:t>
            </w:r>
          </w:p>
        </w:tc>
        <w:tc>
          <w:tcPr>
            <w:tcW w:w="425" w:type="dxa"/>
            <w:shd w:val="solid" w:color="FFFFFF" w:fill="auto"/>
          </w:tcPr>
          <w:p w14:paraId="2E98569C" w14:textId="65DEE36F" w:rsidR="00681FC7" w:rsidRPr="00873B6C" w:rsidRDefault="00681FC7" w:rsidP="009D14FB">
            <w:pPr>
              <w:pStyle w:val="TAL"/>
              <w:rPr>
                <w:sz w:val="16"/>
                <w:szCs w:val="16"/>
              </w:rPr>
            </w:pPr>
            <w:r w:rsidRPr="00873B6C">
              <w:rPr>
                <w:sz w:val="16"/>
                <w:szCs w:val="16"/>
              </w:rPr>
              <w:t>1</w:t>
            </w:r>
          </w:p>
        </w:tc>
        <w:tc>
          <w:tcPr>
            <w:tcW w:w="425" w:type="dxa"/>
            <w:shd w:val="solid" w:color="FFFFFF" w:fill="auto"/>
          </w:tcPr>
          <w:p w14:paraId="253F7AE9" w14:textId="3D609191" w:rsidR="00681FC7" w:rsidRPr="00873B6C" w:rsidRDefault="00681FC7" w:rsidP="009D14FB">
            <w:pPr>
              <w:pStyle w:val="TAL"/>
              <w:rPr>
                <w:sz w:val="16"/>
                <w:szCs w:val="16"/>
              </w:rPr>
            </w:pPr>
            <w:r w:rsidRPr="00873B6C">
              <w:rPr>
                <w:sz w:val="16"/>
                <w:szCs w:val="16"/>
              </w:rPr>
              <w:t>F</w:t>
            </w:r>
          </w:p>
        </w:tc>
        <w:tc>
          <w:tcPr>
            <w:tcW w:w="4820" w:type="dxa"/>
            <w:shd w:val="solid" w:color="FFFFFF" w:fill="auto"/>
          </w:tcPr>
          <w:p w14:paraId="0F5B0720" w14:textId="42004837" w:rsidR="00681FC7" w:rsidRPr="00873B6C" w:rsidRDefault="00681FC7" w:rsidP="009D14FB">
            <w:pPr>
              <w:pStyle w:val="TAL"/>
              <w:rPr>
                <w:sz w:val="16"/>
                <w:szCs w:val="16"/>
              </w:rPr>
            </w:pPr>
            <w:r w:rsidRPr="00873B6C">
              <w:rPr>
                <w:sz w:val="16"/>
                <w:szCs w:val="16"/>
              </w:rPr>
              <w:t>TSC Assistance Container Determination by PCF</w:t>
            </w:r>
          </w:p>
        </w:tc>
        <w:tc>
          <w:tcPr>
            <w:tcW w:w="708" w:type="dxa"/>
            <w:shd w:val="solid" w:color="FFFFFF" w:fill="auto"/>
          </w:tcPr>
          <w:p w14:paraId="322D1F3B" w14:textId="7F6213F0" w:rsidR="00681FC7" w:rsidRPr="00873B6C" w:rsidRDefault="00681FC7" w:rsidP="009D14FB">
            <w:pPr>
              <w:pStyle w:val="TAC"/>
              <w:rPr>
                <w:sz w:val="16"/>
                <w:szCs w:val="16"/>
              </w:rPr>
            </w:pPr>
            <w:r w:rsidRPr="00873B6C">
              <w:rPr>
                <w:sz w:val="16"/>
                <w:szCs w:val="16"/>
              </w:rPr>
              <w:t>17.1.0</w:t>
            </w:r>
          </w:p>
        </w:tc>
      </w:tr>
      <w:tr w:rsidR="00681FC7" w:rsidRPr="00873B6C" w14:paraId="45A233C8" w14:textId="77777777" w:rsidTr="009D14FB">
        <w:tc>
          <w:tcPr>
            <w:tcW w:w="800" w:type="dxa"/>
            <w:shd w:val="solid" w:color="FFFFFF" w:fill="auto"/>
          </w:tcPr>
          <w:p w14:paraId="18CA8C15" w14:textId="7AA960FC"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2D6CCA63" w14:textId="4EFAA1E0"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419CF9C1" w14:textId="4DD6F0F7" w:rsidR="00681FC7" w:rsidRPr="00873B6C" w:rsidRDefault="00681FC7" w:rsidP="009D14FB">
            <w:pPr>
              <w:pStyle w:val="TAC"/>
              <w:rPr>
                <w:sz w:val="16"/>
                <w:szCs w:val="16"/>
              </w:rPr>
            </w:pPr>
            <w:r w:rsidRPr="00873B6C">
              <w:rPr>
                <w:sz w:val="16"/>
                <w:szCs w:val="16"/>
              </w:rPr>
              <w:t>SP-210345</w:t>
            </w:r>
          </w:p>
        </w:tc>
        <w:tc>
          <w:tcPr>
            <w:tcW w:w="567" w:type="dxa"/>
            <w:shd w:val="solid" w:color="FFFFFF" w:fill="auto"/>
          </w:tcPr>
          <w:p w14:paraId="3E262706" w14:textId="2544E388" w:rsidR="00681FC7" w:rsidRPr="00873B6C" w:rsidRDefault="00681FC7" w:rsidP="009D14FB">
            <w:pPr>
              <w:pStyle w:val="TAL"/>
              <w:rPr>
                <w:sz w:val="16"/>
                <w:szCs w:val="16"/>
              </w:rPr>
            </w:pPr>
            <w:r w:rsidRPr="00873B6C">
              <w:rPr>
                <w:sz w:val="16"/>
                <w:szCs w:val="16"/>
              </w:rPr>
              <w:t>2811</w:t>
            </w:r>
          </w:p>
        </w:tc>
        <w:tc>
          <w:tcPr>
            <w:tcW w:w="425" w:type="dxa"/>
            <w:shd w:val="solid" w:color="FFFFFF" w:fill="auto"/>
          </w:tcPr>
          <w:p w14:paraId="58B3D6B6" w14:textId="5DB52DCB" w:rsidR="00681FC7" w:rsidRPr="00873B6C" w:rsidRDefault="00681FC7" w:rsidP="009D14FB">
            <w:pPr>
              <w:pStyle w:val="TAL"/>
              <w:rPr>
                <w:sz w:val="16"/>
                <w:szCs w:val="16"/>
              </w:rPr>
            </w:pPr>
            <w:r w:rsidRPr="00873B6C">
              <w:rPr>
                <w:sz w:val="16"/>
                <w:szCs w:val="16"/>
              </w:rPr>
              <w:t>2</w:t>
            </w:r>
          </w:p>
        </w:tc>
        <w:tc>
          <w:tcPr>
            <w:tcW w:w="425" w:type="dxa"/>
            <w:shd w:val="solid" w:color="FFFFFF" w:fill="auto"/>
          </w:tcPr>
          <w:p w14:paraId="0640F38A" w14:textId="51FF6AB8" w:rsidR="00681FC7" w:rsidRPr="00873B6C" w:rsidRDefault="00681FC7" w:rsidP="009D14FB">
            <w:pPr>
              <w:pStyle w:val="TAL"/>
              <w:rPr>
                <w:sz w:val="16"/>
                <w:szCs w:val="16"/>
              </w:rPr>
            </w:pPr>
            <w:r w:rsidRPr="00873B6C">
              <w:rPr>
                <w:sz w:val="16"/>
                <w:szCs w:val="16"/>
              </w:rPr>
              <w:t>C</w:t>
            </w:r>
          </w:p>
        </w:tc>
        <w:tc>
          <w:tcPr>
            <w:tcW w:w="4820" w:type="dxa"/>
            <w:shd w:val="solid" w:color="FFFFFF" w:fill="auto"/>
          </w:tcPr>
          <w:p w14:paraId="04CBAC6F" w14:textId="02F51261" w:rsidR="00681FC7" w:rsidRPr="00873B6C" w:rsidRDefault="00681FC7" w:rsidP="009D14FB">
            <w:pPr>
              <w:pStyle w:val="TAL"/>
              <w:rPr>
                <w:sz w:val="16"/>
                <w:szCs w:val="16"/>
              </w:rPr>
            </w:pPr>
            <w:r w:rsidRPr="00873B6C">
              <w:rPr>
                <w:sz w:val="16"/>
                <w:szCs w:val="16"/>
              </w:rPr>
              <w:t>Introducing threshold conditions for priority-based steering mode in TS 23.501</w:t>
            </w:r>
          </w:p>
        </w:tc>
        <w:tc>
          <w:tcPr>
            <w:tcW w:w="708" w:type="dxa"/>
            <w:shd w:val="solid" w:color="FFFFFF" w:fill="auto"/>
          </w:tcPr>
          <w:p w14:paraId="14A2D3C0" w14:textId="15933F08" w:rsidR="00681FC7" w:rsidRPr="00873B6C" w:rsidRDefault="00681FC7" w:rsidP="009D14FB">
            <w:pPr>
              <w:pStyle w:val="TAC"/>
              <w:rPr>
                <w:sz w:val="16"/>
                <w:szCs w:val="16"/>
              </w:rPr>
            </w:pPr>
            <w:r w:rsidRPr="00873B6C">
              <w:rPr>
                <w:sz w:val="16"/>
                <w:szCs w:val="16"/>
              </w:rPr>
              <w:t>17.1.0</w:t>
            </w:r>
          </w:p>
        </w:tc>
      </w:tr>
      <w:tr w:rsidR="00681FC7" w:rsidRPr="00873B6C" w14:paraId="42D415E2" w14:textId="77777777" w:rsidTr="009D14FB">
        <w:tc>
          <w:tcPr>
            <w:tcW w:w="800" w:type="dxa"/>
            <w:shd w:val="solid" w:color="FFFFFF" w:fill="auto"/>
          </w:tcPr>
          <w:p w14:paraId="577945B2" w14:textId="5D5850FF"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627394E1" w14:textId="202834EF"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07236611" w14:textId="1EF58ED0" w:rsidR="00681FC7" w:rsidRPr="00873B6C" w:rsidRDefault="00681FC7" w:rsidP="009D14FB">
            <w:pPr>
              <w:pStyle w:val="TAC"/>
              <w:rPr>
                <w:sz w:val="16"/>
                <w:szCs w:val="16"/>
              </w:rPr>
            </w:pPr>
            <w:r w:rsidRPr="00873B6C">
              <w:rPr>
                <w:sz w:val="16"/>
                <w:szCs w:val="16"/>
              </w:rPr>
              <w:t>SP-210355</w:t>
            </w:r>
          </w:p>
        </w:tc>
        <w:tc>
          <w:tcPr>
            <w:tcW w:w="567" w:type="dxa"/>
            <w:shd w:val="solid" w:color="FFFFFF" w:fill="auto"/>
          </w:tcPr>
          <w:p w14:paraId="740F43FC" w14:textId="354435A0" w:rsidR="00681FC7" w:rsidRPr="00873B6C" w:rsidRDefault="00681FC7" w:rsidP="009D14FB">
            <w:pPr>
              <w:pStyle w:val="TAL"/>
              <w:rPr>
                <w:sz w:val="16"/>
                <w:szCs w:val="16"/>
              </w:rPr>
            </w:pPr>
            <w:r w:rsidRPr="00873B6C">
              <w:rPr>
                <w:sz w:val="16"/>
                <w:szCs w:val="16"/>
              </w:rPr>
              <w:t>2813</w:t>
            </w:r>
          </w:p>
        </w:tc>
        <w:tc>
          <w:tcPr>
            <w:tcW w:w="425" w:type="dxa"/>
            <w:shd w:val="solid" w:color="FFFFFF" w:fill="auto"/>
          </w:tcPr>
          <w:p w14:paraId="08B00207" w14:textId="2587F0F1" w:rsidR="00681FC7" w:rsidRPr="00873B6C" w:rsidRDefault="00681FC7" w:rsidP="009D14FB">
            <w:pPr>
              <w:pStyle w:val="TAL"/>
              <w:rPr>
                <w:sz w:val="16"/>
                <w:szCs w:val="16"/>
              </w:rPr>
            </w:pPr>
            <w:r w:rsidRPr="00873B6C">
              <w:rPr>
                <w:sz w:val="16"/>
                <w:szCs w:val="16"/>
              </w:rPr>
              <w:t>4</w:t>
            </w:r>
          </w:p>
        </w:tc>
        <w:tc>
          <w:tcPr>
            <w:tcW w:w="425" w:type="dxa"/>
            <w:shd w:val="solid" w:color="FFFFFF" w:fill="auto"/>
          </w:tcPr>
          <w:p w14:paraId="634A742C" w14:textId="21D49786" w:rsidR="00681FC7" w:rsidRPr="00873B6C" w:rsidRDefault="00681FC7" w:rsidP="009D14FB">
            <w:pPr>
              <w:pStyle w:val="TAL"/>
              <w:rPr>
                <w:sz w:val="16"/>
                <w:szCs w:val="16"/>
              </w:rPr>
            </w:pPr>
            <w:r w:rsidRPr="00873B6C">
              <w:rPr>
                <w:sz w:val="16"/>
                <w:szCs w:val="16"/>
              </w:rPr>
              <w:t>B</w:t>
            </w:r>
          </w:p>
        </w:tc>
        <w:tc>
          <w:tcPr>
            <w:tcW w:w="4820" w:type="dxa"/>
            <w:shd w:val="solid" w:color="FFFFFF" w:fill="auto"/>
          </w:tcPr>
          <w:p w14:paraId="3A57AD94" w14:textId="020AF072" w:rsidR="00681FC7" w:rsidRPr="00873B6C" w:rsidRDefault="00681FC7" w:rsidP="009D14FB">
            <w:pPr>
              <w:pStyle w:val="TAL"/>
              <w:rPr>
                <w:sz w:val="16"/>
                <w:szCs w:val="16"/>
              </w:rPr>
            </w:pPr>
            <w:r w:rsidRPr="00873B6C">
              <w:rPr>
                <w:sz w:val="16"/>
                <w:szCs w:val="16"/>
              </w:rPr>
              <w:t>Introduction of support of NG.116 attribute Simultaneous Use of a Network Slice</w:t>
            </w:r>
          </w:p>
        </w:tc>
        <w:tc>
          <w:tcPr>
            <w:tcW w:w="708" w:type="dxa"/>
            <w:shd w:val="solid" w:color="FFFFFF" w:fill="auto"/>
          </w:tcPr>
          <w:p w14:paraId="50AAC854" w14:textId="5C57D747" w:rsidR="00681FC7" w:rsidRPr="00873B6C" w:rsidRDefault="00681FC7" w:rsidP="009D14FB">
            <w:pPr>
              <w:pStyle w:val="TAC"/>
              <w:rPr>
                <w:sz w:val="16"/>
                <w:szCs w:val="16"/>
              </w:rPr>
            </w:pPr>
            <w:r w:rsidRPr="00873B6C">
              <w:rPr>
                <w:sz w:val="16"/>
                <w:szCs w:val="16"/>
              </w:rPr>
              <w:t>17.1.0</w:t>
            </w:r>
          </w:p>
        </w:tc>
      </w:tr>
      <w:tr w:rsidR="00C4403A" w:rsidRPr="00873B6C" w14:paraId="14AC9CCA" w14:textId="77777777" w:rsidTr="009D14FB">
        <w:tc>
          <w:tcPr>
            <w:tcW w:w="800" w:type="dxa"/>
            <w:shd w:val="solid" w:color="FFFFFF" w:fill="auto"/>
          </w:tcPr>
          <w:p w14:paraId="79EB78CA" w14:textId="3D079BA5" w:rsidR="00C4403A" w:rsidRPr="00873B6C" w:rsidRDefault="00C4403A" w:rsidP="009D14FB">
            <w:pPr>
              <w:pStyle w:val="TAC"/>
              <w:rPr>
                <w:sz w:val="16"/>
                <w:szCs w:val="16"/>
              </w:rPr>
            </w:pPr>
            <w:r w:rsidRPr="00873B6C">
              <w:rPr>
                <w:sz w:val="16"/>
                <w:szCs w:val="16"/>
              </w:rPr>
              <w:t>2021-06</w:t>
            </w:r>
          </w:p>
        </w:tc>
        <w:tc>
          <w:tcPr>
            <w:tcW w:w="800" w:type="dxa"/>
            <w:shd w:val="solid" w:color="FFFFFF" w:fill="auto"/>
          </w:tcPr>
          <w:p w14:paraId="5985E4B4" w14:textId="67EACD80" w:rsidR="00C4403A" w:rsidRPr="00873B6C" w:rsidRDefault="00C4403A" w:rsidP="009D14FB">
            <w:pPr>
              <w:pStyle w:val="TAL"/>
              <w:rPr>
                <w:sz w:val="16"/>
                <w:szCs w:val="16"/>
              </w:rPr>
            </w:pPr>
            <w:r w:rsidRPr="00873B6C">
              <w:rPr>
                <w:sz w:val="16"/>
                <w:szCs w:val="16"/>
              </w:rPr>
              <w:t>SP#92E</w:t>
            </w:r>
          </w:p>
        </w:tc>
        <w:tc>
          <w:tcPr>
            <w:tcW w:w="1094" w:type="dxa"/>
            <w:shd w:val="solid" w:color="FFFFFF" w:fill="auto"/>
          </w:tcPr>
          <w:p w14:paraId="00A3A908" w14:textId="2864BB16" w:rsidR="00C4403A" w:rsidRPr="00873B6C" w:rsidRDefault="00C4403A" w:rsidP="009D14FB">
            <w:pPr>
              <w:pStyle w:val="TAC"/>
              <w:rPr>
                <w:sz w:val="16"/>
                <w:szCs w:val="16"/>
              </w:rPr>
            </w:pPr>
            <w:r w:rsidRPr="00873B6C">
              <w:rPr>
                <w:sz w:val="16"/>
                <w:szCs w:val="16"/>
              </w:rPr>
              <w:t>SP-210341</w:t>
            </w:r>
          </w:p>
        </w:tc>
        <w:tc>
          <w:tcPr>
            <w:tcW w:w="567" w:type="dxa"/>
            <w:shd w:val="solid" w:color="FFFFFF" w:fill="auto"/>
          </w:tcPr>
          <w:p w14:paraId="21985101" w14:textId="0485E5CE" w:rsidR="00C4403A" w:rsidRPr="00873B6C" w:rsidRDefault="00C4403A" w:rsidP="009D14FB">
            <w:pPr>
              <w:pStyle w:val="TAL"/>
              <w:rPr>
                <w:sz w:val="16"/>
                <w:szCs w:val="16"/>
              </w:rPr>
            </w:pPr>
            <w:r w:rsidRPr="00873B6C">
              <w:rPr>
                <w:sz w:val="16"/>
                <w:szCs w:val="16"/>
              </w:rPr>
              <w:t>2814</w:t>
            </w:r>
          </w:p>
        </w:tc>
        <w:tc>
          <w:tcPr>
            <w:tcW w:w="425" w:type="dxa"/>
            <w:shd w:val="solid" w:color="FFFFFF" w:fill="auto"/>
          </w:tcPr>
          <w:p w14:paraId="6B685693" w14:textId="3177A082" w:rsidR="00C4403A" w:rsidRPr="00873B6C" w:rsidRDefault="00C4403A" w:rsidP="009D14FB">
            <w:pPr>
              <w:pStyle w:val="TAL"/>
              <w:rPr>
                <w:sz w:val="16"/>
                <w:szCs w:val="16"/>
              </w:rPr>
            </w:pPr>
            <w:r w:rsidRPr="00873B6C">
              <w:rPr>
                <w:sz w:val="16"/>
                <w:szCs w:val="16"/>
              </w:rPr>
              <w:t>3</w:t>
            </w:r>
          </w:p>
        </w:tc>
        <w:tc>
          <w:tcPr>
            <w:tcW w:w="425" w:type="dxa"/>
            <w:shd w:val="solid" w:color="FFFFFF" w:fill="auto"/>
          </w:tcPr>
          <w:p w14:paraId="1CCE281F" w14:textId="4603B231" w:rsidR="00C4403A" w:rsidRPr="00873B6C" w:rsidRDefault="00C4403A" w:rsidP="009D14FB">
            <w:pPr>
              <w:pStyle w:val="TAL"/>
              <w:rPr>
                <w:sz w:val="16"/>
                <w:szCs w:val="16"/>
              </w:rPr>
            </w:pPr>
            <w:r w:rsidRPr="00873B6C">
              <w:rPr>
                <w:sz w:val="16"/>
                <w:szCs w:val="16"/>
              </w:rPr>
              <w:t>F</w:t>
            </w:r>
          </w:p>
        </w:tc>
        <w:tc>
          <w:tcPr>
            <w:tcW w:w="4820" w:type="dxa"/>
            <w:shd w:val="solid" w:color="FFFFFF" w:fill="auto"/>
          </w:tcPr>
          <w:p w14:paraId="2BE5FFE9" w14:textId="6FF86C6E" w:rsidR="00C4403A" w:rsidRPr="00873B6C" w:rsidRDefault="00C4403A" w:rsidP="009D14FB">
            <w:pPr>
              <w:pStyle w:val="TAL"/>
              <w:rPr>
                <w:sz w:val="16"/>
                <w:szCs w:val="16"/>
              </w:rPr>
            </w:pPr>
            <w:r w:rsidRPr="00873B6C">
              <w:rPr>
                <w:sz w:val="16"/>
                <w:szCs w:val="16"/>
              </w:rPr>
              <w:t>The impact of UE N1 mode change in EPS</w:t>
            </w:r>
          </w:p>
        </w:tc>
        <w:tc>
          <w:tcPr>
            <w:tcW w:w="708" w:type="dxa"/>
            <w:shd w:val="solid" w:color="FFFFFF" w:fill="auto"/>
          </w:tcPr>
          <w:p w14:paraId="31974E89" w14:textId="2AD88EBC" w:rsidR="00C4403A" w:rsidRPr="00873B6C" w:rsidRDefault="00C4403A" w:rsidP="009D14FB">
            <w:pPr>
              <w:pStyle w:val="TAC"/>
              <w:rPr>
                <w:sz w:val="16"/>
                <w:szCs w:val="16"/>
              </w:rPr>
            </w:pPr>
            <w:r w:rsidRPr="00873B6C">
              <w:rPr>
                <w:sz w:val="16"/>
                <w:szCs w:val="16"/>
              </w:rPr>
              <w:t>17.1.0</w:t>
            </w:r>
          </w:p>
        </w:tc>
      </w:tr>
      <w:tr w:rsidR="00C4403A" w:rsidRPr="00873B6C" w14:paraId="41C56DBD" w14:textId="77777777" w:rsidTr="009D14FB">
        <w:tc>
          <w:tcPr>
            <w:tcW w:w="800" w:type="dxa"/>
            <w:shd w:val="solid" w:color="FFFFFF" w:fill="auto"/>
          </w:tcPr>
          <w:p w14:paraId="54045204" w14:textId="4E0FC44D" w:rsidR="00C4403A" w:rsidRPr="00873B6C" w:rsidRDefault="00C4403A" w:rsidP="009D14FB">
            <w:pPr>
              <w:pStyle w:val="TAC"/>
              <w:rPr>
                <w:sz w:val="16"/>
                <w:szCs w:val="16"/>
              </w:rPr>
            </w:pPr>
            <w:r w:rsidRPr="00873B6C">
              <w:rPr>
                <w:sz w:val="16"/>
                <w:szCs w:val="16"/>
              </w:rPr>
              <w:t>2021-06</w:t>
            </w:r>
          </w:p>
        </w:tc>
        <w:tc>
          <w:tcPr>
            <w:tcW w:w="800" w:type="dxa"/>
            <w:shd w:val="solid" w:color="FFFFFF" w:fill="auto"/>
          </w:tcPr>
          <w:p w14:paraId="44CB41DD" w14:textId="4DEA933E" w:rsidR="00C4403A" w:rsidRPr="00873B6C" w:rsidRDefault="00C4403A" w:rsidP="009D14FB">
            <w:pPr>
              <w:pStyle w:val="TAL"/>
              <w:rPr>
                <w:sz w:val="16"/>
                <w:szCs w:val="16"/>
              </w:rPr>
            </w:pPr>
            <w:r w:rsidRPr="00873B6C">
              <w:rPr>
                <w:sz w:val="16"/>
                <w:szCs w:val="16"/>
              </w:rPr>
              <w:t>SP#92E</w:t>
            </w:r>
          </w:p>
        </w:tc>
        <w:tc>
          <w:tcPr>
            <w:tcW w:w="1094" w:type="dxa"/>
            <w:shd w:val="solid" w:color="FFFFFF" w:fill="auto"/>
          </w:tcPr>
          <w:p w14:paraId="44AA9007" w14:textId="347A35BA" w:rsidR="00C4403A" w:rsidRPr="00873B6C" w:rsidRDefault="00C4403A" w:rsidP="009D14FB">
            <w:pPr>
              <w:pStyle w:val="TAC"/>
              <w:rPr>
                <w:sz w:val="16"/>
                <w:szCs w:val="16"/>
              </w:rPr>
            </w:pPr>
            <w:r w:rsidRPr="00873B6C">
              <w:rPr>
                <w:sz w:val="16"/>
                <w:szCs w:val="16"/>
              </w:rPr>
              <w:t>SP-210353</w:t>
            </w:r>
          </w:p>
        </w:tc>
        <w:tc>
          <w:tcPr>
            <w:tcW w:w="567" w:type="dxa"/>
            <w:shd w:val="solid" w:color="FFFFFF" w:fill="auto"/>
          </w:tcPr>
          <w:p w14:paraId="5E644717" w14:textId="784E7D07" w:rsidR="00C4403A" w:rsidRPr="00873B6C" w:rsidRDefault="00C4403A" w:rsidP="009D14FB">
            <w:pPr>
              <w:pStyle w:val="TAL"/>
              <w:rPr>
                <w:sz w:val="16"/>
                <w:szCs w:val="16"/>
              </w:rPr>
            </w:pPr>
            <w:r w:rsidRPr="00873B6C">
              <w:rPr>
                <w:sz w:val="16"/>
                <w:szCs w:val="16"/>
              </w:rPr>
              <w:t>2815</w:t>
            </w:r>
          </w:p>
        </w:tc>
        <w:tc>
          <w:tcPr>
            <w:tcW w:w="425" w:type="dxa"/>
            <w:shd w:val="solid" w:color="FFFFFF" w:fill="auto"/>
          </w:tcPr>
          <w:p w14:paraId="4808226F" w14:textId="2DAA8C84" w:rsidR="00C4403A" w:rsidRPr="00873B6C" w:rsidRDefault="00C4403A" w:rsidP="009D14FB">
            <w:pPr>
              <w:pStyle w:val="TAL"/>
              <w:rPr>
                <w:sz w:val="16"/>
                <w:szCs w:val="16"/>
              </w:rPr>
            </w:pPr>
            <w:r w:rsidRPr="00873B6C">
              <w:rPr>
                <w:sz w:val="16"/>
                <w:szCs w:val="16"/>
              </w:rPr>
              <w:t>3</w:t>
            </w:r>
          </w:p>
        </w:tc>
        <w:tc>
          <w:tcPr>
            <w:tcW w:w="425" w:type="dxa"/>
            <w:shd w:val="solid" w:color="FFFFFF" w:fill="auto"/>
          </w:tcPr>
          <w:p w14:paraId="7B1DD76F" w14:textId="06AE20BB" w:rsidR="00C4403A" w:rsidRPr="00873B6C" w:rsidRDefault="00C4403A" w:rsidP="009D14FB">
            <w:pPr>
              <w:pStyle w:val="TAL"/>
              <w:rPr>
                <w:sz w:val="16"/>
                <w:szCs w:val="16"/>
              </w:rPr>
            </w:pPr>
            <w:r w:rsidRPr="00873B6C">
              <w:rPr>
                <w:sz w:val="16"/>
                <w:szCs w:val="16"/>
              </w:rPr>
              <w:t>B</w:t>
            </w:r>
          </w:p>
        </w:tc>
        <w:tc>
          <w:tcPr>
            <w:tcW w:w="4820" w:type="dxa"/>
            <w:shd w:val="solid" w:color="FFFFFF" w:fill="auto"/>
          </w:tcPr>
          <w:p w14:paraId="42DEB8BB" w14:textId="3236287B" w:rsidR="00C4403A" w:rsidRPr="00873B6C" w:rsidRDefault="00C4403A" w:rsidP="009D14FB">
            <w:pPr>
              <w:pStyle w:val="TAL"/>
              <w:rPr>
                <w:sz w:val="16"/>
                <w:szCs w:val="16"/>
              </w:rPr>
            </w:pPr>
            <w:r w:rsidRPr="00873B6C">
              <w:rPr>
                <w:sz w:val="16"/>
                <w:szCs w:val="16"/>
              </w:rPr>
              <w:t>KI#1 - T5, Enable mobility between networks</w:t>
            </w:r>
          </w:p>
        </w:tc>
        <w:tc>
          <w:tcPr>
            <w:tcW w:w="708" w:type="dxa"/>
            <w:shd w:val="solid" w:color="FFFFFF" w:fill="auto"/>
          </w:tcPr>
          <w:p w14:paraId="7561BE10" w14:textId="06094F47" w:rsidR="00C4403A" w:rsidRPr="00873B6C" w:rsidRDefault="00C4403A" w:rsidP="009D14FB">
            <w:pPr>
              <w:pStyle w:val="TAC"/>
              <w:rPr>
                <w:sz w:val="16"/>
                <w:szCs w:val="16"/>
              </w:rPr>
            </w:pPr>
            <w:r w:rsidRPr="00873B6C">
              <w:rPr>
                <w:sz w:val="16"/>
                <w:szCs w:val="16"/>
              </w:rPr>
              <w:t>17.1.0</w:t>
            </w:r>
          </w:p>
        </w:tc>
      </w:tr>
      <w:tr w:rsidR="00C4403A" w:rsidRPr="00873B6C" w14:paraId="21B6DA9D" w14:textId="77777777" w:rsidTr="009D14FB">
        <w:tc>
          <w:tcPr>
            <w:tcW w:w="800" w:type="dxa"/>
            <w:shd w:val="solid" w:color="FFFFFF" w:fill="auto"/>
          </w:tcPr>
          <w:p w14:paraId="767C8779" w14:textId="7EED8875" w:rsidR="00C4403A" w:rsidRPr="00873B6C" w:rsidRDefault="00C4403A" w:rsidP="009D14FB">
            <w:pPr>
              <w:pStyle w:val="TAC"/>
              <w:rPr>
                <w:sz w:val="16"/>
                <w:szCs w:val="16"/>
              </w:rPr>
            </w:pPr>
            <w:r w:rsidRPr="00873B6C">
              <w:rPr>
                <w:sz w:val="16"/>
                <w:szCs w:val="16"/>
              </w:rPr>
              <w:t>2021-06</w:t>
            </w:r>
          </w:p>
        </w:tc>
        <w:tc>
          <w:tcPr>
            <w:tcW w:w="800" w:type="dxa"/>
            <w:shd w:val="solid" w:color="FFFFFF" w:fill="auto"/>
          </w:tcPr>
          <w:p w14:paraId="2266248B" w14:textId="7998DF05" w:rsidR="00C4403A" w:rsidRPr="00873B6C" w:rsidRDefault="00C4403A" w:rsidP="009D14FB">
            <w:pPr>
              <w:pStyle w:val="TAL"/>
              <w:rPr>
                <w:sz w:val="16"/>
                <w:szCs w:val="16"/>
              </w:rPr>
            </w:pPr>
            <w:r w:rsidRPr="00873B6C">
              <w:rPr>
                <w:sz w:val="16"/>
                <w:szCs w:val="16"/>
              </w:rPr>
              <w:t>SP#92E</w:t>
            </w:r>
          </w:p>
        </w:tc>
        <w:tc>
          <w:tcPr>
            <w:tcW w:w="1094" w:type="dxa"/>
            <w:shd w:val="solid" w:color="FFFFFF" w:fill="auto"/>
          </w:tcPr>
          <w:p w14:paraId="4394BE70" w14:textId="549DF227" w:rsidR="00C4403A" w:rsidRPr="00873B6C" w:rsidRDefault="00C4403A" w:rsidP="009D14FB">
            <w:pPr>
              <w:pStyle w:val="TAC"/>
              <w:rPr>
                <w:sz w:val="16"/>
                <w:szCs w:val="16"/>
              </w:rPr>
            </w:pPr>
            <w:r w:rsidRPr="00873B6C">
              <w:rPr>
                <w:sz w:val="16"/>
                <w:szCs w:val="16"/>
              </w:rPr>
              <w:t>SP-210359</w:t>
            </w:r>
          </w:p>
        </w:tc>
        <w:tc>
          <w:tcPr>
            <w:tcW w:w="567" w:type="dxa"/>
            <w:shd w:val="solid" w:color="FFFFFF" w:fill="auto"/>
          </w:tcPr>
          <w:p w14:paraId="3C5AB5A4" w14:textId="51790B9D" w:rsidR="00C4403A" w:rsidRPr="00873B6C" w:rsidRDefault="00C4403A" w:rsidP="009D14FB">
            <w:pPr>
              <w:pStyle w:val="TAL"/>
              <w:rPr>
                <w:sz w:val="16"/>
                <w:szCs w:val="16"/>
              </w:rPr>
            </w:pPr>
            <w:r w:rsidRPr="00873B6C">
              <w:rPr>
                <w:sz w:val="16"/>
                <w:szCs w:val="16"/>
              </w:rPr>
              <w:t>2817</w:t>
            </w:r>
          </w:p>
        </w:tc>
        <w:tc>
          <w:tcPr>
            <w:tcW w:w="425" w:type="dxa"/>
            <w:shd w:val="solid" w:color="FFFFFF" w:fill="auto"/>
          </w:tcPr>
          <w:p w14:paraId="7EF71E14" w14:textId="6663B657" w:rsidR="00C4403A" w:rsidRPr="00873B6C" w:rsidRDefault="00C4403A" w:rsidP="009D14FB">
            <w:pPr>
              <w:pStyle w:val="TAL"/>
              <w:rPr>
                <w:sz w:val="16"/>
                <w:szCs w:val="16"/>
              </w:rPr>
            </w:pPr>
            <w:r w:rsidRPr="00873B6C">
              <w:rPr>
                <w:sz w:val="16"/>
                <w:szCs w:val="16"/>
              </w:rPr>
              <w:t>1</w:t>
            </w:r>
          </w:p>
        </w:tc>
        <w:tc>
          <w:tcPr>
            <w:tcW w:w="425" w:type="dxa"/>
            <w:shd w:val="solid" w:color="FFFFFF" w:fill="auto"/>
          </w:tcPr>
          <w:p w14:paraId="6949ECBC" w14:textId="19E1A16E" w:rsidR="00C4403A" w:rsidRPr="00873B6C" w:rsidRDefault="00C4403A" w:rsidP="009D14FB">
            <w:pPr>
              <w:pStyle w:val="TAL"/>
              <w:rPr>
                <w:sz w:val="16"/>
                <w:szCs w:val="16"/>
              </w:rPr>
            </w:pPr>
            <w:r w:rsidRPr="00873B6C">
              <w:rPr>
                <w:sz w:val="16"/>
                <w:szCs w:val="16"/>
              </w:rPr>
              <w:t>B</w:t>
            </w:r>
          </w:p>
        </w:tc>
        <w:tc>
          <w:tcPr>
            <w:tcW w:w="4820" w:type="dxa"/>
            <w:shd w:val="solid" w:color="FFFFFF" w:fill="auto"/>
          </w:tcPr>
          <w:p w14:paraId="540BD1B8" w14:textId="00133F61" w:rsidR="00C4403A" w:rsidRPr="00873B6C" w:rsidRDefault="009722D9" w:rsidP="009D14FB">
            <w:pPr>
              <w:pStyle w:val="TAL"/>
              <w:rPr>
                <w:sz w:val="16"/>
                <w:szCs w:val="16"/>
              </w:rPr>
            </w:pPr>
            <w:r w:rsidRPr="00873B6C">
              <w:rPr>
                <w:sz w:val="16"/>
                <w:szCs w:val="16"/>
              </w:rPr>
              <w:t>Terminology</w:t>
            </w:r>
            <w:r w:rsidR="00C4403A" w:rsidRPr="00873B6C">
              <w:rPr>
                <w:sz w:val="16"/>
                <w:szCs w:val="16"/>
              </w:rPr>
              <w:t xml:space="preserve"> on the TSC MIC and Bridge ID</w:t>
            </w:r>
          </w:p>
        </w:tc>
        <w:tc>
          <w:tcPr>
            <w:tcW w:w="708" w:type="dxa"/>
            <w:shd w:val="solid" w:color="FFFFFF" w:fill="auto"/>
          </w:tcPr>
          <w:p w14:paraId="64796F7C" w14:textId="0AAB9C44" w:rsidR="00C4403A" w:rsidRPr="00873B6C" w:rsidRDefault="00C4403A" w:rsidP="009D14FB">
            <w:pPr>
              <w:pStyle w:val="TAC"/>
              <w:rPr>
                <w:sz w:val="16"/>
                <w:szCs w:val="16"/>
              </w:rPr>
            </w:pPr>
            <w:r w:rsidRPr="00873B6C">
              <w:rPr>
                <w:sz w:val="16"/>
                <w:szCs w:val="16"/>
              </w:rPr>
              <w:t>17.1.0</w:t>
            </w:r>
          </w:p>
        </w:tc>
      </w:tr>
      <w:tr w:rsidR="00C4403A" w:rsidRPr="00873B6C" w14:paraId="466E8041" w14:textId="77777777" w:rsidTr="009D14FB">
        <w:tc>
          <w:tcPr>
            <w:tcW w:w="800" w:type="dxa"/>
            <w:shd w:val="solid" w:color="FFFFFF" w:fill="auto"/>
          </w:tcPr>
          <w:p w14:paraId="3980CFDD" w14:textId="183B2577" w:rsidR="00C4403A" w:rsidRPr="00873B6C" w:rsidRDefault="00C4403A" w:rsidP="009D14FB">
            <w:pPr>
              <w:pStyle w:val="TAC"/>
              <w:rPr>
                <w:sz w:val="16"/>
                <w:szCs w:val="16"/>
              </w:rPr>
            </w:pPr>
            <w:r w:rsidRPr="00873B6C">
              <w:rPr>
                <w:sz w:val="16"/>
                <w:szCs w:val="16"/>
              </w:rPr>
              <w:t>2021-06</w:t>
            </w:r>
          </w:p>
        </w:tc>
        <w:tc>
          <w:tcPr>
            <w:tcW w:w="800" w:type="dxa"/>
            <w:shd w:val="solid" w:color="FFFFFF" w:fill="auto"/>
          </w:tcPr>
          <w:p w14:paraId="1DB3195E" w14:textId="301916A1" w:rsidR="00C4403A" w:rsidRPr="00873B6C" w:rsidRDefault="00C4403A" w:rsidP="009D14FB">
            <w:pPr>
              <w:pStyle w:val="TAL"/>
              <w:rPr>
                <w:sz w:val="16"/>
                <w:szCs w:val="16"/>
              </w:rPr>
            </w:pPr>
            <w:r w:rsidRPr="00873B6C">
              <w:rPr>
                <w:sz w:val="16"/>
                <w:szCs w:val="16"/>
              </w:rPr>
              <w:t>SP#92E</w:t>
            </w:r>
          </w:p>
        </w:tc>
        <w:tc>
          <w:tcPr>
            <w:tcW w:w="1094" w:type="dxa"/>
            <w:shd w:val="solid" w:color="FFFFFF" w:fill="auto"/>
          </w:tcPr>
          <w:p w14:paraId="7AE0FAF2" w14:textId="67F0E08C" w:rsidR="00C4403A" w:rsidRPr="00873B6C" w:rsidRDefault="00C4403A" w:rsidP="009D14FB">
            <w:pPr>
              <w:pStyle w:val="TAC"/>
              <w:rPr>
                <w:sz w:val="16"/>
                <w:szCs w:val="16"/>
              </w:rPr>
            </w:pPr>
            <w:r w:rsidRPr="00873B6C">
              <w:rPr>
                <w:sz w:val="16"/>
                <w:szCs w:val="16"/>
              </w:rPr>
              <w:t>SP-210359</w:t>
            </w:r>
          </w:p>
        </w:tc>
        <w:tc>
          <w:tcPr>
            <w:tcW w:w="567" w:type="dxa"/>
            <w:shd w:val="solid" w:color="FFFFFF" w:fill="auto"/>
          </w:tcPr>
          <w:p w14:paraId="240800EA" w14:textId="062E4093" w:rsidR="00C4403A" w:rsidRPr="00873B6C" w:rsidRDefault="00C4403A" w:rsidP="009D14FB">
            <w:pPr>
              <w:pStyle w:val="TAL"/>
              <w:rPr>
                <w:sz w:val="16"/>
                <w:szCs w:val="16"/>
              </w:rPr>
            </w:pPr>
            <w:r w:rsidRPr="00873B6C">
              <w:rPr>
                <w:sz w:val="16"/>
                <w:szCs w:val="16"/>
              </w:rPr>
              <w:t>2820</w:t>
            </w:r>
          </w:p>
        </w:tc>
        <w:tc>
          <w:tcPr>
            <w:tcW w:w="425" w:type="dxa"/>
            <w:shd w:val="solid" w:color="FFFFFF" w:fill="auto"/>
          </w:tcPr>
          <w:p w14:paraId="6217D32B" w14:textId="5F850990" w:rsidR="00C4403A" w:rsidRPr="00873B6C" w:rsidRDefault="00C4403A" w:rsidP="009D14FB">
            <w:pPr>
              <w:pStyle w:val="TAL"/>
              <w:rPr>
                <w:sz w:val="16"/>
                <w:szCs w:val="16"/>
              </w:rPr>
            </w:pPr>
            <w:r w:rsidRPr="00873B6C">
              <w:rPr>
                <w:sz w:val="16"/>
                <w:szCs w:val="16"/>
              </w:rPr>
              <w:t>-</w:t>
            </w:r>
          </w:p>
        </w:tc>
        <w:tc>
          <w:tcPr>
            <w:tcW w:w="425" w:type="dxa"/>
            <w:shd w:val="solid" w:color="FFFFFF" w:fill="auto"/>
          </w:tcPr>
          <w:p w14:paraId="470D015F" w14:textId="01F325FB" w:rsidR="00C4403A" w:rsidRPr="00873B6C" w:rsidRDefault="00C4403A" w:rsidP="009D14FB">
            <w:pPr>
              <w:pStyle w:val="TAL"/>
              <w:rPr>
                <w:sz w:val="16"/>
                <w:szCs w:val="16"/>
              </w:rPr>
            </w:pPr>
            <w:r w:rsidRPr="00873B6C">
              <w:rPr>
                <w:sz w:val="16"/>
                <w:szCs w:val="16"/>
              </w:rPr>
              <w:t>B</w:t>
            </w:r>
          </w:p>
        </w:tc>
        <w:tc>
          <w:tcPr>
            <w:tcW w:w="4820" w:type="dxa"/>
            <w:shd w:val="solid" w:color="FFFFFF" w:fill="auto"/>
          </w:tcPr>
          <w:p w14:paraId="58FA70CD" w14:textId="19528466" w:rsidR="00C4403A" w:rsidRPr="00873B6C" w:rsidRDefault="00C4403A" w:rsidP="009D14FB">
            <w:pPr>
              <w:pStyle w:val="TAL"/>
              <w:rPr>
                <w:sz w:val="16"/>
                <w:szCs w:val="16"/>
              </w:rPr>
            </w:pPr>
            <w:r w:rsidRPr="00873B6C">
              <w:rPr>
                <w:sz w:val="16"/>
                <w:szCs w:val="16"/>
              </w:rPr>
              <w:t>Fix the description on the ethernet port</w:t>
            </w:r>
          </w:p>
        </w:tc>
        <w:tc>
          <w:tcPr>
            <w:tcW w:w="708" w:type="dxa"/>
            <w:shd w:val="solid" w:color="FFFFFF" w:fill="auto"/>
          </w:tcPr>
          <w:p w14:paraId="1AC659C4" w14:textId="1412EF76" w:rsidR="00C4403A" w:rsidRPr="00873B6C" w:rsidRDefault="00C4403A" w:rsidP="009D14FB">
            <w:pPr>
              <w:pStyle w:val="TAC"/>
              <w:rPr>
                <w:sz w:val="16"/>
                <w:szCs w:val="16"/>
              </w:rPr>
            </w:pPr>
            <w:r w:rsidRPr="00873B6C">
              <w:rPr>
                <w:sz w:val="16"/>
                <w:szCs w:val="16"/>
              </w:rPr>
              <w:t>17.1.0</w:t>
            </w:r>
          </w:p>
        </w:tc>
      </w:tr>
      <w:tr w:rsidR="00055D0B" w:rsidRPr="00873B6C" w14:paraId="01184DE1" w14:textId="77777777" w:rsidTr="009D14FB">
        <w:tc>
          <w:tcPr>
            <w:tcW w:w="800" w:type="dxa"/>
            <w:shd w:val="solid" w:color="FFFFFF" w:fill="auto"/>
          </w:tcPr>
          <w:p w14:paraId="40CBAA05" w14:textId="1C706112" w:rsidR="00055D0B" w:rsidRPr="00873B6C" w:rsidRDefault="00055D0B" w:rsidP="009D14FB">
            <w:pPr>
              <w:pStyle w:val="TAC"/>
              <w:rPr>
                <w:sz w:val="16"/>
                <w:szCs w:val="16"/>
              </w:rPr>
            </w:pPr>
            <w:r w:rsidRPr="00873B6C">
              <w:rPr>
                <w:sz w:val="16"/>
                <w:szCs w:val="16"/>
              </w:rPr>
              <w:t>2021-06</w:t>
            </w:r>
          </w:p>
        </w:tc>
        <w:tc>
          <w:tcPr>
            <w:tcW w:w="800" w:type="dxa"/>
            <w:shd w:val="solid" w:color="FFFFFF" w:fill="auto"/>
          </w:tcPr>
          <w:p w14:paraId="60464E51" w14:textId="1E48A916" w:rsidR="00055D0B" w:rsidRPr="00873B6C" w:rsidRDefault="00055D0B" w:rsidP="009D14FB">
            <w:pPr>
              <w:pStyle w:val="TAL"/>
              <w:rPr>
                <w:sz w:val="16"/>
                <w:szCs w:val="16"/>
              </w:rPr>
            </w:pPr>
            <w:r w:rsidRPr="00873B6C">
              <w:rPr>
                <w:sz w:val="16"/>
                <w:szCs w:val="16"/>
              </w:rPr>
              <w:t>SP#92E</w:t>
            </w:r>
          </w:p>
        </w:tc>
        <w:tc>
          <w:tcPr>
            <w:tcW w:w="1094" w:type="dxa"/>
            <w:shd w:val="solid" w:color="FFFFFF" w:fill="auto"/>
          </w:tcPr>
          <w:p w14:paraId="043764BA" w14:textId="4864E5DE" w:rsidR="00055D0B" w:rsidRPr="00873B6C" w:rsidRDefault="00055D0B" w:rsidP="009D14FB">
            <w:pPr>
              <w:pStyle w:val="TAC"/>
              <w:rPr>
                <w:sz w:val="16"/>
                <w:szCs w:val="16"/>
              </w:rPr>
            </w:pPr>
            <w:r w:rsidRPr="00873B6C">
              <w:rPr>
                <w:sz w:val="16"/>
                <w:szCs w:val="16"/>
              </w:rPr>
              <w:t>SP-210355</w:t>
            </w:r>
          </w:p>
        </w:tc>
        <w:tc>
          <w:tcPr>
            <w:tcW w:w="567" w:type="dxa"/>
            <w:shd w:val="solid" w:color="FFFFFF" w:fill="auto"/>
          </w:tcPr>
          <w:p w14:paraId="5C1FEB3E" w14:textId="6FCA4B87" w:rsidR="00055D0B" w:rsidRPr="00873B6C" w:rsidRDefault="00055D0B" w:rsidP="009D14FB">
            <w:pPr>
              <w:pStyle w:val="TAL"/>
              <w:rPr>
                <w:sz w:val="16"/>
                <w:szCs w:val="16"/>
              </w:rPr>
            </w:pPr>
            <w:r w:rsidRPr="00873B6C">
              <w:rPr>
                <w:sz w:val="16"/>
                <w:szCs w:val="16"/>
              </w:rPr>
              <w:t>2822</w:t>
            </w:r>
          </w:p>
        </w:tc>
        <w:tc>
          <w:tcPr>
            <w:tcW w:w="425" w:type="dxa"/>
            <w:shd w:val="solid" w:color="FFFFFF" w:fill="auto"/>
          </w:tcPr>
          <w:p w14:paraId="4F9081CA" w14:textId="77416A19" w:rsidR="00055D0B" w:rsidRPr="00873B6C" w:rsidRDefault="00055D0B" w:rsidP="009D14FB">
            <w:pPr>
              <w:pStyle w:val="TAL"/>
              <w:rPr>
                <w:sz w:val="16"/>
                <w:szCs w:val="16"/>
              </w:rPr>
            </w:pPr>
            <w:r w:rsidRPr="00873B6C">
              <w:rPr>
                <w:sz w:val="16"/>
                <w:szCs w:val="16"/>
              </w:rPr>
              <w:t>4</w:t>
            </w:r>
          </w:p>
        </w:tc>
        <w:tc>
          <w:tcPr>
            <w:tcW w:w="425" w:type="dxa"/>
            <w:shd w:val="solid" w:color="FFFFFF" w:fill="auto"/>
          </w:tcPr>
          <w:p w14:paraId="75CFFB2B" w14:textId="70283F0F" w:rsidR="00055D0B" w:rsidRPr="00873B6C" w:rsidRDefault="00055D0B" w:rsidP="009D14FB">
            <w:pPr>
              <w:pStyle w:val="TAL"/>
              <w:rPr>
                <w:sz w:val="16"/>
                <w:szCs w:val="16"/>
              </w:rPr>
            </w:pPr>
            <w:r w:rsidRPr="00873B6C">
              <w:rPr>
                <w:sz w:val="16"/>
                <w:szCs w:val="16"/>
              </w:rPr>
              <w:t>B</w:t>
            </w:r>
          </w:p>
        </w:tc>
        <w:tc>
          <w:tcPr>
            <w:tcW w:w="4820" w:type="dxa"/>
            <w:shd w:val="solid" w:color="FFFFFF" w:fill="auto"/>
          </w:tcPr>
          <w:p w14:paraId="46E3AA30" w14:textId="7976DA60" w:rsidR="00055D0B" w:rsidRPr="00873B6C" w:rsidRDefault="00055D0B" w:rsidP="009D14FB">
            <w:pPr>
              <w:pStyle w:val="TAL"/>
              <w:rPr>
                <w:sz w:val="16"/>
                <w:szCs w:val="16"/>
              </w:rPr>
            </w:pPr>
            <w:r w:rsidRPr="00873B6C">
              <w:rPr>
                <w:sz w:val="16"/>
                <w:szCs w:val="16"/>
              </w:rPr>
              <w:t>Introduction of support of GSMA NG.116 attributes Maximum DL/UL throughput per slice/UE</w:t>
            </w:r>
          </w:p>
        </w:tc>
        <w:tc>
          <w:tcPr>
            <w:tcW w:w="708" w:type="dxa"/>
            <w:shd w:val="solid" w:color="FFFFFF" w:fill="auto"/>
          </w:tcPr>
          <w:p w14:paraId="2704E029" w14:textId="39B2E953" w:rsidR="00055D0B" w:rsidRPr="00873B6C" w:rsidRDefault="00055D0B" w:rsidP="009D14FB">
            <w:pPr>
              <w:pStyle w:val="TAC"/>
              <w:rPr>
                <w:sz w:val="16"/>
                <w:szCs w:val="16"/>
              </w:rPr>
            </w:pPr>
            <w:r w:rsidRPr="00873B6C">
              <w:rPr>
                <w:sz w:val="16"/>
                <w:szCs w:val="16"/>
              </w:rPr>
              <w:t>17.1.0</w:t>
            </w:r>
          </w:p>
        </w:tc>
      </w:tr>
      <w:tr w:rsidR="00055D0B" w:rsidRPr="00873B6C" w14:paraId="27286663" w14:textId="77777777" w:rsidTr="009D14FB">
        <w:tc>
          <w:tcPr>
            <w:tcW w:w="800" w:type="dxa"/>
            <w:shd w:val="solid" w:color="FFFFFF" w:fill="auto"/>
          </w:tcPr>
          <w:p w14:paraId="2E13466C" w14:textId="53ECA3F4" w:rsidR="00055D0B" w:rsidRPr="00873B6C" w:rsidRDefault="00055D0B" w:rsidP="009D14FB">
            <w:pPr>
              <w:pStyle w:val="TAC"/>
              <w:rPr>
                <w:sz w:val="16"/>
                <w:szCs w:val="16"/>
              </w:rPr>
            </w:pPr>
            <w:r w:rsidRPr="00873B6C">
              <w:rPr>
                <w:sz w:val="16"/>
                <w:szCs w:val="16"/>
              </w:rPr>
              <w:t>2021-06</w:t>
            </w:r>
          </w:p>
        </w:tc>
        <w:tc>
          <w:tcPr>
            <w:tcW w:w="800" w:type="dxa"/>
            <w:shd w:val="solid" w:color="FFFFFF" w:fill="auto"/>
          </w:tcPr>
          <w:p w14:paraId="34815C40" w14:textId="385AA620" w:rsidR="00055D0B" w:rsidRPr="00873B6C" w:rsidRDefault="00055D0B" w:rsidP="009D14FB">
            <w:pPr>
              <w:pStyle w:val="TAL"/>
              <w:rPr>
                <w:sz w:val="16"/>
                <w:szCs w:val="16"/>
              </w:rPr>
            </w:pPr>
            <w:r w:rsidRPr="00873B6C">
              <w:rPr>
                <w:sz w:val="16"/>
                <w:szCs w:val="16"/>
              </w:rPr>
              <w:t>SP#92E</w:t>
            </w:r>
          </w:p>
        </w:tc>
        <w:tc>
          <w:tcPr>
            <w:tcW w:w="1094" w:type="dxa"/>
            <w:shd w:val="solid" w:color="FFFFFF" w:fill="auto"/>
          </w:tcPr>
          <w:p w14:paraId="61BCD3DF" w14:textId="74F25C06" w:rsidR="00055D0B" w:rsidRPr="00873B6C" w:rsidRDefault="00055D0B" w:rsidP="009D14FB">
            <w:pPr>
              <w:pStyle w:val="TAC"/>
              <w:rPr>
                <w:sz w:val="16"/>
                <w:szCs w:val="16"/>
              </w:rPr>
            </w:pPr>
            <w:r w:rsidRPr="00873B6C">
              <w:rPr>
                <w:sz w:val="16"/>
                <w:szCs w:val="16"/>
              </w:rPr>
              <w:t>SP-210353</w:t>
            </w:r>
          </w:p>
        </w:tc>
        <w:tc>
          <w:tcPr>
            <w:tcW w:w="567" w:type="dxa"/>
            <w:shd w:val="solid" w:color="FFFFFF" w:fill="auto"/>
          </w:tcPr>
          <w:p w14:paraId="2418FCF0" w14:textId="0F8042BB" w:rsidR="00055D0B" w:rsidRPr="00873B6C" w:rsidRDefault="00055D0B" w:rsidP="009D14FB">
            <w:pPr>
              <w:pStyle w:val="TAL"/>
              <w:rPr>
                <w:sz w:val="16"/>
                <w:szCs w:val="16"/>
              </w:rPr>
            </w:pPr>
            <w:r w:rsidRPr="00873B6C">
              <w:rPr>
                <w:sz w:val="16"/>
                <w:szCs w:val="16"/>
              </w:rPr>
              <w:t>2826</w:t>
            </w:r>
          </w:p>
        </w:tc>
        <w:tc>
          <w:tcPr>
            <w:tcW w:w="425" w:type="dxa"/>
            <w:shd w:val="solid" w:color="FFFFFF" w:fill="auto"/>
          </w:tcPr>
          <w:p w14:paraId="6DAC3E61" w14:textId="2104BB36" w:rsidR="00055D0B" w:rsidRPr="00873B6C" w:rsidRDefault="00055D0B" w:rsidP="009D14FB">
            <w:pPr>
              <w:pStyle w:val="TAL"/>
              <w:rPr>
                <w:sz w:val="16"/>
                <w:szCs w:val="16"/>
              </w:rPr>
            </w:pPr>
            <w:r w:rsidRPr="00873B6C">
              <w:rPr>
                <w:sz w:val="16"/>
                <w:szCs w:val="16"/>
              </w:rPr>
              <w:t>1</w:t>
            </w:r>
          </w:p>
        </w:tc>
        <w:tc>
          <w:tcPr>
            <w:tcW w:w="425" w:type="dxa"/>
            <w:shd w:val="solid" w:color="FFFFFF" w:fill="auto"/>
          </w:tcPr>
          <w:p w14:paraId="03E1FC1D" w14:textId="7BA7CCCC" w:rsidR="00055D0B" w:rsidRPr="00873B6C" w:rsidRDefault="00055D0B" w:rsidP="009D14FB">
            <w:pPr>
              <w:pStyle w:val="TAL"/>
              <w:rPr>
                <w:sz w:val="16"/>
                <w:szCs w:val="16"/>
              </w:rPr>
            </w:pPr>
            <w:r w:rsidRPr="00873B6C">
              <w:rPr>
                <w:sz w:val="16"/>
                <w:szCs w:val="16"/>
              </w:rPr>
              <w:t>B</w:t>
            </w:r>
          </w:p>
        </w:tc>
        <w:tc>
          <w:tcPr>
            <w:tcW w:w="4820" w:type="dxa"/>
            <w:shd w:val="solid" w:color="FFFFFF" w:fill="auto"/>
          </w:tcPr>
          <w:p w14:paraId="0F91952B" w14:textId="1AD4E8C4" w:rsidR="00055D0B" w:rsidRPr="00873B6C" w:rsidRDefault="00055D0B" w:rsidP="009D14FB">
            <w:pPr>
              <w:pStyle w:val="TAL"/>
              <w:rPr>
                <w:sz w:val="16"/>
                <w:szCs w:val="16"/>
              </w:rPr>
            </w:pPr>
            <w:r w:rsidRPr="00873B6C">
              <w:rPr>
                <w:sz w:val="16"/>
                <w:szCs w:val="16"/>
              </w:rPr>
              <w:t>Mobility support between SNPNs and between SNPN and PLMN</w:t>
            </w:r>
          </w:p>
        </w:tc>
        <w:tc>
          <w:tcPr>
            <w:tcW w:w="708" w:type="dxa"/>
            <w:shd w:val="solid" w:color="FFFFFF" w:fill="auto"/>
          </w:tcPr>
          <w:p w14:paraId="5F1441AD" w14:textId="1D37FC14" w:rsidR="00055D0B" w:rsidRPr="00873B6C" w:rsidRDefault="00055D0B" w:rsidP="009D14FB">
            <w:pPr>
              <w:pStyle w:val="TAC"/>
              <w:rPr>
                <w:sz w:val="16"/>
                <w:szCs w:val="16"/>
              </w:rPr>
            </w:pPr>
            <w:r w:rsidRPr="00873B6C">
              <w:rPr>
                <w:sz w:val="16"/>
                <w:szCs w:val="16"/>
              </w:rPr>
              <w:t>17.1.0</w:t>
            </w:r>
          </w:p>
        </w:tc>
      </w:tr>
      <w:tr w:rsidR="00055D0B" w:rsidRPr="00873B6C" w14:paraId="087AED61" w14:textId="77777777" w:rsidTr="009D14FB">
        <w:tc>
          <w:tcPr>
            <w:tcW w:w="800" w:type="dxa"/>
            <w:shd w:val="solid" w:color="FFFFFF" w:fill="auto"/>
          </w:tcPr>
          <w:p w14:paraId="318D1B2D" w14:textId="6EF1651C" w:rsidR="00055D0B" w:rsidRPr="00873B6C" w:rsidRDefault="00055D0B" w:rsidP="009D14FB">
            <w:pPr>
              <w:pStyle w:val="TAC"/>
              <w:rPr>
                <w:sz w:val="16"/>
                <w:szCs w:val="16"/>
              </w:rPr>
            </w:pPr>
            <w:r w:rsidRPr="00873B6C">
              <w:rPr>
                <w:sz w:val="16"/>
                <w:szCs w:val="16"/>
              </w:rPr>
              <w:t>2021-06</w:t>
            </w:r>
          </w:p>
        </w:tc>
        <w:tc>
          <w:tcPr>
            <w:tcW w:w="800" w:type="dxa"/>
            <w:shd w:val="solid" w:color="FFFFFF" w:fill="auto"/>
          </w:tcPr>
          <w:p w14:paraId="0D585429" w14:textId="3DC0D494" w:rsidR="00055D0B" w:rsidRPr="00873B6C" w:rsidRDefault="00055D0B" w:rsidP="009D14FB">
            <w:pPr>
              <w:pStyle w:val="TAL"/>
              <w:rPr>
                <w:sz w:val="16"/>
                <w:szCs w:val="16"/>
              </w:rPr>
            </w:pPr>
            <w:r w:rsidRPr="00873B6C">
              <w:rPr>
                <w:sz w:val="16"/>
                <w:szCs w:val="16"/>
              </w:rPr>
              <w:t>SP#92E</w:t>
            </w:r>
          </w:p>
        </w:tc>
        <w:tc>
          <w:tcPr>
            <w:tcW w:w="1094" w:type="dxa"/>
            <w:shd w:val="solid" w:color="FFFFFF" w:fill="auto"/>
          </w:tcPr>
          <w:p w14:paraId="10A14EF6" w14:textId="62BA6839" w:rsidR="00055D0B" w:rsidRPr="00873B6C" w:rsidRDefault="00055D0B" w:rsidP="009D14FB">
            <w:pPr>
              <w:pStyle w:val="TAC"/>
              <w:rPr>
                <w:sz w:val="16"/>
                <w:szCs w:val="16"/>
              </w:rPr>
            </w:pPr>
            <w:r w:rsidRPr="00873B6C">
              <w:rPr>
                <w:sz w:val="16"/>
                <w:szCs w:val="16"/>
              </w:rPr>
              <w:t>SP-210353</w:t>
            </w:r>
          </w:p>
        </w:tc>
        <w:tc>
          <w:tcPr>
            <w:tcW w:w="567" w:type="dxa"/>
            <w:shd w:val="solid" w:color="FFFFFF" w:fill="auto"/>
          </w:tcPr>
          <w:p w14:paraId="175EF156" w14:textId="15DFEC0C" w:rsidR="00055D0B" w:rsidRPr="00873B6C" w:rsidRDefault="00055D0B" w:rsidP="009D14FB">
            <w:pPr>
              <w:pStyle w:val="TAL"/>
              <w:rPr>
                <w:sz w:val="16"/>
                <w:szCs w:val="16"/>
              </w:rPr>
            </w:pPr>
            <w:r w:rsidRPr="00873B6C">
              <w:rPr>
                <w:sz w:val="16"/>
                <w:szCs w:val="16"/>
              </w:rPr>
              <w:t>2832</w:t>
            </w:r>
          </w:p>
        </w:tc>
        <w:tc>
          <w:tcPr>
            <w:tcW w:w="425" w:type="dxa"/>
            <w:shd w:val="solid" w:color="FFFFFF" w:fill="auto"/>
          </w:tcPr>
          <w:p w14:paraId="305D2C09" w14:textId="2B8A8D8F" w:rsidR="00055D0B" w:rsidRPr="00873B6C" w:rsidRDefault="00055D0B" w:rsidP="009D14FB">
            <w:pPr>
              <w:pStyle w:val="TAL"/>
              <w:rPr>
                <w:sz w:val="16"/>
                <w:szCs w:val="16"/>
              </w:rPr>
            </w:pPr>
            <w:r w:rsidRPr="00873B6C">
              <w:rPr>
                <w:sz w:val="16"/>
                <w:szCs w:val="16"/>
              </w:rPr>
              <w:t>1</w:t>
            </w:r>
          </w:p>
        </w:tc>
        <w:tc>
          <w:tcPr>
            <w:tcW w:w="425" w:type="dxa"/>
            <w:shd w:val="solid" w:color="FFFFFF" w:fill="auto"/>
          </w:tcPr>
          <w:p w14:paraId="016F2D2A" w14:textId="366FE092" w:rsidR="00055D0B" w:rsidRPr="00873B6C" w:rsidRDefault="00055D0B" w:rsidP="009D14FB">
            <w:pPr>
              <w:pStyle w:val="TAL"/>
              <w:rPr>
                <w:sz w:val="16"/>
                <w:szCs w:val="16"/>
              </w:rPr>
            </w:pPr>
            <w:r w:rsidRPr="00873B6C">
              <w:rPr>
                <w:sz w:val="16"/>
                <w:szCs w:val="16"/>
              </w:rPr>
              <w:t>B</w:t>
            </w:r>
          </w:p>
        </w:tc>
        <w:tc>
          <w:tcPr>
            <w:tcW w:w="4820" w:type="dxa"/>
            <w:shd w:val="solid" w:color="FFFFFF" w:fill="auto"/>
          </w:tcPr>
          <w:p w14:paraId="21245A35" w14:textId="1196DE55" w:rsidR="00055D0B" w:rsidRPr="00873B6C" w:rsidRDefault="00055D0B" w:rsidP="009D14FB">
            <w:pPr>
              <w:pStyle w:val="TAL"/>
              <w:rPr>
                <w:sz w:val="16"/>
                <w:szCs w:val="16"/>
              </w:rPr>
            </w:pPr>
            <w:r w:rsidRPr="00873B6C">
              <w:rPr>
                <w:sz w:val="16"/>
                <w:szCs w:val="16"/>
              </w:rPr>
              <w:t>UE configuration for remote provisioning</w:t>
            </w:r>
          </w:p>
        </w:tc>
        <w:tc>
          <w:tcPr>
            <w:tcW w:w="708" w:type="dxa"/>
            <w:shd w:val="solid" w:color="FFFFFF" w:fill="auto"/>
          </w:tcPr>
          <w:p w14:paraId="0AA574B5" w14:textId="4394C28B" w:rsidR="00055D0B" w:rsidRPr="00873B6C" w:rsidRDefault="00055D0B" w:rsidP="009D14FB">
            <w:pPr>
              <w:pStyle w:val="TAC"/>
              <w:rPr>
                <w:sz w:val="16"/>
                <w:szCs w:val="16"/>
              </w:rPr>
            </w:pPr>
            <w:r w:rsidRPr="00873B6C">
              <w:rPr>
                <w:sz w:val="16"/>
                <w:szCs w:val="16"/>
              </w:rPr>
              <w:t>17.1.0</w:t>
            </w:r>
          </w:p>
        </w:tc>
      </w:tr>
      <w:tr w:rsidR="00055D0B" w:rsidRPr="00873B6C" w14:paraId="36916C86" w14:textId="77777777" w:rsidTr="009D14FB">
        <w:tc>
          <w:tcPr>
            <w:tcW w:w="800" w:type="dxa"/>
            <w:shd w:val="solid" w:color="FFFFFF" w:fill="auto"/>
          </w:tcPr>
          <w:p w14:paraId="75907D8B" w14:textId="03FD220E" w:rsidR="00055D0B" w:rsidRPr="00873B6C" w:rsidRDefault="00055D0B" w:rsidP="009D14FB">
            <w:pPr>
              <w:pStyle w:val="TAC"/>
              <w:rPr>
                <w:sz w:val="16"/>
                <w:szCs w:val="16"/>
              </w:rPr>
            </w:pPr>
            <w:r w:rsidRPr="00873B6C">
              <w:rPr>
                <w:sz w:val="16"/>
                <w:szCs w:val="16"/>
              </w:rPr>
              <w:t>2021-06</w:t>
            </w:r>
          </w:p>
        </w:tc>
        <w:tc>
          <w:tcPr>
            <w:tcW w:w="800" w:type="dxa"/>
            <w:shd w:val="solid" w:color="FFFFFF" w:fill="auto"/>
          </w:tcPr>
          <w:p w14:paraId="432D3ED3" w14:textId="2110309B" w:rsidR="00055D0B" w:rsidRPr="00873B6C" w:rsidRDefault="00055D0B" w:rsidP="009D14FB">
            <w:pPr>
              <w:pStyle w:val="TAL"/>
              <w:rPr>
                <w:sz w:val="16"/>
                <w:szCs w:val="16"/>
              </w:rPr>
            </w:pPr>
            <w:r w:rsidRPr="00873B6C">
              <w:rPr>
                <w:sz w:val="16"/>
                <w:szCs w:val="16"/>
              </w:rPr>
              <w:t>SP#92E</w:t>
            </w:r>
          </w:p>
        </w:tc>
        <w:tc>
          <w:tcPr>
            <w:tcW w:w="1094" w:type="dxa"/>
            <w:shd w:val="solid" w:color="FFFFFF" w:fill="auto"/>
          </w:tcPr>
          <w:p w14:paraId="39CFEBE9" w14:textId="44A47B8E" w:rsidR="00055D0B" w:rsidRPr="00873B6C" w:rsidRDefault="00055D0B" w:rsidP="009D14FB">
            <w:pPr>
              <w:pStyle w:val="TAC"/>
              <w:rPr>
                <w:sz w:val="16"/>
                <w:szCs w:val="16"/>
              </w:rPr>
            </w:pPr>
            <w:r w:rsidRPr="00873B6C">
              <w:rPr>
                <w:sz w:val="16"/>
                <w:szCs w:val="16"/>
              </w:rPr>
              <w:t>SP-210359</w:t>
            </w:r>
          </w:p>
        </w:tc>
        <w:tc>
          <w:tcPr>
            <w:tcW w:w="567" w:type="dxa"/>
            <w:shd w:val="solid" w:color="FFFFFF" w:fill="auto"/>
          </w:tcPr>
          <w:p w14:paraId="789A1984" w14:textId="2E5E4AEB" w:rsidR="00055D0B" w:rsidRPr="00873B6C" w:rsidRDefault="00055D0B" w:rsidP="009D14FB">
            <w:pPr>
              <w:pStyle w:val="TAL"/>
              <w:rPr>
                <w:sz w:val="16"/>
                <w:szCs w:val="16"/>
              </w:rPr>
            </w:pPr>
            <w:r w:rsidRPr="00873B6C">
              <w:rPr>
                <w:sz w:val="16"/>
                <w:szCs w:val="16"/>
              </w:rPr>
              <w:t>2833</w:t>
            </w:r>
          </w:p>
        </w:tc>
        <w:tc>
          <w:tcPr>
            <w:tcW w:w="425" w:type="dxa"/>
            <w:shd w:val="solid" w:color="FFFFFF" w:fill="auto"/>
          </w:tcPr>
          <w:p w14:paraId="4AD1CEEB" w14:textId="54DB7CE8" w:rsidR="00055D0B" w:rsidRPr="00873B6C" w:rsidRDefault="00055D0B" w:rsidP="009D14FB">
            <w:pPr>
              <w:pStyle w:val="TAL"/>
              <w:rPr>
                <w:sz w:val="16"/>
                <w:szCs w:val="16"/>
              </w:rPr>
            </w:pPr>
            <w:r w:rsidRPr="00873B6C">
              <w:rPr>
                <w:sz w:val="16"/>
                <w:szCs w:val="16"/>
              </w:rPr>
              <w:t>2</w:t>
            </w:r>
          </w:p>
        </w:tc>
        <w:tc>
          <w:tcPr>
            <w:tcW w:w="425" w:type="dxa"/>
            <w:shd w:val="solid" w:color="FFFFFF" w:fill="auto"/>
          </w:tcPr>
          <w:p w14:paraId="6DFBF1D9" w14:textId="3BFCF592" w:rsidR="00055D0B" w:rsidRPr="00873B6C" w:rsidRDefault="00055D0B" w:rsidP="009D14FB">
            <w:pPr>
              <w:pStyle w:val="TAL"/>
              <w:rPr>
                <w:sz w:val="16"/>
                <w:szCs w:val="16"/>
              </w:rPr>
            </w:pPr>
            <w:r w:rsidRPr="00873B6C">
              <w:rPr>
                <w:sz w:val="16"/>
                <w:szCs w:val="16"/>
              </w:rPr>
              <w:t>B</w:t>
            </w:r>
          </w:p>
        </w:tc>
        <w:tc>
          <w:tcPr>
            <w:tcW w:w="4820" w:type="dxa"/>
            <w:shd w:val="solid" w:color="FFFFFF" w:fill="auto"/>
          </w:tcPr>
          <w:p w14:paraId="757A01EC" w14:textId="4505027B" w:rsidR="00055D0B" w:rsidRPr="00873B6C" w:rsidRDefault="00055D0B" w:rsidP="009D14FB">
            <w:pPr>
              <w:pStyle w:val="TAL"/>
              <w:rPr>
                <w:sz w:val="16"/>
                <w:szCs w:val="16"/>
              </w:rPr>
            </w:pPr>
            <w:r w:rsidRPr="00873B6C">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873B6C" w:rsidRDefault="00055D0B" w:rsidP="009D14FB">
            <w:pPr>
              <w:pStyle w:val="TAC"/>
              <w:rPr>
                <w:sz w:val="16"/>
                <w:szCs w:val="16"/>
              </w:rPr>
            </w:pPr>
            <w:r w:rsidRPr="00873B6C">
              <w:rPr>
                <w:sz w:val="16"/>
                <w:szCs w:val="16"/>
              </w:rPr>
              <w:t>17.1.0</w:t>
            </w:r>
          </w:p>
        </w:tc>
      </w:tr>
      <w:tr w:rsidR="005E258C" w:rsidRPr="00873B6C" w14:paraId="4E5140D6" w14:textId="77777777" w:rsidTr="009D14FB">
        <w:tc>
          <w:tcPr>
            <w:tcW w:w="800" w:type="dxa"/>
            <w:shd w:val="solid" w:color="FFFFFF" w:fill="auto"/>
          </w:tcPr>
          <w:p w14:paraId="1B72644D" w14:textId="1E3143A3" w:rsidR="005E258C" w:rsidRPr="00873B6C" w:rsidRDefault="005E258C" w:rsidP="009D14FB">
            <w:pPr>
              <w:pStyle w:val="TAC"/>
              <w:rPr>
                <w:sz w:val="16"/>
                <w:szCs w:val="16"/>
              </w:rPr>
            </w:pPr>
            <w:r w:rsidRPr="00873B6C">
              <w:rPr>
                <w:sz w:val="16"/>
                <w:szCs w:val="16"/>
              </w:rPr>
              <w:t>2021-06</w:t>
            </w:r>
          </w:p>
        </w:tc>
        <w:tc>
          <w:tcPr>
            <w:tcW w:w="800" w:type="dxa"/>
            <w:shd w:val="solid" w:color="FFFFFF" w:fill="auto"/>
          </w:tcPr>
          <w:p w14:paraId="0E7E8E88" w14:textId="62FC7B49" w:rsidR="005E258C" w:rsidRPr="00873B6C" w:rsidRDefault="005E258C" w:rsidP="009D14FB">
            <w:pPr>
              <w:pStyle w:val="TAL"/>
              <w:rPr>
                <w:sz w:val="16"/>
                <w:szCs w:val="16"/>
              </w:rPr>
            </w:pPr>
            <w:r w:rsidRPr="00873B6C">
              <w:rPr>
                <w:sz w:val="16"/>
                <w:szCs w:val="16"/>
              </w:rPr>
              <w:t>SP#92E</w:t>
            </w:r>
          </w:p>
        </w:tc>
        <w:tc>
          <w:tcPr>
            <w:tcW w:w="1094" w:type="dxa"/>
            <w:shd w:val="solid" w:color="FFFFFF" w:fill="auto"/>
          </w:tcPr>
          <w:p w14:paraId="282E9F7F" w14:textId="242A2584" w:rsidR="005E258C" w:rsidRPr="00873B6C" w:rsidRDefault="005E258C" w:rsidP="009D14FB">
            <w:pPr>
              <w:pStyle w:val="TAC"/>
              <w:rPr>
                <w:sz w:val="16"/>
                <w:szCs w:val="16"/>
              </w:rPr>
            </w:pPr>
            <w:r w:rsidRPr="00873B6C">
              <w:rPr>
                <w:sz w:val="16"/>
                <w:szCs w:val="16"/>
              </w:rPr>
              <w:t>SP-210355</w:t>
            </w:r>
          </w:p>
        </w:tc>
        <w:tc>
          <w:tcPr>
            <w:tcW w:w="567" w:type="dxa"/>
            <w:shd w:val="solid" w:color="FFFFFF" w:fill="auto"/>
          </w:tcPr>
          <w:p w14:paraId="1FA9856F" w14:textId="26060A3C" w:rsidR="005E258C" w:rsidRPr="00873B6C" w:rsidRDefault="005E258C" w:rsidP="009D14FB">
            <w:pPr>
              <w:pStyle w:val="TAL"/>
              <w:rPr>
                <w:sz w:val="16"/>
                <w:szCs w:val="16"/>
              </w:rPr>
            </w:pPr>
            <w:r w:rsidRPr="00873B6C">
              <w:rPr>
                <w:sz w:val="16"/>
                <w:szCs w:val="16"/>
              </w:rPr>
              <w:t>2837</w:t>
            </w:r>
          </w:p>
        </w:tc>
        <w:tc>
          <w:tcPr>
            <w:tcW w:w="425" w:type="dxa"/>
            <w:shd w:val="solid" w:color="FFFFFF" w:fill="auto"/>
          </w:tcPr>
          <w:p w14:paraId="4570B2F0" w14:textId="760734EB" w:rsidR="005E258C" w:rsidRPr="00873B6C" w:rsidRDefault="005E258C" w:rsidP="009D14FB">
            <w:pPr>
              <w:pStyle w:val="TAL"/>
              <w:rPr>
                <w:sz w:val="16"/>
                <w:szCs w:val="16"/>
              </w:rPr>
            </w:pPr>
            <w:r w:rsidRPr="00873B6C">
              <w:rPr>
                <w:sz w:val="16"/>
                <w:szCs w:val="16"/>
              </w:rPr>
              <w:t>3</w:t>
            </w:r>
          </w:p>
        </w:tc>
        <w:tc>
          <w:tcPr>
            <w:tcW w:w="425" w:type="dxa"/>
            <w:shd w:val="solid" w:color="FFFFFF" w:fill="auto"/>
          </w:tcPr>
          <w:p w14:paraId="0F8D8332" w14:textId="6BFC723C" w:rsidR="005E258C" w:rsidRPr="00873B6C" w:rsidRDefault="005E258C" w:rsidP="009D14FB">
            <w:pPr>
              <w:pStyle w:val="TAL"/>
              <w:rPr>
                <w:sz w:val="16"/>
                <w:szCs w:val="16"/>
              </w:rPr>
            </w:pPr>
            <w:r w:rsidRPr="00873B6C">
              <w:rPr>
                <w:sz w:val="16"/>
                <w:szCs w:val="16"/>
              </w:rPr>
              <w:t>B</w:t>
            </w:r>
          </w:p>
        </w:tc>
        <w:tc>
          <w:tcPr>
            <w:tcW w:w="4820" w:type="dxa"/>
            <w:shd w:val="solid" w:color="FFFFFF" w:fill="auto"/>
          </w:tcPr>
          <w:p w14:paraId="42EEDF1E" w14:textId="6A85978B" w:rsidR="005E258C" w:rsidRPr="00873B6C" w:rsidRDefault="005E258C" w:rsidP="009D14FB">
            <w:pPr>
              <w:pStyle w:val="TAL"/>
              <w:rPr>
                <w:sz w:val="16"/>
                <w:szCs w:val="16"/>
              </w:rPr>
            </w:pPr>
            <w:r w:rsidRPr="00873B6C">
              <w:rPr>
                <w:sz w:val="16"/>
                <w:szCs w:val="16"/>
              </w:rPr>
              <w:t>Support of Emergency and Priority Services in Network Slice Admission Control</w:t>
            </w:r>
          </w:p>
        </w:tc>
        <w:tc>
          <w:tcPr>
            <w:tcW w:w="708" w:type="dxa"/>
            <w:shd w:val="solid" w:color="FFFFFF" w:fill="auto"/>
          </w:tcPr>
          <w:p w14:paraId="60F26673" w14:textId="47774B60" w:rsidR="005E258C" w:rsidRPr="00873B6C" w:rsidRDefault="005E258C" w:rsidP="009D14FB">
            <w:pPr>
              <w:pStyle w:val="TAC"/>
              <w:rPr>
                <w:sz w:val="16"/>
                <w:szCs w:val="16"/>
              </w:rPr>
            </w:pPr>
            <w:r w:rsidRPr="00873B6C">
              <w:rPr>
                <w:sz w:val="16"/>
                <w:szCs w:val="16"/>
              </w:rPr>
              <w:t>17.1.0</w:t>
            </w:r>
          </w:p>
        </w:tc>
      </w:tr>
      <w:tr w:rsidR="005E258C" w:rsidRPr="00873B6C" w14:paraId="2561D41B" w14:textId="77777777" w:rsidTr="009D14FB">
        <w:tc>
          <w:tcPr>
            <w:tcW w:w="800" w:type="dxa"/>
            <w:shd w:val="solid" w:color="FFFFFF" w:fill="auto"/>
          </w:tcPr>
          <w:p w14:paraId="0F43E816" w14:textId="3512D14C" w:rsidR="005E258C" w:rsidRPr="00873B6C" w:rsidRDefault="005E258C" w:rsidP="009D14FB">
            <w:pPr>
              <w:pStyle w:val="TAC"/>
              <w:rPr>
                <w:sz w:val="16"/>
                <w:szCs w:val="16"/>
              </w:rPr>
            </w:pPr>
            <w:r w:rsidRPr="00873B6C">
              <w:rPr>
                <w:sz w:val="16"/>
                <w:szCs w:val="16"/>
              </w:rPr>
              <w:t>2021-06</w:t>
            </w:r>
          </w:p>
        </w:tc>
        <w:tc>
          <w:tcPr>
            <w:tcW w:w="800" w:type="dxa"/>
            <w:shd w:val="solid" w:color="FFFFFF" w:fill="auto"/>
          </w:tcPr>
          <w:p w14:paraId="3B2B5C13" w14:textId="2DF42102" w:rsidR="005E258C" w:rsidRPr="00873B6C" w:rsidRDefault="005E258C" w:rsidP="009D14FB">
            <w:pPr>
              <w:pStyle w:val="TAL"/>
              <w:rPr>
                <w:sz w:val="16"/>
                <w:szCs w:val="16"/>
              </w:rPr>
            </w:pPr>
            <w:r w:rsidRPr="00873B6C">
              <w:rPr>
                <w:sz w:val="16"/>
                <w:szCs w:val="16"/>
              </w:rPr>
              <w:t>SP#92E</w:t>
            </w:r>
          </w:p>
        </w:tc>
        <w:tc>
          <w:tcPr>
            <w:tcW w:w="1094" w:type="dxa"/>
            <w:shd w:val="solid" w:color="FFFFFF" w:fill="auto"/>
          </w:tcPr>
          <w:p w14:paraId="097814B4" w14:textId="2407ACC8" w:rsidR="005E258C" w:rsidRPr="00873B6C" w:rsidRDefault="005E258C" w:rsidP="009D14FB">
            <w:pPr>
              <w:pStyle w:val="TAC"/>
              <w:rPr>
                <w:sz w:val="16"/>
                <w:szCs w:val="16"/>
              </w:rPr>
            </w:pPr>
            <w:r w:rsidRPr="00873B6C">
              <w:rPr>
                <w:sz w:val="16"/>
                <w:szCs w:val="16"/>
              </w:rPr>
              <w:t>SP-210355</w:t>
            </w:r>
          </w:p>
        </w:tc>
        <w:tc>
          <w:tcPr>
            <w:tcW w:w="567" w:type="dxa"/>
            <w:shd w:val="solid" w:color="FFFFFF" w:fill="auto"/>
          </w:tcPr>
          <w:p w14:paraId="5EBF0206" w14:textId="2ADA0988" w:rsidR="005E258C" w:rsidRPr="00873B6C" w:rsidRDefault="005E258C" w:rsidP="009D14FB">
            <w:pPr>
              <w:pStyle w:val="TAL"/>
              <w:rPr>
                <w:sz w:val="16"/>
                <w:szCs w:val="16"/>
              </w:rPr>
            </w:pPr>
            <w:r w:rsidRPr="00873B6C">
              <w:rPr>
                <w:sz w:val="16"/>
                <w:szCs w:val="16"/>
              </w:rPr>
              <w:t>2838</w:t>
            </w:r>
          </w:p>
        </w:tc>
        <w:tc>
          <w:tcPr>
            <w:tcW w:w="425" w:type="dxa"/>
            <w:shd w:val="solid" w:color="FFFFFF" w:fill="auto"/>
          </w:tcPr>
          <w:p w14:paraId="60BD88B4" w14:textId="358DB2ED" w:rsidR="005E258C" w:rsidRPr="00873B6C" w:rsidRDefault="005E258C" w:rsidP="009D14FB">
            <w:pPr>
              <w:pStyle w:val="TAL"/>
              <w:rPr>
                <w:sz w:val="16"/>
                <w:szCs w:val="16"/>
              </w:rPr>
            </w:pPr>
            <w:r w:rsidRPr="00873B6C">
              <w:rPr>
                <w:sz w:val="16"/>
                <w:szCs w:val="16"/>
              </w:rPr>
              <w:t>2</w:t>
            </w:r>
          </w:p>
        </w:tc>
        <w:tc>
          <w:tcPr>
            <w:tcW w:w="425" w:type="dxa"/>
            <w:shd w:val="solid" w:color="FFFFFF" w:fill="auto"/>
          </w:tcPr>
          <w:p w14:paraId="62324A23" w14:textId="212CC900" w:rsidR="005E258C" w:rsidRPr="00873B6C" w:rsidRDefault="005E258C" w:rsidP="009D14FB">
            <w:pPr>
              <w:pStyle w:val="TAL"/>
              <w:rPr>
                <w:sz w:val="16"/>
                <w:szCs w:val="16"/>
              </w:rPr>
            </w:pPr>
            <w:r w:rsidRPr="00873B6C">
              <w:rPr>
                <w:sz w:val="16"/>
                <w:szCs w:val="16"/>
              </w:rPr>
              <w:t>B</w:t>
            </w:r>
          </w:p>
        </w:tc>
        <w:tc>
          <w:tcPr>
            <w:tcW w:w="4820" w:type="dxa"/>
            <w:shd w:val="solid" w:color="FFFFFF" w:fill="auto"/>
          </w:tcPr>
          <w:p w14:paraId="3E531E5F" w14:textId="64A93451" w:rsidR="005E258C" w:rsidRPr="00873B6C" w:rsidRDefault="005E258C" w:rsidP="009D14FB">
            <w:pPr>
              <w:pStyle w:val="TAL"/>
              <w:rPr>
                <w:sz w:val="16"/>
                <w:szCs w:val="16"/>
              </w:rPr>
            </w:pPr>
            <w:r w:rsidRPr="00873B6C">
              <w:rPr>
                <w:sz w:val="16"/>
                <w:szCs w:val="16"/>
              </w:rPr>
              <w:t>TS23.501 KI#4 NSACF event notification definition</w:t>
            </w:r>
          </w:p>
        </w:tc>
        <w:tc>
          <w:tcPr>
            <w:tcW w:w="708" w:type="dxa"/>
            <w:shd w:val="solid" w:color="FFFFFF" w:fill="auto"/>
          </w:tcPr>
          <w:p w14:paraId="15C0ED71" w14:textId="2268C743" w:rsidR="005E258C" w:rsidRPr="00873B6C" w:rsidRDefault="005E258C" w:rsidP="009D14FB">
            <w:pPr>
              <w:pStyle w:val="TAC"/>
              <w:rPr>
                <w:sz w:val="16"/>
                <w:szCs w:val="16"/>
              </w:rPr>
            </w:pPr>
            <w:r w:rsidRPr="00873B6C">
              <w:rPr>
                <w:sz w:val="16"/>
                <w:szCs w:val="16"/>
              </w:rPr>
              <w:t>17.1.0</w:t>
            </w:r>
          </w:p>
        </w:tc>
      </w:tr>
      <w:tr w:rsidR="00E3255E" w:rsidRPr="00873B6C" w14:paraId="5D3CA60F" w14:textId="77777777" w:rsidTr="009D14FB">
        <w:tc>
          <w:tcPr>
            <w:tcW w:w="800" w:type="dxa"/>
            <w:shd w:val="solid" w:color="FFFFFF" w:fill="auto"/>
          </w:tcPr>
          <w:p w14:paraId="55EAC98A" w14:textId="7ABB7AC4" w:rsidR="00E3255E" w:rsidRPr="00873B6C" w:rsidRDefault="00E3255E" w:rsidP="009D14FB">
            <w:pPr>
              <w:pStyle w:val="TAC"/>
              <w:rPr>
                <w:sz w:val="16"/>
                <w:szCs w:val="16"/>
              </w:rPr>
            </w:pPr>
            <w:r w:rsidRPr="00873B6C">
              <w:rPr>
                <w:sz w:val="16"/>
                <w:szCs w:val="16"/>
              </w:rPr>
              <w:t>2021-06</w:t>
            </w:r>
          </w:p>
        </w:tc>
        <w:tc>
          <w:tcPr>
            <w:tcW w:w="800" w:type="dxa"/>
            <w:shd w:val="solid" w:color="FFFFFF" w:fill="auto"/>
          </w:tcPr>
          <w:p w14:paraId="2B4287E1" w14:textId="0561B1EF" w:rsidR="00E3255E" w:rsidRPr="00873B6C" w:rsidRDefault="00E3255E" w:rsidP="009D14FB">
            <w:pPr>
              <w:pStyle w:val="TAL"/>
              <w:rPr>
                <w:sz w:val="16"/>
                <w:szCs w:val="16"/>
              </w:rPr>
            </w:pPr>
            <w:r w:rsidRPr="00873B6C">
              <w:rPr>
                <w:sz w:val="16"/>
                <w:szCs w:val="16"/>
              </w:rPr>
              <w:t>SP#92E</w:t>
            </w:r>
          </w:p>
        </w:tc>
        <w:tc>
          <w:tcPr>
            <w:tcW w:w="1094" w:type="dxa"/>
            <w:shd w:val="solid" w:color="FFFFFF" w:fill="auto"/>
          </w:tcPr>
          <w:p w14:paraId="326386ED" w14:textId="53CAC6E9" w:rsidR="00E3255E" w:rsidRPr="00873B6C" w:rsidRDefault="00E3255E" w:rsidP="009D14FB">
            <w:pPr>
              <w:pStyle w:val="TAC"/>
              <w:rPr>
                <w:sz w:val="16"/>
                <w:szCs w:val="16"/>
              </w:rPr>
            </w:pPr>
            <w:r w:rsidRPr="00873B6C">
              <w:rPr>
                <w:sz w:val="16"/>
                <w:szCs w:val="16"/>
              </w:rPr>
              <w:t>SP-210345</w:t>
            </w:r>
          </w:p>
        </w:tc>
        <w:tc>
          <w:tcPr>
            <w:tcW w:w="567" w:type="dxa"/>
            <w:shd w:val="solid" w:color="FFFFFF" w:fill="auto"/>
          </w:tcPr>
          <w:p w14:paraId="2F3BF0D0" w14:textId="504A0DB5" w:rsidR="00E3255E" w:rsidRPr="00873B6C" w:rsidRDefault="00E3255E" w:rsidP="009D14FB">
            <w:pPr>
              <w:pStyle w:val="TAL"/>
              <w:rPr>
                <w:sz w:val="16"/>
                <w:szCs w:val="16"/>
              </w:rPr>
            </w:pPr>
            <w:r w:rsidRPr="00873B6C">
              <w:rPr>
                <w:sz w:val="16"/>
                <w:szCs w:val="16"/>
              </w:rPr>
              <w:t>2840</w:t>
            </w:r>
          </w:p>
        </w:tc>
        <w:tc>
          <w:tcPr>
            <w:tcW w:w="425" w:type="dxa"/>
            <w:shd w:val="solid" w:color="FFFFFF" w:fill="auto"/>
          </w:tcPr>
          <w:p w14:paraId="299236AD" w14:textId="515C1761" w:rsidR="00E3255E" w:rsidRPr="00873B6C" w:rsidRDefault="00E3255E" w:rsidP="009D14FB">
            <w:pPr>
              <w:pStyle w:val="TAL"/>
              <w:rPr>
                <w:sz w:val="16"/>
                <w:szCs w:val="16"/>
              </w:rPr>
            </w:pPr>
            <w:r w:rsidRPr="00873B6C">
              <w:rPr>
                <w:sz w:val="16"/>
                <w:szCs w:val="16"/>
              </w:rPr>
              <w:t>1</w:t>
            </w:r>
          </w:p>
        </w:tc>
        <w:tc>
          <w:tcPr>
            <w:tcW w:w="425" w:type="dxa"/>
            <w:shd w:val="solid" w:color="FFFFFF" w:fill="auto"/>
          </w:tcPr>
          <w:p w14:paraId="69485FE4" w14:textId="0E735A9E" w:rsidR="00E3255E" w:rsidRPr="00873B6C" w:rsidRDefault="00E3255E" w:rsidP="009D14FB">
            <w:pPr>
              <w:pStyle w:val="TAL"/>
              <w:rPr>
                <w:sz w:val="16"/>
                <w:szCs w:val="16"/>
              </w:rPr>
            </w:pPr>
            <w:r w:rsidRPr="00873B6C">
              <w:rPr>
                <w:sz w:val="16"/>
                <w:szCs w:val="16"/>
              </w:rPr>
              <w:t>F</w:t>
            </w:r>
          </w:p>
        </w:tc>
        <w:tc>
          <w:tcPr>
            <w:tcW w:w="4820" w:type="dxa"/>
            <w:shd w:val="solid" w:color="FFFFFF" w:fill="auto"/>
          </w:tcPr>
          <w:p w14:paraId="18938DE4" w14:textId="08522E66" w:rsidR="00E3255E" w:rsidRPr="00873B6C" w:rsidRDefault="00E3255E" w:rsidP="009D14FB">
            <w:pPr>
              <w:pStyle w:val="TAL"/>
              <w:rPr>
                <w:sz w:val="16"/>
                <w:szCs w:val="16"/>
              </w:rPr>
            </w:pPr>
            <w:r w:rsidRPr="00873B6C">
              <w:rPr>
                <w:sz w:val="16"/>
                <w:szCs w:val="16"/>
              </w:rPr>
              <w:t>Packet Loss Rate Measurements</w:t>
            </w:r>
          </w:p>
        </w:tc>
        <w:tc>
          <w:tcPr>
            <w:tcW w:w="708" w:type="dxa"/>
            <w:shd w:val="solid" w:color="FFFFFF" w:fill="auto"/>
          </w:tcPr>
          <w:p w14:paraId="6FB7120E" w14:textId="1BD3155F" w:rsidR="00E3255E" w:rsidRPr="00873B6C" w:rsidRDefault="00E3255E" w:rsidP="009D14FB">
            <w:pPr>
              <w:pStyle w:val="TAC"/>
              <w:rPr>
                <w:sz w:val="16"/>
                <w:szCs w:val="16"/>
              </w:rPr>
            </w:pPr>
            <w:r w:rsidRPr="00873B6C">
              <w:rPr>
                <w:sz w:val="16"/>
                <w:szCs w:val="16"/>
              </w:rPr>
              <w:t>17.1.0</w:t>
            </w:r>
          </w:p>
        </w:tc>
      </w:tr>
      <w:tr w:rsidR="00E3255E" w:rsidRPr="00873B6C" w14:paraId="4D18A654" w14:textId="77777777" w:rsidTr="009D14FB">
        <w:tc>
          <w:tcPr>
            <w:tcW w:w="800" w:type="dxa"/>
            <w:shd w:val="solid" w:color="FFFFFF" w:fill="auto"/>
          </w:tcPr>
          <w:p w14:paraId="67490B71" w14:textId="45B1B7C3" w:rsidR="00E3255E" w:rsidRPr="00873B6C" w:rsidRDefault="00E3255E" w:rsidP="009D14FB">
            <w:pPr>
              <w:pStyle w:val="TAC"/>
              <w:rPr>
                <w:sz w:val="16"/>
                <w:szCs w:val="16"/>
              </w:rPr>
            </w:pPr>
            <w:r w:rsidRPr="00873B6C">
              <w:rPr>
                <w:sz w:val="16"/>
                <w:szCs w:val="16"/>
              </w:rPr>
              <w:t>2021-06</w:t>
            </w:r>
          </w:p>
        </w:tc>
        <w:tc>
          <w:tcPr>
            <w:tcW w:w="800" w:type="dxa"/>
            <w:shd w:val="solid" w:color="FFFFFF" w:fill="auto"/>
          </w:tcPr>
          <w:p w14:paraId="7848D440" w14:textId="4DE3861C" w:rsidR="00E3255E" w:rsidRPr="00873B6C" w:rsidRDefault="00E3255E" w:rsidP="009D14FB">
            <w:pPr>
              <w:pStyle w:val="TAL"/>
              <w:rPr>
                <w:sz w:val="16"/>
                <w:szCs w:val="16"/>
              </w:rPr>
            </w:pPr>
            <w:r w:rsidRPr="00873B6C">
              <w:rPr>
                <w:sz w:val="16"/>
                <w:szCs w:val="16"/>
              </w:rPr>
              <w:t>SP#92E</w:t>
            </w:r>
          </w:p>
        </w:tc>
        <w:tc>
          <w:tcPr>
            <w:tcW w:w="1094" w:type="dxa"/>
            <w:shd w:val="solid" w:color="FFFFFF" w:fill="auto"/>
          </w:tcPr>
          <w:p w14:paraId="1D03922A" w14:textId="0CBAFE65" w:rsidR="00E3255E" w:rsidRPr="00873B6C" w:rsidRDefault="00E3255E" w:rsidP="009D14FB">
            <w:pPr>
              <w:pStyle w:val="TAC"/>
              <w:rPr>
                <w:sz w:val="16"/>
                <w:szCs w:val="16"/>
              </w:rPr>
            </w:pPr>
            <w:r w:rsidRPr="00873B6C">
              <w:rPr>
                <w:sz w:val="16"/>
                <w:szCs w:val="16"/>
              </w:rPr>
              <w:t>SP-210363</w:t>
            </w:r>
          </w:p>
        </w:tc>
        <w:tc>
          <w:tcPr>
            <w:tcW w:w="567" w:type="dxa"/>
            <w:shd w:val="solid" w:color="FFFFFF" w:fill="auto"/>
          </w:tcPr>
          <w:p w14:paraId="2D0B12ED" w14:textId="0E244573" w:rsidR="00E3255E" w:rsidRPr="00873B6C" w:rsidRDefault="00E3255E" w:rsidP="009D14FB">
            <w:pPr>
              <w:pStyle w:val="TAL"/>
              <w:rPr>
                <w:sz w:val="16"/>
                <w:szCs w:val="16"/>
              </w:rPr>
            </w:pPr>
            <w:r w:rsidRPr="00873B6C">
              <w:rPr>
                <w:sz w:val="16"/>
                <w:szCs w:val="16"/>
              </w:rPr>
              <w:t>2848</w:t>
            </w:r>
          </w:p>
        </w:tc>
        <w:tc>
          <w:tcPr>
            <w:tcW w:w="425" w:type="dxa"/>
            <w:shd w:val="solid" w:color="FFFFFF" w:fill="auto"/>
          </w:tcPr>
          <w:p w14:paraId="1CE1D462" w14:textId="439C269F" w:rsidR="00E3255E" w:rsidRPr="00873B6C" w:rsidRDefault="00E3255E" w:rsidP="009D14FB">
            <w:pPr>
              <w:pStyle w:val="TAL"/>
              <w:rPr>
                <w:sz w:val="16"/>
                <w:szCs w:val="16"/>
              </w:rPr>
            </w:pPr>
            <w:r w:rsidRPr="00873B6C">
              <w:rPr>
                <w:sz w:val="16"/>
                <w:szCs w:val="16"/>
              </w:rPr>
              <w:t>1</w:t>
            </w:r>
          </w:p>
        </w:tc>
        <w:tc>
          <w:tcPr>
            <w:tcW w:w="425" w:type="dxa"/>
            <w:shd w:val="solid" w:color="FFFFFF" w:fill="auto"/>
          </w:tcPr>
          <w:p w14:paraId="1E9D759E" w14:textId="1F990275" w:rsidR="00E3255E" w:rsidRPr="00873B6C" w:rsidRDefault="00E3255E" w:rsidP="009D14FB">
            <w:pPr>
              <w:pStyle w:val="TAL"/>
              <w:rPr>
                <w:sz w:val="16"/>
                <w:szCs w:val="16"/>
              </w:rPr>
            </w:pPr>
            <w:r w:rsidRPr="00873B6C">
              <w:rPr>
                <w:sz w:val="16"/>
                <w:szCs w:val="16"/>
              </w:rPr>
              <w:t>F</w:t>
            </w:r>
          </w:p>
        </w:tc>
        <w:tc>
          <w:tcPr>
            <w:tcW w:w="4820" w:type="dxa"/>
            <w:shd w:val="solid" w:color="FFFFFF" w:fill="auto"/>
          </w:tcPr>
          <w:p w14:paraId="19B5E2DA" w14:textId="38526FEA" w:rsidR="00E3255E" w:rsidRPr="00873B6C" w:rsidRDefault="00E3255E" w:rsidP="009D14FB">
            <w:pPr>
              <w:pStyle w:val="TAL"/>
              <w:rPr>
                <w:sz w:val="16"/>
                <w:szCs w:val="16"/>
              </w:rPr>
            </w:pPr>
            <w:r w:rsidRPr="00873B6C">
              <w:rPr>
                <w:sz w:val="16"/>
                <w:szCs w:val="16"/>
              </w:rPr>
              <w:t>FQDNs for N3IWF selection for emergency services</w:t>
            </w:r>
          </w:p>
        </w:tc>
        <w:tc>
          <w:tcPr>
            <w:tcW w:w="708" w:type="dxa"/>
            <w:shd w:val="solid" w:color="FFFFFF" w:fill="auto"/>
          </w:tcPr>
          <w:p w14:paraId="71CC7E5D" w14:textId="7EFD8189" w:rsidR="00E3255E" w:rsidRPr="00873B6C" w:rsidRDefault="00E3255E" w:rsidP="009D14FB">
            <w:pPr>
              <w:pStyle w:val="TAC"/>
              <w:rPr>
                <w:sz w:val="16"/>
                <w:szCs w:val="16"/>
              </w:rPr>
            </w:pPr>
            <w:r w:rsidRPr="00873B6C">
              <w:rPr>
                <w:sz w:val="16"/>
                <w:szCs w:val="16"/>
              </w:rPr>
              <w:t>17.1.0</w:t>
            </w:r>
          </w:p>
        </w:tc>
      </w:tr>
      <w:tr w:rsidR="00160667" w:rsidRPr="00873B6C" w14:paraId="5D5B3771" w14:textId="77777777" w:rsidTr="009D14FB">
        <w:tc>
          <w:tcPr>
            <w:tcW w:w="800" w:type="dxa"/>
            <w:shd w:val="solid" w:color="FFFFFF" w:fill="auto"/>
          </w:tcPr>
          <w:p w14:paraId="24D80E96" w14:textId="0F6AC8D7" w:rsidR="00160667" w:rsidRPr="00873B6C" w:rsidRDefault="00160667" w:rsidP="009D14FB">
            <w:pPr>
              <w:pStyle w:val="TAC"/>
              <w:rPr>
                <w:sz w:val="16"/>
                <w:szCs w:val="16"/>
              </w:rPr>
            </w:pPr>
            <w:r w:rsidRPr="00873B6C">
              <w:rPr>
                <w:sz w:val="16"/>
                <w:szCs w:val="16"/>
              </w:rPr>
              <w:t>2021-06</w:t>
            </w:r>
          </w:p>
        </w:tc>
        <w:tc>
          <w:tcPr>
            <w:tcW w:w="800" w:type="dxa"/>
            <w:shd w:val="solid" w:color="FFFFFF" w:fill="auto"/>
          </w:tcPr>
          <w:p w14:paraId="0FB45A73" w14:textId="0EA78AF8" w:rsidR="00160667" w:rsidRPr="00873B6C" w:rsidRDefault="00160667" w:rsidP="009D14FB">
            <w:pPr>
              <w:pStyle w:val="TAL"/>
              <w:rPr>
                <w:sz w:val="16"/>
                <w:szCs w:val="16"/>
              </w:rPr>
            </w:pPr>
            <w:r w:rsidRPr="00873B6C">
              <w:rPr>
                <w:sz w:val="16"/>
                <w:szCs w:val="16"/>
              </w:rPr>
              <w:t>SP#92E</w:t>
            </w:r>
          </w:p>
        </w:tc>
        <w:tc>
          <w:tcPr>
            <w:tcW w:w="1094" w:type="dxa"/>
            <w:shd w:val="solid" w:color="FFFFFF" w:fill="auto"/>
          </w:tcPr>
          <w:p w14:paraId="14FEABF9" w14:textId="23D07F88" w:rsidR="00160667" w:rsidRPr="00873B6C" w:rsidRDefault="00160667" w:rsidP="009D14FB">
            <w:pPr>
              <w:pStyle w:val="TAC"/>
              <w:rPr>
                <w:sz w:val="16"/>
                <w:szCs w:val="16"/>
              </w:rPr>
            </w:pPr>
            <w:r w:rsidRPr="00873B6C">
              <w:rPr>
                <w:sz w:val="16"/>
                <w:szCs w:val="16"/>
              </w:rPr>
              <w:t>SP-210347</w:t>
            </w:r>
          </w:p>
        </w:tc>
        <w:tc>
          <w:tcPr>
            <w:tcW w:w="567" w:type="dxa"/>
            <w:shd w:val="solid" w:color="FFFFFF" w:fill="auto"/>
          </w:tcPr>
          <w:p w14:paraId="091819CC" w14:textId="33AF9579" w:rsidR="00160667" w:rsidRPr="00873B6C" w:rsidRDefault="00160667" w:rsidP="009D14FB">
            <w:pPr>
              <w:pStyle w:val="TAL"/>
              <w:rPr>
                <w:sz w:val="16"/>
                <w:szCs w:val="16"/>
              </w:rPr>
            </w:pPr>
            <w:r w:rsidRPr="00873B6C">
              <w:rPr>
                <w:sz w:val="16"/>
                <w:szCs w:val="16"/>
              </w:rPr>
              <w:t>2856</w:t>
            </w:r>
          </w:p>
        </w:tc>
        <w:tc>
          <w:tcPr>
            <w:tcW w:w="425" w:type="dxa"/>
            <w:shd w:val="solid" w:color="FFFFFF" w:fill="auto"/>
          </w:tcPr>
          <w:p w14:paraId="7CA24C45" w14:textId="6DFC01C1" w:rsidR="00160667" w:rsidRPr="00873B6C" w:rsidRDefault="00160667" w:rsidP="009D14FB">
            <w:pPr>
              <w:pStyle w:val="TAL"/>
              <w:rPr>
                <w:sz w:val="16"/>
                <w:szCs w:val="16"/>
              </w:rPr>
            </w:pPr>
            <w:r w:rsidRPr="00873B6C">
              <w:rPr>
                <w:sz w:val="16"/>
                <w:szCs w:val="16"/>
              </w:rPr>
              <w:t>3</w:t>
            </w:r>
          </w:p>
        </w:tc>
        <w:tc>
          <w:tcPr>
            <w:tcW w:w="425" w:type="dxa"/>
            <w:shd w:val="solid" w:color="FFFFFF" w:fill="auto"/>
          </w:tcPr>
          <w:p w14:paraId="7954F6DD" w14:textId="58827F58" w:rsidR="00160667" w:rsidRPr="00873B6C" w:rsidRDefault="00160667" w:rsidP="009D14FB">
            <w:pPr>
              <w:pStyle w:val="TAL"/>
              <w:rPr>
                <w:sz w:val="16"/>
                <w:szCs w:val="16"/>
              </w:rPr>
            </w:pPr>
            <w:r w:rsidRPr="00873B6C">
              <w:rPr>
                <w:sz w:val="16"/>
                <w:szCs w:val="16"/>
              </w:rPr>
              <w:t>B</w:t>
            </w:r>
          </w:p>
        </w:tc>
        <w:tc>
          <w:tcPr>
            <w:tcW w:w="4820" w:type="dxa"/>
            <w:shd w:val="solid" w:color="FFFFFF" w:fill="auto"/>
          </w:tcPr>
          <w:p w14:paraId="4B8F699B" w14:textId="6AE1B3D5" w:rsidR="00160667" w:rsidRPr="00873B6C" w:rsidRDefault="00160667" w:rsidP="009D14FB">
            <w:pPr>
              <w:pStyle w:val="TAL"/>
              <w:rPr>
                <w:sz w:val="16"/>
                <w:szCs w:val="16"/>
              </w:rPr>
            </w:pPr>
            <w:r w:rsidRPr="00873B6C">
              <w:rPr>
                <w:sz w:val="16"/>
                <w:szCs w:val="16"/>
              </w:rPr>
              <w:t>Newly added parameters for Local NEF discovery</w:t>
            </w:r>
          </w:p>
        </w:tc>
        <w:tc>
          <w:tcPr>
            <w:tcW w:w="708" w:type="dxa"/>
            <w:shd w:val="solid" w:color="FFFFFF" w:fill="auto"/>
          </w:tcPr>
          <w:p w14:paraId="57D339BF" w14:textId="1D36F3B5" w:rsidR="00160667" w:rsidRPr="00873B6C" w:rsidRDefault="00160667" w:rsidP="009D14FB">
            <w:pPr>
              <w:pStyle w:val="TAC"/>
              <w:rPr>
                <w:sz w:val="16"/>
                <w:szCs w:val="16"/>
              </w:rPr>
            </w:pPr>
            <w:r w:rsidRPr="00873B6C">
              <w:rPr>
                <w:sz w:val="16"/>
                <w:szCs w:val="16"/>
              </w:rPr>
              <w:t>17.1.0</w:t>
            </w:r>
          </w:p>
        </w:tc>
      </w:tr>
      <w:tr w:rsidR="00160667" w:rsidRPr="00873B6C" w14:paraId="37C437E2" w14:textId="77777777" w:rsidTr="009D14FB">
        <w:tc>
          <w:tcPr>
            <w:tcW w:w="800" w:type="dxa"/>
            <w:shd w:val="solid" w:color="FFFFFF" w:fill="auto"/>
          </w:tcPr>
          <w:p w14:paraId="7531B8C2" w14:textId="7DA0AE98" w:rsidR="00160667" w:rsidRPr="00873B6C" w:rsidRDefault="00160667" w:rsidP="009D14FB">
            <w:pPr>
              <w:pStyle w:val="TAC"/>
              <w:rPr>
                <w:sz w:val="16"/>
                <w:szCs w:val="16"/>
              </w:rPr>
            </w:pPr>
            <w:r w:rsidRPr="00873B6C">
              <w:rPr>
                <w:sz w:val="16"/>
                <w:szCs w:val="16"/>
              </w:rPr>
              <w:t>2021-06</w:t>
            </w:r>
          </w:p>
        </w:tc>
        <w:tc>
          <w:tcPr>
            <w:tcW w:w="800" w:type="dxa"/>
            <w:shd w:val="solid" w:color="FFFFFF" w:fill="auto"/>
          </w:tcPr>
          <w:p w14:paraId="0F89EBA8" w14:textId="1856F7BB" w:rsidR="00160667" w:rsidRPr="00873B6C" w:rsidRDefault="00160667" w:rsidP="009D14FB">
            <w:pPr>
              <w:pStyle w:val="TAL"/>
              <w:rPr>
                <w:sz w:val="16"/>
                <w:szCs w:val="16"/>
              </w:rPr>
            </w:pPr>
            <w:r w:rsidRPr="00873B6C">
              <w:rPr>
                <w:sz w:val="16"/>
                <w:szCs w:val="16"/>
              </w:rPr>
              <w:t>SP#92E</w:t>
            </w:r>
          </w:p>
        </w:tc>
        <w:tc>
          <w:tcPr>
            <w:tcW w:w="1094" w:type="dxa"/>
            <w:shd w:val="solid" w:color="FFFFFF" w:fill="auto"/>
          </w:tcPr>
          <w:p w14:paraId="39224534" w14:textId="310A1FC9" w:rsidR="00160667" w:rsidRPr="00873B6C" w:rsidRDefault="00160667" w:rsidP="009D14FB">
            <w:pPr>
              <w:pStyle w:val="TAC"/>
              <w:rPr>
                <w:sz w:val="16"/>
                <w:szCs w:val="16"/>
              </w:rPr>
            </w:pPr>
            <w:r w:rsidRPr="00873B6C">
              <w:rPr>
                <w:sz w:val="16"/>
                <w:szCs w:val="16"/>
              </w:rPr>
              <w:t>SP-210341</w:t>
            </w:r>
          </w:p>
        </w:tc>
        <w:tc>
          <w:tcPr>
            <w:tcW w:w="567" w:type="dxa"/>
            <w:shd w:val="solid" w:color="FFFFFF" w:fill="auto"/>
          </w:tcPr>
          <w:p w14:paraId="72C5A611" w14:textId="65B4B569" w:rsidR="00160667" w:rsidRPr="00873B6C" w:rsidRDefault="00160667" w:rsidP="009D14FB">
            <w:pPr>
              <w:pStyle w:val="TAL"/>
              <w:rPr>
                <w:sz w:val="16"/>
                <w:szCs w:val="16"/>
              </w:rPr>
            </w:pPr>
            <w:r w:rsidRPr="00873B6C">
              <w:rPr>
                <w:sz w:val="16"/>
                <w:szCs w:val="16"/>
              </w:rPr>
              <w:t>2858</w:t>
            </w:r>
          </w:p>
        </w:tc>
        <w:tc>
          <w:tcPr>
            <w:tcW w:w="425" w:type="dxa"/>
            <w:shd w:val="solid" w:color="FFFFFF" w:fill="auto"/>
          </w:tcPr>
          <w:p w14:paraId="2380D3A3" w14:textId="075D37DD" w:rsidR="00160667" w:rsidRPr="00873B6C" w:rsidRDefault="00160667" w:rsidP="009D14FB">
            <w:pPr>
              <w:pStyle w:val="TAL"/>
              <w:rPr>
                <w:sz w:val="16"/>
                <w:szCs w:val="16"/>
              </w:rPr>
            </w:pPr>
            <w:r w:rsidRPr="00873B6C">
              <w:rPr>
                <w:sz w:val="16"/>
                <w:szCs w:val="16"/>
              </w:rPr>
              <w:t>1</w:t>
            </w:r>
          </w:p>
        </w:tc>
        <w:tc>
          <w:tcPr>
            <w:tcW w:w="425" w:type="dxa"/>
            <w:shd w:val="solid" w:color="FFFFFF" w:fill="auto"/>
          </w:tcPr>
          <w:p w14:paraId="2043D8A0" w14:textId="68CB9B97" w:rsidR="00160667" w:rsidRPr="00873B6C" w:rsidRDefault="00160667" w:rsidP="009D14FB">
            <w:pPr>
              <w:pStyle w:val="TAL"/>
              <w:rPr>
                <w:sz w:val="16"/>
                <w:szCs w:val="16"/>
              </w:rPr>
            </w:pPr>
            <w:r w:rsidRPr="00873B6C">
              <w:rPr>
                <w:sz w:val="16"/>
                <w:szCs w:val="16"/>
              </w:rPr>
              <w:t>F</w:t>
            </w:r>
          </w:p>
        </w:tc>
        <w:tc>
          <w:tcPr>
            <w:tcW w:w="4820" w:type="dxa"/>
            <w:shd w:val="solid" w:color="FFFFFF" w:fill="auto"/>
          </w:tcPr>
          <w:p w14:paraId="65DA45BE" w14:textId="7C4F825B" w:rsidR="00160667" w:rsidRPr="00873B6C" w:rsidRDefault="00160667" w:rsidP="009D14FB">
            <w:pPr>
              <w:pStyle w:val="TAL"/>
              <w:rPr>
                <w:sz w:val="16"/>
                <w:szCs w:val="16"/>
              </w:rPr>
            </w:pPr>
            <w:r w:rsidRPr="00873B6C">
              <w:rPr>
                <w:sz w:val="16"/>
                <w:szCs w:val="16"/>
              </w:rPr>
              <w:t>Consistent handling of NF documentation</w:t>
            </w:r>
          </w:p>
        </w:tc>
        <w:tc>
          <w:tcPr>
            <w:tcW w:w="708" w:type="dxa"/>
            <w:shd w:val="solid" w:color="FFFFFF" w:fill="auto"/>
          </w:tcPr>
          <w:p w14:paraId="01B27F24" w14:textId="7BACDC77" w:rsidR="00160667" w:rsidRPr="00873B6C" w:rsidRDefault="00160667" w:rsidP="009D14FB">
            <w:pPr>
              <w:pStyle w:val="TAC"/>
              <w:rPr>
                <w:sz w:val="16"/>
                <w:szCs w:val="16"/>
              </w:rPr>
            </w:pPr>
            <w:r w:rsidRPr="00873B6C">
              <w:rPr>
                <w:sz w:val="16"/>
                <w:szCs w:val="16"/>
              </w:rPr>
              <w:t>17.1.0</w:t>
            </w:r>
          </w:p>
        </w:tc>
      </w:tr>
      <w:tr w:rsidR="00160667" w:rsidRPr="00873B6C" w14:paraId="51202880" w14:textId="77777777" w:rsidTr="009D14FB">
        <w:tc>
          <w:tcPr>
            <w:tcW w:w="800" w:type="dxa"/>
            <w:shd w:val="solid" w:color="FFFFFF" w:fill="auto"/>
          </w:tcPr>
          <w:p w14:paraId="04BE4879" w14:textId="59BE99C7" w:rsidR="00160667" w:rsidRPr="00873B6C" w:rsidRDefault="00160667" w:rsidP="009D14FB">
            <w:pPr>
              <w:pStyle w:val="TAC"/>
              <w:rPr>
                <w:sz w:val="16"/>
                <w:szCs w:val="16"/>
              </w:rPr>
            </w:pPr>
            <w:r w:rsidRPr="00873B6C">
              <w:rPr>
                <w:sz w:val="16"/>
                <w:szCs w:val="16"/>
              </w:rPr>
              <w:t>2021-06</w:t>
            </w:r>
          </w:p>
        </w:tc>
        <w:tc>
          <w:tcPr>
            <w:tcW w:w="800" w:type="dxa"/>
            <w:shd w:val="solid" w:color="FFFFFF" w:fill="auto"/>
          </w:tcPr>
          <w:p w14:paraId="12EF0C6C" w14:textId="001E5AFD" w:rsidR="00160667" w:rsidRPr="00873B6C" w:rsidRDefault="00160667" w:rsidP="009D14FB">
            <w:pPr>
              <w:pStyle w:val="TAL"/>
              <w:rPr>
                <w:sz w:val="16"/>
                <w:szCs w:val="16"/>
              </w:rPr>
            </w:pPr>
            <w:r w:rsidRPr="00873B6C">
              <w:rPr>
                <w:sz w:val="16"/>
                <w:szCs w:val="16"/>
              </w:rPr>
              <w:t>SP#92E</w:t>
            </w:r>
          </w:p>
        </w:tc>
        <w:tc>
          <w:tcPr>
            <w:tcW w:w="1094" w:type="dxa"/>
            <w:shd w:val="solid" w:color="FFFFFF" w:fill="auto"/>
          </w:tcPr>
          <w:p w14:paraId="77BC4321" w14:textId="76FCA968" w:rsidR="00160667" w:rsidRPr="00873B6C" w:rsidRDefault="00160667" w:rsidP="009D14FB">
            <w:pPr>
              <w:pStyle w:val="TAC"/>
              <w:rPr>
                <w:sz w:val="16"/>
                <w:szCs w:val="16"/>
              </w:rPr>
            </w:pPr>
            <w:r w:rsidRPr="00873B6C">
              <w:rPr>
                <w:sz w:val="16"/>
                <w:szCs w:val="16"/>
              </w:rPr>
              <w:t>SP-210340</w:t>
            </w:r>
          </w:p>
        </w:tc>
        <w:tc>
          <w:tcPr>
            <w:tcW w:w="567" w:type="dxa"/>
            <w:shd w:val="solid" w:color="FFFFFF" w:fill="auto"/>
          </w:tcPr>
          <w:p w14:paraId="0C68362A" w14:textId="56469483" w:rsidR="00160667" w:rsidRPr="00873B6C" w:rsidRDefault="00160667" w:rsidP="009D14FB">
            <w:pPr>
              <w:pStyle w:val="TAL"/>
              <w:rPr>
                <w:sz w:val="16"/>
                <w:szCs w:val="16"/>
              </w:rPr>
            </w:pPr>
            <w:r w:rsidRPr="00873B6C">
              <w:rPr>
                <w:sz w:val="16"/>
                <w:szCs w:val="16"/>
              </w:rPr>
              <w:t>2861</w:t>
            </w:r>
          </w:p>
        </w:tc>
        <w:tc>
          <w:tcPr>
            <w:tcW w:w="425" w:type="dxa"/>
            <w:shd w:val="solid" w:color="FFFFFF" w:fill="auto"/>
          </w:tcPr>
          <w:p w14:paraId="14F28F66" w14:textId="0E4CFFF4" w:rsidR="00160667" w:rsidRPr="00873B6C" w:rsidRDefault="00160667" w:rsidP="009D14FB">
            <w:pPr>
              <w:pStyle w:val="TAL"/>
              <w:rPr>
                <w:sz w:val="16"/>
                <w:szCs w:val="16"/>
              </w:rPr>
            </w:pPr>
            <w:r w:rsidRPr="00873B6C">
              <w:rPr>
                <w:sz w:val="16"/>
                <w:szCs w:val="16"/>
              </w:rPr>
              <w:t>1</w:t>
            </w:r>
          </w:p>
        </w:tc>
        <w:tc>
          <w:tcPr>
            <w:tcW w:w="425" w:type="dxa"/>
            <w:shd w:val="solid" w:color="FFFFFF" w:fill="auto"/>
          </w:tcPr>
          <w:p w14:paraId="387400FD" w14:textId="2089B2C7" w:rsidR="00160667" w:rsidRPr="00873B6C" w:rsidRDefault="00160667" w:rsidP="009D14FB">
            <w:pPr>
              <w:pStyle w:val="TAL"/>
              <w:rPr>
                <w:sz w:val="16"/>
                <w:szCs w:val="16"/>
              </w:rPr>
            </w:pPr>
            <w:r w:rsidRPr="00873B6C">
              <w:rPr>
                <w:sz w:val="16"/>
                <w:szCs w:val="16"/>
              </w:rPr>
              <w:t>B</w:t>
            </w:r>
          </w:p>
        </w:tc>
        <w:tc>
          <w:tcPr>
            <w:tcW w:w="4820" w:type="dxa"/>
            <w:shd w:val="solid" w:color="FFFFFF" w:fill="auto"/>
          </w:tcPr>
          <w:p w14:paraId="5556C7F2" w14:textId="4FCF7CF9" w:rsidR="00160667" w:rsidRPr="00873B6C" w:rsidRDefault="00160667" w:rsidP="009D14FB">
            <w:pPr>
              <w:pStyle w:val="TAL"/>
              <w:rPr>
                <w:sz w:val="16"/>
                <w:szCs w:val="16"/>
              </w:rPr>
            </w:pPr>
            <w:r w:rsidRPr="00873B6C">
              <w:rPr>
                <w:sz w:val="16"/>
                <w:szCs w:val="16"/>
              </w:rPr>
              <w:t>ProSe related functional description</w:t>
            </w:r>
          </w:p>
        </w:tc>
        <w:tc>
          <w:tcPr>
            <w:tcW w:w="708" w:type="dxa"/>
            <w:shd w:val="solid" w:color="FFFFFF" w:fill="auto"/>
          </w:tcPr>
          <w:p w14:paraId="7D41672D" w14:textId="5EEECF36" w:rsidR="00160667" w:rsidRPr="00873B6C" w:rsidRDefault="00160667" w:rsidP="009D14FB">
            <w:pPr>
              <w:pStyle w:val="TAC"/>
              <w:rPr>
                <w:sz w:val="16"/>
                <w:szCs w:val="16"/>
              </w:rPr>
            </w:pPr>
            <w:r w:rsidRPr="00873B6C">
              <w:rPr>
                <w:sz w:val="16"/>
                <w:szCs w:val="16"/>
              </w:rPr>
              <w:t>17.1.0</w:t>
            </w:r>
          </w:p>
        </w:tc>
      </w:tr>
      <w:tr w:rsidR="00C84B6D" w:rsidRPr="00873B6C" w14:paraId="2B015435" w14:textId="77777777" w:rsidTr="009D14FB">
        <w:tc>
          <w:tcPr>
            <w:tcW w:w="800" w:type="dxa"/>
            <w:shd w:val="solid" w:color="FFFFFF" w:fill="auto"/>
          </w:tcPr>
          <w:p w14:paraId="71A36390" w14:textId="6D08341E"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242F8513" w14:textId="6EC44BF2"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4E10E3D2" w14:textId="63735A4F" w:rsidR="00C84B6D" w:rsidRPr="00873B6C" w:rsidRDefault="00C84B6D" w:rsidP="009D14FB">
            <w:pPr>
              <w:pStyle w:val="TAC"/>
              <w:rPr>
                <w:sz w:val="16"/>
                <w:szCs w:val="16"/>
              </w:rPr>
            </w:pPr>
            <w:r w:rsidRPr="00873B6C">
              <w:rPr>
                <w:sz w:val="16"/>
                <w:szCs w:val="16"/>
              </w:rPr>
              <w:t>SP-210347</w:t>
            </w:r>
          </w:p>
        </w:tc>
        <w:tc>
          <w:tcPr>
            <w:tcW w:w="567" w:type="dxa"/>
            <w:shd w:val="solid" w:color="FFFFFF" w:fill="auto"/>
          </w:tcPr>
          <w:p w14:paraId="7900D8C9" w14:textId="6CE635E2" w:rsidR="00C84B6D" w:rsidRPr="00873B6C" w:rsidRDefault="00C84B6D" w:rsidP="009D14FB">
            <w:pPr>
              <w:pStyle w:val="TAL"/>
              <w:rPr>
                <w:sz w:val="16"/>
                <w:szCs w:val="16"/>
              </w:rPr>
            </w:pPr>
            <w:r w:rsidRPr="00873B6C">
              <w:rPr>
                <w:sz w:val="16"/>
                <w:szCs w:val="16"/>
              </w:rPr>
              <w:t>2862</w:t>
            </w:r>
          </w:p>
        </w:tc>
        <w:tc>
          <w:tcPr>
            <w:tcW w:w="425" w:type="dxa"/>
            <w:shd w:val="solid" w:color="FFFFFF" w:fill="auto"/>
          </w:tcPr>
          <w:p w14:paraId="30898DA2" w14:textId="6D08924A" w:rsidR="00C84B6D" w:rsidRPr="00873B6C" w:rsidRDefault="00C84B6D" w:rsidP="009D14FB">
            <w:pPr>
              <w:pStyle w:val="TAL"/>
              <w:rPr>
                <w:sz w:val="16"/>
                <w:szCs w:val="16"/>
              </w:rPr>
            </w:pPr>
            <w:r w:rsidRPr="00873B6C">
              <w:rPr>
                <w:sz w:val="16"/>
                <w:szCs w:val="16"/>
              </w:rPr>
              <w:t>-</w:t>
            </w:r>
          </w:p>
        </w:tc>
        <w:tc>
          <w:tcPr>
            <w:tcW w:w="425" w:type="dxa"/>
            <w:shd w:val="solid" w:color="FFFFFF" w:fill="auto"/>
          </w:tcPr>
          <w:p w14:paraId="280B4802" w14:textId="62D6454A" w:rsidR="00C84B6D" w:rsidRPr="00873B6C" w:rsidRDefault="00C84B6D" w:rsidP="009D14FB">
            <w:pPr>
              <w:pStyle w:val="TAL"/>
              <w:rPr>
                <w:sz w:val="16"/>
                <w:szCs w:val="16"/>
              </w:rPr>
            </w:pPr>
            <w:r w:rsidRPr="00873B6C">
              <w:rPr>
                <w:sz w:val="16"/>
                <w:szCs w:val="16"/>
              </w:rPr>
              <w:t>B</w:t>
            </w:r>
          </w:p>
        </w:tc>
        <w:tc>
          <w:tcPr>
            <w:tcW w:w="4820" w:type="dxa"/>
            <w:shd w:val="solid" w:color="FFFFFF" w:fill="auto"/>
          </w:tcPr>
          <w:p w14:paraId="53D64B7E" w14:textId="46F86442" w:rsidR="00C84B6D" w:rsidRPr="00873B6C" w:rsidRDefault="00C84B6D" w:rsidP="009D14FB">
            <w:pPr>
              <w:pStyle w:val="TAL"/>
              <w:rPr>
                <w:sz w:val="16"/>
                <w:szCs w:val="16"/>
              </w:rPr>
            </w:pPr>
            <w:r w:rsidRPr="00873B6C">
              <w:rPr>
                <w:sz w:val="16"/>
                <w:szCs w:val="16"/>
              </w:rPr>
              <w:t>EASDF functional description</w:t>
            </w:r>
          </w:p>
        </w:tc>
        <w:tc>
          <w:tcPr>
            <w:tcW w:w="708" w:type="dxa"/>
            <w:shd w:val="solid" w:color="FFFFFF" w:fill="auto"/>
          </w:tcPr>
          <w:p w14:paraId="5F1B07A6" w14:textId="330472D1" w:rsidR="00C84B6D" w:rsidRPr="00873B6C" w:rsidRDefault="00C84B6D" w:rsidP="009D14FB">
            <w:pPr>
              <w:pStyle w:val="TAC"/>
              <w:rPr>
                <w:sz w:val="16"/>
                <w:szCs w:val="16"/>
              </w:rPr>
            </w:pPr>
            <w:r w:rsidRPr="00873B6C">
              <w:rPr>
                <w:sz w:val="16"/>
                <w:szCs w:val="16"/>
              </w:rPr>
              <w:t>17.1.0</w:t>
            </w:r>
          </w:p>
        </w:tc>
      </w:tr>
      <w:tr w:rsidR="00C84B6D" w:rsidRPr="00873B6C" w14:paraId="1452E73E" w14:textId="77777777" w:rsidTr="009D14FB">
        <w:tc>
          <w:tcPr>
            <w:tcW w:w="800" w:type="dxa"/>
            <w:shd w:val="solid" w:color="FFFFFF" w:fill="auto"/>
          </w:tcPr>
          <w:p w14:paraId="3DAF0E9A" w14:textId="4B7DE6C0"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7FCFEECD" w14:textId="380A3A8D"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67092BE7" w14:textId="6CD03783" w:rsidR="00C84B6D" w:rsidRPr="00873B6C" w:rsidRDefault="00C84B6D" w:rsidP="009D14FB">
            <w:pPr>
              <w:pStyle w:val="TAC"/>
              <w:rPr>
                <w:sz w:val="16"/>
                <w:szCs w:val="16"/>
              </w:rPr>
            </w:pPr>
            <w:r w:rsidRPr="00873B6C">
              <w:rPr>
                <w:sz w:val="16"/>
                <w:szCs w:val="16"/>
              </w:rPr>
              <w:t>SP-210330</w:t>
            </w:r>
          </w:p>
        </w:tc>
        <w:tc>
          <w:tcPr>
            <w:tcW w:w="567" w:type="dxa"/>
            <w:shd w:val="solid" w:color="FFFFFF" w:fill="auto"/>
          </w:tcPr>
          <w:p w14:paraId="65E61974" w14:textId="58310E3A" w:rsidR="00C84B6D" w:rsidRPr="00873B6C" w:rsidRDefault="00C84B6D" w:rsidP="009D14FB">
            <w:pPr>
              <w:pStyle w:val="TAL"/>
              <w:rPr>
                <w:sz w:val="16"/>
                <w:szCs w:val="16"/>
              </w:rPr>
            </w:pPr>
            <w:r w:rsidRPr="00873B6C">
              <w:rPr>
                <w:sz w:val="16"/>
                <w:szCs w:val="16"/>
              </w:rPr>
              <w:t>2865</w:t>
            </w:r>
          </w:p>
        </w:tc>
        <w:tc>
          <w:tcPr>
            <w:tcW w:w="425" w:type="dxa"/>
            <w:shd w:val="solid" w:color="FFFFFF" w:fill="auto"/>
          </w:tcPr>
          <w:p w14:paraId="476B5D7E" w14:textId="0D97EDF7"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7CEE8941" w14:textId="06F20E88" w:rsidR="00C84B6D" w:rsidRPr="00873B6C" w:rsidRDefault="00C84B6D" w:rsidP="009D14FB">
            <w:pPr>
              <w:pStyle w:val="TAL"/>
              <w:rPr>
                <w:sz w:val="16"/>
                <w:szCs w:val="16"/>
              </w:rPr>
            </w:pPr>
            <w:r w:rsidRPr="00873B6C">
              <w:rPr>
                <w:sz w:val="16"/>
                <w:szCs w:val="16"/>
              </w:rPr>
              <w:t>A</w:t>
            </w:r>
          </w:p>
        </w:tc>
        <w:tc>
          <w:tcPr>
            <w:tcW w:w="4820" w:type="dxa"/>
            <w:shd w:val="solid" w:color="FFFFFF" w:fill="auto"/>
          </w:tcPr>
          <w:p w14:paraId="661484B0" w14:textId="7B7C5B87" w:rsidR="00C84B6D" w:rsidRPr="00873B6C" w:rsidRDefault="00C84B6D" w:rsidP="009D14FB">
            <w:pPr>
              <w:pStyle w:val="TAL"/>
              <w:rPr>
                <w:sz w:val="16"/>
                <w:szCs w:val="16"/>
              </w:rPr>
            </w:pPr>
            <w:r w:rsidRPr="00873B6C">
              <w:rPr>
                <w:sz w:val="16"/>
                <w:szCs w:val="16"/>
              </w:rPr>
              <w:t>UE radio capability clarification</w:t>
            </w:r>
          </w:p>
        </w:tc>
        <w:tc>
          <w:tcPr>
            <w:tcW w:w="708" w:type="dxa"/>
            <w:shd w:val="solid" w:color="FFFFFF" w:fill="auto"/>
          </w:tcPr>
          <w:p w14:paraId="3C333A5D" w14:textId="558D1864" w:rsidR="00C84B6D" w:rsidRPr="00873B6C" w:rsidRDefault="00C84B6D" w:rsidP="009D14FB">
            <w:pPr>
              <w:pStyle w:val="TAC"/>
              <w:rPr>
                <w:sz w:val="16"/>
                <w:szCs w:val="16"/>
              </w:rPr>
            </w:pPr>
            <w:r w:rsidRPr="00873B6C">
              <w:rPr>
                <w:sz w:val="16"/>
                <w:szCs w:val="16"/>
              </w:rPr>
              <w:t>17.1.0</w:t>
            </w:r>
          </w:p>
        </w:tc>
      </w:tr>
      <w:tr w:rsidR="00C84B6D" w:rsidRPr="00873B6C" w14:paraId="615B0084" w14:textId="77777777" w:rsidTr="009D14FB">
        <w:tc>
          <w:tcPr>
            <w:tcW w:w="800" w:type="dxa"/>
            <w:shd w:val="solid" w:color="FFFFFF" w:fill="auto"/>
          </w:tcPr>
          <w:p w14:paraId="1D2B6F51" w14:textId="7B2FB3C6"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265A4254" w14:textId="70109B61"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6FAF6A6D" w14:textId="715B37A3" w:rsidR="00C84B6D" w:rsidRPr="00873B6C" w:rsidRDefault="00C84B6D" w:rsidP="009D14FB">
            <w:pPr>
              <w:pStyle w:val="TAC"/>
              <w:rPr>
                <w:sz w:val="16"/>
                <w:szCs w:val="16"/>
              </w:rPr>
            </w:pPr>
            <w:r w:rsidRPr="00873B6C">
              <w:rPr>
                <w:sz w:val="16"/>
                <w:szCs w:val="16"/>
              </w:rPr>
              <w:t>SP-210358</w:t>
            </w:r>
          </w:p>
        </w:tc>
        <w:tc>
          <w:tcPr>
            <w:tcW w:w="567" w:type="dxa"/>
            <w:shd w:val="solid" w:color="FFFFFF" w:fill="auto"/>
          </w:tcPr>
          <w:p w14:paraId="3792D69A" w14:textId="01BCFFCA" w:rsidR="00C84B6D" w:rsidRPr="00873B6C" w:rsidRDefault="00C84B6D" w:rsidP="009D14FB">
            <w:pPr>
              <w:pStyle w:val="TAL"/>
              <w:rPr>
                <w:sz w:val="16"/>
                <w:szCs w:val="16"/>
              </w:rPr>
            </w:pPr>
            <w:r w:rsidRPr="00873B6C">
              <w:rPr>
                <w:sz w:val="16"/>
                <w:szCs w:val="16"/>
              </w:rPr>
              <w:t>2870</w:t>
            </w:r>
          </w:p>
        </w:tc>
        <w:tc>
          <w:tcPr>
            <w:tcW w:w="425" w:type="dxa"/>
            <w:shd w:val="solid" w:color="FFFFFF" w:fill="auto"/>
          </w:tcPr>
          <w:p w14:paraId="173FA74B" w14:textId="03354219"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00019775" w14:textId="74FA227A" w:rsidR="00C84B6D" w:rsidRPr="00873B6C" w:rsidRDefault="00C84B6D" w:rsidP="009D14FB">
            <w:pPr>
              <w:pStyle w:val="TAL"/>
              <w:rPr>
                <w:sz w:val="16"/>
                <w:szCs w:val="16"/>
              </w:rPr>
            </w:pPr>
            <w:r w:rsidRPr="00873B6C">
              <w:rPr>
                <w:sz w:val="16"/>
                <w:szCs w:val="16"/>
              </w:rPr>
              <w:t>B</w:t>
            </w:r>
          </w:p>
        </w:tc>
        <w:tc>
          <w:tcPr>
            <w:tcW w:w="4820" w:type="dxa"/>
            <w:shd w:val="solid" w:color="FFFFFF" w:fill="auto"/>
          </w:tcPr>
          <w:p w14:paraId="581C0140" w14:textId="778AF004" w:rsidR="00C84B6D" w:rsidRPr="00873B6C" w:rsidRDefault="00C84B6D" w:rsidP="009D14FB">
            <w:pPr>
              <w:pStyle w:val="TAL"/>
              <w:rPr>
                <w:sz w:val="16"/>
                <w:szCs w:val="16"/>
              </w:rPr>
            </w:pPr>
            <w:r w:rsidRPr="00873B6C">
              <w:rPr>
                <w:sz w:val="16"/>
                <w:szCs w:val="16"/>
              </w:rPr>
              <w:t xml:space="preserve">UAV support feature inclusion </w:t>
            </w:r>
          </w:p>
        </w:tc>
        <w:tc>
          <w:tcPr>
            <w:tcW w:w="708" w:type="dxa"/>
            <w:shd w:val="solid" w:color="FFFFFF" w:fill="auto"/>
          </w:tcPr>
          <w:p w14:paraId="4568D25D" w14:textId="2D67E915" w:rsidR="00C84B6D" w:rsidRPr="00873B6C" w:rsidRDefault="00C84B6D" w:rsidP="009D14FB">
            <w:pPr>
              <w:pStyle w:val="TAC"/>
              <w:rPr>
                <w:sz w:val="16"/>
                <w:szCs w:val="16"/>
              </w:rPr>
            </w:pPr>
            <w:r w:rsidRPr="00873B6C">
              <w:rPr>
                <w:sz w:val="16"/>
                <w:szCs w:val="16"/>
              </w:rPr>
              <w:t>17.1.0</w:t>
            </w:r>
          </w:p>
        </w:tc>
      </w:tr>
      <w:tr w:rsidR="00C84B6D" w:rsidRPr="00873B6C" w14:paraId="3EE1114B" w14:textId="77777777" w:rsidTr="009D14FB">
        <w:tc>
          <w:tcPr>
            <w:tcW w:w="800" w:type="dxa"/>
            <w:shd w:val="solid" w:color="FFFFFF" w:fill="auto"/>
          </w:tcPr>
          <w:p w14:paraId="4CA97604" w14:textId="5B61443C"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1C214B9A" w14:textId="3D839168"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445E05BF" w14:textId="10AB5508" w:rsidR="00C84B6D" w:rsidRPr="00873B6C" w:rsidRDefault="00C84B6D" w:rsidP="009D14FB">
            <w:pPr>
              <w:pStyle w:val="TAC"/>
              <w:rPr>
                <w:sz w:val="16"/>
                <w:szCs w:val="16"/>
              </w:rPr>
            </w:pPr>
            <w:r w:rsidRPr="00873B6C">
              <w:rPr>
                <w:sz w:val="16"/>
                <w:szCs w:val="16"/>
              </w:rPr>
              <w:t>SP-210341</w:t>
            </w:r>
          </w:p>
        </w:tc>
        <w:tc>
          <w:tcPr>
            <w:tcW w:w="567" w:type="dxa"/>
            <w:shd w:val="solid" w:color="FFFFFF" w:fill="auto"/>
          </w:tcPr>
          <w:p w14:paraId="660F5011" w14:textId="0B4AA099" w:rsidR="00C84B6D" w:rsidRPr="00873B6C" w:rsidRDefault="00C84B6D" w:rsidP="009D14FB">
            <w:pPr>
              <w:pStyle w:val="TAL"/>
              <w:rPr>
                <w:sz w:val="16"/>
                <w:szCs w:val="16"/>
              </w:rPr>
            </w:pPr>
            <w:r w:rsidRPr="00873B6C">
              <w:rPr>
                <w:sz w:val="16"/>
                <w:szCs w:val="16"/>
              </w:rPr>
              <w:t>2874</w:t>
            </w:r>
          </w:p>
        </w:tc>
        <w:tc>
          <w:tcPr>
            <w:tcW w:w="425" w:type="dxa"/>
            <w:shd w:val="solid" w:color="FFFFFF" w:fill="auto"/>
          </w:tcPr>
          <w:p w14:paraId="747F9AA7" w14:textId="16C94C2F"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5E5CE9E2" w14:textId="16D56BF0" w:rsidR="00C84B6D" w:rsidRPr="00873B6C" w:rsidRDefault="00C84B6D" w:rsidP="009D14FB">
            <w:pPr>
              <w:pStyle w:val="TAL"/>
              <w:rPr>
                <w:sz w:val="16"/>
                <w:szCs w:val="16"/>
              </w:rPr>
            </w:pPr>
            <w:r w:rsidRPr="00873B6C">
              <w:rPr>
                <w:sz w:val="16"/>
                <w:szCs w:val="16"/>
              </w:rPr>
              <w:t>F</w:t>
            </w:r>
          </w:p>
        </w:tc>
        <w:tc>
          <w:tcPr>
            <w:tcW w:w="4820" w:type="dxa"/>
            <w:shd w:val="solid" w:color="FFFFFF" w:fill="auto"/>
          </w:tcPr>
          <w:p w14:paraId="2D856EA0" w14:textId="09189F7E" w:rsidR="00C84B6D" w:rsidRPr="00873B6C" w:rsidRDefault="00C84B6D" w:rsidP="009D14FB">
            <w:pPr>
              <w:pStyle w:val="TAL"/>
              <w:rPr>
                <w:sz w:val="16"/>
                <w:szCs w:val="16"/>
              </w:rPr>
            </w:pPr>
            <w:r w:rsidRPr="00873B6C">
              <w:rPr>
                <w:sz w:val="16"/>
                <w:szCs w:val="16"/>
              </w:rPr>
              <w:t>Correction to the reference document for charging related reference points</w:t>
            </w:r>
          </w:p>
        </w:tc>
        <w:tc>
          <w:tcPr>
            <w:tcW w:w="708" w:type="dxa"/>
            <w:shd w:val="solid" w:color="FFFFFF" w:fill="auto"/>
          </w:tcPr>
          <w:p w14:paraId="72F1BCB3" w14:textId="59C8E27C" w:rsidR="00C84B6D" w:rsidRPr="00873B6C" w:rsidRDefault="00C84B6D" w:rsidP="009D14FB">
            <w:pPr>
              <w:pStyle w:val="TAC"/>
              <w:rPr>
                <w:sz w:val="16"/>
                <w:szCs w:val="16"/>
              </w:rPr>
            </w:pPr>
            <w:r w:rsidRPr="00873B6C">
              <w:rPr>
                <w:sz w:val="16"/>
                <w:szCs w:val="16"/>
              </w:rPr>
              <w:t>17.1.0</w:t>
            </w:r>
          </w:p>
        </w:tc>
      </w:tr>
      <w:tr w:rsidR="00C84B6D" w:rsidRPr="00873B6C" w14:paraId="6AC71BE0" w14:textId="77777777" w:rsidTr="009D14FB">
        <w:tc>
          <w:tcPr>
            <w:tcW w:w="800" w:type="dxa"/>
            <w:shd w:val="solid" w:color="FFFFFF" w:fill="auto"/>
          </w:tcPr>
          <w:p w14:paraId="03F07589" w14:textId="73855DE1"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3AD9B427" w14:textId="5E6F642B"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4CE11C86" w14:textId="4E69C3B9" w:rsidR="00C84B6D" w:rsidRPr="00873B6C" w:rsidRDefault="00C84B6D" w:rsidP="009D14FB">
            <w:pPr>
              <w:pStyle w:val="TAC"/>
              <w:rPr>
                <w:sz w:val="16"/>
                <w:szCs w:val="16"/>
              </w:rPr>
            </w:pPr>
            <w:r w:rsidRPr="00873B6C">
              <w:rPr>
                <w:sz w:val="16"/>
                <w:szCs w:val="16"/>
              </w:rPr>
              <w:t>SP-210344</w:t>
            </w:r>
          </w:p>
        </w:tc>
        <w:tc>
          <w:tcPr>
            <w:tcW w:w="567" w:type="dxa"/>
            <w:shd w:val="solid" w:color="FFFFFF" w:fill="auto"/>
          </w:tcPr>
          <w:p w14:paraId="73103125" w14:textId="04332C9A" w:rsidR="00C84B6D" w:rsidRPr="00873B6C" w:rsidRDefault="00C84B6D" w:rsidP="009D14FB">
            <w:pPr>
              <w:pStyle w:val="TAL"/>
              <w:rPr>
                <w:sz w:val="16"/>
                <w:szCs w:val="16"/>
              </w:rPr>
            </w:pPr>
            <w:r w:rsidRPr="00873B6C">
              <w:rPr>
                <w:sz w:val="16"/>
                <w:szCs w:val="16"/>
              </w:rPr>
              <w:t>2880</w:t>
            </w:r>
          </w:p>
        </w:tc>
        <w:tc>
          <w:tcPr>
            <w:tcW w:w="425" w:type="dxa"/>
            <w:shd w:val="solid" w:color="FFFFFF" w:fill="auto"/>
          </w:tcPr>
          <w:p w14:paraId="4F3A4AEE" w14:textId="2C0E11E7"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0A597B49" w14:textId="2D4073F4" w:rsidR="00C84B6D" w:rsidRPr="00873B6C" w:rsidRDefault="00C84B6D" w:rsidP="009D14FB">
            <w:pPr>
              <w:pStyle w:val="TAL"/>
              <w:rPr>
                <w:sz w:val="16"/>
                <w:szCs w:val="16"/>
              </w:rPr>
            </w:pPr>
            <w:r w:rsidRPr="00873B6C">
              <w:rPr>
                <w:sz w:val="16"/>
                <w:szCs w:val="16"/>
              </w:rPr>
              <w:t>B</w:t>
            </w:r>
          </w:p>
        </w:tc>
        <w:tc>
          <w:tcPr>
            <w:tcW w:w="4820" w:type="dxa"/>
            <w:shd w:val="solid" w:color="FFFFFF" w:fill="auto"/>
          </w:tcPr>
          <w:p w14:paraId="25DB456F" w14:textId="3BCBA7CC" w:rsidR="00C84B6D" w:rsidRPr="00873B6C" w:rsidRDefault="00C84B6D" w:rsidP="009D14FB">
            <w:pPr>
              <w:pStyle w:val="TAL"/>
              <w:rPr>
                <w:sz w:val="16"/>
                <w:szCs w:val="16"/>
              </w:rPr>
            </w:pPr>
            <w:r w:rsidRPr="00873B6C">
              <w:rPr>
                <w:sz w:val="16"/>
                <w:szCs w:val="16"/>
              </w:rPr>
              <w:t>PCF impacts of 5MBS</w:t>
            </w:r>
          </w:p>
        </w:tc>
        <w:tc>
          <w:tcPr>
            <w:tcW w:w="708" w:type="dxa"/>
            <w:shd w:val="solid" w:color="FFFFFF" w:fill="auto"/>
          </w:tcPr>
          <w:p w14:paraId="680389B7" w14:textId="4BDE9F32" w:rsidR="00C84B6D" w:rsidRPr="00873B6C" w:rsidRDefault="00C84B6D" w:rsidP="009D14FB">
            <w:pPr>
              <w:pStyle w:val="TAC"/>
              <w:rPr>
                <w:sz w:val="16"/>
                <w:szCs w:val="16"/>
              </w:rPr>
            </w:pPr>
            <w:r w:rsidRPr="00873B6C">
              <w:rPr>
                <w:sz w:val="16"/>
                <w:szCs w:val="16"/>
              </w:rPr>
              <w:t>17.1.0</w:t>
            </w:r>
          </w:p>
        </w:tc>
      </w:tr>
      <w:tr w:rsidR="00C84B6D" w:rsidRPr="00873B6C" w14:paraId="3B7A5774" w14:textId="77777777" w:rsidTr="009D14FB">
        <w:tc>
          <w:tcPr>
            <w:tcW w:w="800" w:type="dxa"/>
            <w:shd w:val="solid" w:color="FFFFFF" w:fill="auto"/>
          </w:tcPr>
          <w:p w14:paraId="6CF892CC" w14:textId="5F79C273"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17249AF7" w14:textId="5D25904A"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7259BD22" w14:textId="30CDE822" w:rsidR="00C84B6D" w:rsidRPr="00873B6C" w:rsidRDefault="00C84B6D" w:rsidP="009D14FB">
            <w:pPr>
              <w:pStyle w:val="TAC"/>
              <w:rPr>
                <w:sz w:val="16"/>
                <w:szCs w:val="16"/>
              </w:rPr>
            </w:pPr>
            <w:r w:rsidRPr="00873B6C">
              <w:rPr>
                <w:sz w:val="16"/>
                <w:szCs w:val="16"/>
              </w:rPr>
              <w:t>SP-210351</w:t>
            </w:r>
          </w:p>
        </w:tc>
        <w:tc>
          <w:tcPr>
            <w:tcW w:w="567" w:type="dxa"/>
            <w:shd w:val="solid" w:color="FFFFFF" w:fill="auto"/>
          </w:tcPr>
          <w:p w14:paraId="77B9C586" w14:textId="55E3CBD3" w:rsidR="00C84B6D" w:rsidRPr="00873B6C" w:rsidRDefault="00C84B6D" w:rsidP="009D14FB">
            <w:pPr>
              <w:pStyle w:val="TAL"/>
              <w:rPr>
                <w:sz w:val="16"/>
                <w:szCs w:val="16"/>
              </w:rPr>
            </w:pPr>
            <w:r w:rsidRPr="00873B6C">
              <w:rPr>
                <w:sz w:val="16"/>
                <w:szCs w:val="16"/>
              </w:rPr>
              <w:t>2881</w:t>
            </w:r>
          </w:p>
        </w:tc>
        <w:tc>
          <w:tcPr>
            <w:tcW w:w="425" w:type="dxa"/>
            <w:shd w:val="solid" w:color="FFFFFF" w:fill="auto"/>
          </w:tcPr>
          <w:p w14:paraId="2CDB8F68" w14:textId="264C48E3"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7E1947A5" w14:textId="077F39C9" w:rsidR="00C84B6D" w:rsidRPr="00873B6C" w:rsidRDefault="00C84B6D" w:rsidP="009D14FB">
            <w:pPr>
              <w:pStyle w:val="TAL"/>
              <w:rPr>
                <w:sz w:val="16"/>
                <w:szCs w:val="16"/>
              </w:rPr>
            </w:pPr>
            <w:r w:rsidRPr="00873B6C">
              <w:rPr>
                <w:sz w:val="16"/>
                <w:szCs w:val="16"/>
              </w:rPr>
              <w:t>B</w:t>
            </w:r>
          </w:p>
        </w:tc>
        <w:tc>
          <w:tcPr>
            <w:tcW w:w="4820" w:type="dxa"/>
            <w:shd w:val="solid" w:color="FFFFFF" w:fill="auto"/>
          </w:tcPr>
          <w:p w14:paraId="2ADE6DFE" w14:textId="2A0419A2" w:rsidR="00C84B6D" w:rsidRPr="00873B6C" w:rsidRDefault="00C84B6D" w:rsidP="009D14FB">
            <w:pPr>
              <w:pStyle w:val="TAL"/>
              <w:rPr>
                <w:sz w:val="16"/>
                <w:szCs w:val="16"/>
              </w:rPr>
            </w:pPr>
            <w:r w:rsidRPr="00873B6C">
              <w:rPr>
                <w:sz w:val="16"/>
                <w:szCs w:val="16"/>
              </w:rPr>
              <w:t>KI#8 - AF discovery and selection</w:t>
            </w:r>
          </w:p>
        </w:tc>
        <w:tc>
          <w:tcPr>
            <w:tcW w:w="708" w:type="dxa"/>
            <w:shd w:val="solid" w:color="FFFFFF" w:fill="auto"/>
          </w:tcPr>
          <w:p w14:paraId="322E763A" w14:textId="75964C6F" w:rsidR="00C84B6D" w:rsidRPr="00873B6C" w:rsidRDefault="00C84B6D" w:rsidP="009D14FB">
            <w:pPr>
              <w:pStyle w:val="TAC"/>
              <w:rPr>
                <w:sz w:val="16"/>
                <w:szCs w:val="16"/>
              </w:rPr>
            </w:pPr>
            <w:r w:rsidRPr="00873B6C">
              <w:rPr>
                <w:sz w:val="16"/>
                <w:szCs w:val="16"/>
              </w:rPr>
              <w:t>17.1.0</w:t>
            </w:r>
          </w:p>
        </w:tc>
      </w:tr>
      <w:tr w:rsidR="00EC761C" w:rsidRPr="00873B6C" w14:paraId="1C23DD49" w14:textId="77777777" w:rsidTr="009D14FB">
        <w:tc>
          <w:tcPr>
            <w:tcW w:w="800" w:type="dxa"/>
            <w:shd w:val="solid" w:color="FFFFFF" w:fill="auto"/>
          </w:tcPr>
          <w:p w14:paraId="50855E40" w14:textId="26ED0965"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277D8A94" w14:textId="6E8E334B"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163A14A1" w14:textId="4025C727" w:rsidR="00EC761C" w:rsidRPr="00873B6C" w:rsidRDefault="00EC761C" w:rsidP="009D14FB">
            <w:pPr>
              <w:pStyle w:val="TAC"/>
              <w:rPr>
                <w:sz w:val="16"/>
                <w:szCs w:val="16"/>
              </w:rPr>
            </w:pPr>
            <w:r w:rsidRPr="00873B6C">
              <w:rPr>
                <w:sz w:val="16"/>
                <w:szCs w:val="16"/>
              </w:rPr>
              <w:t>SP-210345</w:t>
            </w:r>
          </w:p>
        </w:tc>
        <w:tc>
          <w:tcPr>
            <w:tcW w:w="567" w:type="dxa"/>
            <w:shd w:val="solid" w:color="FFFFFF" w:fill="auto"/>
          </w:tcPr>
          <w:p w14:paraId="4D361531" w14:textId="28322E2D" w:rsidR="00EC761C" w:rsidRPr="00873B6C" w:rsidRDefault="00EC761C" w:rsidP="009D14FB">
            <w:pPr>
              <w:pStyle w:val="TAL"/>
              <w:rPr>
                <w:sz w:val="16"/>
                <w:szCs w:val="16"/>
              </w:rPr>
            </w:pPr>
            <w:r w:rsidRPr="00873B6C">
              <w:rPr>
                <w:sz w:val="16"/>
                <w:szCs w:val="16"/>
              </w:rPr>
              <w:t>2886</w:t>
            </w:r>
          </w:p>
        </w:tc>
        <w:tc>
          <w:tcPr>
            <w:tcW w:w="425" w:type="dxa"/>
            <w:shd w:val="solid" w:color="FFFFFF" w:fill="auto"/>
          </w:tcPr>
          <w:p w14:paraId="2ED7D530" w14:textId="423351C1"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291A6ADB" w14:textId="78ED09B9" w:rsidR="00EC761C" w:rsidRPr="00873B6C" w:rsidRDefault="00EC761C" w:rsidP="009D14FB">
            <w:pPr>
              <w:pStyle w:val="TAL"/>
              <w:rPr>
                <w:sz w:val="16"/>
                <w:szCs w:val="16"/>
              </w:rPr>
            </w:pPr>
            <w:r w:rsidRPr="00873B6C">
              <w:rPr>
                <w:sz w:val="16"/>
                <w:szCs w:val="16"/>
              </w:rPr>
              <w:t>B</w:t>
            </w:r>
          </w:p>
        </w:tc>
        <w:tc>
          <w:tcPr>
            <w:tcW w:w="4820" w:type="dxa"/>
            <w:shd w:val="solid" w:color="FFFFFF" w:fill="auto"/>
          </w:tcPr>
          <w:p w14:paraId="758213EB" w14:textId="2C331E7F" w:rsidR="00EC761C" w:rsidRPr="00873B6C" w:rsidRDefault="00EC761C" w:rsidP="009D14FB">
            <w:pPr>
              <w:pStyle w:val="TAL"/>
              <w:rPr>
                <w:sz w:val="16"/>
                <w:szCs w:val="16"/>
              </w:rPr>
            </w:pPr>
            <w:r w:rsidRPr="00873B6C">
              <w:rPr>
                <w:sz w:val="16"/>
                <w:szCs w:val="16"/>
              </w:rPr>
              <w:t>Partial ATSSS rule update by using ATSSS rule ID</w:t>
            </w:r>
          </w:p>
        </w:tc>
        <w:tc>
          <w:tcPr>
            <w:tcW w:w="708" w:type="dxa"/>
            <w:shd w:val="solid" w:color="FFFFFF" w:fill="auto"/>
          </w:tcPr>
          <w:p w14:paraId="1A431FB3" w14:textId="05B8D7B1" w:rsidR="00EC761C" w:rsidRPr="00873B6C" w:rsidRDefault="00EC761C" w:rsidP="009D14FB">
            <w:pPr>
              <w:pStyle w:val="TAC"/>
              <w:rPr>
                <w:sz w:val="16"/>
                <w:szCs w:val="16"/>
              </w:rPr>
            </w:pPr>
            <w:r w:rsidRPr="00873B6C">
              <w:rPr>
                <w:sz w:val="16"/>
                <w:szCs w:val="16"/>
              </w:rPr>
              <w:t>17.1.0</w:t>
            </w:r>
          </w:p>
        </w:tc>
      </w:tr>
      <w:tr w:rsidR="00EC761C" w:rsidRPr="00873B6C" w14:paraId="41B4C840" w14:textId="77777777" w:rsidTr="009D14FB">
        <w:tc>
          <w:tcPr>
            <w:tcW w:w="800" w:type="dxa"/>
            <w:shd w:val="solid" w:color="FFFFFF" w:fill="auto"/>
          </w:tcPr>
          <w:p w14:paraId="61A29975" w14:textId="4F732706"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35E617DD" w14:textId="0FAD00FA"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572E4483" w14:textId="0207859E" w:rsidR="00EC761C" w:rsidRPr="00873B6C" w:rsidRDefault="00EC761C" w:rsidP="009D14FB">
            <w:pPr>
              <w:pStyle w:val="TAC"/>
              <w:rPr>
                <w:sz w:val="16"/>
                <w:szCs w:val="16"/>
              </w:rPr>
            </w:pPr>
            <w:r w:rsidRPr="00873B6C">
              <w:rPr>
                <w:sz w:val="16"/>
                <w:szCs w:val="16"/>
              </w:rPr>
              <w:t>SP-210330</w:t>
            </w:r>
          </w:p>
        </w:tc>
        <w:tc>
          <w:tcPr>
            <w:tcW w:w="567" w:type="dxa"/>
            <w:shd w:val="solid" w:color="FFFFFF" w:fill="auto"/>
          </w:tcPr>
          <w:p w14:paraId="25073D84" w14:textId="36EE32FD" w:rsidR="00EC761C" w:rsidRPr="00873B6C" w:rsidRDefault="00EC761C" w:rsidP="009D14FB">
            <w:pPr>
              <w:pStyle w:val="TAL"/>
              <w:rPr>
                <w:sz w:val="16"/>
                <w:szCs w:val="16"/>
              </w:rPr>
            </w:pPr>
            <w:r w:rsidRPr="00873B6C">
              <w:rPr>
                <w:sz w:val="16"/>
                <w:szCs w:val="16"/>
              </w:rPr>
              <w:t>2888</w:t>
            </w:r>
          </w:p>
        </w:tc>
        <w:tc>
          <w:tcPr>
            <w:tcW w:w="425" w:type="dxa"/>
            <w:shd w:val="solid" w:color="FFFFFF" w:fill="auto"/>
          </w:tcPr>
          <w:p w14:paraId="21CFC852" w14:textId="4E1D0033"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3B44C3B0" w14:textId="3A8FA79D" w:rsidR="00EC761C" w:rsidRPr="00873B6C" w:rsidRDefault="00EC761C" w:rsidP="009D14FB">
            <w:pPr>
              <w:pStyle w:val="TAL"/>
              <w:rPr>
                <w:sz w:val="16"/>
                <w:szCs w:val="16"/>
              </w:rPr>
            </w:pPr>
            <w:r w:rsidRPr="00873B6C">
              <w:rPr>
                <w:sz w:val="16"/>
                <w:szCs w:val="16"/>
              </w:rPr>
              <w:t>A</w:t>
            </w:r>
          </w:p>
        </w:tc>
        <w:tc>
          <w:tcPr>
            <w:tcW w:w="4820" w:type="dxa"/>
            <w:shd w:val="solid" w:color="FFFFFF" w:fill="auto"/>
          </w:tcPr>
          <w:p w14:paraId="5813FEDE" w14:textId="7EC32D2A" w:rsidR="00EC761C" w:rsidRPr="00873B6C" w:rsidRDefault="00EC761C" w:rsidP="009D14FB">
            <w:pPr>
              <w:pStyle w:val="TAL"/>
              <w:rPr>
                <w:sz w:val="16"/>
                <w:szCs w:val="16"/>
              </w:rPr>
            </w:pPr>
            <w:r w:rsidRPr="00873B6C">
              <w:rPr>
                <w:sz w:val="16"/>
                <w:szCs w:val="16"/>
              </w:rPr>
              <w:t>Subscription data updates for EPS/5GS interworking</w:t>
            </w:r>
          </w:p>
        </w:tc>
        <w:tc>
          <w:tcPr>
            <w:tcW w:w="708" w:type="dxa"/>
            <w:shd w:val="solid" w:color="FFFFFF" w:fill="auto"/>
          </w:tcPr>
          <w:p w14:paraId="122572E0" w14:textId="19097BF3" w:rsidR="00EC761C" w:rsidRPr="00873B6C" w:rsidRDefault="00EC761C" w:rsidP="009D14FB">
            <w:pPr>
              <w:pStyle w:val="TAC"/>
              <w:rPr>
                <w:sz w:val="16"/>
                <w:szCs w:val="16"/>
              </w:rPr>
            </w:pPr>
            <w:r w:rsidRPr="00873B6C">
              <w:rPr>
                <w:sz w:val="16"/>
                <w:szCs w:val="16"/>
              </w:rPr>
              <w:t>17.1.0</w:t>
            </w:r>
          </w:p>
        </w:tc>
      </w:tr>
      <w:tr w:rsidR="00EC761C" w:rsidRPr="00873B6C" w14:paraId="26B1D638" w14:textId="77777777" w:rsidTr="009D14FB">
        <w:tc>
          <w:tcPr>
            <w:tcW w:w="800" w:type="dxa"/>
            <w:shd w:val="solid" w:color="FFFFFF" w:fill="auto"/>
          </w:tcPr>
          <w:p w14:paraId="001E0FD8" w14:textId="0F73E8B4"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1C52840C" w14:textId="6CB30A5E"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24A08B24" w14:textId="3CA2AB96" w:rsidR="00EC761C" w:rsidRPr="00873B6C" w:rsidRDefault="00EC761C" w:rsidP="009D14FB">
            <w:pPr>
              <w:pStyle w:val="TAC"/>
              <w:rPr>
                <w:sz w:val="16"/>
                <w:szCs w:val="16"/>
              </w:rPr>
            </w:pPr>
            <w:r w:rsidRPr="00873B6C">
              <w:rPr>
                <w:sz w:val="16"/>
                <w:szCs w:val="16"/>
              </w:rPr>
              <w:t>SP-210329</w:t>
            </w:r>
          </w:p>
        </w:tc>
        <w:tc>
          <w:tcPr>
            <w:tcW w:w="567" w:type="dxa"/>
            <w:shd w:val="solid" w:color="FFFFFF" w:fill="auto"/>
          </w:tcPr>
          <w:p w14:paraId="3E06B095" w14:textId="6A27E574" w:rsidR="00EC761C" w:rsidRPr="00873B6C" w:rsidRDefault="00EC761C" w:rsidP="009D14FB">
            <w:pPr>
              <w:pStyle w:val="TAL"/>
              <w:rPr>
                <w:sz w:val="16"/>
                <w:szCs w:val="16"/>
              </w:rPr>
            </w:pPr>
            <w:r w:rsidRPr="00873B6C">
              <w:rPr>
                <w:sz w:val="16"/>
                <w:szCs w:val="16"/>
              </w:rPr>
              <w:t>2889</w:t>
            </w:r>
          </w:p>
        </w:tc>
        <w:tc>
          <w:tcPr>
            <w:tcW w:w="425" w:type="dxa"/>
            <w:shd w:val="solid" w:color="FFFFFF" w:fill="auto"/>
          </w:tcPr>
          <w:p w14:paraId="21B10911" w14:textId="1B679E71" w:rsidR="00EC761C" w:rsidRPr="00873B6C" w:rsidRDefault="00EC761C" w:rsidP="009D14FB">
            <w:pPr>
              <w:pStyle w:val="TAL"/>
              <w:rPr>
                <w:sz w:val="16"/>
                <w:szCs w:val="16"/>
              </w:rPr>
            </w:pPr>
            <w:r w:rsidRPr="00873B6C">
              <w:rPr>
                <w:sz w:val="16"/>
                <w:szCs w:val="16"/>
              </w:rPr>
              <w:t>-</w:t>
            </w:r>
          </w:p>
        </w:tc>
        <w:tc>
          <w:tcPr>
            <w:tcW w:w="425" w:type="dxa"/>
            <w:shd w:val="solid" w:color="FFFFFF" w:fill="auto"/>
          </w:tcPr>
          <w:p w14:paraId="1FB588DA" w14:textId="44D487F8" w:rsidR="00EC761C" w:rsidRPr="00873B6C" w:rsidRDefault="00EC761C" w:rsidP="009D14FB">
            <w:pPr>
              <w:pStyle w:val="TAL"/>
              <w:rPr>
                <w:sz w:val="16"/>
                <w:szCs w:val="16"/>
              </w:rPr>
            </w:pPr>
            <w:r w:rsidRPr="00873B6C">
              <w:rPr>
                <w:sz w:val="16"/>
                <w:szCs w:val="16"/>
              </w:rPr>
              <w:t>A</w:t>
            </w:r>
          </w:p>
        </w:tc>
        <w:tc>
          <w:tcPr>
            <w:tcW w:w="4820" w:type="dxa"/>
            <w:shd w:val="solid" w:color="FFFFFF" w:fill="auto"/>
          </w:tcPr>
          <w:p w14:paraId="124FC51A" w14:textId="134E4466" w:rsidR="00EC761C" w:rsidRPr="00873B6C" w:rsidRDefault="00EC761C" w:rsidP="009D14FB">
            <w:pPr>
              <w:pStyle w:val="TAL"/>
              <w:rPr>
                <w:sz w:val="16"/>
                <w:szCs w:val="16"/>
              </w:rPr>
            </w:pPr>
            <w:r w:rsidRPr="00873B6C">
              <w:rPr>
                <w:sz w:val="16"/>
                <w:szCs w:val="16"/>
              </w:rPr>
              <w:t>Updates on PCC rule triggered GTP-U path monitoring</w:t>
            </w:r>
          </w:p>
        </w:tc>
        <w:tc>
          <w:tcPr>
            <w:tcW w:w="708" w:type="dxa"/>
            <w:shd w:val="solid" w:color="FFFFFF" w:fill="auto"/>
          </w:tcPr>
          <w:p w14:paraId="194928E0" w14:textId="65B100E1" w:rsidR="00EC761C" w:rsidRPr="00873B6C" w:rsidRDefault="00EC761C" w:rsidP="009D14FB">
            <w:pPr>
              <w:pStyle w:val="TAC"/>
              <w:rPr>
                <w:sz w:val="16"/>
                <w:szCs w:val="16"/>
              </w:rPr>
            </w:pPr>
            <w:r w:rsidRPr="00873B6C">
              <w:rPr>
                <w:sz w:val="16"/>
                <w:szCs w:val="16"/>
              </w:rPr>
              <w:t>17.1.0</w:t>
            </w:r>
          </w:p>
        </w:tc>
      </w:tr>
      <w:tr w:rsidR="00EC761C" w:rsidRPr="00873B6C" w14:paraId="0B5D5EB5" w14:textId="77777777" w:rsidTr="009D14FB">
        <w:tc>
          <w:tcPr>
            <w:tcW w:w="800" w:type="dxa"/>
            <w:shd w:val="solid" w:color="FFFFFF" w:fill="auto"/>
          </w:tcPr>
          <w:p w14:paraId="1360F821" w14:textId="18070991"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0A1BBA05" w14:textId="6106C1E9"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64BC15D9" w14:textId="273CC194" w:rsidR="00EC761C" w:rsidRPr="00873B6C" w:rsidRDefault="00EC761C" w:rsidP="009D14FB">
            <w:pPr>
              <w:pStyle w:val="TAC"/>
              <w:rPr>
                <w:sz w:val="16"/>
                <w:szCs w:val="16"/>
              </w:rPr>
            </w:pPr>
            <w:r w:rsidRPr="00873B6C">
              <w:rPr>
                <w:sz w:val="16"/>
                <w:szCs w:val="16"/>
              </w:rPr>
              <w:t>SP-210354</w:t>
            </w:r>
          </w:p>
        </w:tc>
        <w:tc>
          <w:tcPr>
            <w:tcW w:w="567" w:type="dxa"/>
            <w:shd w:val="solid" w:color="FFFFFF" w:fill="auto"/>
          </w:tcPr>
          <w:p w14:paraId="1E9F2357" w14:textId="7655FA9A" w:rsidR="00EC761C" w:rsidRPr="00873B6C" w:rsidRDefault="00EC761C" w:rsidP="009D14FB">
            <w:pPr>
              <w:pStyle w:val="TAL"/>
              <w:rPr>
                <w:sz w:val="16"/>
                <w:szCs w:val="16"/>
              </w:rPr>
            </w:pPr>
            <w:r w:rsidRPr="00873B6C">
              <w:rPr>
                <w:sz w:val="16"/>
                <w:szCs w:val="16"/>
              </w:rPr>
              <w:t>2892</w:t>
            </w:r>
          </w:p>
        </w:tc>
        <w:tc>
          <w:tcPr>
            <w:tcW w:w="425" w:type="dxa"/>
            <w:shd w:val="solid" w:color="FFFFFF" w:fill="auto"/>
          </w:tcPr>
          <w:p w14:paraId="5A1B7D99" w14:textId="3C64041A"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6BAE2AE0" w14:textId="29FF6953" w:rsidR="00EC761C" w:rsidRPr="00873B6C" w:rsidRDefault="00EC761C" w:rsidP="009D14FB">
            <w:pPr>
              <w:pStyle w:val="TAL"/>
              <w:rPr>
                <w:sz w:val="16"/>
                <w:szCs w:val="16"/>
              </w:rPr>
            </w:pPr>
            <w:r w:rsidRPr="00873B6C">
              <w:rPr>
                <w:sz w:val="16"/>
                <w:szCs w:val="16"/>
              </w:rPr>
              <w:t>F</w:t>
            </w:r>
          </w:p>
        </w:tc>
        <w:tc>
          <w:tcPr>
            <w:tcW w:w="4820" w:type="dxa"/>
            <w:shd w:val="solid" w:color="FFFFFF" w:fill="auto"/>
          </w:tcPr>
          <w:p w14:paraId="13AFBA7B" w14:textId="1013F3D4" w:rsidR="00EC761C" w:rsidRPr="00873B6C" w:rsidRDefault="00EC761C" w:rsidP="009D14FB">
            <w:pPr>
              <w:pStyle w:val="TAL"/>
              <w:rPr>
                <w:sz w:val="16"/>
                <w:szCs w:val="16"/>
              </w:rPr>
            </w:pPr>
            <w:r w:rsidRPr="00873B6C">
              <w:rPr>
                <w:sz w:val="16"/>
                <w:szCs w:val="16"/>
              </w:rPr>
              <w:t>SNPN UE configuration and subscription aspects</w:t>
            </w:r>
          </w:p>
        </w:tc>
        <w:tc>
          <w:tcPr>
            <w:tcW w:w="708" w:type="dxa"/>
            <w:shd w:val="solid" w:color="FFFFFF" w:fill="auto"/>
          </w:tcPr>
          <w:p w14:paraId="5791B1C3" w14:textId="7E53F0AD" w:rsidR="00EC761C" w:rsidRPr="00873B6C" w:rsidRDefault="00EC761C" w:rsidP="009D14FB">
            <w:pPr>
              <w:pStyle w:val="TAC"/>
              <w:rPr>
                <w:sz w:val="16"/>
                <w:szCs w:val="16"/>
              </w:rPr>
            </w:pPr>
            <w:r w:rsidRPr="00873B6C">
              <w:rPr>
                <w:sz w:val="16"/>
                <w:szCs w:val="16"/>
              </w:rPr>
              <w:t>17.1.0</w:t>
            </w:r>
          </w:p>
        </w:tc>
      </w:tr>
      <w:tr w:rsidR="00EC761C" w:rsidRPr="00873B6C" w14:paraId="3994A194" w14:textId="77777777" w:rsidTr="009D14FB">
        <w:tc>
          <w:tcPr>
            <w:tcW w:w="800" w:type="dxa"/>
            <w:shd w:val="solid" w:color="FFFFFF" w:fill="auto"/>
          </w:tcPr>
          <w:p w14:paraId="01D763A2" w14:textId="16078FB2"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3F1600EA" w14:textId="3B206CD7"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4A2DDA4A" w14:textId="7FCD3314" w:rsidR="00EC761C" w:rsidRPr="00873B6C" w:rsidRDefault="00EC761C" w:rsidP="009D14FB">
            <w:pPr>
              <w:pStyle w:val="TAC"/>
              <w:rPr>
                <w:sz w:val="16"/>
                <w:szCs w:val="16"/>
              </w:rPr>
            </w:pPr>
            <w:r w:rsidRPr="00873B6C">
              <w:rPr>
                <w:sz w:val="16"/>
                <w:szCs w:val="16"/>
              </w:rPr>
              <w:t>SP-210353</w:t>
            </w:r>
          </w:p>
        </w:tc>
        <w:tc>
          <w:tcPr>
            <w:tcW w:w="567" w:type="dxa"/>
            <w:shd w:val="solid" w:color="FFFFFF" w:fill="auto"/>
          </w:tcPr>
          <w:p w14:paraId="5C1C2C16" w14:textId="153FCBFD" w:rsidR="00EC761C" w:rsidRPr="00873B6C" w:rsidRDefault="00EC761C" w:rsidP="009D14FB">
            <w:pPr>
              <w:pStyle w:val="TAL"/>
              <w:rPr>
                <w:sz w:val="16"/>
                <w:szCs w:val="16"/>
              </w:rPr>
            </w:pPr>
            <w:r w:rsidRPr="00873B6C">
              <w:rPr>
                <w:sz w:val="16"/>
                <w:szCs w:val="16"/>
              </w:rPr>
              <w:t>2893</w:t>
            </w:r>
          </w:p>
        </w:tc>
        <w:tc>
          <w:tcPr>
            <w:tcW w:w="425" w:type="dxa"/>
            <w:shd w:val="solid" w:color="FFFFFF" w:fill="auto"/>
          </w:tcPr>
          <w:p w14:paraId="3FD434B7" w14:textId="3B4F51FA"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4AF71976" w14:textId="01A621FD" w:rsidR="00EC761C" w:rsidRPr="00873B6C" w:rsidRDefault="00EC761C" w:rsidP="009D14FB">
            <w:pPr>
              <w:pStyle w:val="TAL"/>
              <w:rPr>
                <w:sz w:val="16"/>
                <w:szCs w:val="16"/>
              </w:rPr>
            </w:pPr>
            <w:r w:rsidRPr="00873B6C">
              <w:rPr>
                <w:sz w:val="16"/>
                <w:szCs w:val="16"/>
              </w:rPr>
              <w:t>B</w:t>
            </w:r>
          </w:p>
        </w:tc>
        <w:tc>
          <w:tcPr>
            <w:tcW w:w="4820" w:type="dxa"/>
            <w:shd w:val="solid" w:color="FFFFFF" w:fill="auto"/>
          </w:tcPr>
          <w:p w14:paraId="04989A90" w14:textId="0DE7B8AE" w:rsidR="00EC761C" w:rsidRPr="00873B6C" w:rsidRDefault="00EC761C" w:rsidP="009D14FB">
            <w:pPr>
              <w:pStyle w:val="TAL"/>
              <w:rPr>
                <w:sz w:val="16"/>
                <w:szCs w:val="16"/>
              </w:rPr>
            </w:pPr>
            <w:r w:rsidRPr="00873B6C">
              <w:rPr>
                <w:sz w:val="16"/>
                <w:szCs w:val="16"/>
              </w:rPr>
              <w:t>SNPN - SNPN Mobility - AMF selection impacts</w:t>
            </w:r>
          </w:p>
        </w:tc>
        <w:tc>
          <w:tcPr>
            <w:tcW w:w="708" w:type="dxa"/>
            <w:shd w:val="solid" w:color="FFFFFF" w:fill="auto"/>
          </w:tcPr>
          <w:p w14:paraId="6D6E3FDB" w14:textId="7ED3023D" w:rsidR="00EC761C" w:rsidRPr="00873B6C" w:rsidRDefault="00EC761C" w:rsidP="009D14FB">
            <w:pPr>
              <w:pStyle w:val="TAC"/>
              <w:rPr>
                <w:sz w:val="16"/>
                <w:szCs w:val="16"/>
              </w:rPr>
            </w:pPr>
            <w:r w:rsidRPr="00873B6C">
              <w:rPr>
                <w:sz w:val="16"/>
                <w:szCs w:val="16"/>
              </w:rPr>
              <w:t>17.1.0</w:t>
            </w:r>
          </w:p>
        </w:tc>
      </w:tr>
      <w:tr w:rsidR="00EC761C" w:rsidRPr="00873B6C" w14:paraId="37FF051A" w14:textId="77777777" w:rsidTr="009D14FB">
        <w:tc>
          <w:tcPr>
            <w:tcW w:w="800" w:type="dxa"/>
            <w:shd w:val="solid" w:color="FFFFFF" w:fill="auto"/>
          </w:tcPr>
          <w:p w14:paraId="1EF5F8FC" w14:textId="4D738EF0"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5D5D9085" w14:textId="653F6B85"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697E2843" w14:textId="6E4FF205" w:rsidR="00EC761C" w:rsidRPr="00873B6C" w:rsidRDefault="00EC761C" w:rsidP="009D14FB">
            <w:pPr>
              <w:pStyle w:val="TAC"/>
              <w:rPr>
                <w:sz w:val="16"/>
                <w:szCs w:val="16"/>
              </w:rPr>
            </w:pPr>
            <w:r w:rsidRPr="00873B6C">
              <w:rPr>
                <w:sz w:val="16"/>
                <w:szCs w:val="16"/>
              </w:rPr>
              <w:t>SP-210354</w:t>
            </w:r>
          </w:p>
        </w:tc>
        <w:tc>
          <w:tcPr>
            <w:tcW w:w="567" w:type="dxa"/>
            <w:shd w:val="solid" w:color="FFFFFF" w:fill="auto"/>
          </w:tcPr>
          <w:p w14:paraId="27DB8C66" w14:textId="731B5170" w:rsidR="00EC761C" w:rsidRPr="00873B6C" w:rsidRDefault="00EC761C" w:rsidP="009D14FB">
            <w:pPr>
              <w:pStyle w:val="TAL"/>
              <w:rPr>
                <w:sz w:val="16"/>
                <w:szCs w:val="16"/>
              </w:rPr>
            </w:pPr>
            <w:r w:rsidRPr="00873B6C">
              <w:rPr>
                <w:sz w:val="16"/>
                <w:szCs w:val="16"/>
              </w:rPr>
              <w:t>2894</w:t>
            </w:r>
          </w:p>
        </w:tc>
        <w:tc>
          <w:tcPr>
            <w:tcW w:w="425" w:type="dxa"/>
            <w:shd w:val="solid" w:color="FFFFFF" w:fill="auto"/>
          </w:tcPr>
          <w:p w14:paraId="2CA5FAC6" w14:textId="5A972182"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76924FF9" w14:textId="174992A4" w:rsidR="00EC761C" w:rsidRPr="00873B6C" w:rsidRDefault="00EC761C" w:rsidP="009D14FB">
            <w:pPr>
              <w:pStyle w:val="TAL"/>
              <w:rPr>
                <w:sz w:val="16"/>
                <w:szCs w:val="16"/>
              </w:rPr>
            </w:pPr>
            <w:r w:rsidRPr="00873B6C">
              <w:rPr>
                <w:sz w:val="16"/>
                <w:szCs w:val="16"/>
              </w:rPr>
              <w:t>F</w:t>
            </w:r>
          </w:p>
        </w:tc>
        <w:tc>
          <w:tcPr>
            <w:tcW w:w="4820" w:type="dxa"/>
            <w:shd w:val="solid" w:color="FFFFFF" w:fill="auto"/>
          </w:tcPr>
          <w:p w14:paraId="6612FFB0" w14:textId="09D93EEE" w:rsidR="00EC761C" w:rsidRPr="00873B6C" w:rsidRDefault="00EC761C" w:rsidP="009D14FB">
            <w:pPr>
              <w:pStyle w:val="TAL"/>
              <w:rPr>
                <w:sz w:val="16"/>
                <w:szCs w:val="16"/>
              </w:rPr>
            </w:pPr>
            <w:r w:rsidRPr="00873B6C">
              <w:rPr>
                <w:sz w:val="16"/>
                <w:szCs w:val="16"/>
              </w:rPr>
              <w:t>SNPN GIN Encoding</w:t>
            </w:r>
          </w:p>
        </w:tc>
        <w:tc>
          <w:tcPr>
            <w:tcW w:w="708" w:type="dxa"/>
            <w:shd w:val="solid" w:color="FFFFFF" w:fill="auto"/>
          </w:tcPr>
          <w:p w14:paraId="01E7E313" w14:textId="6E7128DE" w:rsidR="00EC761C" w:rsidRPr="00873B6C" w:rsidRDefault="00EC761C" w:rsidP="009D14FB">
            <w:pPr>
              <w:pStyle w:val="TAC"/>
              <w:rPr>
                <w:sz w:val="16"/>
                <w:szCs w:val="16"/>
              </w:rPr>
            </w:pPr>
            <w:r w:rsidRPr="00873B6C">
              <w:rPr>
                <w:sz w:val="16"/>
                <w:szCs w:val="16"/>
              </w:rPr>
              <w:t>17.1.0</w:t>
            </w:r>
          </w:p>
        </w:tc>
      </w:tr>
      <w:tr w:rsidR="00EC761C" w:rsidRPr="00873B6C" w14:paraId="24A2D74A" w14:textId="77777777" w:rsidTr="009D14FB">
        <w:tc>
          <w:tcPr>
            <w:tcW w:w="800" w:type="dxa"/>
            <w:shd w:val="solid" w:color="FFFFFF" w:fill="auto"/>
          </w:tcPr>
          <w:p w14:paraId="5F328C34" w14:textId="1629E6EF"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3139841A" w14:textId="608D2960"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068DB1CA" w14:textId="08DD587E" w:rsidR="00EC761C" w:rsidRPr="00873B6C" w:rsidRDefault="00EC761C" w:rsidP="009D14FB">
            <w:pPr>
              <w:pStyle w:val="TAC"/>
              <w:rPr>
                <w:sz w:val="16"/>
                <w:szCs w:val="16"/>
              </w:rPr>
            </w:pPr>
            <w:r w:rsidRPr="00873B6C">
              <w:rPr>
                <w:sz w:val="16"/>
                <w:szCs w:val="16"/>
              </w:rPr>
              <w:t>SP-210359</w:t>
            </w:r>
          </w:p>
        </w:tc>
        <w:tc>
          <w:tcPr>
            <w:tcW w:w="567" w:type="dxa"/>
            <w:shd w:val="solid" w:color="FFFFFF" w:fill="auto"/>
          </w:tcPr>
          <w:p w14:paraId="04EA4BC8" w14:textId="18847D1E" w:rsidR="00EC761C" w:rsidRPr="00873B6C" w:rsidRDefault="00EC761C" w:rsidP="009D14FB">
            <w:pPr>
              <w:pStyle w:val="TAL"/>
              <w:rPr>
                <w:sz w:val="16"/>
                <w:szCs w:val="16"/>
              </w:rPr>
            </w:pPr>
            <w:r w:rsidRPr="00873B6C">
              <w:rPr>
                <w:sz w:val="16"/>
                <w:szCs w:val="16"/>
              </w:rPr>
              <w:t>2896</w:t>
            </w:r>
          </w:p>
        </w:tc>
        <w:tc>
          <w:tcPr>
            <w:tcW w:w="425" w:type="dxa"/>
            <w:shd w:val="solid" w:color="FFFFFF" w:fill="auto"/>
          </w:tcPr>
          <w:p w14:paraId="2B69F061" w14:textId="50A56897"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1A377FF9" w14:textId="43D30C91" w:rsidR="00EC761C" w:rsidRPr="00873B6C" w:rsidRDefault="00EC761C" w:rsidP="009D14FB">
            <w:pPr>
              <w:pStyle w:val="TAL"/>
              <w:rPr>
                <w:sz w:val="16"/>
                <w:szCs w:val="16"/>
              </w:rPr>
            </w:pPr>
            <w:r w:rsidRPr="00873B6C">
              <w:rPr>
                <w:sz w:val="16"/>
                <w:szCs w:val="16"/>
              </w:rPr>
              <w:t>C</w:t>
            </w:r>
          </w:p>
        </w:tc>
        <w:tc>
          <w:tcPr>
            <w:tcW w:w="4820" w:type="dxa"/>
            <w:shd w:val="solid" w:color="FFFFFF" w:fill="auto"/>
          </w:tcPr>
          <w:p w14:paraId="5E3538EA" w14:textId="1E74FB67" w:rsidR="00EC761C" w:rsidRPr="00873B6C" w:rsidRDefault="00EC761C" w:rsidP="009D14FB">
            <w:pPr>
              <w:pStyle w:val="TAL"/>
              <w:rPr>
                <w:sz w:val="16"/>
                <w:szCs w:val="16"/>
              </w:rPr>
            </w:pPr>
            <w:r w:rsidRPr="00873B6C">
              <w:rPr>
                <w:sz w:val="16"/>
                <w:szCs w:val="16"/>
              </w:rPr>
              <w:t>Exposure of Time synchronization as a service - description</w:t>
            </w:r>
          </w:p>
        </w:tc>
        <w:tc>
          <w:tcPr>
            <w:tcW w:w="708" w:type="dxa"/>
            <w:shd w:val="solid" w:color="FFFFFF" w:fill="auto"/>
          </w:tcPr>
          <w:p w14:paraId="3AD55175" w14:textId="71C4F179" w:rsidR="00EC761C" w:rsidRPr="00873B6C" w:rsidRDefault="00EC761C" w:rsidP="009D14FB">
            <w:pPr>
              <w:pStyle w:val="TAC"/>
              <w:rPr>
                <w:sz w:val="16"/>
                <w:szCs w:val="16"/>
              </w:rPr>
            </w:pPr>
            <w:r w:rsidRPr="00873B6C">
              <w:rPr>
                <w:sz w:val="16"/>
                <w:szCs w:val="16"/>
              </w:rPr>
              <w:t>17.1.0</w:t>
            </w:r>
          </w:p>
        </w:tc>
      </w:tr>
      <w:tr w:rsidR="00412DC3" w:rsidRPr="00873B6C" w14:paraId="1A708265" w14:textId="77777777" w:rsidTr="009D14FB">
        <w:tc>
          <w:tcPr>
            <w:tcW w:w="800" w:type="dxa"/>
            <w:shd w:val="solid" w:color="FFFFFF" w:fill="auto"/>
          </w:tcPr>
          <w:p w14:paraId="3E54DB0B" w14:textId="69470B85"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58640372" w14:textId="6591DB4F"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0FE50D13" w14:textId="0CA00D18" w:rsidR="00412DC3" w:rsidRPr="00873B6C" w:rsidRDefault="00412DC3" w:rsidP="009D14FB">
            <w:pPr>
              <w:pStyle w:val="TAC"/>
              <w:rPr>
                <w:sz w:val="16"/>
                <w:szCs w:val="16"/>
              </w:rPr>
            </w:pPr>
            <w:r w:rsidRPr="00873B6C">
              <w:rPr>
                <w:sz w:val="16"/>
                <w:szCs w:val="16"/>
              </w:rPr>
              <w:t>SP-210347</w:t>
            </w:r>
          </w:p>
        </w:tc>
        <w:tc>
          <w:tcPr>
            <w:tcW w:w="567" w:type="dxa"/>
            <w:shd w:val="solid" w:color="FFFFFF" w:fill="auto"/>
          </w:tcPr>
          <w:p w14:paraId="61335184" w14:textId="0A1FE035" w:rsidR="00412DC3" w:rsidRPr="00873B6C" w:rsidRDefault="00412DC3" w:rsidP="009D14FB">
            <w:pPr>
              <w:pStyle w:val="TAL"/>
              <w:rPr>
                <w:sz w:val="16"/>
                <w:szCs w:val="16"/>
              </w:rPr>
            </w:pPr>
            <w:r w:rsidRPr="00873B6C">
              <w:rPr>
                <w:sz w:val="16"/>
                <w:szCs w:val="16"/>
              </w:rPr>
              <w:t>2899</w:t>
            </w:r>
          </w:p>
        </w:tc>
        <w:tc>
          <w:tcPr>
            <w:tcW w:w="425" w:type="dxa"/>
            <w:shd w:val="solid" w:color="FFFFFF" w:fill="auto"/>
          </w:tcPr>
          <w:p w14:paraId="08CB16F7" w14:textId="1FA07200"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723CA552" w14:textId="2C937367" w:rsidR="00412DC3" w:rsidRPr="00873B6C" w:rsidRDefault="00412DC3" w:rsidP="009D14FB">
            <w:pPr>
              <w:pStyle w:val="TAL"/>
              <w:rPr>
                <w:sz w:val="16"/>
                <w:szCs w:val="16"/>
              </w:rPr>
            </w:pPr>
            <w:r w:rsidRPr="00873B6C">
              <w:rPr>
                <w:sz w:val="16"/>
                <w:szCs w:val="16"/>
              </w:rPr>
              <w:t>B</w:t>
            </w:r>
          </w:p>
        </w:tc>
        <w:tc>
          <w:tcPr>
            <w:tcW w:w="4820" w:type="dxa"/>
            <w:shd w:val="solid" w:color="FFFFFF" w:fill="auto"/>
          </w:tcPr>
          <w:p w14:paraId="1B9F1F58" w14:textId="4CC0699A" w:rsidR="00412DC3" w:rsidRPr="00873B6C" w:rsidRDefault="00412DC3" w:rsidP="009D14FB">
            <w:pPr>
              <w:pStyle w:val="TAL"/>
              <w:rPr>
                <w:sz w:val="16"/>
                <w:szCs w:val="16"/>
              </w:rPr>
            </w:pPr>
            <w:r w:rsidRPr="00873B6C">
              <w:rPr>
                <w:sz w:val="16"/>
                <w:szCs w:val="16"/>
              </w:rPr>
              <w:t>N4 interface enhancement for local notification</w:t>
            </w:r>
          </w:p>
        </w:tc>
        <w:tc>
          <w:tcPr>
            <w:tcW w:w="708" w:type="dxa"/>
            <w:shd w:val="solid" w:color="FFFFFF" w:fill="auto"/>
          </w:tcPr>
          <w:p w14:paraId="428243D1" w14:textId="0C39E2BE" w:rsidR="00412DC3" w:rsidRPr="00873B6C" w:rsidRDefault="00412DC3" w:rsidP="009D14FB">
            <w:pPr>
              <w:pStyle w:val="TAC"/>
              <w:rPr>
                <w:sz w:val="16"/>
                <w:szCs w:val="16"/>
              </w:rPr>
            </w:pPr>
            <w:r w:rsidRPr="00873B6C">
              <w:rPr>
                <w:sz w:val="16"/>
                <w:szCs w:val="16"/>
              </w:rPr>
              <w:t>17.1.0</w:t>
            </w:r>
          </w:p>
        </w:tc>
      </w:tr>
      <w:tr w:rsidR="00412DC3" w:rsidRPr="00873B6C" w14:paraId="1C1137FB" w14:textId="77777777" w:rsidTr="009D14FB">
        <w:tc>
          <w:tcPr>
            <w:tcW w:w="800" w:type="dxa"/>
            <w:shd w:val="solid" w:color="FFFFFF" w:fill="auto"/>
          </w:tcPr>
          <w:p w14:paraId="762A04B6" w14:textId="5B9D661C"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4503BA9F" w14:textId="4063166A"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3B1B2D05" w14:textId="2EAC4EA7" w:rsidR="00412DC3" w:rsidRPr="00873B6C" w:rsidRDefault="00412DC3" w:rsidP="009D14FB">
            <w:pPr>
              <w:pStyle w:val="TAC"/>
              <w:rPr>
                <w:sz w:val="16"/>
                <w:szCs w:val="16"/>
              </w:rPr>
            </w:pPr>
            <w:r w:rsidRPr="00873B6C">
              <w:rPr>
                <w:sz w:val="16"/>
                <w:szCs w:val="16"/>
              </w:rPr>
              <w:t>SP-210347</w:t>
            </w:r>
          </w:p>
        </w:tc>
        <w:tc>
          <w:tcPr>
            <w:tcW w:w="567" w:type="dxa"/>
            <w:shd w:val="solid" w:color="FFFFFF" w:fill="auto"/>
          </w:tcPr>
          <w:p w14:paraId="1C9AE8B1" w14:textId="0EEE3A3D" w:rsidR="00412DC3" w:rsidRPr="00873B6C" w:rsidRDefault="00412DC3" w:rsidP="009D14FB">
            <w:pPr>
              <w:pStyle w:val="TAL"/>
              <w:rPr>
                <w:sz w:val="16"/>
                <w:szCs w:val="16"/>
              </w:rPr>
            </w:pPr>
            <w:r w:rsidRPr="00873B6C">
              <w:rPr>
                <w:sz w:val="16"/>
                <w:szCs w:val="16"/>
              </w:rPr>
              <w:t>2900</w:t>
            </w:r>
          </w:p>
        </w:tc>
        <w:tc>
          <w:tcPr>
            <w:tcW w:w="425" w:type="dxa"/>
            <w:shd w:val="solid" w:color="FFFFFF" w:fill="auto"/>
          </w:tcPr>
          <w:p w14:paraId="7DDD99E6" w14:textId="0EBF50B1"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39661753" w14:textId="50BB1FB6" w:rsidR="00412DC3" w:rsidRPr="00873B6C" w:rsidRDefault="00412DC3" w:rsidP="009D14FB">
            <w:pPr>
              <w:pStyle w:val="TAL"/>
              <w:rPr>
                <w:sz w:val="16"/>
                <w:szCs w:val="16"/>
              </w:rPr>
            </w:pPr>
            <w:r w:rsidRPr="00873B6C">
              <w:rPr>
                <w:sz w:val="16"/>
                <w:szCs w:val="16"/>
              </w:rPr>
              <w:t>B</w:t>
            </w:r>
          </w:p>
        </w:tc>
        <w:tc>
          <w:tcPr>
            <w:tcW w:w="4820" w:type="dxa"/>
            <w:shd w:val="solid" w:color="FFFFFF" w:fill="auto"/>
          </w:tcPr>
          <w:p w14:paraId="1C998DEA" w14:textId="1592152C" w:rsidR="00412DC3" w:rsidRPr="00873B6C" w:rsidRDefault="00412DC3" w:rsidP="009D14FB">
            <w:pPr>
              <w:pStyle w:val="TAL"/>
              <w:rPr>
                <w:sz w:val="16"/>
                <w:szCs w:val="16"/>
              </w:rPr>
            </w:pPr>
            <w:r w:rsidRPr="00873B6C">
              <w:rPr>
                <w:sz w:val="16"/>
                <w:szCs w:val="16"/>
              </w:rPr>
              <w:t>UPF function update to support network information exposure</w:t>
            </w:r>
          </w:p>
        </w:tc>
        <w:tc>
          <w:tcPr>
            <w:tcW w:w="708" w:type="dxa"/>
            <w:shd w:val="solid" w:color="FFFFFF" w:fill="auto"/>
          </w:tcPr>
          <w:p w14:paraId="49E61DC7" w14:textId="1E12B25A" w:rsidR="00412DC3" w:rsidRPr="00873B6C" w:rsidRDefault="00412DC3" w:rsidP="009D14FB">
            <w:pPr>
              <w:pStyle w:val="TAC"/>
              <w:rPr>
                <w:sz w:val="16"/>
                <w:szCs w:val="16"/>
              </w:rPr>
            </w:pPr>
            <w:r w:rsidRPr="00873B6C">
              <w:rPr>
                <w:sz w:val="16"/>
                <w:szCs w:val="16"/>
              </w:rPr>
              <w:t>17.1.0</w:t>
            </w:r>
          </w:p>
        </w:tc>
      </w:tr>
      <w:tr w:rsidR="00412DC3" w:rsidRPr="00873B6C" w14:paraId="1EDC52C2" w14:textId="77777777" w:rsidTr="009D14FB">
        <w:tc>
          <w:tcPr>
            <w:tcW w:w="800" w:type="dxa"/>
            <w:shd w:val="solid" w:color="FFFFFF" w:fill="auto"/>
          </w:tcPr>
          <w:p w14:paraId="6029D68C" w14:textId="055FA875"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40189FF6" w14:textId="41CE4B06"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0BBD77D0" w14:textId="7E5ED09E" w:rsidR="00412DC3" w:rsidRPr="00873B6C" w:rsidRDefault="00412DC3" w:rsidP="009D14FB">
            <w:pPr>
              <w:pStyle w:val="TAC"/>
              <w:rPr>
                <w:sz w:val="16"/>
                <w:szCs w:val="16"/>
              </w:rPr>
            </w:pPr>
            <w:r w:rsidRPr="00873B6C">
              <w:rPr>
                <w:sz w:val="16"/>
                <w:szCs w:val="16"/>
              </w:rPr>
              <w:t>SP-210354</w:t>
            </w:r>
          </w:p>
        </w:tc>
        <w:tc>
          <w:tcPr>
            <w:tcW w:w="567" w:type="dxa"/>
            <w:shd w:val="solid" w:color="FFFFFF" w:fill="auto"/>
          </w:tcPr>
          <w:p w14:paraId="7EAA1910" w14:textId="2717B4C5" w:rsidR="00412DC3" w:rsidRPr="00873B6C" w:rsidRDefault="00412DC3" w:rsidP="009D14FB">
            <w:pPr>
              <w:pStyle w:val="TAL"/>
              <w:rPr>
                <w:sz w:val="16"/>
                <w:szCs w:val="16"/>
              </w:rPr>
            </w:pPr>
            <w:r w:rsidRPr="00873B6C">
              <w:rPr>
                <w:sz w:val="16"/>
                <w:szCs w:val="16"/>
              </w:rPr>
              <w:t>2902</w:t>
            </w:r>
          </w:p>
        </w:tc>
        <w:tc>
          <w:tcPr>
            <w:tcW w:w="425" w:type="dxa"/>
            <w:shd w:val="solid" w:color="FFFFFF" w:fill="auto"/>
          </w:tcPr>
          <w:p w14:paraId="5E9064FC" w14:textId="3DF0A2EC"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647F0038" w14:textId="4CF7F373"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77385B07" w14:textId="394188AC" w:rsidR="00412DC3" w:rsidRPr="00873B6C" w:rsidRDefault="00412DC3" w:rsidP="009D14FB">
            <w:pPr>
              <w:pStyle w:val="TAL"/>
              <w:rPr>
                <w:sz w:val="16"/>
                <w:szCs w:val="16"/>
              </w:rPr>
            </w:pPr>
            <w:r w:rsidRPr="00873B6C">
              <w:rPr>
                <w:sz w:val="16"/>
                <w:szCs w:val="16"/>
              </w:rPr>
              <w:t>Simultaneous data service from PNI-NPN and PLMN</w:t>
            </w:r>
          </w:p>
        </w:tc>
        <w:tc>
          <w:tcPr>
            <w:tcW w:w="708" w:type="dxa"/>
            <w:shd w:val="solid" w:color="FFFFFF" w:fill="auto"/>
          </w:tcPr>
          <w:p w14:paraId="480910F5" w14:textId="4863C995" w:rsidR="00412DC3" w:rsidRPr="00873B6C" w:rsidRDefault="00412DC3" w:rsidP="009D14FB">
            <w:pPr>
              <w:pStyle w:val="TAC"/>
              <w:rPr>
                <w:sz w:val="16"/>
                <w:szCs w:val="16"/>
              </w:rPr>
            </w:pPr>
            <w:r w:rsidRPr="00873B6C">
              <w:rPr>
                <w:sz w:val="16"/>
                <w:szCs w:val="16"/>
              </w:rPr>
              <w:t>17.1.0</w:t>
            </w:r>
          </w:p>
        </w:tc>
      </w:tr>
      <w:tr w:rsidR="00412DC3" w:rsidRPr="00873B6C" w14:paraId="55D86EF4" w14:textId="77777777" w:rsidTr="009D14FB">
        <w:tc>
          <w:tcPr>
            <w:tcW w:w="800" w:type="dxa"/>
            <w:shd w:val="solid" w:color="FFFFFF" w:fill="auto"/>
          </w:tcPr>
          <w:p w14:paraId="4C2D0296" w14:textId="6B256ECA"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75C902F0" w14:textId="161827A8"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3B82B835" w14:textId="1E16C317" w:rsidR="00412DC3" w:rsidRPr="00873B6C" w:rsidRDefault="00412DC3" w:rsidP="009D14FB">
            <w:pPr>
              <w:pStyle w:val="TAC"/>
              <w:rPr>
                <w:sz w:val="16"/>
                <w:szCs w:val="16"/>
              </w:rPr>
            </w:pPr>
            <w:r w:rsidRPr="00873B6C">
              <w:rPr>
                <w:sz w:val="16"/>
                <w:szCs w:val="16"/>
              </w:rPr>
              <w:t>SP-210354</w:t>
            </w:r>
          </w:p>
        </w:tc>
        <w:tc>
          <w:tcPr>
            <w:tcW w:w="567" w:type="dxa"/>
            <w:shd w:val="solid" w:color="FFFFFF" w:fill="auto"/>
          </w:tcPr>
          <w:p w14:paraId="20E1AF62" w14:textId="721B6D51" w:rsidR="00412DC3" w:rsidRPr="00873B6C" w:rsidRDefault="00412DC3" w:rsidP="009D14FB">
            <w:pPr>
              <w:pStyle w:val="TAL"/>
              <w:rPr>
                <w:sz w:val="16"/>
                <w:szCs w:val="16"/>
              </w:rPr>
            </w:pPr>
            <w:r w:rsidRPr="00873B6C">
              <w:rPr>
                <w:sz w:val="16"/>
                <w:szCs w:val="16"/>
              </w:rPr>
              <w:t>2903</w:t>
            </w:r>
          </w:p>
        </w:tc>
        <w:tc>
          <w:tcPr>
            <w:tcW w:w="425" w:type="dxa"/>
            <w:shd w:val="solid" w:color="FFFFFF" w:fill="auto"/>
          </w:tcPr>
          <w:p w14:paraId="0D120C2F" w14:textId="5740EC68" w:rsidR="00412DC3" w:rsidRPr="00873B6C" w:rsidRDefault="00412DC3" w:rsidP="009D14FB">
            <w:pPr>
              <w:pStyle w:val="TAL"/>
              <w:rPr>
                <w:sz w:val="16"/>
                <w:szCs w:val="16"/>
              </w:rPr>
            </w:pPr>
            <w:r w:rsidRPr="00873B6C">
              <w:rPr>
                <w:sz w:val="16"/>
                <w:szCs w:val="16"/>
              </w:rPr>
              <w:t xml:space="preserve">1 </w:t>
            </w:r>
          </w:p>
        </w:tc>
        <w:tc>
          <w:tcPr>
            <w:tcW w:w="425" w:type="dxa"/>
            <w:shd w:val="solid" w:color="FFFFFF" w:fill="auto"/>
          </w:tcPr>
          <w:p w14:paraId="086A28CA" w14:textId="3181606D"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6BAB8C52" w14:textId="4A31E3DD" w:rsidR="00412DC3" w:rsidRPr="00873B6C" w:rsidRDefault="00412DC3" w:rsidP="009D14FB">
            <w:pPr>
              <w:pStyle w:val="TAL"/>
              <w:rPr>
                <w:sz w:val="16"/>
                <w:szCs w:val="16"/>
              </w:rPr>
            </w:pPr>
            <w:r w:rsidRPr="00873B6C">
              <w:rPr>
                <w:sz w:val="16"/>
                <w:szCs w:val="16"/>
              </w:rPr>
              <w:t>IMS voice over overlay network</w:t>
            </w:r>
          </w:p>
        </w:tc>
        <w:tc>
          <w:tcPr>
            <w:tcW w:w="708" w:type="dxa"/>
            <w:shd w:val="solid" w:color="FFFFFF" w:fill="auto"/>
          </w:tcPr>
          <w:p w14:paraId="2F3315CF" w14:textId="7FE09920" w:rsidR="00412DC3" w:rsidRPr="00873B6C" w:rsidRDefault="00412DC3" w:rsidP="009D14FB">
            <w:pPr>
              <w:pStyle w:val="TAC"/>
              <w:rPr>
                <w:sz w:val="16"/>
                <w:szCs w:val="16"/>
              </w:rPr>
            </w:pPr>
            <w:r w:rsidRPr="00873B6C">
              <w:rPr>
                <w:sz w:val="16"/>
                <w:szCs w:val="16"/>
              </w:rPr>
              <w:t>17.1.0</w:t>
            </w:r>
          </w:p>
        </w:tc>
      </w:tr>
      <w:tr w:rsidR="00412DC3" w:rsidRPr="00873B6C" w14:paraId="634372B9" w14:textId="77777777" w:rsidTr="009D14FB">
        <w:tc>
          <w:tcPr>
            <w:tcW w:w="800" w:type="dxa"/>
            <w:shd w:val="solid" w:color="FFFFFF" w:fill="auto"/>
          </w:tcPr>
          <w:p w14:paraId="303E0B66" w14:textId="2D951D0B"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57481D8C" w14:textId="4C8806D0"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04A2675E" w14:textId="5E4D685F" w:rsidR="00412DC3" w:rsidRPr="00873B6C" w:rsidRDefault="00412DC3" w:rsidP="009D14FB">
            <w:pPr>
              <w:pStyle w:val="TAC"/>
              <w:rPr>
                <w:sz w:val="16"/>
                <w:szCs w:val="16"/>
              </w:rPr>
            </w:pPr>
            <w:r w:rsidRPr="00873B6C">
              <w:rPr>
                <w:sz w:val="16"/>
                <w:szCs w:val="16"/>
              </w:rPr>
              <w:t>SP-210359</w:t>
            </w:r>
          </w:p>
        </w:tc>
        <w:tc>
          <w:tcPr>
            <w:tcW w:w="567" w:type="dxa"/>
            <w:shd w:val="solid" w:color="FFFFFF" w:fill="auto"/>
          </w:tcPr>
          <w:p w14:paraId="65643D04" w14:textId="6578043D" w:rsidR="00412DC3" w:rsidRPr="00873B6C" w:rsidRDefault="00412DC3" w:rsidP="009D14FB">
            <w:pPr>
              <w:pStyle w:val="TAL"/>
              <w:rPr>
                <w:sz w:val="16"/>
                <w:szCs w:val="16"/>
              </w:rPr>
            </w:pPr>
            <w:r w:rsidRPr="00873B6C">
              <w:rPr>
                <w:sz w:val="16"/>
                <w:szCs w:val="16"/>
              </w:rPr>
              <w:t>2904</w:t>
            </w:r>
          </w:p>
        </w:tc>
        <w:tc>
          <w:tcPr>
            <w:tcW w:w="425" w:type="dxa"/>
            <w:shd w:val="solid" w:color="FFFFFF" w:fill="auto"/>
          </w:tcPr>
          <w:p w14:paraId="5185A150" w14:textId="79B3673C"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0E8A5242" w14:textId="0FBBF5B7"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6B82596F" w14:textId="589F13FC" w:rsidR="00412DC3" w:rsidRPr="00873B6C" w:rsidRDefault="00412DC3" w:rsidP="009D14FB">
            <w:pPr>
              <w:pStyle w:val="TAL"/>
              <w:rPr>
                <w:sz w:val="16"/>
                <w:szCs w:val="16"/>
              </w:rPr>
            </w:pPr>
            <w:r w:rsidRPr="00873B6C">
              <w:rPr>
                <w:sz w:val="16"/>
                <w:szCs w:val="16"/>
              </w:rPr>
              <w:t>KI#3A Support QoS mapping based on priority for TSC exposure</w:t>
            </w:r>
          </w:p>
        </w:tc>
        <w:tc>
          <w:tcPr>
            <w:tcW w:w="708" w:type="dxa"/>
            <w:shd w:val="solid" w:color="FFFFFF" w:fill="auto"/>
          </w:tcPr>
          <w:p w14:paraId="02ADDEA8" w14:textId="52771C85" w:rsidR="00412DC3" w:rsidRPr="00873B6C" w:rsidRDefault="00412DC3" w:rsidP="009D14FB">
            <w:pPr>
              <w:pStyle w:val="TAC"/>
              <w:rPr>
                <w:sz w:val="16"/>
                <w:szCs w:val="16"/>
              </w:rPr>
            </w:pPr>
            <w:r w:rsidRPr="00873B6C">
              <w:rPr>
                <w:sz w:val="16"/>
                <w:szCs w:val="16"/>
              </w:rPr>
              <w:t>17.1.0</w:t>
            </w:r>
          </w:p>
        </w:tc>
      </w:tr>
      <w:tr w:rsidR="00412DC3" w:rsidRPr="00873B6C" w14:paraId="1A541E0E" w14:textId="77777777" w:rsidTr="009D14FB">
        <w:tc>
          <w:tcPr>
            <w:tcW w:w="800" w:type="dxa"/>
            <w:shd w:val="solid" w:color="FFFFFF" w:fill="auto"/>
          </w:tcPr>
          <w:p w14:paraId="5BA0F4BC" w14:textId="2811B1AA"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48D9B706" w14:textId="49D99189"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634F3C24" w14:textId="0A3A9293" w:rsidR="00412DC3" w:rsidRPr="00873B6C" w:rsidRDefault="00412DC3" w:rsidP="009D14FB">
            <w:pPr>
              <w:pStyle w:val="TAC"/>
              <w:rPr>
                <w:sz w:val="16"/>
                <w:szCs w:val="16"/>
              </w:rPr>
            </w:pPr>
            <w:r w:rsidRPr="00873B6C">
              <w:rPr>
                <w:sz w:val="16"/>
                <w:szCs w:val="16"/>
              </w:rPr>
              <w:t>SP-210359</w:t>
            </w:r>
          </w:p>
        </w:tc>
        <w:tc>
          <w:tcPr>
            <w:tcW w:w="567" w:type="dxa"/>
            <w:shd w:val="solid" w:color="FFFFFF" w:fill="auto"/>
          </w:tcPr>
          <w:p w14:paraId="71C31E8C" w14:textId="6F8DAB48" w:rsidR="00412DC3" w:rsidRPr="00873B6C" w:rsidRDefault="00412DC3" w:rsidP="009D14FB">
            <w:pPr>
              <w:pStyle w:val="TAL"/>
              <w:rPr>
                <w:sz w:val="16"/>
                <w:szCs w:val="16"/>
              </w:rPr>
            </w:pPr>
            <w:r w:rsidRPr="00873B6C">
              <w:rPr>
                <w:sz w:val="16"/>
                <w:szCs w:val="16"/>
              </w:rPr>
              <w:t>2905</w:t>
            </w:r>
          </w:p>
        </w:tc>
        <w:tc>
          <w:tcPr>
            <w:tcW w:w="425" w:type="dxa"/>
            <w:shd w:val="solid" w:color="FFFFFF" w:fill="auto"/>
          </w:tcPr>
          <w:p w14:paraId="6577C928" w14:textId="3AC85C1B"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3F6CFDBD" w14:textId="25E8687E"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534F1F50" w14:textId="18A3F2C2" w:rsidR="00412DC3" w:rsidRPr="00873B6C" w:rsidRDefault="00412DC3" w:rsidP="009D14FB">
            <w:pPr>
              <w:pStyle w:val="TAL"/>
              <w:rPr>
                <w:sz w:val="16"/>
                <w:szCs w:val="16"/>
              </w:rPr>
            </w:pPr>
            <w:r w:rsidRPr="00873B6C">
              <w:rPr>
                <w:sz w:val="16"/>
                <w:szCs w:val="16"/>
              </w:rPr>
              <w:t>Clarification on support of PTP GM function in TT</w:t>
            </w:r>
          </w:p>
        </w:tc>
        <w:tc>
          <w:tcPr>
            <w:tcW w:w="708" w:type="dxa"/>
            <w:shd w:val="solid" w:color="FFFFFF" w:fill="auto"/>
          </w:tcPr>
          <w:p w14:paraId="1D71303C" w14:textId="36797675" w:rsidR="00412DC3" w:rsidRPr="00873B6C" w:rsidRDefault="00412DC3" w:rsidP="009D14FB">
            <w:pPr>
              <w:pStyle w:val="TAC"/>
              <w:rPr>
                <w:sz w:val="16"/>
                <w:szCs w:val="16"/>
              </w:rPr>
            </w:pPr>
            <w:r w:rsidRPr="00873B6C">
              <w:rPr>
                <w:sz w:val="16"/>
                <w:szCs w:val="16"/>
              </w:rPr>
              <w:t>17.1.0</w:t>
            </w:r>
          </w:p>
        </w:tc>
      </w:tr>
      <w:tr w:rsidR="00412DC3" w:rsidRPr="00873B6C" w14:paraId="36320D1B" w14:textId="77777777" w:rsidTr="009D14FB">
        <w:tc>
          <w:tcPr>
            <w:tcW w:w="800" w:type="dxa"/>
            <w:shd w:val="solid" w:color="FFFFFF" w:fill="auto"/>
          </w:tcPr>
          <w:p w14:paraId="2686C5E3" w14:textId="392D99DA"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1B625B86" w14:textId="25742041"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275DF727" w14:textId="4779B4C8" w:rsidR="00412DC3" w:rsidRPr="00873B6C" w:rsidRDefault="00412DC3" w:rsidP="009D14FB">
            <w:pPr>
              <w:pStyle w:val="TAC"/>
              <w:rPr>
                <w:sz w:val="16"/>
                <w:szCs w:val="16"/>
              </w:rPr>
            </w:pPr>
            <w:r w:rsidRPr="00873B6C">
              <w:rPr>
                <w:sz w:val="16"/>
                <w:szCs w:val="16"/>
              </w:rPr>
              <w:t>SP-210359</w:t>
            </w:r>
          </w:p>
        </w:tc>
        <w:tc>
          <w:tcPr>
            <w:tcW w:w="567" w:type="dxa"/>
            <w:shd w:val="solid" w:color="FFFFFF" w:fill="auto"/>
          </w:tcPr>
          <w:p w14:paraId="5ADF53FB" w14:textId="0C1427C4" w:rsidR="00412DC3" w:rsidRPr="00873B6C" w:rsidRDefault="00412DC3" w:rsidP="009D14FB">
            <w:pPr>
              <w:pStyle w:val="TAL"/>
              <w:rPr>
                <w:sz w:val="16"/>
                <w:szCs w:val="16"/>
              </w:rPr>
            </w:pPr>
            <w:r w:rsidRPr="00873B6C">
              <w:rPr>
                <w:sz w:val="16"/>
                <w:szCs w:val="16"/>
              </w:rPr>
              <w:t>2908</w:t>
            </w:r>
          </w:p>
        </w:tc>
        <w:tc>
          <w:tcPr>
            <w:tcW w:w="425" w:type="dxa"/>
            <w:shd w:val="solid" w:color="FFFFFF" w:fill="auto"/>
          </w:tcPr>
          <w:p w14:paraId="44A5A298" w14:textId="2DAAAE88"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215B75F7" w14:textId="11ABAEDC"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4CC948EA" w14:textId="333FD8C3" w:rsidR="00412DC3" w:rsidRPr="00873B6C" w:rsidRDefault="00412DC3" w:rsidP="009D14FB">
            <w:pPr>
              <w:pStyle w:val="TAL"/>
              <w:rPr>
                <w:sz w:val="16"/>
                <w:szCs w:val="16"/>
              </w:rPr>
            </w:pPr>
            <w:r w:rsidRPr="00873B6C">
              <w:rPr>
                <w:sz w:val="16"/>
                <w:szCs w:val="16"/>
              </w:rPr>
              <w:t>Resolving EN for Hold and Forward mechanism</w:t>
            </w:r>
          </w:p>
        </w:tc>
        <w:tc>
          <w:tcPr>
            <w:tcW w:w="708" w:type="dxa"/>
            <w:shd w:val="solid" w:color="FFFFFF" w:fill="auto"/>
          </w:tcPr>
          <w:p w14:paraId="60FF1E16" w14:textId="413C5C92" w:rsidR="00412DC3" w:rsidRPr="00873B6C" w:rsidRDefault="00412DC3" w:rsidP="009D14FB">
            <w:pPr>
              <w:pStyle w:val="TAC"/>
              <w:rPr>
                <w:sz w:val="16"/>
                <w:szCs w:val="16"/>
              </w:rPr>
            </w:pPr>
            <w:r w:rsidRPr="00873B6C">
              <w:rPr>
                <w:sz w:val="16"/>
                <w:szCs w:val="16"/>
              </w:rPr>
              <w:t>17.1.0</w:t>
            </w:r>
          </w:p>
        </w:tc>
      </w:tr>
      <w:tr w:rsidR="00412DC3" w:rsidRPr="00873B6C" w14:paraId="789D596B" w14:textId="77777777" w:rsidTr="009D14FB">
        <w:tc>
          <w:tcPr>
            <w:tcW w:w="800" w:type="dxa"/>
            <w:shd w:val="solid" w:color="FFFFFF" w:fill="auto"/>
          </w:tcPr>
          <w:p w14:paraId="7D627C76" w14:textId="477C5229"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464DBA8C" w14:textId="0768C524"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2EFA541E" w14:textId="495893EF" w:rsidR="00412DC3" w:rsidRPr="00873B6C" w:rsidRDefault="00412DC3" w:rsidP="009D14FB">
            <w:pPr>
              <w:pStyle w:val="TAC"/>
              <w:rPr>
                <w:sz w:val="16"/>
                <w:szCs w:val="16"/>
              </w:rPr>
            </w:pPr>
            <w:r w:rsidRPr="00873B6C">
              <w:rPr>
                <w:sz w:val="16"/>
                <w:szCs w:val="16"/>
              </w:rPr>
              <w:t>SP-210355</w:t>
            </w:r>
          </w:p>
        </w:tc>
        <w:tc>
          <w:tcPr>
            <w:tcW w:w="567" w:type="dxa"/>
            <w:shd w:val="solid" w:color="FFFFFF" w:fill="auto"/>
          </w:tcPr>
          <w:p w14:paraId="5479D2C5" w14:textId="20D0A669" w:rsidR="00412DC3" w:rsidRPr="00873B6C" w:rsidRDefault="00412DC3" w:rsidP="009D14FB">
            <w:pPr>
              <w:pStyle w:val="TAL"/>
              <w:rPr>
                <w:sz w:val="16"/>
                <w:szCs w:val="16"/>
              </w:rPr>
            </w:pPr>
            <w:r w:rsidRPr="00873B6C">
              <w:rPr>
                <w:sz w:val="16"/>
                <w:szCs w:val="16"/>
              </w:rPr>
              <w:t>2909</w:t>
            </w:r>
          </w:p>
        </w:tc>
        <w:tc>
          <w:tcPr>
            <w:tcW w:w="425" w:type="dxa"/>
            <w:shd w:val="solid" w:color="FFFFFF" w:fill="auto"/>
          </w:tcPr>
          <w:p w14:paraId="6097C188" w14:textId="59F67905"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38E862D0" w14:textId="583E6B51" w:rsidR="00412DC3" w:rsidRPr="00873B6C" w:rsidRDefault="00412DC3" w:rsidP="009D14FB">
            <w:pPr>
              <w:pStyle w:val="TAL"/>
              <w:rPr>
                <w:sz w:val="16"/>
                <w:szCs w:val="16"/>
              </w:rPr>
            </w:pPr>
            <w:r w:rsidRPr="00873B6C">
              <w:rPr>
                <w:sz w:val="16"/>
                <w:szCs w:val="16"/>
              </w:rPr>
              <w:t>B</w:t>
            </w:r>
          </w:p>
        </w:tc>
        <w:tc>
          <w:tcPr>
            <w:tcW w:w="4820" w:type="dxa"/>
            <w:shd w:val="solid" w:color="FFFFFF" w:fill="auto"/>
          </w:tcPr>
          <w:p w14:paraId="46238853" w14:textId="5F4085C4" w:rsidR="00412DC3" w:rsidRPr="00873B6C" w:rsidRDefault="00412DC3" w:rsidP="009D14FB">
            <w:pPr>
              <w:pStyle w:val="TAL"/>
              <w:rPr>
                <w:sz w:val="16"/>
                <w:szCs w:val="16"/>
              </w:rPr>
            </w:pPr>
            <w:r w:rsidRPr="00873B6C">
              <w:rPr>
                <w:sz w:val="16"/>
                <w:szCs w:val="16"/>
              </w:rPr>
              <w:t>Support multiple NSACFs for one S-NSSAI during UE mobility</w:t>
            </w:r>
          </w:p>
        </w:tc>
        <w:tc>
          <w:tcPr>
            <w:tcW w:w="708" w:type="dxa"/>
            <w:shd w:val="solid" w:color="FFFFFF" w:fill="auto"/>
          </w:tcPr>
          <w:p w14:paraId="5C31ABEC" w14:textId="45634F9E" w:rsidR="00412DC3" w:rsidRPr="00873B6C" w:rsidRDefault="00412DC3" w:rsidP="009D14FB">
            <w:pPr>
              <w:pStyle w:val="TAC"/>
              <w:rPr>
                <w:sz w:val="16"/>
                <w:szCs w:val="16"/>
              </w:rPr>
            </w:pPr>
            <w:r w:rsidRPr="00873B6C">
              <w:rPr>
                <w:sz w:val="16"/>
                <w:szCs w:val="16"/>
              </w:rPr>
              <w:t>17.1.0</w:t>
            </w:r>
          </w:p>
        </w:tc>
      </w:tr>
      <w:tr w:rsidR="00412DC3" w:rsidRPr="00873B6C" w14:paraId="70D70BB6" w14:textId="77777777" w:rsidTr="009D14FB">
        <w:tc>
          <w:tcPr>
            <w:tcW w:w="800" w:type="dxa"/>
            <w:shd w:val="solid" w:color="FFFFFF" w:fill="auto"/>
          </w:tcPr>
          <w:p w14:paraId="028DEA52" w14:textId="04E93A4F"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1962FA19" w14:textId="026E9F7A"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052159CD" w14:textId="43DD5DF5" w:rsidR="00412DC3" w:rsidRPr="00873B6C" w:rsidRDefault="00412DC3" w:rsidP="009D14FB">
            <w:pPr>
              <w:pStyle w:val="TAC"/>
              <w:rPr>
                <w:sz w:val="16"/>
                <w:szCs w:val="16"/>
              </w:rPr>
            </w:pPr>
            <w:r w:rsidRPr="00873B6C">
              <w:rPr>
                <w:sz w:val="16"/>
                <w:szCs w:val="16"/>
              </w:rPr>
              <w:t>SP-210340</w:t>
            </w:r>
          </w:p>
        </w:tc>
        <w:tc>
          <w:tcPr>
            <w:tcW w:w="567" w:type="dxa"/>
            <w:shd w:val="solid" w:color="FFFFFF" w:fill="auto"/>
          </w:tcPr>
          <w:p w14:paraId="6B7EC7F4" w14:textId="5448DEFF" w:rsidR="00412DC3" w:rsidRPr="00873B6C" w:rsidRDefault="00412DC3" w:rsidP="009D14FB">
            <w:pPr>
              <w:pStyle w:val="TAL"/>
              <w:rPr>
                <w:sz w:val="16"/>
                <w:szCs w:val="16"/>
              </w:rPr>
            </w:pPr>
            <w:r w:rsidRPr="00873B6C">
              <w:rPr>
                <w:sz w:val="16"/>
                <w:szCs w:val="16"/>
              </w:rPr>
              <w:t>2910</w:t>
            </w:r>
          </w:p>
        </w:tc>
        <w:tc>
          <w:tcPr>
            <w:tcW w:w="425" w:type="dxa"/>
            <w:shd w:val="solid" w:color="FFFFFF" w:fill="auto"/>
          </w:tcPr>
          <w:p w14:paraId="79C9BFDB" w14:textId="2B33E2FD" w:rsidR="00412DC3" w:rsidRPr="00873B6C" w:rsidRDefault="00412DC3" w:rsidP="009D14FB">
            <w:pPr>
              <w:pStyle w:val="TAL"/>
              <w:rPr>
                <w:sz w:val="16"/>
                <w:szCs w:val="16"/>
              </w:rPr>
            </w:pPr>
            <w:r w:rsidRPr="00873B6C">
              <w:rPr>
                <w:sz w:val="16"/>
                <w:szCs w:val="16"/>
              </w:rPr>
              <w:t xml:space="preserve">1 </w:t>
            </w:r>
          </w:p>
        </w:tc>
        <w:tc>
          <w:tcPr>
            <w:tcW w:w="425" w:type="dxa"/>
            <w:shd w:val="solid" w:color="FFFFFF" w:fill="auto"/>
          </w:tcPr>
          <w:p w14:paraId="4BD21F7B" w14:textId="58127ABF" w:rsidR="00412DC3" w:rsidRPr="00873B6C" w:rsidRDefault="00412DC3" w:rsidP="009D14FB">
            <w:pPr>
              <w:pStyle w:val="TAL"/>
              <w:rPr>
                <w:sz w:val="16"/>
                <w:szCs w:val="16"/>
              </w:rPr>
            </w:pPr>
            <w:r w:rsidRPr="00873B6C">
              <w:rPr>
                <w:sz w:val="16"/>
                <w:szCs w:val="16"/>
              </w:rPr>
              <w:t>B</w:t>
            </w:r>
          </w:p>
        </w:tc>
        <w:tc>
          <w:tcPr>
            <w:tcW w:w="4820" w:type="dxa"/>
            <w:shd w:val="solid" w:color="FFFFFF" w:fill="auto"/>
          </w:tcPr>
          <w:p w14:paraId="570E9350" w14:textId="7431505D" w:rsidR="00412DC3" w:rsidRPr="00873B6C" w:rsidRDefault="00412DC3" w:rsidP="009D14FB">
            <w:pPr>
              <w:pStyle w:val="TAL"/>
              <w:rPr>
                <w:sz w:val="16"/>
                <w:szCs w:val="16"/>
              </w:rPr>
            </w:pPr>
            <w:r w:rsidRPr="00873B6C">
              <w:rPr>
                <w:sz w:val="16"/>
                <w:szCs w:val="16"/>
              </w:rPr>
              <w:t>Update of reference points for 5G ProSe</w:t>
            </w:r>
          </w:p>
        </w:tc>
        <w:tc>
          <w:tcPr>
            <w:tcW w:w="708" w:type="dxa"/>
            <w:shd w:val="solid" w:color="FFFFFF" w:fill="auto"/>
          </w:tcPr>
          <w:p w14:paraId="653657E6" w14:textId="1C0E12FC" w:rsidR="00412DC3" w:rsidRPr="00873B6C" w:rsidRDefault="00412DC3" w:rsidP="009D14FB">
            <w:pPr>
              <w:pStyle w:val="TAC"/>
              <w:rPr>
                <w:sz w:val="16"/>
                <w:szCs w:val="16"/>
              </w:rPr>
            </w:pPr>
            <w:r w:rsidRPr="00873B6C">
              <w:rPr>
                <w:sz w:val="16"/>
                <w:szCs w:val="16"/>
              </w:rPr>
              <w:t>17.1.0</w:t>
            </w:r>
          </w:p>
        </w:tc>
      </w:tr>
      <w:tr w:rsidR="00960CDA" w:rsidRPr="00873B6C" w14:paraId="4BDD69B0" w14:textId="77777777" w:rsidTr="009D14FB">
        <w:tc>
          <w:tcPr>
            <w:tcW w:w="800" w:type="dxa"/>
            <w:shd w:val="solid" w:color="FFFFFF" w:fill="auto"/>
          </w:tcPr>
          <w:p w14:paraId="7A457654" w14:textId="082C61C7" w:rsidR="00960CDA" w:rsidRPr="00873B6C" w:rsidRDefault="00960CDA" w:rsidP="009D14FB">
            <w:pPr>
              <w:pStyle w:val="TAC"/>
              <w:rPr>
                <w:sz w:val="16"/>
                <w:szCs w:val="16"/>
              </w:rPr>
            </w:pPr>
            <w:r w:rsidRPr="00873B6C">
              <w:rPr>
                <w:sz w:val="16"/>
                <w:szCs w:val="16"/>
              </w:rPr>
              <w:t>2021-06</w:t>
            </w:r>
          </w:p>
        </w:tc>
        <w:tc>
          <w:tcPr>
            <w:tcW w:w="800" w:type="dxa"/>
            <w:shd w:val="solid" w:color="FFFFFF" w:fill="auto"/>
          </w:tcPr>
          <w:p w14:paraId="55D973D1" w14:textId="29AFC4CB" w:rsidR="00960CDA" w:rsidRPr="00873B6C" w:rsidRDefault="00960CDA" w:rsidP="009D14FB">
            <w:pPr>
              <w:pStyle w:val="TAL"/>
              <w:rPr>
                <w:sz w:val="16"/>
                <w:szCs w:val="16"/>
              </w:rPr>
            </w:pPr>
            <w:r w:rsidRPr="00873B6C">
              <w:rPr>
                <w:sz w:val="16"/>
                <w:szCs w:val="16"/>
              </w:rPr>
              <w:t>SP#92E</w:t>
            </w:r>
          </w:p>
        </w:tc>
        <w:tc>
          <w:tcPr>
            <w:tcW w:w="1094" w:type="dxa"/>
            <w:shd w:val="solid" w:color="FFFFFF" w:fill="auto"/>
          </w:tcPr>
          <w:p w14:paraId="123D0A25" w14:textId="1AA9B25A" w:rsidR="00960CDA" w:rsidRPr="00873B6C" w:rsidRDefault="00960CDA" w:rsidP="009D14FB">
            <w:pPr>
              <w:pStyle w:val="TAC"/>
              <w:rPr>
                <w:sz w:val="16"/>
                <w:szCs w:val="16"/>
              </w:rPr>
            </w:pPr>
            <w:r w:rsidRPr="00873B6C">
              <w:rPr>
                <w:sz w:val="16"/>
                <w:szCs w:val="16"/>
              </w:rPr>
              <w:t>SP-210359</w:t>
            </w:r>
          </w:p>
        </w:tc>
        <w:tc>
          <w:tcPr>
            <w:tcW w:w="567" w:type="dxa"/>
            <w:shd w:val="solid" w:color="FFFFFF" w:fill="auto"/>
          </w:tcPr>
          <w:p w14:paraId="4ABAF286" w14:textId="5C9D2F7D" w:rsidR="00960CDA" w:rsidRPr="00873B6C" w:rsidRDefault="00960CDA" w:rsidP="009D14FB">
            <w:pPr>
              <w:pStyle w:val="TAL"/>
              <w:rPr>
                <w:sz w:val="16"/>
                <w:szCs w:val="16"/>
              </w:rPr>
            </w:pPr>
            <w:r w:rsidRPr="00873B6C">
              <w:rPr>
                <w:sz w:val="16"/>
                <w:szCs w:val="16"/>
              </w:rPr>
              <w:t>2911</w:t>
            </w:r>
          </w:p>
        </w:tc>
        <w:tc>
          <w:tcPr>
            <w:tcW w:w="425" w:type="dxa"/>
            <w:shd w:val="solid" w:color="FFFFFF" w:fill="auto"/>
          </w:tcPr>
          <w:p w14:paraId="00F6EAA8" w14:textId="7BFAF7B3" w:rsidR="00960CDA" w:rsidRPr="00873B6C" w:rsidRDefault="00960CDA" w:rsidP="009D14FB">
            <w:pPr>
              <w:pStyle w:val="TAL"/>
              <w:rPr>
                <w:sz w:val="16"/>
                <w:szCs w:val="16"/>
              </w:rPr>
            </w:pPr>
            <w:r w:rsidRPr="00873B6C">
              <w:rPr>
                <w:sz w:val="16"/>
                <w:szCs w:val="16"/>
              </w:rPr>
              <w:t>1</w:t>
            </w:r>
          </w:p>
        </w:tc>
        <w:tc>
          <w:tcPr>
            <w:tcW w:w="425" w:type="dxa"/>
            <w:shd w:val="solid" w:color="FFFFFF" w:fill="auto"/>
          </w:tcPr>
          <w:p w14:paraId="1B94D8B2" w14:textId="4B829C64" w:rsidR="00960CDA" w:rsidRPr="00873B6C" w:rsidRDefault="00960CDA" w:rsidP="009D14FB">
            <w:pPr>
              <w:pStyle w:val="TAL"/>
              <w:rPr>
                <w:sz w:val="16"/>
                <w:szCs w:val="16"/>
              </w:rPr>
            </w:pPr>
            <w:r w:rsidRPr="00873B6C">
              <w:rPr>
                <w:sz w:val="16"/>
                <w:szCs w:val="16"/>
              </w:rPr>
              <w:t>B</w:t>
            </w:r>
          </w:p>
        </w:tc>
        <w:tc>
          <w:tcPr>
            <w:tcW w:w="4820" w:type="dxa"/>
            <w:shd w:val="solid" w:color="FFFFFF" w:fill="auto"/>
          </w:tcPr>
          <w:p w14:paraId="3849D7D8" w14:textId="2F22AF03" w:rsidR="00960CDA" w:rsidRPr="00873B6C" w:rsidRDefault="00960CDA" w:rsidP="009D14FB">
            <w:pPr>
              <w:pStyle w:val="TAL"/>
              <w:rPr>
                <w:sz w:val="16"/>
                <w:szCs w:val="16"/>
              </w:rPr>
            </w:pPr>
            <w:r w:rsidRPr="00873B6C">
              <w:rPr>
                <w:sz w:val="16"/>
                <w:szCs w:val="16"/>
              </w:rPr>
              <w:t>KI#3B, Temporal Validity Condition Description</w:t>
            </w:r>
          </w:p>
        </w:tc>
        <w:tc>
          <w:tcPr>
            <w:tcW w:w="708" w:type="dxa"/>
            <w:shd w:val="solid" w:color="FFFFFF" w:fill="auto"/>
          </w:tcPr>
          <w:p w14:paraId="03EA3AC6" w14:textId="11CAFFDC" w:rsidR="00960CDA" w:rsidRPr="00873B6C" w:rsidRDefault="00960CDA" w:rsidP="009D14FB">
            <w:pPr>
              <w:pStyle w:val="TAC"/>
              <w:rPr>
                <w:sz w:val="16"/>
                <w:szCs w:val="16"/>
              </w:rPr>
            </w:pPr>
            <w:r w:rsidRPr="00873B6C">
              <w:rPr>
                <w:sz w:val="16"/>
                <w:szCs w:val="16"/>
              </w:rPr>
              <w:t>17.1.0</w:t>
            </w:r>
          </w:p>
        </w:tc>
      </w:tr>
      <w:tr w:rsidR="00960CDA" w:rsidRPr="00873B6C" w14:paraId="48066B1D" w14:textId="77777777" w:rsidTr="009D14FB">
        <w:tc>
          <w:tcPr>
            <w:tcW w:w="800" w:type="dxa"/>
            <w:shd w:val="solid" w:color="FFFFFF" w:fill="auto"/>
          </w:tcPr>
          <w:p w14:paraId="1A2C7DA4" w14:textId="39480277" w:rsidR="00960CDA" w:rsidRPr="00873B6C" w:rsidRDefault="00960CDA" w:rsidP="009D14FB">
            <w:pPr>
              <w:pStyle w:val="TAC"/>
              <w:rPr>
                <w:sz w:val="16"/>
                <w:szCs w:val="16"/>
              </w:rPr>
            </w:pPr>
            <w:r w:rsidRPr="00873B6C">
              <w:rPr>
                <w:sz w:val="16"/>
                <w:szCs w:val="16"/>
              </w:rPr>
              <w:t>2021-06</w:t>
            </w:r>
          </w:p>
        </w:tc>
        <w:tc>
          <w:tcPr>
            <w:tcW w:w="800" w:type="dxa"/>
            <w:shd w:val="solid" w:color="FFFFFF" w:fill="auto"/>
          </w:tcPr>
          <w:p w14:paraId="37DCC3C3" w14:textId="1A9366C0" w:rsidR="00960CDA" w:rsidRPr="00873B6C" w:rsidRDefault="00960CDA" w:rsidP="009D14FB">
            <w:pPr>
              <w:pStyle w:val="TAL"/>
              <w:rPr>
                <w:sz w:val="16"/>
                <w:szCs w:val="16"/>
              </w:rPr>
            </w:pPr>
            <w:r w:rsidRPr="00873B6C">
              <w:rPr>
                <w:sz w:val="16"/>
                <w:szCs w:val="16"/>
              </w:rPr>
              <w:t>SP#92E</w:t>
            </w:r>
          </w:p>
        </w:tc>
        <w:tc>
          <w:tcPr>
            <w:tcW w:w="1094" w:type="dxa"/>
            <w:shd w:val="solid" w:color="FFFFFF" w:fill="auto"/>
          </w:tcPr>
          <w:p w14:paraId="2B4ED8BF" w14:textId="54E926A8" w:rsidR="00960CDA" w:rsidRPr="00873B6C" w:rsidRDefault="00960CDA" w:rsidP="009D14FB">
            <w:pPr>
              <w:pStyle w:val="TAC"/>
              <w:rPr>
                <w:sz w:val="16"/>
                <w:szCs w:val="16"/>
              </w:rPr>
            </w:pPr>
            <w:r w:rsidRPr="00873B6C">
              <w:rPr>
                <w:sz w:val="16"/>
                <w:szCs w:val="16"/>
              </w:rPr>
              <w:t>SP-210347</w:t>
            </w:r>
          </w:p>
        </w:tc>
        <w:tc>
          <w:tcPr>
            <w:tcW w:w="567" w:type="dxa"/>
            <w:shd w:val="solid" w:color="FFFFFF" w:fill="auto"/>
          </w:tcPr>
          <w:p w14:paraId="0ADDE71D" w14:textId="5CDAB98B" w:rsidR="00960CDA" w:rsidRPr="00873B6C" w:rsidRDefault="00960CDA" w:rsidP="009D14FB">
            <w:pPr>
              <w:pStyle w:val="TAL"/>
              <w:rPr>
                <w:sz w:val="16"/>
                <w:szCs w:val="16"/>
              </w:rPr>
            </w:pPr>
            <w:r w:rsidRPr="00873B6C">
              <w:rPr>
                <w:sz w:val="16"/>
                <w:szCs w:val="16"/>
              </w:rPr>
              <w:t>2913</w:t>
            </w:r>
          </w:p>
        </w:tc>
        <w:tc>
          <w:tcPr>
            <w:tcW w:w="425" w:type="dxa"/>
            <w:shd w:val="solid" w:color="FFFFFF" w:fill="auto"/>
          </w:tcPr>
          <w:p w14:paraId="7DF80133" w14:textId="60D31C65" w:rsidR="00960CDA" w:rsidRPr="00873B6C" w:rsidRDefault="00960CDA" w:rsidP="009D14FB">
            <w:pPr>
              <w:pStyle w:val="TAL"/>
              <w:rPr>
                <w:sz w:val="16"/>
                <w:szCs w:val="16"/>
              </w:rPr>
            </w:pPr>
            <w:r w:rsidRPr="00873B6C">
              <w:rPr>
                <w:sz w:val="16"/>
                <w:szCs w:val="16"/>
              </w:rPr>
              <w:t>1</w:t>
            </w:r>
          </w:p>
        </w:tc>
        <w:tc>
          <w:tcPr>
            <w:tcW w:w="425" w:type="dxa"/>
            <w:shd w:val="solid" w:color="FFFFFF" w:fill="auto"/>
          </w:tcPr>
          <w:p w14:paraId="2E52EE2D" w14:textId="61B0749C" w:rsidR="00960CDA" w:rsidRPr="00873B6C" w:rsidRDefault="00960CDA" w:rsidP="009D14FB">
            <w:pPr>
              <w:pStyle w:val="TAL"/>
              <w:rPr>
                <w:sz w:val="16"/>
                <w:szCs w:val="16"/>
              </w:rPr>
            </w:pPr>
            <w:r w:rsidRPr="00873B6C">
              <w:rPr>
                <w:sz w:val="16"/>
                <w:szCs w:val="16"/>
              </w:rPr>
              <w:t>B</w:t>
            </w:r>
          </w:p>
        </w:tc>
        <w:tc>
          <w:tcPr>
            <w:tcW w:w="4820" w:type="dxa"/>
            <w:shd w:val="solid" w:color="FFFFFF" w:fill="auto"/>
          </w:tcPr>
          <w:p w14:paraId="3E87F682" w14:textId="60A0F065" w:rsidR="00960CDA" w:rsidRPr="00873B6C" w:rsidRDefault="00960CDA" w:rsidP="009D14FB">
            <w:pPr>
              <w:pStyle w:val="TAL"/>
              <w:rPr>
                <w:sz w:val="16"/>
                <w:szCs w:val="16"/>
              </w:rPr>
            </w:pPr>
            <w:r w:rsidRPr="00873B6C">
              <w:rPr>
                <w:sz w:val="16"/>
                <w:szCs w:val="16"/>
              </w:rPr>
              <w:t>Updates to AF requests to influence traffic routing</w:t>
            </w:r>
          </w:p>
        </w:tc>
        <w:tc>
          <w:tcPr>
            <w:tcW w:w="708" w:type="dxa"/>
            <w:shd w:val="solid" w:color="FFFFFF" w:fill="auto"/>
          </w:tcPr>
          <w:p w14:paraId="0108C1FB" w14:textId="70DA3870" w:rsidR="00960CDA" w:rsidRPr="00873B6C" w:rsidRDefault="00960CDA" w:rsidP="009D14FB">
            <w:pPr>
              <w:pStyle w:val="TAC"/>
              <w:rPr>
                <w:sz w:val="16"/>
                <w:szCs w:val="16"/>
              </w:rPr>
            </w:pPr>
            <w:r w:rsidRPr="00873B6C">
              <w:rPr>
                <w:sz w:val="16"/>
                <w:szCs w:val="16"/>
              </w:rPr>
              <w:t>17.1.0</w:t>
            </w:r>
          </w:p>
        </w:tc>
      </w:tr>
      <w:tr w:rsidR="00960CDA" w:rsidRPr="00873B6C" w14:paraId="7AD4B474" w14:textId="77777777" w:rsidTr="009D14FB">
        <w:tc>
          <w:tcPr>
            <w:tcW w:w="800" w:type="dxa"/>
            <w:shd w:val="solid" w:color="FFFFFF" w:fill="auto"/>
          </w:tcPr>
          <w:p w14:paraId="26875D58" w14:textId="4D1BB542" w:rsidR="00960CDA" w:rsidRPr="00873B6C" w:rsidRDefault="00960CDA" w:rsidP="009D14FB">
            <w:pPr>
              <w:pStyle w:val="TAC"/>
              <w:rPr>
                <w:sz w:val="16"/>
                <w:szCs w:val="16"/>
              </w:rPr>
            </w:pPr>
            <w:r w:rsidRPr="00873B6C">
              <w:rPr>
                <w:sz w:val="16"/>
                <w:szCs w:val="16"/>
              </w:rPr>
              <w:t>2021-06</w:t>
            </w:r>
          </w:p>
        </w:tc>
        <w:tc>
          <w:tcPr>
            <w:tcW w:w="800" w:type="dxa"/>
            <w:shd w:val="solid" w:color="FFFFFF" w:fill="auto"/>
          </w:tcPr>
          <w:p w14:paraId="3214BC55" w14:textId="3B058D34" w:rsidR="00960CDA" w:rsidRPr="00873B6C" w:rsidRDefault="00960CDA" w:rsidP="009D14FB">
            <w:pPr>
              <w:pStyle w:val="TAL"/>
              <w:rPr>
                <w:sz w:val="16"/>
                <w:szCs w:val="16"/>
              </w:rPr>
            </w:pPr>
            <w:r w:rsidRPr="00873B6C">
              <w:rPr>
                <w:sz w:val="16"/>
                <w:szCs w:val="16"/>
              </w:rPr>
              <w:t>SP#92E</w:t>
            </w:r>
          </w:p>
        </w:tc>
        <w:tc>
          <w:tcPr>
            <w:tcW w:w="1094" w:type="dxa"/>
            <w:shd w:val="solid" w:color="FFFFFF" w:fill="auto"/>
          </w:tcPr>
          <w:p w14:paraId="6089C7AB" w14:textId="4514030A" w:rsidR="00960CDA" w:rsidRPr="00873B6C" w:rsidRDefault="00960CDA" w:rsidP="009D14FB">
            <w:pPr>
              <w:pStyle w:val="TAC"/>
              <w:rPr>
                <w:sz w:val="16"/>
                <w:szCs w:val="16"/>
              </w:rPr>
            </w:pPr>
            <w:r w:rsidRPr="00873B6C">
              <w:rPr>
                <w:sz w:val="16"/>
                <w:szCs w:val="16"/>
              </w:rPr>
              <w:t>SP-210347</w:t>
            </w:r>
          </w:p>
        </w:tc>
        <w:tc>
          <w:tcPr>
            <w:tcW w:w="567" w:type="dxa"/>
            <w:shd w:val="solid" w:color="FFFFFF" w:fill="auto"/>
          </w:tcPr>
          <w:p w14:paraId="20BDCD34" w14:textId="10C7C4CA" w:rsidR="00960CDA" w:rsidRPr="00873B6C" w:rsidRDefault="00960CDA" w:rsidP="009D14FB">
            <w:pPr>
              <w:pStyle w:val="TAL"/>
              <w:rPr>
                <w:sz w:val="16"/>
                <w:szCs w:val="16"/>
              </w:rPr>
            </w:pPr>
            <w:r w:rsidRPr="00873B6C">
              <w:rPr>
                <w:sz w:val="16"/>
                <w:szCs w:val="16"/>
              </w:rPr>
              <w:t>2914</w:t>
            </w:r>
          </w:p>
        </w:tc>
        <w:tc>
          <w:tcPr>
            <w:tcW w:w="425" w:type="dxa"/>
            <w:shd w:val="solid" w:color="FFFFFF" w:fill="auto"/>
          </w:tcPr>
          <w:p w14:paraId="2C7614D1" w14:textId="2BC5774B" w:rsidR="00960CDA" w:rsidRPr="00873B6C" w:rsidRDefault="00960CDA" w:rsidP="009D14FB">
            <w:pPr>
              <w:pStyle w:val="TAL"/>
              <w:rPr>
                <w:sz w:val="16"/>
                <w:szCs w:val="16"/>
              </w:rPr>
            </w:pPr>
            <w:r w:rsidRPr="00873B6C">
              <w:rPr>
                <w:sz w:val="16"/>
                <w:szCs w:val="16"/>
              </w:rPr>
              <w:t>-</w:t>
            </w:r>
          </w:p>
        </w:tc>
        <w:tc>
          <w:tcPr>
            <w:tcW w:w="425" w:type="dxa"/>
            <w:shd w:val="solid" w:color="FFFFFF" w:fill="auto"/>
          </w:tcPr>
          <w:p w14:paraId="49094FFF" w14:textId="62DF72BD" w:rsidR="00960CDA" w:rsidRPr="00873B6C" w:rsidRDefault="00960CDA" w:rsidP="009D14FB">
            <w:pPr>
              <w:pStyle w:val="TAL"/>
              <w:rPr>
                <w:sz w:val="16"/>
                <w:szCs w:val="16"/>
              </w:rPr>
            </w:pPr>
            <w:r w:rsidRPr="00873B6C">
              <w:rPr>
                <w:sz w:val="16"/>
                <w:szCs w:val="16"/>
              </w:rPr>
              <w:t>F</w:t>
            </w:r>
          </w:p>
        </w:tc>
        <w:tc>
          <w:tcPr>
            <w:tcW w:w="4820" w:type="dxa"/>
            <w:shd w:val="solid" w:color="FFFFFF" w:fill="auto"/>
          </w:tcPr>
          <w:p w14:paraId="054EBAB7" w14:textId="3C5CDC7E" w:rsidR="00960CDA" w:rsidRPr="00873B6C" w:rsidRDefault="00960CDA" w:rsidP="009D14FB">
            <w:pPr>
              <w:pStyle w:val="TAL"/>
              <w:rPr>
                <w:sz w:val="16"/>
                <w:szCs w:val="16"/>
              </w:rPr>
            </w:pPr>
            <w:r w:rsidRPr="00873B6C">
              <w:rPr>
                <w:sz w:val="16"/>
                <w:szCs w:val="16"/>
              </w:rPr>
              <w:t>Update on I-SMF selection per DNAI</w:t>
            </w:r>
          </w:p>
        </w:tc>
        <w:tc>
          <w:tcPr>
            <w:tcW w:w="708" w:type="dxa"/>
            <w:shd w:val="solid" w:color="FFFFFF" w:fill="auto"/>
          </w:tcPr>
          <w:p w14:paraId="385DA020" w14:textId="1A540688" w:rsidR="00960CDA" w:rsidRPr="00873B6C" w:rsidRDefault="00960CDA" w:rsidP="009D14FB">
            <w:pPr>
              <w:pStyle w:val="TAC"/>
              <w:rPr>
                <w:sz w:val="16"/>
                <w:szCs w:val="16"/>
              </w:rPr>
            </w:pPr>
            <w:r w:rsidRPr="00873B6C">
              <w:rPr>
                <w:sz w:val="16"/>
                <w:szCs w:val="16"/>
              </w:rPr>
              <w:t>17.1.0</w:t>
            </w:r>
          </w:p>
        </w:tc>
      </w:tr>
      <w:tr w:rsidR="00960CDA" w:rsidRPr="00873B6C" w14:paraId="27187C26" w14:textId="77777777" w:rsidTr="009D14FB">
        <w:tc>
          <w:tcPr>
            <w:tcW w:w="800" w:type="dxa"/>
            <w:shd w:val="solid" w:color="FFFFFF" w:fill="auto"/>
          </w:tcPr>
          <w:p w14:paraId="47F60735" w14:textId="715F8CA0" w:rsidR="00960CDA" w:rsidRPr="00873B6C" w:rsidRDefault="00960CDA" w:rsidP="009D14FB">
            <w:pPr>
              <w:pStyle w:val="TAC"/>
              <w:rPr>
                <w:sz w:val="16"/>
                <w:szCs w:val="16"/>
              </w:rPr>
            </w:pPr>
            <w:r w:rsidRPr="00873B6C">
              <w:rPr>
                <w:sz w:val="16"/>
                <w:szCs w:val="16"/>
              </w:rPr>
              <w:t>2021-06</w:t>
            </w:r>
          </w:p>
        </w:tc>
        <w:tc>
          <w:tcPr>
            <w:tcW w:w="800" w:type="dxa"/>
            <w:shd w:val="solid" w:color="FFFFFF" w:fill="auto"/>
          </w:tcPr>
          <w:p w14:paraId="447F600F" w14:textId="79A2D99F" w:rsidR="00960CDA" w:rsidRPr="00873B6C" w:rsidRDefault="00960CDA" w:rsidP="009D14FB">
            <w:pPr>
              <w:pStyle w:val="TAL"/>
              <w:rPr>
                <w:sz w:val="16"/>
                <w:szCs w:val="16"/>
              </w:rPr>
            </w:pPr>
            <w:r w:rsidRPr="00873B6C">
              <w:rPr>
                <w:sz w:val="16"/>
                <w:szCs w:val="16"/>
              </w:rPr>
              <w:t>SP#92E</w:t>
            </w:r>
          </w:p>
        </w:tc>
        <w:tc>
          <w:tcPr>
            <w:tcW w:w="1094" w:type="dxa"/>
            <w:shd w:val="solid" w:color="FFFFFF" w:fill="auto"/>
          </w:tcPr>
          <w:p w14:paraId="6594F730" w14:textId="23365202" w:rsidR="00960CDA" w:rsidRPr="00873B6C" w:rsidRDefault="00960CDA" w:rsidP="009D14FB">
            <w:pPr>
              <w:pStyle w:val="TAC"/>
              <w:rPr>
                <w:sz w:val="16"/>
                <w:szCs w:val="16"/>
              </w:rPr>
            </w:pPr>
            <w:r w:rsidRPr="00873B6C">
              <w:rPr>
                <w:sz w:val="16"/>
                <w:szCs w:val="16"/>
              </w:rPr>
              <w:t>SP-210353</w:t>
            </w:r>
          </w:p>
        </w:tc>
        <w:tc>
          <w:tcPr>
            <w:tcW w:w="567" w:type="dxa"/>
            <w:shd w:val="solid" w:color="FFFFFF" w:fill="auto"/>
          </w:tcPr>
          <w:p w14:paraId="1EDBE12E" w14:textId="633D4157" w:rsidR="00960CDA" w:rsidRPr="00873B6C" w:rsidRDefault="00960CDA" w:rsidP="009D14FB">
            <w:pPr>
              <w:pStyle w:val="TAL"/>
              <w:rPr>
                <w:sz w:val="16"/>
                <w:szCs w:val="16"/>
              </w:rPr>
            </w:pPr>
            <w:r w:rsidRPr="00873B6C">
              <w:rPr>
                <w:sz w:val="16"/>
                <w:szCs w:val="16"/>
              </w:rPr>
              <w:t>2918</w:t>
            </w:r>
          </w:p>
        </w:tc>
        <w:tc>
          <w:tcPr>
            <w:tcW w:w="425" w:type="dxa"/>
            <w:shd w:val="solid" w:color="FFFFFF" w:fill="auto"/>
          </w:tcPr>
          <w:p w14:paraId="745A5509" w14:textId="72C7537B" w:rsidR="00960CDA" w:rsidRPr="00873B6C" w:rsidRDefault="00960CDA" w:rsidP="009D14FB">
            <w:pPr>
              <w:pStyle w:val="TAL"/>
              <w:rPr>
                <w:sz w:val="16"/>
                <w:szCs w:val="16"/>
              </w:rPr>
            </w:pPr>
            <w:r w:rsidRPr="00873B6C">
              <w:rPr>
                <w:sz w:val="16"/>
                <w:szCs w:val="16"/>
              </w:rPr>
              <w:t>1</w:t>
            </w:r>
          </w:p>
        </w:tc>
        <w:tc>
          <w:tcPr>
            <w:tcW w:w="425" w:type="dxa"/>
            <w:shd w:val="solid" w:color="FFFFFF" w:fill="auto"/>
          </w:tcPr>
          <w:p w14:paraId="487D245E" w14:textId="546FCEBB" w:rsidR="00960CDA" w:rsidRPr="00873B6C" w:rsidRDefault="00960CDA" w:rsidP="009D14FB">
            <w:pPr>
              <w:pStyle w:val="TAL"/>
              <w:rPr>
                <w:sz w:val="16"/>
                <w:szCs w:val="16"/>
              </w:rPr>
            </w:pPr>
            <w:r w:rsidRPr="00873B6C">
              <w:rPr>
                <w:sz w:val="16"/>
                <w:szCs w:val="16"/>
              </w:rPr>
              <w:t>B</w:t>
            </w:r>
          </w:p>
        </w:tc>
        <w:tc>
          <w:tcPr>
            <w:tcW w:w="4820" w:type="dxa"/>
            <w:shd w:val="solid" w:color="FFFFFF" w:fill="auto"/>
          </w:tcPr>
          <w:p w14:paraId="03E90BC9" w14:textId="1304DE37" w:rsidR="00960CDA" w:rsidRPr="00873B6C" w:rsidRDefault="00960CDA" w:rsidP="009D14FB">
            <w:pPr>
              <w:pStyle w:val="TAL"/>
              <w:rPr>
                <w:sz w:val="16"/>
                <w:szCs w:val="16"/>
              </w:rPr>
            </w:pPr>
            <w:r w:rsidRPr="00873B6C">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873B6C" w:rsidRDefault="00960CDA" w:rsidP="009D14FB">
            <w:pPr>
              <w:pStyle w:val="TAC"/>
              <w:rPr>
                <w:sz w:val="16"/>
                <w:szCs w:val="16"/>
              </w:rPr>
            </w:pPr>
            <w:r w:rsidRPr="00873B6C">
              <w:rPr>
                <w:sz w:val="16"/>
                <w:szCs w:val="16"/>
              </w:rPr>
              <w:t>17.1.0</w:t>
            </w:r>
          </w:p>
        </w:tc>
      </w:tr>
      <w:tr w:rsidR="00570265" w:rsidRPr="00873B6C" w14:paraId="66D5EB74" w14:textId="77777777" w:rsidTr="009D14FB">
        <w:tc>
          <w:tcPr>
            <w:tcW w:w="800" w:type="dxa"/>
            <w:shd w:val="solid" w:color="FFFFFF" w:fill="auto"/>
          </w:tcPr>
          <w:p w14:paraId="4D6BB61E" w14:textId="37B6AF83" w:rsidR="00570265" w:rsidRPr="00873B6C" w:rsidRDefault="00570265" w:rsidP="009D14FB">
            <w:pPr>
              <w:pStyle w:val="TAC"/>
              <w:rPr>
                <w:sz w:val="16"/>
                <w:szCs w:val="16"/>
              </w:rPr>
            </w:pPr>
            <w:r w:rsidRPr="00873B6C">
              <w:rPr>
                <w:sz w:val="16"/>
                <w:szCs w:val="16"/>
              </w:rPr>
              <w:t>2021-06</w:t>
            </w:r>
          </w:p>
        </w:tc>
        <w:tc>
          <w:tcPr>
            <w:tcW w:w="800" w:type="dxa"/>
            <w:shd w:val="solid" w:color="FFFFFF" w:fill="auto"/>
          </w:tcPr>
          <w:p w14:paraId="38368AAB" w14:textId="7677FD6B" w:rsidR="00570265" w:rsidRPr="00873B6C" w:rsidRDefault="00570265" w:rsidP="009D14FB">
            <w:pPr>
              <w:pStyle w:val="TAL"/>
              <w:rPr>
                <w:sz w:val="16"/>
                <w:szCs w:val="16"/>
              </w:rPr>
            </w:pPr>
            <w:r w:rsidRPr="00873B6C">
              <w:rPr>
                <w:sz w:val="16"/>
                <w:szCs w:val="16"/>
              </w:rPr>
              <w:t>SP#92E</w:t>
            </w:r>
          </w:p>
        </w:tc>
        <w:tc>
          <w:tcPr>
            <w:tcW w:w="1094" w:type="dxa"/>
            <w:shd w:val="solid" w:color="FFFFFF" w:fill="auto"/>
          </w:tcPr>
          <w:p w14:paraId="1F729FEF" w14:textId="085CCD5F" w:rsidR="00570265" w:rsidRPr="00873B6C" w:rsidRDefault="00570265" w:rsidP="009D14FB">
            <w:pPr>
              <w:pStyle w:val="TAC"/>
              <w:rPr>
                <w:sz w:val="16"/>
                <w:szCs w:val="16"/>
              </w:rPr>
            </w:pPr>
            <w:r w:rsidRPr="00873B6C">
              <w:rPr>
                <w:sz w:val="16"/>
                <w:szCs w:val="16"/>
              </w:rPr>
              <w:t>SP-210545</w:t>
            </w:r>
          </w:p>
        </w:tc>
        <w:tc>
          <w:tcPr>
            <w:tcW w:w="567" w:type="dxa"/>
            <w:shd w:val="solid" w:color="FFFFFF" w:fill="auto"/>
          </w:tcPr>
          <w:p w14:paraId="0B6E5730" w14:textId="335E1329" w:rsidR="00570265" w:rsidRPr="00873B6C" w:rsidRDefault="00570265" w:rsidP="009D14FB">
            <w:pPr>
              <w:pStyle w:val="TAL"/>
              <w:rPr>
                <w:sz w:val="16"/>
                <w:szCs w:val="16"/>
              </w:rPr>
            </w:pPr>
            <w:r w:rsidRPr="00873B6C">
              <w:rPr>
                <w:sz w:val="16"/>
                <w:szCs w:val="16"/>
              </w:rPr>
              <w:t>2923</w:t>
            </w:r>
          </w:p>
        </w:tc>
        <w:tc>
          <w:tcPr>
            <w:tcW w:w="425" w:type="dxa"/>
            <w:shd w:val="solid" w:color="FFFFFF" w:fill="auto"/>
          </w:tcPr>
          <w:p w14:paraId="23138B3B" w14:textId="38C6CD8C" w:rsidR="00570265" w:rsidRPr="00873B6C" w:rsidRDefault="00570265" w:rsidP="009D14FB">
            <w:pPr>
              <w:pStyle w:val="TAL"/>
              <w:rPr>
                <w:sz w:val="16"/>
                <w:szCs w:val="16"/>
              </w:rPr>
            </w:pPr>
            <w:r w:rsidRPr="00873B6C">
              <w:rPr>
                <w:sz w:val="16"/>
                <w:szCs w:val="16"/>
              </w:rPr>
              <w:t>2</w:t>
            </w:r>
          </w:p>
        </w:tc>
        <w:tc>
          <w:tcPr>
            <w:tcW w:w="425" w:type="dxa"/>
            <w:shd w:val="solid" w:color="FFFFFF" w:fill="auto"/>
          </w:tcPr>
          <w:p w14:paraId="3FD11227" w14:textId="473D0A81" w:rsidR="00570265" w:rsidRPr="00873B6C" w:rsidRDefault="00570265" w:rsidP="009D14FB">
            <w:pPr>
              <w:pStyle w:val="TAL"/>
              <w:rPr>
                <w:sz w:val="16"/>
                <w:szCs w:val="16"/>
              </w:rPr>
            </w:pPr>
            <w:r w:rsidRPr="00873B6C">
              <w:rPr>
                <w:sz w:val="16"/>
                <w:szCs w:val="16"/>
              </w:rPr>
              <w:t>F</w:t>
            </w:r>
          </w:p>
        </w:tc>
        <w:tc>
          <w:tcPr>
            <w:tcW w:w="4820" w:type="dxa"/>
            <w:shd w:val="solid" w:color="FFFFFF" w:fill="auto"/>
          </w:tcPr>
          <w:p w14:paraId="52B23317" w14:textId="2FD09406" w:rsidR="00570265" w:rsidRPr="00873B6C" w:rsidRDefault="00570265" w:rsidP="009D14FB">
            <w:pPr>
              <w:pStyle w:val="TAL"/>
              <w:rPr>
                <w:sz w:val="16"/>
                <w:szCs w:val="16"/>
              </w:rPr>
            </w:pPr>
            <w:r w:rsidRPr="00873B6C">
              <w:rPr>
                <w:sz w:val="16"/>
                <w:szCs w:val="16"/>
              </w:rPr>
              <w:t>Allowed NSSAI when NSSAA fails</w:t>
            </w:r>
          </w:p>
        </w:tc>
        <w:tc>
          <w:tcPr>
            <w:tcW w:w="708" w:type="dxa"/>
            <w:shd w:val="solid" w:color="FFFFFF" w:fill="auto"/>
          </w:tcPr>
          <w:p w14:paraId="195ED9CA" w14:textId="30C37F2C" w:rsidR="00570265" w:rsidRPr="00873B6C" w:rsidRDefault="00570265" w:rsidP="009D14FB">
            <w:pPr>
              <w:pStyle w:val="TAC"/>
              <w:rPr>
                <w:sz w:val="16"/>
                <w:szCs w:val="16"/>
              </w:rPr>
            </w:pPr>
            <w:r w:rsidRPr="00873B6C">
              <w:rPr>
                <w:sz w:val="16"/>
                <w:szCs w:val="16"/>
              </w:rPr>
              <w:t>17.1.0</w:t>
            </w:r>
          </w:p>
        </w:tc>
      </w:tr>
      <w:tr w:rsidR="00AF315F" w:rsidRPr="00873B6C" w14:paraId="05EB0409" w14:textId="77777777" w:rsidTr="009D14FB">
        <w:tc>
          <w:tcPr>
            <w:tcW w:w="800" w:type="dxa"/>
            <w:shd w:val="solid" w:color="FFFFFF" w:fill="auto"/>
          </w:tcPr>
          <w:p w14:paraId="189DEA1F" w14:textId="24069162" w:rsidR="00AF315F" w:rsidRPr="00873B6C" w:rsidRDefault="00AF315F" w:rsidP="009D14FB">
            <w:pPr>
              <w:pStyle w:val="TAC"/>
              <w:rPr>
                <w:sz w:val="16"/>
                <w:szCs w:val="16"/>
              </w:rPr>
            </w:pPr>
            <w:r w:rsidRPr="00873B6C">
              <w:rPr>
                <w:sz w:val="16"/>
                <w:szCs w:val="16"/>
              </w:rPr>
              <w:t>2021-06</w:t>
            </w:r>
          </w:p>
        </w:tc>
        <w:tc>
          <w:tcPr>
            <w:tcW w:w="800" w:type="dxa"/>
            <w:shd w:val="solid" w:color="FFFFFF" w:fill="auto"/>
          </w:tcPr>
          <w:p w14:paraId="7D2B623A" w14:textId="2B0422B9" w:rsidR="00AF315F" w:rsidRPr="00873B6C" w:rsidRDefault="00AF315F" w:rsidP="009D14FB">
            <w:pPr>
              <w:pStyle w:val="TAL"/>
              <w:rPr>
                <w:sz w:val="16"/>
                <w:szCs w:val="16"/>
              </w:rPr>
            </w:pPr>
            <w:r w:rsidRPr="00873B6C">
              <w:rPr>
                <w:sz w:val="16"/>
                <w:szCs w:val="16"/>
              </w:rPr>
              <w:t>SP#92E</w:t>
            </w:r>
          </w:p>
        </w:tc>
        <w:tc>
          <w:tcPr>
            <w:tcW w:w="1094" w:type="dxa"/>
            <w:shd w:val="solid" w:color="FFFFFF" w:fill="auto"/>
          </w:tcPr>
          <w:p w14:paraId="04644967" w14:textId="0DD1FA9F" w:rsidR="00AF315F" w:rsidRPr="00873B6C" w:rsidRDefault="00AF315F" w:rsidP="009D14FB">
            <w:pPr>
              <w:pStyle w:val="TAC"/>
              <w:rPr>
                <w:sz w:val="16"/>
                <w:szCs w:val="16"/>
              </w:rPr>
            </w:pPr>
            <w:r w:rsidRPr="00873B6C">
              <w:rPr>
                <w:sz w:val="16"/>
                <w:szCs w:val="16"/>
              </w:rPr>
              <w:t>SP-210355</w:t>
            </w:r>
          </w:p>
        </w:tc>
        <w:tc>
          <w:tcPr>
            <w:tcW w:w="567" w:type="dxa"/>
            <w:shd w:val="solid" w:color="FFFFFF" w:fill="auto"/>
          </w:tcPr>
          <w:p w14:paraId="1660B17D" w14:textId="0A1AD43B" w:rsidR="00AF315F" w:rsidRPr="00873B6C" w:rsidRDefault="00AF315F" w:rsidP="009D14FB">
            <w:pPr>
              <w:pStyle w:val="TAL"/>
              <w:rPr>
                <w:sz w:val="16"/>
                <w:szCs w:val="16"/>
              </w:rPr>
            </w:pPr>
            <w:r w:rsidRPr="00873B6C">
              <w:rPr>
                <w:sz w:val="16"/>
                <w:szCs w:val="16"/>
              </w:rPr>
              <w:t>2924</w:t>
            </w:r>
          </w:p>
        </w:tc>
        <w:tc>
          <w:tcPr>
            <w:tcW w:w="425" w:type="dxa"/>
            <w:shd w:val="solid" w:color="FFFFFF" w:fill="auto"/>
          </w:tcPr>
          <w:p w14:paraId="1685BD50" w14:textId="0CBD41B6" w:rsidR="00AF315F" w:rsidRPr="00873B6C" w:rsidRDefault="00AF315F" w:rsidP="009D14FB">
            <w:pPr>
              <w:pStyle w:val="TAL"/>
              <w:rPr>
                <w:sz w:val="16"/>
                <w:szCs w:val="16"/>
              </w:rPr>
            </w:pPr>
            <w:r w:rsidRPr="00873B6C">
              <w:rPr>
                <w:sz w:val="16"/>
                <w:szCs w:val="16"/>
              </w:rPr>
              <w:t>1</w:t>
            </w:r>
          </w:p>
        </w:tc>
        <w:tc>
          <w:tcPr>
            <w:tcW w:w="425" w:type="dxa"/>
            <w:shd w:val="solid" w:color="FFFFFF" w:fill="auto"/>
          </w:tcPr>
          <w:p w14:paraId="23BC62AE" w14:textId="1EE3C606" w:rsidR="00AF315F" w:rsidRPr="00873B6C" w:rsidRDefault="00AF315F" w:rsidP="009D14FB">
            <w:pPr>
              <w:pStyle w:val="TAL"/>
              <w:rPr>
                <w:sz w:val="16"/>
                <w:szCs w:val="16"/>
              </w:rPr>
            </w:pPr>
            <w:r w:rsidRPr="00873B6C">
              <w:rPr>
                <w:sz w:val="16"/>
                <w:szCs w:val="16"/>
              </w:rPr>
              <w:t>B</w:t>
            </w:r>
          </w:p>
        </w:tc>
        <w:tc>
          <w:tcPr>
            <w:tcW w:w="4820" w:type="dxa"/>
            <w:shd w:val="solid" w:color="FFFFFF" w:fill="auto"/>
          </w:tcPr>
          <w:p w14:paraId="0D228508" w14:textId="1B0444D9" w:rsidR="00AF315F" w:rsidRPr="00873B6C" w:rsidRDefault="00AF315F" w:rsidP="009D14FB">
            <w:pPr>
              <w:pStyle w:val="TAL"/>
              <w:rPr>
                <w:sz w:val="16"/>
                <w:szCs w:val="16"/>
              </w:rPr>
            </w:pPr>
            <w:r w:rsidRPr="00873B6C">
              <w:rPr>
                <w:sz w:val="16"/>
                <w:szCs w:val="16"/>
              </w:rPr>
              <w:t>Network Slice Admission Control in EPC</w:t>
            </w:r>
          </w:p>
        </w:tc>
        <w:tc>
          <w:tcPr>
            <w:tcW w:w="708" w:type="dxa"/>
            <w:shd w:val="solid" w:color="FFFFFF" w:fill="auto"/>
          </w:tcPr>
          <w:p w14:paraId="005632E4" w14:textId="2222962B" w:rsidR="00AF315F" w:rsidRPr="00873B6C" w:rsidRDefault="00AF315F" w:rsidP="009D14FB">
            <w:pPr>
              <w:pStyle w:val="TAC"/>
              <w:rPr>
                <w:sz w:val="16"/>
                <w:szCs w:val="16"/>
              </w:rPr>
            </w:pPr>
            <w:r w:rsidRPr="00873B6C">
              <w:rPr>
                <w:sz w:val="16"/>
                <w:szCs w:val="16"/>
              </w:rPr>
              <w:t>17.1.0</w:t>
            </w:r>
          </w:p>
        </w:tc>
      </w:tr>
      <w:tr w:rsidR="00AF315F" w:rsidRPr="00873B6C" w14:paraId="7E8B8135" w14:textId="77777777" w:rsidTr="009D14FB">
        <w:tc>
          <w:tcPr>
            <w:tcW w:w="800" w:type="dxa"/>
            <w:shd w:val="solid" w:color="FFFFFF" w:fill="auto"/>
          </w:tcPr>
          <w:p w14:paraId="075B3027" w14:textId="48E8CAB6" w:rsidR="00AF315F" w:rsidRPr="00873B6C" w:rsidRDefault="00AF315F" w:rsidP="009D14FB">
            <w:pPr>
              <w:pStyle w:val="TAC"/>
              <w:rPr>
                <w:sz w:val="16"/>
                <w:szCs w:val="16"/>
              </w:rPr>
            </w:pPr>
            <w:r w:rsidRPr="00873B6C">
              <w:rPr>
                <w:sz w:val="16"/>
                <w:szCs w:val="16"/>
              </w:rPr>
              <w:t>2021-06</w:t>
            </w:r>
          </w:p>
        </w:tc>
        <w:tc>
          <w:tcPr>
            <w:tcW w:w="800" w:type="dxa"/>
            <w:shd w:val="solid" w:color="FFFFFF" w:fill="auto"/>
          </w:tcPr>
          <w:p w14:paraId="505301DD" w14:textId="25B576B8" w:rsidR="00AF315F" w:rsidRPr="00873B6C" w:rsidRDefault="00AF315F" w:rsidP="009D14FB">
            <w:pPr>
              <w:pStyle w:val="TAL"/>
              <w:rPr>
                <w:sz w:val="16"/>
                <w:szCs w:val="16"/>
              </w:rPr>
            </w:pPr>
            <w:r w:rsidRPr="00873B6C">
              <w:rPr>
                <w:sz w:val="16"/>
                <w:szCs w:val="16"/>
              </w:rPr>
              <w:t>SP#92E</w:t>
            </w:r>
          </w:p>
        </w:tc>
        <w:tc>
          <w:tcPr>
            <w:tcW w:w="1094" w:type="dxa"/>
            <w:shd w:val="solid" w:color="FFFFFF" w:fill="auto"/>
          </w:tcPr>
          <w:p w14:paraId="1B7B4FE2" w14:textId="197ADAA5" w:rsidR="00AF315F" w:rsidRPr="00873B6C" w:rsidRDefault="00AF315F" w:rsidP="009D14FB">
            <w:pPr>
              <w:pStyle w:val="TAC"/>
              <w:rPr>
                <w:sz w:val="16"/>
                <w:szCs w:val="16"/>
              </w:rPr>
            </w:pPr>
            <w:r w:rsidRPr="00873B6C">
              <w:rPr>
                <w:sz w:val="16"/>
                <w:szCs w:val="16"/>
              </w:rPr>
              <w:t>SP-210354</w:t>
            </w:r>
          </w:p>
        </w:tc>
        <w:tc>
          <w:tcPr>
            <w:tcW w:w="567" w:type="dxa"/>
            <w:shd w:val="solid" w:color="FFFFFF" w:fill="auto"/>
          </w:tcPr>
          <w:p w14:paraId="64B44759" w14:textId="313F1F0A" w:rsidR="00AF315F" w:rsidRPr="00873B6C" w:rsidRDefault="00AF315F" w:rsidP="009D14FB">
            <w:pPr>
              <w:pStyle w:val="TAL"/>
              <w:rPr>
                <w:sz w:val="16"/>
                <w:szCs w:val="16"/>
              </w:rPr>
            </w:pPr>
            <w:r w:rsidRPr="00873B6C">
              <w:rPr>
                <w:sz w:val="16"/>
                <w:szCs w:val="16"/>
              </w:rPr>
              <w:t>2926</w:t>
            </w:r>
          </w:p>
        </w:tc>
        <w:tc>
          <w:tcPr>
            <w:tcW w:w="425" w:type="dxa"/>
            <w:shd w:val="solid" w:color="FFFFFF" w:fill="auto"/>
          </w:tcPr>
          <w:p w14:paraId="73220EA6" w14:textId="746B31BB" w:rsidR="00AF315F" w:rsidRPr="00873B6C" w:rsidRDefault="00AF315F" w:rsidP="009D14FB">
            <w:pPr>
              <w:pStyle w:val="TAL"/>
              <w:rPr>
                <w:sz w:val="16"/>
                <w:szCs w:val="16"/>
              </w:rPr>
            </w:pPr>
            <w:r w:rsidRPr="00873B6C">
              <w:rPr>
                <w:sz w:val="16"/>
                <w:szCs w:val="16"/>
              </w:rPr>
              <w:t>1</w:t>
            </w:r>
          </w:p>
        </w:tc>
        <w:tc>
          <w:tcPr>
            <w:tcW w:w="425" w:type="dxa"/>
            <w:shd w:val="solid" w:color="FFFFFF" w:fill="auto"/>
          </w:tcPr>
          <w:p w14:paraId="7C98F707" w14:textId="2A5BF5A7" w:rsidR="00AF315F" w:rsidRPr="00873B6C" w:rsidRDefault="00AF315F" w:rsidP="009D14FB">
            <w:pPr>
              <w:pStyle w:val="TAL"/>
              <w:rPr>
                <w:sz w:val="16"/>
                <w:szCs w:val="16"/>
              </w:rPr>
            </w:pPr>
            <w:r w:rsidRPr="00873B6C">
              <w:rPr>
                <w:sz w:val="16"/>
                <w:szCs w:val="16"/>
              </w:rPr>
              <w:t>C</w:t>
            </w:r>
          </w:p>
        </w:tc>
        <w:tc>
          <w:tcPr>
            <w:tcW w:w="4820" w:type="dxa"/>
            <w:shd w:val="solid" w:color="FFFFFF" w:fill="auto"/>
          </w:tcPr>
          <w:p w14:paraId="1349CA25" w14:textId="064B8004" w:rsidR="00AF315F" w:rsidRPr="00873B6C" w:rsidRDefault="00AF315F" w:rsidP="009D14FB">
            <w:pPr>
              <w:pStyle w:val="TAL"/>
              <w:rPr>
                <w:sz w:val="16"/>
                <w:szCs w:val="16"/>
              </w:rPr>
            </w:pPr>
            <w:r w:rsidRPr="00873B6C">
              <w:rPr>
                <w:sz w:val="16"/>
                <w:szCs w:val="16"/>
              </w:rPr>
              <w:t>Interaction between AUSF and AAA Server</w:t>
            </w:r>
          </w:p>
        </w:tc>
        <w:tc>
          <w:tcPr>
            <w:tcW w:w="708" w:type="dxa"/>
            <w:shd w:val="solid" w:color="FFFFFF" w:fill="auto"/>
          </w:tcPr>
          <w:p w14:paraId="10DCB800" w14:textId="2F6FFCDB" w:rsidR="00AF315F" w:rsidRPr="00873B6C" w:rsidRDefault="00AF315F" w:rsidP="009D14FB">
            <w:pPr>
              <w:pStyle w:val="TAC"/>
              <w:rPr>
                <w:sz w:val="16"/>
                <w:szCs w:val="16"/>
              </w:rPr>
            </w:pPr>
            <w:r w:rsidRPr="00873B6C">
              <w:rPr>
                <w:sz w:val="16"/>
                <w:szCs w:val="16"/>
              </w:rPr>
              <w:t>17.1.0</w:t>
            </w:r>
          </w:p>
        </w:tc>
      </w:tr>
      <w:tr w:rsidR="000F5D21" w:rsidRPr="00873B6C" w14:paraId="6B586B85" w14:textId="77777777" w:rsidTr="009D14FB">
        <w:tc>
          <w:tcPr>
            <w:tcW w:w="800" w:type="dxa"/>
            <w:shd w:val="solid" w:color="FFFFFF" w:fill="auto"/>
          </w:tcPr>
          <w:p w14:paraId="12583E8F" w14:textId="3A21BCBC"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5E64A6AD" w14:textId="3B525608"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565B1390" w14:textId="72771BD1" w:rsidR="000F5D21" w:rsidRPr="00873B6C" w:rsidRDefault="000F5D21" w:rsidP="009D14FB">
            <w:pPr>
              <w:pStyle w:val="TAC"/>
              <w:rPr>
                <w:sz w:val="16"/>
                <w:szCs w:val="16"/>
              </w:rPr>
            </w:pPr>
            <w:r w:rsidRPr="00873B6C">
              <w:rPr>
                <w:sz w:val="16"/>
                <w:szCs w:val="16"/>
              </w:rPr>
              <w:t>SP-210362</w:t>
            </w:r>
          </w:p>
        </w:tc>
        <w:tc>
          <w:tcPr>
            <w:tcW w:w="567" w:type="dxa"/>
            <w:shd w:val="solid" w:color="FFFFFF" w:fill="auto"/>
          </w:tcPr>
          <w:p w14:paraId="7F0A578C" w14:textId="0AB8D748" w:rsidR="000F5D21" w:rsidRPr="00873B6C" w:rsidRDefault="000F5D21" w:rsidP="009D14FB">
            <w:pPr>
              <w:pStyle w:val="TAL"/>
              <w:rPr>
                <w:sz w:val="16"/>
                <w:szCs w:val="16"/>
              </w:rPr>
            </w:pPr>
            <w:r w:rsidRPr="00873B6C">
              <w:rPr>
                <w:sz w:val="16"/>
                <w:szCs w:val="16"/>
              </w:rPr>
              <w:t>2927</w:t>
            </w:r>
          </w:p>
        </w:tc>
        <w:tc>
          <w:tcPr>
            <w:tcW w:w="425" w:type="dxa"/>
            <w:shd w:val="solid" w:color="FFFFFF" w:fill="auto"/>
          </w:tcPr>
          <w:p w14:paraId="4ACD86B3" w14:textId="3B7BC07D"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49B57025" w14:textId="74B45FA5" w:rsidR="000F5D21" w:rsidRPr="00873B6C" w:rsidRDefault="000F5D21" w:rsidP="009D14FB">
            <w:pPr>
              <w:pStyle w:val="TAL"/>
              <w:rPr>
                <w:sz w:val="16"/>
                <w:szCs w:val="16"/>
              </w:rPr>
            </w:pPr>
            <w:r w:rsidRPr="00873B6C">
              <w:rPr>
                <w:sz w:val="16"/>
                <w:szCs w:val="16"/>
              </w:rPr>
              <w:t>B</w:t>
            </w:r>
          </w:p>
        </w:tc>
        <w:tc>
          <w:tcPr>
            <w:tcW w:w="4820" w:type="dxa"/>
            <w:shd w:val="solid" w:color="FFFFFF" w:fill="auto"/>
          </w:tcPr>
          <w:p w14:paraId="509C2397" w14:textId="7EDA2892" w:rsidR="000F5D21" w:rsidRPr="00873B6C" w:rsidRDefault="000F5D21" w:rsidP="009D14FB">
            <w:pPr>
              <w:pStyle w:val="TAL"/>
              <w:rPr>
                <w:sz w:val="16"/>
                <w:szCs w:val="16"/>
              </w:rPr>
            </w:pPr>
            <w:r w:rsidRPr="00873B6C">
              <w:rPr>
                <w:sz w:val="16"/>
                <w:szCs w:val="16"/>
              </w:rPr>
              <w:t xml:space="preserve">Introduction of MUSIM capability </w:t>
            </w:r>
            <w:r w:rsidR="009722D9" w:rsidRPr="00873B6C">
              <w:rPr>
                <w:sz w:val="16"/>
                <w:szCs w:val="16"/>
              </w:rPr>
              <w:t>exchange</w:t>
            </w:r>
          </w:p>
        </w:tc>
        <w:tc>
          <w:tcPr>
            <w:tcW w:w="708" w:type="dxa"/>
            <w:shd w:val="solid" w:color="FFFFFF" w:fill="auto"/>
          </w:tcPr>
          <w:p w14:paraId="110E4421" w14:textId="28734A8B" w:rsidR="000F5D21" w:rsidRPr="00873B6C" w:rsidRDefault="000F5D21" w:rsidP="009D14FB">
            <w:pPr>
              <w:pStyle w:val="TAC"/>
              <w:rPr>
                <w:sz w:val="16"/>
                <w:szCs w:val="16"/>
              </w:rPr>
            </w:pPr>
            <w:r w:rsidRPr="00873B6C">
              <w:rPr>
                <w:sz w:val="16"/>
                <w:szCs w:val="16"/>
              </w:rPr>
              <w:t>17.1.0</w:t>
            </w:r>
          </w:p>
        </w:tc>
      </w:tr>
      <w:tr w:rsidR="000F5D21" w:rsidRPr="00873B6C" w14:paraId="207DA763" w14:textId="77777777" w:rsidTr="009D14FB">
        <w:tc>
          <w:tcPr>
            <w:tcW w:w="800" w:type="dxa"/>
            <w:shd w:val="solid" w:color="FFFFFF" w:fill="auto"/>
          </w:tcPr>
          <w:p w14:paraId="03F3C294" w14:textId="0F8B3C9C"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397C4EE1" w14:textId="6BA0F6A0"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70EAE088" w14:textId="7B4833D2" w:rsidR="000F5D21" w:rsidRPr="00873B6C" w:rsidRDefault="000F5D21" w:rsidP="009D14FB">
            <w:pPr>
              <w:pStyle w:val="TAC"/>
              <w:rPr>
                <w:sz w:val="16"/>
                <w:szCs w:val="16"/>
              </w:rPr>
            </w:pPr>
            <w:r w:rsidRPr="00873B6C">
              <w:rPr>
                <w:sz w:val="16"/>
                <w:szCs w:val="16"/>
              </w:rPr>
              <w:t>SP-210330</w:t>
            </w:r>
          </w:p>
        </w:tc>
        <w:tc>
          <w:tcPr>
            <w:tcW w:w="567" w:type="dxa"/>
            <w:shd w:val="solid" w:color="FFFFFF" w:fill="auto"/>
          </w:tcPr>
          <w:p w14:paraId="7DB4B697" w14:textId="037980C5" w:rsidR="000F5D21" w:rsidRPr="00873B6C" w:rsidRDefault="000F5D21" w:rsidP="009D14FB">
            <w:pPr>
              <w:pStyle w:val="TAL"/>
              <w:rPr>
                <w:sz w:val="16"/>
                <w:szCs w:val="16"/>
              </w:rPr>
            </w:pPr>
            <w:r w:rsidRPr="00873B6C">
              <w:rPr>
                <w:sz w:val="16"/>
                <w:szCs w:val="16"/>
              </w:rPr>
              <w:t>2931</w:t>
            </w:r>
          </w:p>
        </w:tc>
        <w:tc>
          <w:tcPr>
            <w:tcW w:w="425" w:type="dxa"/>
            <w:shd w:val="solid" w:color="FFFFFF" w:fill="auto"/>
          </w:tcPr>
          <w:p w14:paraId="18CDC25B" w14:textId="28EC4D43"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28A5EE82" w14:textId="5C347DB7" w:rsidR="000F5D21" w:rsidRPr="00873B6C" w:rsidRDefault="000F5D21" w:rsidP="009D14FB">
            <w:pPr>
              <w:pStyle w:val="TAL"/>
              <w:rPr>
                <w:sz w:val="16"/>
                <w:szCs w:val="16"/>
              </w:rPr>
            </w:pPr>
            <w:r w:rsidRPr="00873B6C">
              <w:rPr>
                <w:sz w:val="16"/>
                <w:szCs w:val="16"/>
              </w:rPr>
              <w:t>A</w:t>
            </w:r>
          </w:p>
        </w:tc>
        <w:tc>
          <w:tcPr>
            <w:tcW w:w="4820" w:type="dxa"/>
            <w:shd w:val="solid" w:color="FFFFFF" w:fill="auto"/>
          </w:tcPr>
          <w:p w14:paraId="00BBB5B7" w14:textId="60047BC3" w:rsidR="000F5D21" w:rsidRPr="00873B6C" w:rsidRDefault="000F5D21" w:rsidP="009D14FB">
            <w:pPr>
              <w:pStyle w:val="TAL"/>
              <w:rPr>
                <w:sz w:val="16"/>
                <w:szCs w:val="16"/>
              </w:rPr>
            </w:pPr>
            <w:r w:rsidRPr="00873B6C">
              <w:rPr>
                <w:sz w:val="16"/>
                <w:szCs w:val="16"/>
              </w:rPr>
              <w:t>Support for UPIP for other than NR</w:t>
            </w:r>
          </w:p>
        </w:tc>
        <w:tc>
          <w:tcPr>
            <w:tcW w:w="708" w:type="dxa"/>
            <w:shd w:val="solid" w:color="FFFFFF" w:fill="auto"/>
          </w:tcPr>
          <w:p w14:paraId="3C36E1B5" w14:textId="042A6887" w:rsidR="000F5D21" w:rsidRPr="00873B6C" w:rsidRDefault="000F5D21" w:rsidP="009D14FB">
            <w:pPr>
              <w:pStyle w:val="TAC"/>
              <w:rPr>
                <w:sz w:val="16"/>
                <w:szCs w:val="16"/>
              </w:rPr>
            </w:pPr>
            <w:r w:rsidRPr="00873B6C">
              <w:rPr>
                <w:sz w:val="16"/>
                <w:szCs w:val="16"/>
              </w:rPr>
              <w:t>17.1.0</w:t>
            </w:r>
          </w:p>
        </w:tc>
      </w:tr>
      <w:tr w:rsidR="000F5D21" w:rsidRPr="00873B6C" w14:paraId="74F0CAE6" w14:textId="77777777" w:rsidTr="009D14FB">
        <w:tc>
          <w:tcPr>
            <w:tcW w:w="800" w:type="dxa"/>
            <w:shd w:val="solid" w:color="FFFFFF" w:fill="auto"/>
          </w:tcPr>
          <w:p w14:paraId="27C448FC" w14:textId="54A4E1C6"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3030ADA3" w14:textId="54764B76"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568201A2" w14:textId="41DED551" w:rsidR="000F5D21" w:rsidRPr="00873B6C" w:rsidRDefault="000F5D21" w:rsidP="009D14FB">
            <w:pPr>
              <w:pStyle w:val="TAC"/>
              <w:rPr>
                <w:sz w:val="16"/>
                <w:szCs w:val="16"/>
              </w:rPr>
            </w:pPr>
            <w:r w:rsidRPr="00873B6C">
              <w:rPr>
                <w:sz w:val="16"/>
                <w:szCs w:val="16"/>
              </w:rPr>
              <w:t>SP-210347</w:t>
            </w:r>
          </w:p>
        </w:tc>
        <w:tc>
          <w:tcPr>
            <w:tcW w:w="567" w:type="dxa"/>
            <w:shd w:val="solid" w:color="FFFFFF" w:fill="auto"/>
          </w:tcPr>
          <w:p w14:paraId="54857F43" w14:textId="38D8CDA6" w:rsidR="000F5D21" w:rsidRPr="00873B6C" w:rsidRDefault="000F5D21" w:rsidP="009D14FB">
            <w:pPr>
              <w:pStyle w:val="TAL"/>
              <w:rPr>
                <w:sz w:val="16"/>
                <w:szCs w:val="16"/>
              </w:rPr>
            </w:pPr>
            <w:r w:rsidRPr="00873B6C">
              <w:rPr>
                <w:sz w:val="16"/>
                <w:szCs w:val="16"/>
              </w:rPr>
              <w:t>2934</w:t>
            </w:r>
          </w:p>
        </w:tc>
        <w:tc>
          <w:tcPr>
            <w:tcW w:w="425" w:type="dxa"/>
            <w:shd w:val="solid" w:color="FFFFFF" w:fill="auto"/>
          </w:tcPr>
          <w:p w14:paraId="20701E42" w14:textId="32518E04" w:rsidR="000F5D21" w:rsidRPr="00873B6C" w:rsidRDefault="000F5D21" w:rsidP="009D14FB">
            <w:pPr>
              <w:pStyle w:val="TAL"/>
              <w:rPr>
                <w:sz w:val="16"/>
                <w:szCs w:val="16"/>
              </w:rPr>
            </w:pPr>
            <w:r w:rsidRPr="00873B6C">
              <w:rPr>
                <w:sz w:val="16"/>
                <w:szCs w:val="16"/>
              </w:rPr>
              <w:t xml:space="preserve">1 </w:t>
            </w:r>
          </w:p>
        </w:tc>
        <w:tc>
          <w:tcPr>
            <w:tcW w:w="425" w:type="dxa"/>
            <w:shd w:val="solid" w:color="FFFFFF" w:fill="auto"/>
          </w:tcPr>
          <w:p w14:paraId="0845998E" w14:textId="16C0615F" w:rsidR="000F5D21" w:rsidRPr="00873B6C" w:rsidRDefault="000F5D21" w:rsidP="009D14FB">
            <w:pPr>
              <w:pStyle w:val="TAL"/>
              <w:rPr>
                <w:sz w:val="16"/>
                <w:szCs w:val="16"/>
              </w:rPr>
            </w:pPr>
            <w:r w:rsidRPr="00873B6C">
              <w:rPr>
                <w:sz w:val="16"/>
                <w:szCs w:val="16"/>
              </w:rPr>
              <w:t>F</w:t>
            </w:r>
          </w:p>
        </w:tc>
        <w:tc>
          <w:tcPr>
            <w:tcW w:w="4820" w:type="dxa"/>
            <w:shd w:val="solid" w:color="FFFFFF" w:fill="auto"/>
          </w:tcPr>
          <w:p w14:paraId="71208C50" w14:textId="38102CB8" w:rsidR="000F5D21" w:rsidRPr="00873B6C" w:rsidRDefault="000F5D21" w:rsidP="009D14FB">
            <w:pPr>
              <w:pStyle w:val="TAL"/>
              <w:rPr>
                <w:sz w:val="16"/>
                <w:szCs w:val="16"/>
              </w:rPr>
            </w:pPr>
            <w:r w:rsidRPr="00873B6C">
              <w:rPr>
                <w:sz w:val="16"/>
                <w:szCs w:val="16"/>
              </w:rPr>
              <w:t>Update on uplink traffic buffering</w:t>
            </w:r>
          </w:p>
        </w:tc>
        <w:tc>
          <w:tcPr>
            <w:tcW w:w="708" w:type="dxa"/>
            <w:shd w:val="solid" w:color="FFFFFF" w:fill="auto"/>
          </w:tcPr>
          <w:p w14:paraId="08B3CDF4" w14:textId="1D1CC288" w:rsidR="000F5D21" w:rsidRPr="00873B6C" w:rsidRDefault="000F5D21" w:rsidP="009D14FB">
            <w:pPr>
              <w:pStyle w:val="TAC"/>
              <w:rPr>
                <w:sz w:val="16"/>
                <w:szCs w:val="16"/>
              </w:rPr>
            </w:pPr>
            <w:r w:rsidRPr="00873B6C">
              <w:rPr>
                <w:sz w:val="16"/>
                <w:szCs w:val="16"/>
              </w:rPr>
              <w:t>17.1.0</w:t>
            </w:r>
          </w:p>
        </w:tc>
      </w:tr>
      <w:tr w:rsidR="000F5D21" w:rsidRPr="00873B6C" w14:paraId="07E8CDD3" w14:textId="77777777" w:rsidTr="009D14FB">
        <w:tc>
          <w:tcPr>
            <w:tcW w:w="800" w:type="dxa"/>
            <w:shd w:val="solid" w:color="FFFFFF" w:fill="auto"/>
          </w:tcPr>
          <w:p w14:paraId="744BA8C1" w14:textId="092CCB82"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1595F67E" w14:textId="1687E204"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351DF559" w14:textId="1B1D5C71" w:rsidR="000F5D21" w:rsidRPr="00873B6C" w:rsidRDefault="000F5D21" w:rsidP="009D14FB">
            <w:pPr>
              <w:pStyle w:val="TAC"/>
              <w:rPr>
                <w:sz w:val="16"/>
                <w:szCs w:val="16"/>
              </w:rPr>
            </w:pPr>
            <w:r w:rsidRPr="00873B6C">
              <w:rPr>
                <w:sz w:val="16"/>
                <w:szCs w:val="16"/>
              </w:rPr>
              <w:t>SP-210347</w:t>
            </w:r>
          </w:p>
        </w:tc>
        <w:tc>
          <w:tcPr>
            <w:tcW w:w="567" w:type="dxa"/>
            <w:shd w:val="solid" w:color="FFFFFF" w:fill="auto"/>
          </w:tcPr>
          <w:p w14:paraId="595A2C4D" w14:textId="1C84B08A" w:rsidR="000F5D21" w:rsidRPr="00873B6C" w:rsidRDefault="000F5D21" w:rsidP="009D14FB">
            <w:pPr>
              <w:pStyle w:val="TAL"/>
              <w:rPr>
                <w:sz w:val="16"/>
                <w:szCs w:val="16"/>
              </w:rPr>
            </w:pPr>
            <w:r w:rsidRPr="00873B6C">
              <w:rPr>
                <w:sz w:val="16"/>
                <w:szCs w:val="16"/>
              </w:rPr>
              <w:t>2935</w:t>
            </w:r>
          </w:p>
        </w:tc>
        <w:tc>
          <w:tcPr>
            <w:tcW w:w="425" w:type="dxa"/>
            <w:shd w:val="solid" w:color="FFFFFF" w:fill="auto"/>
          </w:tcPr>
          <w:p w14:paraId="73625F0F" w14:textId="16806B8F"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1FE5C188" w14:textId="5969A2AB" w:rsidR="000F5D21" w:rsidRPr="00873B6C" w:rsidRDefault="000F5D21" w:rsidP="009D14FB">
            <w:pPr>
              <w:pStyle w:val="TAL"/>
              <w:rPr>
                <w:sz w:val="16"/>
                <w:szCs w:val="16"/>
              </w:rPr>
            </w:pPr>
            <w:r w:rsidRPr="00873B6C">
              <w:rPr>
                <w:sz w:val="16"/>
                <w:szCs w:val="16"/>
              </w:rPr>
              <w:t>F</w:t>
            </w:r>
          </w:p>
        </w:tc>
        <w:tc>
          <w:tcPr>
            <w:tcW w:w="4820" w:type="dxa"/>
            <w:shd w:val="solid" w:color="FFFFFF" w:fill="auto"/>
          </w:tcPr>
          <w:p w14:paraId="4C3E3447" w14:textId="400D0F1D" w:rsidR="000F5D21" w:rsidRPr="00873B6C" w:rsidRDefault="000F5D21" w:rsidP="009D14FB">
            <w:pPr>
              <w:pStyle w:val="TAL"/>
              <w:rPr>
                <w:sz w:val="16"/>
                <w:szCs w:val="16"/>
              </w:rPr>
            </w:pPr>
            <w:r w:rsidRPr="00873B6C">
              <w:rPr>
                <w:sz w:val="16"/>
                <w:szCs w:val="16"/>
              </w:rPr>
              <w:t>AF Influence enhancement for EAS Rediscovery at Edge Relocation</w:t>
            </w:r>
          </w:p>
        </w:tc>
        <w:tc>
          <w:tcPr>
            <w:tcW w:w="708" w:type="dxa"/>
            <w:shd w:val="solid" w:color="FFFFFF" w:fill="auto"/>
          </w:tcPr>
          <w:p w14:paraId="096878A3" w14:textId="2010D922" w:rsidR="000F5D21" w:rsidRPr="00873B6C" w:rsidRDefault="000F5D21" w:rsidP="009D14FB">
            <w:pPr>
              <w:pStyle w:val="TAC"/>
              <w:rPr>
                <w:sz w:val="16"/>
                <w:szCs w:val="16"/>
              </w:rPr>
            </w:pPr>
            <w:r w:rsidRPr="00873B6C">
              <w:rPr>
                <w:sz w:val="16"/>
                <w:szCs w:val="16"/>
              </w:rPr>
              <w:t>17.1.0</w:t>
            </w:r>
          </w:p>
        </w:tc>
      </w:tr>
      <w:tr w:rsidR="000F5D21" w:rsidRPr="00873B6C" w14:paraId="30DACBE6" w14:textId="77777777" w:rsidTr="009D14FB">
        <w:tc>
          <w:tcPr>
            <w:tcW w:w="800" w:type="dxa"/>
            <w:shd w:val="solid" w:color="FFFFFF" w:fill="auto"/>
          </w:tcPr>
          <w:p w14:paraId="54DC7D01" w14:textId="54CD1663"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29B46036" w14:textId="5AE0BA04"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07DBD116" w14:textId="17CDB4FF" w:rsidR="000F5D21" w:rsidRPr="00873B6C" w:rsidRDefault="000F5D21" w:rsidP="009D14FB">
            <w:pPr>
              <w:pStyle w:val="TAC"/>
              <w:rPr>
                <w:sz w:val="16"/>
                <w:szCs w:val="16"/>
              </w:rPr>
            </w:pPr>
            <w:r w:rsidRPr="00873B6C">
              <w:rPr>
                <w:sz w:val="16"/>
                <w:szCs w:val="16"/>
              </w:rPr>
              <w:t>SP-210355</w:t>
            </w:r>
          </w:p>
        </w:tc>
        <w:tc>
          <w:tcPr>
            <w:tcW w:w="567" w:type="dxa"/>
            <w:shd w:val="solid" w:color="FFFFFF" w:fill="auto"/>
          </w:tcPr>
          <w:p w14:paraId="16F0E7D3" w14:textId="57486BF9" w:rsidR="000F5D21" w:rsidRPr="00873B6C" w:rsidRDefault="000F5D21" w:rsidP="009D14FB">
            <w:pPr>
              <w:pStyle w:val="TAL"/>
              <w:rPr>
                <w:sz w:val="16"/>
                <w:szCs w:val="16"/>
              </w:rPr>
            </w:pPr>
            <w:r w:rsidRPr="00873B6C">
              <w:rPr>
                <w:sz w:val="16"/>
                <w:szCs w:val="16"/>
              </w:rPr>
              <w:t>2937</w:t>
            </w:r>
          </w:p>
        </w:tc>
        <w:tc>
          <w:tcPr>
            <w:tcW w:w="425" w:type="dxa"/>
            <w:shd w:val="solid" w:color="FFFFFF" w:fill="auto"/>
          </w:tcPr>
          <w:p w14:paraId="32FA5149" w14:textId="42B8F6A9"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480D29DF" w14:textId="1D5C8FC4" w:rsidR="000F5D21" w:rsidRPr="00873B6C" w:rsidRDefault="000F5D21" w:rsidP="009D14FB">
            <w:pPr>
              <w:pStyle w:val="TAL"/>
              <w:rPr>
                <w:sz w:val="16"/>
                <w:szCs w:val="16"/>
              </w:rPr>
            </w:pPr>
            <w:r w:rsidRPr="00873B6C">
              <w:rPr>
                <w:sz w:val="16"/>
                <w:szCs w:val="16"/>
              </w:rPr>
              <w:t>B</w:t>
            </w:r>
          </w:p>
        </w:tc>
        <w:tc>
          <w:tcPr>
            <w:tcW w:w="4820" w:type="dxa"/>
            <w:shd w:val="solid" w:color="FFFFFF" w:fill="auto"/>
          </w:tcPr>
          <w:p w14:paraId="3C0C2D5F" w14:textId="4CB6B1BE" w:rsidR="000F5D21" w:rsidRPr="00873B6C" w:rsidRDefault="000F5D21" w:rsidP="009D14FB">
            <w:pPr>
              <w:pStyle w:val="TAL"/>
              <w:rPr>
                <w:sz w:val="16"/>
                <w:szCs w:val="16"/>
              </w:rPr>
            </w:pPr>
            <w:r w:rsidRPr="00873B6C">
              <w:rPr>
                <w:sz w:val="16"/>
                <w:szCs w:val="16"/>
              </w:rPr>
              <w:t>NSAC with consideration of access type</w:t>
            </w:r>
          </w:p>
        </w:tc>
        <w:tc>
          <w:tcPr>
            <w:tcW w:w="708" w:type="dxa"/>
            <w:shd w:val="solid" w:color="FFFFFF" w:fill="auto"/>
          </w:tcPr>
          <w:p w14:paraId="3A357BCA" w14:textId="08239E57" w:rsidR="000F5D21" w:rsidRPr="00873B6C" w:rsidRDefault="000F5D21" w:rsidP="009D14FB">
            <w:pPr>
              <w:pStyle w:val="TAC"/>
              <w:rPr>
                <w:sz w:val="16"/>
                <w:szCs w:val="16"/>
              </w:rPr>
            </w:pPr>
            <w:r w:rsidRPr="00873B6C">
              <w:rPr>
                <w:sz w:val="16"/>
                <w:szCs w:val="16"/>
              </w:rPr>
              <w:t>17.1.0</w:t>
            </w:r>
          </w:p>
        </w:tc>
      </w:tr>
      <w:tr w:rsidR="000F5D21" w:rsidRPr="00873B6C" w14:paraId="000ACC2B" w14:textId="77777777" w:rsidTr="009D14FB">
        <w:tc>
          <w:tcPr>
            <w:tcW w:w="800" w:type="dxa"/>
            <w:shd w:val="solid" w:color="FFFFFF" w:fill="auto"/>
          </w:tcPr>
          <w:p w14:paraId="17295AF3" w14:textId="39472CB8"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2892D2C1" w14:textId="7A8B50EE"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23ABEB9D" w14:textId="43818C19" w:rsidR="000F5D21" w:rsidRPr="00873B6C" w:rsidRDefault="000F5D21" w:rsidP="009D14FB">
            <w:pPr>
              <w:pStyle w:val="TAC"/>
              <w:rPr>
                <w:sz w:val="16"/>
                <w:szCs w:val="16"/>
              </w:rPr>
            </w:pPr>
            <w:r w:rsidRPr="00873B6C">
              <w:rPr>
                <w:sz w:val="16"/>
                <w:szCs w:val="16"/>
              </w:rPr>
              <w:t>SP-210351</w:t>
            </w:r>
          </w:p>
        </w:tc>
        <w:tc>
          <w:tcPr>
            <w:tcW w:w="567" w:type="dxa"/>
            <w:shd w:val="solid" w:color="FFFFFF" w:fill="auto"/>
          </w:tcPr>
          <w:p w14:paraId="157AB40A" w14:textId="16CA8D74" w:rsidR="000F5D21" w:rsidRPr="00873B6C" w:rsidRDefault="000F5D21" w:rsidP="009D14FB">
            <w:pPr>
              <w:pStyle w:val="TAL"/>
              <w:rPr>
                <w:sz w:val="16"/>
                <w:szCs w:val="16"/>
              </w:rPr>
            </w:pPr>
            <w:r w:rsidRPr="00873B6C">
              <w:rPr>
                <w:sz w:val="16"/>
                <w:szCs w:val="16"/>
              </w:rPr>
              <w:t>2938</w:t>
            </w:r>
          </w:p>
        </w:tc>
        <w:tc>
          <w:tcPr>
            <w:tcW w:w="425" w:type="dxa"/>
            <w:shd w:val="solid" w:color="FFFFFF" w:fill="auto"/>
          </w:tcPr>
          <w:p w14:paraId="1F599A7C" w14:textId="117990BC"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4B883906" w14:textId="70C01D88" w:rsidR="000F5D21" w:rsidRPr="00873B6C" w:rsidRDefault="000F5D21" w:rsidP="009D14FB">
            <w:pPr>
              <w:pStyle w:val="TAL"/>
              <w:rPr>
                <w:sz w:val="16"/>
                <w:szCs w:val="16"/>
              </w:rPr>
            </w:pPr>
            <w:r w:rsidRPr="00873B6C">
              <w:rPr>
                <w:sz w:val="16"/>
                <w:szCs w:val="16"/>
              </w:rPr>
              <w:t>C</w:t>
            </w:r>
          </w:p>
        </w:tc>
        <w:tc>
          <w:tcPr>
            <w:tcW w:w="4820" w:type="dxa"/>
            <w:shd w:val="solid" w:color="FFFFFF" w:fill="auto"/>
          </w:tcPr>
          <w:p w14:paraId="44007AF0" w14:textId="68634601" w:rsidR="000F5D21" w:rsidRPr="00873B6C" w:rsidRDefault="000F5D21" w:rsidP="009D14FB">
            <w:pPr>
              <w:pStyle w:val="TAL"/>
              <w:rPr>
                <w:sz w:val="16"/>
                <w:szCs w:val="16"/>
              </w:rPr>
            </w:pPr>
            <w:r w:rsidRPr="00873B6C">
              <w:rPr>
                <w:sz w:val="16"/>
                <w:szCs w:val="16"/>
              </w:rPr>
              <w:t>NWDAF assisted DNAI and UPF selection at SMF</w:t>
            </w:r>
          </w:p>
        </w:tc>
        <w:tc>
          <w:tcPr>
            <w:tcW w:w="708" w:type="dxa"/>
            <w:shd w:val="solid" w:color="FFFFFF" w:fill="auto"/>
          </w:tcPr>
          <w:p w14:paraId="61792845" w14:textId="5A48B6DA" w:rsidR="000F5D21" w:rsidRPr="00873B6C" w:rsidRDefault="000F5D21" w:rsidP="009D14FB">
            <w:pPr>
              <w:pStyle w:val="TAC"/>
              <w:rPr>
                <w:sz w:val="16"/>
                <w:szCs w:val="16"/>
              </w:rPr>
            </w:pPr>
            <w:r w:rsidRPr="00873B6C">
              <w:rPr>
                <w:sz w:val="16"/>
                <w:szCs w:val="16"/>
              </w:rPr>
              <w:t>17.1.0</w:t>
            </w:r>
          </w:p>
        </w:tc>
      </w:tr>
      <w:tr w:rsidR="000F5D21" w:rsidRPr="00873B6C" w14:paraId="47BA6AAF" w14:textId="77777777" w:rsidTr="009D14FB">
        <w:tc>
          <w:tcPr>
            <w:tcW w:w="800" w:type="dxa"/>
            <w:shd w:val="solid" w:color="FFFFFF" w:fill="auto"/>
          </w:tcPr>
          <w:p w14:paraId="26E093F1" w14:textId="559B9749"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10985879" w14:textId="4D07B1F2"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3F86DE38" w14:textId="35F518DF" w:rsidR="000F5D21" w:rsidRPr="00873B6C" w:rsidRDefault="000F5D21" w:rsidP="009D14FB">
            <w:pPr>
              <w:pStyle w:val="TAC"/>
              <w:rPr>
                <w:sz w:val="16"/>
                <w:szCs w:val="16"/>
              </w:rPr>
            </w:pPr>
            <w:r w:rsidRPr="00873B6C">
              <w:rPr>
                <w:sz w:val="16"/>
                <w:szCs w:val="16"/>
              </w:rPr>
              <w:t>SP-210354</w:t>
            </w:r>
          </w:p>
        </w:tc>
        <w:tc>
          <w:tcPr>
            <w:tcW w:w="567" w:type="dxa"/>
            <w:shd w:val="solid" w:color="FFFFFF" w:fill="auto"/>
          </w:tcPr>
          <w:p w14:paraId="3407D007" w14:textId="33E19D09" w:rsidR="000F5D21" w:rsidRPr="00873B6C" w:rsidRDefault="000F5D21" w:rsidP="009D14FB">
            <w:pPr>
              <w:pStyle w:val="TAL"/>
              <w:rPr>
                <w:sz w:val="16"/>
                <w:szCs w:val="16"/>
              </w:rPr>
            </w:pPr>
            <w:r w:rsidRPr="00873B6C">
              <w:rPr>
                <w:sz w:val="16"/>
                <w:szCs w:val="16"/>
              </w:rPr>
              <w:t>2939</w:t>
            </w:r>
          </w:p>
        </w:tc>
        <w:tc>
          <w:tcPr>
            <w:tcW w:w="425" w:type="dxa"/>
            <w:shd w:val="solid" w:color="FFFFFF" w:fill="auto"/>
          </w:tcPr>
          <w:p w14:paraId="2AC47389" w14:textId="793AE277"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4D912430" w14:textId="4BEAEAC4" w:rsidR="000F5D21" w:rsidRPr="00873B6C" w:rsidRDefault="000F5D21" w:rsidP="009D14FB">
            <w:pPr>
              <w:pStyle w:val="TAL"/>
              <w:rPr>
                <w:sz w:val="16"/>
                <w:szCs w:val="16"/>
              </w:rPr>
            </w:pPr>
            <w:r w:rsidRPr="00873B6C">
              <w:rPr>
                <w:sz w:val="16"/>
                <w:szCs w:val="16"/>
              </w:rPr>
              <w:t>F</w:t>
            </w:r>
          </w:p>
        </w:tc>
        <w:tc>
          <w:tcPr>
            <w:tcW w:w="4820" w:type="dxa"/>
            <w:shd w:val="solid" w:color="FFFFFF" w:fill="auto"/>
          </w:tcPr>
          <w:p w14:paraId="542621F9" w14:textId="5D0392B2" w:rsidR="000F5D21" w:rsidRPr="00873B6C" w:rsidRDefault="000F5D21" w:rsidP="009D14FB">
            <w:pPr>
              <w:pStyle w:val="TAL"/>
              <w:rPr>
                <w:sz w:val="16"/>
                <w:szCs w:val="16"/>
              </w:rPr>
            </w:pPr>
            <w:r w:rsidRPr="00873B6C">
              <w:rPr>
                <w:sz w:val="16"/>
                <w:szCs w:val="16"/>
              </w:rPr>
              <w:t>Correction to scenarios of external authentication</w:t>
            </w:r>
          </w:p>
        </w:tc>
        <w:tc>
          <w:tcPr>
            <w:tcW w:w="708" w:type="dxa"/>
            <w:shd w:val="solid" w:color="FFFFFF" w:fill="auto"/>
          </w:tcPr>
          <w:p w14:paraId="55F233CF" w14:textId="0E838376" w:rsidR="000F5D21" w:rsidRPr="00873B6C" w:rsidRDefault="000F5D21" w:rsidP="009D14FB">
            <w:pPr>
              <w:pStyle w:val="TAC"/>
              <w:rPr>
                <w:sz w:val="16"/>
                <w:szCs w:val="16"/>
              </w:rPr>
            </w:pPr>
            <w:r w:rsidRPr="00873B6C">
              <w:rPr>
                <w:sz w:val="16"/>
                <w:szCs w:val="16"/>
              </w:rPr>
              <w:t>17.1.0</w:t>
            </w:r>
          </w:p>
        </w:tc>
      </w:tr>
      <w:tr w:rsidR="000F5D21" w:rsidRPr="00873B6C" w14:paraId="775E4236" w14:textId="77777777" w:rsidTr="009D14FB">
        <w:tc>
          <w:tcPr>
            <w:tcW w:w="800" w:type="dxa"/>
            <w:shd w:val="solid" w:color="FFFFFF" w:fill="auto"/>
          </w:tcPr>
          <w:p w14:paraId="7A333E6D" w14:textId="761F0933"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1AEEC2A0" w14:textId="1FB0E5D6"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54AD44AC" w14:textId="6F9C3550" w:rsidR="000F5D21" w:rsidRPr="00873B6C" w:rsidRDefault="000F5D21" w:rsidP="009D14FB">
            <w:pPr>
              <w:pStyle w:val="TAC"/>
              <w:rPr>
                <w:sz w:val="16"/>
                <w:szCs w:val="16"/>
              </w:rPr>
            </w:pPr>
            <w:r w:rsidRPr="00873B6C">
              <w:rPr>
                <w:sz w:val="16"/>
                <w:szCs w:val="16"/>
              </w:rPr>
              <w:t>SP-210353</w:t>
            </w:r>
          </w:p>
        </w:tc>
        <w:tc>
          <w:tcPr>
            <w:tcW w:w="567" w:type="dxa"/>
            <w:shd w:val="solid" w:color="FFFFFF" w:fill="auto"/>
          </w:tcPr>
          <w:p w14:paraId="16305E71" w14:textId="1B45FF1B" w:rsidR="000F5D21" w:rsidRPr="00873B6C" w:rsidRDefault="000F5D21" w:rsidP="009D14FB">
            <w:pPr>
              <w:pStyle w:val="TAL"/>
              <w:rPr>
                <w:sz w:val="16"/>
                <w:szCs w:val="16"/>
              </w:rPr>
            </w:pPr>
            <w:r w:rsidRPr="00873B6C">
              <w:rPr>
                <w:sz w:val="16"/>
                <w:szCs w:val="16"/>
              </w:rPr>
              <w:t>2940</w:t>
            </w:r>
          </w:p>
        </w:tc>
        <w:tc>
          <w:tcPr>
            <w:tcW w:w="425" w:type="dxa"/>
            <w:shd w:val="solid" w:color="FFFFFF" w:fill="auto"/>
          </w:tcPr>
          <w:p w14:paraId="58A3D45D" w14:textId="44AE1CF8"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2016E049" w14:textId="42114DCF" w:rsidR="000F5D21" w:rsidRPr="00873B6C" w:rsidRDefault="000F5D21" w:rsidP="009D14FB">
            <w:pPr>
              <w:pStyle w:val="TAL"/>
              <w:rPr>
                <w:sz w:val="16"/>
                <w:szCs w:val="16"/>
              </w:rPr>
            </w:pPr>
            <w:r w:rsidRPr="00873B6C">
              <w:rPr>
                <w:sz w:val="16"/>
                <w:szCs w:val="16"/>
              </w:rPr>
              <w:t>B</w:t>
            </w:r>
          </w:p>
        </w:tc>
        <w:tc>
          <w:tcPr>
            <w:tcW w:w="4820" w:type="dxa"/>
            <w:shd w:val="solid" w:color="FFFFFF" w:fill="auto"/>
          </w:tcPr>
          <w:p w14:paraId="28A70499" w14:textId="1694FD27" w:rsidR="000F5D21" w:rsidRPr="00873B6C" w:rsidRDefault="000F5D21" w:rsidP="009D14FB">
            <w:pPr>
              <w:pStyle w:val="TAL"/>
              <w:rPr>
                <w:sz w:val="16"/>
                <w:szCs w:val="16"/>
              </w:rPr>
            </w:pPr>
            <w:r w:rsidRPr="00873B6C">
              <w:rPr>
                <w:sz w:val="16"/>
                <w:szCs w:val="16"/>
              </w:rPr>
              <w:t>Clarification on NID</w:t>
            </w:r>
          </w:p>
        </w:tc>
        <w:tc>
          <w:tcPr>
            <w:tcW w:w="708" w:type="dxa"/>
            <w:shd w:val="solid" w:color="FFFFFF" w:fill="auto"/>
          </w:tcPr>
          <w:p w14:paraId="2A681E47" w14:textId="49C1CB3B" w:rsidR="000F5D21" w:rsidRPr="00873B6C" w:rsidRDefault="000F5D21" w:rsidP="009D14FB">
            <w:pPr>
              <w:pStyle w:val="TAC"/>
              <w:rPr>
                <w:sz w:val="16"/>
                <w:szCs w:val="16"/>
              </w:rPr>
            </w:pPr>
            <w:r w:rsidRPr="00873B6C">
              <w:rPr>
                <w:sz w:val="16"/>
                <w:szCs w:val="16"/>
              </w:rPr>
              <w:t>17.1.0</w:t>
            </w:r>
          </w:p>
        </w:tc>
      </w:tr>
      <w:tr w:rsidR="000F5D21" w:rsidRPr="00873B6C" w14:paraId="72EA5AB6" w14:textId="77777777" w:rsidTr="009D14FB">
        <w:tc>
          <w:tcPr>
            <w:tcW w:w="800" w:type="dxa"/>
            <w:shd w:val="solid" w:color="FFFFFF" w:fill="auto"/>
          </w:tcPr>
          <w:p w14:paraId="69B0C587" w14:textId="23A6EC1C"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3D96AA14" w14:textId="55BCA88A"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58079988" w14:textId="591A00E0" w:rsidR="000F5D21" w:rsidRPr="00873B6C" w:rsidRDefault="000F5D21" w:rsidP="009D14FB">
            <w:pPr>
              <w:pStyle w:val="TAC"/>
              <w:rPr>
                <w:sz w:val="16"/>
                <w:szCs w:val="16"/>
              </w:rPr>
            </w:pPr>
            <w:r w:rsidRPr="00873B6C">
              <w:rPr>
                <w:sz w:val="16"/>
                <w:szCs w:val="16"/>
              </w:rPr>
              <w:t>SP-210341</w:t>
            </w:r>
          </w:p>
        </w:tc>
        <w:tc>
          <w:tcPr>
            <w:tcW w:w="567" w:type="dxa"/>
            <w:shd w:val="solid" w:color="FFFFFF" w:fill="auto"/>
          </w:tcPr>
          <w:p w14:paraId="3699CF32" w14:textId="7AF38EB0" w:rsidR="000F5D21" w:rsidRPr="00873B6C" w:rsidRDefault="000F5D21" w:rsidP="009D14FB">
            <w:pPr>
              <w:pStyle w:val="TAL"/>
              <w:rPr>
                <w:sz w:val="16"/>
                <w:szCs w:val="16"/>
              </w:rPr>
            </w:pPr>
            <w:r w:rsidRPr="00873B6C">
              <w:rPr>
                <w:sz w:val="16"/>
                <w:szCs w:val="16"/>
              </w:rPr>
              <w:t>2945</w:t>
            </w:r>
          </w:p>
        </w:tc>
        <w:tc>
          <w:tcPr>
            <w:tcW w:w="425" w:type="dxa"/>
            <w:shd w:val="solid" w:color="FFFFFF" w:fill="auto"/>
          </w:tcPr>
          <w:p w14:paraId="45AE945E" w14:textId="196BEEF4"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557EC6DE" w14:textId="01C52B1C" w:rsidR="000F5D21" w:rsidRPr="00873B6C" w:rsidRDefault="000F5D21" w:rsidP="009D14FB">
            <w:pPr>
              <w:pStyle w:val="TAL"/>
              <w:rPr>
                <w:sz w:val="16"/>
                <w:szCs w:val="16"/>
              </w:rPr>
            </w:pPr>
            <w:r w:rsidRPr="00873B6C">
              <w:rPr>
                <w:sz w:val="16"/>
                <w:szCs w:val="16"/>
              </w:rPr>
              <w:t>F</w:t>
            </w:r>
          </w:p>
        </w:tc>
        <w:tc>
          <w:tcPr>
            <w:tcW w:w="4820" w:type="dxa"/>
            <w:shd w:val="solid" w:color="FFFFFF" w:fill="auto"/>
          </w:tcPr>
          <w:p w14:paraId="7BA021FD" w14:textId="7C47A0CD" w:rsidR="000F5D21" w:rsidRPr="00873B6C" w:rsidRDefault="000F5D21" w:rsidP="009D14FB">
            <w:pPr>
              <w:pStyle w:val="TAL"/>
              <w:rPr>
                <w:sz w:val="16"/>
                <w:szCs w:val="16"/>
              </w:rPr>
            </w:pPr>
            <w:r w:rsidRPr="00873B6C">
              <w:rPr>
                <w:sz w:val="16"/>
                <w:szCs w:val="16"/>
              </w:rPr>
              <w:t>Clarification on the number of Subscribed S-NSSAIs</w:t>
            </w:r>
          </w:p>
        </w:tc>
        <w:tc>
          <w:tcPr>
            <w:tcW w:w="708" w:type="dxa"/>
            <w:shd w:val="solid" w:color="FFFFFF" w:fill="auto"/>
          </w:tcPr>
          <w:p w14:paraId="4944E3F7" w14:textId="4D478F14" w:rsidR="000F5D21" w:rsidRPr="00873B6C" w:rsidRDefault="000F5D21" w:rsidP="009D14FB">
            <w:pPr>
              <w:pStyle w:val="TAC"/>
              <w:rPr>
                <w:sz w:val="16"/>
                <w:szCs w:val="16"/>
              </w:rPr>
            </w:pPr>
            <w:r w:rsidRPr="00873B6C">
              <w:rPr>
                <w:sz w:val="16"/>
                <w:szCs w:val="16"/>
              </w:rPr>
              <w:t>17.1.0</w:t>
            </w:r>
          </w:p>
        </w:tc>
      </w:tr>
      <w:tr w:rsidR="000F5D21" w:rsidRPr="00873B6C" w14:paraId="15A79BEB" w14:textId="77777777" w:rsidTr="009D14FB">
        <w:tc>
          <w:tcPr>
            <w:tcW w:w="800" w:type="dxa"/>
            <w:shd w:val="solid" w:color="FFFFFF" w:fill="auto"/>
          </w:tcPr>
          <w:p w14:paraId="16892780" w14:textId="5A153247"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26BD0C01" w14:textId="7A36B890"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3D82462D" w14:textId="0A496D73" w:rsidR="000F5D21" w:rsidRPr="00873B6C" w:rsidRDefault="000F5D21" w:rsidP="009D14FB">
            <w:pPr>
              <w:pStyle w:val="TAC"/>
              <w:rPr>
                <w:sz w:val="16"/>
                <w:szCs w:val="16"/>
              </w:rPr>
            </w:pPr>
            <w:r w:rsidRPr="00873B6C">
              <w:rPr>
                <w:sz w:val="16"/>
                <w:szCs w:val="16"/>
              </w:rPr>
              <w:t>SP-210359</w:t>
            </w:r>
          </w:p>
        </w:tc>
        <w:tc>
          <w:tcPr>
            <w:tcW w:w="567" w:type="dxa"/>
            <w:shd w:val="solid" w:color="FFFFFF" w:fill="auto"/>
          </w:tcPr>
          <w:p w14:paraId="49CAEE96" w14:textId="44FD9451" w:rsidR="000F5D21" w:rsidRPr="00873B6C" w:rsidRDefault="000F5D21" w:rsidP="009D14FB">
            <w:pPr>
              <w:pStyle w:val="TAL"/>
              <w:rPr>
                <w:sz w:val="16"/>
                <w:szCs w:val="16"/>
              </w:rPr>
            </w:pPr>
            <w:r w:rsidRPr="00873B6C">
              <w:rPr>
                <w:sz w:val="16"/>
                <w:szCs w:val="16"/>
              </w:rPr>
              <w:t>2946</w:t>
            </w:r>
          </w:p>
        </w:tc>
        <w:tc>
          <w:tcPr>
            <w:tcW w:w="425" w:type="dxa"/>
            <w:shd w:val="solid" w:color="FFFFFF" w:fill="auto"/>
          </w:tcPr>
          <w:p w14:paraId="092FB9DA" w14:textId="75D6E238" w:rsidR="000F5D21" w:rsidRPr="00873B6C" w:rsidRDefault="000F5D21" w:rsidP="009D14FB">
            <w:pPr>
              <w:pStyle w:val="TAL"/>
              <w:rPr>
                <w:sz w:val="16"/>
                <w:szCs w:val="16"/>
              </w:rPr>
            </w:pPr>
            <w:r w:rsidRPr="00873B6C">
              <w:rPr>
                <w:sz w:val="16"/>
                <w:szCs w:val="16"/>
              </w:rPr>
              <w:t>-</w:t>
            </w:r>
          </w:p>
        </w:tc>
        <w:tc>
          <w:tcPr>
            <w:tcW w:w="425" w:type="dxa"/>
            <w:shd w:val="solid" w:color="FFFFFF" w:fill="auto"/>
          </w:tcPr>
          <w:p w14:paraId="06F98D02" w14:textId="63963D8A" w:rsidR="000F5D21" w:rsidRPr="00873B6C" w:rsidRDefault="000F5D21" w:rsidP="009D14FB">
            <w:pPr>
              <w:pStyle w:val="TAL"/>
              <w:rPr>
                <w:sz w:val="16"/>
                <w:szCs w:val="16"/>
              </w:rPr>
            </w:pPr>
            <w:r w:rsidRPr="00873B6C">
              <w:rPr>
                <w:sz w:val="16"/>
                <w:szCs w:val="16"/>
              </w:rPr>
              <w:t>C</w:t>
            </w:r>
          </w:p>
        </w:tc>
        <w:tc>
          <w:tcPr>
            <w:tcW w:w="4820" w:type="dxa"/>
            <w:shd w:val="solid" w:color="FFFFFF" w:fill="auto"/>
          </w:tcPr>
          <w:p w14:paraId="2EA32AAB" w14:textId="14347AE9" w:rsidR="000F5D21" w:rsidRPr="00873B6C" w:rsidRDefault="000F5D21" w:rsidP="009D14FB">
            <w:pPr>
              <w:pStyle w:val="TAL"/>
              <w:rPr>
                <w:sz w:val="16"/>
                <w:szCs w:val="16"/>
              </w:rPr>
            </w:pPr>
            <w:r w:rsidRPr="00873B6C">
              <w:rPr>
                <w:sz w:val="16"/>
                <w:szCs w:val="16"/>
              </w:rPr>
              <w:t>Definition of the UE-DS-TT residence time</w:t>
            </w:r>
          </w:p>
        </w:tc>
        <w:tc>
          <w:tcPr>
            <w:tcW w:w="708" w:type="dxa"/>
            <w:shd w:val="solid" w:color="FFFFFF" w:fill="auto"/>
          </w:tcPr>
          <w:p w14:paraId="44A8AAA7" w14:textId="21732ED7" w:rsidR="000F5D21" w:rsidRPr="00873B6C" w:rsidRDefault="000F5D21" w:rsidP="009D14FB">
            <w:pPr>
              <w:pStyle w:val="TAC"/>
              <w:rPr>
                <w:sz w:val="16"/>
                <w:szCs w:val="16"/>
              </w:rPr>
            </w:pPr>
            <w:r w:rsidRPr="00873B6C">
              <w:rPr>
                <w:sz w:val="16"/>
                <w:szCs w:val="16"/>
              </w:rPr>
              <w:t>17.1.0</w:t>
            </w:r>
          </w:p>
        </w:tc>
      </w:tr>
      <w:tr w:rsidR="000F5D21" w:rsidRPr="00873B6C" w14:paraId="5C142A6A" w14:textId="77777777" w:rsidTr="009D14FB">
        <w:tc>
          <w:tcPr>
            <w:tcW w:w="800" w:type="dxa"/>
            <w:shd w:val="solid" w:color="FFFFFF" w:fill="auto"/>
          </w:tcPr>
          <w:p w14:paraId="03A396B9" w14:textId="0CAC0F22"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35D9DF72" w14:textId="3FCD5109"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025DE0A6" w14:textId="00F4853A" w:rsidR="000F5D21" w:rsidRPr="00873B6C" w:rsidRDefault="000F5D21" w:rsidP="009D14FB">
            <w:pPr>
              <w:pStyle w:val="TAC"/>
              <w:rPr>
                <w:sz w:val="16"/>
                <w:szCs w:val="16"/>
              </w:rPr>
            </w:pPr>
            <w:r w:rsidRPr="00873B6C">
              <w:rPr>
                <w:sz w:val="16"/>
                <w:szCs w:val="16"/>
              </w:rPr>
              <w:t>SP-210327</w:t>
            </w:r>
          </w:p>
        </w:tc>
        <w:tc>
          <w:tcPr>
            <w:tcW w:w="567" w:type="dxa"/>
            <w:shd w:val="solid" w:color="FFFFFF" w:fill="auto"/>
          </w:tcPr>
          <w:p w14:paraId="667FF7AD" w14:textId="0A0AE51D" w:rsidR="000F5D21" w:rsidRPr="00873B6C" w:rsidRDefault="000F5D21" w:rsidP="009D14FB">
            <w:pPr>
              <w:pStyle w:val="TAL"/>
              <w:rPr>
                <w:sz w:val="16"/>
                <w:szCs w:val="16"/>
              </w:rPr>
            </w:pPr>
            <w:r w:rsidRPr="00873B6C">
              <w:rPr>
                <w:sz w:val="16"/>
                <w:szCs w:val="16"/>
              </w:rPr>
              <w:t>2947</w:t>
            </w:r>
          </w:p>
        </w:tc>
        <w:tc>
          <w:tcPr>
            <w:tcW w:w="425" w:type="dxa"/>
            <w:shd w:val="solid" w:color="FFFFFF" w:fill="auto"/>
          </w:tcPr>
          <w:p w14:paraId="564D8A9B" w14:textId="4262F9B7"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77CB3638" w14:textId="6D9A5416" w:rsidR="000F5D21" w:rsidRPr="00873B6C" w:rsidRDefault="000F5D21" w:rsidP="009D14FB">
            <w:pPr>
              <w:pStyle w:val="TAL"/>
              <w:rPr>
                <w:sz w:val="16"/>
                <w:szCs w:val="16"/>
              </w:rPr>
            </w:pPr>
            <w:r w:rsidRPr="00873B6C">
              <w:rPr>
                <w:sz w:val="16"/>
                <w:szCs w:val="16"/>
              </w:rPr>
              <w:t>A</w:t>
            </w:r>
          </w:p>
        </w:tc>
        <w:tc>
          <w:tcPr>
            <w:tcW w:w="4820" w:type="dxa"/>
            <w:shd w:val="solid" w:color="FFFFFF" w:fill="auto"/>
          </w:tcPr>
          <w:p w14:paraId="49EC0159" w14:textId="020B276F" w:rsidR="000F5D21" w:rsidRPr="00873B6C" w:rsidRDefault="000F5D21" w:rsidP="009D14FB">
            <w:pPr>
              <w:pStyle w:val="TAL"/>
              <w:rPr>
                <w:sz w:val="16"/>
                <w:szCs w:val="16"/>
              </w:rPr>
            </w:pPr>
            <w:r w:rsidRPr="00873B6C">
              <w:rPr>
                <w:sz w:val="16"/>
                <w:szCs w:val="16"/>
              </w:rPr>
              <w:t>NIDD configuration correction</w:t>
            </w:r>
          </w:p>
        </w:tc>
        <w:tc>
          <w:tcPr>
            <w:tcW w:w="708" w:type="dxa"/>
            <w:shd w:val="solid" w:color="FFFFFF" w:fill="auto"/>
          </w:tcPr>
          <w:p w14:paraId="7DFC88AC" w14:textId="69AC5188" w:rsidR="000F5D21" w:rsidRPr="00873B6C" w:rsidRDefault="000F5D21" w:rsidP="009D14FB">
            <w:pPr>
              <w:pStyle w:val="TAC"/>
              <w:rPr>
                <w:sz w:val="16"/>
                <w:szCs w:val="16"/>
              </w:rPr>
            </w:pPr>
            <w:r w:rsidRPr="00873B6C">
              <w:rPr>
                <w:sz w:val="16"/>
                <w:szCs w:val="16"/>
              </w:rPr>
              <w:t>17.1.0</w:t>
            </w:r>
          </w:p>
        </w:tc>
      </w:tr>
      <w:tr w:rsidR="000F5D21" w:rsidRPr="00873B6C" w14:paraId="10DFB737" w14:textId="77777777" w:rsidTr="009D14FB">
        <w:tc>
          <w:tcPr>
            <w:tcW w:w="800" w:type="dxa"/>
            <w:shd w:val="solid" w:color="FFFFFF" w:fill="auto"/>
          </w:tcPr>
          <w:p w14:paraId="021DD530" w14:textId="718469C2"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4D884982" w14:textId="7FDA1AD4"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0078ED7B" w14:textId="7BDD7241" w:rsidR="000F5D21" w:rsidRPr="00873B6C" w:rsidRDefault="000F5D21" w:rsidP="009D14FB">
            <w:pPr>
              <w:pStyle w:val="TAC"/>
              <w:rPr>
                <w:sz w:val="16"/>
                <w:szCs w:val="16"/>
              </w:rPr>
            </w:pPr>
            <w:r w:rsidRPr="00873B6C">
              <w:rPr>
                <w:sz w:val="16"/>
                <w:szCs w:val="16"/>
              </w:rPr>
              <w:t>SP-210342</w:t>
            </w:r>
          </w:p>
        </w:tc>
        <w:tc>
          <w:tcPr>
            <w:tcW w:w="567" w:type="dxa"/>
            <w:shd w:val="solid" w:color="FFFFFF" w:fill="auto"/>
          </w:tcPr>
          <w:p w14:paraId="3A3B255B" w14:textId="48EF4C12" w:rsidR="000F5D21" w:rsidRPr="00873B6C" w:rsidRDefault="000F5D21" w:rsidP="009D14FB">
            <w:pPr>
              <w:pStyle w:val="TAL"/>
              <w:rPr>
                <w:sz w:val="16"/>
                <w:szCs w:val="16"/>
              </w:rPr>
            </w:pPr>
            <w:r w:rsidRPr="00873B6C">
              <w:rPr>
                <w:sz w:val="16"/>
                <w:szCs w:val="16"/>
              </w:rPr>
              <w:t>2948</w:t>
            </w:r>
          </w:p>
        </w:tc>
        <w:tc>
          <w:tcPr>
            <w:tcW w:w="425" w:type="dxa"/>
            <w:shd w:val="solid" w:color="FFFFFF" w:fill="auto"/>
          </w:tcPr>
          <w:p w14:paraId="0A14EB34" w14:textId="636ACD2E"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5F8FF258" w14:textId="401F6F8F" w:rsidR="000F5D21" w:rsidRPr="00873B6C" w:rsidRDefault="000F5D21" w:rsidP="009D14FB">
            <w:pPr>
              <w:pStyle w:val="TAL"/>
              <w:rPr>
                <w:sz w:val="16"/>
                <w:szCs w:val="16"/>
              </w:rPr>
            </w:pPr>
            <w:r w:rsidRPr="00873B6C">
              <w:rPr>
                <w:sz w:val="16"/>
                <w:szCs w:val="16"/>
              </w:rPr>
              <w:t>C</w:t>
            </w:r>
          </w:p>
        </w:tc>
        <w:tc>
          <w:tcPr>
            <w:tcW w:w="4820" w:type="dxa"/>
            <w:shd w:val="solid" w:color="FFFFFF" w:fill="auto"/>
          </w:tcPr>
          <w:p w14:paraId="30510C9C" w14:textId="6D007B16" w:rsidR="000F5D21" w:rsidRPr="00873B6C" w:rsidRDefault="000F5D21" w:rsidP="009D14FB">
            <w:pPr>
              <w:pStyle w:val="TAL"/>
              <w:rPr>
                <w:sz w:val="16"/>
                <w:szCs w:val="16"/>
              </w:rPr>
            </w:pPr>
            <w:r w:rsidRPr="00873B6C">
              <w:rPr>
                <w:sz w:val="16"/>
                <w:szCs w:val="16"/>
              </w:rPr>
              <w:t>Removal of UPF indication of backhaul QoS to SMF</w:t>
            </w:r>
          </w:p>
        </w:tc>
        <w:tc>
          <w:tcPr>
            <w:tcW w:w="708" w:type="dxa"/>
            <w:shd w:val="solid" w:color="FFFFFF" w:fill="auto"/>
          </w:tcPr>
          <w:p w14:paraId="305D9311" w14:textId="1E95F2D1" w:rsidR="000F5D21" w:rsidRPr="00873B6C" w:rsidRDefault="000F5D21" w:rsidP="009D14FB">
            <w:pPr>
              <w:pStyle w:val="TAC"/>
              <w:rPr>
                <w:sz w:val="16"/>
                <w:szCs w:val="16"/>
              </w:rPr>
            </w:pPr>
            <w:r w:rsidRPr="00873B6C">
              <w:rPr>
                <w:sz w:val="16"/>
                <w:szCs w:val="16"/>
              </w:rPr>
              <w:t>17.1.0</w:t>
            </w:r>
          </w:p>
        </w:tc>
      </w:tr>
      <w:tr w:rsidR="008E3DA0" w:rsidRPr="00873B6C" w14:paraId="0B3A5612" w14:textId="77777777" w:rsidTr="009D14FB">
        <w:tc>
          <w:tcPr>
            <w:tcW w:w="800" w:type="dxa"/>
            <w:shd w:val="solid" w:color="FFFFFF" w:fill="auto"/>
          </w:tcPr>
          <w:p w14:paraId="53575CBD" w14:textId="58049747" w:rsidR="008E3DA0" w:rsidRPr="00873B6C" w:rsidRDefault="008E3DA0" w:rsidP="009D14FB">
            <w:pPr>
              <w:pStyle w:val="TAC"/>
              <w:rPr>
                <w:sz w:val="16"/>
                <w:szCs w:val="16"/>
              </w:rPr>
            </w:pPr>
            <w:r w:rsidRPr="00873B6C">
              <w:rPr>
                <w:sz w:val="16"/>
                <w:szCs w:val="16"/>
              </w:rPr>
              <w:t>2021-06</w:t>
            </w:r>
          </w:p>
        </w:tc>
        <w:tc>
          <w:tcPr>
            <w:tcW w:w="800" w:type="dxa"/>
            <w:shd w:val="solid" w:color="FFFFFF" w:fill="auto"/>
          </w:tcPr>
          <w:p w14:paraId="598DA7EF" w14:textId="432C551C" w:rsidR="008E3DA0" w:rsidRPr="00873B6C" w:rsidRDefault="008E3DA0" w:rsidP="009D14FB">
            <w:pPr>
              <w:pStyle w:val="TAL"/>
              <w:rPr>
                <w:sz w:val="16"/>
                <w:szCs w:val="16"/>
              </w:rPr>
            </w:pPr>
            <w:r w:rsidRPr="00873B6C">
              <w:rPr>
                <w:sz w:val="16"/>
                <w:szCs w:val="16"/>
              </w:rPr>
              <w:t>SP#92E</w:t>
            </w:r>
          </w:p>
        </w:tc>
        <w:tc>
          <w:tcPr>
            <w:tcW w:w="1094" w:type="dxa"/>
            <w:shd w:val="solid" w:color="FFFFFF" w:fill="auto"/>
          </w:tcPr>
          <w:p w14:paraId="2A705D88" w14:textId="00FCF24B" w:rsidR="008E3DA0" w:rsidRPr="00873B6C" w:rsidRDefault="008E3DA0" w:rsidP="009D14FB">
            <w:pPr>
              <w:pStyle w:val="TAC"/>
              <w:rPr>
                <w:sz w:val="16"/>
                <w:szCs w:val="16"/>
              </w:rPr>
            </w:pPr>
            <w:r w:rsidRPr="00873B6C">
              <w:rPr>
                <w:sz w:val="16"/>
                <w:szCs w:val="16"/>
              </w:rPr>
              <w:t>SP-210353</w:t>
            </w:r>
          </w:p>
        </w:tc>
        <w:tc>
          <w:tcPr>
            <w:tcW w:w="567" w:type="dxa"/>
            <w:shd w:val="solid" w:color="FFFFFF" w:fill="auto"/>
          </w:tcPr>
          <w:p w14:paraId="33C0FEDA" w14:textId="070CB150" w:rsidR="008E3DA0" w:rsidRPr="00873B6C" w:rsidRDefault="008E3DA0" w:rsidP="009D14FB">
            <w:pPr>
              <w:pStyle w:val="TAL"/>
              <w:rPr>
                <w:sz w:val="16"/>
                <w:szCs w:val="16"/>
              </w:rPr>
            </w:pPr>
            <w:r w:rsidRPr="00873B6C">
              <w:rPr>
                <w:sz w:val="16"/>
                <w:szCs w:val="16"/>
              </w:rPr>
              <w:t>2952</w:t>
            </w:r>
          </w:p>
        </w:tc>
        <w:tc>
          <w:tcPr>
            <w:tcW w:w="425" w:type="dxa"/>
            <w:shd w:val="solid" w:color="FFFFFF" w:fill="auto"/>
          </w:tcPr>
          <w:p w14:paraId="0DFDBFE0" w14:textId="14814170" w:rsidR="008E3DA0" w:rsidRPr="00873B6C" w:rsidRDefault="008E3DA0" w:rsidP="009D14FB">
            <w:pPr>
              <w:pStyle w:val="TAL"/>
              <w:rPr>
                <w:sz w:val="16"/>
                <w:szCs w:val="16"/>
              </w:rPr>
            </w:pPr>
            <w:r w:rsidRPr="00873B6C">
              <w:rPr>
                <w:sz w:val="16"/>
                <w:szCs w:val="16"/>
              </w:rPr>
              <w:t>1</w:t>
            </w:r>
          </w:p>
        </w:tc>
        <w:tc>
          <w:tcPr>
            <w:tcW w:w="425" w:type="dxa"/>
            <w:shd w:val="solid" w:color="FFFFFF" w:fill="auto"/>
          </w:tcPr>
          <w:p w14:paraId="5AB69D36" w14:textId="59E3DADA" w:rsidR="008E3DA0" w:rsidRPr="00873B6C" w:rsidRDefault="008E3DA0" w:rsidP="009D14FB">
            <w:pPr>
              <w:pStyle w:val="TAL"/>
              <w:rPr>
                <w:sz w:val="16"/>
                <w:szCs w:val="16"/>
              </w:rPr>
            </w:pPr>
            <w:r w:rsidRPr="00873B6C">
              <w:rPr>
                <w:sz w:val="16"/>
                <w:szCs w:val="16"/>
              </w:rPr>
              <w:t>B</w:t>
            </w:r>
          </w:p>
        </w:tc>
        <w:tc>
          <w:tcPr>
            <w:tcW w:w="4820" w:type="dxa"/>
            <w:shd w:val="solid" w:color="FFFFFF" w:fill="auto"/>
          </w:tcPr>
          <w:p w14:paraId="2AB9FA3C" w14:textId="307AEB6E" w:rsidR="008E3DA0" w:rsidRPr="00873B6C" w:rsidRDefault="008E3DA0" w:rsidP="009D14FB">
            <w:pPr>
              <w:pStyle w:val="TAL"/>
              <w:rPr>
                <w:sz w:val="16"/>
                <w:szCs w:val="16"/>
              </w:rPr>
            </w:pPr>
            <w:r w:rsidRPr="00873B6C">
              <w:rPr>
                <w:sz w:val="16"/>
                <w:szCs w:val="16"/>
              </w:rPr>
              <w:t>HRNN in manual network selection for SNPNs</w:t>
            </w:r>
          </w:p>
        </w:tc>
        <w:tc>
          <w:tcPr>
            <w:tcW w:w="708" w:type="dxa"/>
            <w:shd w:val="solid" w:color="FFFFFF" w:fill="auto"/>
          </w:tcPr>
          <w:p w14:paraId="3BC18C90" w14:textId="33D6B261" w:rsidR="008E3DA0" w:rsidRPr="00873B6C" w:rsidRDefault="008E3DA0" w:rsidP="009D14FB">
            <w:pPr>
              <w:pStyle w:val="TAC"/>
              <w:rPr>
                <w:sz w:val="16"/>
                <w:szCs w:val="16"/>
              </w:rPr>
            </w:pPr>
            <w:r w:rsidRPr="00873B6C">
              <w:rPr>
                <w:sz w:val="16"/>
                <w:szCs w:val="16"/>
              </w:rPr>
              <w:t>17.1.0</w:t>
            </w:r>
          </w:p>
        </w:tc>
      </w:tr>
      <w:tr w:rsidR="00182EE7" w:rsidRPr="00873B6C" w14:paraId="5EF0D62E" w14:textId="77777777" w:rsidTr="009D14FB">
        <w:tc>
          <w:tcPr>
            <w:tcW w:w="800" w:type="dxa"/>
            <w:shd w:val="solid" w:color="FFFFFF" w:fill="auto"/>
          </w:tcPr>
          <w:p w14:paraId="07BF247B" w14:textId="58559B0B"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4AE73C01" w14:textId="6729EA42"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23F5CA7B" w14:textId="6E61827D" w:rsidR="00182EE7" w:rsidRPr="00873B6C" w:rsidRDefault="00182EE7" w:rsidP="009D14FB">
            <w:pPr>
              <w:pStyle w:val="TAC"/>
              <w:rPr>
                <w:sz w:val="16"/>
                <w:szCs w:val="16"/>
              </w:rPr>
            </w:pPr>
            <w:r w:rsidRPr="00873B6C">
              <w:rPr>
                <w:sz w:val="16"/>
                <w:szCs w:val="16"/>
              </w:rPr>
              <w:t>SP-210341</w:t>
            </w:r>
          </w:p>
        </w:tc>
        <w:tc>
          <w:tcPr>
            <w:tcW w:w="567" w:type="dxa"/>
            <w:shd w:val="solid" w:color="FFFFFF" w:fill="auto"/>
          </w:tcPr>
          <w:p w14:paraId="27659B8A" w14:textId="389B68D1" w:rsidR="00182EE7" w:rsidRPr="00873B6C" w:rsidRDefault="00182EE7" w:rsidP="009D14FB">
            <w:pPr>
              <w:pStyle w:val="TAL"/>
              <w:rPr>
                <w:sz w:val="16"/>
                <w:szCs w:val="16"/>
              </w:rPr>
            </w:pPr>
            <w:r w:rsidRPr="00873B6C">
              <w:rPr>
                <w:sz w:val="16"/>
                <w:szCs w:val="16"/>
              </w:rPr>
              <w:t>2953</w:t>
            </w:r>
          </w:p>
        </w:tc>
        <w:tc>
          <w:tcPr>
            <w:tcW w:w="425" w:type="dxa"/>
            <w:shd w:val="solid" w:color="FFFFFF" w:fill="auto"/>
          </w:tcPr>
          <w:p w14:paraId="000CC239" w14:textId="5000F55A"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0483A3F5" w14:textId="30E94879" w:rsidR="00182EE7" w:rsidRPr="00873B6C" w:rsidRDefault="00182EE7" w:rsidP="009D14FB">
            <w:pPr>
              <w:pStyle w:val="TAL"/>
              <w:rPr>
                <w:sz w:val="16"/>
                <w:szCs w:val="16"/>
              </w:rPr>
            </w:pPr>
            <w:r w:rsidRPr="00873B6C">
              <w:rPr>
                <w:sz w:val="16"/>
                <w:szCs w:val="16"/>
              </w:rPr>
              <w:t>F</w:t>
            </w:r>
          </w:p>
        </w:tc>
        <w:tc>
          <w:tcPr>
            <w:tcW w:w="4820" w:type="dxa"/>
            <w:shd w:val="solid" w:color="FFFFFF" w:fill="auto"/>
          </w:tcPr>
          <w:p w14:paraId="493597AA" w14:textId="64EC7E37" w:rsidR="00182EE7" w:rsidRPr="00873B6C" w:rsidRDefault="00182EE7" w:rsidP="009D14FB">
            <w:pPr>
              <w:pStyle w:val="TAL"/>
              <w:rPr>
                <w:sz w:val="16"/>
                <w:szCs w:val="16"/>
              </w:rPr>
            </w:pPr>
            <w:r w:rsidRPr="00873B6C">
              <w:rPr>
                <w:sz w:val="16"/>
                <w:szCs w:val="16"/>
              </w:rPr>
              <w:t>Clarification on the Standardized SST values</w:t>
            </w:r>
          </w:p>
        </w:tc>
        <w:tc>
          <w:tcPr>
            <w:tcW w:w="708" w:type="dxa"/>
            <w:shd w:val="solid" w:color="FFFFFF" w:fill="auto"/>
          </w:tcPr>
          <w:p w14:paraId="28083BF4" w14:textId="009D40E2" w:rsidR="00182EE7" w:rsidRPr="00873B6C" w:rsidRDefault="00182EE7" w:rsidP="009D14FB">
            <w:pPr>
              <w:pStyle w:val="TAC"/>
              <w:rPr>
                <w:sz w:val="16"/>
                <w:szCs w:val="16"/>
              </w:rPr>
            </w:pPr>
            <w:r w:rsidRPr="00873B6C">
              <w:rPr>
                <w:sz w:val="16"/>
                <w:szCs w:val="16"/>
              </w:rPr>
              <w:t>17.1.0</w:t>
            </w:r>
          </w:p>
        </w:tc>
      </w:tr>
      <w:tr w:rsidR="00182EE7" w:rsidRPr="00873B6C" w14:paraId="526BC53F" w14:textId="77777777" w:rsidTr="009D14FB">
        <w:tc>
          <w:tcPr>
            <w:tcW w:w="800" w:type="dxa"/>
            <w:shd w:val="solid" w:color="FFFFFF" w:fill="auto"/>
          </w:tcPr>
          <w:p w14:paraId="12250454" w14:textId="0B7AF49B" w:rsidR="00182EE7" w:rsidRPr="00873B6C" w:rsidRDefault="00182EE7" w:rsidP="009D14FB">
            <w:pPr>
              <w:pStyle w:val="TAC"/>
              <w:rPr>
                <w:sz w:val="16"/>
                <w:szCs w:val="16"/>
              </w:rPr>
            </w:pPr>
            <w:r w:rsidRPr="00873B6C">
              <w:rPr>
                <w:sz w:val="16"/>
                <w:szCs w:val="16"/>
              </w:rPr>
              <w:lastRenderedPageBreak/>
              <w:t>2021-06</w:t>
            </w:r>
          </w:p>
        </w:tc>
        <w:tc>
          <w:tcPr>
            <w:tcW w:w="800" w:type="dxa"/>
            <w:shd w:val="solid" w:color="FFFFFF" w:fill="auto"/>
          </w:tcPr>
          <w:p w14:paraId="3123D179" w14:textId="0706954F"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4627E952" w14:textId="730CE915" w:rsidR="00182EE7" w:rsidRPr="00873B6C" w:rsidRDefault="00182EE7" w:rsidP="009D14FB">
            <w:pPr>
              <w:pStyle w:val="TAC"/>
              <w:rPr>
                <w:sz w:val="16"/>
                <w:szCs w:val="16"/>
              </w:rPr>
            </w:pPr>
            <w:r w:rsidRPr="00873B6C">
              <w:rPr>
                <w:sz w:val="16"/>
                <w:szCs w:val="16"/>
              </w:rPr>
              <w:t>SP-210353</w:t>
            </w:r>
          </w:p>
        </w:tc>
        <w:tc>
          <w:tcPr>
            <w:tcW w:w="567" w:type="dxa"/>
            <w:shd w:val="solid" w:color="FFFFFF" w:fill="auto"/>
          </w:tcPr>
          <w:p w14:paraId="042ECAE1" w14:textId="51D7E947" w:rsidR="00182EE7" w:rsidRPr="00873B6C" w:rsidRDefault="00182EE7" w:rsidP="009D14FB">
            <w:pPr>
              <w:pStyle w:val="TAL"/>
              <w:rPr>
                <w:sz w:val="16"/>
                <w:szCs w:val="16"/>
              </w:rPr>
            </w:pPr>
            <w:r w:rsidRPr="00873B6C">
              <w:rPr>
                <w:sz w:val="16"/>
                <w:szCs w:val="16"/>
              </w:rPr>
              <w:t>2955</w:t>
            </w:r>
          </w:p>
        </w:tc>
        <w:tc>
          <w:tcPr>
            <w:tcW w:w="425" w:type="dxa"/>
            <w:shd w:val="solid" w:color="FFFFFF" w:fill="auto"/>
          </w:tcPr>
          <w:p w14:paraId="1229D649" w14:textId="73A06629"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6A0E5900" w14:textId="1792EE51"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437954D4" w14:textId="31E681C3" w:rsidR="00182EE7" w:rsidRPr="00873B6C" w:rsidRDefault="00182EE7" w:rsidP="009D14FB">
            <w:pPr>
              <w:pStyle w:val="TAL"/>
              <w:rPr>
                <w:sz w:val="16"/>
                <w:szCs w:val="16"/>
              </w:rPr>
            </w:pPr>
            <w:r w:rsidRPr="00873B6C">
              <w:rPr>
                <w:sz w:val="16"/>
                <w:szCs w:val="16"/>
              </w:rPr>
              <w:t>AMF selection to support UE onboarding SNPN</w:t>
            </w:r>
          </w:p>
        </w:tc>
        <w:tc>
          <w:tcPr>
            <w:tcW w:w="708" w:type="dxa"/>
            <w:shd w:val="solid" w:color="FFFFFF" w:fill="auto"/>
          </w:tcPr>
          <w:p w14:paraId="20B81E36" w14:textId="1BE4D0B1" w:rsidR="00182EE7" w:rsidRPr="00873B6C" w:rsidRDefault="00182EE7" w:rsidP="009D14FB">
            <w:pPr>
              <w:pStyle w:val="TAC"/>
              <w:rPr>
                <w:sz w:val="16"/>
                <w:szCs w:val="16"/>
              </w:rPr>
            </w:pPr>
            <w:r w:rsidRPr="00873B6C">
              <w:rPr>
                <w:sz w:val="16"/>
                <w:szCs w:val="16"/>
              </w:rPr>
              <w:t>17.1.0</w:t>
            </w:r>
          </w:p>
        </w:tc>
      </w:tr>
      <w:tr w:rsidR="00182EE7" w:rsidRPr="00873B6C" w14:paraId="1B28E2A9" w14:textId="77777777" w:rsidTr="009D14FB">
        <w:tc>
          <w:tcPr>
            <w:tcW w:w="800" w:type="dxa"/>
            <w:shd w:val="solid" w:color="FFFFFF" w:fill="auto"/>
          </w:tcPr>
          <w:p w14:paraId="43617394" w14:textId="0A8C3135"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0C9BCB29" w14:textId="3F48807E"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4FCDA7EE" w14:textId="639042E5" w:rsidR="00182EE7" w:rsidRPr="00873B6C" w:rsidRDefault="00182EE7" w:rsidP="009D14FB">
            <w:pPr>
              <w:pStyle w:val="TAC"/>
              <w:rPr>
                <w:sz w:val="16"/>
                <w:szCs w:val="16"/>
              </w:rPr>
            </w:pPr>
            <w:r w:rsidRPr="00873B6C">
              <w:rPr>
                <w:sz w:val="16"/>
                <w:szCs w:val="16"/>
              </w:rPr>
              <w:t>SP-210359</w:t>
            </w:r>
          </w:p>
        </w:tc>
        <w:tc>
          <w:tcPr>
            <w:tcW w:w="567" w:type="dxa"/>
            <w:shd w:val="solid" w:color="FFFFFF" w:fill="auto"/>
          </w:tcPr>
          <w:p w14:paraId="1FB02C9B" w14:textId="798A4898" w:rsidR="00182EE7" w:rsidRPr="00873B6C" w:rsidRDefault="00182EE7" w:rsidP="009D14FB">
            <w:pPr>
              <w:pStyle w:val="TAL"/>
              <w:rPr>
                <w:sz w:val="16"/>
                <w:szCs w:val="16"/>
              </w:rPr>
            </w:pPr>
            <w:r w:rsidRPr="00873B6C">
              <w:rPr>
                <w:sz w:val="16"/>
                <w:szCs w:val="16"/>
              </w:rPr>
              <w:t>2959</w:t>
            </w:r>
          </w:p>
        </w:tc>
        <w:tc>
          <w:tcPr>
            <w:tcW w:w="425" w:type="dxa"/>
            <w:shd w:val="solid" w:color="FFFFFF" w:fill="auto"/>
          </w:tcPr>
          <w:p w14:paraId="44ABF34D" w14:textId="02723EA5" w:rsidR="00182EE7" w:rsidRPr="00873B6C" w:rsidRDefault="00182EE7" w:rsidP="009D14FB">
            <w:pPr>
              <w:pStyle w:val="TAL"/>
              <w:rPr>
                <w:sz w:val="16"/>
                <w:szCs w:val="16"/>
              </w:rPr>
            </w:pPr>
            <w:r w:rsidRPr="00873B6C">
              <w:rPr>
                <w:sz w:val="16"/>
                <w:szCs w:val="16"/>
              </w:rPr>
              <w:t>-</w:t>
            </w:r>
          </w:p>
        </w:tc>
        <w:tc>
          <w:tcPr>
            <w:tcW w:w="425" w:type="dxa"/>
            <w:shd w:val="solid" w:color="FFFFFF" w:fill="auto"/>
          </w:tcPr>
          <w:p w14:paraId="13A1A545" w14:textId="0ACF47E3" w:rsidR="00182EE7" w:rsidRPr="00873B6C" w:rsidRDefault="00182EE7" w:rsidP="009D14FB">
            <w:pPr>
              <w:pStyle w:val="TAL"/>
              <w:rPr>
                <w:sz w:val="16"/>
                <w:szCs w:val="16"/>
              </w:rPr>
            </w:pPr>
            <w:r w:rsidRPr="00873B6C">
              <w:rPr>
                <w:sz w:val="16"/>
                <w:szCs w:val="16"/>
              </w:rPr>
              <w:t>F</w:t>
            </w:r>
          </w:p>
        </w:tc>
        <w:tc>
          <w:tcPr>
            <w:tcW w:w="4820" w:type="dxa"/>
            <w:shd w:val="solid" w:color="FFFFFF" w:fill="auto"/>
          </w:tcPr>
          <w:p w14:paraId="3B4E08CE" w14:textId="66A2B30D" w:rsidR="00182EE7" w:rsidRPr="00873B6C" w:rsidRDefault="00182EE7" w:rsidP="009D14FB">
            <w:pPr>
              <w:pStyle w:val="TAL"/>
              <w:rPr>
                <w:sz w:val="16"/>
                <w:szCs w:val="16"/>
              </w:rPr>
            </w:pPr>
            <w:r w:rsidRPr="00873B6C">
              <w:rPr>
                <w:sz w:val="16"/>
                <w:szCs w:val="16"/>
              </w:rPr>
              <w:t>Grandmaster candidate enabled management information per PTP instance</w:t>
            </w:r>
          </w:p>
        </w:tc>
        <w:tc>
          <w:tcPr>
            <w:tcW w:w="708" w:type="dxa"/>
            <w:shd w:val="solid" w:color="FFFFFF" w:fill="auto"/>
          </w:tcPr>
          <w:p w14:paraId="3BB49E47" w14:textId="25BE0FB2" w:rsidR="00182EE7" w:rsidRPr="00873B6C" w:rsidRDefault="00182EE7" w:rsidP="009D14FB">
            <w:pPr>
              <w:pStyle w:val="TAC"/>
              <w:rPr>
                <w:sz w:val="16"/>
                <w:szCs w:val="16"/>
              </w:rPr>
            </w:pPr>
            <w:r w:rsidRPr="00873B6C">
              <w:rPr>
                <w:sz w:val="16"/>
                <w:szCs w:val="16"/>
              </w:rPr>
              <w:t>17.1.0</w:t>
            </w:r>
          </w:p>
        </w:tc>
      </w:tr>
      <w:tr w:rsidR="00182EE7" w:rsidRPr="00873B6C" w14:paraId="3B66CF83" w14:textId="77777777" w:rsidTr="009D14FB">
        <w:tc>
          <w:tcPr>
            <w:tcW w:w="800" w:type="dxa"/>
            <w:shd w:val="solid" w:color="FFFFFF" w:fill="auto"/>
          </w:tcPr>
          <w:p w14:paraId="19805170" w14:textId="72339A32"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6AC0FBAB" w14:textId="40AF668D"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0883C1FD" w14:textId="764A52C6" w:rsidR="00182EE7" w:rsidRPr="00873B6C" w:rsidRDefault="00182EE7" w:rsidP="009D14FB">
            <w:pPr>
              <w:pStyle w:val="TAC"/>
              <w:rPr>
                <w:sz w:val="16"/>
                <w:szCs w:val="16"/>
              </w:rPr>
            </w:pPr>
            <w:r w:rsidRPr="00873B6C">
              <w:rPr>
                <w:sz w:val="16"/>
                <w:szCs w:val="16"/>
              </w:rPr>
              <w:t>SP-210359</w:t>
            </w:r>
          </w:p>
        </w:tc>
        <w:tc>
          <w:tcPr>
            <w:tcW w:w="567" w:type="dxa"/>
            <w:shd w:val="solid" w:color="FFFFFF" w:fill="auto"/>
          </w:tcPr>
          <w:p w14:paraId="41B5CBD8" w14:textId="1FFBEA31" w:rsidR="00182EE7" w:rsidRPr="00873B6C" w:rsidRDefault="00182EE7" w:rsidP="009D14FB">
            <w:pPr>
              <w:pStyle w:val="TAL"/>
              <w:rPr>
                <w:sz w:val="16"/>
                <w:szCs w:val="16"/>
              </w:rPr>
            </w:pPr>
            <w:r w:rsidRPr="00873B6C">
              <w:rPr>
                <w:sz w:val="16"/>
                <w:szCs w:val="16"/>
              </w:rPr>
              <w:t>2960</w:t>
            </w:r>
          </w:p>
        </w:tc>
        <w:tc>
          <w:tcPr>
            <w:tcW w:w="425" w:type="dxa"/>
            <w:shd w:val="solid" w:color="FFFFFF" w:fill="auto"/>
          </w:tcPr>
          <w:p w14:paraId="7659FB80" w14:textId="1D90604C"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75125C20" w14:textId="7721CE5F" w:rsidR="00182EE7" w:rsidRPr="00873B6C" w:rsidRDefault="00182EE7" w:rsidP="009D14FB">
            <w:pPr>
              <w:pStyle w:val="TAL"/>
              <w:rPr>
                <w:sz w:val="16"/>
                <w:szCs w:val="16"/>
              </w:rPr>
            </w:pPr>
            <w:r w:rsidRPr="00873B6C">
              <w:rPr>
                <w:sz w:val="16"/>
                <w:szCs w:val="16"/>
              </w:rPr>
              <w:t>C</w:t>
            </w:r>
          </w:p>
        </w:tc>
        <w:tc>
          <w:tcPr>
            <w:tcW w:w="4820" w:type="dxa"/>
            <w:shd w:val="solid" w:color="FFFFFF" w:fill="auto"/>
          </w:tcPr>
          <w:p w14:paraId="5C6536ED" w14:textId="2EC9B156" w:rsidR="00182EE7" w:rsidRPr="00873B6C" w:rsidRDefault="00182EE7" w:rsidP="009D14FB">
            <w:pPr>
              <w:pStyle w:val="TAL"/>
              <w:rPr>
                <w:sz w:val="16"/>
                <w:szCs w:val="16"/>
              </w:rPr>
            </w:pPr>
            <w:r w:rsidRPr="00873B6C">
              <w:rPr>
                <w:sz w:val="16"/>
                <w:szCs w:val="16"/>
              </w:rPr>
              <w:t>Time Synchronization service exposure</w:t>
            </w:r>
          </w:p>
        </w:tc>
        <w:tc>
          <w:tcPr>
            <w:tcW w:w="708" w:type="dxa"/>
            <w:shd w:val="solid" w:color="FFFFFF" w:fill="auto"/>
          </w:tcPr>
          <w:p w14:paraId="31F91351" w14:textId="47DBC749" w:rsidR="00182EE7" w:rsidRPr="00873B6C" w:rsidRDefault="00182EE7" w:rsidP="009D14FB">
            <w:pPr>
              <w:pStyle w:val="TAC"/>
              <w:rPr>
                <w:sz w:val="16"/>
                <w:szCs w:val="16"/>
              </w:rPr>
            </w:pPr>
            <w:r w:rsidRPr="00873B6C">
              <w:rPr>
                <w:sz w:val="16"/>
                <w:szCs w:val="16"/>
              </w:rPr>
              <w:t>17.1.0</w:t>
            </w:r>
          </w:p>
        </w:tc>
      </w:tr>
      <w:tr w:rsidR="00182EE7" w:rsidRPr="00873B6C" w14:paraId="07D6C1BC" w14:textId="77777777" w:rsidTr="009D14FB">
        <w:tc>
          <w:tcPr>
            <w:tcW w:w="800" w:type="dxa"/>
            <w:shd w:val="solid" w:color="FFFFFF" w:fill="auto"/>
          </w:tcPr>
          <w:p w14:paraId="3EE7F37D" w14:textId="54D30C22"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6374DA39" w14:textId="3F854F17"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14E4B86B" w14:textId="1435BD99" w:rsidR="00182EE7" w:rsidRPr="00873B6C" w:rsidRDefault="00182EE7" w:rsidP="009D14FB">
            <w:pPr>
              <w:pStyle w:val="TAC"/>
              <w:rPr>
                <w:sz w:val="16"/>
                <w:szCs w:val="16"/>
              </w:rPr>
            </w:pPr>
            <w:r w:rsidRPr="00873B6C">
              <w:rPr>
                <w:sz w:val="16"/>
                <w:szCs w:val="16"/>
              </w:rPr>
              <w:t>SP-210371</w:t>
            </w:r>
          </w:p>
        </w:tc>
        <w:tc>
          <w:tcPr>
            <w:tcW w:w="567" w:type="dxa"/>
            <w:shd w:val="solid" w:color="FFFFFF" w:fill="auto"/>
          </w:tcPr>
          <w:p w14:paraId="25839014" w14:textId="2FDDA906" w:rsidR="00182EE7" w:rsidRPr="00873B6C" w:rsidRDefault="00182EE7" w:rsidP="009D14FB">
            <w:pPr>
              <w:pStyle w:val="TAL"/>
              <w:rPr>
                <w:sz w:val="16"/>
                <w:szCs w:val="16"/>
              </w:rPr>
            </w:pPr>
            <w:r w:rsidRPr="00873B6C">
              <w:rPr>
                <w:sz w:val="16"/>
                <w:szCs w:val="16"/>
              </w:rPr>
              <w:t>2962</w:t>
            </w:r>
          </w:p>
        </w:tc>
        <w:tc>
          <w:tcPr>
            <w:tcW w:w="425" w:type="dxa"/>
            <w:shd w:val="solid" w:color="FFFFFF" w:fill="auto"/>
          </w:tcPr>
          <w:p w14:paraId="433B1360" w14:textId="486CC43E" w:rsidR="00182EE7" w:rsidRPr="00873B6C" w:rsidRDefault="00182EE7" w:rsidP="009D14FB">
            <w:pPr>
              <w:pStyle w:val="TAL"/>
              <w:rPr>
                <w:sz w:val="16"/>
                <w:szCs w:val="16"/>
              </w:rPr>
            </w:pPr>
            <w:r w:rsidRPr="00873B6C">
              <w:rPr>
                <w:sz w:val="16"/>
                <w:szCs w:val="16"/>
              </w:rPr>
              <w:t>2</w:t>
            </w:r>
          </w:p>
        </w:tc>
        <w:tc>
          <w:tcPr>
            <w:tcW w:w="425" w:type="dxa"/>
            <w:shd w:val="solid" w:color="FFFFFF" w:fill="auto"/>
          </w:tcPr>
          <w:p w14:paraId="4C6327FC" w14:textId="21BD17C7" w:rsidR="00182EE7" w:rsidRPr="00873B6C" w:rsidRDefault="00182EE7" w:rsidP="009D14FB">
            <w:pPr>
              <w:pStyle w:val="TAL"/>
              <w:rPr>
                <w:sz w:val="16"/>
                <w:szCs w:val="16"/>
              </w:rPr>
            </w:pPr>
            <w:r w:rsidRPr="00873B6C">
              <w:rPr>
                <w:sz w:val="16"/>
                <w:szCs w:val="16"/>
              </w:rPr>
              <w:t>F</w:t>
            </w:r>
          </w:p>
        </w:tc>
        <w:tc>
          <w:tcPr>
            <w:tcW w:w="4820" w:type="dxa"/>
            <w:shd w:val="solid" w:color="FFFFFF" w:fill="auto"/>
          </w:tcPr>
          <w:p w14:paraId="1301CDC9" w14:textId="0D33B00E" w:rsidR="00182EE7" w:rsidRPr="00873B6C" w:rsidRDefault="00182EE7" w:rsidP="009D14FB">
            <w:pPr>
              <w:pStyle w:val="TAL"/>
              <w:rPr>
                <w:sz w:val="16"/>
                <w:szCs w:val="16"/>
              </w:rPr>
            </w:pPr>
            <w:r w:rsidRPr="00873B6C">
              <w:rPr>
                <w:sz w:val="16"/>
                <w:szCs w:val="16"/>
              </w:rPr>
              <w:t>Clarification of applicability of port/bridge management information</w:t>
            </w:r>
          </w:p>
        </w:tc>
        <w:tc>
          <w:tcPr>
            <w:tcW w:w="708" w:type="dxa"/>
            <w:shd w:val="solid" w:color="FFFFFF" w:fill="auto"/>
          </w:tcPr>
          <w:p w14:paraId="47404653" w14:textId="7A90E122" w:rsidR="00182EE7" w:rsidRPr="00873B6C" w:rsidRDefault="00182EE7" w:rsidP="009D14FB">
            <w:pPr>
              <w:pStyle w:val="TAC"/>
              <w:rPr>
                <w:sz w:val="16"/>
                <w:szCs w:val="16"/>
              </w:rPr>
            </w:pPr>
            <w:r w:rsidRPr="00873B6C">
              <w:rPr>
                <w:sz w:val="16"/>
                <w:szCs w:val="16"/>
              </w:rPr>
              <w:t>17.1.0</w:t>
            </w:r>
          </w:p>
        </w:tc>
      </w:tr>
      <w:tr w:rsidR="00182EE7" w:rsidRPr="00873B6C" w14:paraId="60580080" w14:textId="77777777" w:rsidTr="009D14FB">
        <w:tc>
          <w:tcPr>
            <w:tcW w:w="800" w:type="dxa"/>
            <w:shd w:val="solid" w:color="FFFFFF" w:fill="auto"/>
          </w:tcPr>
          <w:p w14:paraId="7456AC82" w14:textId="2B180B43"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3C24E4FF" w14:textId="5474DE3C"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6E71E885" w14:textId="262015F8" w:rsidR="00182EE7" w:rsidRPr="00873B6C" w:rsidRDefault="00182EE7" w:rsidP="009D14FB">
            <w:pPr>
              <w:pStyle w:val="TAC"/>
              <w:rPr>
                <w:sz w:val="16"/>
                <w:szCs w:val="16"/>
              </w:rPr>
            </w:pPr>
            <w:r w:rsidRPr="00873B6C">
              <w:rPr>
                <w:sz w:val="16"/>
                <w:szCs w:val="16"/>
              </w:rPr>
              <w:t>SP-210336</w:t>
            </w:r>
          </w:p>
        </w:tc>
        <w:tc>
          <w:tcPr>
            <w:tcW w:w="567" w:type="dxa"/>
            <w:shd w:val="solid" w:color="FFFFFF" w:fill="auto"/>
          </w:tcPr>
          <w:p w14:paraId="22F22703" w14:textId="74976D40" w:rsidR="00182EE7" w:rsidRPr="00873B6C" w:rsidRDefault="00182EE7" w:rsidP="009D14FB">
            <w:pPr>
              <w:pStyle w:val="TAL"/>
              <w:rPr>
                <w:sz w:val="16"/>
                <w:szCs w:val="16"/>
              </w:rPr>
            </w:pPr>
            <w:r w:rsidRPr="00873B6C">
              <w:rPr>
                <w:sz w:val="16"/>
                <w:szCs w:val="16"/>
              </w:rPr>
              <w:t>2963</w:t>
            </w:r>
          </w:p>
        </w:tc>
        <w:tc>
          <w:tcPr>
            <w:tcW w:w="425" w:type="dxa"/>
            <w:shd w:val="solid" w:color="FFFFFF" w:fill="auto"/>
          </w:tcPr>
          <w:p w14:paraId="3ECF58C2" w14:textId="76E3DAD5"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338CECEF" w14:textId="5A2F05E5" w:rsidR="00182EE7" w:rsidRPr="00873B6C" w:rsidRDefault="00182EE7" w:rsidP="009D14FB">
            <w:pPr>
              <w:pStyle w:val="TAL"/>
              <w:rPr>
                <w:sz w:val="16"/>
                <w:szCs w:val="16"/>
              </w:rPr>
            </w:pPr>
            <w:r w:rsidRPr="00873B6C">
              <w:rPr>
                <w:sz w:val="16"/>
                <w:szCs w:val="16"/>
              </w:rPr>
              <w:t>A</w:t>
            </w:r>
          </w:p>
        </w:tc>
        <w:tc>
          <w:tcPr>
            <w:tcW w:w="4820" w:type="dxa"/>
            <w:shd w:val="solid" w:color="FFFFFF" w:fill="auto"/>
          </w:tcPr>
          <w:p w14:paraId="406A5A3A" w14:textId="3DDADD4F" w:rsidR="00182EE7" w:rsidRPr="00873B6C" w:rsidRDefault="00182EE7" w:rsidP="009D14FB">
            <w:pPr>
              <w:pStyle w:val="TAL"/>
              <w:rPr>
                <w:sz w:val="16"/>
                <w:szCs w:val="16"/>
              </w:rPr>
            </w:pPr>
            <w:r w:rsidRPr="00873B6C">
              <w:rPr>
                <w:sz w:val="16"/>
                <w:szCs w:val="16"/>
              </w:rPr>
              <w:t>Clarification for Visited Country FQDN DNS query for SNPNs with locally assigned NIDs</w:t>
            </w:r>
          </w:p>
        </w:tc>
        <w:tc>
          <w:tcPr>
            <w:tcW w:w="708" w:type="dxa"/>
            <w:shd w:val="solid" w:color="FFFFFF" w:fill="auto"/>
          </w:tcPr>
          <w:p w14:paraId="4B142EE6" w14:textId="514ECEC4" w:rsidR="00182EE7" w:rsidRPr="00873B6C" w:rsidRDefault="00182EE7" w:rsidP="009D14FB">
            <w:pPr>
              <w:pStyle w:val="TAC"/>
              <w:rPr>
                <w:sz w:val="16"/>
                <w:szCs w:val="16"/>
              </w:rPr>
            </w:pPr>
            <w:r w:rsidRPr="00873B6C">
              <w:rPr>
                <w:sz w:val="16"/>
                <w:szCs w:val="16"/>
              </w:rPr>
              <w:t>17.1.0</w:t>
            </w:r>
          </w:p>
        </w:tc>
      </w:tr>
      <w:tr w:rsidR="00182EE7" w:rsidRPr="00873B6C" w14:paraId="2FBE7F87" w14:textId="77777777" w:rsidTr="009D14FB">
        <w:tc>
          <w:tcPr>
            <w:tcW w:w="800" w:type="dxa"/>
            <w:shd w:val="solid" w:color="FFFFFF" w:fill="auto"/>
          </w:tcPr>
          <w:p w14:paraId="130805BC" w14:textId="3A2F22E7"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35D0C348" w14:textId="3D5ACEFC"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24E06DA9" w14:textId="7106EF46" w:rsidR="00182EE7" w:rsidRPr="00873B6C" w:rsidRDefault="00182EE7" w:rsidP="009D14FB">
            <w:pPr>
              <w:pStyle w:val="TAC"/>
              <w:rPr>
                <w:sz w:val="16"/>
                <w:szCs w:val="16"/>
              </w:rPr>
            </w:pPr>
            <w:r w:rsidRPr="00873B6C">
              <w:rPr>
                <w:sz w:val="16"/>
                <w:szCs w:val="16"/>
              </w:rPr>
              <w:t>SP-210354</w:t>
            </w:r>
          </w:p>
        </w:tc>
        <w:tc>
          <w:tcPr>
            <w:tcW w:w="567" w:type="dxa"/>
            <w:shd w:val="solid" w:color="FFFFFF" w:fill="auto"/>
          </w:tcPr>
          <w:p w14:paraId="50DBB154" w14:textId="5F6715F2" w:rsidR="00182EE7" w:rsidRPr="00873B6C" w:rsidRDefault="00182EE7" w:rsidP="009D14FB">
            <w:pPr>
              <w:pStyle w:val="TAL"/>
              <w:rPr>
                <w:sz w:val="16"/>
                <w:szCs w:val="16"/>
              </w:rPr>
            </w:pPr>
            <w:r w:rsidRPr="00873B6C">
              <w:rPr>
                <w:sz w:val="16"/>
                <w:szCs w:val="16"/>
              </w:rPr>
              <w:t>2965</w:t>
            </w:r>
          </w:p>
        </w:tc>
        <w:tc>
          <w:tcPr>
            <w:tcW w:w="425" w:type="dxa"/>
            <w:shd w:val="solid" w:color="FFFFFF" w:fill="auto"/>
          </w:tcPr>
          <w:p w14:paraId="172EC18E" w14:textId="7555118C"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77C4167C" w14:textId="1D17EA1D" w:rsidR="00182EE7" w:rsidRPr="00873B6C" w:rsidRDefault="00182EE7" w:rsidP="009D14FB">
            <w:pPr>
              <w:pStyle w:val="TAL"/>
              <w:rPr>
                <w:sz w:val="16"/>
                <w:szCs w:val="16"/>
              </w:rPr>
            </w:pPr>
            <w:r w:rsidRPr="00873B6C">
              <w:rPr>
                <w:sz w:val="16"/>
                <w:szCs w:val="16"/>
              </w:rPr>
              <w:t>C</w:t>
            </w:r>
          </w:p>
        </w:tc>
        <w:tc>
          <w:tcPr>
            <w:tcW w:w="4820" w:type="dxa"/>
            <w:shd w:val="solid" w:color="FFFFFF" w:fill="auto"/>
          </w:tcPr>
          <w:p w14:paraId="389F9233" w14:textId="0DDCF746" w:rsidR="00182EE7" w:rsidRPr="00873B6C" w:rsidRDefault="00182EE7" w:rsidP="009D14FB">
            <w:pPr>
              <w:pStyle w:val="TAL"/>
              <w:rPr>
                <w:sz w:val="16"/>
                <w:szCs w:val="16"/>
              </w:rPr>
            </w:pPr>
            <w:r w:rsidRPr="00873B6C">
              <w:rPr>
                <w:sz w:val="16"/>
                <w:szCs w:val="16"/>
              </w:rPr>
              <w:t xml:space="preserve">AUSF selection for an Onboarding UE </w:t>
            </w:r>
          </w:p>
        </w:tc>
        <w:tc>
          <w:tcPr>
            <w:tcW w:w="708" w:type="dxa"/>
            <w:shd w:val="solid" w:color="FFFFFF" w:fill="auto"/>
          </w:tcPr>
          <w:p w14:paraId="5CB891CE" w14:textId="398EF238" w:rsidR="00182EE7" w:rsidRPr="00873B6C" w:rsidRDefault="00182EE7" w:rsidP="009D14FB">
            <w:pPr>
              <w:pStyle w:val="TAC"/>
              <w:rPr>
                <w:sz w:val="16"/>
                <w:szCs w:val="16"/>
              </w:rPr>
            </w:pPr>
            <w:r w:rsidRPr="00873B6C">
              <w:rPr>
                <w:sz w:val="16"/>
                <w:szCs w:val="16"/>
              </w:rPr>
              <w:t>17.1.0</w:t>
            </w:r>
          </w:p>
        </w:tc>
      </w:tr>
      <w:tr w:rsidR="00182EE7" w:rsidRPr="00873B6C" w14:paraId="736044D9" w14:textId="77777777" w:rsidTr="009D14FB">
        <w:tc>
          <w:tcPr>
            <w:tcW w:w="800" w:type="dxa"/>
            <w:shd w:val="solid" w:color="FFFFFF" w:fill="auto"/>
          </w:tcPr>
          <w:p w14:paraId="7E227C79" w14:textId="4F3E1CF0"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0C0E3249" w14:textId="1CE8F071"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17ABC59B" w14:textId="32EA4446" w:rsidR="00182EE7" w:rsidRPr="00873B6C" w:rsidRDefault="00182EE7" w:rsidP="009D14FB">
            <w:pPr>
              <w:pStyle w:val="TAC"/>
              <w:rPr>
                <w:sz w:val="16"/>
                <w:szCs w:val="16"/>
              </w:rPr>
            </w:pPr>
            <w:r w:rsidRPr="00873B6C">
              <w:rPr>
                <w:sz w:val="16"/>
                <w:szCs w:val="16"/>
              </w:rPr>
              <w:t>SP-210353</w:t>
            </w:r>
          </w:p>
        </w:tc>
        <w:tc>
          <w:tcPr>
            <w:tcW w:w="567" w:type="dxa"/>
            <w:shd w:val="solid" w:color="FFFFFF" w:fill="auto"/>
          </w:tcPr>
          <w:p w14:paraId="33C88FCB" w14:textId="7F5E5CB6" w:rsidR="00182EE7" w:rsidRPr="00873B6C" w:rsidRDefault="00182EE7" w:rsidP="009D14FB">
            <w:pPr>
              <w:pStyle w:val="TAL"/>
              <w:rPr>
                <w:sz w:val="16"/>
                <w:szCs w:val="16"/>
              </w:rPr>
            </w:pPr>
            <w:r w:rsidRPr="00873B6C">
              <w:rPr>
                <w:sz w:val="16"/>
                <w:szCs w:val="16"/>
              </w:rPr>
              <w:t>2969</w:t>
            </w:r>
          </w:p>
        </w:tc>
        <w:tc>
          <w:tcPr>
            <w:tcW w:w="425" w:type="dxa"/>
            <w:shd w:val="solid" w:color="FFFFFF" w:fill="auto"/>
          </w:tcPr>
          <w:p w14:paraId="30413956" w14:textId="424BE3AC"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514162DF" w14:textId="238F4E07"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547ADB8E" w14:textId="653EBD1F" w:rsidR="00182EE7" w:rsidRPr="00873B6C" w:rsidRDefault="00182EE7" w:rsidP="009D14FB">
            <w:pPr>
              <w:pStyle w:val="TAL"/>
              <w:rPr>
                <w:sz w:val="16"/>
                <w:szCs w:val="16"/>
              </w:rPr>
            </w:pPr>
            <w:r w:rsidRPr="00873B6C">
              <w:rPr>
                <w:sz w:val="16"/>
                <w:szCs w:val="16"/>
              </w:rPr>
              <w:t>Definition of SNPN-related terms</w:t>
            </w:r>
          </w:p>
        </w:tc>
        <w:tc>
          <w:tcPr>
            <w:tcW w:w="708" w:type="dxa"/>
            <w:shd w:val="solid" w:color="FFFFFF" w:fill="auto"/>
          </w:tcPr>
          <w:p w14:paraId="0845A890" w14:textId="79857033" w:rsidR="00182EE7" w:rsidRPr="00873B6C" w:rsidRDefault="00182EE7" w:rsidP="009D14FB">
            <w:pPr>
              <w:pStyle w:val="TAC"/>
              <w:rPr>
                <w:sz w:val="16"/>
                <w:szCs w:val="16"/>
              </w:rPr>
            </w:pPr>
            <w:r w:rsidRPr="00873B6C">
              <w:rPr>
                <w:sz w:val="16"/>
                <w:szCs w:val="16"/>
              </w:rPr>
              <w:t>17.1.0</w:t>
            </w:r>
          </w:p>
        </w:tc>
      </w:tr>
      <w:tr w:rsidR="00182EE7" w:rsidRPr="00873B6C" w14:paraId="7F9ECD0E" w14:textId="77777777" w:rsidTr="009D14FB">
        <w:tc>
          <w:tcPr>
            <w:tcW w:w="800" w:type="dxa"/>
            <w:shd w:val="solid" w:color="FFFFFF" w:fill="auto"/>
          </w:tcPr>
          <w:p w14:paraId="1902FF92" w14:textId="0A2D8E05"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23134E5F" w14:textId="10AE1A14"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36B24D2E" w14:textId="57F8B517" w:rsidR="00182EE7" w:rsidRPr="00873B6C" w:rsidRDefault="00182EE7" w:rsidP="009D14FB">
            <w:pPr>
              <w:pStyle w:val="TAC"/>
              <w:rPr>
                <w:sz w:val="16"/>
                <w:szCs w:val="16"/>
              </w:rPr>
            </w:pPr>
            <w:r w:rsidRPr="00873B6C">
              <w:rPr>
                <w:sz w:val="16"/>
                <w:szCs w:val="16"/>
              </w:rPr>
              <w:t>SP-210341</w:t>
            </w:r>
          </w:p>
        </w:tc>
        <w:tc>
          <w:tcPr>
            <w:tcW w:w="567" w:type="dxa"/>
            <w:shd w:val="solid" w:color="FFFFFF" w:fill="auto"/>
          </w:tcPr>
          <w:p w14:paraId="7147C02A" w14:textId="37D09295" w:rsidR="00182EE7" w:rsidRPr="00873B6C" w:rsidRDefault="00182EE7" w:rsidP="009D14FB">
            <w:pPr>
              <w:pStyle w:val="TAL"/>
              <w:rPr>
                <w:sz w:val="16"/>
                <w:szCs w:val="16"/>
              </w:rPr>
            </w:pPr>
            <w:r w:rsidRPr="00873B6C">
              <w:rPr>
                <w:sz w:val="16"/>
                <w:szCs w:val="16"/>
              </w:rPr>
              <w:t>2970</w:t>
            </w:r>
          </w:p>
        </w:tc>
        <w:tc>
          <w:tcPr>
            <w:tcW w:w="425" w:type="dxa"/>
            <w:shd w:val="solid" w:color="FFFFFF" w:fill="auto"/>
          </w:tcPr>
          <w:p w14:paraId="68A3FF05" w14:textId="6D0B8D10"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767B5514" w14:textId="108F92A8"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747BE08A" w14:textId="03365F75" w:rsidR="00182EE7" w:rsidRPr="00873B6C" w:rsidRDefault="00182EE7" w:rsidP="009D14FB">
            <w:pPr>
              <w:pStyle w:val="TAL"/>
              <w:rPr>
                <w:sz w:val="16"/>
                <w:szCs w:val="16"/>
              </w:rPr>
            </w:pPr>
            <w:r w:rsidRPr="00873B6C">
              <w:rPr>
                <w:sz w:val="16"/>
                <w:szCs w:val="16"/>
              </w:rPr>
              <w:t>4G &lt;-&gt; 5GS mobility corrections to cope with areas of GERAN/UTRAN-only coverage</w:t>
            </w:r>
          </w:p>
        </w:tc>
        <w:tc>
          <w:tcPr>
            <w:tcW w:w="708" w:type="dxa"/>
            <w:shd w:val="solid" w:color="FFFFFF" w:fill="auto"/>
          </w:tcPr>
          <w:p w14:paraId="4F620D23" w14:textId="5634A6C7" w:rsidR="00182EE7" w:rsidRPr="00873B6C" w:rsidRDefault="00182EE7" w:rsidP="009D14FB">
            <w:pPr>
              <w:pStyle w:val="TAC"/>
              <w:rPr>
                <w:sz w:val="16"/>
                <w:szCs w:val="16"/>
              </w:rPr>
            </w:pPr>
            <w:r w:rsidRPr="00873B6C">
              <w:rPr>
                <w:sz w:val="16"/>
                <w:szCs w:val="16"/>
              </w:rPr>
              <w:t>17.1.0</w:t>
            </w:r>
          </w:p>
        </w:tc>
      </w:tr>
      <w:tr w:rsidR="00182EE7" w:rsidRPr="00873B6C" w14:paraId="5C2F37F2" w14:textId="77777777" w:rsidTr="009D14FB">
        <w:tc>
          <w:tcPr>
            <w:tcW w:w="800" w:type="dxa"/>
            <w:shd w:val="solid" w:color="FFFFFF" w:fill="auto"/>
          </w:tcPr>
          <w:p w14:paraId="0FDF224D" w14:textId="1A8238C0"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7E33A3CF" w14:textId="10C7DE91"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1E20331D" w14:textId="74ABD110" w:rsidR="00182EE7" w:rsidRPr="00873B6C" w:rsidRDefault="00182EE7" w:rsidP="009D14FB">
            <w:pPr>
              <w:pStyle w:val="TAC"/>
              <w:rPr>
                <w:sz w:val="16"/>
                <w:szCs w:val="16"/>
              </w:rPr>
            </w:pPr>
            <w:r w:rsidRPr="00873B6C">
              <w:rPr>
                <w:sz w:val="16"/>
                <w:szCs w:val="16"/>
              </w:rPr>
              <w:t>SP-210361</w:t>
            </w:r>
          </w:p>
        </w:tc>
        <w:tc>
          <w:tcPr>
            <w:tcW w:w="567" w:type="dxa"/>
            <w:shd w:val="solid" w:color="FFFFFF" w:fill="auto"/>
          </w:tcPr>
          <w:p w14:paraId="54559D33" w14:textId="026419E3" w:rsidR="00182EE7" w:rsidRPr="00873B6C" w:rsidRDefault="00182EE7" w:rsidP="009D14FB">
            <w:pPr>
              <w:pStyle w:val="TAL"/>
              <w:rPr>
                <w:sz w:val="16"/>
                <w:szCs w:val="16"/>
              </w:rPr>
            </w:pPr>
            <w:r w:rsidRPr="00873B6C">
              <w:rPr>
                <w:sz w:val="16"/>
                <w:szCs w:val="16"/>
              </w:rPr>
              <w:t>2971</w:t>
            </w:r>
          </w:p>
        </w:tc>
        <w:tc>
          <w:tcPr>
            <w:tcW w:w="425" w:type="dxa"/>
            <w:shd w:val="solid" w:color="FFFFFF" w:fill="auto"/>
          </w:tcPr>
          <w:p w14:paraId="737C9A2C" w14:textId="5688A06F"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0E33725D" w14:textId="05C49B5B"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66B70E4F" w14:textId="2D96FDB6" w:rsidR="00182EE7" w:rsidRPr="00873B6C" w:rsidRDefault="00182EE7" w:rsidP="009D14FB">
            <w:pPr>
              <w:pStyle w:val="TAL"/>
              <w:rPr>
                <w:sz w:val="16"/>
                <w:szCs w:val="16"/>
              </w:rPr>
            </w:pPr>
            <w:r w:rsidRPr="00873B6C">
              <w:rPr>
                <w:sz w:val="16"/>
                <w:szCs w:val="16"/>
              </w:rPr>
              <w:t>Additional authorization functionality in support of MPS for Data Transport Service</w:t>
            </w:r>
          </w:p>
        </w:tc>
        <w:tc>
          <w:tcPr>
            <w:tcW w:w="708" w:type="dxa"/>
            <w:shd w:val="solid" w:color="FFFFFF" w:fill="auto"/>
          </w:tcPr>
          <w:p w14:paraId="17ACD334" w14:textId="6A8B84C9" w:rsidR="00182EE7" w:rsidRPr="00873B6C" w:rsidRDefault="00182EE7" w:rsidP="009D14FB">
            <w:pPr>
              <w:pStyle w:val="TAC"/>
              <w:rPr>
                <w:sz w:val="16"/>
                <w:szCs w:val="16"/>
              </w:rPr>
            </w:pPr>
            <w:r w:rsidRPr="00873B6C">
              <w:rPr>
                <w:sz w:val="16"/>
                <w:szCs w:val="16"/>
              </w:rPr>
              <w:t>17.1.0</w:t>
            </w:r>
          </w:p>
        </w:tc>
      </w:tr>
      <w:tr w:rsidR="00182EE7" w:rsidRPr="00873B6C" w14:paraId="1539DDC4" w14:textId="77777777" w:rsidTr="009D14FB">
        <w:tc>
          <w:tcPr>
            <w:tcW w:w="800" w:type="dxa"/>
            <w:shd w:val="solid" w:color="FFFFFF" w:fill="auto"/>
          </w:tcPr>
          <w:p w14:paraId="32DB5630" w14:textId="67FD74DA"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23862D1C" w14:textId="0178C86F"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6D7D4218" w14:textId="775FECA3" w:rsidR="00182EE7" w:rsidRPr="00873B6C" w:rsidRDefault="00182EE7" w:rsidP="009D14FB">
            <w:pPr>
              <w:pStyle w:val="TAC"/>
              <w:rPr>
                <w:sz w:val="16"/>
                <w:szCs w:val="16"/>
              </w:rPr>
            </w:pPr>
            <w:r w:rsidRPr="00873B6C">
              <w:rPr>
                <w:sz w:val="16"/>
                <w:szCs w:val="16"/>
              </w:rPr>
              <w:t>SP-210346</w:t>
            </w:r>
          </w:p>
        </w:tc>
        <w:tc>
          <w:tcPr>
            <w:tcW w:w="567" w:type="dxa"/>
            <w:shd w:val="solid" w:color="FFFFFF" w:fill="auto"/>
          </w:tcPr>
          <w:p w14:paraId="795D7206" w14:textId="403F242B" w:rsidR="00182EE7" w:rsidRPr="00873B6C" w:rsidRDefault="00182EE7" w:rsidP="009D14FB">
            <w:pPr>
              <w:pStyle w:val="TAL"/>
              <w:rPr>
                <w:sz w:val="16"/>
                <w:szCs w:val="16"/>
              </w:rPr>
            </w:pPr>
            <w:r w:rsidRPr="00873B6C">
              <w:rPr>
                <w:sz w:val="16"/>
                <w:szCs w:val="16"/>
              </w:rPr>
              <w:t>2973</w:t>
            </w:r>
          </w:p>
        </w:tc>
        <w:tc>
          <w:tcPr>
            <w:tcW w:w="425" w:type="dxa"/>
            <w:shd w:val="solid" w:color="FFFFFF" w:fill="auto"/>
          </w:tcPr>
          <w:p w14:paraId="10EC522F" w14:textId="376D3A6E"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55198E3E" w14:textId="3E08D504"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5072D111" w14:textId="12909AAE" w:rsidR="00182EE7" w:rsidRPr="00873B6C" w:rsidRDefault="00182EE7" w:rsidP="009D14FB">
            <w:pPr>
              <w:pStyle w:val="TAL"/>
              <w:rPr>
                <w:sz w:val="16"/>
                <w:szCs w:val="16"/>
              </w:rPr>
            </w:pPr>
            <w:r w:rsidRPr="00873B6C">
              <w:rPr>
                <w:sz w:val="16"/>
                <w:szCs w:val="16"/>
              </w:rPr>
              <w:t>L2TP information provision</w:t>
            </w:r>
          </w:p>
        </w:tc>
        <w:tc>
          <w:tcPr>
            <w:tcW w:w="708" w:type="dxa"/>
            <w:shd w:val="solid" w:color="FFFFFF" w:fill="auto"/>
          </w:tcPr>
          <w:p w14:paraId="5FCB4C45" w14:textId="21EA7E4A" w:rsidR="00182EE7" w:rsidRPr="00873B6C" w:rsidRDefault="00182EE7" w:rsidP="009D14FB">
            <w:pPr>
              <w:pStyle w:val="TAC"/>
              <w:rPr>
                <w:sz w:val="16"/>
                <w:szCs w:val="16"/>
              </w:rPr>
            </w:pPr>
            <w:r w:rsidRPr="00873B6C">
              <w:rPr>
                <w:sz w:val="16"/>
                <w:szCs w:val="16"/>
              </w:rPr>
              <w:t>17.1.0</w:t>
            </w:r>
          </w:p>
        </w:tc>
      </w:tr>
      <w:tr w:rsidR="00182EE7" w:rsidRPr="00873B6C" w14:paraId="7DBA04A2" w14:textId="77777777" w:rsidTr="009D14FB">
        <w:tc>
          <w:tcPr>
            <w:tcW w:w="800" w:type="dxa"/>
            <w:shd w:val="solid" w:color="FFFFFF" w:fill="auto"/>
          </w:tcPr>
          <w:p w14:paraId="08653E1C" w14:textId="6450A7B8"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2F0C614F" w14:textId="053F3B34"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08FDE2D4" w14:textId="3413812C" w:rsidR="00182EE7" w:rsidRPr="00873B6C" w:rsidRDefault="00182EE7" w:rsidP="009D14FB">
            <w:pPr>
              <w:pStyle w:val="TAC"/>
              <w:rPr>
                <w:sz w:val="16"/>
                <w:szCs w:val="16"/>
              </w:rPr>
            </w:pPr>
            <w:r w:rsidRPr="00873B6C">
              <w:rPr>
                <w:sz w:val="16"/>
                <w:szCs w:val="16"/>
              </w:rPr>
              <w:t>SP-210359</w:t>
            </w:r>
          </w:p>
        </w:tc>
        <w:tc>
          <w:tcPr>
            <w:tcW w:w="567" w:type="dxa"/>
            <w:shd w:val="solid" w:color="FFFFFF" w:fill="auto"/>
          </w:tcPr>
          <w:p w14:paraId="0EF38B4D" w14:textId="19F24D51" w:rsidR="00182EE7" w:rsidRPr="00873B6C" w:rsidRDefault="00182EE7" w:rsidP="009D14FB">
            <w:pPr>
              <w:pStyle w:val="TAL"/>
              <w:rPr>
                <w:sz w:val="16"/>
                <w:szCs w:val="16"/>
              </w:rPr>
            </w:pPr>
            <w:r w:rsidRPr="00873B6C">
              <w:rPr>
                <w:sz w:val="16"/>
                <w:szCs w:val="16"/>
              </w:rPr>
              <w:t>2977</w:t>
            </w:r>
          </w:p>
        </w:tc>
        <w:tc>
          <w:tcPr>
            <w:tcW w:w="425" w:type="dxa"/>
            <w:shd w:val="solid" w:color="FFFFFF" w:fill="auto"/>
          </w:tcPr>
          <w:p w14:paraId="3033C9DD" w14:textId="57BA6678"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4DD3E24D" w14:textId="22CD5D08"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549D7498" w14:textId="556C3AAA" w:rsidR="00182EE7" w:rsidRPr="00873B6C" w:rsidRDefault="00182EE7" w:rsidP="009D14FB">
            <w:pPr>
              <w:pStyle w:val="TAL"/>
              <w:rPr>
                <w:sz w:val="16"/>
                <w:szCs w:val="16"/>
              </w:rPr>
            </w:pPr>
            <w:r w:rsidRPr="00873B6C">
              <w:rPr>
                <w:sz w:val="16"/>
                <w:szCs w:val="16"/>
              </w:rPr>
              <w:t>Clarification on TSCAI for the non TSC service</w:t>
            </w:r>
          </w:p>
        </w:tc>
        <w:tc>
          <w:tcPr>
            <w:tcW w:w="708" w:type="dxa"/>
            <w:shd w:val="solid" w:color="FFFFFF" w:fill="auto"/>
          </w:tcPr>
          <w:p w14:paraId="378ED624" w14:textId="237347AC" w:rsidR="00182EE7" w:rsidRPr="00873B6C" w:rsidRDefault="00182EE7" w:rsidP="009D14FB">
            <w:pPr>
              <w:pStyle w:val="TAC"/>
              <w:rPr>
                <w:sz w:val="16"/>
                <w:szCs w:val="16"/>
              </w:rPr>
            </w:pPr>
            <w:r w:rsidRPr="00873B6C">
              <w:rPr>
                <w:sz w:val="16"/>
                <w:szCs w:val="16"/>
              </w:rPr>
              <w:t>17.1.0</w:t>
            </w:r>
          </w:p>
        </w:tc>
      </w:tr>
      <w:tr w:rsidR="00182EE7" w:rsidRPr="00873B6C" w14:paraId="70FFDD36" w14:textId="77777777" w:rsidTr="009D14FB">
        <w:tc>
          <w:tcPr>
            <w:tcW w:w="800" w:type="dxa"/>
            <w:shd w:val="solid" w:color="FFFFFF" w:fill="auto"/>
          </w:tcPr>
          <w:p w14:paraId="092FF28B" w14:textId="22D65F8C"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0F786DB4" w14:textId="151C4C50"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1A155681" w14:textId="4CE0BC55" w:rsidR="00182EE7" w:rsidRPr="00873B6C" w:rsidRDefault="00182EE7" w:rsidP="009D14FB">
            <w:pPr>
              <w:pStyle w:val="TAC"/>
              <w:rPr>
                <w:sz w:val="16"/>
                <w:szCs w:val="16"/>
              </w:rPr>
            </w:pPr>
            <w:r w:rsidRPr="00873B6C">
              <w:rPr>
                <w:sz w:val="16"/>
                <w:szCs w:val="16"/>
              </w:rPr>
              <w:t>SP-210330</w:t>
            </w:r>
          </w:p>
        </w:tc>
        <w:tc>
          <w:tcPr>
            <w:tcW w:w="567" w:type="dxa"/>
            <w:shd w:val="solid" w:color="FFFFFF" w:fill="auto"/>
          </w:tcPr>
          <w:p w14:paraId="3FA44A9C" w14:textId="4E28A704" w:rsidR="00182EE7" w:rsidRPr="00873B6C" w:rsidRDefault="00182EE7" w:rsidP="009D14FB">
            <w:pPr>
              <w:pStyle w:val="TAL"/>
              <w:rPr>
                <w:sz w:val="16"/>
                <w:szCs w:val="16"/>
              </w:rPr>
            </w:pPr>
            <w:r w:rsidRPr="00873B6C">
              <w:rPr>
                <w:sz w:val="16"/>
                <w:szCs w:val="16"/>
              </w:rPr>
              <w:t>2982</w:t>
            </w:r>
          </w:p>
        </w:tc>
        <w:tc>
          <w:tcPr>
            <w:tcW w:w="425" w:type="dxa"/>
            <w:shd w:val="solid" w:color="FFFFFF" w:fill="auto"/>
          </w:tcPr>
          <w:p w14:paraId="1CCF21E9" w14:textId="6AD8172C"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515495F3" w14:textId="6B4579C6" w:rsidR="00182EE7" w:rsidRPr="00873B6C" w:rsidRDefault="00182EE7" w:rsidP="009D14FB">
            <w:pPr>
              <w:pStyle w:val="TAL"/>
              <w:rPr>
                <w:sz w:val="16"/>
                <w:szCs w:val="16"/>
              </w:rPr>
            </w:pPr>
            <w:r w:rsidRPr="00873B6C">
              <w:rPr>
                <w:sz w:val="16"/>
                <w:szCs w:val="16"/>
              </w:rPr>
              <w:t>A</w:t>
            </w:r>
          </w:p>
        </w:tc>
        <w:tc>
          <w:tcPr>
            <w:tcW w:w="4820" w:type="dxa"/>
            <w:shd w:val="solid" w:color="FFFFFF" w:fill="auto"/>
          </w:tcPr>
          <w:p w14:paraId="35096EDC" w14:textId="18467AC2" w:rsidR="00182EE7" w:rsidRPr="00873B6C" w:rsidRDefault="00182EE7" w:rsidP="009D14FB">
            <w:pPr>
              <w:pStyle w:val="TAL"/>
              <w:rPr>
                <w:sz w:val="16"/>
                <w:szCs w:val="16"/>
              </w:rPr>
            </w:pPr>
            <w:r w:rsidRPr="00873B6C">
              <w:rPr>
                <w:sz w:val="16"/>
                <w:szCs w:val="16"/>
              </w:rPr>
              <w:t>AMF to consider S1 mode capability into account when setting EMF and EMC</w:t>
            </w:r>
          </w:p>
        </w:tc>
        <w:tc>
          <w:tcPr>
            <w:tcW w:w="708" w:type="dxa"/>
            <w:shd w:val="solid" w:color="FFFFFF" w:fill="auto"/>
          </w:tcPr>
          <w:p w14:paraId="45EEB0C2" w14:textId="393949D5" w:rsidR="00182EE7" w:rsidRPr="00873B6C" w:rsidRDefault="00182EE7" w:rsidP="009D14FB">
            <w:pPr>
              <w:pStyle w:val="TAC"/>
              <w:rPr>
                <w:sz w:val="16"/>
                <w:szCs w:val="16"/>
              </w:rPr>
            </w:pPr>
            <w:r w:rsidRPr="00873B6C">
              <w:rPr>
                <w:sz w:val="16"/>
                <w:szCs w:val="16"/>
              </w:rPr>
              <w:t>17.1.0</w:t>
            </w:r>
          </w:p>
        </w:tc>
      </w:tr>
      <w:tr w:rsidR="00182EE7" w:rsidRPr="00873B6C" w14:paraId="48D0698A" w14:textId="77777777" w:rsidTr="009D14FB">
        <w:tc>
          <w:tcPr>
            <w:tcW w:w="800" w:type="dxa"/>
            <w:shd w:val="solid" w:color="FFFFFF" w:fill="auto"/>
          </w:tcPr>
          <w:p w14:paraId="3FEC675F" w14:textId="7E6DB62F"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6B468385" w14:textId="51F32E39"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0B30879F" w14:textId="3F2FC09D" w:rsidR="00182EE7" w:rsidRPr="00873B6C" w:rsidRDefault="00182EE7" w:rsidP="009D14FB">
            <w:pPr>
              <w:pStyle w:val="TAC"/>
              <w:rPr>
                <w:sz w:val="16"/>
                <w:szCs w:val="16"/>
              </w:rPr>
            </w:pPr>
            <w:r w:rsidRPr="00873B6C">
              <w:rPr>
                <w:sz w:val="16"/>
                <w:szCs w:val="16"/>
              </w:rPr>
              <w:t>SP-210335</w:t>
            </w:r>
          </w:p>
        </w:tc>
        <w:tc>
          <w:tcPr>
            <w:tcW w:w="567" w:type="dxa"/>
            <w:shd w:val="solid" w:color="FFFFFF" w:fill="auto"/>
          </w:tcPr>
          <w:p w14:paraId="5FCF8D71" w14:textId="743ECE4E" w:rsidR="00182EE7" w:rsidRPr="00873B6C" w:rsidRDefault="00182EE7" w:rsidP="009D14FB">
            <w:pPr>
              <w:pStyle w:val="TAL"/>
              <w:rPr>
                <w:sz w:val="16"/>
                <w:szCs w:val="16"/>
              </w:rPr>
            </w:pPr>
            <w:r w:rsidRPr="00873B6C">
              <w:rPr>
                <w:sz w:val="16"/>
                <w:szCs w:val="16"/>
              </w:rPr>
              <w:t>2984</w:t>
            </w:r>
          </w:p>
        </w:tc>
        <w:tc>
          <w:tcPr>
            <w:tcW w:w="425" w:type="dxa"/>
            <w:shd w:val="solid" w:color="FFFFFF" w:fill="auto"/>
          </w:tcPr>
          <w:p w14:paraId="3872081C" w14:textId="73B041AA"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09ADEEC5" w14:textId="2359437E" w:rsidR="00182EE7" w:rsidRPr="00873B6C" w:rsidRDefault="00182EE7" w:rsidP="009D14FB">
            <w:pPr>
              <w:pStyle w:val="TAL"/>
              <w:rPr>
                <w:sz w:val="16"/>
                <w:szCs w:val="16"/>
              </w:rPr>
            </w:pPr>
            <w:r w:rsidRPr="00873B6C">
              <w:rPr>
                <w:sz w:val="16"/>
                <w:szCs w:val="16"/>
              </w:rPr>
              <w:t>A</w:t>
            </w:r>
          </w:p>
        </w:tc>
        <w:tc>
          <w:tcPr>
            <w:tcW w:w="4820" w:type="dxa"/>
            <w:shd w:val="solid" w:color="FFFFFF" w:fill="auto"/>
          </w:tcPr>
          <w:p w14:paraId="70ADB1D0" w14:textId="4BEC3165" w:rsidR="00182EE7" w:rsidRPr="00873B6C" w:rsidRDefault="00182EE7" w:rsidP="009D14FB">
            <w:pPr>
              <w:pStyle w:val="TAL"/>
              <w:rPr>
                <w:sz w:val="16"/>
                <w:szCs w:val="16"/>
              </w:rPr>
            </w:pPr>
            <w:r w:rsidRPr="00873B6C">
              <w:rPr>
                <w:sz w:val="16"/>
                <w:szCs w:val="16"/>
              </w:rPr>
              <w:t>Correction to trigger for UE Radio Capability Update procedure</w:t>
            </w:r>
          </w:p>
        </w:tc>
        <w:tc>
          <w:tcPr>
            <w:tcW w:w="708" w:type="dxa"/>
            <w:shd w:val="solid" w:color="FFFFFF" w:fill="auto"/>
          </w:tcPr>
          <w:p w14:paraId="528B65E2" w14:textId="140966EF" w:rsidR="00182EE7" w:rsidRPr="00873B6C" w:rsidRDefault="00182EE7" w:rsidP="009D14FB">
            <w:pPr>
              <w:pStyle w:val="TAC"/>
              <w:rPr>
                <w:sz w:val="16"/>
                <w:szCs w:val="16"/>
              </w:rPr>
            </w:pPr>
            <w:r w:rsidRPr="00873B6C">
              <w:rPr>
                <w:sz w:val="16"/>
                <w:szCs w:val="16"/>
              </w:rPr>
              <w:t>17.1.0</w:t>
            </w:r>
          </w:p>
        </w:tc>
      </w:tr>
      <w:tr w:rsidR="00182EE7" w:rsidRPr="00873B6C" w14:paraId="08C6E45D" w14:textId="77777777" w:rsidTr="009D14FB">
        <w:tc>
          <w:tcPr>
            <w:tcW w:w="800" w:type="dxa"/>
            <w:shd w:val="solid" w:color="FFFFFF" w:fill="auto"/>
          </w:tcPr>
          <w:p w14:paraId="0151F9D1" w14:textId="5133668D"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40E98438" w14:textId="3BF213DA"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59822226" w14:textId="3905A45F" w:rsidR="00182EE7" w:rsidRPr="00873B6C" w:rsidRDefault="00182EE7" w:rsidP="009D14FB">
            <w:pPr>
              <w:pStyle w:val="TAC"/>
              <w:rPr>
                <w:sz w:val="16"/>
                <w:szCs w:val="16"/>
              </w:rPr>
            </w:pPr>
            <w:r w:rsidRPr="00873B6C">
              <w:rPr>
                <w:sz w:val="16"/>
                <w:szCs w:val="16"/>
              </w:rPr>
              <w:t>SP-210331</w:t>
            </w:r>
          </w:p>
        </w:tc>
        <w:tc>
          <w:tcPr>
            <w:tcW w:w="567" w:type="dxa"/>
            <w:shd w:val="solid" w:color="FFFFFF" w:fill="auto"/>
          </w:tcPr>
          <w:p w14:paraId="7064EDE2" w14:textId="466820A5" w:rsidR="00182EE7" w:rsidRPr="00873B6C" w:rsidRDefault="00182EE7" w:rsidP="009D14FB">
            <w:pPr>
              <w:pStyle w:val="TAL"/>
              <w:rPr>
                <w:sz w:val="16"/>
                <w:szCs w:val="16"/>
              </w:rPr>
            </w:pPr>
            <w:r w:rsidRPr="00873B6C">
              <w:rPr>
                <w:sz w:val="16"/>
                <w:szCs w:val="16"/>
              </w:rPr>
              <w:t>2990</w:t>
            </w:r>
          </w:p>
        </w:tc>
        <w:tc>
          <w:tcPr>
            <w:tcW w:w="425" w:type="dxa"/>
            <w:shd w:val="solid" w:color="FFFFFF" w:fill="auto"/>
          </w:tcPr>
          <w:p w14:paraId="6B06EE63" w14:textId="140145F3" w:rsidR="00182EE7" w:rsidRPr="00873B6C" w:rsidRDefault="00182EE7" w:rsidP="009D14FB">
            <w:pPr>
              <w:pStyle w:val="TAL"/>
              <w:rPr>
                <w:sz w:val="16"/>
                <w:szCs w:val="16"/>
              </w:rPr>
            </w:pPr>
            <w:r w:rsidRPr="00873B6C">
              <w:rPr>
                <w:sz w:val="16"/>
                <w:szCs w:val="16"/>
              </w:rPr>
              <w:t xml:space="preserve">- </w:t>
            </w:r>
          </w:p>
        </w:tc>
        <w:tc>
          <w:tcPr>
            <w:tcW w:w="425" w:type="dxa"/>
            <w:shd w:val="solid" w:color="FFFFFF" w:fill="auto"/>
          </w:tcPr>
          <w:p w14:paraId="03F42C67" w14:textId="69531059" w:rsidR="00182EE7" w:rsidRPr="00873B6C" w:rsidRDefault="00182EE7" w:rsidP="009D14FB">
            <w:pPr>
              <w:pStyle w:val="TAL"/>
              <w:rPr>
                <w:sz w:val="16"/>
                <w:szCs w:val="16"/>
              </w:rPr>
            </w:pPr>
            <w:r w:rsidRPr="00873B6C">
              <w:rPr>
                <w:sz w:val="16"/>
                <w:szCs w:val="16"/>
              </w:rPr>
              <w:t>A</w:t>
            </w:r>
          </w:p>
        </w:tc>
        <w:tc>
          <w:tcPr>
            <w:tcW w:w="4820" w:type="dxa"/>
            <w:shd w:val="solid" w:color="FFFFFF" w:fill="auto"/>
          </w:tcPr>
          <w:p w14:paraId="49581634" w14:textId="4EEEC4ED" w:rsidR="00182EE7" w:rsidRPr="00873B6C" w:rsidRDefault="00182EE7" w:rsidP="009D14FB">
            <w:pPr>
              <w:pStyle w:val="TAL"/>
              <w:rPr>
                <w:sz w:val="16"/>
                <w:szCs w:val="16"/>
              </w:rPr>
            </w:pPr>
            <w:r w:rsidRPr="00873B6C">
              <w:rPr>
                <w:sz w:val="16"/>
                <w:szCs w:val="16"/>
              </w:rPr>
              <w:t>Correction on non-3GPP access type</w:t>
            </w:r>
          </w:p>
        </w:tc>
        <w:tc>
          <w:tcPr>
            <w:tcW w:w="708" w:type="dxa"/>
            <w:shd w:val="solid" w:color="FFFFFF" w:fill="auto"/>
          </w:tcPr>
          <w:p w14:paraId="535897DD" w14:textId="0D7BBB59" w:rsidR="00182EE7" w:rsidRPr="00873B6C" w:rsidRDefault="00182EE7" w:rsidP="009D14FB">
            <w:pPr>
              <w:pStyle w:val="TAC"/>
              <w:rPr>
                <w:sz w:val="16"/>
                <w:szCs w:val="16"/>
              </w:rPr>
            </w:pPr>
            <w:r w:rsidRPr="00873B6C">
              <w:rPr>
                <w:sz w:val="16"/>
                <w:szCs w:val="16"/>
              </w:rPr>
              <w:t>17.1.0</w:t>
            </w:r>
          </w:p>
        </w:tc>
      </w:tr>
      <w:tr w:rsidR="00182EE7" w:rsidRPr="00873B6C" w14:paraId="69AE420D" w14:textId="77777777" w:rsidTr="009D14FB">
        <w:tc>
          <w:tcPr>
            <w:tcW w:w="800" w:type="dxa"/>
            <w:shd w:val="solid" w:color="FFFFFF" w:fill="auto"/>
          </w:tcPr>
          <w:p w14:paraId="6830A917" w14:textId="5D28D459"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2DD3C32E" w14:textId="02673C31"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2FF37DCD" w14:textId="0D1616D3" w:rsidR="00182EE7" w:rsidRPr="00873B6C" w:rsidRDefault="00182EE7" w:rsidP="009D14FB">
            <w:pPr>
              <w:pStyle w:val="TAC"/>
              <w:rPr>
                <w:sz w:val="16"/>
                <w:szCs w:val="16"/>
              </w:rPr>
            </w:pPr>
            <w:r w:rsidRPr="00873B6C">
              <w:rPr>
                <w:sz w:val="16"/>
                <w:szCs w:val="16"/>
              </w:rPr>
              <w:t>SP-210331</w:t>
            </w:r>
          </w:p>
        </w:tc>
        <w:tc>
          <w:tcPr>
            <w:tcW w:w="567" w:type="dxa"/>
            <w:shd w:val="solid" w:color="FFFFFF" w:fill="auto"/>
          </w:tcPr>
          <w:p w14:paraId="2B2DDCE4" w14:textId="4836FFF6" w:rsidR="00182EE7" w:rsidRPr="00873B6C" w:rsidRDefault="00182EE7" w:rsidP="009D14FB">
            <w:pPr>
              <w:pStyle w:val="TAL"/>
              <w:rPr>
                <w:sz w:val="16"/>
                <w:szCs w:val="16"/>
              </w:rPr>
            </w:pPr>
            <w:r w:rsidRPr="00873B6C">
              <w:rPr>
                <w:sz w:val="16"/>
                <w:szCs w:val="16"/>
              </w:rPr>
              <w:t>2991</w:t>
            </w:r>
          </w:p>
        </w:tc>
        <w:tc>
          <w:tcPr>
            <w:tcW w:w="425" w:type="dxa"/>
            <w:shd w:val="solid" w:color="FFFFFF" w:fill="auto"/>
          </w:tcPr>
          <w:p w14:paraId="197FF23E" w14:textId="69C2ABD0"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5C7CFF13" w14:textId="5FB1FE35" w:rsidR="00182EE7" w:rsidRPr="00873B6C" w:rsidRDefault="00182EE7" w:rsidP="009D14FB">
            <w:pPr>
              <w:pStyle w:val="TAL"/>
              <w:rPr>
                <w:sz w:val="16"/>
                <w:szCs w:val="16"/>
              </w:rPr>
            </w:pPr>
            <w:r w:rsidRPr="00873B6C">
              <w:rPr>
                <w:sz w:val="16"/>
                <w:szCs w:val="16"/>
              </w:rPr>
              <w:t>F</w:t>
            </w:r>
          </w:p>
        </w:tc>
        <w:tc>
          <w:tcPr>
            <w:tcW w:w="4820" w:type="dxa"/>
            <w:shd w:val="solid" w:color="FFFFFF" w:fill="auto"/>
          </w:tcPr>
          <w:p w14:paraId="425271D7" w14:textId="18E36AE8" w:rsidR="00182EE7" w:rsidRPr="00873B6C" w:rsidRDefault="00182EE7" w:rsidP="009D14FB">
            <w:pPr>
              <w:pStyle w:val="TAL"/>
              <w:rPr>
                <w:sz w:val="16"/>
                <w:szCs w:val="16"/>
              </w:rPr>
            </w:pPr>
            <w:r w:rsidRPr="00873B6C">
              <w:rPr>
                <w:sz w:val="16"/>
                <w:szCs w:val="16"/>
              </w:rPr>
              <w:t>Adding PDU session limitation and protocol stacks for trusted WLAN access for N5CW device</w:t>
            </w:r>
          </w:p>
        </w:tc>
        <w:tc>
          <w:tcPr>
            <w:tcW w:w="708" w:type="dxa"/>
            <w:shd w:val="solid" w:color="FFFFFF" w:fill="auto"/>
          </w:tcPr>
          <w:p w14:paraId="6FE61B32" w14:textId="044E853E" w:rsidR="00182EE7" w:rsidRPr="00873B6C" w:rsidRDefault="00182EE7" w:rsidP="009D14FB">
            <w:pPr>
              <w:pStyle w:val="TAC"/>
              <w:rPr>
                <w:sz w:val="16"/>
                <w:szCs w:val="16"/>
              </w:rPr>
            </w:pPr>
            <w:r w:rsidRPr="00873B6C">
              <w:rPr>
                <w:sz w:val="16"/>
                <w:szCs w:val="16"/>
              </w:rPr>
              <w:t>17.1.0</w:t>
            </w:r>
          </w:p>
        </w:tc>
      </w:tr>
      <w:tr w:rsidR="00D52D28" w:rsidRPr="00873B6C" w14:paraId="50EAD2F5" w14:textId="77777777" w:rsidTr="009D14FB">
        <w:tc>
          <w:tcPr>
            <w:tcW w:w="800" w:type="dxa"/>
            <w:shd w:val="solid" w:color="FFFFFF" w:fill="auto"/>
          </w:tcPr>
          <w:p w14:paraId="4260A7EE" w14:textId="5BABD0F3" w:rsidR="00D52D28" w:rsidRPr="00873B6C" w:rsidRDefault="00D52D28" w:rsidP="009D14FB">
            <w:pPr>
              <w:pStyle w:val="TAC"/>
              <w:rPr>
                <w:sz w:val="16"/>
                <w:szCs w:val="16"/>
              </w:rPr>
            </w:pPr>
            <w:r w:rsidRPr="00873B6C">
              <w:rPr>
                <w:sz w:val="16"/>
                <w:szCs w:val="16"/>
              </w:rPr>
              <w:t>2021-06</w:t>
            </w:r>
          </w:p>
        </w:tc>
        <w:tc>
          <w:tcPr>
            <w:tcW w:w="800" w:type="dxa"/>
            <w:shd w:val="solid" w:color="FFFFFF" w:fill="auto"/>
          </w:tcPr>
          <w:p w14:paraId="111737D8" w14:textId="697BF336" w:rsidR="00D52D28" w:rsidRPr="00873B6C" w:rsidRDefault="00D52D28" w:rsidP="009D14FB">
            <w:pPr>
              <w:pStyle w:val="TAL"/>
              <w:rPr>
                <w:sz w:val="16"/>
                <w:szCs w:val="16"/>
              </w:rPr>
            </w:pPr>
            <w:r w:rsidRPr="00873B6C">
              <w:rPr>
                <w:sz w:val="16"/>
                <w:szCs w:val="16"/>
              </w:rPr>
              <w:t>SP#92E</w:t>
            </w:r>
          </w:p>
        </w:tc>
        <w:tc>
          <w:tcPr>
            <w:tcW w:w="1094" w:type="dxa"/>
            <w:shd w:val="solid" w:color="FFFFFF" w:fill="auto"/>
          </w:tcPr>
          <w:p w14:paraId="42C61FE7" w14:textId="2DB97232" w:rsidR="00D52D28" w:rsidRPr="00873B6C" w:rsidRDefault="00D52D28" w:rsidP="009D14FB">
            <w:pPr>
              <w:pStyle w:val="TAC"/>
              <w:rPr>
                <w:sz w:val="16"/>
                <w:szCs w:val="16"/>
              </w:rPr>
            </w:pPr>
            <w:r w:rsidRPr="00873B6C">
              <w:rPr>
                <w:sz w:val="16"/>
                <w:szCs w:val="16"/>
              </w:rPr>
              <w:t>SP-210354</w:t>
            </w:r>
          </w:p>
        </w:tc>
        <w:tc>
          <w:tcPr>
            <w:tcW w:w="567" w:type="dxa"/>
            <w:shd w:val="solid" w:color="FFFFFF" w:fill="auto"/>
          </w:tcPr>
          <w:p w14:paraId="45C2B0DE" w14:textId="42F728F4" w:rsidR="00D52D28" w:rsidRPr="00873B6C" w:rsidRDefault="00D52D28" w:rsidP="009D14FB">
            <w:pPr>
              <w:pStyle w:val="TAL"/>
              <w:rPr>
                <w:sz w:val="16"/>
                <w:szCs w:val="16"/>
              </w:rPr>
            </w:pPr>
            <w:r w:rsidRPr="00873B6C">
              <w:rPr>
                <w:sz w:val="16"/>
                <w:szCs w:val="16"/>
              </w:rPr>
              <w:t>2992</w:t>
            </w:r>
          </w:p>
        </w:tc>
        <w:tc>
          <w:tcPr>
            <w:tcW w:w="425" w:type="dxa"/>
            <w:shd w:val="solid" w:color="FFFFFF" w:fill="auto"/>
          </w:tcPr>
          <w:p w14:paraId="59080738" w14:textId="38A1309F" w:rsidR="00D52D28" w:rsidRPr="00873B6C" w:rsidRDefault="00D52D28" w:rsidP="009D14FB">
            <w:pPr>
              <w:pStyle w:val="TAL"/>
              <w:rPr>
                <w:sz w:val="16"/>
                <w:szCs w:val="16"/>
              </w:rPr>
            </w:pPr>
            <w:r w:rsidRPr="00873B6C">
              <w:rPr>
                <w:sz w:val="16"/>
                <w:szCs w:val="16"/>
              </w:rPr>
              <w:t>-</w:t>
            </w:r>
          </w:p>
        </w:tc>
        <w:tc>
          <w:tcPr>
            <w:tcW w:w="425" w:type="dxa"/>
            <w:shd w:val="solid" w:color="FFFFFF" w:fill="auto"/>
          </w:tcPr>
          <w:p w14:paraId="2409CFA1" w14:textId="2DE7685B" w:rsidR="00D52D28" w:rsidRPr="00873B6C" w:rsidRDefault="00D52D28" w:rsidP="009D14FB">
            <w:pPr>
              <w:pStyle w:val="TAL"/>
              <w:rPr>
                <w:sz w:val="16"/>
                <w:szCs w:val="16"/>
              </w:rPr>
            </w:pPr>
            <w:r w:rsidRPr="00873B6C">
              <w:rPr>
                <w:sz w:val="16"/>
                <w:szCs w:val="16"/>
              </w:rPr>
              <w:t>F</w:t>
            </w:r>
          </w:p>
        </w:tc>
        <w:tc>
          <w:tcPr>
            <w:tcW w:w="4820" w:type="dxa"/>
            <w:shd w:val="solid" w:color="FFFFFF" w:fill="auto"/>
          </w:tcPr>
          <w:p w14:paraId="276F16A0" w14:textId="5908C742" w:rsidR="00D52D28" w:rsidRPr="00873B6C" w:rsidRDefault="00D52D28" w:rsidP="009D14FB">
            <w:pPr>
              <w:pStyle w:val="TAL"/>
              <w:rPr>
                <w:sz w:val="16"/>
                <w:szCs w:val="16"/>
              </w:rPr>
            </w:pPr>
            <w:r w:rsidRPr="00873B6C">
              <w:rPr>
                <w:sz w:val="16"/>
                <w:szCs w:val="16"/>
              </w:rPr>
              <w:t>UE configuration for remote provisioning</w:t>
            </w:r>
          </w:p>
        </w:tc>
        <w:tc>
          <w:tcPr>
            <w:tcW w:w="708" w:type="dxa"/>
            <w:shd w:val="solid" w:color="FFFFFF" w:fill="auto"/>
          </w:tcPr>
          <w:p w14:paraId="6BC3C85F" w14:textId="1CEFD2F4" w:rsidR="00D52D28" w:rsidRPr="00873B6C" w:rsidRDefault="00D52D28" w:rsidP="009D14FB">
            <w:pPr>
              <w:pStyle w:val="TAC"/>
              <w:rPr>
                <w:sz w:val="16"/>
                <w:szCs w:val="16"/>
              </w:rPr>
            </w:pPr>
            <w:r w:rsidRPr="00873B6C">
              <w:rPr>
                <w:sz w:val="16"/>
                <w:szCs w:val="16"/>
              </w:rPr>
              <w:t>17.1.0</w:t>
            </w:r>
          </w:p>
        </w:tc>
      </w:tr>
      <w:tr w:rsidR="000040FE" w:rsidRPr="00873B6C" w14:paraId="776E7BC7" w14:textId="77777777" w:rsidTr="009D14FB">
        <w:tc>
          <w:tcPr>
            <w:tcW w:w="800" w:type="dxa"/>
            <w:shd w:val="solid" w:color="FFFFFF" w:fill="auto"/>
          </w:tcPr>
          <w:p w14:paraId="75CDD776" w14:textId="00539D65" w:rsidR="000040FE" w:rsidRPr="00873B6C" w:rsidRDefault="000040FE" w:rsidP="000040FE">
            <w:pPr>
              <w:pStyle w:val="TAC"/>
              <w:rPr>
                <w:sz w:val="16"/>
                <w:szCs w:val="16"/>
              </w:rPr>
            </w:pPr>
            <w:r w:rsidRPr="00873B6C">
              <w:rPr>
                <w:sz w:val="16"/>
                <w:szCs w:val="16"/>
              </w:rPr>
              <w:t>2021-06</w:t>
            </w:r>
          </w:p>
        </w:tc>
        <w:tc>
          <w:tcPr>
            <w:tcW w:w="800" w:type="dxa"/>
            <w:shd w:val="solid" w:color="FFFFFF" w:fill="auto"/>
          </w:tcPr>
          <w:p w14:paraId="74CFB4C9" w14:textId="22C9E6D0" w:rsidR="000040FE" w:rsidRPr="00873B6C" w:rsidRDefault="000040FE" w:rsidP="000040FE">
            <w:pPr>
              <w:pStyle w:val="TAL"/>
              <w:rPr>
                <w:sz w:val="16"/>
                <w:szCs w:val="16"/>
              </w:rPr>
            </w:pPr>
            <w:r w:rsidRPr="00873B6C">
              <w:rPr>
                <w:sz w:val="16"/>
                <w:szCs w:val="16"/>
              </w:rPr>
              <w:t>SP#92E</w:t>
            </w:r>
          </w:p>
        </w:tc>
        <w:tc>
          <w:tcPr>
            <w:tcW w:w="1094" w:type="dxa"/>
            <w:shd w:val="solid" w:color="FFFFFF" w:fill="auto"/>
          </w:tcPr>
          <w:p w14:paraId="5F578B03" w14:textId="36A8791B" w:rsidR="000040FE" w:rsidRPr="00873B6C" w:rsidRDefault="000040FE" w:rsidP="000040FE">
            <w:pPr>
              <w:pStyle w:val="TAC"/>
              <w:rPr>
                <w:sz w:val="16"/>
                <w:szCs w:val="16"/>
              </w:rPr>
            </w:pPr>
            <w:r w:rsidRPr="00873B6C">
              <w:rPr>
                <w:sz w:val="16"/>
                <w:szCs w:val="16"/>
              </w:rPr>
              <w:t>-</w:t>
            </w:r>
          </w:p>
        </w:tc>
        <w:tc>
          <w:tcPr>
            <w:tcW w:w="567" w:type="dxa"/>
            <w:shd w:val="solid" w:color="FFFFFF" w:fill="auto"/>
          </w:tcPr>
          <w:p w14:paraId="3C7CE601" w14:textId="783AC3DE" w:rsidR="000040FE" w:rsidRPr="00873B6C" w:rsidRDefault="000040FE" w:rsidP="000040FE">
            <w:pPr>
              <w:pStyle w:val="TAL"/>
              <w:rPr>
                <w:sz w:val="16"/>
                <w:szCs w:val="16"/>
              </w:rPr>
            </w:pPr>
            <w:r w:rsidRPr="00873B6C">
              <w:rPr>
                <w:sz w:val="16"/>
                <w:szCs w:val="16"/>
              </w:rPr>
              <w:t>-</w:t>
            </w:r>
          </w:p>
        </w:tc>
        <w:tc>
          <w:tcPr>
            <w:tcW w:w="425" w:type="dxa"/>
            <w:shd w:val="solid" w:color="FFFFFF" w:fill="auto"/>
          </w:tcPr>
          <w:p w14:paraId="1E908E21" w14:textId="01790B4C" w:rsidR="000040FE" w:rsidRPr="00873B6C" w:rsidRDefault="000040FE" w:rsidP="000040FE">
            <w:pPr>
              <w:pStyle w:val="TAL"/>
              <w:rPr>
                <w:sz w:val="16"/>
                <w:szCs w:val="16"/>
              </w:rPr>
            </w:pPr>
            <w:r w:rsidRPr="00873B6C">
              <w:rPr>
                <w:sz w:val="16"/>
                <w:szCs w:val="16"/>
              </w:rPr>
              <w:t>-</w:t>
            </w:r>
          </w:p>
        </w:tc>
        <w:tc>
          <w:tcPr>
            <w:tcW w:w="425" w:type="dxa"/>
            <w:shd w:val="solid" w:color="FFFFFF" w:fill="auto"/>
          </w:tcPr>
          <w:p w14:paraId="2AA952B2" w14:textId="1BB3089A" w:rsidR="000040FE" w:rsidRPr="00873B6C" w:rsidRDefault="000040FE" w:rsidP="000040FE">
            <w:pPr>
              <w:pStyle w:val="TAL"/>
              <w:rPr>
                <w:sz w:val="16"/>
                <w:szCs w:val="16"/>
              </w:rPr>
            </w:pPr>
            <w:r w:rsidRPr="00873B6C">
              <w:rPr>
                <w:sz w:val="16"/>
                <w:szCs w:val="16"/>
              </w:rPr>
              <w:t>-</w:t>
            </w:r>
          </w:p>
        </w:tc>
        <w:tc>
          <w:tcPr>
            <w:tcW w:w="4820" w:type="dxa"/>
            <w:shd w:val="solid" w:color="FFFFFF" w:fill="auto"/>
          </w:tcPr>
          <w:p w14:paraId="3CD62DD0" w14:textId="3E5DB2F2" w:rsidR="000040FE" w:rsidRPr="00873B6C" w:rsidRDefault="000040FE" w:rsidP="000040FE">
            <w:pPr>
              <w:pStyle w:val="TAL"/>
              <w:rPr>
                <w:sz w:val="16"/>
                <w:szCs w:val="16"/>
              </w:rPr>
            </w:pPr>
            <w:r w:rsidRPr="00873B6C">
              <w:rPr>
                <w:sz w:val="16"/>
                <w:szCs w:val="16"/>
              </w:rPr>
              <w:t>MCC Correction to move 5.15.11.14 to 5.15.11.5</w:t>
            </w:r>
          </w:p>
        </w:tc>
        <w:tc>
          <w:tcPr>
            <w:tcW w:w="708" w:type="dxa"/>
            <w:shd w:val="solid" w:color="FFFFFF" w:fill="auto"/>
          </w:tcPr>
          <w:p w14:paraId="7FA85269" w14:textId="2BA6B955" w:rsidR="000040FE" w:rsidRPr="00873B6C" w:rsidRDefault="000040FE" w:rsidP="000040FE">
            <w:pPr>
              <w:pStyle w:val="TAC"/>
              <w:rPr>
                <w:sz w:val="16"/>
                <w:szCs w:val="16"/>
              </w:rPr>
            </w:pPr>
            <w:r w:rsidRPr="00873B6C">
              <w:rPr>
                <w:sz w:val="16"/>
                <w:szCs w:val="16"/>
              </w:rPr>
              <w:t>17.1.1</w:t>
            </w:r>
          </w:p>
        </w:tc>
      </w:tr>
      <w:tr w:rsidR="00E83620" w:rsidRPr="00873B6C" w14:paraId="33AF114C" w14:textId="77777777" w:rsidTr="009D14FB">
        <w:tc>
          <w:tcPr>
            <w:tcW w:w="800" w:type="dxa"/>
            <w:shd w:val="solid" w:color="FFFFFF" w:fill="auto"/>
          </w:tcPr>
          <w:p w14:paraId="6ED895D9" w14:textId="2EA077B9"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05F9993A" w14:textId="5A991DFD"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5377EF0E" w14:textId="6C412697" w:rsidR="00E83620" w:rsidRPr="00873B6C" w:rsidRDefault="00E83620" w:rsidP="000040FE">
            <w:pPr>
              <w:pStyle w:val="TAC"/>
              <w:rPr>
                <w:sz w:val="16"/>
                <w:szCs w:val="16"/>
              </w:rPr>
            </w:pPr>
            <w:r w:rsidRPr="00873B6C">
              <w:rPr>
                <w:sz w:val="16"/>
                <w:szCs w:val="16"/>
              </w:rPr>
              <w:t>SP-210916</w:t>
            </w:r>
          </w:p>
        </w:tc>
        <w:tc>
          <w:tcPr>
            <w:tcW w:w="567" w:type="dxa"/>
            <w:shd w:val="solid" w:color="FFFFFF" w:fill="auto"/>
          </w:tcPr>
          <w:p w14:paraId="3B1AD3A3" w14:textId="07FC4FA5" w:rsidR="00E83620" w:rsidRPr="00873B6C" w:rsidRDefault="00E83620" w:rsidP="000040FE">
            <w:pPr>
              <w:pStyle w:val="TAL"/>
              <w:rPr>
                <w:sz w:val="16"/>
                <w:szCs w:val="16"/>
              </w:rPr>
            </w:pPr>
            <w:r w:rsidRPr="00873B6C">
              <w:rPr>
                <w:sz w:val="16"/>
                <w:szCs w:val="16"/>
              </w:rPr>
              <w:t>2748</w:t>
            </w:r>
          </w:p>
        </w:tc>
        <w:tc>
          <w:tcPr>
            <w:tcW w:w="425" w:type="dxa"/>
            <w:shd w:val="solid" w:color="FFFFFF" w:fill="auto"/>
          </w:tcPr>
          <w:p w14:paraId="0F35EF1B" w14:textId="0510BADD" w:rsidR="00E83620" w:rsidRPr="00873B6C" w:rsidRDefault="00E83620" w:rsidP="000040FE">
            <w:pPr>
              <w:pStyle w:val="TAL"/>
              <w:rPr>
                <w:sz w:val="16"/>
                <w:szCs w:val="16"/>
              </w:rPr>
            </w:pPr>
            <w:r w:rsidRPr="00873B6C">
              <w:rPr>
                <w:sz w:val="16"/>
                <w:szCs w:val="16"/>
              </w:rPr>
              <w:t>3</w:t>
            </w:r>
          </w:p>
        </w:tc>
        <w:tc>
          <w:tcPr>
            <w:tcW w:w="425" w:type="dxa"/>
            <w:shd w:val="solid" w:color="FFFFFF" w:fill="auto"/>
          </w:tcPr>
          <w:p w14:paraId="23229EF3" w14:textId="5F66173D" w:rsidR="00E83620" w:rsidRPr="00873B6C" w:rsidRDefault="00E83620" w:rsidP="000040FE">
            <w:pPr>
              <w:pStyle w:val="TAL"/>
              <w:rPr>
                <w:sz w:val="16"/>
                <w:szCs w:val="16"/>
              </w:rPr>
            </w:pPr>
            <w:r w:rsidRPr="00873B6C">
              <w:rPr>
                <w:sz w:val="16"/>
                <w:szCs w:val="16"/>
              </w:rPr>
              <w:t>C</w:t>
            </w:r>
          </w:p>
        </w:tc>
        <w:tc>
          <w:tcPr>
            <w:tcW w:w="4820" w:type="dxa"/>
            <w:shd w:val="solid" w:color="FFFFFF" w:fill="auto"/>
          </w:tcPr>
          <w:p w14:paraId="02389657" w14:textId="251AA416" w:rsidR="00E83620" w:rsidRPr="00873B6C" w:rsidRDefault="00E83620" w:rsidP="000040FE">
            <w:pPr>
              <w:pStyle w:val="TAL"/>
              <w:rPr>
                <w:sz w:val="16"/>
                <w:szCs w:val="16"/>
              </w:rPr>
            </w:pPr>
            <w:r w:rsidRPr="00873B6C">
              <w:rPr>
                <w:sz w:val="16"/>
                <w:szCs w:val="16"/>
              </w:rPr>
              <w:t>Support of Mobility Registration Update for 5G Satellite Access</w:t>
            </w:r>
          </w:p>
        </w:tc>
        <w:tc>
          <w:tcPr>
            <w:tcW w:w="708" w:type="dxa"/>
            <w:shd w:val="solid" w:color="FFFFFF" w:fill="auto"/>
          </w:tcPr>
          <w:p w14:paraId="4FEC34B6" w14:textId="46AA6651" w:rsidR="00E83620" w:rsidRPr="00873B6C" w:rsidRDefault="00E83620" w:rsidP="000040FE">
            <w:pPr>
              <w:pStyle w:val="TAC"/>
              <w:rPr>
                <w:sz w:val="16"/>
                <w:szCs w:val="16"/>
              </w:rPr>
            </w:pPr>
            <w:r w:rsidRPr="00873B6C">
              <w:rPr>
                <w:sz w:val="16"/>
                <w:szCs w:val="16"/>
              </w:rPr>
              <w:t>17.2.0</w:t>
            </w:r>
          </w:p>
        </w:tc>
      </w:tr>
      <w:tr w:rsidR="00E83620" w:rsidRPr="00873B6C" w14:paraId="32772A56" w14:textId="77777777" w:rsidTr="009D14FB">
        <w:tc>
          <w:tcPr>
            <w:tcW w:w="800" w:type="dxa"/>
            <w:shd w:val="solid" w:color="FFFFFF" w:fill="auto"/>
          </w:tcPr>
          <w:p w14:paraId="1BE1C846" w14:textId="209FF8B7"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3FCCEE56" w14:textId="3415454B"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33E028F8" w14:textId="5B808E5B" w:rsidR="00E83620" w:rsidRPr="00873B6C" w:rsidRDefault="00E83620" w:rsidP="000040FE">
            <w:pPr>
              <w:pStyle w:val="TAC"/>
              <w:rPr>
                <w:sz w:val="16"/>
                <w:szCs w:val="16"/>
              </w:rPr>
            </w:pPr>
            <w:r w:rsidRPr="00873B6C">
              <w:rPr>
                <w:sz w:val="16"/>
                <w:szCs w:val="16"/>
              </w:rPr>
              <w:t>SP-210923</w:t>
            </w:r>
          </w:p>
        </w:tc>
        <w:tc>
          <w:tcPr>
            <w:tcW w:w="567" w:type="dxa"/>
            <w:shd w:val="solid" w:color="FFFFFF" w:fill="auto"/>
          </w:tcPr>
          <w:p w14:paraId="39906FC3" w14:textId="14589BD2" w:rsidR="00E83620" w:rsidRPr="00873B6C" w:rsidRDefault="00E83620" w:rsidP="000040FE">
            <w:pPr>
              <w:pStyle w:val="TAL"/>
              <w:rPr>
                <w:sz w:val="16"/>
                <w:szCs w:val="16"/>
              </w:rPr>
            </w:pPr>
            <w:r w:rsidRPr="00873B6C">
              <w:rPr>
                <w:sz w:val="16"/>
                <w:szCs w:val="16"/>
              </w:rPr>
              <w:t>2919</w:t>
            </w:r>
          </w:p>
        </w:tc>
        <w:tc>
          <w:tcPr>
            <w:tcW w:w="425" w:type="dxa"/>
            <w:shd w:val="solid" w:color="FFFFFF" w:fill="auto"/>
          </w:tcPr>
          <w:p w14:paraId="751C521F" w14:textId="10CF4BEE" w:rsidR="00E83620" w:rsidRPr="00873B6C" w:rsidRDefault="00E83620" w:rsidP="000040FE">
            <w:pPr>
              <w:pStyle w:val="TAL"/>
              <w:rPr>
                <w:sz w:val="16"/>
                <w:szCs w:val="16"/>
              </w:rPr>
            </w:pPr>
            <w:r w:rsidRPr="00873B6C">
              <w:rPr>
                <w:sz w:val="16"/>
                <w:szCs w:val="16"/>
              </w:rPr>
              <w:t>2</w:t>
            </w:r>
          </w:p>
        </w:tc>
        <w:tc>
          <w:tcPr>
            <w:tcW w:w="425" w:type="dxa"/>
            <w:shd w:val="solid" w:color="FFFFFF" w:fill="auto"/>
          </w:tcPr>
          <w:p w14:paraId="5A8757A3" w14:textId="5E9CD33C" w:rsidR="00E83620" w:rsidRPr="00873B6C" w:rsidRDefault="00E83620" w:rsidP="000040FE">
            <w:pPr>
              <w:pStyle w:val="TAL"/>
              <w:rPr>
                <w:sz w:val="16"/>
                <w:szCs w:val="16"/>
              </w:rPr>
            </w:pPr>
            <w:r w:rsidRPr="00873B6C">
              <w:rPr>
                <w:sz w:val="16"/>
                <w:szCs w:val="16"/>
              </w:rPr>
              <w:t>B</w:t>
            </w:r>
          </w:p>
        </w:tc>
        <w:tc>
          <w:tcPr>
            <w:tcW w:w="4820" w:type="dxa"/>
            <w:shd w:val="solid" w:color="FFFFFF" w:fill="auto"/>
          </w:tcPr>
          <w:p w14:paraId="1539E31B" w14:textId="2E4300C0" w:rsidR="00E83620" w:rsidRPr="00873B6C" w:rsidRDefault="00E83620" w:rsidP="000040FE">
            <w:pPr>
              <w:pStyle w:val="TAL"/>
              <w:rPr>
                <w:sz w:val="16"/>
                <w:szCs w:val="16"/>
              </w:rPr>
            </w:pPr>
            <w:r w:rsidRPr="00873B6C">
              <w:rPr>
                <w:sz w:val="16"/>
                <w:szCs w:val="16"/>
              </w:rPr>
              <w:t>IMSI based SUPI support when access an SNPN using credentials owned by CH</w:t>
            </w:r>
          </w:p>
        </w:tc>
        <w:tc>
          <w:tcPr>
            <w:tcW w:w="708" w:type="dxa"/>
            <w:shd w:val="solid" w:color="FFFFFF" w:fill="auto"/>
          </w:tcPr>
          <w:p w14:paraId="68CA42F2" w14:textId="3EB9342B" w:rsidR="00E83620" w:rsidRPr="00873B6C" w:rsidRDefault="00E83620" w:rsidP="000040FE">
            <w:pPr>
              <w:pStyle w:val="TAC"/>
              <w:rPr>
                <w:sz w:val="16"/>
                <w:szCs w:val="16"/>
              </w:rPr>
            </w:pPr>
            <w:r w:rsidRPr="00873B6C">
              <w:rPr>
                <w:sz w:val="16"/>
                <w:szCs w:val="16"/>
              </w:rPr>
              <w:t>17.2.0</w:t>
            </w:r>
          </w:p>
        </w:tc>
      </w:tr>
      <w:tr w:rsidR="00E83620" w:rsidRPr="00873B6C" w14:paraId="41CFC668" w14:textId="77777777" w:rsidTr="009D14FB">
        <w:tc>
          <w:tcPr>
            <w:tcW w:w="800" w:type="dxa"/>
            <w:shd w:val="solid" w:color="FFFFFF" w:fill="auto"/>
          </w:tcPr>
          <w:p w14:paraId="2E0FBD2D" w14:textId="5AFB60D7"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2CD92012" w14:textId="78BF08DF"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20B01946" w14:textId="494A2B67" w:rsidR="00E83620" w:rsidRPr="00873B6C" w:rsidRDefault="00E83620" w:rsidP="000040FE">
            <w:pPr>
              <w:pStyle w:val="TAC"/>
              <w:rPr>
                <w:sz w:val="16"/>
                <w:szCs w:val="16"/>
              </w:rPr>
            </w:pPr>
            <w:r w:rsidRPr="00873B6C">
              <w:rPr>
                <w:sz w:val="16"/>
                <w:szCs w:val="16"/>
              </w:rPr>
              <w:t>SP-210923</w:t>
            </w:r>
          </w:p>
        </w:tc>
        <w:tc>
          <w:tcPr>
            <w:tcW w:w="567" w:type="dxa"/>
            <w:shd w:val="solid" w:color="FFFFFF" w:fill="auto"/>
          </w:tcPr>
          <w:p w14:paraId="1EC657E4" w14:textId="220066BB" w:rsidR="00E83620" w:rsidRPr="00873B6C" w:rsidRDefault="00E83620" w:rsidP="000040FE">
            <w:pPr>
              <w:pStyle w:val="TAL"/>
              <w:rPr>
                <w:sz w:val="16"/>
                <w:szCs w:val="16"/>
              </w:rPr>
            </w:pPr>
            <w:r w:rsidRPr="00873B6C">
              <w:rPr>
                <w:sz w:val="16"/>
                <w:szCs w:val="16"/>
              </w:rPr>
              <w:t>2921</w:t>
            </w:r>
          </w:p>
        </w:tc>
        <w:tc>
          <w:tcPr>
            <w:tcW w:w="425" w:type="dxa"/>
            <w:shd w:val="solid" w:color="FFFFFF" w:fill="auto"/>
          </w:tcPr>
          <w:p w14:paraId="3A2687EA" w14:textId="1CA29151" w:rsidR="00E83620" w:rsidRPr="00873B6C" w:rsidRDefault="00E83620" w:rsidP="000040FE">
            <w:pPr>
              <w:pStyle w:val="TAL"/>
              <w:rPr>
                <w:sz w:val="16"/>
                <w:szCs w:val="16"/>
              </w:rPr>
            </w:pPr>
            <w:r w:rsidRPr="00873B6C">
              <w:rPr>
                <w:sz w:val="16"/>
                <w:szCs w:val="16"/>
              </w:rPr>
              <w:t>2</w:t>
            </w:r>
          </w:p>
        </w:tc>
        <w:tc>
          <w:tcPr>
            <w:tcW w:w="425" w:type="dxa"/>
            <w:shd w:val="solid" w:color="FFFFFF" w:fill="auto"/>
          </w:tcPr>
          <w:p w14:paraId="7338FDC9" w14:textId="57055469" w:rsidR="00E83620" w:rsidRPr="00873B6C" w:rsidRDefault="00E83620" w:rsidP="000040FE">
            <w:pPr>
              <w:pStyle w:val="TAL"/>
              <w:rPr>
                <w:sz w:val="16"/>
                <w:szCs w:val="16"/>
              </w:rPr>
            </w:pPr>
            <w:r w:rsidRPr="00873B6C">
              <w:rPr>
                <w:sz w:val="16"/>
                <w:szCs w:val="16"/>
              </w:rPr>
              <w:t>B</w:t>
            </w:r>
          </w:p>
        </w:tc>
        <w:tc>
          <w:tcPr>
            <w:tcW w:w="4820" w:type="dxa"/>
            <w:shd w:val="solid" w:color="FFFFFF" w:fill="auto"/>
          </w:tcPr>
          <w:p w14:paraId="6C6D09CB" w14:textId="22ABD5CA" w:rsidR="00E83620" w:rsidRPr="00873B6C" w:rsidRDefault="00E83620" w:rsidP="000040FE">
            <w:pPr>
              <w:pStyle w:val="TAL"/>
              <w:rPr>
                <w:sz w:val="16"/>
                <w:szCs w:val="16"/>
              </w:rPr>
            </w:pPr>
            <w:r w:rsidRPr="00873B6C">
              <w:rPr>
                <w:sz w:val="16"/>
                <w:szCs w:val="16"/>
              </w:rPr>
              <w:t>UE onboarding architecture</w:t>
            </w:r>
          </w:p>
        </w:tc>
        <w:tc>
          <w:tcPr>
            <w:tcW w:w="708" w:type="dxa"/>
            <w:shd w:val="solid" w:color="FFFFFF" w:fill="auto"/>
          </w:tcPr>
          <w:p w14:paraId="2E1DA1AA" w14:textId="4E87A36A" w:rsidR="00E83620" w:rsidRPr="00873B6C" w:rsidRDefault="00E83620" w:rsidP="000040FE">
            <w:pPr>
              <w:pStyle w:val="TAC"/>
              <w:rPr>
                <w:sz w:val="16"/>
                <w:szCs w:val="16"/>
              </w:rPr>
            </w:pPr>
            <w:r w:rsidRPr="00873B6C">
              <w:rPr>
                <w:sz w:val="16"/>
                <w:szCs w:val="16"/>
              </w:rPr>
              <w:t>17.2.0</w:t>
            </w:r>
          </w:p>
        </w:tc>
      </w:tr>
      <w:tr w:rsidR="00E83620" w:rsidRPr="00873B6C" w14:paraId="53DEA07E" w14:textId="77777777" w:rsidTr="009D14FB">
        <w:tc>
          <w:tcPr>
            <w:tcW w:w="800" w:type="dxa"/>
            <w:shd w:val="solid" w:color="FFFFFF" w:fill="auto"/>
          </w:tcPr>
          <w:p w14:paraId="31E3C19B" w14:textId="1EBFD95E"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09872829" w14:textId="4102AB96"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211C5FFF" w14:textId="2F6A5158" w:rsidR="00E83620" w:rsidRPr="00873B6C" w:rsidRDefault="00E83620" w:rsidP="000040FE">
            <w:pPr>
              <w:pStyle w:val="TAC"/>
              <w:rPr>
                <w:sz w:val="16"/>
                <w:szCs w:val="16"/>
              </w:rPr>
            </w:pPr>
            <w:r w:rsidRPr="00873B6C">
              <w:rPr>
                <w:sz w:val="16"/>
                <w:szCs w:val="16"/>
              </w:rPr>
              <w:t>SP-210915</w:t>
            </w:r>
          </w:p>
        </w:tc>
        <w:tc>
          <w:tcPr>
            <w:tcW w:w="567" w:type="dxa"/>
            <w:shd w:val="solid" w:color="FFFFFF" w:fill="auto"/>
          </w:tcPr>
          <w:p w14:paraId="589B8ED4" w14:textId="27B26C3B" w:rsidR="00E83620" w:rsidRPr="00873B6C" w:rsidRDefault="00E83620" w:rsidP="000040FE">
            <w:pPr>
              <w:pStyle w:val="TAL"/>
              <w:rPr>
                <w:sz w:val="16"/>
                <w:szCs w:val="16"/>
              </w:rPr>
            </w:pPr>
            <w:r w:rsidRPr="00873B6C">
              <w:rPr>
                <w:sz w:val="16"/>
                <w:szCs w:val="16"/>
              </w:rPr>
              <w:t>2993</w:t>
            </w:r>
          </w:p>
        </w:tc>
        <w:tc>
          <w:tcPr>
            <w:tcW w:w="425" w:type="dxa"/>
            <w:shd w:val="solid" w:color="FFFFFF" w:fill="auto"/>
          </w:tcPr>
          <w:p w14:paraId="62C34902" w14:textId="1EFDF70D"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78D4C470" w14:textId="39B2EB5E"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1581006A" w14:textId="2BD12435" w:rsidR="00E83620" w:rsidRPr="00873B6C" w:rsidRDefault="00E83620" w:rsidP="000040FE">
            <w:pPr>
              <w:pStyle w:val="TAL"/>
              <w:rPr>
                <w:sz w:val="16"/>
                <w:szCs w:val="16"/>
              </w:rPr>
            </w:pPr>
            <w:r w:rsidRPr="00873B6C">
              <w:rPr>
                <w:sz w:val="16"/>
                <w:szCs w:val="16"/>
              </w:rPr>
              <w:t>Clarifying that at least one default S-NSSAI is mandatory</w:t>
            </w:r>
          </w:p>
        </w:tc>
        <w:tc>
          <w:tcPr>
            <w:tcW w:w="708" w:type="dxa"/>
            <w:shd w:val="solid" w:color="FFFFFF" w:fill="auto"/>
          </w:tcPr>
          <w:p w14:paraId="10F9A293" w14:textId="572185F1" w:rsidR="00E83620" w:rsidRPr="00873B6C" w:rsidRDefault="00E83620" w:rsidP="000040FE">
            <w:pPr>
              <w:pStyle w:val="TAC"/>
              <w:rPr>
                <w:sz w:val="16"/>
                <w:szCs w:val="16"/>
              </w:rPr>
            </w:pPr>
            <w:r w:rsidRPr="00873B6C">
              <w:rPr>
                <w:sz w:val="16"/>
                <w:szCs w:val="16"/>
              </w:rPr>
              <w:t>17.2.0</w:t>
            </w:r>
          </w:p>
        </w:tc>
      </w:tr>
      <w:tr w:rsidR="00E83620" w:rsidRPr="00873B6C" w14:paraId="6AC820F7" w14:textId="77777777" w:rsidTr="009D14FB">
        <w:tc>
          <w:tcPr>
            <w:tcW w:w="800" w:type="dxa"/>
            <w:shd w:val="solid" w:color="FFFFFF" w:fill="auto"/>
          </w:tcPr>
          <w:p w14:paraId="1F526D43" w14:textId="1AA5915A"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38366BB9" w14:textId="5CC5F9A4"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1ACF5D85" w14:textId="7717B119" w:rsidR="00E83620" w:rsidRPr="00873B6C" w:rsidRDefault="00E83620" w:rsidP="000040FE">
            <w:pPr>
              <w:pStyle w:val="TAC"/>
              <w:rPr>
                <w:sz w:val="16"/>
                <w:szCs w:val="16"/>
              </w:rPr>
            </w:pPr>
            <w:r w:rsidRPr="00873B6C">
              <w:rPr>
                <w:sz w:val="16"/>
                <w:szCs w:val="16"/>
              </w:rPr>
              <w:t>SP-210925</w:t>
            </w:r>
          </w:p>
        </w:tc>
        <w:tc>
          <w:tcPr>
            <w:tcW w:w="567" w:type="dxa"/>
            <w:shd w:val="solid" w:color="FFFFFF" w:fill="auto"/>
          </w:tcPr>
          <w:p w14:paraId="20436B78" w14:textId="00F6FEB0" w:rsidR="00E83620" w:rsidRPr="00873B6C" w:rsidRDefault="00E83620" w:rsidP="000040FE">
            <w:pPr>
              <w:pStyle w:val="TAL"/>
              <w:rPr>
                <w:sz w:val="16"/>
                <w:szCs w:val="16"/>
              </w:rPr>
            </w:pPr>
            <w:r w:rsidRPr="00873B6C">
              <w:rPr>
                <w:sz w:val="16"/>
                <w:szCs w:val="16"/>
              </w:rPr>
              <w:t>2994</w:t>
            </w:r>
          </w:p>
        </w:tc>
        <w:tc>
          <w:tcPr>
            <w:tcW w:w="425" w:type="dxa"/>
            <w:shd w:val="solid" w:color="FFFFFF" w:fill="auto"/>
          </w:tcPr>
          <w:p w14:paraId="557E9E41" w14:textId="64D5CF2F"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7589FE46" w14:textId="5FF4FF89"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49ECBB64" w14:textId="66BEFE82" w:rsidR="00E83620" w:rsidRPr="00873B6C" w:rsidRDefault="00E83620" w:rsidP="000040FE">
            <w:pPr>
              <w:pStyle w:val="TAL"/>
              <w:rPr>
                <w:sz w:val="16"/>
                <w:szCs w:val="16"/>
              </w:rPr>
            </w:pPr>
            <w:r w:rsidRPr="00873B6C">
              <w:rPr>
                <w:sz w:val="16"/>
                <w:szCs w:val="16"/>
              </w:rPr>
              <w:t>correction to the re-configuration requirements for NSSRG non-supporting UEs</w:t>
            </w:r>
          </w:p>
        </w:tc>
        <w:tc>
          <w:tcPr>
            <w:tcW w:w="708" w:type="dxa"/>
            <w:shd w:val="solid" w:color="FFFFFF" w:fill="auto"/>
          </w:tcPr>
          <w:p w14:paraId="19DDBDD4" w14:textId="06A95744" w:rsidR="00E83620" w:rsidRPr="00873B6C" w:rsidRDefault="00E83620" w:rsidP="000040FE">
            <w:pPr>
              <w:pStyle w:val="TAC"/>
              <w:rPr>
                <w:sz w:val="16"/>
                <w:szCs w:val="16"/>
              </w:rPr>
            </w:pPr>
            <w:r w:rsidRPr="00873B6C">
              <w:rPr>
                <w:sz w:val="16"/>
                <w:szCs w:val="16"/>
              </w:rPr>
              <w:t>17.2.0</w:t>
            </w:r>
          </w:p>
        </w:tc>
      </w:tr>
      <w:tr w:rsidR="00E83620" w:rsidRPr="00873B6C" w14:paraId="00104AC8" w14:textId="77777777" w:rsidTr="009D14FB">
        <w:tc>
          <w:tcPr>
            <w:tcW w:w="800" w:type="dxa"/>
            <w:shd w:val="solid" w:color="FFFFFF" w:fill="auto"/>
          </w:tcPr>
          <w:p w14:paraId="175C1898" w14:textId="0C1187C4"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432832EB" w14:textId="17922B05"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783647F2" w14:textId="73108EC0" w:rsidR="00E83620" w:rsidRPr="00873B6C" w:rsidRDefault="00E83620" w:rsidP="000040FE">
            <w:pPr>
              <w:pStyle w:val="TAC"/>
              <w:rPr>
                <w:sz w:val="16"/>
                <w:szCs w:val="16"/>
              </w:rPr>
            </w:pPr>
            <w:r w:rsidRPr="00873B6C">
              <w:rPr>
                <w:sz w:val="16"/>
                <w:szCs w:val="16"/>
              </w:rPr>
              <w:t>SP-210925</w:t>
            </w:r>
          </w:p>
        </w:tc>
        <w:tc>
          <w:tcPr>
            <w:tcW w:w="567" w:type="dxa"/>
            <w:shd w:val="solid" w:color="FFFFFF" w:fill="auto"/>
          </w:tcPr>
          <w:p w14:paraId="5573024D" w14:textId="2A71C1B5" w:rsidR="00E83620" w:rsidRPr="00873B6C" w:rsidRDefault="00E83620" w:rsidP="000040FE">
            <w:pPr>
              <w:pStyle w:val="TAL"/>
              <w:rPr>
                <w:sz w:val="16"/>
                <w:szCs w:val="16"/>
              </w:rPr>
            </w:pPr>
            <w:r w:rsidRPr="00873B6C">
              <w:rPr>
                <w:sz w:val="16"/>
                <w:szCs w:val="16"/>
              </w:rPr>
              <w:t>2995</w:t>
            </w:r>
          </w:p>
        </w:tc>
        <w:tc>
          <w:tcPr>
            <w:tcW w:w="425" w:type="dxa"/>
            <w:shd w:val="solid" w:color="FFFFFF" w:fill="auto"/>
          </w:tcPr>
          <w:p w14:paraId="382C39B0" w14:textId="320E3DB1" w:rsidR="00E83620" w:rsidRPr="00873B6C" w:rsidRDefault="00E83620" w:rsidP="000040FE">
            <w:pPr>
              <w:pStyle w:val="TAL"/>
              <w:rPr>
                <w:sz w:val="16"/>
                <w:szCs w:val="16"/>
              </w:rPr>
            </w:pPr>
            <w:r w:rsidRPr="00873B6C">
              <w:rPr>
                <w:sz w:val="16"/>
                <w:szCs w:val="16"/>
              </w:rPr>
              <w:t>-</w:t>
            </w:r>
          </w:p>
        </w:tc>
        <w:tc>
          <w:tcPr>
            <w:tcW w:w="425" w:type="dxa"/>
            <w:shd w:val="solid" w:color="FFFFFF" w:fill="auto"/>
          </w:tcPr>
          <w:p w14:paraId="13ADD621" w14:textId="1F536FBE"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0EFC6484" w14:textId="190F17CB" w:rsidR="00E83620" w:rsidRPr="00873B6C" w:rsidRDefault="00E83620" w:rsidP="000040FE">
            <w:pPr>
              <w:pStyle w:val="TAL"/>
              <w:rPr>
                <w:sz w:val="16"/>
                <w:szCs w:val="16"/>
              </w:rPr>
            </w:pPr>
            <w:r w:rsidRPr="00873B6C">
              <w:rPr>
                <w:sz w:val="16"/>
                <w:szCs w:val="16"/>
              </w:rPr>
              <w:t>clarification on obtaining the Configured NSSAI from NSSF when NSSRG for UE changes</w:t>
            </w:r>
          </w:p>
        </w:tc>
        <w:tc>
          <w:tcPr>
            <w:tcW w:w="708" w:type="dxa"/>
            <w:shd w:val="solid" w:color="FFFFFF" w:fill="auto"/>
          </w:tcPr>
          <w:p w14:paraId="03A8DC19" w14:textId="0B4134B5" w:rsidR="00E83620" w:rsidRPr="00873B6C" w:rsidRDefault="00E83620" w:rsidP="000040FE">
            <w:pPr>
              <w:pStyle w:val="TAC"/>
              <w:rPr>
                <w:sz w:val="16"/>
                <w:szCs w:val="16"/>
              </w:rPr>
            </w:pPr>
            <w:r w:rsidRPr="00873B6C">
              <w:rPr>
                <w:sz w:val="16"/>
                <w:szCs w:val="16"/>
              </w:rPr>
              <w:t>17.2.0</w:t>
            </w:r>
          </w:p>
        </w:tc>
      </w:tr>
      <w:tr w:rsidR="00E83620" w:rsidRPr="00873B6C" w14:paraId="0C3FF753" w14:textId="77777777" w:rsidTr="009D14FB">
        <w:tc>
          <w:tcPr>
            <w:tcW w:w="800" w:type="dxa"/>
            <w:shd w:val="solid" w:color="FFFFFF" w:fill="auto"/>
          </w:tcPr>
          <w:p w14:paraId="3BB61104" w14:textId="0CFFD0B2"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52B7882A" w14:textId="4CF5F037"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65EF988F" w14:textId="2FC48AEC" w:rsidR="00E83620" w:rsidRPr="00873B6C" w:rsidRDefault="00E83620" w:rsidP="000040FE">
            <w:pPr>
              <w:pStyle w:val="TAC"/>
              <w:rPr>
                <w:sz w:val="16"/>
                <w:szCs w:val="16"/>
              </w:rPr>
            </w:pPr>
            <w:r w:rsidRPr="00873B6C">
              <w:rPr>
                <w:sz w:val="16"/>
                <w:szCs w:val="16"/>
              </w:rPr>
              <w:t>SP-210911</w:t>
            </w:r>
          </w:p>
        </w:tc>
        <w:tc>
          <w:tcPr>
            <w:tcW w:w="567" w:type="dxa"/>
            <w:shd w:val="solid" w:color="FFFFFF" w:fill="auto"/>
          </w:tcPr>
          <w:p w14:paraId="33BC95F8" w14:textId="3047A949" w:rsidR="00E83620" w:rsidRPr="00873B6C" w:rsidRDefault="00E83620" w:rsidP="000040FE">
            <w:pPr>
              <w:pStyle w:val="TAL"/>
              <w:rPr>
                <w:sz w:val="16"/>
                <w:szCs w:val="16"/>
              </w:rPr>
            </w:pPr>
            <w:r w:rsidRPr="00873B6C">
              <w:rPr>
                <w:sz w:val="16"/>
                <w:szCs w:val="16"/>
              </w:rPr>
              <w:t>2998</w:t>
            </w:r>
          </w:p>
        </w:tc>
        <w:tc>
          <w:tcPr>
            <w:tcW w:w="425" w:type="dxa"/>
            <w:shd w:val="solid" w:color="FFFFFF" w:fill="auto"/>
          </w:tcPr>
          <w:p w14:paraId="64D213C6" w14:textId="5D34A299"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6A4D741C" w14:textId="3208D613" w:rsidR="00E83620" w:rsidRPr="00873B6C" w:rsidRDefault="00E83620" w:rsidP="000040FE">
            <w:pPr>
              <w:pStyle w:val="TAL"/>
              <w:rPr>
                <w:sz w:val="16"/>
                <w:szCs w:val="16"/>
              </w:rPr>
            </w:pPr>
            <w:r w:rsidRPr="00873B6C">
              <w:rPr>
                <w:sz w:val="16"/>
                <w:szCs w:val="16"/>
              </w:rPr>
              <w:t>A</w:t>
            </w:r>
          </w:p>
        </w:tc>
        <w:tc>
          <w:tcPr>
            <w:tcW w:w="4820" w:type="dxa"/>
            <w:shd w:val="solid" w:color="FFFFFF" w:fill="auto"/>
          </w:tcPr>
          <w:p w14:paraId="386C4691" w14:textId="3CA74129" w:rsidR="00E83620" w:rsidRPr="00873B6C" w:rsidRDefault="00E83620" w:rsidP="000040FE">
            <w:pPr>
              <w:pStyle w:val="TAL"/>
              <w:rPr>
                <w:sz w:val="16"/>
                <w:szCs w:val="16"/>
              </w:rPr>
            </w:pPr>
            <w:r w:rsidRPr="00873B6C">
              <w:rPr>
                <w:sz w:val="16"/>
                <w:szCs w:val="16"/>
              </w:rPr>
              <w:t>Enforcing CAG restrictions during E-UTRAN to NG-RAN connected mode mobility</w:t>
            </w:r>
          </w:p>
        </w:tc>
        <w:tc>
          <w:tcPr>
            <w:tcW w:w="708" w:type="dxa"/>
            <w:shd w:val="solid" w:color="FFFFFF" w:fill="auto"/>
          </w:tcPr>
          <w:p w14:paraId="2CDBEDD6" w14:textId="5E43F93D" w:rsidR="00E83620" w:rsidRPr="00873B6C" w:rsidRDefault="00E83620" w:rsidP="000040FE">
            <w:pPr>
              <w:pStyle w:val="TAC"/>
              <w:rPr>
                <w:sz w:val="16"/>
                <w:szCs w:val="16"/>
              </w:rPr>
            </w:pPr>
            <w:r w:rsidRPr="00873B6C">
              <w:rPr>
                <w:sz w:val="16"/>
                <w:szCs w:val="16"/>
              </w:rPr>
              <w:t>17.2.0</w:t>
            </w:r>
          </w:p>
        </w:tc>
      </w:tr>
      <w:tr w:rsidR="00E83620" w:rsidRPr="00873B6C" w14:paraId="5A51337B" w14:textId="77777777" w:rsidTr="009D14FB">
        <w:tc>
          <w:tcPr>
            <w:tcW w:w="800" w:type="dxa"/>
            <w:shd w:val="solid" w:color="FFFFFF" w:fill="auto"/>
          </w:tcPr>
          <w:p w14:paraId="0C71CCE3" w14:textId="7830C973"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04CDCAE1" w14:textId="02AD43D5"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65ECC5DE" w14:textId="1FD0F382" w:rsidR="00E83620" w:rsidRPr="00873B6C" w:rsidRDefault="00E83620" w:rsidP="000040FE">
            <w:pPr>
              <w:pStyle w:val="TAC"/>
              <w:rPr>
                <w:sz w:val="16"/>
                <w:szCs w:val="16"/>
              </w:rPr>
            </w:pPr>
            <w:r w:rsidRPr="00873B6C">
              <w:rPr>
                <w:sz w:val="16"/>
                <w:szCs w:val="16"/>
              </w:rPr>
              <w:t>SP-210923</w:t>
            </w:r>
          </w:p>
        </w:tc>
        <w:tc>
          <w:tcPr>
            <w:tcW w:w="567" w:type="dxa"/>
            <w:shd w:val="solid" w:color="FFFFFF" w:fill="auto"/>
          </w:tcPr>
          <w:p w14:paraId="476FD553" w14:textId="3A451267" w:rsidR="00E83620" w:rsidRPr="00873B6C" w:rsidRDefault="00E83620" w:rsidP="000040FE">
            <w:pPr>
              <w:pStyle w:val="TAL"/>
              <w:rPr>
                <w:sz w:val="16"/>
                <w:szCs w:val="16"/>
              </w:rPr>
            </w:pPr>
            <w:r w:rsidRPr="00873B6C">
              <w:rPr>
                <w:sz w:val="16"/>
                <w:szCs w:val="16"/>
              </w:rPr>
              <w:t>2999</w:t>
            </w:r>
          </w:p>
        </w:tc>
        <w:tc>
          <w:tcPr>
            <w:tcW w:w="425" w:type="dxa"/>
            <w:shd w:val="solid" w:color="FFFFFF" w:fill="auto"/>
          </w:tcPr>
          <w:p w14:paraId="2857BEC6" w14:textId="50D87DC1"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493E81CE" w14:textId="40ADB7FB"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7E06876F" w14:textId="0C501910" w:rsidR="00E83620" w:rsidRPr="00873B6C" w:rsidRDefault="00E83620" w:rsidP="000040FE">
            <w:pPr>
              <w:pStyle w:val="TAL"/>
              <w:rPr>
                <w:sz w:val="16"/>
                <w:szCs w:val="16"/>
              </w:rPr>
            </w:pPr>
            <w:r w:rsidRPr="00873B6C">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873B6C" w:rsidRDefault="00E83620" w:rsidP="000040FE">
            <w:pPr>
              <w:pStyle w:val="TAC"/>
              <w:rPr>
                <w:sz w:val="16"/>
                <w:szCs w:val="16"/>
              </w:rPr>
            </w:pPr>
            <w:r w:rsidRPr="00873B6C">
              <w:rPr>
                <w:sz w:val="16"/>
                <w:szCs w:val="16"/>
              </w:rPr>
              <w:t>17.2.0</w:t>
            </w:r>
          </w:p>
        </w:tc>
      </w:tr>
      <w:tr w:rsidR="00E83620" w:rsidRPr="00873B6C" w14:paraId="409BA2D6" w14:textId="77777777" w:rsidTr="009D14FB">
        <w:tc>
          <w:tcPr>
            <w:tcW w:w="800" w:type="dxa"/>
            <w:shd w:val="solid" w:color="FFFFFF" w:fill="auto"/>
          </w:tcPr>
          <w:p w14:paraId="792BC1E1" w14:textId="2DC2B58C"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1EB9C249" w14:textId="21BB927B"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575F3393" w14:textId="7B07C308" w:rsidR="00E83620" w:rsidRPr="00873B6C" w:rsidRDefault="00E83620" w:rsidP="000040FE">
            <w:pPr>
              <w:pStyle w:val="TAC"/>
              <w:rPr>
                <w:sz w:val="16"/>
                <w:szCs w:val="16"/>
              </w:rPr>
            </w:pPr>
            <w:r w:rsidRPr="00873B6C">
              <w:rPr>
                <w:sz w:val="16"/>
                <w:szCs w:val="16"/>
              </w:rPr>
              <w:t>SP-210922</w:t>
            </w:r>
          </w:p>
        </w:tc>
        <w:tc>
          <w:tcPr>
            <w:tcW w:w="567" w:type="dxa"/>
            <w:shd w:val="solid" w:color="FFFFFF" w:fill="auto"/>
          </w:tcPr>
          <w:p w14:paraId="7A4A6C0F" w14:textId="6DAFF699" w:rsidR="00E83620" w:rsidRPr="00873B6C" w:rsidRDefault="00E83620" w:rsidP="000040FE">
            <w:pPr>
              <w:pStyle w:val="TAL"/>
              <w:rPr>
                <w:sz w:val="16"/>
                <w:szCs w:val="16"/>
              </w:rPr>
            </w:pPr>
            <w:r w:rsidRPr="00873B6C">
              <w:rPr>
                <w:sz w:val="16"/>
                <w:szCs w:val="16"/>
              </w:rPr>
              <w:t>3001</w:t>
            </w:r>
          </w:p>
        </w:tc>
        <w:tc>
          <w:tcPr>
            <w:tcW w:w="425" w:type="dxa"/>
            <w:shd w:val="solid" w:color="FFFFFF" w:fill="auto"/>
          </w:tcPr>
          <w:p w14:paraId="14207D9A" w14:textId="5A049F9E"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3D7F440E" w14:textId="1AED3D65"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56628F06" w14:textId="66C2BDF1" w:rsidR="00E83620" w:rsidRPr="00873B6C" w:rsidRDefault="00E83620" w:rsidP="000040FE">
            <w:pPr>
              <w:pStyle w:val="TAL"/>
              <w:rPr>
                <w:sz w:val="16"/>
                <w:szCs w:val="16"/>
              </w:rPr>
            </w:pPr>
            <w:r w:rsidRPr="00873B6C">
              <w:rPr>
                <w:sz w:val="16"/>
                <w:szCs w:val="16"/>
              </w:rPr>
              <w:t>TS 23.288 reference update for ADRF services</w:t>
            </w:r>
          </w:p>
        </w:tc>
        <w:tc>
          <w:tcPr>
            <w:tcW w:w="708" w:type="dxa"/>
            <w:shd w:val="solid" w:color="FFFFFF" w:fill="auto"/>
          </w:tcPr>
          <w:p w14:paraId="1E15AD07" w14:textId="6374A29D" w:rsidR="00E83620" w:rsidRPr="00873B6C" w:rsidRDefault="00E83620" w:rsidP="000040FE">
            <w:pPr>
              <w:pStyle w:val="TAC"/>
              <w:rPr>
                <w:sz w:val="16"/>
                <w:szCs w:val="16"/>
              </w:rPr>
            </w:pPr>
            <w:r w:rsidRPr="00873B6C">
              <w:rPr>
                <w:sz w:val="16"/>
                <w:szCs w:val="16"/>
              </w:rPr>
              <w:t>17.2.0</w:t>
            </w:r>
          </w:p>
        </w:tc>
      </w:tr>
      <w:tr w:rsidR="00E83620" w:rsidRPr="00873B6C" w14:paraId="51291B21" w14:textId="77777777" w:rsidTr="009D14FB">
        <w:tc>
          <w:tcPr>
            <w:tcW w:w="800" w:type="dxa"/>
            <w:shd w:val="solid" w:color="FFFFFF" w:fill="auto"/>
          </w:tcPr>
          <w:p w14:paraId="3BDF9D7E" w14:textId="3102AEC2"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0CA9C4C4" w14:textId="4EF72649"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67EE4C72" w14:textId="240B83FD" w:rsidR="00E83620" w:rsidRPr="00873B6C" w:rsidRDefault="00E83620" w:rsidP="000040FE">
            <w:pPr>
              <w:pStyle w:val="TAC"/>
              <w:rPr>
                <w:sz w:val="16"/>
                <w:szCs w:val="16"/>
              </w:rPr>
            </w:pPr>
            <w:r w:rsidRPr="00873B6C">
              <w:rPr>
                <w:sz w:val="16"/>
                <w:szCs w:val="16"/>
              </w:rPr>
              <w:t>SP-210922</w:t>
            </w:r>
          </w:p>
        </w:tc>
        <w:tc>
          <w:tcPr>
            <w:tcW w:w="567" w:type="dxa"/>
            <w:shd w:val="solid" w:color="FFFFFF" w:fill="auto"/>
          </w:tcPr>
          <w:p w14:paraId="3BF7A8ED" w14:textId="50D05895" w:rsidR="00E83620" w:rsidRPr="00873B6C" w:rsidRDefault="00E83620" w:rsidP="000040FE">
            <w:pPr>
              <w:pStyle w:val="TAL"/>
              <w:rPr>
                <w:sz w:val="16"/>
                <w:szCs w:val="16"/>
              </w:rPr>
            </w:pPr>
            <w:r w:rsidRPr="00873B6C">
              <w:rPr>
                <w:sz w:val="16"/>
                <w:szCs w:val="16"/>
              </w:rPr>
              <w:t>3002</w:t>
            </w:r>
          </w:p>
        </w:tc>
        <w:tc>
          <w:tcPr>
            <w:tcW w:w="425" w:type="dxa"/>
            <w:shd w:val="solid" w:color="FFFFFF" w:fill="auto"/>
          </w:tcPr>
          <w:p w14:paraId="27185B13" w14:textId="1E5C53F0"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6C6AAC9C" w14:textId="23EAE061"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536CCC2A" w14:textId="39CA69A3" w:rsidR="00E83620" w:rsidRPr="00873B6C" w:rsidRDefault="00E83620" w:rsidP="000040FE">
            <w:pPr>
              <w:pStyle w:val="TAL"/>
              <w:rPr>
                <w:sz w:val="16"/>
                <w:szCs w:val="16"/>
              </w:rPr>
            </w:pPr>
            <w:r w:rsidRPr="00873B6C">
              <w:rPr>
                <w:sz w:val="16"/>
                <w:szCs w:val="16"/>
              </w:rPr>
              <w:t>Resolving editor's note for ADRF discovery and selection</w:t>
            </w:r>
          </w:p>
        </w:tc>
        <w:tc>
          <w:tcPr>
            <w:tcW w:w="708" w:type="dxa"/>
            <w:shd w:val="solid" w:color="FFFFFF" w:fill="auto"/>
          </w:tcPr>
          <w:p w14:paraId="0FE14BE4" w14:textId="3320E3D1" w:rsidR="00E83620" w:rsidRPr="00873B6C" w:rsidRDefault="00E83620" w:rsidP="000040FE">
            <w:pPr>
              <w:pStyle w:val="TAC"/>
              <w:rPr>
                <w:sz w:val="16"/>
                <w:szCs w:val="16"/>
              </w:rPr>
            </w:pPr>
            <w:r w:rsidRPr="00873B6C">
              <w:rPr>
                <w:sz w:val="16"/>
                <w:szCs w:val="16"/>
              </w:rPr>
              <w:t>17.2.0</w:t>
            </w:r>
          </w:p>
        </w:tc>
      </w:tr>
      <w:tr w:rsidR="00E83620" w:rsidRPr="00873B6C" w14:paraId="041C1D23" w14:textId="77777777" w:rsidTr="009D14FB">
        <w:tc>
          <w:tcPr>
            <w:tcW w:w="800" w:type="dxa"/>
            <w:shd w:val="solid" w:color="FFFFFF" w:fill="auto"/>
          </w:tcPr>
          <w:p w14:paraId="20F2B835" w14:textId="45968980"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1A91880C" w14:textId="3B25DFC6"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5C1CF013" w14:textId="68773C23" w:rsidR="00E83620" w:rsidRPr="00873B6C" w:rsidRDefault="00E83620" w:rsidP="000040FE">
            <w:pPr>
              <w:pStyle w:val="TAC"/>
              <w:rPr>
                <w:sz w:val="16"/>
                <w:szCs w:val="16"/>
              </w:rPr>
            </w:pPr>
            <w:r w:rsidRPr="00873B6C">
              <w:rPr>
                <w:sz w:val="16"/>
                <w:szCs w:val="16"/>
              </w:rPr>
              <w:t>SP-210910</w:t>
            </w:r>
          </w:p>
        </w:tc>
        <w:tc>
          <w:tcPr>
            <w:tcW w:w="567" w:type="dxa"/>
            <w:shd w:val="solid" w:color="FFFFFF" w:fill="auto"/>
          </w:tcPr>
          <w:p w14:paraId="5D330030" w14:textId="19F809A1" w:rsidR="00E83620" w:rsidRPr="00873B6C" w:rsidRDefault="00E83620" w:rsidP="000040FE">
            <w:pPr>
              <w:pStyle w:val="TAL"/>
              <w:rPr>
                <w:sz w:val="16"/>
                <w:szCs w:val="16"/>
              </w:rPr>
            </w:pPr>
            <w:r w:rsidRPr="00873B6C">
              <w:rPr>
                <w:sz w:val="16"/>
                <w:szCs w:val="16"/>
              </w:rPr>
              <w:t>3003</w:t>
            </w:r>
          </w:p>
        </w:tc>
        <w:tc>
          <w:tcPr>
            <w:tcW w:w="425" w:type="dxa"/>
            <w:shd w:val="solid" w:color="FFFFFF" w:fill="auto"/>
          </w:tcPr>
          <w:p w14:paraId="089B11E0" w14:textId="29B87CDA"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40096916" w14:textId="3159CA61" w:rsidR="00E83620" w:rsidRPr="00873B6C" w:rsidRDefault="00E83620" w:rsidP="000040FE">
            <w:pPr>
              <w:pStyle w:val="TAL"/>
              <w:rPr>
                <w:sz w:val="16"/>
                <w:szCs w:val="16"/>
              </w:rPr>
            </w:pPr>
            <w:r w:rsidRPr="00873B6C">
              <w:rPr>
                <w:sz w:val="16"/>
                <w:szCs w:val="16"/>
              </w:rPr>
              <w:t>A</w:t>
            </w:r>
          </w:p>
        </w:tc>
        <w:tc>
          <w:tcPr>
            <w:tcW w:w="4820" w:type="dxa"/>
            <w:shd w:val="solid" w:color="FFFFFF" w:fill="auto"/>
          </w:tcPr>
          <w:p w14:paraId="44113900" w14:textId="43A9E9B2" w:rsidR="00E83620" w:rsidRPr="00873B6C" w:rsidRDefault="00E83620" w:rsidP="000040FE">
            <w:pPr>
              <w:pStyle w:val="TAL"/>
              <w:rPr>
                <w:sz w:val="16"/>
                <w:szCs w:val="16"/>
              </w:rPr>
            </w:pPr>
            <w:r w:rsidRPr="00873B6C">
              <w:rPr>
                <w:sz w:val="16"/>
                <w:szCs w:val="16"/>
              </w:rPr>
              <w:t>Handling of UE Radio Capability for Paging</w:t>
            </w:r>
          </w:p>
        </w:tc>
        <w:tc>
          <w:tcPr>
            <w:tcW w:w="708" w:type="dxa"/>
            <w:shd w:val="solid" w:color="FFFFFF" w:fill="auto"/>
          </w:tcPr>
          <w:p w14:paraId="63C47DD4" w14:textId="1C8D3D89" w:rsidR="00E83620" w:rsidRPr="00873B6C" w:rsidRDefault="00E83620" w:rsidP="000040FE">
            <w:pPr>
              <w:pStyle w:val="TAC"/>
              <w:rPr>
                <w:sz w:val="16"/>
                <w:szCs w:val="16"/>
              </w:rPr>
            </w:pPr>
            <w:r w:rsidRPr="00873B6C">
              <w:rPr>
                <w:sz w:val="16"/>
                <w:szCs w:val="16"/>
              </w:rPr>
              <w:t>17.2.0</w:t>
            </w:r>
          </w:p>
        </w:tc>
      </w:tr>
      <w:tr w:rsidR="006E1B0F" w:rsidRPr="00873B6C" w14:paraId="759EA260" w14:textId="77777777" w:rsidTr="009D14FB">
        <w:tc>
          <w:tcPr>
            <w:tcW w:w="800" w:type="dxa"/>
            <w:shd w:val="solid" w:color="FFFFFF" w:fill="auto"/>
          </w:tcPr>
          <w:p w14:paraId="21CEB9B2" w14:textId="61C840AC" w:rsidR="006E1B0F" w:rsidRPr="00873B6C" w:rsidRDefault="006E1B0F" w:rsidP="000040FE">
            <w:pPr>
              <w:pStyle w:val="TAC"/>
              <w:rPr>
                <w:sz w:val="16"/>
                <w:szCs w:val="16"/>
              </w:rPr>
            </w:pPr>
            <w:r w:rsidRPr="00873B6C">
              <w:rPr>
                <w:sz w:val="16"/>
                <w:szCs w:val="16"/>
              </w:rPr>
              <w:t>2021-09</w:t>
            </w:r>
          </w:p>
        </w:tc>
        <w:tc>
          <w:tcPr>
            <w:tcW w:w="800" w:type="dxa"/>
            <w:shd w:val="solid" w:color="FFFFFF" w:fill="auto"/>
          </w:tcPr>
          <w:p w14:paraId="12B69A3D" w14:textId="5A65F3CE" w:rsidR="006E1B0F" w:rsidRPr="00873B6C" w:rsidRDefault="006E1B0F" w:rsidP="000040FE">
            <w:pPr>
              <w:pStyle w:val="TAL"/>
              <w:rPr>
                <w:sz w:val="16"/>
                <w:szCs w:val="16"/>
              </w:rPr>
            </w:pPr>
            <w:r w:rsidRPr="00873B6C">
              <w:rPr>
                <w:sz w:val="16"/>
                <w:szCs w:val="16"/>
              </w:rPr>
              <w:t>SP#93E</w:t>
            </w:r>
          </w:p>
        </w:tc>
        <w:tc>
          <w:tcPr>
            <w:tcW w:w="1094" w:type="dxa"/>
            <w:shd w:val="solid" w:color="FFFFFF" w:fill="auto"/>
          </w:tcPr>
          <w:p w14:paraId="0247CEF6" w14:textId="4AEE6B5A" w:rsidR="006E1B0F" w:rsidRPr="00873B6C" w:rsidRDefault="006E1B0F" w:rsidP="000040FE">
            <w:pPr>
              <w:pStyle w:val="TAC"/>
              <w:rPr>
                <w:sz w:val="16"/>
                <w:szCs w:val="16"/>
              </w:rPr>
            </w:pPr>
            <w:r w:rsidRPr="00873B6C">
              <w:rPr>
                <w:sz w:val="16"/>
                <w:szCs w:val="16"/>
              </w:rPr>
              <w:t>SP-210925</w:t>
            </w:r>
          </w:p>
        </w:tc>
        <w:tc>
          <w:tcPr>
            <w:tcW w:w="567" w:type="dxa"/>
            <w:shd w:val="solid" w:color="FFFFFF" w:fill="auto"/>
          </w:tcPr>
          <w:p w14:paraId="17DB5AB5" w14:textId="2361CDA8" w:rsidR="006E1B0F" w:rsidRPr="00873B6C" w:rsidRDefault="006E1B0F" w:rsidP="000040FE">
            <w:pPr>
              <w:pStyle w:val="TAL"/>
              <w:rPr>
                <w:sz w:val="16"/>
                <w:szCs w:val="16"/>
              </w:rPr>
            </w:pPr>
            <w:r w:rsidRPr="00873B6C">
              <w:rPr>
                <w:sz w:val="16"/>
                <w:szCs w:val="16"/>
              </w:rPr>
              <w:t>3004</w:t>
            </w:r>
          </w:p>
        </w:tc>
        <w:tc>
          <w:tcPr>
            <w:tcW w:w="425" w:type="dxa"/>
            <w:shd w:val="solid" w:color="FFFFFF" w:fill="auto"/>
          </w:tcPr>
          <w:p w14:paraId="55339318" w14:textId="09FFF6F7" w:rsidR="006E1B0F" w:rsidRPr="00873B6C" w:rsidRDefault="006E1B0F" w:rsidP="000040FE">
            <w:pPr>
              <w:pStyle w:val="TAL"/>
              <w:rPr>
                <w:sz w:val="16"/>
                <w:szCs w:val="16"/>
              </w:rPr>
            </w:pPr>
            <w:r w:rsidRPr="00873B6C">
              <w:rPr>
                <w:sz w:val="16"/>
                <w:szCs w:val="16"/>
              </w:rPr>
              <w:t>1</w:t>
            </w:r>
          </w:p>
        </w:tc>
        <w:tc>
          <w:tcPr>
            <w:tcW w:w="425" w:type="dxa"/>
            <w:shd w:val="solid" w:color="FFFFFF" w:fill="auto"/>
          </w:tcPr>
          <w:p w14:paraId="369ED92F" w14:textId="3BC74E33" w:rsidR="006E1B0F" w:rsidRPr="00873B6C" w:rsidRDefault="006E1B0F" w:rsidP="000040FE">
            <w:pPr>
              <w:pStyle w:val="TAL"/>
              <w:rPr>
                <w:sz w:val="16"/>
                <w:szCs w:val="16"/>
              </w:rPr>
            </w:pPr>
            <w:r w:rsidRPr="00873B6C">
              <w:rPr>
                <w:sz w:val="16"/>
                <w:szCs w:val="16"/>
              </w:rPr>
              <w:t>F</w:t>
            </w:r>
          </w:p>
        </w:tc>
        <w:tc>
          <w:tcPr>
            <w:tcW w:w="4820" w:type="dxa"/>
            <w:shd w:val="solid" w:color="FFFFFF" w:fill="auto"/>
          </w:tcPr>
          <w:p w14:paraId="06FEB546" w14:textId="41FCAFB3" w:rsidR="006E1B0F" w:rsidRPr="00873B6C" w:rsidRDefault="006E1B0F" w:rsidP="000040FE">
            <w:pPr>
              <w:pStyle w:val="TAL"/>
              <w:rPr>
                <w:sz w:val="16"/>
                <w:szCs w:val="16"/>
              </w:rPr>
            </w:pPr>
            <w:r w:rsidRPr="00873B6C">
              <w:rPr>
                <w:sz w:val="16"/>
                <w:szCs w:val="16"/>
              </w:rPr>
              <w:t>Missing Definition of Target NSSAI</w:t>
            </w:r>
          </w:p>
        </w:tc>
        <w:tc>
          <w:tcPr>
            <w:tcW w:w="708" w:type="dxa"/>
            <w:shd w:val="solid" w:color="FFFFFF" w:fill="auto"/>
          </w:tcPr>
          <w:p w14:paraId="747CDFB2" w14:textId="71AFA085" w:rsidR="006E1B0F" w:rsidRPr="00873B6C" w:rsidRDefault="006E1B0F" w:rsidP="000040FE">
            <w:pPr>
              <w:pStyle w:val="TAC"/>
              <w:rPr>
                <w:sz w:val="16"/>
                <w:szCs w:val="16"/>
              </w:rPr>
            </w:pPr>
            <w:r w:rsidRPr="00873B6C">
              <w:rPr>
                <w:sz w:val="16"/>
                <w:szCs w:val="16"/>
              </w:rPr>
              <w:t>17.2.0</w:t>
            </w:r>
          </w:p>
        </w:tc>
      </w:tr>
      <w:tr w:rsidR="006E1B0F" w:rsidRPr="00873B6C" w14:paraId="270447E3" w14:textId="77777777" w:rsidTr="009D14FB">
        <w:tc>
          <w:tcPr>
            <w:tcW w:w="800" w:type="dxa"/>
            <w:shd w:val="solid" w:color="FFFFFF" w:fill="auto"/>
          </w:tcPr>
          <w:p w14:paraId="3C6C3E55" w14:textId="6A469944" w:rsidR="006E1B0F" w:rsidRPr="00873B6C" w:rsidRDefault="006E1B0F" w:rsidP="000040FE">
            <w:pPr>
              <w:pStyle w:val="TAC"/>
              <w:rPr>
                <w:sz w:val="16"/>
                <w:szCs w:val="16"/>
              </w:rPr>
            </w:pPr>
            <w:r w:rsidRPr="00873B6C">
              <w:rPr>
                <w:sz w:val="16"/>
                <w:szCs w:val="16"/>
              </w:rPr>
              <w:t>2021-09</w:t>
            </w:r>
          </w:p>
        </w:tc>
        <w:tc>
          <w:tcPr>
            <w:tcW w:w="800" w:type="dxa"/>
            <w:shd w:val="solid" w:color="FFFFFF" w:fill="auto"/>
          </w:tcPr>
          <w:p w14:paraId="1FA01F45" w14:textId="3172C2AF" w:rsidR="006E1B0F" w:rsidRPr="00873B6C" w:rsidRDefault="006E1B0F" w:rsidP="000040FE">
            <w:pPr>
              <w:pStyle w:val="TAL"/>
              <w:rPr>
                <w:sz w:val="16"/>
                <w:szCs w:val="16"/>
              </w:rPr>
            </w:pPr>
            <w:r w:rsidRPr="00873B6C">
              <w:rPr>
                <w:sz w:val="16"/>
                <w:szCs w:val="16"/>
              </w:rPr>
              <w:t>SP#93E</w:t>
            </w:r>
          </w:p>
        </w:tc>
        <w:tc>
          <w:tcPr>
            <w:tcW w:w="1094" w:type="dxa"/>
            <w:shd w:val="solid" w:color="FFFFFF" w:fill="auto"/>
          </w:tcPr>
          <w:p w14:paraId="5CDC4C1E" w14:textId="6E0435CB" w:rsidR="006E1B0F" w:rsidRPr="00873B6C" w:rsidRDefault="006E1B0F" w:rsidP="000040FE">
            <w:pPr>
              <w:pStyle w:val="TAC"/>
              <w:rPr>
                <w:sz w:val="16"/>
                <w:szCs w:val="16"/>
              </w:rPr>
            </w:pPr>
            <w:r w:rsidRPr="00873B6C">
              <w:rPr>
                <w:sz w:val="16"/>
                <w:szCs w:val="16"/>
              </w:rPr>
              <w:t>SP-210935</w:t>
            </w:r>
          </w:p>
        </w:tc>
        <w:tc>
          <w:tcPr>
            <w:tcW w:w="567" w:type="dxa"/>
            <w:shd w:val="solid" w:color="FFFFFF" w:fill="auto"/>
          </w:tcPr>
          <w:p w14:paraId="0A6101A1" w14:textId="53CB013F" w:rsidR="006E1B0F" w:rsidRPr="00873B6C" w:rsidRDefault="006E1B0F" w:rsidP="000040FE">
            <w:pPr>
              <w:pStyle w:val="TAL"/>
              <w:rPr>
                <w:sz w:val="16"/>
                <w:szCs w:val="16"/>
              </w:rPr>
            </w:pPr>
            <w:r w:rsidRPr="00873B6C">
              <w:rPr>
                <w:sz w:val="16"/>
                <w:szCs w:val="16"/>
              </w:rPr>
              <w:t>3009</w:t>
            </w:r>
          </w:p>
        </w:tc>
        <w:tc>
          <w:tcPr>
            <w:tcW w:w="425" w:type="dxa"/>
            <w:shd w:val="solid" w:color="FFFFFF" w:fill="auto"/>
          </w:tcPr>
          <w:p w14:paraId="46883216" w14:textId="28F14CAB" w:rsidR="006E1B0F" w:rsidRPr="00873B6C" w:rsidRDefault="006E1B0F" w:rsidP="000040FE">
            <w:pPr>
              <w:pStyle w:val="TAL"/>
              <w:rPr>
                <w:sz w:val="16"/>
                <w:szCs w:val="16"/>
              </w:rPr>
            </w:pPr>
            <w:r w:rsidRPr="00873B6C">
              <w:rPr>
                <w:sz w:val="16"/>
                <w:szCs w:val="16"/>
              </w:rPr>
              <w:t xml:space="preserve">1 </w:t>
            </w:r>
          </w:p>
        </w:tc>
        <w:tc>
          <w:tcPr>
            <w:tcW w:w="425" w:type="dxa"/>
            <w:shd w:val="solid" w:color="FFFFFF" w:fill="auto"/>
          </w:tcPr>
          <w:p w14:paraId="71F66376" w14:textId="2A93087C" w:rsidR="006E1B0F" w:rsidRPr="00873B6C" w:rsidRDefault="006E1B0F" w:rsidP="000040FE">
            <w:pPr>
              <w:pStyle w:val="TAL"/>
              <w:rPr>
                <w:sz w:val="16"/>
                <w:szCs w:val="16"/>
              </w:rPr>
            </w:pPr>
            <w:r w:rsidRPr="00873B6C">
              <w:rPr>
                <w:sz w:val="16"/>
                <w:szCs w:val="16"/>
              </w:rPr>
              <w:t>B</w:t>
            </w:r>
          </w:p>
        </w:tc>
        <w:tc>
          <w:tcPr>
            <w:tcW w:w="4820" w:type="dxa"/>
            <w:shd w:val="solid" w:color="FFFFFF" w:fill="auto"/>
          </w:tcPr>
          <w:p w14:paraId="14528E2C" w14:textId="0E33A316" w:rsidR="006E1B0F" w:rsidRPr="00873B6C" w:rsidRDefault="006E1B0F" w:rsidP="000040FE">
            <w:pPr>
              <w:pStyle w:val="TAL"/>
              <w:rPr>
                <w:sz w:val="16"/>
                <w:szCs w:val="16"/>
              </w:rPr>
            </w:pPr>
            <w:r w:rsidRPr="00873B6C">
              <w:rPr>
                <w:sz w:val="16"/>
                <w:szCs w:val="16"/>
              </w:rPr>
              <w:t>EPS User Plane Integrity Protection using SMF+PGW-C</w:t>
            </w:r>
          </w:p>
        </w:tc>
        <w:tc>
          <w:tcPr>
            <w:tcW w:w="708" w:type="dxa"/>
            <w:shd w:val="solid" w:color="FFFFFF" w:fill="auto"/>
          </w:tcPr>
          <w:p w14:paraId="3E24DB77" w14:textId="30764FCF" w:rsidR="006E1B0F" w:rsidRPr="00873B6C" w:rsidRDefault="006E1B0F" w:rsidP="000040FE">
            <w:pPr>
              <w:pStyle w:val="TAC"/>
              <w:rPr>
                <w:sz w:val="16"/>
                <w:szCs w:val="16"/>
              </w:rPr>
            </w:pPr>
            <w:r w:rsidRPr="00873B6C">
              <w:rPr>
                <w:sz w:val="16"/>
                <w:szCs w:val="16"/>
              </w:rPr>
              <w:t>17.2.0</w:t>
            </w:r>
          </w:p>
        </w:tc>
      </w:tr>
      <w:tr w:rsidR="00F8101C" w:rsidRPr="00873B6C" w14:paraId="19688589" w14:textId="77777777" w:rsidTr="009D14FB">
        <w:tc>
          <w:tcPr>
            <w:tcW w:w="800" w:type="dxa"/>
            <w:shd w:val="solid" w:color="FFFFFF" w:fill="auto"/>
          </w:tcPr>
          <w:p w14:paraId="239C2D18" w14:textId="59D78A85" w:rsidR="00F8101C" w:rsidRPr="00873B6C" w:rsidRDefault="00F8101C" w:rsidP="000040FE">
            <w:pPr>
              <w:pStyle w:val="TAC"/>
              <w:rPr>
                <w:sz w:val="16"/>
                <w:szCs w:val="16"/>
              </w:rPr>
            </w:pPr>
            <w:r w:rsidRPr="00873B6C">
              <w:rPr>
                <w:sz w:val="16"/>
                <w:szCs w:val="16"/>
              </w:rPr>
              <w:t>2021-09</w:t>
            </w:r>
          </w:p>
        </w:tc>
        <w:tc>
          <w:tcPr>
            <w:tcW w:w="800" w:type="dxa"/>
            <w:shd w:val="solid" w:color="FFFFFF" w:fill="auto"/>
          </w:tcPr>
          <w:p w14:paraId="397AC617" w14:textId="3CEA0189" w:rsidR="00F8101C" w:rsidRPr="00873B6C" w:rsidRDefault="00F8101C" w:rsidP="000040FE">
            <w:pPr>
              <w:pStyle w:val="TAL"/>
              <w:rPr>
                <w:sz w:val="16"/>
                <w:szCs w:val="16"/>
              </w:rPr>
            </w:pPr>
            <w:r w:rsidRPr="00873B6C">
              <w:rPr>
                <w:sz w:val="16"/>
                <w:szCs w:val="16"/>
              </w:rPr>
              <w:t>SP#93E</w:t>
            </w:r>
          </w:p>
        </w:tc>
        <w:tc>
          <w:tcPr>
            <w:tcW w:w="1094" w:type="dxa"/>
            <w:shd w:val="solid" w:color="FFFFFF" w:fill="auto"/>
          </w:tcPr>
          <w:p w14:paraId="360E2810" w14:textId="0735E6D4" w:rsidR="00F8101C" w:rsidRPr="00873B6C" w:rsidRDefault="00F8101C" w:rsidP="000040FE">
            <w:pPr>
              <w:pStyle w:val="TAC"/>
              <w:rPr>
                <w:sz w:val="16"/>
                <w:szCs w:val="16"/>
              </w:rPr>
            </w:pPr>
            <w:r w:rsidRPr="00873B6C">
              <w:rPr>
                <w:sz w:val="16"/>
                <w:szCs w:val="16"/>
              </w:rPr>
              <w:t>SP-210919</w:t>
            </w:r>
          </w:p>
        </w:tc>
        <w:tc>
          <w:tcPr>
            <w:tcW w:w="567" w:type="dxa"/>
            <w:shd w:val="solid" w:color="FFFFFF" w:fill="auto"/>
          </w:tcPr>
          <w:p w14:paraId="5823C122" w14:textId="061E5211" w:rsidR="00F8101C" w:rsidRPr="00873B6C" w:rsidRDefault="00F8101C" w:rsidP="000040FE">
            <w:pPr>
              <w:pStyle w:val="TAL"/>
              <w:rPr>
                <w:sz w:val="16"/>
                <w:szCs w:val="16"/>
              </w:rPr>
            </w:pPr>
            <w:r w:rsidRPr="00873B6C">
              <w:rPr>
                <w:sz w:val="16"/>
                <w:szCs w:val="16"/>
              </w:rPr>
              <w:t>3010</w:t>
            </w:r>
          </w:p>
        </w:tc>
        <w:tc>
          <w:tcPr>
            <w:tcW w:w="425" w:type="dxa"/>
            <w:shd w:val="solid" w:color="FFFFFF" w:fill="auto"/>
          </w:tcPr>
          <w:p w14:paraId="6EB50E97" w14:textId="140B5EB1" w:rsidR="00F8101C" w:rsidRPr="00873B6C" w:rsidRDefault="00F8101C" w:rsidP="000040FE">
            <w:pPr>
              <w:pStyle w:val="TAL"/>
              <w:rPr>
                <w:sz w:val="16"/>
                <w:szCs w:val="16"/>
              </w:rPr>
            </w:pPr>
            <w:r w:rsidRPr="00873B6C">
              <w:rPr>
                <w:sz w:val="16"/>
                <w:szCs w:val="16"/>
              </w:rPr>
              <w:t>1</w:t>
            </w:r>
          </w:p>
        </w:tc>
        <w:tc>
          <w:tcPr>
            <w:tcW w:w="425" w:type="dxa"/>
            <w:shd w:val="solid" w:color="FFFFFF" w:fill="auto"/>
          </w:tcPr>
          <w:p w14:paraId="32FD9D82" w14:textId="113E23EC" w:rsidR="00F8101C" w:rsidRPr="00873B6C" w:rsidRDefault="00F8101C" w:rsidP="000040FE">
            <w:pPr>
              <w:pStyle w:val="TAL"/>
              <w:rPr>
                <w:sz w:val="16"/>
                <w:szCs w:val="16"/>
              </w:rPr>
            </w:pPr>
            <w:r w:rsidRPr="00873B6C">
              <w:rPr>
                <w:sz w:val="16"/>
                <w:szCs w:val="16"/>
              </w:rPr>
              <w:t>C</w:t>
            </w:r>
          </w:p>
        </w:tc>
        <w:tc>
          <w:tcPr>
            <w:tcW w:w="4820" w:type="dxa"/>
            <w:shd w:val="solid" w:color="FFFFFF" w:fill="auto"/>
          </w:tcPr>
          <w:p w14:paraId="4690585F" w14:textId="23FC7970" w:rsidR="00F8101C" w:rsidRPr="00873B6C" w:rsidRDefault="00F8101C" w:rsidP="000040FE">
            <w:pPr>
              <w:pStyle w:val="TAL"/>
              <w:rPr>
                <w:sz w:val="16"/>
                <w:szCs w:val="16"/>
              </w:rPr>
            </w:pPr>
            <w:r w:rsidRPr="00873B6C">
              <w:rPr>
                <w:sz w:val="16"/>
                <w:szCs w:val="16"/>
              </w:rPr>
              <w:t>Allowing usage of S-NSSAI and Network Instance for internal UPF resource allocation</w:t>
            </w:r>
          </w:p>
        </w:tc>
        <w:tc>
          <w:tcPr>
            <w:tcW w:w="708" w:type="dxa"/>
            <w:shd w:val="solid" w:color="FFFFFF" w:fill="auto"/>
          </w:tcPr>
          <w:p w14:paraId="2A9B0DAE" w14:textId="03F710BD" w:rsidR="00F8101C" w:rsidRPr="00873B6C" w:rsidRDefault="00F8101C" w:rsidP="000040FE">
            <w:pPr>
              <w:pStyle w:val="TAC"/>
              <w:rPr>
                <w:sz w:val="16"/>
                <w:szCs w:val="16"/>
              </w:rPr>
            </w:pPr>
            <w:r w:rsidRPr="00873B6C">
              <w:rPr>
                <w:sz w:val="16"/>
                <w:szCs w:val="16"/>
              </w:rPr>
              <w:t>17.2.0</w:t>
            </w:r>
          </w:p>
        </w:tc>
      </w:tr>
      <w:tr w:rsidR="00F8101C" w:rsidRPr="00873B6C" w14:paraId="5BBA9D0C" w14:textId="77777777" w:rsidTr="009D14FB">
        <w:tc>
          <w:tcPr>
            <w:tcW w:w="800" w:type="dxa"/>
            <w:shd w:val="solid" w:color="FFFFFF" w:fill="auto"/>
          </w:tcPr>
          <w:p w14:paraId="59BC4F89" w14:textId="2127B3D9" w:rsidR="00F8101C" w:rsidRPr="00873B6C" w:rsidRDefault="00F8101C" w:rsidP="000040FE">
            <w:pPr>
              <w:pStyle w:val="TAC"/>
              <w:rPr>
                <w:sz w:val="16"/>
                <w:szCs w:val="16"/>
              </w:rPr>
            </w:pPr>
            <w:r w:rsidRPr="00873B6C">
              <w:rPr>
                <w:sz w:val="16"/>
                <w:szCs w:val="16"/>
              </w:rPr>
              <w:t>2021-09</w:t>
            </w:r>
          </w:p>
        </w:tc>
        <w:tc>
          <w:tcPr>
            <w:tcW w:w="800" w:type="dxa"/>
            <w:shd w:val="solid" w:color="FFFFFF" w:fill="auto"/>
          </w:tcPr>
          <w:p w14:paraId="28440F7A" w14:textId="0B2B412F" w:rsidR="00F8101C" w:rsidRPr="00873B6C" w:rsidRDefault="00F8101C" w:rsidP="000040FE">
            <w:pPr>
              <w:pStyle w:val="TAL"/>
              <w:rPr>
                <w:sz w:val="16"/>
                <w:szCs w:val="16"/>
              </w:rPr>
            </w:pPr>
            <w:r w:rsidRPr="00873B6C">
              <w:rPr>
                <w:sz w:val="16"/>
                <w:szCs w:val="16"/>
              </w:rPr>
              <w:t>SP#93E</w:t>
            </w:r>
          </w:p>
        </w:tc>
        <w:tc>
          <w:tcPr>
            <w:tcW w:w="1094" w:type="dxa"/>
            <w:shd w:val="solid" w:color="FFFFFF" w:fill="auto"/>
          </w:tcPr>
          <w:p w14:paraId="56128F3D" w14:textId="336341E3" w:rsidR="00F8101C" w:rsidRPr="00873B6C" w:rsidRDefault="00F8101C" w:rsidP="000040FE">
            <w:pPr>
              <w:pStyle w:val="TAC"/>
              <w:rPr>
                <w:sz w:val="16"/>
                <w:szCs w:val="16"/>
              </w:rPr>
            </w:pPr>
            <w:r w:rsidRPr="00873B6C">
              <w:rPr>
                <w:sz w:val="16"/>
                <w:szCs w:val="16"/>
              </w:rPr>
              <w:t>SP-210937</w:t>
            </w:r>
          </w:p>
        </w:tc>
        <w:tc>
          <w:tcPr>
            <w:tcW w:w="567" w:type="dxa"/>
            <w:shd w:val="solid" w:color="FFFFFF" w:fill="auto"/>
          </w:tcPr>
          <w:p w14:paraId="210E01C9" w14:textId="400DA2F7" w:rsidR="00F8101C" w:rsidRPr="00873B6C" w:rsidRDefault="00F8101C" w:rsidP="000040FE">
            <w:pPr>
              <w:pStyle w:val="TAL"/>
              <w:rPr>
                <w:sz w:val="16"/>
                <w:szCs w:val="16"/>
              </w:rPr>
            </w:pPr>
            <w:r w:rsidRPr="00873B6C">
              <w:rPr>
                <w:sz w:val="16"/>
                <w:szCs w:val="16"/>
              </w:rPr>
              <w:t>3011</w:t>
            </w:r>
          </w:p>
        </w:tc>
        <w:tc>
          <w:tcPr>
            <w:tcW w:w="425" w:type="dxa"/>
            <w:shd w:val="solid" w:color="FFFFFF" w:fill="auto"/>
          </w:tcPr>
          <w:p w14:paraId="316741B4" w14:textId="1AEF1E23" w:rsidR="00F8101C" w:rsidRPr="00873B6C" w:rsidRDefault="00F8101C" w:rsidP="000040FE">
            <w:pPr>
              <w:pStyle w:val="TAL"/>
              <w:rPr>
                <w:sz w:val="16"/>
                <w:szCs w:val="16"/>
              </w:rPr>
            </w:pPr>
            <w:r w:rsidRPr="00873B6C">
              <w:rPr>
                <w:sz w:val="16"/>
                <w:szCs w:val="16"/>
              </w:rPr>
              <w:t>-</w:t>
            </w:r>
          </w:p>
        </w:tc>
        <w:tc>
          <w:tcPr>
            <w:tcW w:w="425" w:type="dxa"/>
            <w:shd w:val="solid" w:color="FFFFFF" w:fill="auto"/>
          </w:tcPr>
          <w:p w14:paraId="61506D61" w14:textId="2F0A17B4" w:rsidR="00F8101C" w:rsidRPr="00873B6C" w:rsidRDefault="00F8101C" w:rsidP="000040FE">
            <w:pPr>
              <w:pStyle w:val="TAL"/>
              <w:rPr>
                <w:sz w:val="16"/>
                <w:szCs w:val="16"/>
              </w:rPr>
            </w:pPr>
            <w:r w:rsidRPr="00873B6C">
              <w:rPr>
                <w:sz w:val="16"/>
                <w:szCs w:val="16"/>
              </w:rPr>
              <w:t>F</w:t>
            </w:r>
          </w:p>
        </w:tc>
        <w:tc>
          <w:tcPr>
            <w:tcW w:w="4820" w:type="dxa"/>
            <w:shd w:val="solid" w:color="FFFFFF" w:fill="auto"/>
          </w:tcPr>
          <w:p w14:paraId="65811E05" w14:textId="68B2EE0C" w:rsidR="00F8101C" w:rsidRPr="00873B6C" w:rsidRDefault="00F8101C" w:rsidP="000040FE">
            <w:pPr>
              <w:pStyle w:val="TAL"/>
              <w:rPr>
                <w:sz w:val="16"/>
                <w:szCs w:val="16"/>
              </w:rPr>
            </w:pPr>
            <w:r w:rsidRPr="00873B6C">
              <w:rPr>
                <w:sz w:val="16"/>
                <w:szCs w:val="16"/>
              </w:rPr>
              <w:t>BSF related update of NRF services (23.501)</w:t>
            </w:r>
          </w:p>
        </w:tc>
        <w:tc>
          <w:tcPr>
            <w:tcW w:w="708" w:type="dxa"/>
            <w:shd w:val="solid" w:color="FFFFFF" w:fill="auto"/>
          </w:tcPr>
          <w:p w14:paraId="2569825B" w14:textId="1F921DCE" w:rsidR="00F8101C" w:rsidRPr="00873B6C" w:rsidRDefault="00F8101C" w:rsidP="000040FE">
            <w:pPr>
              <w:pStyle w:val="TAC"/>
              <w:rPr>
                <w:sz w:val="16"/>
                <w:szCs w:val="16"/>
              </w:rPr>
            </w:pPr>
            <w:r w:rsidRPr="00873B6C">
              <w:rPr>
                <w:sz w:val="16"/>
                <w:szCs w:val="16"/>
              </w:rPr>
              <w:t>17.2.0</w:t>
            </w:r>
          </w:p>
        </w:tc>
      </w:tr>
      <w:tr w:rsidR="00F8101C" w:rsidRPr="00873B6C" w14:paraId="691C35CA" w14:textId="77777777" w:rsidTr="009D14FB">
        <w:tc>
          <w:tcPr>
            <w:tcW w:w="800" w:type="dxa"/>
            <w:shd w:val="solid" w:color="FFFFFF" w:fill="auto"/>
          </w:tcPr>
          <w:p w14:paraId="5AC1CEA0" w14:textId="7A487054" w:rsidR="00F8101C" w:rsidRPr="00873B6C" w:rsidRDefault="00F8101C" w:rsidP="000040FE">
            <w:pPr>
              <w:pStyle w:val="TAC"/>
              <w:rPr>
                <w:sz w:val="16"/>
                <w:szCs w:val="16"/>
              </w:rPr>
            </w:pPr>
            <w:r w:rsidRPr="00873B6C">
              <w:rPr>
                <w:sz w:val="16"/>
                <w:szCs w:val="16"/>
              </w:rPr>
              <w:t>2021-09</w:t>
            </w:r>
          </w:p>
        </w:tc>
        <w:tc>
          <w:tcPr>
            <w:tcW w:w="800" w:type="dxa"/>
            <w:shd w:val="solid" w:color="FFFFFF" w:fill="auto"/>
          </w:tcPr>
          <w:p w14:paraId="5820AB89" w14:textId="480A4093" w:rsidR="00F8101C" w:rsidRPr="00873B6C" w:rsidRDefault="00F8101C" w:rsidP="000040FE">
            <w:pPr>
              <w:pStyle w:val="TAL"/>
              <w:rPr>
                <w:sz w:val="16"/>
                <w:szCs w:val="16"/>
              </w:rPr>
            </w:pPr>
            <w:r w:rsidRPr="00873B6C">
              <w:rPr>
                <w:sz w:val="16"/>
                <w:szCs w:val="16"/>
              </w:rPr>
              <w:t>SP#93E</w:t>
            </w:r>
          </w:p>
        </w:tc>
        <w:tc>
          <w:tcPr>
            <w:tcW w:w="1094" w:type="dxa"/>
            <w:shd w:val="solid" w:color="FFFFFF" w:fill="auto"/>
          </w:tcPr>
          <w:p w14:paraId="786197AF" w14:textId="44A25635" w:rsidR="00F8101C" w:rsidRPr="00873B6C" w:rsidRDefault="00F8101C" w:rsidP="000040FE">
            <w:pPr>
              <w:pStyle w:val="TAC"/>
              <w:rPr>
                <w:sz w:val="16"/>
                <w:szCs w:val="16"/>
              </w:rPr>
            </w:pPr>
            <w:r w:rsidRPr="00873B6C">
              <w:rPr>
                <w:sz w:val="16"/>
                <w:szCs w:val="16"/>
              </w:rPr>
              <w:t>SP-210928</w:t>
            </w:r>
          </w:p>
        </w:tc>
        <w:tc>
          <w:tcPr>
            <w:tcW w:w="567" w:type="dxa"/>
            <w:shd w:val="solid" w:color="FFFFFF" w:fill="auto"/>
          </w:tcPr>
          <w:p w14:paraId="53050A83" w14:textId="32AA1EF6" w:rsidR="00F8101C" w:rsidRPr="00873B6C" w:rsidRDefault="00F8101C" w:rsidP="000040FE">
            <w:pPr>
              <w:pStyle w:val="TAL"/>
              <w:rPr>
                <w:sz w:val="16"/>
                <w:szCs w:val="16"/>
              </w:rPr>
            </w:pPr>
            <w:r w:rsidRPr="00873B6C">
              <w:rPr>
                <w:sz w:val="16"/>
                <w:szCs w:val="16"/>
              </w:rPr>
              <w:t>3018</w:t>
            </w:r>
          </w:p>
        </w:tc>
        <w:tc>
          <w:tcPr>
            <w:tcW w:w="425" w:type="dxa"/>
            <w:shd w:val="solid" w:color="FFFFFF" w:fill="auto"/>
          </w:tcPr>
          <w:p w14:paraId="037119D6" w14:textId="1CFD8356" w:rsidR="00F8101C" w:rsidRPr="00873B6C" w:rsidRDefault="00F8101C" w:rsidP="000040FE">
            <w:pPr>
              <w:pStyle w:val="TAL"/>
              <w:rPr>
                <w:sz w:val="16"/>
                <w:szCs w:val="16"/>
              </w:rPr>
            </w:pPr>
            <w:r w:rsidRPr="00873B6C">
              <w:rPr>
                <w:sz w:val="16"/>
                <w:szCs w:val="16"/>
              </w:rPr>
              <w:t>1</w:t>
            </w:r>
          </w:p>
        </w:tc>
        <w:tc>
          <w:tcPr>
            <w:tcW w:w="425" w:type="dxa"/>
            <w:shd w:val="solid" w:color="FFFFFF" w:fill="auto"/>
          </w:tcPr>
          <w:p w14:paraId="24F8DCD8" w14:textId="6BF600EF" w:rsidR="00F8101C" w:rsidRPr="00873B6C" w:rsidRDefault="00F8101C" w:rsidP="000040FE">
            <w:pPr>
              <w:pStyle w:val="TAL"/>
              <w:rPr>
                <w:sz w:val="16"/>
                <w:szCs w:val="16"/>
              </w:rPr>
            </w:pPr>
            <w:r w:rsidRPr="00873B6C">
              <w:rPr>
                <w:sz w:val="16"/>
                <w:szCs w:val="16"/>
              </w:rPr>
              <w:t>F</w:t>
            </w:r>
          </w:p>
        </w:tc>
        <w:tc>
          <w:tcPr>
            <w:tcW w:w="4820" w:type="dxa"/>
            <w:shd w:val="solid" w:color="FFFFFF" w:fill="auto"/>
          </w:tcPr>
          <w:p w14:paraId="7A3D037C" w14:textId="18A31D28" w:rsidR="00F8101C" w:rsidRPr="00873B6C" w:rsidRDefault="00F8101C" w:rsidP="000040FE">
            <w:pPr>
              <w:pStyle w:val="TAL"/>
              <w:rPr>
                <w:sz w:val="16"/>
                <w:szCs w:val="16"/>
              </w:rPr>
            </w:pPr>
            <w:r w:rsidRPr="00873B6C">
              <w:rPr>
                <w:sz w:val="16"/>
                <w:szCs w:val="16"/>
              </w:rPr>
              <w:t xml:space="preserve">NEF discovery and selection based on AF address </w:t>
            </w:r>
          </w:p>
        </w:tc>
        <w:tc>
          <w:tcPr>
            <w:tcW w:w="708" w:type="dxa"/>
            <w:shd w:val="solid" w:color="FFFFFF" w:fill="auto"/>
          </w:tcPr>
          <w:p w14:paraId="11BBB505" w14:textId="39BDF664" w:rsidR="00F8101C" w:rsidRPr="00873B6C" w:rsidRDefault="00F8101C" w:rsidP="000040FE">
            <w:pPr>
              <w:pStyle w:val="TAC"/>
              <w:rPr>
                <w:sz w:val="16"/>
                <w:szCs w:val="16"/>
              </w:rPr>
            </w:pPr>
            <w:r w:rsidRPr="00873B6C">
              <w:rPr>
                <w:sz w:val="16"/>
                <w:szCs w:val="16"/>
              </w:rPr>
              <w:t>17.2.0</w:t>
            </w:r>
          </w:p>
        </w:tc>
      </w:tr>
      <w:tr w:rsidR="00F8101C" w:rsidRPr="00873B6C" w14:paraId="7A9A6A75" w14:textId="77777777" w:rsidTr="009D14FB">
        <w:tc>
          <w:tcPr>
            <w:tcW w:w="800" w:type="dxa"/>
            <w:shd w:val="solid" w:color="FFFFFF" w:fill="auto"/>
          </w:tcPr>
          <w:p w14:paraId="1393DE8C" w14:textId="10F309E3" w:rsidR="00F8101C" w:rsidRPr="00873B6C" w:rsidRDefault="00F8101C" w:rsidP="000040FE">
            <w:pPr>
              <w:pStyle w:val="TAC"/>
              <w:rPr>
                <w:sz w:val="16"/>
                <w:szCs w:val="16"/>
              </w:rPr>
            </w:pPr>
            <w:r w:rsidRPr="00873B6C">
              <w:rPr>
                <w:sz w:val="16"/>
                <w:szCs w:val="16"/>
              </w:rPr>
              <w:t>2021-09</w:t>
            </w:r>
          </w:p>
        </w:tc>
        <w:tc>
          <w:tcPr>
            <w:tcW w:w="800" w:type="dxa"/>
            <w:shd w:val="solid" w:color="FFFFFF" w:fill="auto"/>
          </w:tcPr>
          <w:p w14:paraId="2ACD5550" w14:textId="56CEF4D9" w:rsidR="00F8101C" w:rsidRPr="00873B6C" w:rsidRDefault="00F8101C" w:rsidP="000040FE">
            <w:pPr>
              <w:pStyle w:val="TAL"/>
              <w:rPr>
                <w:sz w:val="16"/>
                <w:szCs w:val="16"/>
              </w:rPr>
            </w:pPr>
            <w:r w:rsidRPr="00873B6C">
              <w:rPr>
                <w:sz w:val="16"/>
                <w:szCs w:val="16"/>
              </w:rPr>
              <w:t>SP#93E</w:t>
            </w:r>
          </w:p>
        </w:tc>
        <w:tc>
          <w:tcPr>
            <w:tcW w:w="1094" w:type="dxa"/>
            <w:shd w:val="solid" w:color="FFFFFF" w:fill="auto"/>
          </w:tcPr>
          <w:p w14:paraId="224E973C" w14:textId="3BF0EF93" w:rsidR="00F8101C" w:rsidRPr="00873B6C" w:rsidRDefault="00F8101C" w:rsidP="000040FE">
            <w:pPr>
              <w:pStyle w:val="TAC"/>
              <w:rPr>
                <w:sz w:val="16"/>
                <w:szCs w:val="16"/>
              </w:rPr>
            </w:pPr>
            <w:r w:rsidRPr="00873B6C">
              <w:rPr>
                <w:sz w:val="16"/>
                <w:szCs w:val="16"/>
              </w:rPr>
              <w:t>SP-210931</w:t>
            </w:r>
          </w:p>
        </w:tc>
        <w:tc>
          <w:tcPr>
            <w:tcW w:w="567" w:type="dxa"/>
            <w:shd w:val="solid" w:color="FFFFFF" w:fill="auto"/>
          </w:tcPr>
          <w:p w14:paraId="3C0CA2FA" w14:textId="3FDC587B" w:rsidR="00F8101C" w:rsidRPr="00873B6C" w:rsidRDefault="00F8101C" w:rsidP="000040FE">
            <w:pPr>
              <w:pStyle w:val="TAL"/>
              <w:rPr>
                <w:sz w:val="16"/>
                <w:szCs w:val="16"/>
              </w:rPr>
            </w:pPr>
            <w:r w:rsidRPr="00873B6C">
              <w:rPr>
                <w:sz w:val="16"/>
                <w:szCs w:val="16"/>
              </w:rPr>
              <w:t>3019</w:t>
            </w:r>
          </w:p>
        </w:tc>
        <w:tc>
          <w:tcPr>
            <w:tcW w:w="425" w:type="dxa"/>
            <w:shd w:val="solid" w:color="FFFFFF" w:fill="auto"/>
          </w:tcPr>
          <w:p w14:paraId="4BD523EA" w14:textId="12BFAB03" w:rsidR="00F8101C" w:rsidRPr="00873B6C" w:rsidRDefault="00F8101C" w:rsidP="000040FE">
            <w:pPr>
              <w:pStyle w:val="TAL"/>
              <w:rPr>
                <w:sz w:val="16"/>
                <w:szCs w:val="16"/>
              </w:rPr>
            </w:pPr>
            <w:r w:rsidRPr="00873B6C">
              <w:rPr>
                <w:sz w:val="16"/>
                <w:szCs w:val="16"/>
              </w:rPr>
              <w:t>1</w:t>
            </w:r>
          </w:p>
        </w:tc>
        <w:tc>
          <w:tcPr>
            <w:tcW w:w="425" w:type="dxa"/>
            <w:shd w:val="solid" w:color="FFFFFF" w:fill="auto"/>
          </w:tcPr>
          <w:p w14:paraId="4ACFB2B5" w14:textId="3074FDEC" w:rsidR="00F8101C" w:rsidRPr="00873B6C" w:rsidRDefault="00F8101C" w:rsidP="000040FE">
            <w:pPr>
              <w:pStyle w:val="TAL"/>
              <w:rPr>
                <w:sz w:val="16"/>
                <w:szCs w:val="16"/>
              </w:rPr>
            </w:pPr>
            <w:r w:rsidRPr="00873B6C">
              <w:rPr>
                <w:sz w:val="16"/>
                <w:szCs w:val="16"/>
              </w:rPr>
              <w:t>B</w:t>
            </w:r>
          </w:p>
        </w:tc>
        <w:tc>
          <w:tcPr>
            <w:tcW w:w="4820" w:type="dxa"/>
            <w:shd w:val="solid" w:color="FFFFFF" w:fill="auto"/>
          </w:tcPr>
          <w:p w14:paraId="1D079668" w14:textId="4FBCACDC" w:rsidR="00F8101C" w:rsidRPr="00873B6C" w:rsidRDefault="00F8101C" w:rsidP="000040FE">
            <w:pPr>
              <w:pStyle w:val="TAL"/>
              <w:rPr>
                <w:sz w:val="16"/>
                <w:szCs w:val="16"/>
              </w:rPr>
            </w:pPr>
            <w:r w:rsidRPr="00873B6C">
              <w:rPr>
                <w:sz w:val="16"/>
                <w:szCs w:val="16"/>
              </w:rPr>
              <w:t>Adding the functionality on MINT</w:t>
            </w:r>
          </w:p>
        </w:tc>
        <w:tc>
          <w:tcPr>
            <w:tcW w:w="708" w:type="dxa"/>
            <w:shd w:val="solid" w:color="FFFFFF" w:fill="auto"/>
          </w:tcPr>
          <w:p w14:paraId="4721E6A7" w14:textId="4E66E239" w:rsidR="00F8101C" w:rsidRPr="00873B6C" w:rsidRDefault="00F8101C" w:rsidP="000040FE">
            <w:pPr>
              <w:pStyle w:val="TAC"/>
              <w:rPr>
                <w:sz w:val="16"/>
                <w:szCs w:val="16"/>
              </w:rPr>
            </w:pPr>
            <w:r w:rsidRPr="00873B6C">
              <w:rPr>
                <w:sz w:val="16"/>
                <w:szCs w:val="16"/>
              </w:rPr>
              <w:t>17.2.0</w:t>
            </w:r>
          </w:p>
        </w:tc>
      </w:tr>
      <w:tr w:rsidR="007C344D" w:rsidRPr="00873B6C" w14:paraId="73C58F50" w14:textId="77777777" w:rsidTr="009D14FB">
        <w:tc>
          <w:tcPr>
            <w:tcW w:w="800" w:type="dxa"/>
            <w:shd w:val="solid" w:color="FFFFFF" w:fill="auto"/>
          </w:tcPr>
          <w:p w14:paraId="4E6EF13B" w14:textId="7D17F25C" w:rsidR="007C344D" w:rsidRPr="00873B6C" w:rsidRDefault="007C344D" w:rsidP="000040FE">
            <w:pPr>
              <w:pStyle w:val="TAC"/>
              <w:rPr>
                <w:sz w:val="16"/>
                <w:szCs w:val="16"/>
              </w:rPr>
            </w:pPr>
            <w:r w:rsidRPr="00873B6C">
              <w:rPr>
                <w:sz w:val="16"/>
                <w:szCs w:val="16"/>
              </w:rPr>
              <w:t>2021-09</w:t>
            </w:r>
          </w:p>
        </w:tc>
        <w:tc>
          <w:tcPr>
            <w:tcW w:w="800" w:type="dxa"/>
            <w:shd w:val="solid" w:color="FFFFFF" w:fill="auto"/>
          </w:tcPr>
          <w:p w14:paraId="11294EE9" w14:textId="1AB9AED5" w:rsidR="007C344D" w:rsidRPr="00873B6C" w:rsidRDefault="007C344D" w:rsidP="000040FE">
            <w:pPr>
              <w:pStyle w:val="TAL"/>
              <w:rPr>
                <w:sz w:val="16"/>
                <w:szCs w:val="16"/>
              </w:rPr>
            </w:pPr>
            <w:r w:rsidRPr="00873B6C">
              <w:rPr>
                <w:sz w:val="16"/>
                <w:szCs w:val="16"/>
              </w:rPr>
              <w:t>SP#93E</w:t>
            </w:r>
          </w:p>
        </w:tc>
        <w:tc>
          <w:tcPr>
            <w:tcW w:w="1094" w:type="dxa"/>
            <w:shd w:val="solid" w:color="FFFFFF" w:fill="auto"/>
          </w:tcPr>
          <w:p w14:paraId="78C4F863" w14:textId="08C23635" w:rsidR="007C344D" w:rsidRPr="00873B6C" w:rsidRDefault="007C344D" w:rsidP="000040FE">
            <w:pPr>
              <w:pStyle w:val="TAC"/>
              <w:rPr>
                <w:sz w:val="16"/>
                <w:szCs w:val="16"/>
              </w:rPr>
            </w:pPr>
            <w:r w:rsidRPr="00873B6C">
              <w:rPr>
                <w:sz w:val="16"/>
                <w:szCs w:val="16"/>
              </w:rPr>
              <w:t>SP-210920</w:t>
            </w:r>
          </w:p>
        </w:tc>
        <w:tc>
          <w:tcPr>
            <w:tcW w:w="567" w:type="dxa"/>
            <w:shd w:val="solid" w:color="FFFFFF" w:fill="auto"/>
          </w:tcPr>
          <w:p w14:paraId="3779F390" w14:textId="04101ED0" w:rsidR="007C344D" w:rsidRPr="00873B6C" w:rsidRDefault="007C344D" w:rsidP="000040FE">
            <w:pPr>
              <w:pStyle w:val="TAL"/>
              <w:rPr>
                <w:sz w:val="16"/>
                <w:szCs w:val="16"/>
              </w:rPr>
            </w:pPr>
            <w:r w:rsidRPr="00873B6C">
              <w:rPr>
                <w:sz w:val="16"/>
                <w:szCs w:val="16"/>
              </w:rPr>
              <w:t>3025</w:t>
            </w:r>
          </w:p>
        </w:tc>
        <w:tc>
          <w:tcPr>
            <w:tcW w:w="425" w:type="dxa"/>
            <w:shd w:val="solid" w:color="FFFFFF" w:fill="auto"/>
          </w:tcPr>
          <w:p w14:paraId="5C81B00E" w14:textId="7727D3D1" w:rsidR="007C344D" w:rsidRPr="00873B6C" w:rsidRDefault="007C344D" w:rsidP="000040FE">
            <w:pPr>
              <w:pStyle w:val="TAL"/>
              <w:rPr>
                <w:sz w:val="16"/>
                <w:szCs w:val="16"/>
              </w:rPr>
            </w:pPr>
            <w:r w:rsidRPr="00873B6C">
              <w:rPr>
                <w:sz w:val="16"/>
                <w:szCs w:val="16"/>
              </w:rPr>
              <w:t>1</w:t>
            </w:r>
          </w:p>
        </w:tc>
        <w:tc>
          <w:tcPr>
            <w:tcW w:w="425" w:type="dxa"/>
            <w:shd w:val="solid" w:color="FFFFFF" w:fill="auto"/>
          </w:tcPr>
          <w:p w14:paraId="764BF3A2" w14:textId="7029BB52" w:rsidR="007C344D" w:rsidRPr="00873B6C" w:rsidRDefault="007C344D" w:rsidP="000040FE">
            <w:pPr>
              <w:pStyle w:val="TAL"/>
              <w:rPr>
                <w:sz w:val="16"/>
                <w:szCs w:val="16"/>
              </w:rPr>
            </w:pPr>
            <w:r w:rsidRPr="00873B6C">
              <w:rPr>
                <w:sz w:val="16"/>
                <w:szCs w:val="16"/>
              </w:rPr>
              <w:t>B</w:t>
            </w:r>
          </w:p>
        </w:tc>
        <w:tc>
          <w:tcPr>
            <w:tcW w:w="4820" w:type="dxa"/>
            <w:shd w:val="solid" w:color="FFFFFF" w:fill="auto"/>
          </w:tcPr>
          <w:p w14:paraId="5ACE72EE" w14:textId="1520073C" w:rsidR="007C344D" w:rsidRPr="00873B6C" w:rsidRDefault="007C344D" w:rsidP="000040FE">
            <w:pPr>
              <w:pStyle w:val="TAL"/>
              <w:rPr>
                <w:sz w:val="16"/>
                <w:szCs w:val="16"/>
              </w:rPr>
            </w:pPr>
            <w:r w:rsidRPr="00873B6C">
              <w:rPr>
                <w:sz w:val="16"/>
                <w:szCs w:val="16"/>
              </w:rPr>
              <w:t>NEF service to support EAS deployment info</w:t>
            </w:r>
          </w:p>
        </w:tc>
        <w:tc>
          <w:tcPr>
            <w:tcW w:w="708" w:type="dxa"/>
            <w:shd w:val="solid" w:color="FFFFFF" w:fill="auto"/>
          </w:tcPr>
          <w:p w14:paraId="3D1BEFA6" w14:textId="1F03BD5C" w:rsidR="007C344D" w:rsidRPr="00873B6C" w:rsidRDefault="007C344D" w:rsidP="000040FE">
            <w:pPr>
              <w:pStyle w:val="TAC"/>
              <w:rPr>
                <w:sz w:val="16"/>
                <w:szCs w:val="16"/>
              </w:rPr>
            </w:pPr>
            <w:r w:rsidRPr="00873B6C">
              <w:rPr>
                <w:sz w:val="16"/>
                <w:szCs w:val="16"/>
              </w:rPr>
              <w:t>17.2.0</w:t>
            </w:r>
          </w:p>
        </w:tc>
      </w:tr>
      <w:tr w:rsidR="007C344D" w:rsidRPr="00873B6C" w14:paraId="6ADB462B" w14:textId="77777777" w:rsidTr="009D14FB">
        <w:tc>
          <w:tcPr>
            <w:tcW w:w="800" w:type="dxa"/>
            <w:shd w:val="solid" w:color="FFFFFF" w:fill="auto"/>
          </w:tcPr>
          <w:p w14:paraId="55932F9D" w14:textId="791FDF85" w:rsidR="007C344D" w:rsidRPr="00873B6C" w:rsidRDefault="007C344D" w:rsidP="000040FE">
            <w:pPr>
              <w:pStyle w:val="TAC"/>
              <w:rPr>
                <w:sz w:val="16"/>
                <w:szCs w:val="16"/>
              </w:rPr>
            </w:pPr>
            <w:r w:rsidRPr="00873B6C">
              <w:rPr>
                <w:sz w:val="16"/>
                <w:szCs w:val="16"/>
              </w:rPr>
              <w:t>2021-09</w:t>
            </w:r>
          </w:p>
        </w:tc>
        <w:tc>
          <w:tcPr>
            <w:tcW w:w="800" w:type="dxa"/>
            <w:shd w:val="solid" w:color="FFFFFF" w:fill="auto"/>
          </w:tcPr>
          <w:p w14:paraId="0A968603" w14:textId="56CEF3EA" w:rsidR="007C344D" w:rsidRPr="00873B6C" w:rsidRDefault="007C344D" w:rsidP="000040FE">
            <w:pPr>
              <w:pStyle w:val="TAL"/>
              <w:rPr>
                <w:sz w:val="16"/>
                <w:szCs w:val="16"/>
              </w:rPr>
            </w:pPr>
            <w:r w:rsidRPr="00873B6C">
              <w:rPr>
                <w:sz w:val="16"/>
                <w:szCs w:val="16"/>
              </w:rPr>
              <w:t>SP#93E</w:t>
            </w:r>
          </w:p>
        </w:tc>
        <w:tc>
          <w:tcPr>
            <w:tcW w:w="1094" w:type="dxa"/>
            <w:shd w:val="solid" w:color="FFFFFF" w:fill="auto"/>
          </w:tcPr>
          <w:p w14:paraId="4B9FCAC0" w14:textId="2E37844D" w:rsidR="007C344D" w:rsidRPr="00873B6C" w:rsidRDefault="007C344D" w:rsidP="000040FE">
            <w:pPr>
              <w:pStyle w:val="TAC"/>
              <w:rPr>
                <w:sz w:val="16"/>
                <w:szCs w:val="16"/>
              </w:rPr>
            </w:pPr>
            <w:r w:rsidRPr="00873B6C">
              <w:rPr>
                <w:sz w:val="16"/>
                <w:szCs w:val="16"/>
              </w:rPr>
              <w:t>SP-210920</w:t>
            </w:r>
          </w:p>
        </w:tc>
        <w:tc>
          <w:tcPr>
            <w:tcW w:w="567" w:type="dxa"/>
            <w:shd w:val="solid" w:color="FFFFFF" w:fill="auto"/>
          </w:tcPr>
          <w:p w14:paraId="4C32014A" w14:textId="41FC6603" w:rsidR="007C344D" w:rsidRPr="00873B6C" w:rsidRDefault="007C344D" w:rsidP="000040FE">
            <w:pPr>
              <w:pStyle w:val="TAL"/>
              <w:rPr>
                <w:sz w:val="16"/>
                <w:szCs w:val="16"/>
              </w:rPr>
            </w:pPr>
            <w:r w:rsidRPr="00873B6C">
              <w:rPr>
                <w:sz w:val="16"/>
                <w:szCs w:val="16"/>
              </w:rPr>
              <w:t>3026</w:t>
            </w:r>
          </w:p>
        </w:tc>
        <w:tc>
          <w:tcPr>
            <w:tcW w:w="425" w:type="dxa"/>
            <w:shd w:val="solid" w:color="FFFFFF" w:fill="auto"/>
          </w:tcPr>
          <w:p w14:paraId="3568500C" w14:textId="25E18F80" w:rsidR="007C344D" w:rsidRPr="00873B6C" w:rsidRDefault="007C344D" w:rsidP="000040FE">
            <w:pPr>
              <w:pStyle w:val="TAL"/>
              <w:rPr>
                <w:sz w:val="16"/>
                <w:szCs w:val="16"/>
              </w:rPr>
            </w:pPr>
            <w:r w:rsidRPr="00873B6C">
              <w:rPr>
                <w:sz w:val="16"/>
                <w:szCs w:val="16"/>
              </w:rPr>
              <w:t>-</w:t>
            </w:r>
          </w:p>
        </w:tc>
        <w:tc>
          <w:tcPr>
            <w:tcW w:w="425" w:type="dxa"/>
            <w:shd w:val="solid" w:color="FFFFFF" w:fill="auto"/>
          </w:tcPr>
          <w:p w14:paraId="7DD39FDE" w14:textId="2AE41DF0" w:rsidR="007C344D" w:rsidRPr="00873B6C" w:rsidRDefault="007C344D" w:rsidP="000040FE">
            <w:pPr>
              <w:pStyle w:val="TAL"/>
              <w:rPr>
                <w:sz w:val="16"/>
                <w:szCs w:val="16"/>
              </w:rPr>
            </w:pPr>
            <w:r w:rsidRPr="00873B6C">
              <w:rPr>
                <w:sz w:val="16"/>
                <w:szCs w:val="16"/>
              </w:rPr>
              <w:t>F</w:t>
            </w:r>
          </w:p>
        </w:tc>
        <w:tc>
          <w:tcPr>
            <w:tcW w:w="4820" w:type="dxa"/>
            <w:shd w:val="solid" w:color="FFFFFF" w:fill="auto"/>
          </w:tcPr>
          <w:p w14:paraId="3AA8FABD" w14:textId="70657D7A" w:rsidR="007C344D" w:rsidRPr="00873B6C" w:rsidRDefault="007C344D" w:rsidP="000040FE">
            <w:pPr>
              <w:pStyle w:val="TAL"/>
              <w:rPr>
                <w:sz w:val="16"/>
                <w:szCs w:val="16"/>
              </w:rPr>
            </w:pPr>
            <w:r w:rsidRPr="00873B6C">
              <w:rPr>
                <w:sz w:val="16"/>
                <w:szCs w:val="16"/>
              </w:rPr>
              <w:t>AF Request for Simultaneous Connectivity over Source and Target PSA at Edge Relocation</w:t>
            </w:r>
          </w:p>
        </w:tc>
        <w:tc>
          <w:tcPr>
            <w:tcW w:w="708" w:type="dxa"/>
            <w:shd w:val="solid" w:color="FFFFFF" w:fill="auto"/>
          </w:tcPr>
          <w:p w14:paraId="7FA7FE7F" w14:textId="351E6D82" w:rsidR="007C344D" w:rsidRPr="00873B6C" w:rsidRDefault="007C344D" w:rsidP="000040FE">
            <w:pPr>
              <w:pStyle w:val="TAC"/>
              <w:rPr>
                <w:sz w:val="16"/>
                <w:szCs w:val="16"/>
              </w:rPr>
            </w:pPr>
            <w:r w:rsidRPr="00873B6C">
              <w:rPr>
                <w:sz w:val="16"/>
                <w:szCs w:val="16"/>
              </w:rPr>
              <w:t>17.2.0</w:t>
            </w:r>
          </w:p>
        </w:tc>
      </w:tr>
      <w:tr w:rsidR="00C25C3D" w:rsidRPr="00873B6C" w14:paraId="27D727D4" w14:textId="77777777" w:rsidTr="009D14FB">
        <w:tc>
          <w:tcPr>
            <w:tcW w:w="800" w:type="dxa"/>
            <w:shd w:val="solid" w:color="FFFFFF" w:fill="auto"/>
          </w:tcPr>
          <w:p w14:paraId="6D8DD329" w14:textId="041FAFEF"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74EAB3AB" w14:textId="4EAD14FA"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6AFB96FD" w14:textId="47149063" w:rsidR="00C25C3D" w:rsidRPr="00873B6C" w:rsidRDefault="00C25C3D" w:rsidP="000040FE">
            <w:pPr>
              <w:pStyle w:val="TAC"/>
              <w:rPr>
                <w:sz w:val="16"/>
                <w:szCs w:val="16"/>
              </w:rPr>
            </w:pPr>
            <w:r w:rsidRPr="00873B6C">
              <w:rPr>
                <w:sz w:val="16"/>
                <w:szCs w:val="16"/>
              </w:rPr>
              <w:t>SP-210918</w:t>
            </w:r>
          </w:p>
        </w:tc>
        <w:tc>
          <w:tcPr>
            <w:tcW w:w="567" w:type="dxa"/>
            <w:shd w:val="solid" w:color="FFFFFF" w:fill="auto"/>
          </w:tcPr>
          <w:p w14:paraId="50DC4917" w14:textId="203A3963" w:rsidR="00C25C3D" w:rsidRPr="00873B6C" w:rsidRDefault="00C25C3D" w:rsidP="000040FE">
            <w:pPr>
              <w:pStyle w:val="TAL"/>
              <w:rPr>
                <w:sz w:val="16"/>
                <w:szCs w:val="16"/>
              </w:rPr>
            </w:pPr>
            <w:r w:rsidRPr="00873B6C">
              <w:rPr>
                <w:sz w:val="16"/>
                <w:szCs w:val="16"/>
              </w:rPr>
              <w:t>3027</w:t>
            </w:r>
          </w:p>
        </w:tc>
        <w:tc>
          <w:tcPr>
            <w:tcW w:w="425" w:type="dxa"/>
            <w:shd w:val="solid" w:color="FFFFFF" w:fill="auto"/>
          </w:tcPr>
          <w:p w14:paraId="2DECE7D3" w14:textId="5C993734"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748655C7" w14:textId="5D7D13E1" w:rsidR="00C25C3D" w:rsidRPr="00873B6C" w:rsidRDefault="00C25C3D" w:rsidP="000040FE">
            <w:pPr>
              <w:pStyle w:val="TAL"/>
              <w:rPr>
                <w:sz w:val="16"/>
                <w:szCs w:val="16"/>
              </w:rPr>
            </w:pPr>
            <w:r w:rsidRPr="00873B6C">
              <w:rPr>
                <w:sz w:val="16"/>
                <w:szCs w:val="16"/>
              </w:rPr>
              <w:t>F</w:t>
            </w:r>
          </w:p>
        </w:tc>
        <w:tc>
          <w:tcPr>
            <w:tcW w:w="4820" w:type="dxa"/>
            <w:shd w:val="solid" w:color="FFFFFF" w:fill="auto"/>
          </w:tcPr>
          <w:p w14:paraId="6095A21C" w14:textId="52247C89" w:rsidR="00C25C3D" w:rsidRPr="00873B6C" w:rsidRDefault="00C25C3D" w:rsidP="000040FE">
            <w:pPr>
              <w:pStyle w:val="TAL"/>
              <w:rPr>
                <w:sz w:val="16"/>
                <w:szCs w:val="16"/>
              </w:rPr>
            </w:pPr>
            <w:r w:rsidRPr="00873B6C">
              <w:rPr>
                <w:sz w:val="16"/>
                <w:szCs w:val="16"/>
              </w:rPr>
              <w:t xml:space="preserve">UE-assistance operation on traffic aggregate granularity </w:t>
            </w:r>
          </w:p>
        </w:tc>
        <w:tc>
          <w:tcPr>
            <w:tcW w:w="708" w:type="dxa"/>
            <w:shd w:val="solid" w:color="FFFFFF" w:fill="auto"/>
          </w:tcPr>
          <w:p w14:paraId="6778FEE3" w14:textId="6FADD90F" w:rsidR="00C25C3D" w:rsidRPr="00873B6C" w:rsidRDefault="00C25C3D" w:rsidP="000040FE">
            <w:pPr>
              <w:pStyle w:val="TAC"/>
              <w:rPr>
                <w:sz w:val="16"/>
                <w:szCs w:val="16"/>
              </w:rPr>
            </w:pPr>
            <w:r w:rsidRPr="00873B6C">
              <w:rPr>
                <w:sz w:val="16"/>
                <w:szCs w:val="16"/>
              </w:rPr>
              <w:t>17.2.0</w:t>
            </w:r>
          </w:p>
        </w:tc>
      </w:tr>
      <w:tr w:rsidR="00C25C3D" w:rsidRPr="00873B6C" w14:paraId="63498D19" w14:textId="77777777" w:rsidTr="009D14FB">
        <w:tc>
          <w:tcPr>
            <w:tcW w:w="800" w:type="dxa"/>
            <w:shd w:val="solid" w:color="FFFFFF" w:fill="auto"/>
          </w:tcPr>
          <w:p w14:paraId="6ACB52A3" w14:textId="17B6DF7C"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152E213E" w14:textId="5DA864FF"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25BDFBE6" w14:textId="2F657D99" w:rsidR="00C25C3D" w:rsidRPr="00873B6C" w:rsidRDefault="00C25C3D" w:rsidP="000040FE">
            <w:pPr>
              <w:pStyle w:val="TAC"/>
              <w:rPr>
                <w:sz w:val="16"/>
                <w:szCs w:val="16"/>
              </w:rPr>
            </w:pPr>
            <w:r w:rsidRPr="00873B6C">
              <w:rPr>
                <w:sz w:val="16"/>
                <w:szCs w:val="16"/>
              </w:rPr>
              <w:t>SP-210916</w:t>
            </w:r>
          </w:p>
        </w:tc>
        <w:tc>
          <w:tcPr>
            <w:tcW w:w="567" w:type="dxa"/>
            <w:shd w:val="solid" w:color="FFFFFF" w:fill="auto"/>
          </w:tcPr>
          <w:p w14:paraId="04757F20" w14:textId="61DE6340" w:rsidR="00C25C3D" w:rsidRPr="00873B6C" w:rsidRDefault="00C25C3D" w:rsidP="000040FE">
            <w:pPr>
              <w:pStyle w:val="TAL"/>
              <w:rPr>
                <w:sz w:val="16"/>
                <w:szCs w:val="16"/>
              </w:rPr>
            </w:pPr>
            <w:r w:rsidRPr="00873B6C">
              <w:rPr>
                <w:sz w:val="16"/>
                <w:szCs w:val="16"/>
              </w:rPr>
              <w:t>3029</w:t>
            </w:r>
          </w:p>
        </w:tc>
        <w:tc>
          <w:tcPr>
            <w:tcW w:w="425" w:type="dxa"/>
            <w:shd w:val="solid" w:color="FFFFFF" w:fill="auto"/>
          </w:tcPr>
          <w:p w14:paraId="2A9A9690" w14:textId="2F5056BF"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078EE509" w14:textId="3F214F97" w:rsidR="00C25C3D" w:rsidRPr="00873B6C" w:rsidRDefault="00C25C3D" w:rsidP="000040FE">
            <w:pPr>
              <w:pStyle w:val="TAL"/>
              <w:rPr>
                <w:sz w:val="16"/>
                <w:szCs w:val="16"/>
              </w:rPr>
            </w:pPr>
            <w:r w:rsidRPr="00873B6C">
              <w:rPr>
                <w:sz w:val="16"/>
                <w:szCs w:val="16"/>
              </w:rPr>
              <w:t>C</w:t>
            </w:r>
          </w:p>
        </w:tc>
        <w:tc>
          <w:tcPr>
            <w:tcW w:w="4820" w:type="dxa"/>
            <w:shd w:val="solid" w:color="FFFFFF" w:fill="auto"/>
          </w:tcPr>
          <w:p w14:paraId="0FF55221" w14:textId="538CE3C0" w:rsidR="00C25C3D" w:rsidRPr="00873B6C" w:rsidRDefault="00C25C3D" w:rsidP="000040FE">
            <w:pPr>
              <w:pStyle w:val="TAL"/>
              <w:rPr>
                <w:sz w:val="16"/>
                <w:szCs w:val="16"/>
              </w:rPr>
            </w:pPr>
            <w:r w:rsidRPr="00873B6C">
              <w:rPr>
                <w:sz w:val="16"/>
                <w:szCs w:val="16"/>
              </w:rPr>
              <w:t>PDB value for 5QI 10</w:t>
            </w:r>
          </w:p>
        </w:tc>
        <w:tc>
          <w:tcPr>
            <w:tcW w:w="708" w:type="dxa"/>
            <w:shd w:val="solid" w:color="FFFFFF" w:fill="auto"/>
          </w:tcPr>
          <w:p w14:paraId="515C76E2" w14:textId="2C852440" w:rsidR="00C25C3D" w:rsidRPr="00873B6C" w:rsidRDefault="00C25C3D" w:rsidP="000040FE">
            <w:pPr>
              <w:pStyle w:val="TAC"/>
              <w:rPr>
                <w:sz w:val="16"/>
                <w:szCs w:val="16"/>
              </w:rPr>
            </w:pPr>
            <w:r w:rsidRPr="00873B6C">
              <w:rPr>
                <w:sz w:val="16"/>
                <w:szCs w:val="16"/>
              </w:rPr>
              <w:t>17.2.0</w:t>
            </w:r>
          </w:p>
        </w:tc>
      </w:tr>
      <w:tr w:rsidR="00C25C3D" w:rsidRPr="00873B6C" w14:paraId="6B81A024" w14:textId="77777777" w:rsidTr="009D14FB">
        <w:tc>
          <w:tcPr>
            <w:tcW w:w="800" w:type="dxa"/>
            <w:shd w:val="solid" w:color="FFFFFF" w:fill="auto"/>
          </w:tcPr>
          <w:p w14:paraId="2EACD3BE" w14:textId="66E979F7"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3743E6C2" w14:textId="25F8E05C"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42F865EF" w14:textId="0B803698" w:rsidR="00C25C3D" w:rsidRPr="00873B6C" w:rsidRDefault="00C25C3D" w:rsidP="000040FE">
            <w:pPr>
              <w:pStyle w:val="TAC"/>
              <w:rPr>
                <w:sz w:val="16"/>
                <w:szCs w:val="16"/>
              </w:rPr>
            </w:pPr>
            <w:r w:rsidRPr="00873B6C">
              <w:rPr>
                <w:sz w:val="16"/>
                <w:szCs w:val="16"/>
              </w:rPr>
              <w:t>SP-210906</w:t>
            </w:r>
          </w:p>
        </w:tc>
        <w:tc>
          <w:tcPr>
            <w:tcW w:w="567" w:type="dxa"/>
            <w:shd w:val="solid" w:color="FFFFFF" w:fill="auto"/>
          </w:tcPr>
          <w:p w14:paraId="4E6B6A46" w14:textId="5E98CB4F" w:rsidR="00C25C3D" w:rsidRPr="00873B6C" w:rsidRDefault="00C25C3D" w:rsidP="000040FE">
            <w:pPr>
              <w:pStyle w:val="TAL"/>
              <w:rPr>
                <w:sz w:val="16"/>
                <w:szCs w:val="16"/>
              </w:rPr>
            </w:pPr>
            <w:r w:rsidRPr="00873B6C">
              <w:rPr>
                <w:sz w:val="16"/>
                <w:szCs w:val="16"/>
              </w:rPr>
              <w:t>3033</w:t>
            </w:r>
          </w:p>
        </w:tc>
        <w:tc>
          <w:tcPr>
            <w:tcW w:w="425" w:type="dxa"/>
            <w:shd w:val="solid" w:color="FFFFFF" w:fill="auto"/>
          </w:tcPr>
          <w:p w14:paraId="09D8E137" w14:textId="25AB3755"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6044B007" w14:textId="424E4233" w:rsidR="00C25C3D" w:rsidRPr="00873B6C" w:rsidRDefault="00C25C3D" w:rsidP="000040FE">
            <w:pPr>
              <w:pStyle w:val="TAL"/>
              <w:rPr>
                <w:sz w:val="16"/>
                <w:szCs w:val="16"/>
              </w:rPr>
            </w:pPr>
            <w:r w:rsidRPr="00873B6C">
              <w:rPr>
                <w:sz w:val="16"/>
                <w:szCs w:val="16"/>
              </w:rPr>
              <w:t>F</w:t>
            </w:r>
          </w:p>
        </w:tc>
        <w:tc>
          <w:tcPr>
            <w:tcW w:w="4820" w:type="dxa"/>
            <w:shd w:val="solid" w:color="FFFFFF" w:fill="auto"/>
          </w:tcPr>
          <w:p w14:paraId="4621ED76" w14:textId="0F896A0A" w:rsidR="00C25C3D" w:rsidRPr="00873B6C" w:rsidRDefault="00C25C3D" w:rsidP="000040FE">
            <w:pPr>
              <w:pStyle w:val="TAL"/>
              <w:rPr>
                <w:sz w:val="16"/>
                <w:szCs w:val="16"/>
              </w:rPr>
            </w:pPr>
            <w:r w:rsidRPr="00873B6C">
              <w:rPr>
                <w:sz w:val="16"/>
                <w:szCs w:val="16"/>
              </w:rPr>
              <w:t>ATSSS Rule ID</w:t>
            </w:r>
          </w:p>
        </w:tc>
        <w:tc>
          <w:tcPr>
            <w:tcW w:w="708" w:type="dxa"/>
            <w:shd w:val="solid" w:color="FFFFFF" w:fill="auto"/>
          </w:tcPr>
          <w:p w14:paraId="1E9F9772" w14:textId="7A1634F3" w:rsidR="00C25C3D" w:rsidRPr="00873B6C" w:rsidRDefault="00C25C3D" w:rsidP="000040FE">
            <w:pPr>
              <w:pStyle w:val="TAC"/>
              <w:rPr>
                <w:sz w:val="16"/>
                <w:szCs w:val="16"/>
              </w:rPr>
            </w:pPr>
            <w:r w:rsidRPr="00873B6C">
              <w:rPr>
                <w:sz w:val="16"/>
                <w:szCs w:val="16"/>
              </w:rPr>
              <w:t>17.2.0</w:t>
            </w:r>
          </w:p>
        </w:tc>
      </w:tr>
      <w:tr w:rsidR="00C25C3D" w:rsidRPr="00873B6C" w14:paraId="15273368" w14:textId="77777777" w:rsidTr="009D14FB">
        <w:tc>
          <w:tcPr>
            <w:tcW w:w="800" w:type="dxa"/>
            <w:shd w:val="solid" w:color="FFFFFF" w:fill="auto"/>
          </w:tcPr>
          <w:p w14:paraId="29E7E75A" w14:textId="1BEBDB33"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40A32583" w14:textId="4244F2C4"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4DE2E6CF" w14:textId="0558DD80" w:rsidR="00C25C3D" w:rsidRPr="00873B6C" w:rsidRDefault="00C25C3D" w:rsidP="000040FE">
            <w:pPr>
              <w:pStyle w:val="TAC"/>
              <w:rPr>
                <w:sz w:val="16"/>
                <w:szCs w:val="16"/>
              </w:rPr>
            </w:pPr>
            <w:r w:rsidRPr="00873B6C">
              <w:rPr>
                <w:sz w:val="16"/>
                <w:szCs w:val="16"/>
              </w:rPr>
              <w:t>SP-210914</w:t>
            </w:r>
          </w:p>
        </w:tc>
        <w:tc>
          <w:tcPr>
            <w:tcW w:w="567" w:type="dxa"/>
            <w:shd w:val="solid" w:color="FFFFFF" w:fill="auto"/>
          </w:tcPr>
          <w:p w14:paraId="14BD7356" w14:textId="3F005C5C" w:rsidR="00C25C3D" w:rsidRPr="00873B6C" w:rsidRDefault="00C25C3D" w:rsidP="000040FE">
            <w:pPr>
              <w:pStyle w:val="TAL"/>
              <w:rPr>
                <w:sz w:val="16"/>
                <w:szCs w:val="16"/>
              </w:rPr>
            </w:pPr>
            <w:r w:rsidRPr="00873B6C">
              <w:rPr>
                <w:sz w:val="16"/>
                <w:szCs w:val="16"/>
              </w:rPr>
              <w:t>3034</w:t>
            </w:r>
          </w:p>
        </w:tc>
        <w:tc>
          <w:tcPr>
            <w:tcW w:w="425" w:type="dxa"/>
            <w:shd w:val="solid" w:color="FFFFFF" w:fill="auto"/>
          </w:tcPr>
          <w:p w14:paraId="42FE5F71" w14:textId="4918B8C4"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33A04A8B" w14:textId="2D0CC2C9" w:rsidR="00C25C3D" w:rsidRPr="00873B6C" w:rsidRDefault="00C25C3D" w:rsidP="000040FE">
            <w:pPr>
              <w:pStyle w:val="TAL"/>
              <w:rPr>
                <w:sz w:val="16"/>
                <w:szCs w:val="16"/>
              </w:rPr>
            </w:pPr>
            <w:r w:rsidRPr="00873B6C">
              <w:rPr>
                <w:sz w:val="16"/>
                <w:szCs w:val="16"/>
              </w:rPr>
              <w:t>F</w:t>
            </w:r>
          </w:p>
        </w:tc>
        <w:tc>
          <w:tcPr>
            <w:tcW w:w="4820" w:type="dxa"/>
            <w:shd w:val="solid" w:color="FFFFFF" w:fill="auto"/>
          </w:tcPr>
          <w:p w14:paraId="27587DD4" w14:textId="61F23DF0" w:rsidR="00C25C3D" w:rsidRPr="00873B6C" w:rsidRDefault="00C25C3D" w:rsidP="000040FE">
            <w:pPr>
              <w:pStyle w:val="TAL"/>
              <w:rPr>
                <w:sz w:val="16"/>
                <w:szCs w:val="16"/>
              </w:rPr>
            </w:pPr>
            <w:r w:rsidRPr="00873B6C">
              <w:rPr>
                <w:sz w:val="16"/>
                <w:szCs w:val="16"/>
              </w:rPr>
              <w:t>Update the naming convention for the reference points for 5G ProSe</w:t>
            </w:r>
          </w:p>
        </w:tc>
        <w:tc>
          <w:tcPr>
            <w:tcW w:w="708" w:type="dxa"/>
            <w:shd w:val="solid" w:color="FFFFFF" w:fill="auto"/>
          </w:tcPr>
          <w:p w14:paraId="08E004DC" w14:textId="7B2F953D" w:rsidR="00C25C3D" w:rsidRPr="00873B6C" w:rsidRDefault="00C25C3D" w:rsidP="000040FE">
            <w:pPr>
              <w:pStyle w:val="TAC"/>
              <w:rPr>
                <w:sz w:val="16"/>
                <w:szCs w:val="16"/>
              </w:rPr>
            </w:pPr>
            <w:r w:rsidRPr="00873B6C">
              <w:rPr>
                <w:sz w:val="16"/>
                <w:szCs w:val="16"/>
              </w:rPr>
              <w:t>17.2.0</w:t>
            </w:r>
          </w:p>
        </w:tc>
      </w:tr>
      <w:tr w:rsidR="00C25C3D" w:rsidRPr="00873B6C" w14:paraId="51FEA7EB" w14:textId="77777777" w:rsidTr="009D14FB">
        <w:tc>
          <w:tcPr>
            <w:tcW w:w="800" w:type="dxa"/>
            <w:shd w:val="solid" w:color="FFFFFF" w:fill="auto"/>
          </w:tcPr>
          <w:p w14:paraId="6B354103" w14:textId="317CB9D0"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750BF6AA" w14:textId="18F1396E"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6702CB38" w14:textId="5EFD6004" w:rsidR="00C25C3D" w:rsidRPr="00873B6C" w:rsidRDefault="00C25C3D" w:rsidP="000040FE">
            <w:pPr>
              <w:pStyle w:val="TAC"/>
              <w:rPr>
                <w:sz w:val="16"/>
                <w:szCs w:val="16"/>
              </w:rPr>
            </w:pPr>
            <w:r w:rsidRPr="00873B6C">
              <w:rPr>
                <w:sz w:val="16"/>
                <w:szCs w:val="16"/>
              </w:rPr>
              <w:t>SP-210937</w:t>
            </w:r>
          </w:p>
        </w:tc>
        <w:tc>
          <w:tcPr>
            <w:tcW w:w="567" w:type="dxa"/>
            <w:shd w:val="solid" w:color="FFFFFF" w:fill="auto"/>
          </w:tcPr>
          <w:p w14:paraId="713B2019" w14:textId="3CC0490F" w:rsidR="00C25C3D" w:rsidRPr="00873B6C" w:rsidRDefault="00C25C3D" w:rsidP="000040FE">
            <w:pPr>
              <w:pStyle w:val="TAL"/>
              <w:rPr>
                <w:sz w:val="16"/>
                <w:szCs w:val="16"/>
              </w:rPr>
            </w:pPr>
            <w:r w:rsidRPr="00873B6C">
              <w:rPr>
                <w:sz w:val="16"/>
                <w:szCs w:val="16"/>
              </w:rPr>
              <w:t>3035</w:t>
            </w:r>
          </w:p>
        </w:tc>
        <w:tc>
          <w:tcPr>
            <w:tcW w:w="425" w:type="dxa"/>
            <w:shd w:val="solid" w:color="FFFFFF" w:fill="auto"/>
          </w:tcPr>
          <w:p w14:paraId="044B497C" w14:textId="4B7EE1B2"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574ECAD3" w14:textId="2774C50A" w:rsidR="00C25C3D" w:rsidRPr="00873B6C" w:rsidRDefault="00C25C3D" w:rsidP="000040FE">
            <w:pPr>
              <w:pStyle w:val="TAL"/>
              <w:rPr>
                <w:sz w:val="16"/>
                <w:szCs w:val="16"/>
              </w:rPr>
            </w:pPr>
            <w:r w:rsidRPr="00873B6C">
              <w:rPr>
                <w:sz w:val="16"/>
                <w:szCs w:val="16"/>
              </w:rPr>
              <w:t>F</w:t>
            </w:r>
          </w:p>
        </w:tc>
        <w:tc>
          <w:tcPr>
            <w:tcW w:w="4820" w:type="dxa"/>
            <w:shd w:val="solid" w:color="FFFFFF" w:fill="auto"/>
          </w:tcPr>
          <w:p w14:paraId="04C7E403" w14:textId="372D295C" w:rsidR="00C25C3D" w:rsidRPr="00873B6C" w:rsidRDefault="00C25C3D" w:rsidP="000040FE">
            <w:pPr>
              <w:pStyle w:val="TAL"/>
              <w:rPr>
                <w:sz w:val="16"/>
                <w:szCs w:val="16"/>
              </w:rPr>
            </w:pPr>
            <w:r w:rsidRPr="00873B6C">
              <w:rPr>
                <w:sz w:val="16"/>
                <w:szCs w:val="16"/>
              </w:rPr>
              <w:t>5G URLLC Redundant PDU Session correction for NGAP parameters</w:t>
            </w:r>
          </w:p>
        </w:tc>
        <w:tc>
          <w:tcPr>
            <w:tcW w:w="708" w:type="dxa"/>
            <w:shd w:val="solid" w:color="FFFFFF" w:fill="auto"/>
          </w:tcPr>
          <w:p w14:paraId="0382F506" w14:textId="47662472" w:rsidR="00C25C3D" w:rsidRPr="00873B6C" w:rsidRDefault="00C25C3D" w:rsidP="000040FE">
            <w:pPr>
              <w:pStyle w:val="TAC"/>
              <w:rPr>
                <w:sz w:val="16"/>
                <w:szCs w:val="16"/>
              </w:rPr>
            </w:pPr>
            <w:r w:rsidRPr="00873B6C">
              <w:rPr>
                <w:sz w:val="16"/>
                <w:szCs w:val="16"/>
              </w:rPr>
              <w:t>17.2.0</w:t>
            </w:r>
          </w:p>
        </w:tc>
      </w:tr>
      <w:tr w:rsidR="007B3699" w:rsidRPr="00873B6C" w14:paraId="25EB3F6E" w14:textId="77777777" w:rsidTr="009D14FB">
        <w:tc>
          <w:tcPr>
            <w:tcW w:w="800" w:type="dxa"/>
            <w:shd w:val="solid" w:color="FFFFFF" w:fill="auto"/>
          </w:tcPr>
          <w:p w14:paraId="39947553" w14:textId="4CED20AC" w:rsidR="007B3699" w:rsidRPr="00873B6C" w:rsidRDefault="007B3699" w:rsidP="000040FE">
            <w:pPr>
              <w:pStyle w:val="TAC"/>
              <w:rPr>
                <w:sz w:val="16"/>
                <w:szCs w:val="16"/>
              </w:rPr>
            </w:pPr>
            <w:r w:rsidRPr="00873B6C">
              <w:rPr>
                <w:sz w:val="16"/>
                <w:szCs w:val="16"/>
              </w:rPr>
              <w:t>2021-09</w:t>
            </w:r>
          </w:p>
        </w:tc>
        <w:tc>
          <w:tcPr>
            <w:tcW w:w="800" w:type="dxa"/>
            <w:shd w:val="solid" w:color="FFFFFF" w:fill="auto"/>
          </w:tcPr>
          <w:p w14:paraId="0F65BCD5" w14:textId="400B4BCA" w:rsidR="007B3699" w:rsidRPr="00873B6C" w:rsidRDefault="007B3699" w:rsidP="000040FE">
            <w:pPr>
              <w:pStyle w:val="TAL"/>
              <w:rPr>
                <w:sz w:val="16"/>
                <w:szCs w:val="16"/>
              </w:rPr>
            </w:pPr>
            <w:r w:rsidRPr="00873B6C">
              <w:rPr>
                <w:sz w:val="16"/>
                <w:szCs w:val="16"/>
              </w:rPr>
              <w:t>SP#93E</w:t>
            </w:r>
          </w:p>
        </w:tc>
        <w:tc>
          <w:tcPr>
            <w:tcW w:w="1094" w:type="dxa"/>
            <w:shd w:val="solid" w:color="FFFFFF" w:fill="auto"/>
          </w:tcPr>
          <w:p w14:paraId="4D09FC63" w14:textId="60A40839" w:rsidR="007B3699" w:rsidRPr="00873B6C" w:rsidRDefault="007B3699" w:rsidP="000040FE">
            <w:pPr>
              <w:pStyle w:val="TAC"/>
              <w:rPr>
                <w:sz w:val="16"/>
                <w:szCs w:val="16"/>
              </w:rPr>
            </w:pPr>
            <w:r w:rsidRPr="00873B6C">
              <w:rPr>
                <w:sz w:val="16"/>
                <w:szCs w:val="16"/>
              </w:rPr>
              <w:t>SP-210923</w:t>
            </w:r>
          </w:p>
        </w:tc>
        <w:tc>
          <w:tcPr>
            <w:tcW w:w="567" w:type="dxa"/>
            <w:shd w:val="solid" w:color="FFFFFF" w:fill="auto"/>
          </w:tcPr>
          <w:p w14:paraId="132446F9" w14:textId="67E0BABA" w:rsidR="007B3699" w:rsidRPr="00873B6C" w:rsidRDefault="007B3699" w:rsidP="000040FE">
            <w:pPr>
              <w:pStyle w:val="TAL"/>
              <w:rPr>
                <w:sz w:val="16"/>
                <w:szCs w:val="16"/>
              </w:rPr>
            </w:pPr>
            <w:r w:rsidRPr="00873B6C">
              <w:rPr>
                <w:sz w:val="16"/>
                <w:szCs w:val="16"/>
              </w:rPr>
              <w:t>3036</w:t>
            </w:r>
          </w:p>
        </w:tc>
        <w:tc>
          <w:tcPr>
            <w:tcW w:w="425" w:type="dxa"/>
            <w:shd w:val="solid" w:color="FFFFFF" w:fill="auto"/>
          </w:tcPr>
          <w:p w14:paraId="71C36C3C" w14:textId="43A8E6BD" w:rsidR="007B3699" w:rsidRPr="00873B6C" w:rsidRDefault="007B3699" w:rsidP="000040FE">
            <w:pPr>
              <w:pStyle w:val="TAL"/>
              <w:rPr>
                <w:sz w:val="16"/>
                <w:szCs w:val="16"/>
              </w:rPr>
            </w:pPr>
            <w:r w:rsidRPr="00873B6C">
              <w:rPr>
                <w:sz w:val="16"/>
                <w:szCs w:val="16"/>
              </w:rPr>
              <w:t>1</w:t>
            </w:r>
          </w:p>
        </w:tc>
        <w:tc>
          <w:tcPr>
            <w:tcW w:w="425" w:type="dxa"/>
            <w:shd w:val="solid" w:color="FFFFFF" w:fill="auto"/>
          </w:tcPr>
          <w:p w14:paraId="711C3952" w14:textId="00AE762F" w:rsidR="007B3699" w:rsidRPr="00873B6C" w:rsidRDefault="007B3699" w:rsidP="000040FE">
            <w:pPr>
              <w:pStyle w:val="TAL"/>
              <w:rPr>
                <w:sz w:val="16"/>
                <w:szCs w:val="16"/>
              </w:rPr>
            </w:pPr>
            <w:r w:rsidRPr="00873B6C">
              <w:rPr>
                <w:sz w:val="16"/>
                <w:szCs w:val="16"/>
              </w:rPr>
              <w:t>F</w:t>
            </w:r>
          </w:p>
        </w:tc>
        <w:tc>
          <w:tcPr>
            <w:tcW w:w="4820" w:type="dxa"/>
            <w:shd w:val="solid" w:color="FFFFFF" w:fill="auto"/>
          </w:tcPr>
          <w:p w14:paraId="62D004FC" w14:textId="416F29D1" w:rsidR="007B3699" w:rsidRPr="00873B6C" w:rsidRDefault="007B3699" w:rsidP="000040FE">
            <w:pPr>
              <w:pStyle w:val="TAL"/>
              <w:rPr>
                <w:sz w:val="16"/>
                <w:szCs w:val="16"/>
              </w:rPr>
            </w:pPr>
            <w:r w:rsidRPr="00873B6C">
              <w:rPr>
                <w:sz w:val="16"/>
                <w:szCs w:val="16"/>
              </w:rPr>
              <w:t>GIN Encoding</w:t>
            </w:r>
          </w:p>
        </w:tc>
        <w:tc>
          <w:tcPr>
            <w:tcW w:w="708" w:type="dxa"/>
            <w:shd w:val="solid" w:color="FFFFFF" w:fill="auto"/>
          </w:tcPr>
          <w:p w14:paraId="615C1DAC" w14:textId="7B8E5266" w:rsidR="007B3699" w:rsidRPr="00873B6C" w:rsidRDefault="007B3699" w:rsidP="000040FE">
            <w:pPr>
              <w:pStyle w:val="TAC"/>
              <w:rPr>
                <w:sz w:val="16"/>
                <w:szCs w:val="16"/>
              </w:rPr>
            </w:pPr>
            <w:r w:rsidRPr="00873B6C">
              <w:rPr>
                <w:sz w:val="16"/>
                <w:szCs w:val="16"/>
              </w:rPr>
              <w:t>17.2.0</w:t>
            </w:r>
          </w:p>
        </w:tc>
      </w:tr>
      <w:tr w:rsidR="007B3699" w:rsidRPr="00873B6C" w14:paraId="20FDD3A0" w14:textId="77777777" w:rsidTr="009D14FB">
        <w:tc>
          <w:tcPr>
            <w:tcW w:w="800" w:type="dxa"/>
            <w:shd w:val="solid" w:color="FFFFFF" w:fill="auto"/>
          </w:tcPr>
          <w:p w14:paraId="728D1F39" w14:textId="44AC65D6" w:rsidR="007B3699" w:rsidRPr="00873B6C" w:rsidRDefault="007B3699" w:rsidP="000040FE">
            <w:pPr>
              <w:pStyle w:val="TAC"/>
              <w:rPr>
                <w:sz w:val="16"/>
                <w:szCs w:val="16"/>
              </w:rPr>
            </w:pPr>
            <w:r w:rsidRPr="00873B6C">
              <w:rPr>
                <w:sz w:val="16"/>
                <w:szCs w:val="16"/>
              </w:rPr>
              <w:t>2021-09</w:t>
            </w:r>
          </w:p>
        </w:tc>
        <w:tc>
          <w:tcPr>
            <w:tcW w:w="800" w:type="dxa"/>
            <w:shd w:val="solid" w:color="FFFFFF" w:fill="auto"/>
          </w:tcPr>
          <w:p w14:paraId="2AF3D2B5" w14:textId="24CB8BE0" w:rsidR="007B3699" w:rsidRPr="00873B6C" w:rsidRDefault="007B3699" w:rsidP="000040FE">
            <w:pPr>
              <w:pStyle w:val="TAL"/>
              <w:rPr>
                <w:sz w:val="16"/>
                <w:szCs w:val="16"/>
              </w:rPr>
            </w:pPr>
            <w:r w:rsidRPr="00873B6C">
              <w:rPr>
                <w:sz w:val="16"/>
                <w:szCs w:val="16"/>
              </w:rPr>
              <w:t>SP#93E</w:t>
            </w:r>
          </w:p>
        </w:tc>
        <w:tc>
          <w:tcPr>
            <w:tcW w:w="1094" w:type="dxa"/>
            <w:shd w:val="solid" w:color="FFFFFF" w:fill="auto"/>
          </w:tcPr>
          <w:p w14:paraId="66E72D1D" w14:textId="65CDDB42" w:rsidR="007B3699" w:rsidRPr="00873B6C" w:rsidRDefault="007B3699" w:rsidP="000040FE">
            <w:pPr>
              <w:pStyle w:val="TAC"/>
              <w:rPr>
                <w:sz w:val="16"/>
                <w:szCs w:val="16"/>
              </w:rPr>
            </w:pPr>
            <w:r w:rsidRPr="00873B6C">
              <w:rPr>
                <w:sz w:val="16"/>
                <w:szCs w:val="16"/>
              </w:rPr>
              <w:t>SP-210929</w:t>
            </w:r>
          </w:p>
        </w:tc>
        <w:tc>
          <w:tcPr>
            <w:tcW w:w="567" w:type="dxa"/>
            <w:shd w:val="solid" w:color="FFFFFF" w:fill="auto"/>
          </w:tcPr>
          <w:p w14:paraId="4DBA96B0" w14:textId="78CE5EC6" w:rsidR="007B3699" w:rsidRPr="00873B6C" w:rsidRDefault="007B3699" w:rsidP="000040FE">
            <w:pPr>
              <w:pStyle w:val="TAL"/>
              <w:rPr>
                <w:sz w:val="16"/>
                <w:szCs w:val="16"/>
              </w:rPr>
            </w:pPr>
            <w:r w:rsidRPr="00873B6C">
              <w:rPr>
                <w:sz w:val="16"/>
                <w:szCs w:val="16"/>
              </w:rPr>
              <w:t>3038</w:t>
            </w:r>
          </w:p>
        </w:tc>
        <w:tc>
          <w:tcPr>
            <w:tcW w:w="425" w:type="dxa"/>
            <w:shd w:val="solid" w:color="FFFFFF" w:fill="auto"/>
          </w:tcPr>
          <w:p w14:paraId="0A33C006" w14:textId="2532236A" w:rsidR="007B3699" w:rsidRPr="00873B6C" w:rsidRDefault="007B3699" w:rsidP="000040FE">
            <w:pPr>
              <w:pStyle w:val="TAL"/>
              <w:rPr>
                <w:sz w:val="16"/>
                <w:szCs w:val="16"/>
              </w:rPr>
            </w:pPr>
            <w:r w:rsidRPr="00873B6C">
              <w:rPr>
                <w:sz w:val="16"/>
                <w:szCs w:val="16"/>
              </w:rPr>
              <w:t>1</w:t>
            </w:r>
          </w:p>
        </w:tc>
        <w:tc>
          <w:tcPr>
            <w:tcW w:w="425" w:type="dxa"/>
            <w:shd w:val="solid" w:color="FFFFFF" w:fill="auto"/>
          </w:tcPr>
          <w:p w14:paraId="7E5A50BC" w14:textId="0C569E23" w:rsidR="007B3699" w:rsidRPr="00873B6C" w:rsidRDefault="007B3699" w:rsidP="000040FE">
            <w:pPr>
              <w:pStyle w:val="TAL"/>
              <w:rPr>
                <w:sz w:val="16"/>
                <w:szCs w:val="16"/>
              </w:rPr>
            </w:pPr>
            <w:r w:rsidRPr="00873B6C">
              <w:rPr>
                <w:sz w:val="16"/>
                <w:szCs w:val="16"/>
              </w:rPr>
              <w:t>F</w:t>
            </w:r>
          </w:p>
        </w:tc>
        <w:tc>
          <w:tcPr>
            <w:tcW w:w="4820" w:type="dxa"/>
            <w:shd w:val="solid" w:color="FFFFFF" w:fill="auto"/>
          </w:tcPr>
          <w:p w14:paraId="69D84317" w14:textId="22605C9E" w:rsidR="007B3699" w:rsidRPr="00873B6C" w:rsidRDefault="007B3699" w:rsidP="000040FE">
            <w:pPr>
              <w:pStyle w:val="TAL"/>
              <w:rPr>
                <w:sz w:val="16"/>
                <w:szCs w:val="16"/>
              </w:rPr>
            </w:pPr>
            <w:r w:rsidRPr="00873B6C">
              <w:rPr>
                <w:sz w:val="16"/>
                <w:szCs w:val="16"/>
              </w:rPr>
              <w:t>TSN AF functional description and reference point</w:t>
            </w:r>
          </w:p>
        </w:tc>
        <w:tc>
          <w:tcPr>
            <w:tcW w:w="708" w:type="dxa"/>
            <w:shd w:val="solid" w:color="FFFFFF" w:fill="auto"/>
          </w:tcPr>
          <w:p w14:paraId="2892C0DE" w14:textId="260B0ED0" w:rsidR="007B3699" w:rsidRPr="00873B6C" w:rsidRDefault="007B3699" w:rsidP="000040FE">
            <w:pPr>
              <w:pStyle w:val="TAC"/>
              <w:rPr>
                <w:sz w:val="16"/>
                <w:szCs w:val="16"/>
              </w:rPr>
            </w:pPr>
            <w:r w:rsidRPr="00873B6C">
              <w:rPr>
                <w:sz w:val="16"/>
                <w:szCs w:val="16"/>
              </w:rPr>
              <w:t>17.2.0</w:t>
            </w:r>
          </w:p>
        </w:tc>
      </w:tr>
      <w:tr w:rsidR="007B3699" w:rsidRPr="00873B6C" w14:paraId="37BFB572" w14:textId="77777777" w:rsidTr="009D14FB">
        <w:tc>
          <w:tcPr>
            <w:tcW w:w="800" w:type="dxa"/>
            <w:shd w:val="solid" w:color="FFFFFF" w:fill="auto"/>
          </w:tcPr>
          <w:p w14:paraId="0A217DFE" w14:textId="50A0B905" w:rsidR="007B3699" w:rsidRPr="00873B6C" w:rsidRDefault="007B3699" w:rsidP="000040FE">
            <w:pPr>
              <w:pStyle w:val="TAC"/>
              <w:rPr>
                <w:sz w:val="16"/>
                <w:szCs w:val="16"/>
              </w:rPr>
            </w:pPr>
            <w:r w:rsidRPr="00873B6C">
              <w:rPr>
                <w:sz w:val="16"/>
                <w:szCs w:val="16"/>
              </w:rPr>
              <w:t>2021-09</w:t>
            </w:r>
          </w:p>
        </w:tc>
        <w:tc>
          <w:tcPr>
            <w:tcW w:w="800" w:type="dxa"/>
            <w:shd w:val="solid" w:color="FFFFFF" w:fill="auto"/>
          </w:tcPr>
          <w:p w14:paraId="41EB27F4" w14:textId="40E6D027" w:rsidR="007B3699" w:rsidRPr="00873B6C" w:rsidRDefault="007B3699" w:rsidP="000040FE">
            <w:pPr>
              <w:pStyle w:val="TAL"/>
              <w:rPr>
                <w:sz w:val="16"/>
                <w:szCs w:val="16"/>
              </w:rPr>
            </w:pPr>
            <w:r w:rsidRPr="00873B6C">
              <w:rPr>
                <w:sz w:val="16"/>
                <w:szCs w:val="16"/>
              </w:rPr>
              <w:t>SP#93E</w:t>
            </w:r>
          </w:p>
        </w:tc>
        <w:tc>
          <w:tcPr>
            <w:tcW w:w="1094" w:type="dxa"/>
            <w:shd w:val="solid" w:color="FFFFFF" w:fill="auto"/>
          </w:tcPr>
          <w:p w14:paraId="75689BB2" w14:textId="74D5C779" w:rsidR="007B3699" w:rsidRPr="00873B6C" w:rsidRDefault="007B3699" w:rsidP="000040FE">
            <w:pPr>
              <w:pStyle w:val="TAC"/>
              <w:rPr>
                <w:sz w:val="16"/>
                <w:szCs w:val="16"/>
              </w:rPr>
            </w:pPr>
            <w:r w:rsidRPr="00873B6C">
              <w:rPr>
                <w:sz w:val="16"/>
                <w:szCs w:val="16"/>
              </w:rPr>
              <w:t>SP-210929</w:t>
            </w:r>
          </w:p>
        </w:tc>
        <w:tc>
          <w:tcPr>
            <w:tcW w:w="567" w:type="dxa"/>
            <w:shd w:val="solid" w:color="FFFFFF" w:fill="auto"/>
          </w:tcPr>
          <w:p w14:paraId="4929F69F" w14:textId="067F5306" w:rsidR="007B3699" w:rsidRPr="00873B6C" w:rsidRDefault="007B3699" w:rsidP="000040FE">
            <w:pPr>
              <w:pStyle w:val="TAL"/>
              <w:rPr>
                <w:sz w:val="16"/>
                <w:szCs w:val="16"/>
              </w:rPr>
            </w:pPr>
            <w:r w:rsidRPr="00873B6C">
              <w:rPr>
                <w:sz w:val="16"/>
                <w:szCs w:val="16"/>
              </w:rPr>
              <w:t>3039</w:t>
            </w:r>
          </w:p>
        </w:tc>
        <w:tc>
          <w:tcPr>
            <w:tcW w:w="425" w:type="dxa"/>
            <w:shd w:val="solid" w:color="FFFFFF" w:fill="auto"/>
          </w:tcPr>
          <w:p w14:paraId="69E70E72" w14:textId="78FDB65E" w:rsidR="007B3699" w:rsidRPr="00873B6C" w:rsidRDefault="007B3699" w:rsidP="000040FE">
            <w:pPr>
              <w:pStyle w:val="TAL"/>
              <w:rPr>
                <w:sz w:val="16"/>
                <w:szCs w:val="16"/>
              </w:rPr>
            </w:pPr>
            <w:r w:rsidRPr="00873B6C">
              <w:rPr>
                <w:sz w:val="16"/>
                <w:szCs w:val="16"/>
              </w:rPr>
              <w:t>1</w:t>
            </w:r>
          </w:p>
        </w:tc>
        <w:tc>
          <w:tcPr>
            <w:tcW w:w="425" w:type="dxa"/>
            <w:shd w:val="solid" w:color="FFFFFF" w:fill="auto"/>
          </w:tcPr>
          <w:p w14:paraId="60221FB3" w14:textId="0FBEE9EE" w:rsidR="007B3699" w:rsidRPr="00873B6C" w:rsidRDefault="007B3699" w:rsidP="000040FE">
            <w:pPr>
              <w:pStyle w:val="TAL"/>
              <w:rPr>
                <w:sz w:val="16"/>
                <w:szCs w:val="16"/>
              </w:rPr>
            </w:pPr>
            <w:r w:rsidRPr="00873B6C">
              <w:rPr>
                <w:sz w:val="16"/>
                <w:szCs w:val="16"/>
              </w:rPr>
              <w:t>F</w:t>
            </w:r>
          </w:p>
        </w:tc>
        <w:tc>
          <w:tcPr>
            <w:tcW w:w="4820" w:type="dxa"/>
            <w:shd w:val="solid" w:color="FFFFFF" w:fill="auto"/>
          </w:tcPr>
          <w:p w14:paraId="182712A3" w14:textId="4E4CB070" w:rsidR="007B3699" w:rsidRPr="00873B6C" w:rsidRDefault="007B3699" w:rsidP="000040FE">
            <w:pPr>
              <w:pStyle w:val="TAL"/>
              <w:rPr>
                <w:sz w:val="16"/>
                <w:szCs w:val="16"/>
              </w:rPr>
            </w:pPr>
            <w:r w:rsidRPr="00873B6C">
              <w:rPr>
                <w:sz w:val="16"/>
                <w:szCs w:val="16"/>
              </w:rPr>
              <w:t>Updates for time synchronization text - description</w:t>
            </w:r>
          </w:p>
        </w:tc>
        <w:tc>
          <w:tcPr>
            <w:tcW w:w="708" w:type="dxa"/>
            <w:shd w:val="solid" w:color="FFFFFF" w:fill="auto"/>
          </w:tcPr>
          <w:p w14:paraId="2E02AD51" w14:textId="27404A8F" w:rsidR="007B3699" w:rsidRPr="00873B6C" w:rsidRDefault="007B3699" w:rsidP="000040FE">
            <w:pPr>
              <w:pStyle w:val="TAC"/>
              <w:rPr>
                <w:sz w:val="16"/>
                <w:szCs w:val="16"/>
              </w:rPr>
            </w:pPr>
            <w:r w:rsidRPr="00873B6C">
              <w:rPr>
                <w:sz w:val="16"/>
                <w:szCs w:val="16"/>
              </w:rPr>
              <w:t>17.2.0</w:t>
            </w:r>
          </w:p>
        </w:tc>
      </w:tr>
      <w:tr w:rsidR="005457D5" w:rsidRPr="00873B6C" w14:paraId="71BF52E3" w14:textId="77777777" w:rsidTr="009D14FB">
        <w:tc>
          <w:tcPr>
            <w:tcW w:w="800" w:type="dxa"/>
            <w:shd w:val="solid" w:color="FFFFFF" w:fill="auto"/>
          </w:tcPr>
          <w:p w14:paraId="070A520F" w14:textId="53DBCC7E" w:rsidR="005457D5" w:rsidRPr="00873B6C" w:rsidRDefault="005457D5" w:rsidP="000040FE">
            <w:pPr>
              <w:pStyle w:val="TAC"/>
              <w:rPr>
                <w:sz w:val="16"/>
                <w:szCs w:val="16"/>
              </w:rPr>
            </w:pPr>
            <w:r w:rsidRPr="00873B6C">
              <w:rPr>
                <w:sz w:val="16"/>
                <w:szCs w:val="16"/>
              </w:rPr>
              <w:t>2021-09</w:t>
            </w:r>
          </w:p>
        </w:tc>
        <w:tc>
          <w:tcPr>
            <w:tcW w:w="800" w:type="dxa"/>
            <w:shd w:val="solid" w:color="FFFFFF" w:fill="auto"/>
          </w:tcPr>
          <w:p w14:paraId="31FAB5CF" w14:textId="3240EBB2" w:rsidR="005457D5" w:rsidRPr="00873B6C" w:rsidRDefault="005457D5" w:rsidP="000040FE">
            <w:pPr>
              <w:pStyle w:val="TAL"/>
              <w:rPr>
                <w:sz w:val="16"/>
                <w:szCs w:val="16"/>
              </w:rPr>
            </w:pPr>
            <w:r w:rsidRPr="00873B6C">
              <w:rPr>
                <w:sz w:val="16"/>
                <w:szCs w:val="16"/>
              </w:rPr>
              <w:t>SP#93E</w:t>
            </w:r>
          </w:p>
        </w:tc>
        <w:tc>
          <w:tcPr>
            <w:tcW w:w="1094" w:type="dxa"/>
            <w:shd w:val="solid" w:color="FFFFFF" w:fill="auto"/>
          </w:tcPr>
          <w:p w14:paraId="7A1D8E0D" w14:textId="13B4CA92" w:rsidR="005457D5" w:rsidRPr="00873B6C" w:rsidRDefault="005457D5" w:rsidP="000040FE">
            <w:pPr>
              <w:pStyle w:val="TAC"/>
              <w:rPr>
                <w:sz w:val="16"/>
                <w:szCs w:val="16"/>
              </w:rPr>
            </w:pPr>
            <w:r w:rsidRPr="00873B6C">
              <w:rPr>
                <w:sz w:val="16"/>
                <w:szCs w:val="16"/>
              </w:rPr>
              <w:t>SP-210929</w:t>
            </w:r>
          </w:p>
        </w:tc>
        <w:tc>
          <w:tcPr>
            <w:tcW w:w="567" w:type="dxa"/>
            <w:shd w:val="solid" w:color="FFFFFF" w:fill="auto"/>
          </w:tcPr>
          <w:p w14:paraId="5ADF9057" w14:textId="0C7D1638" w:rsidR="005457D5" w:rsidRPr="00873B6C" w:rsidRDefault="005457D5" w:rsidP="000040FE">
            <w:pPr>
              <w:pStyle w:val="TAL"/>
              <w:rPr>
                <w:sz w:val="16"/>
                <w:szCs w:val="16"/>
              </w:rPr>
            </w:pPr>
            <w:r w:rsidRPr="00873B6C">
              <w:rPr>
                <w:sz w:val="16"/>
                <w:szCs w:val="16"/>
              </w:rPr>
              <w:t>3040</w:t>
            </w:r>
          </w:p>
        </w:tc>
        <w:tc>
          <w:tcPr>
            <w:tcW w:w="425" w:type="dxa"/>
            <w:shd w:val="solid" w:color="FFFFFF" w:fill="auto"/>
          </w:tcPr>
          <w:p w14:paraId="4DB1511E" w14:textId="24B6CAD5" w:rsidR="005457D5" w:rsidRPr="00873B6C" w:rsidRDefault="005457D5" w:rsidP="000040FE">
            <w:pPr>
              <w:pStyle w:val="TAL"/>
              <w:rPr>
                <w:sz w:val="16"/>
                <w:szCs w:val="16"/>
              </w:rPr>
            </w:pPr>
            <w:r w:rsidRPr="00873B6C">
              <w:rPr>
                <w:sz w:val="16"/>
                <w:szCs w:val="16"/>
              </w:rPr>
              <w:t>1</w:t>
            </w:r>
          </w:p>
        </w:tc>
        <w:tc>
          <w:tcPr>
            <w:tcW w:w="425" w:type="dxa"/>
            <w:shd w:val="solid" w:color="FFFFFF" w:fill="auto"/>
          </w:tcPr>
          <w:p w14:paraId="2681BAE0" w14:textId="1B8E08E8" w:rsidR="005457D5" w:rsidRPr="00873B6C" w:rsidRDefault="005457D5" w:rsidP="000040FE">
            <w:pPr>
              <w:pStyle w:val="TAL"/>
              <w:rPr>
                <w:sz w:val="16"/>
                <w:szCs w:val="16"/>
              </w:rPr>
            </w:pPr>
            <w:r w:rsidRPr="00873B6C">
              <w:rPr>
                <w:sz w:val="16"/>
                <w:szCs w:val="16"/>
              </w:rPr>
              <w:t>F</w:t>
            </w:r>
          </w:p>
        </w:tc>
        <w:tc>
          <w:tcPr>
            <w:tcW w:w="4820" w:type="dxa"/>
            <w:shd w:val="solid" w:color="FFFFFF" w:fill="auto"/>
          </w:tcPr>
          <w:p w14:paraId="59EAE815" w14:textId="009AA354" w:rsidR="005457D5" w:rsidRPr="00873B6C" w:rsidRDefault="005457D5" w:rsidP="000040FE">
            <w:pPr>
              <w:pStyle w:val="TAL"/>
              <w:rPr>
                <w:sz w:val="16"/>
                <w:szCs w:val="16"/>
              </w:rPr>
            </w:pPr>
            <w:r w:rsidRPr="00873B6C">
              <w:rPr>
                <w:sz w:val="16"/>
                <w:szCs w:val="16"/>
              </w:rPr>
              <w:t>Architecture to enable Time Sensitive Communication and Time Synchronization</w:t>
            </w:r>
          </w:p>
        </w:tc>
        <w:tc>
          <w:tcPr>
            <w:tcW w:w="708" w:type="dxa"/>
            <w:shd w:val="solid" w:color="FFFFFF" w:fill="auto"/>
          </w:tcPr>
          <w:p w14:paraId="23D65D20" w14:textId="24C5522C" w:rsidR="005457D5" w:rsidRPr="00873B6C" w:rsidRDefault="005457D5" w:rsidP="000040FE">
            <w:pPr>
              <w:pStyle w:val="TAC"/>
              <w:rPr>
                <w:sz w:val="16"/>
                <w:szCs w:val="16"/>
              </w:rPr>
            </w:pPr>
            <w:r w:rsidRPr="00873B6C">
              <w:rPr>
                <w:sz w:val="16"/>
                <w:szCs w:val="16"/>
              </w:rPr>
              <w:t>17.2.0</w:t>
            </w:r>
          </w:p>
        </w:tc>
      </w:tr>
      <w:tr w:rsidR="0010039C" w:rsidRPr="00873B6C" w14:paraId="4319DE65" w14:textId="77777777" w:rsidTr="009D14FB">
        <w:tc>
          <w:tcPr>
            <w:tcW w:w="800" w:type="dxa"/>
            <w:shd w:val="solid" w:color="FFFFFF" w:fill="auto"/>
          </w:tcPr>
          <w:p w14:paraId="5100DF25" w14:textId="52759125"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297D72EC" w14:textId="034E2B16"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4CAE9177" w14:textId="04D439B2" w:rsidR="0010039C" w:rsidRPr="00873B6C" w:rsidRDefault="0010039C" w:rsidP="000040FE">
            <w:pPr>
              <w:pStyle w:val="TAC"/>
              <w:rPr>
                <w:sz w:val="16"/>
                <w:szCs w:val="16"/>
              </w:rPr>
            </w:pPr>
            <w:r w:rsidRPr="00873B6C">
              <w:rPr>
                <w:sz w:val="16"/>
                <w:szCs w:val="16"/>
              </w:rPr>
              <w:t>SP-210929</w:t>
            </w:r>
          </w:p>
        </w:tc>
        <w:tc>
          <w:tcPr>
            <w:tcW w:w="567" w:type="dxa"/>
            <w:shd w:val="solid" w:color="FFFFFF" w:fill="auto"/>
          </w:tcPr>
          <w:p w14:paraId="600F51E1" w14:textId="6322C124" w:rsidR="0010039C" w:rsidRPr="00873B6C" w:rsidRDefault="0010039C" w:rsidP="000040FE">
            <w:pPr>
              <w:pStyle w:val="TAL"/>
              <w:rPr>
                <w:sz w:val="16"/>
                <w:szCs w:val="16"/>
              </w:rPr>
            </w:pPr>
            <w:r w:rsidRPr="00873B6C">
              <w:rPr>
                <w:sz w:val="16"/>
                <w:szCs w:val="16"/>
              </w:rPr>
              <w:t>3041</w:t>
            </w:r>
          </w:p>
        </w:tc>
        <w:tc>
          <w:tcPr>
            <w:tcW w:w="425" w:type="dxa"/>
            <w:shd w:val="solid" w:color="FFFFFF" w:fill="auto"/>
          </w:tcPr>
          <w:p w14:paraId="46C501CD" w14:textId="2443D29D"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0EE2DFE1" w14:textId="13ECC7B6"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30B37C60" w14:textId="532A9BA2" w:rsidR="0010039C" w:rsidRPr="00873B6C" w:rsidRDefault="0010039C" w:rsidP="000040FE">
            <w:pPr>
              <w:pStyle w:val="TAL"/>
              <w:rPr>
                <w:sz w:val="16"/>
                <w:szCs w:val="16"/>
              </w:rPr>
            </w:pPr>
            <w:r w:rsidRPr="00873B6C">
              <w:rPr>
                <w:sz w:val="16"/>
                <w:szCs w:val="16"/>
              </w:rPr>
              <w:t>Updates for TSCTSF text - description</w:t>
            </w:r>
          </w:p>
        </w:tc>
        <w:tc>
          <w:tcPr>
            <w:tcW w:w="708" w:type="dxa"/>
            <w:shd w:val="solid" w:color="FFFFFF" w:fill="auto"/>
          </w:tcPr>
          <w:p w14:paraId="70B74D35" w14:textId="51A94020" w:rsidR="0010039C" w:rsidRPr="00873B6C" w:rsidRDefault="0010039C" w:rsidP="000040FE">
            <w:pPr>
              <w:pStyle w:val="TAC"/>
              <w:rPr>
                <w:sz w:val="16"/>
                <w:szCs w:val="16"/>
              </w:rPr>
            </w:pPr>
            <w:r w:rsidRPr="00873B6C">
              <w:rPr>
                <w:sz w:val="16"/>
                <w:szCs w:val="16"/>
              </w:rPr>
              <w:t>17.2.0</w:t>
            </w:r>
          </w:p>
        </w:tc>
      </w:tr>
      <w:tr w:rsidR="0010039C" w:rsidRPr="00873B6C" w14:paraId="1FA5A846" w14:textId="77777777" w:rsidTr="009D14FB">
        <w:tc>
          <w:tcPr>
            <w:tcW w:w="800" w:type="dxa"/>
            <w:shd w:val="solid" w:color="FFFFFF" w:fill="auto"/>
          </w:tcPr>
          <w:p w14:paraId="77905067" w14:textId="31353B01"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7669658B" w14:textId="62256A55"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44697584" w14:textId="557F30E7" w:rsidR="0010039C" w:rsidRPr="00873B6C" w:rsidRDefault="0010039C" w:rsidP="000040FE">
            <w:pPr>
              <w:pStyle w:val="TAC"/>
              <w:rPr>
                <w:sz w:val="16"/>
                <w:szCs w:val="16"/>
              </w:rPr>
            </w:pPr>
            <w:r w:rsidRPr="00873B6C">
              <w:rPr>
                <w:sz w:val="16"/>
                <w:szCs w:val="16"/>
              </w:rPr>
              <w:t>SP-210929</w:t>
            </w:r>
          </w:p>
        </w:tc>
        <w:tc>
          <w:tcPr>
            <w:tcW w:w="567" w:type="dxa"/>
            <w:shd w:val="solid" w:color="FFFFFF" w:fill="auto"/>
          </w:tcPr>
          <w:p w14:paraId="1CCE11B6" w14:textId="535887AC" w:rsidR="0010039C" w:rsidRPr="00873B6C" w:rsidRDefault="0010039C" w:rsidP="000040FE">
            <w:pPr>
              <w:pStyle w:val="TAL"/>
              <w:rPr>
                <w:sz w:val="16"/>
                <w:szCs w:val="16"/>
              </w:rPr>
            </w:pPr>
            <w:r w:rsidRPr="00873B6C">
              <w:rPr>
                <w:sz w:val="16"/>
                <w:szCs w:val="16"/>
              </w:rPr>
              <w:t>3042</w:t>
            </w:r>
          </w:p>
        </w:tc>
        <w:tc>
          <w:tcPr>
            <w:tcW w:w="425" w:type="dxa"/>
            <w:shd w:val="solid" w:color="FFFFFF" w:fill="auto"/>
          </w:tcPr>
          <w:p w14:paraId="288A34E8" w14:textId="3A4A9299"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591C6E30" w14:textId="07F9E287" w:rsidR="0010039C" w:rsidRPr="00873B6C" w:rsidRDefault="0010039C" w:rsidP="000040FE">
            <w:pPr>
              <w:pStyle w:val="TAL"/>
              <w:rPr>
                <w:sz w:val="16"/>
                <w:szCs w:val="16"/>
              </w:rPr>
            </w:pPr>
            <w:r w:rsidRPr="00873B6C">
              <w:rPr>
                <w:sz w:val="16"/>
                <w:szCs w:val="16"/>
              </w:rPr>
              <w:t>C</w:t>
            </w:r>
          </w:p>
        </w:tc>
        <w:tc>
          <w:tcPr>
            <w:tcW w:w="4820" w:type="dxa"/>
            <w:shd w:val="solid" w:color="FFFFFF" w:fill="auto"/>
          </w:tcPr>
          <w:p w14:paraId="32BC1356" w14:textId="398B448E" w:rsidR="0010039C" w:rsidRPr="00873B6C" w:rsidRDefault="0010039C" w:rsidP="000040FE">
            <w:pPr>
              <w:pStyle w:val="TAL"/>
              <w:rPr>
                <w:sz w:val="16"/>
                <w:szCs w:val="16"/>
              </w:rPr>
            </w:pPr>
            <w:r w:rsidRPr="00873B6C">
              <w:rPr>
                <w:sz w:val="16"/>
                <w:szCs w:val="16"/>
              </w:rPr>
              <w:t>Exposure of Time synchronization as a service - description</w:t>
            </w:r>
          </w:p>
        </w:tc>
        <w:tc>
          <w:tcPr>
            <w:tcW w:w="708" w:type="dxa"/>
            <w:shd w:val="solid" w:color="FFFFFF" w:fill="auto"/>
          </w:tcPr>
          <w:p w14:paraId="743E934B" w14:textId="1F0F1B3B" w:rsidR="0010039C" w:rsidRPr="00873B6C" w:rsidRDefault="0010039C" w:rsidP="000040FE">
            <w:pPr>
              <w:pStyle w:val="TAC"/>
              <w:rPr>
                <w:sz w:val="16"/>
                <w:szCs w:val="16"/>
              </w:rPr>
            </w:pPr>
            <w:r w:rsidRPr="00873B6C">
              <w:rPr>
                <w:sz w:val="16"/>
                <w:szCs w:val="16"/>
              </w:rPr>
              <w:t>17.2.0</w:t>
            </w:r>
          </w:p>
        </w:tc>
      </w:tr>
      <w:tr w:rsidR="0010039C" w:rsidRPr="00873B6C" w14:paraId="19E98154" w14:textId="77777777" w:rsidTr="009D14FB">
        <w:tc>
          <w:tcPr>
            <w:tcW w:w="800" w:type="dxa"/>
            <w:shd w:val="solid" w:color="FFFFFF" w:fill="auto"/>
          </w:tcPr>
          <w:p w14:paraId="14804E08" w14:textId="2E133814"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193E3D35" w14:textId="325B1276"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03BEEBDB" w14:textId="4D53969E" w:rsidR="0010039C" w:rsidRPr="00873B6C" w:rsidRDefault="0010039C" w:rsidP="000040FE">
            <w:pPr>
              <w:pStyle w:val="TAC"/>
              <w:rPr>
                <w:sz w:val="16"/>
                <w:szCs w:val="16"/>
              </w:rPr>
            </w:pPr>
            <w:r w:rsidRPr="00873B6C">
              <w:rPr>
                <w:sz w:val="16"/>
                <w:szCs w:val="16"/>
              </w:rPr>
              <w:t>SP-210937</w:t>
            </w:r>
          </w:p>
        </w:tc>
        <w:tc>
          <w:tcPr>
            <w:tcW w:w="567" w:type="dxa"/>
            <w:shd w:val="solid" w:color="FFFFFF" w:fill="auto"/>
          </w:tcPr>
          <w:p w14:paraId="4E6ADC9E" w14:textId="14074413" w:rsidR="0010039C" w:rsidRPr="00873B6C" w:rsidRDefault="0010039C" w:rsidP="000040FE">
            <w:pPr>
              <w:pStyle w:val="TAL"/>
              <w:rPr>
                <w:sz w:val="16"/>
                <w:szCs w:val="16"/>
              </w:rPr>
            </w:pPr>
            <w:r w:rsidRPr="00873B6C">
              <w:rPr>
                <w:sz w:val="16"/>
                <w:szCs w:val="16"/>
              </w:rPr>
              <w:t>3043</w:t>
            </w:r>
          </w:p>
        </w:tc>
        <w:tc>
          <w:tcPr>
            <w:tcW w:w="425" w:type="dxa"/>
            <w:shd w:val="solid" w:color="FFFFFF" w:fill="auto"/>
          </w:tcPr>
          <w:p w14:paraId="749E6BBE" w14:textId="130CA86B" w:rsidR="0010039C" w:rsidRPr="00873B6C" w:rsidRDefault="0010039C" w:rsidP="000040FE">
            <w:pPr>
              <w:pStyle w:val="TAL"/>
              <w:rPr>
                <w:sz w:val="16"/>
                <w:szCs w:val="16"/>
              </w:rPr>
            </w:pPr>
            <w:r w:rsidRPr="00873B6C">
              <w:rPr>
                <w:sz w:val="16"/>
                <w:szCs w:val="16"/>
              </w:rPr>
              <w:t>-</w:t>
            </w:r>
          </w:p>
        </w:tc>
        <w:tc>
          <w:tcPr>
            <w:tcW w:w="425" w:type="dxa"/>
            <w:shd w:val="solid" w:color="FFFFFF" w:fill="auto"/>
          </w:tcPr>
          <w:p w14:paraId="7C9849C3" w14:textId="6107F25C"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7952B3D9" w14:textId="05277AA2" w:rsidR="0010039C" w:rsidRPr="00873B6C" w:rsidRDefault="0010039C" w:rsidP="000040FE">
            <w:pPr>
              <w:pStyle w:val="TAL"/>
              <w:rPr>
                <w:sz w:val="16"/>
                <w:szCs w:val="16"/>
              </w:rPr>
            </w:pPr>
            <w:r w:rsidRPr="00873B6C">
              <w:rPr>
                <w:sz w:val="16"/>
                <w:szCs w:val="16"/>
              </w:rPr>
              <w:t>Correction on Redundant PDU Session</w:t>
            </w:r>
          </w:p>
        </w:tc>
        <w:tc>
          <w:tcPr>
            <w:tcW w:w="708" w:type="dxa"/>
            <w:shd w:val="solid" w:color="FFFFFF" w:fill="auto"/>
          </w:tcPr>
          <w:p w14:paraId="74CA8F54" w14:textId="03D15A45" w:rsidR="0010039C" w:rsidRPr="00873B6C" w:rsidRDefault="0010039C" w:rsidP="000040FE">
            <w:pPr>
              <w:pStyle w:val="TAC"/>
              <w:rPr>
                <w:sz w:val="16"/>
                <w:szCs w:val="16"/>
              </w:rPr>
            </w:pPr>
            <w:r w:rsidRPr="00873B6C">
              <w:rPr>
                <w:sz w:val="16"/>
                <w:szCs w:val="16"/>
              </w:rPr>
              <w:t>17.2.0</w:t>
            </w:r>
          </w:p>
        </w:tc>
      </w:tr>
      <w:tr w:rsidR="0010039C" w:rsidRPr="00873B6C" w14:paraId="7CED64C6" w14:textId="77777777" w:rsidTr="009D14FB">
        <w:tc>
          <w:tcPr>
            <w:tcW w:w="800" w:type="dxa"/>
            <w:shd w:val="solid" w:color="FFFFFF" w:fill="auto"/>
          </w:tcPr>
          <w:p w14:paraId="4545B514" w14:textId="3A4008F9"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1E40A4AC" w14:textId="45A51AD6"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30FA1D3F" w14:textId="142104A2" w:rsidR="0010039C" w:rsidRPr="00873B6C" w:rsidRDefault="0010039C" w:rsidP="000040FE">
            <w:pPr>
              <w:pStyle w:val="TAC"/>
              <w:rPr>
                <w:sz w:val="16"/>
                <w:szCs w:val="16"/>
              </w:rPr>
            </w:pPr>
            <w:r w:rsidRPr="00873B6C">
              <w:rPr>
                <w:sz w:val="16"/>
                <w:szCs w:val="16"/>
              </w:rPr>
              <w:t>SP-210915</w:t>
            </w:r>
          </w:p>
        </w:tc>
        <w:tc>
          <w:tcPr>
            <w:tcW w:w="567" w:type="dxa"/>
            <w:shd w:val="solid" w:color="FFFFFF" w:fill="auto"/>
          </w:tcPr>
          <w:p w14:paraId="0640CDA9" w14:textId="401B22E0" w:rsidR="0010039C" w:rsidRPr="00873B6C" w:rsidRDefault="0010039C" w:rsidP="000040FE">
            <w:pPr>
              <w:pStyle w:val="TAL"/>
              <w:rPr>
                <w:sz w:val="16"/>
                <w:szCs w:val="16"/>
              </w:rPr>
            </w:pPr>
            <w:r w:rsidRPr="00873B6C">
              <w:rPr>
                <w:sz w:val="16"/>
                <w:szCs w:val="16"/>
              </w:rPr>
              <w:t>3044</w:t>
            </w:r>
          </w:p>
        </w:tc>
        <w:tc>
          <w:tcPr>
            <w:tcW w:w="425" w:type="dxa"/>
            <w:shd w:val="solid" w:color="FFFFFF" w:fill="auto"/>
          </w:tcPr>
          <w:p w14:paraId="7F1E82B7" w14:textId="18C031BA"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50899AC5" w14:textId="61AE72A6"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4A034DCF" w14:textId="1E980DAE" w:rsidR="0010039C" w:rsidRPr="00873B6C" w:rsidRDefault="0010039C" w:rsidP="000040FE">
            <w:pPr>
              <w:pStyle w:val="TAL"/>
              <w:rPr>
                <w:sz w:val="16"/>
                <w:szCs w:val="16"/>
              </w:rPr>
            </w:pPr>
            <w:r w:rsidRPr="00873B6C">
              <w:rPr>
                <w:sz w:val="16"/>
                <w:szCs w:val="16"/>
              </w:rPr>
              <w:t>Updates to enable mobility between GERAN/UTRAN and E-UTRAN in 5GS</w:t>
            </w:r>
          </w:p>
        </w:tc>
        <w:tc>
          <w:tcPr>
            <w:tcW w:w="708" w:type="dxa"/>
            <w:shd w:val="solid" w:color="FFFFFF" w:fill="auto"/>
          </w:tcPr>
          <w:p w14:paraId="7BCCDAA8" w14:textId="09CF80B4" w:rsidR="0010039C" w:rsidRPr="00873B6C" w:rsidRDefault="0010039C" w:rsidP="000040FE">
            <w:pPr>
              <w:pStyle w:val="TAC"/>
              <w:rPr>
                <w:sz w:val="16"/>
                <w:szCs w:val="16"/>
              </w:rPr>
            </w:pPr>
            <w:r w:rsidRPr="00873B6C">
              <w:rPr>
                <w:sz w:val="16"/>
                <w:szCs w:val="16"/>
              </w:rPr>
              <w:t>17.2.0</w:t>
            </w:r>
          </w:p>
        </w:tc>
      </w:tr>
      <w:tr w:rsidR="0010039C" w:rsidRPr="00873B6C" w14:paraId="4833C9F1" w14:textId="77777777" w:rsidTr="009D14FB">
        <w:tc>
          <w:tcPr>
            <w:tcW w:w="800" w:type="dxa"/>
            <w:shd w:val="solid" w:color="FFFFFF" w:fill="auto"/>
          </w:tcPr>
          <w:p w14:paraId="3DA74AFE" w14:textId="05D6F1D4"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55F4D6C0" w14:textId="22080C3D"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2CDF73D8" w14:textId="3BCF99FE" w:rsidR="0010039C" w:rsidRPr="00873B6C" w:rsidRDefault="0010039C" w:rsidP="000040FE">
            <w:pPr>
              <w:pStyle w:val="TAC"/>
              <w:rPr>
                <w:sz w:val="16"/>
                <w:szCs w:val="16"/>
              </w:rPr>
            </w:pPr>
            <w:r w:rsidRPr="00873B6C">
              <w:rPr>
                <w:sz w:val="16"/>
                <w:szCs w:val="16"/>
              </w:rPr>
              <w:t>SP-210923</w:t>
            </w:r>
          </w:p>
        </w:tc>
        <w:tc>
          <w:tcPr>
            <w:tcW w:w="567" w:type="dxa"/>
            <w:shd w:val="solid" w:color="FFFFFF" w:fill="auto"/>
          </w:tcPr>
          <w:p w14:paraId="136BF51F" w14:textId="6ECD4DE5" w:rsidR="0010039C" w:rsidRPr="00873B6C" w:rsidRDefault="0010039C" w:rsidP="000040FE">
            <w:pPr>
              <w:pStyle w:val="TAL"/>
              <w:rPr>
                <w:sz w:val="16"/>
                <w:szCs w:val="16"/>
              </w:rPr>
            </w:pPr>
            <w:r w:rsidRPr="00873B6C">
              <w:rPr>
                <w:sz w:val="16"/>
                <w:szCs w:val="16"/>
              </w:rPr>
              <w:t>3045</w:t>
            </w:r>
          </w:p>
        </w:tc>
        <w:tc>
          <w:tcPr>
            <w:tcW w:w="425" w:type="dxa"/>
            <w:shd w:val="solid" w:color="FFFFFF" w:fill="auto"/>
          </w:tcPr>
          <w:p w14:paraId="2FA75CF6" w14:textId="01C22008"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42A613C5" w14:textId="1162DA46"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78515490" w14:textId="29AD4294" w:rsidR="0010039C" w:rsidRPr="00873B6C" w:rsidRDefault="0010039C" w:rsidP="000040FE">
            <w:pPr>
              <w:pStyle w:val="TAL"/>
              <w:rPr>
                <w:sz w:val="16"/>
                <w:szCs w:val="16"/>
              </w:rPr>
            </w:pPr>
            <w:r w:rsidRPr="00873B6C">
              <w:rPr>
                <w:sz w:val="16"/>
                <w:szCs w:val="16"/>
              </w:rPr>
              <w:t>Handling of SUPI/SUCI format when accessing to a SNPN</w:t>
            </w:r>
          </w:p>
        </w:tc>
        <w:tc>
          <w:tcPr>
            <w:tcW w:w="708" w:type="dxa"/>
            <w:shd w:val="solid" w:color="FFFFFF" w:fill="auto"/>
          </w:tcPr>
          <w:p w14:paraId="63261D02" w14:textId="7069183B" w:rsidR="0010039C" w:rsidRPr="00873B6C" w:rsidRDefault="0010039C" w:rsidP="000040FE">
            <w:pPr>
              <w:pStyle w:val="TAC"/>
              <w:rPr>
                <w:sz w:val="16"/>
                <w:szCs w:val="16"/>
              </w:rPr>
            </w:pPr>
            <w:r w:rsidRPr="00873B6C">
              <w:rPr>
                <w:sz w:val="16"/>
                <w:szCs w:val="16"/>
              </w:rPr>
              <w:t>17.2.0</w:t>
            </w:r>
          </w:p>
        </w:tc>
      </w:tr>
      <w:tr w:rsidR="0010039C" w:rsidRPr="00873B6C" w14:paraId="7B55ED01" w14:textId="77777777" w:rsidTr="009D14FB">
        <w:tc>
          <w:tcPr>
            <w:tcW w:w="800" w:type="dxa"/>
            <w:shd w:val="solid" w:color="FFFFFF" w:fill="auto"/>
          </w:tcPr>
          <w:p w14:paraId="73468F48" w14:textId="2A722E2F"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74F3A7ED" w14:textId="79628D6C"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427E2928" w14:textId="5F39BEBD" w:rsidR="0010039C" w:rsidRPr="00873B6C" w:rsidRDefault="0010039C" w:rsidP="000040FE">
            <w:pPr>
              <w:pStyle w:val="TAC"/>
              <w:rPr>
                <w:sz w:val="16"/>
                <w:szCs w:val="16"/>
              </w:rPr>
            </w:pPr>
            <w:r w:rsidRPr="00873B6C">
              <w:rPr>
                <w:sz w:val="16"/>
                <w:szCs w:val="16"/>
              </w:rPr>
              <w:t>SP-210932</w:t>
            </w:r>
          </w:p>
        </w:tc>
        <w:tc>
          <w:tcPr>
            <w:tcW w:w="567" w:type="dxa"/>
            <w:shd w:val="solid" w:color="FFFFFF" w:fill="auto"/>
          </w:tcPr>
          <w:p w14:paraId="7CFDB952" w14:textId="759C0854" w:rsidR="0010039C" w:rsidRPr="00873B6C" w:rsidRDefault="0010039C" w:rsidP="000040FE">
            <w:pPr>
              <w:pStyle w:val="TAL"/>
              <w:rPr>
                <w:sz w:val="16"/>
                <w:szCs w:val="16"/>
              </w:rPr>
            </w:pPr>
            <w:r w:rsidRPr="00873B6C">
              <w:rPr>
                <w:sz w:val="16"/>
                <w:szCs w:val="16"/>
              </w:rPr>
              <w:t>3048</w:t>
            </w:r>
          </w:p>
        </w:tc>
        <w:tc>
          <w:tcPr>
            <w:tcW w:w="425" w:type="dxa"/>
            <w:shd w:val="solid" w:color="FFFFFF" w:fill="auto"/>
          </w:tcPr>
          <w:p w14:paraId="2CBB7E2B" w14:textId="3EA6E73F" w:rsidR="0010039C" w:rsidRPr="00873B6C" w:rsidRDefault="0010039C" w:rsidP="000040FE">
            <w:pPr>
              <w:pStyle w:val="TAL"/>
              <w:rPr>
                <w:sz w:val="16"/>
                <w:szCs w:val="16"/>
              </w:rPr>
            </w:pPr>
            <w:r w:rsidRPr="00873B6C">
              <w:rPr>
                <w:sz w:val="16"/>
                <w:szCs w:val="16"/>
              </w:rPr>
              <w:t>-</w:t>
            </w:r>
          </w:p>
        </w:tc>
        <w:tc>
          <w:tcPr>
            <w:tcW w:w="425" w:type="dxa"/>
            <w:shd w:val="solid" w:color="FFFFFF" w:fill="auto"/>
          </w:tcPr>
          <w:p w14:paraId="2FE4095F" w14:textId="045DEC0A"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5A483B81" w14:textId="62CEA1F7" w:rsidR="0010039C" w:rsidRPr="00873B6C" w:rsidRDefault="0010039C" w:rsidP="000040FE">
            <w:pPr>
              <w:pStyle w:val="TAL"/>
              <w:rPr>
                <w:sz w:val="16"/>
                <w:szCs w:val="16"/>
              </w:rPr>
            </w:pPr>
            <w:r w:rsidRPr="00873B6C">
              <w:rPr>
                <w:sz w:val="16"/>
                <w:szCs w:val="16"/>
              </w:rPr>
              <w:t>Update Paging Cause Feature in 5GS</w:t>
            </w:r>
          </w:p>
        </w:tc>
        <w:tc>
          <w:tcPr>
            <w:tcW w:w="708" w:type="dxa"/>
            <w:shd w:val="solid" w:color="FFFFFF" w:fill="auto"/>
          </w:tcPr>
          <w:p w14:paraId="201FB455" w14:textId="7B26CCE1" w:rsidR="0010039C" w:rsidRPr="00873B6C" w:rsidRDefault="0010039C" w:rsidP="000040FE">
            <w:pPr>
              <w:pStyle w:val="TAC"/>
              <w:rPr>
                <w:sz w:val="16"/>
                <w:szCs w:val="16"/>
              </w:rPr>
            </w:pPr>
            <w:r w:rsidRPr="00873B6C">
              <w:rPr>
                <w:sz w:val="16"/>
                <w:szCs w:val="16"/>
              </w:rPr>
              <w:t>17.2.0</w:t>
            </w:r>
          </w:p>
        </w:tc>
      </w:tr>
      <w:tr w:rsidR="0010039C" w:rsidRPr="00873B6C" w14:paraId="61CC0029" w14:textId="77777777" w:rsidTr="009D14FB">
        <w:tc>
          <w:tcPr>
            <w:tcW w:w="800" w:type="dxa"/>
            <w:shd w:val="solid" w:color="FFFFFF" w:fill="auto"/>
          </w:tcPr>
          <w:p w14:paraId="41622513" w14:textId="6A2F00AE"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6D3521B7" w14:textId="283A009C"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2A5B6530" w14:textId="3F694671" w:rsidR="0010039C" w:rsidRPr="00873B6C" w:rsidRDefault="0010039C" w:rsidP="000040FE">
            <w:pPr>
              <w:pStyle w:val="TAC"/>
              <w:rPr>
                <w:sz w:val="16"/>
                <w:szCs w:val="16"/>
              </w:rPr>
            </w:pPr>
            <w:r w:rsidRPr="00873B6C">
              <w:rPr>
                <w:sz w:val="16"/>
                <w:szCs w:val="16"/>
              </w:rPr>
              <w:t>SP-210923</w:t>
            </w:r>
          </w:p>
        </w:tc>
        <w:tc>
          <w:tcPr>
            <w:tcW w:w="567" w:type="dxa"/>
            <w:shd w:val="solid" w:color="FFFFFF" w:fill="auto"/>
          </w:tcPr>
          <w:p w14:paraId="0F45B815" w14:textId="2952EF67" w:rsidR="0010039C" w:rsidRPr="00873B6C" w:rsidRDefault="0010039C" w:rsidP="000040FE">
            <w:pPr>
              <w:pStyle w:val="TAL"/>
              <w:rPr>
                <w:sz w:val="16"/>
                <w:szCs w:val="16"/>
              </w:rPr>
            </w:pPr>
            <w:r w:rsidRPr="00873B6C">
              <w:rPr>
                <w:sz w:val="16"/>
                <w:szCs w:val="16"/>
              </w:rPr>
              <w:t>3049</w:t>
            </w:r>
          </w:p>
        </w:tc>
        <w:tc>
          <w:tcPr>
            <w:tcW w:w="425" w:type="dxa"/>
            <w:shd w:val="solid" w:color="FFFFFF" w:fill="auto"/>
          </w:tcPr>
          <w:p w14:paraId="00B3C8B6" w14:textId="248D441C"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0C27A1BF" w14:textId="2C9344E9"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6774D5A2" w14:textId="0332EF17" w:rsidR="0010039C" w:rsidRPr="00873B6C" w:rsidRDefault="0010039C" w:rsidP="000040FE">
            <w:pPr>
              <w:pStyle w:val="TAL"/>
              <w:rPr>
                <w:sz w:val="16"/>
                <w:szCs w:val="16"/>
              </w:rPr>
            </w:pPr>
            <w:r w:rsidRPr="00873B6C">
              <w:rPr>
                <w:sz w:val="16"/>
                <w:szCs w:val="16"/>
              </w:rPr>
              <w:t>KI#4-SNPN UE Onboarding using existing DNN</w:t>
            </w:r>
          </w:p>
        </w:tc>
        <w:tc>
          <w:tcPr>
            <w:tcW w:w="708" w:type="dxa"/>
            <w:shd w:val="solid" w:color="FFFFFF" w:fill="auto"/>
          </w:tcPr>
          <w:p w14:paraId="08348481" w14:textId="612A2C9E" w:rsidR="0010039C" w:rsidRPr="00873B6C" w:rsidRDefault="0010039C" w:rsidP="000040FE">
            <w:pPr>
              <w:pStyle w:val="TAC"/>
              <w:rPr>
                <w:sz w:val="16"/>
                <w:szCs w:val="16"/>
              </w:rPr>
            </w:pPr>
            <w:r w:rsidRPr="00873B6C">
              <w:rPr>
                <w:sz w:val="16"/>
                <w:szCs w:val="16"/>
              </w:rPr>
              <w:t>17.2.0</w:t>
            </w:r>
          </w:p>
        </w:tc>
      </w:tr>
      <w:tr w:rsidR="0010039C" w:rsidRPr="00873B6C" w14:paraId="66682786" w14:textId="77777777" w:rsidTr="009D14FB">
        <w:tc>
          <w:tcPr>
            <w:tcW w:w="800" w:type="dxa"/>
            <w:shd w:val="solid" w:color="FFFFFF" w:fill="auto"/>
          </w:tcPr>
          <w:p w14:paraId="595ECE68" w14:textId="44C12223"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252141A7" w14:textId="4047661E"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07E05D4B" w14:textId="18BE16EA" w:rsidR="0010039C" w:rsidRPr="00873B6C" w:rsidRDefault="0010039C" w:rsidP="000040FE">
            <w:pPr>
              <w:pStyle w:val="TAC"/>
              <w:rPr>
                <w:sz w:val="16"/>
                <w:szCs w:val="16"/>
              </w:rPr>
            </w:pPr>
            <w:r w:rsidRPr="00873B6C">
              <w:rPr>
                <w:sz w:val="16"/>
                <w:szCs w:val="16"/>
              </w:rPr>
              <w:t>SP-210929</w:t>
            </w:r>
          </w:p>
        </w:tc>
        <w:tc>
          <w:tcPr>
            <w:tcW w:w="567" w:type="dxa"/>
            <w:shd w:val="solid" w:color="FFFFFF" w:fill="auto"/>
          </w:tcPr>
          <w:p w14:paraId="4567AD82" w14:textId="04FC43D3" w:rsidR="0010039C" w:rsidRPr="00873B6C" w:rsidRDefault="0010039C" w:rsidP="000040FE">
            <w:pPr>
              <w:pStyle w:val="TAL"/>
              <w:rPr>
                <w:sz w:val="16"/>
                <w:szCs w:val="16"/>
              </w:rPr>
            </w:pPr>
            <w:r w:rsidRPr="00873B6C">
              <w:rPr>
                <w:sz w:val="16"/>
                <w:szCs w:val="16"/>
              </w:rPr>
              <w:t>3051</w:t>
            </w:r>
          </w:p>
        </w:tc>
        <w:tc>
          <w:tcPr>
            <w:tcW w:w="425" w:type="dxa"/>
            <w:shd w:val="solid" w:color="FFFFFF" w:fill="auto"/>
          </w:tcPr>
          <w:p w14:paraId="357834F6" w14:textId="3118FD18"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5F9487F3" w14:textId="2335D136" w:rsidR="0010039C" w:rsidRPr="00873B6C" w:rsidRDefault="0010039C" w:rsidP="000040FE">
            <w:pPr>
              <w:pStyle w:val="TAL"/>
              <w:rPr>
                <w:sz w:val="16"/>
                <w:szCs w:val="16"/>
              </w:rPr>
            </w:pPr>
            <w:r w:rsidRPr="00873B6C">
              <w:rPr>
                <w:sz w:val="16"/>
                <w:szCs w:val="16"/>
              </w:rPr>
              <w:t>D</w:t>
            </w:r>
          </w:p>
        </w:tc>
        <w:tc>
          <w:tcPr>
            <w:tcW w:w="4820" w:type="dxa"/>
            <w:shd w:val="solid" w:color="FFFFFF" w:fill="auto"/>
          </w:tcPr>
          <w:p w14:paraId="60305329" w14:textId="58177956" w:rsidR="0010039C" w:rsidRPr="00873B6C" w:rsidRDefault="0010039C" w:rsidP="000040FE">
            <w:pPr>
              <w:pStyle w:val="TAL"/>
              <w:rPr>
                <w:sz w:val="16"/>
                <w:szCs w:val="16"/>
              </w:rPr>
            </w:pPr>
            <w:r w:rsidRPr="00873B6C">
              <w:rPr>
                <w:sz w:val="16"/>
                <w:szCs w:val="16"/>
              </w:rPr>
              <w:t>Correcting the usage of Survival Time</w:t>
            </w:r>
          </w:p>
        </w:tc>
        <w:tc>
          <w:tcPr>
            <w:tcW w:w="708" w:type="dxa"/>
            <w:shd w:val="solid" w:color="FFFFFF" w:fill="auto"/>
          </w:tcPr>
          <w:p w14:paraId="38F33C96" w14:textId="4FD5E7FF" w:rsidR="0010039C" w:rsidRPr="00873B6C" w:rsidRDefault="0010039C" w:rsidP="000040FE">
            <w:pPr>
              <w:pStyle w:val="TAC"/>
              <w:rPr>
                <w:sz w:val="16"/>
                <w:szCs w:val="16"/>
              </w:rPr>
            </w:pPr>
            <w:r w:rsidRPr="00873B6C">
              <w:rPr>
                <w:sz w:val="16"/>
                <w:szCs w:val="16"/>
              </w:rPr>
              <w:t>17.2.0</w:t>
            </w:r>
          </w:p>
        </w:tc>
      </w:tr>
      <w:tr w:rsidR="00A346EF" w:rsidRPr="00873B6C" w14:paraId="4C40D65E" w14:textId="77777777" w:rsidTr="009D14FB">
        <w:tc>
          <w:tcPr>
            <w:tcW w:w="800" w:type="dxa"/>
            <w:shd w:val="solid" w:color="FFFFFF" w:fill="auto"/>
          </w:tcPr>
          <w:p w14:paraId="61EDE286" w14:textId="6E6CAD03" w:rsidR="00A346EF" w:rsidRPr="00873B6C" w:rsidRDefault="00A346EF" w:rsidP="000040FE">
            <w:pPr>
              <w:pStyle w:val="TAC"/>
              <w:rPr>
                <w:sz w:val="16"/>
                <w:szCs w:val="16"/>
              </w:rPr>
            </w:pPr>
            <w:r w:rsidRPr="00873B6C">
              <w:rPr>
                <w:sz w:val="16"/>
                <w:szCs w:val="16"/>
              </w:rPr>
              <w:t>2021-09</w:t>
            </w:r>
          </w:p>
        </w:tc>
        <w:tc>
          <w:tcPr>
            <w:tcW w:w="800" w:type="dxa"/>
            <w:shd w:val="solid" w:color="FFFFFF" w:fill="auto"/>
          </w:tcPr>
          <w:p w14:paraId="7E18261D" w14:textId="5A363643" w:rsidR="00A346EF" w:rsidRPr="00873B6C" w:rsidRDefault="00A346EF" w:rsidP="000040FE">
            <w:pPr>
              <w:pStyle w:val="TAL"/>
              <w:rPr>
                <w:sz w:val="16"/>
                <w:szCs w:val="16"/>
              </w:rPr>
            </w:pPr>
            <w:r w:rsidRPr="00873B6C">
              <w:rPr>
                <w:sz w:val="16"/>
                <w:szCs w:val="16"/>
              </w:rPr>
              <w:t>SP#93E</w:t>
            </w:r>
          </w:p>
        </w:tc>
        <w:tc>
          <w:tcPr>
            <w:tcW w:w="1094" w:type="dxa"/>
            <w:shd w:val="solid" w:color="FFFFFF" w:fill="auto"/>
          </w:tcPr>
          <w:p w14:paraId="7F7B14E7" w14:textId="440318E8" w:rsidR="00A346EF" w:rsidRPr="00873B6C" w:rsidRDefault="00A346EF" w:rsidP="000040FE">
            <w:pPr>
              <w:pStyle w:val="TAC"/>
              <w:rPr>
                <w:sz w:val="16"/>
                <w:szCs w:val="16"/>
              </w:rPr>
            </w:pPr>
            <w:r w:rsidRPr="00873B6C">
              <w:rPr>
                <w:sz w:val="16"/>
                <w:szCs w:val="16"/>
              </w:rPr>
              <w:t>SP-210923</w:t>
            </w:r>
          </w:p>
        </w:tc>
        <w:tc>
          <w:tcPr>
            <w:tcW w:w="567" w:type="dxa"/>
            <w:shd w:val="solid" w:color="FFFFFF" w:fill="auto"/>
          </w:tcPr>
          <w:p w14:paraId="2FDDD130" w14:textId="74D00D85" w:rsidR="00A346EF" w:rsidRPr="00873B6C" w:rsidRDefault="00A346EF" w:rsidP="000040FE">
            <w:pPr>
              <w:pStyle w:val="TAL"/>
              <w:rPr>
                <w:sz w:val="16"/>
                <w:szCs w:val="16"/>
              </w:rPr>
            </w:pPr>
            <w:r w:rsidRPr="00873B6C">
              <w:rPr>
                <w:sz w:val="16"/>
                <w:szCs w:val="16"/>
              </w:rPr>
              <w:t>3052</w:t>
            </w:r>
          </w:p>
        </w:tc>
        <w:tc>
          <w:tcPr>
            <w:tcW w:w="425" w:type="dxa"/>
            <w:shd w:val="solid" w:color="FFFFFF" w:fill="auto"/>
          </w:tcPr>
          <w:p w14:paraId="6BAEEE3C" w14:textId="5CBD724E" w:rsidR="00A346EF" w:rsidRPr="00873B6C" w:rsidRDefault="00A346EF" w:rsidP="000040FE">
            <w:pPr>
              <w:pStyle w:val="TAL"/>
              <w:rPr>
                <w:sz w:val="16"/>
                <w:szCs w:val="16"/>
              </w:rPr>
            </w:pPr>
            <w:r w:rsidRPr="00873B6C">
              <w:rPr>
                <w:sz w:val="16"/>
                <w:szCs w:val="16"/>
              </w:rPr>
              <w:t>1</w:t>
            </w:r>
          </w:p>
        </w:tc>
        <w:tc>
          <w:tcPr>
            <w:tcW w:w="425" w:type="dxa"/>
            <w:shd w:val="solid" w:color="FFFFFF" w:fill="auto"/>
          </w:tcPr>
          <w:p w14:paraId="30F65ECC" w14:textId="5476279A" w:rsidR="00A346EF" w:rsidRPr="00873B6C" w:rsidRDefault="00A346EF" w:rsidP="000040FE">
            <w:pPr>
              <w:pStyle w:val="TAL"/>
              <w:rPr>
                <w:sz w:val="16"/>
                <w:szCs w:val="16"/>
              </w:rPr>
            </w:pPr>
            <w:r w:rsidRPr="00873B6C">
              <w:rPr>
                <w:sz w:val="16"/>
                <w:szCs w:val="16"/>
              </w:rPr>
              <w:t>B</w:t>
            </w:r>
          </w:p>
        </w:tc>
        <w:tc>
          <w:tcPr>
            <w:tcW w:w="4820" w:type="dxa"/>
            <w:shd w:val="solid" w:color="FFFFFF" w:fill="auto"/>
          </w:tcPr>
          <w:p w14:paraId="769F7A45" w14:textId="74DDFBAF" w:rsidR="00A346EF" w:rsidRPr="00873B6C" w:rsidRDefault="00A346EF" w:rsidP="000040FE">
            <w:pPr>
              <w:pStyle w:val="TAL"/>
              <w:rPr>
                <w:sz w:val="16"/>
                <w:szCs w:val="16"/>
              </w:rPr>
            </w:pPr>
            <w:r w:rsidRPr="00873B6C">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873B6C" w:rsidRDefault="00A346EF" w:rsidP="000040FE">
            <w:pPr>
              <w:pStyle w:val="TAC"/>
              <w:rPr>
                <w:sz w:val="16"/>
                <w:szCs w:val="16"/>
              </w:rPr>
            </w:pPr>
            <w:r w:rsidRPr="00873B6C">
              <w:rPr>
                <w:sz w:val="16"/>
                <w:szCs w:val="16"/>
              </w:rPr>
              <w:t>17.2.0</w:t>
            </w:r>
          </w:p>
        </w:tc>
      </w:tr>
      <w:tr w:rsidR="00A346EF" w:rsidRPr="00873B6C" w14:paraId="48146B93" w14:textId="77777777" w:rsidTr="009D14FB">
        <w:tc>
          <w:tcPr>
            <w:tcW w:w="800" w:type="dxa"/>
            <w:shd w:val="solid" w:color="FFFFFF" w:fill="auto"/>
          </w:tcPr>
          <w:p w14:paraId="0FAF0751" w14:textId="526FCC4E" w:rsidR="00A346EF" w:rsidRPr="00873B6C" w:rsidRDefault="00A346EF" w:rsidP="000040FE">
            <w:pPr>
              <w:pStyle w:val="TAC"/>
              <w:rPr>
                <w:sz w:val="16"/>
                <w:szCs w:val="16"/>
              </w:rPr>
            </w:pPr>
            <w:r w:rsidRPr="00873B6C">
              <w:rPr>
                <w:sz w:val="16"/>
                <w:szCs w:val="16"/>
              </w:rPr>
              <w:lastRenderedPageBreak/>
              <w:t>2021-09</w:t>
            </w:r>
          </w:p>
        </w:tc>
        <w:tc>
          <w:tcPr>
            <w:tcW w:w="800" w:type="dxa"/>
            <w:shd w:val="solid" w:color="FFFFFF" w:fill="auto"/>
          </w:tcPr>
          <w:p w14:paraId="48B862F3" w14:textId="25FDA760" w:rsidR="00A346EF" w:rsidRPr="00873B6C" w:rsidRDefault="00A346EF" w:rsidP="000040FE">
            <w:pPr>
              <w:pStyle w:val="TAL"/>
              <w:rPr>
                <w:sz w:val="16"/>
                <w:szCs w:val="16"/>
              </w:rPr>
            </w:pPr>
            <w:r w:rsidRPr="00873B6C">
              <w:rPr>
                <w:sz w:val="16"/>
                <w:szCs w:val="16"/>
              </w:rPr>
              <w:t>SP#93E</w:t>
            </w:r>
          </w:p>
        </w:tc>
        <w:tc>
          <w:tcPr>
            <w:tcW w:w="1094" w:type="dxa"/>
            <w:shd w:val="solid" w:color="FFFFFF" w:fill="auto"/>
          </w:tcPr>
          <w:p w14:paraId="64B8EAC7" w14:textId="6FFABECA" w:rsidR="00A346EF" w:rsidRPr="00873B6C" w:rsidRDefault="00A346EF" w:rsidP="000040FE">
            <w:pPr>
              <w:pStyle w:val="TAC"/>
              <w:rPr>
                <w:sz w:val="16"/>
                <w:szCs w:val="16"/>
              </w:rPr>
            </w:pPr>
            <w:r w:rsidRPr="00873B6C">
              <w:rPr>
                <w:sz w:val="16"/>
                <w:szCs w:val="16"/>
              </w:rPr>
              <w:t>SP-210915</w:t>
            </w:r>
          </w:p>
        </w:tc>
        <w:tc>
          <w:tcPr>
            <w:tcW w:w="567" w:type="dxa"/>
            <w:shd w:val="solid" w:color="FFFFFF" w:fill="auto"/>
          </w:tcPr>
          <w:p w14:paraId="2513C0B7" w14:textId="3A8180DE" w:rsidR="00A346EF" w:rsidRPr="00873B6C" w:rsidRDefault="00A346EF" w:rsidP="000040FE">
            <w:pPr>
              <w:pStyle w:val="TAL"/>
              <w:rPr>
                <w:sz w:val="16"/>
                <w:szCs w:val="16"/>
              </w:rPr>
            </w:pPr>
            <w:r w:rsidRPr="00873B6C">
              <w:rPr>
                <w:sz w:val="16"/>
                <w:szCs w:val="16"/>
              </w:rPr>
              <w:t>3054</w:t>
            </w:r>
          </w:p>
        </w:tc>
        <w:tc>
          <w:tcPr>
            <w:tcW w:w="425" w:type="dxa"/>
            <w:shd w:val="solid" w:color="FFFFFF" w:fill="auto"/>
          </w:tcPr>
          <w:p w14:paraId="01D4FFF4" w14:textId="5E0EF841" w:rsidR="00A346EF" w:rsidRPr="00873B6C" w:rsidRDefault="00A346EF" w:rsidP="000040FE">
            <w:pPr>
              <w:pStyle w:val="TAL"/>
              <w:rPr>
                <w:sz w:val="16"/>
                <w:szCs w:val="16"/>
              </w:rPr>
            </w:pPr>
            <w:r w:rsidRPr="00873B6C">
              <w:rPr>
                <w:sz w:val="16"/>
                <w:szCs w:val="16"/>
              </w:rPr>
              <w:t>1</w:t>
            </w:r>
          </w:p>
        </w:tc>
        <w:tc>
          <w:tcPr>
            <w:tcW w:w="425" w:type="dxa"/>
            <w:shd w:val="solid" w:color="FFFFFF" w:fill="auto"/>
          </w:tcPr>
          <w:p w14:paraId="636BF474" w14:textId="3D3973EE" w:rsidR="00A346EF" w:rsidRPr="00873B6C" w:rsidRDefault="00A346EF" w:rsidP="000040FE">
            <w:pPr>
              <w:pStyle w:val="TAL"/>
              <w:rPr>
                <w:sz w:val="16"/>
                <w:szCs w:val="16"/>
              </w:rPr>
            </w:pPr>
            <w:r w:rsidRPr="00873B6C">
              <w:rPr>
                <w:sz w:val="16"/>
                <w:szCs w:val="16"/>
              </w:rPr>
              <w:t>F</w:t>
            </w:r>
          </w:p>
        </w:tc>
        <w:tc>
          <w:tcPr>
            <w:tcW w:w="4820" w:type="dxa"/>
            <w:shd w:val="solid" w:color="FFFFFF" w:fill="auto"/>
          </w:tcPr>
          <w:p w14:paraId="3F8DE48E" w14:textId="7A130677" w:rsidR="00A346EF" w:rsidRPr="00873B6C" w:rsidRDefault="00A346EF" w:rsidP="000040FE">
            <w:pPr>
              <w:pStyle w:val="TAL"/>
              <w:rPr>
                <w:sz w:val="16"/>
                <w:szCs w:val="16"/>
              </w:rPr>
            </w:pPr>
            <w:r w:rsidRPr="00873B6C">
              <w:rPr>
                <w:sz w:val="16"/>
                <w:szCs w:val="16"/>
              </w:rPr>
              <w:t>Correction on Charging</w:t>
            </w:r>
          </w:p>
        </w:tc>
        <w:tc>
          <w:tcPr>
            <w:tcW w:w="708" w:type="dxa"/>
            <w:shd w:val="solid" w:color="FFFFFF" w:fill="auto"/>
          </w:tcPr>
          <w:p w14:paraId="4185E0F8" w14:textId="3532072B" w:rsidR="00A346EF" w:rsidRPr="00873B6C" w:rsidRDefault="00A346EF" w:rsidP="000040FE">
            <w:pPr>
              <w:pStyle w:val="TAC"/>
              <w:rPr>
                <w:sz w:val="16"/>
                <w:szCs w:val="16"/>
              </w:rPr>
            </w:pPr>
            <w:r w:rsidRPr="00873B6C">
              <w:rPr>
                <w:sz w:val="16"/>
                <w:szCs w:val="16"/>
              </w:rPr>
              <w:t>17.2.0</w:t>
            </w:r>
          </w:p>
        </w:tc>
      </w:tr>
      <w:tr w:rsidR="00A1192D" w:rsidRPr="00873B6C" w14:paraId="474A37A8" w14:textId="77777777" w:rsidTr="009D14FB">
        <w:tc>
          <w:tcPr>
            <w:tcW w:w="800" w:type="dxa"/>
            <w:shd w:val="solid" w:color="FFFFFF" w:fill="auto"/>
          </w:tcPr>
          <w:p w14:paraId="7B22C4D8" w14:textId="054606F8"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7FE69D4F" w14:textId="6A8610E3"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4D2DCFDE" w14:textId="0CC8A63D" w:rsidR="00A1192D" w:rsidRPr="00873B6C" w:rsidRDefault="00A1192D" w:rsidP="000040FE">
            <w:pPr>
              <w:pStyle w:val="TAC"/>
              <w:rPr>
                <w:sz w:val="16"/>
                <w:szCs w:val="16"/>
              </w:rPr>
            </w:pPr>
            <w:r w:rsidRPr="00873B6C">
              <w:rPr>
                <w:sz w:val="16"/>
                <w:szCs w:val="16"/>
              </w:rPr>
              <w:t>SP-210903</w:t>
            </w:r>
          </w:p>
        </w:tc>
        <w:tc>
          <w:tcPr>
            <w:tcW w:w="567" w:type="dxa"/>
            <w:shd w:val="solid" w:color="FFFFFF" w:fill="auto"/>
          </w:tcPr>
          <w:p w14:paraId="718C4E56" w14:textId="4735D73C" w:rsidR="00A1192D" w:rsidRPr="00873B6C" w:rsidRDefault="00A1192D" w:rsidP="000040FE">
            <w:pPr>
              <w:pStyle w:val="TAL"/>
              <w:rPr>
                <w:sz w:val="16"/>
                <w:szCs w:val="16"/>
              </w:rPr>
            </w:pPr>
            <w:r w:rsidRPr="00873B6C">
              <w:rPr>
                <w:sz w:val="16"/>
                <w:szCs w:val="16"/>
              </w:rPr>
              <w:t>3057</w:t>
            </w:r>
          </w:p>
        </w:tc>
        <w:tc>
          <w:tcPr>
            <w:tcW w:w="425" w:type="dxa"/>
            <w:shd w:val="solid" w:color="FFFFFF" w:fill="auto"/>
          </w:tcPr>
          <w:p w14:paraId="2EA63F84" w14:textId="427DA332" w:rsidR="00A1192D" w:rsidRPr="00873B6C" w:rsidRDefault="00A1192D" w:rsidP="000040FE">
            <w:pPr>
              <w:pStyle w:val="TAL"/>
              <w:rPr>
                <w:sz w:val="16"/>
                <w:szCs w:val="16"/>
              </w:rPr>
            </w:pPr>
            <w:r w:rsidRPr="00873B6C">
              <w:rPr>
                <w:sz w:val="16"/>
                <w:szCs w:val="16"/>
              </w:rPr>
              <w:t>1</w:t>
            </w:r>
          </w:p>
        </w:tc>
        <w:tc>
          <w:tcPr>
            <w:tcW w:w="425" w:type="dxa"/>
            <w:shd w:val="solid" w:color="FFFFFF" w:fill="auto"/>
          </w:tcPr>
          <w:p w14:paraId="3ADF719C" w14:textId="0B03D973" w:rsidR="00A1192D" w:rsidRPr="00873B6C" w:rsidRDefault="00A1192D" w:rsidP="000040FE">
            <w:pPr>
              <w:pStyle w:val="TAL"/>
              <w:rPr>
                <w:sz w:val="16"/>
                <w:szCs w:val="16"/>
              </w:rPr>
            </w:pPr>
            <w:r w:rsidRPr="00873B6C">
              <w:rPr>
                <w:sz w:val="16"/>
                <w:szCs w:val="16"/>
              </w:rPr>
              <w:t xml:space="preserve">A </w:t>
            </w:r>
          </w:p>
        </w:tc>
        <w:tc>
          <w:tcPr>
            <w:tcW w:w="4820" w:type="dxa"/>
            <w:shd w:val="solid" w:color="FFFFFF" w:fill="auto"/>
          </w:tcPr>
          <w:p w14:paraId="29165287" w14:textId="4CD86A32" w:rsidR="00A1192D" w:rsidRPr="00873B6C" w:rsidRDefault="00A1192D" w:rsidP="000040FE">
            <w:pPr>
              <w:pStyle w:val="TAL"/>
              <w:rPr>
                <w:sz w:val="16"/>
                <w:szCs w:val="16"/>
              </w:rPr>
            </w:pPr>
            <w:r w:rsidRPr="00873B6C">
              <w:rPr>
                <w:sz w:val="16"/>
                <w:szCs w:val="16"/>
              </w:rPr>
              <w:t>Derivation of UL Packet Filter from DL encapsulated IPsec protected packet</w:t>
            </w:r>
          </w:p>
        </w:tc>
        <w:tc>
          <w:tcPr>
            <w:tcW w:w="708" w:type="dxa"/>
            <w:shd w:val="solid" w:color="FFFFFF" w:fill="auto"/>
          </w:tcPr>
          <w:p w14:paraId="5868CB40" w14:textId="6F8C7D10" w:rsidR="00A1192D" w:rsidRPr="00873B6C" w:rsidRDefault="00A1192D" w:rsidP="000040FE">
            <w:pPr>
              <w:pStyle w:val="TAC"/>
              <w:rPr>
                <w:sz w:val="16"/>
                <w:szCs w:val="16"/>
              </w:rPr>
            </w:pPr>
            <w:r w:rsidRPr="00873B6C">
              <w:rPr>
                <w:sz w:val="16"/>
                <w:szCs w:val="16"/>
              </w:rPr>
              <w:t>17.2.0</w:t>
            </w:r>
          </w:p>
        </w:tc>
      </w:tr>
      <w:tr w:rsidR="00A1192D" w:rsidRPr="00873B6C" w14:paraId="67F63E61" w14:textId="77777777" w:rsidTr="009D14FB">
        <w:tc>
          <w:tcPr>
            <w:tcW w:w="800" w:type="dxa"/>
            <w:shd w:val="solid" w:color="FFFFFF" w:fill="auto"/>
          </w:tcPr>
          <w:p w14:paraId="035A5FB2" w14:textId="6CC40F83"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3D15E6F6" w14:textId="38941398"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0C4A4728" w14:textId="1D945DD1" w:rsidR="00A1192D" w:rsidRPr="00873B6C" w:rsidRDefault="00A1192D" w:rsidP="000040FE">
            <w:pPr>
              <w:pStyle w:val="TAC"/>
              <w:rPr>
                <w:sz w:val="16"/>
                <w:szCs w:val="16"/>
              </w:rPr>
            </w:pPr>
            <w:r w:rsidRPr="00873B6C">
              <w:rPr>
                <w:sz w:val="16"/>
                <w:szCs w:val="16"/>
              </w:rPr>
              <w:t>SP-210936</w:t>
            </w:r>
          </w:p>
        </w:tc>
        <w:tc>
          <w:tcPr>
            <w:tcW w:w="567" w:type="dxa"/>
            <w:shd w:val="solid" w:color="FFFFFF" w:fill="auto"/>
          </w:tcPr>
          <w:p w14:paraId="18989091" w14:textId="668C94C3" w:rsidR="00A1192D" w:rsidRPr="00873B6C" w:rsidRDefault="00A1192D" w:rsidP="000040FE">
            <w:pPr>
              <w:pStyle w:val="TAL"/>
              <w:rPr>
                <w:sz w:val="16"/>
                <w:szCs w:val="16"/>
              </w:rPr>
            </w:pPr>
            <w:r w:rsidRPr="00873B6C">
              <w:rPr>
                <w:sz w:val="16"/>
                <w:szCs w:val="16"/>
              </w:rPr>
              <w:t>3062</w:t>
            </w:r>
          </w:p>
        </w:tc>
        <w:tc>
          <w:tcPr>
            <w:tcW w:w="425" w:type="dxa"/>
            <w:shd w:val="solid" w:color="FFFFFF" w:fill="auto"/>
          </w:tcPr>
          <w:p w14:paraId="2FEEC5A5" w14:textId="77419368" w:rsidR="00A1192D" w:rsidRPr="00873B6C" w:rsidRDefault="00A1192D" w:rsidP="000040FE">
            <w:pPr>
              <w:pStyle w:val="TAL"/>
              <w:rPr>
                <w:sz w:val="16"/>
                <w:szCs w:val="16"/>
              </w:rPr>
            </w:pPr>
            <w:r w:rsidRPr="00873B6C">
              <w:rPr>
                <w:sz w:val="16"/>
                <w:szCs w:val="16"/>
              </w:rPr>
              <w:t xml:space="preserve">1 </w:t>
            </w:r>
          </w:p>
        </w:tc>
        <w:tc>
          <w:tcPr>
            <w:tcW w:w="425" w:type="dxa"/>
            <w:shd w:val="solid" w:color="FFFFFF" w:fill="auto"/>
          </w:tcPr>
          <w:p w14:paraId="762122E7" w14:textId="6CE6D395" w:rsidR="00A1192D" w:rsidRPr="00873B6C" w:rsidRDefault="00A1192D" w:rsidP="000040FE">
            <w:pPr>
              <w:pStyle w:val="TAL"/>
              <w:rPr>
                <w:sz w:val="16"/>
                <w:szCs w:val="16"/>
              </w:rPr>
            </w:pPr>
            <w:r w:rsidRPr="00873B6C">
              <w:rPr>
                <w:sz w:val="16"/>
                <w:szCs w:val="16"/>
              </w:rPr>
              <w:t>C</w:t>
            </w:r>
          </w:p>
        </w:tc>
        <w:tc>
          <w:tcPr>
            <w:tcW w:w="4820" w:type="dxa"/>
            <w:shd w:val="solid" w:color="FFFFFF" w:fill="auto"/>
          </w:tcPr>
          <w:p w14:paraId="7045018F" w14:textId="0C2AABE9" w:rsidR="00A1192D" w:rsidRPr="00873B6C" w:rsidRDefault="00A1192D" w:rsidP="000040FE">
            <w:pPr>
              <w:pStyle w:val="TAL"/>
              <w:rPr>
                <w:sz w:val="16"/>
                <w:szCs w:val="16"/>
              </w:rPr>
            </w:pPr>
            <w:r w:rsidRPr="00873B6C">
              <w:rPr>
                <w:sz w:val="16"/>
                <w:szCs w:val="16"/>
              </w:rPr>
              <w:t>Explicit indication for ATC</w:t>
            </w:r>
          </w:p>
        </w:tc>
        <w:tc>
          <w:tcPr>
            <w:tcW w:w="708" w:type="dxa"/>
            <w:shd w:val="solid" w:color="FFFFFF" w:fill="auto"/>
          </w:tcPr>
          <w:p w14:paraId="2259BEB7" w14:textId="2AEEF1CF" w:rsidR="00A1192D" w:rsidRPr="00873B6C" w:rsidRDefault="00A1192D" w:rsidP="000040FE">
            <w:pPr>
              <w:pStyle w:val="TAC"/>
              <w:rPr>
                <w:sz w:val="16"/>
                <w:szCs w:val="16"/>
              </w:rPr>
            </w:pPr>
            <w:r w:rsidRPr="00873B6C">
              <w:rPr>
                <w:sz w:val="16"/>
                <w:szCs w:val="16"/>
              </w:rPr>
              <w:t>17.2.0</w:t>
            </w:r>
          </w:p>
        </w:tc>
      </w:tr>
      <w:tr w:rsidR="00A1192D" w:rsidRPr="00873B6C" w14:paraId="4AA5B75F" w14:textId="77777777" w:rsidTr="009D14FB">
        <w:tc>
          <w:tcPr>
            <w:tcW w:w="800" w:type="dxa"/>
            <w:shd w:val="solid" w:color="FFFFFF" w:fill="auto"/>
          </w:tcPr>
          <w:p w14:paraId="6A5F6384" w14:textId="52789998"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6879AA06" w14:textId="77A92D23"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1E7C97AD" w14:textId="75BFB7E7" w:rsidR="00A1192D" w:rsidRPr="00873B6C" w:rsidRDefault="00A1192D" w:rsidP="000040FE">
            <w:pPr>
              <w:pStyle w:val="TAC"/>
              <w:rPr>
                <w:sz w:val="16"/>
                <w:szCs w:val="16"/>
              </w:rPr>
            </w:pPr>
            <w:r w:rsidRPr="00873B6C">
              <w:rPr>
                <w:sz w:val="16"/>
                <w:szCs w:val="16"/>
              </w:rPr>
              <w:t>SP-210936</w:t>
            </w:r>
          </w:p>
        </w:tc>
        <w:tc>
          <w:tcPr>
            <w:tcW w:w="567" w:type="dxa"/>
            <w:shd w:val="solid" w:color="FFFFFF" w:fill="auto"/>
          </w:tcPr>
          <w:p w14:paraId="2CD3861D" w14:textId="351D1EB2" w:rsidR="00A1192D" w:rsidRPr="00873B6C" w:rsidRDefault="00A1192D" w:rsidP="000040FE">
            <w:pPr>
              <w:pStyle w:val="TAL"/>
              <w:rPr>
                <w:sz w:val="16"/>
                <w:szCs w:val="16"/>
              </w:rPr>
            </w:pPr>
            <w:r w:rsidRPr="00873B6C">
              <w:rPr>
                <w:sz w:val="16"/>
                <w:szCs w:val="16"/>
              </w:rPr>
              <w:t>3064</w:t>
            </w:r>
          </w:p>
        </w:tc>
        <w:tc>
          <w:tcPr>
            <w:tcW w:w="425" w:type="dxa"/>
            <w:shd w:val="solid" w:color="FFFFFF" w:fill="auto"/>
          </w:tcPr>
          <w:p w14:paraId="49CCDE33" w14:textId="689F4259" w:rsidR="00A1192D" w:rsidRPr="00873B6C" w:rsidRDefault="00A1192D" w:rsidP="000040FE">
            <w:pPr>
              <w:pStyle w:val="TAL"/>
              <w:rPr>
                <w:sz w:val="16"/>
                <w:szCs w:val="16"/>
              </w:rPr>
            </w:pPr>
            <w:r w:rsidRPr="00873B6C">
              <w:rPr>
                <w:sz w:val="16"/>
                <w:szCs w:val="16"/>
              </w:rPr>
              <w:t xml:space="preserve">- </w:t>
            </w:r>
          </w:p>
        </w:tc>
        <w:tc>
          <w:tcPr>
            <w:tcW w:w="425" w:type="dxa"/>
            <w:shd w:val="solid" w:color="FFFFFF" w:fill="auto"/>
          </w:tcPr>
          <w:p w14:paraId="5375384C" w14:textId="4FDD103D" w:rsidR="00A1192D" w:rsidRPr="00873B6C" w:rsidRDefault="00A1192D" w:rsidP="000040FE">
            <w:pPr>
              <w:pStyle w:val="TAL"/>
              <w:rPr>
                <w:sz w:val="16"/>
                <w:szCs w:val="16"/>
              </w:rPr>
            </w:pPr>
            <w:r w:rsidRPr="00873B6C">
              <w:rPr>
                <w:sz w:val="16"/>
                <w:szCs w:val="16"/>
              </w:rPr>
              <w:t>F</w:t>
            </w:r>
          </w:p>
        </w:tc>
        <w:tc>
          <w:tcPr>
            <w:tcW w:w="4820" w:type="dxa"/>
            <w:shd w:val="solid" w:color="FFFFFF" w:fill="auto"/>
          </w:tcPr>
          <w:p w14:paraId="52FD996B" w14:textId="105BD973" w:rsidR="00A1192D" w:rsidRPr="00873B6C" w:rsidRDefault="00A1192D" w:rsidP="000040FE">
            <w:pPr>
              <w:pStyle w:val="TAL"/>
              <w:rPr>
                <w:sz w:val="16"/>
                <w:szCs w:val="16"/>
              </w:rPr>
            </w:pPr>
            <w:r w:rsidRPr="00873B6C">
              <w:rPr>
                <w:sz w:val="16"/>
                <w:szCs w:val="16"/>
              </w:rPr>
              <w:t>Corrections on the AF related identifier</w:t>
            </w:r>
          </w:p>
        </w:tc>
        <w:tc>
          <w:tcPr>
            <w:tcW w:w="708" w:type="dxa"/>
            <w:shd w:val="solid" w:color="FFFFFF" w:fill="auto"/>
          </w:tcPr>
          <w:p w14:paraId="65F38798" w14:textId="51AB3B3A" w:rsidR="00A1192D" w:rsidRPr="00873B6C" w:rsidRDefault="00A1192D" w:rsidP="000040FE">
            <w:pPr>
              <w:pStyle w:val="TAC"/>
              <w:rPr>
                <w:sz w:val="16"/>
                <w:szCs w:val="16"/>
              </w:rPr>
            </w:pPr>
            <w:r w:rsidRPr="00873B6C">
              <w:rPr>
                <w:sz w:val="16"/>
                <w:szCs w:val="16"/>
              </w:rPr>
              <w:t>17.2.0</w:t>
            </w:r>
          </w:p>
        </w:tc>
      </w:tr>
      <w:tr w:rsidR="00A1192D" w:rsidRPr="00873B6C" w14:paraId="361C223A" w14:textId="77777777" w:rsidTr="009D14FB">
        <w:tc>
          <w:tcPr>
            <w:tcW w:w="800" w:type="dxa"/>
            <w:shd w:val="solid" w:color="FFFFFF" w:fill="auto"/>
          </w:tcPr>
          <w:p w14:paraId="0E5D1597" w14:textId="7059ED99"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2411FD47" w14:textId="44FD0151"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612E41D7" w14:textId="6C312493" w:rsidR="00A1192D" w:rsidRPr="00873B6C" w:rsidRDefault="00A1192D" w:rsidP="000040FE">
            <w:pPr>
              <w:pStyle w:val="TAC"/>
              <w:rPr>
                <w:sz w:val="16"/>
                <w:szCs w:val="16"/>
              </w:rPr>
            </w:pPr>
            <w:r w:rsidRPr="00873B6C">
              <w:rPr>
                <w:sz w:val="16"/>
                <w:szCs w:val="16"/>
              </w:rPr>
              <w:t>SP-210937</w:t>
            </w:r>
          </w:p>
        </w:tc>
        <w:tc>
          <w:tcPr>
            <w:tcW w:w="567" w:type="dxa"/>
            <w:shd w:val="solid" w:color="FFFFFF" w:fill="auto"/>
          </w:tcPr>
          <w:p w14:paraId="46A0C606" w14:textId="3BFDD3B0" w:rsidR="00A1192D" w:rsidRPr="00873B6C" w:rsidRDefault="00A1192D" w:rsidP="000040FE">
            <w:pPr>
              <w:pStyle w:val="TAL"/>
              <w:rPr>
                <w:sz w:val="16"/>
                <w:szCs w:val="16"/>
              </w:rPr>
            </w:pPr>
            <w:r w:rsidRPr="00873B6C">
              <w:rPr>
                <w:sz w:val="16"/>
                <w:szCs w:val="16"/>
              </w:rPr>
              <w:t>3065</w:t>
            </w:r>
          </w:p>
        </w:tc>
        <w:tc>
          <w:tcPr>
            <w:tcW w:w="425" w:type="dxa"/>
            <w:shd w:val="solid" w:color="FFFFFF" w:fill="auto"/>
          </w:tcPr>
          <w:p w14:paraId="20D9A3C1" w14:textId="366DC9EA" w:rsidR="00A1192D" w:rsidRPr="00873B6C" w:rsidRDefault="00A1192D" w:rsidP="000040FE">
            <w:pPr>
              <w:pStyle w:val="TAL"/>
              <w:rPr>
                <w:sz w:val="16"/>
                <w:szCs w:val="16"/>
              </w:rPr>
            </w:pPr>
            <w:r w:rsidRPr="00873B6C">
              <w:rPr>
                <w:sz w:val="16"/>
                <w:szCs w:val="16"/>
              </w:rPr>
              <w:t xml:space="preserve">1 </w:t>
            </w:r>
          </w:p>
        </w:tc>
        <w:tc>
          <w:tcPr>
            <w:tcW w:w="425" w:type="dxa"/>
            <w:shd w:val="solid" w:color="FFFFFF" w:fill="auto"/>
          </w:tcPr>
          <w:p w14:paraId="586BF934" w14:textId="5881AE29" w:rsidR="00A1192D" w:rsidRPr="00873B6C" w:rsidRDefault="00A1192D" w:rsidP="000040FE">
            <w:pPr>
              <w:pStyle w:val="TAL"/>
              <w:rPr>
                <w:sz w:val="16"/>
                <w:szCs w:val="16"/>
              </w:rPr>
            </w:pPr>
            <w:r w:rsidRPr="00873B6C">
              <w:rPr>
                <w:sz w:val="16"/>
                <w:szCs w:val="16"/>
              </w:rPr>
              <w:t>F</w:t>
            </w:r>
          </w:p>
        </w:tc>
        <w:tc>
          <w:tcPr>
            <w:tcW w:w="4820" w:type="dxa"/>
            <w:shd w:val="solid" w:color="FFFFFF" w:fill="auto"/>
          </w:tcPr>
          <w:p w14:paraId="414434C7" w14:textId="4F362B8A" w:rsidR="00A1192D" w:rsidRPr="00873B6C" w:rsidRDefault="00A1192D" w:rsidP="000040FE">
            <w:pPr>
              <w:pStyle w:val="TAL"/>
              <w:rPr>
                <w:sz w:val="16"/>
                <w:szCs w:val="16"/>
              </w:rPr>
            </w:pPr>
            <w:r w:rsidRPr="00873B6C">
              <w:rPr>
                <w:sz w:val="16"/>
                <w:szCs w:val="16"/>
              </w:rPr>
              <w:t>Corrections on geographical area</w:t>
            </w:r>
          </w:p>
        </w:tc>
        <w:tc>
          <w:tcPr>
            <w:tcW w:w="708" w:type="dxa"/>
            <w:shd w:val="solid" w:color="FFFFFF" w:fill="auto"/>
          </w:tcPr>
          <w:p w14:paraId="70A99DEB" w14:textId="1A4D73A8" w:rsidR="00A1192D" w:rsidRPr="00873B6C" w:rsidRDefault="00A1192D" w:rsidP="000040FE">
            <w:pPr>
              <w:pStyle w:val="TAC"/>
              <w:rPr>
                <w:sz w:val="16"/>
                <w:szCs w:val="16"/>
              </w:rPr>
            </w:pPr>
            <w:r w:rsidRPr="00873B6C">
              <w:rPr>
                <w:sz w:val="16"/>
                <w:szCs w:val="16"/>
              </w:rPr>
              <w:t>17.2.0</w:t>
            </w:r>
          </w:p>
        </w:tc>
      </w:tr>
      <w:tr w:rsidR="00A1192D" w:rsidRPr="00873B6C" w14:paraId="33EBAC6C" w14:textId="77777777" w:rsidTr="009D14FB">
        <w:tc>
          <w:tcPr>
            <w:tcW w:w="800" w:type="dxa"/>
            <w:shd w:val="solid" w:color="FFFFFF" w:fill="auto"/>
          </w:tcPr>
          <w:p w14:paraId="29875DDE" w14:textId="73427064"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4928CD6A" w14:textId="56DE9F44"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3D5D2516" w14:textId="387D0649" w:rsidR="00A1192D" w:rsidRPr="00873B6C" w:rsidRDefault="00A1192D" w:rsidP="000040FE">
            <w:pPr>
              <w:pStyle w:val="TAC"/>
              <w:rPr>
                <w:sz w:val="16"/>
                <w:szCs w:val="16"/>
              </w:rPr>
            </w:pPr>
            <w:r w:rsidRPr="00873B6C">
              <w:rPr>
                <w:sz w:val="16"/>
                <w:szCs w:val="16"/>
              </w:rPr>
              <w:t>SP-210925</w:t>
            </w:r>
          </w:p>
        </w:tc>
        <w:tc>
          <w:tcPr>
            <w:tcW w:w="567" w:type="dxa"/>
            <w:shd w:val="solid" w:color="FFFFFF" w:fill="auto"/>
          </w:tcPr>
          <w:p w14:paraId="3964A511" w14:textId="4DC53D7B" w:rsidR="00A1192D" w:rsidRPr="00873B6C" w:rsidRDefault="00A1192D" w:rsidP="000040FE">
            <w:pPr>
              <w:pStyle w:val="TAL"/>
              <w:rPr>
                <w:sz w:val="16"/>
                <w:szCs w:val="16"/>
              </w:rPr>
            </w:pPr>
            <w:r w:rsidRPr="00873B6C">
              <w:rPr>
                <w:sz w:val="16"/>
                <w:szCs w:val="16"/>
              </w:rPr>
              <w:t>3066</w:t>
            </w:r>
          </w:p>
        </w:tc>
        <w:tc>
          <w:tcPr>
            <w:tcW w:w="425" w:type="dxa"/>
            <w:shd w:val="solid" w:color="FFFFFF" w:fill="auto"/>
          </w:tcPr>
          <w:p w14:paraId="651D627A" w14:textId="4CE2BE88" w:rsidR="00A1192D" w:rsidRPr="00873B6C" w:rsidRDefault="00A1192D" w:rsidP="000040FE">
            <w:pPr>
              <w:pStyle w:val="TAL"/>
              <w:rPr>
                <w:sz w:val="16"/>
                <w:szCs w:val="16"/>
              </w:rPr>
            </w:pPr>
            <w:r w:rsidRPr="00873B6C">
              <w:rPr>
                <w:sz w:val="16"/>
                <w:szCs w:val="16"/>
              </w:rPr>
              <w:t>1</w:t>
            </w:r>
          </w:p>
        </w:tc>
        <w:tc>
          <w:tcPr>
            <w:tcW w:w="425" w:type="dxa"/>
            <w:shd w:val="solid" w:color="FFFFFF" w:fill="auto"/>
          </w:tcPr>
          <w:p w14:paraId="3357D257" w14:textId="697493DC" w:rsidR="00A1192D" w:rsidRPr="00873B6C" w:rsidRDefault="00A1192D" w:rsidP="000040FE">
            <w:pPr>
              <w:pStyle w:val="TAL"/>
              <w:rPr>
                <w:sz w:val="16"/>
                <w:szCs w:val="16"/>
              </w:rPr>
            </w:pPr>
            <w:r w:rsidRPr="00873B6C">
              <w:rPr>
                <w:sz w:val="16"/>
                <w:szCs w:val="16"/>
              </w:rPr>
              <w:t>F</w:t>
            </w:r>
          </w:p>
        </w:tc>
        <w:tc>
          <w:tcPr>
            <w:tcW w:w="4820" w:type="dxa"/>
            <w:shd w:val="solid" w:color="FFFFFF" w:fill="auto"/>
          </w:tcPr>
          <w:p w14:paraId="4B2D1C49" w14:textId="56CB89FF" w:rsidR="00A1192D" w:rsidRPr="00873B6C" w:rsidRDefault="00A1192D" w:rsidP="000040FE">
            <w:pPr>
              <w:pStyle w:val="TAL"/>
              <w:rPr>
                <w:sz w:val="16"/>
                <w:szCs w:val="16"/>
              </w:rPr>
            </w:pPr>
            <w:r w:rsidRPr="00873B6C">
              <w:rPr>
                <w:sz w:val="16"/>
                <w:szCs w:val="16"/>
              </w:rPr>
              <w:t>Addition of NSACF services</w:t>
            </w:r>
          </w:p>
        </w:tc>
        <w:tc>
          <w:tcPr>
            <w:tcW w:w="708" w:type="dxa"/>
            <w:shd w:val="solid" w:color="FFFFFF" w:fill="auto"/>
          </w:tcPr>
          <w:p w14:paraId="1CA2FDB4" w14:textId="1B32FB36" w:rsidR="00A1192D" w:rsidRPr="00873B6C" w:rsidRDefault="00A1192D" w:rsidP="000040FE">
            <w:pPr>
              <w:pStyle w:val="TAC"/>
              <w:rPr>
                <w:sz w:val="16"/>
                <w:szCs w:val="16"/>
              </w:rPr>
            </w:pPr>
            <w:r w:rsidRPr="00873B6C">
              <w:rPr>
                <w:sz w:val="16"/>
                <w:szCs w:val="16"/>
              </w:rPr>
              <w:t>17.2.0</w:t>
            </w:r>
          </w:p>
        </w:tc>
      </w:tr>
      <w:tr w:rsidR="00366291" w:rsidRPr="00873B6C" w14:paraId="79E2D65B" w14:textId="77777777" w:rsidTr="009D14FB">
        <w:tc>
          <w:tcPr>
            <w:tcW w:w="800" w:type="dxa"/>
            <w:shd w:val="solid" w:color="FFFFFF" w:fill="auto"/>
          </w:tcPr>
          <w:p w14:paraId="497B3098" w14:textId="0E466B28"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160425AA" w14:textId="3E898804"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3825BA8F" w14:textId="7CE05E90" w:rsidR="00366291" w:rsidRPr="00873B6C" w:rsidRDefault="00366291" w:rsidP="000040FE">
            <w:pPr>
              <w:pStyle w:val="TAC"/>
              <w:rPr>
                <w:sz w:val="16"/>
                <w:szCs w:val="16"/>
              </w:rPr>
            </w:pPr>
            <w:r w:rsidRPr="00873B6C">
              <w:rPr>
                <w:sz w:val="16"/>
                <w:szCs w:val="16"/>
              </w:rPr>
              <w:t>SP-210925</w:t>
            </w:r>
          </w:p>
        </w:tc>
        <w:tc>
          <w:tcPr>
            <w:tcW w:w="567" w:type="dxa"/>
            <w:shd w:val="solid" w:color="FFFFFF" w:fill="auto"/>
          </w:tcPr>
          <w:p w14:paraId="1A72C496" w14:textId="129FA1CD" w:rsidR="00366291" w:rsidRPr="00873B6C" w:rsidRDefault="00366291" w:rsidP="000040FE">
            <w:pPr>
              <w:pStyle w:val="TAL"/>
              <w:rPr>
                <w:sz w:val="16"/>
                <w:szCs w:val="16"/>
              </w:rPr>
            </w:pPr>
            <w:r w:rsidRPr="00873B6C">
              <w:rPr>
                <w:sz w:val="16"/>
                <w:szCs w:val="16"/>
              </w:rPr>
              <w:t>3067</w:t>
            </w:r>
          </w:p>
        </w:tc>
        <w:tc>
          <w:tcPr>
            <w:tcW w:w="425" w:type="dxa"/>
            <w:shd w:val="solid" w:color="FFFFFF" w:fill="auto"/>
          </w:tcPr>
          <w:p w14:paraId="3FEC70A7" w14:textId="04F1799B"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6CAA9F6A" w14:textId="3D97B091"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68B2A329" w14:textId="435AFA7C" w:rsidR="00366291" w:rsidRPr="00873B6C" w:rsidRDefault="00366291" w:rsidP="000040FE">
            <w:pPr>
              <w:pStyle w:val="TAL"/>
              <w:rPr>
                <w:sz w:val="16"/>
                <w:szCs w:val="16"/>
              </w:rPr>
            </w:pPr>
            <w:r w:rsidRPr="00873B6C">
              <w:rPr>
                <w:sz w:val="16"/>
                <w:szCs w:val="16"/>
              </w:rPr>
              <w:t>Redirection to dedicated frequency band(s) at the end of NSSAA</w:t>
            </w:r>
          </w:p>
        </w:tc>
        <w:tc>
          <w:tcPr>
            <w:tcW w:w="708" w:type="dxa"/>
            <w:shd w:val="solid" w:color="FFFFFF" w:fill="auto"/>
          </w:tcPr>
          <w:p w14:paraId="282A4D43" w14:textId="6AA14F15" w:rsidR="00366291" w:rsidRPr="00873B6C" w:rsidRDefault="00366291" w:rsidP="000040FE">
            <w:pPr>
              <w:pStyle w:val="TAC"/>
              <w:rPr>
                <w:sz w:val="16"/>
                <w:szCs w:val="16"/>
              </w:rPr>
            </w:pPr>
            <w:r w:rsidRPr="00873B6C">
              <w:rPr>
                <w:sz w:val="16"/>
                <w:szCs w:val="16"/>
              </w:rPr>
              <w:t>17.2.0</w:t>
            </w:r>
          </w:p>
        </w:tc>
      </w:tr>
      <w:tr w:rsidR="00366291" w:rsidRPr="00873B6C" w14:paraId="0DAD6FC2" w14:textId="77777777" w:rsidTr="009D14FB">
        <w:tc>
          <w:tcPr>
            <w:tcW w:w="800" w:type="dxa"/>
            <w:shd w:val="solid" w:color="FFFFFF" w:fill="auto"/>
          </w:tcPr>
          <w:p w14:paraId="369B60BF" w14:textId="51A526BD"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01DB5FC0" w14:textId="47CC0284"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57F4EC7D" w14:textId="74FDF803" w:rsidR="00366291" w:rsidRPr="00873B6C" w:rsidRDefault="00366291" w:rsidP="000040FE">
            <w:pPr>
              <w:pStyle w:val="TAC"/>
              <w:rPr>
                <w:sz w:val="16"/>
                <w:szCs w:val="16"/>
              </w:rPr>
            </w:pPr>
            <w:r w:rsidRPr="00873B6C">
              <w:rPr>
                <w:sz w:val="16"/>
                <w:szCs w:val="16"/>
              </w:rPr>
              <w:t>SP-210925</w:t>
            </w:r>
          </w:p>
        </w:tc>
        <w:tc>
          <w:tcPr>
            <w:tcW w:w="567" w:type="dxa"/>
            <w:shd w:val="solid" w:color="FFFFFF" w:fill="auto"/>
          </w:tcPr>
          <w:p w14:paraId="6A2169E7" w14:textId="2C135476" w:rsidR="00366291" w:rsidRPr="00873B6C" w:rsidRDefault="00366291" w:rsidP="000040FE">
            <w:pPr>
              <w:pStyle w:val="TAL"/>
              <w:rPr>
                <w:sz w:val="16"/>
                <w:szCs w:val="16"/>
              </w:rPr>
            </w:pPr>
            <w:r w:rsidRPr="00873B6C">
              <w:rPr>
                <w:sz w:val="16"/>
                <w:szCs w:val="16"/>
              </w:rPr>
              <w:t>3072</w:t>
            </w:r>
          </w:p>
        </w:tc>
        <w:tc>
          <w:tcPr>
            <w:tcW w:w="425" w:type="dxa"/>
            <w:shd w:val="solid" w:color="FFFFFF" w:fill="auto"/>
          </w:tcPr>
          <w:p w14:paraId="1EE8A261" w14:textId="0713D64A"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5DAA2673" w14:textId="56E79321"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6391E0FE" w14:textId="76E4EC40" w:rsidR="00366291" w:rsidRPr="00873B6C" w:rsidRDefault="00366291" w:rsidP="000040FE">
            <w:pPr>
              <w:pStyle w:val="TAL"/>
              <w:rPr>
                <w:sz w:val="16"/>
                <w:szCs w:val="16"/>
              </w:rPr>
            </w:pPr>
            <w:r w:rsidRPr="00873B6C">
              <w:rPr>
                <w:sz w:val="16"/>
                <w:szCs w:val="16"/>
              </w:rPr>
              <w:t>KI#5 UE-Slice-MBR enforcement in PCF</w:t>
            </w:r>
          </w:p>
        </w:tc>
        <w:tc>
          <w:tcPr>
            <w:tcW w:w="708" w:type="dxa"/>
            <w:shd w:val="solid" w:color="FFFFFF" w:fill="auto"/>
          </w:tcPr>
          <w:p w14:paraId="6E715A98" w14:textId="26E6D4A5" w:rsidR="00366291" w:rsidRPr="00873B6C" w:rsidRDefault="00366291" w:rsidP="000040FE">
            <w:pPr>
              <w:pStyle w:val="TAC"/>
              <w:rPr>
                <w:sz w:val="16"/>
                <w:szCs w:val="16"/>
              </w:rPr>
            </w:pPr>
            <w:r w:rsidRPr="00873B6C">
              <w:rPr>
                <w:sz w:val="16"/>
                <w:szCs w:val="16"/>
              </w:rPr>
              <w:t>17.2.0</w:t>
            </w:r>
          </w:p>
        </w:tc>
      </w:tr>
      <w:tr w:rsidR="00366291" w:rsidRPr="00873B6C" w14:paraId="41F18720" w14:textId="77777777" w:rsidTr="009D14FB">
        <w:tc>
          <w:tcPr>
            <w:tcW w:w="800" w:type="dxa"/>
            <w:shd w:val="solid" w:color="FFFFFF" w:fill="auto"/>
          </w:tcPr>
          <w:p w14:paraId="1B4F11AC" w14:textId="69D9BC27"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4365AD41" w14:textId="61140E31"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2EB4722D" w14:textId="063783B3" w:rsidR="00366291" w:rsidRPr="00873B6C" w:rsidRDefault="00366291" w:rsidP="000040FE">
            <w:pPr>
              <w:pStyle w:val="TAC"/>
              <w:rPr>
                <w:sz w:val="16"/>
                <w:szCs w:val="16"/>
              </w:rPr>
            </w:pPr>
            <w:r w:rsidRPr="00873B6C">
              <w:rPr>
                <w:sz w:val="16"/>
                <w:szCs w:val="16"/>
              </w:rPr>
              <w:t>SP-210925</w:t>
            </w:r>
          </w:p>
        </w:tc>
        <w:tc>
          <w:tcPr>
            <w:tcW w:w="567" w:type="dxa"/>
            <w:shd w:val="solid" w:color="FFFFFF" w:fill="auto"/>
          </w:tcPr>
          <w:p w14:paraId="5B8D00D6" w14:textId="243648B4" w:rsidR="00366291" w:rsidRPr="00873B6C" w:rsidRDefault="00366291" w:rsidP="000040FE">
            <w:pPr>
              <w:pStyle w:val="TAL"/>
              <w:rPr>
                <w:sz w:val="16"/>
                <w:szCs w:val="16"/>
              </w:rPr>
            </w:pPr>
            <w:r w:rsidRPr="00873B6C">
              <w:rPr>
                <w:sz w:val="16"/>
                <w:szCs w:val="16"/>
              </w:rPr>
              <w:t>3074</w:t>
            </w:r>
          </w:p>
        </w:tc>
        <w:tc>
          <w:tcPr>
            <w:tcW w:w="425" w:type="dxa"/>
            <w:shd w:val="solid" w:color="FFFFFF" w:fill="auto"/>
          </w:tcPr>
          <w:p w14:paraId="4B65FF70" w14:textId="1955B2C0"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23054288" w14:textId="187BB1FC" w:rsidR="00366291" w:rsidRPr="00873B6C" w:rsidRDefault="00366291" w:rsidP="000040FE">
            <w:pPr>
              <w:pStyle w:val="TAL"/>
              <w:rPr>
                <w:sz w:val="16"/>
                <w:szCs w:val="16"/>
              </w:rPr>
            </w:pPr>
            <w:r w:rsidRPr="00873B6C">
              <w:rPr>
                <w:sz w:val="16"/>
                <w:szCs w:val="16"/>
              </w:rPr>
              <w:t>B</w:t>
            </w:r>
          </w:p>
        </w:tc>
        <w:tc>
          <w:tcPr>
            <w:tcW w:w="4820" w:type="dxa"/>
            <w:shd w:val="solid" w:color="FFFFFF" w:fill="auto"/>
          </w:tcPr>
          <w:p w14:paraId="1BD622E4" w14:textId="16F707E7" w:rsidR="00366291" w:rsidRPr="00873B6C" w:rsidRDefault="00366291" w:rsidP="000040FE">
            <w:pPr>
              <w:pStyle w:val="TAL"/>
              <w:rPr>
                <w:sz w:val="16"/>
                <w:szCs w:val="16"/>
              </w:rPr>
            </w:pPr>
            <w:r w:rsidRPr="00873B6C">
              <w:rPr>
                <w:sz w:val="16"/>
                <w:szCs w:val="16"/>
              </w:rPr>
              <w:t>Roaming support for NSAC in VPLMN</w:t>
            </w:r>
          </w:p>
        </w:tc>
        <w:tc>
          <w:tcPr>
            <w:tcW w:w="708" w:type="dxa"/>
            <w:shd w:val="solid" w:color="FFFFFF" w:fill="auto"/>
          </w:tcPr>
          <w:p w14:paraId="0105433F" w14:textId="290C08A6" w:rsidR="00366291" w:rsidRPr="00873B6C" w:rsidRDefault="00366291" w:rsidP="000040FE">
            <w:pPr>
              <w:pStyle w:val="TAC"/>
              <w:rPr>
                <w:sz w:val="16"/>
                <w:szCs w:val="16"/>
              </w:rPr>
            </w:pPr>
            <w:r w:rsidRPr="00873B6C">
              <w:rPr>
                <w:sz w:val="16"/>
                <w:szCs w:val="16"/>
              </w:rPr>
              <w:t>17.2.0</w:t>
            </w:r>
          </w:p>
        </w:tc>
      </w:tr>
      <w:tr w:rsidR="00366291" w:rsidRPr="00873B6C" w14:paraId="39425451" w14:textId="77777777" w:rsidTr="009D14FB">
        <w:tc>
          <w:tcPr>
            <w:tcW w:w="800" w:type="dxa"/>
            <w:shd w:val="solid" w:color="FFFFFF" w:fill="auto"/>
          </w:tcPr>
          <w:p w14:paraId="0F6F2C8F" w14:textId="40A96FCF"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370D103D" w14:textId="3F331D82"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0B34C709" w14:textId="22571676" w:rsidR="00366291" w:rsidRPr="00873B6C" w:rsidRDefault="00366291" w:rsidP="000040FE">
            <w:pPr>
              <w:pStyle w:val="TAC"/>
              <w:rPr>
                <w:sz w:val="16"/>
                <w:szCs w:val="16"/>
              </w:rPr>
            </w:pPr>
            <w:r w:rsidRPr="00873B6C">
              <w:rPr>
                <w:sz w:val="16"/>
                <w:szCs w:val="16"/>
              </w:rPr>
              <w:t>SP-210925</w:t>
            </w:r>
          </w:p>
        </w:tc>
        <w:tc>
          <w:tcPr>
            <w:tcW w:w="567" w:type="dxa"/>
            <w:shd w:val="solid" w:color="FFFFFF" w:fill="auto"/>
          </w:tcPr>
          <w:p w14:paraId="02C453B4" w14:textId="1DCD494C" w:rsidR="00366291" w:rsidRPr="00873B6C" w:rsidRDefault="00366291" w:rsidP="000040FE">
            <w:pPr>
              <w:pStyle w:val="TAL"/>
              <w:rPr>
                <w:sz w:val="16"/>
                <w:szCs w:val="16"/>
              </w:rPr>
            </w:pPr>
            <w:r w:rsidRPr="00873B6C">
              <w:rPr>
                <w:sz w:val="16"/>
                <w:szCs w:val="16"/>
              </w:rPr>
              <w:t>3077</w:t>
            </w:r>
          </w:p>
        </w:tc>
        <w:tc>
          <w:tcPr>
            <w:tcW w:w="425" w:type="dxa"/>
            <w:shd w:val="solid" w:color="FFFFFF" w:fill="auto"/>
          </w:tcPr>
          <w:p w14:paraId="40CBD30B" w14:textId="7680D94B"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666C1EBE" w14:textId="1D45A3F1"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5CE45662" w14:textId="3F99C646" w:rsidR="00366291" w:rsidRPr="00873B6C" w:rsidRDefault="00366291" w:rsidP="000040FE">
            <w:pPr>
              <w:pStyle w:val="TAL"/>
              <w:rPr>
                <w:sz w:val="16"/>
                <w:szCs w:val="16"/>
              </w:rPr>
            </w:pPr>
            <w:r w:rsidRPr="00873B6C">
              <w:rPr>
                <w:sz w:val="16"/>
                <w:szCs w:val="16"/>
              </w:rPr>
              <w:t>Support of multiple NSACF instance</w:t>
            </w:r>
          </w:p>
        </w:tc>
        <w:tc>
          <w:tcPr>
            <w:tcW w:w="708" w:type="dxa"/>
            <w:shd w:val="solid" w:color="FFFFFF" w:fill="auto"/>
          </w:tcPr>
          <w:p w14:paraId="3ED2D501" w14:textId="07D903E7" w:rsidR="00366291" w:rsidRPr="00873B6C" w:rsidRDefault="00366291" w:rsidP="000040FE">
            <w:pPr>
              <w:pStyle w:val="TAC"/>
              <w:rPr>
                <w:sz w:val="16"/>
                <w:szCs w:val="16"/>
              </w:rPr>
            </w:pPr>
            <w:r w:rsidRPr="00873B6C">
              <w:rPr>
                <w:sz w:val="16"/>
                <w:szCs w:val="16"/>
              </w:rPr>
              <w:t>17.2.0</w:t>
            </w:r>
          </w:p>
        </w:tc>
      </w:tr>
      <w:tr w:rsidR="00366291" w:rsidRPr="00873B6C" w14:paraId="45C3A40B" w14:textId="77777777" w:rsidTr="009D14FB">
        <w:tc>
          <w:tcPr>
            <w:tcW w:w="800" w:type="dxa"/>
            <w:shd w:val="solid" w:color="FFFFFF" w:fill="auto"/>
          </w:tcPr>
          <w:p w14:paraId="5818106C" w14:textId="7D791B2D"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2E3ADFD1" w14:textId="2A147DBE"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23A933F0" w14:textId="68E3199D" w:rsidR="00366291" w:rsidRPr="00873B6C" w:rsidRDefault="00366291" w:rsidP="000040FE">
            <w:pPr>
              <w:pStyle w:val="TAC"/>
              <w:rPr>
                <w:sz w:val="16"/>
                <w:szCs w:val="16"/>
              </w:rPr>
            </w:pPr>
            <w:r w:rsidRPr="00873B6C">
              <w:rPr>
                <w:sz w:val="16"/>
                <w:szCs w:val="16"/>
              </w:rPr>
              <w:t>SP-210922</w:t>
            </w:r>
          </w:p>
        </w:tc>
        <w:tc>
          <w:tcPr>
            <w:tcW w:w="567" w:type="dxa"/>
            <w:shd w:val="solid" w:color="FFFFFF" w:fill="auto"/>
          </w:tcPr>
          <w:p w14:paraId="2D3A3DF4" w14:textId="302754CF" w:rsidR="00366291" w:rsidRPr="00873B6C" w:rsidRDefault="00366291" w:rsidP="000040FE">
            <w:pPr>
              <w:pStyle w:val="TAL"/>
              <w:rPr>
                <w:sz w:val="16"/>
                <w:szCs w:val="16"/>
              </w:rPr>
            </w:pPr>
            <w:r w:rsidRPr="00873B6C">
              <w:rPr>
                <w:sz w:val="16"/>
                <w:szCs w:val="16"/>
              </w:rPr>
              <w:t>3079</w:t>
            </w:r>
          </w:p>
        </w:tc>
        <w:tc>
          <w:tcPr>
            <w:tcW w:w="425" w:type="dxa"/>
            <w:shd w:val="solid" w:color="FFFFFF" w:fill="auto"/>
          </w:tcPr>
          <w:p w14:paraId="2E678339" w14:textId="7D4E72B8"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5421E36B" w14:textId="5AACF81A"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331E652D" w14:textId="5D814E3F" w:rsidR="00366291" w:rsidRPr="00873B6C" w:rsidRDefault="00366291" w:rsidP="000040FE">
            <w:pPr>
              <w:pStyle w:val="TAL"/>
              <w:rPr>
                <w:sz w:val="16"/>
                <w:szCs w:val="16"/>
              </w:rPr>
            </w:pPr>
            <w:r w:rsidRPr="00873B6C">
              <w:rPr>
                <w:sz w:val="16"/>
                <w:szCs w:val="16"/>
              </w:rPr>
              <w:t>Update to AF Discovery and Selection</w:t>
            </w:r>
          </w:p>
        </w:tc>
        <w:tc>
          <w:tcPr>
            <w:tcW w:w="708" w:type="dxa"/>
            <w:shd w:val="solid" w:color="FFFFFF" w:fill="auto"/>
          </w:tcPr>
          <w:p w14:paraId="301C3901" w14:textId="1D703B11" w:rsidR="00366291" w:rsidRPr="00873B6C" w:rsidRDefault="00366291" w:rsidP="000040FE">
            <w:pPr>
              <w:pStyle w:val="TAC"/>
              <w:rPr>
                <w:sz w:val="16"/>
                <w:szCs w:val="16"/>
              </w:rPr>
            </w:pPr>
            <w:r w:rsidRPr="00873B6C">
              <w:rPr>
                <w:sz w:val="16"/>
                <w:szCs w:val="16"/>
              </w:rPr>
              <w:t>17.2.0</w:t>
            </w:r>
          </w:p>
        </w:tc>
      </w:tr>
      <w:tr w:rsidR="00366291" w:rsidRPr="00873B6C" w14:paraId="198CCD0A" w14:textId="77777777" w:rsidTr="009D14FB">
        <w:tc>
          <w:tcPr>
            <w:tcW w:w="800" w:type="dxa"/>
            <w:shd w:val="solid" w:color="FFFFFF" w:fill="auto"/>
          </w:tcPr>
          <w:p w14:paraId="2E081639" w14:textId="49A2AB36"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07494913" w14:textId="008F0166"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21851281" w14:textId="23E3CD97" w:rsidR="00366291" w:rsidRPr="00873B6C" w:rsidRDefault="00366291" w:rsidP="000040FE">
            <w:pPr>
              <w:pStyle w:val="TAC"/>
              <w:rPr>
                <w:sz w:val="16"/>
                <w:szCs w:val="16"/>
              </w:rPr>
            </w:pPr>
            <w:r w:rsidRPr="00873B6C">
              <w:rPr>
                <w:sz w:val="16"/>
                <w:szCs w:val="16"/>
              </w:rPr>
              <w:t>SP-210923</w:t>
            </w:r>
          </w:p>
        </w:tc>
        <w:tc>
          <w:tcPr>
            <w:tcW w:w="567" w:type="dxa"/>
            <w:shd w:val="solid" w:color="FFFFFF" w:fill="auto"/>
          </w:tcPr>
          <w:p w14:paraId="0923A5F9" w14:textId="4F0927B4" w:rsidR="00366291" w:rsidRPr="00873B6C" w:rsidRDefault="00366291" w:rsidP="000040FE">
            <w:pPr>
              <w:pStyle w:val="TAL"/>
              <w:rPr>
                <w:sz w:val="16"/>
                <w:szCs w:val="16"/>
              </w:rPr>
            </w:pPr>
            <w:r w:rsidRPr="00873B6C">
              <w:rPr>
                <w:sz w:val="16"/>
                <w:szCs w:val="16"/>
              </w:rPr>
              <w:t>3084</w:t>
            </w:r>
          </w:p>
        </w:tc>
        <w:tc>
          <w:tcPr>
            <w:tcW w:w="425" w:type="dxa"/>
            <w:shd w:val="solid" w:color="FFFFFF" w:fill="auto"/>
          </w:tcPr>
          <w:p w14:paraId="37A30365" w14:textId="4916A369"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03C60D8A" w14:textId="67F81AEB"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6002246C" w14:textId="51519D50" w:rsidR="00366291" w:rsidRPr="00873B6C" w:rsidRDefault="00366291" w:rsidP="000040FE">
            <w:pPr>
              <w:pStyle w:val="TAL"/>
              <w:rPr>
                <w:sz w:val="16"/>
                <w:szCs w:val="16"/>
              </w:rPr>
            </w:pPr>
            <w:r w:rsidRPr="00873B6C">
              <w:rPr>
                <w:sz w:val="16"/>
                <w:szCs w:val="16"/>
              </w:rPr>
              <w:t xml:space="preserve">Interaction between PVS and SO-SNPN </w:t>
            </w:r>
          </w:p>
        </w:tc>
        <w:tc>
          <w:tcPr>
            <w:tcW w:w="708" w:type="dxa"/>
            <w:shd w:val="solid" w:color="FFFFFF" w:fill="auto"/>
          </w:tcPr>
          <w:p w14:paraId="4D3C3367" w14:textId="1D598348" w:rsidR="00366291" w:rsidRPr="00873B6C" w:rsidRDefault="00366291" w:rsidP="000040FE">
            <w:pPr>
              <w:pStyle w:val="TAC"/>
              <w:rPr>
                <w:sz w:val="16"/>
                <w:szCs w:val="16"/>
              </w:rPr>
            </w:pPr>
            <w:r w:rsidRPr="00873B6C">
              <w:rPr>
                <w:sz w:val="16"/>
                <w:szCs w:val="16"/>
              </w:rPr>
              <w:t>17.2.0</w:t>
            </w:r>
          </w:p>
        </w:tc>
      </w:tr>
      <w:tr w:rsidR="00366291" w:rsidRPr="00873B6C" w14:paraId="5050436B" w14:textId="77777777" w:rsidTr="009D14FB">
        <w:tc>
          <w:tcPr>
            <w:tcW w:w="800" w:type="dxa"/>
            <w:shd w:val="solid" w:color="FFFFFF" w:fill="auto"/>
          </w:tcPr>
          <w:p w14:paraId="2E1723CC" w14:textId="32373A50"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48C527BE" w14:textId="0BC4CBC2"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4E928DAC" w14:textId="3A8F4350" w:rsidR="00366291" w:rsidRPr="00873B6C" w:rsidRDefault="00366291" w:rsidP="000040FE">
            <w:pPr>
              <w:pStyle w:val="TAC"/>
              <w:rPr>
                <w:sz w:val="16"/>
                <w:szCs w:val="16"/>
              </w:rPr>
            </w:pPr>
            <w:r w:rsidRPr="00873B6C">
              <w:rPr>
                <w:sz w:val="16"/>
                <w:szCs w:val="16"/>
              </w:rPr>
              <w:t>SP-210923</w:t>
            </w:r>
          </w:p>
        </w:tc>
        <w:tc>
          <w:tcPr>
            <w:tcW w:w="567" w:type="dxa"/>
            <w:shd w:val="solid" w:color="FFFFFF" w:fill="auto"/>
          </w:tcPr>
          <w:p w14:paraId="6751DDAB" w14:textId="78A4CE44" w:rsidR="00366291" w:rsidRPr="00873B6C" w:rsidRDefault="00366291" w:rsidP="000040FE">
            <w:pPr>
              <w:pStyle w:val="TAL"/>
              <w:rPr>
                <w:sz w:val="16"/>
                <w:szCs w:val="16"/>
              </w:rPr>
            </w:pPr>
            <w:r w:rsidRPr="00873B6C">
              <w:rPr>
                <w:sz w:val="16"/>
                <w:szCs w:val="16"/>
              </w:rPr>
              <w:t>3085</w:t>
            </w:r>
          </w:p>
        </w:tc>
        <w:tc>
          <w:tcPr>
            <w:tcW w:w="425" w:type="dxa"/>
            <w:shd w:val="solid" w:color="FFFFFF" w:fill="auto"/>
          </w:tcPr>
          <w:p w14:paraId="4AB1CF53" w14:textId="78BC80AE"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226B73B4" w14:textId="3C283540" w:rsidR="00366291" w:rsidRPr="00873B6C" w:rsidRDefault="00366291" w:rsidP="000040FE">
            <w:pPr>
              <w:pStyle w:val="TAL"/>
              <w:rPr>
                <w:sz w:val="16"/>
                <w:szCs w:val="16"/>
              </w:rPr>
            </w:pPr>
            <w:r w:rsidRPr="00873B6C">
              <w:rPr>
                <w:sz w:val="16"/>
                <w:szCs w:val="16"/>
              </w:rPr>
              <w:t>C</w:t>
            </w:r>
          </w:p>
        </w:tc>
        <w:tc>
          <w:tcPr>
            <w:tcW w:w="4820" w:type="dxa"/>
            <w:shd w:val="solid" w:color="FFFFFF" w:fill="auto"/>
          </w:tcPr>
          <w:p w14:paraId="0F427DFC" w14:textId="3E7059DA" w:rsidR="00366291" w:rsidRPr="00873B6C" w:rsidRDefault="00366291" w:rsidP="000040FE">
            <w:pPr>
              <w:pStyle w:val="TAL"/>
              <w:rPr>
                <w:sz w:val="16"/>
                <w:szCs w:val="16"/>
              </w:rPr>
            </w:pPr>
            <w:r w:rsidRPr="00873B6C">
              <w:rPr>
                <w:sz w:val="16"/>
                <w:szCs w:val="16"/>
              </w:rPr>
              <w:t>DCS providing PVS address to ONN</w:t>
            </w:r>
          </w:p>
        </w:tc>
        <w:tc>
          <w:tcPr>
            <w:tcW w:w="708" w:type="dxa"/>
            <w:shd w:val="solid" w:color="FFFFFF" w:fill="auto"/>
          </w:tcPr>
          <w:p w14:paraId="04E7EBDD" w14:textId="4E4F8C41" w:rsidR="00366291" w:rsidRPr="00873B6C" w:rsidRDefault="00366291" w:rsidP="000040FE">
            <w:pPr>
              <w:pStyle w:val="TAC"/>
              <w:rPr>
                <w:sz w:val="16"/>
                <w:szCs w:val="16"/>
              </w:rPr>
            </w:pPr>
            <w:r w:rsidRPr="00873B6C">
              <w:rPr>
                <w:sz w:val="16"/>
                <w:szCs w:val="16"/>
              </w:rPr>
              <w:t>17.2.0</w:t>
            </w:r>
          </w:p>
        </w:tc>
      </w:tr>
      <w:tr w:rsidR="00366291" w:rsidRPr="00873B6C" w14:paraId="01805735" w14:textId="77777777" w:rsidTr="009D14FB">
        <w:tc>
          <w:tcPr>
            <w:tcW w:w="800" w:type="dxa"/>
            <w:shd w:val="solid" w:color="FFFFFF" w:fill="auto"/>
          </w:tcPr>
          <w:p w14:paraId="742675D2" w14:textId="339E35B1"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0282DFB8" w14:textId="577E8BEF"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71CD5501" w14:textId="779A4CF6" w:rsidR="00366291" w:rsidRPr="00873B6C" w:rsidRDefault="00366291" w:rsidP="000040FE">
            <w:pPr>
              <w:pStyle w:val="TAC"/>
              <w:rPr>
                <w:sz w:val="16"/>
                <w:szCs w:val="16"/>
              </w:rPr>
            </w:pPr>
            <w:r w:rsidRPr="00873B6C">
              <w:rPr>
                <w:sz w:val="16"/>
                <w:szCs w:val="16"/>
              </w:rPr>
              <w:t>SP-210932</w:t>
            </w:r>
          </w:p>
        </w:tc>
        <w:tc>
          <w:tcPr>
            <w:tcW w:w="567" w:type="dxa"/>
            <w:shd w:val="solid" w:color="FFFFFF" w:fill="auto"/>
          </w:tcPr>
          <w:p w14:paraId="6D430C49" w14:textId="67DDB148" w:rsidR="00366291" w:rsidRPr="00873B6C" w:rsidRDefault="00366291" w:rsidP="000040FE">
            <w:pPr>
              <w:pStyle w:val="TAL"/>
              <w:rPr>
                <w:sz w:val="16"/>
                <w:szCs w:val="16"/>
              </w:rPr>
            </w:pPr>
            <w:r w:rsidRPr="00873B6C">
              <w:rPr>
                <w:sz w:val="16"/>
                <w:szCs w:val="16"/>
              </w:rPr>
              <w:t>3088</w:t>
            </w:r>
          </w:p>
        </w:tc>
        <w:tc>
          <w:tcPr>
            <w:tcW w:w="425" w:type="dxa"/>
            <w:shd w:val="solid" w:color="FFFFFF" w:fill="auto"/>
          </w:tcPr>
          <w:p w14:paraId="403B4647" w14:textId="3F6CF924"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3D03F214" w14:textId="2DFBA973" w:rsidR="00366291" w:rsidRPr="00873B6C" w:rsidRDefault="00366291" w:rsidP="000040FE">
            <w:pPr>
              <w:pStyle w:val="TAL"/>
              <w:rPr>
                <w:sz w:val="16"/>
                <w:szCs w:val="16"/>
              </w:rPr>
            </w:pPr>
            <w:r w:rsidRPr="00873B6C">
              <w:rPr>
                <w:sz w:val="16"/>
                <w:szCs w:val="16"/>
              </w:rPr>
              <w:t>B</w:t>
            </w:r>
          </w:p>
        </w:tc>
        <w:tc>
          <w:tcPr>
            <w:tcW w:w="4820" w:type="dxa"/>
            <w:shd w:val="solid" w:color="FFFFFF" w:fill="auto"/>
          </w:tcPr>
          <w:p w14:paraId="5B6AAC66" w14:textId="66BB5187" w:rsidR="00366291" w:rsidRPr="00873B6C" w:rsidRDefault="00366291" w:rsidP="000040FE">
            <w:pPr>
              <w:pStyle w:val="TAL"/>
              <w:rPr>
                <w:sz w:val="16"/>
                <w:szCs w:val="16"/>
              </w:rPr>
            </w:pPr>
            <w:r w:rsidRPr="00873B6C">
              <w:rPr>
                <w:sz w:val="16"/>
                <w:szCs w:val="16"/>
              </w:rPr>
              <w:t>5GS Connection release support for 5GC/NR</w:t>
            </w:r>
          </w:p>
        </w:tc>
        <w:tc>
          <w:tcPr>
            <w:tcW w:w="708" w:type="dxa"/>
            <w:shd w:val="solid" w:color="FFFFFF" w:fill="auto"/>
          </w:tcPr>
          <w:p w14:paraId="2664BBAB" w14:textId="3870E80E" w:rsidR="00366291" w:rsidRPr="00873B6C" w:rsidRDefault="00366291" w:rsidP="000040FE">
            <w:pPr>
              <w:pStyle w:val="TAC"/>
              <w:rPr>
                <w:sz w:val="16"/>
                <w:szCs w:val="16"/>
              </w:rPr>
            </w:pPr>
            <w:r w:rsidRPr="00873B6C">
              <w:rPr>
                <w:sz w:val="16"/>
                <w:szCs w:val="16"/>
              </w:rPr>
              <w:t>17.2.0</w:t>
            </w:r>
          </w:p>
        </w:tc>
      </w:tr>
      <w:tr w:rsidR="00366291" w:rsidRPr="00873B6C" w14:paraId="2D6F1F73" w14:textId="77777777" w:rsidTr="009D14FB">
        <w:tc>
          <w:tcPr>
            <w:tcW w:w="800" w:type="dxa"/>
            <w:shd w:val="solid" w:color="FFFFFF" w:fill="auto"/>
          </w:tcPr>
          <w:p w14:paraId="10D47058" w14:textId="1B16400B"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40E68AFA" w14:textId="3FA3A17D"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676E7CB3" w14:textId="2DF7BCAC" w:rsidR="00366291" w:rsidRPr="00873B6C" w:rsidRDefault="00366291" w:rsidP="000040FE">
            <w:pPr>
              <w:pStyle w:val="TAC"/>
              <w:rPr>
                <w:sz w:val="16"/>
                <w:szCs w:val="16"/>
              </w:rPr>
            </w:pPr>
            <w:r w:rsidRPr="00873B6C">
              <w:rPr>
                <w:sz w:val="16"/>
                <w:szCs w:val="16"/>
              </w:rPr>
              <w:t>SP-210917</w:t>
            </w:r>
          </w:p>
        </w:tc>
        <w:tc>
          <w:tcPr>
            <w:tcW w:w="567" w:type="dxa"/>
            <w:shd w:val="solid" w:color="FFFFFF" w:fill="auto"/>
          </w:tcPr>
          <w:p w14:paraId="14B2BDBD" w14:textId="685515C1" w:rsidR="00366291" w:rsidRPr="00873B6C" w:rsidRDefault="00366291" w:rsidP="000040FE">
            <w:pPr>
              <w:pStyle w:val="TAL"/>
              <w:rPr>
                <w:sz w:val="16"/>
                <w:szCs w:val="16"/>
              </w:rPr>
            </w:pPr>
            <w:r w:rsidRPr="00873B6C">
              <w:rPr>
                <w:sz w:val="16"/>
                <w:szCs w:val="16"/>
              </w:rPr>
              <w:t>3091</w:t>
            </w:r>
          </w:p>
        </w:tc>
        <w:tc>
          <w:tcPr>
            <w:tcW w:w="425" w:type="dxa"/>
            <w:shd w:val="solid" w:color="FFFFFF" w:fill="auto"/>
          </w:tcPr>
          <w:p w14:paraId="2825C5EA" w14:textId="157F9292"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4C267C12" w14:textId="1839ED01" w:rsidR="00366291" w:rsidRPr="00873B6C" w:rsidRDefault="00366291" w:rsidP="000040FE">
            <w:pPr>
              <w:pStyle w:val="TAL"/>
              <w:rPr>
                <w:sz w:val="16"/>
                <w:szCs w:val="16"/>
              </w:rPr>
            </w:pPr>
            <w:r w:rsidRPr="00873B6C">
              <w:rPr>
                <w:sz w:val="16"/>
                <w:szCs w:val="16"/>
              </w:rPr>
              <w:t>D</w:t>
            </w:r>
          </w:p>
        </w:tc>
        <w:tc>
          <w:tcPr>
            <w:tcW w:w="4820" w:type="dxa"/>
            <w:shd w:val="solid" w:color="FFFFFF" w:fill="auto"/>
          </w:tcPr>
          <w:p w14:paraId="7B72A51D" w14:textId="767E9160" w:rsidR="00366291" w:rsidRPr="00873B6C" w:rsidRDefault="00366291" w:rsidP="000040FE">
            <w:pPr>
              <w:pStyle w:val="TAL"/>
              <w:rPr>
                <w:sz w:val="16"/>
                <w:szCs w:val="16"/>
              </w:rPr>
            </w:pPr>
            <w:r w:rsidRPr="00873B6C">
              <w:rPr>
                <w:sz w:val="16"/>
                <w:szCs w:val="16"/>
              </w:rPr>
              <w:t>Update clause number for MB-UPF, MBSF and MBSTF in clause 6.2</w:t>
            </w:r>
          </w:p>
        </w:tc>
        <w:tc>
          <w:tcPr>
            <w:tcW w:w="708" w:type="dxa"/>
            <w:shd w:val="solid" w:color="FFFFFF" w:fill="auto"/>
          </w:tcPr>
          <w:p w14:paraId="78353CEC" w14:textId="3881DD2A" w:rsidR="00366291" w:rsidRPr="00873B6C" w:rsidRDefault="00366291" w:rsidP="000040FE">
            <w:pPr>
              <w:pStyle w:val="TAC"/>
              <w:rPr>
                <w:sz w:val="16"/>
                <w:szCs w:val="16"/>
              </w:rPr>
            </w:pPr>
            <w:r w:rsidRPr="00873B6C">
              <w:rPr>
                <w:sz w:val="16"/>
                <w:szCs w:val="16"/>
              </w:rPr>
              <w:t>17.2.0</w:t>
            </w:r>
          </w:p>
        </w:tc>
      </w:tr>
      <w:tr w:rsidR="00366291" w:rsidRPr="00873B6C" w14:paraId="524DA6B2" w14:textId="77777777" w:rsidTr="009D14FB">
        <w:tc>
          <w:tcPr>
            <w:tcW w:w="800" w:type="dxa"/>
            <w:shd w:val="solid" w:color="FFFFFF" w:fill="auto"/>
          </w:tcPr>
          <w:p w14:paraId="077E9AE9" w14:textId="0800D4A8"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1F099F2F" w14:textId="22EAEA47"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4F2C8CF0" w14:textId="3AD65C6F" w:rsidR="00366291" w:rsidRPr="00873B6C" w:rsidRDefault="00366291" w:rsidP="000040FE">
            <w:pPr>
              <w:pStyle w:val="TAC"/>
              <w:rPr>
                <w:sz w:val="16"/>
                <w:szCs w:val="16"/>
              </w:rPr>
            </w:pPr>
            <w:r w:rsidRPr="00873B6C">
              <w:rPr>
                <w:sz w:val="16"/>
                <w:szCs w:val="16"/>
              </w:rPr>
              <w:t>SP-210923</w:t>
            </w:r>
          </w:p>
        </w:tc>
        <w:tc>
          <w:tcPr>
            <w:tcW w:w="567" w:type="dxa"/>
            <w:shd w:val="solid" w:color="FFFFFF" w:fill="auto"/>
          </w:tcPr>
          <w:p w14:paraId="7B27BC3C" w14:textId="5A700D26" w:rsidR="00366291" w:rsidRPr="00873B6C" w:rsidRDefault="00366291" w:rsidP="000040FE">
            <w:pPr>
              <w:pStyle w:val="TAL"/>
              <w:rPr>
                <w:sz w:val="16"/>
                <w:szCs w:val="16"/>
              </w:rPr>
            </w:pPr>
            <w:r w:rsidRPr="00873B6C">
              <w:rPr>
                <w:sz w:val="16"/>
                <w:szCs w:val="16"/>
              </w:rPr>
              <w:t>3095</w:t>
            </w:r>
          </w:p>
        </w:tc>
        <w:tc>
          <w:tcPr>
            <w:tcW w:w="425" w:type="dxa"/>
            <w:shd w:val="solid" w:color="FFFFFF" w:fill="auto"/>
          </w:tcPr>
          <w:p w14:paraId="3E6D3CF6" w14:textId="20AF98C3"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7FC88A3F" w14:textId="69241591" w:rsidR="00366291" w:rsidRPr="00873B6C" w:rsidRDefault="00366291" w:rsidP="000040FE">
            <w:pPr>
              <w:pStyle w:val="TAL"/>
              <w:rPr>
                <w:sz w:val="16"/>
                <w:szCs w:val="16"/>
              </w:rPr>
            </w:pPr>
            <w:r w:rsidRPr="00873B6C">
              <w:rPr>
                <w:sz w:val="16"/>
                <w:szCs w:val="16"/>
              </w:rPr>
              <w:t>B</w:t>
            </w:r>
          </w:p>
        </w:tc>
        <w:tc>
          <w:tcPr>
            <w:tcW w:w="4820" w:type="dxa"/>
            <w:shd w:val="solid" w:color="FFFFFF" w:fill="auto"/>
          </w:tcPr>
          <w:p w14:paraId="4B6C8DC5" w14:textId="78E787CC" w:rsidR="00366291" w:rsidRPr="00873B6C" w:rsidRDefault="00366291" w:rsidP="000040FE">
            <w:pPr>
              <w:pStyle w:val="TAL"/>
              <w:rPr>
                <w:sz w:val="16"/>
                <w:szCs w:val="16"/>
              </w:rPr>
            </w:pPr>
            <w:r w:rsidRPr="00873B6C">
              <w:rPr>
                <w:sz w:val="16"/>
                <w:szCs w:val="16"/>
              </w:rPr>
              <w:t>Reference point AUSF - NSSAAF</w:t>
            </w:r>
          </w:p>
        </w:tc>
        <w:tc>
          <w:tcPr>
            <w:tcW w:w="708" w:type="dxa"/>
            <w:shd w:val="solid" w:color="FFFFFF" w:fill="auto"/>
          </w:tcPr>
          <w:p w14:paraId="1E879436" w14:textId="49BF1927" w:rsidR="00366291" w:rsidRPr="00873B6C" w:rsidRDefault="00366291" w:rsidP="000040FE">
            <w:pPr>
              <w:pStyle w:val="TAC"/>
              <w:rPr>
                <w:sz w:val="16"/>
                <w:szCs w:val="16"/>
              </w:rPr>
            </w:pPr>
            <w:r w:rsidRPr="00873B6C">
              <w:rPr>
                <w:sz w:val="16"/>
                <w:szCs w:val="16"/>
              </w:rPr>
              <w:t>17.2.0</w:t>
            </w:r>
          </w:p>
        </w:tc>
      </w:tr>
      <w:tr w:rsidR="00366291" w:rsidRPr="00873B6C" w14:paraId="0984673C" w14:textId="77777777" w:rsidTr="009D14FB">
        <w:tc>
          <w:tcPr>
            <w:tcW w:w="800" w:type="dxa"/>
            <w:shd w:val="solid" w:color="FFFFFF" w:fill="auto"/>
          </w:tcPr>
          <w:p w14:paraId="1A644709" w14:textId="37792F28"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1405E53C" w14:textId="3F12DA83"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4137F4C8" w14:textId="5349BE5A" w:rsidR="00366291" w:rsidRPr="00873B6C" w:rsidRDefault="00366291" w:rsidP="000040FE">
            <w:pPr>
              <w:pStyle w:val="TAC"/>
              <w:rPr>
                <w:sz w:val="16"/>
                <w:szCs w:val="16"/>
              </w:rPr>
            </w:pPr>
            <w:r w:rsidRPr="00873B6C">
              <w:rPr>
                <w:sz w:val="16"/>
                <w:szCs w:val="16"/>
              </w:rPr>
              <w:t>SP-210923</w:t>
            </w:r>
          </w:p>
        </w:tc>
        <w:tc>
          <w:tcPr>
            <w:tcW w:w="567" w:type="dxa"/>
            <w:shd w:val="solid" w:color="FFFFFF" w:fill="auto"/>
          </w:tcPr>
          <w:p w14:paraId="1AB66929" w14:textId="4ADBB15F" w:rsidR="00366291" w:rsidRPr="00873B6C" w:rsidRDefault="00366291" w:rsidP="000040FE">
            <w:pPr>
              <w:pStyle w:val="TAL"/>
              <w:rPr>
                <w:sz w:val="16"/>
                <w:szCs w:val="16"/>
              </w:rPr>
            </w:pPr>
            <w:r w:rsidRPr="00873B6C">
              <w:rPr>
                <w:sz w:val="16"/>
                <w:szCs w:val="16"/>
              </w:rPr>
              <w:t>3097</w:t>
            </w:r>
          </w:p>
        </w:tc>
        <w:tc>
          <w:tcPr>
            <w:tcW w:w="425" w:type="dxa"/>
            <w:shd w:val="solid" w:color="FFFFFF" w:fill="auto"/>
          </w:tcPr>
          <w:p w14:paraId="62ED0ED4" w14:textId="008E5A4E"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3B5EB90D" w14:textId="40217C0A" w:rsidR="00366291" w:rsidRPr="00873B6C" w:rsidRDefault="00366291" w:rsidP="000040FE">
            <w:pPr>
              <w:pStyle w:val="TAL"/>
              <w:rPr>
                <w:sz w:val="16"/>
                <w:szCs w:val="16"/>
              </w:rPr>
            </w:pPr>
            <w:r w:rsidRPr="00873B6C">
              <w:rPr>
                <w:sz w:val="16"/>
                <w:szCs w:val="16"/>
              </w:rPr>
              <w:t>B</w:t>
            </w:r>
          </w:p>
        </w:tc>
        <w:tc>
          <w:tcPr>
            <w:tcW w:w="4820" w:type="dxa"/>
            <w:shd w:val="solid" w:color="FFFFFF" w:fill="auto"/>
          </w:tcPr>
          <w:p w14:paraId="3BEDFFFD" w14:textId="244E0811" w:rsidR="00366291" w:rsidRPr="00873B6C" w:rsidRDefault="00366291" w:rsidP="000040FE">
            <w:pPr>
              <w:pStyle w:val="TAL"/>
              <w:rPr>
                <w:sz w:val="16"/>
                <w:szCs w:val="16"/>
              </w:rPr>
            </w:pPr>
            <w:r w:rsidRPr="00873B6C">
              <w:rPr>
                <w:sz w:val="16"/>
                <w:szCs w:val="16"/>
              </w:rPr>
              <w:t>Format of SUCI/SUPI used for Onboarding</w:t>
            </w:r>
          </w:p>
        </w:tc>
        <w:tc>
          <w:tcPr>
            <w:tcW w:w="708" w:type="dxa"/>
            <w:shd w:val="solid" w:color="FFFFFF" w:fill="auto"/>
          </w:tcPr>
          <w:p w14:paraId="348265B4" w14:textId="1E6AD202" w:rsidR="00366291" w:rsidRPr="00873B6C" w:rsidRDefault="00366291" w:rsidP="000040FE">
            <w:pPr>
              <w:pStyle w:val="TAC"/>
              <w:rPr>
                <w:sz w:val="16"/>
                <w:szCs w:val="16"/>
              </w:rPr>
            </w:pPr>
            <w:r w:rsidRPr="00873B6C">
              <w:rPr>
                <w:sz w:val="16"/>
                <w:szCs w:val="16"/>
              </w:rPr>
              <w:t>17.2.0</w:t>
            </w:r>
          </w:p>
        </w:tc>
      </w:tr>
      <w:tr w:rsidR="00AA610D" w:rsidRPr="00873B6C" w14:paraId="26699897" w14:textId="77777777" w:rsidTr="009D14FB">
        <w:tc>
          <w:tcPr>
            <w:tcW w:w="800" w:type="dxa"/>
            <w:shd w:val="solid" w:color="FFFFFF" w:fill="auto"/>
          </w:tcPr>
          <w:p w14:paraId="1905B329" w14:textId="3C0F9E04"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0AB6EBA9" w14:textId="3E2DCC08"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267B7BFA" w14:textId="4E34A079" w:rsidR="00AA610D" w:rsidRPr="00873B6C" w:rsidRDefault="00AA610D" w:rsidP="000040FE">
            <w:pPr>
              <w:pStyle w:val="TAC"/>
              <w:rPr>
                <w:sz w:val="16"/>
                <w:szCs w:val="16"/>
              </w:rPr>
            </w:pPr>
            <w:r w:rsidRPr="00873B6C">
              <w:rPr>
                <w:sz w:val="16"/>
                <w:szCs w:val="16"/>
              </w:rPr>
              <w:t>SP-210923</w:t>
            </w:r>
          </w:p>
        </w:tc>
        <w:tc>
          <w:tcPr>
            <w:tcW w:w="567" w:type="dxa"/>
            <w:shd w:val="solid" w:color="FFFFFF" w:fill="auto"/>
          </w:tcPr>
          <w:p w14:paraId="6A4FE788" w14:textId="5C6A962B" w:rsidR="00AA610D" w:rsidRPr="00873B6C" w:rsidRDefault="00AA610D" w:rsidP="000040FE">
            <w:pPr>
              <w:pStyle w:val="TAL"/>
              <w:rPr>
                <w:sz w:val="16"/>
                <w:szCs w:val="16"/>
              </w:rPr>
            </w:pPr>
            <w:r w:rsidRPr="00873B6C">
              <w:rPr>
                <w:sz w:val="16"/>
                <w:szCs w:val="16"/>
              </w:rPr>
              <w:t>3098</w:t>
            </w:r>
          </w:p>
        </w:tc>
        <w:tc>
          <w:tcPr>
            <w:tcW w:w="425" w:type="dxa"/>
            <w:shd w:val="solid" w:color="FFFFFF" w:fill="auto"/>
          </w:tcPr>
          <w:p w14:paraId="167231B6" w14:textId="7A069625" w:rsidR="00AA610D" w:rsidRPr="00873B6C" w:rsidRDefault="00AA610D" w:rsidP="000040FE">
            <w:pPr>
              <w:pStyle w:val="TAL"/>
              <w:rPr>
                <w:sz w:val="16"/>
                <w:szCs w:val="16"/>
              </w:rPr>
            </w:pPr>
            <w:r w:rsidRPr="00873B6C">
              <w:rPr>
                <w:sz w:val="16"/>
                <w:szCs w:val="16"/>
              </w:rPr>
              <w:t>-</w:t>
            </w:r>
          </w:p>
        </w:tc>
        <w:tc>
          <w:tcPr>
            <w:tcW w:w="425" w:type="dxa"/>
            <w:shd w:val="solid" w:color="FFFFFF" w:fill="auto"/>
          </w:tcPr>
          <w:p w14:paraId="35E9DCC6" w14:textId="489BB0D2" w:rsidR="00AA610D" w:rsidRPr="00873B6C" w:rsidRDefault="00AA610D" w:rsidP="000040FE">
            <w:pPr>
              <w:pStyle w:val="TAL"/>
              <w:rPr>
                <w:sz w:val="16"/>
                <w:szCs w:val="16"/>
              </w:rPr>
            </w:pPr>
            <w:r w:rsidRPr="00873B6C">
              <w:rPr>
                <w:sz w:val="16"/>
                <w:szCs w:val="16"/>
              </w:rPr>
              <w:t>C</w:t>
            </w:r>
          </w:p>
        </w:tc>
        <w:tc>
          <w:tcPr>
            <w:tcW w:w="4820" w:type="dxa"/>
            <w:shd w:val="solid" w:color="FFFFFF" w:fill="auto"/>
          </w:tcPr>
          <w:p w14:paraId="67C7609C" w14:textId="524554FF" w:rsidR="00AA610D" w:rsidRPr="00873B6C" w:rsidRDefault="00AA610D" w:rsidP="000040FE">
            <w:pPr>
              <w:pStyle w:val="TAL"/>
              <w:rPr>
                <w:sz w:val="16"/>
                <w:szCs w:val="16"/>
              </w:rPr>
            </w:pPr>
            <w:r w:rsidRPr="00873B6C">
              <w:rPr>
                <w:sz w:val="16"/>
                <w:szCs w:val="16"/>
              </w:rPr>
              <w:t>SNPN support for emergency</w:t>
            </w:r>
          </w:p>
        </w:tc>
        <w:tc>
          <w:tcPr>
            <w:tcW w:w="708" w:type="dxa"/>
            <w:shd w:val="solid" w:color="FFFFFF" w:fill="auto"/>
          </w:tcPr>
          <w:p w14:paraId="66D221DA" w14:textId="46A6F100" w:rsidR="00AA610D" w:rsidRPr="00873B6C" w:rsidRDefault="00AA610D" w:rsidP="000040FE">
            <w:pPr>
              <w:pStyle w:val="TAC"/>
              <w:rPr>
                <w:sz w:val="16"/>
                <w:szCs w:val="16"/>
              </w:rPr>
            </w:pPr>
            <w:r w:rsidRPr="00873B6C">
              <w:rPr>
                <w:sz w:val="16"/>
                <w:szCs w:val="16"/>
              </w:rPr>
              <w:t>17.2.0</w:t>
            </w:r>
          </w:p>
        </w:tc>
      </w:tr>
      <w:tr w:rsidR="00AA610D" w:rsidRPr="00873B6C" w14:paraId="403B1E6D" w14:textId="77777777" w:rsidTr="009D14FB">
        <w:tc>
          <w:tcPr>
            <w:tcW w:w="800" w:type="dxa"/>
            <w:shd w:val="solid" w:color="FFFFFF" w:fill="auto"/>
          </w:tcPr>
          <w:p w14:paraId="566434D5" w14:textId="370B1F67"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5D4BA3D2" w14:textId="40C08A29"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39D8A454" w14:textId="1957A7AB" w:rsidR="00AA610D" w:rsidRPr="00873B6C" w:rsidRDefault="00AA610D" w:rsidP="000040FE">
            <w:pPr>
              <w:pStyle w:val="TAC"/>
              <w:rPr>
                <w:sz w:val="16"/>
                <w:szCs w:val="16"/>
              </w:rPr>
            </w:pPr>
            <w:r w:rsidRPr="00873B6C">
              <w:rPr>
                <w:sz w:val="16"/>
                <w:szCs w:val="16"/>
              </w:rPr>
              <w:t>SP-210922</w:t>
            </w:r>
          </w:p>
        </w:tc>
        <w:tc>
          <w:tcPr>
            <w:tcW w:w="567" w:type="dxa"/>
            <w:shd w:val="solid" w:color="FFFFFF" w:fill="auto"/>
          </w:tcPr>
          <w:p w14:paraId="4724F9B7" w14:textId="124D22FA" w:rsidR="00AA610D" w:rsidRPr="00873B6C" w:rsidRDefault="00AA610D" w:rsidP="000040FE">
            <w:pPr>
              <w:pStyle w:val="TAL"/>
              <w:rPr>
                <w:sz w:val="16"/>
                <w:szCs w:val="16"/>
              </w:rPr>
            </w:pPr>
            <w:r w:rsidRPr="00873B6C">
              <w:rPr>
                <w:sz w:val="16"/>
                <w:szCs w:val="16"/>
              </w:rPr>
              <w:t>3101</w:t>
            </w:r>
          </w:p>
        </w:tc>
        <w:tc>
          <w:tcPr>
            <w:tcW w:w="425" w:type="dxa"/>
            <w:shd w:val="solid" w:color="FFFFFF" w:fill="auto"/>
          </w:tcPr>
          <w:p w14:paraId="708CBB18" w14:textId="1DB5A398" w:rsidR="00AA610D" w:rsidRPr="00873B6C" w:rsidRDefault="00AA610D" w:rsidP="000040FE">
            <w:pPr>
              <w:pStyle w:val="TAL"/>
              <w:rPr>
                <w:sz w:val="16"/>
                <w:szCs w:val="16"/>
              </w:rPr>
            </w:pPr>
            <w:r w:rsidRPr="00873B6C">
              <w:rPr>
                <w:sz w:val="16"/>
                <w:szCs w:val="16"/>
              </w:rPr>
              <w:t>1</w:t>
            </w:r>
          </w:p>
        </w:tc>
        <w:tc>
          <w:tcPr>
            <w:tcW w:w="425" w:type="dxa"/>
            <w:shd w:val="solid" w:color="FFFFFF" w:fill="auto"/>
          </w:tcPr>
          <w:p w14:paraId="61F26AD9" w14:textId="469BFA02"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2BF9ECA9" w14:textId="7E40BF3E" w:rsidR="00AA610D" w:rsidRPr="00873B6C" w:rsidRDefault="00AA610D" w:rsidP="000040FE">
            <w:pPr>
              <w:pStyle w:val="TAL"/>
              <w:rPr>
                <w:sz w:val="16"/>
                <w:szCs w:val="16"/>
              </w:rPr>
            </w:pPr>
            <w:r w:rsidRPr="00873B6C">
              <w:rPr>
                <w:sz w:val="16"/>
                <w:szCs w:val="16"/>
              </w:rPr>
              <w:t>Resolve Editor's Note on analytics metadata provisioning capability</w:t>
            </w:r>
          </w:p>
        </w:tc>
        <w:tc>
          <w:tcPr>
            <w:tcW w:w="708" w:type="dxa"/>
            <w:shd w:val="solid" w:color="FFFFFF" w:fill="auto"/>
          </w:tcPr>
          <w:p w14:paraId="2DF8E377" w14:textId="624AF4B9" w:rsidR="00AA610D" w:rsidRPr="00873B6C" w:rsidRDefault="00AA610D" w:rsidP="000040FE">
            <w:pPr>
              <w:pStyle w:val="TAC"/>
              <w:rPr>
                <w:sz w:val="16"/>
                <w:szCs w:val="16"/>
              </w:rPr>
            </w:pPr>
            <w:r w:rsidRPr="00873B6C">
              <w:rPr>
                <w:sz w:val="16"/>
                <w:szCs w:val="16"/>
              </w:rPr>
              <w:t>17.2.0</w:t>
            </w:r>
          </w:p>
        </w:tc>
      </w:tr>
      <w:tr w:rsidR="00AA610D" w:rsidRPr="00873B6C" w14:paraId="6CE70383" w14:textId="77777777" w:rsidTr="009D14FB">
        <w:tc>
          <w:tcPr>
            <w:tcW w:w="800" w:type="dxa"/>
            <w:shd w:val="solid" w:color="FFFFFF" w:fill="auto"/>
          </w:tcPr>
          <w:p w14:paraId="0FECD48B" w14:textId="757E9832"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0BA2975D" w14:textId="14A1ADAD"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77958D78" w14:textId="26B22FB6" w:rsidR="00AA610D" w:rsidRPr="00873B6C" w:rsidRDefault="00AA610D" w:rsidP="000040FE">
            <w:pPr>
              <w:pStyle w:val="TAC"/>
              <w:rPr>
                <w:sz w:val="16"/>
                <w:szCs w:val="16"/>
              </w:rPr>
            </w:pPr>
            <w:r w:rsidRPr="00873B6C">
              <w:rPr>
                <w:sz w:val="16"/>
                <w:szCs w:val="16"/>
              </w:rPr>
              <w:t>SP-210937</w:t>
            </w:r>
          </w:p>
        </w:tc>
        <w:tc>
          <w:tcPr>
            <w:tcW w:w="567" w:type="dxa"/>
            <w:shd w:val="solid" w:color="FFFFFF" w:fill="auto"/>
          </w:tcPr>
          <w:p w14:paraId="3F6127C2" w14:textId="27758A31" w:rsidR="00AA610D" w:rsidRPr="00873B6C" w:rsidRDefault="00AA610D" w:rsidP="000040FE">
            <w:pPr>
              <w:pStyle w:val="TAL"/>
              <w:rPr>
                <w:sz w:val="16"/>
                <w:szCs w:val="16"/>
              </w:rPr>
            </w:pPr>
            <w:r w:rsidRPr="00873B6C">
              <w:rPr>
                <w:sz w:val="16"/>
                <w:szCs w:val="16"/>
              </w:rPr>
              <w:t>3108</w:t>
            </w:r>
          </w:p>
        </w:tc>
        <w:tc>
          <w:tcPr>
            <w:tcW w:w="425" w:type="dxa"/>
            <w:shd w:val="solid" w:color="FFFFFF" w:fill="auto"/>
          </w:tcPr>
          <w:p w14:paraId="0D3F1E5D" w14:textId="28AA6F3A" w:rsidR="00AA610D" w:rsidRPr="00873B6C" w:rsidRDefault="00AA610D" w:rsidP="000040FE">
            <w:pPr>
              <w:pStyle w:val="TAL"/>
              <w:rPr>
                <w:sz w:val="16"/>
                <w:szCs w:val="16"/>
              </w:rPr>
            </w:pPr>
            <w:r w:rsidRPr="00873B6C">
              <w:rPr>
                <w:sz w:val="16"/>
                <w:szCs w:val="16"/>
              </w:rPr>
              <w:t xml:space="preserve">- </w:t>
            </w:r>
          </w:p>
        </w:tc>
        <w:tc>
          <w:tcPr>
            <w:tcW w:w="425" w:type="dxa"/>
            <w:shd w:val="solid" w:color="FFFFFF" w:fill="auto"/>
          </w:tcPr>
          <w:p w14:paraId="497C83F1" w14:textId="3426C924"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48DE8A32" w14:textId="3064D0FC" w:rsidR="00AA610D" w:rsidRPr="00873B6C" w:rsidRDefault="00AA610D" w:rsidP="000040FE">
            <w:pPr>
              <w:pStyle w:val="TAL"/>
              <w:rPr>
                <w:sz w:val="16"/>
                <w:szCs w:val="16"/>
              </w:rPr>
            </w:pPr>
            <w:r w:rsidRPr="00873B6C">
              <w:rPr>
                <w:sz w:val="16"/>
                <w:szCs w:val="16"/>
              </w:rPr>
              <w:t>Update BSF NF profile to support SUPI and GPSI</w:t>
            </w:r>
          </w:p>
        </w:tc>
        <w:tc>
          <w:tcPr>
            <w:tcW w:w="708" w:type="dxa"/>
            <w:shd w:val="solid" w:color="FFFFFF" w:fill="auto"/>
          </w:tcPr>
          <w:p w14:paraId="1C686B3F" w14:textId="432D5840" w:rsidR="00AA610D" w:rsidRPr="00873B6C" w:rsidRDefault="00AA610D" w:rsidP="000040FE">
            <w:pPr>
              <w:pStyle w:val="TAC"/>
              <w:rPr>
                <w:sz w:val="16"/>
                <w:szCs w:val="16"/>
              </w:rPr>
            </w:pPr>
            <w:r w:rsidRPr="00873B6C">
              <w:rPr>
                <w:sz w:val="16"/>
                <w:szCs w:val="16"/>
              </w:rPr>
              <w:t>17.2.0</w:t>
            </w:r>
          </w:p>
        </w:tc>
      </w:tr>
      <w:tr w:rsidR="00AA610D" w:rsidRPr="00873B6C" w14:paraId="732AED3A" w14:textId="77777777" w:rsidTr="009D14FB">
        <w:tc>
          <w:tcPr>
            <w:tcW w:w="800" w:type="dxa"/>
            <w:shd w:val="solid" w:color="FFFFFF" w:fill="auto"/>
          </w:tcPr>
          <w:p w14:paraId="048E861A" w14:textId="50DBCFE4"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6ABB5322" w14:textId="1BC3478E"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2F712854" w14:textId="2FA73EF6" w:rsidR="00AA610D" w:rsidRPr="00873B6C" w:rsidRDefault="00AA610D" w:rsidP="000040FE">
            <w:pPr>
              <w:pStyle w:val="TAC"/>
              <w:rPr>
                <w:sz w:val="16"/>
                <w:szCs w:val="16"/>
              </w:rPr>
            </w:pPr>
            <w:r w:rsidRPr="00873B6C">
              <w:rPr>
                <w:sz w:val="16"/>
                <w:szCs w:val="16"/>
              </w:rPr>
              <w:t>SP-210918</w:t>
            </w:r>
          </w:p>
        </w:tc>
        <w:tc>
          <w:tcPr>
            <w:tcW w:w="567" w:type="dxa"/>
            <w:shd w:val="solid" w:color="FFFFFF" w:fill="auto"/>
          </w:tcPr>
          <w:p w14:paraId="2324E45A" w14:textId="409CB722" w:rsidR="00AA610D" w:rsidRPr="00873B6C" w:rsidRDefault="00AA610D" w:rsidP="000040FE">
            <w:pPr>
              <w:pStyle w:val="TAL"/>
              <w:rPr>
                <w:sz w:val="16"/>
                <w:szCs w:val="16"/>
              </w:rPr>
            </w:pPr>
            <w:r w:rsidRPr="00873B6C">
              <w:rPr>
                <w:sz w:val="16"/>
                <w:szCs w:val="16"/>
              </w:rPr>
              <w:t>3111</w:t>
            </w:r>
          </w:p>
        </w:tc>
        <w:tc>
          <w:tcPr>
            <w:tcW w:w="425" w:type="dxa"/>
            <w:shd w:val="solid" w:color="FFFFFF" w:fill="auto"/>
          </w:tcPr>
          <w:p w14:paraId="59590F42" w14:textId="0F1C5FF6" w:rsidR="00AA610D" w:rsidRPr="00873B6C" w:rsidRDefault="00AA610D" w:rsidP="000040FE">
            <w:pPr>
              <w:pStyle w:val="TAL"/>
              <w:rPr>
                <w:sz w:val="16"/>
                <w:szCs w:val="16"/>
              </w:rPr>
            </w:pPr>
            <w:r w:rsidRPr="00873B6C">
              <w:rPr>
                <w:sz w:val="16"/>
                <w:szCs w:val="16"/>
              </w:rPr>
              <w:t>1</w:t>
            </w:r>
          </w:p>
        </w:tc>
        <w:tc>
          <w:tcPr>
            <w:tcW w:w="425" w:type="dxa"/>
            <w:shd w:val="solid" w:color="FFFFFF" w:fill="auto"/>
          </w:tcPr>
          <w:p w14:paraId="48AB4A84" w14:textId="0ABB3754"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6E56873D" w14:textId="650D70B3" w:rsidR="00AA610D" w:rsidRPr="00873B6C" w:rsidRDefault="00AA610D" w:rsidP="000040FE">
            <w:pPr>
              <w:pStyle w:val="TAL"/>
              <w:rPr>
                <w:sz w:val="16"/>
                <w:szCs w:val="16"/>
                <w:lang w:val="fr-FR"/>
              </w:rPr>
            </w:pPr>
            <w:r w:rsidRPr="00873B6C">
              <w:rPr>
                <w:sz w:val="16"/>
                <w:szCs w:val="16"/>
                <w:lang w:val="fr-FR"/>
              </w:rPr>
              <w:t>Termination on UE assistance mode</w:t>
            </w:r>
          </w:p>
        </w:tc>
        <w:tc>
          <w:tcPr>
            <w:tcW w:w="708" w:type="dxa"/>
            <w:shd w:val="solid" w:color="FFFFFF" w:fill="auto"/>
          </w:tcPr>
          <w:p w14:paraId="088F0E79" w14:textId="23E17A7B" w:rsidR="00AA610D" w:rsidRPr="00873B6C" w:rsidRDefault="00AA610D" w:rsidP="000040FE">
            <w:pPr>
              <w:pStyle w:val="TAC"/>
              <w:rPr>
                <w:sz w:val="16"/>
                <w:szCs w:val="16"/>
              </w:rPr>
            </w:pPr>
            <w:r w:rsidRPr="00873B6C">
              <w:rPr>
                <w:sz w:val="16"/>
                <w:szCs w:val="16"/>
              </w:rPr>
              <w:t>17.2.0</w:t>
            </w:r>
          </w:p>
        </w:tc>
      </w:tr>
      <w:tr w:rsidR="00AA610D" w:rsidRPr="00873B6C" w14:paraId="40E5AB34" w14:textId="77777777" w:rsidTr="009D14FB">
        <w:tc>
          <w:tcPr>
            <w:tcW w:w="800" w:type="dxa"/>
            <w:shd w:val="solid" w:color="FFFFFF" w:fill="auto"/>
          </w:tcPr>
          <w:p w14:paraId="0F5F0B35" w14:textId="45E5C527"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4C3D9891" w14:textId="1AC94C27"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7212C1DF" w14:textId="19FDE1BD" w:rsidR="00AA610D" w:rsidRPr="00873B6C" w:rsidRDefault="00AA610D" w:rsidP="000040FE">
            <w:pPr>
              <w:pStyle w:val="TAC"/>
              <w:rPr>
                <w:sz w:val="16"/>
                <w:szCs w:val="16"/>
              </w:rPr>
            </w:pPr>
            <w:r w:rsidRPr="00873B6C">
              <w:rPr>
                <w:sz w:val="16"/>
                <w:szCs w:val="16"/>
              </w:rPr>
              <w:t>SP-210929</w:t>
            </w:r>
          </w:p>
        </w:tc>
        <w:tc>
          <w:tcPr>
            <w:tcW w:w="567" w:type="dxa"/>
            <w:shd w:val="solid" w:color="FFFFFF" w:fill="auto"/>
          </w:tcPr>
          <w:p w14:paraId="54A487FD" w14:textId="2EDF1D15" w:rsidR="00AA610D" w:rsidRPr="00873B6C" w:rsidRDefault="00AA610D" w:rsidP="000040FE">
            <w:pPr>
              <w:pStyle w:val="TAL"/>
              <w:rPr>
                <w:sz w:val="16"/>
                <w:szCs w:val="16"/>
              </w:rPr>
            </w:pPr>
            <w:r w:rsidRPr="00873B6C">
              <w:rPr>
                <w:sz w:val="16"/>
                <w:szCs w:val="16"/>
              </w:rPr>
              <w:t>3112</w:t>
            </w:r>
          </w:p>
        </w:tc>
        <w:tc>
          <w:tcPr>
            <w:tcW w:w="425" w:type="dxa"/>
            <w:shd w:val="solid" w:color="FFFFFF" w:fill="auto"/>
          </w:tcPr>
          <w:p w14:paraId="4701D80A" w14:textId="74238605" w:rsidR="00AA610D" w:rsidRPr="00873B6C" w:rsidRDefault="00AA610D" w:rsidP="000040FE">
            <w:pPr>
              <w:pStyle w:val="TAL"/>
              <w:rPr>
                <w:sz w:val="16"/>
                <w:szCs w:val="16"/>
              </w:rPr>
            </w:pPr>
            <w:r w:rsidRPr="00873B6C">
              <w:rPr>
                <w:sz w:val="16"/>
                <w:szCs w:val="16"/>
              </w:rPr>
              <w:t>-</w:t>
            </w:r>
          </w:p>
        </w:tc>
        <w:tc>
          <w:tcPr>
            <w:tcW w:w="425" w:type="dxa"/>
            <w:shd w:val="solid" w:color="FFFFFF" w:fill="auto"/>
          </w:tcPr>
          <w:p w14:paraId="2CC9DD63" w14:textId="5A6A8980"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573EEC11" w14:textId="1418E460" w:rsidR="00AA610D" w:rsidRPr="00873B6C" w:rsidRDefault="00AA610D" w:rsidP="000040FE">
            <w:pPr>
              <w:pStyle w:val="TAL"/>
              <w:rPr>
                <w:sz w:val="16"/>
                <w:szCs w:val="16"/>
              </w:rPr>
            </w:pPr>
            <w:r w:rsidRPr="00873B6C">
              <w:rPr>
                <w:sz w:val="16"/>
                <w:szCs w:val="16"/>
              </w:rPr>
              <w:t>Classification of NEF or TSCTSF</w:t>
            </w:r>
          </w:p>
        </w:tc>
        <w:tc>
          <w:tcPr>
            <w:tcW w:w="708" w:type="dxa"/>
            <w:shd w:val="solid" w:color="FFFFFF" w:fill="auto"/>
          </w:tcPr>
          <w:p w14:paraId="23F31E7F" w14:textId="04FC5885" w:rsidR="00AA610D" w:rsidRPr="00873B6C" w:rsidRDefault="00AA610D" w:rsidP="000040FE">
            <w:pPr>
              <w:pStyle w:val="TAC"/>
              <w:rPr>
                <w:sz w:val="16"/>
                <w:szCs w:val="16"/>
              </w:rPr>
            </w:pPr>
            <w:r w:rsidRPr="00873B6C">
              <w:rPr>
                <w:sz w:val="16"/>
                <w:szCs w:val="16"/>
              </w:rPr>
              <w:t>17.2.0</w:t>
            </w:r>
          </w:p>
        </w:tc>
      </w:tr>
      <w:tr w:rsidR="00AA610D" w:rsidRPr="00873B6C" w14:paraId="7D1E3CF3" w14:textId="77777777" w:rsidTr="009D14FB">
        <w:tc>
          <w:tcPr>
            <w:tcW w:w="800" w:type="dxa"/>
            <w:shd w:val="solid" w:color="FFFFFF" w:fill="auto"/>
          </w:tcPr>
          <w:p w14:paraId="6BD87D22" w14:textId="0C15367C"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6B456A53" w14:textId="24D7DE6F"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610CDE6C" w14:textId="62FDE25D" w:rsidR="00AA610D" w:rsidRPr="00873B6C" w:rsidRDefault="00AA610D" w:rsidP="000040FE">
            <w:pPr>
              <w:pStyle w:val="TAC"/>
              <w:rPr>
                <w:sz w:val="16"/>
                <w:szCs w:val="16"/>
              </w:rPr>
            </w:pPr>
            <w:r w:rsidRPr="00873B6C">
              <w:rPr>
                <w:sz w:val="16"/>
                <w:szCs w:val="16"/>
              </w:rPr>
              <w:t>SP-210918</w:t>
            </w:r>
          </w:p>
        </w:tc>
        <w:tc>
          <w:tcPr>
            <w:tcW w:w="567" w:type="dxa"/>
            <w:shd w:val="solid" w:color="FFFFFF" w:fill="auto"/>
          </w:tcPr>
          <w:p w14:paraId="45BDC135" w14:textId="0E2C7CB5" w:rsidR="00AA610D" w:rsidRPr="00873B6C" w:rsidRDefault="00AA610D" w:rsidP="000040FE">
            <w:pPr>
              <w:pStyle w:val="TAL"/>
              <w:rPr>
                <w:sz w:val="16"/>
                <w:szCs w:val="16"/>
              </w:rPr>
            </w:pPr>
            <w:r w:rsidRPr="00873B6C">
              <w:rPr>
                <w:sz w:val="16"/>
                <w:szCs w:val="16"/>
              </w:rPr>
              <w:t>3114</w:t>
            </w:r>
          </w:p>
        </w:tc>
        <w:tc>
          <w:tcPr>
            <w:tcW w:w="425" w:type="dxa"/>
            <w:shd w:val="solid" w:color="FFFFFF" w:fill="auto"/>
          </w:tcPr>
          <w:p w14:paraId="1BA9DE48" w14:textId="5DF130C2" w:rsidR="00AA610D" w:rsidRPr="00873B6C" w:rsidRDefault="00AA610D" w:rsidP="000040FE">
            <w:pPr>
              <w:pStyle w:val="TAL"/>
              <w:rPr>
                <w:sz w:val="16"/>
                <w:szCs w:val="16"/>
              </w:rPr>
            </w:pPr>
            <w:r w:rsidRPr="00873B6C">
              <w:rPr>
                <w:sz w:val="16"/>
                <w:szCs w:val="16"/>
              </w:rPr>
              <w:t>-</w:t>
            </w:r>
          </w:p>
        </w:tc>
        <w:tc>
          <w:tcPr>
            <w:tcW w:w="425" w:type="dxa"/>
            <w:shd w:val="solid" w:color="FFFFFF" w:fill="auto"/>
          </w:tcPr>
          <w:p w14:paraId="5EC12355" w14:textId="5A156874"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3275500B" w14:textId="122A89FF" w:rsidR="00AA610D" w:rsidRPr="00873B6C" w:rsidRDefault="00AA610D" w:rsidP="000040FE">
            <w:pPr>
              <w:pStyle w:val="TAL"/>
              <w:rPr>
                <w:sz w:val="16"/>
                <w:szCs w:val="16"/>
              </w:rPr>
            </w:pPr>
            <w:r w:rsidRPr="00873B6C">
              <w:rPr>
                <w:sz w:val="16"/>
                <w:szCs w:val="16"/>
              </w:rPr>
              <w:t>Removal of 5G-RG limitation on 3GPP access leg support in EPC</w:t>
            </w:r>
          </w:p>
        </w:tc>
        <w:tc>
          <w:tcPr>
            <w:tcW w:w="708" w:type="dxa"/>
            <w:shd w:val="solid" w:color="FFFFFF" w:fill="auto"/>
          </w:tcPr>
          <w:p w14:paraId="598C7981" w14:textId="30768D2A" w:rsidR="00AA610D" w:rsidRPr="00873B6C" w:rsidRDefault="00AA610D" w:rsidP="000040FE">
            <w:pPr>
              <w:pStyle w:val="TAC"/>
              <w:rPr>
                <w:sz w:val="16"/>
                <w:szCs w:val="16"/>
              </w:rPr>
            </w:pPr>
            <w:r w:rsidRPr="00873B6C">
              <w:rPr>
                <w:sz w:val="16"/>
                <w:szCs w:val="16"/>
              </w:rPr>
              <w:t>17.2.0</w:t>
            </w:r>
          </w:p>
        </w:tc>
      </w:tr>
      <w:tr w:rsidR="00AA610D" w:rsidRPr="00873B6C" w14:paraId="509E188E" w14:textId="77777777" w:rsidTr="009D14FB">
        <w:tc>
          <w:tcPr>
            <w:tcW w:w="800" w:type="dxa"/>
            <w:shd w:val="solid" w:color="FFFFFF" w:fill="auto"/>
          </w:tcPr>
          <w:p w14:paraId="7F36F860" w14:textId="5C20E603"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7AE36A24" w14:textId="7524E68A"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016BDD3F" w14:textId="2653BBDB" w:rsidR="00AA610D" w:rsidRPr="00873B6C" w:rsidRDefault="00AA610D" w:rsidP="000040FE">
            <w:pPr>
              <w:pStyle w:val="TAC"/>
              <w:rPr>
                <w:sz w:val="16"/>
                <w:szCs w:val="16"/>
              </w:rPr>
            </w:pPr>
            <w:r w:rsidRPr="00873B6C">
              <w:rPr>
                <w:sz w:val="16"/>
                <w:szCs w:val="16"/>
              </w:rPr>
              <w:t>SP-210918</w:t>
            </w:r>
          </w:p>
        </w:tc>
        <w:tc>
          <w:tcPr>
            <w:tcW w:w="567" w:type="dxa"/>
            <w:shd w:val="solid" w:color="FFFFFF" w:fill="auto"/>
          </w:tcPr>
          <w:p w14:paraId="2213583C" w14:textId="25698AFE" w:rsidR="00AA610D" w:rsidRPr="00873B6C" w:rsidRDefault="00AA610D" w:rsidP="000040FE">
            <w:pPr>
              <w:pStyle w:val="TAL"/>
              <w:rPr>
                <w:sz w:val="16"/>
                <w:szCs w:val="16"/>
              </w:rPr>
            </w:pPr>
            <w:r w:rsidRPr="00873B6C">
              <w:rPr>
                <w:sz w:val="16"/>
                <w:szCs w:val="16"/>
              </w:rPr>
              <w:t>3116</w:t>
            </w:r>
          </w:p>
        </w:tc>
        <w:tc>
          <w:tcPr>
            <w:tcW w:w="425" w:type="dxa"/>
            <w:shd w:val="solid" w:color="FFFFFF" w:fill="auto"/>
          </w:tcPr>
          <w:p w14:paraId="5B2CBEED" w14:textId="4B3F7DC6" w:rsidR="00AA610D" w:rsidRPr="00873B6C" w:rsidRDefault="00AA610D" w:rsidP="000040FE">
            <w:pPr>
              <w:pStyle w:val="TAL"/>
              <w:rPr>
                <w:sz w:val="16"/>
                <w:szCs w:val="16"/>
              </w:rPr>
            </w:pPr>
            <w:r w:rsidRPr="00873B6C">
              <w:rPr>
                <w:sz w:val="16"/>
                <w:szCs w:val="16"/>
              </w:rPr>
              <w:t>1</w:t>
            </w:r>
          </w:p>
        </w:tc>
        <w:tc>
          <w:tcPr>
            <w:tcW w:w="425" w:type="dxa"/>
            <w:shd w:val="solid" w:color="FFFFFF" w:fill="auto"/>
          </w:tcPr>
          <w:p w14:paraId="5EA57A3A" w14:textId="034E4CC8"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0D4EE96D" w14:textId="69D57058" w:rsidR="00AA610D" w:rsidRPr="00873B6C" w:rsidRDefault="00AA610D" w:rsidP="000040FE">
            <w:pPr>
              <w:pStyle w:val="TAL"/>
              <w:rPr>
                <w:sz w:val="16"/>
                <w:szCs w:val="16"/>
              </w:rPr>
            </w:pPr>
            <w:r w:rsidRPr="00873B6C">
              <w:rPr>
                <w:sz w:val="16"/>
                <w:szCs w:val="16"/>
              </w:rPr>
              <w:t>Clarification on source and destination addresses setting for PMF messages</w:t>
            </w:r>
          </w:p>
        </w:tc>
        <w:tc>
          <w:tcPr>
            <w:tcW w:w="708" w:type="dxa"/>
            <w:shd w:val="solid" w:color="FFFFFF" w:fill="auto"/>
          </w:tcPr>
          <w:p w14:paraId="275DB2B9" w14:textId="763C3E0A" w:rsidR="00AA610D" w:rsidRPr="00873B6C" w:rsidRDefault="00AA610D" w:rsidP="000040FE">
            <w:pPr>
              <w:pStyle w:val="TAC"/>
              <w:rPr>
                <w:sz w:val="16"/>
                <w:szCs w:val="16"/>
              </w:rPr>
            </w:pPr>
            <w:r w:rsidRPr="00873B6C">
              <w:rPr>
                <w:sz w:val="16"/>
                <w:szCs w:val="16"/>
              </w:rPr>
              <w:t>17.2.0</w:t>
            </w:r>
          </w:p>
        </w:tc>
      </w:tr>
      <w:tr w:rsidR="003B4D25" w:rsidRPr="00873B6C" w14:paraId="54B781E9" w14:textId="77777777" w:rsidTr="009D14FB">
        <w:tc>
          <w:tcPr>
            <w:tcW w:w="800" w:type="dxa"/>
            <w:shd w:val="solid" w:color="FFFFFF" w:fill="auto"/>
          </w:tcPr>
          <w:p w14:paraId="39C65DEA" w14:textId="1EFFA7C8"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0A0D9A3A" w14:textId="50D458DB"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46E249BC" w14:textId="41692340" w:rsidR="003B4D25" w:rsidRPr="00873B6C" w:rsidRDefault="003B4D25" w:rsidP="000040FE">
            <w:pPr>
              <w:pStyle w:val="TAC"/>
              <w:rPr>
                <w:sz w:val="16"/>
                <w:szCs w:val="16"/>
              </w:rPr>
            </w:pPr>
            <w:r w:rsidRPr="00873B6C">
              <w:rPr>
                <w:sz w:val="16"/>
                <w:szCs w:val="16"/>
              </w:rPr>
              <w:t>SP-210916</w:t>
            </w:r>
          </w:p>
        </w:tc>
        <w:tc>
          <w:tcPr>
            <w:tcW w:w="567" w:type="dxa"/>
            <w:shd w:val="solid" w:color="FFFFFF" w:fill="auto"/>
          </w:tcPr>
          <w:p w14:paraId="723380A5" w14:textId="4719D2CC" w:rsidR="003B4D25" w:rsidRPr="00873B6C" w:rsidRDefault="003B4D25" w:rsidP="000040FE">
            <w:pPr>
              <w:pStyle w:val="TAL"/>
              <w:rPr>
                <w:sz w:val="16"/>
                <w:szCs w:val="16"/>
              </w:rPr>
            </w:pPr>
            <w:r w:rsidRPr="00873B6C">
              <w:rPr>
                <w:sz w:val="16"/>
                <w:szCs w:val="16"/>
              </w:rPr>
              <w:t>3119</w:t>
            </w:r>
          </w:p>
        </w:tc>
        <w:tc>
          <w:tcPr>
            <w:tcW w:w="425" w:type="dxa"/>
            <w:shd w:val="solid" w:color="FFFFFF" w:fill="auto"/>
          </w:tcPr>
          <w:p w14:paraId="3CDB217E" w14:textId="7F091E5A" w:rsidR="003B4D25" w:rsidRPr="00873B6C" w:rsidRDefault="003B4D25" w:rsidP="000040FE">
            <w:pPr>
              <w:pStyle w:val="TAL"/>
              <w:rPr>
                <w:sz w:val="16"/>
                <w:szCs w:val="16"/>
              </w:rPr>
            </w:pPr>
            <w:r w:rsidRPr="00873B6C">
              <w:rPr>
                <w:sz w:val="16"/>
                <w:szCs w:val="16"/>
              </w:rPr>
              <w:t>1</w:t>
            </w:r>
          </w:p>
        </w:tc>
        <w:tc>
          <w:tcPr>
            <w:tcW w:w="425" w:type="dxa"/>
            <w:shd w:val="solid" w:color="FFFFFF" w:fill="auto"/>
          </w:tcPr>
          <w:p w14:paraId="3DA0B9D0" w14:textId="3C70EFB8"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5A052EA3" w14:textId="1C033085" w:rsidR="003B4D25" w:rsidRPr="00873B6C" w:rsidRDefault="003B4D25" w:rsidP="000040FE">
            <w:pPr>
              <w:pStyle w:val="TAL"/>
              <w:rPr>
                <w:sz w:val="16"/>
                <w:szCs w:val="16"/>
              </w:rPr>
            </w:pPr>
            <w:r w:rsidRPr="00873B6C">
              <w:rPr>
                <w:sz w:val="16"/>
                <w:szCs w:val="16"/>
              </w:rPr>
              <w:t>Remove Editor's note in clause 5.4.11.1 in TS 23.501</w:t>
            </w:r>
          </w:p>
        </w:tc>
        <w:tc>
          <w:tcPr>
            <w:tcW w:w="708" w:type="dxa"/>
            <w:shd w:val="solid" w:color="FFFFFF" w:fill="auto"/>
          </w:tcPr>
          <w:p w14:paraId="13DB0766" w14:textId="7E399A54" w:rsidR="003B4D25" w:rsidRPr="00873B6C" w:rsidRDefault="003B4D25" w:rsidP="000040FE">
            <w:pPr>
              <w:pStyle w:val="TAC"/>
              <w:rPr>
                <w:sz w:val="16"/>
                <w:szCs w:val="16"/>
              </w:rPr>
            </w:pPr>
            <w:r w:rsidRPr="00873B6C">
              <w:rPr>
                <w:sz w:val="16"/>
                <w:szCs w:val="16"/>
              </w:rPr>
              <w:t>17.2.0</w:t>
            </w:r>
          </w:p>
        </w:tc>
      </w:tr>
      <w:tr w:rsidR="003B4D25" w:rsidRPr="00873B6C" w14:paraId="0D93E19D" w14:textId="77777777" w:rsidTr="009D14FB">
        <w:tc>
          <w:tcPr>
            <w:tcW w:w="800" w:type="dxa"/>
            <w:shd w:val="solid" w:color="FFFFFF" w:fill="auto"/>
          </w:tcPr>
          <w:p w14:paraId="5EE92359" w14:textId="7D42F329"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30FDF8DB" w14:textId="0C7775C4"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1A40B623" w14:textId="0A80392E" w:rsidR="003B4D25" w:rsidRPr="00873B6C" w:rsidRDefault="003B4D25" w:rsidP="000040FE">
            <w:pPr>
              <w:pStyle w:val="TAC"/>
              <w:rPr>
                <w:sz w:val="16"/>
                <w:szCs w:val="16"/>
              </w:rPr>
            </w:pPr>
            <w:r w:rsidRPr="00873B6C">
              <w:rPr>
                <w:sz w:val="16"/>
                <w:szCs w:val="16"/>
              </w:rPr>
              <w:t>SP-210920</w:t>
            </w:r>
          </w:p>
        </w:tc>
        <w:tc>
          <w:tcPr>
            <w:tcW w:w="567" w:type="dxa"/>
            <w:shd w:val="solid" w:color="FFFFFF" w:fill="auto"/>
          </w:tcPr>
          <w:p w14:paraId="3F98289E" w14:textId="1DCA35BE" w:rsidR="003B4D25" w:rsidRPr="00873B6C" w:rsidRDefault="003B4D25" w:rsidP="000040FE">
            <w:pPr>
              <w:pStyle w:val="TAL"/>
              <w:rPr>
                <w:sz w:val="16"/>
                <w:szCs w:val="16"/>
              </w:rPr>
            </w:pPr>
            <w:r w:rsidRPr="00873B6C">
              <w:rPr>
                <w:sz w:val="16"/>
                <w:szCs w:val="16"/>
              </w:rPr>
              <w:t>3124</w:t>
            </w:r>
          </w:p>
        </w:tc>
        <w:tc>
          <w:tcPr>
            <w:tcW w:w="425" w:type="dxa"/>
            <w:shd w:val="solid" w:color="FFFFFF" w:fill="auto"/>
          </w:tcPr>
          <w:p w14:paraId="4B5B0F50" w14:textId="4F9E00DC" w:rsidR="003B4D25" w:rsidRPr="00873B6C" w:rsidRDefault="003B4D25" w:rsidP="000040FE">
            <w:pPr>
              <w:pStyle w:val="TAL"/>
              <w:rPr>
                <w:sz w:val="16"/>
                <w:szCs w:val="16"/>
              </w:rPr>
            </w:pPr>
            <w:r w:rsidRPr="00873B6C">
              <w:rPr>
                <w:sz w:val="16"/>
                <w:szCs w:val="16"/>
              </w:rPr>
              <w:t>1</w:t>
            </w:r>
          </w:p>
        </w:tc>
        <w:tc>
          <w:tcPr>
            <w:tcW w:w="425" w:type="dxa"/>
            <w:shd w:val="solid" w:color="FFFFFF" w:fill="auto"/>
          </w:tcPr>
          <w:p w14:paraId="7F6748B3" w14:textId="6FB804F6"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385CF6A9" w14:textId="6CAED723" w:rsidR="003B4D25" w:rsidRPr="00873B6C" w:rsidRDefault="003B4D25" w:rsidP="000040FE">
            <w:pPr>
              <w:pStyle w:val="TAL"/>
              <w:rPr>
                <w:sz w:val="16"/>
                <w:szCs w:val="16"/>
              </w:rPr>
            </w:pPr>
            <w:r w:rsidRPr="00873B6C">
              <w:rPr>
                <w:sz w:val="16"/>
                <w:szCs w:val="16"/>
              </w:rPr>
              <w:t>Update of ECS address in External Exposure of Network Capability</w:t>
            </w:r>
          </w:p>
        </w:tc>
        <w:tc>
          <w:tcPr>
            <w:tcW w:w="708" w:type="dxa"/>
            <w:shd w:val="solid" w:color="FFFFFF" w:fill="auto"/>
          </w:tcPr>
          <w:p w14:paraId="616F8024" w14:textId="68D5FAF3" w:rsidR="003B4D25" w:rsidRPr="00873B6C" w:rsidRDefault="003B4D25" w:rsidP="000040FE">
            <w:pPr>
              <w:pStyle w:val="TAC"/>
              <w:rPr>
                <w:sz w:val="16"/>
                <w:szCs w:val="16"/>
              </w:rPr>
            </w:pPr>
            <w:r w:rsidRPr="00873B6C">
              <w:rPr>
                <w:sz w:val="16"/>
                <w:szCs w:val="16"/>
              </w:rPr>
              <w:t>17.2.0</w:t>
            </w:r>
          </w:p>
        </w:tc>
      </w:tr>
      <w:tr w:rsidR="008D4C5F" w:rsidRPr="00873B6C" w14:paraId="66035BEC" w14:textId="77777777" w:rsidTr="00C9561D">
        <w:tc>
          <w:tcPr>
            <w:tcW w:w="800" w:type="dxa"/>
            <w:shd w:val="solid" w:color="FFFFFF" w:fill="auto"/>
          </w:tcPr>
          <w:p w14:paraId="289EFDB8" w14:textId="77777777" w:rsidR="008D4C5F" w:rsidRPr="00873B6C" w:rsidRDefault="008D4C5F" w:rsidP="00C9561D">
            <w:pPr>
              <w:pStyle w:val="TAC"/>
              <w:rPr>
                <w:sz w:val="16"/>
                <w:szCs w:val="16"/>
              </w:rPr>
            </w:pPr>
            <w:r w:rsidRPr="00873B6C">
              <w:rPr>
                <w:sz w:val="16"/>
                <w:szCs w:val="16"/>
              </w:rPr>
              <w:t>2021-09</w:t>
            </w:r>
          </w:p>
        </w:tc>
        <w:tc>
          <w:tcPr>
            <w:tcW w:w="800" w:type="dxa"/>
            <w:shd w:val="solid" w:color="FFFFFF" w:fill="auto"/>
          </w:tcPr>
          <w:p w14:paraId="76783F93" w14:textId="77777777" w:rsidR="008D4C5F" w:rsidRPr="00873B6C" w:rsidRDefault="008D4C5F" w:rsidP="00C9561D">
            <w:pPr>
              <w:pStyle w:val="TAL"/>
              <w:rPr>
                <w:sz w:val="16"/>
                <w:szCs w:val="16"/>
              </w:rPr>
            </w:pPr>
            <w:r w:rsidRPr="00873B6C">
              <w:rPr>
                <w:sz w:val="16"/>
                <w:szCs w:val="16"/>
              </w:rPr>
              <w:t>SP#93E</w:t>
            </w:r>
          </w:p>
        </w:tc>
        <w:tc>
          <w:tcPr>
            <w:tcW w:w="1094" w:type="dxa"/>
            <w:shd w:val="solid" w:color="FFFFFF" w:fill="auto"/>
          </w:tcPr>
          <w:p w14:paraId="7E2BF265" w14:textId="77777777" w:rsidR="008D4C5F" w:rsidRPr="00873B6C" w:rsidRDefault="008D4C5F" w:rsidP="00C9561D">
            <w:pPr>
              <w:pStyle w:val="TAC"/>
              <w:rPr>
                <w:sz w:val="16"/>
                <w:szCs w:val="16"/>
              </w:rPr>
            </w:pPr>
            <w:r w:rsidRPr="00873B6C">
              <w:rPr>
                <w:sz w:val="16"/>
                <w:szCs w:val="16"/>
              </w:rPr>
              <w:t>SP-211133</w:t>
            </w:r>
          </w:p>
        </w:tc>
        <w:tc>
          <w:tcPr>
            <w:tcW w:w="567" w:type="dxa"/>
            <w:shd w:val="solid" w:color="FFFFFF" w:fill="auto"/>
          </w:tcPr>
          <w:p w14:paraId="76FF009A" w14:textId="77777777" w:rsidR="008D4C5F" w:rsidRPr="00873B6C" w:rsidRDefault="008D4C5F" w:rsidP="00C9561D">
            <w:pPr>
              <w:pStyle w:val="TAL"/>
              <w:rPr>
                <w:sz w:val="16"/>
                <w:szCs w:val="16"/>
              </w:rPr>
            </w:pPr>
            <w:r w:rsidRPr="00873B6C">
              <w:rPr>
                <w:sz w:val="16"/>
                <w:szCs w:val="16"/>
              </w:rPr>
              <w:t>3126</w:t>
            </w:r>
          </w:p>
        </w:tc>
        <w:tc>
          <w:tcPr>
            <w:tcW w:w="425" w:type="dxa"/>
            <w:shd w:val="solid" w:color="FFFFFF" w:fill="auto"/>
          </w:tcPr>
          <w:p w14:paraId="2FC71426" w14:textId="77777777" w:rsidR="008D4C5F" w:rsidRPr="00873B6C" w:rsidRDefault="008D4C5F" w:rsidP="00C9561D">
            <w:pPr>
              <w:pStyle w:val="TAL"/>
              <w:rPr>
                <w:sz w:val="16"/>
                <w:szCs w:val="16"/>
              </w:rPr>
            </w:pPr>
            <w:r w:rsidRPr="00873B6C">
              <w:rPr>
                <w:sz w:val="16"/>
                <w:szCs w:val="16"/>
              </w:rPr>
              <w:t>3</w:t>
            </w:r>
          </w:p>
        </w:tc>
        <w:tc>
          <w:tcPr>
            <w:tcW w:w="425" w:type="dxa"/>
            <w:shd w:val="solid" w:color="FFFFFF" w:fill="auto"/>
          </w:tcPr>
          <w:p w14:paraId="035CC78E" w14:textId="77777777" w:rsidR="008D4C5F" w:rsidRPr="00873B6C" w:rsidRDefault="008D4C5F" w:rsidP="00C9561D">
            <w:pPr>
              <w:pStyle w:val="TAL"/>
              <w:rPr>
                <w:sz w:val="16"/>
                <w:szCs w:val="16"/>
              </w:rPr>
            </w:pPr>
            <w:r w:rsidRPr="00873B6C">
              <w:rPr>
                <w:sz w:val="16"/>
                <w:szCs w:val="16"/>
              </w:rPr>
              <w:t>B</w:t>
            </w:r>
          </w:p>
        </w:tc>
        <w:tc>
          <w:tcPr>
            <w:tcW w:w="4820" w:type="dxa"/>
            <w:shd w:val="solid" w:color="FFFFFF" w:fill="auto"/>
          </w:tcPr>
          <w:p w14:paraId="19604C95" w14:textId="77777777" w:rsidR="008D4C5F" w:rsidRPr="00873B6C" w:rsidRDefault="008D4C5F" w:rsidP="00C9561D">
            <w:pPr>
              <w:pStyle w:val="TAL"/>
              <w:rPr>
                <w:sz w:val="16"/>
                <w:szCs w:val="16"/>
              </w:rPr>
            </w:pPr>
            <w:r w:rsidRPr="00873B6C">
              <w:rPr>
                <w:sz w:val="16"/>
                <w:szCs w:val="16"/>
              </w:rPr>
              <w:t>Resolve ENs in NSAC support for EPC interworking</w:t>
            </w:r>
          </w:p>
        </w:tc>
        <w:tc>
          <w:tcPr>
            <w:tcW w:w="708" w:type="dxa"/>
            <w:shd w:val="solid" w:color="FFFFFF" w:fill="auto"/>
          </w:tcPr>
          <w:p w14:paraId="1E66BA3C" w14:textId="77777777" w:rsidR="008D4C5F" w:rsidRPr="00873B6C" w:rsidRDefault="008D4C5F" w:rsidP="00C9561D">
            <w:pPr>
              <w:pStyle w:val="TAC"/>
              <w:rPr>
                <w:sz w:val="16"/>
                <w:szCs w:val="16"/>
              </w:rPr>
            </w:pPr>
            <w:r w:rsidRPr="00873B6C">
              <w:rPr>
                <w:sz w:val="16"/>
                <w:szCs w:val="16"/>
              </w:rPr>
              <w:t>17.2.0</w:t>
            </w:r>
          </w:p>
        </w:tc>
      </w:tr>
      <w:tr w:rsidR="003B4D25" w:rsidRPr="00873B6C" w14:paraId="2D35C9EB" w14:textId="77777777" w:rsidTr="009D14FB">
        <w:tc>
          <w:tcPr>
            <w:tcW w:w="800" w:type="dxa"/>
            <w:shd w:val="solid" w:color="FFFFFF" w:fill="auto"/>
          </w:tcPr>
          <w:p w14:paraId="707B1EA6" w14:textId="039006B4"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3E53C409" w14:textId="475DE20F"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2E945F51" w14:textId="6D6B9265" w:rsidR="003B4D25" w:rsidRPr="00873B6C" w:rsidRDefault="003B4D25" w:rsidP="000040FE">
            <w:pPr>
              <w:pStyle w:val="TAC"/>
              <w:rPr>
                <w:sz w:val="16"/>
                <w:szCs w:val="16"/>
              </w:rPr>
            </w:pPr>
            <w:r w:rsidRPr="00873B6C">
              <w:rPr>
                <w:sz w:val="16"/>
                <w:szCs w:val="16"/>
              </w:rPr>
              <w:t>SP-210923</w:t>
            </w:r>
          </w:p>
        </w:tc>
        <w:tc>
          <w:tcPr>
            <w:tcW w:w="567" w:type="dxa"/>
            <w:shd w:val="solid" w:color="FFFFFF" w:fill="auto"/>
          </w:tcPr>
          <w:p w14:paraId="0D197C4C" w14:textId="54AF539A" w:rsidR="003B4D25" w:rsidRPr="00873B6C" w:rsidRDefault="003B4D25" w:rsidP="000040FE">
            <w:pPr>
              <w:pStyle w:val="TAL"/>
              <w:rPr>
                <w:sz w:val="16"/>
                <w:szCs w:val="16"/>
              </w:rPr>
            </w:pPr>
            <w:r w:rsidRPr="00873B6C">
              <w:rPr>
                <w:sz w:val="16"/>
                <w:szCs w:val="16"/>
              </w:rPr>
              <w:t>3136</w:t>
            </w:r>
          </w:p>
        </w:tc>
        <w:tc>
          <w:tcPr>
            <w:tcW w:w="425" w:type="dxa"/>
            <w:shd w:val="solid" w:color="FFFFFF" w:fill="auto"/>
          </w:tcPr>
          <w:p w14:paraId="25C2293B" w14:textId="2A7170DF" w:rsidR="003B4D25" w:rsidRPr="00873B6C" w:rsidRDefault="003B4D25" w:rsidP="000040FE">
            <w:pPr>
              <w:pStyle w:val="TAL"/>
              <w:rPr>
                <w:sz w:val="16"/>
                <w:szCs w:val="16"/>
              </w:rPr>
            </w:pPr>
            <w:r w:rsidRPr="00873B6C">
              <w:rPr>
                <w:sz w:val="16"/>
                <w:szCs w:val="16"/>
              </w:rPr>
              <w:t xml:space="preserve">- </w:t>
            </w:r>
          </w:p>
        </w:tc>
        <w:tc>
          <w:tcPr>
            <w:tcW w:w="425" w:type="dxa"/>
            <w:shd w:val="solid" w:color="FFFFFF" w:fill="auto"/>
          </w:tcPr>
          <w:p w14:paraId="24B48A10" w14:textId="776B73B0"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3D21422F" w14:textId="3612342C" w:rsidR="003B4D25" w:rsidRPr="00873B6C" w:rsidRDefault="003B4D25" w:rsidP="000040FE">
            <w:pPr>
              <w:pStyle w:val="TAL"/>
              <w:rPr>
                <w:sz w:val="16"/>
                <w:szCs w:val="16"/>
              </w:rPr>
            </w:pPr>
            <w:r w:rsidRPr="00873B6C">
              <w:rPr>
                <w:sz w:val="16"/>
                <w:szCs w:val="16"/>
              </w:rPr>
              <w:t>Terminology correction for UE onboarding</w:t>
            </w:r>
          </w:p>
        </w:tc>
        <w:tc>
          <w:tcPr>
            <w:tcW w:w="708" w:type="dxa"/>
            <w:shd w:val="solid" w:color="FFFFFF" w:fill="auto"/>
          </w:tcPr>
          <w:p w14:paraId="3FF4CBA8" w14:textId="117E1D71" w:rsidR="003B4D25" w:rsidRPr="00873B6C" w:rsidRDefault="003B4D25" w:rsidP="000040FE">
            <w:pPr>
              <w:pStyle w:val="TAC"/>
              <w:rPr>
                <w:sz w:val="16"/>
                <w:szCs w:val="16"/>
              </w:rPr>
            </w:pPr>
            <w:r w:rsidRPr="00873B6C">
              <w:rPr>
                <w:sz w:val="16"/>
                <w:szCs w:val="16"/>
              </w:rPr>
              <w:t>17.2.0</w:t>
            </w:r>
          </w:p>
        </w:tc>
      </w:tr>
      <w:tr w:rsidR="003B4D25" w:rsidRPr="00873B6C" w14:paraId="564B74AE" w14:textId="77777777" w:rsidTr="009D14FB">
        <w:tc>
          <w:tcPr>
            <w:tcW w:w="800" w:type="dxa"/>
            <w:shd w:val="solid" w:color="FFFFFF" w:fill="auto"/>
          </w:tcPr>
          <w:p w14:paraId="12C840F4" w14:textId="27C8086F"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27707F53" w14:textId="3FF86044"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21D14CD9" w14:textId="3361BF13" w:rsidR="003B4D25" w:rsidRPr="00873B6C" w:rsidRDefault="003B4D25" w:rsidP="000040FE">
            <w:pPr>
              <w:pStyle w:val="TAC"/>
              <w:rPr>
                <w:sz w:val="16"/>
                <w:szCs w:val="16"/>
              </w:rPr>
            </w:pPr>
            <w:r w:rsidRPr="00873B6C">
              <w:rPr>
                <w:sz w:val="16"/>
                <w:szCs w:val="16"/>
              </w:rPr>
              <w:t>SP-210923</w:t>
            </w:r>
          </w:p>
        </w:tc>
        <w:tc>
          <w:tcPr>
            <w:tcW w:w="567" w:type="dxa"/>
            <w:shd w:val="solid" w:color="FFFFFF" w:fill="auto"/>
          </w:tcPr>
          <w:p w14:paraId="757DF56C" w14:textId="3E53849D" w:rsidR="003B4D25" w:rsidRPr="00873B6C" w:rsidRDefault="003B4D25" w:rsidP="000040FE">
            <w:pPr>
              <w:pStyle w:val="TAL"/>
              <w:rPr>
                <w:sz w:val="16"/>
                <w:szCs w:val="16"/>
              </w:rPr>
            </w:pPr>
            <w:r w:rsidRPr="00873B6C">
              <w:rPr>
                <w:sz w:val="16"/>
                <w:szCs w:val="16"/>
              </w:rPr>
              <w:t>3137</w:t>
            </w:r>
          </w:p>
        </w:tc>
        <w:tc>
          <w:tcPr>
            <w:tcW w:w="425" w:type="dxa"/>
            <w:shd w:val="solid" w:color="FFFFFF" w:fill="auto"/>
          </w:tcPr>
          <w:p w14:paraId="7C3D3335" w14:textId="6E75CC08" w:rsidR="003B4D25" w:rsidRPr="00873B6C" w:rsidRDefault="003B4D25" w:rsidP="000040FE">
            <w:pPr>
              <w:pStyle w:val="TAL"/>
              <w:rPr>
                <w:sz w:val="16"/>
                <w:szCs w:val="16"/>
              </w:rPr>
            </w:pPr>
            <w:r w:rsidRPr="00873B6C">
              <w:rPr>
                <w:sz w:val="16"/>
                <w:szCs w:val="16"/>
              </w:rPr>
              <w:t xml:space="preserve">1 </w:t>
            </w:r>
          </w:p>
        </w:tc>
        <w:tc>
          <w:tcPr>
            <w:tcW w:w="425" w:type="dxa"/>
            <w:shd w:val="solid" w:color="FFFFFF" w:fill="auto"/>
          </w:tcPr>
          <w:p w14:paraId="52E26593" w14:textId="6F3B4A0E"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525F92D7" w14:textId="7EDDB32D" w:rsidR="003B4D25" w:rsidRPr="00873B6C" w:rsidRDefault="003B4D25" w:rsidP="000040FE">
            <w:pPr>
              <w:pStyle w:val="TAL"/>
              <w:rPr>
                <w:sz w:val="16"/>
                <w:szCs w:val="16"/>
              </w:rPr>
            </w:pPr>
            <w:r w:rsidRPr="00873B6C">
              <w:rPr>
                <w:sz w:val="16"/>
                <w:szCs w:val="16"/>
              </w:rPr>
              <w:t>AMF relocation for UE registered for onboarding</w:t>
            </w:r>
          </w:p>
        </w:tc>
        <w:tc>
          <w:tcPr>
            <w:tcW w:w="708" w:type="dxa"/>
            <w:shd w:val="solid" w:color="FFFFFF" w:fill="auto"/>
          </w:tcPr>
          <w:p w14:paraId="37912529" w14:textId="09A5F0D5" w:rsidR="003B4D25" w:rsidRPr="00873B6C" w:rsidRDefault="003B4D25" w:rsidP="000040FE">
            <w:pPr>
              <w:pStyle w:val="TAC"/>
              <w:rPr>
                <w:sz w:val="16"/>
                <w:szCs w:val="16"/>
              </w:rPr>
            </w:pPr>
            <w:r w:rsidRPr="00873B6C">
              <w:rPr>
                <w:sz w:val="16"/>
                <w:szCs w:val="16"/>
              </w:rPr>
              <w:t>17.2.0</w:t>
            </w:r>
          </w:p>
        </w:tc>
      </w:tr>
      <w:tr w:rsidR="003B4D25" w:rsidRPr="00873B6C" w14:paraId="12D51D81" w14:textId="77777777" w:rsidTr="009D14FB">
        <w:tc>
          <w:tcPr>
            <w:tcW w:w="800" w:type="dxa"/>
            <w:shd w:val="solid" w:color="FFFFFF" w:fill="auto"/>
          </w:tcPr>
          <w:p w14:paraId="024FD4C5" w14:textId="14D995B0"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4BA22FC8" w14:textId="7A5040C6"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280FD790" w14:textId="3DBAC23A" w:rsidR="003B4D25" w:rsidRPr="00873B6C" w:rsidRDefault="003B4D25" w:rsidP="000040FE">
            <w:pPr>
              <w:pStyle w:val="TAC"/>
              <w:rPr>
                <w:sz w:val="16"/>
                <w:szCs w:val="16"/>
              </w:rPr>
            </w:pPr>
            <w:r w:rsidRPr="00873B6C">
              <w:rPr>
                <w:sz w:val="16"/>
                <w:szCs w:val="16"/>
              </w:rPr>
              <w:t>SP-210923</w:t>
            </w:r>
          </w:p>
        </w:tc>
        <w:tc>
          <w:tcPr>
            <w:tcW w:w="567" w:type="dxa"/>
            <w:shd w:val="solid" w:color="FFFFFF" w:fill="auto"/>
          </w:tcPr>
          <w:p w14:paraId="02CD79DF" w14:textId="01D2BEB1" w:rsidR="003B4D25" w:rsidRPr="00873B6C" w:rsidRDefault="003B4D25" w:rsidP="000040FE">
            <w:pPr>
              <w:pStyle w:val="TAL"/>
              <w:rPr>
                <w:sz w:val="16"/>
                <w:szCs w:val="16"/>
              </w:rPr>
            </w:pPr>
            <w:r w:rsidRPr="00873B6C">
              <w:rPr>
                <w:sz w:val="16"/>
                <w:szCs w:val="16"/>
              </w:rPr>
              <w:t>3139</w:t>
            </w:r>
          </w:p>
        </w:tc>
        <w:tc>
          <w:tcPr>
            <w:tcW w:w="425" w:type="dxa"/>
            <w:shd w:val="solid" w:color="FFFFFF" w:fill="auto"/>
          </w:tcPr>
          <w:p w14:paraId="1FC90939" w14:textId="134413F6" w:rsidR="003B4D25" w:rsidRPr="00873B6C" w:rsidRDefault="003B4D25" w:rsidP="000040FE">
            <w:pPr>
              <w:pStyle w:val="TAL"/>
              <w:rPr>
                <w:sz w:val="16"/>
                <w:szCs w:val="16"/>
              </w:rPr>
            </w:pPr>
            <w:r w:rsidRPr="00873B6C">
              <w:rPr>
                <w:sz w:val="16"/>
                <w:szCs w:val="16"/>
              </w:rPr>
              <w:t xml:space="preserve">- </w:t>
            </w:r>
          </w:p>
        </w:tc>
        <w:tc>
          <w:tcPr>
            <w:tcW w:w="425" w:type="dxa"/>
            <w:shd w:val="solid" w:color="FFFFFF" w:fill="auto"/>
          </w:tcPr>
          <w:p w14:paraId="7E73A5CC" w14:textId="65DD1C9D"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35AC8F00" w14:textId="7DEE70E0" w:rsidR="003B4D25" w:rsidRPr="00873B6C" w:rsidRDefault="003B4D25" w:rsidP="000040FE">
            <w:pPr>
              <w:pStyle w:val="TAL"/>
              <w:rPr>
                <w:sz w:val="16"/>
                <w:szCs w:val="16"/>
              </w:rPr>
            </w:pPr>
            <w:r w:rsidRPr="00873B6C">
              <w:rPr>
                <w:sz w:val="16"/>
                <w:szCs w:val="16"/>
              </w:rPr>
              <w:t>selection of AUSF supporting primary authentication towards AAA server</w:t>
            </w:r>
          </w:p>
        </w:tc>
        <w:tc>
          <w:tcPr>
            <w:tcW w:w="708" w:type="dxa"/>
            <w:shd w:val="solid" w:color="FFFFFF" w:fill="auto"/>
          </w:tcPr>
          <w:p w14:paraId="37F6D1A3" w14:textId="25A22CCC" w:rsidR="003B4D25" w:rsidRPr="00873B6C" w:rsidRDefault="003B4D25" w:rsidP="000040FE">
            <w:pPr>
              <w:pStyle w:val="TAC"/>
              <w:rPr>
                <w:sz w:val="16"/>
                <w:szCs w:val="16"/>
              </w:rPr>
            </w:pPr>
            <w:r w:rsidRPr="00873B6C">
              <w:rPr>
                <w:sz w:val="16"/>
                <w:szCs w:val="16"/>
              </w:rPr>
              <w:t>17.2.0</w:t>
            </w:r>
          </w:p>
        </w:tc>
      </w:tr>
      <w:tr w:rsidR="00A46717" w:rsidRPr="00873B6C" w14:paraId="2B5971D5" w14:textId="77777777" w:rsidTr="009D14FB">
        <w:tc>
          <w:tcPr>
            <w:tcW w:w="800" w:type="dxa"/>
            <w:shd w:val="solid" w:color="FFFFFF" w:fill="auto"/>
          </w:tcPr>
          <w:p w14:paraId="353EC496" w14:textId="2170C40F"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44086D95" w14:textId="7E1E3874"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1260C4B9" w14:textId="089FB126"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2567ADA6" w14:textId="084091DB" w:rsidR="00A46717" w:rsidRPr="00873B6C" w:rsidRDefault="00A46717" w:rsidP="000040FE">
            <w:pPr>
              <w:pStyle w:val="TAL"/>
              <w:rPr>
                <w:sz w:val="16"/>
                <w:szCs w:val="16"/>
              </w:rPr>
            </w:pPr>
            <w:r w:rsidRPr="00873B6C">
              <w:rPr>
                <w:sz w:val="16"/>
                <w:szCs w:val="16"/>
              </w:rPr>
              <w:t>3142</w:t>
            </w:r>
          </w:p>
        </w:tc>
        <w:tc>
          <w:tcPr>
            <w:tcW w:w="425" w:type="dxa"/>
            <w:shd w:val="solid" w:color="FFFFFF" w:fill="auto"/>
          </w:tcPr>
          <w:p w14:paraId="157D74E0" w14:textId="13CBF5A6" w:rsidR="00A46717" w:rsidRPr="00873B6C" w:rsidRDefault="00A46717" w:rsidP="000040FE">
            <w:pPr>
              <w:pStyle w:val="TAL"/>
              <w:rPr>
                <w:sz w:val="16"/>
                <w:szCs w:val="16"/>
              </w:rPr>
            </w:pPr>
            <w:r w:rsidRPr="00873B6C">
              <w:rPr>
                <w:sz w:val="16"/>
                <w:szCs w:val="16"/>
              </w:rPr>
              <w:t xml:space="preserve">- </w:t>
            </w:r>
          </w:p>
        </w:tc>
        <w:tc>
          <w:tcPr>
            <w:tcW w:w="425" w:type="dxa"/>
            <w:shd w:val="solid" w:color="FFFFFF" w:fill="auto"/>
          </w:tcPr>
          <w:p w14:paraId="08F9785D" w14:textId="759C0ED8"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658B4A18" w14:textId="331A22C5" w:rsidR="00A46717" w:rsidRPr="00873B6C" w:rsidRDefault="00A46717" w:rsidP="000040FE">
            <w:pPr>
              <w:pStyle w:val="TAL"/>
              <w:rPr>
                <w:sz w:val="16"/>
                <w:szCs w:val="16"/>
              </w:rPr>
            </w:pPr>
            <w:r w:rsidRPr="00873B6C">
              <w:rPr>
                <w:sz w:val="16"/>
                <w:szCs w:val="16"/>
              </w:rPr>
              <w:t>Clarify distribution of Announce message</w:t>
            </w:r>
          </w:p>
        </w:tc>
        <w:tc>
          <w:tcPr>
            <w:tcW w:w="708" w:type="dxa"/>
            <w:shd w:val="solid" w:color="FFFFFF" w:fill="auto"/>
          </w:tcPr>
          <w:p w14:paraId="2BA67168" w14:textId="136B3286" w:rsidR="00A46717" w:rsidRPr="00873B6C" w:rsidRDefault="00A46717" w:rsidP="000040FE">
            <w:pPr>
              <w:pStyle w:val="TAC"/>
              <w:rPr>
                <w:sz w:val="16"/>
                <w:szCs w:val="16"/>
              </w:rPr>
            </w:pPr>
            <w:r w:rsidRPr="00873B6C">
              <w:rPr>
                <w:sz w:val="16"/>
                <w:szCs w:val="16"/>
              </w:rPr>
              <w:t>17.2.0</w:t>
            </w:r>
          </w:p>
        </w:tc>
      </w:tr>
      <w:tr w:rsidR="00A46717" w:rsidRPr="00873B6C" w14:paraId="0CEC4415" w14:textId="77777777" w:rsidTr="009D14FB">
        <w:tc>
          <w:tcPr>
            <w:tcW w:w="800" w:type="dxa"/>
            <w:shd w:val="solid" w:color="FFFFFF" w:fill="auto"/>
          </w:tcPr>
          <w:p w14:paraId="00A73BE1" w14:textId="5EFC8802"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2AB0C576" w14:textId="18FA9F47"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5A94057A" w14:textId="0A7D3B5F"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7BA2F4D8" w14:textId="1CA44028" w:rsidR="00A46717" w:rsidRPr="00873B6C" w:rsidRDefault="00A46717" w:rsidP="000040FE">
            <w:pPr>
              <w:pStyle w:val="TAL"/>
              <w:rPr>
                <w:sz w:val="16"/>
                <w:szCs w:val="16"/>
              </w:rPr>
            </w:pPr>
            <w:r w:rsidRPr="00873B6C">
              <w:rPr>
                <w:sz w:val="16"/>
                <w:szCs w:val="16"/>
              </w:rPr>
              <w:t>3143</w:t>
            </w:r>
          </w:p>
        </w:tc>
        <w:tc>
          <w:tcPr>
            <w:tcW w:w="425" w:type="dxa"/>
            <w:shd w:val="solid" w:color="FFFFFF" w:fill="auto"/>
          </w:tcPr>
          <w:p w14:paraId="3597EA9F" w14:textId="378E277E" w:rsidR="00A46717" w:rsidRPr="00873B6C" w:rsidRDefault="00A46717" w:rsidP="000040FE">
            <w:pPr>
              <w:pStyle w:val="TAL"/>
              <w:rPr>
                <w:sz w:val="16"/>
                <w:szCs w:val="16"/>
              </w:rPr>
            </w:pPr>
            <w:r w:rsidRPr="00873B6C">
              <w:rPr>
                <w:sz w:val="16"/>
                <w:szCs w:val="16"/>
              </w:rPr>
              <w:t xml:space="preserve">- </w:t>
            </w:r>
          </w:p>
        </w:tc>
        <w:tc>
          <w:tcPr>
            <w:tcW w:w="425" w:type="dxa"/>
            <w:shd w:val="solid" w:color="FFFFFF" w:fill="auto"/>
          </w:tcPr>
          <w:p w14:paraId="20109BD2" w14:textId="5730B70F"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38369AC3" w14:textId="22964D34" w:rsidR="00A46717" w:rsidRPr="00873B6C" w:rsidRDefault="00A46717" w:rsidP="000040FE">
            <w:pPr>
              <w:pStyle w:val="TAL"/>
              <w:rPr>
                <w:sz w:val="16"/>
                <w:szCs w:val="16"/>
              </w:rPr>
            </w:pPr>
            <w:r w:rsidRPr="00873B6C">
              <w:rPr>
                <w:sz w:val="16"/>
                <w:szCs w:val="16"/>
              </w:rPr>
              <w:t>Clarify interworking with EPS is not supported for TSC or time synchronization</w:t>
            </w:r>
          </w:p>
        </w:tc>
        <w:tc>
          <w:tcPr>
            <w:tcW w:w="708" w:type="dxa"/>
            <w:shd w:val="solid" w:color="FFFFFF" w:fill="auto"/>
          </w:tcPr>
          <w:p w14:paraId="21DBEBA8" w14:textId="46A6B561" w:rsidR="00A46717" w:rsidRPr="00873B6C" w:rsidRDefault="00A46717" w:rsidP="000040FE">
            <w:pPr>
              <w:pStyle w:val="TAC"/>
              <w:rPr>
                <w:sz w:val="16"/>
                <w:szCs w:val="16"/>
              </w:rPr>
            </w:pPr>
            <w:r w:rsidRPr="00873B6C">
              <w:rPr>
                <w:sz w:val="16"/>
                <w:szCs w:val="16"/>
              </w:rPr>
              <w:t>17.2.0</w:t>
            </w:r>
          </w:p>
        </w:tc>
      </w:tr>
      <w:tr w:rsidR="00A46717" w:rsidRPr="00873B6C" w14:paraId="09350D90" w14:textId="77777777" w:rsidTr="009D14FB">
        <w:tc>
          <w:tcPr>
            <w:tcW w:w="800" w:type="dxa"/>
            <w:shd w:val="solid" w:color="FFFFFF" w:fill="auto"/>
          </w:tcPr>
          <w:p w14:paraId="42B26881" w14:textId="5355FE3D"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515FFD25" w14:textId="25075B74"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6A7F5DF0" w14:textId="3224B162"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3343B6CD" w14:textId="67AF2E56" w:rsidR="00A46717" w:rsidRPr="00873B6C" w:rsidRDefault="00A46717" w:rsidP="000040FE">
            <w:pPr>
              <w:pStyle w:val="TAL"/>
              <w:rPr>
                <w:sz w:val="16"/>
                <w:szCs w:val="16"/>
              </w:rPr>
            </w:pPr>
            <w:r w:rsidRPr="00873B6C">
              <w:rPr>
                <w:sz w:val="16"/>
                <w:szCs w:val="16"/>
              </w:rPr>
              <w:t>3144</w:t>
            </w:r>
          </w:p>
        </w:tc>
        <w:tc>
          <w:tcPr>
            <w:tcW w:w="425" w:type="dxa"/>
            <w:shd w:val="solid" w:color="FFFFFF" w:fill="auto"/>
          </w:tcPr>
          <w:p w14:paraId="47C89E8E" w14:textId="56C794F1" w:rsidR="00A46717" w:rsidRPr="00873B6C" w:rsidRDefault="00A46717" w:rsidP="000040FE">
            <w:pPr>
              <w:pStyle w:val="TAL"/>
              <w:rPr>
                <w:sz w:val="16"/>
                <w:szCs w:val="16"/>
              </w:rPr>
            </w:pPr>
            <w:r w:rsidRPr="00873B6C">
              <w:rPr>
                <w:sz w:val="16"/>
                <w:szCs w:val="16"/>
              </w:rPr>
              <w:t xml:space="preserve">1 </w:t>
            </w:r>
          </w:p>
        </w:tc>
        <w:tc>
          <w:tcPr>
            <w:tcW w:w="425" w:type="dxa"/>
            <w:shd w:val="solid" w:color="FFFFFF" w:fill="auto"/>
          </w:tcPr>
          <w:p w14:paraId="76777D62" w14:textId="2A4F9CEE"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61120399" w14:textId="0E3DB6D8" w:rsidR="00A46717" w:rsidRPr="00873B6C" w:rsidRDefault="00A46717" w:rsidP="000040FE">
            <w:pPr>
              <w:pStyle w:val="TAL"/>
              <w:rPr>
                <w:sz w:val="16"/>
                <w:szCs w:val="16"/>
              </w:rPr>
            </w:pPr>
            <w:r w:rsidRPr="00873B6C">
              <w:rPr>
                <w:sz w:val="16"/>
                <w:szCs w:val="16"/>
              </w:rPr>
              <w:t>Granularity of TSCTSF</w:t>
            </w:r>
          </w:p>
        </w:tc>
        <w:tc>
          <w:tcPr>
            <w:tcW w:w="708" w:type="dxa"/>
            <w:shd w:val="solid" w:color="FFFFFF" w:fill="auto"/>
          </w:tcPr>
          <w:p w14:paraId="0B20ED1C" w14:textId="380DB6B9" w:rsidR="00A46717" w:rsidRPr="00873B6C" w:rsidRDefault="00A46717" w:rsidP="000040FE">
            <w:pPr>
              <w:pStyle w:val="TAC"/>
              <w:rPr>
                <w:sz w:val="16"/>
                <w:szCs w:val="16"/>
              </w:rPr>
            </w:pPr>
            <w:r w:rsidRPr="00873B6C">
              <w:rPr>
                <w:sz w:val="16"/>
                <w:szCs w:val="16"/>
              </w:rPr>
              <w:t>17.2.0</w:t>
            </w:r>
          </w:p>
        </w:tc>
      </w:tr>
      <w:tr w:rsidR="00A46717" w:rsidRPr="00873B6C" w14:paraId="3125F744" w14:textId="77777777" w:rsidTr="009D14FB">
        <w:tc>
          <w:tcPr>
            <w:tcW w:w="800" w:type="dxa"/>
            <w:shd w:val="solid" w:color="FFFFFF" w:fill="auto"/>
          </w:tcPr>
          <w:p w14:paraId="12D641CE" w14:textId="188BCB9D"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40A73D19" w14:textId="460F0CB1"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6ADFC9F0" w14:textId="09402B0F" w:rsidR="00A46717" w:rsidRPr="00873B6C" w:rsidRDefault="00A46717" w:rsidP="000040FE">
            <w:pPr>
              <w:pStyle w:val="TAC"/>
              <w:rPr>
                <w:sz w:val="16"/>
                <w:szCs w:val="16"/>
              </w:rPr>
            </w:pPr>
            <w:r w:rsidRPr="00873B6C">
              <w:rPr>
                <w:sz w:val="16"/>
                <w:szCs w:val="16"/>
              </w:rPr>
              <w:t>SP-210923</w:t>
            </w:r>
          </w:p>
        </w:tc>
        <w:tc>
          <w:tcPr>
            <w:tcW w:w="567" w:type="dxa"/>
            <w:shd w:val="solid" w:color="FFFFFF" w:fill="auto"/>
          </w:tcPr>
          <w:p w14:paraId="2652DE92" w14:textId="729D6881" w:rsidR="00A46717" w:rsidRPr="00873B6C" w:rsidRDefault="00A46717" w:rsidP="000040FE">
            <w:pPr>
              <w:pStyle w:val="TAL"/>
              <w:rPr>
                <w:sz w:val="16"/>
                <w:szCs w:val="16"/>
              </w:rPr>
            </w:pPr>
            <w:r w:rsidRPr="00873B6C">
              <w:rPr>
                <w:sz w:val="16"/>
                <w:szCs w:val="16"/>
              </w:rPr>
              <w:t>3146</w:t>
            </w:r>
          </w:p>
        </w:tc>
        <w:tc>
          <w:tcPr>
            <w:tcW w:w="425" w:type="dxa"/>
            <w:shd w:val="solid" w:color="FFFFFF" w:fill="auto"/>
          </w:tcPr>
          <w:p w14:paraId="54314D8C" w14:textId="0C6F16A6"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0278CAC8" w14:textId="3E1C002E"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6F0802BE" w14:textId="4E1C68CD" w:rsidR="00A46717" w:rsidRPr="00873B6C" w:rsidRDefault="00A46717" w:rsidP="000040FE">
            <w:pPr>
              <w:pStyle w:val="TAL"/>
              <w:rPr>
                <w:sz w:val="16"/>
                <w:szCs w:val="16"/>
              </w:rPr>
            </w:pPr>
            <w:r w:rsidRPr="00873B6C">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873B6C" w:rsidRDefault="00A46717" w:rsidP="000040FE">
            <w:pPr>
              <w:pStyle w:val="TAC"/>
              <w:rPr>
                <w:sz w:val="16"/>
                <w:szCs w:val="16"/>
              </w:rPr>
            </w:pPr>
            <w:r w:rsidRPr="00873B6C">
              <w:rPr>
                <w:sz w:val="16"/>
                <w:szCs w:val="16"/>
              </w:rPr>
              <w:t>17.2.0</w:t>
            </w:r>
          </w:p>
        </w:tc>
      </w:tr>
      <w:tr w:rsidR="00A46717" w:rsidRPr="00873B6C" w14:paraId="1D0EF2C2" w14:textId="77777777" w:rsidTr="009D14FB">
        <w:tc>
          <w:tcPr>
            <w:tcW w:w="800" w:type="dxa"/>
            <w:shd w:val="solid" w:color="FFFFFF" w:fill="auto"/>
          </w:tcPr>
          <w:p w14:paraId="35419A5D" w14:textId="6183AD1A"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30CBA4FF" w14:textId="1394BA3B"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0F85A1DB" w14:textId="76709619" w:rsidR="00A46717" w:rsidRPr="00873B6C" w:rsidRDefault="00A46717" w:rsidP="000040FE">
            <w:pPr>
              <w:pStyle w:val="TAC"/>
              <w:rPr>
                <w:sz w:val="16"/>
                <w:szCs w:val="16"/>
              </w:rPr>
            </w:pPr>
            <w:r w:rsidRPr="00873B6C">
              <w:rPr>
                <w:sz w:val="16"/>
                <w:szCs w:val="16"/>
              </w:rPr>
              <w:t>SP-210920</w:t>
            </w:r>
          </w:p>
        </w:tc>
        <w:tc>
          <w:tcPr>
            <w:tcW w:w="567" w:type="dxa"/>
            <w:shd w:val="solid" w:color="FFFFFF" w:fill="auto"/>
          </w:tcPr>
          <w:p w14:paraId="149F1286" w14:textId="785C308F" w:rsidR="00A46717" w:rsidRPr="00873B6C" w:rsidRDefault="00A46717" w:rsidP="000040FE">
            <w:pPr>
              <w:pStyle w:val="TAL"/>
              <w:rPr>
                <w:sz w:val="16"/>
                <w:szCs w:val="16"/>
              </w:rPr>
            </w:pPr>
            <w:r w:rsidRPr="00873B6C">
              <w:rPr>
                <w:sz w:val="16"/>
                <w:szCs w:val="16"/>
              </w:rPr>
              <w:t>3149</w:t>
            </w:r>
          </w:p>
        </w:tc>
        <w:tc>
          <w:tcPr>
            <w:tcW w:w="425" w:type="dxa"/>
            <w:shd w:val="solid" w:color="FFFFFF" w:fill="auto"/>
          </w:tcPr>
          <w:p w14:paraId="3596487E" w14:textId="6EEBDBAE"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6167CAE2" w14:textId="5E91D5C6"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65DF3A62" w14:textId="1FC57D9C" w:rsidR="00A46717" w:rsidRPr="00873B6C" w:rsidRDefault="00A46717" w:rsidP="000040FE">
            <w:pPr>
              <w:pStyle w:val="TAL"/>
              <w:rPr>
                <w:sz w:val="16"/>
                <w:szCs w:val="16"/>
              </w:rPr>
            </w:pPr>
            <w:r w:rsidRPr="00873B6C">
              <w:rPr>
                <w:sz w:val="16"/>
                <w:szCs w:val="16"/>
              </w:rPr>
              <w:t>Updates on edge computing</w:t>
            </w:r>
          </w:p>
        </w:tc>
        <w:tc>
          <w:tcPr>
            <w:tcW w:w="708" w:type="dxa"/>
            <w:shd w:val="solid" w:color="FFFFFF" w:fill="auto"/>
          </w:tcPr>
          <w:p w14:paraId="3FCFAC3A" w14:textId="4554F134" w:rsidR="00A46717" w:rsidRPr="00873B6C" w:rsidRDefault="00A46717" w:rsidP="000040FE">
            <w:pPr>
              <w:pStyle w:val="TAC"/>
              <w:rPr>
                <w:sz w:val="16"/>
                <w:szCs w:val="16"/>
              </w:rPr>
            </w:pPr>
            <w:r w:rsidRPr="00873B6C">
              <w:rPr>
                <w:sz w:val="16"/>
                <w:szCs w:val="16"/>
              </w:rPr>
              <w:t>17.2.0</w:t>
            </w:r>
          </w:p>
        </w:tc>
      </w:tr>
      <w:tr w:rsidR="00A46717" w:rsidRPr="00873B6C" w14:paraId="238FA623" w14:textId="77777777" w:rsidTr="009D14FB">
        <w:tc>
          <w:tcPr>
            <w:tcW w:w="800" w:type="dxa"/>
            <w:shd w:val="solid" w:color="FFFFFF" w:fill="auto"/>
          </w:tcPr>
          <w:p w14:paraId="4CF3B40C" w14:textId="58E55159"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3C4F1D28" w14:textId="706EABDB"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421E577B" w14:textId="66AFB45F"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210EDC42" w14:textId="605090C1" w:rsidR="00A46717" w:rsidRPr="00873B6C" w:rsidRDefault="00A46717" w:rsidP="000040FE">
            <w:pPr>
              <w:pStyle w:val="TAL"/>
              <w:rPr>
                <w:sz w:val="16"/>
                <w:szCs w:val="16"/>
              </w:rPr>
            </w:pPr>
            <w:r w:rsidRPr="00873B6C">
              <w:rPr>
                <w:sz w:val="16"/>
                <w:szCs w:val="16"/>
              </w:rPr>
              <w:t>3150</w:t>
            </w:r>
          </w:p>
        </w:tc>
        <w:tc>
          <w:tcPr>
            <w:tcW w:w="425" w:type="dxa"/>
            <w:shd w:val="solid" w:color="FFFFFF" w:fill="auto"/>
          </w:tcPr>
          <w:p w14:paraId="522489E5" w14:textId="39BF1A30"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5ECAFFB0" w14:textId="3D41E9D9"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2CBFF98D" w14:textId="4C2A53E2" w:rsidR="00A46717" w:rsidRPr="00873B6C" w:rsidRDefault="00A46717" w:rsidP="000040FE">
            <w:pPr>
              <w:pStyle w:val="TAL"/>
              <w:rPr>
                <w:sz w:val="16"/>
                <w:szCs w:val="16"/>
              </w:rPr>
            </w:pPr>
            <w:r w:rsidRPr="00873B6C">
              <w:rPr>
                <w:sz w:val="16"/>
                <w:szCs w:val="16"/>
              </w:rPr>
              <w:t>Updates on PTP instance type</w:t>
            </w:r>
          </w:p>
        </w:tc>
        <w:tc>
          <w:tcPr>
            <w:tcW w:w="708" w:type="dxa"/>
            <w:shd w:val="solid" w:color="FFFFFF" w:fill="auto"/>
          </w:tcPr>
          <w:p w14:paraId="5BD55E4D" w14:textId="23FBA0CF" w:rsidR="00A46717" w:rsidRPr="00873B6C" w:rsidRDefault="00A46717" w:rsidP="000040FE">
            <w:pPr>
              <w:pStyle w:val="TAC"/>
              <w:rPr>
                <w:sz w:val="16"/>
                <w:szCs w:val="16"/>
              </w:rPr>
            </w:pPr>
            <w:r w:rsidRPr="00873B6C">
              <w:rPr>
                <w:sz w:val="16"/>
                <w:szCs w:val="16"/>
              </w:rPr>
              <w:t>17.2.0</w:t>
            </w:r>
          </w:p>
        </w:tc>
      </w:tr>
      <w:tr w:rsidR="00A46717" w:rsidRPr="00873B6C" w14:paraId="233131F1" w14:textId="77777777" w:rsidTr="009D14FB">
        <w:tc>
          <w:tcPr>
            <w:tcW w:w="800" w:type="dxa"/>
            <w:shd w:val="solid" w:color="FFFFFF" w:fill="auto"/>
          </w:tcPr>
          <w:p w14:paraId="2B0B4667" w14:textId="3155B987"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6A98B109" w14:textId="40BB34C1"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7ECC9B61" w14:textId="0774F257" w:rsidR="00A46717" w:rsidRPr="00873B6C" w:rsidRDefault="00A46717" w:rsidP="000040FE">
            <w:pPr>
              <w:pStyle w:val="TAC"/>
              <w:rPr>
                <w:sz w:val="16"/>
                <w:szCs w:val="16"/>
              </w:rPr>
            </w:pPr>
            <w:r w:rsidRPr="00873B6C">
              <w:rPr>
                <w:sz w:val="16"/>
                <w:szCs w:val="16"/>
              </w:rPr>
              <w:t>SP-210933</w:t>
            </w:r>
          </w:p>
        </w:tc>
        <w:tc>
          <w:tcPr>
            <w:tcW w:w="567" w:type="dxa"/>
            <w:shd w:val="solid" w:color="FFFFFF" w:fill="auto"/>
          </w:tcPr>
          <w:p w14:paraId="0A71D4C6" w14:textId="6F6E1F08" w:rsidR="00A46717" w:rsidRPr="00873B6C" w:rsidRDefault="00A46717" w:rsidP="000040FE">
            <w:pPr>
              <w:pStyle w:val="TAL"/>
              <w:rPr>
                <w:sz w:val="16"/>
                <w:szCs w:val="16"/>
              </w:rPr>
            </w:pPr>
            <w:r w:rsidRPr="00873B6C">
              <w:rPr>
                <w:sz w:val="16"/>
                <w:szCs w:val="16"/>
              </w:rPr>
              <w:t>3155</w:t>
            </w:r>
          </w:p>
        </w:tc>
        <w:tc>
          <w:tcPr>
            <w:tcW w:w="425" w:type="dxa"/>
            <w:shd w:val="solid" w:color="FFFFFF" w:fill="auto"/>
          </w:tcPr>
          <w:p w14:paraId="4BFC5F36" w14:textId="7652DFD9"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2BDD65B2" w14:textId="2FE4B73B" w:rsidR="00A46717" w:rsidRPr="00873B6C" w:rsidRDefault="00A46717" w:rsidP="000040FE">
            <w:pPr>
              <w:pStyle w:val="TAL"/>
              <w:rPr>
                <w:sz w:val="16"/>
                <w:szCs w:val="16"/>
              </w:rPr>
            </w:pPr>
            <w:r w:rsidRPr="00873B6C">
              <w:rPr>
                <w:sz w:val="16"/>
                <w:szCs w:val="16"/>
              </w:rPr>
              <w:t>B</w:t>
            </w:r>
          </w:p>
        </w:tc>
        <w:tc>
          <w:tcPr>
            <w:tcW w:w="4820" w:type="dxa"/>
            <w:shd w:val="solid" w:color="FFFFFF" w:fill="auto"/>
          </w:tcPr>
          <w:p w14:paraId="679337A7" w14:textId="249A9CE5" w:rsidR="00A46717" w:rsidRPr="00873B6C" w:rsidRDefault="00A46717" w:rsidP="000040FE">
            <w:pPr>
              <w:pStyle w:val="TAL"/>
              <w:rPr>
                <w:sz w:val="16"/>
                <w:szCs w:val="16"/>
              </w:rPr>
            </w:pPr>
            <w:r w:rsidRPr="00873B6C">
              <w:rPr>
                <w:sz w:val="16"/>
                <w:szCs w:val="16"/>
              </w:rPr>
              <w:t>Support RedCap UEs differentiation in 5GC</w:t>
            </w:r>
          </w:p>
        </w:tc>
        <w:tc>
          <w:tcPr>
            <w:tcW w:w="708" w:type="dxa"/>
            <w:shd w:val="solid" w:color="FFFFFF" w:fill="auto"/>
          </w:tcPr>
          <w:p w14:paraId="15CAE148" w14:textId="2DFD5F5C" w:rsidR="00A46717" w:rsidRPr="00873B6C" w:rsidRDefault="00A46717" w:rsidP="000040FE">
            <w:pPr>
              <w:pStyle w:val="TAC"/>
              <w:rPr>
                <w:sz w:val="16"/>
                <w:szCs w:val="16"/>
              </w:rPr>
            </w:pPr>
            <w:r w:rsidRPr="00873B6C">
              <w:rPr>
                <w:sz w:val="16"/>
                <w:szCs w:val="16"/>
              </w:rPr>
              <w:t>17.2.0</w:t>
            </w:r>
          </w:p>
        </w:tc>
      </w:tr>
      <w:tr w:rsidR="00A46717" w:rsidRPr="00873B6C" w14:paraId="5454DF28" w14:textId="77777777" w:rsidTr="009D14FB">
        <w:tc>
          <w:tcPr>
            <w:tcW w:w="800" w:type="dxa"/>
            <w:shd w:val="solid" w:color="FFFFFF" w:fill="auto"/>
          </w:tcPr>
          <w:p w14:paraId="1F620862" w14:textId="5701E33D"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0EE853C6" w14:textId="7E776F9A"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01E280F1" w14:textId="6706AF69" w:rsidR="00A46717" w:rsidRPr="00873B6C" w:rsidRDefault="00A46717" w:rsidP="000040FE">
            <w:pPr>
              <w:pStyle w:val="TAC"/>
              <w:rPr>
                <w:sz w:val="16"/>
                <w:szCs w:val="16"/>
              </w:rPr>
            </w:pPr>
            <w:r w:rsidRPr="00873B6C">
              <w:rPr>
                <w:sz w:val="16"/>
                <w:szCs w:val="16"/>
              </w:rPr>
              <w:t>SP-210911</w:t>
            </w:r>
          </w:p>
        </w:tc>
        <w:tc>
          <w:tcPr>
            <w:tcW w:w="567" w:type="dxa"/>
            <w:shd w:val="solid" w:color="FFFFFF" w:fill="auto"/>
          </w:tcPr>
          <w:p w14:paraId="69793EE4" w14:textId="0B3BA9C2" w:rsidR="00A46717" w:rsidRPr="00873B6C" w:rsidRDefault="00A46717" w:rsidP="000040FE">
            <w:pPr>
              <w:pStyle w:val="TAL"/>
              <w:rPr>
                <w:sz w:val="16"/>
                <w:szCs w:val="16"/>
              </w:rPr>
            </w:pPr>
            <w:r w:rsidRPr="00873B6C">
              <w:rPr>
                <w:sz w:val="16"/>
                <w:szCs w:val="16"/>
              </w:rPr>
              <w:t>3157</w:t>
            </w:r>
          </w:p>
        </w:tc>
        <w:tc>
          <w:tcPr>
            <w:tcW w:w="425" w:type="dxa"/>
            <w:shd w:val="solid" w:color="FFFFFF" w:fill="auto"/>
          </w:tcPr>
          <w:p w14:paraId="6B6EAA83" w14:textId="23384D4B"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0F9053D6" w14:textId="30847676" w:rsidR="00A46717" w:rsidRPr="00873B6C" w:rsidRDefault="00A46717" w:rsidP="000040FE">
            <w:pPr>
              <w:pStyle w:val="TAL"/>
              <w:rPr>
                <w:sz w:val="16"/>
                <w:szCs w:val="16"/>
              </w:rPr>
            </w:pPr>
            <w:r w:rsidRPr="00873B6C">
              <w:rPr>
                <w:sz w:val="16"/>
                <w:szCs w:val="16"/>
              </w:rPr>
              <w:t>A</w:t>
            </w:r>
          </w:p>
        </w:tc>
        <w:tc>
          <w:tcPr>
            <w:tcW w:w="4820" w:type="dxa"/>
            <w:shd w:val="solid" w:color="FFFFFF" w:fill="auto"/>
          </w:tcPr>
          <w:p w14:paraId="2EECF01E" w14:textId="667D6E3D" w:rsidR="00A46717" w:rsidRPr="00873B6C" w:rsidRDefault="00A46717" w:rsidP="000040FE">
            <w:pPr>
              <w:pStyle w:val="TAL"/>
              <w:rPr>
                <w:sz w:val="16"/>
                <w:szCs w:val="16"/>
              </w:rPr>
            </w:pPr>
            <w:r w:rsidRPr="00873B6C">
              <w:rPr>
                <w:sz w:val="16"/>
                <w:szCs w:val="16"/>
              </w:rPr>
              <w:t>Clarification on the Bridge delay calculating</w:t>
            </w:r>
          </w:p>
        </w:tc>
        <w:tc>
          <w:tcPr>
            <w:tcW w:w="708" w:type="dxa"/>
            <w:shd w:val="solid" w:color="FFFFFF" w:fill="auto"/>
          </w:tcPr>
          <w:p w14:paraId="52C46B4A" w14:textId="5BB51525" w:rsidR="00A46717" w:rsidRPr="00873B6C" w:rsidRDefault="00A46717" w:rsidP="000040FE">
            <w:pPr>
              <w:pStyle w:val="TAC"/>
              <w:rPr>
                <w:sz w:val="16"/>
                <w:szCs w:val="16"/>
              </w:rPr>
            </w:pPr>
            <w:r w:rsidRPr="00873B6C">
              <w:rPr>
                <w:sz w:val="16"/>
                <w:szCs w:val="16"/>
              </w:rPr>
              <w:t>17.2.0</w:t>
            </w:r>
          </w:p>
        </w:tc>
      </w:tr>
      <w:tr w:rsidR="00A46717" w:rsidRPr="00873B6C" w14:paraId="0741E847" w14:textId="77777777" w:rsidTr="009D14FB">
        <w:tc>
          <w:tcPr>
            <w:tcW w:w="800" w:type="dxa"/>
            <w:shd w:val="solid" w:color="FFFFFF" w:fill="auto"/>
          </w:tcPr>
          <w:p w14:paraId="6E43C06A" w14:textId="0678AE7C"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38399ED1" w14:textId="5ECA717C"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158E8421" w14:textId="0C062BA6"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176FB56A" w14:textId="51F05FC7" w:rsidR="00A46717" w:rsidRPr="00873B6C" w:rsidRDefault="00A46717" w:rsidP="000040FE">
            <w:pPr>
              <w:pStyle w:val="TAL"/>
              <w:rPr>
                <w:sz w:val="16"/>
                <w:szCs w:val="16"/>
              </w:rPr>
            </w:pPr>
            <w:r w:rsidRPr="00873B6C">
              <w:rPr>
                <w:sz w:val="16"/>
                <w:szCs w:val="16"/>
              </w:rPr>
              <w:t>3160</w:t>
            </w:r>
          </w:p>
        </w:tc>
        <w:tc>
          <w:tcPr>
            <w:tcW w:w="425" w:type="dxa"/>
            <w:shd w:val="solid" w:color="FFFFFF" w:fill="auto"/>
          </w:tcPr>
          <w:p w14:paraId="338F6BAA" w14:textId="7CFAB161"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20222F87" w14:textId="50CDE996"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5A860E8E" w14:textId="06457EF5" w:rsidR="00A46717" w:rsidRPr="00873B6C" w:rsidRDefault="00A46717" w:rsidP="000040FE">
            <w:pPr>
              <w:pStyle w:val="TAL"/>
              <w:rPr>
                <w:sz w:val="16"/>
                <w:szCs w:val="16"/>
              </w:rPr>
            </w:pPr>
            <w:r w:rsidRPr="00873B6C">
              <w:rPr>
                <w:sz w:val="16"/>
                <w:szCs w:val="16"/>
              </w:rPr>
              <w:t>KI#3, clarification on the TSCTSF functionality and configuration for transport protocols</w:t>
            </w:r>
          </w:p>
        </w:tc>
        <w:tc>
          <w:tcPr>
            <w:tcW w:w="708" w:type="dxa"/>
            <w:shd w:val="solid" w:color="FFFFFF" w:fill="auto"/>
          </w:tcPr>
          <w:p w14:paraId="63E9467C" w14:textId="23500557" w:rsidR="00A46717" w:rsidRPr="00873B6C" w:rsidRDefault="00A46717" w:rsidP="000040FE">
            <w:pPr>
              <w:pStyle w:val="TAC"/>
              <w:rPr>
                <w:sz w:val="16"/>
                <w:szCs w:val="16"/>
              </w:rPr>
            </w:pPr>
            <w:r w:rsidRPr="00873B6C">
              <w:rPr>
                <w:sz w:val="16"/>
                <w:szCs w:val="16"/>
              </w:rPr>
              <w:t>17.2.0</w:t>
            </w:r>
          </w:p>
        </w:tc>
      </w:tr>
      <w:tr w:rsidR="00A46717" w:rsidRPr="00873B6C" w14:paraId="09FCC9A6" w14:textId="77777777" w:rsidTr="009D14FB">
        <w:tc>
          <w:tcPr>
            <w:tcW w:w="800" w:type="dxa"/>
            <w:shd w:val="solid" w:color="FFFFFF" w:fill="auto"/>
          </w:tcPr>
          <w:p w14:paraId="4CC96C3C" w14:textId="41D09F60"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664A1715" w14:textId="7B7EF6F2"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43645FF0" w14:textId="3DF5098E"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7CC155D2" w14:textId="51069B10" w:rsidR="00A46717" w:rsidRPr="00873B6C" w:rsidRDefault="00A46717" w:rsidP="000040FE">
            <w:pPr>
              <w:pStyle w:val="TAL"/>
              <w:rPr>
                <w:sz w:val="16"/>
                <w:szCs w:val="16"/>
              </w:rPr>
            </w:pPr>
            <w:r w:rsidRPr="00873B6C">
              <w:rPr>
                <w:sz w:val="16"/>
                <w:szCs w:val="16"/>
              </w:rPr>
              <w:t>3161</w:t>
            </w:r>
          </w:p>
        </w:tc>
        <w:tc>
          <w:tcPr>
            <w:tcW w:w="425" w:type="dxa"/>
            <w:shd w:val="solid" w:color="FFFFFF" w:fill="auto"/>
          </w:tcPr>
          <w:p w14:paraId="20065F1D" w14:textId="5646B2BC"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2F7B9EE6" w14:textId="5077D5F8" w:rsidR="00A46717" w:rsidRPr="00873B6C" w:rsidRDefault="00A46717" w:rsidP="000040FE">
            <w:pPr>
              <w:pStyle w:val="TAL"/>
              <w:rPr>
                <w:sz w:val="16"/>
                <w:szCs w:val="16"/>
              </w:rPr>
            </w:pPr>
            <w:r w:rsidRPr="00873B6C">
              <w:rPr>
                <w:sz w:val="16"/>
                <w:szCs w:val="16"/>
              </w:rPr>
              <w:t>B</w:t>
            </w:r>
          </w:p>
        </w:tc>
        <w:tc>
          <w:tcPr>
            <w:tcW w:w="4820" w:type="dxa"/>
            <w:shd w:val="solid" w:color="FFFFFF" w:fill="auto"/>
          </w:tcPr>
          <w:p w14:paraId="348B9C58" w14:textId="78C08688" w:rsidR="00A46717" w:rsidRPr="00873B6C" w:rsidRDefault="00A46717" w:rsidP="000040FE">
            <w:pPr>
              <w:pStyle w:val="TAL"/>
              <w:rPr>
                <w:sz w:val="16"/>
                <w:szCs w:val="16"/>
              </w:rPr>
            </w:pPr>
            <w:r w:rsidRPr="00873B6C">
              <w:rPr>
                <w:sz w:val="16"/>
                <w:szCs w:val="16"/>
              </w:rPr>
              <w:t>KI#3, clarification on the exposure of time sync service</w:t>
            </w:r>
          </w:p>
        </w:tc>
        <w:tc>
          <w:tcPr>
            <w:tcW w:w="708" w:type="dxa"/>
            <w:shd w:val="solid" w:color="FFFFFF" w:fill="auto"/>
          </w:tcPr>
          <w:p w14:paraId="6AF9BE0C" w14:textId="27AAD193" w:rsidR="00A46717" w:rsidRPr="00873B6C" w:rsidRDefault="00A46717" w:rsidP="000040FE">
            <w:pPr>
              <w:pStyle w:val="TAC"/>
              <w:rPr>
                <w:sz w:val="16"/>
                <w:szCs w:val="16"/>
              </w:rPr>
            </w:pPr>
            <w:r w:rsidRPr="00873B6C">
              <w:rPr>
                <w:sz w:val="16"/>
                <w:szCs w:val="16"/>
              </w:rPr>
              <w:t>17.2.0</w:t>
            </w:r>
          </w:p>
        </w:tc>
      </w:tr>
      <w:tr w:rsidR="00A46717" w:rsidRPr="00873B6C" w14:paraId="64E33D4C" w14:textId="77777777" w:rsidTr="009D14FB">
        <w:tc>
          <w:tcPr>
            <w:tcW w:w="800" w:type="dxa"/>
            <w:shd w:val="solid" w:color="FFFFFF" w:fill="auto"/>
          </w:tcPr>
          <w:p w14:paraId="74C8666D" w14:textId="7CB383AB"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470E68E5" w14:textId="0DCF2904"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0EDAF86E" w14:textId="7061260D"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01794245" w14:textId="61D0500D" w:rsidR="00A46717" w:rsidRPr="00873B6C" w:rsidRDefault="00A46717" w:rsidP="000040FE">
            <w:pPr>
              <w:pStyle w:val="TAL"/>
              <w:rPr>
                <w:sz w:val="16"/>
                <w:szCs w:val="16"/>
              </w:rPr>
            </w:pPr>
            <w:r w:rsidRPr="00873B6C">
              <w:rPr>
                <w:sz w:val="16"/>
                <w:szCs w:val="16"/>
              </w:rPr>
              <w:t>3162</w:t>
            </w:r>
          </w:p>
        </w:tc>
        <w:tc>
          <w:tcPr>
            <w:tcW w:w="425" w:type="dxa"/>
            <w:shd w:val="solid" w:color="FFFFFF" w:fill="auto"/>
          </w:tcPr>
          <w:p w14:paraId="23F00E49" w14:textId="6A88C50D"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4B60C95B" w14:textId="3D085EB1"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5B198E4C" w14:textId="087308F7" w:rsidR="00A46717" w:rsidRPr="00873B6C" w:rsidRDefault="00A46717" w:rsidP="000040FE">
            <w:pPr>
              <w:pStyle w:val="TAL"/>
              <w:rPr>
                <w:sz w:val="16"/>
                <w:szCs w:val="16"/>
              </w:rPr>
            </w:pPr>
            <w:r w:rsidRPr="00873B6C">
              <w:rPr>
                <w:sz w:val="16"/>
                <w:szCs w:val="16"/>
              </w:rPr>
              <w:t>Clean up on the BMIC and bridge Management Information Container</w:t>
            </w:r>
          </w:p>
        </w:tc>
        <w:tc>
          <w:tcPr>
            <w:tcW w:w="708" w:type="dxa"/>
            <w:shd w:val="solid" w:color="FFFFFF" w:fill="auto"/>
          </w:tcPr>
          <w:p w14:paraId="7E74E0DB" w14:textId="7BF135B6" w:rsidR="00A46717" w:rsidRPr="00873B6C" w:rsidRDefault="00A46717" w:rsidP="000040FE">
            <w:pPr>
              <w:pStyle w:val="TAC"/>
              <w:rPr>
                <w:sz w:val="16"/>
                <w:szCs w:val="16"/>
              </w:rPr>
            </w:pPr>
            <w:r w:rsidRPr="00873B6C">
              <w:rPr>
                <w:sz w:val="16"/>
                <w:szCs w:val="16"/>
              </w:rPr>
              <w:t>17.2.0</w:t>
            </w:r>
          </w:p>
        </w:tc>
      </w:tr>
      <w:tr w:rsidR="00A46717" w:rsidRPr="00873B6C" w14:paraId="2589F3FD" w14:textId="77777777" w:rsidTr="009D14FB">
        <w:tc>
          <w:tcPr>
            <w:tcW w:w="800" w:type="dxa"/>
            <w:shd w:val="solid" w:color="FFFFFF" w:fill="auto"/>
          </w:tcPr>
          <w:p w14:paraId="6595B251" w14:textId="3861EC1B"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3AE6B607" w14:textId="1FAB8E52"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3FE1F3E6" w14:textId="1BA97A89" w:rsidR="00A46717" w:rsidRPr="00873B6C" w:rsidRDefault="00A46717" w:rsidP="000040FE">
            <w:pPr>
              <w:pStyle w:val="TAC"/>
              <w:rPr>
                <w:sz w:val="16"/>
                <w:szCs w:val="16"/>
              </w:rPr>
            </w:pPr>
            <w:r w:rsidRPr="00873B6C">
              <w:rPr>
                <w:sz w:val="16"/>
                <w:szCs w:val="16"/>
              </w:rPr>
              <w:t>SP-210923</w:t>
            </w:r>
          </w:p>
        </w:tc>
        <w:tc>
          <w:tcPr>
            <w:tcW w:w="567" w:type="dxa"/>
            <w:shd w:val="solid" w:color="FFFFFF" w:fill="auto"/>
          </w:tcPr>
          <w:p w14:paraId="5A5691B9" w14:textId="2D1A63DD" w:rsidR="00A46717" w:rsidRPr="00873B6C" w:rsidRDefault="00A46717" w:rsidP="000040FE">
            <w:pPr>
              <w:pStyle w:val="TAL"/>
              <w:rPr>
                <w:sz w:val="16"/>
                <w:szCs w:val="16"/>
              </w:rPr>
            </w:pPr>
            <w:r w:rsidRPr="00873B6C">
              <w:rPr>
                <w:sz w:val="16"/>
                <w:szCs w:val="16"/>
              </w:rPr>
              <w:t>3165</w:t>
            </w:r>
          </w:p>
        </w:tc>
        <w:tc>
          <w:tcPr>
            <w:tcW w:w="425" w:type="dxa"/>
            <w:shd w:val="solid" w:color="FFFFFF" w:fill="auto"/>
          </w:tcPr>
          <w:p w14:paraId="462157E0" w14:textId="0E0A7FD2" w:rsidR="00A46717" w:rsidRPr="00873B6C" w:rsidRDefault="00A46717" w:rsidP="000040FE">
            <w:pPr>
              <w:pStyle w:val="TAL"/>
              <w:rPr>
                <w:sz w:val="16"/>
                <w:szCs w:val="16"/>
              </w:rPr>
            </w:pPr>
            <w:r w:rsidRPr="00873B6C">
              <w:rPr>
                <w:sz w:val="16"/>
                <w:szCs w:val="16"/>
              </w:rPr>
              <w:t>-</w:t>
            </w:r>
          </w:p>
        </w:tc>
        <w:tc>
          <w:tcPr>
            <w:tcW w:w="425" w:type="dxa"/>
            <w:shd w:val="solid" w:color="FFFFFF" w:fill="auto"/>
          </w:tcPr>
          <w:p w14:paraId="0834F4E9" w14:textId="0EE64EE6"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72A43B86" w14:textId="65F678DB" w:rsidR="00A46717" w:rsidRPr="00873B6C" w:rsidRDefault="00A46717" w:rsidP="000040FE">
            <w:pPr>
              <w:pStyle w:val="TAL"/>
              <w:rPr>
                <w:sz w:val="16"/>
                <w:szCs w:val="16"/>
              </w:rPr>
            </w:pPr>
            <w:r w:rsidRPr="00873B6C">
              <w:rPr>
                <w:sz w:val="16"/>
                <w:szCs w:val="16"/>
              </w:rPr>
              <w:t>Clarification of the AMF Onboarding Configuration Data</w:t>
            </w:r>
          </w:p>
        </w:tc>
        <w:tc>
          <w:tcPr>
            <w:tcW w:w="708" w:type="dxa"/>
            <w:shd w:val="solid" w:color="FFFFFF" w:fill="auto"/>
          </w:tcPr>
          <w:p w14:paraId="218C7C51" w14:textId="47BB15D3" w:rsidR="00A46717" w:rsidRPr="00873B6C" w:rsidRDefault="00A46717" w:rsidP="000040FE">
            <w:pPr>
              <w:pStyle w:val="TAC"/>
              <w:rPr>
                <w:sz w:val="16"/>
                <w:szCs w:val="16"/>
              </w:rPr>
            </w:pPr>
            <w:r w:rsidRPr="00873B6C">
              <w:rPr>
                <w:sz w:val="16"/>
                <w:szCs w:val="16"/>
              </w:rPr>
              <w:t>17.2.0</w:t>
            </w:r>
          </w:p>
        </w:tc>
      </w:tr>
      <w:tr w:rsidR="00A46717" w:rsidRPr="00873B6C" w14:paraId="55AD91F9" w14:textId="77777777" w:rsidTr="009D14FB">
        <w:tc>
          <w:tcPr>
            <w:tcW w:w="800" w:type="dxa"/>
            <w:shd w:val="solid" w:color="FFFFFF" w:fill="auto"/>
          </w:tcPr>
          <w:p w14:paraId="0951A88A" w14:textId="7EC5D7AB"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1CBB6BC9" w14:textId="06EFAFA3"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5D22B398" w14:textId="3007B8AC" w:rsidR="00A46717" w:rsidRPr="00873B6C" w:rsidRDefault="00A46717" w:rsidP="000040FE">
            <w:pPr>
              <w:pStyle w:val="TAC"/>
              <w:rPr>
                <w:sz w:val="16"/>
                <w:szCs w:val="16"/>
              </w:rPr>
            </w:pPr>
            <w:r w:rsidRPr="00873B6C">
              <w:rPr>
                <w:sz w:val="16"/>
                <w:szCs w:val="16"/>
              </w:rPr>
              <w:t>SP-210904</w:t>
            </w:r>
          </w:p>
        </w:tc>
        <w:tc>
          <w:tcPr>
            <w:tcW w:w="567" w:type="dxa"/>
            <w:shd w:val="solid" w:color="FFFFFF" w:fill="auto"/>
          </w:tcPr>
          <w:p w14:paraId="1750A331" w14:textId="0A034276" w:rsidR="00A46717" w:rsidRPr="00873B6C" w:rsidRDefault="00A46717" w:rsidP="000040FE">
            <w:pPr>
              <w:pStyle w:val="TAL"/>
              <w:rPr>
                <w:sz w:val="16"/>
                <w:szCs w:val="16"/>
              </w:rPr>
            </w:pPr>
            <w:r w:rsidRPr="00873B6C">
              <w:rPr>
                <w:sz w:val="16"/>
                <w:szCs w:val="16"/>
              </w:rPr>
              <w:t>3169</w:t>
            </w:r>
          </w:p>
        </w:tc>
        <w:tc>
          <w:tcPr>
            <w:tcW w:w="425" w:type="dxa"/>
            <w:shd w:val="solid" w:color="FFFFFF" w:fill="auto"/>
          </w:tcPr>
          <w:p w14:paraId="0B914188" w14:textId="3A1967A8" w:rsidR="00A46717" w:rsidRPr="00873B6C" w:rsidRDefault="00A46717" w:rsidP="000040FE">
            <w:pPr>
              <w:pStyle w:val="TAL"/>
              <w:rPr>
                <w:sz w:val="16"/>
                <w:szCs w:val="16"/>
              </w:rPr>
            </w:pPr>
          </w:p>
        </w:tc>
        <w:tc>
          <w:tcPr>
            <w:tcW w:w="425" w:type="dxa"/>
            <w:shd w:val="solid" w:color="FFFFFF" w:fill="auto"/>
          </w:tcPr>
          <w:p w14:paraId="5E8BB0C2" w14:textId="561B7B75" w:rsidR="00A46717" w:rsidRPr="00873B6C" w:rsidRDefault="00A46717" w:rsidP="000040FE">
            <w:pPr>
              <w:pStyle w:val="TAL"/>
              <w:rPr>
                <w:sz w:val="16"/>
                <w:szCs w:val="16"/>
              </w:rPr>
            </w:pPr>
            <w:r w:rsidRPr="00873B6C">
              <w:rPr>
                <w:sz w:val="16"/>
                <w:szCs w:val="16"/>
              </w:rPr>
              <w:t>A</w:t>
            </w:r>
          </w:p>
        </w:tc>
        <w:tc>
          <w:tcPr>
            <w:tcW w:w="4820" w:type="dxa"/>
            <w:shd w:val="solid" w:color="FFFFFF" w:fill="auto"/>
          </w:tcPr>
          <w:p w14:paraId="3008DEB7" w14:textId="230F2343" w:rsidR="00A46717" w:rsidRPr="00873B6C" w:rsidRDefault="00A46717" w:rsidP="000040FE">
            <w:pPr>
              <w:pStyle w:val="TAL"/>
              <w:rPr>
                <w:sz w:val="16"/>
                <w:szCs w:val="16"/>
              </w:rPr>
            </w:pPr>
            <w:r w:rsidRPr="00873B6C">
              <w:rPr>
                <w:sz w:val="16"/>
                <w:szCs w:val="16"/>
              </w:rPr>
              <w:t>5GS Idle Status Indication</w:t>
            </w:r>
          </w:p>
        </w:tc>
        <w:tc>
          <w:tcPr>
            <w:tcW w:w="708" w:type="dxa"/>
            <w:shd w:val="solid" w:color="FFFFFF" w:fill="auto"/>
          </w:tcPr>
          <w:p w14:paraId="5F54DCF5" w14:textId="249A46C2" w:rsidR="00A46717" w:rsidRPr="00873B6C" w:rsidRDefault="00A46717" w:rsidP="000040FE">
            <w:pPr>
              <w:pStyle w:val="TAC"/>
              <w:rPr>
                <w:sz w:val="16"/>
                <w:szCs w:val="16"/>
              </w:rPr>
            </w:pPr>
            <w:r w:rsidRPr="00873B6C">
              <w:rPr>
                <w:sz w:val="16"/>
                <w:szCs w:val="16"/>
              </w:rPr>
              <w:t>17.2.0</w:t>
            </w:r>
          </w:p>
        </w:tc>
      </w:tr>
      <w:tr w:rsidR="00616F73" w:rsidRPr="00873B6C" w14:paraId="251E0039" w14:textId="77777777" w:rsidTr="009D14FB">
        <w:tc>
          <w:tcPr>
            <w:tcW w:w="800" w:type="dxa"/>
            <w:shd w:val="solid" w:color="FFFFFF" w:fill="auto"/>
          </w:tcPr>
          <w:p w14:paraId="2CFC73FE" w14:textId="0AFB5D0F"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6BFA9B28" w14:textId="682DAD76"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081F3D1A" w14:textId="7BAE5E3E" w:rsidR="00616F73" w:rsidRPr="00873B6C" w:rsidRDefault="00616F73" w:rsidP="000040FE">
            <w:pPr>
              <w:pStyle w:val="TAC"/>
              <w:rPr>
                <w:sz w:val="16"/>
                <w:szCs w:val="16"/>
              </w:rPr>
            </w:pPr>
            <w:r w:rsidRPr="00873B6C">
              <w:rPr>
                <w:sz w:val="16"/>
                <w:szCs w:val="16"/>
              </w:rPr>
              <w:t>SP-210915</w:t>
            </w:r>
          </w:p>
        </w:tc>
        <w:tc>
          <w:tcPr>
            <w:tcW w:w="567" w:type="dxa"/>
            <w:shd w:val="solid" w:color="FFFFFF" w:fill="auto"/>
          </w:tcPr>
          <w:p w14:paraId="3177D3C1" w14:textId="34771495" w:rsidR="00616F73" w:rsidRPr="00873B6C" w:rsidRDefault="00616F73" w:rsidP="000040FE">
            <w:pPr>
              <w:pStyle w:val="TAL"/>
              <w:rPr>
                <w:sz w:val="16"/>
                <w:szCs w:val="16"/>
              </w:rPr>
            </w:pPr>
            <w:r w:rsidRPr="00873B6C">
              <w:rPr>
                <w:sz w:val="16"/>
                <w:szCs w:val="16"/>
              </w:rPr>
              <w:t>3170</w:t>
            </w:r>
          </w:p>
        </w:tc>
        <w:tc>
          <w:tcPr>
            <w:tcW w:w="425" w:type="dxa"/>
            <w:shd w:val="solid" w:color="FFFFFF" w:fill="auto"/>
          </w:tcPr>
          <w:p w14:paraId="5D036DA0" w14:textId="575D5CB0" w:rsidR="00616F73" w:rsidRPr="00873B6C" w:rsidRDefault="00616F73" w:rsidP="000040FE">
            <w:pPr>
              <w:pStyle w:val="TAL"/>
              <w:rPr>
                <w:sz w:val="16"/>
                <w:szCs w:val="16"/>
              </w:rPr>
            </w:pPr>
            <w:r w:rsidRPr="00873B6C">
              <w:rPr>
                <w:sz w:val="16"/>
                <w:szCs w:val="16"/>
              </w:rPr>
              <w:t>1</w:t>
            </w:r>
          </w:p>
        </w:tc>
        <w:tc>
          <w:tcPr>
            <w:tcW w:w="425" w:type="dxa"/>
            <w:shd w:val="solid" w:color="FFFFFF" w:fill="auto"/>
          </w:tcPr>
          <w:p w14:paraId="67917D25" w14:textId="7541A7A4" w:rsidR="00616F73" w:rsidRPr="00873B6C" w:rsidRDefault="00616F73" w:rsidP="000040FE">
            <w:pPr>
              <w:pStyle w:val="TAL"/>
              <w:rPr>
                <w:sz w:val="16"/>
                <w:szCs w:val="16"/>
              </w:rPr>
            </w:pPr>
            <w:r w:rsidRPr="00873B6C">
              <w:rPr>
                <w:sz w:val="16"/>
                <w:szCs w:val="16"/>
              </w:rPr>
              <w:t>B</w:t>
            </w:r>
          </w:p>
        </w:tc>
        <w:tc>
          <w:tcPr>
            <w:tcW w:w="4820" w:type="dxa"/>
            <w:shd w:val="solid" w:color="FFFFFF" w:fill="auto"/>
          </w:tcPr>
          <w:p w14:paraId="537AF578" w14:textId="2D0A3560" w:rsidR="00616F73" w:rsidRPr="00873B6C" w:rsidRDefault="00616F73" w:rsidP="000040FE">
            <w:pPr>
              <w:pStyle w:val="TAL"/>
              <w:rPr>
                <w:sz w:val="16"/>
                <w:szCs w:val="16"/>
              </w:rPr>
            </w:pPr>
            <w:r w:rsidRPr="00873B6C">
              <w:rPr>
                <w:sz w:val="16"/>
                <w:szCs w:val="16"/>
              </w:rPr>
              <w:t>AUSF/UDM discovery based SUCI information</w:t>
            </w:r>
          </w:p>
        </w:tc>
        <w:tc>
          <w:tcPr>
            <w:tcW w:w="708" w:type="dxa"/>
            <w:shd w:val="solid" w:color="FFFFFF" w:fill="auto"/>
          </w:tcPr>
          <w:p w14:paraId="2F27CE31" w14:textId="4124B7F8" w:rsidR="00616F73" w:rsidRPr="00873B6C" w:rsidRDefault="00616F73" w:rsidP="000040FE">
            <w:pPr>
              <w:pStyle w:val="TAC"/>
              <w:rPr>
                <w:sz w:val="16"/>
                <w:szCs w:val="16"/>
              </w:rPr>
            </w:pPr>
            <w:r w:rsidRPr="00873B6C">
              <w:rPr>
                <w:sz w:val="16"/>
                <w:szCs w:val="16"/>
              </w:rPr>
              <w:t>17.2.0</w:t>
            </w:r>
          </w:p>
        </w:tc>
      </w:tr>
      <w:tr w:rsidR="00616F73" w:rsidRPr="00873B6C" w14:paraId="6F6C8A08" w14:textId="77777777" w:rsidTr="009D14FB">
        <w:tc>
          <w:tcPr>
            <w:tcW w:w="800" w:type="dxa"/>
            <w:shd w:val="solid" w:color="FFFFFF" w:fill="auto"/>
          </w:tcPr>
          <w:p w14:paraId="2A5548BB" w14:textId="31F83B09"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24D40766" w14:textId="1AFD91ED"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752CA93F" w14:textId="556CB8B7" w:rsidR="00616F73" w:rsidRPr="00873B6C" w:rsidRDefault="00616F73" w:rsidP="000040FE">
            <w:pPr>
              <w:pStyle w:val="TAC"/>
              <w:rPr>
                <w:sz w:val="16"/>
                <w:szCs w:val="16"/>
              </w:rPr>
            </w:pPr>
            <w:r w:rsidRPr="00873B6C">
              <w:rPr>
                <w:sz w:val="16"/>
                <w:szCs w:val="16"/>
              </w:rPr>
              <w:t>SP-210923</w:t>
            </w:r>
          </w:p>
        </w:tc>
        <w:tc>
          <w:tcPr>
            <w:tcW w:w="567" w:type="dxa"/>
            <w:shd w:val="solid" w:color="FFFFFF" w:fill="auto"/>
          </w:tcPr>
          <w:p w14:paraId="4D65C3E2" w14:textId="0A8B3651" w:rsidR="00616F73" w:rsidRPr="00873B6C" w:rsidRDefault="00616F73" w:rsidP="000040FE">
            <w:pPr>
              <w:pStyle w:val="TAL"/>
              <w:rPr>
                <w:sz w:val="16"/>
                <w:szCs w:val="16"/>
              </w:rPr>
            </w:pPr>
            <w:r w:rsidRPr="00873B6C">
              <w:rPr>
                <w:sz w:val="16"/>
                <w:szCs w:val="16"/>
              </w:rPr>
              <w:t>3173</w:t>
            </w:r>
          </w:p>
        </w:tc>
        <w:tc>
          <w:tcPr>
            <w:tcW w:w="425" w:type="dxa"/>
            <w:shd w:val="solid" w:color="FFFFFF" w:fill="auto"/>
          </w:tcPr>
          <w:p w14:paraId="54188174" w14:textId="7AF695A8" w:rsidR="00616F73" w:rsidRPr="00873B6C" w:rsidRDefault="00616F73" w:rsidP="000040FE">
            <w:pPr>
              <w:pStyle w:val="TAL"/>
              <w:rPr>
                <w:sz w:val="16"/>
                <w:szCs w:val="16"/>
              </w:rPr>
            </w:pPr>
            <w:r w:rsidRPr="00873B6C">
              <w:rPr>
                <w:sz w:val="16"/>
                <w:szCs w:val="16"/>
              </w:rPr>
              <w:t>1</w:t>
            </w:r>
          </w:p>
        </w:tc>
        <w:tc>
          <w:tcPr>
            <w:tcW w:w="425" w:type="dxa"/>
            <w:shd w:val="solid" w:color="FFFFFF" w:fill="auto"/>
          </w:tcPr>
          <w:p w14:paraId="4B2B1C80" w14:textId="638EF8F1"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4FF140C7" w14:textId="02890E40" w:rsidR="00616F73" w:rsidRPr="00873B6C" w:rsidRDefault="00616F73" w:rsidP="000040FE">
            <w:pPr>
              <w:pStyle w:val="TAL"/>
              <w:rPr>
                <w:sz w:val="16"/>
                <w:szCs w:val="16"/>
              </w:rPr>
            </w:pPr>
            <w:r w:rsidRPr="00873B6C">
              <w:rPr>
                <w:sz w:val="16"/>
                <w:szCs w:val="16"/>
              </w:rPr>
              <w:t>Clarification on NF profile in case of SNPN</w:t>
            </w:r>
          </w:p>
        </w:tc>
        <w:tc>
          <w:tcPr>
            <w:tcW w:w="708" w:type="dxa"/>
            <w:shd w:val="solid" w:color="FFFFFF" w:fill="auto"/>
          </w:tcPr>
          <w:p w14:paraId="754EE9CE" w14:textId="51F72522" w:rsidR="00616F73" w:rsidRPr="00873B6C" w:rsidRDefault="00616F73" w:rsidP="000040FE">
            <w:pPr>
              <w:pStyle w:val="TAC"/>
              <w:rPr>
                <w:sz w:val="16"/>
                <w:szCs w:val="16"/>
              </w:rPr>
            </w:pPr>
            <w:r w:rsidRPr="00873B6C">
              <w:rPr>
                <w:sz w:val="16"/>
                <w:szCs w:val="16"/>
              </w:rPr>
              <w:t>17.2.0</w:t>
            </w:r>
          </w:p>
        </w:tc>
      </w:tr>
      <w:tr w:rsidR="00616F73" w:rsidRPr="00873B6C" w14:paraId="17491258" w14:textId="77777777" w:rsidTr="009D14FB">
        <w:tc>
          <w:tcPr>
            <w:tcW w:w="800" w:type="dxa"/>
            <w:shd w:val="solid" w:color="FFFFFF" w:fill="auto"/>
          </w:tcPr>
          <w:p w14:paraId="3C3670C0" w14:textId="69516E44"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0F9051EA" w14:textId="74001EA9"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2EA34185" w14:textId="3782CB7C" w:rsidR="00616F73" w:rsidRPr="00873B6C" w:rsidRDefault="00616F73" w:rsidP="000040FE">
            <w:pPr>
              <w:pStyle w:val="TAC"/>
              <w:rPr>
                <w:sz w:val="16"/>
                <w:szCs w:val="16"/>
              </w:rPr>
            </w:pPr>
            <w:r w:rsidRPr="00873B6C">
              <w:rPr>
                <w:sz w:val="16"/>
                <w:szCs w:val="16"/>
              </w:rPr>
              <w:t>SP-210923</w:t>
            </w:r>
          </w:p>
        </w:tc>
        <w:tc>
          <w:tcPr>
            <w:tcW w:w="567" w:type="dxa"/>
            <w:shd w:val="solid" w:color="FFFFFF" w:fill="auto"/>
          </w:tcPr>
          <w:p w14:paraId="4815580B" w14:textId="4538A8E5" w:rsidR="00616F73" w:rsidRPr="00873B6C" w:rsidRDefault="00616F73" w:rsidP="000040FE">
            <w:pPr>
              <w:pStyle w:val="TAL"/>
              <w:rPr>
                <w:sz w:val="16"/>
                <w:szCs w:val="16"/>
              </w:rPr>
            </w:pPr>
            <w:r w:rsidRPr="00873B6C">
              <w:rPr>
                <w:sz w:val="16"/>
                <w:szCs w:val="16"/>
              </w:rPr>
              <w:t>3175</w:t>
            </w:r>
          </w:p>
        </w:tc>
        <w:tc>
          <w:tcPr>
            <w:tcW w:w="425" w:type="dxa"/>
            <w:shd w:val="solid" w:color="FFFFFF" w:fill="auto"/>
          </w:tcPr>
          <w:p w14:paraId="75DF77D5" w14:textId="02D137AA" w:rsidR="00616F73" w:rsidRPr="00873B6C" w:rsidRDefault="00616F73" w:rsidP="000040FE">
            <w:pPr>
              <w:pStyle w:val="TAL"/>
              <w:rPr>
                <w:sz w:val="16"/>
                <w:szCs w:val="16"/>
              </w:rPr>
            </w:pPr>
            <w:r w:rsidRPr="00873B6C">
              <w:rPr>
                <w:sz w:val="16"/>
                <w:szCs w:val="16"/>
              </w:rPr>
              <w:t>1</w:t>
            </w:r>
          </w:p>
        </w:tc>
        <w:tc>
          <w:tcPr>
            <w:tcW w:w="425" w:type="dxa"/>
            <w:shd w:val="solid" w:color="FFFFFF" w:fill="auto"/>
          </w:tcPr>
          <w:p w14:paraId="19051E6B" w14:textId="5A10B9FC"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746CA20B" w14:textId="170FCB4D" w:rsidR="00616F73" w:rsidRPr="00873B6C" w:rsidRDefault="00616F73" w:rsidP="000040FE">
            <w:pPr>
              <w:pStyle w:val="TAL"/>
              <w:rPr>
                <w:sz w:val="16"/>
                <w:szCs w:val="16"/>
              </w:rPr>
            </w:pPr>
            <w:r w:rsidRPr="00873B6C">
              <w:rPr>
                <w:sz w:val="16"/>
                <w:szCs w:val="16"/>
              </w:rPr>
              <w:t>Clarification on functionality of NF in SNPN</w:t>
            </w:r>
          </w:p>
        </w:tc>
        <w:tc>
          <w:tcPr>
            <w:tcW w:w="708" w:type="dxa"/>
            <w:shd w:val="solid" w:color="FFFFFF" w:fill="auto"/>
          </w:tcPr>
          <w:p w14:paraId="06918286" w14:textId="1BD19A14" w:rsidR="00616F73" w:rsidRPr="00873B6C" w:rsidRDefault="00616F73" w:rsidP="000040FE">
            <w:pPr>
              <w:pStyle w:val="TAC"/>
              <w:rPr>
                <w:sz w:val="16"/>
                <w:szCs w:val="16"/>
              </w:rPr>
            </w:pPr>
            <w:r w:rsidRPr="00873B6C">
              <w:rPr>
                <w:sz w:val="16"/>
                <w:szCs w:val="16"/>
              </w:rPr>
              <w:t>17.2.0</w:t>
            </w:r>
          </w:p>
        </w:tc>
      </w:tr>
      <w:tr w:rsidR="00616F73" w:rsidRPr="00873B6C" w14:paraId="40D54AF2" w14:textId="77777777" w:rsidTr="009D14FB">
        <w:tc>
          <w:tcPr>
            <w:tcW w:w="800" w:type="dxa"/>
            <w:shd w:val="solid" w:color="FFFFFF" w:fill="auto"/>
          </w:tcPr>
          <w:p w14:paraId="75047E3C" w14:textId="51A9079F"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486BC5B9" w14:textId="5C963334"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698D22D8" w14:textId="2736ADE1" w:rsidR="00616F73" w:rsidRPr="00873B6C" w:rsidRDefault="00616F73" w:rsidP="000040FE">
            <w:pPr>
              <w:pStyle w:val="TAC"/>
              <w:rPr>
                <w:sz w:val="16"/>
                <w:szCs w:val="16"/>
              </w:rPr>
            </w:pPr>
            <w:r w:rsidRPr="00873B6C">
              <w:rPr>
                <w:sz w:val="16"/>
                <w:szCs w:val="16"/>
              </w:rPr>
              <w:t>SP-210912</w:t>
            </w:r>
          </w:p>
        </w:tc>
        <w:tc>
          <w:tcPr>
            <w:tcW w:w="567" w:type="dxa"/>
            <w:shd w:val="solid" w:color="FFFFFF" w:fill="auto"/>
          </w:tcPr>
          <w:p w14:paraId="667EB419" w14:textId="16981F78" w:rsidR="00616F73" w:rsidRPr="00873B6C" w:rsidRDefault="00616F73" w:rsidP="000040FE">
            <w:pPr>
              <w:pStyle w:val="TAL"/>
              <w:rPr>
                <w:sz w:val="16"/>
                <w:szCs w:val="16"/>
              </w:rPr>
            </w:pPr>
            <w:r w:rsidRPr="00873B6C">
              <w:rPr>
                <w:sz w:val="16"/>
                <w:szCs w:val="16"/>
              </w:rPr>
              <w:t>3178</w:t>
            </w:r>
          </w:p>
        </w:tc>
        <w:tc>
          <w:tcPr>
            <w:tcW w:w="425" w:type="dxa"/>
            <w:shd w:val="solid" w:color="FFFFFF" w:fill="auto"/>
          </w:tcPr>
          <w:p w14:paraId="25D0180C" w14:textId="3200BD03" w:rsidR="00616F73" w:rsidRPr="00873B6C" w:rsidRDefault="00616F73" w:rsidP="000040FE">
            <w:pPr>
              <w:pStyle w:val="TAL"/>
              <w:rPr>
                <w:sz w:val="16"/>
                <w:szCs w:val="16"/>
              </w:rPr>
            </w:pPr>
            <w:r w:rsidRPr="00873B6C">
              <w:rPr>
                <w:sz w:val="16"/>
                <w:szCs w:val="16"/>
              </w:rPr>
              <w:t xml:space="preserve">- </w:t>
            </w:r>
          </w:p>
        </w:tc>
        <w:tc>
          <w:tcPr>
            <w:tcW w:w="425" w:type="dxa"/>
            <w:shd w:val="solid" w:color="FFFFFF" w:fill="auto"/>
          </w:tcPr>
          <w:p w14:paraId="3B374C97" w14:textId="37B2B0EC" w:rsidR="00616F73" w:rsidRPr="00873B6C" w:rsidRDefault="00616F73" w:rsidP="000040FE">
            <w:pPr>
              <w:pStyle w:val="TAL"/>
              <w:rPr>
                <w:sz w:val="16"/>
                <w:szCs w:val="16"/>
              </w:rPr>
            </w:pPr>
            <w:r w:rsidRPr="00873B6C">
              <w:rPr>
                <w:sz w:val="16"/>
                <w:szCs w:val="16"/>
              </w:rPr>
              <w:t>A</w:t>
            </w:r>
          </w:p>
        </w:tc>
        <w:tc>
          <w:tcPr>
            <w:tcW w:w="4820" w:type="dxa"/>
            <w:shd w:val="solid" w:color="FFFFFF" w:fill="auto"/>
          </w:tcPr>
          <w:p w14:paraId="53821A97" w14:textId="17BD0A3A" w:rsidR="00616F73" w:rsidRPr="00873B6C" w:rsidRDefault="00616F73" w:rsidP="000040FE">
            <w:pPr>
              <w:pStyle w:val="TAL"/>
              <w:rPr>
                <w:sz w:val="16"/>
                <w:szCs w:val="16"/>
              </w:rPr>
            </w:pPr>
            <w:r w:rsidRPr="00873B6C">
              <w:rPr>
                <w:sz w:val="16"/>
                <w:szCs w:val="16"/>
              </w:rPr>
              <w:t>Emergency services for non-3GPP access</w:t>
            </w:r>
          </w:p>
        </w:tc>
        <w:tc>
          <w:tcPr>
            <w:tcW w:w="708" w:type="dxa"/>
            <w:shd w:val="solid" w:color="FFFFFF" w:fill="auto"/>
          </w:tcPr>
          <w:p w14:paraId="4142F59C" w14:textId="1BE8A263" w:rsidR="00616F73" w:rsidRPr="00873B6C" w:rsidRDefault="00616F73" w:rsidP="000040FE">
            <w:pPr>
              <w:pStyle w:val="TAC"/>
              <w:rPr>
                <w:sz w:val="16"/>
                <w:szCs w:val="16"/>
              </w:rPr>
            </w:pPr>
            <w:r w:rsidRPr="00873B6C">
              <w:rPr>
                <w:sz w:val="16"/>
                <w:szCs w:val="16"/>
              </w:rPr>
              <w:t>17.2.0</w:t>
            </w:r>
          </w:p>
        </w:tc>
      </w:tr>
      <w:tr w:rsidR="00616F73" w:rsidRPr="00873B6C" w14:paraId="377875FC" w14:textId="77777777" w:rsidTr="009D14FB">
        <w:tc>
          <w:tcPr>
            <w:tcW w:w="800" w:type="dxa"/>
            <w:shd w:val="solid" w:color="FFFFFF" w:fill="auto"/>
          </w:tcPr>
          <w:p w14:paraId="11151EEE" w14:textId="23530C08"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725047D5" w14:textId="44014D52"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0CE09923" w14:textId="123E3128" w:rsidR="00616F73" w:rsidRPr="00873B6C" w:rsidRDefault="00616F73" w:rsidP="000040FE">
            <w:pPr>
              <w:pStyle w:val="TAC"/>
              <w:rPr>
                <w:sz w:val="16"/>
                <w:szCs w:val="16"/>
              </w:rPr>
            </w:pPr>
            <w:r w:rsidRPr="00873B6C">
              <w:rPr>
                <w:sz w:val="16"/>
                <w:szCs w:val="16"/>
              </w:rPr>
              <w:t>SP-210918</w:t>
            </w:r>
          </w:p>
        </w:tc>
        <w:tc>
          <w:tcPr>
            <w:tcW w:w="567" w:type="dxa"/>
            <w:shd w:val="solid" w:color="FFFFFF" w:fill="auto"/>
          </w:tcPr>
          <w:p w14:paraId="1F5F96C7" w14:textId="7F5FBB71" w:rsidR="00616F73" w:rsidRPr="00873B6C" w:rsidRDefault="00616F73" w:rsidP="000040FE">
            <w:pPr>
              <w:pStyle w:val="TAL"/>
              <w:rPr>
                <w:sz w:val="16"/>
                <w:szCs w:val="16"/>
              </w:rPr>
            </w:pPr>
            <w:r w:rsidRPr="00873B6C">
              <w:rPr>
                <w:sz w:val="16"/>
                <w:szCs w:val="16"/>
              </w:rPr>
              <w:t>3179</w:t>
            </w:r>
          </w:p>
        </w:tc>
        <w:tc>
          <w:tcPr>
            <w:tcW w:w="425" w:type="dxa"/>
            <w:shd w:val="solid" w:color="FFFFFF" w:fill="auto"/>
          </w:tcPr>
          <w:p w14:paraId="31281993" w14:textId="18BACB9B" w:rsidR="00616F73" w:rsidRPr="00873B6C" w:rsidRDefault="00616F73" w:rsidP="000040FE">
            <w:pPr>
              <w:pStyle w:val="TAL"/>
              <w:rPr>
                <w:sz w:val="16"/>
                <w:szCs w:val="16"/>
              </w:rPr>
            </w:pPr>
            <w:r w:rsidRPr="00873B6C">
              <w:rPr>
                <w:sz w:val="16"/>
                <w:szCs w:val="16"/>
              </w:rPr>
              <w:t>1</w:t>
            </w:r>
          </w:p>
        </w:tc>
        <w:tc>
          <w:tcPr>
            <w:tcW w:w="425" w:type="dxa"/>
            <w:shd w:val="solid" w:color="FFFFFF" w:fill="auto"/>
          </w:tcPr>
          <w:p w14:paraId="6A69E89A" w14:textId="17A5E1E3"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7C0D51BB" w14:textId="542956A4" w:rsidR="00616F73" w:rsidRPr="00873B6C" w:rsidRDefault="00616F73" w:rsidP="000040FE">
            <w:pPr>
              <w:pStyle w:val="TAL"/>
              <w:rPr>
                <w:sz w:val="16"/>
                <w:szCs w:val="16"/>
              </w:rPr>
            </w:pPr>
            <w:r w:rsidRPr="00873B6C">
              <w:rPr>
                <w:sz w:val="16"/>
                <w:szCs w:val="16"/>
              </w:rPr>
              <w:t>Clarification on threshold values</w:t>
            </w:r>
          </w:p>
        </w:tc>
        <w:tc>
          <w:tcPr>
            <w:tcW w:w="708" w:type="dxa"/>
            <w:shd w:val="solid" w:color="FFFFFF" w:fill="auto"/>
          </w:tcPr>
          <w:p w14:paraId="26056174" w14:textId="0BEF3629" w:rsidR="00616F73" w:rsidRPr="00873B6C" w:rsidRDefault="00616F73" w:rsidP="000040FE">
            <w:pPr>
              <w:pStyle w:val="TAC"/>
              <w:rPr>
                <w:sz w:val="16"/>
                <w:szCs w:val="16"/>
              </w:rPr>
            </w:pPr>
            <w:r w:rsidRPr="00873B6C">
              <w:rPr>
                <w:sz w:val="16"/>
                <w:szCs w:val="16"/>
              </w:rPr>
              <w:t>17.2.0</w:t>
            </w:r>
          </w:p>
        </w:tc>
      </w:tr>
      <w:tr w:rsidR="00616F73" w:rsidRPr="00873B6C" w14:paraId="5F3715CB" w14:textId="77777777" w:rsidTr="009D14FB">
        <w:tc>
          <w:tcPr>
            <w:tcW w:w="800" w:type="dxa"/>
            <w:shd w:val="solid" w:color="FFFFFF" w:fill="auto"/>
          </w:tcPr>
          <w:p w14:paraId="318DE2E0" w14:textId="5F4BE828"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2B457914" w14:textId="7E163772"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2342CC9C" w14:textId="342C3E17" w:rsidR="00616F73" w:rsidRPr="00873B6C" w:rsidRDefault="00616F73" w:rsidP="000040FE">
            <w:pPr>
              <w:pStyle w:val="TAC"/>
              <w:rPr>
                <w:sz w:val="16"/>
                <w:szCs w:val="16"/>
              </w:rPr>
            </w:pPr>
            <w:r w:rsidRPr="00873B6C">
              <w:rPr>
                <w:sz w:val="16"/>
                <w:szCs w:val="16"/>
              </w:rPr>
              <w:t>SP-210920</w:t>
            </w:r>
          </w:p>
        </w:tc>
        <w:tc>
          <w:tcPr>
            <w:tcW w:w="567" w:type="dxa"/>
            <w:shd w:val="solid" w:color="FFFFFF" w:fill="auto"/>
          </w:tcPr>
          <w:p w14:paraId="54B03611" w14:textId="4BE6B854" w:rsidR="00616F73" w:rsidRPr="00873B6C" w:rsidRDefault="00616F73" w:rsidP="000040FE">
            <w:pPr>
              <w:pStyle w:val="TAL"/>
              <w:rPr>
                <w:sz w:val="16"/>
                <w:szCs w:val="16"/>
              </w:rPr>
            </w:pPr>
            <w:r w:rsidRPr="00873B6C">
              <w:rPr>
                <w:sz w:val="16"/>
                <w:szCs w:val="16"/>
              </w:rPr>
              <w:t>3186</w:t>
            </w:r>
          </w:p>
        </w:tc>
        <w:tc>
          <w:tcPr>
            <w:tcW w:w="425" w:type="dxa"/>
            <w:shd w:val="solid" w:color="FFFFFF" w:fill="auto"/>
          </w:tcPr>
          <w:p w14:paraId="07170943" w14:textId="6F0AE755" w:rsidR="00616F73" w:rsidRPr="00873B6C" w:rsidRDefault="00616F73" w:rsidP="000040FE">
            <w:pPr>
              <w:pStyle w:val="TAL"/>
              <w:rPr>
                <w:sz w:val="16"/>
                <w:szCs w:val="16"/>
              </w:rPr>
            </w:pPr>
            <w:r w:rsidRPr="00873B6C">
              <w:rPr>
                <w:sz w:val="16"/>
                <w:szCs w:val="16"/>
              </w:rPr>
              <w:t xml:space="preserve">- </w:t>
            </w:r>
          </w:p>
        </w:tc>
        <w:tc>
          <w:tcPr>
            <w:tcW w:w="425" w:type="dxa"/>
            <w:shd w:val="solid" w:color="FFFFFF" w:fill="auto"/>
          </w:tcPr>
          <w:p w14:paraId="19CB1613" w14:textId="59670CD3" w:rsidR="00616F73" w:rsidRPr="00873B6C" w:rsidRDefault="00616F73" w:rsidP="000040FE">
            <w:pPr>
              <w:pStyle w:val="TAL"/>
              <w:rPr>
                <w:sz w:val="16"/>
                <w:szCs w:val="16"/>
              </w:rPr>
            </w:pPr>
            <w:r w:rsidRPr="00873B6C">
              <w:rPr>
                <w:sz w:val="16"/>
                <w:szCs w:val="16"/>
              </w:rPr>
              <w:t>B</w:t>
            </w:r>
          </w:p>
        </w:tc>
        <w:tc>
          <w:tcPr>
            <w:tcW w:w="4820" w:type="dxa"/>
            <w:shd w:val="solid" w:color="FFFFFF" w:fill="auto"/>
          </w:tcPr>
          <w:p w14:paraId="1F1A9C5D" w14:textId="4FD2C0D0" w:rsidR="00616F73" w:rsidRPr="00873B6C" w:rsidRDefault="00616F73" w:rsidP="000040FE">
            <w:pPr>
              <w:pStyle w:val="TAL"/>
              <w:rPr>
                <w:sz w:val="16"/>
                <w:szCs w:val="16"/>
              </w:rPr>
            </w:pPr>
            <w:r w:rsidRPr="00873B6C">
              <w:rPr>
                <w:sz w:val="16"/>
                <w:szCs w:val="16"/>
              </w:rPr>
              <w:t>Use UPF to transfer DNS message between EASDF and DNS server</w:t>
            </w:r>
          </w:p>
        </w:tc>
        <w:tc>
          <w:tcPr>
            <w:tcW w:w="708" w:type="dxa"/>
            <w:shd w:val="solid" w:color="FFFFFF" w:fill="auto"/>
          </w:tcPr>
          <w:p w14:paraId="5AED5DDF" w14:textId="18D0D08C" w:rsidR="00616F73" w:rsidRPr="00873B6C" w:rsidRDefault="00616F73" w:rsidP="000040FE">
            <w:pPr>
              <w:pStyle w:val="TAC"/>
              <w:rPr>
                <w:sz w:val="16"/>
                <w:szCs w:val="16"/>
              </w:rPr>
            </w:pPr>
            <w:r w:rsidRPr="00873B6C">
              <w:rPr>
                <w:sz w:val="16"/>
                <w:szCs w:val="16"/>
              </w:rPr>
              <w:t>17.2.0</w:t>
            </w:r>
          </w:p>
        </w:tc>
      </w:tr>
      <w:tr w:rsidR="00616F73" w:rsidRPr="00873B6C" w14:paraId="0CADCAF9" w14:textId="77777777" w:rsidTr="009D14FB">
        <w:tc>
          <w:tcPr>
            <w:tcW w:w="800" w:type="dxa"/>
            <w:shd w:val="solid" w:color="FFFFFF" w:fill="auto"/>
          </w:tcPr>
          <w:p w14:paraId="2B93BBF2" w14:textId="025058D3"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5D9E0D1D" w14:textId="5F6C4A20"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1369EF29" w14:textId="36C68CD4" w:rsidR="00616F73" w:rsidRPr="00873B6C" w:rsidRDefault="00616F73" w:rsidP="000040FE">
            <w:pPr>
              <w:pStyle w:val="TAC"/>
              <w:rPr>
                <w:sz w:val="16"/>
                <w:szCs w:val="16"/>
              </w:rPr>
            </w:pPr>
            <w:r w:rsidRPr="00873B6C">
              <w:rPr>
                <w:sz w:val="16"/>
                <w:szCs w:val="16"/>
              </w:rPr>
              <w:t>SP-210920</w:t>
            </w:r>
          </w:p>
        </w:tc>
        <w:tc>
          <w:tcPr>
            <w:tcW w:w="567" w:type="dxa"/>
            <w:shd w:val="solid" w:color="FFFFFF" w:fill="auto"/>
          </w:tcPr>
          <w:p w14:paraId="6208BCFA" w14:textId="21618153" w:rsidR="00616F73" w:rsidRPr="00873B6C" w:rsidRDefault="00616F73" w:rsidP="000040FE">
            <w:pPr>
              <w:pStyle w:val="TAL"/>
              <w:rPr>
                <w:sz w:val="16"/>
                <w:szCs w:val="16"/>
              </w:rPr>
            </w:pPr>
            <w:r w:rsidRPr="00873B6C">
              <w:rPr>
                <w:sz w:val="16"/>
                <w:szCs w:val="16"/>
              </w:rPr>
              <w:t>3187</w:t>
            </w:r>
          </w:p>
        </w:tc>
        <w:tc>
          <w:tcPr>
            <w:tcW w:w="425" w:type="dxa"/>
            <w:shd w:val="solid" w:color="FFFFFF" w:fill="auto"/>
          </w:tcPr>
          <w:p w14:paraId="0446AECC" w14:textId="20C800B4" w:rsidR="00616F73" w:rsidRPr="00873B6C" w:rsidRDefault="00616F73" w:rsidP="000040FE">
            <w:pPr>
              <w:pStyle w:val="TAL"/>
              <w:rPr>
                <w:sz w:val="16"/>
                <w:szCs w:val="16"/>
              </w:rPr>
            </w:pPr>
            <w:r w:rsidRPr="00873B6C">
              <w:rPr>
                <w:sz w:val="16"/>
                <w:szCs w:val="16"/>
              </w:rPr>
              <w:t xml:space="preserve">- </w:t>
            </w:r>
          </w:p>
        </w:tc>
        <w:tc>
          <w:tcPr>
            <w:tcW w:w="425" w:type="dxa"/>
            <w:shd w:val="solid" w:color="FFFFFF" w:fill="auto"/>
          </w:tcPr>
          <w:p w14:paraId="26AC71C5" w14:textId="43F3521E"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40956C1B" w14:textId="307D0E6D" w:rsidR="00616F73" w:rsidRPr="00873B6C" w:rsidRDefault="00616F73" w:rsidP="000040FE">
            <w:pPr>
              <w:pStyle w:val="TAL"/>
              <w:rPr>
                <w:sz w:val="16"/>
                <w:szCs w:val="16"/>
              </w:rPr>
            </w:pPr>
            <w:r w:rsidRPr="00873B6C">
              <w:rPr>
                <w:sz w:val="16"/>
                <w:szCs w:val="16"/>
              </w:rPr>
              <w:t>Add Nudm_ServiceSpecificAuthorisation service</w:t>
            </w:r>
          </w:p>
        </w:tc>
        <w:tc>
          <w:tcPr>
            <w:tcW w:w="708" w:type="dxa"/>
            <w:shd w:val="solid" w:color="FFFFFF" w:fill="auto"/>
          </w:tcPr>
          <w:p w14:paraId="3F6123F9" w14:textId="72FEFFF4" w:rsidR="00616F73" w:rsidRPr="00873B6C" w:rsidRDefault="00616F73" w:rsidP="000040FE">
            <w:pPr>
              <w:pStyle w:val="TAC"/>
              <w:rPr>
                <w:sz w:val="16"/>
                <w:szCs w:val="16"/>
              </w:rPr>
            </w:pPr>
            <w:r w:rsidRPr="00873B6C">
              <w:rPr>
                <w:sz w:val="16"/>
                <w:szCs w:val="16"/>
              </w:rPr>
              <w:t>17.2.0</w:t>
            </w:r>
          </w:p>
        </w:tc>
      </w:tr>
      <w:tr w:rsidR="00616F73" w:rsidRPr="00873B6C" w14:paraId="3F1E9A9A" w14:textId="77777777" w:rsidTr="009D14FB">
        <w:tc>
          <w:tcPr>
            <w:tcW w:w="800" w:type="dxa"/>
            <w:shd w:val="solid" w:color="FFFFFF" w:fill="auto"/>
          </w:tcPr>
          <w:p w14:paraId="1319CCCF" w14:textId="141DDA64"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5FD2DF63" w14:textId="584FFD00"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37D0D007" w14:textId="45B4940B" w:rsidR="00616F73" w:rsidRPr="00873B6C" w:rsidRDefault="00616F73" w:rsidP="000040FE">
            <w:pPr>
              <w:pStyle w:val="TAC"/>
              <w:rPr>
                <w:sz w:val="16"/>
                <w:szCs w:val="16"/>
              </w:rPr>
            </w:pPr>
            <w:r w:rsidRPr="00873B6C">
              <w:rPr>
                <w:sz w:val="16"/>
                <w:szCs w:val="16"/>
              </w:rPr>
              <w:t>SP-210929</w:t>
            </w:r>
          </w:p>
        </w:tc>
        <w:tc>
          <w:tcPr>
            <w:tcW w:w="567" w:type="dxa"/>
            <w:shd w:val="solid" w:color="FFFFFF" w:fill="auto"/>
          </w:tcPr>
          <w:p w14:paraId="60C96812" w14:textId="51D774D3" w:rsidR="00616F73" w:rsidRPr="00873B6C" w:rsidRDefault="00616F73" w:rsidP="000040FE">
            <w:pPr>
              <w:pStyle w:val="TAL"/>
              <w:rPr>
                <w:sz w:val="16"/>
                <w:szCs w:val="16"/>
              </w:rPr>
            </w:pPr>
            <w:r w:rsidRPr="00873B6C">
              <w:rPr>
                <w:sz w:val="16"/>
                <w:szCs w:val="16"/>
              </w:rPr>
              <w:t>3189</w:t>
            </w:r>
          </w:p>
        </w:tc>
        <w:tc>
          <w:tcPr>
            <w:tcW w:w="425" w:type="dxa"/>
            <w:shd w:val="solid" w:color="FFFFFF" w:fill="auto"/>
          </w:tcPr>
          <w:p w14:paraId="29AA57FA" w14:textId="73191D1D" w:rsidR="00616F73" w:rsidRPr="00873B6C" w:rsidRDefault="00616F73" w:rsidP="000040FE">
            <w:pPr>
              <w:pStyle w:val="TAL"/>
              <w:rPr>
                <w:sz w:val="16"/>
                <w:szCs w:val="16"/>
              </w:rPr>
            </w:pPr>
            <w:r w:rsidRPr="00873B6C">
              <w:rPr>
                <w:sz w:val="16"/>
                <w:szCs w:val="16"/>
              </w:rPr>
              <w:t xml:space="preserve">1 </w:t>
            </w:r>
          </w:p>
        </w:tc>
        <w:tc>
          <w:tcPr>
            <w:tcW w:w="425" w:type="dxa"/>
            <w:shd w:val="solid" w:color="FFFFFF" w:fill="auto"/>
          </w:tcPr>
          <w:p w14:paraId="06FDD8B5" w14:textId="0FF75DCA"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536F44C9" w14:textId="67697BDC" w:rsidR="00616F73" w:rsidRPr="00873B6C" w:rsidRDefault="00616F73" w:rsidP="000040FE">
            <w:pPr>
              <w:pStyle w:val="TAL"/>
              <w:rPr>
                <w:sz w:val="16"/>
                <w:szCs w:val="16"/>
              </w:rPr>
            </w:pPr>
            <w:r w:rsidRPr="00873B6C">
              <w:rPr>
                <w:sz w:val="16"/>
                <w:szCs w:val="16"/>
              </w:rPr>
              <w:t>Update for (g)PTP messages forwarding in UPF/NW-TT</w:t>
            </w:r>
          </w:p>
        </w:tc>
        <w:tc>
          <w:tcPr>
            <w:tcW w:w="708" w:type="dxa"/>
            <w:shd w:val="solid" w:color="FFFFFF" w:fill="auto"/>
          </w:tcPr>
          <w:p w14:paraId="6EAEB33A" w14:textId="3A283EC2" w:rsidR="00616F73" w:rsidRPr="00873B6C" w:rsidRDefault="00616F73" w:rsidP="000040FE">
            <w:pPr>
              <w:pStyle w:val="TAC"/>
              <w:rPr>
                <w:sz w:val="16"/>
                <w:szCs w:val="16"/>
              </w:rPr>
            </w:pPr>
            <w:r w:rsidRPr="00873B6C">
              <w:rPr>
                <w:sz w:val="16"/>
                <w:szCs w:val="16"/>
              </w:rPr>
              <w:t>17.2.0</w:t>
            </w:r>
          </w:p>
        </w:tc>
      </w:tr>
      <w:tr w:rsidR="008546A1" w:rsidRPr="00873B6C" w14:paraId="66A48E59" w14:textId="77777777" w:rsidTr="009D14FB">
        <w:tc>
          <w:tcPr>
            <w:tcW w:w="800" w:type="dxa"/>
            <w:shd w:val="solid" w:color="FFFFFF" w:fill="auto"/>
          </w:tcPr>
          <w:p w14:paraId="56A607D8" w14:textId="51F5E4BE"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3A87CBA0" w14:textId="615522E4"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069B9105" w14:textId="1C6D4EC1" w:rsidR="008546A1" w:rsidRPr="00873B6C" w:rsidRDefault="008546A1" w:rsidP="000040FE">
            <w:pPr>
              <w:pStyle w:val="TAC"/>
              <w:rPr>
                <w:sz w:val="16"/>
                <w:szCs w:val="16"/>
              </w:rPr>
            </w:pPr>
            <w:r w:rsidRPr="00873B6C">
              <w:rPr>
                <w:sz w:val="16"/>
                <w:szCs w:val="16"/>
              </w:rPr>
              <w:t>SP-210908</w:t>
            </w:r>
          </w:p>
        </w:tc>
        <w:tc>
          <w:tcPr>
            <w:tcW w:w="567" w:type="dxa"/>
            <w:shd w:val="solid" w:color="FFFFFF" w:fill="auto"/>
          </w:tcPr>
          <w:p w14:paraId="191722C4" w14:textId="42BB7743" w:rsidR="008546A1" w:rsidRPr="00873B6C" w:rsidRDefault="008546A1" w:rsidP="000040FE">
            <w:pPr>
              <w:pStyle w:val="TAL"/>
              <w:rPr>
                <w:sz w:val="16"/>
                <w:szCs w:val="16"/>
              </w:rPr>
            </w:pPr>
            <w:r w:rsidRPr="00873B6C">
              <w:rPr>
                <w:sz w:val="16"/>
                <w:szCs w:val="16"/>
              </w:rPr>
              <w:t>3190</w:t>
            </w:r>
          </w:p>
        </w:tc>
        <w:tc>
          <w:tcPr>
            <w:tcW w:w="425" w:type="dxa"/>
            <w:shd w:val="solid" w:color="FFFFFF" w:fill="auto"/>
          </w:tcPr>
          <w:p w14:paraId="279D8AA7" w14:textId="6E113054" w:rsidR="008546A1" w:rsidRPr="00873B6C" w:rsidRDefault="008546A1" w:rsidP="000040FE">
            <w:pPr>
              <w:pStyle w:val="TAL"/>
              <w:rPr>
                <w:sz w:val="16"/>
                <w:szCs w:val="16"/>
              </w:rPr>
            </w:pPr>
            <w:r w:rsidRPr="00873B6C">
              <w:rPr>
                <w:sz w:val="16"/>
                <w:szCs w:val="16"/>
              </w:rPr>
              <w:t>2</w:t>
            </w:r>
          </w:p>
        </w:tc>
        <w:tc>
          <w:tcPr>
            <w:tcW w:w="425" w:type="dxa"/>
            <w:shd w:val="solid" w:color="FFFFFF" w:fill="auto"/>
          </w:tcPr>
          <w:p w14:paraId="61DCED27" w14:textId="2898B5C5" w:rsidR="008546A1" w:rsidRPr="00873B6C" w:rsidRDefault="008546A1" w:rsidP="000040FE">
            <w:pPr>
              <w:pStyle w:val="TAL"/>
              <w:rPr>
                <w:sz w:val="16"/>
                <w:szCs w:val="16"/>
              </w:rPr>
            </w:pPr>
            <w:r w:rsidRPr="00873B6C">
              <w:rPr>
                <w:sz w:val="16"/>
                <w:szCs w:val="16"/>
              </w:rPr>
              <w:t>A</w:t>
            </w:r>
          </w:p>
        </w:tc>
        <w:tc>
          <w:tcPr>
            <w:tcW w:w="4820" w:type="dxa"/>
            <w:shd w:val="solid" w:color="FFFFFF" w:fill="auto"/>
          </w:tcPr>
          <w:p w14:paraId="7382CBC1" w14:textId="689E4FEE" w:rsidR="008546A1" w:rsidRPr="00873B6C" w:rsidRDefault="008546A1" w:rsidP="000040FE">
            <w:pPr>
              <w:pStyle w:val="TAL"/>
              <w:rPr>
                <w:sz w:val="16"/>
                <w:szCs w:val="16"/>
              </w:rPr>
            </w:pPr>
            <w:r w:rsidRPr="00873B6C">
              <w:rPr>
                <w:sz w:val="16"/>
                <w:szCs w:val="16"/>
              </w:rPr>
              <w:t>No empty allowed NSSAI at REGISTRATION ACCEPT</w:t>
            </w:r>
          </w:p>
        </w:tc>
        <w:tc>
          <w:tcPr>
            <w:tcW w:w="708" w:type="dxa"/>
            <w:shd w:val="solid" w:color="FFFFFF" w:fill="auto"/>
          </w:tcPr>
          <w:p w14:paraId="7BCF9C1A" w14:textId="0BC561B7" w:rsidR="008546A1" w:rsidRPr="00873B6C" w:rsidRDefault="008546A1" w:rsidP="000040FE">
            <w:pPr>
              <w:pStyle w:val="TAC"/>
              <w:rPr>
                <w:sz w:val="16"/>
                <w:szCs w:val="16"/>
              </w:rPr>
            </w:pPr>
            <w:r w:rsidRPr="00873B6C">
              <w:rPr>
                <w:sz w:val="16"/>
                <w:szCs w:val="16"/>
              </w:rPr>
              <w:t>17.2.0</w:t>
            </w:r>
          </w:p>
        </w:tc>
      </w:tr>
      <w:tr w:rsidR="008546A1" w:rsidRPr="00873B6C" w14:paraId="2A3F03A1" w14:textId="77777777" w:rsidTr="009D14FB">
        <w:tc>
          <w:tcPr>
            <w:tcW w:w="800" w:type="dxa"/>
            <w:shd w:val="solid" w:color="FFFFFF" w:fill="auto"/>
          </w:tcPr>
          <w:p w14:paraId="0F67A437" w14:textId="4E7AF6CD"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16139A4A" w14:textId="5E5B02F8"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0912C73A" w14:textId="3190603D" w:rsidR="008546A1" w:rsidRPr="00873B6C" w:rsidRDefault="008546A1" w:rsidP="000040FE">
            <w:pPr>
              <w:pStyle w:val="TAC"/>
              <w:rPr>
                <w:sz w:val="16"/>
                <w:szCs w:val="16"/>
              </w:rPr>
            </w:pPr>
            <w:r w:rsidRPr="00873B6C">
              <w:rPr>
                <w:sz w:val="16"/>
                <w:szCs w:val="16"/>
              </w:rPr>
              <w:t>SP-210932</w:t>
            </w:r>
          </w:p>
        </w:tc>
        <w:tc>
          <w:tcPr>
            <w:tcW w:w="567" w:type="dxa"/>
            <w:shd w:val="solid" w:color="FFFFFF" w:fill="auto"/>
          </w:tcPr>
          <w:p w14:paraId="3071B458" w14:textId="21CDC5D3" w:rsidR="008546A1" w:rsidRPr="00873B6C" w:rsidRDefault="008546A1" w:rsidP="000040FE">
            <w:pPr>
              <w:pStyle w:val="TAL"/>
              <w:rPr>
                <w:sz w:val="16"/>
                <w:szCs w:val="16"/>
              </w:rPr>
            </w:pPr>
            <w:r w:rsidRPr="00873B6C">
              <w:rPr>
                <w:sz w:val="16"/>
                <w:szCs w:val="16"/>
              </w:rPr>
              <w:t>3192</w:t>
            </w:r>
          </w:p>
        </w:tc>
        <w:tc>
          <w:tcPr>
            <w:tcW w:w="425" w:type="dxa"/>
            <w:shd w:val="solid" w:color="FFFFFF" w:fill="auto"/>
          </w:tcPr>
          <w:p w14:paraId="15205742" w14:textId="7F6F0E1D" w:rsidR="008546A1" w:rsidRPr="00873B6C" w:rsidRDefault="008546A1" w:rsidP="000040FE">
            <w:pPr>
              <w:pStyle w:val="TAL"/>
              <w:rPr>
                <w:sz w:val="16"/>
                <w:szCs w:val="16"/>
              </w:rPr>
            </w:pPr>
            <w:r w:rsidRPr="00873B6C">
              <w:rPr>
                <w:sz w:val="16"/>
                <w:szCs w:val="16"/>
              </w:rPr>
              <w:t xml:space="preserve">1 </w:t>
            </w:r>
          </w:p>
        </w:tc>
        <w:tc>
          <w:tcPr>
            <w:tcW w:w="425" w:type="dxa"/>
            <w:shd w:val="solid" w:color="FFFFFF" w:fill="auto"/>
          </w:tcPr>
          <w:p w14:paraId="14C036CD" w14:textId="7E95B6DB"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2D031650" w14:textId="7B9C8AB8" w:rsidR="008546A1" w:rsidRPr="00873B6C" w:rsidRDefault="008546A1" w:rsidP="000040FE">
            <w:pPr>
              <w:pStyle w:val="TAL"/>
              <w:rPr>
                <w:sz w:val="16"/>
                <w:szCs w:val="16"/>
              </w:rPr>
            </w:pPr>
            <w:r w:rsidRPr="00873B6C">
              <w:rPr>
                <w:sz w:val="16"/>
                <w:szCs w:val="16"/>
              </w:rPr>
              <w:t>MUSIM Terminology Alignment</w:t>
            </w:r>
          </w:p>
        </w:tc>
        <w:tc>
          <w:tcPr>
            <w:tcW w:w="708" w:type="dxa"/>
            <w:shd w:val="solid" w:color="FFFFFF" w:fill="auto"/>
          </w:tcPr>
          <w:p w14:paraId="6A7BCB9C" w14:textId="11DE42C6" w:rsidR="008546A1" w:rsidRPr="00873B6C" w:rsidRDefault="008546A1" w:rsidP="000040FE">
            <w:pPr>
              <w:pStyle w:val="TAC"/>
              <w:rPr>
                <w:sz w:val="16"/>
                <w:szCs w:val="16"/>
              </w:rPr>
            </w:pPr>
            <w:r w:rsidRPr="00873B6C">
              <w:rPr>
                <w:sz w:val="16"/>
                <w:szCs w:val="16"/>
              </w:rPr>
              <w:t>17.2.0</w:t>
            </w:r>
          </w:p>
        </w:tc>
      </w:tr>
      <w:tr w:rsidR="008546A1" w:rsidRPr="00873B6C" w14:paraId="27EDD1DC" w14:textId="77777777" w:rsidTr="009D14FB">
        <w:tc>
          <w:tcPr>
            <w:tcW w:w="800" w:type="dxa"/>
            <w:shd w:val="solid" w:color="FFFFFF" w:fill="auto"/>
          </w:tcPr>
          <w:p w14:paraId="504A7EE7" w14:textId="6998AC1A"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54F33B49" w14:textId="210F50B7"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1236316B" w14:textId="1A27D2F9" w:rsidR="008546A1" w:rsidRPr="00873B6C" w:rsidRDefault="008546A1" w:rsidP="000040FE">
            <w:pPr>
              <w:pStyle w:val="TAC"/>
              <w:rPr>
                <w:sz w:val="16"/>
                <w:szCs w:val="16"/>
              </w:rPr>
            </w:pPr>
            <w:r w:rsidRPr="00873B6C">
              <w:rPr>
                <w:sz w:val="16"/>
                <w:szCs w:val="16"/>
              </w:rPr>
              <w:t>SP-210932</w:t>
            </w:r>
          </w:p>
        </w:tc>
        <w:tc>
          <w:tcPr>
            <w:tcW w:w="567" w:type="dxa"/>
            <w:shd w:val="solid" w:color="FFFFFF" w:fill="auto"/>
          </w:tcPr>
          <w:p w14:paraId="44129DCD" w14:textId="747EC166" w:rsidR="008546A1" w:rsidRPr="00873B6C" w:rsidRDefault="008546A1" w:rsidP="000040FE">
            <w:pPr>
              <w:pStyle w:val="TAL"/>
              <w:rPr>
                <w:sz w:val="16"/>
                <w:szCs w:val="16"/>
              </w:rPr>
            </w:pPr>
            <w:r w:rsidRPr="00873B6C">
              <w:rPr>
                <w:sz w:val="16"/>
                <w:szCs w:val="16"/>
              </w:rPr>
              <w:t>3196</w:t>
            </w:r>
          </w:p>
        </w:tc>
        <w:tc>
          <w:tcPr>
            <w:tcW w:w="425" w:type="dxa"/>
            <w:shd w:val="solid" w:color="FFFFFF" w:fill="auto"/>
          </w:tcPr>
          <w:p w14:paraId="193CA9B3" w14:textId="31330F5D" w:rsidR="008546A1" w:rsidRPr="00873B6C" w:rsidRDefault="008546A1" w:rsidP="000040FE">
            <w:pPr>
              <w:pStyle w:val="TAL"/>
              <w:rPr>
                <w:sz w:val="16"/>
                <w:szCs w:val="16"/>
              </w:rPr>
            </w:pPr>
            <w:r w:rsidRPr="00873B6C">
              <w:rPr>
                <w:sz w:val="16"/>
                <w:szCs w:val="16"/>
              </w:rPr>
              <w:t>-</w:t>
            </w:r>
          </w:p>
        </w:tc>
        <w:tc>
          <w:tcPr>
            <w:tcW w:w="425" w:type="dxa"/>
            <w:shd w:val="solid" w:color="FFFFFF" w:fill="auto"/>
          </w:tcPr>
          <w:p w14:paraId="474704E7" w14:textId="70F10287"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0A93F9B2" w14:textId="7E126A0B" w:rsidR="008546A1" w:rsidRPr="00873B6C" w:rsidRDefault="008546A1" w:rsidP="000040FE">
            <w:pPr>
              <w:pStyle w:val="TAL"/>
              <w:rPr>
                <w:sz w:val="16"/>
                <w:szCs w:val="16"/>
              </w:rPr>
            </w:pPr>
            <w:r w:rsidRPr="00873B6C">
              <w:rPr>
                <w:sz w:val="16"/>
                <w:szCs w:val="16"/>
              </w:rPr>
              <w:t>Terminology correction</w:t>
            </w:r>
          </w:p>
        </w:tc>
        <w:tc>
          <w:tcPr>
            <w:tcW w:w="708" w:type="dxa"/>
            <w:shd w:val="solid" w:color="FFFFFF" w:fill="auto"/>
          </w:tcPr>
          <w:p w14:paraId="69DEEB17" w14:textId="5EDC32D4" w:rsidR="008546A1" w:rsidRPr="00873B6C" w:rsidRDefault="008546A1" w:rsidP="000040FE">
            <w:pPr>
              <w:pStyle w:val="TAC"/>
              <w:rPr>
                <w:sz w:val="16"/>
                <w:szCs w:val="16"/>
              </w:rPr>
            </w:pPr>
            <w:r w:rsidRPr="00873B6C">
              <w:rPr>
                <w:sz w:val="16"/>
                <w:szCs w:val="16"/>
              </w:rPr>
              <w:t>17.2.0</w:t>
            </w:r>
          </w:p>
        </w:tc>
      </w:tr>
      <w:tr w:rsidR="008546A1" w:rsidRPr="00873B6C" w14:paraId="7426346B" w14:textId="77777777" w:rsidTr="009D14FB">
        <w:tc>
          <w:tcPr>
            <w:tcW w:w="800" w:type="dxa"/>
            <w:shd w:val="solid" w:color="FFFFFF" w:fill="auto"/>
          </w:tcPr>
          <w:p w14:paraId="39AFE96C" w14:textId="78B5D6E4"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C9A9C18" w14:textId="7301E9ED"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4262FF9D" w14:textId="7A2D7EB1" w:rsidR="008546A1" w:rsidRPr="00873B6C" w:rsidRDefault="008546A1" w:rsidP="000040FE">
            <w:pPr>
              <w:pStyle w:val="TAC"/>
              <w:rPr>
                <w:sz w:val="16"/>
                <w:szCs w:val="16"/>
              </w:rPr>
            </w:pPr>
            <w:r w:rsidRPr="00873B6C">
              <w:rPr>
                <w:sz w:val="16"/>
                <w:szCs w:val="16"/>
              </w:rPr>
              <w:t>SP-210929</w:t>
            </w:r>
          </w:p>
        </w:tc>
        <w:tc>
          <w:tcPr>
            <w:tcW w:w="567" w:type="dxa"/>
            <w:shd w:val="solid" w:color="FFFFFF" w:fill="auto"/>
          </w:tcPr>
          <w:p w14:paraId="6AF4FB08" w14:textId="7438E133" w:rsidR="008546A1" w:rsidRPr="00873B6C" w:rsidRDefault="008546A1" w:rsidP="000040FE">
            <w:pPr>
              <w:pStyle w:val="TAL"/>
              <w:rPr>
                <w:sz w:val="16"/>
                <w:szCs w:val="16"/>
              </w:rPr>
            </w:pPr>
            <w:r w:rsidRPr="00873B6C">
              <w:rPr>
                <w:sz w:val="16"/>
                <w:szCs w:val="16"/>
              </w:rPr>
              <w:t>3198</w:t>
            </w:r>
          </w:p>
        </w:tc>
        <w:tc>
          <w:tcPr>
            <w:tcW w:w="425" w:type="dxa"/>
            <w:shd w:val="solid" w:color="FFFFFF" w:fill="auto"/>
          </w:tcPr>
          <w:p w14:paraId="534F494E" w14:textId="1B81C5D4"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23BC28A7" w14:textId="765D9917" w:rsidR="008546A1" w:rsidRPr="00873B6C" w:rsidRDefault="008546A1" w:rsidP="000040FE">
            <w:pPr>
              <w:pStyle w:val="TAL"/>
              <w:rPr>
                <w:sz w:val="16"/>
                <w:szCs w:val="16"/>
              </w:rPr>
            </w:pPr>
            <w:r w:rsidRPr="00873B6C">
              <w:rPr>
                <w:sz w:val="16"/>
                <w:szCs w:val="16"/>
              </w:rPr>
              <w:t>C</w:t>
            </w:r>
          </w:p>
        </w:tc>
        <w:tc>
          <w:tcPr>
            <w:tcW w:w="4820" w:type="dxa"/>
            <w:shd w:val="solid" w:color="FFFFFF" w:fill="auto"/>
          </w:tcPr>
          <w:p w14:paraId="0470570D" w14:textId="0EBF4A0D" w:rsidR="008546A1" w:rsidRPr="00873B6C" w:rsidRDefault="008546A1" w:rsidP="000040FE">
            <w:pPr>
              <w:pStyle w:val="TAL"/>
              <w:rPr>
                <w:sz w:val="16"/>
                <w:szCs w:val="16"/>
              </w:rPr>
            </w:pPr>
            <w:r w:rsidRPr="00873B6C">
              <w:rPr>
                <w:sz w:val="16"/>
                <w:szCs w:val="16"/>
              </w:rPr>
              <w:t>Correcting the residence time calculation for the delay measurements</w:t>
            </w:r>
          </w:p>
        </w:tc>
        <w:tc>
          <w:tcPr>
            <w:tcW w:w="708" w:type="dxa"/>
            <w:shd w:val="solid" w:color="FFFFFF" w:fill="auto"/>
          </w:tcPr>
          <w:p w14:paraId="64C85308" w14:textId="176ADBDD" w:rsidR="008546A1" w:rsidRPr="00873B6C" w:rsidRDefault="008546A1" w:rsidP="000040FE">
            <w:pPr>
              <w:pStyle w:val="TAC"/>
              <w:rPr>
                <w:sz w:val="16"/>
                <w:szCs w:val="16"/>
              </w:rPr>
            </w:pPr>
            <w:r w:rsidRPr="00873B6C">
              <w:rPr>
                <w:sz w:val="16"/>
                <w:szCs w:val="16"/>
              </w:rPr>
              <w:t>17.2.0</w:t>
            </w:r>
          </w:p>
        </w:tc>
      </w:tr>
      <w:tr w:rsidR="008546A1" w:rsidRPr="00873B6C" w14:paraId="2DC57E0D" w14:textId="77777777" w:rsidTr="009D14FB">
        <w:tc>
          <w:tcPr>
            <w:tcW w:w="800" w:type="dxa"/>
            <w:shd w:val="solid" w:color="FFFFFF" w:fill="auto"/>
          </w:tcPr>
          <w:p w14:paraId="72E3F0C0" w14:textId="0C818E25"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D97F834" w14:textId="6136D79D"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3A199F82" w14:textId="7C5E76DB" w:rsidR="008546A1" w:rsidRPr="00873B6C" w:rsidRDefault="008546A1" w:rsidP="000040FE">
            <w:pPr>
              <w:pStyle w:val="TAC"/>
              <w:rPr>
                <w:sz w:val="16"/>
                <w:szCs w:val="16"/>
              </w:rPr>
            </w:pPr>
            <w:r w:rsidRPr="00873B6C">
              <w:rPr>
                <w:sz w:val="16"/>
                <w:szCs w:val="16"/>
              </w:rPr>
              <w:t>SP-210916</w:t>
            </w:r>
          </w:p>
        </w:tc>
        <w:tc>
          <w:tcPr>
            <w:tcW w:w="567" w:type="dxa"/>
            <w:shd w:val="solid" w:color="FFFFFF" w:fill="auto"/>
          </w:tcPr>
          <w:p w14:paraId="0409160C" w14:textId="65D87AEA" w:rsidR="008546A1" w:rsidRPr="00873B6C" w:rsidRDefault="008546A1" w:rsidP="000040FE">
            <w:pPr>
              <w:pStyle w:val="TAL"/>
              <w:rPr>
                <w:sz w:val="16"/>
                <w:szCs w:val="16"/>
              </w:rPr>
            </w:pPr>
            <w:r w:rsidRPr="00873B6C">
              <w:rPr>
                <w:sz w:val="16"/>
                <w:szCs w:val="16"/>
              </w:rPr>
              <w:t>3199</w:t>
            </w:r>
          </w:p>
        </w:tc>
        <w:tc>
          <w:tcPr>
            <w:tcW w:w="425" w:type="dxa"/>
            <w:shd w:val="solid" w:color="FFFFFF" w:fill="auto"/>
          </w:tcPr>
          <w:p w14:paraId="6B9F7956" w14:textId="68919489"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5FFED42C" w14:textId="6D74C9BC"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4E1E869B" w14:textId="3415DFDF" w:rsidR="008546A1" w:rsidRPr="00873B6C" w:rsidRDefault="008546A1" w:rsidP="000040FE">
            <w:pPr>
              <w:pStyle w:val="TAL"/>
              <w:rPr>
                <w:sz w:val="16"/>
                <w:szCs w:val="16"/>
              </w:rPr>
            </w:pPr>
            <w:r w:rsidRPr="00873B6C">
              <w:rPr>
                <w:sz w:val="16"/>
                <w:szCs w:val="16"/>
              </w:rPr>
              <w:t>SMF subscribes Satellite backhaul category backhaul change from AMF</w:t>
            </w:r>
          </w:p>
        </w:tc>
        <w:tc>
          <w:tcPr>
            <w:tcW w:w="708" w:type="dxa"/>
            <w:shd w:val="solid" w:color="FFFFFF" w:fill="auto"/>
          </w:tcPr>
          <w:p w14:paraId="041ED45C" w14:textId="32970F32" w:rsidR="008546A1" w:rsidRPr="00873B6C" w:rsidRDefault="008546A1" w:rsidP="000040FE">
            <w:pPr>
              <w:pStyle w:val="TAC"/>
              <w:rPr>
                <w:sz w:val="16"/>
                <w:szCs w:val="16"/>
              </w:rPr>
            </w:pPr>
            <w:r w:rsidRPr="00873B6C">
              <w:rPr>
                <w:sz w:val="16"/>
                <w:szCs w:val="16"/>
              </w:rPr>
              <w:t>17.2.0</w:t>
            </w:r>
          </w:p>
        </w:tc>
      </w:tr>
      <w:tr w:rsidR="008546A1" w:rsidRPr="00873B6C" w14:paraId="2643ACDA" w14:textId="77777777" w:rsidTr="009D14FB">
        <w:tc>
          <w:tcPr>
            <w:tcW w:w="800" w:type="dxa"/>
            <w:shd w:val="solid" w:color="FFFFFF" w:fill="auto"/>
          </w:tcPr>
          <w:p w14:paraId="202ABE2B" w14:textId="0D4ADDAC"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2CE3E35" w14:textId="0C26C4FD"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5D352EC6" w14:textId="79604620" w:rsidR="008546A1" w:rsidRPr="00873B6C" w:rsidRDefault="008546A1" w:rsidP="000040FE">
            <w:pPr>
              <w:pStyle w:val="TAC"/>
              <w:rPr>
                <w:sz w:val="16"/>
                <w:szCs w:val="16"/>
              </w:rPr>
            </w:pPr>
            <w:r w:rsidRPr="00873B6C">
              <w:rPr>
                <w:sz w:val="16"/>
                <w:szCs w:val="16"/>
              </w:rPr>
              <w:t>SP-210925</w:t>
            </w:r>
          </w:p>
        </w:tc>
        <w:tc>
          <w:tcPr>
            <w:tcW w:w="567" w:type="dxa"/>
            <w:shd w:val="solid" w:color="FFFFFF" w:fill="auto"/>
          </w:tcPr>
          <w:p w14:paraId="5C50529F" w14:textId="777C264A" w:rsidR="008546A1" w:rsidRPr="00873B6C" w:rsidRDefault="008546A1" w:rsidP="000040FE">
            <w:pPr>
              <w:pStyle w:val="TAL"/>
              <w:rPr>
                <w:sz w:val="16"/>
                <w:szCs w:val="16"/>
              </w:rPr>
            </w:pPr>
            <w:r w:rsidRPr="00873B6C">
              <w:rPr>
                <w:sz w:val="16"/>
                <w:szCs w:val="16"/>
              </w:rPr>
              <w:t>3201</w:t>
            </w:r>
          </w:p>
        </w:tc>
        <w:tc>
          <w:tcPr>
            <w:tcW w:w="425" w:type="dxa"/>
            <w:shd w:val="solid" w:color="FFFFFF" w:fill="auto"/>
          </w:tcPr>
          <w:p w14:paraId="107E7ECC" w14:textId="554FD65E"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5FD31433" w14:textId="09F496A8" w:rsidR="008546A1" w:rsidRPr="00873B6C" w:rsidRDefault="008546A1" w:rsidP="000040FE">
            <w:pPr>
              <w:pStyle w:val="TAL"/>
              <w:rPr>
                <w:sz w:val="16"/>
                <w:szCs w:val="16"/>
              </w:rPr>
            </w:pPr>
            <w:r w:rsidRPr="00873B6C">
              <w:rPr>
                <w:sz w:val="16"/>
                <w:szCs w:val="16"/>
              </w:rPr>
              <w:t>B</w:t>
            </w:r>
          </w:p>
        </w:tc>
        <w:tc>
          <w:tcPr>
            <w:tcW w:w="4820" w:type="dxa"/>
            <w:shd w:val="solid" w:color="FFFFFF" w:fill="auto"/>
          </w:tcPr>
          <w:p w14:paraId="3FBADC4B" w14:textId="63410609" w:rsidR="008546A1" w:rsidRPr="00873B6C" w:rsidRDefault="008546A1" w:rsidP="000040FE">
            <w:pPr>
              <w:pStyle w:val="TAL"/>
              <w:rPr>
                <w:sz w:val="16"/>
                <w:szCs w:val="16"/>
              </w:rPr>
            </w:pPr>
            <w:r w:rsidRPr="00873B6C">
              <w:rPr>
                <w:sz w:val="16"/>
                <w:szCs w:val="16"/>
              </w:rPr>
              <w:t>Completion of NSAC per access type</w:t>
            </w:r>
          </w:p>
        </w:tc>
        <w:tc>
          <w:tcPr>
            <w:tcW w:w="708" w:type="dxa"/>
            <w:shd w:val="solid" w:color="FFFFFF" w:fill="auto"/>
          </w:tcPr>
          <w:p w14:paraId="7EA1F512" w14:textId="3068295F" w:rsidR="008546A1" w:rsidRPr="00873B6C" w:rsidRDefault="008546A1" w:rsidP="000040FE">
            <w:pPr>
              <w:pStyle w:val="TAC"/>
              <w:rPr>
                <w:sz w:val="16"/>
                <w:szCs w:val="16"/>
              </w:rPr>
            </w:pPr>
            <w:r w:rsidRPr="00873B6C">
              <w:rPr>
                <w:sz w:val="16"/>
                <w:szCs w:val="16"/>
              </w:rPr>
              <w:t>17.2.0</w:t>
            </w:r>
          </w:p>
        </w:tc>
      </w:tr>
      <w:tr w:rsidR="008546A1" w:rsidRPr="00873B6C" w14:paraId="240AE0B6" w14:textId="77777777" w:rsidTr="009D14FB">
        <w:tc>
          <w:tcPr>
            <w:tcW w:w="800" w:type="dxa"/>
            <w:shd w:val="solid" w:color="FFFFFF" w:fill="auto"/>
          </w:tcPr>
          <w:p w14:paraId="54B792E0" w14:textId="505B5C84"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18A79A1" w14:textId="5BF908D8"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5868CD02" w14:textId="11DD6FE9" w:rsidR="008546A1" w:rsidRPr="00873B6C" w:rsidRDefault="008546A1" w:rsidP="000040FE">
            <w:pPr>
              <w:pStyle w:val="TAC"/>
              <w:rPr>
                <w:sz w:val="16"/>
                <w:szCs w:val="16"/>
              </w:rPr>
            </w:pPr>
            <w:r w:rsidRPr="00873B6C">
              <w:rPr>
                <w:sz w:val="16"/>
                <w:szCs w:val="16"/>
              </w:rPr>
              <w:t>SP-210911</w:t>
            </w:r>
          </w:p>
        </w:tc>
        <w:tc>
          <w:tcPr>
            <w:tcW w:w="567" w:type="dxa"/>
            <w:shd w:val="solid" w:color="FFFFFF" w:fill="auto"/>
          </w:tcPr>
          <w:p w14:paraId="478DB66B" w14:textId="55B63680" w:rsidR="008546A1" w:rsidRPr="00873B6C" w:rsidRDefault="008546A1" w:rsidP="000040FE">
            <w:pPr>
              <w:pStyle w:val="TAL"/>
              <w:rPr>
                <w:sz w:val="16"/>
                <w:szCs w:val="16"/>
              </w:rPr>
            </w:pPr>
            <w:r w:rsidRPr="00873B6C">
              <w:rPr>
                <w:sz w:val="16"/>
                <w:szCs w:val="16"/>
              </w:rPr>
              <w:t>3204</w:t>
            </w:r>
          </w:p>
        </w:tc>
        <w:tc>
          <w:tcPr>
            <w:tcW w:w="425" w:type="dxa"/>
            <w:shd w:val="solid" w:color="FFFFFF" w:fill="auto"/>
          </w:tcPr>
          <w:p w14:paraId="229C07E8" w14:textId="564DA193" w:rsidR="008546A1" w:rsidRPr="00873B6C" w:rsidRDefault="008546A1" w:rsidP="000040FE">
            <w:pPr>
              <w:pStyle w:val="TAL"/>
              <w:rPr>
                <w:sz w:val="16"/>
                <w:szCs w:val="16"/>
              </w:rPr>
            </w:pPr>
            <w:r w:rsidRPr="00873B6C">
              <w:rPr>
                <w:sz w:val="16"/>
                <w:szCs w:val="16"/>
              </w:rPr>
              <w:t>2</w:t>
            </w:r>
          </w:p>
        </w:tc>
        <w:tc>
          <w:tcPr>
            <w:tcW w:w="425" w:type="dxa"/>
            <w:shd w:val="solid" w:color="FFFFFF" w:fill="auto"/>
          </w:tcPr>
          <w:p w14:paraId="56E80B5F" w14:textId="5606A18C" w:rsidR="008546A1" w:rsidRPr="00873B6C" w:rsidRDefault="008546A1" w:rsidP="000040FE">
            <w:pPr>
              <w:pStyle w:val="TAL"/>
              <w:rPr>
                <w:sz w:val="16"/>
                <w:szCs w:val="16"/>
              </w:rPr>
            </w:pPr>
            <w:r w:rsidRPr="00873B6C">
              <w:rPr>
                <w:sz w:val="16"/>
                <w:szCs w:val="16"/>
              </w:rPr>
              <w:t>A</w:t>
            </w:r>
          </w:p>
        </w:tc>
        <w:tc>
          <w:tcPr>
            <w:tcW w:w="4820" w:type="dxa"/>
            <w:shd w:val="solid" w:color="FFFFFF" w:fill="auto"/>
          </w:tcPr>
          <w:p w14:paraId="1F092F47" w14:textId="0D95F3B3" w:rsidR="008546A1" w:rsidRPr="00873B6C" w:rsidRDefault="008546A1" w:rsidP="000040FE">
            <w:pPr>
              <w:pStyle w:val="TAL"/>
              <w:rPr>
                <w:sz w:val="16"/>
                <w:szCs w:val="16"/>
              </w:rPr>
            </w:pPr>
            <w:r w:rsidRPr="00873B6C">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873B6C" w:rsidRDefault="008546A1" w:rsidP="000040FE">
            <w:pPr>
              <w:pStyle w:val="TAC"/>
              <w:rPr>
                <w:sz w:val="16"/>
                <w:szCs w:val="16"/>
              </w:rPr>
            </w:pPr>
            <w:r w:rsidRPr="00873B6C">
              <w:rPr>
                <w:sz w:val="16"/>
                <w:szCs w:val="16"/>
              </w:rPr>
              <w:t>17.2.0</w:t>
            </w:r>
          </w:p>
        </w:tc>
      </w:tr>
      <w:tr w:rsidR="008546A1" w:rsidRPr="00873B6C" w14:paraId="6C22822A" w14:textId="77777777" w:rsidTr="009D14FB">
        <w:tc>
          <w:tcPr>
            <w:tcW w:w="800" w:type="dxa"/>
            <w:shd w:val="solid" w:color="FFFFFF" w:fill="auto"/>
          </w:tcPr>
          <w:p w14:paraId="42BE797C" w14:textId="02E8671E" w:rsidR="008546A1" w:rsidRPr="00873B6C" w:rsidRDefault="008546A1" w:rsidP="000040FE">
            <w:pPr>
              <w:pStyle w:val="TAC"/>
              <w:rPr>
                <w:sz w:val="16"/>
                <w:szCs w:val="16"/>
              </w:rPr>
            </w:pPr>
            <w:r w:rsidRPr="00873B6C">
              <w:rPr>
                <w:sz w:val="16"/>
                <w:szCs w:val="16"/>
              </w:rPr>
              <w:lastRenderedPageBreak/>
              <w:t>2021-09</w:t>
            </w:r>
          </w:p>
        </w:tc>
        <w:tc>
          <w:tcPr>
            <w:tcW w:w="800" w:type="dxa"/>
            <w:shd w:val="solid" w:color="FFFFFF" w:fill="auto"/>
          </w:tcPr>
          <w:p w14:paraId="20476324" w14:textId="28C8A611"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6DB30E6D" w14:textId="34D1D457" w:rsidR="008546A1" w:rsidRPr="00873B6C" w:rsidRDefault="008546A1" w:rsidP="000040FE">
            <w:pPr>
              <w:pStyle w:val="TAC"/>
              <w:rPr>
                <w:sz w:val="16"/>
                <w:szCs w:val="16"/>
              </w:rPr>
            </w:pPr>
            <w:r w:rsidRPr="00873B6C">
              <w:rPr>
                <w:sz w:val="16"/>
                <w:szCs w:val="16"/>
              </w:rPr>
              <w:t>SP-210903</w:t>
            </w:r>
          </w:p>
        </w:tc>
        <w:tc>
          <w:tcPr>
            <w:tcW w:w="567" w:type="dxa"/>
            <w:shd w:val="solid" w:color="FFFFFF" w:fill="auto"/>
          </w:tcPr>
          <w:p w14:paraId="093D6E34" w14:textId="00B24DA4" w:rsidR="008546A1" w:rsidRPr="00873B6C" w:rsidRDefault="008546A1" w:rsidP="000040FE">
            <w:pPr>
              <w:pStyle w:val="TAL"/>
              <w:rPr>
                <w:sz w:val="16"/>
                <w:szCs w:val="16"/>
              </w:rPr>
            </w:pPr>
            <w:r w:rsidRPr="00873B6C">
              <w:rPr>
                <w:sz w:val="16"/>
                <w:szCs w:val="16"/>
              </w:rPr>
              <w:t>3208</w:t>
            </w:r>
          </w:p>
        </w:tc>
        <w:tc>
          <w:tcPr>
            <w:tcW w:w="425" w:type="dxa"/>
            <w:shd w:val="solid" w:color="FFFFFF" w:fill="auto"/>
          </w:tcPr>
          <w:p w14:paraId="14B96515" w14:textId="24093318" w:rsidR="008546A1" w:rsidRPr="00873B6C" w:rsidRDefault="008546A1" w:rsidP="000040FE">
            <w:pPr>
              <w:pStyle w:val="TAL"/>
              <w:rPr>
                <w:sz w:val="16"/>
                <w:szCs w:val="16"/>
              </w:rPr>
            </w:pPr>
            <w:r w:rsidRPr="00873B6C">
              <w:rPr>
                <w:sz w:val="16"/>
                <w:szCs w:val="16"/>
              </w:rPr>
              <w:t>-</w:t>
            </w:r>
          </w:p>
        </w:tc>
        <w:tc>
          <w:tcPr>
            <w:tcW w:w="425" w:type="dxa"/>
            <w:shd w:val="solid" w:color="FFFFFF" w:fill="auto"/>
          </w:tcPr>
          <w:p w14:paraId="2767A634" w14:textId="01C58D32" w:rsidR="008546A1" w:rsidRPr="00873B6C" w:rsidRDefault="008546A1" w:rsidP="000040FE">
            <w:pPr>
              <w:pStyle w:val="TAL"/>
              <w:rPr>
                <w:sz w:val="16"/>
                <w:szCs w:val="16"/>
              </w:rPr>
            </w:pPr>
            <w:r w:rsidRPr="00873B6C">
              <w:rPr>
                <w:sz w:val="16"/>
                <w:szCs w:val="16"/>
              </w:rPr>
              <w:t>A</w:t>
            </w:r>
          </w:p>
        </w:tc>
        <w:tc>
          <w:tcPr>
            <w:tcW w:w="4820" w:type="dxa"/>
            <w:shd w:val="solid" w:color="FFFFFF" w:fill="auto"/>
          </w:tcPr>
          <w:p w14:paraId="4E5FEEFC" w14:textId="63404CDE" w:rsidR="008546A1" w:rsidRPr="00873B6C" w:rsidRDefault="008546A1" w:rsidP="000040FE">
            <w:pPr>
              <w:pStyle w:val="TAL"/>
              <w:rPr>
                <w:sz w:val="16"/>
                <w:szCs w:val="16"/>
              </w:rPr>
            </w:pPr>
            <w:r w:rsidRPr="00873B6C">
              <w:rPr>
                <w:sz w:val="16"/>
                <w:szCs w:val="16"/>
              </w:rPr>
              <w:t>Correction of N26 message relaying between S1 and N26 messages</w:t>
            </w:r>
          </w:p>
        </w:tc>
        <w:tc>
          <w:tcPr>
            <w:tcW w:w="708" w:type="dxa"/>
            <w:shd w:val="solid" w:color="FFFFFF" w:fill="auto"/>
          </w:tcPr>
          <w:p w14:paraId="51600812" w14:textId="0CC2A648" w:rsidR="008546A1" w:rsidRPr="00873B6C" w:rsidRDefault="008546A1" w:rsidP="000040FE">
            <w:pPr>
              <w:pStyle w:val="TAC"/>
              <w:rPr>
                <w:sz w:val="16"/>
                <w:szCs w:val="16"/>
              </w:rPr>
            </w:pPr>
            <w:r w:rsidRPr="00873B6C">
              <w:rPr>
                <w:sz w:val="16"/>
                <w:szCs w:val="16"/>
              </w:rPr>
              <w:t>17.2.0</w:t>
            </w:r>
          </w:p>
        </w:tc>
      </w:tr>
      <w:tr w:rsidR="008546A1" w:rsidRPr="00873B6C" w14:paraId="0DDEF57E" w14:textId="77777777" w:rsidTr="009D14FB">
        <w:tc>
          <w:tcPr>
            <w:tcW w:w="800" w:type="dxa"/>
            <w:shd w:val="solid" w:color="FFFFFF" w:fill="auto"/>
          </w:tcPr>
          <w:p w14:paraId="5DC405FE" w14:textId="3D7C981F"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4426DB8E" w14:textId="6FE4C3B0"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21C1C136" w14:textId="4691C3F6" w:rsidR="008546A1" w:rsidRPr="00873B6C" w:rsidRDefault="008546A1" w:rsidP="000040FE">
            <w:pPr>
              <w:pStyle w:val="TAC"/>
              <w:rPr>
                <w:sz w:val="16"/>
                <w:szCs w:val="16"/>
              </w:rPr>
            </w:pPr>
            <w:r w:rsidRPr="00873B6C">
              <w:rPr>
                <w:sz w:val="16"/>
                <w:szCs w:val="16"/>
              </w:rPr>
              <w:t>SP-210933</w:t>
            </w:r>
          </w:p>
        </w:tc>
        <w:tc>
          <w:tcPr>
            <w:tcW w:w="567" w:type="dxa"/>
            <w:shd w:val="solid" w:color="FFFFFF" w:fill="auto"/>
          </w:tcPr>
          <w:p w14:paraId="211DFA4D" w14:textId="28037596" w:rsidR="008546A1" w:rsidRPr="00873B6C" w:rsidRDefault="008546A1" w:rsidP="000040FE">
            <w:pPr>
              <w:pStyle w:val="TAL"/>
              <w:rPr>
                <w:sz w:val="16"/>
                <w:szCs w:val="16"/>
              </w:rPr>
            </w:pPr>
            <w:r w:rsidRPr="00873B6C">
              <w:rPr>
                <w:sz w:val="16"/>
                <w:szCs w:val="16"/>
              </w:rPr>
              <w:t>3209</w:t>
            </w:r>
          </w:p>
        </w:tc>
        <w:tc>
          <w:tcPr>
            <w:tcW w:w="425" w:type="dxa"/>
            <w:shd w:val="solid" w:color="FFFFFF" w:fill="auto"/>
          </w:tcPr>
          <w:p w14:paraId="161832F8" w14:textId="75334581"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39680326" w14:textId="1CB6DACA" w:rsidR="008546A1" w:rsidRPr="00873B6C" w:rsidRDefault="008546A1" w:rsidP="000040FE">
            <w:pPr>
              <w:pStyle w:val="TAL"/>
              <w:rPr>
                <w:sz w:val="16"/>
                <w:szCs w:val="16"/>
              </w:rPr>
            </w:pPr>
            <w:r w:rsidRPr="00873B6C">
              <w:rPr>
                <w:sz w:val="16"/>
                <w:szCs w:val="16"/>
              </w:rPr>
              <w:t>C</w:t>
            </w:r>
          </w:p>
        </w:tc>
        <w:tc>
          <w:tcPr>
            <w:tcW w:w="4820" w:type="dxa"/>
            <w:shd w:val="solid" w:color="FFFFFF" w:fill="auto"/>
          </w:tcPr>
          <w:p w14:paraId="664DA557" w14:textId="0C11609B" w:rsidR="008546A1" w:rsidRPr="00873B6C" w:rsidRDefault="008546A1" w:rsidP="000040FE">
            <w:pPr>
              <w:pStyle w:val="TAL"/>
              <w:rPr>
                <w:sz w:val="16"/>
                <w:szCs w:val="16"/>
              </w:rPr>
            </w:pPr>
            <w:r w:rsidRPr="00873B6C">
              <w:rPr>
                <w:sz w:val="16"/>
                <w:szCs w:val="16"/>
              </w:rPr>
              <w:t>Extended DRX for NR (RedCap)</w:t>
            </w:r>
          </w:p>
        </w:tc>
        <w:tc>
          <w:tcPr>
            <w:tcW w:w="708" w:type="dxa"/>
            <w:shd w:val="solid" w:color="FFFFFF" w:fill="auto"/>
          </w:tcPr>
          <w:p w14:paraId="4BCCE0F5" w14:textId="01F118C5" w:rsidR="008546A1" w:rsidRPr="00873B6C" w:rsidRDefault="008546A1" w:rsidP="000040FE">
            <w:pPr>
              <w:pStyle w:val="TAC"/>
              <w:rPr>
                <w:sz w:val="16"/>
                <w:szCs w:val="16"/>
              </w:rPr>
            </w:pPr>
            <w:r w:rsidRPr="00873B6C">
              <w:rPr>
                <w:sz w:val="16"/>
                <w:szCs w:val="16"/>
              </w:rPr>
              <w:t>17.2.0</w:t>
            </w:r>
          </w:p>
        </w:tc>
      </w:tr>
      <w:tr w:rsidR="008546A1" w:rsidRPr="00873B6C" w14:paraId="257F1E08" w14:textId="77777777" w:rsidTr="009D14FB">
        <w:tc>
          <w:tcPr>
            <w:tcW w:w="800" w:type="dxa"/>
            <w:shd w:val="solid" w:color="FFFFFF" w:fill="auto"/>
          </w:tcPr>
          <w:p w14:paraId="56699ECE" w14:textId="18AFD23B"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CFE16A9" w14:textId="2C20D330"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2AB8125C" w14:textId="0920A698" w:rsidR="008546A1" w:rsidRPr="00873B6C" w:rsidRDefault="008546A1" w:rsidP="000040FE">
            <w:pPr>
              <w:pStyle w:val="TAC"/>
              <w:rPr>
                <w:sz w:val="16"/>
                <w:szCs w:val="16"/>
              </w:rPr>
            </w:pPr>
            <w:r w:rsidRPr="00873B6C">
              <w:rPr>
                <w:sz w:val="16"/>
                <w:szCs w:val="16"/>
              </w:rPr>
              <w:t>SP-210915</w:t>
            </w:r>
          </w:p>
        </w:tc>
        <w:tc>
          <w:tcPr>
            <w:tcW w:w="567" w:type="dxa"/>
            <w:shd w:val="solid" w:color="FFFFFF" w:fill="auto"/>
          </w:tcPr>
          <w:p w14:paraId="72A51967" w14:textId="04379A6F" w:rsidR="008546A1" w:rsidRPr="00873B6C" w:rsidRDefault="008546A1" w:rsidP="000040FE">
            <w:pPr>
              <w:pStyle w:val="TAL"/>
              <w:rPr>
                <w:sz w:val="16"/>
                <w:szCs w:val="16"/>
              </w:rPr>
            </w:pPr>
            <w:r w:rsidRPr="00873B6C">
              <w:rPr>
                <w:sz w:val="16"/>
                <w:szCs w:val="16"/>
              </w:rPr>
              <w:t>3213</w:t>
            </w:r>
          </w:p>
        </w:tc>
        <w:tc>
          <w:tcPr>
            <w:tcW w:w="425" w:type="dxa"/>
            <w:shd w:val="solid" w:color="FFFFFF" w:fill="auto"/>
          </w:tcPr>
          <w:p w14:paraId="42CC7748" w14:textId="0ED75729"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3908F087" w14:textId="49B36547"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2700500C" w14:textId="185F1D45" w:rsidR="008546A1" w:rsidRPr="00873B6C" w:rsidRDefault="008546A1" w:rsidP="000040FE">
            <w:pPr>
              <w:pStyle w:val="TAL"/>
              <w:rPr>
                <w:sz w:val="16"/>
                <w:szCs w:val="16"/>
              </w:rPr>
            </w:pPr>
            <w:r w:rsidRPr="00873B6C">
              <w:rPr>
                <w:sz w:val="16"/>
                <w:szCs w:val="16"/>
              </w:rPr>
              <w:t>Update Reference architecture with UPF SBI</w:t>
            </w:r>
          </w:p>
        </w:tc>
        <w:tc>
          <w:tcPr>
            <w:tcW w:w="708" w:type="dxa"/>
            <w:shd w:val="solid" w:color="FFFFFF" w:fill="auto"/>
          </w:tcPr>
          <w:p w14:paraId="520BB081" w14:textId="35BCA23D" w:rsidR="008546A1" w:rsidRPr="00873B6C" w:rsidRDefault="008546A1" w:rsidP="000040FE">
            <w:pPr>
              <w:pStyle w:val="TAC"/>
              <w:rPr>
                <w:sz w:val="16"/>
                <w:szCs w:val="16"/>
              </w:rPr>
            </w:pPr>
            <w:r w:rsidRPr="00873B6C">
              <w:rPr>
                <w:sz w:val="16"/>
                <w:szCs w:val="16"/>
              </w:rPr>
              <w:t>17.2.0</w:t>
            </w:r>
          </w:p>
        </w:tc>
      </w:tr>
      <w:tr w:rsidR="008546A1" w:rsidRPr="00873B6C" w14:paraId="2F7CB158" w14:textId="77777777" w:rsidTr="009D14FB">
        <w:tc>
          <w:tcPr>
            <w:tcW w:w="800" w:type="dxa"/>
            <w:shd w:val="solid" w:color="FFFFFF" w:fill="auto"/>
          </w:tcPr>
          <w:p w14:paraId="0A3AE42D" w14:textId="5DAC3D55"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10503B43" w14:textId="33B9C0D8"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70FE338E" w14:textId="2F89365E" w:rsidR="008546A1" w:rsidRPr="00873B6C" w:rsidRDefault="008546A1" w:rsidP="000040FE">
            <w:pPr>
              <w:pStyle w:val="TAC"/>
              <w:rPr>
                <w:sz w:val="16"/>
                <w:szCs w:val="16"/>
              </w:rPr>
            </w:pPr>
            <w:r w:rsidRPr="00873B6C">
              <w:rPr>
                <w:sz w:val="16"/>
                <w:szCs w:val="16"/>
              </w:rPr>
              <w:t>SP-210925</w:t>
            </w:r>
          </w:p>
        </w:tc>
        <w:tc>
          <w:tcPr>
            <w:tcW w:w="567" w:type="dxa"/>
            <w:shd w:val="solid" w:color="FFFFFF" w:fill="auto"/>
          </w:tcPr>
          <w:p w14:paraId="630CD3F5" w14:textId="2441D159" w:rsidR="008546A1" w:rsidRPr="00873B6C" w:rsidRDefault="008546A1" w:rsidP="000040FE">
            <w:pPr>
              <w:pStyle w:val="TAL"/>
              <w:rPr>
                <w:sz w:val="16"/>
                <w:szCs w:val="16"/>
              </w:rPr>
            </w:pPr>
            <w:r w:rsidRPr="00873B6C">
              <w:rPr>
                <w:sz w:val="16"/>
                <w:szCs w:val="16"/>
              </w:rPr>
              <w:t>3220</w:t>
            </w:r>
          </w:p>
        </w:tc>
        <w:tc>
          <w:tcPr>
            <w:tcW w:w="425" w:type="dxa"/>
            <w:shd w:val="solid" w:color="FFFFFF" w:fill="auto"/>
          </w:tcPr>
          <w:p w14:paraId="7E2C4421" w14:textId="526F2CA6"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033E95EF" w14:textId="357E34B4"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130AB3B0" w14:textId="5AD5BE8B" w:rsidR="008546A1" w:rsidRPr="00873B6C" w:rsidRDefault="008546A1" w:rsidP="000040FE">
            <w:pPr>
              <w:pStyle w:val="TAL"/>
              <w:rPr>
                <w:sz w:val="16"/>
                <w:szCs w:val="16"/>
              </w:rPr>
            </w:pPr>
            <w:r w:rsidRPr="00873B6C">
              <w:rPr>
                <w:sz w:val="16"/>
                <w:szCs w:val="16"/>
              </w:rPr>
              <w:t>NSAC procedure in EPS when APN maps to more than one S-NSSAI.</w:t>
            </w:r>
          </w:p>
        </w:tc>
        <w:tc>
          <w:tcPr>
            <w:tcW w:w="708" w:type="dxa"/>
            <w:shd w:val="solid" w:color="FFFFFF" w:fill="auto"/>
          </w:tcPr>
          <w:p w14:paraId="1C9C33D2" w14:textId="6E2B7DF1" w:rsidR="008546A1" w:rsidRPr="00873B6C" w:rsidRDefault="008546A1" w:rsidP="000040FE">
            <w:pPr>
              <w:pStyle w:val="TAC"/>
              <w:rPr>
                <w:sz w:val="16"/>
                <w:szCs w:val="16"/>
              </w:rPr>
            </w:pPr>
            <w:r w:rsidRPr="00873B6C">
              <w:rPr>
                <w:sz w:val="16"/>
                <w:szCs w:val="16"/>
              </w:rPr>
              <w:t>17.2.0</w:t>
            </w:r>
          </w:p>
        </w:tc>
      </w:tr>
      <w:tr w:rsidR="008546A1" w:rsidRPr="00873B6C" w14:paraId="4F5AB270" w14:textId="77777777" w:rsidTr="009D14FB">
        <w:tc>
          <w:tcPr>
            <w:tcW w:w="800" w:type="dxa"/>
            <w:shd w:val="solid" w:color="FFFFFF" w:fill="auto"/>
          </w:tcPr>
          <w:p w14:paraId="4035EE94" w14:textId="657C5404"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700E8073" w14:textId="6DB01BC8"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7762B010" w14:textId="04E34365" w:rsidR="008546A1" w:rsidRPr="00873B6C" w:rsidRDefault="008546A1" w:rsidP="000040FE">
            <w:pPr>
              <w:pStyle w:val="TAC"/>
              <w:rPr>
                <w:sz w:val="16"/>
                <w:szCs w:val="16"/>
              </w:rPr>
            </w:pPr>
            <w:r w:rsidRPr="00873B6C">
              <w:rPr>
                <w:sz w:val="16"/>
                <w:szCs w:val="16"/>
              </w:rPr>
              <w:t>SP-210915</w:t>
            </w:r>
          </w:p>
        </w:tc>
        <w:tc>
          <w:tcPr>
            <w:tcW w:w="567" w:type="dxa"/>
            <w:shd w:val="solid" w:color="FFFFFF" w:fill="auto"/>
          </w:tcPr>
          <w:p w14:paraId="2009526C" w14:textId="6267D404" w:rsidR="008546A1" w:rsidRPr="00873B6C" w:rsidRDefault="008546A1" w:rsidP="000040FE">
            <w:pPr>
              <w:pStyle w:val="TAL"/>
              <w:rPr>
                <w:sz w:val="16"/>
                <w:szCs w:val="16"/>
              </w:rPr>
            </w:pPr>
            <w:r w:rsidRPr="00873B6C">
              <w:rPr>
                <w:sz w:val="16"/>
                <w:szCs w:val="16"/>
              </w:rPr>
              <w:t>3222</w:t>
            </w:r>
          </w:p>
        </w:tc>
        <w:tc>
          <w:tcPr>
            <w:tcW w:w="425" w:type="dxa"/>
            <w:shd w:val="solid" w:color="FFFFFF" w:fill="auto"/>
          </w:tcPr>
          <w:p w14:paraId="20ABAF69" w14:textId="074110F6" w:rsidR="008546A1" w:rsidRPr="00873B6C" w:rsidRDefault="008546A1" w:rsidP="000040FE">
            <w:pPr>
              <w:pStyle w:val="TAL"/>
              <w:rPr>
                <w:sz w:val="16"/>
                <w:szCs w:val="16"/>
              </w:rPr>
            </w:pPr>
            <w:r w:rsidRPr="00873B6C">
              <w:rPr>
                <w:sz w:val="16"/>
                <w:szCs w:val="16"/>
              </w:rPr>
              <w:t>-</w:t>
            </w:r>
          </w:p>
        </w:tc>
        <w:tc>
          <w:tcPr>
            <w:tcW w:w="425" w:type="dxa"/>
            <w:shd w:val="solid" w:color="FFFFFF" w:fill="auto"/>
          </w:tcPr>
          <w:p w14:paraId="75750F21" w14:textId="03EC9F34" w:rsidR="008546A1" w:rsidRPr="00873B6C" w:rsidRDefault="008546A1" w:rsidP="000040FE">
            <w:pPr>
              <w:pStyle w:val="TAL"/>
              <w:rPr>
                <w:sz w:val="16"/>
                <w:szCs w:val="16"/>
              </w:rPr>
            </w:pPr>
            <w:r w:rsidRPr="00873B6C">
              <w:rPr>
                <w:sz w:val="16"/>
                <w:szCs w:val="16"/>
              </w:rPr>
              <w:t xml:space="preserve">F </w:t>
            </w:r>
          </w:p>
        </w:tc>
        <w:tc>
          <w:tcPr>
            <w:tcW w:w="4820" w:type="dxa"/>
            <w:shd w:val="solid" w:color="FFFFFF" w:fill="auto"/>
          </w:tcPr>
          <w:p w14:paraId="26D269D7" w14:textId="62F0EA61" w:rsidR="008546A1" w:rsidRPr="00873B6C" w:rsidRDefault="008546A1" w:rsidP="000040FE">
            <w:pPr>
              <w:pStyle w:val="TAL"/>
              <w:rPr>
                <w:sz w:val="16"/>
                <w:szCs w:val="16"/>
              </w:rPr>
            </w:pPr>
            <w:r w:rsidRPr="00873B6C">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873B6C" w:rsidRDefault="008546A1" w:rsidP="000040FE">
            <w:pPr>
              <w:pStyle w:val="TAC"/>
              <w:rPr>
                <w:sz w:val="16"/>
                <w:szCs w:val="16"/>
              </w:rPr>
            </w:pPr>
            <w:r w:rsidRPr="00873B6C">
              <w:rPr>
                <w:sz w:val="16"/>
                <w:szCs w:val="16"/>
              </w:rPr>
              <w:t>17.2.0</w:t>
            </w:r>
          </w:p>
        </w:tc>
      </w:tr>
      <w:tr w:rsidR="008546A1" w:rsidRPr="00873B6C" w14:paraId="52F70EB7" w14:textId="77777777" w:rsidTr="009D14FB">
        <w:tc>
          <w:tcPr>
            <w:tcW w:w="800" w:type="dxa"/>
            <w:shd w:val="solid" w:color="FFFFFF" w:fill="auto"/>
          </w:tcPr>
          <w:p w14:paraId="3ECD59AE" w14:textId="6AFC5F3D"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66F637C8" w14:textId="6EDEA26A"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0EC6F01E" w14:textId="4BC8B528" w:rsidR="008546A1" w:rsidRPr="00873B6C" w:rsidRDefault="008546A1" w:rsidP="000040FE">
            <w:pPr>
              <w:pStyle w:val="TAC"/>
              <w:rPr>
                <w:sz w:val="16"/>
                <w:szCs w:val="16"/>
              </w:rPr>
            </w:pPr>
            <w:r w:rsidRPr="00873B6C">
              <w:rPr>
                <w:sz w:val="16"/>
                <w:szCs w:val="16"/>
              </w:rPr>
              <w:t>SP-210932</w:t>
            </w:r>
          </w:p>
        </w:tc>
        <w:tc>
          <w:tcPr>
            <w:tcW w:w="567" w:type="dxa"/>
            <w:shd w:val="solid" w:color="FFFFFF" w:fill="auto"/>
          </w:tcPr>
          <w:p w14:paraId="00F65710" w14:textId="2B6AE08B" w:rsidR="008546A1" w:rsidRPr="00873B6C" w:rsidRDefault="008546A1" w:rsidP="000040FE">
            <w:pPr>
              <w:pStyle w:val="TAL"/>
              <w:rPr>
                <w:sz w:val="16"/>
                <w:szCs w:val="16"/>
              </w:rPr>
            </w:pPr>
            <w:r w:rsidRPr="00873B6C">
              <w:rPr>
                <w:sz w:val="16"/>
                <w:szCs w:val="16"/>
              </w:rPr>
              <w:t>3228</w:t>
            </w:r>
          </w:p>
        </w:tc>
        <w:tc>
          <w:tcPr>
            <w:tcW w:w="425" w:type="dxa"/>
            <w:shd w:val="solid" w:color="FFFFFF" w:fill="auto"/>
          </w:tcPr>
          <w:p w14:paraId="0576C214" w14:textId="0FCAE096" w:rsidR="008546A1" w:rsidRPr="00873B6C" w:rsidRDefault="008546A1" w:rsidP="000040FE">
            <w:pPr>
              <w:pStyle w:val="TAL"/>
              <w:rPr>
                <w:sz w:val="16"/>
                <w:szCs w:val="16"/>
              </w:rPr>
            </w:pPr>
            <w:r w:rsidRPr="00873B6C">
              <w:rPr>
                <w:sz w:val="16"/>
                <w:szCs w:val="16"/>
              </w:rPr>
              <w:t>-</w:t>
            </w:r>
          </w:p>
        </w:tc>
        <w:tc>
          <w:tcPr>
            <w:tcW w:w="425" w:type="dxa"/>
            <w:shd w:val="solid" w:color="FFFFFF" w:fill="auto"/>
          </w:tcPr>
          <w:p w14:paraId="380034C3" w14:textId="0095AF23"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7AF4E45A" w14:textId="21B1CC53" w:rsidR="008546A1" w:rsidRPr="00873B6C" w:rsidRDefault="008546A1" w:rsidP="000040FE">
            <w:pPr>
              <w:pStyle w:val="TAL"/>
              <w:rPr>
                <w:sz w:val="16"/>
                <w:szCs w:val="16"/>
              </w:rPr>
            </w:pPr>
            <w:r w:rsidRPr="00873B6C">
              <w:rPr>
                <w:sz w:val="16"/>
                <w:szCs w:val="16"/>
              </w:rPr>
              <w:t>Clarification related to access type</w:t>
            </w:r>
          </w:p>
        </w:tc>
        <w:tc>
          <w:tcPr>
            <w:tcW w:w="708" w:type="dxa"/>
            <w:shd w:val="solid" w:color="FFFFFF" w:fill="auto"/>
          </w:tcPr>
          <w:p w14:paraId="1FE94489" w14:textId="307183BE" w:rsidR="008546A1" w:rsidRPr="00873B6C" w:rsidRDefault="008546A1" w:rsidP="000040FE">
            <w:pPr>
              <w:pStyle w:val="TAC"/>
              <w:rPr>
                <w:sz w:val="16"/>
                <w:szCs w:val="16"/>
              </w:rPr>
            </w:pPr>
            <w:r w:rsidRPr="00873B6C">
              <w:rPr>
                <w:sz w:val="16"/>
                <w:szCs w:val="16"/>
              </w:rPr>
              <w:t>17.2.0</w:t>
            </w:r>
          </w:p>
        </w:tc>
      </w:tr>
      <w:tr w:rsidR="00C60901" w:rsidRPr="00873B6C" w14:paraId="164B6345" w14:textId="77777777" w:rsidTr="009D14FB">
        <w:tc>
          <w:tcPr>
            <w:tcW w:w="800" w:type="dxa"/>
            <w:shd w:val="solid" w:color="FFFFFF" w:fill="auto"/>
          </w:tcPr>
          <w:p w14:paraId="0DAE04D3" w14:textId="652C1911" w:rsidR="00C60901" w:rsidRPr="00873B6C" w:rsidRDefault="00C60901" w:rsidP="000040FE">
            <w:pPr>
              <w:pStyle w:val="TAC"/>
              <w:rPr>
                <w:sz w:val="16"/>
                <w:szCs w:val="16"/>
              </w:rPr>
            </w:pPr>
            <w:r w:rsidRPr="00873B6C">
              <w:rPr>
                <w:sz w:val="16"/>
                <w:szCs w:val="16"/>
              </w:rPr>
              <w:t>2021-09</w:t>
            </w:r>
          </w:p>
        </w:tc>
        <w:tc>
          <w:tcPr>
            <w:tcW w:w="800" w:type="dxa"/>
            <w:shd w:val="solid" w:color="FFFFFF" w:fill="auto"/>
          </w:tcPr>
          <w:p w14:paraId="67FBC9DF" w14:textId="67CA9A8F" w:rsidR="00C60901" w:rsidRPr="00873B6C" w:rsidRDefault="00C60901" w:rsidP="000040FE">
            <w:pPr>
              <w:pStyle w:val="TAL"/>
              <w:rPr>
                <w:sz w:val="16"/>
                <w:szCs w:val="16"/>
              </w:rPr>
            </w:pPr>
            <w:r w:rsidRPr="00873B6C">
              <w:rPr>
                <w:sz w:val="16"/>
                <w:szCs w:val="16"/>
              </w:rPr>
              <w:t>SP#93E</w:t>
            </w:r>
          </w:p>
        </w:tc>
        <w:tc>
          <w:tcPr>
            <w:tcW w:w="1094" w:type="dxa"/>
            <w:shd w:val="solid" w:color="FFFFFF" w:fill="auto"/>
          </w:tcPr>
          <w:p w14:paraId="417C6B32" w14:textId="4065DDE4" w:rsidR="00C60901" w:rsidRPr="00873B6C" w:rsidRDefault="00C60901" w:rsidP="000040FE">
            <w:pPr>
              <w:pStyle w:val="TAC"/>
              <w:rPr>
                <w:sz w:val="16"/>
                <w:szCs w:val="16"/>
              </w:rPr>
            </w:pPr>
            <w:r w:rsidRPr="00873B6C">
              <w:rPr>
                <w:sz w:val="16"/>
                <w:szCs w:val="16"/>
              </w:rPr>
              <w:t>SP-210915</w:t>
            </w:r>
          </w:p>
        </w:tc>
        <w:tc>
          <w:tcPr>
            <w:tcW w:w="567" w:type="dxa"/>
            <w:shd w:val="solid" w:color="FFFFFF" w:fill="auto"/>
          </w:tcPr>
          <w:p w14:paraId="5D292851" w14:textId="704CC13A" w:rsidR="00C60901" w:rsidRPr="00873B6C" w:rsidRDefault="00C60901" w:rsidP="000040FE">
            <w:pPr>
              <w:pStyle w:val="TAL"/>
              <w:rPr>
                <w:sz w:val="16"/>
                <w:szCs w:val="16"/>
              </w:rPr>
            </w:pPr>
            <w:r w:rsidRPr="00873B6C">
              <w:rPr>
                <w:sz w:val="16"/>
                <w:szCs w:val="16"/>
              </w:rPr>
              <w:t>3230</w:t>
            </w:r>
          </w:p>
        </w:tc>
        <w:tc>
          <w:tcPr>
            <w:tcW w:w="425" w:type="dxa"/>
            <w:shd w:val="solid" w:color="FFFFFF" w:fill="auto"/>
          </w:tcPr>
          <w:p w14:paraId="0EFC8C63" w14:textId="00F65A0F" w:rsidR="00C60901" w:rsidRPr="00873B6C" w:rsidRDefault="00C60901" w:rsidP="000040FE">
            <w:pPr>
              <w:pStyle w:val="TAL"/>
              <w:rPr>
                <w:sz w:val="16"/>
                <w:szCs w:val="16"/>
              </w:rPr>
            </w:pPr>
            <w:r w:rsidRPr="00873B6C">
              <w:rPr>
                <w:sz w:val="16"/>
                <w:szCs w:val="16"/>
              </w:rPr>
              <w:t>1</w:t>
            </w:r>
          </w:p>
        </w:tc>
        <w:tc>
          <w:tcPr>
            <w:tcW w:w="425" w:type="dxa"/>
            <w:shd w:val="solid" w:color="FFFFFF" w:fill="auto"/>
          </w:tcPr>
          <w:p w14:paraId="09A26718" w14:textId="6F044E4B" w:rsidR="00C60901" w:rsidRPr="00873B6C" w:rsidRDefault="00C60901" w:rsidP="000040FE">
            <w:pPr>
              <w:pStyle w:val="TAL"/>
              <w:rPr>
                <w:sz w:val="16"/>
                <w:szCs w:val="16"/>
              </w:rPr>
            </w:pPr>
            <w:r w:rsidRPr="00873B6C">
              <w:rPr>
                <w:sz w:val="16"/>
                <w:szCs w:val="16"/>
              </w:rPr>
              <w:t>F</w:t>
            </w:r>
          </w:p>
        </w:tc>
        <w:tc>
          <w:tcPr>
            <w:tcW w:w="4820" w:type="dxa"/>
            <w:shd w:val="solid" w:color="FFFFFF" w:fill="auto"/>
          </w:tcPr>
          <w:p w14:paraId="3659AEE1" w14:textId="1637B351" w:rsidR="00C60901" w:rsidRPr="00873B6C" w:rsidRDefault="00C60901" w:rsidP="000040FE">
            <w:pPr>
              <w:pStyle w:val="TAL"/>
              <w:rPr>
                <w:sz w:val="16"/>
                <w:szCs w:val="16"/>
              </w:rPr>
            </w:pPr>
            <w:r w:rsidRPr="00873B6C">
              <w:rPr>
                <w:sz w:val="16"/>
                <w:szCs w:val="16"/>
              </w:rPr>
              <w:t>Overlapping LADN Service area</w:t>
            </w:r>
          </w:p>
        </w:tc>
        <w:tc>
          <w:tcPr>
            <w:tcW w:w="708" w:type="dxa"/>
            <w:shd w:val="solid" w:color="FFFFFF" w:fill="auto"/>
          </w:tcPr>
          <w:p w14:paraId="2996B931" w14:textId="570ACF51" w:rsidR="00C60901" w:rsidRPr="00873B6C" w:rsidRDefault="00C60901" w:rsidP="000040FE">
            <w:pPr>
              <w:pStyle w:val="TAC"/>
              <w:rPr>
                <w:sz w:val="16"/>
                <w:szCs w:val="16"/>
              </w:rPr>
            </w:pPr>
            <w:r w:rsidRPr="00873B6C">
              <w:rPr>
                <w:sz w:val="16"/>
                <w:szCs w:val="16"/>
              </w:rPr>
              <w:t>17.2.0</w:t>
            </w:r>
          </w:p>
        </w:tc>
      </w:tr>
      <w:tr w:rsidR="00C60901" w:rsidRPr="00873B6C" w14:paraId="095D5528" w14:textId="77777777" w:rsidTr="009D14FB">
        <w:tc>
          <w:tcPr>
            <w:tcW w:w="800" w:type="dxa"/>
            <w:shd w:val="solid" w:color="FFFFFF" w:fill="auto"/>
          </w:tcPr>
          <w:p w14:paraId="268CD391" w14:textId="5C988C30" w:rsidR="00C60901" w:rsidRPr="00873B6C" w:rsidRDefault="00C60901" w:rsidP="000040FE">
            <w:pPr>
              <w:pStyle w:val="TAC"/>
              <w:rPr>
                <w:sz w:val="16"/>
                <w:szCs w:val="16"/>
              </w:rPr>
            </w:pPr>
            <w:r w:rsidRPr="00873B6C">
              <w:rPr>
                <w:sz w:val="16"/>
                <w:szCs w:val="16"/>
              </w:rPr>
              <w:t>2021-09</w:t>
            </w:r>
          </w:p>
        </w:tc>
        <w:tc>
          <w:tcPr>
            <w:tcW w:w="800" w:type="dxa"/>
            <w:shd w:val="solid" w:color="FFFFFF" w:fill="auto"/>
          </w:tcPr>
          <w:p w14:paraId="039D31EE" w14:textId="6346F12A" w:rsidR="00C60901" w:rsidRPr="00873B6C" w:rsidRDefault="00C60901" w:rsidP="000040FE">
            <w:pPr>
              <w:pStyle w:val="TAL"/>
              <w:rPr>
                <w:sz w:val="16"/>
                <w:szCs w:val="16"/>
              </w:rPr>
            </w:pPr>
            <w:r w:rsidRPr="00873B6C">
              <w:rPr>
                <w:sz w:val="16"/>
                <w:szCs w:val="16"/>
              </w:rPr>
              <w:t>SP#93E</w:t>
            </w:r>
          </w:p>
        </w:tc>
        <w:tc>
          <w:tcPr>
            <w:tcW w:w="1094" w:type="dxa"/>
            <w:shd w:val="solid" w:color="FFFFFF" w:fill="auto"/>
          </w:tcPr>
          <w:p w14:paraId="4091192E" w14:textId="02E9BC13" w:rsidR="00C60901" w:rsidRPr="00873B6C" w:rsidRDefault="00C60901" w:rsidP="000040FE">
            <w:pPr>
              <w:pStyle w:val="TAC"/>
              <w:rPr>
                <w:sz w:val="16"/>
                <w:szCs w:val="16"/>
              </w:rPr>
            </w:pPr>
            <w:r w:rsidRPr="00873B6C">
              <w:rPr>
                <w:sz w:val="16"/>
                <w:szCs w:val="16"/>
              </w:rPr>
              <w:t>SP-210911</w:t>
            </w:r>
          </w:p>
        </w:tc>
        <w:tc>
          <w:tcPr>
            <w:tcW w:w="567" w:type="dxa"/>
            <w:shd w:val="solid" w:color="FFFFFF" w:fill="auto"/>
          </w:tcPr>
          <w:p w14:paraId="197FC983" w14:textId="16B53915" w:rsidR="00C60901" w:rsidRPr="00873B6C" w:rsidRDefault="00C60901" w:rsidP="000040FE">
            <w:pPr>
              <w:pStyle w:val="TAL"/>
              <w:rPr>
                <w:sz w:val="16"/>
                <w:szCs w:val="16"/>
              </w:rPr>
            </w:pPr>
            <w:r w:rsidRPr="00873B6C">
              <w:rPr>
                <w:sz w:val="16"/>
                <w:szCs w:val="16"/>
              </w:rPr>
              <w:t>3231</w:t>
            </w:r>
          </w:p>
        </w:tc>
        <w:tc>
          <w:tcPr>
            <w:tcW w:w="425" w:type="dxa"/>
            <w:shd w:val="solid" w:color="FFFFFF" w:fill="auto"/>
          </w:tcPr>
          <w:p w14:paraId="56626B39" w14:textId="72B1D918" w:rsidR="00C60901" w:rsidRPr="00873B6C" w:rsidRDefault="00C60901" w:rsidP="000040FE">
            <w:pPr>
              <w:pStyle w:val="TAL"/>
              <w:rPr>
                <w:sz w:val="16"/>
                <w:szCs w:val="16"/>
              </w:rPr>
            </w:pPr>
            <w:r w:rsidRPr="00873B6C">
              <w:rPr>
                <w:sz w:val="16"/>
                <w:szCs w:val="16"/>
              </w:rPr>
              <w:t>-</w:t>
            </w:r>
          </w:p>
        </w:tc>
        <w:tc>
          <w:tcPr>
            <w:tcW w:w="425" w:type="dxa"/>
            <w:shd w:val="solid" w:color="FFFFFF" w:fill="auto"/>
          </w:tcPr>
          <w:p w14:paraId="18B8523C" w14:textId="290D0392" w:rsidR="00C60901" w:rsidRPr="00873B6C" w:rsidRDefault="00C60901" w:rsidP="000040FE">
            <w:pPr>
              <w:pStyle w:val="TAL"/>
              <w:rPr>
                <w:sz w:val="16"/>
                <w:szCs w:val="16"/>
              </w:rPr>
            </w:pPr>
            <w:r w:rsidRPr="00873B6C">
              <w:rPr>
                <w:sz w:val="16"/>
                <w:szCs w:val="16"/>
              </w:rPr>
              <w:t>A</w:t>
            </w:r>
          </w:p>
        </w:tc>
        <w:tc>
          <w:tcPr>
            <w:tcW w:w="4820" w:type="dxa"/>
            <w:shd w:val="solid" w:color="FFFFFF" w:fill="auto"/>
          </w:tcPr>
          <w:p w14:paraId="72378A2E" w14:textId="2C9812CF" w:rsidR="00C60901" w:rsidRPr="00873B6C" w:rsidRDefault="00C60901" w:rsidP="000040FE">
            <w:pPr>
              <w:pStyle w:val="TAL"/>
              <w:rPr>
                <w:sz w:val="16"/>
                <w:szCs w:val="16"/>
              </w:rPr>
            </w:pPr>
            <w:r w:rsidRPr="00873B6C">
              <w:rPr>
                <w:sz w:val="16"/>
                <w:szCs w:val="16"/>
              </w:rPr>
              <w:t>Clarification on support of CAG in SNPN</w:t>
            </w:r>
          </w:p>
        </w:tc>
        <w:tc>
          <w:tcPr>
            <w:tcW w:w="708" w:type="dxa"/>
            <w:shd w:val="solid" w:color="FFFFFF" w:fill="auto"/>
          </w:tcPr>
          <w:p w14:paraId="57BD045D" w14:textId="65D4B562" w:rsidR="00C60901" w:rsidRPr="00873B6C" w:rsidRDefault="00C60901" w:rsidP="000040FE">
            <w:pPr>
              <w:pStyle w:val="TAC"/>
              <w:rPr>
                <w:sz w:val="16"/>
                <w:szCs w:val="16"/>
              </w:rPr>
            </w:pPr>
            <w:r w:rsidRPr="00873B6C">
              <w:rPr>
                <w:sz w:val="16"/>
                <w:szCs w:val="16"/>
              </w:rPr>
              <w:t>17.2.0</w:t>
            </w:r>
          </w:p>
        </w:tc>
      </w:tr>
      <w:tr w:rsidR="00C60901" w:rsidRPr="00873B6C" w14:paraId="33D6C1A6" w14:textId="77777777" w:rsidTr="009D14FB">
        <w:tc>
          <w:tcPr>
            <w:tcW w:w="800" w:type="dxa"/>
            <w:shd w:val="solid" w:color="FFFFFF" w:fill="auto"/>
          </w:tcPr>
          <w:p w14:paraId="63C5C1AF" w14:textId="50CFC203" w:rsidR="00C60901" w:rsidRPr="00873B6C" w:rsidRDefault="00C60901" w:rsidP="000040FE">
            <w:pPr>
              <w:pStyle w:val="TAC"/>
              <w:rPr>
                <w:sz w:val="16"/>
                <w:szCs w:val="16"/>
              </w:rPr>
            </w:pPr>
            <w:r w:rsidRPr="00873B6C">
              <w:rPr>
                <w:sz w:val="16"/>
                <w:szCs w:val="16"/>
              </w:rPr>
              <w:t>2021-09</w:t>
            </w:r>
          </w:p>
        </w:tc>
        <w:tc>
          <w:tcPr>
            <w:tcW w:w="800" w:type="dxa"/>
            <w:shd w:val="solid" w:color="FFFFFF" w:fill="auto"/>
          </w:tcPr>
          <w:p w14:paraId="34A4435F" w14:textId="4D52DC95" w:rsidR="00C60901" w:rsidRPr="00873B6C" w:rsidRDefault="00C60901" w:rsidP="000040FE">
            <w:pPr>
              <w:pStyle w:val="TAL"/>
              <w:rPr>
                <w:sz w:val="16"/>
                <w:szCs w:val="16"/>
              </w:rPr>
            </w:pPr>
            <w:r w:rsidRPr="00873B6C">
              <w:rPr>
                <w:sz w:val="16"/>
                <w:szCs w:val="16"/>
              </w:rPr>
              <w:t>SP#93E</w:t>
            </w:r>
          </w:p>
        </w:tc>
        <w:tc>
          <w:tcPr>
            <w:tcW w:w="1094" w:type="dxa"/>
            <w:shd w:val="solid" w:color="FFFFFF" w:fill="auto"/>
          </w:tcPr>
          <w:p w14:paraId="1CB96376" w14:textId="05C872EC" w:rsidR="00C60901" w:rsidRPr="00873B6C" w:rsidRDefault="00C60901" w:rsidP="000040FE">
            <w:pPr>
              <w:pStyle w:val="TAC"/>
              <w:rPr>
                <w:sz w:val="16"/>
                <w:szCs w:val="16"/>
              </w:rPr>
            </w:pPr>
            <w:r w:rsidRPr="00873B6C">
              <w:rPr>
                <w:sz w:val="16"/>
                <w:szCs w:val="16"/>
              </w:rPr>
              <w:t>SP-210925</w:t>
            </w:r>
          </w:p>
        </w:tc>
        <w:tc>
          <w:tcPr>
            <w:tcW w:w="567" w:type="dxa"/>
            <w:shd w:val="solid" w:color="FFFFFF" w:fill="auto"/>
          </w:tcPr>
          <w:p w14:paraId="0F297871" w14:textId="1C11D672" w:rsidR="00C60901" w:rsidRPr="00873B6C" w:rsidRDefault="00C60901" w:rsidP="000040FE">
            <w:pPr>
              <w:pStyle w:val="TAL"/>
              <w:rPr>
                <w:sz w:val="16"/>
                <w:szCs w:val="16"/>
              </w:rPr>
            </w:pPr>
            <w:r w:rsidRPr="00873B6C">
              <w:rPr>
                <w:sz w:val="16"/>
                <w:szCs w:val="16"/>
              </w:rPr>
              <w:t>3232</w:t>
            </w:r>
          </w:p>
        </w:tc>
        <w:tc>
          <w:tcPr>
            <w:tcW w:w="425" w:type="dxa"/>
            <w:shd w:val="solid" w:color="FFFFFF" w:fill="auto"/>
          </w:tcPr>
          <w:p w14:paraId="44FE40F8" w14:textId="43AEFC76" w:rsidR="00C60901" w:rsidRPr="00873B6C" w:rsidRDefault="00C60901" w:rsidP="000040FE">
            <w:pPr>
              <w:pStyle w:val="TAL"/>
              <w:rPr>
                <w:sz w:val="16"/>
                <w:szCs w:val="16"/>
              </w:rPr>
            </w:pPr>
            <w:r w:rsidRPr="00873B6C">
              <w:rPr>
                <w:sz w:val="16"/>
                <w:szCs w:val="16"/>
              </w:rPr>
              <w:t>-</w:t>
            </w:r>
          </w:p>
        </w:tc>
        <w:tc>
          <w:tcPr>
            <w:tcW w:w="425" w:type="dxa"/>
            <w:shd w:val="solid" w:color="FFFFFF" w:fill="auto"/>
          </w:tcPr>
          <w:p w14:paraId="690F5397" w14:textId="546F45FB" w:rsidR="00C60901" w:rsidRPr="00873B6C" w:rsidRDefault="00C60901" w:rsidP="000040FE">
            <w:pPr>
              <w:pStyle w:val="TAL"/>
              <w:rPr>
                <w:sz w:val="16"/>
                <w:szCs w:val="16"/>
              </w:rPr>
            </w:pPr>
            <w:r w:rsidRPr="00873B6C">
              <w:rPr>
                <w:sz w:val="16"/>
                <w:szCs w:val="16"/>
              </w:rPr>
              <w:t>F</w:t>
            </w:r>
          </w:p>
        </w:tc>
        <w:tc>
          <w:tcPr>
            <w:tcW w:w="4820" w:type="dxa"/>
            <w:shd w:val="solid" w:color="FFFFFF" w:fill="auto"/>
          </w:tcPr>
          <w:p w14:paraId="0C06BE78" w14:textId="64D9F12E" w:rsidR="00C60901" w:rsidRPr="00873B6C" w:rsidRDefault="00C60901" w:rsidP="000040FE">
            <w:pPr>
              <w:pStyle w:val="TAL"/>
              <w:rPr>
                <w:sz w:val="16"/>
                <w:szCs w:val="16"/>
              </w:rPr>
            </w:pPr>
            <w:r w:rsidRPr="00873B6C">
              <w:rPr>
                <w:sz w:val="16"/>
                <w:szCs w:val="16"/>
              </w:rPr>
              <w:t>clarification on S-NSSAI mapping</w:t>
            </w:r>
          </w:p>
        </w:tc>
        <w:tc>
          <w:tcPr>
            <w:tcW w:w="708" w:type="dxa"/>
            <w:shd w:val="solid" w:color="FFFFFF" w:fill="auto"/>
          </w:tcPr>
          <w:p w14:paraId="79C5C9AC" w14:textId="78D74315" w:rsidR="00C60901" w:rsidRPr="00873B6C" w:rsidRDefault="00C60901" w:rsidP="000040FE">
            <w:pPr>
              <w:pStyle w:val="TAC"/>
              <w:rPr>
                <w:sz w:val="16"/>
                <w:szCs w:val="16"/>
              </w:rPr>
            </w:pPr>
            <w:r w:rsidRPr="00873B6C">
              <w:rPr>
                <w:sz w:val="16"/>
                <w:szCs w:val="16"/>
              </w:rPr>
              <w:t>17.2.0</w:t>
            </w:r>
          </w:p>
        </w:tc>
      </w:tr>
      <w:tr w:rsidR="00700DBF" w:rsidRPr="00873B6C" w14:paraId="755DABA4" w14:textId="77777777" w:rsidTr="009D14FB">
        <w:tc>
          <w:tcPr>
            <w:tcW w:w="800" w:type="dxa"/>
            <w:shd w:val="solid" w:color="FFFFFF" w:fill="auto"/>
          </w:tcPr>
          <w:p w14:paraId="78D5B015" w14:textId="67BB24A1" w:rsidR="00700DBF" w:rsidRPr="00873B6C" w:rsidRDefault="00700DBF" w:rsidP="000040FE">
            <w:pPr>
              <w:pStyle w:val="TAC"/>
              <w:rPr>
                <w:sz w:val="16"/>
                <w:szCs w:val="16"/>
              </w:rPr>
            </w:pPr>
            <w:r w:rsidRPr="00873B6C">
              <w:rPr>
                <w:sz w:val="16"/>
                <w:szCs w:val="16"/>
              </w:rPr>
              <w:t>2021-12</w:t>
            </w:r>
          </w:p>
        </w:tc>
        <w:tc>
          <w:tcPr>
            <w:tcW w:w="800" w:type="dxa"/>
            <w:shd w:val="solid" w:color="FFFFFF" w:fill="auto"/>
          </w:tcPr>
          <w:p w14:paraId="38D1098B" w14:textId="6C723AD3" w:rsidR="00700DBF" w:rsidRPr="00873B6C" w:rsidRDefault="00700DBF" w:rsidP="000040FE">
            <w:pPr>
              <w:pStyle w:val="TAL"/>
              <w:rPr>
                <w:sz w:val="16"/>
                <w:szCs w:val="16"/>
              </w:rPr>
            </w:pPr>
            <w:r w:rsidRPr="00873B6C">
              <w:rPr>
                <w:sz w:val="16"/>
                <w:szCs w:val="16"/>
              </w:rPr>
              <w:t>SP#94E</w:t>
            </w:r>
          </w:p>
        </w:tc>
        <w:tc>
          <w:tcPr>
            <w:tcW w:w="1094" w:type="dxa"/>
            <w:shd w:val="solid" w:color="FFFFFF" w:fill="auto"/>
          </w:tcPr>
          <w:p w14:paraId="4667F356" w14:textId="28E373DD" w:rsidR="00700DBF" w:rsidRPr="00873B6C" w:rsidRDefault="00700DBF" w:rsidP="000040FE">
            <w:pPr>
              <w:pStyle w:val="TAC"/>
              <w:rPr>
                <w:sz w:val="16"/>
                <w:szCs w:val="16"/>
              </w:rPr>
            </w:pPr>
            <w:r w:rsidRPr="00873B6C">
              <w:rPr>
                <w:sz w:val="16"/>
                <w:szCs w:val="16"/>
              </w:rPr>
              <w:t>SP-211289</w:t>
            </w:r>
          </w:p>
        </w:tc>
        <w:tc>
          <w:tcPr>
            <w:tcW w:w="567" w:type="dxa"/>
            <w:shd w:val="solid" w:color="FFFFFF" w:fill="auto"/>
          </w:tcPr>
          <w:p w14:paraId="1CEEFBEB" w14:textId="2232D561" w:rsidR="00700DBF" w:rsidRPr="00873B6C" w:rsidRDefault="00700DBF" w:rsidP="000040FE">
            <w:pPr>
              <w:pStyle w:val="TAL"/>
              <w:rPr>
                <w:sz w:val="16"/>
                <w:szCs w:val="16"/>
              </w:rPr>
            </w:pPr>
            <w:r w:rsidRPr="00873B6C">
              <w:rPr>
                <w:sz w:val="16"/>
                <w:szCs w:val="16"/>
              </w:rPr>
              <w:t>2385</w:t>
            </w:r>
          </w:p>
        </w:tc>
        <w:tc>
          <w:tcPr>
            <w:tcW w:w="425" w:type="dxa"/>
            <w:shd w:val="solid" w:color="FFFFFF" w:fill="auto"/>
          </w:tcPr>
          <w:p w14:paraId="17431966" w14:textId="4BF11DB6" w:rsidR="00700DBF" w:rsidRPr="00873B6C" w:rsidRDefault="00700DBF" w:rsidP="000040FE">
            <w:pPr>
              <w:pStyle w:val="TAL"/>
              <w:rPr>
                <w:sz w:val="16"/>
                <w:szCs w:val="16"/>
              </w:rPr>
            </w:pPr>
            <w:r w:rsidRPr="00873B6C">
              <w:rPr>
                <w:sz w:val="16"/>
                <w:szCs w:val="16"/>
              </w:rPr>
              <w:t>8</w:t>
            </w:r>
          </w:p>
        </w:tc>
        <w:tc>
          <w:tcPr>
            <w:tcW w:w="425" w:type="dxa"/>
            <w:shd w:val="solid" w:color="FFFFFF" w:fill="auto"/>
          </w:tcPr>
          <w:p w14:paraId="04322C49" w14:textId="33EF26FA" w:rsidR="00700DBF" w:rsidRPr="00873B6C" w:rsidRDefault="00700DBF" w:rsidP="000040FE">
            <w:pPr>
              <w:pStyle w:val="TAL"/>
              <w:rPr>
                <w:sz w:val="16"/>
                <w:szCs w:val="16"/>
              </w:rPr>
            </w:pPr>
            <w:r w:rsidRPr="00873B6C">
              <w:rPr>
                <w:sz w:val="16"/>
                <w:szCs w:val="16"/>
              </w:rPr>
              <w:t>C</w:t>
            </w:r>
          </w:p>
        </w:tc>
        <w:tc>
          <w:tcPr>
            <w:tcW w:w="4820" w:type="dxa"/>
            <w:shd w:val="solid" w:color="FFFFFF" w:fill="auto"/>
          </w:tcPr>
          <w:p w14:paraId="13D991E9" w14:textId="23BE4F77" w:rsidR="00700DBF" w:rsidRPr="00873B6C" w:rsidRDefault="00700DBF" w:rsidP="000040FE">
            <w:pPr>
              <w:pStyle w:val="TAL"/>
              <w:rPr>
                <w:sz w:val="16"/>
                <w:szCs w:val="16"/>
              </w:rPr>
            </w:pPr>
            <w:r w:rsidRPr="00873B6C">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873B6C" w:rsidRDefault="00700DBF" w:rsidP="000040FE">
            <w:pPr>
              <w:pStyle w:val="TAC"/>
              <w:rPr>
                <w:sz w:val="16"/>
                <w:szCs w:val="16"/>
              </w:rPr>
            </w:pPr>
            <w:r w:rsidRPr="00873B6C">
              <w:rPr>
                <w:sz w:val="16"/>
                <w:szCs w:val="16"/>
              </w:rPr>
              <w:t>17.3.0</w:t>
            </w:r>
          </w:p>
        </w:tc>
      </w:tr>
      <w:tr w:rsidR="00700DBF" w:rsidRPr="00873B6C" w14:paraId="1EAEC224" w14:textId="77777777" w:rsidTr="009D14FB">
        <w:tc>
          <w:tcPr>
            <w:tcW w:w="800" w:type="dxa"/>
            <w:shd w:val="solid" w:color="FFFFFF" w:fill="auto"/>
          </w:tcPr>
          <w:p w14:paraId="1FAB5BF7" w14:textId="315AA909" w:rsidR="00700DBF" w:rsidRPr="00873B6C" w:rsidRDefault="00700DBF" w:rsidP="000040FE">
            <w:pPr>
              <w:pStyle w:val="TAC"/>
              <w:rPr>
                <w:sz w:val="16"/>
                <w:szCs w:val="16"/>
              </w:rPr>
            </w:pPr>
            <w:r w:rsidRPr="00873B6C">
              <w:rPr>
                <w:sz w:val="16"/>
                <w:szCs w:val="16"/>
              </w:rPr>
              <w:t>2021-12</w:t>
            </w:r>
          </w:p>
        </w:tc>
        <w:tc>
          <w:tcPr>
            <w:tcW w:w="800" w:type="dxa"/>
            <w:shd w:val="solid" w:color="FFFFFF" w:fill="auto"/>
          </w:tcPr>
          <w:p w14:paraId="0BF3C8C2" w14:textId="7E137C75" w:rsidR="00700DBF" w:rsidRPr="00873B6C" w:rsidRDefault="00700DBF" w:rsidP="000040FE">
            <w:pPr>
              <w:pStyle w:val="TAL"/>
              <w:rPr>
                <w:sz w:val="16"/>
                <w:szCs w:val="16"/>
              </w:rPr>
            </w:pPr>
            <w:r w:rsidRPr="00873B6C">
              <w:rPr>
                <w:sz w:val="16"/>
                <w:szCs w:val="16"/>
              </w:rPr>
              <w:t>SP#94E</w:t>
            </w:r>
          </w:p>
        </w:tc>
        <w:tc>
          <w:tcPr>
            <w:tcW w:w="1094" w:type="dxa"/>
            <w:shd w:val="solid" w:color="FFFFFF" w:fill="auto"/>
          </w:tcPr>
          <w:p w14:paraId="22696C88" w14:textId="65095767" w:rsidR="00700DBF" w:rsidRPr="00873B6C" w:rsidRDefault="00700DBF" w:rsidP="000040FE">
            <w:pPr>
              <w:pStyle w:val="TAC"/>
              <w:rPr>
                <w:sz w:val="16"/>
                <w:szCs w:val="16"/>
              </w:rPr>
            </w:pPr>
            <w:r w:rsidRPr="00873B6C">
              <w:rPr>
                <w:sz w:val="16"/>
                <w:szCs w:val="16"/>
              </w:rPr>
              <w:t>SP-211284</w:t>
            </w:r>
          </w:p>
        </w:tc>
        <w:tc>
          <w:tcPr>
            <w:tcW w:w="567" w:type="dxa"/>
            <w:shd w:val="solid" w:color="FFFFFF" w:fill="auto"/>
          </w:tcPr>
          <w:p w14:paraId="41755DC5" w14:textId="5E4A64FC" w:rsidR="00700DBF" w:rsidRPr="00873B6C" w:rsidRDefault="00700DBF" w:rsidP="000040FE">
            <w:pPr>
              <w:pStyle w:val="TAL"/>
              <w:rPr>
                <w:sz w:val="16"/>
                <w:szCs w:val="16"/>
              </w:rPr>
            </w:pPr>
            <w:r w:rsidRPr="00873B6C">
              <w:rPr>
                <w:sz w:val="16"/>
                <w:szCs w:val="16"/>
              </w:rPr>
              <w:t>3030</w:t>
            </w:r>
          </w:p>
        </w:tc>
        <w:tc>
          <w:tcPr>
            <w:tcW w:w="425" w:type="dxa"/>
            <w:shd w:val="solid" w:color="FFFFFF" w:fill="auto"/>
          </w:tcPr>
          <w:p w14:paraId="4E9B2987" w14:textId="13E32848" w:rsidR="00700DBF" w:rsidRPr="00873B6C" w:rsidRDefault="00700DBF" w:rsidP="000040FE">
            <w:pPr>
              <w:pStyle w:val="TAL"/>
              <w:rPr>
                <w:sz w:val="16"/>
                <w:szCs w:val="16"/>
              </w:rPr>
            </w:pPr>
            <w:r w:rsidRPr="00873B6C">
              <w:rPr>
                <w:sz w:val="16"/>
                <w:szCs w:val="16"/>
              </w:rPr>
              <w:t>4</w:t>
            </w:r>
          </w:p>
        </w:tc>
        <w:tc>
          <w:tcPr>
            <w:tcW w:w="425" w:type="dxa"/>
            <w:shd w:val="solid" w:color="FFFFFF" w:fill="auto"/>
          </w:tcPr>
          <w:p w14:paraId="31950D84" w14:textId="19EFC016" w:rsidR="00700DBF" w:rsidRPr="00873B6C" w:rsidRDefault="00700DBF" w:rsidP="000040FE">
            <w:pPr>
              <w:pStyle w:val="TAL"/>
              <w:rPr>
                <w:sz w:val="16"/>
                <w:szCs w:val="16"/>
              </w:rPr>
            </w:pPr>
            <w:r w:rsidRPr="00873B6C">
              <w:rPr>
                <w:sz w:val="16"/>
                <w:szCs w:val="16"/>
              </w:rPr>
              <w:t>F</w:t>
            </w:r>
          </w:p>
        </w:tc>
        <w:tc>
          <w:tcPr>
            <w:tcW w:w="4820" w:type="dxa"/>
            <w:shd w:val="solid" w:color="FFFFFF" w:fill="auto"/>
          </w:tcPr>
          <w:p w14:paraId="3E3442E4" w14:textId="6E9DC690" w:rsidR="00700DBF" w:rsidRPr="00873B6C" w:rsidRDefault="00700DBF" w:rsidP="000040FE">
            <w:pPr>
              <w:pStyle w:val="TAL"/>
              <w:rPr>
                <w:sz w:val="16"/>
                <w:szCs w:val="16"/>
              </w:rPr>
            </w:pPr>
            <w:r w:rsidRPr="00873B6C">
              <w:rPr>
                <w:sz w:val="16"/>
                <w:szCs w:val="16"/>
              </w:rPr>
              <w:t>UE location verification handling</w:t>
            </w:r>
          </w:p>
        </w:tc>
        <w:tc>
          <w:tcPr>
            <w:tcW w:w="708" w:type="dxa"/>
            <w:shd w:val="solid" w:color="FFFFFF" w:fill="auto"/>
          </w:tcPr>
          <w:p w14:paraId="75F6F8AB" w14:textId="202236A8" w:rsidR="00700DBF" w:rsidRPr="00873B6C" w:rsidRDefault="00700DBF" w:rsidP="000040FE">
            <w:pPr>
              <w:pStyle w:val="TAC"/>
              <w:rPr>
                <w:sz w:val="16"/>
                <w:szCs w:val="16"/>
              </w:rPr>
            </w:pPr>
            <w:r w:rsidRPr="00873B6C">
              <w:rPr>
                <w:sz w:val="16"/>
                <w:szCs w:val="16"/>
              </w:rPr>
              <w:t>17.3.0</w:t>
            </w:r>
          </w:p>
        </w:tc>
      </w:tr>
      <w:tr w:rsidR="00700DBF" w:rsidRPr="00873B6C" w14:paraId="2709F0C4" w14:textId="77777777" w:rsidTr="009D14FB">
        <w:tc>
          <w:tcPr>
            <w:tcW w:w="800" w:type="dxa"/>
            <w:shd w:val="solid" w:color="FFFFFF" w:fill="auto"/>
          </w:tcPr>
          <w:p w14:paraId="3238DE74" w14:textId="43664EF8" w:rsidR="00700DBF" w:rsidRPr="00873B6C" w:rsidRDefault="00700DBF" w:rsidP="000040FE">
            <w:pPr>
              <w:pStyle w:val="TAC"/>
              <w:rPr>
                <w:sz w:val="16"/>
                <w:szCs w:val="16"/>
              </w:rPr>
            </w:pPr>
            <w:r w:rsidRPr="00873B6C">
              <w:rPr>
                <w:sz w:val="16"/>
                <w:szCs w:val="16"/>
              </w:rPr>
              <w:t>2021-12</w:t>
            </w:r>
          </w:p>
        </w:tc>
        <w:tc>
          <w:tcPr>
            <w:tcW w:w="800" w:type="dxa"/>
            <w:shd w:val="solid" w:color="FFFFFF" w:fill="auto"/>
          </w:tcPr>
          <w:p w14:paraId="4ABAC342" w14:textId="46F049AC" w:rsidR="00700DBF" w:rsidRPr="00873B6C" w:rsidRDefault="00700DBF" w:rsidP="000040FE">
            <w:pPr>
              <w:pStyle w:val="TAL"/>
              <w:rPr>
                <w:sz w:val="16"/>
                <w:szCs w:val="16"/>
              </w:rPr>
            </w:pPr>
            <w:r w:rsidRPr="00873B6C">
              <w:rPr>
                <w:sz w:val="16"/>
                <w:szCs w:val="16"/>
              </w:rPr>
              <w:t>SP#94E</w:t>
            </w:r>
          </w:p>
        </w:tc>
        <w:tc>
          <w:tcPr>
            <w:tcW w:w="1094" w:type="dxa"/>
            <w:shd w:val="solid" w:color="FFFFFF" w:fill="auto"/>
          </w:tcPr>
          <w:p w14:paraId="79E1A0E0" w14:textId="17BA3092" w:rsidR="00700DBF" w:rsidRPr="00873B6C" w:rsidRDefault="00700DBF" w:rsidP="000040FE">
            <w:pPr>
              <w:pStyle w:val="TAC"/>
              <w:rPr>
                <w:sz w:val="16"/>
                <w:szCs w:val="16"/>
              </w:rPr>
            </w:pPr>
            <w:r w:rsidRPr="00873B6C">
              <w:rPr>
                <w:sz w:val="16"/>
                <w:szCs w:val="16"/>
              </w:rPr>
              <w:t>SP-211286</w:t>
            </w:r>
          </w:p>
        </w:tc>
        <w:tc>
          <w:tcPr>
            <w:tcW w:w="567" w:type="dxa"/>
            <w:shd w:val="solid" w:color="FFFFFF" w:fill="auto"/>
          </w:tcPr>
          <w:p w14:paraId="5FE5B2C6" w14:textId="759EBAB2" w:rsidR="00700DBF" w:rsidRPr="00873B6C" w:rsidRDefault="00700DBF" w:rsidP="000040FE">
            <w:pPr>
              <w:pStyle w:val="TAL"/>
              <w:rPr>
                <w:sz w:val="16"/>
                <w:szCs w:val="16"/>
              </w:rPr>
            </w:pPr>
            <w:r w:rsidRPr="00873B6C">
              <w:rPr>
                <w:sz w:val="16"/>
                <w:szCs w:val="16"/>
              </w:rPr>
              <w:t>3055</w:t>
            </w:r>
          </w:p>
        </w:tc>
        <w:tc>
          <w:tcPr>
            <w:tcW w:w="425" w:type="dxa"/>
            <w:shd w:val="solid" w:color="FFFFFF" w:fill="auto"/>
          </w:tcPr>
          <w:p w14:paraId="0A084A72" w14:textId="2914D35D" w:rsidR="00700DBF" w:rsidRPr="00873B6C" w:rsidRDefault="00700DBF" w:rsidP="000040FE">
            <w:pPr>
              <w:pStyle w:val="TAL"/>
              <w:rPr>
                <w:sz w:val="16"/>
                <w:szCs w:val="16"/>
              </w:rPr>
            </w:pPr>
            <w:r w:rsidRPr="00873B6C">
              <w:rPr>
                <w:sz w:val="16"/>
                <w:szCs w:val="16"/>
              </w:rPr>
              <w:t>3</w:t>
            </w:r>
          </w:p>
        </w:tc>
        <w:tc>
          <w:tcPr>
            <w:tcW w:w="425" w:type="dxa"/>
            <w:shd w:val="solid" w:color="FFFFFF" w:fill="auto"/>
          </w:tcPr>
          <w:p w14:paraId="7B1CBC32" w14:textId="783045D3" w:rsidR="00700DBF" w:rsidRPr="00873B6C" w:rsidRDefault="00700DBF" w:rsidP="000040FE">
            <w:pPr>
              <w:pStyle w:val="TAL"/>
              <w:rPr>
                <w:sz w:val="16"/>
                <w:szCs w:val="16"/>
              </w:rPr>
            </w:pPr>
            <w:r w:rsidRPr="00873B6C">
              <w:rPr>
                <w:sz w:val="16"/>
                <w:szCs w:val="16"/>
              </w:rPr>
              <w:t>F</w:t>
            </w:r>
          </w:p>
        </w:tc>
        <w:tc>
          <w:tcPr>
            <w:tcW w:w="4820" w:type="dxa"/>
            <w:shd w:val="solid" w:color="FFFFFF" w:fill="auto"/>
          </w:tcPr>
          <w:p w14:paraId="186CC0A1" w14:textId="151B9CD4" w:rsidR="00700DBF" w:rsidRPr="00873B6C" w:rsidRDefault="00700DBF" w:rsidP="000040FE">
            <w:pPr>
              <w:pStyle w:val="TAL"/>
              <w:rPr>
                <w:sz w:val="16"/>
                <w:szCs w:val="16"/>
              </w:rPr>
            </w:pPr>
            <w:r w:rsidRPr="00873B6C">
              <w:rPr>
                <w:sz w:val="16"/>
                <w:szCs w:val="16"/>
              </w:rPr>
              <w:t>MBS Packet detection and forwarding</w:t>
            </w:r>
          </w:p>
        </w:tc>
        <w:tc>
          <w:tcPr>
            <w:tcW w:w="708" w:type="dxa"/>
            <w:shd w:val="solid" w:color="FFFFFF" w:fill="auto"/>
          </w:tcPr>
          <w:p w14:paraId="1F269AB6" w14:textId="7CAE0491" w:rsidR="00700DBF" w:rsidRPr="00873B6C" w:rsidRDefault="00700DBF" w:rsidP="000040FE">
            <w:pPr>
              <w:pStyle w:val="TAC"/>
              <w:rPr>
                <w:sz w:val="16"/>
                <w:szCs w:val="16"/>
              </w:rPr>
            </w:pPr>
            <w:r w:rsidRPr="00873B6C">
              <w:rPr>
                <w:sz w:val="16"/>
                <w:szCs w:val="16"/>
              </w:rPr>
              <w:t>17.3.0</w:t>
            </w:r>
          </w:p>
        </w:tc>
      </w:tr>
      <w:tr w:rsidR="00BB2064" w:rsidRPr="00873B6C" w14:paraId="0543782E" w14:textId="77777777" w:rsidTr="009D14FB">
        <w:tc>
          <w:tcPr>
            <w:tcW w:w="800" w:type="dxa"/>
            <w:shd w:val="solid" w:color="FFFFFF" w:fill="auto"/>
          </w:tcPr>
          <w:p w14:paraId="26A277D7" w14:textId="086635F6" w:rsidR="00BB2064" w:rsidRPr="00873B6C" w:rsidRDefault="00BB2064" w:rsidP="000040FE">
            <w:pPr>
              <w:pStyle w:val="TAC"/>
              <w:rPr>
                <w:sz w:val="16"/>
                <w:szCs w:val="16"/>
              </w:rPr>
            </w:pPr>
            <w:r w:rsidRPr="00873B6C">
              <w:rPr>
                <w:sz w:val="16"/>
                <w:szCs w:val="16"/>
              </w:rPr>
              <w:t>2021-12</w:t>
            </w:r>
          </w:p>
        </w:tc>
        <w:tc>
          <w:tcPr>
            <w:tcW w:w="800" w:type="dxa"/>
            <w:shd w:val="solid" w:color="FFFFFF" w:fill="auto"/>
          </w:tcPr>
          <w:p w14:paraId="41DC4155" w14:textId="5430C926" w:rsidR="00BB2064" w:rsidRPr="00873B6C" w:rsidRDefault="00BB2064" w:rsidP="000040FE">
            <w:pPr>
              <w:pStyle w:val="TAL"/>
              <w:rPr>
                <w:sz w:val="16"/>
                <w:szCs w:val="16"/>
              </w:rPr>
            </w:pPr>
            <w:r w:rsidRPr="00873B6C">
              <w:rPr>
                <w:sz w:val="16"/>
                <w:szCs w:val="16"/>
              </w:rPr>
              <w:t>SP#94E</w:t>
            </w:r>
          </w:p>
        </w:tc>
        <w:tc>
          <w:tcPr>
            <w:tcW w:w="1094" w:type="dxa"/>
            <w:shd w:val="solid" w:color="FFFFFF" w:fill="auto"/>
          </w:tcPr>
          <w:p w14:paraId="39C325A2" w14:textId="4D8A26B1" w:rsidR="00BB2064" w:rsidRPr="00873B6C" w:rsidRDefault="00BB2064" w:rsidP="000040FE">
            <w:pPr>
              <w:pStyle w:val="TAC"/>
              <w:rPr>
                <w:sz w:val="16"/>
                <w:szCs w:val="16"/>
              </w:rPr>
            </w:pPr>
            <w:r w:rsidRPr="00873B6C">
              <w:rPr>
                <w:sz w:val="16"/>
                <w:szCs w:val="16"/>
              </w:rPr>
              <w:t>SP-211286</w:t>
            </w:r>
          </w:p>
        </w:tc>
        <w:tc>
          <w:tcPr>
            <w:tcW w:w="567" w:type="dxa"/>
            <w:shd w:val="solid" w:color="FFFFFF" w:fill="auto"/>
          </w:tcPr>
          <w:p w14:paraId="0E8783D5" w14:textId="5A39886A" w:rsidR="00BB2064" w:rsidRPr="00873B6C" w:rsidRDefault="00BB2064" w:rsidP="000040FE">
            <w:pPr>
              <w:pStyle w:val="TAL"/>
              <w:rPr>
                <w:sz w:val="16"/>
                <w:szCs w:val="16"/>
              </w:rPr>
            </w:pPr>
            <w:r w:rsidRPr="00873B6C">
              <w:rPr>
                <w:sz w:val="16"/>
                <w:szCs w:val="16"/>
              </w:rPr>
              <w:t>3092</w:t>
            </w:r>
          </w:p>
        </w:tc>
        <w:tc>
          <w:tcPr>
            <w:tcW w:w="425" w:type="dxa"/>
            <w:shd w:val="solid" w:color="FFFFFF" w:fill="auto"/>
          </w:tcPr>
          <w:p w14:paraId="7FD93CE5" w14:textId="00540407" w:rsidR="00BB2064" w:rsidRPr="00873B6C" w:rsidRDefault="00BB2064" w:rsidP="000040FE">
            <w:pPr>
              <w:pStyle w:val="TAL"/>
              <w:rPr>
                <w:sz w:val="16"/>
                <w:szCs w:val="16"/>
              </w:rPr>
            </w:pPr>
            <w:r w:rsidRPr="00873B6C">
              <w:rPr>
                <w:sz w:val="16"/>
                <w:szCs w:val="16"/>
              </w:rPr>
              <w:t>3</w:t>
            </w:r>
          </w:p>
        </w:tc>
        <w:tc>
          <w:tcPr>
            <w:tcW w:w="425" w:type="dxa"/>
            <w:shd w:val="solid" w:color="FFFFFF" w:fill="auto"/>
          </w:tcPr>
          <w:p w14:paraId="4C021813" w14:textId="3C720CC5" w:rsidR="00BB2064" w:rsidRPr="00873B6C" w:rsidRDefault="00BB2064" w:rsidP="000040FE">
            <w:pPr>
              <w:pStyle w:val="TAL"/>
              <w:rPr>
                <w:sz w:val="16"/>
                <w:szCs w:val="16"/>
              </w:rPr>
            </w:pPr>
            <w:r w:rsidRPr="00873B6C">
              <w:rPr>
                <w:sz w:val="16"/>
                <w:szCs w:val="16"/>
              </w:rPr>
              <w:t>F</w:t>
            </w:r>
          </w:p>
        </w:tc>
        <w:tc>
          <w:tcPr>
            <w:tcW w:w="4820" w:type="dxa"/>
            <w:shd w:val="solid" w:color="FFFFFF" w:fill="auto"/>
          </w:tcPr>
          <w:p w14:paraId="0762668D" w14:textId="5E47AA5E" w:rsidR="00BB2064" w:rsidRPr="00873B6C" w:rsidRDefault="00BB2064" w:rsidP="000040FE">
            <w:pPr>
              <w:pStyle w:val="TAL"/>
              <w:rPr>
                <w:sz w:val="16"/>
                <w:szCs w:val="16"/>
              </w:rPr>
            </w:pPr>
            <w:r w:rsidRPr="00873B6C">
              <w:rPr>
                <w:sz w:val="16"/>
                <w:szCs w:val="16"/>
              </w:rPr>
              <w:t>Add NF services for 5G MBS</w:t>
            </w:r>
          </w:p>
        </w:tc>
        <w:tc>
          <w:tcPr>
            <w:tcW w:w="708" w:type="dxa"/>
            <w:shd w:val="solid" w:color="FFFFFF" w:fill="auto"/>
          </w:tcPr>
          <w:p w14:paraId="6504D3F0" w14:textId="4168F2B8" w:rsidR="00BB2064" w:rsidRPr="00873B6C" w:rsidRDefault="00BB2064" w:rsidP="000040FE">
            <w:pPr>
              <w:pStyle w:val="TAC"/>
              <w:rPr>
                <w:sz w:val="16"/>
                <w:szCs w:val="16"/>
              </w:rPr>
            </w:pPr>
            <w:r w:rsidRPr="00873B6C">
              <w:rPr>
                <w:sz w:val="16"/>
                <w:szCs w:val="16"/>
              </w:rPr>
              <w:t>17.3.0</w:t>
            </w:r>
          </w:p>
        </w:tc>
      </w:tr>
      <w:tr w:rsidR="00BB2064" w:rsidRPr="00873B6C" w14:paraId="26C25069" w14:textId="77777777" w:rsidTr="009D14FB">
        <w:tc>
          <w:tcPr>
            <w:tcW w:w="800" w:type="dxa"/>
            <w:shd w:val="solid" w:color="FFFFFF" w:fill="auto"/>
          </w:tcPr>
          <w:p w14:paraId="5DD67F7E" w14:textId="0793A397" w:rsidR="00BB2064" w:rsidRPr="00873B6C" w:rsidRDefault="00BB2064" w:rsidP="000040FE">
            <w:pPr>
              <w:pStyle w:val="TAC"/>
              <w:rPr>
                <w:sz w:val="16"/>
                <w:szCs w:val="16"/>
              </w:rPr>
            </w:pPr>
            <w:r w:rsidRPr="00873B6C">
              <w:rPr>
                <w:sz w:val="16"/>
                <w:szCs w:val="16"/>
              </w:rPr>
              <w:t>2021-12</w:t>
            </w:r>
          </w:p>
        </w:tc>
        <w:tc>
          <w:tcPr>
            <w:tcW w:w="800" w:type="dxa"/>
            <w:shd w:val="solid" w:color="FFFFFF" w:fill="auto"/>
          </w:tcPr>
          <w:p w14:paraId="08E5DCBE" w14:textId="45F78A5B" w:rsidR="00BB2064" w:rsidRPr="00873B6C" w:rsidRDefault="00BB2064" w:rsidP="000040FE">
            <w:pPr>
              <w:pStyle w:val="TAL"/>
              <w:rPr>
                <w:sz w:val="16"/>
                <w:szCs w:val="16"/>
              </w:rPr>
            </w:pPr>
            <w:r w:rsidRPr="00873B6C">
              <w:rPr>
                <w:sz w:val="16"/>
                <w:szCs w:val="16"/>
              </w:rPr>
              <w:t>SP#94E</w:t>
            </w:r>
          </w:p>
        </w:tc>
        <w:tc>
          <w:tcPr>
            <w:tcW w:w="1094" w:type="dxa"/>
            <w:shd w:val="solid" w:color="FFFFFF" w:fill="auto"/>
          </w:tcPr>
          <w:p w14:paraId="755221F0" w14:textId="19A00F80" w:rsidR="00BB2064" w:rsidRPr="00873B6C" w:rsidRDefault="00BB2064" w:rsidP="000040FE">
            <w:pPr>
              <w:pStyle w:val="TAC"/>
              <w:rPr>
                <w:sz w:val="16"/>
                <w:szCs w:val="16"/>
              </w:rPr>
            </w:pPr>
            <w:r w:rsidRPr="00873B6C">
              <w:rPr>
                <w:sz w:val="16"/>
                <w:szCs w:val="16"/>
              </w:rPr>
              <w:t>SP-211302</w:t>
            </w:r>
          </w:p>
        </w:tc>
        <w:tc>
          <w:tcPr>
            <w:tcW w:w="567" w:type="dxa"/>
            <w:shd w:val="solid" w:color="FFFFFF" w:fill="auto"/>
          </w:tcPr>
          <w:p w14:paraId="6AECE7E0" w14:textId="72F20E60" w:rsidR="00BB2064" w:rsidRPr="00873B6C" w:rsidRDefault="00BB2064" w:rsidP="000040FE">
            <w:pPr>
              <w:pStyle w:val="TAL"/>
              <w:rPr>
                <w:sz w:val="16"/>
                <w:szCs w:val="16"/>
              </w:rPr>
            </w:pPr>
            <w:r w:rsidRPr="00873B6C">
              <w:rPr>
                <w:sz w:val="16"/>
                <w:szCs w:val="16"/>
              </w:rPr>
              <w:t>3094</w:t>
            </w:r>
          </w:p>
        </w:tc>
        <w:tc>
          <w:tcPr>
            <w:tcW w:w="425" w:type="dxa"/>
            <w:shd w:val="solid" w:color="FFFFFF" w:fill="auto"/>
          </w:tcPr>
          <w:p w14:paraId="1D88679A" w14:textId="69F57E89" w:rsidR="00BB2064" w:rsidRPr="00873B6C" w:rsidRDefault="00BB2064" w:rsidP="000040FE">
            <w:pPr>
              <w:pStyle w:val="TAL"/>
              <w:rPr>
                <w:sz w:val="16"/>
                <w:szCs w:val="16"/>
              </w:rPr>
            </w:pPr>
            <w:r w:rsidRPr="00873B6C">
              <w:rPr>
                <w:sz w:val="16"/>
                <w:szCs w:val="16"/>
              </w:rPr>
              <w:t>2</w:t>
            </w:r>
          </w:p>
        </w:tc>
        <w:tc>
          <w:tcPr>
            <w:tcW w:w="425" w:type="dxa"/>
            <w:shd w:val="solid" w:color="FFFFFF" w:fill="auto"/>
          </w:tcPr>
          <w:p w14:paraId="14FB2FBA" w14:textId="611947AC" w:rsidR="00BB2064" w:rsidRPr="00873B6C" w:rsidRDefault="00BB2064" w:rsidP="000040FE">
            <w:pPr>
              <w:pStyle w:val="TAL"/>
              <w:rPr>
                <w:sz w:val="16"/>
                <w:szCs w:val="16"/>
              </w:rPr>
            </w:pPr>
            <w:r w:rsidRPr="00873B6C">
              <w:rPr>
                <w:sz w:val="16"/>
                <w:szCs w:val="16"/>
              </w:rPr>
              <w:t>F</w:t>
            </w:r>
          </w:p>
        </w:tc>
        <w:tc>
          <w:tcPr>
            <w:tcW w:w="4820" w:type="dxa"/>
            <w:shd w:val="solid" w:color="FFFFFF" w:fill="auto"/>
          </w:tcPr>
          <w:p w14:paraId="0362AF91" w14:textId="157DE5CC" w:rsidR="00BB2064" w:rsidRPr="00873B6C" w:rsidRDefault="00BB2064" w:rsidP="000040FE">
            <w:pPr>
              <w:pStyle w:val="TAL"/>
              <w:rPr>
                <w:sz w:val="16"/>
                <w:szCs w:val="16"/>
              </w:rPr>
            </w:pPr>
            <w:r w:rsidRPr="00873B6C">
              <w:rPr>
                <w:sz w:val="16"/>
                <w:szCs w:val="16"/>
              </w:rPr>
              <w:t>MUSIM support for SNPN access mode</w:t>
            </w:r>
          </w:p>
        </w:tc>
        <w:tc>
          <w:tcPr>
            <w:tcW w:w="708" w:type="dxa"/>
            <w:shd w:val="solid" w:color="FFFFFF" w:fill="auto"/>
          </w:tcPr>
          <w:p w14:paraId="7BF5FB9A" w14:textId="096EF8EA" w:rsidR="00BB2064" w:rsidRPr="00873B6C" w:rsidRDefault="00BB2064" w:rsidP="000040FE">
            <w:pPr>
              <w:pStyle w:val="TAC"/>
              <w:rPr>
                <w:sz w:val="16"/>
                <w:szCs w:val="16"/>
              </w:rPr>
            </w:pPr>
            <w:r w:rsidRPr="00873B6C">
              <w:rPr>
                <w:sz w:val="16"/>
                <w:szCs w:val="16"/>
              </w:rPr>
              <w:t>17.3.0</w:t>
            </w:r>
          </w:p>
        </w:tc>
      </w:tr>
      <w:tr w:rsidR="00BB2064" w:rsidRPr="00873B6C" w14:paraId="7D120473" w14:textId="77777777" w:rsidTr="009D14FB">
        <w:tc>
          <w:tcPr>
            <w:tcW w:w="800" w:type="dxa"/>
            <w:shd w:val="solid" w:color="FFFFFF" w:fill="auto"/>
          </w:tcPr>
          <w:p w14:paraId="46F86668" w14:textId="37419D06" w:rsidR="00BB2064" w:rsidRPr="00873B6C" w:rsidRDefault="00BB2064" w:rsidP="000040FE">
            <w:pPr>
              <w:pStyle w:val="TAC"/>
              <w:rPr>
                <w:sz w:val="16"/>
                <w:szCs w:val="16"/>
              </w:rPr>
            </w:pPr>
            <w:r w:rsidRPr="00873B6C">
              <w:rPr>
                <w:sz w:val="16"/>
                <w:szCs w:val="16"/>
              </w:rPr>
              <w:t>2021-12</w:t>
            </w:r>
          </w:p>
        </w:tc>
        <w:tc>
          <w:tcPr>
            <w:tcW w:w="800" w:type="dxa"/>
            <w:shd w:val="solid" w:color="FFFFFF" w:fill="auto"/>
          </w:tcPr>
          <w:p w14:paraId="427D8470" w14:textId="6B31C2B9" w:rsidR="00BB2064" w:rsidRPr="00873B6C" w:rsidRDefault="00BB2064" w:rsidP="000040FE">
            <w:pPr>
              <w:pStyle w:val="TAL"/>
              <w:rPr>
                <w:sz w:val="16"/>
                <w:szCs w:val="16"/>
              </w:rPr>
            </w:pPr>
            <w:r w:rsidRPr="00873B6C">
              <w:rPr>
                <w:sz w:val="16"/>
                <w:szCs w:val="16"/>
              </w:rPr>
              <w:t>SP#94E</w:t>
            </w:r>
          </w:p>
        </w:tc>
        <w:tc>
          <w:tcPr>
            <w:tcW w:w="1094" w:type="dxa"/>
            <w:shd w:val="solid" w:color="FFFFFF" w:fill="auto"/>
          </w:tcPr>
          <w:p w14:paraId="644EA2AA" w14:textId="46B6B126" w:rsidR="00BB2064" w:rsidRPr="00873B6C" w:rsidRDefault="00BB2064" w:rsidP="000040FE">
            <w:pPr>
              <w:pStyle w:val="TAC"/>
              <w:rPr>
                <w:sz w:val="16"/>
                <w:szCs w:val="16"/>
              </w:rPr>
            </w:pPr>
            <w:r w:rsidRPr="00873B6C">
              <w:rPr>
                <w:sz w:val="16"/>
                <w:szCs w:val="16"/>
              </w:rPr>
              <w:t>SP-211299</w:t>
            </w:r>
          </w:p>
        </w:tc>
        <w:tc>
          <w:tcPr>
            <w:tcW w:w="567" w:type="dxa"/>
            <w:shd w:val="solid" w:color="FFFFFF" w:fill="auto"/>
          </w:tcPr>
          <w:p w14:paraId="37C335C4" w14:textId="47D9B554" w:rsidR="00BB2064" w:rsidRPr="00873B6C" w:rsidRDefault="00BB2064" w:rsidP="000040FE">
            <w:pPr>
              <w:pStyle w:val="TAL"/>
              <w:rPr>
                <w:sz w:val="16"/>
                <w:szCs w:val="16"/>
              </w:rPr>
            </w:pPr>
            <w:r w:rsidRPr="00873B6C">
              <w:rPr>
                <w:sz w:val="16"/>
                <w:szCs w:val="16"/>
              </w:rPr>
              <w:t>3107</w:t>
            </w:r>
          </w:p>
        </w:tc>
        <w:tc>
          <w:tcPr>
            <w:tcW w:w="425" w:type="dxa"/>
            <w:shd w:val="solid" w:color="FFFFFF" w:fill="auto"/>
          </w:tcPr>
          <w:p w14:paraId="56F26A28" w14:textId="6920C662" w:rsidR="00BB2064" w:rsidRPr="00873B6C" w:rsidRDefault="00BB2064" w:rsidP="000040FE">
            <w:pPr>
              <w:pStyle w:val="TAL"/>
              <w:rPr>
                <w:sz w:val="16"/>
                <w:szCs w:val="16"/>
              </w:rPr>
            </w:pPr>
            <w:r w:rsidRPr="00873B6C">
              <w:rPr>
                <w:sz w:val="16"/>
                <w:szCs w:val="16"/>
              </w:rPr>
              <w:t>4</w:t>
            </w:r>
          </w:p>
        </w:tc>
        <w:tc>
          <w:tcPr>
            <w:tcW w:w="425" w:type="dxa"/>
            <w:shd w:val="solid" w:color="FFFFFF" w:fill="auto"/>
          </w:tcPr>
          <w:p w14:paraId="2CDF6516" w14:textId="06490315" w:rsidR="00BB2064" w:rsidRPr="00873B6C" w:rsidRDefault="00BB2064" w:rsidP="000040FE">
            <w:pPr>
              <w:pStyle w:val="TAL"/>
              <w:rPr>
                <w:sz w:val="16"/>
                <w:szCs w:val="16"/>
              </w:rPr>
            </w:pPr>
            <w:r w:rsidRPr="00873B6C">
              <w:rPr>
                <w:sz w:val="16"/>
                <w:szCs w:val="16"/>
              </w:rPr>
              <w:t>F</w:t>
            </w:r>
          </w:p>
        </w:tc>
        <w:tc>
          <w:tcPr>
            <w:tcW w:w="4820" w:type="dxa"/>
            <w:shd w:val="solid" w:color="FFFFFF" w:fill="auto"/>
          </w:tcPr>
          <w:p w14:paraId="1135CDB1" w14:textId="5D37119E" w:rsidR="00BB2064" w:rsidRPr="00873B6C" w:rsidRDefault="00BB2064" w:rsidP="000040FE">
            <w:pPr>
              <w:pStyle w:val="TAL"/>
              <w:rPr>
                <w:sz w:val="16"/>
                <w:szCs w:val="16"/>
              </w:rPr>
            </w:pPr>
            <w:r w:rsidRPr="00873B6C">
              <w:rPr>
                <w:sz w:val="16"/>
                <w:szCs w:val="16"/>
              </w:rPr>
              <w:t>QoS parameter handling for TSC</w:t>
            </w:r>
          </w:p>
        </w:tc>
        <w:tc>
          <w:tcPr>
            <w:tcW w:w="708" w:type="dxa"/>
            <w:shd w:val="solid" w:color="FFFFFF" w:fill="auto"/>
          </w:tcPr>
          <w:p w14:paraId="5820CAD4" w14:textId="43C9D0CA" w:rsidR="00BB2064" w:rsidRPr="00873B6C" w:rsidRDefault="00BB2064" w:rsidP="000040FE">
            <w:pPr>
              <w:pStyle w:val="TAC"/>
              <w:rPr>
                <w:sz w:val="16"/>
                <w:szCs w:val="16"/>
              </w:rPr>
            </w:pPr>
            <w:r w:rsidRPr="00873B6C">
              <w:rPr>
                <w:sz w:val="16"/>
                <w:szCs w:val="16"/>
              </w:rPr>
              <w:t>17.3.0</w:t>
            </w:r>
          </w:p>
        </w:tc>
      </w:tr>
      <w:tr w:rsidR="006648CD" w:rsidRPr="00873B6C" w14:paraId="30CE689F" w14:textId="77777777" w:rsidTr="009D14FB">
        <w:tc>
          <w:tcPr>
            <w:tcW w:w="800" w:type="dxa"/>
            <w:shd w:val="solid" w:color="FFFFFF" w:fill="auto"/>
          </w:tcPr>
          <w:p w14:paraId="408A261C" w14:textId="79905647"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0EE4C449" w14:textId="314ADCAD"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794ADC43" w14:textId="4F014AD9" w:rsidR="006648CD" w:rsidRPr="00873B6C" w:rsidRDefault="006648CD" w:rsidP="000040FE">
            <w:pPr>
              <w:pStyle w:val="TAC"/>
              <w:rPr>
                <w:sz w:val="16"/>
                <w:szCs w:val="16"/>
              </w:rPr>
            </w:pPr>
            <w:r w:rsidRPr="00873B6C">
              <w:rPr>
                <w:sz w:val="16"/>
                <w:szCs w:val="16"/>
              </w:rPr>
              <w:t>SP-211288</w:t>
            </w:r>
          </w:p>
        </w:tc>
        <w:tc>
          <w:tcPr>
            <w:tcW w:w="567" w:type="dxa"/>
            <w:shd w:val="solid" w:color="FFFFFF" w:fill="auto"/>
          </w:tcPr>
          <w:p w14:paraId="47F0FBF0" w14:textId="05F972CA" w:rsidR="006648CD" w:rsidRPr="00873B6C" w:rsidRDefault="006648CD" w:rsidP="000040FE">
            <w:pPr>
              <w:pStyle w:val="TAL"/>
              <w:rPr>
                <w:sz w:val="16"/>
                <w:szCs w:val="16"/>
              </w:rPr>
            </w:pPr>
            <w:r w:rsidRPr="00873B6C">
              <w:rPr>
                <w:sz w:val="16"/>
                <w:szCs w:val="16"/>
              </w:rPr>
              <w:t>3110</w:t>
            </w:r>
          </w:p>
        </w:tc>
        <w:tc>
          <w:tcPr>
            <w:tcW w:w="425" w:type="dxa"/>
            <w:shd w:val="solid" w:color="FFFFFF" w:fill="auto"/>
          </w:tcPr>
          <w:p w14:paraId="02FDFAEF" w14:textId="401D606F" w:rsidR="006648CD" w:rsidRPr="00873B6C" w:rsidRDefault="006648CD" w:rsidP="000040FE">
            <w:pPr>
              <w:pStyle w:val="TAL"/>
              <w:rPr>
                <w:sz w:val="16"/>
                <w:szCs w:val="16"/>
              </w:rPr>
            </w:pPr>
            <w:r w:rsidRPr="00873B6C">
              <w:rPr>
                <w:sz w:val="16"/>
                <w:szCs w:val="16"/>
              </w:rPr>
              <w:t>2</w:t>
            </w:r>
          </w:p>
        </w:tc>
        <w:tc>
          <w:tcPr>
            <w:tcW w:w="425" w:type="dxa"/>
            <w:shd w:val="solid" w:color="FFFFFF" w:fill="auto"/>
          </w:tcPr>
          <w:p w14:paraId="64906702" w14:textId="7BCE2CAD"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12CC9CCF" w14:textId="7F55C289" w:rsidR="006648CD" w:rsidRPr="00873B6C" w:rsidRDefault="006648CD" w:rsidP="000040FE">
            <w:pPr>
              <w:pStyle w:val="TAL"/>
              <w:rPr>
                <w:sz w:val="16"/>
                <w:szCs w:val="16"/>
              </w:rPr>
            </w:pPr>
            <w:r w:rsidRPr="00873B6C">
              <w:rPr>
                <w:sz w:val="16"/>
                <w:szCs w:val="16"/>
              </w:rPr>
              <w:t>PMF information transported via N4</w:t>
            </w:r>
          </w:p>
        </w:tc>
        <w:tc>
          <w:tcPr>
            <w:tcW w:w="708" w:type="dxa"/>
            <w:shd w:val="solid" w:color="FFFFFF" w:fill="auto"/>
          </w:tcPr>
          <w:p w14:paraId="4EA87CF3" w14:textId="439BE3B9" w:rsidR="006648CD" w:rsidRPr="00873B6C" w:rsidRDefault="006648CD" w:rsidP="000040FE">
            <w:pPr>
              <w:pStyle w:val="TAC"/>
              <w:rPr>
                <w:sz w:val="16"/>
                <w:szCs w:val="16"/>
              </w:rPr>
            </w:pPr>
            <w:r w:rsidRPr="00873B6C">
              <w:rPr>
                <w:sz w:val="16"/>
                <w:szCs w:val="16"/>
              </w:rPr>
              <w:t>17.3.0</w:t>
            </w:r>
          </w:p>
        </w:tc>
      </w:tr>
      <w:tr w:rsidR="006648CD" w:rsidRPr="00873B6C" w14:paraId="52EEED8B" w14:textId="77777777" w:rsidTr="009D14FB">
        <w:tc>
          <w:tcPr>
            <w:tcW w:w="800" w:type="dxa"/>
            <w:shd w:val="solid" w:color="FFFFFF" w:fill="auto"/>
          </w:tcPr>
          <w:p w14:paraId="610C2EFB" w14:textId="331BDFD6"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2B734BAB" w14:textId="4F66F5A0"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012ABBF6" w14:textId="43DD2439" w:rsidR="006648CD" w:rsidRPr="00873B6C" w:rsidRDefault="006648CD" w:rsidP="000040FE">
            <w:pPr>
              <w:pStyle w:val="TAC"/>
              <w:rPr>
                <w:sz w:val="16"/>
                <w:szCs w:val="16"/>
              </w:rPr>
            </w:pPr>
            <w:r w:rsidRPr="00873B6C">
              <w:rPr>
                <w:sz w:val="16"/>
                <w:szCs w:val="16"/>
              </w:rPr>
              <w:t>SP-211304</w:t>
            </w:r>
          </w:p>
        </w:tc>
        <w:tc>
          <w:tcPr>
            <w:tcW w:w="567" w:type="dxa"/>
            <w:shd w:val="solid" w:color="FFFFFF" w:fill="auto"/>
          </w:tcPr>
          <w:p w14:paraId="5F7981DD" w14:textId="58433966" w:rsidR="006648CD" w:rsidRPr="00873B6C" w:rsidRDefault="006648CD" w:rsidP="000040FE">
            <w:pPr>
              <w:pStyle w:val="TAL"/>
              <w:rPr>
                <w:sz w:val="16"/>
                <w:szCs w:val="16"/>
              </w:rPr>
            </w:pPr>
            <w:r w:rsidRPr="00873B6C">
              <w:rPr>
                <w:sz w:val="16"/>
                <w:szCs w:val="16"/>
              </w:rPr>
              <w:t>3172</w:t>
            </w:r>
          </w:p>
        </w:tc>
        <w:tc>
          <w:tcPr>
            <w:tcW w:w="425" w:type="dxa"/>
            <w:shd w:val="solid" w:color="FFFFFF" w:fill="auto"/>
          </w:tcPr>
          <w:p w14:paraId="5377EFA6" w14:textId="18EB1FDD" w:rsidR="006648CD" w:rsidRPr="00873B6C" w:rsidRDefault="006648CD" w:rsidP="000040FE">
            <w:pPr>
              <w:pStyle w:val="TAL"/>
              <w:rPr>
                <w:sz w:val="16"/>
                <w:szCs w:val="16"/>
              </w:rPr>
            </w:pPr>
            <w:r w:rsidRPr="00873B6C">
              <w:rPr>
                <w:sz w:val="16"/>
                <w:szCs w:val="16"/>
              </w:rPr>
              <w:t>5</w:t>
            </w:r>
          </w:p>
        </w:tc>
        <w:tc>
          <w:tcPr>
            <w:tcW w:w="425" w:type="dxa"/>
            <w:shd w:val="solid" w:color="FFFFFF" w:fill="auto"/>
          </w:tcPr>
          <w:p w14:paraId="3B319BFB" w14:textId="0FB50A1E" w:rsidR="006648CD" w:rsidRPr="00873B6C" w:rsidRDefault="006648CD" w:rsidP="000040FE">
            <w:pPr>
              <w:pStyle w:val="TAL"/>
              <w:rPr>
                <w:sz w:val="16"/>
                <w:szCs w:val="16"/>
              </w:rPr>
            </w:pPr>
            <w:r w:rsidRPr="00873B6C">
              <w:rPr>
                <w:sz w:val="16"/>
                <w:szCs w:val="16"/>
              </w:rPr>
              <w:t>C</w:t>
            </w:r>
          </w:p>
        </w:tc>
        <w:tc>
          <w:tcPr>
            <w:tcW w:w="4820" w:type="dxa"/>
            <w:shd w:val="solid" w:color="FFFFFF" w:fill="auto"/>
          </w:tcPr>
          <w:p w14:paraId="7939BC81" w14:textId="733BA24D" w:rsidR="006648CD" w:rsidRPr="00873B6C" w:rsidRDefault="006648CD" w:rsidP="000040FE">
            <w:pPr>
              <w:pStyle w:val="TAL"/>
              <w:rPr>
                <w:sz w:val="16"/>
                <w:szCs w:val="16"/>
              </w:rPr>
            </w:pPr>
            <w:r w:rsidRPr="00873B6C">
              <w:rPr>
                <w:sz w:val="16"/>
                <w:szCs w:val="16"/>
              </w:rPr>
              <w:t>NSSAAF Discovery and Selection based on S-NSSAI or UE ID Range</w:t>
            </w:r>
          </w:p>
        </w:tc>
        <w:tc>
          <w:tcPr>
            <w:tcW w:w="708" w:type="dxa"/>
            <w:shd w:val="solid" w:color="FFFFFF" w:fill="auto"/>
          </w:tcPr>
          <w:p w14:paraId="37019647" w14:textId="0AAED228" w:rsidR="006648CD" w:rsidRPr="00873B6C" w:rsidRDefault="006648CD" w:rsidP="000040FE">
            <w:pPr>
              <w:pStyle w:val="TAC"/>
              <w:rPr>
                <w:sz w:val="16"/>
                <w:szCs w:val="16"/>
              </w:rPr>
            </w:pPr>
            <w:r w:rsidRPr="00873B6C">
              <w:rPr>
                <w:sz w:val="16"/>
                <w:szCs w:val="16"/>
              </w:rPr>
              <w:t>17.3.0</w:t>
            </w:r>
          </w:p>
        </w:tc>
      </w:tr>
      <w:tr w:rsidR="006648CD" w:rsidRPr="00873B6C" w14:paraId="516207AF" w14:textId="77777777" w:rsidTr="009D14FB">
        <w:tc>
          <w:tcPr>
            <w:tcW w:w="800" w:type="dxa"/>
            <w:shd w:val="solid" w:color="FFFFFF" w:fill="auto"/>
          </w:tcPr>
          <w:p w14:paraId="195DE818" w14:textId="38CDA1B6"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429D8F06" w14:textId="43C1947D"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3184BCC3" w14:textId="76ED4605" w:rsidR="006648CD" w:rsidRPr="00873B6C" w:rsidRDefault="006648CD" w:rsidP="000040FE">
            <w:pPr>
              <w:pStyle w:val="TAC"/>
              <w:rPr>
                <w:sz w:val="16"/>
                <w:szCs w:val="16"/>
              </w:rPr>
            </w:pPr>
            <w:r w:rsidRPr="00873B6C">
              <w:rPr>
                <w:sz w:val="16"/>
                <w:szCs w:val="16"/>
              </w:rPr>
              <w:t>SP-211295</w:t>
            </w:r>
          </w:p>
        </w:tc>
        <w:tc>
          <w:tcPr>
            <w:tcW w:w="567" w:type="dxa"/>
            <w:shd w:val="solid" w:color="FFFFFF" w:fill="auto"/>
          </w:tcPr>
          <w:p w14:paraId="4C4A47AD" w14:textId="3DD93410" w:rsidR="006648CD" w:rsidRPr="00873B6C" w:rsidRDefault="006648CD" w:rsidP="000040FE">
            <w:pPr>
              <w:pStyle w:val="TAL"/>
              <w:rPr>
                <w:sz w:val="16"/>
                <w:szCs w:val="16"/>
              </w:rPr>
            </w:pPr>
            <w:r w:rsidRPr="00873B6C">
              <w:rPr>
                <w:sz w:val="16"/>
                <w:szCs w:val="16"/>
              </w:rPr>
              <w:t>3205</w:t>
            </w:r>
          </w:p>
        </w:tc>
        <w:tc>
          <w:tcPr>
            <w:tcW w:w="425" w:type="dxa"/>
            <w:shd w:val="solid" w:color="FFFFFF" w:fill="auto"/>
          </w:tcPr>
          <w:p w14:paraId="58AC9296" w14:textId="6B677EC9" w:rsidR="006648CD" w:rsidRPr="00873B6C" w:rsidRDefault="006648CD" w:rsidP="000040FE">
            <w:pPr>
              <w:pStyle w:val="TAL"/>
              <w:rPr>
                <w:sz w:val="16"/>
                <w:szCs w:val="16"/>
              </w:rPr>
            </w:pPr>
            <w:r w:rsidRPr="00873B6C">
              <w:rPr>
                <w:sz w:val="16"/>
                <w:szCs w:val="16"/>
              </w:rPr>
              <w:t>2</w:t>
            </w:r>
          </w:p>
        </w:tc>
        <w:tc>
          <w:tcPr>
            <w:tcW w:w="425" w:type="dxa"/>
            <w:shd w:val="solid" w:color="FFFFFF" w:fill="auto"/>
          </w:tcPr>
          <w:p w14:paraId="6F805D0E" w14:textId="1A407FE5"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2A7ED6C0" w14:textId="719B5865" w:rsidR="006648CD" w:rsidRPr="00873B6C" w:rsidRDefault="006648CD" w:rsidP="000040FE">
            <w:pPr>
              <w:pStyle w:val="TAL"/>
              <w:rPr>
                <w:sz w:val="16"/>
                <w:szCs w:val="16"/>
              </w:rPr>
            </w:pPr>
            <w:r w:rsidRPr="00873B6C">
              <w:rPr>
                <w:sz w:val="16"/>
                <w:szCs w:val="16"/>
              </w:rPr>
              <w:t>Update to NSSRG procedure</w:t>
            </w:r>
          </w:p>
        </w:tc>
        <w:tc>
          <w:tcPr>
            <w:tcW w:w="708" w:type="dxa"/>
            <w:shd w:val="solid" w:color="FFFFFF" w:fill="auto"/>
          </w:tcPr>
          <w:p w14:paraId="5F01568B" w14:textId="3540A765" w:rsidR="006648CD" w:rsidRPr="00873B6C" w:rsidRDefault="006648CD" w:rsidP="000040FE">
            <w:pPr>
              <w:pStyle w:val="TAC"/>
              <w:rPr>
                <w:sz w:val="16"/>
                <w:szCs w:val="16"/>
              </w:rPr>
            </w:pPr>
            <w:r w:rsidRPr="00873B6C">
              <w:rPr>
                <w:sz w:val="16"/>
                <w:szCs w:val="16"/>
              </w:rPr>
              <w:t>17.3.0</w:t>
            </w:r>
          </w:p>
        </w:tc>
      </w:tr>
      <w:tr w:rsidR="006648CD" w:rsidRPr="00873B6C" w14:paraId="6F46FAFE" w14:textId="77777777" w:rsidTr="009D14FB">
        <w:tc>
          <w:tcPr>
            <w:tcW w:w="800" w:type="dxa"/>
            <w:shd w:val="solid" w:color="FFFFFF" w:fill="auto"/>
          </w:tcPr>
          <w:p w14:paraId="2DD32306" w14:textId="1117D3F1"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17F374E3" w14:textId="5A2A8D28"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71D7E02C" w14:textId="3487F919" w:rsidR="006648CD" w:rsidRPr="00873B6C" w:rsidRDefault="006648CD" w:rsidP="000040FE">
            <w:pPr>
              <w:pStyle w:val="TAC"/>
              <w:rPr>
                <w:sz w:val="16"/>
                <w:szCs w:val="16"/>
              </w:rPr>
            </w:pPr>
            <w:r w:rsidRPr="00873B6C">
              <w:rPr>
                <w:sz w:val="16"/>
                <w:szCs w:val="16"/>
              </w:rPr>
              <w:t>SP-211302</w:t>
            </w:r>
          </w:p>
        </w:tc>
        <w:tc>
          <w:tcPr>
            <w:tcW w:w="567" w:type="dxa"/>
            <w:shd w:val="solid" w:color="FFFFFF" w:fill="auto"/>
          </w:tcPr>
          <w:p w14:paraId="01BFE6EB" w14:textId="2C3AAB4C" w:rsidR="006648CD" w:rsidRPr="00873B6C" w:rsidRDefault="006648CD" w:rsidP="000040FE">
            <w:pPr>
              <w:pStyle w:val="TAL"/>
              <w:rPr>
                <w:sz w:val="16"/>
                <w:szCs w:val="16"/>
              </w:rPr>
            </w:pPr>
            <w:r w:rsidRPr="00873B6C">
              <w:rPr>
                <w:sz w:val="16"/>
                <w:szCs w:val="16"/>
              </w:rPr>
              <w:t>3229</w:t>
            </w:r>
          </w:p>
        </w:tc>
        <w:tc>
          <w:tcPr>
            <w:tcW w:w="425" w:type="dxa"/>
            <w:shd w:val="solid" w:color="FFFFFF" w:fill="auto"/>
          </w:tcPr>
          <w:p w14:paraId="3A0A8908" w14:textId="28D115E7" w:rsidR="006648CD" w:rsidRPr="00873B6C" w:rsidRDefault="006648CD" w:rsidP="000040FE">
            <w:pPr>
              <w:pStyle w:val="TAL"/>
              <w:rPr>
                <w:sz w:val="16"/>
                <w:szCs w:val="16"/>
              </w:rPr>
            </w:pPr>
            <w:r w:rsidRPr="00873B6C">
              <w:rPr>
                <w:sz w:val="16"/>
                <w:szCs w:val="16"/>
              </w:rPr>
              <w:t>2</w:t>
            </w:r>
          </w:p>
        </w:tc>
        <w:tc>
          <w:tcPr>
            <w:tcW w:w="425" w:type="dxa"/>
            <w:shd w:val="solid" w:color="FFFFFF" w:fill="auto"/>
          </w:tcPr>
          <w:p w14:paraId="4137D292" w14:textId="188EF53E"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159613A4" w14:textId="52E0800D" w:rsidR="006648CD" w:rsidRPr="00873B6C" w:rsidRDefault="006648CD" w:rsidP="000040FE">
            <w:pPr>
              <w:pStyle w:val="TAL"/>
              <w:rPr>
                <w:sz w:val="16"/>
                <w:szCs w:val="16"/>
              </w:rPr>
            </w:pPr>
            <w:r w:rsidRPr="00873B6C">
              <w:rPr>
                <w:sz w:val="16"/>
                <w:szCs w:val="16"/>
              </w:rPr>
              <w:t>Deleting PRs in non allowed area</w:t>
            </w:r>
          </w:p>
        </w:tc>
        <w:tc>
          <w:tcPr>
            <w:tcW w:w="708" w:type="dxa"/>
            <w:shd w:val="solid" w:color="FFFFFF" w:fill="auto"/>
          </w:tcPr>
          <w:p w14:paraId="397C43EF" w14:textId="2339EB1A" w:rsidR="006648CD" w:rsidRPr="00873B6C" w:rsidRDefault="006648CD" w:rsidP="000040FE">
            <w:pPr>
              <w:pStyle w:val="TAC"/>
              <w:rPr>
                <w:sz w:val="16"/>
                <w:szCs w:val="16"/>
              </w:rPr>
            </w:pPr>
            <w:r w:rsidRPr="00873B6C">
              <w:rPr>
                <w:sz w:val="16"/>
                <w:szCs w:val="16"/>
              </w:rPr>
              <w:t>17.3.0</w:t>
            </w:r>
          </w:p>
        </w:tc>
      </w:tr>
      <w:tr w:rsidR="006648CD" w:rsidRPr="00873B6C" w14:paraId="41F25C45" w14:textId="77777777" w:rsidTr="009D14FB">
        <w:tc>
          <w:tcPr>
            <w:tcW w:w="800" w:type="dxa"/>
            <w:shd w:val="solid" w:color="FFFFFF" w:fill="auto"/>
          </w:tcPr>
          <w:p w14:paraId="71A6F64F" w14:textId="09CA8F7F"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2D4416EF" w14:textId="3AEFB91A"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28308766" w14:textId="7A3C00DC" w:rsidR="006648CD" w:rsidRPr="00873B6C" w:rsidRDefault="006648CD" w:rsidP="000040FE">
            <w:pPr>
              <w:pStyle w:val="TAC"/>
              <w:rPr>
                <w:sz w:val="16"/>
                <w:szCs w:val="16"/>
              </w:rPr>
            </w:pPr>
            <w:r w:rsidRPr="00873B6C">
              <w:rPr>
                <w:sz w:val="16"/>
                <w:szCs w:val="16"/>
              </w:rPr>
              <w:t>SP-211302</w:t>
            </w:r>
          </w:p>
        </w:tc>
        <w:tc>
          <w:tcPr>
            <w:tcW w:w="567" w:type="dxa"/>
            <w:shd w:val="solid" w:color="FFFFFF" w:fill="auto"/>
          </w:tcPr>
          <w:p w14:paraId="68C70CD9" w14:textId="268E8485" w:rsidR="006648CD" w:rsidRPr="00873B6C" w:rsidRDefault="006648CD" w:rsidP="000040FE">
            <w:pPr>
              <w:pStyle w:val="TAL"/>
              <w:rPr>
                <w:sz w:val="16"/>
                <w:szCs w:val="16"/>
              </w:rPr>
            </w:pPr>
            <w:r w:rsidRPr="00873B6C">
              <w:rPr>
                <w:sz w:val="16"/>
                <w:szCs w:val="16"/>
              </w:rPr>
              <w:t>3235</w:t>
            </w:r>
          </w:p>
        </w:tc>
        <w:tc>
          <w:tcPr>
            <w:tcW w:w="425" w:type="dxa"/>
            <w:shd w:val="solid" w:color="FFFFFF" w:fill="auto"/>
          </w:tcPr>
          <w:p w14:paraId="3744D4E6" w14:textId="4C86A1E5" w:rsidR="006648CD" w:rsidRPr="00873B6C" w:rsidRDefault="006648CD" w:rsidP="000040FE">
            <w:pPr>
              <w:pStyle w:val="TAL"/>
              <w:rPr>
                <w:sz w:val="16"/>
                <w:szCs w:val="16"/>
              </w:rPr>
            </w:pPr>
            <w:r w:rsidRPr="00873B6C">
              <w:rPr>
                <w:sz w:val="16"/>
                <w:szCs w:val="16"/>
              </w:rPr>
              <w:t>4</w:t>
            </w:r>
          </w:p>
        </w:tc>
        <w:tc>
          <w:tcPr>
            <w:tcW w:w="425" w:type="dxa"/>
            <w:shd w:val="solid" w:color="FFFFFF" w:fill="auto"/>
          </w:tcPr>
          <w:p w14:paraId="66A83CE4" w14:textId="13805F76"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5F34DFA7" w14:textId="727A0626" w:rsidR="006648CD" w:rsidRPr="00873B6C" w:rsidRDefault="006648CD" w:rsidP="000040FE">
            <w:pPr>
              <w:pStyle w:val="TAL"/>
              <w:rPr>
                <w:sz w:val="16"/>
                <w:szCs w:val="16"/>
              </w:rPr>
            </w:pPr>
            <w:r w:rsidRPr="00873B6C">
              <w:rPr>
                <w:sz w:val="16"/>
                <w:szCs w:val="16"/>
              </w:rPr>
              <w:t>Enabling of paging reception for 5GS</w:t>
            </w:r>
          </w:p>
        </w:tc>
        <w:tc>
          <w:tcPr>
            <w:tcW w:w="708" w:type="dxa"/>
            <w:shd w:val="solid" w:color="FFFFFF" w:fill="auto"/>
          </w:tcPr>
          <w:p w14:paraId="0A74E7EE" w14:textId="151E7F42" w:rsidR="006648CD" w:rsidRPr="00873B6C" w:rsidRDefault="006648CD" w:rsidP="000040FE">
            <w:pPr>
              <w:pStyle w:val="TAC"/>
              <w:rPr>
                <w:sz w:val="16"/>
                <w:szCs w:val="16"/>
              </w:rPr>
            </w:pPr>
            <w:r w:rsidRPr="00873B6C">
              <w:rPr>
                <w:sz w:val="16"/>
                <w:szCs w:val="16"/>
              </w:rPr>
              <w:t>17.3.0</w:t>
            </w:r>
          </w:p>
        </w:tc>
      </w:tr>
      <w:tr w:rsidR="006648CD" w:rsidRPr="00873B6C" w14:paraId="393E4153" w14:textId="77777777" w:rsidTr="009D14FB">
        <w:tc>
          <w:tcPr>
            <w:tcW w:w="800" w:type="dxa"/>
            <w:shd w:val="solid" w:color="FFFFFF" w:fill="auto"/>
          </w:tcPr>
          <w:p w14:paraId="7DA583DB" w14:textId="245CDDC7"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51C0622B" w14:textId="19B4DFDB"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5C82DDF7" w14:textId="6D668389" w:rsidR="006648CD" w:rsidRPr="00873B6C" w:rsidRDefault="006648CD" w:rsidP="000040FE">
            <w:pPr>
              <w:pStyle w:val="TAC"/>
              <w:rPr>
                <w:sz w:val="16"/>
                <w:szCs w:val="16"/>
              </w:rPr>
            </w:pPr>
            <w:r w:rsidRPr="00873B6C">
              <w:rPr>
                <w:sz w:val="16"/>
                <w:szCs w:val="16"/>
              </w:rPr>
              <w:t>SP-211550</w:t>
            </w:r>
          </w:p>
        </w:tc>
        <w:tc>
          <w:tcPr>
            <w:tcW w:w="567" w:type="dxa"/>
            <w:shd w:val="solid" w:color="FFFFFF" w:fill="auto"/>
          </w:tcPr>
          <w:p w14:paraId="238A3E79" w14:textId="0B0FB0DA" w:rsidR="006648CD" w:rsidRPr="00873B6C" w:rsidRDefault="006648CD" w:rsidP="000040FE">
            <w:pPr>
              <w:pStyle w:val="TAL"/>
              <w:rPr>
                <w:sz w:val="16"/>
                <w:szCs w:val="16"/>
              </w:rPr>
            </w:pPr>
            <w:r w:rsidRPr="00873B6C">
              <w:rPr>
                <w:sz w:val="16"/>
                <w:szCs w:val="16"/>
              </w:rPr>
              <w:t>3237</w:t>
            </w:r>
          </w:p>
        </w:tc>
        <w:tc>
          <w:tcPr>
            <w:tcW w:w="425" w:type="dxa"/>
            <w:shd w:val="solid" w:color="FFFFFF" w:fill="auto"/>
          </w:tcPr>
          <w:p w14:paraId="098B7776" w14:textId="4E04698E" w:rsidR="006648CD" w:rsidRPr="00873B6C" w:rsidRDefault="006648CD" w:rsidP="000040FE">
            <w:pPr>
              <w:pStyle w:val="TAL"/>
              <w:rPr>
                <w:sz w:val="16"/>
                <w:szCs w:val="16"/>
              </w:rPr>
            </w:pPr>
            <w:r w:rsidRPr="00873B6C">
              <w:rPr>
                <w:sz w:val="16"/>
                <w:szCs w:val="16"/>
              </w:rPr>
              <w:t>3</w:t>
            </w:r>
          </w:p>
        </w:tc>
        <w:tc>
          <w:tcPr>
            <w:tcW w:w="425" w:type="dxa"/>
            <w:shd w:val="solid" w:color="FFFFFF" w:fill="auto"/>
          </w:tcPr>
          <w:p w14:paraId="467292A1" w14:textId="64C8AE36"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346FFD23" w14:textId="2CAB60F7" w:rsidR="006648CD" w:rsidRPr="00873B6C" w:rsidRDefault="006648CD" w:rsidP="000040FE">
            <w:pPr>
              <w:pStyle w:val="TAL"/>
              <w:rPr>
                <w:sz w:val="16"/>
                <w:szCs w:val="16"/>
              </w:rPr>
            </w:pPr>
            <w:r w:rsidRPr="00873B6C">
              <w:rPr>
                <w:sz w:val="16"/>
                <w:szCs w:val="16"/>
              </w:rPr>
              <w:t>MUSIM capabilities in Emergency Registration</w:t>
            </w:r>
          </w:p>
        </w:tc>
        <w:tc>
          <w:tcPr>
            <w:tcW w:w="708" w:type="dxa"/>
            <w:shd w:val="solid" w:color="FFFFFF" w:fill="auto"/>
          </w:tcPr>
          <w:p w14:paraId="474EE89A" w14:textId="7B91A40C" w:rsidR="006648CD" w:rsidRPr="00873B6C" w:rsidRDefault="006648CD" w:rsidP="000040FE">
            <w:pPr>
              <w:pStyle w:val="TAC"/>
              <w:rPr>
                <w:sz w:val="16"/>
                <w:szCs w:val="16"/>
              </w:rPr>
            </w:pPr>
            <w:r w:rsidRPr="00873B6C">
              <w:rPr>
                <w:sz w:val="16"/>
                <w:szCs w:val="16"/>
              </w:rPr>
              <w:t>17.3.0</w:t>
            </w:r>
          </w:p>
        </w:tc>
      </w:tr>
      <w:tr w:rsidR="006648CD" w:rsidRPr="00873B6C" w14:paraId="0A59CABD" w14:textId="77777777" w:rsidTr="009D14FB">
        <w:tc>
          <w:tcPr>
            <w:tcW w:w="800" w:type="dxa"/>
            <w:shd w:val="solid" w:color="FFFFFF" w:fill="auto"/>
          </w:tcPr>
          <w:p w14:paraId="58C90E46" w14:textId="31C360A5"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3435719E" w14:textId="2F5F6552"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01547A3E" w14:textId="67A72318" w:rsidR="006648CD" w:rsidRPr="00873B6C" w:rsidRDefault="006648CD" w:rsidP="000040FE">
            <w:pPr>
              <w:pStyle w:val="TAC"/>
              <w:rPr>
                <w:sz w:val="16"/>
                <w:szCs w:val="16"/>
              </w:rPr>
            </w:pPr>
            <w:r w:rsidRPr="00873B6C">
              <w:rPr>
                <w:sz w:val="16"/>
                <w:szCs w:val="16"/>
              </w:rPr>
              <w:t>SP-211295</w:t>
            </w:r>
          </w:p>
        </w:tc>
        <w:tc>
          <w:tcPr>
            <w:tcW w:w="567" w:type="dxa"/>
            <w:shd w:val="solid" w:color="FFFFFF" w:fill="auto"/>
          </w:tcPr>
          <w:p w14:paraId="20E246B6" w14:textId="06AE06A8" w:rsidR="006648CD" w:rsidRPr="00873B6C" w:rsidRDefault="006648CD" w:rsidP="000040FE">
            <w:pPr>
              <w:pStyle w:val="TAL"/>
              <w:rPr>
                <w:sz w:val="16"/>
                <w:szCs w:val="16"/>
              </w:rPr>
            </w:pPr>
            <w:r w:rsidRPr="00873B6C">
              <w:rPr>
                <w:sz w:val="16"/>
                <w:szCs w:val="16"/>
              </w:rPr>
              <w:t>3240</w:t>
            </w:r>
          </w:p>
        </w:tc>
        <w:tc>
          <w:tcPr>
            <w:tcW w:w="425" w:type="dxa"/>
            <w:shd w:val="solid" w:color="FFFFFF" w:fill="auto"/>
          </w:tcPr>
          <w:p w14:paraId="23BF71B6" w14:textId="4B5B7594" w:rsidR="006648CD" w:rsidRPr="00873B6C" w:rsidRDefault="006648CD" w:rsidP="000040FE">
            <w:pPr>
              <w:pStyle w:val="TAL"/>
              <w:rPr>
                <w:sz w:val="16"/>
                <w:szCs w:val="16"/>
              </w:rPr>
            </w:pPr>
            <w:r w:rsidRPr="00873B6C">
              <w:rPr>
                <w:sz w:val="16"/>
                <w:szCs w:val="16"/>
              </w:rPr>
              <w:t>2</w:t>
            </w:r>
          </w:p>
        </w:tc>
        <w:tc>
          <w:tcPr>
            <w:tcW w:w="425" w:type="dxa"/>
            <w:shd w:val="solid" w:color="FFFFFF" w:fill="auto"/>
          </w:tcPr>
          <w:p w14:paraId="027A1DF0" w14:textId="24A75907"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21DB2E9C" w14:textId="35ABC6B8" w:rsidR="006648CD" w:rsidRPr="00873B6C" w:rsidRDefault="006648CD" w:rsidP="000040FE">
            <w:pPr>
              <w:pStyle w:val="TAL"/>
              <w:rPr>
                <w:sz w:val="16"/>
                <w:szCs w:val="16"/>
              </w:rPr>
            </w:pPr>
            <w:r w:rsidRPr="00873B6C">
              <w:rPr>
                <w:sz w:val="16"/>
                <w:szCs w:val="16"/>
              </w:rPr>
              <w:t>Network Slicing scope in relation to SNPNs</w:t>
            </w:r>
          </w:p>
        </w:tc>
        <w:tc>
          <w:tcPr>
            <w:tcW w:w="708" w:type="dxa"/>
            <w:shd w:val="solid" w:color="FFFFFF" w:fill="auto"/>
          </w:tcPr>
          <w:p w14:paraId="7097CB29" w14:textId="36989438" w:rsidR="006648CD" w:rsidRPr="00873B6C" w:rsidRDefault="006648CD" w:rsidP="000040FE">
            <w:pPr>
              <w:pStyle w:val="TAC"/>
              <w:rPr>
                <w:sz w:val="16"/>
                <w:szCs w:val="16"/>
              </w:rPr>
            </w:pPr>
            <w:r w:rsidRPr="00873B6C">
              <w:rPr>
                <w:sz w:val="16"/>
                <w:szCs w:val="16"/>
              </w:rPr>
              <w:t>17.3.0</w:t>
            </w:r>
          </w:p>
        </w:tc>
      </w:tr>
      <w:tr w:rsidR="00611C81" w:rsidRPr="00873B6C" w14:paraId="309C3553" w14:textId="77777777" w:rsidTr="009D14FB">
        <w:tc>
          <w:tcPr>
            <w:tcW w:w="800" w:type="dxa"/>
            <w:shd w:val="solid" w:color="FFFFFF" w:fill="auto"/>
          </w:tcPr>
          <w:p w14:paraId="350CE319" w14:textId="73B68106" w:rsidR="00611C81" w:rsidRPr="00873B6C" w:rsidRDefault="00611C81" w:rsidP="000040FE">
            <w:pPr>
              <w:pStyle w:val="TAC"/>
              <w:rPr>
                <w:sz w:val="16"/>
                <w:szCs w:val="16"/>
              </w:rPr>
            </w:pPr>
            <w:r w:rsidRPr="00873B6C">
              <w:rPr>
                <w:sz w:val="16"/>
                <w:szCs w:val="16"/>
              </w:rPr>
              <w:t>2021-12</w:t>
            </w:r>
          </w:p>
        </w:tc>
        <w:tc>
          <w:tcPr>
            <w:tcW w:w="800" w:type="dxa"/>
            <w:shd w:val="solid" w:color="FFFFFF" w:fill="auto"/>
          </w:tcPr>
          <w:p w14:paraId="4A711158" w14:textId="3B80B525" w:rsidR="00611C81" w:rsidRPr="00873B6C" w:rsidRDefault="00611C81" w:rsidP="000040FE">
            <w:pPr>
              <w:pStyle w:val="TAL"/>
              <w:rPr>
                <w:sz w:val="16"/>
                <w:szCs w:val="16"/>
              </w:rPr>
            </w:pPr>
            <w:r w:rsidRPr="00873B6C">
              <w:rPr>
                <w:sz w:val="16"/>
                <w:szCs w:val="16"/>
              </w:rPr>
              <w:t>SP#94E</w:t>
            </w:r>
          </w:p>
        </w:tc>
        <w:tc>
          <w:tcPr>
            <w:tcW w:w="1094" w:type="dxa"/>
            <w:shd w:val="solid" w:color="FFFFFF" w:fill="auto"/>
          </w:tcPr>
          <w:p w14:paraId="6EB33FF2" w14:textId="794CC76E" w:rsidR="00611C81" w:rsidRPr="00873B6C" w:rsidRDefault="00611C81" w:rsidP="000040FE">
            <w:pPr>
              <w:pStyle w:val="TAC"/>
              <w:rPr>
                <w:sz w:val="16"/>
                <w:szCs w:val="16"/>
              </w:rPr>
            </w:pPr>
            <w:r w:rsidRPr="00873B6C">
              <w:rPr>
                <w:sz w:val="16"/>
                <w:szCs w:val="16"/>
              </w:rPr>
              <w:t>SP-211294</w:t>
            </w:r>
          </w:p>
        </w:tc>
        <w:tc>
          <w:tcPr>
            <w:tcW w:w="567" w:type="dxa"/>
            <w:shd w:val="solid" w:color="FFFFFF" w:fill="auto"/>
          </w:tcPr>
          <w:p w14:paraId="6DA92517" w14:textId="238A2B7D" w:rsidR="00611C81" w:rsidRPr="00873B6C" w:rsidRDefault="00611C81" w:rsidP="000040FE">
            <w:pPr>
              <w:pStyle w:val="TAL"/>
              <w:rPr>
                <w:sz w:val="16"/>
                <w:szCs w:val="16"/>
              </w:rPr>
            </w:pPr>
            <w:r w:rsidRPr="00873B6C">
              <w:rPr>
                <w:sz w:val="16"/>
                <w:szCs w:val="16"/>
              </w:rPr>
              <w:t>3241</w:t>
            </w:r>
          </w:p>
        </w:tc>
        <w:tc>
          <w:tcPr>
            <w:tcW w:w="425" w:type="dxa"/>
            <w:shd w:val="solid" w:color="FFFFFF" w:fill="auto"/>
          </w:tcPr>
          <w:p w14:paraId="0D00DF11" w14:textId="229DBBCC" w:rsidR="00611C81" w:rsidRPr="00873B6C" w:rsidRDefault="00611C81" w:rsidP="000040FE">
            <w:pPr>
              <w:pStyle w:val="TAL"/>
              <w:rPr>
                <w:sz w:val="16"/>
                <w:szCs w:val="16"/>
              </w:rPr>
            </w:pPr>
            <w:r w:rsidRPr="00873B6C">
              <w:rPr>
                <w:sz w:val="16"/>
                <w:szCs w:val="16"/>
              </w:rPr>
              <w:t>1</w:t>
            </w:r>
          </w:p>
        </w:tc>
        <w:tc>
          <w:tcPr>
            <w:tcW w:w="425" w:type="dxa"/>
            <w:shd w:val="solid" w:color="FFFFFF" w:fill="auto"/>
          </w:tcPr>
          <w:p w14:paraId="757A3E74" w14:textId="0DF73989" w:rsidR="00611C81" w:rsidRPr="00873B6C" w:rsidRDefault="00611C81" w:rsidP="000040FE">
            <w:pPr>
              <w:pStyle w:val="TAL"/>
              <w:rPr>
                <w:sz w:val="16"/>
                <w:szCs w:val="16"/>
              </w:rPr>
            </w:pPr>
            <w:r w:rsidRPr="00873B6C">
              <w:rPr>
                <w:sz w:val="16"/>
                <w:szCs w:val="16"/>
              </w:rPr>
              <w:t>F</w:t>
            </w:r>
          </w:p>
        </w:tc>
        <w:tc>
          <w:tcPr>
            <w:tcW w:w="4820" w:type="dxa"/>
            <w:shd w:val="solid" w:color="FFFFFF" w:fill="auto"/>
          </w:tcPr>
          <w:p w14:paraId="6DBAD994" w14:textId="69324603" w:rsidR="00611C81" w:rsidRPr="00873B6C" w:rsidRDefault="00611C81" w:rsidP="000040FE">
            <w:pPr>
              <w:pStyle w:val="TAL"/>
              <w:rPr>
                <w:sz w:val="16"/>
                <w:szCs w:val="16"/>
              </w:rPr>
            </w:pPr>
            <w:r w:rsidRPr="00873B6C">
              <w:rPr>
                <w:sz w:val="16"/>
                <w:szCs w:val="16"/>
              </w:rPr>
              <w:t>Network slice admission control for SNPN onboarding</w:t>
            </w:r>
          </w:p>
        </w:tc>
        <w:tc>
          <w:tcPr>
            <w:tcW w:w="708" w:type="dxa"/>
            <w:shd w:val="solid" w:color="FFFFFF" w:fill="auto"/>
          </w:tcPr>
          <w:p w14:paraId="343A0345" w14:textId="7C66DDBE" w:rsidR="00611C81" w:rsidRPr="00873B6C" w:rsidRDefault="00611C81" w:rsidP="000040FE">
            <w:pPr>
              <w:pStyle w:val="TAC"/>
              <w:rPr>
                <w:sz w:val="16"/>
                <w:szCs w:val="16"/>
              </w:rPr>
            </w:pPr>
            <w:r w:rsidRPr="00873B6C">
              <w:rPr>
                <w:sz w:val="16"/>
                <w:szCs w:val="16"/>
              </w:rPr>
              <w:t>17.3.0</w:t>
            </w:r>
          </w:p>
        </w:tc>
      </w:tr>
      <w:tr w:rsidR="00611C81" w:rsidRPr="00873B6C" w14:paraId="0A8728BA" w14:textId="77777777" w:rsidTr="009D14FB">
        <w:tc>
          <w:tcPr>
            <w:tcW w:w="800" w:type="dxa"/>
            <w:shd w:val="solid" w:color="FFFFFF" w:fill="auto"/>
          </w:tcPr>
          <w:p w14:paraId="546FF05A" w14:textId="7E3214E6" w:rsidR="00611C81" w:rsidRPr="00873B6C" w:rsidRDefault="00611C81" w:rsidP="000040FE">
            <w:pPr>
              <w:pStyle w:val="TAC"/>
              <w:rPr>
                <w:sz w:val="16"/>
                <w:szCs w:val="16"/>
              </w:rPr>
            </w:pPr>
            <w:r w:rsidRPr="00873B6C">
              <w:rPr>
                <w:sz w:val="16"/>
                <w:szCs w:val="16"/>
              </w:rPr>
              <w:t>2021-12</w:t>
            </w:r>
          </w:p>
        </w:tc>
        <w:tc>
          <w:tcPr>
            <w:tcW w:w="800" w:type="dxa"/>
            <w:shd w:val="solid" w:color="FFFFFF" w:fill="auto"/>
          </w:tcPr>
          <w:p w14:paraId="65648961" w14:textId="6258B7A2" w:rsidR="00611C81" w:rsidRPr="00873B6C" w:rsidRDefault="00611C81" w:rsidP="000040FE">
            <w:pPr>
              <w:pStyle w:val="TAL"/>
              <w:rPr>
                <w:sz w:val="16"/>
                <w:szCs w:val="16"/>
              </w:rPr>
            </w:pPr>
            <w:r w:rsidRPr="00873B6C">
              <w:rPr>
                <w:sz w:val="16"/>
                <w:szCs w:val="16"/>
              </w:rPr>
              <w:t>SP#94E</w:t>
            </w:r>
          </w:p>
        </w:tc>
        <w:tc>
          <w:tcPr>
            <w:tcW w:w="1094" w:type="dxa"/>
            <w:shd w:val="solid" w:color="FFFFFF" w:fill="auto"/>
          </w:tcPr>
          <w:p w14:paraId="5CF74287" w14:textId="75F0B211" w:rsidR="00611C81" w:rsidRPr="00873B6C" w:rsidRDefault="00611C81" w:rsidP="000040FE">
            <w:pPr>
              <w:pStyle w:val="TAC"/>
              <w:rPr>
                <w:sz w:val="16"/>
                <w:szCs w:val="16"/>
              </w:rPr>
            </w:pPr>
            <w:r w:rsidRPr="00873B6C">
              <w:rPr>
                <w:sz w:val="16"/>
                <w:szCs w:val="16"/>
              </w:rPr>
              <w:t>SP-211299</w:t>
            </w:r>
          </w:p>
        </w:tc>
        <w:tc>
          <w:tcPr>
            <w:tcW w:w="567" w:type="dxa"/>
            <w:shd w:val="solid" w:color="FFFFFF" w:fill="auto"/>
          </w:tcPr>
          <w:p w14:paraId="14C00B4A" w14:textId="18663A93" w:rsidR="00611C81" w:rsidRPr="00873B6C" w:rsidRDefault="00611C81" w:rsidP="000040FE">
            <w:pPr>
              <w:pStyle w:val="TAL"/>
              <w:rPr>
                <w:sz w:val="16"/>
                <w:szCs w:val="16"/>
              </w:rPr>
            </w:pPr>
            <w:r w:rsidRPr="00873B6C">
              <w:rPr>
                <w:sz w:val="16"/>
                <w:szCs w:val="16"/>
              </w:rPr>
              <w:t>3242</w:t>
            </w:r>
          </w:p>
        </w:tc>
        <w:tc>
          <w:tcPr>
            <w:tcW w:w="425" w:type="dxa"/>
            <w:shd w:val="solid" w:color="FFFFFF" w:fill="auto"/>
          </w:tcPr>
          <w:p w14:paraId="267DCBFC" w14:textId="08AE00AF" w:rsidR="00611C81" w:rsidRPr="00873B6C" w:rsidRDefault="00611C81" w:rsidP="000040FE">
            <w:pPr>
              <w:pStyle w:val="TAL"/>
              <w:rPr>
                <w:sz w:val="16"/>
                <w:szCs w:val="16"/>
              </w:rPr>
            </w:pPr>
            <w:r w:rsidRPr="00873B6C">
              <w:rPr>
                <w:sz w:val="16"/>
                <w:szCs w:val="16"/>
              </w:rPr>
              <w:t>3</w:t>
            </w:r>
          </w:p>
        </w:tc>
        <w:tc>
          <w:tcPr>
            <w:tcW w:w="425" w:type="dxa"/>
            <w:shd w:val="solid" w:color="FFFFFF" w:fill="auto"/>
          </w:tcPr>
          <w:p w14:paraId="43073B91" w14:textId="08C1FD96" w:rsidR="00611C81" w:rsidRPr="00873B6C" w:rsidRDefault="00611C81" w:rsidP="000040FE">
            <w:pPr>
              <w:pStyle w:val="TAL"/>
              <w:rPr>
                <w:sz w:val="16"/>
                <w:szCs w:val="16"/>
              </w:rPr>
            </w:pPr>
            <w:r w:rsidRPr="00873B6C">
              <w:rPr>
                <w:sz w:val="16"/>
                <w:szCs w:val="16"/>
              </w:rPr>
              <w:t>F</w:t>
            </w:r>
          </w:p>
        </w:tc>
        <w:tc>
          <w:tcPr>
            <w:tcW w:w="4820" w:type="dxa"/>
            <w:shd w:val="solid" w:color="FFFFFF" w:fill="auto"/>
          </w:tcPr>
          <w:p w14:paraId="07850C49" w14:textId="083C16BD" w:rsidR="00611C81" w:rsidRPr="00873B6C" w:rsidRDefault="00611C81" w:rsidP="000040FE">
            <w:pPr>
              <w:pStyle w:val="TAL"/>
              <w:rPr>
                <w:sz w:val="16"/>
                <w:szCs w:val="16"/>
              </w:rPr>
            </w:pPr>
            <w:r w:rsidRPr="00873B6C">
              <w:rPr>
                <w:sz w:val="16"/>
                <w:szCs w:val="16"/>
              </w:rPr>
              <w:t>Improved PTP instance configuration management</w:t>
            </w:r>
          </w:p>
        </w:tc>
        <w:tc>
          <w:tcPr>
            <w:tcW w:w="708" w:type="dxa"/>
            <w:shd w:val="solid" w:color="FFFFFF" w:fill="auto"/>
          </w:tcPr>
          <w:p w14:paraId="1635017F" w14:textId="66FFABF7" w:rsidR="00611C81" w:rsidRPr="00873B6C" w:rsidRDefault="00611C81" w:rsidP="000040FE">
            <w:pPr>
              <w:pStyle w:val="TAC"/>
              <w:rPr>
                <w:sz w:val="16"/>
                <w:szCs w:val="16"/>
              </w:rPr>
            </w:pPr>
            <w:r w:rsidRPr="00873B6C">
              <w:rPr>
                <w:sz w:val="16"/>
                <w:szCs w:val="16"/>
              </w:rPr>
              <w:t>17.3.0</w:t>
            </w:r>
          </w:p>
        </w:tc>
      </w:tr>
      <w:tr w:rsidR="00426DE4" w:rsidRPr="00873B6C" w14:paraId="3369E736" w14:textId="77777777" w:rsidTr="009D14FB">
        <w:tc>
          <w:tcPr>
            <w:tcW w:w="800" w:type="dxa"/>
            <w:shd w:val="solid" w:color="FFFFFF" w:fill="auto"/>
          </w:tcPr>
          <w:p w14:paraId="53995DC2" w14:textId="00D7C1DC"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3DAECABF" w14:textId="7034D415"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75A4D11C" w14:textId="2BA69E3B" w:rsidR="00426DE4" w:rsidRPr="00873B6C" w:rsidRDefault="00426DE4" w:rsidP="000040FE">
            <w:pPr>
              <w:pStyle w:val="TAC"/>
              <w:rPr>
                <w:sz w:val="16"/>
                <w:szCs w:val="16"/>
              </w:rPr>
            </w:pPr>
            <w:r w:rsidRPr="00873B6C">
              <w:rPr>
                <w:sz w:val="16"/>
                <w:szCs w:val="16"/>
              </w:rPr>
              <w:t>SP-211299</w:t>
            </w:r>
          </w:p>
        </w:tc>
        <w:tc>
          <w:tcPr>
            <w:tcW w:w="567" w:type="dxa"/>
            <w:shd w:val="solid" w:color="FFFFFF" w:fill="auto"/>
          </w:tcPr>
          <w:p w14:paraId="4EF70333" w14:textId="2C2DB75F" w:rsidR="00426DE4" w:rsidRPr="00873B6C" w:rsidRDefault="00426DE4" w:rsidP="000040FE">
            <w:pPr>
              <w:pStyle w:val="TAL"/>
              <w:rPr>
                <w:sz w:val="16"/>
                <w:szCs w:val="16"/>
              </w:rPr>
            </w:pPr>
            <w:r w:rsidRPr="00873B6C">
              <w:rPr>
                <w:sz w:val="16"/>
                <w:szCs w:val="16"/>
              </w:rPr>
              <w:t>3243</w:t>
            </w:r>
          </w:p>
        </w:tc>
        <w:tc>
          <w:tcPr>
            <w:tcW w:w="425" w:type="dxa"/>
            <w:shd w:val="solid" w:color="FFFFFF" w:fill="auto"/>
          </w:tcPr>
          <w:p w14:paraId="7542A83F" w14:textId="6F215ECD" w:rsidR="00426DE4" w:rsidRPr="00873B6C" w:rsidRDefault="00426DE4" w:rsidP="000040FE">
            <w:pPr>
              <w:pStyle w:val="TAL"/>
              <w:rPr>
                <w:sz w:val="16"/>
                <w:szCs w:val="16"/>
              </w:rPr>
            </w:pPr>
            <w:r w:rsidRPr="00873B6C">
              <w:rPr>
                <w:sz w:val="16"/>
                <w:szCs w:val="16"/>
              </w:rPr>
              <w:t>-</w:t>
            </w:r>
          </w:p>
        </w:tc>
        <w:tc>
          <w:tcPr>
            <w:tcW w:w="425" w:type="dxa"/>
            <w:shd w:val="solid" w:color="FFFFFF" w:fill="auto"/>
          </w:tcPr>
          <w:p w14:paraId="193D683C" w14:textId="799E8ADF"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63D47646" w14:textId="5E024ACC" w:rsidR="00426DE4" w:rsidRPr="00873B6C" w:rsidRDefault="00426DE4" w:rsidP="000040FE">
            <w:pPr>
              <w:pStyle w:val="TAL"/>
              <w:rPr>
                <w:sz w:val="16"/>
                <w:szCs w:val="16"/>
              </w:rPr>
            </w:pPr>
            <w:r w:rsidRPr="00873B6C">
              <w:rPr>
                <w:sz w:val="16"/>
                <w:szCs w:val="16"/>
              </w:rPr>
              <w:t>Correction of the TSCTSF functionality description</w:t>
            </w:r>
          </w:p>
        </w:tc>
        <w:tc>
          <w:tcPr>
            <w:tcW w:w="708" w:type="dxa"/>
            <w:shd w:val="solid" w:color="FFFFFF" w:fill="auto"/>
          </w:tcPr>
          <w:p w14:paraId="68CA4946" w14:textId="36F16811" w:rsidR="00426DE4" w:rsidRPr="00873B6C" w:rsidRDefault="00426DE4" w:rsidP="000040FE">
            <w:pPr>
              <w:pStyle w:val="TAC"/>
              <w:rPr>
                <w:sz w:val="16"/>
                <w:szCs w:val="16"/>
              </w:rPr>
            </w:pPr>
            <w:r w:rsidRPr="00873B6C">
              <w:rPr>
                <w:sz w:val="16"/>
                <w:szCs w:val="16"/>
              </w:rPr>
              <w:t>17.3.0</w:t>
            </w:r>
          </w:p>
        </w:tc>
      </w:tr>
      <w:tr w:rsidR="00426DE4" w:rsidRPr="00873B6C" w14:paraId="023AB58E" w14:textId="77777777" w:rsidTr="009D14FB">
        <w:tc>
          <w:tcPr>
            <w:tcW w:w="800" w:type="dxa"/>
            <w:shd w:val="solid" w:color="FFFFFF" w:fill="auto"/>
          </w:tcPr>
          <w:p w14:paraId="10FB65C7" w14:textId="2153C3B5"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177C4C9D" w14:textId="2587B64C"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1693DF8B" w14:textId="3619B053" w:rsidR="00426DE4" w:rsidRPr="00873B6C" w:rsidRDefault="00426DE4" w:rsidP="000040FE">
            <w:pPr>
              <w:pStyle w:val="TAC"/>
              <w:rPr>
                <w:sz w:val="16"/>
                <w:szCs w:val="16"/>
              </w:rPr>
            </w:pPr>
            <w:r w:rsidRPr="00873B6C">
              <w:rPr>
                <w:sz w:val="16"/>
                <w:szCs w:val="16"/>
              </w:rPr>
              <w:t>SP-211299</w:t>
            </w:r>
          </w:p>
        </w:tc>
        <w:tc>
          <w:tcPr>
            <w:tcW w:w="567" w:type="dxa"/>
            <w:shd w:val="solid" w:color="FFFFFF" w:fill="auto"/>
          </w:tcPr>
          <w:p w14:paraId="41F391AE" w14:textId="191DF32D" w:rsidR="00426DE4" w:rsidRPr="00873B6C" w:rsidRDefault="00426DE4" w:rsidP="000040FE">
            <w:pPr>
              <w:pStyle w:val="TAL"/>
              <w:rPr>
                <w:sz w:val="16"/>
                <w:szCs w:val="16"/>
              </w:rPr>
            </w:pPr>
            <w:r w:rsidRPr="00873B6C">
              <w:rPr>
                <w:sz w:val="16"/>
                <w:szCs w:val="16"/>
              </w:rPr>
              <w:t>3244</w:t>
            </w:r>
          </w:p>
        </w:tc>
        <w:tc>
          <w:tcPr>
            <w:tcW w:w="425" w:type="dxa"/>
            <w:shd w:val="solid" w:color="FFFFFF" w:fill="auto"/>
          </w:tcPr>
          <w:p w14:paraId="3828888E" w14:textId="797C7F53"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060B848F" w14:textId="471C0026"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02E914AE" w14:textId="31E7B178" w:rsidR="00426DE4" w:rsidRPr="00873B6C" w:rsidRDefault="00426DE4" w:rsidP="000040FE">
            <w:pPr>
              <w:pStyle w:val="TAL"/>
              <w:rPr>
                <w:sz w:val="16"/>
                <w:szCs w:val="16"/>
              </w:rPr>
            </w:pPr>
            <w:r w:rsidRPr="00873B6C">
              <w:rPr>
                <w:sz w:val="16"/>
                <w:szCs w:val="16"/>
              </w:rPr>
              <w:t>Revisions related Time Synchronization</w:t>
            </w:r>
          </w:p>
        </w:tc>
        <w:tc>
          <w:tcPr>
            <w:tcW w:w="708" w:type="dxa"/>
            <w:shd w:val="solid" w:color="FFFFFF" w:fill="auto"/>
          </w:tcPr>
          <w:p w14:paraId="42CB0990" w14:textId="67443BEB" w:rsidR="00426DE4" w:rsidRPr="00873B6C" w:rsidRDefault="00426DE4" w:rsidP="000040FE">
            <w:pPr>
              <w:pStyle w:val="TAC"/>
              <w:rPr>
                <w:sz w:val="16"/>
                <w:szCs w:val="16"/>
              </w:rPr>
            </w:pPr>
            <w:r w:rsidRPr="00873B6C">
              <w:rPr>
                <w:sz w:val="16"/>
                <w:szCs w:val="16"/>
              </w:rPr>
              <w:t>17.3.0</w:t>
            </w:r>
          </w:p>
        </w:tc>
      </w:tr>
      <w:tr w:rsidR="00426DE4" w:rsidRPr="00873B6C" w14:paraId="283CD295" w14:textId="77777777" w:rsidTr="009D14FB">
        <w:tc>
          <w:tcPr>
            <w:tcW w:w="800" w:type="dxa"/>
            <w:shd w:val="solid" w:color="FFFFFF" w:fill="auto"/>
          </w:tcPr>
          <w:p w14:paraId="1E5CDAF8" w14:textId="40676DC7"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6B493016" w14:textId="5AEB485A"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71C6AD95" w14:textId="7BEFA493" w:rsidR="00426DE4" w:rsidRPr="00873B6C" w:rsidRDefault="00426DE4" w:rsidP="000040FE">
            <w:pPr>
              <w:pStyle w:val="TAC"/>
              <w:rPr>
                <w:sz w:val="16"/>
                <w:szCs w:val="16"/>
              </w:rPr>
            </w:pPr>
            <w:r w:rsidRPr="00873B6C">
              <w:rPr>
                <w:sz w:val="16"/>
                <w:szCs w:val="16"/>
              </w:rPr>
              <w:t>SP-211299</w:t>
            </w:r>
          </w:p>
        </w:tc>
        <w:tc>
          <w:tcPr>
            <w:tcW w:w="567" w:type="dxa"/>
            <w:shd w:val="solid" w:color="FFFFFF" w:fill="auto"/>
          </w:tcPr>
          <w:p w14:paraId="6DFE150D" w14:textId="083462E4" w:rsidR="00426DE4" w:rsidRPr="00873B6C" w:rsidRDefault="00426DE4" w:rsidP="000040FE">
            <w:pPr>
              <w:pStyle w:val="TAL"/>
              <w:rPr>
                <w:sz w:val="16"/>
                <w:szCs w:val="16"/>
              </w:rPr>
            </w:pPr>
            <w:r w:rsidRPr="00873B6C">
              <w:rPr>
                <w:sz w:val="16"/>
                <w:szCs w:val="16"/>
              </w:rPr>
              <w:t>3245</w:t>
            </w:r>
          </w:p>
        </w:tc>
        <w:tc>
          <w:tcPr>
            <w:tcW w:w="425" w:type="dxa"/>
            <w:shd w:val="solid" w:color="FFFFFF" w:fill="auto"/>
          </w:tcPr>
          <w:p w14:paraId="477A9187" w14:textId="2DEC9EB9"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442DC0FC" w14:textId="1C269FE9"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2A514E54" w14:textId="4D0BC279" w:rsidR="00426DE4" w:rsidRPr="00873B6C" w:rsidRDefault="00426DE4" w:rsidP="000040FE">
            <w:pPr>
              <w:pStyle w:val="TAL"/>
              <w:rPr>
                <w:sz w:val="16"/>
                <w:szCs w:val="16"/>
              </w:rPr>
            </w:pPr>
            <w:r w:rsidRPr="00873B6C">
              <w:rPr>
                <w:sz w:val="16"/>
                <w:szCs w:val="16"/>
              </w:rPr>
              <w:t>Clarifications on TSN AF and TSCTSF parameter handling</w:t>
            </w:r>
          </w:p>
        </w:tc>
        <w:tc>
          <w:tcPr>
            <w:tcW w:w="708" w:type="dxa"/>
            <w:shd w:val="solid" w:color="FFFFFF" w:fill="auto"/>
          </w:tcPr>
          <w:p w14:paraId="0C36AAA2" w14:textId="18392A76" w:rsidR="00426DE4" w:rsidRPr="00873B6C" w:rsidRDefault="00426DE4" w:rsidP="000040FE">
            <w:pPr>
              <w:pStyle w:val="TAC"/>
              <w:rPr>
                <w:sz w:val="16"/>
                <w:szCs w:val="16"/>
              </w:rPr>
            </w:pPr>
            <w:r w:rsidRPr="00873B6C">
              <w:rPr>
                <w:sz w:val="16"/>
                <w:szCs w:val="16"/>
              </w:rPr>
              <w:t>17.3.0</w:t>
            </w:r>
          </w:p>
        </w:tc>
      </w:tr>
      <w:tr w:rsidR="00426DE4" w:rsidRPr="00873B6C" w14:paraId="6C8599BB" w14:textId="77777777" w:rsidTr="009D14FB">
        <w:tc>
          <w:tcPr>
            <w:tcW w:w="800" w:type="dxa"/>
            <w:shd w:val="solid" w:color="FFFFFF" w:fill="auto"/>
          </w:tcPr>
          <w:p w14:paraId="1A883826" w14:textId="5C677F7C"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76DED122" w14:textId="0992AF43"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5D0A028E" w14:textId="6E55FF02" w:rsidR="00426DE4" w:rsidRPr="00873B6C" w:rsidRDefault="00426DE4" w:rsidP="000040FE">
            <w:pPr>
              <w:pStyle w:val="TAC"/>
              <w:rPr>
                <w:sz w:val="16"/>
                <w:szCs w:val="16"/>
              </w:rPr>
            </w:pPr>
            <w:r w:rsidRPr="00873B6C">
              <w:rPr>
                <w:sz w:val="16"/>
                <w:szCs w:val="16"/>
              </w:rPr>
              <w:t>SP-211304</w:t>
            </w:r>
          </w:p>
        </w:tc>
        <w:tc>
          <w:tcPr>
            <w:tcW w:w="567" w:type="dxa"/>
            <w:shd w:val="solid" w:color="FFFFFF" w:fill="auto"/>
          </w:tcPr>
          <w:p w14:paraId="6410EF81" w14:textId="08C265C7" w:rsidR="00426DE4" w:rsidRPr="00873B6C" w:rsidRDefault="00426DE4" w:rsidP="000040FE">
            <w:pPr>
              <w:pStyle w:val="TAL"/>
              <w:rPr>
                <w:sz w:val="16"/>
                <w:szCs w:val="16"/>
              </w:rPr>
            </w:pPr>
            <w:r w:rsidRPr="00873B6C">
              <w:rPr>
                <w:sz w:val="16"/>
                <w:szCs w:val="16"/>
              </w:rPr>
              <w:t>3246</w:t>
            </w:r>
          </w:p>
        </w:tc>
        <w:tc>
          <w:tcPr>
            <w:tcW w:w="425" w:type="dxa"/>
            <w:shd w:val="solid" w:color="FFFFFF" w:fill="auto"/>
          </w:tcPr>
          <w:p w14:paraId="78C1139B" w14:textId="0A814A40" w:rsidR="00426DE4" w:rsidRPr="00873B6C" w:rsidRDefault="00426DE4" w:rsidP="000040FE">
            <w:pPr>
              <w:pStyle w:val="TAL"/>
              <w:rPr>
                <w:sz w:val="16"/>
                <w:szCs w:val="16"/>
              </w:rPr>
            </w:pPr>
            <w:r w:rsidRPr="00873B6C">
              <w:rPr>
                <w:sz w:val="16"/>
                <w:szCs w:val="16"/>
              </w:rPr>
              <w:t>-</w:t>
            </w:r>
          </w:p>
        </w:tc>
        <w:tc>
          <w:tcPr>
            <w:tcW w:w="425" w:type="dxa"/>
            <w:shd w:val="solid" w:color="FFFFFF" w:fill="auto"/>
          </w:tcPr>
          <w:p w14:paraId="221A2928" w14:textId="2990D6AF" w:rsidR="00426DE4" w:rsidRPr="00873B6C" w:rsidRDefault="00426DE4" w:rsidP="000040FE">
            <w:pPr>
              <w:pStyle w:val="TAL"/>
              <w:rPr>
                <w:sz w:val="16"/>
                <w:szCs w:val="16"/>
              </w:rPr>
            </w:pPr>
            <w:r w:rsidRPr="00873B6C">
              <w:rPr>
                <w:sz w:val="16"/>
                <w:szCs w:val="16"/>
              </w:rPr>
              <w:t>C</w:t>
            </w:r>
          </w:p>
        </w:tc>
        <w:tc>
          <w:tcPr>
            <w:tcW w:w="4820" w:type="dxa"/>
            <w:shd w:val="solid" w:color="FFFFFF" w:fill="auto"/>
          </w:tcPr>
          <w:p w14:paraId="60A9A325" w14:textId="7EDC8C6D" w:rsidR="00426DE4" w:rsidRPr="00873B6C" w:rsidRDefault="00426DE4" w:rsidP="000040FE">
            <w:pPr>
              <w:pStyle w:val="TAL"/>
              <w:rPr>
                <w:sz w:val="16"/>
                <w:szCs w:val="16"/>
              </w:rPr>
            </w:pPr>
            <w:r w:rsidRPr="00873B6C">
              <w:rPr>
                <w:sz w:val="16"/>
                <w:szCs w:val="16"/>
              </w:rPr>
              <w:t>Update of clause 6.3.1.0 related to binding</w:t>
            </w:r>
          </w:p>
        </w:tc>
        <w:tc>
          <w:tcPr>
            <w:tcW w:w="708" w:type="dxa"/>
            <w:shd w:val="solid" w:color="FFFFFF" w:fill="auto"/>
          </w:tcPr>
          <w:p w14:paraId="66E4A472" w14:textId="05102B90" w:rsidR="00426DE4" w:rsidRPr="00873B6C" w:rsidRDefault="00426DE4" w:rsidP="000040FE">
            <w:pPr>
              <w:pStyle w:val="TAC"/>
              <w:rPr>
                <w:sz w:val="16"/>
                <w:szCs w:val="16"/>
              </w:rPr>
            </w:pPr>
            <w:r w:rsidRPr="00873B6C">
              <w:rPr>
                <w:sz w:val="16"/>
                <w:szCs w:val="16"/>
              </w:rPr>
              <w:t>17.3.0</w:t>
            </w:r>
          </w:p>
        </w:tc>
      </w:tr>
      <w:tr w:rsidR="00426DE4" w:rsidRPr="00873B6C" w14:paraId="652FE210" w14:textId="77777777" w:rsidTr="009D14FB">
        <w:tc>
          <w:tcPr>
            <w:tcW w:w="800" w:type="dxa"/>
            <w:shd w:val="solid" w:color="FFFFFF" w:fill="auto"/>
          </w:tcPr>
          <w:p w14:paraId="7D14C84B" w14:textId="790065DD"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2154DCC2" w14:textId="1F50B843"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4FA5CD86" w14:textId="5494AD3C" w:rsidR="00426DE4" w:rsidRPr="00873B6C" w:rsidRDefault="00426DE4" w:rsidP="000040FE">
            <w:pPr>
              <w:pStyle w:val="TAC"/>
              <w:rPr>
                <w:sz w:val="16"/>
                <w:szCs w:val="16"/>
              </w:rPr>
            </w:pPr>
            <w:r w:rsidRPr="00873B6C">
              <w:rPr>
                <w:sz w:val="16"/>
                <w:szCs w:val="16"/>
              </w:rPr>
              <w:t>SP-211288</w:t>
            </w:r>
          </w:p>
        </w:tc>
        <w:tc>
          <w:tcPr>
            <w:tcW w:w="567" w:type="dxa"/>
            <w:shd w:val="solid" w:color="FFFFFF" w:fill="auto"/>
          </w:tcPr>
          <w:p w14:paraId="26CA7FB9" w14:textId="35321FA7" w:rsidR="00426DE4" w:rsidRPr="00873B6C" w:rsidRDefault="00426DE4" w:rsidP="000040FE">
            <w:pPr>
              <w:pStyle w:val="TAL"/>
              <w:rPr>
                <w:sz w:val="16"/>
                <w:szCs w:val="16"/>
              </w:rPr>
            </w:pPr>
            <w:r w:rsidRPr="00873B6C">
              <w:rPr>
                <w:sz w:val="16"/>
                <w:szCs w:val="16"/>
              </w:rPr>
              <w:t>3247</w:t>
            </w:r>
          </w:p>
        </w:tc>
        <w:tc>
          <w:tcPr>
            <w:tcW w:w="425" w:type="dxa"/>
            <w:shd w:val="solid" w:color="FFFFFF" w:fill="auto"/>
          </w:tcPr>
          <w:p w14:paraId="4192A137" w14:textId="7D182721"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313F9FFC" w14:textId="3E66A812"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70E95AB0" w14:textId="5EC0C3B2" w:rsidR="00426DE4" w:rsidRPr="00873B6C" w:rsidRDefault="00426DE4" w:rsidP="000040FE">
            <w:pPr>
              <w:pStyle w:val="TAL"/>
              <w:rPr>
                <w:sz w:val="16"/>
                <w:szCs w:val="16"/>
              </w:rPr>
            </w:pPr>
            <w:r w:rsidRPr="00873B6C">
              <w:rPr>
                <w:sz w:val="16"/>
                <w:szCs w:val="16"/>
              </w:rPr>
              <w:t>Access performance measurements applicability to QoS Flows</w:t>
            </w:r>
          </w:p>
        </w:tc>
        <w:tc>
          <w:tcPr>
            <w:tcW w:w="708" w:type="dxa"/>
            <w:shd w:val="solid" w:color="FFFFFF" w:fill="auto"/>
          </w:tcPr>
          <w:p w14:paraId="43491177" w14:textId="524DAA19" w:rsidR="00426DE4" w:rsidRPr="00873B6C" w:rsidRDefault="00426DE4" w:rsidP="000040FE">
            <w:pPr>
              <w:pStyle w:val="TAC"/>
              <w:rPr>
                <w:sz w:val="16"/>
                <w:szCs w:val="16"/>
              </w:rPr>
            </w:pPr>
            <w:r w:rsidRPr="00873B6C">
              <w:rPr>
                <w:sz w:val="16"/>
                <w:szCs w:val="16"/>
              </w:rPr>
              <w:t>17.3.0</w:t>
            </w:r>
          </w:p>
        </w:tc>
      </w:tr>
      <w:tr w:rsidR="00426DE4" w:rsidRPr="00873B6C" w14:paraId="33391EBA" w14:textId="77777777" w:rsidTr="009D14FB">
        <w:tc>
          <w:tcPr>
            <w:tcW w:w="800" w:type="dxa"/>
            <w:shd w:val="solid" w:color="FFFFFF" w:fill="auto"/>
          </w:tcPr>
          <w:p w14:paraId="42F437C6" w14:textId="315C8BEE"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2E0C8E42" w14:textId="4670F271"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32BA3FF6" w14:textId="2CA4CEB5" w:rsidR="00426DE4" w:rsidRPr="00873B6C" w:rsidRDefault="00426DE4" w:rsidP="000040FE">
            <w:pPr>
              <w:pStyle w:val="TAC"/>
              <w:rPr>
                <w:sz w:val="16"/>
                <w:szCs w:val="16"/>
              </w:rPr>
            </w:pPr>
            <w:r w:rsidRPr="00873B6C">
              <w:rPr>
                <w:sz w:val="16"/>
                <w:szCs w:val="16"/>
              </w:rPr>
              <w:t>SP-211288</w:t>
            </w:r>
          </w:p>
        </w:tc>
        <w:tc>
          <w:tcPr>
            <w:tcW w:w="567" w:type="dxa"/>
            <w:shd w:val="solid" w:color="FFFFFF" w:fill="auto"/>
          </w:tcPr>
          <w:p w14:paraId="2E348CDF" w14:textId="60800DCE" w:rsidR="00426DE4" w:rsidRPr="00873B6C" w:rsidRDefault="00426DE4" w:rsidP="000040FE">
            <w:pPr>
              <w:pStyle w:val="TAL"/>
              <w:rPr>
                <w:sz w:val="16"/>
                <w:szCs w:val="16"/>
              </w:rPr>
            </w:pPr>
            <w:r w:rsidRPr="00873B6C">
              <w:rPr>
                <w:sz w:val="16"/>
                <w:szCs w:val="16"/>
              </w:rPr>
              <w:t>3248</w:t>
            </w:r>
          </w:p>
        </w:tc>
        <w:tc>
          <w:tcPr>
            <w:tcW w:w="425" w:type="dxa"/>
            <w:shd w:val="solid" w:color="FFFFFF" w:fill="auto"/>
          </w:tcPr>
          <w:p w14:paraId="310D0BF2" w14:textId="7964A10A"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5C9020F3" w14:textId="51D0FC8D"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204CE28C" w14:textId="10043D5F" w:rsidR="00426DE4" w:rsidRPr="00873B6C" w:rsidRDefault="00426DE4" w:rsidP="000040FE">
            <w:pPr>
              <w:pStyle w:val="TAL"/>
              <w:rPr>
                <w:sz w:val="16"/>
                <w:szCs w:val="16"/>
              </w:rPr>
            </w:pPr>
            <w:r w:rsidRPr="00873B6C">
              <w:rPr>
                <w:sz w:val="16"/>
                <w:szCs w:val="16"/>
              </w:rPr>
              <w:t>Corrections to UE assistance operation</w:t>
            </w:r>
          </w:p>
        </w:tc>
        <w:tc>
          <w:tcPr>
            <w:tcW w:w="708" w:type="dxa"/>
            <w:shd w:val="solid" w:color="FFFFFF" w:fill="auto"/>
          </w:tcPr>
          <w:p w14:paraId="409BC749" w14:textId="3BDDC17E" w:rsidR="00426DE4" w:rsidRPr="00873B6C" w:rsidRDefault="00426DE4" w:rsidP="000040FE">
            <w:pPr>
              <w:pStyle w:val="TAC"/>
              <w:rPr>
                <w:sz w:val="16"/>
                <w:szCs w:val="16"/>
              </w:rPr>
            </w:pPr>
            <w:r w:rsidRPr="00873B6C">
              <w:rPr>
                <w:sz w:val="16"/>
                <w:szCs w:val="16"/>
              </w:rPr>
              <w:t>17.3.0</w:t>
            </w:r>
          </w:p>
        </w:tc>
      </w:tr>
      <w:tr w:rsidR="00426DE4" w:rsidRPr="00873B6C" w14:paraId="4D830CFB" w14:textId="77777777" w:rsidTr="009D14FB">
        <w:tc>
          <w:tcPr>
            <w:tcW w:w="800" w:type="dxa"/>
            <w:shd w:val="solid" w:color="FFFFFF" w:fill="auto"/>
          </w:tcPr>
          <w:p w14:paraId="4AB98995" w14:textId="3795CA42"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4ADFF0CB" w14:textId="087D0DFD"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0C258985" w14:textId="6FC65954" w:rsidR="00426DE4" w:rsidRPr="00873B6C" w:rsidRDefault="00426DE4" w:rsidP="000040FE">
            <w:pPr>
              <w:pStyle w:val="TAC"/>
              <w:rPr>
                <w:sz w:val="16"/>
                <w:szCs w:val="16"/>
              </w:rPr>
            </w:pPr>
            <w:r w:rsidRPr="00873B6C">
              <w:rPr>
                <w:sz w:val="16"/>
                <w:szCs w:val="16"/>
              </w:rPr>
              <w:t>SP-211288</w:t>
            </w:r>
          </w:p>
        </w:tc>
        <w:tc>
          <w:tcPr>
            <w:tcW w:w="567" w:type="dxa"/>
            <w:shd w:val="solid" w:color="FFFFFF" w:fill="auto"/>
          </w:tcPr>
          <w:p w14:paraId="17196AC4" w14:textId="41F284ED" w:rsidR="00426DE4" w:rsidRPr="00873B6C" w:rsidRDefault="00426DE4" w:rsidP="000040FE">
            <w:pPr>
              <w:pStyle w:val="TAL"/>
              <w:rPr>
                <w:sz w:val="16"/>
                <w:szCs w:val="16"/>
              </w:rPr>
            </w:pPr>
            <w:r w:rsidRPr="00873B6C">
              <w:rPr>
                <w:sz w:val="16"/>
                <w:szCs w:val="16"/>
              </w:rPr>
              <w:t>3250</w:t>
            </w:r>
          </w:p>
        </w:tc>
        <w:tc>
          <w:tcPr>
            <w:tcW w:w="425" w:type="dxa"/>
            <w:shd w:val="solid" w:color="FFFFFF" w:fill="auto"/>
          </w:tcPr>
          <w:p w14:paraId="4521A490" w14:textId="79C44677"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36B30D77" w14:textId="46E59D6B"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0E187051" w14:textId="0EBA09EF" w:rsidR="00426DE4" w:rsidRPr="00873B6C" w:rsidRDefault="00426DE4" w:rsidP="000040FE">
            <w:pPr>
              <w:pStyle w:val="TAL"/>
              <w:rPr>
                <w:sz w:val="16"/>
                <w:szCs w:val="16"/>
              </w:rPr>
            </w:pPr>
            <w:r w:rsidRPr="00873B6C">
              <w:rPr>
                <w:sz w:val="16"/>
                <w:szCs w:val="16"/>
              </w:rPr>
              <w:t>Clarification on threshold condition</w:t>
            </w:r>
          </w:p>
        </w:tc>
        <w:tc>
          <w:tcPr>
            <w:tcW w:w="708" w:type="dxa"/>
            <w:shd w:val="solid" w:color="FFFFFF" w:fill="auto"/>
          </w:tcPr>
          <w:p w14:paraId="5A997DFC" w14:textId="7E8BB1C2" w:rsidR="00426DE4" w:rsidRPr="00873B6C" w:rsidRDefault="00426DE4" w:rsidP="000040FE">
            <w:pPr>
              <w:pStyle w:val="TAC"/>
              <w:rPr>
                <w:sz w:val="16"/>
                <w:szCs w:val="16"/>
              </w:rPr>
            </w:pPr>
            <w:r w:rsidRPr="00873B6C">
              <w:rPr>
                <w:sz w:val="16"/>
                <w:szCs w:val="16"/>
              </w:rPr>
              <w:t>17.3.0</w:t>
            </w:r>
          </w:p>
        </w:tc>
      </w:tr>
      <w:tr w:rsidR="00426DE4" w:rsidRPr="00873B6C" w14:paraId="6D4BEFD0" w14:textId="77777777" w:rsidTr="009D14FB">
        <w:tc>
          <w:tcPr>
            <w:tcW w:w="800" w:type="dxa"/>
            <w:shd w:val="solid" w:color="FFFFFF" w:fill="auto"/>
          </w:tcPr>
          <w:p w14:paraId="322E14D6" w14:textId="153C0284"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2CE232E1" w14:textId="3A39307C"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7CC6B31B" w14:textId="3FA67418" w:rsidR="00426DE4" w:rsidRPr="00873B6C" w:rsidRDefault="00426DE4" w:rsidP="000040FE">
            <w:pPr>
              <w:pStyle w:val="TAC"/>
              <w:rPr>
                <w:sz w:val="16"/>
                <w:szCs w:val="16"/>
              </w:rPr>
            </w:pPr>
            <w:r w:rsidRPr="00873B6C">
              <w:rPr>
                <w:sz w:val="16"/>
                <w:szCs w:val="16"/>
              </w:rPr>
              <w:t>SP-211301</w:t>
            </w:r>
          </w:p>
        </w:tc>
        <w:tc>
          <w:tcPr>
            <w:tcW w:w="567" w:type="dxa"/>
            <w:shd w:val="solid" w:color="FFFFFF" w:fill="auto"/>
          </w:tcPr>
          <w:p w14:paraId="6DD21D0C" w14:textId="468664CD" w:rsidR="00426DE4" w:rsidRPr="00873B6C" w:rsidRDefault="00426DE4" w:rsidP="000040FE">
            <w:pPr>
              <w:pStyle w:val="TAL"/>
              <w:rPr>
                <w:sz w:val="16"/>
                <w:szCs w:val="16"/>
              </w:rPr>
            </w:pPr>
            <w:r w:rsidRPr="00873B6C">
              <w:rPr>
                <w:sz w:val="16"/>
                <w:szCs w:val="16"/>
              </w:rPr>
              <w:t>3251</w:t>
            </w:r>
          </w:p>
        </w:tc>
        <w:tc>
          <w:tcPr>
            <w:tcW w:w="425" w:type="dxa"/>
            <w:shd w:val="solid" w:color="FFFFFF" w:fill="auto"/>
          </w:tcPr>
          <w:p w14:paraId="30B15A82" w14:textId="25DA3243"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1EE9FE87" w14:textId="715E9B96" w:rsidR="00426DE4" w:rsidRPr="00873B6C" w:rsidRDefault="00426DE4" w:rsidP="000040FE">
            <w:pPr>
              <w:pStyle w:val="TAL"/>
              <w:rPr>
                <w:sz w:val="16"/>
                <w:szCs w:val="16"/>
              </w:rPr>
            </w:pPr>
            <w:r w:rsidRPr="00873B6C">
              <w:rPr>
                <w:sz w:val="16"/>
                <w:szCs w:val="16"/>
              </w:rPr>
              <w:t>B</w:t>
            </w:r>
          </w:p>
        </w:tc>
        <w:tc>
          <w:tcPr>
            <w:tcW w:w="4820" w:type="dxa"/>
            <w:shd w:val="solid" w:color="FFFFFF" w:fill="auto"/>
          </w:tcPr>
          <w:p w14:paraId="11D63798" w14:textId="3740187D" w:rsidR="00426DE4" w:rsidRPr="00873B6C" w:rsidRDefault="00426DE4" w:rsidP="000040FE">
            <w:pPr>
              <w:pStyle w:val="TAL"/>
              <w:rPr>
                <w:sz w:val="16"/>
                <w:szCs w:val="16"/>
              </w:rPr>
            </w:pPr>
            <w:r w:rsidRPr="00873B6C">
              <w:rPr>
                <w:sz w:val="16"/>
                <w:szCs w:val="16"/>
              </w:rPr>
              <w:t>Authentication and Subscription information checking for Disaster Roaming service</w:t>
            </w:r>
          </w:p>
        </w:tc>
        <w:tc>
          <w:tcPr>
            <w:tcW w:w="708" w:type="dxa"/>
            <w:shd w:val="solid" w:color="FFFFFF" w:fill="auto"/>
          </w:tcPr>
          <w:p w14:paraId="621F7EAF" w14:textId="5BF5F404" w:rsidR="00426DE4" w:rsidRPr="00873B6C" w:rsidRDefault="00426DE4" w:rsidP="000040FE">
            <w:pPr>
              <w:pStyle w:val="TAC"/>
              <w:rPr>
                <w:sz w:val="16"/>
                <w:szCs w:val="16"/>
              </w:rPr>
            </w:pPr>
            <w:r w:rsidRPr="00873B6C">
              <w:rPr>
                <w:sz w:val="16"/>
                <w:szCs w:val="16"/>
              </w:rPr>
              <w:t>17.3.0</w:t>
            </w:r>
          </w:p>
        </w:tc>
      </w:tr>
      <w:tr w:rsidR="00426DE4" w:rsidRPr="00873B6C" w14:paraId="79D6AB15" w14:textId="77777777" w:rsidTr="009D14FB">
        <w:tc>
          <w:tcPr>
            <w:tcW w:w="800" w:type="dxa"/>
            <w:shd w:val="solid" w:color="FFFFFF" w:fill="auto"/>
          </w:tcPr>
          <w:p w14:paraId="5C8091C4" w14:textId="3B6E4D13"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4B64F148" w14:textId="118FA2E7"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7A893244" w14:textId="7A72E163" w:rsidR="00426DE4" w:rsidRPr="00873B6C" w:rsidRDefault="00426DE4" w:rsidP="000040FE">
            <w:pPr>
              <w:pStyle w:val="TAC"/>
              <w:rPr>
                <w:sz w:val="16"/>
                <w:szCs w:val="16"/>
              </w:rPr>
            </w:pPr>
            <w:r w:rsidRPr="00873B6C">
              <w:rPr>
                <w:sz w:val="16"/>
                <w:szCs w:val="16"/>
              </w:rPr>
              <w:t>SP-211301</w:t>
            </w:r>
          </w:p>
        </w:tc>
        <w:tc>
          <w:tcPr>
            <w:tcW w:w="567" w:type="dxa"/>
            <w:shd w:val="solid" w:color="FFFFFF" w:fill="auto"/>
          </w:tcPr>
          <w:p w14:paraId="7C5A561B" w14:textId="547F3111" w:rsidR="00426DE4" w:rsidRPr="00873B6C" w:rsidRDefault="00426DE4" w:rsidP="000040FE">
            <w:pPr>
              <w:pStyle w:val="TAL"/>
              <w:rPr>
                <w:sz w:val="16"/>
                <w:szCs w:val="16"/>
              </w:rPr>
            </w:pPr>
            <w:r w:rsidRPr="00873B6C">
              <w:rPr>
                <w:sz w:val="16"/>
                <w:szCs w:val="16"/>
              </w:rPr>
              <w:t>3252</w:t>
            </w:r>
          </w:p>
        </w:tc>
        <w:tc>
          <w:tcPr>
            <w:tcW w:w="425" w:type="dxa"/>
            <w:shd w:val="solid" w:color="FFFFFF" w:fill="auto"/>
          </w:tcPr>
          <w:p w14:paraId="30A6504E" w14:textId="0597C05B" w:rsidR="00426DE4" w:rsidRPr="00873B6C" w:rsidRDefault="00426DE4" w:rsidP="000040FE">
            <w:pPr>
              <w:pStyle w:val="TAL"/>
              <w:rPr>
                <w:sz w:val="16"/>
                <w:szCs w:val="16"/>
              </w:rPr>
            </w:pPr>
            <w:r w:rsidRPr="00873B6C">
              <w:rPr>
                <w:sz w:val="16"/>
                <w:szCs w:val="16"/>
              </w:rPr>
              <w:t>-</w:t>
            </w:r>
          </w:p>
        </w:tc>
        <w:tc>
          <w:tcPr>
            <w:tcW w:w="425" w:type="dxa"/>
            <w:shd w:val="solid" w:color="FFFFFF" w:fill="auto"/>
          </w:tcPr>
          <w:p w14:paraId="77639BF8" w14:textId="083CE461"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43637EEA" w14:textId="058B6001" w:rsidR="00426DE4" w:rsidRPr="00873B6C" w:rsidRDefault="00426DE4" w:rsidP="000040FE">
            <w:pPr>
              <w:pStyle w:val="TAL"/>
              <w:rPr>
                <w:sz w:val="16"/>
                <w:szCs w:val="16"/>
              </w:rPr>
            </w:pPr>
            <w:r w:rsidRPr="00873B6C">
              <w:rPr>
                <w:sz w:val="16"/>
                <w:szCs w:val="16"/>
              </w:rPr>
              <w:t>Clarification for Disaster Roaming service</w:t>
            </w:r>
          </w:p>
        </w:tc>
        <w:tc>
          <w:tcPr>
            <w:tcW w:w="708" w:type="dxa"/>
            <w:shd w:val="solid" w:color="FFFFFF" w:fill="auto"/>
          </w:tcPr>
          <w:p w14:paraId="5B08C0BB" w14:textId="3B7EA4F2" w:rsidR="00426DE4" w:rsidRPr="00873B6C" w:rsidRDefault="00426DE4" w:rsidP="000040FE">
            <w:pPr>
              <w:pStyle w:val="TAC"/>
              <w:rPr>
                <w:sz w:val="16"/>
                <w:szCs w:val="16"/>
              </w:rPr>
            </w:pPr>
            <w:r w:rsidRPr="00873B6C">
              <w:rPr>
                <w:sz w:val="16"/>
                <w:szCs w:val="16"/>
              </w:rPr>
              <w:t>17.3.0</w:t>
            </w:r>
          </w:p>
        </w:tc>
      </w:tr>
      <w:tr w:rsidR="00426DE4" w:rsidRPr="00873B6C" w14:paraId="28B7FF4C" w14:textId="77777777" w:rsidTr="009D14FB">
        <w:tc>
          <w:tcPr>
            <w:tcW w:w="800" w:type="dxa"/>
            <w:shd w:val="solid" w:color="FFFFFF" w:fill="auto"/>
          </w:tcPr>
          <w:p w14:paraId="41418832" w14:textId="35C9D3A3"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0A12B1BB" w14:textId="1AC8E391"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0A3909B6" w14:textId="3D6F5518" w:rsidR="00426DE4" w:rsidRPr="00873B6C" w:rsidRDefault="00426DE4" w:rsidP="000040FE">
            <w:pPr>
              <w:pStyle w:val="TAC"/>
              <w:rPr>
                <w:sz w:val="16"/>
                <w:szCs w:val="16"/>
              </w:rPr>
            </w:pPr>
            <w:r w:rsidRPr="00873B6C">
              <w:rPr>
                <w:sz w:val="16"/>
                <w:szCs w:val="16"/>
              </w:rPr>
              <w:t>SP-211304</w:t>
            </w:r>
          </w:p>
        </w:tc>
        <w:tc>
          <w:tcPr>
            <w:tcW w:w="567" w:type="dxa"/>
            <w:shd w:val="solid" w:color="FFFFFF" w:fill="auto"/>
          </w:tcPr>
          <w:p w14:paraId="49363620" w14:textId="464F7565" w:rsidR="00426DE4" w:rsidRPr="00873B6C" w:rsidRDefault="00426DE4" w:rsidP="000040FE">
            <w:pPr>
              <w:pStyle w:val="TAL"/>
              <w:rPr>
                <w:sz w:val="16"/>
                <w:szCs w:val="16"/>
              </w:rPr>
            </w:pPr>
            <w:r w:rsidRPr="00873B6C">
              <w:rPr>
                <w:sz w:val="16"/>
                <w:szCs w:val="16"/>
              </w:rPr>
              <w:t>3253</w:t>
            </w:r>
          </w:p>
        </w:tc>
        <w:tc>
          <w:tcPr>
            <w:tcW w:w="425" w:type="dxa"/>
            <w:shd w:val="solid" w:color="FFFFFF" w:fill="auto"/>
          </w:tcPr>
          <w:p w14:paraId="3FC74D81" w14:textId="44BF78D8"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5BF52C92" w14:textId="1083A433"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67BBCDA7" w14:textId="7B43F046" w:rsidR="00426DE4" w:rsidRPr="00873B6C" w:rsidRDefault="00426DE4" w:rsidP="000040FE">
            <w:pPr>
              <w:pStyle w:val="TAL"/>
              <w:rPr>
                <w:sz w:val="16"/>
                <w:szCs w:val="16"/>
              </w:rPr>
            </w:pPr>
            <w:r w:rsidRPr="00873B6C">
              <w:rPr>
                <w:sz w:val="16"/>
                <w:szCs w:val="16"/>
              </w:rPr>
              <w:t>Reserving some reference point numbers</w:t>
            </w:r>
          </w:p>
        </w:tc>
        <w:tc>
          <w:tcPr>
            <w:tcW w:w="708" w:type="dxa"/>
            <w:shd w:val="solid" w:color="FFFFFF" w:fill="auto"/>
          </w:tcPr>
          <w:p w14:paraId="2ACD8019" w14:textId="7BCA090F" w:rsidR="00426DE4" w:rsidRPr="00873B6C" w:rsidRDefault="00426DE4" w:rsidP="000040FE">
            <w:pPr>
              <w:pStyle w:val="TAC"/>
              <w:rPr>
                <w:sz w:val="16"/>
                <w:szCs w:val="16"/>
              </w:rPr>
            </w:pPr>
            <w:r w:rsidRPr="00873B6C">
              <w:rPr>
                <w:sz w:val="16"/>
                <w:szCs w:val="16"/>
              </w:rPr>
              <w:t>17.3.0</w:t>
            </w:r>
          </w:p>
        </w:tc>
      </w:tr>
      <w:tr w:rsidR="00426DE4" w:rsidRPr="00873B6C" w14:paraId="403F2C09" w14:textId="77777777" w:rsidTr="009D14FB">
        <w:tc>
          <w:tcPr>
            <w:tcW w:w="800" w:type="dxa"/>
            <w:shd w:val="solid" w:color="FFFFFF" w:fill="auto"/>
          </w:tcPr>
          <w:p w14:paraId="127E8FE4" w14:textId="5289309B"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1C62D20E" w14:textId="741A9441"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16212DB8" w14:textId="7CF164EF" w:rsidR="00426DE4" w:rsidRPr="00873B6C" w:rsidRDefault="00426DE4" w:rsidP="000040FE">
            <w:pPr>
              <w:pStyle w:val="TAC"/>
              <w:rPr>
                <w:sz w:val="16"/>
                <w:szCs w:val="16"/>
              </w:rPr>
            </w:pPr>
            <w:r w:rsidRPr="00873B6C">
              <w:rPr>
                <w:sz w:val="16"/>
                <w:szCs w:val="16"/>
              </w:rPr>
              <w:t>SP-211294</w:t>
            </w:r>
          </w:p>
        </w:tc>
        <w:tc>
          <w:tcPr>
            <w:tcW w:w="567" w:type="dxa"/>
            <w:shd w:val="solid" w:color="FFFFFF" w:fill="auto"/>
          </w:tcPr>
          <w:p w14:paraId="11E39C07" w14:textId="0A753BE6" w:rsidR="00426DE4" w:rsidRPr="00873B6C" w:rsidRDefault="00426DE4" w:rsidP="000040FE">
            <w:pPr>
              <w:pStyle w:val="TAL"/>
              <w:rPr>
                <w:sz w:val="16"/>
                <w:szCs w:val="16"/>
              </w:rPr>
            </w:pPr>
            <w:r w:rsidRPr="00873B6C">
              <w:rPr>
                <w:sz w:val="16"/>
                <w:szCs w:val="16"/>
              </w:rPr>
              <w:t>3254</w:t>
            </w:r>
          </w:p>
        </w:tc>
        <w:tc>
          <w:tcPr>
            <w:tcW w:w="425" w:type="dxa"/>
            <w:shd w:val="solid" w:color="FFFFFF" w:fill="auto"/>
          </w:tcPr>
          <w:p w14:paraId="63E56426" w14:textId="4651D25E"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723FFB11" w14:textId="3F393688"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1B8F9F48" w14:textId="0F4C9C38" w:rsidR="00426DE4" w:rsidRPr="00873B6C" w:rsidRDefault="00426DE4" w:rsidP="000040FE">
            <w:pPr>
              <w:pStyle w:val="TAL"/>
              <w:rPr>
                <w:sz w:val="16"/>
                <w:szCs w:val="16"/>
              </w:rPr>
            </w:pPr>
            <w:r w:rsidRPr="00873B6C">
              <w:rPr>
                <w:sz w:val="16"/>
                <w:szCs w:val="16"/>
              </w:rPr>
              <w:t>Clarification on Remote provisioning of credentials - User Plane</w:t>
            </w:r>
          </w:p>
        </w:tc>
        <w:tc>
          <w:tcPr>
            <w:tcW w:w="708" w:type="dxa"/>
            <w:shd w:val="solid" w:color="FFFFFF" w:fill="auto"/>
          </w:tcPr>
          <w:p w14:paraId="6FDE5A68" w14:textId="1BF6B546" w:rsidR="00426DE4" w:rsidRPr="00873B6C" w:rsidRDefault="00426DE4" w:rsidP="000040FE">
            <w:pPr>
              <w:pStyle w:val="TAC"/>
              <w:rPr>
                <w:sz w:val="16"/>
                <w:szCs w:val="16"/>
              </w:rPr>
            </w:pPr>
            <w:r w:rsidRPr="00873B6C">
              <w:rPr>
                <w:sz w:val="16"/>
                <w:szCs w:val="16"/>
              </w:rPr>
              <w:t>17.3.0</w:t>
            </w:r>
          </w:p>
        </w:tc>
      </w:tr>
      <w:tr w:rsidR="00426DE4" w:rsidRPr="00873B6C" w14:paraId="4DA6E4E5" w14:textId="77777777" w:rsidTr="009D14FB">
        <w:tc>
          <w:tcPr>
            <w:tcW w:w="800" w:type="dxa"/>
            <w:shd w:val="solid" w:color="FFFFFF" w:fill="auto"/>
          </w:tcPr>
          <w:p w14:paraId="04E89366" w14:textId="16A812D0"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696B742A" w14:textId="48E68570"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5A544D5E" w14:textId="5F730BB1" w:rsidR="00426DE4" w:rsidRPr="00873B6C" w:rsidRDefault="00426DE4" w:rsidP="000040FE">
            <w:pPr>
              <w:pStyle w:val="TAC"/>
              <w:rPr>
                <w:sz w:val="16"/>
                <w:szCs w:val="16"/>
              </w:rPr>
            </w:pPr>
            <w:r w:rsidRPr="00873B6C">
              <w:rPr>
                <w:sz w:val="16"/>
                <w:szCs w:val="16"/>
              </w:rPr>
              <w:t>SP-211294</w:t>
            </w:r>
          </w:p>
        </w:tc>
        <w:tc>
          <w:tcPr>
            <w:tcW w:w="567" w:type="dxa"/>
            <w:shd w:val="solid" w:color="FFFFFF" w:fill="auto"/>
          </w:tcPr>
          <w:p w14:paraId="6F28EE61" w14:textId="4DAFD13C" w:rsidR="00426DE4" w:rsidRPr="00873B6C" w:rsidRDefault="00426DE4" w:rsidP="000040FE">
            <w:pPr>
              <w:pStyle w:val="TAL"/>
              <w:rPr>
                <w:sz w:val="16"/>
                <w:szCs w:val="16"/>
              </w:rPr>
            </w:pPr>
            <w:r w:rsidRPr="00873B6C">
              <w:rPr>
                <w:sz w:val="16"/>
                <w:szCs w:val="16"/>
              </w:rPr>
              <w:t>3255</w:t>
            </w:r>
          </w:p>
        </w:tc>
        <w:tc>
          <w:tcPr>
            <w:tcW w:w="425" w:type="dxa"/>
            <w:shd w:val="solid" w:color="FFFFFF" w:fill="auto"/>
          </w:tcPr>
          <w:p w14:paraId="104DFA46" w14:textId="6B6A91FB"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1A870CCC" w14:textId="2E247C26"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4A02BEE2" w14:textId="60172237" w:rsidR="00426DE4" w:rsidRPr="00873B6C" w:rsidRDefault="00426DE4" w:rsidP="000040FE">
            <w:pPr>
              <w:pStyle w:val="TAL"/>
              <w:rPr>
                <w:sz w:val="16"/>
                <w:szCs w:val="16"/>
              </w:rPr>
            </w:pPr>
            <w:r w:rsidRPr="00873B6C">
              <w:rPr>
                <w:sz w:val="16"/>
                <w:szCs w:val="16"/>
              </w:rPr>
              <w:t>UE Configuration Data for UP Remote Provisioning provided by ONN</w:t>
            </w:r>
          </w:p>
        </w:tc>
        <w:tc>
          <w:tcPr>
            <w:tcW w:w="708" w:type="dxa"/>
            <w:shd w:val="solid" w:color="FFFFFF" w:fill="auto"/>
          </w:tcPr>
          <w:p w14:paraId="6661B698" w14:textId="2DFFA44E" w:rsidR="00426DE4" w:rsidRPr="00873B6C" w:rsidRDefault="00426DE4" w:rsidP="000040FE">
            <w:pPr>
              <w:pStyle w:val="TAC"/>
              <w:rPr>
                <w:sz w:val="16"/>
                <w:szCs w:val="16"/>
              </w:rPr>
            </w:pPr>
            <w:r w:rsidRPr="00873B6C">
              <w:rPr>
                <w:sz w:val="16"/>
                <w:szCs w:val="16"/>
              </w:rPr>
              <w:t>17.3.0</w:t>
            </w:r>
          </w:p>
        </w:tc>
      </w:tr>
      <w:tr w:rsidR="00B37A78" w:rsidRPr="00873B6C" w14:paraId="75ABF63D" w14:textId="77777777" w:rsidTr="00C9561D">
        <w:tc>
          <w:tcPr>
            <w:tcW w:w="800" w:type="dxa"/>
            <w:shd w:val="solid" w:color="FFFFFF" w:fill="auto"/>
          </w:tcPr>
          <w:p w14:paraId="5850E405" w14:textId="77777777" w:rsidR="00B37A78" w:rsidRPr="00873B6C" w:rsidRDefault="00B37A78" w:rsidP="00C9561D">
            <w:pPr>
              <w:pStyle w:val="TAC"/>
              <w:rPr>
                <w:sz w:val="16"/>
                <w:szCs w:val="16"/>
              </w:rPr>
            </w:pPr>
            <w:r w:rsidRPr="00873B6C">
              <w:rPr>
                <w:sz w:val="16"/>
                <w:szCs w:val="16"/>
              </w:rPr>
              <w:t>2021-12</w:t>
            </w:r>
          </w:p>
        </w:tc>
        <w:tc>
          <w:tcPr>
            <w:tcW w:w="800" w:type="dxa"/>
            <w:shd w:val="solid" w:color="FFFFFF" w:fill="auto"/>
          </w:tcPr>
          <w:p w14:paraId="32487E5E" w14:textId="77777777" w:rsidR="00B37A78" w:rsidRPr="00873B6C" w:rsidRDefault="00B37A78" w:rsidP="00C9561D">
            <w:pPr>
              <w:pStyle w:val="TAL"/>
              <w:rPr>
                <w:sz w:val="16"/>
                <w:szCs w:val="16"/>
              </w:rPr>
            </w:pPr>
            <w:r w:rsidRPr="00873B6C">
              <w:rPr>
                <w:sz w:val="16"/>
                <w:szCs w:val="16"/>
              </w:rPr>
              <w:t>SP#94E</w:t>
            </w:r>
          </w:p>
        </w:tc>
        <w:tc>
          <w:tcPr>
            <w:tcW w:w="1094" w:type="dxa"/>
            <w:shd w:val="solid" w:color="FFFFFF" w:fill="auto"/>
          </w:tcPr>
          <w:p w14:paraId="22249ADE" w14:textId="2DFCF99E" w:rsidR="00B37A78" w:rsidRPr="00873B6C" w:rsidRDefault="00AE12FC" w:rsidP="00C9561D">
            <w:pPr>
              <w:pStyle w:val="TAC"/>
              <w:rPr>
                <w:sz w:val="16"/>
                <w:szCs w:val="16"/>
              </w:rPr>
            </w:pPr>
            <w:r w:rsidRPr="00873B6C">
              <w:rPr>
                <w:sz w:val="16"/>
                <w:szCs w:val="16"/>
              </w:rPr>
              <w:t>SP-211627</w:t>
            </w:r>
          </w:p>
        </w:tc>
        <w:tc>
          <w:tcPr>
            <w:tcW w:w="567" w:type="dxa"/>
            <w:shd w:val="solid" w:color="FFFFFF" w:fill="auto"/>
          </w:tcPr>
          <w:p w14:paraId="7155EB65" w14:textId="77777777" w:rsidR="00B37A78" w:rsidRPr="00873B6C" w:rsidRDefault="00B37A78" w:rsidP="00C9561D">
            <w:pPr>
              <w:pStyle w:val="TAL"/>
              <w:rPr>
                <w:sz w:val="16"/>
                <w:szCs w:val="16"/>
              </w:rPr>
            </w:pPr>
            <w:r w:rsidRPr="00873B6C">
              <w:rPr>
                <w:sz w:val="16"/>
                <w:szCs w:val="16"/>
              </w:rPr>
              <w:t>3256</w:t>
            </w:r>
          </w:p>
        </w:tc>
        <w:tc>
          <w:tcPr>
            <w:tcW w:w="425" w:type="dxa"/>
            <w:shd w:val="solid" w:color="FFFFFF" w:fill="auto"/>
          </w:tcPr>
          <w:p w14:paraId="08347D1A" w14:textId="77777777" w:rsidR="00B37A78" w:rsidRPr="00873B6C" w:rsidRDefault="00B37A78" w:rsidP="00C9561D">
            <w:pPr>
              <w:pStyle w:val="TAL"/>
              <w:rPr>
                <w:sz w:val="16"/>
                <w:szCs w:val="16"/>
              </w:rPr>
            </w:pPr>
            <w:r w:rsidRPr="00873B6C">
              <w:rPr>
                <w:sz w:val="16"/>
                <w:szCs w:val="16"/>
              </w:rPr>
              <w:t>6</w:t>
            </w:r>
          </w:p>
        </w:tc>
        <w:tc>
          <w:tcPr>
            <w:tcW w:w="425" w:type="dxa"/>
            <w:shd w:val="solid" w:color="FFFFFF" w:fill="auto"/>
          </w:tcPr>
          <w:p w14:paraId="60B00837" w14:textId="77777777" w:rsidR="00B37A78" w:rsidRPr="00873B6C" w:rsidRDefault="00B37A78" w:rsidP="00C9561D">
            <w:pPr>
              <w:pStyle w:val="TAL"/>
              <w:rPr>
                <w:sz w:val="16"/>
                <w:szCs w:val="16"/>
              </w:rPr>
            </w:pPr>
            <w:r w:rsidRPr="00873B6C">
              <w:rPr>
                <w:sz w:val="16"/>
                <w:szCs w:val="16"/>
              </w:rPr>
              <w:t>F</w:t>
            </w:r>
          </w:p>
        </w:tc>
        <w:tc>
          <w:tcPr>
            <w:tcW w:w="4820" w:type="dxa"/>
            <w:shd w:val="solid" w:color="FFFFFF" w:fill="auto"/>
          </w:tcPr>
          <w:p w14:paraId="5C38018B" w14:textId="77777777" w:rsidR="00B37A78" w:rsidRPr="00873B6C" w:rsidRDefault="00B37A78" w:rsidP="00C9561D">
            <w:pPr>
              <w:pStyle w:val="TAL"/>
              <w:rPr>
                <w:sz w:val="16"/>
                <w:szCs w:val="16"/>
              </w:rPr>
            </w:pPr>
            <w:r w:rsidRPr="00873B6C">
              <w:rPr>
                <w:sz w:val="16"/>
                <w:szCs w:val="16"/>
              </w:rPr>
              <w:t>UE onboarding architecture</w:t>
            </w:r>
          </w:p>
        </w:tc>
        <w:tc>
          <w:tcPr>
            <w:tcW w:w="708" w:type="dxa"/>
            <w:shd w:val="solid" w:color="FFFFFF" w:fill="auto"/>
          </w:tcPr>
          <w:p w14:paraId="6BA009FC" w14:textId="77777777" w:rsidR="00B37A78" w:rsidRPr="00873B6C" w:rsidRDefault="00B37A78" w:rsidP="00C9561D">
            <w:pPr>
              <w:pStyle w:val="TAC"/>
              <w:rPr>
                <w:sz w:val="16"/>
                <w:szCs w:val="16"/>
              </w:rPr>
            </w:pPr>
            <w:r w:rsidRPr="00873B6C">
              <w:rPr>
                <w:sz w:val="16"/>
                <w:szCs w:val="16"/>
              </w:rPr>
              <w:t>17.3.0</w:t>
            </w:r>
          </w:p>
        </w:tc>
      </w:tr>
      <w:tr w:rsidR="00F00626" w:rsidRPr="00873B6C" w14:paraId="5A8C4976" w14:textId="77777777" w:rsidTr="009D14FB">
        <w:tc>
          <w:tcPr>
            <w:tcW w:w="800" w:type="dxa"/>
            <w:shd w:val="solid" w:color="FFFFFF" w:fill="auto"/>
          </w:tcPr>
          <w:p w14:paraId="731D20E0" w14:textId="52EB2203" w:rsidR="00F00626" w:rsidRPr="00873B6C" w:rsidRDefault="00F00626" w:rsidP="000040FE">
            <w:pPr>
              <w:pStyle w:val="TAC"/>
              <w:rPr>
                <w:sz w:val="16"/>
                <w:szCs w:val="16"/>
              </w:rPr>
            </w:pPr>
            <w:r w:rsidRPr="00873B6C">
              <w:rPr>
                <w:sz w:val="16"/>
                <w:szCs w:val="16"/>
              </w:rPr>
              <w:t>2021-12</w:t>
            </w:r>
          </w:p>
        </w:tc>
        <w:tc>
          <w:tcPr>
            <w:tcW w:w="800" w:type="dxa"/>
            <w:shd w:val="solid" w:color="FFFFFF" w:fill="auto"/>
          </w:tcPr>
          <w:p w14:paraId="3F831D59" w14:textId="2184A761" w:rsidR="00F00626" w:rsidRPr="00873B6C" w:rsidRDefault="00F00626" w:rsidP="000040FE">
            <w:pPr>
              <w:pStyle w:val="TAL"/>
              <w:rPr>
                <w:sz w:val="16"/>
                <w:szCs w:val="16"/>
              </w:rPr>
            </w:pPr>
            <w:r w:rsidRPr="00873B6C">
              <w:rPr>
                <w:sz w:val="16"/>
                <w:szCs w:val="16"/>
              </w:rPr>
              <w:t>SP#94E</w:t>
            </w:r>
          </w:p>
        </w:tc>
        <w:tc>
          <w:tcPr>
            <w:tcW w:w="1094" w:type="dxa"/>
            <w:shd w:val="solid" w:color="FFFFFF" w:fill="auto"/>
          </w:tcPr>
          <w:p w14:paraId="2409AF6F" w14:textId="6A8A332D" w:rsidR="00F00626" w:rsidRPr="00873B6C" w:rsidRDefault="00F00626" w:rsidP="000040FE">
            <w:pPr>
              <w:pStyle w:val="TAC"/>
              <w:rPr>
                <w:sz w:val="16"/>
                <w:szCs w:val="16"/>
              </w:rPr>
            </w:pPr>
            <w:r w:rsidRPr="00873B6C">
              <w:rPr>
                <w:sz w:val="16"/>
                <w:szCs w:val="16"/>
              </w:rPr>
              <w:t>SP-211294</w:t>
            </w:r>
          </w:p>
        </w:tc>
        <w:tc>
          <w:tcPr>
            <w:tcW w:w="567" w:type="dxa"/>
            <w:shd w:val="solid" w:color="FFFFFF" w:fill="auto"/>
          </w:tcPr>
          <w:p w14:paraId="229BEF78" w14:textId="43E1099E" w:rsidR="00F00626" w:rsidRPr="00873B6C" w:rsidRDefault="00F00626" w:rsidP="000040FE">
            <w:pPr>
              <w:pStyle w:val="TAL"/>
              <w:rPr>
                <w:sz w:val="16"/>
                <w:szCs w:val="16"/>
              </w:rPr>
            </w:pPr>
            <w:r w:rsidRPr="00873B6C">
              <w:rPr>
                <w:sz w:val="16"/>
                <w:szCs w:val="16"/>
              </w:rPr>
              <w:t>3257</w:t>
            </w:r>
          </w:p>
        </w:tc>
        <w:tc>
          <w:tcPr>
            <w:tcW w:w="425" w:type="dxa"/>
            <w:shd w:val="solid" w:color="FFFFFF" w:fill="auto"/>
          </w:tcPr>
          <w:p w14:paraId="533EA6A2" w14:textId="0B386C19" w:rsidR="00F00626" w:rsidRPr="00873B6C" w:rsidRDefault="00F00626" w:rsidP="000040FE">
            <w:pPr>
              <w:pStyle w:val="TAL"/>
              <w:rPr>
                <w:sz w:val="16"/>
                <w:szCs w:val="16"/>
              </w:rPr>
            </w:pPr>
            <w:r w:rsidRPr="00873B6C">
              <w:rPr>
                <w:sz w:val="16"/>
                <w:szCs w:val="16"/>
              </w:rPr>
              <w:t>3</w:t>
            </w:r>
          </w:p>
        </w:tc>
        <w:tc>
          <w:tcPr>
            <w:tcW w:w="425" w:type="dxa"/>
            <w:shd w:val="solid" w:color="FFFFFF" w:fill="auto"/>
          </w:tcPr>
          <w:p w14:paraId="258B7F1A" w14:textId="6EE4D507" w:rsidR="00F00626" w:rsidRPr="00873B6C" w:rsidRDefault="00F00626" w:rsidP="000040FE">
            <w:pPr>
              <w:pStyle w:val="TAL"/>
              <w:rPr>
                <w:sz w:val="16"/>
                <w:szCs w:val="16"/>
              </w:rPr>
            </w:pPr>
            <w:r w:rsidRPr="00873B6C">
              <w:rPr>
                <w:sz w:val="16"/>
                <w:szCs w:val="16"/>
              </w:rPr>
              <w:t>D</w:t>
            </w:r>
          </w:p>
        </w:tc>
        <w:tc>
          <w:tcPr>
            <w:tcW w:w="4820" w:type="dxa"/>
            <w:shd w:val="solid" w:color="FFFFFF" w:fill="auto"/>
          </w:tcPr>
          <w:p w14:paraId="7397D1A6" w14:textId="727F4F90" w:rsidR="00F00626" w:rsidRPr="00873B6C" w:rsidRDefault="00F00626" w:rsidP="000040FE">
            <w:pPr>
              <w:pStyle w:val="TAL"/>
              <w:rPr>
                <w:sz w:val="16"/>
                <w:szCs w:val="16"/>
              </w:rPr>
            </w:pPr>
            <w:r w:rsidRPr="00873B6C">
              <w:rPr>
                <w:sz w:val="16"/>
                <w:szCs w:val="16"/>
              </w:rPr>
              <w:t>Rapporteur's editorial cleanup for eNPN</w:t>
            </w:r>
          </w:p>
        </w:tc>
        <w:tc>
          <w:tcPr>
            <w:tcW w:w="708" w:type="dxa"/>
            <w:shd w:val="solid" w:color="FFFFFF" w:fill="auto"/>
          </w:tcPr>
          <w:p w14:paraId="2252B8E7" w14:textId="543142D2" w:rsidR="00F00626" w:rsidRPr="00873B6C" w:rsidRDefault="00F00626" w:rsidP="000040FE">
            <w:pPr>
              <w:pStyle w:val="TAC"/>
              <w:rPr>
                <w:sz w:val="16"/>
                <w:szCs w:val="16"/>
              </w:rPr>
            </w:pPr>
            <w:r w:rsidRPr="00873B6C">
              <w:rPr>
                <w:sz w:val="16"/>
                <w:szCs w:val="16"/>
              </w:rPr>
              <w:t>17.3.0</w:t>
            </w:r>
          </w:p>
        </w:tc>
      </w:tr>
      <w:tr w:rsidR="00F00626" w:rsidRPr="00873B6C" w14:paraId="35E03E64" w14:textId="77777777" w:rsidTr="009D14FB">
        <w:tc>
          <w:tcPr>
            <w:tcW w:w="800" w:type="dxa"/>
            <w:shd w:val="solid" w:color="FFFFFF" w:fill="auto"/>
          </w:tcPr>
          <w:p w14:paraId="5CC5111C" w14:textId="76C65891" w:rsidR="00F00626" w:rsidRPr="00873B6C" w:rsidRDefault="00F00626" w:rsidP="000040FE">
            <w:pPr>
              <w:pStyle w:val="TAC"/>
              <w:rPr>
                <w:sz w:val="16"/>
                <w:szCs w:val="16"/>
              </w:rPr>
            </w:pPr>
            <w:r w:rsidRPr="00873B6C">
              <w:rPr>
                <w:sz w:val="16"/>
                <w:szCs w:val="16"/>
              </w:rPr>
              <w:t>2021-12</w:t>
            </w:r>
          </w:p>
        </w:tc>
        <w:tc>
          <w:tcPr>
            <w:tcW w:w="800" w:type="dxa"/>
            <w:shd w:val="solid" w:color="FFFFFF" w:fill="auto"/>
          </w:tcPr>
          <w:p w14:paraId="0F2E39FD" w14:textId="3240B580" w:rsidR="00F00626" w:rsidRPr="00873B6C" w:rsidRDefault="00F00626" w:rsidP="000040FE">
            <w:pPr>
              <w:pStyle w:val="TAL"/>
              <w:rPr>
                <w:sz w:val="16"/>
                <w:szCs w:val="16"/>
              </w:rPr>
            </w:pPr>
            <w:r w:rsidRPr="00873B6C">
              <w:rPr>
                <w:sz w:val="16"/>
                <w:szCs w:val="16"/>
              </w:rPr>
              <w:t>SP#94E</w:t>
            </w:r>
          </w:p>
        </w:tc>
        <w:tc>
          <w:tcPr>
            <w:tcW w:w="1094" w:type="dxa"/>
            <w:shd w:val="solid" w:color="FFFFFF" w:fill="auto"/>
          </w:tcPr>
          <w:p w14:paraId="7B735814" w14:textId="06AD03BE" w:rsidR="00F00626" w:rsidRPr="00873B6C" w:rsidRDefault="00F00626" w:rsidP="000040FE">
            <w:pPr>
              <w:pStyle w:val="TAC"/>
              <w:rPr>
                <w:sz w:val="16"/>
                <w:szCs w:val="16"/>
              </w:rPr>
            </w:pPr>
            <w:r w:rsidRPr="00873B6C">
              <w:rPr>
                <w:sz w:val="16"/>
                <w:szCs w:val="16"/>
              </w:rPr>
              <w:t>SP-211299</w:t>
            </w:r>
          </w:p>
        </w:tc>
        <w:tc>
          <w:tcPr>
            <w:tcW w:w="567" w:type="dxa"/>
            <w:shd w:val="solid" w:color="FFFFFF" w:fill="auto"/>
          </w:tcPr>
          <w:p w14:paraId="1306E7D0" w14:textId="33CE836D" w:rsidR="00F00626" w:rsidRPr="00873B6C" w:rsidRDefault="00F00626" w:rsidP="000040FE">
            <w:pPr>
              <w:pStyle w:val="TAL"/>
              <w:rPr>
                <w:sz w:val="16"/>
                <w:szCs w:val="16"/>
              </w:rPr>
            </w:pPr>
            <w:r w:rsidRPr="00873B6C">
              <w:rPr>
                <w:sz w:val="16"/>
                <w:szCs w:val="16"/>
              </w:rPr>
              <w:t>3260</w:t>
            </w:r>
          </w:p>
        </w:tc>
        <w:tc>
          <w:tcPr>
            <w:tcW w:w="425" w:type="dxa"/>
            <w:shd w:val="solid" w:color="FFFFFF" w:fill="auto"/>
          </w:tcPr>
          <w:p w14:paraId="0AF7C373" w14:textId="281DC46D" w:rsidR="00F00626" w:rsidRPr="00873B6C" w:rsidRDefault="00F00626" w:rsidP="000040FE">
            <w:pPr>
              <w:pStyle w:val="TAL"/>
              <w:rPr>
                <w:sz w:val="16"/>
                <w:szCs w:val="16"/>
              </w:rPr>
            </w:pPr>
            <w:r w:rsidRPr="00873B6C">
              <w:rPr>
                <w:sz w:val="16"/>
                <w:szCs w:val="16"/>
              </w:rPr>
              <w:t>1</w:t>
            </w:r>
          </w:p>
        </w:tc>
        <w:tc>
          <w:tcPr>
            <w:tcW w:w="425" w:type="dxa"/>
            <w:shd w:val="solid" w:color="FFFFFF" w:fill="auto"/>
          </w:tcPr>
          <w:p w14:paraId="5E11BEAF" w14:textId="7ABC9FC9" w:rsidR="00F00626" w:rsidRPr="00873B6C" w:rsidRDefault="00F00626" w:rsidP="000040FE">
            <w:pPr>
              <w:pStyle w:val="TAL"/>
              <w:rPr>
                <w:sz w:val="16"/>
                <w:szCs w:val="16"/>
              </w:rPr>
            </w:pPr>
            <w:r w:rsidRPr="00873B6C">
              <w:rPr>
                <w:sz w:val="16"/>
                <w:szCs w:val="16"/>
              </w:rPr>
              <w:t>F</w:t>
            </w:r>
          </w:p>
        </w:tc>
        <w:tc>
          <w:tcPr>
            <w:tcW w:w="4820" w:type="dxa"/>
            <w:shd w:val="solid" w:color="FFFFFF" w:fill="auto"/>
          </w:tcPr>
          <w:p w14:paraId="69CD2A58" w14:textId="1E433426" w:rsidR="00F00626" w:rsidRPr="00873B6C" w:rsidRDefault="00F00626" w:rsidP="000040FE">
            <w:pPr>
              <w:pStyle w:val="TAL"/>
              <w:rPr>
                <w:sz w:val="16"/>
                <w:szCs w:val="16"/>
              </w:rPr>
            </w:pPr>
            <w:r w:rsidRPr="00873B6C">
              <w:rPr>
                <w:sz w:val="16"/>
                <w:szCs w:val="16"/>
              </w:rPr>
              <w:t>Link delay measurement for the end-to-end Transparent Clock</w:t>
            </w:r>
          </w:p>
        </w:tc>
        <w:tc>
          <w:tcPr>
            <w:tcW w:w="708" w:type="dxa"/>
            <w:shd w:val="solid" w:color="FFFFFF" w:fill="auto"/>
          </w:tcPr>
          <w:p w14:paraId="7EDE6BF3" w14:textId="6C59536B" w:rsidR="00F00626" w:rsidRPr="00873B6C" w:rsidRDefault="00F00626" w:rsidP="000040FE">
            <w:pPr>
              <w:pStyle w:val="TAC"/>
              <w:rPr>
                <w:sz w:val="16"/>
                <w:szCs w:val="16"/>
              </w:rPr>
            </w:pPr>
            <w:r w:rsidRPr="00873B6C">
              <w:rPr>
                <w:sz w:val="16"/>
                <w:szCs w:val="16"/>
              </w:rPr>
              <w:t>17.3.0</w:t>
            </w:r>
          </w:p>
        </w:tc>
      </w:tr>
      <w:tr w:rsidR="00627C2F" w:rsidRPr="00873B6C" w14:paraId="038C7C23" w14:textId="77777777" w:rsidTr="009D14FB">
        <w:tc>
          <w:tcPr>
            <w:tcW w:w="800" w:type="dxa"/>
            <w:shd w:val="solid" w:color="FFFFFF" w:fill="auto"/>
          </w:tcPr>
          <w:p w14:paraId="793627F3" w14:textId="3F82F859" w:rsidR="00627C2F" w:rsidRPr="00873B6C" w:rsidRDefault="00627C2F" w:rsidP="000040FE">
            <w:pPr>
              <w:pStyle w:val="TAC"/>
              <w:rPr>
                <w:sz w:val="16"/>
                <w:szCs w:val="16"/>
              </w:rPr>
            </w:pPr>
            <w:r w:rsidRPr="00873B6C">
              <w:rPr>
                <w:sz w:val="16"/>
                <w:szCs w:val="16"/>
              </w:rPr>
              <w:t>2021-12</w:t>
            </w:r>
          </w:p>
        </w:tc>
        <w:tc>
          <w:tcPr>
            <w:tcW w:w="800" w:type="dxa"/>
            <w:shd w:val="solid" w:color="FFFFFF" w:fill="auto"/>
          </w:tcPr>
          <w:p w14:paraId="2DA78BF7" w14:textId="1E7E3990" w:rsidR="00627C2F" w:rsidRPr="00873B6C" w:rsidRDefault="00627C2F" w:rsidP="000040FE">
            <w:pPr>
              <w:pStyle w:val="TAL"/>
              <w:rPr>
                <w:sz w:val="16"/>
                <w:szCs w:val="16"/>
              </w:rPr>
            </w:pPr>
            <w:r w:rsidRPr="00873B6C">
              <w:rPr>
                <w:sz w:val="16"/>
                <w:szCs w:val="16"/>
              </w:rPr>
              <w:t>SP#94E</w:t>
            </w:r>
          </w:p>
        </w:tc>
        <w:tc>
          <w:tcPr>
            <w:tcW w:w="1094" w:type="dxa"/>
            <w:shd w:val="solid" w:color="FFFFFF" w:fill="auto"/>
          </w:tcPr>
          <w:p w14:paraId="0FB151C8" w14:textId="303B7F92" w:rsidR="00627C2F" w:rsidRPr="00873B6C" w:rsidRDefault="00627C2F" w:rsidP="000040FE">
            <w:pPr>
              <w:pStyle w:val="TAC"/>
              <w:rPr>
                <w:sz w:val="16"/>
                <w:szCs w:val="16"/>
              </w:rPr>
            </w:pPr>
            <w:r w:rsidRPr="00873B6C">
              <w:rPr>
                <w:sz w:val="16"/>
                <w:szCs w:val="16"/>
              </w:rPr>
              <w:t>SP-211295</w:t>
            </w:r>
          </w:p>
        </w:tc>
        <w:tc>
          <w:tcPr>
            <w:tcW w:w="567" w:type="dxa"/>
            <w:shd w:val="solid" w:color="FFFFFF" w:fill="auto"/>
          </w:tcPr>
          <w:p w14:paraId="209B3156" w14:textId="54E2A3BF" w:rsidR="00627C2F" w:rsidRPr="00873B6C" w:rsidRDefault="00627C2F" w:rsidP="000040FE">
            <w:pPr>
              <w:pStyle w:val="TAL"/>
              <w:rPr>
                <w:sz w:val="16"/>
                <w:szCs w:val="16"/>
              </w:rPr>
            </w:pPr>
            <w:r w:rsidRPr="00873B6C">
              <w:rPr>
                <w:sz w:val="16"/>
                <w:szCs w:val="16"/>
              </w:rPr>
              <w:t>3261</w:t>
            </w:r>
          </w:p>
        </w:tc>
        <w:tc>
          <w:tcPr>
            <w:tcW w:w="425" w:type="dxa"/>
            <w:shd w:val="solid" w:color="FFFFFF" w:fill="auto"/>
          </w:tcPr>
          <w:p w14:paraId="7CC0753F" w14:textId="394271C4" w:rsidR="00627C2F" w:rsidRPr="00873B6C" w:rsidRDefault="00627C2F" w:rsidP="000040FE">
            <w:pPr>
              <w:pStyle w:val="TAL"/>
              <w:rPr>
                <w:sz w:val="16"/>
                <w:szCs w:val="16"/>
              </w:rPr>
            </w:pPr>
            <w:r w:rsidRPr="00873B6C">
              <w:rPr>
                <w:sz w:val="16"/>
                <w:szCs w:val="16"/>
              </w:rPr>
              <w:t>2</w:t>
            </w:r>
          </w:p>
        </w:tc>
        <w:tc>
          <w:tcPr>
            <w:tcW w:w="425" w:type="dxa"/>
            <w:shd w:val="solid" w:color="FFFFFF" w:fill="auto"/>
          </w:tcPr>
          <w:p w14:paraId="7E5EFD40" w14:textId="0D1FE071" w:rsidR="00627C2F" w:rsidRPr="00873B6C" w:rsidRDefault="00627C2F" w:rsidP="000040FE">
            <w:pPr>
              <w:pStyle w:val="TAL"/>
              <w:rPr>
                <w:sz w:val="16"/>
                <w:szCs w:val="16"/>
              </w:rPr>
            </w:pPr>
            <w:r w:rsidRPr="00873B6C">
              <w:rPr>
                <w:sz w:val="16"/>
                <w:szCs w:val="16"/>
              </w:rPr>
              <w:t>F</w:t>
            </w:r>
          </w:p>
        </w:tc>
        <w:tc>
          <w:tcPr>
            <w:tcW w:w="4820" w:type="dxa"/>
            <w:shd w:val="solid" w:color="FFFFFF" w:fill="auto"/>
          </w:tcPr>
          <w:p w14:paraId="1D267AC3" w14:textId="52A257D7" w:rsidR="00627C2F" w:rsidRPr="00873B6C" w:rsidRDefault="00627C2F" w:rsidP="000040FE">
            <w:pPr>
              <w:pStyle w:val="TAL"/>
              <w:rPr>
                <w:sz w:val="16"/>
                <w:szCs w:val="16"/>
              </w:rPr>
            </w:pPr>
            <w:r w:rsidRPr="00873B6C">
              <w:rPr>
                <w:sz w:val="16"/>
                <w:szCs w:val="16"/>
              </w:rPr>
              <w:t>NSAC clarification</w:t>
            </w:r>
          </w:p>
        </w:tc>
        <w:tc>
          <w:tcPr>
            <w:tcW w:w="708" w:type="dxa"/>
            <w:shd w:val="solid" w:color="FFFFFF" w:fill="auto"/>
          </w:tcPr>
          <w:p w14:paraId="68403DB7" w14:textId="45D4F2C4" w:rsidR="00627C2F" w:rsidRPr="00873B6C" w:rsidRDefault="00627C2F" w:rsidP="000040FE">
            <w:pPr>
              <w:pStyle w:val="TAC"/>
              <w:rPr>
                <w:sz w:val="16"/>
                <w:szCs w:val="16"/>
              </w:rPr>
            </w:pPr>
            <w:r w:rsidRPr="00873B6C">
              <w:rPr>
                <w:sz w:val="16"/>
                <w:szCs w:val="16"/>
              </w:rPr>
              <w:t>17.3.0</w:t>
            </w:r>
          </w:p>
        </w:tc>
      </w:tr>
      <w:tr w:rsidR="00627C2F" w:rsidRPr="00873B6C" w14:paraId="0132C685" w14:textId="77777777" w:rsidTr="009D14FB">
        <w:tc>
          <w:tcPr>
            <w:tcW w:w="800" w:type="dxa"/>
            <w:shd w:val="solid" w:color="FFFFFF" w:fill="auto"/>
          </w:tcPr>
          <w:p w14:paraId="2D4631EF" w14:textId="13F68D53" w:rsidR="00627C2F" w:rsidRPr="00873B6C" w:rsidRDefault="00627C2F" w:rsidP="000040FE">
            <w:pPr>
              <w:pStyle w:val="TAC"/>
              <w:rPr>
                <w:sz w:val="16"/>
                <w:szCs w:val="16"/>
              </w:rPr>
            </w:pPr>
            <w:r w:rsidRPr="00873B6C">
              <w:rPr>
                <w:sz w:val="16"/>
                <w:szCs w:val="16"/>
              </w:rPr>
              <w:t>2021-12</w:t>
            </w:r>
          </w:p>
        </w:tc>
        <w:tc>
          <w:tcPr>
            <w:tcW w:w="800" w:type="dxa"/>
            <w:shd w:val="solid" w:color="FFFFFF" w:fill="auto"/>
          </w:tcPr>
          <w:p w14:paraId="78F67543" w14:textId="749854AF" w:rsidR="00627C2F" w:rsidRPr="00873B6C" w:rsidRDefault="00627C2F" w:rsidP="000040FE">
            <w:pPr>
              <w:pStyle w:val="TAL"/>
              <w:rPr>
                <w:sz w:val="16"/>
                <w:szCs w:val="16"/>
              </w:rPr>
            </w:pPr>
            <w:r w:rsidRPr="00873B6C">
              <w:rPr>
                <w:sz w:val="16"/>
                <w:szCs w:val="16"/>
              </w:rPr>
              <w:t>SP#94E</w:t>
            </w:r>
          </w:p>
        </w:tc>
        <w:tc>
          <w:tcPr>
            <w:tcW w:w="1094" w:type="dxa"/>
            <w:shd w:val="solid" w:color="FFFFFF" w:fill="auto"/>
          </w:tcPr>
          <w:p w14:paraId="21FD8A92" w14:textId="78304610" w:rsidR="00627C2F" w:rsidRPr="00873B6C" w:rsidRDefault="00627C2F" w:rsidP="000040FE">
            <w:pPr>
              <w:pStyle w:val="TAC"/>
              <w:rPr>
                <w:sz w:val="16"/>
                <w:szCs w:val="16"/>
              </w:rPr>
            </w:pPr>
            <w:r w:rsidRPr="00873B6C">
              <w:rPr>
                <w:sz w:val="16"/>
                <w:szCs w:val="16"/>
              </w:rPr>
              <w:t>SP-211301</w:t>
            </w:r>
          </w:p>
        </w:tc>
        <w:tc>
          <w:tcPr>
            <w:tcW w:w="567" w:type="dxa"/>
            <w:shd w:val="solid" w:color="FFFFFF" w:fill="auto"/>
          </w:tcPr>
          <w:p w14:paraId="16B9C700" w14:textId="6BC4D554" w:rsidR="00627C2F" w:rsidRPr="00873B6C" w:rsidRDefault="00627C2F" w:rsidP="000040FE">
            <w:pPr>
              <w:pStyle w:val="TAL"/>
              <w:rPr>
                <w:sz w:val="16"/>
                <w:szCs w:val="16"/>
              </w:rPr>
            </w:pPr>
            <w:r w:rsidRPr="00873B6C">
              <w:rPr>
                <w:sz w:val="16"/>
                <w:szCs w:val="16"/>
              </w:rPr>
              <w:t>3264</w:t>
            </w:r>
          </w:p>
        </w:tc>
        <w:tc>
          <w:tcPr>
            <w:tcW w:w="425" w:type="dxa"/>
            <w:shd w:val="solid" w:color="FFFFFF" w:fill="auto"/>
          </w:tcPr>
          <w:p w14:paraId="70141B2C" w14:textId="1933A337" w:rsidR="00627C2F" w:rsidRPr="00873B6C" w:rsidRDefault="00627C2F" w:rsidP="000040FE">
            <w:pPr>
              <w:pStyle w:val="TAL"/>
              <w:rPr>
                <w:sz w:val="16"/>
                <w:szCs w:val="16"/>
              </w:rPr>
            </w:pPr>
            <w:r w:rsidRPr="00873B6C">
              <w:rPr>
                <w:sz w:val="16"/>
                <w:szCs w:val="16"/>
              </w:rPr>
              <w:t>3</w:t>
            </w:r>
          </w:p>
        </w:tc>
        <w:tc>
          <w:tcPr>
            <w:tcW w:w="425" w:type="dxa"/>
            <w:shd w:val="solid" w:color="FFFFFF" w:fill="auto"/>
          </w:tcPr>
          <w:p w14:paraId="4E634E76" w14:textId="146A5648" w:rsidR="00627C2F" w:rsidRPr="00873B6C" w:rsidRDefault="00627C2F" w:rsidP="000040FE">
            <w:pPr>
              <w:pStyle w:val="TAL"/>
              <w:rPr>
                <w:sz w:val="16"/>
                <w:szCs w:val="16"/>
              </w:rPr>
            </w:pPr>
            <w:r w:rsidRPr="00873B6C">
              <w:rPr>
                <w:sz w:val="16"/>
                <w:szCs w:val="16"/>
              </w:rPr>
              <w:t>F</w:t>
            </w:r>
          </w:p>
        </w:tc>
        <w:tc>
          <w:tcPr>
            <w:tcW w:w="4820" w:type="dxa"/>
            <w:shd w:val="solid" w:color="FFFFFF" w:fill="auto"/>
          </w:tcPr>
          <w:p w14:paraId="52C5D8DC" w14:textId="0603EFB4" w:rsidR="00627C2F" w:rsidRPr="00873B6C" w:rsidRDefault="00627C2F" w:rsidP="000040FE">
            <w:pPr>
              <w:pStyle w:val="TAL"/>
              <w:rPr>
                <w:sz w:val="16"/>
                <w:szCs w:val="16"/>
              </w:rPr>
            </w:pPr>
            <w:r w:rsidRPr="00873B6C">
              <w:rPr>
                <w:sz w:val="16"/>
                <w:szCs w:val="16"/>
              </w:rPr>
              <w:t>MINT Updates</w:t>
            </w:r>
          </w:p>
        </w:tc>
        <w:tc>
          <w:tcPr>
            <w:tcW w:w="708" w:type="dxa"/>
            <w:shd w:val="solid" w:color="FFFFFF" w:fill="auto"/>
          </w:tcPr>
          <w:p w14:paraId="0B1D6184" w14:textId="49A348F5" w:rsidR="00627C2F" w:rsidRPr="00873B6C" w:rsidRDefault="00627C2F" w:rsidP="000040FE">
            <w:pPr>
              <w:pStyle w:val="TAC"/>
              <w:rPr>
                <w:sz w:val="16"/>
                <w:szCs w:val="16"/>
              </w:rPr>
            </w:pPr>
            <w:r w:rsidRPr="00873B6C">
              <w:rPr>
                <w:sz w:val="16"/>
                <w:szCs w:val="16"/>
              </w:rPr>
              <w:t>17.3.0</w:t>
            </w:r>
          </w:p>
        </w:tc>
      </w:tr>
      <w:tr w:rsidR="00627C2F" w:rsidRPr="00873B6C" w14:paraId="0EC06765" w14:textId="77777777" w:rsidTr="009D14FB">
        <w:tc>
          <w:tcPr>
            <w:tcW w:w="800" w:type="dxa"/>
            <w:shd w:val="solid" w:color="FFFFFF" w:fill="auto"/>
          </w:tcPr>
          <w:p w14:paraId="18C9746C" w14:textId="064B37CE" w:rsidR="00627C2F" w:rsidRPr="00873B6C" w:rsidRDefault="00627C2F" w:rsidP="000040FE">
            <w:pPr>
              <w:pStyle w:val="TAC"/>
              <w:rPr>
                <w:sz w:val="16"/>
                <w:szCs w:val="16"/>
              </w:rPr>
            </w:pPr>
            <w:r w:rsidRPr="00873B6C">
              <w:rPr>
                <w:sz w:val="16"/>
                <w:szCs w:val="16"/>
              </w:rPr>
              <w:t>2021-12</w:t>
            </w:r>
          </w:p>
        </w:tc>
        <w:tc>
          <w:tcPr>
            <w:tcW w:w="800" w:type="dxa"/>
            <w:shd w:val="solid" w:color="FFFFFF" w:fill="auto"/>
          </w:tcPr>
          <w:p w14:paraId="03841EC4" w14:textId="0EA89076" w:rsidR="00627C2F" w:rsidRPr="00873B6C" w:rsidRDefault="00627C2F" w:rsidP="000040FE">
            <w:pPr>
              <w:pStyle w:val="TAL"/>
              <w:rPr>
                <w:sz w:val="16"/>
                <w:szCs w:val="16"/>
              </w:rPr>
            </w:pPr>
            <w:r w:rsidRPr="00873B6C">
              <w:rPr>
                <w:sz w:val="16"/>
                <w:szCs w:val="16"/>
              </w:rPr>
              <w:t>SP#94E</w:t>
            </w:r>
          </w:p>
        </w:tc>
        <w:tc>
          <w:tcPr>
            <w:tcW w:w="1094" w:type="dxa"/>
            <w:shd w:val="solid" w:color="FFFFFF" w:fill="auto"/>
          </w:tcPr>
          <w:p w14:paraId="7E9CFC46" w14:textId="39D16186" w:rsidR="00627C2F" w:rsidRPr="00873B6C" w:rsidRDefault="00627C2F" w:rsidP="000040FE">
            <w:pPr>
              <w:pStyle w:val="TAC"/>
              <w:rPr>
                <w:sz w:val="16"/>
                <w:szCs w:val="16"/>
              </w:rPr>
            </w:pPr>
            <w:r w:rsidRPr="00873B6C">
              <w:rPr>
                <w:sz w:val="16"/>
                <w:szCs w:val="16"/>
              </w:rPr>
              <w:t>SP-211287</w:t>
            </w:r>
          </w:p>
        </w:tc>
        <w:tc>
          <w:tcPr>
            <w:tcW w:w="567" w:type="dxa"/>
            <w:shd w:val="solid" w:color="FFFFFF" w:fill="auto"/>
          </w:tcPr>
          <w:p w14:paraId="6786F6AC" w14:textId="6092AB1B" w:rsidR="00627C2F" w:rsidRPr="00873B6C" w:rsidRDefault="00627C2F" w:rsidP="000040FE">
            <w:pPr>
              <w:pStyle w:val="TAL"/>
              <w:rPr>
                <w:sz w:val="16"/>
                <w:szCs w:val="16"/>
              </w:rPr>
            </w:pPr>
            <w:r w:rsidRPr="00873B6C">
              <w:rPr>
                <w:sz w:val="16"/>
                <w:szCs w:val="16"/>
              </w:rPr>
              <w:t>3265</w:t>
            </w:r>
          </w:p>
        </w:tc>
        <w:tc>
          <w:tcPr>
            <w:tcW w:w="425" w:type="dxa"/>
            <w:shd w:val="solid" w:color="FFFFFF" w:fill="auto"/>
          </w:tcPr>
          <w:p w14:paraId="3FB21E65" w14:textId="25EA00BC" w:rsidR="00627C2F" w:rsidRPr="00873B6C" w:rsidRDefault="00627C2F" w:rsidP="000040FE">
            <w:pPr>
              <w:pStyle w:val="TAL"/>
              <w:rPr>
                <w:sz w:val="16"/>
                <w:szCs w:val="16"/>
              </w:rPr>
            </w:pPr>
            <w:r w:rsidRPr="00873B6C">
              <w:rPr>
                <w:sz w:val="16"/>
                <w:szCs w:val="16"/>
              </w:rPr>
              <w:t>-</w:t>
            </w:r>
          </w:p>
        </w:tc>
        <w:tc>
          <w:tcPr>
            <w:tcW w:w="425" w:type="dxa"/>
            <w:shd w:val="solid" w:color="FFFFFF" w:fill="auto"/>
          </w:tcPr>
          <w:p w14:paraId="2F44D079" w14:textId="1127FCFC" w:rsidR="00627C2F" w:rsidRPr="00873B6C" w:rsidRDefault="00627C2F" w:rsidP="000040FE">
            <w:pPr>
              <w:pStyle w:val="TAL"/>
              <w:rPr>
                <w:sz w:val="16"/>
                <w:szCs w:val="16"/>
              </w:rPr>
            </w:pPr>
            <w:r w:rsidRPr="00873B6C">
              <w:rPr>
                <w:sz w:val="16"/>
                <w:szCs w:val="16"/>
              </w:rPr>
              <w:t>C</w:t>
            </w:r>
          </w:p>
        </w:tc>
        <w:tc>
          <w:tcPr>
            <w:tcW w:w="4820" w:type="dxa"/>
            <w:shd w:val="solid" w:color="FFFFFF" w:fill="auto"/>
          </w:tcPr>
          <w:p w14:paraId="7DFE8C3E" w14:textId="7B611024" w:rsidR="00627C2F" w:rsidRPr="00873B6C" w:rsidRDefault="00627C2F" w:rsidP="000040FE">
            <w:pPr>
              <w:pStyle w:val="TAL"/>
              <w:rPr>
                <w:sz w:val="16"/>
                <w:szCs w:val="16"/>
              </w:rPr>
            </w:pPr>
            <w:r w:rsidRPr="00873B6C">
              <w:rPr>
                <w:sz w:val="16"/>
                <w:szCs w:val="16"/>
              </w:rPr>
              <w:t>NR RedCap Indication during IRAT handover procedure</w:t>
            </w:r>
          </w:p>
        </w:tc>
        <w:tc>
          <w:tcPr>
            <w:tcW w:w="708" w:type="dxa"/>
            <w:shd w:val="solid" w:color="FFFFFF" w:fill="auto"/>
          </w:tcPr>
          <w:p w14:paraId="29572202" w14:textId="629AEC07" w:rsidR="00627C2F" w:rsidRPr="00873B6C" w:rsidRDefault="00627C2F" w:rsidP="000040FE">
            <w:pPr>
              <w:pStyle w:val="TAC"/>
              <w:rPr>
                <w:sz w:val="16"/>
                <w:szCs w:val="16"/>
              </w:rPr>
            </w:pPr>
            <w:r w:rsidRPr="00873B6C">
              <w:rPr>
                <w:sz w:val="16"/>
                <w:szCs w:val="16"/>
              </w:rPr>
              <w:t>17.3.0</w:t>
            </w:r>
          </w:p>
        </w:tc>
      </w:tr>
      <w:tr w:rsidR="00627C2F" w:rsidRPr="00873B6C" w14:paraId="5565524D" w14:textId="77777777" w:rsidTr="009D14FB">
        <w:tc>
          <w:tcPr>
            <w:tcW w:w="800" w:type="dxa"/>
            <w:shd w:val="solid" w:color="FFFFFF" w:fill="auto"/>
          </w:tcPr>
          <w:p w14:paraId="73A54AE5" w14:textId="2B1339F4" w:rsidR="00627C2F" w:rsidRPr="00873B6C" w:rsidRDefault="00627C2F" w:rsidP="000040FE">
            <w:pPr>
              <w:pStyle w:val="TAC"/>
              <w:rPr>
                <w:sz w:val="16"/>
                <w:szCs w:val="16"/>
              </w:rPr>
            </w:pPr>
            <w:r w:rsidRPr="00873B6C">
              <w:rPr>
                <w:sz w:val="16"/>
                <w:szCs w:val="16"/>
              </w:rPr>
              <w:t>2021-12</w:t>
            </w:r>
          </w:p>
        </w:tc>
        <w:tc>
          <w:tcPr>
            <w:tcW w:w="800" w:type="dxa"/>
            <w:shd w:val="solid" w:color="FFFFFF" w:fill="auto"/>
          </w:tcPr>
          <w:p w14:paraId="2737254F" w14:textId="1BA30149" w:rsidR="00627C2F" w:rsidRPr="00873B6C" w:rsidRDefault="00627C2F" w:rsidP="000040FE">
            <w:pPr>
              <w:pStyle w:val="TAL"/>
              <w:rPr>
                <w:sz w:val="16"/>
                <w:szCs w:val="16"/>
              </w:rPr>
            </w:pPr>
            <w:r w:rsidRPr="00873B6C">
              <w:rPr>
                <w:sz w:val="16"/>
                <w:szCs w:val="16"/>
              </w:rPr>
              <w:t>SP#94E</w:t>
            </w:r>
          </w:p>
        </w:tc>
        <w:tc>
          <w:tcPr>
            <w:tcW w:w="1094" w:type="dxa"/>
            <w:shd w:val="solid" w:color="FFFFFF" w:fill="auto"/>
          </w:tcPr>
          <w:p w14:paraId="099F13C1" w14:textId="1698BFE7" w:rsidR="00627C2F" w:rsidRPr="00873B6C" w:rsidRDefault="00627C2F" w:rsidP="000040FE">
            <w:pPr>
              <w:pStyle w:val="TAC"/>
              <w:rPr>
                <w:sz w:val="16"/>
                <w:szCs w:val="16"/>
              </w:rPr>
            </w:pPr>
            <w:r w:rsidRPr="00873B6C">
              <w:rPr>
                <w:sz w:val="16"/>
                <w:szCs w:val="16"/>
              </w:rPr>
              <w:t>SP-211304</w:t>
            </w:r>
          </w:p>
        </w:tc>
        <w:tc>
          <w:tcPr>
            <w:tcW w:w="567" w:type="dxa"/>
            <w:shd w:val="solid" w:color="FFFFFF" w:fill="auto"/>
          </w:tcPr>
          <w:p w14:paraId="36C5949A" w14:textId="3BDB7F7C" w:rsidR="00627C2F" w:rsidRPr="00873B6C" w:rsidRDefault="00627C2F" w:rsidP="000040FE">
            <w:pPr>
              <w:pStyle w:val="TAL"/>
              <w:rPr>
                <w:sz w:val="16"/>
                <w:szCs w:val="16"/>
              </w:rPr>
            </w:pPr>
            <w:r w:rsidRPr="00873B6C">
              <w:rPr>
                <w:sz w:val="16"/>
                <w:szCs w:val="16"/>
              </w:rPr>
              <w:t>3267</w:t>
            </w:r>
          </w:p>
        </w:tc>
        <w:tc>
          <w:tcPr>
            <w:tcW w:w="425" w:type="dxa"/>
            <w:shd w:val="solid" w:color="FFFFFF" w:fill="auto"/>
          </w:tcPr>
          <w:p w14:paraId="54E2A858" w14:textId="6DFBD824" w:rsidR="00627C2F" w:rsidRPr="00873B6C" w:rsidRDefault="00627C2F" w:rsidP="000040FE">
            <w:pPr>
              <w:pStyle w:val="TAL"/>
              <w:rPr>
                <w:sz w:val="16"/>
                <w:szCs w:val="16"/>
              </w:rPr>
            </w:pPr>
            <w:r w:rsidRPr="00873B6C">
              <w:rPr>
                <w:sz w:val="16"/>
                <w:szCs w:val="16"/>
              </w:rPr>
              <w:t>-</w:t>
            </w:r>
          </w:p>
        </w:tc>
        <w:tc>
          <w:tcPr>
            <w:tcW w:w="425" w:type="dxa"/>
            <w:shd w:val="solid" w:color="FFFFFF" w:fill="auto"/>
          </w:tcPr>
          <w:p w14:paraId="16610DFD" w14:textId="1C29EE38" w:rsidR="00627C2F" w:rsidRPr="00873B6C" w:rsidRDefault="00627C2F" w:rsidP="000040FE">
            <w:pPr>
              <w:pStyle w:val="TAL"/>
              <w:rPr>
                <w:sz w:val="16"/>
                <w:szCs w:val="16"/>
              </w:rPr>
            </w:pPr>
            <w:r w:rsidRPr="00873B6C">
              <w:rPr>
                <w:sz w:val="16"/>
                <w:szCs w:val="16"/>
              </w:rPr>
              <w:t>F</w:t>
            </w:r>
          </w:p>
        </w:tc>
        <w:tc>
          <w:tcPr>
            <w:tcW w:w="4820" w:type="dxa"/>
            <w:shd w:val="solid" w:color="FFFFFF" w:fill="auto"/>
          </w:tcPr>
          <w:p w14:paraId="24626A78" w14:textId="7D06B969" w:rsidR="00627C2F" w:rsidRPr="00873B6C" w:rsidRDefault="00627C2F" w:rsidP="000040FE">
            <w:pPr>
              <w:pStyle w:val="TAL"/>
              <w:rPr>
                <w:sz w:val="16"/>
                <w:szCs w:val="16"/>
              </w:rPr>
            </w:pPr>
            <w:r w:rsidRPr="00873B6C">
              <w:rPr>
                <w:sz w:val="16"/>
                <w:szCs w:val="16"/>
              </w:rPr>
              <w:t>GBA Reference points</w:t>
            </w:r>
          </w:p>
        </w:tc>
        <w:tc>
          <w:tcPr>
            <w:tcW w:w="708" w:type="dxa"/>
            <w:shd w:val="solid" w:color="FFFFFF" w:fill="auto"/>
          </w:tcPr>
          <w:p w14:paraId="6E9B42FA" w14:textId="661D1A94" w:rsidR="00627C2F" w:rsidRPr="00873B6C" w:rsidRDefault="00627C2F" w:rsidP="000040FE">
            <w:pPr>
              <w:pStyle w:val="TAC"/>
              <w:rPr>
                <w:sz w:val="16"/>
                <w:szCs w:val="16"/>
              </w:rPr>
            </w:pPr>
            <w:r w:rsidRPr="00873B6C">
              <w:rPr>
                <w:sz w:val="16"/>
                <w:szCs w:val="16"/>
              </w:rPr>
              <w:t>17.3.0</w:t>
            </w:r>
          </w:p>
        </w:tc>
      </w:tr>
      <w:tr w:rsidR="00AF6F28" w:rsidRPr="00873B6C" w14:paraId="6DB97F31" w14:textId="77777777" w:rsidTr="009D14FB">
        <w:tc>
          <w:tcPr>
            <w:tcW w:w="800" w:type="dxa"/>
            <w:shd w:val="solid" w:color="FFFFFF" w:fill="auto"/>
          </w:tcPr>
          <w:p w14:paraId="2A5797FD" w14:textId="00517F0E" w:rsidR="00AF6F28" w:rsidRPr="00873B6C" w:rsidRDefault="00AF6F28" w:rsidP="000040FE">
            <w:pPr>
              <w:pStyle w:val="TAC"/>
              <w:rPr>
                <w:sz w:val="16"/>
                <w:szCs w:val="16"/>
              </w:rPr>
            </w:pPr>
            <w:r w:rsidRPr="00873B6C">
              <w:rPr>
                <w:sz w:val="16"/>
                <w:szCs w:val="16"/>
              </w:rPr>
              <w:t>2021-12</w:t>
            </w:r>
          </w:p>
        </w:tc>
        <w:tc>
          <w:tcPr>
            <w:tcW w:w="800" w:type="dxa"/>
            <w:shd w:val="solid" w:color="FFFFFF" w:fill="auto"/>
          </w:tcPr>
          <w:p w14:paraId="7D6E7B4E" w14:textId="5183E020" w:rsidR="00AF6F28" w:rsidRPr="00873B6C" w:rsidRDefault="00AF6F28" w:rsidP="000040FE">
            <w:pPr>
              <w:pStyle w:val="TAL"/>
              <w:rPr>
                <w:sz w:val="16"/>
                <w:szCs w:val="16"/>
              </w:rPr>
            </w:pPr>
            <w:r w:rsidRPr="00873B6C">
              <w:rPr>
                <w:sz w:val="16"/>
                <w:szCs w:val="16"/>
              </w:rPr>
              <w:t>SP#94E</w:t>
            </w:r>
          </w:p>
        </w:tc>
        <w:tc>
          <w:tcPr>
            <w:tcW w:w="1094" w:type="dxa"/>
            <w:shd w:val="solid" w:color="FFFFFF" w:fill="auto"/>
          </w:tcPr>
          <w:p w14:paraId="127D5A99" w14:textId="44D2DB7E" w:rsidR="00AF6F28" w:rsidRPr="00873B6C" w:rsidRDefault="00AF6F28" w:rsidP="000040FE">
            <w:pPr>
              <w:pStyle w:val="TAC"/>
              <w:rPr>
                <w:sz w:val="16"/>
                <w:szCs w:val="16"/>
              </w:rPr>
            </w:pPr>
            <w:r w:rsidRPr="00873B6C">
              <w:rPr>
                <w:sz w:val="16"/>
                <w:szCs w:val="16"/>
              </w:rPr>
              <w:t>SP-211295</w:t>
            </w:r>
          </w:p>
        </w:tc>
        <w:tc>
          <w:tcPr>
            <w:tcW w:w="567" w:type="dxa"/>
            <w:shd w:val="solid" w:color="FFFFFF" w:fill="auto"/>
          </w:tcPr>
          <w:p w14:paraId="6E094B6A" w14:textId="7EC54C18" w:rsidR="00AF6F28" w:rsidRPr="00873B6C" w:rsidRDefault="00AF6F28" w:rsidP="000040FE">
            <w:pPr>
              <w:pStyle w:val="TAL"/>
              <w:rPr>
                <w:sz w:val="16"/>
                <w:szCs w:val="16"/>
              </w:rPr>
            </w:pPr>
            <w:r w:rsidRPr="00873B6C">
              <w:rPr>
                <w:sz w:val="16"/>
                <w:szCs w:val="16"/>
              </w:rPr>
              <w:t>3268</w:t>
            </w:r>
          </w:p>
        </w:tc>
        <w:tc>
          <w:tcPr>
            <w:tcW w:w="425" w:type="dxa"/>
            <w:shd w:val="solid" w:color="FFFFFF" w:fill="auto"/>
          </w:tcPr>
          <w:p w14:paraId="759F054F" w14:textId="49E0B51B" w:rsidR="00AF6F28" w:rsidRPr="00873B6C" w:rsidRDefault="00AF6F28" w:rsidP="000040FE">
            <w:pPr>
              <w:pStyle w:val="TAL"/>
              <w:rPr>
                <w:sz w:val="16"/>
                <w:szCs w:val="16"/>
              </w:rPr>
            </w:pPr>
            <w:r w:rsidRPr="00873B6C">
              <w:rPr>
                <w:sz w:val="16"/>
                <w:szCs w:val="16"/>
              </w:rPr>
              <w:t>1</w:t>
            </w:r>
          </w:p>
        </w:tc>
        <w:tc>
          <w:tcPr>
            <w:tcW w:w="425" w:type="dxa"/>
            <w:shd w:val="solid" w:color="FFFFFF" w:fill="auto"/>
          </w:tcPr>
          <w:p w14:paraId="709BA5CD" w14:textId="64EB7940" w:rsidR="00AF6F28" w:rsidRPr="00873B6C" w:rsidRDefault="00AF6F28" w:rsidP="000040FE">
            <w:pPr>
              <w:pStyle w:val="TAL"/>
              <w:rPr>
                <w:sz w:val="16"/>
                <w:szCs w:val="16"/>
              </w:rPr>
            </w:pPr>
            <w:r w:rsidRPr="00873B6C">
              <w:rPr>
                <w:sz w:val="16"/>
                <w:szCs w:val="16"/>
              </w:rPr>
              <w:t>D</w:t>
            </w:r>
          </w:p>
        </w:tc>
        <w:tc>
          <w:tcPr>
            <w:tcW w:w="4820" w:type="dxa"/>
            <w:shd w:val="solid" w:color="FFFFFF" w:fill="auto"/>
          </w:tcPr>
          <w:p w14:paraId="1E349E4A" w14:textId="25847763" w:rsidR="00AF6F28" w:rsidRPr="00873B6C" w:rsidRDefault="00AF6F28" w:rsidP="000040FE">
            <w:pPr>
              <w:pStyle w:val="TAL"/>
              <w:rPr>
                <w:sz w:val="16"/>
                <w:szCs w:val="16"/>
              </w:rPr>
            </w:pPr>
            <w:r w:rsidRPr="00873B6C">
              <w:rPr>
                <w:sz w:val="16"/>
                <w:szCs w:val="16"/>
              </w:rPr>
              <w:t>Editorial Changes on eNS_Ph2</w:t>
            </w:r>
          </w:p>
        </w:tc>
        <w:tc>
          <w:tcPr>
            <w:tcW w:w="708" w:type="dxa"/>
            <w:shd w:val="solid" w:color="FFFFFF" w:fill="auto"/>
          </w:tcPr>
          <w:p w14:paraId="63A93740" w14:textId="5340CD85" w:rsidR="00AF6F28" w:rsidRPr="00873B6C" w:rsidRDefault="00AF6F28" w:rsidP="000040FE">
            <w:pPr>
              <w:pStyle w:val="TAC"/>
              <w:rPr>
                <w:sz w:val="16"/>
                <w:szCs w:val="16"/>
              </w:rPr>
            </w:pPr>
            <w:r w:rsidRPr="00873B6C">
              <w:rPr>
                <w:sz w:val="16"/>
                <w:szCs w:val="16"/>
              </w:rPr>
              <w:t>17.3.0</w:t>
            </w:r>
          </w:p>
        </w:tc>
      </w:tr>
      <w:tr w:rsidR="00C950EF" w:rsidRPr="00873B6C" w14:paraId="0E120065" w14:textId="77777777" w:rsidTr="009D14FB">
        <w:tc>
          <w:tcPr>
            <w:tcW w:w="800" w:type="dxa"/>
            <w:shd w:val="solid" w:color="FFFFFF" w:fill="auto"/>
          </w:tcPr>
          <w:p w14:paraId="3E8BA5DE" w14:textId="63A5ED2B" w:rsidR="00C950EF" w:rsidRPr="00873B6C" w:rsidRDefault="00C950EF" w:rsidP="000040FE">
            <w:pPr>
              <w:pStyle w:val="TAC"/>
              <w:rPr>
                <w:sz w:val="16"/>
                <w:szCs w:val="16"/>
              </w:rPr>
            </w:pPr>
            <w:r w:rsidRPr="00873B6C">
              <w:rPr>
                <w:sz w:val="16"/>
                <w:szCs w:val="16"/>
              </w:rPr>
              <w:t>2021-12</w:t>
            </w:r>
          </w:p>
        </w:tc>
        <w:tc>
          <w:tcPr>
            <w:tcW w:w="800" w:type="dxa"/>
            <w:shd w:val="solid" w:color="FFFFFF" w:fill="auto"/>
          </w:tcPr>
          <w:p w14:paraId="0E66FE7B" w14:textId="6F887996" w:rsidR="00C950EF" w:rsidRPr="00873B6C" w:rsidRDefault="00C950EF" w:rsidP="000040FE">
            <w:pPr>
              <w:pStyle w:val="TAL"/>
              <w:rPr>
                <w:sz w:val="16"/>
                <w:szCs w:val="16"/>
              </w:rPr>
            </w:pPr>
            <w:r w:rsidRPr="00873B6C">
              <w:rPr>
                <w:sz w:val="16"/>
                <w:szCs w:val="16"/>
              </w:rPr>
              <w:t>SP#94E</w:t>
            </w:r>
          </w:p>
        </w:tc>
        <w:tc>
          <w:tcPr>
            <w:tcW w:w="1094" w:type="dxa"/>
            <w:shd w:val="solid" w:color="FFFFFF" w:fill="auto"/>
          </w:tcPr>
          <w:p w14:paraId="203D7D71" w14:textId="10BC803C" w:rsidR="00C950EF" w:rsidRPr="00873B6C" w:rsidRDefault="00C950EF" w:rsidP="000040FE">
            <w:pPr>
              <w:pStyle w:val="TAC"/>
              <w:rPr>
                <w:sz w:val="16"/>
                <w:szCs w:val="16"/>
              </w:rPr>
            </w:pPr>
            <w:r w:rsidRPr="00873B6C">
              <w:rPr>
                <w:sz w:val="16"/>
                <w:szCs w:val="16"/>
              </w:rPr>
              <w:t>SP-211295</w:t>
            </w:r>
          </w:p>
        </w:tc>
        <w:tc>
          <w:tcPr>
            <w:tcW w:w="567" w:type="dxa"/>
            <w:shd w:val="solid" w:color="FFFFFF" w:fill="auto"/>
          </w:tcPr>
          <w:p w14:paraId="720219D6" w14:textId="67655166" w:rsidR="00C950EF" w:rsidRPr="00873B6C" w:rsidRDefault="00C950EF" w:rsidP="000040FE">
            <w:pPr>
              <w:pStyle w:val="TAL"/>
              <w:rPr>
                <w:sz w:val="16"/>
                <w:szCs w:val="16"/>
              </w:rPr>
            </w:pPr>
            <w:r w:rsidRPr="00873B6C">
              <w:rPr>
                <w:sz w:val="16"/>
                <w:szCs w:val="16"/>
              </w:rPr>
              <w:t>3269</w:t>
            </w:r>
          </w:p>
        </w:tc>
        <w:tc>
          <w:tcPr>
            <w:tcW w:w="425" w:type="dxa"/>
            <w:shd w:val="solid" w:color="FFFFFF" w:fill="auto"/>
          </w:tcPr>
          <w:p w14:paraId="55A61303" w14:textId="0F0EB05D" w:rsidR="00C950EF" w:rsidRPr="00873B6C" w:rsidRDefault="00C950EF" w:rsidP="000040FE">
            <w:pPr>
              <w:pStyle w:val="TAL"/>
              <w:rPr>
                <w:sz w:val="16"/>
                <w:szCs w:val="16"/>
              </w:rPr>
            </w:pPr>
            <w:r w:rsidRPr="00873B6C">
              <w:rPr>
                <w:sz w:val="16"/>
                <w:szCs w:val="16"/>
              </w:rPr>
              <w:t>2</w:t>
            </w:r>
          </w:p>
        </w:tc>
        <w:tc>
          <w:tcPr>
            <w:tcW w:w="425" w:type="dxa"/>
            <w:shd w:val="solid" w:color="FFFFFF" w:fill="auto"/>
          </w:tcPr>
          <w:p w14:paraId="5F34460F" w14:textId="617CCDE0" w:rsidR="00C950EF" w:rsidRPr="00873B6C" w:rsidRDefault="00C950EF" w:rsidP="000040FE">
            <w:pPr>
              <w:pStyle w:val="TAL"/>
              <w:rPr>
                <w:sz w:val="16"/>
                <w:szCs w:val="16"/>
              </w:rPr>
            </w:pPr>
            <w:r w:rsidRPr="00873B6C">
              <w:rPr>
                <w:sz w:val="16"/>
                <w:szCs w:val="16"/>
              </w:rPr>
              <w:t>F</w:t>
            </w:r>
          </w:p>
        </w:tc>
        <w:tc>
          <w:tcPr>
            <w:tcW w:w="4820" w:type="dxa"/>
            <w:shd w:val="solid" w:color="FFFFFF" w:fill="auto"/>
          </w:tcPr>
          <w:p w14:paraId="7370A3D5" w14:textId="003B22E1" w:rsidR="00C950EF" w:rsidRPr="00873B6C" w:rsidRDefault="00C950EF" w:rsidP="000040FE">
            <w:pPr>
              <w:pStyle w:val="TAL"/>
              <w:rPr>
                <w:sz w:val="16"/>
                <w:szCs w:val="16"/>
              </w:rPr>
            </w:pPr>
            <w:r w:rsidRPr="00873B6C">
              <w:rPr>
                <w:sz w:val="16"/>
                <w:szCs w:val="16"/>
              </w:rPr>
              <w:t>Clarification on Access Type for NSAC</w:t>
            </w:r>
          </w:p>
        </w:tc>
        <w:tc>
          <w:tcPr>
            <w:tcW w:w="708" w:type="dxa"/>
            <w:shd w:val="solid" w:color="FFFFFF" w:fill="auto"/>
          </w:tcPr>
          <w:p w14:paraId="434A2248" w14:textId="474151DD" w:rsidR="00C950EF" w:rsidRPr="00873B6C" w:rsidRDefault="00C950EF" w:rsidP="000040FE">
            <w:pPr>
              <w:pStyle w:val="TAC"/>
              <w:rPr>
                <w:sz w:val="16"/>
                <w:szCs w:val="16"/>
              </w:rPr>
            </w:pPr>
            <w:r w:rsidRPr="00873B6C">
              <w:rPr>
                <w:sz w:val="16"/>
                <w:szCs w:val="16"/>
              </w:rPr>
              <w:t>17.3.0</w:t>
            </w:r>
          </w:p>
        </w:tc>
      </w:tr>
      <w:tr w:rsidR="00C950EF" w:rsidRPr="00873B6C" w14:paraId="5B358501" w14:textId="77777777" w:rsidTr="009D14FB">
        <w:tc>
          <w:tcPr>
            <w:tcW w:w="800" w:type="dxa"/>
            <w:shd w:val="solid" w:color="FFFFFF" w:fill="auto"/>
          </w:tcPr>
          <w:p w14:paraId="3FC7B731" w14:textId="2F3C5EC4" w:rsidR="00C950EF" w:rsidRPr="00873B6C" w:rsidRDefault="00C950EF" w:rsidP="000040FE">
            <w:pPr>
              <w:pStyle w:val="TAC"/>
              <w:rPr>
                <w:sz w:val="16"/>
                <w:szCs w:val="16"/>
              </w:rPr>
            </w:pPr>
            <w:r w:rsidRPr="00873B6C">
              <w:rPr>
                <w:sz w:val="16"/>
                <w:szCs w:val="16"/>
              </w:rPr>
              <w:t>2021-12</w:t>
            </w:r>
          </w:p>
        </w:tc>
        <w:tc>
          <w:tcPr>
            <w:tcW w:w="800" w:type="dxa"/>
            <w:shd w:val="solid" w:color="FFFFFF" w:fill="auto"/>
          </w:tcPr>
          <w:p w14:paraId="6BCBAF09" w14:textId="3A0C5228" w:rsidR="00C950EF" w:rsidRPr="00873B6C" w:rsidRDefault="00C950EF" w:rsidP="000040FE">
            <w:pPr>
              <w:pStyle w:val="TAL"/>
              <w:rPr>
                <w:sz w:val="16"/>
                <w:szCs w:val="16"/>
              </w:rPr>
            </w:pPr>
            <w:r w:rsidRPr="00873B6C">
              <w:rPr>
                <w:sz w:val="16"/>
                <w:szCs w:val="16"/>
              </w:rPr>
              <w:t>SP#94E</w:t>
            </w:r>
          </w:p>
        </w:tc>
        <w:tc>
          <w:tcPr>
            <w:tcW w:w="1094" w:type="dxa"/>
            <w:shd w:val="solid" w:color="FFFFFF" w:fill="auto"/>
          </w:tcPr>
          <w:p w14:paraId="0006DD1E" w14:textId="3AD7949C" w:rsidR="00C950EF" w:rsidRPr="00873B6C" w:rsidRDefault="00C950EF" w:rsidP="000040FE">
            <w:pPr>
              <w:pStyle w:val="TAC"/>
              <w:rPr>
                <w:sz w:val="16"/>
                <w:szCs w:val="16"/>
              </w:rPr>
            </w:pPr>
            <w:r w:rsidRPr="00873B6C">
              <w:rPr>
                <w:sz w:val="16"/>
                <w:szCs w:val="16"/>
              </w:rPr>
              <w:t>SP-211294</w:t>
            </w:r>
          </w:p>
        </w:tc>
        <w:tc>
          <w:tcPr>
            <w:tcW w:w="567" w:type="dxa"/>
            <w:shd w:val="solid" w:color="FFFFFF" w:fill="auto"/>
          </w:tcPr>
          <w:p w14:paraId="225D6A4B" w14:textId="4845EF5A" w:rsidR="00C950EF" w:rsidRPr="00873B6C" w:rsidRDefault="00C950EF" w:rsidP="000040FE">
            <w:pPr>
              <w:pStyle w:val="TAL"/>
              <w:rPr>
                <w:sz w:val="16"/>
                <w:szCs w:val="16"/>
              </w:rPr>
            </w:pPr>
            <w:r w:rsidRPr="00873B6C">
              <w:rPr>
                <w:sz w:val="16"/>
                <w:szCs w:val="16"/>
              </w:rPr>
              <w:t>3274</w:t>
            </w:r>
          </w:p>
        </w:tc>
        <w:tc>
          <w:tcPr>
            <w:tcW w:w="425" w:type="dxa"/>
            <w:shd w:val="solid" w:color="FFFFFF" w:fill="auto"/>
          </w:tcPr>
          <w:p w14:paraId="74C38108" w14:textId="0C81ED93" w:rsidR="00C950EF" w:rsidRPr="00873B6C" w:rsidRDefault="00C950EF" w:rsidP="000040FE">
            <w:pPr>
              <w:pStyle w:val="TAL"/>
              <w:rPr>
                <w:sz w:val="16"/>
                <w:szCs w:val="16"/>
              </w:rPr>
            </w:pPr>
            <w:r w:rsidRPr="00873B6C">
              <w:rPr>
                <w:sz w:val="16"/>
                <w:szCs w:val="16"/>
              </w:rPr>
              <w:t>3</w:t>
            </w:r>
          </w:p>
        </w:tc>
        <w:tc>
          <w:tcPr>
            <w:tcW w:w="425" w:type="dxa"/>
            <w:shd w:val="solid" w:color="FFFFFF" w:fill="auto"/>
          </w:tcPr>
          <w:p w14:paraId="0B3A09D1" w14:textId="32976B8E" w:rsidR="00C950EF" w:rsidRPr="00873B6C" w:rsidRDefault="00C950EF" w:rsidP="000040FE">
            <w:pPr>
              <w:pStyle w:val="TAL"/>
              <w:rPr>
                <w:sz w:val="16"/>
                <w:szCs w:val="16"/>
              </w:rPr>
            </w:pPr>
            <w:r w:rsidRPr="00873B6C">
              <w:rPr>
                <w:sz w:val="16"/>
                <w:szCs w:val="16"/>
              </w:rPr>
              <w:t>F</w:t>
            </w:r>
          </w:p>
        </w:tc>
        <w:tc>
          <w:tcPr>
            <w:tcW w:w="4820" w:type="dxa"/>
            <w:shd w:val="solid" w:color="FFFFFF" w:fill="auto"/>
          </w:tcPr>
          <w:p w14:paraId="4C975EC8" w14:textId="5BB350A7" w:rsidR="00C950EF" w:rsidRPr="00873B6C" w:rsidRDefault="00C950EF" w:rsidP="000040FE">
            <w:pPr>
              <w:pStyle w:val="TAL"/>
              <w:rPr>
                <w:sz w:val="16"/>
                <w:szCs w:val="16"/>
              </w:rPr>
            </w:pPr>
            <w:r w:rsidRPr="00873B6C">
              <w:rPr>
                <w:sz w:val="16"/>
                <w:szCs w:val="16"/>
              </w:rPr>
              <w:t>eNPN corrections to clarify use of DNN and S-NSSAI for onboarding, AUSF discovery</w:t>
            </w:r>
          </w:p>
        </w:tc>
        <w:tc>
          <w:tcPr>
            <w:tcW w:w="708" w:type="dxa"/>
            <w:shd w:val="solid" w:color="FFFFFF" w:fill="auto"/>
          </w:tcPr>
          <w:p w14:paraId="661BFFE9" w14:textId="70611247" w:rsidR="00C950EF" w:rsidRPr="00873B6C" w:rsidRDefault="00C950EF" w:rsidP="000040FE">
            <w:pPr>
              <w:pStyle w:val="TAC"/>
              <w:rPr>
                <w:sz w:val="16"/>
                <w:szCs w:val="16"/>
              </w:rPr>
            </w:pPr>
            <w:r w:rsidRPr="00873B6C">
              <w:rPr>
                <w:sz w:val="16"/>
                <w:szCs w:val="16"/>
              </w:rPr>
              <w:t>17.3.0</w:t>
            </w:r>
          </w:p>
        </w:tc>
      </w:tr>
      <w:tr w:rsidR="00C950EF" w:rsidRPr="00873B6C" w14:paraId="2868D1F8" w14:textId="77777777" w:rsidTr="009D14FB">
        <w:tc>
          <w:tcPr>
            <w:tcW w:w="800" w:type="dxa"/>
            <w:shd w:val="solid" w:color="FFFFFF" w:fill="auto"/>
          </w:tcPr>
          <w:p w14:paraId="4D0347A6" w14:textId="584BE1B9" w:rsidR="00C950EF" w:rsidRPr="00873B6C" w:rsidRDefault="00C950EF" w:rsidP="000040FE">
            <w:pPr>
              <w:pStyle w:val="TAC"/>
              <w:rPr>
                <w:sz w:val="16"/>
                <w:szCs w:val="16"/>
              </w:rPr>
            </w:pPr>
            <w:r w:rsidRPr="00873B6C">
              <w:rPr>
                <w:sz w:val="16"/>
                <w:szCs w:val="16"/>
              </w:rPr>
              <w:t>2021-12</w:t>
            </w:r>
          </w:p>
        </w:tc>
        <w:tc>
          <w:tcPr>
            <w:tcW w:w="800" w:type="dxa"/>
            <w:shd w:val="solid" w:color="FFFFFF" w:fill="auto"/>
          </w:tcPr>
          <w:p w14:paraId="11E08EBD" w14:textId="721F4CBF" w:rsidR="00C950EF" w:rsidRPr="00873B6C" w:rsidRDefault="00C950EF" w:rsidP="000040FE">
            <w:pPr>
              <w:pStyle w:val="TAL"/>
              <w:rPr>
                <w:sz w:val="16"/>
                <w:szCs w:val="16"/>
              </w:rPr>
            </w:pPr>
            <w:r w:rsidRPr="00873B6C">
              <w:rPr>
                <w:sz w:val="16"/>
                <w:szCs w:val="16"/>
              </w:rPr>
              <w:t>SP#94E</w:t>
            </w:r>
          </w:p>
        </w:tc>
        <w:tc>
          <w:tcPr>
            <w:tcW w:w="1094" w:type="dxa"/>
            <w:shd w:val="solid" w:color="FFFFFF" w:fill="auto"/>
          </w:tcPr>
          <w:p w14:paraId="6ED09D8F" w14:textId="78EBDE2E" w:rsidR="00C950EF" w:rsidRPr="00873B6C" w:rsidRDefault="00C950EF" w:rsidP="000040FE">
            <w:pPr>
              <w:pStyle w:val="TAC"/>
              <w:rPr>
                <w:sz w:val="16"/>
                <w:szCs w:val="16"/>
              </w:rPr>
            </w:pPr>
            <w:r w:rsidRPr="00873B6C">
              <w:rPr>
                <w:sz w:val="16"/>
                <w:szCs w:val="16"/>
              </w:rPr>
              <w:t>SP-211299</w:t>
            </w:r>
          </w:p>
        </w:tc>
        <w:tc>
          <w:tcPr>
            <w:tcW w:w="567" w:type="dxa"/>
            <w:shd w:val="solid" w:color="FFFFFF" w:fill="auto"/>
          </w:tcPr>
          <w:p w14:paraId="543959EE" w14:textId="7E7826C1" w:rsidR="00C950EF" w:rsidRPr="00873B6C" w:rsidRDefault="00C950EF" w:rsidP="000040FE">
            <w:pPr>
              <w:pStyle w:val="TAL"/>
              <w:rPr>
                <w:sz w:val="16"/>
                <w:szCs w:val="16"/>
              </w:rPr>
            </w:pPr>
            <w:r w:rsidRPr="00873B6C">
              <w:rPr>
                <w:sz w:val="16"/>
                <w:szCs w:val="16"/>
              </w:rPr>
              <w:t>3275</w:t>
            </w:r>
          </w:p>
        </w:tc>
        <w:tc>
          <w:tcPr>
            <w:tcW w:w="425" w:type="dxa"/>
            <w:shd w:val="solid" w:color="FFFFFF" w:fill="auto"/>
          </w:tcPr>
          <w:p w14:paraId="373BD75A" w14:textId="0A07E679" w:rsidR="00C950EF" w:rsidRPr="00873B6C" w:rsidRDefault="00C950EF" w:rsidP="000040FE">
            <w:pPr>
              <w:pStyle w:val="TAL"/>
              <w:rPr>
                <w:sz w:val="16"/>
                <w:szCs w:val="16"/>
              </w:rPr>
            </w:pPr>
            <w:r w:rsidRPr="00873B6C">
              <w:rPr>
                <w:sz w:val="16"/>
                <w:szCs w:val="16"/>
              </w:rPr>
              <w:t>1</w:t>
            </w:r>
          </w:p>
        </w:tc>
        <w:tc>
          <w:tcPr>
            <w:tcW w:w="425" w:type="dxa"/>
            <w:shd w:val="solid" w:color="FFFFFF" w:fill="auto"/>
          </w:tcPr>
          <w:p w14:paraId="0DC17403" w14:textId="58E4C001" w:rsidR="00C950EF" w:rsidRPr="00873B6C" w:rsidRDefault="00C950EF" w:rsidP="000040FE">
            <w:pPr>
              <w:pStyle w:val="TAL"/>
              <w:rPr>
                <w:sz w:val="16"/>
                <w:szCs w:val="16"/>
              </w:rPr>
            </w:pPr>
            <w:r w:rsidRPr="00873B6C">
              <w:rPr>
                <w:sz w:val="16"/>
                <w:szCs w:val="16"/>
              </w:rPr>
              <w:t>F</w:t>
            </w:r>
          </w:p>
        </w:tc>
        <w:tc>
          <w:tcPr>
            <w:tcW w:w="4820" w:type="dxa"/>
            <w:shd w:val="solid" w:color="FFFFFF" w:fill="auto"/>
          </w:tcPr>
          <w:p w14:paraId="518C422C" w14:textId="495965E0" w:rsidR="00C950EF" w:rsidRPr="00873B6C" w:rsidRDefault="00C950EF" w:rsidP="000040FE">
            <w:pPr>
              <w:pStyle w:val="TAL"/>
              <w:rPr>
                <w:sz w:val="16"/>
                <w:szCs w:val="16"/>
              </w:rPr>
            </w:pPr>
            <w:r w:rsidRPr="00873B6C">
              <w:rPr>
                <w:sz w:val="16"/>
                <w:szCs w:val="16"/>
              </w:rPr>
              <w:t>Time synchronization - description review</w:t>
            </w:r>
          </w:p>
        </w:tc>
        <w:tc>
          <w:tcPr>
            <w:tcW w:w="708" w:type="dxa"/>
            <w:shd w:val="solid" w:color="FFFFFF" w:fill="auto"/>
          </w:tcPr>
          <w:p w14:paraId="0CD37CD6" w14:textId="0C4F00A4" w:rsidR="00C950EF" w:rsidRPr="00873B6C" w:rsidRDefault="00C950EF" w:rsidP="000040FE">
            <w:pPr>
              <w:pStyle w:val="TAC"/>
              <w:rPr>
                <w:sz w:val="16"/>
                <w:szCs w:val="16"/>
              </w:rPr>
            </w:pPr>
            <w:r w:rsidRPr="00873B6C">
              <w:rPr>
                <w:sz w:val="16"/>
                <w:szCs w:val="16"/>
              </w:rPr>
              <w:t>17.3.0</w:t>
            </w:r>
          </w:p>
        </w:tc>
      </w:tr>
      <w:tr w:rsidR="00C950EF" w:rsidRPr="00873B6C" w14:paraId="21079B26" w14:textId="77777777" w:rsidTr="009D14FB">
        <w:tc>
          <w:tcPr>
            <w:tcW w:w="800" w:type="dxa"/>
            <w:shd w:val="solid" w:color="FFFFFF" w:fill="auto"/>
          </w:tcPr>
          <w:p w14:paraId="05CE1FD0" w14:textId="3BD7D506" w:rsidR="00C950EF" w:rsidRPr="00873B6C" w:rsidRDefault="00C950EF" w:rsidP="000040FE">
            <w:pPr>
              <w:pStyle w:val="TAC"/>
              <w:rPr>
                <w:sz w:val="16"/>
                <w:szCs w:val="16"/>
              </w:rPr>
            </w:pPr>
            <w:r w:rsidRPr="00873B6C">
              <w:rPr>
                <w:sz w:val="16"/>
                <w:szCs w:val="16"/>
              </w:rPr>
              <w:t>2021-12</w:t>
            </w:r>
          </w:p>
        </w:tc>
        <w:tc>
          <w:tcPr>
            <w:tcW w:w="800" w:type="dxa"/>
            <w:shd w:val="solid" w:color="FFFFFF" w:fill="auto"/>
          </w:tcPr>
          <w:p w14:paraId="4FA71E37" w14:textId="62142750" w:rsidR="00C950EF" w:rsidRPr="00873B6C" w:rsidRDefault="00C950EF" w:rsidP="000040FE">
            <w:pPr>
              <w:pStyle w:val="TAL"/>
              <w:rPr>
                <w:sz w:val="16"/>
                <w:szCs w:val="16"/>
              </w:rPr>
            </w:pPr>
            <w:r w:rsidRPr="00873B6C">
              <w:rPr>
                <w:sz w:val="16"/>
                <w:szCs w:val="16"/>
              </w:rPr>
              <w:t>SP#94E</w:t>
            </w:r>
          </w:p>
        </w:tc>
        <w:tc>
          <w:tcPr>
            <w:tcW w:w="1094" w:type="dxa"/>
            <w:shd w:val="solid" w:color="FFFFFF" w:fill="auto"/>
          </w:tcPr>
          <w:p w14:paraId="593F11E6" w14:textId="2E62D65D" w:rsidR="00C950EF" w:rsidRPr="00873B6C" w:rsidRDefault="00C950EF" w:rsidP="000040FE">
            <w:pPr>
              <w:pStyle w:val="TAC"/>
              <w:rPr>
                <w:sz w:val="16"/>
                <w:szCs w:val="16"/>
              </w:rPr>
            </w:pPr>
            <w:r w:rsidRPr="00873B6C">
              <w:rPr>
                <w:sz w:val="16"/>
                <w:szCs w:val="16"/>
              </w:rPr>
              <w:t>SP-211299</w:t>
            </w:r>
          </w:p>
        </w:tc>
        <w:tc>
          <w:tcPr>
            <w:tcW w:w="567" w:type="dxa"/>
            <w:shd w:val="solid" w:color="FFFFFF" w:fill="auto"/>
          </w:tcPr>
          <w:p w14:paraId="639E904D" w14:textId="0FDEA3A8" w:rsidR="00C950EF" w:rsidRPr="00873B6C" w:rsidRDefault="00C950EF" w:rsidP="000040FE">
            <w:pPr>
              <w:pStyle w:val="TAL"/>
              <w:rPr>
                <w:sz w:val="16"/>
                <w:szCs w:val="16"/>
              </w:rPr>
            </w:pPr>
            <w:r w:rsidRPr="00873B6C">
              <w:rPr>
                <w:sz w:val="16"/>
                <w:szCs w:val="16"/>
              </w:rPr>
              <w:t>3276</w:t>
            </w:r>
          </w:p>
        </w:tc>
        <w:tc>
          <w:tcPr>
            <w:tcW w:w="425" w:type="dxa"/>
            <w:shd w:val="solid" w:color="FFFFFF" w:fill="auto"/>
          </w:tcPr>
          <w:p w14:paraId="5512BB74" w14:textId="0A27B24E" w:rsidR="00C950EF" w:rsidRPr="00873B6C" w:rsidRDefault="00C950EF" w:rsidP="000040FE">
            <w:pPr>
              <w:pStyle w:val="TAL"/>
              <w:rPr>
                <w:sz w:val="16"/>
                <w:szCs w:val="16"/>
              </w:rPr>
            </w:pPr>
            <w:r w:rsidRPr="00873B6C">
              <w:rPr>
                <w:sz w:val="16"/>
                <w:szCs w:val="16"/>
              </w:rPr>
              <w:t>1</w:t>
            </w:r>
          </w:p>
        </w:tc>
        <w:tc>
          <w:tcPr>
            <w:tcW w:w="425" w:type="dxa"/>
            <w:shd w:val="solid" w:color="FFFFFF" w:fill="auto"/>
          </w:tcPr>
          <w:p w14:paraId="4AAE370B" w14:textId="279972E0" w:rsidR="00C950EF" w:rsidRPr="00873B6C" w:rsidRDefault="00C950EF" w:rsidP="000040FE">
            <w:pPr>
              <w:pStyle w:val="TAL"/>
              <w:rPr>
                <w:sz w:val="16"/>
                <w:szCs w:val="16"/>
              </w:rPr>
            </w:pPr>
            <w:r w:rsidRPr="00873B6C">
              <w:rPr>
                <w:sz w:val="16"/>
                <w:szCs w:val="16"/>
              </w:rPr>
              <w:t>D</w:t>
            </w:r>
          </w:p>
        </w:tc>
        <w:tc>
          <w:tcPr>
            <w:tcW w:w="4820" w:type="dxa"/>
            <w:shd w:val="solid" w:color="FFFFFF" w:fill="auto"/>
          </w:tcPr>
          <w:p w14:paraId="18827C09" w14:textId="48D825EF" w:rsidR="00C950EF" w:rsidRPr="00873B6C" w:rsidRDefault="00C950EF" w:rsidP="000040FE">
            <w:pPr>
              <w:pStyle w:val="TAL"/>
              <w:rPr>
                <w:sz w:val="16"/>
                <w:szCs w:val="16"/>
              </w:rPr>
            </w:pPr>
            <w:r w:rsidRPr="00873B6C">
              <w:rPr>
                <w:sz w:val="16"/>
                <w:szCs w:val="16"/>
              </w:rPr>
              <w:t>Rapporteur CR for editorial fixes</w:t>
            </w:r>
          </w:p>
        </w:tc>
        <w:tc>
          <w:tcPr>
            <w:tcW w:w="708" w:type="dxa"/>
            <w:shd w:val="solid" w:color="FFFFFF" w:fill="auto"/>
          </w:tcPr>
          <w:p w14:paraId="60DD3358" w14:textId="6A3226C6" w:rsidR="00C950EF" w:rsidRPr="00873B6C" w:rsidRDefault="00C950EF" w:rsidP="000040FE">
            <w:pPr>
              <w:pStyle w:val="TAC"/>
              <w:rPr>
                <w:sz w:val="16"/>
                <w:szCs w:val="16"/>
              </w:rPr>
            </w:pPr>
            <w:r w:rsidRPr="00873B6C">
              <w:rPr>
                <w:sz w:val="16"/>
                <w:szCs w:val="16"/>
              </w:rPr>
              <w:t>17.3.0</w:t>
            </w:r>
          </w:p>
        </w:tc>
      </w:tr>
      <w:tr w:rsidR="00DA3BBC" w:rsidRPr="00873B6C" w14:paraId="3C857D25" w14:textId="77777777" w:rsidTr="009D14FB">
        <w:tc>
          <w:tcPr>
            <w:tcW w:w="800" w:type="dxa"/>
            <w:shd w:val="solid" w:color="FFFFFF" w:fill="auto"/>
          </w:tcPr>
          <w:p w14:paraId="477158BD" w14:textId="681EBF98"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626636C8" w14:textId="7EA90B2C"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0650749F" w14:textId="09ED4128" w:rsidR="00DA3BBC" w:rsidRPr="00873B6C" w:rsidRDefault="00DA3BBC" w:rsidP="000040FE">
            <w:pPr>
              <w:pStyle w:val="TAC"/>
              <w:rPr>
                <w:sz w:val="16"/>
                <w:szCs w:val="16"/>
              </w:rPr>
            </w:pPr>
            <w:r w:rsidRPr="00873B6C">
              <w:rPr>
                <w:sz w:val="16"/>
                <w:szCs w:val="16"/>
              </w:rPr>
              <w:t>SP-211294</w:t>
            </w:r>
          </w:p>
        </w:tc>
        <w:tc>
          <w:tcPr>
            <w:tcW w:w="567" w:type="dxa"/>
            <w:shd w:val="solid" w:color="FFFFFF" w:fill="auto"/>
          </w:tcPr>
          <w:p w14:paraId="5796A2B2" w14:textId="77C5923C" w:rsidR="00DA3BBC" w:rsidRPr="00873B6C" w:rsidRDefault="00DA3BBC" w:rsidP="000040FE">
            <w:pPr>
              <w:pStyle w:val="TAL"/>
              <w:rPr>
                <w:sz w:val="16"/>
                <w:szCs w:val="16"/>
              </w:rPr>
            </w:pPr>
            <w:r w:rsidRPr="00873B6C">
              <w:rPr>
                <w:sz w:val="16"/>
                <w:szCs w:val="16"/>
              </w:rPr>
              <w:t>3277</w:t>
            </w:r>
          </w:p>
        </w:tc>
        <w:tc>
          <w:tcPr>
            <w:tcW w:w="425" w:type="dxa"/>
            <w:shd w:val="solid" w:color="FFFFFF" w:fill="auto"/>
          </w:tcPr>
          <w:p w14:paraId="48EC6393" w14:textId="0993C62A"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2FB4E13C" w14:textId="1DC099E6"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493184AD" w14:textId="31BF6D8F" w:rsidR="00DA3BBC" w:rsidRPr="00873B6C" w:rsidRDefault="00DA3BBC" w:rsidP="000040FE">
            <w:pPr>
              <w:pStyle w:val="TAL"/>
              <w:rPr>
                <w:sz w:val="16"/>
                <w:szCs w:val="16"/>
              </w:rPr>
            </w:pPr>
            <w:r w:rsidRPr="00873B6C">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873B6C" w:rsidRDefault="00DA3BBC" w:rsidP="000040FE">
            <w:pPr>
              <w:pStyle w:val="TAC"/>
              <w:rPr>
                <w:sz w:val="16"/>
                <w:szCs w:val="16"/>
              </w:rPr>
            </w:pPr>
            <w:r w:rsidRPr="00873B6C">
              <w:rPr>
                <w:sz w:val="16"/>
                <w:szCs w:val="16"/>
              </w:rPr>
              <w:t>17.3.0</w:t>
            </w:r>
          </w:p>
        </w:tc>
      </w:tr>
      <w:tr w:rsidR="00DA3BBC" w:rsidRPr="00873B6C" w14:paraId="71D74BE7" w14:textId="77777777" w:rsidTr="009D14FB">
        <w:tc>
          <w:tcPr>
            <w:tcW w:w="800" w:type="dxa"/>
            <w:shd w:val="solid" w:color="FFFFFF" w:fill="auto"/>
          </w:tcPr>
          <w:p w14:paraId="0D5726F7" w14:textId="6B87C571"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637E7B50" w14:textId="52AE68E0"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064DA500" w14:textId="4A612940" w:rsidR="00DA3BBC" w:rsidRPr="00873B6C" w:rsidRDefault="00DA3BBC" w:rsidP="000040FE">
            <w:pPr>
              <w:pStyle w:val="TAC"/>
              <w:rPr>
                <w:sz w:val="16"/>
                <w:szCs w:val="16"/>
              </w:rPr>
            </w:pPr>
            <w:r w:rsidRPr="00873B6C">
              <w:rPr>
                <w:sz w:val="16"/>
                <w:szCs w:val="16"/>
              </w:rPr>
              <w:t>SP-211298</w:t>
            </w:r>
          </w:p>
        </w:tc>
        <w:tc>
          <w:tcPr>
            <w:tcW w:w="567" w:type="dxa"/>
            <w:shd w:val="solid" w:color="FFFFFF" w:fill="auto"/>
          </w:tcPr>
          <w:p w14:paraId="6BBFAAEB" w14:textId="054EC1E3" w:rsidR="00DA3BBC" w:rsidRPr="00873B6C" w:rsidRDefault="00DA3BBC" w:rsidP="000040FE">
            <w:pPr>
              <w:pStyle w:val="TAL"/>
              <w:rPr>
                <w:sz w:val="16"/>
                <w:szCs w:val="16"/>
              </w:rPr>
            </w:pPr>
            <w:r w:rsidRPr="00873B6C">
              <w:rPr>
                <w:sz w:val="16"/>
                <w:szCs w:val="16"/>
              </w:rPr>
              <w:t>3280</w:t>
            </w:r>
          </w:p>
        </w:tc>
        <w:tc>
          <w:tcPr>
            <w:tcW w:w="425" w:type="dxa"/>
            <w:shd w:val="solid" w:color="FFFFFF" w:fill="auto"/>
          </w:tcPr>
          <w:p w14:paraId="330CE2DF" w14:textId="3A803DE2" w:rsidR="00DA3BBC" w:rsidRPr="00873B6C" w:rsidRDefault="00DA3BBC" w:rsidP="000040FE">
            <w:pPr>
              <w:pStyle w:val="TAL"/>
              <w:rPr>
                <w:sz w:val="16"/>
                <w:szCs w:val="16"/>
              </w:rPr>
            </w:pPr>
            <w:r w:rsidRPr="00873B6C">
              <w:rPr>
                <w:sz w:val="16"/>
                <w:szCs w:val="16"/>
              </w:rPr>
              <w:t>-</w:t>
            </w:r>
          </w:p>
        </w:tc>
        <w:tc>
          <w:tcPr>
            <w:tcW w:w="425" w:type="dxa"/>
            <w:shd w:val="solid" w:color="FFFFFF" w:fill="auto"/>
          </w:tcPr>
          <w:p w14:paraId="10685543" w14:textId="0A905DC4"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0D9BB36D" w14:textId="7DE933AD" w:rsidR="00DA3BBC" w:rsidRPr="00873B6C" w:rsidRDefault="00DA3BBC" w:rsidP="000040FE">
            <w:pPr>
              <w:pStyle w:val="TAL"/>
              <w:rPr>
                <w:sz w:val="16"/>
                <w:szCs w:val="16"/>
              </w:rPr>
            </w:pPr>
            <w:r w:rsidRPr="00873B6C">
              <w:rPr>
                <w:sz w:val="16"/>
                <w:szCs w:val="16"/>
              </w:rPr>
              <w:t>UAS NF selection based on the NEF capability</w:t>
            </w:r>
          </w:p>
        </w:tc>
        <w:tc>
          <w:tcPr>
            <w:tcW w:w="708" w:type="dxa"/>
            <w:shd w:val="solid" w:color="FFFFFF" w:fill="auto"/>
          </w:tcPr>
          <w:p w14:paraId="293F0609" w14:textId="0645B9BE" w:rsidR="00DA3BBC" w:rsidRPr="00873B6C" w:rsidRDefault="00DA3BBC" w:rsidP="000040FE">
            <w:pPr>
              <w:pStyle w:val="TAC"/>
              <w:rPr>
                <w:sz w:val="16"/>
                <w:szCs w:val="16"/>
              </w:rPr>
            </w:pPr>
            <w:r w:rsidRPr="00873B6C">
              <w:rPr>
                <w:sz w:val="16"/>
                <w:szCs w:val="16"/>
              </w:rPr>
              <w:t>17.3.0</w:t>
            </w:r>
          </w:p>
        </w:tc>
      </w:tr>
      <w:tr w:rsidR="00DA3BBC" w:rsidRPr="00873B6C" w14:paraId="2B687736" w14:textId="77777777" w:rsidTr="009D14FB">
        <w:tc>
          <w:tcPr>
            <w:tcW w:w="800" w:type="dxa"/>
            <w:shd w:val="solid" w:color="FFFFFF" w:fill="auto"/>
          </w:tcPr>
          <w:p w14:paraId="6787233B" w14:textId="61B226E9"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465F8E69" w14:textId="0A8B9FC0"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5AE73546" w14:textId="3BD1D099" w:rsidR="00DA3BBC" w:rsidRPr="00873B6C" w:rsidRDefault="00DA3BBC" w:rsidP="000040FE">
            <w:pPr>
              <w:pStyle w:val="TAC"/>
              <w:rPr>
                <w:sz w:val="16"/>
                <w:szCs w:val="16"/>
              </w:rPr>
            </w:pPr>
            <w:r w:rsidRPr="00873B6C">
              <w:rPr>
                <w:sz w:val="16"/>
                <w:szCs w:val="16"/>
              </w:rPr>
              <w:t>SP-211294</w:t>
            </w:r>
          </w:p>
        </w:tc>
        <w:tc>
          <w:tcPr>
            <w:tcW w:w="567" w:type="dxa"/>
            <w:shd w:val="solid" w:color="FFFFFF" w:fill="auto"/>
          </w:tcPr>
          <w:p w14:paraId="72F3A42E" w14:textId="496E04F7" w:rsidR="00DA3BBC" w:rsidRPr="00873B6C" w:rsidRDefault="00DA3BBC" w:rsidP="000040FE">
            <w:pPr>
              <w:pStyle w:val="TAL"/>
              <w:rPr>
                <w:sz w:val="16"/>
                <w:szCs w:val="16"/>
              </w:rPr>
            </w:pPr>
            <w:r w:rsidRPr="00873B6C">
              <w:rPr>
                <w:sz w:val="16"/>
                <w:szCs w:val="16"/>
              </w:rPr>
              <w:t>3281</w:t>
            </w:r>
          </w:p>
        </w:tc>
        <w:tc>
          <w:tcPr>
            <w:tcW w:w="425" w:type="dxa"/>
            <w:shd w:val="solid" w:color="FFFFFF" w:fill="auto"/>
          </w:tcPr>
          <w:p w14:paraId="07EE6C2E" w14:textId="428ADB5F"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60B8D0BD" w14:textId="1FC7EC6E"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2D2CCD0F" w14:textId="6FB721E0" w:rsidR="00DA3BBC" w:rsidRPr="00873B6C" w:rsidRDefault="00DA3BBC" w:rsidP="000040FE">
            <w:pPr>
              <w:pStyle w:val="TAL"/>
              <w:rPr>
                <w:sz w:val="16"/>
                <w:szCs w:val="16"/>
              </w:rPr>
            </w:pPr>
            <w:r w:rsidRPr="00873B6C">
              <w:rPr>
                <w:sz w:val="16"/>
                <w:szCs w:val="16"/>
              </w:rPr>
              <w:t>KI#4- Restricted Onboarding PDU session when PLMN is ON</w:t>
            </w:r>
          </w:p>
        </w:tc>
        <w:tc>
          <w:tcPr>
            <w:tcW w:w="708" w:type="dxa"/>
            <w:shd w:val="solid" w:color="FFFFFF" w:fill="auto"/>
          </w:tcPr>
          <w:p w14:paraId="2AC38F98" w14:textId="3B21E43E" w:rsidR="00DA3BBC" w:rsidRPr="00873B6C" w:rsidRDefault="00DA3BBC" w:rsidP="000040FE">
            <w:pPr>
              <w:pStyle w:val="TAC"/>
              <w:rPr>
                <w:sz w:val="16"/>
                <w:szCs w:val="16"/>
              </w:rPr>
            </w:pPr>
            <w:r w:rsidRPr="00873B6C">
              <w:rPr>
                <w:sz w:val="16"/>
                <w:szCs w:val="16"/>
              </w:rPr>
              <w:t>17.3.0</w:t>
            </w:r>
          </w:p>
        </w:tc>
      </w:tr>
      <w:tr w:rsidR="00DA3BBC" w:rsidRPr="00873B6C" w14:paraId="011905D2" w14:textId="77777777" w:rsidTr="009D14FB">
        <w:tc>
          <w:tcPr>
            <w:tcW w:w="800" w:type="dxa"/>
            <w:shd w:val="solid" w:color="FFFFFF" w:fill="auto"/>
          </w:tcPr>
          <w:p w14:paraId="4DC73E88" w14:textId="3800FF17"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6FB6C3A4" w14:textId="1946D8DF"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517C5B6B" w14:textId="4EC4AC0A" w:rsidR="00DA3BBC" w:rsidRPr="00873B6C" w:rsidRDefault="00DA3BBC" w:rsidP="000040FE">
            <w:pPr>
              <w:pStyle w:val="TAC"/>
              <w:rPr>
                <w:sz w:val="16"/>
                <w:szCs w:val="16"/>
              </w:rPr>
            </w:pPr>
            <w:r w:rsidRPr="00873B6C">
              <w:rPr>
                <w:sz w:val="16"/>
                <w:szCs w:val="16"/>
              </w:rPr>
              <w:t>SP-211284</w:t>
            </w:r>
          </w:p>
        </w:tc>
        <w:tc>
          <w:tcPr>
            <w:tcW w:w="567" w:type="dxa"/>
            <w:shd w:val="solid" w:color="FFFFFF" w:fill="auto"/>
          </w:tcPr>
          <w:p w14:paraId="2ACC06FE" w14:textId="1AB9C70F" w:rsidR="00DA3BBC" w:rsidRPr="00873B6C" w:rsidRDefault="00DA3BBC" w:rsidP="000040FE">
            <w:pPr>
              <w:pStyle w:val="TAL"/>
              <w:rPr>
                <w:sz w:val="16"/>
                <w:szCs w:val="16"/>
              </w:rPr>
            </w:pPr>
            <w:r w:rsidRPr="00873B6C">
              <w:rPr>
                <w:sz w:val="16"/>
                <w:szCs w:val="16"/>
              </w:rPr>
              <w:t>3284</w:t>
            </w:r>
          </w:p>
        </w:tc>
        <w:tc>
          <w:tcPr>
            <w:tcW w:w="425" w:type="dxa"/>
            <w:shd w:val="solid" w:color="FFFFFF" w:fill="auto"/>
          </w:tcPr>
          <w:p w14:paraId="7035000F" w14:textId="4416217C" w:rsidR="00DA3BBC" w:rsidRPr="00873B6C" w:rsidRDefault="00DA3BBC" w:rsidP="000040FE">
            <w:pPr>
              <w:pStyle w:val="TAL"/>
              <w:rPr>
                <w:sz w:val="16"/>
                <w:szCs w:val="16"/>
              </w:rPr>
            </w:pPr>
            <w:r w:rsidRPr="00873B6C">
              <w:rPr>
                <w:sz w:val="16"/>
                <w:szCs w:val="16"/>
              </w:rPr>
              <w:t>3</w:t>
            </w:r>
          </w:p>
        </w:tc>
        <w:tc>
          <w:tcPr>
            <w:tcW w:w="425" w:type="dxa"/>
            <w:shd w:val="solid" w:color="FFFFFF" w:fill="auto"/>
          </w:tcPr>
          <w:p w14:paraId="3C502BB9" w14:textId="0C1204F9"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6AAA1DD0" w14:textId="2F1FD862" w:rsidR="00DA3BBC" w:rsidRPr="00873B6C" w:rsidRDefault="00DA3BBC" w:rsidP="000040FE">
            <w:pPr>
              <w:pStyle w:val="TAL"/>
              <w:rPr>
                <w:sz w:val="16"/>
                <w:szCs w:val="16"/>
              </w:rPr>
            </w:pPr>
            <w:r w:rsidRPr="00873B6C">
              <w:rPr>
                <w:sz w:val="16"/>
                <w:szCs w:val="16"/>
              </w:rPr>
              <w:t>Editorial correction in TS 23.501</w:t>
            </w:r>
          </w:p>
        </w:tc>
        <w:tc>
          <w:tcPr>
            <w:tcW w:w="708" w:type="dxa"/>
            <w:shd w:val="solid" w:color="FFFFFF" w:fill="auto"/>
          </w:tcPr>
          <w:p w14:paraId="1B46AAF4" w14:textId="50C2F3A1" w:rsidR="00DA3BBC" w:rsidRPr="00873B6C" w:rsidRDefault="00DA3BBC" w:rsidP="000040FE">
            <w:pPr>
              <w:pStyle w:val="TAC"/>
              <w:rPr>
                <w:sz w:val="16"/>
                <w:szCs w:val="16"/>
              </w:rPr>
            </w:pPr>
            <w:r w:rsidRPr="00873B6C">
              <w:rPr>
                <w:sz w:val="16"/>
                <w:szCs w:val="16"/>
              </w:rPr>
              <w:t>17.3.0</w:t>
            </w:r>
          </w:p>
        </w:tc>
      </w:tr>
      <w:tr w:rsidR="00DA3BBC" w:rsidRPr="00873B6C" w14:paraId="0DCB7954" w14:textId="77777777" w:rsidTr="009D14FB">
        <w:tc>
          <w:tcPr>
            <w:tcW w:w="800" w:type="dxa"/>
            <w:shd w:val="solid" w:color="FFFFFF" w:fill="auto"/>
          </w:tcPr>
          <w:p w14:paraId="47C1DCD2" w14:textId="51FA31A7"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34132AA" w14:textId="064FBEF8"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274188EA" w14:textId="07D466F9" w:rsidR="00DA3BBC" w:rsidRPr="00873B6C" w:rsidRDefault="00DA3BBC" w:rsidP="000040FE">
            <w:pPr>
              <w:pStyle w:val="TAC"/>
              <w:rPr>
                <w:sz w:val="16"/>
                <w:szCs w:val="16"/>
              </w:rPr>
            </w:pPr>
            <w:r w:rsidRPr="00873B6C">
              <w:rPr>
                <w:sz w:val="16"/>
                <w:szCs w:val="16"/>
              </w:rPr>
              <w:t>SP-211299</w:t>
            </w:r>
          </w:p>
        </w:tc>
        <w:tc>
          <w:tcPr>
            <w:tcW w:w="567" w:type="dxa"/>
            <w:shd w:val="solid" w:color="FFFFFF" w:fill="auto"/>
          </w:tcPr>
          <w:p w14:paraId="182E34E1" w14:textId="5C953A5B" w:rsidR="00DA3BBC" w:rsidRPr="00873B6C" w:rsidRDefault="00DA3BBC" w:rsidP="000040FE">
            <w:pPr>
              <w:pStyle w:val="TAL"/>
              <w:rPr>
                <w:sz w:val="16"/>
                <w:szCs w:val="16"/>
              </w:rPr>
            </w:pPr>
            <w:r w:rsidRPr="00873B6C">
              <w:rPr>
                <w:sz w:val="16"/>
                <w:szCs w:val="16"/>
              </w:rPr>
              <w:t>3285</w:t>
            </w:r>
          </w:p>
        </w:tc>
        <w:tc>
          <w:tcPr>
            <w:tcW w:w="425" w:type="dxa"/>
            <w:shd w:val="solid" w:color="FFFFFF" w:fill="auto"/>
          </w:tcPr>
          <w:p w14:paraId="3FAF543C" w14:textId="05949AD5"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443F59FD" w14:textId="19245CFD"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4D6C10BB" w14:textId="3C360AC1" w:rsidR="00DA3BBC" w:rsidRPr="00873B6C" w:rsidRDefault="00DA3BBC" w:rsidP="000040FE">
            <w:pPr>
              <w:pStyle w:val="TAL"/>
              <w:rPr>
                <w:sz w:val="16"/>
                <w:szCs w:val="16"/>
              </w:rPr>
            </w:pPr>
            <w:r w:rsidRPr="00873B6C">
              <w:rPr>
                <w:sz w:val="16"/>
                <w:szCs w:val="16"/>
              </w:rPr>
              <w:t>Clarify the interaction between AF and TSCTSF</w:t>
            </w:r>
          </w:p>
        </w:tc>
        <w:tc>
          <w:tcPr>
            <w:tcW w:w="708" w:type="dxa"/>
            <w:shd w:val="solid" w:color="FFFFFF" w:fill="auto"/>
          </w:tcPr>
          <w:p w14:paraId="45CABD42" w14:textId="0DFCD36E" w:rsidR="00DA3BBC" w:rsidRPr="00873B6C" w:rsidRDefault="00DA3BBC" w:rsidP="000040FE">
            <w:pPr>
              <w:pStyle w:val="TAC"/>
              <w:rPr>
                <w:sz w:val="16"/>
                <w:szCs w:val="16"/>
              </w:rPr>
            </w:pPr>
            <w:r w:rsidRPr="00873B6C">
              <w:rPr>
                <w:sz w:val="16"/>
                <w:szCs w:val="16"/>
              </w:rPr>
              <w:t>17.3.0</w:t>
            </w:r>
          </w:p>
        </w:tc>
      </w:tr>
      <w:tr w:rsidR="00DA3BBC" w:rsidRPr="00873B6C" w14:paraId="0FD22438" w14:textId="77777777" w:rsidTr="009D14FB">
        <w:tc>
          <w:tcPr>
            <w:tcW w:w="800" w:type="dxa"/>
            <w:shd w:val="solid" w:color="FFFFFF" w:fill="auto"/>
          </w:tcPr>
          <w:p w14:paraId="7E42ABDB" w14:textId="0BC4442D"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5EC7DEC7" w14:textId="03781EEF"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34BA59A0" w14:textId="62C7A36B" w:rsidR="00DA3BBC" w:rsidRPr="00873B6C" w:rsidRDefault="00DA3BBC" w:rsidP="000040FE">
            <w:pPr>
              <w:pStyle w:val="TAC"/>
              <w:rPr>
                <w:sz w:val="16"/>
                <w:szCs w:val="16"/>
              </w:rPr>
            </w:pPr>
            <w:r w:rsidRPr="00873B6C">
              <w:rPr>
                <w:sz w:val="16"/>
                <w:szCs w:val="16"/>
              </w:rPr>
              <w:t>SP-211301</w:t>
            </w:r>
          </w:p>
        </w:tc>
        <w:tc>
          <w:tcPr>
            <w:tcW w:w="567" w:type="dxa"/>
            <w:shd w:val="solid" w:color="FFFFFF" w:fill="auto"/>
          </w:tcPr>
          <w:p w14:paraId="6C0D2717" w14:textId="71553FC9" w:rsidR="00DA3BBC" w:rsidRPr="00873B6C" w:rsidRDefault="00DA3BBC" w:rsidP="000040FE">
            <w:pPr>
              <w:pStyle w:val="TAL"/>
              <w:rPr>
                <w:sz w:val="16"/>
                <w:szCs w:val="16"/>
              </w:rPr>
            </w:pPr>
            <w:r w:rsidRPr="00873B6C">
              <w:rPr>
                <w:sz w:val="16"/>
                <w:szCs w:val="16"/>
              </w:rPr>
              <w:t>3287</w:t>
            </w:r>
          </w:p>
        </w:tc>
        <w:tc>
          <w:tcPr>
            <w:tcW w:w="425" w:type="dxa"/>
            <w:shd w:val="solid" w:color="FFFFFF" w:fill="auto"/>
          </w:tcPr>
          <w:p w14:paraId="4FA180A3" w14:textId="4C91990A"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01D0BA9F" w14:textId="55A8D46B"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3F940B3A" w14:textId="5266CD37" w:rsidR="00DA3BBC" w:rsidRPr="00873B6C" w:rsidRDefault="00DA3BBC" w:rsidP="000040FE">
            <w:pPr>
              <w:pStyle w:val="TAL"/>
              <w:rPr>
                <w:sz w:val="16"/>
                <w:szCs w:val="16"/>
              </w:rPr>
            </w:pPr>
            <w:r w:rsidRPr="00873B6C">
              <w:rPr>
                <w:sz w:val="16"/>
                <w:szCs w:val="16"/>
              </w:rPr>
              <w:t>Clarification on MINT</w:t>
            </w:r>
          </w:p>
        </w:tc>
        <w:tc>
          <w:tcPr>
            <w:tcW w:w="708" w:type="dxa"/>
            <w:shd w:val="solid" w:color="FFFFFF" w:fill="auto"/>
          </w:tcPr>
          <w:p w14:paraId="2D7F8305" w14:textId="1307E1F4" w:rsidR="00DA3BBC" w:rsidRPr="00873B6C" w:rsidRDefault="00DA3BBC" w:rsidP="000040FE">
            <w:pPr>
              <w:pStyle w:val="TAC"/>
              <w:rPr>
                <w:sz w:val="16"/>
                <w:szCs w:val="16"/>
              </w:rPr>
            </w:pPr>
            <w:r w:rsidRPr="00873B6C">
              <w:rPr>
                <w:sz w:val="16"/>
                <w:szCs w:val="16"/>
              </w:rPr>
              <w:t>17.3.0</w:t>
            </w:r>
          </w:p>
        </w:tc>
      </w:tr>
      <w:tr w:rsidR="00DA3BBC" w:rsidRPr="00873B6C" w14:paraId="0C66C9D0" w14:textId="77777777" w:rsidTr="009D14FB">
        <w:tc>
          <w:tcPr>
            <w:tcW w:w="800" w:type="dxa"/>
            <w:shd w:val="solid" w:color="FFFFFF" w:fill="auto"/>
          </w:tcPr>
          <w:p w14:paraId="22188C64" w14:textId="5E58F98B"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22CE8D28" w14:textId="166A2031"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6909ED2D" w14:textId="7A376647" w:rsidR="00DA3BBC" w:rsidRPr="00873B6C" w:rsidRDefault="00DA3BBC" w:rsidP="000040FE">
            <w:pPr>
              <w:pStyle w:val="TAC"/>
              <w:rPr>
                <w:sz w:val="16"/>
                <w:szCs w:val="16"/>
              </w:rPr>
            </w:pPr>
            <w:r w:rsidRPr="00873B6C">
              <w:rPr>
                <w:sz w:val="16"/>
                <w:szCs w:val="16"/>
              </w:rPr>
              <w:t>SP-211284</w:t>
            </w:r>
          </w:p>
        </w:tc>
        <w:tc>
          <w:tcPr>
            <w:tcW w:w="567" w:type="dxa"/>
            <w:shd w:val="solid" w:color="FFFFFF" w:fill="auto"/>
          </w:tcPr>
          <w:p w14:paraId="3CDCD9A6" w14:textId="0B3665A0" w:rsidR="00DA3BBC" w:rsidRPr="00873B6C" w:rsidRDefault="00DA3BBC" w:rsidP="000040FE">
            <w:pPr>
              <w:pStyle w:val="TAL"/>
              <w:rPr>
                <w:sz w:val="16"/>
                <w:szCs w:val="16"/>
              </w:rPr>
            </w:pPr>
            <w:r w:rsidRPr="00873B6C">
              <w:rPr>
                <w:sz w:val="16"/>
                <w:szCs w:val="16"/>
              </w:rPr>
              <w:t>3290</w:t>
            </w:r>
          </w:p>
        </w:tc>
        <w:tc>
          <w:tcPr>
            <w:tcW w:w="425" w:type="dxa"/>
            <w:shd w:val="solid" w:color="FFFFFF" w:fill="auto"/>
          </w:tcPr>
          <w:p w14:paraId="7F968A45" w14:textId="3AC7077B"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4D437885" w14:textId="67086B18" w:rsidR="00DA3BBC" w:rsidRPr="00873B6C" w:rsidRDefault="00DA3BBC" w:rsidP="000040FE">
            <w:pPr>
              <w:pStyle w:val="TAL"/>
              <w:rPr>
                <w:sz w:val="16"/>
                <w:szCs w:val="16"/>
              </w:rPr>
            </w:pPr>
            <w:r w:rsidRPr="00873B6C">
              <w:rPr>
                <w:sz w:val="16"/>
                <w:szCs w:val="16"/>
              </w:rPr>
              <w:t>D</w:t>
            </w:r>
          </w:p>
        </w:tc>
        <w:tc>
          <w:tcPr>
            <w:tcW w:w="4820" w:type="dxa"/>
            <w:shd w:val="solid" w:color="FFFFFF" w:fill="auto"/>
          </w:tcPr>
          <w:p w14:paraId="30735F1C" w14:textId="56A20A0B" w:rsidR="00DA3BBC" w:rsidRPr="00873B6C" w:rsidRDefault="00DA3BBC" w:rsidP="000040FE">
            <w:pPr>
              <w:pStyle w:val="TAL"/>
              <w:rPr>
                <w:sz w:val="16"/>
                <w:szCs w:val="16"/>
              </w:rPr>
            </w:pPr>
            <w:r w:rsidRPr="00873B6C">
              <w:rPr>
                <w:sz w:val="16"/>
                <w:szCs w:val="16"/>
              </w:rPr>
              <w:t>Clarification on RTD and Terminology Alignment</w:t>
            </w:r>
          </w:p>
        </w:tc>
        <w:tc>
          <w:tcPr>
            <w:tcW w:w="708" w:type="dxa"/>
            <w:shd w:val="solid" w:color="FFFFFF" w:fill="auto"/>
          </w:tcPr>
          <w:p w14:paraId="55147203" w14:textId="0B66C0B9" w:rsidR="00DA3BBC" w:rsidRPr="00873B6C" w:rsidRDefault="00DA3BBC" w:rsidP="000040FE">
            <w:pPr>
              <w:pStyle w:val="TAC"/>
              <w:rPr>
                <w:sz w:val="16"/>
                <w:szCs w:val="16"/>
              </w:rPr>
            </w:pPr>
            <w:r w:rsidRPr="00873B6C">
              <w:rPr>
                <w:sz w:val="16"/>
                <w:szCs w:val="16"/>
              </w:rPr>
              <w:t>17.3.0</w:t>
            </w:r>
          </w:p>
        </w:tc>
      </w:tr>
      <w:tr w:rsidR="00DA3BBC" w:rsidRPr="00873B6C" w14:paraId="49A62FD2" w14:textId="77777777" w:rsidTr="009D14FB">
        <w:tc>
          <w:tcPr>
            <w:tcW w:w="800" w:type="dxa"/>
            <w:shd w:val="solid" w:color="FFFFFF" w:fill="auto"/>
          </w:tcPr>
          <w:p w14:paraId="7AB6A111" w14:textId="078558B2"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4B4DF6B8" w14:textId="21A84A21"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08FEE044" w14:textId="0783AC40" w:rsidR="00DA3BBC" w:rsidRPr="00873B6C" w:rsidRDefault="00DA3BBC" w:rsidP="000040FE">
            <w:pPr>
              <w:pStyle w:val="TAC"/>
              <w:rPr>
                <w:sz w:val="16"/>
                <w:szCs w:val="16"/>
              </w:rPr>
            </w:pPr>
            <w:r w:rsidRPr="00873B6C">
              <w:rPr>
                <w:sz w:val="16"/>
                <w:szCs w:val="16"/>
              </w:rPr>
              <w:t>SP-211290</w:t>
            </w:r>
          </w:p>
        </w:tc>
        <w:tc>
          <w:tcPr>
            <w:tcW w:w="567" w:type="dxa"/>
            <w:shd w:val="solid" w:color="FFFFFF" w:fill="auto"/>
          </w:tcPr>
          <w:p w14:paraId="34EE4800" w14:textId="0314CDB5" w:rsidR="00DA3BBC" w:rsidRPr="00873B6C" w:rsidRDefault="00DA3BBC" w:rsidP="000040FE">
            <w:pPr>
              <w:pStyle w:val="TAL"/>
              <w:rPr>
                <w:sz w:val="16"/>
                <w:szCs w:val="16"/>
              </w:rPr>
            </w:pPr>
            <w:r w:rsidRPr="00873B6C">
              <w:rPr>
                <w:sz w:val="16"/>
                <w:szCs w:val="16"/>
              </w:rPr>
              <w:t>3293</w:t>
            </w:r>
          </w:p>
        </w:tc>
        <w:tc>
          <w:tcPr>
            <w:tcW w:w="425" w:type="dxa"/>
            <w:shd w:val="solid" w:color="FFFFFF" w:fill="auto"/>
          </w:tcPr>
          <w:p w14:paraId="344D03CA" w14:textId="1AF7CBD6" w:rsidR="00DA3BBC" w:rsidRPr="00873B6C" w:rsidRDefault="00DA3BBC" w:rsidP="000040FE">
            <w:pPr>
              <w:pStyle w:val="TAL"/>
              <w:rPr>
                <w:sz w:val="16"/>
                <w:szCs w:val="16"/>
              </w:rPr>
            </w:pPr>
            <w:r w:rsidRPr="00873B6C">
              <w:rPr>
                <w:sz w:val="16"/>
                <w:szCs w:val="16"/>
              </w:rPr>
              <w:t xml:space="preserve">- </w:t>
            </w:r>
          </w:p>
        </w:tc>
        <w:tc>
          <w:tcPr>
            <w:tcW w:w="425" w:type="dxa"/>
            <w:shd w:val="solid" w:color="FFFFFF" w:fill="auto"/>
          </w:tcPr>
          <w:p w14:paraId="0997236B" w14:textId="3303FE82"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06367AD8" w14:textId="41CA72BE" w:rsidR="00DA3BBC" w:rsidRPr="00873B6C" w:rsidRDefault="00DA3BBC" w:rsidP="000040FE">
            <w:pPr>
              <w:pStyle w:val="TAL"/>
              <w:rPr>
                <w:sz w:val="16"/>
                <w:szCs w:val="16"/>
              </w:rPr>
            </w:pPr>
            <w:r w:rsidRPr="00873B6C">
              <w:rPr>
                <w:sz w:val="16"/>
                <w:szCs w:val="16"/>
              </w:rPr>
              <w:t>Corrections on DNAI based I-SMF selection and removal</w:t>
            </w:r>
          </w:p>
        </w:tc>
        <w:tc>
          <w:tcPr>
            <w:tcW w:w="708" w:type="dxa"/>
            <w:shd w:val="solid" w:color="FFFFFF" w:fill="auto"/>
          </w:tcPr>
          <w:p w14:paraId="73136212" w14:textId="50B7FEC6" w:rsidR="00DA3BBC" w:rsidRPr="00873B6C" w:rsidRDefault="00DA3BBC" w:rsidP="000040FE">
            <w:pPr>
              <w:pStyle w:val="TAC"/>
              <w:rPr>
                <w:sz w:val="16"/>
                <w:szCs w:val="16"/>
              </w:rPr>
            </w:pPr>
            <w:r w:rsidRPr="00873B6C">
              <w:rPr>
                <w:sz w:val="16"/>
                <w:szCs w:val="16"/>
              </w:rPr>
              <w:t>17.3.0</w:t>
            </w:r>
          </w:p>
        </w:tc>
      </w:tr>
      <w:tr w:rsidR="00DA3BBC" w:rsidRPr="00873B6C" w14:paraId="3805E3D0" w14:textId="77777777" w:rsidTr="009D14FB">
        <w:tc>
          <w:tcPr>
            <w:tcW w:w="800" w:type="dxa"/>
            <w:shd w:val="solid" w:color="FFFFFF" w:fill="auto"/>
          </w:tcPr>
          <w:p w14:paraId="53BB03E9" w14:textId="55016B9E"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4891E214" w14:textId="328A6A0F"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1F9AEA57" w14:textId="1AA9E8A4" w:rsidR="00DA3BBC" w:rsidRPr="00873B6C" w:rsidRDefault="00DA3BBC" w:rsidP="000040FE">
            <w:pPr>
              <w:pStyle w:val="TAC"/>
              <w:rPr>
                <w:sz w:val="16"/>
                <w:szCs w:val="16"/>
              </w:rPr>
            </w:pPr>
            <w:r w:rsidRPr="00873B6C">
              <w:rPr>
                <w:sz w:val="16"/>
                <w:szCs w:val="16"/>
              </w:rPr>
              <w:t>SP-211301</w:t>
            </w:r>
          </w:p>
        </w:tc>
        <w:tc>
          <w:tcPr>
            <w:tcW w:w="567" w:type="dxa"/>
            <w:shd w:val="solid" w:color="FFFFFF" w:fill="auto"/>
          </w:tcPr>
          <w:p w14:paraId="151CD39D" w14:textId="00FB1BBF" w:rsidR="00DA3BBC" w:rsidRPr="00873B6C" w:rsidRDefault="00DA3BBC" w:rsidP="000040FE">
            <w:pPr>
              <w:pStyle w:val="TAL"/>
              <w:rPr>
                <w:sz w:val="16"/>
                <w:szCs w:val="16"/>
              </w:rPr>
            </w:pPr>
            <w:r w:rsidRPr="00873B6C">
              <w:rPr>
                <w:sz w:val="16"/>
                <w:szCs w:val="16"/>
              </w:rPr>
              <w:t>3294</w:t>
            </w:r>
          </w:p>
        </w:tc>
        <w:tc>
          <w:tcPr>
            <w:tcW w:w="425" w:type="dxa"/>
            <w:shd w:val="solid" w:color="FFFFFF" w:fill="auto"/>
          </w:tcPr>
          <w:p w14:paraId="0DEEF6DE" w14:textId="65A26D6B"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23816B68" w14:textId="49A2B63C"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37023692" w14:textId="6C7BF01B" w:rsidR="00DA3BBC" w:rsidRPr="00873B6C" w:rsidRDefault="00DA3BBC" w:rsidP="000040FE">
            <w:pPr>
              <w:pStyle w:val="TAL"/>
              <w:rPr>
                <w:sz w:val="16"/>
                <w:szCs w:val="16"/>
              </w:rPr>
            </w:pPr>
            <w:r w:rsidRPr="00873B6C">
              <w:rPr>
                <w:sz w:val="16"/>
                <w:szCs w:val="16"/>
              </w:rPr>
              <w:t>Applicability of states of non-3GPPA and clarifications.</w:t>
            </w:r>
          </w:p>
        </w:tc>
        <w:tc>
          <w:tcPr>
            <w:tcW w:w="708" w:type="dxa"/>
            <w:shd w:val="solid" w:color="FFFFFF" w:fill="auto"/>
          </w:tcPr>
          <w:p w14:paraId="6AF444F2" w14:textId="34D93401" w:rsidR="00DA3BBC" w:rsidRPr="00873B6C" w:rsidRDefault="00DA3BBC" w:rsidP="000040FE">
            <w:pPr>
              <w:pStyle w:val="TAC"/>
              <w:rPr>
                <w:sz w:val="16"/>
                <w:szCs w:val="16"/>
              </w:rPr>
            </w:pPr>
            <w:r w:rsidRPr="00873B6C">
              <w:rPr>
                <w:sz w:val="16"/>
                <w:szCs w:val="16"/>
              </w:rPr>
              <w:t>17.3.0</w:t>
            </w:r>
          </w:p>
        </w:tc>
      </w:tr>
      <w:tr w:rsidR="00DA3BBC" w:rsidRPr="00873B6C" w14:paraId="12C594C8" w14:textId="77777777" w:rsidTr="009D14FB">
        <w:tc>
          <w:tcPr>
            <w:tcW w:w="800" w:type="dxa"/>
            <w:shd w:val="solid" w:color="FFFFFF" w:fill="auto"/>
          </w:tcPr>
          <w:p w14:paraId="00D48CD3" w14:textId="40E96531"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52B2462" w14:textId="54DBECE7"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131FCA7A" w14:textId="5C9F9C63" w:rsidR="00DA3BBC" w:rsidRPr="00873B6C" w:rsidRDefault="00DA3BBC" w:rsidP="000040FE">
            <w:pPr>
              <w:pStyle w:val="TAC"/>
              <w:rPr>
                <w:sz w:val="16"/>
                <w:szCs w:val="16"/>
              </w:rPr>
            </w:pPr>
            <w:r w:rsidRPr="00873B6C">
              <w:rPr>
                <w:sz w:val="16"/>
                <w:szCs w:val="16"/>
              </w:rPr>
              <w:t>SP-211295</w:t>
            </w:r>
          </w:p>
        </w:tc>
        <w:tc>
          <w:tcPr>
            <w:tcW w:w="567" w:type="dxa"/>
            <w:shd w:val="solid" w:color="FFFFFF" w:fill="auto"/>
          </w:tcPr>
          <w:p w14:paraId="45A76789" w14:textId="6C50CB31" w:rsidR="00DA3BBC" w:rsidRPr="00873B6C" w:rsidRDefault="00DA3BBC" w:rsidP="000040FE">
            <w:pPr>
              <w:pStyle w:val="TAL"/>
              <w:rPr>
                <w:sz w:val="16"/>
                <w:szCs w:val="16"/>
              </w:rPr>
            </w:pPr>
            <w:r w:rsidRPr="00873B6C">
              <w:rPr>
                <w:sz w:val="16"/>
                <w:szCs w:val="16"/>
              </w:rPr>
              <w:t>3295</w:t>
            </w:r>
          </w:p>
        </w:tc>
        <w:tc>
          <w:tcPr>
            <w:tcW w:w="425" w:type="dxa"/>
            <w:shd w:val="solid" w:color="FFFFFF" w:fill="auto"/>
          </w:tcPr>
          <w:p w14:paraId="423BDBF8" w14:textId="1C061C2A"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0D7293D6" w14:textId="2E34D230"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7F9E2AF1" w14:textId="5F4AD90D" w:rsidR="00DA3BBC" w:rsidRPr="00873B6C" w:rsidRDefault="00DA3BBC" w:rsidP="000040FE">
            <w:pPr>
              <w:pStyle w:val="TAL"/>
              <w:rPr>
                <w:sz w:val="16"/>
                <w:szCs w:val="16"/>
              </w:rPr>
            </w:pPr>
            <w:r w:rsidRPr="00873B6C">
              <w:rPr>
                <w:sz w:val="16"/>
                <w:szCs w:val="16"/>
              </w:rPr>
              <w:t xml:space="preserve">Update of the Early Admission Control (EAC) mode  </w:t>
            </w:r>
          </w:p>
        </w:tc>
        <w:tc>
          <w:tcPr>
            <w:tcW w:w="708" w:type="dxa"/>
            <w:shd w:val="solid" w:color="FFFFFF" w:fill="auto"/>
          </w:tcPr>
          <w:p w14:paraId="71E25436" w14:textId="558F0504" w:rsidR="00DA3BBC" w:rsidRPr="00873B6C" w:rsidRDefault="00DA3BBC" w:rsidP="000040FE">
            <w:pPr>
              <w:pStyle w:val="TAC"/>
              <w:rPr>
                <w:sz w:val="16"/>
                <w:szCs w:val="16"/>
              </w:rPr>
            </w:pPr>
            <w:r w:rsidRPr="00873B6C">
              <w:rPr>
                <w:sz w:val="16"/>
                <w:szCs w:val="16"/>
              </w:rPr>
              <w:t>17.3.0</w:t>
            </w:r>
          </w:p>
        </w:tc>
      </w:tr>
      <w:tr w:rsidR="00DA3BBC" w:rsidRPr="00873B6C" w14:paraId="6DD2D4EA" w14:textId="77777777" w:rsidTr="009D14FB">
        <w:tc>
          <w:tcPr>
            <w:tcW w:w="800" w:type="dxa"/>
            <w:shd w:val="solid" w:color="FFFFFF" w:fill="auto"/>
          </w:tcPr>
          <w:p w14:paraId="43CB7DC9" w14:textId="4C3EFAFC"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0A56F1E" w14:textId="272F77A1"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15A4CFB5" w14:textId="3CA9893D" w:rsidR="00DA3BBC" w:rsidRPr="00873B6C" w:rsidRDefault="00DA3BBC" w:rsidP="000040FE">
            <w:pPr>
              <w:pStyle w:val="TAC"/>
              <w:rPr>
                <w:sz w:val="16"/>
                <w:szCs w:val="16"/>
              </w:rPr>
            </w:pPr>
            <w:r w:rsidRPr="00873B6C">
              <w:rPr>
                <w:sz w:val="16"/>
                <w:szCs w:val="16"/>
              </w:rPr>
              <w:t>SP-211295</w:t>
            </w:r>
          </w:p>
        </w:tc>
        <w:tc>
          <w:tcPr>
            <w:tcW w:w="567" w:type="dxa"/>
            <w:shd w:val="solid" w:color="FFFFFF" w:fill="auto"/>
          </w:tcPr>
          <w:p w14:paraId="6EC10554" w14:textId="01702B26" w:rsidR="00DA3BBC" w:rsidRPr="00873B6C" w:rsidRDefault="00DA3BBC" w:rsidP="000040FE">
            <w:pPr>
              <w:pStyle w:val="TAL"/>
              <w:rPr>
                <w:sz w:val="16"/>
                <w:szCs w:val="16"/>
              </w:rPr>
            </w:pPr>
            <w:r w:rsidRPr="00873B6C">
              <w:rPr>
                <w:sz w:val="16"/>
                <w:szCs w:val="16"/>
              </w:rPr>
              <w:t>3296</w:t>
            </w:r>
          </w:p>
        </w:tc>
        <w:tc>
          <w:tcPr>
            <w:tcW w:w="425" w:type="dxa"/>
            <w:shd w:val="solid" w:color="FFFFFF" w:fill="auto"/>
          </w:tcPr>
          <w:p w14:paraId="7DF658A7" w14:textId="2FA3C634" w:rsidR="00DA3BBC" w:rsidRPr="00873B6C" w:rsidRDefault="00DA3BBC" w:rsidP="000040FE">
            <w:pPr>
              <w:pStyle w:val="TAL"/>
              <w:rPr>
                <w:sz w:val="16"/>
                <w:szCs w:val="16"/>
              </w:rPr>
            </w:pPr>
            <w:r w:rsidRPr="00873B6C">
              <w:rPr>
                <w:sz w:val="16"/>
                <w:szCs w:val="16"/>
              </w:rPr>
              <w:t>-</w:t>
            </w:r>
          </w:p>
        </w:tc>
        <w:tc>
          <w:tcPr>
            <w:tcW w:w="425" w:type="dxa"/>
            <w:shd w:val="solid" w:color="FFFFFF" w:fill="auto"/>
          </w:tcPr>
          <w:p w14:paraId="6EB409A8" w14:textId="0C072A25"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0BE37024" w14:textId="381983DF" w:rsidR="00DA3BBC" w:rsidRPr="00873B6C" w:rsidRDefault="00DA3BBC" w:rsidP="000040FE">
            <w:pPr>
              <w:pStyle w:val="TAL"/>
              <w:rPr>
                <w:sz w:val="16"/>
                <w:szCs w:val="16"/>
              </w:rPr>
            </w:pPr>
            <w:r w:rsidRPr="00873B6C">
              <w:rPr>
                <w:sz w:val="16"/>
                <w:szCs w:val="16"/>
              </w:rPr>
              <w:t xml:space="preserve">Update of the Functional Description Related to NSAC  </w:t>
            </w:r>
          </w:p>
        </w:tc>
        <w:tc>
          <w:tcPr>
            <w:tcW w:w="708" w:type="dxa"/>
            <w:shd w:val="solid" w:color="FFFFFF" w:fill="auto"/>
          </w:tcPr>
          <w:p w14:paraId="2F51BD2B" w14:textId="6E4D875D" w:rsidR="00DA3BBC" w:rsidRPr="00873B6C" w:rsidRDefault="00DA3BBC" w:rsidP="000040FE">
            <w:pPr>
              <w:pStyle w:val="TAC"/>
              <w:rPr>
                <w:sz w:val="16"/>
                <w:szCs w:val="16"/>
              </w:rPr>
            </w:pPr>
            <w:r w:rsidRPr="00873B6C">
              <w:rPr>
                <w:sz w:val="16"/>
                <w:szCs w:val="16"/>
              </w:rPr>
              <w:t>17.3.0</w:t>
            </w:r>
          </w:p>
        </w:tc>
      </w:tr>
      <w:tr w:rsidR="00DA3BBC" w:rsidRPr="00873B6C" w14:paraId="300E0C5A" w14:textId="77777777" w:rsidTr="009D14FB">
        <w:tc>
          <w:tcPr>
            <w:tcW w:w="800" w:type="dxa"/>
            <w:shd w:val="solid" w:color="FFFFFF" w:fill="auto"/>
          </w:tcPr>
          <w:p w14:paraId="20DA83FA" w14:textId="25FCA92C"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A05D4C6" w14:textId="68F2B39B"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4CC0B0A8" w14:textId="44B937E0" w:rsidR="00DA3BBC" w:rsidRPr="00873B6C" w:rsidRDefault="00DA3BBC" w:rsidP="000040FE">
            <w:pPr>
              <w:pStyle w:val="TAC"/>
              <w:rPr>
                <w:sz w:val="16"/>
                <w:szCs w:val="16"/>
              </w:rPr>
            </w:pPr>
            <w:r w:rsidRPr="00873B6C">
              <w:rPr>
                <w:sz w:val="16"/>
                <w:szCs w:val="16"/>
              </w:rPr>
              <w:t>SP-211294</w:t>
            </w:r>
          </w:p>
        </w:tc>
        <w:tc>
          <w:tcPr>
            <w:tcW w:w="567" w:type="dxa"/>
            <w:shd w:val="solid" w:color="FFFFFF" w:fill="auto"/>
          </w:tcPr>
          <w:p w14:paraId="1745F945" w14:textId="542FDC79" w:rsidR="00DA3BBC" w:rsidRPr="00873B6C" w:rsidRDefault="00DA3BBC" w:rsidP="000040FE">
            <w:pPr>
              <w:pStyle w:val="TAL"/>
              <w:rPr>
                <w:sz w:val="16"/>
                <w:szCs w:val="16"/>
              </w:rPr>
            </w:pPr>
            <w:r w:rsidRPr="00873B6C">
              <w:rPr>
                <w:sz w:val="16"/>
                <w:szCs w:val="16"/>
              </w:rPr>
              <w:t>3297</w:t>
            </w:r>
          </w:p>
        </w:tc>
        <w:tc>
          <w:tcPr>
            <w:tcW w:w="425" w:type="dxa"/>
            <w:shd w:val="solid" w:color="FFFFFF" w:fill="auto"/>
          </w:tcPr>
          <w:p w14:paraId="7278968B" w14:textId="246E8F19"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17344178" w14:textId="5042E443"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4AC04C85" w14:textId="5BE764F1" w:rsidR="00DA3BBC" w:rsidRPr="00873B6C" w:rsidRDefault="00DA3BBC" w:rsidP="000040FE">
            <w:pPr>
              <w:pStyle w:val="TAL"/>
              <w:rPr>
                <w:sz w:val="16"/>
                <w:szCs w:val="16"/>
              </w:rPr>
            </w:pPr>
            <w:r w:rsidRPr="00873B6C">
              <w:rPr>
                <w:sz w:val="16"/>
                <w:szCs w:val="16"/>
              </w:rPr>
              <w:t>Clarification for UE onboarding and UE access with CH credentials</w:t>
            </w:r>
          </w:p>
        </w:tc>
        <w:tc>
          <w:tcPr>
            <w:tcW w:w="708" w:type="dxa"/>
            <w:shd w:val="solid" w:color="FFFFFF" w:fill="auto"/>
          </w:tcPr>
          <w:p w14:paraId="4E445F6F" w14:textId="06A0B410" w:rsidR="00DA3BBC" w:rsidRPr="00873B6C" w:rsidRDefault="00DA3BBC" w:rsidP="000040FE">
            <w:pPr>
              <w:pStyle w:val="TAC"/>
              <w:rPr>
                <w:sz w:val="16"/>
                <w:szCs w:val="16"/>
              </w:rPr>
            </w:pPr>
            <w:r w:rsidRPr="00873B6C">
              <w:rPr>
                <w:sz w:val="16"/>
                <w:szCs w:val="16"/>
              </w:rPr>
              <w:t>17.3.0</w:t>
            </w:r>
          </w:p>
        </w:tc>
      </w:tr>
      <w:tr w:rsidR="00DA3BBC" w:rsidRPr="00873B6C" w14:paraId="3005F166" w14:textId="77777777" w:rsidTr="009D14FB">
        <w:tc>
          <w:tcPr>
            <w:tcW w:w="800" w:type="dxa"/>
            <w:shd w:val="solid" w:color="FFFFFF" w:fill="auto"/>
          </w:tcPr>
          <w:p w14:paraId="11CCB15F" w14:textId="6F0A99B6"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4BD40F5" w14:textId="04B7DC26"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1B71E0BB" w14:textId="2D81283C" w:rsidR="00DA3BBC" w:rsidRPr="00873B6C" w:rsidRDefault="00DA3BBC" w:rsidP="000040FE">
            <w:pPr>
              <w:pStyle w:val="TAC"/>
              <w:rPr>
                <w:sz w:val="16"/>
                <w:szCs w:val="16"/>
              </w:rPr>
            </w:pPr>
            <w:r w:rsidRPr="00873B6C">
              <w:rPr>
                <w:sz w:val="16"/>
                <w:szCs w:val="16"/>
              </w:rPr>
              <w:t>SP-211290</w:t>
            </w:r>
          </w:p>
        </w:tc>
        <w:tc>
          <w:tcPr>
            <w:tcW w:w="567" w:type="dxa"/>
            <w:shd w:val="solid" w:color="FFFFFF" w:fill="auto"/>
          </w:tcPr>
          <w:p w14:paraId="7AC724CC" w14:textId="74896798" w:rsidR="00DA3BBC" w:rsidRPr="00873B6C" w:rsidRDefault="00DA3BBC" w:rsidP="000040FE">
            <w:pPr>
              <w:pStyle w:val="TAL"/>
              <w:rPr>
                <w:sz w:val="16"/>
                <w:szCs w:val="16"/>
              </w:rPr>
            </w:pPr>
            <w:r w:rsidRPr="00873B6C">
              <w:rPr>
                <w:sz w:val="16"/>
                <w:szCs w:val="16"/>
              </w:rPr>
              <w:t>3299</w:t>
            </w:r>
          </w:p>
        </w:tc>
        <w:tc>
          <w:tcPr>
            <w:tcW w:w="425" w:type="dxa"/>
            <w:shd w:val="solid" w:color="FFFFFF" w:fill="auto"/>
          </w:tcPr>
          <w:p w14:paraId="44DB8F29" w14:textId="0D4EB08B" w:rsidR="00DA3BBC" w:rsidRPr="00873B6C" w:rsidRDefault="00DA3BBC" w:rsidP="000040FE">
            <w:pPr>
              <w:pStyle w:val="TAL"/>
              <w:rPr>
                <w:sz w:val="16"/>
                <w:szCs w:val="16"/>
              </w:rPr>
            </w:pPr>
            <w:r w:rsidRPr="00873B6C">
              <w:rPr>
                <w:sz w:val="16"/>
                <w:szCs w:val="16"/>
              </w:rPr>
              <w:t xml:space="preserve">2 </w:t>
            </w:r>
          </w:p>
        </w:tc>
        <w:tc>
          <w:tcPr>
            <w:tcW w:w="425" w:type="dxa"/>
            <w:shd w:val="solid" w:color="FFFFFF" w:fill="auto"/>
          </w:tcPr>
          <w:p w14:paraId="360FE4D9" w14:textId="4C8F6CB4"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1ACB2137" w14:textId="7733E536" w:rsidR="00DA3BBC" w:rsidRPr="00873B6C" w:rsidRDefault="00DA3BBC" w:rsidP="000040FE">
            <w:pPr>
              <w:pStyle w:val="TAL"/>
              <w:rPr>
                <w:sz w:val="16"/>
                <w:szCs w:val="16"/>
              </w:rPr>
            </w:pPr>
            <w:r w:rsidRPr="00873B6C">
              <w:rPr>
                <w:sz w:val="16"/>
                <w:szCs w:val="16"/>
              </w:rPr>
              <w:t>501 EASDF Service correction</w:t>
            </w:r>
          </w:p>
        </w:tc>
        <w:tc>
          <w:tcPr>
            <w:tcW w:w="708" w:type="dxa"/>
            <w:shd w:val="solid" w:color="FFFFFF" w:fill="auto"/>
          </w:tcPr>
          <w:p w14:paraId="7DC60049" w14:textId="4E04C6A1" w:rsidR="00DA3BBC" w:rsidRPr="00873B6C" w:rsidRDefault="00DA3BBC" w:rsidP="000040FE">
            <w:pPr>
              <w:pStyle w:val="TAC"/>
              <w:rPr>
                <w:sz w:val="16"/>
                <w:szCs w:val="16"/>
              </w:rPr>
            </w:pPr>
            <w:r w:rsidRPr="00873B6C">
              <w:rPr>
                <w:sz w:val="16"/>
                <w:szCs w:val="16"/>
              </w:rPr>
              <w:t>17.3.0</w:t>
            </w:r>
          </w:p>
        </w:tc>
      </w:tr>
      <w:tr w:rsidR="00DA3BBC" w:rsidRPr="00873B6C" w14:paraId="108D7D96" w14:textId="77777777" w:rsidTr="009D14FB">
        <w:tc>
          <w:tcPr>
            <w:tcW w:w="800" w:type="dxa"/>
            <w:shd w:val="solid" w:color="FFFFFF" w:fill="auto"/>
          </w:tcPr>
          <w:p w14:paraId="48424EFD" w14:textId="1F17AB33"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32DD0A77" w14:textId="6A0F96D8"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64E746CD" w14:textId="1451170B" w:rsidR="00DA3BBC" w:rsidRPr="00873B6C" w:rsidRDefault="00DA3BBC" w:rsidP="000040FE">
            <w:pPr>
              <w:pStyle w:val="TAC"/>
              <w:rPr>
                <w:sz w:val="16"/>
                <w:szCs w:val="16"/>
              </w:rPr>
            </w:pPr>
            <w:r w:rsidRPr="00873B6C">
              <w:rPr>
                <w:sz w:val="16"/>
                <w:szCs w:val="16"/>
              </w:rPr>
              <w:t>SP-211295</w:t>
            </w:r>
          </w:p>
        </w:tc>
        <w:tc>
          <w:tcPr>
            <w:tcW w:w="567" w:type="dxa"/>
            <w:shd w:val="solid" w:color="FFFFFF" w:fill="auto"/>
          </w:tcPr>
          <w:p w14:paraId="179422EE" w14:textId="26B6028C" w:rsidR="00DA3BBC" w:rsidRPr="00873B6C" w:rsidRDefault="00DA3BBC" w:rsidP="000040FE">
            <w:pPr>
              <w:pStyle w:val="TAL"/>
              <w:rPr>
                <w:sz w:val="16"/>
                <w:szCs w:val="16"/>
              </w:rPr>
            </w:pPr>
            <w:r w:rsidRPr="00873B6C">
              <w:rPr>
                <w:sz w:val="16"/>
                <w:szCs w:val="16"/>
              </w:rPr>
              <w:t>3300</w:t>
            </w:r>
          </w:p>
        </w:tc>
        <w:tc>
          <w:tcPr>
            <w:tcW w:w="425" w:type="dxa"/>
            <w:shd w:val="solid" w:color="FFFFFF" w:fill="auto"/>
          </w:tcPr>
          <w:p w14:paraId="290CD2FD" w14:textId="3B2EFE86"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6C06F52C" w14:textId="035E14EF"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61F87AD7" w14:textId="354B1FA3" w:rsidR="00DA3BBC" w:rsidRPr="00873B6C" w:rsidRDefault="00DA3BBC" w:rsidP="000040FE">
            <w:pPr>
              <w:pStyle w:val="TAL"/>
              <w:rPr>
                <w:sz w:val="16"/>
                <w:szCs w:val="16"/>
              </w:rPr>
            </w:pPr>
            <w:r w:rsidRPr="00873B6C">
              <w:rPr>
                <w:sz w:val="16"/>
                <w:szCs w:val="16"/>
              </w:rPr>
              <w:t>The decision of target NSSAI based on NSSRG</w:t>
            </w:r>
          </w:p>
        </w:tc>
        <w:tc>
          <w:tcPr>
            <w:tcW w:w="708" w:type="dxa"/>
            <w:shd w:val="solid" w:color="FFFFFF" w:fill="auto"/>
          </w:tcPr>
          <w:p w14:paraId="148D6CA4" w14:textId="1B11C3F4" w:rsidR="00DA3BBC" w:rsidRPr="00873B6C" w:rsidRDefault="00DA3BBC" w:rsidP="000040FE">
            <w:pPr>
              <w:pStyle w:val="TAC"/>
              <w:rPr>
                <w:sz w:val="16"/>
                <w:szCs w:val="16"/>
              </w:rPr>
            </w:pPr>
            <w:r w:rsidRPr="00873B6C">
              <w:rPr>
                <w:sz w:val="16"/>
                <w:szCs w:val="16"/>
              </w:rPr>
              <w:t>17.3.0</w:t>
            </w:r>
          </w:p>
        </w:tc>
      </w:tr>
      <w:tr w:rsidR="00AE12FC" w:rsidRPr="00873B6C" w14:paraId="17BBB1F0" w14:textId="77777777" w:rsidTr="00C9561D">
        <w:tc>
          <w:tcPr>
            <w:tcW w:w="800" w:type="dxa"/>
            <w:shd w:val="solid" w:color="FFFFFF" w:fill="auto"/>
          </w:tcPr>
          <w:p w14:paraId="36B0BD26" w14:textId="77777777" w:rsidR="00AE12FC" w:rsidRPr="00873B6C" w:rsidRDefault="00AE12FC" w:rsidP="00C9561D">
            <w:pPr>
              <w:pStyle w:val="TAC"/>
              <w:rPr>
                <w:sz w:val="16"/>
                <w:szCs w:val="16"/>
              </w:rPr>
            </w:pPr>
            <w:r w:rsidRPr="00873B6C">
              <w:rPr>
                <w:sz w:val="16"/>
                <w:szCs w:val="16"/>
              </w:rPr>
              <w:lastRenderedPageBreak/>
              <w:t>2021-12</w:t>
            </w:r>
          </w:p>
        </w:tc>
        <w:tc>
          <w:tcPr>
            <w:tcW w:w="800" w:type="dxa"/>
            <w:shd w:val="solid" w:color="FFFFFF" w:fill="auto"/>
          </w:tcPr>
          <w:p w14:paraId="35552609" w14:textId="77777777" w:rsidR="00AE12FC" w:rsidRPr="00873B6C" w:rsidRDefault="00AE12FC" w:rsidP="00C9561D">
            <w:pPr>
              <w:pStyle w:val="TAL"/>
              <w:rPr>
                <w:sz w:val="16"/>
                <w:szCs w:val="16"/>
              </w:rPr>
            </w:pPr>
            <w:r w:rsidRPr="00873B6C">
              <w:rPr>
                <w:sz w:val="16"/>
                <w:szCs w:val="16"/>
              </w:rPr>
              <w:t>SP#94E</w:t>
            </w:r>
          </w:p>
        </w:tc>
        <w:tc>
          <w:tcPr>
            <w:tcW w:w="1094" w:type="dxa"/>
            <w:shd w:val="solid" w:color="FFFFFF" w:fill="auto"/>
          </w:tcPr>
          <w:p w14:paraId="1EA0E8D6" w14:textId="77777777" w:rsidR="00AE12FC" w:rsidRPr="00873B6C" w:rsidRDefault="00AE12FC" w:rsidP="00C9561D">
            <w:pPr>
              <w:pStyle w:val="TAC"/>
              <w:rPr>
                <w:sz w:val="16"/>
                <w:szCs w:val="16"/>
              </w:rPr>
            </w:pPr>
            <w:r w:rsidRPr="00873B6C">
              <w:rPr>
                <w:sz w:val="16"/>
                <w:szCs w:val="16"/>
              </w:rPr>
              <w:t>SP-211624</w:t>
            </w:r>
          </w:p>
        </w:tc>
        <w:tc>
          <w:tcPr>
            <w:tcW w:w="567" w:type="dxa"/>
            <w:shd w:val="solid" w:color="FFFFFF" w:fill="auto"/>
          </w:tcPr>
          <w:p w14:paraId="1E110ABF" w14:textId="77777777" w:rsidR="00AE12FC" w:rsidRPr="00873B6C" w:rsidRDefault="00AE12FC" w:rsidP="00C9561D">
            <w:pPr>
              <w:pStyle w:val="TAL"/>
              <w:rPr>
                <w:sz w:val="16"/>
                <w:szCs w:val="16"/>
              </w:rPr>
            </w:pPr>
            <w:r w:rsidRPr="00873B6C">
              <w:rPr>
                <w:sz w:val="16"/>
                <w:szCs w:val="16"/>
              </w:rPr>
              <w:t>3302</w:t>
            </w:r>
          </w:p>
        </w:tc>
        <w:tc>
          <w:tcPr>
            <w:tcW w:w="425" w:type="dxa"/>
            <w:shd w:val="solid" w:color="FFFFFF" w:fill="auto"/>
          </w:tcPr>
          <w:p w14:paraId="0ED61349" w14:textId="77777777" w:rsidR="00AE12FC" w:rsidRPr="00873B6C" w:rsidRDefault="00AE12FC" w:rsidP="00C9561D">
            <w:pPr>
              <w:pStyle w:val="TAL"/>
              <w:rPr>
                <w:sz w:val="16"/>
                <w:szCs w:val="16"/>
              </w:rPr>
            </w:pPr>
            <w:r w:rsidRPr="00873B6C">
              <w:rPr>
                <w:sz w:val="16"/>
                <w:szCs w:val="16"/>
              </w:rPr>
              <w:t>2</w:t>
            </w:r>
          </w:p>
        </w:tc>
        <w:tc>
          <w:tcPr>
            <w:tcW w:w="425" w:type="dxa"/>
            <w:shd w:val="solid" w:color="FFFFFF" w:fill="auto"/>
          </w:tcPr>
          <w:p w14:paraId="45AE9F73" w14:textId="77777777" w:rsidR="00AE12FC" w:rsidRPr="00873B6C" w:rsidRDefault="00AE12FC" w:rsidP="00C9561D">
            <w:pPr>
              <w:pStyle w:val="TAL"/>
              <w:rPr>
                <w:sz w:val="16"/>
                <w:szCs w:val="16"/>
              </w:rPr>
            </w:pPr>
            <w:r w:rsidRPr="00873B6C">
              <w:rPr>
                <w:sz w:val="16"/>
                <w:szCs w:val="16"/>
              </w:rPr>
              <w:t>A</w:t>
            </w:r>
          </w:p>
        </w:tc>
        <w:tc>
          <w:tcPr>
            <w:tcW w:w="4820" w:type="dxa"/>
            <w:shd w:val="solid" w:color="FFFFFF" w:fill="auto"/>
          </w:tcPr>
          <w:p w14:paraId="5727E700" w14:textId="77777777" w:rsidR="00AE12FC" w:rsidRPr="00873B6C" w:rsidRDefault="00AE12FC" w:rsidP="00C9561D">
            <w:pPr>
              <w:pStyle w:val="TAL"/>
              <w:rPr>
                <w:sz w:val="16"/>
                <w:szCs w:val="16"/>
              </w:rPr>
            </w:pPr>
            <w:r w:rsidRPr="00873B6C">
              <w:rPr>
                <w:sz w:val="16"/>
                <w:szCs w:val="16"/>
              </w:rPr>
              <w:t>Correction on PMF protocol stack for non-3GPP access</w:t>
            </w:r>
          </w:p>
        </w:tc>
        <w:tc>
          <w:tcPr>
            <w:tcW w:w="708" w:type="dxa"/>
            <w:shd w:val="solid" w:color="FFFFFF" w:fill="auto"/>
          </w:tcPr>
          <w:p w14:paraId="30D5DE3E" w14:textId="77777777" w:rsidR="00AE12FC" w:rsidRPr="00873B6C" w:rsidRDefault="00AE12FC" w:rsidP="00C9561D">
            <w:pPr>
              <w:pStyle w:val="TAC"/>
              <w:rPr>
                <w:sz w:val="16"/>
                <w:szCs w:val="16"/>
              </w:rPr>
            </w:pPr>
            <w:r w:rsidRPr="00873B6C">
              <w:rPr>
                <w:sz w:val="16"/>
                <w:szCs w:val="16"/>
              </w:rPr>
              <w:t>17.3.0</w:t>
            </w:r>
          </w:p>
        </w:tc>
      </w:tr>
      <w:tr w:rsidR="00824EE1" w:rsidRPr="00873B6C" w14:paraId="7EFD4CCB" w14:textId="77777777" w:rsidTr="009D14FB">
        <w:tc>
          <w:tcPr>
            <w:tcW w:w="800" w:type="dxa"/>
            <w:shd w:val="solid" w:color="FFFFFF" w:fill="auto"/>
          </w:tcPr>
          <w:p w14:paraId="44E3023E" w14:textId="56780E3E" w:rsidR="00824EE1" w:rsidRPr="00873B6C" w:rsidRDefault="00824EE1" w:rsidP="000040FE">
            <w:pPr>
              <w:pStyle w:val="TAC"/>
              <w:rPr>
                <w:sz w:val="16"/>
                <w:szCs w:val="16"/>
              </w:rPr>
            </w:pPr>
            <w:r w:rsidRPr="00873B6C">
              <w:rPr>
                <w:sz w:val="16"/>
                <w:szCs w:val="16"/>
              </w:rPr>
              <w:t>2021-12</w:t>
            </w:r>
          </w:p>
        </w:tc>
        <w:tc>
          <w:tcPr>
            <w:tcW w:w="800" w:type="dxa"/>
            <w:shd w:val="solid" w:color="FFFFFF" w:fill="auto"/>
          </w:tcPr>
          <w:p w14:paraId="53D9CC14" w14:textId="56C73C29" w:rsidR="00824EE1" w:rsidRPr="00873B6C" w:rsidRDefault="00824EE1" w:rsidP="000040FE">
            <w:pPr>
              <w:pStyle w:val="TAL"/>
              <w:rPr>
                <w:sz w:val="16"/>
                <w:szCs w:val="16"/>
              </w:rPr>
            </w:pPr>
            <w:r w:rsidRPr="00873B6C">
              <w:rPr>
                <w:sz w:val="16"/>
                <w:szCs w:val="16"/>
              </w:rPr>
              <w:t>SP#94E</w:t>
            </w:r>
          </w:p>
        </w:tc>
        <w:tc>
          <w:tcPr>
            <w:tcW w:w="1094" w:type="dxa"/>
            <w:shd w:val="solid" w:color="FFFFFF" w:fill="auto"/>
          </w:tcPr>
          <w:p w14:paraId="65770703" w14:textId="36146213" w:rsidR="00824EE1" w:rsidRPr="00873B6C" w:rsidRDefault="00824EE1" w:rsidP="000040FE">
            <w:pPr>
              <w:pStyle w:val="TAC"/>
              <w:rPr>
                <w:sz w:val="16"/>
                <w:szCs w:val="16"/>
              </w:rPr>
            </w:pPr>
            <w:r w:rsidRPr="00873B6C">
              <w:rPr>
                <w:sz w:val="16"/>
                <w:szCs w:val="16"/>
              </w:rPr>
              <w:t>SP-211294</w:t>
            </w:r>
          </w:p>
        </w:tc>
        <w:tc>
          <w:tcPr>
            <w:tcW w:w="567" w:type="dxa"/>
            <w:shd w:val="solid" w:color="FFFFFF" w:fill="auto"/>
          </w:tcPr>
          <w:p w14:paraId="2254DF93" w14:textId="7E8C29F2" w:rsidR="00824EE1" w:rsidRPr="00873B6C" w:rsidRDefault="00824EE1" w:rsidP="000040FE">
            <w:pPr>
              <w:pStyle w:val="TAL"/>
              <w:rPr>
                <w:sz w:val="16"/>
                <w:szCs w:val="16"/>
              </w:rPr>
            </w:pPr>
            <w:r w:rsidRPr="00873B6C">
              <w:rPr>
                <w:sz w:val="16"/>
                <w:szCs w:val="16"/>
              </w:rPr>
              <w:t>3303</w:t>
            </w:r>
          </w:p>
        </w:tc>
        <w:tc>
          <w:tcPr>
            <w:tcW w:w="425" w:type="dxa"/>
            <w:shd w:val="solid" w:color="FFFFFF" w:fill="auto"/>
          </w:tcPr>
          <w:p w14:paraId="2D11C9F1" w14:textId="3B5A1EE2" w:rsidR="00824EE1" w:rsidRPr="00873B6C" w:rsidRDefault="00824EE1" w:rsidP="000040FE">
            <w:pPr>
              <w:pStyle w:val="TAL"/>
              <w:rPr>
                <w:sz w:val="16"/>
                <w:szCs w:val="16"/>
              </w:rPr>
            </w:pPr>
            <w:r w:rsidRPr="00873B6C">
              <w:rPr>
                <w:sz w:val="16"/>
                <w:szCs w:val="16"/>
              </w:rPr>
              <w:t>1</w:t>
            </w:r>
          </w:p>
        </w:tc>
        <w:tc>
          <w:tcPr>
            <w:tcW w:w="425" w:type="dxa"/>
            <w:shd w:val="solid" w:color="FFFFFF" w:fill="auto"/>
          </w:tcPr>
          <w:p w14:paraId="1E7CFD97" w14:textId="6FBF06C3" w:rsidR="00824EE1" w:rsidRPr="00873B6C" w:rsidRDefault="00824EE1" w:rsidP="000040FE">
            <w:pPr>
              <w:pStyle w:val="TAL"/>
              <w:rPr>
                <w:sz w:val="16"/>
                <w:szCs w:val="16"/>
              </w:rPr>
            </w:pPr>
            <w:r w:rsidRPr="00873B6C">
              <w:rPr>
                <w:sz w:val="16"/>
                <w:szCs w:val="16"/>
              </w:rPr>
              <w:t>F</w:t>
            </w:r>
          </w:p>
        </w:tc>
        <w:tc>
          <w:tcPr>
            <w:tcW w:w="4820" w:type="dxa"/>
            <w:shd w:val="solid" w:color="FFFFFF" w:fill="auto"/>
          </w:tcPr>
          <w:p w14:paraId="3C1957EE" w14:textId="7950E4AD" w:rsidR="00824EE1" w:rsidRPr="00873B6C" w:rsidRDefault="00824EE1" w:rsidP="000040FE">
            <w:pPr>
              <w:pStyle w:val="TAL"/>
              <w:rPr>
                <w:sz w:val="16"/>
                <w:szCs w:val="16"/>
              </w:rPr>
            </w:pPr>
            <w:r w:rsidRPr="00873B6C">
              <w:rPr>
                <w:sz w:val="16"/>
                <w:szCs w:val="16"/>
              </w:rPr>
              <w:t>23.501 clarification on eNPN</w:t>
            </w:r>
          </w:p>
        </w:tc>
        <w:tc>
          <w:tcPr>
            <w:tcW w:w="708" w:type="dxa"/>
            <w:shd w:val="solid" w:color="FFFFFF" w:fill="auto"/>
          </w:tcPr>
          <w:p w14:paraId="334F29A4" w14:textId="14758EEF" w:rsidR="00824EE1" w:rsidRPr="00873B6C" w:rsidRDefault="00824EE1" w:rsidP="000040FE">
            <w:pPr>
              <w:pStyle w:val="TAC"/>
              <w:rPr>
                <w:sz w:val="16"/>
                <w:szCs w:val="16"/>
              </w:rPr>
            </w:pPr>
            <w:r w:rsidRPr="00873B6C">
              <w:rPr>
                <w:sz w:val="16"/>
                <w:szCs w:val="16"/>
              </w:rPr>
              <w:t>17.3.0</w:t>
            </w:r>
          </w:p>
        </w:tc>
      </w:tr>
      <w:tr w:rsidR="00824EE1" w:rsidRPr="00873B6C" w14:paraId="6A4CACCA" w14:textId="77777777" w:rsidTr="009D14FB">
        <w:tc>
          <w:tcPr>
            <w:tcW w:w="800" w:type="dxa"/>
            <w:shd w:val="solid" w:color="FFFFFF" w:fill="auto"/>
          </w:tcPr>
          <w:p w14:paraId="54F06CE4" w14:textId="1A8DB227" w:rsidR="00824EE1" w:rsidRPr="00873B6C" w:rsidRDefault="00824EE1" w:rsidP="000040FE">
            <w:pPr>
              <w:pStyle w:val="TAC"/>
              <w:rPr>
                <w:sz w:val="16"/>
                <w:szCs w:val="16"/>
              </w:rPr>
            </w:pPr>
            <w:r w:rsidRPr="00873B6C">
              <w:rPr>
                <w:sz w:val="16"/>
                <w:szCs w:val="16"/>
              </w:rPr>
              <w:t>2021-12</w:t>
            </w:r>
          </w:p>
        </w:tc>
        <w:tc>
          <w:tcPr>
            <w:tcW w:w="800" w:type="dxa"/>
            <w:shd w:val="solid" w:color="FFFFFF" w:fill="auto"/>
          </w:tcPr>
          <w:p w14:paraId="268E51C1" w14:textId="48F843CE" w:rsidR="00824EE1" w:rsidRPr="00873B6C" w:rsidRDefault="00824EE1" w:rsidP="000040FE">
            <w:pPr>
              <w:pStyle w:val="TAL"/>
              <w:rPr>
                <w:sz w:val="16"/>
                <w:szCs w:val="16"/>
              </w:rPr>
            </w:pPr>
            <w:r w:rsidRPr="00873B6C">
              <w:rPr>
                <w:sz w:val="16"/>
                <w:szCs w:val="16"/>
              </w:rPr>
              <w:t>SP#94E</w:t>
            </w:r>
          </w:p>
        </w:tc>
        <w:tc>
          <w:tcPr>
            <w:tcW w:w="1094" w:type="dxa"/>
            <w:shd w:val="solid" w:color="FFFFFF" w:fill="auto"/>
          </w:tcPr>
          <w:p w14:paraId="3CE3144F" w14:textId="2020C1F9" w:rsidR="00824EE1" w:rsidRPr="00873B6C" w:rsidRDefault="00824EE1" w:rsidP="000040FE">
            <w:pPr>
              <w:pStyle w:val="TAC"/>
              <w:rPr>
                <w:sz w:val="16"/>
                <w:szCs w:val="16"/>
              </w:rPr>
            </w:pPr>
            <w:r w:rsidRPr="00873B6C">
              <w:rPr>
                <w:sz w:val="16"/>
                <w:szCs w:val="16"/>
              </w:rPr>
              <w:t>SP-211301</w:t>
            </w:r>
          </w:p>
        </w:tc>
        <w:tc>
          <w:tcPr>
            <w:tcW w:w="567" w:type="dxa"/>
            <w:shd w:val="solid" w:color="FFFFFF" w:fill="auto"/>
          </w:tcPr>
          <w:p w14:paraId="6E8EE134" w14:textId="2631B805" w:rsidR="00824EE1" w:rsidRPr="00873B6C" w:rsidRDefault="00824EE1" w:rsidP="000040FE">
            <w:pPr>
              <w:pStyle w:val="TAL"/>
              <w:rPr>
                <w:sz w:val="16"/>
                <w:szCs w:val="16"/>
              </w:rPr>
            </w:pPr>
            <w:r w:rsidRPr="00873B6C">
              <w:rPr>
                <w:sz w:val="16"/>
                <w:szCs w:val="16"/>
              </w:rPr>
              <w:t>3311</w:t>
            </w:r>
          </w:p>
        </w:tc>
        <w:tc>
          <w:tcPr>
            <w:tcW w:w="425" w:type="dxa"/>
            <w:shd w:val="solid" w:color="FFFFFF" w:fill="auto"/>
          </w:tcPr>
          <w:p w14:paraId="7A62852B" w14:textId="68BD449B" w:rsidR="00824EE1" w:rsidRPr="00873B6C" w:rsidRDefault="00824EE1" w:rsidP="000040FE">
            <w:pPr>
              <w:pStyle w:val="TAL"/>
              <w:rPr>
                <w:sz w:val="16"/>
                <w:szCs w:val="16"/>
              </w:rPr>
            </w:pPr>
            <w:r w:rsidRPr="00873B6C">
              <w:rPr>
                <w:sz w:val="16"/>
                <w:szCs w:val="16"/>
              </w:rPr>
              <w:t>1</w:t>
            </w:r>
          </w:p>
        </w:tc>
        <w:tc>
          <w:tcPr>
            <w:tcW w:w="425" w:type="dxa"/>
            <w:shd w:val="solid" w:color="FFFFFF" w:fill="auto"/>
          </w:tcPr>
          <w:p w14:paraId="309BB770" w14:textId="0769DAAB" w:rsidR="00824EE1" w:rsidRPr="00873B6C" w:rsidRDefault="00824EE1" w:rsidP="000040FE">
            <w:pPr>
              <w:pStyle w:val="TAL"/>
              <w:rPr>
                <w:sz w:val="16"/>
                <w:szCs w:val="16"/>
              </w:rPr>
            </w:pPr>
            <w:r w:rsidRPr="00873B6C">
              <w:rPr>
                <w:sz w:val="16"/>
                <w:szCs w:val="16"/>
              </w:rPr>
              <w:t>F</w:t>
            </w:r>
          </w:p>
        </w:tc>
        <w:tc>
          <w:tcPr>
            <w:tcW w:w="4820" w:type="dxa"/>
            <w:shd w:val="solid" w:color="FFFFFF" w:fill="auto"/>
          </w:tcPr>
          <w:p w14:paraId="60D8FE0E" w14:textId="46928EB4" w:rsidR="00824EE1" w:rsidRPr="00873B6C" w:rsidRDefault="00824EE1" w:rsidP="000040FE">
            <w:pPr>
              <w:pStyle w:val="TAL"/>
              <w:rPr>
                <w:sz w:val="16"/>
                <w:szCs w:val="16"/>
              </w:rPr>
            </w:pPr>
            <w:r w:rsidRPr="00873B6C">
              <w:rPr>
                <w:sz w:val="16"/>
                <w:szCs w:val="16"/>
              </w:rPr>
              <w:t>Deregistration for UE not eligible for disaster roaming service</w:t>
            </w:r>
          </w:p>
        </w:tc>
        <w:tc>
          <w:tcPr>
            <w:tcW w:w="708" w:type="dxa"/>
            <w:shd w:val="solid" w:color="FFFFFF" w:fill="auto"/>
          </w:tcPr>
          <w:p w14:paraId="7F974C07" w14:textId="5DBD03DB" w:rsidR="00824EE1" w:rsidRPr="00873B6C" w:rsidRDefault="00824EE1" w:rsidP="000040FE">
            <w:pPr>
              <w:pStyle w:val="TAC"/>
              <w:rPr>
                <w:sz w:val="16"/>
                <w:szCs w:val="16"/>
              </w:rPr>
            </w:pPr>
            <w:r w:rsidRPr="00873B6C">
              <w:rPr>
                <w:sz w:val="16"/>
                <w:szCs w:val="16"/>
              </w:rPr>
              <w:t>17.3.0</w:t>
            </w:r>
          </w:p>
        </w:tc>
      </w:tr>
      <w:tr w:rsidR="00824EE1" w:rsidRPr="00873B6C" w14:paraId="7294C9B3" w14:textId="77777777" w:rsidTr="009D14FB">
        <w:tc>
          <w:tcPr>
            <w:tcW w:w="800" w:type="dxa"/>
            <w:shd w:val="solid" w:color="FFFFFF" w:fill="auto"/>
          </w:tcPr>
          <w:p w14:paraId="501D2ACE" w14:textId="510ACD70" w:rsidR="00824EE1" w:rsidRPr="00873B6C" w:rsidRDefault="00824EE1" w:rsidP="000040FE">
            <w:pPr>
              <w:pStyle w:val="TAC"/>
              <w:rPr>
                <w:sz w:val="16"/>
                <w:szCs w:val="16"/>
              </w:rPr>
            </w:pPr>
            <w:r w:rsidRPr="00873B6C">
              <w:rPr>
                <w:sz w:val="16"/>
                <w:szCs w:val="16"/>
              </w:rPr>
              <w:t>2021-12</w:t>
            </w:r>
          </w:p>
        </w:tc>
        <w:tc>
          <w:tcPr>
            <w:tcW w:w="800" w:type="dxa"/>
            <w:shd w:val="solid" w:color="FFFFFF" w:fill="auto"/>
          </w:tcPr>
          <w:p w14:paraId="0A000432" w14:textId="267833CE" w:rsidR="00824EE1" w:rsidRPr="00873B6C" w:rsidRDefault="00824EE1" w:rsidP="000040FE">
            <w:pPr>
              <w:pStyle w:val="TAL"/>
              <w:rPr>
                <w:sz w:val="16"/>
                <w:szCs w:val="16"/>
              </w:rPr>
            </w:pPr>
            <w:r w:rsidRPr="00873B6C">
              <w:rPr>
                <w:sz w:val="16"/>
                <w:szCs w:val="16"/>
              </w:rPr>
              <w:t>SP#94E</w:t>
            </w:r>
          </w:p>
        </w:tc>
        <w:tc>
          <w:tcPr>
            <w:tcW w:w="1094" w:type="dxa"/>
            <w:shd w:val="solid" w:color="FFFFFF" w:fill="auto"/>
          </w:tcPr>
          <w:p w14:paraId="3DADA018" w14:textId="11DC1220" w:rsidR="00824EE1" w:rsidRPr="00873B6C" w:rsidRDefault="00824EE1" w:rsidP="000040FE">
            <w:pPr>
              <w:pStyle w:val="TAC"/>
              <w:rPr>
                <w:sz w:val="16"/>
                <w:szCs w:val="16"/>
              </w:rPr>
            </w:pPr>
            <w:r w:rsidRPr="00873B6C">
              <w:rPr>
                <w:sz w:val="16"/>
                <w:szCs w:val="16"/>
              </w:rPr>
              <w:t>SP-211299</w:t>
            </w:r>
          </w:p>
        </w:tc>
        <w:tc>
          <w:tcPr>
            <w:tcW w:w="567" w:type="dxa"/>
            <w:shd w:val="solid" w:color="FFFFFF" w:fill="auto"/>
          </w:tcPr>
          <w:p w14:paraId="48E39FD2" w14:textId="7E8D1B22" w:rsidR="00824EE1" w:rsidRPr="00873B6C" w:rsidRDefault="00824EE1" w:rsidP="000040FE">
            <w:pPr>
              <w:pStyle w:val="TAL"/>
              <w:rPr>
                <w:sz w:val="16"/>
                <w:szCs w:val="16"/>
              </w:rPr>
            </w:pPr>
            <w:r w:rsidRPr="00873B6C">
              <w:rPr>
                <w:sz w:val="16"/>
                <w:szCs w:val="16"/>
              </w:rPr>
              <w:t>3312</w:t>
            </w:r>
          </w:p>
        </w:tc>
        <w:tc>
          <w:tcPr>
            <w:tcW w:w="425" w:type="dxa"/>
            <w:shd w:val="solid" w:color="FFFFFF" w:fill="auto"/>
          </w:tcPr>
          <w:p w14:paraId="5F7712BB" w14:textId="4FD2BAC3" w:rsidR="00824EE1" w:rsidRPr="00873B6C" w:rsidRDefault="00824EE1" w:rsidP="000040FE">
            <w:pPr>
              <w:pStyle w:val="TAL"/>
              <w:rPr>
                <w:sz w:val="16"/>
                <w:szCs w:val="16"/>
              </w:rPr>
            </w:pPr>
            <w:r w:rsidRPr="00873B6C">
              <w:rPr>
                <w:sz w:val="16"/>
                <w:szCs w:val="16"/>
              </w:rPr>
              <w:t xml:space="preserve">1 </w:t>
            </w:r>
          </w:p>
        </w:tc>
        <w:tc>
          <w:tcPr>
            <w:tcW w:w="425" w:type="dxa"/>
            <w:shd w:val="solid" w:color="FFFFFF" w:fill="auto"/>
          </w:tcPr>
          <w:p w14:paraId="761668CC" w14:textId="3F264A45" w:rsidR="00824EE1" w:rsidRPr="00873B6C" w:rsidRDefault="00824EE1" w:rsidP="000040FE">
            <w:pPr>
              <w:pStyle w:val="TAL"/>
              <w:rPr>
                <w:sz w:val="16"/>
                <w:szCs w:val="16"/>
              </w:rPr>
            </w:pPr>
            <w:r w:rsidRPr="00873B6C">
              <w:rPr>
                <w:sz w:val="16"/>
                <w:szCs w:val="16"/>
              </w:rPr>
              <w:t>F</w:t>
            </w:r>
          </w:p>
        </w:tc>
        <w:tc>
          <w:tcPr>
            <w:tcW w:w="4820" w:type="dxa"/>
            <w:shd w:val="solid" w:color="FFFFFF" w:fill="auto"/>
          </w:tcPr>
          <w:p w14:paraId="54BF4448" w14:textId="7290C9E9" w:rsidR="00824EE1" w:rsidRPr="00873B6C" w:rsidRDefault="00824EE1" w:rsidP="000040FE">
            <w:pPr>
              <w:pStyle w:val="TAL"/>
              <w:rPr>
                <w:sz w:val="16"/>
                <w:szCs w:val="16"/>
              </w:rPr>
            </w:pPr>
            <w:r w:rsidRPr="00873B6C">
              <w:rPr>
                <w:sz w:val="16"/>
                <w:szCs w:val="16"/>
              </w:rPr>
              <w:t>Update for Time Synchronization Information in PMIC and UMIC</w:t>
            </w:r>
          </w:p>
        </w:tc>
        <w:tc>
          <w:tcPr>
            <w:tcW w:w="708" w:type="dxa"/>
            <w:shd w:val="solid" w:color="FFFFFF" w:fill="auto"/>
          </w:tcPr>
          <w:p w14:paraId="48AB66D5" w14:textId="3B3C8C6F" w:rsidR="00824EE1" w:rsidRPr="00873B6C" w:rsidRDefault="00824EE1" w:rsidP="000040FE">
            <w:pPr>
              <w:pStyle w:val="TAC"/>
              <w:rPr>
                <w:sz w:val="16"/>
                <w:szCs w:val="16"/>
              </w:rPr>
            </w:pPr>
            <w:r w:rsidRPr="00873B6C">
              <w:rPr>
                <w:sz w:val="16"/>
                <w:szCs w:val="16"/>
              </w:rPr>
              <w:t>17.3.0</w:t>
            </w:r>
          </w:p>
        </w:tc>
      </w:tr>
      <w:tr w:rsidR="002D6B6E" w:rsidRPr="00873B6C" w14:paraId="46E33B7C" w14:textId="77777777" w:rsidTr="009D14FB">
        <w:tc>
          <w:tcPr>
            <w:tcW w:w="800" w:type="dxa"/>
            <w:shd w:val="solid" w:color="FFFFFF" w:fill="auto"/>
          </w:tcPr>
          <w:p w14:paraId="7C04F1FC" w14:textId="166DCD41" w:rsidR="002D6B6E" w:rsidRPr="00873B6C" w:rsidRDefault="002D6B6E" w:rsidP="000040FE">
            <w:pPr>
              <w:pStyle w:val="TAC"/>
              <w:rPr>
                <w:sz w:val="16"/>
                <w:szCs w:val="16"/>
              </w:rPr>
            </w:pPr>
            <w:r w:rsidRPr="00873B6C">
              <w:rPr>
                <w:sz w:val="16"/>
                <w:szCs w:val="16"/>
              </w:rPr>
              <w:t>2021-12</w:t>
            </w:r>
          </w:p>
        </w:tc>
        <w:tc>
          <w:tcPr>
            <w:tcW w:w="800" w:type="dxa"/>
            <w:shd w:val="solid" w:color="FFFFFF" w:fill="auto"/>
          </w:tcPr>
          <w:p w14:paraId="64C43E17" w14:textId="0D67FBDA" w:rsidR="002D6B6E" w:rsidRPr="00873B6C" w:rsidRDefault="002D6B6E" w:rsidP="000040FE">
            <w:pPr>
              <w:pStyle w:val="TAL"/>
              <w:rPr>
                <w:sz w:val="16"/>
                <w:szCs w:val="16"/>
              </w:rPr>
            </w:pPr>
            <w:r w:rsidRPr="00873B6C">
              <w:rPr>
                <w:sz w:val="16"/>
                <w:szCs w:val="16"/>
              </w:rPr>
              <w:t>SP#94E</w:t>
            </w:r>
          </w:p>
        </w:tc>
        <w:tc>
          <w:tcPr>
            <w:tcW w:w="1094" w:type="dxa"/>
            <w:shd w:val="solid" w:color="FFFFFF" w:fill="auto"/>
          </w:tcPr>
          <w:p w14:paraId="578EE7C6" w14:textId="3AE98725" w:rsidR="002D6B6E" w:rsidRPr="00873B6C" w:rsidRDefault="002D6B6E" w:rsidP="000040FE">
            <w:pPr>
              <w:pStyle w:val="TAC"/>
              <w:rPr>
                <w:sz w:val="16"/>
                <w:szCs w:val="16"/>
              </w:rPr>
            </w:pPr>
            <w:r w:rsidRPr="00873B6C">
              <w:rPr>
                <w:sz w:val="16"/>
                <w:szCs w:val="16"/>
              </w:rPr>
              <w:t>SP-211299</w:t>
            </w:r>
          </w:p>
        </w:tc>
        <w:tc>
          <w:tcPr>
            <w:tcW w:w="567" w:type="dxa"/>
            <w:shd w:val="solid" w:color="FFFFFF" w:fill="auto"/>
          </w:tcPr>
          <w:p w14:paraId="205E7498" w14:textId="3CB970F0" w:rsidR="002D6B6E" w:rsidRPr="00873B6C" w:rsidRDefault="002D6B6E" w:rsidP="000040FE">
            <w:pPr>
              <w:pStyle w:val="TAL"/>
              <w:rPr>
                <w:sz w:val="16"/>
                <w:szCs w:val="16"/>
              </w:rPr>
            </w:pPr>
            <w:r w:rsidRPr="00873B6C">
              <w:rPr>
                <w:sz w:val="16"/>
                <w:szCs w:val="16"/>
              </w:rPr>
              <w:t>3313</w:t>
            </w:r>
          </w:p>
        </w:tc>
        <w:tc>
          <w:tcPr>
            <w:tcW w:w="425" w:type="dxa"/>
            <w:shd w:val="solid" w:color="FFFFFF" w:fill="auto"/>
          </w:tcPr>
          <w:p w14:paraId="62ABA0A4" w14:textId="61DEE6C8" w:rsidR="002D6B6E" w:rsidRPr="00873B6C" w:rsidRDefault="002D6B6E" w:rsidP="000040FE">
            <w:pPr>
              <w:pStyle w:val="TAL"/>
              <w:rPr>
                <w:sz w:val="16"/>
                <w:szCs w:val="16"/>
              </w:rPr>
            </w:pPr>
            <w:r w:rsidRPr="00873B6C">
              <w:rPr>
                <w:sz w:val="16"/>
                <w:szCs w:val="16"/>
              </w:rPr>
              <w:t>2</w:t>
            </w:r>
          </w:p>
        </w:tc>
        <w:tc>
          <w:tcPr>
            <w:tcW w:w="425" w:type="dxa"/>
            <w:shd w:val="solid" w:color="FFFFFF" w:fill="auto"/>
          </w:tcPr>
          <w:p w14:paraId="6D3EA0F9" w14:textId="56C1B8C6" w:rsidR="002D6B6E" w:rsidRPr="00873B6C" w:rsidRDefault="002D6B6E" w:rsidP="000040FE">
            <w:pPr>
              <w:pStyle w:val="TAL"/>
              <w:rPr>
                <w:sz w:val="16"/>
                <w:szCs w:val="16"/>
              </w:rPr>
            </w:pPr>
            <w:r w:rsidRPr="00873B6C">
              <w:rPr>
                <w:sz w:val="16"/>
                <w:szCs w:val="16"/>
              </w:rPr>
              <w:t>F</w:t>
            </w:r>
          </w:p>
        </w:tc>
        <w:tc>
          <w:tcPr>
            <w:tcW w:w="4820" w:type="dxa"/>
            <w:shd w:val="solid" w:color="FFFFFF" w:fill="auto"/>
          </w:tcPr>
          <w:p w14:paraId="16B251CB" w14:textId="3509D7B4" w:rsidR="002D6B6E" w:rsidRPr="00873B6C" w:rsidRDefault="002D6B6E" w:rsidP="000040FE">
            <w:pPr>
              <w:pStyle w:val="TAL"/>
              <w:rPr>
                <w:sz w:val="16"/>
                <w:szCs w:val="16"/>
              </w:rPr>
            </w:pPr>
            <w:r w:rsidRPr="00873B6C">
              <w:rPr>
                <w:sz w:val="16"/>
                <w:szCs w:val="16"/>
              </w:rPr>
              <w:t>Corrections on TSCTSF selection and residence time calculation</w:t>
            </w:r>
          </w:p>
        </w:tc>
        <w:tc>
          <w:tcPr>
            <w:tcW w:w="708" w:type="dxa"/>
            <w:shd w:val="solid" w:color="FFFFFF" w:fill="auto"/>
          </w:tcPr>
          <w:p w14:paraId="51F88A6C" w14:textId="0FC68121" w:rsidR="002D6B6E" w:rsidRPr="00873B6C" w:rsidRDefault="002D6B6E" w:rsidP="000040FE">
            <w:pPr>
              <w:pStyle w:val="TAC"/>
              <w:rPr>
                <w:sz w:val="16"/>
                <w:szCs w:val="16"/>
              </w:rPr>
            </w:pPr>
            <w:r w:rsidRPr="00873B6C">
              <w:rPr>
                <w:sz w:val="16"/>
                <w:szCs w:val="16"/>
              </w:rPr>
              <w:t>17.3.0</w:t>
            </w:r>
          </w:p>
        </w:tc>
      </w:tr>
      <w:tr w:rsidR="002D6B6E" w:rsidRPr="00873B6C" w14:paraId="77E2B678" w14:textId="77777777" w:rsidTr="009D14FB">
        <w:tc>
          <w:tcPr>
            <w:tcW w:w="800" w:type="dxa"/>
            <w:shd w:val="solid" w:color="FFFFFF" w:fill="auto"/>
          </w:tcPr>
          <w:p w14:paraId="0A094A5F" w14:textId="4F7F148D" w:rsidR="002D6B6E" w:rsidRPr="00873B6C" w:rsidRDefault="002D6B6E" w:rsidP="002D6B6E">
            <w:pPr>
              <w:pStyle w:val="TAC"/>
              <w:rPr>
                <w:sz w:val="16"/>
                <w:szCs w:val="16"/>
              </w:rPr>
            </w:pPr>
            <w:r w:rsidRPr="00873B6C">
              <w:rPr>
                <w:sz w:val="16"/>
                <w:szCs w:val="16"/>
              </w:rPr>
              <w:t>2021-12</w:t>
            </w:r>
          </w:p>
        </w:tc>
        <w:tc>
          <w:tcPr>
            <w:tcW w:w="800" w:type="dxa"/>
            <w:shd w:val="solid" w:color="FFFFFF" w:fill="auto"/>
          </w:tcPr>
          <w:p w14:paraId="2176DF54" w14:textId="594441E8" w:rsidR="002D6B6E" w:rsidRPr="00873B6C" w:rsidRDefault="002D6B6E" w:rsidP="002D6B6E">
            <w:pPr>
              <w:pStyle w:val="TAL"/>
              <w:rPr>
                <w:sz w:val="16"/>
                <w:szCs w:val="16"/>
              </w:rPr>
            </w:pPr>
            <w:r w:rsidRPr="00873B6C">
              <w:rPr>
                <w:sz w:val="16"/>
                <w:szCs w:val="16"/>
              </w:rPr>
              <w:t>SP#94E</w:t>
            </w:r>
          </w:p>
        </w:tc>
        <w:tc>
          <w:tcPr>
            <w:tcW w:w="1094" w:type="dxa"/>
            <w:shd w:val="solid" w:color="FFFFFF" w:fill="auto"/>
          </w:tcPr>
          <w:p w14:paraId="6862518F" w14:textId="33806151" w:rsidR="002D6B6E" w:rsidRPr="00873B6C" w:rsidRDefault="002D6B6E" w:rsidP="002D6B6E">
            <w:pPr>
              <w:pStyle w:val="TAC"/>
              <w:rPr>
                <w:sz w:val="16"/>
                <w:szCs w:val="16"/>
              </w:rPr>
            </w:pPr>
            <w:r w:rsidRPr="00873B6C">
              <w:rPr>
                <w:sz w:val="16"/>
                <w:szCs w:val="16"/>
              </w:rPr>
              <w:t>SP-211592</w:t>
            </w:r>
          </w:p>
        </w:tc>
        <w:tc>
          <w:tcPr>
            <w:tcW w:w="567" w:type="dxa"/>
            <w:shd w:val="solid" w:color="FFFFFF" w:fill="auto"/>
          </w:tcPr>
          <w:p w14:paraId="1EDFD60F" w14:textId="7852F4CB" w:rsidR="002D6B6E" w:rsidRPr="00873B6C" w:rsidRDefault="002D6B6E" w:rsidP="002D6B6E">
            <w:pPr>
              <w:pStyle w:val="TAL"/>
              <w:rPr>
                <w:sz w:val="16"/>
                <w:szCs w:val="16"/>
              </w:rPr>
            </w:pPr>
            <w:r w:rsidRPr="00873B6C">
              <w:rPr>
                <w:sz w:val="16"/>
                <w:szCs w:val="16"/>
              </w:rPr>
              <w:t>3314</w:t>
            </w:r>
          </w:p>
        </w:tc>
        <w:tc>
          <w:tcPr>
            <w:tcW w:w="425" w:type="dxa"/>
            <w:shd w:val="solid" w:color="FFFFFF" w:fill="auto"/>
          </w:tcPr>
          <w:p w14:paraId="0C23C1A3" w14:textId="2E32F9A1" w:rsidR="002D6B6E" w:rsidRPr="00873B6C" w:rsidRDefault="002D6B6E" w:rsidP="002D6B6E">
            <w:pPr>
              <w:pStyle w:val="TAL"/>
              <w:rPr>
                <w:sz w:val="16"/>
                <w:szCs w:val="16"/>
              </w:rPr>
            </w:pPr>
            <w:r w:rsidRPr="00873B6C">
              <w:rPr>
                <w:sz w:val="16"/>
                <w:szCs w:val="16"/>
              </w:rPr>
              <w:t>3</w:t>
            </w:r>
          </w:p>
        </w:tc>
        <w:tc>
          <w:tcPr>
            <w:tcW w:w="425" w:type="dxa"/>
            <w:shd w:val="solid" w:color="FFFFFF" w:fill="auto"/>
          </w:tcPr>
          <w:p w14:paraId="52C848EE" w14:textId="235F1C9D" w:rsidR="002D6B6E" w:rsidRPr="00873B6C" w:rsidRDefault="002D6B6E" w:rsidP="002D6B6E">
            <w:pPr>
              <w:pStyle w:val="TAL"/>
              <w:rPr>
                <w:sz w:val="16"/>
                <w:szCs w:val="16"/>
              </w:rPr>
            </w:pPr>
            <w:r w:rsidRPr="00873B6C">
              <w:rPr>
                <w:sz w:val="16"/>
                <w:szCs w:val="16"/>
              </w:rPr>
              <w:t>F</w:t>
            </w:r>
          </w:p>
        </w:tc>
        <w:tc>
          <w:tcPr>
            <w:tcW w:w="4820" w:type="dxa"/>
            <w:shd w:val="solid" w:color="FFFFFF" w:fill="auto"/>
          </w:tcPr>
          <w:p w14:paraId="68A2AD92" w14:textId="3A3B75E2" w:rsidR="002D6B6E" w:rsidRPr="00873B6C" w:rsidRDefault="002D6B6E" w:rsidP="002D6B6E">
            <w:pPr>
              <w:pStyle w:val="TAL"/>
              <w:rPr>
                <w:sz w:val="16"/>
                <w:szCs w:val="16"/>
              </w:rPr>
            </w:pPr>
            <w:r w:rsidRPr="00873B6C">
              <w:rPr>
                <w:sz w:val="16"/>
                <w:szCs w:val="16"/>
              </w:rPr>
              <w:t>Support for emergency calls in limited service state</w:t>
            </w:r>
          </w:p>
        </w:tc>
        <w:tc>
          <w:tcPr>
            <w:tcW w:w="708" w:type="dxa"/>
            <w:shd w:val="solid" w:color="FFFFFF" w:fill="auto"/>
          </w:tcPr>
          <w:p w14:paraId="43E9B572" w14:textId="4BE80543" w:rsidR="002D6B6E" w:rsidRPr="00873B6C" w:rsidRDefault="002D6B6E" w:rsidP="002D6B6E">
            <w:pPr>
              <w:pStyle w:val="TAC"/>
              <w:rPr>
                <w:sz w:val="16"/>
                <w:szCs w:val="16"/>
              </w:rPr>
            </w:pPr>
            <w:r w:rsidRPr="00873B6C">
              <w:rPr>
                <w:sz w:val="16"/>
                <w:szCs w:val="16"/>
              </w:rPr>
              <w:t>17.3.0</w:t>
            </w:r>
          </w:p>
        </w:tc>
      </w:tr>
      <w:tr w:rsidR="00283ED6" w:rsidRPr="00873B6C" w14:paraId="66CD6E0D" w14:textId="77777777" w:rsidTr="009D14FB">
        <w:tc>
          <w:tcPr>
            <w:tcW w:w="800" w:type="dxa"/>
            <w:shd w:val="solid" w:color="FFFFFF" w:fill="auto"/>
          </w:tcPr>
          <w:p w14:paraId="53C94EFB" w14:textId="7203C9AD"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6CE7E572" w14:textId="165CF3B4"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175A46B2" w14:textId="30F9A6D2" w:rsidR="00283ED6" w:rsidRPr="00873B6C" w:rsidRDefault="00283ED6" w:rsidP="002D6B6E">
            <w:pPr>
              <w:pStyle w:val="TAC"/>
              <w:rPr>
                <w:sz w:val="16"/>
                <w:szCs w:val="16"/>
              </w:rPr>
            </w:pPr>
            <w:r w:rsidRPr="00873B6C">
              <w:rPr>
                <w:sz w:val="16"/>
                <w:szCs w:val="16"/>
              </w:rPr>
              <w:t>SP-211287</w:t>
            </w:r>
          </w:p>
        </w:tc>
        <w:tc>
          <w:tcPr>
            <w:tcW w:w="567" w:type="dxa"/>
            <w:shd w:val="solid" w:color="FFFFFF" w:fill="auto"/>
          </w:tcPr>
          <w:p w14:paraId="7D56CCF0" w14:textId="682FA7EF" w:rsidR="00283ED6" w:rsidRPr="00873B6C" w:rsidRDefault="00283ED6" w:rsidP="002D6B6E">
            <w:pPr>
              <w:pStyle w:val="TAL"/>
              <w:rPr>
                <w:sz w:val="16"/>
                <w:szCs w:val="16"/>
              </w:rPr>
            </w:pPr>
            <w:r w:rsidRPr="00873B6C">
              <w:rPr>
                <w:sz w:val="16"/>
                <w:szCs w:val="16"/>
              </w:rPr>
              <w:t>3316</w:t>
            </w:r>
          </w:p>
        </w:tc>
        <w:tc>
          <w:tcPr>
            <w:tcW w:w="425" w:type="dxa"/>
            <w:shd w:val="solid" w:color="FFFFFF" w:fill="auto"/>
          </w:tcPr>
          <w:p w14:paraId="06010ED3" w14:textId="4BC7B548"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71A25D09" w14:textId="6F07CC37" w:rsidR="00283ED6" w:rsidRPr="00873B6C" w:rsidRDefault="00283ED6" w:rsidP="002D6B6E">
            <w:pPr>
              <w:pStyle w:val="TAL"/>
              <w:rPr>
                <w:sz w:val="16"/>
                <w:szCs w:val="16"/>
              </w:rPr>
            </w:pPr>
            <w:r w:rsidRPr="00873B6C">
              <w:rPr>
                <w:sz w:val="16"/>
                <w:szCs w:val="16"/>
              </w:rPr>
              <w:t>B</w:t>
            </w:r>
          </w:p>
        </w:tc>
        <w:tc>
          <w:tcPr>
            <w:tcW w:w="4820" w:type="dxa"/>
            <w:shd w:val="solid" w:color="FFFFFF" w:fill="auto"/>
          </w:tcPr>
          <w:p w14:paraId="7CD81ECC" w14:textId="3722E3CB" w:rsidR="00283ED6" w:rsidRPr="00873B6C" w:rsidRDefault="00283ED6" w:rsidP="002D6B6E">
            <w:pPr>
              <w:pStyle w:val="TAL"/>
              <w:rPr>
                <w:sz w:val="16"/>
                <w:szCs w:val="16"/>
              </w:rPr>
            </w:pPr>
            <w:r w:rsidRPr="00873B6C">
              <w:rPr>
                <w:sz w:val="16"/>
                <w:szCs w:val="16"/>
              </w:rPr>
              <w:t>eDRX enhancement for 10.24s cycle for RedCap</w:t>
            </w:r>
          </w:p>
        </w:tc>
        <w:tc>
          <w:tcPr>
            <w:tcW w:w="708" w:type="dxa"/>
            <w:shd w:val="solid" w:color="FFFFFF" w:fill="auto"/>
          </w:tcPr>
          <w:p w14:paraId="0A22741F" w14:textId="646A2E59" w:rsidR="00283ED6" w:rsidRPr="00873B6C" w:rsidRDefault="00283ED6" w:rsidP="002D6B6E">
            <w:pPr>
              <w:pStyle w:val="TAC"/>
              <w:rPr>
                <w:sz w:val="16"/>
                <w:szCs w:val="16"/>
              </w:rPr>
            </w:pPr>
            <w:r w:rsidRPr="00873B6C">
              <w:rPr>
                <w:sz w:val="16"/>
                <w:szCs w:val="16"/>
              </w:rPr>
              <w:t>17.3.0</w:t>
            </w:r>
          </w:p>
        </w:tc>
      </w:tr>
      <w:tr w:rsidR="00283ED6" w:rsidRPr="00873B6C" w14:paraId="1900F282" w14:textId="77777777" w:rsidTr="009D14FB">
        <w:tc>
          <w:tcPr>
            <w:tcW w:w="800" w:type="dxa"/>
            <w:shd w:val="solid" w:color="FFFFFF" w:fill="auto"/>
          </w:tcPr>
          <w:p w14:paraId="5A2BB8D4" w14:textId="5464206B"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5A5E7641" w14:textId="203C95BF"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74EB8243" w14:textId="1750D63F" w:rsidR="00283ED6" w:rsidRPr="00873B6C" w:rsidRDefault="00283ED6" w:rsidP="002D6B6E">
            <w:pPr>
              <w:pStyle w:val="TAC"/>
              <w:rPr>
                <w:sz w:val="16"/>
                <w:szCs w:val="16"/>
              </w:rPr>
            </w:pPr>
            <w:r w:rsidRPr="00873B6C">
              <w:rPr>
                <w:sz w:val="16"/>
                <w:szCs w:val="16"/>
              </w:rPr>
              <w:t>SP-211284</w:t>
            </w:r>
          </w:p>
        </w:tc>
        <w:tc>
          <w:tcPr>
            <w:tcW w:w="567" w:type="dxa"/>
            <w:shd w:val="solid" w:color="FFFFFF" w:fill="auto"/>
          </w:tcPr>
          <w:p w14:paraId="09F13EB4" w14:textId="25CAA2CE" w:rsidR="00283ED6" w:rsidRPr="00873B6C" w:rsidRDefault="00283ED6" w:rsidP="002D6B6E">
            <w:pPr>
              <w:pStyle w:val="TAL"/>
              <w:rPr>
                <w:sz w:val="16"/>
                <w:szCs w:val="16"/>
              </w:rPr>
            </w:pPr>
            <w:r w:rsidRPr="00873B6C">
              <w:rPr>
                <w:sz w:val="16"/>
                <w:szCs w:val="16"/>
              </w:rPr>
              <w:t>3318</w:t>
            </w:r>
          </w:p>
        </w:tc>
        <w:tc>
          <w:tcPr>
            <w:tcW w:w="425" w:type="dxa"/>
            <w:shd w:val="solid" w:color="FFFFFF" w:fill="auto"/>
          </w:tcPr>
          <w:p w14:paraId="06FF2456" w14:textId="19AD184D"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0521996A" w14:textId="6824083D" w:rsidR="00283ED6" w:rsidRPr="00873B6C" w:rsidRDefault="00283ED6" w:rsidP="002D6B6E">
            <w:pPr>
              <w:pStyle w:val="TAL"/>
              <w:rPr>
                <w:sz w:val="16"/>
                <w:szCs w:val="16"/>
              </w:rPr>
            </w:pPr>
            <w:r w:rsidRPr="00873B6C">
              <w:rPr>
                <w:sz w:val="16"/>
                <w:szCs w:val="16"/>
              </w:rPr>
              <w:t>F</w:t>
            </w:r>
          </w:p>
        </w:tc>
        <w:tc>
          <w:tcPr>
            <w:tcW w:w="4820" w:type="dxa"/>
            <w:shd w:val="solid" w:color="FFFFFF" w:fill="auto"/>
          </w:tcPr>
          <w:p w14:paraId="75072463" w14:textId="10B8E895" w:rsidR="00283ED6" w:rsidRPr="00873B6C" w:rsidRDefault="00283ED6" w:rsidP="002D6B6E">
            <w:pPr>
              <w:pStyle w:val="TAL"/>
              <w:rPr>
                <w:sz w:val="16"/>
                <w:szCs w:val="16"/>
              </w:rPr>
            </w:pPr>
            <w:r w:rsidRPr="00873B6C">
              <w:rPr>
                <w:sz w:val="16"/>
                <w:szCs w:val="16"/>
              </w:rPr>
              <w:t>Limited service PLMN selection for emergency</w:t>
            </w:r>
          </w:p>
        </w:tc>
        <w:tc>
          <w:tcPr>
            <w:tcW w:w="708" w:type="dxa"/>
            <w:shd w:val="solid" w:color="FFFFFF" w:fill="auto"/>
          </w:tcPr>
          <w:p w14:paraId="2E0BE29A" w14:textId="088901BD" w:rsidR="00283ED6" w:rsidRPr="00873B6C" w:rsidRDefault="00283ED6" w:rsidP="002D6B6E">
            <w:pPr>
              <w:pStyle w:val="TAC"/>
              <w:rPr>
                <w:sz w:val="16"/>
                <w:szCs w:val="16"/>
              </w:rPr>
            </w:pPr>
            <w:r w:rsidRPr="00873B6C">
              <w:rPr>
                <w:sz w:val="16"/>
                <w:szCs w:val="16"/>
              </w:rPr>
              <w:t>17.3.0</w:t>
            </w:r>
          </w:p>
        </w:tc>
      </w:tr>
      <w:tr w:rsidR="00AE12FC" w:rsidRPr="00873B6C" w14:paraId="5EDCA64F" w14:textId="77777777" w:rsidTr="00C9561D">
        <w:tc>
          <w:tcPr>
            <w:tcW w:w="800" w:type="dxa"/>
            <w:shd w:val="solid" w:color="FFFFFF" w:fill="auto"/>
          </w:tcPr>
          <w:p w14:paraId="3D50D19C" w14:textId="77777777" w:rsidR="00AE12FC" w:rsidRPr="00873B6C" w:rsidRDefault="00AE12FC" w:rsidP="00C9561D">
            <w:pPr>
              <w:pStyle w:val="TAC"/>
              <w:rPr>
                <w:sz w:val="16"/>
                <w:szCs w:val="16"/>
              </w:rPr>
            </w:pPr>
            <w:r w:rsidRPr="00873B6C">
              <w:rPr>
                <w:sz w:val="16"/>
                <w:szCs w:val="16"/>
              </w:rPr>
              <w:t>2021-12</w:t>
            </w:r>
          </w:p>
        </w:tc>
        <w:tc>
          <w:tcPr>
            <w:tcW w:w="800" w:type="dxa"/>
            <w:shd w:val="solid" w:color="FFFFFF" w:fill="auto"/>
          </w:tcPr>
          <w:p w14:paraId="60863406" w14:textId="77777777" w:rsidR="00AE12FC" w:rsidRPr="00873B6C" w:rsidRDefault="00AE12FC" w:rsidP="00C9561D">
            <w:pPr>
              <w:pStyle w:val="TAL"/>
              <w:rPr>
                <w:sz w:val="16"/>
                <w:szCs w:val="16"/>
              </w:rPr>
            </w:pPr>
            <w:r w:rsidRPr="00873B6C">
              <w:rPr>
                <w:sz w:val="16"/>
                <w:szCs w:val="16"/>
              </w:rPr>
              <w:t>SP#94E</w:t>
            </w:r>
          </w:p>
        </w:tc>
        <w:tc>
          <w:tcPr>
            <w:tcW w:w="1094" w:type="dxa"/>
            <w:shd w:val="solid" w:color="FFFFFF" w:fill="auto"/>
          </w:tcPr>
          <w:p w14:paraId="1786A8AB" w14:textId="77777777" w:rsidR="00AE12FC" w:rsidRPr="00873B6C" w:rsidRDefault="00AE12FC" w:rsidP="00C9561D">
            <w:pPr>
              <w:pStyle w:val="TAC"/>
              <w:rPr>
                <w:sz w:val="16"/>
                <w:szCs w:val="16"/>
              </w:rPr>
            </w:pPr>
            <w:r w:rsidRPr="00873B6C">
              <w:rPr>
                <w:sz w:val="16"/>
                <w:szCs w:val="16"/>
              </w:rPr>
              <w:t>SP-211628</w:t>
            </w:r>
          </w:p>
        </w:tc>
        <w:tc>
          <w:tcPr>
            <w:tcW w:w="567" w:type="dxa"/>
            <w:shd w:val="solid" w:color="FFFFFF" w:fill="auto"/>
          </w:tcPr>
          <w:p w14:paraId="24015D79" w14:textId="77777777" w:rsidR="00AE12FC" w:rsidRPr="00873B6C" w:rsidRDefault="00AE12FC" w:rsidP="00C9561D">
            <w:pPr>
              <w:pStyle w:val="TAL"/>
              <w:rPr>
                <w:sz w:val="16"/>
                <w:szCs w:val="16"/>
              </w:rPr>
            </w:pPr>
            <w:r w:rsidRPr="00873B6C">
              <w:rPr>
                <w:sz w:val="16"/>
                <w:szCs w:val="16"/>
              </w:rPr>
              <w:t>3319</w:t>
            </w:r>
          </w:p>
        </w:tc>
        <w:tc>
          <w:tcPr>
            <w:tcW w:w="425" w:type="dxa"/>
            <w:shd w:val="solid" w:color="FFFFFF" w:fill="auto"/>
          </w:tcPr>
          <w:p w14:paraId="636BAB05" w14:textId="77777777" w:rsidR="00AE12FC" w:rsidRPr="00873B6C" w:rsidRDefault="00AE12FC" w:rsidP="00C9561D">
            <w:pPr>
              <w:pStyle w:val="TAL"/>
              <w:rPr>
                <w:sz w:val="16"/>
                <w:szCs w:val="16"/>
              </w:rPr>
            </w:pPr>
            <w:r w:rsidRPr="00873B6C">
              <w:rPr>
                <w:sz w:val="16"/>
                <w:szCs w:val="16"/>
              </w:rPr>
              <w:t>6</w:t>
            </w:r>
          </w:p>
        </w:tc>
        <w:tc>
          <w:tcPr>
            <w:tcW w:w="425" w:type="dxa"/>
            <w:shd w:val="solid" w:color="FFFFFF" w:fill="auto"/>
          </w:tcPr>
          <w:p w14:paraId="348CC445" w14:textId="77777777" w:rsidR="00AE12FC" w:rsidRPr="00873B6C" w:rsidRDefault="00AE12FC" w:rsidP="00C9561D">
            <w:pPr>
              <w:pStyle w:val="TAL"/>
              <w:rPr>
                <w:sz w:val="16"/>
                <w:szCs w:val="16"/>
              </w:rPr>
            </w:pPr>
            <w:r w:rsidRPr="00873B6C">
              <w:rPr>
                <w:sz w:val="16"/>
                <w:szCs w:val="16"/>
              </w:rPr>
              <w:t>B</w:t>
            </w:r>
          </w:p>
        </w:tc>
        <w:tc>
          <w:tcPr>
            <w:tcW w:w="4820" w:type="dxa"/>
            <w:shd w:val="solid" w:color="FFFFFF" w:fill="auto"/>
          </w:tcPr>
          <w:p w14:paraId="175262A9" w14:textId="77777777" w:rsidR="00AE12FC" w:rsidRPr="00873B6C" w:rsidRDefault="00AE12FC" w:rsidP="00C9561D">
            <w:pPr>
              <w:pStyle w:val="TAL"/>
              <w:rPr>
                <w:sz w:val="16"/>
                <w:szCs w:val="16"/>
              </w:rPr>
            </w:pPr>
            <w:r w:rsidRPr="00873B6C">
              <w:rPr>
                <w:sz w:val="16"/>
                <w:szCs w:val="16"/>
              </w:rPr>
              <w:t>Support for Paging Early Indication</w:t>
            </w:r>
          </w:p>
        </w:tc>
        <w:tc>
          <w:tcPr>
            <w:tcW w:w="708" w:type="dxa"/>
            <w:shd w:val="solid" w:color="FFFFFF" w:fill="auto"/>
          </w:tcPr>
          <w:p w14:paraId="4E9FADD5" w14:textId="77777777" w:rsidR="00AE12FC" w:rsidRPr="00873B6C" w:rsidRDefault="00AE12FC" w:rsidP="00C9561D">
            <w:pPr>
              <w:pStyle w:val="TAC"/>
              <w:rPr>
                <w:sz w:val="16"/>
                <w:szCs w:val="16"/>
              </w:rPr>
            </w:pPr>
            <w:r w:rsidRPr="00873B6C">
              <w:rPr>
                <w:sz w:val="16"/>
                <w:szCs w:val="16"/>
              </w:rPr>
              <w:t>17.3.0</w:t>
            </w:r>
          </w:p>
        </w:tc>
      </w:tr>
      <w:tr w:rsidR="00283ED6" w:rsidRPr="00873B6C" w14:paraId="736AC4D7" w14:textId="77777777" w:rsidTr="009D14FB">
        <w:tc>
          <w:tcPr>
            <w:tcW w:w="800" w:type="dxa"/>
            <w:shd w:val="solid" w:color="FFFFFF" w:fill="auto"/>
          </w:tcPr>
          <w:p w14:paraId="070E0198" w14:textId="620E4F9C"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3F5FD440" w14:textId="5A10F5E7"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5A5E5F49" w14:textId="5349D6EB" w:rsidR="00283ED6" w:rsidRPr="00873B6C" w:rsidRDefault="00283ED6" w:rsidP="002D6B6E">
            <w:pPr>
              <w:pStyle w:val="TAC"/>
              <w:rPr>
                <w:sz w:val="16"/>
                <w:szCs w:val="16"/>
              </w:rPr>
            </w:pPr>
            <w:r w:rsidRPr="00873B6C">
              <w:rPr>
                <w:sz w:val="16"/>
                <w:szCs w:val="16"/>
              </w:rPr>
              <w:t>SP-211293</w:t>
            </w:r>
          </w:p>
        </w:tc>
        <w:tc>
          <w:tcPr>
            <w:tcW w:w="567" w:type="dxa"/>
            <w:shd w:val="solid" w:color="FFFFFF" w:fill="auto"/>
          </w:tcPr>
          <w:p w14:paraId="717A4AA9" w14:textId="09FABD8B" w:rsidR="00283ED6" w:rsidRPr="00873B6C" w:rsidRDefault="00283ED6" w:rsidP="002D6B6E">
            <w:pPr>
              <w:pStyle w:val="TAL"/>
              <w:rPr>
                <w:sz w:val="16"/>
                <w:szCs w:val="16"/>
              </w:rPr>
            </w:pPr>
            <w:r w:rsidRPr="00873B6C">
              <w:rPr>
                <w:sz w:val="16"/>
                <w:szCs w:val="16"/>
              </w:rPr>
              <w:t>3320</w:t>
            </w:r>
          </w:p>
        </w:tc>
        <w:tc>
          <w:tcPr>
            <w:tcW w:w="425" w:type="dxa"/>
            <w:shd w:val="solid" w:color="FFFFFF" w:fill="auto"/>
          </w:tcPr>
          <w:p w14:paraId="7B8F18BF" w14:textId="67728AE2" w:rsidR="00283ED6" w:rsidRPr="00873B6C" w:rsidRDefault="00283ED6" w:rsidP="002D6B6E">
            <w:pPr>
              <w:pStyle w:val="TAL"/>
              <w:rPr>
                <w:sz w:val="16"/>
                <w:szCs w:val="16"/>
              </w:rPr>
            </w:pPr>
            <w:r w:rsidRPr="00873B6C">
              <w:rPr>
                <w:sz w:val="16"/>
                <w:szCs w:val="16"/>
              </w:rPr>
              <w:t>4</w:t>
            </w:r>
          </w:p>
        </w:tc>
        <w:tc>
          <w:tcPr>
            <w:tcW w:w="425" w:type="dxa"/>
            <w:shd w:val="solid" w:color="FFFFFF" w:fill="auto"/>
          </w:tcPr>
          <w:p w14:paraId="3BB55232" w14:textId="2EC10390" w:rsidR="00283ED6" w:rsidRPr="00873B6C" w:rsidRDefault="00283ED6" w:rsidP="002D6B6E">
            <w:pPr>
              <w:pStyle w:val="TAL"/>
              <w:rPr>
                <w:sz w:val="16"/>
                <w:szCs w:val="16"/>
              </w:rPr>
            </w:pPr>
            <w:r w:rsidRPr="00873B6C">
              <w:rPr>
                <w:sz w:val="16"/>
                <w:szCs w:val="16"/>
              </w:rPr>
              <w:t>F</w:t>
            </w:r>
          </w:p>
        </w:tc>
        <w:tc>
          <w:tcPr>
            <w:tcW w:w="4820" w:type="dxa"/>
            <w:shd w:val="solid" w:color="FFFFFF" w:fill="auto"/>
          </w:tcPr>
          <w:p w14:paraId="361F16EA" w14:textId="00836AB2" w:rsidR="00283ED6" w:rsidRPr="00873B6C" w:rsidRDefault="00283ED6" w:rsidP="002D6B6E">
            <w:pPr>
              <w:pStyle w:val="TAL"/>
              <w:rPr>
                <w:sz w:val="16"/>
                <w:szCs w:val="16"/>
              </w:rPr>
            </w:pPr>
            <w:r w:rsidRPr="00873B6C">
              <w:rPr>
                <w:sz w:val="16"/>
                <w:szCs w:val="16"/>
              </w:rPr>
              <w:t>Miscellaneous correction for eNA_Ph2</w:t>
            </w:r>
          </w:p>
        </w:tc>
        <w:tc>
          <w:tcPr>
            <w:tcW w:w="708" w:type="dxa"/>
            <w:shd w:val="solid" w:color="FFFFFF" w:fill="auto"/>
          </w:tcPr>
          <w:p w14:paraId="61BEE52C" w14:textId="0C3B50CF" w:rsidR="00283ED6" w:rsidRPr="00873B6C" w:rsidRDefault="00283ED6" w:rsidP="002D6B6E">
            <w:pPr>
              <w:pStyle w:val="TAC"/>
              <w:rPr>
                <w:sz w:val="16"/>
                <w:szCs w:val="16"/>
              </w:rPr>
            </w:pPr>
            <w:r w:rsidRPr="00873B6C">
              <w:rPr>
                <w:sz w:val="16"/>
                <w:szCs w:val="16"/>
              </w:rPr>
              <w:t>17.3.0</w:t>
            </w:r>
          </w:p>
        </w:tc>
      </w:tr>
      <w:tr w:rsidR="00283ED6" w:rsidRPr="00873B6C" w14:paraId="6958C6BD" w14:textId="77777777" w:rsidTr="009D14FB">
        <w:tc>
          <w:tcPr>
            <w:tcW w:w="800" w:type="dxa"/>
            <w:shd w:val="solid" w:color="FFFFFF" w:fill="auto"/>
          </w:tcPr>
          <w:p w14:paraId="350AB586" w14:textId="0DCD3986"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76E2A4A7" w14:textId="15247CA2"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6FD385BD" w14:textId="413BBC14" w:rsidR="00283ED6" w:rsidRPr="00873B6C" w:rsidRDefault="00283ED6" w:rsidP="002D6B6E">
            <w:pPr>
              <w:pStyle w:val="TAC"/>
              <w:rPr>
                <w:sz w:val="16"/>
                <w:szCs w:val="16"/>
              </w:rPr>
            </w:pPr>
            <w:r w:rsidRPr="00873B6C">
              <w:rPr>
                <w:sz w:val="16"/>
                <w:szCs w:val="16"/>
              </w:rPr>
              <w:t>SP-211299</w:t>
            </w:r>
          </w:p>
        </w:tc>
        <w:tc>
          <w:tcPr>
            <w:tcW w:w="567" w:type="dxa"/>
            <w:shd w:val="solid" w:color="FFFFFF" w:fill="auto"/>
          </w:tcPr>
          <w:p w14:paraId="20BE933B" w14:textId="47200F60" w:rsidR="00283ED6" w:rsidRPr="00873B6C" w:rsidRDefault="00283ED6" w:rsidP="002D6B6E">
            <w:pPr>
              <w:pStyle w:val="TAL"/>
              <w:rPr>
                <w:sz w:val="16"/>
                <w:szCs w:val="16"/>
              </w:rPr>
            </w:pPr>
            <w:r w:rsidRPr="00873B6C">
              <w:rPr>
                <w:sz w:val="16"/>
                <w:szCs w:val="16"/>
              </w:rPr>
              <w:t>3321</w:t>
            </w:r>
          </w:p>
        </w:tc>
        <w:tc>
          <w:tcPr>
            <w:tcW w:w="425" w:type="dxa"/>
            <w:shd w:val="solid" w:color="FFFFFF" w:fill="auto"/>
          </w:tcPr>
          <w:p w14:paraId="4A2303BE" w14:textId="33816DA9" w:rsidR="00283ED6" w:rsidRPr="00873B6C" w:rsidRDefault="00283ED6" w:rsidP="002D6B6E">
            <w:pPr>
              <w:pStyle w:val="TAL"/>
              <w:rPr>
                <w:sz w:val="16"/>
                <w:szCs w:val="16"/>
              </w:rPr>
            </w:pPr>
            <w:r w:rsidRPr="00873B6C">
              <w:rPr>
                <w:sz w:val="16"/>
                <w:szCs w:val="16"/>
              </w:rPr>
              <w:t>1</w:t>
            </w:r>
          </w:p>
        </w:tc>
        <w:tc>
          <w:tcPr>
            <w:tcW w:w="425" w:type="dxa"/>
            <w:shd w:val="solid" w:color="FFFFFF" w:fill="auto"/>
          </w:tcPr>
          <w:p w14:paraId="3C536A8A" w14:textId="743B17A5" w:rsidR="00283ED6" w:rsidRPr="00873B6C" w:rsidRDefault="00283ED6" w:rsidP="002D6B6E">
            <w:pPr>
              <w:pStyle w:val="TAL"/>
              <w:rPr>
                <w:sz w:val="16"/>
                <w:szCs w:val="16"/>
              </w:rPr>
            </w:pPr>
            <w:r w:rsidRPr="00873B6C">
              <w:rPr>
                <w:sz w:val="16"/>
                <w:szCs w:val="16"/>
              </w:rPr>
              <w:t>F</w:t>
            </w:r>
          </w:p>
        </w:tc>
        <w:tc>
          <w:tcPr>
            <w:tcW w:w="4820" w:type="dxa"/>
            <w:shd w:val="solid" w:color="FFFFFF" w:fill="auto"/>
          </w:tcPr>
          <w:p w14:paraId="672AF3CA" w14:textId="1DA6140C" w:rsidR="00283ED6" w:rsidRPr="00873B6C" w:rsidRDefault="00283ED6" w:rsidP="002D6B6E">
            <w:pPr>
              <w:pStyle w:val="TAL"/>
              <w:rPr>
                <w:sz w:val="16"/>
                <w:szCs w:val="16"/>
              </w:rPr>
            </w:pPr>
            <w:r w:rsidRPr="00873B6C">
              <w:rPr>
                <w:sz w:val="16"/>
                <w:szCs w:val="16"/>
              </w:rPr>
              <w:t>Multiple TSCTSFs associated with a single UPF</w:t>
            </w:r>
          </w:p>
        </w:tc>
        <w:tc>
          <w:tcPr>
            <w:tcW w:w="708" w:type="dxa"/>
            <w:shd w:val="solid" w:color="FFFFFF" w:fill="auto"/>
          </w:tcPr>
          <w:p w14:paraId="75D78D68" w14:textId="7A715EB0" w:rsidR="00283ED6" w:rsidRPr="00873B6C" w:rsidRDefault="00283ED6" w:rsidP="002D6B6E">
            <w:pPr>
              <w:pStyle w:val="TAC"/>
              <w:rPr>
                <w:sz w:val="16"/>
                <w:szCs w:val="16"/>
              </w:rPr>
            </w:pPr>
            <w:r w:rsidRPr="00873B6C">
              <w:rPr>
                <w:sz w:val="16"/>
                <w:szCs w:val="16"/>
              </w:rPr>
              <w:t>17.3.0</w:t>
            </w:r>
          </w:p>
        </w:tc>
      </w:tr>
      <w:tr w:rsidR="00283ED6" w:rsidRPr="00873B6C" w14:paraId="64171528" w14:textId="77777777" w:rsidTr="009D14FB">
        <w:tc>
          <w:tcPr>
            <w:tcW w:w="800" w:type="dxa"/>
            <w:shd w:val="solid" w:color="FFFFFF" w:fill="auto"/>
          </w:tcPr>
          <w:p w14:paraId="67C35E5F" w14:textId="64938C53"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4D085A66" w14:textId="0B7B4278"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5480C682" w14:textId="188F4299" w:rsidR="00283ED6" w:rsidRPr="00873B6C" w:rsidRDefault="00283ED6" w:rsidP="002D6B6E">
            <w:pPr>
              <w:pStyle w:val="TAC"/>
              <w:rPr>
                <w:sz w:val="16"/>
                <w:szCs w:val="16"/>
              </w:rPr>
            </w:pPr>
            <w:r w:rsidRPr="00873B6C">
              <w:rPr>
                <w:sz w:val="16"/>
                <w:szCs w:val="16"/>
              </w:rPr>
              <w:t>SP-211299</w:t>
            </w:r>
          </w:p>
        </w:tc>
        <w:tc>
          <w:tcPr>
            <w:tcW w:w="567" w:type="dxa"/>
            <w:shd w:val="solid" w:color="FFFFFF" w:fill="auto"/>
          </w:tcPr>
          <w:p w14:paraId="6B4C3FB1" w14:textId="640E1BC3" w:rsidR="00283ED6" w:rsidRPr="00873B6C" w:rsidRDefault="00283ED6" w:rsidP="002D6B6E">
            <w:pPr>
              <w:pStyle w:val="TAL"/>
              <w:rPr>
                <w:sz w:val="16"/>
                <w:szCs w:val="16"/>
              </w:rPr>
            </w:pPr>
            <w:r w:rsidRPr="00873B6C">
              <w:rPr>
                <w:sz w:val="16"/>
                <w:szCs w:val="16"/>
              </w:rPr>
              <w:t>3322</w:t>
            </w:r>
          </w:p>
        </w:tc>
        <w:tc>
          <w:tcPr>
            <w:tcW w:w="425" w:type="dxa"/>
            <w:shd w:val="solid" w:color="FFFFFF" w:fill="auto"/>
          </w:tcPr>
          <w:p w14:paraId="67345AAA" w14:textId="5714D6C2"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5E872537" w14:textId="22058570" w:rsidR="00283ED6" w:rsidRPr="00873B6C" w:rsidRDefault="00283ED6" w:rsidP="002D6B6E">
            <w:pPr>
              <w:pStyle w:val="TAL"/>
              <w:rPr>
                <w:sz w:val="16"/>
                <w:szCs w:val="16"/>
              </w:rPr>
            </w:pPr>
            <w:r w:rsidRPr="00873B6C">
              <w:rPr>
                <w:sz w:val="16"/>
                <w:szCs w:val="16"/>
              </w:rPr>
              <w:t>F</w:t>
            </w:r>
          </w:p>
        </w:tc>
        <w:tc>
          <w:tcPr>
            <w:tcW w:w="4820" w:type="dxa"/>
            <w:shd w:val="solid" w:color="FFFFFF" w:fill="auto"/>
          </w:tcPr>
          <w:p w14:paraId="01AB99AF" w14:textId="5DF6250B" w:rsidR="00283ED6" w:rsidRPr="00873B6C" w:rsidRDefault="00283ED6" w:rsidP="002D6B6E">
            <w:pPr>
              <w:pStyle w:val="TAL"/>
              <w:rPr>
                <w:sz w:val="16"/>
                <w:szCs w:val="16"/>
              </w:rPr>
            </w:pPr>
            <w:r w:rsidRPr="00873B6C">
              <w:rPr>
                <w:sz w:val="16"/>
                <w:szCs w:val="16"/>
              </w:rPr>
              <w:t xml:space="preserve">Processing (g)PTP messages for domain numbers and while in Disabled state </w:t>
            </w:r>
          </w:p>
        </w:tc>
        <w:tc>
          <w:tcPr>
            <w:tcW w:w="708" w:type="dxa"/>
            <w:shd w:val="solid" w:color="FFFFFF" w:fill="auto"/>
          </w:tcPr>
          <w:p w14:paraId="2F3374DD" w14:textId="36B3F99A" w:rsidR="00283ED6" w:rsidRPr="00873B6C" w:rsidRDefault="00283ED6" w:rsidP="002D6B6E">
            <w:pPr>
              <w:pStyle w:val="TAC"/>
              <w:rPr>
                <w:sz w:val="16"/>
                <w:szCs w:val="16"/>
              </w:rPr>
            </w:pPr>
            <w:r w:rsidRPr="00873B6C">
              <w:rPr>
                <w:sz w:val="16"/>
                <w:szCs w:val="16"/>
              </w:rPr>
              <w:t>17.3.0</w:t>
            </w:r>
          </w:p>
        </w:tc>
      </w:tr>
      <w:tr w:rsidR="00283ED6" w:rsidRPr="00873B6C" w14:paraId="006B92A2" w14:textId="77777777" w:rsidTr="009D14FB">
        <w:tc>
          <w:tcPr>
            <w:tcW w:w="800" w:type="dxa"/>
            <w:shd w:val="solid" w:color="FFFFFF" w:fill="auto"/>
          </w:tcPr>
          <w:p w14:paraId="74C46791" w14:textId="39E508E6"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2DC61AB7" w14:textId="2293344D"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23FBADD5" w14:textId="1261349B" w:rsidR="00283ED6" w:rsidRPr="00873B6C" w:rsidRDefault="00283ED6" w:rsidP="002D6B6E">
            <w:pPr>
              <w:pStyle w:val="TAC"/>
              <w:rPr>
                <w:sz w:val="16"/>
                <w:szCs w:val="16"/>
              </w:rPr>
            </w:pPr>
            <w:r w:rsidRPr="00873B6C">
              <w:rPr>
                <w:sz w:val="16"/>
                <w:szCs w:val="16"/>
              </w:rPr>
              <w:t>SP-211284</w:t>
            </w:r>
          </w:p>
        </w:tc>
        <w:tc>
          <w:tcPr>
            <w:tcW w:w="567" w:type="dxa"/>
            <w:shd w:val="solid" w:color="FFFFFF" w:fill="auto"/>
          </w:tcPr>
          <w:p w14:paraId="09488592" w14:textId="1D76F68E" w:rsidR="00283ED6" w:rsidRPr="00873B6C" w:rsidRDefault="00283ED6" w:rsidP="002D6B6E">
            <w:pPr>
              <w:pStyle w:val="TAL"/>
              <w:rPr>
                <w:sz w:val="16"/>
                <w:szCs w:val="16"/>
              </w:rPr>
            </w:pPr>
            <w:r w:rsidRPr="00873B6C">
              <w:rPr>
                <w:sz w:val="16"/>
                <w:szCs w:val="16"/>
              </w:rPr>
              <w:t>3323</w:t>
            </w:r>
          </w:p>
        </w:tc>
        <w:tc>
          <w:tcPr>
            <w:tcW w:w="425" w:type="dxa"/>
            <w:shd w:val="solid" w:color="FFFFFF" w:fill="auto"/>
          </w:tcPr>
          <w:p w14:paraId="3E38E690" w14:textId="034F59BC"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27F208D1" w14:textId="2180C630" w:rsidR="00283ED6" w:rsidRPr="00873B6C" w:rsidRDefault="00283ED6" w:rsidP="002D6B6E">
            <w:pPr>
              <w:pStyle w:val="TAL"/>
              <w:rPr>
                <w:sz w:val="16"/>
                <w:szCs w:val="16"/>
              </w:rPr>
            </w:pPr>
            <w:r w:rsidRPr="00873B6C">
              <w:rPr>
                <w:sz w:val="16"/>
                <w:szCs w:val="16"/>
              </w:rPr>
              <w:t>C</w:t>
            </w:r>
          </w:p>
        </w:tc>
        <w:tc>
          <w:tcPr>
            <w:tcW w:w="4820" w:type="dxa"/>
            <w:shd w:val="solid" w:color="FFFFFF" w:fill="auto"/>
          </w:tcPr>
          <w:p w14:paraId="0B48FFFD" w14:textId="0439D6C1" w:rsidR="00283ED6" w:rsidRPr="00873B6C" w:rsidRDefault="00283ED6" w:rsidP="002D6B6E">
            <w:pPr>
              <w:pStyle w:val="TAL"/>
              <w:rPr>
                <w:sz w:val="16"/>
                <w:szCs w:val="16"/>
              </w:rPr>
            </w:pPr>
            <w:r w:rsidRPr="00873B6C">
              <w:rPr>
                <w:sz w:val="16"/>
                <w:szCs w:val="16"/>
              </w:rPr>
              <w:t>Support multiple TACs for satellite access</w:t>
            </w:r>
          </w:p>
        </w:tc>
        <w:tc>
          <w:tcPr>
            <w:tcW w:w="708" w:type="dxa"/>
            <w:shd w:val="solid" w:color="FFFFFF" w:fill="auto"/>
          </w:tcPr>
          <w:p w14:paraId="0A913A05" w14:textId="606B3553" w:rsidR="00283ED6" w:rsidRPr="00873B6C" w:rsidRDefault="00283ED6" w:rsidP="002D6B6E">
            <w:pPr>
              <w:pStyle w:val="TAC"/>
              <w:rPr>
                <w:sz w:val="16"/>
                <w:szCs w:val="16"/>
              </w:rPr>
            </w:pPr>
            <w:r w:rsidRPr="00873B6C">
              <w:rPr>
                <w:sz w:val="16"/>
                <w:szCs w:val="16"/>
              </w:rPr>
              <w:t>17.3.0</w:t>
            </w:r>
          </w:p>
        </w:tc>
      </w:tr>
      <w:tr w:rsidR="00283ED6" w:rsidRPr="00873B6C" w14:paraId="2DD81209" w14:textId="77777777" w:rsidTr="009D14FB">
        <w:tc>
          <w:tcPr>
            <w:tcW w:w="800" w:type="dxa"/>
            <w:shd w:val="solid" w:color="FFFFFF" w:fill="auto"/>
          </w:tcPr>
          <w:p w14:paraId="1602ED53" w14:textId="5538B251"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095745C6" w14:textId="7B1DBF77"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741C6E61" w14:textId="19A1C8F9" w:rsidR="00283ED6" w:rsidRPr="00873B6C" w:rsidRDefault="00283ED6" w:rsidP="002D6B6E">
            <w:pPr>
              <w:pStyle w:val="TAC"/>
              <w:rPr>
                <w:sz w:val="16"/>
                <w:szCs w:val="16"/>
              </w:rPr>
            </w:pPr>
            <w:r w:rsidRPr="00873B6C">
              <w:rPr>
                <w:sz w:val="16"/>
                <w:szCs w:val="16"/>
              </w:rPr>
              <w:t>SP-211287</w:t>
            </w:r>
          </w:p>
        </w:tc>
        <w:tc>
          <w:tcPr>
            <w:tcW w:w="567" w:type="dxa"/>
            <w:shd w:val="solid" w:color="FFFFFF" w:fill="auto"/>
          </w:tcPr>
          <w:p w14:paraId="01C37AF3" w14:textId="1D2A5321" w:rsidR="00283ED6" w:rsidRPr="00873B6C" w:rsidRDefault="00283ED6" w:rsidP="002D6B6E">
            <w:pPr>
              <w:pStyle w:val="TAL"/>
              <w:rPr>
                <w:sz w:val="16"/>
                <w:szCs w:val="16"/>
              </w:rPr>
            </w:pPr>
            <w:r w:rsidRPr="00873B6C">
              <w:rPr>
                <w:sz w:val="16"/>
                <w:szCs w:val="16"/>
              </w:rPr>
              <w:t>3324</w:t>
            </w:r>
          </w:p>
        </w:tc>
        <w:tc>
          <w:tcPr>
            <w:tcW w:w="425" w:type="dxa"/>
            <w:shd w:val="solid" w:color="FFFFFF" w:fill="auto"/>
          </w:tcPr>
          <w:p w14:paraId="43506B8F" w14:textId="257E7541"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7F3B1807" w14:textId="5F0FA95F" w:rsidR="00283ED6" w:rsidRPr="00873B6C" w:rsidRDefault="00283ED6" w:rsidP="002D6B6E">
            <w:pPr>
              <w:pStyle w:val="TAL"/>
              <w:rPr>
                <w:sz w:val="16"/>
                <w:szCs w:val="16"/>
              </w:rPr>
            </w:pPr>
            <w:r w:rsidRPr="00873B6C">
              <w:rPr>
                <w:sz w:val="16"/>
                <w:szCs w:val="16"/>
              </w:rPr>
              <w:t>B</w:t>
            </w:r>
          </w:p>
        </w:tc>
        <w:tc>
          <w:tcPr>
            <w:tcW w:w="4820" w:type="dxa"/>
            <w:shd w:val="solid" w:color="FFFFFF" w:fill="auto"/>
          </w:tcPr>
          <w:p w14:paraId="1915B58A" w14:textId="43FDF517" w:rsidR="00283ED6" w:rsidRPr="00873B6C" w:rsidRDefault="00283ED6" w:rsidP="002D6B6E">
            <w:pPr>
              <w:pStyle w:val="TAL"/>
              <w:rPr>
                <w:sz w:val="16"/>
                <w:szCs w:val="16"/>
              </w:rPr>
            </w:pPr>
            <w:r w:rsidRPr="00873B6C">
              <w:rPr>
                <w:sz w:val="16"/>
                <w:szCs w:val="16"/>
              </w:rPr>
              <w:t>Capabilities for NR RedCap UE</w:t>
            </w:r>
          </w:p>
        </w:tc>
        <w:tc>
          <w:tcPr>
            <w:tcW w:w="708" w:type="dxa"/>
            <w:shd w:val="solid" w:color="FFFFFF" w:fill="auto"/>
          </w:tcPr>
          <w:p w14:paraId="70E21F4F" w14:textId="6F3079F0" w:rsidR="00283ED6" w:rsidRPr="00873B6C" w:rsidRDefault="00283ED6" w:rsidP="002D6B6E">
            <w:pPr>
              <w:pStyle w:val="TAC"/>
              <w:rPr>
                <w:sz w:val="16"/>
                <w:szCs w:val="16"/>
              </w:rPr>
            </w:pPr>
            <w:r w:rsidRPr="00873B6C">
              <w:rPr>
                <w:sz w:val="16"/>
                <w:szCs w:val="16"/>
              </w:rPr>
              <w:t>17.3.0</w:t>
            </w:r>
          </w:p>
        </w:tc>
      </w:tr>
      <w:tr w:rsidR="00F84AAF" w:rsidRPr="00873B6C" w14:paraId="05AEE148" w14:textId="77777777" w:rsidTr="009D14FB">
        <w:tc>
          <w:tcPr>
            <w:tcW w:w="800" w:type="dxa"/>
            <w:shd w:val="solid" w:color="FFFFFF" w:fill="auto"/>
          </w:tcPr>
          <w:p w14:paraId="3334F2A6" w14:textId="210546FF"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114D8BF2" w14:textId="6281752F"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66FE7AE2" w14:textId="58E4227B" w:rsidR="00F84AAF" w:rsidRPr="00873B6C" w:rsidRDefault="00F84AAF" w:rsidP="002D6B6E">
            <w:pPr>
              <w:pStyle w:val="TAC"/>
              <w:rPr>
                <w:sz w:val="16"/>
                <w:szCs w:val="16"/>
              </w:rPr>
            </w:pPr>
            <w:r w:rsidRPr="00873B6C">
              <w:rPr>
                <w:sz w:val="16"/>
                <w:szCs w:val="16"/>
              </w:rPr>
              <w:t>SP-211303</w:t>
            </w:r>
          </w:p>
        </w:tc>
        <w:tc>
          <w:tcPr>
            <w:tcW w:w="567" w:type="dxa"/>
            <w:shd w:val="solid" w:color="FFFFFF" w:fill="auto"/>
          </w:tcPr>
          <w:p w14:paraId="4BBD243D" w14:textId="500530B1" w:rsidR="00F84AAF" w:rsidRPr="00873B6C" w:rsidRDefault="00F84AAF" w:rsidP="002D6B6E">
            <w:pPr>
              <w:pStyle w:val="TAL"/>
              <w:rPr>
                <w:sz w:val="16"/>
                <w:szCs w:val="16"/>
              </w:rPr>
            </w:pPr>
            <w:r w:rsidRPr="00873B6C">
              <w:rPr>
                <w:sz w:val="16"/>
                <w:szCs w:val="16"/>
              </w:rPr>
              <w:t>3327</w:t>
            </w:r>
          </w:p>
        </w:tc>
        <w:tc>
          <w:tcPr>
            <w:tcW w:w="425" w:type="dxa"/>
            <w:shd w:val="solid" w:color="FFFFFF" w:fill="auto"/>
          </w:tcPr>
          <w:p w14:paraId="322426D5" w14:textId="47511BB3" w:rsidR="00F84AAF" w:rsidRPr="00873B6C" w:rsidRDefault="00F84AAF" w:rsidP="002D6B6E">
            <w:pPr>
              <w:pStyle w:val="TAL"/>
              <w:rPr>
                <w:sz w:val="16"/>
                <w:szCs w:val="16"/>
              </w:rPr>
            </w:pPr>
            <w:r w:rsidRPr="00873B6C">
              <w:rPr>
                <w:sz w:val="16"/>
                <w:szCs w:val="16"/>
              </w:rPr>
              <w:t xml:space="preserve">- </w:t>
            </w:r>
          </w:p>
        </w:tc>
        <w:tc>
          <w:tcPr>
            <w:tcW w:w="425" w:type="dxa"/>
            <w:shd w:val="solid" w:color="FFFFFF" w:fill="auto"/>
          </w:tcPr>
          <w:p w14:paraId="2FF277B8" w14:textId="62FBAB74"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03E7AC7B" w14:textId="0EADBF7E" w:rsidR="00F84AAF" w:rsidRPr="00873B6C" w:rsidRDefault="00F84AAF" w:rsidP="002D6B6E">
            <w:pPr>
              <w:pStyle w:val="TAL"/>
              <w:rPr>
                <w:sz w:val="16"/>
                <w:szCs w:val="16"/>
              </w:rPr>
            </w:pPr>
            <w:r w:rsidRPr="00873B6C">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873B6C" w:rsidRDefault="00F84AAF" w:rsidP="002D6B6E">
            <w:pPr>
              <w:pStyle w:val="TAC"/>
              <w:rPr>
                <w:sz w:val="16"/>
                <w:szCs w:val="16"/>
              </w:rPr>
            </w:pPr>
            <w:r w:rsidRPr="00873B6C">
              <w:rPr>
                <w:sz w:val="16"/>
                <w:szCs w:val="16"/>
              </w:rPr>
              <w:t>17.3.0</w:t>
            </w:r>
          </w:p>
        </w:tc>
      </w:tr>
      <w:tr w:rsidR="00F84AAF" w:rsidRPr="00873B6C" w14:paraId="29E3AB2A" w14:textId="77777777" w:rsidTr="009D14FB">
        <w:tc>
          <w:tcPr>
            <w:tcW w:w="800" w:type="dxa"/>
            <w:shd w:val="solid" w:color="FFFFFF" w:fill="auto"/>
          </w:tcPr>
          <w:p w14:paraId="439130EB" w14:textId="1E2A4167"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340E760C" w14:textId="561BC969"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29D3798F" w14:textId="7C5B4F75" w:rsidR="00F84AAF" w:rsidRPr="00873B6C" w:rsidRDefault="00F84AAF" w:rsidP="002D6B6E">
            <w:pPr>
              <w:pStyle w:val="TAC"/>
              <w:rPr>
                <w:sz w:val="16"/>
                <w:szCs w:val="16"/>
              </w:rPr>
            </w:pPr>
            <w:r w:rsidRPr="00873B6C">
              <w:rPr>
                <w:sz w:val="16"/>
                <w:szCs w:val="16"/>
              </w:rPr>
              <w:t>SP-211294</w:t>
            </w:r>
          </w:p>
        </w:tc>
        <w:tc>
          <w:tcPr>
            <w:tcW w:w="567" w:type="dxa"/>
            <w:shd w:val="solid" w:color="FFFFFF" w:fill="auto"/>
          </w:tcPr>
          <w:p w14:paraId="30EB3C91" w14:textId="4B398DC0" w:rsidR="00F84AAF" w:rsidRPr="00873B6C" w:rsidRDefault="00F84AAF" w:rsidP="002D6B6E">
            <w:pPr>
              <w:pStyle w:val="TAL"/>
              <w:rPr>
                <w:sz w:val="16"/>
                <w:szCs w:val="16"/>
              </w:rPr>
            </w:pPr>
            <w:r w:rsidRPr="00873B6C">
              <w:rPr>
                <w:sz w:val="16"/>
                <w:szCs w:val="16"/>
              </w:rPr>
              <w:t>3328</w:t>
            </w:r>
          </w:p>
        </w:tc>
        <w:tc>
          <w:tcPr>
            <w:tcW w:w="425" w:type="dxa"/>
            <w:shd w:val="solid" w:color="FFFFFF" w:fill="auto"/>
          </w:tcPr>
          <w:p w14:paraId="4B7F4371" w14:textId="66251609" w:rsidR="00F84AAF" w:rsidRPr="00873B6C" w:rsidRDefault="00F84AAF" w:rsidP="002D6B6E">
            <w:pPr>
              <w:pStyle w:val="TAL"/>
              <w:rPr>
                <w:sz w:val="16"/>
                <w:szCs w:val="16"/>
              </w:rPr>
            </w:pPr>
            <w:r w:rsidRPr="00873B6C">
              <w:rPr>
                <w:sz w:val="16"/>
                <w:szCs w:val="16"/>
              </w:rPr>
              <w:t>1</w:t>
            </w:r>
          </w:p>
        </w:tc>
        <w:tc>
          <w:tcPr>
            <w:tcW w:w="425" w:type="dxa"/>
            <w:shd w:val="solid" w:color="FFFFFF" w:fill="auto"/>
          </w:tcPr>
          <w:p w14:paraId="6C4B2BCD" w14:textId="0C526C61"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1ADC4AF1" w14:textId="17A76A54" w:rsidR="00F84AAF" w:rsidRPr="00873B6C" w:rsidRDefault="00F84AAF" w:rsidP="002D6B6E">
            <w:pPr>
              <w:pStyle w:val="TAL"/>
              <w:rPr>
                <w:sz w:val="16"/>
                <w:szCs w:val="16"/>
              </w:rPr>
            </w:pPr>
            <w:r w:rsidRPr="00873B6C">
              <w:rPr>
                <w:sz w:val="16"/>
                <w:szCs w:val="16"/>
              </w:rPr>
              <w:t>Clarification on the UE remote provisioning.</w:t>
            </w:r>
          </w:p>
        </w:tc>
        <w:tc>
          <w:tcPr>
            <w:tcW w:w="708" w:type="dxa"/>
            <w:shd w:val="solid" w:color="FFFFFF" w:fill="auto"/>
          </w:tcPr>
          <w:p w14:paraId="1033AF95" w14:textId="76CC716C" w:rsidR="00F84AAF" w:rsidRPr="00873B6C" w:rsidRDefault="00F84AAF" w:rsidP="002D6B6E">
            <w:pPr>
              <w:pStyle w:val="TAC"/>
              <w:rPr>
                <w:sz w:val="16"/>
                <w:szCs w:val="16"/>
              </w:rPr>
            </w:pPr>
            <w:r w:rsidRPr="00873B6C">
              <w:rPr>
                <w:sz w:val="16"/>
                <w:szCs w:val="16"/>
              </w:rPr>
              <w:t>17.3.0</w:t>
            </w:r>
          </w:p>
        </w:tc>
      </w:tr>
      <w:tr w:rsidR="00F84AAF" w:rsidRPr="00873B6C" w14:paraId="0A0301DE" w14:textId="77777777" w:rsidTr="009D14FB">
        <w:tc>
          <w:tcPr>
            <w:tcW w:w="800" w:type="dxa"/>
            <w:shd w:val="solid" w:color="FFFFFF" w:fill="auto"/>
          </w:tcPr>
          <w:p w14:paraId="0208A21E" w14:textId="306B62EA"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20400928" w14:textId="22BE6681"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53ABF61C" w14:textId="79DDA754" w:rsidR="00F84AAF" w:rsidRPr="00873B6C" w:rsidRDefault="00F84AAF" w:rsidP="002D6B6E">
            <w:pPr>
              <w:pStyle w:val="TAC"/>
              <w:rPr>
                <w:sz w:val="16"/>
                <w:szCs w:val="16"/>
              </w:rPr>
            </w:pPr>
            <w:r w:rsidRPr="00873B6C">
              <w:rPr>
                <w:sz w:val="16"/>
                <w:szCs w:val="16"/>
              </w:rPr>
              <w:t>SP-211299</w:t>
            </w:r>
          </w:p>
        </w:tc>
        <w:tc>
          <w:tcPr>
            <w:tcW w:w="567" w:type="dxa"/>
            <w:shd w:val="solid" w:color="FFFFFF" w:fill="auto"/>
          </w:tcPr>
          <w:p w14:paraId="070D71F5" w14:textId="6C437859" w:rsidR="00F84AAF" w:rsidRPr="00873B6C" w:rsidRDefault="00F84AAF" w:rsidP="002D6B6E">
            <w:pPr>
              <w:pStyle w:val="TAL"/>
              <w:rPr>
                <w:sz w:val="16"/>
                <w:szCs w:val="16"/>
              </w:rPr>
            </w:pPr>
            <w:r w:rsidRPr="00873B6C">
              <w:rPr>
                <w:sz w:val="16"/>
                <w:szCs w:val="16"/>
              </w:rPr>
              <w:t>3330</w:t>
            </w:r>
          </w:p>
        </w:tc>
        <w:tc>
          <w:tcPr>
            <w:tcW w:w="425" w:type="dxa"/>
            <w:shd w:val="solid" w:color="FFFFFF" w:fill="auto"/>
          </w:tcPr>
          <w:p w14:paraId="29D9790E" w14:textId="325E8E3E" w:rsidR="00F84AAF" w:rsidRPr="00873B6C" w:rsidRDefault="00F84AAF" w:rsidP="002D6B6E">
            <w:pPr>
              <w:pStyle w:val="TAL"/>
              <w:rPr>
                <w:sz w:val="16"/>
                <w:szCs w:val="16"/>
              </w:rPr>
            </w:pPr>
            <w:r w:rsidRPr="00873B6C">
              <w:rPr>
                <w:sz w:val="16"/>
                <w:szCs w:val="16"/>
              </w:rPr>
              <w:t>1</w:t>
            </w:r>
          </w:p>
        </w:tc>
        <w:tc>
          <w:tcPr>
            <w:tcW w:w="425" w:type="dxa"/>
            <w:shd w:val="solid" w:color="FFFFFF" w:fill="auto"/>
          </w:tcPr>
          <w:p w14:paraId="1705D8A4" w14:textId="077D5FE0"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5654DB27" w14:textId="2C6733B2" w:rsidR="00F84AAF" w:rsidRPr="00873B6C" w:rsidRDefault="00F84AAF" w:rsidP="002D6B6E">
            <w:pPr>
              <w:pStyle w:val="TAL"/>
              <w:rPr>
                <w:sz w:val="16"/>
                <w:szCs w:val="16"/>
              </w:rPr>
            </w:pPr>
            <w:r w:rsidRPr="00873B6C">
              <w:rPr>
                <w:sz w:val="16"/>
                <w:szCs w:val="16"/>
              </w:rPr>
              <w:t>Clarification on the time synchronization</w:t>
            </w:r>
          </w:p>
        </w:tc>
        <w:tc>
          <w:tcPr>
            <w:tcW w:w="708" w:type="dxa"/>
            <w:shd w:val="solid" w:color="FFFFFF" w:fill="auto"/>
          </w:tcPr>
          <w:p w14:paraId="10683D44" w14:textId="4C0274CA" w:rsidR="00F84AAF" w:rsidRPr="00873B6C" w:rsidRDefault="00F84AAF" w:rsidP="002D6B6E">
            <w:pPr>
              <w:pStyle w:val="TAC"/>
              <w:rPr>
                <w:sz w:val="16"/>
                <w:szCs w:val="16"/>
              </w:rPr>
            </w:pPr>
            <w:r w:rsidRPr="00873B6C">
              <w:rPr>
                <w:sz w:val="16"/>
                <w:szCs w:val="16"/>
              </w:rPr>
              <w:t>17.3.0</w:t>
            </w:r>
          </w:p>
        </w:tc>
      </w:tr>
      <w:tr w:rsidR="00F84AAF" w:rsidRPr="00873B6C" w14:paraId="0F5B41ED" w14:textId="77777777" w:rsidTr="009D14FB">
        <w:tc>
          <w:tcPr>
            <w:tcW w:w="800" w:type="dxa"/>
            <w:shd w:val="solid" w:color="FFFFFF" w:fill="auto"/>
          </w:tcPr>
          <w:p w14:paraId="147492A4" w14:textId="3AFCD36A"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572A4823" w14:textId="10474F15"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0C1E4727" w14:textId="78DD3CAB" w:rsidR="00F84AAF" w:rsidRPr="00873B6C" w:rsidRDefault="00F84AAF" w:rsidP="002D6B6E">
            <w:pPr>
              <w:pStyle w:val="TAC"/>
              <w:rPr>
                <w:sz w:val="16"/>
                <w:szCs w:val="16"/>
              </w:rPr>
            </w:pPr>
            <w:r w:rsidRPr="00873B6C">
              <w:rPr>
                <w:sz w:val="16"/>
                <w:szCs w:val="16"/>
              </w:rPr>
              <w:t>SP-211416</w:t>
            </w:r>
          </w:p>
        </w:tc>
        <w:tc>
          <w:tcPr>
            <w:tcW w:w="567" w:type="dxa"/>
            <w:shd w:val="solid" w:color="FFFFFF" w:fill="auto"/>
          </w:tcPr>
          <w:p w14:paraId="009C4DE2" w14:textId="40B45D20" w:rsidR="00F84AAF" w:rsidRPr="00873B6C" w:rsidRDefault="00F84AAF" w:rsidP="002D6B6E">
            <w:pPr>
              <w:pStyle w:val="TAL"/>
              <w:rPr>
                <w:sz w:val="16"/>
                <w:szCs w:val="16"/>
              </w:rPr>
            </w:pPr>
            <w:r w:rsidRPr="00873B6C">
              <w:rPr>
                <w:sz w:val="16"/>
                <w:szCs w:val="16"/>
              </w:rPr>
              <w:t>3331</w:t>
            </w:r>
          </w:p>
        </w:tc>
        <w:tc>
          <w:tcPr>
            <w:tcW w:w="425" w:type="dxa"/>
            <w:shd w:val="solid" w:color="FFFFFF" w:fill="auto"/>
          </w:tcPr>
          <w:p w14:paraId="076478C0" w14:textId="68263E95" w:rsidR="00F84AAF" w:rsidRPr="00873B6C" w:rsidRDefault="00F84AAF" w:rsidP="002D6B6E">
            <w:pPr>
              <w:pStyle w:val="TAL"/>
              <w:rPr>
                <w:sz w:val="16"/>
                <w:szCs w:val="16"/>
              </w:rPr>
            </w:pPr>
            <w:r w:rsidRPr="00873B6C">
              <w:rPr>
                <w:sz w:val="16"/>
                <w:szCs w:val="16"/>
              </w:rPr>
              <w:t>2</w:t>
            </w:r>
          </w:p>
        </w:tc>
        <w:tc>
          <w:tcPr>
            <w:tcW w:w="425" w:type="dxa"/>
            <w:shd w:val="solid" w:color="FFFFFF" w:fill="auto"/>
          </w:tcPr>
          <w:p w14:paraId="34790038" w14:textId="75AA4949"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210A389A" w14:textId="1113378B" w:rsidR="00F84AAF" w:rsidRPr="00873B6C" w:rsidRDefault="00F84AAF" w:rsidP="002D6B6E">
            <w:pPr>
              <w:pStyle w:val="TAL"/>
              <w:rPr>
                <w:sz w:val="16"/>
                <w:szCs w:val="16"/>
              </w:rPr>
            </w:pPr>
            <w:r w:rsidRPr="00873B6C">
              <w:rPr>
                <w:sz w:val="16"/>
                <w:szCs w:val="16"/>
              </w:rPr>
              <w:t>clarification on definition of NSSRG</w:t>
            </w:r>
          </w:p>
        </w:tc>
        <w:tc>
          <w:tcPr>
            <w:tcW w:w="708" w:type="dxa"/>
            <w:shd w:val="solid" w:color="FFFFFF" w:fill="auto"/>
          </w:tcPr>
          <w:p w14:paraId="202A3C62" w14:textId="7F2903F6" w:rsidR="00F84AAF" w:rsidRPr="00873B6C" w:rsidRDefault="00F84AAF" w:rsidP="002D6B6E">
            <w:pPr>
              <w:pStyle w:val="TAC"/>
              <w:rPr>
                <w:sz w:val="16"/>
                <w:szCs w:val="16"/>
              </w:rPr>
            </w:pPr>
            <w:r w:rsidRPr="00873B6C">
              <w:rPr>
                <w:sz w:val="16"/>
                <w:szCs w:val="16"/>
              </w:rPr>
              <w:t>17.3.0</w:t>
            </w:r>
          </w:p>
        </w:tc>
      </w:tr>
      <w:tr w:rsidR="00F84AAF" w:rsidRPr="00873B6C" w14:paraId="13B2A9B9" w14:textId="77777777" w:rsidTr="009D14FB">
        <w:tc>
          <w:tcPr>
            <w:tcW w:w="800" w:type="dxa"/>
            <w:shd w:val="solid" w:color="FFFFFF" w:fill="auto"/>
          </w:tcPr>
          <w:p w14:paraId="31958877" w14:textId="4825DAAD"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50A0FDE5" w14:textId="6F42E8B9"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4B390AAA" w14:textId="22ABFA6E" w:rsidR="00F84AAF" w:rsidRPr="00873B6C" w:rsidRDefault="00F84AAF" w:rsidP="002D6B6E">
            <w:pPr>
              <w:pStyle w:val="TAC"/>
              <w:rPr>
                <w:sz w:val="16"/>
                <w:szCs w:val="16"/>
              </w:rPr>
            </w:pPr>
            <w:r w:rsidRPr="00873B6C">
              <w:rPr>
                <w:sz w:val="16"/>
                <w:szCs w:val="16"/>
              </w:rPr>
              <w:t>SP-211302</w:t>
            </w:r>
          </w:p>
        </w:tc>
        <w:tc>
          <w:tcPr>
            <w:tcW w:w="567" w:type="dxa"/>
            <w:shd w:val="solid" w:color="FFFFFF" w:fill="auto"/>
          </w:tcPr>
          <w:p w14:paraId="665AF8BE" w14:textId="08291DA7" w:rsidR="00F84AAF" w:rsidRPr="00873B6C" w:rsidRDefault="00F84AAF" w:rsidP="002D6B6E">
            <w:pPr>
              <w:pStyle w:val="TAL"/>
              <w:rPr>
                <w:sz w:val="16"/>
                <w:szCs w:val="16"/>
              </w:rPr>
            </w:pPr>
            <w:r w:rsidRPr="00873B6C">
              <w:rPr>
                <w:sz w:val="16"/>
                <w:szCs w:val="16"/>
              </w:rPr>
              <w:t>3334</w:t>
            </w:r>
          </w:p>
        </w:tc>
        <w:tc>
          <w:tcPr>
            <w:tcW w:w="425" w:type="dxa"/>
            <w:shd w:val="solid" w:color="FFFFFF" w:fill="auto"/>
          </w:tcPr>
          <w:p w14:paraId="4B057AD2" w14:textId="75DA6235" w:rsidR="00F84AAF" w:rsidRPr="00873B6C" w:rsidRDefault="00F84AAF" w:rsidP="002D6B6E">
            <w:pPr>
              <w:pStyle w:val="TAL"/>
              <w:rPr>
                <w:sz w:val="16"/>
                <w:szCs w:val="16"/>
              </w:rPr>
            </w:pPr>
            <w:r w:rsidRPr="00873B6C">
              <w:rPr>
                <w:sz w:val="16"/>
                <w:szCs w:val="16"/>
              </w:rPr>
              <w:t>1</w:t>
            </w:r>
          </w:p>
        </w:tc>
        <w:tc>
          <w:tcPr>
            <w:tcW w:w="425" w:type="dxa"/>
            <w:shd w:val="solid" w:color="FFFFFF" w:fill="auto"/>
          </w:tcPr>
          <w:p w14:paraId="2C45B66A" w14:textId="6C934D38"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0973B81C" w14:textId="0F2BCD9C" w:rsidR="00F84AAF" w:rsidRPr="00873B6C" w:rsidRDefault="00F84AAF" w:rsidP="002D6B6E">
            <w:pPr>
              <w:pStyle w:val="TAL"/>
              <w:rPr>
                <w:sz w:val="16"/>
                <w:szCs w:val="16"/>
              </w:rPr>
            </w:pPr>
            <w:r w:rsidRPr="00873B6C">
              <w:rPr>
                <w:sz w:val="16"/>
                <w:szCs w:val="16"/>
              </w:rPr>
              <w:t>On Paging restrictions handling</w:t>
            </w:r>
          </w:p>
        </w:tc>
        <w:tc>
          <w:tcPr>
            <w:tcW w:w="708" w:type="dxa"/>
            <w:shd w:val="solid" w:color="FFFFFF" w:fill="auto"/>
          </w:tcPr>
          <w:p w14:paraId="376AB51B" w14:textId="791A7EF6" w:rsidR="00F84AAF" w:rsidRPr="00873B6C" w:rsidRDefault="00F84AAF" w:rsidP="002D6B6E">
            <w:pPr>
              <w:pStyle w:val="TAC"/>
              <w:rPr>
                <w:sz w:val="16"/>
                <w:szCs w:val="16"/>
              </w:rPr>
            </w:pPr>
            <w:r w:rsidRPr="00873B6C">
              <w:rPr>
                <w:sz w:val="16"/>
                <w:szCs w:val="16"/>
              </w:rPr>
              <w:t>17.3.0</w:t>
            </w:r>
          </w:p>
        </w:tc>
      </w:tr>
      <w:tr w:rsidR="00F84AAF" w:rsidRPr="00873B6C" w14:paraId="024BCD2E" w14:textId="77777777" w:rsidTr="009D14FB">
        <w:tc>
          <w:tcPr>
            <w:tcW w:w="800" w:type="dxa"/>
            <w:shd w:val="solid" w:color="FFFFFF" w:fill="auto"/>
          </w:tcPr>
          <w:p w14:paraId="6F845BCF" w14:textId="310B1E86" w:rsidR="00F84AAF" w:rsidRPr="00873B6C" w:rsidRDefault="00F84AAF" w:rsidP="00F84AAF">
            <w:pPr>
              <w:pStyle w:val="TAC"/>
              <w:rPr>
                <w:sz w:val="16"/>
                <w:szCs w:val="16"/>
              </w:rPr>
            </w:pPr>
            <w:r w:rsidRPr="00873B6C">
              <w:rPr>
                <w:sz w:val="16"/>
                <w:szCs w:val="16"/>
              </w:rPr>
              <w:t>2021-12</w:t>
            </w:r>
          </w:p>
        </w:tc>
        <w:tc>
          <w:tcPr>
            <w:tcW w:w="800" w:type="dxa"/>
            <w:shd w:val="solid" w:color="FFFFFF" w:fill="auto"/>
          </w:tcPr>
          <w:p w14:paraId="43C2F7B4" w14:textId="129ED918" w:rsidR="00F84AAF" w:rsidRPr="00873B6C" w:rsidRDefault="00F84AAF" w:rsidP="00F84AAF">
            <w:pPr>
              <w:pStyle w:val="TAL"/>
              <w:rPr>
                <w:sz w:val="16"/>
                <w:szCs w:val="16"/>
              </w:rPr>
            </w:pPr>
            <w:r w:rsidRPr="00873B6C">
              <w:rPr>
                <w:sz w:val="16"/>
                <w:szCs w:val="16"/>
              </w:rPr>
              <w:t>SP#94E</w:t>
            </w:r>
          </w:p>
        </w:tc>
        <w:tc>
          <w:tcPr>
            <w:tcW w:w="1094" w:type="dxa"/>
            <w:shd w:val="solid" w:color="FFFFFF" w:fill="auto"/>
          </w:tcPr>
          <w:p w14:paraId="29A596A0" w14:textId="49A9009A" w:rsidR="00F84AAF" w:rsidRPr="00873B6C" w:rsidRDefault="00F84AAF" w:rsidP="00F84AAF">
            <w:pPr>
              <w:pStyle w:val="TAC"/>
              <w:rPr>
                <w:sz w:val="16"/>
                <w:szCs w:val="16"/>
              </w:rPr>
            </w:pPr>
            <w:r w:rsidRPr="00873B6C">
              <w:rPr>
                <w:sz w:val="16"/>
                <w:szCs w:val="16"/>
              </w:rPr>
              <w:t>SP-211536</w:t>
            </w:r>
          </w:p>
        </w:tc>
        <w:tc>
          <w:tcPr>
            <w:tcW w:w="567" w:type="dxa"/>
            <w:shd w:val="solid" w:color="FFFFFF" w:fill="auto"/>
          </w:tcPr>
          <w:p w14:paraId="5090309F" w14:textId="774C2269" w:rsidR="00F84AAF" w:rsidRPr="00873B6C" w:rsidRDefault="00F84AAF" w:rsidP="00F84AAF">
            <w:pPr>
              <w:pStyle w:val="TAL"/>
              <w:rPr>
                <w:sz w:val="16"/>
                <w:szCs w:val="16"/>
              </w:rPr>
            </w:pPr>
            <w:r w:rsidRPr="00873B6C">
              <w:rPr>
                <w:sz w:val="16"/>
                <w:szCs w:val="16"/>
              </w:rPr>
              <w:t>3335</w:t>
            </w:r>
          </w:p>
        </w:tc>
        <w:tc>
          <w:tcPr>
            <w:tcW w:w="425" w:type="dxa"/>
            <w:shd w:val="solid" w:color="FFFFFF" w:fill="auto"/>
          </w:tcPr>
          <w:p w14:paraId="46A61BF4" w14:textId="742E1EB4" w:rsidR="00F84AAF" w:rsidRPr="00873B6C" w:rsidRDefault="00F84AAF" w:rsidP="00F84AAF">
            <w:pPr>
              <w:pStyle w:val="TAL"/>
              <w:rPr>
                <w:sz w:val="16"/>
                <w:szCs w:val="16"/>
              </w:rPr>
            </w:pPr>
            <w:r w:rsidRPr="00873B6C">
              <w:rPr>
                <w:sz w:val="16"/>
                <w:szCs w:val="16"/>
              </w:rPr>
              <w:t>3</w:t>
            </w:r>
          </w:p>
        </w:tc>
        <w:tc>
          <w:tcPr>
            <w:tcW w:w="425" w:type="dxa"/>
            <w:shd w:val="solid" w:color="FFFFFF" w:fill="auto"/>
          </w:tcPr>
          <w:p w14:paraId="6D8B3176" w14:textId="0B235CC3" w:rsidR="00F84AAF" w:rsidRPr="00873B6C" w:rsidRDefault="00F84AAF" w:rsidP="00F84AAF">
            <w:pPr>
              <w:pStyle w:val="TAL"/>
              <w:rPr>
                <w:sz w:val="16"/>
                <w:szCs w:val="16"/>
              </w:rPr>
            </w:pPr>
            <w:r w:rsidRPr="00873B6C">
              <w:rPr>
                <w:sz w:val="16"/>
                <w:szCs w:val="16"/>
              </w:rPr>
              <w:t>F</w:t>
            </w:r>
          </w:p>
        </w:tc>
        <w:tc>
          <w:tcPr>
            <w:tcW w:w="4820" w:type="dxa"/>
            <w:shd w:val="solid" w:color="FFFFFF" w:fill="auto"/>
          </w:tcPr>
          <w:p w14:paraId="0FF56332" w14:textId="3315EA0D" w:rsidR="00F84AAF" w:rsidRPr="00873B6C" w:rsidRDefault="00F84AAF" w:rsidP="00F84AAF">
            <w:pPr>
              <w:pStyle w:val="TAL"/>
              <w:rPr>
                <w:sz w:val="16"/>
                <w:szCs w:val="16"/>
              </w:rPr>
            </w:pPr>
            <w:r w:rsidRPr="00873B6C">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873B6C" w:rsidRDefault="00F84AAF" w:rsidP="00F84AAF">
            <w:pPr>
              <w:pStyle w:val="TAC"/>
              <w:rPr>
                <w:sz w:val="16"/>
                <w:szCs w:val="16"/>
              </w:rPr>
            </w:pPr>
            <w:r w:rsidRPr="00873B6C">
              <w:rPr>
                <w:sz w:val="16"/>
                <w:szCs w:val="16"/>
              </w:rPr>
              <w:t>17.3.0</w:t>
            </w:r>
          </w:p>
        </w:tc>
      </w:tr>
      <w:tr w:rsidR="00F84AAF" w:rsidRPr="00873B6C" w14:paraId="569551AF" w14:textId="77777777" w:rsidTr="009D14FB">
        <w:tc>
          <w:tcPr>
            <w:tcW w:w="800" w:type="dxa"/>
            <w:shd w:val="solid" w:color="FFFFFF" w:fill="auto"/>
          </w:tcPr>
          <w:p w14:paraId="1B780F0A" w14:textId="396B99D1" w:rsidR="00F84AAF" w:rsidRPr="00873B6C" w:rsidRDefault="00F84AAF" w:rsidP="00F84AAF">
            <w:pPr>
              <w:pStyle w:val="TAC"/>
              <w:rPr>
                <w:sz w:val="16"/>
                <w:szCs w:val="16"/>
              </w:rPr>
            </w:pPr>
            <w:r w:rsidRPr="00873B6C">
              <w:rPr>
                <w:sz w:val="16"/>
                <w:szCs w:val="16"/>
              </w:rPr>
              <w:t>2021-12</w:t>
            </w:r>
          </w:p>
        </w:tc>
        <w:tc>
          <w:tcPr>
            <w:tcW w:w="800" w:type="dxa"/>
            <w:shd w:val="solid" w:color="FFFFFF" w:fill="auto"/>
          </w:tcPr>
          <w:p w14:paraId="67E5A38F" w14:textId="6FF8A856" w:rsidR="00F84AAF" w:rsidRPr="00873B6C" w:rsidRDefault="00F84AAF" w:rsidP="00F84AAF">
            <w:pPr>
              <w:pStyle w:val="TAL"/>
              <w:rPr>
                <w:sz w:val="16"/>
                <w:szCs w:val="16"/>
              </w:rPr>
            </w:pPr>
            <w:r w:rsidRPr="00873B6C">
              <w:rPr>
                <w:sz w:val="16"/>
                <w:szCs w:val="16"/>
              </w:rPr>
              <w:t>SP#94E</w:t>
            </w:r>
          </w:p>
        </w:tc>
        <w:tc>
          <w:tcPr>
            <w:tcW w:w="1094" w:type="dxa"/>
            <w:shd w:val="solid" w:color="FFFFFF" w:fill="auto"/>
          </w:tcPr>
          <w:p w14:paraId="6FC0963D" w14:textId="29AE6610" w:rsidR="00F84AAF" w:rsidRPr="00873B6C" w:rsidRDefault="00F84AAF" w:rsidP="00F84AAF">
            <w:pPr>
              <w:pStyle w:val="TAC"/>
              <w:rPr>
                <w:sz w:val="16"/>
                <w:szCs w:val="16"/>
              </w:rPr>
            </w:pPr>
            <w:r w:rsidRPr="00873B6C">
              <w:rPr>
                <w:sz w:val="16"/>
                <w:szCs w:val="16"/>
              </w:rPr>
              <w:t>SP-211288</w:t>
            </w:r>
          </w:p>
        </w:tc>
        <w:tc>
          <w:tcPr>
            <w:tcW w:w="567" w:type="dxa"/>
            <w:shd w:val="solid" w:color="FFFFFF" w:fill="auto"/>
          </w:tcPr>
          <w:p w14:paraId="4A509493" w14:textId="7CDE448D" w:rsidR="00F84AAF" w:rsidRPr="00873B6C" w:rsidRDefault="00F84AAF" w:rsidP="00F84AAF">
            <w:pPr>
              <w:pStyle w:val="TAL"/>
              <w:rPr>
                <w:sz w:val="16"/>
                <w:szCs w:val="16"/>
              </w:rPr>
            </w:pPr>
            <w:r w:rsidRPr="00873B6C">
              <w:rPr>
                <w:sz w:val="16"/>
                <w:szCs w:val="16"/>
              </w:rPr>
              <w:t>3338</w:t>
            </w:r>
          </w:p>
        </w:tc>
        <w:tc>
          <w:tcPr>
            <w:tcW w:w="425" w:type="dxa"/>
            <w:shd w:val="solid" w:color="FFFFFF" w:fill="auto"/>
          </w:tcPr>
          <w:p w14:paraId="1060B355" w14:textId="628E7178" w:rsidR="00F84AAF" w:rsidRPr="00873B6C" w:rsidRDefault="00F84AAF" w:rsidP="00F84AAF">
            <w:pPr>
              <w:pStyle w:val="TAL"/>
              <w:rPr>
                <w:sz w:val="16"/>
                <w:szCs w:val="16"/>
              </w:rPr>
            </w:pPr>
            <w:r w:rsidRPr="00873B6C">
              <w:rPr>
                <w:sz w:val="16"/>
                <w:szCs w:val="16"/>
              </w:rPr>
              <w:t>1</w:t>
            </w:r>
          </w:p>
        </w:tc>
        <w:tc>
          <w:tcPr>
            <w:tcW w:w="425" w:type="dxa"/>
            <w:shd w:val="solid" w:color="FFFFFF" w:fill="auto"/>
          </w:tcPr>
          <w:p w14:paraId="68CC74E1" w14:textId="651B3802" w:rsidR="00F84AAF" w:rsidRPr="00873B6C" w:rsidRDefault="00F84AAF" w:rsidP="00F84AAF">
            <w:pPr>
              <w:pStyle w:val="TAL"/>
              <w:rPr>
                <w:sz w:val="16"/>
                <w:szCs w:val="16"/>
              </w:rPr>
            </w:pPr>
            <w:r w:rsidRPr="00873B6C">
              <w:rPr>
                <w:sz w:val="16"/>
                <w:szCs w:val="16"/>
              </w:rPr>
              <w:t>F</w:t>
            </w:r>
          </w:p>
        </w:tc>
        <w:tc>
          <w:tcPr>
            <w:tcW w:w="4820" w:type="dxa"/>
            <w:shd w:val="solid" w:color="FFFFFF" w:fill="auto"/>
          </w:tcPr>
          <w:p w14:paraId="06ACD401" w14:textId="2971A23D" w:rsidR="00F84AAF" w:rsidRPr="00873B6C" w:rsidRDefault="00F84AAF" w:rsidP="00F84AAF">
            <w:pPr>
              <w:pStyle w:val="TAL"/>
              <w:rPr>
                <w:sz w:val="16"/>
                <w:szCs w:val="16"/>
              </w:rPr>
            </w:pPr>
            <w:r w:rsidRPr="00873B6C">
              <w:rPr>
                <w:sz w:val="16"/>
                <w:szCs w:val="16"/>
              </w:rPr>
              <w:t>Change term default QoS Flow to the QoS Flow associated with default QoS rule in TS 23.501</w:t>
            </w:r>
          </w:p>
        </w:tc>
        <w:tc>
          <w:tcPr>
            <w:tcW w:w="708" w:type="dxa"/>
            <w:shd w:val="solid" w:color="FFFFFF" w:fill="auto"/>
          </w:tcPr>
          <w:p w14:paraId="2F4DCBEF" w14:textId="4B3526F5" w:rsidR="00F84AAF" w:rsidRPr="00873B6C" w:rsidRDefault="00F84AAF" w:rsidP="00F84AAF">
            <w:pPr>
              <w:pStyle w:val="TAC"/>
              <w:rPr>
                <w:sz w:val="16"/>
                <w:szCs w:val="16"/>
              </w:rPr>
            </w:pPr>
            <w:r w:rsidRPr="00873B6C">
              <w:rPr>
                <w:sz w:val="16"/>
                <w:szCs w:val="16"/>
              </w:rPr>
              <w:t>17.3.0</w:t>
            </w:r>
          </w:p>
        </w:tc>
      </w:tr>
      <w:tr w:rsidR="00F84AAF" w:rsidRPr="00873B6C" w14:paraId="2E6416A1" w14:textId="77777777" w:rsidTr="009D14FB">
        <w:tc>
          <w:tcPr>
            <w:tcW w:w="800" w:type="dxa"/>
            <w:shd w:val="solid" w:color="FFFFFF" w:fill="auto"/>
          </w:tcPr>
          <w:p w14:paraId="74A8D3CA" w14:textId="50C4DE2D" w:rsidR="00F84AAF" w:rsidRPr="00873B6C" w:rsidRDefault="00F84AAF" w:rsidP="00F84AAF">
            <w:pPr>
              <w:pStyle w:val="TAC"/>
              <w:rPr>
                <w:sz w:val="16"/>
                <w:szCs w:val="16"/>
              </w:rPr>
            </w:pPr>
            <w:r w:rsidRPr="00873B6C">
              <w:rPr>
                <w:sz w:val="16"/>
                <w:szCs w:val="16"/>
              </w:rPr>
              <w:t>2021-12</w:t>
            </w:r>
          </w:p>
        </w:tc>
        <w:tc>
          <w:tcPr>
            <w:tcW w:w="800" w:type="dxa"/>
            <w:shd w:val="solid" w:color="FFFFFF" w:fill="auto"/>
          </w:tcPr>
          <w:p w14:paraId="0BD1E313" w14:textId="2B8C4D53" w:rsidR="00F84AAF" w:rsidRPr="00873B6C" w:rsidRDefault="00F84AAF" w:rsidP="00F84AAF">
            <w:pPr>
              <w:pStyle w:val="TAL"/>
              <w:rPr>
                <w:sz w:val="16"/>
                <w:szCs w:val="16"/>
              </w:rPr>
            </w:pPr>
            <w:r w:rsidRPr="00873B6C">
              <w:rPr>
                <w:sz w:val="16"/>
                <w:szCs w:val="16"/>
              </w:rPr>
              <w:t>SP#94E</w:t>
            </w:r>
          </w:p>
        </w:tc>
        <w:tc>
          <w:tcPr>
            <w:tcW w:w="1094" w:type="dxa"/>
            <w:shd w:val="solid" w:color="FFFFFF" w:fill="auto"/>
          </w:tcPr>
          <w:p w14:paraId="0E00F897" w14:textId="375745F2" w:rsidR="00F84AAF" w:rsidRPr="00873B6C" w:rsidRDefault="00F84AAF" w:rsidP="00F84AAF">
            <w:pPr>
              <w:pStyle w:val="TAC"/>
              <w:rPr>
                <w:sz w:val="16"/>
                <w:szCs w:val="16"/>
              </w:rPr>
            </w:pPr>
            <w:r w:rsidRPr="00873B6C">
              <w:rPr>
                <w:sz w:val="16"/>
                <w:szCs w:val="16"/>
              </w:rPr>
              <w:t>SP-211293</w:t>
            </w:r>
          </w:p>
        </w:tc>
        <w:tc>
          <w:tcPr>
            <w:tcW w:w="567" w:type="dxa"/>
            <w:shd w:val="solid" w:color="FFFFFF" w:fill="auto"/>
          </w:tcPr>
          <w:p w14:paraId="564D8488" w14:textId="360089D0" w:rsidR="00F84AAF" w:rsidRPr="00873B6C" w:rsidRDefault="00F84AAF" w:rsidP="00F84AAF">
            <w:pPr>
              <w:pStyle w:val="TAL"/>
              <w:rPr>
                <w:sz w:val="16"/>
                <w:szCs w:val="16"/>
              </w:rPr>
            </w:pPr>
            <w:r w:rsidRPr="00873B6C">
              <w:rPr>
                <w:sz w:val="16"/>
                <w:szCs w:val="16"/>
              </w:rPr>
              <w:t>3339</w:t>
            </w:r>
          </w:p>
        </w:tc>
        <w:tc>
          <w:tcPr>
            <w:tcW w:w="425" w:type="dxa"/>
            <w:shd w:val="solid" w:color="FFFFFF" w:fill="auto"/>
          </w:tcPr>
          <w:p w14:paraId="76E240C7" w14:textId="02048A26" w:rsidR="00F84AAF" w:rsidRPr="00873B6C" w:rsidRDefault="00F84AAF" w:rsidP="00F84AAF">
            <w:pPr>
              <w:pStyle w:val="TAL"/>
              <w:rPr>
                <w:sz w:val="16"/>
                <w:szCs w:val="16"/>
              </w:rPr>
            </w:pPr>
            <w:r w:rsidRPr="00873B6C">
              <w:rPr>
                <w:sz w:val="16"/>
                <w:szCs w:val="16"/>
              </w:rPr>
              <w:t>-</w:t>
            </w:r>
          </w:p>
        </w:tc>
        <w:tc>
          <w:tcPr>
            <w:tcW w:w="425" w:type="dxa"/>
            <w:shd w:val="solid" w:color="FFFFFF" w:fill="auto"/>
          </w:tcPr>
          <w:p w14:paraId="60DBF74B" w14:textId="13AF0A62" w:rsidR="00F84AAF" w:rsidRPr="00873B6C" w:rsidRDefault="00F84AAF" w:rsidP="00F84AAF">
            <w:pPr>
              <w:pStyle w:val="TAL"/>
              <w:rPr>
                <w:sz w:val="16"/>
                <w:szCs w:val="16"/>
              </w:rPr>
            </w:pPr>
            <w:r w:rsidRPr="00873B6C">
              <w:rPr>
                <w:sz w:val="16"/>
                <w:szCs w:val="16"/>
              </w:rPr>
              <w:t>F</w:t>
            </w:r>
          </w:p>
        </w:tc>
        <w:tc>
          <w:tcPr>
            <w:tcW w:w="4820" w:type="dxa"/>
            <w:shd w:val="solid" w:color="FFFFFF" w:fill="auto"/>
          </w:tcPr>
          <w:p w14:paraId="71AAF2C0" w14:textId="294356ED" w:rsidR="00F84AAF" w:rsidRPr="00873B6C" w:rsidRDefault="00F84AAF" w:rsidP="00F84AAF">
            <w:pPr>
              <w:pStyle w:val="TAL"/>
              <w:rPr>
                <w:sz w:val="16"/>
                <w:szCs w:val="16"/>
              </w:rPr>
            </w:pPr>
            <w:r w:rsidRPr="00873B6C">
              <w:rPr>
                <w:sz w:val="16"/>
                <w:szCs w:val="16"/>
              </w:rPr>
              <w:t>Update to NEF Discovery and Selection</w:t>
            </w:r>
          </w:p>
        </w:tc>
        <w:tc>
          <w:tcPr>
            <w:tcW w:w="708" w:type="dxa"/>
            <w:shd w:val="solid" w:color="FFFFFF" w:fill="auto"/>
          </w:tcPr>
          <w:p w14:paraId="462FAF47" w14:textId="412D928B" w:rsidR="00F84AAF" w:rsidRPr="00873B6C" w:rsidRDefault="00F84AAF" w:rsidP="00F84AAF">
            <w:pPr>
              <w:pStyle w:val="TAC"/>
              <w:rPr>
                <w:sz w:val="16"/>
                <w:szCs w:val="16"/>
              </w:rPr>
            </w:pPr>
            <w:r w:rsidRPr="00873B6C">
              <w:rPr>
                <w:sz w:val="16"/>
                <w:szCs w:val="16"/>
              </w:rPr>
              <w:t>17.3.0</w:t>
            </w:r>
          </w:p>
        </w:tc>
      </w:tr>
      <w:tr w:rsidR="00CB6EDC" w:rsidRPr="00873B6C" w14:paraId="1BAA2F0C" w14:textId="77777777" w:rsidTr="009D14FB">
        <w:tc>
          <w:tcPr>
            <w:tcW w:w="800" w:type="dxa"/>
            <w:shd w:val="solid" w:color="FFFFFF" w:fill="auto"/>
          </w:tcPr>
          <w:p w14:paraId="53A3180B" w14:textId="6ADB98E7"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32DE494B" w14:textId="0585C2F1"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14AEA049" w14:textId="3A0AF141" w:rsidR="00CB6EDC" w:rsidRPr="00873B6C" w:rsidRDefault="00CB6EDC" w:rsidP="00F84AAF">
            <w:pPr>
              <w:pStyle w:val="TAC"/>
              <w:rPr>
                <w:sz w:val="16"/>
                <w:szCs w:val="16"/>
              </w:rPr>
            </w:pPr>
            <w:r w:rsidRPr="00873B6C">
              <w:rPr>
                <w:sz w:val="16"/>
                <w:szCs w:val="16"/>
              </w:rPr>
              <w:t>SP-211294</w:t>
            </w:r>
          </w:p>
        </w:tc>
        <w:tc>
          <w:tcPr>
            <w:tcW w:w="567" w:type="dxa"/>
            <w:shd w:val="solid" w:color="FFFFFF" w:fill="auto"/>
          </w:tcPr>
          <w:p w14:paraId="0A47C26D" w14:textId="1A27D188" w:rsidR="00CB6EDC" w:rsidRPr="00873B6C" w:rsidRDefault="00CB6EDC" w:rsidP="00F84AAF">
            <w:pPr>
              <w:pStyle w:val="TAL"/>
              <w:rPr>
                <w:sz w:val="16"/>
                <w:szCs w:val="16"/>
              </w:rPr>
            </w:pPr>
            <w:r w:rsidRPr="00873B6C">
              <w:rPr>
                <w:sz w:val="16"/>
                <w:szCs w:val="16"/>
              </w:rPr>
              <w:t>3340</w:t>
            </w:r>
          </w:p>
        </w:tc>
        <w:tc>
          <w:tcPr>
            <w:tcW w:w="425" w:type="dxa"/>
            <w:shd w:val="solid" w:color="FFFFFF" w:fill="auto"/>
          </w:tcPr>
          <w:p w14:paraId="7DFA8205" w14:textId="3BE93637"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0E5B0363" w14:textId="133EF637"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549DB352" w14:textId="317B76EF" w:rsidR="00CB6EDC" w:rsidRPr="00873B6C" w:rsidRDefault="00CB6EDC" w:rsidP="00F84AAF">
            <w:pPr>
              <w:pStyle w:val="TAL"/>
              <w:rPr>
                <w:sz w:val="16"/>
                <w:szCs w:val="16"/>
              </w:rPr>
            </w:pPr>
            <w:r w:rsidRPr="00873B6C">
              <w:rPr>
                <w:sz w:val="16"/>
                <w:szCs w:val="16"/>
              </w:rPr>
              <w:t>Clarification on roaming description for SNPN</w:t>
            </w:r>
          </w:p>
        </w:tc>
        <w:tc>
          <w:tcPr>
            <w:tcW w:w="708" w:type="dxa"/>
            <w:shd w:val="solid" w:color="FFFFFF" w:fill="auto"/>
          </w:tcPr>
          <w:p w14:paraId="40F54022" w14:textId="287EB6CF" w:rsidR="00CB6EDC" w:rsidRPr="00873B6C" w:rsidRDefault="00CB6EDC" w:rsidP="00F84AAF">
            <w:pPr>
              <w:pStyle w:val="TAC"/>
              <w:rPr>
                <w:sz w:val="16"/>
                <w:szCs w:val="16"/>
              </w:rPr>
            </w:pPr>
            <w:r w:rsidRPr="00873B6C">
              <w:rPr>
                <w:sz w:val="16"/>
                <w:szCs w:val="16"/>
              </w:rPr>
              <w:t>17.3.0</w:t>
            </w:r>
          </w:p>
        </w:tc>
      </w:tr>
      <w:tr w:rsidR="00CB6EDC" w:rsidRPr="00873B6C" w14:paraId="17F76CA9" w14:textId="77777777" w:rsidTr="009D14FB">
        <w:tc>
          <w:tcPr>
            <w:tcW w:w="800" w:type="dxa"/>
            <w:shd w:val="solid" w:color="FFFFFF" w:fill="auto"/>
          </w:tcPr>
          <w:p w14:paraId="623EE427" w14:textId="0A103D8E"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21C39F43" w14:textId="2C161FDE"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68C180D0" w14:textId="56DA6955" w:rsidR="00CB6EDC" w:rsidRPr="00873B6C" w:rsidRDefault="00CB6EDC" w:rsidP="00F84AAF">
            <w:pPr>
              <w:pStyle w:val="TAC"/>
              <w:rPr>
                <w:sz w:val="16"/>
                <w:szCs w:val="16"/>
              </w:rPr>
            </w:pPr>
            <w:r w:rsidRPr="00873B6C">
              <w:rPr>
                <w:sz w:val="16"/>
                <w:szCs w:val="16"/>
              </w:rPr>
              <w:t>SP-211294</w:t>
            </w:r>
          </w:p>
        </w:tc>
        <w:tc>
          <w:tcPr>
            <w:tcW w:w="567" w:type="dxa"/>
            <w:shd w:val="solid" w:color="FFFFFF" w:fill="auto"/>
          </w:tcPr>
          <w:p w14:paraId="6277A399" w14:textId="79743F05" w:rsidR="00CB6EDC" w:rsidRPr="00873B6C" w:rsidRDefault="00CB6EDC" w:rsidP="00F84AAF">
            <w:pPr>
              <w:pStyle w:val="TAL"/>
              <w:rPr>
                <w:sz w:val="16"/>
                <w:szCs w:val="16"/>
              </w:rPr>
            </w:pPr>
            <w:r w:rsidRPr="00873B6C">
              <w:rPr>
                <w:sz w:val="16"/>
                <w:szCs w:val="16"/>
              </w:rPr>
              <w:t>3342</w:t>
            </w:r>
          </w:p>
        </w:tc>
        <w:tc>
          <w:tcPr>
            <w:tcW w:w="425" w:type="dxa"/>
            <w:shd w:val="solid" w:color="FFFFFF" w:fill="auto"/>
          </w:tcPr>
          <w:p w14:paraId="22CBFDF9" w14:textId="2AF2B5F1"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06DB07B0" w14:textId="320BB9A9" w:rsidR="00CB6EDC" w:rsidRPr="00873B6C" w:rsidRDefault="00CB6EDC" w:rsidP="00F84AAF">
            <w:pPr>
              <w:pStyle w:val="TAL"/>
              <w:rPr>
                <w:sz w:val="16"/>
                <w:szCs w:val="16"/>
              </w:rPr>
            </w:pPr>
            <w:r w:rsidRPr="00873B6C">
              <w:rPr>
                <w:sz w:val="16"/>
                <w:szCs w:val="16"/>
              </w:rPr>
              <w:t>Release:</w:t>
            </w:r>
          </w:p>
        </w:tc>
        <w:tc>
          <w:tcPr>
            <w:tcW w:w="4820" w:type="dxa"/>
            <w:shd w:val="solid" w:color="FFFFFF" w:fill="auto"/>
          </w:tcPr>
          <w:p w14:paraId="1BC29054" w14:textId="187D56BC" w:rsidR="00CB6EDC" w:rsidRPr="00873B6C" w:rsidRDefault="00CB6EDC" w:rsidP="00F84AAF">
            <w:pPr>
              <w:pStyle w:val="TAL"/>
              <w:rPr>
                <w:sz w:val="16"/>
                <w:szCs w:val="16"/>
              </w:rPr>
            </w:pPr>
            <w:r w:rsidRPr="00873B6C">
              <w:rPr>
                <w:sz w:val="16"/>
                <w:szCs w:val="16"/>
              </w:rPr>
              <w:t>Clarification on network selection for ON-SNPN</w:t>
            </w:r>
          </w:p>
        </w:tc>
        <w:tc>
          <w:tcPr>
            <w:tcW w:w="708" w:type="dxa"/>
            <w:shd w:val="solid" w:color="FFFFFF" w:fill="auto"/>
          </w:tcPr>
          <w:p w14:paraId="1227B27F" w14:textId="2CD8750F" w:rsidR="00CB6EDC" w:rsidRPr="00873B6C" w:rsidRDefault="00CB6EDC" w:rsidP="00F84AAF">
            <w:pPr>
              <w:pStyle w:val="TAC"/>
              <w:rPr>
                <w:sz w:val="16"/>
                <w:szCs w:val="16"/>
              </w:rPr>
            </w:pPr>
            <w:r w:rsidRPr="00873B6C">
              <w:rPr>
                <w:sz w:val="16"/>
                <w:szCs w:val="16"/>
              </w:rPr>
              <w:t>17.3.0</w:t>
            </w:r>
          </w:p>
        </w:tc>
      </w:tr>
      <w:tr w:rsidR="00CB6EDC" w:rsidRPr="00873B6C" w14:paraId="03EA4AB0" w14:textId="77777777" w:rsidTr="009D14FB">
        <w:tc>
          <w:tcPr>
            <w:tcW w:w="800" w:type="dxa"/>
            <w:shd w:val="solid" w:color="FFFFFF" w:fill="auto"/>
          </w:tcPr>
          <w:p w14:paraId="79A3AB2F" w14:textId="4E3FF124"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16EB10A7" w14:textId="0612DC8E"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52EAA3C5" w14:textId="4E0E380A" w:rsidR="00CB6EDC" w:rsidRPr="00873B6C" w:rsidRDefault="00CB6EDC" w:rsidP="00F84AAF">
            <w:pPr>
              <w:pStyle w:val="TAC"/>
              <w:rPr>
                <w:sz w:val="16"/>
                <w:szCs w:val="16"/>
              </w:rPr>
            </w:pPr>
            <w:r w:rsidRPr="00873B6C">
              <w:rPr>
                <w:sz w:val="16"/>
                <w:szCs w:val="16"/>
              </w:rPr>
              <w:t>SP-211626</w:t>
            </w:r>
          </w:p>
        </w:tc>
        <w:tc>
          <w:tcPr>
            <w:tcW w:w="567" w:type="dxa"/>
            <w:shd w:val="solid" w:color="FFFFFF" w:fill="auto"/>
          </w:tcPr>
          <w:p w14:paraId="0E9992E3" w14:textId="5680619C" w:rsidR="00CB6EDC" w:rsidRPr="00873B6C" w:rsidRDefault="00CB6EDC" w:rsidP="00F84AAF">
            <w:pPr>
              <w:pStyle w:val="TAL"/>
              <w:rPr>
                <w:sz w:val="16"/>
                <w:szCs w:val="16"/>
              </w:rPr>
            </w:pPr>
            <w:r w:rsidRPr="00873B6C">
              <w:rPr>
                <w:sz w:val="16"/>
                <w:szCs w:val="16"/>
              </w:rPr>
              <w:t>3345</w:t>
            </w:r>
          </w:p>
        </w:tc>
        <w:tc>
          <w:tcPr>
            <w:tcW w:w="425" w:type="dxa"/>
            <w:shd w:val="solid" w:color="FFFFFF" w:fill="auto"/>
          </w:tcPr>
          <w:p w14:paraId="34A4CB88" w14:textId="6D597FB4" w:rsidR="00CB6EDC" w:rsidRPr="00873B6C" w:rsidRDefault="00CB6EDC" w:rsidP="00F84AAF">
            <w:pPr>
              <w:pStyle w:val="TAL"/>
              <w:rPr>
                <w:sz w:val="16"/>
                <w:szCs w:val="16"/>
              </w:rPr>
            </w:pPr>
            <w:r w:rsidRPr="00873B6C">
              <w:rPr>
                <w:sz w:val="16"/>
                <w:szCs w:val="16"/>
              </w:rPr>
              <w:t>4</w:t>
            </w:r>
          </w:p>
        </w:tc>
        <w:tc>
          <w:tcPr>
            <w:tcW w:w="425" w:type="dxa"/>
            <w:shd w:val="solid" w:color="FFFFFF" w:fill="auto"/>
          </w:tcPr>
          <w:p w14:paraId="3120FBAC" w14:textId="12B8B23C"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5963B21A" w14:textId="05564D7F" w:rsidR="00CB6EDC" w:rsidRPr="00873B6C" w:rsidRDefault="00CB6EDC" w:rsidP="00F84AAF">
            <w:pPr>
              <w:pStyle w:val="TAL"/>
              <w:rPr>
                <w:sz w:val="16"/>
                <w:szCs w:val="16"/>
              </w:rPr>
            </w:pPr>
            <w:r w:rsidRPr="00873B6C">
              <w:rPr>
                <w:sz w:val="16"/>
                <w:szCs w:val="16"/>
              </w:rPr>
              <w:t>Clarifications of NSAC and NSAC for roaming cases</w:t>
            </w:r>
          </w:p>
        </w:tc>
        <w:tc>
          <w:tcPr>
            <w:tcW w:w="708" w:type="dxa"/>
            <w:shd w:val="solid" w:color="FFFFFF" w:fill="auto"/>
          </w:tcPr>
          <w:p w14:paraId="60B46742" w14:textId="57EB56CB" w:rsidR="00CB6EDC" w:rsidRPr="00873B6C" w:rsidRDefault="00CB6EDC" w:rsidP="00F84AAF">
            <w:pPr>
              <w:pStyle w:val="TAC"/>
              <w:rPr>
                <w:sz w:val="16"/>
                <w:szCs w:val="16"/>
              </w:rPr>
            </w:pPr>
            <w:r w:rsidRPr="00873B6C">
              <w:rPr>
                <w:sz w:val="16"/>
                <w:szCs w:val="16"/>
              </w:rPr>
              <w:t>17.3.0</w:t>
            </w:r>
          </w:p>
        </w:tc>
      </w:tr>
      <w:tr w:rsidR="00CB6EDC" w:rsidRPr="00873B6C" w14:paraId="16B04F55" w14:textId="77777777" w:rsidTr="009D14FB">
        <w:tc>
          <w:tcPr>
            <w:tcW w:w="800" w:type="dxa"/>
            <w:shd w:val="solid" w:color="FFFFFF" w:fill="auto"/>
          </w:tcPr>
          <w:p w14:paraId="6F1C84B4" w14:textId="04E02A8D"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341BD3F8" w14:textId="26CD1F51"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2A9F9E32" w14:textId="0127E521" w:rsidR="00CB6EDC" w:rsidRPr="00873B6C" w:rsidRDefault="00CB6EDC" w:rsidP="00F84AAF">
            <w:pPr>
              <w:pStyle w:val="TAC"/>
              <w:rPr>
                <w:sz w:val="16"/>
                <w:szCs w:val="16"/>
              </w:rPr>
            </w:pPr>
            <w:r w:rsidRPr="00873B6C">
              <w:rPr>
                <w:sz w:val="16"/>
                <w:szCs w:val="16"/>
              </w:rPr>
              <w:t>SP-211287</w:t>
            </w:r>
          </w:p>
        </w:tc>
        <w:tc>
          <w:tcPr>
            <w:tcW w:w="567" w:type="dxa"/>
            <w:shd w:val="solid" w:color="FFFFFF" w:fill="auto"/>
          </w:tcPr>
          <w:p w14:paraId="4884BA7B" w14:textId="0F4EF540" w:rsidR="00CB6EDC" w:rsidRPr="00873B6C" w:rsidRDefault="00CB6EDC" w:rsidP="00F84AAF">
            <w:pPr>
              <w:pStyle w:val="TAL"/>
              <w:rPr>
                <w:sz w:val="16"/>
                <w:szCs w:val="16"/>
              </w:rPr>
            </w:pPr>
            <w:r w:rsidRPr="00873B6C">
              <w:rPr>
                <w:sz w:val="16"/>
                <w:szCs w:val="16"/>
              </w:rPr>
              <w:t>3346</w:t>
            </w:r>
          </w:p>
        </w:tc>
        <w:tc>
          <w:tcPr>
            <w:tcW w:w="425" w:type="dxa"/>
            <w:shd w:val="solid" w:color="FFFFFF" w:fill="auto"/>
          </w:tcPr>
          <w:p w14:paraId="26F2E41E" w14:textId="5C6A8CC0" w:rsidR="00CB6EDC" w:rsidRPr="00873B6C" w:rsidRDefault="00CB6EDC" w:rsidP="00F84AAF">
            <w:pPr>
              <w:pStyle w:val="TAL"/>
              <w:rPr>
                <w:sz w:val="16"/>
                <w:szCs w:val="16"/>
              </w:rPr>
            </w:pPr>
            <w:r w:rsidRPr="00873B6C">
              <w:rPr>
                <w:sz w:val="16"/>
                <w:szCs w:val="16"/>
              </w:rPr>
              <w:t>-</w:t>
            </w:r>
          </w:p>
        </w:tc>
        <w:tc>
          <w:tcPr>
            <w:tcW w:w="425" w:type="dxa"/>
            <w:shd w:val="solid" w:color="FFFFFF" w:fill="auto"/>
          </w:tcPr>
          <w:p w14:paraId="4F2607CC" w14:textId="54617BB5"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01060018" w14:textId="65DD968B" w:rsidR="00CB6EDC" w:rsidRPr="00873B6C" w:rsidRDefault="00CB6EDC" w:rsidP="00F84AAF">
            <w:pPr>
              <w:pStyle w:val="TAL"/>
              <w:rPr>
                <w:sz w:val="16"/>
                <w:szCs w:val="16"/>
              </w:rPr>
            </w:pPr>
            <w:r w:rsidRPr="00873B6C">
              <w:rPr>
                <w:sz w:val="16"/>
                <w:szCs w:val="16"/>
              </w:rPr>
              <w:t>Correction on Paging for extended idle mode DRX in E-UTRA and NR connected to 5GC</w:t>
            </w:r>
          </w:p>
        </w:tc>
        <w:tc>
          <w:tcPr>
            <w:tcW w:w="708" w:type="dxa"/>
            <w:shd w:val="solid" w:color="FFFFFF" w:fill="auto"/>
          </w:tcPr>
          <w:p w14:paraId="5E3E4A2B" w14:textId="4C7F7AF6" w:rsidR="00CB6EDC" w:rsidRPr="00873B6C" w:rsidRDefault="00CB6EDC" w:rsidP="00F84AAF">
            <w:pPr>
              <w:pStyle w:val="TAC"/>
              <w:rPr>
                <w:sz w:val="16"/>
                <w:szCs w:val="16"/>
              </w:rPr>
            </w:pPr>
            <w:r w:rsidRPr="00873B6C">
              <w:rPr>
                <w:sz w:val="16"/>
                <w:szCs w:val="16"/>
              </w:rPr>
              <w:t>17.3.0</w:t>
            </w:r>
          </w:p>
        </w:tc>
      </w:tr>
      <w:tr w:rsidR="00CB6EDC" w:rsidRPr="00873B6C" w14:paraId="20FD8629" w14:textId="77777777" w:rsidTr="009D14FB">
        <w:tc>
          <w:tcPr>
            <w:tcW w:w="800" w:type="dxa"/>
            <w:shd w:val="solid" w:color="FFFFFF" w:fill="auto"/>
          </w:tcPr>
          <w:p w14:paraId="7BADE2BD" w14:textId="39108B3E"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58E05BA1" w14:textId="4ABA93C7"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322809C7" w14:textId="44D509D5" w:rsidR="00CB6EDC" w:rsidRPr="00873B6C" w:rsidRDefault="00CB6EDC" w:rsidP="00F84AAF">
            <w:pPr>
              <w:pStyle w:val="TAC"/>
              <w:rPr>
                <w:sz w:val="16"/>
                <w:szCs w:val="16"/>
              </w:rPr>
            </w:pPr>
            <w:r w:rsidRPr="00873B6C">
              <w:rPr>
                <w:sz w:val="16"/>
                <w:szCs w:val="16"/>
              </w:rPr>
              <w:t>SP-211287</w:t>
            </w:r>
          </w:p>
        </w:tc>
        <w:tc>
          <w:tcPr>
            <w:tcW w:w="567" w:type="dxa"/>
            <w:shd w:val="solid" w:color="FFFFFF" w:fill="auto"/>
          </w:tcPr>
          <w:p w14:paraId="450BEC69" w14:textId="310D9E66" w:rsidR="00CB6EDC" w:rsidRPr="00873B6C" w:rsidRDefault="00CB6EDC" w:rsidP="00F84AAF">
            <w:pPr>
              <w:pStyle w:val="TAL"/>
              <w:rPr>
                <w:sz w:val="16"/>
                <w:szCs w:val="16"/>
              </w:rPr>
            </w:pPr>
            <w:r w:rsidRPr="00873B6C">
              <w:rPr>
                <w:sz w:val="16"/>
                <w:szCs w:val="16"/>
              </w:rPr>
              <w:t>3349</w:t>
            </w:r>
          </w:p>
        </w:tc>
        <w:tc>
          <w:tcPr>
            <w:tcW w:w="425" w:type="dxa"/>
            <w:shd w:val="solid" w:color="FFFFFF" w:fill="auto"/>
          </w:tcPr>
          <w:p w14:paraId="75795F2B" w14:textId="3BE71BD4" w:rsidR="00CB6EDC" w:rsidRPr="00873B6C" w:rsidRDefault="00CB6EDC" w:rsidP="00F84AAF">
            <w:pPr>
              <w:pStyle w:val="TAL"/>
              <w:rPr>
                <w:sz w:val="16"/>
                <w:szCs w:val="16"/>
              </w:rPr>
            </w:pPr>
            <w:r w:rsidRPr="00873B6C">
              <w:rPr>
                <w:sz w:val="16"/>
                <w:szCs w:val="16"/>
              </w:rPr>
              <w:t>-</w:t>
            </w:r>
          </w:p>
        </w:tc>
        <w:tc>
          <w:tcPr>
            <w:tcW w:w="425" w:type="dxa"/>
            <w:shd w:val="solid" w:color="FFFFFF" w:fill="auto"/>
          </w:tcPr>
          <w:p w14:paraId="4C44EB75" w14:textId="17D0EEB4" w:rsidR="00CB6EDC" w:rsidRPr="00873B6C" w:rsidRDefault="00CB6EDC" w:rsidP="00F84AAF">
            <w:pPr>
              <w:pStyle w:val="TAL"/>
              <w:rPr>
                <w:sz w:val="16"/>
                <w:szCs w:val="16"/>
              </w:rPr>
            </w:pPr>
            <w:r w:rsidRPr="00873B6C">
              <w:rPr>
                <w:sz w:val="16"/>
                <w:szCs w:val="16"/>
              </w:rPr>
              <w:t>B</w:t>
            </w:r>
          </w:p>
        </w:tc>
        <w:tc>
          <w:tcPr>
            <w:tcW w:w="4820" w:type="dxa"/>
            <w:shd w:val="solid" w:color="FFFFFF" w:fill="auto"/>
          </w:tcPr>
          <w:p w14:paraId="0B09C4A5" w14:textId="6469E795" w:rsidR="00CB6EDC" w:rsidRPr="00873B6C" w:rsidRDefault="00CB6EDC" w:rsidP="00F84AAF">
            <w:pPr>
              <w:pStyle w:val="TAL"/>
              <w:rPr>
                <w:sz w:val="16"/>
                <w:szCs w:val="16"/>
              </w:rPr>
            </w:pPr>
            <w:r w:rsidRPr="00873B6C">
              <w:rPr>
                <w:sz w:val="16"/>
                <w:szCs w:val="16"/>
              </w:rPr>
              <w:t>Support of Access Restriction for RedCap</w:t>
            </w:r>
          </w:p>
        </w:tc>
        <w:tc>
          <w:tcPr>
            <w:tcW w:w="708" w:type="dxa"/>
            <w:shd w:val="solid" w:color="FFFFFF" w:fill="auto"/>
          </w:tcPr>
          <w:p w14:paraId="10C998F4" w14:textId="5D838B74" w:rsidR="00CB6EDC" w:rsidRPr="00873B6C" w:rsidRDefault="00CB6EDC" w:rsidP="00F84AAF">
            <w:pPr>
              <w:pStyle w:val="TAC"/>
              <w:rPr>
                <w:sz w:val="16"/>
                <w:szCs w:val="16"/>
              </w:rPr>
            </w:pPr>
            <w:r w:rsidRPr="00873B6C">
              <w:rPr>
                <w:sz w:val="16"/>
                <w:szCs w:val="16"/>
              </w:rPr>
              <w:t>17.3.0</w:t>
            </w:r>
          </w:p>
        </w:tc>
      </w:tr>
      <w:tr w:rsidR="00CB6EDC" w:rsidRPr="00873B6C" w14:paraId="28E1CA72" w14:textId="77777777" w:rsidTr="009D14FB">
        <w:tc>
          <w:tcPr>
            <w:tcW w:w="800" w:type="dxa"/>
            <w:shd w:val="solid" w:color="FFFFFF" w:fill="auto"/>
          </w:tcPr>
          <w:p w14:paraId="25AF6796" w14:textId="79204915"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5525A601" w14:textId="66A0AA61"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205E5D44" w14:textId="300FA3D5" w:rsidR="00CB6EDC" w:rsidRPr="00873B6C" w:rsidRDefault="00CB6EDC" w:rsidP="00F84AAF">
            <w:pPr>
              <w:pStyle w:val="TAC"/>
              <w:rPr>
                <w:sz w:val="16"/>
                <w:szCs w:val="16"/>
              </w:rPr>
            </w:pPr>
            <w:r w:rsidRPr="00873B6C">
              <w:rPr>
                <w:sz w:val="16"/>
                <w:szCs w:val="16"/>
              </w:rPr>
              <w:t>SP-211299</w:t>
            </w:r>
          </w:p>
        </w:tc>
        <w:tc>
          <w:tcPr>
            <w:tcW w:w="567" w:type="dxa"/>
            <w:shd w:val="solid" w:color="FFFFFF" w:fill="auto"/>
          </w:tcPr>
          <w:p w14:paraId="5F2CB891" w14:textId="1BC5DA9C" w:rsidR="00CB6EDC" w:rsidRPr="00873B6C" w:rsidRDefault="00CB6EDC" w:rsidP="00F84AAF">
            <w:pPr>
              <w:pStyle w:val="TAL"/>
              <w:rPr>
                <w:sz w:val="16"/>
                <w:szCs w:val="16"/>
              </w:rPr>
            </w:pPr>
            <w:r w:rsidRPr="00873B6C">
              <w:rPr>
                <w:sz w:val="16"/>
                <w:szCs w:val="16"/>
              </w:rPr>
              <w:t>3351</w:t>
            </w:r>
          </w:p>
        </w:tc>
        <w:tc>
          <w:tcPr>
            <w:tcW w:w="425" w:type="dxa"/>
            <w:shd w:val="solid" w:color="FFFFFF" w:fill="auto"/>
          </w:tcPr>
          <w:p w14:paraId="51B17BB9" w14:textId="583C33CE"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20E45B60" w14:textId="3CD0A6B1" w:rsidR="00CB6EDC" w:rsidRPr="00873B6C" w:rsidRDefault="00CB6EDC" w:rsidP="00F84AAF">
            <w:pPr>
              <w:pStyle w:val="TAL"/>
              <w:rPr>
                <w:sz w:val="16"/>
                <w:szCs w:val="16"/>
              </w:rPr>
            </w:pPr>
            <w:r w:rsidRPr="00873B6C">
              <w:rPr>
                <w:sz w:val="16"/>
                <w:szCs w:val="16"/>
              </w:rPr>
              <w:t>D</w:t>
            </w:r>
          </w:p>
        </w:tc>
        <w:tc>
          <w:tcPr>
            <w:tcW w:w="4820" w:type="dxa"/>
            <w:shd w:val="solid" w:color="FFFFFF" w:fill="auto"/>
          </w:tcPr>
          <w:p w14:paraId="73922C51" w14:textId="76A419DE" w:rsidR="00CB6EDC" w:rsidRPr="00873B6C" w:rsidRDefault="00CB6EDC" w:rsidP="00F84AAF">
            <w:pPr>
              <w:pStyle w:val="TAL"/>
              <w:rPr>
                <w:sz w:val="16"/>
                <w:szCs w:val="16"/>
              </w:rPr>
            </w:pPr>
            <w:r w:rsidRPr="00873B6C">
              <w:rPr>
                <w:sz w:val="16"/>
                <w:szCs w:val="16"/>
              </w:rPr>
              <w:t>Rapporteur CR for editorial fixes - Inclusive terminology</w:t>
            </w:r>
          </w:p>
        </w:tc>
        <w:tc>
          <w:tcPr>
            <w:tcW w:w="708" w:type="dxa"/>
            <w:shd w:val="solid" w:color="FFFFFF" w:fill="auto"/>
          </w:tcPr>
          <w:p w14:paraId="49BB1357" w14:textId="638FCE20" w:rsidR="00CB6EDC" w:rsidRPr="00873B6C" w:rsidRDefault="00CB6EDC" w:rsidP="00F84AAF">
            <w:pPr>
              <w:pStyle w:val="TAC"/>
              <w:rPr>
                <w:sz w:val="16"/>
                <w:szCs w:val="16"/>
              </w:rPr>
            </w:pPr>
            <w:r w:rsidRPr="00873B6C">
              <w:rPr>
                <w:sz w:val="16"/>
                <w:szCs w:val="16"/>
              </w:rPr>
              <w:t>17.3.0</w:t>
            </w:r>
          </w:p>
        </w:tc>
      </w:tr>
      <w:tr w:rsidR="00CB6EDC" w:rsidRPr="00873B6C" w14:paraId="34FB2C36" w14:textId="77777777" w:rsidTr="009D14FB">
        <w:tc>
          <w:tcPr>
            <w:tcW w:w="800" w:type="dxa"/>
            <w:shd w:val="solid" w:color="FFFFFF" w:fill="auto"/>
          </w:tcPr>
          <w:p w14:paraId="4564C3D9" w14:textId="22DBEE82"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45BA3FB6" w14:textId="6A59B15D"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152B07D4" w14:textId="4C7D18C8" w:rsidR="00CB6EDC" w:rsidRPr="00873B6C" w:rsidRDefault="00CB6EDC" w:rsidP="00F84AAF">
            <w:pPr>
              <w:pStyle w:val="TAC"/>
              <w:rPr>
                <w:sz w:val="16"/>
                <w:szCs w:val="16"/>
              </w:rPr>
            </w:pPr>
            <w:r w:rsidRPr="00873B6C">
              <w:rPr>
                <w:sz w:val="16"/>
                <w:szCs w:val="16"/>
              </w:rPr>
              <w:t>SP-211299</w:t>
            </w:r>
          </w:p>
        </w:tc>
        <w:tc>
          <w:tcPr>
            <w:tcW w:w="567" w:type="dxa"/>
            <w:shd w:val="solid" w:color="FFFFFF" w:fill="auto"/>
          </w:tcPr>
          <w:p w14:paraId="2ED81A45" w14:textId="7877642C" w:rsidR="00CB6EDC" w:rsidRPr="00873B6C" w:rsidRDefault="00CB6EDC" w:rsidP="00F84AAF">
            <w:pPr>
              <w:pStyle w:val="TAL"/>
              <w:rPr>
                <w:sz w:val="16"/>
                <w:szCs w:val="16"/>
              </w:rPr>
            </w:pPr>
            <w:r w:rsidRPr="00873B6C">
              <w:rPr>
                <w:sz w:val="16"/>
                <w:szCs w:val="16"/>
              </w:rPr>
              <w:t>3352</w:t>
            </w:r>
          </w:p>
        </w:tc>
        <w:tc>
          <w:tcPr>
            <w:tcW w:w="425" w:type="dxa"/>
            <w:shd w:val="solid" w:color="FFFFFF" w:fill="auto"/>
          </w:tcPr>
          <w:p w14:paraId="3374A322" w14:textId="30849CE9"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1CA30F91" w14:textId="76CAABFB"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3698FAB4" w14:textId="7A964ED9" w:rsidR="00CB6EDC" w:rsidRPr="00873B6C" w:rsidRDefault="00CB6EDC" w:rsidP="00F84AAF">
            <w:pPr>
              <w:pStyle w:val="TAL"/>
              <w:rPr>
                <w:sz w:val="16"/>
                <w:szCs w:val="16"/>
              </w:rPr>
            </w:pPr>
            <w:r w:rsidRPr="00873B6C">
              <w:rPr>
                <w:sz w:val="16"/>
                <w:szCs w:val="16"/>
              </w:rPr>
              <w:t>Addressing Rel-17 DS-TT backwards incompatibility for time synchronization</w:t>
            </w:r>
          </w:p>
        </w:tc>
        <w:tc>
          <w:tcPr>
            <w:tcW w:w="708" w:type="dxa"/>
            <w:shd w:val="solid" w:color="FFFFFF" w:fill="auto"/>
          </w:tcPr>
          <w:p w14:paraId="25D69ABE" w14:textId="1927CAD6" w:rsidR="00CB6EDC" w:rsidRPr="00873B6C" w:rsidRDefault="00CB6EDC" w:rsidP="00F84AAF">
            <w:pPr>
              <w:pStyle w:val="TAC"/>
              <w:rPr>
                <w:sz w:val="16"/>
                <w:szCs w:val="16"/>
              </w:rPr>
            </w:pPr>
            <w:r w:rsidRPr="00873B6C">
              <w:rPr>
                <w:sz w:val="16"/>
                <w:szCs w:val="16"/>
              </w:rPr>
              <w:t>17.3.0</w:t>
            </w:r>
          </w:p>
        </w:tc>
      </w:tr>
      <w:tr w:rsidR="00CB6EDC" w:rsidRPr="00873B6C" w14:paraId="19E101FF" w14:textId="77777777" w:rsidTr="009D14FB">
        <w:tc>
          <w:tcPr>
            <w:tcW w:w="800" w:type="dxa"/>
            <w:shd w:val="solid" w:color="FFFFFF" w:fill="auto"/>
          </w:tcPr>
          <w:p w14:paraId="44A9181E" w14:textId="681655B9"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260F0DAB" w14:textId="3BE37BFD"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2A8C19A3" w14:textId="1358A9D2" w:rsidR="00CB6EDC" w:rsidRPr="00873B6C" w:rsidRDefault="00CB6EDC" w:rsidP="00F84AAF">
            <w:pPr>
              <w:pStyle w:val="TAC"/>
              <w:rPr>
                <w:sz w:val="16"/>
                <w:szCs w:val="16"/>
              </w:rPr>
            </w:pPr>
            <w:r w:rsidRPr="00873B6C">
              <w:rPr>
                <w:sz w:val="16"/>
                <w:szCs w:val="16"/>
              </w:rPr>
              <w:t>SP-211299</w:t>
            </w:r>
          </w:p>
        </w:tc>
        <w:tc>
          <w:tcPr>
            <w:tcW w:w="567" w:type="dxa"/>
            <w:shd w:val="solid" w:color="FFFFFF" w:fill="auto"/>
          </w:tcPr>
          <w:p w14:paraId="5BC044C0" w14:textId="7AE6003C" w:rsidR="00CB6EDC" w:rsidRPr="00873B6C" w:rsidRDefault="00CB6EDC" w:rsidP="00F84AAF">
            <w:pPr>
              <w:pStyle w:val="TAL"/>
              <w:rPr>
                <w:sz w:val="16"/>
                <w:szCs w:val="16"/>
              </w:rPr>
            </w:pPr>
            <w:r w:rsidRPr="00873B6C">
              <w:rPr>
                <w:sz w:val="16"/>
                <w:szCs w:val="16"/>
              </w:rPr>
              <w:t>3357</w:t>
            </w:r>
          </w:p>
        </w:tc>
        <w:tc>
          <w:tcPr>
            <w:tcW w:w="425" w:type="dxa"/>
            <w:shd w:val="solid" w:color="FFFFFF" w:fill="auto"/>
          </w:tcPr>
          <w:p w14:paraId="7A1A5EFA" w14:textId="039BC902"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60BA85DE" w14:textId="2C13529C"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6EAE88F6" w14:textId="5FE0BDB5" w:rsidR="00CB6EDC" w:rsidRPr="00873B6C" w:rsidRDefault="00CB6EDC" w:rsidP="00F84AAF">
            <w:pPr>
              <w:pStyle w:val="TAL"/>
              <w:rPr>
                <w:sz w:val="16"/>
                <w:szCs w:val="16"/>
              </w:rPr>
            </w:pPr>
            <w:r w:rsidRPr="00873B6C">
              <w:rPr>
                <w:sz w:val="16"/>
                <w:szCs w:val="16"/>
              </w:rPr>
              <w:t>Deletion of selected enrties in UMIC/PMIC data structures</w:t>
            </w:r>
          </w:p>
        </w:tc>
        <w:tc>
          <w:tcPr>
            <w:tcW w:w="708" w:type="dxa"/>
            <w:shd w:val="solid" w:color="FFFFFF" w:fill="auto"/>
          </w:tcPr>
          <w:p w14:paraId="38C9341D" w14:textId="3EA6E832" w:rsidR="00CB6EDC" w:rsidRPr="00873B6C" w:rsidRDefault="00CB6EDC" w:rsidP="00F84AAF">
            <w:pPr>
              <w:pStyle w:val="TAC"/>
              <w:rPr>
                <w:sz w:val="16"/>
                <w:szCs w:val="16"/>
              </w:rPr>
            </w:pPr>
            <w:r w:rsidRPr="00873B6C">
              <w:rPr>
                <w:sz w:val="16"/>
                <w:szCs w:val="16"/>
              </w:rPr>
              <w:t>17.3.0</w:t>
            </w:r>
          </w:p>
        </w:tc>
      </w:tr>
      <w:tr w:rsidR="00CB6EDC" w:rsidRPr="00873B6C" w14:paraId="02B453BC" w14:textId="77777777" w:rsidTr="009D14FB">
        <w:tc>
          <w:tcPr>
            <w:tcW w:w="800" w:type="dxa"/>
            <w:shd w:val="solid" w:color="FFFFFF" w:fill="auto"/>
          </w:tcPr>
          <w:p w14:paraId="6E40A9E2" w14:textId="5AFD0929"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41C24481" w14:textId="38554B7B"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54CAD703" w14:textId="71885AC8" w:rsidR="00CB6EDC" w:rsidRPr="00873B6C" w:rsidRDefault="00CB6EDC" w:rsidP="00F84AAF">
            <w:pPr>
              <w:pStyle w:val="TAC"/>
              <w:rPr>
                <w:sz w:val="16"/>
                <w:szCs w:val="16"/>
              </w:rPr>
            </w:pPr>
            <w:r w:rsidRPr="00873B6C">
              <w:rPr>
                <w:sz w:val="16"/>
                <w:szCs w:val="16"/>
              </w:rPr>
              <w:t>SP-211300</w:t>
            </w:r>
          </w:p>
        </w:tc>
        <w:tc>
          <w:tcPr>
            <w:tcW w:w="567" w:type="dxa"/>
            <w:shd w:val="solid" w:color="FFFFFF" w:fill="auto"/>
          </w:tcPr>
          <w:p w14:paraId="04A7793E" w14:textId="4B921B10" w:rsidR="00CB6EDC" w:rsidRPr="00873B6C" w:rsidRDefault="00CB6EDC" w:rsidP="00F84AAF">
            <w:pPr>
              <w:pStyle w:val="TAL"/>
              <w:rPr>
                <w:sz w:val="16"/>
                <w:szCs w:val="16"/>
              </w:rPr>
            </w:pPr>
            <w:r w:rsidRPr="00873B6C">
              <w:rPr>
                <w:sz w:val="16"/>
                <w:szCs w:val="16"/>
              </w:rPr>
              <w:t>3358</w:t>
            </w:r>
          </w:p>
        </w:tc>
        <w:tc>
          <w:tcPr>
            <w:tcW w:w="425" w:type="dxa"/>
            <w:shd w:val="solid" w:color="FFFFFF" w:fill="auto"/>
          </w:tcPr>
          <w:p w14:paraId="27E2E943" w14:textId="0AAD39FC"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471B697C" w14:textId="4429CA9D"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01AA9217" w14:textId="71FBA407" w:rsidR="00CB6EDC" w:rsidRPr="00873B6C" w:rsidRDefault="00CB6EDC" w:rsidP="00F84AAF">
            <w:pPr>
              <w:pStyle w:val="TAL"/>
              <w:rPr>
                <w:sz w:val="16"/>
                <w:szCs w:val="16"/>
              </w:rPr>
            </w:pPr>
            <w:r w:rsidRPr="00873B6C">
              <w:rPr>
                <w:sz w:val="16"/>
                <w:szCs w:val="16"/>
              </w:rPr>
              <w:t>Clarification on Static Filtering Entries</w:t>
            </w:r>
          </w:p>
        </w:tc>
        <w:tc>
          <w:tcPr>
            <w:tcW w:w="708" w:type="dxa"/>
            <w:shd w:val="solid" w:color="FFFFFF" w:fill="auto"/>
          </w:tcPr>
          <w:p w14:paraId="07B3403F" w14:textId="57D35FB5" w:rsidR="00CB6EDC" w:rsidRPr="00873B6C" w:rsidRDefault="00CB6EDC" w:rsidP="00F84AAF">
            <w:pPr>
              <w:pStyle w:val="TAC"/>
              <w:rPr>
                <w:sz w:val="16"/>
                <w:szCs w:val="16"/>
              </w:rPr>
            </w:pPr>
            <w:r w:rsidRPr="00873B6C">
              <w:rPr>
                <w:sz w:val="16"/>
                <w:szCs w:val="16"/>
              </w:rPr>
              <w:t>17.3.0</w:t>
            </w:r>
          </w:p>
        </w:tc>
      </w:tr>
      <w:tr w:rsidR="00CB6EDC" w:rsidRPr="00873B6C" w14:paraId="62EA387E" w14:textId="77777777" w:rsidTr="009D14FB">
        <w:tc>
          <w:tcPr>
            <w:tcW w:w="800" w:type="dxa"/>
            <w:shd w:val="solid" w:color="FFFFFF" w:fill="auto"/>
          </w:tcPr>
          <w:p w14:paraId="556A7DEC" w14:textId="4E863255"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716D9C4D" w14:textId="0D45D627"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15122073" w14:textId="6AF83796" w:rsidR="00CB6EDC" w:rsidRPr="00873B6C" w:rsidRDefault="00CB6EDC" w:rsidP="00F84AAF">
            <w:pPr>
              <w:pStyle w:val="TAC"/>
              <w:rPr>
                <w:sz w:val="16"/>
                <w:szCs w:val="16"/>
              </w:rPr>
            </w:pPr>
            <w:r w:rsidRPr="00873B6C">
              <w:rPr>
                <w:sz w:val="16"/>
                <w:szCs w:val="16"/>
              </w:rPr>
              <w:t>SP-211305</w:t>
            </w:r>
          </w:p>
        </w:tc>
        <w:tc>
          <w:tcPr>
            <w:tcW w:w="567" w:type="dxa"/>
            <w:shd w:val="solid" w:color="FFFFFF" w:fill="auto"/>
          </w:tcPr>
          <w:p w14:paraId="73739399" w14:textId="26A4F495" w:rsidR="00CB6EDC" w:rsidRPr="00873B6C" w:rsidRDefault="00CB6EDC" w:rsidP="00F84AAF">
            <w:pPr>
              <w:pStyle w:val="TAL"/>
              <w:rPr>
                <w:sz w:val="16"/>
                <w:szCs w:val="16"/>
              </w:rPr>
            </w:pPr>
            <w:r w:rsidRPr="00873B6C">
              <w:rPr>
                <w:sz w:val="16"/>
                <w:szCs w:val="16"/>
              </w:rPr>
              <w:t>3362</w:t>
            </w:r>
          </w:p>
        </w:tc>
        <w:tc>
          <w:tcPr>
            <w:tcW w:w="425" w:type="dxa"/>
            <w:shd w:val="solid" w:color="FFFFFF" w:fill="auto"/>
          </w:tcPr>
          <w:p w14:paraId="33F23AC9" w14:textId="5B578860" w:rsidR="00CB6EDC" w:rsidRPr="00873B6C" w:rsidRDefault="00CB6EDC" w:rsidP="00F84AAF">
            <w:pPr>
              <w:pStyle w:val="TAL"/>
              <w:rPr>
                <w:sz w:val="16"/>
                <w:szCs w:val="16"/>
              </w:rPr>
            </w:pPr>
            <w:r w:rsidRPr="00873B6C">
              <w:rPr>
                <w:sz w:val="16"/>
                <w:szCs w:val="16"/>
              </w:rPr>
              <w:t xml:space="preserve">- </w:t>
            </w:r>
          </w:p>
        </w:tc>
        <w:tc>
          <w:tcPr>
            <w:tcW w:w="425" w:type="dxa"/>
            <w:shd w:val="solid" w:color="FFFFFF" w:fill="auto"/>
          </w:tcPr>
          <w:p w14:paraId="6EC60191" w14:textId="51EB060D"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3D36FBA1" w14:textId="72CE4051" w:rsidR="00CB6EDC" w:rsidRPr="00873B6C" w:rsidRDefault="00CB6EDC" w:rsidP="00F84AAF">
            <w:pPr>
              <w:pStyle w:val="TAL"/>
              <w:rPr>
                <w:sz w:val="16"/>
                <w:szCs w:val="16"/>
              </w:rPr>
            </w:pPr>
            <w:r w:rsidRPr="00873B6C">
              <w:rPr>
                <w:sz w:val="16"/>
                <w:szCs w:val="16"/>
              </w:rPr>
              <w:t>Align BSF NF profile in NRF (23.501) with BSF related information in NRF services (23.502)</w:t>
            </w:r>
          </w:p>
        </w:tc>
        <w:tc>
          <w:tcPr>
            <w:tcW w:w="708" w:type="dxa"/>
            <w:shd w:val="solid" w:color="FFFFFF" w:fill="auto"/>
          </w:tcPr>
          <w:p w14:paraId="01603552" w14:textId="77C53E96" w:rsidR="00CB6EDC" w:rsidRPr="00873B6C" w:rsidRDefault="00CB6EDC" w:rsidP="00F84AAF">
            <w:pPr>
              <w:pStyle w:val="TAC"/>
              <w:rPr>
                <w:sz w:val="16"/>
                <w:szCs w:val="16"/>
              </w:rPr>
            </w:pPr>
            <w:r w:rsidRPr="00873B6C">
              <w:rPr>
                <w:sz w:val="16"/>
                <w:szCs w:val="16"/>
              </w:rPr>
              <w:t>17.3.0</w:t>
            </w:r>
          </w:p>
        </w:tc>
      </w:tr>
      <w:tr w:rsidR="00CB6EDC" w:rsidRPr="00873B6C" w14:paraId="40EEBCAF" w14:textId="77777777" w:rsidTr="009D14FB">
        <w:tc>
          <w:tcPr>
            <w:tcW w:w="800" w:type="dxa"/>
            <w:shd w:val="solid" w:color="FFFFFF" w:fill="auto"/>
          </w:tcPr>
          <w:p w14:paraId="3749B290" w14:textId="21C94BC9"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2154171B" w14:textId="426D1910"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320723A7" w14:textId="0ED13E36" w:rsidR="00CB6EDC" w:rsidRPr="00873B6C" w:rsidRDefault="00CB6EDC" w:rsidP="00F84AAF">
            <w:pPr>
              <w:pStyle w:val="TAC"/>
              <w:rPr>
                <w:sz w:val="16"/>
                <w:szCs w:val="16"/>
              </w:rPr>
            </w:pPr>
            <w:r w:rsidRPr="00873B6C">
              <w:rPr>
                <w:sz w:val="16"/>
                <w:szCs w:val="16"/>
              </w:rPr>
              <w:t>SP-211284</w:t>
            </w:r>
          </w:p>
        </w:tc>
        <w:tc>
          <w:tcPr>
            <w:tcW w:w="567" w:type="dxa"/>
            <w:shd w:val="solid" w:color="FFFFFF" w:fill="auto"/>
          </w:tcPr>
          <w:p w14:paraId="56EF8406" w14:textId="3639B5CC" w:rsidR="00CB6EDC" w:rsidRPr="00873B6C" w:rsidRDefault="00CB6EDC" w:rsidP="00F84AAF">
            <w:pPr>
              <w:pStyle w:val="TAL"/>
              <w:rPr>
                <w:sz w:val="16"/>
                <w:szCs w:val="16"/>
              </w:rPr>
            </w:pPr>
            <w:r w:rsidRPr="00873B6C">
              <w:rPr>
                <w:sz w:val="16"/>
                <w:szCs w:val="16"/>
              </w:rPr>
              <w:t>3364</w:t>
            </w:r>
          </w:p>
        </w:tc>
        <w:tc>
          <w:tcPr>
            <w:tcW w:w="425" w:type="dxa"/>
            <w:shd w:val="solid" w:color="FFFFFF" w:fill="auto"/>
          </w:tcPr>
          <w:p w14:paraId="3DA8C986" w14:textId="22597404"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0F47F060" w14:textId="78E4F858"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55DD4C6B" w14:textId="53034F6C" w:rsidR="00CB6EDC" w:rsidRPr="00873B6C" w:rsidRDefault="00CB6EDC" w:rsidP="00F84AAF">
            <w:pPr>
              <w:pStyle w:val="TAL"/>
              <w:rPr>
                <w:sz w:val="16"/>
                <w:szCs w:val="16"/>
              </w:rPr>
            </w:pPr>
            <w:r w:rsidRPr="00873B6C">
              <w:rPr>
                <w:sz w:val="16"/>
                <w:szCs w:val="16"/>
              </w:rPr>
              <w:t>TA handling for moving cells in satellite access</w:t>
            </w:r>
          </w:p>
        </w:tc>
        <w:tc>
          <w:tcPr>
            <w:tcW w:w="708" w:type="dxa"/>
            <w:shd w:val="solid" w:color="FFFFFF" w:fill="auto"/>
          </w:tcPr>
          <w:p w14:paraId="25C991E5" w14:textId="0565A4EA" w:rsidR="00CB6EDC" w:rsidRPr="00873B6C" w:rsidRDefault="00CB6EDC" w:rsidP="00F84AAF">
            <w:pPr>
              <w:pStyle w:val="TAC"/>
              <w:rPr>
                <w:sz w:val="16"/>
                <w:szCs w:val="16"/>
              </w:rPr>
            </w:pPr>
            <w:r w:rsidRPr="00873B6C">
              <w:rPr>
                <w:sz w:val="16"/>
                <w:szCs w:val="16"/>
              </w:rPr>
              <w:t>17.3.0</w:t>
            </w:r>
          </w:p>
        </w:tc>
      </w:tr>
      <w:tr w:rsidR="00CB6EDC" w:rsidRPr="00873B6C" w14:paraId="7F9261F3" w14:textId="77777777" w:rsidTr="009D14FB">
        <w:tc>
          <w:tcPr>
            <w:tcW w:w="800" w:type="dxa"/>
            <w:shd w:val="solid" w:color="FFFFFF" w:fill="auto"/>
          </w:tcPr>
          <w:p w14:paraId="35C89781" w14:textId="2DC4A95B"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6B68F7DE" w14:textId="6CA1C81F"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34F9EED8" w14:textId="37EBB25D" w:rsidR="00CB6EDC" w:rsidRPr="00873B6C" w:rsidRDefault="00CB6EDC" w:rsidP="00F84AAF">
            <w:pPr>
              <w:pStyle w:val="TAC"/>
              <w:rPr>
                <w:sz w:val="16"/>
                <w:szCs w:val="16"/>
              </w:rPr>
            </w:pPr>
            <w:r w:rsidRPr="00873B6C">
              <w:rPr>
                <w:sz w:val="16"/>
                <w:szCs w:val="16"/>
              </w:rPr>
              <w:t>SP-211276</w:t>
            </w:r>
          </w:p>
        </w:tc>
        <w:tc>
          <w:tcPr>
            <w:tcW w:w="567" w:type="dxa"/>
            <w:shd w:val="solid" w:color="FFFFFF" w:fill="auto"/>
          </w:tcPr>
          <w:p w14:paraId="734C9D39" w14:textId="2988E1FC" w:rsidR="00CB6EDC" w:rsidRPr="00873B6C" w:rsidRDefault="00CB6EDC" w:rsidP="00F84AAF">
            <w:pPr>
              <w:pStyle w:val="TAL"/>
              <w:rPr>
                <w:sz w:val="16"/>
                <w:szCs w:val="16"/>
              </w:rPr>
            </w:pPr>
            <w:r w:rsidRPr="00873B6C">
              <w:rPr>
                <w:sz w:val="16"/>
                <w:szCs w:val="16"/>
              </w:rPr>
              <w:t>3366</w:t>
            </w:r>
          </w:p>
        </w:tc>
        <w:tc>
          <w:tcPr>
            <w:tcW w:w="425" w:type="dxa"/>
            <w:shd w:val="solid" w:color="FFFFFF" w:fill="auto"/>
          </w:tcPr>
          <w:p w14:paraId="5D387BDB" w14:textId="096DD91F" w:rsidR="00CB6EDC" w:rsidRPr="00873B6C" w:rsidRDefault="00CB6EDC" w:rsidP="00F84AAF">
            <w:pPr>
              <w:pStyle w:val="TAL"/>
              <w:rPr>
                <w:sz w:val="16"/>
                <w:szCs w:val="16"/>
              </w:rPr>
            </w:pPr>
            <w:r w:rsidRPr="00873B6C">
              <w:rPr>
                <w:sz w:val="16"/>
                <w:szCs w:val="16"/>
              </w:rPr>
              <w:t>-</w:t>
            </w:r>
          </w:p>
        </w:tc>
        <w:tc>
          <w:tcPr>
            <w:tcW w:w="425" w:type="dxa"/>
            <w:shd w:val="solid" w:color="FFFFFF" w:fill="auto"/>
          </w:tcPr>
          <w:p w14:paraId="5AF46CFA" w14:textId="6E30AF56" w:rsidR="00CB6EDC" w:rsidRPr="00873B6C" w:rsidRDefault="00CB6EDC" w:rsidP="00F84AAF">
            <w:pPr>
              <w:pStyle w:val="TAL"/>
              <w:rPr>
                <w:sz w:val="16"/>
                <w:szCs w:val="16"/>
              </w:rPr>
            </w:pPr>
            <w:r w:rsidRPr="00873B6C">
              <w:rPr>
                <w:sz w:val="16"/>
                <w:szCs w:val="16"/>
              </w:rPr>
              <w:t>A</w:t>
            </w:r>
          </w:p>
        </w:tc>
        <w:tc>
          <w:tcPr>
            <w:tcW w:w="4820" w:type="dxa"/>
            <w:shd w:val="solid" w:color="FFFFFF" w:fill="auto"/>
          </w:tcPr>
          <w:p w14:paraId="6E05ACA7" w14:textId="4F847DAD" w:rsidR="00CB6EDC" w:rsidRPr="00873B6C" w:rsidRDefault="00CB6EDC" w:rsidP="00F84AAF">
            <w:pPr>
              <w:pStyle w:val="TAL"/>
              <w:rPr>
                <w:sz w:val="16"/>
                <w:szCs w:val="16"/>
              </w:rPr>
            </w:pPr>
            <w:r w:rsidRPr="00873B6C">
              <w:rPr>
                <w:sz w:val="16"/>
                <w:szCs w:val="16"/>
              </w:rPr>
              <w:t>V-SMF change at inter-PLMN mobility</w:t>
            </w:r>
          </w:p>
        </w:tc>
        <w:tc>
          <w:tcPr>
            <w:tcW w:w="708" w:type="dxa"/>
            <w:shd w:val="solid" w:color="FFFFFF" w:fill="auto"/>
          </w:tcPr>
          <w:p w14:paraId="6ABD69D8" w14:textId="7EA77756" w:rsidR="00CB6EDC" w:rsidRPr="00873B6C" w:rsidRDefault="00CB6EDC" w:rsidP="00F84AAF">
            <w:pPr>
              <w:pStyle w:val="TAC"/>
              <w:rPr>
                <w:sz w:val="16"/>
                <w:szCs w:val="16"/>
              </w:rPr>
            </w:pPr>
            <w:r w:rsidRPr="00873B6C">
              <w:rPr>
                <w:sz w:val="16"/>
                <w:szCs w:val="16"/>
              </w:rPr>
              <w:t>17.3.0</w:t>
            </w:r>
          </w:p>
        </w:tc>
      </w:tr>
      <w:tr w:rsidR="0053150F" w:rsidRPr="00873B6C" w14:paraId="36A256B2" w14:textId="77777777" w:rsidTr="009D14FB">
        <w:tc>
          <w:tcPr>
            <w:tcW w:w="800" w:type="dxa"/>
            <w:shd w:val="solid" w:color="FFFFFF" w:fill="auto"/>
          </w:tcPr>
          <w:p w14:paraId="0177E9D8" w14:textId="0CE4B885"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052B332" w14:textId="3D876F3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FB17A0E" w14:textId="79AD4ABC" w:rsidR="0053150F" w:rsidRPr="00873B6C" w:rsidRDefault="0053150F" w:rsidP="00F84AAF">
            <w:pPr>
              <w:pStyle w:val="TAC"/>
              <w:rPr>
                <w:sz w:val="16"/>
                <w:szCs w:val="16"/>
              </w:rPr>
            </w:pPr>
            <w:r w:rsidRPr="00873B6C">
              <w:rPr>
                <w:sz w:val="16"/>
                <w:szCs w:val="16"/>
              </w:rPr>
              <w:t>SP-211283</w:t>
            </w:r>
          </w:p>
        </w:tc>
        <w:tc>
          <w:tcPr>
            <w:tcW w:w="567" w:type="dxa"/>
            <w:shd w:val="solid" w:color="FFFFFF" w:fill="auto"/>
          </w:tcPr>
          <w:p w14:paraId="46A437E3" w14:textId="220D65AF" w:rsidR="0053150F" w:rsidRPr="00873B6C" w:rsidRDefault="0053150F" w:rsidP="00F84AAF">
            <w:pPr>
              <w:pStyle w:val="TAL"/>
              <w:rPr>
                <w:sz w:val="16"/>
                <w:szCs w:val="16"/>
              </w:rPr>
            </w:pPr>
            <w:r w:rsidRPr="00873B6C">
              <w:rPr>
                <w:sz w:val="16"/>
                <w:szCs w:val="16"/>
              </w:rPr>
              <w:t>3367</w:t>
            </w:r>
          </w:p>
        </w:tc>
        <w:tc>
          <w:tcPr>
            <w:tcW w:w="425" w:type="dxa"/>
            <w:shd w:val="solid" w:color="FFFFFF" w:fill="auto"/>
          </w:tcPr>
          <w:p w14:paraId="2500E046" w14:textId="3DC07001"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2DA8AAFB" w14:textId="7B001349"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3AB438F3" w14:textId="5A11FFD8" w:rsidR="0053150F" w:rsidRPr="00873B6C" w:rsidRDefault="0053150F" w:rsidP="00F84AAF">
            <w:pPr>
              <w:pStyle w:val="TAL"/>
              <w:rPr>
                <w:sz w:val="16"/>
                <w:szCs w:val="16"/>
              </w:rPr>
            </w:pPr>
            <w:r w:rsidRPr="00873B6C">
              <w:rPr>
                <w:sz w:val="16"/>
                <w:szCs w:val="16"/>
              </w:rPr>
              <w:t>NG-RAN location report clarification in RRC Inactive</w:t>
            </w:r>
          </w:p>
        </w:tc>
        <w:tc>
          <w:tcPr>
            <w:tcW w:w="708" w:type="dxa"/>
            <w:shd w:val="solid" w:color="FFFFFF" w:fill="auto"/>
          </w:tcPr>
          <w:p w14:paraId="2EF98CFB" w14:textId="43DFF048" w:rsidR="0053150F" w:rsidRPr="00873B6C" w:rsidRDefault="0053150F" w:rsidP="00F84AAF">
            <w:pPr>
              <w:pStyle w:val="TAC"/>
              <w:rPr>
                <w:sz w:val="16"/>
                <w:szCs w:val="16"/>
              </w:rPr>
            </w:pPr>
            <w:r w:rsidRPr="00873B6C">
              <w:rPr>
                <w:sz w:val="16"/>
                <w:szCs w:val="16"/>
              </w:rPr>
              <w:t>17.3.0</w:t>
            </w:r>
          </w:p>
        </w:tc>
      </w:tr>
      <w:tr w:rsidR="0053150F" w:rsidRPr="00873B6C" w14:paraId="56D5750B" w14:textId="77777777" w:rsidTr="009D14FB">
        <w:tc>
          <w:tcPr>
            <w:tcW w:w="800" w:type="dxa"/>
            <w:shd w:val="solid" w:color="FFFFFF" w:fill="auto"/>
          </w:tcPr>
          <w:p w14:paraId="33B4C56F" w14:textId="55F807F4"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3906F5DC" w14:textId="2755F721"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B12DE26" w14:textId="7C152099" w:rsidR="0053150F" w:rsidRPr="00873B6C" w:rsidRDefault="0053150F" w:rsidP="00F84AAF">
            <w:pPr>
              <w:pStyle w:val="TAC"/>
              <w:rPr>
                <w:sz w:val="16"/>
                <w:szCs w:val="16"/>
              </w:rPr>
            </w:pPr>
            <w:r w:rsidRPr="00873B6C">
              <w:rPr>
                <w:sz w:val="16"/>
                <w:szCs w:val="16"/>
              </w:rPr>
              <w:t>SP-211294</w:t>
            </w:r>
          </w:p>
        </w:tc>
        <w:tc>
          <w:tcPr>
            <w:tcW w:w="567" w:type="dxa"/>
            <w:shd w:val="solid" w:color="FFFFFF" w:fill="auto"/>
          </w:tcPr>
          <w:p w14:paraId="7DE140DA" w14:textId="7E9721CD" w:rsidR="0053150F" w:rsidRPr="00873B6C" w:rsidRDefault="0053150F" w:rsidP="00F84AAF">
            <w:pPr>
              <w:pStyle w:val="TAL"/>
              <w:rPr>
                <w:sz w:val="16"/>
                <w:szCs w:val="16"/>
              </w:rPr>
            </w:pPr>
            <w:r w:rsidRPr="00873B6C">
              <w:rPr>
                <w:sz w:val="16"/>
                <w:szCs w:val="16"/>
              </w:rPr>
              <w:t>3373</w:t>
            </w:r>
          </w:p>
        </w:tc>
        <w:tc>
          <w:tcPr>
            <w:tcW w:w="425" w:type="dxa"/>
            <w:shd w:val="solid" w:color="FFFFFF" w:fill="auto"/>
          </w:tcPr>
          <w:p w14:paraId="4581DE5C" w14:textId="0D4A8C03"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223C504E" w14:textId="5237466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EE194DA" w14:textId="3FE7D263" w:rsidR="0053150F" w:rsidRPr="00873B6C" w:rsidRDefault="0053150F" w:rsidP="00F84AAF">
            <w:pPr>
              <w:pStyle w:val="TAL"/>
              <w:rPr>
                <w:sz w:val="16"/>
                <w:szCs w:val="16"/>
              </w:rPr>
            </w:pPr>
            <w:r w:rsidRPr="00873B6C">
              <w:rPr>
                <w:sz w:val="16"/>
                <w:szCs w:val="16"/>
              </w:rPr>
              <w:t>Corrections for CH using AUSF/UDM</w:t>
            </w:r>
          </w:p>
        </w:tc>
        <w:tc>
          <w:tcPr>
            <w:tcW w:w="708" w:type="dxa"/>
            <w:shd w:val="solid" w:color="FFFFFF" w:fill="auto"/>
          </w:tcPr>
          <w:p w14:paraId="2F186B34" w14:textId="359A4BD2" w:rsidR="0053150F" w:rsidRPr="00873B6C" w:rsidRDefault="0053150F" w:rsidP="00F84AAF">
            <w:pPr>
              <w:pStyle w:val="TAC"/>
              <w:rPr>
                <w:sz w:val="16"/>
                <w:szCs w:val="16"/>
              </w:rPr>
            </w:pPr>
            <w:r w:rsidRPr="00873B6C">
              <w:rPr>
                <w:sz w:val="16"/>
                <w:szCs w:val="16"/>
              </w:rPr>
              <w:t>17.3.0</w:t>
            </w:r>
          </w:p>
        </w:tc>
      </w:tr>
      <w:tr w:rsidR="0053150F" w:rsidRPr="00873B6C" w14:paraId="1ED98728" w14:textId="77777777" w:rsidTr="009D14FB">
        <w:tc>
          <w:tcPr>
            <w:tcW w:w="800" w:type="dxa"/>
            <w:shd w:val="solid" w:color="FFFFFF" w:fill="auto"/>
          </w:tcPr>
          <w:p w14:paraId="4BCBF98C" w14:textId="1A22CE65"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6B315636" w14:textId="4454A965"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EC5341A" w14:textId="6E8F267E" w:rsidR="0053150F" w:rsidRPr="00873B6C" w:rsidRDefault="0053150F" w:rsidP="00F84AAF">
            <w:pPr>
              <w:pStyle w:val="TAC"/>
              <w:rPr>
                <w:sz w:val="16"/>
                <w:szCs w:val="16"/>
              </w:rPr>
            </w:pPr>
            <w:r w:rsidRPr="00873B6C">
              <w:rPr>
                <w:sz w:val="16"/>
                <w:szCs w:val="16"/>
              </w:rPr>
              <w:t>SP-211294</w:t>
            </w:r>
          </w:p>
        </w:tc>
        <w:tc>
          <w:tcPr>
            <w:tcW w:w="567" w:type="dxa"/>
            <w:shd w:val="solid" w:color="FFFFFF" w:fill="auto"/>
          </w:tcPr>
          <w:p w14:paraId="4E6CA53B" w14:textId="353F93C8" w:rsidR="0053150F" w:rsidRPr="00873B6C" w:rsidRDefault="0053150F" w:rsidP="00F84AAF">
            <w:pPr>
              <w:pStyle w:val="TAL"/>
              <w:rPr>
                <w:sz w:val="16"/>
                <w:szCs w:val="16"/>
              </w:rPr>
            </w:pPr>
            <w:r w:rsidRPr="00873B6C">
              <w:rPr>
                <w:sz w:val="16"/>
                <w:szCs w:val="16"/>
              </w:rPr>
              <w:t>3374</w:t>
            </w:r>
          </w:p>
        </w:tc>
        <w:tc>
          <w:tcPr>
            <w:tcW w:w="425" w:type="dxa"/>
            <w:shd w:val="solid" w:color="FFFFFF" w:fill="auto"/>
          </w:tcPr>
          <w:p w14:paraId="390BB5D4" w14:textId="3C046015"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114B675A" w14:textId="499C35D4"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4C8994D" w14:textId="415BE03A" w:rsidR="0053150F" w:rsidRPr="00873B6C" w:rsidRDefault="0053150F" w:rsidP="00F84AAF">
            <w:pPr>
              <w:pStyle w:val="TAL"/>
              <w:rPr>
                <w:sz w:val="16"/>
                <w:szCs w:val="16"/>
              </w:rPr>
            </w:pPr>
            <w:r w:rsidRPr="00873B6C">
              <w:rPr>
                <w:sz w:val="16"/>
                <w:szCs w:val="16"/>
              </w:rPr>
              <w:t>Correction to AMF Onboarding Configuration Data</w:t>
            </w:r>
          </w:p>
        </w:tc>
        <w:tc>
          <w:tcPr>
            <w:tcW w:w="708" w:type="dxa"/>
            <w:shd w:val="solid" w:color="FFFFFF" w:fill="auto"/>
          </w:tcPr>
          <w:p w14:paraId="6EADDBE3" w14:textId="47A14146" w:rsidR="0053150F" w:rsidRPr="00873B6C" w:rsidRDefault="0053150F" w:rsidP="00F84AAF">
            <w:pPr>
              <w:pStyle w:val="TAC"/>
              <w:rPr>
                <w:sz w:val="16"/>
                <w:szCs w:val="16"/>
              </w:rPr>
            </w:pPr>
            <w:r w:rsidRPr="00873B6C">
              <w:rPr>
                <w:sz w:val="16"/>
                <w:szCs w:val="16"/>
              </w:rPr>
              <w:t>17.3.0</w:t>
            </w:r>
          </w:p>
        </w:tc>
      </w:tr>
      <w:tr w:rsidR="0053150F" w:rsidRPr="00873B6C" w14:paraId="0D1CC953" w14:textId="77777777" w:rsidTr="009D14FB">
        <w:tc>
          <w:tcPr>
            <w:tcW w:w="800" w:type="dxa"/>
            <w:shd w:val="solid" w:color="FFFFFF" w:fill="auto"/>
          </w:tcPr>
          <w:p w14:paraId="20367E0A" w14:textId="24643FDC"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658E0625" w14:textId="34F29212"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148EA258" w14:textId="5F746288"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3EF6C8D5" w14:textId="72C76F01" w:rsidR="0053150F" w:rsidRPr="00873B6C" w:rsidRDefault="0053150F" w:rsidP="00F84AAF">
            <w:pPr>
              <w:pStyle w:val="TAL"/>
              <w:rPr>
                <w:sz w:val="16"/>
                <w:szCs w:val="16"/>
              </w:rPr>
            </w:pPr>
            <w:r w:rsidRPr="00873B6C">
              <w:rPr>
                <w:sz w:val="16"/>
                <w:szCs w:val="16"/>
              </w:rPr>
              <w:t>3375</w:t>
            </w:r>
          </w:p>
        </w:tc>
        <w:tc>
          <w:tcPr>
            <w:tcW w:w="425" w:type="dxa"/>
            <w:shd w:val="solid" w:color="FFFFFF" w:fill="auto"/>
          </w:tcPr>
          <w:p w14:paraId="1C837C6E" w14:textId="0B0E8FC7" w:rsidR="0053150F" w:rsidRPr="00873B6C" w:rsidRDefault="0053150F" w:rsidP="00F84AAF">
            <w:pPr>
              <w:pStyle w:val="TAL"/>
              <w:rPr>
                <w:sz w:val="16"/>
                <w:szCs w:val="16"/>
              </w:rPr>
            </w:pPr>
            <w:r w:rsidRPr="00873B6C">
              <w:rPr>
                <w:sz w:val="16"/>
                <w:szCs w:val="16"/>
              </w:rPr>
              <w:t>2</w:t>
            </w:r>
          </w:p>
        </w:tc>
        <w:tc>
          <w:tcPr>
            <w:tcW w:w="425" w:type="dxa"/>
            <w:shd w:val="solid" w:color="FFFFFF" w:fill="auto"/>
          </w:tcPr>
          <w:p w14:paraId="7B4954C2" w14:textId="6B896AA3"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7459DA6" w14:textId="7BAB28D4" w:rsidR="0053150F" w:rsidRPr="00873B6C" w:rsidRDefault="0053150F" w:rsidP="00F84AAF">
            <w:pPr>
              <w:pStyle w:val="TAL"/>
              <w:rPr>
                <w:sz w:val="16"/>
                <w:szCs w:val="16"/>
              </w:rPr>
            </w:pPr>
            <w:r w:rsidRPr="00873B6C">
              <w:rPr>
                <w:sz w:val="16"/>
                <w:szCs w:val="16"/>
              </w:rPr>
              <w:t>23.501: TSCTSF Discovery and Selection</w:t>
            </w:r>
          </w:p>
        </w:tc>
        <w:tc>
          <w:tcPr>
            <w:tcW w:w="708" w:type="dxa"/>
            <w:shd w:val="solid" w:color="FFFFFF" w:fill="auto"/>
          </w:tcPr>
          <w:p w14:paraId="54BDB6DB" w14:textId="0D637FDA" w:rsidR="0053150F" w:rsidRPr="00873B6C" w:rsidRDefault="0053150F" w:rsidP="00F84AAF">
            <w:pPr>
              <w:pStyle w:val="TAC"/>
              <w:rPr>
                <w:sz w:val="16"/>
                <w:szCs w:val="16"/>
              </w:rPr>
            </w:pPr>
            <w:r w:rsidRPr="00873B6C">
              <w:rPr>
                <w:sz w:val="16"/>
                <w:szCs w:val="16"/>
              </w:rPr>
              <w:t>17.3.0</w:t>
            </w:r>
          </w:p>
        </w:tc>
      </w:tr>
      <w:tr w:rsidR="0053150F" w:rsidRPr="00873B6C" w14:paraId="648898A2" w14:textId="77777777" w:rsidTr="009D14FB">
        <w:tc>
          <w:tcPr>
            <w:tcW w:w="800" w:type="dxa"/>
            <w:shd w:val="solid" w:color="FFFFFF" w:fill="auto"/>
          </w:tcPr>
          <w:p w14:paraId="20C1CCC0" w14:textId="67545A90"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45D8B119" w14:textId="2A232CBE"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50EF3A3" w14:textId="4B6A0B82" w:rsidR="0053150F" w:rsidRPr="00873B6C" w:rsidRDefault="0053150F" w:rsidP="00F84AAF">
            <w:pPr>
              <w:pStyle w:val="TAC"/>
              <w:rPr>
                <w:sz w:val="16"/>
                <w:szCs w:val="16"/>
              </w:rPr>
            </w:pPr>
            <w:r w:rsidRPr="00873B6C">
              <w:rPr>
                <w:sz w:val="16"/>
                <w:szCs w:val="16"/>
              </w:rPr>
              <w:t>SP-211284</w:t>
            </w:r>
          </w:p>
        </w:tc>
        <w:tc>
          <w:tcPr>
            <w:tcW w:w="567" w:type="dxa"/>
            <w:shd w:val="solid" w:color="FFFFFF" w:fill="auto"/>
          </w:tcPr>
          <w:p w14:paraId="49A568BD" w14:textId="3A8754C3" w:rsidR="0053150F" w:rsidRPr="00873B6C" w:rsidRDefault="0053150F" w:rsidP="00F84AAF">
            <w:pPr>
              <w:pStyle w:val="TAL"/>
              <w:rPr>
                <w:sz w:val="16"/>
                <w:szCs w:val="16"/>
              </w:rPr>
            </w:pPr>
            <w:r w:rsidRPr="00873B6C">
              <w:rPr>
                <w:sz w:val="16"/>
                <w:szCs w:val="16"/>
              </w:rPr>
              <w:t>3376</w:t>
            </w:r>
          </w:p>
        </w:tc>
        <w:tc>
          <w:tcPr>
            <w:tcW w:w="425" w:type="dxa"/>
            <w:shd w:val="solid" w:color="FFFFFF" w:fill="auto"/>
          </w:tcPr>
          <w:p w14:paraId="69B00129" w14:textId="40CDC97B"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20296E51" w14:textId="5D18028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079ECE5" w14:textId="2FAF3811" w:rsidR="0053150F" w:rsidRPr="00873B6C" w:rsidRDefault="0053150F" w:rsidP="00F84AAF">
            <w:pPr>
              <w:pStyle w:val="TAL"/>
              <w:rPr>
                <w:sz w:val="16"/>
                <w:szCs w:val="16"/>
              </w:rPr>
            </w:pPr>
            <w:r w:rsidRPr="00873B6C">
              <w:rPr>
                <w:sz w:val="16"/>
                <w:szCs w:val="16"/>
              </w:rPr>
              <w:t>Clarification on IAB support for NR satellite access</w:t>
            </w:r>
          </w:p>
        </w:tc>
        <w:tc>
          <w:tcPr>
            <w:tcW w:w="708" w:type="dxa"/>
            <w:shd w:val="solid" w:color="FFFFFF" w:fill="auto"/>
          </w:tcPr>
          <w:p w14:paraId="1081F45F" w14:textId="701B4564" w:rsidR="0053150F" w:rsidRPr="00873B6C" w:rsidRDefault="0053150F" w:rsidP="00F84AAF">
            <w:pPr>
              <w:pStyle w:val="TAC"/>
              <w:rPr>
                <w:sz w:val="16"/>
                <w:szCs w:val="16"/>
              </w:rPr>
            </w:pPr>
            <w:r w:rsidRPr="00873B6C">
              <w:rPr>
                <w:sz w:val="16"/>
                <w:szCs w:val="16"/>
              </w:rPr>
              <w:t>17.3.0</w:t>
            </w:r>
          </w:p>
        </w:tc>
      </w:tr>
      <w:tr w:rsidR="0053150F" w:rsidRPr="00873B6C" w14:paraId="4E4A842E" w14:textId="77777777" w:rsidTr="009D14FB">
        <w:tc>
          <w:tcPr>
            <w:tcW w:w="800" w:type="dxa"/>
            <w:shd w:val="solid" w:color="FFFFFF" w:fill="auto"/>
          </w:tcPr>
          <w:p w14:paraId="64C4F4D3" w14:textId="1BBDBD7E"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2F13B0F" w14:textId="591B4A03"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B73AAAF" w14:textId="464DF997" w:rsidR="0053150F" w:rsidRPr="00873B6C" w:rsidRDefault="0053150F" w:rsidP="00F84AAF">
            <w:pPr>
              <w:pStyle w:val="TAC"/>
              <w:rPr>
                <w:sz w:val="16"/>
                <w:szCs w:val="16"/>
              </w:rPr>
            </w:pPr>
            <w:r w:rsidRPr="00873B6C">
              <w:rPr>
                <w:sz w:val="16"/>
                <w:szCs w:val="16"/>
              </w:rPr>
              <w:t>SP-211282</w:t>
            </w:r>
          </w:p>
        </w:tc>
        <w:tc>
          <w:tcPr>
            <w:tcW w:w="567" w:type="dxa"/>
            <w:shd w:val="solid" w:color="FFFFFF" w:fill="auto"/>
          </w:tcPr>
          <w:p w14:paraId="0F67B559" w14:textId="79FF1594" w:rsidR="0053150F" w:rsidRPr="00873B6C" w:rsidRDefault="0053150F" w:rsidP="00F84AAF">
            <w:pPr>
              <w:pStyle w:val="TAL"/>
              <w:rPr>
                <w:sz w:val="16"/>
                <w:szCs w:val="16"/>
              </w:rPr>
            </w:pPr>
            <w:r w:rsidRPr="00873B6C">
              <w:rPr>
                <w:sz w:val="16"/>
                <w:szCs w:val="16"/>
              </w:rPr>
              <w:t>3378</w:t>
            </w:r>
          </w:p>
        </w:tc>
        <w:tc>
          <w:tcPr>
            <w:tcW w:w="425" w:type="dxa"/>
            <w:shd w:val="solid" w:color="FFFFFF" w:fill="auto"/>
          </w:tcPr>
          <w:p w14:paraId="18A4CC89" w14:textId="77EE2090"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54755E7" w14:textId="6E87B18F"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CB71FE4" w14:textId="16E64717" w:rsidR="0053150F" w:rsidRPr="00873B6C" w:rsidRDefault="0053150F" w:rsidP="00F84AAF">
            <w:pPr>
              <w:pStyle w:val="TAL"/>
              <w:rPr>
                <w:sz w:val="16"/>
                <w:szCs w:val="16"/>
              </w:rPr>
            </w:pPr>
            <w:r w:rsidRPr="00873B6C">
              <w:rPr>
                <w:sz w:val="16"/>
                <w:szCs w:val="16"/>
              </w:rPr>
              <w:t>Fix reference for Naf_ProSe</w:t>
            </w:r>
          </w:p>
        </w:tc>
        <w:tc>
          <w:tcPr>
            <w:tcW w:w="708" w:type="dxa"/>
            <w:shd w:val="solid" w:color="FFFFFF" w:fill="auto"/>
          </w:tcPr>
          <w:p w14:paraId="384F1E4F" w14:textId="53829E91" w:rsidR="0053150F" w:rsidRPr="00873B6C" w:rsidRDefault="0053150F" w:rsidP="00F84AAF">
            <w:pPr>
              <w:pStyle w:val="TAC"/>
              <w:rPr>
                <w:sz w:val="16"/>
                <w:szCs w:val="16"/>
              </w:rPr>
            </w:pPr>
            <w:r w:rsidRPr="00873B6C">
              <w:rPr>
                <w:sz w:val="16"/>
                <w:szCs w:val="16"/>
              </w:rPr>
              <w:t>17.3.0</w:t>
            </w:r>
          </w:p>
        </w:tc>
      </w:tr>
      <w:tr w:rsidR="0053150F" w:rsidRPr="00873B6C" w14:paraId="5E66B185" w14:textId="77777777" w:rsidTr="009D14FB">
        <w:tc>
          <w:tcPr>
            <w:tcW w:w="800" w:type="dxa"/>
            <w:shd w:val="solid" w:color="FFFFFF" w:fill="auto"/>
          </w:tcPr>
          <w:p w14:paraId="0F14E7B5" w14:textId="24B511C9"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3009B5EA" w14:textId="5178170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7F949D75" w14:textId="7FE356C3" w:rsidR="0053150F" w:rsidRPr="00873B6C" w:rsidRDefault="0053150F" w:rsidP="00F84AAF">
            <w:pPr>
              <w:pStyle w:val="TAC"/>
              <w:rPr>
                <w:sz w:val="16"/>
                <w:szCs w:val="16"/>
              </w:rPr>
            </w:pPr>
            <w:r w:rsidRPr="00873B6C">
              <w:rPr>
                <w:sz w:val="16"/>
                <w:szCs w:val="16"/>
              </w:rPr>
              <w:t>SP-211284</w:t>
            </w:r>
          </w:p>
        </w:tc>
        <w:tc>
          <w:tcPr>
            <w:tcW w:w="567" w:type="dxa"/>
            <w:shd w:val="solid" w:color="FFFFFF" w:fill="auto"/>
          </w:tcPr>
          <w:p w14:paraId="03698E57" w14:textId="385A6DAE" w:rsidR="0053150F" w:rsidRPr="00873B6C" w:rsidRDefault="0053150F" w:rsidP="00F84AAF">
            <w:pPr>
              <w:pStyle w:val="TAL"/>
              <w:rPr>
                <w:sz w:val="16"/>
                <w:szCs w:val="16"/>
              </w:rPr>
            </w:pPr>
            <w:r w:rsidRPr="00873B6C">
              <w:rPr>
                <w:sz w:val="16"/>
                <w:szCs w:val="16"/>
              </w:rPr>
              <w:t>3379</w:t>
            </w:r>
          </w:p>
        </w:tc>
        <w:tc>
          <w:tcPr>
            <w:tcW w:w="425" w:type="dxa"/>
            <w:shd w:val="solid" w:color="FFFFFF" w:fill="auto"/>
          </w:tcPr>
          <w:p w14:paraId="03864466" w14:textId="11B74AF8"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50FAB7A6" w14:textId="55E389B2" w:rsidR="0053150F" w:rsidRPr="00873B6C" w:rsidRDefault="0053150F" w:rsidP="00F84AAF">
            <w:pPr>
              <w:pStyle w:val="TAL"/>
              <w:rPr>
                <w:sz w:val="16"/>
                <w:szCs w:val="16"/>
              </w:rPr>
            </w:pPr>
            <w:r w:rsidRPr="00873B6C">
              <w:rPr>
                <w:sz w:val="16"/>
                <w:szCs w:val="16"/>
              </w:rPr>
              <w:t>B</w:t>
            </w:r>
          </w:p>
        </w:tc>
        <w:tc>
          <w:tcPr>
            <w:tcW w:w="4820" w:type="dxa"/>
            <w:shd w:val="solid" w:color="FFFFFF" w:fill="auto"/>
          </w:tcPr>
          <w:p w14:paraId="3D6436CB" w14:textId="7A0E7B51" w:rsidR="0053150F" w:rsidRPr="00873B6C" w:rsidRDefault="0053150F" w:rsidP="00F84AAF">
            <w:pPr>
              <w:pStyle w:val="TAL"/>
              <w:rPr>
                <w:sz w:val="16"/>
                <w:szCs w:val="16"/>
              </w:rPr>
            </w:pPr>
            <w:r w:rsidRPr="00873B6C">
              <w:rPr>
                <w:sz w:val="16"/>
                <w:szCs w:val="16"/>
              </w:rPr>
              <w:t>Indicating a last visited TAI in a Registration for NR Satellite Access</w:t>
            </w:r>
          </w:p>
        </w:tc>
        <w:tc>
          <w:tcPr>
            <w:tcW w:w="708" w:type="dxa"/>
            <w:shd w:val="solid" w:color="FFFFFF" w:fill="auto"/>
          </w:tcPr>
          <w:p w14:paraId="4896DB45" w14:textId="1DD4D234" w:rsidR="0053150F" w:rsidRPr="00873B6C" w:rsidRDefault="0053150F" w:rsidP="00F84AAF">
            <w:pPr>
              <w:pStyle w:val="TAC"/>
              <w:rPr>
                <w:sz w:val="16"/>
                <w:szCs w:val="16"/>
              </w:rPr>
            </w:pPr>
            <w:r w:rsidRPr="00873B6C">
              <w:rPr>
                <w:sz w:val="16"/>
                <w:szCs w:val="16"/>
              </w:rPr>
              <w:t>17.3.0</w:t>
            </w:r>
          </w:p>
        </w:tc>
      </w:tr>
      <w:tr w:rsidR="0053150F" w:rsidRPr="00873B6C" w14:paraId="2D63BDDB" w14:textId="77777777" w:rsidTr="009D14FB">
        <w:tc>
          <w:tcPr>
            <w:tcW w:w="800" w:type="dxa"/>
            <w:shd w:val="solid" w:color="FFFFFF" w:fill="auto"/>
          </w:tcPr>
          <w:p w14:paraId="4533FBE2" w14:textId="66773F5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652D8DA" w14:textId="07C5E312"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3561589" w14:textId="15F7861B" w:rsidR="0053150F" w:rsidRPr="00873B6C" w:rsidRDefault="0053150F" w:rsidP="00F84AAF">
            <w:pPr>
              <w:pStyle w:val="TAC"/>
              <w:rPr>
                <w:sz w:val="16"/>
                <w:szCs w:val="16"/>
              </w:rPr>
            </w:pPr>
            <w:r w:rsidRPr="00873B6C">
              <w:rPr>
                <w:sz w:val="16"/>
                <w:szCs w:val="16"/>
              </w:rPr>
              <w:t>SP-211304</w:t>
            </w:r>
          </w:p>
        </w:tc>
        <w:tc>
          <w:tcPr>
            <w:tcW w:w="567" w:type="dxa"/>
            <w:shd w:val="solid" w:color="FFFFFF" w:fill="auto"/>
          </w:tcPr>
          <w:p w14:paraId="788509CC" w14:textId="01CAAB63" w:rsidR="0053150F" w:rsidRPr="00873B6C" w:rsidRDefault="0053150F" w:rsidP="00F84AAF">
            <w:pPr>
              <w:pStyle w:val="TAL"/>
              <w:rPr>
                <w:sz w:val="16"/>
                <w:szCs w:val="16"/>
              </w:rPr>
            </w:pPr>
            <w:r w:rsidRPr="00873B6C">
              <w:rPr>
                <w:sz w:val="16"/>
                <w:szCs w:val="16"/>
              </w:rPr>
              <w:t>3382</w:t>
            </w:r>
          </w:p>
        </w:tc>
        <w:tc>
          <w:tcPr>
            <w:tcW w:w="425" w:type="dxa"/>
            <w:shd w:val="solid" w:color="FFFFFF" w:fill="auto"/>
          </w:tcPr>
          <w:p w14:paraId="22D5DFEE" w14:textId="27E507F3"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1FC7B04" w14:textId="6DB92751"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E07FBDA" w14:textId="15D43A33" w:rsidR="0053150F" w:rsidRPr="00873B6C" w:rsidRDefault="0053150F" w:rsidP="00F84AAF">
            <w:pPr>
              <w:pStyle w:val="TAL"/>
              <w:rPr>
                <w:sz w:val="16"/>
                <w:szCs w:val="16"/>
              </w:rPr>
            </w:pPr>
            <w:r w:rsidRPr="00873B6C">
              <w:rPr>
                <w:sz w:val="16"/>
                <w:szCs w:val="16"/>
              </w:rPr>
              <w:t>Supplementation of L2TP tunnel applicable scenario</w:t>
            </w:r>
          </w:p>
        </w:tc>
        <w:tc>
          <w:tcPr>
            <w:tcW w:w="708" w:type="dxa"/>
            <w:shd w:val="solid" w:color="FFFFFF" w:fill="auto"/>
          </w:tcPr>
          <w:p w14:paraId="2355CB44" w14:textId="29443ACE" w:rsidR="0053150F" w:rsidRPr="00873B6C" w:rsidRDefault="0053150F" w:rsidP="00F84AAF">
            <w:pPr>
              <w:pStyle w:val="TAC"/>
              <w:rPr>
                <w:sz w:val="16"/>
                <w:szCs w:val="16"/>
              </w:rPr>
            </w:pPr>
            <w:r w:rsidRPr="00873B6C">
              <w:rPr>
                <w:sz w:val="16"/>
                <w:szCs w:val="16"/>
              </w:rPr>
              <w:t>17.3.0</w:t>
            </w:r>
          </w:p>
        </w:tc>
      </w:tr>
      <w:tr w:rsidR="0053150F" w:rsidRPr="00873B6C" w14:paraId="27968D54" w14:textId="77777777" w:rsidTr="009D14FB">
        <w:tc>
          <w:tcPr>
            <w:tcW w:w="800" w:type="dxa"/>
            <w:shd w:val="solid" w:color="FFFFFF" w:fill="auto"/>
          </w:tcPr>
          <w:p w14:paraId="36C34271" w14:textId="55B88E61"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BD8C968" w14:textId="243B084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6B38B40" w14:textId="62844276"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70F1E273" w14:textId="3AA4A1AE" w:rsidR="0053150F" w:rsidRPr="00873B6C" w:rsidRDefault="0053150F" w:rsidP="00F84AAF">
            <w:pPr>
              <w:pStyle w:val="TAL"/>
              <w:rPr>
                <w:sz w:val="16"/>
                <w:szCs w:val="16"/>
              </w:rPr>
            </w:pPr>
            <w:r w:rsidRPr="00873B6C">
              <w:rPr>
                <w:sz w:val="16"/>
                <w:szCs w:val="16"/>
              </w:rPr>
              <w:t>3386</w:t>
            </w:r>
          </w:p>
        </w:tc>
        <w:tc>
          <w:tcPr>
            <w:tcW w:w="425" w:type="dxa"/>
            <w:shd w:val="solid" w:color="FFFFFF" w:fill="auto"/>
          </w:tcPr>
          <w:p w14:paraId="0A894B91" w14:textId="748BC5E0"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5024C1D5" w14:textId="0F38B6BE"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2D2CDF26" w14:textId="3414248F" w:rsidR="0053150F" w:rsidRPr="00873B6C" w:rsidRDefault="0053150F" w:rsidP="00F84AAF">
            <w:pPr>
              <w:pStyle w:val="TAL"/>
              <w:rPr>
                <w:sz w:val="16"/>
                <w:szCs w:val="16"/>
              </w:rPr>
            </w:pPr>
            <w:r w:rsidRPr="00873B6C">
              <w:rPr>
                <w:sz w:val="16"/>
                <w:szCs w:val="16"/>
              </w:rPr>
              <w:t>Update the correction field for the end-to-end Transparent Clock</w:t>
            </w:r>
          </w:p>
        </w:tc>
        <w:tc>
          <w:tcPr>
            <w:tcW w:w="708" w:type="dxa"/>
            <w:shd w:val="solid" w:color="FFFFFF" w:fill="auto"/>
          </w:tcPr>
          <w:p w14:paraId="2D797552" w14:textId="7F912A78" w:rsidR="0053150F" w:rsidRPr="00873B6C" w:rsidRDefault="0053150F" w:rsidP="00F84AAF">
            <w:pPr>
              <w:pStyle w:val="TAC"/>
              <w:rPr>
                <w:sz w:val="16"/>
                <w:szCs w:val="16"/>
              </w:rPr>
            </w:pPr>
            <w:r w:rsidRPr="00873B6C">
              <w:rPr>
                <w:sz w:val="16"/>
                <w:szCs w:val="16"/>
              </w:rPr>
              <w:t>17.3.0</w:t>
            </w:r>
          </w:p>
        </w:tc>
      </w:tr>
      <w:tr w:rsidR="0053150F" w:rsidRPr="00873B6C" w14:paraId="11364262" w14:textId="77777777" w:rsidTr="009D14FB">
        <w:tc>
          <w:tcPr>
            <w:tcW w:w="800" w:type="dxa"/>
            <w:shd w:val="solid" w:color="FFFFFF" w:fill="auto"/>
          </w:tcPr>
          <w:p w14:paraId="603AFC41" w14:textId="699D5B4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1EC2A6B" w14:textId="54C39D0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C243EC8" w14:textId="4301C1B1" w:rsidR="0053150F" w:rsidRPr="00873B6C" w:rsidRDefault="0053150F" w:rsidP="00F84AAF">
            <w:pPr>
              <w:pStyle w:val="TAC"/>
              <w:rPr>
                <w:sz w:val="16"/>
                <w:szCs w:val="16"/>
              </w:rPr>
            </w:pPr>
            <w:r w:rsidRPr="00873B6C">
              <w:rPr>
                <w:sz w:val="16"/>
                <w:szCs w:val="16"/>
              </w:rPr>
              <w:t>SP-211301</w:t>
            </w:r>
          </w:p>
        </w:tc>
        <w:tc>
          <w:tcPr>
            <w:tcW w:w="567" w:type="dxa"/>
            <w:shd w:val="solid" w:color="FFFFFF" w:fill="auto"/>
          </w:tcPr>
          <w:p w14:paraId="45897EC9" w14:textId="1FC9A2DB" w:rsidR="0053150F" w:rsidRPr="00873B6C" w:rsidRDefault="0053150F" w:rsidP="00F84AAF">
            <w:pPr>
              <w:pStyle w:val="TAL"/>
              <w:rPr>
                <w:sz w:val="16"/>
                <w:szCs w:val="16"/>
              </w:rPr>
            </w:pPr>
            <w:r w:rsidRPr="00873B6C">
              <w:rPr>
                <w:sz w:val="16"/>
                <w:szCs w:val="16"/>
              </w:rPr>
              <w:t>3389</w:t>
            </w:r>
          </w:p>
        </w:tc>
        <w:tc>
          <w:tcPr>
            <w:tcW w:w="425" w:type="dxa"/>
            <w:shd w:val="solid" w:color="FFFFFF" w:fill="auto"/>
          </w:tcPr>
          <w:p w14:paraId="46D1AFDF" w14:textId="70981BE4"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7554E975" w14:textId="50935D3F"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558D1979" w14:textId="3438B121" w:rsidR="0053150F" w:rsidRPr="00873B6C" w:rsidRDefault="0053150F" w:rsidP="00F84AAF">
            <w:pPr>
              <w:pStyle w:val="TAL"/>
              <w:rPr>
                <w:sz w:val="16"/>
                <w:szCs w:val="16"/>
              </w:rPr>
            </w:pPr>
            <w:r w:rsidRPr="00873B6C">
              <w:rPr>
                <w:sz w:val="16"/>
                <w:szCs w:val="16"/>
              </w:rPr>
              <w:t>Handling of DC is no longer applicable</w:t>
            </w:r>
          </w:p>
        </w:tc>
        <w:tc>
          <w:tcPr>
            <w:tcW w:w="708" w:type="dxa"/>
            <w:shd w:val="solid" w:color="FFFFFF" w:fill="auto"/>
          </w:tcPr>
          <w:p w14:paraId="21172D6C" w14:textId="19435B7F" w:rsidR="0053150F" w:rsidRPr="00873B6C" w:rsidRDefault="0053150F" w:rsidP="00F84AAF">
            <w:pPr>
              <w:pStyle w:val="TAC"/>
              <w:rPr>
                <w:sz w:val="16"/>
                <w:szCs w:val="16"/>
              </w:rPr>
            </w:pPr>
            <w:r w:rsidRPr="00873B6C">
              <w:rPr>
                <w:sz w:val="16"/>
                <w:szCs w:val="16"/>
              </w:rPr>
              <w:t>17.3.0</w:t>
            </w:r>
          </w:p>
        </w:tc>
      </w:tr>
      <w:tr w:rsidR="0053150F" w:rsidRPr="00873B6C" w14:paraId="34A41CE9" w14:textId="77777777" w:rsidTr="009D14FB">
        <w:tc>
          <w:tcPr>
            <w:tcW w:w="800" w:type="dxa"/>
            <w:shd w:val="solid" w:color="FFFFFF" w:fill="auto"/>
          </w:tcPr>
          <w:p w14:paraId="6C50CC0D" w14:textId="16F5E34D"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2B110DF" w14:textId="721DAD7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0DE1287C" w14:textId="5910B880" w:rsidR="0053150F" w:rsidRPr="00873B6C" w:rsidRDefault="0053150F" w:rsidP="00F84AAF">
            <w:pPr>
              <w:pStyle w:val="TAC"/>
              <w:rPr>
                <w:sz w:val="16"/>
                <w:szCs w:val="16"/>
              </w:rPr>
            </w:pPr>
            <w:r w:rsidRPr="00873B6C">
              <w:rPr>
                <w:sz w:val="16"/>
                <w:szCs w:val="16"/>
              </w:rPr>
              <w:t>SP-211278</w:t>
            </w:r>
          </w:p>
        </w:tc>
        <w:tc>
          <w:tcPr>
            <w:tcW w:w="567" w:type="dxa"/>
            <w:shd w:val="solid" w:color="FFFFFF" w:fill="auto"/>
          </w:tcPr>
          <w:p w14:paraId="11DADF10" w14:textId="0FE4C045" w:rsidR="0053150F" w:rsidRPr="00873B6C" w:rsidRDefault="0053150F" w:rsidP="00F84AAF">
            <w:pPr>
              <w:pStyle w:val="TAL"/>
              <w:rPr>
                <w:sz w:val="16"/>
                <w:szCs w:val="16"/>
              </w:rPr>
            </w:pPr>
            <w:r w:rsidRPr="00873B6C">
              <w:rPr>
                <w:sz w:val="16"/>
                <w:szCs w:val="16"/>
              </w:rPr>
              <w:t>3393</w:t>
            </w:r>
          </w:p>
        </w:tc>
        <w:tc>
          <w:tcPr>
            <w:tcW w:w="425" w:type="dxa"/>
            <w:shd w:val="solid" w:color="FFFFFF" w:fill="auto"/>
          </w:tcPr>
          <w:p w14:paraId="14AC1D44" w14:textId="7B3FDDB0" w:rsidR="0053150F" w:rsidRPr="00873B6C" w:rsidRDefault="0053150F" w:rsidP="00F84AAF">
            <w:pPr>
              <w:pStyle w:val="TAL"/>
              <w:rPr>
                <w:sz w:val="16"/>
                <w:szCs w:val="16"/>
              </w:rPr>
            </w:pPr>
            <w:r w:rsidRPr="00873B6C">
              <w:rPr>
                <w:sz w:val="16"/>
                <w:szCs w:val="16"/>
              </w:rPr>
              <w:t xml:space="preserve">1 </w:t>
            </w:r>
          </w:p>
        </w:tc>
        <w:tc>
          <w:tcPr>
            <w:tcW w:w="425" w:type="dxa"/>
            <w:shd w:val="solid" w:color="FFFFFF" w:fill="auto"/>
          </w:tcPr>
          <w:p w14:paraId="29EB72E0" w14:textId="209428E4" w:rsidR="0053150F" w:rsidRPr="00873B6C" w:rsidRDefault="0053150F" w:rsidP="00F84AAF">
            <w:pPr>
              <w:pStyle w:val="TAL"/>
              <w:rPr>
                <w:sz w:val="16"/>
                <w:szCs w:val="16"/>
              </w:rPr>
            </w:pPr>
            <w:r w:rsidRPr="00873B6C">
              <w:rPr>
                <w:sz w:val="16"/>
                <w:szCs w:val="16"/>
              </w:rPr>
              <w:t>A</w:t>
            </w:r>
          </w:p>
        </w:tc>
        <w:tc>
          <w:tcPr>
            <w:tcW w:w="4820" w:type="dxa"/>
            <w:shd w:val="solid" w:color="FFFFFF" w:fill="auto"/>
          </w:tcPr>
          <w:p w14:paraId="48A2C58E" w14:textId="41278AE4" w:rsidR="0053150F" w:rsidRPr="00873B6C" w:rsidRDefault="0053150F" w:rsidP="00F84AAF">
            <w:pPr>
              <w:pStyle w:val="TAL"/>
              <w:rPr>
                <w:sz w:val="16"/>
                <w:szCs w:val="16"/>
              </w:rPr>
            </w:pPr>
            <w:r w:rsidRPr="00873B6C">
              <w:rPr>
                <w:sz w:val="16"/>
                <w:szCs w:val="16"/>
              </w:rPr>
              <w:t>correction for CAG restrictions with emergency services</w:t>
            </w:r>
          </w:p>
        </w:tc>
        <w:tc>
          <w:tcPr>
            <w:tcW w:w="708" w:type="dxa"/>
            <w:shd w:val="solid" w:color="FFFFFF" w:fill="auto"/>
          </w:tcPr>
          <w:p w14:paraId="2781ABAF" w14:textId="50F6E343" w:rsidR="0053150F" w:rsidRPr="00873B6C" w:rsidRDefault="0053150F" w:rsidP="00F84AAF">
            <w:pPr>
              <w:pStyle w:val="TAC"/>
              <w:rPr>
                <w:sz w:val="16"/>
                <w:szCs w:val="16"/>
              </w:rPr>
            </w:pPr>
            <w:r w:rsidRPr="00873B6C">
              <w:rPr>
                <w:sz w:val="16"/>
                <w:szCs w:val="16"/>
              </w:rPr>
              <w:t>17.3.0</w:t>
            </w:r>
          </w:p>
        </w:tc>
      </w:tr>
      <w:tr w:rsidR="0053150F" w:rsidRPr="00873B6C" w14:paraId="4B243677" w14:textId="77777777" w:rsidTr="009D14FB">
        <w:tc>
          <w:tcPr>
            <w:tcW w:w="800" w:type="dxa"/>
            <w:shd w:val="solid" w:color="FFFFFF" w:fill="auto"/>
          </w:tcPr>
          <w:p w14:paraId="09D21AB2" w14:textId="474A4354"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C56DA15" w14:textId="0705CE07"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0AF93E8C" w14:textId="10F00500" w:rsidR="0053150F" w:rsidRPr="00873B6C" w:rsidRDefault="0053150F" w:rsidP="00F84AAF">
            <w:pPr>
              <w:pStyle w:val="TAC"/>
              <w:rPr>
                <w:sz w:val="16"/>
                <w:szCs w:val="16"/>
              </w:rPr>
            </w:pPr>
            <w:r w:rsidRPr="00873B6C">
              <w:rPr>
                <w:sz w:val="16"/>
                <w:szCs w:val="16"/>
              </w:rPr>
              <w:t>SP-211294</w:t>
            </w:r>
          </w:p>
        </w:tc>
        <w:tc>
          <w:tcPr>
            <w:tcW w:w="567" w:type="dxa"/>
            <w:shd w:val="solid" w:color="FFFFFF" w:fill="auto"/>
          </w:tcPr>
          <w:p w14:paraId="16E133AA" w14:textId="122E0B3C" w:rsidR="0053150F" w:rsidRPr="00873B6C" w:rsidRDefault="0053150F" w:rsidP="00F84AAF">
            <w:pPr>
              <w:pStyle w:val="TAL"/>
              <w:rPr>
                <w:sz w:val="16"/>
                <w:szCs w:val="16"/>
              </w:rPr>
            </w:pPr>
            <w:r w:rsidRPr="00873B6C">
              <w:rPr>
                <w:sz w:val="16"/>
                <w:szCs w:val="16"/>
              </w:rPr>
              <w:t>3394</w:t>
            </w:r>
          </w:p>
        </w:tc>
        <w:tc>
          <w:tcPr>
            <w:tcW w:w="425" w:type="dxa"/>
            <w:shd w:val="solid" w:color="FFFFFF" w:fill="auto"/>
          </w:tcPr>
          <w:p w14:paraId="5887BA14" w14:textId="22480D54"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9FA6961" w14:textId="0803E6AB"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6A99F74" w14:textId="6CB2CE19" w:rsidR="0053150F" w:rsidRPr="00873B6C" w:rsidRDefault="0053150F" w:rsidP="00F84AAF">
            <w:pPr>
              <w:pStyle w:val="TAL"/>
              <w:rPr>
                <w:sz w:val="16"/>
                <w:szCs w:val="16"/>
              </w:rPr>
            </w:pPr>
            <w:r w:rsidRPr="00873B6C">
              <w:rPr>
                <w:sz w:val="16"/>
                <w:szCs w:val="16"/>
              </w:rPr>
              <w:t>clarification for QoS differentiation for User Plane IPsec Child SA in underlay network</w:t>
            </w:r>
          </w:p>
        </w:tc>
        <w:tc>
          <w:tcPr>
            <w:tcW w:w="708" w:type="dxa"/>
            <w:shd w:val="solid" w:color="FFFFFF" w:fill="auto"/>
          </w:tcPr>
          <w:p w14:paraId="74571096" w14:textId="62867ACB" w:rsidR="0053150F" w:rsidRPr="00873B6C" w:rsidRDefault="0053150F" w:rsidP="00F84AAF">
            <w:pPr>
              <w:pStyle w:val="TAC"/>
              <w:rPr>
                <w:sz w:val="16"/>
                <w:szCs w:val="16"/>
              </w:rPr>
            </w:pPr>
            <w:r w:rsidRPr="00873B6C">
              <w:rPr>
                <w:sz w:val="16"/>
                <w:szCs w:val="16"/>
              </w:rPr>
              <w:t>17.3.0</w:t>
            </w:r>
          </w:p>
        </w:tc>
      </w:tr>
      <w:tr w:rsidR="0053150F" w:rsidRPr="00873B6C" w14:paraId="050B8A4D" w14:textId="77777777" w:rsidTr="009D14FB">
        <w:tc>
          <w:tcPr>
            <w:tcW w:w="800" w:type="dxa"/>
            <w:shd w:val="solid" w:color="FFFFFF" w:fill="auto"/>
          </w:tcPr>
          <w:p w14:paraId="3512348B" w14:textId="26C56BE3"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6767A23" w14:textId="7EC8BAF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A3848AF" w14:textId="0EAC9381" w:rsidR="0053150F" w:rsidRPr="00873B6C" w:rsidRDefault="0053150F" w:rsidP="00F84AAF">
            <w:pPr>
              <w:pStyle w:val="TAC"/>
              <w:rPr>
                <w:sz w:val="16"/>
                <w:szCs w:val="16"/>
              </w:rPr>
            </w:pPr>
            <w:r w:rsidRPr="00873B6C">
              <w:rPr>
                <w:sz w:val="16"/>
                <w:szCs w:val="16"/>
              </w:rPr>
              <w:t>SP-211295</w:t>
            </w:r>
          </w:p>
        </w:tc>
        <w:tc>
          <w:tcPr>
            <w:tcW w:w="567" w:type="dxa"/>
            <w:shd w:val="solid" w:color="FFFFFF" w:fill="auto"/>
          </w:tcPr>
          <w:p w14:paraId="3C4955B7" w14:textId="0186AA90" w:rsidR="0053150F" w:rsidRPr="00873B6C" w:rsidRDefault="0053150F" w:rsidP="00F84AAF">
            <w:pPr>
              <w:pStyle w:val="TAL"/>
              <w:rPr>
                <w:sz w:val="16"/>
                <w:szCs w:val="16"/>
              </w:rPr>
            </w:pPr>
            <w:r w:rsidRPr="00873B6C">
              <w:rPr>
                <w:sz w:val="16"/>
                <w:szCs w:val="16"/>
              </w:rPr>
              <w:t>3400</w:t>
            </w:r>
          </w:p>
        </w:tc>
        <w:tc>
          <w:tcPr>
            <w:tcW w:w="425" w:type="dxa"/>
            <w:shd w:val="solid" w:color="FFFFFF" w:fill="auto"/>
          </w:tcPr>
          <w:p w14:paraId="646A15C9" w14:textId="0DA376D6"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54D2A4B9" w14:textId="78A9D3EB"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30062BD8" w14:textId="2E984308" w:rsidR="0053150F" w:rsidRPr="00873B6C" w:rsidRDefault="0053150F" w:rsidP="00F84AAF">
            <w:pPr>
              <w:pStyle w:val="TAL"/>
              <w:rPr>
                <w:sz w:val="16"/>
                <w:szCs w:val="16"/>
              </w:rPr>
            </w:pPr>
            <w:r w:rsidRPr="00873B6C">
              <w:rPr>
                <w:sz w:val="16"/>
                <w:szCs w:val="16"/>
              </w:rPr>
              <w:t>Removal of Editor's Note on Configured NSSAI</w:t>
            </w:r>
          </w:p>
        </w:tc>
        <w:tc>
          <w:tcPr>
            <w:tcW w:w="708" w:type="dxa"/>
            <w:shd w:val="solid" w:color="FFFFFF" w:fill="auto"/>
          </w:tcPr>
          <w:p w14:paraId="77CCC0C0" w14:textId="4E6FFE28" w:rsidR="0053150F" w:rsidRPr="00873B6C" w:rsidRDefault="0053150F" w:rsidP="00F84AAF">
            <w:pPr>
              <w:pStyle w:val="TAC"/>
              <w:rPr>
                <w:sz w:val="16"/>
                <w:szCs w:val="16"/>
              </w:rPr>
            </w:pPr>
            <w:r w:rsidRPr="00873B6C">
              <w:rPr>
                <w:sz w:val="16"/>
                <w:szCs w:val="16"/>
              </w:rPr>
              <w:t>17.3.0</w:t>
            </w:r>
          </w:p>
        </w:tc>
      </w:tr>
      <w:tr w:rsidR="0053150F" w:rsidRPr="00873B6C" w14:paraId="518B6835" w14:textId="77777777" w:rsidTr="009D14FB">
        <w:tc>
          <w:tcPr>
            <w:tcW w:w="800" w:type="dxa"/>
            <w:shd w:val="solid" w:color="FFFFFF" w:fill="auto"/>
          </w:tcPr>
          <w:p w14:paraId="6078A5E4" w14:textId="6C299FAE"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0F810674" w14:textId="13DFBBAB"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3E155D2" w14:textId="78578430" w:rsidR="0053150F" w:rsidRPr="00873B6C" w:rsidRDefault="0053150F" w:rsidP="00F84AAF">
            <w:pPr>
              <w:pStyle w:val="TAC"/>
              <w:rPr>
                <w:sz w:val="16"/>
                <w:szCs w:val="16"/>
              </w:rPr>
            </w:pPr>
            <w:r w:rsidRPr="00873B6C">
              <w:rPr>
                <w:sz w:val="16"/>
                <w:szCs w:val="16"/>
              </w:rPr>
              <w:t>SP-211295</w:t>
            </w:r>
          </w:p>
        </w:tc>
        <w:tc>
          <w:tcPr>
            <w:tcW w:w="567" w:type="dxa"/>
            <w:shd w:val="solid" w:color="FFFFFF" w:fill="auto"/>
          </w:tcPr>
          <w:p w14:paraId="56A656A5" w14:textId="0A112512" w:rsidR="0053150F" w:rsidRPr="00873B6C" w:rsidRDefault="0053150F" w:rsidP="00F84AAF">
            <w:pPr>
              <w:pStyle w:val="TAL"/>
              <w:rPr>
                <w:sz w:val="16"/>
                <w:szCs w:val="16"/>
              </w:rPr>
            </w:pPr>
            <w:r w:rsidRPr="00873B6C">
              <w:rPr>
                <w:sz w:val="16"/>
                <w:szCs w:val="16"/>
              </w:rPr>
              <w:t>3401</w:t>
            </w:r>
          </w:p>
        </w:tc>
        <w:tc>
          <w:tcPr>
            <w:tcW w:w="425" w:type="dxa"/>
            <w:shd w:val="solid" w:color="FFFFFF" w:fill="auto"/>
          </w:tcPr>
          <w:p w14:paraId="4656CD5C" w14:textId="6162DF36"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B111EF6" w14:textId="6886C75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2ADD835C" w14:textId="597E3FDB" w:rsidR="0053150F" w:rsidRPr="00873B6C" w:rsidRDefault="0053150F" w:rsidP="00F84AAF">
            <w:pPr>
              <w:pStyle w:val="TAL"/>
              <w:rPr>
                <w:sz w:val="16"/>
                <w:szCs w:val="16"/>
              </w:rPr>
            </w:pPr>
            <w:r w:rsidRPr="00873B6C">
              <w:rPr>
                <w:sz w:val="16"/>
                <w:szCs w:val="16"/>
              </w:rPr>
              <w:t>Clarification on Multiple NSACFs for S-NSSAI</w:t>
            </w:r>
          </w:p>
        </w:tc>
        <w:tc>
          <w:tcPr>
            <w:tcW w:w="708" w:type="dxa"/>
            <w:shd w:val="solid" w:color="FFFFFF" w:fill="auto"/>
          </w:tcPr>
          <w:p w14:paraId="0F05188C" w14:textId="61C08E25" w:rsidR="0053150F" w:rsidRPr="00873B6C" w:rsidRDefault="0053150F" w:rsidP="00F84AAF">
            <w:pPr>
              <w:pStyle w:val="TAC"/>
              <w:rPr>
                <w:sz w:val="16"/>
                <w:szCs w:val="16"/>
              </w:rPr>
            </w:pPr>
            <w:r w:rsidRPr="00873B6C">
              <w:rPr>
                <w:sz w:val="16"/>
                <w:szCs w:val="16"/>
              </w:rPr>
              <w:t>17.3.0</w:t>
            </w:r>
          </w:p>
        </w:tc>
      </w:tr>
      <w:tr w:rsidR="0053150F" w:rsidRPr="00873B6C" w14:paraId="1E4683C5" w14:textId="77777777" w:rsidTr="009D14FB">
        <w:tc>
          <w:tcPr>
            <w:tcW w:w="800" w:type="dxa"/>
            <w:shd w:val="solid" w:color="FFFFFF" w:fill="auto"/>
          </w:tcPr>
          <w:p w14:paraId="208D6A59" w14:textId="1239CE3F"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6C35AB80" w14:textId="4EAA0AC5"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2013F2A" w14:textId="67CB145D"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64E11D3A" w14:textId="0C0D5833" w:rsidR="0053150F" w:rsidRPr="00873B6C" w:rsidRDefault="0053150F" w:rsidP="00F84AAF">
            <w:pPr>
              <w:pStyle w:val="TAL"/>
              <w:rPr>
                <w:sz w:val="16"/>
                <w:szCs w:val="16"/>
              </w:rPr>
            </w:pPr>
            <w:r w:rsidRPr="00873B6C">
              <w:rPr>
                <w:sz w:val="16"/>
                <w:szCs w:val="16"/>
              </w:rPr>
              <w:t>3405</w:t>
            </w:r>
          </w:p>
        </w:tc>
        <w:tc>
          <w:tcPr>
            <w:tcW w:w="425" w:type="dxa"/>
            <w:shd w:val="solid" w:color="FFFFFF" w:fill="auto"/>
          </w:tcPr>
          <w:p w14:paraId="2B2B1449" w14:textId="6D8E9812"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2EB602AC" w14:textId="73827A4A"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7914545" w14:textId="11A463FB" w:rsidR="0053150F" w:rsidRPr="00873B6C" w:rsidRDefault="0053150F" w:rsidP="00F84AAF">
            <w:pPr>
              <w:pStyle w:val="TAL"/>
              <w:rPr>
                <w:sz w:val="16"/>
                <w:szCs w:val="16"/>
              </w:rPr>
            </w:pPr>
            <w:r w:rsidRPr="00873B6C">
              <w:rPr>
                <w:sz w:val="16"/>
                <w:szCs w:val="16"/>
              </w:rPr>
              <w:t>Relationship between Sync Exposure and Time Distribution</w:t>
            </w:r>
          </w:p>
        </w:tc>
        <w:tc>
          <w:tcPr>
            <w:tcW w:w="708" w:type="dxa"/>
            <w:shd w:val="solid" w:color="FFFFFF" w:fill="auto"/>
          </w:tcPr>
          <w:p w14:paraId="3B1B382A" w14:textId="3C46459D" w:rsidR="0053150F" w:rsidRPr="00873B6C" w:rsidRDefault="0053150F" w:rsidP="00F84AAF">
            <w:pPr>
              <w:pStyle w:val="TAC"/>
              <w:rPr>
                <w:sz w:val="16"/>
                <w:szCs w:val="16"/>
              </w:rPr>
            </w:pPr>
            <w:r w:rsidRPr="00873B6C">
              <w:rPr>
                <w:sz w:val="16"/>
                <w:szCs w:val="16"/>
              </w:rPr>
              <w:t>17.3.0</w:t>
            </w:r>
          </w:p>
        </w:tc>
      </w:tr>
      <w:tr w:rsidR="0053150F" w:rsidRPr="00873B6C" w14:paraId="024DB874" w14:textId="77777777" w:rsidTr="009D14FB">
        <w:tc>
          <w:tcPr>
            <w:tcW w:w="800" w:type="dxa"/>
            <w:shd w:val="solid" w:color="FFFFFF" w:fill="auto"/>
          </w:tcPr>
          <w:p w14:paraId="2FCAC67F" w14:textId="7AA9D8EF"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12DC1D1" w14:textId="60F43BC4"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37133F0" w14:textId="1BCA5843"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48E23CD4" w14:textId="5EB0C7F1" w:rsidR="0053150F" w:rsidRPr="00873B6C" w:rsidRDefault="0053150F" w:rsidP="00F84AAF">
            <w:pPr>
              <w:pStyle w:val="TAL"/>
              <w:rPr>
                <w:sz w:val="16"/>
                <w:szCs w:val="16"/>
              </w:rPr>
            </w:pPr>
            <w:r w:rsidRPr="00873B6C">
              <w:rPr>
                <w:sz w:val="16"/>
                <w:szCs w:val="16"/>
              </w:rPr>
              <w:t>3406</w:t>
            </w:r>
          </w:p>
        </w:tc>
        <w:tc>
          <w:tcPr>
            <w:tcW w:w="425" w:type="dxa"/>
            <w:shd w:val="solid" w:color="FFFFFF" w:fill="auto"/>
          </w:tcPr>
          <w:p w14:paraId="2A446529" w14:textId="1A5CED6B"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1CE9AF10" w14:textId="5B419368"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BEDB222" w14:textId="6A412012" w:rsidR="0053150F" w:rsidRPr="00873B6C" w:rsidRDefault="0053150F" w:rsidP="00F84AAF">
            <w:pPr>
              <w:pStyle w:val="TAL"/>
              <w:rPr>
                <w:sz w:val="16"/>
                <w:szCs w:val="16"/>
              </w:rPr>
            </w:pPr>
            <w:r w:rsidRPr="00873B6C">
              <w:rPr>
                <w:sz w:val="16"/>
                <w:szCs w:val="16"/>
              </w:rPr>
              <w:t>Correction on 5G access stratum time distribution</w:t>
            </w:r>
          </w:p>
        </w:tc>
        <w:tc>
          <w:tcPr>
            <w:tcW w:w="708" w:type="dxa"/>
            <w:shd w:val="solid" w:color="FFFFFF" w:fill="auto"/>
          </w:tcPr>
          <w:p w14:paraId="78D79A77" w14:textId="59B58FD8" w:rsidR="0053150F" w:rsidRPr="00873B6C" w:rsidRDefault="0053150F" w:rsidP="00F84AAF">
            <w:pPr>
              <w:pStyle w:val="TAC"/>
              <w:rPr>
                <w:sz w:val="16"/>
                <w:szCs w:val="16"/>
              </w:rPr>
            </w:pPr>
            <w:r w:rsidRPr="00873B6C">
              <w:rPr>
                <w:sz w:val="16"/>
                <w:szCs w:val="16"/>
              </w:rPr>
              <w:t>17.3.0</w:t>
            </w:r>
          </w:p>
        </w:tc>
      </w:tr>
      <w:tr w:rsidR="0053150F" w:rsidRPr="00873B6C" w14:paraId="22B45208" w14:textId="77777777" w:rsidTr="009D14FB">
        <w:tc>
          <w:tcPr>
            <w:tcW w:w="800" w:type="dxa"/>
            <w:shd w:val="solid" w:color="FFFFFF" w:fill="auto"/>
          </w:tcPr>
          <w:p w14:paraId="69A5E74E" w14:textId="7ABBB912"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CA78BA8" w14:textId="0EB7EFE9"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2A56A38" w14:textId="12128D8B" w:rsidR="0053150F" w:rsidRPr="00873B6C" w:rsidRDefault="0053150F" w:rsidP="00F84AAF">
            <w:pPr>
              <w:pStyle w:val="TAC"/>
              <w:rPr>
                <w:sz w:val="16"/>
                <w:szCs w:val="16"/>
              </w:rPr>
            </w:pPr>
            <w:r w:rsidRPr="00873B6C">
              <w:rPr>
                <w:sz w:val="16"/>
                <w:szCs w:val="16"/>
              </w:rPr>
              <w:t>SP-211301</w:t>
            </w:r>
          </w:p>
        </w:tc>
        <w:tc>
          <w:tcPr>
            <w:tcW w:w="567" w:type="dxa"/>
            <w:shd w:val="solid" w:color="FFFFFF" w:fill="auto"/>
          </w:tcPr>
          <w:p w14:paraId="7EE8DD67" w14:textId="1236729D" w:rsidR="0053150F" w:rsidRPr="00873B6C" w:rsidRDefault="0053150F" w:rsidP="00F84AAF">
            <w:pPr>
              <w:pStyle w:val="TAL"/>
              <w:rPr>
                <w:sz w:val="16"/>
                <w:szCs w:val="16"/>
              </w:rPr>
            </w:pPr>
            <w:r w:rsidRPr="00873B6C">
              <w:rPr>
                <w:sz w:val="16"/>
                <w:szCs w:val="16"/>
              </w:rPr>
              <w:t>3407</w:t>
            </w:r>
          </w:p>
        </w:tc>
        <w:tc>
          <w:tcPr>
            <w:tcW w:w="425" w:type="dxa"/>
            <w:shd w:val="solid" w:color="FFFFFF" w:fill="auto"/>
          </w:tcPr>
          <w:p w14:paraId="4682AA4F" w14:textId="65C35C44" w:rsidR="0053150F" w:rsidRPr="00873B6C" w:rsidRDefault="0053150F" w:rsidP="00F84AAF">
            <w:pPr>
              <w:pStyle w:val="TAL"/>
              <w:rPr>
                <w:sz w:val="16"/>
                <w:szCs w:val="16"/>
              </w:rPr>
            </w:pPr>
            <w:r w:rsidRPr="00873B6C">
              <w:rPr>
                <w:sz w:val="16"/>
                <w:szCs w:val="16"/>
              </w:rPr>
              <w:t xml:space="preserve">1 </w:t>
            </w:r>
          </w:p>
        </w:tc>
        <w:tc>
          <w:tcPr>
            <w:tcW w:w="425" w:type="dxa"/>
            <w:shd w:val="solid" w:color="FFFFFF" w:fill="auto"/>
          </w:tcPr>
          <w:p w14:paraId="1DCC7623" w14:textId="28396B65"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7DCE399" w14:textId="68CDAD54" w:rsidR="0053150F" w:rsidRPr="00873B6C" w:rsidRDefault="0053150F" w:rsidP="00F84AAF">
            <w:pPr>
              <w:pStyle w:val="TAL"/>
              <w:rPr>
                <w:sz w:val="16"/>
                <w:szCs w:val="16"/>
              </w:rPr>
            </w:pPr>
            <w:r w:rsidRPr="00873B6C">
              <w:rPr>
                <w:sz w:val="16"/>
                <w:szCs w:val="16"/>
              </w:rPr>
              <w:t>Alignment on system information extensions for minimization of service interruption</w:t>
            </w:r>
          </w:p>
        </w:tc>
        <w:tc>
          <w:tcPr>
            <w:tcW w:w="708" w:type="dxa"/>
            <w:shd w:val="solid" w:color="FFFFFF" w:fill="auto"/>
          </w:tcPr>
          <w:p w14:paraId="001437FB" w14:textId="207B84B5" w:rsidR="0053150F" w:rsidRPr="00873B6C" w:rsidRDefault="0053150F" w:rsidP="00F84AAF">
            <w:pPr>
              <w:pStyle w:val="TAC"/>
              <w:rPr>
                <w:sz w:val="16"/>
                <w:szCs w:val="16"/>
              </w:rPr>
            </w:pPr>
            <w:r w:rsidRPr="00873B6C">
              <w:rPr>
                <w:sz w:val="16"/>
                <w:szCs w:val="16"/>
              </w:rPr>
              <w:t>17.3.0</w:t>
            </w:r>
          </w:p>
        </w:tc>
      </w:tr>
      <w:tr w:rsidR="0053150F" w:rsidRPr="00873B6C" w14:paraId="20B06384" w14:textId="77777777" w:rsidTr="009D14FB">
        <w:tc>
          <w:tcPr>
            <w:tcW w:w="800" w:type="dxa"/>
            <w:shd w:val="solid" w:color="FFFFFF" w:fill="auto"/>
          </w:tcPr>
          <w:p w14:paraId="31C9A669" w14:textId="29E69233"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2001CF28" w14:textId="0D8380CD"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0074F02D" w14:textId="1622F3F6" w:rsidR="0053150F" w:rsidRPr="00873B6C" w:rsidRDefault="0053150F" w:rsidP="00F84AAF">
            <w:pPr>
              <w:pStyle w:val="TAC"/>
              <w:rPr>
                <w:sz w:val="16"/>
                <w:szCs w:val="16"/>
              </w:rPr>
            </w:pPr>
            <w:r w:rsidRPr="00873B6C">
              <w:rPr>
                <w:sz w:val="16"/>
                <w:szCs w:val="16"/>
              </w:rPr>
              <w:t>SP-211301</w:t>
            </w:r>
          </w:p>
        </w:tc>
        <w:tc>
          <w:tcPr>
            <w:tcW w:w="567" w:type="dxa"/>
            <w:shd w:val="solid" w:color="FFFFFF" w:fill="auto"/>
          </w:tcPr>
          <w:p w14:paraId="212E9C22" w14:textId="2CA03CF6" w:rsidR="0053150F" w:rsidRPr="00873B6C" w:rsidRDefault="0053150F" w:rsidP="00F84AAF">
            <w:pPr>
              <w:pStyle w:val="TAL"/>
              <w:rPr>
                <w:sz w:val="16"/>
                <w:szCs w:val="16"/>
              </w:rPr>
            </w:pPr>
            <w:r w:rsidRPr="00873B6C">
              <w:rPr>
                <w:sz w:val="16"/>
                <w:szCs w:val="16"/>
              </w:rPr>
              <w:t>3408</w:t>
            </w:r>
          </w:p>
        </w:tc>
        <w:tc>
          <w:tcPr>
            <w:tcW w:w="425" w:type="dxa"/>
            <w:shd w:val="solid" w:color="FFFFFF" w:fill="auto"/>
          </w:tcPr>
          <w:p w14:paraId="14287728" w14:textId="6769651C"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F6FFE5A" w14:textId="198B6B8C"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367DA976" w14:textId="47F06A4B" w:rsidR="0053150F" w:rsidRPr="00873B6C" w:rsidRDefault="0053150F" w:rsidP="00F84AAF">
            <w:pPr>
              <w:pStyle w:val="TAL"/>
              <w:rPr>
                <w:sz w:val="16"/>
                <w:szCs w:val="16"/>
              </w:rPr>
            </w:pPr>
            <w:r w:rsidRPr="00873B6C">
              <w:rPr>
                <w:sz w:val="16"/>
                <w:szCs w:val="16"/>
              </w:rPr>
              <w:t>Emergency Services for Disaster Inbound Roamers</w:t>
            </w:r>
          </w:p>
        </w:tc>
        <w:tc>
          <w:tcPr>
            <w:tcW w:w="708" w:type="dxa"/>
            <w:shd w:val="solid" w:color="FFFFFF" w:fill="auto"/>
          </w:tcPr>
          <w:p w14:paraId="0DDADF2C" w14:textId="75D1D679" w:rsidR="0053150F" w:rsidRPr="00873B6C" w:rsidRDefault="0053150F" w:rsidP="00F84AAF">
            <w:pPr>
              <w:pStyle w:val="TAC"/>
              <w:rPr>
                <w:sz w:val="16"/>
                <w:szCs w:val="16"/>
              </w:rPr>
            </w:pPr>
            <w:r w:rsidRPr="00873B6C">
              <w:rPr>
                <w:sz w:val="16"/>
                <w:szCs w:val="16"/>
              </w:rPr>
              <w:t>17.3.0</w:t>
            </w:r>
          </w:p>
        </w:tc>
      </w:tr>
      <w:tr w:rsidR="0053150F" w:rsidRPr="00873B6C" w14:paraId="6E063157" w14:textId="77777777" w:rsidTr="009D14FB">
        <w:tc>
          <w:tcPr>
            <w:tcW w:w="800" w:type="dxa"/>
            <w:shd w:val="solid" w:color="FFFFFF" w:fill="auto"/>
          </w:tcPr>
          <w:p w14:paraId="3F793B00" w14:textId="7E9FC8CB"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28D9380F" w14:textId="52E70D0E"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30484EBF" w14:textId="01F629F4" w:rsidR="0053150F" w:rsidRPr="00873B6C" w:rsidRDefault="0053150F" w:rsidP="00F84AAF">
            <w:pPr>
              <w:pStyle w:val="TAC"/>
              <w:rPr>
                <w:sz w:val="16"/>
                <w:szCs w:val="16"/>
              </w:rPr>
            </w:pPr>
            <w:r w:rsidRPr="00873B6C">
              <w:rPr>
                <w:sz w:val="16"/>
                <w:szCs w:val="16"/>
              </w:rPr>
              <w:t>SP-211295</w:t>
            </w:r>
          </w:p>
        </w:tc>
        <w:tc>
          <w:tcPr>
            <w:tcW w:w="567" w:type="dxa"/>
            <w:shd w:val="solid" w:color="FFFFFF" w:fill="auto"/>
          </w:tcPr>
          <w:p w14:paraId="6101D12C" w14:textId="5BFF6891" w:rsidR="0053150F" w:rsidRPr="00873B6C" w:rsidRDefault="0053150F" w:rsidP="00F84AAF">
            <w:pPr>
              <w:pStyle w:val="TAL"/>
              <w:rPr>
                <w:sz w:val="16"/>
                <w:szCs w:val="16"/>
              </w:rPr>
            </w:pPr>
            <w:r w:rsidRPr="00873B6C">
              <w:rPr>
                <w:sz w:val="16"/>
                <w:szCs w:val="16"/>
              </w:rPr>
              <w:t>3410</w:t>
            </w:r>
          </w:p>
        </w:tc>
        <w:tc>
          <w:tcPr>
            <w:tcW w:w="425" w:type="dxa"/>
            <w:shd w:val="solid" w:color="FFFFFF" w:fill="auto"/>
          </w:tcPr>
          <w:p w14:paraId="1DC27262" w14:textId="377BC112"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47AAD492" w14:textId="28A88E3D"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FA9BD00" w14:textId="7FD57041" w:rsidR="0053150F" w:rsidRPr="00873B6C" w:rsidRDefault="0053150F" w:rsidP="00F84AAF">
            <w:pPr>
              <w:pStyle w:val="TAL"/>
              <w:rPr>
                <w:sz w:val="16"/>
                <w:szCs w:val="16"/>
              </w:rPr>
            </w:pPr>
            <w:r w:rsidRPr="00873B6C">
              <w:rPr>
                <w:sz w:val="16"/>
                <w:szCs w:val="16"/>
              </w:rPr>
              <w:t>Corrections on Nnsacf_SliceStatus and Nnef_SliceStatus services</w:t>
            </w:r>
          </w:p>
        </w:tc>
        <w:tc>
          <w:tcPr>
            <w:tcW w:w="708" w:type="dxa"/>
            <w:shd w:val="solid" w:color="FFFFFF" w:fill="auto"/>
          </w:tcPr>
          <w:p w14:paraId="2DC4B2A5" w14:textId="13FAACF3" w:rsidR="0053150F" w:rsidRPr="00873B6C" w:rsidRDefault="0053150F" w:rsidP="00F84AAF">
            <w:pPr>
              <w:pStyle w:val="TAC"/>
              <w:rPr>
                <w:sz w:val="16"/>
                <w:szCs w:val="16"/>
              </w:rPr>
            </w:pPr>
            <w:r w:rsidRPr="00873B6C">
              <w:rPr>
                <w:sz w:val="16"/>
                <w:szCs w:val="16"/>
              </w:rPr>
              <w:t>17.3.0</w:t>
            </w:r>
          </w:p>
        </w:tc>
      </w:tr>
      <w:tr w:rsidR="0053150F" w:rsidRPr="00873B6C" w14:paraId="6F182ECD" w14:textId="77777777" w:rsidTr="009D14FB">
        <w:tc>
          <w:tcPr>
            <w:tcW w:w="800" w:type="dxa"/>
            <w:shd w:val="solid" w:color="FFFFFF" w:fill="auto"/>
          </w:tcPr>
          <w:p w14:paraId="5FE59632" w14:textId="0DC853EE"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05BFE837" w14:textId="594882D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E3C369C" w14:textId="643E5234" w:rsidR="0053150F" w:rsidRPr="00873B6C" w:rsidRDefault="0053150F" w:rsidP="00F84AAF">
            <w:pPr>
              <w:pStyle w:val="TAC"/>
              <w:rPr>
                <w:sz w:val="16"/>
                <w:szCs w:val="16"/>
              </w:rPr>
            </w:pPr>
            <w:r w:rsidRPr="00873B6C">
              <w:rPr>
                <w:sz w:val="16"/>
                <w:szCs w:val="16"/>
              </w:rPr>
              <w:t>SP-211284</w:t>
            </w:r>
          </w:p>
        </w:tc>
        <w:tc>
          <w:tcPr>
            <w:tcW w:w="567" w:type="dxa"/>
            <w:shd w:val="solid" w:color="FFFFFF" w:fill="auto"/>
          </w:tcPr>
          <w:p w14:paraId="5707D417" w14:textId="40323B3F" w:rsidR="0053150F" w:rsidRPr="00873B6C" w:rsidRDefault="0053150F" w:rsidP="00F84AAF">
            <w:pPr>
              <w:pStyle w:val="TAL"/>
              <w:rPr>
                <w:sz w:val="16"/>
                <w:szCs w:val="16"/>
              </w:rPr>
            </w:pPr>
            <w:r w:rsidRPr="00873B6C">
              <w:rPr>
                <w:sz w:val="16"/>
                <w:szCs w:val="16"/>
              </w:rPr>
              <w:t>3415</w:t>
            </w:r>
          </w:p>
        </w:tc>
        <w:tc>
          <w:tcPr>
            <w:tcW w:w="425" w:type="dxa"/>
            <w:shd w:val="solid" w:color="FFFFFF" w:fill="auto"/>
          </w:tcPr>
          <w:p w14:paraId="626052E4" w14:textId="43BB608D"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2458DB2F" w14:textId="2728F528" w:rsidR="0053150F" w:rsidRPr="00873B6C" w:rsidRDefault="0053150F" w:rsidP="00F84AAF">
            <w:pPr>
              <w:pStyle w:val="TAL"/>
              <w:rPr>
                <w:sz w:val="16"/>
                <w:szCs w:val="16"/>
              </w:rPr>
            </w:pPr>
            <w:r w:rsidRPr="00873B6C">
              <w:rPr>
                <w:sz w:val="16"/>
                <w:szCs w:val="16"/>
              </w:rPr>
              <w:t>C</w:t>
            </w:r>
          </w:p>
        </w:tc>
        <w:tc>
          <w:tcPr>
            <w:tcW w:w="4820" w:type="dxa"/>
            <w:shd w:val="solid" w:color="FFFFFF" w:fill="auto"/>
          </w:tcPr>
          <w:p w14:paraId="7FDD5231" w14:textId="01B6FE16" w:rsidR="0053150F" w:rsidRPr="00873B6C" w:rsidRDefault="0053150F" w:rsidP="00F84AAF">
            <w:pPr>
              <w:pStyle w:val="TAL"/>
              <w:rPr>
                <w:sz w:val="16"/>
                <w:szCs w:val="16"/>
              </w:rPr>
            </w:pPr>
            <w:r w:rsidRPr="00873B6C">
              <w:rPr>
                <w:sz w:val="16"/>
                <w:szCs w:val="16"/>
              </w:rPr>
              <w:t>Mobility Registration Update trigger clarification</w:t>
            </w:r>
          </w:p>
        </w:tc>
        <w:tc>
          <w:tcPr>
            <w:tcW w:w="708" w:type="dxa"/>
            <w:shd w:val="solid" w:color="FFFFFF" w:fill="auto"/>
          </w:tcPr>
          <w:p w14:paraId="68A723E0" w14:textId="270FF5D0" w:rsidR="0053150F" w:rsidRPr="00873B6C" w:rsidRDefault="0053150F" w:rsidP="00F84AAF">
            <w:pPr>
              <w:pStyle w:val="TAC"/>
              <w:rPr>
                <w:sz w:val="16"/>
                <w:szCs w:val="16"/>
              </w:rPr>
            </w:pPr>
            <w:r w:rsidRPr="00873B6C">
              <w:rPr>
                <w:sz w:val="16"/>
                <w:szCs w:val="16"/>
              </w:rPr>
              <w:t>17.3.0</w:t>
            </w:r>
          </w:p>
        </w:tc>
      </w:tr>
      <w:tr w:rsidR="0053150F" w:rsidRPr="00873B6C" w14:paraId="3D88BD31" w14:textId="77777777" w:rsidTr="009D14FB">
        <w:tc>
          <w:tcPr>
            <w:tcW w:w="800" w:type="dxa"/>
            <w:shd w:val="solid" w:color="FFFFFF" w:fill="auto"/>
          </w:tcPr>
          <w:p w14:paraId="029E6D36" w14:textId="41CEC79C"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2D061A0" w14:textId="34CC781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F3DE2A9" w14:textId="5FEE1624" w:rsidR="0053150F" w:rsidRPr="00873B6C" w:rsidRDefault="0053150F" w:rsidP="00F84AAF">
            <w:pPr>
              <w:pStyle w:val="TAC"/>
              <w:rPr>
                <w:sz w:val="16"/>
                <w:szCs w:val="16"/>
              </w:rPr>
            </w:pPr>
            <w:r w:rsidRPr="00873B6C">
              <w:rPr>
                <w:sz w:val="16"/>
                <w:szCs w:val="16"/>
              </w:rPr>
              <w:t>SP-211298</w:t>
            </w:r>
          </w:p>
        </w:tc>
        <w:tc>
          <w:tcPr>
            <w:tcW w:w="567" w:type="dxa"/>
            <w:shd w:val="solid" w:color="FFFFFF" w:fill="auto"/>
          </w:tcPr>
          <w:p w14:paraId="642D4C54" w14:textId="0C74A4EB" w:rsidR="0053150F" w:rsidRPr="00873B6C" w:rsidRDefault="0053150F" w:rsidP="00F84AAF">
            <w:pPr>
              <w:pStyle w:val="TAL"/>
              <w:rPr>
                <w:sz w:val="16"/>
                <w:szCs w:val="16"/>
              </w:rPr>
            </w:pPr>
            <w:r w:rsidRPr="00873B6C">
              <w:rPr>
                <w:sz w:val="16"/>
                <w:szCs w:val="16"/>
              </w:rPr>
              <w:t>3416</w:t>
            </w:r>
          </w:p>
        </w:tc>
        <w:tc>
          <w:tcPr>
            <w:tcW w:w="425" w:type="dxa"/>
            <w:shd w:val="solid" w:color="FFFFFF" w:fill="auto"/>
          </w:tcPr>
          <w:p w14:paraId="38D611AD" w14:textId="5C72548A"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770E78D" w14:textId="1EC6EC5E"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16FCD90" w14:textId="090CD232" w:rsidR="0053150F" w:rsidRPr="00873B6C" w:rsidRDefault="0053150F" w:rsidP="00F84AAF">
            <w:pPr>
              <w:pStyle w:val="TAL"/>
              <w:rPr>
                <w:sz w:val="16"/>
                <w:szCs w:val="16"/>
              </w:rPr>
            </w:pPr>
            <w:r w:rsidRPr="00873B6C">
              <w:rPr>
                <w:sz w:val="16"/>
                <w:szCs w:val="16"/>
              </w:rPr>
              <w:t>Correction on UAS NF discovery and update UAS related AF and NEF service</w:t>
            </w:r>
          </w:p>
        </w:tc>
        <w:tc>
          <w:tcPr>
            <w:tcW w:w="708" w:type="dxa"/>
            <w:shd w:val="solid" w:color="FFFFFF" w:fill="auto"/>
          </w:tcPr>
          <w:p w14:paraId="092DCFC7" w14:textId="5348FB07" w:rsidR="0053150F" w:rsidRPr="00873B6C" w:rsidRDefault="0053150F" w:rsidP="00F84AAF">
            <w:pPr>
              <w:pStyle w:val="TAC"/>
              <w:rPr>
                <w:sz w:val="16"/>
                <w:szCs w:val="16"/>
              </w:rPr>
            </w:pPr>
            <w:r w:rsidRPr="00873B6C">
              <w:rPr>
                <w:sz w:val="16"/>
                <w:szCs w:val="16"/>
              </w:rPr>
              <w:t>17.3.0</w:t>
            </w:r>
          </w:p>
        </w:tc>
      </w:tr>
      <w:tr w:rsidR="0053150F" w:rsidRPr="00873B6C" w14:paraId="6533714A" w14:textId="77777777" w:rsidTr="009D14FB">
        <w:tc>
          <w:tcPr>
            <w:tcW w:w="800" w:type="dxa"/>
            <w:shd w:val="solid" w:color="FFFFFF" w:fill="auto"/>
          </w:tcPr>
          <w:p w14:paraId="2D4368DC" w14:textId="018E0811"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0E1A8C21" w14:textId="40D82208"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B7E770D" w14:textId="474FB9DB" w:rsidR="0053150F" w:rsidRPr="00873B6C" w:rsidRDefault="0053150F" w:rsidP="00F84AAF">
            <w:pPr>
              <w:pStyle w:val="TAC"/>
              <w:rPr>
                <w:sz w:val="16"/>
                <w:szCs w:val="16"/>
              </w:rPr>
            </w:pPr>
            <w:r w:rsidRPr="00873B6C">
              <w:rPr>
                <w:sz w:val="16"/>
                <w:szCs w:val="16"/>
              </w:rPr>
              <w:t>SP-211290</w:t>
            </w:r>
          </w:p>
        </w:tc>
        <w:tc>
          <w:tcPr>
            <w:tcW w:w="567" w:type="dxa"/>
            <w:shd w:val="solid" w:color="FFFFFF" w:fill="auto"/>
          </w:tcPr>
          <w:p w14:paraId="2DA9F5E1" w14:textId="39EE4A8F" w:rsidR="0053150F" w:rsidRPr="00873B6C" w:rsidRDefault="0053150F" w:rsidP="00F84AAF">
            <w:pPr>
              <w:pStyle w:val="TAL"/>
              <w:rPr>
                <w:sz w:val="16"/>
                <w:szCs w:val="16"/>
              </w:rPr>
            </w:pPr>
            <w:r w:rsidRPr="00873B6C">
              <w:rPr>
                <w:sz w:val="16"/>
                <w:szCs w:val="16"/>
              </w:rPr>
              <w:t>3418</w:t>
            </w:r>
          </w:p>
        </w:tc>
        <w:tc>
          <w:tcPr>
            <w:tcW w:w="425" w:type="dxa"/>
            <w:shd w:val="solid" w:color="FFFFFF" w:fill="auto"/>
          </w:tcPr>
          <w:p w14:paraId="6C4A8F81" w14:textId="2A9B4ACD"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3702EBE" w14:textId="3CC1256E"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01BDF1A4" w14:textId="36F831AE" w:rsidR="0053150F" w:rsidRPr="00873B6C" w:rsidRDefault="0053150F" w:rsidP="00F84AAF">
            <w:pPr>
              <w:pStyle w:val="TAL"/>
              <w:rPr>
                <w:sz w:val="16"/>
                <w:szCs w:val="16"/>
              </w:rPr>
            </w:pPr>
            <w:r w:rsidRPr="00873B6C">
              <w:rPr>
                <w:sz w:val="16"/>
                <w:szCs w:val="16"/>
              </w:rPr>
              <w:t>I-SMF removal triggered by removal of target DNAI</w:t>
            </w:r>
          </w:p>
        </w:tc>
        <w:tc>
          <w:tcPr>
            <w:tcW w:w="708" w:type="dxa"/>
            <w:shd w:val="solid" w:color="FFFFFF" w:fill="auto"/>
          </w:tcPr>
          <w:p w14:paraId="6EEBC00C" w14:textId="3FBFA3A7" w:rsidR="0053150F" w:rsidRPr="00873B6C" w:rsidRDefault="0053150F" w:rsidP="00F84AAF">
            <w:pPr>
              <w:pStyle w:val="TAC"/>
              <w:rPr>
                <w:sz w:val="16"/>
                <w:szCs w:val="16"/>
              </w:rPr>
            </w:pPr>
            <w:r w:rsidRPr="00873B6C">
              <w:rPr>
                <w:sz w:val="16"/>
                <w:szCs w:val="16"/>
              </w:rPr>
              <w:t>17.3.0</w:t>
            </w:r>
          </w:p>
        </w:tc>
      </w:tr>
      <w:tr w:rsidR="0053150F" w:rsidRPr="00873B6C" w14:paraId="13F7326D" w14:textId="77777777" w:rsidTr="009D14FB">
        <w:tc>
          <w:tcPr>
            <w:tcW w:w="800" w:type="dxa"/>
            <w:shd w:val="solid" w:color="FFFFFF" w:fill="auto"/>
          </w:tcPr>
          <w:p w14:paraId="435DA997" w14:textId="0D5634F3"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B3FE5E9" w14:textId="3F3A0E57"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D64169A" w14:textId="6DEF4509" w:rsidR="0053150F" w:rsidRPr="00873B6C" w:rsidRDefault="0053150F" w:rsidP="00F84AAF">
            <w:pPr>
              <w:pStyle w:val="TAC"/>
              <w:rPr>
                <w:sz w:val="16"/>
                <w:szCs w:val="16"/>
              </w:rPr>
            </w:pPr>
            <w:r w:rsidRPr="00873B6C">
              <w:rPr>
                <w:sz w:val="16"/>
                <w:szCs w:val="16"/>
              </w:rPr>
              <w:t>SP-211288</w:t>
            </w:r>
          </w:p>
        </w:tc>
        <w:tc>
          <w:tcPr>
            <w:tcW w:w="567" w:type="dxa"/>
            <w:shd w:val="solid" w:color="FFFFFF" w:fill="auto"/>
          </w:tcPr>
          <w:p w14:paraId="63C3EEA1" w14:textId="7C065C51" w:rsidR="0053150F" w:rsidRPr="00873B6C" w:rsidRDefault="0053150F" w:rsidP="00F84AAF">
            <w:pPr>
              <w:pStyle w:val="TAL"/>
              <w:rPr>
                <w:sz w:val="16"/>
                <w:szCs w:val="16"/>
              </w:rPr>
            </w:pPr>
            <w:r w:rsidRPr="00873B6C">
              <w:rPr>
                <w:sz w:val="16"/>
                <w:szCs w:val="16"/>
              </w:rPr>
              <w:t>3421</w:t>
            </w:r>
          </w:p>
        </w:tc>
        <w:tc>
          <w:tcPr>
            <w:tcW w:w="425" w:type="dxa"/>
            <w:shd w:val="solid" w:color="FFFFFF" w:fill="auto"/>
          </w:tcPr>
          <w:p w14:paraId="6EA68AC6" w14:textId="63C4F7DB"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626CA8A" w14:textId="4EC21E70"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934C64F" w14:textId="62B45DE5" w:rsidR="0053150F" w:rsidRPr="00873B6C" w:rsidRDefault="0053150F" w:rsidP="00F84AAF">
            <w:pPr>
              <w:pStyle w:val="TAL"/>
              <w:rPr>
                <w:sz w:val="16"/>
                <w:szCs w:val="16"/>
              </w:rPr>
            </w:pPr>
            <w:r w:rsidRPr="00873B6C">
              <w:rPr>
                <w:sz w:val="16"/>
                <w:szCs w:val="16"/>
              </w:rPr>
              <w:t>Clarification on threshold values</w:t>
            </w:r>
          </w:p>
        </w:tc>
        <w:tc>
          <w:tcPr>
            <w:tcW w:w="708" w:type="dxa"/>
            <w:shd w:val="solid" w:color="FFFFFF" w:fill="auto"/>
          </w:tcPr>
          <w:p w14:paraId="18A884B1" w14:textId="34A338F7" w:rsidR="0053150F" w:rsidRPr="00873B6C" w:rsidRDefault="0053150F" w:rsidP="00F84AAF">
            <w:pPr>
              <w:pStyle w:val="TAC"/>
              <w:rPr>
                <w:sz w:val="16"/>
                <w:szCs w:val="16"/>
              </w:rPr>
            </w:pPr>
            <w:r w:rsidRPr="00873B6C">
              <w:rPr>
                <w:sz w:val="16"/>
                <w:szCs w:val="16"/>
              </w:rPr>
              <w:t>17.3.0</w:t>
            </w:r>
          </w:p>
        </w:tc>
      </w:tr>
      <w:tr w:rsidR="0053150F" w:rsidRPr="00873B6C" w14:paraId="285F53C0" w14:textId="77777777" w:rsidTr="009D14FB">
        <w:tc>
          <w:tcPr>
            <w:tcW w:w="800" w:type="dxa"/>
            <w:shd w:val="solid" w:color="FFFFFF" w:fill="auto"/>
          </w:tcPr>
          <w:p w14:paraId="3530C168" w14:textId="6C1CB44E"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2A7874F2" w14:textId="243E001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A2B2A4C" w14:textId="05273119" w:rsidR="0053150F" w:rsidRPr="00873B6C" w:rsidRDefault="0053150F" w:rsidP="00F84AAF">
            <w:pPr>
              <w:pStyle w:val="TAC"/>
              <w:rPr>
                <w:sz w:val="16"/>
                <w:szCs w:val="16"/>
              </w:rPr>
            </w:pPr>
            <w:r w:rsidRPr="00873B6C">
              <w:rPr>
                <w:sz w:val="16"/>
                <w:szCs w:val="16"/>
              </w:rPr>
              <w:t>SP-211305</w:t>
            </w:r>
          </w:p>
        </w:tc>
        <w:tc>
          <w:tcPr>
            <w:tcW w:w="567" w:type="dxa"/>
            <w:shd w:val="solid" w:color="FFFFFF" w:fill="auto"/>
          </w:tcPr>
          <w:p w14:paraId="1502A344" w14:textId="521519A3" w:rsidR="0053150F" w:rsidRPr="00873B6C" w:rsidRDefault="0053150F" w:rsidP="00F84AAF">
            <w:pPr>
              <w:pStyle w:val="TAL"/>
              <w:rPr>
                <w:sz w:val="16"/>
                <w:szCs w:val="16"/>
              </w:rPr>
            </w:pPr>
            <w:r w:rsidRPr="00873B6C">
              <w:rPr>
                <w:sz w:val="16"/>
                <w:szCs w:val="16"/>
              </w:rPr>
              <w:t>3422</w:t>
            </w:r>
          </w:p>
        </w:tc>
        <w:tc>
          <w:tcPr>
            <w:tcW w:w="425" w:type="dxa"/>
            <w:shd w:val="solid" w:color="FFFFFF" w:fill="auto"/>
          </w:tcPr>
          <w:p w14:paraId="213E32A2" w14:textId="2CD8DA61"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A293CE7" w14:textId="79E43231"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B1251C5" w14:textId="72C124A8" w:rsidR="0053150F" w:rsidRPr="00873B6C" w:rsidRDefault="0053150F" w:rsidP="00F84AAF">
            <w:pPr>
              <w:pStyle w:val="TAL"/>
              <w:rPr>
                <w:sz w:val="16"/>
                <w:szCs w:val="16"/>
              </w:rPr>
            </w:pPr>
            <w:r w:rsidRPr="00873B6C">
              <w:rPr>
                <w:sz w:val="16"/>
                <w:szCs w:val="16"/>
              </w:rPr>
              <w:t>Clarification on support of slicing in TWIF scenario</w:t>
            </w:r>
          </w:p>
        </w:tc>
        <w:tc>
          <w:tcPr>
            <w:tcW w:w="708" w:type="dxa"/>
            <w:shd w:val="solid" w:color="FFFFFF" w:fill="auto"/>
          </w:tcPr>
          <w:p w14:paraId="18D7C2F8" w14:textId="367779D3" w:rsidR="0053150F" w:rsidRPr="00873B6C" w:rsidRDefault="0053150F" w:rsidP="00F84AAF">
            <w:pPr>
              <w:pStyle w:val="TAC"/>
              <w:rPr>
                <w:sz w:val="16"/>
                <w:szCs w:val="16"/>
              </w:rPr>
            </w:pPr>
            <w:r w:rsidRPr="00873B6C">
              <w:rPr>
                <w:sz w:val="16"/>
                <w:szCs w:val="16"/>
              </w:rPr>
              <w:t>17.3.0</w:t>
            </w:r>
          </w:p>
        </w:tc>
      </w:tr>
      <w:tr w:rsidR="0053150F" w:rsidRPr="00873B6C" w14:paraId="0D63A489" w14:textId="77777777" w:rsidTr="009D14FB">
        <w:tc>
          <w:tcPr>
            <w:tcW w:w="800" w:type="dxa"/>
            <w:shd w:val="solid" w:color="FFFFFF" w:fill="auto"/>
          </w:tcPr>
          <w:p w14:paraId="09066642" w14:textId="42ABCE0C"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58D9544" w14:textId="540C77A0"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33A440BF" w14:textId="0DE4C9E6" w:rsidR="0053150F" w:rsidRPr="00873B6C" w:rsidRDefault="0053150F" w:rsidP="00F84AAF">
            <w:pPr>
              <w:pStyle w:val="TAC"/>
              <w:rPr>
                <w:sz w:val="16"/>
                <w:szCs w:val="16"/>
              </w:rPr>
            </w:pPr>
            <w:r w:rsidRPr="00873B6C">
              <w:rPr>
                <w:sz w:val="16"/>
                <w:szCs w:val="16"/>
              </w:rPr>
              <w:t>SP-211295</w:t>
            </w:r>
          </w:p>
        </w:tc>
        <w:tc>
          <w:tcPr>
            <w:tcW w:w="567" w:type="dxa"/>
            <w:shd w:val="solid" w:color="FFFFFF" w:fill="auto"/>
          </w:tcPr>
          <w:p w14:paraId="3F54C092" w14:textId="7E5A368E" w:rsidR="0053150F" w:rsidRPr="00873B6C" w:rsidRDefault="0053150F" w:rsidP="00F84AAF">
            <w:pPr>
              <w:pStyle w:val="TAL"/>
              <w:rPr>
                <w:sz w:val="16"/>
                <w:szCs w:val="16"/>
              </w:rPr>
            </w:pPr>
            <w:r w:rsidRPr="00873B6C">
              <w:rPr>
                <w:sz w:val="16"/>
                <w:szCs w:val="16"/>
              </w:rPr>
              <w:t>3428</w:t>
            </w:r>
          </w:p>
        </w:tc>
        <w:tc>
          <w:tcPr>
            <w:tcW w:w="425" w:type="dxa"/>
            <w:shd w:val="solid" w:color="FFFFFF" w:fill="auto"/>
          </w:tcPr>
          <w:p w14:paraId="316C6B12" w14:textId="24B33561"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275456B3" w14:textId="291843AA"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698EDD9A" w14:textId="4DA71DA6" w:rsidR="0053150F" w:rsidRPr="00873B6C" w:rsidRDefault="0053150F" w:rsidP="00F84AAF">
            <w:pPr>
              <w:pStyle w:val="TAL"/>
              <w:rPr>
                <w:sz w:val="16"/>
                <w:szCs w:val="16"/>
              </w:rPr>
            </w:pPr>
            <w:r w:rsidRPr="00873B6C">
              <w:rPr>
                <w:sz w:val="16"/>
                <w:szCs w:val="16"/>
              </w:rPr>
              <w:t>Correction for External Exposure of Network Capability</w:t>
            </w:r>
          </w:p>
        </w:tc>
        <w:tc>
          <w:tcPr>
            <w:tcW w:w="708" w:type="dxa"/>
            <w:shd w:val="solid" w:color="FFFFFF" w:fill="auto"/>
          </w:tcPr>
          <w:p w14:paraId="28D84F36" w14:textId="756F52CB" w:rsidR="0053150F" w:rsidRPr="00873B6C" w:rsidRDefault="0053150F" w:rsidP="00F84AAF">
            <w:pPr>
              <w:pStyle w:val="TAC"/>
              <w:rPr>
                <w:sz w:val="16"/>
                <w:szCs w:val="16"/>
              </w:rPr>
            </w:pPr>
            <w:r w:rsidRPr="00873B6C">
              <w:rPr>
                <w:sz w:val="16"/>
                <w:szCs w:val="16"/>
              </w:rPr>
              <w:t>17.3.0</w:t>
            </w:r>
          </w:p>
        </w:tc>
      </w:tr>
      <w:tr w:rsidR="0053150F" w:rsidRPr="00873B6C" w14:paraId="59753222" w14:textId="77777777" w:rsidTr="009D14FB">
        <w:tc>
          <w:tcPr>
            <w:tcW w:w="800" w:type="dxa"/>
            <w:shd w:val="solid" w:color="FFFFFF" w:fill="auto"/>
          </w:tcPr>
          <w:p w14:paraId="4AC00A86" w14:textId="00111C6B" w:rsidR="0053150F" w:rsidRPr="00873B6C" w:rsidRDefault="0053150F" w:rsidP="00F84AAF">
            <w:pPr>
              <w:pStyle w:val="TAC"/>
              <w:rPr>
                <w:sz w:val="16"/>
                <w:szCs w:val="16"/>
              </w:rPr>
            </w:pPr>
            <w:r w:rsidRPr="00873B6C">
              <w:rPr>
                <w:sz w:val="16"/>
                <w:szCs w:val="16"/>
              </w:rPr>
              <w:lastRenderedPageBreak/>
              <w:t>2021-12</w:t>
            </w:r>
          </w:p>
        </w:tc>
        <w:tc>
          <w:tcPr>
            <w:tcW w:w="800" w:type="dxa"/>
            <w:shd w:val="solid" w:color="FFFFFF" w:fill="auto"/>
          </w:tcPr>
          <w:p w14:paraId="4460995C" w14:textId="2B7BF51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8E840BA" w14:textId="3AFE6AD6" w:rsidR="0053150F" w:rsidRPr="00873B6C" w:rsidRDefault="0053150F" w:rsidP="00F84AAF">
            <w:pPr>
              <w:pStyle w:val="TAC"/>
              <w:rPr>
                <w:sz w:val="16"/>
                <w:szCs w:val="16"/>
              </w:rPr>
            </w:pPr>
            <w:r w:rsidRPr="00873B6C">
              <w:rPr>
                <w:sz w:val="16"/>
                <w:szCs w:val="16"/>
              </w:rPr>
              <w:t>SP-211302</w:t>
            </w:r>
          </w:p>
        </w:tc>
        <w:tc>
          <w:tcPr>
            <w:tcW w:w="567" w:type="dxa"/>
            <w:shd w:val="solid" w:color="FFFFFF" w:fill="auto"/>
          </w:tcPr>
          <w:p w14:paraId="11080567" w14:textId="666A199B" w:rsidR="0053150F" w:rsidRPr="00873B6C" w:rsidRDefault="0053150F" w:rsidP="00F84AAF">
            <w:pPr>
              <w:pStyle w:val="TAL"/>
              <w:rPr>
                <w:sz w:val="16"/>
                <w:szCs w:val="16"/>
              </w:rPr>
            </w:pPr>
            <w:r w:rsidRPr="00873B6C">
              <w:rPr>
                <w:sz w:val="16"/>
                <w:szCs w:val="16"/>
              </w:rPr>
              <w:t>3430</w:t>
            </w:r>
          </w:p>
        </w:tc>
        <w:tc>
          <w:tcPr>
            <w:tcW w:w="425" w:type="dxa"/>
            <w:shd w:val="solid" w:color="FFFFFF" w:fill="auto"/>
          </w:tcPr>
          <w:p w14:paraId="7BC3EE1F" w14:textId="384158F5"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269313D3" w14:textId="696451AC"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36C432A" w14:textId="1C6C518D" w:rsidR="0053150F" w:rsidRPr="00873B6C" w:rsidRDefault="0053150F" w:rsidP="00F84AAF">
            <w:pPr>
              <w:pStyle w:val="TAL"/>
              <w:rPr>
                <w:sz w:val="16"/>
                <w:szCs w:val="16"/>
              </w:rPr>
            </w:pPr>
            <w:r w:rsidRPr="00873B6C">
              <w:rPr>
                <w:sz w:val="16"/>
                <w:szCs w:val="16"/>
              </w:rPr>
              <w:t>Adding Paging Cause Indication for Voice Service Supported in the RRC Inactive AI</w:t>
            </w:r>
          </w:p>
        </w:tc>
        <w:tc>
          <w:tcPr>
            <w:tcW w:w="708" w:type="dxa"/>
            <w:shd w:val="solid" w:color="FFFFFF" w:fill="auto"/>
          </w:tcPr>
          <w:p w14:paraId="1B59A755" w14:textId="0F5ADE67" w:rsidR="0053150F" w:rsidRPr="00873B6C" w:rsidRDefault="0053150F" w:rsidP="00F84AAF">
            <w:pPr>
              <w:pStyle w:val="TAC"/>
              <w:rPr>
                <w:sz w:val="16"/>
                <w:szCs w:val="16"/>
              </w:rPr>
            </w:pPr>
            <w:r w:rsidRPr="00873B6C">
              <w:rPr>
                <w:sz w:val="16"/>
                <w:szCs w:val="16"/>
              </w:rPr>
              <w:t>17.3.0</w:t>
            </w:r>
          </w:p>
        </w:tc>
      </w:tr>
      <w:tr w:rsidR="0053150F" w:rsidRPr="00873B6C" w14:paraId="5BAD44B3" w14:textId="77777777" w:rsidTr="009D14FB">
        <w:tc>
          <w:tcPr>
            <w:tcW w:w="800" w:type="dxa"/>
            <w:shd w:val="solid" w:color="FFFFFF" w:fill="auto"/>
          </w:tcPr>
          <w:p w14:paraId="6E939FF4" w14:textId="213163E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306C4A07" w14:textId="7ED2610B"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560C815" w14:textId="59B095E3" w:rsidR="0053150F" w:rsidRPr="00873B6C" w:rsidRDefault="0053150F" w:rsidP="00F84AAF">
            <w:pPr>
              <w:pStyle w:val="TAC"/>
              <w:rPr>
                <w:sz w:val="16"/>
                <w:szCs w:val="16"/>
              </w:rPr>
            </w:pPr>
            <w:r w:rsidRPr="00873B6C">
              <w:rPr>
                <w:sz w:val="16"/>
                <w:szCs w:val="16"/>
              </w:rPr>
              <w:t>SP-211294</w:t>
            </w:r>
          </w:p>
        </w:tc>
        <w:tc>
          <w:tcPr>
            <w:tcW w:w="567" w:type="dxa"/>
            <w:shd w:val="solid" w:color="FFFFFF" w:fill="auto"/>
          </w:tcPr>
          <w:p w14:paraId="2CE8A9CB" w14:textId="4492C74C" w:rsidR="0053150F" w:rsidRPr="00873B6C" w:rsidRDefault="0053150F" w:rsidP="00F84AAF">
            <w:pPr>
              <w:pStyle w:val="TAL"/>
              <w:rPr>
                <w:sz w:val="16"/>
                <w:szCs w:val="16"/>
              </w:rPr>
            </w:pPr>
            <w:r w:rsidRPr="00873B6C">
              <w:rPr>
                <w:sz w:val="16"/>
                <w:szCs w:val="16"/>
              </w:rPr>
              <w:t>3431</w:t>
            </w:r>
          </w:p>
        </w:tc>
        <w:tc>
          <w:tcPr>
            <w:tcW w:w="425" w:type="dxa"/>
            <w:shd w:val="solid" w:color="FFFFFF" w:fill="auto"/>
          </w:tcPr>
          <w:p w14:paraId="74C69441" w14:textId="3B681B53"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13274B5" w14:textId="5B8E06CE"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07B3F73C" w14:textId="2ECD8692" w:rsidR="0053150F" w:rsidRPr="00873B6C" w:rsidRDefault="0053150F" w:rsidP="00F84AAF">
            <w:pPr>
              <w:pStyle w:val="TAL"/>
              <w:rPr>
                <w:sz w:val="16"/>
                <w:szCs w:val="16"/>
              </w:rPr>
            </w:pPr>
            <w:r w:rsidRPr="00873B6C">
              <w:rPr>
                <w:sz w:val="16"/>
                <w:szCs w:val="16"/>
              </w:rPr>
              <w:t>Correction for switching 3GPP access between SNPN and PLMN</w:t>
            </w:r>
          </w:p>
        </w:tc>
        <w:tc>
          <w:tcPr>
            <w:tcW w:w="708" w:type="dxa"/>
            <w:shd w:val="solid" w:color="FFFFFF" w:fill="auto"/>
          </w:tcPr>
          <w:p w14:paraId="1E20641C" w14:textId="1B9172EF" w:rsidR="0053150F" w:rsidRPr="00873B6C" w:rsidRDefault="0053150F" w:rsidP="00F84AAF">
            <w:pPr>
              <w:pStyle w:val="TAC"/>
              <w:rPr>
                <w:sz w:val="16"/>
                <w:szCs w:val="16"/>
              </w:rPr>
            </w:pPr>
            <w:r w:rsidRPr="00873B6C">
              <w:rPr>
                <w:sz w:val="16"/>
                <w:szCs w:val="16"/>
              </w:rPr>
              <w:t>17.3.0</w:t>
            </w:r>
          </w:p>
        </w:tc>
      </w:tr>
      <w:tr w:rsidR="0053150F" w:rsidRPr="00873B6C" w14:paraId="62955698" w14:textId="77777777" w:rsidTr="009D14FB">
        <w:tc>
          <w:tcPr>
            <w:tcW w:w="800" w:type="dxa"/>
            <w:shd w:val="solid" w:color="FFFFFF" w:fill="auto"/>
          </w:tcPr>
          <w:p w14:paraId="41767AC3" w14:textId="1627F71D"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9506F51" w14:textId="163FCA9C"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1DCB6685" w14:textId="7295FAE9"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1F28CBF8" w14:textId="6B05D9F5" w:rsidR="0053150F" w:rsidRPr="00873B6C" w:rsidRDefault="0053150F" w:rsidP="00F84AAF">
            <w:pPr>
              <w:pStyle w:val="TAL"/>
              <w:rPr>
                <w:sz w:val="16"/>
                <w:szCs w:val="16"/>
              </w:rPr>
            </w:pPr>
            <w:r w:rsidRPr="00873B6C">
              <w:rPr>
                <w:sz w:val="16"/>
                <w:szCs w:val="16"/>
              </w:rPr>
              <w:t>3438</w:t>
            </w:r>
          </w:p>
        </w:tc>
        <w:tc>
          <w:tcPr>
            <w:tcW w:w="425" w:type="dxa"/>
            <w:shd w:val="solid" w:color="FFFFFF" w:fill="auto"/>
          </w:tcPr>
          <w:p w14:paraId="7B259FCA" w14:textId="1D03A00A"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D6FF926" w14:textId="5FEF48E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BB60EE0" w14:textId="3C446E30" w:rsidR="0053150F" w:rsidRPr="00873B6C" w:rsidRDefault="0053150F" w:rsidP="00F84AAF">
            <w:pPr>
              <w:pStyle w:val="TAL"/>
              <w:rPr>
                <w:sz w:val="16"/>
                <w:szCs w:val="16"/>
              </w:rPr>
            </w:pPr>
            <w:r w:rsidRPr="00873B6C">
              <w:rPr>
                <w:sz w:val="16"/>
                <w:szCs w:val="16"/>
              </w:rPr>
              <w:t>Multiple PTP instances supported in 5GS</w:t>
            </w:r>
          </w:p>
        </w:tc>
        <w:tc>
          <w:tcPr>
            <w:tcW w:w="708" w:type="dxa"/>
            <w:shd w:val="solid" w:color="FFFFFF" w:fill="auto"/>
          </w:tcPr>
          <w:p w14:paraId="1265B31F" w14:textId="66C3F24A" w:rsidR="0053150F" w:rsidRPr="00873B6C" w:rsidRDefault="0053150F" w:rsidP="00F84AAF">
            <w:pPr>
              <w:pStyle w:val="TAC"/>
              <w:rPr>
                <w:sz w:val="16"/>
                <w:szCs w:val="16"/>
              </w:rPr>
            </w:pPr>
            <w:r w:rsidRPr="00873B6C">
              <w:rPr>
                <w:sz w:val="16"/>
                <w:szCs w:val="16"/>
              </w:rPr>
              <w:t>17.3.0</w:t>
            </w:r>
          </w:p>
        </w:tc>
      </w:tr>
      <w:tr w:rsidR="0053150F" w:rsidRPr="00873B6C" w14:paraId="1F46F110" w14:textId="77777777" w:rsidTr="009D14FB">
        <w:tc>
          <w:tcPr>
            <w:tcW w:w="800" w:type="dxa"/>
            <w:shd w:val="solid" w:color="FFFFFF" w:fill="auto"/>
          </w:tcPr>
          <w:p w14:paraId="2333D2C3" w14:textId="7F9AAD0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6294FA5" w14:textId="6BECEAE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9E12763" w14:textId="755B5904" w:rsidR="0053150F" w:rsidRPr="00873B6C" w:rsidRDefault="0053150F" w:rsidP="00F84AAF">
            <w:pPr>
              <w:pStyle w:val="TAC"/>
              <w:rPr>
                <w:sz w:val="16"/>
                <w:szCs w:val="16"/>
              </w:rPr>
            </w:pPr>
            <w:r w:rsidRPr="00873B6C">
              <w:rPr>
                <w:sz w:val="16"/>
                <w:szCs w:val="16"/>
              </w:rPr>
              <w:t>SP-211300</w:t>
            </w:r>
          </w:p>
        </w:tc>
        <w:tc>
          <w:tcPr>
            <w:tcW w:w="567" w:type="dxa"/>
            <w:shd w:val="solid" w:color="FFFFFF" w:fill="auto"/>
          </w:tcPr>
          <w:p w14:paraId="5DB0CE84" w14:textId="5005AD0B" w:rsidR="0053150F" w:rsidRPr="00873B6C" w:rsidRDefault="0053150F" w:rsidP="00F84AAF">
            <w:pPr>
              <w:pStyle w:val="TAL"/>
              <w:rPr>
                <w:sz w:val="16"/>
                <w:szCs w:val="16"/>
              </w:rPr>
            </w:pPr>
            <w:r w:rsidRPr="00873B6C">
              <w:rPr>
                <w:sz w:val="16"/>
                <w:szCs w:val="16"/>
              </w:rPr>
              <w:t>3439</w:t>
            </w:r>
          </w:p>
        </w:tc>
        <w:tc>
          <w:tcPr>
            <w:tcW w:w="425" w:type="dxa"/>
            <w:shd w:val="solid" w:color="FFFFFF" w:fill="auto"/>
          </w:tcPr>
          <w:p w14:paraId="62EF77B7" w14:textId="2F0E54B1"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17D0988D" w14:textId="7F747252"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3879105F" w14:textId="4C00F255" w:rsidR="0053150F" w:rsidRPr="00873B6C" w:rsidRDefault="0053150F" w:rsidP="00F84AAF">
            <w:pPr>
              <w:pStyle w:val="TAL"/>
              <w:rPr>
                <w:sz w:val="16"/>
                <w:szCs w:val="16"/>
              </w:rPr>
            </w:pPr>
            <w:r w:rsidRPr="00873B6C">
              <w:rPr>
                <w:sz w:val="16"/>
                <w:szCs w:val="16"/>
              </w:rPr>
              <w:t>Update on configuration for Sync and Announce reception timeouts</w:t>
            </w:r>
          </w:p>
        </w:tc>
        <w:tc>
          <w:tcPr>
            <w:tcW w:w="708" w:type="dxa"/>
            <w:shd w:val="solid" w:color="FFFFFF" w:fill="auto"/>
          </w:tcPr>
          <w:p w14:paraId="1775DA5D" w14:textId="5C59AD77" w:rsidR="0053150F" w:rsidRPr="00873B6C" w:rsidRDefault="0053150F" w:rsidP="00F84AAF">
            <w:pPr>
              <w:pStyle w:val="TAC"/>
              <w:rPr>
                <w:sz w:val="16"/>
                <w:szCs w:val="16"/>
              </w:rPr>
            </w:pPr>
            <w:r w:rsidRPr="00873B6C">
              <w:rPr>
                <w:sz w:val="16"/>
                <w:szCs w:val="16"/>
              </w:rPr>
              <w:t>17.3.0</w:t>
            </w:r>
          </w:p>
        </w:tc>
      </w:tr>
      <w:tr w:rsidR="0053150F" w:rsidRPr="00873B6C" w14:paraId="1EE3263D" w14:textId="77777777" w:rsidTr="009D14FB">
        <w:tc>
          <w:tcPr>
            <w:tcW w:w="800" w:type="dxa"/>
            <w:shd w:val="solid" w:color="FFFFFF" w:fill="auto"/>
          </w:tcPr>
          <w:p w14:paraId="2C58690F" w14:textId="0B3EA67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6C31F57" w14:textId="7D84CE7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169643F8" w14:textId="5EA9B274" w:rsidR="0053150F" w:rsidRPr="00873B6C" w:rsidRDefault="0053150F" w:rsidP="00F84AAF">
            <w:pPr>
              <w:pStyle w:val="TAC"/>
              <w:rPr>
                <w:sz w:val="16"/>
                <w:szCs w:val="16"/>
              </w:rPr>
            </w:pPr>
            <w:r w:rsidRPr="00873B6C">
              <w:rPr>
                <w:sz w:val="16"/>
                <w:szCs w:val="16"/>
              </w:rPr>
              <w:t>SP-211305</w:t>
            </w:r>
          </w:p>
        </w:tc>
        <w:tc>
          <w:tcPr>
            <w:tcW w:w="567" w:type="dxa"/>
            <w:shd w:val="solid" w:color="FFFFFF" w:fill="auto"/>
          </w:tcPr>
          <w:p w14:paraId="1DBA4222" w14:textId="417C2F15" w:rsidR="0053150F" w:rsidRPr="00873B6C" w:rsidRDefault="0053150F" w:rsidP="00F84AAF">
            <w:pPr>
              <w:pStyle w:val="TAL"/>
              <w:rPr>
                <w:sz w:val="16"/>
                <w:szCs w:val="16"/>
              </w:rPr>
            </w:pPr>
            <w:r w:rsidRPr="00873B6C">
              <w:rPr>
                <w:sz w:val="16"/>
                <w:szCs w:val="16"/>
              </w:rPr>
              <w:t>3440</w:t>
            </w:r>
          </w:p>
        </w:tc>
        <w:tc>
          <w:tcPr>
            <w:tcW w:w="425" w:type="dxa"/>
            <w:shd w:val="solid" w:color="FFFFFF" w:fill="auto"/>
          </w:tcPr>
          <w:p w14:paraId="0D87DF4E" w14:textId="78A086E9"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308E7BB8" w14:textId="4B346F69"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652D0727" w14:textId="44528E6B" w:rsidR="0053150F" w:rsidRPr="00873B6C" w:rsidRDefault="0053150F" w:rsidP="00F84AAF">
            <w:pPr>
              <w:pStyle w:val="TAL"/>
              <w:rPr>
                <w:sz w:val="16"/>
                <w:szCs w:val="16"/>
              </w:rPr>
            </w:pPr>
            <w:r w:rsidRPr="00873B6C">
              <w:rPr>
                <w:sz w:val="16"/>
                <w:szCs w:val="16"/>
              </w:rPr>
              <w:t>Removal of a now obsolete sentence about non-3GPP Access being forbidden in a PLMN</w:t>
            </w:r>
          </w:p>
        </w:tc>
        <w:tc>
          <w:tcPr>
            <w:tcW w:w="708" w:type="dxa"/>
            <w:shd w:val="solid" w:color="FFFFFF" w:fill="auto"/>
          </w:tcPr>
          <w:p w14:paraId="0B783DAF" w14:textId="555F50C1" w:rsidR="0053150F" w:rsidRPr="00873B6C" w:rsidRDefault="0053150F" w:rsidP="00F84AAF">
            <w:pPr>
              <w:pStyle w:val="TAC"/>
              <w:rPr>
                <w:sz w:val="16"/>
                <w:szCs w:val="16"/>
              </w:rPr>
            </w:pPr>
            <w:r w:rsidRPr="00873B6C">
              <w:rPr>
                <w:sz w:val="16"/>
                <w:szCs w:val="16"/>
              </w:rPr>
              <w:t>17.3.0</w:t>
            </w:r>
          </w:p>
        </w:tc>
      </w:tr>
      <w:tr w:rsidR="0053150F" w:rsidRPr="00873B6C" w14:paraId="21EB9226" w14:textId="77777777" w:rsidTr="009D14FB">
        <w:tc>
          <w:tcPr>
            <w:tcW w:w="800" w:type="dxa"/>
            <w:shd w:val="solid" w:color="FFFFFF" w:fill="auto"/>
          </w:tcPr>
          <w:p w14:paraId="391C9202" w14:textId="65526EFB"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81A2AE0" w14:textId="26786F59"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3EEB862D" w14:textId="1A6854F0" w:rsidR="0053150F" w:rsidRPr="00873B6C" w:rsidRDefault="0053150F" w:rsidP="00F84AAF">
            <w:pPr>
              <w:pStyle w:val="TAC"/>
              <w:rPr>
                <w:sz w:val="16"/>
                <w:szCs w:val="16"/>
              </w:rPr>
            </w:pPr>
            <w:r w:rsidRPr="00873B6C">
              <w:rPr>
                <w:sz w:val="16"/>
                <w:szCs w:val="16"/>
              </w:rPr>
              <w:t>SP-211279</w:t>
            </w:r>
          </w:p>
        </w:tc>
        <w:tc>
          <w:tcPr>
            <w:tcW w:w="567" w:type="dxa"/>
            <w:shd w:val="solid" w:color="FFFFFF" w:fill="auto"/>
          </w:tcPr>
          <w:p w14:paraId="6C874C07" w14:textId="3B5EC963" w:rsidR="0053150F" w:rsidRPr="00873B6C" w:rsidRDefault="0053150F" w:rsidP="00F84AAF">
            <w:pPr>
              <w:pStyle w:val="TAL"/>
              <w:rPr>
                <w:sz w:val="16"/>
                <w:szCs w:val="16"/>
              </w:rPr>
            </w:pPr>
            <w:r w:rsidRPr="00873B6C">
              <w:rPr>
                <w:sz w:val="16"/>
                <w:szCs w:val="16"/>
              </w:rPr>
              <w:t>3442</w:t>
            </w:r>
          </w:p>
        </w:tc>
        <w:tc>
          <w:tcPr>
            <w:tcW w:w="425" w:type="dxa"/>
            <w:shd w:val="solid" w:color="FFFFFF" w:fill="auto"/>
          </w:tcPr>
          <w:p w14:paraId="1D7CA706" w14:textId="1C53338C"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52205C08" w14:textId="319082F6" w:rsidR="0053150F" w:rsidRPr="00873B6C" w:rsidRDefault="0053150F" w:rsidP="00F84AAF">
            <w:pPr>
              <w:pStyle w:val="TAL"/>
              <w:rPr>
                <w:sz w:val="16"/>
                <w:szCs w:val="16"/>
              </w:rPr>
            </w:pPr>
            <w:r w:rsidRPr="00873B6C">
              <w:rPr>
                <w:sz w:val="16"/>
                <w:szCs w:val="16"/>
              </w:rPr>
              <w:t>A</w:t>
            </w:r>
          </w:p>
        </w:tc>
        <w:tc>
          <w:tcPr>
            <w:tcW w:w="4820" w:type="dxa"/>
            <w:shd w:val="solid" w:color="FFFFFF" w:fill="auto"/>
          </w:tcPr>
          <w:p w14:paraId="3E778A5B" w14:textId="73CFE62B" w:rsidR="0053150F" w:rsidRPr="00873B6C" w:rsidRDefault="0053150F" w:rsidP="00F84AAF">
            <w:pPr>
              <w:pStyle w:val="TAL"/>
              <w:rPr>
                <w:sz w:val="16"/>
                <w:szCs w:val="16"/>
              </w:rPr>
            </w:pPr>
            <w:r w:rsidRPr="00873B6C">
              <w:rPr>
                <w:sz w:val="16"/>
                <w:szCs w:val="16"/>
              </w:rPr>
              <w:t>Layer below IPsec to enable NAT traversal for TNGF/N3IWF access</w:t>
            </w:r>
          </w:p>
        </w:tc>
        <w:tc>
          <w:tcPr>
            <w:tcW w:w="708" w:type="dxa"/>
            <w:shd w:val="solid" w:color="FFFFFF" w:fill="auto"/>
          </w:tcPr>
          <w:p w14:paraId="0B038AAC" w14:textId="4F5F65A9" w:rsidR="0053150F" w:rsidRPr="00873B6C" w:rsidRDefault="0053150F" w:rsidP="00F84AAF">
            <w:pPr>
              <w:pStyle w:val="TAC"/>
              <w:rPr>
                <w:sz w:val="16"/>
                <w:szCs w:val="16"/>
              </w:rPr>
            </w:pPr>
            <w:r w:rsidRPr="00873B6C">
              <w:rPr>
                <w:sz w:val="16"/>
                <w:szCs w:val="16"/>
              </w:rPr>
              <w:t>17.3.0</w:t>
            </w:r>
          </w:p>
        </w:tc>
      </w:tr>
      <w:tr w:rsidR="0053150F" w:rsidRPr="00873B6C" w14:paraId="6DF45AF4" w14:textId="77777777" w:rsidTr="009D14FB">
        <w:tc>
          <w:tcPr>
            <w:tcW w:w="800" w:type="dxa"/>
            <w:shd w:val="solid" w:color="FFFFFF" w:fill="auto"/>
          </w:tcPr>
          <w:p w14:paraId="7AE61F4E" w14:textId="5252471D"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694BF1AA" w14:textId="397F02C5"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182EA31" w14:textId="6C12436C" w:rsidR="0053150F" w:rsidRPr="00873B6C" w:rsidRDefault="0053150F" w:rsidP="00F84AAF">
            <w:pPr>
              <w:pStyle w:val="TAC"/>
              <w:rPr>
                <w:sz w:val="16"/>
                <w:szCs w:val="16"/>
              </w:rPr>
            </w:pPr>
            <w:r w:rsidRPr="00873B6C">
              <w:rPr>
                <w:sz w:val="16"/>
                <w:szCs w:val="16"/>
              </w:rPr>
              <w:t>SP-211278</w:t>
            </w:r>
          </w:p>
        </w:tc>
        <w:tc>
          <w:tcPr>
            <w:tcW w:w="567" w:type="dxa"/>
            <w:shd w:val="solid" w:color="FFFFFF" w:fill="auto"/>
          </w:tcPr>
          <w:p w14:paraId="365F0EB3" w14:textId="5C3AA2A2" w:rsidR="0053150F" w:rsidRPr="00873B6C" w:rsidRDefault="0053150F" w:rsidP="00F84AAF">
            <w:pPr>
              <w:pStyle w:val="TAL"/>
              <w:rPr>
                <w:sz w:val="16"/>
                <w:szCs w:val="16"/>
              </w:rPr>
            </w:pPr>
            <w:r w:rsidRPr="00873B6C">
              <w:rPr>
                <w:sz w:val="16"/>
                <w:szCs w:val="16"/>
              </w:rPr>
              <w:t>3443</w:t>
            </w:r>
          </w:p>
        </w:tc>
        <w:tc>
          <w:tcPr>
            <w:tcW w:w="425" w:type="dxa"/>
            <w:shd w:val="solid" w:color="FFFFFF" w:fill="auto"/>
          </w:tcPr>
          <w:p w14:paraId="77C3CC01" w14:textId="13B16D57"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2D76408B" w14:textId="5C12A28F" w:rsidR="0053150F" w:rsidRPr="00873B6C" w:rsidRDefault="0053150F" w:rsidP="00F84AAF">
            <w:pPr>
              <w:pStyle w:val="TAL"/>
              <w:rPr>
                <w:sz w:val="16"/>
                <w:szCs w:val="16"/>
              </w:rPr>
            </w:pPr>
            <w:r w:rsidRPr="00873B6C">
              <w:rPr>
                <w:sz w:val="16"/>
                <w:szCs w:val="16"/>
              </w:rPr>
              <w:t>A</w:t>
            </w:r>
          </w:p>
        </w:tc>
        <w:tc>
          <w:tcPr>
            <w:tcW w:w="4820" w:type="dxa"/>
            <w:shd w:val="solid" w:color="FFFFFF" w:fill="auto"/>
          </w:tcPr>
          <w:p w14:paraId="2C96E9D7" w14:textId="79B43969" w:rsidR="0053150F" w:rsidRPr="00873B6C" w:rsidRDefault="0053150F" w:rsidP="00F84AAF">
            <w:pPr>
              <w:pStyle w:val="TAL"/>
              <w:rPr>
                <w:sz w:val="16"/>
                <w:szCs w:val="16"/>
              </w:rPr>
            </w:pPr>
            <w:r w:rsidRPr="00873B6C">
              <w:rPr>
                <w:sz w:val="16"/>
                <w:szCs w:val="16"/>
              </w:rPr>
              <w:t>Adding AdminCycleTimeExtension and PSFPAdminCycleTimeExtension to PMIC</w:t>
            </w:r>
          </w:p>
        </w:tc>
        <w:tc>
          <w:tcPr>
            <w:tcW w:w="708" w:type="dxa"/>
            <w:shd w:val="solid" w:color="FFFFFF" w:fill="auto"/>
          </w:tcPr>
          <w:p w14:paraId="3495B2AD" w14:textId="4E01D838" w:rsidR="0053150F" w:rsidRPr="00873B6C" w:rsidRDefault="0053150F" w:rsidP="00F84AAF">
            <w:pPr>
              <w:pStyle w:val="TAC"/>
              <w:rPr>
                <w:sz w:val="16"/>
                <w:szCs w:val="16"/>
              </w:rPr>
            </w:pPr>
            <w:r w:rsidRPr="00873B6C">
              <w:rPr>
                <w:sz w:val="16"/>
                <w:szCs w:val="16"/>
              </w:rPr>
              <w:t>17.3.0</w:t>
            </w:r>
          </w:p>
        </w:tc>
      </w:tr>
      <w:tr w:rsidR="0053150F" w:rsidRPr="00873B6C" w14:paraId="720B609E" w14:textId="77777777" w:rsidTr="009D14FB">
        <w:tc>
          <w:tcPr>
            <w:tcW w:w="800" w:type="dxa"/>
            <w:shd w:val="solid" w:color="FFFFFF" w:fill="auto"/>
          </w:tcPr>
          <w:p w14:paraId="4A4B9149" w14:textId="39868BF4"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0118226" w14:textId="79B3E189"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ABAC378" w14:textId="269A43D2" w:rsidR="0053150F" w:rsidRPr="00873B6C" w:rsidRDefault="0053150F" w:rsidP="00F84AAF">
            <w:pPr>
              <w:pStyle w:val="TAC"/>
              <w:rPr>
                <w:sz w:val="16"/>
                <w:szCs w:val="16"/>
              </w:rPr>
            </w:pPr>
            <w:r w:rsidRPr="00873B6C">
              <w:rPr>
                <w:sz w:val="16"/>
                <w:szCs w:val="16"/>
              </w:rPr>
              <w:t>SP-211278</w:t>
            </w:r>
          </w:p>
        </w:tc>
        <w:tc>
          <w:tcPr>
            <w:tcW w:w="567" w:type="dxa"/>
            <w:shd w:val="solid" w:color="FFFFFF" w:fill="auto"/>
          </w:tcPr>
          <w:p w14:paraId="79E9C05C" w14:textId="36C1AFA6" w:rsidR="0053150F" w:rsidRPr="00873B6C" w:rsidRDefault="0053150F" w:rsidP="00F84AAF">
            <w:pPr>
              <w:pStyle w:val="TAL"/>
              <w:rPr>
                <w:sz w:val="16"/>
                <w:szCs w:val="16"/>
              </w:rPr>
            </w:pPr>
            <w:r w:rsidRPr="00873B6C">
              <w:rPr>
                <w:sz w:val="16"/>
                <w:szCs w:val="16"/>
              </w:rPr>
              <w:t>3447</w:t>
            </w:r>
          </w:p>
        </w:tc>
        <w:tc>
          <w:tcPr>
            <w:tcW w:w="425" w:type="dxa"/>
            <w:shd w:val="solid" w:color="FFFFFF" w:fill="auto"/>
          </w:tcPr>
          <w:p w14:paraId="17858D99" w14:textId="1C1EB358"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7995E9F0" w14:textId="17FFD780" w:rsidR="0053150F" w:rsidRPr="00873B6C" w:rsidRDefault="0053150F" w:rsidP="00F84AAF">
            <w:pPr>
              <w:pStyle w:val="TAL"/>
              <w:rPr>
                <w:sz w:val="16"/>
                <w:szCs w:val="16"/>
              </w:rPr>
            </w:pPr>
            <w:r w:rsidRPr="00873B6C">
              <w:rPr>
                <w:sz w:val="16"/>
                <w:szCs w:val="16"/>
              </w:rPr>
              <w:t>A</w:t>
            </w:r>
          </w:p>
        </w:tc>
        <w:tc>
          <w:tcPr>
            <w:tcW w:w="4820" w:type="dxa"/>
            <w:shd w:val="solid" w:color="FFFFFF" w:fill="auto"/>
          </w:tcPr>
          <w:p w14:paraId="073CA7B5" w14:textId="55F57B67" w:rsidR="0053150F" w:rsidRPr="00873B6C" w:rsidRDefault="0053150F" w:rsidP="00F84AAF">
            <w:pPr>
              <w:pStyle w:val="TAL"/>
              <w:rPr>
                <w:sz w:val="16"/>
                <w:szCs w:val="16"/>
              </w:rPr>
            </w:pPr>
            <w:r w:rsidRPr="00873B6C">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873B6C" w:rsidRDefault="0053150F" w:rsidP="00F84AAF">
            <w:pPr>
              <w:pStyle w:val="TAC"/>
              <w:rPr>
                <w:sz w:val="16"/>
                <w:szCs w:val="16"/>
              </w:rPr>
            </w:pPr>
            <w:r w:rsidRPr="00873B6C">
              <w:rPr>
                <w:sz w:val="16"/>
                <w:szCs w:val="16"/>
              </w:rPr>
              <w:t>17.3.0</w:t>
            </w:r>
          </w:p>
        </w:tc>
      </w:tr>
      <w:tr w:rsidR="0053150F" w:rsidRPr="00873B6C" w14:paraId="559B58BA" w14:textId="77777777" w:rsidTr="009D14FB">
        <w:tc>
          <w:tcPr>
            <w:tcW w:w="800" w:type="dxa"/>
            <w:shd w:val="solid" w:color="FFFFFF" w:fill="auto"/>
          </w:tcPr>
          <w:p w14:paraId="29465FA5" w14:textId="43A7AAF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0BCFFC8F" w14:textId="1256A5F1"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518B598" w14:textId="23B2366F" w:rsidR="0053150F" w:rsidRPr="00873B6C" w:rsidRDefault="0053150F" w:rsidP="00F84AAF">
            <w:pPr>
              <w:pStyle w:val="TAC"/>
              <w:rPr>
                <w:sz w:val="16"/>
                <w:szCs w:val="16"/>
              </w:rPr>
            </w:pPr>
            <w:r w:rsidRPr="00873B6C">
              <w:rPr>
                <w:sz w:val="16"/>
                <w:szCs w:val="16"/>
              </w:rPr>
              <w:t>SP-211302</w:t>
            </w:r>
          </w:p>
        </w:tc>
        <w:tc>
          <w:tcPr>
            <w:tcW w:w="567" w:type="dxa"/>
            <w:shd w:val="solid" w:color="FFFFFF" w:fill="auto"/>
          </w:tcPr>
          <w:p w14:paraId="5FFB522C" w14:textId="2D7DBCD9" w:rsidR="0053150F" w:rsidRPr="00873B6C" w:rsidRDefault="0053150F" w:rsidP="00F84AAF">
            <w:pPr>
              <w:pStyle w:val="TAL"/>
              <w:rPr>
                <w:sz w:val="16"/>
                <w:szCs w:val="16"/>
              </w:rPr>
            </w:pPr>
            <w:r w:rsidRPr="00873B6C">
              <w:rPr>
                <w:sz w:val="16"/>
                <w:szCs w:val="16"/>
              </w:rPr>
              <w:t>3449</w:t>
            </w:r>
          </w:p>
        </w:tc>
        <w:tc>
          <w:tcPr>
            <w:tcW w:w="425" w:type="dxa"/>
            <w:shd w:val="solid" w:color="FFFFFF" w:fill="auto"/>
          </w:tcPr>
          <w:p w14:paraId="478C468A" w14:textId="03ECB340"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B7AECD4" w14:textId="224029A0"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65DC72E8" w14:textId="45539264" w:rsidR="0053150F" w:rsidRPr="00873B6C" w:rsidRDefault="0053150F" w:rsidP="00F84AAF">
            <w:pPr>
              <w:pStyle w:val="TAL"/>
              <w:rPr>
                <w:sz w:val="16"/>
                <w:szCs w:val="16"/>
              </w:rPr>
            </w:pPr>
            <w:r w:rsidRPr="00873B6C">
              <w:rPr>
                <w:sz w:val="16"/>
                <w:szCs w:val="16"/>
              </w:rPr>
              <w:t>Clarification on paging restrictions</w:t>
            </w:r>
          </w:p>
        </w:tc>
        <w:tc>
          <w:tcPr>
            <w:tcW w:w="708" w:type="dxa"/>
            <w:shd w:val="solid" w:color="FFFFFF" w:fill="auto"/>
          </w:tcPr>
          <w:p w14:paraId="55310BB7" w14:textId="05ED1E38" w:rsidR="0053150F" w:rsidRPr="00873B6C" w:rsidRDefault="0053150F" w:rsidP="00F84AAF">
            <w:pPr>
              <w:pStyle w:val="TAC"/>
              <w:rPr>
                <w:sz w:val="16"/>
                <w:szCs w:val="16"/>
              </w:rPr>
            </w:pPr>
            <w:r w:rsidRPr="00873B6C">
              <w:rPr>
                <w:sz w:val="16"/>
                <w:szCs w:val="16"/>
              </w:rPr>
              <w:t>17.3.0</w:t>
            </w:r>
          </w:p>
        </w:tc>
      </w:tr>
      <w:tr w:rsidR="0053150F" w:rsidRPr="00873B6C" w14:paraId="48F76526" w14:textId="77777777" w:rsidTr="009D14FB">
        <w:tc>
          <w:tcPr>
            <w:tcW w:w="800" w:type="dxa"/>
            <w:shd w:val="solid" w:color="FFFFFF" w:fill="auto"/>
          </w:tcPr>
          <w:p w14:paraId="466290EB" w14:textId="55F04183"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4E5E7178" w14:textId="7D0E2F34"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1833EA3A" w14:textId="4DFD6672" w:rsidR="0053150F" w:rsidRPr="00873B6C" w:rsidRDefault="0053150F" w:rsidP="00F84AAF">
            <w:pPr>
              <w:pStyle w:val="TAC"/>
              <w:rPr>
                <w:sz w:val="16"/>
                <w:szCs w:val="16"/>
              </w:rPr>
            </w:pPr>
            <w:r w:rsidRPr="00873B6C">
              <w:rPr>
                <w:sz w:val="16"/>
                <w:szCs w:val="16"/>
              </w:rPr>
              <w:t>SP-211287</w:t>
            </w:r>
          </w:p>
        </w:tc>
        <w:tc>
          <w:tcPr>
            <w:tcW w:w="567" w:type="dxa"/>
            <w:shd w:val="solid" w:color="FFFFFF" w:fill="auto"/>
          </w:tcPr>
          <w:p w14:paraId="1AAD808C" w14:textId="6C5268C1" w:rsidR="0053150F" w:rsidRPr="00873B6C" w:rsidRDefault="0053150F" w:rsidP="00F84AAF">
            <w:pPr>
              <w:pStyle w:val="TAL"/>
              <w:rPr>
                <w:sz w:val="16"/>
                <w:szCs w:val="16"/>
              </w:rPr>
            </w:pPr>
            <w:r w:rsidRPr="00873B6C">
              <w:rPr>
                <w:sz w:val="16"/>
                <w:szCs w:val="16"/>
              </w:rPr>
              <w:t>3454</w:t>
            </w:r>
          </w:p>
        </w:tc>
        <w:tc>
          <w:tcPr>
            <w:tcW w:w="425" w:type="dxa"/>
            <w:shd w:val="solid" w:color="FFFFFF" w:fill="auto"/>
          </w:tcPr>
          <w:p w14:paraId="0D294DA9" w14:textId="2B7E9447"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0494F4DC" w14:textId="73BF6295"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618252B1" w14:textId="7F166F48" w:rsidR="0053150F" w:rsidRPr="00873B6C" w:rsidRDefault="0053150F" w:rsidP="00F84AAF">
            <w:pPr>
              <w:pStyle w:val="TAL"/>
              <w:rPr>
                <w:sz w:val="16"/>
                <w:szCs w:val="16"/>
              </w:rPr>
            </w:pPr>
            <w:r w:rsidRPr="00873B6C">
              <w:rPr>
                <w:sz w:val="16"/>
                <w:szCs w:val="16"/>
              </w:rPr>
              <w:t>RAT type determination on AMF for NR Redcap</w:t>
            </w:r>
          </w:p>
        </w:tc>
        <w:tc>
          <w:tcPr>
            <w:tcW w:w="708" w:type="dxa"/>
            <w:shd w:val="solid" w:color="FFFFFF" w:fill="auto"/>
          </w:tcPr>
          <w:p w14:paraId="5FAB4809" w14:textId="06256EE2" w:rsidR="0053150F" w:rsidRPr="00873B6C" w:rsidRDefault="0053150F" w:rsidP="00F84AAF">
            <w:pPr>
              <w:pStyle w:val="TAC"/>
              <w:rPr>
                <w:sz w:val="16"/>
                <w:szCs w:val="16"/>
              </w:rPr>
            </w:pPr>
            <w:r w:rsidRPr="00873B6C">
              <w:rPr>
                <w:sz w:val="16"/>
                <w:szCs w:val="16"/>
              </w:rPr>
              <w:t>17.3.0</w:t>
            </w:r>
          </w:p>
        </w:tc>
      </w:tr>
      <w:tr w:rsidR="0053150F" w:rsidRPr="00873B6C" w14:paraId="2A775080" w14:textId="77777777" w:rsidTr="009D14FB">
        <w:tc>
          <w:tcPr>
            <w:tcW w:w="800" w:type="dxa"/>
            <w:shd w:val="solid" w:color="FFFFFF" w:fill="auto"/>
          </w:tcPr>
          <w:p w14:paraId="7E16EBD7" w14:textId="3E580190"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0629D4D" w14:textId="5140BA97"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72397919" w14:textId="51A93C46" w:rsidR="0053150F" w:rsidRPr="00873B6C" w:rsidRDefault="0053150F" w:rsidP="00F84AAF">
            <w:pPr>
              <w:pStyle w:val="TAC"/>
              <w:rPr>
                <w:sz w:val="16"/>
                <w:szCs w:val="16"/>
              </w:rPr>
            </w:pPr>
            <w:r w:rsidRPr="00873B6C">
              <w:rPr>
                <w:sz w:val="16"/>
                <w:szCs w:val="16"/>
              </w:rPr>
              <w:t>SP-211305</w:t>
            </w:r>
          </w:p>
        </w:tc>
        <w:tc>
          <w:tcPr>
            <w:tcW w:w="567" w:type="dxa"/>
            <w:shd w:val="solid" w:color="FFFFFF" w:fill="auto"/>
          </w:tcPr>
          <w:p w14:paraId="21E7A407" w14:textId="65794C40" w:rsidR="0053150F" w:rsidRPr="00873B6C" w:rsidRDefault="0053150F" w:rsidP="00F84AAF">
            <w:pPr>
              <w:pStyle w:val="TAL"/>
              <w:rPr>
                <w:sz w:val="16"/>
                <w:szCs w:val="16"/>
              </w:rPr>
            </w:pPr>
            <w:r w:rsidRPr="00873B6C">
              <w:rPr>
                <w:sz w:val="16"/>
                <w:szCs w:val="16"/>
              </w:rPr>
              <w:t>3455</w:t>
            </w:r>
          </w:p>
        </w:tc>
        <w:tc>
          <w:tcPr>
            <w:tcW w:w="425" w:type="dxa"/>
            <w:shd w:val="solid" w:color="FFFFFF" w:fill="auto"/>
          </w:tcPr>
          <w:p w14:paraId="4E8C6268" w14:textId="361C2898" w:rsidR="0053150F" w:rsidRPr="00873B6C" w:rsidRDefault="0053150F" w:rsidP="00F84AAF">
            <w:pPr>
              <w:pStyle w:val="TAL"/>
              <w:rPr>
                <w:sz w:val="16"/>
                <w:szCs w:val="16"/>
              </w:rPr>
            </w:pPr>
            <w:r w:rsidRPr="00873B6C">
              <w:rPr>
                <w:sz w:val="16"/>
                <w:szCs w:val="16"/>
              </w:rPr>
              <w:t xml:space="preserve">1 </w:t>
            </w:r>
          </w:p>
        </w:tc>
        <w:tc>
          <w:tcPr>
            <w:tcW w:w="425" w:type="dxa"/>
            <w:shd w:val="solid" w:color="FFFFFF" w:fill="auto"/>
          </w:tcPr>
          <w:p w14:paraId="7AA7FCA8" w14:textId="5EA0F516"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994A0CF" w14:textId="428D0242" w:rsidR="0053150F" w:rsidRPr="00873B6C" w:rsidRDefault="0053150F" w:rsidP="00F84AAF">
            <w:pPr>
              <w:pStyle w:val="TAL"/>
              <w:rPr>
                <w:sz w:val="16"/>
                <w:szCs w:val="16"/>
              </w:rPr>
            </w:pPr>
            <w:r w:rsidRPr="00873B6C">
              <w:rPr>
                <w:sz w:val="16"/>
                <w:szCs w:val="16"/>
              </w:rPr>
              <w:t>Support of GERAN/UTRAN access: Annex L alignment to CR 2970r1 to TS 23.501</w:t>
            </w:r>
          </w:p>
        </w:tc>
        <w:tc>
          <w:tcPr>
            <w:tcW w:w="708" w:type="dxa"/>
            <w:shd w:val="solid" w:color="FFFFFF" w:fill="auto"/>
          </w:tcPr>
          <w:p w14:paraId="75E9EEB3" w14:textId="26C2E9F0" w:rsidR="0053150F" w:rsidRPr="00873B6C" w:rsidRDefault="0053150F" w:rsidP="00F84AAF">
            <w:pPr>
              <w:pStyle w:val="TAC"/>
              <w:rPr>
                <w:sz w:val="16"/>
                <w:szCs w:val="16"/>
              </w:rPr>
            </w:pPr>
            <w:r w:rsidRPr="00873B6C">
              <w:rPr>
                <w:sz w:val="16"/>
                <w:szCs w:val="16"/>
              </w:rPr>
              <w:t>17.3.0</w:t>
            </w:r>
          </w:p>
        </w:tc>
      </w:tr>
      <w:tr w:rsidR="0053150F" w:rsidRPr="00873B6C" w14:paraId="54D7C357" w14:textId="77777777" w:rsidTr="009D14FB">
        <w:tc>
          <w:tcPr>
            <w:tcW w:w="800" w:type="dxa"/>
            <w:shd w:val="solid" w:color="FFFFFF" w:fill="auto"/>
          </w:tcPr>
          <w:p w14:paraId="1CFFBB3F" w14:textId="746DD2B8"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9BF1311" w14:textId="3439CF2F"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24B28F9" w14:textId="6FD6862D" w:rsidR="0053150F" w:rsidRPr="00873B6C" w:rsidRDefault="0053150F" w:rsidP="00F84AAF">
            <w:pPr>
              <w:pStyle w:val="TAC"/>
              <w:rPr>
                <w:sz w:val="16"/>
                <w:szCs w:val="16"/>
              </w:rPr>
            </w:pPr>
            <w:r w:rsidRPr="00873B6C">
              <w:rPr>
                <w:sz w:val="16"/>
                <w:szCs w:val="16"/>
              </w:rPr>
              <w:t>SP-211279</w:t>
            </w:r>
          </w:p>
        </w:tc>
        <w:tc>
          <w:tcPr>
            <w:tcW w:w="567" w:type="dxa"/>
            <w:shd w:val="solid" w:color="FFFFFF" w:fill="auto"/>
          </w:tcPr>
          <w:p w14:paraId="286FC255" w14:textId="27BB8CED" w:rsidR="0053150F" w:rsidRPr="00873B6C" w:rsidRDefault="0053150F" w:rsidP="00F84AAF">
            <w:pPr>
              <w:pStyle w:val="TAL"/>
              <w:rPr>
                <w:sz w:val="16"/>
                <w:szCs w:val="16"/>
              </w:rPr>
            </w:pPr>
            <w:r w:rsidRPr="00873B6C">
              <w:rPr>
                <w:sz w:val="16"/>
                <w:szCs w:val="16"/>
              </w:rPr>
              <w:t>3462</w:t>
            </w:r>
          </w:p>
        </w:tc>
        <w:tc>
          <w:tcPr>
            <w:tcW w:w="425" w:type="dxa"/>
            <w:shd w:val="solid" w:color="FFFFFF" w:fill="auto"/>
          </w:tcPr>
          <w:p w14:paraId="627F039B" w14:textId="45056B2E"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3DBA2B26" w14:textId="660F986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2A16227A" w14:textId="352DCCB3" w:rsidR="0053150F" w:rsidRPr="00873B6C" w:rsidRDefault="0053150F" w:rsidP="00F84AAF">
            <w:pPr>
              <w:pStyle w:val="TAL"/>
              <w:rPr>
                <w:sz w:val="16"/>
                <w:szCs w:val="16"/>
              </w:rPr>
            </w:pPr>
            <w:r w:rsidRPr="00873B6C">
              <w:rPr>
                <w:sz w:val="16"/>
                <w:szCs w:val="16"/>
              </w:rPr>
              <w:t>Clarifications on SEPP</w:t>
            </w:r>
          </w:p>
        </w:tc>
        <w:tc>
          <w:tcPr>
            <w:tcW w:w="708" w:type="dxa"/>
            <w:shd w:val="solid" w:color="FFFFFF" w:fill="auto"/>
          </w:tcPr>
          <w:p w14:paraId="2E357BB6" w14:textId="3AC5BE29" w:rsidR="0053150F" w:rsidRPr="00873B6C" w:rsidRDefault="0053150F" w:rsidP="00F84AAF">
            <w:pPr>
              <w:pStyle w:val="TAC"/>
              <w:rPr>
                <w:sz w:val="16"/>
                <w:szCs w:val="16"/>
              </w:rPr>
            </w:pPr>
            <w:r w:rsidRPr="00873B6C">
              <w:rPr>
                <w:sz w:val="16"/>
                <w:szCs w:val="16"/>
              </w:rPr>
              <w:t>17.3.0</w:t>
            </w:r>
          </w:p>
        </w:tc>
      </w:tr>
      <w:tr w:rsidR="00D841E1" w:rsidRPr="00873B6C" w14:paraId="1D0E5ED2" w14:textId="77777777" w:rsidTr="009D14FB">
        <w:tc>
          <w:tcPr>
            <w:tcW w:w="800" w:type="dxa"/>
            <w:shd w:val="solid" w:color="FFFFFF" w:fill="auto"/>
          </w:tcPr>
          <w:p w14:paraId="5EE2BE8B" w14:textId="2ABDA571" w:rsidR="00D841E1" w:rsidRPr="00873B6C" w:rsidRDefault="00D841E1" w:rsidP="00F84AAF">
            <w:pPr>
              <w:pStyle w:val="TAC"/>
              <w:rPr>
                <w:sz w:val="16"/>
                <w:szCs w:val="16"/>
              </w:rPr>
            </w:pPr>
            <w:r w:rsidRPr="00873B6C">
              <w:rPr>
                <w:sz w:val="16"/>
                <w:szCs w:val="16"/>
              </w:rPr>
              <w:t>2022-03</w:t>
            </w:r>
          </w:p>
        </w:tc>
        <w:tc>
          <w:tcPr>
            <w:tcW w:w="800" w:type="dxa"/>
            <w:shd w:val="solid" w:color="FFFFFF" w:fill="auto"/>
          </w:tcPr>
          <w:p w14:paraId="3BB4C379" w14:textId="1AC6B347" w:rsidR="00D841E1" w:rsidRPr="00873B6C" w:rsidRDefault="00D841E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0BBBECB" w14:textId="7636FCFA" w:rsidR="00D841E1" w:rsidRPr="00873B6C" w:rsidRDefault="00D841E1" w:rsidP="00F84AAF">
            <w:pPr>
              <w:pStyle w:val="TAC"/>
              <w:rPr>
                <w:sz w:val="16"/>
                <w:szCs w:val="16"/>
              </w:rPr>
            </w:pPr>
            <w:r w:rsidRPr="00873B6C">
              <w:rPr>
                <w:sz w:val="16"/>
                <w:szCs w:val="16"/>
              </w:rPr>
              <w:t>SP-220047</w:t>
            </w:r>
          </w:p>
        </w:tc>
        <w:tc>
          <w:tcPr>
            <w:tcW w:w="567" w:type="dxa"/>
            <w:shd w:val="solid" w:color="FFFFFF" w:fill="auto"/>
          </w:tcPr>
          <w:p w14:paraId="5D93304F" w14:textId="74BC8F38" w:rsidR="00D841E1" w:rsidRPr="00873B6C" w:rsidRDefault="00D841E1" w:rsidP="00F84AAF">
            <w:pPr>
              <w:pStyle w:val="TAL"/>
              <w:rPr>
                <w:sz w:val="16"/>
                <w:szCs w:val="16"/>
              </w:rPr>
            </w:pPr>
            <w:r w:rsidRPr="00873B6C">
              <w:rPr>
                <w:sz w:val="16"/>
                <w:szCs w:val="16"/>
              </w:rPr>
              <w:t>3414</w:t>
            </w:r>
          </w:p>
        </w:tc>
        <w:tc>
          <w:tcPr>
            <w:tcW w:w="425" w:type="dxa"/>
            <w:shd w:val="solid" w:color="FFFFFF" w:fill="auto"/>
          </w:tcPr>
          <w:p w14:paraId="72B13A3C" w14:textId="2DF9A0A0" w:rsidR="00D841E1" w:rsidRPr="00873B6C" w:rsidRDefault="00D841E1" w:rsidP="00F84AAF">
            <w:pPr>
              <w:pStyle w:val="TAL"/>
              <w:rPr>
                <w:sz w:val="16"/>
                <w:szCs w:val="16"/>
              </w:rPr>
            </w:pPr>
            <w:r w:rsidRPr="00873B6C">
              <w:rPr>
                <w:sz w:val="16"/>
                <w:szCs w:val="16"/>
              </w:rPr>
              <w:t>2</w:t>
            </w:r>
          </w:p>
        </w:tc>
        <w:tc>
          <w:tcPr>
            <w:tcW w:w="425" w:type="dxa"/>
            <w:shd w:val="solid" w:color="FFFFFF" w:fill="auto"/>
          </w:tcPr>
          <w:p w14:paraId="14141373" w14:textId="2F62B1AD" w:rsidR="00D841E1" w:rsidRPr="00873B6C" w:rsidRDefault="00D841E1" w:rsidP="00F84AAF">
            <w:pPr>
              <w:pStyle w:val="TAL"/>
              <w:rPr>
                <w:sz w:val="16"/>
                <w:szCs w:val="16"/>
              </w:rPr>
            </w:pPr>
            <w:r w:rsidRPr="00873B6C">
              <w:rPr>
                <w:sz w:val="16"/>
                <w:szCs w:val="16"/>
              </w:rPr>
              <w:t>F</w:t>
            </w:r>
          </w:p>
        </w:tc>
        <w:tc>
          <w:tcPr>
            <w:tcW w:w="4820" w:type="dxa"/>
            <w:shd w:val="solid" w:color="FFFFFF" w:fill="auto"/>
          </w:tcPr>
          <w:p w14:paraId="613ADBCC" w14:textId="5A2FB415" w:rsidR="00D841E1" w:rsidRPr="00873B6C" w:rsidRDefault="00D841E1" w:rsidP="00F84AAF">
            <w:pPr>
              <w:pStyle w:val="TAL"/>
              <w:rPr>
                <w:sz w:val="16"/>
                <w:szCs w:val="16"/>
              </w:rPr>
            </w:pPr>
            <w:r w:rsidRPr="00873B6C">
              <w:rPr>
                <w:sz w:val="16"/>
                <w:szCs w:val="16"/>
              </w:rPr>
              <w:t>Mapping TSCAI between TSN GM clock and 5GS clock</w:t>
            </w:r>
          </w:p>
        </w:tc>
        <w:tc>
          <w:tcPr>
            <w:tcW w:w="708" w:type="dxa"/>
            <w:shd w:val="solid" w:color="FFFFFF" w:fill="auto"/>
          </w:tcPr>
          <w:p w14:paraId="2A0F03B7" w14:textId="0CBBB943" w:rsidR="00D841E1" w:rsidRPr="00873B6C" w:rsidRDefault="00D841E1" w:rsidP="00F84AAF">
            <w:pPr>
              <w:pStyle w:val="TAC"/>
              <w:rPr>
                <w:sz w:val="16"/>
                <w:szCs w:val="16"/>
              </w:rPr>
            </w:pPr>
            <w:r w:rsidRPr="00873B6C">
              <w:rPr>
                <w:sz w:val="16"/>
                <w:szCs w:val="16"/>
              </w:rPr>
              <w:t>17.4.0</w:t>
            </w:r>
          </w:p>
        </w:tc>
      </w:tr>
      <w:tr w:rsidR="00D841E1" w:rsidRPr="00873B6C" w14:paraId="10EFDEB4" w14:textId="77777777" w:rsidTr="009D14FB">
        <w:tc>
          <w:tcPr>
            <w:tcW w:w="800" w:type="dxa"/>
            <w:shd w:val="solid" w:color="FFFFFF" w:fill="auto"/>
          </w:tcPr>
          <w:p w14:paraId="3D6651C4" w14:textId="5D3F5650" w:rsidR="00D841E1" w:rsidRPr="00873B6C" w:rsidRDefault="00D841E1" w:rsidP="00F84AAF">
            <w:pPr>
              <w:pStyle w:val="TAC"/>
              <w:rPr>
                <w:sz w:val="16"/>
                <w:szCs w:val="16"/>
              </w:rPr>
            </w:pPr>
            <w:r w:rsidRPr="00873B6C">
              <w:rPr>
                <w:sz w:val="16"/>
                <w:szCs w:val="16"/>
              </w:rPr>
              <w:t>2022-03</w:t>
            </w:r>
          </w:p>
        </w:tc>
        <w:tc>
          <w:tcPr>
            <w:tcW w:w="800" w:type="dxa"/>
            <w:shd w:val="solid" w:color="FFFFFF" w:fill="auto"/>
          </w:tcPr>
          <w:p w14:paraId="195BA00D" w14:textId="2EC20D72" w:rsidR="00D841E1" w:rsidRPr="00873B6C" w:rsidRDefault="00D841E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B17D003" w14:textId="6BA14D62" w:rsidR="00D841E1" w:rsidRPr="00873B6C" w:rsidRDefault="00D841E1" w:rsidP="00F84AAF">
            <w:pPr>
              <w:pStyle w:val="TAC"/>
              <w:rPr>
                <w:sz w:val="16"/>
                <w:szCs w:val="16"/>
              </w:rPr>
            </w:pPr>
            <w:r w:rsidRPr="00873B6C">
              <w:rPr>
                <w:sz w:val="16"/>
                <w:szCs w:val="16"/>
              </w:rPr>
              <w:t>SP-220055</w:t>
            </w:r>
          </w:p>
        </w:tc>
        <w:tc>
          <w:tcPr>
            <w:tcW w:w="567" w:type="dxa"/>
            <w:shd w:val="solid" w:color="FFFFFF" w:fill="auto"/>
          </w:tcPr>
          <w:p w14:paraId="0B93F343" w14:textId="15F4CCF3" w:rsidR="00D841E1" w:rsidRPr="00873B6C" w:rsidRDefault="00D841E1" w:rsidP="00F84AAF">
            <w:pPr>
              <w:pStyle w:val="TAL"/>
              <w:rPr>
                <w:sz w:val="16"/>
                <w:szCs w:val="16"/>
              </w:rPr>
            </w:pPr>
            <w:r w:rsidRPr="00873B6C">
              <w:rPr>
                <w:sz w:val="16"/>
                <w:szCs w:val="16"/>
              </w:rPr>
              <w:t>3464</w:t>
            </w:r>
          </w:p>
        </w:tc>
        <w:tc>
          <w:tcPr>
            <w:tcW w:w="425" w:type="dxa"/>
            <w:shd w:val="solid" w:color="FFFFFF" w:fill="auto"/>
          </w:tcPr>
          <w:p w14:paraId="45E801AB" w14:textId="70BB02D2" w:rsidR="00D841E1" w:rsidRPr="00873B6C" w:rsidRDefault="00D841E1" w:rsidP="00F84AAF">
            <w:pPr>
              <w:pStyle w:val="TAL"/>
              <w:rPr>
                <w:sz w:val="16"/>
                <w:szCs w:val="16"/>
              </w:rPr>
            </w:pPr>
            <w:r w:rsidRPr="00873B6C">
              <w:rPr>
                <w:sz w:val="16"/>
                <w:szCs w:val="16"/>
              </w:rPr>
              <w:t>1</w:t>
            </w:r>
          </w:p>
        </w:tc>
        <w:tc>
          <w:tcPr>
            <w:tcW w:w="425" w:type="dxa"/>
            <w:shd w:val="solid" w:color="FFFFFF" w:fill="auto"/>
          </w:tcPr>
          <w:p w14:paraId="7094DD07" w14:textId="21720B0C" w:rsidR="00D841E1" w:rsidRPr="00873B6C" w:rsidRDefault="00D841E1" w:rsidP="00F84AAF">
            <w:pPr>
              <w:pStyle w:val="TAL"/>
              <w:rPr>
                <w:sz w:val="16"/>
                <w:szCs w:val="16"/>
              </w:rPr>
            </w:pPr>
            <w:r w:rsidRPr="00873B6C">
              <w:rPr>
                <w:sz w:val="16"/>
                <w:szCs w:val="16"/>
              </w:rPr>
              <w:t>F</w:t>
            </w:r>
          </w:p>
        </w:tc>
        <w:tc>
          <w:tcPr>
            <w:tcW w:w="4820" w:type="dxa"/>
            <w:shd w:val="solid" w:color="FFFFFF" w:fill="auto"/>
          </w:tcPr>
          <w:p w14:paraId="19F04291" w14:textId="3FDACA94" w:rsidR="00D841E1" w:rsidRPr="00873B6C" w:rsidRDefault="00D841E1" w:rsidP="00F84AAF">
            <w:pPr>
              <w:pStyle w:val="TAL"/>
              <w:rPr>
                <w:sz w:val="16"/>
                <w:szCs w:val="16"/>
              </w:rPr>
            </w:pPr>
            <w:r w:rsidRPr="00873B6C">
              <w:rPr>
                <w:sz w:val="16"/>
                <w:szCs w:val="16"/>
              </w:rPr>
              <w:t>Aligning 23.501 and 23.548 wording about the DN accessed via a L-UPF</w:t>
            </w:r>
          </w:p>
        </w:tc>
        <w:tc>
          <w:tcPr>
            <w:tcW w:w="708" w:type="dxa"/>
            <w:shd w:val="solid" w:color="FFFFFF" w:fill="auto"/>
          </w:tcPr>
          <w:p w14:paraId="3136733E" w14:textId="4D69E6E7" w:rsidR="00D841E1" w:rsidRPr="00873B6C" w:rsidRDefault="00D841E1" w:rsidP="00F84AAF">
            <w:pPr>
              <w:pStyle w:val="TAC"/>
              <w:rPr>
                <w:sz w:val="16"/>
                <w:szCs w:val="16"/>
              </w:rPr>
            </w:pPr>
            <w:r w:rsidRPr="00873B6C">
              <w:rPr>
                <w:sz w:val="16"/>
                <w:szCs w:val="16"/>
              </w:rPr>
              <w:t>17.4.0</w:t>
            </w:r>
          </w:p>
        </w:tc>
      </w:tr>
      <w:tr w:rsidR="00D841E1" w:rsidRPr="00873B6C" w14:paraId="3FF9C9DD" w14:textId="77777777" w:rsidTr="009D14FB">
        <w:tc>
          <w:tcPr>
            <w:tcW w:w="800" w:type="dxa"/>
            <w:shd w:val="solid" w:color="FFFFFF" w:fill="auto"/>
          </w:tcPr>
          <w:p w14:paraId="79A4E875" w14:textId="6CC1FBB3" w:rsidR="00D841E1" w:rsidRPr="00873B6C" w:rsidRDefault="00D841E1" w:rsidP="00F84AAF">
            <w:pPr>
              <w:pStyle w:val="TAC"/>
              <w:rPr>
                <w:sz w:val="16"/>
                <w:szCs w:val="16"/>
              </w:rPr>
            </w:pPr>
            <w:r w:rsidRPr="00873B6C">
              <w:rPr>
                <w:sz w:val="16"/>
                <w:szCs w:val="16"/>
              </w:rPr>
              <w:t>2022-03</w:t>
            </w:r>
          </w:p>
        </w:tc>
        <w:tc>
          <w:tcPr>
            <w:tcW w:w="800" w:type="dxa"/>
            <w:shd w:val="solid" w:color="FFFFFF" w:fill="auto"/>
          </w:tcPr>
          <w:p w14:paraId="4676BEB9" w14:textId="12E71CFB" w:rsidR="00D841E1" w:rsidRPr="00873B6C" w:rsidRDefault="00D841E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47FA08A" w14:textId="1C8A1FC3" w:rsidR="00D841E1" w:rsidRPr="00873B6C" w:rsidRDefault="00D841E1" w:rsidP="00F84AAF">
            <w:pPr>
              <w:pStyle w:val="TAC"/>
              <w:rPr>
                <w:sz w:val="16"/>
                <w:szCs w:val="16"/>
              </w:rPr>
            </w:pPr>
            <w:r w:rsidRPr="00873B6C">
              <w:rPr>
                <w:sz w:val="16"/>
                <w:szCs w:val="16"/>
              </w:rPr>
              <w:t>SP-220065</w:t>
            </w:r>
          </w:p>
        </w:tc>
        <w:tc>
          <w:tcPr>
            <w:tcW w:w="567" w:type="dxa"/>
            <w:shd w:val="solid" w:color="FFFFFF" w:fill="auto"/>
          </w:tcPr>
          <w:p w14:paraId="3F3EA619" w14:textId="0DEDA78C" w:rsidR="00D841E1" w:rsidRPr="00873B6C" w:rsidRDefault="00D841E1" w:rsidP="00F84AAF">
            <w:pPr>
              <w:pStyle w:val="TAL"/>
              <w:rPr>
                <w:sz w:val="16"/>
                <w:szCs w:val="16"/>
              </w:rPr>
            </w:pPr>
            <w:r w:rsidRPr="00873B6C">
              <w:rPr>
                <w:sz w:val="16"/>
                <w:szCs w:val="16"/>
              </w:rPr>
              <w:t>3465</w:t>
            </w:r>
          </w:p>
        </w:tc>
        <w:tc>
          <w:tcPr>
            <w:tcW w:w="425" w:type="dxa"/>
            <w:shd w:val="solid" w:color="FFFFFF" w:fill="auto"/>
          </w:tcPr>
          <w:p w14:paraId="6176F05C" w14:textId="7606C7A4" w:rsidR="00D841E1" w:rsidRPr="00873B6C" w:rsidRDefault="00D841E1" w:rsidP="00F84AAF">
            <w:pPr>
              <w:pStyle w:val="TAL"/>
              <w:rPr>
                <w:sz w:val="16"/>
                <w:szCs w:val="16"/>
              </w:rPr>
            </w:pPr>
            <w:r w:rsidRPr="00873B6C">
              <w:rPr>
                <w:sz w:val="16"/>
                <w:szCs w:val="16"/>
              </w:rPr>
              <w:t>1</w:t>
            </w:r>
          </w:p>
        </w:tc>
        <w:tc>
          <w:tcPr>
            <w:tcW w:w="425" w:type="dxa"/>
            <w:shd w:val="solid" w:color="FFFFFF" w:fill="auto"/>
          </w:tcPr>
          <w:p w14:paraId="2AEFED1D" w14:textId="2E230FF6" w:rsidR="00D841E1" w:rsidRPr="00873B6C" w:rsidRDefault="00D841E1" w:rsidP="00F84AAF">
            <w:pPr>
              <w:pStyle w:val="TAL"/>
              <w:rPr>
                <w:sz w:val="16"/>
                <w:szCs w:val="16"/>
              </w:rPr>
            </w:pPr>
            <w:r w:rsidRPr="00873B6C">
              <w:rPr>
                <w:sz w:val="16"/>
                <w:szCs w:val="16"/>
              </w:rPr>
              <w:t>F</w:t>
            </w:r>
          </w:p>
        </w:tc>
        <w:tc>
          <w:tcPr>
            <w:tcW w:w="4820" w:type="dxa"/>
            <w:shd w:val="solid" w:color="FFFFFF" w:fill="auto"/>
          </w:tcPr>
          <w:p w14:paraId="51683665" w14:textId="265BADCB" w:rsidR="00D841E1" w:rsidRPr="00873B6C" w:rsidRDefault="00D841E1" w:rsidP="00F84AAF">
            <w:pPr>
              <w:pStyle w:val="TAL"/>
              <w:rPr>
                <w:sz w:val="16"/>
                <w:szCs w:val="16"/>
              </w:rPr>
            </w:pPr>
            <w:r w:rsidRPr="00873B6C">
              <w:rPr>
                <w:sz w:val="16"/>
                <w:szCs w:val="16"/>
              </w:rPr>
              <w:t>Adding NSWO NF in the architecture</w:t>
            </w:r>
          </w:p>
        </w:tc>
        <w:tc>
          <w:tcPr>
            <w:tcW w:w="708" w:type="dxa"/>
            <w:shd w:val="solid" w:color="FFFFFF" w:fill="auto"/>
          </w:tcPr>
          <w:p w14:paraId="25FB97C3" w14:textId="4E2554CE" w:rsidR="00D841E1" w:rsidRPr="00873B6C" w:rsidRDefault="00D841E1" w:rsidP="00F84AAF">
            <w:pPr>
              <w:pStyle w:val="TAC"/>
              <w:rPr>
                <w:sz w:val="16"/>
                <w:szCs w:val="16"/>
              </w:rPr>
            </w:pPr>
            <w:r w:rsidRPr="00873B6C">
              <w:rPr>
                <w:sz w:val="16"/>
                <w:szCs w:val="16"/>
              </w:rPr>
              <w:t>17.4.0</w:t>
            </w:r>
          </w:p>
        </w:tc>
      </w:tr>
      <w:tr w:rsidR="006310D8" w:rsidRPr="00873B6C" w14:paraId="49B7A9DD" w14:textId="77777777" w:rsidTr="009D14FB">
        <w:tc>
          <w:tcPr>
            <w:tcW w:w="800" w:type="dxa"/>
            <w:shd w:val="solid" w:color="FFFFFF" w:fill="auto"/>
          </w:tcPr>
          <w:p w14:paraId="35F3F842" w14:textId="25FC7242" w:rsidR="006310D8" w:rsidRPr="00873B6C" w:rsidRDefault="006310D8" w:rsidP="00F84AAF">
            <w:pPr>
              <w:pStyle w:val="TAC"/>
              <w:rPr>
                <w:sz w:val="16"/>
                <w:szCs w:val="16"/>
              </w:rPr>
            </w:pPr>
            <w:r w:rsidRPr="00873B6C">
              <w:rPr>
                <w:sz w:val="16"/>
                <w:szCs w:val="16"/>
              </w:rPr>
              <w:t>2022-03</w:t>
            </w:r>
          </w:p>
        </w:tc>
        <w:tc>
          <w:tcPr>
            <w:tcW w:w="800" w:type="dxa"/>
            <w:shd w:val="solid" w:color="FFFFFF" w:fill="auto"/>
          </w:tcPr>
          <w:p w14:paraId="6B87BBD0" w14:textId="4DCA83F3" w:rsidR="006310D8" w:rsidRPr="00873B6C" w:rsidRDefault="006310D8"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13D1CF0" w14:textId="1846BBE5" w:rsidR="006310D8" w:rsidRPr="00873B6C" w:rsidRDefault="006310D8" w:rsidP="00F84AAF">
            <w:pPr>
              <w:pStyle w:val="TAC"/>
              <w:rPr>
                <w:sz w:val="16"/>
                <w:szCs w:val="16"/>
              </w:rPr>
            </w:pPr>
            <w:r w:rsidRPr="00873B6C">
              <w:rPr>
                <w:sz w:val="16"/>
                <w:szCs w:val="16"/>
              </w:rPr>
              <w:t>SP-220057</w:t>
            </w:r>
          </w:p>
        </w:tc>
        <w:tc>
          <w:tcPr>
            <w:tcW w:w="567" w:type="dxa"/>
            <w:shd w:val="solid" w:color="FFFFFF" w:fill="auto"/>
          </w:tcPr>
          <w:p w14:paraId="308BFF20" w14:textId="56C97889" w:rsidR="006310D8" w:rsidRPr="00873B6C" w:rsidRDefault="006310D8" w:rsidP="00F84AAF">
            <w:pPr>
              <w:pStyle w:val="TAL"/>
              <w:rPr>
                <w:sz w:val="16"/>
                <w:szCs w:val="16"/>
              </w:rPr>
            </w:pPr>
            <w:r w:rsidRPr="00873B6C">
              <w:rPr>
                <w:sz w:val="16"/>
                <w:szCs w:val="16"/>
              </w:rPr>
              <w:t>3466</w:t>
            </w:r>
          </w:p>
        </w:tc>
        <w:tc>
          <w:tcPr>
            <w:tcW w:w="425" w:type="dxa"/>
            <w:shd w:val="solid" w:color="FFFFFF" w:fill="auto"/>
          </w:tcPr>
          <w:p w14:paraId="05C74399" w14:textId="571AE8B1" w:rsidR="006310D8" w:rsidRPr="00873B6C" w:rsidRDefault="006310D8" w:rsidP="00F84AAF">
            <w:pPr>
              <w:pStyle w:val="TAL"/>
              <w:rPr>
                <w:sz w:val="16"/>
                <w:szCs w:val="16"/>
              </w:rPr>
            </w:pPr>
            <w:r w:rsidRPr="00873B6C">
              <w:rPr>
                <w:sz w:val="16"/>
                <w:szCs w:val="16"/>
              </w:rPr>
              <w:t>1</w:t>
            </w:r>
          </w:p>
        </w:tc>
        <w:tc>
          <w:tcPr>
            <w:tcW w:w="425" w:type="dxa"/>
            <w:shd w:val="solid" w:color="FFFFFF" w:fill="auto"/>
          </w:tcPr>
          <w:p w14:paraId="4878F74F" w14:textId="2D133BB4" w:rsidR="006310D8" w:rsidRPr="00873B6C" w:rsidRDefault="006310D8" w:rsidP="00F84AAF">
            <w:pPr>
              <w:pStyle w:val="TAL"/>
              <w:rPr>
                <w:sz w:val="16"/>
                <w:szCs w:val="16"/>
              </w:rPr>
            </w:pPr>
            <w:r w:rsidRPr="00873B6C">
              <w:rPr>
                <w:sz w:val="16"/>
                <w:szCs w:val="16"/>
              </w:rPr>
              <w:t>F</w:t>
            </w:r>
          </w:p>
        </w:tc>
        <w:tc>
          <w:tcPr>
            <w:tcW w:w="4820" w:type="dxa"/>
            <w:shd w:val="solid" w:color="FFFFFF" w:fill="auto"/>
          </w:tcPr>
          <w:p w14:paraId="63B46A6A" w14:textId="7CD28B40" w:rsidR="006310D8" w:rsidRPr="00873B6C" w:rsidRDefault="006310D8" w:rsidP="00F84AAF">
            <w:pPr>
              <w:pStyle w:val="TAL"/>
              <w:rPr>
                <w:sz w:val="16"/>
                <w:szCs w:val="16"/>
              </w:rPr>
            </w:pPr>
            <w:r w:rsidRPr="00873B6C">
              <w:rPr>
                <w:sz w:val="16"/>
                <w:szCs w:val="16"/>
              </w:rPr>
              <w:t>Remove the CP based remote provisioning</w:t>
            </w:r>
          </w:p>
        </w:tc>
        <w:tc>
          <w:tcPr>
            <w:tcW w:w="708" w:type="dxa"/>
            <w:shd w:val="solid" w:color="FFFFFF" w:fill="auto"/>
          </w:tcPr>
          <w:p w14:paraId="1B6340BF" w14:textId="639DCBED" w:rsidR="006310D8" w:rsidRPr="00873B6C" w:rsidRDefault="006310D8" w:rsidP="00F84AAF">
            <w:pPr>
              <w:pStyle w:val="TAC"/>
              <w:rPr>
                <w:sz w:val="16"/>
                <w:szCs w:val="16"/>
              </w:rPr>
            </w:pPr>
            <w:r w:rsidRPr="00873B6C">
              <w:rPr>
                <w:sz w:val="16"/>
                <w:szCs w:val="16"/>
              </w:rPr>
              <w:t>17.4.0</w:t>
            </w:r>
          </w:p>
        </w:tc>
      </w:tr>
      <w:tr w:rsidR="006310D8" w:rsidRPr="00873B6C" w14:paraId="1006EA4E" w14:textId="77777777" w:rsidTr="009D14FB">
        <w:tc>
          <w:tcPr>
            <w:tcW w:w="800" w:type="dxa"/>
            <w:shd w:val="solid" w:color="FFFFFF" w:fill="auto"/>
          </w:tcPr>
          <w:p w14:paraId="3CDA5190" w14:textId="74576AC1" w:rsidR="006310D8" w:rsidRPr="00873B6C" w:rsidRDefault="006310D8" w:rsidP="00F84AAF">
            <w:pPr>
              <w:pStyle w:val="TAC"/>
              <w:rPr>
                <w:sz w:val="16"/>
                <w:szCs w:val="16"/>
              </w:rPr>
            </w:pPr>
            <w:r w:rsidRPr="00873B6C">
              <w:rPr>
                <w:sz w:val="16"/>
                <w:szCs w:val="16"/>
              </w:rPr>
              <w:t>2022-03</w:t>
            </w:r>
          </w:p>
        </w:tc>
        <w:tc>
          <w:tcPr>
            <w:tcW w:w="800" w:type="dxa"/>
            <w:shd w:val="solid" w:color="FFFFFF" w:fill="auto"/>
          </w:tcPr>
          <w:p w14:paraId="1E77CD11" w14:textId="1DE3F54D" w:rsidR="006310D8" w:rsidRPr="00873B6C" w:rsidRDefault="006310D8"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502D126" w14:textId="4B5EB292" w:rsidR="006310D8" w:rsidRPr="00873B6C" w:rsidRDefault="006310D8" w:rsidP="00F84AAF">
            <w:pPr>
              <w:pStyle w:val="TAC"/>
              <w:rPr>
                <w:sz w:val="16"/>
                <w:szCs w:val="16"/>
              </w:rPr>
            </w:pPr>
            <w:r w:rsidRPr="00873B6C">
              <w:rPr>
                <w:sz w:val="16"/>
                <w:szCs w:val="16"/>
              </w:rPr>
              <w:t>SP-220064</w:t>
            </w:r>
          </w:p>
        </w:tc>
        <w:tc>
          <w:tcPr>
            <w:tcW w:w="567" w:type="dxa"/>
            <w:shd w:val="solid" w:color="FFFFFF" w:fill="auto"/>
          </w:tcPr>
          <w:p w14:paraId="081EA60E" w14:textId="342F6AD7" w:rsidR="006310D8" w:rsidRPr="00873B6C" w:rsidRDefault="006310D8" w:rsidP="00F84AAF">
            <w:pPr>
              <w:pStyle w:val="TAL"/>
              <w:rPr>
                <w:sz w:val="16"/>
                <w:szCs w:val="16"/>
              </w:rPr>
            </w:pPr>
            <w:r w:rsidRPr="00873B6C">
              <w:rPr>
                <w:sz w:val="16"/>
                <w:szCs w:val="16"/>
              </w:rPr>
              <w:t>3467</w:t>
            </w:r>
          </w:p>
        </w:tc>
        <w:tc>
          <w:tcPr>
            <w:tcW w:w="425" w:type="dxa"/>
            <w:shd w:val="solid" w:color="FFFFFF" w:fill="auto"/>
          </w:tcPr>
          <w:p w14:paraId="1AD51552" w14:textId="3A730985" w:rsidR="006310D8" w:rsidRPr="00873B6C" w:rsidRDefault="006310D8" w:rsidP="00F84AAF">
            <w:pPr>
              <w:pStyle w:val="TAL"/>
              <w:rPr>
                <w:sz w:val="16"/>
                <w:szCs w:val="16"/>
              </w:rPr>
            </w:pPr>
            <w:r w:rsidRPr="00873B6C">
              <w:rPr>
                <w:sz w:val="16"/>
                <w:szCs w:val="16"/>
              </w:rPr>
              <w:t>1</w:t>
            </w:r>
          </w:p>
        </w:tc>
        <w:tc>
          <w:tcPr>
            <w:tcW w:w="425" w:type="dxa"/>
            <w:shd w:val="solid" w:color="FFFFFF" w:fill="auto"/>
          </w:tcPr>
          <w:p w14:paraId="7B9FA109" w14:textId="5B15DB0C" w:rsidR="006310D8" w:rsidRPr="00873B6C" w:rsidRDefault="006310D8" w:rsidP="00F84AAF">
            <w:pPr>
              <w:pStyle w:val="TAL"/>
              <w:rPr>
                <w:sz w:val="16"/>
                <w:szCs w:val="16"/>
              </w:rPr>
            </w:pPr>
            <w:r w:rsidRPr="00873B6C">
              <w:rPr>
                <w:sz w:val="16"/>
                <w:szCs w:val="16"/>
              </w:rPr>
              <w:t>F</w:t>
            </w:r>
          </w:p>
        </w:tc>
        <w:tc>
          <w:tcPr>
            <w:tcW w:w="4820" w:type="dxa"/>
            <w:shd w:val="solid" w:color="FFFFFF" w:fill="auto"/>
          </w:tcPr>
          <w:p w14:paraId="35F1C397" w14:textId="2C8E8167" w:rsidR="006310D8" w:rsidRPr="00873B6C" w:rsidRDefault="006310D8" w:rsidP="00F84AAF">
            <w:pPr>
              <w:pStyle w:val="TAL"/>
              <w:rPr>
                <w:sz w:val="16"/>
                <w:szCs w:val="16"/>
              </w:rPr>
            </w:pPr>
            <w:r w:rsidRPr="00873B6C">
              <w:rPr>
                <w:sz w:val="16"/>
                <w:szCs w:val="16"/>
              </w:rPr>
              <w:t>Correct the MUSIM Connection Release feature</w:t>
            </w:r>
          </w:p>
        </w:tc>
        <w:tc>
          <w:tcPr>
            <w:tcW w:w="708" w:type="dxa"/>
            <w:shd w:val="solid" w:color="FFFFFF" w:fill="auto"/>
          </w:tcPr>
          <w:p w14:paraId="16E9524C" w14:textId="6B7E83C0" w:rsidR="006310D8" w:rsidRPr="00873B6C" w:rsidRDefault="006310D8" w:rsidP="00F84AAF">
            <w:pPr>
              <w:pStyle w:val="TAC"/>
              <w:rPr>
                <w:sz w:val="16"/>
                <w:szCs w:val="16"/>
              </w:rPr>
            </w:pPr>
            <w:r w:rsidRPr="00873B6C">
              <w:rPr>
                <w:sz w:val="16"/>
                <w:szCs w:val="16"/>
              </w:rPr>
              <w:t>17.4.0</w:t>
            </w:r>
          </w:p>
        </w:tc>
      </w:tr>
      <w:tr w:rsidR="006310D8" w:rsidRPr="00873B6C" w14:paraId="15AE72D2" w14:textId="77777777" w:rsidTr="009D14FB">
        <w:tc>
          <w:tcPr>
            <w:tcW w:w="800" w:type="dxa"/>
            <w:shd w:val="solid" w:color="FFFFFF" w:fill="auto"/>
          </w:tcPr>
          <w:p w14:paraId="4C85872E" w14:textId="60779C35" w:rsidR="006310D8" w:rsidRPr="00873B6C" w:rsidRDefault="006310D8" w:rsidP="00F84AAF">
            <w:pPr>
              <w:pStyle w:val="TAC"/>
              <w:rPr>
                <w:sz w:val="16"/>
                <w:szCs w:val="16"/>
              </w:rPr>
            </w:pPr>
            <w:r w:rsidRPr="00873B6C">
              <w:rPr>
                <w:sz w:val="16"/>
                <w:szCs w:val="16"/>
              </w:rPr>
              <w:t>2022-03</w:t>
            </w:r>
          </w:p>
        </w:tc>
        <w:tc>
          <w:tcPr>
            <w:tcW w:w="800" w:type="dxa"/>
            <w:shd w:val="solid" w:color="FFFFFF" w:fill="auto"/>
          </w:tcPr>
          <w:p w14:paraId="399FC5CE" w14:textId="1B1010DE" w:rsidR="006310D8" w:rsidRPr="00873B6C" w:rsidRDefault="006310D8"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1743E5C" w14:textId="0CB84FB2" w:rsidR="006310D8" w:rsidRPr="00873B6C" w:rsidRDefault="006310D8" w:rsidP="00F84AAF">
            <w:pPr>
              <w:pStyle w:val="TAC"/>
              <w:rPr>
                <w:sz w:val="16"/>
                <w:szCs w:val="16"/>
              </w:rPr>
            </w:pPr>
            <w:r w:rsidRPr="00873B6C">
              <w:rPr>
                <w:sz w:val="16"/>
                <w:szCs w:val="16"/>
              </w:rPr>
              <w:t>SP-220064</w:t>
            </w:r>
          </w:p>
        </w:tc>
        <w:tc>
          <w:tcPr>
            <w:tcW w:w="567" w:type="dxa"/>
            <w:shd w:val="solid" w:color="FFFFFF" w:fill="auto"/>
          </w:tcPr>
          <w:p w14:paraId="2389370D" w14:textId="0938360B" w:rsidR="006310D8" w:rsidRPr="00873B6C" w:rsidRDefault="006310D8" w:rsidP="00F84AAF">
            <w:pPr>
              <w:pStyle w:val="TAL"/>
              <w:rPr>
                <w:sz w:val="16"/>
                <w:szCs w:val="16"/>
              </w:rPr>
            </w:pPr>
            <w:r w:rsidRPr="00873B6C">
              <w:rPr>
                <w:sz w:val="16"/>
                <w:szCs w:val="16"/>
              </w:rPr>
              <w:t>3468</w:t>
            </w:r>
          </w:p>
        </w:tc>
        <w:tc>
          <w:tcPr>
            <w:tcW w:w="425" w:type="dxa"/>
            <w:shd w:val="solid" w:color="FFFFFF" w:fill="auto"/>
          </w:tcPr>
          <w:p w14:paraId="6211A937" w14:textId="1AA22B11" w:rsidR="006310D8" w:rsidRPr="00873B6C" w:rsidRDefault="006310D8" w:rsidP="00F84AAF">
            <w:pPr>
              <w:pStyle w:val="TAL"/>
              <w:rPr>
                <w:sz w:val="16"/>
                <w:szCs w:val="16"/>
              </w:rPr>
            </w:pPr>
            <w:r w:rsidRPr="00873B6C">
              <w:rPr>
                <w:sz w:val="16"/>
                <w:szCs w:val="16"/>
              </w:rPr>
              <w:t>1</w:t>
            </w:r>
          </w:p>
        </w:tc>
        <w:tc>
          <w:tcPr>
            <w:tcW w:w="425" w:type="dxa"/>
            <w:shd w:val="solid" w:color="FFFFFF" w:fill="auto"/>
          </w:tcPr>
          <w:p w14:paraId="5A95855C" w14:textId="6DAEC0B9" w:rsidR="006310D8" w:rsidRPr="00873B6C" w:rsidRDefault="006310D8" w:rsidP="00F84AAF">
            <w:pPr>
              <w:pStyle w:val="TAL"/>
              <w:rPr>
                <w:sz w:val="16"/>
                <w:szCs w:val="16"/>
              </w:rPr>
            </w:pPr>
            <w:r w:rsidRPr="00873B6C">
              <w:rPr>
                <w:sz w:val="16"/>
                <w:szCs w:val="16"/>
              </w:rPr>
              <w:t>F</w:t>
            </w:r>
          </w:p>
        </w:tc>
        <w:tc>
          <w:tcPr>
            <w:tcW w:w="4820" w:type="dxa"/>
            <w:shd w:val="solid" w:color="FFFFFF" w:fill="auto"/>
          </w:tcPr>
          <w:p w14:paraId="352A0738" w14:textId="62CECB72" w:rsidR="006310D8" w:rsidRPr="00873B6C" w:rsidRDefault="006310D8" w:rsidP="00F84AAF">
            <w:pPr>
              <w:pStyle w:val="TAL"/>
              <w:rPr>
                <w:sz w:val="16"/>
                <w:szCs w:val="16"/>
              </w:rPr>
            </w:pPr>
            <w:r w:rsidRPr="00873B6C">
              <w:rPr>
                <w:sz w:val="16"/>
                <w:szCs w:val="16"/>
              </w:rPr>
              <w:t>Correction on MUSIM Paging Cause feature</w:t>
            </w:r>
          </w:p>
        </w:tc>
        <w:tc>
          <w:tcPr>
            <w:tcW w:w="708" w:type="dxa"/>
            <w:shd w:val="solid" w:color="FFFFFF" w:fill="auto"/>
          </w:tcPr>
          <w:p w14:paraId="2863BF4B" w14:textId="75894973" w:rsidR="006310D8" w:rsidRPr="00873B6C" w:rsidRDefault="006310D8" w:rsidP="00F84AAF">
            <w:pPr>
              <w:pStyle w:val="TAC"/>
              <w:rPr>
                <w:sz w:val="16"/>
                <w:szCs w:val="16"/>
              </w:rPr>
            </w:pPr>
            <w:r w:rsidRPr="00873B6C">
              <w:rPr>
                <w:sz w:val="16"/>
                <w:szCs w:val="16"/>
              </w:rPr>
              <w:t>17.4.0</w:t>
            </w:r>
          </w:p>
        </w:tc>
      </w:tr>
      <w:tr w:rsidR="005551CC" w:rsidRPr="00873B6C" w14:paraId="61904030" w14:textId="77777777" w:rsidTr="009D14FB">
        <w:tc>
          <w:tcPr>
            <w:tcW w:w="800" w:type="dxa"/>
            <w:shd w:val="solid" w:color="FFFFFF" w:fill="auto"/>
          </w:tcPr>
          <w:p w14:paraId="4F54057D" w14:textId="75FB5131" w:rsidR="005551CC" w:rsidRPr="00873B6C" w:rsidRDefault="005551CC" w:rsidP="00F84AAF">
            <w:pPr>
              <w:pStyle w:val="TAC"/>
              <w:rPr>
                <w:sz w:val="16"/>
                <w:szCs w:val="16"/>
              </w:rPr>
            </w:pPr>
            <w:r w:rsidRPr="00873B6C">
              <w:rPr>
                <w:sz w:val="16"/>
                <w:szCs w:val="16"/>
              </w:rPr>
              <w:t>2022-03</w:t>
            </w:r>
          </w:p>
        </w:tc>
        <w:tc>
          <w:tcPr>
            <w:tcW w:w="800" w:type="dxa"/>
            <w:shd w:val="solid" w:color="FFFFFF" w:fill="auto"/>
          </w:tcPr>
          <w:p w14:paraId="65636007" w14:textId="58158FE7" w:rsidR="005551CC" w:rsidRPr="00873B6C" w:rsidRDefault="005551CC"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067E1A8" w14:textId="43EDFA5D" w:rsidR="005551CC" w:rsidRPr="00873B6C" w:rsidRDefault="005551CC" w:rsidP="00F84AAF">
            <w:pPr>
              <w:pStyle w:val="TAC"/>
              <w:rPr>
                <w:sz w:val="16"/>
                <w:szCs w:val="16"/>
              </w:rPr>
            </w:pPr>
            <w:r w:rsidRPr="00873B6C">
              <w:rPr>
                <w:sz w:val="16"/>
                <w:szCs w:val="16"/>
              </w:rPr>
              <w:t>SP-220064</w:t>
            </w:r>
          </w:p>
        </w:tc>
        <w:tc>
          <w:tcPr>
            <w:tcW w:w="567" w:type="dxa"/>
            <w:shd w:val="solid" w:color="FFFFFF" w:fill="auto"/>
          </w:tcPr>
          <w:p w14:paraId="1C48C034" w14:textId="6D07AE42" w:rsidR="005551CC" w:rsidRPr="00873B6C" w:rsidRDefault="005551CC" w:rsidP="00F84AAF">
            <w:pPr>
              <w:pStyle w:val="TAL"/>
              <w:rPr>
                <w:sz w:val="16"/>
                <w:szCs w:val="16"/>
              </w:rPr>
            </w:pPr>
            <w:r w:rsidRPr="00873B6C">
              <w:rPr>
                <w:sz w:val="16"/>
                <w:szCs w:val="16"/>
              </w:rPr>
              <w:t>3469</w:t>
            </w:r>
          </w:p>
        </w:tc>
        <w:tc>
          <w:tcPr>
            <w:tcW w:w="425" w:type="dxa"/>
            <w:shd w:val="solid" w:color="FFFFFF" w:fill="auto"/>
          </w:tcPr>
          <w:p w14:paraId="2E023A06" w14:textId="6D86ED63" w:rsidR="005551CC" w:rsidRPr="00873B6C" w:rsidRDefault="005551CC" w:rsidP="00F84AAF">
            <w:pPr>
              <w:pStyle w:val="TAL"/>
              <w:rPr>
                <w:sz w:val="16"/>
                <w:szCs w:val="16"/>
              </w:rPr>
            </w:pPr>
            <w:r w:rsidRPr="00873B6C">
              <w:rPr>
                <w:sz w:val="16"/>
                <w:szCs w:val="16"/>
              </w:rPr>
              <w:t>1</w:t>
            </w:r>
          </w:p>
        </w:tc>
        <w:tc>
          <w:tcPr>
            <w:tcW w:w="425" w:type="dxa"/>
            <w:shd w:val="solid" w:color="FFFFFF" w:fill="auto"/>
          </w:tcPr>
          <w:p w14:paraId="2678B553" w14:textId="04AC38A5" w:rsidR="005551CC" w:rsidRPr="00873B6C" w:rsidRDefault="005551CC" w:rsidP="00F84AAF">
            <w:pPr>
              <w:pStyle w:val="TAL"/>
              <w:rPr>
                <w:sz w:val="16"/>
                <w:szCs w:val="16"/>
              </w:rPr>
            </w:pPr>
            <w:r w:rsidRPr="00873B6C">
              <w:rPr>
                <w:sz w:val="16"/>
                <w:szCs w:val="16"/>
              </w:rPr>
              <w:t>F</w:t>
            </w:r>
          </w:p>
        </w:tc>
        <w:tc>
          <w:tcPr>
            <w:tcW w:w="4820" w:type="dxa"/>
            <w:shd w:val="solid" w:color="FFFFFF" w:fill="auto"/>
          </w:tcPr>
          <w:p w14:paraId="7FD0ED04" w14:textId="1F7BDFA6" w:rsidR="005551CC" w:rsidRPr="00873B6C" w:rsidRDefault="005551CC" w:rsidP="00F84AAF">
            <w:pPr>
              <w:pStyle w:val="TAL"/>
              <w:rPr>
                <w:sz w:val="16"/>
                <w:szCs w:val="16"/>
              </w:rPr>
            </w:pPr>
            <w:r w:rsidRPr="00873B6C">
              <w:rPr>
                <w:sz w:val="16"/>
                <w:szCs w:val="16"/>
              </w:rPr>
              <w:t>Correct PEI used for MUSIM and network subscriptions</w:t>
            </w:r>
          </w:p>
        </w:tc>
        <w:tc>
          <w:tcPr>
            <w:tcW w:w="708" w:type="dxa"/>
            <w:shd w:val="solid" w:color="FFFFFF" w:fill="auto"/>
          </w:tcPr>
          <w:p w14:paraId="0D21B7AE" w14:textId="107235C1" w:rsidR="005551CC" w:rsidRPr="00873B6C" w:rsidRDefault="005551CC" w:rsidP="00F84AAF">
            <w:pPr>
              <w:pStyle w:val="TAC"/>
              <w:rPr>
                <w:sz w:val="16"/>
                <w:szCs w:val="16"/>
              </w:rPr>
            </w:pPr>
            <w:r w:rsidRPr="00873B6C">
              <w:rPr>
                <w:sz w:val="16"/>
                <w:szCs w:val="16"/>
              </w:rPr>
              <w:t>17.4.0</w:t>
            </w:r>
          </w:p>
        </w:tc>
      </w:tr>
      <w:tr w:rsidR="005551CC" w:rsidRPr="00873B6C" w14:paraId="57623E94" w14:textId="77777777" w:rsidTr="009D14FB">
        <w:tc>
          <w:tcPr>
            <w:tcW w:w="800" w:type="dxa"/>
            <w:shd w:val="solid" w:color="FFFFFF" w:fill="auto"/>
          </w:tcPr>
          <w:p w14:paraId="6B685B1C" w14:textId="6F078A15" w:rsidR="005551CC" w:rsidRPr="00873B6C" w:rsidRDefault="005551CC" w:rsidP="00F84AAF">
            <w:pPr>
              <w:pStyle w:val="TAC"/>
              <w:rPr>
                <w:sz w:val="16"/>
                <w:szCs w:val="16"/>
              </w:rPr>
            </w:pPr>
            <w:r w:rsidRPr="00873B6C">
              <w:rPr>
                <w:sz w:val="16"/>
                <w:szCs w:val="16"/>
              </w:rPr>
              <w:t>2022-03</w:t>
            </w:r>
          </w:p>
        </w:tc>
        <w:tc>
          <w:tcPr>
            <w:tcW w:w="800" w:type="dxa"/>
            <w:shd w:val="solid" w:color="FFFFFF" w:fill="auto"/>
          </w:tcPr>
          <w:p w14:paraId="1D7C22E1" w14:textId="4A677399" w:rsidR="005551CC" w:rsidRPr="00873B6C" w:rsidRDefault="005551CC"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E52E62F" w14:textId="04C4B1F7" w:rsidR="005551CC" w:rsidRPr="00873B6C" w:rsidRDefault="005551CC" w:rsidP="00F84AAF">
            <w:pPr>
              <w:pStyle w:val="TAC"/>
              <w:rPr>
                <w:sz w:val="16"/>
                <w:szCs w:val="16"/>
              </w:rPr>
            </w:pPr>
            <w:r w:rsidRPr="00873B6C">
              <w:rPr>
                <w:sz w:val="16"/>
                <w:szCs w:val="16"/>
              </w:rPr>
              <w:t>SP-220057</w:t>
            </w:r>
          </w:p>
        </w:tc>
        <w:tc>
          <w:tcPr>
            <w:tcW w:w="567" w:type="dxa"/>
            <w:shd w:val="solid" w:color="FFFFFF" w:fill="auto"/>
          </w:tcPr>
          <w:p w14:paraId="0D5567C1" w14:textId="232F2A90" w:rsidR="005551CC" w:rsidRPr="00873B6C" w:rsidRDefault="005551CC" w:rsidP="00F84AAF">
            <w:pPr>
              <w:pStyle w:val="TAL"/>
              <w:rPr>
                <w:sz w:val="16"/>
                <w:szCs w:val="16"/>
              </w:rPr>
            </w:pPr>
            <w:r w:rsidRPr="00873B6C">
              <w:rPr>
                <w:sz w:val="16"/>
                <w:szCs w:val="16"/>
              </w:rPr>
              <w:t>3470</w:t>
            </w:r>
          </w:p>
        </w:tc>
        <w:tc>
          <w:tcPr>
            <w:tcW w:w="425" w:type="dxa"/>
            <w:shd w:val="solid" w:color="FFFFFF" w:fill="auto"/>
          </w:tcPr>
          <w:p w14:paraId="2079FFF4" w14:textId="5920EECA" w:rsidR="005551CC" w:rsidRPr="00873B6C" w:rsidRDefault="005551CC" w:rsidP="00F84AAF">
            <w:pPr>
              <w:pStyle w:val="TAL"/>
              <w:rPr>
                <w:sz w:val="16"/>
                <w:szCs w:val="16"/>
              </w:rPr>
            </w:pPr>
            <w:r w:rsidRPr="00873B6C">
              <w:rPr>
                <w:sz w:val="16"/>
                <w:szCs w:val="16"/>
              </w:rPr>
              <w:t>1</w:t>
            </w:r>
          </w:p>
        </w:tc>
        <w:tc>
          <w:tcPr>
            <w:tcW w:w="425" w:type="dxa"/>
            <w:shd w:val="solid" w:color="FFFFFF" w:fill="auto"/>
          </w:tcPr>
          <w:p w14:paraId="035CE6E5" w14:textId="3F296384" w:rsidR="005551CC" w:rsidRPr="00873B6C" w:rsidRDefault="005551CC" w:rsidP="00F84AAF">
            <w:pPr>
              <w:pStyle w:val="TAL"/>
              <w:rPr>
                <w:sz w:val="16"/>
                <w:szCs w:val="16"/>
              </w:rPr>
            </w:pPr>
            <w:r w:rsidRPr="00873B6C">
              <w:rPr>
                <w:sz w:val="16"/>
                <w:szCs w:val="16"/>
              </w:rPr>
              <w:t>F</w:t>
            </w:r>
          </w:p>
        </w:tc>
        <w:tc>
          <w:tcPr>
            <w:tcW w:w="4820" w:type="dxa"/>
            <w:shd w:val="solid" w:color="FFFFFF" w:fill="auto"/>
          </w:tcPr>
          <w:p w14:paraId="1E129BF6" w14:textId="4DA75644" w:rsidR="005551CC" w:rsidRPr="00873B6C" w:rsidRDefault="005551CC" w:rsidP="00F84AAF">
            <w:pPr>
              <w:pStyle w:val="TAL"/>
              <w:rPr>
                <w:sz w:val="16"/>
                <w:szCs w:val="16"/>
              </w:rPr>
            </w:pPr>
            <w:r w:rsidRPr="00873B6C">
              <w:rPr>
                <w:sz w:val="16"/>
                <w:szCs w:val="16"/>
              </w:rPr>
              <w:t>DN-AAA server selection when the DCS is not involved during primary authentication</w:t>
            </w:r>
          </w:p>
        </w:tc>
        <w:tc>
          <w:tcPr>
            <w:tcW w:w="708" w:type="dxa"/>
            <w:shd w:val="solid" w:color="FFFFFF" w:fill="auto"/>
          </w:tcPr>
          <w:p w14:paraId="4AF5EBC2" w14:textId="29F65C7E" w:rsidR="005551CC" w:rsidRPr="00873B6C" w:rsidRDefault="005551CC" w:rsidP="00F84AAF">
            <w:pPr>
              <w:pStyle w:val="TAC"/>
              <w:rPr>
                <w:sz w:val="16"/>
                <w:szCs w:val="16"/>
              </w:rPr>
            </w:pPr>
            <w:r w:rsidRPr="00873B6C">
              <w:rPr>
                <w:sz w:val="16"/>
                <w:szCs w:val="16"/>
              </w:rPr>
              <w:t>17.4.0</w:t>
            </w:r>
          </w:p>
        </w:tc>
      </w:tr>
      <w:tr w:rsidR="005551CC" w:rsidRPr="00873B6C" w14:paraId="24006EDC" w14:textId="77777777" w:rsidTr="009D14FB">
        <w:tc>
          <w:tcPr>
            <w:tcW w:w="800" w:type="dxa"/>
            <w:shd w:val="solid" w:color="FFFFFF" w:fill="auto"/>
          </w:tcPr>
          <w:p w14:paraId="357B62D1" w14:textId="3FA9BC72" w:rsidR="005551CC" w:rsidRPr="00873B6C" w:rsidRDefault="005551CC" w:rsidP="00F84AAF">
            <w:pPr>
              <w:pStyle w:val="TAC"/>
              <w:rPr>
                <w:sz w:val="16"/>
                <w:szCs w:val="16"/>
              </w:rPr>
            </w:pPr>
            <w:r w:rsidRPr="00873B6C">
              <w:rPr>
                <w:sz w:val="16"/>
                <w:szCs w:val="16"/>
              </w:rPr>
              <w:t>2022-03</w:t>
            </w:r>
          </w:p>
        </w:tc>
        <w:tc>
          <w:tcPr>
            <w:tcW w:w="800" w:type="dxa"/>
            <w:shd w:val="solid" w:color="FFFFFF" w:fill="auto"/>
          </w:tcPr>
          <w:p w14:paraId="598AAE16" w14:textId="5FB24C4D" w:rsidR="005551CC" w:rsidRPr="00873B6C" w:rsidRDefault="005551CC"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8456ABE" w14:textId="6E03C5E3" w:rsidR="005551CC" w:rsidRPr="00873B6C" w:rsidRDefault="005551CC" w:rsidP="00F84AAF">
            <w:pPr>
              <w:pStyle w:val="TAC"/>
              <w:rPr>
                <w:sz w:val="16"/>
                <w:szCs w:val="16"/>
              </w:rPr>
            </w:pPr>
            <w:r w:rsidRPr="00873B6C">
              <w:rPr>
                <w:sz w:val="16"/>
                <w:szCs w:val="16"/>
              </w:rPr>
              <w:t>SP-220056</w:t>
            </w:r>
          </w:p>
        </w:tc>
        <w:tc>
          <w:tcPr>
            <w:tcW w:w="567" w:type="dxa"/>
            <w:shd w:val="solid" w:color="FFFFFF" w:fill="auto"/>
          </w:tcPr>
          <w:p w14:paraId="5A1CD250" w14:textId="00CD9FA5" w:rsidR="005551CC" w:rsidRPr="00873B6C" w:rsidRDefault="005551CC" w:rsidP="00F84AAF">
            <w:pPr>
              <w:pStyle w:val="TAL"/>
              <w:rPr>
                <w:sz w:val="16"/>
                <w:szCs w:val="16"/>
              </w:rPr>
            </w:pPr>
            <w:r w:rsidRPr="00873B6C">
              <w:rPr>
                <w:sz w:val="16"/>
                <w:szCs w:val="16"/>
              </w:rPr>
              <w:t>3471</w:t>
            </w:r>
          </w:p>
        </w:tc>
        <w:tc>
          <w:tcPr>
            <w:tcW w:w="425" w:type="dxa"/>
            <w:shd w:val="solid" w:color="FFFFFF" w:fill="auto"/>
          </w:tcPr>
          <w:p w14:paraId="1EBD385B" w14:textId="17E33D19" w:rsidR="005551CC" w:rsidRPr="00873B6C" w:rsidRDefault="005551CC" w:rsidP="00F84AAF">
            <w:pPr>
              <w:pStyle w:val="TAL"/>
              <w:rPr>
                <w:sz w:val="16"/>
                <w:szCs w:val="16"/>
              </w:rPr>
            </w:pPr>
            <w:r w:rsidRPr="00873B6C">
              <w:rPr>
                <w:sz w:val="16"/>
                <w:szCs w:val="16"/>
              </w:rPr>
              <w:t>-</w:t>
            </w:r>
          </w:p>
        </w:tc>
        <w:tc>
          <w:tcPr>
            <w:tcW w:w="425" w:type="dxa"/>
            <w:shd w:val="solid" w:color="FFFFFF" w:fill="auto"/>
          </w:tcPr>
          <w:p w14:paraId="5C27C71C" w14:textId="6A2806DC" w:rsidR="005551CC" w:rsidRPr="00873B6C" w:rsidRDefault="005551CC" w:rsidP="00F84AAF">
            <w:pPr>
              <w:pStyle w:val="TAL"/>
              <w:rPr>
                <w:sz w:val="16"/>
                <w:szCs w:val="16"/>
              </w:rPr>
            </w:pPr>
            <w:r w:rsidRPr="00873B6C">
              <w:rPr>
                <w:sz w:val="16"/>
                <w:szCs w:val="16"/>
              </w:rPr>
              <w:t>F</w:t>
            </w:r>
          </w:p>
        </w:tc>
        <w:tc>
          <w:tcPr>
            <w:tcW w:w="4820" w:type="dxa"/>
            <w:shd w:val="solid" w:color="FFFFFF" w:fill="auto"/>
          </w:tcPr>
          <w:p w14:paraId="7D0E6505" w14:textId="2ACEC990" w:rsidR="005551CC" w:rsidRPr="00873B6C" w:rsidRDefault="005551CC" w:rsidP="00F84AAF">
            <w:pPr>
              <w:pStyle w:val="TAL"/>
              <w:rPr>
                <w:sz w:val="16"/>
                <w:szCs w:val="16"/>
              </w:rPr>
            </w:pPr>
            <w:r w:rsidRPr="00873B6C">
              <w:rPr>
                <w:sz w:val="16"/>
                <w:szCs w:val="16"/>
              </w:rPr>
              <w:t>Cleanup for NWDAF, DCCF, MFAF and ADRF services</w:t>
            </w:r>
          </w:p>
        </w:tc>
        <w:tc>
          <w:tcPr>
            <w:tcW w:w="708" w:type="dxa"/>
            <w:shd w:val="solid" w:color="FFFFFF" w:fill="auto"/>
          </w:tcPr>
          <w:p w14:paraId="2C466794" w14:textId="5DA6AD43" w:rsidR="005551CC" w:rsidRPr="00873B6C" w:rsidRDefault="005551CC" w:rsidP="00F84AAF">
            <w:pPr>
              <w:pStyle w:val="TAC"/>
              <w:rPr>
                <w:sz w:val="16"/>
                <w:szCs w:val="16"/>
              </w:rPr>
            </w:pPr>
            <w:r w:rsidRPr="00873B6C">
              <w:rPr>
                <w:sz w:val="16"/>
                <w:szCs w:val="16"/>
              </w:rPr>
              <w:t>17.4.0</w:t>
            </w:r>
          </w:p>
        </w:tc>
      </w:tr>
      <w:tr w:rsidR="005551CC" w:rsidRPr="00873B6C" w14:paraId="6AC54459" w14:textId="77777777" w:rsidTr="009D14FB">
        <w:tc>
          <w:tcPr>
            <w:tcW w:w="800" w:type="dxa"/>
            <w:shd w:val="solid" w:color="FFFFFF" w:fill="auto"/>
          </w:tcPr>
          <w:p w14:paraId="4E083F4E" w14:textId="2CDBF7A7" w:rsidR="005551CC" w:rsidRPr="00873B6C" w:rsidRDefault="005551CC" w:rsidP="00F84AAF">
            <w:pPr>
              <w:pStyle w:val="TAC"/>
              <w:rPr>
                <w:sz w:val="16"/>
                <w:szCs w:val="16"/>
              </w:rPr>
            </w:pPr>
            <w:r w:rsidRPr="00873B6C">
              <w:rPr>
                <w:sz w:val="16"/>
                <w:szCs w:val="16"/>
              </w:rPr>
              <w:t>2022-03</w:t>
            </w:r>
          </w:p>
        </w:tc>
        <w:tc>
          <w:tcPr>
            <w:tcW w:w="800" w:type="dxa"/>
            <w:shd w:val="solid" w:color="FFFFFF" w:fill="auto"/>
          </w:tcPr>
          <w:p w14:paraId="2D716502" w14:textId="0BDC1457" w:rsidR="005551CC" w:rsidRPr="00873B6C" w:rsidRDefault="005551CC"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23CD71D" w14:textId="0634DF04" w:rsidR="005551CC" w:rsidRPr="00873B6C" w:rsidRDefault="005551CC" w:rsidP="00F84AAF">
            <w:pPr>
              <w:pStyle w:val="TAC"/>
              <w:rPr>
                <w:sz w:val="16"/>
                <w:szCs w:val="16"/>
              </w:rPr>
            </w:pPr>
            <w:r w:rsidRPr="00873B6C">
              <w:rPr>
                <w:sz w:val="16"/>
                <w:szCs w:val="16"/>
              </w:rPr>
              <w:t>SP-220055</w:t>
            </w:r>
          </w:p>
        </w:tc>
        <w:tc>
          <w:tcPr>
            <w:tcW w:w="567" w:type="dxa"/>
            <w:shd w:val="solid" w:color="FFFFFF" w:fill="auto"/>
          </w:tcPr>
          <w:p w14:paraId="23156820" w14:textId="64304BD2" w:rsidR="005551CC" w:rsidRPr="00873B6C" w:rsidRDefault="005551CC" w:rsidP="00F84AAF">
            <w:pPr>
              <w:pStyle w:val="TAL"/>
              <w:rPr>
                <w:sz w:val="16"/>
                <w:szCs w:val="16"/>
              </w:rPr>
            </w:pPr>
            <w:r w:rsidRPr="00873B6C">
              <w:rPr>
                <w:sz w:val="16"/>
                <w:szCs w:val="16"/>
              </w:rPr>
              <w:t>3472</w:t>
            </w:r>
          </w:p>
        </w:tc>
        <w:tc>
          <w:tcPr>
            <w:tcW w:w="425" w:type="dxa"/>
            <w:shd w:val="solid" w:color="FFFFFF" w:fill="auto"/>
          </w:tcPr>
          <w:p w14:paraId="07485F62" w14:textId="59A0971C" w:rsidR="005551CC" w:rsidRPr="00873B6C" w:rsidRDefault="005551CC" w:rsidP="00F84AAF">
            <w:pPr>
              <w:pStyle w:val="TAL"/>
              <w:rPr>
                <w:sz w:val="16"/>
                <w:szCs w:val="16"/>
              </w:rPr>
            </w:pPr>
            <w:r w:rsidRPr="00873B6C">
              <w:rPr>
                <w:sz w:val="16"/>
                <w:szCs w:val="16"/>
              </w:rPr>
              <w:t>1</w:t>
            </w:r>
          </w:p>
        </w:tc>
        <w:tc>
          <w:tcPr>
            <w:tcW w:w="425" w:type="dxa"/>
            <w:shd w:val="solid" w:color="FFFFFF" w:fill="auto"/>
          </w:tcPr>
          <w:p w14:paraId="7E7FD836" w14:textId="10A9437B" w:rsidR="005551CC" w:rsidRPr="00873B6C" w:rsidRDefault="005551CC" w:rsidP="00F84AAF">
            <w:pPr>
              <w:pStyle w:val="TAL"/>
              <w:rPr>
                <w:sz w:val="16"/>
                <w:szCs w:val="16"/>
              </w:rPr>
            </w:pPr>
            <w:r w:rsidRPr="00873B6C">
              <w:rPr>
                <w:sz w:val="16"/>
                <w:szCs w:val="16"/>
              </w:rPr>
              <w:t>F</w:t>
            </w:r>
          </w:p>
        </w:tc>
        <w:tc>
          <w:tcPr>
            <w:tcW w:w="4820" w:type="dxa"/>
            <w:shd w:val="solid" w:color="FFFFFF" w:fill="auto"/>
          </w:tcPr>
          <w:p w14:paraId="099696DE" w14:textId="1B8BE56D" w:rsidR="005551CC" w:rsidRPr="00873B6C" w:rsidRDefault="005551CC" w:rsidP="00F84AAF">
            <w:pPr>
              <w:pStyle w:val="TAL"/>
              <w:rPr>
                <w:sz w:val="16"/>
                <w:szCs w:val="16"/>
              </w:rPr>
            </w:pPr>
            <w:r w:rsidRPr="00873B6C">
              <w:rPr>
                <w:sz w:val="16"/>
                <w:szCs w:val="16"/>
              </w:rPr>
              <w:t>Clarify FQDN in Traffic Influence</w:t>
            </w:r>
          </w:p>
        </w:tc>
        <w:tc>
          <w:tcPr>
            <w:tcW w:w="708" w:type="dxa"/>
            <w:shd w:val="solid" w:color="FFFFFF" w:fill="auto"/>
          </w:tcPr>
          <w:p w14:paraId="712670E0" w14:textId="094BE581" w:rsidR="005551CC" w:rsidRPr="00873B6C" w:rsidRDefault="005551CC" w:rsidP="00F84AAF">
            <w:pPr>
              <w:pStyle w:val="TAC"/>
              <w:rPr>
                <w:sz w:val="16"/>
                <w:szCs w:val="16"/>
              </w:rPr>
            </w:pPr>
            <w:r w:rsidRPr="00873B6C">
              <w:rPr>
                <w:sz w:val="16"/>
                <w:szCs w:val="16"/>
              </w:rPr>
              <w:t>17.4.0</w:t>
            </w:r>
          </w:p>
        </w:tc>
      </w:tr>
      <w:tr w:rsidR="009D1A77" w:rsidRPr="00873B6C" w14:paraId="1EDC19F4" w14:textId="77777777" w:rsidTr="009D14FB">
        <w:tc>
          <w:tcPr>
            <w:tcW w:w="800" w:type="dxa"/>
            <w:shd w:val="solid" w:color="FFFFFF" w:fill="auto"/>
          </w:tcPr>
          <w:p w14:paraId="34A1D8A6" w14:textId="7CDC713D"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400132D2" w14:textId="7CA28D50"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90765F4" w14:textId="2E40B9A8" w:rsidR="009D1A77" w:rsidRPr="00873B6C" w:rsidRDefault="009D1A77" w:rsidP="00F84AAF">
            <w:pPr>
              <w:pStyle w:val="TAC"/>
              <w:rPr>
                <w:sz w:val="16"/>
                <w:szCs w:val="16"/>
              </w:rPr>
            </w:pPr>
            <w:r w:rsidRPr="00873B6C">
              <w:rPr>
                <w:sz w:val="16"/>
                <w:szCs w:val="16"/>
              </w:rPr>
              <w:t>SP-220066</w:t>
            </w:r>
          </w:p>
        </w:tc>
        <w:tc>
          <w:tcPr>
            <w:tcW w:w="567" w:type="dxa"/>
            <w:shd w:val="solid" w:color="FFFFFF" w:fill="auto"/>
          </w:tcPr>
          <w:p w14:paraId="7BDEF5F0" w14:textId="25637B66" w:rsidR="009D1A77" w:rsidRPr="00873B6C" w:rsidRDefault="009D1A77" w:rsidP="00F84AAF">
            <w:pPr>
              <w:pStyle w:val="TAL"/>
              <w:rPr>
                <w:sz w:val="16"/>
                <w:szCs w:val="16"/>
              </w:rPr>
            </w:pPr>
            <w:r w:rsidRPr="00873B6C">
              <w:rPr>
                <w:sz w:val="16"/>
                <w:szCs w:val="16"/>
              </w:rPr>
              <w:t>3473</w:t>
            </w:r>
          </w:p>
        </w:tc>
        <w:tc>
          <w:tcPr>
            <w:tcW w:w="425" w:type="dxa"/>
            <w:shd w:val="solid" w:color="FFFFFF" w:fill="auto"/>
          </w:tcPr>
          <w:p w14:paraId="338DF026" w14:textId="2E678907" w:rsidR="009D1A77" w:rsidRPr="00873B6C" w:rsidRDefault="009D1A77" w:rsidP="00F84AAF">
            <w:pPr>
              <w:pStyle w:val="TAL"/>
              <w:rPr>
                <w:sz w:val="16"/>
                <w:szCs w:val="16"/>
              </w:rPr>
            </w:pPr>
            <w:r w:rsidRPr="00873B6C">
              <w:rPr>
                <w:sz w:val="16"/>
                <w:szCs w:val="16"/>
              </w:rPr>
              <w:t>1</w:t>
            </w:r>
          </w:p>
        </w:tc>
        <w:tc>
          <w:tcPr>
            <w:tcW w:w="425" w:type="dxa"/>
            <w:shd w:val="solid" w:color="FFFFFF" w:fill="auto"/>
          </w:tcPr>
          <w:p w14:paraId="6742B44C" w14:textId="12ADC374"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050BC74B" w14:textId="5DC5ED5C" w:rsidR="009D1A77" w:rsidRPr="00873B6C" w:rsidRDefault="009D1A77" w:rsidP="00F84AAF">
            <w:pPr>
              <w:pStyle w:val="TAL"/>
              <w:rPr>
                <w:sz w:val="16"/>
                <w:szCs w:val="16"/>
              </w:rPr>
            </w:pPr>
            <w:r w:rsidRPr="00873B6C">
              <w:rPr>
                <w:sz w:val="16"/>
                <w:szCs w:val="16"/>
              </w:rPr>
              <w:t>5G-EIR clarification</w:t>
            </w:r>
          </w:p>
        </w:tc>
        <w:tc>
          <w:tcPr>
            <w:tcW w:w="708" w:type="dxa"/>
            <w:shd w:val="solid" w:color="FFFFFF" w:fill="auto"/>
          </w:tcPr>
          <w:p w14:paraId="2FE92924" w14:textId="6A72ADC7" w:rsidR="009D1A77" w:rsidRPr="00873B6C" w:rsidRDefault="009D1A77" w:rsidP="00F84AAF">
            <w:pPr>
              <w:pStyle w:val="TAC"/>
              <w:rPr>
                <w:sz w:val="16"/>
                <w:szCs w:val="16"/>
              </w:rPr>
            </w:pPr>
            <w:r w:rsidRPr="00873B6C">
              <w:rPr>
                <w:sz w:val="16"/>
                <w:szCs w:val="16"/>
              </w:rPr>
              <w:t>17.4.0</w:t>
            </w:r>
          </w:p>
        </w:tc>
      </w:tr>
      <w:tr w:rsidR="009D1A77" w:rsidRPr="00873B6C" w14:paraId="1A0CFEE6" w14:textId="77777777" w:rsidTr="009D14FB">
        <w:tc>
          <w:tcPr>
            <w:tcW w:w="800" w:type="dxa"/>
            <w:shd w:val="solid" w:color="FFFFFF" w:fill="auto"/>
          </w:tcPr>
          <w:p w14:paraId="0FB770B7" w14:textId="7F9B84CF"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0B6BE7F0" w14:textId="3A869409"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5AD924B" w14:textId="696AAC87" w:rsidR="009D1A77" w:rsidRPr="00873B6C" w:rsidRDefault="009D1A77" w:rsidP="00F84AAF">
            <w:pPr>
              <w:pStyle w:val="TAC"/>
              <w:rPr>
                <w:sz w:val="16"/>
                <w:szCs w:val="16"/>
              </w:rPr>
            </w:pPr>
            <w:r w:rsidRPr="00873B6C">
              <w:rPr>
                <w:sz w:val="16"/>
                <w:szCs w:val="16"/>
              </w:rPr>
              <w:t>SP-220062</w:t>
            </w:r>
          </w:p>
        </w:tc>
        <w:tc>
          <w:tcPr>
            <w:tcW w:w="567" w:type="dxa"/>
            <w:shd w:val="solid" w:color="FFFFFF" w:fill="auto"/>
          </w:tcPr>
          <w:p w14:paraId="2ED21240" w14:textId="1B6C4CC6" w:rsidR="009D1A77" w:rsidRPr="00873B6C" w:rsidRDefault="009D1A77" w:rsidP="00F84AAF">
            <w:pPr>
              <w:pStyle w:val="TAL"/>
              <w:rPr>
                <w:sz w:val="16"/>
                <w:szCs w:val="16"/>
              </w:rPr>
            </w:pPr>
            <w:r w:rsidRPr="00873B6C">
              <w:rPr>
                <w:sz w:val="16"/>
                <w:szCs w:val="16"/>
              </w:rPr>
              <w:t>3474</w:t>
            </w:r>
          </w:p>
        </w:tc>
        <w:tc>
          <w:tcPr>
            <w:tcW w:w="425" w:type="dxa"/>
            <w:shd w:val="solid" w:color="FFFFFF" w:fill="auto"/>
          </w:tcPr>
          <w:p w14:paraId="4C12F445" w14:textId="73993822" w:rsidR="009D1A77" w:rsidRPr="00873B6C" w:rsidRDefault="009D1A77" w:rsidP="00F84AAF">
            <w:pPr>
              <w:pStyle w:val="TAL"/>
              <w:rPr>
                <w:sz w:val="16"/>
                <w:szCs w:val="16"/>
              </w:rPr>
            </w:pPr>
            <w:r w:rsidRPr="00873B6C">
              <w:rPr>
                <w:sz w:val="16"/>
                <w:szCs w:val="16"/>
              </w:rPr>
              <w:t>1</w:t>
            </w:r>
          </w:p>
        </w:tc>
        <w:tc>
          <w:tcPr>
            <w:tcW w:w="425" w:type="dxa"/>
            <w:shd w:val="solid" w:color="FFFFFF" w:fill="auto"/>
          </w:tcPr>
          <w:p w14:paraId="0E31DECD" w14:textId="466051FF"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2A3D08E2" w14:textId="5C78AE80" w:rsidR="009D1A77" w:rsidRPr="00873B6C" w:rsidRDefault="009D1A77" w:rsidP="00F84AAF">
            <w:pPr>
              <w:pStyle w:val="TAL"/>
              <w:rPr>
                <w:sz w:val="16"/>
                <w:szCs w:val="16"/>
              </w:rPr>
            </w:pPr>
            <w:r w:rsidRPr="00873B6C">
              <w:rPr>
                <w:sz w:val="16"/>
                <w:szCs w:val="16"/>
              </w:rPr>
              <w:t>Clarification on Authentication and Subscription information checking</w:t>
            </w:r>
          </w:p>
        </w:tc>
        <w:tc>
          <w:tcPr>
            <w:tcW w:w="708" w:type="dxa"/>
            <w:shd w:val="solid" w:color="FFFFFF" w:fill="auto"/>
          </w:tcPr>
          <w:p w14:paraId="028A989A" w14:textId="511B46D2" w:rsidR="009D1A77" w:rsidRPr="00873B6C" w:rsidRDefault="009D1A77" w:rsidP="00F84AAF">
            <w:pPr>
              <w:pStyle w:val="TAC"/>
              <w:rPr>
                <w:sz w:val="16"/>
                <w:szCs w:val="16"/>
              </w:rPr>
            </w:pPr>
            <w:r w:rsidRPr="00873B6C">
              <w:rPr>
                <w:sz w:val="16"/>
                <w:szCs w:val="16"/>
              </w:rPr>
              <w:t>17.4.0</w:t>
            </w:r>
          </w:p>
        </w:tc>
      </w:tr>
      <w:tr w:rsidR="009D1A77" w:rsidRPr="00873B6C" w14:paraId="0CAE0C0F" w14:textId="77777777" w:rsidTr="009D14FB">
        <w:tc>
          <w:tcPr>
            <w:tcW w:w="800" w:type="dxa"/>
            <w:shd w:val="solid" w:color="FFFFFF" w:fill="auto"/>
          </w:tcPr>
          <w:p w14:paraId="1E4E59E4" w14:textId="0C1143B0"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3EDB4E94" w14:textId="44E7FF4A"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E6259EE" w14:textId="458B0B52" w:rsidR="009D1A77" w:rsidRPr="00873B6C" w:rsidRDefault="009D1A77" w:rsidP="00F84AAF">
            <w:pPr>
              <w:pStyle w:val="TAC"/>
              <w:rPr>
                <w:sz w:val="16"/>
                <w:szCs w:val="16"/>
              </w:rPr>
            </w:pPr>
            <w:r w:rsidRPr="00873B6C">
              <w:rPr>
                <w:sz w:val="16"/>
                <w:szCs w:val="16"/>
              </w:rPr>
              <w:t>SP-220062</w:t>
            </w:r>
          </w:p>
        </w:tc>
        <w:tc>
          <w:tcPr>
            <w:tcW w:w="567" w:type="dxa"/>
            <w:shd w:val="solid" w:color="FFFFFF" w:fill="auto"/>
          </w:tcPr>
          <w:p w14:paraId="1E20FB52" w14:textId="09BD688B" w:rsidR="009D1A77" w:rsidRPr="00873B6C" w:rsidRDefault="009D1A77" w:rsidP="00F84AAF">
            <w:pPr>
              <w:pStyle w:val="TAL"/>
              <w:rPr>
                <w:sz w:val="16"/>
                <w:szCs w:val="16"/>
              </w:rPr>
            </w:pPr>
            <w:r w:rsidRPr="00873B6C">
              <w:rPr>
                <w:sz w:val="16"/>
                <w:szCs w:val="16"/>
              </w:rPr>
              <w:t>3479</w:t>
            </w:r>
          </w:p>
        </w:tc>
        <w:tc>
          <w:tcPr>
            <w:tcW w:w="425" w:type="dxa"/>
            <w:shd w:val="solid" w:color="FFFFFF" w:fill="auto"/>
          </w:tcPr>
          <w:p w14:paraId="72563601" w14:textId="0372FA6F" w:rsidR="009D1A77" w:rsidRPr="00873B6C" w:rsidRDefault="009D1A77" w:rsidP="00F84AAF">
            <w:pPr>
              <w:pStyle w:val="TAL"/>
              <w:rPr>
                <w:sz w:val="16"/>
                <w:szCs w:val="16"/>
              </w:rPr>
            </w:pPr>
            <w:r w:rsidRPr="00873B6C">
              <w:rPr>
                <w:sz w:val="16"/>
                <w:szCs w:val="16"/>
              </w:rPr>
              <w:t xml:space="preserve">- </w:t>
            </w:r>
          </w:p>
        </w:tc>
        <w:tc>
          <w:tcPr>
            <w:tcW w:w="425" w:type="dxa"/>
            <w:shd w:val="solid" w:color="FFFFFF" w:fill="auto"/>
          </w:tcPr>
          <w:p w14:paraId="7062AD8F" w14:textId="6F8B7B26"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14A9480E" w14:textId="0721034F" w:rsidR="009D1A77" w:rsidRPr="00873B6C" w:rsidRDefault="009D1A77" w:rsidP="00F84AAF">
            <w:pPr>
              <w:pStyle w:val="TAL"/>
              <w:rPr>
                <w:sz w:val="16"/>
                <w:szCs w:val="16"/>
              </w:rPr>
            </w:pPr>
            <w:r w:rsidRPr="00873B6C">
              <w:rPr>
                <w:sz w:val="16"/>
                <w:szCs w:val="16"/>
              </w:rPr>
              <w:t>Delete the EN on disaster roaming revoking</w:t>
            </w:r>
          </w:p>
        </w:tc>
        <w:tc>
          <w:tcPr>
            <w:tcW w:w="708" w:type="dxa"/>
            <w:shd w:val="solid" w:color="FFFFFF" w:fill="auto"/>
          </w:tcPr>
          <w:p w14:paraId="3D3DF35D" w14:textId="05298A02" w:rsidR="009D1A77" w:rsidRPr="00873B6C" w:rsidRDefault="009D1A77" w:rsidP="00F84AAF">
            <w:pPr>
              <w:pStyle w:val="TAC"/>
              <w:rPr>
                <w:sz w:val="16"/>
                <w:szCs w:val="16"/>
              </w:rPr>
            </w:pPr>
            <w:r w:rsidRPr="00873B6C">
              <w:rPr>
                <w:sz w:val="16"/>
                <w:szCs w:val="16"/>
              </w:rPr>
              <w:t>17.4.0</w:t>
            </w:r>
          </w:p>
        </w:tc>
      </w:tr>
      <w:tr w:rsidR="009D1A77" w:rsidRPr="00873B6C" w14:paraId="2F443113" w14:textId="77777777" w:rsidTr="009D14FB">
        <w:tc>
          <w:tcPr>
            <w:tcW w:w="800" w:type="dxa"/>
            <w:shd w:val="solid" w:color="FFFFFF" w:fill="auto"/>
          </w:tcPr>
          <w:p w14:paraId="3447344B" w14:textId="661B68BD"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2AADF76A" w14:textId="208F0CC8"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EF97300" w14:textId="5F5C3037" w:rsidR="009D1A77" w:rsidRPr="00873B6C" w:rsidRDefault="009D1A77" w:rsidP="00F84AAF">
            <w:pPr>
              <w:pStyle w:val="TAC"/>
              <w:rPr>
                <w:sz w:val="16"/>
                <w:szCs w:val="16"/>
              </w:rPr>
            </w:pPr>
            <w:r w:rsidRPr="00873B6C">
              <w:rPr>
                <w:sz w:val="16"/>
                <w:szCs w:val="16"/>
              </w:rPr>
              <w:t>SP-220060</w:t>
            </w:r>
          </w:p>
        </w:tc>
        <w:tc>
          <w:tcPr>
            <w:tcW w:w="567" w:type="dxa"/>
            <w:shd w:val="solid" w:color="FFFFFF" w:fill="auto"/>
          </w:tcPr>
          <w:p w14:paraId="72BDAA81" w14:textId="0CC4D6FD" w:rsidR="009D1A77" w:rsidRPr="00873B6C" w:rsidRDefault="009D1A77" w:rsidP="00F84AAF">
            <w:pPr>
              <w:pStyle w:val="TAL"/>
              <w:rPr>
                <w:sz w:val="16"/>
                <w:szCs w:val="16"/>
              </w:rPr>
            </w:pPr>
            <w:r w:rsidRPr="00873B6C">
              <w:rPr>
                <w:sz w:val="16"/>
                <w:szCs w:val="16"/>
              </w:rPr>
              <w:t>3480</w:t>
            </w:r>
          </w:p>
        </w:tc>
        <w:tc>
          <w:tcPr>
            <w:tcW w:w="425" w:type="dxa"/>
            <w:shd w:val="solid" w:color="FFFFFF" w:fill="auto"/>
          </w:tcPr>
          <w:p w14:paraId="7142F917" w14:textId="00684CE3" w:rsidR="009D1A77" w:rsidRPr="00873B6C" w:rsidRDefault="009D1A77" w:rsidP="00F84AAF">
            <w:pPr>
              <w:pStyle w:val="TAL"/>
              <w:rPr>
                <w:sz w:val="16"/>
                <w:szCs w:val="16"/>
              </w:rPr>
            </w:pPr>
            <w:r w:rsidRPr="00873B6C">
              <w:rPr>
                <w:sz w:val="16"/>
                <w:szCs w:val="16"/>
              </w:rPr>
              <w:t xml:space="preserve">1 </w:t>
            </w:r>
          </w:p>
        </w:tc>
        <w:tc>
          <w:tcPr>
            <w:tcW w:w="425" w:type="dxa"/>
            <w:shd w:val="solid" w:color="FFFFFF" w:fill="auto"/>
          </w:tcPr>
          <w:p w14:paraId="315AECA7" w14:textId="6D453966"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0835A1E8" w14:textId="123AD767" w:rsidR="009D1A77" w:rsidRPr="00873B6C" w:rsidRDefault="009D1A77" w:rsidP="00F84AAF">
            <w:pPr>
              <w:pStyle w:val="TAL"/>
              <w:rPr>
                <w:sz w:val="16"/>
                <w:szCs w:val="16"/>
              </w:rPr>
            </w:pPr>
            <w:r w:rsidRPr="00873B6C">
              <w:rPr>
                <w:sz w:val="16"/>
                <w:szCs w:val="16"/>
              </w:rPr>
              <w:t>Correction on 5G access stratum time distribution</w:t>
            </w:r>
          </w:p>
        </w:tc>
        <w:tc>
          <w:tcPr>
            <w:tcW w:w="708" w:type="dxa"/>
            <w:shd w:val="solid" w:color="FFFFFF" w:fill="auto"/>
          </w:tcPr>
          <w:p w14:paraId="0C90EF97" w14:textId="28207262" w:rsidR="009D1A77" w:rsidRPr="00873B6C" w:rsidRDefault="009D1A77" w:rsidP="00F84AAF">
            <w:pPr>
              <w:pStyle w:val="TAC"/>
              <w:rPr>
                <w:sz w:val="16"/>
                <w:szCs w:val="16"/>
              </w:rPr>
            </w:pPr>
            <w:r w:rsidRPr="00873B6C">
              <w:rPr>
                <w:sz w:val="16"/>
                <w:szCs w:val="16"/>
              </w:rPr>
              <w:t>17.4.0</w:t>
            </w:r>
          </w:p>
        </w:tc>
      </w:tr>
      <w:tr w:rsidR="009D1A77" w:rsidRPr="00873B6C" w14:paraId="565D2656" w14:textId="77777777" w:rsidTr="009D14FB">
        <w:tc>
          <w:tcPr>
            <w:tcW w:w="800" w:type="dxa"/>
            <w:shd w:val="solid" w:color="FFFFFF" w:fill="auto"/>
          </w:tcPr>
          <w:p w14:paraId="49D77476" w14:textId="4E9497F8"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699BC01C" w14:textId="712F7C09"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725EBEF" w14:textId="31E82E7A" w:rsidR="009D1A77" w:rsidRPr="00873B6C" w:rsidRDefault="009D1A77" w:rsidP="00F84AAF">
            <w:pPr>
              <w:pStyle w:val="TAC"/>
              <w:rPr>
                <w:sz w:val="16"/>
                <w:szCs w:val="16"/>
              </w:rPr>
            </w:pPr>
            <w:r w:rsidRPr="00873B6C">
              <w:rPr>
                <w:sz w:val="16"/>
                <w:szCs w:val="16"/>
              </w:rPr>
              <w:t>SP-220068</w:t>
            </w:r>
          </w:p>
        </w:tc>
        <w:tc>
          <w:tcPr>
            <w:tcW w:w="567" w:type="dxa"/>
            <w:shd w:val="solid" w:color="FFFFFF" w:fill="auto"/>
          </w:tcPr>
          <w:p w14:paraId="24D8E9AC" w14:textId="728759DB" w:rsidR="009D1A77" w:rsidRPr="00873B6C" w:rsidRDefault="009D1A77" w:rsidP="00F84AAF">
            <w:pPr>
              <w:pStyle w:val="TAL"/>
              <w:rPr>
                <w:sz w:val="16"/>
                <w:szCs w:val="16"/>
              </w:rPr>
            </w:pPr>
            <w:r w:rsidRPr="00873B6C">
              <w:rPr>
                <w:sz w:val="16"/>
                <w:szCs w:val="16"/>
              </w:rPr>
              <w:t>3481</w:t>
            </w:r>
          </w:p>
        </w:tc>
        <w:tc>
          <w:tcPr>
            <w:tcW w:w="425" w:type="dxa"/>
            <w:shd w:val="solid" w:color="FFFFFF" w:fill="auto"/>
          </w:tcPr>
          <w:p w14:paraId="308927A7" w14:textId="058FF275" w:rsidR="009D1A77" w:rsidRPr="00873B6C" w:rsidRDefault="009D1A77" w:rsidP="00F84AAF">
            <w:pPr>
              <w:pStyle w:val="TAL"/>
              <w:rPr>
                <w:sz w:val="16"/>
                <w:szCs w:val="16"/>
              </w:rPr>
            </w:pPr>
            <w:r w:rsidRPr="00873B6C">
              <w:rPr>
                <w:sz w:val="16"/>
                <w:szCs w:val="16"/>
              </w:rPr>
              <w:t>1</w:t>
            </w:r>
          </w:p>
        </w:tc>
        <w:tc>
          <w:tcPr>
            <w:tcW w:w="425" w:type="dxa"/>
            <w:shd w:val="solid" w:color="FFFFFF" w:fill="auto"/>
          </w:tcPr>
          <w:p w14:paraId="18C3060A" w14:textId="21A216C0"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0CCB7558" w14:textId="1DA37D7C" w:rsidR="009D1A77" w:rsidRPr="00873B6C" w:rsidRDefault="009D1A77" w:rsidP="00F84AAF">
            <w:pPr>
              <w:pStyle w:val="TAL"/>
              <w:rPr>
                <w:sz w:val="16"/>
                <w:szCs w:val="16"/>
              </w:rPr>
            </w:pPr>
            <w:r w:rsidRPr="00873B6C">
              <w:rPr>
                <w:sz w:val="16"/>
                <w:szCs w:val="16"/>
              </w:rPr>
              <w:t>Correction on the MME handling for UPIP during interworking</w:t>
            </w:r>
          </w:p>
        </w:tc>
        <w:tc>
          <w:tcPr>
            <w:tcW w:w="708" w:type="dxa"/>
            <w:shd w:val="solid" w:color="FFFFFF" w:fill="auto"/>
          </w:tcPr>
          <w:p w14:paraId="74615DEC" w14:textId="392FC7DD" w:rsidR="009D1A77" w:rsidRPr="00873B6C" w:rsidRDefault="009D1A77" w:rsidP="00F84AAF">
            <w:pPr>
              <w:pStyle w:val="TAC"/>
              <w:rPr>
                <w:sz w:val="16"/>
                <w:szCs w:val="16"/>
              </w:rPr>
            </w:pPr>
            <w:r w:rsidRPr="00873B6C">
              <w:rPr>
                <w:sz w:val="16"/>
                <w:szCs w:val="16"/>
              </w:rPr>
              <w:t>17.4.0</w:t>
            </w:r>
          </w:p>
        </w:tc>
      </w:tr>
      <w:tr w:rsidR="00EE23D1" w:rsidRPr="00873B6C" w14:paraId="7233F96B" w14:textId="77777777" w:rsidTr="009D14FB">
        <w:tc>
          <w:tcPr>
            <w:tcW w:w="800" w:type="dxa"/>
            <w:shd w:val="solid" w:color="FFFFFF" w:fill="auto"/>
          </w:tcPr>
          <w:p w14:paraId="49913419" w14:textId="4EF46BDE" w:rsidR="00EE23D1" w:rsidRPr="00873B6C" w:rsidRDefault="00EE23D1" w:rsidP="00F84AAF">
            <w:pPr>
              <w:pStyle w:val="TAC"/>
              <w:rPr>
                <w:sz w:val="16"/>
                <w:szCs w:val="16"/>
              </w:rPr>
            </w:pPr>
            <w:r w:rsidRPr="00873B6C">
              <w:rPr>
                <w:sz w:val="16"/>
                <w:szCs w:val="16"/>
              </w:rPr>
              <w:t>2022-03</w:t>
            </w:r>
          </w:p>
        </w:tc>
        <w:tc>
          <w:tcPr>
            <w:tcW w:w="800" w:type="dxa"/>
            <w:shd w:val="solid" w:color="FFFFFF" w:fill="auto"/>
          </w:tcPr>
          <w:p w14:paraId="62886E88" w14:textId="7FCD36CE" w:rsidR="00EE23D1" w:rsidRPr="00873B6C" w:rsidRDefault="00EE23D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705543D" w14:textId="469C91F8" w:rsidR="00EE23D1" w:rsidRPr="00873B6C" w:rsidRDefault="00EE23D1" w:rsidP="00F84AAF">
            <w:pPr>
              <w:pStyle w:val="TAC"/>
              <w:rPr>
                <w:sz w:val="16"/>
                <w:szCs w:val="16"/>
              </w:rPr>
            </w:pPr>
            <w:r w:rsidRPr="00873B6C">
              <w:rPr>
                <w:sz w:val="16"/>
                <w:szCs w:val="16"/>
              </w:rPr>
              <w:t>SP-220047</w:t>
            </w:r>
          </w:p>
        </w:tc>
        <w:tc>
          <w:tcPr>
            <w:tcW w:w="567" w:type="dxa"/>
            <w:shd w:val="solid" w:color="FFFFFF" w:fill="auto"/>
          </w:tcPr>
          <w:p w14:paraId="127D732B" w14:textId="619AF580" w:rsidR="00EE23D1" w:rsidRPr="00873B6C" w:rsidRDefault="00EE23D1" w:rsidP="00F84AAF">
            <w:pPr>
              <w:pStyle w:val="TAL"/>
              <w:rPr>
                <w:sz w:val="16"/>
                <w:szCs w:val="16"/>
              </w:rPr>
            </w:pPr>
            <w:r w:rsidRPr="00873B6C">
              <w:rPr>
                <w:sz w:val="16"/>
                <w:szCs w:val="16"/>
              </w:rPr>
              <w:t>3487</w:t>
            </w:r>
          </w:p>
        </w:tc>
        <w:tc>
          <w:tcPr>
            <w:tcW w:w="425" w:type="dxa"/>
            <w:shd w:val="solid" w:color="FFFFFF" w:fill="auto"/>
          </w:tcPr>
          <w:p w14:paraId="71B7E547" w14:textId="0D218D24" w:rsidR="00EE23D1" w:rsidRPr="00873B6C" w:rsidRDefault="00EE23D1" w:rsidP="00F84AAF">
            <w:pPr>
              <w:pStyle w:val="TAL"/>
              <w:rPr>
                <w:sz w:val="16"/>
                <w:szCs w:val="16"/>
              </w:rPr>
            </w:pPr>
            <w:r w:rsidRPr="00873B6C">
              <w:rPr>
                <w:sz w:val="16"/>
                <w:szCs w:val="16"/>
              </w:rPr>
              <w:t>1</w:t>
            </w:r>
          </w:p>
        </w:tc>
        <w:tc>
          <w:tcPr>
            <w:tcW w:w="425" w:type="dxa"/>
            <w:shd w:val="solid" w:color="FFFFFF" w:fill="auto"/>
          </w:tcPr>
          <w:p w14:paraId="36E3B886" w14:textId="6839C04F" w:rsidR="00EE23D1" w:rsidRPr="00873B6C" w:rsidRDefault="00EE23D1" w:rsidP="00F84AAF">
            <w:pPr>
              <w:pStyle w:val="TAL"/>
              <w:rPr>
                <w:sz w:val="16"/>
                <w:szCs w:val="16"/>
              </w:rPr>
            </w:pPr>
            <w:r w:rsidRPr="00873B6C">
              <w:rPr>
                <w:sz w:val="16"/>
                <w:szCs w:val="16"/>
              </w:rPr>
              <w:t>A</w:t>
            </w:r>
          </w:p>
        </w:tc>
        <w:tc>
          <w:tcPr>
            <w:tcW w:w="4820" w:type="dxa"/>
            <w:shd w:val="solid" w:color="FFFFFF" w:fill="auto"/>
          </w:tcPr>
          <w:p w14:paraId="592ABD87" w14:textId="55962CB3" w:rsidR="00EE23D1" w:rsidRPr="00873B6C" w:rsidRDefault="00EE23D1" w:rsidP="00F84AAF">
            <w:pPr>
              <w:pStyle w:val="TAL"/>
              <w:rPr>
                <w:sz w:val="16"/>
                <w:szCs w:val="16"/>
              </w:rPr>
            </w:pPr>
            <w:r w:rsidRPr="00873B6C">
              <w:rPr>
                <w:sz w:val="16"/>
                <w:szCs w:val="16"/>
              </w:rPr>
              <w:t>Scheduled Traffic not used for TSCAI</w:t>
            </w:r>
          </w:p>
        </w:tc>
        <w:tc>
          <w:tcPr>
            <w:tcW w:w="708" w:type="dxa"/>
            <w:shd w:val="solid" w:color="FFFFFF" w:fill="auto"/>
          </w:tcPr>
          <w:p w14:paraId="57B5BD82" w14:textId="574F6291" w:rsidR="00EE23D1" w:rsidRPr="00873B6C" w:rsidRDefault="00EE23D1" w:rsidP="00F84AAF">
            <w:pPr>
              <w:pStyle w:val="TAC"/>
              <w:rPr>
                <w:sz w:val="16"/>
                <w:szCs w:val="16"/>
              </w:rPr>
            </w:pPr>
            <w:r w:rsidRPr="00873B6C">
              <w:rPr>
                <w:sz w:val="16"/>
                <w:szCs w:val="16"/>
              </w:rPr>
              <w:t>17.4.0</w:t>
            </w:r>
          </w:p>
        </w:tc>
      </w:tr>
      <w:tr w:rsidR="00FA7B3B" w:rsidRPr="00873B6C" w14:paraId="28F350A4" w14:textId="77777777" w:rsidTr="00C9561D">
        <w:tc>
          <w:tcPr>
            <w:tcW w:w="800" w:type="dxa"/>
            <w:shd w:val="solid" w:color="FFFFFF" w:fill="auto"/>
          </w:tcPr>
          <w:p w14:paraId="44D7E8D1" w14:textId="77777777" w:rsidR="00FA7B3B" w:rsidRPr="00873B6C" w:rsidRDefault="00FA7B3B" w:rsidP="00C9561D">
            <w:pPr>
              <w:pStyle w:val="TAC"/>
              <w:rPr>
                <w:sz w:val="16"/>
                <w:szCs w:val="16"/>
              </w:rPr>
            </w:pPr>
            <w:r w:rsidRPr="00873B6C">
              <w:rPr>
                <w:sz w:val="16"/>
                <w:szCs w:val="16"/>
              </w:rPr>
              <w:t>2022-03</w:t>
            </w:r>
          </w:p>
        </w:tc>
        <w:tc>
          <w:tcPr>
            <w:tcW w:w="800" w:type="dxa"/>
            <w:shd w:val="solid" w:color="FFFFFF" w:fill="auto"/>
          </w:tcPr>
          <w:p w14:paraId="2A0B806E" w14:textId="563EB624" w:rsidR="00FA7B3B" w:rsidRPr="00873B6C" w:rsidRDefault="00FA7B3B" w:rsidP="00C9561D">
            <w:pPr>
              <w:pStyle w:val="TAL"/>
              <w:rPr>
                <w:sz w:val="16"/>
                <w:szCs w:val="16"/>
              </w:rPr>
            </w:pPr>
            <w:r w:rsidRPr="00873B6C">
              <w:rPr>
                <w:sz w:val="16"/>
                <w:szCs w:val="16"/>
              </w:rPr>
              <w:t>SP#95E</w:t>
            </w:r>
          </w:p>
        </w:tc>
        <w:tc>
          <w:tcPr>
            <w:tcW w:w="1094" w:type="dxa"/>
            <w:shd w:val="solid" w:color="FFFFFF" w:fill="auto"/>
          </w:tcPr>
          <w:p w14:paraId="164AC206" w14:textId="77777777" w:rsidR="00FA7B3B" w:rsidRPr="00873B6C" w:rsidRDefault="00FA7B3B" w:rsidP="00C9561D">
            <w:pPr>
              <w:pStyle w:val="TAC"/>
              <w:rPr>
                <w:sz w:val="16"/>
                <w:szCs w:val="16"/>
              </w:rPr>
            </w:pPr>
            <w:r w:rsidRPr="00873B6C">
              <w:rPr>
                <w:sz w:val="16"/>
                <w:szCs w:val="16"/>
              </w:rPr>
              <w:t>SP-220282</w:t>
            </w:r>
          </w:p>
        </w:tc>
        <w:tc>
          <w:tcPr>
            <w:tcW w:w="567" w:type="dxa"/>
            <w:shd w:val="solid" w:color="FFFFFF" w:fill="auto"/>
          </w:tcPr>
          <w:p w14:paraId="4D020D49" w14:textId="77777777" w:rsidR="00FA7B3B" w:rsidRPr="00873B6C" w:rsidRDefault="00FA7B3B" w:rsidP="00C9561D">
            <w:pPr>
              <w:pStyle w:val="TAL"/>
              <w:rPr>
                <w:sz w:val="16"/>
                <w:szCs w:val="16"/>
              </w:rPr>
            </w:pPr>
            <w:r w:rsidRPr="00873B6C">
              <w:rPr>
                <w:sz w:val="16"/>
                <w:szCs w:val="16"/>
              </w:rPr>
              <w:t>3489</w:t>
            </w:r>
          </w:p>
        </w:tc>
        <w:tc>
          <w:tcPr>
            <w:tcW w:w="425" w:type="dxa"/>
            <w:shd w:val="solid" w:color="FFFFFF" w:fill="auto"/>
          </w:tcPr>
          <w:p w14:paraId="62C490B2" w14:textId="77777777" w:rsidR="00FA7B3B" w:rsidRPr="00873B6C" w:rsidRDefault="00FA7B3B" w:rsidP="00C9561D">
            <w:pPr>
              <w:pStyle w:val="TAL"/>
              <w:rPr>
                <w:sz w:val="16"/>
                <w:szCs w:val="16"/>
              </w:rPr>
            </w:pPr>
            <w:r w:rsidRPr="00873B6C">
              <w:rPr>
                <w:sz w:val="16"/>
                <w:szCs w:val="16"/>
              </w:rPr>
              <w:t>2</w:t>
            </w:r>
          </w:p>
        </w:tc>
        <w:tc>
          <w:tcPr>
            <w:tcW w:w="425" w:type="dxa"/>
            <w:shd w:val="solid" w:color="FFFFFF" w:fill="auto"/>
          </w:tcPr>
          <w:p w14:paraId="29EFDB13" w14:textId="77777777" w:rsidR="00FA7B3B" w:rsidRPr="00873B6C" w:rsidRDefault="00FA7B3B" w:rsidP="00C9561D">
            <w:pPr>
              <w:pStyle w:val="TAL"/>
              <w:rPr>
                <w:sz w:val="16"/>
                <w:szCs w:val="16"/>
              </w:rPr>
            </w:pPr>
            <w:r w:rsidRPr="00873B6C">
              <w:rPr>
                <w:sz w:val="16"/>
                <w:szCs w:val="16"/>
              </w:rPr>
              <w:t>F</w:t>
            </w:r>
          </w:p>
        </w:tc>
        <w:tc>
          <w:tcPr>
            <w:tcW w:w="4820" w:type="dxa"/>
            <w:shd w:val="solid" w:color="FFFFFF" w:fill="auto"/>
          </w:tcPr>
          <w:p w14:paraId="71B43CA5" w14:textId="77777777" w:rsidR="00FA7B3B" w:rsidRPr="00873B6C" w:rsidRDefault="00FA7B3B" w:rsidP="00C9561D">
            <w:pPr>
              <w:pStyle w:val="TAL"/>
              <w:rPr>
                <w:sz w:val="16"/>
                <w:szCs w:val="16"/>
              </w:rPr>
            </w:pPr>
            <w:r w:rsidRPr="00873B6C">
              <w:rPr>
                <w:sz w:val="16"/>
                <w:szCs w:val="16"/>
              </w:rPr>
              <w:t>Clarifications on NSAC for Emergency and Priority Services</w:t>
            </w:r>
          </w:p>
        </w:tc>
        <w:tc>
          <w:tcPr>
            <w:tcW w:w="708" w:type="dxa"/>
            <w:shd w:val="solid" w:color="FFFFFF" w:fill="auto"/>
          </w:tcPr>
          <w:p w14:paraId="2A87707E" w14:textId="77777777" w:rsidR="00FA7B3B" w:rsidRPr="00873B6C" w:rsidRDefault="00FA7B3B" w:rsidP="00C9561D">
            <w:pPr>
              <w:pStyle w:val="TAC"/>
              <w:rPr>
                <w:sz w:val="16"/>
                <w:szCs w:val="16"/>
              </w:rPr>
            </w:pPr>
            <w:r w:rsidRPr="00873B6C">
              <w:rPr>
                <w:sz w:val="16"/>
                <w:szCs w:val="16"/>
              </w:rPr>
              <w:t>17.4.0</w:t>
            </w:r>
          </w:p>
        </w:tc>
      </w:tr>
      <w:tr w:rsidR="00133F31" w:rsidRPr="00873B6C" w14:paraId="4B9BD5CC" w14:textId="77777777" w:rsidTr="009D14FB">
        <w:tc>
          <w:tcPr>
            <w:tcW w:w="800" w:type="dxa"/>
            <w:shd w:val="solid" w:color="FFFFFF" w:fill="auto"/>
          </w:tcPr>
          <w:p w14:paraId="0CDD2F7D" w14:textId="3465CE39" w:rsidR="00133F31" w:rsidRPr="00873B6C" w:rsidRDefault="00133F31" w:rsidP="00F84AAF">
            <w:pPr>
              <w:pStyle w:val="TAC"/>
              <w:rPr>
                <w:sz w:val="16"/>
                <w:szCs w:val="16"/>
              </w:rPr>
            </w:pPr>
            <w:r w:rsidRPr="00873B6C">
              <w:rPr>
                <w:sz w:val="16"/>
                <w:szCs w:val="16"/>
              </w:rPr>
              <w:t>2022-03</w:t>
            </w:r>
          </w:p>
        </w:tc>
        <w:tc>
          <w:tcPr>
            <w:tcW w:w="800" w:type="dxa"/>
            <w:shd w:val="solid" w:color="FFFFFF" w:fill="auto"/>
          </w:tcPr>
          <w:p w14:paraId="1C7389FB" w14:textId="77C70530" w:rsidR="00133F31" w:rsidRPr="00873B6C" w:rsidRDefault="00133F3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781252C" w14:textId="6C57E5B4" w:rsidR="00133F31" w:rsidRPr="00873B6C" w:rsidRDefault="00133F31" w:rsidP="00F84AAF">
            <w:pPr>
              <w:pStyle w:val="TAC"/>
              <w:rPr>
                <w:sz w:val="16"/>
                <w:szCs w:val="16"/>
              </w:rPr>
            </w:pPr>
            <w:r w:rsidRPr="00873B6C">
              <w:rPr>
                <w:sz w:val="16"/>
                <w:szCs w:val="16"/>
              </w:rPr>
              <w:t>SP-220066</w:t>
            </w:r>
          </w:p>
        </w:tc>
        <w:tc>
          <w:tcPr>
            <w:tcW w:w="567" w:type="dxa"/>
            <w:shd w:val="solid" w:color="FFFFFF" w:fill="auto"/>
          </w:tcPr>
          <w:p w14:paraId="507BCB4C" w14:textId="12A9B38E" w:rsidR="00133F31" w:rsidRPr="00873B6C" w:rsidRDefault="00133F31" w:rsidP="00F84AAF">
            <w:pPr>
              <w:pStyle w:val="TAL"/>
              <w:rPr>
                <w:sz w:val="16"/>
                <w:szCs w:val="16"/>
              </w:rPr>
            </w:pPr>
            <w:r w:rsidRPr="00873B6C">
              <w:rPr>
                <w:sz w:val="16"/>
                <w:szCs w:val="16"/>
              </w:rPr>
              <w:t>3491</w:t>
            </w:r>
          </w:p>
        </w:tc>
        <w:tc>
          <w:tcPr>
            <w:tcW w:w="425" w:type="dxa"/>
            <w:shd w:val="solid" w:color="FFFFFF" w:fill="auto"/>
          </w:tcPr>
          <w:p w14:paraId="3832F2EF" w14:textId="023E4CC3" w:rsidR="00133F31" w:rsidRPr="00873B6C" w:rsidRDefault="00133F31" w:rsidP="00F84AAF">
            <w:pPr>
              <w:pStyle w:val="TAL"/>
              <w:rPr>
                <w:sz w:val="16"/>
                <w:szCs w:val="16"/>
              </w:rPr>
            </w:pPr>
            <w:r w:rsidRPr="00873B6C">
              <w:rPr>
                <w:sz w:val="16"/>
                <w:szCs w:val="16"/>
              </w:rPr>
              <w:t>-</w:t>
            </w:r>
          </w:p>
        </w:tc>
        <w:tc>
          <w:tcPr>
            <w:tcW w:w="425" w:type="dxa"/>
            <w:shd w:val="solid" w:color="FFFFFF" w:fill="auto"/>
          </w:tcPr>
          <w:p w14:paraId="159E89E0" w14:textId="2464BF81" w:rsidR="00133F31" w:rsidRPr="00873B6C" w:rsidRDefault="00133F31" w:rsidP="00F84AAF">
            <w:pPr>
              <w:pStyle w:val="TAL"/>
              <w:rPr>
                <w:sz w:val="16"/>
                <w:szCs w:val="16"/>
              </w:rPr>
            </w:pPr>
            <w:r w:rsidRPr="00873B6C">
              <w:rPr>
                <w:sz w:val="16"/>
                <w:szCs w:val="16"/>
              </w:rPr>
              <w:t>F</w:t>
            </w:r>
          </w:p>
        </w:tc>
        <w:tc>
          <w:tcPr>
            <w:tcW w:w="4820" w:type="dxa"/>
            <w:shd w:val="solid" w:color="FFFFFF" w:fill="auto"/>
          </w:tcPr>
          <w:p w14:paraId="7E1C220D" w14:textId="2CF84F8B" w:rsidR="00133F31" w:rsidRPr="00873B6C" w:rsidRDefault="00133F31" w:rsidP="00F84AAF">
            <w:pPr>
              <w:pStyle w:val="TAL"/>
              <w:rPr>
                <w:sz w:val="16"/>
                <w:szCs w:val="16"/>
              </w:rPr>
            </w:pPr>
            <w:r w:rsidRPr="00873B6C">
              <w:rPr>
                <w:sz w:val="16"/>
                <w:szCs w:val="16"/>
              </w:rPr>
              <w:t>Number of CN paging subgroups</w:t>
            </w:r>
          </w:p>
        </w:tc>
        <w:tc>
          <w:tcPr>
            <w:tcW w:w="708" w:type="dxa"/>
            <w:shd w:val="solid" w:color="FFFFFF" w:fill="auto"/>
          </w:tcPr>
          <w:p w14:paraId="18533819" w14:textId="4AE93E9A" w:rsidR="00133F31" w:rsidRPr="00873B6C" w:rsidRDefault="00133F31" w:rsidP="00F84AAF">
            <w:pPr>
              <w:pStyle w:val="TAC"/>
              <w:rPr>
                <w:sz w:val="16"/>
                <w:szCs w:val="16"/>
              </w:rPr>
            </w:pPr>
            <w:r w:rsidRPr="00873B6C">
              <w:rPr>
                <w:sz w:val="16"/>
                <w:szCs w:val="16"/>
              </w:rPr>
              <w:t>17.4.0</w:t>
            </w:r>
          </w:p>
        </w:tc>
      </w:tr>
      <w:tr w:rsidR="00DB3C92" w:rsidRPr="00873B6C" w14:paraId="7A354A38" w14:textId="77777777" w:rsidTr="009D14FB">
        <w:tc>
          <w:tcPr>
            <w:tcW w:w="800" w:type="dxa"/>
            <w:shd w:val="solid" w:color="FFFFFF" w:fill="auto"/>
          </w:tcPr>
          <w:p w14:paraId="01315632" w14:textId="696D328A" w:rsidR="00DB3C92" w:rsidRPr="00873B6C" w:rsidRDefault="00DB3C92" w:rsidP="00F84AAF">
            <w:pPr>
              <w:pStyle w:val="TAC"/>
              <w:rPr>
                <w:sz w:val="16"/>
                <w:szCs w:val="16"/>
              </w:rPr>
            </w:pPr>
            <w:r w:rsidRPr="00873B6C">
              <w:rPr>
                <w:sz w:val="16"/>
                <w:szCs w:val="16"/>
              </w:rPr>
              <w:t>2022-03</w:t>
            </w:r>
          </w:p>
        </w:tc>
        <w:tc>
          <w:tcPr>
            <w:tcW w:w="800" w:type="dxa"/>
            <w:shd w:val="solid" w:color="FFFFFF" w:fill="auto"/>
          </w:tcPr>
          <w:p w14:paraId="5CC46E5D" w14:textId="27198F4A" w:rsidR="00DB3C92" w:rsidRPr="00873B6C" w:rsidRDefault="00DB3C92"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6CADA72" w14:textId="525FCA85" w:rsidR="00DB3C92" w:rsidRPr="00873B6C" w:rsidRDefault="00DB3C92" w:rsidP="00F84AAF">
            <w:pPr>
              <w:pStyle w:val="TAC"/>
              <w:rPr>
                <w:sz w:val="16"/>
                <w:szCs w:val="16"/>
              </w:rPr>
            </w:pPr>
            <w:r w:rsidRPr="00873B6C">
              <w:rPr>
                <w:sz w:val="16"/>
                <w:szCs w:val="16"/>
              </w:rPr>
              <w:t>SP-220066</w:t>
            </w:r>
          </w:p>
        </w:tc>
        <w:tc>
          <w:tcPr>
            <w:tcW w:w="567" w:type="dxa"/>
            <w:shd w:val="solid" w:color="FFFFFF" w:fill="auto"/>
          </w:tcPr>
          <w:p w14:paraId="5F2B4BF6" w14:textId="6F590057" w:rsidR="00DB3C92" w:rsidRPr="00873B6C" w:rsidRDefault="00DB3C92" w:rsidP="00F84AAF">
            <w:pPr>
              <w:pStyle w:val="TAL"/>
              <w:rPr>
                <w:sz w:val="16"/>
                <w:szCs w:val="16"/>
              </w:rPr>
            </w:pPr>
            <w:r w:rsidRPr="00873B6C">
              <w:rPr>
                <w:sz w:val="16"/>
                <w:szCs w:val="16"/>
              </w:rPr>
              <w:t>3492</w:t>
            </w:r>
          </w:p>
        </w:tc>
        <w:tc>
          <w:tcPr>
            <w:tcW w:w="425" w:type="dxa"/>
            <w:shd w:val="solid" w:color="FFFFFF" w:fill="auto"/>
          </w:tcPr>
          <w:p w14:paraId="1B0E02A6" w14:textId="6F9F20FC" w:rsidR="00DB3C92" w:rsidRPr="00873B6C" w:rsidRDefault="00DB3C92" w:rsidP="00F84AAF">
            <w:pPr>
              <w:pStyle w:val="TAL"/>
              <w:rPr>
                <w:sz w:val="16"/>
                <w:szCs w:val="16"/>
              </w:rPr>
            </w:pPr>
            <w:r w:rsidRPr="00873B6C">
              <w:rPr>
                <w:sz w:val="16"/>
                <w:szCs w:val="16"/>
              </w:rPr>
              <w:t>-</w:t>
            </w:r>
          </w:p>
        </w:tc>
        <w:tc>
          <w:tcPr>
            <w:tcW w:w="425" w:type="dxa"/>
            <w:shd w:val="solid" w:color="FFFFFF" w:fill="auto"/>
          </w:tcPr>
          <w:p w14:paraId="03884B76" w14:textId="03113A9A" w:rsidR="00DB3C92" w:rsidRPr="00873B6C" w:rsidRDefault="00DB3C92" w:rsidP="00F84AAF">
            <w:pPr>
              <w:pStyle w:val="TAL"/>
              <w:rPr>
                <w:sz w:val="16"/>
                <w:szCs w:val="16"/>
              </w:rPr>
            </w:pPr>
            <w:r w:rsidRPr="00873B6C">
              <w:rPr>
                <w:sz w:val="16"/>
                <w:szCs w:val="16"/>
              </w:rPr>
              <w:t>F</w:t>
            </w:r>
          </w:p>
        </w:tc>
        <w:tc>
          <w:tcPr>
            <w:tcW w:w="4820" w:type="dxa"/>
            <w:shd w:val="solid" w:color="FFFFFF" w:fill="auto"/>
          </w:tcPr>
          <w:p w14:paraId="1EC3A757" w14:textId="2EF5DF47" w:rsidR="00DB3C92" w:rsidRPr="00873B6C" w:rsidRDefault="00DB3C92" w:rsidP="00F84AAF">
            <w:pPr>
              <w:pStyle w:val="TAL"/>
              <w:rPr>
                <w:sz w:val="16"/>
                <w:szCs w:val="16"/>
              </w:rPr>
            </w:pPr>
            <w:r w:rsidRPr="00873B6C">
              <w:rPr>
                <w:sz w:val="16"/>
                <w:szCs w:val="16"/>
              </w:rPr>
              <w:t xml:space="preserve">Reference Architecture Editorial Correction </w:t>
            </w:r>
          </w:p>
        </w:tc>
        <w:tc>
          <w:tcPr>
            <w:tcW w:w="708" w:type="dxa"/>
            <w:shd w:val="solid" w:color="FFFFFF" w:fill="auto"/>
          </w:tcPr>
          <w:p w14:paraId="52F7744B" w14:textId="18E842C1" w:rsidR="00DB3C92" w:rsidRPr="00873B6C" w:rsidRDefault="00DB3C92" w:rsidP="00F84AAF">
            <w:pPr>
              <w:pStyle w:val="TAC"/>
              <w:rPr>
                <w:sz w:val="16"/>
                <w:szCs w:val="16"/>
              </w:rPr>
            </w:pPr>
            <w:r w:rsidRPr="00873B6C">
              <w:rPr>
                <w:sz w:val="16"/>
                <w:szCs w:val="16"/>
              </w:rPr>
              <w:t>17.4.0</w:t>
            </w:r>
          </w:p>
        </w:tc>
      </w:tr>
      <w:tr w:rsidR="00DB3C92" w:rsidRPr="00873B6C" w14:paraId="748C4232" w14:textId="77777777" w:rsidTr="009D14FB">
        <w:tc>
          <w:tcPr>
            <w:tcW w:w="800" w:type="dxa"/>
            <w:shd w:val="solid" w:color="FFFFFF" w:fill="auto"/>
          </w:tcPr>
          <w:p w14:paraId="2ADB78F5" w14:textId="43D4737F" w:rsidR="00DB3C92" w:rsidRPr="00873B6C" w:rsidRDefault="00DB3C92" w:rsidP="00F84AAF">
            <w:pPr>
              <w:pStyle w:val="TAC"/>
              <w:rPr>
                <w:sz w:val="16"/>
                <w:szCs w:val="16"/>
              </w:rPr>
            </w:pPr>
            <w:r w:rsidRPr="00873B6C">
              <w:rPr>
                <w:sz w:val="16"/>
                <w:szCs w:val="16"/>
              </w:rPr>
              <w:t>2022-03</w:t>
            </w:r>
          </w:p>
        </w:tc>
        <w:tc>
          <w:tcPr>
            <w:tcW w:w="800" w:type="dxa"/>
            <w:shd w:val="solid" w:color="FFFFFF" w:fill="auto"/>
          </w:tcPr>
          <w:p w14:paraId="40BC20FA" w14:textId="4241ABD6" w:rsidR="00DB3C92" w:rsidRPr="00873B6C" w:rsidRDefault="00DB3C92"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C49E5B9" w14:textId="1E5021AC" w:rsidR="00DB3C92" w:rsidRPr="00873B6C" w:rsidRDefault="00DB3C92" w:rsidP="00F84AAF">
            <w:pPr>
              <w:pStyle w:val="TAC"/>
              <w:rPr>
                <w:sz w:val="16"/>
                <w:szCs w:val="16"/>
              </w:rPr>
            </w:pPr>
            <w:r w:rsidRPr="00873B6C">
              <w:rPr>
                <w:sz w:val="16"/>
                <w:szCs w:val="16"/>
              </w:rPr>
              <w:t>SP-220066</w:t>
            </w:r>
          </w:p>
        </w:tc>
        <w:tc>
          <w:tcPr>
            <w:tcW w:w="567" w:type="dxa"/>
            <w:shd w:val="solid" w:color="FFFFFF" w:fill="auto"/>
          </w:tcPr>
          <w:p w14:paraId="09FEA7F4" w14:textId="7D70C887" w:rsidR="00DB3C92" w:rsidRPr="00873B6C" w:rsidRDefault="00DB3C92" w:rsidP="00F84AAF">
            <w:pPr>
              <w:pStyle w:val="TAL"/>
              <w:rPr>
                <w:sz w:val="16"/>
                <w:szCs w:val="16"/>
              </w:rPr>
            </w:pPr>
            <w:r w:rsidRPr="00873B6C">
              <w:rPr>
                <w:sz w:val="16"/>
                <w:szCs w:val="16"/>
              </w:rPr>
              <w:t>3495</w:t>
            </w:r>
          </w:p>
        </w:tc>
        <w:tc>
          <w:tcPr>
            <w:tcW w:w="425" w:type="dxa"/>
            <w:shd w:val="solid" w:color="FFFFFF" w:fill="auto"/>
          </w:tcPr>
          <w:p w14:paraId="097DE288" w14:textId="5A87E304" w:rsidR="00DB3C92" w:rsidRPr="00873B6C" w:rsidRDefault="00DB3C92" w:rsidP="00F84AAF">
            <w:pPr>
              <w:pStyle w:val="TAL"/>
              <w:rPr>
                <w:sz w:val="16"/>
                <w:szCs w:val="16"/>
              </w:rPr>
            </w:pPr>
            <w:r w:rsidRPr="00873B6C">
              <w:rPr>
                <w:sz w:val="16"/>
                <w:szCs w:val="16"/>
              </w:rPr>
              <w:t>1</w:t>
            </w:r>
          </w:p>
        </w:tc>
        <w:tc>
          <w:tcPr>
            <w:tcW w:w="425" w:type="dxa"/>
            <w:shd w:val="solid" w:color="FFFFFF" w:fill="auto"/>
          </w:tcPr>
          <w:p w14:paraId="3D68394C" w14:textId="3579ECB5" w:rsidR="00DB3C92" w:rsidRPr="00873B6C" w:rsidRDefault="00DB3C92" w:rsidP="00F84AAF">
            <w:pPr>
              <w:pStyle w:val="TAL"/>
              <w:rPr>
                <w:sz w:val="16"/>
                <w:szCs w:val="16"/>
              </w:rPr>
            </w:pPr>
            <w:r w:rsidRPr="00873B6C">
              <w:rPr>
                <w:sz w:val="16"/>
                <w:szCs w:val="16"/>
              </w:rPr>
              <w:t>F</w:t>
            </w:r>
          </w:p>
        </w:tc>
        <w:tc>
          <w:tcPr>
            <w:tcW w:w="4820" w:type="dxa"/>
            <w:shd w:val="solid" w:color="FFFFFF" w:fill="auto"/>
          </w:tcPr>
          <w:p w14:paraId="626AF3CC" w14:textId="7B111FD6" w:rsidR="00DB3C92" w:rsidRPr="00873B6C" w:rsidRDefault="00DB3C92" w:rsidP="00F84AAF">
            <w:pPr>
              <w:pStyle w:val="TAL"/>
              <w:rPr>
                <w:sz w:val="16"/>
                <w:szCs w:val="16"/>
              </w:rPr>
            </w:pPr>
            <w:r w:rsidRPr="00873B6C">
              <w:rPr>
                <w:sz w:val="16"/>
                <w:szCs w:val="16"/>
              </w:rPr>
              <w:t>Correction for Restriction of use of Enhanced Coverage</w:t>
            </w:r>
          </w:p>
        </w:tc>
        <w:tc>
          <w:tcPr>
            <w:tcW w:w="708" w:type="dxa"/>
            <w:shd w:val="solid" w:color="FFFFFF" w:fill="auto"/>
          </w:tcPr>
          <w:p w14:paraId="3C17B51F" w14:textId="2EBCE533" w:rsidR="00DB3C92" w:rsidRPr="00873B6C" w:rsidRDefault="00DB3C92" w:rsidP="00F84AAF">
            <w:pPr>
              <w:pStyle w:val="TAC"/>
              <w:rPr>
                <w:sz w:val="16"/>
                <w:szCs w:val="16"/>
              </w:rPr>
            </w:pPr>
            <w:r w:rsidRPr="00873B6C">
              <w:rPr>
                <w:sz w:val="16"/>
                <w:szCs w:val="16"/>
              </w:rPr>
              <w:t>17.4.0</w:t>
            </w:r>
          </w:p>
        </w:tc>
      </w:tr>
      <w:tr w:rsidR="00DB3C92" w:rsidRPr="00873B6C" w14:paraId="53462FD9" w14:textId="77777777" w:rsidTr="009D14FB">
        <w:tc>
          <w:tcPr>
            <w:tcW w:w="800" w:type="dxa"/>
            <w:shd w:val="solid" w:color="FFFFFF" w:fill="auto"/>
          </w:tcPr>
          <w:p w14:paraId="161629EF" w14:textId="46A67857" w:rsidR="00DB3C92" w:rsidRPr="00873B6C" w:rsidRDefault="00DB3C92" w:rsidP="00F84AAF">
            <w:pPr>
              <w:pStyle w:val="TAC"/>
              <w:rPr>
                <w:sz w:val="16"/>
                <w:szCs w:val="16"/>
              </w:rPr>
            </w:pPr>
            <w:r w:rsidRPr="00873B6C">
              <w:rPr>
                <w:sz w:val="16"/>
                <w:szCs w:val="16"/>
              </w:rPr>
              <w:t>2022-03</w:t>
            </w:r>
          </w:p>
        </w:tc>
        <w:tc>
          <w:tcPr>
            <w:tcW w:w="800" w:type="dxa"/>
            <w:shd w:val="solid" w:color="FFFFFF" w:fill="auto"/>
          </w:tcPr>
          <w:p w14:paraId="6B53761C" w14:textId="3CA3169A" w:rsidR="00DB3C92" w:rsidRPr="00873B6C" w:rsidRDefault="00DB3C92"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BE70A87" w14:textId="5ABD2770" w:rsidR="00DB3C92" w:rsidRPr="00873B6C" w:rsidRDefault="00DB3C92" w:rsidP="00F84AAF">
            <w:pPr>
              <w:pStyle w:val="TAC"/>
              <w:rPr>
                <w:sz w:val="16"/>
                <w:szCs w:val="16"/>
              </w:rPr>
            </w:pPr>
            <w:r w:rsidRPr="00873B6C">
              <w:rPr>
                <w:sz w:val="16"/>
                <w:szCs w:val="16"/>
              </w:rPr>
              <w:t>SP-220051</w:t>
            </w:r>
          </w:p>
        </w:tc>
        <w:tc>
          <w:tcPr>
            <w:tcW w:w="567" w:type="dxa"/>
            <w:shd w:val="solid" w:color="FFFFFF" w:fill="auto"/>
          </w:tcPr>
          <w:p w14:paraId="698BCEB5" w14:textId="2E85CB6B" w:rsidR="00DB3C92" w:rsidRPr="00873B6C" w:rsidRDefault="00DB3C92" w:rsidP="00F84AAF">
            <w:pPr>
              <w:pStyle w:val="TAL"/>
              <w:rPr>
                <w:sz w:val="16"/>
                <w:szCs w:val="16"/>
              </w:rPr>
            </w:pPr>
            <w:r w:rsidRPr="00873B6C">
              <w:rPr>
                <w:sz w:val="16"/>
                <w:szCs w:val="16"/>
              </w:rPr>
              <w:t>3498</w:t>
            </w:r>
          </w:p>
        </w:tc>
        <w:tc>
          <w:tcPr>
            <w:tcW w:w="425" w:type="dxa"/>
            <w:shd w:val="solid" w:color="FFFFFF" w:fill="auto"/>
          </w:tcPr>
          <w:p w14:paraId="3385E4B9" w14:textId="7DE779C6" w:rsidR="00DB3C92" w:rsidRPr="00873B6C" w:rsidRDefault="00DB3C92" w:rsidP="00F84AAF">
            <w:pPr>
              <w:pStyle w:val="TAL"/>
              <w:rPr>
                <w:sz w:val="16"/>
                <w:szCs w:val="16"/>
              </w:rPr>
            </w:pPr>
            <w:r w:rsidRPr="00873B6C">
              <w:rPr>
                <w:sz w:val="16"/>
                <w:szCs w:val="16"/>
              </w:rPr>
              <w:t>1</w:t>
            </w:r>
          </w:p>
        </w:tc>
        <w:tc>
          <w:tcPr>
            <w:tcW w:w="425" w:type="dxa"/>
            <w:shd w:val="solid" w:color="FFFFFF" w:fill="auto"/>
          </w:tcPr>
          <w:p w14:paraId="32A4676C" w14:textId="5383FA3D" w:rsidR="00DB3C92" w:rsidRPr="00873B6C" w:rsidRDefault="00DB3C92" w:rsidP="00F84AAF">
            <w:pPr>
              <w:pStyle w:val="TAL"/>
              <w:rPr>
                <w:sz w:val="16"/>
                <w:szCs w:val="16"/>
              </w:rPr>
            </w:pPr>
            <w:r w:rsidRPr="00873B6C">
              <w:rPr>
                <w:sz w:val="16"/>
                <w:szCs w:val="16"/>
              </w:rPr>
              <w:t>F</w:t>
            </w:r>
          </w:p>
        </w:tc>
        <w:tc>
          <w:tcPr>
            <w:tcW w:w="4820" w:type="dxa"/>
            <w:shd w:val="solid" w:color="FFFFFF" w:fill="auto"/>
          </w:tcPr>
          <w:p w14:paraId="68206862" w14:textId="3E53FD25" w:rsidR="00DB3C92" w:rsidRPr="00873B6C" w:rsidRDefault="00DB3C92" w:rsidP="00F84AAF">
            <w:pPr>
              <w:pStyle w:val="TAL"/>
              <w:rPr>
                <w:sz w:val="16"/>
                <w:szCs w:val="16"/>
              </w:rPr>
            </w:pPr>
            <w:r w:rsidRPr="00873B6C">
              <w:rPr>
                <w:sz w:val="16"/>
                <w:szCs w:val="16"/>
              </w:rPr>
              <w:t>NR NTN: Correction to TA Handling</w:t>
            </w:r>
          </w:p>
        </w:tc>
        <w:tc>
          <w:tcPr>
            <w:tcW w:w="708" w:type="dxa"/>
            <w:shd w:val="solid" w:color="FFFFFF" w:fill="auto"/>
          </w:tcPr>
          <w:p w14:paraId="3E5162C0" w14:textId="3D9B5032" w:rsidR="00DB3C92" w:rsidRPr="00873B6C" w:rsidRDefault="00DB3C92" w:rsidP="00F84AAF">
            <w:pPr>
              <w:pStyle w:val="TAC"/>
              <w:rPr>
                <w:sz w:val="16"/>
                <w:szCs w:val="16"/>
              </w:rPr>
            </w:pPr>
            <w:r w:rsidRPr="00873B6C">
              <w:rPr>
                <w:sz w:val="16"/>
                <w:szCs w:val="16"/>
              </w:rPr>
              <w:t>17.4.0</w:t>
            </w:r>
          </w:p>
        </w:tc>
      </w:tr>
      <w:tr w:rsidR="00DB3C92" w:rsidRPr="00873B6C" w14:paraId="13906BE2" w14:textId="77777777" w:rsidTr="009D14FB">
        <w:tc>
          <w:tcPr>
            <w:tcW w:w="800" w:type="dxa"/>
            <w:shd w:val="solid" w:color="FFFFFF" w:fill="auto"/>
          </w:tcPr>
          <w:p w14:paraId="2DBF2055" w14:textId="26877C7E" w:rsidR="00DB3C92" w:rsidRPr="00873B6C" w:rsidRDefault="00DB3C92" w:rsidP="00F84AAF">
            <w:pPr>
              <w:pStyle w:val="TAC"/>
              <w:rPr>
                <w:sz w:val="16"/>
                <w:szCs w:val="16"/>
              </w:rPr>
            </w:pPr>
            <w:r w:rsidRPr="00873B6C">
              <w:rPr>
                <w:sz w:val="16"/>
                <w:szCs w:val="16"/>
              </w:rPr>
              <w:t>2022-03</w:t>
            </w:r>
          </w:p>
        </w:tc>
        <w:tc>
          <w:tcPr>
            <w:tcW w:w="800" w:type="dxa"/>
            <w:shd w:val="solid" w:color="FFFFFF" w:fill="auto"/>
          </w:tcPr>
          <w:p w14:paraId="1848367F" w14:textId="37FB635A" w:rsidR="00DB3C92" w:rsidRPr="00873B6C" w:rsidRDefault="00DB3C92"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55F62E8" w14:textId="5195F219" w:rsidR="00DB3C92" w:rsidRPr="00873B6C" w:rsidRDefault="00DB3C92" w:rsidP="00F84AAF">
            <w:pPr>
              <w:pStyle w:val="TAC"/>
              <w:rPr>
                <w:sz w:val="16"/>
                <w:szCs w:val="16"/>
              </w:rPr>
            </w:pPr>
            <w:r w:rsidRPr="00873B6C">
              <w:rPr>
                <w:sz w:val="16"/>
                <w:szCs w:val="16"/>
              </w:rPr>
              <w:t>SP-220053</w:t>
            </w:r>
          </w:p>
        </w:tc>
        <w:tc>
          <w:tcPr>
            <w:tcW w:w="567" w:type="dxa"/>
            <w:shd w:val="solid" w:color="FFFFFF" w:fill="auto"/>
          </w:tcPr>
          <w:p w14:paraId="57621DAB" w14:textId="0489D683" w:rsidR="00DB3C92" w:rsidRPr="00873B6C" w:rsidRDefault="00DB3C92" w:rsidP="00F84AAF">
            <w:pPr>
              <w:pStyle w:val="TAL"/>
              <w:rPr>
                <w:sz w:val="16"/>
                <w:szCs w:val="16"/>
              </w:rPr>
            </w:pPr>
            <w:r w:rsidRPr="00873B6C">
              <w:rPr>
                <w:sz w:val="16"/>
                <w:szCs w:val="16"/>
              </w:rPr>
              <w:t>3501</w:t>
            </w:r>
          </w:p>
        </w:tc>
        <w:tc>
          <w:tcPr>
            <w:tcW w:w="425" w:type="dxa"/>
            <w:shd w:val="solid" w:color="FFFFFF" w:fill="auto"/>
          </w:tcPr>
          <w:p w14:paraId="6A191C95" w14:textId="3F2A8A48" w:rsidR="00DB3C92" w:rsidRPr="00873B6C" w:rsidRDefault="00DB3C92" w:rsidP="00F84AAF">
            <w:pPr>
              <w:pStyle w:val="TAL"/>
              <w:rPr>
                <w:sz w:val="16"/>
                <w:szCs w:val="16"/>
              </w:rPr>
            </w:pPr>
            <w:r w:rsidRPr="00873B6C">
              <w:rPr>
                <w:sz w:val="16"/>
                <w:szCs w:val="16"/>
              </w:rPr>
              <w:t>1</w:t>
            </w:r>
          </w:p>
        </w:tc>
        <w:tc>
          <w:tcPr>
            <w:tcW w:w="425" w:type="dxa"/>
            <w:shd w:val="solid" w:color="FFFFFF" w:fill="auto"/>
          </w:tcPr>
          <w:p w14:paraId="606A7CCF" w14:textId="6863BA6A" w:rsidR="00DB3C92" w:rsidRPr="00873B6C" w:rsidRDefault="00DB3C92" w:rsidP="00F84AAF">
            <w:pPr>
              <w:pStyle w:val="TAL"/>
              <w:rPr>
                <w:sz w:val="16"/>
                <w:szCs w:val="16"/>
              </w:rPr>
            </w:pPr>
            <w:r w:rsidRPr="00873B6C">
              <w:rPr>
                <w:sz w:val="16"/>
                <w:szCs w:val="16"/>
              </w:rPr>
              <w:t>F</w:t>
            </w:r>
          </w:p>
        </w:tc>
        <w:tc>
          <w:tcPr>
            <w:tcW w:w="4820" w:type="dxa"/>
            <w:shd w:val="solid" w:color="FFFFFF" w:fill="auto"/>
          </w:tcPr>
          <w:p w14:paraId="7042F4A0" w14:textId="17E01DAD" w:rsidR="00DB3C92" w:rsidRPr="00873B6C" w:rsidRDefault="00DB3C92" w:rsidP="00F84AAF">
            <w:pPr>
              <w:pStyle w:val="TAL"/>
              <w:rPr>
                <w:sz w:val="16"/>
                <w:szCs w:val="16"/>
              </w:rPr>
            </w:pPr>
            <w:r w:rsidRPr="00873B6C">
              <w:rPr>
                <w:sz w:val="16"/>
                <w:szCs w:val="16"/>
              </w:rPr>
              <w:t>MA PDU sessions with connectivity over E-UTRAN/EPC and non-3GPP access to 5GC</w:t>
            </w:r>
          </w:p>
        </w:tc>
        <w:tc>
          <w:tcPr>
            <w:tcW w:w="708" w:type="dxa"/>
            <w:shd w:val="solid" w:color="FFFFFF" w:fill="auto"/>
          </w:tcPr>
          <w:p w14:paraId="53AF9FC0" w14:textId="4793094C" w:rsidR="00DB3C92" w:rsidRPr="00873B6C" w:rsidRDefault="00DB3C92" w:rsidP="00F84AAF">
            <w:pPr>
              <w:pStyle w:val="TAC"/>
              <w:rPr>
                <w:sz w:val="16"/>
                <w:szCs w:val="16"/>
              </w:rPr>
            </w:pPr>
            <w:r w:rsidRPr="00873B6C">
              <w:rPr>
                <w:sz w:val="16"/>
                <w:szCs w:val="16"/>
              </w:rPr>
              <w:t>17.4.0</w:t>
            </w:r>
          </w:p>
        </w:tc>
      </w:tr>
      <w:tr w:rsidR="00FC0C60" w:rsidRPr="00873B6C" w14:paraId="0BBE2005" w14:textId="77777777" w:rsidTr="009D14FB">
        <w:tc>
          <w:tcPr>
            <w:tcW w:w="800" w:type="dxa"/>
            <w:shd w:val="solid" w:color="FFFFFF" w:fill="auto"/>
          </w:tcPr>
          <w:p w14:paraId="7D9E56B0" w14:textId="17DF201C"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3E7093A6" w14:textId="42003FB5"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FDD2EED" w14:textId="4825FD20" w:rsidR="00FC0C60" w:rsidRPr="00873B6C" w:rsidRDefault="00FC0C60" w:rsidP="00F84AAF">
            <w:pPr>
              <w:pStyle w:val="TAC"/>
              <w:rPr>
                <w:sz w:val="16"/>
                <w:szCs w:val="16"/>
              </w:rPr>
            </w:pPr>
            <w:r w:rsidRPr="00873B6C">
              <w:rPr>
                <w:sz w:val="16"/>
                <w:szCs w:val="16"/>
              </w:rPr>
              <w:t>SP-220042</w:t>
            </w:r>
          </w:p>
        </w:tc>
        <w:tc>
          <w:tcPr>
            <w:tcW w:w="567" w:type="dxa"/>
            <w:shd w:val="solid" w:color="FFFFFF" w:fill="auto"/>
          </w:tcPr>
          <w:p w14:paraId="635E4251" w14:textId="39BDAE06" w:rsidR="00FC0C60" w:rsidRPr="00873B6C" w:rsidRDefault="00FC0C60" w:rsidP="00F84AAF">
            <w:pPr>
              <w:pStyle w:val="TAL"/>
              <w:rPr>
                <w:sz w:val="16"/>
                <w:szCs w:val="16"/>
              </w:rPr>
            </w:pPr>
            <w:r w:rsidRPr="00873B6C">
              <w:rPr>
                <w:sz w:val="16"/>
                <w:szCs w:val="16"/>
              </w:rPr>
              <w:t>3505</w:t>
            </w:r>
          </w:p>
        </w:tc>
        <w:tc>
          <w:tcPr>
            <w:tcW w:w="425" w:type="dxa"/>
            <w:shd w:val="solid" w:color="FFFFFF" w:fill="auto"/>
          </w:tcPr>
          <w:p w14:paraId="3222FFF5" w14:textId="274C9964"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03C22E61" w14:textId="23DC7001" w:rsidR="00FC0C60" w:rsidRPr="00873B6C" w:rsidRDefault="00FC0C60" w:rsidP="00F84AAF">
            <w:pPr>
              <w:pStyle w:val="TAL"/>
              <w:rPr>
                <w:sz w:val="16"/>
                <w:szCs w:val="16"/>
              </w:rPr>
            </w:pPr>
            <w:r w:rsidRPr="00873B6C">
              <w:rPr>
                <w:sz w:val="16"/>
                <w:szCs w:val="16"/>
              </w:rPr>
              <w:t>A</w:t>
            </w:r>
          </w:p>
        </w:tc>
        <w:tc>
          <w:tcPr>
            <w:tcW w:w="4820" w:type="dxa"/>
            <w:shd w:val="solid" w:color="FFFFFF" w:fill="auto"/>
          </w:tcPr>
          <w:p w14:paraId="4B79E095" w14:textId="4FF9B5F2" w:rsidR="00FC0C60" w:rsidRPr="00873B6C" w:rsidRDefault="00FC0C60" w:rsidP="00F84AAF">
            <w:pPr>
              <w:pStyle w:val="TAL"/>
              <w:rPr>
                <w:sz w:val="16"/>
                <w:szCs w:val="16"/>
              </w:rPr>
            </w:pPr>
            <w:r w:rsidRPr="00873B6C">
              <w:rPr>
                <w:sz w:val="16"/>
                <w:szCs w:val="16"/>
              </w:rPr>
              <w:t>SSC mode support by the UEs</w:t>
            </w:r>
          </w:p>
        </w:tc>
        <w:tc>
          <w:tcPr>
            <w:tcW w:w="708" w:type="dxa"/>
            <w:shd w:val="solid" w:color="FFFFFF" w:fill="auto"/>
          </w:tcPr>
          <w:p w14:paraId="1DA98774" w14:textId="411C34FB" w:rsidR="00FC0C60" w:rsidRPr="00873B6C" w:rsidRDefault="00FC0C60" w:rsidP="00F84AAF">
            <w:pPr>
              <w:pStyle w:val="TAC"/>
              <w:rPr>
                <w:sz w:val="16"/>
                <w:szCs w:val="16"/>
              </w:rPr>
            </w:pPr>
            <w:r w:rsidRPr="00873B6C">
              <w:rPr>
                <w:sz w:val="16"/>
                <w:szCs w:val="16"/>
              </w:rPr>
              <w:t>17.4.0</w:t>
            </w:r>
          </w:p>
        </w:tc>
      </w:tr>
      <w:tr w:rsidR="00FC0C60" w:rsidRPr="00873B6C" w14:paraId="70CE26B0" w14:textId="77777777" w:rsidTr="009D14FB">
        <w:tc>
          <w:tcPr>
            <w:tcW w:w="800" w:type="dxa"/>
            <w:shd w:val="solid" w:color="FFFFFF" w:fill="auto"/>
          </w:tcPr>
          <w:p w14:paraId="4F405D0B" w14:textId="2FAF34BC"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733E5C3D" w14:textId="66F2204E"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A6589EB" w14:textId="2F763604" w:rsidR="00FC0C60" w:rsidRPr="00873B6C" w:rsidRDefault="00FC0C60" w:rsidP="00F84AAF">
            <w:pPr>
              <w:pStyle w:val="TAC"/>
              <w:rPr>
                <w:sz w:val="16"/>
                <w:szCs w:val="16"/>
              </w:rPr>
            </w:pPr>
            <w:r w:rsidRPr="00873B6C">
              <w:rPr>
                <w:sz w:val="16"/>
                <w:szCs w:val="16"/>
              </w:rPr>
              <w:t>SP-220066</w:t>
            </w:r>
          </w:p>
        </w:tc>
        <w:tc>
          <w:tcPr>
            <w:tcW w:w="567" w:type="dxa"/>
            <w:shd w:val="solid" w:color="FFFFFF" w:fill="auto"/>
          </w:tcPr>
          <w:p w14:paraId="6468DCA7" w14:textId="5C745A15" w:rsidR="00FC0C60" w:rsidRPr="00873B6C" w:rsidRDefault="00FC0C60" w:rsidP="00F84AAF">
            <w:pPr>
              <w:pStyle w:val="TAL"/>
              <w:rPr>
                <w:sz w:val="16"/>
                <w:szCs w:val="16"/>
              </w:rPr>
            </w:pPr>
            <w:r w:rsidRPr="00873B6C">
              <w:rPr>
                <w:sz w:val="16"/>
                <w:szCs w:val="16"/>
              </w:rPr>
              <w:t>3507</w:t>
            </w:r>
          </w:p>
        </w:tc>
        <w:tc>
          <w:tcPr>
            <w:tcW w:w="425" w:type="dxa"/>
            <w:shd w:val="solid" w:color="FFFFFF" w:fill="auto"/>
          </w:tcPr>
          <w:p w14:paraId="25E5DC2B" w14:textId="77946C39"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7E3C2DDE" w14:textId="2E53BAF2"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65B88C17" w14:textId="3BE87617" w:rsidR="00FC0C60" w:rsidRPr="00873B6C" w:rsidRDefault="00FC0C60" w:rsidP="00F84AAF">
            <w:pPr>
              <w:pStyle w:val="TAL"/>
              <w:rPr>
                <w:sz w:val="16"/>
                <w:szCs w:val="16"/>
              </w:rPr>
            </w:pPr>
            <w:r w:rsidRPr="00873B6C">
              <w:rPr>
                <w:sz w:val="16"/>
                <w:szCs w:val="16"/>
              </w:rPr>
              <w:t>Handling of VPLMN QoS constraints during mobility</w:t>
            </w:r>
          </w:p>
        </w:tc>
        <w:tc>
          <w:tcPr>
            <w:tcW w:w="708" w:type="dxa"/>
            <w:shd w:val="solid" w:color="FFFFFF" w:fill="auto"/>
          </w:tcPr>
          <w:p w14:paraId="73E344AA" w14:textId="7040BAAA" w:rsidR="00FC0C60" w:rsidRPr="00873B6C" w:rsidRDefault="00FC0C60" w:rsidP="00F84AAF">
            <w:pPr>
              <w:pStyle w:val="TAC"/>
              <w:rPr>
                <w:sz w:val="16"/>
                <w:szCs w:val="16"/>
              </w:rPr>
            </w:pPr>
            <w:r w:rsidRPr="00873B6C">
              <w:rPr>
                <w:sz w:val="16"/>
                <w:szCs w:val="16"/>
              </w:rPr>
              <w:t>17.4.0</w:t>
            </w:r>
          </w:p>
        </w:tc>
      </w:tr>
      <w:tr w:rsidR="00FC0C60" w:rsidRPr="00873B6C" w14:paraId="187E8D1F" w14:textId="77777777" w:rsidTr="009D14FB">
        <w:tc>
          <w:tcPr>
            <w:tcW w:w="800" w:type="dxa"/>
            <w:shd w:val="solid" w:color="FFFFFF" w:fill="auto"/>
          </w:tcPr>
          <w:p w14:paraId="3CB4F1FA" w14:textId="49F89F09"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04B3E3A8" w14:textId="1195DF96"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43163B9" w14:textId="7679A76C" w:rsidR="00FC0C60" w:rsidRPr="00873B6C" w:rsidRDefault="00FC0C60" w:rsidP="00F84AAF">
            <w:pPr>
              <w:pStyle w:val="TAC"/>
              <w:rPr>
                <w:sz w:val="16"/>
                <w:szCs w:val="16"/>
              </w:rPr>
            </w:pPr>
            <w:r w:rsidRPr="00873B6C">
              <w:rPr>
                <w:sz w:val="16"/>
                <w:szCs w:val="16"/>
              </w:rPr>
              <w:t>SP-220058</w:t>
            </w:r>
          </w:p>
        </w:tc>
        <w:tc>
          <w:tcPr>
            <w:tcW w:w="567" w:type="dxa"/>
            <w:shd w:val="solid" w:color="FFFFFF" w:fill="auto"/>
          </w:tcPr>
          <w:p w14:paraId="75CB72D1" w14:textId="62E9D953" w:rsidR="00FC0C60" w:rsidRPr="00873B6C" w:rsidRDefault="00FC0C60" w:rsidP="00F84AAF">
            <w:pPr>
              <w:pStyle w:val="TAL"/>
              <w:rPr>
                <w:sz w:val="16"/>
                <w:szCs w:val="16"/>
              </w:rPr>
            </w:pPr>
            <w:r w:rsidRPr="00873B6C">
              <w:rPr>
                <w:sz w:val="16"/>
                <w:szCs w:val="16"/>
              </w:rPr>
              <w:t>3508</w:t>
            </w:r>
          </w:p>
        </w:tc>
        <w:tc>
          <w:tcPr>
            <w:tcW w:w="425" w:type="dxa"/>
            <w:shd w:val="solid" w:color="FFFFFF" w:fill="auto"/>
          </w:tcPr>
          <w:p w14:paraId="1900A820" w14:textId="6E869436"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493E9231" w14:textId="224A97BF"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007B2EFB" w14:textId="42F5229F" w:rsidR="00FC0C60" w:rsidRPr="00873B6C" w:rsidRDefault="00FC0C60" w:rsidP="00F84AAF">
            <w:pPr>
              <w:pStyle w:val="TAL"/>
              <w:rPr>
                <w:sz w:val="16"/>
                <w:szCs w:val="16"/>
              </w:rPr>
            </w:pPr>
            <w:r w:rsidRPr="00873B6C">
              <w:rPr>
                <w:sz w:val="16"/>
                <w:szCs w:val="16"/>
              </w:rPr>
              <w:t>Clarification on the Registration area when Target NSSAI is indicated</w:t>
            </w:r>
          </w:p>
        </w:tc>
        <w:tc>
          <w:tcPr>
            <w:tcW w:w="708" w:type="dxa"/>
            <w:shd w:val="solid" w:color="FFFFFF" w:fill="auto"/>
          </w:tcPr>
          <w:p w14:paraId="10C60A1C" w14:textId="0246A370" w:rsidR="00FC0C60" w:rsidRPr="00873B6C" w:rsidRDefault="00FC0C60" w:rsidP="00F84AAF">
            <w:pPr>
              <w:pStyle w:val="TAC"/>
              <w:rPr>
                <w:sz w:val="16"/>
                <w:szCs w:val="16"/>
              </w:rPr>
            </w:pPr>
            <w:r w:rsidRPr="00873B6C">
              <w:rPr>
                <w:sz w:val="16"/>
                <w:szCs w:val="16"/>
              </w:rPr>
              <w:t>17.4.0</w:t>
            </w:r>
          </w:p>
        </w:tc>
      </w:tr>
      <w:tr w:rsidR="00FC0C60" w:rsidRPr="00873B6C" w14:paraId="414DE78E" w14:textId="77777777" w:rsidTr="009D14FB">
        <w:tc>
          <w:tcPr>
            <w:tcW w:w="800" w:type="dxa"/>
            <w:shd w:val="solid" w:color="FFFFFF" w:fill="auto"/>
          </w:tcPr>
          <w:p w14:paraId="44079A12" w14:textId="64B91052"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72AE6F64" w14:textId="05806590"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8F43AC7" w14:textId="1BD91F5A" w:rsidR="00FC0C60" w:rsidRPr="00873B6C" w:rsidRDefault="00FC0C60" w:rsidP="00F84AAF">
            <w:pPr>
              <w:pStyle w:val="TAC"/>
              <w:rPr>
                <w:sz w:val="16"/>
                <w:szCs w:val="16"/>
              </w:rPr>
            </w:pPr>
            <w:r w:rsidRPr="00873B6C">
              <w:rPr>
                <w:sz w:val="16"/>
                <w:szCs w:val="16"/>
              </w:rPr>
              <w:t>SP-220057</w:t>
            </w:r>
          </w:p>
        </w:tc>
        <w:tc>
          <w:tcPr>
            <w:tcW w:w="567" w:type="dxa"/>
            <w:shd w:val="solid" w:color="FFFFFF" w:fill="auto"/>
          </w:tcPr>
          <w:p w14:paraId="3C7FAA0D" w14:textId="60AB3A76" w:rsidR="00FC0C60" w:rsidRPr="00873B6C" w:rsidRDefault="00FC0C60" w:rsidP="00F84AAF">
            <w:pPr>
              <w:pStyle w:val="TAL"/>
              <w:rPr>
                <w:sz w:val="16"/>
                <w:szCs w:val="16"/>
              </w:rPr>
            </w:pPr>
            <w:r w:rsidRPr="00873B6C">
              <w:rPr>
                <w:sz w:val="16"/>
                <w:szCs w:val="16"/>
              </w:rPr>
              <w:t>3510</w:t>
            </w:r>
          </w:p>
        </w:tc>
        <w:tc>
          <w:tcPr>
            <w:tcW w:w="425" w:type="dxa"/>
            <w:shd w:val="solid" w:color="FFFFFF" w:fill="auto"/>
          </w:tcPr>
          <w:p w14:paraId="08AB92B0" w14:textId="157AEEDE"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392714DF" w14:textId="7E48795F"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2B588BED" w14:textId="6E67A8D8" w:rsidR="00FC0C60" w:rsidRPr="00873B6C" w:rsidRDefault="00FC0C60" w:rsidP="00F84AAF">
            <w:pPr>
              <w:pStyle w:val="TAL"/>
              <w:rPr>
                <w:sz w:val="16"/>
                <w:szCs w:val="16"/>
              </w:rPr>
            </w:pPr>
            <w:r w:rsidRPr="00873B6C">
              <w:rPr>
                <w:sz w:val="16"/>
                <w:szCs w:val="16"/>
              </w:rPr>
              <w:t>Correction for remote provisioning</w:t>
            </w:r>
          </w:p>
        </w:tc>
        <w:tc>
          <w:tcPr>
            <w:tcW w:w="708" w:type="dxa"/>
            <w:shd w:val="solid" w:color="FFFFFF" w:fill="auto"/>
          </w:tcPr>
          <w:p w14:paraId="7EFCBF90" w14:textId="2CD5D6EC" w:rsidR="00FC0C60" w:rsidRPr="00873B6C" w:rsidRDefault="00FC0C60" w:rsidP="00F84AAF">
            <w:pPr>
              <w:pStyle w:val="TAC"/>
              <w:rPr>
                <w:sz w:val="16"/>
                <w:szCs w:val="16"/>
              </w:rPr>
            </w:pPr>
            <w:r w:rsidRPr="00873B6C">
              <w:rPr>
                <w:sz w:val="16"/>
                <w:szCs w:val="16"/>
              </w:rPr>
              <w:t>17.4.0</w:t>
            </w:r>
          </w:p>
        </w:tc>
      </w:tr>
      <w:tr w:rsidR="00FC0C60" w:rsidRPr="00873B6C" w14:paraId="02F57777" w14:textId="77777777" w:rsidTr="009D14FB">
        <w:tc>
          <w:tcPr>
            <w:tcW w:w="800" w:type="dxa"/>
            <w:shd w:val="solid" w:color="FFFFFF" w:fill="auto"/>
          </w:tcPr>
          <w:p w14:paraId="34C929CA" w14:textId="1DF4B70C"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2454F5D6" w14:textId="0391FA2E"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A67E935" w14:textId="0762FA6D" w:rsidR="00FC0C60" w:rsidRPr="00873B6C" w:rsidRDefault="00FC0C60" w:rsidP="00F84AAF">
            <w:pPr>
              <w:pStyle w:val="TAC"/>
              <w:rPr>
                <w:sz w:val="16"/>
                <w:szCs w:val="16"/>
              </w:rPr>
            </w:pPr>
            <w:r w:rsidRPr="00873B6C">
              <w:rPr>
                <w:sz w:val="16"/>
                <w:szCs w:val="16"/>
              </w:rPr>
              <w:t>SP-220057</w:t>
            </w:r>
          </w:p>
        </w:tc>
        <w:tc>
          <w:tcPr>
            <w:tcW w:w="567" w:type="dxa"/>
            <w:shd w:val="solid" w:color="FFFFFF" w:fill="auto"/>
          </w:tcPr>
          <w:p w14:paraId="2F6A879F" w14:textId="43992CB6" w:rsidR="00FC0C60" w:rsidRPr="00873B6C" w:rsidRDefault="00FC0C60" w:rsidP="00F84AAF">
            <w:pPr>
              <w:pStyle w:val="TAL"/>
              <w:rPr>
                <w:sz w:val="16"/>
                <w:szCs w:val="16"/>
              </w:rPr>
            </w:pPr>
            <w:r w:rsidRPr="00873B6C">
              <w:rPr>
                <w:sz w:val="16"/>
                <w:szCs w:val="16"/>
              </w:rPr>
              <w:t>3511</w:t>
            </w:r>
          </w:p>
        </w:tc>
        <w:tc>
          <w:tcPr>
            <w:tcW w:w="425" w:type="dxa"/>
            <w:shd w:val="solid" w:color="FFFFFF" w:fill="auto"/>
          </w:tcPr>
          <w:p w14:paraId="24E1B1C9" w14:textId="6C1840E9"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016E2964" w14:textId="1F145326"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7A368BBC" w14:textId="04CC0C1F" w:rsidR="00FC0C60" w:rsidRPr="00873B6C" w:rsidRDefault="00FC0C60" w:rsidP="00F84AAF">
            <w:pPr>
              <w:pStyle w:val="TAL"/>
              <w:rPr>
                <w:sz w:val="16"/>
                <w:szCs w:val="16"/>
              </w:rPr>
            </w:pPr>
            <w:r w:rsidRPr="00873B6C">
              <w:rPr>
                <w:sz w:val="16"/>
                <w:szCs w:val="16"/>
              </w:rPr>
              <w:t>CH architecture update</w:t>
            </w:r>
          </w:p>
        </w:tc>
        <w:tc>
          <w:tcPr>
            <w:tcW w:w="708" w:type="dxa"/>
            <w:shd w:val="solid" w:color="FFFFFF" w:fill="auto"/>
          </w:tcPr>
          <w:p w14:paraId="199BA429" w14:textId="12F5A11A" w:rsidR="00FC0C60" w:rsidRPr="00873B6C" w:rsidRDefault="00FC0C60" w:rsidP="00F84AAF">
            <w:pPr>
              <w:pStyle w:val="TAC"/>
              <w:rPr>
                <w:sz w:val="16"/>
                <w:szCs w:val="16"/>
              </w:rPr>
            </w:pPr>
            <w:r w:rsidRPr="00873B6C">
              <w:rPr>
                <w:sz w:val="16"/>
                <w:szCs w:val="16"/>
              </w:rPr>
              <w:t>17.4.0</w:t>
            </w:r>
          </w:p>
        </w:tc>
      </w:tr>
      <w:tr w:rsidR="00FC0C60" w:rsidRPr="00873B6C" w14:paraId="6926BA25" w14:textId="77777777" w:rsidTr="009D14FB">
        <w:tc>
          <w:tcPr>
            <w:tcW w:w="800" w:type="dxa"/>
            <w:shd w:val="solid" w:color="FFFFFF" w:fill="auto"/>
          </w:tcPr>
          <w:p w14:paraId="27495A7C" w14:textId="0DBFFE2D"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44210B88" w14:textId="743EF61B"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2C43AFF" w14:textId="703516B2" w:rsidR="00FC0C60" w:rsidRPr="00873B6C" w:rsidRDefault="00FC0C60" w:rsidP="00F84AAF">
            <w:pPr>
              <w:pStyle w:val="TAC"/>
              <w:rPr>
                <w:sz w:val="16"/>
                <w:szCs w:val="16"/>
              </w:rPr>
            </w:pPr>
            <w:r w:rsidRPr="00873B6C">
              <w:rPr>
                <w:sz w:val="16"/>
                <w:szCs w:val="16"/>
              </w:rPr>
              <w:t>SP-220057</w:t>
            </w:r>
          </w:p>
        </w:tc>
        <w:tc>
          <w:tcPr>
            <w:tcW w:w="567" w:type="dxa"/>
            <w:shd w:val="solid" w:color="FFFFFF" w:fill="auto"/>
          </w:tcPr>
          <w:p w14:paraId="7D181343" w14:textId="0126AE0E" w:rsidR="00FC0C60" w:rsidRPr="00873B6C" w:rsidRDefault="00FC0C60" w:rsidP="00F84AAF">
            <w:pPr>
              <w:pStyle w:val="TAL"/>
              <w:rPr>
                <w:sz w:val="16"/>
                <w:szCs w:val="16"/>
              </w:rPr>
            </w:pPr>
            <w:r w:rsidRPr="00873B6C">
              <w:rPr>
                <w:sz w:val="16"/>
                <w:szCs w:val="16"/>
              </w:rPr>
              <w:t>3512</w:t>
            </w:r>
          </w:p>
        </w:tc>
        <w:tc>
          <w:tcPr>
            <w:tcW w:w="425" w:type="dxa"/>
            <w:shd w:val="solid" w:color="FFFFFF" w:fill="auto"/>
          </w:tcPr>
          <w:p w14:paraId="1FA7EE3F" w14:textId="684BEF3E"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086BB8F0" w14:textId="05189CB4"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27A27EB2" w14:textId="6BC92C61" w:rsidR="00FC0C60" w:rsidRPr="00873B6C" w:rsidRDefault="00FC0C60" w:rsidP="00F84AAF">
            <w:pPr>
              <w:pStyle w:val="TAL"/>
              <w:rPr>
                <w:sz w:val="16"/>
                <w:szCs w:val="16"/>
              </w:rPr>
            </w:pPr>
            <w:r w:rsidRPr="00873B6C">
              <w:rPr>
                <w:sz w:val="16"/>
                <w:szCs w:val="16"/>
              </w:rPr>
              <w:t>Correction for UE onboarding</w:t>
            </w:r>
          </w:p>
        </w:tc>
        <w:tc>
          <w:tcPr>
            <w:tcW w:w="708" w:type="dxa"/>
            <w:shd w:val="solid" w:color="FFFFFF" w:fill="auto"/>
          </w:tcPr>
          <w:p w14:paraId="1FE32C49" w14:textId="105C9C5C" w:rsidR="00FC0C60" w:rsidRPr="00873B6C" w:rsidRDefault="00FC0C60" w:rsidP="00F84AAF">
            <w:pPr>
              <w:pStyle w:val="TAC"/>
              <w:rPr>
                <w:sz w:val="16"/>
                <w:szCs w:val="16"/>
              </w:rPr>
            </w:pPr>
            <w:r w:rsidRPr="00873B6C">
              <w:rPr>
                <w:sz w:val="16"/>
                <w:szCs w:val="16"/>
              </w:rPr>
              <w:t>17.4.0</w:t>
            </w:r>
          </w:p>
        </w:tc>
      </w:tr>
      <w:tr w:rsidR="00A725B6" w:rsidRPr="00873B6C" w14:paraId="236F90CA" w14:textId="77777777" w:rsidTr="009D14FB">
        <w:tc>
          <w:tcPr>
            <w:tcW w:w="800" w:type="dxa"/>
            <w:shd w:val="solid" w:color="FFFFFF" w:fill="auto"/>
          </w:tcPr>
          <w:p w14:paraId="19ED53D1" w14:textId="0A126329"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40B531DF" w14:textId="405C2622"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24713A7" w14:textId="3804A189" w:rsidR="00A725B6" w:rsidRPr="00873B6C" w:rsidRDefault="00A725B6" w:rsidP="00F84AAF">
            <w:pPr>
              <w:pStyle w:val="TAC"/>
              <w:rPr>
                <w:sz w:val="16"/>
                <w:szCs w:val="16"/>
              </w:rPr>
            </w:pPr>
            <w:r w:rsidRPr="00873B6C">
              <w:rPr>
                <w:sz w:val="16"/>
                <w:szCs w:val="16"/>
              </w:rPr>
              <w:t>SP-220057</w:t>
            </w:r>
          </w:p>
        </w:tc>
        <w:tc>
          <w:tcPr>
            <w:tcW w:w="567" w:type="dxa"/>
            <w:shd w:val="solid" w:color="FFFFFF" w:fill="auto"/>
          </w:tcPr>
          <w:p w14:paraId="7BC9A6C3" w14:textId="7F25B3B5" w:rsidR="00A725B6" w:rsidRPr="00873B6C" w:rsidRDefault="00A725B6" w:rsidP="00F84AAF">
            <w:pPr>
              <w:pStyle w:val="TAL"/>
              <w:rPr>
                <w:sz w:val="16"/>
                <w:szCs w:val="16"/>
              </w:rPr>
            </w:pPr>
            <w:r w:rsidRPr="00873B6C">
              <w:rPr>
                <w:sz w:val="16"/>
                <w:szCs w:val="16"/>
              </w:rPr>
              <w:t>3514</w:t>
            </w:r>
          </w:p>
        </w:tc>
        <w:tc>
          <w:tcPr>
            <w:tcW w:w="425" w:type="dxa"/>
            <w:shd w:val="solid" w:color="FFFFFF" w:fill="auto"/>
          </w:tcPr>
          <w:p w14:paraId="020F706C" w14:textId="25F3E1BF" w:rsidR="00A725B6" w:rsidRPr="00873B6C" w:rsidRDefault="00A725B6" w:rsidP="00F84AAF">
            <w:pPr>
              <w:pStyle w:val="TAL"/>
              <w:rPr>
                <w:sz w:val="16"/>
                <w:szCs w:val="16"/>
              </w:rPr>
            </w:pPr>
            <w:r w:rsidRPr="00873B6C">
              <w:rPr>
                <w:sz w:val="16"/>
                <w:szCs w:val="16"/>
              </w:rPr>
              <w:t>1</w:t>
            </w:r>
          </w:p>
        </w:tc>
        <w:tc>
          <w:tcPr>
            <w:tcW w:w="425" w:type="dxa"/>
            <w:shd w:val="solid" w:color="FFFFFF" w:fill="auto"/>
          </w:tcPr>
          <w:p w14:paraId="255880BB" w14:textId="58CC4B37"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4F4F40D4" w14:textId="17FC3A50" w:rsidR="00A725B6" w:rsidRPr="00873B6C" w:rsidRDefault="00A725B6" w:rsidP="00F84AAF">
            <w:pPr>
              <w:pStyle w:val="TAL"/>
              <w:rPr>
                <w:sz w:val="16"/>
                <w:szCs w:val="16"/>
              </w:rPr>
            </w:pPr>
            <w:r w:rsidRPr="00873B6C">
              <w:rPr>
                <w:sz w:val="16"/>
                <w:szCs w:val="16"/>
              </w:rPr>
              <w:t>Correction in AAA selection procedure</w:t>
            </w:r>
          </w:p>
        </w:tc>
        <w:tc>
          <w:tcPr>
            <w:tcW w:w="708" w:type="dxa"/>
            <w:shd w:val="solid" w:color="FFFFFF" w:fill="auto"/>
          </w:tcPr>
          <w:p w14:paraId="2E76ED04" w14:textId="6E8E5C04" w:rsidR="00A725B6" w:rsidRPr="00873B6C" w:rsidRDefault="00A725B6" w:rsidP="00F84AAF">
            <w:pPr>
              <w:pStyle w:val="TAC"/>
              <w:rPr>
                <w:sz w:val="16"/>
                <w:szCs w:val="16"/>
              </w:rPr>
            </w:pPr>
            <w:r w:rsidRPr="00873B6C">
              <w:rPr>
                <w:sz w:val="16"/>
                <w:szCs w:val="16"/>
              </w:rPr>
              <w:t>17.4.0</w:t>
            </w:r>
          </w:p>
        </w:tc>
      </w:tr>
      <w:tr w:rsidR="00A725B6" w:rsidRPr="00873B6C" w14:paraId="039AA161" w14:textId="77777777" w:rsidTr="009D14FB">
        <w:tc>
          <w:tcPr>
            <w:tcW w:w="800" w:type="dxa"/>
            <w:shd w:val="solid" w:color="FFFFFF" w:fill="auto"/>
          </w:tcPr>
          <w:p w14:paraId="1F472477" w14:textId="5E2DBC56"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074E9A63" w14:textId="05E13E7C"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D85816F" w14:textId="06CDF447" w:rsidR="00A725B6" w:rsidRPr="00873B6C" w:rsidRDefault="00A725B6" w:rsidP="00F84AAF">
            <w:pPr>
              <w:pStyle w:val="TAC"/>
              <w:rPr>
                <w:sz w:val="16"/>
                <w:szCs w:val="16"/>
              </w:rPr>
            </w:pPr>
            <w:r w:rsidRPr="00873B6C">
              <w:rPr>
                <w:sz w:val="16"/>
                <w:szCs w:val="16"/>
              </w:rPr>
              <w:t>SP-220057</w:t>
            </w:r>
          </w:p>
        </w:tc>
        <w:tc>
          <w:tcPr>
            <w:tcW w:w="567" w:type="dxa"/>
            <w:shd w:val="solid" w:color="FFFFFF" w:fill="auto"/>
          </w:tcPr>
          <w:p w14:paraId="35C36561" w14:textId="526A03D8" w:rsidR="00A725B6" w:rsidRPr="00873B6C" w:rsidRDefault="00A725B6" w:rsidP="00F84AAF">
            <w:pPr>
              <w:pStyle w:val="TAL"/>
              <w:rPr>
                <w:sz w:val="16"/>
                <w:szCs w:val="16"/>
              </w:rPr>
            </w:pPr>
            <w:r w:rsidRPr="00873B6C">
              <w:rPr>
                <w:sz w:val="16"/>
                <w:szCs w:val="16"/>
              </w:rPr>
              <w:t>3515</w:t>
            </w:r>
          </w:p>
        </w:tc>
        <w:tc>
          <w:tcPr>
            <w:tcW w:w="425" w:type="dxa"/>
            <w:shd w:val="solid" w:color="FFFFFF" w:fill="auto"/>
          </w:tcPr>
          <w:p w14:paraId="2414FD00" w14:textId="137C7E67" w:rsidR="00A725B6" w:rsidRPr="00873B6C" w:rsidRDefault="00A725B6" w:rsidP="00F84AAF">
            <w:pPr>
              <w:pStyle w:val="TAL"/>
              <w:rPr>
                <w:sz w:val="16"/>
                <w:szCs w:val="16"/>
              </w:rPr>
            </w:pPr>
            <w:r w:rsidRPr="00873B6C">
              <w:rPr>
                <w:sz w:val="16"/>
                <w:szCs w:val="16"/>
              </w:rPr>
              <w:t>-</w:t>
            </w:r>
          </w:p>
        </w:tc>
        <w:tc>
          <w:tcPr>
            <w:tcW w:w="425" w:type="dxa"/>
            <w:shd w:val="solid" w:color="FFFFFF" w:fill="auto"/>
          </w:tcPr>
          <w:p w14:paraId="543ABCC5" w14:textId="58F62E36"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6C68AE40" w14:textId="7C15BEC3" w:rsidR="00A725B6" w:rsidRPr="00873B6C" w:rsidRDefault="00A725B6" w:rsidP="00F84AAF">
            <w:pPr>
              <w:pStyle w:val="TAL"/>
              <w:rPr>
                <w:sz w:val="16"/>
                <w:szCs w:val="16"/>
              </w:rPr>
            </w:pPr>
            <w:r w:rsidRPr="00873B6C">
              <w:rPr>
                <w:sz w:val="16"/>
                <w:szCs w:val="16"/>
              </w:rPr>
              <w:t>Support for emergency calls when no PLMN acceptable cell is available</w:t>
            </w:r>
          </w:p>
        </w:tc>
        <w:tc>
          <w:tcPr>
            <w:tcW w:w="708" w:type="dxa"/>
            <w:shd w:val="solid" w:color="FFFFFF" w:fill="auto"/>
          </w:tcPr>
          <w:p w14:paraId="06F1C18B" w14:textId="291DE044" w:rsidR="00A725B6" w:rsidRPr="00873B6C" w:rsidRDefault="00A725B6" w:rsidP="00F84AAF">
            <w:pPr>
              <w:pStyle w:val="TAC"/>
              <w:rPr>
                <w:sz w:val="16"/>
                <w:szCs w:val="16"/>
              </w:rPr>
            </w:pPr>
            <w:r w:rsidRPr="00873B6C">
              <w:rPr>
                <w:sz w:val="16"/>
                <w:szCs w:val="16"/>
              </w:rPr>
              <w:t>17.4.0</w:t>
            </w:r>
          </w:p>
        </w:tc>
      </w:tr>
      <w:tr w:rsidR="00A725B6" w:rsidRPr="00873B6C" w14:paraId="204075C4" w14:textId="77777777" w:rsidTr="009D14FB">
        <w:tc>
          <w:tcPr>
            <w:tcW w:w="800" w:type="dxa"/>
            <w:shd w:val="solid" w:color="FFFFFF" w:fill="auto"/>
          </w:tcPr>
          <w:p w14:paraId="60463273" w14:textId="63F2B6E5"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000A5D98" w14:textId="43FBE5CB"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8B52E57" w14:textId="63F4CB5C" w:rsidR="00A725B6" w:rsidRPr="00873B6C" w:rsidRDefault="00A725B6" w:rsidP="00F84AAF">
            <w:pPr>
              <w:pStyle w:val="TAC"/>
              <w:rPr>
                <w:sz w:val="16"/>
                <w:szCs w:val="16"/>
              </w:rPr>
            </w:pPr>
            <w:r w:rsidRPr="00873B6C">
              <w:rPr>
                <w:sz w:val="16"/>
                <w:szCs w:val="16"/>
              </w:rPr>
              <w:t>SP-220056</w:t>
            </w:r>
          </w:p>
        </w:tc>
        <w:tc>
          <w:tcPr>
            <w:tcW w:w="567" w:type="dxa"/>
            <w:shd w:val="solid" w:color="FFFFFF" w:fill="auto"/>
          </w:tcPr>
          <w:p w14:paraId="49BF9A32" w14:textId="694A53FA" w:rsidR="00A725B6" w:rsidRPr="00873B6C" w:rsidRDefault="00A725B6" w:rsidP="00F84AAF">
            <w:pPr>
              <w:pStyle w:val="TAL"/>
              <w:rPr>
                <w:sz w:val="16"/>
                <w:szCs w:val="16"/>
              </w:rPr>
            </w:pPr>
            <w:r w:rsidRPr="00873B6C">
              <w:rPr>
                <w:sz w:val="16"/>
                <w:szCs w:val="16"/>
              </w:rPr>
              <w:t>3517</w:t>
            </w:r>
          </w:p>
        </w:tc>
        <w:tc>
          <w:tcPr>
            <w:tcW w:w="425" w:type="dxa"/>
            <w:shd w:val="solid" w:color="FFFFFF" w:fill="auto"/>
          </w:tcPr>
          <w:p w14:paraId="568B486E" w14:textId="70562D5E" w:rsidR="00A725B6" w:rsidRPr="00873B6C" w:rsidRDefault="00A725B6" w:rsidP="00F84AAF">
            <w:pPr>
              <w:pStyle w:val="TAL"/>
              <w:rPr>
                <w:sz w:val="16"/>
                <w:szCs w:val="16"/>
              </w:rPr>
            </w:pPr>
            <w:r w:rsidRPr="00873B6C">
              <w:rPr>
                <w:sz w:val="16"/>
                <w:szCs w:val="16"/>
              </w:rPr>
              <w:t>1</w:t>
            </w:r>
          </w:p>
        </w:tc>
        <w:tc>
          <w:tcPr>
            <w:tcW w:w="425" w:type="dxa"/>
            <w:shd w:val="solid" w:color="FFFFFF" w:fill="auto"/>
          </w:tcPr>
          <w:p w14:paraId="38667CC0" w14:textId="5E656975"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4ECCB4F4" w14:textId="4F99B5AD" w:rsidR="00A725B6" w:rsidRPr="00873B6C" w:rsidRDefault="00A725B6" w:rsidP="00F84AAF">
            <w:pPr>
              <w:pStyle w:val="TAL"/>
              <w:rPr>
                <w:sz w:val="16"/>
                <w:szCs w:val="16"/>
              </w:rPr>
            </w:pPr>
            <w:r w:rsidRPr="00873B6C">
              <w:rPr>
                <w:sz w:val="16"/>
                <w:szCs w:val="16"/>
              </w:rPr>
              <w:t>Clarifications for NWDAF profile and NWDAF discovery</w:t>
            </w:r>
          </w:p>
        </w:tc>
        <w:tc>
          <w:tcPr>
            <w:tcW w:w="708" w:type="dxa"/>
            <w:shd w:val="solid" w:color="FFFFFF" w:fill="auto"/>
          </w:tcPr>
          <w:p w14:paraId="1E46E15D" w14:textId="519256ED" w:rsidR="00A725B6" w:rsidRPr="00873B6C" w:rsidRDefault="00A725B6" w:rsidP="00F84AAF">
            <w:pPr>
              <w:pStyle w:val="TAC"/>
              <w:rPr>
                <w:sz w:val="16"/>
                <w:szCs w:val="16"/>
              </w:rPr>
            </w:pPr>
            <w:r w:rsidRPr="00873B6C">
              <w:rPr>
                <w:sz w:val="16"/>
                <w:szCs w:val="16"/>
              </w:rPr>
              <w:t>17.4.0</w:t>
            </w:r>
          </w:p>
        </w:tc>
      </w:tr>
      <w:tr w:rsidR="00A725B6" w:rsidRPr="00873B6C" w14:paraId="338CF744" w14:textId="77777777" w:rsidTr="009D14FB">
        <w:tc>
          <w:tcPr>
            <w:tcW w:w="800" w:type="dxa"/>
            <w:shd w:val="solid" w:color="FFFFFF" w:fill="auto"/>
          </w:tcPr>
          <w:p w14:paraId="5EC0716D" w14:textId="41F6B881"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17CC4F06" w14:textId="18F7156B"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400464A" w14:textId="05736444" w:rsidR="00A725B6" w:rsidRPr="00873B6C" w:rsidRDefault="00A725B6" w:rsidP="00F84AAF">
            <w:pPr>
              <w:pStyle w:val="TAC"/>
              <w:rPr>
                <w:sz w:val="16"/>
                <w:szCs w:val="16"/>
              </w:rPr>
            </w:pPr>
            <w:r w:rsidRPr="00873B6C">
              <w:rPr>
                <w:sz w:val="16"/>
                <w:szCs w:val="16"/>
              </w:rPr>
              <w:t>SP-220067</w:t>
            </w:r>
          </w:p>
        </w:tc>
        <w:tc>
          <w:tcPr>
            <w:tcW w:w="567" w:type="dxa"/>
            <w:shd w:val="solid" w:color="FFFFFF" w:fill="auto"/>
          </w:tcPr>
          <w:p w14:paraId="699545B2" w14:textId="5FCBDA31" w:rsidR="00A725B6" w:rsidRPr="00873B6C" w:rsidRDefault="00A725B6" w:rsidP="00F84AAF">
            <w:pPr>
              <w:pStyle w:val="TAL"/>
              <w:rPr>
                <w:sz w:val="16"/>
                <w:szCs w:val="16"/>
              </w:rPr>
            </w:pPr>
            <w:r w:rsidRPr="00873B6C">
              <w:rPr>
                <w:sz w:val="16"/>
                <w:szCs w:val="16"/>
              </w:rPr>
              <w:t>3518</w:t>
            </w:r>
          </w:p>
        </w:tc>
        <w:tc>
          <w:tcPr>
            <w:tcW w:w="425" w:type="dxa"/>
            <w:shd w:val="solid" w:color="FFFFFF" w:fill="auto"/>
          </w:tcPr>
          <w:p w14:paraId="1E9F9C13" w14:textId="2A880FF6" w:rsidR="00A725B6" w:rsidRPr="00873B6C" w:rsidRDefault="00A725B6" w:rsidP="00F84AAF">
            <w:pPr>
              <w:pStyle w:val="TAL"/>
              <w:rPr>
                <w:sz w:val="16"/>
                <w:szCs w:val="16"/>
              </w:rPr>
            </w:pPr>
            <w:r w:rsidRPr="00873B6C">
              <w:rPr>
                <w:sz w:val="16"/>
                <w:szCs w:val="16"/>
              </w:rPr>
              <w:t>-</w:t>
            </w:r>
          </w:p>
        </w:tc>
        <w:tc>
          <w:tcPr>
            <w:tcW w:w="425" w:type="dxa"/>
            <w:shd w:val="solid" w:color="FFFFFF" w:fill="auto"/>
          </w:tcPr>
          <w:p w14:paraId="6C3359A5" w14:textId="2875835F"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0902F97E" w14:textId="3B94EE5A" w:rsidR="00A725B6" w:rsidRPr="00873B6C" w:rsidRDefault="00A725B6" w:rsidP="00F84AAF">
            <w:pPr>
              <w:pStyle w:val="TAL"/>
              <w:rPr>
                <w:sz w:val="16"/>
                <w:szCs w:val="16"/>
              </w:rPr>
            </w:pPr>
            <w:r w:rsidRPr="00873B6C">
              <w:rPr>
                <w:sz w:val="16"/>
                <w:szCs w:val="16"/>
              </w:rPr>
              <w:t>Clarification on non-3gpp AN selection</w:t>
            </w:r>
          </w:p>
        </w:tc>
        <w:tc>
          <w:tcPr>
            <w:tcW w:w="708" w:type="dxa"/>
            <w:shd w:val="solid" w:color="FFFFFF" w:fill="auto"/>
          </w:tcPr>
          <w:p w14:paraId="522A15A3" w14:textId="371692BB" w:rsidR="00A725B6" w:rsidRPr="00873B6C" w:rsidRDefault="00A725B6" w:rsidP="00F84AAF">
            <w:pPr>
              <w:pStyle w:val="TAC"/>
              <w:rPr>
                <w:sz w:val="16"/>
                <w:szCs w:val="16"/>
              </w:rPr>
            </w:pPr>
            <w:r w:rsidRPr="00873B6C">
              <w:rPr>
                <w:sz w:val="16"/>
                <w:szCs w:val="16"/>
              </w:rPr>
              <w:t>17.4.0</w:t>
            </w:r>
          </w:p>
        </w:tc>
      </w:tr>
      <w:tr w:rsidR="00A725B6" w:rsidRPr="00873B6C" w14:paraId="1787C272" w14:textId="77777777" w:rsidTr="009D14FB">
        <w:tc>
          <w:tcPr>
            <w:tcW w:w="800" w:type="dxa"/>
            <w:shd w:val="solid" w:color="FFFFFF" w:fill="auto"/>
          </w:tcPr>
          <w:p w14:paraId="0C496F00" w14:textId="4E3B5A31"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78340C78" w14:textId="69DE7AE3"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FCF3DA4" w14:textId="71AE0CE5" w:rsidR="00A725B6" w:rsidRPr="00873B6C" w:rsidRDefault="00A725B6" w:rsidP="00F84AAF">
            <w:pPr>
              <w:pStyle w:val="TAC"/>
              <w:rPr>
                <w:sz w:val="16"/>
                <w:szCs w:val="16"/>
              </w:rPr>
            </w:pPr>
            <w:r w:rsidRPr="00873B6C">
              <w:rPr>
                <w:sz w:val="16"/>
                <w:szCs w:val="16"/>
              </w:rPr>
              <w:t>SP-220047</w:t>
            </w:r>
          </w:p>
        </w:tc>
        <w:tc>
          <w:tcPr>
            <w:tcW w:w="567" w:type="dxa"/>
            <w:shd w:val="solid" w:color="FFFFFF" w:fill="auto"/>
          </w:tcPr>
          <w:p w14:paraId="4C7CCC11" w14:textId="1E78016C" w:rsidR="00A725B6" w:rsidRPr="00873B6C" w:rsidRDefault="00A725B6" w:rsidP="00F84AAF">
            <w:pPr>
              <w:pStyle w:val="TAL"/>
              <w:rPr>
                <w:sz w:val="16"/>
                <w:szCs w:val="16"/>
              </w:rPr>
            </w:pPr>
            <w:r w:rsidRPr="00873B6C">
              <w:rPr>
                <w:sz w:val="16"/>
                <w:szCs w:val="16"/>
              </w:rPr>
              <w:t>3522</w:t>
            </w:r>
          </w:p>
        </w:tc>
        <w:tc>
          <w:tcPr>
            <w:tcW w:w="425" w:type="dxa"/>
            <w:shd w:val="solid" w:color="FFFFFF" w:fill="auto"/>
          </w:tcPr>
          <w:p w14:paraId="6AAD7C05" w14:textId="054436F8" w:rsidR="00A725B6" w:rsidRPr="00873B6C" w:rsidRDefault="00A725B6" w:rsidP="00F84AAF">
            <w:pPr>
              <w:pStyle w:val="TAL"/>
              <w:rPr>
                <w:sz w:val="16"/>
                <w:szCs w:val="16"/>
              </w:rPr>
            </w:pPr>
            <w:r w:rsidRPr="00873B6C">
              <w:rPr>
                <w:sz w:val="16"/>
                <w:szCs w:val="16"/>
              </w:rPr>
              <w:t>1</w:t>
            </w:r>
          </w:p>
        </w:tc>
        <w:tc>
          <w:tcPr>
            <w:tcW w:w="425" w:type="dxa"/>
            <w:shd w:val="solid" w:color="FFFFFF" w:fill="auto"/>
          </w:tcPr>
          <w:p w14:paraId="1C7BAF79" w14:textId="2CD35231"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50077EC3" w14:textId="54C64DC8" w:rsidR="00A725B6" w:rsidRPr="00873B6C" w:rsidRDefault="00A725B6" w:rsidP="00F84AAF">
            <w:pPr>
              <w:pStyle w:val="TAL"/>
              <w:rPr>
                <w:sz w:val="16"/>
                <w:szCs w:val="16"/>
              </w:rPr>
            </w:pPr>
            <w:r w:rsidRPr="00873B6C">
              <w:rPr>
                <w:sz w:val="16"/>
                <w:szCs w:val="16"/>
              </w:rPr>
              <w:t>Clarification for Routing Indicator on SNPN-enabled UE</w:t>
            </w:r>
          </w:p>
        </w:tc>
        <w:tc>
          <w:tcPr>
            <w:tcW w:w="708" w:type="dxa"/>
            <w:shd w:val="solid" w:color="FFFFFF" w:fill="auto"/>
          </w:tcPr>
          <w:p w14:paraId="4A96D575" w14:textId="6CA50049" w:rsidR="00A725B6" w:rsidRPr="00873B6C" w:rsidRDefault="00A725B6" w:rsidP="00F84AAF">
            <w:pPr>
              <w:pStyle w:val="TAC"/>
              <w:rPr>
                <w:sz w:val="16"/>
                <w:szCs w:val="16"/>
              </w:rPr>
            </w:pPr>
            <w:r w:rsidRPr="00873B6C">
              <w:rPr>
                <w:sz w:val="16"/>
                <w:szCs w:val="16"/>
              </w:rPr>
              <w:t>17.4.0</w:t>
            </w:r>
          </w:p>
        </w:tc>
      </w:tr>
      <w:tr w:rsidR="003F2E5D" w:rsidRPr="00873B6C" w14:paraId="14067EB2" w14:textId="77777777" w:rsidTr="009D14FB">
        <w:tc>
          <w:tcPr>
            <w:tcW w:w="800" w:type="dxa"/>
            <w:shd w:val="solid" w:color="FFFFFF" w:fill="auto"/>
          </w:tcPr>
          <w:p w14:paraId="0D736F0F" w14:textId="58372949" w:rsidR="003F2E5D" w:rsidRPr="00873B6C" w:rsidRDefault="003F2E5D" w:rsidP="00F84AAF">
            <w:pPr>
              <w:pStyle w:val="TAC"/>
              <w:rPr>
                <w:sz w:val="16"/>
                <w:szCs w:val="16"/>
              </w:rPr>
            </w:pPr>
            <w:r w:rsidRPr="00873B6C">
              <w:rPr>
                <w:sz w:val="16"/>
                <w:szCs w:val="16"/>
              </w:rPr>
              <w:t>2022-03</w:t>
            </w:r>
          </w:p>
        </w:tc>
        <w:tc>
          <w:tcPr>
            <w:tcW w:w="800" w:type="dxa"/>
            <w:shd w:val="solid" w:color="FFFFFF" w:fill="auto"/>
          </w:tcPr>
          <w:p w14:paraId="20784135" w14:textId="59622903" w:rsidR="003F2E5D" w:rsidRPr="00873B6C" w:rsidRDefault="003F2E5D"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06A4EEB" w14:textId="20C79927" w:rsidR="003F2E5D" w:rsidRPr="00873B6C" w:rsidRDefault="003F2E5D" w:rsidP="00F84AAF">
            <w:pPr>
              <w:pStyle w:val="TAC"/>
              <w:rPr>
                <w:sz w:val="16"/>
                <w:szCs w:val="16"/>
              </w:rPr>
            </w:pPr>
            <w:r w:rsidRPr="00873B6C">
              <w:rPr>
                <w:sz w:val="16"/>
                <w:szCs w:val="16"/>
              </w:rPr>
              <w:t>SP-220060</w:t>
            </w:r>
          </w:p>
        </w:tc>
        <w:tc>
          <w:tcPr>
            <w:tcW w:w="567" w:type="dxa"/>
            <w:shd w:val="solid" w:color="FFFFFF" w:fill="auto"/>
          </w:tcPr>
          <w:p w14:paraId="49625DD8" w14:textId="0EACB473" w:rsidR="003F2E5D" w:rsidRPr="00873B6C" w:rsidRDefault="003F2E5D" w:rsidP="00F84AAF">
            <w:pPr>
              <w:pStyle w:val="TAL"/>
              <w:rPr>
                <w:sz w:val="16"/>
                <w:szCs w:val="16"/>
              </w:rPr>
            </w:pPr>
            <w:r w:rsidRPr="00873B6C">
              <w:rPr>
                <w:sz w:val="16"/>
                <w:szCs w:val="16"/>
              </w:rPr>
              <w:t>3523</w:t>
            </w:r>
          </w:p>
        </w:tc>
        <w:tc>
          <w:tcPr>
            <w:tcW w:w="425" w:type="dxa"/>
            <w:shd w:val="solid" w:color="FFFFFF" w:fill="auto"/>
          </w:tcPr>
          <w:p w14:paraId="5DB70474" w14:textId="378F0610" w:rsidR="003F2E5D" w:rsidRPr="00873B6C" w:rsidRDefault="003F2E5D" w:rsidP="00F84AAF">
            <w:pPr>
              <w:pStyle w:val="TAL"/>
              <w:rPr>
                <w:sz w:val="16"/>
                <w:szCs w:val="16"/>
              </w:rPr>
            </w:pPr>
            <w:r w:rsidRPr="00873B6C">
              <w:rPr>
                <w:sz w:val="16"/>
                <w:szCs w:val="16"/>
              </w:rPr>
              <w:t>1</w:t>
            </w:r>
          </w:p>
        </w:tc>
        <w:tc>
          <w:tcPr>
            <w:tcW w:w="425" w:type="dxa"/>
            <w:shd w:val="solid" w:color="FFFFFF" w:fill="auto"/>
          </w:tcPr>
          <w:p w14:paraId="5132BFF0" w14:textId="644D6B21" w:rsidR="003F2E5D" w:rsidRPr="00873B6C" w:rsidRDefault="003F2E5D" w:rsidP="00F84AAF">
            <w:pPr>
              <w:pStyle w:val="TAL"/>
              <w:rPr>
                <w:sz w:val="16"/>
                <w:szCs w:val="16"/>
              </w:rPr>
            </w:pPr>
            <w:r w:rsidRPr="00873B6C">
              <w:rPr>
                <w:sz w:val="16"/>
                <w:szCs w:val="16"/>
              </w:rPr>
              <w:t>F</w:t>
            </w:r>
          </w:p>
        </w:tc>
        <w:tc>
          <w:tcPr>
            <w:tcW w:w="4820" w:type="dxa"/>
            <w:shd w:val="solid" w:color="FFFFFF" w:fill="auto"/>
          </w:tcPr>
          <w:p w14:paraId="22FA4650" w14:textId="5755E198" w:rsidR="003F2E5D" w:rsidRPr="00873B6C" w:rsidRDefault="003F2E5D" w:rsidP="00F84AAF">
            <w:pPr>
              <w:pStyle w:val="TAL"/>
              <w:rPr>
                <w:sz w:val="16"/>
                <w:szCs w:val="16"/>
              </w:rPr>
            </w:pPr>
            <w:r w:rsidRPr="00873B6C">
              <w:rPr>
                <w:sz w:val="16"/>
                <w:szCs w:val="16"/>
              </w:rPr>
              <w:t>Multiple NW-TTs associated with a single UPF</w:t>
            </w:r>
          </w:p>
        </w:tc>
        <w:tc>
          <w:tcPr>
            <w:tcW w:w="708" w:type="dxa"/>
            <w:shd w:val="solid" w:color="FFFFFF" w:fill="auto"/>
          </w:tcPr>
          <w:p w14:paraId="766822A8" w14:textId="4A4E8840" w:rsidR="003F2E5D" w:rsidRPr="00873B6C" w:rsidRDefault="003F2E5D" w:rsidP="00F84AAF">
            <w:pPr>
              <w:pStyle w:val="TAC"/>
              <w:rPr>
                <w:sz w:val="16"/>
                <w:szCs w:val="16"/>
              </w:rPr>
            </w:pPr>
            <w:r w:rsidRPr="00873B6C">
              <w:rPr>
                <w:sz w:val="16"/>
                <w:szCs w:val="16"/>
              </w:rPr>
              <w:t>17.4.0</w:t>
            </w:r>
          </w:p>
        </w:tc>
      </w:tr>
      <w:tr w:rsidR="003F2E5D" w:rsidRPr="00873B6C" w14:paraId="249691BE" w14:textId="77777777" w:rsidTr="009D14FB">
        <w:tc>
          <w:tcPr>
            <w:tcW w:w="800" w:type="dxa"/>
            <w:shd w:val="solid" w:color="FFFFFF" w:fill="auto"/>
          </w:tcPr>
          <w:p w14:paraId="2C199189" w14:textId="3F61F752" w:rsidR="003F2E5D" w:rsidRPr="00873B6C" w:rsidRDefault="003F2E5D" w:rsidP="00F84AAF">
            <w:pPr>
              <w:pStyle w:val="TAC"/>
              <w:rPr>
                <w:sz w:val="16"/>
                <w:szCs w:val="16"/>
              </w:rPr>
            </w:pPr>
            <w:r w:rsidRPr="00873B6C">
              <w:rPr>
                <w:sz w:val="16"/>
                <w:szCs w:val="16"/>
              </w:rPr>
              <w:t>2022-03</w:t>
            </w:r>
          </w:p>
        </w:tc>
        <w:tc>
          <w:tcPr>
            <w:tcW w:w="800" w:type="dxa"/>
            <w:shd w:val="solid" w:color="FFFFFF" w:fill="auto"/>
          </w:tcPr>
          <w:p w14:paraId="6BF10F0E" w14:textId="25456D67" w:rsidR="003F2E5D" w:rsidRPr="00873B6C" w:rsidRDefault="003F2E5D"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9DB8792" w14:textId="4E9330BC" w:rsidR="003F2E5D" w:rsidRPr="00873B6C" w:rsidRDefault="003F2E5D" w:rsidP="00F84AAF">
            <w:pPr>
              <w:pStyle w:val="TAC"/>
              <w:rPr>
                <w:sz w:val="16"/>
                <w:szCs w:val="16"/>
              </w:rPr>
            </w:pPr>
            <w:r w:rsidRPr="00873B6C">
              <w:rPr>
                <w:sz w:val="16"/>
                <w:szCs w:val="16"/>
              </w:rPr>
              <w:t>SP-220060</w:t>
            </w:r>
          </w:p>
        </w:tc>
        <w:tc>
          <w:tcPr>
            <w:tcW w:w="567" w:type="dxa"/>
            <w:shd w:val="solid" w:color="FFFFFF" w:fill="auto"/>
          </w:tcPr>
          <w:p w14:paraId="15ECACB4" w14:textId="5805D175" w:rsidR="003F2E5D" w:rsidRPr="00873B6C" w:rsidRDefault="003F2E5D" w:rsidP="00F84AAF">
            <w:pPr>
              <w:pStyle w:val="TAL"/>
              <w:rPr>
                <w:sz w:val="16"/>
                <w:szCs w:val="16"/>
              </w:rPr>
            </w:pPr>
            <w:r w:rsidRPr="00873B6C">
              <w:rPr>
                <w:sz w:val="16"/>
                <w:szCs w:val="16"/>
              </w:rPr>
              <w:t>3524</w:t>
            </w:r>
          </w:p>
        </w:tc>
        <w:tc>
          <w:tcPr>
            <w:tcW w:w="425" w:type="dxa"/>
            <w:shd w:val="solid" w:color="FFFFFF" w:fill="auto"/>
          </w:tcPr>
          <w:p w14:paraId="33AA45DD" w14:textId="530E60C8" w:rsidR="003F2E5D" w:rsidRPr="00873B6C" w:rsidRDefault="003F2E5D" w:rsidP="00F84AAF">
            <w:pPr>
              <w:pStyle w:val="TAL"/>
              <w:rPr>
                <w:sz w:val="16"/>
                <w:szCs w:val="16"/>
              </w:rPr>
            </w:pPr>
            <w:r w:rsidRPr="00873B6C">
              <w:rPr>
                <w:sz w:val="16"/>
                <w:szCs w:val="16"/>
              </w:rPr>
              <w:t>1</w:t>
            </w:r>
          </w:p>
        </w:tc>
        <w:tc>
          <w:tcPr>
            <w:tcW w:w="425" w:type="dxa"/>
            <w:shd w:val="solid" w:color="FFFFFF" w:fill="auto"/>
          </w:tcPr>
          <w:p w14:paraId="26470C46" w14:textId="47850980" w:rsidR="003F2E5D" w:rsidRPr="00873B6C" w:rsidRDefault="003F2E5D" w:rsidP="00F84AAF">
            <w:pPr>
              <w:pStyle w:val="TAL"/>
              <w:rPr>
                <w:sz w:val="16"/>
                <w:szCs w:val="16"/>
              </w:rPr>
            </w:pPr>
            <w:r w:rsidRPr="00873B6C">
              <w:rPr>
                <w:sz w:val="16"/>
                <w:szCs w:val="16"/>
              </w:rPr>
              <w:t>F</w:t>
            </w:r>
          </w:p>
        </w:tc>
        <w:tc>
          <w:tcPr>
            <w:tcW w:w="4820" w:type="dxa"/>
            <w:shd w:val="solid" w:color="FFFFFF" w:fill="auto"/>
          </w:tcPr>
          <w:p w14:paraId="0EAE9CDE" w14:textId="4B622729" w:rsidR="003F2E5D" w:rsidRPr="00873B6C" w:rsidRDefault="003F2E5D" w:rsidP="00F84AAF">
            <w:pPr>
              <w:pStyle w:val="TAL"/>
              <w:rPr>
                <w:sz w:val="16"/>
                <w:szCs w:val="16"/>
              </w:rPr>
            </w:pPr>
            <w:r w:rsidRPr="00873B6C">
              <w:rPr>
                <w:sz w:val="16"/>
                <w:szCs w:val="16"/>
              </w:rPr>
              <w:t>Clarifications and clean-ups for TSC</w:t>
            </w:r>
          </w:p>
        </w:tc>
        <w:tc>
          <w:tcPr>
            <w:tcW w:w="708" w:type="dxa"/>
            <w:shd w:val="solid" w:color="FFFFFF" w:fill="auto"/>
          </w:tcPr>
          <w:p w14:paraId="5BC4B668" w14:textId="36DC0338" w:rsidR="003F2E5D" w:rsidRPr="00873B6C" w:rsidRDefault="003F2E5D" w:rsidP="00F84AAF">
            <w:pPr>
              <w:pStyle w:val="TAC"/>
              <w:rPr>
                <w:sz w:val="16"/>
                <w:szCs w:val="16"/>
              </w:rPr>
            </w:pPr>
            <w:r w:rsidRPr="00873B6C">
              <w:rPr>
                <w:sz w:val="16"/>
                <w:szCs w:val="16"/>
              </w:rPr>
              <w:t>17.4.0</w:t>
            </w:r>
          </w:p>
        </w:tc>
      </w:tr>
      <w:tr w:rsidR="003F2E5D" w:rsidRPr="00873B6C" w14:paraId="62188FB5" w14:textId="77777777" w:rsidTr="009D14FB">
        <w:tc>
          <w:tcPr>
            <w:tcW w:w="800" w:type="dxa"/>
            <w:shd w:val="solid" w:color="FFFFFF" w:fill="auto"/>
          </w:tcPr>
          <w:p w14:paraId="268C29A9" w14:textId="634E0432" w:rsidR="003F2E5D" w:rsidRPr="00873B6C" w:rsidRDefault="003F2E5D" w:rsidP="00F84AAF">
            <w:pPr>
              <w:pStyle w:val="TAC"/>
              <w:rPr>
                <w:sz w:val="16"/>
                <w:szCs w:val="16"/>
              </w:rPr>
            </w:pPr>
            <w:r w:rsidRPr="00873B6C">
              <w:rPr>
                <w:sz w:val="16"/>
                <w:szCs w:val="16"/>
              </w:rPr>
              <w:t>2022-03</w:t>
            </w:r>
          </w:p>
        </w:tc>
        <w:tc>
          <w:tcPr>
            <w:tcW w:w="800" w:type="dxa"/>
            <w:shd w:val="solid" w:color="FFFFFF" w:fill="auto"/>
          </w:tcPr>
          <w:p w14:paraId="6A270A10" w14:textId="7C7FCE8E" w:rsidR="003F2E5D" w:rsidRPr="00873B6C" w:rsidRDefault="003F2E5D"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6BA0790" w14:textId="09CA7D46" w:rsidR="003F2E5D" w:rsidRPr="00873B6C" w:rsidRDefault="003F2E5D" w:rsidP="00F84AAF">
            <w:pPr>
              <w:pStyle w:val="TAC"/>
              <w:rPr>
                <w:sz w:val="16"/>
                <w:szCs w:val="16"/>
              </w:rPr>
            </w:pPr>
            <w:r w:rsidRPr="00873B6C">
              <w:rPr>
                <w:sz w:val="16"/>
                <w:szCs w:val="16"/>
              </w:rPr>
              <w:t>SP-220057</w:t>
            </w:r>
          </w:p>
        </w:tc>
        <w:tc>
          <w:tcPr>
            <w:tcW w:w="567" w:type="dxa"/>
            <w:shd w:val="solid" w:color="FFFFFF" w:fill="auto"/>
          </w:tcPr>
          <w:p w14:paraId="59C113E6" w14:textId="44D39256" w:rsidR="003F2E5D" w:rsidRPr="00873B6C" w:rsidRDefault="003F2E5D" w:rsidP="00F84AAF">
            <w:pPr>
              <w:pStyle w:val="TAL"/>
              <w:rPr>
                <w:sz w:val="16"/>
                <w:szCs w:val="16"/>
              </w:rPr>
            </w:pPr>
            <w:r w:rsidRPr="00873B6C">
              <w:rPr>
                <w:sz w:val="16"/>
                <w:szCs w:val="16"/>
              </w:rPr>
              <w:t>3525</w:t>
            </w:r>
          </w:p>
        </w:tc>
        <w:tc>
          <w:tcPr>
            <w:tcW w:w="425" w:type="dxa"/>
            <w:shd w:val="solid" w:color="FFFFFF" w:fill="auto"/>
          </w:tcPr>
          <w:p w14:paraId="5F2550AB" w14:textId="6D9C221D" w:rsidR="003F2E5D" w:rsidRPr="00873B6C" w:rsidRDefault="003F2E5D" w:rsidP="00F84AAF">
            <w:pPr>
              <w:pStyle w:val="TAL"/>
              <w:rPr>
                <w:sz w:val="16"/>
                <w:szCs w:val="16"/>
              </w:rPr>
            </w:pPr>
            <w:r w:rsidRPr="00873B6C">
              <w:rPr>
                <w:sz w:val="16"/>
                <w:szCs w:val="16"/>
              </w:rPr>
              <w:t xml:space="preserve">1 </w:t>
            </w:r>
          </w:p>
        </w:tc>
        <w:tc>
          <w:tcPr>
            <w:tcW w:w="425" w:type="dxa"/>
            <w:shd w:val="solid" w:color="FFFFFF" w:fill="auto"/>
          </w:tcPr>
          <w:p w14:paraId="3594A276" w14:textId="32D87535" w:rsidR="003F2E5D" w:rsidRPr="00873B6C" w:rsidRDefault="003F2E5D" w:rsidP="00F84AAF">
            <w:pPr>
              <w:pStyle w:val="TAL"/>
              <w:rPr>
                <w:sz w:val="16"/>
                <w:szCs w:val="16"/>
              </w:rPr>
            </w:pPr>
            <w:r w:rsidRPr="00873B6C">
              <w:rPr>
                <w:sz w:val="16"/>
                <w:szCs w:val="16"/>
              </w:rPr>
              <w:t>F</w:t>
            </w:r>
          </w:p>
        </w:tc>
        <w:tc>
          <w:tcPr>
            <w:tcW w:w="4820" w:type="dxa"/>
            <w:shd w:val="solid" w:color="FFFFFF" w:fill="auto"/>
          </w:tcPr>
          <w:p w14:paraId="222969C0" w14:textId="099CCE5B" w:rsidR="003F2E5D" w:rsidRPr="00873B6C" w:rsidRDefault="003F2E5D" w:rsidP="00F84AAF">
            <w:pPr>
              <w:pStyle w:val="TAL"/>
              <w:rPr>
                <w:sz w:val="16"/>
                <w:szCs w:val="16"/>
              </w:rPr>
            </w:pPr>
            <w:r w:rsidRPr="00873B6C">
              <w:rPr>
                <w:sz w:val="16"/>
                <w:szCs w:val="16"/>
              </w:rPr>
              <w:t>Clarifications for SNPN onboarding service</w:t>
            </w:r>
          </w:p>
        </w:tc>
        <w:tc>
          <w:tcPr>
            <w:tcW w:w="708" w:type="dxa"/>
            <w:shd w:val="solid" w:color="FFFFFF" w:fill="auto"/>
          </w:tcPr>
          <w:p w14:paraId="29CABF45" w14:textId="2C2B13BF" w:rsidR="003F2E5D" w:rsidRPr="00873B6C" w:rsidRDefault="003F2E5D" w:rsidP="00F84AAF">
            <w:pPr>
              <w:pStyle w:val="TAC"/>
              <w:rPr>
                <w:sz w:val="16"/>
                <w:szCs w:val="16"/>
              </w:rPr>
            </w:pPr>
            <w:r w:rsidRPr="00873B6C">
              <w:rPr>
                <w:sz w:val="16"/>
                <w:szCs w:val="16"/>
              </w:rPr>
              <w:t>17.4.0</w:t>
            </w:r>
          </w:p>
        </w:tc>
      </w:tr>
      <w:tr w:rsidR="00C1580A" w:rsidRPr="00873B6C" w14:paraId="1416AA07" w14:textId="77777777" w:rsidTr="009D14FB">
        <w:tc>
          <w:tcPr>
            <w:tcW w:w="800" w:type="dxa"/>
            <w:shd w:val="solid" w:color="FFFFFF" w:fill="auto"/>
          </w:tcPr>
          <w:p w14:paraId="6D3ED70E" w14:textId="44858444" w:rsidR="00C1580A" w:rsidRPr="00873B6C" w:rsidRDefault="00C1580A" w:rsidP="00F84AAF">
            <w:pPr>
              <w:pStyle w:val="TAC"/>
              <w:rPr>
                <w:sz w:val="16"/>
                <w:szCs w:val="16"/>
              </w:rPr>
            </w:pPr>
            <w:r w:rsidRPr="00873B6C">
              <w:rPr>
                <w:sz w:val="16"/>
                <w:szCs w:val="16"/>
              </w:rPr>
              <w:t>2022-03</w:t>
            </w:r>
          </w:p>
        </w:tc>
        <w:tc>
          <w:tcPr>
            <w:tcW w:w="800" w:type="dxa"/>
            <w:shd w:val="solid" w:color="FFFFFF" w:fill="auto"/>
          </w:tcPr>
          <w:p w14:paraId="1ECD29F3" w14:textId="58A9365F" w:rsidR="00C1580A" w:rsidRPr="00873B6C" w:rsidRDefault="00C1580A"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FCF1E7A" w14:textId="43BF1B5A" w:rsidR="00C1580A" w:rsidRPr="00873B6C" w:rsidRDefault="00C1580A" w:rsidP="00F84AAF">
            <w:pPr>
              <w:pStyle w:val="TAC"/>
              <w:rPr>
                <w:sz w:val="16"/>
                <w:szCs w:val="16"/>
              </w:rPr>
            </w:pPr>
            <w:r w:rsidRPr="00873B6C">
              <w:rPr>
                <w:sz w:val="16"/>
                <w:szCs w:val="16"/>
              </w:rPr>
              <w:t>SP-220057</w:t>
            </w:r>
          </w:p>
        </w:tc>
        <w:tc>
          <w:tcPr>
            <w:tcW w:w="567" w:type="dxa"/>
            <w:shd w:val="solid" w:color="FFFFFF" w:fill="auto"/>
          </w:tcPr>
          <w:p w14:paraId="07D107F0" w14:textId="55588F60" w:rsidR="00C1580A" w:rsidRPr="00873B6C" w:rsidRDefault="00C1580A" w:rsidP="00F84AAF">
            <w:pPr>
              <w:pStyle w:val="TAL"/>
              <w:rPr>
                <w:sz w:val="16"/>
                <w:szCs w:val="16"/>
              </w:rPr>
            </w:pPr>
            <w:r w:rsidRPr="00873B6C">
              <w:rPr>
                <w:sz w:val="16"/>
                <w:szCs w:val="16"/>
              </w:rPr>
              <w:t>3526</w:t>
            </w:r>
          </w:p>
        </w:tc>
        <w:tc>
          <w:tcPr>
            <w:tcW w:w="425" w:type="dxa"/>
            <w:shd w:val="solid" w:color="FFFFFF" w:fill="auto"/>
          </w:tcPr>
          <w:p w14:paraId="792A3EF4" w14:textId="13191C47" w:rsidR="00C1580A" w:rsidRPr="00873B6C" w:rsidRDefault="00C1580A" w:rsidP="00F84AAF">
            <w:pPr>
              <w:pStyle w:val="TAL"/>
              <w:rPr>
                <w:sz w:val="16"/>
                <w:szCs w:val="16"/>
              </w:rPr>
            </w:pPr>
            <w:r w:rsidRPr="00873B6C">
              <w:rPr>
                <w:sz w:val="16"/>
                <w:szCs w:val="16"/>
              </w:rPr>
              <w:t xml:space="preserve">1 </w:t>
            </w:r>
          </w:p>
        </w:tc>
        <w:tc>
          <w:tcPr>
            <w:tcW w:w="425" w:type="dxa"/>
            <w:shd w:val="solid" w:color="FFFFFF" w:fill="auto"/>
          </w:tcPr>
          <w:p w14:paraId="64BDFC64" w14:textId="572C30BC" w:rsidR="00C1580A" w:rsidRPr="00873B6C" w:rsidRDefault="00C1580A" w:rsidP="00F84AAF">
            <w:pPr>
              <w:pStyle w:val="TAL"/>
              <w:rPr>
                <w:sz w:val="16"/>
                <w:szCs w:val="16"/>
              </w:rPr>
            </w:pPr>
            <w:r w:rsidRPr="00873B6C">
              <w:rPr>
                <w:sz w:val="16"/>
                <w:szCs w:val="16"/>
              </w:rPr>
              <w:t>F</w:t>
            </w:r>
          </w:p>
        </w:tc>
        <w:tc>
          <w:tcPr>
            <w:tcW w:w="4820" w:type="dxa"/>
            <w:shd w:val="solid" w:color="FFFFFF" w:fill="auto"/>
          </w:tcPr>
          <w:p w14:paraId="67887BF1" w14:textId="74070B77" w:rsidR="00C1580A" w:rsidRPr="00873B6C" w:rsidRDefault="00C1580A" w:rsidP="00F84AAF">
            <w:pPr>
              <w:pStyle w:val="TAL"/>
              <w:rPr>
                <w:sz w:val="16"/>
                <w:szCs w:val="16"/>
              </w:rPr>
            </w:pPr>
            <w:r w:rsidRPr="00873B6C">
              <w:rPr>
                <w:sz w:val="16"/>
                <w:szCs w:val="16"/>
              </w:rPr>
              <w:t>Corrections for UE access with CH credentials</w:t>
            </w:r>
          </w:p>
        </w:tc>
        <w:tc>
          <w:tcPr>
            <w:tcW w:w="708" w:type="dxa"/>
            <w:shd w:val="solid" w:color="FFFFFF" w:fill="auto"/>
          </w:tcPr>
          <w:p w14:paraId="7A07B0CD" w14:textId="4B884F5E" w:rsidR="00C1580A" w:rsidRPr="00873B6C" w:rsidRDefault="00C1580A" w:rsidP="00F84AAF">
            <w:pPr>
              <w:pStyle w:val="TAC"/>
              <w:rPr>
                <w:sz w:val="16"/>
                <w:szCs w:val="16"/>
              </w:rPr>
            </w:pPr>
            <w:r w:rsidRPr="00873B6C">
              <w:rPr>
                <w:sz w:val="16"/>
                <w:szCs w:val="16"/>
              </w:rPr>
              <w:t>17.4.0</w:t>
            </w:r>
          </w:p>
        </w:tc>
      </w:tr>
      <w:tr w:rsidR="00C1580A" w:rsidRPr="00873B6C" w14:paraId="1090852F" w14:textId="77777777" w:rsidTr="009D14FB">
        <w:tc>
          <w:tcPr>
            <w:tcW w:w="800" w:type="dxa"/>
            <w:shd w:val="solid" w:color="FFFFFF" w:fill="auto"/>
          </w:tcPr>
          <w:p w14:paraId="4B358D32" w14:textId="13520EA7" w:rsidR="00C1580A" w:rsidRPr="00873B6C" w:rsidRDefault="00C1580A" w:rsidP="00F84AAF">
            <w:pPr>
              <w:pStyle w:val="TAC"/>
              <w:rPr>
                <w:sz w:val="16"/>
                <w:szCs w:val="16"/>
              </w:rPr>
            </w:pPr>
            <w:r w:rsidRPr="00873B6C">
              <w:rPr>
                <w:sz w:val="16"/>
                <w:szCs w:val="16"/>
              </w:rPr>
              <w:t>2022-03</w:t>
            </w:r>
          </w:p>
        </w:tc>
        <w:tc>
          <w:tcPr>
            <w:tcW w:w="800" w:type="dxa"/>
            <w:shd w:val="solid" w:color="FFFFFF" w:fill="auto"/>
          </w:tcPr>
          <w:p w14:paraId="60768F5A" w14:textId="50A6278F" w:rsidR="00C1580A" w:rsidRPr="00873B6C" w:rsidRDefault="00C1580A"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F6667E1" w14:textId="34FF6DB1" w:rsidR="00C1580A" w:rsidRPr="00873B6C" w:rsidRDefault="00C1580A" w:rsidP="00F84AAF">
            <w:pPr>
              <w:pStyle w:val="TAC"/>
              <w:rPr>
                <w:sz w:val="16"/>
                <w:szCs w:val="16"/>
              </w:rPr>
            </w:pPr>
            <w:r w:rsidRPr="00873B6C">
              <w:rPr>
                <w:sz w:val="16"/>
                <w:szCs w:val="16"/>
              </w:rPr>
              <w:t>SP-220057</w:t>
            </w:r>
          </w:p>
        </w:tc>
        <w:tc>
          <w:tcPr>
            <w:tcW w:w="567" w:type="dxa"/>
            <w:shd w:val="solid" w:color="FFFFFF" w:fill="auto"/>
          </w:tcPr>
          <w:p w14:paraId="56AC0A10" w14:textId="28729E66" w:rsidR="00C1580A" w:rsidRPr="00873B6C" w:rsidRDefault="00C1580A" w:rsidP="00F84AAF">
            <w:pPr>
              <w:pStyle w:val="TAL"/>
              <w:rPr>
                <w:sz w:val="16"/>
                <w:szCs w:val="16"/>
              </w:rPr>
            </w:pPr>
            <w:r w:rsidRPr="00873B6C">
              <w:rPr>
                <w:sz w:val="16"/>
                <w:szCs w:val="16"/>
              </w:rPr>
              <w:t>3527</w:t>
            </w:r>
          </w:p>
        </w:tc>
        <w:tc>
          <w:tcPr>
            <w:tcW w:w="425" w:type="dxa"/>
            <w:shd w:val="solid" w:color="FFFFFF" w:fill="auto"/>
          </w:tcPr>
          <w:p w14:paraId="210AF429" w14:textId="61AAA6CC" w:rsidR="00C1580A" w:rsidRPr="00873B6C" w:rsidRDefault="00C1580A" w:rsidP="00F84AAF">
            <w:pPr>
              <w:pStyle w:val="TAL"/>
              <w:rPr>
                <w:sz w:val="16"/>
                <w:szCs w:val="16"/>
              </w:rPr>
            </w:pPr>
            <w:r w:rsidRPr="00873B6C">
              <w:rPr>
                <w:sz w:val="16"/>
                <w:szCs w:val="16"/>
              </w:rPr>
              <w:t>1</w:t>
            </w:r>
          </w:p>
        </w:tc>
        <w:tc>
          <w:tcPr>
            <w:tcW w:w="425" w:type="dxa"/>
            <w:shd w:val="solid" w:color="FFFFFF" w:fill="auto"/>
          </w:tcPr>
          <w:p w14:paraId="3C459566" w14:textId="727D2446" w:rsidR="00C1580A" w:rsidRPr="00873B6C" w:rsidRDefault="00C1580A" w:rsidP="00F84AAF">
            <w:pPr>
              <w:pStyle w:val="TAL"/>
              <w:rPr>
                <w:sz w:val="16"/>
                <w:szCs w:val="16"/>
              </w:rPr>
            </w:pPr>
            <w:r w:rsidRPr="00873B6C">
              <w:rPr>
                <w:sz w:val="16"/>
                <w:szCs w:val="16"/>
              </w:rPr>
              <w:t>D</w:t>
            </w:r>
          </w:p>
        </w:tc>
        <w:tc>
          <w:tcPr>
            <w:tcW w:w="4820" w:type="dxa"/>
            <w:shd w:val="solid" w:color="FFFFFF" w:fill="auto"/>
          </w:tcPr>
          <w:p w14:paraId="54812EFD" w14:textId="0FF7694C" w:rsidR="00C1580A" w:rsidRPr="00873B6C" w:rsidRDefault="00C1580A" w:rsidP="00F84AAF">
            <w:pPr>
              <w:pStyle w:val="TAL"/>
              <w:rPr>
                <w:sz w:val="16"/>
                <w:szCs w:val="16"/>
              </w:rPr>
            </w:pPr>
            <w:r w:rsidRPr="00873B6C">
              <w:rPr>
                <w:sz w:val="16"/>
                <w:szCs w:val="16"/>
              </w:rPr>
              <w:t>terms alignments and clean-ups for eNPN</w:t>
            </w:r>
          </w:p>
        </w:tc>
        <w:tc>
          <w:tcPr>
            <w:tcW w:w="708" w:type="dxa"/>
            <w:shd w:val="solid" w:color="FFFFFF" w:fill="auto"/>
          </w:tcPr>
          <w:p w14:paraId="7AF47DF1" w14:textId="66C11B29" w:rsidR="00C1580A" w:rsidRPr="00873B6C" w:rsidRDefault="00C1580A" w:rsidP="00F84AAF">
            <w:pPr>
              <w:pStyle w:val="TAC"/>
              <w:rPr>
                <w:sz w:val="16"/>
                <w:szCs w:val="16"/>
              </w:rPr>
            </w:pPr>
            <w:r w:rsidRPr="00873B6C">
              <w:rPr>
                <w:sz w:val="16"/>
                <w:szCs w:val="16"/>
              </w:rPr>
              <w:t>17.4.0</w:t>
            </w:r>
          </w:p>
        </w:tc>
      </w:tr>
      <w:tr w:rsidR="00E47495" w:rsidRPr="00873B6C" w14:paraId="68FFBC88" w14:textId="77777777" w:rsidTr="009D14FB">
        <w:tc>
          <w:tcPr>
            <w:tcW w:w="800" w:type="dxa"/>
            <w:shd w:val="solid" w:color="FFFFFF" w:fill="auto"/>
          </w:tcPr>
          <w:p w14:paraId="2063CA2B" w14:textId="35F0969B" w:rsidR="00E47495" w:rsidRPr="00873B6C" w:rsidRDefault="00E47495" w:rsidP="00F84AAF">
            <w:pPr>
              <w:pStyle w:val="TAC"/>
              <w:rPr>
                <w:sz w:val="16"/>
                <w:szCs w:val="16"/>
              </w:rPr>
            </w:pPr>
            <w:r w:rsidRPr="00873B6C">
              <w:rPr>
                <w:sz w:val="16"/>
                <w:szCs w:val="16"/>
              </w:rPr>
              <w:t>2022-03</w:t>
            </w:r>
          </w:p>
        </w:tc>
        <w:tc>
          <w:tcPr>
            <w:tcW w:w="800" w:type="dxa"/>
            <w:shd w:val="solid" w:color="FFFFFF" w:fill="auto"/>
          </w:tcPr>
          <w:p w14:paraId="2F4F8513" w14:textId="25E6A459" w:rsidR="00E47495" w:rsidRPr="00873B6C" w:rsidRDefault="00E4749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8B0FF40" w14:textId="7C7E9E85" w:rsidR="00E47495" w:rsidRPr="00873B6C" w:rsidRDefault="00E47495" w:rsidP="00F84AAF">
            <w:pPr>
              <w:pStyle w:val="TAC"/>
              <w:rPr>
                <w:sz w:val="16"/>
                <w:szCs w:val="16"/>
              </w:rPr>
            </w:pPr>
            <w:r w:rsidRPr="00873B6C">
              <w:rPr>
                <w:sz w:val="16"/>
                <w:szCs w:val="16"/>
              </w:rPr>
              <w:t>SP-220062</w:t>
            </w:r>
          </w:p>
        </w:tc>
        <w:tc>
          <w:tcPr>
            <w:tcW w:w="567" w:type="dxa"/>
            <w:shd w:val="solid" w:color="FFFFFF" w:fill="auto"/>
          </w:tcPr>
          <w:p w14:paraId="593CE974" w14:textId="74B7FF99" w:rsidR="00E47495" w:rsidRPr="00873B6C" w:rsidRDefault="00E47495" w:rsidP="00F84AAF">
            <w:pPr>
              <w:pStyle w:val="TAL"/>
              <w:rPr>
                <w:sz w:val="16"/>
                <w:szCs w:val="16"/>
              </w:rPr>
            </w:pPr>
            <w:r w:rsidRPr="00873B6C">
              <w:rPr>
                <w:sz w:val="16"/>
                <w:szCs w:val="16"/>
              </w:rPr>
              <w:t>3530</w:t>
            </w:r>
          </w:p>
        </w:tc>
        <w:tc>
          <w:tcPr>
            <w:tcW w:w="425" w:type="dxa"/>
            <w:shd w:val="solid" w:color="FFFFFF" w:fill="auto"/>
          </w:tcPr>
          <w:p w14:paraId="10D4F19E" w14:textId="0731D704" w:rsidR="00E47495" w:rsidRPr="00873B6C" w:rsidRDefault="00E47495" w:rsidP="00F84AAF">
            <w:pPr>
              <w:pStyle w:val="TAL"/>
              <w:rPr>
                <w:sz w:val="16"/>
                <w:szCs w:val="16"/>
              </w:rPr>
            </w:pPr>
            <w:r w:rsidRPr="00873B6C">
              <w:rPr>
                <w:sz w:val="16"/>
                <w:szCs w:val="16"/>
              </w:rPr>
              <w:t>1</w:t>
            </w:r>
          </w:p>
        </w:tc>
        <w:tc>
          <w:tcPr>
            <w:tcW w:w="425" w:type="dxa"/>
            <w:shd w:val="solid" w:color="FFFFFF" w:fill="auto"/>
          </w:tcPr>
          <w:p w14:paraId="5445F225" w14:textId="41219E8A" w:rsidR="00E47495" w:rsidRPr="00873B6C" w:rsidRDefault="00E47495" w:rsidP="00F84AAF">
            <w:pPr>
              <w:pStyle w:val="TAL"/>
              <w:rPr>
                <w:sz w:val="16"/>
                <w:szCs w:val="16"/>
              </w:rPr>
            </w:pPr>
            <w:r w:rsidRPr="00873B6C">
              <w:rPr>
                <w:sz w:val="16"/>
                <w:szCs w:val="16"/>
              </w:rPr>
              <w:t>F</w:t>
            </w:r>
          </w:p>
        </w:tc>
        <w:tc>
          <w:tcPr>
            <w:tcW w:w="4820" w:type="dxa"/>
            <w:shd w:val="solid" w:color="FFFFFF" w:fill="auto"/>
          </w:tcPr>
          <w:p w14:paraId="1A6754AE" w14:textId="49F07E8C" w:rsidR="00E47495" w:rsidRPr="00873B6C" w:rsidRDefault="00E47495" w:rsidP="00F84AAF">
            <w:pPr>
              <w:pStyle w:val="TAL"/>
              <w:rPr>
                <w:sz w:val="16"/>
                <w:szCs w:val="16"/>
              </w:rPr>
            </w:pPr>
            <w:r w:rsidRPr="00873B6C">
              <w:rPr>
                <w:sz w:val="16"/>
                <w:szCs w:val="16"/>
              </w:rPr>
              <w:t>Disaster roaming disable handling</w:t>
            </w:r>
          </w:p>
        </w:tc>
        <w:tc>
          <w:tcPr>
            <w:tcW w:w="708" w:type="dxa"/>
            <w:shd w:val="solid" w:color="FFFFFF" w:fill="auto"/>
          </w:tcPr>
          <w:p w14:paraId="09284585" w14:textId="658C4D0F" w:rsidR="00E47495" w:rsidRPr="00873B6C" w:rsidRDefault="00E47495" w:rsidP="00F84AAF">
            <w:pPr>
              <w:pStyle w:val="TAC"/>
              <w:rPr>
                <w:sz w:val="16"/>
                <w:szCs w:val="16"/>
              </w:rPr>
            </w:pPr>
            <w:r w:rsidRPr="00873B6C">
              <w:rPr>
                <w:sz w:val="16"/>
                <w:szCs w:val="16"/>
              </w:rPr>
              <w:t>17.4.0</w:t>
            </w:r>
          </w:p>
        </w:tc>
      </w:tr>
      <w:tr w:rsidR="00E47495" w:rsidRPr="00873B6C" w14:paraId="0268347A" w14:textId="77777777" w:rsidTr="009D14FB">
        <w:tc>
          <w:tcPr>
            <w:tcW w:w="800" w:type="dxa"/>
            <w:shd w:val="solid" w:color="FFFFFF" w:fill="auto"/>
          </w:tcPr>
          <w:p w14:paraId="20E297E3" w14:textId="72B1DBAC" w:rsidR="00E47495" w:rsidRPr="00873B6C" w:rsidRDefault="00E47495" w:rsidP="00F84AAF">
            <w:pPr>
              <w:pStyle w:val="TAC"/>
              <w:rPr>
                <w:sz w:val="16"/>
                <w:szCs w:val="16"/>
              </w:rPr>
            </w:pPr>
            <w:r w:rsidRPr="00873B6C">
              <w:rPr>
                <w:sz w:val="16"/>
                <w:szCs w:val="16"/>
              </w:rPr>
              <w:t>2022-03</w:t>
            </w:r>
          </w:p>
        </w:tc>
        <w:tc>
          <w:tcPr>
            <w:tcW w:w="800" w:type="dxa"/>
            <w:shd w:val="solid" w:color="FFFFFF" w:fill="auto"/>
          </w:tcPr>
          <w:p w14:paraId="2FE994E4" w14:textId="36F0D68F" w:rsidR="00E47495" w:rsidRPr="00873B6C" w:rsidRDefault="00E4749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F01B5DD" w14:textId="6256EA08" w:rsidR="00E47495" w:rsidRPr="00873B6C" w:rsidRDefault="00E47495" w:rsidP="00F84AAF">
            <w:pPr>
              <w:pStyle w:val="TAC"/>
              <w:rPr>
                <w:sz w:val="16"/>
                <w:szCs w:val="16"/>
              </w:rPr>
            </w:pPr>
            <w:r w:rsidRPr="00873B6C">
              <w:rPr>
                <w:sz w:val="16"/>
                <w:szCs w:val="16"/>
              </w:rPr>
              <w:t>SP-220060</w:t>
            </w:r>
          </w:p>
        </w:tc>
        <w:tc>
          <w:tcPr>
            <w:tcW w:w="567" w:type="dxa"/>
            <w:shd w:val="solid" w:color="FFFFFF" w:fill="auto"/>
          </w:tcPr>
          <w:p w14:paraId="6FAA9A40" w14:textId="04989422" w:rsidR="00E47495" w:rsidRPr="00873B6C" w:rsidRDefault="00E47495" w:rsidP="00F84AAF">
            <w:pPr>
              <w:pStyle w:val="TAL"/>
              <w:rPr>
                <w:sz w:val="16"/>
                <w:szCs w:val="16"/>
              </w:rPr>
            </w:pPr>
            <w:r w:rsidRPr="00873B6C">
              <w:rPr>
                <w:sz w:val="16"/>
                <w:szCs w:val="16"/>
              </w:rPr>
              <w:t>3534</w:t>
            </w:r>
          </w:p>
        </w:tc>
        <w:tc>
          <w:tcPr>
            <w:tcW w:w="425" w:type="dxa"/>
            <w:shd w:val="solid" w:color="FFFFFF" w:fill="auto"/>
          </w:tcPr>
          <w:p w14:paraId="7EEC8793" w14:textId="42D27E4F" w:rsidR="00E47495" w:rsidRPr="00873B6C" w:rsidRDefault="00E47495" w:rsidP="00F84AAF">
            <w:pPr>
              <w:pStyle w:val="TAL"/>
              <w:rPr>
                <w:sz w:val="16"/>
                <w:szCs w:val="16"/>
              </w:rPr>
            </w:pPr>
            <w:r w:rsidRPr="00873B6C">
              <w:rPr>
                <w:sz w:val="16"/>
                <w:szCs w:val="16"/>
              </w:rPr>
              <w:t>1</w:t>
            </w:r>
          </w:p>
        </w:tc>
        <w:tc>
          <w:tcPr>
            <w:tcW w:w="425" w:type="dxa"/>
            <w:shd w:val="solid" w:color="FFFFFF" w:fill="auto"/>
          </w:tcPr>
          <w:p w14:paraId="531A1C32" w14:textId="7ADDFC53" w:rsidR="00E47495" w:rsidRPr="00873B6C" w:rsidRDefault="00E47495" w:rsidP="00F84AAF">
            <w:pPr>
              <w:pStyle w:val="TAL"/>
              <w:rPr>
                <w:sz w:val="16"/>
                <w:szCs w:val="16"/>
              </w:rPr>
            </w:pPr>
            <w:r w:rsidRPr="00873B6C">
              <w:rPr>
                <w:sz w:val="16"/>
                <w:szCs w:val="16"/>
              </w:rPr>
              <w:t>F</w:t>
            </w:r>
          </w:p>
        </w:tc>
        <w:tc>
          <w:tcPr>
            <w:tcW w:w="4820" w:type="dxa"/>
            <w:shd w:val="solid" w:color="FFFFFF" w:fill="auto"/>
          </w:tcPr>
          <w:p w14:paraId="2BB88581" w14:textId="15836C85" w:rsidR="00E47495" w:rsidRPr="00873B6C" w:rsidRDefault="00E47495" w:rsidP="00F84AAF">
            <w:pPr>
              <w:pStyle w:val="TAL"/>
              <w:rPr>
                <w:sz w:val="16"/>
                <w:szCs w:val="16"/>
              </w:rPr>
            </w:pPr>
            <w:r w:rsidRPr="00873B6C">
              <w:rPr>
                <w:sz w:val="16"/>
                <w:szCs w:val="16"/>
              </w:rPr>
              <w:t>Time Synchronization of the 5GS as IEEE 1588 Boundary Clock</w:t>
            </w:r>
          </w:p>
        </w:tc>
        <w:tc>
          <w:tcPr>
            <w:tcW w:w="708" w:type="dxa"/>
            <w:shd w:val="solid" w:color="FFFFFF" w:fill="auto"/>
          </w:tcPr>
          <w:p w14:paraId="60E66972" w14:textId="3B70A0F4" w:rsidR="00E47495" w:rsidRPr="00873B6C" w:rsidRDefault="00E47495" w:rsidP="00F84AAF">
            <w:pPr>
              <w:pStyle w:val="TAC"/>
              <w:rPr>
                <w:sz w:val="16"/>
                <w:szCs w:val="16"/>
              </w:rPr>
            </w:pPr>
            <w:r w:rsidRPr="00873B6C">
              <w:rPr>
                <w:sz w:val="16"/>
                <w:szCs w:val="16"/>
              </w:rPr>
              <w:t>17.4.0</w:t>
            </w:r>
          </w:p>
        </w:tc>
      </w:tr>
      <w:tr w:rsidR="008F2101" w:rsidRPr="00873B6C" w14:paraId="32FAE617" w14:textId="77777777" w:rsidTr="009D14FB">
        <w:tc>
          <w:tcPr>
            <w:tcW w:w="800" w:type="dxa"/>
            <w:shd w:val="solid" w:color="FFFFFF" w:fill="auto"/>
          </w:tcPr>
          <w:p w14:paraId="0455F16C" w14:textId="5E59CD01" w:rsidR="008F2101" w:rsidRPr="00873B6C" w:rsidRDefault="008F2101" w:rsidP="00F84AAF">
            <w:pPr>
              <w:pStyle w:val="TAC"/>
              <w:rPr>
                <w:sz w:val="16"/>
                <w:szCs w:val="16"/>
              </w:rPr>
            </w:pPr>
            <w:r w:rsidRPr="00873B6C">
              <w:rPr>
                <w:sz w:val="16"/>
                <w:szCs w:val="16"/>
              </w:rPr>
              <w:t>2022-03</w:t>
            </w:r>
          </w:p>
        </w:tc>
        <w:tc>
          <w:tcPr>
            <w:tcW w:w="800" w:type="dxa"/>
            <w:shd w:val="solid" w:color="FFFFFF" w:fill="auto"/>
          </w:tcPr>
          <w:p w14:paraId="701B70D5" w14:textId="29B4973E" w:rsidR="008F2101" w:rsidRPr="00873B6C" w:rsidRDefault="008F210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7C488D9" w14:textId="3613039C" w:rsidR="008F2101" w:rsidRPr="00873B6C" w:rsidRDefault="008F2101" w:rsidP="00F84AAF">
            <w:pPr>
              <w:pStyle w:val="TAC"/>
              <w:rPr>
                <w:sz w:val="16"/>
                <w:szCs w:val="16"/>
              </w:rPr>
            </w:pPr>
            <w:r w:rsidRPr="00873B6C">
              <w:rPr>
                <w:sz w:val="16"/>
                <w:szCs w:val="16"/>
              </w:rPr>
              <w:t>SP-220060</w:t>
            </w:r>
          </w:p>
        </w:tc>
        <w:tc>
          <w:tcPr>
            <w:tcW w:w="567" w:type="dxa"/>
            <w:shd w:val="solid" w:color="FFFFFF" w:fill="auto"/>
          </w:tcPr>
          <w:p w14:paraId="79C2D534" w14:textId="3E2E1166" w:rsidR="008F2101" w:rsidRPr="00873B6C" w:rsidRDefault="008F2101" w:rsidP="00F84AAF">
            <w:pPr>
              <w:pStyle w:val="TAL"/>
              <w:rPr>
                <w:sz w:val="16"/>
                <w:szCs w:val="16"/>
              </w:rPr>
            </w:pPr>
            <w:r w:rsidRPr="00873B6C">
              <w:rPr>
                <w:sz w:val="16"/>
                <w:szCs w:val="16"/>
              </w:rPr>
              <w:t>3535</w:t>
            </w:r>
          </w:p>
        </w:tc>
        <w:tc>
          <w:tcPr>
            <w:tcW w:w="425" w:type="dxa"/>
            <w:shd w:val="solid" w:color="FFFFFF" w:fill="auto"/>
          </w:tcPr>
          <w:p w14:paraId="427A2D11" w14:textId="2390C85C" w:rsidR="008F2101" w:rsidRPr="00873B6C" w:rsidRDefault="008F2101" w:rsidP="00F84AAF">
            <w:pPr>
              <w:pStyle w:val="TAL"/>
              <w:rPr>
                <w:sz w:val="16"/>
                <w:szCs w:val="16"/>
              </w:rPr>
            </w:pPr>
            <w:r w:rsidRPr="00873B6C">
              <w:rPr>
                <w:sz w:val="16"/>
                <w:szCs w:val="16"/>
              </w:rPr>
              <w:t>1</w:t>
            </w:r>
          </w:p>
        </w:tc>
        <w:tc>
          <w:tcPr>
            <w:tcW w:w="425" w:type="dxa"/>
            <w:shd w:val="solid" w:color="FFFFFF" w:fill="auto"/>
          </w:tcPr>
          <w:p w14:paraId="641FC4B5" w14:textId="6C8DE613" w:rsidR="008F2101" w:rsidRPr="00873B6C" w:rsidRDefault="008F2101" w:rsidP="00F84AAF">
            <w:pPr>
              <w:pStyle w:val="TAL"/>
              <w:rPr>
                <w:sz w:val="16"/>
                <w:szCs w:val="16"/>
              </w:rPr>
            </w:pPr>
            <w:r w:rsidRPr="00873B6C">
              <w:rPr>
                <w:sz w:val="16"/>
                <w:szCs w:val="16"/>
              </w:rPr>
              <w:t>F</w:t>
            </w:r>
          </w:p>
        </w:tc>
        <w:tc>
          <w:tcPr>
            <w:tcW w:w="4820" w:type="dxa"/>
            <w:shd w:val="solid" w:color="FFFFFF" w:fill="auto"/>
          </w:tcPr>
          <w:p w14:paraId="31CA444C" w14:textId="60DEB863" w:rsidR="008F2101" w:rsidRPr="00873B6C" w:rsidRDefault="008F2101" w:rsidP="00F84AAF">
            <w:pPr>
              <w:pStyle w:val="TAL"/>
              <w:rPr>
                <w:sz w:val="16"/>
                <w:szCs w:val="16"/>
              </w:rPr>
            </w:pPr>
            <w:r w:rsidRPr="00873B6C">
              <w:rPr>
                <w:sz w:val="16"/>
                <w:szCs w:val="16"/>
              </w:rPr>
              <w:t>Correction for the end-to-end Transparent Clock</w:t>
            </w:r>
          </w:p>
        </w:tc>
        <w:tc>
          <w:tcPr>
            <w:tcW w:w="708" w:type="dxa"/>
            <w:shd w:val="solid" w:color="FFFFFF" w:fill="auto"/>
          </w:tcPr>
          <w:p w14:paraId="37AAEAB5" w14:textId="7997DBF1" w:rsidR="008F2101" w:rsidRPr="00873B6C" w:rsidRDefault="008F2101" w:rsidP="00F84AAF">
            <w:pPr>
              <w:pStyle w:val="TAC"/>
              <w:rPr>
                <w:sz w:val="16"/>
                <w:szCs w:val="16"/>
              </w:rPr>
            </w:pPr>
            <w:r w:rsidRPr="00873B6C">
              <w:rPr>
                <w:sz w:val="16"/>
                <w:szCs w:val="16"/>
              </w:rPr>
              <w:t>17.4.0</w:t>
            </w:r>
          </w:p>
        </w:tc>
      </w:tr>
      <w:tr w:rsidR="00517B35" w:rsidRPr="00873B6C" w14:paraId="2850B6C8" w14:textId="77777777" w:rsidTr="009D14FB">
        <w:tc>
          <w:tcPr>
            <w:tcW w:w="800" w:type="dxa"/>
            <w:shd w:val="solid" w:color="FFFFFF" w:fill="auto"/>
          </w:tcPr>
          <w:p w14:paraId="6F30F23C" w14:textId="3B80E781" w:rsidR="00517B35" w:rsidRPr="00873B6C" w:rsidRDefault="00517B35" w:rsidP="00F84AAF">
            <w:pPr>
              <w:pStyle w:val="TAC"/>
              <w:rPr>
                <w:sz w:val="16"/>
                <w:szCs w:val="16"/>
              </w:rPr>
            </w:pPr>
            <w:r w:rsidRPr="00873B6C">
              <w:rPr>
                <w:sz w:val="16"/>
                <w:szCs w:val="16"/>
              </w:rPr>
              <w:t>2022-03</w:t>
            </w:r>
          </w:p>
        </w:tc>
        <w:tc>
          <w:tcPr>
            <w:tcW w:w="800" w:type="dxa"/>
            <w:shd w:val="solid" w:color="FFFFFF" w:fill="auto"/>
          </w:tcPr>
          <w:p w14:paraId="43C9C994" w14:textId="76E5E2E7" w:rsidR="00517B35" w:rsidRPr="00873B6C" w:rsidRDefault="00517B3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F470E41" w14:textId="47A73E56" w:rsidR="00517B35" w:rsidRPr="00873B6C" w:rsidRDefault="00517B35" w:rsidP="00F84AAF">
            <w:pPr>
              <w:pStyle w:val="TAC"/>
              <w:rPr>
                <w:sz w:val="16"/>
                <w:szCs w:val="16"/>
              </w:rPr>
            </w:pPr>
            <w:r w:rsidRPr="00873B6C">
              <w:rPr>
                <w:sz w:val="16"/>
                <w:szCs w:val="16"/>
              </w:rPr>
              <w:t>SP-220059</w:t>
            </w:r>
          </w:p>
        </w:tc>
        <w:tc>
          <w:tcPr>
            <w:tcW w:w="567" w:type="dxa"/>
            <w:shd w:val="solid" w:color="FFFFFF" w:fill="auto"/>
          </w:tcPr>
          <w:p w14:paraId="53FAA522" w14:textId="36A8748F" w:rsidR="00517B35" w:rsidRPr="00873B6C" w:rsidRDefault="00517B35" w:rsidP="00F84AAF">
            <w:pPr>
              <w:pStyle w:val="TAL"/>
              <w:rPr>
                <w:sz w:val="16"/>
                <w:szCs w:val="16"/>
              </w:rPr>
            </w:pPr>
            <w:r w:rsidRPr="00873B6C">
              <w:rPr>
                <w:sz w:val="16"/>
                <w:szCs w:val="16"/>
              </w:rPr>
              <w:t>3537</w:t>
            </w:r>
          </w:p>
        </w:tc>
        <w:tc>
          <w:tcPr>
            <w:tcW w:w="425" w:type="dxa"/>
            <w:shd w:val="solid" w:color="FFFFFF" w:fill="auto"/>
          </w:tcPr>
          <w:p w14:paraId="519DFB2B" w14:textId="5D27A30F" w:rsidR="00517B35" w:rsidRPr="00873B6C" w:rsidRDefault="00517B35" w:rsidP="00F84AAF">
            <w:pPr>
              <w:pStyle w:val="TAL"/>
              <w:rPr>
                <w:sz w:val="16"/>
                <w:szCs w:val="16"/>
              </w:rPr>
            </w:pPr>
            <w:r w:rsidRPr="00873B6C">
              <w:rPr>
                <w:sz w:val="16"/>
                <w:szCs w:val="16"/>
              </w:rPr>
              <w:t>1</w:t>
            </w:r>
          </w:p>
        </w:tc>
        <w:tc>
          <w:tcPr>
            <w:tcW w:w="425" w:type="dxa"/>
            <w:shd w:val="solid" w:color="FFFFFF" w:fill="auto"/>
          </w:tcPr>
          <w:p w14:paraId="34B97717" w14:textId="33E7DFBA" w:rsidR="00517B35" w:rsidRPr="00873B6C" w:rsidRDefault="00517B35" w:rsidP="00F84AAF">
            <w:pPr>
              <w:pStyle w:val="TAL"/>
              <w:rPr>
                <w:sz w:val="16"/>
                <w:szCs w:val="16"/>
              </w:rPr>
            </w:pPr>
            <w:r w:rsidRPr="00873B6C">
              <w:rPr>
                <w:sz w:val="16"/>
                <w:szCs w:val="16"/>
              </w:rPr>
              <w:t>F</w:t>
            </w:r>
          </w:p>
        </w:tc>
        <w:tc>
          <w:tcPr>
            <w:tcW w:w="4820" w:type="dxa"/>
            <w:shd w:val="solid" w:color="FFFFFF" w:fill="auto"/>
          </w:tcPr>
          <w:p w14:paraId="4A1A785C" w14:textId="5265C3FA" w:rsidR="00517B35" w:rsidRPr="00873B6C" w:rsidRDefault="00517B35" w:rsidP="00F84AAF">
            <w:pPr>
              <w:pStyle w:val="TAL"/>
              <w:rPr>
                <w:sz w:val="16"/>
                <w:szCs w:val="16"/>
              </w:rPr>
            </w:pPr>
            <w:r w:rsidRPr="00873B6C">
              <w:rPr>
                <w:sz w:val="16"/>
                <w:szCs w:val="16"/>
              </w:rPr>
              <w:t>Correction on UAS NF discovery</w:t>
            </w:r>
          </w:p>
        </w:tc>
        <w:tc>
          <w:tcPr>
            <w:tcW w:w="708" w:type="dxa"/>
            <w:shd w:val="solid" w:color="FFFFFF" w:fill="auto"/>
          </w:tcPr>
          <w:p w14:paraId="74883471" w14:textId="3312A21D" w:rsidR="00517B35" w:rsidRPr="00873B6C" w:rsidRDefault="00517B35" w:rsidP="00F84AAF">
            <w:pPr>
              <w:pStyle w:val="TAC"/>
              <w:rPr>
                <w:sz w:val="16"/>
                <w:szCs w:val="16"/>
              </w:rPr>
            </w:pPr>
            <w:r w:rsidRPr="00873B6C">
              <w:rPr>
                <w:sz w:val="16"/>
                <w:szCs w:val="16"/>
              </w:rPr>
              <w:t>17.4.0</w:t>
            </w:r>
          </w:p>
        </w:tc>
      </w:tr>
      <w:tr w:rsidR="00517B35" w:rsidRPr="00873B6C" w14:paraId="38389F10" w14:textId="77777777" w:rsidTr="009D14FB">
        <w:tc>
          <w:tcPr>
            <w:tcW w:w="800" w:type="dxa"/>
            <w:shd w:val="solid" w:color="FFFFFF" w:fill="auto"/>
          </w:tcPr>
          <w:p w14:paraId="5CDB5F4E" w14:textId="6F3AF53D" w:rsidR="00517B35" w:rsidRPr="00873B6C" w:rsidRDefault="00517B35" w:rsidP="00F84AAF">
            <w:pPr>
              <w:pStyle w:val="TAC"/>
              <w:rPr>
                <w:sz w:val="16"/>
                <w:szCs w:val="16"/>
              </w:rPr>
            </w:pPr>
            <w:r w:rsidRPr="00873B6C">
              <w:rPr>
                <w:sz w:val="16"/>
                <w:szCs w:val="16"/>
              </w:rPr>
              <w:t>2022-03</w:t>
            </w:r>
          </w:p>
        </w:tc>
        <w:tc>
          <w:tcPr>
            <w:tcW w:w="800" w:type="dxa"/>
            <w:shd w:val="solid" w:color="FFFFFF" w:fill="auto"/>
          </w:tcPr>
          <w:p w14:paraId="66E42707" w14:textId="3B6FA2ED" w:rsidR="00517B35" w:rsidRPr="00873B6C" w:rsidRDefault="00517B3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9BA1367" w14:textId="775A9DB8" w:rsidR="00517B35" w:rsidRPr="00873B6C" w:rsidRDefault="00517B35" w:rsidP="00F84AAF">
            <w:pPr>
              <w:pStyle w:val="TAC"/>
              <w:rPr>
                <w:sz w:val="16"/>
                <w:szCs w:val="16"/>
              </w:rPr>
            </w:pPr>
            <w:r w:rsidRPr="00873B6C">
              <w:rPr>
                <w:sz w:val="16"/>
                <w:szCs w:val="16"/>
              </w:rPr>
              <w:t>SP-220045</w:t>
            </w:r>
          </w:p>
        </w:tc>
        <w:tc>
          <w:tcPr>
            <w:tcW w:w="567" w:type="dxa"/>
            <w:shd w:val="solid" w:color="FFFFFF" w:fill="auto"/>
          </w:tcPr>
          <w:p w14:paraId="52874AC8" w14:textId="439369CB" w:rsidR="00517B35" w:rsidRPr="00873B6C" w:rsidRDefault="00517B35" w:rsidP="00F84AAF">
            <w:pPr>
              <w:pStyle w:val="TAL"/>
              <w:rPr>
                <w:sz w:val="16"/>
                <w:szCs w:val="16"/>
              </w:rPr>
            </w:pPr>
            <w:r w:rsidRPr="00873B6C">
              <w:rPr>
                <w:sz w:val="16"/>
                <w:szCs w:val="16"/>
              </w:rPr>
              <w:t>3538</w:t>
            </w:r>
          </w:p>
        </w:tc>
        <w:tc>
          <w:tcPr>
            <w:tcW w:w="425" w:type="dxa"/>
            <w:shd w:val="solid" w:color="FFFFFF" w:fill="auto"/>
          </w:tcPr>
          <w:p w14:paraId="2B4CB7DE" w14:textId="22F99008" w:rsidR="00517B35" w:rsidRPr="00873B6C" w:rsidRDefault="00517B35" w:rsidP="00F84AAF">
            <w:pPr>
              <w:pStyle w:val="TAL"/>
              <w:rPr>
                <w:sz w:val="16"/>
                <w:szCs w:val="16"/>
              </w:rPr>
            </w:pPr>
            <w:r w:rsidRPr="00873B6C">
              <w:rPr>
                <w:sz w:val="16"/>
                <w:szCs w:val="16"/>
              </w:rPr>
              <w:t>1</w:t>
            </w:r>
          </w:p>
        </w:tc>
        <w:tc>
          <w:tcPr>
            <w:tcW w:w="425" w:type="dxa"/>
            <w:shd w:val="solid" w:color="FFFFFF" w:fill="auto"/>
          </w:tcPr>
          <w:p w14:paraId="393697FD" w14:textId="2A117FC7" w:rsidR="00517B35" w:rsidRPr="00873B6C" w:rsidRDefault="00517B35" w:rsidP="00F84AAF">
            <w:pPr>
              <w:pStyle w:val="TAL"/>
              <w:rPr>
                <w:sz w:val="16"/>
                <w:szCs w:val="16"/>
              </w:rPr>
            </w:pPr>
            <w:r w:rsidRPr="00873B6C">
              <w:rPr>
                <w:sz w:val="16"/>
                <w:szCs w:val="16"/>
              </w:rPr>
              <w:t>A</w:t>
            </w:r>
          </w:p>
        </w:tc>
        <w:tc>
          <w:tcPr>
            <w:tcW w:w="4820" w:type="dxa"/>
            <w:shd w:val="solid" w:color="FFFFFF" w:fill="auto"/>
          </w:tcPr>
          <w:p w14:paraId="7E71A4AA" w14:textId="7E41AF12" w:rsidR="00517B35" w:rsidRPr="00873B6C" w:rsidRDefault="00517B35" w:rsidP="00F84AAF">
            <w:pPr>
              <w:pStyle w:val="TAL"/>
              <w:rPr>
                <w:sz w:val="16"/>
                <w:szCs w:val="16"/>
              </w:rPr>
            </w:pPr>
            <w:r w:rsidRPr="00873B6C">
              <w:rPr>
                <w:sz w:val="16"/>
                <w:szCs w:val="16"/>
              </w:rPr>
              <w:t>Corrections to combined N3IWF/ePDG Selection</w:t>
            </w:r>
          </w:p>
        </w:tc>
        <w:tc>
          <w:tcPr>
            <w:tcW w:w="708" w:type="dxa"/>
            <w:shd w:val="solid" w:color="FFFFFF" w:fill="auto"/>
          </w:tcPr>
          <w:p w14:paraId="68C71334" w14:textId="669F7646" w:rsidR="00517B35" w:rsidRPr="00873B6C" w:rsidRDefault="00517B35" w:rsidP="00F84AAF">
            <w:pPr>
              <w:pStyle w:val="TAC"/>
              <w:rPr>
                <w:sz w:val="16"/>
                <w:szCs w:val="16"/>
              </w:rPr>
            </w:pPr>
            <w:r w:rsidRPr="00873B6C">
              <w:rPr>
                <w:sz w:val="16"/>
                <w:szCs w:val="16"/>
              </w:rPr>
              <w:t>17.4.0</w:t>
            </w:r>
          </w:p>
        </w:tc>
      </w:tr>
      <w:tr w:rsidR="00517B35" w:rsidRPr="00873B6C" w14:paraId="56783848" w14:textId="77777777" w:rsidTr="009D14FB">
        <w:tc>
          <w:tcPr>
            <w:tcW w:w="800" w:type="dxa"/>
            <w:shd w:val="solid" w:color="FFFFFF" w:fill="auto"/>
          </w:tcPr>
          <w:p w14:paraId="24E4C42A" w14:textId="5D13F3C0" w:rsidR="00517B35" w:rsidRPr="00873B6C" w:rsidRDefault="00517B35" w:rsidP="00F84AAF">
            <w:pPr>
              <w:pStyle w:val="TAC"/>
              <w:rPr>
                <w:sz w:val="16"/>
                <w:szCs w:val="16"/>
              </w:rPr>
            </w:pPr>
            <w:r w:rsidRPr="00873B6C">
              <w:rPr>
                <w:sz w:val="16"/>
                <w:szCs w:val="16"/>
              </w:rPr>
              <w:t>2022-03</w:t>
            </w:r>
          </w:p>
        </w:tc>
        <w:tc>
          <w:tcPr>
            <w:tcW w:w="800" w:type="dxa"/>
            <w:shd w:val="solid" w:color="FFFFFF" w:fill="auto"/>
          </w:tcPr>
          <w:p w14:paraId="77464E87" w14:textId="1B2D16BE" w:rsidR="00517B35" w:rsidRPr="00873B6C" w:rsidRDefault="00517B3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F3F97FD" w14:textId="3B6D457F" w:rsidR="00517B35" w:rsidRPr="00873B6C" w:rsidRDefault="00517B35" w:rsidP="00F84AAF">
            <w:pPr>
              <w:pStyle w:val="TAC"/>
              <w:rPr>
                <w:sz w:val="16"/>
                <w:szCs w:val="16"/>
              </w:rPr>
            </w:pPr>
            <w:r w:rsidRPr="00873B6C">
              <w:rPr>
                <w:sz w:val="16"/>
                <w:szCs w:val="16"/>
              </w:rPr>
              <w:t>SP-220058</w:t>
            </w:r>
          </w:p>
        </w:tc>
        <w:tc>
          <w:tcPr>
            <w:tcW w:w="567" w:type="dxa"/>
            <w:shd w:val="solid" w:color="FFFFFF" w:fill="auto"/>
          </w:tcPr>
          <w:p w14:paraId="25B6A3FF" w14:textId="410CF34E" w:rsidR="00517B35" w:rsidRPr="00873B6C" w:rsidRDefault="00517B35" w:rsidP="00F84AAF">
            <w:pPr>
              <w:pStyle w:val="TAL"/>
              <w:rPr>
                <w:sz w:val="16"/>
                <w:szCs w:val="16"/>
              </w:rPr>
            </w:pPr>
            <w:r w:rsidRPr="00873B6C">
              <w:rPr>
                <w:sz w:val="16"/>
                <w:szCs w:val="16"/>
              </w:rPr>
              <w:t>3540</w:t>
            </w:r>
          </w:p>
        </w:tc>
        <w:tc>
          <w:tcPr>
            <w:tcW w:w="425" w:type="dxa"/>
            <w:shd w:val="solid" w:color="FFFFFF" w:fill="auto"/>
          </w:tcPr>
          <w:p w14:paraId="6ABE345E" w14:textId="08812C36" w:rsidR="00517B35" w:rsidRPr="00873B6C" w:rsidRDefault="00517B35" w:rsidP="00F84AAF">
            <w:pPr>
              <w:pStyle w:val="TAL"/>
              <w:rPr>
                <w:sz w:val="16"/>
                <w:szCs w:val="16"/>
              </w:rPr>
            </w:pPr>
            <w:r w:rsidRPr="00873B6C">
              <w:rPr>
                <w:sz w:val="16"/>
                <w:szCs w:val="16"/>
              </w:rPr>
              <w:t>1</w:t>
            </w:r>
          </w:p>
        </w:tc>
        <w:tc>
          <w:tcPr>
            <w:tcW w:w="425" w:type="dxa"/>
            <w:shd w:val="solid" w:color="FFFFFF" w:fill="auto"/>
          </w:tcPr>
          <w:p w14:paraId="1DEBE5F9" w14:textId="66CA33D6" w:rsidR="00517B35" w:rsidRPr="00873B6C" w:rsidRDefault="00517B35" w:rsidP="00F84AAF">
            <w:pPr>
              <w:pStyle w:val="TAL"/>
              <w:rPr>
                <w:sz w:val="16"/>
                <w:szCs w:val="16"/>
              </w:rPr>
            </w:pPr>
            <w:r w:rsidRPr="00873B6C">
              <w:rPr>
                <w:sz w:val="16"/>
                <w:szCs w:val="16"/>
              </w:rPr>
              <w:t>F</w:t>
            </w:r>
          </w:p>
        </w:tc>
        <w:tc>
          <w:tcPr>
            <w:tcW w:w="4820" w:type="dxa"/>
            <w:shd w:val="solid" w:color="FFFFFF" w:fill="auto"/>
          </w:tcPr>
          <w:p w14:paraId="7DE2438A" w14:textId="32C4A181" w:rsidR="00517B35" w:rsidRPr="00873B6C" w:rsidRDefault="00517B35" w:rsidP="00F84AAF">
            <w:pPr>
              <w:pStyle w:val="TAL"/>
              <w:rPr>
                <w:sz w:val="16"/>
                <w:szCs w:val="16"/>
              </w:rPr>
            </w:pPr>
            <w:r w:rsidRPr="00873B6C">
              <w:rPr>
                <w:sz w:val="16"/>
                <w:szCs w:val="16"/>
              </w:rPr>
              <w:t>Registration with AMF re-allocation in connected state</w:t>
            </w:r>
          </w:p>
        </w:tc>
        <w:tc>
          <w:tcPr>
            <w:tcW w:w="708" w:type="dxa"/>
            <w:shd w:val="solid" w:color="FFFFFF" w:fill="auto"/>
          </w:tcPr>
          <w:p w14:paraId="6C460D46" w14:textId="3C164E9F" w:rsidR="00517B35" w:rsidRPr="00873B6C" w:rsidRDefault="00517B35" w:rsidP="00F84AAF">
            <w:pPr>
              <w:pStyle w:val="TAC"/>
              <w:rPr>
                <w:sz w:val="16"/>
                <w:szCs w:val="16"/>
              </w:rPr>
            </w:pPr>
            <w:r w:rsidRPr="00873B6C">
              <w:rPr>
                <w:sz w:val="16"/>
                <w:szCs w:val="16"/>
              </w:rPr>
              <w:t>17.4.0</w:t>
            </w:r>
          </w:p>
        </w:tc>
      </w:tr>
      <w:tr w:rsidR="0010576F" w:rsidRPr="00873B6C" w14:paraId="1A3DBE89" w14:textId="77777777" w:rsidTr="009D14FB">
        <w:tc>
          <w:tcPr>
            <w:tcW w:w="800" w:type="dxa"/>
            <w:shd w:val="solid" w:color="FFFFFF" w:fill="auto"/>
          </w:tcPr>
          <w:p w14:paraId="529F922E" w14:textId="4DC33FD2"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4EB7E027" w14:textId="231E15B0"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F1F1227" w14:textId="368F7E4E" w:rsidR="0010576F" w:rsidRPr="00873B6C" w:rsidRDefault="0010576F" w:rsidP="00F84AAF">
            <w:pPr>
              <w:pStyle w:val="TAC"/>
              <w:rPr>
                <w:sz w:val="16"/>
                <w:szCs w:val="16"/>
              </w:rPr>
            </w:pPr>
            <w:r w:rsidRPr="00873B6C">
              <w:rPr>
                <w:sz w:val="16"/>
                <w:szCs w:val="16"/>
              </w:rPr>
              <w:t>SP-220062</w:t>
            </w:r>
          </w:p>
        </w:tc>
        <w:tc>
          <w:tcPr>
            <w:tcW w:w="567" w:type="dxa"/>
            <w:shd w:val="solid" w:color="FFFFFF" w:fill="auto"/>
          </w:tcPr>
          <w:p w14:paraId="66086823" w14:textId="15E5E6E4" w:rsidR="0010576F" w:rsidRPr="00873B6C" w:rsidRDefault="0010576F" w:rsidP="00F84AAF">
            <w:pPr>
              <w:pStyle w:val="TAL"/>
              <w:rPr>
                <w:sz w:val="16"/>
                <w:szCs w:val="16"/>
              </w:rPr>
            </w:pPr>
            <w:r w:rsidRPr="00873B6C">
              <w:rPr>
                <w:sz w:val="16"/>
                <w:szCs w:val="16"/>
              </w:rPr>
              <w:t>3543</w:t>
            </w:r>
          </w:p>
        </w:tc>
        <w:tc>
          <w:tcPr>
            <w:tcW w:w="425" w:type="dxa"/>
            <w:shd w:val="solid" w:color="FFFFFF" w:fill="auto"/>
          </w:tcPr>
          <w:p w14:paraId="6B8FFE39" w14:textId="76403F8F" w:rsidR="0010576F" w:rsidRPr="00873B6C" w:rsidRDefault="0010576F" w:rsidP="00F84AAF">
            <w:pPr>
              <w:pStyle w:val="TAL"/>
              <w:rPr>
                <w:sz w:val="16"/>
                <w:szCs w:val="16"/>
              </w:rPr>
            </w:pPr>
            <w:r w:rsidRPr="00873B6C">
              <w:rPr>
                <w:sz w:val="16"/>
                <w:szCs w:val="16"/>
              </w:rPr>
              <w:t>-</w:t>
            </w:r>
          </w:p>
        </w:tc>
        <w:tc>
          <w:tcPr>
            <w:tcW w:w="425" w:type="dxa"/>
            <w:shd w:val="solid" w:color="FFFFFF" w:fill="auto"/>
          </w:tcPr>
          <w:p w14:paraId="0E18C60C" w14:textId="56B586C4"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67727F37" w14:textId="4FD3C83A" w:rsidR="0010576F" w:rsidRPr="00873B6C" w:rsidRDefault="0010576F" w:rsidP="00F84AAF">
            <w:pPr>
              <w:pStyle w:val="TAL"/>
              <w:rPr>
                <w:sz w:val="16"/>
                <w:szCs w:val="16"/>
              </w:rPr>
            </w:pPr>
            <w:r w:rsidRPr="00873B6C">
              <w:rPr>
                <w:sz w:val="16"/>
                <w:szCs w:val="16"/>
              </w:rPr>
              <w:t>Disaster roaming registration type</w:t>
            </w:r>
          </w:p>
        </w:tc>
        <w:tc>
          <w:tcPr>
            <w:tcW w:w="708" w:type="dxa"/>
            <w:shd w:val="solid" w:color="FFFFFF" w:fill="auto"/>
          </w:tcPr>
          <w:p w14:paraId="2E875E69" w14:textId="60185476" w:rsidR="0010576F" w:rsidRPr="00873B6C" w:rsidRDefault="0010576F" w:rsidP="00F84AAF">
            <w:pPr>
              <w:pStyle w:val="TAC"/>
              <w:rPr>
                <w:sz w:val="16"/>
                <w:szCs w:val="16"/>
              </w:rPr>
            </w:pPr>
            <w:r w:rsidRPr="00873B6C">
              <w:rPr>
                <w:sz w:val="16"/>
                <w:szCs w:val="16"/>
              </w:rPr>
              <w:t>17.4.0</w:t>
            </w:r>
          </w:p>
        </w:tc>
      </w:tr>
      <w:tr w:rsidR="0010576F" w:rsidRPr="00873B6C" w14:paraId="761B8C26" w14:textId="77777777" w:rsidTr="009D14FB">
        <w:tc>
          <w:tcPr>
            <w:tcW w:w="800" w:type="dxa"/>
            <w:shd w:val="solid" w:color="FFFFFF" w:fill="auto"/>
          </w:tcPr>
          <w:p w14:paraId="2F323E5C" w14:textId="19DC7249"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358F1375" w14:textId="3873D5DA"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CEA46A5" w14:textId="2A0FBEBE" w:rsidR="0010576F" w:rsidRPr="00873B6C" w:rsidRDefault="0010576F" w:rsidP="00F84AAF">
            <w:pPr>
              <w:pStyle w:val="TAC"/>
              <w:rPr>
                <w:sz w:val="16"/>
                <w:szCs w:val="16"/>
              </w:rPr>
            </w:pPr>
            <w:r w:rsidRPr="00873B6C">
              <w:rPr>
                <w:sz w:val="16"/>
                <w:szCs w:val="16"/>
              </w:rPr>
              <w:t>SP-220055</w:t>
            </w:r>
          </w:p>
        </w:tc>
        <w:tc>
          <w:tcPr>
            <w:tcW w:w="567" w:type="dxa"/>
            <w:shd w:val="solid" w:color="FFFFFF" w:fill="auto"/>
          </w:tcPr>
          <w:p w14:paraId="52A50B4C" w14:textId="01A7EFD1" w:rsidR="0010576F" w:rsidRPr="00873B6C" w:rsidRDefault="0010576F" w:rsidP="00F84AAF">
            <w:pPr>
              <w:pStyle w:val="TAL"/>
              <w:rPr>
                <w:sz w:val="16"/>
                <w:szCs w:val="16"/>
              </w:rPr>
            </w:pPr>
            <w:r w:rsidRPr="00873B6C">
              <w:rPr>
                <w:sz w:val="16"/>
                <w:szCs w:val="16"/>
              </w:rPr>
              <w:t>3548</w:t>
            </w:r>
          </w:p>
        </w:tc>
        <w:tc>
          <w:tcPr>
            <w:tcW w:w="425" w:type="dxa"/>
            <w:shd w:val="solid" w:color="FFFFFF" w:fill="auto"/>
          </w:tcPr>
          <w:p w14:paraId="20AF36E8" w14:textId="1E871DAD" w:rsidR="0010576F" w:rsidRPr="00873B6C" w:rsidRDefault="0010576F" w:rsidP="00F84AAF">
            <w:pPr>
              <w:pStyle w:val="TAL"/>
              <w:rPr>
                <w:sz w:val="16"/>
                <w:szCs w:val="16"/>
              </w:rPr>
            </w:pPr>
            <w:r w:rsidRPr="00873B6C">
              <w:rPr>
                <w:sz w:val="16"/>
                <w:szCs w:val="16"/>
              </w:rPr>
              <w:t xml:space="preserve">1 </w:t>
            </w:r>
          </w:p>
        </w:tc>
        <w:tc>
          <w:tcPr>
            <w:tcW w:w="425" w:type="dxa"/>
            <w:shd w:val="solid" w:color="FFFFFF" w:fill="auto"/>
          </w:tcPr>
          <w:p w14:paraId="7CDA2304" w14:textId="125594C0"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577E4E42" w14:textId="219CFFB8" w:rsidR="0010576F" w:rsidRPr="00873B6C" w:rsidRDefault="0010576F" w:rsidP="00F84AAF">
            <w:pPr>
              <w:pStyle w:val="TAL"/>
              <w:rPr>
                <w:sz w:val="16"/>
                <w:szCs w:val="16"/>
              </w:rPr>
            </w:pPr>
            <w:r w:rsidRPr="00873B6C">
              <w:rPr>
                <w:sz w:val="16"/>
                <w:szCs w:val="16"/>
              </w:rPr>
              <w:t>Add missing EASDF descriptions</w:t>
            </w:r>
          </w:p>
        </w:tc>
        <w:tc>
          <w:tcPr>
            <w:tcW w:w="708" w:type="dxa"/>
            <w:shd w:val="solid" w:color="FFFFFF" w:fill="auto"/>
          </w:tcPr>
          <w:p w14:paraId="238D12EB" w14:textId="2936CFF1" w:rsidR="0010576F" w:rsidRPr="00873B6C" w:rsidRDefault="0010576F" w:rsidP="00F84AAF">
            <w:pPr>
              <w:pStyle w:val="TAC"/>
              <w:rPr>
                <w:sz w:val="16"/>
                <w:szCs w:val="16"/>
              </w:rPr>
            </w:pPr>
            <w:r w:rsidRPr="00873B6C">
              <w:rPr>
                <w:sz w:val="16"/>
                <w:szCs w:val="16"/>
              </w:rPr>
              <w:t>17.4.0</w:t>
            </w:r>
          </w:p>
        </w:tc>
      </w:tr>
      <w:tr w:rsidR="0010576F" w:rsidRPr="00873B6C" w14:paraId="76C46CA2" w14:textId="77777777" w:rsidTr="009D14FB">
        <w:tc>
          <w:tcPr>
            <w:tcW w:w="800" w:type="dxa"/>
            <w:shd w:val="solid" w:color="FFFFFF" w:fill="auto"/>
          </w:tcPr>
          <w:p w14:paraId="0A70828E" w14:textId="68887EDB"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194D2687" w14:textId="7ED93551"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FCBD193" w14:textId="63DD5E17" w:rsidR="0010576F" w:rsidRPr="00873B6C" w:rsidRDefault="0010576F" w:rsidP="00F84AAF">
            <w:pPr>
              <w:pStyle w:val="TAC"/>
              <w:rPr>
                <w:sz w:val="16"/>
                <w:szCs w:val="16"/>
              </w:rPr>
            </w:pPr>
            <w:r w:rsidRPr="00873B6C">
              <w:rPr>
                <w:sz w:val="16"/>
                <w:szCs w:val="16"/>
              </w:rPr>
              <w:t>SP-220051</w:t>
            </w:r>
          </w:p>
        </w:tc>
        <w:tc>
          <w:tcPr>
            <w:tcW w:w="567" w:type="dxa"/>
            <w:shd w:val="solid" w:color="FFFFFF" w:fill="auto"/>
          </w:tcPr>
          <w:p w14:paraId="0933C7A7" w14:textId="1314687A" w:rsidR="0010576F" w:rsidRPr="00873B6C" w:rsidRDefault="0010576F" w:rsidP="00F84AAF">
            <w:pPr>
              <w:pStyle w:val="TAL"/>
              <w:rPr>
                <w:sz w:val="16"/>
                <w:szCs w:val="16"/>
              </w:rPr>
            </w:pPr>
            <w:r w:rsidRPr="00873B6C">
              <w:rPr>
                <w:sz w:val="16"/>
                <w:szCs w:val="16"/>
              </w:rPr>
              <w:t>3549</w:t>
            </w:r>
          </w:p>
        </w:tc>
        <w:tc>
          <w:tcPr>
            <w:tcW w:w="425" w:type="dxa"/>
            <w:shd w:val="solid" w:color="FFFFFF" w:fill="auto"/>
          </w:tcPr>
          <w:p w14:paraId="227EFD94" w14:textId="33F7A9B6" w:rsidR="0010576F" w:rsidRPr="00873B6C" w:rsidRDefault="0010576F" w:rsidP="00F84AAF">
            <w:pPr>
              <w:pStyle w:val="TAL"/>
              <w:rPr>
                <w:sz w:val="16"/>
                <w:szCs w:val="16"/>
              </w:rPr>
            </w:pPr>
            <w:r w:rsidRPr="00873B6C">
              <w:rPr>
                <w:sz w:val="16"/>
                <w:szCs w:val="16"/>
              </w:rPr>
              <w:t>1</w:t>
            </w:r>
          </w:p>
        </w:tc>
        <w:tc>
          <w:tcPr>
            <w:tcW w:w="425" w:type="dxa"/>
            <w:shd w:val="solid" w:color="FFFFFF" w:fill="auto"/>
          </w:tcPr>
          <w:p w14:paraId="7CD2DB2C" w14:textId="287DC95A"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402F20F8" w14:textId="78D58883" w:rsidR="0010576F" w:rsidRPr="00873B6C" w:rsidRDefault="0010576F" w:rsidP="00F84AAF">
            <w:pPr>
              <w:pStyle w:val="TAL"/>
              <w:rPr>
                <w:sz w:val="16"/>
                <w:szCs w:val="16"/>
              </w:rPr>
            </w:pPr>
            <w:r w:rsidRPr="00873B6C">
              <w:rPr>
                <w:sz w:val="16"/>
                <w:szCs w:val="16"/>
              </w:rPr>
              <w:t>TAIs reporting corresponding to the Selected PLMN</w:t>
            </w:r>
          </w:p>
        </w:tc>
        <w:tc>
          <w:tcPr>
            <w:tcW w:w="708" w:type="dxa"/>
            <w:shd w:val="solid" w:color="FFFFFF" w:fill="auto"/>
          </w:tcPr>
          <w:p w14:paraId="6B1098D7" w14:textId="65C56EDE" w:rsidR="0010576F" w:rsidRPr="00873B6C" w:rsidRDefault="0010576F" w:rsidP="00F84AAF">
            <w:pPr>
              <w:pStyle w:val="TAC"/>
              <w:rPr>
                <w:sz w:val="16"/>
                <w:szCs w:val="16"/>
              </w:rPr>
            </w:pPr>
            <w:r w:rsidRPr="00873B6C">
              <w:rPr>
                <w:sz w:val="16"/>
                <w:szCs w:val="16"/>
              </w:rPr>
              <w:t>17.4.0</w:t>
            </w:r>
          </w:p>
        </w:tc>
      </w:tr>
      <w:tr w:rsidR="0010576F" w:rsidRPr="00873B6C" w14:paraId="525694A5" w14:textId="77777777" w:rsidTr="009D14FB">
        <w:tc>
          <w:tcPr>
            <w:tcW w:w="800" w:type="dxa"/>
            <w:shd w:val="solid" w:color="FFFFFF" w:fill="auto"/>
          </w:tcPr>
          <w:p w14:paraId="291C8C82" w14:textId="5E916F15" w:rsidR="0010576F" w:rsidRPr="00873B6C" w:rsidRDefault="0010576F" w:rsidP="00F84AAF">
            <w:pPr>
              <w:pStyle w:val="TAC"/>
              <w:rPr>
                <w:sz w:val="16"/>
                <w:szCs w:val="16"/>
              </w:rPr>
            </w:pPr>
            <w:r w:rsidRPr="00873B6C">
              <w:rPr>
                <w:sz w:val="16"/>
                <w:szCs w:val="16"/>
              </w:rPr>
              <w:lastRenderedPageBreak/>
              <w:t>2022-03</w:t>
            </w:r>
          </w:p>
        </w:tc>
        <w:tc>
          <w:tcPr>
            <w:tcW w:w="800" w:type="dxa"/>
            <w:shd w:val="solid" w:color="FFFFFF" w:fill="auto"/>
          </w:tcPr>
          <w:p w14:paraId="47473230" w14:textId="2E078788"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15D48E9" w14:textId="3BB24BE9" w:rsidR="0010576F" w:rsidRPr="00873B6C" w:rsidRDefault="0010576F" w:rsidP="00F84AAF">
            <w:pPr>
              <w:pStyle w:val="TAC"/>
              <w:rPr>
                <w:sz w:val="16"/>
                <w:szCs w:val="16"/>
              </w:rPr>
            </w:pPr>
            <w:r w:rsidRPr="00873B6C">
              <w:rPr>
                <w:sz w:val="16"/>
                <w:szCs w:val="16"/>
              </w:rPr>
              <w:t>SP-220056</w:t>
            </w:r>
          </w:p>
        </w:tc>
        <w:tc>
          <w:tcPr>
            <w:tcW w:w="567" w:type="dxa"/>
            <w:shd w:val="solid" w:color="FFFFFF" w:fill="auto"/>
          </w:tcPr>
          <w:p w14:paraId="42C2D495" w14:textId="53C5EEA0" w:rsidR="0010576F" w:rsidRPr="00873B6C" w:rsidRDefault="0010576F" w:rsidP="00F84AAF">
            <w:pPr>
              <w:pStyle w:val="TAL"/>
              <w:rPr>
                <w:sz w:val="16"/>
                <w:szCs w:val="16"/>
              </w:rPr>
            </w:pPr>
            <w:r w:rsidRPr="00873B6C">
              <w:rPr>
                <w:sz w:val="16"/>
                <w:szCs w:val="16"/>
              </w:rPr>
              <w:t>3552</w:t>
            </w:r>
          </w:p>
        </w:tc>
        <w:tc>
          <w:tcPr>
            <w:tcW w:w="425" w:type="dxa"/>
            <w:shd w:val="solid" w:color="FFFFFF" w:fill="auto"/>
          </w:tcPr>
          <w:p w14:paraId="47622BF9" w14:textId="6BDF2DE9" w:rsidR="0010576F" w:rsidRPr="00873B6C" w:rsidRDefault="0010576F" w:rsidP="00F84AAF">
            <w:pPr>
              <w:pStyle w:val="TAL"/>
              <w:rPr>
                <w:sz w:val="16"/>
                <w:szCs w:val="16"/>
              </w:rPr>
            </w:pPr>
            <w:r w:rsidRPr="00873B6C">
              <w:rPr>
                <w:sz w:val="16"/>
                <w:szCs w:val="16"/>
              </w:rPr>
              <w:t>1</w:t>
            </w:r>
          </w:p>
        </w:tc>
        <w:tc>
          <w:tcPr>
            <w:tcW w:w="425" w:type="dxa"/>
            <w:shd w:val="solid" w:color="FFFFFF" w:fill="auto"/>
          </w:tcPr>
          <w:p w14:paraId="1C3DD31D" w14:textId="21FE2AFF"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0AD8C958" w14:textId="36FFA4A8" w:rsidR="0010576F" w:rsidRPr="00873B6C" w:rsidRDefault="0010576F" w:rsidP="00F84AAF">
            <w:pPr>
              <w:pStyle w:val="TAL"/>
              <w:rPr>
                <w:sz w:val="16"/>
                <w:szCs w:val="16"/>
              </w:rPr>
            </w:pPr>
            <w:r w:rsidRPr="00873B6C">
              <w:rPr>
                <w:sz w:val="16"/>
                <w:szCs w:val="16"/>
              </w:rPr>
              <w:t>Removal of Nnssf_NSRestriction service</w:t>
            </w:r>
          </w:p>
        </w:tc>
        <w:tc>
          <w:tcPr>
            <w:tcW w:w="708" w:type="dxa"/>
            <w:shd w:val="solid" w:color="FFFFFF" w:fill="auto"/>
          </w:tcPr>
          <w:p w14:paraId="39B0E539" w14:textId="007A4AA2" w:rsidR="0010576F" w:rsidRPr="00873B6C" w:rsidRDefault="0010576F" w:rsidP="00F84AAF">
            <w:pPr>
              <w:pStyle w:val="TAC"/>
              <w:rPr>
                <w:sz w:val="16"/>
                <w:szCs w:val="16"/>
              </w:rPr>
            </w:pPr>
            <w:r w:rsidRPr="00873B6C">
              <w:rPr>
                <w:sz w:val="16"/>
                <w:szCs w:val="16"/>
              </w:rPr>
              <w:t>17.4.0</w:t>
            </w:r>
          </w:p>
        </w:tc>
      </w:tr>
      <w:tr w:rsidR="00FA7B3B" w:rsidRPr="00873B6C" w14:paraId="6BA0A016" w14:textId="77777777" w:rsidTr="00C9561D">
        <w:tc>
          <w:tcPr>
            <w:tcW w:w="800" w:type="dxa"/>
            <w:shd w:val="solid" w:color="FFFFFF" w:fill="auto"/>
          </w:tcPr>
          <w:p w14:paraId="695FAEB0" w14:textId="77777777" w:rsidR="00FA7B3B" w:rsidRPr="00873B6C" w:rsidRDefault="00FA7B3B" w:rsidP="00C9561D">
            <w:pPr>
              <w:pStyle w:val="TAC"/>
              <w:rPr>
                <w:sz w:val="16"/>
                <w:szCs w:val="16"/>
              </w:rPr>
            </w:pPr>
            <w:r w:rsidRPr="00873B6C">
              <w:rPr>
                <w:sz w:val="16"/>
                <w:szCs w:val="16"/>
              </w:rPr>
              <w:t>2022-03</w:t>
            </w:r>
          </w:p>
        </w:tc>
        <w:tc>
          <w:tcPr>
            <w:tcW w:w="800" w:type="dxa"/>
            <w:shd w:val="solid" w:color="FFFFFF" w:fill="auto"/>
          </w:tcPr>
          <w:p w14:paraId="16BD7480" w14:textId="1F6EE491" w:rsidR="00FA7B3B" w:rsidRPr="00873B6C" w:rsidRDefault="00FA7B3B" w:rsidP="00C9561D">
            <w:pPr>
              <w:pStyle w:val="TAL"/>
              <w:rPr>
                <w:sz w:val="16"/>
                <w:szCs w:val="16"/>
              </w:rPr>
            </w:pPr>
            <w:r w:rsidRPr="00873B6C">
              <w:rPr>
                <w:sz w:val="16"/>
                <w:szCs w:val="16"/>
              </w:rPr>
              <w:t>SP#95E</w:t>
            </w:r>
          </w:p>
        </w:tc>
        <w:tc>
          <w:tcPr>
            <w:tcW w:w="1094" w:type="dxa"/>
            <w:shd w:val="solid" w:color="FFFFFF" w:fill="auto"/>
          </w:tcPr>
          <w:p w14:paraId="7D2B0ED0" w14:textId="77777777" w:rsidR="00FA7B3B" w:rsidRPr="00873B6C" w:rsidRDefault="00FA7B3B" w:rsidP="00C9561D">
            <w:pPr>
              <w:pStyle w:val="TAC"/>
              <w:rPr>
                <w:sz w:val="16"/>
                <w:szCs w:val="16"/>
              </w:rPr>
            </w:pPr>
            <w:r w:rsidRPr="00873B6C">
              <w:rPr>
                <w:sz w:val="16"/>
                <w:szCs w:val="16"/>
              </w:rPr>
              <w:t>SP-220281</w:t>
            </w:r>
          </w:p>
        </w:tc>
        <w:tc>
          <w:tcPr>
            <w:tcW w:w="567" w:type="dxa"/>
            <w:shd w:val="solid" w:color="FFFFFF" w:fill="auto"/>
          </w:tcPr>
          <w:p w14:paraId="77E44A3B" w14:textId="77777777" w:rsidR="00FA7B3B" w:rsidRPr="00873B6C" w:rsidRDefault="00FA7B3B" w:rsidP="00C9561D">
            <w:pPr>
              <w:pStyle w:val="TAL"/>
              <w:rPr>
                <w:sz w:val="16"/>
                <w:szCs w:val="16"/>
              </w:rPr>
            </w:pPr>
            <w:r w:rsidRPr="00873B6C">
              <w:rPr>
                <w:sz w:val="16"/>
                <w:szCs w:val="16"/>
              </w:rPr>
              <w:t>3553</w:t>
            </w:r>
          </w:p>
        </w:tc>
        <w:tc>
          <w:tcPr>
            <w:tcW w:w="425" w:type="dxa"/>
            <w:shd w:val="solid" w:color="FFFFFF" w:fill="auto"/>
          </w:tcPr>
          <w:p w14:paraId="0C009F44" w14:textId="77777777" w:rsidR="00FA7B3B" w:rsidRPr="00873B6C" w:rsidRDefault="00FA7B3B" w:rsidP="00C9561D">
            <w:pPr>
              <w:pStyle w:val="TAL"/>
              <w:rPr>
                <w:sz w:val="16"/>
                <w:szCs w:val="16"/>
              </w:rPr>
            </w:pPr>
            <w:r w:rsidRPr="00873B6C">
              <w:rPr>
                <w:sz w:val="16"/>
                <w:szCs w:val="16"/>
              </w:rPr>
              <w:t>2</w:t>
            </w:r>
          </w:p>
        </w:tc>
        <w:tc>
          <w:tcPr>
            <w:tcW w:w="425" w:type="dxa"/>
            <w:shd w:val="solid" w:color="FFFFFF" w:fill="auto"/>
          </w:tcPr>
          <w:p w14:paraId="0EEAA17D" w14:textId="77777777" w:rsidR="00FA7B3B" w:rsidRPr="00873B6C" w:rsidRDefault="00FA7B3B" w:rsidP="00C9561D">
            <w:pPr>
              <w:pStyle w:val="TAL"/>
              <w:rPr>
                <w:sz w:val="16"/>
                <w:szCs w:val="16"/>
              </w:rPr>
            </w:pPr>
            <w:r w:rsidRPr="00873B6C">
              <w:rPr>
                <w:sz w:val="16"/>
                <w:szCs w:val="16"/>
              </w:rPr>
              <w:t>F</w:t>
            </w:r>
          </w:p>
        </w:tc>
        <w:tc>
          <w:tcPr>
            <w:tcW w:w="4820" w:type="dxa"/>
            <w:shd w:val="solid" w:color="FFFFFF" w:fill="auto"/>
          </w:tcPr>
          <w:p w14:paraId="5A41EB36" w14:textId="77777777" w:rsidR="00FA7B3B" w:rsidRPr="00873B6C" w:rsidRDefault="00FA7B3B" w:rsidP="00C9561D">
            <w:pPr>
              <w:pStyle w:val="TAL"/>
              <w:rPr>
                <w:sz w:val="16"/>
                <w:szCs w:val="16"/>
              </w:rPr>
            </w:pPr>
            <w:r w:rsidRPr="00873B6C">
              <w:rPr>
                <w:sz w:val="16"/>
                <w:szCs w:val="16"/>
              </w:rPr>
              <w:t>Correction of Subscription-related Priority Mechanism</w:t>
            </w:r>
          </w:p>
        </w:tc>
        <w:tc>
          <w:tcPr>
            <w:tcW w:w="708" w:type="dxa"/>
            <w:shd w:val="solid" w:color="FFFFFF" w:fill="auto"/>
          </w:tcPr>
          <w:p w14:paraId="2DE9564D" w14:textId="77777777" w:rsidR="00FA7B3B" w:rsidRPr="00873B6C" w:rsidRDefault="00FA7B3B" w:rsidP="00C9561D">
            <w:pPr>
              <w:pStyle w:val="TAC"/>
              <w:rPr>
                <w:sz w:val="16"/>
                <w:szCs w:val="16"/>
              </w:rPr>
            </w:pPr>
            <w:r w:rsidRPr="00873B6C">
              <w:rPr>
                <w:sz w:val="16"/>
                <w:szCs w:val="16"/>
              </w:rPr>
              <w:t>17.4.0</w:t>
            </w:r>
          </w:p>
        </w:tc>
      </w:tr>
      <w:tr w:rsidR="0010576F" w:rsidRPr="00873B6C" w14:paraId="49A9EE02" w14:textId="77777777" w:rsidTr="009D14FB">
        <w:tc>
          <w:tcPr>
            <w:tcW w:w="800" w:type="dxa"/>
            <w:shd w:val="solid" w:color="FFFFFF" w:fill="auto"/>
          </w:tcPr>
          <w:p w14:paraId="123594E7" w14:textId="171C960D"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2C9E2D72" w14:textId="3BAF5F71"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B424BD9" w14:textId="3DC3F44A" w:rsidR="0010576F" w:rsidRPr="00873B6C" w:rsidRDefault="0010576F" w:rsidP="00F84AAF">
            <w:pPr>
              <w:pStyle w:val="TAC"/>
              <w:rPr>
                <w:sz w:val="16"/>
                <w:szCs w:val="16"/>
              </w:rPr>
            </w:pPr>
            <w:r w:rsidRPr="00873B6C">
              <w:rPr>
                <w:sz w:val="16"/>
                <w:szCs w:val="16"/>
              </w:rPr>
              <w:t>SP-220066</w:t>
            </w:r>
          </w:p>
        </w:tc>
        <w:tc>
          <w:tcPr>
            <w:tcW w:w="567" w:type="dxa"/>
            <w:shd w:val="solid" w:color="FFFFFF" w:fill="auto"/>
          </w:tcPr>
          <w:p w14:paraId="4964B114" w14:textId="50FA7B34" w:rsidR="0010576F" w:rsidRPr="00873B6C" w:rsidRDefault="0010576F" w:rsidP="00F84AAF">
            <w:pPr>
              <w:pStyle w:val="TAL"/>
              <w:rPr>
                <w:sz w:val="16"/>
                <w:szCs w:val="16"/>
              </w:rPr>
            </w:pPr>
            <w:r w:rsidRPr="00873B6C">
              <w:rPr>
                <w:sz w:val="16"/>
                <w:szCs w:val="16"/>
              </w:rPr>
              <w:t>3554</w:t>
            </w:r>
          </w:p>
        </w:tc>
        <w:tc>
          <w:tcPr>
            <w:tcW w:w="425" w:type="dxa"/>
            <w:shd w:val="solid" w:color="FFFFFF" w:fill="auto"/>
          </w:tcPr>
          <w:p w14:paraId="36EA1FA9" w14:textId="4AA1E5C6" w:rsidR="0010576F" w:rsidRPr="00873B6C" w:rsidRDefault="0010576F" w:rsidP="00F84AAF">
            <w:pPr>
              <w:pStyle w:val="TAL"/>
              <w:rPr>
                <w:sz w:val="16"/>
                <w:szCs w:val="16"/>
              </w:rPr>
            </w:pPr>
            <w:r w:rsidRPr="00873B6C">
              <w:rPr>
                <w:sz w:val="16"/>
                <w:szCs w:val="16"/>
              </w:rPr>
              <w:t>1</w:t>
            </w:r>
          </w:p>
        </w:tc>
        <w:tc>
          <w:tcPr>
            <w:tcW w:w="425" w:type="dxa"/>
            <w:shd w:val="solid" w:color="FFFFFF" w:fill="auto"/>
          </w:tcPr>
          <w:p w14:paraId="4ECD769A" w14:textId="459F1D2F"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3B4BD47A" w14:textId="2AA3FB2A" w:rsidR="0010576F" w:rsidRPr="00873B6C" w:rsidRDefault="0010576F" w:rsidP="00F84AAF">
            <w:pPr>
              <w:pStyle w:val="TAL"/>
              <w:rPr>
                <w:sz w:val="16"/>
                <w:szCs w:val="16"/>
              </w:rPr>
            </w:pPr>
            <w:r w:rsidRPr="00873B6C">
              <w:rPr>
                <w:sz w:val="16"/>
                <w:szCs w:val="16"/>
              </w:rPr>
              <w:t>Inter-system configuration transfer</w:t>
            </w:r>
          </w:p>
        </w:tc>
        <w:tc>
          <w:tcPr>
            <w:tcW w:w="708" w:type="dxa"/>
            <w:shd w:val="solid" w:color="FFFFFF" w:fill="auto"/>
          </w:tcPr>
          <w:p w14:paraId="672320B0" w14:textId="3C1BD4F8" w:rsidR="0010576F" w:rsidRPr="00873B6C" w:rsidRDefault="0010576F" w:rsidP="00F84AAF">
            <w:pPr>
              <w:pStyle w:val="TAC"/>
              <w:rPr>
                <w:sz w:val="16"/>
                <w:szCs w:val="16"/>
              </w:rPr>
            </w:pPr>
            <w:r w:rsidRPr="00873B6C">
              <w:rPr>
                <w:sz w:val="16"/>
                <w:szCs w:val="16"/>
              </w:rPr>
              <w:t>17.4.0</w:t>
            </w:r>
          </w:p>
        </w:tc>
      </w:tr>
      <w:tr w:rsidR="0010576F" w:rsidRPr="00873B6C" w14:paraId="6FC5E395" w14:textId="77777777" w:rsidTr="009D14FB">
        <w:tc>
          <w:tcPr>
            <w:tcW w:w="800" w:type="dxa"/>
            <w:shd w:val="solid" w:color="FFFFFF" w:fill="auto"/>
          </w:tcPr>
          <w:p w14:paraId="1E583684" w14:textId="15B8CD6F"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3930220C" w14:textId="1973A542"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696F3C4" w14:textId="1D327083" w:rsidR="0010576F" w:rsidRPr="00873B6C" w:rsidRDefault="0010576F" w:rsidP="00F84AAF">
            <w:pPr>
              <w:pStyle w:val="TAC"/>
              <w:rPr>
                <w:sz w:val="16"/>
                <w:szCs w:val="16"/>
              </w:rPr>
            </w:pPr>
            <w:r w:rsidRPr="00873B6C">
              <w:rPr>
                <w:sz w:val="16"/>
                <w:szCs w:val="16"/>
              </w:rPr>
              <w:t>SP-220051</w:t>
            </w:r>
          </w:p>
        </w:tc>
        <w:tc>
          <w:tcPr>
            <w:tcW w:w="567" w:type="dxa"/>
            <w:shd w:val="solid" w:color="FFFFFF" w:fill="auto"/>
          </w:tcPr>
          <w:p w14:paraId="68124BAA" w14:textId="0D087AD4" w:rsidR="0010576F" w:rsidRPr="00873B6C" w:rsidRDefault="0010576F" w:rsidP="00F84AAF">
            <w:pPr>
              <w:pStyle w:val="TAL"/>
              <w:rPr>
                <w:sz w:val="16"/>
                <w:szCs w:val="16"/>
              </w:rPr>
            </w:pPr>
            <w:r w:rsidRPr="00873B6C">
              <w:rPr>
                <w:sz w:val="16"/>
                <w:szCs w:val="16"/>
              </w:rPr>
              <w:t>3555</w:t>
            </w:r>
          </w:p>
        </w:tc>
        <w:tc>
          <w:tcPr>
            <w:tcW w:w="425" w:type="dxa"/>
            <w:shd w:val="solid" w:color="FFFFFF" w:fill="auto"/>
          </w:tcPr>
          <w:p w14:paraId="20EDB212" w14:textId="188ECCEA" w:rsidR="0010576F" w:rsidRPr="00873B6C" w:rsidRDefault="0010576F" w:rsidP="00F84AAF">
            <w:pPr>
              <w:pStyle w:val="TAL"/>
              <w:rPr>
                <w:sz w:val="16"/>
                <w:szCs w:val="16"/>
              </w:rPr>
            </w:pPr>
            <w:r w:rsidRPr="00873B6C">
              <w:rPr>
                <w:sz w:val="16"/>
                <w:szCs w:val="16"/>
              </w:rPr>
              <w:t>1</w:t>
            </w:r>
          </w:p>
        </w:tc>
        <w:tc>
          <w:tcPr>
            <w:tcW w:w="425" w:type="dxa"/>
            <w:shd w:val="solid" w:color="FFFFFF" w:fill="auto"/>
          </w:tcPr>
          <w:p w14:paraId="59D512F0" w14:textId="7AB64D71"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5E445614" w14:textId="46F9338E" w:rsidR="0010576F" w:rsidRPr="00873B6C" w:rsidRDefault="0010576F" w:rsidP="00F84AAF">
            <w:pPr>
              <w:pStyle w:val="TAL"/>
              <w:rPr>
                <w:sz w:val="16"/>
                <w:szCs w:val="16"/>
              </w:rPr>
            </w:pPr>
            <w:r w:rsidRPr="00873B6C">
              <w:rPr>
                <w:sz w:val="16"/>
                <w:szCs w:val="16"/>
              </w:rPr>
              <w:t>Correction of Mobility Restrictions handling for emergency calls</w:t>
            </w:r>
          </w:p>
        </w:tc>
        <w:tc>
          <w:tcPr>
            <w:tcW w:w="708" w:type="dxa"/>
            <w:shd w:val="solid" w:color="FFFFFF" w:fill="auto"/>
          </w:tcPr>
          <w:p w14:paraId="7EA735BF" w14:textId="14869AEE" w:rsidR="0010576F" w:rsidRPr="00873B6C" w:rsidRDefault="0010576F" w:rsidP="00F84AAF">
            <w:pPr>
              <w:pStyle w:val="TAC"/>
              <w:rPr>
                <w:sz w:val="16"/>
                <w:szCs w:val="16"/>
              </w:rPr>
            </w:pPr>
            <w:r w:rsidRPr="00873B6C">
              <w:rPr>
                <w:sz w:val="16"/>
                <w:szCs w:val="16"/>
              </w:rPr>
              <w:t>17.4.0</w:t>
            </w:r>
          </w:p>
        </w:tc>
      </w:tr>
      <w:tr w:rsidR="006810D1" w:rsidRPr="00873B6C" w14:paraId="0FDF825C" w14:textId="77777777" w:rsidTr="009D14FB">
        <w:tc>
          <w:tcPr>
            <w:tcW w:w="800" w:type="dxa"/>
            <w:shd w:val="solid" w:color="FFFFFF" w:fill="auto"/>
          </w:tcPr>
          <w:p w14:paraId="2BC791E4" w14:textId="0C98AA8A" w:rsidR="006810D1" w:rsidRPr="00873B6C" w:rsidRDefault="006810D1" w:rsidP="00F84AAF">
            <w:pPr>
              <w:pStyle w:val="TAC"/>
              <w:rPr>
                <w:sz w:val="16"/>
                <w:szCs w:val="16"/>
              </w:rPr>
            </w:pPr>
            <w:r w:rsidRPr="00873B6C">
              <w:rPr>
                <w:sz w:val="16"/>
                <w:szCs w:val="16"/>
              </w:rPr>
              <w:t>2022-03</w:t>
            </w:r>
          </w:p>
        </w:tc>
        <w:tc>
          <w:tcPr>
            <w:tcW w:w="800" w:type="dxa"/>
            <w:shd w:val="solid" w:color="FFFFFF" w:fill="auto"/>
          </w:tcPr>
          <w:p w14:paraId="2234ABE6" w14:textId="474BB9EE" w:rsidR="006810D1" w:rsidRPr="00873B6C" w:rsidRDefault="006810D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9B368C0" w14:textId="65002EDB" w:rsidR="006810D1" w:rsidRPr="00873B6C" w:rsidRDefault="006810D1" w:rsidP="00F84AAF">
            <w:pPr>
              <w:pStyle w:val="TAC"/>
              <w:rPr>
                <w:sz w:val="16"/>
                <w:szCs w:val="16"/>
              </w:rPr>
            </w:pPr>
            <w:r w:rsidRPr="00873B6C">
              <w:rPr>
                <w:sz w:val="16"/>
                <w:szCs w:val="16"/>
              </w:rPr>
              <w:t>SP-220067</w:t>
            </w:r>
          </w:p>
        </w:tc>
        <w:tc>
          <w:tcPr>
            <w:tcW w:w="567" w:type="dxa"/>
            <w:shd w:val="solid" w:color="FFFFFF" w:fill="auto"/>
          </w:tcPr>
          <w:p w14:paraId="52C6718E" w14:textId="5EC42852" w:rsidR="006810D1" w:rsidRPr="00873B6C" w:rsidRDefault="006810D1" w:rsidP="00F84AAF">
            <w:pPr>
              <w:pStyle w:val="TAL"/>
              <w:rPr>
                <w:sz w:val="16"/>
                <w:szCs w:val="16"/>
              </w:rPr>
            </w:pPr>
            <w:r w:rsidRPr="00873B6C">
              <w:rPr>
                <w:sz w:val="16"/>
                <w:szCs w:val="16"/>
              </w:rPr>
              <w:t>3556</w:t>
            </w:r>
          </w:p>
        </w:tc>
        <w:tc>
          <w:tcPr>
            <w:tcW w:w="425" w:type="dxa"/>
            <w:shd w:val="solid" w:color="FFFFFF" w:fill="auto"/>
          </w:tcPr>
          <w:p w14:paraId="21FF2C54" w14:textId="41FDFA66" w:rsidR="006810D1" w:rsidRPr="00873B6C" w:rsidRDefault="006810D1" w:rsidP="00F84AAF">
            <w:pPr>
              <w:pStyle w:val="TAL"/>
              <w:rPr>
                <w:sz w:val="16"/>
                <w:szCs w:val="16"/>
              </w:rPr>
            </w:pPr>
            <w:r w:rsidRPr="00873B6C">
              <w:rPr>
                <w:sz w:val="16"/>
                <w:szCs w:val="16"/>
              </w:rPr>
              <w:t>1</w:t>
            </w:r>
          </w:p>
        </w:tc>
        <w:tc>
          <w:tcPr>
            <w:tcW w:w="425" w:type="dxa"/>
            <w:shd w:val="solid" w:color="FFFFFF" w:fill="auto"/>
          </w:tcPr>
          <w:p w14:paraId="555460E4" w14:textId="79E7816E" w:rsidR="006810D1" w:rsidRPr="00873B6C" w:rsidRDefault="006810D1" w:rsidP="00F84AAF">
            <w:pPr>
              <w:pStyle w:val="TAL"/>
              <w:rPr>
                <w:sz w:val="16"/>
                <w:szCs w:val="16"/>
              </w:rPr>
            </w:pPr>
            <w:r w:rsidRPr="00873B6C">
              <w:rPr>
                <w:sz w:val="16"/>
                <w:szCs w:val="16"/>
              </w:rPr>
              <w:t>F</w:t>
            </w:r>
          </w:p>
        </w:tc>
        <w:tc>
          <w:tcPr>
            <w:tcW w:w="4820" w:type="dxa"/>
            <w:shd w:val="solid" w:color="FFFFFF" w:fill="auto"/>
          </w:tcPr>
          <w:p w14:paraId="2115E485" w14:textId="323014AA" w:rsidR="006810D1" w:rsidRPr="00873B6C" w:rsidRDefault="006810D1" w:rsidP="00F84AAF">
            <w:pPr>
              <w:pStyle w:val="TAL"/>
              <w:rPr>
                <w:sz w:val="16"/>
                <w:szCs w:val="16"/>
              </w:rPr>
            </w:pPr>
            <w:r w:rsidRPr="00873B6C">
              <w:rPr>
                <w:sz w:val="16"/>
                <w:szCs w:val="16"/>
              </w:rPr>
              <w:t>Clarification on TAI configured for Non 3GPP access</w:t>
            </w:r>
          </w:p>
        </w:tc>
        <w:tc>
          <w:tcPr>
            <w:tcW w:w="708" w:type="dxa"/>
            <w:shd w:val="solid" w:color="FFFFFF" w:fill="auto"/>
          </w:tcPr>
          <w:p w14:paraId="5FEC860D" w14:textId="7475EB4B" w:rsidR="006810D1" w:rsidRPr="00873B6C" w:rsidRDefault="006810D1" w:rsidP="00F84AAF">
            <w:pPr>
              <w:pStyle w:val="TAC"/>
              <w:rPr>
                <w:sz w:val="16"/>
                <w:szCs w:val="16"/>
              </w:rPr>
            </w:pPr>
            <w:r w:rsidRPr="00873B6C">
              <w:rPr>
                <w:sz w:val="16"/>
                <w:szCs w:val="16"/>
              </w:rPr>
              <w:t>17.4.0</w:t>
            </w:r>
          </w:p>
        </w:tc>
      </w:tr>
      <w:tr w:rsidR="006810D1" w:rsidRPr="00873B6C" w14:paraId="1D01E858" w14:textId="77777777" w:rsidTr="009D14FB">
        <w:tc>
          <w:tcPr>
            <w:tcW w:w="800" w:type="dxa"/>
            <w:shd w:val="solid" w:color="FFFFFF" w:fill="auto"/>
          </w:tcPr>
          <w:p w14:paraId="29C30AA7" w14:textId="6D3B309D" w:rsidR="006810D1" w:rsidRPr="00873B6C" w:rsidRDefault="006810D1" w:rsidP="00F84AAF">
            <w:pPr>
              <w:pStyle w:val="TAC"/>
              <w:rPr>
                <w:sz w:val="16"/>
                <w:szCs w:val="16"/>
              </w:rPr>
            </w:pPr>
            <w:r w:rsidRPr="00873B6C">
              <w:rPr>
                <w:sz w:val="16"/>
                <w:szCs w:val="16"/>
              </w:rPr>
              <w:t>2022-03</w:t>
            </w:r>
          </w:p>
        </w:tc>
        <w:tc>
          <w:tcPr>
            <w:tcW w:w="800" w:type="dxa"/>
            <w:shd w:val="solid" w:color="FFFFFF" w:fill="auto"/>
          </w:tcPr>
          <w:p w14:paraId="3A7C6E0D" w14:textId="17739AFE" w:rsidR="006810D1" w:rsidRPr="00873B6C" w:rsidRDefault="006810D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296CA34" w14:textId="0DB66EE6" w:rsidR="006810D1" w:rsidRPr="00873B6C" w:rsidRDefault="006810D1" w:rsidP="00F84AAF">
            <w:pPr>
              <w:pStyle w:val="TAC"/>
              <w:rPr>
                <w:sz w:val="16"/>
                <w:szCs w:val="16"/>
              </w:rPr>
            </w:pPr>
            <w:r w:rsidRPr="00873B6C">
              <w:rPr>
                <w:sz w:val="16"/>
                <w:szCs w:val="16"/>
              </w:rPr>
              <w:t>SP-220048</w:t>
            </w:r>
          </w:p>
        </w:tc>
        <w:tc>
          <w:tcPr>
            <w:tcW w:w="567" w:type="dxa"/>
            <w:shd w:val="solid" w:color="FFFFFF" w:fill="auto"/>
          </w:tcPr>
          <w:p w14:paraId="7DD812CA" w14:textId="01ACD733" w:rsidR="006810D1" w:rsidRPr="00873B6C" w:rsidRDefault="006810D1" w:rsidP="00F84AAF">
            <w:pPr>
              <w:pStyle w:val="TAL"/>
              <w:rPr>
                <w:sz w:val="16"/>
                <w:szCs w:val="16"/>
              </w:rPr>
            </w:pPr>
            <w:r w:rsidRPr="00873B6C">
              <w:rPr>
                <w:sz w:val="16"/>
                <w:szCs w:val="16"/>
              </w:rPr>
              <w:t>3558</w:t>
            </w:r>
          </w:p>
        </w:tc>
        <w:tc>
          <w:tcPr>
            <w:tcW w:w="425" w:type="dxa"/>
            <w:shd w:val="solid" w:color="FFFFFF" w:fill="auto"/>
          </w:tcPr>
          <w:p w14:paraId="6555D0C8" w14:textId="4A558605" w:rsidR="006810D1" w:rsidRPr="00873B6C" w:rsidRDefault="006810D1" w:rsidP="00F84AAF">
            <w:pPr>
              <w:pStyle w:val="TAL"/>
              <w:rPr>
                <w:sz w:val="16"/>
                <w:szCs w:val="16"/>
              </w:rPr>
            </w:pPr>
            <w:r w:rsidRPr="00873B6C">
              <w:rPr>
                <w:sz w:val="16"/>
                <w:szCs w:val="16"/>
              </w:rPr>
              <w:t>1</w:t>
            </w:r>
          </w:p>
        </w:tc>
        <w:tc>
          <w:tcPr>
            <w:tcW w:w="425" w:type="dxa"/>
            <w:shd w:val="solid" w:color="FFFFFF" w:fill="auto"/>
          </w:tcPr>
          <w:p w14:paraId="28377D2C" w14:textId="711CCFF7" w:rsidR="006810D1" w:rsidRPr="00873B6C" w:rsidRDefault="006810D1" w:rsidP="00F84AAF">
            <w:pPr>
              <w:pStyle w:val="TAL"/>
              <w:rPr>
                <w:sz w:val="16"/>
                <w:szCs w:val="16"/>
              </w:rPr>
            </w:pPr>
            <w:r w:rsidRPr="00873B6C">
              <w:rPr>
                <w:sz w:val="16"/>
                <w:szCs w:val="16"/>
              </w:rPr>
              <w:t>A</w:t>
            </w:r>
          </w:p>
        </w:tc>
        <w:tc>
          <w:tcPr>
            <w:tcW w:w="4820" w:type="dxa"/>
            <w:shd w:val="solid" w:color="FFFFFF" w:fill="auto"/>
          </w:tcPr>
          <w:p w14:paraId="73C9C5C4" w14:textId="678537EE" w:rsidR="006810D1" w:rsidRPr="00873B6C" w:rsidRDefault="006810D1" w:rsidP="00F84AAF">
            <w:pPr>
              <w:pStyle w:val="TAL"/>
              <w:rPr>
                <w:sz w:val="16"/>
                <w:szCs w:val="16"/>
              </w:rPr>
            </w:pPr>
            <w:r w:rsidRPr="00873B6C">
              <w:rPr>
                <w:sz w:val="16"/>
                <w:szCs w:val="16"/>
              </w:rPr>
              <w:t xml:space="preserve">LLDP </w:t>
            </w:r>
            <w:r w:rsidR="009722D9" w:rsidRPr="00873B6C">
              <w:rPr>
                <w:sz w:val="16"/>
                <w:szCs w:val="16"/>
              </w:rPr>
              <w:t>neighbour</w:t>
            </w:r>
            <w:r w:rsidRPr="00873B6C">
              <w:rPr>
                <w:sz w:val="16"/>
                <w:szCs w:val="16"/>
              </w:rPr>
              <w:t xml:space="preserve"> discovery information fixes</w:t>
            </w:r>
          </w:p>
        </w:tc>
        <w:tc>
          <w:tcPr>
            <w:tcW w:w="708" w:type="dxa"/>
            <w:shd w:val="solid" w:color="FFFFFF" w:fill="auto"/>
          </w:tcPr>
          <w:p w14:paraId="1EB4E6AB" w14:textId="07598869" w:rsidR="006810D1" w:rsidRPr="00873B6C" w:rsidRDefault="006810D1" w:rsidP="00F84AAF">
            <w:pPr>
              <w:pStyle w:val="TAC"/>
              <w:rPr>
                <w:sz w:val="16"/>
                <w:szCs w:val="16"/>
              </w:rPr>
            </w:pPr>
            <w:r w:rsidRPr="00873B6C">
              <w:rPr>
                <w:sz w:val="16"/>
                <w:szCs w:val="16"/>
              </w:rPr>
              <w:t>17.4.0</w:t>
            </w:r>
          </w:p>
        </w:tc>
      </w:tr>
      <w:tr w:rsidR="000E5655" w:rsidRPr="00873B6C" w14:paraId="074AEDB7" w14:textId="77777777" w:rsidTr="009D14FB">
        <w:tc>
          <w:tcPr>
            <w:tcW w:w="800" w:type="dxa"/>
            <w:shd w:val="solid" w:color="FFFFFF" w:fill="auto"/>
          </w:tcPr>
          <w:p w14:paraId="3CE36345" w14:textId="608E4BC3" w:rsidR="000E5655" w:rsidRPr="00873B6C" w:rsidRDefault="000E5655" w:rsidP="00F84AAF">
            <w:pPr>
              <w:pStyle w:val="TAC"/>
              <w:rPr>
                <w:sz w:val="16"/>
                <w:szCs w:val="16"/>
              </w:rPr>
            </w:pPr>
            <w:r w:rsidRPr="00873B6C">
              <w:rPr>
                <w:sz w:val="16"/>
                <w:szCs w:val="16"/>
              </w:rPr>
              <w:t>2022-03</w:t>
            </w:r>
          </w:p>
        </w:tc>
        <w:tc>
          <w:tcPr>
            <w:tcW w:w="800" w:type="dxa"/>
            <w:shd w:val="solid" w:color="FFFFFF" w:fill="auto"/>
          </w:tcPr>
          <w:p w14:paraId="7A6428E0" w14:textId="315AF1E2" w:rsidR="000E5655" w:rsidRPr="00873B6C" w:rsidRDefault="000E565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F811F45" w14:textId="56CFFF9D" w:rsidR="000E5655" w:rsidRPr="00873B6C" w:rsidRDefault="000E5655" w:rsidP="00F84AAF">
            <w:pPr>
              <w:pStyle w:val="TAC"/>
              <w:rPr>
                <w:sz w:val="16"/>
                <w:szCs w:val="16"/>
              </w:rPr>
            </w:pPr>
            <w:r w:rsidRPr="00873B6C">
              <w:rPr>
                <w:sz w:val="16"/>
                <w:szCs w:val="16"/>
              </w:rPr>
              <w:t>SP-220057</w:t>
            </w:r>
          </w:p>
        </w:tc>
        <w:tc>
          <w:tcPr>
            <w:tcW w:w="567" w:type="dxa"/>
            <w:shd w:val="solid" w:color="FFFFFF" w:fill="auto"/>
          </w:tcPr>
          <w:p w14:paraId="47998AAF" w14:textId="09663E2C" w:rsidR="000E5655" w:rsidRPr="00873B6C" w:rsidRDefault="000E5655" w:rsidP="00F84AAF">
            <w:pPr>
              <w:pStyle w:val="TAL"/>
              <w:rPr>
                <w:sz w:val="16"/>
                <w:szCs w:val="16"/>
              </w:rPr>
            </w:pPr>
            <w:r w:rsidRPr="00873B6C">
              <w:rPr>
                <w:sz w:val="16"/>
                <w:szCs w:val="16"/>
              </w:rPr>
              <w:t>3559</w:t>
            </w:r>
          </w:p>
        </w:tc>
        <w:tc>
          <w:tcPr>
            <w:tcW w:w="425" w:type="dxa"/>
            <w:shd w:val="solid" w:color="FFFFFF" w:fill="auto"/>
          </w:tcPr>
          <w:p w14:paraId="686A35B6" w14:textId="6BA600AD" w:rsidR="000E5655" w:rsidRPr="00873B6C" w:rsidRDefault="000E5655" w:rsidP="00F84AAF">
            <w:pPr>
              <w:pStyle w:val="TAL"/>
              <w:rPr>
                <w:sz w:val="16"/>
                <w:szCs w:val="16"/>
              </w:rPr>
            </w:pPr>
            <w:r w:rsidRPr="00873B6C">
              <w:rPr>
                <w:sz w:val="16"/>
                <w:szCs w:val="16"/>
              </w:rPr>
              <w:t>1</w:t>
            </w:r>
          </w:p>
        </w:tc>
        <w:tc>
          <w:tcPr>
            <w:tcW w:w="425" w:type="dxa"/>
            <w:shd w:val="solid" w:color="FFFFFF" w:fill="auto"/>
          </w:tcPr>
          <w:p w14:paraId="4D9B74A9" w14:textId="521024F8" w:rsidR="000E5655" w:rsidRPr="00873B6C" w:rsidRDefault="000E5655" w:rsidP="00F84AAF">
            <w:pPr>
              <w:pStyle w:val="TAL"/>
              <w:rPr>
                <w:sz w:val="16"/>
                <w:szCs w:val="16"/>
              </w:rPr>
            </w:pPr>
            <w:r w:rsidRPr="00873B6C">
              <w:rPr>
                <w:sz w:val="16"/>
                <w:szCs w:val="16"/>
              </w:rPr>
              <w:t>F</w:t>
            </w:r>
          </w:p>
        </w:tc>
        <w:tc>
          <w:tcPr>
            <w:tcW w:w="4820" w:type="dxa"/>
            <w:shd w:val="solid" w:color="FFFFFF" w:fill="auto"/>
          </w:tcPr>
          <w:p w14:paraId="5FD766A9" w14:textId="205B42FD" w:rsidR="000E5655" w:rsidRPr="00873B6C" w:rsidRDefault="000E5655" w:rsidP="00F84AAF">
            <w:pPr>
              <w:pStyle w:val="TAL"/>
              <w:rPr>
                <w:sz w:val="16"/>
                <w:szCs w:val="16"/>
              </w:rPr>
            </w:pPr>
            <w:r w:rsidRPr="00873B6C">
              <w:rPr>
                <w:sz w:val="16"/>
                <w:szCs w:val="16"/>
              </w:rPr>
              <w:t>Clarification of ProSe support in SNPN</w:t>
            </w:r>
          </w:p>
        </w:tc>
        <w:tc>
          <w:tcPr>
            <w:tcW w:w="708" w:type="dxa"/>
            <w:shd w:val="solid" w:color="FFFFFF" w:fill="auto"/>
          </w:tcPr>
          <w:p w14:paraId="658A577B" w14:textId="28A4CEAF" w:rsidR="000E5655" w:rsidRPr="00873B6C" w:rsidRDefault="000E5655" w:rsidP="00F84AAF">
            <w:pPr>
              <w:pStyle w:val="TAC"/>
              <w:rPr>
                <w:sz w:val="16"/>
                <w:szCs w:val="16"/>
              </w:rPr>
            </w:pPr>
            <w:r w:rsidRPr="00873B6C">
              <w:rPr>
                <w:sz w:val="16"/>
                <w:szCs w:val="16"/>
              </w:rPr>
              <w:t>17.4.0</w:t>
            </w:r>
          </w:p>
        </w:tc>
      </w:tr>
      <w:tr w:rsidR="000E5655" w:rsidRPr="00873B6C" w14:paraId="635A075B" w14:textId="77777777" w:rsidTr="009D14FB">
        <w:tc>
          <w:tcPr>
            <w:tcW w:w="800" w:type="dxa"/>
            <w:shd w:val="solid" w:color="FFFFFF" w:fill="auto"/>
          </w:tcPr>
          <w:p w14:paraId="092FF936" w14:textId="0FD90D12" w:rsidR="000E5655" w:rsidRPr="00873B6C" w:rsidRDefault="000E5655" w:rsidP="00F84AAF">
            <w:pPr>
              <w:pStyle w:val="TAC"/>
              <w:rPr>
                <w:sz w:val="16"/>
                <w:szCs w:val="16"/>
              </w:rPr>
            </w:pPr>
            <w:r w:rsidRPr="00873B6C">
              <w:rPr>
                <w:sz w:val="16"/>
                <w:szCs w:val="16"/>
              </w:rPr>
              <w:t>2022-03</w:t>
            </w:r>
          </w:p>
        </w:tc>
        <w:tc>
          <w:tcPr>
            <w:tcW w:w="800" w:type="dxa"/>
            <w:shd w:val="solid" w:color="FFFFFF" w:fill="auto"/>
          </w:tcPr>
          <w:p w14:paraId="107837B4" w14:textId="1D8524C7" w:rsidR="000E5655" w:rsidRPr="00873B6C" w:rsidRDefault="000E565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EFDB8DF" w14:textId="0AA4A3A7" w:rsidR="000E5655" w:rsidRPr="00873B6C" w:rsidRDefault="000E5655" w:rsidP="00F84AAF">
            <w:pPr>
              <w:pStyle w:val="TAC"/>
              <w:rPr>
                <w:sz w:val="16"/>
                <w:szCs w:val="16"/>
              </w:rPr>
            </w:pPr>
            <w:r w:rsidRPr="00873B6C">
              <w:rPr>
                <w:sz w:val="16"/>
                <w:szCs w:val="16"/>
              </w:rPr>
              <w:t>SP-220062</w:t>
            </w:r>
          </w:p>
        </w:tc>
        <w:tc>
          <w:tcPr>
            <w:tcW w:w="567" w:type="dxa"/>
            <w:shd w:val="solid" w:color="FFFFFF" w:fill="auto"/>
          </w:tcPr>
          <w:p w14:paraId="16AA43F7" w14:textId="2E32BC20" w:rsidR="000E5655" w:rsidRPr="00873B6C" w:rsidRDefault="000E5655" w:rsidP="00F84AAF">
            <w:pPr>
              <w:pStyle w:val="TAL"/>
              <w:rPr>
                <w:sz w:val="16"/>
                <w:szCs w:val="16"/>
              </w:rPr>
            </w:pPr>
            <w:r w:rsidRPr="00873B6C">
              <w:rPr>
                <w:sz w:val="16"/>
                <w:szCs w:val="16"/>
              </w:rPr>
              <w:t>3563</w:t>
            </w:r>
          </w:p>
        </w:tc>
        <w:tc>
          <w:tcPr>
            <w:tcW w:w="425" w:type="dxa"/>
            <w:shd w:val="solid" w:color="FFFFFF" w:fill="auto"/>
          </w:tcPr>
          <w:p w14:paraId="1CFE2570" w14:textId="0A8DD79A" w:rsidR="000E5655" w:rsidRPr="00873B6C" w:rsidRDefault="000E5655" w:rsidP="00F84AAF">
            <w:pPr>
              <w:pStyle w:val="TAL"/>
              <w:rPr>
                <w:sz w:val="16"/>
                <w:szCs w:val="16"/>
              </w:rPr>
            </w:pPr>
            <w:r w:rsidRPr="00873B6C">
              <w:rPr>
                <w:sz w:val="16"/>
                <w:szCs w:val="16"/>
              </w:rPr>
              <w:t>1</w:t>
            </w:r>
          </w:p>
        </w:tc>
        <w:tc>
          <w:tcPr>
            <w:tcW w:w="425" w:type="dxa"/>
            <w:shd w:val="solid" w:color="FFFFFF" w:fill="auto"/>
          </w:tcPr>
          <w:p w14:paraId="5CEEF0D5" w14:textId="2EAE32B4" w:rsidR="000E5655" w:rsidRPr="00873B6C" w:rsidRDefault="000E5655" w:rsidP="00F84AAF">
            <w:pPr>
              <w:pStyle w:val="TAL"/>
              <w:rPr>
                <w:sz w:val="16"/>
                <w:szCs w:val="16"/>
              </w:rPr>
            </w:pPr>
            <w:r w:rsidRPr="00873B6C">
              <w:rPr>
                <w:sz w:val="16"/>
                <w:szCs w:val="16"/>
              </w:rPr>
              <w:t>F</w:t>
            </w:r>
          </w:p>
        </w:tc>
        <w:tc>
          <w:tcPr>
            <w:tcW w:w="4820" w:type="dxa"/>
            <w:shd w:val="solid" w:color="FFFFFF" w:fill="auto"/>
          </w:tcPr>
          <w:p w14:paraId="559A0F97" w14:textId="702A2224" w:rsidR="000E5655" w:rsidRPr="00873B6C" w:rsidRDefault="000E5655" w:rsidP="00F84AAF">
            <w:pPr>
              <w:pStyle w:val="TAL"/>
              <w:rPr>
                <w:sz w:val="16"/>
                <w:szCs w:val="16"/>
              </w:rPr>
            </w:pPr>
            <w:r w:rsidRPr="00873B6C">
              <w:rPr>
                <w:sz w:val="16"/>
                <w:szCs w:val="16"/>
              </w:rPr>
              <w:t>Alignment with use of Disaster Roaming Enabled Configuration</w:t>
            </w:r>
          </w:p>
        </w:tc>
        <w:tc>
          <w:tcPr>
            <w:tcW w:w="708" w:type="dxa"/>
            <w:shd w:val="solid" w:color="FFFFFF" w:fill="auto"/>
          </w:tcPr>
          <w:p w14:paraId="1255097F" w14:textId="1D85785E" w:rsidR="000E5655" w:rsidRPr="00873B6C" w:rsidRDefault="000E5655" w:rsidP="00F84AAF">
            <w:pPr>
              <w:pStyle w:val="TAC"/>
              <w:rPr>
                <w:sz w:val="16"/>
                <w:szCs w:val="16"/>
              </w:rPr>
            </w:pPr>
            <w:r w:rsidRPr="00873B6C">
              <w:rPr>
                <w:sz w:val="16"/>
                <w:szCs w:val="16"/>
              </w:rPr>
              <w:t>17.4.0</w:t>
            </w:r>
          </w:p>
        </w:tc>
      </w:tr>
      <w:tr w:rsidR="00A84CD4" w:rsidRPr="00873B6C" w14:paraId="20FE7759" w14:textId="77777777" w:rsidTr="009D14FB">
        <w:tc>
          <w:tcPr>
            <w:tcW w:w="800" w:type="dxa"/>
            <w:shd w:val="solid" w:color="FFFFFF" w:fill="auto"/>
          </w:tcPr>
          <w:p w14:paraId="0FB76689" w14:textId="5D356028"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09E55337" w14:textId="201019E0"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DB6165C" w14:textId="79C87C81" w:rsidR="00A84CD4" w:rsidRPr="00873B6C" w:rsidRDefault="00A84CD4" w:rsidP="00F84AAF">
            <w:pPr>
              <w:pStyle w:val="TAC"/>
              <w:rPr>
                <w:sz w:val="16"/>
                <w:szCs w:val="16"/>
              </w:rPr>
            </w:pPr>
            <w:r w:rsidRPr="00873B6C">
              <w:rPr>
                <w:sz w:val="16"/>
                <w:szCs w:val="16"/>
              </w:rPr>
              <w:t>SP-220057</w:t>
            </w:r>
          </w:p>
        </w:tc>
        <w:tc>
          <w:tcPr>
            <w:tcW w:w="567" w:type="dxa"/>
            <w:shd w:val="solid" w:color="FFFFFF" w:fill="auto"/>
          </w:tcPr>
          <w:p w14:paraId="0D8495CD" w14:textId="3EA52E2F" w:rsidR="00A84CD4" w:rsidRPr="00873B6C" w:rsidRDefault="00A84CD4" w:rsidP="00F84AAF">
            <w:pPr>
              <w:pStyle w:val="TAL"/>
              <w:rPr>
                <w:sz w:val="16"/>
                <w:szCs w:val="16"/>
              </w:rPr>
            </w:pPr>
            <w:r w:rsidRPr="00873B6C">
              <w:rPr>
                <w:sz w:val="16"/>
                <w:szCs w:val="16"/>
              </w:rPr>
              <w:t>3567</w:t>
            </w:r>
          </w:p>
        </w:tc>
        <w:tc>
          <w:tcPr>
            <w:tcW w:w="425" w:type="dxa"/>
            <w:shd w:val="solid" w:color="FFFFFF" w:fill="auto"/>
          </w:tcPr>
          <w:p w14:paraId="32738CCD" w14:textId="5AFFA822"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15ED5836" w14:textId="278C75D7" w:rsidR="00A84CD4" w:rsidRPr="00873B6C" w:rsidRDefault="00A84CD4" w:rsidP="00F84AAF">
            <w:pPr>
              <w:pStyle w:val="TAL"/>
              <w:rPr>
                <w:sz w:val="16"/>
                <w:szCs w:val="16"/>
              </w:rPr>
            </w:pPr>
            <w:r w:rsidRPr="00873B6C">
              <w:rPr>
                <w:sz w:val="16"/>
                <w:szCs w:val="16"/>
              </w:rPr>
              <w:t>F</w:t>
            </w:r>
          </w:p>
        </w:tc>
        <w:tc>
          <w:tcPr>
            <w:tcW w:w="4820" w:type="dxa"/>
            <w:shd w:val="solid" w:color="FFFFFF" w:fill="auto"/>
          </w:tcPr>
          <w:p w14:paraId="4D5DCAE3" w14:textId="342F9190" w:rsidR="00A84CD4" w:rsidRPr="00873B6C" w:rsidRDefault="00A84CD4" w:rsidP="00F84AAF">
            <w:pPr>
              <w:pStyle w:val="TAL"/>
              <w:rPr>
                <w:sz w:val="16"/>
                <w:szCs w:val="16"/>
              </w:rPr>
            </w:pPr>
            <w:r w:rsidRPr="00873B6C">
              <w:rPr>
                <w:sz w:val="16"/>
                <w:szCs w:val="16"/>
              </w:rPr>
              <w:t>Clean-up the clause on UP onboarding via ON-SNPN</w:t>
            </w:r>
          </w:p>
        </w:tc>
        <w:tc>
          <w:tcPr>
            <w:tcW w:w="708" w:type="dxa"/>
            <w:shd w:val="solid" w:color="FFFFFF" w:fill="auto"/>
          </w:tcPr>
          <w:p w14:paraId="223D33F1" w14:textId="2C5652BB" w:rsidR="00A84CD4" w:rsidRPr="00873B6C" w:rsidRDefault="00A84CD4" w:rsidP="00F84AAF">
            <w:pPr>
              <w:pStyle w:val="TAC"/>
              <w:rPr>
                <w:sz w:val="16"/>
                <w:szCs w:val="16"/>
              </w:rPr>
            </w:pPr>
            <w:r w:rsidRPr="00873B6C">
              <w:rPr>
                <w:sz w:val="16"/>
                <w:szCs w:val="16"/>
              </w:rPr>
              <w:t>17.4.0</w:t>
            </w:r>
          </w:p>
        </w:tc>
      </w:tr>
      <w:tr w:rsidR="00A84CD4" w:rsidRPr="00873B6C" w14:paraId="7352E40F" w14:textId="77777777" w:rsidTr="009D14FB">
        <w:tc>
          <w:tcPr>
            <w:tcW w:w="800" w:type="dxa"/>
            <w:shd w:val="solid" w:color="FFFFFF" w:fill="auto"/>
          </w:tcPr>
          <w:p w14:paraId="674D3F38" w14:textId="4E03F9E0"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197F2EE6" w14:textId="1365A13E"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F36E214" w14:textId="3A889305" w:rsidR="00A84CD4" w:rsidRPr="00873B6C" w:rsidRDefault="00A84CD4" w:rsidP="00F84AAF">
            <w:pPr>
              <w:pStyle w:val="TAC"/>
              <w:rPr>
                <w:sz w:val="16"/>
                <w:szCs w:val="16"/>
              </w:rPr>
            </w:pPr>
            <w:r w:rsidRPr="00873B6C">
              <w:rPr>
                <w:sz w:val="16"/>
                <w:szCs w:val="16"/>
              </w:rPr>
              <w:t>SP-220047</w:t>
            </w:r>
          </w:p>
        </w:tc>
        <w:tc>
          <w:tcPr>
            <w:tcW w:w="567" w:type="dxa"/>
            <w:shd w:val="solid" w:color="FFFFFF" w:fill="auto"/>
          </w:tcPr>
          <w:p w14:paraId="378BFFC5" w14:textId="0D33271C" w:rsidR="00A84CD4" w:rsidRPr="00873B6C" w:rsidRDefault="00A84CD4" w:rsidP="00F84AAF">
            <w:pPr>
              <w:pStyle w:val="TAL"/>
              <w:rPr>
                <w:sz w:val="16"/>
                <w:szCs w:val="16"/>
              </w:rPr>
            </w:pPr>
            <w:r w:rsidRPr="00873B6C">
              <w:rPr>
                <w:sz w:val="16"/>
                <w:szCs w:val="16"/>
              </w:rPr>
              <w:t>3568</w:t>
            </w:r>
          </w:p>
        </w:tc>
        <w:tc>
          <w:tcPr>
            <w:tcW w:w="425" w:type="dxa"/>
            <w:shd w:val="solid" w:color="FFFFFF" w:fill="auto"/>
          </w:tcPr>
          <w:p w14:paraId="10DFEEA1" w14:textId="2F605DC4"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79D24398" w14:textId="77AEB75B" w:rsidR="00A84CD4" w:rsidRPr="00873B6C" w:rsidRDefault="00A84CD4" w:rsidP="00F84AAF">
            <w:pPr>
              <w:pStyle w:val="TAL"/>
              <w:rPr>
                <w:sz w:val="16"/>
                <w:szCs w:val="16"/>
              </w:rPr>
            </w:pPr>
            <w:r w:rsidRPr="00873B6C">
              <w:rPr>
                <w:sz w:val="16"/>
                <w:szCs w:val="16"/>
              </w:rPr>
              <w:t>A</w:t>
            </w:r>
          </w:p>
        </w:tc>
        <w:tc>
          <w:tcPr>
            <w:tcW w:w="4820" w:type="dxa"/>
            <w:shd w:val="solid" w:color="FFFFFF" w:fill="auto"/>
          </w:tcPr>
          <w:p w14:paraId="12780566" w14:textId="649B14F7" w:rsidR="00A84CD4" w:rsidRPr="00873B6C" w:rsidRDefault="00A84CD4" w:rsidP="00F84AAF">
            <w:pPr>
              <w:pStyle w:val="TAL"/>
              <w:rPr>
                <w:sz w:val="16"/>
                <w:szCs w:val="16"/>
              </w:rPr>
            </w:pPr>
            <w:r w:rsidRPr="00873B6C">
              <w:rPr>
                <w:sz w:val="16"/>
                <w:szCs w:val="16"/>
              </w:rPr>
              <w:t>Handling of untagged frames in TSN scenarios</w:t>
            </w:r>
          </w:p>
        </w:tc>
        <w:tc>
          <w:tcPr>
            <w:tcW w:w="708" w:type="dxa"/>
            <w:shd w:val="solid" w:color="FFFFFF" w:fill="auto"/>
          </w:tcPr>
          <w:p w14:paraId="2173D22E" w14:textId="4877B154" w:rsidR="00A84CD4" w:rsidRPr="00873B6C" w:rsidRDefault="00A84CD4" w:rsidP="00F84AAF">
            <w:pPr>
              <w:pStyle w:val="TAC"/>
              <w:rPr>
                <w:sz w:val="16"/>
                <w:szCs w:val="16"/>
              </w:rPr>
            </w:pPr>
            <w:r w:rsidRPr="00873B6C">
              <w:rPr>
                <w:sz w:val="16"/>
                <w:szCs w:val="16"/>
              </w:rPr>
              <w:t>17.4.0</w:t>
            </w:r>
          </w:p>
        </w:tc>
      </w:tr>
      <w:tr w:rsidR="00A84CD4" w:rsidRPr="00873B6C" w14:paraId="374FCEBB" w14:textId="77777777" w:rsidTr="009D14FB">
        <w:tc>
          <w:tcPr>
            <w:tcW w:w="800" w:type="dxa"/>
            <w:shd w:val="solid" w:color="FFFFFF" w:fill="auto"/>
          </w:tcPr>
          <w:p w14:paraId="5B248D18" w14:textId="0BBAA06C"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2445C52F" w14:textId="1AD6191A"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3AA7265" w14:textId="23D294E5" w:rsidR="00A84CD4" w:rsidRPr="00873B6C" w:rsidRDefault="00A84CD4" w:rsidP="00F84AAF">
            <w:pPr>
              <w:pStyle w:val="TAC"/>
              <w:rPr>
                <w:sz w:val="16"/>
                <w:szCs w:val="16"/>
              </w:rPr>
            </w:pPr>
            <w:r w:rsidRPr="00873B6C">
              <w:rPr>
                <w:sz w:val="16"/>
                <w:szCs w:val="16"/>
              </w:rPr>
              <w:t>SP-220047</w:t>
            </w:r>
          </w:p>
        </w:tc>
        <w:tc>
          <w:tcPr>
            <w:tcW w:w="567" w:type="dxa"/>
            <w:shd w:val="solid" w:color="FFFFFF" w:fill="auto"/>
          </w:tcPr>
          <w:p w14:paraId="5CF349C2" w14:textId="64405191" w:rsidR="00A84CD4" w:rsidRPr="00873B6C" w:rsidRDefault="00A84CD4" w:rsidP="00F84AAF">
            <w:pPr>
              <w:pStyle w:val="TAL"/>
              <w:rPr>
                <w:sz w:val="16"/>
                <w:szCs w:val="16"/>
              </w:rPr>
            </w:pPr>
            <w:r w:rsidRPr="00873B6C">
              <w:rPr>
                <w:sz w:val="16"/>
                <w:szCs w:val="16"/>
              </w:rPr>
              <w:t>3570</w:t>
            </w:r>
          </w:p>
        </w:tc>
        <w:tc>
          <w:tcPr>
            <w:tcW w:w="425" w:type="dxa"/>
            <w:shd w:val="solid" w:color="FFFFFF" w:fill="auto"/>
          </w:tcPr>
          <w:p w14:paraId="7C6172BC" w14:textId="3A2E740A"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417B9FA4" w14:textId="15BCA73D" w:rsidR="00A84CD4" w:rsidRPr="00873B6C" w:rsidRDefault="00A84CD4" w:rsidP="00F84AAF">
            <w:pPr>
              <w:pStyle w:val="TAL"/>
              <w:rPr>
                <w:sz w:val="16"/>
                <w:szCs w:val="16"/>
              </w:rPr>
            </w:pPr>
            <w:r w:rsidRPr="00873B6C">
              <w:rPr>
                <w:sz w:val="16"/>
                <w:szCs w:val="16"/>
              </w:rPr>
              <w:t>A</w:t>
            </w:r>
          </w:p>
        </w:tc>
        <w:tc>
          <w:tcPr>
            <w:tcW w:w="4820" w:type="dxa"/>
            <w:shd w:val="solid" w:color="FFFFFF" w:fill="auto"/>
          </w:tcPr>
          <w:p w14:paraId="3EA82E78" w14:textId="203D8657" w:rsidR="00A84CD4" w:rsidRPr="00873B6C" w:rsidRDefault="00A84CD4" w:rsidP="00F84AAF">
            <w:pPr>
              <w:pStyle w:val="TAL"/>
              <w:rPr>
                <w:sz w:val="16"/>
                <w:szCs w:val="16"/>
              </w:rPr>
            </w:pPr>
            <w:r w:rsidRPr="00873B6C">
              <w:rPr>
                <w:sz w:val="16"/>
                <w:szCs w:val="16"/>
              </w:rPr>
              <w:t>Add missing SupportedListMax for gate control information in PMIC and UMIC</w:t>
            </w:r>
          </w:p>
        </w:tc>
        <w:tc>
          <w:tcPr>
            <w:tcW w:w="708" w:type="dxa"/>
            <w:shd w:val="solid" w:color="FFFFFF" w:fill="auto"/>
          </w:tcPr>
          <w:p w14:paraId="550B8DE8" w14:textId="3683BC90" w:rsidR="00A84CD4" w:rsidRPr="00873B6C" w:rsidRDefault="00A84CD4" w:rsidP="00F84AAF">
            <w:pPr>
              <w:pStyle w:val="TAC"/>
              <w:rPr>
                <w:sz w:val="16"/>
                <w:szCs w:val="16"/>
              </w:rPr>
            </w:pPr>
            <w:r w:rsidRPr="00873B6C">
              <w:rPr>
                <w:sz w:val="16"/>
                <w:szCs w:val="16"/>
              </w:rPr>
              <w:t>17.4.0</w:t>
            </w:r>
          </w:p>
        </w:tc>
      </w:tr>
      <w:tr w:rsidR="00A84CD4" w:rsidRPr="00873B6C" w14:paraId="5DBAA707" w14:textId="77777777" w:rsidTr="009D14FB">
        <w:tc>
          <w:tcPr>
            <w:tcW w:w="800" w:type="dxa"/>
            <w:shd w:val="solid" w:color="FFFFFF" w:fill="auto"/>
          </w:tcPr>
          <w:p w14:paraId="0ADBDBCD" w14:textId="5CA695CD"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2F8BF40E" w14:textId="310280A6"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71E99D9" w14:textId="6E40DBD1" w:rsidR="00A84CD4" w:rsidRPr="00873B6C" w:rsidRDefault="00A84CD4" w:rsidP="00F84AAF">
            <w:pPr>
              <w:pStyle w:val="TAC"/>
              <w:rPr>
                <w:sz w:val="16"/>
                <w:szCs w:val="16"/>
              </w:rPr>
            </w:pPr>
            <w:r w:rsidRPr="00873B6C">
              <w:rPr>
                <w:sz w:val="16"/>
                <w:szCs w:val="16"/>
              </w:rPr>
              <w:t>SP-220058</w:t>
            </w:r>
          </w:p>
        </w:tc>
        <w:tc>
          <w:tcPr>
            <w:tcW w:w="567" w:type="dxa"/>
            <w:shd w:val="solid" w:color="FFFFFF" w:fill="auto"/>
          </w:tcPr>
          <w:p w14:paraId="5C00EEB9" w14:textId="4A8A7989" w:rsidR="00A84CD4" w:rsidRPr="00873B6C" w:rsidRDefault="00A84CD4" w:rsidP="00F84AAF">
            <w:pPr>
              <w:pStyle w:val="TAL"/>
              <w:rPr>
                <w:sz w:val="16"/>
                <w:szCs w:val="16"/>
              </w:rPr>
            </w:pPr>
            <w:r w:rsidRPr="00873B6C">
              <w:rPr>
                <w:sz w:val="16"/>
                <w:szCs w:val="16"/>
              </w:rPr>
              <w:t>3571</w:t>
            </w:r>
          </w:p>
        </w:tc>
        <w:tc>
          <w:tcPr>
            <w:tcW w:w="425" w:type="dxa"/>
            <w:shd w:val="solid" w:color="FFFFFF" w:fill="auto"/>
          </w:tcPr>
          <w:p w14:paraId="2AD327B1" w14:textId="72C6FB34"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01A68E24" w14:textId="525B7BB0" w:rsidR="00A84CD4" w:rsidRPr="00873B6C" w:rsidRDefault="00A84CD4" w:rsidP="00F84AAF">
            <w:pPr>
              <w:pStyle w:val="TAL"/>
              <w:rPr>
                <w:sz w:val="16"/>
                <w:szCs w:val="16"/>
              </w:rPr>
            </w:pPr>
            <w:r w:rsidRPr="00873B6C">
              <w:rPr>
                <w:sz w:val="16"/>
                <w:szCs w:val="16"/>
              </w:rPr>
              <w:t>F</w:t>
            </w:r>
          </w:p>
        </w:tc>
        <w:tc>
          <w:tcPr>
            <w:tcW w:w="4820" w:type="dxa"/>
            <w:shd w:val="solid" w:color="FFFFFF" w:fill="auto"/>
          </w:tcPr>
          <w:p w14:paraId="6DA7B093" w14:textId="4688292D" w:rsidR="00A84CD4" w:rsidRPr="00873B6C" w:rsidRDefault="00A84CD4" w:rsidP="00F84AAF">
            <w:pPr>
              <w:pStyle w:val="TAL"/>
              <w:rPr>
                <w:sz w:val="16"/>
                <w:szCs w:val="16"/>
              </w:rPr>
            </w:pPr>
            <w:r w:rsidRPr="00873B6C">
              <w:rPr>
                <w:sz w:val="16"/>
                <w:szCs w:val="16"/>
              </w:rPr>
              <w:t>Clarification on support of multiple NSACFs</w:t>
            </w:r>
          </w:p>
        </w:tc>
        <w:tc>
          <w:tcPr>
            <w:tcW w:w="708" w:type="dxa"/>
            <w:shd w:val="solid" w:color="FFFFFF" w:fill="auto"/>
          </w:tcPr>
          <w:p w14:paraId="552DEBC4" w14:textId="0BEEE3AC" w:rsidR="00A84CD4" w:rsidRPr="00873B6C" w:rsidRDefault="00A84CD4" w:rsidP="00F84AAF">
            <w:pPr>
              <w:pStyle w:val="TAC"/>
              <w:rPr>
                <w:sz w:val="16"/>
                <w:szCs w:val="16"/>
              </w:rPr>
            </w:pPr>
            <w:r w:rsidRPr="00873B6C">
              <w:rPr>
                <w:sz w:val="16"/>
                <w:szCs w:val="16"/>
              </w:rPr>
              <w:t>17.4.0</w:t>
            </w:r>
          </w:p>
        </w:tc>
      </w:tr>
      <w:tr w:rsidR="00A84CD4" w:rsidRPr="00873B6C" w14:paraId="48D78060" w14:textId="77777777" w:rsidTr="009D14FB">
        <w:tc>
          <w:tcPr>
            <w:tcW w:w="800" w:type="dxa"/>
            <w:shd w:val="solid" w:color="FFFFFF" w:fill="auto"/>
          </w:tcPr>
          <w:p w14:paraId="6292E0AC" w14:textId="0E64C350"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37C20E43" w14:textId="6238CD60"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AA9E9C5" w14:textId="0BC1F252" w:rsidR="00A84CD4" w:rsidRPr="00873B6C" w:rsidRDefault="00A84CD4" w:rsidP="00F84AAF">
            <w:pPr>
              <w:pStyle w:val="TAC"/>
              <w:rPr>
                <w:sz w:val="16"/>
                <w:szCs w:val="16"/>
              </w:rPr>
            </w:pPr>
            <w:r w:rsidRPr="00873B6C">
              <w:rPr>
                <w:sz w:val="16"/>
                <w:szCs w:val="16"/>
              </w:rPr>
              <w:t>SP-220066</w:t>
            </w:r>
          </w:p>
        </w:tc>
        <w:tc>
          <w:tcPr>
            <w:tcW w:w="567" w:type="dxa"/>
            <w:shd w:val="solid" w:color="FFFFFF" w:fill="auto"/>
          </w:tcPr>
          <w:p w14:paraId="537A04B4" w14:textId="1F2DD9BA" w:rsidR="00A84CD4" w:rsidRPr="00873B6C" w:rsidRDefault="00A84CD4" w:rsidP="00F84AAF">
            <w:pPr>
              <w:pStyle w:val="TAL"/>
              <w:rPr>
                <w:sz w:val="16"/>
                <w:szCs w:val="16"/>
              </w:rPr>
            </w:pPr>
            <w:r w:rsidRPr="00873B6C">
              <w:rPr>
                <w:sz w:val="16"/>
                <w:szCs w:val="16"/>
              </w:rPr>
              <w:t>3577</w:t>
            </w:r>
          </w:p>
        </w:tc>
        <w:tc>
          <w:tcPr>
            <w:tcW w:w="425" w:type="dxa"/>
            <w:shd w:val="solid" w:color="FFFFFF" w:fill="auto"/>
          </w:tcPr>
          <w:p w14:paraId="0B135AF0" w14:textId="3A64FF70"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00947219" w14:textId="02AE9E2E" w:rsidR="00A84CD4" w:rsidRPr="00873B6C" w:rsidRDefault="00A84CD4" w:rsidP="00F84AAF">
            <w:pPr>
              <w:pStyle w:val="TAL"/>
              <w:rPr>
                <w:sz w:val="16"/>
                <w:szCs w:val="16"/>
              </w:rPr>
            </w:pPr>
            <w:r w:rsidRPr="00873B6C">
              <w:rPr>
                <w:sz w:val="16"/>
                <w:szCs w:val="16"/>
              </w:rPr>
              <w:t>F</w:t>
            </w:r>
          </w:p>
        </w:tc>
        <w:tc>
          <w:tcPr>
            <w:tcW w:w="4820" w:type="dxa"/>
            <w:shd w:val="solid" w:color="FFFFFF" w:fill="auto"/>
          </w:tcPr>
          <w:p w14:paraId="59E9D271" w14:textId="413A6C58" w:rsidR="00A84CD4" w:rsidRPr="00873B6C" w:rsidRDefault="00A84CD4" w:rsidP="00F84AAF">
            <w:pPr>
              <w:pStyle w:val="TAL"/>
              <w:rPr>
                <w:sz w:val="16"/>
                <w:szCs w:val="16"/>
              </w:rPr>
            </w:pPr>
            <w:r w:rsidRPr="00873B6C">
              <w:rPr>
                <w:sz w:val="16"/>
                <w:szCs w:val="16"/>
              </w:rPr>
              <w:t>Completing description of NF profile</w:t>
            </w:r>
          </w:p>
        </w:tc>
        <w:tc>
          <w:tcPr>
            <w:tcW w:w="708" w:type="dxa"/>
            <w:shd w:val="solid" w:color="FFFFFF" w:fill="auto"/>
          </w:tcPr>
          <w:p w14:paraId="7A3B1D14" w14:textId="1B3333B6" w:rsidR="00A84CD4" w:rsidRPr="00873B6C" w:rsidRDefault="00A84CD4" w:rsidP="00F84AAF">
            <w:pPr>
              <w:pStyle w:val="TAC"/>
              <w:rPr>
                <w:sz w:val="16"/>
                <w:szCs w:val="16"/>
              </w:rPr>
            </w:pPr>
            <w:r w:rsidRPr="00873B6C">
              <w:rPr>
                <w:sz w:val="16"/>
                <w:szCs w:val="16"/>
              </w:rPr>
              <w:t>17.4.0</w:t>
            </w:r>
          </w:p>
        </w:tc>
      </w:tr>
      <w:tr w:rsidR="00246EB9" w:rsidRPr="00873B6C" w14:paraId="0FA77C2C" w14:textId="77777777" w:rsidTr="009D14FB">
        <w:tc>
          <w:tcPr>
            <w:tcW w:w="800" w:type="dxa"/>
            <w:shd w:val="solid" w:color="FFFFFF" w:fill="auto"/>
          </w:tcPr>
          <w:p w14:paraId="53275186" w14:textId="27536579" w:rsidR="00246EB9" w:rsidRPr="00873B6C" w:rsidRDefault="00246EB9" w:rsidP="00F84AAF">
            <w:pPr>
              <w:pStyle w:val="TAC"/>
              <w:rPr>
                <w:sz w:val="16"/>
                <w:szCs w:val="16"/>
              </w:rPr>
            </w:pPr>
            <w:r w:rsidRPr="00873B6C">
              <w:rPr>
                <w:sz w:val="16"/>
                <w:szCs w:val="16"/>
              </w:rPr>
              <w:t>2022-03</w:t>
            </w:r>
          </w:p>
        </w:tc>
        <w:tc>
          <w:tcPr>
            <w:tcW w:w="800" w:type="dxa"/>
            <w:shd w:val="solid" w:color="FFFFFF" w:fill="auto"/>
          </w:tcPr>
          <w:p w14:paraId="266F7020" w14:textId="009EF6E1" w:rsidR="00246EB9" w:rsidRPr="00873B6C" w:rsidRDefault="00246EB9"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C2D4B6D" w14:textId="0B3557A1" w:rsidR="00246EB9" w:rsidRPr="00873B6C" w:rsidRDefault="00246EB9" w:rsidP="00F84AAF">
            <w:pPr>
              <w:pStyle w:val="TAC"/>
              <w:rPr>
                <w:sz w:val="16"/>
                <w:szCs w:val="16"/>
              </w:rPr>
            </w:pPr>
            <w:r w:rsidRPr="00873B6C">
              <w:rPr>
                <w:sz w:val="16"/>
                <w:szCs w:val="16"/>
              </w:rPr>
              <w:t>SP-220066</w:t>
            </w:r>
          </w:p>
        </w:tc>
        <w:tc>
          <w:tcPr>
            <w:tcW w:w="567" w:type="dxa"/>
            <w:shd w:val="solid" w:color="FFFFFF" w:fill="auto"/>
          </w:tcPr>
          <w:p w14:paraId="10B3593C" w14:textId="792231D3" w:rsidR="00246EB9" w:rsidRPr="00873B6C" w:rsidRDefault="00246EB9" w:rsidP="00F84AAF">
            <w:pPr>
              <w:pStyle w:val="TAL"/>
              <w:rPr>
                <w:sz w:val="16"/>
                <w:szCs w:val="16"/>
              </w:rPr>
            </w:pPr>
            <w:r w:rsidRPr="00873B6C">
              <w:rPr>
                <w:sz w:val="16"/>
                <w:szCs w:val="16"/>
              </w:rPr>
              <w:t>3578</w:t>
            </w:r>
          </w:p>
        </w:tc>
        <w:tc>
          <w:tcPr>
            <w:tcW w:w="425" w:type="dxa"/>
            <w:shd w:val="solid" w:color="FFFFFF" w:fill="auto"/>
          </w:tcPr>
          <w:p w14:paraId="4B7314F5" w14:textId="04693076" w:rsidR="00246EB9" w:rsidRPr="00873B6C" w:rsidRDefault="00246EB9" w:rsidP="00F84AAF">
            <w:pPr>
              <w:pStyle w:val="TAL"/>
              <w:rPr>
                <w:sz w:val="16"/>
                <w:szCs w:val="16"/>
              </w:rPr>
            </w:pPr>
            <w:r w:rsidRPr="00873B6C">
              <w:rPr>
                <w:sz w:val="16"/>
                <w:szCs w:val="16"/>
              </w:rPr>
              <w:t>1</w:t>
            </w:r>
          </w:p>
        </w:tc>
        <w:tc>
          <w:tcPr>
            <w:tcW w:w="425" w:type="dxa"/>
            <w:shd w:val="solid" w:color="FFFFFF" w:fill="auto"/>
          </w:tcPr>
          <w:p w14:paraId="18F7E3C2" w14:textId="68B314BF" w:rsidR="00246EB9" w:rsidRPr="00873B6C" w:rsidRDefault="00246EB9" w:rsidP="00F84AAF">
            <w:pPr>
              <w:pStyle w:val="TAL"/>
              <w:rPr>
                <w:sz w:val="16"/>
                <w:szCs w:val="16"/>
              </w:rPr>
            </w:pPr>
            <w:r w:rsidRPr="00873B6C">
              <w:rPr>
                <w:sz w:val="16"/>
                <w:szCs w:val="16"/>
              </w:rPr>
              <w:t>F</w:t>
            </w:r>
          </w:p>
        </w:tc>
        <w:tc>
          <w:tcPr>
            <w:tcW w:w="4820" w:type="dxa"/>
            <w:shd w:val="solid" w:color="FFFFFF" w:fill="auto"/>
          </w:tcPr>
          <w:p w14:paraId="78E93A67" w14:textId="7D158B35" w:rsidR="00246EB9" w:rsidRPr="00873B6C" w:rsidRDefault="00246EB9" w:rsidP="00F84AAF">
            <w:pPr>
              <w:pStyle w:val="TAL"/>
              <w:rPr>
                <w:sz w:val="16"/>
                <w:szCs w:val="16"/>
              </w:rPr>
            </w:pPr>
            <w:r w:rsidRPr="00873B6C">
              <w:rPr>
                <w:sz w:val="16"/>
                <w:szCs w:val="16"/>
              </w:rPr>
              <w:t>Paging Early Indication: Removal of Editor's notes</w:t>
            </w:r>
          </w:p>
        </w:tc>
        <w:tc>
          <w:tcPr>
            <w:tcW w:w="708" w:type="dxa"/>
            <w:shd w:val="solid" w:color="FFFFFF" w:fill="auto"/>
          </w:tcPr>
          <w:p w14:paraId="267272B6" w14:textId="1A7CCFA8" w:rsidR="00246EB9" w:rsidRPr="00873B6C" w:rsidRDefault="00246EB9" w:rsidP="00F84AAF">
            <w:pPr>
              <w:pStyle w:val="TAC"/>
              <w:rPr>
                <w:sz w:val="16"/>
                <w:szCs w:val="16"/>
              </w:rPr>
            </w:pPr>
            <w:r w:rsidRPr="00873B6C">
              <w:rPr>
                <w:sz w:val="16"/>
                <w:szCs w:val="16"/>
              </w:rPr>
              <w:t>17.4.0</w:t>
            </w:r>
          </w:p>
        </w:tc>
      </w:tr>
      <w:tr w:rsidR="0082686E" w:rsidRPr="00873B6C" w14:paraId="53E1A6BE" w14:textId="77777777" w:rsidTr="009D14FB">
        <w:tc>
          <w:tcPr>
            <w:tcW w:w="800" w:type="dxa"/>
            <w:shd w:val="solid" w:color="FFFFFF" w:fill="auto"/>
          </w:tcPr>
          <w:p w14:paraId="04C72426" w14:textId="44991B12" w:rsidR="0082686E" w:rsidRPr="00873B6C" w:rsidRDefault="0082686E" w:rsidP="00F84AAF">
            <w:pPr>
              <w:pStyle w:val="TAC"/>
              <w:rPr>
                <w:sz w:val="16"/>
                <w:szCs w:val="16"/>
              </w:rPr>
            </w:pPr>
            <w:r w:rsidRPr="00873B6C">
              <w:rPr>
                <w:sz w:val="16"/>
                <w:szCs w:val="16"/>
              </w:rPr>
              <w:t>2022-06</w:t>
            </w:r>
          </w:p>
        </w:tc>
        <w:tc>
          <w:tcPr>
            <w:tcW w:w="800" w:type="dxa"/>
            <w:shd w:val="solid" w:color="FFFFFF" w:fill="auto"/>
          </w:tcPr>
          <w:p w14:paraId="66C27C0D" w14:textId="4477C50F" w:rsidR="0082686E" w:rsidRPr="00873B6C" w:rsidRDefault="0082686E" w:rsidP="00F84AAF">
            <w:pPr>
              <w:pStyle w:val="TAL"/>
              <w:rPr>
                <w:sz w:val="16"/>
                <w:szCs w:val="16"/>
              </w:rPr>
            </w:pPr>
            <w:r w:rsidRPr="00873B6C">
              <w:rPr>
                <w:sz w:val="16"/>
                <w:szCs w:val="16"/>
              </w:rPr>
              <w:t>SP#96</w:t>
            </w:r>
          </w:p>
        </w:tc>
        <w:tc>
          <w:tcPr>
            <w:tcW w:w="1094" w:type="dxa"/>
            <w:shd w:val="solid" w:color="FFFFFF" w:fill="auto"/>
          </w:tcPr>
          <w:p w14:paraId="4E1DEC0B" w14:textId="029FA575" w:rsidR="0082686E" w:rsidRPr="00873B6C" w:rsidRDefault="0082686E" w:rsidP="00F84AAF">
            <w:pPr>
              <w:pStyle w:val="TAC"/>
              <w:rPr>
                <w:sz w:val="16"/>
                <w:szCs w:val="16"/>
              </w:rPr>
            </w:pPr>
            <w:r w:rsidRPr="00873B6C">
              <w:rPr>
                <w:sz w:val="16"/>
                <w:szCs w:val="16"/>
              </w:rPr>
              <w:t>SP-220412</w:t>
            </w:r>
          </w:p>
        </w:tc>
        <w:tc>
          <w:tcPr>
            <w:tcW w:w="567" w:type="dxa"/>
            <w:shd w:val="solid" w:color="FFFFFF" w:fill="auto"/>
          </w:tcPr>
          <w:p w14:paraId="6CF53C5B" w14:textId="7ED429BA" w:rsidR="0082686E" w:rsidRPr="00873B6C" w:rsidRDefault="0082686E" w:rsidP="00F84AAF">
            <w:pPr>
              <w:pStyle w:val="TAL"/>
              <w:rPr>
                <w:sz w:val="16"/>
                <w:szCs w:val="16"/>
              </w:rPr>
            </w:pPr>
            <w:r w:rsidRPr="00873B6C">
              <w:rPr>
                <w:sz w:val="16"/>
                <w:szCs w:val="16"/>
              </w:rPr>
              <w:t>3317</w:t>
            </w:r>
          </w:p>
        </w:tc>
        <w:tc>
          <w:tcPr>
            <w:tcW w:w="425" w:type="dxa"/>
            <w:shd w:val="solid" w:color="FFFFFF" w:fill="auto"/>
          </w:tcPr>
          <w:p w14:paraId="17197183" w14:textId="5533917D" w:rsidR="0082686E" w:rsidRPr="00873B6C" w:rsidRDefault="0082686E" w:rsidP="00F84AAF">
            <w:pPr>
              <w:pStyle w:val="TAL"/>
              <w:rPr>
                <w:sz w:val="16"/>
                <w:szCs w:val="16"/>
              </w:rPr>
            </w:pPr>
            <w:r w:rsidRPr="00873B6C">
              <w:rPr>
                <w:sz w:val="16"/>
                <w:szCs w:val="16"/>
              </w:rPr>
              <w:t>7</w:t>
            </w:r>
          </w:p>
        </w:tc>
        <w:tc>
          <w:tcPr>
            <w:tcW w:w="425" w:type="dxa"/>
            <w:shd w:val="solid" w:color="FFFFFF" w:fill="auto"/>
          </w:tcPr>
          <w:p w14:paraId="46246B35" w14:textId="4FA41B7A" w:rsidR="0082686E" w:rsidRPr="00873B6C" w:rsidRDefault="0082686E" w:rsidP="00F84AAF">
            <w:pPr>
              <w:pStyle w:val="TAL"/>
              <w:rPr>
                <w:sz w:val="16"/>
                <w:szCs w:val="16"/>
              </w:rPr>
            </w:pPr>
            <w:r w:rsidRPr="00873B6C">
              <w:rPr>
                <w:sz w:val="16"/>
                <w:szCs w:val="16"/>
              </w:rPr>
              <w:t>B</w:t>
            </w:r>
          </w:p>
        </w:tc>
        <w:tc>
          <w:tcPr>
            <w:tcW w:w="4820" w:type="dxa"/>
            <w:shd w:val="solid" w:color="FFFFFF" w:fill="auto"/>
          </w:tcPr>
          <w:p w14:paraId="7E31A811" w14:textId="6A8114B1" w:rsidR="0082686E" w:rsidRPr="00873B6C" w:rsidRDefault="0082686E" w:rsidP="00F84AAF">
            <w:pPr>
              <w:pStyle w:val="TAL"/>
              <w:rPr>
                <w:sz w:val="16"/>
                <w:szCs w:val="16"/>
              </w:rPr>
            </w:pPr>
            <w:r w:rsidRPr="00873B6C">
              <w:rPr>
                <w:sz w:val="16"/>
                <w:szCs w:val="16"/>
              </w:rPr>
              <w:t>Enabling slice priority and slice groups for RRM purposes</w:t>
            </w:r>
          </w:p>
        </w:tc>
        <w:tc>
          <w:tcPr>
            <w:tcW w:w="708" w:type="dxa"/>
            <w:shd w:val="solid" w:color="FFFFFF" w:fill="auto"/>
          </w:tcPr>
          <w:p w14:paraId="52098FE2" w14:textId="79BCF401" w:rsidR="0082686E" w:rsidRPr="00873B6C" w:rsidRDefault="0082686E" w:rsidP="00F84AAF">
            <w:pPr>
              <w:pStyle w:val="TAC"/>
              <w:rPr>
                <w:sz w:val="16"/>
                <w:szCs w:val="16"/>
              </w:rPr>
            </w:pPr>
            <w:r w:rsidRPr="00873B6C">
              <w:rPr>
                <w:sz w:val="16"/>
                <w:szCs w:val="16"/>
              </w:rPr>
              <w:t>17.5.0</w:t>
            </w:r>
          </w:p>
        </w:tc>
      </w:tr>
      <w:tr w:rsidR="0082686E" w:rsidRPr="00873B6C" w14:paraId="46BDF188" w14:textId="77777777" w:rsidTr="009D14FB">
        <w:tc>
          <w:tcPr>
            <w:tcW w:w="800" w:type="dxa"/>
            <w:shd w:val="solid" w:color="FFFFFF" w:fill="auto"/>
          </w:tcPr>
          <w:p w14:paraId="22EE7A30" w14:textId="7FE7B74F" w:rsidR="0082686E" w:rsidRPr="00873B6C" w:rsidRDefault="0082686E" w:rsidP="00F84AAF">
            <w:pPr>
              <w:pStyle w:val="TAC"/>
              <w:rPr>
                <w:sz w:val="16"/>
                <w:szCs w:val="16"/>
              </w:rPr>
            </w:pPr>
            <w:r w:rsidRPr="00873B6C">
              <w:rPr>
                <w:sz w:val="16"/>
                <w:szCs w:val="16"/>
              </w:rPr>
              <w:t>2022-06</w:t>
            </w:r>
          </w:p>
        </w:tc>
        <w:tc>
          <w:tcPr>
            <w:tcW w:w="800" w:type="dxa"/>
            <w:shd w:val="solid" w:color="FFFFFF" w:fill="auto"/>
          </w:tcPr>
          <w:p w14:paraId="31D242AE" w14:textId="777047C8" w:rsidR="0082686E" w:rsidRPr="00873B6C" w:rsidRDefault="0082686E" w:rsidP="00F84AAF">
            <w:pPr>
              <w:pStyle w:val="TAL"/>
              <w:rPr>
                <w:sz w:val="16"/>
                <w:szCs w:val="16"/>
              </w:rPr>
            </w:pPr>
            <w:r w:rsidRPr="00873B6C">
              <w:rPr>
                <w:sz w:val="16"/>
                <w:szCs w:val="16"/>
              </w:rPr>
              <w:t>SP#96</w:t>
            </w:r>
          </w:p>
        </w:tc>
        <w:tc>
          <w:tcPr>
            <w:tcW w:w="1094" w:type="dxa"/>
            <w:shd w:val="solid" w:color="FFFFFF" w:fill="auto"/>
          </w:tcPr>
          <w:p w14:paraId="6A54CC60" w14:textId="382D5419" w:rsidR="0082686E" w:rsidRPr="00873B6C" w:rsidRDefault="0082686E" w:rsidP="00F84AAF">
            <w:pPr>
              <w:pStyle w:val="TAC"/>
              <w:rPr>
                <w:sz w:val="16"/>
                <w:szCs w:val="16"/>
              </w:rPr>
            </w:pPr>
            <w:r w:rsidRPr="00873B6C">
              <w:rPr>
                <w:sz w:val="16"/>
                <w:szCs w:val="16"/>
              </w:rPr>
              <w:t>SP-220404</w:t>
            </w:r>
          </w:p>
        </w:tc>
        <w:tc>
          <w:tcPr>
            <w:tcW w:w="567" w:type="dxa"/>
            <w:shd w:val="solid" w:color="FFFFFF" w:fill="auto"/>
          </w:tcPr>
          <w:p w14:paraId="52315D6F" w14:textId="0D62CE45" w:rsidR="0082686E" w:rsidRPr="00873B6C" w:rsidRDefault="0082686E" w:rsidP="00F84AAF">
            <w:pPr>
              <w:pStyle w:val="TAL"/>
              <w:rPr>
                <w:sz w:val="16"/>
                <w:szCs w:val="16"/>
              </w:rPr>
            </w:pPr>
            <w:r w:rsidRPr="00873B6C">
              <w:rPr>
                <w:sz w:val="16"/>
                <w:szCs w:val="16"/>
              </w:rPr>
              <w:t>3485</w:t>
            </w:r>
          </w:p>
        </w:tc>
        <w:tc>
          <w:tcPr>
            <w:tcW w:w="425" w:type="dxa"/>
            <w:shd w:val="solid" w:color="FFFFFF" w:fill="auto"/>
          </w:tcPr>
          <w:p w14:paraId="4ADA4E01" w14:textId="0452A9EC" w:rsidR="0082686E" w:rsidRPr="00873B6C" w:rsidRDefault="0082686E" w:rsidP="00F84AAF">
            <w:pPr>
              <w:pStyle w:val="TAL"/>
              <w:rPr>
                <w:sz w:val="16"/>
                <w:szCs w:val="16"/>
              </w:rPr>
            </w:pPr>
            <w:r w:rsidRPr="00873B6C">
              <w:rPr>
                <w:sz w:val="16"/>
                <w:szCs w:val="16"/>
              </w:rPr>
              <w:t>2</w:t>
            </w:r>
          </w:p>
        </w:tc>
        <w:tc>
          <w:tcPr>
            <w:tcW w:w="425" w:type="dxa"/>
            <w:shd w:val="solid" w:color="FFFFFF" w:fill="auto"/>
          </w:tcPr>
          <w:p w14:paraId="33EF5EAC" w14:textId="21552070" w:rsidR="0082686E" w:rsidRPr="00873B6C" w:rsidRDefault="0082686E" w:rsidP="00F84AAF">
            <w:pPr>
              <w:pStyle w:val="TAL"/>
              <w:rPr>
                <w:sz w:val="16"/>
                <w:szCs w:val="16"/>
              </w:rPr>
            </w:pPr>
            <w:r w:rsidRPr="00873B6C">
              <w:rPr>
                <w:sz w:val="16"/>
                <w:szCs w:val="16"/>
              </w:rPr>
              <w:t>F</w:t>
            </w:r>
          </w:p>
        </w:tc>
        <w:tc>
          <w:tcPr>
            <w:tcW w:w="4820" w:type="dxa"/>
            <w:shd w:val="solid" w:color="FFFFFF" w:fill="auto"/>
          </w:tcPr>
          <w:p w14:paraId="010FABF4" w14:textId="3B5C3546" w:rsidR="0082686E" w:rsidRPr="00873B6C" w:rsidRDefault="0082686E" w:rsidP="00F84AAF">
            <w:pPr>
              <w:pStyle w:val="TAL"/>
              <w:rPr>
                <w:sz w:val="16"/>
                <w:szCs w:val="16"/>
              </w:rPr>
            </w:pPr>
            <w:r w:rsidRPr="00873B6C">
              <w:rPr>
                <w:sz w:val="16"/>
                <w:szCs w:val="16"/>
              </w:rPr>
              <w:t xml:space="preserve">Correcting the 5G AS time distribution procedure </w:t>
            </w:r>
          </w:p>
        </w:tc>
        <w:tc>
          <w:tcPr>
            <w:tcW w:w="708" w:type="dxa"/>
            <w:shd w:val="solid" w:color="FFFFFF" w:fill="auto"/>
          </w:tcPr>
          <w:p w14:paraId="51445D59" w14:textId="13DE7F31" w:rsidR="0082686E" w:rsidRPr="00873B6C" w:rsidRDefault="0082686E" w:rsidP="00F84AAF">
            <w:pPr>
              <w:pStyle w:val="TAC"/>
              <w:rPr>
                <w:sz w:val="16"/>
                <w:szCs w:val="16"/>
              </w:rPr>
            </w:pPr>
            <w:r w:rsidRPr="00873B6C">
              <w:rPr>
                <w:sz w:val="16"/>
                <w:szCs w:val="16"/>
              </w:rPr>
              <w:t>17.5.0</w:t>
            </w:r>
          </w:p>
        </w:tc>
      </w:tr>
      <w:tr w:rsidR="00972BA6" w:rsidRPr="00873B6C" w14:paraId="49EC57C7" w14:textId="77777777" w:rsidTr="009D14FB">
        <w:tc>
          <w:tcPr>
            <w:tcW w:w="800" w:type="dxa"/>
            <w:shd w:val="solid" w:color="FFFFFF" w:fill="auto"/>
          </w:tcPr>
          <w:p w14:paraId="0190B78F" w14:textId="0AF056DF"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27DE95FC" w14:textId="414159DD"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212C9E65" w14:textId="2DDF495E" w:rsidR="00972BA6" w:rsidRPr="00873B6C" w:rsidRDefault="00972BA6" w:rsidP="00F84AAF">
            <w:pPr>
              <w:pStyle w:val="TAC"/>
              <w:rPr>
                <w:sz w:val="16"/>
                <w:szCs w:val="16"/>
              </w:rPr>
            </w:pPr>
            <w:r w:rsidRPr="00873B6C">
              <w:rPr>
                <w:sz w:val="16"/>
                <w:szCs w:val="16"/>
              </w:rPr>
              <w:t>SP-220412</w:t>
            </w:r>
          </w:p>
        </w:tc>
        <w:tc>
          <w:tcPr>
            <w:tcW w:w="567" w:type="dxa"/>
            <w:shd w:val="solid" w:color="FFFFFF" w:fill="auto"/>
          </w:tcPr>
          <w:p w14:paraId="47C5505C" w14:textId="54B6E0AD" w:rsidR="00972BA6" w:rsidRPr="00873B6C" w:rsidRDefault="00972BA6" w:rsidP="00F84AAF">
            <w:pPr>
              <w:pStyle w:val="TAL"/>
              <w:rPr>
                <w:sz w:val="16"/>
                <w:szCs w:val="16"/>
              </w:rPr>
            </w:pPr>
            <w:r w:rsidRPr="00873B6C">
              <w:rPr>
                <w:sz w:val="16"/>
                <w:szCs w:val="16"/>
              </w:rPr>
              <w:t>3539</w:t>
            </w:r>
          </w:p>
        </w:tc>
        <w:tc>
          <w:tcPr>
            <w:tcW w:w="425" w:type="dxa"/>
            <w:shd w:val="solid" w:color="FFFFFF" w:fill="auto"/>
          </w:tcPr>
          <w:p w14:paraId="77A8BC70" w14:textId="5FED673D" w:rsidR="00972BA6" w:rsidRPr="00873B6C" w:rsidRDefault="00972BA6" w:rsidP="00F84AAF">
            <w:pPr>
              <w:pStyle w:val="TAL"/>
              <w:rPr>
                <w:sz w:val="16"/>
                <w:szCs w:val="16"/>
              </w:rPr>
            </w:pPr>
            <w:r w:rsidRPr="00873B6C">
              <w:rPr>
                <w:sz w:val="16"/>
                <w:szCs w:val="16"/>
              </w:rPr>
              <w:t>4</w:t>
            </w:r>
          </w:p>
        </w:tc>
        <w:tc>
          <w:tcPr>
            <w:tcW w:w="425" w:type="dxa"/>
            <w:shd w:val="solid" w:color="FFFFFF" w:fill="auto"/>
          </w:tcPr>
          <w:p w14:paraId="1F520322" w14:textId="270F0114" w:rsidR="00972BA6" w:rsidRPr="00873B6C" w:rsidRDefault="00972BA6" w:rsidP="00F84AAF">
            <w:pPr>
              <w:pStyle w:val="TAL"/>
              <w:rPr>
                <w:sz w:val="16"/>
                <w:szCs w:val="16"/>
              </w:rPr>
            </w:pPr>
            <w:r w:rsidRPr="00873B6C">
              <w:rPr>
                <w:sz w:val="16"/>
                <w:szCs w:val="16"/>
              </w:rPr>
              <w:t>B</w:t>
            </w:r>
          </w:p>
        </w:tc>
        <w:tc>
          <w:tcPr>
            <w:tcW w:w="4820" w:type="dxa"/>
            <w:shd w:val="solid" w:color="FFFFFF" w:fill="auto"/>
          </w:tcPr>
          <w:p w14:paraId="284EFF4D" w14:textId="42159A76" w:rsidR="00972BA6" w:rsidRPr="00873B6C" w:rsidRDefault="00972BA6" w:rsidP="00F84AAF">
            <w:pPr>
              <w:pStyle w:val="TAL"/>
              <w:rPr>
                <w:sz w:val="16"/>
                <w:szCs w:val="16"/>
              </w:rPr>
            </w:pPr>
            <w:r w:rsidRPr="00873B6C">
              <w:rPr>
                <w:sz w:val="16"/>
                <w:szCs w:val="16"/>
              </w:rPr>
              <w:t>Enabling configuration of Network Slice AS Groups</w:t>
            </w:r>
          </w:p>
        </w:tc>
        <w:tc>
          <w:tcPr>
            <w:tcW w:w="708" w:type="dxa"/>
            <w:shd w:val="solid" w:color="FFFFFF" w:fill="auto"/>
          </w:tcPr>
          <w:p w14:paraId="79A4FF8A" w14:textId="7E37B34C" w:rsidR="00972BA6" w:rsidRPr="00873B6C" w:rsidRDefault="00972BA6" w:rsidP="00F84AAF">
            <w:pPr>
              <w:pStyle w:val="TAC"/>
              <w:rPr>
                <w:sz w:val="16"/>
                <w:szCs w:val="16"/>
              </w:rPr>
            </w:pPr>
            <w:r w:rsidRPr="00873B6C">
              <w:rPr>
                <w:sz w:val="16"/>
                <w:szCs w:val="16"/>
              </w:rPr>
              <w:t>17.5.0</w:t>
            </w:r>
          </w:p>
        </w:tc>
      </w:tr>
      <w:tr w:rsidR="00972BA6" w:rsidRPr="00873B6C" w14:paraId="28F42AF9" w14:textId="77777777" w:rsidTr="009D14FB">
        <w:tc>
          <w:tcPr>
            <w:tcW w:w="800" w:type="dxa"/>
            <w:shd w:val="solid" w:color="FFFFFF" w:fill="auto"/>
          </w:tcPr>
          <w:p w14:paraId="7CBDAA11" w14:textId="3A21537F"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13323761" w14:textId="2B8CFC17"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0883389E" w14:textId="0D5E2082" w:rsidR="00972BA6" w:rsidRPr="00873B6C" w:rsidRDefault="00972BA6" w:rsidP="00F84AAF">
            <w:pPr>
              <w:pStyle w:val="TAC"/>
              <w:rPr>
                <w:sz w:val="16"/>
                <w:szCs w:val="16"/>
              </w:rPr>
            </w:pPr>
            <w:r w:rsidRPr="00873B6C">
              <w:rPr>
                <w:sz w:val="16"/>
                <w:szCs w:val="16"/>
              </w:rPr>
              <w:t>SP-220406</w:t>
            </w:r>
          </w:p>
        </w:tc>
        <w:tc>
          <w:tcPr>
            <w:tcW w:w="567" w:type="dxa"/>
            <w:shd w:val="solid" w:color="FFFFFF" w:fill="auto"/>
          </w:tcPr>
          <w:p w14:paraId="2D1FB79A" w14:textId="0ABEE125" w:rsidR="00972BA6" w:rsidRPr="00873B6C" w:rsidRDefault="00972BA6" w:rsidP="00F84AAF">
            <w:pPr>
              <w:pStyle w:val="TAL"/>
              <w:rPr>
                <w:sz w:val="16"/>
                <w:szCs w:val="16"/>
              </w:rPr>
            </w:pPr>
            <w:r w:rsidRPr="00873B6C">
              <w:rPr>
                <w:sz w:val="16"/>
                <w:szCs w:val="16"/>
              </w:rPr>
              <w:t>3580</w:t>
            </w:r>
          </w:p>
        </w:tc>
        <w:tc>
          <w:tcPr>
            <w:tcW w:w="425" w:type="dxa"/>
            <w:shd w:val="solid" w:color="FFFFFF" w:fill="auto"/>
          </w:tcPr>
          <w:p w14:paraId="34D35D3F" w14:textId="5FE0C4F9" w:rsidR="00972BA6" w:rsidRPr="00873B6C" w:rsidRDefault="00972BA6" w:rsidP="00F84AAF">
            <w:pPr>
              <w:pStyle w:val="TAL"/>
              <w:rPr>
                <w:sz w:val="16"/>
                <w:szCs w:val="16"/>
              </w:rPr>
            </w:pPr>
            <w:r w:rsidRPr="00873B6C">
              <w:rPr>
                <w:sz w:val="16"/>
                <w:szCs w:val="16"/>
              </w:rPr>
              <w:t>3</w:t>
            </w:r>
          </w:p>
        </w:tc>
        <w:tc>
          <w:tcPr>
            <w:tcW w:w="425" w:type="dxa"/>
            <w:shd w:val="solid" w:color="FFFFFF" w:fill="auto"/>
          </w:tcPr>
          <w:p w14:paraId="2BAD0C9C" w14:textId="66EE6AE9" w:rsidR="00972BA6" w:rsidRPr="00873B6C" w:rsidRDefault="00972BA6" w:rsidP="00F84AAF">
            <w:pPr>
              <w:pStyle w:val="TAL"/>
              <w:rPr>
                <w:sz w:val="16"/>
                <w:szCs w:val="16"/>
              </w:rPr>
            </w:pPr>
            <w:r w:rsidRPr="00873B6C">
              <w:rPr>
                <w:sz w:val="16"/>
                <w:szCs w:val="16"/>
              </w:rPr>
              <w:t>F</w:t>
            </w:r>
          </w:p>
        </w:tc>
        <w:tc>
          <w:tcPr>
            <w:tcW w:w="4820" w:type="dxa"/>
            <w:shd w:val="solid" w:color="FFFFFF" w:fill="auto"/>
          </w:tcPr>
          <w:p w14:paraId="28C98488" w14:textId="02B09EEC" w:rsidR="00972BA6" w:rsidRPr="00873B6C" w:rsidRDefault="00972BA6" w:rsidP="00F84AAF">
            <w:pPr>
              <w:pStyle w:val="TAL"/>
              <w:rPr>
                <w:sz w:val="16"/>
                <w:szCs w:val="16"/>
              </w:rPr>
            </w:pPr>
            <w:r w:rsidRPr="00873B6C">
              <w:rPr>
                <w:sz w:val="16"/>
                <w:szCs w:val="16"/>
              </w:rPr>
              <w:t>Disaster Roaming service indication</w:t>
            </w:r>
          </w:p>
        </w:tc>
        <w:tc>
          <w:tcPr>
            <w:tcW w:w="708" w:type="dxa"/>
            <w:shd w:val="solid" w:color="FFFFFF" w:fill="auto"/>
          </w:tcPr>
          <w:p w14:paraId="55EE104D" w14:textId="30BBE88B" w:rsidR="00972BA6" w:rsidRPr="00873B6C" w:rsidRDefault="00972BA6" w:rsidP="00F84AAF">
            <w:pPr>
              <w:pStyle w:val="TAC"/>
              <w:rPr>
                <w:sz w:val="16"/>
                <w:szCs w:val="16"/>
              </w:rPr>
            </w:pPr>
            <w:r w:rsidRPr="00873B6C">
              <w:rPr>
                <w:sz w:val="16"/>
                <w:szCs w:val="16"/>
              </w:rPr>
              <w:t>17.5.0</w:t>
            </w:r>
          </w:p>
        </w:tc>
      </w:tr>
      <w:tr w:rsidR="00972BA6" w:rsidRPr="00873B6C" w14:paraId="2BF0ECAB" w14:textId="77777777" w:rsidTr="009D14FB">
        <w:tc>
          <w:tcPr>
            <w:tcW w:w="800" w:type="dxa"/>
            <w:shd w:val="solid" w:color="FFFFFF" w:fill="auto"/>
          </w:tcPr>
          <w:p w14:paraId="78A4C3F8" w14:textId="54B422C7"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63FF033E" w14:textId="1DA71126"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492C4EFE" w14:textId="25E5BACE" w:rsidR="00972BA6" w:rsidRPr="00873B6C" w:rsidRDefault="00972BA6" w:rsidP="00F84AAF">
            <w:pPr>
              <w:pStyle w:val="TAC"/>
              <w:rPr>
                <w:sz w:val="16"/>
                <w:szCs w:val="16"/>
              </w:rPr>
            </w:pPr>
            <w:r w:rsidRPr="00873B6C">
              <w:rPr>
                <w:sz w:val="16"/>
                <w:szCs w:val="16"/>
              </w:rPr>
              <w:t>SP-220400</w:t>
            </w:r>
          </w:p>
        </w:tc>
        <w:tc>
          <w:tcPr>
            <w:tcW w:w="567" w:type="dxa"/>
            <w:shd w:val="solid" w:color="FFFFFF" w:fill="auto"/>
          </w:tcPr>
          <w:p w14:paraId="43DF4E93" w14:textId="621B31FC" w:rsidR="00972BA6" w:rsidRPr="00873B6C" w:rsidRDefault="00972BA6" w:rsidP="00F84AAF">
            <w:pPr>
              <w:pStyle w:val="TAL"/>
              <w:rPr>
                <w:sz w:val="16"/>
                <w:szCs w:val="16"/>
              </w:rPr>
            </w:pPr>
            <w:r w:rsidRPr="00873B6C">
              <w:rPr>
                <w:sz w:val="16"/>
                <w:szCs w:val="16"/>
              </w:rPr>
              <w:t>3581</w:t>
            </w:r>
          </w:p>
        </w:tc>
        <w:tc>
          <w:tcPr>
            <w:tcW w:w="425" w:type="dxa"/>
            <w:shd w:val="solid" w:color="FFFFFF" w:fill="auto"/>
          </w:tcPr>
          <w:p w14:paraId="68D6313F" w14:textId="29840771" w:rsidR="00972BA6" w:rsidRPr="00873B6C" w:rsidRDefault="00972BA6" w:rsidP="00F84AAF">
            <w:pPr>
              <w:pStyle w:val="TAL"/>
              <w:rPr>
                <w:sz w:val="16"/>
                <w:szCs w:val="16"/>
              </w:rPr>
            </w:pPr>
            <w:r w:rsidRPr="00873B6C">
              <w:rPr>
                <w:sz w:val="16"/>
                <w:szCs w:val="16"/>
              </w:rPr>
              <w:t>1</w:t>
            </w:r>
          </w:p>
        </w:tc>
        <w:tc>
          <w:tcPr>
            <w:tcW w:w="425" w:type="dxa"/>
            <w:shd w:val="solid" w:color="FFFFFF" w:fill="auto"/>
          </w:tcPr>
          <w:p w14:paraId="7C2C218A" w14:textId="26B3FAFC" w:rsidR="00972BA6" w:rsidRPr="00873B6C" w:rsidRDefault="00972BA6" w:rsidP="00F84AAF">
            <w:pPr>
              <w:pStyle w:val="TAL"/>
              <w:rPr>
                <w:sz w:val="16"/>
                <w:szCs w:val="16"/>
              </w:rPr>
            </w:pPr>
            <w:r w:rsidRPr="00873B6C">
              <w:rPr>
                <w:sz w:val="16"/>
                <w:szCs w:val="16"/>
              </w:rPr>
              <w:t>F</w:t>
            </w:r>
          </w:p>
        </w:tc>
        <w:tc>
          <w:tcPr>
            <w:tcW w:w="4820" w:type="dxa"/>
            <w:shd w:val="solid" w:color="FFFFFF" w:fill="auto"/>
          </w:tcPr>
          <w:p w14:paraId="440F9B4D" w14:textId="43589811" w:rsidR="00972BA6" w:rsidRPr="00873B6C" w:rsidRDefault="00972BA6" w:rsidP="00F84AAF">
            <w:pPr>
              <w:pStyle w:val="TAL"/>
              <w:rPr>
                <w:sz w:val="16"/>
                <w:szCs w:val="16"/>
              </w:rPr>
            </w:pPr>
            <w:r w:rsidRPr="00873B6C">
              <w:rPr>
                <w:sz w:val="16"/>
                <w:szCs w:val="16"/>
              </w:rPr>
              <w:t>Role of Credential Holder</w:t>
            </w:r>
          </w:p>
        </w:tc>
        <w:tc>
          <w:tcPr>
            <w:tcW w:w="708" w:type="dxa"/>
            <w:shd w:val="solid" w:color="FFFFFF" w:fill="auto"/>
          </w:tcPr>
          <w:p w14:paraId="25C5AFAB" w14:textId="5954E5AC" w:rsidR="00972BA6" w:rsidRPr="00873B6C" w:rsidRDefault="00972BA6" w:rsidP="00F84AAF">
            <w:pPr>
              <w:pStyle w:val="TAC"/>
              <w:rPr>
                <w:sz w:val="16"/>
                <w:szCs w:val="16"/>
              </w:rPr>
            </w:pPr>
            <w:r w:rsidRPr="00873B6C">
              <w:rPr>
                <w:sz w:val="16"/>
                <w:szCs w:val="16"/>
              </w:rPr>
              <w:t>17.5.0</w:t>
            </w:r>
          </w:p>
        </w:tc>
      </w:tr>
      <w:tr w:rsidR="00972BA6" w:rsidRPr="00873B6C" w14:paraId="02766A26" w14:textId="77777777" w:rsidTr="009D14FB">
        <w:tc>
          <w:tcPr>
            <w:tcW w:w="800" w:type="dxa"/>
            <w:shd w:val="solid" w:color="FFFFFF" w:fill="auto"/>
          </w:tcPr>
          <w:p w14:paraId="4E0879D4" w14:textId="13D2F080"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3636A3AA" w14:textId="1E6116ED"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69318EF1" w14:textId="35D5F83F" w:rsidR="00972BA6" w:rsidRPr="00873B6C" w:rsidRDefault="00972BA6" w:rsidP="00F84AAF">
            <w:pPr>
              <w:pStyle w:val="TAC"/>
              <w:rPr>
                <w:sz w:val="16"/>
                <w:szCs w:val="16"/>
              </w:rPr>
            </w:pPr>
            <w:r w:rsidRPr="00873B6C">
              <w:rPr>
                <w:sz w:val="16"/>
                <w:szCs w:val="16"/>
              </w:rPr>
              <w:t>SP-220401</w:t>
            </w:r>
          </w:p>
        </w:tc>
        <w:tc>
          <w:tcPr>
            <w:tcW w:w="567" w:type="dxa"/>
            <w:shd w:val="solid" w:color="FFFFFF" w:fill="auto"/>
          </w:tcPr>
          <w:p w14:paraId="2D4599C1" w14:textId="475FD142" w:rsidR="00972BA6" w:rsidRPr="00873B6C" w:rsidRDefault="00972BA6" w:rsidP="00F84AAF">
            <w:pPr>
              <w:pStyle w:val="TAL"/>
              <w:rPr>
                <w:sz w:val="16"/>
                <w:szCs w:val="16"/>
              </w:rPr>
            </w:pPr>
            <w:r w:rsidRPr="00873B6C">
              <w:rPr>
                <w:sz w:val="16"/>
                <w:szCs w:val="16"/>
              </w:rPr>
              <w:t>3582</w:t>
            </w:r>
          </w:p>
        </w:tc>
        <w:tc>
          <w:tcPr>
            <w:tcW w:w="425" w:type="dxa"/>
            <w:shd w:val="solid" w:color="FFFFFF" w:fill="auto"/>
          </w:tcPr>
          <w:p w14:paraId="622851A9" w14:textId="0780D70F" w:rsidR="00972BA6" w:rsidRPr="00873B6C" w:rsidRDefault="00972BA6" w:rsidP="00F84AAF">
            <w:pPr>
              <w:pStyle w:val="TAL"/>
              <w:rPr>
                <w:sz w:val="16"/>
                <w:szCs w:val="16"/>
              </w:rPr>
            </w:pPr>
            <w:r w:rsidRPr="00873B6C">
              <w:rPr>
                <w:sz w:val="16"/>
                <w:szCs w:val="16"/>
              </w:rPr>
              <w:t>1</w:t>
            </w:r>
          </w:p>
        </w:tc>
        <w:tc>
          <w:tcPr>
            <w:tcW w:w="425" w:type="dxa"/>
            <w:shd w:val="solid" w:color="FFFFFF" w:fill="auto"/>
          </w:tcPr>
          <w:p w14:paraId="3FD1A459" w14:textId="163F8E50" w:rsidR="00972BA6" w:rsidRPr="00873B6C" w:rsidRDefault="00972BA6" w:rsidP="00F84AAF">
            <w:pPr>
              <w:pStyle w:val="TAL"/>
              <w:rPr>
                <w:sz w:val="16"/>
                <w:szCs w:val="16"/>
              </w:rPr>
            </w:pPr>
            <w:r w:rsidRPr="00873B6C">
              <w:rPr>
                <w:sz w:val="16"/>
                <w:szCs w:val="16"/>
              </w:rPr>
              <w:t>F</w:t>
            </w:r>
          </w:p>
        </w:tc>
        <w:tc>
          <w:tcPr>
            <w:tcW w:w="4820" w:type="dxa"/>
            <w:shd w:val="solid" w:color="FFFFFF" w:fill="auto"/>
          </w:tcPr>
          <w:p w14:paraId="689AD002" w14:textId="731E2BFE" w:rsidR="00972BA6" w:rsidRPr="00873B6C" w:rsidRDefault="00972BA6" w:rsidP="00F84AAF">
            <w:pPr>
              <w:pStyle w:val="TAL"/>
              <w:rPr>
                <w:sz w:val="16"/>
                <w:szCs w:val="16"/>
              </w:rPr>
            </w:pPr>
            <w:r w:rsidRPr="00873B6C">
              <w:rPr>
                <w:sz w:val="16"/>
                <w:szCs w:val="16"/>
              </w:rPr>
              <w:t xml:space="preserve">Removal of NSACF from HPLMN in LBO Model </w:t>
            </w:r>
          </w:p>
        </w:tc>
        <w:tc>
          <w:tcPr>
            <w:tcW w:w="708" w:type="dxa"/>
            <w:shd w:val="solid" w:color="FFFFFF" w:fill="auto"/>
          </w:tcPr>
          <w:p w14:paraId="162AC93A" w14:textId="1598B78F" w:rsidR="00972BA6" w:rsidRPr="00873B6C" w:rsidRDefault="00972BA6" w:rsidP="00F84AAF">
            <w:pPr>
              <w:pStyle w:val="TAC"/>
              <w:rPr>
                <w:sz w:val="16"/>
                <w:szCs w:val="16"/>
              </w:rPr>
            </w:pPr>
            <w:r w:rsidRPr="00873B6C">
              <w:rPr>
                <w:sz w:val="16"/>
                <w:szCs w:val="16"/>
              </w:rPr>
              <w:t>17.5.0</w:t>
            </w:r>
          </w:p>
        </w:tc>
      </w:tr>
      <w:tr w:rsidR="00972BA6" w:rsidRPr="00873B6C" w14:paraId="54C19205" w14:textId="77777777" w:rsidTr="009D14FB">
        <w:tc>
          <w:tcPr>
            <w:tcW w:w="800" w:type="dxa"/>
            <w:shd w:val="solid" w:color="FFFFFF" w:fill="auto"/>
          </w:tcPr>
          <w:p w14:paraId="7A556964" w14:textId="210BA83A"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39B9158B" w14:textId="57418DD0"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0C7C44D9" w14:textId="62CE3518" w:rsidR="00972BA6" w:rsidRPr="00873B6C" w:rsidRDefault="00972BA6" w:rsidP="00F84AAF">
            <w:pPr>
              <w:pStyle w:val="TAC"/>
              <w:rPr>
                <w:sz w:val="16"/>
                <w:szCs w:val="16"/>
              </w:rPr>
            </w:pPr>
            <w:r w:rsidRPr="00873B6C">
              <w:rPr>
                <w:sz w:val="16"/>
                <w:szCs w:val="16"/>
              </w:rPr>
              <w:t>SP-220401</w:t>
            </w:r>
          </w:p>
        </w:tc>
        <w:tc>
          <w:tcPr>
            <w:tcW w:w="567" w:type="dxa"/>
            <w:shd w:val="solid" w:color="FFFFFF" w:fill="auto"/>
          </w:tcPr>
          <w:p w14:paraId="1669FA06" w14:textId="13FD32C0" w:rsidR="00972BA6" w:rsidRPr="00873B6C" w:rsidRDefault="00972BA6" w:rsidP="00F84AAF">
            <w:pPr>
              <w:pStyle w:val="TAL"/>
              <w:rPr>
                <w:sz w:val="16"/>
                <w:szCs w:val="16"/>
              </w:rPr>
            </w:pPr>
            <w:r w:rsidRPr="00873B6C">
              <w:rPr>
                <w:sz w:val="16"/>
                <w:szCs w:val="16"/>
              </w:rPr>
              <w:t>3584</w:t>
            </w:r>
          </w:p>
        </w:tc>
        <w:tc>
          <w:tcPr>
            <w:tcW w:w="425" w:type="dxa"/>
            <w:shd w:val="solid" w:color="FFFFFF" w:fill="auto"/>
          </w:tcPr>
          <w:p w14:paraId="7AA96CB3" w14:textId="11BE181F" w:rsidR="00972BA6" w:rsidRPr="00873B6C" w:rsidRDefault="00972BA6" w:rsidP="00F84AAF">
            <w:pPr>
              <w:pStyle w:val="TAL"/>
              <w:rPr>
                <w:sz w:val="16"/>
                <w:szCs w:val="16"/>
              </w:rPr>
            </w:pPr>
            <w:r w:rsidRPr="00873B6C">
              <w:rPr>
                <w:sz w:val="16"/>
                <w:szCs w:val="16"/>
              </w:rPr>
              <w:t>1</w:t>
            </w:r>
          </w:p>
        </w:tc>
        <w:tc>
          <w:tcPr>
            <w:tcW w:w="425" w:type="dxa"/>
            <w:shd w:val="solid" w:color="FFFFFF" w:fill="auto"/>
          </w:tcPr>
          <w:p w14:paraId="50BC1BE4" w14:textId="31DAF032" w:rsidR="00972BA6" w:rsidRPr="00873B6C" w:rsidRDefault="00972BA6" w:rsidP="00F84AAF">
            <w:pPr>
              <w:pStyle w:val="TAL"/>
              <w:rPr>
                <w:sz w:val="16"/>
                <w:szCs w:val="16"/>
              </w:rPr>
            </w:pPr>
            <w:r w:rsidRPr="00873B6C">
              <w:rPr>
                <w:sz w:val="16"/>
                <w:szCs w:val="16"/>
              </w:rPr>
              <w:t>F</w:t>
            </w:r>
          </w:p>
        </w:tc>
        <w:tc>
          <w:tcPr>
            <w:tcW w:w="4820" w:type="dxa"/>
            <w:shd w:val="solid" w:color="FFFFFF" w:fill="auto"/>
          </w:tcPr>
          <w:p w14:paraId="5B86E63F" w14:textId="4C023DC8" w:rsidR="00972BA6" w:rsidRPr="00873B6C" w:rsidRDefault="00972BA6" w:rsidP="00F84AAF">
            <w:pPr>
              <w:pStyle w:val="TAL"/>
              <w:rPr>
                <w:sz w:val="16"/>
                <w:szCs w:val="16"/>
              </w:rPr>
            </w:pPr>
            <w:r w:rsidRPr="00873B6C">
              <w:rPr>
                <w:sz w:val="16"/>
                <w:szCs w:val="16"/>
              </w:rPr>
              <w:t>Clarification on determination of Registration Area</w:t>
            </w:r>
          </w:p>
        </w:tc>
        <w:tc>
          <w:tcPr>
            <w:tcW w:w="708" w:type="dxa"/>
            <w:shd w:val="solid" w:color="FFFFFF" w:fill="auto"/>
          </w:tcPr>
          <w:p w14:paraId="613BF8B8" w14:textId="15284D14" w:rsidR="00972BA6" w:rsidRPr="00873B6C" w:rsidRDefault="00972BA6" w:rsidP="00F84AAF">
            <w:pPr>
              <w:pStyle w:val="TAC"/>
              <w:rPr>
                <w:sz w:val="16"/>
                <w:szCs w:val="16"/>
              </w:rPr>
            </w:pPr>
            <w:r w:rsidRPr="00873B6C">
              <w:rPr>
                <w:sz w:val="16"/>
                <w:szCs w:val="16"/>
              </w:rPr>
              <w:t>17.5.0</w:t>
            </w:r>
          </w:p>
        </w:tc>
      </w:tr>
      <w:tr w:rsidR="005309E6" w:rsidRPr="00873B6C" w14:paraId="3298E483" w14:textId="77777777" w:rsidTr="009D14FB">
        <w:tc>
          <w:tcPr>
            <w:tcW w:w="800" w:type="dxa"/>
            <w:shd w:val="solid" w:color="FFFFFF" w:fill="auto"/>
          </w:tcPr>
          <w:p w14:paraId="6662E37E" w14:textId="2E834A09"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7ABE3C46" w14:textId="7DBC09F1"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6F1B5205" w14:textId="0C052D18" w:rsidR="005309E6" w:rsidRPr="00873B6C" w:rsidRDefault="005309E6" w:rsidP="00F84AAF">
            <w:pPr>
              <w:pStyle w:val="TAC"/>
              <w:rPr>
                <w:sz w:val="16"/>
                <w:szCs w:val="16"/>
              </w:rPr>
            </w:pPr>
            <w:r w:rsidRPr="00873B6C">
              <w:rPr>
                <w:sz w:val="16"/>
                <w:szCs w:val="16"/>
              </w:rPr>
              <w:t>SP-220400</w:t>
            </w:r>
          </w:p>
        </w:tc>
        <w:tc>
          <w:tcPr>
            <w:tcW w:w="567" w:type="dxa"/>
            <w:shd w:val="solid" w:color="FFFFFF" w:fill="auto"/>
          </w:tcPr>
          <w:p w14:paraId="06268F1E" w14:textId="57282A11" w:rsidR="005309E6" w:rsidRPr="00873B6C" w:rsidRDefault="005309E6" w:rsidP="00F84AAF">
            <w:pPr>
              <w:pStyle w:val="TAL"/>
              <w:rPr>
                <w:sz w:val="16"/>
                <w:szCs w:val="16"/>
              </w:rPr>
            </w:pPr>
            <w:r w:rsidRPr="00873B6C">
              <w:rPr>
                <w:sz w:val="16"/>
                <w:szCs w:val="16"/>
              </w:rPr>
              <w:t>3589</w:t>
            </w:r>
          </w:p>
        </w:tc>
        <w:tc>
          <w:tcPr>
            <w:tcW w:w="425" w:type="dxa"/>
            <w:shd w:val="solid" w:color="FFFFFF" w:fill="auto"/>
          </w:tcPr>
          <w:p w14:paraId="104D2AC6" w14:textId="24D2ED70"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7B6E9C3B" w14:textId="4C476C99"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5D6C8D60" w14:textId="7CDFF096" w:rsidR="005309E6" w:rsidRPr="00873B6C" w:rsidRDefault="005309E6" w:rsidP="00F84AAF">
            <w:pPr>
              <w:pStyle w:val="TAL"/>
              <w:rPr>
                <w:sz w:val="16"/>
                <w:szCs w:val="16"/>
              </w:rPr>
            </w:pPr>
            <w:r w:rsidRPr="00873B6C">
              <w:rPr>
                <w:sz w:val="16"/>
                <w:szCs w:val="16"/>
              </w:rPr>
              <w:t>Network Slicing Support in SNPN</w:t>
            </w:r>
          </w:p>
        </w:tc>
        <w:tc>
          <w:tcPr>
            <w:tcW w:w="708" w:type="dxa"/>
            <w:shd w:val="solid" w:color="FFFFFF" w:fill="auto"/>
          </w:tcPr>
          <w:p w14:paraId="28788527" w14:textId="38CB6F12" w:rsidR="005309E6" w:rsidRPr="00873B6C" w:rsidRDefault="005309E6" w:rsidP="00F84AAF">
            <w:pPr>
              <w:pStyle w:val="TAC"/>
              <w:rPr>
                <w:sz w:val="16"/>
                <w:szCs w:val="16"/>
              </w:rPr>
            </w:pPr>
            <w:r w:rsidRPr="00873B6C">
              <w:rPr>
                <w:sz w:val="16"/>
                <w:szCs w:val="16"/>
              </w:rPr>
              <w:t>17.5.0</w:t>
            </w:r>
          </w:p>
        </w:tc>
      </w:tr>
      <w:tr w:rsidR="005309E6" w:rsidRPr="00873B6C" w14:paraId="33EAB7E4" w14:textId="77777777" w:rsidTr="009D14FB">
        <w:tc>
          <w:tcPr>
            <w:tcW w:w="800" w:type="dxa"/>
            <w:shd w:val="solid" w:color="FFFFFF" w:fill="auto"/>
          </w:tcPr>
          <w:p w14:paraId="657774B8" w14:textId="4E9D6A9D"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32C5A105" w14:textId="080FD923"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62BEFF0D" w14:textId="2CA79F92" w:rsidR="005309E6" w:rsidRPr="00873B6C" w:rsidRDefault="005309E6" w:rsidP="00F84AAF">
            <w:pPr>
              <w:pStyle w:val="TAC"/>
              <w:rPr>
                <w:sz w:val="16"/>
                <w:szCs w:val="16"/>
              </w:rPr>
            </w:pPr>
            <w:r w:rsidRPr="00873B6C">
              <w:rPr>
                <w:sz w:val="16"/>
                <w:szCs w:val="16"/>
              </w:rPr>
              <w:t>SP-220411</w:t>
            </w:r>
          </w:p>
        </w:tc>
        <w:tc>
          <w:tcPr>
            <w:tcW w:w="567" w:type="dxa"/>
            <w:shd w:val="solid" w:color="FFFFFF" w:fill="auto"/>
          </w:tcPr>
          <w:p w14:paraId="544B8571" w14:textId="1C4B19C8" w:rsidR="005309E6" w:rsidRPr="00873B6C" w:rsidRDefault="005309E6" w:rsidP="00F84AAF">
            <w:pPr>
              <w:pStyle w:val="TAL"/>
              <w:rPr>
                <w:sz w:val="16"/>
                <w:szCs w:val="16"/>
              </w:rPr>
            </w:pPr>
            <w:r w:rsidRPr="00873B6C">
              <w:rPr>
                <w:sz w:val="16"/>
                <w:szCs w:val="16"/>
              </w:rPr>
              <w:t>3591</w:t>
            </w:r>
          </w:p>
        </w:tc>
        <w:tc>
          <w:tcPr>
            <w:tcW w:w="425" w:type="dxa"/>
            <w:shd w:val="solid" w:color="FFFFFF" w:fill="auto"/>
          </w:tcPr>
          <w:p w14:paraId="704B1338" w14:textId="1E974640"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0B2D3D03" w14:textId="30AB727B"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618A64B2" w14:textId="726D4AEB" w:rsidR="005309E6" w:rsidRPr="00873B6C" w:rsidRDefault="005309E6" w:rsidP="00F84AAF">
            <w:pPr>
              <w:pStyle w:val="TAL"/>
              <w:rPr>
                <w:sz w:val="16"/>
                <w:szCs w:val="16"/>
              </w:rPr>
            </w:pPr>
            <w:r w:rsidRPr="00873B6C">
              <w:rPr>
                <w:sz w:val="16"/>
                <w:szCs w:val="16"/>
              </w:rPr>
              <w:t>Alignment to BBF LS 512 (Frame route, BBF references)</w:t>
            </w:r>
          </w:p>
        </w:tc>
        <w:tc>
          <w:tcPr>
            <w:tcW w:w="708" w:type="dxa"/>
            <w:shd w:val="solid" w:color="FFFFFF" w:fill="auto"/>
          </w:tcPr>
          <w:p w14:paraId="1545DAE1" w14:textId="4EFF848B" w:rsidR="005309E6" w:rsidRPr="00873B6C" w:rsidRDefault="005309E6" w:rsidP="00F84AAF">
            <w:pPr>
              <w:pStyle w:val="TAC"/>
              <w:rPr>
                <w:sz w:val="16"/>
                <w:szCs w:val="16"/>
              </w:rPr>
            </w:pPr>
            <w:r w:rsidRPr="00873B6C">
              <w:rPr>
                <w:sz w:val="16"/>
                <w:szCs w:val="16"/>
              </w:rPr>
              <w:t>17.5.0</w:t>
            </w:r>
          </w:p>
        </w:tc>
      </w:tr>
      <w:tr w:rsidR="005309E6" w:rsidRPr="00873B6C" w14:paraId="27111FDA" w14:textId="77777777" w:rsidTr="009D14FB">
        <w:tc>
          <w:tcPr>
            <w:tcW w:w="800" w:type="dxa"/>
            <w:shd w:val="solid" w:color="FFFFFF" w:fill="auto"/>
          </w:tcPr>
          <w:p w14:paraId="32926E4C" w14:textId="56FFC017"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369E3147" w14:textId="2C7920A7"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6DD53832" w14:textId="680B3C18" w:rsidR="005309E6" w:rsidRPr="00873B6C" w:rsidRDefault="005309E6" w:rsidP="00F84AAF">
            <w:pPr>
              <w:pStyle w:val="TAC"/>
              <w:rPr>
                <w:sz w:val="16"/>
                <w:szCs w:val="16"/>
              </w:rPr>
            </w:pPr>
            <w:r w:rsidRPr="00873B6C">
              <w:rPr>
                <w:sz w:val="16"/>
                <w:szCs w:val="16"/>
              </w:rPr>
              <w:t>SP-220411</w:t>
            </w:r>
          </w:p>
        </w:tc>
        <w:tc>
          <w:tcPr>
            <w:tcW w:w="567" w:type="dxa"/>
            <w:shd w:val="solid" w:color="FFFFFF" w:fill="auto"/>
          </w:tcPr>
          <w:p w14:paraId="27D9DA57" w14:textId="01590385" w:rsidR="005309E6" w:rsidRPr="00873B6C" w:rsidRDefault="005309E6" w:rsidP="00F84AAF">
            <w:pPr>
              <w:pStyle w:val="TAL"/>
              <w:rPr>
                <w:sz w:val="16"/>
                <w:szCs w:val="16"/>
              </w:rPr>
            </w:pPr>
            <w:r w:rsidRPr="00873B6C">
              <w:rPr>
                <w:sz w:val="16"/>
                <w:szCs w:val="16"/>
              </w:rPr>
              <w:t>3593</w:t>
            </w:r>
          </w:p>
        </w:tc>
        <w:tc>
          <w:tcPr>
            <w:tcW w:w="425" w:type="dxa"/>
            <w:shd w:val="solid" w:color="FFFFFF" w:fill="auto"/>
          </w:tcPr>
          <w:p w14:paraId="6B99FEF7" w14:textId="4F8206E1"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0DD72EE3" w14:textId="48E1F068"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132E7656" w14:textId="422CC398" w:rsidR="005309E6" w:rsidRPr="00873B6C" w:rsidRDefault="005309E6" w:rsidP="00F84AAF">
            <w:pPr>
              <w:pStyle w:val="TAL"/>
              <w:rPr>
                <w:sz w:val="16"/>
                <w:szCs w:val="16"/>
              </w:rPr>
            </w:pPr>
            <w:r w:rsidRPr="00873B6C">
              <w:rPr>
                <w:sz w:val="16"/>
                <w:szCs w:val="16"/>
              </w:rPr>
              <w:t>Handling of ARP for IMS voice service in home routed roaming</w:t>
            </w:r>
          </w:p>
        </w:tc>
        <w:tc>
          <w:tcPr>
            <w:tcW w:w="708" w:type="dxa"/>
            <w:shd w:val="solid" w:color="FFFFFF" w:fill="auto"/>
          </w:tcPr>
          <w:p w14:paraId="787E79BC" w14:textId="1F6A50C1" w:rsidR="005309E6" w:rsidRPr="00873B6C" w:rsidRDefault="005309E6" w:rsidP="00F84AAF">
            <w:pPr>
              <w:pStyle w:val="TAC"/>
              <w:rPr>
                <w:sz w:val="16"/>
                <w:szCs w:val="16"/>
              </w:rPr>
            </w:pPr>
            <w:r w:rsidRPr="00873B6C">
              <w:rPr>
                <w:sz w:val="16"/>
                <w:szCs w:val="16"/>
              </w:rPr>
              <w:t>17.5.0</w:t>
            </w:r>
          </w:p>
        </w:tc>
      </w:tr>
      <w:tr w:rsidR="005309E6" w:rsidRPr="00873B6C" w14:paraId="63A4B1E2" w14:textId="77777777" w:rsidTr="009D14FB">
        <w:tc>
          <w:tcPr>
            <w:tcW w:w="800" w:type="dxa"/>
            <w:shd w:val="solid" w:color="FFFFFF" w:fill="auto"/>
          </w:tcPr>
          <w:p w14:paraId="48A15304" w14:textId="4049076A"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6FFA895B" w14:textId="4CAE55F5"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79745E24" w14:textId="44CF43A9" w:rsidR="005309E6" w:rsidRPr="00873B6C" w:rsidRDefault="005309E6" w:rsidP="00F84AAF">
            <w:pPr>
              <w:pStyle w:val="TAC"/>
              <w:rPr>
                <w:sz w:val="16"/>
                <w:szCs w:val="16"/>
              </w:rPr>
            </w:pPr>
            <w:r w:rsidRPr="00873B6C">
              <w:rPr>
                <w:sz w:val="16"/>
                <w:szCs w:val="16"/>
              </w:rPr>
              <w:t>SP-220407</w:t>
            </w:r>
          </w:p>
        </w:tc>
        <w:tc>
          <w:tcPr>
            <w:tcW w:w="567" w:type="dxa"/>
            <w:shd w:val="solid" w:color="FFFFFF" w:fill="auto"/>
          </w:tcPr>
          <w:p w14:paraId="004C957A" w14:textId="633E0A7E" w:rsidR="005309E6" w:rsidRPr="00873B6C" w:rsidRDefault="005309E6" w:rsidP="00F84AAF">
            <w:pPr>
              <w:pStyle w:val="TAL"/>
              <w:rPr>
                <w:sz w:val="16"/>
                <w:szCs w:val="16"/>
              </w:rPr>
            </w:pPr>
            <w:r w:rsidRPr="00873B6C">
              <w:rPr>
                <w:sz w:val="16"/>
                <w:szCs w:val="16"/>
              </w:rPr>
              <w:t>3596</w:t>
            </w:r>
          </w:p>
        </w:tc>
        <w:tc>
          <w:tcPr>
            <w:tcW w:w="425" w:type="dxa"/>
            <w:shd w:val="solid" w:color="FFFFFF" w:fill="auto"/>
          </w:tcPr>
          <w:p w14:paraId="150F0951" w14:textId="5BD57E0A" w:rsidR="005309E6" w:rsidRPr="00873B6C" w:rsidRDefault="005309E6" w:rsidP="00F84AAF">
            <w:pPr>
              <w:pStyle w:val="TAL"/>
              <w:rPr>
                <w:sz w:val="16"/>
                <w:szCs w:val="16"/>
              </w:rPr>
            </w:pPr>
            <w:r w:rsidRPr="00873B6C">
              <w:rPr>
                <w:sz w:val="16"/>
                <w:szCs w:val="16"/>
              </w:rPr>
              <w:t>-</w:t>
            </w:r>
          </w:p>
        </w:tc>
        <w:tc>
          <w:tcPr>
            <w:tcW w:w="425" w:type="dxa"/>
            <w:shd w:val="solid" w:color="FFFFFF" w:fill="auto"/>
          </w:tcPr>
          <w:p w14:paraId="7CE53167" w14:textId="4C67A8A9"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7FA547D6" w14:textId="014636DE" w:rsidR="005309E6" w:rsidRPr="00873B6C" w:rsidRDefault="005309E6" w:rsidP="00F84AAF">
            <w:pPr>
              <w:pStyle w:val="TAL"/>
              <w:rPr>
                <w:sz w:val="16"/>
                <w:szCs w:val="16"/>
              </w:rPr>
            </w:pPr>
            <w:r w:rsidRPr="00873B6C">
              <w:rPr>
                <w:sz w:val="16"/>
                <w:szCs w:val="16"/>
              </w:rPr>
              <w:t>Correction of message name for paging restriction information</w:t>
            </w:r>
          </w:p>
        </w:tc>
        <w:tc>
          <w:tcPr>
            <w:tcW w:w="708" w:type="dxa"/>
            <w:shd w:val="solid" w:color="FFFFFF" w:fill="auto"/>
          </w:tcPr>
          <w:p w14:paraId="02C1E617" w14:textId="147C554F" w:rsidR="005309E6" w:rsidRPr="00873B6C" w:rsidRDefault="005309E6" w:rsidP="00F84AAF">
            <w:pPr>
              <w:pStyle w:val="TAC"/>
              <w:rPr>
                <w:sz w:val="16"/>
                <w:szCs w:val="16"/>
              </w:rPr>
            </w:pPr>
            <w:r w:rsidRPr="00873B6C">
              <w:rPr>
                <w:sz w:val="16"/>
                <w:szCs w:val="16"/>
              </w:rPr>
              <w:t>17.5.0</w:t>
            </w:r>
          </w:p>
        </w:tc>
      </w:tr>
      <w:tr w:rsidR="005309E6" w:rsidRPr="00873B6C" w14:paraId="7E1461BF" w14:textId="77777777" w:rsidTr="009D14FB">
        <w:tc>
          <w:tcPr>
            <w:tcW w:w="800" w:type="dxa"/>
            <w:shd w:val="solid" w:color="FFFFFF" w:fill="auto"/>
          </w:tcPr>
          <w:p w14:paraId="0FF96B44" w14:textId="6EF6C9DB"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6E94BD68" w14:textId="0CAABEF0"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5B333757" w14:textId="04C6BB16" w:rsidR="005309E6" w:rsidRPr="00873B6C" w:rsidRDefault="005309E6" w:rsidP="00F84AAF">
            <w:pPr>
              <w:pStyle w:val="TAC"/>
              <w:rPr>
                <w:sz w:val="16"/>
                <w:szCs w:val="16"/>
              </w:rPr>
            </w:pPr>
            <w:r w:rsidRPr="00873B6C">
              <w:rPr>
                <w:sz w:val="16"/>
                <w:szCs w:val="16"/>
              </w:rPr>
              <w:t>SP-220406</w:t>
            </w:r>
          </w:p>
        </w:tc>
        <w:tc>
          <w:tcPr>
            <w:tcW w:w="567" w:type="dxa"/>
            <w:shd w:val="solid" w:color="FFFFFF" w:fill="auto"/>
          </w:tcPr>
          <w:p w14:paraId="56DEE87C" w14:textId="79A7FAF3" w:rsidR="005309E6" w:rsidRPr="00873B6C" w:rsidRDefault="005309E6" w:rsidP="00F84AAF">
            <w:pPr>
              <w:pStyle w:val="TAL"/>
              <w:rPr>
                <w:sz w:val="16"/>
                <w:szCs w:val="16"/>
              </w:rPr>
            </w:pPr>
            <w:r w:rsidRPr="00873B6C">
              <w:rPr>
                <w:sz w:val="16"/>
                <w:szCs w:val="16"/>
              </w:rPr>
              <w:t>3599</w:t>
            </w:r>
          </w:p>
        </w:tc>
        <w:tc>
          <w:tcPr>
            <w:tcW w:w="425" w:type="dxa"/>
            <w:shd w:val="solid" w:color="FFFFFF" w:fill="auto"/>
          </w:tcPr>
          <w:p w14:paraId="4089BBC2" w14:textId="6101CF6F"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7EF4CBBA" w14:textId="46BD4C70"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10389F00" w14:textId="5B2EECE5" w:rsidR="005309E6" w:rsidRPr="00873B6C" w:rsidRDefault="005309E6" w:rsidP="00F84AAF">
            <w:pPr>
              <w:pStyle w:val="TAL"/>
              <w:rPr>
                <w:sz w:val="16"/>
                <w:szCs w:val="16"/>
              </w:rPr>
            </w:pPr>
            <w:r w:rsidRPr="00873B6C">
              <w:rPr>
                <w:sz w:val="16"/>
                <w:szCs w:val="16"/>
              </w:rPr>
              <w:t>Session related subscription information</w:t>
            </w:r>
          </w:p>
        </w:tc>
        <w:tc>
          <w:tcPr>
            <w:tcW w:w="708" w:type="dxa"/>
            <w:shd w:val="solid" w:color="FFFFFF" w:fill="auto"/>
          </w:tcPr>
          <w:p w14:paraId="6738835D" w14:textId="20629687" w:rsidR="005309E6" w:rsidRPr="00873B6C" w:rsidRDefault="005309E6" w:rsidP="00F84AAF">
            <w:pPr>
              <w:pStyle w:val="TAC"/>
              <w:rPr>
                <w:sz w:val="16"/>
                <w:szCs w:val="16"/>
              </w:rPr>
            </w:pPr>
            <w:r w:rsidRPr="00873B6C">
              <w:rPr>
                <w:sz w:val="16"/>
                <w:szCs w:val="16"/>
              </w:rPr>
              <w:t>17.5.0</w:t>
            </w:r>
          </w:p>
        </w:tc>
      </w:tr>
      <w:tr w:rsidR="005309E6" w:rsidRPr="00873B6C" w14:paraId="7E844C0D" w14:textId="77777777" w:rsidTr="009D14FB">
        <w:tc>
          <w:tcPr>
            <w:tcW w:w="800" w:type="dxa"/>
            <w:shd w:val="solid" w:color="FFFFFF" w:fill="auto"/>
          </w:tcPr>
          <w:p w14:paraId="31ED2A4A" w14:textId="34669D89"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727C37D0" w14:textId="5FB672B3"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22762C16" w14:textId="46C2AB8B" w:rsidR="005309E6" w:rsidRPr="00873B6C" w:rsidRDefault="005309E6" w:rsidP="00F84AAF">
            <w:pPr>
              <w:pStyle w:val="TAC"/>
              <w:rPr>
                <w:sz w:val="16"/>
                <w:szCs w:val="16"/>
              </w:rPr>
            </w:pPr>
            <w:r w:rsidRPr="00873B6C">
              <w:rPr>
                <w:sz w:val="16"/>
                <w:szCs w:val="16"/>
              </w:rPr>
              <w:t>SP-220406</w:t>
            </w:r>
          </w:p>
        </w:tc>
        <w:tc>
          <w:tcPr>
            <w:tcW w:w="567" w:type="dxa"/>
            <w:shd w:val="solid" w:color="FFFFFF" w:fill="auto"/>
          </w:tcPr>
          <w:p w14:paraId="2A8615D8" w14:textId="7A0ADB6A" w:rsidR="005309E6" w:rsidRPr="00873B6C" w:rsidRDefault="005309E6" w:rsidP="00F84AAF">
            <w:pPr>
              <w:pStyle w:val="TAL"/>
              <w:rPr>
                <w:sz w:val="16"/>
                <w:szCs w:val="16"/>
              </w:rPr>
            </w:pPr>
            <w:r w:rsidRPr="00873B6C">
              <w:rPr>
                <w:sz w:val="16"/>
                <w:szCs w:val="16"/>
              </w:rPr>
              <w:t>3600</w:t>
            </w:r>
          </w:p>
        </w:tc>
        <w:tc>
          <w:tcPr>
            <w:tcW w:w="425" w:type="dxa"/>
            <w:shd w:val="solid" w:color="FFFFFF" w:fill="auto"/>
          </w:tcPr>
          <w:p w14:paraId="7500CEBD" w14:textId="778CDA46" w:rsidR="005309E6" w:rsidRPr="00873B6C" w:rsidRDefault="005309E6" w:rsidP="00F84AAF">
            <w:pPr>
              <w:pStyle w:val="TAL"/>
              <w:rPr>
                <w:sz w:val="16"/>
                <w:szCs w:val="16"/>
              </w:rPr>
            </w:pPr>
            <w:r w:rsidRPr="00873B6C">
              <w:rPr>
                <w:sz w:val="16"/>
                <w:szCs w:val="16"/>
              </w:rPr>
              <w:t>2</w:t>
            </w:r>
          </w:p>
        </w:tc>
        <w:tc>
          <w:tcPr>
            <w:tcW w:w="425" w:type="dxa"/>
            <w:shd w:val="solid" w:color="FFFFFF" w:fill="auto"/>
          </w:tcPr>
          <w:p w14:paraId="3B082F9B" w14:textId="7034C6A0"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44172C65" w14:textId="3F332566" w:rsidR="005309E6" w:rsidRPr="00873B6C" w:rsidRDefault="005309E6" w:rsidP="00F84AAF">
            <w:pPr>
              <w:pStyle w:val="TAL"/>
              <w:rPr>
                <w:sz w:val="16"/>
                <w:szCs w:val="16"/>
              </w:rPr>
            </w:pPr>
            <w:r w:rsidRPr="00873B6C">
              <w:rPr>
                <w:sz w:val="16"/>
                <w:szCs w:val="16"/>
              </w:rPr>
              <w:t>Clarification on UE 5GMM Capability</w:t>
            </w:r>
          </w:p>
        </w:tc>
        <w:tc>
          <w:tcPr>
            <w:tcW w:w="708" w:type="dxa"/>
            <w:shd w:val="solid" w:color="FFFFFF" w:fill="auto"/>
          </w:tcPr>
          <w:p w14:paraId="480EE56C" w14:textId="7AF9DB36" w:rsidR="005309E6" w:rsidRPr="00873B6C" w:rsidRDefault="005309E6" w:rsidP="00F84AAF">
            <w:pPr>
              <w:pStyle w:val="TAC"/>
              <w:rPr>
                <w:sz w:val="16"/>
                <w:szCs w:val="16"/>
              </w:rPr>
            </w:pPr>
            <w:r w:rsidRPr="00873B6C">
              <w:rPr>
                <w:sz w:val="16"/>
                <w:szCs w:val="16"/>
              </w:rPr>
              <w:t>17.5.0</w:t>
            </w:r>
          </w:p>
        </w:tc>
      </w:tr>
      <w:tr w:rsidR="005309E6" w:rsidRPr="00873B6C" w14:paraId="7401D68D" w14:textId="77777777" w:rsidTr="009D14FB">
        <w:tc>
          <w:tcPr>
            <w:tcW w:w="800" w:type="dxa"/>
            <w:shd w:val="solid" w:color="FFFFFF" w:fill="auto"/>
          </w:tcPr>
          <w:p w14:paraId="1F1FDFB8" w14:textId="0590C940"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24D64E32" w14:textId="1E8550A1"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4C828F0F" w14:textId="53410CC9" w:rsidR="005309E6" w:rsidRPr="00873B6C" w:rsidRDefault="005309E6" w:rsidP="00F84AAF">
            <w:pPr>
              <w:pStyle w:val="TAC"/>
              <w:rPr>
                <w:sz w:val="16"/>
                <w:szCs w:val="16"/>
              </w:rPr>
            </w:pPr>
            <w:r w:rsidRPr="00873B6C">
              <w:rPr>
                <w:sz w:val="16"/>
                <w:szCs w:val="16"/>
              </w:rPr>
              <w:t>SP-220406</w:t>
            </w:r>
          </w:p>
        </w:tc>
        <w:tc>
          <w:tcPr>
            <w:tcW w:w="567" w:type="dxa"/>
            <w:shd w:val="solid" w:color="FFFFFF" w:fill="auto"/>
          </w:tcPr>
          <w:p w14:paraId="47B70372" w14:textId="5010FE43" w:rsidR="005309E6" w:rsidRPr="00873B6C" w:rsidRDefault="005309E6" w:rsidP="00F84AAF">
            <w:pPr>
              <w:pStyle w:val="TAL"/>
              <w:rPr>
                <w:sz w:val="16"/>
                <w:szCs w:val="16"/>
              </w:rPr>
            </w:pPr>
            <w:r w:rsidRPr="00873B6C">
              <w:rPr>
                <w:sz w:val="16"/>
                <w:szCs w:val="16"/>
              </w:rPr>
              <w:t>3601</w:t>
            </w:r>
          </w:p>
        </w:tc>
        <w:tc>
          <w:tcPr>
            <w:tcW w:w="425" w:type="dxa"/>
            <w:shd w:val="solid" w:color="FFFFFF" w:fill="auto"/>
          </w:tcPr>
          <w:p w14:paraId="530C13D0" w14:textId="43845399" w:rsidR="005309E6" w:rsidRPr="00873B6C" w:rsidRDefault="005309E6" w:rsidP="00F84AAF">
            <w:pPr>
              <w:pStyle w:val="TAL"/>
              <w:rPr>
                <w:sz w:val="16"/>
                <w:szCs w:val="16"/>
              </w:rPr>
            </w:pPr>
            <w:r w:rsidRPr="00873B6C">
              <w:rPr>
                <w:sz w:val="16"/>
                <w:szCs w:val="16"/>
              </w:rPr>
              <w:t>-</w:t>
            </w:r>
          </w:p>
        </w:tc>
        <w:tc>
          <w:tcPr>
            <w:tcW w:w="425" w:type="dxa"/>
            <w:shd w:val="solid" w:color="FFFFFF" w:fill="auto"/>
          </w:tcPr>
          <w:p w14:paraId="116105E1" w14:textId="67E69600"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522B511E" w14:textId="13337522" w:rsidR="005309E6" w:rsidRPr="00873B6C" w:rsidRDefault="005309E6" w:rsidP="00F84AAF">
            <w:pPr>
              <w:pStyle w:val="TAL"/>
              <w:rPr>
                <w:sz w:val="16"/>
                <w:szCs w:val="16"/>
              </w:rPr>
            </w:pPr>
            <w:r w:rsidRPr="00873B6C">
              <w:rPr>
                <w:sz w:val="16"/>
                <w:szCs w:val="16"/>
              </w:rPr>
              <w:t>Removing the editor's note related to CT1</w:t>
            </w:r>
          </w:p>
        </w:tc>
        <w:tc>
          <w:tcPr>
            <w:tcW w:w="708" w:type="dxa"/>
            <w:shd w:val="solid" w:color="FFFFFF" w:fill="auto"/>
          </w:tcPr>
          <w:p w14:paraId="62D3D792" w14:textId="42D0F478" w:rsidR="005309E6" w:rsidRPr="00873B6C" w:rsidRDefault="005309E6" w:rsidP="00F84AAF">
            <w:pPr>
              <w:pStyle w:val="TAC"/>
              <w:rPr>
                <w:sz w:val="16"/>
                <w:szCs w:val="16"/>
              </w:rPr>
            </w:pPr>
            <w:r w:rsidRPr="00873B6C">
              <w:rPr>
                <w:sz w:val="16"/>
                <w:szCs w:val="16"/>
              </w:rPr>
              <w:t>17.5.0</w:t>
            </w:r>
          </w:p>
        </w:tc>
      </w:tr>
      <w:tr w:rsidR="005309E6" w:rsidRPr="00873B6C" w14:paraId="2A778831" w14:textId="77777777" w:rsidTr="009D14FB">
        <w:tc>
          <w:tcPr>
            <w:tcW w:w="800" w:type="dxa"/>
            <w:shd w:val="solid" w:color="FFFFFF" w:fill="auto"/>
          </w:tcPr>
          <w:p w14:paraId="39F64039" w14:textId="46B0791F"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370A9F27" w14:textId="7B237260"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2D8869D8" w14:textId="2813DE2C" w:rsidR="005309E6" w:rsidRPr="00873B6C" w:rsidRDefault="005309E6" w:rsidP="00F84AAF">
            <w:pPr>
              <w:pStyle w:val="TAC"/>
              <w:rPr>
                <w:sz w:val="16"/>
                <w:szCs w:val="16"/>
              </w:rPr>
            </w:pPr>
            <w:r w:rsidRPr="00873B6C">
              <w:rPr>
                <w:sz w:val="16"/>
                <w:szCs w:val="16"/>
              </w:rPr>
              <w:t>SP-220394</w:t>
            </w:r>
          </w:p>
        </w:tc>
        <w:tc>
          <w:tcPr>
            <w:tcW w:w="567" w:type="dxa"/>
            <w:shd w:val="solid" w:color="FFFFFF" w:fill="auto"/>
          </w:tcPr>
          <w:p w14:paraId="655152AA" w14:textId="25AA734A" w:rsidR="005309E6" w:rsidRPr="00873B6C" w:rsidRDefault="005309E6" w:rsidP="00F84AAF">
            <w:pPr>
              <w:pStyle w:val="TAL"/>
              <w:rPr>
                <w:sz w:val="16"/>
                <w:szCs w:val="16"/>
              </w:rPr>
            </w:pPr>
            <w:r w:rsidRPr="00873B6C">
              <w:rPr>
                <w:sz w:val="16"/>
                <w:szCs w:val="16"/>
              </w:rPr>
              <w:t>3604</w:t>
            </w:r>
          </w:p>
        </w:tc>
        <w:tc>
          <w:tcPr>
            <w:tcW w:w="425" w:type="dxa"/>
            <w:shd w:val="solid" w:color="FFFFFF" w:fill="auto"/>
          </w:tcPr>
          <w:p w14:paraId="7BDD43BB" w14:textId="36924441"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727C666D" w14:textId="5D107B16"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2972496D" w14:textId="5C3E47E3" w:rsidR="005309E6" w:rsidRPr="00873B6C" w:rsidRDefault="005309E6" w:rsidP="00F84AAF">
            <w:pPr>
              <w:pStyle w:val="TAL"/>
              <w:rPr>
                <w:sz w:val="16"/>
                <w:szCs w:val="16"/>
              </w:rPr>
            </w:pPr>
            <w:r w:rsidRPr="00873B6C">
              <w:rPr>
                <w:sz w:val="16"/>
                <w:szCs w:val="16"/>
              </w:rPr>
              <w:t>Criterion of Verification of UE location for UE registering via 5G Satellite Access</w:t>
            </w:r>
          </w:p>
        </w:tc>
        <w:tc>
          <w:tcPr>
            <w:tcW w:w="708" w:type="dxa"/>
            <w:shd w:val="solid" w:color="FFFFFF" w:fill="auto"/>
          </w:tcPr>
          <w:p w14:paraId="2077AEBF" w14:textId="6C39D66D" w:rsidR="005309E6" w:rsidRPr="00873B6C" w:rsidRDefault="005309E6" w:rsidP="00F84AAF">
            <w:pPr>
              <w:pStyle w:val="TAC"/>
              <w:rPr>
                <w:sz w:val="16"/>
                <w:szCs w:val="16"/>
              </w:rPr>
            </w:pPr>
            <w:r w:rsidRPr="00873B6C">
              <w:rPr>
                <w:sz w:val="16"/>
                <w:szCs w:val="16"/>
              </w:rPr>
              <w:t>17.5.0</w:t>
            </w:r>
          </w:p>
        </w:tc>
      </w:tr>
      <w:tr w:rsidR="005309E6" w:rsidRPr="00873B6C" w14:paraId="4BFF5658" w14:textId="77777777" w:rsidTr="009D14FB">
        <w:tc>
          <w:tcPr>
            <w:tcW w:w="800" w:type="dxa"/>
            <w:shd w:val="solid" w:color="FFFFFF" w:fill="auto"/>
          </w:tcPr>
          <w:p w14:paraId="60FE930B" w14:textId="1DA05AC4"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215BE869" w14:textId="2BC6E127"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5DEFCEB2" w14:textId="58EEA4A8" w:rsidR="005309E6" w:rsidRPr="00873B6C" w:rsidRDefault="005309E6" w:rsidP="00F84AAF">
            <w:pPr>
              <w:pStyle w:val="TAC"/>
              <w:rPr>
                <w:sz w:val="16"/>
                <w:szCs w:val="16"/>
              </w:rPr>
            </w:pPr>
            <w:r w:rsidRPr="00873B6C">
              <w:rPr>
                <w:sz w:val="16"/>
                <w:szCs w:val="16"/>
              </w:rPr>
              <w:t>SP-220404</w:t>
            </w:r>
          </w:p>
        </w:tc>
        <w:tc>
          <w:tcPr>
            <w:tcW w:w="567" w:type="dxa"/>
            <w:shd w:val="solid" w:color="FFFFFF" w:fill="auto"/>
          </w:tcPr>
          <w:p w14:paraId="53D9789A" w14:textId="6834B075" w:rsidR="005309E6" w:rsidRPr="00873B6C" w:rsidRDefault="005309E6" w:rsidP="00F84AAF">
            <w:pPr>
              <w:pStyle w:val="TAL"/>
              <w:rPr>
                <w:sz w:val="16"/>
                <w:szCs w:val="16"/>
              </w:rPr>
            </w:pPr>
            <w:r w:rsidRPr="00873B6C">
              <w:rPr>
                <w:sz w:val="16"/>
                <w:szCs w:val="16"/>
              </w:rPr>
              <w:t>3605</w:t>
            </w:r>
          </w:p>
        </w:tc>
        <w:tc>
          <w:tcPr>
            <w:tcW w:w="425" w:type="dxa"/>
            <w:shd w:val="solid" w:color="FFFFFF" w:fill="auto"/>
          </w:tcPr>
          <w:p w14:paraId="58F48209" w14:textId="0131324C"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372D8829" w14:textId="1562FF11"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68CD4E28" w14:textId="54ADD659" w:rsidR="005309E6" w:rsidRPr="00873B6C" w:rsidRDefault="005309E6" w:rsidP="00F84AAF">
            <w:pPr>
              <w:pStyle w:val="TAL"/>
              <w:rPr>
                <w:sz w:val="16"/>
                <w:szCs w:val="16"/>
              </w:rPr>
            </w:pPr>
            <w:r w:rsidRPr="00873B6C">
              <w:rPr>
                <w:sz w:val="16"/>
                <w:szCs w:val="16"/>
              </w:rPr>
              <w:t>Corrections to Survival Time description</w:t>
            </w:r>
          </w:p>
        </w:tc>
        <w:tc>
          <w:tcPr>
            <w:tcW w:w="708" w:type="dxa"/>
            <w:shd w:val="solid" w:color="FFFFFF" w:fill="auto"/>
          </w:tcPr>
          <w:p w14:paraId="273C3664" w14:textId="30DF228A" w:rsidR="005309E6" w:rsidRPr="00873B6C" w:rsidRDefault="005309E6" w:rsidP="00F84AAF">
            <w:pPr>
              <w:pStyle w:val="TAC"/>
              <w:rPr>
                <w:sz w:val="16"/>
                <w:szCs w:val="16"/>
              </w:rPr>
            </w:pPr>
            <w:r w:rsidRPr="00873B6C">
              <w:rPr>
                <w:sz w:val="16"/>
                <w:szCs w:val="16"/>
              </w:rPr>
              <w:t>17.5.0</w:t>
            </w:r>
          </w:p>
        </w:tc>
      </w:tr>
      <w:tr w:rsidR="005309E6" w:rsidRPr="00873B6C" w14:paraId="47DB626F" w14:textId="77777777" w:rsidTr="009D14FB">
        <w:tc>
          <w:tcPr>
            <w:tcW w:w="800" w:type="dxa"/>
            <w:shd w:val="solid" w:color="FFFFFF" w:fill="auto"/>
          </w:tcPr>
          <w:p w14:paraId="38343396" w14:textId="465C230D"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45ABCC9C" w14:textId="57B984AF"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6AD54700" w14:textId="19D4FA13" w:rsidR="005309E6" w:rsidRPr="00873B6C" w:rsidRDefault="005309E6" w:rsidP="00F84AAF">
            <w:pPr>
              <w:pStyle w:val="TAC"/>
              <w:rPr>
                <w:sz w:val="16"/>
                <w:szCs w:val="16"/>
              </w:rPr>
            </w:pPr>
            <w:r w:rsidRPr="00873B6C">
              <w:rPr>
                <w:sz w:val="16"/>
                <w:szCs w:val="16"/>
              </w:rPr>
              <w:t>SP-220404</w:t>
            </w:r>
          </w:p>
        </w:tc>
        <w:tc>
          <w:tcPr>
            <w:tcW w:w="567" w:type="dxa"/>
            <w:shd w:val="solid" w:color="FFFFFF" w:fill="auto"/>
          </w:tcPr>
          <w:p w14:paraId="1311AC09" w14:textId="7E30C6AE" w:rsidR="005309E6" w:rsidRPr="00873B6C" w:rsidRDefault="005309E6" w:rsidP="00F84AAF">
            <w:pPr>
              <w:pStyle w:val="TAL"/>
              <w:rPr>
                <w:sz w:val="16"/>
                <w:szCs w:val="16"/>
              </w:rPr>
            </w:pPr>
            <w:r w:rsidRPr="00873B6C">
              <w:rPr>
                <w:sz w:val="16"/>
                <w:szCs w:val="16"/>
              </w:rPr>
              <w:t>3606</w:t>
            </w:r>
          </w:p>
        </w:tc>
        <w:tc>
          <w:tcPr>
            <w:tcW w:w="425" w:type="dxa"/>
            <w:shd w:val="solid" w:color="FFFFFF" w:fill="auto"/>
          </w:tcPr>
          <w:p w14:paraId="28019170" w14:textId="12C21A07"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5F354A0E" w14:textId="698EBFAE"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1A66E929" w14:textId="0999794C" w:rsidR="005309E6" w:rsidRPr="00873B6C" w:rsidRDefault="005309E6" w:rsidP="00F84AAF">
            <w:pPr>
              <w:pStyle w:val="TAL"/>
              <w:rPr>
                <w:sz w:val="16"/>
                <w:szCs w:val="16"/>
              </w:rPr>
            </w:pPr>
            <w:r w:rsidRPr="00873B6C">
              <w:rPr>
                <w:sz w:val="16"/>
                <w:szCs w:val="16"/>
              </w:rPr>
              <w:t>Corrections to time synchronization description</w:t>
            </w:r>
          </w:p>
        </w:tc>
        <w:tc>
          <w:tcPr>
            <w:tcW w:w="708" w:type="dxa"/>
            <w:shd w:val="solid" w:color="FFFFFF" w:fill="auto"/>
          </w:tcPr>
          <w:p w14:paraId="790B76D9" w14:textId="0E08E537" w:rsidR="005309E6" w:rsidRPr="00873B6C" w:rsidRDefault="005309E6" w:rsidP="00F84AAF">
            <w:pPr>
              <w:pStyle w:val="TAC"/>
              <w:rPr>
                <w:sz w:val="16"/>
                <w:szCs w:val="16"/>
              </w:rPr>
            </w:pPr>
            <w:r w:rsidRPr="00873B6C">
              <w:rPr>
                <w:sz w:val="16"/>
                <w:szCs w:val="16"/>
              </w:rPr>
              <w:t>17.5.0</w:t>
            </w:r>
          </w:p>
        </w:tc>
      </w:tr>
      <w:tr w:rsidR="00E06501" w:rsidRPr="00873B6C" w14:paraId="1520FA9E" w14:textId="77777777" w:rsidTr="009D14FB">
        <w:tc>
          <w:tcPr>
            <w:tcW w:w="800" w:type="dxa"/>
            <w:shd w:val="solid" w:color="FFFFFF" w:fill="auto"/>
          </w:tcPr>
          <w:p w14:paraId="595F692F" w14:textId="2D3B489B" w:rsidR="00E06501" w:rsidRPr="00873B6C" w:rsidRDefault="00E06501" w:rsidP="00F84AAF">
            <w:pPr>
              <w:pStyle w:val="TAC"/>
              <w:rPr>
                <w:sz w:val="16"/>
                <w:szCs w:val="16"/>
              </w:rPr>
            </w:pPr>
            <w:r w:rsidRPr="00873B6C">
              <w:rPr>
                <w:sz w:val="16"/>
                <w:szCs w:val="16"/>
              </w:rPr>
              <w:t>2022-06</w:t>
            </w:r>
          </w:p>
        </w:tc>
        <w:tc>
          <w:tcPr>
            <w:tcW w:w="800" w:type="dxa"/>
            <w:shd w:val="solid" w:color="FFFFFF" w:fill="auto"/>
          </w:tcPr>
          <w:p w14:paraId="3C5303B2" w14:textId="565D278B" w:rsidR="00E06501" w:rsidRPr="00873B6C" w:rsidRDefault="00E06501" w:rsidP="00F84AAF">
            <w:pPr>
              <w:pStyle w:val="TAL"/>
              <w:rPr>
                <w:sz w:val="16"/>
                <w:szCs w:val="16"/>
              </w:rPr>
            </w:pPr>
            <w:r w:rsidRPr="00873B6C">
              <w:rPr>
                <w:sz w:val="16"/>
                <w:szCs w:val="16"/>
              </w:rPr>
              <w:t>SP#96</w:t>
            </w:r>
          </w:p>
        </w:tc>
        <w:tc>
          <w:tcPr>
            <w:tcW w:w="1094" w:type="dxa"/>
            <w:shd w:val="solid" w:color="FFFFFF" w:fill="auto"/>
          </w:tcPr>
          <w:p w14:paraId="57C19DE0" w14:textId="4627A345" w:rsidR="00E06501" w:rsidRPr="00873B6C" w:rsidRDefault="00E06501" w:rsidP="00F84AAF">
            <w:pPr>
              <w:pStyle w:val="TAC"/>
              <w:rPr>
                <w:sz w:val="16"/>
                <w:szCs w:val="16"/>
              </w:rPr>
            </w:pPr>
            <w:r w:rsidRPr="00873B6C">
              <w:rPr>
                <w:sz w:val="16"/>
                <w:szCs w:val="16"/>
              </w:rPr>
              <w:t>SP-220394</w:t>
            </w:r>
          </w:p>
        </w:tc>
        <w:tc>
          <w:tcPr>
            <w:tcW w:w="567" w:type="dxa"/>
            <w:shd w:val="solid" w:color="FFFFFF" w:fill="auto"/>
          </w:tcPr>
          <w:p w14:paraId="39D28EE4" w14:textId="3C4F14AC" w:rsidR="00E06501" w:rsidRPr="00873B6C" w:rsidRDefault="00E06501" w:rsidP="00F84AAF">
            <w:pPr>
              <w:pStyle w:val="TAL"/>
              <w:rPr>
                <w:sz w:val="16"/>
                <w:szCs w:val="16"/>
              </w:rPr>
            </w:pPr>
            <w:r w:rsidRPr="00873B6C">
              <w:rPr>
                <w:sz w:val="16"/>
                <w:szCs w:val="16"/>
              </w:rPr>
              <w:t>3607</w:t>
            </w:r>
          </w:p>
        </w:tc>
        <w:tc>
          <w:tcPr>
            <w:tcW w:w="425" w:type="dxa"/>
            <w:shd w:val="solid" w:color="FFFFFF" w:fill="auto"/>
          </w:tcPr>
          <w:p w14:paraId="5DC0859C" w14:textId="58609C7E" w:rsidR="00E06501" w:rsidRPr="00873B6C" w:rsidRDefault="00E06501" w:rsidP="00F84AAF">
            <w:pPr>
              <w:pStyle w:val="TAL"/>
              <w:rPr>
                <w:sz w:val="16"/>
                <w:szCs w:val="16"/>
              </w:rPr>
            </w:pPr>
            <w:r w:rsidRPr="00873B6C">
              <w:rPr>
                <w:sz w:val="16"/>
                <w:szCs w:val="16"/>
              </w:rPr>
              <w:t>1</w:t>
            </w:r>
          </w:p>
        </w:tc>
        <w:tc>
          <w:tcPr>
            <w:tcW w:w="425" w:type="dxa"/>
            <w:shd w:val="solid" w:color="FFFFFF" w:fill="auto"/>
          </w:tcPr>
          <w:p w14:paraId="3DD2A822" w14:textId="4711DC98" w:rsidR="00E06501" w:rsidRPr="00873B6C" w:rsidRDefault="00E06501" w:rsidP="00F84AAF">
            <w:pPr>
              <w:pStyle w:val="TAL"/>
              <w:rPr>
                <w:sz w:val="16"/>
                <w:szCs w:val="16"/>
              </w:rPr>
            </w:pPr>
            <w:r w:rsidRPr="00873B6C">
              <w:rPr>
                <w:sz w:val="16"/>
                <w:szCs w:val="16"/>
              </w:rPr>
              <w:t>F</w:t>
            </w:r>
          </w:p>
        </w:tc>
        <w:tc>
          <w:tcPr>
            <w:tcW w:w="4820" w:type="dxa"/>
            <w:shd w:val="solid" w:color="FFFFFF" w:fill="auto"/>
          </w:tcPr>
          <w:p w14:paraId="558900DC" w14:textId="61CE24D1" w:rsidR="00E06501" w:rsidRPr="00873B6C" w:rsidRDefault="00E06501" w:rsidP="00F84AAF">
            <w:pPr>
              <w:pStyle w:val="TAL"/>
              <w:rPr>
                <w:sz w:val="16"/>
                <w:szCs w:val="16"/>
              </w:rPr>
            </w:pPr>
            <w:r w:rsidRPr="00873B6C">
              <w:rPr>
                <w:sz w:val="16"/>
                <w:szCs w:val="16"/>
              </w:rPr>
              <w:t>Clarification on AMF obtaining the satellite-related information</w:t>
            </w:r>
          </w:p>
        </w:tc>
        <w:tc>
          <w:tcPr>
            <w:tcW w:w="708" w:type="dxa"/>
            <w:shd w:val="solid" w:color="FFFFFF" w:fill="auto"/>
          </w:tcPr>
          <w:p w14:paraId="03F2CFF7" w14:textId="0BD2ACEB" w:rsidR="00E06501" w:rsidRPr="00873B6C" w:rsidRDefault="00E06501" w:rsidP="00F84AAF">
            <w:pPr>
              <w:pStyle w:val="TAC"/>
              <w:rPr>
                <w:sz w:val="16"/>
                <w:szCs w:val="16"/>
              </w:rPr>
            </w:pPr>
            <w:r w:rsidRPr="00873B6C">
              <w:rPr>
                <w:sz w:val="16"/>
                <w:szCs w:val="16"/>
              </w:rPr>
              <w:t>17.5.0</w:t>
            </w:r>
          </w:p>
        </w:tc>
      </w:tr>
      <w:tr w:rsidR="00E06501" w:rsidRPr="00873B6C" w14:paraId="17B111A2" w14:textId="77777777" w:rsidTr="009D14FB">
        <w:tc>
          <w:tcPr>
            <w:tcW w:w="800" w:type="dxa"/>
            <w:shd w:val="solid" w:color="FFFFFF" w:fill="auto"/>
          </w:tcPr>
          <w:p w14:paraId="7C1C731E" w14:textId="7EFE3A21" w:rsidR="00E06501" w:rsidRPr="00873B6C" w:rsidRDefault="00E06501" w:rsidP="00F84AAF">
            <w:pPr>
              <w:pStyle w:val="TAC"/>
              <w:rPr>
                <w:sz w:val="16"/>
                <w:szCs w:val="16"/>
              </w:rPr>
            </w:pPr>
            <w:r w:rsidRPr="00873B6C">
              <w:rPr>
                <w:sz w:val="16"/>
                <w:szCs w:val="16"/>
              </w:rPr>
              <w:t>2022-06</w:t>
            </w:r>
          </w:p>
        </w:tc>
        <w:tc>
          <w:tcPr>
            <w:tcW w:w="800" w:type="dxa"/>
            <w:shd w:val="solid" w:color="FFFFFF" w:fill="auto"/>
          </w:tcPr>
          <w:p w14:paraId="6A79317E" w14:textId="7A0912B9" w:rsidR="00E06501" w:rsidRPr="00873B6C" w:rsidRDefault="00E06501" w:rsidP="00F84AAF">
            <w:pPr>
              <w:pStyle w:val="TAL"/>
              <w:rPr>
                <w:sz w:val="16"/>
                <w:szCs w:val="16"/>
              </w:rPr>
            </w:pPr>
            <w:r w:rsidRPr="00873B6C">
              <w:rPr>
                <w:sz w:val="16"/>
                <w:szCs w:val="16"/>
              </w:rPr>
              <w:t>SP#96</w:t>
            </w:r>
          </w:p>
        </w:tc>
        <w:tc>
          <w:tcPr>
            <w:tcW w:w="1094" w:type="dxa"/>
            <w:shd w:val="solid" w:color="FFFFFF" w:fill="auto"/>
          </w:tcPr>
          <w:p w14:paraId="466CA8AF" w14:textId="3EA68BBB" w:rsidR="00E06501" w:rsidRPr="00873B6C" w:rsidRDefault="00E06501" w:rsidP="00F84AAF">
            <w:pPr>
              <w:pStyle w:val="TAC"/>
              <w:rPr>
                <w:sz w:val="16"/>
                <w:szCs w:val="16"/>
              </w:rPr>
            </w:pPr>
            <w:r w:rsidRPr="00873B6C">
              <w:rPr>
                <w:sz w:val="16"/>
                <w:szCs w:val="16"/>
              </w:rPr>
              <w:t>SP-220400</w:t>
            </w:r>
          </w:p>
        </w:tc>
        <w:tc>
          <w:tcPr>
            <w:tcW w:w="567" w:type="dxa"/>
            <w:shd w:val="solid" w:color="FFFFFF" w:fill="auto"/>
          </w:tcPr>
          <w:p w14:paraId="5190095B" w14:textId="2A1B1C76" w:rsidR="00E06501" w:rsidRPr="00873B6C" w:rsidRDefault="00E06501" w:rsidP="00F84AAF">
            <w:pPr>
              <w:pStyle w:val="TAL"/>
              <w:rPr>
                <w:sz w:val="16"/>
                <w:szCs w:val="16"/>
              </w:rPr>
            </w:pPr>
            <w:r w:rsidRPr="00873B6C">
              <w:rPr>
                <w:sz w:val="16"/>
                <w:szCs w:val="16"/>
              </w:rPr>
              <w:t>3609</w:t>
            </w:r>
          </w:p>
        </w:tc>
        <w:tc>
          <w:tcPr>
            <w:tcW w:w="425" w:type="dxa"/>
            <w:shd w:val="solid" w:color="FFFFFF" w:fill="auto"/>
          </w:tcPr>
          <w:p w14:paraId="1DC3C259" w14:textId="717BD6EB" w:rsidR="00E06501" w:rsidRPr="00873B6C" w:rsidRDefault="00E06501" w:rsidP="00F84AAF">
            <w:pPr>
              <w:pStyle w:val="TAL"/>
              <w:rPr>
                <w:sz w:val="16"/>
                <w:szCs w:val="16"/>
              </w:rPr>
            </w:pPr>
            <w:r w:rsidRPr="00873B6C">
              <w:rPr>
                <w:sz w:val="16"/>
                <w:szCs w:val="16"/>
              </w:rPr>
              <w:t>1</w:t>
            </w:r>
          </w:p>
        </w:tc>
        <w:tc>
          <w:tcPr>
            <w:tcW w:w="425" w:type="dxa"/>
            <w:shd w:val="solid" w:color="FFFFFF" w:fill="auto"/>
          </w:tcPr>
          <w:p w14:paraId="7A03A573" w14:textId="53F5E690" w:rsidR="00E06501" w:rsidRPr="00873B6C" w:rsidRDefault="00E06501" w:rsidP="00F84AAF">
            <w:pPr>
              <w:pStyle w:val="TAL"/>
              <w:rPr>
                <w:sz w:val="16"/>
                <w:szCs w:val="16"/>
              </w:rPr>
            </w:pPr>
            <w:r w:rsidRPr="00873B6C">
              <w:rPr>
                <w:sz w:val="16"/>
                <w:szCs w:val="16"/>
              </w:rPr>
              <w:t>F</w:t>
            </w:r>
          </w:p>
        </w:tc>
        <w:tc>
          <w:tcPr>
            <w:tcW w:w="4820" w:type="dxa"/>
            <w:shd w:val="solid" w:color="FFFFFF" w:fill="auto"/>
          </w:tcPr>
          <w:p w14:paraId="78EF13CD" w14:textId="268E35E6" w:rsidR="00E06501" w:rsidRPr="00873B6C" w:rsidRDefault="00E06501" w:rsidP="00F84AAF">
            <w:pPr>
              <w:pStyle w:val="TAL"/>
              <w:rPr>
                <w:sz w:val="16"/>
                <w:szCs w:val="16"/>
              </w:rPr>
            </w:pPr>
            <w:r w:rsidRPr="00873B6C">
              <w:rPr>
                <w:sz w:val="16"/>
                <w:szCs w:val="16"/>
              </w:rPr>
              <w:t>SMF UP remote provisioning capability</w:t>
            </w:r>
          </w:p>
        </w:tc>
        <w:tc>
          <w:tcPr>
            <w:tcW w:w="708" w:type="dxa"/>
            <w:shd w:val="solid" w:color="FFFFFF" w:fill="auto"/>
          </w:tcPr>
          <w:p w14:paraId="06D79663" w14:textId="2882ADDE" w:rsidR="00E06501" w:rsidRPr="00873B6C" w:rsidRDefault="00E06501" w:rsidP="00F84AAF">
            <w:pPr>
              <w:pStyle w:val="TAC"/>
              <w:rPr>
                <w:sz w:val="16"/>
                <w:szCs w:val="16"/>
              </w:rPr>
            </w:pPr>
            <w:r w:rsidRPr="00873B6C">
              <w:rPr>
                <w:sz w:val="16"/>
                <w:szCs w:val="16"/>
              </w:rPr>
              <w:t>17.5.0</w:t>
            </w:r>
          </w:p>
        </w:tc>
      </w:tr>
      <w:tr w:rsidR="00E06501" w:rsidRPr="00873B6C" w14:paraId="2E6B502C" w14:textId="77777777" w:rsidTr="009D14FB">
        <w:tc>
          <w:tcPr>
            <w:tcW w:w="800" w:type="dxa"/>
            <w:shd w:val="solid" w:color="FFFFFF" w:fill="auto"/>
          </w:tcPr>
          <w:p w14:paraId="4B72E226" w14:textId="65EF75AF" w:rsidR="00E06501" w:rsidRPr="00873B6C" w:rsidRDefault="00E06501" w:rsidP="00F84AAF">
            <w:pPr>
              <w:pStyle w:val="TAC"/>
              <w:rPr>
                <w:sz w:val="16"/>
                <w:szCs w:val="16"/>
              </w:rPr>
            </w:pPr>
            <w:r w:rsidRPr="00873B6C">
              <w:rPr>
                <w:sz w:val="16"/>
                <w:szCs w:val="16"/>
              </w:rPr>
              <w:t>2022-06</w:t>
            </w:r>
          </w:p>
        </w:tc>
        <w:tc>
          <w:tcPr>
            <w:tcW w:w="800" w:type="dxa"/>
            <w:shd w:val="solid" w:color="FFFFFF" w:fill="auto"/>
          </w:tcPr>
          <w:p w14:paraId="115AA280" w14:textId="2E82A247" w:rsidR="00E06501" w:rsidRPr="00873B6C" w:rsidRDefault="00E06501" w:rsidP="00F84AAF">
            <w:pPr>
              <w:pStyle w:val="TAL"/>
              <w:rPr>
                <w:sz w:val="16"/>
                <w:szCs w:val="16"/>
              </w:rPr>
            </w:pPr>
            <w:r w:rsidRPr="00873B6C">
              <w:rPr>
                <w:sz w:val="16"/>
                <w:szCs w:val="16"/>
              </w:rPr>
              <w:t>SP#96</w:t>
            </w:r>
          </w:p>
        </w:tc>
        <w:tc>
          <w:tcPr>
            <w:tcW w:w="1094" w:type="dxa"/>
            <w:shd w:val="solid" w:color="FFFFFF" w:fill="auto"/>
          </w:tcPr>
          <w:p w14:paraId="5D18C20B" w14:textId="2B84C659" w:rsidR="00E06501" w:rsidRPr="00873B6C" w:rsidRDefault="00E06501" w:rsidP="00F84AAF">
            <w:pPr>
              <w:pStyle w:val="TAC"/>
              <w:rPr>
                <w:sz w:val="16"/>
                <w:szCs w:val="16"/>
              </w:rPr>
            </w:pPr>
            <w:r w:rsidRPr="00873B6C">
              <w:rPr>
                <w:sz w:val="16"/>
                <w:szCs w:val="16"/>
              </w:rPr>
              <w:t>SP-220396</w:t>
            </w:r>
          </w:p>
        </w:tc>
        <w:tc>
          <w:tcPr>
            <w:tcW w:w="567" w:type="dxa"/>
            <w:shd w:val="solid" w:color="FFFFFF" w:fill="auto"/>
          </w:tcPr>
          <w:p w14:paraId="19D90D05" w14:textId="63C70706" w:rsidR="00E06501" w:rsidRPr="00873B6C" w:rsidRDefault="00E06501" w:rsidP="00F84AAF">
            <w:pPr>
              <w:pStyle w:val="TAL"/>
              <w:rPr>
                <w:sz w:val="16"/>
                <w:szCs w:val="16"/>
              </w:rPr>
            </w:pPr>
            <w:r w:rsidRPr="00873B6C">
              <w:rPr>
                <w:sz w:val="16"/>
                <w:szCs w:val="16"/>
              </w:rPr>
              <w:t>3612</w:t>
            </w:r>
          </w:p>
        </w:tc>
        <w:tc>
          <w:tcPr>
            <w:tcW w:w="425" w:type="dxa"/>
            <w:shd w:val="solid" w:color="FFFFFF" w:fill="auto"/>
          </w:tcPr>
          <w:p w14:paraId="36D5374F" w14:textId="7C71542A" w:rsidR="00E06501" w:rsidRPr="00873B6C" w:rsidRDefault="00E06501" w:rsidP="00F84AAF">
            <w:pPr>
              <w:pStyle w:val="TAL"/>
              <w:rPr>
                <w:sz w:val="16"/>
                <w:szCs w:val="16"/>
              </w:rPr>
            </w:pPr>
            <w:r w:rsidRPr="00873B6C">
              <w:rPr>
                <w:sz w:val="16"/>
                <w:szCs w:val="16"/>
              </w:rPr>
              <w:t>2</w:t>
            </w:r>
          </w:p>
        </w:tc>
        <w:tc>
          <w:tcPr>
            <w:tcW w:w="425" w:type="dxa"/>
            <w:shd w:val="solid" w:color="FFFFFF" w:fill="auto"/>
          </w:tcPr>
          <w:p w14:paraId="2CB797E9" w14:textId="572B371A" w:rsidR="00E06501" w:rsidRPr="00873B6C" w:rsidRDefault="00E06501" w:rsidP="00F84AAF">
            <w:pPr>
              <w:pStyle w:val="TAL"/>
              <w:rPr>
                <w:sz w:val="16"/>
                <w:szCs w:val="16"/>
              </w:rPr>
            </w:pPr>
            <w:r w:rsidRPr="00873B6C">
              <w:rPr>
                <w:sz w:val="16"/>
                <w:szCs w:val="16"/>
              </w:rPr>
              <w:t>F</w:t>
            </w:r>
          </w:p>
        </w:tc>
        <w:tc>
          <w:tcPr>
            <w:tcW w:w="4820" w:type="dxa"/>
            <w:shd w:val="solid" w:color="FFFFFF" w:fill="auto"/>
          </w:tcPr>
          <w:p w14:paraId="1A4B80B1" w14:textId="511B5125" w:rsidR="00E06501" w:rsidRPr="00873B6C" w:rsidRDefault="00E06501" w:rsidP="00F84AAF">
            <w:pPr>
              <w:pStyle w:val="TAL"/>
              <w:rPr>
                <w:sz w:val="16"/>
                <w:szCs w:val="16"/>
              </w:rPr>
            </w:pPr>
            <w:r w:rsidRPr="00873B6C">
              <w:rPr>
                <w:sz w:val="16"/>
                <w:szCs w:val="16"/>
              </w:rPr>
              <w:t>AMF selection to support HLcom feaure for RedCap using power saving function</w:t>
            </w:r>
          </w:p>
        </w:tc>
        <w:tc>
          <w:tcPr>
            <w:tcW w:w="708" w:type="dxa"/>
            <w:shd w:val="solid" w:color="FFFFFF" w:fill="auto"/>
          </w:tcPr>
          <w:p w14:paraId="5D94BEDF" w14:textId="6D2F8CD4" w:rsidR="00E06501" w:rsidRPr="00873B6C" w:rsidRDefault="00E06501" w:rsidP="00F84AAF">
            <w:pPr>
              <w:pStyle w:val="TAC"/>
              <w:rPr>
                <w:sz w:val="16"/>
                <w:szCs w:val="16"/>
              </w:rPr>
            </w:pPr>
            <w:r w:rsidRPr="00873B6C">
              <w:rPr>
                <w:sz w:val="16"/>
                <w:szCs w:val="16"/>
              </w:rPr>
              <w:t>17.5.0</w:t>
            </w:r>
          </w:p>
        </w:tc>
      </w:tr>
      <w:tr w:rsidR="008B15DC" w:rsidRPr="00873B6C" w14:paraId="4CE6E863" w14:textId="77777777" w:rsidTr="009D14FB">
        <w:tc>
          <w:tcPr>
            <w:tcW w:w="800" w:type="dxa"/>
            <w:shd w:val="solid" w:color="FFFFFF" w:fill="auto"/>
          </w:tcPr>
          <w:p w14:paraId="3423D39C" w14:textId="516DF7E1" w:rsidR="008B15DC" w:rsidRPr="00873B6C" w:rsidRDefault="008B15DC" w:rsidP="00F84AAF">
            <w:pPr>
              <w:pStyle w:val="TAC"/>
              <w:rPr>
                <w:sz w:val="16"/>
                <w:szCs w:val="16"/>
              </w:rPr>
            </w:pPr>
            <w:r w:rsidRPr="00873B6C">
              <w:rPr>
                <w:sz w:val="16"/>
                <w:szCs w:val="16"/>
              </w:rPr>
              <w:t>2022-06</w:t>
            </w:r>
          </w:p>
        </w:tc>
        <w:tc>
          <w:tcPr>
            <w:tcW w:w="800" w:type="dxa"/>
            <w:shd w:val="solid" w:color="FFFFFF" w:fill="auto"/>
          </w:tcPr>
          <w:p w14:paraId="5D79CAA8" w14:textId="02CB4B62" w:rsidR="008B15DC" w:rsidRPr="00873B6C" w:rsidRDefault="008B15DC" w:rsidP="00F84AAF">
            <w:pPr>
              <w:pStyle w:val="TAL"/>
              <w:rPr>
                <w:sz w:val="16"/>
                <w:szCs w:val="16"/>
              </w:rPr>
            </w:pPr>
            <w:r w:rsidRPr="00873B6C">
              <w:rPr>
                <w:sz w:val="16"/>
                <w:szCs w:val="16"/>
              </w:rPr>
              <w:t>SP#96</w:t>
            </w:r>
          </w:p>
        </w:tc>
        <w:tc>
          <w:tcPr>
            <w:tcW w:w="1094" w:type="dxa"/>
            <w:shd w:val="solid" w:color="FFFFFF" w:fill="auto"/>
          </w:tcPr>
          <w:p w14:paraId="246077B5" w14:textId="1AAB85CA" w:rsidR="008B15DC" w:rsidRPr="00873B6C" w:rsidRDefault="008B15DC" w:rsidP="00F84AAF">
            <w:pPr>
              <w:pStyle w:val="TAC"/>
              <w:rPr>
                <w:sz w:val="16"/>
                <w:szCs w:val="16"/>
              </w:rPr>
            </w:pPr>
            <w:r w:rsidRPr="00873B6C">
              <w:rPr>
                <w:sz w:val="16"/>
                <w:szCs w:val="16"/>
              </w:rPr>
              <w:t>SP-220400</w:t>
            </w:r>
          </w:p>
        </w:tc>
        <w:tc>
          <w:tcPr>
            <w:tcW w:w="567" w:type="dxa"/>
            <w:shd w:val="solid" w:color="FFFFFF" w:fill="auto"/>
          </w:tcPr>
          <w:p w14:paraId="23DD2B14" w14:textId="11269910" w:rsidR="008B15DC" w:rsidRPr="00873B6C" w:rsidRDefault="008B15DC" w:rsidP="00F84AAF">
            <w:pPr>
              <w:pStyle w:val="TAL"/>
              <w:rPr>
                <w:sz w:val="16"/>
                <w:szCs w:val="16"/>
              </w:rPr>
            </w:pPr>
            <w:r w:rsidRPr="00873B6C">
              <w:rPr>
                <w:sz w:val="16"/>
                <w:szCs w:val="16"/>
              </w:rPr>
              <w:t>3613</w:t>
            </w:r>
          </w:p>
        </w:tc>
        <w:tc>
          <w:tcPr>
            <w:tcW w:w="425" w:type="dxa"/>
            <w:shd w:val="solid" w:color="FFFFFF" w:fill="auto"/>
          </w:tcPr>
          <w:p w14:paraId="76CA6D50" w14:textId="4A5C40C1" w:rsidR="008B15DC" w:rsidRPr="00873B6C" w:rsidRDefault="008B15DC" w:rsidP="00F84AAF">
            <w:pPr>
              <w:pStyle w:val="TAL"/>
              <w:rPr>
                <w:sz w:val="16"/>
                <w:szCs w:val="16"/>
              </w:rPr>
            </w:pPr>
            <w:r w:rsidRPr="00873B6C">
              <w:rPr>
                <w:sz w:val="16"/>
                <w:szCs w:val="16"/>
              </w:rPr>
              <w:t>-</w:t>
            </w:r>
          </w:p>
        </w:tc>
        <w:tc>
          <w:tcPr>
            <w:tcW w:w="425" w:type="dxa"/>
            <w:shd w:val="solid" w:color="FFFFFF" w:fill="auto"/>
          </w:tcPr>
          <w:p w14:paraId="4ED0881A" w14:textId="69391F99" w:rsidR="008B15DC" w:rsidRPr="00873B6C" w:rsidRDefault="008B15DC" w:rsidP="00F84AAF">
            <w:pPr>
              <w:pStyle w:val="TAL"/>
              <w:rPr>
                <w:sz w:val="16"/>
                <w:szCs w:val="16"/>
              </w:rPr>
            </w:pPr>
            <w:r w:rsidRPr="00873B6C">
              <w:rPr>
                <w:sz w:val="16"/>
                <w:szCs w:val="16"/>
              </w:rPr>
              <w:t>F</w:t>
            </w:r>
          </w:p>
        </w:tc>
        <w:tc>
          <w:tcPr>
            <w:tcW w:w="4820" w:type="dxa"/>
            <w:shd w:val="solid" w:color="FFFFFF" w:fill="auto"/>
          </w:tcPr>
          <w:p w14:paraId="310238F8" w14:textId="327F361B" w:rsidR="008B15DC" w:rsidRPr="00873B6C" w:rsidRDefault="008B15DC" w:rsidP="00F84AAF">
            <w:pPr>
              <w:pStyle w:val="TAL"/>
              <w:rPr>
                <w:sz w:val="16"/>
                <w:szCs w:val="16"/>
              </w:rPr>
            </w:pPr>
            <w:r w:rsidRPr="00873B6C">
              <w:rPr>
                <w:sz w:val="16"/>
                <w:szCs w:val="16"/>
              </w:rPr>
              <w:t>DCS supporting AUSF/UDM and AAA server functionality</w:t>
            </w:r>
          </w:p>
        </w:tc>
        <w:tc>
          <w:tcPr>
            <w:tcW w:w="708" w:type="dxa"/>
            <w:shd w:val="solid" w:color="FFFFFF" w:fill="auto"/>
          </w:tcPr>
          <w:p w14:paraId="3D504EAC" w14:textId="187357F4" w:rsidR="008B15DC" w:rsidRPr="00873B6C" w:rsidRDefault="008B15DC" w:rsidP="00F84AAF">
            <w:pPr>
              <w:pStyle w:val="TAC"/>
              <w:rPr>
                <w:sz w:val="16"/>
                <w:szCs w:val="16"/>
              </w:rPr>
            </w:pPr>
            <w:r w:rsidRPr="00873B6C">
              <w:rPr>
                <w:sz w:val="16"/>
                <w:szCs w:val="16"/>
              </w:rPr>
              <w:t>17.5.0</w:t>
            </w:r>
          </w:p>
        </w:tc>
      </w:tr>
      <w:tr w:rsidR="008B15DC" w:rsidRPr="00873B6C" w14:paraId="2C374461" w14:textId="77777777" w:rsidTr="009D14FB">
        <w:tc>
          <w:tcPr>
            <w:tcW w:w="800" w:type="dxa"/>
            <w:shd w:val="solid" w:color="FFFFFF" w:fill="auto"/>
          </w:tcPr>
          <w:p w14:paraId="2BD9127A" w14:textId="5F471281" w:rsidR="008B15DC" w:rsidRPr="00873B6C" w:rsidRDefault="008B15DC" w:rsidP="00F84AAF">
            <w:pPr>
              <w:pStyle w:val="TAC"/>
              <w:rPr>
                <w:sz w:val="16"/>
                <w:szCs w:val="16"/>
              </w:rPr>
            </w:pPr>
            <w:r w:rsidRPr="00873B6C">
              <w:rPr>
                <w:sz w:val="16"/>
                <w:szCs w:val="16"/>
              </w:rPr>
              <w:t>2022-06</w:t>
            </w:r>
          </w:p>
        </w:tc>
        <w:tc>
          <w:tcPr>
            <w:tcW w:w="800" w:type="dxa"/>
            <w:shd w:val="solid" w:color="FFFFFF" w:fill="auto"/>
          </w:tcPr>
          <w:p w14:paraId="41A69B00" w14:textId="449DD3D4" w:rsidR="008B15DC" w:rsidRPr="00873B6C" w:rsidRDefault="008B15DC" w:rsidP="00F84AAF">
            <w:pPr>
              <w:pStyle w:val="TAL"/>
              <w:rPr>
                <w:sz w:val="16"/>
                <w:szCs w:val="16"/>
              </w:rPr>
            </w:pPr>
            <w:r w:rsidRPr="00873B6C">
              <w:rPr>
                <w:sz w:val="16"/>
                <w:szCs w:val="16"/>
              </w:rPr>
              <w:t>SP#96</w:t>
            </w:r>
          </w:p>
        </w:tc>
        <w:tc>
          <w:tcPr>
            <w:tcW w:w="1094" w:type="dxa"/>
            <w:shd w:val="solid" w:color="FFFFFF" w:fill="auto"/>
          </w:tcPr>
          <w:p w14:paraId="2F95302F" w14:textId="09156DB6" w:rsidR="008B15DC" w:rsidRPr="00873B6C" w:rsidRDefault="008B15DC" w:rsidP="00F84AAF">
            <w:pPr>
              <w:pStyle w:val="TAC"/>
              <w:rPr>
                <w:sz w:val="16"/>
                <w:szCs w:val="16"/>
              </w:rPr>
            </w:pPr>
            <w:r w:rsidRPr="00873B6C">
              <w:rPr>
                <w:sz w:val="16"/>
                <w:szCs w:val="16"/>
              </w:rPr>
              <w:t>SP-220408</w:t>
            </w:r>
          </w:p>
        </w:tc>
        <w:tc>
          <w:tcPr>
            <w:tcW w:w="567" w:type="dxa"/>
            <w:shd w:val="solid" w:color="FFFFFF" w:fill="auto"/>
          </w:tcPr>
          <w:p w14:paraId="0966451B" w14:textId="7FAB3DB3" w:rsidR="008B15DC" w:rsidRPr="00873B6C" w:rsidRDefault="008B15DC" w:rsidP="00F84AAF">
            <w:pPr>
              <w:pStyle w:val="TAL"/>
              <w:rPr>
                <w:sz w:val="16"/>
                <w:szCs w:val="16"/>
              </w:rPr>
            </w:pPr>
            <w:r w:rsidRPr="00873B6C">
              <w:rPr>
                <w:sz w:val="16"/>
                <w:szCs w:val="16"/>
              </w:rPr>
              <w:t>3617</w:t>
            </w:r>
          </w:p>
        </w:tc>
        <w:tc>
          <w:tcPr>
            <w:tcW w:w="425" w:type="dxa"/>
            <w:shd w:val="solid" w:color="FFFFFF" w:fill="auto"/>
          </w:tcPr>
          <w:p w14:paraId="3375E1F8" w14:textId="0F6F28C5" w:rsidR="008B15DC" w:rsidRPr="00873B6C" w:rsidRDefault="008B15DC" w:rsidP="00F84AAF">
            <w:pPr>
              <w:pStyle w:val="TAL"/>
              <w:rPr>
                <w:sz w:val="16"/>
                <w:szCs w:val="16"/>
              </w:rPr>
            </w:pPr>
            <w:r w:rsidRPr="00873B6C">
              <w:rPr>
                <w:sz w:val="16"/>
                <w:szCs w:val="16"/>
              </w:rPr>
              <w:t>4</w:t>
            </w:r>
          </w:p>
        </w:tc>
        <w:tc>
          <w:tcPr>
            <w:tcW w:w="425" w:type="dxa"/>
            <w:shd w:val="solid" w:color="FFFFFF" w:fill="auto"/>
          </w:tcPr>
          <w:p w14:paraId="4C6AB3AC" w14:textId="43D7BE1C" w:rsidR="008B15DC" w:rsidRPr="00873B6C" w:rsidRDefault="008B15DC" w:rsidP="00F84AAF">
            <w:pPr>
              <w:pStyle w:val="TAL"/>
              <w:rPr>
                <w:sz w:val="16"/>
                <w:szCs w:val="16"/>
              </w:rPr>
            </w:pPr>
            <w:r w:rsidRPr="00873B6C">
              <w:rPr>
                <w:sz w:val="16"/>
                <w:szCs w:val="16"/>
              </w:rPr>
              <w:t>F</w:t>
            </w:r>
          </w:p>
        </w:tc>
        <w:tc>
          <w:tcPr>
            <w:tcW w:w="4820" w:type="dxa"/>
            <w:shd w:val="solid" w:color="FFFFFF" w:fill="auto"/>
          </w:tcPr>
          <w:p w14:paraId="347B9963" w14:textId="44B6BA03" w:rsidR="008B15DC" w:rsidRPr="00873B6C" w:rsidRDefault="008B15DC" w:rsidP="00F84AAF">
            <w:pPr>
              <w:pStyle w:val="TAL"/>
              <w:rPr>
                <w:sz w:val="16"/>
                <w:szCs w:val="16"/>
              </w:rPr>
            </w:pPr>
            <w:r w:rsidRPr="00873B6C">
              <w:rPr>
                <w:sz w:val="16"/>
                <w:szCs w:val="16"/>
              </w:rPr>
              <w:t>23.501: NSWO and N3GPP access support</w:t>
            </w:r>
          </w:p>
        </w:tc>
        <w:tc>
          <w:tcPr>
            <w:tcW w:w="708" w:type="dxa"/>
            <w:shd w:val="solid" w:color="FFFFFF" w:fill="auto"/>
          </w:tcPr>
          <w:p w14:paraId="04B844E2" w14:textId="443D29AB" w:rsidR="008B15DC" w:rsidRPr="00873B6C" w:rsidRDefault="008B15DC" w:rsidP="00F84AAF">
            <w:pPr>
              <w:pStyle w:val="TAC"/>
              <w:rPr>
                <w:sz w:val="16"/>
                <w:szCs w:val="16"/>
              </w:rPr>
            </w:pPr>
            <w:r w:rsidRPr="00873B6C">
              <w:rPr>
                <w:sz w:val="16"/>
                <w:szCs w:val="16"/>
              </w:rPr>
              <w:t>17.5.0</w:t>
            </w:r>
          </w:p>
        </w:tc>
      </w:tr>
      <w:tr w:rsidR="00D45059" w:rsidRPr="00873B6C" w14:paraId="60339B77" w14:textId="77777777" w:rsidTr="009D14FB">
        <w:tc>
          <w:tcPr>
            <w:tcW w:w="800" w:type="dxa"/>
            <w:shd w:val="solid" w:color="FFFFFF" w:fill="auto"/>
          </w:tcPr>
          <w:p w14:paraId="4742F3BB" w14:textId="36E01AB1" w:rsidR="00D45059" w:rsidRPr="00873B6C" w:rsidRDefault="00D45059" w:rsidP="00F84AAF">
            <w:pPr>
              <w:pStyle w:val="TAC"/>
              <w:rPr>
                <w:sz w:val="16"/>
                <w:szCs w:val="16"/>
              </w:rPr>
            </w:pPr>
            <w:r w:rsidRPr="00873B6C">
              <w:rPr>
                <w:sz w:val="16"/>
                <w:szCs w:val="16"/>
              </w:rPr>
              <w:t>2022-06</w:t>
            </w:r>
          </w:p>
        </w:tc>
        <w:tc>
          <w:tcPr>
            <w:tcW w:w="800" w:type="dxa"/>
            <w:shd w:val="solid" w:color="FFFFFF" w:fill="auto"/>
          </w:tcPr>
          <w:p w14:paraId="6E8D3A40" w14:textId="4E6CD8CF" w:rsidR="00D45059" w:rsidRPr="00873B6C" w:rsidRDefault="00D45059" w:rsidP="00F84AAF">
            <w:pPr>
              <w:pStyle w:val="TAL"/>
              <w:rPr>
                <w:sz w:val="16"/>
                <w:szCs w:val="16"/>
              </w:rPr>
            </w:pPr>
            <w:r w:rsidRPr="00873B6C">
              <w:rPr>
                <w:sz w:val="16"/>
                <w:szCs w:val="16"/>
              </w:rPr>
              <w:t>SP#96</w:t>
            </w:r>
          </w:p>
        </w:tc>
        <w:tc>
          <w:tcPr>
            <w:tcW w:w="1094" w:type="dxa"/>
            <w:shd w:val="solid" w:color="FFFFFF" w:fill="auto"/>
          </w:tcPr>
          <w:p w14:paraId="3B00A9FA" w14:textId="1620B623" w:rsidR="00D45059" w:rsidRPr="00873B6C" w:rsidRDefault="00D45059" w:rsidP="00F84AAF">
            <w:pPr>
              <w:pStyle w:val="TAC"/>
              <w:rPr>
                <w:sz w:val="16"/>
                <w:szCs w:val="16"/>
              </w:rPr>
            </w:pPr>
            <w:r w:rsidRPr="00873B6C">
              <w:rPr>
                <w:sz w:val="16"/>
                <w:szCs w:val="16"/>
              </w:rPr>
              <w:t>SP-220394</w:t>
            </w:r>
          </w:p>
        </w:tc>
        <w:tc>
          <w:tcPr>
            <w:tcW w:w="567" w:type="dxa"/>
            <w:shd w:val="solid" w:color="FFFFFF" w:fill="auto"/>
          </w:tcPr>
          <w:p w14:paraId="2385B80F" w14:textId="4C2C8463" w:rsidR="00D45059" w:rsidRPr="00873B6C" w:rsidRDefault="00D45059" w:rsidP="00F84AAF">
            <w:pPr>
              <w:pStyle w:val="TAL"/>
              <w:rPr>
                <w:sz w:val="16"/>
                <w:szCs w:val="16"/>
              </w:rPr>
            </w:pPr>
            <w:r w:rsidRPr="00873B6C">
              <w:rPr>
                <w:sz w:val="16"/>
                <w:szCs w:val="16"/>
              </w:rPr>
              <w:t>3621</w:t>
            </w:r>
          </w:p>
        </w:tc>
        <w:tc>
          <w:tcPr>
            <w:tcW w:w="425" w:type="dxa"/>
            <w:shd w:val="solid" w:color="FFFFFF" w:fill="auto"/>
          </w:tcPr>
          <w:p w14:paraId="5BF2E1ED" w14:textId="3748B6C5" w:rsidR="00D45059" w:rsidRPr="00873B6C" w:rsidRDefault="00D45059" w:rsidP="00F84AAF">
            <w:pPr>
              <w:pStyle w:val="TAL"/>
              <w:rPr>
                <w:sz w:val="16"/>
                <w:szCs w:val="16"/>
              </w:rPr>
            </w:pPr>
            <w:r w:rsidRPr="00873B6C">
              <w:rPr>
                <w:sz w:val="16"/>
                <w:szCs w:val="16"/>
              </w:rPr>
              <w:t>1</w:t>
            </w:r>
          </w:p>
        </w:tc>
        <w:tc>
          <w:tcPr>
            <w:tcW w:w="425" w:type="dxa"/>
            <w:shd w:val="solid" w:color="FFFFFF" w:fill="auto"/>
          </w:tcPr>
          <w:p w14:paraId="0FD23012" w14:textId="222166B3" w:rsidR="00D45059" w:rsidRPr="00873B6C" w:rsidRDefault="00D45059" w:rsidP="00F84AAF">
            <w:pPr>
              <w:pStyle w:val="TAL"/>
              <w:rPr>
                <w:sz w:val="16"/>
                <w:szCs w:val="16"/>
              </w:rPr>
            </w:pPr>
            <w:r w:rsidRPr="00873B6C">
              <w:rPr>
                <w:sz w:val="16"/>
                <w:szCs w:val="16"/>
              </w:rPr>
              <w:t>F</w:t>
            </w:r>
          </w:p>
        </w:tc>
        <w:tc>
          <w:tcPr>
            <w:tcW w:w="4820" w:type="dxa"/>
            <w:shd w:val="solid" w:color="FFFFFF" w:fill="auto"/>
          </w:tcPr>
          <w:p w14:paraId="0D8AD665" w14:textId="6798CB7F" w:rsidR="00D45059" w:rsidRPr="00873B6C" w:rsidRDefault="00D45059" w:rsidP="00F84AAF">
            <w:pPr>
              <w:pStyle w:val="TAL"/>
              <w:rPr>
                <w:sz w:val="16"/>
                <w:szCs w:val="16"/>
              </w:rPr>
            </w:pPr>
            <w:r w:rsidRPr="00873B6C">
              <w:rPr>
                <w:sz w:val="16"/>
                <w:szCs w:val="16"/>
              </w:rPr>
              <w:t>RAN Initiated UE Context Release for UE using NR satellite access</w:t>
            </w:r>
          </w:p>
        </w:tc>
        <w:tc>
          <w:tcPr>
            <w:tcW w:w="708" w:type="dxa"/>
            <w:shd w:val="solid" w:color="FFFFFF" w:fill="auto"/>
          </w:tcPr>
          <w:p w14:paraId="224F887B" w14:textId="06723303" w:rsidR="00D45059" w:rsidRPr="00873B6C" w:rsidRDefault="00D45059" w:rsidP="00F84AAF">
            <w:pPr>
              <w:pStyle w:val="TAC"/>
              <w:rPr>
                <w:sz w:val="16"/>
                <w:szCs w:val="16"/>
              </w:rPr>
            </w:pPr>
            <w:r w:rsidRPr="00873B6C">
              <w:rPr>
                <w:sz w:val="16"/>
                <w:szCs w:val="16"/>
              </w:rPr>
              <w:t>17.5.0</w:t>
            </w:r>
          </w:p>
        </w:tc>
      </w:tr>
      <w:tr w:rsidR="00D45059" w:rsidRPr="00873B6C" w14:paraId="68AD1EEA" w14:textId="77777777" w:rsidTr="009D14FB">
        <w:tc>
          <w:tcPr>
            <w:tcW w:w="800" w:type="dxa"/>
            <w:shd w:val="solid" w:color="FFFFFF" w:fill="auto"/>
          </w:tcPr>
          <w:p w14:paraId="39340B35" w14:textId="5487E4A1" w:rsidR="00D45059" w:rsidRPr="00873B6C" w:rsidRDefault="00D45059" w:rsidP="00F84AAF">
            <w:pPr>
              <w:pStyle w:val="TAC"/>
              <w:rPr>
                <w:sz w:val="16"/>
                <w:szCs w:val="16"/>
              </w:rPr>
            </w:pPr>
            <w:r w:rsidRPr="00873B6C">
              <w:rPr>
                <w:sz w:val="16"/>
                <w:szCs w:val="16"/>
              </w:rPr>
              <w:t>2022-06</w:t>
            </w:r>
          </w:p>
        </w:tc>
        <w:tc>
          <w:tcPr>
            <w:tcW w:w="800" w:type="dxa"/>
            <w:shd w:val="solid" w:color="FFFFFF" w:fill="auto"/>
          </w:tcPr>
          <w:p w14:paraId="1C9ECF6A" w14:textId="7C5AC45C" w:rsidR="00D45059" w:rsidRPr="00873B6C" w:rsidRDefault="00D45059" w:rsidP="00F84AAF">
            <w:pPr>
              <w:pStyle w:val="TAL"/>
              <w:rPr>
                <w:sz w:val="16"/>
                <w:szCs w:val="16"/>
              </w:rPr>
            </w:pPr>
            <w:r w:rsidRPr="00873B6C">
              <w:rPr>
                <w:sz w:val="16"/>
                <w:szCs w:val="16"/>
              </w:rPr>
              <w:t>SP#96</w:t>
            </w:r>
          </w:p>
        </w:tc>
        <w:tc>
          <w:tcPr>
            <w:tcW w:w="1094" w:type="dxa"/>
            <w:shd w:val="solid" w:color="FFFFFF" w:fill="auto"/>
          </w:tcPr>
          <w:p w14:paraId="1387E336" w14:textId="42C16D63" w:rsidR="00D45059" w:rsidRPr="00873B6C" w:rsidRDefault="00D45059" w:rsidP="00F84AAF">
            <w:pPr>
              <w:pStyle w:val="TAC"/>
              <w:rPr>
                <w:sz w:val="16"/>
                <w:szCs w:val="16"/>
              </w:rPr>
            </w:pPr>
            <w:r w:rsidRPr="00873B6C">
              <w:rPr>
                <w:sz w:val="16"/>
                <w:szCs w:val="16"/>
              </w:rPr>
              <w:t>SP-220400</w:t>
            </w:r>
          </w:p>
        </w:tc>
        <w:tc>
          <w:tcPr>
            <w:tcW w:w="567" w:type="dxa"/>
            <w:shd w:val="solid" w:color="FFFFFF" w:fill="auto"/>
          </w:tcPr>
          <w:p w14:paraId="5F244FF4" w14:textId="6896E7D2" w:rsidR="00D45059" w:rsidRPr="00873B6C" w:rsidRDefault="00D45059" w:rsidP="00F84AAF">
            <w:pPr>
              <w:pStyle w:val="TAL"/>
              <w:rPr>
                <w:sz w:val="16"/>
                <w:szCs w:val="16"/>
              </w:rPr>
            </w:pPr>
            <w:r w:rsidRPr="00873B6C">
              <w:rPr>
                <w:sz w:val="16"/>
                <w:szCs w:val="16"/>
              </w:rPr>
              <w:t>3623</w:t>
            </w:r>
          </w:p>
        </w:tc>
        <w:tc>
          <w:tcPr>
            <w:tcW w:w="425" w:type="dxa"/>
            <w:shd w:val="solid" w:color="FFFFFF" w:fill="auto"/>
          </w:tcPr>
          <w:p w14:paraId="0F1C2C78" w14:textId="714C2AE7" w:rsidR="00D45059" w:rsidRPr="00873B6C" w:rsidRDefault="00D45059" w:rsidP="00F84AAF">
            <w:pPr>
              <w:pStyle w:val="TAL"/>
              <w:rPr>
                <w:sz w:val="16"/>
                <w:szCs w:val="16"/>
              </w:rPr>
            </w:pPr>
            <w:r w:rsidRPr="00873B6C">
              <w:rPr>
                <w:sz w:val="16"/>
                <w:szCs w:val="16"/>
              </w:rPr>
              <w:t>2</w:t>
            </w:r>
          </w:p>
        </w:tc>
        <w:tc>
          <w:tcPr>
            <w:tcW w:w="425" w:type="dxa"/>
            <w:shd w:val="solid" w:color="FFFFFF" w:fill="auto"/>
          </w:tcPr>
          <w:p w14:paraId="46E2AF7D" w14:textId="1259088E" w:rsidR="00D45059" w:rsidRPr="00873B6C" w:rsidRDefault="00D45059" w:rsidP="00F84AAF">
            <w:pPr>
              <w:pStyle w:val="TAL"/>
              <w:rPr>
                <w:sz w:val="16"/>
                <w:szCs w:val="16"/>
              </w:rPr>
            </w:pPr>
            <w:r w:rsidRPr="00873B6C">
              <w:rPr>
                <w:sz w:val="16"/>
                <w:szCs w:val="16"/>
              </w:rPr>
              <w:t>F</w:t>
            </w:r>
          </w:p>
        </w:tc>
        <w:tc>
          <w:tcPr>
            <w:tcW w:w="4820" w:type="dxa"/>
            <w:shd w:val="solid" w:color="FFFFFF" w:fill="auto"/>
          </w:tcPr>
          <w:p w14:paraId="01733B96" w14:textId="7AF1E29A" w:rsidR="00D45059" w:rsidRPr="00873B6C" w:rsidRDefault="00D45059" w:rsidP="00F84AAF">
            <w:pPr>
              <w:pStyle w:val="TAL"/>
              <w:rPr>
                <w:sz w:val="16"/>
                <w:szCs w:val="16"/>
              </w:rPr>
            </w:pPr>
            <w:r w:rsidRPr="00873B6C">
              <w:rPr>
                <w:sz w:val="16"/>
                <w:szCs w:val="16"/>
              </w:rPr>
              <w:t>Clarification on the FQDN(s) and IP address(es) of PVS for remote provisioning</w:t>
            </w:r>
          </w:p>
        </w:tc>
        <w:tc>
          <w:tcPr>
            <w:tcW w:w="708" w:type="dxa"/>
            <w:shd w:val="solid" w:color="FFFFFF" w:fill="auto"/>
          </w:tcPr>
          <w:p w14:paraId="3CC18F8E" w14:textId="2436367E" w:rsidR="00D45059" w:rsidRPr="00873B6C" w:rsidRDefault="00D45059" w:rsidP="00F84AAF">
            <w:pPr>
              <w:pStyle w:val="TAC"/>
              <w:rPr>
                <w:sz w:val="16"/>
                <w:szCs w:val="16"/>
              </w:rPr>
            </w:pPr>
            <w:r w:rsidRPr="00873B6C">
              <w:rPr>
                <w:sz w:val="16"/>
                <w:szCs w:val="16"/>
              </w:rPr>
              <w:t>17.5.0</w:t>
            </w:r>
          </w:p>
        </w:tc>
      </w:tr>
      <w:tr w:rsidR="00D45059" w:rsidRPr="00873B6C" w14:paraId="45713587" w14:textId="77777777" w:rsidTr="009D14FB">
        <w:tc>
          <w:tcPr>
            <w:tcW w:w="800" w:type="dxa"/>
            <w:shd w:val="solid" w:color="FFFFFF" w:fill="auto"/>
          </w:tcPr>
          <w:p w14:paraId="7758323A" w14:textId="231F55A9" w:rsidR="00D45059" w:rsidRPr="00873B6C" w:rsidRDefault="00D45059" w:rsidP="00F84AAF">
            <w:pPr>
              <w:pStyle w:val="TAC"/>
              <w:rPr>
                <w:sz w:val="16"/>
                <w:szCs w:val="16"/>
              </w:rPr>
            </w:pPr>
            <w:r w:rsidRPr="00873B6C">
              <w:rPr>
                <w:sz w:val="16"/>
                <w:szCs w:val="16"/>
              </w:rPr>
              <w:t>2022-06</w:t>
            </w:r>
          </w:p>
        </w:tc>
        <w:tc>
          <w:tcPr>
            <w:tcW w:w="800" w:type="dxa"/>
            <w:shd w:val="solid" w:color="FFFFFF" w:fill="auto"/>
          </w:tcPr>
          <w:p w14:paraId="0D8BCA7E" w14:textId="0425F12A" w:rsidR="00D45059" w:rsidRPr="00873B6C" w:rsidRDefault="00D45059" w:rsidP="00F84AAF">
            <w:pPr>
              <w:pStyle w:val="TAL"/>
              <w:rPr>
                <w:sz w:val="16"/>
                <w:szCs w:val="16"/>
              </w:rPr>
            </w:pPr>
            <w:r w:rsidRPr="00873B6C">
              <w:rPr>
                <w:sz w:val="16"/>
                <w:szCs w:val="16"/>
              </w:rPr>
              <w:t>SP#96</w:t>
            </w:r>
          </w:p>
        </w:tc>
        <w:tc>
          <w:tcPr>
            <w:tcW w:w="1094" w:type="dxa"/>
            <w:shd w:val="solid" w:color="FFFFFF" w:fill="auto"/>
          </w:tcPr>
          <w:p w14:paraId="46E3FB25" w14:textId="46BB5428" w:rsidR="00D45059" w:rsidRPr="00873B6C" w:rsidRDefault="00D45059" w:rsidP="00F84AAF">
            <w:pPr>
              <w:pStyle w:val="TAC"/>
              <w:rPr>
                <w:sz w:val="16"/>
                <w:szCs w:val="16"/>
              </w:rPr>
            </w:pPr>
            <w:r w:rsidRPr="00873B6C">
              <w:rPr>
                <w:sz w:val="16"/>
                <w:szCs w:val="16"/>
              </w:rPr>
              <w:t>SP-220404</w:t>
            </w:r>
          </w:p>
        </w:tc>
        <w:tc>
          <w:tcPr>
            <w:tcW w:w="567" w:type="dxa"/>
            <w:shd w:val="solid" w:color="FFFFFF" w:fill="auto"/>
          </w:tcPr>
          <w:p w14:paraId="33269D33" w14:textId="65B1C629" w:rsidR="00D45059" w:rsidRPr="00873B6C" w:rsidRDefault="00D45059" w:rsidP="00F84AAF">
            <w:pPr>
              <w:pStyle w:val="TAL"/>
              <w:rPr>
                <w:sz w:val="16"/>
                <w:szCs w:val="16"/>
              </w:rPr>
            </w:pPr>
            <w:r w:rsidRPr="00873B6C">
              <w:rPr>
                <w:sz w:val="16"/>
                <w:szCs w:val="16"/>
              </w:rPr>
              <w:t>3624</w:t>
            </w:r>
          </w:p>
        </w:tc>
        <w:tc>
          <w:tcPr>
            <w:tcW w:w="425" w:type="dxa"/>
            <w:shd w:val="solid" w:color="FFFFFF" w:fill="auto"/>
          </w:tcPr>
          <w:p w14:paraId="6B697070" w14:textId="1998FF84" w:rsidR="00D45059" w:rsidRPr="00873B6C" w:rsidRDefault="00D45059" w:rsidP="00F84AAF">
            <w:pPr>
              <w:pStyle w:val="TAL"/>
              <w:rPr>
                <w:sz w:val="16"/>
                <w:szCs w:val="16"/>
              </w:rPr>
            </w:pPr>
            <w:r w:rsidRPr="00873B6C">
              <w:rPr>
                <w:sz w:val="16"/>
                <w:szCs w:val="16"/>
              </w:rPr>
              <w:t>1</w:t>
            </w:r>
          </w:p>
        </w:tc>
        <w:tc>
          <w:tcPr>
            <w:tcW w:w="425" w:type="dxa"/>
            <w:shd w:val="solid" w:color="FFFFFF" w:fill="auto"/>
          </w:tcPr>
          <w:p w14:paraId="470B5A65" w14:textId="191316AB" w:rsidR="00D45059" w:rsidRPr="00873B6C" w:rsidRDefault="00D45059" w:rsidP="00F84AAF">
            <w:pPr>
              <w:pStyle w:val="TAL"/>
              <w:rPr>
                <w:sz w:val="16"/>
                <w:szCs w:val="16"/>
              </w:rPr>
            </w:pPr>
            <w:r w:rsidRPr="00873B6C">
              <w:rPr>
                <w:sz w:val="16"/>
                <w:szCs w:val="16"/>
              </w:rPr>
              <w:t>F</w:t>
            </w:r>
          </w:p>
        </w:tc>
        <w:tc>
          <w:tcPr>
            <w:tcW w:w="4820" w:type="dxa"/>
            <w:shd w:val="solid" w:color="FFFFFF" w:fill="auto"/>
          </w:tcPr>
          <w:p w14:paraId="1997A923" w14:textId="592EF12B" w:rsidR="00D45059" w:rsidRPr="00873B6C" w:rsidRDefault="00D45059" w:rsidP="00F84AAF">
            <w:pPr>
              <w:pStyle w:val="TAL"/>
              <w:rPr>
                <w:sz w:val="16"/>
                <w:szCs w:val="16"/>
              </w:rPr>
            </w:pPr>
            <w:r w:rsidRPr="00873B6C">
              <w:rPr>
                <w:sz w:val="16"/>
                <w:szCs w:val="16"/>
              </w:rPr>
              <w:t>Clarification on how the TSFTSF assign the NW-TT port to PPT instance</w:t>
            </w:r>
          </w:p>
        </w:tc>
        <w:tc>
          <w:tcPr>
            <w:tcW w:w="708" w:type="dxa"/>
            <w:shd w:val="solid" w:color="FFFFFF" w:fill="auto"/>
          </w:tcPr>
          <w:p w14:paraId="6A407263" w14:textId="54D5CADA" w:rsidR="00D45059" w:rsidRPr="00873B6C" w:rsidRDefault="00D45059" w:rsidP="00F84AAF">
            <w:pPr>
              <w:pStyle w:val="TAC"/>
              <w:rPr>
                <w:sz w:val="16"/>
                <w:szCs w:val="16"/>
              </w:rPr>
            </w:pPr>
            <w:r w:rsidRPr="00873B6C">
              <w:rPr>
                <w:sz w:val="16"/>
                <w:szCs w:val="16"/>
              </w:rPr>
              <w:t>17.5.0</w:t>
            </w:r>
          </w:p>
        </w:tc>
      </w:tr>
      <w:tr w:rsidR="006E7E83" w:rsidRPr="00873B6C" w14:paraId="70D6D2A3" w14:textId="77777777" w:rsidTr="009D14FB">
        <w:tc>
          <w:tcPr>
            <w:tcW w:w="800" w:type="dxa"/>
            <w:shd w:val="solid" w:color="FFFFFF" w:fill="auto"/>
          </w:tcPr>
          <w:p w14:paraId="431C8465" w14:textId="7C5BACD9"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380FE9A3" w14:textId="640307ED"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5582EEFA" w14:textId="69EBEDEF" w:rsidR="006E7E83" w:rsidRPr="00873B6C" w:rsidRDefault="006E7E83" w:rsidP="00F84AAF">
            <w:pPr>
              <w:pStyle w:val="TAC"/>
              <w:rPr>
                <w:sz w:val="16"/>
                <w:szCs w:val="16"/>
              </w:rPr>
            </w:pPr>
            <w:r w:rsidRPr="00873B6C">
              <w:rPr>
                <w:sz w:val="16"/>
                <w:szCs w:val="16"/>
              </w:rPr>
              <w:t>SP-220404</w:t>
            </w:r>
          </w:p>
        </w:tc>
        <w:tc>
          <w:tcPr>
            <w:tcW w:w="567" w:type="dxa"/>
            <w:shd w:val="solid" w:color="FFFFFF" w:fill="auto"/>
          </w:tcPr>
          <w:p w14:paraId="1B16C1B7" w14:textId="65B7EF39" w:rsidR="006E7E83" w:rsidRPr="00873B6C" w:rsidRDefault="006E7E83" w:rsidP="00F84AAF">
            <w:pPr>
              <w:pStyle w:val="TAL"/>
              <w:rPr>
                <w:sz w:val="16"/>
                <w:szCs w:val="16"/>
              </w:rPr>
            </w:pPr>
            <w:r w:rsidRPr="00873B6C">
              <w:rPr>
                <w:sz w:val="16"/>
                <w:szCs w:val="16"/>
              </w:rPr>
              <w:t>3625</w:t>
            </w:r>
          </w:p>
        </w:tc>
        <w:tc>
          <w:tcPr>
            <w:tcW w:w="425" w:type="dxa"/>
            <w:shd w:val="solid" w:color="FFFFFF" w:fill="auto"/>
          </w:tcPr>
          <w:p w14:paraId="53125B9A" w14:textId="1AB08F9C" w:rsidR="006E7E83" w:rsidRPr="00873B6C" w:rsidRDefault="006E7E83" w:rsidP="00F84AAF">
            <w:pPr>
              <w:pStyle w:val="TAL"/>
              <w:rPr>
                <w:sz w:val="16"/>
                <w:szCs w:val="16"/>
              </w:rPr>
            </w:pPr>
            <w:r w:rsidRPr="00873B6C">
              <w:rPr>
                <w:sz w:val="16"/>
                <w:szCs w:val="16"/>
              </w:rPr>
              <w:t>2</w:t>
            </w:r>
          </w:p>
        </w:tc>
        <w:tc>
          <w:tcPr>
            <w:tcW w:w="425" w:type="dxa"/>
            <w:shd w:val="solid" w:color="FFFFFF" w:fill="auto"/>
          </w:tcPr>
          <w:p w14:paraId="0250FFC9" w14:textId="5202A6D8" w:rsidR="006E7E83" w:rsidRPr="00873B6C" w:rsidRDefault="006E7E83" w:rsidP="00F84AAF">
            <w:pPr>
              <w:pStyle w:val="TAL"/>
              <w:rPr>
                <w:sz w:val="16"/>
                <w:szCs w:val="16"/>
              </w:rPr>
            </w:pPr>
            <w:r w:rsidRPr="00873B6C">
              <w:rPr>
                <w:sz w:val="16"/>
                <w:szCs w:val="16"/>
              </w:rPr>
              <w:t>F</w:t>
            </w:r>
          </w:p>
        </w:tc>
        <w:tc>
          <w:tcPr>
            <w:tcW w:w="4820" w:type="dxa"/>
            <w:shd w:val="solid" w:color="FFFFFF" w:fill="auto"/>
          </w:tcPr>
          <w:p w14:paraId="78717784" w14:textId="6735A24E" w:rsidR="006E7E83" w:rsidRPr="00873B6C" w:rsidRDefault="006E7E83" w:rsidP="00F84AAF">
            <w:pPr>
              <w:pStyle w:val="TAL"/>
              <w:rPr>
                <w:sz w:val="16"/>
                <w:szCs w:val="16"/>
              </w:rPr>
            </w:pPr>
            <w:r w:rsidRPr="00873B6C">
              <w:rPr>
                <w:sz w:val="16"/>
                <w:szCs w:val="16"/>
              </w:rPr>
              <w:t>Clarification on 5G access stratum distribution in mobility</w:t>
            </w:r>
          </w:p>
        </w:tc>
        <w:tc>
          <w:tcPr>
            <w:tcW w:w="708" w:type="dxa"/>
            <w:shd w:val="solid" w:color="FFFFFF" w:fill="auto"/>
          </w:tcPr>
          <w:p w14:paraId="3402F752" w14:textId="31656919" w:rsidR="006E7E83" w:rsidRPr="00873B6C" w:rsidRDefault="006E7E83" w:rsidP="00F84AAF">
            <w:pPr>
              <w:pStyle w:val="TAC"/>
              <w:rPr>
                <w:sz w:val="16"/>
                <w:szCs w:val="16"/>
              </w:rPr>
            </w:pPr>
            <w:r w:rsidRPr="00873B6C">
              <w:rPr>
                <w:sz w:val="16"/>
                <w:szCs w:val="16"/>
              </w:rPr>
              <w:t>17.5.0</w:t>
            </w:r>
          </w:p>
        </w:tc>
      </w:tr>
      <w:tr w:rsidR="006E7E83" w:rsidRPr="00873B6C" w14:paraId="5877E7C6" w14:textId="77777777" w:rsidTr="009D14FB">
        <w:tc>
          <w:tcPr>
            <w:tcW w:w="800" w:type="dxa"/>
            <w:shd w:val="solid" w:color="FFFFFF" w:fill="auto"/>
          </w:tcPr>
          <w:p w14:paraId="12B4956A" w14:textId="0B036B14"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34D4BF14" w14:textId="1D2F9112"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60B32540" w14:textId="0AE8B02A" w:rsidR="006E7E83" w:rsidRPr="00873B6C" w:rsidRDefault="006E7E83" w:rsidP="00F84AAF">
            <w:pPr>
              <w:pStyle w:val="TAC"/>
              <w:rPr>
                <w:sz w:val="16"/>
                <w:szCs w:val="16"/>
              </w:rPr>
            </w:pPr>
            <w:r w:rsidRPr="00873B6C">
              <w:rPr>
                <w:sz w:val="16"/>
                <w:szCs w:val="16"/>
              </w:rPr>
              <w:t>SP-220406</w:t>
            </w:r>
          </w:p>
        </w:tc>
        <w:tc>
          <w:tcPr>
            <w:tcW w:w="567" w:type="dxa"/>
            <w:shd w:val="solid" w:color="FFFFFF" w:fill="auto"/>
          </w:tcPr>
          <w:p w14:paraId="53A8F0ED" w14:textId="07D669C8" w:rsidR="006E7E83" w:rsidRPr="00873B6C" w:rsidRDefault="006E7E83" w:rsidP="00F84AAF">
            <w:pPr>
              <w:pStyle w:val="TAL"/>
              <w:rPr>
                <w:sz w:val="16"/>
                <w:szCs w:val="16"/>
              </w:rPr>
            </w:pPr>
            <w:r w:rsidRPr="00873B6C">
              <w:rPr>
                <w:sz w:val="16"/>
                <w:szCs w:val="16"/>
              </w:rPr>
              <w:t>3626</w:t>
            </w:r>
          </w:p>
        </w:tc>
        <w:tc>
          <w:tcPr>
            <w:tcW w:w="425" w:type="dxa"/>
            <w:shd w:val="solid" w:color="FFFFFF" w:fill="auto"/>
          </w:tcPr>
          <w:p w14:paraId="132F846D" w14:textId="18D83873" w:rsidR="006E7E83" w:rsidRPr="00873B6C" w:rsidRDefault="006E7E83" w:rsidP="00F84AAF">
            <w:pPr>
              <w:pStyle w:val="TAL"/>
              <w:rPr>
                <w:sz w:val="16"/>
                <w:szCs w:val="16"/>
              </w:rPr>
            </w:pPr>
            <w:r w:rsidRPr="00873B6C">
              <w:rPr>
                <w:sz w:val="16"/>
                <w:szCs w:val="16"/>
              </w:rPr>
              <w:t>-</w:t>
            </w:r>
          </w:p>
        </w:tc>
        <w:tc>
          <w:tcPr>
            <w:tcW w:w="425" w:type="dxa"/>
            <w:shd w:val="solid" w:color="FFFFFF" w:fill="auto"/>
          </w:tcPr>
          <w:p w14:paraId="20F7F249" w14:textId="52866F08" w:rsidR="006E7E83" w:rsidRPr="00873B6C" w:rsidRDefault="006E7E83" w:rsidP="00F84AAF">
            <w:pPr>
              <w:pStyle w:val="TAL"/>
              <w:rPr>
                <w:sz w:val="16"/>
                <w:szCs w:val="16"/>
              </w:rPr>
            </w:pPr>
            <w:r w:rsidRPr="00873B6C">
              <w:rPr>
                <w:sz w:val="16"/>
                <w:szCs w:val="16"/>
              </w:rPr>
              <w:t>F</w:t>
            </w:r>
          </w:p>
        </w:tc>
        <w:tc>
          <w:tcPr>
            <w:tcW w:w="4820" w:type="dxa"/>
            <w:shd w:val="solid" w:color="FFFFFF" w:fill="auto"/>
          </w:tcPr>
          <w:p w14:paraId="6316A632" w14:textId="653DA982" w:rsidR="006E7E83" w:rsidRPr="00873B6C" w:rsidRDefault="006E7E83" w:rsidP="00F84AAF">
            <w:pPr>
              <w:pStyle w:val="TAL"/>
              <w:rPr>
                <w:sz w:val="16"/>
                <w:szCs w:val="16"/>
              </w:rPr>
            </w:pPr>
            <w:r w:rsidRPr="00873B6C">
              <w:rPr>
                <w:sz w:val="16"/>
                <w:szCs w:val="16"/>
              </w:rPr>
              <w:t>End of disaster condition</w:t>
            </w:r>
          </w:p>
        </w:tc>
        <w:tc>
          <w:tcPr>
            <w:tcW w:w="708" w:type="dxa"/>
            <w:shd w:val="solid" w:color="FFFFFF" w:fill="auto"/>
          </w:tcPr>
          <w:p w14:paraId="76F2B789" w14:textId="12FBEFB2" w:rsidR="006E7E83" w:rsidRPr="00873B6C" w:rsidRDefault="006E7E83" w:rsidP="00F84AAF">
            <w:pPr>
              <w:pStyle w:val="TAC"/>
              <w:rPr>
                <w:sz w:val="16"/>
                <w:szCs w:val="16"/>
              </w:rPr>
            </w:pPr>
            <w:r w:rsidRPr="00873B6C">
              <w:rPr>
                <w:sz w:val="16"/>
                <w:szCs w:val="16"/>
              </w:rPr>
              <w:t>17.5.0</w:t>
            </w:r>
          </w:p>
        </w:tc>
      </w:tr>
      <w:tr w:rsidR="006E7E83" w:rsidRPr="00873B6C" w14:paraId="102074E6" w14:textId="77777777" w:rsidTr="009D14FB">
        <w:tc>
          <w:tcPr>
            <w:tcW w:w="800" w:type="dxa"/>
            <w:shd w:val="solid" w:color="FFFFFF" w:fill="auto"/>
          </w:tcPr>
          <w:p w14:paraId="7B707399" w14:textId="48315480"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240FB41D" w14:textId="27838E24"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097D7602" w14:textId="2CE3C263" w:rsidR="006E7E83" w:rsidRPr="00873B6C" w:rsidRDefault="006E7E83" w:rsidP="00F84AAF">
            <w:pPr>
              <w:pStyle w:val="TAC"/>
              <w:rPr>
                <w:sz w:val="16"/>
                <w:szCs w:val="16"/>
              </w:rPr>
            </w:pPr>
            <w:r w:rsidRPr="00873B6C">
              <w:rPr>
                <w:sz w:val="16"/>
                <w:szCs w:val="16"/>
              </w:rPr>
              <w:t>SP-220406</w:t>
            </w:r>
          </w:p>
        </w:tc>
        <w:tc>
          <w:tcPr>
            <w:tcW w:w="567" w:type="dxa"/>
            <w:shd w:val="solid" w:color="FFFFFF" w:fill="auto"/>
          </w:tcPr>
          <w:p w14:paraId="2D24EA6B" w14:textId="5AA29711" w:rsidR="006E7E83" w:rsidRPr="00873B6C" w:rsidRDefault="006E7E83" w:rsidP="00F84AAF">
            <w:pPr>
              <w:pStyle w:val="TAL"/>
              <w:rPr>
                <w:sz w:val="16"/>
                <w:szCs w:val="16"/>
              </w:rPr>
            </w:pPr>
            <w:r w:rsidRPr="00873B6C">
              <w:rPr>
                <w:sz w:val="16"/>
                <w:szCs w:val="16"/>
              </w:rPr>
              <w:t>3628</w:t>
            </w:r>
          </w:p>
        </w:tc>
        <w:tc>
          <w:tcPr>
            <w:tcW w:w="425" w:type="dxa"/>
            <w:shd w:val="solid" w:color="FFFFFF" w:fill="auto"/>
          </w:tcPr>
          <w:p w14:paraId="7C41CD7B" w14:textId="145A6EB9" w:rsidR="006E7E83" w:rsidRPr="00873B6C" w:rsidRDefault="006E7E83" w:rsidP="00F84AAF">
            <w:pPr>
              <w:pStyle w:val="TAL"/>
              <w:rPr>
                <w:sz w:val="16"/>
                <w:szCs w:val="16"/>
              </w:rPr>
            </w:pPr>
            <w:r w:rsidRPr="00873B6C">
              <w:rPr>
                <w:sz w:val="16"/>
                <w:szCs w:val="16"/>
              </w:rPr>
              <w:t>1</w:t>
            </w:r>
          </w:p>
        </w:tc>
        <w:tc>
          <w:tcPr>
            <w:tcW w:w="425" w:type="dxa"/>
            <w:shd w:val="solid" w:color="FFFFFF" w:fill="auto"/>
          </w:tcPr>
          <w:p w14:paraId="0374D3E2" w14:textId="4BC3A656" w:rsidR="006E7E83" w:rsidRPr="00873B6C" w:rsidRDefault="006E7E83" w:rsidP="00F84AAF">
            <w:pPr>
              <w:pStyle w:val="TAL"/>
              <w:rPr>
                <w:sz w:val="16"/>
                <w:szCs w:val="16"/>
              </w:rPr>
            </w:pPr>
            <w:r w:rsidRPr="00873B6C">
              <w:rPr>
                <w:sz w:val="16"/>
                <w:szCs w:val="16"/>
              </w:rPr>
              <w:t>C</w:t>
            </w:r>
          </w:p>
        </w:tc>
        <w:tc>
          <w:tcPr>
            <w:tcW w:w="4820" w:type="dxa"/>
            <w:shd w:val="solid" w:color="FFFFFF" w:fill="auto"/>
          </w:tcPr>
          <w:p w14:paraId="33F143AB" w14:textId="0F74A15A" w:rsidR="006E7E83" w:rsidRPr="00873B6C" w:rsidRDefault="006E7E83" w:rsidP="00F84AAF">
            <w:pPr>
              <w:pStyle w:val="TAL"/>
              <w:rPr>
                <w:sz w:val="16"/>
                <w:szCs w:val="16"/>
              </w:rPr>
            </w:pPr>
            <w:r w:rsidRPr="00873B6C">
              <w:rPr>
                <w:sz w:val="16"/>
                <w:szCs w:val="16"/>
              </w:rPr>
              <w:t>UE capabilities indication for UPU with Disaster Roaming information</w:t>
            </w:r>
          </w:p>
        </w:tc>
        <w:tc>
          <w:tcPr>
            <w:tcW w:w="708" w:type="dxa"/>
            <w:shd w:val="solid" w:color="FFFFFF" w:fill="auto"/>
          </w:tcPr>
          <w:p w14:paraId="49BDC44C" w14:textId="3F337531" w:rsidR="006E7E83" w:rsidRPr="00873B6C" w:rsidRDefault="006E7E83" w:rsidP="00F84AAF">
            <w:pPr>
              <w:pStyle w:val="TAC"/>
              <w:rPr>
                <w:sz w:val="16"/>
                <w:szCs w:val="16"/>
              </w:rPr>
            </w:pPr>
            <w:r w:rsidRPr="00873B6C">
              <w:rPr>
                <w:sz w:val="16"/>
                <w:szCs w:val="16"/>
              </w:rPr>
              <w:t>17.5.0</w:t>
            </w:r>
          </w:p>
        </w:tc>
      </w:tr>
      <w:tr w:rsidR="007C5118" w:rsidRPr="00873B6C" w14:paraId="6EFFD8F1" w14:textId="77777777" w:rsidTr="00C9561D">
        <w:tc>
          <w:tcPr>
            <w:tcW w:w="800" w:type="dxa"/>
            <w:shd w:val="solid" w:color="FFFFFF" w:fill="auto"/>
          </w:tcPr>
          <w:p w14:paraId="5035E2BA" w14:textId="77777777" w:rsidR="007C5118" w:rsidRPr="00873B6C" w:rsidRDefault="007C5118" w:rsidP="00C9561D">
            <w:pPr>
              <w:pStyle w:val="TAC"/>
              <w:rPr>
                <w:sz w:val="16"/>
                <w:szCs w:val="16"/>
              </w:rPr>
            </w:pPr>
            <w:r w:rsidRPr="00873B6C">
              <w:rPr>
                <w:sz w:val="16"/>
                <w:szCs w:val="16"/>
              </w:rPr>
              <w:t>2022-06</w:t>
            </w:r>
          </w:p>
        </w:tc>
        <w:tc>
          <w:tcPr>
            <w:tcW w:w="800" w:type="dxa"/>
            <w:shd w:val="solid" w:color="FFFFFF" w:fill="auto"/>
          </w:tcPr>
          <w:p w14:paraId="3E47DB47" w14:textId="77777777" w:rsidR="007C5118" w:rsidRPr="00873B6C" w:rsidRDefault="007C5118" w:rsidP="00C9561D">
            <w:pPr>
              <w:pStyle w:val="TAL"/>
              <w:rPr>
                <w:sz w:val="16"/>
                <w:szCs w:val="16"/>
              </w:rPr>
            </w:pPr>
            <w:r w:rsidRPr="00873B6C">
              <w:rPr>
                <w:sz w:val="16"/>
                <w:szCs w:val="16"/>
              </w:rPr>
              <w:t>SP#96</w:t>
            </w:r>
          </w:p>
        </w:tc>
        <w:tc>
          <w:tcPr>
            <w:tcW w:w="1094" w:type="dxa"/>
            <w:shd w:val="solid" w:color="FFFFFF" w:fill="auto"/>
          </w:tcPr>
          <w:p w14:paraId="65B4073C" w14:textId="77777777" w:rsidR="007C5118" w:rsidRPr="00873B6C" w:rsidRDefault="007C5118" w:rsidP="00C9561D">
            <w:pPr>
              <w:pStyle w:val="TAC"/>
              <w:rPr>
                <w:sz w:val="16"/>
                <w:szCs w:val="16"/>
              </w:rPr>
            </w:pPr>
            <w:r w:rsidRPr="00873B6C">
              <w:rPr>
                <w:sz w:val="16"/>
                <w:szCs w:val="16"/>
              </w:rPr>
              <w:t>SP-220688</w:t>
            </w:r>
          </w:p>
        </w:tc>
        <w:tc>
          <w:tcPr>
            <w:tcW w:w="567" w:type="dxa"/>
            <w:shd w:val="solid" w:color="FFFFFF" w:fill="auto"/>
          </w:tcPr>
          <w:p w14:paraId="46867DD6" w14:textId="77777777" w:rsidR="007C5118" w:rsidRPr="00873B6C" w:rsidRDefault="007C5118" w:rsidP="00C9561D">
            <w:pPr>
              <w:pStyle w:val="TAL"/>
              <w:rPr>
                <w:sz w:val="16"/>
                <w:szCs w:val="16"/>
              </w:rPr>
            </w:pPr>
            <w:r w:rsidRPr="00873B6C">
              <w:rPr>
                <w:sz w:val="16"/>
                <w:szCs w:val="16"/>
              </w:rPr>
              <w:t>3633</w:t>
            </w:r>
          </w:p>
        </w:tc>
        <w:tc>
          <w:tcPr>
            <w:tcW w:w="425" w:type="dxa"/>
            <w:shd w:val="solid" w:color="FFFFFF" w:fill="auto"/>
          </w:tcPr>
          <w:p w14:paraId="309649F1" w14:textId="77777777" w:rsidR="007C5118" w:rsidRPr="00873B6C" w:rsidRDefault="007C5118" w:rsidP="00C9561D">
            <w:pPr>
              <w:pStyle w:val="TAL"/>
              <w:rPr>
                <w:sz w:val="16"/>
                <w:szCs w:val="16"/>
              </w:rPr>
            </w:pPr>
            <w:r w:rsidRPr="00873B6C">
              <w:rPr>
                <w:sz w:val="16"/>
                <w:szCs w:val="16"/>
              </w:rPr>
              <w:t>3</w:t>
            </w:r>
          </w:p>
        </w:tc>
        <w:tc>
          <w:tcPr>
            <w:tcW w:w="425" w:type="dxa"/>
            <w:shd w:val="solid" w:color="FFFFFF" w:fill="auto"/>
          </w:tcPr>
          <w:p w14:paraId="109F7C2B" w14:textId="77777777" w:rsidR="007C5118" w:rsidRPr="00873B6C" w:rsidRDefault="007C5118" w:rsidP="00C9561D">
            <w:pPr>
              <w:pStyle w:val="TAL"/>
              <w:rPr>
                <w:sz w:val="16"/>
                <w:szCs w:val="16"/>
              </w:rPr>
            </w:pPr>
            <w:r w:rsidRPr="00873B6C">
              <w:rPr>
                <w:sz w:val="16"/>
                <w:szCs w:val="16"/>
              </w:rPr>
              <w:t>F</w:t>
            </w:r>
          </w:p>
        </w:tc>
        <w:tc>
          <w:tcPr>
            <w:tcW w:w="4820" w:type="dxa"/>
            <w:shd w:val="solid" w:color="FFFFFF" w:fill="auto"/>
          </w:tcPr>
          <w:p w14:paraId="516B3A63" w14:textId="77777777" w:rsidR="007C5118" w:rsidRPr="00873B6C" w:rsidRDefault="007C5118" w:rsidP="00C9561D">
            <w:pPr>
              <w:pStyle w:val="TAL"/>
              <w:rPr>
                <w:sz w:val="16"/>
                <w:szCs w:val="16"/>
              </w:rPr>
            </w:pPr>
            <w:r w:rsidRPr="00873B6C">
              <w:rPr>
                <w:sz w:val="16"/>
                <w:szCs w:val="16"/>
              </w:rPr>
              <w:t>RFSP Index authorized by PCF and subscribed RFSP Index</w:t>
            </w:r>
          </w:p>
        </w:tc>
        <w:tc>
          <w:tcPr>
            <w:tcW w:w="708" w:type="dxa"/>
            <w:shd w:val="solid" w:color="FFFFFF" w:fill="auto"/>
          </w:tcPr>
          <w:p w14:paraId="19ABCDB8" w14:textId="77777777" w:rsidR="007C5118" w:rsidRPr="00873B6C" w:rsidRDefault="007C5118" w:rsidP="00C9561D">
            <w:pPr>
              <w:pStyle w:val="TAC"/>
              <w:rPr>
                <w:sz w:val="16"/>
                <w:szCs w:val="16"/>
              </w:rPr>
            </w:pPr>
            <w:r w:rsidRPr="00873B6C">
              <w:rPr>
                <w:sz w:val="16"/>
                <w:szCs w:val="16"/>
              </w:rPr>
              <w:t>17.5.0</w:t>
            </w:r>
          </w:p>
        </w:tc>
      </w:tr>
      <w:tr w:rsidR="006E7E83" w:rsidRPr="00873B6C" w14:paraId="2ADA43C9" w14:textId="77777777" w:rsidTr="009D14FB">
        <w:tc>
          <w:tcPr>
            <w:tcW w:w="800" w:type="dxa"/>
            <w:shd w:val="solid" w:color="FFFFFF" w:fill="auto"/>
          </w:tcPr>
          <w:p w14:paraId="283AAFAB" w14:textId="12675076"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6E71E9AB" w14:textId="20867B90"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231E27F4" w14:textId="35606BB0" w:rsidR="006E7E83" w:rsidRPr="00873B6C" w:rsidRDefault="006E7E83" w:rsidP="00F84AAF">
            <w:pPr>
              <w:pStyle w:val="TAC"/>
              <w:rPr>
                <w:sz w:val="16"/>
                <w:szCs w:val="16"/>
              </w:rPr>
            </w:pPr>
            <w:r w:rsidRPr="00873B6C">
              <w:rPr>
                <w:sz w:val="16"/>
                <w:szCs w:val="16"/>
              </w:rPr>
              <w:t>SP-220410</w:t>
            </w:r>
          </w:p>
        </w:tc>
        <w:tc>
          <w:tcPr>
            <w:tcW w:w="567" w:type="dxa"/>
            <w:shd w:val="solid" w:color="FFFFFF" w:fill="auto"/>
          </w:tcPr>
          <w:p w14:paraId="56EF8598" w14:textId="33559FF3" w:rsidR="006E7E83" w:rsidRPr="00873B6C" w:rsidRDefault="006E7E83" w:rsidP="00F84AAF">
            <w:pPr>
              <w:pStyle w:val="TAL"/>
              <w:rPr>
                <w:sz w:val="16"/>
                <w:szCs w:val="16"/>
              </w:rPr>
            </w:pPr>
            <w:r w:rsidRPr="00873B6C">
              <w:rPr>
                <w:sz w:val="16"/>
                <w:szCs w:val="16"/>
              </w:rPr>
              <w:t>3635</w:t>
            </w:r>
          </w:p>
        </w:tc>
        <w:tc>
          <w:tcPr>
            <w:tcW w:w="425" w:type="dxa"/>
            <w:shd w:val="solid" w:color="FFFFFF" w:fill="auto"/>
          </w:tcPr>
          <w:p w14:paraId="3DE4FCC6" w14:textId="6F4D56DB" w:rsidR="006E7E83" w:rsidRPr="00873B6C" w:rsidRDefault="006E7E83" w:rsidP="00F84AAF">
            <w:pPr>
              <w:pStyle w:val="TAL"/>
              <w:rPr>
                <w:sz w:val="16"/>
                <w:szCs w:val="16"/>
              </w:rPr>
            </w:pPr>
            <w:r w:rsidRPr="00873B6C">
              <w:rPr>
                <w:sz w:val="16"/>
                <w:szCs w:val="16"/>
              </w:rPr>
              <w:t>1</w:t>
            </w:r>
          </w:p>
        </w:tc>
        <w:tc>
          <w:tcPr>
            <w:tcW w:w="425" w:type="dxa"/>
            <w:shd w:val="solid" w:color="FFFFFF" w:fill="auto"/>
          </w:tcPr>
          <w:p w14:paraId="14C208A1" w14:textId="6C119458" w:rsidR="006E7E83" w:rsidRPr="00873B6C" w:rsidRDefault="006E7E83" w:rsidP="00F84AAF">
            <w:pPr>
              <w:pStyle w:val="TAL"/>
              <w:rPr>
                <w:sz w:val="16"/>
                <w:szCs w:val="16"/>
              </w:rPr>
            </w:pPr>
            <w:r w:rsidRPr="00873B6C">
              <w:rPr>
                <w:sz w:val="16"/>
                <w:szCs w:val="16"/>
              </w:rPr>
              <w:t>F</w:t>
            </w:r>
          </w:p>
        </w:tc>
        <w:tc>
          <w:tcPr>
            <w:tcW w:w="4820" w:type="dxa"/>
            <w:shd w:val="solid" w:color="FFFFFF" w:fill="auto"/>
          </w:tcPr>
          <w:p w14:paraId="72D1D403" w14:textId="173828C4" w:rsidR="006E7E83" w:rsidRPr="00873B6C" w:rsidRDefault="006E7E83" w:rsidP="00F84AAF">
            <w:pPr>
              <w:pStyle w:val="TAL"/>
              <w:rPr>
                <w:sz w:val="16"/>
                <w:szCs w:val="16"/>
              </w:rPr>
            </w:pPr>
            <w:r w:rsidRPr="00873B6C">
              <w:rPr>
                <w:sz w:val="16"/>
                <w:szCs w:val="16"/>
              </w:rPr>
              <w:t>NRF discovery and selection</w:t>
            </w:r>
          </w:p>
        </w:tc>
        <w:tc>
          <w:tcPr>
            <w:tcW w:w="708" w:type="dxa"/>
            <w:shd w:val="solid" w:color="FFFFFF" w:fill="auto"/>
          </w:tcPr>
          <w:p w14:paraId="76BF7AE3" w14:textId="0EBE961E" w:rsidR="006E7E83" w:rsidRPr="00873B6C" w:rsidRDefault="006E7E83" w:rsidP="00F84AAF">
            <w:pPr>
              <w:pStyle w:val="TAC"/>
              <w:rPr>
                <w:sz w:val="16"/>
                <w:szCs w:val="16"/>
              </w:rPr>
            </w:pPr>
            <w:r w:rsidRPr="00873B6C">
              <w:rPr>
                <w:sz w:val="16"/>
                <w:szCs w:val="16"/>
              </w:rPr>
              <w:t>17.5.0</w:t>
            </w:r>
          </w:p>
        </w:tc>
      </w:tr>
      <w:tr w:rsidR="006E7E83" w:rsidRPr="00873B6C" w14:paraId="38547B98" w14:textId="77777777" w:rsidTr="00C9561D">
        <w:tc>
          <w:tcPr>
            <w:tcW w:w="800" w:type="dxa"/>
            <w:shd w:val="solid" w:color="FFFFFF" w:fill="auto"/>
          </w:tcPr>
          <w:p w14:paraId="399ECE32" w14:textId="77777777" w:rsidR="006E7E83" w:rsidRPr="00873B6C" w:rsidRDefault="006E7E83" w:rsidP="00C9561D">
            <w:pPr>
              <w:pStyle w:val="TAC"/>
              <w:rPr>
                <w:sz w:val="16"/>
                <w:szCs w:val="16"/>
              </w:rPr>
            </w:pPr>
            <w:r w:rsidRPr="00873B6C">
              <w:rPr>
                <w:sz w:val="16"/>
                <w:szCs w:val="16"/>
              </w:rPr>
              <w:t>2022-06</w:t>
            </w:r>
          </w:p>
        </w:tc>
        <w:tc>
          <w:tcPr>
            <w:tcW w:w="800" w:type="dxa"/>
            <w:shd w:val="solid" w:color="FFFFFF" w:fill="auto"/>
          </w:tcPr>
          <w:p w14:paraId="1C593978" w14:textId="77777777" w:rsidR="006E7E83" w:rsidRPr="00873B6C" w:rsidRDefault="006E7E83" w:rsidP="00C9561D">
            <w:pPr>
              <w:pStyle w:val="TAL"/>
              <w:rPr>
                <w:sz w:val="16"/>
                <w:szCs w:val="16"/>
              </w:rPr>
            </w:pPr>
            <w:r w:rsidRPr="00873B6C">
              <w:rPr>
                <w:sz w:val="16"/>
                <w:szCs w:val="16"/>
              </w:rPr>
              <w:t>SP#96</w:t>
            </w:r>
          </w:p>
        </w:tc>
        <w:tc>
          <w:tcPr>
            <w:tcW w:w="1094" w:type="dxa"/>
            <w:shd w:val="solid" w:color="FFFFFF" w:fill="auto"/>
          </w:tcPr>
          <w:p w14:paraId="25FE7A40" w14:textId="77777777" w:rsidR="006E7E83" w:rsidRPr="00873B6C" w:rsidRDefault="006E7E83" w:rsidP="00C9561D">
            <w:pPr>
              <w:pStyle w:val="TAC"/>
              <w:rPr>
                <w:sz w:val="16"/>
                <w:szCs w:val="16"/>
              </w:rPr>
            </w:pPr>
            <w:r w:rsidRPr="00873B6C">
              <w:rPr>
                <w:sz w:val="16"/>
                <w:szCs w:val="16"/>
              </w:rPr>
              <w:t>SP-220391</w:t>
            </w:r>
          </w:p>
        </w:tc>
        <w:tc>
          <w:tcPr>
            <w:tcW w:w="567" w:type="dxa"/>
            <w:shd w:val="solid" w:color="FFFFFF" w:fill="auto"/>
          </w:tcPr>
          <w:p w14:paraId="2EA4B1EF" w14:textId="77777777" w:rsidR="006E7E83" w:rsidRPr="00873B6C" w:rsidRDefault="006E7E83" w:rsidP="00C9561D">
            <w:pPr>
              <w:pStyle w:val="TAL"/>
              <w:rPr>
                <w:sz w:val="16"/>
                <w:szCs w:val="16"/>
              </w:rPr>
            </w:pPr>
            <w:r w:rsidRPr="00873B6C">
              <w:rPr>
                <w:sz w:val="16"/>
                <w:szCs w:val="16"/>
              </w:rPr>
              <w:t>3642</w:t>
            </w:r>
          </w:p>
        </w:tc>
        <w:tc>
          <w:tcPr>
            <w:tcW w:w="425" w:type="dxa"/>
            <w:shd w:val="solid" w:color="FFFFFF" w:fill="auto"/>
          </w:tcPr>
          <w:p w14:paraId="7F4AD8A4" w14:textId="77777777" w:rsidR="006E7E83" w:rsidRPr="00873B6C" w:rsidRDefault="006E7E83" w:rsidP="00C9561D">
            <w:pPr>
              <w:pStyle w:val="TAL"/>
              <w:rPr>
                <w:sz w:val="16"/>
                <w:szCs w:val="16"/>
              </w:rPr>
            </w:pPr>
            <w:r w:rsidRPr="00873B6C">
              <w:rPr>
                <w:sz w:val="16"/>
                <w:szCs w:val="16"/>
              </w:rPr>
              <w:t>1</w:t>
            </w:r>
          </w:p>
        </w:tc>
        <w:tc>
          <w:tcPr>
            <w:tcW w:w="425" w:type="dxa"/>
            <w:shd w:val="solid" w:color="FFFFFF" w:fill="auto"/>
          </w:tcPr>
          <w:p w14:paraId="7565FBF8" w14:textId="77777777" w:rsidR="006E7E83" w:rsidRPr="00873B6C" w:rsidRDefault="006E7E83" w:rsidP="00C9561D">
            <w:pPr>
              <w:pStyle w:val="TAL"/>
              <w:rPr>
                <w:sz w:val="16"/>
                <w:szCs w:val="16"/>
              </w:rPr>
            </w:pPr>
            <w:r w:rsidRPr="00873B6C">
              <w:rPr>
                <w:sz w:val="16"/>
                <w:szCs w:val="16"/>
              </w:rPr>
              <w:t>A</w:t>
            </w:r>
          </w:p>
        </w:tc>
        <w:tc>
          <w:tcPr>
            <w:tcW w:w="4820" w:type="dxa"/>
            <w:shd w:val="solid" w:color="FFFFFF" w:fill="auto"/>
          </w:tcPr>
          <w:p w14:paraId="6480449D" w14:textId="77777777" w:rsidR="006E7E83" w:rsidRPr="00873B6C" w:rsidRDefault="006E7E83" w:rsidP="00C9561D">
            <w:pPr>
              <w:pStyle w:val="TAL"/>
              <w:rPr>
                <w:sz w:val="16"/>
                <w:szCs w:val="16"/>
              </w:rPr>
            </w:pPr>
            <w:r w:rsidRPr="00873B6C">
              <w:rPr>
                <w:sz w:val="16"/>
                <w:szCs w:val="16"/>
              </w:rPr>
              <w:t>clarifications for CAG access control for a UE without mobility restrictions</w:t>
            </w:r>
          </w:p>
        </w:tc>
        <w:tc>
          <w:tcPr>
            <w:tcW w:w="708" w:type="dxa"/>
            <w:shd w:val="solid" w:color="FFFFFF" w:fill="auto"/>
          </w:tcPr>
          <w:p w14:paraId="27D52E0D" w14:textId="77777777" w:rsidR="006E7E83" w:rsidRPr="00873B6C" w:rsidRDefault="006E7E83" w:rsidP="00C9561D">
            <w:pPr>
              <w:pStyle w:val="TAC"/>
              <w:rPr>
                <w:sz w:val="16"/>
                <w:szCs w:val="16"/>
              </w:rPr>
            </w:pPr>
            <w:r w:rsidRPr="00873B6C">
              <w:rPr>
                <w:sz w:val="16"/>
                <w:szCs w:val="16"/>
              </w:rPr>
              <w:t>17.5.0</w:t>
            </w:r>
          </w:p>
        </w:tc>
      </w:tr>
      <w:tr w:rsidR="006E7E83" w:rsidRPr="00873B6C" w14:paraId="54C13FB5" w14:textId="77777777" w:rsidTr="009D14FB">
        <w:tc>
          <w:tcPr>
            <w:tcW w:w="800" w:type="dxa"/>
            <w:shd w:val="solid" w:color="FFFFFF" w:fill="auto"/>
          </w:tcPr>
          <w:p w14:paraId="058714AF" w14:textId="14B5F0E7"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2A31425C" w14:textId="22E781D8"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3ECB9385" w14:textId="1761CF5C" w:rsidR="006E7E83" w:rsidRPr="00873B6C" w:rsidRDefault="006E7E83" w:rsidP="00F84AAF">
            <w:pPr>
              <w:pStyle w:val="TAC"/>
              <w:rPr>
                <w:sz w:val="16"/>
                <w:szCs w:val="16"/>
              </w:rPr>
            </w:pPr>
            <w:r w:rsidRPr="00873B6C">
              <w:rPr>
                <w:sz w:val="16"/>
                <w:szCs w:val="16"/>
              </w:rPr>
              <w:t>SP-220410</w:t>
            </w:r>
          </w:p>
        </w:tc>
        <w:tc>
          <w:tcPr>
            <w:tcW w:w="567" w:type="dxa"/>
            <w:shd w:val="solid" w:color="FFFFFF" w:fill="auto"/>
          </w:tcPr>
          <w:p w14:paraId="22E735D3" w14:textId="49BA034E" w:rsidR="006E7E83" w:rsidRPr="00873B6C" w:rsidRDefault="006E7E83" w:rsidP="00F84AAF">
            <w:pPr>
              <w:pStyle w:val="TAL"/>
              <w:rPr>
                <w:sz w:val="16"/>
                <w:szCs w:val="16"/>
              </w:rPr>
            </w:pPr>
            <w:r w:rsidRPr="00873B6C">
              <w:rPr>
                <w:sz w:val="16"/>
                <w:szCs w:val="16"/>
              </w:rPr>
              <w:t>3645</w:t>
            </w:r>
          </w:p>
        </w:tc>
        <w:tc>
          <w:tcPr>
            <w:tcW w:w="425" w:type="dxa"/>
            <w:shd w:val="solid" w:color="FFFFFF" w:fill="auto"/>
          </w:tcPr>
          <w:p w14:paraId="1B08B7B2" w14:textId="0B80AFBD" w:rsidR="006E7E83" w:rsidRPr="00873B6C" w:rsidRDefault="006E7E83" w:rsidP="00F84AAF">
            <w:pPr>
              <w:pStyle w:val="TAL"/>
              <w:rPr>
                <w:sz w:val="16"/>
                <w:szCs w:val="16"/>
              </w:rPr>
            </w:pPr>
            <w:r w:rsidRPr="00873B6C">
              <w:rPr>
                <w:sz w:val="16"/>
                <w:szCs w:val="16"/>
              </w:rPr>
              <w:t>1</w:t>
            </w:r>
          </w:p>
        </w:tc>
        <w:tc>
          <w:tcPr>
            <w:tcW w:w="425" w:type="dxa"/>
            <w:shd w:val="solid" w:color="FFFFFF" w:fill="auto"/>
          </w:tcPr>
          <w:p w14:paraId="387BEB8D" w14:textId="2B810399" w:rsidR="006E7E83" w:rsidRPr="00873B6C" w:rsidRDefault="006E7E83" w:rsidP="00F84AAF">
            <w:pPr>
              <w:pStyle w:val="TAL"/>
              <w:rPr>
                <w:sz w:val="16"/>
                <w:szCs w:val="16"/>
              </w:rPr>
            </w:pPr>
            <w:r w:rsidRPr="00873B6C">
              <w:rPr>
                <w:sz w:val="16"/>
                <w:szCs w:val="16"/>
              </w:rPr>
              <w:t>F</w:t>
            </w:r>
          </w:p>
        </w:tc>
        <w:tc>
          <w:tcPr>
            <w:tcW w:w="4820" w:type="dxa"/>
            <w:shd w:val="solid" w:color="FFFFFF" w:fill="auto"/>
          </w:tcPr>
          <w:p w14:paraId="0508496E" w14:textId="6B5F4472" w:rsidR="006E7E83" w:rsidRPr="00873B6C" w:rsidRDefault="006E7E83" w:rsidP="00F84AAF">
            <w:pPr>
              <w:pStyle w:val="TAL"/>
              <w:rPr>
                <w:sz w:val="16"/>
                <w:szCs w:val="16"/>
              </w:rPr>
            </w:pPr>
            <w:r w:rsidRPr="00873B6C">
              <w:rPr>
                <w:sz w:val="16"/>
                <w:szCs w:val="16"/>
              </w:rPr>
              <w:t>Correction of UE behaviour upon mobility between GERAN/UTRAN and 5GS</w:t>
            </w:r>
          </w:p>
        </w:tc>
        <w:tc>
          <w:tcPr>
            <w:tcW w:w="708" w:type="dxa"/>
            <w:shd w:val="solid" w:color="FFFFFF" w:fill="auto"/>
          </w:tcPr>
          <w:p w14:paraId="29F5C632" w14:textId="7AC07CF2" w:rsidR="006E7E83" w:rsidRPr="00873B6C" w:rsidRDefault="006E7E83" w:rsidP="00F84AAF">
            <w:pPr>
              <w:pStyle w:val="TAC"/>
              <w:rPr>
                <w:sz w:val="16"/>
                <w:szCs w:val="16"/>
              </w:rPr>
            </w:pPr>
            <w:r w:rsidRPr="00873B6C">
              <w:rPr>
                <w:sz w:val="16"/>
                <w:szCs w:val="16"/>
              </w:rPr>
              <w:t>17.5.0</w:t>
            </w:r>
          </w:p>
        </w:tc>
      </w:tr>
      <w:tr w:rsidR="006E7E83" w:rsidRPr="00873B6C" w14:paraId="4CEDB26B" w14:textId="77777777" w:rsidTr="009D14FB">
        <w:tc>
          <w:tcPr>
            <w:tcW w:w="800" w:type="dxa"/>
            <w:shd w:val="solid" w:color="FFFFFF" w:fill="auto"/>
          </w:tcPr>
          <w:p w14:paraId="3E2AD486" w14:textId="55E29BB2"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0C27DF7E" w14:textId="717BD9EC"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70B58AD6" w14:textId="0FDD34C4" w:rsidR="006E7E83" w:rsidRPr="00873B6C" w:rsidRDefault="006E7E83" w:rsidP="00F84AAF">
            <w:pPr>
              <w:pStyle w:val="TAC"/>
              <w:rPr>
                <w:sz w:val="16"/>
                <w:szCs w:val="16"/>
              </w:rPr>
            </w:pPr>
            <w:r w:rsidRPr="00873B6C">
              <w:rPr>
                <w:sz w:val="16"/>
                <w:szCs w:val="16"/>
              </w:rPr>
              <w:t>SP-220391</w:t>
            </w:r>
          </w:p>
        </w:tc>
        <w:tc>
          <w:tcPr>
            <w:tcW w:w="567" w:type="dxa"/>
            <w:shd w:val="solid" w:color="FFFFFF" w:fill="auto"/>
          </w:tcPr>
          <w:p w14:paraId="7F9C1811" w14:textId="5E7E9D6E" w:rsidR="006E7E83" w:rsidRPr="00873B6C" w:rsidRDefault="006E7E83" w:rsidP="00F84AAF">
            <w:pPr>
              <w:pStyle w:val="TAL"/>
              <w:rPr>
                <w:sz w:val="16"/>
                <w:szCs w:val="16"/>
              </w:rPr>
            </w:pPr>
            <w:r w:rsidRPr="00873B6C">
              <w:rPr>
                <w:sz w:val="16"/>
                <w:szCs w:val="16"/>
              </w:rPr>
              <w:t>3649</w:t>
            </w:r>
          </w:p>
        </w:tc>
        <w:tc>
          <w:tcPr>
            <w:tcW w:w="425" w:type="dxa"/>
            <w:shd w:val="solid" w:color="FFFFFF" w:fill="auto"/>
          </w:tcPr>
          <w:p w14:paraId="22544CC6" w14:textId="21A64366" w:rsidR="006E7E83" w:rsidRPr="00873B6C" w:rsidRDefault="006E7E83" w:rsidP="00F84AAF">
            <w:pPr>
              <w:pStyle w:val="TAL"/>
              <w:rPr>
                <w:sz w:val="16"/>
                <w:szCs w:val="16"/>
              </w:rPr>
            </w:pPr>
            <w:r w:rsidRPr="00873B6C">
              <w:rPr>
                <w:sz w:val="16"/>
                <w:szCs w:val="16"/>
              </w:rPr>
              <w:t>1</w:t>
            </w:r>
          </w:p>
        </w:tc>
        <w:tc>
          <w:tcPr>
            <w:tcW w:w="425" w:type="dxa"/>
            <w:shd w:val="solid" w:color="FFFFFF" w:fill="auto"/>
          </w:tcPr>
          <w:p w14:paraId="17120081" w14:textId="486CA3C3" w:rsidR="006E7E83" w:rsidRPr="00873B6C" w:rsidRDefault="006E7E83" w:rsidP="00F84AAF">
            <w:pPr>
              <w:pStyle w:val="TAL"/>
              <w:rPr>
                <w:sz w:val="16"/>
                <w:szCs w:val="16"/>
              </w:rPr>
            </w:pPr>
            <w:r w:rsidRPr="00873B6C">
              <w:rPr>
                <w:sz w:val="16"/>
                <w:szCs w:val="16"/>
              </w:rPr>
              <w:t>A</w:t>
            </w:r>
          </w:p>
        </w:tc>
        <w:tc>
          <w:tcPr>
            <w:tcW w:w="4820" w:type="dxa"/>
            <w:shd w:val="solid" w:color="FFFFFF" w:fill="auto"/>
          </w:tcPr>
          <w:p w14:paraId="28AA0DA9" w14:textId="6600C96B" w:rsidR="006E7E83" w:rsidRPr="00873B6C" w:rsidRDefault="006E7E83" w:rsidP="00F84AAF">
            <w:pPr>
              <w:pStyle w:val="TAL"/>
              <w:rPr>
                <w:sz w:val="16"/>
                <w:szCs w:val="16"/>
              </w:rPr>
            </w:pPr>
            <w:r w:rsidRPr="00873B6C">
              <w:rPr>
                <w:sz w:val="16"/>
                <w:szCs w:val="16"/>
              </w:rPr>
              <w:t>Correction of the Signalling Based Tracing support</w:t>
            </w:r>
          </w:p>
        </w:tc>
        <w:tc>
          <w:tcPr>
            <w:tcW w:w="708" w:type="dxa"/>
            <w:shd w:val="solid" w:color="FFFFFF" w:fill="auto"/>
          </w:tcPr>
          <w:p w14:paraId="1EDADA19" w14:textId="6F57151C" w:rsidR="006E7E83" w:rsidRPr="00873B6C" w:rsidRDefault="006E7E83" w:rsidP="00F84AAF">
            <w:pPr>
              <w:pStyle w:val="TAC"/>
              <w:rPr>
                <w:sz w:val="16"/>
                <w:szCs w:val="16"/>
              </w:rPr>
            </w:pPr>
            <w:r w:rsidRPr="00873B6C">
              <w:rPr>
                <w:sz w:val="16"/>
                <w:szCs w:val="16"/>
              </w:rPr>
              <w:t>17.5.0</w:t>
            </w:r>
          </w:p>
        </w:tc>
      </w:tr>
      <w:tr w:rsidR="00DF6095" w:rsidRPr="00873B6C" w14:paraId="4D34F890" w14:textId="77777777" w:rsidTr="009D14FB">
        <w:tc>
          <w:tcPr>
            <w:tcW w:w="800" w:type="dxa"/>
            <w:shd w:val="solid" w:color="FFFFFF" w:fill="auto"/>
          </w:tcPr>
          <w:p w14:paraId="325E108E" w14:textId="04308A47" w:rsidR="00DF6095" w:rsidRPr="00873B6C" w:rsidRDefault="00DF6095" w:rsidP="00F84AAF">
            <w:pPr>
              <w:pStyle w:val="TAC"/>
              <w:rPr>
                <w:sz w:val="16"/>
                <w:szCs w:val="16"/>
              </w:rPr>
            </w:pPr>
            <w:r w:rsidRPr="00873B6C">
              <w:rPr>
                <w:sz w:val="16"/>
                <w:szCs w:val="16"/>
              </w:rPr>
              <w:t>2022-06</w:t>
            </w:r>
          </w:p>
        </w:tc>
        <w:tc>
          <w:tcPr>
            <w:tcW w:w="800" w:type="dxa"/>
            <w:shd w:val="solid" w:color="FFFFFF" w:fill="auto"/>
          </w:tcPr>
          <w:p w14:paraId="5DADEAC1" w14:textId="553570BA" w:rsidR="00DF6095" w:rsidRPr="00873B6C" w:rsidRDefault="00DF6095" w:rsidP="00F84AAF">
            <w:pPr>
              <w:pStyle w:val="TAL"/>
              <w:rPr>
                <w:sz w:val="16"/>
                <w:szCs w:val="16"/>
              </w:rPr>
            </w:pPr>
            <w:r w:rsidRPr="00873B6C">
              <w:rPr>
                <w:sz w:val="16"/>
                <w:szCs w:val="16"/>
              </w:rPr>
              <w:t>SP#96</w:t>
            </w:r>
          </w:p>
        </w:tc>
        <w:tc>
          <w:tcPr>
            <w:tcW w:w="1094" w:type="dxa"/>
            <w:shd w:val="solid" w:color="FFFFFF" w:fill="auto"/>
          </w:tcPr>
          <w:p w14:paraId="7413DFC7" w14:textId="19BE57A8" w:rsidR="00DF6095" w:rsidRPr="00873B6C" w:rsidRDefault="00DF6095" w:rsidP="00F84AAF">
            <w:pPr>
              <w:pStyle w:val="TAC"/>
              <w:rPr>
                <w:sz w:val="16"/>
                <w:szCs w:val="16"/>
              </w:rPr>
            </w:pPr>
            <w:r w:rsidRPr="00873B6C">
              <w:rPr>
                <w:sz w:val="16"/>
                <w:szCs w:val="16"/>
              </w:rPr>
              <w:t>SP-220410</w:t>
            </w:r>
          </w:p>
        </w:tc>
        <w:tc>
          <w:tcPr>
            <w:tcW w:w="567" w:type="dxa"/>
            <w:shd w:val="solid" w:color="FFFFFF" w:fill="auto"/>
          </w:tcPr>
          <w:p w14:paraId="397CC430" w14:textId="1277FB4C" w:rsidR="00DF6095" w:rsidRPr="00873B6C" w:rsidRDefault="00DF6095" w:rsidP="00F84AAF">
            <w:pPr>
              <w:pStyle w:val="TAL"/>
              <w:rPr>
                <w:sz w:val="16"/>
                <w:szCs w:val="16"/>
              </w:rPr>
            </w:pPr>
            <w:r w:rsidRPr="00873B6C">
              <w:rPr>
                <w:sz w:val="16"/>
                <w:szCs w:val="16"/>
              </w:rPr>
              <w:t>3650</w:t>
            </w:r>
          </w:p>
        </w:tc>
        <w:tc>
          <w:tcPr>
            <w:tcW w:w="425" w:type="dxa"/>
            <w:shd w:val="solid" w:color="FFFFFF" w:fill="auto"/>
          </w:tcPr>
          <w:p w14:paraId="027F38B0" w14:textId="622D4F99" w:rsidR="00DF6095" w:rsidRPr="00873B6C" w:rsidRDefault="00DF6095" w:rsidP="00F84AAF">
            <w:pPr>
              <w:pStyle w:val="TAL"/>
              <w:rPr>
                <w:sz w:val="16"/>
                <w:szCs w:val="16"/>
              </w:rPr>
            </w:pPr>
            <w:r w:rsidRPr="00873B6C">
              <w:rPr>
                <w:sz w:val="16"/>
                <w:szCs w:val="16"/>
              </w:rPr>
              <w:t>1</w:t>
            </w:r>
          </w:p>
        </w:tc>
        <w:tc>
          <w:tcPr>
            <w:tcW w:w="425" w:type="dxa"/>
            <w:shd w:val="solid" w:color="FFFFFF" w:fill="auto"/>
          </w:tcPr>
          <w:p w14:paraId="65AE63D8" w14:textId="4471C608" w:rsidR="00DF6095" w:rsidRPr="00873B6C" w:rsidRDefault="00DF6095" w:rsidP="00F84AAF">
            <w:pPr>
              <w:pStyle w:val="TAL"/>
              <w:rPr>
                <w:sz w:val="16"/>
                <w:szCs w:val="16"/>
              </w:rPr>
            </w:pPr>
            <w:r w:rsidRPr="00873B6C">
              <w:rPr>
                <w:sz w:val="16"/>
                <w:szCs w:val="16"/>
              </w:rPr>
              <w:t>F</w:t>
            </w:r>
          </w:p>
        </w:tc>
        <w:tc>
          <w:tcPr>
            <w:tcW w:w="4820" w:type="dxa"/>
            <w:shd w:val="solid" w:color="FFFFFF" w:fill="auto"/>
          </w:tcPr>
          <w:p w14:paraId="6E39403E" w14:textId="79EA95F0" w:rsidR="00DF6095" w:rsidRPr="00873B6C" w:rsidRDefault="00DF6095" w:rsidP="00F84AAF">
            <w:pPr>
              <w:pStyle w:val="TAL"/>
              <w:rPr>
                <w:sz w:val="16"/>
                <w:szCs w:val="16"/>
              </w:rPr>
            </w:pPr>
            <w:r w:rsidRPr="00873B6C">
              <w:rPr>
                <w:sz w:val="16"/>
                <w:szCs w:val="16"/>
              </w:rPr>
              <w:t>UDR storing of non-subscriber related data</w:t>
            </w:r>
          </w:p>
        </w:tc>
        <w:tc>
          <w:tcPr>
            <w:tcW w:w="708" w:type="dxa"/>
            <w:shd w:val="solid" w:color="FFFFFF" w:fill="auto"/>
          </w:tcPr>
          <w:p w14:paraId="25627526" w14:textId="27916463" w:rsidR="00DF6095" w:rsidRPr="00873B6C" w:rsidRDefault="00DF6095" w:rsidP="00F84AAF">
            <w:pPr>
              <w:pStyle w:val="TAC"/>
              <w:rPr>
                <w:sz w:val="16"/>
                <w:szCs w:val="16"/>
              </w:rPr>
            </w:pPr>
            <w:r w:rsidRPr="00873B6C">
              <w:rPr>
                <w:sz w:val="16"/>
                <w:szCs w:val="16"/>
              </w:rPr>
              <w:t>17.5.0</w:t>
            </w:r>
          </w:p>
        </w:tc>
      </w:tr>
      <w:tr w:rsidR="00DF6095" w:rsidRPr="00873B6C" w14:paraId="75028002" w14:textId="77777777" w:rsidTr="009D14FB">
        <w:tc>
          <w:tcPr>
            <w:tcW w:w="800" w:type="dxa"/>
            <w:shd w:val="solid" w:color="FFFFFF" w:fill="auto"/>
          </w:tcPr>
          <w:p w14:paraId="0680C3E2" w14:textId="7BF5B433" w:rsidR="00DF6095" w:rsidRPr="00873B6C" w:rsidRDefault="00DF6095" w:rsidP="00F84AAF">
            <w:pPr>
              <w:pStyle w:val="TAC"/>
              <w:rPr>
                <w:sz w:val="16"/>
                <w:szCs w:val="16"/>
              </w:rPr>
            </w:pPr>
            <w:r w:rsidRPr="00873B6C">
              <w:rPr>
                <w:sz w:val="16"/>
                <w:szCs w:val="16"/>
              </w:rPr>
              <w:t>2022-06</w:t>
            </w:r>
          </w:p>
        </w:tc>
        <w:tc>
          <w:tcPr>
            <w:tcW w:w="800" w:type="dxa"/>
            <w:shd w:val="solid" w:color="FFFFFF" w:fill="auto"/>
          </w:tcPr>
          <w:p w14:paraId="14E76C07" w14:textId="1C0F02E3" w:rsidR="00DF6095" w:rsidRPr="00873B6C" w:rsidRDefault="00DF6095" w:rsidP="00F84AAF">
            <w:pPr>
              <w:pStyle w:val="TAL"/>
              <w:rPr>
                <w:sz w:val="16"/>
                <w:szCs w:val="16"/>
              </w:rPr>
            </w:pPr>
            <w:r w:rsidRPr="00873B6C">
              <w:rPr>
                <w:sz w:val="16"/>
                <w:szCs w:val="16"/>
              </w:rPr>
              <w:t>SP#96</w:t>
            </w:r>
          </w:p>
        </w:tc>
        <w:tc>
          <w:tcPr>
            <w:tcW w:w="1094" w:type="dxa"/>
            <w:shd w:val="solid" w:color="FFFFFF" w:fill="auto"/>
          </w:tcPr>
          <w:p w14:paraId="0D28017E" w14:textId="1838781F" w:rsidR="00DF6095" w:rsidRPr="00873B6C" w:rsidRDefault="00DF6095" w:rsidP="00F84AAF">
            <w:pPr>
              <w:pStyle w:val="TAC"/>
              <w:rPr>
                <w:sz w:val="16"/>
                <w:szCs w:val="16"/>
              </w:rPr>
            </w:pPr>
            <w:r w:rsidRPr="00873B6C">
              <w:rPr>
                <w:sz w:val="16"/>
                <w:szCs w:val="16"/>
              </w:rPr>
              <w:t>SP-220401</w:t>
            </w:r>
          </w:p>
        </w:tc>
        <w:tc>
          <w:tcPr>
            <w:tcW w:w="567" w:type="dxa"/>
            <w:shd w:val="solid" w:color="FFFFFF" w:fill="auto"/>
          </w:tcPr>
          <w:p w14:paraId="52CDF40C" w14:textId="37ABA9E6" w:rsidR="00DF6095" w:rsidRPr="00873B6C" w:rsidRDefault="00DF6095" w:rsidP="00F84AAF">
            <w:pPr>
              <w:pStyle w:val="TAL"/>
              <w:rPr>
                <w:sz w:val="16"/>
                <w:szCs w:val="16"/>
              </w:rPr>
            </w:pPr>
            <w:r w:rsidRPr="00873B6C">
              <w:rPr>
                <w:sz w:val="16"/>
                <w:szCs w:val="16"/>
              </w:rPr>
              <w:t>3652</w:t>
            </w:r>
          </w:p>
        </w:tc>
        <w:tc>
          <w:tcPr>
            <w:tcW w:w="425" w:type="dxa"/>
            <w:shd w:val="solid" w:color="FFFFFF" w:fill="auto"/>
          </w:tcPr>
          <w:p w14:paraId="42184FD1" w14:textId="09551893" w:rsidR="00DF6095" w:rsidRPr="00873B6C" w:rsidRDefault="00DF6095" w:rsidP="00F84AAF">
            <w:pPr>
              <w:pStyle w:val="TAL"/>
              <w:rPr>
                <w:sz w:val="16"/>
                <w:szCs w:val="16"/>
              </w:rPr>
            </w:pPr>
            <w:r w:rsidRPr="00873B6C">
              <w:rPr>
                <w:sz w:val="16"/>
                <w:szCs w:val="16"/>
              </w:rPr>
              <w:t>1</w:t>
            </w:r>
          </w:p>
        </w:tc>
        <w:tc>
          <w:tcPr>
            <w:tcW w:w="425" w:type="dxa"/>
            <w:shd w:val="solid" w:color="FFFFFF" w:fill="auto"/>
          </w:tcPr>
          <w:p w14:paraId="39BAEE80" w14:textId="2DC4A9D7" w:rsidR="00DF6095" w:rsidRPr="00873B6C" w:rsidRDefault="00DF6095" w:rsidP="00F84AAF">
            <w:pPr>
              <w:pStyle w:val="TAL"/>
              <w:rPr>
                <w:sz w:val="16"/>
                <w:szCs w:val="16"/>
              </w:rPr>
            </w:pPr>
            <w:r w:rsidRPr="00873B6C">
              <w:rPr>
                <w:sz w:val="16"/>
                <w:szCs w:val="16"/>
              </w:rPr>
              <w:t>F</w:t>
            </w:r>
          </w:p>
        </w:tc>
        <w:tc>
          <w:tcPr>
            <w:tcW w:w="4820" w:type="dxa"/>
            <w:shd w:val="solid" w:color="FFFFFF" w:fill="auto"/>
          </w:tcPr>
          <w:p w14:paraId="535C7BB7" w14:textId="627D70FF" w:rsidR="00DF6095" w:rsidRPr="00873B6C" w:rsidRDefault="00DF6095" w:rsidP="00F84AAF">
            <w:pPr>
              <w:pStyle w:val="TAL"/>
              <w:rPr>
                <w:sz w:val="16"/>
                <w:szCs w:val="16"/>
              </w:rPr>
            </w:pPr>
            <w:r w:rsidRPr="00873B6C">
              <w:rPr>
                <w:sz w:val="16"/>
                <w:szCs w:val="16"/>
              </w:rPr>
              <w:t>Clarification on roaming for NSAC procedure</w:t>
            </w:r>
          </w:p>
        </w:tc>
        <w:tc>
          <w:tcPr>
            <w:tcW w:w="708" w:type="dxa"/>
            <w:shd w:val="solid" w:color="FFFFFF" w:fill="auto"/>
          </w:tcPr>
          <w:p w14:paraId="1E0305CE" w14:textId="4342D2CB" w:rsidR="00DF6095" w:rsidRPr="00873B6C" w:rsidRDefault="00DF6095" w:rsidP="00F84AAF">
            <w:pPr>
              <w:pStyle w:val="TAC"/>
              <w:rPr>
                <w:sz w:val="16"/>
                <w:szCs w:val="16"/>
              </w:rPr>
            </w:pPr>
            <w:r w:rsidRPr="00873B6C">
              <w:rPr>
                <w:sz w:val="16"/>
                <w:szCs w:val="16"/>
              </w:rPr>
              <w:t>17.5.0</w:t>
            </w:r>
          </w:p>
        </w:tc>
      </w:tr>
      <w:tr w:rsidR="00DF6095" w:rsidRPr="00873B6C" w14:paraId="3E9E0D54" w14:textId="77777777" w:rsidTr="009D14FB">
        <w:tc>
          <w:tcPr>
            <w:tcW w:w="800" w:type="dxa"/>
            <w:shd w:val="solid" w:color="FFFFFF" w:fill="auto"/>
          </w:tcPr>
          <w:p w14:paraId="310A7DA3" w14:textId="507219EB" w:rsidR="00DF6095" w:rsidRPr="00873B6C" w:rsidRDefault="00DF6095" w:rsidP="00F84AAF">
            <w:pPr>
              <w:pStyle w:val="TAC"/>
              <w:rPr>
                <w:sz w:val="16"/>
                <w:szCs w:val="16"/>
              </w:rPr>
            </w:pPr>
            <w:r w:rsidRPr="00873B6C">
              <w:rPr>
                <w:sz w:val="16"/>
                <w:szCs w:val="16"/>
              </w:rPr>
              <w:t>2022-06</w:t>
            </w:r>
          </w:p>
        </w:tc>
        <w:tc>
          <w:tcPr>
            <w:tcW w:w="800" w:type="dxa"/>
            <w:shd w:val="solid" w:color="FFFFFF" w:fill="auto"/>
          </w:tcPr>
          <w:p w14:paraId="7A82B476" w14:textId="4459345F" w:rsidR="00DF6095" w:rsidRPr="00873B6C" w:rsidRDefault="00DF6095" w:rsidP="00F84AAF">
            <w:pPr>
              <w:pStyle w:val="TAL"/>
              <w:rPr>
                <w:sz w:val="16"/>
                <w:szCs w:val="16"/>
              </w:rPr>
            </w:pPr>
            <w:r w:rsidRPr="00873B6C">
              <w:rPr>
                <w:sz w:val="16"/>
                <w:szCs w:val="16"/>
              </w:rPr>
              <w:t>SP#96</w:t>
            </w:r>
          </w:p>
        </w:tc>
        <w:tc>
          <w:tcPr>
            <w:tcW w:w="1094" w:type="dxa"/>
            <w:shd w:val="solid" w:color="FFFFFF" w:fill="auto"/>
          </w:tcPr>
          <w:p w14:paraId="03521728" w14:textId="6AFD9F6C" w:rsidR="00DF6095" w:rsidRPr="00873B6C" w:rsidRDefault="00DF6095" w:rsidP="00F84AAF">
            <w:pPr>
              <w:pStyle w:val="TAC"/>
              <w:rPr>
                <w:sz w:val="16"/>
                <w:szCs w:val="16"/>
              </w:rPr>
            </w:pPr>
            <w:r w:rsidRPr="00873B6C">
              <w:rPr>
                <w:sz w:val="16"/>
                <w:szCs w:val="16"/>
              </w:rPr>
              <w:t>SP-220394</w:t>
            </w:r>
          </w:p>
        </w:tc>
        <w:tc>
          <w:tcPr>
            <w:tcW w:w="567" w:type="dxa"/>
            <w:shd w:val="solid" w:color="FFFFFF" w:fill="auto"/>
          </w:tcPr>
          <w:p w14:paraId="7F4F1432" w14:textId="239DA44E" w:rsidR="00DF6095" w:rsidRPr="00873B6C" w:rsidRDefault="00DF6095" w:rsidP="00F84AAF">
            <w:pPr>
              <w:pStyle w:val="TAL"/>
              <w:rPr>
                <w:sz w:val="16"/>
                <w:szCs w:val="16"/>
              </w:rPr>
            </w:pPr>
            <w:r w:rsidRPr="00873B6C">
              <w:rPr>
                <w:sz w:val="16"/>
                <w:szCs w:val="16"/>
              </w:rPr>
              <w:t>3653</w:t>
            </w:r>
          </w:p>
        </w:tc>
        <w:tc>
          <w:tcPr>
            <w:tcW w:w="425" w:type="dxa"/>
            <w:shd w:val="solid" w:color="FFFFFF" w:fill="auto"/>
          </w:tcPr>
          <w:p w14:paraId="17C6CAFD" w14:textId="486E02E5" w:rsidR="00DF6095" w:rsidRPr="00873B6C" w:rsidRDefault="00DF6095" w:rsidP="00F84AAF">
            <w:pPr>
              <w:pStyle w:val="TAL"/>
              <w:rPr>
                <w:sz w:val="16"/>
                <w:szCs w:val="16"/>
              </w:rPr>
            </w:pPr>
            <w:r w:rsidRPr="00873B6C">
              <w:rPr>
                <w:sz w:val="16"/>
                <w:szCs w:val="16"/>
              </w:rPr>
              <w:t>1</w:t>
            </w:r>
          </w:p>
        </w:tc>
        <w:tc>
          <w:tcPr>
            <w:tcW w:w="425" w:type="dxa"/>
            <w:shd w:val="solid" w:color="FFFFFF" w:fill="auto"/>
          </w:tcPr>
          <w:p w14:paraId="40660A07" w14:textId="10F323FE" w:rsidR="00DF6095" w:rsidRPr="00873B6C" w:rsidRDefault="00DF6095" w:rsidP="00F84AAF">
            <w:pPr>
              <w:pStyle w:val="TAL"/>
              <w:rPr>
                <w:sz w:val="16"/>
                <w:szCs w:val="16"/>
              </w:rPr>
            </w:pPr>
            <w:r w:rsidRPr="00873B6C">
              <w:rPr>
                <w:sz w:val="16"/>
                <w:szCs w:val="16"/>
              </w:rPr>
              <w:t>F</w:t>
            </w:r>
          </w:p>
        </w:tc>
        <w:tc>
          <w:tcPr>
            <w:tcW w:w="4820" w:type="dxa"/>
            <w:shd w:val="solid" w:color="FFFFFF" w:fill="auto"/>
          </w:tcPr>
          <w:p w14:paraId="259B7846" w14:textId="74779054" w:rsidR="00DF6095" w:rsidRPr="00873B6C" w:rsidRDefault="00DF6095" w:rsidP="00F84AAF">
            <w:pPr>
              <w:pStyle w:val="TAL"/>
              <w:rPr>
                <w:sz w:val="16"/>
                <w:szCs w:val="16"/>
              </w:rPr>
            </w:pPr>
            <w:r w:rsidRPr="00873B6C">
              <w:rPr>
                <w:sz w:val="16"/>
                <w:szCs w:val="16"/>
              </w:rPr>
              <w:t>Remove country of UE location from clause 5.16.4.1 in TS23.501</w:t>
            </w:r>
          </w:p>
        </w:tc>
        <w:tc>
          <w:tcPr>
            <w:tcW w:w="708" w:type="dxa"/>
            <w:shd w:val="solid" w:color="FFFFFF" w:fill="auto"/>
          </w:tcPr>
          <w:p w14:paraId="5861E514" w14:textId="3E276251" w:rsidR="00DF6095" w:rsidRPr="00873B6C" w:rsidRDefault="00DF6095" w:rsidP="00F84AAF">
            <w:pPr>
              <w:pStyle w:val="TAC"/>
              <w:rPr>
                <w:sz w:val="16"/>
                <w:szCs w:val="16"/>
              </w:rPr>
            </w:pPr>
            <w:r w:rsidRPr="00873B6C">
              <w:rPr>
                <w:sz w:val="16"/>
                <w:szCs w:val="16"/>
              </w:rPr>
              <w:t>17.5.0</w:t>
            </w:r>
          </w:p>
        </w:tc>
      </w:tr>
      <w:tr w:rsidR="000342C3" w:rsidRPr="00873B6C" w14:paraId="421153A4" w14:textId="77777777" w:rsidTr="009D14FB">
        <w:tc>
          <w:tcPr>
            <w:tcW w:w="800" w:type="dxa"/>
            <w:shd w:val="solid" w:color="FFFFFF" w:fill="auto"/>
          </w:tcPr>
          <w:p w14:paraId="0ECEBD77" w14:textId="2DC29F5C" w:rsidR="000342C3" w:rsidRPr="00873B6C" w:rsidRDefault="000342C3" w:rsidP="00F84AAF">
            <w:pPr>
              <w:pStyle w:val="TAC"/>
              <w:rPr>
                <w:sz w:val="16"/>
                <w:szCs w:val="16"/>
              </w:rPr>
            </w:pPr>
            <w:r w:rsidRPr="00873B6C">
              <w:rPr>
                <w:sz w:val="16"/>
                <w:szCs w:val="16"/>
              </w:rPr>
              <w:t>2022-06</w:t>
            </w:r>
          </w:p>
        </w:tc>
        <w:tc>
          <w:tcPr>
            <w:tcW w:w="800" w:type="dxa"/>
            <w:shd w:val="solid" w:color="FFFFFF" w:fill="auto"/>
          </w:tcPr>
          <w:p w14:paraId="2C473C0C" w14:textId="1E684BAA" w:rsidR="000342C3" w:rsidRPr="00873B6C" w:rsidRDefault="000342C3" w:rsidP="00F84AAF">
            <w:pPr>
              <w:pStyle w:val="TAL"/>
              <w:rPr>
                <w:sz w:val="16"/>
                <w:szCs w:val="16"/>
              </w:rPr>
            </w:pPr>
            <w:r w:rsidRPr="00873B6C">
              <w:rPr>
                <w:sz w:val="16"/>
                <w:szCs w:val="16"/>
              </w:rPr>
              <w:t>SP#96</w:t>
            </w:r>
          </w:p>
        </w:tc>
        <w:tc>
          <w:tcPr>
            <w:tcW w:w="1094" w:type="dxa"/>
            <w:shd w:val="solid" w:color="FFFFFF" w:fill="auto"/>
          </w:tcPr>
          <w:p w14:paraId="43D76C94" w14:textId="4B2EF38D" w:rsidR="000342C3" w:rsidRPr="00873B6C" w:rsidRDefault="000342C3" w:rsidP="00F84AAF">
            <w:pPr>
              <w:pStyle w:val="TAC"/>
              <w:rPr>
                <w:sz w:val="16"/>
                <w:szCs w:val="16"/>
              </w:rPr>
            </w:pPr>
            <w:r w:rsidRPr="00873B6C">
              <w:rPr>
                <w:sz w:val="16"/>
                <w:szCs w:val="16"/>
              </w:rPr>
              <w:t>SP-220411</w:t>
            </w:r>
          </w:p>
        </w:tc>
        <w:tc>
          <w:tcPr>
            <w:tcW w:w="567" w:type="dxa"/>
            <w:shd w:val="solid" w:color="FFFFFF" w:fill="auto"/>
          </w:tcPr>
          <w:p w14:paraId="3A6D49E6" w14:textId="591EC267" w:rsidR="000342C3" w:rsidRPr="00873B6C" w:rsidRDefault="000342C3" w:rsidP="00F84AAF">
            <w:pPr>
              <w:pStyle w:val="TAL"/>
              <w:rPr>
                <w:sz w:val="16"/>
                <w:szCs w:val="16"/>
              </w:rPr>
            </w:pPr>
            <w:r w:rsidRPr="00873B6C">
              <w:rPr>
                <w:sz w:val="16"/>
                <w:szCs w:val="16"/>
              </w:rPr>
              <w:t>3654</w:t>
            </w:r>
          </w:p>
        </w:tc>
        <w:tc>
          <w:tcPr>
            <w:tcW w:w="425" w:type="dxa"/>
            <w:shd w:val="solid" w:color="FFFFFF" w:fill="auto"/>
          </w:tcPr>
          <w:p w14:paraId="0DB8D81F" w14:textId="148AC188" w:rsidR="000342C3" w:rsidRPr="00873B6C" w:rsidRDefault="000342C3" w:rsidP="00F84AAF">
            <w:pPr>
              <w:pStyle w:val="TAL"/>
              <w:rPr>
                <w:sz w:val="16"/>
                <w:szCs w:val="16"/>
              </w:rPr>
            </w:pPr>
            <w:r w:rsidRPr="00873B6C">
              <w:rPr>
                <w:sz w:val="16"/>
                <w:szCs w:val="16"/>
              </w:rPr>
              <w:t>1</w:t>
            </w:r>
          </w:p>
        </w:tc>
        <w:tc>
          <w:tcPr>
            <w:tcW w:w="425" w:type="dxa"/>
            <w:shd w:val="solid" w:color="FFFFFF" w:fill="auto"/>
          </w:tcPr>
          <w:p w14:paraId="0747CF64" w14:textId="6E298D53" w:rsidR="000342C3" w:rsidRPr="00873B6C" w:rsidRDefault="000342C3" w:rsidP="00F84AAF">
            <w:pPr>
              <w:pStyle w:val="TAL"/>
              <w:rPr>
                <w:sz w:val="16"/>
                <w:szCs w:val="16"/>
              </w:rPr>
            </w:pPr>
            <w:r w:rsidRPr="00873B6C">
              <w:rPr>
                <w:sz w:val="16"/>
                <w:szCs w:val="16"/>
              </w:rPr>
              <w:t>F</w:t>
            </w:r>
          </w:p>
        </w:tc>
        <w:tc>
          <w:tcPr>
            <w:tcW w:w="4820" w:type="dxa"/>
            <w:shd w:val="solid" w:color="FFFFFF" w:fill="auto"/>
          </w:tcPr>
          <w:p w14:paraId="68EBF6A8" w14:textId="172FAB23" w:rsidR="000342C3" w:rsidRPr="00873B6C" w:rsidRDefault="000342C3" w:rsidP="00F84AAF">
            <w:pPr>
              <w:pStyle w:val="TAL"/>
              <w:rPr>
                <w:sz w:val="16"/>
                <w:szCs w:val="16"/>
              </w:rPr>
            </w:pPr>
            <w:r w:rsidRPr="00873B6C">
              <w:rPr>
                <w:sz w:val="16"/>
                <w:szCs w:val="16"/>
              </w:rPr>
              <w:t>Correction of NSSF involvement in Registration procedure when NSSAA is used</w:t>
            </w:r>
          </w:p>
        </w:tc>
        <w:tc>
          <w:tcPr>
            <w:tcW w:w="708" w:type="dxa"/>
            <w:shd w:val="solid" w:color="FFFFFF" w:fill="auto"/>
          </w:tcPr>
          <w:p w14:paraId="3F62883D" w14:textId="4DD9ED1E" w:rsidR="000342C3" w:rsidRPr="00873B6C" w:rsidRDefault="000342C3" w:rsidP="00F84AAF">
            <w:pPr>
              <w:pStyle w:val="TAC"/>
              <w:rPr>
                <w:sz w:val="16"/>
                <w:szCs w:val="16"/>
              </w:rPr>
            </w:pPr>
            <w:r w:rsidRPr="00873B6C">
              <w:rPr>
                <w:sz w:val="16"/>
                <w:szCs w:val="16"/>
              </w:rPr>
              <w:t>17.5.0</w:t>
            </w:r>
          </w:p>
        </w:tc>
      </w:tr>
      <w:tr w:rsidR="000342C3" w:rsidRPr="00873B6C" w14:paraId="55D773BF" w14:textId="77777777" w:rsidTr="009D14FB">
        <w:tc>
          <w:tcPr>
            <w:tcW w:w="800" w:type="dxa"/>
            <w:shd w:val="solid" w:color="FFFFFF" w:fill="auto"/>
          </w:tcPr>
          <w:p w14:paraId="498FE3E4" w14:textId="45804878" w:rsidR="000342C3" w:rsidRPr="00873B6C" w:rsidRDefault="000342C3" w:rsidP="00F84AAF">
            <w:pPr>
              <w:pStyle w:val="TAC"/>
              <w:rPr>
                <w:sz w:val="16"/>
                <w:szCs w:val="16"/>
              </w:rPr>
            </w:pPr>
            <w:r w:rsidRPr="00873B6C">
              <w:rPr>
                <w:sz w:val="16"/>
                <w:szCs w:val="16"/>
              </w:rPr>
              <w:t>2022-06</w:t>
            </w:r>
          </w:p>
        </w:tc>
        <w:tc>
          <w:tcPr>
            <w:tcW w:w="800" w:type="dxa"/>
            <w:shd w:val="solid" w:color="FFFFFF" w:fill="auto"/>
          </w:tcPr>
          <w:p w14:paraId="30268CE7" w14:textId="6568F484" w:rsidR="000342C3" w:rsidRPr="00873B6C" w:rsidRDefault="000342C3" w:rsidP="00F84AAF">
            <w:pPr>
              <w:pStyle w:val="TAL"/>
              <w:rPr>
                <w:sz w:val="16"/>
                <w:szCs w:val="16"/>
              </w:rPr>
            </w:pPr>
            <w:r w:rsidRPr="00873B6C">
              <w:rPr>
                <w:sz w:val="16"/>
                <w:szCs w:val="16"/>
              </w:rPr>
              <w:t>SP#96</w:t>
            </w:r>
          </w:p>
        </w:tc>
        <w:tc>
          <w:tcPr>
            <w:tcW w:w="1094" w:type="dxa"/>
            <w:shd w:val="solid" w:color="FFFFFF" w:fill="auto"/>
          </w:tcPr>
          <w:p w14:paraId="51F8430C" w14:textId="0D857AB1" w:rsidR="000342C3" w:rsidRPr="00873B6C" w:rsidRDefault="000342C3" w:rsidP="00F84AAF">
            <w:pPr>
              <w:pStyle w:val="TAC"/>
              <w:rPr>
                <w:sz w:val="16"/>
                <w:szCs w:val="16"/>
              </w:rPr>
            </w:pPr>
            <w:r w:rsidRPr="00873B6C">
              <w:rPr>
                <w:sz w:val="16"/>
                <w:szCs w:val="16"/>
              </w:rPr>
              <w:t>SP-220410</w:t>
            </w:r>
          </w:p>
        </w:tc>
        <w:tc>
          <w:tcPr>
            <w:tcW w:w="567" w:type="dxa"/>
            <w:shd w:val="solid" w:color="FFFFFF" w:fill="auto"/>
          </w:tcPr>
          <w:p w14:paraId="3C3107FD" w14:textId="2F4526DE" w:rsidR="000342C3" w:rsidRPr="00873B6C" w:rsidRDefault="000342C3" w:rsidP="00F84AAF">
            <w:pPr>
              <w:pStyle w:val="TAL"/>
              <w:rPr>
                <w:sz w:val="16"/>
                <w:szCs w:val="16"/>
              </w:rPr>
            </w:pPr>
            <w:r w:rsidRPr="00873B6C">
              <w:rPr>
                <w:sz w:val="16"/>
                <w:szCs w:val="16"/>
              </w:rPr>
              <w:t>3655</w:t>
            </w:r>
          </w:p>
        </w:tc>
        <w:tc>
          <w:tcPr>
            <w:tcW w:w="425" w:type="dxa"/>
            <w:shd w:val="solid" w:color="FFFFFF" w:fill="auto"/>
          </w:tcPr>
          <w:p w14:paraId="400C4C94" w14:textId="541B3235" w:rsidR="000342C3" w:rsidRPr="00873B6C" w:rsidRDefault="000342C3" w:rsidP="00F84AAF">
            <w:pPr>
              <w:pStyle w:val="TAL"/>
              <w:rPr>
                <w:sz w:val="16"/>
                <w:szCs w:val="16"/>
              </w:rPr>
            </w:pPr>
            <w:r w:rsidRPr="00873B6C">
              <w:rPr>
                <w:sz w:val="16"/>
                <w:szCs w:val="16"/>
              </w:rPr>
              <w:t>1</w:t>
            </w:r>
          </w:p>
        </w:tc>
        <w:tc>
          <w:tcPr>
            <w:tcW w:w="425" w:type="dxa"/>
            <w:shd w:val="solid" w:color="FFFFFF" w:fill="auto"/>
          </w:tcPr>
          <w:p w14:paraId="32E2912C" w14:textId="73DEE18F" w:rsidR="000342C3" w:rsidRPr="00873B6C" w:rsidRDefault="000342C3" w:rsidP="00F84AAF">
            <w:pPr>
              <w:pStyle w:val="TAL"/>
              <w:rPr>
                <w:sz w:val="16"/>
                <w:szCs w:val="16"/>
              </w:rPr>
            </w:pPr>
            <w:r w:rsidRPr="00873B6C">
              <w:rPr>
                <w:sz w:val="16"/>
                <w:szCs w:val="16"/>
              </w:rPr>
              <w:t>F</w:t>
            </w:r>
          </w:p>
        </w:tc>
        <w:tc>
          <w:tcPr>
            <w:tcW w:w="4820" w:type="dxa"/>
            <w:shd w:val="solid" w:color="FFFFFF" w:fill="auto"/>
          </w:tcPr>
          <w:p w14:paraId="38E822CC" w14:textId="7701948D" w:rsidR="000342C3" w:rsidRPr="00873B6C" w:rsidRDefault="000342C3" w:rsidP="00F84AAF">
            <w:pPr>
              <w:pStyle w:val="TAL"/>
              <w:rPr>
                <w:sz w:val="16"/>
                <w:szCs w:val="16"/>
              </w:rPr>
            </w:pPr>
            <w:r w:rsidRPr="00873B6C">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Pr="00873B6C" w:rsidRDefault="000342C3" w:rsidP="00F84AAF">
            <w:pPr>
              <w:pStyle w:val="TAC"/>
              <w:rPr>
                <w:sz w:val="16"/>
                <w:szCs w:val="16"/>
              </w:rPr>
            </w:pPr>
            <w:r w:rsidRPr="00873B6C">
              <w:rPr>
                <w:sz w:val="16"/>
                <w:szCs w:val="16"/>
              </w:rPr>
              <w:t>17.5.0</w:t>
            </w:r>
          </w:p>
        </w:tc>
      </w:tr>
      <w:tr w:rsidR="00EC5600" w:rsidRPr="00873B6C" w14:paraId="5DA28CD8" w14:textId="77777777" w:rsidTr="009D14FB">
        <w:tc>
          <w:tcPr>
            <w:tcW w:w="800" w:type="dxa"/>
            <w:shd w:val="solid" w:color="FFFFFF" w:fill="auto"/>
          </w:tcPr>
          <w:p w14:paraId="20AAA73C" w14:textId="0AFDAF08" w:rsidR="00EC5600" w:rsidRPr="00873B6C" w:rsidRDefault="00EC5600" w:rsidP="00F84AAF">
            <w:pPr>
              <w:pStyle w:val="TAC"/>
              <w:rPr>
                <w:sz w:val="16"/>
                <w:szCs w:val="16"/>
              </w:rPr>
            </w:pPr>
            <w:r w:rsidRPr="00873B6C">
              <w:rPr>
                <w:sz w:val="16"/>
                <w:szCs w:val="16"/>
              </w:rPr>
              <w:t>2022-09</w:t>
            </w:r>
          </w:p>
        </w:tc>
        <w:tc>
          <w:tcPr>
            <w:tcW w:w="800" w:type="dxa"/>
            <w:shd w:val="solid" w:color="FFFFFF" w:fill="auto"/>
          </w:tcPr>
          <w:p w14:paraId="4DDE6C28" w14:textId="393B98B7" w:rsidR="00EC5600" w:rsidRPr="00873B6C" w:rsidRDefault="00EC5600" w:rsidP="00F84AAF">
            <w:pPr>
              <w:pStyle w:val="TAL"/>
              <w:rPr>
                <w:sz w:val="16"/>
                <w:szCs w:val="16"/>
              </w:rPr>
            </w:pPr>
            <w:r w:rsidRPr="00873B6C">
              <w:rPr>
                <w:sz w:val="16"/>
                <w:szCs w:val="16"/>
              </w:rPr>
              <w:t>SP#97E</w:t>
            </w:r>
          </w:p>
        </w:tc>
        <w:tc>
          <w:tcPr>
            <w:tcW w:w="1094" w:type="dxa"/>
            <w:shd w:val="solid" w:color="FFFFFF" w:fill="auto"/>
          </w:tcPr>
          <w:p w14:paraId="68E81FAF" w14:textId="10AAC5FB" w:rsidR="00EC5600" w:rsidRPr="00873B6C" w:rsidRDefault="00EC5600" w:rsidP="00F84AAF">
            <w:pPr>
              <w:pStyle w:val="TAC"/>
              <w:rPr>
                <w:sz w:val="16"/>
                <w:szCs w:val="16"/>
              </w:rPr>
            </w:pPr>
            <w:r w:rsidRPr="00873B6C">
              <w:rPr>
                <w:sz w:val="16"/>
                <w:szCs w:val="16"/>
              </w:rPr>
              <w:t>SP-220783</w:t>
            </w:r>
          </w:p>
        </w:tc>
        <w:tc>
          <w:tcPr>
            <w:tcW w:w="567" w:type="dxa"/>
            <w:shd w:val="solid" w:color="FFFFFF" w:fill="auto"/>
          </w:tcPr>
          <w:p w14:paraId="2C145EA8" w14:textId="180220B2" w:rsidR="00EC5600" w:rsidRPr="00873B6C" w:rsidRDefault="00EC5600" w:rsidP="00F84AAF">
            <w:pPr>
              <w:pStyle w:val="TAL"/>
              <w:rPr>
                <w:sz w:val="16"/>
                <w:szCs w:val="16"/>
              </w:rPr>
            </w:pPr>
            <w:r w:rsidRPr="00873B6C">
              <w:rPr>
                <w:sz w:val="16"/>
                <w:szCs w:val="16"/>
              </w:rPr>
              <w:t>3603</w:t>
            </w:r>
          </w:p>
        </w:tc>
        <w:tc>
          <w:tcPr>
            <w:tcW w:w="425" w:type="dxa"/>
            <w:shd w:val="solid" w:color="FFFFFF" w:fill="auto"/>
          </w:tcPr>
          <w:p w14:paraId="248023F5" w14:textId="1BA359FC" w:rsidR="00EC5600" w:rsidRPr="00873B6C" w:rsidRDefault="00EC5600" w:rsidP="00F84AAF">
            <w:pPr>
              <w:pStyle w:val="TAL"/>
              <w:rPr>
                <w:sz w:val="16"/>
                <w:szCs w:val="16"/>
              </w:rPr>
            </w:pPr>
            <w:r w:rsidRPr="00873B6C">
              <w:rPr>
                <w:sz w:val="16"/>
                <w:szCs w:val="16"/>
              </w:rPr>
              <w:t>4</w:t>
            </w:r>
          </w:p>
        </w:tc>
        <w:tc>
          <w:tcPr>
            <w:tcW w:w="425" w:type="dxa"/>
            <w:shd w:val="solid" w:color="FFFFFF" w:fill="auto"/>
          </w:tcPr>
          <w:p w14:paraId="62F02812" w14:textId="30E2873C" w:rsidR="00EC5600" w:rsidRPr="00873B6C" w:rsidRDefault="00EC5600" w:rsidP="00F84AAF">
            <w:pPr>
              <w:pStyle w:val="TAL"/>
              <w:rPr>
                <w:sz w:val="16"/>
                <w:szCs w:val="16"/>
              </w:rPr>
            </w:pPr>
            <w:r w:rsidRPr="00873B6C">
              <w:rPr>
                <w:sz w:val="16"/>
                <w:szCs w:val="16"/>
              </w:rPr>
              <w:t>F</w:t>
            </w:r>
          </w:p>
        </w:tc>
        <w:tc>
          <w:tcPr>
            <w:tcW w:w="4820" w:type="dxa"/>
            <w:shd w:val="solid" w:color="FFFFFF" w:fill="auto"/>
          </w:tcPr>
          <w:p w14:paraId="323E31FA" w14:textId="081AFDAD" w:rsidR="00EC5600" w:rsidRPr="00873B6C" w:rsidRDefault="00EC5600" w:rsidP="00F84AAF">
            <w:pPr>
              <w:pStyle w:val="TAL"/>
              <w:rPr>
                <w:sz w:val="16"/>
                <w:szCs w:val="16"/>
              </w:rPr>
            </w:pPr>
            <w:r w:rsidRPr="00873B6C">
              <w:rPr>
                <w:sz w:val="16"/>
                <w:szCs w:val="16"/>
              </w:rPr>
              <w:t xml:space="preserve">Defining the time distribution methods </w:t>
            </w:r>
          </w:p>
        </w:tc>
        <w:tc>
          <w:tcPr>
            <w:tcW w:w="708" w:type="dxa"/>
            <w:shd w:val="solid" w:color="FFFFFF" w:fill="auto"/>
          </w:tcPr>
          <w:p w14:paraId="17100BD4" w14:textId="15038981" w:rsidR="00EC5600" w:rsidRPr="00873B6C" w:rsidRDefault="00EC5600" w:rsidP="00F84AAF">
            <w:pPr>
              <w:pStyle w:val="TAC"/>
              <w:rPr>
                <w:sz w:val="16"/>
                <w:szCs w:val="16"/>
              </w:rPr>
            </w:pPr>
            <w:r w:rsidRPr="00873B6C">
              <w:rPr>
                <w:sz w:val="16"/>
                <w:szCs w:val="16"/>
              </w:rPr>
              <w:t>17.6.0</w:t>
            </w:r>
          </w:p>
        </w:tc>
      </w:tr>
      <w:tr w:rsidR="006357E4" w:rsidRPr="00873B6C" w14:paraId="667CB58D" w14:textId="77777777" w:rsidTr="009D14FB">
        <w:tc>
          <w:tcPr>
            <w:tcW w:w="800" w:type="dxa"/>
            <w:shd w:val="solid" w:color="FFFFFF" w:fill="auto"/>
          </w:tcPr>
          <w:p w14:paraId="7B327C6E" w14:textId="594DD5D6" w:rsidR="006357E4" w:rsidRPr="00873B6C" w:rsidRDefault="006357E4" w:rsidP="00F84AAF">
            <w:pPr>
              <w:pStyle w:val="TAC"/>
              <w:rPr>
                <w:sz w:val="16"/>
                <w:szCs w:val="16"/>
              </w:rPr>
            </w:pPr>
            <w:r w:rsidRPr="00873B6C">
              <w:rPr>
                <w:sz w:val="16"/>
                <w:szCs w:val="16"/>
              </w:rPr>
              <w:t>2022-09</w:t>
            </w:r>
          </w:p>
        </w:tc>
        <w:tc>
          <w:tcPr>
            <w:tcW w:w="800" w:type="dxa"/>
            <w:shd w:val="solid" w:color="FFFFFF" w:fill="auto"/>
          </w:tcPr>
          <w:p w14:paraId="5ADC71FC" w14:textId="1A115700" w:rsidR="006357E4" w:rsidRPr="00873B6C" w:rsidRDefault="006357E4" w:rsidP="00F84AAF">
            <w:pPr>
              <w:pStyle w:val="TAL"/>
              <w:rPr>
                <w:sz w:val="16"/>
                <w:szCs w:val="16"/>
              </w:rPr>
            </w:pPr>
            <w:r w:rsidRPr="00873B6C">
              <w:rPr>
                <w:sz w:val="16"/>
                <w:szCs w:val="16"/>
              </w:rPr>
              <w:t>SP#97E</w:t>
            </w:r>
          </w:p>
        </w:tc>
        <w:tc>
          <w:tcPr>
            <w:tcW w:w="1094" w:type="dxa"/>
            <w:shd w:val="solid" w:color="FFFFFF" w:fill="auto"/>
          </w:tcPr>
          <w:p w14:paraId="560DB6D3" w14:textId="1538B5FF" w:rsidR="006357E4" w:rsidRPr="00873B6C" w:rsidRDefault="006357E4" w:rsidP="00F84AAF">
            <w:pPr>
              <w:pStyle w:val="TAC"/>
              <w:rPr>
                <w:sz w:val="16"/>
                <w:szCs w:val="16"/>
              </w:rPr>
            </w:pPr>
            <w:r w:rsidRPr="00873B6C">
              <w:rPr>
                <w:sz w:val="16"/>
                <w:szCs w:val="16"/>
              </w:rPr>
              <w:t>SP-220780</w:t>
            </w:r>
          </w:p>
        </w:tc>
        <w:tc>
          <w:tcPr>
            <w:tcW w:w="567" w:type="dxa"/>
            <w:shd w:val="solid" w:color="FFFFFF" w:fill="auto"/>
          </w:tcPr>
          <w:p w14:paraId="672B942B" w14:textId="404CA525" w:rsidR="006357E4" w:rsidRPr="00873B6C" w:rsidRDefault="006357E4" w:rsidP="00F84AAF">
            <w:pPr>
              <w:pStyle w:val="TAL"/>
              <w:rPr>
                <w:sz w:val="16"/>
                <w:szCs w:val="16"/>
              </w:rPr>
            </w:pPr>
            <w:r w:rsidRPr="00873B6C">
              <w:rPr>
                <w:sz w:val="16"/>
                <w:szCs w:val="16"/>
              </w:rPr>
              <w:t>3616</w:t>
            </w:r>
          </w:p>
        </w:tc>
        <w:tc>
          <w:tcPr>
            <w:tcW w:w="425" w:type="dxa"/>
            <w:shd w:val="solid" w:color="FFFFFF" w:fill="auto"/>
          </w:tcPr>
          <w:p w14:paraId="0DE01575" w14:textId="55EE7A6B" w:rsidR="006357E4" w:rsidRPr="00873B6C" w:rsidRDefault="006357E4" w:rsidP="00F84AAF">
            <w:pPr>
              <w:pStyle w:val="TAL"/>
              <w:rPr>
                <w:sz w:val="16"/>
                <w:szCs w:val="16"/>
              </w:rPr>
            </w:pPr>
            <w:r w:rsidRPr="00873B6C">
              <w:rPr>
                <w:sz w:val="16"/>
                <w:szCs w:val="16"/>
              </w:rPr>
              <w:t>2</w:t>
            </w:r>
          </w:p>
        </w:tc>
        <w:tc>
          <w:tcPr>
            <w:tcW w:w="425" w:type="dxa"/>
            <w:shd w:val="solid" w:color="FFFFFF" w:fill="auto"/>
          </w:tcPr>
          <w:p w14:paraId="68A3E931" w14:textId="4CD837E9" w:rsidR="006357E4" w:rsidRPr="00873B6C" w:rsidRDefault="006357E4" w:rsidP="00F84AAF">
            <w:pPr>
              <w:pStyle w:val="TAL"/>
              <w:rPr>
                <w:sz w:val="16"/>
                <w:szCs w:val="16"/>
              </w:rPr>
            </w:pPr>
            <w:r w:rsidRPr="00873B6C">
              <w:rPr>
                <w:sz w:val="16"/>
                <w:szCs w:val="16"/>
              </w:rPr>
              <w:t>F</w:t>
            </w:r>
          </w:p>
        </w:tc>
        <w:tc>
          <w:tcPr>
            <w:tcW w:w="4820" w:type="dxa"/>
            <w:shd w:val="solid" w:color="FFFFFF" w:fill="auto"/>
          </w:tcPr>
          <w:p w14:paraId="7335E5C6" w14:textId="1096D93E" w:rsidR="006357E4" w:rsidRPr="00873B6C" w:rsidRDefault="006357E4" w:rsidP="00F84AAF">
            <w:pPr>
              <w:pStyle w:val="TAL"/>
              <w:rPr>
                <w:sz w:val="16"/>
                <w:szCs w:val="16"/>
              </w:rPr>
            </w:pPr>
            <w:r w:rsidRPr="00873B6C">
              <w:rPr>
                <w:sz w:val="16"/>
                <w:szCs w:val="16"/>
              </w:rPr>
              <w:t>Clarification on UE-Slice-MBR</w:t>
            </w:r>
          </w:p>
        </w:tc>
        <w:tc>
          <w:tcPr>
            <w:tcW w:w="708" w:type="dxa"/>
            <w:shd w:val="solid" w:color="FFFFFF" w:fill="auto"/>
          </w:tcPr>
          <w:p w14:paraId="75BCC920" w14:textId="656C7ACF" w:rsidR="006357E4" w:rsidRPr="00873B6C" w:rsidRDefault="006357E4" w:rsidP="00F84AAF">
            <w:pPr>
              <w:pStyle w:val="TAC"/>
              <w:rPr>
                <w:sz w:val="16"/>
                <w:szCs w:val="16"/>
              </w:rPr>
            </w:pPr>
            <w:r w:rsidRPr="00873B6C">
              <w:rPr>
                <w:sz w:val="16"/>
                <w:szCs w:val="16"/>
              </w:rPr>
              <w:t>17.6.0</w:t>
            </w:r>
          </w:p>
        </w:tc>
      </w:tr>
      <w:tr w:rsidR="006357E4" w:rsidRPr="00873B6C" w14:paraId="4A34B0AB" w14:textId="77777777" w:rsidTr="009D14FB">
        <w:tc>
          <w:tcPr>
            <w:tcW w:w="800" w:type="dxa"/>
            <w:shd w:val="solid" w:color="FFFFFF" w:fill="auto"/>
          </w:tcPr>
          <w:p w14:paraId="060F1AD4" w14:textId="626A7E0A" w:rsidR="006357E4" w:rsidRPr="00873B6C" w:rsidRDefault="006357E4" w:rsidP="00F84AAF">
            <w:pPr>
              <w:pStyle w:val="TAC"/>
              <w:rPr>
                <w:sz w:val="16"/>
                <w:szCs w:val="16"/>
              </w:rPr>
            </w:pPr>
            <w:r w:rsidRPr="00873B6C">
              <w:rPr>
                <w:sz w:val="16"/>
                <w:szCs w:val="16"/>
              </w:rPr>
              <w:t>2022-09</w:t>
            </w:r>
          </w:p>
        </w:tc>
        <w:tc>
          <w:tcPr>
            <w:tcW w:w="800" w:type="dxa"/>
            <w:shd w:val="solid" w:color="FFFFFF" w:fill="auto"/>
          </w:tcPr>
          <w:p w14:paraId="0C84F92E" w14:textId="2A723162" w:rsidR="006357E4" w:rsidRPr="00873B6C" w:rsidRDefault="006357E4" w:rsidP="00F84AAF">
            <w:pPr>
              <w:pStyle w:val="TAL"/>
              <w:rPr>
                <w:sz w:val="16"/>
                <w:szCs w:val="16"/>
              </w:rPr>
            </w:pPr>
            <w:r w:rsidRPr="00873B6C">
              <w:rPr>
                <w:sz w:val="16"/>
                <w:szCs w:val="16"/>
              </w:rPr>
              <w:t>SP#97E</w:t>
            </w:r>
          </w:p>
        </w:tc>
        <w:tc>
          <w:tcPr>
            <w:tcW w:w="1094" w:type="dxa"/>
            <w:shd w:val="solid" w:color="FFFFFF" w:fill="auto"/>
          </w:tcPr>
          <w:p w14:paraId="64581C18" w14:textId="32E7475F" w:rsidR="006357E4" w:rsidRPr="00873B6C" w:rsidRDefault="006357E4" w:rsidP="00F84AAF">
            <w:pPr>
              <w:pStyle w:val="TAC"/>
              <w:rPr>
                <w:sz w:val="16"/>
                <w:szCs w:val="16"/>
              </w:rPr>
            </w:pPr>
            <w:r w:rsidRPr="00873B6C">
              <w:rPr>
                <w:sz w:val="16"/>
                <w:szCs w:val="16"/>
              </w:rPr>
              <w:t>SP-220779</w:t>
            </w:r>
          </w:p>
        </w:tc>
        <w:tc>
          <w:tcPr>
            <w:tcW w:w="567" w:type="dxa"/>
            <w:shd w:val="solid" w:color="FFFFFF" w:fill="auto"/>
          </w:tcPr>
          <w:p w14:paraId="233AC260" w14:textId="3E2589F4" w:rsidR="006357E4" w:rsidRPr="00873B6C" w:rsidRDefault="006357E4" w:rsidP="00F84AAF">
            <w:pPr>
              <w:pStyle w:val="TAL"/>
              <w:rPr>
                <w:sz w:val="16"/>
                <w:szCs w:val="16"/>
              </w:rPr>
            </w:pPr>
            <w:r w:rsidRPr="00873B6C">
              <w:rPr>
                <w:sz w:val="16"/>
                <w:szCs w:val="16"/>
              </w:rPr>
              <w:t>3629</w:t>
            </w:r>
          </w:p>
        </w:tc>
        <w:tc>
          <w:tcPr>
            <w:tcW w:w="425" w:type="dxa"/>
            <w:shd w:val="solid" w:color="FFFFFF" w:fill="auto"/>
          </w:tcPr>
          <w:p w14:paraId="203FA7CE" w14:textId="0AAE7062" w:rsidR="006357E4" w:rsidRPr="00873B6C" w:rsidRDefault="006357E4" w:rsidP="00F84AAF">
            <w:pPr>
              <w:pStyle w:val="TAL"/>
              <w:rPr>
                <w:sz w:val="16"/>
                <w:szCs w:val="16"/>
              </w:rPr>
            </w:pPr>
            <w:r w:rsidRPr="00873B6C">
              <w:rPr>
                <w:sz w:val="16"/>
                <w:szCs w:val="16"/>
              </w:rPr>
              <w:t>2</w:t>
            </w:r>
          </w:p>
        </w:tc>
        <w:tc>
          <w:tcPr>
            <w:tcW w:w="425" w:type="dxa"/>
            <w:shd w:val="solid" w:color="FFFFFF" w:fill="auto"/>
          </w:tcPr>
          <w:p w14:paraId="451555E3" w14:textId="435475AB" w:rsidR="006357E4" w:rsidRPr="00873B6C" w:rsidRDefault="006357E4" w:rsidP="00F84AAF">
            <w:pPr>
              <w:pStyle w:val="TAL"/>
              <w:rPr>
                <w:sz w:val="16"/>
                <w:szCs w:val="16"/>
              </w:rPr>
            </w:pPr>
            <w:r w:rsidRPr="00873B6C">
              <w:rPr>
                <w:sz w:val="16"/>
                <w:szCs w:val="16"/>
              </w:rPr>
              <w:t>F</w:t>
            </w:r>
          </w:p>
        </w:tc>
        <w:tc>
          <w:tcPr>
            <w:tcW w:w="4820" w:type="dxa"/>
            <w:shd w:val="solid" w:color="FFFFFF" w:fill="auto"/>
          </w:tcPr>
          <w:p w14:paraId="5E8CCD50" w14:textId="2E1240BA" w:rsidR="006357E4" w:rsidRPr="00873B6C" w:rsidRDefault="006357E4" w:rsidP="00F84AAF">
            <w:pPr>
              <w:pStyle w:val="TAL"/>
              <w:rPr>
                <w:sz w:val="16"/>
                <w:szCs w:val="16"/>
              </w:rPr>
            </w:pPr>
            <w:r w:rsidRPr="00873B6C">
              <w:rPr>
                <w:sz w:val="16"/>
                <w:szCs w:val="16"/>
              </w:rPr>
              <w:t>DN-AAA server selection during UE onboarding</w:t>
            </w:r>
          </w:p>
        </w:tc>
        <w:tc>
          <w:tcPr>
            <w:tcW w:w="708" w:type="dxa"/>
            <w:shd w:val="solid" w:color="FFFFFF" w:fill="auto"/>
          </w:tcPr>
          <w:p w14:paraId="5AAD6CD3" w14:textId="2CD66AAA" w:rsidR="006357E4" w:rsidRPr="00873B6C" w:rsidRDefault="006357E4" w:rsidP="00F84AAF">
            <w:pPr>
              <w:pStyle w:val="TAC"/>
              <w:rPr>
                <w:sz w:val="16"/>
                <w:szCs w:val="16"/>
              </w:rPr>
            </w:pPr>
            <w:r w:rsidRPr="00873B6C">
              <w:rPr>
                <w:sz w:val="16"/>
                <w:szCs w:val="16"/>
              </w:rPr>
              <w:t>17.6.0</w:t>
            </w:r>
          </w:p>
        </w:tc>
      </w:tr>
      <w:tr w:rsidR="00CF2EC5" w:rsidRPr="00873B6C" w14:paraId="1CDF8F83" w14:textId="77777777" w:rsidTr="009D14FB">
        <w:tc>
          <w:tcPr>
            <w:tcW w:w="800" w:type="dxa"/>
            <w:shd w:val="solid" w:color="FFFFFF" w:fill="auto"/>
          </w:tcPr>
          <w:p w14:paraId="1FC8E4E7" w14:textId="479164B0" w:rsidR="00CF2EC5" w:rsidRPr="00873B6C" w:rsidRDefault="00CF2EC5" w:rsidP="00F84AAF">
            <w:pPr>
              <w:pStyle w:val="TAC"/>
              <w:rPr>
                <w:sz w:val="16"/>
                <w:szCs w:val="16"/>
              </w:rPr>
            </w:pPr>
            <w:r w:rsidRPr="00873B6C">
              <w:rPr>
                <w:sz w:val="16"/>
                <w:szCs w:val="16"/>
              </w:rPr>
              <w:t>2022-09</w:t>
            </w:r>
          </w:p>
        </w:tc>
        <w:tc>
          <w:tcPr>
            <w:tcW w:w="800" w:type="dxa"/>
            <w:shd w:val="solid" w:color="FFFFFF" w:fill="auto"/>
          </w:tcPr>
          <w:p w14:paraId="790238DF" w14:textId="2FD09472" w:rsidR="00CF2EC5" w:rsidRPr="00873B6C" w:rsidRDefault="00CF2EC5" w:rsidP="00F84AAF">
            <w:pPr>
              <w:pStyle w:val="TAL"/>
              <w:rPr>
                <w:sz w:val="16"/>
                <w:szCs w:val="16"/>
              </w:rPr>
            </w:pPr>
            <w:r w:rsidRPr="00873B6C">
              <w:rPr>
                <w:sz w:val="16"/>
                <w:szCs w:val="16"/>
              </w:rPr>
              <w:t>SP#97E</w:t>
            </w:r>
          </w:p>
        </w:tc>
        <w:tc>
          <w:tcPr>
            <w:tcW w:w="1094" w:type="dxa"/>
            <w:shd w:val="solid" w:color="FFFFFF" w:fill="auto"/>
          </w:tcPr>
          <w:p w14:paraId="654CC3BD" w14:textId="7A438442" w:rsidR="00CF2EC5" w:rsidRPr="00873B6C" w:rsidRDefault="00CF2EC5" w:rsidP="00F84AAF">
            <w:pPr>
              <w:pStyle w:val="TAC"/>
              <w:rPr>
                <w:sz w:val="16"/>
                <w:szCs w:val="16"/>
              </w:rPr>
            </w:pPr>
            <w:r w:rsidRPr="00873B6C">
              <w:rPr>
                <w:sz w:val="16"/>
                <w:szCs w:val="16"/>
              </w:rPr>
              <w:t>SP-220771</w:t>
            </w:r>
          </w:p>
        </w:tc>
        <w:tc>
          <w:tcPr>
            <w:tcW w:w="567" w:type="dxa"/>
            <w:shd w:val="solid" w:color="FFFFFF" w:fill="auto"/>
          </w:tcPr>
          <w:p w14:paraId="4CFE05E5" w14:textId="0A0104A1" w:rsidR="00CF2EC5" w:rsidRPr="00873B6C" w:rsidRDefault="00CF2EC5" w:rsidP="00F84AAF">
            <w:pPr>
              <w:pStyle w:val="TAL"/>
              <w:rPr>
                <w:sz w:val="16"/>
                <w:szCs w:val="16"/>
              </w:rPr>
            </w:pPr>
            <w:r w:rsidRPr="00873B6C">
              <w:rPr>
                <w:sz w:val="16"/>
                <w:szCs w:val="16"/>
              </w:rPr>
              <w:t>3647</w:t>
            </w:r>
          </w:p>
        </w:tc>
        <w:tc>
          <w:tcPr>
            <w:tcW w:w="425" w:type="dxa"/>
            <w:shd w:val="solid" w:color="FFFFFF" w:fill="auto"/>
          </w:tcPr>
          <w:p w14:paraId="48351309" w14:textId="04824D78" w:rsidR="00CF2EC5" w:rsidRPr="00873B6C" w:rsidRDefault="00CF2EC5" w:rsidP="00F84AAF">
            <w:pPr>
              <w:pStyle w:val="TAL"/>
              <w:rPr>
                <w:sz w:val="16"/>
                <w:szCs w:val="16"/>
              </w:rPr>
            </w:pPr>
            <w:r w:rsidRPr="00873B6C">
              <w:rPr>
                <w:sz w:val="16"/>
                <w:szCs w:val="16"/>
              </w:rPr>
              <w:t xml:space="preserve">2 </w:t>
            </w:r>
          </w:p>
        </w:tc>
        <w:tc>
          <w:tcPr>
            <w:tcW w:w="425" w:type="dxa"/>
            <w:shd w:val="solid" w:color="FFFFFF" w:fill="auto"/>
          </w:tcPr>
          <w:p w14:paraId="372808E0" w14:textId="3267F6F2" w:rsidR="00CF2EC5" w:rsidRPr="00873B6C" w:rsidRDefault="00CF2EC5" w:rsidP="00F84AAF">
            <w:pPr>
              <w:pStyle w:val="TAL"/>
              <w:rPr>
                <w:sz w:val="16"/>
                <w:szCs w:val="16"/>
              </w:rPr>
            </w:pPr>
            <w:r w:rsidRPr="00873B6C">
              <w:rPr>
                <w:sz w:val="16"/>
                <w:szCs w:val="16"/>
              </w:rPr>
              <w:t>A</w:t>
            </w:r>
          </w:p>
        </w:tc>
        <w:tc>
          <w:tcPr>
            <w:tcW w:w="4820" w:type="dxa"/>
            <w:shd w:val="solid" w:color="FFFFFF" w:fill="auto"/>
          </w:tcPr>
          <w:p w14:paraId="15E95397" w14:textId="24009320" w:rsidR="00CF2EC5" w:rsidRPr="00873B6C" w:rsidRDefault="00CF2EC5" w:rsidP="00F84AAF">
            <w:pPr>
              <w:pStyle w:val="TAL"/>
              <w:rPr>
                <w:sz w:val="16"/>
                <w:szCs w:val="16"/>
              </w:rPr>
            </w:pPr>
            <w:r w:rsidRPr="00873B6C">
              <w:rPr>
                <w:sz w:val="16"/>
                <w:szCs w:val="16"/>
              </w:rPr>
              <w:t>Clarification of UE egress terminology</w:t>
            </w:r>
          </w:p>
        </w:tc>
        <w:tc>
          <w:tcPr>
            <w:tcW w:w="708" w:type="dxa"/>
            <w:shd w:val="solid" w:color="FFFFFF" w:fill="auto"/>
          </w:tcPr>
          <w:p w14:paraId="33389602" w14:textId="35E970B1" w:rsidR="00CF2EC5" w:rsidRPr="00873B6C" w:rsidRDefault="00CF2EC5" w:rsidP="00F84AAF">
            <w:pPr>
              <w:pStyle w:val="TAC"/>
              <w:rPr>
                <w:sz w:val="16"/>
                <w:szCs w:val="16"/>
              </w:rPr>
            </w:pPr>
            <w:r w:rsidRPr="00873B6C">
              <w:rPr>
                <w:sz w:val="16"/>
                <w:szCs w:val="16"/>
              </w:rPr>
              <w:t>17.6.0</w:t>
            </w:r>
          </w:p>
        </w:tc>
      </w:tr>
      <w:tr w:rsidR="00183D3D" w:rsidRPr="00873B6C" w14:paraId="621D1A82" w14:textId="77777777" w:rsidTr="009D14FB">
        <w:tc>
          <w:tcPr>
            <w:tcW w:w="800" w:type="dxa"/>
            <w:shd w:val="solid" w:color="FFFFFF" w:fill="auto"/>
          </w:tcPr>
          <w:p w14:paraId="5F8DF606" w14:textId="118EC964"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64241D58" w14:textId="2DD0C4D7"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588698A7" w14:textId="39F26F2E"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3E9B16C9" w14:textId="2E8DC241" w:rsidR="00183D3D" w:rsidRPr="00873B6C" w:rsidRDefault="00183D3D" w:rsidP="00F84AAF">
            <w:pPr>
              <w:pStyle w:val="TAL"/>
              <w:rPr>
                <w:sz w:val="16"/>
                <w:szCs w:val="16"/>
              </w:rPr>
            </w:pPr>
            <w:r w:rsidRPr="00873B6C">
              <w:rPr>
                <w:sz w:val="16"/>
                <w:szCs w:val="16"/>
              </w:rPr>
              <w:t>3659</w:t>
            </w:r>
          </w:p>
        </w:tc>
        <w:tc>
          <w:tcPr>
            <w:tcW w:w="425" w:type="dxa"/>
            <w:shd w:val="solid" w:color="FFFFFF" w:fill="auto"/>
          </w:tcPr>
          <w:p w14:paraId="5EC5E7DF" w14:textId="404460D0"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695D4175" w14:textId="135632DE"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39A5117A" w14:textId="70CF4D65" w:rsidR="00183D3D" w:rsidRPr="00873B6C" w:rsidRDefault="00183D3D" w:rsidP="00F84AAF">
            <w:pPr>
              <w:pStyle w:val="TAL"/>
              <w:rPr>
                <w:sz w:val="16"/>
                <w:szCs w:val="16"/>
              </w:rPr>
            </w:pPr>
            <w:r w:rsidRPr="00873B6C">
              <w:rPr>
                <w:sz w:val="16"/>
                <w:szCs w:val="16"/>
              </w:rPr>
              <w:t>Handling of PDU Sessions for Emergency services</w:t>
            </w:r>
          </w:p>
        </w:tc>
        <w:tc>
          <w:tcPr>
            <w:tcW w:w="708" w:type="dxa"/>
            <w:shd w:val="solid" w:color="FFFFFF" w:fill="auto"/>
          </w:tcPr>
          <w:p w14:paraId="0C9C4559" w14:textId="43E04D6F" w:rsidR="00183D3D" w:rsidRPr="00873B6C" w:rsidRDefault="00183D3D" w:rsidP="00F84AAF">
            <w:pPr>
              <w:pStyle w:val="TAC"/>
              <w:rPr>
                <w:sz w:val="16"/>
                <w:szCs w:val="16"/>
              </w:rPr>
            </w:pPr>
            <w:r w:rsidRPr="00873B6C">
              <w:rPr>
                <w:sz w:val="16"/>
                <w:szCs w:val="16"/>
              </w:rPr>
              <w:t>17.6.0</w:t>
            </w:r>
          </w:p>
        </w:tc>
      </w:tr>
      <w:tr w:rsidR="00183D3D" w:rsidRPr="00873B6C" w14:paraId="47880C4C" w14:textId="77777777" w:rsidTr="009D14FB">
        <w:tc>
          <w:tcPr>
            <w:tcW w:w="800" w:type="dxa"/>
            <w:shd w:val="solid" w:color="FFFFFF" w:fill="auto"/>
          </w:tcPr>
          <w:p w14:paraId="7B89FFDD" w14:textId="494C9FBE"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7829CE4C" w14:textId="1B991797"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76DC341D" w14:textId="0AD9343C" w:rsidR="00183D3D" w:rsidRPr="00873B6C" w:rsidRDefault="00183D3D" w:rsidP="00F84AAF">
            <w:pPr>
              <w:pStyle w:val="TAC"/>
              <w:rPr>
                <w:sz w:val="16"/>
                <w:szCs w:val="16"/>
              </w:rPr>
            </w:pPr>
            <w:r w:rsidRPr="00873B6C">
              <w:rPr>
                <w:sz w:val="16"/>
                <w:szCs w:val="16"/>
              </w:rPr>
              <w:t>SP-220788</w:t>
            </w:r>
          </w:p>
        </w:tc>
        <w:tc>
          <w:tcPr>
            <w:tcW w:w="567" w:type="dxa"/>
            <w:shd w:val="solid" w:color="FFFFFF" w:fill="auto"/>
          </w:tcPr>
          <w:p w14:paraId="78C83C23" w14:textId="6D26B4C4" w:rsidR="00183D3D" w:rsidRPr="00873B6C" w:rsidRDefault="00183D3D" w:rsidP="00F84AAF">
            <w:pPr>
              <w:pStyle w:val="TAL"/>
              <w:rPr>
                <w:sz w:val="16"/>
                <w:szCs w:val="16"/>
              </w:rPr>
            </w:pPr>
            <w:r w:rsidRPr="00873B6C">
              <w:rPr>
                <w:sz w:val="16"/>
                <w:szCs w:val="16"/>
              </w:rPr>
              <w:t>3660</w:t>
            </w:r>
          </w:p>
        </w:tc>
        <w:tc>
          <w:tcPr>
            <w:tcW w:w="425" w:type="dxa"/>
            <w:shd w:val="solid" w:color="FFFFFF" w:fill="auto"/>
          </w:tcPr>
          <w:p w14:paraId="34B7F171" w14:textId="50D798AB"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0FB65718" w14:textId="3DFB80D6" w:rsidR="00183D3D" w:rsidRPr="00873B6C" w:rsidRDefault="00183D3D" w:rsidP="00F84AAF">
            <w:pPr>
              <w:pStyle w:val="TAL"/>
              <w:rPr>
                <w:sz w:val="16"/>
                <w:szCs w:val="16"/>
              </w:rPr>
            </w:pPr>
            <w:r w:rsidRPr="00873B6C">
              <w:rPr>
                <w:sz w:val="16"/>
                <w:szCs w:val="16"/>
              </w:rPr>
              <w:t>B</w:t>
            </w:r>
          </w:p>
        </w:tc>
        <w:tc>
          <w:tcPr>
            <w:tcW w:w="4820" w:type="dxa"/>
            <w:shd w:val="solid" w:color="FFFFFF" w:fill="auto"/>
          </w:tcPr>
          <w:p w14:paraId="6137DB6E" w14:textId="7B5F9B0B" w:rsidR="00183D3D" w:rsidRPr="00873B6C" w:rsidRDefault="00183D3D" w:rsidP="00F84AAF">
            <w:pPr>
              <w:pStyle w:val="TAL"/>
              <w:rPr>
                <w:sz w:val="16"/>
                <w:szCs w:val="16"/>
              </w:rPr>
            </w:pPr>
            <w:r w:rsidRPr="00873B6C">
              <w:rPr>
                <w:sz w:val="16"/>
                <w:szCs w:val="16"/>
              </w:rPr>
              <w:t>Alignment of SBI-based SMS</w:t>
            </w:r>
          </w:p>
        </w:tc>
        <w:tc>
          <w:tcPr>
            <w:tcW w:w="708" w:type="dxa"/>
            <w:shd w:val="solid" w:color="FFFFFF" w:fill="auto"/>
          </w:tcPr>
          <w:p w14:paraId="36E9EF24" w14:textId="50898173" w:rsidR="00183D3D" w:rsidRPr="00873B6C" w:rsidRDefault="00183D3D" w:rsidP="00F84AAF">
            <w:pPr>
              <w:pStyle w:val="TAC"/>
              <w:rPr>
                <w:sz w:val="16"/>
                <w:szCs w:val="16"/>
              </w:rPr>
            </w:pPr>
            <w:r w:rsidRPr="00873B6C">
              <w:rPr>
                <w:sz w:val="16"/>
                <w:szCs w:val="16"/>
              </w:rPr>
              <w:t>17.6.0</w:t>
            </w:r>
          </w:p>
        </w:tc>
      </w:tr>
      <w:tr w:rsidR="00183D3D" w:rsidRPr="00873B6C" w14:paraId="2CFA2F45" w14:textId="77777777" w:rsidTr="009D14FB">
        <w:tc>
          <w:tcPr>
            <w:tcW w:w="800" w:type="dxa"/>
            <w:shd w:val="solid" w:color="FFFFFF" w:fill="auto"/>
          </w:tcPr>
          <w:p w14:paraId="058AC350" w14:textId="14F42FFA"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37738FC8" w14:textId="76E14F5A"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675FBC94" w14:textId="32BFF152"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5ED25A32" w14:textId="6715567E" w:rsidR="00183D3D" w:rsidRPr="00873B6C" w:rsidRDefault="00183D3D" w:rsidP="00F84AAF">
            <w:pPr>
              <w:pStyle w:val="TAL"/>
              <w:rPr>
                <w:sz w:val="16"/>
                <w:szCs w:val="16"/>
              </w:rPr>
            </w:pPr>
            <w:r w:rsidRPr="00873B6C">
              <w:rPr>
                <w:sz w:val="16"/>
                <w:szCs w:val="16"/>
              </w:rPr>
              <w:t>3661</w:t>
            </w:r>
          </w:p>
        </w:tc>
        <w:tc>
          <w:tcPr>
            <w:tcW w:w="425" w:type="dxa"/>
            <w:shd w:val="solid" w:color="FFFFFF" w:fill="auto"/>
          </w:tcPr>
          <w:p w14:paraId="46DB279A" w14:textId="09D35DDC" w:rsidR="00183D3D" w:rsidRPr="00873B6C" w:rsidRDefault="00183D3D" w:rsidP="00F84AAF">
            <w:pPr>
              <w:pStyle w:val="TAL"/>
              <w:rPr>
                <w:sz w:val="16"/>
                <w:szCs w:val="16"/>
              </w:rPr>
            </w:pPr>
            <w:r w:rsidRPr="00873B6C">
              <w:rPr>
                <w:sz w:val="16"/>
                <w:szCs w:val="16"/>
              </w:rPr>
              <w:t>-</w:t>
            </w:r>
          </w:p>
        </w:tc>
        <w:tc>
          <w:tcPr>
            <w:tcW w:w="425" w:type="dxa"/>
            <w:shd w:val="solid" w:color="FFFFFF" w:fill="auto"/>
          </w:tcPr>
          <w:p w14:paraId="608B06F3" w14:textId="6916AEB0"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50968778" w14:textId="61FC0ABC" w:rsidR="00183D3D" w:rsidRPr="00873B6C" w:rsidRDefault="00183D3D" w:rsidP="00F84AAF">
            <w:pPr>
              <w:pStyle w:val="TAL"/>
              <w:rPr>
                <w:sz w:val="16"/>
                <w:szCs w:val="16"/>
              </w:rPr>
            </w:pPr>
            <w:r w:rsidRPr="00873B6C">
              <w:rPr>
                <w:sz w:val="16"/>
                <w:szCs w:val="16"/>
              </w:rPr>
              <w:t>Correction on Reference Architecture</w:t>
            </w:r>
          </w:p>
        </w:tc>
        <w:tc>
          <w:tcPr>
            <w:tcW w:w="708" w:type="dxa"/>
            <w:shd w:val="solid" w:color="FFFFFF" w:fill="auto"/>
          </w:tcPr>
          <w:p w14:paraId="39D7F5B7" w14:textId="762490C2" w:rsidR="00183D3D" w:rsidRPr="00873B6C" w:rsidRDefault="00183D3D" w:rsidP="00F84AAF">
            <w:pPr>
              <w:pStyle w:val="TAC"/>
              <w:rPr>
                <w:sz w:val="16"/>
                <w:szCs w:val="16"/>
              </w:rPr>
            </w:pPr>
            <w:r w:rsidRPr="00873B6C">
              <w:rPr>
                <w:sz w:val="16"/>
                <w:szCs w:val="16"/>
              </w:rPr>
              <w:t>17.6.0</w:t>
            </w:r>
          </w:p>
        </w:tc>
      </w:tr>
      <w:tr w:rsidR="00183D3D" w:rsidRPr="00873B6C" w14:paraId="56EA634F" w14:textId="77777777" w:rsidTr="009D14FB">
        <w:tc>
          <w:tcPr>
            <w:tcW w:w="800" w:type="dxa"/>
            <w:shd w:val="solid" w:color="FFFFFF" w:fill="auto"/>
          </w:tcPr>
          <w:p w14:paraId="064FB589" w14:textId="78F0A79C"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3AF3F68D" w14:textId="435B0AAD"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3C465863" w14:textId="4F7341C3" w:rsidR="00183D3D" w:rsidRPr="00873B6C" w:rsidRDefault="00183D3D" w:rsidP="00F84AAF">
            <w:pPr>
              <w:pStyle w:val="TAC"/>
              <w:rPr>
                <w:sz w:val="16"/>
                <w:szCs w:val="16"/>
              </w:rPr>
            </w:pPr>
            <w:r w:rsidRPr="00873B6C">
              <w:rPr>
                <w:sz w:val="16"/>
                <w:szCs w:val="16"/>
              </w:rPr>
              <w:t>SP-220785</w:t>
            </w:r>
          </w:p>
        </w:tc>
        <w:tc>
          <w:tcPr>
            <w:tcW w:w="567" w:type="dxa"/>
            <w:shd w:val="solid" w:color="FFFFFF" w:fill="auto"/>
          </w:tcPr>
          <w:p w14:paraId="71B9ADA5" w14:textId="132C382B" w:rsidR="00183D3D" w:rsidRPr="00873B6C" w:rsidRDefault="00183D3D" w:rsidP="00F84AAF">
            <w:pPr>
              <w:pStyle w:val="TAL"/>
              <w:rPr>
                <w:sz w:val="16"/>
                <w:szCs w:val="16"/>
              </w:rPr>
            </w:pPr>
            <w:r w:rsidRPr="00873B6C">
              <w:rPr>
                <w:sz w:val="16"/>
                <w:szCs w:val="16"/>
              </w:rPr>
              <w:t>3664</w:t>
            </w:r>
          </w:p>
        </w:tc>
        <w:tc>
          <w:tcPr>
            <w:tcW w:w="425" w:type="dxa"/>
            <w:shd w:val="solid" w:color="FFFFFF" w:fill="auto"/>
          </w:tcPr>
          <w:p w14:paraId="7B47916B" w14:textId="45E31F1D"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03A2A717" w14:textId="2B2DBEDC"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11F0E284" w14:textId="346CF7E1" w:rsidR="00183D3D" w:rsidRPr="00873B6C" w:rsidRDefault="00183D3D" w:rsidP="00F84AAF">
            <w:pPr>
              <w:pStyle w:val="TAL"/>
              <w:rPr>
                <w:sz w:val="16"/>
                <w:szCs w:val="16"/>
              </w:rPr>
            </w:pPr>
            <w:r w:rsidRPr="00873B6C">
              <w:rPr>
                <w:sz w:val="16"/>
                <w:szCs w:val="16"/>
              </w:rPr>
              <w:t>UCU procedure for MINT update</w:t>
            </w:r>
          </w:p>
        </w:tc>
        <w:tc>
          <w:tcPr>
            <w:tcW w:w="708" w:type="dxa"/>
            <w:shd w:val="solid" w:color="FFFFFF" w:fill="auto"/>
          </w:tcPr>
          <w:p w14:paraId="612EAE87" w14:textId="07DB1C40" w:rsidR="00183D3D" w:rsidRPr="00873B6C" w:rsidRDefault="00183D3D" w:rsidP="00F84AAF">
            <w:pPr>
              <w:pStyle w:val="TAC"/>
              <w:rPr>
                <w:sz w:val="16"/>
                <w:szCs w:val="16"/>
              </w:rPr>
            </w:pPr>
            <w:r w:rsidRPr="00873B6C">
              <w:rPr>
                <w:sz w:val="16"/>
                <w:szCs w:val="16"/>
              </w:rPr>
              <w:t>17.6.0</w:t>
            </w:r>
          </w:p>
        </w:tc>
      </w:tr>
      <w:tr w:rsidR="00183D3D" w:rsidRPr="00873B6C" w14:paraId="78D4A162" w14:textId="77777777" w:rsidTr="009D14FB">
        <w:tc>
          <w:tcPr>
            <w:tcW w:w="800" w:type="dxa"/>
            <w:shd w:val="solid" w:color="FFFFFF" w:fill="auto"/>
          </w:tcPr>
          <w:p w14:paraId="37066EF2" w14:textId="104034C0"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0CDB07EB" w14:textId="0A345EE1"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49CB7938" w14:textId="28E9E211"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1DF631B0" w14:textId="33599579" w:rsidR="00183D3D" w:rsidRPr="00873B6C" w:rsidRDefault="00183D3D" w:rsidP="00F84AAF">
            <w:pPr>
              <w:pStyle w:val="TAL"/>
              <w:rPr>
                <w:sz w:val="16"/>
                <w:szCs w:val="16"/>
              </w:rPr>
            </w:pPr>
            <w:r w:rsidRPr="00873B6C">
              <w:rPr>
                <w:sz w:val="16"/>
                <w:szCs w:val="16"/>
              </w:rPr>
              <w:t>3665</w:t>
            </w:r>
          </w:p>
        </w:tc>
        <w:tc>
          <w:tcPr>
            <w:tcW w:w="425" w:type="dxa"/>
            <w:shd w:val="solid" w:color="FFFFFF" w:fill="auto"/>
          </w:tcPr>
          <w:p w14:paraId="08DCE656" w14:textId="2CF19C33"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1D7D29F7" w14:textId="061B181F"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65BFAF76" w14:textId="3A1356D9" w:rsidR="00183D3D" w:rsidRPr="00873B6C" w:rsidRDefault="00183D3D" w:rsidP="00F84AAF">
            <w:pPr>
              <w:pStyle w:val="TAL"/>
              <w:rPr>
                <w:sz w:val="16"/>
                <w:szCs w:val="16"/>
              </w:rPr>
            </w:pPr>
            <w:r w:rsidRPr="00873B6C">
              <w:rPr>
                <w:sz w:val="16"/>
                <w:szCs w:val="16"/>
              </w:rPr>
              <w:t>ULI provision with PScell information</w:t>
            </w:r>
          </w:p>
        </w:tc>
        <w:tc>
          <w:tcPr>
            <w:tcW w:w="708" w:type="dxa"/>
            <w:shd w:val="solid" w:color="FFFFFF" w:fill="auto"/>
          </w:tcPr>
          <w:p w14:paraId="05BB2DB1" w14:textId="14829BA5" w:rsidR="00183D3D" w:rsidRPr="00873B6C" w:rsidRDefault="00183D3D" w:rsidP="00F84AAF">
            <w:pPr>
              <w:pStyle w:val="TAC"/>
              <w:rPr>
                <w:sz w:val="16"/>
                <w:szCs w:val="16"/>
              </w:rPr>
            </w:pPr>
            <w:r w:rsidRPr="00873B6C">
              <w:rPr>
                <w:sz w:val="16"/>
                <w:szCs w:val="16"/>
              </w:rPr>
              <w:t>17.6.0</w:t>
            </w:r>
          </w:p>
        </w:tc>
      </w:tr>
      <w:tr w:rsidR="00183D3D" w:rsidRPr="00873B6C" w14:paraId="22245AFA" w14:textId="77777777" w:rsidTr="009D14FB">
        <w:tc>
          <w:tcPr>
            <w:tcW w:w="800" w:type="dxa"/>
            <w:shd w:val="solid" w:color="FFFFFF" w:fill="auto"/>
          </w:tcPr>
          <w:p w14:paraId="35DA33B5" w14:textId="67C2EF07" w:rsidR="00183D3D" w:rsidRPr="00873B6C" w:rsidRDefault="00183D3D" w:rsidP="00F84AAF">
            <w:pPr>
              <w:pStyle w:val="TAC"/>
              <w:rPr>
                <w:sz w:val="16"/>
                <w:szCs w:val="16"/>
              </w:rPr>
            </w:pPr>
            <w:r w:rsidRPr="00873B6C">
              <w:rPr>
                <w:sz w:val="16"/>
                <w:szCs w:val="16"/>
              </w:rPr>
              <w:lastRenderedPageBreak/>
              <w:t>2022-09</w:t>
            </w:r>
          </w:p>
        </w:tc>
        <w:tc>
          <w:tcPr>
            <w:tcW w:w="800" w:type="dxa"/>
            <w:shd w:val="solid" w:color="FFFFFF" w:fill="auto"/>
          </w:tcPr>
          <w:p w14:paraId="0EFE7C7A" w14:textId="3C58C0F3"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53FA0001" w14:textId="36580E36" w:rsidR="00183D3D" w:rsidRPr="00873B6C" w:rsidRDefault="00183D3D" w:rsidP="00F84AAF">
            <w:pPr>
              <w:pStyle w:val="TAC"/>
              <w:rPr>
                <w:sz w:val="16"/>
                <w:szCs w:val="16"/>
              </w:rPr>
            </w:pPr>
            <w:r w:rsidRPr="00873B6C">
              <w:rPr>
                <w:sz w:val="16"/>
                <w:szCs w:val="16"/>
              </w:rPr>
              <w:t>SP-220769</w:t>
            </w:r>
          </w:p>
        </w:tc>
        <w:tc>
          <w:tcPr>
            <w:tcW w:w="567" w:type="dxa"/>
            <w:shd w:val="solid" w:color="FFFFFF" w:fill="auto"/>
          </w:tcPr>
          <w:p w14:paraId="38DEFC3B" w14:textId="31E829E2" w:rsidR="00183D3D" w:rsidRPr="00873B6C" w:rsidRDefault="00183D3D" w:rsidP="00F84AAF">
            <w:pPr>
              <w:pStyle w:val="TAL"/>
              <w:rPr>
                <w:sz w:val="16"/>
                <w:szCs w:val="16"/>
              </w:rPr>
            </w:pPr>
            <w:r w:rsidRPr="00873B6C">
              <w:rPr>
                <w:sz w:val="16"/>
                <w:szCs w:val="16"/>
              </w:rPr>
              <w:t>3666</w:t>
            </w:r>
          </w:p>
        </w:tc>
        <w:tc>
          <w:tcPr>
            <w:tcW w:w="425" w:type="dxa"/>
            <w:shd w:val="solid" w:color="FFFFFF" w:fill="auto"/>
          </w:tcPr>
          <w:p w14:paraId="5D7F436A" w14:textId="1456F874"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764A2D7E" w14:textId="2317C67C" w:rsidR="00183D3D" w:rsidRPr="00873B6C" w:rsidRDefault="00183D3D" w:rsidP="00F84AAF">
            <w:pPr>
              <w:pStyle w:val="TAL"/>
              <w:rPr>
                <w:sz w:val="16"/>
                <w:szCs w:val="16"/>
              </w:rPr>
            </w:pPr>
            <w:r w:rsidRPr="00873B6C">
              <w:rPr>
                <w:sz w:val="16"/>
                <w:szCs w:val="16"/>
              </w:rPr>
              <w:t>C</w:t>
            </w:r>
          </w:p>
        </w:tc>
        <w:tc>
          <w:tcPr>
            <w:tcW w:w="4820" w:type="dxa"/>
            <w:shd w:val="solid" w:color="FFFFFF" w:fill="auto"/>
          </w:tcPr>
          <w:p w14:paraId="16C041DF" w14:textId="71342B42" w:rsidR="00183D3D" w:rsidRPr="00873B6C" w:rsidRDefault="00183D3D" w:rsidP="00F84AAF">
            <w:pPr>
              <w:pStyle w:val="TAL"/>
              <w:rPr>
                <w:sz w:val="16"/>
                <w:szCs w:val="16"/>
              </w:rPr>
            </w:pPr>
            <w:r w:rsidRPr="00873B6C">
              <w:rPr>
                <w:sz w:val="16"/>
                <w:szCs w:val="16"/>
              </w:rPr>
              <w:t>Periodic update time from UE</w:t>
            </w:r>
          </w:p>
        </w:tc>
        <w:tc>
          <w:tcPr>
            <w:tcW w:w="708" w:type="dxa"/>
            <w:shd w:val="solid" w:color="FFFFFF" w:fill="auto"/>
          </w:tcPr>
          <w:p w14:paraId="68ABCEAB" w14:textId="569AD227" w:rsidR="00183D3D" w:rsidRPr="00873B6C" w:rsidRDefault="00183D3D" w:rsidP="00F84AAF">
            <w:pPr>
              <w:pStyle w:val="TAC"/>
              <w:rPr>
                <w:sz w:val="16"/>
                <w:szCs w:val="16"/>
              </w:rPr>
            </w:pPr>
            <w:r w:rsidRPr="00873B6C">
              <w:rPr>
                <w:sz w:val="16"/>
                <w:szCs w:val="16"/>
              </w:rPr>
              <w:t>17.6.0</w:t>
            </w:r>
          </w:p>
        </w:tc>
      </w:tr>
      <w:tr w:rsidR="00183D3D" w:rsidRPr="00873B6C" w14:paraId="2CDFB286" w14:textId="77777777" w:rsidTr="009D14FB">
        <w:tc>
          <w:tcPr>
            <w:tcW w:w="800" w:type="dxa"/>
            <w:shd w:val="solid" w:color="FFFFFF" w:fill="auto"/>
          </w:tcPr>
          <w:p w14:paraId="5C31A885" w14:textId="1CD089FC"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781AE9A1" w14:textId="074A5115"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3B81B43C" w14:textId="14D814B0"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79EC2741" w14:textId="38C1C371" w:rsidR="00183D3D" w:rsidRPr="00873B6C" w:rsidRDefault="00183D3D" w:rsidP="00F84AAF">
            <w:pPr>
              <w:pStyle w:val="TAL"/>
              <w:rPr>
                <w:sz w:val="16"/>
                <w:szCs w:val="16"/>
              </w:rPr>
            </w:pPr>
            <w:r w:rsidRPr="00873B6C">
              <w:rPr>
                <w:sz w:val="16"/>
                <w:szCs w:val="16"/>
              </w:rPr>
              <w:t>3674</w:t>
            </w:r>
          </w:p>
        </w:tc>
        <w:tc>
          <w:tcPr>
            <w:tcW w:w="425" w:type="dxa"/>
            <w:shd w:val="solid" w:color="FFFFFF" w:fill="auto"/>
          </w:tcPr>
          <w:p w14:paraId="73AAD10F" w14:textId="789378F9"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7B2334BE" w14:textId="088EA30F"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10AB4673" w14:textId="49ABA89B" w:rsidR="00183D3D" w:rsidRPr="00873B6C" w:rsidRDefault="00183D3D" w:rsidP="00F84AAF">
            <w:pPr>
              <w:pStyle w:val="TAL"/>
              <w:rPr>
                <w:sz w:val="16"/>
                <w:szCs w:val="16"/>
              </w:rPr>
            </w:pPr>
            <w:r w:rsidRPr="00873B6C">
              <w:rPr>
                <w:sz w:val="16"/>
                <w:szCs w:val="16"/>
              </w:rPr>
              <w:t>Handover capability detection</w:t>
            </w:r>
          </w:p>
        </w:tc>
        <w:tc>
          <w:tcPr>
            <w:tcW w:w="708" w:type="dxa"/>
            <w:shd w:val="solid" w:color="FFFFFF" w:fill="auto"/>
          </w:tcPr>
          <w:p w14:paraId="15BA7323" w14:textId="6B7D5F44" w:rsidR="00183D3D" w:rsidRPr="00873B6C" w:rsidRDefault="00183D3D" w:rsidP="00F84AAF">
            <w:pPr>
              <w:pStyle w:val="TAC"/>
              <w:rPr>
                <w:sz w:val="16"/>
                <w:szCs w:val="16"/>
              </w:rPr>
            </w:pPr>
            <w:r w:rsidRPr="00873B6C">
              <w:rPr>
                <w:sz w:val="16"/>
                <w:szCs w:val="16"/>
              </w:rPr>
              <w:t>17.6.0</w:t>
            </w:r>
          </w:p>
        </w:tc>
      </w:tr>
      <w:tr w:rsidR="00183D3D" w:rsidRPr="00873B6C" w14:paraId="3830FB92" w14:textId="77777777" w:rsidTr="009D14FB">
        <w:tc>
          <w:tcPr>
            <w:tcW w:w="800" w:type="dxa"/>
            <w:shd w:val="solid" w:color="FFFFFF" w:fill="auto"/>
          </w:tcPr>
          <w:p w14:paraId="1C57AEB9" w14:textId="4A2FE41C"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6AD6C2D3" w14:textId="2A4ED85F"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4BFD0DC4" w14:textId="7531A4F1"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4605EE72" w14:textId="3DCA947F" w:rsidR="00183D3D" w:rsidRPr="00873B6C" w:rsidRDefault="00183D3D" w:rsidP="00F84AAF">
            <w:pPr>
              <w:pStyle w:val="TAL"/>
              <w:rPr>
                <w:sz w:val="16"/>
                <w:szCs w:val="16"/>
              </w:rPr>
            </w:pPr>
            <w:r w:rsidRPr="00873B6C">
              <w:rPr>
                <w:sz w:val="16"/>
                <w:szCs w:val="16"/>
              </w:rPr>
              <w:t>3676</w:t>
            </w:r>
          </w:p>
        </w:tc>
        <w:tc>
          <w:tcPr>
            <w:tcW w:w="425" w:type="dxa"/>
            <w:shd w:val="solid" w:color="FFFFFF" w:fill="auto"/>
          </w:tcPr>
          <w:p w14:paraId="6C9967E0" w14:textId="2F7105A6"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5432DBC2" w14:textId="7D4F566B"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3E258428" w14:textId="653BA451" w:rsidR="00183D3D" w:rsidRPr="00873B6C" w:rsidRDefault="00183D3D" w:rsidP="00F84AAF">
            <w:pPr>
              <w:pStyle w:val="TAL"/>
              <w:rPr>
                <w:sz w:val="16"/>
                <w:szCs w:val="16"/>
              </w:rPr>
            </w:pPr>
            <w:r w:rsidRPr="00873B6C">
              <w:rPr>
                <w:sz w:val="16"/>
                <w:szCs w:val="16"/>
              </w:rPr>
              <w:t>Closing open issues on RAN slicing</w:t>
            </w:r>
          </w:p>
        </w:tc>
        <w:tc>
          <w:tcPr>
            <w:tcW w:w="708" w:type="dxa"/>
            <w:shd w:val="solid" w:color="FFFFFF" w:fill="auto"/>
          </w:tcPr>
          <w:p w14:paraId="404BD4D6" w14:textId="212EE354" w:rsidR="00183D3D" w:rsidRPr="00873B6C" w:rsidRDefault="00183D3D" w:rsidP="00F84AAF">
            <w:pPr>
              <w:pStyle w:val="TAC"/>
              <w:rPr>
                <w:sz w:val="16"/>
                <w:szCs w:val="16"/>
              </w:rPr>
            </w:pPr>
            <w:r w:rsidRPr="00873B6C">
              <w:rPr>
                <w:sz w:val="16"/>
                <w:szCs w:val="16"/>
              </w:rPr>
              <w:t>17.6.0</w:t>
            </w:r>
          </w:p>
        </w:tc>
      </w:tr>
      <w:tr w:rsidR="006F101E" w:rsidRPr="00873B6C" w14:paraId="133FE680" w14:textId="77777777" w:rsidTr="009D14FB">
        <w:tc>
          <w:tcPr>
            <w:tcW w:w="800" w:type="dxa"/>
            <w:shd w:val="solid" w:color="FFFFFF" w:fill="auto"/>
          </w:tcPr>
          <w:p w14:paraId="3082D611" w14:textId="157A75D3"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265B255E" w14:textId="1606D168"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11B53CCD" w14:textId="163F2CAB" w:rsidR="006F101E" w:rsidRPr="00873B6C" w:rsidRDefault="006F101E" w:rsidP="00F84AAF">
            <w:pPr>
              <w:pStyle w:val="TAC"/>
              <w:rPr>
                <w:sz w:val="16"/>
                <w:szCs w:val="16"/>
              </w:rPr>
            </w:pPr>
            <w:r w:rsidRPr="00873B6C">
              <w:rPr>
                <w:sz w:val="16"/>
                <w:szCs w:val="16"/>
              </w:rPr>
              <w:t>SP-220789</w:t>
            </w:r>
          </w:p>
        </w:tc>
        <w:tc>
          <w:tcPr>
            <w:tcW w:w="567" w:type="dxa"/>
            <w:shd w:val="solid" w:color="FFFFFF" w:fill="auto"/>
          </w:tcPr>
          <w:p w14:paraId="70EA3A0B" w14:textId="620A7515" w:rsidR="006F101E" w:rsidRPr="00873B6C" w:rsidRDefault="006F101E" w:rsidP="00F84AAF">
            <w:pPr>
              <w:pStyle w:val="TAL"/>
              <w:rPr>
                <w:sz w:val="16"/>
                <w:szCs w:val="16"/>
              </w:rPr>
            </w:pPr>
            <w:r w:rsidRPr="00873B6C">
              <w:rPr>
                <w:sz w:val="16"/>
                <w:szCs w:val="16"/>
              </w:rPr>
              <w:t>3677</w:t>
            </w:r>
          </w:p>
        </w:tc>
        <w:tc>
          <w:tcPr>
            <w:tcW w:w="425" w:type="dxa"/>
            <w:shd w:val="solid" w:color="FFFFFF" w:fill="auto"/>
          </w:tcPr>
          <w:p w14:paraId="64C1B353" w14:textId="50A0E7C3"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760976C1" w14:textId="290A58BF"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641DB0C3" w14:textId="2544CEF8" w:rsidR="006F101E" w:rsidRPr="00873B6C" w:rsidRDefault="006F101E" w:rsidP="00F84AAF">
            <w:pPr>
              <w:pStyle w:val="TAL"/>
              <w:rPr>
                <w:sz w:val="16"/>
                <w:szCs w:val="16"/>
              </w:rPr>
            </w:pPr>
            <w:r w:rsidRPr="00873B6C">
              <w:rPr>
                <w:sz w:val="16"/>
                <w:szCs w:val="16"/>
              </w:rPr>
              <w:t>Missing UDSF timer service</w:t>
            </w:r>
          </w:p>
        </w:tc>
        <w:tc>
          <w:tcPr>
            <w:tcW w:w="708" w:type="dxa"/>
            <w:shd w:val="solid" w:color="FFFFFF" w:fill="auto"/>
          </w:tcPr>
          <w:p w14:paraId="62132359" w14:textId="24FA8394" w:rsidR="006F101E" w:rsidRPr="00873B6C" w:rsidRDefault="006F101E" w:rsidP="00F84AAF">
            <w:pPr>
              <w:pStyle w:val="TAC"/>
              <w:rPr>
                <w:sz w:val="16"/>
                <w:szCs w:val="16"/>
              </w:rPr>
            </w:pPr>
            <w:r w:rsidRPr="00873B6C">
              <w:rPr>
                <w:sz w:val="16"/>
                <w:szCs w:val="16"/>
              </w:rPr>
              <w:t>17.6.0</w:t>
            </w:r>
          </w:p>
        </w:tc>
      </w:tr>
      <w:tr w:rsidR="006F101E" w:rsidRPr="00873B6C" w14:paraId="10F769DD" w14:textId="77777777" w:rsidTr="009D14FB">
        <w:tc>
          <w:tcPr>
            <w:tcW w:w="800" w:type="dxa"/>
            <w:shd w:val="solid" w:color="FFFFFF" w:fill="auto"/>
          </w:tcPr>
          <w:p w14:paraId="44574506" w14:textId="7EA4F735"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62FFC122" w14:textId="19ACA7BD"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08A119E9" w14:textId="10D103B7" w:rsidR="006F101E" w:rsidRPr="00873B6C" w:rsidRDefault="006F101E" w:rsidP="00F84AAF">
            <w:pPr>
              <w:pStyle w:val="TAC"/>
              <w:rPr>
                <w:sz w:val="16"/>
                <w:szCs w:val="16"/>
              </w:rPr>
            </w:pPr>
            <w:r w:rsidRPr="00873B6C">
              <w:rPr>
                <w:sz w:val="16"/>
                <w:szCs w:val="16"/>
              </w:rPr>
              <w:t>SP-220776</w:t>
            </w:r>
          </w:p>
        </w:tc>
        <w:tc>
          <w:tcPr>
            <w:tcW w:w="567" w:type="dxa"/>
            <w:shd w:val="solid" w:color="FFFFFF" w:fill="auto"/>
          </w:tcPr>
          <w:p w14:paraId="276BA9FB" w14:textId="3CF6DFD9" w:rsidR="006F101E" w:rsidRPr="00873B6C" w:rsidRDefault="006F101E" w:rsidP="00F84AAF">
            <w:pPr>
              <w:pStyle w:val="TAL"/>
              <w:rPr>
                <w:sz w:val="16"/>
                <w:szCs w:val="16"/>
              </w:rPr>
            </w:pPr>
            <w:r w:rsidRPr="00873B6C">
              <w:rPr>
                <w:sz w:val="16"/>
                <w:szCs w:val="16"/>
              </w:rPr>
              <w:t>3678</w:t>
            </w:r>
          </w:p>
        </w:tc>
        <w:tc>
          <w:tcPr>
            <w:tcW w:w="425" w:type="dxa"/>
            <w:shd w:val="solid" w:color="FFFFFF" w:fill="auto"/>
          </w:tcPr>
          <w:p w14:paraId="6864CDB6" w14:textId="3883AFDB"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7E349C8D" w14:textId="68485C45"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4366BA78" w14:textId="59776867" w:rsidR="006F101E" w:rsidRPr="00873B6C" w:rsidRDefault="006F101E" w:rsidP="00F84AAF">
            <w:pPr>
              <w:pStyle w:val="TAL"/>
              <w:rPr>
                <w:sz w:val="16"/>
                <w:szCs w:val="16"/>
              </w:rPr>
            </w:pPr>
            <w:r w:rsidRPr="00873B6C">
              <w:rPr>
                <w:sz w:val="16"/>
                <w:szCs w:val="16"/>
              </w:rPr>
              <w:t>PMF UAD and UAT message handling clarifications</w:t>
            </w:r>
          </w:p>
        </w:tc>
        <w:tc>
          <w:tcPr>
            <w:tcW w:w="708" w:type="dxa"/>
            <w:shd w:val="solid" w:color="FFFFFF" w:fill="auto"/>
          </w:tcPr>
          <w:p w14:paraId="570C6123" w14:textId="0C391238" w:rsidR="006F101E" w:rsidRPr="00873B6C" w:rsidRDefault="006F101E" w:rsidP="00F84AAF">
            <w:pPr>
              <w:pStyle w:val="TAC"/>
              <w:rPr>
                <w:sz w:val="16"/>
                <w:szCs w:val="16"/>
              </w:rPr>
            </w:pPr>
            <w:r w:rsidRPr="00873B6C">
              <w:rPr>
                <w:sz w:val="16"/>
                <w:szCs w:val="16"/>
              </w:rPr>
              <w:t>17.6.0</w:t>
            </w:r>
          </w:p>
        </w:tc>
      </w:tr>
      <w:tr w:rsidR="006F101E" w:rsidRPr="00873B6C" w14:paraId="5A24C4AF" w14:textId="77777777" w:rsidTr="009D14FB">
        <w:tc>
          <w:tcPr>
            <w:tcW w:w="800" w:type="dxa"/>
            <w:shd w:val="solid" w:color="FFFFFF" w:fill="auto"/>
          </w:tcPr>
          <w:p w14:paraId="676A8046" w14:textId="4F9A5067"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7BC7F696" w14:textId="6E0B6FA8"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414BCDAE" w14:textId="73FDEA12" w:rsidR="006F101E" w:rsidRPr="00873B6C" w:rsidRDefault="006F101E" w:rsidP="00F84AAF">
            <w:pPr>
              <w:pStyle w:val="TAC"/>
              <w:rPr>
                <w:sz w:val="16"/>
                <w:szCs w:val="16"/>
              </w:rPr>
            </w:pPr>
            <w:r w:rsidRPr="00873B6C">
              <w:rPr>
                <w:sz w:val="16"/>
                <w:szCs w:val="16"/>
              </w:rPr>
              <w:t>SP-220786</w:t>
            </w:r>
          </w:p>
        </w:tc>
        <w:tc>
          <w:tcPr>
            <w:tcW w:w="567" w:type="dxa"/>
            <w:shd w:val="solid" w:color="FFFFFF" w:fill="auto"/>
          </w:tcPr>
          <w:p w14:paraId="141E695A" w14:textId="081F18BD" w:rsidR="006F101E" w:rsidRPr="00873B6C" w:rsidRDefault="006F101E" w:rsidP="00F84AAF">
            <w:pPr>
              <w:pStyle w:val="TAL"/>
              <w:rPr>
                <w:sz w:val="16"/>
                <w:szCs w:val="16"/>
              </w:rPr>
            </w:pPr>
            <w:r w:rsidRPr="00873B6C">
              <w:rPr>
                <w:sz w:val="16"/>
                <w:szCs w:val="16"/>
              </w:rPr>
              <w:t>3683</w:t>
            </w:r>
          </w:p>
        </w:tc>
        <w:tc>
          <w:tcPr>
            <w:tcW w:w="425" w:type="dxa"/>
            <w:shd w:val="solid" w:color="FFFFFF" w:fill="auto"/>
          </w:tcPr>
          <w:p w14:paraId="6DBC4CB4" w14:textId="4CC598F9"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6BD77945" w14:textId="7FB3063A"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44542ADA" w14:textId="102E755B" w:rsidR="006F101E" w:rsidRPr="00873B6C" w:rsidRDefault="006F101E" w:rsidP="00F84AAF">
            <w:pPr>
              <w:pStyle w:val="TAL"/>
              <w:rPr>
                <w:sz w:val="16"/>
                <w:szCs w:val="16"/>
              </w:rPr>
            </w:pPr>
            <w:r w:rsidRPr="00873B6C">
              <w:rPr>
                <w:sz w:val="16"/>
                <w:szCs w:val="16"/>
              </w:rPr>
              <w:t>Clarifications on Priority Subscription</w:t>
            </w:r>
          </w:p>
        </w:tc>
        <w:tc>
          <w:tcPr>
            <w:tcW w:w="708" w:type="dxa"/>
            <w:shd w:val="solid" w:color="FFFFFF" w:fill="auto"/>
          </w:tcPr>
          <w:p w14:paraId="6BFCBE7D" w14:textId="13028456" w:rsidR="006F101E" w:rsidRPr="00873B6C" w:rsidRDefault="006F101E" w:rsidP="00F84AAF">
            <w:pPr>
              <w:pStyle w:val="TAC"/>
              <w:rPr>
                <w:sz w:val="16"/>
                <w:szCs w:val="16"/>
              </w:rPr>
            </w:pPr>
            <w:r w:rsidRPr="00873B6C">
              <w:rPr>
                <w:sz w:val="16"/>
                <w:szCs w:val="16"/>
              </w:rPr>
              <w:t>17.6.0</w:t>
            </w:r>
          </w:p>
        </w:tc>
      </w:tr>
      <w:tr w:rsidR="006F101E" w:rsidRPr="00873B6C" w14:paraId="3D2ED405" w14:textId="77777777" w:rsidTr="009D14FB">
        <w:tc>
          <w:tcPr>
            <w:tcW w:w="800" w:type="dxa"/>
            <w:shd w:val="solid" w:color="FFFFFF" w:fill="auto"/>
          </w:tcPr>
          <w:p w14:paraId="6B2E469E" w14:textId="4888914B"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69581501" w14:textId="3A3ABD0B"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732AC012" w14:textId="692B2FEE" w:rsidR="006F101E" w:rsidRPr="00873B6C" w:rsidRDefault="006F101E" w:rsidP="00F84AAF">
            <w:pPr>
              <w:pStyle w:val="TAC"/>
              <w:rPr>
                <w:sz w:val="16"/>
                <w:szCs w:val="16"/>
              </w:rPr>
            </w:pPr>
            <w:r w:rsidRPr="00873B6C">
              <w:rPr>
                <w:sz w:val="16"/>
                <w:szCs w:val="16"/>
              </w:rPr>
              <w:t>SP-220783</w:t>
            </w:r>
          </w:p>
        </w:tc>
        <w:tc>
          <w:tcPr>
            <w:tcW w:w="567" w:type="dxa"/>
            <w:shd w:val="solid" w:color="FFFFFF" w:fill="auto"/>
          </w:tcPr>
          <w:p w14:paraId="4A176448" w14:textId="4B2745AE" w:rsidR="006F101E" w:rsidRPr="00873B6C" w:rsidRDefault="006F101E" w:rsidP="00F84AAF">
            <w:pPr>
              <w:pStyle w:val="TAL"/>
              <w:rPr>
                <w:sz w:val="16"/>
                <w:szCs w:val="16"/>
              </w:rPr>
            </w:pPr>
            <w:r w:rsidRPr="00873B6C">
              <w:rPr>
                <w:sz w:val="16"/>
                <w:szCs w:val="16"/>
              </w:rPr>
              <w:t>3685</w:t>
            </w:r>
          </w:p>
        </w:tc>
        <w:tc>
          <w:tcPr>
            <w:tcW w:w="425" w:type="dxa"/>
            <w:shd w:val="solid" w:color="FFFFFF" w:fill="auto"/>
          </w:tcPr>
          <w:p w14:paraId="7E6EEDCD" w14:textId="385B1F16" w:rsidR="006F101E" w:rsidRPr="00873B6C" w:rsidRDefault="006F101E" w:rsidP="00F84AAF">
            <w:pPr>
              <w:pStyle w:val="TAL"/>
              <w:rPr>
                <w:sz w:val="16"/>
                <w:szCs w:val="16"/>
              </w:rPr>
            </w:pPr>
            <w:r w:rsidRPr="00873B6C">
              <w:rPr>
                <w:sz w:val="16"/>
                <w:szCs w:val="16"/>
              </w:rPr>
              <w:t>-</w:t>
            </w:r>
          </w:p>
        </w:tc>
        <w:tc>
          <w:tcPr>
            <w:tcW w:w="425" w:type="dxa"/>
            <w:shd w:val="solid" w:color="FFFFFF" w:fill="auto"/>
          </w:tcPr>
          <w:p w14:paraId="00A5D4E7" w14:textId="7CF93968"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74E5461B" w14:textId="5A4CE215" w:rsidR="006F101E" w:rsidRPr="00873B6C" w:rsidRDefault="006F101E" w:rsidP="00F84AAF">
            <w:pPr>
              <w:pStyle w:val="TAL"/>
              <w:rPr>
                <w:sz w:val="16"/>
                <w:szCs w:val="16"/>
              </w:rPr>
            </w:pPr>
            <w:r w:rsidRPr="00873B6C">
              <w:rPr>
                <w:sz w:val="16"/>
                <w:szCs w:val="16"/>
              </w:rPr>
              <w:t>Clarification on 5G access stratum distribution in mobility and AM policy modification</w:t>
            </w:r>
          </w:p>
        </w:tc>
        <w:tc>
          <w:tcPr>
            <w:tcW w:w="708" w:type="dxa"/>
            <w:shd w:val="solid" w:color="FFFFFF" w:fill="auto"/>
          </w:tcPr>
          <w:p w14:paraId="1ABF6FC0" w14:textId="23717E0F" w:rsidR="006F101E" w:rsidRPr="00873B6C" w:rsidRDefault="006F101E" w:rsidP="00F84AAF">
            <w:pPr>
              <w:pStyle w:val="TAC"/>
              <w:rPr>
                <w:sz w:val="16"/>
                <w:szCs w:val="16"/>
              </w:rPr>
            </w:pPr>
            <w:r w:rsidRPr="00873B6C">
              <w:rPr>
                <w:sz w:val="16"/>
                <w:szCs w:val="16"/>
              </w:rPr>
              <w:t>17.6.0</w:t>
            </w:r>
          </w:p>
        </w:tc>
      </w:tr>
      <w:tr w:rsidR="006F101E" w:rsidRPr="00873B6C" w14:paraId="32E1B8CE" w14:textId="77777777" w:rsidTr="009D14FB">
        <w:tc>
          <w:tcPr>
            <w:tcW w:w="800" w:type="dxa"/>
            <w:shd w:val="solid" w:color="FFFFFF" w:fill="auto"/>
          </w:tcPr>
          <w:p w14:paraId="590F672C" w14:textId="187B807E"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3EF5E4C4" w14:textId="54FD2A74"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7A560E9D" w14:textId="000AC278" w:rsidR="006F101E" w:rsidRPr="00873B6C" w:rsidRDefault="006F101E" w:rsidP="00F84AAF">
            <w:pPr>
              <w:pStyle w:val="TAC"/>
              <w:rPr>
                <w:sz w:val="16"/>
                <w:szCs w:val="16"/>
              </w:rPr>
            </w:pPr>
            <w:r w:rsidRPr="00873B6C">
              <w:rPr>
                <w:sz w:val="16"/>
                <w:szCs w:val="16"/>
              </w:rPr>
              <w:t>SP-220774</w:t>
            </w:r>
          </w:p>
        </w:tc>
        <w:tc>
          <w:tcPr>
            <w:tcW w:w="567" w:type="dxa"/>
            <w:shd w:val="solid" w:color="FFFFFF" w:fill="auto"/>
          </w:tcPr>
          <w:p w14:paraId="527B8DF4" w14:textId="49E7E4D7" w:rsidR="006F101E" w:rsidRPr="00873B6C" w:rsidRDefault="006F101E" w:rsidP="00F84AAF">
            <w:pPr>
              <w:pStyle w:val="TAL"/>
              <w:rPr>
                <w:sz w:val="16"/>
                <w:szCs w:val="16"/>
              </w:rPr>
            </w:pPr>
            <w:r w:rsidRPr="00873B6C">
              <w:rPr>
                <w:sz w:val="16"/>
                <w:szCs w:val="16"/>
              </w:rPr>
              <w:t>3687</w:t>
            </w:r>
          </w:p>
        </w:tc>
        <w:tc>
          <w:tcPr>
            <w:tcW w:w="425" w:type="dxa"/>
            <w:shd w:val="solid" w:color="FFFFFF" w:fill="auto"/>
          </w:tcPr>
          <w:p w14:paraId="6901994A" w14:textId="7F09A2C7" w:rsidR="006F101E" w:rsidRPr="00873B6C" w:rsidRDefault="006F101E" w:rsidP="00F84AAF">
            <w:pPr>
              <w:pStyle w:val="TAL"/>
              <w:rPr>
                <w:sz w:val="16"/>
                <w:szCs w:val="16"/>
              </w:rPr>
            </w:pPr>
            <w:r w:rsidRPr="00873B6C">
              <w:rPr>
                <w:sz w:val="16"/>
                <w:szCs w:val="16"/>
              </w:rPr>
              <w:t xml:space="preserve">1 </w:t>
            </w:r>
          </w:p>
        </w:tc>
        <w:tc>
          <w:tcPr>
            <w:tcW w:w="425" w:type="dxa"/>
            <w:shd w:val="solid" w:color="FFFFFF" w:fill="auto"/>
          </w:tcPr>
          <w:p w14:paraId="7D6288F1" w14:textId="0A9A7D34"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482C7651" w14:textId="1FD5FE55" w:rsidR="006F101E" w:rsidRPr="00873B6C" w:rsidRDefault="006F101E" w:rsidP="00F84AAF">
            <w:pPr>
              <w:pStyle w:val="TAL"/>
              <w:rPr>
                <w:sz w:val="16"/>
                <w:szCs w:val="16"/>
              </w:rPr>
            </w:pPr>
            <w:r w:rsidRPr="00873B6C">
              <w:rPr>
                <w:sz w:val="16"/>
                <w:szCs w:val="16"/>
              </w:rPr>
              <w:t>AMF sends forbidden TAI(s) to UE</w:t>
            </w:r>
          </w:p>
        </w:tc>
        <w:tc>
          <w:tcPr>
            <w:tcW w:w="708" w:type="dxa"/>
            <w:shd w:val="solid" w:color="FFFFFF" w:fill="auto"/>
          </w:tcPr>
          <w:p w14:paraId="6CC3E980" w14:textId="21D277A6" w:rsidR="006F101E" w:rsidRPr="00873B6C" w:rsidRDefault="006F101E" w:rsidP="00F84AAF">
            <w:pPr>
              <w:pStyle w:val="TAC"/>
              <w:rPr>
                <w:sz w:val="16"/>
                <w:szCs w:val="16"/>
              </w:rPr>
            </w:pPr>
            <w:r w:rsidRPr="00873B6C">
              <w:rPr>
                <w:sz w:val="16"/>
                <w:szCs w:val="16"/>
              </w:rPr>
              <w:t>17.6.0</w:t>
            </w:r>
          </w:p>
        </w:tc>
      </w:tr>
      <w:tr w:rsidR="006F101E" w:rsidRPr="00873B6C" w14:paraId="55848372" w14:textId="77777777" w:rsidTr="009D14FB">
        <w:tc>
          <w:tcPr>
            <w:tcW w:w="800" w:type="dxa"/>
            <w:shd w:val="solid" w:color="FFFFFF" w:fill="auto"/>
          </w:tcPr>
          <w:p w14:paraId="7284CCE4" w14:textId="57B3A220"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6BB53B90" w14:textId="215F8D2E"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22BB0384" w14:textId="70DB2F5F" w:rsidR="006F101E" w:rsidRPr="00873B6C" w:rsidRDefault="006F101E" w:rsidP="00F84AAF">
            <w:pPr>
              <w:pStyle w:val="TAC"/>
              <w:rPr>
                <w:sz w:val="16"/>
                <w:szCs w:val="16"/>
              </w:rPr>
            </w:pPr>
            <w:r w:rsidRPr="00873B6C">
              <w:rPr>
                <w:sz w:val="16"/>
                <w:szCs w:val="16"/>
              </w:rPr>
              <w:t>SP-220771</w:t>
            </w:r>
          </w:p>
        </w:tc>
        <w:tc>
          <w:tcPr>
            <w:tcW w:w="567" w:type="dxa"/>
            <w:shd w:val="solid" w:color="FFFFFF" w:fill="auto"/>
          </w:tcPr>
          <w:p w14:paraId="7B82B0B2" w14:textId="01CFF819" w:rsidR="006F101E" w:rsidRPr="00873B6C" w:rsidRDefault="006F101E" w:rsidP="00F84AAF">
            <w:pPr>
              <w:pStyle w:val="TAL"/>
              <w:rPr>
                <w:sz w:val="16"/>
                <w:szCs w:val="16"/>
              </w:rPr>
            </w:pPr>
            <w:r w:rsidRPr="00873B6C">
              <w:rPr>
                <w:sz w:val="16"/>
                <w:szCs w:val="16"/>
              </w:rPr>
              <w:t>3689</w:t>
            </w:r>
          </w:p>
        </w:tc>
        <w:tc>
          <w:tcPr>
            <w:tcW w:w="425" w:type="dxa"/>
            <w:shd w:val="solid" w:color="FFFFFF" w:fill="auto"/>
          </w:tcPr>
          <w:p w14:paraId="5FC1A362" w14:textId="61EA64C8"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22A5D739" w14:textId="6159FDE8" w:rsidR="006F101E" w:rsidRPr="00873B6C" w:rsidRDefault="006F101E" w:rsidP="00F84AAF">
            <w:pPr>
              <w:pStyle w:val="TAL"/>
              <w:rPr>
                <w:sz w:val="16"/>
                <w:szCs w:val="16"/>
              </w:rPr>
            </w:pPr>
            <w:r w:rsidRPr="00873B6C">
              <w:rPr>
                <w:sz w:val="16"/>
                <w:szCs w:val="16"/>
              </w:rPr>
              <w:t>A</w:t>
            </w:r>
          </w:p>
        </w:tc>
        <w:tc>
          <w:tcPr>
            <w:tcW w:w="4820" w:type="dxa"/>
            <w:shd w:val="solid" w:color="FFFFFF" w:fill="auto"/>
          </w:tcPr>
          <w:p w14:paraId="4F3E5968" w14:textId="30567585" w:rsidR="006F101E" w:rsidRPr="00873B6C" w:rsidRDefault="006F101E" w:rsidP="00F84AAF">
            <w:pPr>
              <w:pStyle w:val="TAL"/>
              <w:rPr>
                <w:sz w:val="16"/>
                <w:szCs w:val="16"/>
              </w:rPr>
            </w:pPr>
            <w:r w:rsidRPr="00873B6C">
              <w:rPr>
                <w:sz w:val="16"/>
                <w:szCs w:val="16"/>
              </w:rPr>
              <w:t>Correction on 5G VN group management</w:t>
            </w:r>
          </w:p>
        </w:tc>
        <w:tc>
          <w:tcPr>
            <w:tcW w:w="708" w:type="dxa"/>
            <w:shd w:val="solid" w:color="FFFFFF" w:fill="auto"/>
          </w:tcPr>
          <w:p w14:paraId="25F8D15C" w14:textId="7F5C2E0C" w:rsidR="006F101E" w:rsidRPr="00873B6C" w:rsidRDefault="006F101E" w:rsidP="00F84AAF">
            <w:pPr>
              <w:pStyle w:val="TAC"/>
              <w:rPr>
                <w:sz w:val="16"/>
                <w:szCs w:val="16"/>
              </w:rPr>
            </w:pPr>
            <w:r w:rsidRPr="00873B6C">
              <w:rPr>
                <w:sz w:val="16"/>
                <w:szCs w:val="16"/>
              </w:rPr>
              <w:t>17.6.0</w:t>
            </w:r>
          </w:p>
        </w:tc>
      </w:tr>
      <w:tr w:rsidR="006F101E" w:rsidRPr="00873B6C" w14:paraId="0D5D4FC1" w14:textId="77777777" w:rsidTr="009D14FB">
        <w:tc>
          <w:tcPr>
            <w:tcW w:w="800" w:type="dxa"/>
            <w:shd w:val="solid" w:color="FFFFFF" w:fill="auto"/>
          </w:tcPr>
          <w:p w14:paraId="40E9552C" w14:textId="4FC94819"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52755645" w14:textId="77DFCEA1"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7A7B745F" w14:textId="5FE75218" w:rsidR="006F101E" w:rsidRPr="00873B6C" w:rsidRDefault="006F101E" w:rsidP="00F84AAF">
            <w:pPr>
              <w:pStyle w:val="TAC"/>
              <w:rPr>
                <w:sz w:val="16"/>
                <w:szCs w:val="16"/>
              </w:rPr>
            </w:pPr>
            <w:r w:rsidRPr="00873B6C">
              <w:rPr>
                <w:sz w:val="16"/>
                <w:szCs w:val="16"/>
              </w:rPr>
              <w:t>SP-220789</w:t>
            </w:r>
          </w:p>
        </w:tc>
        <w:tc>
          <w:tcPr>
            <w:tcW w:w="567" w:type="dxa"/>
            <w:shd w:val="solid" w:color="FFFFFF" w:fill="auto"/>
          </w:tcPr>
          <w:p w14:paraId="6D2C6283" w14:textId="6E6EB4AC" w:rsidR="006F101E" w:rsidRPr="00873B6C" w:rsidRDefault="006F101E" w:rsidP="00F84AAF">
            <w:pPr>
              <w:pStyle w:val="TAL"/>
              <w:rPr>
                <w:sz w:val="16"/>
                <w:szCs w:val="16"/>
              </w:rPr>
            </w:pPr>
            <w:r w:rsidRPr="00873B6C">
              <w:rPr>
                <w:sz w:val="16"/>
                <w:szCs w:val="16"/>
              </w:rPr>
              <w:t>3697</w:t>
            </w:r>
          </w:p>
        </w:tc>
        <w:tc>
          <w:tcPr>
            <w:tcW w:w="425" w:type="dxa"/>
            <w:shd w:val="solid" w:color="FFFFFF" w:fill="auto"/>
          </w:tcPr>
          <w:p w14:paraId="5ACC1B1F" w14:textId="7387C9AB"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633964E1" w14:textId="1C9EB876" w:rsidR="006F101E" w:rsidRPr="00873B6C" w:rsidRDefault="006F101E" w:rsidP="00F84AAF">
            <w:pPr>
              <w:pStyle w:val="TAL"/>
              <w:rPr>
                <w:sz w:val="16"/>
                <w:szCs w:val="16"/>
              </w:rPr>
            </w:pPr>
            <w:r w:rsidRPr="00873B6C">
              <w:rPr>
                <w:sz w:val="16"/>
                <w:szCs w:val="16"/>
              </w:rPr>
              <w:t>B</w:t>
            </w:r>
          </w:p>
        </w:tc>
        <w:tc>
          <w:tcPr>
            <w:tcW w:w="4820" w:type="dxa"/>
            <w:shd w:val="solid" w:color="FFFFFF" w:fill="auto"/>
          </w:tcPr>
          <w:p w14:paraId="2BDFE5CE" w14:textId="67932337" w:rsidR="006F101E" w:rsidRPr="00873B6C" w:rsidRDefault="006F101E" w:rsidP="00F84AAF">
            <w:pPr>
              <w:pStyle w:val="TAL"/>
              <w:rPr>
                <w:sz w:val="16"/>
                <w:szCs w:val="16"/>
              </w:rPr>
            </w:pPr>
            <w:r w:rsidRPr="00873B6C">
              <w:rPr>
                <w:sz w:val="16"/>
                <w:szCs w:val="16"/>
              </w:rPr>
              <w:t>Access Network selection for 5G NSWO</w:t>
            </w:r>
          </w:p>
        </w:tc>
        <w:tc>
          <w:tcPr>
            <w:tcW w:w="708" w:type="dxa"/>
            <w:shd w:val="solid" w:color="FFFFFF" w:fill="auto"/>
          </w:tcPr>
          <w:p w14:paraId="477FD00D" w14:textId="79FD0391" w:rsidR="006F101E" w:rsidRPr="00873B6C" w:rsidRDefault="006F101E" w:rsidP="00F84AAF">
            <w:pPr>
              <w:pStyle w:val="TAC"/>
              <w:rPr>
                <w:sz w:val="16"/>
                <w:szCs w:val="16"/>
              </w:rPr>
            </w:pPr>
            <w:r w:rsidRPr="00873B6C">
              <w:rPr>
                <w:sz w:val="16"/>
                <w:szCs w:val="16"/>
              </w:rPr>
              <w:t>17.6.0</w:t>
            </w:r>
          </w:p>
        </w:tc>
      </w:tr>
      <w:tr w:rsidR="006F101E" w:rsidRPr="00873B6C" w14:paraId="1530A264" w14:textId="77777777" w:rsidTr="009D14FB">
        <w:tc>
          <w:tcPr>
            <w:tcW w:w="800" w:type="dxa"/>
            <w:shd w:val="solid" w:color="FFFFFF" w:fill="auto"/>
          </w:tcPr>
          <w:p w14:paraId="4EE4B6F1" w14:textId="05D2835D"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374B24AD" w14:textId="780640A0"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58CAD49E" w14:textId="09342EB9" w:rsidR="006F101E" w:rsidRPr="00873B6C" w:rsidRDefault="006F101E" w:rsidP="00F84AAF">
            <w:pPr>
              <w:pStyle w:val="TAC"/>
              <w:rPr>
                <w:sz w:val="16"/>
                <w:szCs w:val="16"/>
              </w:rPr>
            </w:pPr>
            <w:r w:rsidRPr="00873B6C">
              <w:rPr>
                <w:sz w:val="16"/>
                <w:szCs w:val="16"/>
              </w:rPr>
              <w:t>SP-220787</w:t>
            </w:r>
          </w:p>
        </w:tc>
        <w:tc>
          <w:tcPr>
            <w:tcW w:w="567" w:type="dxa"/>
            <w:shd w:val="solid" w:color="FFFFFF" w:fill="auto"/>
          </w:tcPr>
          <w:p w14:paraId="784B8E15" w14:textId="2F884F46" w:rsidR="006F101E" w:rsidRPr="00873B6C" w:rsidRDefault="006F101E" w:rsidP="00F84AAF">
            <w:pPr>
              <w:pStyle w:val="TAL"/>
              <w:rPr>
                <w:sz w:val="16"/>
                <w:szCs w:val="16"/>
              </w:rPr>
            </w:pPr>
            <w:r w:rsidRPr="00873B6C">
              <w:rPr>
                <w:sz w:val="16"/>
                <w:szCs w:val="16"/>
              </w:rPr>
              <w:t>3698</w:t>
            </w:r>
          </w:p>
        </w:tc>
        <w:tc>
          <w:tcPr>
            <w:tcW w:w="425" w:type="dxa"/>
            <w:shd w:val="solid" w:color="FFFFFF" w:fill="auto"/>
          </w:tcPr>
          <w:p w14:paraId="0596AFEC" w14:textId="4CEC2C3A"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00E7A09E" w14:textId="384B92BC"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5109837F" w14:textId="78200CDF" w:rsidR="006F101E" w:rsidRPr="00873B6C" w:rsidRDefault="006F101E" w:rsidP="00F84AAF">
            <w:pPr>
              <w:pStyle w:val="TAL"/>
              <w:rPr>
                <w:sz w:val="16"/>
                <w:szCs w:val="16"/>
              </w:rPr>
            </w:pPr>
            <w:r w:rsidRPr="00873B6C">
              <w:rPr>
                <w:sz w:val="16"/>
                <w:szCs w:val="16"/>
              </w:rPr>
              <w:t>Clarification related to Inactive state</w:t>
            </w:r>
          </w:p>
        </w:tc>
        <w:tc>
          <w:tcPr>
            <w:tcW w:w="708" w:type="dxa"/>
            <w:shd w:val="solid" w:color="FFFFFF" w:fill="auto"/>
          </w:tcPr>
          <w:p w14:paraId="75067E85" w14:textId="37B3A048" w:rsidR="006F101E" w:rsidRPr="00873B6C" w:rsidRDefault="006F101E" w:rsidP="00F84AAF">
            <w:pPr>
              <w:pStyle w:val="TAC"/>
              <w:rPr>
                <w:sz w:val="16"/>
                <w:szCs w:val="16"/>
              </w:rPr>
            </w:pPr>
            <w:r w:rsidRPr="00873B6C">
              <w:rPr>
                <w:sz w:val="16"/>
                <w:szCs w:val="16"/>
              </w:rPr>
              <w:t>17.6.0</w:t>
            </w:r>
          </w:p>
        </w:tc>
      </w:tr>
      <w:tr w:rsidR="006F101E" w:rsidRPr="00873B6C" w14:paraId="6F7158C3" w14:textId="77777777" w:rsidTr="009D14FB">
        <w:tc>
          <w:tcPr>
            <w:tcW w:w="800" w:type="dxa"/>
            <w:shd w:val="solid" w:color="FFFFFF" w:fill="auto"/>
          </w:tcPr>
          <w:p w14:paraId="4290A419" w14:textId="6A6722BB"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41F42A00" w14:textId="11AC3D5F"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4EFC1073" w14:textId="05218B40" w:rsidR="006F101E" w:rsidRPr="00873B6C" w:rsidRDefault="006F101E" w:rsidP="00F84AAF">
            <w:pPr>
              <w:pStyle w:val="TAC"/>
              <w:rPr>
                <w:sz w:val="16"/>
                <w:szCs w:val="16"/>
              </w:rPr>
            </w:pPr>
            <w:r w:rsidRPr="00873B6C">
              <w:rPr>
                <w:sz w:val="16"/>
                <w:szCs w:val="16"/>
              </w:rPr>
              <w:t>SP-220785</w:t>
            </w:r>
          </w:p>
        </w:tc>
        <w:tc>
          <w:tcPr>
            <w:tcW w:w="567" w:type="dxa"/>
            <w:shd w:val="solid" w:color="FFFFFF" w:fill="auto"/>
          </w:tcPr>
          <w:p w14:paraId="370FEC70" w14:textId="5D466D64" w:rsidR="006F101E" w:rsidRPr="00873B6C" w:rsidRDefault="006F101E" w:rsidP="00F84AAF">
            <w:pPr>
              <w:pStyle w:val="TAL"/>
              <w:rPr>
                <w:sz w:val="16"/>
                <w:szCs w:val="16"/>
              </w:rPr>
            </w:pPr>
            <w:r w:rsidRPr="00873B6C">
              <w:rPr>
                <w:sz w:val="16"/>
                <w:szCs w:val="16"/>
              </w:rPr>
              <w:t>3700</w:t>
            </w:r>
          </w:p>
        </w:tc>
        <w:tc>
          <w:tcPr>
            <w:tcW w:w="425" w:type="dxa"/>
            <w:shd w:val="solid" w:color="FFFFFF" w:fill="auto"/>
          </w:tcPr>
          <w:p w14:paraId="78EE444C" w14:textId="239EB775"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67BF1FFA" w14:textId="25290D7D"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2A3AAA24" w14:textId="50C769DB" w:rsidR="006F101E" w:rsidRPr="00873B6C" w:rsidRDefault="006F101E" w:rsidP="00F84AAF">
            <w:pPr>
              <w:pStyle w:val="TAL"/>
              <w:rPr>
                <w:sz w:val="16"/>
                <w:szCs w:val="16"/>
              </w:rPr>
            </w:pPr>
            <w:r w:rsidRPr="00873B6C">
              <w:rPr>
                <w:sz w:val="16"/>
                <w:szCs w:val="16"/>
              </w:rPr>
              <w:t>Clarification related to emergency service</w:t>
            </w:r>
          </w:p>
        </w:tc>
        <w:tc>
          <w:tcPr>
            <w:tcW w:w="708" w:type="dxa"/>
            <w:shd w:val="solid" w:color="FFFFFF" w:fill="auto"/>
          </w:tcPr>
          <w:p w14:paraId="279DE545" w14:textId="51FB7BD2" w:rsidR="006F101E" w:rsidRPr="00873B6C" w:rsidRDefault="006F101E" w:rsidP="00F84AAF">
            <w:pPr>
              <w:pStyle w:val="TAC"/>
              <w:rPr>
                <w:sz w:val="16"/>
                <w:szCs w:val="16"/>
              </w:rPr>
            </w:pPr>
            <w:r w:rsidRPr="00873B6C">
              <w:rPr>
                <w:sz w:val="16"/>
                <w:szCs w:val="16"/>
              </w:rPr>
              <w:t>17.6.0</w:t>
            </w:r>
          </w:p>
        </w:tc>
      </w:tr>
      <w:tr w:rsidR="009C14A7" w:rsidRPr="00873B6C" w14:paraId="140E3F83" w14:textId="77777777" w:rsidTr="009D14FB">
        <w:tc>
          <w:tcPr>
            <w:tcW w:w="800" w:type="dxa"/>
            <w:shd w:val="solid" w:color="FFFFFF" w:fill="auto"/>
          </w:tcPr>
          <w:p w14:paraId="5CD01FE6" w14:textId="28A8F0EF" w:rsidR="009C14A7" w:rsidRPr="00873B6C" w:rsidRDefault="009C14A7" w:rsidP="009C14A7">
            <w:pPr>
              <w:pStyle w:val="TAC"/>
              <w:rPr>
                <w:sz w:val="16"/>
                <w:szCs w:val="16"/>
              </w:rPr>
            </w:pPr>
            <w:r w:rsidRPr="00873B6C">
              <w:rPr>
                <w:sz w:val="16"/>
                <w:szCs w:val="16"/>
              </w:rPr>
              <w:t>2022-12</w:t>
            </w:r>
          </w:p>
        </w:tc>
        <w:tc>
          <w:tcPr>
            <w:tcW w:w="800" w:type="dxa"/>
            <w:shd w:val="solid" w:color="FFFFFF" w:fill="auto"/>
          </w:tcPr>
          <w:p w14:paraId="37649166" w14:textId="6A2F6593" w:rsidR="009C14A7" w:rsidRPr="00873B6C" w:rsidRDefault="009C14A7" w:rsidP="009C14A7">
            <w:pPr>
              <w:pStyle w:val="TAL"/>
              <w:rPr>
                <w:sz w:val="16"/>
                <w:szCs w:val="16"/>
              </w:rPr>
            </w:pPr>
            <w:r w:rsidRPr="00873B6C">
              <w:rPr>
                <w:sz w:val="16"/>
                <w:szCs w:val="16"/>
              </w:rPr>
              <w:t>SP#98E</w:t>
            </w:r>
          </w:p>
        </w:tc>
        <w:tc>
          <w:tcPr>
            <w:tcW w:w="1094" w:type="dxa"/>
            <w:shd w:val="solid" w:color="FFFFFF" w:fill="auto"/>
          </w:tcPr>
          <w:p w14:paraId="282ABD8A" w14:textId="3758AF50" w:rsidR="009C14A7" w:rsidRPr="00873B6C" w:rsidRDefault="009C14A7" w:rsidP="009C14A7">
            <w:pPr>
              <w:pStyle w:val="TAC"/>
              <w:rPr>
                <w:sz w:val="16"/>
                <w:szCs w:val="16"/>
              </w:rPr>
            </w:pPr>
            <w:r w:rsidRPr="00873B6C">
              <w:rPr>
                <w:sz w:val="16"/>
                <w:szCs w:val="16"/>
              </w:rPr>
              <w:t>-</w:t>
            </w:r>
          </w:p>
        </w:tc>
        <w:tc>
          <w:tcPr>
            <w:tcW w:w="567" w:type="dxa"/>
            <w:shd w:val="solid" w:color="FFFFFF" w:fill="auto"/>
          </w:tcPr>
          <w:p w14:paraId="0AB6158D" w14:textId="2351A322" w:rsidR="009C14A7" w:rsidRPr="00873B6C" w:rsidRDefault="009C14A7" w:rsidP="009C14A7">
            <w:pPr>
              <w:pStyle w:val="TAL"/>
              <w:rPr>
                <w:sz w:val="16"/>
                <w:szCs w:val="16"/>
              </w:rPr>
            </w:pPr>
            <w:r w:rsidRPr="00873B6C">
              <w:rPr>
                <w:sz w:val="16"/>
                <w:szCs w:val="16"/>
              </w:rPr>
              <w:t>-</w:t>
            </w:r>
          </w:p>
        </w:tc>
        <w:tc>
          <w:tcPr>
            <w:tcW w:w="425" w:type="dxa"/>
            <w:shd w:val="solid" w:color="FFFFFF" w:fill="auto"/>
          </w:tcPr>
          <w:p w14:paraId="06658177" w14:textId="3501107C" w:rsidR="009C14A7" w:rsidRPr="00873B6C" w:rsidRDefault="009C14A7" w:rsidP="009C14A7">
            <w:pPr>
              <w:pStyle w:val="TAL"/>
              <w:rPr>
                <w:sz w:val="16"/>
                <w:szCs w:val="16"/>
              </w:rPr>
            </w:pPr>
            <w:r w:rsidRPr="00873B6C">
              <w:rPr>
                <w:sz w:val="16"/>
                <w:szCs w:val="16"/>
              </w:rPr>
              <w:t xml:space="preserve">- </w:t>
            </w:r>
          </w:p>
        </w:tc>
        <w:tc>
          <w:tcPr>
            <w:tcW w:w="425" w:type="dxa"/>
            <w:shd w:val="solid" w:color="FFFFFF" w:fill="auto"/>
          </w:tcPr>
          <w:p w14:paraId="7F247164" w14:textId="77F4EC3A" w:rsidR="009C14A7" w:rsidRPr="00873B6C" w:rsidRDefault="009C14A7" w:rsidP="009C14A7">
            <w:pPr>
              <w:pStyle w:val="TAL"/>
              <w:rPr>
                <w:sz w:val="16"/>
                <w:szCs w:val="16"/>
              </w:rPr>
            </w:pPr>
            <w:r w:rsidRPr="00873B6C">
              <w:rPr>
                <w:sz w:val="16"/>
                <w:szCs w:val="16"/>
              </w:rPr>
              <w:t>-</w:t>
            </w:r>
          </w:p>
        </w:tc>
        <w:tc>
          <w:tcPr>
            <w:tcW w:w="4820" w:type="dxa"/>
            <w:shd w:val="solid" w:color="FFFFFF" w:fill="auto"/>
          </w:tcPr>
          <w:p w14:paraId="341F0E41" w14:textId="3E7D56F9" w:rsidR="009C14A7" w:rsidRPr="00873B6C" w:rsidRDefault="009C14A7" w:rsidP="009C14A7">
            <w:pPr>
              <w:pStyle w:val="TAL"/>
              <w:rPr>
                <w:sz w:val="16"/>
                <w:szCs w:val="16"/>
              </w:rPr>
            </w:pPr>
            <w:r w:rsidRPr="00873B6C">
              <w:rPr>
                <w:sz w:val="16"/>
                <w:szCs w:val="16"/>
              </w:rPr>
              <w:t>MCC Correction to add missing N1 line to Figure 4.2.10-1</w:t>
            </w:r>
          </w:p>
        </w:tc>
        <w:tc>
          <w:tcPr>
            <w:tcW w:w="708" w:type="dxa"/>
            <w:shd w:val="solid" w:color="FFFFFF" w:fill="auto"/>
          </w:tcPr>
          <w:p w14:paraId="26729015" w14:textId="10A6EF93" w:rsidR="009C14A7" w:rsidRPr="00873B6C" w:rsidRDefault="009C14A7" w:rsidP="009C14A7">
            <w:pPr>
              <w:pStyle w:val="TAC"/>
              <w:rPr>
                <w:sz w:val="16"/>
                <w:szCs w:val="16"/>
              </w:rPr>
            </w:pPr>
            <w:r w:rsidRPr="00873B6C">
              <w:rPr>
                <w:sz w:val="16"/>
                <w:szCs w:val="16"/>
              </w:rPr>
              <w:t>17.7.0</w:t>
            </w:r>
          </w:p>
        </w:tc>
      </w:tr>
      <w:tr w:rsidR="005C1DEB" w:rsidRPr="00873B6C" w14:paraId="1AA15458" w14:textId="77777777" w:rsidTr="009D14FB">
        <w:tc>
          <w:tcPr>
            <w:tcW w:w="800" w:type="dxa"/>
            <w:shd w:val="solid" w:color="FFFFFF" w:fill="auto"/>
          </w:tcPr>
          <w:p w14:paraId="22DC66E9" w14:textId="3A2D66FF" w:rsidR="005C1DEB" w:rsidRPr="00873B6C" w:rsidRDefault="005C1DEB" w:rsidP="009C14A7">
            <w:pPr>
              <w:pStyle w:val="TAC"/>
              <w:rPr>
                <w:sz w:val="16"/>
                <w:szCs w:val="16"/>
              </w:rPr>
            </w:pPr>
            <w:r w:rsidRPr="00873B6C">
              <w:rPr>
                <w:sz w:val="16"/>
                <w:szCs w:val="16"/>
              </w:rPr>
              <w:t>2022-12</w:t>
            </w:r>
          </w:p>
        </w:tc>
        <w:tc>
          <w:tcPr>
            <w:tcW w:w="800" w:type="dxa"/>
            <w:shd w:val="solid" w:color="FFFFFF" w:fill="auto"/>
          </w:tcPr>
          <w:p w14:paraId="7C64BE40" w14:textId="7AD512DC" w:rsidR="005C1DEB" w:rsidRPr="00873B6C" w:rsidRDefault="005C1DEB" w:rsidP="009C14A7">
            <w:pPr>
              <w:pStyle w:val="TAL"/>
              <w:rPr>
                <w:sz w:val="16"/>
                <w:szCs w:val="16"/>
              </w:rPr>
            </w:pPr>
            <w:r w:rsidRPr="00873B6C">
              <w:rPr>
                <w:sz w:val="16"/>
                <w:szCs w:val="16"/>
              </w:rPr>
              <w:t>SP#98E</w:t>
            </w:r>
          </w:p>
        </w:tc>
        <w:tc>
          <w:tcPr>
            <w:tcW w:w="1094" w:type="dxa"/>
            <w:shd w:val="solid" w:color="FFFFFF" w:fill="auto"/>
          </w:tcPr>
          <w:p w14:paraId="3FE393A3" w14:textId="19263B19" w:rsidR="005C1DEB" w:rsidRPr="00873B6C" w:rsidRDefault="005C1DEB" w:rsidP="009C14A7">
            <w:pPr>
              <w:pStyle w:val="TAC"/>
              <w:rPr>
                <w:sz w:val="16"/>
                <w:szCs w:val="16"/>
              </w:rPr>
            </w:pPr>
            <w:r w:rsidRPr="00873B6C">
              <w:rPr>
                <w:sz w:val="16"/>
                <w:szCs w:val="16"/>
              </w:rPr>
              <w:t>SP-221079</w:t>
            </w:r>
          </w:p>
        </w:tc>
        <w:tc>
          <w:tcPr>
            <w:tcW w:w="567" w:type="dxa"/>
            <w:shd w:val="solid" w:color="FFFFFF" w:fill="auto"/>
          </w:tcPr>
          <w:p w14:paraId="18A3ADC2" w14:textId="555483B8" w:rsidR="005C1DEB" w:rsidRPr="00873B6C" w:rsidRDefault="005C1DEB" w:rsidP="009C14A7">
            <w:pPr>
              <w:pStyle w:val="TAL"/>
              <w:rPr>
                <w:sz w:val="16"/>
                <w:szCs w:val="16"/>
              </w:rPr>
            </w:pPr>
            <w:r w:rsidRPr="00873B6C">
              <w:rPr>
                <w:sz w:val="16"/>
                <w:szCs w:val="16"/>
              </w:rPr>
              <w:t>3583</w:t>
            </w:r>
          </w:p>
        </w:tc>
        <w:tc>
          <w:tcPr>
            <w:tcW w:w="425" w:type="dxa"/>
            <w:shd w:val="solid" w:color="FFFFFF" w:fill="auto"/>
          </w:tcPr>
          <w:p w14:paraId="5A4DA146" w14:textId="1B127530" w:rsidR="005C1DEB" w:rsidRPr="00873B6C" w:rsidRDefault="005C1DEB" w:rsidP="009C14A7">
            <w:pPr>
              <w:pStyle w:val="TAL"/>
              <w:rPr>
                <w:sz w:val="16"/>
                <w:szCs w:val="16"/>
              </w:rPr>
            </w:pPr>
            <w:r w:rsidRPr="00873B6C">
              <w:rPr>
                <w:sz w:val="16"/>
                <w:szCs w:val="16"/>
              </w:rPr>
              <w:t>4</w:t>
            </w:r>
          </w:p>
        </w:tc>
        <w:tc>
          <w:tcPr>
            <w:tcW w:w="425" w:type="dxa"/>
            <w:shd w:val="solid" w:color="FFFFFF" w:fill="auto"/>
          </w:tcPr>
          <w:p w14:paraId="6F30E44D" w14:textId="12ECAA80" w:rsidR="005C1DEB" w:rsidRPr="00873B6C" w:rsidRDefault="005C1DEB" w:rsidP="009C14A7">
            <w:pPr>
              <w:pStyle w:val="TAL"/>
              <w:rPr>
                <w:sz w:val="16"/>
                <w:szCs w:val="16"/>
              </w:rPr>
            </w:pPr>
            <w:r w:rsidRPr="00873B6C">
              <w:rPr>
                <w:sz w:val="16"/>
                <w:szCs w:val="16"/>
              </w:rPr>
              <w:t>F</w:t>
            </w:r>
          </w:p>
        </w:tc>
        <w:tc>
          <w:tcPr>
            <w:tcW w:w="4820" w:type="dxa"/>
            <w:shd w:val="solid" w:color="FFFFFF" w:fill="auto"/>
          </w:tcPr>
          <w:p w14:paraId="41B35110" w14:textId="1E944792" w:rsidR="005C1DEB" w:rsidRPr="00873B6C" w:rsidRDefault="005C1DEB" w:rsidP="009C14A7">
            <w:pPr>
              <w:pStyle w:val="TAL"/>
              <w:rPr>
                <w:sz w:val="16"/>
                <w:szCs w:val="16"/>
              </w:rPr>
            </w:pPr>
            <w:r w:rsidRPr="00873B6C">
              <w:rPr>
                <w:sz w:val="16"/>
                <w:szCs w:val="16"/>
              </w:rPr>
              <w:t>Clarification on Mapped NSSAI</w:t>
            </w:r>
          </w:p>
        </w:tc>
        <w:tc>
          <w:tcPr>
            <w:tcW w:w="708" w:type="dxa"/>
            <w:shd w:val="solid" w:color="FFFFFF" w:fill="auto"/>
          </w:tcPr>
          <w:p w14:paraId="1739ACA8" w14:textId="755E5165" w:rsidR="005C1DEB" w:rsidRPr="00873B6C" w:rsidRDefault="005C1DEB" w:rsidP="009C14A7">
            <w:pPr>
              <w:pStyle w:val="TAC"/>
              <w:rPr>
                <w:sz w:val="16"/>
                <w:szCs w:val="16"/>
              </w:rPr>
            </w:pPr>
            <w:r w:rsidRPr="00873B6C">
              <w:rPr>
                <w:sz w:val="16"/>
                <w:szCs w:val="16"/>
              </w:rPr>
              <w:t>17.7.0</w:t>
            </w:r>
          </w:p>
        </w:tc>
      </w:tr>
      <w:tr w:rsidR="005C1DEB" w:rsidRPr="00873B6C" w14:paraId="5C643ED4" w14:textId="77777777" w:rsidTr="009D14FB">
        <w:tc>
          <w:tcPr>
            <w:tcW w:w="800" w:type="dxa"/>
            <w:shd w:val="solid" w:color="FFFFFF" w:fill="auto"/>
          </w:tcPr>
          <w:p w14:paraId="08892B03" w14:textId="0CCB375E" w:rsidR="005C1DEB" w:rsidRPr="00873B6C" w:rsidRDefault="005C1DEB" w:rsidP="009C14A7">
            <w:pPr>
              <w:pStyle w:val="TAC"/>
              <w:rPr>
                <w:sz w:val="16"/>
                <w:szCs w:val="16"/>
              </w:rPr>
            </w:pPr>
            <w:r w:rsidRPr="00873B6C">
              <w:rPr>
                <w:sz w:val="16"/>
                <w:szCs w:val="16"/>
              </w:rPr>
              <w:t>2022-12</w:t>
            </w:r>
          </w:p>
        </w:tc>
        <w:tc>
          <w:tcPr>
            <w:tcW w:w="800" w:type="dxa"/>
            <w:shd w:val="solid" w:color="FFFFFF" w:fill="auto"/>
          </w:tcPr>
          <w:p w14:paraId="1143D8E6" w14:textId="6B17B749" w:rsidR="005C1DEB" w:rsidRPr="00873B6C" w:rsidRDefault="005C1DEB" w:rsidP="009C14A7">
            <w:pPr>
              <w:pStyle w:val="TAL"/>
              <w:rPr>
                <w:sz w:val="16"/>
                <w:szCs w:val="16"/>
              </w:rPr>
            </w:pPr>
            <w:r w:rsidRPr="00873B6C">
              <w:rPr>
                <w:sz w:val="16"/>
                <w:szCs w:val="16"/>
              </w:rPr>
              <w:t>SP#98E</w:t>
            </w:r>
          </w:p>
        </w:tc>
        <w:tc>
          <w:tcPr>
            <w:tcW w:w="1094" w:type="dxa"/>
            <w:shd w:val="solid" w:color="FFFFFF" w:fill="auto"/>
          </w:tcPr>
          <w:p w14:paraId="72E4BBFB" w14:textId="2FF3CF2D" w:rsidR="005C1DEB" w:rsidRPr="00873B6C" w:rsidRDefault="005C1DEB" w:rsidP="009C14A7">
            <w:pPr>
              <w:pStyle w:val="TAC"/>
              <w:rPr>
                <w:sz w:val="16"/>
                <w:szCs w:val="16"/>
              </w:rPr>
            </w:pPr>
            <w:r w:rsidRPr="00873B6C">
              <w:rPr>
                <w:sz w:val="16"/>
                <w:szCs w:val="16"/>
              </w:rPr>
              <w:t>SP-221069</w:t>
            </w:r>
          </w:p>
        </w:tc>
        <w:tc>
          <w:tcPr>
            <w:tcW w:w="567" w:type="dxa"/>
            <w:shd w:val="solid" w:color="FFFFFF" w:fill="auto"/>
          </w:tcPr>
          <w:p w14:paraId="4C0C7083" w14:textId="37AA7238" w:rsidR="005C1DEB" w:rsidRPr="00873B6C" w:rsidRDefault="005C1DEB" w:rsidP="009C14A7">
            <w:pPr>
              <w:pStyle w:val="TAL"/>
              <w:rPr>
                <w:sz w:val="16"/>
                <w:szCs w:val="16"/>
              </w:rPr>
            </w:pPr>
            <w:r w:rsidRPr="00873B6C">
              <w:rPr>
                <w:sz w:val="16"/>
                <w:szCs w:val="16"/>
              </w:rPr>
              <w:t>3634</w:t>
            </w:r>
          </w:p>
        </w:tc>
        <w:tc>
          <w:tcPr>
            <w:tcW w:w="425" w:type="dxa"/>
            <w:shd w:val="solid" w:color="FFFFFF" w:fill="auto"/>
          </w:tcPr>
          <w:p w14:paraId="144533D3" w14:textId="31842A2E" w:rsidR="005C1DEB" w:rsidRPr="00873B6C" w:rsidRDefault="005C1DEB" w:rsidP="009C14A7">
            <w:pPr>
              <w:pStyle w:val="TAL"/>
              <w:rPr>
                <w:sz w:val="16"/>
                <w:szCs w:val="16"/>
              </w:rPr>
            </w:pPr>
            <w:r w:rsidRPr="00873B6C">
              <w:rPr>
                <w:sz w:val="16"/>
                <w:szCs w:val="16"/>
              </w:rPr>
              <w:t>2</w:t>
            </w:r>
          </w:p>
        </w:tc>
        <w:tc>
          <w:tcPr>
            <w:tcW w:w="425" w:type="dxa"/>
            <w:shd w:val="solid" w:color="FFFFFF" w:fill="auto"/>
          </w:tcPr>
          <w:p w14:paraId="3DE1DE26" w14:textId="26691401" w:rsidR="005C1DEB" w:rsidRPr="00873B6C" w:rsidRDefault="005C1DEB" w:rsidP="009C14A7">
            <w:pPr>
              <w:pStyle w:val="TAL"/>
              <w:rPr>
                <w:sz w:val="16"/>
                <w:szCs w:val="16"/>
              </w:rPr>
            </w:pPr>
            <w:r w:rsidRPr="00873B6C">
              <w:rPr>
                <w:sz w:val="16"/>
                <w:szCs w:val="16"/>
              </w:rPr>
              <w:t>F</w:t>
            </w:r>
          </w:p>
        </w:tc>
        <w:tc>
          <w:tcPr>
            <w:tcW w:w="4820" w:type="dxa"/>
            <w:shd w:val="solid" w:color="FFFFFF" w:fill="auto"/>
          </w:tcPr>
          <w:p w14:paraId="1D142FFF" w14:textId="02213273" w:rsidR="005C1DEB" w:rsidRPr="00873B6C" w:rsidRDefault="005C1DEB" w:rsidP="009C14A7">
            <w:pPr>
              <w:pStyle w:val="TAL"/>
              <w:rPr>
                <w:sz w:val="16"/>
                <w:szCs w:val="16"/>
              </w:rPr>
            </w:pPr>
            <w:r w:rsidRPr="00873B6C">
              <w:rPr>
                <w:sz w:val="16"/>
                <w:szCs w:val="16"/>
              </w:rPr>
              <w:t>Correction to clarify role of PCC in authorization of EAS Discovery procedure with EASDF</w:t>
            </w:r>
          </w:p>
        </w:tc>
        <w:tc>
          <w:tcPr>
            <w:tcW w:w="708" w:type="dxa"/>
            <w:shd w:val="solid" w:color="FFFFFF" w:fill="auto"/>
          </w:tcPr>
          <w:p w14:paraId="2A821B76" w14:textId="6467F7C8" w:rsidR="005C1DEB" w:rsidRPr="00873B6C" w:rsidRDefault="005C1DEB" w:rsidP="009C14A7">
            <w:pPr>
              <w:pStyle w:val="TAC"/>
              <w:rPr>
                <w:sz w:val="16"/>
                <w:szCs w:val="16"/>
              </w:rPr>
            </w:pPr>
            <w:r w:rsidRPr="00873B6C">
              <w:rPr>
                <w:sz w:val="16"/>
                <w:szCs w:val="16"/>
              </w:rPr>
              <w:t>17.7.0</w:t>
            </w:r>
          </w:p>
        </w:tc>
      </w:tr>
      <w:tr w:rsidR="005C1DEB" w:rsidRPr="00873B6C" w14:paraId="6EF80BE3" w14:textId="77777777" w:rsidTr="009D14FB">
        <w:tc>
          <w:tcPr>
            <w:tcW w:w="800" w:type="dxa"/>
            <w:shd w:val="solid" w:color="FFFFFF" w:fill="auto"/>
          </w:tcPr>
          <w:p w14:paraId="13277C63" w14:textId="3CECE5FF" w:rsidR="005C1DEB" w:rsidRPr="00873B6C" w:rsidRDefault="005C1DEB" w:rsidP="009C14A7">
            <w:pPr>
              <w:pStyle w:val="TAC"/>
              <w:rPr>
                <w:sz w:val="16"/>
                <w:szCs w:val="16"/>
              </w:rPr>
            </w:pPr>
            <w:r w:rsidRPr="00873B6C">
              <w:rPr>
                <w:sz w:val="16"/>
                <w:szCs w:val="16"/>
              </w:rPr>
              <w:t>2022-12</w:t>
            </w:r>
          </w:p>
        </w:tc>
        <w:tc>
          <w:tcPr>
            <w:tcW w:w="800" w:type="dxa"/>
            <w:shd w:val="solid" w:color="FFFFFF" w:fill="auto"/>
          </w:tcPr>
          <w:p w14:paraId="6CDB8CD2" w14:textId="67403C14" w:rsidR="005C1DEB" w:rsidRPr="00873B6C" w:rsidRDefault="005C1DEB" w:rsidP="009C14A7">
            <w:pPr>
              <w:pStyle w:val="TAL"/>
              <w:rPr>
                <w:sz w:val="16"/>
                <w:szCs w:val="16"/>
              </w:rPr>
            </w:pPr>
            <w:r w:rsidRPr="00873B6C">
              <w:rPr>
                <w:sz w:val="16"/>
                <w:szCs w:val="16"/>
              </w:rPr>
              <w:t>SP#98E</w:t>
            </w:r>
          </w:p>
        </w:tc>
        <w:tc>
          <w:tcPr>
            <w:tcW w:w="1094" w:type="dxa"/>
            <w:shd w:val="solid" w:color="FFFFFF" w:fill="auto"/>
          </w:tcPr>
          <w:p w14:paraId="3DB65098" w14:textId="553CF836" w:rsidR="005C1DEB" w:rsidRPr="00873B6C" w:rsidRDefault="005C1DEB" w:rsidP="009C14A7">
            <w:pPr>
              <w:pStyle w:val="TAC"/>
              <w:rPr>
                <w:sz w:val="16"/>
                <w:szCs w:val="16"/>
              </w:rPr>
            </w:pPr>
            <w:r w:rsidRPr="00873B6C">
              <w:rPr>
                <w:sz w:val="16"/>
                <w:szCs w:val="16"/>
              </w:rPr>
              <w:t>SP-221080</w:t>
            </w:r>
          </w:p>
        </w:tc>
        <w:tc>
          <w:tcPr>
            <w:tcW w:w="567" w:type="dxa"/>
            <w:shd w:val="solid" w:color="FFFFFF" w:fill="auto"/>
          </w:tcPr>
          <w:p w14:paraId="163EBE3F" w14:textId="51018FF3" w:rsidR="005C1DEB" w:rsidRPr="00873B6C" w:rsidRDefault="005C1DEB" w:rsidP="009C14A7">
            <w:pPr>
              <w:pStyle w:val="TAL"/>
              <w:rPr>
                <w:sz w:val="16"/>
                <w:szCs w:val="16"/>
              </w:rPr>
            </w:pPr>
            <w:r w:rsidRPr="00873B6C">
              <w:rPr>
                <w:sz w:val="16"/>
                <w:szCs w:val="16"/>
              </w:rPr>
              <w:t>3663</w:t>
            </w:r>
          </w:p>
        </w:tc>
        <w:tc>
          <w:tcPr>
            <w:tcW w:w="425" w:type="dxa"/>
            <w:shd w:val="solid" w:color="FFFFFF" w:fill="auto"/>
          </w:tcPr>
          <w:p w14:paraId="0015475D" w14:textId="3F4B3B04" w:rsidR="005C1DEB" w:rsidRPr="00873B6C" w:rsidRDefault="005C1DEB" w:rsidP="009C14A7">
            <w:pPr>
              <w:pStyle w:val="TAL"/>
              <w:rPr>
                <w:sz w:val="16"/>
                <w:szCs w:val="16"/>
              </w:rPr>
            </w:pPr>
            <w:r w:rsidRPr="00873B6C">
              <w:rPr>
                <w:sz w:val="16"/>
                <w:szCs w:val="16"/>
              </w:rPr>
              <w:t>2</w:t>
            </w:r>
          </w:p>
        </w:tc>
        <w:tc>
          <w:tcPr>
            <w:tcW w:w="425" w:type="dxa"/>
            <w:shd w:val="solid" w:color="FFFFFF" w:fill="auto"/>
          </w:tcPr>
          <w:p w14:paraId="4B5F7168" w14:textId="310BD924" w:rsidR="005C1DEB" w:rsidRPr="00873B6C" w:rsidRDefault="005C1DEB" w:rsidP="009C14A7">
            <w:pPr>
              <w:pStyle w:val="TAL"/>
              <w:rPr>
                <w:sz w:val="16"/>
                <w:szCs w:val="16"/>
              </w:rPr>
            </w:pPr>
            <w:r w:rsidRPr="00873B6C">
              <w:rPr>
                <w:sz w:val="16"/>
                <w:szCs w:val="16"/>
              </w:rPr>
              <w:t>F</w:t>
            </w:r>
          </w:p>
        </w:tc>
        <w:tc>
          <w:tcPr>
            <w:tcW w:w="4820" w:type="dxa"/>
            <w:shd w:val="solid" w:color="FFFFFF" w:fill="auto"/>
          </w:tcPr>
          <w:p w14:paraId="278E8C95" w14:textId="4DDA77CD" w:rsidR="005C1DEB" w:rsidRPr="00873B6C" w:rsidRDefault="005C1DEB" w:rsidP="009C14A7">
            <w:pPr>
              <w:pStyle w:val="TAL"/>
              <w:rPr>
                <w:sz w:val="16"/>
                <w:szCs w:val="16"/>
              </w:rPr>
            </w:pPr>
            <w:r w:rsidRPr="00873B6C">
              <w:rPr>
                <w:sz w:val="16"/>
                <w:szCs w:val="16"/>
              </w:rPr>
              <w:t xml:space="preserve">Correction related to traffic correlation in PCC rule </w:t>
            </w:r>
          </w:p>
        </w:tc>
        <w:tc>
          <w:tcPr>
            <w:tcW w:w="708" w:type="dxa"/>
            <w:shd w:val="solid" w:color="FFFFFF" w:fill="auto"/>
          </w:tcPr>
          <w:p w14:paraId="22B40387" w14:textId="421759B0" w:rsidR="005C1DEB" w:rsidRPr="00873B6C" w:rsidRDefault="005C1DEB" w:rsidP="009C14A7">
            <w:pPr>
              <w:pStyle w:val="TAC"/>
              <w:rPr>
                <w:sz w:val="16"/>
                <w:szCs w:val="16"/>
              </w:rPr>
            </w:pPr>
            <w:r w:rsidRPr="00873B6C">
              <w:rPr>
                <w:sz w:val="16"/>
                <w:szCs w:val="16"/>
              </w:rPr>
              <w:t>17.7.0</w:t>
            </w:r>
          </w:p>
        </w:tc>
      </w:tr>
      <w:tr w:rsidR="005C1DEB" w:rsidRPr="00873B6C" w14:paraId="6D22EF22" w14:textId="77777777" w:rsidTr="009D14FB">
        <w:tc>
          <w:tcPr>
            <w:tcW w:w="800" w:type="dxa"/>
            <w:shd w:val="solid" w:color="FFFFFF" w:fill="auto"/>
          </w:tcPr>
          <w:p w14:paraId="69E0FDF7" w14:textId="703CD526" w:rsidR="005C1DEB" w:rsidRPr="00873B6C" w:rsidRDefault="005C1DEB" w:rsidP="009C14A7">
            <w:pPr>
              <w:pStyle w:val="TAC"/>
              <w:rPr>
                <w:sz w:val="16"/>
                <w:szCs w:val="16"/>
              </w:rPr>
            </w:pPr>
            <w:r w:rsidRPr="00873B6C">
              <w:rPr>
                <w:sz w:val="16"/>
                <w:szCs w:val="16"/>
              </w:rPr>
              <w:t>2022-12</w:t>
            </w:r>
          </w:p>
        </w:tc>
        <w:tc>
          <w:tcPr>
            <w:tcW w:w="800" w:type="dxa"/>
            <w:shd w:val="solid" w:color="FFFFFF" w:fill="auto"/>
          </w:tcPr>
          <w:p w14:paraId="777BCAB0" w14:textId="68C9FEED" w:rsidR="005C1DEB" w:rsidRPr="00873B6C" w:rsidRDefault="005C1DEB" w:rsidP="009C14A7">
            <w:pPr>
              <w:pStyle w:val="TAL"/>
              <w:rPr>
                <w:sz w:val="16"/>
                <w:szCs w:val="16"/>
              </w:rPr>
            </w:pPr>
            <w:r w:rsidRPr="00873B6C">
              <w:rPr>
                <w:sz w:val="16"/>
                <w:szCs w:val="16"/>
              </w:rPr>
              <w:t>SP#98E</w:t>
            </w:r>
          </w:p>
        </w:tc>
        <w:tc>
          <w:tcPr>
            <w:tcW w:w="1094" w:type="dxa"/>
            <w:shd w:val="solid" w:color="FFFFFF" w:fill="auto"/>
          </w:tcPr>
          <w:p w14:paraId="631BB999" w14:textId="4CC501A9" w:rsidR="005C1DEB" w:rsidRPr="00873B6C" w:rsidRDefault="005C1DEB" w:rsidP="009C14A7">
            <w:pPr>
              <w:pStyle w:val="TAC"/>
              <w:rPr>
                <w:sz w:val="16"/>
                <w:szCs w:val="16"/>
              </w:rPr>
            </w:pPr>
            <w:r w:rsidRPr="00873B6C">
              <w:rPr>
                <w:sz w:val="16"/>
                <w:szCs w:val="16"/>
              </w:rPr>
              <w:t>SP-221079</w:t>
            </w:r>
          </w:p>
        </w:tc>
        <w:tc>
          <w:tcPr>
            <w:tcW w:w="567" w:type="dxa"/>
            <w:shd w:val="solid" w:color="FFFFFF" w:fill="auto"/>
          </w:tcPr>
          <w:p w14:paraId="39ABFF92" w14:textId="080D137C" w:rsidR="005C1DEB" w:rsidRPr="00873B6C" w:rsidRDefault="005C1DEB" w:rsidP="009C14A7">
            <w:pPr>
              <w:pStyle w:val="TAL"/>
              <w:rPr>
                <w:sz w:val="16"/>
                <w:szCs w:val="16"/>
              </w:rPr>
            </w:pPr>
            <w:r w:rsidRPr="00873B6C">
              <w:rPr>
                <w:sz w:val="16"/>
                <w:szCs w:val="16"/>
              </w:rPr>
              <w:t>3673</w:t>
            </w:r>
          </w:p>
        </w:tc>
        <w:tc>
          <w:tcPr>
            <w:tcW w:w="425" w:type="dxa"/>
            <w:shd w:val="solid" w:color="FFFFFF" w:fill="auto"/>
          </w:tcPr>
          <w:p w14:paraId="1678477A" w14:textId="437B56B1" w:rsidR="005C1DEB" w:rsidRPr="00873B6C" w:rsidRDefault="005C1DEB" w:rsidP="009C14A7">
            <w:pPr>
              <w:pStyle w:val="TAL"/>
              <w:rPr>
                <w:sz w:val="16"/>
                <w:szCs w:val="16"/>
              </w:rPr>
            </w:pPr>
            <w:r w:rsidRPr="00873B6C">
              <w:rPr>
                <w:sz w:val="16"/>
                <w:szCs w:val="16"/>
              </w:rPr>
              <w:t>2</w:t>
            </w:r>
          </w:p>
        </w:tc>
        <w:tc>
          <w:tcPr>
            <w:tcW w:w="425" w:type="dxa"/>
            <w:shd w:val="solid" w:color="FFFFFF" w:fill="auto"/>
          </w:tcPr>
          <w:p w14:paraId="1F5AD915" w14:textId="061F8F4E" w:rsidR="005C1DEB" w:rsidRPr="00873B6C" w:rsidRDefault="005C1DEB" w:rsidP="009C14A7">
            <w:pPr>
              <w:pStyle w:val="TAL"/>
              <w:rPr>
                <w:sz w:val="16"/>
                <w:szCs w:val="16"/>
              </w:rPr>
            </w:pPr>
            <w:r w:rsidRPr="00873B6C">
              <w:rPr>
                <w:sz w:val="16"/>
                <w:szCs w:val="16"/>
              </w:rPr>
              <w:t>F</w:t>
            </w:r>
          </w:p>
        </w:tc>
        <w:tc>
          <w:tcPr>
            <w:tcW w:w="4820" w:type="dxa"/>
            <w:shd w:val="solid" w:color="FFFFFF" w:fill="auto"/>
          </w:tcPr>
          <w:p w14:paraId="7B46B239" w14:textId="5D0BC722" w:rsidR="005C1DEB" w:rsidRPr="00873B6C" w:rsidRDefault="005C1DEB" w:rsidP="009C14A7">
            <w:pPr>
              <w:pStyle w:val="TAL"/>
              <w:rPr>
                <w:sz w:val="16"/>
                <w:szCs w:val="16"/>
              </w:rPr>
            </w:pPr>
            <w:r w:rsidRPr="00873B6C">
              <w:rPr>
                <w:sz w:val="16"/>
                <w:szCs w:val="16"/>
              </w:rPr>
              <w:t>Mapped NSSAI alignment with stage-3</w:t>
            </w:r>
          </w:p>
        </w:tc>
        <w:tc>
          <w:tcPr>
            <w:tcW w:w="708" w:type="dxa"/>
            <w:shd w:val="solid" w:color="FFFFFF" w:fill="auto"/>
          </w:tcPr>
          <w:p w14:paraId="62302C5E" w14:textId="6F53D24C" w:rsidR="005C1DEB" w:rsidRPr="00873B6C" w:rsidRDefault="005C1DEB" w:rsidP="009C14A7">
            <w:pPr>
              <w:pStyle w:val="TAC"/>
              <w:rPr>
                <w:sz w:val="16"/>
                <w:szCs w:val="16"/>
              </w:rPr>
            </w:pPr>
            <w:r w:rsidRPr="00873B6C">
              <w:rPr>
                <w:sz w:val="16"/>
                <w:szCs w:val="16"/>
              </w:rPr>
              <w:t>17.7.0</w:t>
            </w:r>
          </w:p>
        </w:tc>
      </w:tr>
      <w:tr w:rsidR="0054498C" w:rsidRPr="00873B6C" w14:paraId="720D7AE0" w14:textId="77777777" w:rsidTr="009D14FB">
        <w:tc>
          <w:tcPr>
            <w:tcW w:w="800" w:type="dxa"/>
            <w:shd w:val="solid" w:color="FFFFFF" w:fill="auto"/>
          </w:tcPr>
          <w:p w14:paraId="23456AC1" w14:textId="0A2FCA08"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391D34FF" w14:textId="666642AF"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3086EE08" w14:textId="1F74C506" w:rsidR="0054498C" w:rsidRPr="00873B6C" w:rsidRDefault="0054498C" w:rsidP="009C14A7">
            <w:pPr>
              <w:pStyle w:val="TAC"/>
              <w:rPr>
                <w:sz w:val="16"/>
                <w:szCs w:val="16"/>
              </w:rPr>
            </w:pPr>
            <w:r w:rsidRPr="00873B6C">
              <w:rPr>
                <w:sz w:val="16"/>
                <w:szCs w:val="16"/>
              </w:rPr>
              <w:t>SP-221071</w:t>
            </w:r>
          </w:p>
        </w:tc>
        <w:tc>
          <w:tcPr>
            <w:tcW w:w="567" w:type="dxa"/>
            <w:shd w:val="solid" w:color="FFFFFF" w:fill="auto"/>
          </w:tcPr>
          <w:p w14:paraId="4366891D" w14:textId="74F02CDC" w:rsidR="0054498C" w:rsidRPr="00873B6C" w:rsidRDefault="0054498C" w:rsidP="009C14A7">
            <w:pPr>
              <w:pStyle w:val="TAL"/>
              <w:rPr>
                <w:sz w:val="16"/>
                <w:szCs w:val="16"/>
              </w:rPr>
            </w:pPr>
            <w:r w:rsidRPr="00873B6C">
              <w:rPr>
                <w:sz w:val="16"/>
                <w:szCs w:val="16"/>
              </w:rPr>
              <w:t>3675</w:t>
            </w:r>
          </w:p>
        </w:tc>
        <w:tc>
          <w:tcPr>
            <w:tcW w:w="425" w:type="dxa"/>
            <w:shd w:val="solid" w:color="FFFFFF" w:fill="auto"/>
          </w:tcPr>
          <w:p w14:paraId="4FA70011" w14:textId="3EFA2B88" w:rsidR="0054498C" w:rsidRPr="00873B6C" w:rsidRDefault="0054498C" w:rsidP="009C14A7">
            <w:pPr>
              <w:pStyle w:val="TAL"/>
              <w:rPr>
                <w:sz w:val="16"/>
                <w:szCs w:val="16"/>
              </w:rPr>
            </w:pPr>
            <w:r w:rsidRPr="00873B6C">
              <w:rPr>
                <w:sz w:val="16"/>
                <w:szCs w:val="16"/>
              </w:rPr>
              <w:t>2</w:t>
            </w:r>
          </w:p>
        </w:tc>
        <w:tc>
          <w:tcPr>
            <w:tcW w:w="425" w:type="dxa"/>
            <w:shd w:val="solid" w:color="FFFFFF" w:fill="auto"/>
          </w:tcPr>
          <w:p w14:paraId="54BA608B" w14:textId="1F2C4804"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0D16A292" w14:textId="4E7E1A80" w:rsidR="0054498C" w:rsidRPr="00873B6C" w:rsidRDefault="0054498C" w:rsidP="009C14A7">
            <w:pPr>
              <w:pStyle w:val="TAL"/>
              <w:rPr>
                <w:sz w:val="16"/>
                <w:szCs w:val="16"/>
              </w:rPr>
            </w:pPr>
            <w:r w:rsidRPr="00873B6C">
              <w:rPr>
                <w:sz w:val="16"/>
                <w:szCs w:val="16"/>
              </w:rPr>
              <w:t>Alignment with SA3 agreement on usage of SUCI when CH is legacy AAA</w:t>
            </w:r>
          </w:p>
        </w:tc>
        <w:tc>
          <w:tcPr>
            <w:tcW w:w="708" w:type="dxa"/>
            <w:shd w:val="solid" w:color="FFFFFF" w:fill="auto"/>
          </w:tcPr>
          <w:p w14:paraId="386767FF" w14:textId="4BBE5C9A" w:rsidR="0054498C" w:rsidRPr="00873B6C" w:rsidRDefault="0054498C" w:rsidP="009C14A7">
            <w:pPr>
              <w:pStyle w:val="TAC"/>
              <w:rPr>
                <w:sz w:val="16"/>
                <w:szCs w:val="16"/>
              </w:rPr>
            </w:pPr>
            <w:r w:rsidRPr="00873B6C">
              <w:rPr>
                <w:sz w:val="16"/>
                <w:szCs w:val="16"/>
              </w:rPr>
              <w:t>17.7.0</w:t>
            </w:r>
          </w:p>
        </w:tc>
      </w:tr>
      <w:tr w:rsidR="0054498C" w:rsidRPr="00873B6C" w14:paraId="0AA3BFD9" w14:textId="77777777" w:rsidTr="009D14FB">
        <w:tc>
          <w:tcPr>
            <w:tcW w:w="800" w:type="dxa"/>
            <w:shd w:val="solid" w:color="FFFFFF" w:fill="auto"/>
          </w:tcPr>
          <w:p w14:paraId="4C085822" w14:textId="4703ACC4"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7729FFFE" w14:textId="7307B93C"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214EA5D7" w14:textId="509862AD" w:rsidR="0054498C" w:rsidRPr="00873B6C" w:rsidRDefault="0054498C" w:rsidP="009C14A7">
            <w:pPr>
              <w:pStyle w:val="TAC"/>
              <w:rPr>
                <w:sz w:val="16"/>
                <w:szCs w:val="16"/>
              </w:rPr>
            </w:pPr>
            <w:r w:rsidRPr="00873B6C">
              <w:rPr>
                <w:sz w:val="16"/>
                <w:szCs w:val="16"/>
              </w:rPr>
              <w:t>SP-221072</w:t>
            </w:r>
          </w:p>
        </w:tc>
        <w:tc>
          <w:tcPr>
            <w:tcW w:w="567" w:type="dxa"/>
            <w:shd w:val="solid" w:color="FFFFFF" w:fill="auto"/>
          </w:tcPr>
          <w:p w14:paraId="613CF89A" w14:textId="6F2AC5D0" w:rsidR="0054498C" w:rsidRPr="00873B6C" w:rsidRDefault="0054498C" w:rsidP="009C14A7">
            <w:pPr>
              <w:pStyle w:val="TAL"/>
              <w:rPr>
                <w:sz w:val="16"/>
                <w:szCs w:val="16"/>
              </w:rPr>
            </w:pPr>
            <w:r w:rsidRPr="00873B6C">
              <w:rPr>
                <w:sz w:val="16"/>
                <w:szCs w:val="16"/>
              </w:rPr>
              <w:t>3693</w:t>
            </w:r>
          </w:p>
        </w:tc>
        <w:tc>
          <w:tcPr>
            <w:tcW w:w="425" w:type="dxa"/>
            <w:shd w:val="solid" w:color="FFFFFF" w:fill="auto"/>
          </w:tcPr>
          <w:p w14:paraId="7B1A216E" w14:textId="5D531755" w:rsidR="0054498C" w:rsidRPr="00873B6C" w:rsidRDefault="0054498C" w:rsidP="009C14A7">
            <w:pPr>
              <w:pStyle w:val="TAL"/>
              <w:rPr>
                <w:sz w:val="16"/>
                <w:szCs w:val="16"/>
              </w:rPr>
            </w:pPr>
            <w:r w:rsidRPr="00873B6C">
              <w:rPr>
                <w:sz w:val="16"/>
                <w:szCs w:val="16"/>
              </w:rPr>
              <w:t>2</w:t>
            </w:r>
          </w:p>
        </w:tc>
        <w:tc>
          <w:tcPr>
            <w:tcW w:w="425" w:type="dxa"/>
            <w:shd w:val="solid" w:color="FFFFFF" w:fill="auto"/>
          </w:tcPr>
          <w:p w14:paraId="348171F9" w14:textId="076B8BF5"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64FE1E6B" w14:textId="41FD2CEA" w:rsidR="0054498C" w:rsidRPr="00873B6C" w:rsidRDefault="0054498C" w:rsidP="009C14A7">
            <w:pPr>
              <w:pStyle w:val="TAL"/>
              <w:rPr>
                <w:sz w:val="16"/>
                <w:szCs w:val="16"/>
              </w:rPr>
            </w:pPr>
            <w:r w:rsidRPr="00873B6C">
              <w:rPr>
                <w:sz w:val="16"/>
                <w:szCs w:val="16"/>
              </w:rPr>
              <w:t>Pending NSSAI and NSSRG</w:t>
            </w:r>
          </w:p>
        </w:tc>
        <w:tc>
          <w:tcPr>
            <w:tcW w:w="708" w:type="dxa"/>
            <w:shd w:val="solid" w:color="FFFFFF" w:fill="auto"/>
          </w:tcPr>
          <w:p w14:paraId="03E1DB39" w14:textId="39E3E75B" w:rsidR="0054498C" w:rsidRPr="00873B6C" w:rsidRDefault="0054498C" w:rsidP="009C14A7">
            <w:pPr>
              <w:pStyle w:val="TAC"/>
              <w:rPr>
                <w:sz w:val="16"/>
                <w:szCs w:val="16"/>
              </w:rPr>
            </w:pPr>
            <w:r w:rsidRPr="00873B6C">
              <w:rPr>
                <w:sz w:val="16"/>
                <w:szCs w:val="16"/>
              </w:rPr>
              <w:t>17.7.0</w:t>
            </w:r>
          </w:p>
        </w:tc>
      </w:tr>
      <w:tr w:rsidR="0054498C" w:rsidRPr="00873B6C" w14:paraId="78111CA7" w14:textId="77777777" w:rsidTr="009D14FB">
        <w:tc>
          <w:tcPr>
            <w:tcW w:w="800" w:type="dxa"/>
            <w:shd w:val="solid" w:color="FFFFFF" w:fill="auto"/>
          </w:tcPr>
          <w:p w14:paraId="1BD7ABFB" w14:textId="438518B8"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3BED6F49" w14:textId="641233F7"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1ED318B7" w14:textId="6C3DDD15" w:rsidR="0054498C" w:rsidRPr="00873B6C" w:rsidRDefault="0054498C" w:rsidP="009C14A7">
            <w:pPr>
              <w:pStyle w:val="TAC"/>
              <w:rPr>
                <w:sz w:val="16"/>
                <w:szCs w:val="16"/>
              </w:rPr>
            </w:pPr>
            <w:r w:rsidRPr="00873B6C">
              <w:rPr>
                <w:sz w:val="16"/>
                <w:szCs w:val="16"/>
              </w:rPr>
              <w:t>SP-221080</w:t>
            </w:r>
          </w:p>
        </w:tc>
        <w:tc>
          <w:tcPr>
            <w:tcW w:w="567" w:type="dxa"/>
            <w:shd w:val="solid" w:color="FFFFFF" w:fill="auto"/>
          </w:tcPr>
          <w:p w14:paraId="2367EC1D" w14:textId="57BCFD13" w:rsidR="0054498C" w:rsidRPr="00873B6C" w:rsidRDefault="0054498C" w:rsidP="009C14A7">
            <w:pPr>
              <w:pStyle w:val="TAL"/>
              <w:rPr>
                <w:sz w:val="16"/>
                <w:szCs w:val="16"/>
              </w:rPr>
            </w:pPr>
            <w:r w:rsidRPr="00873B6C">
              <w:rPr>
                <w:sz w:val="16"/>
                <w:szCs w:val="16"/>
              </w:rPr>
              <w:t>3704</w:t>
            </w:r>
          </w:p>
        </w:tc>
        <w:tc>
          <w:tcPr>
            <w:tcW w:w="425" w:type="dxa"/>
            <w:shd w:val="solid" w:color="FFFFFF" w:fill="auto"/>
          </w:tcPr>
          <w:p w14:paraId="64D9E0E3" w14:textId="71AE171B"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159541D4" w14:textId="68C5FA70"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1A0B21EF" w14:textId="53944FEC" w:rsidR="0054498C" w:rsidRPr="00873B6C" w:rsidRDefault="0054498C" w:rsidP="009C14A7">
            <w:pPr>
              <w:pStyle w:val="TAL"/>
              <w:rPr>
                <w:sz w:val="16"/>
                <w:szCs w:val="16"/>
              </w:rPr>
            </w:pPr>
            <w:r w:rsidRPr="00873B6C">
              <w:rPr>
                <w:sz w:val="16"/>
                <w:szCs w:val="16"/>
              </w:rPr>
              <w:t>ULI with TAI for non-3GPP access</w:t>
            </w:r>
          </w:p>
        </w:tc>
        <w:tc>
          <w:tcPr>
            <w:tcW w:w="708" w:type="dxa"/>
            <w:shd w:val="solid" w:color="FFFFFF" w:fill="auto"/>
          </w:tcPr>
          <w:p w14:paraId="38217EFA" w14:textId="6487BFEE" w:rsidR="0054498C" w:rsidRPr="00873B6C" w:rsidRDefault="0054498C" w:rsidP="009C14A7">
            <w:pPr>
              <w:pStyle w:val="TAC"/>
              <w:rPr>
                <w:sz w:val="16"/>
                <w:szCs w:val="16"/>
              </w:rPr>
            </w:pPr>
            <w:r w:rsidRPr="00873B6C">
              <w:rPr>
                <w:sz w:val="16"/>
                <w:szCs w:val="16"/>
              </w:rPr>
              <w:t>17.7.0</w:t>
            </w:r>
          </w:p>
        </w:tc>
      </w:tr>
      <w:tr w:rsidR="0054498C" w:rsidRPr="00873B6C" w14:paraId="007B8759" w14:textId="77777777" w:rsidTr="009D14FB">
        <w:tc>
          <w:tcPr>
            <w:tcW w:w="800" w:type="dxa"/>
            <w:shd w:val="solid" w:color="FFFFFF" w:fill="auto"/>
          </w:tcPr>
          <w:p w14:paraId="3E0CA73E" w14:textId="1E0410D7"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0678D1FD" w14:textId="1D06C1BB"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641C8FEE" w14:textId="66CB0095" w:rsidR="0054498C" w:rsidRPr="00873B6C" w:rsidRDefault="0054498C" w:rsidP="009C14A7">
            <w:pPr>
              <w:pStyle w:val="TAC"/>
              <w:rPr>
                <w:sz w:val="16"/>
                <w:szCs w:val="16"/>
              </w:rPr>
            </w:pPr>
            <w:r w:rsidRPr="00873B6C">
              <w:rPr>
                <w:sz w:val="16"/>
                <w:szCs w:val="16"/>
              </w:rPr>
              <w:t>SP-221062</w:t>
            </w:r>
          </w:p>
        </w:tc>
        <w:tc>
          <w:tcPr>
            <w:tcW w:w="567" w:type="dxa"/>
            <w:shd w:val="solid" w:color="FFFFFF" w:fill="auto"/>
          </w:tcPr>
          <w:p w14:paraId="36CA8011" w14:textId="0D30FEEF" w:rsidR="0054498C" w:rsidRPr="00873B6C" w:rsidRDefault="0054498C" w:rsidP="009C14A7">
            <w:pPr>
              <w:pStyle w:val="TAL"/>
              <w:rPr>
                <w:sz w:val="16"/>
                <w:szCs w:val="16"/>
              </w:rPr>
            </w:pPr>
            <w:r w:rsidRPr="00873B6C">
              <w:rPr>
                <w:sz w:val="16"/>
                <w:szCs w:val="16"/>
              </w:rPr>
              <w:t>3709</w:t>
            </w:r>
          </w:p>
        </w:tc>
        <w:tc>
          <w:tcPr>
            <w:tcW w:w="425" w:type="dxa"/>
            <w:shd w:val="solid" w:color="FFFFFF" w:fill="auto"/>
          </w:tcPr>
          <w:p w14:paraId="119FE784" w14:textId="39D78BED" w:rsidR="0054498C" w:rsidRPr="00873B6C" w:rsidRDefault="0054498C" w:rsidP="009C14A7">
            <w:pPr>
              <w:pStyle w:val="TAL"/>
              <w:rPr>
                <w:sz w:val="16"/>
                <w:szCs w:val="16"/>
              </w:rPr>
            </w:pPr>
            <w:r w:rsidRPr="00873B6C">
              <w:rPr>
                <w:sz w:val="16"/>
                <w:szCs w:val="16"/>
              </w:rPr>
              <w:t xml:space="preserve">- </w:t>
            </w:r>
          </w:p>
        </w:tc>
        <w:tc>
          <w:tcPr>
            <w:tcW w:w="425" w:type="dxa"/>
            <w:shd w:val="solid" w:color="FFFFFF" w:fill="auto"/>
          </w:tcPr>
          <w:p w14:paraId="3E81768A" w14:textId="6BFB42E1" w:rsidR="0054498C" w:rsidRPr="00873B6C" w:rsidRDefault="0054498C" w:rsidP="009C14A7">
            <w:pPr>
              <w:pStyle w:val="TAL"/>
              <w:rPr>
                <w:sz w:val="16"/>
                <w:szCs w:val="16"/>
              </w:rPr>
            </w:pPr>
            <w:r w:rsidRPr="00873B6C">
              <w:rPr>
                <w:sz w:val="16"/>
                <w:szCs w:val="16"/>
              </w:rPr>
              <w:t>A</w:t>
            </w:r>
          </w:p>
        </w:tc>
        <w:tc>
          <w:tcPr>
            <w:tcW w:w="4820" w:type="dxa"/>
            <w:shd w:val="solid" w:color="FFFFFF" w:fill="auto"/>
          </w:tcPr>
          <w:p w14:paraId="07AD5FD5" w14:textId="70A79878" w:rsidR="0054498C" w:rsidRPr="00873B6C" w:rsidRDefault="0054498C" w:rsidP="009C14A7">
            <w:pPr>
              <w:pStyle w:val="TAL"/>
              <w:rPr>
                <w:sz w:val="16"/>
                <w:szCs w:val="16"/>
              </w:rPr>
            </w:pPr>
            <w:r w:rsidRPr="00873B6C">
              <w:rPr>
                <w:sz w:val="16"/>
                <w:szCs w:val="16"/>
              </w:rPr>
              <w:t>R17 Correction on TNGF functionality</w:t>
            </w:r>
          </w:p>
        </w:tc>
        <w:tc>
          <w:tcPr>
            <w:tcW w:w="708" w:type="dxa"/>
            <w:shd w:val="solid" w:color="FFFFFF" w:fill="auto"/>
          </w:tcPr>
          <w:p w14:paraId="21421DBC" w14:textId="2CD02B7B" w:rsidR="0054498C" w:rsidRPr="00873B6C" w:rsidRDefault="0054498C" w:rsidP="009C14A7">
            <w:pPr>
              <w:pStyle w:val="TAC"/>
              <w:rPr>
                <w:sz w:val="16"/>
                <w:szCs w:val="16"/>
              </w:rPr>
            </w:pPr>
            <w:r w:rsidRPr="00873B6C">
              <w:rPr>
                <w:sz w:val="16"/>
                <w:szCs w:val="16"/>
              </w:rPr>
              <w:t>17.7.0</w:t>
            </w:r>
          </w:p>
        </w:tc>
      </w:tr>
      <w:tr w:rsidR="0054498C" w:rsidRPr="00873B6C" w14:paraId="382FBADB" w14:textId="77777777" w:rsidTr="009D14FB">
        <w:tc>
          <w:tcPr>
            <w:tcW w:w="800" w:type="dxa"/>
            <w:shd w:val="solid" w:color="FFFFFF" w:fill="auto"/>
          </w:tcPr>
          <w:p w14:paraId="7CB5F6BA" w14:textId="1A20389B"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6BC73F7E" w14:textId="61284C00"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55DBC3C7" w14:textId="510F0A3D" w:rsidR="0054498C" w:rsidRPr="00873B6C" w:rsidRDefault="0054498C" w:rsidP="009C14A7">
            <w:pPr>
              <w:pStyle w:val="TAC"/>
              <w:rPr>
                <w:sz w:val="16"/>
                <w:szCs w:val="16"/>
              </w:rPr>
            </w:pPr>
            <w:r w:rsidRPr="00873B6C">
              <w:rPr>
                <w:sz w:val="16"/>
                <w:szCs w:val="16"/>
              </w:rPr>
              <w:t>SP-221079</w:t>
            </w:r>
          </w:p>
        </w:tc>
        <w:tc>
          <w:tcPr>
            <w:tcW w:w="567" w:type="dxa"/>
            <w:shd w:val="solid" w:color="FFFFFF" w:fill="auto"/>
          </w:tcPr>
          <w:p w14:paraId="6AF27EA2" w14:textId="2B5BFE83" w:rsidR="0054498C" w:rsidRPr="00873B6C" w:rsidRDefault="0054498C" w:rsidP="009C14A7">
            <w:pPr>
              <w:pStyle w:val="TAL"/>
              <w:rPr>
                <w:sz w:val="16"/>
                <w:szCs w:val="16"/>
              </w:rPr>
            </w:pPr>
            <w:r w:rsidRPr="00873B6C">
              <w:rPr>
                <w:sz w:val="16"/>
                <w:szCs w:val="16"/>
              </w:rPr>
              <w:t>3711</w:t>
            </w:r>
          </w:p>
        </w:tc>
        <w:tc>
          <w:tcPr>
            <w:tcW w:w="425" w:type="dxa"/>
            <w:shd w:val="solid" w:color="FFFFFF" w:fill="auto"/>
          </w:tcPr>
          <w:p w14:paraId="73F108C8" w14:textId="3FDE0B48"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00EACB49" w14:textId="3AB678BD"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4A854EEA" w14:textId="6CA47DBD" w:rsidR="0054498C" w:rsidRPr="00873B6C" w:rsidRDefault="0054498C" w:rsidP="009C14A7">
            <w:pPr>
              <w:pStyle w:val="TAL"/>
              <w:rPr>
                <w:sz w:val="16"/>
                <w:szCs w:val="16"/>
              </w:rPr>
            </w:pPr>
            <w:r w:rsidRPr="00873B6C">
              <w:rPr>
                <w:sz w:val="16"/>
                <w:szCs w:val="16"/>
              </w:rPr>
              <w:t>Emergency PDU session transfer</w:t>
            </w:r>
          </w:p>
        </w:tc>
        <w:tc>
          <w:tcPr>
            <w:tcW w:w="708" w:type="dxa"/>
            <w:shd w:val="solid" w:color="FFFFFF" w:fill="auto"/>
          </w:tcPr>
          <w:p w14:paraId="773144F7" w14:textId="53A9DD52" w:rsidR="0054498C" w:rsidRPr="00873B6C" w:rsidRDefault="0054498C" w:rsidP="009C14A7">
            <w:pPr>
              <w:pStyle w:val="TAC"/>
              <w:rPr>
                <w:sz w:val="16"/>
                <w:szCs w:val="16"/>
              </w:rPr>
            </w:pPr>
            <w:r w:rsidRPr="00873B6C">
              <w:rPr>
                <w:sz w:val="16"/>
                <w:szCs w:val="16"/>
              </w:rPr>
              <w:t>17.7.0</w:t>
            </w:r>
          </w:p>
        </w:tc>
      </w:tr>
      <w:tr w:rsidR="0054498C" w:rsidRPr="00873B6C" w14:paraId="385446CD" w14:textId="77777777" w:rsidTr="009D14FB">
        <w:tc>
          <w:tcPr>
            <w:tcW w:w="800" w:type="dxa"/>
            <w:shd w:val="solid" w:color="FFFFFF" w:fill="auto"/>
          </w:tcPr>
          <w:p w14:paraId="155066D3" w14:textId="142CEFD5"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48856D64" w14:textId="1AF96B30"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41C26CC5" w14:textId="74A8D09D" w:rsidR="0054498C" w:rsidRPr="00873B6C" w:rsidRDefault="0054498C" w:rsidP="009C14A7">
            <w:pPr>
              <w:pStyle w:val="TAC"/>
              <w:rPr>
                <w:sz w:val="16"/>
                <w:szCs w:val="16"/>
              </w:rPr>
            </w:pPr>
            <w:r w:rsidRPr="00873B6C">
              <w:rPr>
                <w:sz w:val="16"/>
                <w:szCs w:val="16"/>
              </w:rPr>
              <w:t>SP-221079</w:t>
            </w:r>
          </w:p>
        </w:tc>
        <w:tc>
          <w:tcPr>
            <w:tcW w:w="567" w:type="dxa"/>
            <w:shd w:val="solid" w:color="FFFFFF" w:fill="auto"/>
          </w:tcPr>
          <w:p w14:paraId="5AD39A6E" w14:textId="7295FB36" w:rsidR="0054498C" w:rsidRPr="00873B6C" w:rsidRDefault="0054498C" w:rsidP="009C14A7">
            <w:pPr>
              <w:pStyle w:val="TAL"/>
              <w:rPr>
                <w:sz w:val="16"/>
                <w:szCs w:val="16"/>
              </w:rPr>
            </w:pPr>
            <w:r w:rsidRPr="00873B6C">
              <w:rPr>
                <w:sz w:val="16"/>
                <w:szCs w:val="16"/>
              </w:rPr>
              <w:t>3712</w:t>
            </w:r>
          </w:p>
        </w:tc>
        <w:tc>
          <w:tcPr>
            <w:tcW w:w="425" w:type="dxa"/>
            <w:shd w:val="solid" w:color="FFFFFF" w:fill="auto"/>
          </w:tcPr>
          <w:p w14:paraId="02D85823" w14:textId="09C3DE74"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40B9F8F4" w14:textId="51AC076B"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39907200" w14:textId="18ADEDF2" w:rsidR="0054498C" w:rsidRPr="00873B6C" w:rsidRDefault="0054498C" w:rsidP="009C14A7">
            <w:pPr>
              <w:pStyle w:val="TAL"/>
              <w:rPr>
                <w:sz w:val="16"/>
                <w:szCs w:val="16"/>
              </w:rPr>
            </w:pPr>
            <w:r w:rsidRPr="00873B6C">
              <w:rPr>
                <w:sz w:val="16"/>
                <w:szCs w:val="16"/>
              </w:rPr>
              <w:t>Monitoring event in 5GS to EPS mobility</w:t>
            </w:r>
          </w:p>
        </w:tc>
        <w:tc>
          <w:tcPr>
            <w:tcW w:w="708" w:type="dxa"/>
            <w:shd w:val="solid" w:color="FFFFFF" w:fill="auto"/>
          </w:tcPr>
          <w:p w14:paraId="75722DCF" w14:textId="5833EE14" w:rsidR="0054498C" w:rsidRPr="00873B6C" w:rsidRDefault="0054498C" w:rsidP="009C14A7">
            <w:pPr>
              <w:pStyle w:val="TAC"/>
              <w:rPr>
                <w:sz w:val="16"/>
                <w:szCs w:val="16"/>
              </w:rPr>
            </w:pPr>
            <w:r w:rsidRPr="00873B6C">
              <w:rPr>
                <w:sz w:val="16"/>
                <w:szCs w:val="16"/>
              </w:rPr>
              <w:t>17.7.0</w:t>
            </w:r>
          </w:p>
        </w:tc>
      </w:tr>
      <w:tr w:rsidR="0054498C" w:rsidRPr="00873B6C" w14:paraId="66D157E3" w14:textId="77777777" w:rsidTr="009D14FB">
        <w:tc>
          <w:tcPr>
            <w:tcW w:w="800" w:type="dxa"/>
            <w:shd w:val="solid" w:color="FFFFFF" w:fill="auto"/>
          </w:tcPr>
          <w:p w14:paraId="2D34C738" w14:textId="082595B5"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5CCB7E0E" w14:textId="24ECE5FF"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05AFD075" w14:textId="2892C42C" w:rsidR="0054498C" w:rsidRPr="00873B6C" w:rsidRDefault="0054498C" w:rsidP="009C14A7">
            <w:pPr>
              <w:pStyle w:val="TAC"/>
              <w:rPr>
                <w:sz w:val="16"/>
                <w:szCs w:val="16"/>
              </w:rPr>
            </w:pPr>
            <w:r w:rsidRPr="00873B6C">
              <w:rPr>
                <w:sz w:val="16"/>
                <w:szCs w:val="16"/>
              </w:rPr>
              <w:t>SP-221071</w:t>
            </w:r>
          </w:p>
        </w:tc>
        <w:tc>
          <w:tcPr>
            <w:tcW w:w="567" w:type="dxa"/>
            <w:shd w:val="solid" w:color="FFFFFF" w:fill="auto"/>
          </w:tcPr>
          <w:p w14:paraId="44DCC529" w14:textId="5B9C13DB" w:rsidR="0054498C" w:rsidRPr="00873B6C" w:rsidRDefault="0054498C" w:rsidP="009C14A7">
            <w:pPr>
              <w:pStyle w:val="TAL"/>
              <w:rPr>
                <w:sz w:val="16"/>
                <w:szCs w:val="16"/>
              </w:rPr>
            </w:pPr>
            <w:r w:rsidRPr="00873B6C">
              <w:rPr>
                <w:sz w:val="16"/>
                <w:szCs w:val="16"/>
              </w:rPr>
              <w:t>3731</w:t>
            </w:r>
          </w:p>
        </w:tc>
        <w:tc>
          <w:tcPr>
            <w:tcW w:w="425" w:type="dxa"/>
            <w:shd w:val="solid" w:color="FFFFFF" w:fill="auto"/>
          </w:tcPr>
          <w:p w14:paraId="6484999F" w14:textId="177BDB29"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4E065FE6" w14:textId="032AF69A"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6599CD0C" w14:textId="0413BC84" w:rsidR="0054498C" w:rsidRPr="00873B6C" w:rsidRDefault="0054498C" w:rsidP="009C14A7">
            <w:pPr>
              <w:pStyle w:val="TAL"/>
              <w:rPr>
                <w:sz w:val="16"/>
                <w:szCs w:val="16"/>
              </w:rPr>
            </w:pPr>
            <w:r w:rsidRPr="00873B6C">
              <w:rPr>
                <w:sz w:val="16"/>
                <w:szCs w:val="16"/>
              </w:rPr>
              <w:t>Clarification when access SNPN using CH with AAA-S</w:t>
            </w:r>
          </w:p>
        </w:tc>
        <w:tc>
          <w:tcPr>
            <w:tcW w:w="708" w:type="dxa"/>
            <w:shd w:val="solid" w:color="FFFFFF" w:fill="auto"/>
          </w:tcPr>
          <w:p w14:paraId="585C4509" w14:textId="4F49BB67" w:rsidR="0054498C" w:rsidRPr="00873B6C" w:rsidRDefault="0054498C" w:rsidP="009C14A7">
            <w:pPr>
              <w:pStyle w:val="TAC"/>
              <w:rPr>
                <w:sz w:val="16"/>
                <w:szCs w:val="16"/>
              </w:rPr>
            </w:pPr>
            <w:r w:rsidRPr="00873B6C">
              <w:rPr>
                <w:sz w:val="16"/>
                <w:szCs w:val="16"/>
              </w:rPr>
              <w:t>17.7.0</w:t>
            </w:r>
          </w:p>
        </w:tc>
      </w:tr>
      <w:tr w:rsidR="0054498C" w:rsidRPr="00873B6C" w14:paraId="487EA4C1" w14:textId="77777777" w:rsidTr="009D14FB">
        <w:tc>
          <w:tcPr>
            <w:tcW w:w="800" w:type="dxa"/>
            <w:shd w:val="solid" w:color="FFFFFF" w:fill="auto"/>
          </w:tcPr>
          <w:p w14:paraId="7089F27E" w14:textId="3D8359A7"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7728D125" w14:textId="731337D4"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73EC5E91" w14:textId="52C29F8D" w:rsidR="0054498C" w:rsidRPr="00873B6C" w:rsidRDefault="0054498C" w:rsidP="009C14A7">
            <w:pPr>
              <w:pStyle w:val="TAC"/>
              <w:rPr>
                <w:sz w:val="16"/>
                <w:szCs w:val="16"/>
              </w:rPr>
            </w:pPr>
            <w:r w:rsidRPr="00873B6C">
              <w:rPr>
                <w:sz w:val="16"/>
                <w:szCs w:val="16"/>
              </w:rPr>
              <w:t>SP-221080</w:t>
            </w:r>
          </w:p>
        </w:tc>
        <w:tc>
          <w:tcPr>
            <w:tcW w:w="567" w:type="dxa"/>
            <w:shd w:val="solid" w:color="FFFFFF" w:fill="auto"/>
          </w:tcPr>
          <w:p w14:paraId="4DF4D0B1" w14:textId="2A52E298" w:rsidR="0054498C" w:rsidRPr="00873B6C" w:rsidRDefault="0054498C" w:rsidP="009C14A7">
            <w:pPr>
              <w:pStyle w:val="TAL"/>
              <w:rPr>
                <w:sz w:val="16"/>
                <w:szCs w:val="16"/>
              </w:rPr>
            </w:pPr>
            <w:r w:rsidRPr="00873B6C">
              <w:rPr>
                <w:sz w:val="16"/>
                <w:szCs w:val="16"/>
              </w:rPr>
              <w:t>3742</w:t>
            </w:r>
          </w:p>
        </w:tc>
        <w:tc>
          <w:tcPr>
            <w:tcW w:w="425" w:type="dxa"/>
            <w:shd w:val="solid" w:color="FFFFFF" w:fill="auto"/>
          </w:tcPr>
          <w:p w14:paraId="43F7056B" w14:textId="490814D0"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7697C205" w14:textId="3DF67A73"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36FB2617" w14:textId="129F54DD" w:rsidR="0054498C" w:rsidRPr="00873B6C" w:rsidRDefault="0054498C" w:rsidP="009C14A7">
            <w:pPr>
              <w:pStyle w:val="TAL"/>
              <w:rPr>
                <w:sz w:val="16"/>
                <w:szCs w:val="16"/>
              </w:rPr>
            </w:pPr>
            <w:r w:rsidRPr="00873B6C">
              <w:rPr>
                <w:sz w:val="16"/>
                <w:szCs w:val="16"/>
              </w:rPr>
              <w:t>Correction of reference for RedCap indication from UE</w:t>
            </w:r>
          </w:p>
        </w:tc>
        <w:tc>
          <w:tcPr>
            <w:tcW w:w="708" w:type="dxa"/>
            <w:shd w:val="solid" w:color="FFFFFF" w:fill="auto"/>
          </w:tcPr>
          <w:p w14:paraId="5BF105F6" w14:textId="297A60A9" w:rsidR="0054498C" w:rsidRPr="00873B6C" w:rsidRDefault="0054498C" w:rsidP="009C14A7">
            <w:pPr>
              <w:pStyle w:val="TAC"/>
              <w:rPr>
                <w:sz w:val="16"/>
                <w:szCs w:val="16"/>
              </w:rPr>
            </w:pPr>
            <w:r w:rsidRPr="00873B6C">
              <w:rPr>
                <w:sz w:val="16"/>
                <w:szCs w:val="16"/>
              </w:rPr>
              <w:t>17.7.0</w:t>
            </w:r>
          </w:p>
        </w:tc>
      </w:tr>
      <w:tr w:rsidR="0054498C" w:rsidRPr="00873B6C" w14:paraId="15E9D1C3" w14:textId="77777777" w:rsidTr="009D14FB">
        <w:tc>
          <w:tcPr>
            <w:tcW w:w="800" w:type="dxa"/>
            <w:shd w:val="solid" w:color="FFFFFF" w:fill="auto"/>
          </w:tcPr>
          <w:p w14:paraId="5C510931" w14:textId="4620E155"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2BDA8CE5" w14:textId="76715C42"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7A5BFCD6" w14:textId="4E65BDFE" w:rsidR="0054498C" w:rsidRPr="00873B6C" w:rsidRDefault="0054498C" w:rsidP="009C14A7">
            <w:pPr>
              <w:pStyle w:val="TAC"/>
              <w:rPr>
                <w:sz w:val="16"/>
                <w:szCs w:val="16"/>
              </w:rPr>
            </w:pPr>
            <w:r w:rsidRPr="00873B6C">
              <w:rPr>
                <w:sz w:val="16"/>
                <w:szCs w:val="16"/>
              </w:rPr>
              <w:t>SP-221079</w:t>
            </w:r>
          </w:p>
        </w:tc>
        <w:tc>
          <w:tcPr>
            <w:tcW w:w="567" w:type="dxa"/>
            <w:shd w:val="solid" w:color="FFFFFF" w:fill="auto"/>
          </w:tcPr>
          <w:p w14:paraId="35FFA12B" w14:textId="51B08BF9" w:rsidR="0054498C" w:rsidRPr="00873B6C" w:rsidRDefault="0054498C" w:rsidP="009C14A7">
            <w:pPr>
              <w:pStyle w:val="TAL"/>
              <w:rPr>
                <w:sz w:val="16"/>
                <w:szCs w:val="16"/>
              </w:rPr>
            </w:pPr>
            <w:r w:rsidRPr="00873B6C">
              <w:rPr>
                <w:sz w:val="16"/>
                <w:szCs w:val="16"/>
              </w:rPr>
              <w:t>3747</w:t>
            </w:r>
          </w:p>
        </w:tc>
        <w:tc>
          <w:tcPr>
            <w:tcW w:w="425" w:type="dxa"/>
            <w:shd w:val="solid" w:color="FFFFFF" w:fill="auto"/>
          </w:tcPr>
          <w:p w14:paraId="2AD6B92D" w14:textId="1E539413"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0A8AC2ED" w14:textId="333AB38F"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0864ADD5" w14:textId="2977AC48" w:rsidR="0054498C" w:rsidRPr="00873B6C" w:rsidRDefault="0054498C" w:rsidP="009C14A7">
            <w:pPr>
              <w:pStyle w:val="TAL"/>
              <w:rPr>
                <w:sz w:val="16"/>
                <w:szCs w:val="16"/>
              </w:rPr>
            </w:pPr>
            <w:r w:rsidRPr="00873B6C">
              <w:rPr>
                <w:sz w:val="16"/>
                <w:szCs w:val="16"/>
              </w:rPr>
              <w:t>Correction on conditions for using SPI for UE derived QoS rules</w:t>
            </w:r>
          </w:p>
        </w:tc>
        <w:tc>
          <w:tcPr>
            <w:tcW w:w="708" w:type="dxa"/>
            <w:shd w:val="solid" w:color="FFFFFF" w:fill="auto"/>
          </w:tcPr>
          <w:p w14:paraId="196D6C8B" w14:textId="08A1CB94" w:rsidR="0054498C" w:rsidRPr="00873B6C" w:rsidRDefault="0054498C" w:rsidP="009C14A7">
            <w:pPr>
              <w:pStyle w:val="TAC"/>
              <w:rPr>
                <w:sz w:val="16"/>
                <w:szCs w:val="16"/>
              </w:rPr>
            </w:pPr>
            <w:r w:rsidRPr="00873B6C">
              <w:rPr>
                <w:sz w:val="16"/>
                <w:szCs w:val="16"/>
              </w:rPr>
              <w:t>17.7.0</w:t>
            </w:r>
          </w:p>
        </w:tc>
      </w:tr>
      <w:tr w:rsidR="0054498C" w:rsidRPr="00873B6C" w14:paraId="659BB688" w14:textId="77777777" w:rsidTr="009D14FB">
        <w:tc>
          <w:tcPr>
            <w:tcW w:w="800" w:type="dxa"/>
            <w:shd w:val="solid" w:color="FFFFFF" w:fill="auto"/>
          </w:tcPr>
          <w:p w14:paraId="0D71ACDE" w14:textId="21B65CB2"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5D017000" w14:textId="6C0ED19B"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1B32A86A" w14:textId="3B9424F7" w:rsidR="0054498C" w:rsidRPr="00873B6C" w:rsidRDefault="0054498C" w:rsidP="009C14A7">
            <w:pPr>
              <w:pStyle w:val="TAC"/>
              <w:rPr>
                <w:sz w:val="16"/>
                <w:szCs w:val="16"/>
              </w:rPr>
            </w:pPr>
            <w:r w:rsidRPr="00873B6C">
              <w:rPr>
                <w:sz w:val="16"/>
                <w:szCs w:val="16"/>
              </w:rPr>
              <w:t>SP-221066</w:t>
            </w:r>
          </w:p>
        </w:tc>
        <w:tc>
          <w:tcPr>
            <w:tcW w:w="567" w:type="dxa"/>
            <w:shd w:val="solid" w:color="FFFFFF" w:fill="auto"/>
          </w:tcPr>
          <w:p w14:paraId="01739A04" w14:textId="4E049AA7" w:rsidR="0054498C" w:rsidRPr="00873B6C" w:rsidRDefault="0054498C" w:rsidP="009C14A7">
            <w:pPr>
              <w:pStyle w:val="TAL"/>
              <w:rPr>
                <w:sz w:val="16"/>
                <w:szCs w:val="16"/>
              </w:rPr>
            </w:pPr>
            <w:r w:rsidRPr="00873B6C">
              <w:rPr>
                <w:sz w:val="16"/>
                <w:szCs w:val="16"/>
              </w:rPr>
              <w:t>3801</w:t>
            </w:r>
          </w:p>
        </w:tc>
        <w:tc>
          <w:tcPr>
            <w:tcW w:w="425" w:type="dxa"/>
            <w:shd w:val="solid" w:color="FFFFFF" w:fill="auto"/>
          </w:tcPr>
          <w:p w14:paraId="4AE84513" w14:textId="23D65DE2" w:rsidR="0054498C" w:rsidRPr="00873B6C" w:rsidRDefault="0054498C" w:rsidP="009C14A7">
            <w:pPr>
              <w:pStyle w:val="TAL"/>
              <w:rPr>
                <w:sz w:val="16"/>
                <w:szCs w:val="16"/>
              </w:rPr>
            </w:pPr>
            <w:r w:rsidRPr="00873B6C">
              <w:rPr>
                <w:sz w:val="16"/>
                <w:szCs w:val="16"/>
              </w:rPr>
              <w:t>2</w:t>
            </w:r>
          </w:p>
        </w:tc>
        <w:tc>
          <w:tcPr>
            <w:tcW w:w="425" w:type="dxa"/>
            <w:shd w:val="solid" w:color="FFFFFF" w:fill="auto"/>
          </w:tcPr>
          <w:p w14:paraId="4BAEB787" w14:textId="3214FD31"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08C3A23E" w14:textId="02AEF227" w:rsidR="0054498C" w:rsidRPr="00873B6C" w:rsidRDefault="0054498C" w:rsidP="009C14A7">
            <w:pPr>
              <w:pStyle w:val="TAL"/>
              <w:rPr>
                <w:sz w:val="16"/>
                <w:szCs w:val="16"/>
              </w:rPr>
            </w:pPr>
            <w:r w:rsidRPr="00873B6C">
              <w:rPr>
                <w:sz w:val="16"/>
                <w:szCs w:val="16"/>
              </w:rPr>
              <w:t>NSAG Information validation in Equivalent PLMN</w:t>
            </w:r>
          </w:p>
        </w:tc>
        <w:tc>
          <w:tcPr>
            <w:tcW w:w="708" w:type="dxa"/>
            <w:shd w:val="solid" w:color="FFFFFF" w:fill="auto"/>
          </w:tcPr>
          <w:p w14:paraId="5433E316" w14:textId="51E6C6B4" w:rsidR="0054498C" w:rsidRPr="00873B6C" w:rsidRDefault="0054498C" w:rsidP="009C14A7">
            <w:pPr>
              <w:pStyle w:val="TAC"/>
              <w:rPr>
                <w:sz w:val="16"/>
                <w:szCs w:val="16"/>
              </w:rPr>
            </w:pPr>
            <w:r w:rsidRPr="00873B6C">
              <w:rPr>
                <w:sz w:val="16"/>
                <w:szCs w:val="16"/>
              </w:rPr>
              <w:t>17.7.0</w:t>
            </w:r>
          </w:p>
        </w:tc>
      </w:tr>
      <w:tr w:rsidR="0069561D" w:rsidRPr="00873B6C" w14:paraId="672947BA" w14:textId="77777777" w:rsidTr="009D14FB">
        <w:tc>
          <w:tcPr>
            <w:tcW w:w="800" w:type="dxa"/>
            <w:shd w:val="solid" w:color="FFFFFF" w:fill="auto"/>
          </w:tcPr>
          <w:p w14:paraId="252E3BC1" w14:textId="35B19A70" w:rsidR="0069561D" w:rsidRPr="00873B6C" w:rsidRDefault="0069561D" w:rsidP="009C14A7">
            <w:pPr>
              <w:pStyle w:val="TAC"/>
              <w:rPr>
                <w:sz w:val="16"/>
                <w:szCs w:val="16"/>
              </w:rPr>
            </w:pPr>
            <w:r w:rsidRPr="00873B6C">
              <w:rPr>
                <w:sz w:val="16"/>
                <w:szCs w:val="16"/>
              </w:rPr>
              <w:t>2022-12</w:t>
            </w:r>
          </w:p>
        </w:tc>
        <w:tc>
          <w:tcPr>
            <w:tcW w:w="800" w:type="dxa"/>
            <w:shd w:val="solid" w:color="FFFFFF" w:fill="auto"/>
          </w:tcPr>
          <w:p w14:paraId="79B72630" w14:textId="797E9BCB" w:rsidR="0069561D" w:rsidRPr="00873B6C" w:rsidRDefault="0069561D" w:rsidP="009C14A7">
            <w:pPr>
              <w:pStyle w:val="TAL"/>
              <w:rPr>
                <w:sz w:val="16"/>
                <w:szCs w:val="16"/>
              </w:rPr>
            </w:pPr>
            <w:r w:rsidRPr="00873B6C">
              <w:rPr>
                <w:sz w:val="16"/>
                <w:szCs w:val="16"/>
              </w:rPr>
              <w:t>SP#98E</w:t>
            </w:r>
          </w:p>
        </w:tc>
        <w:tc>
          <w:tcPr>
            <w:tcW w:w="1094" w:type="dxa"/>
            <w:shd w:val="solid" w:color="FFFFFF" w:fill="auto"/>
          </w:tcPr>
          <w:p w14:paraId="0240FFCB" w14:textId="27A4713E" w:rsidR="0069561D" w:rsidRPr="00873B6C" w:rsidRDefault="0069561D" w:rsidP="009C14A7">
            <w:pPr>
              <w:pStyle w:val="TAC"/>
              <w:rPr>
                <w:sz w:val="16"/>
                <w:szCs w:val="16"/>
              </w:rPr>
            </w:pPr>
            <w:r w:rsidRPr="00873B6C">
              <w:rPr>
                <w:sz w:val="16"/>
                <w:szCs w:val="16"/>
              </w:rPr>
              <w:t>SP-221094</w:t>
            </w:r>
          </w:p>
        </w:tc>
        <w:tc>
          <w:tcPr>
            <w:tcW w:w="567" w:type="dxa"/>
            <w:shd w:val="solid" w:color="FFFFFF" w:fill="auto"/>
          </w:tcPr>
          <w:p w14:paraId="12A1C812" w14:textId="7CFECE00" w:rsidR="0069561D" w:rsidRPr="00873B6C" w:rsidRDefault="0069561D" w:rsidP="009C14A7">
            <w:pPr>
              <w:pStyle w:val="TAL"/>
              <w:rPr>
                <w:sz w:val="16"/>
                <w:szCs w:val="16"/>
              </w:rPr>
            </w:pPr>
            <w:r w:rsidRPr="00873B6C">
              <w:rPr>
                <w:sz w:val="16"/>
                <w:szCs w:val="16"/>
              </w:rPr>
              <w:t>3701</w:t>
            </w:r>
          </w:p>
        </w:tc>
        <w:tc>
          <w:tcPr>
            <w:tcW w:w="425" w:type="dxa"/>
            <w:shd w:val="solid" w:color="FFFFFF" w:fill="auto"/>
          </w:tcPr>
          <w:p w14:paraId="63850C4B" w14:textId="4EC893AC" w:rsidR="0069561D" w:rsidRPr="00873B6C" w:rsidRDefault="0069561D" w:rsidP="009C14A7">
            <w:pPr>
              <w:pStyle w:val="TAL"/>
              <w:rPr>
                <w:sz w:val="16"/>
                <w:szCs w:val="16"/>
              </w:rPr>
            </w:pPr>
            <w:r w:rsidRPr="00873B6C">
              <w:rPr>
                <w:sz w:val="16"/>
                <w:szCs w:val="16"/>
              </w:rPr>
              <w:t>4</w:t>
            </w:r>
          </w:p>
        </w:tc>
        <w:tc>
          <w:tcPr>
            <w:tcW w:w="425" w:type="dxa"/>
            <w:shd w:val="solid" w:color="FFFFFF" w:fill="auto"/>
          </w:tcPr>
          <w:p w14:paraId="02357B1B" w14:textId="515F6743" w:rsidR="0069561D" w:rsidRPr="00873B6C" w:rsidRDefault="0069561D" w:rsidP="009C14A7">
            <w:pPr>
              <w:pStyle w:val="TAL"/>
              <w:rPr>
                <w:sz w:val="16"/>
                <w:szCs w:val="16"/>
              </w:rPr>
            </w:pPr>
            <w:r w:rsidRPr="00873B6C">
              <w:rPr>
                <w:sz w:val="16"/>
                <w:szCs w:val="16"/>
              </w:rPr>
              <w:t>B</w:t>
            </w:r>
          </w:p>
        </w:tc>
        <w:tc>
          <w:tcPr>
            <w:tcW w:w="4820" w:type="dxa"/>
            <w:shd w:val="solid" w:color="FFFFFF" w:fill="auto"/>
          </w:tcPr>
          <w:p w14:paraId="58C076D3" w14:textId="065190D1" w:rsidR="0069561D" w:rsidRPr="00873B6C" w:rsidRDefault="0069561D" w:rsidP="009C14A7">
            <w:pPr>
              <w:pStyle w:val="TAL"/>
              <w:rPr>
                <w:sz w:val="16"/>
                <w:szCs w:val="16"/>
              </w:rPr>
            </w:pPr>
            <w:r w:rsidRPr="00873B6C">
              <w:rPr>
                <w:sz w:val="16"/>
                <w:szCs w:val="16"/>
              </w:rPr>
              <w:t>Secondary DN authentication and authorization in EPS IWK case</w:t>
            </w:r>
          </w:p>
        </w:tc>
        <w:tc>
          <w:tcPr>
            <w:tcW w:w="708" w:type="dxa"/>
            <w:shd w:val="solid" w:color="FFFFFF" w:fill="auto"/>
          </w:tcPr>
          <w:p w14:paraId="6A9B6973" w14:textId="427A017B" w:rsidR="0069561D" w:rsidRPr="00873B6C" w:rsidRDefault="0069561D" w:rsidP="009C14A7">
            <w:pPr>
              <w:pStyle w:val="TAC"/>
              <w:rPr>
                <w:b/>
                <w:bCs/>
                <w:sz w:val="16"/>
                <w:szCs w:val="16"/>
              </w:rPr>
            </w:pPr>
            <w:r w:rsidRPr="00873B6C">
              <w:rPr>
                <w:b/>
                <w:bCs/>
                <w:sz w:val="16"/>
                <w:szCs w:val="16"/>
              </w:rPr>
              <w:t>18.0.0</w:t>
            </w:r>
          </w:p>
        </w:tc>
      </w:tr>
      <w:tr w:rsidR="0069561D" w:rsidRPr="00873B6C" w14:paraId="457025AB" w14:textId="77777777" w:rsidTr="009D14FB">
        <w:tc>
          <w:tcPr>
            <w:tcW w:w="800" w:type="dxa"/>
            <w:shd w:val="solid" w:color="FFFFFF" w:fill="auto"/>
          </w:tcPr>
          <w:p w14:paraId="3FB916C0" w14:textId="7A61E5C9" w:rsidR="0069561D" w:rsidRPr="00873B6C" w:rsidRDefault="0069561D" w:rsidP="009C14A7">
            <w:pPr>
              <w:pStyle w:val="TAC"/>
              <w:rPr>
                <w:sz w:val="16"/>
                <w:szCs w:val="16"/>
              </w:rPr>
            </w:pPr>
            <w:r w:rsidRPr="00873B6C">
              <w:rPr>
                <w:sz w:val="16"/>
                <w:szCs w:val="16"/>
              </w:rPr>
              <w:t>2022-12</w:t>
            </w:r>
          </w:p>
        </w:tc>
        <w:tc>
          <w:tcPr>
            <w:tcW w:w="800" w:type="dxa"/>
            <w:shd w:val="solid" w:color="FFFFFF" w:fill="auto"/>
          </w:tcPr>
          <w:p w14:paraId="3AAA8F81" w14:textId="18B959F7" w:rsidR="0069561D" w:rsidRPr="00873B6C" w:rsidRDefault="0069561D" w:rsidP="009C14A7">
            <w:pPr>
              <w:pStyle w:val="TAL"/>
              <w:rPr>
                <w:sz w:val="16"/>
                <w:szCs w:val="16"/>
              </w:rPr>
            </w:pPr>
            <w:r w:rsidRPr="00873B6C">
              <w:rPr>
                <w:sz w:val="16"/>
                <w:szCs w:val="16"/>
              </w:rPr>
              <w:t>SP#98E</w:t>
            </w:r>
          </w:p>
        </w:tc>
        <w:tc>
          <w:tcPr>
            <w:tcW w:w="1094" w:type="dxa"/>
            <w:shd w:val="solid" w:color="FFFFFF" w:fill="auto"/>
          </w:tcPr>
          <w:p w14:paraId="3C502AD8" w14:textId="668DA297" w:rsidR="0069561D" w:rsidRPr="00873B6C" w:rsidRDefault="0069561D" w:rsidP="009C14A7">
            <w:pPr>
              <w:pStyle w:val="TAC"/>
              <w:rPr>
                <w:sz w:val="16"/>
                <w:szCs w:val="16"/>
              </w:rPr>
            </w:pPr>
            <w:r w:rsidRPr="00873B6C">
              <w:rPr>
                <w:sz w:val="16"/>
                <w:szCs w:val="16"/>
              </w:rPr>
              <w:t>SP-221090</w:t>
            </w:r>
          </w:p>
        </w:tc>
        <w:tc>
          <w:tcPr>
            <w:tcW w:w="567" w:type="dxa"/>
            <w:shd w:val="solid" w:color="FFFFFF" w:fill="auto"/>
          </w:tcPr>
          <w:p w14:paraId="6A887848" w14:textId="43FCBD05" w:rsidR="0069561D" w:rsidRPr="00873B6C" w:rsidRDefault="0069561D" w:rsidP="009C14A7">
            <w:pPr>
              <w:pStyle w:val="TAL"/>
              <w:rPr>
                <w:sz w:val="16"/>
                <w:szCs w:val="16"/>
              </w:rPr>
            </w:pPr>
            <w:r w:rsidRPr="00873B6C">
              <w:rPr>
                <w:sz w:val="16"/>
                <w:szCs w:val="16"/>
              </w:rPr>
              <w:t>3705</w:t>
            </w:r>
          </w:p>
        </w:tc>
        <w:tc>
          <w:tcPr>
            <w:tcW w:w="425" w:type="dxa"/>
            <w:shd w:val="solid" w:color="FFFFFF" w:fill="auto"/>
          </w:tcPr>
          <w:p w14:paraId="107B5DDE" w14:textId="71ABC2D8" w:rsidR="0069561D" w:rsidRPr="00873B6C" w:rsidRDefault="0069561D" w:rsidP="009C14A7">
            <w:pPr>
              <w:pStyle w:val="TAL"/>
              <w:rPr>
                <w:sz w:val="16"/>
                <w:szCs w:val="16"/>
              </w:rPr>
            </w:pPr>
            <w:r w:rsidRPr="00873B6C">
              <w:rPr>
                <w:sz w:val="16"/>
                <w:szCs w:val="16"/>
              </w:rPr>
              <w:t>1</w:t>
            </w:r>
          </w:p>
        </w:tc>
        <w:tc>
          <w:tcPr>
            <w:tcW w:w="425" w:type="dxa"/>
            <w:shd w:val="solid" w:color="FFFFFF" w:fill="auto"/>
          </w:tcPr>
          <w:p w14:paraId="67CCBCDA" w14:textId="01B6BB4E" w:rsidR="0069561D" w:rsidRPr="00873B6C" w:rsidRDefault="0069561D" w:rsidP="009C14A7">
            <w:pPr>
              <w:pStyle w:val="TAL"/>
              <w:rPr>
                <w:sz w:val="16"/>
                <w:szCs w:val="16"/>
              </w:rPr>
            </w:pPr>
            <w:r w:rsidRPr="00873B6C">
              <w:rPr>
                <w:sz w:val="16"/>
                <w:szCs w:val="16"/>
              </w:rPr>
              <w:t>B</w:t>
            </w:r>
          </w:p>
        </w:tc>
        <w:tc>
          <w:tcPr>
            <w:tcW w:w="4820" w:type="dxa"/>
            <w:shd w:val="solid" w:color="FFFFFF" w:fill="auto"/>
          </w:tcPr>
          <w:p w14:paraId="3475E1AB" w14:textId="7C6F07D5" w:rsidR="0069561D" w:rsidRPr="00873B6C" w:rsidRDefault="0069561D" w:rsidP="009C14A7">
            <w:pPr>
              <w:pStyle w:val="TAL"/>
              <w:rPr>
                <w:sz w:val="16"/>
                <w:szCs w:val="16"/>
              </w:rPr>
            </w:pPr>
            <w:r w:rsidRPr="00873B6C">
              <w:rPr>
                <w:sz w:val="16"/>
                <w:szCs w:val="16"/>
              </w:rPr>
              <w:t>Support of RRC_INACTIVE with long eDRX</w:t>
            </w:r>
          </w:p>
        </w:tc>
        <w:tc>
          <w:tcPr>
            <w:tcW w:w="708" w:type="dxa"/>
            <w:shd w:val="solid" w:color="FFFFFF" w:fill="auto"/>
          </w:tcPr>
          <w:p w14:paraId="295F3B3C" w14:textId="2221E722" w:rsidR="0069561D" w:rsidRPr="00873B6C" w:rsidRDefault="0069561D" w:rsidP="009C14A7">
            <w:pPr>
              <w:pStyle w:val="TAC"/>
              <w:rPr>
                <w:sz w:val="16"/>
                <w:szCs w:val="16"/>
              </w:rPr>
            </w:pPr>
            <w:r w:rsidRPr="00873B6C">
              <w:rPr>
                <w:sz w:val="16"/>
                <w:szCs w:val="16"/>
              </w:rPr>
              <w:t>18.0.0</w:t>
            </w:r>
          </w:p>
        </w:tc>
      </w:tr>
      <w:tr w:rsidR="0069561D" w:rsidRPr="00873B6C" w14:paraId="615F4458" w14:textId="77777777" w:rsidTr="009D14FB">
        <w:tc>
          <w:tcPr>
            <w:tcW w:w="800" w:type="dxa"/>
            <w:shd w:val="solid" w:color="FFFFFF" w:fill="auto"/>
          </w:tcPr>
          <w:p w14:paraId="31CBEF8C" w14:textId="1ECDC454" w:rsidR="0069561D" w:rsidRPr="00873B6C" w:rsidRDefault="0069561D" w:rsidP="009C14A7">
            <w:pPr>
              <w:pStyle w:val="TAC"/>
              <w:rPr>
                <w:sz w:val="16"/>
                <w:szCs w:val="16"/>
              </w:rPr>
            </w:pPr>
            <w:r w:rsidRPr="00873B6C">
              <w:rPr>
                <w:sz w:val="16"/>
                <w:szCs w:val="16"/>
              </w:rPr>
              <w:t>2022-12</w:t>
            </w:r>
          </w:p>
        </w:tc>
        <w:tc>
          <w:tcPr>
            <w:tcW w:w="800" w:type="dxa"/>
            <w:shd w:val="solid" w:color="FFFFFF" w:fill="auto"/>
          </w:tcPr>
          <w:p w14:paraId="77B19CE8" w14:textId="56F1949E" w:rsidR="0069561D" w:rsidRPr="00873B6C" w:rsidRDefault="0069561D" w:rsidP="009C14A7">
            <w:pPr>
              <w:pStyle w:val="TAL"/>
              <w:rPr>
                <w:sz w:val="16"/>
                <w:szCs w:val="16"/>
              </w:rPr>
            </w:pPr>
            <w:r w:rsidRPr="00873B6C">
              <w:rPr>
                <w:sz w:val="16"/>
                <w:szCs w:val="16"/>
              </w:rPr>
              <w:t>SP#98E</w:t>
            </w:r>
          </w:p>
        </w:tc>
        <w:tc>
          <w:tcPr>
            <w:tcW w:w="1094" w:type="dxa"/>
            <w:shd w:val="solid" w:color="FFFFFF" w:fill="auto"/>
          </w:tcPr>
          <w:p w14:paraId="73DD6252" w14:textId="4C872CA6" w:rsidR="0069561D" w:rsidRPr="00873B6C" w:rsidRDefault="0069561D" w:rsidP="009C14A7">
            <w:pPr>
              <w:pStyle w:val="TAC"/>
              <w:rPr>
                <w:sz w:val="16"/>
                <w:szCs w:val="16"/>
              </w:rPr>
            </w:pPr>
            <w:r w:rsidRPr="00873B6C">
              <w:rPr>
                <w:sz w:val="16"/>
                <w:szCs w:val="16"/>
              </w:rPr>
              <w:t>SP-221084</w:t>
            </w:r>
          </w:p>
        </w:tc>
        <w:tc>
          <w:tcPr>
            <w:tcW w:w="567" w:type="dxa"/>
            <w:shd w:val="solid" w:color="FFFFFF" w:fill="auto"/>
          </w:tcPr>
          <w:p w14:paraId="0F11CF51" w14:textId="41B7846D" w:rsidR="0069561D" w:rsidRPr="00873B6C" w:rsidRDefault="0069561D" w:rsidP="009C14A7">
            <w:pPr>
              <w:pStyle w:val="TAL"/>
              <w:rPr>
                <w:sz w:val="16"/>
                <w:szCs w:val="16"/>
              </w:rPr>
            </w:pPr>
            <w:r w:rsidRPr="00873B6C">
              <w:rPr>
                <w:sz w:val="16"/>
                <w:szCs w:val="16"/>
              </w:rPr>
              <w:t>3707</w:t>
            </w:r>
          </w:p>
        </w:tc>
        <w:tc>
          <w:tcPr>
            <w:tcW w:w="425" w:type="dxa"/>
            <w:shd w:val="solid" w:color="FFFFFF" w:fill="auto"/>
          </w:tcPr>
          <w:p w14:paraId="394AFCB7" w14:textId="59596716" w:rsidR="0069561D" w:rsidRPr="00873B6C" w:rsidRDefault="0069561D" w:rsidP="009C14A7">
            <w:pPr>
              <w:pStyle w:val="TAL"/>
              <w:rPr>
                <w:sz w:val="16"/>
                <w:szCs w:val="16"/>
              </w:rPr>
            </w:pPr>
            <w:r w:rsidRPr="00873B6C">
              <w:rPr>
                <w:sz w:val="16"/>
                <w:szCs w:val="16"/>
              </w:rPr>
              <w:t>1</w:t>
            </w:r>
          </w:p>
        </w:tc>
        <w:tc>
          <w:tcPr>
            <w:tcW w:w="425" w:type="dxa"/>
            <w:shd w:val="solid" w:color="FFFFFF" w:fill="auto"/>
          </w:tcPr>
          <w:p w14:paraId="0CCDCB5B" w14:textId="56F8CAB9" w:rsidR="0069561D" w:rsidRPr="00873B6C" w:rsidRDefault="0069561D" w:rsidP="009C14A7">
            <w:pPr>
              <w:pStyle w:val="TAL"/>
              <w:rPr>
                <w:sz w:val="16"/>
                <w:szCs w:val="16"/>
              </w:rPr>
            </w:pPr>
            <w:r w:rsidRPr="00873B6C">
              <w:rPr>
                <w:sz w:val="16"/>
                <w:szCs w:val="16"/>
              </w:rPr>
              <w:t>B</w:t>
            </w:r>
          </w:p>
        </w:tc>
        <w:tc>
          <w:tcPr>
            <w:tcW w:w="4820" w:type="dxa"/>
            <w:shd w:val="solid" w:color="FFFFFF" w:fill="auto"/>
          </w:tcPr>
          <w:p w14:paraId="4DFF117D" w14:textId="2B671B69" w:rsidR="0069561D" w:rsidRPr="00873B6C" w:rsidRDefault="0069561D" w:rsidP="009C14A7">
            <w:pPr>
              <w:pStyle w:val="TAL"/>
              <w:rPr>
                <w:sz w:val="16"/>
                <w:szCs w:val="16"/>
              </w:rPr>
            </w:pPr>
            <w:r w:rsidRPr="00873B6C">
              <w:rPr>
                <w:sz w:val="16"/>
                <w:szCs w:val="16"/>
              </w:rPr>
              <w:t>N3IWF selection enhancement for support of S-NSSAI needed by UE</w:t>
            </w:r>
          </w:p>
        </w:tc>
        <w:tc>
          <w:tcPr>
            <w:tcW w:w="708" w:type="dxa"/>
            <w:shd w:val="solid" w:color="FFFFFF" w:fill="auto"/>
          </w:tcPr>
          <w:p w14:paraId="4D4EC16D" w14:textId="3CC0CEA4" w:rsidR="0069561D" w:rsidRPr="00873B6C" w:rsidRDefault="0069561D" w:rsidP="009C14A7">
            <w:pPr>
              <w:pStyle w:val="TAC"/>
              <w:rPr>
                <w:sz w:val="16"/>
                <w:szCs w:val="16"/>
              </w:rPr>
            </w:pPr>
            <w:r w:rsidRPr="00873B6C">
              <w:rPr>
                <w:sz w:val="16"/>
                <w:szCs w:val="16"/>
              </w:rPr>
              <w:t>18.0.0</w:t>
            </w:r>
          </w:p>
        </w:tc>
      </w:tr>
      <w:tr w:rsidR="001F5968" w:rsidRPr="00873B6C" w14:paraId="2458C794" w14:textId="77777777" w:rsidTr="009D14FB">
        <w:tc>
          <w:tcPr>
            <w:tcW w:w="800" w:type="dxa"/>
            <w:shd w:val="solid" w:color="FFFFFF" w:fill="auto"/>
          </w:tcPr>
          <w:p w14:paraId="40B7B111" w14:textId="7CED4916" w:rsidR="001F5968" w:rsidRPr="00873B6C" w:rsidRDefault="001F5968" w:rsidP="009C14A7">
            <w:pPr>
              <w:pStyle w:val="TAC"/>
              <w:rPr>
                <w:sz w:val="16"/>
                <w:szCs w:val="16"/>
              </w:rPr>
            </w:pPr>
            <w:r w:rsidRPr="00873B6C">
              <w:rPr>
                <w:sz w:val="16"/>
                <w:szCs w:val="16"/>
              </w:rPr>
              <w:t>2022-12</w:t>
            </w:r>
          </w:p>
        </w:tc>
        <w:tc>
          <w:tcPr>
            <w:tcW w:w="800" w:type="dxa"/>
            <w:shd w:val="solid" w:color="FFFFFF" w:fill="auto"/>
          </w:tcPr>
          <w:p w14:paraId="6210B051" w14:textId="3619C668" w:rsidR="001F5968" w:rsidRPr="00873B6C" w:rsidRDefault="001F5968" w:rsidP="009C14A7">
            <w:pPr>
              <w:pStyle w:val="TAL"/>
              <w:rPr>
                <w:sz w:val="16"/>
                <w:szCs w:val="16"/>
              </w:rPr>
            </w:pPr>
            <w:r w:rsidRPr="00873B6C">
              <w:rPr>
                <w:sz w:val="16"/>
                <w:szCs w:val="16"/>
              </w:rPr>
              <w:t>SP#98E</w:t>
            </w:r>
          </w:p>
        </w:tc>
        <w:tc>
          <w:tcPr>
            <w:tcW w:w="1094" w:type="dxa"/>
            <w:shd w:val="solid" w:color="FFFFFF" w:fill="auto"/>
          </w:tcPr>
          <w:p w14:paraId="3548F6C8" w14:textId="00E791EA" w:rsidR="001F5968" w:rsidRPr="00873B6C" w:rsidRDefault="001F5968" w:rsidP="009C14A7">
            <w:pPr>
              <w:pStyle w:val="TAC"/>
              <w:rPr>
                <w:sz w:val="16"/>
                <w:szCs w:val="16"/>
              </w:rPr>
            </w:pPr>
            <w:r w:rsidRPr="00873B6C">
              <w:rPr>
                <w:sz w:val="16"/>
                <w:szCs w:val="16"/>
              </w:rPr>
              <w:t>SP-221085</w:t>
            </w:r>
          </w:p>
        </w:tc>
        <w:tc>
          <w:tcPr>
            <w:tcW w:w="567" w:type="dxa"/>
            <w:shd w:val="solid" w:color="FFFFFF" w:fill="auto"/>
          </w:tcPr>
          <w:p w14:paraId="4B302AF3" w14:textId="1EE03FBD" w:rsidR="001F5968" w:rsidRPr="00873B6C" w:rsidRDefault="001F5968" w:rsidP="009C14A7">
            <w:pPr>
              <w:pStyle w:val="TAL"/>
              <w:rPr>
                <w:sz w:val="16"/>
                <w:szCs w:val="16"/>
              </w:rPr>
            </w:pPr>
            <w:r w:rsidRPr="00873B6C">
              <w:rPr>
                <w:sz w:val="16"/>
                <w:szCs w:val="16"/>
              </w:rPr>
              <w:t>3710</w:t>
            </w:r>
          </w:p>
        </w:tc>
        <w:tc>
          <w:tcPr>
            <w:tcW w:w="425" w:type="dxa"/>
            <w:shd w:val="solid" w:color="FFFFFF" w:fill="auto"/>
          </w:tcPr>
          <w:p w14:paraId="11EC9362" w14:textId="5E4F226E" w:rsidR="001F5968" w:rsidRPr="00873B6C" w:rsidRDefault="001F5968" w:rsidP="009C14A7">
            <w:pPr>
              <w:pStyle w:val="TAL"/>
              <w:rPr>
                <w:sz w:val="16"/>
                <w:szCs w:val="16"/>
              </w:rPr>
            </w:pPr>
            <w:r w:rsidRPr="00873B6C">
              <w:rPr>
                <w:sz w:val="16"/>
                <w:szCs w:val="16"/>
              </w:rPr>
              <w:t>1</w:t>
            </w:r>
          </w:p>
        </w:tc>
        <w:tc>
          <w:tcPr>
            <w:tcW w:w="425" w:type="dxa"/>
            <w:shd w:val="solid" w:color="FFFFFF" w:fill="auto"/>
          </w:tcPr>
          <w:p w14:paraId="3BDEC7AE" w14:textId="28703D55" w:rsidR="001F5968" w:rsidRPr="00873B6C" w:rsidRDefault="001F5968" w:rsidP="009C14A7">
            <w:pPr>
              <w:pStyle w:val="TAL"/>
              <w:rPr>
                <w:sz w:val="16"/>
                <w:szCs w:val="16"/>
              </w:rPr>
            </w:pPr>
            <w:r w:rsidRPr="00873B6C">
              <w:rPr>
                <w:sz w:val="16"/>
                <w:szCs w:val="16"/>
              </w:rPr>
              <w:t>C</w:t>
            </w:r>
          </w:p>
        </w:tc>
        <w:tc>
          <w:tcPr>
            <w:tcW w:w="4820" w:type="dxa"/>
            <w:shd w:val="solid" w:color="FFFFFF" w:fill="auto"/>
          </w:tcPr>
          <w:p w14:paraId="6C9F3713" w14:textId="5D5CE47C" w:rsidR="001F5968" w:rsidRPr="00873B6C" w:rsidRDefault="001F5968" w:rsidP="009C14A7">
            <w:pPr>
              <w:pStyle w:val="TAL"/>
              <w:rPr>
                <w:sz w:val="16"/>
                <w:szCs w:val="16"/>
              </w:rPr>
            </w:pPr>
            <w:r w:rsidRPr="00873B6C">
              <w:rPr>
                <w:sz w:val="16"/>
                <w:szCs w:val="16"/>
              </w:rPr>
              <w:t>RFSP index in use at 5GS to EPS mobility</w:t>
            </w:r>
          </w:p>
        </w:tc>
        <w:tc>
          <w:tcPr>
            <w:tcW w:w="708" w:type="dxa"/>
            <w:shd w:val="solid" w:color="FFFFFF" w:fill="auto"/>
          </w:tcPr>
          <w:p w14:paraId="3310BE14" w14:textId="17FA8D23" w:rsidR="001F5968" w:rsidRPr="00873B6C" w:rsidRDefault="001F5968" w:rsidP="009C14A7">
            <w:pPr>
              <w:pStyle w:val="TAC"/>
              <w:rPr>
                <w:sz w:val="16"/>
                <w:szCs w:val="16"/>
              </w:rPr>
            </w:pPr>
            <w:r w:rsidRPr="00873B6C">
              <w:rPr>
                <w:sz w:val="16"/>
                <w:szCs w:val="16"/>
              </w:rPr>
              <w:t>18.0.0</w:t>
            </w:r>
          </w:p>
        </w:tc>
      </w:tr>
      <w:tr w:rsidR="001F5968" w:rsidRPr="00873B6C" w14:paraId="5DCE9676" w14:textId="77777777" w:rsidTr="009D14FB">
        <w:tc>
          <w:tcPr>
            <w:tcW w:w="800" w:type="dxa"/>
            <w:shd w:val="solid" w:color="FFFFFF" w:fill="auto"/>
          </w:tcPr>
          <w:p w14:paraId="6F154BBB" w14:textId="596F159E" w:rsidR="001F5968" w:rsidRPr="00873B6C" w:rsidRDefault="001F5968" w:rsidP="009C14A7">
            <w:pPr>
              <w:pStyle w:val="TAC"/>
              <w:rPr>
                <w:sz w:val="16"/>
                <w:szCs w:val="16"/>
              </w:rPr>
            </w:pPr>
            <w:r w:rsidRPr="00873B6C">
              <w:rPr>
                <w:sz w:val="16"/>
                <w:szCs w:val="16"/>
              </w:rPr>
              <w:t>2022-12</w:t>
            </w:r>
          </w:p>
        </w:tc>
        <w:tc>
          <w:tcPr>
            <w:tcW w:w="800" w:type="dxa"/>
            <w:shd w:val="solid" w:color="FFFFFF" w:fill="auto"/>
          </w:tcPr>
          <w:p w14:paraId="1F073B19" w14:textId="159D25B1" w:rsidR="001F5968" w:rsidRPr="00873B6C" w:rsidRDefault="001F5968" w:rsidP="009C14A7">
            <w:pPr>
              <w:pStyle w:val="TAL"/>
              <w:rPr>
                <w:sz w:val="16"/>
                <w:szCs w:val="16"/>
              </w:rPr>
            </w:pPr>
            <w:r w:rsidRPr="00873B6C">
              <w:rPr>
                <w:sz w:val="16"/>
                <w:szCs w:val="16"/>
              </w:rPr>
              <w:t>SP#98E</w:t>
            </w:r>
          </w:p>
        </w:tc>
        <w:tc>
          <w:tcPr>
            <w:tcW w:w="1094" w:type="dxa"/>
            <w:shd w:val="solid" w:color="FFFFFF" w:fill="auto"/>
          </w:tcPr>
          <w:p w14:paraId="7372F2CA" w14:textId="1F1C5879" w:rsidR="001F5968" w:rsidRPr="00873B6C" w:rsidRDefault="001F5968" w:rsidP="009C14A7">
            <w:pPr>
              <w:pStyle w:val="TAC"/>
              <w:rPr>
                <w:sz w:val="16"/>
                <w:szCs w:val="16"/>
              </w:rPr>
            </w:pPr>
            <w:r w:rsidRPr="00873B6C">
              <w:rPr>
                <w:sz w:val="16"/>
                <w:szCs w:val="16"/>
              </w:rPr>
              <w:t>SP-221085</w:t>
            </w:r>
          </w:p>
        </w:tc>
        <w:tc>
          <w:tcPr>
            <w:tcW w:w="567" w:type="dxa"/>
            <w:shd w:val="solid" w:color="FFFFFF" w:fill="auto"/>
          </w:tcPr>
          <w:p w14:paraId="1BD91EE1" w14:textId="0AAA5608" w:rsidR="001F5968" w:rsidRPr="00873B6C" w:rsidRDefault="001F5968" w:rsidP="009C14A7">
            <w:pPr>
              <w:pStyle w:val="TAL"/>
              <w:rPr>
                <w:sz w:val="16"/>
                <w:szCs w:val="16"/>
              </w:rPr>
            </w:pPr>
            <w:r w:rsidRPr="00873B6C">
              <w:rPr>
                <w:sz w:val="16"/>
                <w:szCs w:val="16"/>
              </w:rPr>
              <w:t>3713</w:t>
            </w:r>
          </w:p>
        </w:tc>
        <w:tc>
          <w:tcPr>
            <w:tcW w:w="425" w:type="dxa"/>
            <w:shd w:val="solid" w:color="FFFFFF" w:fill="auto"/>
          </w:tcPr>
          <w:p w14:paraId="73825C00" w14:textId="495F8298" w:rsidR="001F5968" w:rsidRPr="00873B6C" w:rsidRDefault="001F5968" w:rsidP="009C14A7">
            <w:pPr>
              <w:pStyle w:val="TAL"/>
              <w:rPr>
                <w:sz w:val="16"/>
                <w:szCs w:val="16"/>
              </w:rPr>
            </w:pPr>
            <w:r w:rsidRPr="00873B6C">
              <w:rPr>
                <w:sz w:val="16"/>
                <w:szCs w:val="16"/>
              </w:rPr>
              <w:t xml:space="preserve">1 </w:t>
            </w:r>
          </w:p>
        </w:tc>
        <w:tc>
          <w:tcPr>
            <w:tcW w:w="425" w:type="dxa"/>
            <w:shd w:val="solid" w:color="FFFFFF" w:fill="auto"/>
          </w:tcPr>
          <w:p w14:paraId="6B106A07" w14:textId="5E2B3CA1" w:rsidR="001F5968" w:rsidRPr="00873B6C" w:rsidRDefault="001F5968" w:rsidP="009C14A7">
            <w:pPr>
              <w:pStyle w:val="TAL"/>
              <w:rPr>
                <w:sz w:val="16"/>
                <w:szCs w:val="16"/>
              </w:rPr>
            </w:pPr>
            <w:r w:rsidRPr="00873B6C">
              <w:rPr>
                <w:sz w:val="16"/>
                <w:szCs w:val="16"/>
              </w:rPr>
              <w:t>B</w:t>
            </w:r>
          </w:p>
        </w:tc>
        <w:tc>
          <w:tcPr>
            <w:tcW w:w="4820" w:type="dxa"/>
            <w:shd w:val="solid" w:color="FFFFFF" w:fill="auto"/>
          </w:tcPr>
          <w:p w14:paraId="6FC07C76" w14:textId="1466903E" w:rsidR="001F5968" w:rsidRPr="00873B6C" w:rsidRDefault="001F5968" w:rsidP="009C14A7">
            <w:pPr>
              <w:pStyle w:val="TAL"/>
              <w:rPr>
                <w:sz w:val="16"/>
                <w:szCs w:val="16"/>
              </w:rPr>
            </w:pPr>
            <w:r w:rsidRPr="00873B6C">
              <w:rPr>
                <w:sz w:val="16"/>
                <w:szCs w:val="16"/>
              </w:rPr>
              <w:t>RFSP index during interworking</w:t>
            </w:r>
          </w:p>
        </w:tc>
        <w:tc>
          <w:tcPr>
            <w:tcW w:w="708" w:type="dxa"/>
            <w:shd w:val="solid" w:color="FFFFFF" w:fill="auto"/>
          </w:tcPr>
          <w:p w14:paraId="4673A6B0" w14:textId="02481EAA" w:rsidR="001F5968" w:rsidRPr="00873B6C" w:rsidRDefault="001F5968" w:rsidP="009C14A7">
            <w:pPr>
              <w:pStyle w:val="TAC"/>
              <w:rPr>
                <w:sz w:val="16"/>
                <w:szCs w:val="16"/>
              </w:rPr>
            </w:pPr>
            <w:r w:rsidRPr="00873B6C">
              <w:rPr>
                <w:sz w:val="16"/>
                <w:szCs w:val="16"/>
              </w:rPr>
              <w:t>18.0.0</w:t>
            </w:r>
          </w:p>
        </w:tc>
      </w:tr>
      <w:tr w:rsidR="001F5968" w:rsidRPr="00873B6C" w14:paraId="7B686DC5" w14:textId="77777777" w:rsidTr="009D14FB">
        <w:tc>
          <w:tcPr>
            <w:tcW w:w="800" w:type="dxa"/>
            <w:shd w:val="solid" w:color="FFFFFF" w:fill="auto"/>
          </w:tcPr>
          <w:p w14:paraId="0D41608B" w14:textId="704823A3" w:rsidR="001F5968" w:rsidRPr="00873B6C" w:rsidRDefault="001F5968" w:rsidP="009C14A7">
            <w:pPr>
              <w:pStyle w:val="TAC"/>
              <w:rPr>
                <w:sz w:val="16"/>
                <w:szCs w:val="16"/>
              </w:rPr>
            </w:pPr>
            <w:r w:rsidRPr="00873B6C">
              <w:rPr>
                <w:sz w:val="16"/>
                <w:szCs w:val="16"/>
              </w:rPr>
              <w:t>2022-12</w:t>
            </w:r>
          </w:p>
        </w:tc>
        <w:tc>
          <w:tcPr>
            <w:tcW w:w="800" w:type="dxa"/>
            <w:shd w:val="solid" w:color="FFFFFF" w:fill="auto"/>
          </w:tcPr>
          <w:p w14:paraId="20217C48" w14:textId="1A8C14D6" w:rsidR="001F5968" w:rsidRPr="00873B6C" w:rsidRDefault="001F5968" w:rsidP="009C14A7">
            <w:pPr>
              <w:pStyle w:val="TAL"/>
              <w:rPr>
                <w:sz w:val="16"/>
                <w:szCs w:val="16"/>
              </w:rPr>
            </w:pPr>
            <w:r w:rsidRPr="00873B6C">
              <w:rPr>
                <w:sz w:val="16"/>
                <w:szCs w:val="16"/>
              </w:rPr>
              <w:t>SP#98E</w:t>
            </w:r>
          </w:p>
        </w:tc>
        <w:tc>
          <w:tcPr>
            <w:tcW w:w="1094" w:type="dxa"/>
            <w:shd w:val="solid" w:color="FFFFFF" w:fill="auto"/>
          </w:tcPr>
          <w:p w14:paraId="3FA98A15" w14:textId="593D5EA5" w:rsidR="001F5968" w:rsidRPr="00873B6C" w:rsidRDefault="001F5968" w:rsidP="009C14A7">
            <w:pPr>
              <w:pStyle w:val="TAC"/>
              <w:rPr>
                <w:sz w:val="16"/>
                <w:szCs w:val="16"/>
              </w:rPr>
            </w:pPr>
            <w:r w:rsidRPr="00873B6C">
              <w:rPr>
                <w:sz w:val="16"/>
                <w:szCs w:val="16"/>
              </w:rPr>
              <w:t>SP-221087</w:t>
            </w:r>
          </w:p>
        </w:tc>
        <w:tc>
          <w:tcPr>
            <w:tcW w:w="567" w:type="dxa"/>
            <w:shd w:val="solid" w:color="FFFFFF" w:fill="auto"/>
          </w:tcPr>
          <w:p w14:paraId="66231CBF" w14:textId="1D846F7C" w:rsidR="001F5968" w:rsidRPr="00873B6C" w:rsidRDefault="001F5968" w:rsidP="009C14A7">
            <w:pPr>
              <w:pStyle w:val="TAL"/>
              <w:rPr>
                <w:sz w:val="16"/>
                <w:szCs w:val="16"/>
              </w:rPr>
            </w:pPr>
            <w:r w:rsidRPr="00873B6C">
              <w:rPr>
                <w:sz w:val="16"/>
                <w:szCs w:val="16"/>
              </w:rPr>
              <w:t>3714</w:t>
            </w:r>
          </w:p>
        </w:tc>
        <w:tc>
          <w:tcPr>
            <w:tcW w:w="425" w:type="dxa"/>
            <w:shd w:val="solid" w:color="FFFFFF" w:fill="auto"/>
          </w:tcPr>
          <w:p w14:paraId="6C12B269" w14:textId="60583B9D" w:rsidR="001F5968" w:rsidRPr="00873B6C" w:rsidRDefault="001F5968" w:rsidP="009C14A7">
            <w:pPr>
              <w:pStyle w:val="TAL"/>
              <w:rPr>
                <w:sz w:val="16"/>
                <w:szCs w:val="16"/>
              </w:rPr>
            </w:pPr>
            <w:r w:rsidRPr="00873B6C">
              <w:rPr>
                <w:sz w:val="16"/>
                <w:szCs w:val="16"/>
              </w:rPr>
              <w:t>5</w:t>
            </w:r>
          </w:p>
        </w:tc>
        <w:tc>
          <w:tcPr>
            <w:tcW w:w="425" w:type="dxa"/>
            <w:shd w:val="solid" w:color="FFFFFF" w:fill="auto"/>
          </w:tcPr>
          <w:p w14:paraId="24535CFC" w14:textId="2F012D71" w:rsidR="001F5968" w:rsidRPr="00873B6C" w:rsidRDefault="001F5968" w:rsidP="009C14A7">
            <w:pPr>
              <w:pStyle w:val="TAL"/>
              <w:rPr>
                <w:sz w:val="16"/>
                <w:szCs w:val="16"/>
              </w:rPr>
            </w:pPr>
            <w:r w:rsidRPr="00873B6C">
              <w:rPr>
                <w:sz w:val="16"/>
                <w:szCs w:val="16"/>
              </w:rPr>
              <w:t>B</w:t>
            </w:r>
          </w:p>
        </w:tc>
        <w:tc>
          <w:tcPr>
            <w:tcW w:w="4820" w:type="dxa"/>
            <w:shd w:val="solid" w:color="FFFFFF" w:fill="auto"/>
          </w:tcPr>
          <w:p w14:paraId="2D22E652" w14:textId="3591AAA5" w:rsidR="001F5968" w:rsidRPr="00873B6C" w:rsidRDefault="001F5968" w:rsidP="009C14A7">
            <w:pPr>
              <w:pStyle w:val="TAL"/>
              <w:rPr>
                <w:sz w:val="16"/>
                <w:szCs w:val="16"/>
              </w:rPr>
            </w:pPr>
            <w:r w:rsidRPr="00873B6C">
              <w:rPr>
                <w:sz w:val="16"/>
                <w:szCs w:val="16"/>
              </w:rPr>
              <w:t>Support of Non-3GPP access for SNPN</w:t>
            </w:r>
          </w:p>
        </w:tc>
        <w:tc>
          <w:tcPr>
            <w:tcW w:w="708" w:type="dxa"/>
            <w:shd w:val="solid" w:color="FFFFFF" w:fill="auto"/>
          </w:tcPr>
          <w:p w14:paraId="2EEAA92A" w14:textId="7B1CBAE4" w:rsidR="001F5968" w:rsidRPr="00873B6C" w:rsidRDefault="001F5968" w:rsidP="009C14A7">
            <w:pPr>
              <w:pStyle w:val="TAC"/>
              <w:rPr>
                <w:sz w:val="16"/>
                <w:szCs w:val="16"/>
              </w:rPr>
            </w:pPr>
            <w:r w:rsidRPr="00873B6C">
              <w:rPr>
                <w:sz w:val="16"/>
                <w:szCs w:val="16"/>
              </w:rPr>
              <w:t>18.0.0</w:t>
            </w:r>
          </w:p>
        </w:tc>
      </w:tr>
      <w:tr w:rsidR="003E5241" w:rsidRPr="00873B6C" w14:paraId="232AF2B0" w14:textId="77777777" w:rsidTr="009D14FB">
        <w:tc>
          <w:tcPr>
            <w:tcW w:w="800" w:type="dxa"/>
            <w:shd w:val="solid" w:color="FFFFFF" w:fill="auto"/>
          </w:tcPr>
          <w:p w14:paraId="21B037C5" w14:textId="41AD198D" w:rsidR="003E5241" w:rsidRPr="00873B6C" w:rsidRDefault="003E5241" w:rsidP="009C14A7">
            <w:pPr>
              <w:pStyle w:val="TAC"/>
              <w:rPr>
                <w:sz w:val="16"/>
                <w:szCs w:val="16"/>
              </w:rPr>
            </w:pPr>
            <w:r w:rsidRPr="00873B6C">
              <w:rPr>
                <w:sz w:val="16"/>
                <w:szCs w:val="16"/>
              </w:rPr>
              <w:t>2022-12</w:t>
            </w:r>
          </w:p>
        </w:tc>
        <w:tc>
          <w:tcPr>
            <w:tcW w:w="800" w:type="dxa"/>
            <w:shd w:val="solid" w:color="FFFFFF" w:fill="auto"/>
          </w:tcPr>
          <w:p w14:paraId="00584CC6" w14:textId="28B9FC9F" w:rsidR="003E5241" w:rsidRPr="00873B6C" w:rsidRDefault="003E5241" w:rsidP="009C14A7">
            <w:pPr>
              <w:pStyle w:val="TAL"/>
              <w:rPr>
                <w:sz w:val="16"/>
                <w:szCs w:val="16"/>
              </w:rPr>
            </w:pPr>
            <w:r w:rsidRPr="00873B6C">
              <w:rPr>
                <w:sz w:val="16"/>
                <w:szCs w:val="16"/>
              </w:rPr>
              <w:t>SP#98E</w:t>
            </w:r>
          </w:p>
        </w:tc>
        <w:tc>
          <w:tcPr>
            <w:tcW w:w="1094" w:type="dxa"/>
            <w:shd w:val="solid" w:color="FFFFFF" w:fill="auto"/>
          </w:tcPr>
          <w:p w14:paraId="5685F0FD" w14:textId="7B508A85" w:rsidR="003E5241" w:rsidRPr="00873B6C" w:rsidRDefault="003E5241" w:rsidP="009C14A7">
            <w:pPr>
              <w:pStyle w:val="TAC"/>
              <w:rPr>
                <w:sz w:val="16"/>
                <w:szCs w:val="16"/>
              </w:rPr>
            </w:pPr>
            <w:r w:rsidRPr="00873B6C">
              <w:rPr>
                <w:sz w:val="16"/>
                <w:szCs w:val="16"/>
              </w:rPr>
              <w:t>SP-221089</w:t>
            </w:r>
          </w:p>
        </w:tc>
        <w:tc>
          <w:tcPr>
            <w:tcW w:w="567" w:type="dxa"/>
            <w:shd w:val="solid" w:color="FFFFFF" w:fill="auto"/>
          </w:tcPr>
          <w:p w14:paraId="6B7B086E" w14:textId="14BE7359" w:rsidR="003E5241" w:rsidRPr="00873B6C" w:rsidRDefault="003E5241" w:rsidP="009C14A7">
            <w:pPr>
              <w:pStyle w:val="TAL"/>
              <w:rPr>
                <w:sz w:val="16"/>
                <w:szCs w:val="16"/>
              </w:rPr>
            </w:pPr>
            <w:r w:rsidRPr="00873B6C">
              <w:rPr>
                <w:sz w:val="16"/>
                <w:szCs w:val="16"/>
              </w:rPr>
              <w:t>3715</w:t>
            </w:r>
          </w:p>
        </w:tc>
        <w:tc>
          <w:tcPr>
            <w:tcW w:w="425" w:type="dxa"/>
            <w:shd w:val="solid" w:color="FFFFFF" w:fill="auto"/>
          </w:tcPr>
          <w:p w14:paraId="69FF491D" w14:textId="0457B080" w:rsidR="003E5241" w:rsidRPr="00873B6C" w:rsidRDefault="003E5241" w:rsidP="009C14A7">
            <w:pPr>
              <w:pStyle w:val="TAL"/>
              <w:rPr>
                <w:sz w:val="16"/>
                <w:szCs w:val="16"/>
              </w:rPr>
            </w:pPr>
            <w:r w:rsidRPr="00873B6C">
              <w:rPr>
                <w:sz w:val="16"/>
                <w:szCs w:val="16"/>
              </w:rPr>
              <w:t>1</w:t>
            </w:r>
          </w:p>
        </w:tc>
        <w:tc>
          <w:tcPr>
            <w:tcW w:w="425" w:type="dxa"/>
            <w:shd w:val="solid" w:color="FFFFFF" w:fill="auto"/>
          </w:tcPr>
          <w:p w14:paraId="01A4BFC5" w14:textId="29493AB9" w:rsidR="003E5241" w:rsidRPr="00873B6C" w:rsidRDefault="003E5241" w:rsidP="009C14A7">
            <w:pPr>
              <w:pStyle w:val="TAL"/>
              <w:rPr>
                <w:sz w:val="16"/>
                <w:szCs w:val="16"/>
              </w:rPr>
            </w:pPr>
            <w:r w:rsidRPr="00873B6C">
              <w:rPr>
                <w:sz w:val="16"/>
                <w:szCs w:val="16"/>
              </w:rPr>
              <w:t>B</w:t>
            </w:r>
          </w:p>
        </w:tc>
        <w:tc>
          <w:tcPr>
            <w:tcW w:w="4820" w:type="dxa"/>
            <w:shd w:val="solid" w:color="FFFFFF" w:fill="auto"/>
          </w:tcPr>
          <w:p w14:paraId="285DA110" w14:textId="3D817F75" w:rsidR="003E5241" w:rsidRPr="00873B6C" w:rsidRDefault="003E5241" w:rsidP="009C14A7">
            <w:pPr>
              <w:pStyle w:val="TAL"/>
              <w:rPr>
                <w:sz w:val="16"/>
                <w:szCs w:val="16"/>
              </w:rPr>
            </w:pPr>
            <w:r w:rsidRPr="00873B6C">
              <w:rPr>
                <w:sz w:val="16"/>
                <w:szCs w:val="16"/>
              </w:rPr>
              <w:t>TS 23.501 Enhancing External Exposure of Network Capability</w:t>
            </w:r>
          </w:p>
        </w:tc>
        <w:tc>
          <w:tcPr>
            <w:tcW w:w="708" w:type="dxa"/>
            <w:shd w:val="solid" w:color="FFFFFF" w:fill="auto"/>
          </w:tcPr>
          <w:p w14:paraId="2AF8BB02" w14:textId="4CC1CE35" w:rsidR="003E5241" w:rsidRPr="00873B6C" w:rsidRDefault="003E5241" w:rsidP="009C14A7">
            <w:pPr>
              <w:pStyle w:val="TAC"/>
              <w:rPr>
                <w:sz w:val="16"/>
                <w:szCs w:val="16"/>
              </w:rPr>
            </w:pPr>
            <w:r w:rsidRPr="00873B6C">
              <w:rPr>
                <w:sz w:val="16"/>
                <w:szCs w:val="16"/>
              </w:rPr>
              <w:t>18.0.0</w:t>
            </w:r>
          </w:p>
        </w:tc>
      </w:tr>
      <w:tr w:rsidR="003E5241" w:rsidRPr="00873B6C" w14:paraId="423C5CF9" w14:textId="77777777" w:rsidTr="009D14FB">
        <w:tc>
          <w:tcPr>
            <w:tcW w:w="800" w:type="dxa"/>
            <w:shd w:val="solid" w:color="FFFFFF" w:fill="auto"/>
          </w:tcPr>
          <w:p w14:paraId="1E335DA6" w14:textId="20C79493" w:rsidR="003E5241" w:rsidRPr="00873B6C" w:rsidRDefault="003E5241" w:rsidP="009C14A7">
            <w:pPr>
              <w:pStyle w:val="TAC"/>
              <w:rPr>
                <w:sz w:val="16"/>
                <w:szCs w:val="16"/>
              </w:rPr>
            </w:pPr>
            <w:r w:rsidRPr="00873B6C">
              <w:rPr>
                <w:sz w:val="16"/>
                <w:szCs w:val="16"/>
              </w:rPr>
              <w:t>2022-12</w:t>
            </w:r>
          </w:p>
        </w:tc>
        <w:tc>
          <w:tcPr>
            <w:tcW w:w="800" w:type="dxa"/>
            <w:shd w:val="solid" w:color="FFFFFF" w:fill="auto"/>
          </w:tcPr>
          <w:p w14:paraId="339C750F" w14:textId="239B9642" w:rsidR="003E5241" w:rsidRPr="00873B6C" w:rsidRDefault="003E5241" w:rsidP="009C14A7">
            <w:pPr>
              <w:pStyle w:val="TAL"/>
              <w:rPr>
                <w:sz w:val="16"/>
                <w:szCs w:val="16"/>
              </w:rPr>
            </w:pPr>
            <w:r w:rsidRPr="00873B6C">
              <w:rPr>
                <w:sz w:val="16"/>
                <w:szCs w:val="16"/>
              </w:rPr>
              <w:t>SP#98E</w:t>
            </w:r>
          </w:p>
        </w:tc>
        <w:tc>
          <w:tcPr>
            <w:tcW w:w="1094" w:type="dxa"/>
            <w:shd w:val="solid" w:color="FFFFFF" w:fill="auto"/>
          </w:tcPr>
          <w:p w14:paraId="14438C6E" w14:textId="7603A689" w:rsidR="003E5241" w:rsidRPr="00873B6C" w:rsidRDefault="003E5241" w:rsidP="009C14A7">
            <w:pPr>
              <w:pStyle w:val="TAC"/>
              <w:rPr>
                <w:sz w:val="16"/>
                <w:szCs w:val="16"/>
              </w:rPr>
            </w:pPr>
            <w:r w:rsidRPr="00873B6C">
              <w:rPr>
                <w:sz w:val="16"/>
                <w:szCs w:val="16"/>
              </w:rPr>
              <w:t>SP-221093</w:t>
            </w:r>
          </w:p>
        </w:tc>
        <w:tc>
          <w:tcPr>
            <w:tcW w:w="567" w:type="dxa"/>
            <w:shd w:val="solid" w:color="FFFFFF" w:fill="auto"/>
          </w:tcPr>
          <w:p w14:paraId="7E6F127A" w14:textId="3673C4DF" w:rsidR="003E5241" w:rsidRPr="00873B6C" w:rsidRDefault="003E5241" w:rsidP="009C14A7">
            <w:pPr>
              <w:pStyle w:val="TAL"/>
              <w:rPr>
                <w:sz w:val="16"/>
                <w:szCs w:val="16"/>
              </w:rPr>
            </w:pPr>
            <w:r w:rsidRPr="00873B6C">
              <w:rPr>
                <w:sz w:val="16"/>
                <w:szCs w:val="16"/>
              </w:rPr>
              <w:t>3723</w:t>
            </w:r>
          </w:p>
        </w:tc>
        <w:tc>
          <w:tcPr>
            <w:tcW w:w="425" w:type="dxa"/>
            <w:shd w:val="solid" w:color="FFFFFF" w:fill="auto"/>
          </w:tcPr>
          <w:p w14:paraId="0624CD35" w14:textId="4DAD14DE" w:rsidR="003E5241" w:rsidRPr="00873B6C" w:rsidRDefault="003E5241" w:rsidP="009C14A7">
            <w:pPr>
              <w:pStyle w:val="TAL"/>
              <w:rPr>
                <w:sz w:val="16"/>
                <w:szCs w:val="16"/>
              </w:rPr>
            </w:pPr>
            <w:r w:rsidRPr="00873B6C">
              <w:rPr>
                <w:sz w:val="16"/>
                <w:szCs w:val="16"/>
              </w:rPr>
              <w:t>1</w:t>
            </w:r>
          </w:p>
        </w:tc>
        <w:tc>
          <w:tcPr>
            <w:tcW w:w="425" w:type="dxa"/>
            <w:shd w:val="solid" w:color="FFFFFF" w:fill="auto"/>
          </w:tcPr>
          <w:p w14:paraId="4CE11988" w14:textId="03EBE7DD" w:rsidR="003E5241" w:rsidRPr="00873B6C" w:rsidRDefault="003E5241" w:rsidP="009C14A7">
            <w:pPr>
              <w:pStyle w:val="TAL"/>
              <w:rPr>
                <w:sz w:val="16"/>
                <w:szCs w:val="16"/>
              </w:rPr>
            </w:pPr>
            <w:r w:rsidRPr="00873B6C">
              <w:rPr>
                <w:sz w:val="16"/>
                <w:szCs w:val="16"/>
              </w:rPr>
              <w:t>B</w:t>
            </w:r>
          </w:p>
        </w:tc>
        <w:tc>
          <w:tcPr>
            <w:tcW w:w="4820" w:type="dxa"/>
            <w:shd w:val="solid" w:color="FFFFFF" w:fill="auto"/>
          </w:tcPr>
          <w:p w14:paraId="729D67D8" w14:textId="5C7BEED3" w:rsidR="003E5241" w:rsidRPr="00873B6C" w:rsidRDefault="003E5241" w:rsidP="009C14A7">
            <w:pPr>
              <w:pStyle w:val="TAL"/>
              <w:rPr>
                <w:sz w:val="16"/>
                <w:szCs w:val="16"/>
              </w:rPr>
            </w:pPr>
            <w:r w:rsidRPr="00873B6C">
              <w:rPr>
                <w:sz w:val="16"/>
                <w:szCs w:val="16"/>
              </w:rPr>
              <w:t>Update for UPF registration and event exposure related context concluded in FS_UPEAS</w:t>
            </w:r>
          </w:p>
        </w:tc>
        <w:tc>
          <w:tcPr>
            <w:tcW w:w="708" w:type="dxa"/>
            <w:shd w:val="solid" w:color="FFFFFF" w:fill="auto"/>
          </w:tcPr>
          <w:p w14:paraId="1BA5C9D3" w14:textId="200D321E" w:rsidR="003E5241" w:rsidRPr="00873B6C" w:rsidRDefault="003E5241" w:rsidP="009C14A7">
            <w:pPr>
              <w:pStyle w:val="TAC"/>
              <w:rPr>
                <w:sz w:val="16"/>
                <w:szCs w:val="16"/>
              </w:rPr>
            </w:pPr>
            <w:r w:rsidRPr="00873B6C">
              <w:rPr>
                <w:sz w:val="16"/>
                <w:szCs w:val="16"/>
              </w:rPr>
              <w:t>18.0.0</w:t>
            </w:r>
          </w:p>
        </w:tc>
      </w:tr>
      <w:tr w:rsidR="003E5241" w:rsidRPr="00873B6C" w14:paraId="3E49B62B" w14:textId="77777777" w:rsidTr="009D14FB">
        <w:tc>
          <w:tcPr>
            <w:tcW w:w="800" w:type="dxa"/>
            <w:shd w:val="solid" w:color="FFFFFF" w:fill="auto"/>
          </w:tcPr>
          <w:p w14:paraId="24EB77D2" w14:textId="2CDE66B0" w:rsidR="003E5241" w:rsidRPr="00873B6C" w:rsidRDefault="003E5241" w:rsidP="009C14A7">
            <w:pPr>
              <w:pStyle w:val="TAC"/>
              <w:rPr>
                <w:sz w:val="16"/>
                <w:szCs w:val="16"/>
              </w:rPr>
            </w:pPr>
            <w:r w:rsidRPr="00873B6C">
              <w:rPr>
                <w:sz w:val="16"/>
                <w:szCs w:val="16"/>
              </w:rPr>
              <w:t>2022-12</w:t>
            </w:r>
          </w:p>
        </w:tc>
        <w:tc>
          <w:tcPr>
            <w:tcW w:w="800" w:type="dxa"/>
            <w:shd w:val="solid" w:color="FFFFFF" w:fill="auto"/>
          </w:tcPr>
          <w:p w14:paraId="7860834F" w14:textId="6B164A52" w:rsidR="003E5241" w:rsidRPr="00873B6C" w:rsidRDefault="003E5241" w:rsidP="009C14A7">
            <w:pPr>
              <w:pStyle w:val="TAL"/>
              <w:rPr>
                <w:sz w:val="16"/>
                <w:szCs w:val="16"/>
              </w:rPr>
            </w:pPr>
            <w:r w:rsidRPr="00873B6C">
              <w:rPr>
                <w:sz w:val="16"/>
                <w:szCs w:val="16"/>
              </w:rPr>
              <w:t>SP#98E</w:t>
            </w:r>
          </w:p>
        </w:tc>
        <w:tc>
          <w:tcPr>
            <w:tcW w:w="1094" w:type="dxa"/>
            <w:shd w:val="solid" w:color="FFFFFF" w:fill="auto"/>
          </w:tcPr>
          <w:p w14:paraId="299A6D9A" w14:textId="32790A99" w:rsidR="003E5241" w:rsidRPr="00873B6C" w:rsidRDefault="003E5241" w:rsidP="009C14A7">
            <w:pPr>
              <w:pStyle w:val="TAC"/>
              <w:rPr>
                <w:sz w:val="16"/>
                <w:szCs w:val="16"/>
              </w:rPr>
            </w:pPr>
            <w:r w:rsidRPr="00873B6C">
              <w:rPr>
                <w:sz w:val="16"/>
                <w:szCs w:val="16"/>
              </w:rPr>
              <w:t>SP-221087</w:t>
            </w:r>
          </w:p>
        </w:tc>
        <w:tc>
          <w:tcPr>
            <w:tcW w:w="567" w:type="dxa"/>
            <w:shd w:val="solid" w:color="FFFFFF" w:fill="auto"/>
          </w:tcPr>
          <w:p w14:paraId="246B892F" w14:textId="44181185" w:rsidR="003E5241" w:rsidRPr="00873B6C" w:rsidRDefault="003E5241" w:rsidP="009C14A7">
            <w:pPr>
              <w:pStyle w:val="TAL"/>
              <w:rPr>
                <w:sz w:val="16"/>
                <w:szCs w:val="16"/>
              </w:rPr>
            </w:pPr>
            <w:r w:rsidRPr="00873B6C">
              <w:rPr>
                <w:sz w:val="16"/>
                <w:szCs w:val="16"/>
              </w:rPr>
              <w:t>3730</w:t>
            </w:r>
          </w:p>
        </w:tc>
        <w:tc>
          <w:tcPr>
            <w:tcW w:w="425" w:type="dxa"/>
            <w:shd w:val="solid" w:color="FFFFFF" w:fill="auto"/>
          </w:tcPr>
          <w:p w14:paraId="4C7A9A8D" w14:textId="406836D2" w:rsidR="003E5241" w:rsidRPr="00873B6C" w:rsidRDefault="003E5241" w:rsidP="009C14A7">
            <w:pPr>
              <w:pStyle w:val="TAL"/>
              <w:rPr>
                <w:sz w:val="16"/>
                <w:szCs w:val="16"/>
              </w:rPr>
            </w:pPr>
            <w:r w:rsidRPr="00873B6C">
              <w:rPr>
                <w:sz w:val="16"/>
                <w:szCs w:val="16"/>
              </w:rPr>
              <w:t>-</w:t>
            </w:r>
          </w:p>
        </w:tc>
        <w:tc>
          <w:tcPr>
            <w:tcW w:w="425" w:type="dxa"/>
            <w:shd w:val="solid" w:color="FFFFFF" w:fill="auto"/>
          </w:tcPr>
          <w:p w14:paraId="16880232" w14:textId="5A752EBF" w:rsidR="003E5241" w:rsidRPr="00873B6C" w:rsidRDefault="003E5241" w:rsidP="009C14A7">
            <w:pPr>
              <w:pStyle w:val="TAL"/>
              <w:rPr>
                <w:sz w:val="16"/>
                <w:szCs w:val="16"/>
              </w:rPr>
            </w:pPr>
            <w:r w:rsidRPr="00873B6C">
              <w:rPr>
                <w:sz w:val="16"/>
                <w:szCs w:val="16"/>
              </w:rPr>
              <w:t>B</w:t>
            </w:r>
          </w:p>
        </w:tc>
        <w:tc>
          <w:tcPr>
            <w:tcW w:w="4820" w:type="dxa"/>
            <w:shd w:val="solid" w:color="FFFFFF" w:fill="auto"/>
          </w:tcPr>
          <w:p w14:paraId="7AC8EC03" w14:textId="7B899BF2" w:rsidR="003E5241" w:rsidRPr="00873B6C" w:rsidRDefault="003E5241" w:rsidP="009C14A7">
            <w:pPr>
              <w:pStyle w:val="TAL"/>
              <w:rPr>
                <w:sz w:val="16"/>
                <w:szCs w:val="16"/>
              </w:rPr>
            </w:pPr>
            <w:r w:rsidRPr="00873B6C">
              <w:rPr>
                <w:sz w:val="16"/>
                <w:szCs w:val="16"/>
              </w:rPr>
              <w:t>Equivalent SNPN support</w:t>
            </w:r>
          </w:p>
        </w:tc>
        <w:tc>
          <w:tcPr>
            <w:tcW w:w="708" w:type="dxa"/>
            <w:shd w:val="solid" w:color="FFFFFF" w:fill="auto"/>
          </w:tcPr>
          <w:p w14:paraId="0913239B" w14:textId="4B8F2ECC" w:rsidR="003E5241" w:rsidRPr="00873B6C" w:rsidRDefault="003E5241" w:rsidP="009C14A7">
            <w:pPr>
              <w:pStyle w:val="TAC"/>
              <w:rPr>
                <w:sz w:val="16"/>
                <w:szCs w:val="16"/>
              </w:rPr>
            </w:pPr>
            <w:r w:rsidRPr="00873B6C">
              <w:rPr>
                <w:sz w:val="16"/>
                <w:szCs w:val="16"/>
              </w:rPr>
              <w:t>18.0.0</w:t>
            </w:r>
          </w:p>
        </w:tc>
      </w:tr>
      <w:tr w:rsidR="0026280E" w:rsidRPr="00873B6C" w14:paraId="172F82C3" w14:textId="77777777" w:rsidTr="009D14FB">
        <w:tc>
          <w:tcPr>
            <w:tcW w:w="800" w:type="dxa"/>
            <w:shd w:val="solid" w:color="FFFFFF" w:fill="auto"/>
          </w:tcPr>
          <w:p w14:paraId="49E6CB19" w14:textId="14B83EE5" w:rsidR="0026280E" w:rsidRPr="00873B6C" w:rsidRDefault="0026280E" w:rsidP="009C14A7">
            <w:pPr>
              <w:pStyle w:val="TAC"/>
              <w:rPr>
                <w:sz w:val="16"/>
                <w:szCs w:val="16"/>
              </w:rPr>
            </w:pPr>
            <w:r w:rsidRPr="00873B6C">
              <w:rPr>
                <w:sz w:val="16"/>
                <w:szCs w:val="16"/>
              </w:rPr>
              <w:t>2022-12</w:t>
            </w:r>
          </w:p>
        </w:tc>
        <w:tc>
          <w:tcPr>
            <w:tcW w:w="800" w:type="dxa"/>
            <w:shd w:val="solid" w:color="FFFFFF" w:fill="auto"/>
          </w:tcPr>
          <w:p w14:paraId="360A6077" w14:textId="7B5198AD" w:rsidR="0026280E" w:rsidRPr="00873B6C" w:rsidRDefault="0026280E" w:rsidP="009C14A7">
            <w:pPr>
              <w:pStyle w:val="TAL"/>
              <w:rPr>
                <w:sz w:val="16"/>
                <w:szCs w:val="16"/>
              </w:rPr>
            </w:pPr>
            <w:r w:rsidRPr="00873B6C">
              <w:rPr>
                <w:sz w:val="16"/>
                <w:szCs w:val="16"/>
              </w:rPr>
              <w:t>SP#98E</w:t>
            </w:r>
          </w:p>
        </w:tc>
        <w:tc>
          <w:tcPr>
            <w:tcW w:w="1094" w:type="dxa"/>
            <w:shd w:val="solid" w:color="FFFFFF" w:fill="auto"/>
          </w:tcPr>
          <w:p w14:paraId="47237BAA" w14:textId="0CFF8555" w:rsidR="0026280E" w:rsidRPr="00873B6C" w:rsidRDefault="0026280E" w:rsidP="009C14A7">
            <w:pPr>
              <w:pStyle w:val="TAC"/>
              <w:rPr>
                <w:sz w:val="16"/>
                <w:szCs w:val="16"/>
              </w:rPr>
            </w:pPr>
            <w:r w:rsidRPr="00873B6C">
              <w:rPr>
                <w:sz w:val="16"/>
                <w:szCs w:val="16"/>
              </w:rPr>
              <w:t>SP-221094</w:t>
            </w:r>
          </w:p>
        </w:tc>
        <w:tc>
          <w:tcPr>
            <w:tcW w:w="567" w:type="dxa"/>
            <w:shd w:val="solid" w:color="FFFFFF" w:fill="auto"/>
          </w:tcPr>
          <w:p w14:paraId="374BF8B5" w14:textId="76C4E608" w:rsidR="0026280E" w:rsidRPr="00873B6C" w:rsidRDefault="0026280E" w:rsidP="009C14A7">
            <w:pPr>
              <w:pStyle w:val="TAL"/>
              <w:rPr>
                <w:sz w:val="16"/>
                <w:szCs w:val="16"/>
              </w:rPr>
            </w:pPr>
            <w:r w:rsidRPr="00873B6C">
              <w:rPr>
                <w:sz w:val="16"/>
                <w:szCs w:val="16"/>
              </w:rPr>
              <w:t>3733</w:t>
            </w:r>
          </w:p>
        </w:tc>
        <w:tc>
          <w:tcPr>
            <w:tcW w:w="425" w:type="dxa"/>
            <w:shd w:val="solid" w:color="FFFFFF" w:fill="auto"/>
          </w:tcPr>
          <w:p w14:paraId="78910A52" w14:textId="7AB9BE2F" w:rsidR="0026280E" w:rsidRPr="00873B6C" w:rsidRDefault="0026280E" w:rsidP="009C14A7">
            <w:pPr>
              <w:pStyle w:val="TAL"/>
              <w:rPr>
                <w:sz w:val="16"/>
                <w:szCs w:val="16"/>
              </w:rPr>
            </w:pPr>
          </w:p>
        </w:tc>
        <w:tc>
          <w:tcPr>
            <w:tcW w:w="425" w:type="dxa"/>
            <w:shd w:val="solid" w:color="FFFFFF" w:fill="auto"/>
          </w:tcPr>
          <w:p w14:paraId="6F45F26F" w14:textId="2868B633" w:rsidR="0026280E" w:rsidRPr="00873B6C" w:rsidRDefault="0026280E" w:rsidP="009C14A7">
            <w:pPr>
              <w:pStyle w:val="TAL"/>
              <w:rPr>
                <w:sz w:val="16"/>
                <w:szCs w:val="16"/>
              </w:rPr>
            </w:pPr>
            <w:r w:rsidRPr="00873B6C">
              <w:rPr>
                <w:sz w:val="16"/>
                <w:szCs w:val="16"/>
              </w:rPr>
              <w:t>F</w:t>
            </w:r>
          </w:p>
        </w:tc>
        <w:tc>
          <w:tcPr>
            <w:tcW w:w="4820" w:type="dxa"/>
            <w:shd w:val="solid" w:color="FFFFFF" w:fill="auto"/>
          </w:tcPr>
          <w:p w14:paraId="697275E5" w14:textId="4BF2D50E" w:rsidR="0026280E" w:rsidRPr="00873B6C" w:rsidRDefault="0026280E" w:rsidP="009C14A7">
            <w:pPr>
              <w:pStyle w:val="TAL"/>
              <w:rPr>
                <w:sz w:val="16"/>
                <w:szCs w:val="16"/>
              </w:rPr>
            </w:pPr>
            <w:r w:rsidRPr="00873B6C">
              <w:rPr>
                <w:sz w:val="16"/>
                <w:szCs w:val="16"/>
              </w:rPr>
              <w:t>De-activation timer for eCall only mode UE in RRC_INACTIVE</w:t>
            </w:r>
          </w:p>
        </w:tc>
        <w:tc>
          <w:tcPr>
            <w:tcW w:w="708" w:type="dxa"/>
            <w:shd w:val="solid" w:color="FFFFFF" w:fill="auto"/>
          </w:tcPr>
          <w:p w14:paraId="6721CFD8" w14:textId="7AE81904" w:rsidR="0026280E" w:rsidRPr="00873B6C" w:rsidRDefault="0026280E" w:rsidP="009C14A7">
            <w:pPr>
              <w:pStyle w:val="TAC"/>
              <w:rPr>
                <w:sz w:val="16"/>
                <w:szCs w:val="16"/>
              </w:rPr>
            </w:pPr>
            <w:r w:rsidRPr="00873B6C">
              <w:rPr>
                <w:sz w:val="16"/>
                <w:szCs w:val="16"/>
              </w:rPr>
              <w:t>18.0.0</w:t>
            </w:r>
          </w:p>
        </w:tc>
      </w:tr>
      <w:tr w:rsidR="0026280E" w:rsidRPr="00873B6C" w14:paraId="4707383F" w14:textId="77777777" w:rsidTr="009D14FB">
        <w:tc>
          <w:tcPr>
            <w:tcW w:w="800" w:type="dxa"/>
            <w:shd w:val="solid" w:color="FFFFFF" w:fill="auto"/>
          </w:tcPr>
          <w:p w14:paraId="5CBDB439" w14:textId="7B059948" w:rsidR="0026280E" w:rsidRPr="00873B6C" w:rsidRDefault="0026280E" w:rsidP="009C14A7">
            <w:pPr>
              <w:pStyle w:val="TAC"/>
              <w:rPr>
                <w:sz w:val="16"/>
                <w:szCs w:val="16"/>
              </w:rPr>
            </w:pPr>
            <w:r w:rsidRPr="00873B6C">
              <w:rPr>
                <w:sz w:val="16"/>
                <w:szCs w:val="16"/>
              </w:rPr>
              <w:t>2022-12</w:t>
            </w:r>
          </w:p>
        </w:tc>
        <w:tc>
          <w:tcPr>
            <w:tcW w:w="800" w:type="dxa"/>
            <w:shd w:val="solid" w:color="FFFFFF" w:fill="auto"/>
          </w:tcPr>
          <w:p w14:paraId="74B7D2BC" w14:textId="20D65B8A" w:rsidR="0026280E" w:rsidRPr="00873B6C" w:rsidRDefault="0026280E" w:rsidP="009C14A7">
            <w:pPr>
              <w:pStyle w:val="TAL"/>
              <w:rPr>
                <w:sz w:val="16"/>
                <w:szCs w:val="16"/>
              </w:rPr>
            </w:pPr>
            <w:r w:rsidRPr="00873B6C">
              <w:rPr>
                <w:sz w:val="16"/>
                <w:szCs w:val="16"/>
              </w:rPr>
              <w:t>SP#98E</w:t>
            </w:r>
          </w:p>
        </w:tc>
        <w:tc>
          <w:tcPr>
            <w:tcW w:w="1094" w:type="dxa"/>
            <w:shd w:val="solid" w:color="FFFFFF" w:fill="auto"/>
          </w:tcPr>
          <w:p w14:paraId="4B1C62F1" w14:textId="59371DA5" w:rsidR="0026280E" w:rsidRPr="00873B6C" w:rsidRDefault="0026280E" w:rsidP="009C14A7">
            <w:pPr>
              <w:pStyle w:val="TAC"/>
              <w:rPr>
                <w:sz w:val="16"/>
                <w:szCs w:val="16"/>
              </w:rPr>
            </w:pPr>
            <w:r w:rsidRPr="00873B6C">
              <w:rPr>
                <w:sz w:val="16"/>
                <w:szCs w:val="16"/>
              </w:rPr>
              <w:t>SP-221092</w:t>
            </w:r>
          </w:p>
        </w:tc>
        <w:tc>
          <w:tcPr>
            <w:tcW w:w="567" w:type="dxa"/>
            <w:shd w:val="solid" w:color="FFFFFF" w:fill="auto"/>
          </w:tcPr>
          <w:p w14:paraId="1B0CA014" w14:textId="63E6D05A" w:rsidR="0026280E" w:rsidRPr="00873B6C" w:rsidRDefault="0026280E" w:rsidP="009C14A7">
            <w:pPr>
              <w:pStyle w:val="TAL"/>
              <w:rPr>
                <w:sz w:val="16"/>
                <w:szCs w:val="16"/>
              </w:rPr>
            </w:pPr>
            <w:r w:rsidRPr="00873B6C">
              <w:rPr>
                <w:sz w:val="16"/>
                <w:szCs w:val="16"/>
              </w:rPr>
              <w:t>3734</w:t>
            </w:r>
          </w:p>
        </w:tc>
        <w:tc>
          <w:tcPr>
            <w:tcW w:w="425" w:type="dxa"/>
            <w:shd w:val="solid" w:color="FFFFFF" w:fill="auto"/>
          </w:tcPr>
          <w:p w14:paraId="4E65E1A7" w14:textId="28D3F107" w:rsidR="0026280E" w:rsidRPr="00873B6C" w:rsidRDefault="0026280E" w:rsidP="009C14A7">
            <w:pPr>
              <w:pStyle w:val="TAL"/>
              <w:rPr>
                <w:sz w:val="16"/>
                <w:szCs w:val="16"/>
              </w:rPr>
            </w:pPr>
            <w:r w:rsidRPr="00873B6C">
              <w:rPr>
                <w:sz w:val="16"/>
                <w:szCs w:val="16"/>
              </w:rPr>
              <w:t>5</w:t>
            </w:r>
          </w:p>
        </w:tc>
        <w:tc>
          <w:tcPr>
            <w:tcW w:w="425" w:type="dxa"/>
            <w:shd w:val="solid" w:color="FFFFFF" w:fill="auto"/>
          </w:tcPr>
          <w:p w14:paraId="358E9AF6" w14:textId="51209C22" w:rsidR="0026280E" w:rsidRPr="00873B6C" w:rsidRDefault="0026280E" w:rsidP="009C14A7">
            <w:pPr>
              <w:pStyle w:val="TAL"/>
              <w:rPr>
                <w:sz w:val="16"/>
                <w:szCs w:val="16"/>
              </w:rPr>
            </w:pPr>
            <w:r w:rsidRPr="00873B6C">
              <w:rPr>
                <w:sz w:val="16"/>
                <w:szCs w:val="16"/>
              </w:rPr>
              <w:t>B</w:t>
            </w:r>
          </w:p>
        </w:tc>
        <w:tc>
          <w:tcPr>
            <w:tcW w:w="4820" w:type="dxa"/>
            <w:shd w:val="solid" w:color="FFFFFF" w:fill="auto"/>
          </w:tcPr>
          <w:p w14:paraId="3ADB9A4C" w14:textId="44AA6B34" w:rsidR="0026280E" w:rsidRPr="00873B6C" w:rsidRDefault="0026280E" w:rsidP="009C14A7">
            <w:pPr>
              <w:pStyle w:val="TAL"/>
              <w:rPr>
                <w:sz w:val="16"/>
                <w:szCs w:val="16"/>
              </w:rPr>
            </w:pPr>
            <w:r w:rsidRPr="00873B6C">
              <w:rPr>
                <w:sz w:val="16"/>
                <w:szCs w:val="16"/>
              </w:rPr>
              <w:t>RAN feedback for burst sending time adjustment</w:t>
            </w:r>
          </w:p>
        </w:tc>
        <w:tc>
          <w:tcPr>
            <w:tcW w:w="708" w:type="dxa"/>
            <w:shd w:val="solid" w:color="FFFFFF" w:fill="auto"/>
          </w:tcPr>
          <w:p w14:paraId="15BB21AA" w14:textId="172B44FE" w:rsidR="0026280E" w:rsidRPr="00873B6C" w:rsidRDefault="0026280E" w:rsidP="009C14A7">
            <w:pPr>
              <w:pStyle w:val="TAC"/>
              <w:rPr>
                <w:sz w:val="16"/>
                <w:szCs w:val="16"/>
              </w:rPr>
            </w:pPr>
            <w:r w:rsidRPr="00873B6C">
              <w:rPr>
                <w:sz w:val="16"/>
                <w:szCs w:val="16"/>
              </w:rPr>
              <w:t>18.0.0</w:t>
            </w:r>
          </w:p>
        </w:tc>
      </w:tr>
      <w:tr w:rsidR="00872C86" w:rsidRPr="00873B6C" w14:paraId="0DB5A216" w14:textId="77777777" w:rsidTr="009D14FB">
        <w:tc>
          <w:tcPr>
            <w:tcW w:w="800" w:type="dxa"/>
            <w:shd w:val="solid" w:color="FFFFFF" w:fill="auto"/>
          </w:tcPr>
          <w:p w14:paraId="74454063" w14:textId="0C17D08E" w:rsidR="00872C86" w:rsidRPr="00873B6C" w:rsidRDefault="00872C86" w:rsidP="009C14A7">
            <w:pPr>
              <w:pStyle w:val="TAC"/>
              <w:rPr>
                <w:sz w:val="16"/>
                <w:szCs w:val="16"/>
              </w:rPr>
            </w:pPr>
            <w:r w:rsidRPr="00873B6C">
              <w:rPr>
                <w:sz w:val="16"/>
                <w:szCs w:val="16"/>
              </w:rPr>
              <w:t>2022-12</w:t>
            </w:r>
          </w:p>
        </w:tc>
        <w:tc>
          <w:tcPr>
            <w:tcW w:w="800" w:type="dxa"/>
            <w:shd w:val="solid" w:color="FFFFFF" w:fill="auto"/>
          </w:tcPr>
          <w:p w14:paraId="1FC40576" w14:textId="08A891A9" w:rsidR="00872C86" w:rsidRPr="00873B6C" w:rsidRDefault="00872C86" w:rsidP="009C14A7">
            <w:pPr>
              <w:pStyle w:val="TAL"/>
              <w:rPr>
                <w:sz w:val="16"/>
                <w:szCs w:val="16"/>
              </w:rPr>
            </w:pPr>
            <w:r w:rsidRPr="00873B6C">
              <w:rPr>
                <w:sz w:val="16"/>
                <w:szCs w:val="16"/>
              </w:rPr>
              <w:t>SP#98E</w:t>
            </w:r>
          </w:p>
        </w:tc>
        <w:tc>
          <w:tcPr>
            <w:tcW w:w="1094" w:type="dxa"/>
            <w:shd w:val="solid" w:color="FFFFFF" w:fill="auto"/>
          </w:tcPr>
          <w:p w14:paraId="3E123E22" w14:textId="25B5E82D" w:rsidR="00872C86" w:rsidRPr="00873B6C" w:rsidRDefault="00872C86" w:rsidP="009C14A7">
            <w:pPr>
              <w:pStyle w:val="TAC"/>
              <w:rPr>
                <w:sz w:val="16"/>
                <w:szCs w:val="16"/>
              </w:rPr>
            </w:pPr>
            <w:r w:rsidRPr="00873B6C">
              <w:rPr>
                <w:sz w:val="16"/>
                <w:szCs w:val="16"/>
              </w:rPr>
              <w:t>SP-221093</w:t>
            </w:r>
          </w:p>
        </w:tc>
        <w:tc>
          <w:tcPr>
            <w:tcW w:w="567" w:type="dxa"/>
            <w:shd w:val="solid" w:color="FFFFFF" w:fill="auto"/>
          </w:tcPr>
          <w:p w14:paraId="5CE67604" w14:textId="7810F6F3" w:rsidR="00872C86" w:rsidRPr="00873B6C" w:rsidRDefault="00872C86" w:rsidP="009C14A7">
            <w:pPr>
              <w:pStyle w:val="TAL"/>
              <w:rPr>
                <w:sz w:val="16"/>
                <w:szCs w:val="16"/>
              </w:rPr>
            </w:pPr>
            <w:r w:rsidRPr="00873B6C">
              <w:rPr>
                <w:sz w:val="16"/>
                <w:szCs w:val="16"/>
              </w:rPr>
              <w:t>3737</w:t>
            </w:r>
          </w:p>
        </w:tc>
        <w:tc>
          <w:tcPr>
            <w:tcW w:w="425" w:type="dxa"/>
            <w:shd w:val="solid" w:color="FFFFFF" w:fill="auto"/>
          </w:tcPr>
          <w:p w14:paraId="104A653A" w14:textId="243A0567" w:rsidR="00872C86" w:rsidRPr="00873B6C" w:rsidRDefault="00872C86" w:rsidP="009C14A7">
            <w:pPr>
              <w:pStyle w:val="TAL"/>
              <w:rPr>
                <w:sz w:val="16"/>
                <w:szCs w:val="16"/>
              </w:rPr>
            </w:pPr>
            <w:r w:rsidRPr="00873B6C">
              <w:rPr>
                <w:sz w:val="16"/>
                <w:szCs w:val="16"/>
              </w:rPr>
              <w:t>1</w:t>
            </w:r>
          </w:p>
        </w:tc>
        <w:tc>
          <w:tcPr>
            <w:tcW w:w="425" w:type="dxa"/>
            <w:shd w:val="solid" w:color="FFFFFF" w:fill="auto"/>
          </w:tcPr>
          <w:p w14:paraId="111A1985" w14:textId="25087A7A" w:rsidR="00872C86" w:rsidRPr="00873B6C" w:rsidRDefault="00872C86" w:rsidP="009C14A7">
            <w:pPr>
              <w:pStyle w:val="TAL"/>
              <w:rPr>
                <w:sz w:val="16"/>
                <w:szCs w:val="16"/>
              </w:rPr>
            </w:pPr>
            <w:r w:rsidRPr="00873B6C">
              <w:rPr>
                <w:sz w:val="16"/>
                <w:szCs w:val="16"/>
              </w:rPr>
              <w:t>B</w:t>
            </w:r>
          </w:p>
        </w:tc>
        <w:tc>
          <w:tcPr>
            <w:tcW w:w="4820" w:type="dxa"/>
            <w:shd w:val="solid" w:color="FFFFFF" w:fill="auto"/>
          </w:tcPr>
          <w:p w14:paraId="3151C6AE" w14:textId="6B962F33" w:rsidR="00872C86" w:rsidRPr="00873B6C" w:rsidRDefault="00872C86" w:rsidP="009C14A7">
            <w:pPr>
              <w:pStyle w:val="TAL"/>
              <w:rPr>
                <w:sz w:val="16"/>
                <w:szCs w:val="16"/>
              </w:rPr>
            </w:pPr>
            <w:r w:rsidRPr="00873B6C">
              <w:rPr>
                <w:sz w:val="16"/>
                <w:szCs w:val="16"/>
              </w:rPr>
              <w:t>Introduction of UPEAS</w:t>
            </w:r>
          </w:p>
        </w:tc>
        <w:tc>
          <w:tcPr>
            <w:tcW w:w="708" w:type="dxa"/>
            <w:shd w:val="solid" w:color="FFFFFF" w:fill="auto"/>
          </w:tcPr>
          <w:p w14:paraId="293FC001" w14:textId="1F8B7296" w:rsidR="00872C86" w:rsidRPr="00873B6C" w:rsidRDefault="00872C86" w:rsidP="009C14A7">
            <w:pPr>
              <w:pStyle w:val="TAC"/>
              <w:rPr>
                <w:sz w:val="16"/>
                <w:szCs w:val="16"/>
              </w:rPr>
            </w:pPr>
            <w:r w:rsidRPr="00873B6C">
              <w:rPr>
                <w:sz w:val="16"/>
                <w:szCs w:val="16"/>
              </w:rPr>
              <w:t>18.0.0</w:t>
            </w:r>
          </w:p>
        </w:tc>
      </w:tr>
      <w:tr w:rsidR="00872C86" w:rsidRPr="00873B6C" w14:paraId="435AD0E7" w14:textId="77777777" w:rsidTr="009D14FB">
        <w:tc>
          <w:tcPr>
            <w:tcW w:w="800" w:type="dxa"/>
            <w:shd w:val="solid" w:color="FFFFFF" w:fill="auto"/>
          </w:tcPr>
          <w:p w14:paraId="333A7313" w14:textId="0E0CF82D" w:rsidR="00872C86" w:rsidRPr="00873B6C" w:rsidRDefault="00872C86" w:rsidP="009C14A7">
            <w:pPr>
              <w:pStyle w:val="TAC"/>
              <w:rPr>
                <w:sz w:val="16"/>
                <w:szCs w:val="16"/>
              </w:rPr>
            </w:pPr>
            <w:r w:rsidRPr="00873B6C">
              <w:rPr>
                <w:sz w:val="16"/>
                <w:szCs w:val="16"/>
              </w:rPr>
              <w:t>2022-12</w:t>
            </w:r>
          </w:p>
        </w:tc>
        <w:tc>
          <w:tcPr>
            <w:tcW w:w="800" w:type="dxa"/>
            <w:shd w:val="solid" w:color="FFFFFF" w:fill="auto"/>
          </w:tcPr>
          <w:p w14:paraId="645D7E16" w14:textId="22998A0D" w:rsidR="00872C86" w:rsidRPr="00873B6C" w:rsidRDefault="00872C86" w:rsidP="009C14A7">
            <w:pPr>
              <w:pStyle w:val="TAL"/>
              <w:rPr>
                <w:sz w:val="16"/>
                <w:szCs w:val="16"/>
              </w:rPr>
            </w:pPr>
            <w:r w:rsidRPr="00873B6C">
              <w:rPr>
                <w:sz w:val="16"/>
                <w:szCs w:val="16"/>
              </w:rPr>
              <w:t>SP#98E</w:t>
            </w:r>
          </w:p>
        </w:tc>
        <w:tc>
          <w:tcPr>
            <w:tcW w:w="1094" w:type="dxa"/>
            <w:shd w:val="solid" w:color="FFFFFF" w:fill="auto"/>
          </w:tcPr>
          <w:p w14:paraId="71BAF831" w14:textId="3EC3931F" w:rsidR="00872C86" w:rsidRPr="00873B6C" w:rsidRDefault="00872C86" w:rsidP="009C14A7">
            <w:pPr>
              <w:pStyle w:val="TAC"/>
              <w:rPr>
                <w:sz w:val="16"/>
                <w:szCs w:val="16"/>
              </w:rPr>
            </w:pPr>
            <w:r w:rsidRPr="00873B6C">
              <w:rPr>
                <w:sz w:val="16"/>
                <w:szCs w:val="16"/>
              </w:rPr>
              <w:t>SP-221091</w:t>
            </w:r>
          </w:p>
        </w:tc>
        <w:tc>
          <w:tcPr>
            <w:tcW w:w="567" w:type="dxa"/>
            <w:shd w:val="solid" w:color="FFFFFF" w:fill="auto"/>
          </w:tcPr>
          <w:p w14:paraId="2CD066B7" w14:textId="044C7345" w:rsidR="00872C86" w:rsidRPr="00873B6C" w:rsidRDefault="00872C86" w:rsidP="009C14A7">
            <w:pPr>
              <w:pStyle w:val="TAL"/>
              <w:rPr>
                <w:sz w:val="16"/>
                <w:szCs w:val="16"/>
              </w:rPr>
            </w:pPr>
            <w:r w:rsidRPr="00873B6C">
              <w:rPr>
                <w:sz w:val="16"/>
                <w:szCs w:val="16"/>
              </w:rPr>
              <w:t>3749</w:t>
            </w:r>
          </w:p>
        </w:tc>
        <w:tc>
          <w:tcPr>
            <w:tcW w:w="425" w:type="dxa"/>
            <w:shd w:val="solid" w:color="FFFFFF" w:fill="auto"/>
          </w:tcPr>
          <w:p w14:paraId="52013825" w14:textId="7B14DCBC" w:rsidR="00872C86" w:rsidRPr="00873B6C" w:rsidRDefault="00872C86" w:rsidP="009C14A7">
            <w:pPr>
              <w:pStyle w:val="TAL"/>
              <w:rPr>
                <w:sz w:val="16"/>
                <w:szCs w:val="16"/>
              </w:rPr>
            </w:pPr>
            <w:r w:rsidRPr="00873B6C">
              <w:rPr>
                <w:sz w:val="16"/>
                <w:szCs w:val="16"/>
              </w:rPr>
              <w:t>1</w:t>
            </w:r>
          </w:p>
        </w:tc>
        <w:tc>
          <w:tcPr>
            <w:tcW w:w="425" w:type="dxa"/>
            <w:shd w:val="solid" w:color="FFFFFF" w:fill="auto"/>
          </w:tcPr>
          <w:p w14:paraId="13D3D017" w14:textId="430DBC63" w:rsidR="00872C86" w:rsidRPr="00873B6C" w:rsidRDefault="00872C86" w:rsidP="009C14A7">
            <w:pPr>
              <w:pStyle w:val="TAL"/>
              <w:rPr>
                <w:sz w:val="16"/>
                <w:szCs w:val="16"/>
              </w:rPr>
            </w:pPr>
            <w:r w:rsidRPr="00873B6C">
              <w:rPr>
                <w:sz w:val="16"/>
                <w:szCs w:val="16"/>
              </w:rPr>
              <w:t>B</w:t>
            </w:r>
          </w:p>
        </w:tc>
        <w:tc>
          <w:tcPr>
            <w:tcW w:w="4820" w:type="dxa"/>
            <w:shd w:val="solid" w:color="FFFFFF" w:fill="auto"/>
          </w:tcPr>
          <w:p w14:paraId="3FE2C45E" w14:textId="1B871981" w:rsidR="00872C86" w:rsidRPr="00873B6C" w:rsidRDefault="00872C86" w:rsidP="009C14A7">
            <w:pPr>
              <w:pStyle w:val="TAL"/>
              <w:rPr>
                <w:sz w:val="16"/>
                <w:szCs w:val="16"/>
              </w:rPr>
            </w:pPr>
            <w:r w:rsidRPr="00873B6C">
              <w:rPr>
                <w:sz w:val="16"/>
                <w:szCs w:val="16"/>
              </w:rPr>
              <w:t>Support of unavailability period</w:t>
            </w:r>
          </w:p>
        </w:tc>
        <w:tc>
          <w:tcPr>
            <w:tcW w:w="708" w:type="dxa"/>
            <w:shd w:val="solid" w:color="FFFFFF" w:fill="auto"/>
          </w:tcPr>
          <w:p w14:paraId="799424F5" w14:textId="40544A37" w:rsidR="00872C86" w:rsidRPr="00873B6C" w:rsidRDefault="00872C86" w:rsidP="009C14A7">
            <w:pPr>
              <w:pStyle w:val="TAC"/>
              <w:rPr>
                <w:sz w:val="16"/>
                <w:szCs w:val="16"/>
              </w:rPr>
            </w:pPr>
            <w:r w:rsidRPr="00873B6C">
              <w:rPr>
                <w:sz w:val="16"/>
                <w:szCs w:val="16"/>
              </w:rPr>
              <w:t>18.0.0</w:t>
            </w:r>
          </w:p>
        </w:tc>
      </w:tr>
      <w:tr w:rsidR="00872C86" w:rsidRPr="00873B6C" w14:paraId="4385EFC3" w14:textId="77777777" w:rsidTr="009D14FB">
        <w:tc>
          <w:tcPr>
            <w:tcW w:w="800" w:type="dxa"/>
            <w:shd w:val="solid" w:color="FFFFFF" w:fill="auto"/>
          </w:tcPr>
          <w:p w14:paraId="6AC5EAE1" w14:textId="044BD6FF" w:rsidR="00872C86" w:rsidRPr="00873B6C" w:rsidRDefault="00872C86" w:rsidP="009C14A7">
            <w:pPr>
              <w:pStyle w:val="TAC"/>
              <w:rPr>
                <w:sz w:val="16"/>
                <w:szCs w:val="16"/>
              </w:rPr>
            </w:pPr>
            <w:r w:rsidRPr="00873B6C">
              <w:rPr>
                <w:sz w:val="16"/>
                <w:szCs w:val="16"/>
              </w:rPr>
              <w:t>2022-12</w:t>
            </w:r>
          </w:p>
        </w:tc>
        <w:tc>
          <w:tcPr>
            <w:tcW w:w="800" w:type="dxa"/>
            <w:shd w:val="solid" w:color="FFFFFF" w:fill="auto"/>
          </w:tcPr>
          <w:p w14:paraId="45D0BA3E" w14:textId="6C83AF3A" w:rsidR="00872C86" w:rsidRPr="00873B6C" w:rsidRDefault="00872C86" w:rsidP="009C14A7">
            <w:pPr>
              <w:pStyle w:val="TAL"/>
              <w:rPr>
                <w:sz w:val="16"/>
                <w:szCs w:val="16"/>
              </w:rPr>
            </w:pPr>
            <w:r w:rsidRPr="00873B6C">
              <w:rPr>
                <w:sz w:val="16"/>
                <w:szCs w:val="16"/>
              </w:rPr>
              <w:t>SP#98E</w:t>
            </w:r>
          </w:p>
        </w:tc>
        <w:tc>
          <w:tcPr>
            <w:tcW w:w="1094" w:type="dxa"/>
            <w:shd w:val="solid" w:color="FFFFFF" w:fill="auto"/>
          </w:tcPr>
          <w:p w14:paraId="7385A3C7" w14:textId="30A1B3A9" w:rsidR="00872C86" w:rsidRPr="00873B6C" w:rsidRDefault="00872C86" w:rsidP="009C14A7">
            <w:pPr>
              <w:pStyle w:val="TAC"/>
              <w:rPr>
                <w:sz w:val="16"/>
                <w:szCs w:val="16"/>
              </w:rPr>
            </w:pPr>
            <w:r w:rsidRPr="00873B6C">
              <w:rPr>
                <w:sz w:val="16"/>
                <w:szCs w:val="16"/>
              </w:rPr>
              <w:t>SP-221094</w:t>
            </w:r>
          </w:p>
        </w:tc>
        <w:tc>
          <w:tcPr>
            <w:tcW w:w="567" w:type="dxa"/>
            <w:shd w:val="solid" w:color="FFFFFF" w:fill="auto"/>
          </w:tcPr>
          <w:p w14:paraId="68E8FF87" w14:textId="269BC347" w:rsidR="00872C86" w:rsidRPr="00873B6C" w:rsidRDefault="00872C86" w:rsidP="009C14A7">
            <w:pPr>
              <w:pStyle w:val="TAL"/>
              <w:rPr>
                <w:sz w:val="16"/>
                <w:szCs w:val="16"/>
              </w:rPr>
            </w:pPr>
            <w:r w:rsidRPr="00873B6C">
              <w:rPr>
                <w:sz w:val="16"/>
                <w:szCs w:val="16"/>
              </w:rPr>
              <w:t>3752</w:t>
            </w:r>
          </w:p>
        </w:tc>
        <w:tc>
          <w:tcPr>
            <w:tcW w:w="425" w:type="dxa"/>
            <w:shd w:val="solid" w:color="FFFFFF" w:fill="auto"/>
          </w:tcPr>
          <w:p w14:paraId="4D9FD029" w14:textId="3A79084B" w:rsidR="00872C86" w:rsidRPr="00873B6C" w:rsidRDefault="00872C86" w:rsidP="009C14A7">
            <w:pPr>
              <w:pStyle w:val="TAL"/>
              <w:rPr>
                <w:sz w:val="16"/>
                <w:szCs w:val="16"/>
              </w:rPr>
            </w:pPr>
            <w:r w:rsidRPr="00873B6C">
              <w:rPr>
                <w:sz w:val="16"/>
                <w:szCs w:val="16"/>
              </w:rPr>
              <w:t>1</w:t>
            </w:r>
          </w:p>
        </w:tc>
        <w:tc>
          <w:tcPr>
            <w:tcW w:w="425" w:type="dxa"/>
            <w:shd w:val="solid" w:color="FFFFFF" w:fill="auto"/>
          </w:tcPr>
          <w:p w14:paraId="070180E0" w14:textId="40CDF050" w:rsidR="00872C86" w:rsidRPr="00873B6C" w:rsidRDefault="00872C86" w:rsidP="009C14A7">
            <w:pPr>
              <w:pStyle w:val="TAL"/>
              <w:rPr>
                <w:sz w:val="16"/>
                <w:szCs w:val="16"/>
              </w:rPr>
            </w:pPr>
            <w:r w:rsidRPr="00873B6C">
              <w:rPr>
                <w:sz w:val="16"/>
                <w:szCs w:val="16"/>
              </w:rPr>
              <w:t>B</w:t>
            </w:r>
          </w:p>
        </w:tc>
        <w:tc>
          <w:tcPr>
            <w:tcW w:w="4820" w:type="dxa"/>
            <w:shd w:val="solid" w:color="FFFFFF" w:fill="auto"/>
          </w:tcPr>
          <w:p w14:paraId="5FB9CBE4" w14:textId="1EC67E7F" w:rsidR="00872C86" w:rsidRPr="00873B6C" w:rsidRDefault="00872C86" w:rsidP="009C14A7">
            <w:pPr>
              <w:pStyle w:val="TAL"/>
              <w:rPr>
                <w:sz w:val="16"/>
                <w:szCs w:val="16"/>
              </w:rPr>
            </w:pPr>
            <w:r w:rsidRPr="00873B6C">
              <w:rPr>
                <w:sz w:val="16"/>
                <w:szCs w:val="16"/>
              </w:rPr>
              <w:t>Reference point numbers for charging</w:t>
            </w:r>
          </w:p>
        </w:tc>
        <w:tc>
          <w:tcPr>
            <w:tcW w:w="708" w:type="dxa"/>
            <w:shd w:val="solid" w:color="FFFFFF" w:fill="auto"/>
          </w:tcPr>
          <w:p w14:paraId="75CFE4B5" w14:textId="04A9083F" w:rsidR="00872C86" w:rsidRPr="00873B6C" w:rsidRDefault="00872C86" w:rsidP="009C14A7">
            <w:pPr>
              <w:pStyle w:val="TAC"/>
              <w:rPr>
                <w:sz w:val="16"/>
                <w:szCs w:val="16"/>
              </w:rPr>
            </w:pPr>
            <w:r w:rsidRPr="00873B6C">
              <w:rPr>
                <w:sz w:val="16"/>
                <w:szCs w:val="16"/>
              </w:rPr>
              <w:t>18.0.0</w:t>
            </w:r>
          </w:p>
        </w:tc>
      </w:tr>
      <w:tr w:rsidR="00872C86" w:rsidRPr="00873B6C" w14:paraId="28F4BDFD" w14:textId="77777777" w:rsidTr="009D14FB">
        <w:tc>
          <w:tcPr>
            <w:tcW w:w="800" w:type="dxa"/>
            <w:shd w:val="solid" w:color="FFFFFF" w:fill="auto"/>
          </w:tcPr>
          <w:p w14:paraId="2BA51CEF" w14:textId="502954FF" w:rsidR="00872C86" w:rsidRPr="00873B6C" w:rsidRDefault="00872C86" w:rsidP="009C14A7">
            <w:pPr>
              <w:pStyle w:val="TAC"/>
              <w:rPr>
                <w:sz w:val="16"/>
                <w:szCs w:val="16"/>
              </w:rPr>
            </w:pPr>
            <w:r w:rsidRPr="00873B6C">
              <w:rPr>
                <w:sz w:val="16"/>
                <w:szCs w:val="16"/>
              </w:rPr>
              <w:t>2022-12</w:t>
            </w:r>
          </w:p>
        </w:tc>
        <w:tc>
          <w:tcPr>
            <w:tcW w:w="800" w:type="dxa"/>
            <w:shd w:val="solid" w:color="FFFFFF" w:fill="auto"/>
          </w:tcPr>
          <w:p w14:paraId="7853BE75" w14:textId="5CAE9C6B" w:rsidR="00872C86" w:rsidRPr="00873B6C" w:rsidRDefault="00872C86" w:rsidP="009C14A7">
            <w:pPr>
              <w:pStyle w:val="TAL"/>
              <w:rPr>
                <w:sz w:val="16"/>
                <w:szCs w:val="16"/>
              </w:rPr>
            </w:pPr>
            <w:r w:rsidRPr="00873B6C">
              <w:rPr>
                <w:sz w:val="16"/>
                <w:szCs w:val="16"/>
              </w:rPr>
              <w:t>SP#98E</w:t>
            </w:r>
          </w:p>
        </w:tc>
        <w:tc>
          <w:tcPr>
            <w:tcW w:w="1094" w:type="dxa"/>
            <w:shd w:val="solid" w:color="FFFFFF" w:fill="auto"/>
          </w:tcPr>
          <w:p w14:paraId="3FBE9334" w14:textId="4EEF2ABB" w:rsidR="00872C86" w:rsidRPr="00873B6C" w:rsidRDefault="00872C86" w:rsidP="009C14A7">
            <w:pPr>
              <w:pStyle w:val="TAC"/>
              <w:rPr>
                <w:sz w:val="16"/>
                <w:szCs w:val="16"/>
              </w:rPr>
            </w:pPr>
            <w:r w:rsidRPr="00873B6C">
              <w:rPr>
                <w:sz w:val="16"/>
                <w:szCs w:val="16"/>
              </w:rPr>
              <w:t>SP-221092</w:t>
            </w:r>
          </w:p>
        </w:tc>
        <w:tc>
          <w:tcPr>
            <w:tcW w:w="567" w:type="dxa"/>
            <w:shd w:val="solid" w:color="FFFFFF" w:fill="auto"/>
          </w:tcPr>
          <w:p w14:paraId="0D21FFBF" w14:textId="1DD80528" w:rsidR="00872C86" w:rsidRPr="00873B6C" w:rsidRDefault="00872C86" w:rsidP="009C14A7">
            <w:pPr>
              <w:pStyle w:val="TAL"/>
              <w:rPr>
                <w:sz w:val="16"/>
                <w:szCs w:val="16"/>
              </w:rPr>
            </w:pPr>
            <w:r w:rsidRPr="00873B6C">
              <w:rPr>
                <w:sz w:val="16"/>
                <w:szCs w:val="16"/>
              </w:rPr>
              <w:t>3762</w:t>
            </w:r>
          </w:p>
        </w:tc>
        <w:tc>
          <w:tcPr>
            <w:tcW w:w="425" w:type="dxa"/>
            <w:shd w:val="solid" w:color="FFFFFF" w:fill="auto"/>
          </w:tcPr>
          <w:p w14:paraId="6C5CEB4C" w14:textId="5DE6C602" w:rsidR="00872C86" w:rsidRPr="00873B6C" w:rsidRDefault="00872C86" w:rsidP="009C14A7">
            <w:pPr>
              <w:pStyle w:val="TAL"/>
              <w:rPr>
                <w:sz w:val="16"/>
                <w:szCs w:val="16"/>
              </w:rPr>
            </w:pPr>
            <w:r w:rsidRPr="00873B6C">
              <w:rPr>
                <w:sz w:val="16"/>
                <w:szCs w:val="16"/>
              </w:rPr>
              <w:t>3</w:t>
            </w:r>
          </w:p>
        </w:tc>
        <w:tc>
          <w:tcPr>
            <w:tcW w:w="425" w:type="dxa"/>
            <w:shd w:val="solid" w:color="FFFFFF" w:fill="auto"/>
          </w:tcPr>
          <w:p w14:paraId="43BBA331" w14:textId="381AB9C6" w:rsidR="00872C86" w:rsidRPr="00873B6C" w:rsidRDefault="00872C86" w:rsidP="009C14A7">
            <w:pPr>
              <w:pStyle w:val="TAL"/>
              <w:rPr>
                <w:sz w:val="16"/>
                <w:szCs w:val="16"/>
              </w:rPr>
            </w:pPr>
            <w:r w:rsidRPr="00873B6C">
              <w:rPr>
                <w:sz w:val="16"/>
                <w:szCs w:val="16"/>
              </w:rPr>
              <w:t>B</w:t>
            </w:r>
          </w:p>
        </w:tc>
        <w:tc>
          <w:tcPr>
            <w:tcW w:w="4820" w:type="dxa"/>
            <w:shd w:val="solid" w:color="FFFFFF" w:fill="auto"/>
          </w:tcPr>
          <w:p w14:paraId="10706DE3" w14:textId="14E88BE7" w:rsidR="00872C86" w:rsidRPr="00873B6C" w:rsidRDefault="00872C86" w:rsidP="009C14A7">
            <w:pPr>
              <w:pStyle w:val="TAL"/>
              <w:rPr>
                <w:sz w:val="16"/>
                <w:szCs w:val="16"/>
              </w:rPr>
            </w:pPr>
            <w:r w:rsidRPr="00873B6C">
              <w:rPr>
                <w:sz w:val="16"/>
                <w:szCs w:val="16"/>
              </w:rPr>
              <w:t>Adding time synchronization service based on subscription</w:t>
            </w:r>
          </w:p>
        </w:tc>
        <w:tc>
          <w:tcPr>
            <w:tcW w:w="708" w:type="dxa"/>
            <w:shd w:val="solid" w:color="FFFFFF" w:fill="auto"/>
          </w:tcPr>
          <w:p w14:paraId="44346432" w14:textId="3F48B61C" w:rsidR="00872C86" w:rsidRPr="00873B6C" w:rsidRDefault="00872C86" w:rsidP="009C14A7">
            <w:pPr>
              <w:pStyle w:val="TAC"/>
              <w:rPr>
                <w:sz w:val="16"/>
                <w:szCs w:val="16"/>
              </w:rPr>
            </w:pPr>
            <w:r w:rsidRPr="00873B6C">
              <w:rPr>
                <w:sz w:val="16"/>
                <w:szCs w:val="16"/>
              </w:rPr>
              <w:t>18.0.0</w:t>
            </w:r>
          </w:p>
        </w:tc>
      </w:tr>
      <w:tr w:rsidR="001151EB" w:rsidRPr="00873B6C" w14:paraId="616EBB20" w14:textId="77777777" w:rsidTr="009D14FB">
        <w:tc>
          <w:tcPr>
            <w:tcW w:w="800" w:type="dxa"/>
            <w:shd w:val="solid" w:color="FFFFFF" w:fill="auto"/>
          </w:tcPr>
          <w:p w14:paraId="67ACC2A5" w14:textId="700DA6D2" w:rsidR="001151EB" w:rsidRPr="00873B6C" w:rsidRDefault="001151EB" w:rsidP="009C14A7">
            <w:pPr>
              <w:pStyle w:val="TAC"/>
              <w:rPr>
                <w:sz w:val="16"/>
                <w:szCs w:val="16"/>
              </w:rPr>
            </w:pPr>
            <w:r w:rsidRPr="00873B6C">
              <w:rPr>
                <w:sz w:val="16"/>
                <w:szCs w:val="16"/>
              </w:rPr>
              <w:t>2022-12</w:t>
            </w:r>
          </w:p>
        </w:tc>
        <w:tc>
          <w:tcPr>
            <w:tcW w:w="800" w:type="dxa"/>
            <w:shd w:val="solid" w:color="FFFFFF" w:fill="auto"/>
          </w:tcPr>
          <w:p w14:paraId="69B421EF" w14:textId="56C5AB37" w:rsidR="001151EB" w:rsidRPr="00873B6C" w:rsidRDefault="001151EB" w:rsidP="009C14A7">
            <w:pPr>
              <w:pStyle w:val="TAL"/>
              <w:rPr>
                <w:sz w:val="16"/>
                <w:szCs w:val="16"/>
              </w:rPr>
            </w:pPr>
            <w:r w:rsidRPr="00873B6C">
              <w:rPr>
                <w:sz w:val="16"/>
                <w:szCs w:val="16"/>
              </w:rPr>
              <w:t>SP#98E</w:t>
            </w:r>
          </w:p>
        </w:tc>
        <w:tc>
          <w:tcPr>
            <w:tcW w:w="1094" w:type="dxa"/>
            <w:shd w:val="solid" w:color="FFFFFF" w:fill="auto"/>
          </w:tcPr>
          <w:p w14:paraId="3E86C08A" w14:textId="72753819" w:rsidR="001151EB" w:rsidRPr="00873B6C" w:rsidRDefault="001151EB" w:rsidP="009C14A7">
            <w:pPr>
              <w:pStyle w:val="TAC"/>
              <w:rPr>
                <w:sz w:val="16"/>
                <w:szCs w:val="16"/>
              </w:rPr>
            </w:pPr>
            <w:r w:rsidRPr="00873B6C">
              <w:rPr>
                <w:sz w:val="16"/>
                <w:szCs w:val="16"/>
              </w:rPr>
              <w:t>SP-221092</w:t>
            </w:r>
          </w:p>
        </w:tc>
        <w:tc>
          <w:tcPr>
            <w:tcW w:w="567" w:type="dxa"/>
            <w:shd w:val="solid" w:color="FFFFFF" w:fill="auto"/>
          </w:tcPr>
          <w:p w14:paraId="52954B7E" w14:textId="3B76F443" w:rsidR="001151EB" w:rsidRPr="00873B6C" w:rsidRDefault="001151EB" w:rsidP="009C14A7">
            <w:pPr>
              <w:pStyle w:val="TAL"/>
              <w:rPr>
                <w:sz w:val="16"/>
                <w:szCs w:val="16"/>
              </w:rPr>
            </w:pPr>
            <w:r w:rsidRPr="00873B6C">
              <w:rPr>
                <w:sz w:val="16"/>
                <w:szCs w:val="16"/>
              </w:rPr>
              <w:t>3767</w:t>
            </w:r>
          </w:p>
        </w:tc>
        <w:tc>
          <w:tcPr>
            <w:tcW w:w="425" w:type="dxa"/>
            <w:shd w:val="solid" w:color="FFFFFF" w:fill="auto"/>
          </w:tcPr>
          <w:p w14:paraId="447E070D" w14:textId="6684015B" w:rsidR="001151EB" w:rsidRPr="00873B6C" w:rsidRDefault="001151EB" w:rsidP="009C14A7">
            <w:pPr>
              <w:pStyle w:val="TAL"/>
              <w:rPr>
                <w:sz w:val="16"/>
                <w:szCs w:val="16"/>
              </w:rPr>
            </w:pPr>
            <w:r w:rsidRPr="00873B6C">
              <w:rPr>
                <w:sz w:val="16"/>
                <w:szCs w:val="16"/>
              </w:rPr>
              <w:t>2</w:t>
            </w:r>
          </w:p>
        </w:tc>
        <w:tc>
          <w:tcPr>
            <w:tcW w:w="425" w:type="dxa"/>
            <w:shd w:val="solid" w:color="FFFFFF" w:fill="auto"/>
          </w:tcPr>
          <w:p w14:paraId="31E1553D" w14:textId="163B9FD6" w:rsidR="001151EB" w:rsidRPr="00873B6C" w:rsidRDefault="001151EB" w:rsidP="009C14A7">
            <w:pPr>
              <w:pStyle w:val="TAL"/>
              <w:rPr>
                <w:sz w:val="16"/>
                <w:szCs w:val="16"/>
              </w:rPr>
            </w:pPr>
            <w:r w:rsidRPr="00873B6C">
              <w:rPr>
                <w:sz w:val="16"/>
                <w:szCs w:val="16"/>
              </w:rPr>
              <w:t>B</w:t>
            </w:r>
          </w:p>
        </w:tc>
        <w:tc>
          <w:tcPr>
            <w:tcW w:w="4820" w:type="dxa"/>
            <w:shd w:val="solid" w:color="FFFFFF" w:fill="auto"/>
          </w:tcPr>
          <w:p w14:paraId="2C8FE4FF" w14:textId="3E13AC9D" w:rsidR="001151EB" w:rsidRPr="00873B6C" w:rsidRDefault="001151EB" w:rsidP="009C14A7">
            <w:pPr>
              <w:pStyle w:val="TAL"/>
              <w:rPr>
                <w:sz w:val="16"/>
                <w:szCs w:val="16"/>
              </w:rPr>
            </w:pPr>
            <w:r w:rsidRPr="00873B6C">
              <w:rPr>
                <w:sz w:val="16"/>
                <w:szCs w:val="16"/>
              </w:rPr>
              <w:t>Support for coverage area filters for time synchronization service</w:t>
            </w:r>
          </w:p>
        </w:tc>
        <w:tc>
          <w:tcPr>
            <w:tcW w:w="708" w:type="dxa"/>
            <w:shd w:val="solid" w:color="FFFFFF" w:fill="auto"/>
          </w:tcPr>
          <w:p w14:paraId="2750CA54" w14:textId="49A3C8DC" w:rsidR="001151EB" w:rsidRPr="00873B6C" w:rsidRDefault="001151EB" w:rsidP="009C14A7">
            <w:pPr>
              <w:pStyle w:val="TAC"/>
              <w:rPr>
                <w:sz w:val="16"/>
                <w:szCs w:val="16"/>
              </w:rPr>
            </w:pPr>
            <w:r w:rsidRPr="00873B6C">
              <w:rPr>
                <w:sz w:val="16"/>
                <w:szCs w:val="16"/>
              </w:rPr>
              <w:t>18.0.0</w:t>
            </w:r>
          </w:p>
        </w:tc>
      </w:tr>
      <w:tr w:rsidR="001151EB" w:rsidRPr="00873B6C" w14:paraId="52F0812C" w14:textId="77777777" w:rsidTr="009D14FB">
        <w:tc>
          <w:tcPr>
            <w:tcW w:w="800" w:type="dxa"/>
            <w:shd w:val="solid" w:color="FFFFFF" w:fill="auto"/>
          </w:tcPr>
          <w:p w14:paraId="200C19FB" w14:textId="6F98690C" w:rsidR="001151EB" w:rsidRPr="00873B6C" w:rsidRDefault="001151EB" w:rsidP="009C14A7">
            <w:pPr>
              <w:pStyle w:val="TAC"/>
              <w:rPr>
                <w:sz w:val="16"/>
                <w:szCs w:val="16"/>
              </w:rPr>
            </w:pPr>
            <w:r w:rsidRPr="00873B6C">
              <w:rPr>
                <w:sz w:val="16"/>
                <w:szCs w:val="16"/>
              </w:rPr>
              <w:t>2022-12</w:t>
            </w:r>
          </w:p>
        </w:tc>
        <w:tc>
          <w:tcPr>
            <w:tcW w:w="800" w:type="dxa"/>
            <w:shd w:val="solid" w:color="FFFFFF" w:fill="auto"/>
          </w:tcPr>
          <w:p w14:paraId="0B4D82BC" w14:textId="4502D90F" w:rsidR="001151EB" w:rsidRPr="00873B6C" w:rsidRDefault="001151EB" w:rsidP="009C14A7">
            <w:pPr>
              <w:pStyle w:val="TAL"/>
              <w:rPr>
                <w:sz w:val="16"/>
                <w:szCs w:val="16"/>
              </w:rPr>
            </w:pPr>
            <w:r w:rsidRPr="00873B6C">
              <w:rPr>
                <w:sz w:val="16"/>
                <w:szCs w:val="16"/>
              </w:rPr>
              <w:t>SP#98E</w:t>
            </w:r>
          </w:p>
        </w:tc>
        <w:tc>
          <w:tcPr>
            <w:tcW w:w="1094" w:type="dxa"/>
            <w:shd w:val="solid" w:color="FFFFFF" w:fill="auto"/>
          </w:tcPr>
          <w:p w14:paraId="379D23E4" w14:textId="49518687" w:rsidR="001151EB" w:rsidRPr="00873B6C" w:rsidRDefault="001151EB" w:rsidP="009C14A7">
            <w:pPr>
              <w:pStyle w:val="TAC"/>
              <w:rPr>
                <w:sz w:val="16"/>
                <w:szCs w:val="16"/>
              </w:rPr>
            </w:pPr>
            <w:r w:rsidRPr="00873B6C">
              <w:rPr>
                <w:sz w:val="16"/>
                <w:szCs w:val="16"/>
              </w:rPr>
              <w:t>SP-221139</w:t>
            </w:r>
          </w:p>
        </w:tc>
        <w:tc>
          <w:tcPr>
            <w:tcW w:w="567" w:type="dxa"/>
            <w:shd w:val="solid" w:color="FFFFFF" w:fill="auto"/>
          </w:tcPr>
          <w:p w14:paraId="2276A125" w14:textId="62B38C5D" w:rsidR="001151EB" w:rsidRPr="00873B6C" w:rsidRDefault="001151EB" w:rsidP="009C14A7">
            <w:pPr>
              <w:pStyle w:val="TAL"/>
              <w:rPr>
                <w:sz w:val="16"/>
                <w:szCs w:val="16"/>
              </w:rPr>
            </w:pPr>
            <w:r w:rsidRPr="00873B6C">
              <w:rPr>
                <w:sz w:val="16"/>
                <w:szCs w:val="16"/>
              </w:rPr>
              <w:t>3772</w:t>
            </w:r>
          </w:p>
        </w:tc>
        <w:tc>
          <w:tcPr>
            <w:tcW w:w="425" w:type="dxa"/>
            <w:shd w:val="solid" w:color="FFFFFF" w:fill="auto"/>
          </w:tcPr>
          <w:p w14:paraId="3C10CE93" w14:textId="6F699887" w:rsidR="001151EB" w:rsidRPr="00873B6C" w:rsidRDefault="001151EB" w:rsidP="009C14A7">
            <w:pPr>
              <w:pStyle w:val="TAL"/>
              <w:rPr>
                <w:sz w:val="16"/>
                <w:szCs w:val="16"/>
              </w:rPr>
            </w:pPr>
            <w:r w:rsidRPr="00873B6C">
              <w:rPr>
                <w:sz w:val="16"/>
                <w:szCs w:val="16"/>
              </w:rPr>
              <w:t>3</w:t>
            </w:r>
          </w:p>
        </w:tc>
        <w:tc>
          <w:tcPr>
            <w:tcW w:w="425" w:type="dxa"/>
            <w:shd w:val="solid" w:color="FFFFFF" w:fill="auto"/>
          </w:tcPr>
          <w:p w14:paraId="6BD1B7D7" w14:textId="38D7CE91" w:rsidR="001151EB" w:rsidRPr="00873B6C" w:rsidRDefault="001151EB" w:rsidP="009C14A7">
            <w:pPr>
              <w:pStyle w:val="TAL"/>
              <w:rPr>
                <w:sz w:val="16"/>
                <w:szCs w:val="16"/>
              </w:rPr>
            </w:pPr>
            <w:r w:rsidRPr="00873B6C">
              <w:rPr>
                <w:sz w:val="16"/>
                <w:szCs w:val="16"/>
              </w:rPr>
              <w:t>B</w:t>
            </w:r>
          </w:p>
        </w:tc>
        <w:tc>
          <w:tcPr>
            <w:tcW w:w="4820" w:type="dxa"/>
            <w:shd w:val="solid" w:color="FFFFFF" w:fill="auto"/>
          </w:tcPr>
          <w:p w14:paraId="67869629" w14:textId="3EFE3DD3" w:rsidR="001151EB" w:rsidRPr="00873B6C" w:rsidRDefault="001151EB" w:rsidP="009C14A7">
            <w:pPr>
              <w:pStyle w:val="TAL"/>
              <w:rPr>
                <w:sz w:val="16"/>
                <w:szCs w:val="16"/>
              </w:rPr>
            </w:pPr>
            <w:r w:rsidRPr="00873B6C">
              <w:rPr>
                <w:sz w:val="16"/>
                <w:szCs w:val="16"/>
              </w:rPr>
              <w:t>Discovery and Selection of the NWDAF Supporting Federated Learning in 5GC</w:t>
            </w:r>
          </w:p>
        </w:tc>
        <w:tc>
          <w:tcPr>
            <w:tcW w:w="708" w:type="dxa"/>
            <w:shd w:val="solid" w:color="FFFFFF" w:fill="auto"/>
          </w:tcPr>
          <w:p w14:paraId="313B81D4" w14:textId="2FBBE0EA" w:rsidR="001151EB" w:rsidRPr="00873B6C" w:rsidRDefault="001151EB" w:rsidP="009C14A7">
            <w:pPr>
              <w:pStyle w:val="TAC"/>
              <w:rPr>
                <w:sz w:val="16"/>
                <w:szCs w:val="16"/>
              </w:rPr>
            </w:pPr>
            <w:r w:rsidRPr="00873B6C">
              <w:rPr>
                <w:sz w:val="16"/>
                <w:szCs w:val="16"/>
              </w:rPr>
              <w:t>18.0.0</w:t>
            </w:r>
          </w:p>
        </w:tc>
      </w:tr>
      <w:tr w:rsidR="001151EB" w:rsidRPr="00873B6C" w14:paraId="7BE0F6CB" w14:textId="77777777" w:rsidTr="009D14FB">
        <w:tc>
          <w:tcPr>
            <w:tcW w:w="800" w:type="dxa"/>
            <w:shd w:val="solid" w:color="FFFFFF" w:fill="auto"/>
          </w:tcPr>
          <w:p w14:paraId="2AA8DE8D" w14:textId="0068BC77" w:rsidR="001151EB" w:rsidRPr="00873B6C" w:rsidRDefault="001151EB" w:rsidP="009C14A7">
            <w:pPr>
              <w:pStyle w:val="TAC"/>
              <w:rPr>
                <w:sz w:val="16"/>
                <w:szCs w:val="16"/>
              </w:rPr>
            </w:pPr>
            <w:r w:rsidRPr="00873B6C">
              <w:rPr>
                <w:sz w:val="16"/>
                <w:szCs w:val="16"/>
              </w:rPr>
              <w:t>2022-12</w:t>
            </w:r>
          </w:p>
        </w:tc>
        <w:tc>
          <w:tcPr>
            <w:tcW w:w="800" w:type="dxa"/>
            <w:shd w:val="solid" w:color="FFFFFF" w:fill="auto"/>
          </w:tcPr>
          <w:p w14:paraId="2B6E9B25" w14:textId="4D12D84D" w:rsidR="001151EB" w:rsidRPr="00873B6C" w:rsidRDefault="001151EB" w:rsidP="009C14A7">
            <w:pPr>
              <w:pStyle w:val="TAL"/>
              <w:rPr>
                <w:sz w:val="16"/>
                <w:szCs w:val="16"/>
              </w:rPr>
            </w:pPr>
            <w:r w:rsidRPr="00873B6C">
              <w:rPr>
                <w:sz w:val="16"/>
                <w:szCs w:val="16"/>
              </w:rPr>
              <w:t>SP#98E</w:t>
            </w:r>
          </w:p>
        </w:tc>
        <w:tc>
          <w:tcPr>
            <w:tcW w:w="1094" w:type="dxa"/>
            <w:shd w:val="solid" w:color="FFFFFF" w:fill="auto"/>
          </w:tcPr>
          <w:p w14:paraId="4D429EB3" w14:textId="0DB8102D" w:rsidR="001151EB" w:rsidRPr="00873B6C" w:rsidRDefault="001151EB" w:rsidP="009C14A7">
            <w:pPr>
              <w:pStyle w:val="TAC"/>
              <w:rPr>
                <w:sz w:val="16"/>
                <w:szCs w:val="16"/>
              </w:rPr>
            </w:pPr>
            <w:r w:rsidRPr="00873B6C">
              <w:rPr>
                <w:sz w:val="16"/>
                <w:szCs w:val="16"/>
              </w:rPr>
              <w:t>SP-221139</w:t>
            </w:r>
          </w:p>
        </w:tc>
        <w:tc>
          <w:tcPr>
            <w:tcW w:w="567" w:type="dxa"/>
            <w:shd w:val="solid" w:color="FFFFFF" w:fill="auto"/>
          </w:tcPr>
          <w:p w14:paraId="0FCF2514" w14:textId="218B5F5D" w:rsidR="001151EB" w:rsidRPr="00873B6C" w:rsidRDefault="001151EB" w:rsidP="009C14A7">
            <w:pPr>
              <w:pStyle w:val="TAL"/>
              <w:rPr>
                <w:sz w:val="16"/>
                <w:szCs w:val="16"/>
              </w:rPr>
            </w:pPr>
            <w:r w:rsidRPr="00873B6C">
              <w:rPr>
                <w:sz w:val="16"/>
                <w:szCs w:val="16"/>
              </w:rPr>
              <w:t>3783</w:t>
            </w:r>
          </w:p>
        </w:tc>
        <w:tc>
          <w:tcPr>
            <w:tcW w:w="425" w:type="dxa"/>
            <w:shd w:val="solid" w:color="FFFFFF" w:fill="auto"/>
          </w:tcPr>
          <w:p w14:paraId="18CE20E6" w14:textId="0607D8B0" w:rsidR="001151EB" w:rsidRPr="00873B6C" w:rsidRDefault="001151EB" w:rsidP="009C14A7">
            <w:pPr>
              <w:pStyle w:val="TAL"/>
              <w:rPr>
                <w:sz w:val="16"/>
                <w:szCs w:val="16"/>
              </w:rPr>
            </w:pPr>
            <w:r w:rsidRPr="00873B6C">
              <w:rPr>
                <w:sz w:val="16"/>
                <w:szCs w:val="16"/>
              </w:rPr>
              <w:t>2</w:t>
            </w:r>
          </w:p>
        </w:tc>
        <w:tc>
          <w:tcPr>
            <w:tcW w:w="425" w:type="dxa"/>
            <w:shd w:val="solid" w:color="FFFFFF" w:fill="auto"/>
          </w:tcPr>
          <w:p w14:paraId="36D0C69C" w14:textId="716B4E14" w:rsidR="001151EB" w:rsidRPr="00873B6C" w:rsidRDefault="001151EB" w:rsidP="009C14A7">
            <w:pPr>
              <w:pStyle w:val="TAL"/>
              <w:rPr>
                <w:sz w:val="16"/>
                <w:szCs w:val="16"/>
              </w:rPr>
            </w:pPr>
            <w:r w:rsidRPr="00873B6C">
              <w:rPr>
                <w:sz w:val="16"/>
                <w:szCs w:val="16"/>
              </w:rPr>
              <w:t>B</w:t>
            </w:r>
          </w:p>
        </w:tc>
        <w:tc>
          <w:tcPr>
            <w:tcW w:w="4820" w:type="dxa"/>
            <w:shd w:val="solid" w:color="FFFFFF" w:fill="auto"/>
          </w:tcPr>
          <w:p w14:paraId="02602B36" w14:textId="43CD5A50" w:rsidR="001151EB" w:rsidRPr="00873B6C" w:rsidRDefault="001151EB" w:rsidP="009C14A7">
            <w:pPr>
              <w:pStyle w:val="TAL"/>
              <w:rPr>
                <w:sz w:val="16"/>
                <w:szCs w:val="16"/>
              </w:rPr>
            </w:pPr>
            <w:r w:rsidRPr="00873B6C">
              <w:rPr>
                <w:sz w:val="16"/>
                <w:szCs w:val="16"/>
              </w:rPr>
              <w:t>NWDAF discovery principle enhancements for enhanced model sharing</w:t>
            </w:r>
          </w:p>
        </w:tc>
        <w:tc>
          <w:tcPr>
            <w:tcW w:w="708" w:type="dxa"/>
            <w:shd w:val="solid" w:color="FFFFFF" w:fill="auto"/>
          </w:tcPr>
          <w:p w14:paraId="3E66769B" w14:textId="206E7F17" w:rsidR="001151EB" w:rsidRPr="00873B6C" w:rsidRDefault="001151EB" w:rsidP="009C14A7">
            <w:pPr>
              <w:pStyle w:val="TAC"/>
              <w:rPr>
                <w:sz w:val="16"/>
                <w:szCs w:val="16"/>
              </w:rPr>
            </w:pPr>
            <w:r w:rsidRPr="00873B6C">
              <w:rPr>
                <w:sz w:val="16"/>
                <w:szCs w:val="16"/>
              </w:rPr>
              <w:t>18.0.0</w:t>
            </w:r>
          </w:p>
        </w:tc>
      </w:tr>
      <w:tr w:rsidR="001151EB" w:rsidRPr="00873B6C" w14:paraId="0403B285" w14:textId="77777777" w:rsidTr="009D14FB">
        <w:tc>
          <w:tcPr>
            <w:tcW w:w="800" w:type="dxa"/>
            <w:shd w:val="solid" w:color="FFFFFF" w:fill="auto"/>
          </w:tcPr>
          <w:p w14:paraId="127C4EBD" w14:textId="1CE44739" w:rsidR="001151EB" w:rsidRPr="00873B6C" w:rsidRDefault="001151EB" w:rsidP="009C14A7">
            <w:pPr>
              <w:pStyle w:val="TAC"/>
              <w:rPr>
                <w:sz w:val="16"/>
                <w:szCs w:val="16"/>
              </w:rPr>
            </w:pPr>
            <w:r w:rsidRPr="00873B6C">
              <w:rPr>
                <w:sz w:val="16"/>
                <w:szCs w:val="16"/>
              </w:rPr>
              <w:t>2022-12</w:t>
            </w:r>
          </w:p>
        </w:tc>
        <w:tc>
          <w:tcPr>
            <w:tcW w:w="800" w:type="dxa"/>
            <w:shd w:val="solid" w:color="FFFFFF" w:fill="auto"/>
          </w:tcPr>
          <w:p w14:paraId="45E57157" w14:textId="7C8D244E" w:rsidR="001151EB" w:rsidRPr="00873B6C" w:rsidRDefault="001151EB" w:rsidP="009C14A7">
            <w:pPr>
              <w:pStyle w:val="TAL"/>
              <w:rPr>
                <w:sz w:val="16"/>
                <w:szCs w:val="16"/>
              </w:rPr>
            </w:pPr>
            <w:r w:rsidRPr="00873B6C">
              <w:rPr>
                <w:sz w:val="16"/>
                <w:szCs w:val="16"/>
              </w:rPr>
              <w:t>SP#98E</w:t>
            </w:r>
          </w:p>
        </w:tc>
        <w:tc>
          <w:tcPr>
            <w:tcW w:w="1094" w:type="dxa"/>
            <w:shd w:val="solid" w:color="FFFFFF" w:fill="auto"/>
          </w:tcPr>
          <w:p w14:paraId="0E39F7CA" w14:textId="0F3BA5B0" w:rsidR="001151EB" w:rsidRPr="00873B6C" w:rsidRDefault="001151EB" w:rsidP="009C14A7">
            <w:pPr>
              <w:pStyle w:val="TAC"/>
              <w:rPr>
                <w:sz w:val="16"/>
                <w:szCs w:val="16"/>
              </w:rPr>
            </w:pPr>
            <w:r w:rsidRPr="00873B6C">
              <w:rPr>
                <w:sz w:val="16"/>
                <w:szCs w:val="16"/>
              </w:rPr>
              <w:t>SP-221140</w:t>
            </w:r>
          </w:p>
        </w:tc>
        <w:tc>
          <w:tcPr>
            <w:tcW w:w="567" w:type="dxa"/>
            <w:shd w:val="solid" w:color="FFFFFF" w:fill="auto"/>
          </w:tcPr>
          <w:p w14:paraId="60E3CA69" w14:textId="609A95D4" w:rsidR="001151EB" w:rsidRPr="00873B6C" w:rsidRDefault="001151EB" w:rsidP="009C14A7">
            <w:pPr>
              <w:pStyle w:val="TAL"/>
              <w:rPr>
                <w:sz w:val="16"/>
                <w:szCs w:val="16"/>
              </w:rPr>
            </w:pPr>
            <w:r w:rsidRPr="00873B6C">
              <w:rPr>
                <w:sz w:val="16"/>
                <w:szCs w:val="16"/>
              </w:rPr>
              <w:t>3785</w:t>
            </w:r>
          </w:p>
        </w:tc>
        <w:tc>
          <w:tcPr>
            <w:tcW w:w="425" w:type="dxa"/>
            <w:shd w:val="solid" w:color="FFFFFF" w:fill="auto"/>
          </w:tcPr>
          <w:p w14:paraId="1DD909AB" w14:textId="41506289" w:rsidR="001151EB" w:rsidRPr="00873B6C" w:rsidRDefault="001151EB" w:rsidP="009C14A7">
            <w:pPr>
              <w:pStyle w:val="TAL"/>
              <w:rPr>
                <w:sz w:val="16"/>
                <w:szCs w:val="16"/>
              </w:rPr>
            </w:pPr>
            <w:r w:rsidRPr="00873B6C">
              <w:rPr>
                <w:sz w:val="16"/>
                <w:szCs w:val="16"/>
              </w:rPr>
              <w:t>2</w:t>
            </w:r>
          </w:p>
        </w:tc>
        <w:tc>
          <w:tcPr>
            <w:tcW w:w="425" w:type="dxa"/>
            <w:shd w:val="solid" w:color="FFFFFF" w:fill="auto"/>
          </w:tcPr>
          <w:p w14:paraId="2A54B1B3" w14:textId="2B158AD8" w:rsidR="001151EB" w:rsidRPr="00873B6C" w:rsidRDefault="001151EB" w:rsidP="009C14A7">
            <w:pPr>
              <w:pStyle w:val="TAL"/>
              <w:rPr>
                <w:sz w:val="16"/>
                <w:szCs w:val="16"/>
              </w:rPr>
            </w:pPr>
            <w:r w:rsidRPr="00873B6C">
              <w:rPr>
                <w:sz w:val="16"/>
                <w:szCs w:val="16"/>
              </w:rPr>
              <w:t>B</w:t>
            </w:r>
          </w:p>
        </w:tc>
        <w:tc>
          <w:tcPr>
            <w:tcW w:w="4820" w:type="dxa"/>
            <w:shd w:val="solid" w:color="FFFFFF" w:fill="auto"/>
          </w:tcPr>
          <w:p w14:paraId="0E31EBEF" w14:textId="5D9688ED" w:rsidR="001151EB" w:rsidRPr="00873B6C" w:rsidRDefault="001151EB" w:rsidP="009C14A7">
            <w:pPr>
              <w:pStyle w:val="TAL"/>
              <w:rPr>
                <w:sz w:val="16"/>
                <w:szCs w:val="16"/>
              </w:rPr>
            </w:pPr>
            <w:r w:rsidRPr="00873B6C">
              <w:rPr>
                <w:sz w:val="16"/>
                <w:szCs w:val="16"/>
              </w:rPr>
              <w:t>Multiple NSACF architecture enhancement</w:t>
            </w:r>
          </w:p>
        </w:tc>
        <w:tc>
          <w:tcPr>
            <w:tcW w:w="708" w:type="dxa"/>
            <w:shd w:val="solid" w:color="FFFFFF" w:fill="auto"/>
          </w:tcPr>
          <w:p w14:paraId="2C34E360" w14:textId="4C3E5564" w:rsidR="001151EB" w:rsidRPr="00873B6C" w:rsidRDefault="001151EB" w:rsidP="009C14A7">
            <w:pPr>
              <w:pStyle w:val="TAC"/>
              <w:rPr>
                <w:sz w:val="16"/>
                <w:szCs w:val="16"/>
              </w:rPr>
            </w:pPr>
            <w:r w:rsidRPr="00873B6C">
              <w:rPr>
                <w:sz w:val="16"/>
                <w:szCs w:val="16"/>
              </w:rPr>
              <w:t>18.0.0</w:t>
            </w:r>
          </w:p>
        </w:tc>
      </w:tr>
      <w:tr w:rsidR="004817F2" w:rsidRPr="00873B6C" w14:paraId="62CA5ED8" w14:textId="77777777" w:rsidTr="009D14FB">
        <w:tc>
          <w:tcPr>
            <w:tcW w:w="800" w:type="dxa"/>
            <w:shd w:val="solid" w:color="FFFFFF" w:fill="auto"/>
          </w:tcPr>
          <w:p w14:paraId="3B829441" w14:textId="08A562CF" w:rsidR="004817F2" w:rsidRPr="00873B6C" w:rsidRDefault="004817F2" w:rsidP="009C14A7">
            <w:pPr>
              <w:pStyle w:val="TAC"/>
              <w:rPr>
                <w:sz w:val="16"/>
                <w:szCs w:val="16"/>
              </w:rPr>
            </w:pPr>
            <w:r w:rsidRPr="00873B6C">
              <w:rPr>
                <w:sz w:val="16"/>
                <w:szCs w:val="16"/>
              </w:rPr>
              <w:t>2022-12</w:t>
            </w:r>
          </w:p>
        </w:tc>
        <w:tc>
          <w:tcPr>
            <w:tcW w:w="800" w:type="dxa"/>
            <w:shd w:val="solid" w:color="FFFFFF" w:fill="auto"/>
          </w:tcPr>
          <w:p w14:paraId="1B7E5A8E" w14:textId="4BCC469C" w:rsidR="004817F2" w:rsidRPr="00873B6C" w:rsidRDefault="004817F2" w:rsidP="009C14A7">
            <w:pPr>
              <w:pStyle w:val="TAL"/>
              <w:rPr>
                <w:sz w:val="16"/>
                <w:szCs w:val="16"/>
              </w:rPr>
            </w:pPr>
            <w:r w:rsidRPr="00873B6C">
              <w:rPr>
                <w:sz w:val="16"/>
                <w:szCs w:val="16"/>
              </w:rPr>
              <w:t>SP#98E</w:t>
            </w:r>
          </w:p>
        </w:tc>
        <w:tc>
          <w:tcPr>
            <w:tcW w:w="1094" w:type="dxa"/>
            <w:shd w:val="solid" w:color="FFFFFF" w:fill="auto"/>
          </w:tcPr>
          <w:p w14:paraId="5964C45D" w14:textId="18DAC1B7" w:rsidR="004817F2" w:rsidRPr="00873B6C" w:rsidRDefault="004817F2" w:rsidP="009C14A7">
            <w:pPr>
              <w:pStyle w:val="TAC"/>
              <w:rPr>
                <w:sz w:val="16"/>
                <w:szCs w:val="16"/>
              </w:rPr>
            </w:pPr>
            <w:r w:rsidRPr="00873B6C">
              <w:rPr>
                <w:sz w:val="16"/>
                <w:szCs w:val="16"/>
              </w:rPr>
              <w:t>SP-221086</w:t>
            </w:r>
          </w:p>
        </w:tc>
        <w:tc>
          <w:tcPr>
            <w:tcW w:w="567" w:type="dxa"/>
            <w:shd w:val="solid" w:color="FFFFFF" w:fill="auto"/>
          </w:tcPr>
          <w:p w14:paraId="09CE0845" w14:textId="75DD77D8" w:rsidR="004817F2" w:rsidRPr="00873B6C" w:rsidRDefault="004817F2" w:rsidP="009C14A7">
            <w:pPr>
              <w:pStyle w:val="TAL"/>
              <w:rPr>
                <w:sz w:val="16"/>
                <w:szCs w:val="16"/>
              </w:rPr>
            </w:pPr>
            <w:r w:rsidRPr="00873B6C">
              <w:rPr>
                <w:sz w:val="16"/>
                <w:szCs w:val="16"/>
              </w:rPr>
              <w:t>3788</w:t>
            </w:r>
          </w:p>
        </w:tc>
        <w:tc>
          <w:tcPr>
            <w:tcW w:w="425" w:type="dxa"/>
            <w:shd w:val="solid" w:color="FFFFFF" w:fill="auto"/>
          </w:tcPr>
          <w:p w14:paraId="401FE26F" w14:textId="0C3922E3" w:rsidR="004817F2" w:rsidRPr="00873B6C" w:rsidRDefault="004817F2" w:rsidP="009C14A7">
            <w:pPr>
              <w:pStyle w:val="TAL"/>
              <w:rPr>
                <w:sz w:val="16"/>
                <w:szCs w:val="16"/>
              </w:rPr>
            </w:pPr>
            <w:r w:rsidRPr="00873B6C">
              <w:rPr>
                <w:sz w:val="16"/>
                <w:szCs w:val="16"/>
              </w:rPr>
              <w:t>2</w:t>
            </w:r>
          </w:p>
        </w:tc>
        <w:tc>
          <w:tcPr>
            <w:tcW w:w="425" w:type="dxa"/>
            <w:shd w:val="solid" w:color="FFFFFF" w:fill="auto"/>
          </w:tcPr>
          <w:p w14:paraId="223E8BFA" w14:textId="12991613" w:rsidR="004817F2" w:rsidRPr="00873B6C" w:rsidRDefault="004817F2" w:rsidP="009C14A7">
            <w:pPr>
              <w:pStyle w:val="TAL"/>
              <w:rPr>
                <w:sz w:val="16"/>
                <w:szCs w:val="16"/>
              </w:rPr>
            </w:pPr>
            <w:r w:rsidRPr="00873B6C">
              <w:rPr>
                <w:sz w:val="16"/>
                <w:szCs w:val="16"/>
              </w:rPr>
              <w:t>B</w:t>
            </w:r>
          </w:p>
        </w:tc>
        <w:tc>
          <w:tcPr>
            <w:tcW w:w="4820" w:type="dxa"/>
            <w:shd w:val="solid" w:color="FFFFFF" w:fill="auto"/>
          </w:tcPr>
          <w:p w14:paraId="548CAC84" w14:textId="49B1491F" w:rsidR="004817F2" w:rsidRPr="00873B6C" w:rsidRDefault="004817F2" w:rsidP="009C14A7">
            <w:pPr>
              <w:pStyle w:val="TAL"/>
              <w:rPr>
                <w:sz w:val="16"/>
                <w:szCs w:val="16"/>
              </w:rPr>
            </w:pPr>
            <w:r w:rsidRPr="00873B6C">
              <w:rPr>
                <w:sz w:val="16"/>
                <w:szCs w:val="16"/>
              </w:rPr>
              <w:t>KI#4 23.501 AF traffic influence for common EAS, DNAI selection</w:t>
            </w:r>
          </w:p>
        </w:tc>
        <w:tc>
          <w:tcPr>
            <w:tcW w:w="708" w:type="dxa"/>
            <w:shd w:val="solid" w:color="FFFFFF" w:fill="auto"/>
          </w:tcPr>
          <w:p w14:paraId="33C334B9" w14:textId="2C81773B" w:rsidR="004817F2" w:rsidRPr="00873B6C" w:rsidRDefault="004817F2" w:rsidP="009C14A7">
            <w:pPr>
              <w:pStyle w:val="TAC"/>
              <w:rPr>
                <w:sz w:val="16"/>
                <w:szCs w:val="16"/>
              </w:rPr>
            </w:pPr>
            <w:r w:rsidRPr="00873B6C">
              <w:rPr>
                <w:sz w:val="16"/>
                <w:szCs w:val="16"/>
              </w:rPr>
              <w:t>18.0.0</w:t>
            </w:r>
          </w:p>
        </w:tc>
      </w:tr>
      <w:tr w:rsidR="004817F2" w:rsidRPr="00873B6C" w14:paraId="6DE8C003" w14:textId="77777777" w:rsidTr="009D14FB">
        <w:tc>
          <w:tcPr>
            <w:tcW w:w="800" w:type="dxa"/>
            <w:shd w:val="solid" w:color="FFFFFF" w:fill="auto"/>
          </w:tcPr>
          <w:p w14:paraId="7F43F467" w14:textId="151B24E9" w:rsidR="004817F2" w:rsidRPr="00873B6C" w:rsidRDefault="004817F2" w:rsidP="009C14A7">
            <w:pPr>
              <w:pStyle w:val="TAC"/>
              <w:rPr>
                <w:sz w:val="16"/>
                <w:szCs w:val="16"/>
              </w:rPr>
            </w:pPr>
            <w:r w:rsidRPr="00873B6C">
              <w:rPr>
                <w:sz w:val="16"/>
                <w:szCs w:val="16"/>
              </w:rPr>
              <w:t>2022-12</w:t>
            </w:r>
          </w:p>
        </w:tc>
        <w:tc>
          <w:tcPr>
            <w:tcW w:w="800" w:type="dxa"/>
            <w:shd w:val="solid" w:color="FFFFFF" w:fill="auto"/>
          </w:tcPr>
          <w:p w14:paraId="6D040F1F" w14:textId="4D63AED3" w:rsidR="004817F2" w:rsidRPr="00873B6C" w:rsidRDefault="004817F2" w:rsidP="009C14A7">
            <w:pPr>
              <w:pStyle w:val="TAL"/>
              <w:rPr>
                <w:sz w:val="16"/>
                <w:szCs w:val="16"/>
              </w:rPr>
            </w:pPr>
            <w:r w:rsidRPr="00873B6C">
              <w:rPr>
                <w:sz w:val="16"/>
                <w:szCs w:val="16"/>
              </w:rPr>
              <w:t>SP#98E</w:t>
            </w:r>
          </w:p>
        </w:tc>
        <w:tc>
          <w:tcPr>
            <w:tcW w:w="1094" w:type="dxa"/>
            <w:shd w:val="solid" w:color="FFFFFF" w:fill="auto"/>
          </w:tcPr>
          <w:p w14:paraId="4FC51444" w14:textId="4107E22D" w:rsidR="004817F2" w:rsidRPr="00873B6C" w:rsidRDefault="004817F2" w:rsidP="009C14A7">
            <w:pPr>
              <w:pStyle w:val="TAC"/>
              <w:rPr>
                <w:sz w:val="16"/>
                <w:szCs w:val="16"/>
              </w:rPr>
            </w:pPr>
            <w:r w:rsidRPr="00873B6C">
              <w:rPr>
                <w:sz w:val="16"/>
                <w:szCs w:val="16"/>
              </w:rPr>
              <w:t>SP-221081</w:t>
            </w:r>
          </w:p>
        </w:tc>
        <w:tc>
          <w:tcPr>
            <w:tcW w:w="567" w:type="dxa"/>
            <w:shd w:val="solid" w:color="FFFFFF" w:fill="auto"/>
          </w:tcPr>
          <w:p w14:paraId="56A76638" w14:textId="052A233B" w:rsidR="004817F2" w:rsidRPr="00873B6C" w:rsidRDefault="004817F2" w:rsidP="009C14A7">
            <w:pPr>
              <w:pStyle w:val="TAL"/>
              <w:rPr>
                <w:sz w:val="16"/>
                <w:szCs w:val="16"/>
              </w:rPr>
            </w:pPr>
            <w:r w:rsidRPr="00873B6C">
              <w:rPr>
                <w:sz w:val="16"/>
                <w:szCs w:val="16"/>
              </w:rPr>
              <w:t>3790</w:t>
            </w:r>
          </w:p>
        </w:tc>
        <w:tc>
          <w:tcPr>
            <w:tcW w:w="425" w:type="dxa"/>
            <w:shd w:val="solid" w:color="FFFFFF" w:fill="auto"/>
          </w:tcPr>
          <w:p w14:paraId="6F09534C" w14:textId="6A6E64B2" w:rsidR="004817F2" w:rsidRPr="00873B6C" w:rsidRDefault="004817F2" w:rsidP="009C14A7">
            <w:pPr>
              <w:pStyle w:val="TAL"/>
              <w:rPr>
                <w:sz w:val="16"/>
                <w:szCs w:val="16"/>
              </w:rPr>
            </w:pPr>
            <w:r w:rsidRPr="00873B6C">
              <w:rPr>
                <w:sz w:val="16"/>
                <w:szCs w:val="16"/>
              </w:rPr>
              <w:t>2</w:t>
            </w:r>
          </w:p>
        </w:tc>
        <w:tc>
          <w:tcPr>
            <w:tcW w:w="425" w:type="dxa"/>
            <w:shd w:val="solid" w:color="FFFFFF" w:fill="auto"/>
          </w:tcPr>
          <w:p w14:paraId="53CD8C76" w14:textId="0569FB50" w:rsidR="004817F2" w:rsidRPr="00873B6C" w:rsidRDefault="004817F2" w:rsidP="009C14A7">
            <w:pPr>
              <w:pStyle w:val="TAL"/>
              <w:rPr>
                <w:sz w:val="16"/>
                <w:szCs w:val="16"/>
              </w:rPr>
            </w:pPr>
            <w:r w:rsidRPr="00873B6C">
              <w:rPr>
                <w:sz w:val="16"/>
                <w:szCs w:val="16"/>
              </w:rPr>
              <w:t>B</w:t>
            </w:r>
          </w:p>
        </w:tc>
        <w:tc>
          <w:tcPr>
            <w:tcW w:w="4820" w:type="dxa"/>
            <w:shd w:val="solid" w:color="FFFFFF" w:fill="auto"/>
          </w:tcPr>
          <w:p w14:paraId="0F925C78" w14:textId="5F1515F1" w:rsidR="004817F2" w:rsidRPr="00873B6C" w:rsidRDefault="004817F2" w:rsidP="009C14A7">
            <w:pPr>
              <w:pStyle w:val="TAL"/>
              <w:rPr>
                <w:sz w:val="16"/>
                <w:szCs w:val="16"/>
              </w:rPr>
            </w:pPr>
            <w:r w:rsidRPr="00873B6C">
              <w:rPr>
                <w:sz w:val="16"/>
                <w:szCs w:val="16"/>
              </w:rPr>
              <w:t>Verification of UE location update in 23.501</w:t>
            </w:r>
          </w:p>
        </w:tc>
        <w:tc>
          <w:tcPr>
            <w:tcW w:w="708" w:type="dxa"/>
            <w:shd w:val="solid" w:color="FFFFFF" w:fill="auto"/>
          </w:tcPr>
          <w:p w14:paraId="7CF213A6" w14:textId="37F51FE5" w:rsidR="004817F2" w:rsidRPr="00873B6C" w:rsidRDefault="004817F2" w:rsidP="009C14A7">
            <w:pPr>
              <w:pStyle w:val="TAC"/>
              <w:rPr>
                <w:sz w:val="16"/>
                <w:szCs w:val="16"/>
              </w:rPr>
            </w:pPr>
            <w:r w:rsidRPr="00873B6C">
              <w:rPr>
                <w:sz w:val="16"/>
                <w:szCs w:val="16"/>
              </w:rPr>
              <w:t>18.0.0</w:t>
            </w:r>
          </w:p>
        </w:tc>
      </w:tr>
      <w:tr w:rsidR="004817F2" w:rsidRPr="00873B6C" w14:paraId="5B806C27" w14:textId="77777777" w:rsidTr="009D14FB">
        <w:tc>
          <w:tcPr>
            <w:tcW w:w="800" w:type="dxa"/>
            <w:shd w:val="solid" w:color="FFFFFF" w:fill="auto"/>
          </w:tcPr>
          <w:p w14:paraId="55F8F874" w14:textId="68C1ECCE" w:rsidR="004817F2" w:rsidRPr="00873B6C" w:rsidRDefault="004817F2" w:rsidP="009C14A7">
            <w:pPr>
              <w:pStyle w:val="TAC"/>
              <w:rPr>
                <w:sz w:val="16"/>
                <w:szCs w:val="16"/>
              </w:rPr>
            </w:pPr>
            <w:r w:rsidRPr="00873B6C">
              <w:rPr>
                <w:sz w:val="16"/>
                <w:szCs w:val="16"/>
              </w:rPr>
              <w:t>2022-12</w:t>
            </w:r>
          </w:p>
        </w:tc>
        <w:tc>
          <w:tcPr>
            <w:tcW w:w="800" w:type="dxa"/>
            <w:shd w:val="solid" w:color="FFFFFF" w:fill="auto"/>
          </w:tcPr>
          <w:p w14:paraId="4B605B9F" w14:textId="72A69677" w:rsidR="004817F2" w:rsidRPr="00873B6C" w:rsidRDefault="004817F2" w:rsidP="009C14A7">
            <w:pPr>
              <w:pStyle w:val="TAL"/>
              <w:rPr>
                <w:sz w:val="16"/>
                <w:szCs w:val="16"/>
              </w:rPr>
            </w:pPr>
            <w:r w:rsidRPr="00873B6C">
              <w:rPr>
                <w:sz w:val="16"/>
                <w:szCs w:val="16"/>
              </w:rPr>
              <w:t>SP#98E</w:t>
            </w:r>
          </w:p>
        </w:tc>
        <w:tc>
          <w:tcPr>
            <w:tcW w:w="1094" w:type="dxa"/>
            <w:shd w:val="solid" w:color="FFFFFF" w:fill="auto"/>
          </w:tcPr>
          <w:p w14:paraId="4AA7C8AA" w14:textId="48B0C899" w:rsidR="004817F2" w:rsidRPr="00873B6C" w:rsidRDefault="004817F2" w:rsidP="009C14A7">
            <w:pPr>
              <w:pStyle w:val="TAC"/>
              <w:rPr>
                <w:sz w:val="16"/>
                <w:szCs w:val="16"/>
              </w:rPr>
            </w:pPr>
            <w:r w:rsidRPr="00873B6C">
              <w:rPr>
                <w:sz w:val="16"/>
                <w:szCs w:val="16"/>
              </w:rPr>
              <w:t>SP-221083</w:t>
            </w:r>
          </w:p>
        </w:tc>
        <w:tc>
          <w:tcPr>
            <w:tcW w:w="567" w:type="dxa"/>
            <w:shd w:val="solid" w:color="FFFFFF" w:fill="auto"/>
          </w:tcPr>
          <w:p w14:paraId="21C9FCCC" w14:textId="3A0A3178" w:rsidR="004817F2" w:rsidRPr="00873B6C" w:rsidRDefault="004817F2" w:rsidP="009C14A7">
            <w:pPr>
              <w:pStyle w:val="TAL"/>
              <w:rPr>
                <w:sz w:val="16"/>
                <w:szCs w:val="16"/>
              </w:rPr>
            </w:pPr>
            <w:r w:rsidRPr="00873B6C">
              <w:rPr>
                <w:sz w:val="16"/>
                <w:szCs w:val="16"/>
              </w:rPr>
              <w:t>3793</w:t>
            </w:r>
          </w:p>
        </w:tc>
        <w:tc>
          <w:tcPr>
            <w:tcW w:w="425" w:type="dxa"/>
            <w:shd w:val="solid" w:color="FFFFFF" w:fill="auto"/>
          </w:tcPr>
          <w:p w14:paraId="5CF3EC2F" w14:textId="31E5596F" w:rsidR="004817F2" w:rsidRPr="00873B6C" w:rsidRDefault="004817F2" w:rsidP="009C14A7">
            <w:pPr>
              <w:pStyle w:val="TAL"/>
              <w:rPr>
                <w:sz w:val="16"/>
                <w:szCs w:val="16"/>
              </w:rPr>
            </w:pPr>
            <w:r w:rsidRPr="00873B6C">
              <w:rPr>
                <w:sz w:val="16"/>
                <w:szCs w:val="16"/>
              </w:rPr>
              <w:t>2</w:t>
            </w:r>
          </w:p>
        </w:tc>
        <w:tc>
          <w:tcPr>
            <w:tcW w:w="425" w:type="dxa"/>
            <w:shd w:val="solid" w:color="FFFFFF" w:fill="auto"/>
          </w:tcPr>
          <w:p w14:paraId="14B8AB42" w14:textId="3B71F002" w:rsidR="004817F2" w:rsidRPr="00873B6C" w:rsidRDefault="004817F2" w:rsidP="009C14A7">
            <w:pPr>
              <w:pStyle w:val="TAL"/>
              <w:rPr>
                <w:sz w:val="16"/>
                <w:szCs w:val="16"/>
              </w:rPr>
            </w:pPr>
            <w:r w:rsidRPr="00873B6C">
              <w:rPr>
                <w:sz w:val="16"/>
                <w:szCs w:val="16"/>
              </w:rPr>
              <w:t>B</w:t>
            </w:r>
          </w:p>
        </w:tc>
        <w:tc>
          <w:tcPr>
            <w:tcW w:w="4820" w:type="dxa"/>
            <w:shd w:val="solid" w:color="FFFFFF" w:fill="auto"/>
          </w:tcPr>
          <w:p w14:paraId="0B8EB0D6" w14:textId="3D6967E4" w:rsidR="004817F2" w:rsidRPr="00873B6C" w:rsidRDefault="004817F2" w:rsidP="009C14A7">
            <w:pPr>
              <w:pStyle w:val="TAL"/>
              <w:rPr>
                <w:sz w:val="16"/>
                <w:szCs w:val="16"/>
              </w:rPr>
            </w:pPr>
            <w:r w:rsidRPr="00873B6C">
              <w:rPr>
                <w:sz w:val="16"/>
                <w:szCs w:val="16"/>
              </w:rPr>
              <w:t>Support of Satellite Edge Computing via UPF deployed on satellite</w:t>
            </w:r>
          </w:p>
        </w:tc>
        <w:tc>
          <w:tcPr>
            <w:tcW w:w="708" w:type="dxa"/>
            <w:shd w:val="solid" w:color="FFFFFF" w:fill="auto"/>
          </w:tcPr>
          <w:p w14:paraId="7C22BB82" w14:textId="77787DEE" w:rsidR="004817F2" w:rsidRPr="00873B6C" w:rsidRDefault="004817F2" w:rsidP="009C14A7">
            <w:pPr>
              <w:pStyle w:val="TAC"/>
              <w:rPr>
                <w:sz w:val="16"/>
                <w:szCs w:val="16"/>
              </w:rPr>
            </w:pPr>
            <w:r w:rsidRPr="00873B6C">
              <w:rPr>
                <w:sz w:val="16"/>
                <w:szCs w:val="16"/>
              </w:rPr>
              <w:t>18.0.0</w:t>
            </w:r>
          </w:p>
        </w:tc>
      </w:tr>
      <w:tr w:rsidR="00A92B4B" w:rsidRPr="00873B6C" w14:paraId="41D95DE2" w14:textId="77777777" w:rsidTr="009D14FB">
        <w:tc>
          <w:tcPr>
            <w:tcW w:w="800" w:type="dxa"/>
            <w:shd w:val="solid" w:color="FFFFFF" w:fill="auto"/>
          </w:tcPr>
          <w:p w14:paraId="1A4B572E" w14:textId="4AF385E3"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575C3788" w14:textId="7B6426AF"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07CB429D" w14:textId="2D73726B" w:rsidR="00A92B4B" w:rsidRPr="00873B6C" w:rsidRDefault="00A92B4B" w:rsidP="009C14A7">
            <w:pPr>
              <w:pStyle w:val="TAC"/>
              <w:rPr>
                <w:sz w:val="16"/>
                <w:szCs w:val="16"/>
              </w:rPr>
            </w:pPr>
            <w:r w:rsidRPr="00873B6C">
              <w:rPr>
                <w:sz w:val="16"/>
                <w:szCs w:val="16"/>
              </w:rPr>
              <w:t>SP-221083</w:t>
            </w:r>
          </w:p>
        </w:tc>
        <w:tc>
          <w:tcPr>
            <w:tcW w:w="567" w:type="dxa"/>
            <w:shd w:val="solid" w:color="FFFFFF" w:fill="auto"/>
          </w:tcPr>
          <w:p w14:paraId="1BC72B39" w14:textId="1FB56177" w:rsidR="00A92B4B" w:rsidRPr="00873B6C" w:rsidRDefault="00A92B4B" w:rsidP="009C14A7">
            <w:pPr>
              <w:pStyle w:val="TAL"/>
              <w:rPr>
                <w:sz w:val="16"/>
                <w:szCs w:val="16"/>
              </w:rPr>
            </w:pPr>
            <w:r w:rsidRPr="00873B6C">
              <w:rPr>
                <w:sz w:val="16"/>
                <w:szCs w:val="16"/>
              </w:rPr>
              <w:t>3794</w:t>
            </w:r>
          </w:p>
        </w:tc>
        <w:tc>
          <w:tcPr>
            <w:tcW w:w="425" w:type="dxa"/>
            <w:shd w:val="solid" w:color="FFFFFF" w:fill="auto"/>
          </w:tcPr>
          <w:p w14:paraId="42D1E74C" w14:textId="2A5303FB" w:rsidR="00A92B4B" w:rsidRPr="00873B6C" w:rsidRDefault="00A92B4B" w:rsidP="009C14A7">
            <w:pPr>
              <w:pStyle w:val="TAL"/>
              <w:rPr>
                <w:sz w:val="16"/>
                <w:szCs w:val="16"/>
              </w:rPr>
            </w:pPr>
            <w:r w:rsidRPr="00873B6C">
              <w:rPr>
                <w:sz w:val="16"/>
                <w:szCs w:val="16"/>
              </w:rPr>
              <w:t>4</w:t>
            </w:r>
          </w:p>
        </w:tc>
        <w:tc>
          <w:tcPr>
            <w:tcW w:w="425" w:type="dxa"/>
            <w:shd w:val="solid" w:color="FFFFFF" w:fill="auto"/>
          </w:tcPr>
          <w:p w14:paraId="09A3344A" w14:textId="3749BDB4"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5519C104" w14:textId="3CC6C6B2" w:rsidR="00A92B4B" w:rsidRPr="00873B6C" w:rsidRDefault="00A92B4B" w:rsidP="009C14A7">
            <w:pPr>
              <w:pStyle w:val="TAL"/>
              <w:rPr>
                <w:sz w:val="16"/>
                <w:szCs w:val="16"/>
              </w:rPr>
            </w:pPr>
            <w:r w:rsidRPr="00873B6C">
              <w:rPr>
                <w:sz w:val="16"/>
                <w:szCs w:val="16"/>
              </w:rPr>
              <w:t>Support of local switch via UPF deployed on satellite for GEO backhaul case</w:t>
            </w:r>
          </w:p>
        </w:tc>
        <w:tc>
          <w:tcPr>
            <w:tcW w:w="708" w:type="dxa"/>
            <w:shd w:val="solid" w:color="FFFFFF" w:fill="auto"/>
          </w:tcPr>
          <w:p w14:paraId="580E90E4" w14:textId="1E3F09EC" w:rsidR="00A92B4B" w:rsidRPr="00873B6C" w:rsidRDefault="00A92B4B" w:rsidP="009C14A7">
            <w:pPr>
              <w:pStyle w:val="TAC"/>
              <w:rPr>
                <w:sz w:val="16"/>
                <w:szCs w:val="16"/>
              </w:rPr>
            </w:pPr>
            <w:r w:rsidRPr="00873B6C">
              <w:rPr>
                <w:sz w:val="16"/>
                <w:szCs w:val="16"/>
              </w:rPr>
              <w:t>18.0.0</w:t>
            </w:r>
          </w:p>
        </w:tc>
      </w:tr>
      <w:tr w:rsidR="00A92B4B" w:rsidRPr="00873B6C" w14:paraId="2A992F95" w14:textId="77777777" w:rsidTr="009D14FB">
        <w:tc>
          <w:tcPr>
            <w:tcW w:w="800" w:type="dxa"/>
            <w:shd w:val="solid" w:color="FFFFFF" w:fill="auto"/>
          </w:tcPr>
          <w:p w14:paraId="394FA41D" w14:textId="51C3356E"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3F57B0A5" w14:textId="48E58FAE"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2220880E" w14:textId="378BB424" w:rsidR="00A92B4B" w:rsidRPr="00873B6C" w:rsidRDefault="00A92B4B" w:rsidP="009C14A7">
            <w:pPr>
              <w:pStyle w:val="TAC"/>
              <w:rPr>
                <w:sz w:val="16"/>
                <w:szCs w:val="16"/>
              </w:rPr>
            </w:pPr>
            <w:r w:rsidRPr="00873B6C">
              <w:rPr>
                <w:sz w:val="16"/>
                <w:szCs w:val="16"/>
              </w:rPr>
              <w:t>SP-221096</w:t>
            </w:r>
          </w:p>
        </w:tc>
        <w:tc>
          <w:tcPr>
            <w:tcW w:w="567" w:type="dxa"/>
            <w:shd w:val="solid" w:color="FFFFFF" w:fill="auto"/>
          </w:tcPr>
          <w:p w14:paraId="551039F5" w14:textId="0EFDA388" w:rsidR="00A92B4B" w:rsidRPr="00873B6C" w:rsidRDefault="00A92B4B" w:rsidP="009C14A7">
            <w:pPr>
              <w:pStyle w:val="TAL"/>
              <w:rPr>
                <w:sz w:val="16"/>
                <w:szCs w:val="16"/>
              </w:rPr>
            </w:pPr>
            <w:r w:rsidRPr="00873B6C">
              <w:rPr>
                <w:sz w:val="16"/>
                <w:szCs w:val="16"/>
              </w:rPr>
              <w:t>3796</w:t>
            </w:r>
          </w:p>
        </w:tc>
        <w:tc>
          <w:tcPr>
            <w:tcW w:w="425" w:type="dxa"/>
            <w:shd w:val="solid" w:color="FFFFFF" w:fill="auto"/>
          </w:tcPr>
          <w:p w14:paraId="6A8C40AC" w14:textId="02C0CD9D" w:rsidR="00A92B4B" w:rsidRPr="00873B6C" w:rsidRDefault="00A92B4B" w:rsidP="009C14A7">
            <w:pPr>
              <w:pStyle w:val="TAL"/>
              <w:rPr>
                <w:sz w:val="16"/>
                <w:szCs w:val="16"/>
              </w:rPr>
            </w:pPr>
            <w:r w:rsidRPr="00873B6C">
              <w:rPr>
                <w:sz w:val="16"/>
                <w:szCs w:val="16"/>
              </w:rPr>
              <w:t>2</w:t>
            </w:r>
          </w:p>
        </w:tc>
        <w:tc>
          <w:tcPr>
            <w:tcW w:w="425" w:type="dxa"/>
            <w:shd w:val="solid" w:color="FFFFFF" w:fill="auto"/>
          </w:tcPr>
          <w:p w14:paraId="2199EA11" w14:textId="4BBF18D7"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28B55103" w14:textId="232DFFB0" w:rsidR="00A92B4B" w:rsidRPr="00873B6C" w:rsidRDefault="00A92B4B" w:rsidP="009C14A7">
            <w:pPr>
              <w:pStyle w:val="TAL"/>
              <w:rPr>
                <w:sz w:val="16"/>
                <w:szCs w:val="16"/>
              </w:rPr>
            </w:pPr>
            <w:r w:rsidRPr="00873B6C">
              <w:rPr>
                <w:sz w:val="16"/>
                <w:szCs w:val="16"/>
              </w:rPr>
              <w:t>Enhancements of PCF Services and NEF Services</w:t>
            </w:r>
          </w:p>
        </w:tc>
        <w:tc>
          <w:tcPr>
            <w:tcW w:w="708" w:type="dxa"/>
            <w:shd w:val="solid" w:color="FFFFFF" w:fill="auto"/>
          </w:tcPr>
          <w:p w14:paraId="4EF1BAD4" w14:textId="230A48AE" w:rsidR="00A92B4B" w:rsidRPr="00873B6C" w:rsidRDefault="00A92B4B" w:rsidP="009C14A7">
            <w:pPr>
              <w:pStyle w:val="TAC"/>
              <w:rPr>
                <w:sz w:val="16"/>
                <w:szCs w:val="16"/>
              </w:rPr>
            </w:pPr>
            <w:r w:rsidRPr="00873B6C">
              <w:rPr>
                <w:sz w:val="16"/>
                <w:szCs w:val="16"/>
              </w:rPr>
              <w:t>18.0.0</w:t>
            </w:r>
          </w:p>
        </w:tc>
      </w:tr>
      <w:tr w:rsidR="00A92B4B" w:rsidRPr="00873B6C" w14:paraId="7E464DF3" w14:textId="77777777" w:rsidTr="009D14FB">
        <w:tc>
          <w:tcPr>
            <w:tcW w:w="800" w:type="dxa"/>
            <w:shd w:val="solid" w:color="FFFFFF" w:fill="auto"/>
          </w:tcPr>
          <w:p w14:paraId="2D8F1418" w14:textId="6A295444"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6502B415" w14:textId="4E92B19C"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33C381E4" w14:textId="1D1FA1C0" w:rsidR="00A92B4B" w:rsidRPr="00873B6C" w:rsidRDefault="00A92B4B" w:rsidP="009C14A7">
            <w:pPr>
              <w:pStyle w:val="TAC"/>
              <w:rPr>
                <w:sz w:val="16"/>
                <w:szCs w:val="16"/>
              </w:rPr>
            </w:pPr>
            <w:r w:rsidRPr="00873B6C">
              <w:rPr>
                <w:sz w:val="16"/>
                <w:szCs w:val="16"/>
              </w:rPr>
              <w:t>SP-221083</w:t>
            </w:r>
          </w:p>
        </w:tc>
        <w:tc>
          <w:tcPr>
            <w:tcW w:w="567" w:type="dxa"/>
            <w:shd w:val="solid" w:color="FFFFFF" w:fill="auto"/>
          </w:tcPr>
          <w:p w14:paraId="6E5ACFC2" w14:textId="4DBE9B0F" w:rsidR="00A92B4B" w:rsidRPr="00873B6C" w:rsidRDefault="00A92B4B" w:rsidP="009C14A7">
            <w:pPr>
              <w:pStyle w:val="TAL"/>
              <w:rPr>
                <w:sz w:val="16"/>
                <w:szCs w:val="16"/>
              </w:rPr>
            </w:pPr>
            <w:r w:rsidRPr="00873B6C">
              <w:rPr>
                <w:sz w:val="16"/>
                <w:szCs w:val="16"/>
              </w:rPr>
              <w:t>3803</w:t>
            </w:r>
          </w:p>
        </w:tc>
        <w:tc>
          <w:tcPr>
            <w:tcW w:w="425" w:type="dxa"/>
            <w:shd w:val="solid" w:color="FFFFFF" w:fill="auto"/>
          </w:tcPr>
          <w:p w14:paraId="2CE12DB4" w14:textId="17BC5566" w:rsidR="00A92B4B" w:rsidRPr="00873B6C" w:rsidRDefault="00A92B4B" w:rsidP="009C14A7">
            <w:pPr>
              <w:pStyle w:val="TAL"/>
              <w:rPr>
                <w:sz w:val="16"/>
                <w:szCs w:val="16"/>
              </w:rPr>
            </w:pPr>
            <w:r w:rsidRPr="00873B6C">
              <w:rPr>
                <w:sz w:val="16"/>
                <w:szCs w:val="16"/>
              </w:rPr>
              <w:t>2</w:t>
            </w:r>
          </w:p>
        </w:tc>
        <w:tc>
          <w:tcPr>
            <w:tcW w:w="425" w:type="dxa"/>
            <w:shd w:val="solid" w:color="FFFFFF" w:fill="auto"/>
          </w:tcPr>
          <w:p w14:paraId="55A31F57" w14:textId="36CBDFA1"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6DF63B59" w14:textId="5BA4BBDD" w:rsidR="00A92B4B" w:rsidRPr="00873B6C" w:rsidRDefault="00A92B4B" w:rsidP="009C14A7">
            <w:pPr>
              <w:pStyle w:val="TAL"/>
              <w:rPr>
                <w:sz w:val="16"/>
                <w:szCs w:val="16"/>
              </w:rPr>
            </w:pPr>
            <w:r w:rsidRPr="00873B6C">
              <w:rPr>
                <w:sz w:val="16"/>
                <w:szCs w:val="16"/>
              </w:rPr>
              <w:t>QoS Monitoring for Dynamic Satellite Backhaul</w:t>
            </w:r>
          </w:p>
        </w:tc>
        <w:tc>
          <w:tcPr>
            <w:tcW w:w="708" w:type="dxa"/>
            <w:shd w:val="solid" w:color="FFFFFF" w:fill="auto"/>
          </w:tcPr>
          <w:p w14:paraId="1A4FB102" w14:textId="326AB9CB" w:rsidR="00A92B4B" w:rsidRPr="00873B6C" w:rsidRDefault="00A92B4B" w:rsidP="009C14A7">
            <w:pPr>
              <w:pStyle w:val="TAC"/>
              <w:rPr>
                <w:sz w:val="16"/>
                <w:szCs w:val="16"/>
              </w:rPr>
            </w:pPr>
            <w:r w:rsidRPr="00873B6C">
              <w:rPr>
                <w:sz w:val="16"/>
                <w:szCs w:val="16"/>
              </w:rPr>
              <w:t>18.0.0</w:t>
            </w:r>
          </w:p>
        </w:tc>
      </w:tr>
      <w:tr w:rsidR="00A92B4B" w:rsidRPr="00873B6C" w14:paraId="548C9423" w14:textId="77777777" w:rsidTr="009D14FB">
        <w:tc>
          <w:tcPr>
            <w:tcW w:w="800" w:type="dxa"/>
            <w:shd w:val="solid" w:color="FFFFFF" w:fill="auto"/>
          </w:tcPr>
          <w:p w14:paraId="07370541" w14:textId="301BD8E2"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64D13B6B" w14:textId="375C2B98"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49E16989" w14:textId="10413A52" w:rsidR="00A92B4B" w:rsidRPr="00873B6C" w:rsidRDefault="00A92B4B" w:rsidP="009C14A7">
            <w:pPr>
              <w:pStyle w:val="TAC"/>
              <w:rPr>
                <w:sz w:val="16"/>
                <w:szCs w:val="16"/>
              </w:rPr>
            </w:pPr>
            <w:r w:rsidRPr="00873B6C">
              <w:rPr>
                <w:sz w:val="16"/>
                <w:szCs w:val="16"/>
              </w:rPr>
              <w:t>SP-221092</w:t>
            </w:r>
          </w:p>
        </w:tc>
        <w:tc>
          <w:tcPr>
            <w:tcW w:w="567" w:type="dxa"/>
            <w:shd w:val="solid" w:color="FFFFFF" w:fill="auto"/>
          </w:tcPr>
          <w:p w14:paraId="679A9BA9" w14:textId="68F8F9B8" w:rsidR="00A92B4B" w:rsidRPr="00873B6C" w:rsidRDefault="00A92B4B" w:rsidP="009C14A7">
            <w:pPr>
              <w:pStyle w:val="TAL"/>
              <w:rPr>
                <w:sz w:val="16"/>
                <w:szCs w:val="16"/>
              </w:rPr>
            </w:pPr>
            <w:r w:rsidRPr="00873B6C">
              <w:rPr>
                <w:sz w:val="16"/>
                <w:szCs w:val="16"/>
              </w:rPr>
              <w:t>3811</w:t>
            </w:r>
          </w:p>
        </w:tc>
        <w:tc>
          <w:tcPr>
            <w:tcW w:w="425" w:type="dxa"/>
            <w:shd w:val="solid" w:color="FFFFFF" w:fill="auto"/>
          </w:tcPr>
          <w:p w14:paraId="31529C01" w14:textId="7BCFC100" w:rsidR="00A92B4B" w:rsidRPr="00873B6C" w:rsidRDefault="00A92B4B" w:rsidP="009C14A7">
            <w:pPr>
              <w:pStyle w:val="TAL"/>
              <w:rPr>
                <w:sz w:val="16"/>
                <w:szCs w:val="16"/>
              </w:rPr>
            </w:pPr>
            <w:r w:rsidRPr="00873B6C">
              <w:rPr>
                <w:sz w:val="16"/>
                <w:szCs w:val="16"/>
              </w:rPr>
              <w:t>2</w:t>
            </w:r>
          </w:p>
        </w:tc>
        <w:tc>
          <w:tcPr>
            <w:tcW w:w="425" w:type="dxa"/>
            <w:shd w:val="solid" w:color="FFFFFF" w:fill="auto"/>
          </w:tcPr>
          <w:p w14:paraId="4937A4A2" w14:textId="7340E772"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76B3C59F" w14:textId="2BD3549D" w:rsidR="00A92B4B" w:rsidRPr="00873B6C" w:rsidRDefault="00A92B4B" w:rsidP="009C14A7">
            <w:pPr>
              <w:pStyle w:val="TAL"/>
              <w:rPr>
                <w:sz w:val="16"/>
                <w:szCs w:val="16"/>
              </w:rPr>
            </w:pPr>
            <w:r w:rsidRPr="00873B6C">
              <w:rPr>
                <w:sz w:val="16"/>
                <w:szCs w:val="16"/>
              </w:rPr>
              <w:t>Interworking with TSN network deployed in the transport network</w:t>
            </w:r>
          </w:p>
        </w:tc>
        <w:tc>
          <w:tcPr>
            <w:tcW w:w="708" w:type="dxa"/>
            <w:shd w:val="solid" w:color="FFFFFF" w:fill="auto"/>
          </w:tcPr>
          <w:p w14:paraId="69B15EBE" w14:textId="308C2A8C" w:rsidR="00A92B4B" w:rsidRPr="00873B6C" w:rsidRDefault="00A92B4B" w:rsidP="009C14A7">
            <w:pPr>
              <w:pStyle w:val="TAC"/>
              <w:rPr>
                <w:sz w:val="16"/>
                <w:szCs w:val="16"/>
              </w:rPr>
            </w:pPr>
            <w:r w:rsidRPr="00873B6C">
              <w:rPr>
                <w:sz w:val="16"/>
                <w:szCs w:val="16"/>
              </w:rPr>
              <w:t>18.0.0</w:t>
            </w:r>
          </w:p>
        </w:tc>
      </w:tr>
      <w:tr w:rsidR="00A92B4B" w:rsidRPr="00873B6C" w14:paraId="604ECB57" w14:textId="77777777" w:rsidTr="009D14FB">
        <w:tc>
          <w:tcPr>
            <w:tcW w:w="800" w:type="dxa"/>
            <w:shd w:val="solid" w:color="FFFFFF" w:fill="auto"/>
          </w:tcPr>
          <w:p w14:paraId="7CF482D7" w14:textId="49DBABA9"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4B4C5C94" w14:textId="0B55512F"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4B8877F3" w14:textId="164F9A12" w:rsidR="00A92B4B" w:rsidRPr="00873B6C" w:rsidRDefault="00A92B4B" w:rsidP="009C14A7">
            <w:pPr>
              <w:pStyle w:val="TAC"/>
              <w:rPr>
                <w:sz w:val="16"/>
                <w:szCs w:val="16"/>
              </w:rPr>
            </w:pPr>
            <w:r w:rsidRPr="00873B6C">
              <w:rPr>
                <w:sz w:val="16"/>
                <w:szCs w:val="16"/>
              </w:rPr>
              <w:t>SP-221141</w:t>
            </w:r>
          </w:p>
        </w:tc>
        <w:tc>
          <w:tcPr>
            <w:tcW w:w="567" w:type="dxa"/>
            <w:shd w:val="solid" w:color="FFFFFF" w:fill="auto"/>
          </w:tcPr>
          <w:p w14:paraId="4D6E8B7B" w14:textId="2E808741" w:rsidR="00A92B4B" w:rsidRPr="00873B6C" w:rsidRDefault="00A92B4B" w:rsidP="009C14A7">
            <w:pPr>
              <w:pStyle w:val="TAL"/>
              <w:rPr>
                <w:sz w:val="16"/>
                <w:szCs w:val="16"/>
              </w:rPr>
            </w:pPr>
            <w:r w:rsidRPr="00873B6C">
              <w:rPr>
                <w:sz w:val="16"/>
                <w:szCs w:val="16"/>
              </w:rPr>
              <w:t>3813</w:t>
            </w:r>
          </w:p>
        </w:tc>
        <w:tc>
          <w:tcPr>
            <w:tcW w:w="425" w:type="dxa"/>
            <w:shd w:val="solid" w:color="FFFFFF" w:fill="auto"/>
          </w:tcPr>
          <w:p w14:paraId="24E9BE3C" w14:textId="6A46E559" w:rsidR="00A92B4B" w:rsidRPr="00873B6C" w:rsidRDefault="00A92B4B" w:rsidP="009C14A7">
            <w:pPr>
              <w:pStyle w:val="TAL"/>
              <w:rPr>
                <w:sz w:val="16"/>
                <w:szCs w:val="16"/>
              </w:rPr>
            </w:pPr>
            <w:r w:rsidRPr="00873B6C">
              <w:rPr>
                <w:sz w:val="16"/>
                <w:szCs w:val="16"/>
              </w:rPr>
              <w:t>3</w:t>
            </w:r>
          </w:p>
        </w:tc>
        <w:tc>
          <w:tcPr>
            <w:tcW w:w="425" w:type="dxa"/>
            <w:shd w:val="solid" w:color="FFFFFF" w:fill="auto"/>
          </w:tcPr>
          <w:p w14:paraId="3633C164" w14:textId="7D8B02F5"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7A8ED8A4" w14:textId="0FE0F980" w:rsidR="00A92B4B" w:rsidRPr="00873B6C" w:rsidRDefault="00A92B4B" w:rsidP="009C14A7">
            <w:pPr>
              <w:pStyle w:val="TAL"/>
              <w:rPr>
                <w:sz w:val="16"/>
                <w:szCs w:val="16"/>
              </w:rPr>
            </w:pPr>
            <w:r w:rsidRPr="00873B6C">
              <w:rPr>
                <w:sz w:val="16"/>
                <w:szCs w:val="16"/>
              </w:rPr>
              <w:t>Introduction of Mobile Base Station Relay</w:t>
            </w:r>
          </w:p>
        </w:tc>
        <w:tc>
          <w:tcPr>
            <w:tcW w:w="708" w:type="dxa"/>
            <w:shd w:val="solid" w:color="FFFFFF" w:fill="auto"/>
          </w:tcPr>
          <w:p w14:paraId="5519F813" w14:textId="3674D861" w:rsidR="00A92B4B" w:rsidRPr="00873B6C" w:rsidRDefault="00A92B4B" w:rsidP="009C14A7">
            <w:pPr>
              <w:pStyle w:val="TAC"/>
              <w:rPr>
                <w:sz w:val="16"/>
                <w:szCs w:val="16"/>
              </w:rPr>
            </w:pPr>
            <w:r w:rsidRPr="00873B6C">
              <w:rPr>
                <w:sz w:val="16"/>
                <w:szCs w:val="16"/>
              </w:rPr>
              <w:t>18.0.0</w:t>
            </w:r>
          </w:p>
        </w:tc>
      </w:tr>
      <w:tr w:rsidR="00753E54" w:rsidRPr="00873B6C" w14:paraId="4FFFB596" w14:textId="77777777" w:rsidTr="009D14FB">
        <w:tc>
          <w:tcPr>
            <w:tcW w:w="800" w:type="dxa"/>
            <w:shd w:val="solid" w:color="FFFFFF" w:fill="auto"/>
          </w:tcPr>
          <w:p w14:paraId="2C972A30" w14:textId="1FE622D2" w:rsidR="00753E54" w:rsidRPr="00873B6C" w:rsidRDefault="00753E54" w:rsidP="009C14A7">
            <w:pPr>
              <w:pStyle w:val="TAC"/>
              <w:rPr>
                <w:sz w:val="16"/>
                <w:szCs w:val="16"/>
              </w:rPr>
            </w:pPr>
            <w:r w:rsidRPr="00873B6C">
              <w:rPr>
                <w:sz w:val="16"/>
                <w:szCs w:val="16"/>
              </w:rPr>
              <w:t>2023-03</w:t>
            </w:r>
          </w:p>
        </w:tc>
        <w:tc>
          <w:tcPr>
            <w:tcW w:w="800" w:type="dxa"/>
            <w:shd w:val="solid" w:color="FFFFFF" w:fill="auto"/>
          </w:tcPr>
          <w:p w14:paraId="3E3A4689" w14:textId="5AD29845" w:rsidR="00753E54" w:rsidRPr="00873B6C" w:rsidRDefault="00753E54" w:rsidP="009C14A7">
            <w:pPr>
              <w:pStyle w:val="TAL"/>
              <w:rPr>
                <w:sz w:val="16"/>
                <w:szCs w:val="16"/>
              </w:rPr>
            </w:pPr>
            <w:r w:rsidRPr="00873B6C">
              <w:rPr>
                <w:sz w:val="16"/>
                <w:szCs w:val="16"/>
              </w:rPr>
              <w:t>SP#99</w:t>
            </w:r>
          </w:p>
        </w:tc>
        <w:tc>
          <w:tcPr>
            <w:tcW w:w="1094" w:type="dxa"/>
            <w:shd w:val="solid" w:color="FFFFFF" w:fill="auto"/>
          </w:tcPr>
          <w:p w14:paraId="5CB0BA1A" w14:textId="24BB82A0" w:rsidR="00753E54" w:rsidRPr="00873B6C" w:rsidRDefault="00753E54" w:rsidP="009C14A7">
            <w:pPr>
              <w:pStyle w:val="TAC"/>
              <w:rPr>
                <w:sz w:val="16"/>
                <w:szCs w:val="16"/>
              </w:rPr>
            </w:pPr>
            <w:r w:rsidRPr="00873B6C">
              <w:rPr>
                <w:sz w:val="16"/>
                <w:szCs w:val="16"/>
              </w:rPr>
              <w:t>SP-230080</w:t>
            </w:r>
          </w:p>
        </w:tc>
        <w:tc>
          <w:tcPr>
            <w:tcW w:w="567" w:type="dxa"/>
            <w:shd w:val="solid" w:color="FFFFFF" w:fill="auto"/>
          </w:tcPr>
          <w:p w14:paraId="02E06A77" w14:textId="5C2881EE" w:rsidR="00753E54" w:rsidRPr="00873B6C" w:rsidRDefault="00753E54" w:rsidP="009C14A7">
            <w:pPr>
              <w:pStyle w:val="TAL"/>
              <w:rPr>
                <w:sz w:val="16"/>
                <w:szCs w:val="16"/>
              </w:rPr>
            </w:pPr>
            <w:r w:rsidRPr="00873B6C">
              <w:rPr>
                <w:sz w:val="16"/>
                <w:szCs w:val="16"/>
              </w:rPr>
              <w:t>3594</w:t>
            </w:r>
          </w:p>
        </w:tc>
        <w:tc>
          <w:tcPr>
            <w:tcW w:w="425" w:type="dxa"/>
            <w:shd w:val="solid" w:color="FFFFFF" w:fill="auto"/>
          </w:tcPr>
          <w:p w14:paraId="766103BC" w14:textId="190D72C3" w:rsidR="00753E54" w:rsidRPr="00873B6C" w:rsidRDefault="00753E54" w:rsidP="009C14A7">
            <w:pPr>
              <w:pStyle w:val="TAL"/>
              <w:rPr>
                <w:sz w:val="16"/>
                <w:szCs w:val="16"/>
              </w:rPr>
            </w:pPr>
            <w:r w:rsidRPr="00873B6C">
              <w:rPr>
                <w:sz w:val="16"/>
                <w:szCs w:val="16"/>
              </w:rPr>
              <w:t>1</w:t>
            </w:r>
          </w:p>
        </w:tc>
        <w:tc>
          <w:tcPr>
            <w:tcW w:w="425" w:type="dxa"/>
            <w:shd w:val="solid" w:color="FFFFFF" w:fill="auto"/>
          </w:tcPr>
          <w:p w14:paraId="02D93F76" w14:textId="33F85A83" w:rsidR="00753E54" w:rsidRPr="00873B6C" w:rsidRDefault="00753E54" w:rsidP="009C14A7">
            <w:pPr>
              <w:pStyle w:val="TAL"/>
              <w:rPr>
                <w:sz w:val="16"/>
                <w:szCs w:val="16"/>
              </w:rPr>
            </w:pPr>
            <w:r w:rsidRPr="00873B6C">
              <w:rPr>
                <w:sz w:val="16"/>
                <w:szCs w:val="16"/>
              </w:rPr>
              <w:t>D</w:t>
            </w:r>
          </w:p>
        </w:tc>
        <w:tc>
          <w:tcPr>
            <w:tcW w:w="4820" w:type="dxa"/>
            <w:shd w:val="solid" w:color="FFFFFF" w:fill="auto"/>
          </w:tcPr>
          <w:p w14:paraId="63643528" w14:textId="59B52BDB" w:rsidR="00753E54" w:rsidRPr="00873B6C" w:rsidRDefault="00753E54" w:rsidP="009C14A7">
            <w:pPr>
              <w:pStyle w:val="TAL"/>
              <w:rPr>
                <w:sz w:val="16"/>
                <w:szCs w:val="16"/>
              </w:rPr>
            </w:pPr>
            <w:r w:rsidRPr="00873B6C">
              <w:rPr>
                <w:sz w:val="16"/>
                <w:szCs w:val="16"/>
              </w:rPr>
              <w:t>RRC state and CM state terminology alignment</w:t>
            </w:r>
          </w:p>
        </w:tc>
        <w:tc>
          <w:tcPr>
            <w:tcW w:w="708" w:type="dxa"/>
            <w:shd w:val="solid" w:color="FFFFFF" w:fill="auto"/>
          </w:tcPr>
          <w:p w14:paraId="16582E95" w14:textId="1660495A" w:rsidR="00753E54" w:rsidRPr="00873B6C" w:rsidRDefault="00753E54" w:rsidP="009C14A7">
            <w:pPr>
              <w:pStyle w:val="TAC"/>
              <w:rPr>
                <w:sz w:val="16"/>
                <w:szCs w:val="16"/>
              </w:rPr>
            </w:pPr>
            <w:r w:rsidRPr="00873B6C">
              <w:rPr>
                <w:sz w:val="16"/>
                <w:szCs w:val="16"/>
              </w:rPr>
              <w:t>18.1.0</w:t>
            </w:r>
          </w:p>
        </w:tc>
      </w:tr>
      <w:tr w:rsidR="00511811" w:rsidRPr="00873B6C" w14:paraId="4676C1B1" w14:textId="77777777" w:rsidTr="009D14FB">
        <w:tc>
          <w:tcPr>
            <w:tcW w:w="800" w:type="dxa"/>
            <w:shd w:val="solid" w:color="FFFFFF" w:fill="auto"/>
          </w:tcPr>
          <w:p w14:paraId="4697B23D" w14:textId="54F18AA0" w:rsidR="00511811" w:rsidRPr="00873B6C" w:rsidRDefault="00511811" w:rsidP="009C14A7">
            <w:pPr>
              <w:pStyle w:val="TAC"/>
              <w:rPr>
                <w:sz w:val="16"/>
                <w:szCs w:val="16"/>
              </w:rPr>
            </w:pPr>
            <w:r w:rsidRPr="00873B6C">
              <w:rPr>
                <w:sz w:val="16"/>
                <w:szCs w:val="16"/>
              </w:rPr>
              <w:t>2023-03</w:t>
            </w:r>
          </w:p>
        </w:tc>
        <w:tc>
          <w:tcPr>
            <w:tcW w:w="800" w:type="dxa"/>
            <w:shd w:val="solid" w:color="FFFFFF" w:fill="auto"/>
          </w:tcPr>
          <w:p w14:paraId="449D9977" w14:textId="51600878" w:rsidR="00511811" w:rsidRPr="00873B6C" w:rsidRDefault="00511811" w:rsidP="009C14A7">
            <w:pPr>
              <w:pStyle w:val="TAL"/>
              <w:rPr>
                <w:sz w:val="16"/>
                <w:szCs w:val="16"/>
              </w:rPr>
            </w:pPr>
            <w:r w:rsidRPr="00873B6C">
              <w:rPr>
                <w:sz w:val="16"/>
                <w:szCs w:val="16"/>
              </w:rPr>
              <w:t>SP#99</w:t>
            </w:r>
          </w:p>
        </w:tc>
        <w:tc>
          <w:tcPr>
            <w:tcW w:w="1094" w:type="dxa"/>
            <w:shd w:val="solid" w:color="FFFFFF" w:fill="auto"/>
          </w:tcPr>
          <w:p w14:paraId="6D1532C2" w14:textId="48B15F87" w:rsidR="00511811" w:rsidRPr="00873B6C" w:rsidRDefault="00511811" w:rsidP="009C14A7">
            <w:pPr>
              <w:pStyle w:val="TAC"/>
              <w:rPr>
                <w:sz w:val="16"/>
                <w:szCs w:val="16"/>
              </w:rPr>
            </w:pPr>
            <w:r w:rsidRPr="00873B6C">
              <w:rPr>
                <w:sz w:val="16"/>
                <w:szCs w:val="16"/>
              </w:rPr>
              <w:t>SP-230077</w:t>
            </w:r>
          </w:p>
        </w:tc>
        <w:tc>
          <w:tcPr>
            <w:tcW w:w="567" w:type="dxa"/>
            <w:shd w:val="solid" w:color="FFFFFF" w:fill="auto"/>
          </w:tcPr>
          <w:p w14:paraId="61493615" w14:textId="6C31D675" w:rsidR="00511811" w:rsidRPr="00873B6C" w:rsidRDefault="00511811" w:rsidP="009C14A7">
            <w:pPr>
              <w:pStyle w:val="TAL"/>
              <w:rPr>
                <w:sz w:val="16"/>
                <w:szCs w:val="16"/>
              </w:rPr>
            </w:pPr>
            <w:r w:rsidRPr="00873B6C">
              <w:rPr>
                <w:sz w:val="16"/>
                <w:szCs w:val="16"/>
              </w:rPr>
              <w:t>3720</w:t>
            </w:r>
          </w:p>
        </w:tc>
        <w:tc>
          <w:tcPr>
            <w:tcW w:w="425" w:type="dxa"/>
            <w:shd w:val="solid" w:color="FFFFFF" w:fill="auto"/>
          </w:tcPr>
          <w:p w14:paraId="50ACBC56" w14:textId="4EFD31CD" w:rsidR="00511811" w:rsidRPr="00873B6C" w:rsidRDefault="00511811" w:rsidP="009C14A7">
            <w:pPr>
              <w:pStyle w:val="TAL"/>
              <w:rPr>
                <w:sz w:val="16"/>
                <w:szCs w:val="16"/>
              </w:rPr>
            </w:pPr>
            <w:r w:rsidRPr="00873B6C">
              <w:rPr>
                <w:sz w:val="16"/>
                <w:szCs w:val="16"/>
              </w:rPr>
              <w:t>2</w:t>
            </w:r>
          </w:p>
        </w:tc>
        <w:tc>
          <w:tcPr>
            <w:tcW w:w="425" w:type="dxa"/>
            <w:shd w:val="solid" w:color="FFFFFF" w:fill="auto"/>
          </w:tcPr>
          <w:p w14:paraId="0DC220FD" w14:textId="626C6382" w:rsidR="00511811" w:rsidRPr="00873B6C" w:rsidRDefault="00511811" w:rsidP="009C14A7">
            <w:pPr>
              <w:pStyle w:val="TAL"/>
              <w:rPr>
                <w:sz w:val="16"/>
                <w:szCs w:val="16"/>
              </w:rPr>
            </w:pPr>
            <w:r w:rsidRPr="00873B6C">
              <w:rPr>
                <w:sz w:val="16"/>
                <w:szCs w:val="16"/>
              </w:rPr>
              <w:t>B</w:t>
            </w:r>
          </w:p>
        </w:tc>
        <w:tc>
          <w:tcPr>
            <w:tcW w:w="4820" w:type="dxa"/>
            <w:shd w:val="solid" w:color="FFFFFF" w:fill="auto"/>
          </w:tcPr>
          <w:p w14:paraId="6B78330B" w14:textId="73324A7D" w:rsidR="00511811" w:rsidRPr="00873B6C" w:rsidRDefault="00511811" w:rsidP="009C14A7">
            <w:pPr>
              <w:pStyle w:val="TAL"/>
              <w:rPr>
                <w:sz w:val="16"/>
                <w:szCs w:val="16"/>
              </w:rPr>
            </w:pPr>
            <w:r w:rsidRPr="00873B6C">
              <w:rPr>
                <w:sz w:val="16"/>
                <w:szCs w:val="16"/>
              </w:rPr>
              <w:t xml:space="preserve">UPF event exposure service for TSC management </w:t>
            </w:r>
          </w:p>
        </w:tc>
        <w:tc>
          <w:tcPr>
            <w:tcW w:w="708" w:type="dxa"/>
            <w:shd w:val="solid" w:color="FFFFFF" w:fill="auto"/>
          </w:tcPr>
          <w:p w14:paraId="7D4B227B" w14:textId="6B609C90" w:rsidR="00511811" w:rsidRPr="00873B6C" w:rsidRDefault="00511811" w:rsidP="009C14A7">
            <w:pPr>
              <w:pStyle w:val="TAC"/>
              <w:rPr>
                <w:sz w:val="16"/>
                <w:szCs w:val="16"/>
              </w:rPr>
            </w:pPr>
            <w:r w:rsidRPr="00873B6C">
              <w:rPr>
                <w:sz w:val="16"/>
                <w:szCs w:val="16"/>
              </w:rPr>
              <w:t>18.1.0</w:t>
            </w:r>
          </w:p>
        </w:tc>
      </w:tr>
      <w:tr w:rsidR="00511811" w:rsidRPr="00873B6C" w14:paraId="6228110D" w14:textId="77777777" w:rsidTr="009D14FB">
        <w:tc>
          <w:tcPr>
            <w:tcW w:w="800" w:type="dxa"/>
            <w:shd w:val="solid" w:color="FFFFFF" w:fill="auto"/>
          </w:tcPr>
          <w:p w14:paraId="60CB8226" w14:textId="3622FCDC" w:rsidR="00511811" w:rsidRPr="00873B6C" w:rsidRDefault="00511811" w:rsidP="009C14A7">
            <w:pPr>
              <w:pStyle w:val="TAC"/>
              <w:rPr>
                <w:sz w:val="16"/>
                <w:szCs w:val="16"/>
              </w:rPr>
            </w:pPr>
            <w:r w:rsidRPr="00873B6C">
              <w:rPr>
                <w:sz w:val="16"/>
                <w:szCs w:val="16"/>
              </w:rPr>
              <w:t>2023-03</w:t>
            </w:r>
          </w:p>
        </w:tc>
        <w:tc>
          <w:tcPr>
            <w:tcW w:w="800" w:type="dxa"/>
            <w:shd w:val="solid" w:color="FFFFFF" w:fill="auto"/>
          </w:tcPr>
          <w:p w14:paraId="7A4CD454" w14:textId="774B554A" w:rsidR="00511811" w:rsidRPr="00873B6C" w:rsidRDefault="00511811" w:rsidP="009C14A7">
            <w:pPr>
              <w:pStyle w:val="TAL"/>
              <w:rPr>
                <w:sz w:val="16"/>
                <w:szCs w:val="16"/>
              </w:rPr>
            </w:pPr>
            <w:r w:rsidRPr="00873B6C">
              <w:rPr>
                <w:sz w:val="16"/>
                <w:szCs w:val="16"/>
              </w:rPr>
              <w:t>SP#99</w:t>
            </w:r>
          </w:p>
        </w:tc>
        <w:tc>
          <w:tcPr>
            <w:tcW w:w="1094" w:type="dxa"/>
            <w:shd w:val="solid" w:color="FFFFFF" w:fill="auto"/>
          </w:tcPr>
          <w:p w14:paraId="707A8343" w14:textId="3EF2A0E5" w:rsidR="00511811" w:rsidRPr="00873B6C" w:rsidRDefault="00511811" w:rsidP="009C14A7">
            <w:pPr>
              <w:pStyle w:val="TAC"/>
              <w:rPr>
                <w:sz w:val="16"/>
                <w:szCs w:val="16"/>
              </w:rPr>
            </w:pPr>
            <w:r w:rsidRPr="00873B6C">
              <w:rPr>
                <w:sz w:val="16"/>
                <w:szCs w:val="16"/>
              </w:rPr>
              <w:t>SP-230070</w:t>
            </w:r>
          </w:p>
        </w:tc>
        <w:tc>
          <w:tcPr>
            <w:tcW w:w="567" w:type="dxa"/>
            <w:shd w:val="solid" w:color="FFFFFF" w:fill="auto"/>
          </w:tcPr>
          <w:p w14:paraId="270A9F25" w14:textId="20140221" w:rsidR="00511811" w:rsidRPr="00873B6C" w:rsidRDefault="00511811" w:rsidP="009C14A7">
            <w:pPr>
              <w:pStyle w:val="TAL"/>
              <w:rPr>
                <w:sz w:val="16"/>
                <w:szCs w:val="16"/>
              </w:rPr>
            </w:pPr>
            <w:r w:rsidRPr="00873B6C">
              <w:rPr>
                <w:sz w:val="16"/>
                <w:szCs w:val="16"/>
              </w:rPr>
              <w:t>3745</w:t>
            </w:r>
          </w:p>
        </w:tc>
        <w:tc>
          <w:tcPr>
            <w:tcW w:w="425" w:type="dxa"/>
            <w:shd w:val="solid" w:color="FFFFFF" w:fill="auto"/>
          </w:tcPr>
          <w:p w14:paraId="5D882761" w14:textId="3AA26469" w:rsidR="00511811" w:rsidRPr="00873B6C" w:rsidRDefault="00511811" w:rsidP="009C14A7">
            <w:pPr>
              <w:pStyle w:val="TAL"/>
              <w:rPr>
                <w:sz w:val="16"/>
                <w:szCs w:val="16"/>
              </w:rPr>
            </w:pPr>
            <w:r w:rsidRPr="00873B6C">
              <w:rPr>
                <w:sz w:val="16"/>
                <w:szCs w:val="16"/>
              </w:rPr>
              <w:t>2</w:t>
            </w:r>
          </w:p>
        </w:tc>
        <w:tc>
          <w:tcPr>
            <w:tcW w:w="425" w:type="dxa"/>
            <w:shd w:val="solid" w:color="FFFFFF" w:fill="auto"/>
          </w:tcPr>
          <w:p w14:paraId="4B5BA561" w14:textId="02F2E15F" w:rsidR="00511811" w:rsidRPr="00873B6C" w:rsidRDefault="00511811" w:rsidP="009C14A7">
            <w:pPr>
              <w:pStyle w:val="TAL"/>
              <w:rPr>
                <w:sz w:val="16"/>
                <w:szCs w:val="16"/>
              </w:rPr>
            </w:pPr>
            <w:r w:rsidRPr="00873B6C">
              <w:rPr>
                <w:sz w:val="16"/>
                <w:szCs w:val="16"/>
              </w:rPr>
              <w:t>B</w:t>
            </w:r>
          </w:p>
        </w:tc>
        <w:tc>
          <w:tcPr>
            <w:tcW w:w="4820" w:type="dxa"/>
            <w:shd w:val="solid" w:color="FFFFFF" w:fill="auto"/>
          </w:tcPr>
          <w:p w14:paraId="15E45EB8" w14:textId="3ABCA918" w:rsidR="00511811" w:rsidRPr="00873B6C" w:rsidRDefault="00511811" w:rsidP="009C14A7">
            <w:pPr>
              <w:pStyle w:val="TAL"/>
              <w:rPr>
                <w:sz w:val="16"/>
                <w:szCs w:val="16"/>
              </w:rPr>
            </w:pPr>
            <w:r w:rsidRPr="00873B6C">
              <w:rPr>
                <w:sz w:val="16"/>
                <w:szCs w:val="16"/>
              </w:rPr>
              <w:t xml:space="preserve">MPS when access to 5GC is WLAN </w:t>
            </w:r>
          </w:p>
        </w:tc>
        <w:tc>
          <w:tcPr>
            <w:tcW w:w="708" w:type="dxa"/>
            <w:shd w:val="solid" w:color="FFFFFF" w:fill="auto"/>
          </w:tcPr>
          <w:p w14:paraId="75128292" w14:textId="72AFBE4E" w:rsidR="00511811" w:rsidRPr="00873B6C" w:rsidRDefault="00511811" w:rsidP="009C14A7">
            <w:pPr>
              <w:pStyle w:val="TAC"/>
              <w:rPr>
                <w:sz w:val="16"/>
                <w:szCs w:val="16"/>
              </w:rPr>
            </w:pPr>
            <w:r w:rsidRPr="00873B6C">
              <w:rPr>
                <w:sz w:val="16"/>
                <w:szCs w:val="16"/>
              </w:rPr>
              <w:t>18.1.0</w:t>
            </w:r>
          </w:p>
        </w:tc>
      </w:tr>
      <w:tr w:rsidR="002C4A81" w:rsidRPr="00873B6C" w14:paraId="757FC3F0" w14:textId="77777777" w:rsidTr="009D14FB">
        <w:tc>
          <w:tcPr>
            <w:tcW w:w="800" w:type="dxa"/>
            <w:shd w:val="solid" w:color="FFFFFF" w:fill="auto"/>
          </w:tcPr>
          <w:p w14:paraId="4833EB2E" w14:textId="418CD6A2"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0AD217EF" w14:textId="5312D5D9"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38ECE598" w14:textId="4D333382" w:rsidR="002C4A81" w:rsidRPr="00873B6C" w:rsidRDefault="002C4A81" w:rsidP="009C14A7">
            <w:pPr>
              <w:pStyle w:val="TAC"/>
              <w:rPr>
                <w:sz w:val="16"/>
                <w:szCs w:val="16"/>
              </w:rPr>
            </w:pPr>
            <w:r w:rsidRPr="00873B6C">
              <w:rPr>
                <w:sz w:val="16"/>
                <w:szCs w:val="16"/>
              </w:rPr>
              <w:t>SP-230051</w:t>
            </w:r>
          </w:p>
        </w:tc>
        <w:tc>
          <w:tcPr>
            <w:tcW w:w="567" w:type="dxa"/>
            <w:shd w:val="solid" w:color="FFFFFF" w:fill="auto"/>
          </w:tcPr>
          <w:p w14:paraId="7330D3C7" w14:textId="14A2CD3C" w:rsidR="002C4A81" w:rsidRPr="00873B6C" w:rsidRDefault="002C4A81" w:rsidP="009C14A7">
            <w:pPr>
              <w:pStyle w:val="TAL"/>
              <w:rPr>
                <w:sz w:val="16"/>
                <w:szCs w:val="16"/>
              </w:rPr>
            </w:pPr>
            <w:r w:rsidRPr="00873B6C">
              <w:rPr>
                <w:sz w:val="16"/>
                <w:szCs w:val="16"/>
              </w:rPr>
              <w:t>3755</w:t>
            </w:r>
          </w:p>
        </w:tc>
        <w:tc>
          <w:tcPr>
            <w:tcW w:w="425" w:type="dxa"/>
            <w:shd w:val="solid" w:color="FFFFFF" w:fill="auto"/>
          </w:tcPr>
          <w:p w14:paraId="33397826" w14:textId="44A843C0" w:rsidR="002C4A81" w:rsidRPr="00873B6C" w:rsidRDefault="002C4A81" w:rsidP="009C14A7">
            <w:pPr>
              <w:pStyle w:val="TAL"/>
              <w:rPr>
                <w:sz w:val="16"/>
                <w:szCs w:val="16"/>
              </w:rPr>
            </w:pPr>
            <w:r w:rsidRPr="00873B6C">
              <w:rPr>
                <w:sz w:val="16"/>
                <w:szCs w:val="16"/>
              </w:rPr>
              <w:t>1</w:t>
            </w:r>
          </w:p>
        </w:tc>
        <w:tc>
          <w:tcPr>
            <w:tcW w:w="425" w:type="dxa"/>
            <w:shd w:val="solid" w:color="FFFFFF" w:fill="auto"/>
          </w:tcPr>
          <w:p w14:paraId="3EC31136" w14:textId="063BE522" w:rsidR="002C4A81" w:rsidRPr="00873B6C" w:rsidRDefault="002C4A81" w:rsidP="009C14A7">
            <w:pPr>
              <w:pStyle w:val="TAL"/>
              <w:rPr>
                <w:sz w:val="16"/>
                <w:szCs w:val="16"/>
              </w:rPr>
            </w:pPr>
            <w:r w:rsidRPr="00873B6C">
              <w:rPr>
                <w:sz w:val="16"/>
                <w:szCs w:val="16"/>
              </w:rPr>
              <w:t>C</w:t>
            </w:r>
          </w:p>
        </w:tc>
        <w:tc>
          <w:tcPr>
            <w:tcW w:w="4820" w:type="dxa"/>
            <w:shd w:val="solid" w:color="FFFFFF" w:fill="auto"/>
          </w:tcPr>
          <w:p w14:paraId="5C78226D" w14:textId="42D20EA9" w:rsidR="002C4A81" w:rsidRPr="00873B6C" w:rsidRDefault="002C4A81" w:rsidP="009C14A7">
            <w:pPr>
              <w:pStyle w:val="TAL"/>
              <w:rPr>
                <w:sz w:val="16"/>
                <w:szCs w:val="16"/>
              </w:rPr>
            </w:pPr>
            <w:r w:rsidRPr="00873B6C">
              <w:rPr>
                <w:sz w:val="16"/>
                <w:szCs w:val="16"/>
              </w:rPr>
              <w:t>Group Message Delivery</w:t>
            </w:r>
          </w:p>
        </w:tc>
        <w:tc>
          <w:tcPr>
            <w:tcW w:w="708" w:type="dxa"/>
            <w:shd w:val="solid" w:color="FFFFFF" w:fill="auto"/>
          </w:tcPr>
          <w:p w14:paraId="07CD9953" w14:textId="0F8943E9" w:rsidR="002C4A81" w:rsidRPr="00873B6C" w:rsidRDefault="002C4A81" w:rsidP="009C14A7">
            <w:pPr>
              <w:pStyle w:val="TAC"/>
              <w:rPr>
                <w:sz w:val="16"/>
                <w:szCs w:val="16"/>
              </w:rPr>
            </w:pPr>
            <w:r w:rsidRPr="00873B6C">
              <w:rPr>
                <w:sz w:val="16"/>
                <w:szCs w:val="16"/>
              </w:rPr>
              <w:t>18.1.0</w:t>
            </w:r>
          </w:p>
        </w:tc>
      </w:tr>
      <w:tr w:rsidR="002C4A81" w:rsidRPr="00873B6C" w14:paraId="48A1E076" w14:textId="77777777" w:rsidTr="009D14FB">
        <w:tc>
          <w:tcPr>
            <w:tcW w:w="800" w:type="dxa"/>
            <w:shd w:val="solid" w:color="FFFFFF" w:fill="auto"/>
          </w:tcPr>
          <w:p w14:paraId="76C5AECB" w14:textId="052CDD9F"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18CFA818" w14:textId="253ECC91"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71706E6B" w14:textId="1AADF78A" w:rsidR="002C4A81" w:rsidRPr="00873B6C" w:rsidRDefault="002C4A81" w:rsidP="009C14A7">
            <w:pPr>
              <w:pStyle w:val="TAC"/>
              <w:rPr>
                <w:sz w:val="16"/>
                <w:szCs w:val="16"/>
              </w:rPr>
            </w:pPr>
            <w:r w:rsidRPr="00873B6C">
              <w:rPr>
                <w:sz w:val="16"/>
                <w:szCs w:val="16"/>
              </w:rPr>
              <w:t>SP-230247</w:t>
            </w:r>
          </w:p>
        </w:tc>
        <w:tc>
          <w:tcPr>
            <w:tcW w:w="567" w:type="dxa"/>
            <w:shd w:val="solid" w:color="FFFFFF" w:fill="auto"/>
          </w:tcPr>
          <w:p w14:paraId="0148E693" w14:textId="753AAC2B" w:rsidR="002C4A81" w:rsidRPr="00873B6C" w:rsidRDefault="002C4A81" w:rsidP="009C14A7">
            <w:pPr>
              <w:pStyle w:val="TAL"/>
              <w:rPr>
                <w:sz w:val="16"/>
                <w:szCs w:val="16"/>
              </w:rPr>
            </w:pPr>
            <w:r w:rsidRPr="00873B6C">
              <w:rPr>
                <w:sz w:val="16"/>
                <w:szCs w:val="16"/>
              </w:rPr>
              <w:t>3759</w:t>
            </w:r>
          </w:p>
        </w:tc>
        <w:tc>
          <w:tcPr>
            <w:tcW w:w="425" w:type="dxa"/>
            <w:shd w:val="solid" w:color="FFFFFF" w:fill="auto"/>
          </w:tcPr>
          <w:p w14:paraId="64C257DD" w14:textId="66EBD120" w:rsidR="002C4A81" w:rsidRPr="00873B6C" w:rsidRDefault="002C4A81" w:rsidP="009C14A7">
            <w:pPr>
              <w:pStyle w:val="TAL"/>
              <w:rPr>
                <w:sz w:val="16"/>
                <w:szCs w:val="16"/>
              </w:rPr>
            </w:pPr>
            <w:r w:rsidRPr="00873B6C">
              <w:rPr>
                <w:sz w:val="16"/>
                <w:szCs w:val="16"/>
              </w:rPr>
              <w:t>7</w:t>
            </w:r>
          </w:p>
        </w:tc>
        <w:tc>
          <w:tcPr>
            <w:tcW w:w="425" w:type="dxa"/>
            <w:shd w:val="solid" w:color="FFFFFF" w:fill="auto"/>
          </w:tcPr>
          <w:p w14:paraId="0EB1978D" w14:textId="7FC29ADA"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4E0FA821" w14:textId="67BBA26A" w:rsidR="002C4A81" w:rsidRPr="00873B6C" w:rsidRDefault="002C4A81" w:rsidP="009C14A7">
            <w:pPr>
              <w:pStyle w:val="TAL"/>
              <w:rPr>
                <w:sz w:val="16"/>
                <w:szCs w:val="16"/>
              </w:rPr>
            </w:pPr>
            <w:r w:rsidRPr="00873B6C">
              <w:rPr>
                <w:sz w:val="16"/>
                <w:szCs w:val="16"/>
              </w:rPr>
              <w:t>Support of XR and Media Services</w:t>
            </w:r>
          </w:p>
        </w:tc>
        <w:tc>
          <w:tcPr>
            <w:tcW w:w="708" w:type="dxa"/>
            <w:shd w:val="solid" w:color="FFFFFF" w:fill="auto"/>
          </w:tcPr>
          <w:p w14:paraId="49B1E4C3" w14:textId="2452BB37" w:rsidR="002C4A81" w:rsidRPr="00873B6C" w:rsidRDefault="002C4A81" w:rsidP="009C14A7">
            <w:pPr>
              <w:pStyle w:val="TAC"/>
              <w:rPr>
                <w:sz w:val="16"/>
                <w:szCs w:val="16"/>
              </w:rPr>
            </w:pPr>
            <w:r w:rsidRPr="00873B6C">
              <w:rPr>
                <w:sz w:val="16"/>
                <w:szCs w:val="16"/>
              </w:rPr>
              <w:t>18.1.0</w:t>
            </w:r>
          </w:p>
        </w:tc>
      </w:tr>
      <w:tr w:rsidR="002C4A81" w:rsidRPr="00873B6C" w14:paraId="47A0CBD5" w14:textId="77777777" w:rsidTr="009D14FB">
        <w:tc>
          <w:tcPr>
            <w:tcW w:w="800" w:type="dxa"/>
            <w:shd w:val="solid" w:color="FFFFFF" w:fill="auto"/>
          </w:tcPr>
          <w:p w14:paraId="7C0F9F4C" w14:textId="7EB8766D"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7E5F14FA" w14:textId="05A441D1"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20B4AA17" w14:textId="0299F15D" w:rsidR="002C4A81" w:rsidRPr="00873B6C" w:rsidRDefault="002C4A81" w:rsidP="009C14A7">
            <w:pPr>
              <w:pStyle w:val="TAC"/>
              <w:rPr>
                <w:sz w:val="16"/>
                <w:szCs w:val="16"/>
              </w:rPr>
            </w:pPr>
            <w:r w:rsidRPr="00873B6C">
              <w:rPr>
                <w:sz w:val="16"/>
                <w:szCs w:val="16"/>
              </w:rPr>
              <w:t>SP-230058</w:t>
            </w:r>
          </w:p>
        </w:tc>
        <w:tc>
          <w:tcPr>
            <w:tcW w:w="567" w:type="dxa"/>
            <w:shd w:val="solid" w:color="FFFFFF" w:fill="auto"/>
          </w:tcPr>
          <w:p w14:paraId="4DEE0427" w14:textId="097D991D" w:rsidR="002C4A81" w:rsidRPr="00873B6C" w:rsidRDefault="002C4A81" w:rsidP="009C14A7">
            <w:pPr>
              <w:pStyle w:val="TAL"/>
              <w:rPr>
                <w:sz w:val="16"/>
                <w:szCs w:val="16"/>
              </w:rPr>
            </w:pPr>
            <w:r w:rsidRPr="00873B6C">
              <w:rPr>
                <w:sz w:val="16"/>
                <w:szCs w:val="16"/>
              </w:rPr>
              <w:t>3761</w:t>
            </w:r>
          </w:p>
        </w:tc>
        <w:tc>
          <w:tcPr>
            <w:tcW w:w="425" w:type="dxa"/>
            <w:shd w:val="solid" w:color="FFFFFF" w:fill="auto"/>
          </w:tcPr>
          <w:p w14:paraId="3F22372A" w14:textId="3267AB21" w:rsidR="002C4A81" w:rsidRPr="00873B6C" w:rsidRDefault="002C4A81" w:rsidP="009C14A7">
            <w:pPr>
              <w:pStyle w:val="TAL"/>
              <w:rPr>
                <w:sz w:val="16"/>
                <w:szCs w:val="16"/>
              </w:rPr>
            </w:pPr>
            <w:r w:rsidRPr="00873B6C">
              <w:rPr>
                <w:sz w:val="16"/>
                <w:szCs w:val="16"/>
              </w:rPr>
              <w:t>4</w:t>
            </w:r>
          </w:p>
        </w:tc>
        <w:tc>
          <w:tcPr>
            <w:tcW w:w="425" w:type="dxa"/>
            <w:shd w:val="solid" w:color="FFFFFF" w:fill="auto"/>
          </w:tcPr>
          <w:p w14:paraId="1EAB2EC9" w14:textId="4E1CD04D" w:rsidR="002C4A81" w:rsidRPr="00873B6C" w:rsidRDefault="002C4A81" w:rsidP="009C14A7">
            <w:pPr>
              <w:pStyle w:val="TAL"/>
              <w:rPr>
                <w:sz w:val="16"/>
                <w:szCs w:val="16"/>
              </w:rPr>
            </w:pPr>
            <w:r w:rsidRPr="00873B6C">
              <w:rPr>
                <w:sz w:val="16"/>
                <w:szCs w:val="16"/>
              </w:rPr>
              <w:t>C</w:t>
            </w:r>
          </w:p>
        </w:tc>
        <w:tc>
          <w:tcPr>
            <w:tcW w:w="4820" w:type="dxa"/>
            <w:shd w:val="solid" w:color="FFFFFF" w:fill="auto"/>
          </w:tcPr>
          <w:p w14:paraId="282E9768" w14:textId="42700678" w:rsidR="002C4A81" w:rsidRPr="00873B6C" w:rsidRDefault="002C4A81" w:rsidP="009C14A7">
            <w:pPr>
              <w:pStyle w:val="TAL"/>
              <w:rPr>
                <w:sz w:val="16"/>
                <w:szCs w:val="16"/>
              </w:rPr>
            </w:pPr>
            <w:r w:rsidRPr="00873B6C">
              <w:rPr>
                <w:sz w:val="16"/>
                <w:szCs w:val="16"/>
              </w:rPr>
              <w:t>Introducing selection of more granular set of UEs</w:t>
            </w:r>
          </w:p>
        </w:tc>
        <w:tc>
          <w:tcPr>
            <w:tcW w:w="708" w:type="dxa"/>
            <w:shd w:val="solid" w:color="FFFFFF" w:fill="auto"/>
          </w:tcPr>
          <w:p w14:paraId="1E734813" w14:textId="5EB50408" w:rsidR="002C4A81" w:rsidRPr="00873B6C" w:rsidRDefault="002C4A81" w:rsidP="009C14A7">
            <w:pPr>
              <w:pStyle w:val="TAC"/>
              <w:rPr>
                <w:sz w:val="16"/>
                <w:szCs w:val="16"/>
              </w:rPr>
            </w:pPr>
            <w:r w:rsidRPr="00873B6C">
              <w:rPr>
                <w:sz w:val="16"/>
                <w:szCs w:val="16"/>
              </w:rPr>
              <w:t>18.1.0</w:t>
            </w:r>
          </w:p>
        </w:tc>
      </w:tr>
      <w:tr w:rsidR="002C4A81" w:rsidRPr="00873B6C" w14:paraId="42E48EA1" w14:textId="77777777" w:rsidTr="009D14FB">
        <w:tc>
          <w:tcPr>
            <w:tcW w:w="800" w:type="dxa"/>
            <w:shd w:val="solid" w:color="FFFFFF" w:fill="auto"/>
          </w:tcPr>
          <w:p w14:paraId="3B6228D2" w14:textId="55408850"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3FC4C48D" w14:textId="27BA3D08"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7AB51AE7" w14:textId="25852DFB" w:rsidR="002C4A81" w:rsidRPr="00873B6C" w:rsidRDefault="002C4A81" w:rsidP="009C14A7">
            <w:pPr>
              <w:pStyle w:val="TAC"/>
              <w:rPr>
                <w:sz w:val="16"/>
                <w:szCs w:val="16"/>
              </w:rPr>
            </w:pPr>
            <w:r w:rsidRPr="00873B6C">
              <w:rPr>
                <w:sz w:val="16"/>
                <w:szCs w:val="16"/>
              </w:rPr>
              <w:t>SP-230058</w:t>
            </w:r>
          </w:p>
        </w:tc>
        <w:tc>
          <w:tcPr>
            <w:tcW w:w="567" w:type="dxa"/>
            <w:shd w:val="solid" w:color="FFFFFF" w:fill="auto"/>
          </w:tcPr>
          <w:p w14:paraId="10D60D47" w14:textId="2EC418D3" w:rsidR="002C4A81" w:rsidRPr="00873B6C" w:rsidRDefault="002C4A81" w:rsidP="009C14A7">
            <w:pPr>
              <w:pStyle w:val="TAL"/>
              <w:rPr>
                <w:sz w:val="16"/>
                <w:szCs w:val="16"/>
              </w:rPr>
            </w:pPr>
            <w:r w:rsidRPr="00873B6C">
              <w:rPr>
                <w:sz w:val="16"/>
                <w:szCs w:val="16"/>
              </w:rPr>
              <w:t>3789</w:t>
            </w:r>
          </w:p>
        </w:tc>
        <w:tc>
          <w:tcPr>
            <w:tcW w:w="425" w:type="dxa"/>
            <w:shd w:val="solid" w:color="FFFFFF" w:fill="auto"/>
          </w:tcPr>
          <w:p w14:paraId="7EC80BEB" w14:textId="33F923FB" w:rsidR="002C4A81" w:rsidRPr="00873B6C" w:rsidRDefault="002C4A81" w:rsidP="009C14A7">
            <w:pPr>
              <w:pStyle w:val="TAL"/>
              <w:rPr>
                <w:sz w:val="16"/>
                <w:szCs w:val="16"/>
              </w:rPr>
            </w:pPr>
            <w:r w:rsidRPr="00873B6C">
              <w:rPr>
                <w:sz w:val="16"/>
                <w:szCs w:val="16"/>
              </w:rPr>
              <w:t>2</w:t>
            </w:r>
          </w:p>
        </w:tc>
        <w:tc>
          <w:tcPr>
            <w:tcW w:w="425" w:type="dxa"/>
            <w:shd w:val="solid" w:color="FFFFFF" w:fill="auto"/>
          </w:tcPr>
          <w:p w14:paraId="5B7E403D" w14:textId="77E6190A"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15734665" w14:textId="515B9210" w:rsidR="002C4A81" w:rsidRPr="00873B6C" w:rsidRDefault="002C4A81" w:rsidP="009C14A7">
            <w:pPr>
              <w:pStyle w:val="TAL"/>
              <w:rPr>
                <w:sz w:val="16"/>
                <w:szCs w:val="16"/>
              </w:rPr>
            </w:pPr>
            <w:r w:rsidRPr="00873B6C">
              <w:rPr>
                <w:sz w:val="16"/>
                <w:szCs w:val="16"/>
              </w:rPr>
              <w:t>Common EAS/DNAI selection by AF</w:t>
            </w:r>
          </w:p>
        </w:tc>
        <w:tc>
          <w:tcPr>
            <w:tcW w:w="708" w:type="dxa"/>
            <w:shd w:val="solid" w:color="FFFFFF" w:fill="auto"/>
          </w:tcPr>
          <w:p w14:paraId="02604931" w14:textId="40FF4C59" w:rsidR="002C4A81" w:rsidRPr="00873B6C" w:rsidRDefault="002C4A81" w:rsidP="009C14A7">
            <w:pPr>
              <w:pStyle w:val="TAC"/>
              <w:rPr>
                <w:sz w:val="16"/>
                <w:szCs w:val="16"/>
              </w:rPr>
            </w:pPr>
            <w:r w:rsidRPr="00873B6C">
              <w:rPr>
                <w:sz w:val="16"/>
                <w:szCs w:val="16"/>
              </w:rPr>
              <w:t>18.1.0</w:t>
            </w:r>
          </w:p>
        </w:tc>
      </w:tr>
      <w:tr w:rsidR="002C4A81" w:rsidRPr="00873B6C" w14:paraId="1CE4E052" w14:textId="77777777" w:rsidTr="009D14FB">
        <w:tc>
          <w:tcPr>
            <w:tcW w:w="800" w:type="dxa"/>
            <w:shd w:val="solid" w:color="FFFFFF" w:fill="auto"/>
          </w:tcPr>
          <w:p w14:paraId="7B3B7CCD" w14:textId="137E6C7A"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342FB158" w14:textId="7414511E"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24B353F6" w14:textId="3745B76F" w:rsidR="002C4A81" w:rsidRPr="00873B6C" w:rsidRDefault="002C4A81" w:rsidP="009C14A7">
            <w:pPr>
              <w:pStyle w:val="TAC"/>
              <w:rPr>
                <w:sz w:val="16"/>
                <w:szCs w:val="16"/>
              </w:rPr>
            </w:pPr>
            <w:r w:rsidRPr="00873B6C">
              <w:rPr>
                <w:sz w:val="16"/>
                <w:szCs w:val="16"/>
              </w:rPr>
              <w:t>SP-230247</w:t>
            </w:r>
          </w:p>
        </w:tc>
        <w:tc>
          <w:tcPr>
            <w:tcW w:w="567" w:type="dxa"/>
            <w:shd w:val="solid" w:color="FFFFFF" w:fill="auto"/>
          </w:tcPr>
          <w:p w14:paraId="0EA8D9CA" w14:textId="4A78F312" w:rsidR="002C4A81" w:rsidRPr="00873B6C" w:rsidRDefault="002C4A81" w:rsidP="009C14A7">
            <w:pPr>
              <w:pStyle w:val="TAL"/>
              <w:rPr>
                <w:sz w:val="16"/>
                <w:szCs w:val="16"/>
              </w:rPr>
            </w:pPr>
            <w:r w:rsidRPr="00873B6C">
              <w:rPr>
                <w:sz w:val="16"/>
                <w:szCs w:val="16"/>
              </w:rPr>
              <w:t>3792</w:t>
            </w:r>
          </w:p>
        </w:tc>
        <w:tc>
          <w:tcPr>
            <w:tcW w:w="425" w:type="dxa"/>
            <w:shd w:val="solid" w:color="FFFFFF" w:fill="auto"/>
          </w:tcPr>
          <w:p w14:paraId="7EB7D08D" w14:textId="1D11C718" w:rsidR="002C4A81" w:rsidRPr="00873B6C" w:rsidRDefault="002C4A81" w:rsidP="009C14A7">
            <w:pPr>
              <w:pStyle w:val="TAL"/>
              <w:rPr>
                <w:sz w:val="16"/>
                <w:szCs w:val="16"/>
              </w:rPr>
            </w:pPr>
            <w:r w:rsidRPr="00873B6C">
              <w:rPr>
                <w:sz w:val="16"/>
                <w:szCs w:val="16"/>
              </w:rPr>
              <w:t>7</w:t>
            </w:r>
          </w:p>
        </w:tc>
        <w:tc>
          <w:tcPr>
            <w:tcW w:w="425" w:type="dxa"/>
            <w:shd w:val="solid" w:color="FFFFFF" w:fill="auto"/>
          </w:tcPr>
          <w:p w14:paraId="6CC8BDF0" w14:textId="4E0F971E"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6C2B7ED2" w14:textId="47254AF7" w:rsidR="002C4A81" w:rsidRPr="00873B6C" w:rsidRDefault="002C4A81" w:rsidP="009C14A7">
            <w:pPr>
              <w:pStyle w:val="TAL"/>
              <w:rPr>
                <w:sz w:val="16"/>
                <w:szCs w:val="16"/>
              </w:rPr>
            </w:pPr>
            <w:r w:rsidRPr="00873B6C">
              <w:rPr>
                <w:sz w:val="16"/>
                <w:szCs w:val="16"/>
              </w:rPr>
              <w:t>PCF support of 5GS Packet Delay Variation monitoring based on QoS monitoring mechanism and exposed to AF</w:t>
            </w:r>
          </w:p>
        </w:tc>
        <w:tc>
          <w:tcPr>
            <w:tcW w:w="708" w:type="dxa"/>
            <w:shd w:val="solid" w:color="FFFFFF" w:fill="auto"/>
          </w:tcPr>
          <w:p w14:paraId="5BAD2803" w14:textId="7CB9C33D" w:rsidR="002C4A81" w:rsidRPr="00873B6C" w:rsidRDefault="002C4A81" w:rsidP="009C14A7">
            <w:pPr>
              <w:pStyle w:val="TAC"/>
              <w:rPr>
                <w:sz w:val="16"/>
                <w:szCs w:val="16"/>
              </w:rPr>
            </w:pPr>
            <w:r w:rsidRPr="00873B6C">
              <w:rPr>
                <w:sz w:val="16"/>
                <w:szCs w:val="16"/>
              </w:rPr>
              <w:t>18.1.0</w:t>
            </w:r>
          </w:p>
        </w:tc>
      </w:tr>
      <w:tr w:rsidR="002C4A81" w:rsidRPr="00873B6C" w14:paraId="7AAC4D6E" w14:textId="77777777" w:rsidTr="009D14FB">
        <w:tc>
          <w:tcPr>
            <w:tcW w:w="800" w:type="dxa"/>
            <w:shd w:val="solid" w:color="FFFFFF" w:fill="auto"/>
          </w:tcPr>
          <w:p w14:paraId="1958938C" w14:textId="3F23602F" w:rsidR="002C4A81" w:rsidRPr="00873B6C" w:rsidRDefault="002C4A81" w:rsidP="009C14A7">
            <w:pPr>
              <w:pStyle w:val="TAC"/>
              <w:rPr>
                <w:sz w:val="16"/>
                <w:szCs w:val="16"/>
              </w:rPr>
            </w:pPr>
            <w:r w:rsidRPr="00873B6C">
              <w:rPr>
                <w:sz w:val="16"/>
                <w:szCs w:val="16"/>
              </w:rPr>
              <w:lastRenderedPageBreak/>
              <w:t>2023-03</w:t>
            </w:r>
          </w:p>
        </w:tc>
        <w:tc>
          <w:tcPr>
            <w:tcW w:w="800" w:type="dxa"/>
            <w:shd w:val="solid" w:color="FFFFFF" w:fill="auto"/>
          </w:tcPr>
          <w:p w14:paraId="76211E66" w14:textId="4B2DC237"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6F982643" w14:textId="5F722ED3" w:rsidR="002C4A81" w:rsidRPr="00873B6C" w:rsidRDefault="002C4A81" w:rsidP="009C14A7">
            <w:pPr>
              <w:pStyle w:val="TAC"/>
              <w:rPr>
                <w:sz w:val="16"/>
                <w:szCs w:val="16"/>
              </w:rPr>
            </w:pPr>
            <w:r w:rsidRPr="00873B6C">
              <w:rPr>
                <w:sz w:val="16"/>
                <w:szCs w:val="16"/>
              </w:rPr>
              <w:t>SP-230052</w:t>
            </w:r>
          </w:p>
        </w:tc>
        <w:tc>
          <w:tcPr>
            <w:tcW w:w="567" w:type="dxa"/>
            <w:shd w:val="solid" w:color="FFFFFF" w:fill="auto"/>
          </w:tcPr>
          <w:p w14:paraId="3B00D83E" w14:textId="35809B56" w:rsidR="002C4A81" w:rsidRPr="00873B6C" w:rsidRDefault="002C4A81" w:rsidP="009C14A7">
            <w:pPr>
              <w:pStyle w:val="TAL"/>
              <w:rPr>
                <w:sz w:val="16"/>
                <w:szCs w:val="16"/>
              </w:rPr>
            </w:pPr>
            <w:r w:rsidRPr="00873B6C">
              <w:rPr>
                <w:sz w:val="16"/>
                <w:szCs w:val="16"/>
              </w:rPr>
              <w:t>3807</w:t>
            </w:r>
          </w:p>
        </w:tc>
        <w:tc>
          <w:tcPr>
            <w:tcW w:w="425" w:type="dxa"/>
            <w:shd w:val="solid" w:color="FFFFFF" w:fill="auto"/>
          </w:tcPr>
          <w:p w14:paraId="2A749EC3" w14:textId="21D4068A" w:rsidR="002C4A81" w:rsidRPr="00873B6C" w:rsidRDefault="002C4A81" w:rsidP="009C14A7">
            <w:pPr>
              <w:pStyle w:val="TAL"/>
              <w:rPr>
                <w:sz w:val="16"/>
                <w:szCs w:val="16"/>
              </w:rPr>
            </w:pPr>
            <w:r w:rsidRPr="00873B6C">
              <w:rPr>
                <w:sz w:val="16"/>
                <w:szCs w:val="16"/>
              </w:rPr>
              <w:t>1</w:t>
            </w:r>
          </w:p>
        </w:tc>
        <w:tc>
          <w:tcPr>
            <w:tcW w:w="425" w:type="dxa"/>
            <w:shd w:val="solid" w:color="FFFFFF" w:fill="auto"/>
          </w:tcPr>
          <w:p w14:paraId="56FB6951" w14:textId="5E0B9CDF"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06043766" w14:textId="7E8DEE73" w:rsidR="002C4A81" w:rsidRPr="00873B6C" w:rsidRDefault="002C4A81" w:rsidP="009C14A7">
            <w:pPr>
              <w:pStyle w:val="TAL"/>
              <w:rPr>
                <w:sz w:val="16"/>
                <w:szCs w:val="16"/>
              </w:rPr>
            </w:pPr>
            <w:r w:rsidRPr="00873B6C">
              <w:rPr>
                <w:sz w:val="16"/>
                <w:szCs w:val="16"/>
              </w:rPr>
              <w:t>Reporting the RAN timing synchronization status change from AMF to TSCTSF</w:t>
            </w:r>
          </w:p>
        </w:tc>
        <w:tc>
          <w:tcPr>
            <w:tcW w:w="708" w:type="dxa"/>
            <w:shd w:val="solid" w:color="FFFFFF" w:fill="auto"/>
          </w:tcPr>
          <w:p w14:paraId="6ACDF7E7" w14:textId="2601B102" w:rsidR="002C4A81" w:rsidRPr="00873B6C" w:rsidRDefault="002C4A81" w:rsidP="009C14A7">
            <w:pPr>
              <w:pStyle w:val="TAC"/>
              <w:rPr>
                <w:sz w:val="16"/>
                <w:szCs w:val="16"/>
              </w:rPr>
            </w:pPr>
            <w:r w:rsidRPr="00873B6C">
              <w:rPr>
                <w:sz w:val="16"/>
                <w:szCs w:val="16"/>
              </w:rPr>
              <w:t>18.1.0</w:t>
            </w:r>
          </w:p>
        </w:tc>
      </w:tr>
      <w:tr w:rsidR="002C4A81" w:rsidRPr="00873B6C" w14:paraId="1E981947" w14:textId="77777777" w:rsidTr="009D14FB">
        <w:tc>
          <w:tcPr>
            <w:tcW w:w="800" w:type="dxa"/>
            <w:shd w:val="solid" w:color="FFFFFF" w:fill="auto"/>
          </w:tcPr>
          <w:p w14:paraId="1457A15B" w14:textId="4C0E7AE1"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00D5DEDA" w14:textId="628CEB85"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27D30CEA" w14:textId="4379B55B" w:rsidR="002C4A81" w:rsidRPr="00873B6C" w:rsidRDefault="002C4A81" w:rsidP="009C14A7">
            <w:pPr>
              <w:pStyle w:val="TAC"/>
              <w:rPr>
                <w:sz w:val="16"/>
                <w:szCs w:val="16"/>
              </w:rPr>
            </w:pPr>
            <w:r w:rsidRPr="00873B6C">
              <w:rPr>
                <w:sz w:val="16"/>
                <w:szCs w:val="16"/>
              </w:rPr>
              <w:t>SP-230058</w:t>
            </w:r>
          </w:p>
        </w:tc>
        <w:tc>
          <w:tcPr>
            <w:tcW w:w="567" w:type="dxa"/>
            <w:shd w:val="solid" w:color="FFFFFF" w:fill="auto"/>
          </w:tcPr>
          <w:p w14:paraId="66A33DEE" w14:textId="533428BA" w:rsidR="002C4A81" w:rsidRPr="00873B6C" w:rsidRDefault="002C4A81" w:rsidP="009C14A7">
            <w:pPr>
              <w:pStyle w:val="TAL"/>
              <w:rPr>
                <w:sz w:val="16"/>
                <w:szCs w:val="16"/>
              </w:rPr>
            </w:pPr>
            <w:r w:rsidRPr="00873B6C">
              <w:rPr>
                <w:sz w:val="16"/>
                <w:szCs w:val="16"/>
              </w:rPr>
              <w:t>3820</w:t>
            </w:r>
          </w:p>
        </w:tc>
        <w:tc>
          <w:tcPr>
            <w:tcW w:w="425" w:type="dxa"/>
            <w:shd w:val="solid" w:color="FFFFFF" w:fill="auto"/>
          </w:tcPr>
          <w:p w14:paraId="1F8BBF66" w14:textId="130B587E" w:rsidR="002C4A81" w:rsidRPr="00873B6C" w:rsidRDefault="002C4A81" w:rsidP="009C14A7">
            <w:pPr>
              <w:pStyle w:val="TAL"/>
              <w:rPr>
                <w:sz w:val="16"/>
                <w:szCs w:val="16"/>
              </w:rPr>
            </w:pPr>
            <w:r w:rsidRPr="00873B6C">
              <w:rPr>
                <w:sz w:val="16"/>
                <w:szCs w:val="16"/>
              </w:rPr>
              <w:t>5</w:t>
            </w:r>
          </w:p>
        </w:tc>
        <w:tc>
          <w:tcPr>
            <w:tcW w:w="425" w:type="dxa"/>
            <w:shd w:val="solid" w:color="FFFFFF" w:fill="auto"/>
          </w:tcPr>
          <w:p w14:paraId="4F3A6573" w14:textId="354E82FC"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0E52CBDD" w14:textId="2003D3A4" w:rsidR="002C4A81" w:rsidRPr="00873B6C" w:rsidRDefault="002C4A81" w:rsidP="009C14A7">
            <w:pPr>
              <w:pStyle w:val="TAL"/>
              <w:rPr>
                <w:sz w:val="16"/>
                <w:szCs w:val="16"/>
              </w:rPr>
            </w:pPr>
            <w:r w:rsidRPr="00873B6C">
              <w:rPr>
                <w:sz w:val="16"/>
                <w:szCs w:val="16"/>
              </w:rPr>
              <w:t>Edge Relocation within the same hosting PLMN's EHEs</w:t>
            </w:r>
          </w:p>
        </w:tc>
        <w:tc>
          <w:tcPr>
            <w:tcW w:w="708" w:type="dxa"/>
            <w:shd w:val="solid" w:color="FFFFFF" w:fill="auto"/>
          </w:tcPr>
          <w:p w14:paraId="1963A405" w14:textId="4DDB091A" w:rsidR="002C4A81" w:rsidRPr="00873B6C" w:rsidRDefault="002C4A81" w:rsidP="009C14A7">
            <w:pPr>
              <w:pStyle w:val="TAC"/>
              <w:rPr>
                <w:sz w:val="16"/>
                <w:szCs w:val="16"/>
              </w:rPr>
            </w:pPr>
            <w:r w:rsidRPr="00873B6C">
              <w:rPr>
                <w:sz w:val="16"/>
                <w:szCs w:val="16"/>
              </w:rPr>
              <w:t>18.1.0</w:t>
            </w:r>
          </w:p>
        </w:tc>
      </w:tr>
      <w:tr w:rsidR="002C4A81" w:rsidRPr="00873B6C" w14:paraId="3D29D2F3" w14:textId="77777777" w:rsidTr="009D14FB">
        <w:tc>
          <w:tcPr>
            <w:tcW w:w="800" w:type="dxa"/>
            <w:shd w:val="solid" w:color="FFFFFF" w:fill="auto"/>
          </w:tcPr>
          <w:p w14:paraId="659F7CDF" w14:textId="088E8CEC"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3286721F" w14:textId="5FC0E8A3"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6AD4D372" w14:textId="4DCBA0DA" w:rsidR="002C4A81" w:rsidRPr="00873B6C" w:rsidRDefault="002C4A81" w:rsidP="009C14A7">
            <w:pPr>
              <w:pStyle w:val="TAC"/>
              <w:rPr>
                <w:sz w:val="16"/>
                <w:szCs w:val="16"/>
              </w:rPr>
            </w:pPr>
            <w:r w:rsidRPr="00873B6C">
              <w:rPr>
                <w:sz w:val="16"/>
                <w:szCs w:val="16"/>
              </w:rPr>
              <w:t>SP-230063</w:t>
            </w:r>
          </w:p>
        </w:tc>
        <w:tc>
          <w:tcPr>
            <w:tcW w:w="567" w:type="dxa"/>
            <w:shd w:val="solid" w:color="FFFFFF" w:fill="auto"/>
          </w:tcPr>
          <w:p w14:paraId="01C0A17F" w14:textId="06A9AA2F" w:rsidR="002C4A81" w:rsidRPr="00873B6C" w:rsidRDefault="002C4A81" w:rsidP="009C14A7">
            <w:pPr>
              <w:pStyle w:val="TAL"/>
              <w:rPr>
                <w:sz w:val="16"/>
                <w:szCs w:val="16"/>
              </w:rPr>
            </w:pPr>
            <w:r w:rsidRPr="00873B6C">
              <w:rPr>
                <w:sz w:val="16"/>
                <w:szCs w:val="16"/>
              </w:rPr>
              <w:t>3821</w:t>
            </w:r>
          </w:p>
        </w:tc>
        <w:tc>
          <w:tcPr>
            <w:tcW w:w="425" w:type="dxa"/>
            <w:shd w:val="solid" w:color="FFFFFF" w:fill="auto"/>
          </w:tcPr>
          <w:p w14:paraId="560039F6" w14:textId="35F26EF1" w:rsidR="002C4A81" w:rsidRPr="00873B6C" w:rsidRDefault="002C4A81" w:rsidP="009C14A7">
            <w:pPr>
              <w:pStyle w:val="TAL"/>
              <w:rPr>
                <w:sz w:val="16"/>
                <w:szCs w:val="16"/>
              </w:rPr>
            </w:pPr>
            <w:r w:rsidRPr="00873B6C">
              <w:rPr>
                <w:sz w:val="16"/>
                <w:szCs w:val="16"/>
              </w:rPr>
              <w:t>2</w:t>
            </w:r>
          </w:p>
        </w:tc>
        <w:tc>
          <w:tcPr>
            <w:tcW w:w="425" w:type="dxa"/>
            <w:shd w:val="solid" w:color="FFFFFF" w:fill="auto"/>
          </w:tcPr>
          <w:p w14:paraId="61BC6E61" w14:textId="3096F14A"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14E3722E" w14:textId="29B36047" w:rsidR="002C4A81" w:rsidRPr="00873B6C" w:rsidRDefault="002C4A81" w:rsidP="009C14A7">
            <w:pPr>
              <w:pStyle w:val="TAL"/>
              <w:rPr>
                <w:sz w:val="16"/>
                <w:szCs w:val="16"/>
              </w:rPr>
            </w:pPr>
            <w:r w:rsidRPr="00873B6C">
              <w:rPr>
                <w:sz w:val="16"/>
                <w:szCs w:val="16"/>
              </w:rPr>
              <w:t>N5CW device access to SNPN services</w:t>
            </w:r>
          </w:p>
        </w:tc>
        <w:tc>
          <w:tcPr>
            <w:tcW w:w="708" w:type="dxa"/>
            <w:shd w:val="solid" w:color="FFFFFF" w:fill="auto"/>
          </w:tcPr>
          <w:p w14:paraId="74A01A9C" w14:textId="618146B4" w:rsidR="002C4A81" w:rsidRPr="00873B6C" w:rsidRDefault="002C4A81" w:rsidP="009C14A7">
            <w:pPr>
              <w:pStyle w:val="TAC"/>
              <w:rPr>
                <w:sz w:val="16"/>
                <w:szCs w:val="16"/>
              </w:rPr>
            </w:pPr>
            <w:r w:rsidRPr="00873B6C">
              <w:rPr>
                <w:sz w:val="16"/>
                <w:szCs w:val="16"/>
              </w:rPr>
              <w:t>18.1.0</w:t>
            </w:r>
          </w:p>
        </w:tc>
      </w:tr>
      <w:tr w:rsidR="002C4A81" w:rsidRPr="00873B6C" w14:paraId="436B7C75" w14:textId="77777777" w:rsidTr="009D14FB">
        <w:tc>
          <w:tcPr>
            <w:tcW w:w="800" w:type="dxa"/>
            <w:shd w:val="solid" w:color="FFFFFF" w:fill="auto"/>
          </w:tcPr>
          <w:p w14:paraId="2CAE347E" w14:textId="0D92620F"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32208ADC" w14:textId="43C88CDA"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257BDF88" w14:textId="4CA2BAD0" w:rsidR="002C4A81" w:rsidRPr="00873B6C" w:rsidRDefault="002C4A81" w:rsidP="009C14A7">
            <w:pPr>
              <w:pStyle w:val="TAC"/>
              <w:rPr>
                <w:sz w:val="16"/>
                <w:szCs w:val="16"/>
              </w:rPr>
            </w:pPr>
            <w:r w:rsidRPr="00873B6C">
              <w:rPr>
                <w:sz w:val="16"/>
                <w:szCs w:val="16"/>
              </w:rPr>
              <w:t>SP-230</w:t>
            </w:r>
            <w:r w:rsidR="00587044" w:rsidRPr="00873B6C">
              <w:rPr>
                <w:sz w:val="16"/>
                <w:szCs w:val="16"/>
              </w:rPr>
              <w:t>169</w:t>
            </w:r>
          </w:p>
        </w:tc>
        <w:tc>
          <w:tcPr>
            <w:tcW w:w="567" w:type="dxa"/>
            <w:shd w:val="solid" w:color="FFFFFF" w:fill="auto"/>
          </w:tcPr>
          <w:p w14:paraId="1C3B346F" w14:textId="7FD051E5" w:rsidR="002C4A81" w:rsidRPr="00873B6C" w:rsidRDefault="002C4A81" w:rsidP="009C14A7">
            <w:pPr>
              <w:pStyle w:val="TAL"/>
              <w:rPr>
                <w:sz w:val="16"/>
                <w:szCs w:val="16"/>
              </w:rPr>
            </w:pPr>
            <w:r w:rsidRPr="00873B6C">
              <w:rPr>
                <w:sz w:val="16"/>
                <w:szCs w:val="16"/>
              </w:rPr>
              <w:t>3822</w:t>
            </w:r>
          </w:p>
        </w:tc>
        <w:tc>
          <w:tcPr>
            <w:tcW w:w="425" w:type="dxa"/>
            <w:shd w:val="solid" w:color="FFFFFF" w:fill="auto"/>
          </w:tcPr>
          <w:p w14:paraId="26573981" w14:textId="06925CFA" w:rsidR="002C4A81" w:rsidRPr="00873B6C" w:rsidRDefault="00587044" w:rsidP="009C14A7">
            <w:pPr>
              <w:pStyle w:val="TAL"/>
              <w:rPr>
                <w:sz w:val="16"/>
                <w:szCs w:val="16"/>
              </w:rPr>
            </w:pPr>
            <w:r w:rsidRPr="00873B6C">
              <w:rPr>
                <w:sz w:val="16"/>
                <w:szCs w:val="16"/>
              </w:rPr>
              <w:t>7</w:t>
            </w:r>
          </w:p>
        </w:tc>
        <w:tc>
          <w:tcPr>
            <w:tcW w:w="425" w:type="dxa"/>
            <w:shd w:val="solid" w:color="FFFFFF" w:fill="auto"/>
          </w:tcPr>
          <w:p w14:paraId="7B45BFA9" w14:textId="73F490ED"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3DD6A045" w14:textId="6D41DFE4" w:rsidR="002C4A81" w:rsidRPr="00873B6C" w:rsidRDefault="002C4A81" w:rsidP="009C14A7">
            <w:pPr>
              <w:pStyle w:val="TAL"/>
              <w:rPr>
                <w:sz w:val="16"/>
                <w:szCs w:val="16"/>
              </w:rPr>
            </w:pPr>
            <w:r w:rsidRPr="00873B6C">
              <w:rPr>
                <w:sz w:val="16"/>
                <w:szCs w:val="16"/>
              </w:rPr>
              <w:t>KI#4: Support for Centralized NSACF in a PLMN with multi-service areas</w:t>
            </w:r>
          </w:p>
        </w:tc>
        <w:tc>
          <w:tcPr>
            <w:tcW w:w="708" w:type="dxa"/>
            <w:shd w:val="solid" w:color="FFFFFF" w:fill="auto"/>
          </w:tcPr>
          <w:p w14:paraId="6DCF43DE" w14:textId="13371562" w:rsidR="002C4A81" w:rsidRPr="00873B6C" w:rsidRDefault="002C4A81" w:rsidP="009C14A7">
            <w:pPr>
              <w:pStyle w:val="TAC"/>
              <w:rPr>
                <w:sz w:val="16"/>
                <w:szCs w:val="16"/>
              </w:rPr>
            </w:pPr>
            <w:r w:rsidRPr="00873B6C">
              <w:rPr>
                <w:sz w:val="16"/>
                <w:szCs w:val="16"/>
              </w:rPr>
              <w:t>18.1.0</w:t>
            </w:r>
          </w:p>
        </w:tc>
      </w:tr>
      <w:tr w:rsidR="002C4A81" w:rsidRPr="00873B6C" w14:paraId="46838C96" w14:textId="77777777" w:rsidTr="009D14FB">
        <w:tc>
          <w:tcPr>
            <w:tcW w:w="800" w:type="dxa"/>
            <w:shd w:val="solid" w:color="FFFFFF" w:fill="auto"/>
          </w:tcPr>
          <w:p w14:paraId="2233247E" w14:textId="3FB5282A" w:rsidR="002C4A81" w:rsidRPr="00873B6C" w:rsidRDefault="002C4A81" w:rsidP="002C4A81">
            <w:pPr>
              <w:pStyle w:val="TAC"/>
              <w:rPr>
                <w:sz w:val="16"/>
                <w:szCs w:val="16"/>
              </w:rPr>
            </w:pPr>
            <w:r w:rsidRPr="00873B6C">
              <w:rPr>
                <w:sz w:val="16"/>
                <w:szCs w:val="16"/>
              </w:rPr>
              <w:t>2023-03</w:t>
            </w:r>
          </w:p>
        </w:tc>
        <w:tc>
          <w:tcPr>
            <w:tcW w:w="800" w:type="dxa"/>
            <w:shd w:val="solid" w:color="FFFFFF" w:fill="auto"/>
          </w:tcPr>
          <w:p w14:paraId="1F0BBADC" w14:textId="23D2ACA6" w:rsidR="002C4A81" w:rsidRPr="00873B6C" w:rsidRDefault="002C4A81" w:rsidP="002C4A81">
            <w:pPr>
              <w:pStyle w:val="TAL"/>
              <w:rPr>
                <w:sz w:val="16"/>
                <w:szCs w:val="16"/>
              </w:rPr>
            </w:pPr>
            <w:r w:rsidRPr="00873B6C">
              <w:rPr>
                <w:sz w:val="16"/>
                <w:szCs w:val="16"/>
              </w:rPr>
              <w:t>SP#99</w:t>
            </w:r>
          </w:p>
        </w:tc>
        <w:tc>
          <w:tcPr>
            <w:tcW w:w="1094" w:type="dxa"/>
            <w:shd w:val="solid" w:color="FFFFFF" w:fill="auto"/>
          </w:tcPr>
          <w:p w14:paraId="200C4F88" w14:textId="1BAFB0E9" w:rsidR="002C4A81" w:rsidRPr="00873B6C" w:rsidRDefault="002C4A81" w:rsidP="002C4A81">
            <w:pPr>
              <w:pStyle w:val="TAC"/>
              <w:rPr>
                <w:sz w:val="16"/>
                <w:szCs w:val="16"/>
              </w:rPr>
            </w:pPr>
            <w:r w:rsidRPr="00873B6C">
              <w:rPr>
                <w:sz w:val="16"/>
                <w:szCs w:val="16"/>
              </w:rPr>
              <w:t>SP-230064</w:t>
            </w:r>
          </w:p>
        </w:tc>
        <w:tc>
          <w:tcPr>
            <w:tcW w:w="567" w:type="dxa"/>
            <w:shd w:val="solid" w:color="FFFFFF" w:fill="auto"/>
          </w:tcPr>
          <w:p w14:paraId="1353E46F" w14:textId="64362A87" w:rsidR="002C4A81" w:rsidRPr="00873B6C" w:rsidRDefault="002C4A81" w:rsidP="002C4A81">
            <w:pPr>
              <w:pStyle w:val="TAL"/>
              <w:rPr>
                <w:sz w:val="16"/>
                <w:szCs w:val="16"/>
              </w:rPr>
            </w:pPr>
            <w:r w:rsidRPr="00873B6C">
              <w:rPr>
                <w:sz w:val="16"/>
                <w:szCs w:val="16"/>
              </w:rPr>
              <w:t>3823</w:t>
            </w:r>
          </w:p>
        </w:tc>
        <w:tc>
          <w:tcPr>
            <w:tcW w:w="425" w:type="dxa"/>
            <w:shd w:val="solid" w:color="FFFFFF" w:fill="auto"/>
          </w:tcPr>
          <w:p w14:paraId="146F2981" w14:textId="0D0A6F2A" w:rsidR="002C4A81" w:rsidRPr="00873B6C" w:rsidRDefault="002C4A81" w:rsidP="002C4A81">
            <w:pPr>
              <w:pStyle w:val="TAL"/>
              <w:rPr>
                <w:sz w:val="16"/>
                <w:szCs w:val="16"/>
              </w:rPr>
            </w:pPr>
            <w:r w:rsidRPr="00873B6C">
              <w:rPr>
                <w:sz w:val="16"/>
                <w:szCs w:val="16"/>
              </w:rPr>
              <w:t>6</w:t>
            </w:r>
          </w:p>
        </w:tc>
        <w:tc>
          <w:tcPr>
            <w:tcW w:w="425" w:type="dxa"/>
            <w:shd w:val="solid" w:color="FFFFFF" w:fill="auto"/>
          </w:tcPr>
          <w:p w14:paraId="0797EFAA" w14:textId="7E9ACF6D" w:rsidR="002C4A81" w:rsidRPr="00873B6C" w:rsidRDefault="002C4A81" w:rsidP="002C4A81">
            <w:pPr>
              <w:pStyle w:val="TAL"/>
              <w:rPr>
                <w:sz w:val="16"/>
                <w:szCs w:val="16"/>
              </w:rPr>
            </w:pPr>
            <w:r w:rsidRPr="00873B6C">
              <w:rPr>
                <w:sz w:val="16"/>
                <w:szCs w:val="16"/>
              </w:rPr>
              <w:t>B</w:t>
            </w:r>
          </w:p>
        </w:tc>
        <w:tc>
          <w:tcPr>
            <w:tcW w:w="4820" w:type="dxa"/>
            <w:shd w:val="solid" w:color="FFFFFF" w:fill="auto"/>
          </w:tcPr>
          <w:p w14:paraId="6AD21044" w14:textId="02D3A2E6" w:rsidR="002C4A81" w:rsidRPr="00873B6C" w:rsidRDefault="002C4A81" w:rsidP="002C4A81">
            <w:pPr>
              <w:pStyle w:val="TAL"/>
              <w:rPr>
                <w:sz w:val="16"/>
                <w:szCs w:val="16"/>
              </w:rPr>
            </w:pPr>
            <w:r w:rsidRPr="00873B6C">
              <w:rPr>
                <w:sz w:val="16"/>
                <w:szCs w:val="16"/>
              </w:rPr>
              <w:t>KI#4: Support for HPLMN admission mode while Roaming</w:t>
            </w:r>
          </w:p>
        </w:tc>
        <w:tc>
          <w:tcPr>
            <w:tcW w:w="708" w:type="dxa"/>
            <w:shd w:val="solid" w:color="FFFFFF" w:fill="auto"/>
          </w:tcPr>
          <w:p w14:paraId="17C6F3CC" w14:textId="0C1CFFB7" w:rsidR="002C4A81" w:rsidRPr="00873B6C" w:rsidRDefault="002C4A81" w:rsidP="002C4A81">
            <w:pPr>
              <w:pStyle w:val="TAC"/>
              <w:rPr>
                <w:sz w:val="16"/>
                <w:szCs w:val="16"/>
              </w:rPr>
            </w:pPr>
            <w:r w:rsidRPr="00873B6C">
              <w:rPr>
                <w:sz w:val="16"/>
                <w:szCs w:val="16"/>
              </w:rPr>
              <w:t>18.1.0</w:t>
            </w:r>
          </w:p>
        </w:tc>
      </w:tr>
      <w:tr w:rsidR="002C4A81" w:rsidRPr="00873B6C" w14:paraId="2F1BA46E" w14:textId="77777777" w:rsidTr="009D14FB">
        <w:tc>
          <w:tcPr>
            <w:tcW w:w="800" w:type="dxa"/>
            <w:shd w:val="solid" w:color="FFFFFF" w:fill="auto"/>
          </w:tcPr>
          <w:p w14:paraId="4B374AA2" w14:textId="527FCE86" w:rsidR="002C4A81" w:rsidRPr="00873B6C" w:rsidRDefault="002C4A81" w:rsidP="002C4A81">
            <w:pPr>
              <w:pStyle w:val="TAC"/>
              <w:rPr>
                <w:sz w:val="16"/>
                <w:szCs w:val="16"/>
              </w:rPr>
            </w:pPr>
            <w:r w:rsidRPr="00873B6C">
              <w:rPr>
                <w:sz w:val="16"/>
                <w:szCs w:val="16"/>
              </w:rPr>
              <w:t>2023-03</w:t>
            </w:r>
          </w:p>
        </w:tc>
        <w:tc>
          <w:tcPr>
            <w:tcW w:w="800" w:type="dxa"/>
            <w:shd w:val="solid" w:color="FFFFFF" w:fill="auto"/>
          </w:tcPr>
          <w:p w14:paraId="233701DE" w14:textId="0C22DE39" w:rsidR="002C4A81" w:rsidRPr="00873B6C" w:rsidRDefault="002C4A81" w:rsidP="002C4A81">
            <w:pPr>
              <w:pStyle w:val="TAL"/>
              <w:rPr>
                <w:sz w:val="16"/>
                <w:szCs w:val="16"/>
              </w:rPr>
            </w:pPr>
            <w:r w:rsidRPr="00873B6C">
              <w:rPr>
                <w:sz w:val="16"/>
                <w:szCs w:val="16"/>
              </w:rPr>
              <w:t>SP#99</w:t>
            </w:r>
          </w:p>
        </w:tc>
        <w:tc>
          <w:tcPr>
            <w:tcW w:w="1094" w:type="dxa"/>
            <w:shd w:val="solid" w:color="FFFFFF" w:fill="auto"/>
          </w:tcPr>
          <w:p w14:paraId="104F7366" w14:textId="0AC73E39" w:rsidR="002C4A81" w:rsidRPr="00873B6C" w:rsidRDefault="002C4A81" w:rsidP="002C4A81">
            <w:pPr>
              <w:pStyle w:val="TAC"/>
              <w:rPr>
                <w:sz w:val="16"/>
                <w:szCs w:val="16"/>
              </w:rPr>
            </w:pPr>
            <w:r w:rsidRPr="00873B6C">
              <w:rPr>
                <w:sz w:val="16"/>
                <w:szCs w:val="16"/>
              </w:rPr>
              <w:t>SP-230077</w:t>
            </w:r>
          </w:p>
        </w:tc>
        <w:tc>
          <w:tcPr>
            <w:tcW w:w="567" w:type="dxa"/>
            <w:shd w:val="solid" w:color="FFFFFF" w:fill="auto"/>
          </w:tcPr>
          <w:p w14:paraId="530ACA0C" w14:textId="30B3E7A1" w:rsidR="002C4A81" w:rsidRPr="00873B6C" w:rsidRDefault="002C4A81" w:rsidP="002C4A81">
            <w:pPr>
              <w:pStyle w:val="TAL"/>
              <w:rPr>
                <w:sz w:val="16"/>
                <w:szCs w:val="16"/>
              </w:rPr>
            </w:pPr>
            <w:r w:rsidRPr="00873B6C">
              <w:rPr>
                <w:sz w:val="16"/>
                <w:szCs w:val="16"/>
              </w:rPr>
              <w:t>3825</w:t>
            </w:r>
          </w:p>
        </w:tc>
        <w:tc>
          <w:tcPr>
            <w:tcW w:w="425" w:type="dxa"/>
            <w:shd w:val="solid" w:color="FFFFFF" w:fill="auto"/>
          </w:tcPr>
          <w:p w14:paraId="5FF61ED3" w14:textId="00C9EACD" w:rsidR="002C4A81" w:rsidRPr="00873B6C" w:rsidRDefault="002C4A81" w:rsidP="002C4A81">
            <w:pPr>
              <w:pStyle w:val="TAL"/>
              <w:rPr>
                <w:sz w:val="16"/>
                <w:szCs w:val="16"/>
              </w:rPr>
            </w:pPr>
            <w:r w:rsidRPr="00873B6C">
              <w:rPr>
                <w:sz w:val="16"/>
                <w:szCs w:val="16"/>
              </w:rPr>
              <w:t>1</w:t>
            </w:r>
          </w:p>
        </w:tc>
        <w:tc>
          <w:tcPr>
            <w:tcW w:w="425" w:type="dxa"/>
            <w:shd w:val="solid" w:color="FFFFFF" w:fill="auto"/>
          </w:tcPr>
          <w:p w14:paraId="00097726" w14:textId="5D416FBF" w:rsidR="002C4A81" w:rsidRPr="00873B6C" w:rsidRDefault="002C4A81" w:rsidP="002C4A81">
            <w:pPr>
              <w:pStyle w:val="TAL"/>
              <w:rPr>
                <w:sz w:val="16"/>
                <w:szCs w:val="16"/>
              </w:rPr>
            </w:pPr>
            <w:r w:rsidRPr="00873B6C">
              <w:rPr>
                <w:sz w:val="16"/>
                <w:szCs w:val="16"/>
              </w:rPr>
              <w:t>B</w:t>
            </w:r>
          </w:p>
        </w:tc>
        <w:tc>
          <w:tcPr>
            <w:tcW w:w="4820" w:type="dxa"/>
            <w:shd w:val="solid" w:color="FFFFFF" w:fill="auto"/>
          </w:tcPr>
          <w:p w14:paraId="062C8EE7" w14:textId="3268D1D9" w:rsidR="002C4A81" w:rsidRPr="00873B6C" w:rsidRDefault="002C4A81" w:rsidP="002C4A81">
            <w:pPr>
              <w:pStyle w:val="TAL"/>
              <w:rPr>
                <w:sz w:val="16"/>
                <w:szCs w:val="16"/>
              </w:rPr>
            </w:pPr>
            <w:r w:rsidRPr="00873B6C">
              <w:rPr>
                <w:sz w:val="16"/>
                <w:szCs w:val="16"/>
              </w:rPr>
              <w:t>Support of NAT exposure in 23.501 according to the conclusion in UPEAS</w:t>
            </w:r>
          </w:p>
        </w:tc>
        <w:tc>
          <w:tcPr>
            <w:tcW w:w="708" w:type="dxa"/>
            <w:shd w:val="solid" w:color="FFFFFF" w:fill="auto"/>
          </w:tcPr>
          <w:p w14:paraId="7672D9D5" w14:textId="7A474081" w:rsidR="002C4A81" w:rsidRPr="00873B6C" w:rsidRDefault="002C4A81" w:rsidP="002C4A81">
            <w:pPr>
              <w:pStyle w:val="TAC"/>
              <w:rPr>
                <w:sz w:val="16"/>
                <w:szCs w:val="16"/>
              </w:rPr>
            </w:pPr>
            <w:r w:rsidRPr="00873B6C">
              <w:rPr>
                <w:sz w:val="16"/>
                <w:szCs w:val="16"/>
              </w:rPr>
              <w:t>18.1.0</w:t>
            </w:r>
          </w:p>
        </w:tc>
      </w:tr>
      <w:tr w:rsidR="00D51D1B" w:rsidRPr="00873B6C" w14:paraId="74ED9F7C" w14:textId="77777777" w:rsidTr="009D14FB">
        <w:tc>
          <w:tcPr>
            <w:tcW w:w="800" w:type="dxa"/>
            <w:shd w:val="solid" w:color="FFFFFF" w:fill="auto"/>
          </w:tcPr>
          <w:p w14:paraId="693A6D9D" w14:textId="5B0C5EB1"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018C0352" w14:textId="049995E1"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736807C0" w14:textId="25C396AC" w:rsidR="00D51D1B" w:rsidRPr="00873B6C" w:rsidRDefault="00D51D1B" w:rsidP="002C4A81">
            <w:pPr>
              <w:pStyle w:val="TAC"/>
              <w:rPr>
                <w:sz w:val="16"/>
                <w:szCs w:val="16"/>
              </w:rPr>
            </w:pPr>
            <w:r w:rsidRPr="00873B6C">
              <w:rPr>
                <w:sz w:val="16"/>
                <w:szCs w:val="16"/>
              </w:rPr>
              <w:t>SP-230058</w:t>
            </w:r>
          </w:p>
        </w:tc>
        <w:tc>
          <w:tcPr>
            <w:tcW w:w="567" w:type="dxa"/>
            <w:shd w:val="solid" w:color="FFFFFF" w:fill="auto"/>
          </w:tcPr>
          <w:p w14:paraId="78FE3BF8" w14:textId="13178998" w:rsidR="00D51D1B" w:rsidRPr="00873B6C" w:rsidRDefault="00D51D1B" w:rsidP="002C4A81">
            <w:pPr>
              <w:pStyle w:val="TAL"/>
              <w:rPr>
                <w:sz w:val="16"/>
                <w:szCs w:val="16"/>
              </w:rPr>
            </w:pPr>
            <w:r w:rsidRPr="00873B6C">
              <w:rPr>
                <w:sz w:val="16"/>
                <w:szCs w:val="16"/>
              </w:rPr>
              <w:t>3830</w:t>
            </w:r>
          </w:p>
        </w:tc>
        <w:tc>
          <w:tcPr>
            <w:tcW w:w="425" w:type="dxa"/>
            <w:shd w:val="solid" w:color="FFFFFF" w:fill="auto"/>
          </w:tcPr>
          <w:p w14:paraId="4C4FA223" w14:textId="0906502F"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260BFB19" w14:textId="523EC4E2" w:rsidR="00D51D1B" w:rsidRPr="00873B6C" w:rsidRDefault="00D51D1B" w:rsidP="002C4A81">
            <w:pPr>
              <w:pStyle w:val="TAL"/>
              <w:rPr>
                <w:sz w:val="16"/>
                <w:szCs w:val="16"/>
              </w:rPr>
            </w:pPr>
            <w:r w:rsidRPr="00873B6C">
              <w:rPr>
                <w:sz w:val="16"/>
                <w:szCs w:val="16"/>
              </w:rPr>
              <w:t>B</w:t>
            </w:r>
          </w:p>
        </w:tc>
        <w:tc>
          <w:tcPr>
            <w:tcW w:w="4820" w:type="dxa"/>
            <w:shd w:val="solid" w:color="FFFFFF" w:fill="auto"/>
          </w:tcPr>
          <w:p w14:paraId="34ACB484" w14:textId="4D13F994" w:rsidR="00D51D1B" w:rsidRPr="00873B6C" w:rsidRDefault="00D51D1B" w:rsidP="002C4A81">
            <w:pPr>
              <w:pStyle w:val="TAL"/>
              <w:rPr>
                <w:sz w:val="16"/>
                <w:szCs w:val="16"/>
              </w:rPr>
            </w:pPr>
            <w:r w:rsidRPr="00873B6C">
              <w:rPr>
                <w:sz w:val="16"/>
                <w:szCs w:val="16"/>
              </w:rPr>
              <w:t>The support of Home Routed PDU Session supporting Session Breakout in VPLMN (HR-SBO)</w:t>
            </w:r>
          </w:p>
        </w:tc>
        <w:tc>
          <w:tcPr>
            <w:tcW w:w="708" w:type="dxa"/>
            <w:shd w:val="solid" w:color="FFFFFF" w:fill="auto"/>
          </w:tcPr>
          <w:p w14:paraId="6095FBE6" w14:textId="125A76B0" w:rsidR="00D51D1B" w:rsidRPr="00873B6C" w:rsidRDefault="00D51D1B" w:rsidP="002C4A81">
            <w:pPr>
              <w:pStyle w:val="TAC"/>
              <w:rPr>
                <w:sz w:val="16"/>
                <w:szCs w:val="16"/>
              </w:rPr>
            </w:pPr>
            <w:r w:rsidRPr="00873B6C">
              <w:rPr>
                <w:sz w:val="16"/>
                <w:szCs w:val="16"/>
              </w:rPr>
              <w:t>18.1.0</w:t>
            </w:r>
          </w:p>
        </w:tc>
      </w:tr>
      <w:tr w:rsidR="00D51D1B" w:rsidRPr="00873B6C" w14:paraId="6D12E054" w14:textId="77777777" w:rsidTr="009D14FB">
        <w:tc>
          <w:tcPr>
            <w:tcW w:w="800" w:type="dxa"/>
            <w:shd w:val="solid" w:color="FFFFFF" w:fill="auto"/>
          </w:tcPr>
          <w:p w14:paraId="4F606343" w14:textId="0834F346"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3FCCD722" w14:textId="72658889"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30660C5E" w14:textId="248E0599" w:rsidR="00D51D1B" w:rsidRPr="00873B6C" w:rsidRDefault="00D51D1B" w:rsidP="002C4A81">
            <w:pPr>
              <w:pStyle w:val="TAC"/>
              <w:rPr>
                <w:sz w:val="16"/>
                <w:szCs w:val="16"/>
              </w:rPr>
            </w:pPr>
            <w:r w:rsidRPr="00873B6C">
              <w:rPr>
                <w:sz w:val="16"/>
                <w:szCs w:val="16"/>
              </w:rPr>
              <w:t>SP-230080</w:t>
            </w:r>
          </w:p>
        </w:tc>
        <w:tc>
          <w:tcPr>
            <w:tcW w:w="567" w:type="dxa"/>
            <w:shd w:val="solid" w:color="FFFFFF" w:fill="auto"/>
          </w:tcPr>
          <w:p w14:paraId="55F543E5" w14:textId="3C33F43E" w:rsidR="00D51D1B" w:rsidRPr="00873B6C" w:rsidRDefault="00D51D1B" w:rsidP="002C4A81">
            <w:pPr>
              <w:pStyle w:val="TAL"/>
              <w:rPr>
                <w:sz w:val="16"/>
                <w:szCs w:val="16"/>
              </w:rPr>
            </w:pPr>
            <w:r w:rsidRPr="00873B6C">
              <w:rPr>
                <w:sz w:val="16"/>
                <w:szCs w:val="16"/>
              </w:rPr>
              <w:t>3831</w:t>
            </w:r>
          </w:p>
        </w:tc>
        <w:tc>
          <w:tcPr>
            <w:tcW w:w="425" w:type="dxa"/>
            <w:shd w:val="solid" w:color="FFFFFF" w:fill="auto"/>
          </w:tcPr>
          <w:p w14:paraId="3D3A888D" w14:textId="302DCDC2"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09955355" w14:textId="683B6025" w:rsidR="00D51D1B" w:rsidRPr="00873B6C" w:rsidRDefault="00D51D1B" w:rsidP="002C4A81">
            <w:pPr>
              <w:pStyle w:val="TAL"/>
              <w:rPr>
                <w:sz w:val="16"/>
                <w:szCs w:val="16"/>
              </w:rPr>
            </w:pPr>
            <w:r w:rsidRPr="00873B6C">
              <w:rPr>
                <w:sz w:val="16"/>
                <w:szCs w:val="16"/>
              </w:rPr>
              <w:t>F</w:t>
            </w:r>
          </w:p>
        </w:tc>
        <w:tc>
          <w:tcPr>
            <w:tcW w:w="4820" w:type="dxa"/>
            <w:shd w:val="solid" w:color="FFFFFF" w:fill="auto"/>
          </w:tcPr>
          <w:p w14:paraId="40AA89A5" w14:textId="48E44F05" w:rsidR="00D51D1B" w:rsidRPr="00873B6C" w:rsidRDefault="00D51D1B" w:rsidP="002C4A81">
            <w:pPr>
              <w:pStyle w:val="TAL"/>
              <w:rPr>
                <w:sz w:val="16"/>
                <w:szCs w:val="16"/>
              </w:rPr>
            </w:pPr>
            <w:r w:rsidRPr="00873B6C">
              <w:rPr>
                <w:sz w:val="16"/>
                <w:szCs w:val="16"/>
              </w:rPr>
              <w:t>Impacts of CH architecture in N3IWF selection</w:t>
            </w:r>
          </w:p>
        </w:tc>
        <w:tc>
          <w:tcPr>
            <w:tcW w:w="708" w:type="dxa"/>
            <w:shd w:val="solid" w:color="FFFFFF" w:fill="auto"/>
          </w:tcPr>
          <w:p w14:paraId="696F4765" w14:textId="79B85C03" w:rsidR="00D51D1B" w:rsidRPr="00873B6C" w:rsidRDefault="00D51D1B" w:rsidP="002C4A81">
            <w:pPr>
              <w:pStyle w:val="TAC"/>
              <w:rPr>
                <w:sz w:val="16"/>
                <w:szCs w:val="16"/>
              </w:rPr>
            </w:pPr>
            <w:r w:rsidRPr="00873B6C">
              <w:rPr>
                <w:sz w:val="16"/>
                <w:szCs w:val="16"/>
              </w:rPr>
              <w:t>18.1.0</w:t>
            </w:r>
          </w:p>
        </w:tc>
      </w:tr>
      <w:tr w:rsidR="00D51D1B" w:rsidRPr="00873B6C" w14:paraId="677AD341" w14:textId="77777777" w:rsidTr="009D14FB">
        <w:tc>
          <w:tcPr>
            <w:tcW w:w="800" w:type="dxa"/>
            <w:shd w:val="solid" w:color="FFFFFF" w:fill="auto"/>
          </w:tcPr>
          <w:p w14:paraId="05C43ADF" w14:textId="6E0741F9"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541321A7" w14:textId="277AD3BC"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7CFED6AF" w14:textId="797D0724" w:rsidR="00D51D1B" w:rsidRPr="00873B6C" w:rsidRDefault="00D51D1B" w:rsidP="002C4A81">
            <w:pPr>
              <w:pStyle w:val="TAC"/>
              <w:rPr>
                <w:sz w:val="16"/>
                <w:szCs w:val="16"/>
              </w:rPr>
            </w:pPr>
            <w:r w:rsidRPr="00873B6C">
              <w:rPr>
                <w:sz w:val="16"/>
                <w:szCs w:val="16"/>
              </w:rPr>
              <w:t>SP-230051</w:t>
            </w:r>
          </w:p>
        </w:tc>
        <w:tc>
          <w:tcPr>
            <w:tcW w:w="567" w:type="dxa"/>
            <w:shd w:val="solid" w:color="FFFFFF" w:fill="auto"/>
          </w:tcPr>
          <w:p w14:paraId="577F01AA" w14:textId="2E19AAE4" w:rsidR="00D51D1B" w:rsidRPr="00873B6C" w:rsidRDefault="00D51D1B" w:rsidP="002C4A81">
            <w:pPr>
              <w:pStyle w:val="TAL"/>
              <w:rPr>
                <w:sz w:val="16"/>
                <w:szCs w:val="16"/>
              </w:rPr>
            </w:pPr>
            <w:r w:rsidRPr="00873B6C">
              <w:rPr>
                <w:sz w:val="16"/>
                <w:szCs w:val="16"/>
              </w:rPr>
              <w:t>3834</w:t>
            </w:r>
          </w:p>
        </w:tc>
        <w:tc>
          <w:tcPr>
            <w:tcW w:w="425" w:type="dxa"/>
            <w:shd w:val="solid" w:color="FFFFFF" w:fill="auto"/>
          </w:tcPr>
          <w:p w14:paraId="3E6FCDF8" w14:textId="29BDAD45"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623D7C8E" w14:textId="6CACEBA2" w:rsidR="00D51D1B" w:rsidRPr="00873B6C" w:rsidRDefault="00D51D1B" w:rsidP="002C4A81">
            <w:pPr>
              <w:pStyle w:val="TAL"/>
              <w:rPr>
                <w:sz w:val="16"/>
                <w:szCs w:val="16"/>
              </w:rPr>
            </w:pPr>
            <w:r w:rsidRPr="00873B6C">
              <w:rPr>
                <w:sz w:val="16"/>
                <w:szCs w:val="16"/>
              </w:rPr>
              <w:t>B</w:t>
            </w:r>
          </w:p>
        </w:tc>
        <w:tc>
          <w:tcPr>
            <w:tcW w:w="4820" w:type="dxa"/>
            <w:shd w:val="solid" w:color="FFFFFF" w:fill="auto"/>
          </w:tcPr>
          <w:p w14:paraId="6BE04F24" w14:textId="40D88F33" w:rsidR="00D51D1B" w:rsidRPr="00873B6C" w:rsidRDefault="00D51D1B" w:rsidP="002C4A81">
            <w:pPr>
              <w:pStyle w:val="TAL"/>
              <w:rPr>
                <w:sz w:val="16"/>
                <w:szCs w:val="16"/>
              </w:rPr>
            </w:pPr>
            <w:r w:rsidRPr="00873B6C">
              <w:rPr>
                <w:sz w:val="16"/>
                <w:szCs w:val="16"/>
              </w:rPr>
              <w:t>MBS service for UE using power saving functions</w:t>
            </w:r>
          </w:p>
        </w:tc>
        <w:tc>
          <w:tcPr>
            <w:tcW w:w="708" w:type="dxa"/>
            <w:shd w:val="solid" w:color="FFFFFF" w:fill="auto"/>
          </w:tcPr>
          <w:p w14:paraId="17490613" w14:textId="4EFA805A" w:rsidR="00D51D1B" w:rsidRPr="00873B6C" w:rsidRDefault="00D51D1B" w:rsidP="002C4A81">
            <w:pPr>
              <w:pStyle w:val="TAC"/>
              <w:rPr>
                <w:sz w:val="16"/>
                <w:szCs w:val="16"/>
              </w:rPr>
            </w:pPr>
            <w:r w:rsidRPr="00873B6C">
              <w:rPr>
                <w:sz w:val="16"/>
                <w:szCs w:val="16"/>
              </w:rPr>
              <w:t>18.1.0</w:t>
            </w:r>
          </w:p>
        </w:tc>
      </w:tr>
      <w:tr w:rsidR="00D51D1B" w:rsidRPr="00873B6C" w14:paraId="15607FA7" w14:textId="77777777" w:rsidTr="009D14FB">
        <w:tc>
          <w:tcPr>
            <w:tcW w:w="800" w:type="dxa"/>
            <w:shd w:val="solid" w:color="FFFFFF" w:fill="auto"/>
          </w:tcPr>
          <w:p w14:paraId="77AF6581" w14:textId="320DDECB"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1ED60A44" w14:textId="5928E344"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145484AF" w14:textId="29B49B45" w:rsidR="00D51D1B" w:rsidRPr="00873B6C" w:rsidRDefault="00D51D1B" w:rsidP="002C4A81">
            <w:pPr>
              <w:pStyle w:val="TAC"/>
              <w:rPr>
                <w:sz w:val="16"/>
                <w:szCs w:val="16"/>
              </w:rPr>
            </w:pPr>
            <w:r w:rsidRPr="00873B6C">
              <w:rPr>
                <w:sz w:val="16"/>
                <w:szCs w:val="16"/>
              </w:rPr>
              <w:t>SP-230063</w:t>
            </w:r>
          </w:p>
        </w:tc>
        <w:tc>
          <w:tcPr>
            <w:tcW w:w="567" w:type="dxa"/>
            <w:shd w:val="solid" w:color="FFFFFF" w:fill="auto"/>
          </w:tcPr>
          <w:p w14:paraId="0972E6F9" w14:textId="10A39986" w:rsidR="00D51D1B" w:rsidRPr="00873B6C" w:rsidRDefault="00D51D1B" w:rsidP="002C4A81">
            <w:pPr>
              <w:pStyle w:val="TAL"/>
              <w:rPr>
                <w:sz w:val="16"/>
                <w:szCs w:val="16"/>
              </w:rPr>
            </w:pPr>
            <w:r w:rsidRPr="00873B6C">
              <w:rPr>
                <w:sz w:val="16"/>
                <w:szCs w:val="16"/>
              </w:rPr>
              <w:t>3835</w:t>
            </w:r>
          </w:p>
        </w:tc>
        <w:tc>
          <w:tcPr>
            <w:tcW w:w="425" w:type="dxa"/>
            <w:shd w:val="solid" w:color="FFFFFF" w:fill="auto"/>
          </w:tcPr>
          <w:p w14:paraId="1813972E" w14:textId="6F4559C8" w:rsidR="00D51D1B" w:rsidRPr="00873B6C" w:rsidRDefault="00D51D1B" w:rsidP="002C4A81">
            <w:pPr>
              <w:pStyle w:val="TAL"/>
              <w:rPr>
                <w:sz w:val="16"/>
                <w:szCs w:val="16"/>
              </w:rPr>
            </w:pPr>
            <w:r w:rsidRPr="00873B6C">
              <w:rPr>
                <w:sz w:val="16"/>
                <w:szCs w:val="16"/>
              </w:rPr>
              <w:t>3</w:t>
            </w:r>
          </w:p>
        </w:tc>
        <w:tc>
          <w:tcPr>
            <w:tcW w:w="425" w:type="dxa"/>
            <w:shd w:val="solid" w:color="FFFFFF" w:fill="auto"/>
          </w:tcPr>
          <w:p w14:paraId="429B8672" w14:textId="52923F06" w:rsidR="00D51D1B" w:rsidRPr="00873B6C" w:rsidRDefault="00D51D1B" w:rsidP="002C4A81">
            <w:pPr>
              <w:pStyle w:val="TAL"/>
              <w:rPr>
                <w:sz w:val="16"/>
                <w:szCs w:val="16"/>
              </w:rPr>
            </w:pPr>
            <w:r w:rsidRPr="00873B6C">
              <w:rPr>
                <w:sz w:val="16"/>
                <w:szCs w:val="16"/>
              </w:rPr>
              <w:t>C</w:t>
            </w:r>
          </w:p>
        </w:tc>
        <w:tc>
          <w:tcPr>
            <w:tcW w:w="4820" w:type="dxa"/>
            <w:shd w:val="solid" w:color="FFFFFF" w:fill="auto"/>
          </w:tcPr>
          <w:p w14:paraId="638188DF" w14:textId="4F889C46" w:rsidR="00D51D1B" w:rsidRPr="00873B6C" w:rsidRDefault="00D51D1B" w:rsidP="002C4A81">
            <w:pPr>
              <w:pStyle w:val="TAL"/>
              <w:rPr>
                <w:sz w:val="16"/>
                <w:szCs w:val="16"/>
              </w:rPr>
            </w:pPr>
            <w:r w:rsidRPr="00873B6C">
              <w:rPr>
                <w:sz w:val="16"/>
                <w:szCs w:val="16"/>
              </w:rPr>
              <w:t>Support for NSWO with CH</w:t>
            </w:r>
          </w:p>
        </w:tc>
        <w:tc>
          <w:tcPr>
            <w:tcW w:w="708" w:type="dxa"/>
            <w:shd w:val="solid" w:color="FFFFFF" w:fill="auto"/>
          </w:tcPr>
          <w:p w14:paraId="7B6CBB75" w14:textId="46E01421" w:rsidR="00D51D1B" w:rsidRPr="00873B6C" w:rsidRDefault="00D51D1B" w:rsidP="002C4A81">
            <w:pPr>
              <w:pStyle w:val="TAC"/>
              <w:rPr>
                <w:sz w:val="16"/>
                <w:szCs w:val="16"/>
              </w:rPr>
            </w:pPr>
            <w:r w:rsidRPr="00873B6C">
              <w:rPr>
                <w:sz w:val="16"/>
                <w:szCs w:val="16"/>
              </w:rPr>
              <w:t>18.1.0</w:t>
            </w:r>
          </w:p>
        </w:tc>
      </w:tr>
      <w:tr w:rsidR="00D51D1B" w:rsidRPr="00873B6C" w14:paraId="506C3F64" w14:textId="77777777" w:rsidTr="009D14FB">
        <w:tc>
          <w:tcPr>
            <w:tcW w:w="800" w:type="dxa"/>
            <w:shd w:val="solid" w:color="FFFFFF" w:fill="auto"/>
          </w:tcPr>
          <w:p w14:paraId="6BC07D10" w14:textId="63C8BBB6"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528ABA1C" w14:textId="26D633E6"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2F12A235" w14:textId="1D5B5F9D" w:rsidR="00D51D1B" w:rsidRPr="00873B6C" w:rsidRDefault="00D51D1B" w:rsidP="002C4A81">
            <w:pPr>
              <w:pStyle w:val="TAC"/>
              <w:rPr>
                <w:sz w:val="16"/>
                <w:szCs w:val="16"/>
              </w:rPr>
            </w:pPr>
            <w:r w:rsidRPr="00873B6C">
              <w:rPr>
                <w:sz w:val="16"/>
                <w:szCs w:val="16"/>
              </w:rPr>
              <w:t>SP-230055</w:t>
            </w:r>
          </w:p>
        </w:tc>
        <w:tc>
          <w:tcPr>
            <w:tcW w:w="567" w:type="dxa"/>
            <w:shd w:val="solid" w:color="FFFFFF" w:fill="auto"/>
          </w:tcPr>
          <w:p w14:paraId="78E5A384" w14:textId="0291BEEC" w:rsidR="00D51D1B" w:rsidRPr="00873B6C" w:rsidRDefault="00D51D1B" w:rsidP="002C4A81">
            <w:pPr>
              <w:pStyle w:val="TAL"/>
              <w:rPr>
                <w:sz w:val="16"/>
                <w:szCs w:val="16"/>
              </w:rPr>
            </w:pPr>
            <w:r w:rsidRPr="00873B6C">
              <w:rPr>
                <w:sz w:val="16"/>
                <w:szCs w:val="16"/>
              </w:rPr>
              <w:t>3837</w:t>
            </w:r>
          </w:p>
        </w:tc>
        <w:tc>
          <w:tcPr>
            <w:tcW w:w="425" w:type="dxa"/>
            <w:shd w:val="solid" w:color="FFFFFF" w:fill="auto"/>
          </w:tcPr>
          <w:p w14:paraId="1CBEFE1C" w14:textId="2C561856"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66273516" w14:textId="7DF06259" w:rsidR="00D51D1B" w:rsidRPr="00873B6C" w:rsidRDefault="00D51D1B" w:rsidP="002C4A81">
            <w:pPr>
              <w:pStyle w:val="TAL"/>
              <w:rPr>
                <w:sz w:val="16"/>
                <w:szCs w:val="16"/>
              </w:rPr>
            </w:pPr>
            <w:r w:rsidRPr="00873B6C">
              <w:rPr>
                <w:sz w:val="16"/>
                <w:szCs w:val="16"/>
              </w:rPr>
              <w:t>F</w:t>
            </w:r>
          </w:p>
        </w:tc>
        <w:tc>
          <w:tcPr>
            <w:tcW w:w="4820" w:type="dxa"/>
            <w:shd w:val="solid" w:color="FFFFFF" w:fill="auto"/>
          </w:tcPr>
          <w:p w14:paraId="092C80AF" w14:textId="09F9EFA4" w:rsidR="00D51D1B" w:rsidRPr="00873B6C" w:rsidRDefault="00D51D1B" w:rsidP="002C4A81">
            <w:pPr>
              <w:pStyle w:val="TAL"/>
              <w:rPr>
                <w:sz w:val="16"/>
                <w:szCs w:val="16"/>
              </w:rPr>
            </w:pPr>
            <w:r w:rsidRPr="00873B6C">
              <w:rPr>
                <w:sz w:val="16"/>
                <w:szCs w:val="16"/>
              </w:rPr>
              <w:t>Resolving EN on PCF's awareness of modified RFSP index indicating a change of priority from 5GC to EPC</w:t>
            </w:r>
          </w:p>
        </w:tc>
        <w:tc>
          <w:tcPr>
            <w:tcW w:w="708" w:type="dxa"/>
            <w:shd w:val="solid" w:color="FFFFFF" w:fill="auto"/>
          </w:tcPr>
          <w:p w14:paraId="0B517E70" w14:textId="546B0B11" w:rsidR="00D51D1B" w:rsidRPr="00873B6C" w:rsidRDefault="00D51D1B" w:rsidP="002C4A81">
            <w:pPr>
              <w:pStyle w:val="TAC"/>
              <w:rPr>
                <w:sz w:val="16"/>
                <w:szCs w:val="16"/>
              </w:rPr>
            </w:pPr>
            <w:r w:rsidRPr="00873B6C">
              <w:rPr>
                <w:sz w:val="16"/>
                <w:szCs w:val="16"/>
              </w:rPr>
              <w:t>18.1.0</w:t>
            </w:r>
          </w:p>
        </w:tc>
      </w:tr>
      <w:tr w:rsidR="00D51D1B" w:rsidRPr="00873B6C" w14:paraId="3E4D1849" w14:textId="77777777" w:rsidTr="009D14FB">
        <w:tc>
          <w:tcPr>
            <w:tcW w:w="800" w:type="dxa"/>
            <w:shd w:val="solid" w:color="FFFFFF" w:fill="auto"/>
          </w:tcPr>
          <w:p w14:paraId="01901986" w14:textId="2EA981FC"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102FDC8F" w14:textId="37EC75BE"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172D1A3E" w14:textId="083C5BE8" w:rsidR="00D51D1B" w:rsidRPr="00873B6C" w:rsidRDefault="00D51D1B" w:rsidP="002C4A81">
            <w:pPr>
              <w:pStyle w:val="TAC"/>
              <w:rPr>
                <w:sz w:val="16"/>
                <w:szCs w:val="16"/>
              </w:rPr>
            </w:pPr>
            <w:r w:rsidRPr="00873B6C">
              <w:rPr>
                <w:sz w:val="16"/>
                <w:szCs w:val="16"/>
              </w:rPr>
              <w:t>SP-230034</w:t>
            </w:r>
          </w:p>
        </w:tc>
        <w:tc>
          <w:tcPr>
            <w:tcW w:w="567" w:type="dxa"/>
            <w:shd w:val="solid" w:color="FFFFFF" w:fill="auto"/>
          </w:tcPr>
          <w:p w14:paraId="385475A8" w14:textId="056DC1A9" w:rsidR="00D51D1B" w:rsidRPr="00873B6C" w:rsidRDefault="00D51D1B" w:rsidP="002C4A81">
            <w:pPr>
              <w:pStyle w:val="TAL"/>
              <w:rPr>
                <w:sz w:val="16"/>
                <w:szCs w:val="16"/>
              </w:rPr>
            </w:pPr>
            <w:r w:rsidRPr="00873B6C">
              <w:rPr>
                <w:sz w:val="16"/>
                <w:szCs w:val="16"/>
              </w:rPr>
              <w:t>3840</w:t>
            </w:r>
          </w:p>
        </w:tc>
        <w:tc>
          <w:tcPr>
            <w:tcW w:w="425" w:type="dxa"/>
            <w:shd w:val="solid" w:color="FFFFFF" w:fill="auto"/>
          </w:tcPr>
          <w:p w14:paraId="1B3287E9" w14:textId="5EAB1662"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7C94B794" w14:textId="64868AF6" w:rsidR="00D51D1B" w:rsidRPr="00873B6C" w:rsidRDefault="00D51D1B" w:rsidP="002C4A81">
            <w:pPr>
              <w:pStyle w:val="TAL"/>
              <w:rPr>
                <w:sz w:val="16"/>
                <w:szCs w:val="16"/>
              </w:rPr>
            </w:pPr>
            <w:r w:rsidRPr="00873B6C">
              <w:rPr>
                <w:sz w:val="16"/>
                <w:szCs w:val="16"/>
              </w:rPr>
              <w:t>A</w:t>
            </w:r>
          </w:p>
        </w:tc>
        <w:tc>
          <w:tcPr>
            <w:tcW w:w="4820" w:type="dxa"/>
            <w:shd w:val="solid" w:color="FFFFFF" w:fill="auto"/>
          </w:tcPr>
          <w:p w14:paraId="7053A2F9" w14:textId="188DE5A6" w:rsidR="00D51D1B" w:rsidRPr="00873B6C" w:rsidRDefault="00D51D1B" w:rsidP="002C4A81">
            <w:pPr>
              <w:pStyle w:val="TAL"/>
              <w:rPr>
                <w:sz w:val="16"/>
                <w:szCs w:val="16"/>
              </w:rPr>
            </w:pPr>
            <w:r w:rsidRPr="00873B6C">
              <w:rPr>
                <w:sz w:val="16"/>
                <w:szCs w:val="16"/>
              </w:rPr>
              <w:t>PDU Session Type Selection in the URSP Rule</w:t>
            </w:r>
          </w:p>
        </w:tc>
        <w:tc>
          <w:tcPr>
            <w:tcW w:w="708" w:type="dxa"/>
            <w:shd w:val="solid" w:color="FFFFFF" w:fill="auto"/>
          </w:tcPr>
          <w:p w14:paraId="53A00E30" w14:textId="16AFC276" w:rsidR="00D51D1B" w:rsidRPr="00873B6C" w:rsidRDefault="00D51D1B" w:rsidP="002C4A81">
            <w:pPr>
              <w:pStyle w:val="TAC"/>
              <w:rPr>
                <w:sz w:val="16"/>
                <w:szCs w:val="16"/>
              </w:rPr>
            </w:pPr>
            <w:r w:rsidRPr="00873B6C">
              <w:rPr>
                <w:sz w:val="16"/>
                <w:szCs w:val="16"/>
              </w:rPr>
              <w:t>18.1.0</w:t>
            </w:r>
          </w:p>
        </w:tc>
      </w:tr>
      <w:tr w:rsidR="00D51D1B" w:rsidRPr="00873B6C" w14:paraId="166BBEBC" w14:textId="77777777" w:rsidTr="009D14FB">
        <w:tc>
          <w:tcPr>
            <w:tcW w:w="800" w:type="dxa"/>
            <w:shd w:val="solid" w:color="FFFFFF" w:fill="auto"/>
          </w:tcPr>
          <w:p w14:paraId="7C56628A" w14:textId="3E80F416"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190F3694" w14:textId="7420B5E6"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77AD9BB6" w14:textId="045FCA02" w:rsidR="00D51D1B" w:rsidRPr="00873B6C" w:rsidRDefault="00D51D1B" w:rsidP="002C4A81">
            <w:pPr>
              <w:pStyle w:val="TAC"/>
              <w:rPr>
                <w:sz w:val="16"/>
                <w:szCs w:val="16"/>
              </w:rPr>
            </w:pPr>
            <w:r w:rsidRPr="00873B6C">
              <w:rPr>
                <w:sz w:val="16"/>
                <w:szCs w:val="16"/>
              </w:rPr>
              <w:t>SP-230063</w:t>
            </w:r>
          </w:p>
        </w:tc>
        <w:tc>
          <w:tcPr>
            <w:tcW w:w="567" w:type="dxa"/>
            <w:shd w:val="solid" w:color="FFFFFF" w:fill="auto"/>
          </w:tcPr>
          <w:p w14:paraId="5A3B8E0D" w14:textId="25EF2474" w:rsidR="00D51D1B" w:rsidRPr="00873B6C" w:rsidRDefault="00D51D1B" w:rsidP="002C4A81">
            <w:pPr>
              <w:pStyle w:val="TAL"/>
              <w:rPr>
                <w:sz w:val="16"/>
                <w:szCs w:val="16"/>
              </w:rPr>
            </w:pPr>
            <w:r w:rsidRPr="00873B6C">
              <w:rPr>
                <w:sz w:val="16"/>
                <w:szCs w:val="16"/>
              </w:rPr>
              <w:t>3841</w:t>
            </w:r>
          </w:p>
        </w:tc>
        <w:tc>
          <w:tcPr>
            <w:tcW w:w="425" w:type="dxa"/>
            <w:shd w:val="solid" w:color="FFFFFF" w:fill="auto"/>
          </w:tcPr>
          <w:p w14:paraId="39C56928" w14:textId="62563F32" w:rsidR="00D51D1B" w:rsidRPr="00873B6C" w:rsidRDefault="00D51D1B" w:rsidP="002C4A81">
            <w:pPr>
              <w:pStyle w:val="TAL"/>
              <w:rPr>
                <w:sz w:val="16"/>
                <w:szCs w:val="16"/>
              </w:rPr>
            </w:pPr>
            <w:r w:rsidRPr="00873B6C">
              <w:rPr>
                <w:sz w:val="16"/>
                <w:szCs w:val="16"/>
              </w:rPr>
              <w:t>-</w:t>
            </w:r>
          </w:p>
        </w:tc>
        <w:tc>
          <w:tcPr>
            <w:tcW w:w="425" w:type="dxa"/>
            <w:shd w:val="solid" w:color="FFFFFF" w:fill="auto"/>
          </w:tcPr>
          <w:p w14:paraId="655FF49A" w14:textId="21C33ED4" w:rsidR="00D51D1B" w:rsidRPr="00873B6C" w:rsidRDefault="00D51D1B" w:rsidP="002C4A81">
            <w:pPr>
              <w:pStyle w:val="TAL"/>
              <w:rPr>
                <w:sz w:val="16"/>
                <w:szCs w:val="16"/>
              </w:rPr>
            </w:pPr>
            <w:r w:rsidRPr="00873B6C">
              <w:rPr>
                <w:sz w:val="16"/>
                <w:szCs w:val="16"/>
              </w:rPr>
              <w:t>B</w:t>
            </w:r>
          </w:p>
        </w:tc>
        <w:tc>
          <w:tcPr>
            <w:tcW w:w="4820" w:type="dxa"/>
            <w:shd w:val="solid" w:color="FFFFFF" w:fill="auto"/>
          </w:tcPr>
          <w:p w14:paraId="2D37A651" w14:textId="5A4E0070" w:rsidR="00D51D1B" w:rsidRPr="00873B6C" w:rsidRDefault="00D51D1B" w:rsidP="002C4A81">
            <w:pPr>
              <w:pStyle w:val="TAL"/>
              <w:rPr>
                <w:sz w:val="16"/>
                <w:szCs w:val="16"/>
              </w:rPr>
            </w:pPr>
            <w:r w:rsidRPr="00873B6C">
              <w:rPr>
                <w:sz w:val="16"/>
                <w:szCs w:val="16"/>
              </w:rPr>
              <w:t>Clarification of SNPN access mode</w:t>
            </w:r>
          </w:p>
        </w:tc>
        <w:tc>
          <w:tcPr>
            <w:tcW w:w="708" w:type="dxa"/>
            <w:shd w:val="solid" w:color="FFFFFF" w:fill="auto"/>
          </w:tcPr>
          <w:p w14:paraId="4AF43A41" w14:textId="7D73B614" w:rsidR="00D51D1B" w:rsidRPr="00873B6C" w:rsidRDefault="00D51D1B" w:rsidP="002C4A81">
            <w:pPr>
              <w:pStyle w:val="TAC"/>
              <w:rPr>
                <w:sz w:val="16"/>
                <w:szCs w:val="16"/>
              </w:rPr>
            </w:pPr>
            <w:r w:rsidRPr="00873B6C">
              <w:rPr>
                <w:sz w:val="16"/>
                <w:szCs w:val="16"/>
              </w:rPr>
              <w:t>18.1.0</w:t>
            </w:r>
          </w:p>
        </w:tc>
      </w:tr>
      <w:tr w:rsidR="00D51D1B" w:rsidRPr="00873B6C" w14:paraId="79D41F9C" w14:textId="77777777" w:rsidTr="009D14FB">
        <w:tc>
          <w:tcPr>
            <w:tcW w:w="800" w:type="dxa"/>
            <w:shd w:val="solid" w:color="FFFFFF" w:fill="auto"/>
          </w:tcPr>
          <w:p w14:paraId="56AA8037" w14:textId="59CDA8F8"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66059AAA" w14:textId="41D81154"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000B600D" w14:textId="2196494F" w:rsidR="00D51D1B" w:rsidRPr="00873B6C" w:rsidRDefault="00D51D1B" w:rsidP="002C4A81">
            <w:pPr>
              <w:pStyle w:val="TAC"/>
              <w:rPr>
                <w:sz w:val="16"/>
                <w:szCs w:val="16"/>
              </w:rPr>
            </w:pPr>
            <w:r w:rsidRPr="00873B6C">
              <w:rPr>
                <w:sz w:val="16"/>
                <w:szCs w:val="16"/>
              </w:rPr>
              <w:t>SP-230063</w:t>
            </w:r>
          </w:p>
        </w:tc>
        <w:tc>
          <w:tcPr>
            <w:tcW w:w="567" w:type="dxa"/>
            <w:shd w:val="solid" w:color="FFFFFF" w:fill="auto"/>
          </w:tcPr>
          <w:p w14:paraId="4F70829A" w14:textId="191D9830" w:rsidR="00D51D1B" w:rsidRPr="00873B6C" w:rsidRDefault="00D51D1B" w:rsidP="002C4A81">
            <w:pPr>
              <w:pStyle w:val="TAL"/>
              <w:rPr>
                <w:sz w:val="16"/>
                <w:szCs w:val="16"/>
              </w:rPr>
            </w:pPr>
            <w:r w:rsidRPr="00873B6C">
              <w:rPr>
                <w:sz w:val="16"/>
                <w:szCs w:val="16"/>
              </w:rPr>
              <w:t>3842</w:t>
            </w:r>
          </w:p>
        </w:tc>
        <w:tc>
          <w:tcPr>
            <w:tcW w:w="425" w:type="dxa"/>
            <w:shd w:val="solid" w:color="FFFFFF" w:fill="auto"/>
          </w:tcPr>
          <w:p w14:paraId="2A4F2A69" w14:textId="1F6426A8" w:rsidR="00D51D1B" w:rsidRPr="00873B6C" w:rsidRDefault="00D51D1B" w:rsidP="002C4A81">
            <w:pPr>
              <w:pStyle w:val="TAL"/>
              <w:rPr>
                <w:sz w:val="16"/>
                <w:szCs w:val="16"/>
              </w:rPr>
            </w:pPr>
            <w:r w:rsidRPr="00873B6C">
              <w:rPr>
                <w:sz w:val="16"/>
                <w:szCs w:val="16"/>
              </w:rPr>
              <w:t>3</w:t>
            </w:r>
          </w:p>
        </w:tc>
        <w:tc>
          <w:tcPr>
            <w:tcW w:w="425" w:type="dxa"/>
            <w:shd w:val="solid" w:color="FFFFFF" w:fill="auto"/>
          </w:tcPr>
          <w:p w14:paraId="3A1AC4CD" w14:textId="602BBDDE" w:rsidR="00D51D1B" w:rsidRPr="00873B6C" w:rsidRDefault="00D51D1B" w:rsidP="002C4A81">
            <w:pPr>
              <w:pStyle w:val="TAL"/>
              <w:rPr>
                <w:sz w:val="16"/>
                <w:szCs w:val="16"/>
              </w:rPr>
            </w:pPr>
            <w:r w:rsidRPr="00873B6C">
              <w:rPr>
                <w:sz w:val="16"/>
                <w:szCs w:val="16"/>
              </w:rPr>
              <w:t>B</w:t>
            </w:r>
          </w:p>
        </w:tc>
        <w:tc>
          <w:tcPr>
            <w:tcW w:w="4820" w:type="dxa"/>
            <w:shd w:val="solid" w:color="FFFFFF" w:fill="auto"/>
          </w:tcPr>
          <w:p w14:paraId="2FFCD154" w14:textId="091FC864" w:rsidR="00D51D1B" w:rsidRPr="00873B6C" w:rsidRDefault="00D51D1B" w:rsidP="002C4A81">
            <w:pPr>
              <w:pStyle w:val="TAL"/>
              <w:rPr>
                <w:sz w:val="16"/>
                <w:szCs w:val="16"/>
              </w:rPr>
            </w:pPr>
            <w:r w:rsidRPr="00873B6C">
              <w:rPr>
                <w:sz w:val="16"/>
                <w:szCs w:val="16"/>
              </w:rPr>
              <w:t>Introduction to Localized Services</w:t>
            </w:r>
          </w:p>
        </w:tc>
        <w:tc>
          <w:tcPr>
            <w:tcW w:w="708" w:type="dxa"/>
            <w:shd w:val="solid" w:color="FFFFFF" w:fill="auto"/>
          </w:tcPr>
          <w:p w14:paraId="10F749BA" w14:textId="23575688" w:rsidR="00D51D1B" w:rsidRPr="00873B6C" w:rsidRDefault="00D51D1B" w:rsidP="002C4A81">
            <w:pPr>
              <w:pStyle w:val="TAC"/>
              <w:rPr>
                <w:sz w:val="16"/>
                <w:szCs w:val="16"/>
              </w:rPr>
            </w:pPr>
            <w:r w:rsidRPr="00873B6C">
              <w:rPr>
                <w:sz w:val="16"/>
                <w:szCs w:val="16"/>
              </w:rPr>
              <w:t>18.1.0</w:t>
            </w:r>
          </w:p>
        </w:tc>
      </w:tr>
      <w:tr w:rsidR="007229DB" w:rsidRPr="00873B6C" w14:paraId="42270E91" w14:textId="77777777" w:rsidTr="009D14FB">
        <w:tc>
          <w:tcPr>
            <w:tcW w:w="800" w:type="dxa"/>
            <w:shd w:val="solid" w:color="FFFFFF" w:fill="auto"/>
          </w:tcPr>
          <w:p w14:paraId="7BE61331" w14:textId="6F6699CE" w:rsidR="007229DB" w:rsidRPr="00873B6C" w:rsidRDefault="007229DB" w:rsidP="002C4A81">
            <w:pPr>
              <w:pStyle w:val="TAC"/>
              <w:rPr>
                <w:sz w:val="16"/>
                <w:szCs w:val="16"/>
              </w:rPr>
            </w:pPr>
            <w:r w:rsidRPr="00873B6C">
              <w:rPr>
                <w:sz w:val="16"/>
                <w:szCs w:val="16"/>
              </w:rPr>
              <w:t>2023-03</w:t>
            </w:r>
          </w:p>
        </w:tc>
        <w:tc>
          <w:tcPr>
            <w:tcW w:w="800" w:type="dxa"/>
            <w:shd w:val="solid" w:color="FFFFFF" w:fill="auto"/>
          </w:tcPr>
          <w:p w14:paraId="447B3B55" w14:textId="4E275877" w:rsidR="007229DB" w:rsidRPr="00873B6C" w:rsidRDefault="007229DB" w:rsidP="002C4A81">
            <w:pPr>
              <w:pStyle w:val="TAL"/>
              <w:rPr>
                <w:sz w:val="16"/>
                <w:szCs w:val="16"/>
              </w:rPr>
            </w:pPr>
            <w:r w:rsidRPr="00873B6C">
              <w:rPr>
                <w:sz w:val="16"/>
                <w:szCs w:val="16"/>
              </w:rPr>
              <w:t>SP#99</w:t>
            </w:r>
          </w:p>
        </w:tc>
        <w:tc>
          <w:tcPr>
            <w:tcW w:w="1094" w:type="dxa"/>
            <w:shd w:val="solid" w:color="FFFFFF" w:fill="auto"/>
          </w:tcPr>
          <w:p w14:paraId="46A00186" w14:textId="19FB3085" w:rsidR="007229DB" w:rsidRPr="00873B6C" w:rsidRDefault="007229DB" w:rsidP="002C4A81">
            <w:pPr>
              <w:pStyle w:val="TAC"/>
              <w:rPr>
                <w:sz w:val="16"/>
                <w:szCs w:val="16"/>
              </w:rPr>
            </w:pPr>
            <w:r w:rsidRPr="00873B6C">
              <w:rPr>
                <w:sz w:val="16"/>
                <w:szCs w:val="16"/>
              </w:rPr>
              <w:t>SP-230063</w:t>
            </w:r>
          </w:p>
        </w:tc>
        <w:tc>
          <w:tcPr>
            <w:tcW w:w="567" w:type="dxa"/>
            <w:shd w:val="solid" w:color="FFFFFF" w:fill="auto"/>
          </w:tcPr>
          <w:p w14:paraId="03673CC3" w14:textId="5679A4F8" w:rsidR="007229DB" w:rsidRPr="00873B6C" w:rsidRDefault="007229DB" w:rsidP="002C4A81">
            <w:pPr>
              <w:pStyle w:val="TAL"/>
              <w:rPr>
                <w:sz w:val="16"/>
                <w:szCs w:val="16"/>
              </w:rPr>
            </w:pPr>
            <w:r w:rsidRPr="00873B6C">
              <w:rPr>
                <w:sz w:val="16"/>
                <w:szCs w:val="16"/>
              </w:rPr>
              <w:t>3992</w:t>
            </w:r>
          </w:p>
        </w:tc>
        <w:tc>
          <w:tcPr>
            <w:tcW w:w="425" w:type="dxa"/>
            <w:shd w:val="solid" w:color="FFFFFF" w:fill="auto"/>
          </w:tcPr>
          <w:p w14:paraId="2A92B878" w14:textId="13BAB2D6" w:rsidR="007229DB" w:rsidRPr="00873B6C" w:rsidRDefault="007229DB" w:rsidP="002C4A81">
            <w:pPr>
              <w:pStyle w:val="TAL"/>
              <w:rPr>
                <w:sz w:val="16"/>
                <w:szCs w:val="16"/>
              </w:rPr>
            </w:pPr>
            <w:r w:rsidRPr="00873B6C">
              <w:rPr>
                <w:sz w:val="16"/>
                <w:szCs w:val="16"/>
              </w:rPr>
              <w:t>3</w:t>
            </w:r>
          </w:p>
        </w:tc>
        <w:tc>
          <w:tcPr>
            <w:tcW w:w="425" w:type="dxa"/>
            <w:shd w:val="solid" w:color="FFFFFF" w:fill="auto"/>
          </w:tcPr>
          <w:p w14:paraId="59BB8CD6" w14:textId="7C6B6F11" w:rsidR="007229DB" w:rsidRPr="00873B6C" w:rsidRDefault="007229DB" w:rsidP="002C4A81">
            <w:pPr>
              <w:pStyle w:val="TAL"/>
              <w:rPr>
                <w:sz w:val="16"/>
                <w:szCs w:val="16"/>
              </w:rPr>
            </w:pPr>
            <w:r w:rsidRPr="00873B6C">
              <w:rPr>
                <w:sz w:val="16"/>
                <w:szCs w:val="16"/>
              </w:rPr>
              <w:t>B</w:t>
            </w:r>
          </w:p>
        </w:tc>
        <w:tc>
          <w:tcPr>
            <w:tcW w:w="4820" w:type="dxa"/>
            <w:shd w:val="solid" w:color="FFFFFF" w:fill="auto"/>
          </w:tcPr>
          <w:p w14:paraId="0B16E542" w14:textId="4090C946" w:rsidR="007229DB" w:rsidRPr="00873B6C" w:rsidRDefault="007229DB" w:rsidP="002C4A81">
            <w:pPr>
              <w:pStyle w:val="TAL"/>
              <w:rPr>
                <w:sz w:val="16"/>
                <w:szCs w:val="16"/>
              </w:rPr>
            </w:pPr>
            <w:r w:rsidRPr="00873B6C">
              <w:rPr>
                <w:sz w:val="16"/>
                <w:szCs w:val="16"/>
              </w:rPr>
              <w:t>Enabling Access to Localized Services</w:t>
            </w:r>
          </w:p>
        </w:tc>
        <w:tc>
          <w:tcPr>
            <w:tcW w:w="708" w:type="dxa"/>
            <w:shd w:val="solid" w:color="FFFFFF" w:fill="auto"/>
          </w:tcPr>
          <w:p w14:paraId="0865BD97" w14:textId="0D866411" w:rsidR="007229DB" w:rsidRPr="00873B6C" w:rsidRDefault="007229DB" w:rsidP="002C4A81">
            <w:pPr>
              <w:pStyle w:val="TAC"/>
              <w:rPr>
                <w:sz w:val="16"/>
                <w:szCs w:val="16"/>
              </w:rPr>
            </w:pPr>
            <w:r w:rsidRPr="00873B6C">
              <w:rPr>
                <w:sz w:val="16"/>
                <w:szCs w:val="16"/>
              </w:rPr>
              <w:t>18.1.0</w:t>
            </w:r>
          </w:p>
        </w:tc>
      </w:tr>
      <w:tr w:rsidR="007229DB" w:rsidRPr="00873B6C" w14:paraId="3E2DBEF3" w14:textId="77777777" w:rsidTr="009D14FB">
        <w:tc>
          <w:tcPr>
            <w:tcW w:w="800" w:type="dxa"/>
            <w:shd w:val="solid" w:color="FFFFFF" w:fill="auto"/>
          </w:tcPr>
          <w:p w14:paraId="19A51780" w14:textId="7C0342D8" w:rsidR="007229DB" w:rsidRPr="00873B6C" w:rsidRDefault="007229DB" w:rsidP="002C4A81">
            <w:pPr>
              <w:pStyle w:val="TAC"/>
              <w:rPr>
                <w:sz w:val="16"/>
                <w:szCs w:val="16"/>
              </w:rPr>
            </w:pPr>
            <w:r w:rsidRPr="00873B6C">
              <w:rPr>
                <w:sz w:val="16"/>
                <w:szCs w:val="16"/>
              </w:rPr>
              <w:t>2023-03</w:t>
            </w:r>
          </w:p>
        </w:tc>
        <w:tc>
          <w:tcPr>
            <w:tcW w:w="800" w:type="dxa"/>
            <w:shd w:val="solid" w:color="FFFFFF" w:fill="auto"/>
          </w:tcPr>
          <w:p w14:paraId="6D834417" w14:textId="24285F1E" w:rsidR="007229DB" w:rsidRPr="00873B6C" w:rsidRDefault="007229DB" w:rsidP="002C4A81">
            <w:pPr>
              <w:pStyle w:val="TAL"/>
              <w:rPr>
                <w:sz w:val="16"/>
                <w:szCs w:val="16"/>
              </w:rPr>
            </w:pPr>
            <w:r w:rsidRPr="00873B6C">
              <w:rPr>
                <w:sz w:val="16"/>
                <w:szCs w:val="16"/>
              </w:rPr>
              <w:t>SP#99</w:t>
            </w:r>
          </w:p>
        </w:tc>
        <w:tc>
          <w:tcPr>
            <w:tcW w:w="1094" w:type="dxa"/>
            <w:shd w:val="solid" w:color="FFFFFF" w:fill="auto"/>
          </w:tcPr>
          <w:p w14:paraId="5FD82834" w14:textId="3DB3B0B7" w:rsidR="007229DB" w:rsidRPr="00873B6C" w:rsidRDefault="007229DB" w:rsidP="002C4A81">
            <w:pPr>
              <w:pStyle w:val="TAC"/>
              <w:rPr>
                <w:sz w:val="16"/>
                <w:szCs w:val="16"/>
              </w:rPr>
            </w:pPr>
            <w:r w:rsidRPr="00873B6C">
              <w:rPr>
                <w:sz w:val="16"/>
                <w:szCs w:val="16"/>
              </w:rPr>
              <w:t>SP-230063</w:t>
            </w:r>
          </w:p>
        </w:tc>
        <w:tc>
          <w:tcPr>
            <w:tcW w:w="567" w:type="dxa"/>
            <w:shd w:val="solid" w:color="FFFFFF" w:fill="auto"/>
          </w:tcPr>
          <w:p w14:paraId="028B4ADB" w14:textId="3BD5C51C" w:rsidR="007229DB" w:rsidRPr="00873B6C" w:rsidRDefault="007229DB" w:rsidP="002C4A81">
            <w:pPr>
              <w:pStyle w:val="TAL"/>
              <w:rPr>
                <w:sz w:val="16"/>
                <w:szCs w:val="16"/>
              </w:rPr>
            </w:pPr>
            <w:r w:rsidRPr="00873B6C">
              <w:rPr>
                <w:sz w:val="16"/>
                <w:szCs w:val="16"/>
              </w:rPr>
              <w:t>3843</w:t>
            </w:r>
          </w:p>
        </w:tc>
        <w:tc>
          <w:tcPr>
            <w:tcW w:w="425" w:type="dxa"/>
            <w:shd w:val="solid" w:color="FFFFFF" w:fill="auto"/>
          </w:tcPr>
          <w:p w14:paraId="34C35F9E" w14:textId="12F79A64" w:rsidR="007229DB" w:rsidRPr="00873B6C" w:rsidRDefault="007229DB" w:rsidP="002C4A81">
            <w:pPr>
              <w:pStyle w:val="TAL"/>
              <w:rPr>
                <w:sz w:val="16"/>
                <w:szCs w:val="16"/>
              </w:rPr>
            </w:pPr>
            <w:r w:rsidRPr="00873B6C">
              <w:rPr>
                <w:sz w:val="16"/>
                <w:szCs w:val="16"/>
              </w:rPr>
              <w:t>1</w:t>
            </w:r>
          </w:p>
        </w:tc>
        <w:tc>
          <w:tcPr>
            <w:tcW w:w="425" w:type="dxa"/>
            <w:shd w:val="solid" w:color="FFFFFF" w:fill="auto"/>
          </w:tcPr>
          <w:p w14:paraId="463802BF" w14:textId="3FEAB24A" w:rsidR="007229DB" w:rsidRPr="00873B6C" w:rsidRDefault="007229DB" w:rsidP="002C4A81">
            <w:pPr>
              <w:pStyle w:val="TAL"/>
              <w:rPr>
                <w:sz w:val="16"/>
                <w:szCs w:val="16"/>
              </w:rPr>
            </w:pPr>
            <w:r w:rsidRPr="00873B6C">
              <w:rPr>
                <w:sz w:val="16"/>
                <w:szCs w:val="16"/>
              </w:rPr>
              <w:t>B</w:t>
            </w:r>
          </w:p>
        </w:tc>
        <w:tc>
          <w:tcPr>
            <w:tcW w:w="4820" w:type="dxa"/>
            <w:shd w:val="solid" w:color="FFFFFF" w:fill="auto"/>
          </w:tcPr>
          <w:p w14:paraId="6DCE3BC4" w14:textId="29C6910F" w:rsidR="007229DB" w:rsidRPr="00873B6C" w:rsidRDefault="007229DB" w:rsidP="002C4A81">
            <w:pPr>
              <w:pStyle w:val="TAL"/>
              <w:rPr>
                <w:sz w:val="16"/>
                <w:szCs w:val="16"/>
              </w:rPr>
            </w:pPr>
            <w:r w:rsidRPr="00873B6C">
              <w:rPr>
                <w:sz w:val="16"/>
                <w:szCs w:val="16"/>
              </w:rPr>
              <w:t xml:space="preserve">Support for leaving network that provides access to localized services </w:t>
            </w:r>
          </w:p>
        </w:tc>
        <w:tc>
          <w:tcPr>
            <w:tcW w:w="708" w:type="dxa"/>
            <w:shd w:val="solid" w:color="FFFFFF" w:fill="auto"/>
          </w:tcPr>
          <w:p w14:paraId="1BD7BB00" w14:textId="41B7AD90" w:rsidR="007229DB" w:rsidRPr="00873B6C" w:rsidRDefault="007229DB" w:rsidP="002C4A81">
            <w:pPr>
              <w:pStyle w:val="TAC"/>
              <w:rPr>
                <w:sz w:val="16"/>
                <w:szCs w:val="16"/>
              </w:rPr>
            </w:pPr>
            <w:r w:rsidRPr="00873B6C">
              <w:rPr>
                <w:sz w:val="16"/>
                <w:szCs w:val="16"/>
              </w:rPr>
              <w:t>18.1.0</w:t>
            </w:r>
          </w:p>
        </w:tc>
      </w:tr>
      <w:tr w:rsidR="00E02643" w:rsidRPr="00873B6C" w14:paraId="6B6471DC" w14:textId="77777777" w:rsidTr="009D14FB">
        <w:tc>
          <w:tcPr>
            <w:tcW w:w="800" w:type="dxa"/>
            <w:shd w:val="solid" w:color="FFFFFF" w:fill="auto"/>
          </w:tcPr>
          <w:p w14:paraId="09549947" w14:textId="0770F2C5" w:rsidR="00E02643" w:rsidRPr="00873B6C" w:rsidRDefault="00E02643" w:rsidP="002C4A81">
            <w:pPr>
              <w:pStyle w:val="TAC"/>
              <w:rPr>
                <w:sz w:val="16"/>
                <w:szCs w:val="16"/>
              </w:rPr>
            </w:pPr>
            <w:r w:rsidRPr="00873B6C">
              <w:rPr>
                <w:sz w:val="16"/>
                <w:szCs w:val="16"/>
              </w:rPr>
              <w:t>2023-03</w:t>
            </w:r>
          </w:p>
        </w:tc>
        <w:tc>
          <w:tcPr>
            <w:tcW w:w="800" w:type="dxa"/>
            <w:shd w:val="solid" w:color="FFFFFF" w:fill="auto"/>
          </w:tcPr>
          <w:p w14:paraId="0D88E216" w14:textId="131E2E22" w:rsidR="00E02643" w:rsidRPr="00873B6C" w:rsidRDefault="00E02643" w:rsidP="002C4A81">
            <w:pPr>
              <w:pStyle w:val="TAL"/>
              <w:rPr>
                <w:sz w:val="16"/>
                <w:szCs w:val="16"/>
              </w:rPr>
            </w:pPr>
            <w:r w:rsidRPr="00873B6C">
              <w:rPr>
                <w:sz w:val="16"/>
                <w:szCs w:val="16"/>
              </w:rPr>
              <w:t>SP#99</w:t>
            </w:r>
          </w:p>
        </w:tc>
        <w:tc>
          <w:tcPr>
            <w:tcW w:w="1094" w:type="dxa"/>
            <w:shd w:val="solid" w:color="FFFFFF" w:fill="auto"/>
          </w:tcPr>
          <w:p w14:paraId="57560D52" w14:textId="0716135A" w:rsidR="00E02643" w:rsidRPr="00873B6C" w:rsidRDefault="00E02643" w:rsidP="002C4A81">
            <w:pPr>
              <w:pStyle w:val="TAC"/>
              <w:rPr>
                <w:sz w:val="16"/>
                <w:szCs w:val="16"/>
              </w:rPr>
            </w:pPr>
            <w:r w:rsidRPr="00873B6C">
              <w:rPr>
                <w:sz w:val="16"/>
                <w:szCs w:val="16"/>
              </w:rPr>
              <w:t>SP-230057</w:t>
            </w:r>
          </w:p>
        </w:tc>
        <w:tc>
          <w:tcPr>
            <w:tcW w:w="567" w:type="dxa"/>
            <w:shd w:val="solid" w:color="FFFFFF" w:fill="auto"/>
          </w:tcPr>
          <w:p w14:paraId="1B49DB3F" w14:textId="07DC9B88" w:rsidR="00E02643" w:rsidRPr="00873B6C" w:rsidRDefault="00E02643" w:rsidP="002C4A81">
            <w:pPr>
              <w:pStyle w:val="TAL"/>
              <w:rPr>
                <w:sz w:val="16"/>
                <w:szCs w:val="16"/>
              </w:rPr>
            </w:pPr>
            <w:r w:rsidRPr="00873B6C">
              <w:rPr>
                <w:sz w:val="16"/>
                <w:szCs w:val="16"/>
              </w:rPr>
              <w:t>3844</w:t>
            </w:r>
          </w:p>
        </w:tc>
        <w:tc>
          <w:tcPr>
            <w:tcW w:w="425" w:type="dxa"/>
            <w:shd w:val="solid" w:color="FFFFFF" w:fill="auto"/>
          </w:tcPr>
          <w:p w14:paraId="7B6CB096" w14:textId="35476754" w:rsidR="00E02643" w:rsidRPr="00873B6C" w:rsidRDefault="00E02643" w:rsidP="002C4A81">
            <w:pPr>
              <w:pStyle w:val="TAL"/>
              <w:rPr>
                <w:sz w:val="16"/>
                <w:szCs w:val="16"/>
              </w:rPr>
            </w:pPr>
            <w:r w:rsidRPr="00873B6C">
              <w:rPr>
                <w:sz w:val="16"/>
                <w:szCs w:val="16"/>
              </w:rPr>
              <w:t>9</w:t>
            </w:r>
          </w:p>
        </w:tc>
        <w:tc>
          <w:tcPr>
            <w:tcW w:w="425" w:type="dxa"/>
            <w:shd w:val="solid" w:color="FFFFFF" w:fill="auto"/>
          </w:tcPr>
          <w:p w14:paraId="13BF6D3F" w14:textId="0F53E0D4" w:rsidR="00E02643" w:rsidRPr="00873B6C" w:rsidRDefault="00E02643" w:rsidP="002C4A81">
            <w:pPr>
              <w:pStyle w:val="TAL"/>
              <w:rPr>
                <w:sz w:val="16"/>
                <w:szCs w:val="16"/>
              </w:rPr>
            </w:pPr>
            <w:r w:rsidRPr="00873B6C">
              <w:rPr>
                <w:sz w:val="16"/>
                <w:szCs w:val="16"/>
              </w:rPr>
              <w:t>B</w:t>
            </w:r>
          </w:p>
        </w:tc>
        <w:tc>
          <w:tcPr>
            <w:tcW w:w="4820" w:type="dxa"/>
            <w:shd w:val="solid" w:color="FFFFFF" w:fill="auto"/>
          </w:tcPr>
          <w:p w14:paraId="31CEBC04" w14:textId="1FE4DA4B" w:rsidR="00E02643" w:rsidRPr="00873B6C" w:rsidRDefault="00E02643" w:rsidP="002C4A81">
            <w:pPr>
              <w:pStyle w:val="TAL"/>
              <w:rPr>
                <w:sz w:val="16"/>
                <w:szCs w:val="16"/>
              </w:rPr>
            </w:pPr>
            <w:r w:rsidRPr="00873B6C">
              <w:rPr>
                <w:sz w:val="16"/>
                <w:szCs w:val="16"/>
              </w:rPr>
              <w:t>Support of integration with IETF Deterministic Networking</w:t>
            </w:r>
          </w:p>
        </w:tc>
        <w:tc>
          <w:tcPr>
            <w:tcW w:w="708" w:type="dxa"/>
            <w:shd w:val="solid" w:color="FFFFFF" w:fill="auto"/>
          </w:tcPr>
          <w:p w14:paraId="630FACC8" w14:textId="29972858" w:rsidR="00E02643" w:rsidRPr="00873B6C" w:rsidRDefault="00E02643" w:rsidP="002C4A81">
            <w:pPr>
              <w:pStyle w:val="TAC"/>
              <w:rPr>
                <w:sz w:val="16"/>
                <w:szCs w:val="16"/>
              </w:rPr>
            </w:pPr>
            <w:r w:rsidRPr="00873B6C">
              <w:rPr>
                <w:sz w:val="16"/>
                <w:szCs w:val="16"/>
              </w:rPr>
              <w:t>18.1.0</w:t>
            </w:r>
          </w:p>
        </w:tc>
      </w:tr>
      <w:tr w:rsidR="0030234B" w:rsidRPr="00873B6C" w14:paraId="3E9BA843" w14:textId="77777777" w:rsidTr="009D14FB">
        <w:tc>
          <w:tcPr>
            <w:tcW w:w="800" w:type="dxa"/>
            <w:shd w:val="solid" w:color="FFFFFF" w:fill="auto"/>
          </w:tcPr>
          <w:p w14:paraId="66475F82" w14:textId="7492F312" w:rsidR="0030234B" w:rsidRPr="00873B6C" w:rsidRDefault="0030234B" w:rsidP="002C4A81">
            <w:pPr>
              <w:pStyle w:val="TAC"/>
              <w:rPr>
                <w:sz w:val="16"/>
                <w:szCs w:val="16"/>
              </w:rPr>
            </w:pPr>
            <w:r w:rsidRPr="00873B6C">
              <w:rPr>
                <w:sz w:val="16"/>
                <w:szCs w:val="16"/>
              </w:rPr>
              <w:t>2023-03</w:t>
            </w:r>
          </w:p>
        </w:tc>
        <w:tc>
          <w:tcPr>
            <w:tcW w:w="800" w:type="dxa"/>
            <w:shd w:val="solid" w:color="FFFFFF" w:fill="auto"/>
          </w:tcPr>
          <w:p w14:paraId="5B27D990" w14:textId="4483E67C" w:rsidR="0030234B" w:rsidRPr="00873B6C" w:rsidRDefault="0030234B" w:rsidP="002C4A81">
            <w:pPr>
              <w:pStyle w:val="TAL"/>
              <w:rPr>
                <w:sz w:val="16"/>
                <w:szCs w:val="16"/>
              </w:rPr>
            </w:pPr>
            <w:r w:rsidRPr="00873B6C">
              <w:rPr>
                <w:sz w:val="16"/>
                <w:szCs w:val="16"/>
              </w:rPr>
              <w:t>SP#99</w:t>
            </w:r>
          </w:p>
        </w:tc>
        <w:tc>
          <w:tcPr>
            <w:tcW w:w="1094" w:type="dxa"/>
            <w:shd w:val="solid" w:color="FFFFFF" w:fill="auto"/>
          </w:tcPr>
          <w:p w14:paraId="22D25343" w14:textId="09CB31BE" w:rsidR="0030234B" w:rsidRPr="00873B6C" w:rsidRDefault="0030234B" w:rsidP="002C4A81">
            <w:pPr>
              <w:pStyle w:val="TAC"/>
              <w:rPr>
                <w:sz w:val="16"/>
                <w:szCs w:val="16"/>
              </w:rPr>
            </w:pPr>
            <w:r w:rsidRPr="00873B6C">
              <w:rPr>
                <w:sz w:val="16"/>
                <w:szCs w:val="16"/>
              </w:rPr>
              <w:t>SP-230044</w:t>
            </w:r>
          </w:p>
        </w:tc>
        <w:tc>
          <w:tcPr>
            <w:tcW w:w="567" w:type="dxa"/>
            <w:shd w:val="solid" w:color="FFFFFF" w:fill="auto"/>
          </w:tcPr>
          <w:p w14:paraId="79D10508" w14:textId="132E0116" w:rsidR="0030234B" w:rsidRPr="00873B6C" w:rsidRDefault="0030234B" w:rsidP="002C4A81">
            <w:pPr>
              <w:pStyle w:val="TAL"/>
              <w:rPr>
                <w:sz w:val="16"/>
                <w:szCs w:val="16"/>
              </w:rPr>
            </w:pPr>
            <w:r w:rsidRPr="00873B6C">
              <w:rPr>
                <w:sz w:val="16"/>
                <w:szCs w:val="16"/>
              </w:rPr>
              <w:t>3848</w:t>
            </w:r>
          </w:p>
        </w:tc>
        <w:tc>
          <w:tcPr>
            <w:tcW w:w="425" w:type="dxa"/>
            <w:shd w:val="solid" w:color="FFFFFF" w:fill="auto"/>
          </w:tcPr>
          <w:p w14:paraId="62BAFFFC" w14:textId="66EC5AE4" w:rsidR="0030234B" w:rsidRPr="00873B6C" w:rsidRDefault="0030234B" w:rsidP="002C4A81">
            <w:pPr>
              <w:pStyle w:val="TAL"/>
              <w:rPr>
                <w:sz w:val="16"/>
                <w:szCs w:val="16"/>
              </w:rPr>
            </w:pPr>
            <w:r w:rsidRPr="00873B6C">
              <w:rPr>
                <w:sz w:val="16"/>
                <w:szCs w:val="16"/>
              </w:rPr>
              <w:t>-</w:t>
            </w:r>
          </w:p>
        </w:tc>
        <w:tc>
          <w:tcPr>
            <w:tcW w:w="425" w:type="dxa"/>
            <w:shd w:val="solid" w:color="FFFFFF" w:fill="auto"/>
          </w:tcPr>
          <w:p w14:paraId="3AFB5EF5" w14:textId="1467DBFC" w:rsidR="0030234B" w:rsidRPr="00873B6C" w:rsidRDefault="0030234B" w:rsidP="002C4A81">
            <w:pPr>
              <w:pStyle w:val="TAL"/>
              <w:rPr>
                <w:sz w:val="16"/>
                <w:szCs w:val="16"/>
              </w:rPr>
            </w:pPr>
            <w:r w:rsidRPr="00873B6C">
              <w:rPr>
                <w:sz w:val="16"/>
                <w:szCs w:val="16"/>
              </w:rPr>
              <w:t>A</w:t>
            </w:r>
          </w:p>
        </w:tc>
        <w:tc>
          <w:tcPr>
            <w:tcW w:w="4820" w:type="dxa"/>
            <w:shd w:val="solid" w:color="FFFFFF" w:fill="auto"/>
          </w:tcPr>
          <w:p w14:paraId="5876B2DF" w14:textId="6F6F0F63" w:rsidR="0030234B" w:rsidRPr="00873B6C" w:rsidRDefault="0030234B" w:rsidP="002C4A81">
            <w:pPr>
              <w:pStyle w:val="TAL"/>
              <w:rPr>
                <w:sz w:val="16"/>
                <w:szCs w:val="16"/>
              </w:rPr>
            </w:pPr>
            <w:r w:rsidRPr="00873B6C">
              <w:rPr>
                <w:sz w:val="16"/>
                <w:szCs w:val="16"/>
              </w:rPr>
              <w:t>Emergency configuration data update</w:t>
            </w:r>
          </w:p>
        </w:tc>
        <w:tc>
          <w:tcPr>
            <w:tcW w:w="708" w:type="dxa"/>
            <w:shd w:val="solid" w:color="FFFFFF" w:fill="auto"/>
          </w:tcPr>
          <w:p w14:paraId="5CB8F4FE" w14:textId="12AE35B0" w:rsidR="0030234B" w:rsidRPr="00873B6C" w:rsidRDefault="0030234B" w:rsidP="002C4A81">
            <w:pPr>
              <w:pStyle w:val="TAC"/>
              <w:rPr>
                <w:sz w:val="16"/>
                <w:szCs w:val="16"/>
              </w:rPr>
            </w:pPr>
            <w:r w:rsidRPr="00873B6C">
              <w:rPr>
                <w:sz w:val="16"/>
                <w:szCs w:val="16"/>
              </w:rPr>
              <w:t>18.1.0</w:t>
            </w:r>
          </w:p>
        </w:tc>
      </w:tr>
      <w:tr w:rsidR="0030234B" w:rsidRPr="00873B6C" w14:paraId="2C86079A" w14:textId="77777777" w:rsidTr="009D14FB">
        <w:tc>
          <w:tcPr>
            <w:tcW w:w="800" w:type="dxa"/>
            <w:shd w:val="solid" w:color="FFFFFF" w:fill="auto"/>
          </w:tcPr>
          <w:p w14:paraId="6977DFAB" w14:textId="2CDE5B44" w:rsidR="0030234B" w:rsidRPr="00873B6C" w:rsidRDefault="0030234B" w:rsidP="002C4A81">
            <w:pPr>
              <w:pStyle w:val="TAC"/>
              <w:rPr>
                <w:sz w:val="16"/>
                <w:szCs w:val="16"/>
              </w:rPr>
            </w:pPr>
            <w:r w:rsidRPr="00873B6C">
              <w:rPr>
                <w:sz w:val="16"/>
                <w:szCs w:val="16"/>
              </w:rPr>
              <w:t>2023-03</w:t>
            </w:r>
          </w:p>
        </w:tc>
        <w:tc>
          <w:tcPr>
            <w:tcW w:w="800" w:type="dxa"/>
            <w:shd w:val="solid" w:color="FFFFFF" w:fill="auto"/>
          </w:tcPr>
          <w:p w14:paraId="36CCA1FA" w14:textId="695FFBA5" w:rsidR="0030234B" w:rsidRPr="00873B6C" w:rsidRDefault="0030234B" w:rsidP="002C4A81">
            <w:pPr>
              <w:pStyle w:val="TAL"/>
              <w:rPr>
                <w:sz w:val="16"/>
                <w:szCs w:val="16"/>
              </w:rPr>
            </w:pPr>
            <w:r w:rsidRPr="00873B6C">
              <w:rPr>
                <w:sz w:val="16"/>
                <w:szCs w:val="16"/>
              </w:rPr>
              <w:t>SP#99</w:t>
            </w:r>
          </w:p>
        </w:tc>
        <w:tc>
          <w:tcPr>
            <w:tcW w:w="1094" w:type="dxa"/>
            <w:shd w:val="solid" w:color="FFFFFF" w:fill="auto"/>
          </w:tcPr>
          <w:p w14:paraId="636EBB26" w14:textId="0E18A9DD" w:rsidR="0030234B" w:rsidRPr="00873B6C" w:rsidRDefault="0030234B" w:rsidP="002C4A81">
            <w:pPr>
              <w:pStyle w:val="TAC"/>
              <w:rPr>
                <w:sz w:val="16"/>
                <w:szCs w:val="16"/>
              </w:rPr>
            </w:pPr>
            <w:r w:rsidRPr="00873B6C">
              <w:rPr>
                <w:sz w:val="16"/>
                <w:szCs w:val="16"/>
              </w:rPr>
              <w:t>SP-230078</w:t>
            </w:r>
          </w:p>
        </w:tc>
        <w:tc>
          <w:tcPr>
            <w:tcW w:w="567" w:type="dxa"/>
            <w:shd w:val="solid" w:color="FFFFFF" w:fill="auto"/>
          </w:tcPr>
          <w:p w14:paraId="2A0E9E03" w14:textId="2245CEC5" w:rsidR="0030234B" w:rsidRPr="00873B6C" w:rsidRDefault="0030234B" w:rsidP="002C4A81">
            <w:pPr>
              <w:pStyle w:val="TAL"/>
              <w:rPr>
                <w:sz w:val="16"/>
                <w:szCs w:val="16"/>
              </w:rPr>
            </w:pPr>
            <w:r w:rsidRPr="00873B6C">
              <w:rPr>
                <w:sz w:val="16"/>
                <w:szCs w:val="16"/>
              </w:rPr>
              <w:t>3850</w:t>
            </w:r>
          </w:p>
        </w:tc>
        <w:tc>
          <w:tcPr>
            <w:tcW w:w="425" w:type="dxa"/>
            <w:shd w:val="solid" w:color="FFFFFF" w:fill="auto"/>
          </w:tcPr>
          <w:p w14:paraId="0DD0A093" w14:textId="6B1A2FA2" w:rsidR="0030234B" w:rsidRPr="00873B6C" w:rsidRDefault="0030234B" w:rsidP="002C4A81">
            <w:pPr>
              <w:pStyle w:val="TAL"/>
              <w:rPr>
                <w:sz w:val="16"/>
                <w:szCs w:val="16"/>
              </w:rPr>
            </w:pPr>
            <w:r w:rsidRPr="00873B6C">
              <w:rPr>
                <w:sz w:val="16"/>
                <w:szCs w:val="16"/>
              </w:rPr>
              <w:t>-</w:t>
            </w:r>
          </w:p>
        </w:tc>
        <w:tc>
          <w:tcPr>
            <w:tcW w:w="425" w:type="dxa"/>
            <w:shd w:val="solid" w:color="FFFFFF" w:fill="auto"/>
          </w:tcPr>
          <w:p w14:paraId="17ACE5D2" w14:textId="66A25269" w:rsidR="0030234B" w:rsidRPr="00873B6C" w:rsidRDefault="0030234B" w:rsidP="002C4A81">
            <w:pPr>
              <w:pStyle w:val="TAL"/>
              <w:rPr>
                <w:sz w:val="16"/>
                <w:szCs w:val="16"/>
              </w:rPr>
            </w:pPr>
            <w:r w:rsidRPr="00873B6C">
              <w:rPr>
                <w:sz w:val="16"/>
                <w:szCs w:val="16"/>
              </w:rPr>
              <w:t>F</w:t>
            </w:r>
          </w:p>
        </w:tc>
        <w:tc>
          <w:tcPr>
            <w:tcW w:w="4820" w:type="dxa"/>
            <w:shd w:val="solid" w:color="FFFFFF" w:fill="auto"/>
          </w:tcPr>
          <w:p w14:paraId="5EF96887" w14:textId="7C406A05" w:rsidR="0030234B" w:rsidRPr="00873B6C" w:rsidRDefault="0030234B" w:rsidP="002C4A81">
            <w:pPr>
              <w:pStyle w:val="TAL"/>
              <w:rPr>
                <w:sz w:val="16"/>
                <w:szCs w:val="16"/>
              </w:rPr>
            </w:pPr>
            <w:r w:rsidRPr="00873B6C">
              <w:rPr>
                <w:sz w:val="16"/>
                <w:szCs w:val="16"/>
              </w:rPr>
              <w:t>Update for the support of mobile IAB</w:t>
            </w:r>
          </w:p>
        </w:tc>
        <w:tc>
          <w:tcPr>
            <w:tcW w:w="708" w:type="dxa"/>
            <w:shd w:val="solid" w:color="FFFFFF" w:fill="auto"/>
          </w:tcPr>
          <w:p w14:paraId="212BE893" w14:textId="4E3046E3" w:rsidR="0030234B" w:rsidRPr="00873B6C" w:rsidRDefault="0030234B" w:rsidP="002C4A81">
            <w:pPr>
              <w:pStyle w:val="TAC"/>
              <w:rPr>
                <w:sz w:val="16"/>
                <w:szCs w:val="16"/>
              </w:rPr>
            </w:pPr>
            <w:r w:rsidRPr="00873B6C">
              <w:rPr>
                <w:sz w:val="16"/>
                <w:szCs w:val="16"/>
              </w:rPr>
              <w:t>18.1.0</w:t>
            </w:r>
          </w:p>
        </w:tc>
      </w:tr>
      <w:tr w:rsidR="0030234B" w:rsidRPr="00873B6C" w14:paraId="60F66042" w14:textId="77777777" w:rsidTr="009D14FB">
        <w:tc>
          <w:tcPr>
            <w:tcW w:w="800" w:type="dxa"/>
            <w:shd w:val="solid" w:color="FFFFFF" w:fill="auto"/>
          </w:tcPr>
          <w:p w14:paraId="4D3C7B3B" w14:textId="66D7ADC6" w:rsidR="0030234B" w:rsidRPr="00873B6C" w:rsidRDefault="0030234B" w:rsidP="002C4A81">
            <w:pPr>
              <w:pStyle w:val="TAC"/>
              <w:rPr>
                <w:sz w:val="16"/>
                <w:szCs w:val="16"/>
              </w:rPr>
            </w:pPr>
            <w:r w:rsidRPr="00873B6C">
              <w:rPr>
                <w:sz w:val="16"/>
                <w:szCs w:val="16"/>
              </w:rPr>
              <w:t>2023-03</w:t>
            </w:r>
          </w:p>
        </w:tc>
        <w:tc>
          <w:tcPr>
            <w:tcW w:w="800" w:type="dxa"/>
            <w:shd w:val="solid" w:color="FFFFFF" w:fill="auto"/>
          </w:tcPr>
          <w:p w14:paraId="24506286" w14:textId="7B32710C" w:rsidR="0030234B" w:rsidRPr="00873B6C" w:rsidRDefault="0030234B" w:rsidP="002C4A81">
            <w:pPr>
              <w:pStyle w:val="TAL"/>
              <w:rPr>
                <w:sz w:val="16"/>
                <w:szCs w:val="16"/>
              </w:rPr>
            </w:pPr>
            <w:r w:rsidRPr="00873B6C">
              <w:rPr>
                <w:sz w:val="16"/>
                <w:szCs w:val="16"/>
              </w:rPr>
              <w:t>SP#99</w:t>
            </w:r>
          </w:p>
        </w:tc>
        <w:tc>
          <w:tcPr>
            <w:tcW w:w="1094" w:type="dxa"/>
            <w:shd w:val="solid" w:color="FFFFFF" w:fill="auto"/>
          </w:tcPr>
          <w:p w14:paraId="3AE0823A" w14:textId="611AD21A" w:rsidR="0030234B" w:rsidRPr="00873B6C" w:rsidRDefault="0030234B" w:rsidP="002C4A81">
            <w:pPr>
              <w:pStyle w:val="TAC"/>
              <w:rPr>
                <w:sz w:val="16"/>
                <w:szCs w:val="16"/>
              </w:rPr>
            </w:pPr>
            <w:r w:rsidRPr="00873B6C">
              <w:rPr>
                <w:sz w:val="16"/>
                <w:szCs w:val="16"/>
              </w:rPr>
              <w:t>SP-230073</w:t>
            </w:r>
          </w:p>
        </w:tc>
        <w:tc>
          <w:tcPr>
            <w:tcW w:w="567" w:type="dxa"/>
            <w:shd w:val="solid" w:color="FFFFFF" w:fill="auto"/>
          </w:tcPr>
          <w:p w14:paraId="51F0B2DA" w14:textId="5927DDAE" w:rsidR="0030234B" w:rsidRPr="00873B6C" w:rsidRDefault="0030234B" w:rsidP="002C4A81">
            <w:pPr>
              <w:pStyle w:val="TAL"/>
              <w:rPr>
                <w:sz w:val="16"/>
                <w:szCs w:val="16"/>
              </w:rPr>
            </w:pPr>
            <w:r w:rsidRPr="00873B6C">
              <w:rPr>
                <w:sz w:val="16"/>
                <w:szCs w:val="16"/>
              </w:rPr>
              <w:t>3854</w:t>
            </w:r>
          </w:p>
        </w:tc>
        <w:tc>
          <w:tcPr>
            <w:tcW w:w="425" w:type="dxa"/>
            <w:shd w:val="solid" w:color="FFFFFF" w:fill="auto"/>
          </w:tcPr>
          <w:p w14:paraId="1A0A2F7D" w14:textId="69705405" w:rsidR="0030234B" w:rsidRPr="00873B6C" w:rsidRDefault="0030234B" w:rsidP="002C4A81">
            <w:pPr>
              <w:pStyle w:val="TAL"/>
              <w:rPr>
                <w:sz w:val="16"/>
                <w:szCs w:val="16"/>
              </w:rPr>
            </w:pPr>
            <w:r w:rsidRPr="00873B6C">
              <w:rPr>
                <w:sz w:val="16"/>
                <w:szCs w:val="16"/>
              </w:rPr>
              <w:t>4</w:t>
            </w:r>
          </w:p>
        </w:tc>
        <w:tc>
          <w:tcPr>
            <w:tcW w:w="425" w:type="dxa"/>
            <w:shd w:val="solid" w:color="FFFFFF" w:fill="auto"/>
          </w:tcPr>
          <w:p w14:paraId="13CC7D2B" w14:textId="15542EAB" w:rsidR="0030234B" w:rsidRPr="00873B6C" w:rsidRDefault="0030234B" w:rsidP="002C4A81">
            <w:pPr>
              <w:pStyle w:val="TAL"/>
              <w:rPr>
                <w:sz w:val="16"/>
                <w:szCs w:val="16"/>
              </w:rPr>
            </w:pPr>
            <w:r w:rsidRPr="00873B6C">
              <w:rPr>
                <w:sz w:val="16"/>
                <w:szCs w:val="16"/>
              </w:rPr>
              <w:t>B</w:t>
            </w:r>
          </w:p>
        </w:tc>
        <w:tc>
          <w:tcPr>
            <w:tcW w:w="4820" w:type="dxa"/>
            <w:shd w:val="solid" w:color="FFFFFF" w:fill="auto"/>
          </w:tcPr>
          <w:p w14:paraId="26EA9B49" w14:textId="598F0A58" w:rsidR="0030234B" w:rsidRPr="00873B6C" w:rsidRDefault="0030234B" w:rsidP="002C4A81">
            <w:pPr>
              <w:pStyle w:val="TAL"/>
              <w:rPr>
                <w:sz w:val="16"/>
                <w:szCs w:val="16"/>
              </w:rPr>
            </w:pPr>
            <w:r w:rsidRPr="00873B6C">
              <w:rPr>
                <w:sz w:val="16"/>
                <w:szCs w:val="16"/>
              </w:rPr>
              <w:t>PIN support in 5GC</w:t>
            </w:r>
          </w:p>
        </w:tc>
        <w:tc>
          <w:tcPr>
            <w:tcW w:w="708" w:type="dxa"/>
            <w:shd w:val="solid" w:color="FFFFFF" w:fill="auto"/>
          </w:tcPr>
          <w:p w14:paraId="11540FFF" w14:textId="5F8CC2F6" w:rsidR="0030234B" w:rsidRPr="00873B6C" w:rsidRDefault="0030234B" w:rsidP="002C4A81">
            <w:pPr>
              <w:pStyle w:val="TAC"/>
              <w:rPr>
                <w:sz w:val="16"/>
                <w:szCs w:val="16"/>
              </w:rPr>
            </w:pPr>
            <w:r w:rsidRPr="00873B6C">
              <w:rPr>
                <w:sz w:val="16"/>
                <w:szCs w:val="16"/>
              </w:rPr>
              <w:t>18.1.0</w:t>
            </w:r>
          </w:p>
        </w:tc>
      </w:tr>
      <w:tr w:rsidR="0030234B" w:rsidRPr="00873B6C" w14:paraId="28F323B7" w14:textId="77777777" w:rsidTr="009D14FB">
        <w:tc>
          <w:tcPr>
            <w:tcW w:w="800" w:type="dxa"/>
            <w:shd w:val="solid" w:color="FFFFFF" w:fill="auto"/>
          </w:tcPr>
          <w:p w14:paraId="2C4B4F7A" w14:textId="12ADE6D8" w:rsidR="0030234B" w:rsidRPr="00873B6C" w:rsidRDefault="0030234B" w:rsidP="002C4A81">
            <w:pPr>
              <w:pStyle w:val="TAC"/>
              <w:rPr>
                <w:sz w:val="16"/>
                <w:szCs w:val="16"/>
              </w:rPr>
            </w:pPr>
            <w:r w:rsidRPr="00873B6C">
              <w:rPr>
                <w:sz w:val="16"/>
                <w:szCs w:val="16"/>
              </w:rPr>
              <w:t>2023-03</w:t>
            </w:r>
          </w:p>
        </w:tc>
        <w:tc>
          <w:tcPr>
            <w:tcW w:w="800" w:type="dxa"/>
            <w:shd w:val="solid" w:color="FFFFFF" w:fill="auto"/>
          </w:tcPr>
          <w:p w14:paraId="6034C965" w14:textId="347DAB42" w:rsidR="0030234B" w:rsidRPr="00873B6C" w:rsidRDefault="0030234B" w:rsidP="002C4A81">
            <w:pPr>
              <w:pStyle w:val="TAL"/>
              <w:rPr>
                <w:sz w:val="16"/>
                <w:szCs w:val="16"/>
              </w:rPr>
            </w:pPr>
            <w:r w:rsidRPr="00873B6C">
              <w:rPr>
                <w:sz w:val="16"/>
                <w:szCs w:val="16"/>
              </w:rPr>
              <w:t>SP#99</w:t>
            </w:r>
          </w:p>
        </w:tc>
        <w:tc>
          <w:tcPr>
            <w:tcW w:w="1094" w:type="dxa"/>
            <w:shd w:val="solid" w:color="FFFFFF" w:fill="auto"/>
          </w:tcPr>
          <w:p w14:paraId="641F0BDE" w14:textId="06829FE1" w:rsidR="0030234B" w:rsidRPr="00873B6C" w:rsidRDefault="00D409DD" w:rsidP="002C4A81">
            <w:pPr>
              <w:pStyle w:val="TAC"/>
              <w:rPr>
                <w:sz w:val="16"/>
                <w:szCs w:val="16"/>
              </w:rPr>
            </w:pPr>
            <w:r w:rsidRPr="00873B6C">
              <w:rPr>
                <w:sz w:val="16"/>
                <w:szCs w:val="16"/>
              </w:rPr>
              <w:t>SP-230247</w:t>
            </w:r>
          </w:p>
        </w:tc>
        <w:tc>
          <w:tcPr>
            <w:tcW w:w="567" w:type="dxa"/>
            <w:shd w:val="solid" w:color="FFFFFF" w:fill="auto"/>
          </w:tcPr>
          <w:p w14:paraId="16173E3C" w14:textId="541FE50F" w:rsidR="0030234B" w:rsidRPr="00873B6C" w:rsidRDefault="0030234B" w:rsidP="002C4A81">
            <w:pPr>
              <w:pStyle w:val="TAL"/>
              <w:rPr>
                <w:sz w:val="16"/>
                <w:szCs w:val="16"/>
              </w:rPr>
            </w:pPr>
            <w:r w:rsidRPr="00873B6C">
              <w:rPr>
                <w:sz w:val="16"/>
                <w:szCs w:val="16"/>
              </w:rPr>
              <w:t>3855</w:t>
            </w:r>
          </w:p>
        </w:tc>
        <w:tc>
          <w:tcPr>
            <w:tcW w:w="425" w:type="dxa"/>
            <w:shd w:val="solid" w:color="FFFFFF" w:fill="auto"/>
          </w:tcPr>
          <w:p w14:paraId="14BB3D92" w14:textId="66A3415F" w:rsidR="0030234B" w:rsidRPr="00873B6C" w:rsidRDefault="0030234B" w:rsidP="002C4A81">
            <w:pPr>
              <w:pStyle w:val="TAL"/>
              <w:rPr>
                <w:sz w:val="16"/>
                <w:szCs w:val="16"/>
              </w:rPr>
            </w:pPr>
            <w:r w:rsidRPr="00873B6C">
              <w:rPr>
                <w:sz w:val="16"/>
                <w:szCs w:val="16"/>
              </w:rPr>
              <w:t>11</w:t>
            </w:r>
          </w:p>
        </w:tc>
        <w:tc>
          <w:tcPr>
            <w:tcW w:w="425" w:type="dxa"/>
            <w:shd w:val="solid" w:color="FFFFFF" w:fill="auto"/>
          </w:tcPr>
          <w:p w14:paraId="6E35BF3C" w14:textId="200FB9F2" w:rsidR="0030234B" w:rsidRPr="00873B6C" w:rsidRDefault="0030234B" w:rsidP="002C4A81">
            <w:pPr>
              <w:pStyle w:val="TAL"/>
              <w:rPr>
                <w:sz w:val="16"/>
                <w:szCs w:val="16"/>
              </w:rPr>
            </w:pPr>
            <w:r w:rsidRPr="00873B6C">
              <w:rPr>
                <w:sz w:val="16"/>
                <w:szCs w:val="16"/>
              </w:rPr>
              <w:t>B</w:t>
            </w:r>
          </w:p>
        </w:tc>
        <w:tc>
          <w:tcPr>
            <w:tcW w:w="4820" w:type="dxa"/>
            <w:shd w:val="solid" w:color="FFFFFF" w:fill="auto"/>
          </w:tcPr>
          <w:p w14:paraId="1EF65FA7" w14:textId="165D49FD" w:rsidR="0030234B" w:rsidRPr="00873B6C" w:rsidRDefault="0030234B" w:rsidP="002C4A81">
            <w:pPr>
              <w:pStyle w:val="TAL"/>
              <w:rPr>
                <w:sz w:val="16"/>
                <w:szCs w:val="16"/>
              </w:rPr>
            </w:pPr>
            <w:r w:rsidRPr="00873B6C">
              <w:rPr>
                <w:sz w:val="16"/>
                <w:szCs w:val="16"/>
              </w:rPr>
              <w:t>Introduction of support for L4S</w:t>
            </w:r>
          </w:p>
        </w:tc>
        <w:tc>
          <w:tcPr>
            <w:tcW w:w="708" w:type="dxa"/>
            <w:shd w:val="solid" w:color="FFFFFF" w:fill="auto"/>
          </w:tcPr>
          <w:p w14:paraId="6CC05112" w14:textId="13EC36EB" w:rsidR="0030234B" w:rsidRPr="00873B6C" w:rsidRDefault="0030234B" w:rsidP="002C4A81">
            <w:pPr>
              <w:pStyle w:val="TAC"/>
              <w:rPr>
                <w:sz w:val="16"/>
                <w:szCs w:val="16"/>
              </w:rPr>
            </w:pPr>
            <w:r w:rsidRPr="00873B6C">
              <w:rPr>
                <w:sz w:val="16"/>
                <w:szCs w:val="16"/>
              </w:rPr>
              <w:t>18.1.0</w:t>
            </w:r>
          </w:p>
        </w:tc>
      </w:tr>
      <w:tr w:rsidR="00D409DD" w:rsidRPr="00873B6C" w14:paraId="0A52FE52" w14:textId="77777777" w:rsidTr="009D14FB">
        <w:tc>
          <w:tcPr>
            <w:tcW w:w="800" w:type="dxa"/>
            <w:shd w:val="solid" w:color="FFFFFF" w:fill="auto"/>
          </w:tcPr>
          <w:p w14:paraId="0178A74D" w14:textId="2CF34CEF"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0CB6DA11" w14:textId="0CDB28B2"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5DD86E48" w14:textId="3F0D7140" w:rsidR="00D409DD" w:rsidRPr="00873B6C" w:rsidRDefault="00D409DD" w:rsidP="002C4A81">
            <w:pPr>
              <w:pStyle w:val="TAC"/>
              <w:rPr>
                <w:sz w:val="16"/>
                <w:szCs w:val="16"/>
              </w:rPr>
            </w:pPr>
            <w:r w:rsidRPr="00873B6C">
              <w:rPr>
                <w:sz w:val="16"/>
                <w:szCs w:val="16"/>
              </w:rPr>
              <w:t>SP-230048</w:t>
            </w:r>
          </w:p>
        </w:tc>
        <w:tc>
          <w:tcPr>
            <w:tcW w:w="567" w:type="dxa"/>
            <w:shd w:val="solid" w:color="FFFFFF" w:fill="auto"/>
          </w:tcPr>
          <w:p w14:paraId="530B96A9" w14:textId="4EB4ED29" w:rsidR="00D409DD" w:rsidRPr="00873B6C" w:rsidRDefault="00D409DD" w:rsidP="002C4A81">
            <w:pPr>
              <w:pStyle w:val="TAL"/>
              <w:rPr>
                <w:sz w:val="16"/>
                <w:szCs w:val="16"/>
              </w:rPr>
            </w:pPr>
            <w:r w:rsidRPr="00873B6C">
              <w:rPr>
                <w:sz w:val="16"/>
                <w:szCs w:val="16"/>
              </w:rPr>
              <w:t>3858</w:t>
            </w:r>
          </w:p>
        </w:tc>
        <w:tc>
          <w:tcPr>
            <w:tcW w:w="425" w:type="dxa"/>
            <w:shd w:val="solid" w:color="FFFFFF" w:fill="auto"/>
          </w:tcPr>
          <w:p w14:paraId="7E9FB319" w14:textId="0DFB1617"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4FA6C0E4" w14:textId="748B1BD0"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4B42B994" w14:textId="17B6E1E4" w:rsidR="00D409DD" w:rsidRPr="00873B6C" w:rsidRDefault="00D409DD" w:rsidP="002C4A81">
            <w:pPr>
              <w:pStyle w:val="TAL"/>
              <w:rPr>
                <w:sz w:val="16"/>
                <w:szCs w:val="16"/>
              </w:rPr>
            </w:pPr>
            <w:r w:rsidRPr="00873B6C">
              <w:rPr>
                <w:sz w:val="16"/>
                <w:szCs w:val="16"/>
              </w:rPr>
              <w:t>Introducing 5G ProSe ph2 function for KI#7 (Support of Emergency for UE-to-Network Relaying)</w:t>
            </w:r>
          </w:p>
        </w:tc>
        <w:tc>
          <w:tcPr>
            <w:tcW w:w="708" w:type="dxa"/>
            <w:shd w:val="solid" w:color="FFFFFF" w:fill="auto"/>
          </w:tcPr>
          <w:p w14:paraId="59D638EF" w14:textId="5E04ADE2" w:rsidR="00D409DD" w:rsidRPr="00873B6C" w:rsidRDefault="00D409DD" w:rsidP="002C4A81">
            <w:pPr>
              <w:pStyle w:val="TAC"/>
              <w:rPr>
                <w:sz w:val="16"/>
                <w:szCs w:val="16"/>
              </w:rPr>
            </w:pPr>
            <w:r w:rsidRPr="00873B6C">
              <w:rPr>
                <w:sz w:val="16"/>
                <w:szCs w:val="16"/>
              </w:rPr>
              <w:t>18.1.0</w:t>
            </w:r>
          </w:p>
        </w:tc>
      </w:tr>
      <w:tr w:rsidR="00D409DD" w:rsidRPr="00873B6C" w14:paraId="1900D226" w14:textId="77777777" w:rsidTr="009D14FB">
        <w:tc>
          <w:tcPr>
            <w:tcW w:w="800" w:type="dxa"/>
            <w:shd w:val="solid" w:color="FFFFFF" w:fill="auto"/>
          </w:tcPr>
          <w:p w14:paraId="2E3C3563" w14:textId="4F8ACB3A"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56D8E830" w14:textId="1AA35E98"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5A504F61" w14:textId="7281329B" w:rsidR="00D409DD" w:rsidRPr="00873B6C" w:rsidRDefault="00D409DD" w:rsidP="002C4A81">
            <w:pPr>
              <w:pStyle w:val="TAC"/>
              <w:rPr>
                <w:sz w:val="16"/>
                <w:szCs w:val="16"/>
              </w:rPr>
            </w:pPr>
            <w:r w:rsidRPr="00873B6C">
              <w:rPr>
                <w:sz w:val="16"/>
                <w:szCs w:val="16"/>
              </w:rPr>
              <w:t>SP-230081</w:t>
            </w:r>
          </w:p>
        </w:tc>
        <w:tc>
          <w:tcPr>
            <w:tcW w:w="567" w:type="dxa"/>
            <w:shd w:val="solid" w:color="FFFFFF" w:fill="auto"/>
          </w:tcPr>
          <w:p w14:paraId="56022330" w14:textId="08709DA0" w:rsidR="00D409DD" w:rsidRPr="00873B6C" w:rsidRDefault="00D409DD" w:rsidP="002C4A81">
            <w:pPr>
              <w:pStyle w:val="TAL"/>
              <w:rPr>
                <w:sz w:val="16"/>
                <w:szCs w:val="16"/>
              </w:rPr>
            </w:pPr>
            <w:r w:rsidRPr="00873B6C">
              <w:rPr>
                <w:sz w:val="16"/>
                <w:szCs w:val="16"/>
              </w:rPr>
              <w:t>3859</w:t>
            </w:r>
          </w:p>
        </w:tc>
        <w:tc>
          <w:tcPr>
            <w:tcW w:w="425" w:type="dxa"/>
            <w:shd w:val="solid" w:color="FFFFFF" w:fill="auto"/>
          </w:tcPr>
          <w:p w14:paraId="2B0CD84F" w14:textId="635BC3A3"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26D30972" w14:textId="526D2D1D"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091E1D7B" w14:textId="416896C3" w:rsidR="00D409DD" w:rsidRPr="00873B6C" w:rsidRDefault="00D409DD" w:rsidP="002C4A81">
            <w:pPr>
              <w:pStyle w:val="TAL"/>
              <w:rPr>
                <w:sz w:val="16"/>
                <w:szCs w:val="16"/>
              </w:rPr>
            </w:pPr>
            <w:r w:rsidRPr="00873B6C">
              <w:rPr>
                <w:sz w:val="16"/>
                <w:szCs w:val="16"/>
              </w:rPr>
              <w:t>IPv6 prefix delegation in 5GS</w:t>
            </w:r>
          </w:p>
        </w:tc>
        <w:tc>
          <w:tcPr>
            <w:tcW w:w="708" w:type="dxa"/>
            <w:shd w:val="solid" w:color="FFFFFF" w:fill="auto"/>
          </w:tcPr>
          <w:p w14:paraId="635D9A99" w14:textId="646C9FE3" w:rsidR="00D409DD" w:rsidRPr="00873B6C" w:rsidRDefault="00D409DD" w:rsidP="002C4A81">
            <w:pPr>
              <w:pStyle w:val="TAC"/>
              <w:rPr>
                <w:sz w:val="16"/>
                <w:szCs w:val="16"/>
              </w:rPr>
            </w:pPr>
            <w:r w:rsidRPr="00873B6C">
              <w:rPr>
                <w:sz w:val="16"/>
                <w:szCs w:val="16"/>
              </w:rPr>
              <w:t>18.1.0</w:t>
            </w:r>
          </w:p>
        </w:tc>
      </w:tr>
      <w:tr w:rsidR="00D409DD" w:rsidRPr="00873B6C" w14:paraId="42491596" w14:textId="77777777" w:rsidTr="009D14FB">
        <w:tc>
          <w:tcPr>
            <w:tcW w:w="800" w:type="dxa"/>
            <w:shd w:val="solid" w:color="FFFFFF" w:fill="auto"/>
          </w:tcPr>
          <w:p w14:paraId="14EA2CA7" w14:textId="08CE0020"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76BFCF3E" w14:textId="61E77CED"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377E6FCA" w14:textId="56A9B3CB" w:rsidR="00D409DD" w:rsidRPr="00873B6C" w:rsidRDefault="00D409DD" w:rsidP="002C4A81">
            <w:pPr>
              <w:pStyle w:val="TAC"/>
              <w:rPr>
                <w:sz w:val="16"/>
                <w:szCs w:val="16"/>
              </w:rPr>
            </w:pPr>
            <w:r w:rsidRPr="00873B6C">
              <w:rPr>
                <w:sz w:val="16"/>
                <w:szCs w:val="16"/>
              </w:rPr>
              <w:t>SP-230075</w:t>
            </w:r>
          </w:p>
        </w:tc>
        <w:tc>
          <w:tcPr>
            <w:tcW w:w="567" w:type="dxa"/>
            <w:shd w:val="solid" w:color="FFFFFF" w:fill="auto"/>
          </w:tcPr>
          <w:p w14:paraId="08937260" w14:textId="08B07DDF" w:rsidR="00D409DD" w:rsidRPr="00873B6C" w:rsidRDefault="00D409DD" w:rsidP="002C4A81">
            <w:pPr>
              <w:pStyle w:val="TAL"/>
              <w:rPr>
                <w:sz w:val="16"/>
                <w:szCs w:val="16"/>
              </w:rPr>
            </w:pPr>
            <w:r w:rsidRPr="00873B6C">
              <w:rPr>
                <w:sz w:val="16"/>
                <w:szCs w:val="16"/>
              </w:rPr>
              <w:t>3860</w:t>
            </w:r>
          </w:p>
        </w:tc>
        <w:tc>
          <w:tcPr>
            <w:tcW w:w="425" w:type="dxa"/>
            <w:shd w:val="solid" w:color="FFFFFF" w:fill="auto"/>
          </w:tcPr>
          <w:p w14:paraId="1B97861F" w14:textId="75D98B75"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1F012469" w14:textId="35C7F13B"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09DE9F1F" w14:textId="527E234C" w:rsidR="00D409DD" w:rsidRPr="00873B6C" w:rsidRDefault="00D409DD" w:rsidP="002C4A81">
            <w:pPr>
              <w:pStyle w:val="TAL"/>
              <w:rPr>
                <w:sz w:val="16"/>
                <w:szCs w:val="16"/>
              </w:rPr>
            </w:pPr>
            <w:r w:rsidRPr="00873B6C">
              <w:rPr>
                <w:sz w:val="16"/>
                <w:szCs w:val="16"/>
              </w:rPr>
              <w:t>SFC CR 23.501</w:t>
            </w:r>
          </w:p>
        </w:tc>
        <w:tc>
          <w:tcPr>
            <w:tcW w:w="708" w:type="dxa"/>
            <w:shd w:val="solid" w:color="FFFFFF" w:fill="auto"/>
          </w:tcPr>
          <w:p w14:paraId="3C8B2CF9" w14:textId="4C1D03A9" w:rsidR="00D409DD" w:rsidRPr="00873B6C" w:rsidRDefault="00D409DD" w:rsidP="002C4A81">
            <w:pPr>
              <w:pStyle w:val="TAC"/>
              <w:rPr>
                <w:sz w:val="16"/>
                <w:szCs w:val="16"/>
              </w:rPr>
            </w:pPr>
            <w:r w:rsidRPr="00873B6C">
              <w:rPr>
                <w:sz w:val="16"/>
                <w:szCs w:val="16"/>
              </w:rPr>
              <w:t>18.1.0</w:t>
            </w:r>
          </w:p>
        </w:tc>
      </w:tr>
      <w:tr w:rsidR="00D409DD" w:rsidRPr="00873B6C" w14:paraId="7ACEC5FA" w14:textId="77777777" w:rsidTr="009D14FB">
        <w:tc>
          <w:tcPr>
            <w:tcW w:w="800" w:type="dxa"/>
            <w:shd w:val="solid" w:color="FFFFFF" w:fill="auto"/>
          </w:tcPr>
          <w:p w14:paraId="77F643E1" w14:textId="698E0DD4"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3D970BB8" w14:textId="09B565F2"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66A96AC8" w14:textId="5D21504D" w:rsidR="00D409DD" w:rsidRPr="00873B6C" w:rsidRDefault="00D409DD" w:rsidP="002C4A81">
            <w:pPr>
              <w:pStyle w:val="TAC"/>
              <w:rPr>
                <w:sz w:val="16"/>
                <w:szCs w:val="16"/>
              </w:rPr>
            </w:pPr>
            <w:r w:rsidRPr="00873B6C">
              <w:rPr>
                <w:sz w:val="16"/>
                <w:szCs w:val="16"/>
              </w:rPr>
              <w:t>SP-230247</w:t>
            </w:r>
          </w:p>
        </w:tc>
        <w:tc>
          <w:tcPr>
            <w:tcW w:w="567" w:type="dxa"/>
            <w:shd w:val="solid" w:color="FFFFFF" w:fill="auto"/>
          </w:tcPr>
          <w:p w14:paraId="0C726BCD" w14:textId="0F14A5EC" w:rsidR="00D409DD" w:rsidRPr="00873B6C" w:rsidRDefault="00D409DD" w:rsidP="002C4A81">
            <w:pPr>
              <w:pStyle w:val="TAL"/>
              <w:rPr>
                <w:sz w:val="16"/>
                <w:szCs w:val="16"/>
              </w:rPr>
            </w:pPr>
            <w:r w:rsidRPr="00873B6C">
              <w:rPr>
                <w:sz w:val="16"/>
                <w:szCs w:val="16"/>
              </w:rPr>
              <w:t>3864</w:t>
            </w:r>
          </w:p>
        </w:tc>
        <w:tc>
          <w:tcPr>
            <w:tcW w:w="425" w:type="dxa"/>
            <w:shd w:val="solid" w:color="FFFFFF" w:fill="auto"/>
          </w:tcPr>
          <w:p w14:paraId="1C9E5597" w14:textId="262DFA45" w:rsidR="00D409DD" w:rsidRPr="00873B6C" w:rsidRDefault="00D409DD" w:rsidP="002C4A81">
            <w:pPr>
              <w:pStyle w:val="TAL"/>
              <w:rPr>
                <w:sz w:val="16"/>
                <w:szCs w:val="16"/>
              </w:rPr>
            </w:pPr>
            <w:r w:rsidRPr="00873B6C">
              <w:rPr>
                <w:sz w:val="16"/>
                <w:szCs w:val="16"/>
              </w:rPr>
              <w:t>5</w:t>
            </w:r>
          </w:p>
        </w:tc>
        <w:tc>
          <w:tcPr>
            <w:tcW w:w="425" w:type="dxa"/>
            <w:shd w:val="solid" w:color="FFFFFF" w:fill="auto"/>
          </w:tcPr>
          <w:p w14:paraId="01464B97" w14:textId="4CE6F0FF"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00CE8925" w14:textId="52B84EDC" w:rsidR="00D409DD" w:rsidRPr="00873B6C" w:rsidRDefault="00D409DD" w:rsidP="002C4A81">
            <w:pPr>
              <w:pStyle w:val="TAL"/>
              <w:rPr>
                <w:sz w:val="16"/>
                <w:szCs w:val="16"/>
              </w:rPr>
            </w:pPr>
            <w:r w:rsidRPr="00873B6C">
              <w:rPr>
                <w:sz w:val="16"/>
                <w:szCs w:val="16"/>
              </w:rPr>
              <w:t xml:space="preserve">Policy control enhancements to support multi-modal flows </w:t>
            </w:r>
          </w:p>
        </w:tc>
        <w:tc>
          <w:tcPr>
            <w:tcW w:w="708" w:type="dxa"/>
            <w:shd w:val="solid" w:color="FFFFFF" w:fill="auto"/>
          </w:tcPr>
          <w:p w14:paraId="0E700725" w14:textId="03B6412A" w:rsidR="00D409DD" w:rsidRPr="00873B6C" w:rsidRDefault="00D409DD" w:rsidP="002C4A81">
            <w:pPr>
              <w:pStyle w:val="TAC"/>
              <w:rPr>
                <w:sz w:val="16"/>
                <w:szCs w:val="16"/>
              </w:rPr>
            </w:pPr>
            <w:r w:rsidRPr="00873B6C">
              <w:rPr>
                <w:sz w:val="16"/>
                <w:szCs w:val="16"/>
              </w:rPr>
              <w:t>18.1.0</w:t>
            </w:r>
          </w:p>
        </w:tc>
      </w:tr>
      <w:tr w:rsidR="00D409DD" w:rsidRPr="00873B6C" w14:paraId="2EC0C503" w14:textId="77777777" w:rsidTr="009D14FB">
        <w:tc>
          <w:tcPr>
            <w:tcW w:w="800" w:type="dxa"/>
            <w:shd w:val="solid" w:color="FFFFFF" w:fill="auto"/>
          </w:tcPr>
          <w:p w14:paraId="6E099431" w14:textId="3452D71D"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00871C88" w14:textId="691330E6"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5A5E4347" w14:textId="37846CD1" w:rsidR="00D409DD" w:rsidRPr="00873B6C" w:rsidRDefault="00D409DD" w:rsidP="002C4A81">
            <w:pPr>
              <w:pStyle w:val="TAC"/>
              <w:rPr>
                <w:sz w:val="16"/>
                <w:szCs w:val="16"/>
              </w:rPr>
            </w:pPr>
            <w:r w:rsidRPr="00873B6C">
              <w:rPr>
                <w:sz w:val="16"/>
                <w:szCs w:val="16"/>
              </w:rPr>
              <w:t>SP-230064</w:t>
            </w:r>
          </w:p>
        </w:tc>
        <w:tc>
          <w:tcPr>
            <w:tcW w:w="567" w:type="dxa"/>
            <w:shd w:val="solid" w:color="FFFFFF" w:fill="auto"/>
          </w:tcPr>
          <w:p w14:paraId="6D47EBA2" w14:textId="2047DEB1" w:rsidR="00D409DD" w:rsidRPr="00873B6C" w:rsidRDefault="00D409DD" w:rsidP="002C4A81">
            <w:pPr>
              <w:pStyle w:val="TAL"/>
              <w:rPr>
                <w:sz w:val="16"/>
                <w:szCs w:val="16"/>
              </w:rPr>
            </w:pPr>
            <w:r w:rsidRPr="00873B6C">
              <w:rPr>
                <w:sz w:val="16"/>
                <w:szCs w:val="16"/>
              </w:rPr>
              <w:t>3867</w:t>
            </w:r>
          </w:p>
        </w:tc>
        <w:tc>
          <w:tcPr>
            <w:tcW w:w="425" w:type="dxa"/>
            <w:shd w:val="solid" w:color="FFFFFF" w:fill="auto"/>
          </w:tcPr>
          <w:p w14:paraId="7B27A048" w14:textId="0036FECD" w:rsidR="00D409DD" w:rsidRPr="00873B6C" w:rsidRDefault="00D409DD" w:rsidP="002C4A81">
            <w:pPr>
              <w:pStyle w:val="TAL"/>
              <w:rPr>
                <w:sz w:val="16"/>
                <w:szCs w:val="16"/>
              </w:rPr>
            </w:pPr>
            <w:r w:rsidRPr="00873B6C">
              <w:rPr>
                <w:sz w:val="16"/>
                <w:szCs w:val="16"/>
              </w:rPr>
              <w:t>5</w:t>
            </w:r>
          </w:p>
        </w:tc>
        <w:tc>
          <w:tcPr>
            <w:tcW w:w="425" w:type="dxa"/>
            <w:shd w:val="solid" w:color="FFFFFF" w:fill="auto"/>
          </w:tcPr>
          <w:p w14:paraId="3A3CE2DE" w14:textId="58D9B16C"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4CD82A1A" w14:textId="327869DB" w:rsidR="00D409DD" w:rsidRPr="00873B6C" w:rsidRDefault="00D409DD" w:rsidP="002C4A81">
            <w:pPr>
              <w:pStyle w:val="TAL"/>
              <w:rPr>
                <w:sz w:val="16"/>
                <w:szCs w:val="16"/>
              </w:rPr>
            </w:pPr>
            <w:r w:rsidRPr="00873B6C">
              <w:rPr>
                <w:sz w:val="16"/>
                <w:szCs w:val="16"/>
              </w:rPr>
              <w:t>Change of Network Slice instance for PDU sessions</w:t>
            </w:r>
          </w:p>
        </w:tc>
        <w:tc>
          <w:tcPr>
            <w:tcW w:w="708" w:type="dxa"/>
            <w:shd w:val="solid" w:color="FFFFFF" w:fill="auto"/>
          </w:tcPr>
          <w:p w14:paraId="1BD3FDEA" w14:textId="5081D4D1" w:rsidR="00D409DD" w:rsidRPr="00873B6C" w:rsidRDefault="00D409DD" w:rsidP="002C4A81">
            <w:pPr>
              <w:pStyle w:val="TAC"/>
              <w:rPr>
                <w:sz w:val="16"/>
                <w:szCs w:val="16"/>
              </w:rPr>
            </w:pPr>
            <w:r w:rsidRPr="00873B6C">
              <w:rPr>
                <w:sz w:val="16"/>
                <w:szCs w:val="16"/>
              </w:rPr>
              <w:t>18.1.0</w:t>
            </w:r>
          </w:p>
        </w:tc>
      </w:tr>
      <w:tr w:rsidR="00D409DD" w:rsidRPr="00873B6C" w14:paraId="7EE6F9B1" w14:textId="77777777" w:rsidTr="009D14FB">
        <w:tc>
          <w:tcPr>
            <w:tcW w:w="800" w:type="dxa"/>
            <w:shd w:val="solid" w:color="FFFFFF" w:fill="auto"/>
          </w:tcPr>
          <w:p w14:paraId="31B8545B" w14:textId="7E05E551"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0788EB52" w14:textId="433B4DE2"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2AB86E79" w14:textId="0703208D" w:rsidR="00D409DD" w:rsidRPr="00873B6C" w:rsidRDefault="00D409DD" w:rsidP="002C4A81">
            <w:pPr>
              <w:pStyle w:val="TAC"/>
              <w:rPr>
                <w:sz w:val="16"/>
                <w:szCs w:val="16"/>
              </w:rPr>
            </w:pPr>
            <w:r w:rsidRPr="00873B6C">
              <w:rPr>
                <w:sz w:val="16"/>
                <w:szCs w:val="16"/>
              </w:rPr>
              <w:t>SP-230052</w:t>
            </w:r>
          </w:p>
        </w:tc>
        <w:tc>
          <w:tcPr>
            <w:tcW w:w="567" w:type="dxa"/>
            <w:shd w:val="solid" w:color="FFFFFF" w:fill="auto"/>
          </w:tcPr>
          <w:p w14:paraId="0072EEF4" w14:textId="5527C1E0" w:rsidR="00D409DD" w:rsidRPr="00873B6C" w:rsidRDefault="00D409DD" w:rsidP="002C4A81">
            <w:pPr>
              <w:pStyle w:val="TAL"/>
              <w:rPr>
                <w:sz w:val="16"/>
                <w:szCs w:val="16"/>
              </w:rPr>
            </w:pPr>
            <w:r w:rsidRPr="00873B6C">
              <w:rPr>
                <w:sz w:val="16"/>
                <w:szCs w:val="16"/>
              </w:rPr>
              <w:t>3870</w:t>
            </w:r>
          </w:p>
        </w:tc>
        <w:tc>
          <w:tcPr>
            <w:tcW w:w="425" w:type="dxa"/>
            <w:shd w:val="solid" w:color="FFFFFF" w:fill="auto"/>
          </w:tcPr>
          <w:p w14:paraId="5445B5B2" w14:textId="714581FE"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11584A34" w14:textId="1298E264"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03237859" w14:textId="0E31C636" w:rsidR="00D409DD" w:rsidRPr="00873B6C" w:rsidRDefault="00D409DD" w:rsidP="002C4A81">
            <w:pPr>
              <w:pStyle w:val="TAL"/>
              <w:rPr>
                <w:sz w:val="16"/>
                <w:szCs w:val="16"/>
              </w:rPr>
            </w:pPr>
            <w:r w:rsidRPr="00873B6C">
              <w:rPr>
                <w:sz w:val="16"/>
                <w:szCs w:val="16"/>
              </w:rPr>
              <w:t>Removing ENs for TSN TN integration</w:t>
            </w:r>
          </w:p>
        </w:tc>
        <w:tc>
          <w:tcPr>
            <w:tcW w:w="708" w:type="dxa"/>
            <w:shd w:val="solid" w:color="FFFFFF" w:fill="auto"/>
          </w:tcPr>
          <w:p w14:paraId="02CC9E71" w14:textId="268DBBB8" w:rsidR="00D409DD" w:rsidRPr="00873B6C" w:rsidRDefault="00D409DD" w:rsidP="002C4A81">
            <w:pPr>
              <w:pStyle w:val="TAC"/>
              <w:rPr>
                <w:sz w:val="16"/>
                <w:szCs w:val="16"/>
              </w:rPr>
            </w:pPr>
            <w:r w:rsidRPr="00873B6C">
              <w:rPr>
                <w:sz w:val="16"/>
                <w:szCs w:val="16"/>
              </w:rPr>
              <w:t>18.1.0</w:t>
            </w:r>
          </w:p>
        </w:tc>
      </w:tr>
      <w:tr w:rsidR="00D409DD" w:rsidRPr="00873B6C" w14:paraId="77E54CE4" w14:textId="77777777" w:rsidTr="009D14FB">
        <w:tc>
          <w:tcPr>
            <w:tcW w:w="800" w:type="dxa"/>
            <w:shd w:val="solid" w:color="FFFFFF" w:fill="auto"/>
          </w:tcPr>
          <w:p w14:paraId="6E88F58E" w14:textId="32C3C59C"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174137A2" w14:textId="1B80B20A"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3BFFFCD2" w14:textId="0FE7AA5F" w:rsidR="00D409DD" w:rsidRPr="00873B6C" w:rsidRDefault="00D409DD" w:rsidP="002C4A81">
            <w:pPr>
              <w:pStyle w:val="TAC"/>
              <w:rPr>
                <w:sz w:val="16"/>
                <w:szCs w:val="16"/>
              </w:rPr>
            </w:pPr>
            <w:r w:rsidRPr="00873B6C">
              <w:rPr>
                <w:sz w:val="16"/>
                <w:szCs w:val="16"/>
              </w:rPr>
              <w:t>SP-230052</w:t>
            </w:r>
          </w:p>
        </w:tc>
        <w:tc>
          <w:tcPr>
            <w:tcW w:w="567" w:type="dxa"/>
            <w:shd w:val="solid" w:color="FFFFFF" w:fill="auto"/>
          </w:tcPr>
          <w:p w14:paraId="6692DC41" w14:textId="333ADE3C" w:rsidR="00D409DD" w:rsidRPr="00873B6C" w:rsidRDefault="00D409DD" w:rsidP="002C4A81">
            <w:pPr>
              <w:pStyle w:val="TAL"/>
              <w:rPr>
                <w:sz w:val="16"/>
                <w:szCs w:val="16"/>
              </w:rPr>
            </w:pPr>
            <w:r w:rsidRPr="00873B6C">
              <w:rPr>
                <w:sz w:val="16"/>
                <w:szCs w:val="16"/>
              </w:rPr>
              <w:t>3871</w:t>
            </w:r>
          </w:p>
        </w:tc>
        <w:tc>
          <w:tcPr>
            <w:tcW w:w="425" w:type="dxa"/>
            <w:shd w:val="solid" w:color="FFFFFF" w:fill="auto"/>
          </w:tcPr>
          <w:p w14:paraId="2B188CE5" w14:textId="746C6AE7"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67E1FA84" w14:textId="7E4E0837" w:rsidR="00D409DD" w:rsidRPr="00873B6C" w:rsidRDefault="00D409DD" w:rsidP="002C4A81">
            <w:pPr>
              <w:pStyle w:val="TAL"/>
              <w:rPr>
                <w:sz w:val="16"/>
                <w:szCs w:val="16"/>
              </w:rPr>
            </w:pPr>
            <w:r w:rsidRPr="00873B6C">
              <w:rPr>
                <w:sz w:val="16"/>
                <w:szCs w:val="16"/>
              </w:rPr>
              <w:t>F</w:t>
            </w:r>
          </w:p>
        </w:tc>
        <w:tc>
          <w:tcPr>
            <w:tcW w:w="4820" w:type="dxa"/>
            <w:shd w:val="solid" w:color="FFFFFF" w:fill="auto"/>
          </w:tcPr>
          <w:p w14:paraId="6354852C" w14:textId="129E2031" w:rsidR="00D409DD" w:rsidRPr="00873B6C" w:rsidRDefault="00D409DD" w:rsidP="002C4A81">
            <w:pPr>
              <w:pStyle w:val="TAL"/>
              <w:rPr>
                <w:sz w:val="16"/>
                <w:szCs w:val="16"/>
              </w:rPr>
            </w:pPr>
            <w:r w:rsidRPr="00873B6C">
              <w:rPr>
                <w:sz w:val="16"/>
                <w:szCs w:val="16"/>
              </w:rPr>
              <w:t>Clarification on for TSN TN integration</w:t>
            </w:r>
          </w:p>
        </w:tc>
        <w:tc>
          <w:tcPr>
            <w:tcW w:w="708" w:type="dxa"/>
            <w:shd w:val="solid" w:color="FFFFFF" w:fill="auto"/>
          </w:tcPr>
          <w:p w14:paraId="3C85E66A" w14:textId="5745B52A" w:rsidR="00D409DD" w:rsidRPr="00873B6C" w:rsidRDefault="00D409DD" w:rsidP="002C4A81">
            <w:pPr>
              <w:pStyle w:val="TAC"/>
              <w:rPr>
                <w:sz w:val="16"/>
                <w:szCs w:val="16"/>
              </w:rPr>
            </w:pPr>
            <w:r w:rsidRPr="00873B6C">
              <w:rPr>
                <w:sz w:val="16"/>
                <w:szCs w:val="16"/>
              </w:rPr>
              <w:t>18.1.0</w:t>
            </w:r>
          </w:p>
        </w:tc>
      </w:tr>
      <w:tr w:rsidR="00D409DD" w:rsidRPr="00873B6C" w14:paraId="1E09ED79" w14:textId="77777777" w:rsidTr="009D14FB">
        <w:tc>
          <w:tcPr>
            <w:tcW w:w="800" w:type="dxa"/>
            <w:shd w:val="solid" w:color="FFFFFF" w:fill="auto"/>
          </w:tcPr>
          <w:p w14:paraId="265A827C" w14:textId="7DE7F686"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794CA284" w14:textId="46E95C07"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0C038922" w14:textId="38A6D188" w:rsidR="00D409DD" w:rsidRPr="00873B6C" w:rsidRDefault="00D409DD" w:rsidP="002C4A81">
            <w:pPr>
              <w:pStyle w:val="TAC"/>
              <w:rPr>
                <w:sz w:val="16"/>
                <w:szCs w:val="16"/>
              </w:rPr>
            </w:pPr>
            <w:r w:rsidRPr="00873B6C">
              <w:rPr>
                <w:sz w:val="16"/>
                <w:szCs w:val="16"/>
              </w:rPr>
              <w:t>SP-230052</w:t>
            </w:r>
          </w:p>
        </w:tc>
        <w:tc>
          <w:tcPr>
            <w:tcW w:w="567" w:type="dxa"/>
            <w:shd w:val="solid" w:color="FFFFFF" w:fill="auto"/>
          </w:tcPr>
          <w:p w14:paraId="7EB09578" w14:textId="017C615F" w:rsidR="00D409DD" w:rsidRPr="00873B6C" w:rsidRDefault="00D409DD" w:rsidP="002C4A81">
            <w:pPr>
              <w:pStyle w:val="TAL"/>
              <w:rPr>
                <w:sz w:val="16"/>
                <w:szCs w:val="16"/>
              </w:rPr>
            </w:pPr>
            <w:r w:rsidRPr="00873B6C">
              <w:rPr>
                <w:sz w:val="16"/>
                <w:szCs w:val="16"/>
              </w:rPr>
              <w:t>3872</w:t>
            </w:r>
          </w:p>
        </w:tc>
        <w:tc>
          <w:tcPr>
            <w:tcW w:w="425" w:type="dxa"/>
            <w:shd w:val="solid" w:color="FFFFFF" w:fill="auto"/>
          </w:tcPr>
          <w:p w14:paraId="57631EAB" w14:textId="1BB03169" w:rsidR="00D409DD" w:rsidRPr="00873B6C" w:rsidRDefault="00D409DD" w:rsidP="002C4A81">
            <w:pPr>
              <w:pStyle w:val="TAL"/>
              <w:rPr>
                <w:sz w:val="16"/>
                <w:szCs w:val="16"/>
              </w:rPr>
            </w:pPr>
            <w:r w:rsidRPr="00873B6C">
              <w:rPr>
                <w:sz w:val="16"/>
                <w:szCs w:val="16"/>
              </w:rPr>
              <w:t>-</w:t>
            </w:r>
          </w:p>
        </w:tc>
        <w:tc>
          <w:tcPr>
            <w:tcW w:w="425" w:type="dxa"/>
            <w:shd w:val="solid" w:color="FFFFFF" w:fill="auto"/>
          </w:tcPr>
          <w:p w14:paraId="109C6C8D" w14:textId="51644FF4"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5BFD1C50" w14:textId="105C1B92" w:rsidR="00D409DD" w:rsidRPr="00873B6C" w:rsidRDefault="00D409DD" w:rsidP="002C4A81">
            <w:pPr>
              <w:pStyle w:val="TAL"/>
              <w:rPr>
                <w:sz w:val="16"/>
                <w:szCs w:val="16"/>
              </w:rPr>
            </w:pPr>
            <w:r w:rsidRPr="00873B6C">
              <w:rPr>
                <w:sz w:val="16"/>
                <w:szCs w:val="16"/>
              </w:rPr>
              <w:t>Removing EN on UL scenario of Reactive RAN feedback for burst sending time adjustment</w:t>
            </w:r>
          </w:p>
        </w:tc>
        <w:tc>
          <w:tcPr>
            <w:tcW w:w="708" w:type="dxa"/>
            <w:shd w:val="solid" w:color="FFFFFF" w:fill="auto"/>
          </w:tcPr>
          <w:p w14:paraId="183400A8" w14:textId="389A7C9E" w:rsidR="00D409DD" w:rsidRPr="00873B6C" w:rsidRDefault="00D409DD" w:rsidP="002C4A81">
            <w:pPr>
              <w:pStyle w:val="TAC"/>
              <w:rPr>
                <w:sz w:val="16"/>
                <w:szCs w:val="16"/>
              </w:rPr>
            </w:pPr>
            <w:r w:rsidRPr="00873B6C">
              <w:rPr>
                <w:sz w:val="16"/>
                <w:szCs w:val="16"/>
              </w:rPr>
              <w:t>18.1.0</w:t>
            </w:r>
          </w:p>
        </w:tc>
      </w:tr>
      <w:tr w:rsidR="00B5050B" w:rsidRPr="00873B6C" w14:paraId="6187F709" w14:textId="77777777" w:rsidTr="009D14FB">
        <w:tc>
          <w:tcPr>
            <w:tcW w:w="800" w:type="dxa"/>
            <w:shd w:val="solid" w:color="FFFFFF" w:fill="auto"/>
          </w:tcPr>
          <w:p w14:paraId="24A7291D" w14:textId="381D11ED" w:rsidR="00B5050B" w:rsidRPr="00873B6C" w:rsidRDefault="00B5050B" w:rsidP="002C4A81">
            <w:pPr>
              <w:pStyle w:val="TAC"/>
              <w:rPr>
                <w:sz w:val="16"/>
                <w:szCs w:val="16"/>
              </w:rPr>
            </w:pPr>
            <w:r w:rsidRPr="00873B6C">
              <w:rPr>
                <w:sz w:val="16"/>
                <w:szCs w:val="16"/>
              </w:rPr>
              <w:t>2023-03</w:t>
            </w:r>
          </w:p>
        </w:tc>
        <w:tc>
          <w:tcPr>
            <w:tcW w:w="800" w:type="dxa"/>
            <w:shd w:val="solid" w:color="FFFFFF" w:fill="auto"/>
          </w:tcPr>
          <w:p w14:paraId="3BE0F775" w14:textId="4E457C07" w:rsidR="00B5050B" w:rsidRPr="00873B6C" w:rsidRDefault="00B5050B" w:rsidP="002C4A81">
            <w:pPr>
              <w:pStyle w:val="TAL"/>
              <w:rPr>
                <w:sz w:val="16"/>
                <w:szCs w:val="16"/>
              </w:rPr>
            </w:pPr>
            <w:r w:rsidRPr="00873B6C">
              <w:rPr>
                <w:sz w:val="16"/>
                <w:szCs w:val="16"/>
              </w:rPr>
              <w:t>SP#99</w:t>
            </w:r>
          </w:p>
        </w:tc>
        <w:tc>
          <w:tcPr>
            <w:tcW w:w="1094" w:type="dxa"/>
            <w:shd w:val="solid" w:color="FFFFFF" w:fill="auto"/>
          </w:tcPr>
          <w:p w14:paraId="408206A4" w14:textId="18C05BB7" w:rsidR="00B5050B" w:rsidRPr="00873B6C" w:rsidRDefault="00B5050B" w:rsidP="002C4A81">
            <w:pPr>
              <w:pStyle w:val="TAC"/>
              <w:rPr>
                <w:sz w:val="16"/>
                <w:szCs w:val="16"/>
              </w:rPr>
            </w:pPr>
            <w:r w:rsidRPr="00873B6C">
              <w:rPr>
                <w:sz w:val="16"/>
                <w:szCs w:val="16"/>
              </w:rPr>
              <w:t>SP-230247</w:t>
            </w:r>
          </w:p>
        </w:tc>
        <w:tc>
          <w:tcPr>
            <w:tcW w:w="567" w:type="dxa"/>
            <w:shd w:val="solid" w:color="FFFFFF" w:fill="auto"/>
          </w:tcPr>
          <w:p w14:paraId="574591D3" w14:textId="5AB3E498" w:rsidR="00B5050B" w:rsidRPr="00873B6C" w:rsidRDefault="00B5050B" w:rsidP="002C4A81">
            <w:pPr>
              <w:pStyle w:val="TAL"/>
              <w:rPr>
                <w:sz w:val="16"/>
                <w:szCs w:val="16"/>
              </w:rPr>
            </w:pPr>
            <w:r w:rsidRPr="00873B6C">
              <w:rPr>
                <w:sz w:val="16"/>
                <w:szCs w:val="16"/>
              </w:rPr>
              <w:t>3875</w:t>
            </w:r>
          </w:p>
        </w:tc>
        <w:tc>
          <w:tcPr>
            <w:tcW w:w="425" w:type="dxa"/>
            <w:shd w:val="solid" w:color="FFFFFF" w:fill="auto"/>
          </w:tcPr>
          <w:p w14:paraId="22F83A19" w14:textId="42558312" w:rsidR="00B5050B" w:rsidRPr="00873B6C" w:rsidRDefault="00B5050B" w:rsidP="002C4A81">
            <w:pPr>
              <w:pStyle w:val="TAL"/>
              <w:rPr>
                <w:sz w:val="16"/>
                <w:szCs w:val="16"/>
              </w:rPr>
            </w:pPr>
            <w:r w:rsidRPr="00873B6C">
              <w:rPr>
                <w:sz w:val="16"/>
                <w:szCs w:val="16"/>
              </w:rPr>
              <w:t>14</w:t>
            </w:r>
          </w:p>
        </w:tc>
        <w:tc>
          <w:tcPr>
            <w:tcW w:w="425" w:type="dxa"/>
            <w:shd w:val="solid" w:color="FFFFFF" w:fill="auto"/>
          </w:tcPr>
          <w:p w14:paraId="27D9A0E2" w14:textId="659219EF" w:rsidR="00B5050B" w:rsidRPr="00873B6C" w:rsidRDefault="00B5050B" w:rsidP="002C4A81">
            <w:pPr>
              <w:pStyle w:val="TAL"/>
              <w:rPr>
                <w:sz w:val="16"/>
                <w:szCs w:val="16"/>
              </w:rPr>
            </w:pPr>
            <w:r w:rsidRPr="00873B6C">
              <w:rPr>
                <w:sz w:val="16"/>
                <w:szCs w:val="16"/>
              </w:rPr>
              <w:t>B</w:t>
            </w:r>
          </w:p>
        </w:tc>
        <w:tc>
          <w:tcPr>
            <w:tcW w:w="4820" w:type="dxa"/>
            <w:shd w:val="solid" w:color="FFFFFF" w:fill="auto"/>
          </w:tcPr>
          <w:p w14:paraId="62FDC2BC" w14:textId="30F9E235" w:rsidR="00B5050B" w:rsidRPr="00873B6C" w:rsidRDefault="00B5050B" w:rsidP="002C4A81">
            <w:pPr>
              <w:pStyle w:val="TAL"/>
              <w:rPr>
                <w:sz w:val="16"/>
                <w:szCs w:val="16"/>
              </w:rPr>
            </w:pPr>
            <w:r w:rsidRPr="00873B6C">
              <w:rPr>
                <w:sz w:val="16"/>
                <w:szCs w:val="16"/>
              </w:rPr>
              <w:t>Introduction of support for Jitter Measurement and End of Data Burst reporting to the NG-RAN</w:t>
            </w:r>
          </w:p>
        </w:tc>
        <w:tc>
          <w:tcPr>
            <w:tcW w:w="708" w:type="dxa"/>
            <w:shd w:val="solid" w:color="FFFFFF" w:fill="auto"/>
          </w:tcPr>
          <w:p w14:paraId="3C248ED3" w14:textId="7D67D2CF" w:rsidR="00B5050B" w:rsidRPr="00873B6C" w:rsidRDefault="00B5050B" w:rsidP="002C4A81">
            <w:pPr>
              <w:pStyle w:val="TAC"/>
              <w:rPr>
                <w:sz w:val="16"/>
                <w:szCs w:val="16"/>
              </w:rPr>
            </w:pPr>
            <w:r w:rsidRPr="00873B6C">
              <w:rPr>
                <w:sz w:val="16"/>
                <w:szCs w:val="16"/>
              </w:rPr>
              <w:t>18.1.0</w:t>
            </w:r>
          </w:p>
        </w:tc>
      </w:tr>
      <w:tr w:rsidR="00BC24B5" w:rsidRPr="00873B6C" w14:paraId="45E36B27" w14:textId="77777777" w:rsidTr="009D14FB">
        <w:tc>
          <w:tcPr>
            <w:tcW w:w="800" w:type="dxa"/>
            <w:shd w:val="solid" w:color="FFFFFF" w:fill="auto"/>
          </w:tcPr>
          <w:p w14:paraId="68B83A4E" w14:textId="40929068" w:rsidR="00BC24B5" w:rsidRPr="00873B6C" w:rsidRDefault="00BC24B5" w:rsidP="002C4A81">
            <w:pPr>
              <w:pStyle w:val="TAC"/>
              <w:rPr>
                <w:sz w:val="16"/>
                <w:szCs w:val="16"/>
              </w:rPr>
            </w:pPr>
            <w:r w:rsidRPr="00873B6C">
              <w:rPr>
                <w:sz w:val="16"/>
                <w:szCs w:val="16"/>
              </w:rPr>
              <w:t>2023-03</w:t>
            </w:r>
          </w:p>
        </w:tc>
        <w:tc>
          <w:tcPr>
            <w:tcW w:w="800" w:type="dxa"/>
            <w:shd w:val="solid" w:color="FFFFFF" w:fill="auto"/>
          </w:tcPr>
          <w:p w14:paraId="7EA1A10B" w14:textId="51BACC6F" w:rsidR="00BC24B5" w:rsidRPr="00873B6C" w:rsidRDefault="00BC24B5" w:rsidP="002C4A81">
            <w:pPr>
              <w:pStyle w:val="TAL"/>
              <w:rPr>
                <w:sz w:val="16"/>
                <w:szCs w:val="16"/>
              </w:rPr>
            </w:pPr>
            <w:r w:rsidRPr="00873B6C">
              <w:rPr>
                <w:sz w:val="16"/>
                <w:szCs w:val="16"/>
              </w:rPr>
              <w:t>SP#99</w:t>
            </w:r>
          </w:p>
        </w:tc>
        <w:tc>
          <w:tcPr>
            <w:tcW w:w="1094" w:type="dxa"/>
            <w:shd w:val="solid" w:color="FFFFFF" w:fill="auto"/>
          </w:tcPr>
          <w:p w14:paraId="19AC139E" w14:textId="7F89B86D" w:rsidR="00BC24B5" w:rsidRPr="00873B6C" w:rsidRDefault="00BC24B5" w:rsidP="002C4A81">
            <w:pPr>
              <w:pStyle w:val="TAC"/>
              <w:rPr>
                <w:sz w:val="16"/>
                <w:szCs w:val="16"/>
              </w:rPr>
            </w:pPr>
            <w:r w:rsidRPr="00873B6C">
              <w:rPr>
                <w:sz w:val="16"/>
                <w:szCs w:val="16"/>
              </w:rPr>
              <w:t>SP-230056</w:t>
            </w:r>
          </w:p>
        </w:tc>
        <w:tc>
          <w:tcPr>
            <w:tcW w:w="567" w:type="dxa"/>
            <w:shd w:val="solid" w:color="FFFFFF" w:fill="auto"/>
          </w:tcPr>
          <w:p w14:paraId="7979482C" w14:textId="06419253" w:rsidR="00BC24B5" w:rsidRPr="00873B6C" w:rsidRDefault="00BC24B5" w:rsidP="002C4A81">
            <w:pPr>
              <w:pStyle w:val="TAL"/>
              <w:rPr>
                <w:sz w:val="16"/>
                <w:szCs w:val="16"/>
              </w:rPr>
            </w:pPr>
            <w:r w:rsidRPr="00873B6C">
              <w:rPr>
                <w:sz w:val="16"/>
                <w:szCs w:val="16"/>
              </w:rPr>
              <w:t>3878</w:t>
            </w:r>
          </w:p>
        </w:tc>
        <w:tc>
          <w:tcPr>
            <w:tcW w:w="425" w:type="dxa"/>
            <w:shd w:val="solid" w:color="FFFFFF" w:fill="auto"/>
          </w:tcPr>
          <w:p w14:paraId="3CD2AD88" w14:textId="1C971F05" w:rsidR="00BC24B5" w:rsidRPr="00873B6C" w:rsidRDefault="00BC24B5" w:rsidP="002C4A81">
            <w:pPr>
              <w:pStyle w:val="TAL"/>
              <w:rPr>
                <w:sz w:val="16"/>
                <w:szCs w:val="16"/>
              </w:rPr>
            </w:pPr>
            <w:r w:rsidRPr="00873B6C">
              <w:rPr>
                <w:sz w:val="16"/>
                <w:szCs w:val="16"/>
              </w:rPr>
              <w:t>1</w:t>
            </w:r>
          </w:p>
        </w:tc>
        <w:tc>
          <w:tcPr>
            <w:tcW w:w="425" w:type="dxa"/>
            <w:shd w:val="solid" w:color="FFFFFF" w:fill="auto"/>
          </w:tcPr>
          <w:p w14:paraId="79580375" w14:textId="6C8DC460" w:rsidR="00BC24B5" w:rsidRPr="00873B6C" w:rsidRDefault="00BC24B5" w:rsidP="002C4A81">
            <w:pPr>
              <w:pStyle w:val="TAL"/>
              <w:rPr>
                <w:sz w:val="16"/>
                <w:szCs w:val="16"/>
              </w:rPr>
            </w:pPr>
            <w:r w:rsidRPr="00873B6C">
              <w:rPr>
                <w:sz w:val="16"/>
                <w:szCs w:val="16"/>
              </w:rPr>
              <w:t>B</w:t>
            </w:r>
          </w:p>
        </w:tc>
        <w:tc>
          <w:tcPr>
            <w:tcW w:w="4820" w:type="dxa"/>
            <w:shd w:val="solid" w:color="FFFFFF" w:fill="auto"/>
          </w:tcPr>
          <w:p w14:paraId="4089A387" w14:textId="15B3949C" w:rsidR="00BC24B5" w:rsidRPr="00873B6C" w:rsidRDefault="00BC24B5" w:rsidP="002C4A81">
            <w:pPr>
              <w:pStyle w:val="TAL"/>
              <w:rPr>
                <w:sz w:val="16"/>
                <w:szCs w:val="16"/>
              </w:rPr>
            </w:pPr>
            <w:r w:rsidRPr="00873B6C">
              <w:rPr>
                <w:sz w:val="16"/>
                <w:szCs w:val="16"/>
              </w:rPr>
              <w:t>Support for non-3GPP access path switching</w:t>
            </w:r>
          </w:p>
        </w:tc>
        <w:tc>
          <w:tcPr>
            <w:tcW w:w="708" w:type="dxa"/>
            <w:shd w:val="solid" w:color="FFFFFF" w:fill="auto"/>
          </w:tcPr>
          <w:p w14:paraId="7B534DFA" w14:textId="2558D05B" w:rsidR="00BC24B5" w:rsidRPr="00873B6C" w:rsidRDefault="00BC24B5" w:rsidP="002C4A81">
            <w:pPr>
              <w:pStyle w:val="TAC"/>
              <w:rPr>
                <w:sz w:val="16"/>
                <w:szCs w:val="16"/>
              </w:rPr>
            </w:pPr>
            <w:r w:rsidRPr="00873B6C">
              <w:rPr>
                <w:sz w:val="16"/>
                <w:szCs w:val="16"/>
              </w:rPr>
              <w:t>18.1.0</w:t>
            </w:r>
          </w:p>
        </w:tc>
      </w:tr>
      <w:tr w:rsidR="00BC24B5" w:rsidRPr="00873B6C" w14:paraId="7C1A9CF7" w14:textId="77777777" w:rsidTr="009D14FB">
        <w:tc>
          <w:tcPr>
            <w:tcW w:w="800" w:type="dxa"/>
            <w:shd w:val="solid" w:color="FFFFFF" w:fill="auto"/>
          </w:tcPr>
          <w:p w14:paraId="67873954" w14:textId="2404B721" w:rsidR="00BC24B5" w:rsidRPr="00873B6C" w:rsidRDefault="00BC24B5" w:rsidP="002C4A81">
            <w:pPr>
              <w:pStyle w:val="TAC"/>
              <w:rPr>
                <w:sz w:val="16"/>
                <w:szCs w:val="16"/>
              </w:rPr>
            </w:pPr>
            <w:r w:rsidRPr="00873B6C">
              <w:rPr>
                <w:sz w:val="16"/>
                <w:szCs w:val="16"/>
              </w:rPr>
              <w:t>2023-03</w:t>
            </w:r>
          </w:p>
        </w:tc>
        <w:tc>
          <w:tcPr>
            <w:tcW w:w="800" w:type="dxa"/>
            <w:shd w:val="solid" w:color="FFFFFF" w:fill="auto"/>
          </w:tcPr>
          <w:p w14:paraId="49AF347E" w14:textId="63F22927" w:rsidR="00BC24B5" w:rsidRPr="00873B6C" w:rsidRDefault="00BC24B5" w:rsidP="002C4A81">
            <w:pPr>
              <w:pStyle w:val="TAL"/>
              <w:rPr>
                <w:sz w:val="16"/>
                <w:szCs w:val="16"/>
              </w:rPr>
            </w:pPr>
            <w:r w:rsidRPr="00873B6C">
              <w:rPr>
                <w:sz w:val="16"/>
                <w:szCs w:val="16"/>
              </w:rPr>
              <w:t>SP#99</w:t>
            </w:r>
          </w:p>
        </w:tc>
        <w:tc>
          <w:tcPr>
            <w:tcW w:w="1094" w:type="dxa"/>
            <w:shd w:val="solid" w:color="FFFFFF" w:fill="auto"/>
          </w:tcPr>
          <w:p w14:paraId="617D9712" w14:textId="3846182A" w:rsidR="00BC24B5" w:rsidRPr="00873B6C" w:rsidRDefault="00BC24B5" w:rsidP="002C4A81">
            <w:pPr>
              <w:pStyle w:val="TAC"/>
              <w:rPr>
                <w:sz w:val="16"/>
                <w:szCs w:val="16"/>
              </w:rPr>
            </w:pPr>
            <w:r w:rsidRPr="00873B6C">
              <w:rPr>
                <w:sz w:val="16"/>
                <w:szCs w:val="16"/>
              </w:rPr>
              <w:t>SP-230081</w:t>
            </w:r>
          </w:p>
        </w:tc>
        <w:tc>
          <w:tcPr>
            <w:tcW w:w="567" w:type="dxa"/>
            <w:shd w:val="solid" w:color="FFFFFF" w:fill="auto"/>
          </w:tcPr>
          <w:p w14:paraId="2A196A74" w14:textId="5C21B7E6" w:rsidR="00BC24B5" w:rsidRPr="00873B6C" w:rsidRDefault="00BC24B5" w:rsidP="002C4A81">
            <w:pPr>
              <w:pStyle w:val="TAL"/>
              <w:rPr>
                <w:sz w:val="16"/>
                <w:szCs w:val="16"/>
              </w:rPr>
            </w:pPr>
            <w:r w:rsidRPr="00873B6C">
              <w:rPr>
                <w:sz w:val="16"/>
                <w:szCs w:val="16"/>
              </w:rPr>
              <w:t>3881</w:t>
            </w:r>
          </w:p>
        </w:tc>
        <w:tc>
          <w:tcPr>
            <w:tcW w:w="425" w:type="dxa"/>
            <w:shd w:val="solid" w:color="FFFFFF" w:fill="auto"/>
          </w:tcPr>
          <w:p w14:paraId="2C15A09C" w14:textId="1498E0A1" w:rsidR="00BC24B5" w:rsidRPr="00873B6C" w:rsidRDefault="00BC24B5" w:rsidP="002C4A81">
            <w:pPr>
              <w:pStyle w:val="TAL"/>
              <w:rPr>
                <w:sz w:val="16"/>
                <w:szCs w:val="16"/>
              </w:rPr>
            </w:pPr>
            <w:r w:rsidRPr="00873B6C">
              <w:rPr>
                <w:sz w:val="16"/>
                <w:szCs w:val="16"/>
              </w:rPr>
              <w:t>2</w:t>
            </w:r>
          </w:p>
        </w:tc>
        <w:tc>
          <w:tcPr>
            <w:tcW w:w="425" w:type="dxa"/>
            <w:shd w:val="solid" w:color="FFFFFF" w:fill="auto"/>
          </w:tcPr>
          <w:p w14:paraId="54BF4A8D" w14:textId="47EE2D72" w:rsidR="00BC24B5" w:rsidRPr="00873B6C" w:rsidRDefault="00BC24B5" w:rsidP="002C4A81">
            <w:pPr>
              <w:pStyle w:val="TAL"/>
              <w:rPr>
                <w:sz w:val="16"/>
                <w:szCs w:val="16"/>
              </w:rPr>
            </w:pPr>
            <w:r w:rsidRPr="00873B6C">
              <w:rPr>
                <w:sz w:val="16"/>
                <w:szCs w:val="16"/>
              </w:rPr>
              <w:t>B</w:t>
            </w:r>
          </w:p>
        </w:tc>
        <w:tc>
          <w:tcPr>
            <w:tcW w:w="4820" w:type="dxa"/>
            <w:shd w:val="solid" w:color="FFFFFF" w:fill="auto"/>
          </w:tcPr>
          <w:p w14:paraId="499BE0CF" w14:textId="175247A8" w:rsidR="00BC24B5" w:rsidRPr="00873B6C" w:rsidRDefault="00BC24B5" w:rsidP="002C4A81">
            <w:pPr>
              <w:pStyle w:val="TAL"/>
              <w:rPr>
                <w:sz w:val="16"/>
                <w:szCs w:val="16"/>
              </w:rPr>
            </w:pPr>
            <w:r w:rsidRPr="00873B6C">
              <w:rPr>
                <w:sz w:val="16"/>
                <w:szCs w:val="16"/>
              </w:rPr>
              <w:t>5QI for V2X message delivery via MBS</w:t>
            </w:r>
          </w:p>
        </w:tc>
        <w:tc>
          <w:tcPr>
            <w:tcW w:w="708" w:type="dxa"/>
            <w:shd w:val="solid" w:color="FFFFFF" w:fill="auto"/>
          </w:tcPr>
          <w:p w14:paraId="7C0C3A04" w14:textId="4A93B852" w:rsidR="00BC24B5" w:rsidRPr="00873B6C" w:rsidRDefault="00BC24B5" w:rsidP="002C4A81">
            <w:pPr>
              <w:pStyle w:val="TAC"/>
              <w:rPr>
                <w:sz w:val="16"/>
                <w:szCs w:val="16"/>
              </w:rPr>
            </w:pPr>
            <w:r w:rsidRPr="00873B6C">
              <w:rPr>
                <w:sz w:val="16"/>
                <w:szCs w:val="16"/>
              </w:rPr>
              <w:t>18.1.0</w:t>
            </w:r>
          </w:p>
        </w:tc>
      </w:tr>
      <w:tr w:rsidR="00BC24B5" w:rsidRPr="00873B6C" w14:paraId="23E6EDA0" w14:textId="77777777" w:rsidTr="009D14FB">
        <w:tc>
          <w:tcPr>
            <w:tcW w:w="800" w:type="dxa"/>
            <w:shd w:val="solid" w:color="FFFFFF" w:fill="auto"/>
          </w:tcPr>
          <w:p w14:paraId="679D8608" w14:textId="6D36D67C" w:rsidR="00BC24B5" w:rsidRPr="00873B6C" w:rsidRDefault="00BC24B5" w:rsidP="002C4A81">
            <w:pPr>
              <w:pStyle w:val="TAC"/>
              <w:rPr>
                <w:sz w:val="16"/>
                <w:szCs w:val="16"/>
              </w:rPr>
            </w:pPr>
            <w:r w:rsidRPr="00873B6C">
              <w:rPr>
                <w:sz w:val="16"/>
                <w:szCs w:val="16"/>
              </w:rPr>
              <w:t>2023-03</w:t>
            </w:r>
          </w:p>
        </w:tc>
        <w:tc>
          <w:tcPr>
            <w:tcW w:w="800" w:type="dxa"/>
            <w:shd w:val="solid" w:color="FFFFFF" w:fill="auto"/>
          </w:tcPr>
          <w:p w14:paraId="212BD86B" w14:textId="6BCF3833" w:rsidR="00BC24B5" w:rsidRPr="00873B6C" w:rsidRDefault="00BC24B5" w:rsidP="002C4A81">
            <w:pPr>
              <w:pStyle w:val="TAL"/>
              <w:rPr>
                <w:sz w:val="16"/>
                <w:szCs w:val="16"/>
              </w:rPr>
            </w:pPr>
            <w:r w:rsidRPr="00873B6C">
              <w:rPr>
                <w:sz w:val="16"/>
                <w:szCs w:val="16"/>
              </w:rPr>
              <w:t>SP#99</w:t>
            </w:r>
          </w:p>
        </w:tc>
        <w:tc>
          <w:tcPr>
            <w:tcW w:w="1094" w:type="dxa"/>
            <w:shd w:val="solid" w:color="FFFFFF" w:fill="auto"/>
          </w:tcPr>
          <w:p w14:paraId="2A1A4FD9" w14:textId="3AB1AF8E" w:rsidR="00BC24B5" w:rsidRPr="00873B6C" w:rsidRDefault="00BC24B5" w:rsidP="002C4A81">
            <w:pPr>
              <w:pStyle w:val="TAC"/>
              <w:rPr>
                <w:sz w:val="16"/>
                <w:szCs w:val="16"/>
              </w:rPr>
            </w:pPr>
            <w:r w:rsidRPr="00873B6C">
              <w:rPr>
                <w:sz w:val="16"/>
                <w:szCs w:val="16"/>
              </w:rPr>
              <w:t>SP-230063</w:t>
            </w:r>
          </w:p>
        </w:tc>
        <w:tc>
          <w:tcPr>
            <w:tcW w:w="567" w:type="dxa"/>
            <w:shd w:val="solid" w:color="FFFFFF" w:fill="auto"/>
          </w:tcPr>
          <w:p w14:paraId="4E75FC8A" w14:textId="07ABDEC3" w:rsidR="00BC24B5" w:rsidRPr="00873B6C" w:rsidRDefault="00BC24B5" w:rsidP="002C4A81">
            <w:pPr>
              <w:pStyle w:val="TAL"/>
              <w:rPr>
                <w:sz w:val="16"/>
                <w:szCs w:val="16"/>
              </w:rPr>
            </w:pPr>
            <w:r w:rsidRPr="00873B6C">
              <w:rPr>
                <w:sz w:val="16"/>
                <w:szCs w:val="16"/>
              </w:rPr>
              <w:t>3883</w:t>
            </w:r>
          </w:p>
        </w:tc>
        <w:tc>
          <w:tcPr>
            <w:tcW w:w="425" w:type="dxa"/>
            <w:shd w:val="solid" w:color="FFFFFF" w:fill="auto"/>
          </w:tcPr>
          <w:p w14:paraId="1F6629A1" w14:textId="678D9769" w:rsidR="00BC24B5" w:rsidRPr="00873B6C" w:rsidRDefault="00BC24B5" w:rsidP="002C4A81">
            <w:pPr>
              <w:pStyle w:val="TAL"/>
              <w:rPr>
                <w:sz w:val="16"/>
                <w:szCs w:val="16"/>
              </w:rPr>
            </w:pPr>
            <w:r w:rsidRPr="00873B6C">
              <w:rPr>
                <w:sz w:val="16"/>
                <w:szCs w:val="16"/>
              </w:rPr>
              <w:t>7</w:t>
            </w:r>
          </w:p>
        </w:tc>
        <w:tc>
          <w:tcPr>
            <w:tcW w:w="425" w:type="dxa"/>
            <w:shd w:val="solid" w:color="FFFFFF" w:fill="auto"/>
          </w:tcPr>
          <w:p w14:paraId="2D57C3C1" w14:textId="3DF6764E" w:rsidR="00BC24B5" w:rsidRPr="00873B6C" w:rsidRDefault="00BC24B5" w:rsidP="002C4A81">
            <w:pPr>
              <w:pStyle w:val="TAL"/>
              <w:rPr>
                <w:sz w:val="16"/>
                <w:szCs w:val="16"/>
              </w:rPr>
            </w:pPr>
            <w:r w:rsidRPr="00873B6C">
              <w:rPr>
                <w:sz w:val="16"/>
                <w:szCs w:val="16"/>
              </w:rPr>
              <w:t>B</w:t>
            </w:r>
          </w:p>
        </w:tc>
        <w:tc>
          <w:tcPr>
            <w:tcW w:w="4820" w:type="dxa"/>
            <w:shd w:val="solid" w:color="FFFFFF" w:fill="auto"/>
          </w:tcPr>
          <w:p w14:paraId="1AFD9AC8" w14:textId="33255C0A" w:rsidR="00BC24B5" w:rsidRPr="00873B6C" w:rsidRDefault="00BC24B5" w:rsidP="002C4A81">
            <w:pPr>
              <w:pStyle w:val="TAL"/>
              <w:rPr>
                <w:sz w:val="16"/>
                <w:szCs w:val="16"/>
              </w:rPr>
            </w:pPr>
            <w:r w:rsidRPr="00873B6C">
              <w:rPr>
                <w:sz w:val="16"/>
                <w:szCs w:val="16"/>
              </w:rPr>
              <w:t>UE discover, select and access to a Hosting network for Localized services</w:t>
            </w:r>
          </w:p>
        </w:tc>
        <w:tc>
          <w:tcPr>
            <w:tcW w:w="708" w:type="dxa"/>
            <w:shd w:val="solid" w:color="FFFFFF" w:fill="auto"/>
          </w:tcPr>
          <w:p w14:paraId="0E27B211" w14:textId="3B48ACF9" w:rsidR="00BC24B5" w:rsidRPr="00873B6C" w:rsidRDefault="00BC24B5" w:rsidP="002C4A81">
            <w:pPr>
              <w:pStyle w:val="TAC"/>
              <w:rPr>
                <w:sz w:val="16"/>
                <w:szCs w:val="16"/>
              </w:rPr>
            </w:pPr>
            <w:r w:rsidRPr="00873B6C">
              <w:rPr>
                <w:sz w:val="16"/>
                <w:szCs w:val="16"/>
              </w:rPr>
              <w:t>18.1.0</w:t>
            </w:r>
          </w:p>
        </w:tc>
      </w:tr>
      <w:tr w:rsidR="003B7084" w:rsidRPr="00873B6C" w14:paraId="315014EE" w14:textId="77777777" w:rsidTr="009D14FB">
        <w:tc>
          <w:tcPr>
            <w:tcW w:w="800" w:type="dxa"/>
            <w:shd w:val="solid" w:color="FFFFFF" w:fill="auto"/>
          </w:tcPr>
          <w:p w14:paraId="2239882C" w14:textId="683FB9C3" w:rsidR="003B7084" w:rsidRPr="00873B6C" w:rsidRDefault="003B7084" w:rsidP="002C4A81">
            <w:pPr>
              <w:pStyle w:val="TAC"/>
              <w:rPr>
                <w:sz w:val="16"/>
                <w:szCs w:val="16"/>
              </w:rPr>
            </w:pPr>
            <w:r w:rsidRPr="00873B6C">
              <w:rPr>
                <w:sz w:val="16"/>
                <w:szCs w:val="16"/>
              </w:rPr>
              <w:t>2023-03</w:t>
            </w:r>
          </w:p>
        </w:tc>
        <w:tc>
          <w:tcPr>
            <w:tcW w:w="800" w:type="dxa"/>
            <w:shd w:val="solid" w:color="FFFFFF" w:fill="auto"/>
          </w:tcPr>
          <w:p w14:paraId="1429C00D" w14:textId="6FC65CBB" w:rsidR="003B7084" w:rsidRPr="00873B6C" w:rsidRDefault="003B7084" w:rsidP="002C4A81">
            <w:pPr>
              <w:pStyle w:val="TAL"/>
              <w:rPr>
                <w:sz w:val="16"/>
                <w:szCs w:val="16"/>
              </w:rPr>
            </w:pPr>
            <w:r w:rsidRPr="00873B6C">
              <w:rPr>
                <w:sz w:val="16"/>
                <w:szCs w:val="16"/>
              </w:rPr>
              <w:t>SP#99</w:t>
            </w:r>
          </w:p>
        </w:tc>
        <w:tc>
          <w:tcPr>
            <w:tcW w:w="1094" w:type="dxa"/>
            <w:shd w:val="solid" w:color="FFFFFF" w:fill="auto"/>
          </w:tcPr>
          <w:p w14:paraId="20B971D1" w14:textId="2CFAC1AF" w:rsidR="003B7084" w:rsidRPr="00873B6C" w:rsidRDefault="003B7084" w:rsidP="002C4A81">
            <w:pPr>
              <w:pStyle w:val="TAC"/>
              <w:rPr>
                <w:sz w:val="16"/>
                <w:szCs w:val="16"/>
              </w:rPr>
            </w:pPr>
            <w:r w:rsidRPr="00873B6C">
              <w:rPr>
                <w:sz w:val="16"/>
                <w:szCs w:val="16"/>
              </w:rPr>
              <w:t>SP-230081</w:t>
            </w:r>
          </w:p>
        </w:tc>
        <w:tc>
          <w:tcPr>
            <w:tcW w:w="567" w:type="dxa"/>
            <w:shd w:val="solid" w:color="FFFFFF" w:fill="auto"/>
          </w:tcPr>
          <w:p w14:paraId="05501028" w14:textId="27E06B8B" w:rsidR="003B7084" w:rsidRPr="00873B6C" w:rsidRDefault="003B7084" w:rsidP="002C4A81">
            <w:pPr>
              <w:pStyle w:val="TAL"/>
              <w:rPr>
                <w:sz w:val="16"/>
                <w:szCs w:val="16"/>
              </w:rPr>
            </w:pPr>
            <w:r w:rsidRPr="00873B6C">
              <w:rPr>
                <w:sz w:val="16"/>
                <w:szCs w:val="16"/>
              </w:rPr>
              <w:t>3886</w:t>
            </w:r>
          </w:p>
        </w:tc>
        <w:tc>
          <w:tcPr>
            <w:tcW w:w="425" w:type="dxa"/>
            <w:shd w:val="solid" w:color="FFFFFF" w:fill="auto"/>
          </w:tcPr>
          <w:p w14:paraId="6B888EF8" w14:textId="678A85D7" w:rsidR="003B7084" w:rsidRPr="00873B6C" w:rsidRDefault="003B7084" w:rsidP="002C4A81">
            <w:pPr>
              <w:pStyle w:val="TAL"/>
              <w:rPr>
                <w:sz w:val="16"/>
                <w:szCs w:val="16"/>
              </w:rPr>
            </w:pPr>
            <w:r w:rsidRPr="00873B6C">
              <w:rPr>
                <w:sz w:val="16"/>
                <w:szCs w:val="16"/>
              </w:rPr>
              <w:t>-</w:t>
            </w:r>
          </w:p>
        </w:tc>
        <w:tc>
          <w:tcPr>
            <w:tcW w:w="425" w:type="dxa"/>
            <w:shd w:val="solid" w:color="FFFFFF" w:fill="auto"/>
          </w:tcPr>
          <w:p w14:paraId="70E1A206" w14:textId="483D7AD9" w:rsidR="003B7084" w:rsidRPr="00873B6C" w:rsidRDefault="003B7084" w:rsidP="002C4A81">
            <w:pPr>
              <w:pStyle w:val="TAL"/>
              <w:rPr>
                <w:sz w:val="16"/>
                <w:szCs w:val="16"/>
              </w:rPr>
            </w:pPr>
            <w:r w:rsidRPr="00873B6C">
              <w:rPr>
                <w:sz w:val="16"/>
                <w:szCs w:val="16"/>
              </w:rPr>
              <w:t>B</w:t>
            </w:r>
          </w:p>
        </w:tc>
        <w:tc>
          <w:tcPr>
            <w:tcW w:w="4820" w:type="dxa"/>
            <w:shd w:val="solid" w:color="FFFFFF" w:fill="auto"/>
          </w:tcPr>
          <w:p w14:paraId="1B11A99B" w14:textId="799EA654" w:rsidR="003B7084" w:rsidRPr="00873B6C" w:rsidRDefault="003B7084" w:rsidP="002C4A81">
            <w:pPr>
              <w:pStyle w:val="TAL"/>
              <w:rPr>
                <w:sz w:val="16"/>
                <w:szCs w:val="16"/>
              </w:rPr>
            </w:pPr>
            <w:r w:rsidRPr="00873B6C">
              <w:rPr>
                <w:sz w:val="16"/>
                <w:szCs w:val="16"/>
              </w:rPr>
              <w:t>23.501 - Spending Limits for AM and UE Policies in the 5GC</w:t>
            </w:r>
          </w:p>
        </w:tc>
        <w:tc>
          <w:tcPr>
            <w:tcW w:w="708" w:type="dxa"/>
            <w:shd w:val="solid" w:color="FFFFFF" w:fill="auto"/>
          </w:tcPr>
          <w:p w14:paraId="0FA468AB" w14:textId="565FDA01" w:rsidR="003B7084" w:rsidRPr="00873B6C" w:rsidRDefault="003B7084" w:rsidP="002C4A81">
            <w:pPr>
              <w:pStyle w:val="TAC"/>
              <w:rPr>
                <w:sz w:val="16"/>
                <w:szCs w:val="16"/>
              </w:rPr>
            </w:pPr>
            <w:r w:rsidRPr="00873B6C">
              <w:rPr>
                <w:sz w:val="16"/>
                <w:szCs w:val="16"/>
              </w:rPr>
              <w:t>18.1.0</w:t>
            </w:r>
          </w:p>
        </w:tc>
      </w:tr>
      <w:tr w:rsidR="003B7084" w:rsidRPr="00873B6C" w14:paraId="61767FDA" w14:textId="77777777" w:rsidTr="009D14FB">
        <w:tc>
          <w:tcPr>
            <w:tcW w:w="800" w:type="dxa"/>
            <w:shd w:val="solid" w:color="FFFFFF" w:fill="auto"/>
          </w:tcPr>
          <w:p w14:paraId="14EEDEAE" w14:textId="1A13B23A" w:rsidR="003B7084" w:rsidRPr="00873B6C" w:rsidRDefault="003B7084" w:rsidP="002C4A81">
            <w:pPr>
              <w:pStyle w:val="TAC"/>
              <w:rPr>
                <w:sz w:val="16"/>
                <w:szCs w:val="16"/>
              </w:rPr>
            </w:pPr>
            <w:r w:rsidRPr="00873B6C">
              <w:rPr>
                <w:sz w:val="16"/>
                <w:szCs w:val="16"/>
              </w:rPr>
              <w:t>2023-03</w:t>
            </w:r>
          </w:p>
        </w:tc>
        <w:tc>
          <w:tcPr>
            <w:tcW w:w="800" w:type="dxa"/>
            <w:shd w:val="solid" w:color="FFFFFF" w:fill="auto"/>
          </w:tcPr>
          <w:p w14:paraId="2AE186FD" w14:textId="00A9215B" w:rsidR="003B7084" w:rsidRPr="00873B6C" w:rsidRDefault="003B7084" w:rsidP="002C4A81">
            <w:pPr>
              <w:pStyle w:val="TAL"/>
              <w:rPr>
                <w:sz w:val="16"/>
                <w:szCs w:val="16"/>
              </w:rPr>
            </w:pPr>
            <w:r w:rsidRPr="00873B6C">
              <w:rPr>
                <w:sz w:val="16"/>
                <w:szCs w:val="16"/>
              </w:rPr>
              <w:t>SP#99</w:t>
            </w:r>
          </w:p>
        </w:tc>
        <w:tc>
          <w:tcPr>
            <w:tcW w:w="1094" w:type="dxa"/>
            <w:shd w:val="solid" w:color="FFFFFF" w:fill="auto"/>
          </w:tcPr>
          <w:p w14:paraId="29046038" w14:textId="48B27185" w:rsidR="003B7084" w:rsidRPr="00873B6C" w:rsidRDefault="003B7084" w:rsidP="002C4A81">
            <w:pPr>
              <w:pStyle w:val="TAC"/>
              <w:rPr>
                <w:sz w:val="16"/>
                <w:szCs w:val="16"/>
              </w:rPr>
            </w:pPr>
            <w:r w:rsidRPr="00873B6C">
              <w:rPr>
                <w:sz w:val="16"/>
                <w:szCs w:val="16"/>
              </w:rPr>
              <w:t>SP-230247</w:t>
            </w:r>
          </w:p>
        </w:tc>
        <w:tc>
          <w:tcPr>
            <w:tcW w:w="567" w:type="dxa"/>
            <w:shd w:val="solid" w:color="FFFFFF" w:fill="auto"/>
          </w:tcPr>
          <w:p w14:paraId="27EC02B0" w14:textId="73716211" w:rsidR="003B7084" w:rsidRPr="00873B6C" w:rsidRDefault="003B7084" w:rsidP="002C4A81">
            <w:pPr>
              <w:pStyle w:val="TAL"/>
              <w:rPr>
                <w:sz w:val="16"/>
                <w:szCs w:val="16"/>
              </w:rPr>
            </w:pPr>
            <w:r w:rsidRPr="00873B6C">
              <w:rPr>
                <w:sz w:val="16"/>
                <w:szCs w:val="16"/>
              </w:rPr>
              <w:t>3887</w:t>
            </w:r>
          </w:p>
        </w:tc>
        <w:tc>
          <w:tcPr>
            <w:tcW w:w="425" w:type="dxa"/>
            <w:shd w:val="solid" w:color="FFFFFF" w:fill="auto"/>
          </w:tcPr>
          <w:p w14:paraId="242FD236" w14:textId="5FCC275A" w:rsidR="003B7084" w:rsidRPr="00873B6C" w:rsidRDefault="003B7084" w:rsidP="002C4A81">
            <w:pPr>
              <w:pStyle w:val="TAL"/>
              <w:rPr>
                <w:sz w:val="16"/>
                <w:szCs w:val="16"/>
              </w:rPr>
            </w:pPr>
            <w:r w:rsidRPr="00873B6C">
              <w:rPr>
                <w:sz w:val="16"/>
                <w:szCs w:val="16"/>
              </w:rPr>
              <w:t>6</w:t>
            </w:r>
          </w:p>
        </w:tc>
        <w:tc>
          <w:tcPr>
            <w:tcW w:w="425" w:type="dxa"/>
            <w:shd w:val="solid" w:color="FFFFFF" w:fill="auto"/>
          </w:tcPr>
          <w:p w14:paraId="59A024E7" w14:textId="360E92C5" w:rsidR="003B7084" w:rsidRPr="00873B6C" w:rsidRDefault="003B7084" w:rsidP="002C4A81">
            <w:pPr>
              <w:pStyle w:val="TAL"/>
              <w:rPr>
                <w:sz w:val="16"/>
                <w:szCs w:val="16"/>
              </w:rPr>
            </w:pPr>
            <w:r w:rsidRPr="00873B6C">
              <w:rPr>
                <w:sz w:val="16"/>
                <w:szCs w:val="16"/>
              </w:rPr>
              <w:t>B</w:t>
            </w:r>
          </w:p>
        </w:tc>
        <w:tc>
          <w:tcPr>
            <w:tcW w:w="4820" w:type="dxa"/>
            <w:shd w:val="solid" w:color="FFFFFF" w:fill="auto"/>
          </w:tcPr>
          <w:p w14:paraId="6FB4901A" w14:textId="682158B2" w:rsidR="003B7084" w:rsidRPr="00873B6C" w:rsidRDefault="003B7084" w:rsidP="002C4A81">
            <w:pPr>
              <w:pStyle w:val="TAL"/>
              <w:rPr>
                <w:sz w:val="16"/>
                <w:szCs w:val="16"/>
              </w:rPr>
            </w:pPr>
            <w:r w:rsidRPr="00873B6C">
              <w:rPr>
                <w:sz w:val="16"/>
                <w:szCs w:val="16"/>
              </w:rPr>
              <w:t>Introduction of 5GS Information Exposure</w:t>
            </w:r>
            <w:r w:rsidRPr="00873B6C">
              <w:rPr>
                <w:sz w:val="16"/>
                <w:szCs w:val="16"/>
              </w:rPr>
              <w:tab/>
            </w:r>
          </w:p>
        </w:tc>
        <w:tc>
          <w:tcPr>
            <w:tcW w:w="708" w:type="dxa"/>
            <w:shd w:val="solid" w:color="FFFFFF" w:fill="auto"/>
          </w:tcPr>
          <w:p w14:paraId="7D091BA5" w14:textId="6254894A" w:rsidR="003B7084" w:rsidRPr="00873B6C" w:rsidRDefault="003B7084" w:rsidP="002C4A81">
            <w:pPr>
              <w:pStyle w:val="TAC"/>
              <w:rPr>
                <w:sz w:val="16"/>
                <w:szCs w:val="16"/>
              </w:rPr>
            </w:pPr>
            <w:r w:rsidRPr="00873B6C">
              <w:rPr>
                <w:sz w:val="16"/>
                <w:szCs w:val="16"/>
              </w:rPr>
              <w:t>18.1.0</w:t>
            </w:r>
          </w:p>
        </w:tc>
      </w:tr>
      <w:tr w:rsidR="003A5CE6" w:rsidRPr="00873B6C" w14:paraId="22E406B4" w14:textId="77777777" w:rsidTr="009D14FB">
        <w:tc>
          <w:tcPr>
            <w:tcW w:w="800" w:type="dxa"/>
            <w:shd w:val="solid" w:color="FFFFFF" w:fill="auto"/>
          </w:tcPr>
          <w:p w14:paraId="3B91CDD0" w14:textId="20E1F8EA" w:rsidR="003A5CE6" w:rsidRPr="00873B6C" w:rsidRDefault="003A5CE6" w:rsidP="002C4A81">
            <w:pPr>
              <w:pStyle w:val="TAC"/>
              <w:rPr>
                <w:sz w:val="16"/>
                <w:szCs w:val="16"/>
              </w:rPr>
            </w:pPr>
            <w:r w:rsidRPr="00873B6C">
              <w:rPr>
                <w:sz w:val="16"/>
                <w:szCs w:val="16"/>
              </w:rPr>
              <w:t>2023-03</w:t>
            </w:r>
          </w:p>
        </w:tc>
        <w:tc>
          <w:tcPr>
            <w:tcW w:w="800" w:type="dxa"/>
            <w:shd w:val="solid" w:color="FFFFFF" w:fill="auto"/>
          </w:tcPr>
          <w:p w14:paraId="63918179" w14:textId="1816F477" w:rsidR="003A5CE6" w:rsidRPr="00873B6C" w:rsidRDefault="003A5CE6" w:rsidP="002C4A81">
            <w:pPr>
              <w:pStyle w:val="TAL"/>
              <w:rPr>
                <w:sz w:val="16"/>
                <w:szCs w:val="16"/>
              </w:rPr>
            </w:pPr>
            <w:r w:rsidRPr="00873B6C">
              <w:rPr>
                <w:sz w:val="16"/>
                <w:szCs w:val="16"/>
              </w:rPr>
              <w:t>SP#99</w:t>
            </w:r>
          </w:p>
        </w:tc>
        <w:tc>
          <w:tcPr>
            <w:tcW w:w="1094" w:type="dxa"/>
            <w:shd w:val="solid" w:color="FFFFFF" w:fill="auto"/>
          </w:tcPr>
          <w:p w14:paraId="6020E1C9" w14:textId="60D777E8" w:rsidR="003A5CE6" w:rsidRPr="00873B6C" w:rsidRDefault="003A5CE6" w:rsidP="002C4A81">
            <w:pPr>
              <w:pStyle w:val="TAC"/>
              <w:rPr>
                <w:sz w:val="16"/>
                <w:szCs w:val="16"/>
              </w:rPr>
            </w:pPr>
            <w:r w:rsidRPr="00873B6C">
              <w:rPr>
                <w:sz w:val="16"/>
                <w:szCs w:val="16"/>
              </w:rPr>
              <w:t>SP-230052</w:t>
            </w:r>
          </w:p>
        </w:tc>
        <w:tc>
          <w:tcPr>
            <w:tcW w:w="567" w:type="dxa"/>
            <w:shd w:val="solid" w:color="FFFFFF" w:fill="auto"/>
          </w:tcPr>
          <w:p w14:paraId="6882CC43" w14:textId="43AD2956" w:rsidR="003A5CE6" w:rsidRPr="00873B6C" w:rsidRDefault="003A5CE6" w:rsidP="002C4A81">
            <w:pPr>
              <w:pStyle w:val="TAL"/>
              <w:rPr>
                <w:sz w:val="16"/>
                <w:szCs w:val="16"/>
              </w:rPr>
            </w:pPr>
            <w:r w:rsidRPr="00873B6C">
              <w:rPr>
                <w:sz w:val="16"/>
                <w:szCs w:val="16"/>
              </w:rPr>
              <w:t>3892</w:t>
            </w:r>
          </w:p>
        </w:tc>
        <w:tc>
          <w:tcPr>
            <w:tcW w:w="425" w:type="dxa"/>
            <w:shd w:val="solid" w:color="FFFFFF" w:fill="auto"/>
          </w:tcPr>
          <w:p w14:paraId="7CE303EC" w14:textId="6517933E" w:rsidR="003A5CE6" w:rsidRPr="00873B6C" w:rsidRDefault="003A5CE6" w:rsidP="002C4A81">
            <w:pPr>
              <w:pStyle w:val="TAL"/>
              <w:rPr>
                <w:sz w:val="16"/>
                <w:szCs w:val="16"/>
              </w:rPr>
            </w:pPr>
            <w:r w:rsidRPr="00873B6C">
              <w:rPr>
                <w:sz w:val="16"/>
                <w:szCs w:val="16"/>
              </w:rPr>
              <w:t>6</w:t>
            </w:r>
          </w:p>
        </w:tc>
        <w:tc>
          <w:tcPr>
            <w:tcW w:w="425" w:type="dxa"/>
            <w:shd w:val="solid" w:color="FFFFFF" w:fill="auto"/>
          </w:tcPr>
          <w:p w14:paraId="2C1A6FEB" w14:textId="5478AAE8" w:rsidR="003A5CE6" w:rsidRPr="00873B6C" w:rsidRDefault="003A5CE6" w:rsidP="002C4A81">
            <w:pPr>
              <w:pStyle w:val="TAL"/>
              <w:rPr>
                <w:sz w:val="16"/>
                <w:szCs w:val="16"/>
              </w:rPr>
            </w:pPr>
            <w:r w:rsidRPr="00873B6C">
              <w:rPr>
                <w:sz w:val="16"/>
                <w:szCs w:val="16"/>
              </w:rPr>
              <w:t>B</w:t>
            </w:r>
          </w:p>
        </w:tc>
        <w:tc>
          <w:tcPr>
            <w:tcW w:w="4820" w:type="dxa"/>
            <w:shd w:val="solid" w:color="FFFFFF" w:fill="auto"/>
          </w:tcPr>
          <w:p w14:paraId="0D445587" w14:textId="34416A03" w:rsidR="003A5CE6" w:rsidRPr="00873B6C" w:rsidRDefault="003A5CE6" w:rsidP="002C4A81">
            <w:pPr>
              <w:pStyle w:val="TAL"/>
              <w:rPr>
                <w:sz w:val="16"/>
                <w:szCs w:val="16"/>
              </w:rPr>
            </w:pPr>
            <w:r w:rsidRPr="00873B6C">
              <w:rPr>
                <w:sz w:val="16"/>
                <w:szCs w:val="16"/>
              </w:rPr>
              <w:t>Support for network timing synchronization status and reporting KI1 - description</w:t>
            </w:r>
          </w:p>
        </w:tc>
        <w:tc>
          <w:tcPr>
            <w:tcW w:w="708" w:type="dxa"/>
            <w:shd w:val="solid" w:color="FFFFFF" w:fill="auto"/>
          </w:tcPr>
          <w:p w14:paraId="1191D6A4" w14:textId="4C8CC5DD" w:rsidR="003A5CE6" w:rsidRPr="00873B6C" w:rsidRDefault="003A5CE6" w:rsidP="002C4A81">
            <w:pPr>
              <w:pStyle w:val="TAC"/>
              <w:rPr>
                <w:sz w:val="16"/>
                <w:szCs w:val="16"/>
              </w:rPr>
            </w:pPr>
            <w:r w:rsidRPr="00873B6C">
              <w:rPr>
                <w:sz w:val="16"/>
                <w:szCs w:val="16"/>
              </w:rPr>
              <w:t>18.1.0</w:t>
            </w:r>
          </w:p>
        </w:tc>
      </w:tr>
      <w:tr w:rsidR="002062D8" w:rsidRPr="00873B6C" w14:paraId="738103D5" w14:textId="77777777" w:rsidTr="009D14FB">
        <w:tc>
          <w:tcPr>
            <w:tcW w:w="800" w:type="dxa"/>
            <w:shd w:val="solid" w:color="FFFFFF" w:fill="auto"/>
          </w:tcPr>
          <w:p w14:paraId="10443746" w14:textId="377CE7FC" w:rsidR="002062D8" w:rsidRPr="00873B6C" w:rsidRDefault="002062D8" w:rsidP="002C4A81">
            <w:pPr>
              <w:pStyle w:val="TAC"/>
              <w:rPr>
                <w:sz w:val="16"/>
                <w:szCs w:val="16"/>
              </w:rPr>
            </w:pPr>
            <w:r w:rsidRPr="00873B6C">
              <w:rPr>
                <w:sz w:val="16"/>
                <w:szCs w:val="16"/>
              </w:rPr>
              <w:t>2023-03</w:t>
            </w:r>
          </w:p>
        </w:tc>
        <w:tc>
          <w:tcPr>
            <w:tcW w:w="800" w:type="dxa"/>
            <w:shd w:val="solid" w:color="FFFFFF" w:fill="auto"/>
          </w:tcPr>
          <w:p w14:paraId="24092A55" w14:textId="4DDC6DB6" w:rsidR="002062D8" w:rsidRPr="00873B6C" w:rsidRDefault="002062D8" w:rsidP="002C4A81">
            <w:pPr>
              <w:pStyle w:val="TAL"/>
              <w:rPr>
                <w:sz w:val="16"/>
                <w:szCs w:val="16"/>
              </w:rPr>
            </w:pPr>
            <w:r w:rsidRPr="00873B6C">
              <w:rPr>
                <w:sz w:val="16"/>
                <w:szCs w:val="16"/>
              </w:rPr>
              <w:t>SP#99</w:t>
            </w:r>
          </w:p>
        </w:tc>
        <w:tc>
          <w:tcPr>
            <w:tcW w:w="1094" w:type="dxa"/>
            <w:shd w:val="solid" w:color="FFFFFF" w:fill="auto"/>
          </w:tcPr>
          <w:p w14:paraId="0EA9D7AC" w14:textId="6F4E486D" w:rsidR="002062D8" w:rsidRPr="00873B6C" w:rsidRDefault="002062D8" w:rsidP="002C4A81">
            <w:pPr>
              <w:pStyle w:val="TAC"/>
              <w:rPr>
                <w:sz w:val="16"/>
                <w:szCs w:val="16"/>
              </w:rPr>
            </w:pPr>
            <w:r w:rsidRPr="00873B6C">
              <w:rPr>
                <w:sz w:val="16"/>
                <w:szCs w:val="16"/>
              </w:rPr>
              <w:t>SP-230052</w:t>
            </w:r>
          </w:p>
        </w:tc>
        <w:tc>
          <w:tcPr>
            <w:tcW w:w="567" w:type="dxa"/>
            <w:shd w:val="solid" w:color="FFFFFF" w:fill="auto"/>
          </w:tcPr>
          <w:p w14:paraId="24C39E54" w14:textId="1C69BDAE" w:rsidR="002062D8" w:rsidRPr="00873B6C" w:rsidRDefault="002062D8" w:rsidP="002C4A81">
            <w:pPr>
              <w:pStyle w:val="TAL"/>
              <w:rPr>
                <w:sz w:val="16"/>
                <w:szCs w:val="16"/>
              </w:rPr>
            </w:pPr>
            <w:r w:rsidRPr="00873B6C">
              <w:rPr>
                <w:sz w:val="16"/>
                <w:szCs w:val="16"/>
              </w:rPr>
              <w:t>3895</w:t>
            </w:r>
          </w:p>
        </w:tc>
        <w:tc>
          <w:tcPr>
            <w:tcW w:w="425" w:type="dxa"/>
            <w:shd w:val="solid" w:color="FFFFFF" w:fill="auto"/>
          </w:tcPr>
          <w:p w14:paraId="7F9DC2DF" w14:textId="1F9E7888" w:rsidR="002062D8" w:rsidRPr="00873B6C" w:rsidRDefault="002062D8" w:rsidP="002C4A81">
            <w:pPr>
              <w:pStyle w:val="TAL"/>
              <w:rPr>
                <w:sz w:val="16"/>
                <w:szCs w:val="16"/>
              </w:rPr>
            </w:pPr>
            <w:r w:rsidRPr="00873B6C">
              <w:rPr>
                <w:sz w:val="16"/>
                <w:szCs w:val="16"/>
              </w:rPr>
              <w:t>4</w:t>
            </w:r>
          </w:p>
        </w:tc>
        <w:tc>
          <w:tcPr>
            <w:tcW w:w="425" w:type="dxa"/>
            <w:shd w:val="solid" w:color="FFFFFF" w:fill="auto"/>
          </w:tcPr>
          <w:p w14:paraId="6249D45A" w14:textId="1D82B55A" w:rsidR="002062D8" w:rsidRPr="00873B6C" w:rsidRDefault="002062D8" w:rsidP="002C4A81">
            <w:pPr>
              <w:pStyle w:val="TAL"/>
              <w:rPr>
                <w:sz w:val="16"/>
                <w:szCs w:val="16"/>
              </w:rPr>
            </w:pPr>
            <w:r w:rsidRPr="00873B6C">
              <w:rPr>
                <w:sz w:val="16"/>
                <w:szCs w:val="16"/>
              </w:rPr>
              <w:t>C</w:t>
            </w:r>
          </w:p>
        </w:tc>
        <w:tc>
          <w:tcPr>
            <w:tcW w:w="4820" w:type="dxa"/>
            <w:shd w:val="solid" w:color="FFFFFF" w:fill="auto"/>
          </w:tcPr>
          <w:p w14:paraId="45647DE7" w14:textId="3A73FD29" w:rsidR="002062D8" w:rsidRPr="00873B6C" w:rsidRDefault="002062D8" w:rsidP="002C4A81">
            <w:pPr>
              <w:pStyle w:val="TAL"/>
              <w:rPr>
                <w:sz w:val="16"/>
                <w:szCs w:val="16"/>
              </w:rPr>
            </w:pPr>
            <w:r w:rsidRPr="00873B6C">
              <w:rPr>
                <w:sz w:val="16"/>
                <w:szCs w:val="16"/>
              </w:rPr>
              <w:t>The support for Periodicity feedback in Enablers for Time Sensitive Communications and Time Synchronization feature KI6.</w:t>
            </w:r>
          </w:p>
        </w:tc>
        <w:tc>
          <w:tcPr>
            <w:tcW w:w="708" w:type="dxa"/>
            <w:shd w:val="solid" w:color="FFFFFF" w:fill="auto"/>
          </w:tcPr>
          <w:p w14:paraId="3B3ECE66" w14:textId="0EC3E1F8" w:rsidR="002062D8" w:rsidRPr="00873B6C" w:rsidRDefault="002062D8" w:rsidP="002C4A81">
            <w:pPr>
              <w:pStyle w:val="TAC"/>
              <w:rPr>
                <w:sz w:val="16"/>
                <w:szCs w:val="16"/>
              </w:rPr>
            </w:pPr>
            <w:r w:rsidRPr="00873B6C">
              <w:rPr>
                <w:sz w:val="16"/>
                <w:szCs w:val="16"/>
              </w:rPr>
              <w:t>18.1.0</w:t>
            </w:r>
          </w:p>
        </w:tc>
      </w:tr>
      <w:tr w:rsidR="002062D8" w:rsidRPr="00873B6C" w14:paraId="540591F2" w14:textId="77777777" w:rsidTr="009D14FB">
        <w:tc>
          <w:tcPr>
            <w:tcW w:w="800" w:type="dxa"/>
            <w:shd w:val="solid" w:color="FFFFFF" w:fill="auto"/>
          </w:tcPr>
          <w:p w14:paraId="68CCFCCF" w14:textId="74BCE44D" w:rsidR="002062D8" w:rsidRPr="00873B6C" w:rsidRDefault="002062D8" w:rsidP="002C4A81">
            <w:pPr>
              <w:pStyle w:val="TAC"/>
              <w:rPr>
                <w:sz w:val="16"/>
                <w:szCs w:val="16"/>
              </w:rPr>
            </w:pPr>
            <w:r w:rsidRPr="00873B6C">
              <w:rPr>
                <w:sz w:val="16"/>
                <w:szCs w:val="16"/>
              </w:rPr>
              <w:t>2023-03</w:t>
            </w:r>
          </w:p>
        </w:tc>
        <w:tc>
          <w:tcPr>
            <w:tcW w:w="800" w:type="dxa"/>
            <w:shd w:val="solid" w:color="FFFFFF" w:fill="auto"/>
          </w:tcPr>
          <w:p w14:paraId="1B0B7EBF" w14:textId="0D8F53B0" w:rsidR="002062D8" w:rsidRPr="00873B6C" w:rsidRDefault="002062D8" w:rsidP="002C4A81">
            <w:pPr>
              <w:pStyle w:val="TAL"/>
              <w:rPr>
                <w:sz w:val="16"/>
                <w:szCs w:val="16"/>
              </w:rPr>
            </w:pPr>
            <w:r w:rsidRPr="00873B6C">
              <w:rPr>
                <w:sz w:val="16"/>
                <w:szCs w:val="16"/>
              </w:rPr>
              <w:t>SP#99</w:t>
            </w:r>
          </w:p>
        </w:tc>
        <w:tc>
          <w:tcPr>
            <w:tcW w:w="1094" w:type="dxa"/>
            <w:shd w:val="solid" w:color="FFFFFF" w:fill="auto"/>
          </w:tcPr>
          <w:p w14:paraId="230A2E4B" w14:textId="22B6EB49" w:rsidR="002062D8" w:rsidRPr="00873B6C" w:rsidRDefault="002062D8" w:rsidP="002C4A81">
            <w:pPr>
              <w:pStyle w:val="TAC"/>
              <w:rPr>
                <w:sz w:val="16"/>
                <w:szCs w:val="16"/>
              </w:rPr>
            </w:pPr>
            <w:r w:rsidRPr="00873B6C">
              <w:rPr>
                <w:sz w:val="16"/>
                <w:szCs w:val="16"/>
              </w:rPr>
              <w:t>SP-230247</w:t>
            </w:r>
          </w:p>
        </w:tc>
        <w:tc>
          <w:tcPr>
            <w:tcW w:w="567" w:type="dxa"/>
            <w:shd w:val="solid" w:color="FFFFFF" w:fill="auto"/>
          </w:tcPr>
          <w:p w14:paraId="589EC2F8" w14:textId="4E8A4833" w:rsidR="002062D8" w:rsidRPr="00873B6C" w:rsidRDefault="002062D8" w:rsidP="002C4A81">
            <w:pPr>
              <w:pStyle w:val="TAL"/>
              <w:rPr>
                <w:sz w:val="16"/>
                <w:szCs w:val="16"/>
              </w:rPr>
            </w:pPr>
            <w:r w:rsidRPr="00873B6C">
              <w:rPr>
                <w:sz w:val="16"/>
                <w:szCs w:val="16"/>
              </w:rPr>
              <w:t>3896</w:t>
            </w:r>
          </w:p>
        </w:tc>
        <w:tc>
          <w:tcPr>
            <w:tcW w:w="425" w:type="dxa"/>
            <w:shd w:val="solid" w:color="FFFFFF" w:fill="auto"/>
          </w:tcPr>
          <w:p w14:paraId="5DAA881F" w14:textId="2A00AE63" w:rsidR="002062D8" w:rsidRPr="00873B6C" w:rsidRDefault="002062D8" w:rsidP="002C4A81">
            <w:pPr>
              <w:pStyle w:val="TAL"/>
              <w:rPr>
                <w:sz w:val="16"/>
                <w:szCs w:val="16"/>
              </w:rPr>
            </w:pPr>
            <w:r w:rsidRPr="00873B6C">
              <w:rPr>
                <w:sz w:val="16"/>
                <w:szCs w:val="16"/>
              </w:rPr>
              <w:t>12</w:t>
            </w:r>
          </w:p>
        </w:tc>
        <w:tc>
          <w:tcPr>
            <w:tcW w:w="425" w:type="dxa"/>
            <w:shd w:val="solid" w:color="FFFFFF" w:fill="auto"/>
          </w:tcPr>
          <w:p w14:paraId="7234F9E8" w14:textId="772EC7FB" w:rsidR="002062D8" w:rsidRPr="00873B6C" w:rsidRDefault="002062D8" w:rsidP="002C4A81">
            <w:pPr>
              <w:pStyle w:val="TAL"/>
              <w:rPr>
                <w:sz w:val="16"/>
                <w:szCs w:val="16"/>
              </w:rPr>
            </w:pPr>
            <w:r w:rsidRPr="00873B6C">
              <w:rPr>
                <w:sz w:val="16"/>
                <w:szCs w:val="16"/>
              </w:rPr>
              <w:t>B</w:t>
            </w:r>
          </w:p>
        </w:tc>
        <w:tc>
          <w:tcPr>
            <w:tcW w:w="4820" w:type="dxa"/>
            <w:shd w:val="solid" w:color="FFFFFF" w:fill="auto"/>
          </w:tcPr>
          <w:p w14:paraId="756421A7" w14:textId="58BAD4FA" w:rsidR="002062D8" w:rsidRPr="00873B6C" w:rsidRDefault="002062D8" w:rsidP="002C4A81">
            <w:pPr>
              <w:pStyle w:val="TAL"/>
              <w:rPr>
                <w:sz w:val="16"/>
                <w:szCs w:val="16"/>
              </w:rPr>
            </w:pPr>
            <w:r w:rsidRPr="00873B6C">
              <w:rPr>
                <w:sz w:val="16"/>
                <w:szCs w:val="16"/>
              </w:rPr>
              <w:t>Update TS23.501 to reflect conclusion of KI#4 for XRM in TR23.700-60</w:t>
            </w:r>
          </w:p>
        </w:tc>
        <w:tc>
          <w:tcPr>
            <w:tcW w:w="708" w:type="dxa"/>
            <w:shd w:val="solid" w:color="FFFFFF" w:fill="auto"/>
          </w:tcPr>
          <w:p w14:paraId="1D6C04EC" w14:textId="12897123" w:rsidR="002062D8" w:rsidRPr="00873B6C" w:rsidRDefault="002062D8" w:rsidP="002C4A81">
            <w:pPr>
              <w:pStyle w:val="TAC"/>
              <w:rPr>
                <w:sz w:val="16"/>
                <w:szCs w:val="16"/>
              </w:rPr>
            </w:pPr>
            <w:r w:rsidRPr="00873B6C">
              <w:rPr>
                <w:sz w:val="16"/>
                <w:szCs w:val="16"/>
              </w:rPr>
              <w:t>18.1.0</w:t>
            </w:r>
          </w:p>
        </w:tc>
      </w:tr>
      <w:tr w:rsidR="006514B8" w:rsidRPr="00873B6C" w14:paraId="18E6739C" w14:textId="77777777" w:rsidTr="009D14FB">
        <w:tc>
          <w:tcPr>
            <w:tcW w:w="800" w:type="dxa"/>
            <w:shd w:val="solid" w:color="FFFFFF" w:fill="auto"/>
          </w:tcPr>
          <w:p w14:paraId="18C58165" w14:textId="5BEDF3CC" w:rsidR="006514B8" w:rsidRPr="00873B6C" w:rsidRDefault="006514B8" w:rsidP="002C4A81">
            <w:pPr>
              <w:pStyle w:val="TAC"/>
              <w:rPr>
                <w:sz w:val="16"/>
                <w:szCs w:val="16"/>
              </w:rPr>
            </w:pPr>
            <w:r w:rsidRPr="00873B6C">
              <w:rPr>
                <w:sz w:val="16"/>
                <w:szCs w:val="16"/>
              </w:rPr>
              <w:t>2023-03</w:t>
            </w:r>
          </w:p>
        </w:tc>
        <w:tc>
          <w:tcPr>
            <w:tcW w:w="800" w:type="dxa"/>
            <w:shd w:val="solid" w:color="FFFFFF" w:fill="auto"/>
          </w:tcPr>
          <w:p w14:paraId="6C01B663" w14:textId="52AEC7ED" w:rsidR="006514B8" w:rsidRPr="00873B6C" w:rsidRDefault="006514B8" w:rsidP="002C4A81">
            <w:pPr>
              <w:pStyle w:val="TAL"/>
              <w:rPr>
                <w:sz w:val="16"/>
                <w:szCs w:val="16"/>
              </w:rPr>
            </w:pPr>
            <w:r w:rsidRPr="00873B6C">
              <w:rPr>
                <w:sz w:val="16"/>
                <w:szCs w:val="16"/>
              </w:rPr>
              <w:t>SP#99</w:t>
            </w:r>
          </w:p>
        </w:tc>
        <w:tc>
          <w:tcPr>
            <w:tcW w:w="1094" w:type="dxa"/>
            <w:shd w:val="solid" w:color="FFFFFF" w:fill="auto"/>
          </w:tcPr>
          <w:p w14:paraId="18BEE4BC" w14:textId="65238333" w:rsidR="006514B8" w:rsidRPr="00873B6C" w:rsidRDefault="006514B8" w:rsidP="002C4A81">
            <w:pPr>
              <w:pStyle w:val="TAC"/>
              <w:rPr>
                <w:sz w:val="16"/>
                <w:szCs w:val="16"/>
              </w:rPr>
            </w:pPr>
            <w:r w:rsidRPr="00873B6C">
              <w:rPr>
                <w:sz w:val="16"/>
                <w:szCs w:val="16"/>
              </w:rPr>
              <w:t>SP-230073</w:t>
            </w:r>
          </w:p>
        </w:tc>
        <w:tc>
          <w:tcPr>
            <w:tcW w:w="567" w:type="dxa"/>
            <w:shd w:val="solid" w:color="FFFFFF" w:fill="auto"/>
          </w:tcPr>
          <w:p w14:paraId="6E59C202" w14:textId="1638C1BE" w:rsidR="006514B8" w:rsidRPr="00873B6C" w:rsidRDefault="006514B8" w:rsidP="002C4A81">
            <w:pPr>
              <w:pStyle w:val="TAL"/>
              <w:rPr>
                <w:sz w:val="16"/>
                <w:szCs w:val="16"/>
              </w:rPr>
            </w:pPr>
            <w:r w:rsidRPr="00873B6C">
              <w:rPr>
                <w:sz w:val="16"/>
                <w:szCs w:val="16"/>
              </w:rPr>
              <w:t>3897</w:t>
            </w:r>
          </w:p>
        </w:tc>
        <w:tc>
          <w:tcPr>
            <w:tcW w:w="425" w:type="dxa"/>
            <w:shd w:val="solid" w:color="FFFFFF" w:fill="auto"/>
          </w:tcPr>
          <w:p w14:paraId="0474AC09" w14:textId="1A6D460E" w:rsidR="006514B8" w:rsidRPr="00873B6C" w:rsidRDefault="006514B8" w:rsidP="002C4A81">
            <w:pPr>
              <w:pStyle w:val="TAL"/>
              <w:rPr>
                <w:sz w:val="16"/>
                <w:szCs w:val="16"/>
              </w:rPr>
            </w:pPr>
            <w:r w:rsidRPr="00873B6C">
              <w:rPr>
                <w:sz w:val="16"/>
                <w:szCs w:val="16"/>
              </w:rPr>
              <w:t>12</w:t>
            </w:r>
          </w:p>
        </w:tc>
        <w:tc>
          <w:tcPr>
            <w:tcW w:w="425" w:type="dxa"/>
            <w:shd w:val="solid" w:color="FFFFFF" w:fill="auto"/>
          </w:tcPr>
          <w:p w14:paraId="0AF87890" w14:textId="6D254B1E" w:rsidR="006514B8" w:rsidRPr="00873B6C" w:rsidRDefault="006514B8" w:rsidP="002C4A81">
            <w:pPr>
              <w:pStyle w:val="TAL"/>
              <w:rPr>
                <w:sz w:val="16"/>
                <w:szCs w:val="16"/>
              </w:rPr>
            </w:pPr>
            <w:r w:rsidRPr="00873B6C">
              <w:rPr>
                <w:sz w:val="16"/>
                <w:szCs w:val="16"/>
              </w:rPr>
              <w:t>B</w:t>
            </w:r>
          </w:p>
        </w:tc>
        <w:tc>
          <w:tcPr>
            <w:tcW w:w="4820" w:type="dxa"/>
            <w:shd w:val="solid" w:color="FFFFFF" w:fill="auto"/>
          </w:tcPr>
          <w:p w14:paraId="7935F4FD" w14:textId="4ABFBB67" w:rsidR="006514B8" w:rsidRPr="00873B6C" w:rsidRDefault="006514B8" w:rsidP="002C4A81">
            <w:pPr>
              <w:pStyle w:val="TAL"/>
              <w:rPr>
                <w:sz w:val="16"/>
                <w:szCs w:val="16"/>
              </w:rPr>
            </w:pPr>
            <w:r w:rsidRPr="00873B6C">
              <w:rPr>
                <w:sz w:val="16"/>
                <w:szCs w:val="16"/>
              </w:rPr>
              <w:t>PIN communication configuration</w:t>
            </w:r>
          </w:p>
        </w:tc>
        <w:tc>
          <w:tcPr>
            <w:tcW w:w="708" w:type="dxa"/>
            <w:shd w:val="solid" w:color="FFFFFF" w:fill="auto"/>
          </w:tcPr>
          <w:p w14:paraId="26049575" w14:textId="388541D9" w:rsidR="006514B8" w:rsidRPr="00873B6C" w:rsidRDefault="006514B8" w:rsidP="002C4A81">
            <w:pPr>
              <w:pStyle w:val="TAC"/>
              <w:rPr>
                <w:sz w:val="16"/>
                <w:szCs w:val="16"/>
              </w:rPr>
            </w:pPr>
            <w:r w:rsidRPr="00873B6C">
              <w:rPr>
                <w:sz w:val="16"/>
                <w:szCs w:val="16"/>
              </w:rPr>
              <w:t>18.1.0</w:t>
            </w:r>
          </w:p>
        </w:tc>
      </w:tr>
      <w:tr w:rsidR="006514B8" w:rsidRPr="00873B6C" w14:paraId="2F87885E" w14:textId="77777777" w:rsidTr="009D14FB">
        <w:tc>
          <w:tcPr>
            <w:tcW w:w="800" w:type="dxa"/>
            <w:shd w:val="solid" w:color="FFFFFF" w:fill="auto"/>
          </w:tcPr>
          <w:p w14:paraId="56554640" w14:textId="7D873B10" w:rsidR="006514B8" w:rsidRPr="00873B6C" w:rsidRDefault="006514B8" w:rsidP="002C4A81">
            <w:pPr>
              <w:pStyle w:val="TAC"/>
              <w:rPr>
                <w:sz w:val="16"/>
                <w:szCs w:val="16"/>
              </w:rPr>
            </w:pPr>
            <w:r w:rsidRPr="00873B6C">
              <w:rPr>
                <w:sz w:val="16"/>
                <w:szCs w:val="16"/>
              </w:rPr>
              <w:t>2023-03</w:t>
            </w:r>
          </w:p>
        </w:tc>
        <w:tc>
          <w:tcPr>
            <w:tcW w:w="800" w:type="dxa"/>
            <w:shd w:val="solid" w:color="FFFFFF" w:fill="auto"/>
          </w:tcPr>
          <w:p w14:paraId="2074E409" w14:textId="47F1C880" w:rsidR="006514B8" w:rsidRPr="00873B6C" w:rsidRDefault="006514B8" w:rsidP="002C4A81">
            <w:pPr>
              <w:pStyle w:val="TAL"/>
              <w:rPr>
                <w:sz w:val="16"/>
                <w:szCs w:val="16"/>
              </w:rPr>
            </w:pPr>
            <w:r w:rsidRPr="00873B6C">
              <w:rPr>
                <w:sz w:val="16"/>
                <w:szCs w:val="16"/>
              </w:rPr>
              <w:t>SP#99</w:t>
            </w:r>
          </w:p>
        </w:tc>
        <w:tc>
          <w:tcPr>
            <w:tcW w:w="1094" w:type="dxa"/>
            <w:shd w:val="solid" w:color="FFFFFF" w:fill="auto"/>
          </w:tcPr>
          <w:p w14:paraId="3F5CFE7E" w14:textId="63CD2353" w:rsidR="006514B8" w:rsidRPr="00873B6C" w:rsidRDefault="006514B8" w:rsidP="002C4A81">
            <w:pPr>
              <w:pStyle w:val="TAC"/>
              <w:rPr>
                <w:sz w:val="16"/>
                <w:szCs w:val="16"/>
              </w:rPr>
            </w:pPr>
            <w:r w:rsidRPr="00873B6C">
              <w:rPr>
                <w:sz w:val="16"/>
                <w:szCs w:val="16"/>
              </w:rPr>
              <w:t>SP-230073</w:t>
            </w:r>
          </w:p>
        </w:tc>
        <w:tc>
          <w:tcPr>
            <w:tcW w:w="567" w:type="dxa"/>
            <w:shd w:val="solid" w:color="FFFFFF" w:fill="auto"/>
          </w:tcPr>
          <w:p w14:paraId="6D9BFDB7" w14:textId="21A5C1B9" w:rsidR="006514B8" w:rsidRPr="00873B6C" w:rsidRDefault="006514B8" w:rsidP="002C4A81">
            <w:pPr>
              <w:pStyle w:val="TAL"/>
              <w:rPr>
                <w:sz w:val="16"/>
                <w:szCs w:val="16"/>
              </w:rPr>
            </w:pPr>
            <w:r w:rsidRPr="00873B6C">
              <w:rPr>
                <w:sz w:val="16"/>
                <w:szCs w:val="16"/>
              </w:rPr>
              <w:t>3898</w:t>
            </w:r>
          </w:p>
        </w:tc>
        <w:tc>
          <w:tcPr>
            <w:tcW w:w="425" w:type="dxa"/>
            <w:shd w:val="solid" w:color="FFFFFF" w:fill="auto"/>
          </w:tcPr>
          <w:p w14:paraId="14613C6F" w14:textId="6F05AD45" w:rsidR="006514B8" w:rsidRPr="00873B6C" w:rsidRDefault="006514B8" w:rsidP="002C4A81">
            <w:pPr>
              <w:pStyle w:val="TAL"/>
              <w:rPr>
                <w:sz w:val="16"/>
                <w:szCs w:val="16"/>
              </w:rPr>
            </w:pPr>
            <w:r w:rsidRPr="00873B6C">
              <w:rPr>
                <w:sz w:val="16"/>
                <w:szCs w:val="16"/>
              </w:rPr>
              <w:t>3</w:t>
            </w:r>
          </w:p>
        </w:tc>
        <w:tc>
          <w:tcPr>
            <w:tcW w:w="425" w:type="dxa"/>
            <w:shd w:val="solid" w:color="FFFFFF" w:fill="auto"/>
          </w:tcPr>
          <w:p w14:paraId="715837FA" w14:textId="47D532D1" w:rsidR="006514B8" w:rsidRPr="00873B6C" w:rsidRDefault="006514B8" w:rsidP="002C4A81">
            <w:pPr>
              <w:pStyle w:val="TAL"/>
              <w:rPr>
                <w:sz w:val="16"/>
                <w:szCs w:val="16"/>
              </w:rPr>
            </w:pPr>
            <w:r w:rsidRPr="00873B6C">
              <w:rPr>
                <w:sz w:val="16"/>
                <w:szCs w:val="16"/>
              </w:rPr>
              <w:t>B</w:t>
            </w:r>
          </w:p>
        </w:tc>
        <w:tc>
          <w:tcPr>
            <w:tcW w:w="4820" w:type="dxa"/>
            <w:shd w:val="solid" w:color="FFFFFF" w:fill="auto"/>
          </w:tcPr>
          <w:p w14:paraId="606860DD" w14:textId="590B546A" w:rsidR="006514B8" w:rsidRPr="00873B6C" w:rsidRDefault="006514B8" w:rsidP="002C4A81">
            <w:pPr>
              <w:pStyle w:val="TAL"/>
              <w:rPr>
                <w:sz w:val="16"/>
                <w:szCs w:val="16"/>
              </w:rPr>
            </w:pPr>
            <w:r w:rsidRPr="00873B6C">
              <w:rPr>
                <w:sz w:val="16"/>
                <w:szCs w:val="16"/>
              </w:rPr>
              <w:t>PIN policy configuration</w:t>
            </w:r>
          </w:p>
        </w:tc>
        <w:tc>
          <w:tcPr>
            <w:tcW w:w="708" w:type="dxa"/>
            <w:shd w:val="solid" w:color="FFFFFF" w:fill="auto"/>
          </w:tcPr>
          <w:p w14:paraId="1F58DF9F" w14:textId="22B25434" w:rsidR="006514B8" w:rsidRPr="00873B6C" w:rsidRDefault="006514B8" w:rsidP="002C4A81">
            <w:pPr>
              <w:pStyle w:val="TAC"/>
              <w:rPr>
                <w:sz w:val="16"/>
                <w:szCs w:val="16"/>
              </w:rPr>
            </w:pPr>
            <w:r w:rsidRPr="00873B6C">
              <w:rPr>
                <w:sz w:val="16"/>
                <w:szCs w:val="16"/>
              </w:rPr>
              <w:t>18.1.0</w:t>
            </w:r>
          </w:p>
        </w:tc>
      </w:tr>
      <w:tr w:rsidR="006514B8" w:rsidRPr="00873B6C" w14:paraId="4283DF81" w14:textId="77777777" w:rsidTr="009D14FB">
        <w:tc>
          <w:tcPr>
            <w:tcW w:w="800" w:type="dxa"/>
            <w:shd w:val="solid" w:color="FFFFFF" w:fill="auto"/>
          </w:tcPr>
          <w:p w14:paraId="64BF74CD" w14:textId="582226B0" w:rsidR="006514B8" w:rsidRPr="00873B6C" w:rsidRDefault="006514B8" w:rsidP="002C4A81">
            <w:pPr>
              <w:pStyle w:val="TAC"/>
              <w:rPr>
                <w:sz w:val="16"/>
                <w:szCs w:val="16"/>
              </w:rPr>
            </w:pPr>
            <w:r w:rsidRPr="00873B6C">
              <w:rPr>
                <w:sz w:val="16"/>
                <w:szCs w:val="16"/>
              </w:rPr>
              <w:t>2023-03</w:t>
            </w:r>
          </w:p>
        </w:tc>
        <w:tc>
          <w:tcPr>
            <w:tcW w:w="800" w:type="dxa"/>
            <w:shd w:val="solid" w:color="FFFFFF" w:fill="auto"/>
          </w:tcPr>
          <w:p w14:paraId="1FF0D748" w14:textId="31330B13" w:rsidR="006514B8" w:rsidRPr="00873B6C" w:rsidRDefault="006514B8" w:rsidP="002C4A81">
            <w:pPr>
              <w:pStyle w:val="TAL"/>
              <w:rPr>
                <w:sz w:val="16"/>
                <w:szCs w:val="16"/>
              </w:rPr>
            </w:pPr>
            <w:r w:rsidRPr="00873B6C">
              <w:rPr>
                <w:sz w:val="16"/>
                <w:szCs w:val="16"/>
              </w:rPr>
              <w:t>SP#99</w:t>
            </w:r>
          </w:p>
        </w:tc>
        <w:tc>
          <w:tcPr>
            <w:tcW w:w="1094" w:type="dxa"/>
            <w:shd w:val="solid" w:color="FFFFFF" w:fill="auto"/>
          </w:tcPr>
          <w:p w14:paraId="757FB3D4" w14:textId="517C5FBA" w:rsidR="006514B8" w:rsidRPr="00873B6C" w:rsidRDefault="006514B8" w:rsidP="002C4A81">
            <w:pPr>
              <w:pStyle w:val="TAC"/>
              <w:rPr>
                <w:sz w:val="16"/>
                <w:szCs w:val="16"/>
              </w:rPr>
            </w:pPr>
            <w:r w:rsidRPr="00873B6C">
              <w:rPr>
                <w:sz w:val="16"/>
                <w:szCs w:val="16"/>
              </w:rPr>
              <w:t>SP-230054</w:t>
            </w:r>
          </w:p>
        </w:tc>
        <w:tc>
          <w:tcPr>
            <w:tcW w:w="567" w:type="dxa"/>
            <w:shd w:val="solid" w:color="FFFFFF" w:fill="auto"/>
          </w:tcPr>
          <w:p w14:paraId="3F22C194" w14:textId="0E3CA947" w:rsidR="006514B8" w:rsidRPr="00873B6C" w:rsidRDefault="006514B8" w:rsidP="002C4A81">
            <w:pPr>
              <w:pStyle w:val="TAL"/>
              <w:rPr>
                <w:sz w:val="16"/>
                <w:szCs w:val="16"/>
              </w:rPr>
            </w:pPr>
            <w:r w:rsidRPr="00873B6C">
              <w:rPr>
                <w:sz w:val="16"/>
                <w:szCs w:val="16"/>
              </w:rPr>
              <w:t>3910</w:t>
            </w:r>
          </w:p>
        </w:tc>
        <w:tc>
          <w:tcPr>
            <w:tcW w:w="425" w:type="dxa"/>
            <w:shd w:val="solid" w:color="FFFFFF" w:fill="auto"/>
          </w:tcPr>
          <w:p w14:paraId="33692475" w14:textId="4836C64F" w:rsidR="006514B8" w:rsidRPr="00873B6C" w:rsidRDefault="006514B8" w:rsidP="002C4A81">
            <w:pPr>
              <w:pStyle w:val="TAL"/>
              <w:rPr>
                <w:sz w:val="16"/>
                <w:szCs w:val="16"/>
              </w:rPr>
            </w:pPr>
            <w:r w:rsidRPr="00873B6C">
              <w:rPr>
                <w:sz w:val="16"/>
                <w:szCs w:val="16"/>
              </w:rPr>
              <w:t>5</w:t>
            </w:r>
          </w:p>
        </w:tc>
        <w:tc>
          <w:tcPr>
            <w:tcW w:w="425" w:type="dxa"/>
            <w:shd w:val="solid" w:color="FFFFFF" w:fill="auto"/>
          </w:tcPr>
          <w:p w14:paraId="63A8603D" w14:textId="7862A368" w:rsidR="006514B8" w:rsidRPr="00873B6C" w:rsidRDefault="006514B8" w:rsidP="002C4A81">
            <w:pPr>
              <w:pStyle w:val="TAL"/>
              <w:rPr>
                <w:sz w:val="16"/>
                <w:szCs w:val="16"/>
              </w:rPr>
            </w:pPr>
            <w:r w:rsidRPr="00873B6C">
              <w:rPr>
                <w:sz w:val="16"/>
                <w:szCs w:val="16"/>
              </w:rPr>
              <w:t>B</w:t>
            </w:r>
          </w:p>
        </w:tc>
        <w:tc>
          <w:tcPr>
            <w:tcW w:w="4820" w:type="dxa"/>
            <w:shd w:val="solid" w:color="FFFFFF" w:fill="auto"/>
          </w:tcPr>
          <w:p w14:paraId="4D80E5CB" w14:textId="7B23BD65" w:rsidR="006514B8" w:rsidRPr="00873B6C" w:rsidRDefault="006514B8" w:rsidP="002C4A81">
            <w:pPr>
              <w:pStyle w:val="TAL"/>
              <w:rPr>
                <w:sz w:val="16"/>
                <w:szCs w:val="16"/>
              </w:rPr>
            </w:pPr>
            <w:r w:rsidRPr="00873B6C">
              <w:rPr>
                <w:sz w:val="16"/>
                <w:szCs w:val="16"/>
              </w:rPr>
              <w:t>Assistance to Member Selection Functionality for Application Operation</w:t>
            </w:r>
          </w:p>
        </w:tc>
        <w:tc>
          <w:tcPr>
            <w:tcW w:w="708" w:type="dxa"/>
            <w:shd w:val="solid" w:color="FFFFFF" w:fill="auto"/>
          </w:tcPr>
          <w:p w14:paraId="64FC6A38" w14:textId="2525CC32" w:rsidR="006514B8" w:rsidRPr="00873B6C" w:rsidRDefault="006514B8" w:rsidP="002C4A81">
            <w:pPr>
              <w:pStyle w:val="TAC"/>
              <w:rPr>
                <w:sz w:val="16"/>
                <w:szCs w:val="16"/>
              </w:rPr>
            </w:pPr>
            <w:r w:rsidRPr="00873B6C">
              <w:rPr>
                <w:sz w:val="16"/>
                <w:szCs w:val="16"/>
              </w:rPr>
              <w:t>18.1.0</w:t>
            </w:r>
          </w:p>
        </w:tc>
      </w:tr>
      <w:tr w:rsidR="004969CB" w:rsidRPr="00873B6C" w14:paraId="540CE5E0" w14:textId="77777777" w:rsidTr="009D14FB">
        <w:tc>
          <w:tcPr>
            <w:tcW w:w="800" w:type="dxa"/>
            <w:shd w:val="solid" w:color="FFFFFF" w:fill="auto"/>
          </w:tcPr>
          <w:p w14:paraId="7ED4BB81" w14:textId="0DDBAF10" w:rsidR="004969CB" w:rsidRPr="00873B6C" w:rsidRDefault="004969CB" w:rsidP="002C4A81">
            <w:pPr>
              <w:pStyle w:val="TAC"/>
              <w:rPr>
                <w:sz w:val="16"/>
                <w:szCs w:val="16"/>
              </w:rPr>
            </w:pPr>
            <w:r w:rsidRPr="00873B6C">
              <w:rPr>
                <w:sz w:val="16"/>
                <w:szCs w:val="16"/>
              </w:rPr>
              <w:t>2023-03</w:t>
            </w:r>
          </w:p>
        </w:tc>
        <w:tc>
          <w:tcPr>
            <w:tcW w:w="800" w:type="dxa"/>
            <w:shd w:val="solid" w:color="FFFFFF" w:fill="auto"/>
          </w:tcPr>
          <w:p w14:paraId="422A4916" w14:textId="3FD7AB2A" w:rsidR="004969CB" w:rsidRPr="00873B6C" w:rsidRDefault="004969CB" w:rsidP="002C4A81">
            <w:pPr>
              <w:pStyle w:val="TAL"/>
              <w:rPr>
                <w:sz w:val="16"/>
                <w:szCs w:val="16"/>
              </w:rPr>
            </w:pPr>
            <w:r w:rsidRPr="00873B6C">
              <w:rPr>
                <w:sz w:val="16"/>
                <w:szCs w:val="16"/>
              </w:rPr>
              <w:t>SP#99</w:t>
            </w:r>
          </w:p>
        </w:tc>
        <w:tc>
          <w:tcPr>
            <w:tcW w:w="1094" w:type="dxa"/>
            <w:shd w:val="solid" w:color="FFFFFF" w:fill="auto"/>
          </w:tcPr>
          <w:p w14:paraId="6B42B4B8" w14:textId="7512EBDB" w:rsidR="004969CB" w:rsidRPr="00873B6C" w:rsidRDefault="004969CB" w:rsidP="002C4A81">
            <w:pPr>
              <w:pStyle w:val="TAC"/>
              <w:rPr>
                <w:sz w:val="16"/>
                <w:szCs w:val="16"/>
              </w:rPr>
            </w:pPr>
            <w:r w:rsidRPr="00873B6C">
              <w:rPr>
                <w:sz w:val="16"/>
                <w:szCs w:val="16"/>
              </w:rPr>
              <w:t>SP-230073</w:t>
            </w:r>
          </w:p>
        </w:tc>
        <w:tc>
          <w:tcPr>
            <w:tcW w:w="567" w:type="dxa"/>
            <w:shd w:val="solid" w:color="FFFFFF" w:fill="auto"/>
          </w:tcPr>
          <w:p w14:paraId="791BEDFA" w14:textId="4FCE467E" w:rsidR="004969CB" w:rsidRPr="00873B6C" w:rsidRDefault="004969CB" w:rsidP="002C4A81">
            <w:pPr>
              <w:pStyle w:val="TAL"/>
              <w:rPr>
                <w:sz w:val="16"/>
                <w:szCs w:val="16"/>
              </w:rPr>
            </w:pPr>
            <w:r w:rsidRPr="00873B6C">
              <w:rPr>
                <w:sz w:val="16"/>
                <w:szCs w:val="16"/>
              </w:rPr>
              <w:t>3912</w:t>
            </w:r>
          </w:p>
        </w:tc>
        <w:tc>
          <w:tcPr>
            <w:tcW w:w="425" w:type="dxa"/>
            <w:shd w:val="solid" w:color="FFFFFF" w:fill="auto"/>
          </w:tcPr>
          <w:p w14:paraId="3F8588D4" w14:textId="3773409E" w:rsidR="004969CB" w:rsidRPr="00873B6C" w:rsidRDefault="004969CB" w:rsidP="002C4A81">
            <w:pPr>
              <w:pStyle w:val="TAL"/>
              <w:rPr>
                <w:sz w:val="16"/>
                <w:szCs w:val="16"/>
              </w:rPr>
            </w:pPr>
            <w:r w:rsidRPr="00873B6C">
              <w:rPr>
                <w:sz w:val="16"/>
                <w:szCs w:val="16"/>
              </w:rPr>
              <w:t>1</w:t>
            </w:r>
          </w:p>
        </w:tc>
        <w:tc>
          <w:tcPr>
            <w:tcW w:w="425" w:type="dxa"/>
            <w:shd w:val="solid" w:color="FFFFFF" w:fill="auto"/>
          </w:tcPr>
          <w:p w14:paraId="00DF1459" w14:textId="5B82B601" w:rsidR="004969CB" w:rsidRPr="00873B6C" w:rsidRDefault="004969CB" w:rsidP="002C4A81">
            <w:pPr>
              <w:pStyle w:val="TAL"/>
              <w:rPr>
                <w:sz w:val="16"/>
                <w:szCs w:val="16"/>
              </w:rPr>
            </w:pPr>
            <w:r w:rsidRPr="00873B6C">
              <w:rPr>
                <w:sz w:val="16"/>
                <w:szCs w:val="16"/>
              </w:rPr>
              <w:t>B</w:t>
            </w:r>
          </w:p>
        </w:tc>
        <w:tc>
          <w:tcPr>
            <w:tcW w:w="4820" w:type="dxa"/>
            <w:shd w:val="solid" w:color="FFFFFF" w:fill="auto"/>
          </w:tcPr>
          <w:p w14:paraId="091C39F5" w14:textId="408D1E94" w:rsidR="004969CB" w:rsidRPr="00873B6C" w:rsidRDefault="004969CB" w:rsidP="002C4A81">
            <w:pPr>
              <w:pStyle w:val="TAL"/>
              <w:rPr>
                <w:sz w:val="16"/>
                <w:szCs w:val="16"/>
              </w:rPr>
            </w:pPr>
            <w:r w:rsidRPr="00873B6C">
              <w:rPr>
                <w:sz w:val="16"/>
                <w:szCs w:val="16"/>
              </w:rPr>
              <w:t>Non-3GPP QoS and delay budget - 23.501</w:t>
            </w:r>
          </w:p>
        </w:tc>
        <w:tc>
          <w:tcPr>
            <w:tcW w:w="708" w:type="dxa"/>
            <w:shd w:val="solid" w:color="FFFFFF" w:fill="auto"/>
          </w:tcPr>
          <w:p w14:paraId="1AE81225" w14:textId="00DAE1EC" w:rsidR="004969CB" w:rsidRPr="00873B6C" w:rsidRDefault="004969CB" w:rsidP="002C4A81">
            <w:pPr>
              <w:pStyle w:val="TAC"/>
              <w:rPr>
                <w:sz w:val="16"/>
                <w:szCs w:val="16"/>
              </w:rPr>
            </w:pPr>
            <w:r w:rsidRPr="00873B6C">
              <w:rPr>
                <w:sz w:val="16"/>
                <w:szCs w:val="16"/>
              </w:rPr>
              <w:t>18.1.0</w:t>
            </w:r>
          </w:p>
        </w:tc>
      </w:tr>
      <w:tr w:rsidR="004969CB" w:rsidRPr="00873B6C" w14:paraId="5BC01E5D" w14:textId="77777777" w:rsidTr="009D14FB">
        <w:tc>
          <w:tcPr>
            <w:tcW w:w="800" w:type="dxa"/>
            <w:shd w:val="solid" w:color="FFFFFF" w:fill="auto"/>
          </w:tcPr>
          <w:p w14:paraId="364EF4A6" w14:textId="7459C50D" w:rsidR="004969CB" w:rsidRPr="00873B6C" w:rsidRDefault="004969CB" w:rsidP="002C4A81">
            <w:pPr>
              <w:pStyle w:val="TAC"/>
              <w:rPr>
                <w:sz w:val="16"/>
                <w:szCs w:val="16"/>
              </w:rPr>
            </w:pPr>
            <w:r w:rsidRPr="00873B6C">
              <w:rPr>
                <w:sz w:val="16"/>
                <w:szCs w:val="16"/>
              </w:rPr>
              <w:t>2023-03</w:t>
            </w:r>
          </w:p>
        </w:tc>
        <w:tc>
          <w:tcPr>
            <w:tcW w:w="800" w:type="dxa"/>
            <w:shd w:val="solid" w:color="FFFFFF" w:fill="auto"/>
          </w:tcPr>
          <w:p w14:paraId="0E0C621E" w14:textId="32E979D0" w:rsidR="004969CB" w:rsidRPr="00873B6C" w:rsidRDefault="004969CB" w:rsidP="002C4A81">
            <w:pPr>
              <w:pStyle w:val="TAL"/>
              <w:rPr>
                <w:sz w:val="16"/>
                <w:szCs w:val="16"/>
              </w:rPr>
            </w:pPr>
            <w:r w:rsidRPr="00873B6C">
              <w:rPr>
                <w:sz w:val="16"/>
                <w:szCs w:val="16"/>
              </w:rPr>
              <w:t>SP#99</w:t>
            </w:r>
          </w:p>
        </w:tc>
        <w:tc>
          <w:tcPr>
            <w:tcW w:w="1094" w:type="dxa"/>
            <w:shd w:val="solid" w:color="FFFFFF" w:fill="auto"/>
          </w:tcPr>
          <w:p w14:paraId="0C1CDC43" w14:textId="1259500C" w:rsidR="004969CB" w:rsidRPr="00873B6C" w:rsidRDefault="004969CB" w:rsidP="002C4A81">
            <w:pPr>
              <w:pStyle w:val="TAC"/>
              <w:rPr>
                <w:sz w:val="16"/>
                <w:szCs w:val="16"/>
              </w:rPr>
            </w:pPr>
            <w:r w:rsidRPr="00873B6C">
              <w:rPr>
                <w:sz w:val="16"/>
                <w:szCs w:val="16"/>
              </w:rPr>
              <w:t>SP-230068</w:t>
            </w:r>
          </w:p>
        </w:tc>
        <w:tc>
          <w:tcPr>
            <w:tcW w:w="567" w:type="dxa"/>
            <w:shd w:val="solid" w:color="FFFFFF" w:fill="auto"/>
          </w:tcPr>
          <w:p w14:paraId="4A3AB521" w14:textId="41F2DE3B" w:rsidR="004969CB" w:rsidRPr="00873B6C" w:rsidRDefault="004969CB" w:rsidP="002C4A81">
            <w:pPr>
              <w:pStyle w:val="TAL"/>
              <w:rPr>
                <w:sz w:val="16"/>
                <w:szCs w:val="16"/>
              </w:rPr>
            </w:pPr>
            <w:r w:rsidRPr="00873B6C">
              <w:rPr>
                <w:sz w:val="16"/>
                <w:szCs w:val="16"/>
              </w:rPr>
              <w:t>3914</w:t>
            </w:r>
          </w:p>
        </w:tc>
        <w:tc>
          <w:tcPr>
            <w:tcW w:w="425" w:type="dxa"/>
            <w:shd w:val="solid" w:color="FFFFFF" w:fill="auto"/>
          </w:tcPr>
          <w:p w14:paraId="49439512" w14:textId="1D4443B8" w:rsidR="004969CB" w:rsidRPr="00873B6C" w:rsidRDefault="004969CB" w:rsidP="002C4A81">
            <w:pPr>
              <w:pStyle w:val="TAL"/>
              <w:rPr>
                <w:sz w:val="16"/>
                <w:szCs w:val="16"/>
              </w:rPr>
            </w:pPr>
            <w:r w:rsidRPr="00873B6C">
              <w:rPr>
                <w:sz w:val="16"/>
                <w:szCs w:val="16"/>
              </w:rPr>
              <w:t>1</w:t>
            </w:r>
          </w:p>
        </w:tc>
        <w:tc>
          <w:tcPr>
            <w:tcW w:w="425" w:type="dxa"/>
            <w:shd w:val="solid" w:color="FFFFFF" w:fill="auto"/>
          </w:tcPr>
          <w:p w14:paraId="40BAA476" w14:textId="5EE6ABDB" w:rsidR="004969CB" w:rsidRPr="00873B6C" w:rsidRDefault="004969CB" w:rsidP="002C4A81">
            <w:pPr>
              <w:pStyle w:val="TAL"/>
              <w:rPr>
                <w:sz w:val="16"/>
                <w:szCs w:val="16"/>
              </w:rPr>
            </w:pPr>
            <w:r w:rsidRPr="00873B6C">
              <w:rPr>
                <w:sz w:val="16"/>
                <w:szCs w:val="16"/>
              </w:rPr>
              <w:t>B</w:t>
            </w:r>
          </w:p>
        </w:tc>
        <w:tc>
          <w:tcPr>
            <w:tcW w:w="4820" w:type="dxa"/>
            <w:shd w:val="solid" w:color="FFFFFF" w:fill="auto"/>
          </w:tcPr>
          <w:p w14:paraId="5344234D" w14:textId="525BCB5F" w:rsidR="004969CB" w:rsidRPr="00873B6C" w:rsidRDefault="004969CB" w:rsidP="002C4A81">
            <w:pPr>
              <w:pStyle w:val="TAL"/>
              <w:rPr>
                <w:sz w:val="16"/>
                <w:szCs w:val="16"/>
              </w:rPr>
            </w:pPr>
            <w:r w:rsidRPr="00873B6C">
              <w:rPr>
                <w:sz w:val="16"/>
                <w:szCs w:val="16"/>
              </w:rPr>
              <w:t>Service area provisioning and LADN aspects for enhanced group management</w:t>
            </w:r>
          </w:p>
        </w:tc>
        <w:tc>
          <w:tcPr>
            <w:tcW w:w="708" w:type="dxa"/>
            <w:shd w:val="solid" w:color="FFFFFF" w:fill="auto"/>
          </w:tcPr>
          <w:p w14:paraId="780B120B" w14:textId="2695DB0C" w:rsidR="004969CB" w:rsidRPr="00873B6C" w:rsidRDefault="004969CB" w:rsidP="002C4A81">
            <w:pPr>
              <w:pStyle w:val="TAC"/>
              <w:rPr>
                <w:sz w:val="16"/>
                <w:szCs w:val="16"/>
              </w:rPr>
            </w:pPr>
            <w:r w:rsidRPr="00873B6C">
              <w:rPr>
                <w:sz w:val="16"/>
                <w:szCs w:val="16"/>
              </w:rPr>
              <w:t>18.1.0</w:t>
            </w:r>
          </w:p>
        </w:tc>
      </w:tr>
      <w:tr w:rsidR="009E78C1" w:rsidRPr="00873B6C" w14:paraId="2B5DACE7" w14:textId="77777777" w:rsidTr="009D14FB">
        <w:tc>
          <w:tcPr>
            <w:tcW w:w="800" w:type="dxa"/>
            <w:shd w:val="solid" w:color="FFFFFF" w:fill="auto"/>
          </w:tcPr>
          <w:p w14:paraId="266D4AFC" w14:textId="43BED350"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49E25BF2" w14:textId="0ABD8326"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0BEE27D0" w14:textId="22C4EA14" w:rsidR="009E78C1" w:rsidRPr="00873B6C" w:rsidRDefault="009E78C1" w:rsidP="002C4A81">
            <w:pPr>
              <w:pStyle w:val="TAC"/>
              <w:rPr>
                <w:sz w:val="16"/>
                <w:szCs w:val="16"/>
              </w:rPr>
            </w:pPr>
            <w:r w:rsidRPr="00873B6C">
              <w:rPr>
                <w:sz w:val="16"/>
                <w:szCs w:val="16"/>
              </w:rPr>
              <w:t>SP-230247</w:t>
            </w:r>
          </w:p>
        </w:tc>
        <w:tc>
          <w:tcPr>
            <w:tcW w:w="567" w:type="dxa"/>
            <w:shd w:val="solid" w:color="FFFFFF" w:fill="auto"/>
          </w:tcPr>
          <w:p w14:paraId="4A7A0252" w14:textId="235D0F8A" w:rsidR="009E78C1" w:rsidRPr="00873B6C" w:rsidRDefault="009E78C1" w:rsidP="002C4A81">
            <w:pPr>
              <w:pStyle w:val="TAL"/>
              <w:rPr>
                <w:sz w:val="16"/>
                <w:szCs w:val="16"/>
              </w:rPr>
            </w:pPr>
            <w:r w:rsidRPr="00873B6C">
              <w:rPr>
                <w:sz w:val="16"/>
                <w:szCs w:val="16"/>
              </w:rPr>
              <w:t>3919</w:t>
            </w:r>
          </w:p>
        </w:tc>
        <w:tc>
          <w:tcPr>
            <w:tcW w:w="425" w:type="dxa"/>
            <w:shd w:val="solid" w:color="FFFFFF" w:fill="auto"/>
          </w:tcPr>
          <w:p w14:paraId="45B7E0A0" w14:textId="4429E697" w:rsidR="009E78C1" w:rsidRPr="00873B6C" w:rsidRDefault="009E78C1" w:rsidP="002C4A81">
            <w:pPr>
              <w:pStyle w:val="TAL"/>
              <w:rPr>
                <w:sz w:val="16"/>
                <w:szCs w:val="16"/>
              </w:rPr>
            </w:pPr>
            <w:r w:rsidRPr="00873B6C">
              <w:rPr>
                <w:sz w:val="16"/>
                <w:szCs w:val="16"/>
              </w:rPr>
              <w:t>7</w:t>
            </w:r>
          </w:p>
        </w:tc>
        <w:tc>
          <w:tcPr>
            <w:tcW w:w="425" w:type="dxa"/>
            <w:shd w:val="solid" w:color="FFFFFF" w:fill="auto"/>
          </w:tcPr>
          <w:p w14:paraId="3A3135FD" w14:textId="1680174F"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0CF0F8EA" w14:textId="4B0AED1E" w:rsidR="009E78C1" w:rsidRPr="00873B6C" w:rsidRDefault="009E78C1" w:rsidP="002C4A81">
            <w:pPr>
              <w:pStyle w:val="TAL"/>
              <w:rPr>
                <w:sz w:val="16"/>
                <w:szCs w:val="16"/>
              </w:rPr>
            </w:pPr>
            <w:r w:rsidRPr="00873B6C">
              <w:rPr>
                <w:sz w:val="16"/>
                <w:szCs w:val="16"/>
              </w:rPr>
              <w:t>Introduction of KI#6 conclusion: uplink-downlink transmission coordination</w:t>
            </w:r>
          </w:p>
        </w:tc>
        <w:tc>
          <w:tcPr>
            <w:tcW w:w="708" w:type="dxa"/>
            <w:shd w:val="solid" w:color="FFFFFF" w:fill="auto"/>
          </w:tcPr>
          <w:p w14:paraId="1389DFDC" w14:textId="7D37734F" w:rsidR="009E78C1" w:rsidRPr="00873B6C" w:rsidRDefault="009E78C1" w:rsidP="002C4A81">
            <w:pPr>
              <w:pStyle w:val="TAC"/>
              <w:rPr>
                <w:sz w:val="16"/>
                <w:szCs w:val="16"/>
              </w:rPr>
            </w:pPr>
            <w:r w:rsidRPr="00873B6C">
              <w:rPr>
                <w:sz w:val="16"/>
                <w:szCs w:val="16"/>
              </w:rPr>
              <w:t>18.1.0</w:t>
            </w:r>
          </w:p>
        </w:tc>
      </w:tr>
      <w:tr w:rsidR="009E78C1" w:rsidRPr="00873B6C" w14:paraId="7032B1D1" w14:textId="77777777" w:rsidTr="009D14FB">
        <w:tc>
          <w:tcPr>
            <w:tcW w:w="800" w:type="dxa"/>
            <w:shd w:val="solid" w:color="FFFFFF" w:fill="auto"/>
          </w:tcPr>
          <w:p w14:paraId="16F15FFF" w14:textId="63DC8CFE"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44FC8743" w14:textId="1F19E609"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26DDF613" w14:textId="5ECBDE19" w:rsidR="009E78C1" w:rsidRPr="00873B6C" w:rsidRDefault="009E78C1" w:rsidP="002C4A81">
            <w:pPr>
              <w:pStyle w:val="TAC"/>
              <w:rPr>
                <w:sz w:val="16"/>
                <w:szCs w:val="16"/>
              </w:rPr>
            </w:pPr>
            <w:r w:rsidRPr="00873B6C">
              <w:rPr>
                <w:sz w:val="16"/>
                <w:szCs w:val="16"/>
              </w:rPr>
              <w:t>SP-230247</w:t>
            </w:r>
          </w:p>
        </w:tc>
        <w:tc>
          <w:tcPr>
            <w:tcW w:w="567" w:type="dxa"/>
            <w:shd w:val="solid" w:color="FFFFFF" w:fill="auto"/>
          </w:tcPr>
          <w:p w14:paraId="2C35FD7D" w14:textId="3F9AA11D" w:rsidR="009E78C1" w:rsidRPr="00873B6C" w:rsidRDefault="009E78C1" w:rsidP="002C4A81">
            <w:pPr>
              <w:pStyle w:val="TAL"/>
              <w:rPr>
                <w:sz w:val="16"/>
                <w:szCs w:val="16"/>
              </w:rPr>
            </w:pPr>
            <w:r w:rsidRPr="00873B6C">
              <w:rPr>
                <w:sz w:val="16"/>
                <w:szCs w:val="16"/>
              </w:rPr>
              <w:t>3923</w:t>
            </w:r>
          </w:p>
        </w:tc>
        <w:tc>
          <w:tcPr>
            <w:tcW w:w="425" w:type="dxa"/>
            <w:shd w:val="solid" w:color="FFFFFF" w:fill="auto"/>
          </w:tcPr>
          <w:p w14:paraId="2E4A5BEF" w14:textId="2A23B811" w:rsidR="009E78C1" w:rsidRPr="00873B6C" w:rsidRDefault="009E78C1" w:rsidP="002C4A81">
            <w:pPr>
              <w:pStyle w:val="TAL"/>
              <w:rPr>
                <w:sz w:val="16"/>
                <w:szCs w:val="16"/>
              </w:rPr>
            </w:pPr>
            <w:r w:rsidRPr="00873B6C">
              <w:rPr>
                <w:sz w:val="16"/>
                <w:szCs w:val="16"/>
              </w:rPr>
              <w:t>10</w:t>
            </w:r>
          </w:p>
        </w:tc>
        <w:tc>
          <w:tcPr>
            <w:tcW w:w="425" w:type="dxa"/>
            <w:shd w:val="solid" w:color="FFFFFF" w:fill="auto"/>
          </w:tcPr>
          <w:p w14:paraId="75B5AA26" w14:textId="3759388C"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554D7B33" w14:textId="74DB1A90" w:rsidR="009E78C1" w:rsidRPr="00873B6C" w:rsidRDefault="009E78C1" w:rsidP="002C4A81">
            <w:pPr>
              <w:pStyle w:val="TAL"/>
              <w:rPr>
                <w:sz w:val="16"/>
                <w:szCs w:val="16"/>
              </w:rPr>
            </w:pPr>
            <w:r w:rsidRPr="00873B6C">
              <w:rPr>
                <w:sz w:val="16"/>
                <w:szCs w:val="16"/>
              </w:rPr>
              <w:t>Network exposure support for XR services</w:t>
            </w:r>
          </w:p>
        </w:tc>
        <w:tc>
          <w:tcPr>
            <w:tcW w:w="708" w:type="dxa"/>
            <w:shd w:val="solid" w:color="FFFFFF" w:fill="auto"/>
          </w:tcPr>
          <w:p w14:paraId="187C3610" w14:textId="14970000" w:rsidR="009E78C1" w:rsidRPr="00873B6C" w:rsidRDefault="009E78C1" w:rsidP="002C4A81">
            <w:pPr>
              <w:pStyle w:val="TAC"/>
              <w:rPr>
                <w:sz w:val="16"/>
                <w:szCs w:val="16"/>
              </w:rPr>
            </w:pPr>
            <w:r w:rsidRPr="00873B6C">
              <w:rPr>
                <w:sz w:val="16"/>
                <w:szCs w:val="16"/>
              </w:rPr>
              <w:t>18.1.0</w:t>
            </w:r>
          </w:p>
        </w:tc>
      </w:tr>
      <w:tr w:rsidR="009E78C1" w:rsidRPr="00873B6C" w14:paraId="652A5062" w14:textId="77777777" w:rsidTr="009D14FB">
        <w:tc>
          <w:tcPr>
            <w:tcW w:w="800" w:type="dxa"/>
            <w:shd w:val="solid" w:color="FFFFFF" w:fill="auto"/>
          </w:tcPr>
          <w:p w14:paraId="3FB1F859" w14:textId="235AAAE7"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29913B6F" w14:textId="685B1796"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43A1E7A4" w14:textId="1754F28F" w:rsidR="009E78C1" w:rsidRPr="00873B6C" w:rsidRDefault="009E78C1" w:rsidP="002C4A81">
            <w:pPr>
              <w:pStyle w:val="TAC"/>
              <w:rPr>
                <w:sz w:val="16"/>
                <w:szCs w:val="16"/>
              </w:rPr>
            </w:pPr>
            <w:r w:rsidRPr="00873B6C">
              <w:rPr>
                <w:sz w:val="16"/>
                <w:szCs w:val="16"/>
              </w:rPr>
              <w:t>SP-230065</w:t>
            </w:r>
          </w:p>
        </w:tc>
        <w:tc>
          <w:tcPr>
            <w:tcW w:w="567" w:type="dxa"/>
            <w:shd w:val="solid" w:color="FFFFFF" w:fill="auto"/>
          </w:tcPr>
          <w:p w14:paraId="35406202" w14:textId="09A4D420" w:rsidR="009E78C1" w:rsidRPr="00873B6C" w:rsidRDefault="009E78C1" w:rsidP="002C4A81">
            <w:pPr>
              <w:pStyle w:val="TAL"/>
              <w:rPr>
                <w:sz w:val="16"/>
                <w:szCs w:val="16"/>
              </w:rPr>
            </w:pPr>
            <w:r w:rsidRPr="00873B6C">
              <w:rPr>
                <w:sz w:val="16"/>
                <w:szCs w:val="16"/>
              </w:rPr>
              <w:t>3924</w:t>
            </w:r>
          </w:p>
        </w:tc>
        <w:tc>
          <w:tcPr>
            <w:tcW w:w="425" w:type="dxa"/>
            <w:shd w:val="solid" w:color="FFFFFF" w:fill="auto"/>
          </w:tcPr>
          <w:p w14:paraId="01FCC1FE" w14:textId="136A820E"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58AAE9E4" w14:textId="780C0FED"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2FDBA7A6" w14:textId="01CBE3D3" w:rsidR="009E78C1" w:rsidRPr="00873B6C" w:rsidRDefault="009E78C1" w:rsidP="002C4A81">
            <w:pPr>
              <w:pStyle w:val="TAL"/>
              <w:rPr>
                <w:sz w:val="16"/>
                <w:szCs w:val="16"/>
              </w:rPr>
            </w:pPr>
            <w:r w:rsidRPr="00873B6C">
              <w:rPr>
                <w:sz w:val="16"/>
                <w:szCs w:val="16"/>
              </w:rPr>
              <w:t>Support URSP provisioning in EPS</w:t>
            </w:r>
          </w:p>
        </w:tc>
        <w:tc>
          <w:tcPr>
            <w:tcW w:w="708" w:type="dxa"/>
            <w:shd w:val="solid" w:color="FFFFFF" w:fill="auto"/>
          </w:tcPr>
          <w:p w14:paraId="18BB514A" w14:textId="05EFB859" w:rsidR="009E78C1" w:rsidRPr="00873B6C" w:rsidRDefault="009E78C1" w:rsidP="002C4A81">
            <w:pPr>
              <w:pStyle w:val="TAC"/>
              <w:rPr>
                <w:sz w:val="16"/>
                <w:szCs w:val="16"/>
              </w:rPr>
            </w:pPr>
            <w:r w:rsidRPr="00873B6C">
              <w:rPr>
                <w:sz w:val="16"/>
                <w:szCs w:val="16"/>
              </w:rPr>
              <w:t>18.1.0</w:t>
            </w:r>
          </w:p>
        </w:tc>
      </w:tr>
      <w:tr w:rsidR="009E78C1" w:rsidRPr="00873B6C" w14:paraId="5082C5B4" w14:textId="77777777" w:rsidTr="009D14FB">
        <w:tc>
          <w:tcPr>
            <w:tcW w:w="800" w:type="dxa"/>
            <w:shd w:val="solid" w:color="FFFFFF" w:fill="auto"/>
          </w:tcPr>
          <w:p w14:paraId="6F55AFD3" w14:textId="43E766C7"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4547318E" w14:textId="1F5EB8B6"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5744F0D2" w14:textId="4282A606" w:rsidR="009E78C1" w:rsidRPr="00873B6C" w:rsidRDefault="009E78C1" w:rsidP="002C4A81">
            <w:pPr>
              <w:pStyle w:val="TAC"/>
              <w:rPr>
                <w:sz w:val="16"/>
                <w:szCs w:val="16"/>
              </w:rPr>
            </w:pPr>
            <w:r w:rsidRPr="00873B6C">
              <w:rPr>
                <w:sz w:val="16"/>
                <w:szCs w:val="16"/>
              </w:rPr>
              <w:t>SP-230062</w:t>
            </w:r>
          </w:p>
        </w:tc>
        <w:tc>
          <w:tcPr>
            <w:tcW w:w="567" w:type="dxa"/>
            <w:shd w:val="solid" w:color="FFFFFF" w:fill="auto"/>
          </w:tcPr>
          <w:p w14:paraId="0AD79922" w14:textId="0FE0DE7C" w:rsidR="009E78C1" w:rsidRPr="00873B6C" w:rsidRDefault="009E78C1" w:rsidP="002C4A81">
            <w:pPr>
              <w:pStyle w:val="TAL"/>
              <w:rPr>
                <w:sz w:val="16"/>
                <w:szCs w:val="16"/>
              </w:rPr>
            </w:pPr>
            <w:r w:rsidRPr="00873B6C">
              <w:rPr>
                <w:sz w:val="16"/>
                <w:szCs w:val="16"/>
              </w:rPr>
              <w:t>3925</w:t>
            </w:r>
          </w:p>
        </w:tc>
        <w:tc>
          <w:tcPr>
            <w:tcW w:w="425" w:type="dxa"/>
            <w:shd w:val="solid" w:color="FFFFFF" w:fill="auto"/>
          </w:tcPr>
          <w:p w14:paraId="0C1A75F6" w14:textId="40C3EFA6"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6E2C1237" w14:textId="37CD7A6A"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2BC3BC7F" w14:textId="60DDF671" w:rsidR="009E78C1" w:rsidRPr="00873B6C" w:rsidRDefault="009E78C1" w:rsidP="002C4A81">
            <w:pPr>
              <w:pStyle w:val="TAL"/>
              <w:rPr>
                <w:sz w:val="16"/>
                <w:szCs w:val="16"/>
              </w:rPr>
            </w:pPr>
            <w:r w:rsidRPr="00873B6C">
              <w:rPr>
                <w:sz w:val="16"/>
                <w:szCs w:val="16"/>
              </w:rPr>
              <w:t>TS 23.501 enhancements for federated learining.</w:t>
            </w:r>
          </w:p>
        </w:tc>
        <w:tc>
          <w:tcPr>
            <w:tcW w:w="708" w:type="dxa"/>
            <w:shd w:val="solid" w:color="FFFFFF" w:fill="auto"/>
          </w:tcPr>
          <w:p w14:paraId="0F231900" w14:textId="3E444742" w:rsidR="009E78C1" w:rsidRPr="00873B6C" w:rsidRDefault="009E78C1" w:rsidP="002C4A81">
            <w:pPr>
              <w:pStyle w:val="TAC"/>
              <w:rPr>
                <w:sz w:val="16"/>
                <w:szCs w:val="16"/>
              </w:rPr>
            </w:pPr>
            <w:r w:rsidRPr="00873B6C">
              <w:rPr>
                <w:sz w:val="16"/>
                <w:szCs w:val="16"/>
              </w:rPr>
              <w:t>18.1.0</w:t>
            </w:r>
          </w:p>
        </w:tc>
      </w:tr>
      <w:tr w:rsidR="009E78C1" w:rsidRPr="00873B6C" w14:paraId="1CC97910" w14:textId="77777777" w:rsidTr="009D14FB">
        <w:tc>
          <w:tcPr>
            <w:tcW w:w="800" w:type="dxa"/>
            <w:shd w:val="solid" w:color="FFFFFF" w:fill="auto"/>
          </w:tcPr>
          <w:p w14:paraId="41858FFA" w14:textId="78361D92"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3BF14635" w14:textId="4F19642C"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321F37AC" w14:textId="0B1B1C79" w:rsidR="009E78C1" w:rsidRPr="00873B6C" w:rsidRDefault="009E78C1" w:rsidP="002C4A81">
            <w:pPr>
              <w:pStyle w:val="TAC"/>
              <w:rPr>
                <w:sz w:val="16"/>
                <w:szCs w:val="16"/>
              </w:rPr>
            </w:pPr>
            <w:r w:rsidRPr="00873B6C">
              <w:rPr>
                <w:sz w:val="16"/>
                <w:szCs w:val="16"/>
              </w:rPr>
              <w:t>SP-230062</w:t>
            </w:r>
          </w:p>
        </w:tc>
        <w:tc>
          <w:tcPr>
            <w:tcW w:w="567" w:type="dxa"/>
            <w:shd w:val="solid" w:color="FFFFFF" w:fill="auto"/>
          </w:tcPr>
          <w:p w14:paraId="72A781D8" w14:textId="1C24C8D3" w:rsidR="009E78C1" w:rsidRPr="00873B6C" w:rsidRDefault="009E78C1" w:rsidP="002C4A81">
            <w:pPr>
              <w:pStyle w:val="TAL"/>
              <w:rPr>
                <w:sz w:val="16"/>
                <w:szCs w:val="16"/>
              </w:rPr>
            </w:pPr>
            <w:r w:rsidRPr="00873B6C">
              <w:rPr>
                <w:sz w:val="16"/>
                <w:szCs w:val="16"/>
              </w:rPr>
              <w:t>3926</w:t>
            </w:r>
          </w:p>
        </w:tc>
        <w:tc>
          <w:tcPr>
            <w:tcW w:w="425" w:type="dxa"/>
            <w:shd w:val="solid" w:color="FFFFFF" w:fill="auto"/>
          </w:tcPr>
          <w:p w14:paraId="1F2D3CCC" w14:textId="4A38FC27"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2582255E" w14:textId="072E322C"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0CE05707" w14:textId="124778D6" w:rsidR="009E78C1" w:rsidRPr="00873B6C" w:rsidRDefault="009E78C1" w:rsidP="002C4A81">
            <w:pPr>
              <w:pStyle w:val="TAL"/>
              <w:rPr>
                <w:sz w:val="16"/>
                <w:szCs w:val="16"/>
              </w:rPr>
            </w:pPr>
            <w:r w:rsidRPr="00873B6C">
              <w:rPr>
                <w:sz w:val="16"/>
                <w:szCs w:val="16"/>
              </w:rPr>
              <w:t>TS 23.501 enhancements for model sharing.</w:t>
            </w:r>
          </w:p>
        </w:tc>
        <w:tc>
          <w:tcPr>
            <w:tcW w:w="708" w:type="dxa"/>
            <w:shd w:val="solid" w:color="FFFFFF" w:fill="auto"/>
          </w:tcPr>
          <w:p w14:paraId="15774CC9" w14:textId="5AF35BB8" w:rsidR="009E78C1" w:rsidRPr="00873B6C" w:rsidRDefault="009E78C1" w:rsidP="002C4A81">
            <w:pPr>
              <w:pStyle w:val="TAC"/>
              <w:rPr>
                <w:sz w:val="16"/>
                <w:szCs w:val="16"/>
              </w:rPr>
            </w:pPr>
            <w:r w:rsidRPr="00873B6C">
              <w:rPr>
                <w:sz w:val="16"/>
                <w:szCs w:val="16"/>
              </w:rPr>
              <w:t>18.1.0</w:t>
            </w:r>
          </w:p>
        </w:tc>
      </w:tr>
      <w:tr w:rsidR="009E78C1" w:rsidRPr="00873B6C" w14:paraId="4B432293" w14:textId="77777777" w:rsidTr="009D14FB">
        <w:tc>
          <w:tcPr>
            <w:tcW w:w="800" w:type="dxa"/>
            <w:shd w:val="solid" w:color="FFFFFF" w:fill="auto"/>
          </w:tcPr>
          <w:p w14:paraId="35B3F9AC" w14:textId="699235FF"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547E1C84" w14:textId="292E5440"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0518D66A" w14:textId="31444727" w:rsidR="009E78C1" w:rsidRPr="00873B6C" w:rsidRDefault="009E78C1" w:rsidP="002C4A81">
            <w:pPr>
              <w:pStyle w:val="TAC"/>
              <w:rPr>
                <w:sz w:val="16"/>
                <w:szCs w:val="16"/>
              </w:rPr>
            </w:pPr>
            <w:r w:rsidRPr="00873B6C">
              <w:rPr>
                <w:sz w:val="16"/>
                <w:szCs w:val="16"/>
              </w:rPr>
              <w:t>SP-230063</w:t>
            </w:r>
          </w:p>
        </w:tc>
        <w:tc>
          <w:tcPr>
            <w:tcW w:w="567" w:type="dxa"/>
            <w:shd w:val="solid" w:color="FFFFFF" w:fill="auto"/>
          </w:tcPr>
          <w:p w14:paraId="24E6478C" w14:textId="7162E234" w:rsidR="009E78C1" w:rsidRPr="00873B6C" w:rsidRDefault="009E78C1" w:rsidP="002C4A81">
            <w:pPr>
              <w:pStyle w:val="TAL"/>
              <w:rPr>
                <w:sz w:val="16"/>
                <w:szCs w:val="16"/>
              </w:rPr>
            </w:pPr>
            <w:r w:rsidRPr="00873B6C">
              <w:rPr>
                <w:sz w:val="16"/>
                <w:szCs w:val="16"/>
              </w:rPr>
              <w:t>3927</w:t>
            </w:r>
          </w:p>
        </w:tc>
        <w:tc>
          <w:tcPr>
            <w:tcW w:w="425" w:type="dxa"/>
            <w:shd w:val="solid" w:color="FFFFFF" w:fill="auto"/>
          </w:tcPr>
          <w:p w14:paraId="315391B0" w14:textId="798CE59D" w:rsidR="009E78C1" w:rsidRPr="00873B6C" w:rsidRDefault="009E78C1" w:rsidP="002C4A81">
            <w:pPr>
              <w:pStyle w:val="TAL"/>
              <w:rPr>
                <w:sz w:val="16"/>
                <w:szCs w:val="16"/>
              </w:rPr>
            </w:pPr>
            <w:r w:rsidRPr="00873B6C">
              <w:rPr>
                <w:sz w:val="16"/>
                <w:szCs w:val="16"/>
              </w:rPr>
              <w:t>6</w:t>
            </w:r>
          </w:p>
        </w:tc>
        <w:tc>
          <w:tcPr>
            <w:tcW w:w="425" w:type="dxa"/>
            <w:shd w:val="solid" w:color="FFFFFF" w:fill="auto"/>
          </w:tcPr>
          <w:p w14:paraId="6E08DFE1" w14:textId="2D51BAA3"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6581BDDC" w14:textId="3371C9C5" w:rsidR="009E78C1" w:rsidRPr="00873B6C" w:rsidRDefault="009E78C1" w:rsidP="002C4A81">
            <w:pPr>
              <w:pStyle w:val="TAL"/>
              <w:rPr>
                <w:sz w:val="16"/>
                <w:szCs w:val="16"/>
              </w:rPr>
            </w:pPr>
            <w:r w:rsidRPr="00873B6C">
              <w:rPr>
                <w:sz w:val="16"/>
                <w:szCs w:val="16"/>
              </w:rPr>
              <w:t>Clarifications on Onboarding in SNPN supporting localized services</w:t>
            </w:r>
          </w:p>
        </w:tc>
        <w:tc>
          <w:tcPr>
            <w:tcW w:w="708" w:type="dxa"/>
            <w:shd w:val="solid" w:color="FFFFFF" w:fill="auto"/>
          </w:tcPr>
          <w:p w14:paraId="3D5D9C54" w14:textId="2F565A24" w:rsidR="009E78C1" w:rsidRPr="00873B6C" w:rsidRDefault="009E78C1" w:rsidP="002C4A81">
            <w:pPr>
              <w:pStyle w:val="TAC"/>
              <w:rPr>
                <w:sz w:val="16"/>
                <w:szCs w:val="16"/>
              </w:rPr>
            </w:pPr>
            <w:r w:rsidRPr="00873B6C">
              <w:rPr>
                <w:sz w:val="16"/>
                <w:szCs w:val="16"/>
              </w:rPr>
              <w:t>18.1.0</w:t>
            </w:r>
          </w:p>
        </w:tc>
      </w:tr>
      <w:tr w:rsidR="009E78C1" w:rsidRPr="00873B6C" w14:paraId="321F12FF" w14:textId="77777777" w:rsidTr="009D14FB">
        <w:tc>
          <w:tcPr>
            <w:tcW w:w="800" w:type="dxa"/>
            <w:shd w:val="solid" w:color="FFFFFF" w:fill="auto"/>
          </w:tcPr>
          <w:p w14:paraId="7EDE2BF8" w14:textId="6D2882A5"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2C49C062" w14:textId="4628F51E"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246629AC" w14:textId="0B774B7C" w:rsidR="009E78C1" w:rsidRPr="00873B6C" w:rsidRDefault="009E78C1" w:rsidP="002C4A81">
            <w:pPr>
              <w:pStyle w:val="TAC"/>
              <w:rPr>
                <w:sz w:val="16"/>
                <w:szCs w:val="16"/>
              </w:rPr>
            </w:pPr>
            <w:r w:rsidRPr="00873B6C">
              <w:rPr>
                <w:sz w:val="16"/>
                <w:szCs w:val="16"/>
              </w:rPr>
              <w:t>SP-230080</w:t>
            </w:r>
          </w:p>
        </w:tc>
        <w:tc>
          <w:tcPr>
            <w:tcW w:w="567" w:type="dxa"/>
            <w:shd w:val="solid" w:color="FFFFFF" w:fill="auto"/>
          </w:tcPr>
          <w:p w14:paraId="7E597C8E" w14:textId="2C505F6F" w:rsidR="009E78C1" w:rsidRPr="00873B6C" w:rsidRDefault="009E78C1" w:rsidP="002C4A81">
            <w:pPr>
              <w:pStyle w:val="TAL"/>
              <w:rPr>
                <w:sz w:val="16"/>
                <w:szCs w:val="16"/>
              </w:rPr>
            </w:pPr>
            <w:r w:rsidRPr="00873B6C">
              <w:rPr>
                <w:sz w:val="16"/>
                <w:szCs w:val="16"/>
              </w:rPr>
              <w:t>3928</w:t>
            </w:r>
          </w:p>
        </w:tc>
        <w:tc>
          <w:tcPr>
            <w:tcW w:w="425" w:type="dxa"/>
            <w:shd w:val="solid" w:color="FFFFFF" w:fill="auto"/>
          </w:tcPr>
          <w:p w14:paraId="4A0C41F4" w14:textId="2269EF81"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534B1CE9" w14:textId="5515FAF5" w:rsidR="009E78C1" w:rsidRPr="00873B6C" w:rsidRDefault="009E78C1" w:rsidP="002C4A81">
            <w:pPr>
              <w:pStyle w:val="TAL"/>
              <w:rPr>
                <w:sz w:val="16"/>
                <w:szCs w:val="16"/>
              </w:rPr>
            </w:pPr>
            <w:r w:rsidRPr="00873B6C">
              <w:rPr>
                <w:sz w:val="16"/>
                <w:szCs w:val="16"/>
              </w:rPr>
              <w:t>F</w:t>
            </w:r>
          </w:p>
        </w:tc>
        <w:tc>
          <w:tcPr>
            <w:tcW w:w="4820" w:type="dxa"/>
            <w:shd w:val="solid" w:color="FFFFFF" w:fill="auto"/>
          </w:tcPr>
          <w:p w14:paraId="03A0E65F" w14:textId="474973B4" w:rsidR="009E78C1" w:rsidRPr="00873B6C" w:rsidRDefault="009E78C1" w:rsidP="002C4A81">
            <w:pPr>
              <w:pStyle w:val="TAL"/>
              <w:rPr>
                <w:sz w:val="16"/>
                <w:szCs w:val="16"/>
              </w:rPr>
            </w:pPr>
            <w:r w:rsidRPr="00873B6C">
              <w:rPr>
                <w:sz w:val="16"/>
                <w:szCs w:val="16"/>
              </w:rPr>
              <w:t>TS 23.501: Clarification of handling of the non-3GPP PDU session in Non-allowed service area</w:t>
            </w:r>
          </w:p>
        </w:tc>
        <w:tc>
          <w:tcPr>
            <w:tcW w:w="708" w:type="dxa"/>
            <w:shd w:val="solid" w:color="FFFFFF" w:fill="auto"/>
          </w:tcPr>
          <w:p w14:paraId="4EB2882D" w14:textId="67E88D0A" w:rsidR="009E78C1" w:rsidRPr="00873B6C" w:rsidRDefault="009E78C1" w:rsidP="002C4A81">
            <w:pPr>
              <w:pStyle w:val="TAC"/>
              <w:rPr>
                <w:sz w:val="16"/>
                <w:szCs w:val="16"/>
              </w:rPr>
            </w:pPr>
            <w:r w:rsidRPr="00873B6C">
              <w:rPr>
                <w:sz w:val="16"/>
                <w:szCs w:val="16"/>
              </w:rPr>
              <w:t>18.1.0</w:t>
            </w:r>
          </w:p>
        </w:tc>
      </w:tr>
      <w:tr w:rsidR="009E78C1" w:rsidRPr="00873B6C" w14:paraId="091198C2" w14:textId="77777777" w:rsidTr="009D14FB">
        <w:tc>
          <w:tcPr>
            <w:tcW w:w="800" w:type="dxa"/>
            <w:shd w:val="solid" w:color="FFFFFF" w:fill="auto"/>
          </w:tcPr>
          <w:p w14:paraId="742C5AFB" w14:textId="031DF63D"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64AB40B3" w14:textId="2F7C38A2"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18DDF410" w14:textId="7A3A1B1A" w:rsidR="009E78C1" w:rsidRPr="00873B6C" w:rsidRDefault="009E78C1" w:rsidP="002C4A81">
            <w:pPr>
              <w:pStyle w:val="TAC"/>
              <w:rPr>
                <w:sz w:val="16"/>
                <w:szCs w:val="16"/>
              </w:rPr>
            </w:pPr>
            <w:r w:rsidRPr="00873B6C">
              <w:rPr>
                <w:sz w:val="16"/>
                <w:szCs w:val="16"/>
              </w:rPr>
              <w:t>SP-230062</w:t>
            </w:r>
          </w:p>
        </w:tc>
        <w:tc>
          <w:tcPr>
            <w:tcW w:w="567" w:type="dxa"/>
            <w:shd w:val="solid" w:color="FFFFFF" w:fill="auto"/>
          </w:tcPr>
          <w:p w14:paraId="15E8C5E8" w14:textId="4B957AB7" w:rsidR="009E78C1" w:rsidRPr="00873B6C" w:rsidRDefault="009E78C1" w:rsidP="002C4A81">
            <w:pPr>
              <w:pStyle w:val="TAL"/>
              <w:rPr>
                <w:sz w:val="16"/>
                <w:szCs w:val="16"/>
              </w:rPr>
            </w:pPr>
            <w:r w:rsidRPr="00873B6C">
              <w:rPr>
                <w:sz w:val="16"/>
                <w:szCs w:val="16"/>
              </w:rPr>
              <w:t>3929</w:t>
            </w:r>
          </w:p>
        </w:tc>
        <w:tc>
          <w:tcPr>
            <w:tcW w:w="425" w:type="dxa"/>
            <w:shd w:val="solid" w:color="FFFFFF" w:fill="auto"/>
          </w:tcPr>
          <w:p w14:paraId="1DFD22AF" w14:textId="4091A37C" w:rsidR="009E78C1" w:rsidRPr="00873B6C" w:rsidRDefault="009E78C1" w:rsidP="002C4A81">
            <w:pPr>
              <w:pStyle w:val="TAL"/>
              <w:rPr>
                <w:sz w:val="16"/>
                <w:szCs w:val="16"/>
              </w:rPr>
            </w:pPr>
            <w:r w:rsidRPr="00873B6C">
              <w:rPr>
                <w:sz w:val="16"/>
                <w:szCs w:val="16"/>
              </w:rPr>
              <w:t>4</w:t>
            </w:r>
          </w:p>
        </w:tc>
        <w:tc>
          <w:tcPr>
            <w:tcW w:w="425" w:type="dxa"/>
            <w:shd w:val="solid" w:color="FFFFFF" w:fill="auto"/>
          </w:tcPr>
          <w:p w14:paraId="13285F68" w14:textId="2E39A031"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0EE0C55E" w14:textId="73C350F6" w:rsidR="009E78C1" w:rsidRPr="00873B6C" w:rsidRDefault="009E78C1" w:rsidP="002C4A81">
            <w:pPr>
              <w:pStyle w:val="TAL"/>
              <w:rPr>
                <w:sz w:val="16"/>
                <w:szCs w:val="16"/>
              </w:rPr>
            </w:pPr>
            <w:r w:rsidRPr="00873B6C">
              <w:rPr>
                <w:sz w:val="16"/>
                <w:szCs w:val="16"/>
              </w:rPr>
              <w:t>Considering ML model management capability during ADRF discovery and selection</w:t>
            </w:r>
          </w:p>
        </w:tc>
        <w:tc>
          <w:tcPr>
            <w:tcW w:w="708" w:type="dxa"/>
            <w:shd w:val="solid" w:color="FFFFFF" w:fill="auto"/>
          </w:tcPr>
          <w:p w14:paraId="60005D8B" w14:textId="2705F36A" w:rsidR="009E78C1" w:rsidRPr="00873B6C" w:rsidRDefault="009E78C1" w:rsidP="002C4A81">
            <w:pPr>
              <w:pStyle w:val="TAC"/>
              <w:rPr>
                <w:sz w:val="16"/>
                <w:szCs w:val="16"/>
              </w:rPr>
            </w:pPr>
            <w:r w:rsidRPr="00873B6C">
              <w:rPr>
                <w:sz w:val="16"/>
                <w:szCs w:val="16"/>
              </w:rPr>
              <w:t>18.1.0</w:t>
            </w:r>
          </w:p>
        </w:tc>
      </w:tr>
      <w:tr w:rsidR="009E78C1" w:rsidRPr="00873B6C" w14:paraId="7BF338DE" w14:textId="77777777" w:rsidTr="009D14FB">
        <w:tc>
          <w:tcPr>
            <w:tcW w:w="800" w:type="dxa"/>
            <w:shd w:val="solid" w:color="FFFFFF" w:fill="auto"/>
          </w:tcPr>
          <w:p w14:paraId="5185078F" w14:textId="3CD9A4B8"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777FE0CC" w14:textId="0490FB4B"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7FDFE8DE" w14:textId="7C95332A" w:rsidR="009E78C1" w:rsidRPr="00873B6C" w:rsidRDefault="009E78C1" w:rsidP="002C4A81">
            <w:pPr>
              <w:pStyle w:val="TAC"/>
              <w:rPr>
                <w:sz w:val="16"/>
                <w:szCs w:val="16"/>
              </w:rPr>
            </w:pPr>
            <w:r w:rsidRPr="00873B6C">
              <w:rPr>
                <w:sz w:val="16"/>
                <w:szCs w:val="16"/>
              </w:rPr>
              <w:t>SP-230078</w:t>
            </w:r>
          </w:p>
        </w:tc>
        <w:tc>
          <w:tcPr>
            <w:tcW w:w="567" w:type="dxa"/>
            <w:shd w:val="solid" w:color="FFFFFF" w:fill="auto"/>
          </w:tcPr>
          <w:p w14:paraId="4BF5891B" w14:textId="4905148F" w:rsidR="009E78C1" w:rsidRPr="00873B6C" w:rsidRDefault="009E78C1" w:rsidP="002C4A81">
            <w:pPr>
              <w:pStyle w:val="TAL"/>
              <w:rPr>
                <w:sz w:val="16"/>
                <w:szCs w:val="16"/>
              </w:rPr>
            </w:pPr>
            <w:r w:rsidRPr="00873B6C">
              <w:rPr>
                <w:sz w:val="16"/>
                <w:szCs w:val="16"/>
              </w:rPr>
              <w:t>3933</w:t>
            </w:r>
          </w:p>
        </w:tc>
        <w:tc>
          <w:tcPr>
            <w:tcW w:w="425" w:type="dxa"/>
            <w:shd w:val="solid" w:color="FFFFFF" w:fill="auto"/>
          </w:tcPr>
          <w:p w14:paraId="25999F69" w14:textId="62F28126"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11854761" w14:textId="0C51686C"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41100B9C" w14:textId="2A1FB401" w:rsidR="009E78C1" w:rsidRPr="00873B6C" w:rsidRDefault="009E78C1" w:rsidP="002C4A81">
            <w:pPr>
              <w:pStyle w:val="TAL"/>
              <w:rPr>
                <w:sz w:val="16"/>
                <w:szCs w:val="16"/>
              </w:rPr>
            </w:pPr>
            <w:r w:rsidRPr="00873B6C">
              <w:rPr>
                <w:sz w:val="16"/>
                <w:szCs w:val="16"/>
              </w:rPr>
              <w:t>Providing cell ID/TAC of MBSR for services</w:t>
            </w:r>
          </w:p>
        </w:tc>
        <w:tc>
          <w:tcPr>
            <w:tcW w:w="708" w:type="dxa"/>
            <w:shd w:val="solid" w:color="FFFFFF" w:fill="auto"/>
          </w:tcPr>
          <w:p w14:paraId="1F9A426E" w14:textId="1D4949C1" w:rsidR="009E78C1" w:rsidRPr="00873B6C" w:rsidRDefault="009E78C1" w:rsidP="002C4A81">
            <w:pPr>
              <w:pStyle w:val="TAC"/>
              <w:rPr>
                <w:sz w:val="16"/>
                <w:szCs w:val="16"/>
              </w:rPr>
            </w:pPr>
            <w:r w:rsidRPr="00873B6C">
              <w:rPr>
                <w:sz w:val="16"/>
                <w:szCs w:val="16"/>
              </w:rPr>
              <w:t>18.1.0</w:t>
            </w:r>
          </w:p>
        </w:tc>
      </w:tr>
      <w:tr w:rsidR="009E78C1" w:rsidRPr="00873B6C" w14:paraId="53881BA4" w14:textId="77777777" w:rsidTr="009D14FB">
        <w:tc>
          <w:tcPr>
            <w:tcW w:w="800" w:type="dxa"/>
            <w:shd w:val="solid" w:color="FFFFFF" w:fill="auto"/>
          </w:tcPr>
          <w:p w14:paraId="3BB43B27" w14:textId="2799464F"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0C4E1253" w14:textId="3E2B1579"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2A21B4BF" w14:textId="5053C35C" w:rsidR="009E78C1" w:rsidRPr="00873B6C" w:rsidRDefault="009E78C1" w:rsidP="002C4A81">
            <w:pPr>
              <w:pStyle w:val="TAC"/>
              <w:rPr>
                <w:sz w:val="16"/>
                <w:szCs w:val="16"/>
              </w:rPr>
            </w:pPr>
            <w:r w:rsidRPr="00873B6C">
              <w:rPr>
                <w:sz w:val="16"/>
                <w:szCs w:val="16"/>
              </w:rPr>
              <w:t>SP-230040</w:t>
            </w:r>
          </w:p>
        </w:tc>
        <w:tc>
          <w:tcPr>
            <w:tcW w:w="567" w:type="dxa"/>
            <w:shd w:val="solid" w:color="FFFFFF" w:fill="auto"/>
          </w:tcPr>
          <w:p w14:paraId="6A1FDEDF" w14:textId="15E39575" w:rsidR="009E78C1" w:rsidRPr="00873B6C" w:rsidRDefault="009E78C1" w:rsidP="002C4A81">
            <w:pPr>
              <w:pStyle w:val="TAL"/>
              <w:rPr>
                <w:sz w:val="16"/>
                <w:szCs w:val="16"/>
              </w:rPr>
            </w:pPr>
            <w:r w:rsidRPr="00873B6C">
              <w:rPr>
                <w:sz w:val="16"/>
                <w:szCs w:val="16"/>
              </w:rPr>
              <w:t>3935</w:t>
            </w:r>
          </w:p>
        </w:tc>
        <w:tc>
          <w:tcPr>
            <w:tcW w:w="425" w:type="dxa"/>
            <w:shd w:val="solid" w:color="FFFFFF" w:fill="auto"/>
          </w:tcPr>
          <w:p w14:paraId="63B608E5" w14:textId="56E95C74"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59802B02" w14:textId="518CBBC3" w:rsidR="009E78C1" w:rsidRPr="00873B6C" w:rsidRDefault="009E78C1" w:rsidP="002C4A81">
            <w:pPr>
              <w:pStyle w:val="TAL"/>
              <w:rPr>
                <w:sz w:val="16"/>
                <w:szCs w:val="16"/>
              </w:rPr>
            </w:pPr>
            <w:r w:rsidRPr="00873B6C">
              <w:rPr>
                <w:sz w:val="16"/>
                <w:szCs w:val="16"/>
              </w:rPr>
              <w:t>A</w:t>
            </w:r>
          </w:p>
        </w:tc>
        <w:tc>
          <w:tcPr>
            <w:tcW w:w="4820" w:type="dxa"/>
            <w:shd w:val="solid" w:color="FFFFFF" w:fill="auto"/>
          </w:tcPr>
          <w:p w14:paraId="24FEC232" w14:textId="1F0BF7B7" w:rsidR="009E78C1" w:rsidRPr="00873B6C" w:rsidRDefault="009E78C1" w:rsidP="002C4A81">
            <w:pPr>
              <w:pStyle w:val="TAL"/>
              <w:rPr>
                <w:sz w:val="16"/>
                <w:szCs w:val="16"/>
              </w:rPr>
            </w:pPr>
            <w:r w:rsidRPr="00873B6C">
              <w:rPr>
                <w:sz w:val="16"/>
                <w:szCs w:val="16"/>
              </w:rPr>
              <w:t>Clarification on NSSRG enforcement when a UE registered to different PLMNs over 3GPP access and non-3GPP access</w:t>
            </w:r>
          </w:p>
        </w:tc>
        <w:tc>
          <w:tcPr>
            <w:tcW w:w="708" w:type="dxa"/>
            <w:shd w:val="solid" w:color="FFFFFF" w:fill="auto"/>
          </w:tcPr>
          <w:p w14:paraId="5C6CC32A" w14:textId="292AF316" w:rsidR="009E78C1" w:rsidRPr="00873B6C" w:rsidRDefault="009E78C1" w:rsidP="002C4A81">
            <w:pPr>
              <w:pStyle w:val="TAC"/>
              <w:rPr>
                <w:sz w:val="16"/>
                <w:szCs w:val="16"/>
              </w:rPr>
            </w:pPr>
            <w:r w:rsidRPr="00873B6C">
              <w:rPr>
                <w:sz w:val="16"/>
                <w:szCs w:val="16"/>
              </w:rPr>
              <w:t>18.1.0</w:t>
            </w:r>
          </w:p>
        </w:tc>
      </w:tr>
      <w:tr w:rsidR="009E78C1" w:rsidRPr="00873B6C" w14:paraId="448A6DEC" w14:textId="77777777" w:rsidTr="009D14FB">
        <w:tc>
          <w:tcPr>
            <w:tcW w:w="800" w:type="dxa"/>
            <w:shd w:val="solid" w:color="FFFFFF" w:fill="auto"/>
          </w:tcPr>
          <w:p w14:paraId="52D77C58" w14:textId="0DA7D6DF" w:rsidR="009E78C1" w:rsidRPr="00873B6C" w:rsidRDefault="009E78C1" w:rsidP="002C4A81">
            <w:pPr>
              <w:pStyle w:val="TAC"/>
              <w:rPr>
                <w:sz w:val="16"/>
                <w:szCs w:val="16"/>
              </w:rPr>
            </w:pPr>
            <w:r w:rsidRPr="00873B6C">
              <w:rPr>
                <w:sz w:val="16"/>
                <w:szCs w:val="16"/>
              </w:rPr>
              <w:lastRenderedPageBreak/>
              <w:t>2023-03</w:t>
            </w:r>
          </w:p>
        </w:tc>
        <w:tc>
          <w:tcPr>
            <w:tcW w:w="800" w:type="dxa"/>
            <w:shd w:val="solid" w:color="FFFFFF" w:fill="auto"/>
          </w:tcPr>
          <w:p w14:paraId="2FCA0F71" w14:textId="7AEADE35"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75BF22DC" w14:textId="2611612E" w:rsidR="009E78C1" w:rsidRPr="00873B6C" w:rsidRDefault="009E78C1" w:rsidP="002C4A81">
            <w:pPr>
              <w:pStyle w:val="TAC"/>
              <w:rPr>
                <w:sz w:val="16"/>
                <w:szCs w:val="16"/>
              </w:rPr>
            </w:pPr>
            <w:r w:rsidRPr="00873B6C">
              <w:rPr>
                <w:sz w:val="16"/>
                <w:szCs w:val="16"/>
              </w:rPr>
              <w:t>SP-230056</w:t>
            </w:r>
          </w:p>
        </w:tc>
        <w:tc>
          <w:tcPr>
            <w:tcW w:w="567" w:type="dxa"/>
            <w:shd w:val="solid" w:color="FFFFFF" w:fill="auto"/>
          </w:tcPr>
          <w:p w14:paraId="40A956B2" w14:textId="1F5B961C" w:rsidR="009E78C1" w:rsidRPr="00873B6C" w:rsidRDefault="009E78C1" w:rsidP="002C4A81">
            <w:pPr>
              <w:pStyle w:val="TAL"/>
              <w:rPr>
                <w:sz w:val="16"/>
                <w:szCs w:val="16"/>
              </w:rPr>
            </w:pPr>
            <w:r w:rsidRPr="00873B6C">
              <w:rPr>
                <w:sz w:val="16"/>
                <w:szCs w:val="16"/>
              </w:rPr>
              <w:t>3937</w:t>
            </w:r>
          </w:p>
        </w:tc>
        <w:tc>
          <w:tcPr>
            <w:tcW w:w="425" w:type="dxa"/>
            <w:shd w:val="solid" w:color="FFFFFF" w:fill="auto"/>
          </w:tcPr>
          <w:p w14:paraId="3B6FBF69" w14:textId="179A7795"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490EE354" w14:textId="1BEA4694"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5B33F298" w14:textId="05A25F21" w:rsidR="009E78C1" w:rsidRPr="00873B6C" w:rsidRDefault="009E78C1" w:rsidP="002C4A81">
            <w:pPr>
              <w:pStyle w:val="TAL"/>
              <w:rPr>
                <w:sz w:val="16"/>
                <w:szCs w:val="16"/>
              </w:rPr>
            </w:pPr>
            <w:r w:rsidRPr="00873B6C">
              <w:rPr>
                <w:sz w:val="16"/>
                <w:szCs w:val="16"/>
              </w:rPr>
              <w:t>Support non-3GPP access leg of MA-PDU Session with PDN connection in EPC</w:t>
            </w:r>
          </w:p>
        </w:tc>
        <w:tc>
          <w:tcPr>
            <w:tcW w:w="708" w:type="dxa"/>
            <w:shd w:val="solid" w:color="FFFFFF" w:fill="auto"/>
          </w:tcPr>
          <w:p w14:paraId="72EE8C54" w14:textId="412833C7" w:rsidR="009E78C1" w:rsidRPr="00873B6C" w:rsidRDefault="009E78C1" w:rsidP="002C4A81">
            <w:pPr>
              <w:pStyle w:val="TAC"/>
              <w:rPr>
                <w:sz w:val="16"/>
                <w:szCs w:val="16"/>
              </w:rPr>
            </w:pPr>
            <w:r w:rsidRPr="00873B6C">
              <w:rPr>
                <w:sz w:val="16"/>
                <w:szCs w:val="16"/>
              </w:rPr>
              <w:t>18.1.0</w:t>
            </w:r>
          </w:p>
        </w:tc>
      </w:tr>
      <w:tr w:rsidR="00B7520E" w:rsidRPr="00873B6C" w14:paraId="3A241097" w14:textId="77777777" w:rsidTr="009D14FB">
        <w:tc>
          <w:tcPr>
            <w:tcW w:w="800" w:type="dxa"/>
            <w:shd w:val="solid" w:color="FFFFFF" w:fill="auto"/>
          </w:tcPr>
          <w:p w14:paraId="6F470052" w14:textId="149D3C89" w:rsidR="00B7520E" w:rsidRPr="00873B6C" w:rsidRDefault="00B7520E" w:rsidP="002C4A81">
            <w:pPr>
              <w:pStyle w:val="TAC"/>
              <w:rPr>
                <w:sz w:val="16"/>
                <w:szCs w:val="16"/>
              </w:rPr>
            </w:pPr>
            <w:r w:rsidRPr="00873B6C">
              <w:rPr>
                <w:sz w:val="16"/>
                <w:szCs w:val="16"/>
              </w:rPr>
              <w:t>2023-03</w:t>
            </w:r>
          </w:p>
        </w:tc>
        <w:tc>
          <w:tcPr>
            <w:tcW w:w="800" w:type="dxa"/>
            <w:shd w:val="solid" w:color="FFFFFF" w:fill="auto"/>
          </w:tcPr>
          <w:p w14:paraId="11E436E3" w14:textId="6F2818C7" w:rsidR="00B7520E" w:rsidRPr="00873B6C" w:rsidRDefault="00B7520E" w:rsidP="002C4A81">
            <w:pPr>
              <w:pStyle w:val="TAL"/>
              <w:rPr>
                <w:sz w:val="16"/>
                <w:szCs w:val="16"/>
              </w:rPr>
            </w:pPr>
            <w:r w:rsidRPr="00873B6C">
              <w:rPr>
                <w:sz w:val="16"/>
                <w:szCs w:val="16"/>
              </w:rPr>
              <w:t>SP#99</w:t>
            </w:r>
          </w:p>
        </w:tc>
        <w:tc>
          <w:tcPr>
            <w:tcW w:w="1094" w:type="dxa"/>
            <w:shd w:val="solid" w:color="FFFFFF" w:fill="auto"/>
          </w:tcPr>
          <w:p w14:paraId="7B1A67EC" w14:textId="03DA106F" w:rsidR="00B7520E" w:rsidRPr="00873B6C" w:rsidRDefault="00B7520E" w:rsidP="002C4A81">
            <w:pPr>
              <w:pStyle w:val="TAC"/>
              <w:rPr>
                <w:sz w:val="16"/>
                <w:szCs w:val="16"/>
              </w:rPr>
            </w:pPr>
            <w:r w:rsidRPr="00873B6C">
              <w:rPr>
                <w:sz w:val="16"/>
                <w:szCs w:val="16"/>
              </w:rPr>
              <w:t>SP-230064</w:t>
            </w:r>
          </w:p>
        </w:tc>
        <w:tc>
          <w:tcPr>
            <w:tcW w:w="567" w:type="dxa"/>
            <w:shd w:val="solid" w:color="FFFFFF" w:fill="auto"/>
          </w:tcPr>
          <w:p w14:paraId="3F11B12F" w14:textId="704B6F4B" w:rsidR="00B7520E" w:rsidRPr="00873B6C" w:rsidRDefault="00B7520E" w:rsidP="002C4A81">
            <w:pPr>
              <w:pStyle w:val="TAL"/>
              <w:rPr>
                <w:sz w:val="16"/>
                <w:szCs w:val="16"/>
              </w:rPr>
            </w:pPr>
            <w:r w:rsidRPr="00873B6C">
              <w:rPr>
                <w:sz w:val="16"/>
                <w:szCs w:val="16"/>
              </w:rPr>
              <w:t>3939</w:t>
            </w:r>
          </w:p>
        </w:tc>
        <w:tc>
          <w:tcPr>
            <w:tcW w:w="425" w:type="dxa"/>
            <w:shd w:val="solid" w:color="FFFFFF" w:fill="auto"/>
          </w:tcPr>
          <w:p w14:paraId="24C73A02" w14:textId="18F98AC2" w:rsidR="00B7520E" w:rsidRPr="00873B6C" w:rsidRDefault="00B7520E" w:rsidP="002C4A81">
            <w:pPr>
              <w:pStyle w:val="TAL"/>
              <w:rPr>
                <w:sz w:val="16"/>
                <w:szCs w:val="16"/>
              </w:rPr>
            </w:pPr>
            <w:r w:rsidRPr="00873B6C">
              <w:rPr>
                <w:sz w:val="16"/>
                <w:szCs w:val="16"/>
              </w:rPr>
              <w:t>7</w:t>
            </w:r>
          </w:p>
        </w:tc>
        <w:tc>
          <w:tcPr>
            <w:tcW w:w="425" w:type="dxa"/>
            <w:shd w:val="solid" w:color="FFFFFF" w:fill="auto"/>
          </w:tcPr>
          <w:p w14:paraId="0A0921B7" w14:textId="384CE75B" w:rsidR="00B7520E" w:rsidRPr="00873B6C" w:rsidRDefault="00B7520E" w:rsidP="002C4A81">
            <w:pPr>
              <w:pStyle w:val="TAL"/>
              <w:rPr>
                <w:sz w:val="16"/>
                <w:szCs w:val="16"/>
              </w:rPr>
            </w:pPr>
            <w:r w:rsidRPr="00873B6C">
              <w:rPr>
                <w:sz w:val="16"/>
                <w:szCs w:val="16"/>
              </w:rPr>
              <w:t>B</w:t>
            </w:r>
          </w:p>
        </w:tc>
        <w:tc>
          <w:tcPr>
            <w:tcW w:w="4820" w:type="dxa"/>
            <w:shd w:val="solid" w:color="FFFFFF" w:fill="auto"/>
          </w:tcPr>
          <w:p w14:paraId="1B5F2BCB" w14:textId="79544E58" w:rsidR="00B7520E" w:rsidRPr="00873B6C" w:rsidRDefault="00B7520E" w:rsidP="002C4A81">
            <w:pPr>
              <w:pStyle w:val="TAL"/>
              <w:rPr>
                <w:sz w:val="16"/>
                <w:szCs w:val="16"/>
              </w:rPr>
            </w:pPr>
            <w:r w:rsidRPr="00873B6C">
              <w:rPr>
                <w:sz w:val="16"/>
                <w:szCs w:val="16"/>
              </w:rPr>
              <w:t>Improved network control of the UE beahviour for a network slice</w:t>
            </w:r>
          </w:p>
        </w:tc>
        <w:tc>
          <w:tcPr>
            <w:tcW w:w="708" w:type="dxa"/>
            <w:shd w:val="solid" w:color="FFFFFF" w:fill="auto"/>
          </w:tcPr>
          <w:p w14:paraId="2D1FDB12" w14:textId="324E8054" w:rsidR="00B7520E" w:rsidRPr="00873B6C" w:rsidRDefault="00B7520E" w:rsidP="002C4A81">
            <w:pPr>
              <w:pStyle w:val="TAC"/>
              <w:rPr>
                <w:sz w:val="16"/>
                <w:szCs w:val="16"/>
              </w:rPr>
            </w:pPr>
            <w:r w:rsidRPr="00873B6C">
              <w:rPr>
                <w:sz w:val="16"/>
                <w:szCs w:val="16"/>
              </w:rPr>
              <w:t>18.1.0</w:t>
            </w:r>
          </w:p>
        </w:tc>
      </w:tr>
      <w:tr w:rsidR="00B7520E" w:rsidRPr="00873B6C" w14:paraId="3CE29F31" w14:textId="77777777" w:rsidTr="009D14FB">
        <w:tc>
          <w:tcPr>
            <w:tcW w:w="800" w:type="dxa"/>
            <w:shd w:val="solid" w:color="FFFFFF" w:fill="auto"/>
          </w:tcPr>
          <w:p w14:paraId="51FF71DD" w14:textId="5D01E7E7" w:rsidR="00B7520E" w:rsidRPr="00873B6C" w:rsidRDefault="00B7520E" w:rsidP="002C4A81">
            <w:pPr>
              <w:pStyle w:val="TAC"/>
              <w:rPr>
                <w:sz w:val="16"/>
                <w:szCs w:val="16"/>
              </w:rPr>
            </w:pPr>
            <w:r w:rsidRPr="00873B6C">
              <w:rPr>
                <w:sz w:val="16"/>
                <w:szCs w:val="16"/>
              </w:rPr>
              <w:t>2023-03</w:t>
            </w:r>
          </w:p>
        </w:tc>
        <w:tc>
          <w:tcPr>
            <w:tcW w:w="800" w:type="dxa"/>
            <w:shd w:val="solid" w:color="FFFFFF" w:fill="auto"/>
          </w:tcPr>
          <w:p w14:paraId="4FC0148F" w14:textId="2D2A5F3D" w:rsidR="00B7520E" w:rsidRPr="00873B6C" w:rsidRDefault="00B7520E" w:rsidP="002C4A81">
            <w:pPr>
              <w:pStyle w:val="TAL"/>
              <w:rPr>
                <w:sz w:val="16"/>
                <w:szCs w:val="16"/>
              </w:rPr>
            </w:pPr>
            <w:r w:rsidRPr="00873B6C">
              <w:rPr>
                <w:sz w:val="16"/>
                <w:szCs w:val="16"/>
              </w:rPr>
              <w:t>SP#99</w:t>
            </w:r>
          </w:p>
        </w:tc>
        <w:tc>
          <w:tcPr>
            <w:tcW w:w="1094" w:type="dxa"/>
            <w:shd w:val="solid" w:color="FFFFFF" w:fill="auto"/>
          </w:tcPr>
          <w:p w14:paraId="16E193A9" w14:textId="449E4D12" w:rsidR="00B7520E" w:rsidRPr="00873B6C" w:rsidRDefault="00B7520E" w:rsidP="002C4A81">
            <w:pPr>
              <w:pStyle w:val="TAC"/>
              <w:rPr>
                <w:sz w:val="16"/>
                <w:szCs w:val="16"/>
              </w:rPr>
            </w:pPr>
            <w:r w:rsidRPr="00873B6C">
              <w:rPr>
                <w:sz w:val="16"/>
                <w:szCs w:val="16"/>
              </w:rPr>
              <w:t>SP-230043</w:t>
            </w:r>
          </w:p>
        </w:tc>
        <w:tc>
          <w:tcPr>
            <w:tcW w:w="567" w:type="dxa"/>
            <w:shd w:val="solid" w:color="FFFFFF" w:fill="auto"/>
          </w:tcPr>
          <w:p w14:paraId="66EA6879" w14:textId="4D94643A" w:rsidR="00B7520E" w:rsidRPr="00873B6C" w:rsidRDefault="00B7520E" w:rsidP="002C4A81">
            <w:pPr>
              <w:pStyle w:val="TAL"/>
              <w:rPr>
                <w:sz w:val="16"/>
                <w:szCs w:val="16"/>
              </w:rPr>
            </w:pPr>
            <w:r w:rsidRPr="00873B6C">
              <w:rPr>
                <w:sz w:val="16"/>
                <w:szCs w:val="16"/>
              </w:rPr>
              <w:t>3948</w:t>
            </w:r>
          </w:p>
        </w:tc>
        <w:tc>
          <w:tcPr>
            <w:tcW w:w="425" w:type="dxa"/>
            <w:shd w:val="solid" w:color="FFFFFF" w:fill="auto"/>
          </w:tcPr>
          <w:p w14:paraId="49B6DEFF" w14:textId="50D5E055" w:rsidR="00B7520E" w:rsidRPr="00873B6C" w:rsidRDefault="00B7520E" w:rsidP="002C4A81">
            <w:pPr>
              <w:pStyle w:val="TAL"/>
              <w:rPr>
                <w:sz w:val="16"/>
                <w:szCs w:val="16"/>
              </w:rPr>
            </w:pPr>
            <w:r w:rsidRPr="00873B6C">
              <w:rPr>
                <w:sz w:val="16"/>
                <w:szCs w:val="16"/>
              </w:rPr>
              <w:t>1</w:t>
            </w:r>
          </w:p>
        </w:tc>
        <w:tc>
          <w:tcPr>
            <w:tcW w:w="425" w:type="dxa"/>
            <w:shd w:val="solid" w:color="FFFFFF" w:fill="auto"/>
          </w:tcPr>
          <w:p w14:paraId="0795ABD7" w14:textId="380BFFDC" w:rsidR="00B7520E" w:rsidRPr="00873B6C" w:rsidRDefault="00B7520E" w:rsidP="002C4A81">
            <w:pPr>
              <w:pStyle w:val="TAL"/>
              <w:rPr>
                <w:sz w:val="16"/>
                <w:szCs w:val="16"/>
              </w:rPr>
            </w:pPr>
            <w:r w:rsidRPr="00873B6C">
              <w:rPr>
                <w:sz w:val="16"/>
                <w:szCs w:val="16"/>
              </w:rPr>
              <w:t>A</w:t>
            </w:r>
          </w:p>
        </w:tc>
        <w:tc>
          <w:tcPr>
            <w:tcW w:w="4820" w:type="dxa"/>
            <w:shd w:val="solid" w:color="FFFFFF" w:fill="auto"/>
          </w:tcPr>
          <w:p w14:paraId="13EE0A5C" w14:textId="3F6372BD" w:rsidR="00B7520E" w:rsidRPr="00873B6C" w:rsidRDefault="00B7520E" w:rsidP="002C4A81">
            <w:pPr>
              <w:pStyle w:val="TAL"/>
              <w:rPr>
                <w:sz w:val="16"/>
                <w:szCs w:val="16"/>
              </w:rPr>
            </w:pPr>
            <w:r w:rsidRPr="00873B6C">
              <w:rPr>
                <w:sz w:val="16"/>
                <w:szCs w:val="16"/>
              </w:rPr>
              <w:t>5G NSWO clarifications and corrections</w:t>
            </w:r>
          </w:p>
        </w:tc>
        <w:tc>
          <w:tcPr>
            <w:tcW w:w="708" w:type="dxa"/>
            <w:shd w:val="solid" w:color="FFFFFF" w:fill="auto"/>
          </w:tcPr>
          <w:p w14:paraId="2E102831" w14:textId="65359200" w:rsidR="00B7520E" w:rsidRPr="00873B6C" w:rsidRDefault="00B7520E" w:rsidP="002C4A81">
            <w:pPr>
              <w:pStyle w:val="TAC"/>
              <w:rPr>
                <w:sz w:val="16"/>
                <w:szCs w:val="16"/>
              </w:rPr>
            </w:pPr>
            <w:r w:rsidRPr="00873B6C">
              <w:rPr>
                <w:sz w:val="16"/>
                <w:szCs w:val="16"/>
              </w:rPr>
              <w:t>18.1.0</w:t>
            </w:r>
          </w:p>
        </w:tc>
      </w:tr>
      <w:tr w:rsidR="00587044" w:rsidRPr="00873B6C" w14:paraId="6A088A26" w14:textId="77777777" w:rsidTr="009D14FB">
        <w:tc>
          <w:tcPr>
            <w:tcW w:w="800" w:type="dxa"/>
            <w:shd w:val="solid" w:color="FFFFFF" w:fill="auto"/>
          </w:tcPr>
          <w:p w14:paraId="076BD6A3" w14:textId="64A8C279" w:rsidR="00587044" w:rsidRPr="00873B6C" w:rsidRDefault="00587044" w:rsidP="002C4A81">
            <w:pPr>
              <w:pStyle w:val="TAC"/>
              <w:rPr>
                <w:sz w:val="16"/>
                <w:szCs w:val="16"/>
              </w:rPr>
            </w:pPr>
            <w:r w:rsidRPr="00873B6C">
              <w:rPr>
                <w:sz w:val="16"/>
                <w:szCs w:val="16"/>
              </w:rPr>
              <w:t>2023-03</w:t>
            </w:r>
          </w:p>
        </w:tc>
        <w:tc>
          <w:tcPr>
            <w:tcW w:w="800" w:type="dxa"/>
            <w:shd w:val="solid" w:color="FFFFFF" w:fill="auto"/>
          </w:tcPr>
          <w:p w14:paraId="4F15CEE1" w14:textId="393980A9" w:rsidR="00587044" w:rsidRPr="00873B6C" w:rsidRDefault="00587044" w:rsidP="002C4A81">
            <w:pPr>
              <w:pStyle w:val="TAL"/>
              <w:rPr>
                <w:sz w:val="16"/>
                <w:szCs w:val="16"/>
              </w:rPr>
            </w:pPr>
            <w:r w:rsidRPr="00873B6C">
              <w:rPr>
                <w:sz w:val="16"/>
                <w:szCs w:val="16"/>
              </w:rPr>
              <w:t>SP#99</w:t>
            </w:r>
          </w:p>
        </w:tc>
        <w:tc>
          <w:tcPr>
            <w:tcW w:w="1094" w:type="dxa"/>
            <w:shd w:val="solid" w:color="FFFFFF" w:fill="auto"/>
          </w:tcPr>
          <w:p w14:paraId="12AE7943" w14:textId="1B8695B3" w:rsidR="00587044" w:rsidRPr="00873B6C" w:rsidRDefault="00587044" w:rsidP="002C4A81">
            <w:pPr>
              <w:pStyle w:val="TAC"/>
              <w:rPr>
                <w:sz w:val="16"/>
                <w:szCs w:val="16"/>
              </w:rPr>
            </w:pPr>
            <w:r w:rsidRPr="00873B6C">
              <w:rPr>
                <w:sz w:val="16"/>
                <w:szCs w:val="16"/>
              </w:rPr>
              <w:t>SP-230077</w:t>
            </w:r>
          </w:p>
        </w:tc>
        <w:tc>
          <w:tcPr>
            <w:tcW w:w="567" w:type="dxa"/>
            <w:shd w:val="solid" w:color="FFFFFF" w:fill="auto"/>
          </w:tcPr>
          <w:p w14:paraId="4A6ECBEB" w14:textId="6E09B207" w:rsidR="00587044" w:rsidRPr="00873B6C" w:rsidRDefault="00587044" w:rsidP="002C4A81">
            <w:pPr>
              <w:pStyle w:val="TAL"/>
              <w:rPr>
                <w:sz w:val="16"/>
                <w:szCs w:val="16"/>
              </w:rPr>
            </w:pPr>
            <w:r w:rsidRPr="00873B6C">
              <w:rPr>
                <w:sz w:val="16"/>
                <w:szCs w:val="16"/>
              </w:rPr>
              <w:t>3949</w:t>
            </w:r>
          </w:p>
        </w:tc>
        <w:tc>
          <w:tcPr>
            <w:tcW w:w="425" w:type="dxa"/>
            <w:shd w:val="solid" w:color="FFFFFF" w:fill="auto"/>
          </w:tcPr>
          <w:p w14:paraId="1791C247" w14:textId="04FFA032" w:rsidR="00587044" w:rsidRPr="00873B6C" w:rsidRDefault="00587044" w:rsidP="002C4A81">
            <w:pPr>
              <w:pStyle w:val="TAL"/>
              <w:rPr>
                <w:sz w:val="16"/>
                <w:szCs w:val="16"/>
              </w:rPr>
            </w:pPr>
            <w:r w:rsidRPr="00873B6C">
              <w:rPr>
                <w:sz w:val="16"/>
                <w:szCs w:val="16"/>
              </w:rPr>
              <w:t>1</w:t>
            </w:r>
          </w:p>
        </w:tc>
        <w:tc>
          <w:tcPr>
            <w:tcW w:w="425" w:type="dxa"/>
            <w:shd w:val="solid" w:color="FFFFFF" w:fill="auto"/>
          </w:tcPr>
          <w:p w14:paraId="4DD6D158" w14:textId="5DB15622" w:rsidR="00587044" w:rsidRPr="00873B6C" w:rsidRDefault="00587044" w:rsidP="002C4A81">
            <w:pPr>
              <w:pStyle w:val="TAL"/>
              <w:rPr>
                <w:sz w:val="16"/>
                <w:szCs w:val="16"/>
              </w:rPr>
            </w:pPr>
            <w:r w:rsidRPr="00873B6C">
              <w:rPr>
                <w:sz w:val="16"/>
                <w:szCs w:val="16"/>
              </w:rPr>
              <w:t>C</w:t>
            </w:r>
          </w:p>
        </w:tc>
        <w:tc>
          <w:tcPr>
            <w:tcW w:w="4820" w:type="dxa"/>
            <w:shd w:val="solid" w:color="FFFFFF" w:fill="auto"/>
          </w:tcPr>
          <w:p w14:paraId="4529F59C" w14:textId="77424A7D" w:rsidR="00587044" w:rsidRPr="00873B6C" w:rsidRDefault="00587044" w:rsidP="002C4A81">
            <w:pPr>
              <w:pStyle w:val="TAL"/>
              <w:rPr>
                <w:sz w:val="16"/>
                <w:szCs w:val="16"/>
              </w:rPr>
            </w:pPr>
            <w:r w:rsidRPr="00873B6C">
              <w:rPr>
                <w:sz w:val="16"/>
                <w:szCs w:val="16"/>
              </w:rPr>
              <w:t>User Plane Function Selection for UPEAS</w:t>
            </w:r>
          </w:p>
        </w:tc>
        <w:tc>
          <w:tcPr>
            <w:tcW w:w="708" w:type="dxa"/>
            <w:shd w:val="solid" w:color="FFFFFF" w:fill="auto"/>
          </w:tcPr>
          <w:p w14:paraId="75C036F0" w14:textId="45308C14" w:rsidR="00587044" w:rsidRPr="00873B6C" w:rsidRDefault="00587044" w:rsidP="002C4A81">
            <w:pPr>
              <w:pStyle w:val="TAC"/>
              <w:rPr>
                <w:sz w:val="16"/>
                <w:szCs w:val="16"/>
              </w:rPr>
            </w:pPr>
            <w:r w:rsidRPr="00873B6C">
              <w:rPr>
                <w:sz w:val="16"/>
                <w:szCs w:val="16"/>
              </w:rPr>
              <w:t>18.1.0</w:t>
            </w:r>
          </w:p>
        </w:tc>
      </w:tr>
      <w:tr w:rsidR="00587044" w:rsidRPr="00873B6C" w14:paraId="5315AD60" w14:textId="77777777" w:rsidTr="009D14FB">
        <w:tc>
          <w:tcPr>
            <w:tcW w:w="800" w:type="dxa"/>
            <w:shd w:val="solid" w:color="FFFFFF" w:fill="auto"/>
          </w:tcPr>
          <w:p w14:paraId="145477BC" w14:textId="01A922E8" w:rsidR="00587044" w:rsidRPr="00873B6C" w:rsidRDefault="00587044" w:rsidP="002C4A81">
            <w:pPr>
              <w:pStyle w:val="TAC"/>
              <w:rPr>
                <w:sz w:val="16"/>
                <w:szCs w:val="16"/>
              </w:rPr>
            </w:pPr>
            <w:r w:rsidRPr="00873B6C">
              <w:rPr>
                <w:sz w:val="16"/>
                <w:szCs w:val="16"/>
              </w:rPr>
              <w:t>2023-03</w:t>
            </w:r>
          </w:p>
        </w:tc>
        <w:tc>
          <w:tcPr>
            <w:tcW w:w="800" w:type="dxa"/>
            <w:shd w:val="solid" w:color="FFFFFF" w:fill="auto"/>
          </w:tcPr>
          <w:p w14:paraId="0782214C" w14:textId="50ACC864" w:rsidR="00587044" w:rsidRPr="00873B6C" w:rsidRDefault="00587044" w:rsidP="002C4A81">
            <w:pPr>
              <w:pStyle w:val="TAL"/>
              <w:rPr>
                <w:sz w:val="16"/>
                <w:szCs w:val="16"/>
              </w:rPr>
            </w:pPr>
            <w:r w:rsidRPr="00873B6C">
              <w:rPr>
                <w:sz w:val="16"/>
                <w:szCs w:val="16"/>
              </w:rPr>
              <w:t>SP#99</w:t>
            </w:r>
          </w:p>
        </w:tc>
        <w:tc>
          <w:tcPr>
            <w:tcW w:w="1094" w:type="dxa"/>
            <w:shd w:val="solid" w:color="FFFFFF" w:fill="auto"/>
          </w:tcPr>
          <w:p w14:paraId="26441B5B" w14:textId="59AD7DB5" w:rsidR="00587044" w:rsidRPr="00873B6C" w:rsidRDefault="00587044" w:rsidP="002C4A81">
            <w:pPr>
              <w:pStyle w:val="TAC"/>
              <w:rPr>
                <w:sz w:val="16"/>
                <w:szCs w:val="16"/>
              </w:rPr>
            </w:pPr>
            <w:r w:rsidRPr="00873B6C">
              <w:rPr>
                <w:sz w:val="16"/>
                <w:szCs w:val="16"/>
              </w:rPr>
              <w:t>SP-230053</w:t>
            </w:r>
          </w:p>
        </w:tc>
        <w:tc>
          <w:tcPr>
            <w:tcW w:w="567" w:type="dxa"/>
            <w:shd w:val="solid" w:color="FFFFFF" w:fill="auto"/>
          </w:tcPr>
          <w:p w14:paraId="1DDA351F" w14:textId="0F908152" w:rsidR="00587044" w:rsidRPr="00873B6C" w:rsidRDefault="00587044" w:rsidP="002C4A81">
            <w:pPr>
              <w:pStyle w:val="TAL"/>
              <w:rPr>
                <w:sz w:val="16"/>
                <w:szCs w:val="16"/>
              </w:rPr>
            </w:pPr>
            <w:r w:rsidRPr="00873B6C">
              <w:rPr>
                <w:sz w:val="16"/>
                <w:szCs w:val="16"/>
              </w:rPr>
              <w:t>3953</w:t>
            </w:r>
          </w:p>
        </w:tc>
        <w:tc>
          <w:tcPr>
            <w:tcW w:w="425" w:type="dxa"/>
            <w:shd w:val="solid" w:color="FFFFFF" w:fill="auto"/>
          </w:tcPr>
          <w:p w14:paraId="5734AF8A" w14:textId="35BDCF54" w:rsidR="00587044" w:rsidRPr="00873B6C" w:rsidRDefault="00587044" w:rsidP="002C4A81">
            <w:pPr>
              <w:pStyle w:val="TAL"/>
              <w:rPr>
                <w:sz w:val="16"/>
                <w:szCs w:val="16"/>
              </w:rPr>
            </w:pPr>
            <w:r w:rsidRPr="00873B6C">
              <w:rPr>
                <w:sz w:val="16"/>
                <w:szCs w:val="16"/>
              </w:rPr>
              <w:t>1</w:t>
            </w:r>
          </w:p>
        </w:tc>
        <w:tc>
          <w:tcPr>
            <w:tcW w:w="425" w:type="dxa"/>
            <w:shd w:val="solid" w:color="FFFFFF" w:fill="auto"/>
          </w:tcPr>
          <w:p w14:paraId="1B3F33B3" w14:textId="4DC78742" w:rsidR="00587044" w:rsidRPr="00873B6C" w:rsidRDefault="00587044" w:rsidP="002C4A81">
            <w:pPr>
              <w:pStyle w:val="TAL"/>
              <w:rPr>
                <w:sz w:val="16"/>
                <w:szCs w:val="16"/>
              </w:rPr>
            </w:pPr>
            <w:r w:rsidRPr="00873B6C">
              <w:rPr>
                <w:sz w:val="16"/>
                <w:szCs w:val="16"/>
              </w:rPr>
              <w:t>B</w:t>
            </w:r>
          </w:p>
        </w:tc>
        <w:tc>
          <w:tcPr>
            <w:tcW w:w="4820" w:type="dxa"/>
            <w:shd w:val="solid" w:color="FFFFFF" w:fill="auto"/>
          </w:tcPr>
          <w:p w14:paraId="62AF2973" w14:textId="7A9CBC39" w:rsidR="00587044" w:rsidRPr="00873B6C" w:rsidRDefault="00587044" w:rsidP="002C4A81">
            <w:pPr>
              <w:pStyle w:val="TAL"/>
              <w:rPr>
                <w:sz w:val="16"/>
                <w:szCs w:val="16"/>
              </w:rPr>
            </w:pPr>
            <w:r w:rsidRPr="00873B6C">
              <w:rPr>
                <w:sz w:val="16"/>
                <w:szCs w:val="16"/>
              </w:rPr>
              <w:t>TNGF selection enhancement for support of S-NSSAI needed by UE</w:t>
            </w:r>
          </w:p>
        </w:tc>
        <w:tc>
          <w:tcPr>
            <w:tcW w:w="708" w:type="dxa"/>
            <w:shd w:val="solid" w:color="FFFFFF" w:fill="auto"/>
          </w:tcPr>
          <w:p w14:paraId="74D60F4B" w14:textId="69EDE152" w:rsidR="00587044" w:rsidRPr="00873B6C" w:rsidRDefault="00587044" w:rsidP="002C4A81">
            <w:pPr>
              <w:pStyle w:val="TAC"/>
              <w:rPr>
                <w:sz w:val="16"/>
                <w:szCs w:val="16"/>
              </w:rPr>
            </w:pPr>
            <w:r w:rsidRPr="00873B6C">
              <w:rPr>
                <w:sz w:val="16"/>
                <w:szCs w:val="16"/>
              </w:rPr>
              <w:t>18.1.0</w:t>
            </w:r>
          </w:p>
        </w:tc>
      </w:tr>
      <w:tr w:rsidR="00587044" w:rsidRPr="00873B6C" w14:paraId="6EDAC3D6" w14:textId="77777777" w:rsidTr="009D14FB">
        <w:tc>
          <w:tcPr>
            <w:tcW w:w="800" w:type="dxa"/>
            <w:shd w:val="solid" w:color="FFFFFF" w:fill="auto"/>
          </w:tcPr>
          <w:p w14:paraId="53783B83" w14:textId="5997CB92" w:rsidR="00587044" w:rsidRPr="00873B6C" w:rsidRDefault="00587044" w:rsidP="002C4A81">
            <w:pPr>
              <w:pStyle w:val="TAC"/>
              <w:rPr>
                <w:sz w:val="16"/>
                <w:szCs w:val="16"/>
              </w:rPr>
            </w:pPr>
            <w:r w:rsidRPr="00873B6C">
              <w:rPr>
                <w:sz w:val="16"/>
                <w:szCs w:val="16"/>
              </w:rPr>
              <w:t>2023-03</w:t>
            </w:r>
          </w:p>
        </w:tc>
        <w:tc>
          <w:tcPr>
            <w:tcW w:w="800" w:type="dxa"/>
            <w:shd w:val="solid" w:color="FFFFFF" w:fill="auto"/>
          </w:tcPr>
          <w:p w14:paraId="46900481" w14:textId="2F69905C" w:rsidR="00587044" w:rsidRPr="00873B6C" w:rsidRDefault="00587044" w:rsidP="002C4A81">
            <w:pPr>
              <w:pStyle w:val="TAL"/>
              <w:rPr>
                <w:sz w:val="16"/>
                <w:szCs w:val="16"/>
              </w:rPr>
            </w:pPr>
            <w:r w:rsidRPr="00873B6C">
              <w:rPr>
                <w:sz w:val="16"/>
                <w:szCs w:val="16"/>
              </w:rPr>
              <w:t>SP#99</w:t>
            </w:r>
          </w:p>
        </w:tc>
        <w:tc>
          <w:tcPr>
            <w:tcW w:w="1094" w:type="dxa"/>
            <w:shd w:val="solid" w:color="FFFFFF" w:fill="auto"/>
          </w:tcPr>
          <w:p w14:paraId="1E09A2A1" w14:textId="66151AE3" w:rsidR="00587044" w:rsidRPr="00873B6C" w:rsidRDefault="00587044" w:rsidP="002C4A81">
            <w:pPr>
              <w:pStyle w:val="TAC"/>
              <w:rPr>
                <w:sz w:val="16"/>
                <w:szCs w:val="16"/>
              </w:rPr>
            </w:pPr>
            <w:r w:rsidRPr="00873B6C">
              <w:rPr>
                <w:sz w:val="16"/>
                <w:szCs w:val="16"/>
              </w:rPr>
              <w:t>SP-230387</w:t>
            </w:r>
          </w:p>
        </w:tc>
        <w:tc>
          <w:tcPr>
            <w:tcW w:w="567" w:type="dxa"/>
            <w:shd w:val="solid" w:color="FFFFFF" w:fill="auto"/>
          </w:tcPr>
          <w:p w14:paraId="72B0C530" w14:textId="7FD3D79C" w:rsidR="00587044" w:rsidRPr="00873B6C" w:rsidRDefault="00587044" w:rsidP="002C4A81">
            <w:pPr>
              <w:pStyle w:val="TAL"/>
              <w:rPr>
                <w:sz w:val="16"/>
                <w:szCs w:val="16"/>
              </w:rPr>
            </w:pPr>
            <w:r w:rsidRPr="00873B6C">
              <w:rPr>
                <w:sz w:val="16"/>
                <w:szCs w:val="16"/>
              </w:rPr>
              <w:t>3956</w:t>
            </w:r>
          </w:p>
        </w:tc>
        <w:tc>
          <w:tcPr>
            <w:tcW w:w="425" w:type="dxa"/>
            <w:shd w:val="solid" w:color="FFFFFF" w:fill="auto"/>
          </w:tcPr>
          <w:p w14:paraId="0289C651" w14:textId="7D0372BB" w:rsidR="00587044" w:rsidRPr="00873B6C" w:rsidRDefault="00587044" w:rsidP="002C4A81">
            <w:pPr>
              <w:pStyle w:val="TAL"/>
              <w:rPr>
                <w:sz w:val="16"/>
                <w:szCs w:val="16"/>
              </w:rPr>
            </w:pPr>
            <w:r w:rsidRPr="00873B6C">
              <w:rPr>
                <w:sz w:val="16"/>
                <w:szCs w:val="16"/>
              </w:rPr>
              <w:t>13</w:t>
            </w:r>
          </w:p>
        </w:tc>
        <w:tc>
          <w:tcPr>
            <w:tcW w:w="425" w:type="dxa"/>
            <w:shd w:val="solid" w:color="FFFFFF" w:fill="auto"/>
          </w:tcPr>
          <w:p w14:paraId="7A89B8E9" w14:textId="085561E7" w:rsidR="00587044" w:rsidRPr="00873B6C" w:rsidRDefault="00587044" w:rsidP="002C4A81">
            <w:pPr>
              <w:pStyle w:val="TAL"/>
              <w:rPr>
                <w:sz w:val="16"/>
                <w:szCs w:val="16"/>
              </w:rPr>
            </w:pPr>
            <w:r w:rsidRPr="00873B6C">
              <w:rPr>
                <w:sz w:val="16"/>
                <w:szCs w:val="16"/>
              </w:rPr>
              <w:t>B</w:t>
            </w:r>
          </w:p>
        </w:tc>
        <w:tc>
          <w:tcPr>
            <w:tcW w:w="4820" w:type="dxa"/>
            <w:shd w:val="solid" w:color="FFFFFF" w:fill="auto"/>
          </w:tcPr>
          <w:p w14:paraId="1087B84A" w14:textId="4E999908" w:rsidR="00587044" w:rsidRPr="00873B6C" w:rsidRDefault="00587044" w:rsidP="002C4A81">
            <w:pPr>
              <w:pStyle w:val="TAL"/>
              <w:rPr>
                <w:sz w:val="16"/>
                <w:szCs w:val="16"/>
              </w:rPr>
            </w:pPr>
            <w:r w:rsidRPr="00873B6C">
              <w:rPr>
                <w:sz w:val="16"/>
                <w:szCs w:val="16"/>
              </w:rPr>
              <w:t>Transfer of Satellite Coverage Data to a UE and AMF</w:t>
            </w:r>
          </w:p>
        </w:tc>
        <w:tc>
          <w:tcPr>
            <w:tcW w:w="708" w:type="dxa"/>
            <w:shd w:val="solid" w:color="FFFFFF" w:fill="auto"/>
          </w:tcPr>
          <w:p w14:paraId="41B599D1" w14:textId="7590B7FF" w:rsidR="00587044" w:rsidRPr="00873B6C" w:rsidRDefault="00587044" w:rsidP="002C4A81">
            <w:pPr>
              <w:pStyle w:val="TAC"/>
              <w:rPr>
                <w:sz w:val="16"/>
                <w:szCs w:val="16"/>
              </w:rPr>
            </w:pPr>
            <w:r w:rsidRPr="00873B6C">
              <w:rPr>
                <w:sz w:val="16"/>
                <w:szCs w:val="16"/>
              </w:rPr>
              <w:t>18.1.0</w:t>
            </w:r>
          </w:p>
        </w:tc>
      </w:tr>
      <w:tr w:rsidR="00AD480D" w:rsidRPr="00873B6C" w14:paraId="09B29B9A" w14:textId="77777777" w:rsidTr="009D14FB">
        <w:tc>
          <w:tcPr>
            <w:tcW w:w="800" w:type="dxa"/>
            <w:shd w:val="solid" w:color="FFFFFF" w:fill="auto"/>
          </w:tcPr>
          <w:p w14:paraId="377DD30F" w14:textId="24080C15" w:rsidR="00AD480D" w:rsidRPr="00873B6C" w:rsidRDefault="00AD480D" w:rsidP="002C4A81">
            <w:pPr>
              <w:pStyle w:val="TAC"/>
              <w:rPr>
                <w:sz w:val="16"/>
                <w:szCs w:val="16"/>
              </w:rPr>
            </w:pPr>
            <w:r w:rsidRPr="00873B6C">
              <w:rPr>
                <w:sz w:val="16"/>
                <w:szCs w:val="16"/>
              </w:rPr>
              <w:t>2023-03</w:t>
            </w:r>
          </w:p>
        </w:tc>
        <w:tc>
          <w:tcPr>
            <w:tcW w:w="800" w:type="dxa"/>
            <w:shd w:val="solid" w:color="FFFFFF" w:fill="auto"/>
          </w:tcPr>
          <w:p w14:paraId="7116BFFC" w14:textId="63C450C0" w:rsidR="00AD480D" w:rsidRPr="00873B6C" w:rsidRDefault="00AD480D" w:rsidP="002C4A81">
            <w:pPr>
              <w:pStyle w:val="TAL"/>
              <w:rPr>
                <w:sz w:val="16"/>
                <w:szCs w:val="16"/>
              </w:rPr>
            </w:pPr>
            <w:r w:rsidRPr="00873B6C">
              <w:rPr>
                <w:sz w:val="16"/>
                <w:szCs w:val="16"/>
              </w:rPr>
              <w:t>SP#99</w:t>
            </w:r>
          </w:p>
        </w:tc>
        <w:tc>
          <w:tcPr>
            <w:tcW w:w="1094" w:type="dxa"/>
            <w:shd w:val="solid" w:color="FFFFFF" w:fill="auto"/>
          </w:tcPr>
          <w:p w14:paraId="10D02913" w14:textId="517172DE" w:rsidR="00AD480D" w:rsidRPr="00873B6C" w:rsidRDefault="00AD480D" w:rsidP="002C4A81">
            <w:pPr>
              <w:pStyle w:val="TAC"/>
              <w:rPr>
                <w:sz w:val="16"/>
                <w:szCs w:val="16"/>
              </w:rPr>
            </w:pPr>
            <w:r w:rsidRPr="00873B6C">
              <w:rPr>
                <w:sz w:val="16"/>
                <w:szCs w:val="16"/>
              </w:rPr>
              <w:t>SP-230064</w:t>
            </w:r>
          </w:p>
        </w:tc>
        <w:tc>
          <w:tcPr>
            <w:tcW w:w="567" w:type="dxa"/>
            <w:shd w:val="solid" w:color="FFFFFF" w:fill="auto"/>
          </w:tcPr>
          <w:p w14:paraId="1CC48191" w14:textId="7D5ACEC1" w:rsidR="00AD480D" w:rsidRPr="00873B6C" w:rsidRDefault="00AD480D" w:rsidP="002C4A81">
            <w:pPr>
              <w:pStyle w:val="TAL"/>
              <w:rPr>
                <w:sz w:val="16"/>
                <w:szCs w:val="16"/>
              </w:rPr>
            </w:pPr>
            <w:r w:rsidRPr="00873B6C">
              <w:rPr>
                <w:sz w:val="16"/>
                <w:szCs w:val="16"/>
              </w:rPr>
              <w:t>3959</w:t>
            </w:r>
          </w:p>
        </w:tc>
        <w:tc>
          <w:tcPr>
            <w:tcW w:w="425" w:type="dxa"/>
            <w:shd w:val="solid" w:color="FFFFFF" w:fill="auto"/>
          </w:tcPr>
          <w:p w14:paraId="39AB4BFA" w14:textId="1FBACFBB" w:rsidR="00AD480D" w:rsidRPr="00873B6C" w:rsidRDefault="00AD480D" w:rsidP="002C4A81">
            <w:pPr>
              <w:pStyle w:val="TAL"/>
              <w:rPr>
                <w:sz w:val="16"/>
                <w:szCs w:val="16"/>
              </w:rPr>
            </w:pPr>
            <w:r w:rsidRPr="00873B6C">
              <w:rPr>
                <w:sz w:val="16"/>
                <w:szCs w:val="16"/>
              </w:rPr>
              <w:t>7</w:t>
            </w:r>
          </w:p>
        </w:tc>
        <w:tc>
          <w:tcPr>
            <w:tcW w:w="425" w:type="dxa"/>
            <w:shd w:val="solid" w:color="FFFFFF" w:fill="auto"/>
          </w:tcPr>
          <w:p w14:paraId="7B8E876A" w14:textId="5CBFF819" w:rsidR="00AD480D" w:rsidRPr="00873B6C" w:rsidRDefault="00AD480D" w:rsidP="002C4A81">
            <w:pPr>
              <w:pStyle w:val="TAL"/>
              <w:rPr>
                <w:sz w:val="16"/>
                <w:szCs w:val="16"/>
              </w:rPr>
            </w:pPr>
            <w:r w:rsidRPr="00873B6C">
              <w:rPr>
                <w:sz w:val="16"/>
                <w:szCs w:val="16"/>
              </w:rPr>
              <w:t>B</w:t>
            </w:r>
          </w:p>
        </w:tc>
        <w:tc>
          <w:tcPr>
            <w:tcW w:w="4820" w:type="dxa"/>
            <w:shd w:val="solid" w:color="FFFFFF" w:fill="auto"/>
          </w:tcPr>
          <w:p w14:paraId="25EDE64B" w14:textId="4B9DB5A4" w:rsidR="00AD480D" w:rsidRPr="00873B6C" w:rsidRDefault="00AD480D" w:rsidP="002C4A81">
            <w:pPr>
              <w:pStyle w:val="TAL"/>
              <w:rPr>
                <w:sz w:val="16"/>
                <w:szCs w:val="16"/>
              </w:rPr>
            </w:pPr>
            <w:r w:rsidRPr="00873B6C">
              <w:rPr>
                <w:sz w:val="16"/>
                <w:szCs w:val="16"/>
              </w:rPr>
              <w:t>Hierarchical NSAC architecture enhancement</w:t>
            </w:r>
          </w:p>
        </w:tc>
        <w:tc>
          <w:tcPr>
            <w:tcW w:w="708" w:type="dxa"/>
            <w:shd w:val="solid" w:color="FFFFFF" w:fill="auto"/>
          </w:tcPr>
          <w:p w14:paraId="32A89D98" w14:textId="7C4E3741" w:rsidR="00AD480D" w:rsidRPr="00873B6C" w:rsidRDefault="00AD480D" w:rsidP="002C4A81">
            <w:pPr>
              <w:pStyle w:val="TAC"/>
              <w:rPr>
                <w:sz w:val="16"/>
                <w:szCs w:val="16"/>
              </w:rPr>
            </w:pPr>
            <w:r w:rsidRPr="00873B6C">
              <w:rPr>
                <w:sz w:val="16"/>
                <w:szCs w:val="16"/>
              </w:rPr>
              <w:t>18.1.0</w:t>
            </w:r>
          </w:p>
        </w:tc>
      </w:tr>
      <w:tr w:rsidR="007C2ADF" w:rsidRPr="00873B6C" w14:paraId="364EAF28" w14:textId="77777777" w:rsidTr="009D14FB">
        <w:tc>
          <w:tcPr>
            <w:tcW w:w="800" w:type="dxa"/>
            <w:shd w:val="solid" w:color="FFFFFF" w:fill="auto"/>
          </w:tcPr>
          <w:p w14:paraId="0E5EA5F3" w14:textId="03A26A66"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60110130" w14:textId="08D88EDE"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07678B32" w14:textId="56D8BAF5" w:rsidR="007C2ADF" w:rsidRPr="00873B6C" w:rsidRDefault="007C2ADF" w:rsidP="002C4A81">
            <w:pPr>
              <w:pStyle w:val="TAC"/>
              <w:rPr>
                <w:sz w:val="16"/>
                <w:szCs w:val="16"/>
              </w:rPr>
            </w:pPr>
            <w:r w:rsidRPr="00873B6C">
              <w:rPr>
                <w:sz w:val="16"/>
                <w:szCs w:val="16"/>
              </w:rPr>
              <w:t>SP-230077</w:t>
            </w:r>
          </w:p>
        </w:tc>
        <w:tc>
          <w:tcPr>
            <w:tcW w:w="567" w:type="dxa"/>
            <w:shd w:val="solid" w:color="FFFFFF" w:fill="auto"/>
          </w:tcPr>
          <w:p w14:paraId="2A53C133" w14:textId="76ED9CE2" w:rsidR="007C2ADF" w:rsidRPr="00873B6C" w:rsidRDefault="007C2ADF" w:rsidP="002C4A81">
            <w:pPr>
              <w:pStyle w:val="TAL"/>
              <w:rPr>
                <w:sz w:val="16"/>
                <w:szCs w:val="16"/>
              </w:rPr>
            </w:pPr>
            <w:r w:rsidRPr="00873B6C">
              <w:rPr>
                <w:sz w:val="16"/>
                <w:szCs w:val="16"/>
              </w:rPr>
              <w:t>3962</w:t>
            </w:r>
          </w:p>
        </w:tc>
        <w:tc>
          <w:tcPr>
            <w:tcW w:w="425" w:type="dxa"/>
            <w:shd w:val="solid" w:color="FFFFFF" w:fill="auto"/>
          </w:tcPr>
          <w:p w14:paraId="6A2798AB" w14:textId="14A879D3" w:rsidR="007C2ADF" w:rsidRPr="00873B6C" w:rsidRDefault="007C2ADF" w:rsidP="002C4A81">
            <w:pPr>
              <w:pStyle w:val="TAL"/>
              <w:rPr>
                <w:sz w:val="16"/>
                <w:szCs w:val="16"/>
              </w:rPr>
            </w:pPr>
            <w:r w:rsidRPr="00873B6C">
              <w:rPr>
                <w:sz w:val="16"/>
                <w:szCs w:val="16"/>
              </w:rPr>
              <w:t>1</w:t>
            </w:r>
          </w:p>
        </w:tc>
        <w:tc>
          <w:tcPr>
            <w:tcW w:w="425" w:type="dxa"/>
            <w:shd w:val="solid" w:color="FFFFFF" w:fill="auto"/>
          </w:tcPr>
          <w:p w14:paraId="0C18BB7B" w14:textId="1E564089" w:rsidR="007C2ADF" w:rsidRPr="00873B6C" w:rsidRDefault="007C2ADF" w:rsidP="002C4A81">
            <w:pPr>
              <w:pStyle w:val="TAL"/>
              <w:rPr>
                <w:sz w:val="16"/>
                <w:szCs w:val="16"/>
              </w:rPr>
            </w:pPr>
            <w:r w:rsidRPr="00873B6C">
              <w:rPr>
                <w:sz w:val="16"/>
                <w:szCs w:val="16"/>
              </w:rPr>
              <w:t>F</w:t>
            </w:r>
          </w:p>
        </w:tc>
        <w:tc>
          <w:tcPr>
            <w:tcW w:w="4820" w:type="dxa"/>
            <w:shd w:val="solid" w:color="FFFFFF" w:fill="auto"/>
          </w:tcPr>
          <w:p w14:paraId="2BDD0B9E" w14:textId="6DF69A0A" w:rsidR="007C2ADF" w:rsidRPr="00873B6C" w:rsidRDefault="007C2ADF" w:rsidP="002C4A81">
            <w:pPr>
              <w:pStyle w:val="TAL"/>
              <w:rPr>
                <w:sz w:val="16"/>
                <w:szCs w:val="16"/>
              </w:rPr>
            </w:pPr>
            <w:r w:rsidRPr="00873B6C">
              <w:rPr>
                <w:sz w:val="16"/>
                <w:szCs w:val="16"/>
              </w:rPr>
              <w:t xml:space="preserve">Direct Exposure from UPF and UPF selection </w:t>
            </w:r>
          </w:p>
        </w:tc>
        <w:tc>
          <w:tcPr>
            <w:tcW w:w="708" w:type="dxa"/>
            <w:shd w:val="solid" w:color="FFFFFF" w:fill="auto"/>
          </w:tcPr>
          <w:p w14:paraId="5A136D23" w14:textId="28805C68" w:rsidR="007C2ADF" w:rsidRPr="00873B6C" w:rsidRDefault="007C2ADF" w:rsidP="002C4A81">
            <w:pPr>
              <w:pStyle w:val="TAC"/>
              <w:rPr>
                <w:sz w:val="16"/>
                <w:szCs w:val="16"/>
              </w:rPr>
            </w:pPr>
            <w:r w:rsidRPr="00873B6C">
              <w:rPr>
                <w:sz w:val="16"/>
                <w:szCs w:val="16"/>
              </w:rPr>
              <w:t>18.1.0</w:t>
            </w:r>
          </w:p>
        </w:tc>
      </w:tr>
      <w:tr w:rsidR="007C2ADF" w:rsidRPr="00873B6C" w14:paraId="77530878" w14:textId="77777777" w:rsidTr="009D14FB">
        <w:tc>
          <w:tcPr>
            <w:tcW w:w="800" w:type="dxa"/>
            <w:shd w:val="solid" w:color="FFFFFF" w:fill="auto"/>
          </w:tcPr>
          <w:p w14:paraId="22A12291" w14:textId="4778E020"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1AB7DD5C" w14:textId="033B0146"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1AB3D8BF" w14:textId="2CC90735" w:rsidR="007C2ADF" w:rsidRPr="00873B6C" w:rsidRDefault="007C2ADF" w:rsidP="002C4A81">
            <w:pPr>
              <w:pStyle w:val="TAC"/>
              <w:rPr>
                <w:sz w:val="16"/>
                <w:szCs w:val="16"/>
              </w:rPr>
            </w:pPr>
            <w:r w:rsidRPr="00873B6C">
              <w:rPr>
                <w:sz w:val="16"/>
                <w:szCs w:val="16"/>
              </w:rPr>
              <w:t>SP-230068</w:t>
            </w:r>
          </w:p>
        </w:tc>
        <w:tc>
          <w:tcPr>
            <w:tcW w:w="567" w:type="dxa"/>
            <w:shd w:val="solid" w:color="FFFFFF" w:fill="auto"/>
          </w:tcPr>
          <w:p w14:paraId="008EC9B5" w14:textId="09AC7F26" w:rsidR="007C2ADF" w:rsidRPr="00873B6C" w:rsidRDefault="007C2ADF" w:rsidP="002C4A81">
            <w:pPr>
              <w:pStyle w:val="TAL"/>
              <w:rPr>
                <w:sz w:val="16"/>
                <w:szCs w:val="16"/>
              </w:rPr>
            </w:pPr>
            <w:r w:rsidRPr="00873B6C">
              <w:rPr>
                <w:sz w:val="16"/>
                <w:szCs w:val="16"/>
              </w:rPr>
              <w:t>3964</w:t>
            </w:r>
          </w:p>
        </w:tc>
        <w:tc>
          <w:tcPr>
            <w:tcW w:w="425" w:type="dxa"/>
            <w:shd w:val="solid" w:color="FFFFFF" w:fill="auto"/>
          </w:tcPr>
          <w:p w14:paraId="00DCC3F7" w14:textId="3996886F" w:rsidR="007C2ADF" w:rsidRPr="00873B6C" w:rsidRDefault="007C2ADF" w:rsidP="002C4A81">
            <w:pPr>
              <w:pStyle w:val="TAL"/>
              <w:rPr>
                <w:sz w:val="16"/>
                <w:szCs w:val="16"/>
              </w:rPr>
            </w:pPr>
            <w:r w:rsidRPr="00873B6C">
              <w:rPr>
                <w:sz w:val="16"/>
                <w:szCs w:val="16"/>
              </w:rPr>
              <w:t>1</w:t>
            </w:r>
          </w:p>
        </w:tc>
        <w:tc>
          <w:tcPr>
            <w:tcW w:w="425" w:type="dxa"/>
            <w:shd w:val="solid" w:color="FFFFFF" w:fill="auto"/>
          </w:tcPr>
          <w:p w14:paraId="30569417" w14:textId="5EFCDA90" w:rsidR="007C2ADF" w:rsidRPr="00873B6C" w:rsidRDefault="007C2ADF" w:rsidP="002C4A81">
            <w:pPr>
              <w:pStyle w:val="TAL"/>
              <w:rPr>
                <w:sz w:val="16"/>
                <w:szCs w:val="16"/>
              </w:rPr>
            </w:pPr>
            <w:r w:rsidRPr="00873B6C">
              <w:rPr>
                <w:sz w:val="16"/>
                <w:szCs w:val="16"/>
              </w:rPr>
              <w:t>B</w:t>
            </w:r>
          </w:p>
        </w:tc>
        <w:tc>
          <w:tcPr>
            <w:tcW w:w="4820" w:type="dxa"/>
            <w:shd w:val="solid" w:color="FFFFFF" w:fill="auto"/>
          </w:tcPr>
          <w:p w14:paraId="047C0A47" w14:textId="2559A579" w:rsidR="007C2ADF" w:rsidRPr="00873B6C" w:rsidRDefault="007C2ADF" w:rsidP="002C4A81">
            <w:pPr>
              <w:pStyle w:val="TAL"/>
              <w:rPr>
                <w:sz w:val="16"/>
                <w:szCs w:val="16"/>
              </w:rPr>
            </w:pPr>
            <w:r w:rsidRPr="00873B6C">
              <w:rPr>
                <w:sz w:val="16"/>
                <w:szCs w:val="16"/>
              </w:rPr>
              <w:t>KI#3, NEF exposure for handling PDU Session Type change and managing temporal invalidity/validity condition for a group of UEs</w:t>
            </w:r>
          </w:p>
        </w:tc>
        <w:tc>
          <w:tcPr>
            <w:tcW w:w="708" w:type="dxa"/>
            <w:shd w:val="solid" w:color="FFFFFF" w:fill="auto"/>
          </w:tcPr>
          <w:p w14:paraId="25A2F30D" w14:textId="7B2DE0A8" w:rsidR="007C2ADF" w:rsidRPr="00873B6C" w:rsidRDefault="007C2ADF" w:rsidP="002C4A81">
            <w:pPr>
              <w:pStyle w:val="TAC"/>
              <w:rPr>
                <w:sz w:val="16"/>
                <w:szCs w:val="16"/>
              </w:rPr>
            </w:pPr>
            <w:r w:rsidRPr="00873B6C">
              <w:rPr>
                <w:sz w:val="16"/>
                <w:szCs w:val="16"/>
              </w:rPr>
              <w:t>18.1.0</w:t>
            </w:r>
          </w:p>
        </w:tc>
      </w:tr>
      <w:tr w:rsidR="007C2ADF" w:rsidRPr="00873B6C" w14:paraId="318327DD" w14:textId="77777777" w:rsidTr="009D14FB">
        <w:tc>
          <w:tcPr>
            <w:tcW w:w="800" w:type="dxa"/>
            <w:shd w:val="solid" w:color="FFFFFF" w:fill="auto"/>
          </w:tcPr>
          <w:p w14:paraId="67A2BD9D" w14:textId="0F9D1F15"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69511868" w14:textId="19BE1B48"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67224EF5" w14:textId="5B175853" w:rsidR="007C2ADF" w:rsidRPr="00873B6C" w:rsidRDefault="007C2ADF" w:rsidP="002C4A81">
            <w:pPr>
              <w:pStyle w:val="TAC"/>
              <w:rPr>
                <w:sz w:val="16"/>
                <w:szCs w:val="16"/>
              </w:rPr>
            </w:pPr>
            <w:r w:rsidRPr="00873B6C">
              <w:rPr>
                <w:sz w:val="16"/>
                <w:szCs w:val="16"/>
              </w:rPr>
              <w:t>SP-230049</w:t>
            </w:r>
          </w:p>
        </w:tc>
        <w:tc>
          <w:tcPr>
            <w:tcW w:w="567" w:type="dxa"/>
            <w:shd w:val="solid" w:color="FFFFFF" w:fill="auto"/>
          </w:tcPr>
          <w:p w14:paraId="2A3BEC8A" w14:textId="2D296AE8" w:rsidR="007C2ADF" w:rsidRPr="00873B6C" w:rsidRDefault="007C2ADF" w:rsidP="002C4A81">
            <w:pPr>
              <w:pStyle w:val="TAL"/>
              <w:rPr>
                <w:sz w:val="16"/>
                <w:szCs w:val="16"/>
              </w:rPr>
            </w:pPr>
            <w:r w:rsidRPr="00873B6C">
              <w:rPr>
                <w:sz w:val="16"/>
                <w:szCs w:val="16"/>
              </w:rPr>
              <w:t>3966</w:t>
            </w:r>
          </w:p>
        </w:tc>
        <w:tc>
          <w:tcPr>
            <w:tcW w:w="425" w:type="dxa"/>
            <w:shd w:val="solid" w:color="FFFFFF" w:fill="auto"/>
          </w:tcPr>
          <w:p w14:paraId="57EE3450" w14:textId="28F70047" w:rsidR="007C2ADF" w:rsidRPr="00873B6C" w:rsidRDefault="007C2ADF" w:rsidP="002C4A81">
            <w:pPr>
              <w:pStyle w:val="TAL"/>
              <w:rPr>
                <w:sz w:val="16"/>
                <w:szCs w:val="16"/>
              </w:rPr>
            </w:pPr>
            <w:r w:rsidRPr="00873B6C">
              <w:rPr>
                <w:sz w:val="16"/>
                <w:szCs w:val="16"/>
              </w:rPr>
              <w:t>3</w:t>
            </w:r>
          </w:p>
        </w:tc>
        <w:tc>
          <w:tcPr>
            <w:tcW w:w="425" w:type="dxa"/>
            <w:shd w:val="solid" w:color="FFFFFF" w:fill="auto"/>
          </w:tcPr>
          <w:p w14:paraId="6859B428" w14:textId="26D26DE6" w:rsidR="007C2ADF" w:rsidRPr="00873B6C" w:rsidRDefault="007C2ADF" w:rsidP="002C4A81">
            <w:pPr>
              <w:pStyle w:val="TAL"/>
              <w:rPr>
                <w:sz w:val="16"/>
                <w:szCs w:val="16"/>
              </w:rPr>
            </w:pPr>
            <w:r w:rsidRPr="00873B6C">
              <w:rPr>
                <w:sz w:val="16"/>
                <w:szCs w:val="16"/>
              </w:rPr>
              <w:t>B</w:t>
            </w:r>
          </w:p>
        </w:tc>
        <w:tc>
          <w:tcPr>
            <w:tcW w:w="4820" w:type="dxa"/>
            <w:shd w:val="solid" w:color="FFFFFF" w:fill="auto"/>
          </w:tcPr>
          <w:p w14:paraId="54614D3A" w14:textId="71CEDCAE" w:rsidR="007C2ADF" w:rsidRPr="00873B6C" w:rsidRDefault="007C2ADF" w:rsidP="002C4A81">
            <w:pPr>
              <w:pStyle w:val="TAL"/>
              <w:rPr>
                <w:sz w:val="16"/>
                <w:szCs w:val="16"/>
              </w:rPr>
            </w:pPr>
            <w:r w:rsidRPr="00873B6C">
              <w:rPr>
                <w:sz w:val="16"/>
                <w:szCs w:val="16"/>
              </w:rPr>
              <w:t>Paging enhancement during satellite discontinuous coverage</w:t>
            </w:r>
          </w:p>
        </w:tc>
        <w:tc>
          <w:tcPr>
            <w:tcW w:w="708" w:type="dxa"/>
            <w:shd w:val="solid" w:color="FFFFFF" w:fill="auto"/>
          </w:tcPr>
          <w:p w14:paraId="33DC9D16" w14:textId="27F4EE08" w:rsidR="007C2ADF" w:rsidRPr="00873B6C" w:rsidRDefault="007C2ADF" w:rsidP="002C4A81">
            <w:pPr>
              <w:pStyle w:val="TAC"/>
              <w:rPr>
                <w:sz w:val="16"/>
                <w:szCs w:val="16"/>
              </w:rPr>
            </w:pPr>
            <w:r w:rsidRPr="00873B6C">
              <w:rPr>
                <w:sz w:val="16"/>
                <w:szCs w:val="16"/>
              </w:rPr>
              <w:t>18.1.0</w:t>
            </w:r>
          </w:p>
        </w:tc>
      </w:tr>
      <w:tr w:rsidR="007C2ADF" w:rsidRPr="00873B6C" w14:paraId="2318FE97" w14:textId="77777777" w:rsidTr="009D14FB">
        <w:tc>
          <w:tcPr>
            <w:tcW w:w="800" w:type="dxa"/>
            <w:shd w:val="solid" w:color="FFFFFF" w:fill="auto"/>
          </w:tcPr>
          <w:p w14:paraId="1537434B" w14:textId="10EBAFD7"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041D5A3C" w14:textId="3CC57B6F"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751B55EF" w14:textId="6DF9E4FA" w:rsidR="007C2ADF" w:rsidRPr="00873B6C" w:rsidRDefault="007C2ADF" w:rsidP="002C4A81">
            <w:pPr>
              <w:pStyle w:val="TAC"/>
              <w:rPr>
                <w:sz w:val="16"/>
                <w:szCs w:val="16"/>
              </w:rPr>
            </w:pPr>
            <w:r w:rsidRPr="00873B6C">
              <w:rPr>
                <w:sz w:val="16"/>
                <w:szCs w:val="16"/>
              </w:rPr>
              <w:t>SP-230054</w:t>
            </w:r>
          </w:p>
        </w:tc>
        <w:tc>
          <w:tcPr>
            <w:tcW w:w="567" w:type="dxa"/>
            <w:shd w:val="solid" w:color="FFFFFF" w:fill="auto"/>
          </w:tcPr>
          <w:p w14:paraId="34BC9D1F" w14:textId="7F1D313B" w:rsidR="007C2ADF" w:rsidRPr="00873B6C" w:rsidRDefault="007C2ADF" w:rsidP="002C4A81">
            <w:pPr>
              <w:pStyle w:val="TAL"/>
              <w:rPr>
                <w:sz w:val="16"/>
                <w:szCs w:val="16"/>
              </w:rPr>
            </w:pPr>
            <w:r w:rsidRPr="00873B6C">
              <w:rPr>
                <w:sz w:val="16"/>
                <w:szCs w:val="16"/>
              </w:rPr>
              <w:t>3968</w:t>
            </w:r>
          </w:p>
        </w:tc>
        <w:tc>
          <w:tcPr>
            <w:tcW w:w="425" w:type="dxa"/>
            <w:shd w:val="solid" w:color="FFFFFF" w:fill="auto"/>
          </w:tcPr>
          <w:p w14:paraId="42E48C4C" w14:textId="1DF69175" w:rsidR="007C2ADF" w:rsidRPr="00873B6C" w:rsidRDefault="007C2ADF" w:rsidP="002C4A81">
            <w:pPr>
              <w:pStyle w:val="TAL"/>
              <w:rPr>
                <w:sz w:val="16"/>
                <w:szCs w:val="16"/>
              </w:rPr>
            </w:pPr>
            <w:r w:rsidRPr="00873B6C">
              <w:rPr>
                <w:sz w:val="16"/>
                <w:szCs w:val="16"/>
              </w:rPr>
              <w:t>4</w:t>
            </w:r>
          </w:p>
        </w:tc>
        <w:tc>
          <w:tcPr>
            <w:tcW w:w="425" w:type="dxa"/>
            <w:shd w:val="solid" w:color="FFFFFF" w:fill="auto"/>
          </w:tcPr>
          <w:p w14:paraId="54E717E0" w14:textId="1736F412" w:rsidR="007C2ADF" w:rsidRPr="00873B6C" w:rsidRDefault="007C2ADF" w:rsidP="002C4A81">
            <w:pPr>
              <w:pStyle w:val="TAL"/>
              <w:rPr>
                <w:sz w:val="16"/>
                <w:szCs w:val="16"/>
              </w:rPr>
            </w:pPr>
            <w:r w:rsidRPr="00873B6C">
              <w:rPr>
                <w:sz w:val="16"/>
                <w:szCs w:val="16"/>
              </w:rPr>
              <w:t>B</w:t>
            </w:r>
          </w:p>
        </w:tc>
        <w:tc>
          <w:tcPr>
            <w:tcW w:w="4820" w:type="dxa"/>
            <w:shd w:val="solid" w:color="FFFFFF" w:fill="auto"/>
          </w:tcPr>
          <w:p w14:paraId="408BC52A" w14:textId="323E23B7" w:rsidR="007C2ADF" w:rsidRPr="00873B6C" w:rsidRDefault="007C2ADF" w:rsidP="002C4A81">
            <w:pPr>
              <w:pStyle w:val="TAL"/>
              <w:rPr>
                <w:sz w:val="16"/>
                <w:szCs w:val="16"/>
              </w:rPr>
            </w:pPr>
            <w:r w:rsidRPr="00873B6C">
              <w:rPr>
                <w:sz w:val="16"/>
                <w:szCs w:val="16"/>
              </w:rPr>
              <w:t>5GS Assistance for Application AI/ML operation: General clause</w:t>
            </w:r>
          </w:p>
        </w:tc>
        <w:tc>
          <w:tcPr>
            <w:tcW w:w="708" w:type="dxa"/>
            <w:shd w:val="solid" w:color="FFFFFF" w:fill="auto"/>
          </w:tcPr>
          <w:p w14:paraId="4D17BF76" w14:textId="14ED00C5" w:rsidR="007C2ADF" w:rsidRPr="00873B6C" w:rsidRDefault="007C2ADF" w:rsidP="002C4A81">
            <w:pPr>
              <w:pStyle w:val="TAC"/>
              <w:rPr>
                <w:sz w:val="16"/>
                <w:szCs w:val="16"/>
              </w:rPr>
            </w:pPr>
            <w:r w:rsidRPr="00873B6C">
              <w:rPr>
                <w:sz w:val="16"/>
                <w:szCs w:val="16"/>
              </w:rPr>
              <w:t>18.1.0</w:t>
            </w:r>
          </w:p>
        </w:tc>
      </w:tr>
      <w:tr w:rsidR="007C2ADF" w:rsidRPr="00873B6C" w14:paraId="031B3BFD" w14:textId="77777777" w:rsidTr="009D14FB">
        <w:tc>
          <w:tcPr>
            <w:tcW w:w="800" w:type="dxa"/>
            <w:shd w:val="solid" w:color="FFFFFF" w:fill="auto"/>
          </w:tcPr>
          <w:p w14:paraId="4AF7AE74" w14:textId="46D90185"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1AEC7B20" w14:textId="0E1C3665"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7D3C2C13" w14:textId="02E0968E" w:rsidR="007C2ADF" w:rsidRPr="00873B6C" w:rsidRDefault="007C2ADF" w:rsidP="002C4A81">
            <w:pPr>
              <w:pStyle w:val="TAC"/>
              <w:rPr>
                <w:sz w:val="16"/>
                <w:szCs w:val="16"/>
              </w:rPr>
            </w:pPr>
            <w:r w:rsidRPr="00873B6C">
              <w:rPr>
                <w:sz w:val="16"/>
                <w:szCs w:val="16"/>
              </w:rPr>
              <w:t>SP-230056</w:t>
            </w:r>
          </w:p>
        </w:tc>
        <w:tc>
          <w:tcPr>
            <w:tcW w:w="567" w:type="dxa"/>
            <w:shd w:val="solid" w:color="FFFFFF" w:fill="auto"/>
          </w:tcPr>
          <w:p w14:paraId="0873D09D" w14:textId="6B5F7A75" w:rsidR="007C2ADF" w:rsidRPr="00873B6C" w:rsidRDefault="007C2ADF" w:rsidP="002C4A81">
            <w:pPr>
              <w:pStyle w:val="TAL"/>
              <w:rPr>
                <w:sz w:val="16"/>
                <w:szCs w:val="16"/>
              </w:rPr>
            </w:pPr>
            <w:r w:rsidRPr="00873B6C">
              <w:rPr>
                <w:sz w:val="16"/>
                <w:szCs w:val="16"/>
              </w:rPr>
              <w:t>3973</w:t>
            </w:r>
          </w:p>
        </w:tc>
        <w:tc>
          <w:tcPr>
            <w:tcW w:w="425" w:type="dxa"/>
            <w:shd w:val="solid" w:color="FFFFFF" w:fill="auto"/>
          </w:tcPr>
          <w:p w14:paraId="5E16C650" w14:textId="48E9DC6E" w:rsidR="007C2ADF" w:rsidRPr="00873B6C" w:rsidRDefault="007C2ADF" w:rsidP="002C4A81">
            <w:pPr>
              <w:pStyle w:val="TAL"/>
              <w:rPr>
                <w:sz w:val="16"/>
                <w:szCs w:val="16"/>
              </w:rPr>
            </w:pPr>
            <w:r w:rsidRPr="00873B6C">
              <w:rPr>
                <w:sz w:val="16"/>
                <w:szCs w:val="16"/>
              </w:rPr>
              <w:t>1</w:t>
            </w:r>
          </w:p>
        </w:tc>
        <w:tc>
          <w:tcPr>
            <w:tcW w:w="425" w:type="dxa"/>
            <w:shd w:val="solid" w:color="FFFFFF" w:fill="auto"/>
          </w:tcPr>
          <w:p w14:paraId="2AC2DC81" w14:textId="4EBA409A" w:rsidR="007C2ADF" w:rsidRPr="00873B6C" w:rsidRDefault="007C2ADF" w:rsidP="002C4A81">
            <w:pPr>
              <w:pStyle w:val="TAL"/>
              <w:rPr>
                <w:sz w:val="16"/>
                <w:szCs w:val="16"/>
              </w:rPr>
            </w:pPr>
            <w:r w:rsidRPr="00873B6C">
              <w:rPr>
                <w:sz w:val="16"/>
                <w:szCs w:val="16"/>
              </w:rPr>
              <w:t>B</w:t>
            </w:r>
          </w:p>
        </w:tc>
        <w:tc>
          <w:tcPr>
            <w:tcW w:w="4820" w:type="dxa"/>
            <w:shd w:val="solid" w:color="FFFFFF" w:fill="auto"/>
          </w:tcPr>
          <w:p w14:paraId="10921ADB" w14:textId="5A4D2936" w:rsidR="007C2ADF" w:rsidRPr="00873B6C" w:rsidRDefault="007C2ADF" w:rsidP="002C4A81">
            <w:pPr>
              <w:pStyle w:val="TAL"/>
              <w:rPr>
                <w:sz w:val="16"/>
                <w:szCs w:val="16"/>
              </w:rPr>
            </w:pPr>
            <w:r w:rsidRPr="00873B6C">
              <w:rPr>
                <w:sz w:val="16"/>
                <w:szCs w:val="16"/>
              </w:rPr>
              <w:t>Introduction of the MPQUIC Steering Functionality</w:t>
            </w:r>
          </w:p>
        </w:tc>
        <w:tc>
          <w:tcPr>
            <w:tcW w:w="708" w:type="dxa"/>
            <w:shd w:val="solid" w:color="FFFFFF" w:fill="auto"/>
          </w:tcPr>
          <w:p w14:paraId="501CFCCE" w14:textId="5D32F194" w:rsidR="007C2ADF" w:rsidRPr="00873B6C" w:rsidRDefault="007C2ADF" w:rsidP="002C4A81">
            <w:pPr>
              <w:pStyle w:val="TAC"/>
              <w:rPr>
                <w:sz w:val="16"/>
                <w:szCs w:val="16"/>
              </w:rPr>
            </w:pPr>
            <w:r w:rsidRPr="00873B6C">
              <w:rPr>
                <w:sz w:val="16"/>
                <w:szCs w:val="16"/>
              </w:rPr>
              <w:t>18.1.0</w:t>
            </w:r>
          </w:p>
        </w:tc>
      </w:tr>
      <w:tr w:rsidR="00F05BA4" w:rsidRPr="00873B6C" w14:paraId="7A28CA77" w14:textId="77777777" w:rsidTr="009D14FB">
        <w:tc>
          <w:tcPr>
            <w:tcW w:w="800" w:type="dxa"/>
            <w:shd w:val="solid" w:color="FFFFFF" w:fill="auto"/>
          </w:tcPr>
          <w:p w14:paraId="2F5D6C4F" w14:textId="09EC1D83"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2E10E8A5" w14:textId="4234DBD1"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59B9C287" w14:textId="413D1245" w:rsidR="00F05BA4" w:rsidRPr="00873B6C" w:rsidRDefault="00F05BA4" w:rsidP="002C4A81">
            <w:pPr>
              <w:pStyle w:val="TAC"/>
              <w:rPr>
                <w:sz w:val="16"/>
                <w:szCs w:val="16"/>
              </w:rPr>
            </w:pPr>
            <w:r w:rsidRPr="00873B6C">
              <w:rPr>
                <w:sz w:val="16"/>
                <w:szCs w:val="16"/>
              </w:rPr>
              <w:t>SP-230052</w:t>
            </w:r>
          </w:p>
        </w:tc>
        <w:tc>
          <w:tcPr>
            <w:tcW w:w="567" w:type="dxa"/>
            <w:shd w:val="solid" w:color="FFFFFF" w:fill="auto"/>
          </w:tcPr>
          <w:p w14:paraId="4668A4E9" w14:textId="00E1C7BB" w:rsidR="00F05BA4" w:rsidRPr="00873B6C" w:rsidRDefault="00F05BA4" w:rsidP="002C4A81">
            <w:pPr>
              <w:pStyle w:val="TAL"/>
              <w:rPr>
                <w:sz w:val="16"/>
                <w:szCs w:val="16"/>
              </w:rPr>
            </w:pPr>
            <w:r w:rsidRPr="00873B6C">
              <w:rPr>
                <w:sz w:val="16"/>
                <w:szCs w:val="16"/>
              </w:rPr>
              <w:t>3981</w:t>
            </w:r>
          </w:p>
        </w:tc>
        <w:tc>
          <w:tcPr>
            <w:tcW w:w="425" w:type="dxa"/>
            <w:shd w:val="solid" w:color="FFFFFF" w:fill="auto"/>
          </w:tcPr>
          <w:p w14:paraId="378B5FC1" w14:textId="70B80C80" w:rsidR="00F05BA4" w:rsidRPr="00873B6C" w:rsidRDefault="00F05BA4" w:rsidP="002C4A81">
            <w:pPr>
              <w:pStyle w:val="TAL"/>
              <w:rPr>
                <w:sz w:val="16"/>
                <w:szCs w:val="16"/>
              </w:rPr>
            </w:pPr>
            <w:r w:rsidRPr="00873B6C">
              <w:rPr>
                <w:sz w:val="16"/>
                <w:szCs w:val="16"/>
              </w:rPr>
              <w:t>1</w:t>
            </w:r>
          </w:p>
        </w:tc>
        <w:tc>
          <w:tcPr>
            <w:tcW w:w="425" w:type="dxa"/>
            <w:shd w:val="solid" w:color="FFFFFF" w:fill="auto"/>
          </w:tcPr>
          <w:p w14:paraId="78E5322C" w14:textId="5FC473D9" w:rsidR="00F05BA4" w:rsidRPr="00873B6C" w:rsidRDefault="00F05BA4" w:rsidP="002C4A81">
            <w:pPr>
              <w:pStyle w:val="TAL"/>
              <w:rPr>
                <w:sz w:val="16"/>
                <w:szCs w:val="16"/>
              </w:rPr>
            </w:pPr>
            <w:r w:rsidRPr="00873B6C">
              <w:rPr>
                <w:sz w:val="16"/>
                <w:szCs w:val="16"/>
              </w:rPr>
              <w:t>F</w:t>
            </w:r>
          </w:p>
        </w:tc>
        <w:tc>
          <w:tcPr>
            <w:tcW w:w="4820" w:type="dxa"/>
            <w:shd w:val="solid" w:color="FFFFFF" w:fill="auto"/>
          </w:tcPr>
          <w:p w14:paraId="0BC2B1A2" w14:textId="0E9D400D" w:rsidR="00F05BA4" w:rsidRPr="00873B6C" w:rsidRDefault="00F05BA4" w:rsidP="002C4A81">
            <w:pPr>
              <w:pStyle w:val="TAL"/>
              <w:rPr>
                <w:sz w:val="16"/>
                <w:szCs w:val="16"/>
              </w:rPr>
            </w:pPr>
            <w:r w:rsidRPr="00873B6C">
              <w:rPr>
                <w:sz w:val="16"/>
                <w:szCs w:val="16"/>
              </w:rPr>
              <w:t>Update for controlling time synchronization service based on Subscription</w:t>
            </w:r>
          </w:p>
        </w:tc>
        <w:tc>
          <w:tcPr>
            <w:tcW w:w="708" w:type="dxa"/>
            <w:shd w:val="solid" w:color="FFFFFF" w:fill="auto"/>
          </w:tcPr>
          <w:p w14:paraId="472539D7" w14:textId="41AEDBA2" w:rsidR="00F05BA4" w:rsidRPr="00873B6C" w:rsidRDefault="00F05BA4" w:rsidP="002C4A81">
            <w:pPr>
              <w:pStyle w:val="TAC"/>
              <w:rPr>
                <w:sz w:val="16"/>
                <w:szCs w:val="16"/>
              </w:rPr>
            </w:pPr>
            <w:r w:rsidRPr="00873B6C">
              <w:rPr>
                <w:sz w:val="16"/>
                <w:szCs w:val="16"/>
              </w:rPr>
              <w:t>18.1.0</w:t>
            </w:r>
          </w:p>
        </w:tc>
      </w:tr>
      <w:tr w:rsidR="00F05BA4" w:rsidRPr="00873B6C" w14:paraId="50106F28" w14:textId="77777777" w:rsidTr="009D14FB">
        <w:tc>
          <w:tcPr>
            <w:tcW w:w="800" w:type="dxa"/>
            <w:shd w:val="solid" w:color="FFFFFF" w:fill="auto"/>
          </w:tcPr>
          <w:p w14:paraId="2C502B12" w14:textId="218526F4"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1A9114AE" w14:textId="0C3414D1"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4AD31819" w14:textId="68F73749" w:rsidR="00F05BA4" w:rsidRPr="00873B6C" w:rsidRDefault="00F05BA4" w:rsidP="002C4A81">
            <w:pPr>
              <w:pStyle w:val="TAC"/>
              <w:rPr>
                <w:sz w:val="16"/>
                <w:szCs w:val="16"/>
              </w:rPr>
            </w:pPr>
            <w:r w:rsidRPr="00873B6C">
              <w:rPr>
                <w:sz w:val="16"/>
                <w:szCs w:val="16"/>
              </w:rPr>
              <w:t>SP-230068</w:t>
            </w:r>
          </w:p>
        </w:tc>
        <w:tc>
          <w:tcPr>
            <w:tcW w:w="567" w:type="dxa"/>
            <w:shd w:val="solid" w:color="FFFFFF" w:fill="auto"/>
          </w:tcPr>
          <w:p w14:paraId="1F505C76" w14:textId="450F55EA" w:rsidR="00F05BA4" w:rsidRPr="00873B6C" w:rsidRDefault="00F05BA4" w:rsidP="002C4A81">
            <w:pPr>
              <w:pStyle w:val="TAL"/>
              <w:rPr>
                <w:sz w:val="16"/>
                <w:szCs w:val="16"/>
              </w:rPr>
            </w:pPr>
            <w:r w:rsidRPr="00873B6C">
              <w:rPr>
                <w:sz w:val="16"/>
                <w:szCs w:val="16"/>
              </w:rPr>
              <w:t>3982</w:t>
            </w:r>
          </w:p>
        </w:tc>
        <w:tc>
          <w:tcPr>
            <w:tcW w:w="425" w:type="dxa"/>
            <w:shd w:val="solid" w:color="FFFFFF" w:fill="auto"/>
          </w:tcPr>
          <w:p w14:paraId="68F7EB7D" w14:textId="785FD07D" w:rsidR="00F05BA4" w:rsidRPr="00873B6C" w:rsidRDefault="00F05BA4" w:rsidP="002C4A81">
            <w:pPr>
              <w:pStyle w:val="TAL"/>
              <w:rPr>
                <w:sz w:val="16"/>
                <w:szCs w:val="16"/>
              </w:rPr>
            </w:pPr>
            <w:r w:rsidRPr="00873B6C">
              <w:rPr>
                <w:sz w:val="16"/>
                <w:szCs w:val="16"/>
              </w:rPr>
              <w:t>1</w:t>
            </w:r>
          </w:p>
        </w:tc>
        <w:tc>
          <w:tcPr>
            <w:tcW w:w="425" w:type="dxa"/>
            <w:shd w:val="solid" w:color="FFFFFF" w:fill="auto"/>
          </w:tcPr>
          <w:p w14:paraId="0A120556" w14:textId="0ECE4D7D" w:rsidR="00F05BA4" w:rsidRPr="00873B6C" w:rsidRDefault="00F05BA4" w:rsidP="002C4A81">
            <w:pPr>
              <w:pStyle w:val="TAL"/>
              <w:rPr>
                <w:sz w:val="16"/>
                <w:szCs w:val="16"/>
              </w:rPr>
            </w:pPr>
            <w:r w:rsidRPr="00873B6C">
              <w:rPr>
                <w:sz w:val="16"/>
                <w:szCs w:val="16"/>
              </w:rPr>
              <w:t>B</w:t>
            </w:r>
          </w:p>
        </w:tc>
        <w:tc>
          <w:tcPr>
            <w:tcW w:w="4820" w:type="dxa"/>
            <w:shd w:val="solid" w:color="FFFFFF" w:fill="auto"/>
          </w:tcPr>
          <w:p w14:paraId="70636F6F" w14:textId="1B7F747A" w:rsidR="00F05BA4" w:rsidRPr="00873B6C" w:rsidRDefault="00F05BA4" w:rsidP="002C4A81">
            <w:pPr>
              <w:pStyle w:val="TAL"/>
              <w:rPr>
                <w:sz w:val="16"/>
                <w:szCs w:val="16"/>
              </w:rPr>
            </w:pPr>
            <w:r w:rsidRPr="00873B6C">
              <w:rPr>
                <w:sz w:val="16"/>
                <w:szCs w:val="16"/>
              </w:rPr>
              <w:t>Group MBR</w:t>
            </w:r>
          </w:p>
        </w:tc>
        <w:tc>
          <w:tcPr>
            <w:tcW w:w="708" w:type="dxa"/>
            <w:shd w:val="solid" w:color="FFFFFF" w:fill="auto"/>
          </w:tcPr>
          <w:p w14:paraId="31B6E232" w14:textId="03A42B6A" w:rsidR="00F05BA4" w:rsidRPr="00873B6C" w:rsidRDefault="00F05BA4" w:rsidP="002C4A81">
            <w:pPr>
              <w:pStyle w:val="TAC"/>
              <w:rPr>
                <w:sz w:val="16"/>
                <w:szCs w:val="16"/>
              </w:rPr>
            </w:pPr>
            <w:r w:rsidRPr="00873B6C">
              <w:rPr>
                <w:sz w:val="16"/>
                <w:szCs w:val="16"/>
              </w:rPr>
              <w:t>18.1.0</w:t>
            </w:r>
          </w:p>
        </w:tc>
      </w:tr>
      <w:tr w:rsidR="00F05BA4" w:rsidRPr="00873B6C" w14:paraId="17A30430" w14:textId="77777777" w:rsidTr="009D14FB">
        <w:tc>
          <w:tcPr>
            <w:tcW w:w="800" w:type="dxa"/>
            <w:shd w:val="solid" w:color="FFFFFF" w:fill="auto"/>
          </w:tcPr>
          <w:p w14:paraId="5EFD3765" w14:textId="63E46832"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33430D56" w14:textId="4C7E404C"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2E636872" w14:textId="142F9FBB" w:rsidR="00F05BA4" w:rsidRPr="00873B6C" w:rsidRDefault="00F05BA4" w:rsidP="002C4A81">
            <w:pPr>
              <w:pStyle w:val="TAC"/>
              <w:rPr>
                <w:sz w:val="16"/>
                <w:szCs w:val="16"/>
              </w:rPr>
            </w:pPr>
            <w:r w:rsidRPr="00873B6C">
              <w:rPr>
                <w:sz w:val="16"/>
                <w:szCs w:val="16"/>
              </w:rPr>
              <w:t>SP-230068</w:t>
            </w:r>
          </w:p>
        </w:tc>
        <w:tc>
          <w:tcPr>
            <w:tcW w:w="567" w:type="dxa"/>
            <w:shd w:val="solid" w:color="FFFFFF" w:fill="auto"/>
          </w:tcPr>
          <w:p w14:paraId="36AAACD7" w14:textId="2275804C" w:rsidR="00F05BA4" w:rsidRPr="00873B6C" w:rsidRDefault="00F05BA4" w:rsidP="002C4A81">
            <w:pPr>
              <w:pStyle w:val="TAL"/>
              <w:rPr>
                <w:sz w:val="16"/>
                <w:szCs w:val="16"/>
              </w:rPr>
            </w:pPr>
            <w:r w:rsidRPr="00873B6C">
              <w:rPr>
                <w:sz w:val="16"/>
                <w:szCs w:val="16"/>
              </w:rPr>
              <w:t>3984</w:t>
            </w:r>
          </w:p>
        </w:tc>
        <w:tc>
          <w:tcPr>
            <w:tcW w:w="425" w:type="dxa"/>
            <w:shd w:val="solid" w:color="FFFFFF" w:fill="auto"/>
          </w:tcPr>
          <w:p w14:paraId="4CB57C43" w14:textId="10C7B18A" w:rsidR="00F05BA4" w:rsidRPr="00873B6C" w:rsidRDefault="00F05BA4" w:rsidP="002C4A81">
            <w:pPr>
              <w:pStyle w:val="TAL"/>
              <w:rPr>
                <w:sz w:val="16"/>
                <w:szCs w:val="16"/>
              </w:rPr>
            </w:pPr>
            <w:r w:rsidRPr="00873B6C">
              <w:rPr>
                <w:sz w:val="16"/>
                <w:szCs w:val="16"/>
              </w:rPr>
              <w:t>1</w:t>
            </w:r>
          </w:p>
        </w:tc>
        <w:tc>
          <w:tcPr>
            <w:tcW w:w="425" w:type="dxa"/>
            <w:shd w:val="solid" w:color="FFFFFF" w:fill="auto"/>
          </w:tcPr>
          <w:p w14:paraId="696CED1B" w14:textId="57F2AB03" w:rsidR="00F05BA4" w:rsidRPr="00873B6C" w:rsidRDefault="00F05BA4" w:rsidP="002C4A81">
            <w:pPr>
              <w:pStyle w:val="TAL"/>
              <w:rPr>
                <w:sz w:val="16"/>
                <w:szCs w:val="16"/>
              </w:rPr>
            </w:pPr>
            <w:r w:rsidRPr="00873B6C">
              <w:rPr>
                <w:sz w:val="16"/>
                <w:szCs w:val="16"/>
              </w:rPr>
              <w:t>B</w:t>
            </w:r>
          </w:p>
        </w:tc>
        <w:tc>
          <w:tcPr>
            <w:tcW w:w="4820" w:type="dxa"/>
            <w:shd w:val="solid" w:color="FFFFFF" w:fill="auto"/>
          </w:tcPr>
          <w:p w14:paraId="12D10BB0" w14:textId="13976E8E" w:rsidR="00F05BA4" w:rsidRPr="00873B6C" w:rsidRDefault="00F05BA4" w:rsidP="002C4A81">
            <w:pPr>
              <w:pStyle w:val="TAL"/>
              <w:rPr>
                <w:sz w:val="16"/>
                <w:szCs w:val="16"/>
              </w:rPr>
            </w:pPr>
            <w:r w:rsidRPr="00873B6C">
              <w:rPr>
                <w:sz w:val="16"/>
                <w:szCs w:val="16"/>
              </w:rPr>
              <w:t>UE-to-UE QoS for a group</w:t>
            </w:r>
          </w:p>
        </w:tc>
        <w:tc>
          <w:tcPr>
            <w:tcW w:w="708" w:type="dxa"/>
            <w:shd w:val="solid" w:color="FFFFFF" w:fill="auto"/>
          </w:tcPr>
          <w:p w14:paraId="78BA2178" w14:textId="3378F69C" w:rsidR="00F05BA4" w:rsidRPr="00873B6C" w:rsidRDefault="00F05BA4" w:rsidP="002C4A81">
            <w:pPr>
              <w:pStyle w:val="TAC"/>
              <w:rPr>
                <w:sz w:val="16"/>
                <w:szCs w:val="16"/>
              </w:rPr>
            </w:pPr>
            <w:r w:rsidRPr="00873B6C">
              <w:rPr>
                <w:sz w:val="16"/>
                <w:szCs w:val="16"/>
              </w:rPr>
              <w:t>18.1.0</w:t>
            </w:r>
          </w:p>
        </w:tc>
      </w:tr>
      <w:tr w:rsidR="00F05BA4" w:rsidRPr="00873B6C" w14:paraId="4BE707F6" w14:textId="77777777" w:rsidTr="009D14FB">
        <w:tc>
          <w:tcPr>
            <w:tcW w:w="800" w:type="dxa"/>
            <w:shd w:val="solid" w:color="FFFFFF" w:fill="auto"/>
          </w:tcPr>
          <w:p w14:paraId="3F597161" w14:textId="79294C9E"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655F5AB9" w14:textId="406D4AF3"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162845CC" w14:textId="0F906D2B" w:rsidR="00F05BA4" w:rsidRPr="00873B6C" w:rsidRDefault="00F05BA4" w:rsidP="002C4A81">
            <w:pPr>
              <w:pStyle w:val="TAC"/>
              <w:rPr>
                <w:sz w:val="16"/>
                <w:szCs w:val="16"/>
              </w:rPr>
            </w:pPr>
            <w:r w:rsidRPr="00873B6C">
              <w:rPr>
                <w:sz w:val="16"/>
                <w:szCs w:val="16"/>
              </w:rPr>
              <w:t>SP-230050</w:t>
            </w:r>
          </w:p>
        </w:tc>
        <w:tc>
          <w:tcPr>
            <w:tcW w:w="567" w:type="dxa"/>
            <w:shd w:val="solid" w:color="FFFFFF" w:fill="auto"/>
          </w:tcPr>
          <w:p w14:paraId="220A6DBD" w14:textId="3BE1285D" w:rsidR="00F05BA4" w:rsidRPr="00873B6C" w:rsidRDefault="00F05BA4" w:rsidP="002C4A81">
            <w:pPr>
              <w:pStyle w:val="TAL"/>
              <w:rPr>
                <w:sz w:val="16"/>
                <w:szCs w:val="16"/>
              </w:rPr>
            </w:pPr>
            <w:r w:rsidRPr="00873B6C">
              <w:rPr>
                <w:sz w:val="16"/>
                <w:szCs w:val="16"/>
              </w:rPr>
              <w:t>3985</w:t>
            </w:r>
          </w:p>
        </w:tc>
        <w:tc>
          <w:tcPr>
            <w:tcW w:w="425" w:type="dxa"/>
            <w:shd w:val="solid" w:color="FFFFFF" w:fill="auto"/>
          </w:tcPr>
          <w:p w14:paraId="0520C235" w14:textId="47D65AB1" w:rsidR="00F05BA4" w:rsidRPr="00873B6C" w:rsidRDefault="00F05BA4" w:rsidP="002C4A81">
            <w:pPr>
              <w:pStyle w:val="TAL"/>
              <w:rPr>
                <w:sz w:val="16"/>
                <w:szCs w:val="16"/>
              </w:rPr>
            </w:pPr>
            <w:r w:rsidRPr="00873B6C">
              <w:rPr>
                <w:sz w:val="16"/>
                <w:szCs w:val="16"/>
              </w:rPr>
              <w:t>-</w:t>
            </w:r>
          </w:p>
        </w:tc>
        <w:tc>
          <w:tcPr>
            <w:tcW w:w="425" w:type="dxa"/>
            <w:shd w:val="solid" w:color="FFFFFF" w:fill="auto"/>
          </w:tcPr>
          <w:p w14:paraId="54C716DC" w14:textId="05620927" w:rsidR="00F05BA4" w:rsidRPr="00873B6C" w:rsidRDefault="00F05BA4" w:rsidP="002C4A81">
            <w:pPr>
              <w:pStyle w:val="TAL"/>
              <w:rPr>
                <w:sz w:val="16"/>
                <w:szCs w:val="16"/>
              </w:rPr>
            </w:pPr>
            <w:r w:rsidRPr="00873B6C">
              <w:rPr>
                <w:sz w:val="16"/>
                <w:szCs w:val="16"/>
              </w:rPr>
              <w:t>B</w:t>
            </w:r>
          </w:p>
        </w:tc>
        <w:tc>
          <w:tcPr>
            <w:tcW w:w="4820" w:type="dxa"/>
            <w:shd w:val="solid" w:color="FFFFFF" w:fill="auto"/>
          </w:tcPr>
          <w:p w14:paraId="74C4EB2F" w14:textId="1D05D046" w:rsidR="00F05BA4" w:rsidRPr="00873B6C" w:rsidRDefault="00F05BA4" w:rsidP="002C4A81">
            <w:pPr>
              <w:pStyle w:val="TAL"/>
              <w:rPr>
                <w:sz w:val="16"/>
                <w:szCs w:val="16"/>
              </w:rPr>
            </w:pPr>
            <w:r w:rsidRPr="00873B6C">
              <w:rPr>
                <w:sz w:val="16"/>
                <w:szCs w:val="16"/>
              </w:rPr>
              <w:t>Add description for PSA UPF selection</w:t>
            </w:r>
          </w:p>
        </w:tc>
        <w:tc>
          <w:tcPr>
            <w:tcW w:w="708" w:type="dxa"/>
            <w:shd w:val="solid" w:color="FFFFFF" w:fill="auto"/>
          </w:tcPr>
          <w:p w14:paraId="417F4E2E" w14:textId="0313BC44" w:rsidR="00F05BA4" w:rsidRPr="00873B6C" w:rsidRDefault="00F05BA4" w:rsidP="002C4A81">
            <w:pPr>
              <w:pStyle w:val="TAC"/>
              <w:rPr>
                <w:sz w:val="16"/>
                <w:szCs w:val="16"/>
              </w:rPr>
            </w:pPr>
            <w:r w:rsidRPr="00873B6C">
              <w:rPr>
                <w:sz w:val="16"/>
                <w:szCs w:val="16"/>
              </w:rPr>
              <w:t>18.1.0</w:t>
            </w:r>
          </w:p>
        </w:tc>
      </w:tr>
      <w:tr w:rsidR="00F05BA4" w:rsidRPr="00873B6C" w14:paraId="2F313387" w14:textId="77777777" w:rsidTr="009D14FB">
        <w:tc>
          <w:tcPr>
            <w:tcW w:w="800" w:type="dxa"/>
            <w:shd w:val="solid" w:color="FFFFFF" w:fill="auto"/>
          </w:tcPr>
          <w:p w14:paraId="4644C708" w14:textId="0D92833C"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57946648" w14:textId="48C14952"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7324B2F7" w14:textId="004A26E3" w:rsidR="00F05BA4" w:rsidRPr="00873B6C" w:rsidRDefault="00F05BA4" w:rsidP="002C4A81">
            <w:pPr>
              <w:pStyle w:val="TAC"/>
              <w:rPr>
                <w:sz w:val="16"/>
                <w:szCs w:val="16"/>
              </w:rPr>
            </w:pPr>
            <w:r w:rsidRPr="00873B6C">
              <w:rPr>
                <w:sz w:val="16"/>
                <w:szCs w:val="16"/>
              </w:rPr>
              <w:t>SP-230068</w:t>
            </w:r>
          </w:p>
        </w:tc>
        <w:tc>
          <w:tcPr>
            <w:tcW w:w="567" w:type="dxa"/>
            <w:shd w:val="solid" w:color="FFFFFF" w:fill="auto"/>
          </w:tcPr>
          <w:p w14:paraId="61F2B3A0" w14:textId="3A26B54B" w:rsidR="00F05BA4" w:rsidRPr="00873B6C" w:rsidRDefault="00F05BA4" w:rsidP="002C4A81">
            <w:pPr>
              <w:pStyle w:val="TAL"/>
              <w:rPr>
                <w:sz w:val="16"/>
                <w:szCs w:val="16"/>
              </w:rPr>
            </w:pPr>
            <w:r w:rsidRPr="00873B6C">
              <w:rPr>
                <w:sz w:val="16"/>
                <w:szCs w:val="16"/>
              </w:rPr>
              <w:t>3986</w:t>
            </w:r>
          </w:p>
        </w:tc>
        <w:tc>
          <w:tcPr>
            <w:tcW w:w="425" w:type="dxa"/>
            <w:shd w:val="solid" w:color="FFFFFF" w:fill="auto"/>
          </w:tcPr>
          <w:p w14:paraId="36E1F1BE" w14:textId="7A05C44D" w:rsidR="00F05BA4" w:rsidRPr="00873B6C" w:rsidRDefault="00F05BA4" w:rsidP="002C4A81">
            <w:pPr>
              <w:pStyle w:val="TAL"/>
              <w:rPr>
                <w:sz w:val="16"/>
                <w:szCs w:val="16"/>
              </w:rPr>
            </w:pPr>
            <w:r w:rsidRPr="00873B6C">
              <w:rPr>
                <w:sz w:val="16"/>
                <w:szCs w:val="16"/>
              </w:rPr>
              <w:t>1</w:t>
            </w:r>
          </w:p>
        </w:tc>
        <w:tc>
          <w:tcPr>
            <w:tcW w:w="425" w:type="dxa"/>
            <w:shd w:val="solid" w:color="FFFFFF" w:fill="auto"/>
          </w:tcPr>
          <w:p w14:paraId="1503E017" w14:textId="4A48B7CE" w:rsidR="00F05BA4" w:rsidRPr="00873B6C" w:rsidRDefault="00F05BA4" w:rsidP="002C4A81">
            <w:pPr>
              <w:pStyle w:val="TAL"/>
              <w:rPr>
                <w:sz w:val="16"/>
                <w:szCs w:val="16"/>
              </w:rPr>
            </w:pPr>
            <w:r w:rsidRPr="00873B6C">
              <w:rPr>
                <w:sz w:val="16"/>
                <w:szCs w:val="16"/>
              </w:rPr>
              <w:t>B</w:t>
            </w:r>
          </w:p>
        </w:tc>
        <w:tc>
          <w:tcPr>
            <w:tcW w:w="4820" w:type="dxa"/>
            <w:shd w:val="solid" w:color="FFFFFF" w:fill="auto"/>
          </w:tcPr>
          <w:p w14:paraId="50B89291" w14:textId="62C04129" w:rsidR="00F05BA4" w:rsidRPr="00873B6C" w:rsidRDefault="00F05BA4" w:rsidP="002C4A81">
            <w:pPr>
              <w:pStyle w:val="TAL"/>
              <w:rPr>
                <w:sz w:val="16"/>
                <w:szCs w:val="16"/>
              </w:rPr>
            </w:pPr>
            <w:r w:rsidRPr="00873B6C">
              <w:rPr>
                <w:sz w:val="16"/>
                <w:szCs w:val="16"/>
              </w:rPr>
              <w:t>Allowing UE to simultaneously send data to different groups with different QoS policy</w:t>
            </w:r>
          </w:p>
        </w:tc>
        <w:tc>
          <w:tcPr>
            <w:tcW w:w="708" w:type="dxa"/>
            <w:shd w:val="solid" w:color="FFFFFF" w:fill="auto"/>
          </w:tcPr>
          <w:p w14:paraId="53DBB811" w14:textId="0490AE3F" w:rsidR="00F05BA4" w:rsidRPr="00873B6C" w:rsidRDefault="00F05BA4" w:rsidP="002C4A81">
            <w:pPr>
              <w:pStyle w:val="TAC"/>
              <w:rPr>
                <w:sz w:val="16"/>
                <w:szCs w:val="16"/>
              </w:rPr>
            </w:pPr>
            <w:r w:rsidRPr="00873B6C">
              <w:rPr>
                <w:sz w:val="16"/>
                <w:szCs w:val="16"/>
              </w:rPr>
              <w:t>18.1.0</w:t>
            </w:r>
          </w:p>
        </w:tc>
      </w:tr>
      <w:tr w:rsidR="00846E0B" w:rsidRPr="00873B6C" w14:paraId="77C2F151" w14:textId="77777777" w:rsidTr="009D14FB">
        <w:tc>
          <w:tcPr>
            <w:tcW w:w="800" w:type="dxa"/>
            <w:shd w:val="solid" w:color="FFFFFF" w:fill="auto"/>
          </w:tcPr>
          <w:p w14:paraId="7CA66B74" w14:textId="0CB0A731" w:rsidR="00846E0B" w:rsidRPr="00873B6C" w:rsidRDefault="00846E0B" w:rsidP="002C4A81">
            <w:pPr>
              <w:pStyle w:val="TAC"/>
              <w:rPr>
                <w:sz w:val="16"/>
                <w:szCs w:val="16"/>
              </w:rPr>
            </w:pPr>
            <w:r w:rsidRPr="00873B6C">
              <w:rPr>
                <w:sz w:val="16"/>
                <w:szCs w:val="16"/>
              </w:rPr>
              <w:t>2023-03</w:t>
            </w:r>
          </w:p>
        </w:tc>
        <w:tc>
          <w:tcPr>
            <w:tcW w:w="800" w:type="dxa"/>
            <w:shd w:val="solid" w:color="FFFFFF" w:fill="auto"/>
          </w:tcPr>
          <w:p w14:paraId="177544DE" w14:textId="700AB287" w:rsidR="00846E0B" w:rsidRPr="00873B6C" w:rsidRDefault="00846E0B" w:rsidP="002C4A81">
            <w:pPr>
              <w:pStyle w:val="TAL"/>
              <w:rPr>
                <w:sz w:val="16"/>
                <w:szCs w:val="16"/>
              </w:rPr>
            </w:pPr>
            <w:r w:rsidRPr="00873B6C">
              <w:rPr>
                <w:sz w:val="16"/>
                <w:szCs w:val="16"/>
              </w:rPr>
              <w:t>SP#99</w:t>
            </w:r>
          </w:p>
        </w:tc>
        <w:tc>
          <w:tcPr>
            <w:tcW w:w="1094" w:type="dxa"/>
            <w:shd w:val="solid" w:color="FFFFFF" w:fill="auto"/>
          </w:tcPr>
          <w:p w14:paraId="08DFB8B7" w14:textId="1954B7D7" w:rsidR="00846E0B" w:rsidRPr="00873B6C" w:rsidRDefault="00846E0B" w:rsidP="002C4A81">
            <w:pPr>
              <w:pStyle w:val="TAC"/>
              <w:rPr>
                <w:sz w:val="16"/>
                <w:szCs w:val="16"/>
              </w:rPr>
            </w:pPr>
            <w:r w:rsidRPr="00873B6C">
              <w:rPr>
                <w:sz w:val="16"/>
                <w:szCs w:val="16"/>
              </w:rPr>
              <w:t>SP-230058</w:t>
            </w:r>
          </w:p>
        </w:tc>
        <w:tc>
          <w:tcPr>
            <w:tcW w:w="567" w:type="dxa"/>
            <w:shd w:val="solid" w:color="FFFFFF" w:fill="auto"/>
          </w:tcPr>
          <w:p w14:paraId="09BE0393" w14:textId="656FD9EE" w:rsidR="00846E0B" w:rsidRPr="00873B6C" w:rsidRDefault="00846E0B" w:rsidP="002C4A81">
            <w:pPr>
              <w:pStyle w:val="TAL"/>
              <w:rPr>
                <w:sz w:val="16"/>
                <w:szCs w:val="16"/>
              </w:rPr>
            </w:pPr>
            <w:r w:rsidRPr="00873B6C">
              <w:rPr>
                <w:sz w:val="16"/>
                <w:szCs w:val="16"/>
              </w:rPr>
              <w:t>3987</w:t>
            </w:r>
          </w:p>
        </w:tc>
        <w:tc>
          <w:tcPr>
            <w:tcW w:w="425" w:type="dxa"/>
            <w:shd w:val="solid" w:color="FFFFFF" w:fill="auto"/>
          </w:tcPr>
          <w:p w14:paraId="599BCFA1" w14:textId="0F086717" w:rsidR="00846E0B" w:rsidRPr="00873B6C" w:rsidRDefault="00846E0B" w:rsidP="002C4A81">
            <w:pPr>
              <w:pStyle w:val="TAL"/>
              <w:rPr>
                <w:sz w:val="16"/>
                <w:szCs w:val="16"/>
              </w:rPr>
            </w:pPr>
            <w:r w:rsidRPr="00873B6C">
              <w:rPr>
                <w:sz w:val="16"/>
                <w:szCs w:val="16"/>
              </w:rPr>
              <w:t>5</w:t>
            </w:r>
          </w:p>
        </w:tc>
        <w:tc>
          <w:tcPr>
            <w:tcW w:w="425" w:type="dxa"/>
            <w:shd w:val="solid" w:color="FFFFFF" w:fill="auto"/>
          </w:tcPr>
          <w:p w14:paraId="49793A4A" w14:textId="506798D9" w:rsidR="00846E0B" w:rsidRPr="00873B6C" w:rsidRDefault="00846E0B" w:rsidP="002C4A81">
            <w:pPr>
              <w:pStyle w:val="TAL"/>
              <w:rPr>
                <w:sz w:val="16"/>
                <w:szCs w:val="16"/>
              </w:rPr>
            </w:pPr>
            <w:r w:rsidRPr="00873B6C">
              <w:rPr>
                <w:sz w:val="16"/>
                <w:szCs w:val="16"/>
              </w:rPr>
              <w:t>B</w:t>
            </w:r>
          </w:p>
        </w:tc>
        <w:tc>
          <w:tcPr>
            <w:tcW w:w="4820" w:type="dxa"/>
            <w:shd w:val="solid" w:color="FFFFFF" w:fill="auto"/>
          </w:tcPr>
          <w:p w14:paraId="4ABE0AD0" w14:textId="315F9F37" w:rsidR="00846E0B" w:rsidRPr="00873B6C" w:rsidRDefault="00846E0B" w:rsidP="002C4A81">
            <w:pPr>
              <w:pStyle w:val="TAL"/>
              <w:rPr>
                <w:sz w:val="16"/>
                <w:szCs w:val="16"/>
              </w:rPr>
            </w:pPr>
            <w:r w:rsidRPr="00873B6C">
              <w:rPr>
                <w:sz w:val="16"/>
                <w:szCs w:val="16"/>
              </w:rPr>
              <w:t>KI#4 AF traffic influence for common EAS, DNAI selection</w:t>
            </w:r>
          </w:p>
        </w:tc>
        <w:tc>
          <w:tcPr>
            <w:tcW w:w="708" w:type="dxa"/>
            <w:shd w:val="solid" w:color="FFFFFF" w:fill="auto"/>
          </w:tcPr>
          <w:p w14:paraId="77B1B6E9" w14:textId="3C6BC76A" w:rsidR="00846E0B" w:rsidRPr="00873B6C" w:rsidRDefault="00846E0B" w:rsidP="002C4A81">
            <w:pPr>
              <w:pStyle w:val="TAC"/>
              <w:rPr>
                <w:sz w:val="16"/>
                <w:szCs w:val="16"/>
              </w:rPr>
            </w:pPr>
            <w:r w:rsidRPr="00873B6C">
              <w:rPr>
                <w:sz w:val="16"/>
                <w:szCs w:val="16"/>
              </w:rPr>
              <w:t>18.1.0</w:t>
            </w:r>
          </w:p>
        </w:tc>
      </w:tr>
      <w:tr w:rsidR="00985055" w:rsidRPr="00873B6C" w14:paraId="3E522439" w14:textId="77777777" w:rsidTr="009D14FB">
        <w:tc>
          <w:tcPr>
            <w:tcW w:w="800" w:type="dxa"/>
            <w:shd w:val="solid" w:color="FFFFFF" w:fill="auto"/>
          </w:tcPr>
          <w:p w14:paraId="77AF498E" w14:textId="70446AFB"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1AA5D4A9" w14:textId="0BC91BF1"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66DC0579" w14:textId="5B133B18" w:rsidR="00985055" w:rsidRPr="00873B6C" w:rsidRDefault="00985055" w:rsidP="002C4A81">
            <w:pPr>
              <w:pStyle w:val="TAC"/>
              <w:rPr>
                <w:sz w:val="16"/>
                <w:szCs w:val="16"/>
              </w:rPr>
            </w:pPr>
            <w:r w:rsidRPr="00873B6C">
              <w:rPr>
                <w:sz w:val="16"/>
                <w:szCs w:val="16"/>
              </w:rPr>
              <w:t>SP-230055</w:t>
            </w:r>
          </w:p>
        </w:tc>
        <w:tc>
          <w:tcPr>
            <w:tcW w:w="567" w:type="dxa"/>
            <w:shd w:val="solid" w:color="FFFFFF" w:fill="auto"/>
          </w:tcPr>
          <w:p w14:paraId="21CAE7FF" w14:textId="3D41B0A9" w:rsidR="00985055" w:rsidRPr="00873B6C" w:rsidRDefault="00985055" w:rsidP="002C4A81">
            <w:pPr>
              <w:pStyle w:val="TAL"/>
              <w:rPr>
                <w:sz w:val="16"/>
                <w:szCs w:val="16"/>
              </w:rPr>
            </w:pPr>
            <w:r w:rsidRPr="00873B6C">
              <w:rPr>
                <w:sz w:val="16"/>
                <w:szCs w:val="16"/>
              </w:rPr>
              <w:t>3991</w:t>
            </w:r>
          </w:p>
        </w:tc>
        <w:tc>
          <w:tcPr>
            <w:tcW w:w="425" w:type="dxa"/>
            <w:shd w:val="solid" w:color="FFFFFF" w:fill="auto"/>
          </w:tcPr>
          <w:p w14:paraId="0032F0D7" w14:textId="1C232182" w:rsidR="00985055" w:rsidRPr="00873B6C" w:rsidRDefault="00985055" w:rsidP="002C4A81">
            <w:pPr>
              <w:pStyle w:val="TAL"/>
              <w:rPr>
                <w:sz w:val="16"/>
                <w:szCs w:val="16"/>
              </w:rPr>
            </w:pPr>
            <w:r w:rsidRPr="00873B6C">
              <w:rPr>
                <w:sz w:val="16"/>
                <w:szCs w:val="16"/>
              </w:rPr>
              <w:t>1</w:t>
            </w:r>
          </w:p>
        </w:tc>
        <w:tc>
          <w:tcPr>
            <w:tcW w:w="425" w:type="dxa"/>
            <w:shd w:val="solid" w:color="FFFFFF" w:fill="auto"/>
          </w:tcPr>
          <w:p w14:paraId="3D4E1B5B" w14:textId="0AC9311A" w:rsidR="00985055" w:rsidRPr="00873B6C" w:rsidRDefault="00985055" w:rsidP="002C4A81">
            <w:pPr>
              <w:pStyle w:val="TAL"/>
              <w:rPr>
                <w:sz w:val="16"/>
                <w:szCs w:val="16"/>
              </w:rPr>
            </w:pPr>
            <w:r w:rsidRPr="00873B6C">
              <w:rPr>
                <w:sz w:val="16"/>
                <w:szCs w:val="16"/>
              </w:rPr>
              <w:t>B</w:t>
            </w:r>
          </w:p>
        </w:tc>
        <w:tc>
          <w:tcPr>
            <w:tcW w:w="4820" w:type="dxa"/>
            <w:shd w:val="solid" w:color="FFFFFF" w:fill="auto"/>
          </w:tcPr>
          <w:p w14:paraId="787C5530" w14:textId="636D60C0" w:rsidR="00985055" w:rsidRPr="00873B6C" w:rsidRDefault="00985055" w:rsidP="002C4A81">
            <w:pPr>
              <w:pStyle w:val="TAL"/>
              <w:rPr>
                <w:sz w:val="16"/>
                <w:szCs w:val="16"/>
              </w:rPr>
            </w:pPr>
            <w:r w:rsidRPr="00873B6C">
              <w:rPr>
                <w:sz w:val="16"/>
                <w:szCs w:val="16"/>
              </w:rPr>
              <w:t>Clarification of AMF behaviour when it receives RFSP Index in Use Validity Time from MME during UE mobility from EPS to 5GS</w:t>
            </w:r>
          </w:p>
        </w:tc>
        <w:tc>
          <w:tcPr>
            <w:tcW w:w="708" w:type="dxa"/>
            <w:shd w:val="solid" w:color="FFFFFF" w:fill="auto"/>
          </w:tcPr>
          <w:p w14:paraId="54DD0693" w14:textId="76258954" w:rsidR="00985055" w:rsidRPr="00873B6C" w:rsidRDefault="00985055" w:rsidP="002C4A81">
            <w:pPr>
              <w:pStyle w:val="TAC"/>
              <w:rPr>
                <w:sz w:val="16"/>
                <w:szCs w:val="16"/>
              </w:rPr>
            </w:pPr>
            <w:r w:rsidRPr="00873B6C">
              <w:rPr>
                <w:sz w:val="16"/>
                <w:szCs w:val="16"/>
              </w:rPr>
              <w:t>18.1.0</w:t>
            </w:r>
          </w:p>
        </w:tc>
      </w:tr>
      <w:tr w:rsidR="00985055" w:rsidRPr="00873B6C" w14:paraId="3DE785D0" w14:textId="77777777" w:rsidTr="009D14FB">
        <w:tc>
          <w:tcPr>
            <w:tcW w:w="800" w:type="dxa"/>
            <w:shd w:val="solid" w:color="FFFFFF" w:fill="auto"/>
          </w:tcPr>
          <w:p w14:paraId="70F5685A" w14:textId="76055B1E"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11B14773" w14:textId="468596F1"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590EB8E7" w14:textId="3DA881EC" w:rsidR="00985055" w:rsidRPr="00873B6C" w:rsidRDefault="00985055" w:rsidP="002C4A81">
            <w:pPr>
              <w:pStyle w:val="TAC"/>
              <w:rPr>
                <w:sz w:val="16"/>
                <w:szCs w:val="16"/>
              </w:rPr>
            </w:pPr>
            <w:r w:rsidRPr="00873B6C">
              <w:rPr>
                <w:sz w:val="16"/>
                <w:szCs w:val="16"/>
              </w:rPr>
              <w:t>SP-230040</w:t>
            </w:r>
          </w:p>
        </w:tc>
        <w:tc>
          <w:tcPr>
            <w:tcW w:w="567" w:type="dxa"/>
            <w:shd w:val="solid" w:color="FFFFFF" w:fill="auto"/>
          </w:tcPr>
          <w:p w14:paraId="24D8639D" w14:textId="0DFC7DEF" w:rsidR="00985055" w:rsidRPr="00873B6C" w:rsidRDefault="00985055" w:rsidP="002C4A81">
            <w:pPr>
              <w:pStyle w:val="TAL"/>
              <w:rPr>
                <w:sz w:val="16"/>
                <w:szCs w:val="16"/>
              </w:rPr>
            </w:pPr>
            <w:r w:rsidRPr="00873B6C">
              <w:rPr>
                <w:sz w:val="16"/>
                <w:szCs w:val="16"/>
              </w:rPr>
              <w:t>3998</w:t>
            </w:r>
          </w:p>
        </w:tc>
        <w:tc>
          <w:tcPr>
            <w:tcW w:w="425" w:type="dxa"/>
            <w:shd w:val="solid" w:color="FFFFFF" w:fill="auto"/>
          </w:tcPr>
          <w:p w14:paraId="1C7254E1" w14:textId="2A780042" w:rsidR="00985055" w:rsidRPr="00873B6C" w:rsidRDefault="00985055" w:rsidP="002C4A81">
            <w:pPr>
              <w:pStyle w:val="TAL"/>
              <w:rPr>
                <w:sz w:val="16"/>
                <w:szCs w:val="16"/>
              </w:rPr>
            </w:pPr>
            <w:r w:rsidRPr="00873B6C">
              <w:rPr>
                <w:sz w:val="16"/>
                <w:szCs w:val="16"/>
              </w:rPr>
              <w:t>1</w:t>
            </w:r>
          </w:p>
        </w:tc>
        <w:tc>
          <w:tcPr>
            <w:tcW w:w="425" w:type="dxa"/>
            <w:shd w:val="solid" w:color="FFFFFF" w:fill="auto"/>
          </w:tcPr>
          <w:p w14:paraId="692F0338" w14:textId="58AEB3ED" w:rsidR="00985055" w:rsidRPr="00873B6C" w:rsidRDefault="00985055" w:rsidP="002C4A81">
            <w:pPr>
              <w:pStyle w:val="TAL"/>
              <w:rPr>
                <w:sz w:val="16"/>
                <w:szCs w:val="16"/>
              </w:rPr>
            </w:pPr>
            <w:r w:rsidRPr="00873B6C">
              <w:rPr>
                <w:sz w:val="16"/>
                <w:szCs w:val="16"/>
              </w:rPr>
              <w:t>A</w:t>
            </w:r>
          </w:p>
        </w:tc>
        <w:tc>
          <w:tcPr>
            <w:tcW w:w="4820" w:type="dxa"/>
            <w:shd w:val="solid" w:color="FFFFFF" w:fill="auto"/>
          </w:tcPr>
          <w:p w14:paraId="4B9B601F" w14:textId="41395DAB" w:rsidR="00985055" w:rsidRPr="00873B6C" w:rsidRDefault="00985055" w:rsidP="002C4A81">
            <w:pPr>
              <w:pStyle w:val="TAL"/>
              <w:rPr>
                <w:sz w:val="16"/>
                <w:szCs w:val="16"/>
              </w:rPr>
            </w:pPr>
            <w:r w:rsidRPr="00873B6C">
              <w:rPr>
                <w:sz w:val="16"/>
                <w:szCs w:val="16"/>
              </w:rPr>
              <w:t>Pending NSSAI and AMF Relocation in Connected mode 23.501.</w:t>
            </w:r>
          </w:p>
        </w:tc>
        <w:tc>
          <w:tcPr>
            <w:tcW w:w="708" w:type="dxa"/>
            <w:shd w:val="solid" w:color="FFFFFF" w:fill="auto"/>
          </w:tcPr>
          <w:p w14:paraId="22C36ADE" w14:textId="50CB4967" w:rsidR="00985055" w:rsidRPr="00873B6C" w:rsidRDefault="00985055" w:rsidP="002C4A81">
            <w:pPr>
              <w:pStyle w:val="TAC"/>
              <w:rPr>
                <w:sz w:val="16"/>
                <w:szCs w:val="16"/>
              </w:rPr>
            </w:pPr>
            <w:r w:rsidRPr="00873B6C">
              <w:rPr>
                <w:sz w:val="16"/>
                <w:szCs w:val="16"/>
              </w:rPr>
              <w:t>18.1.0</w:t>
            </w:r>
          </w:p>
        </w:tc>
      </w:tr>
      <w:tr w:rsidR="00985055" w:rsidRPr="00873B6C" w14:paraId="10A2DCD5" w14:textId="77777777" w:rsidTr="009D14FB">
        <w:tc>
          <w:tcPr>
            <w:tcW w:w="800" w:type="dxa"/>
            <w:shd w:val="solid" w:color="FFFFFF" w:fill="auto"/>
          </w:tcPr>
          <w:p w14:paraId="0EBE8D43" w14:textId="52FE81F0"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3F3DFB50" w14:textId="08CBB4A0"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47DEF9D7" w14:textId="00D8CF6C" w:rsidR="00985055" w:rsidRPr="00873B6C" w:rsidRDefault="00985055" w:rsidP="002C4A81">
            <w:pPr>
              <w:pStyle w:val="TAC"/>
              <w:rPr>
                <w:sz w:val="16"/>
                <w:szCs w:val="16"/>
              </w:rPr>
            </w:pPr>
            <w:r w:rsidRPr="00873B6C">
              <w:rPr>
                <w:sz w:val="16"/>
                <w:szCs w:val="16"/>
              </w:rPr>
              <w:t>SP-230050</w:t>
            </w:r>
          </w:p>
        </w:tc>
        <w:tc>
          <w:tcPr>
            <w:tcW w:w="567" w:type="dxa"/>
            <w:shd w:val="solid" w:color="FFFFFF" w:fill="auto"/>
          </w:tcPr>
          <w:p w14:paraId="50237569" w14:textId="09DD08D6" w:rsidR="00985055" w:rsidRPr="00873B6C" w:rsidRDefault="00985055" w:rsidP="002C4A81">
            <w:pPr>
              <w:pStyle w:val="TAL"/>
              <w:rPr>
                <w:sz w:val="16"/>
                <w:szCs w:val="16"/>
              </w:rPr>
            </w:pPr>
            <w:r w:rsidRPr="00873B6C">
              <w:rPr>
                <w:sz w:val="16"/>
                <w:szCs w:val="16"/>
              </w:rPr>
              <w:t>3999</w:t>
            </w:r>
          </w:p>
        </w:tc>
        <w:tc>
          <w:tcPr>
            <w:tcW w:w="425" w:type="dxa"/>
            <w:shd w:val="solid" w:color="FFFFFF" w:fill="auto"/>
          </w:tcPr>
          <w:p w14:paraId="7B5C21D8" w14:textId="7FA8C1BF" w:rsidR="00985055" w:rsidRPr="00873B6C" w:rsidRDefault="00985055" w:rsidP="002C4A81">
            <w:pPr>
              <w:pStyle w:val="TAL"/>
              <w:rPr>
                <w:sz w:val="16"/>
                <w:szCs w:val="16"/>
              </w:rPr>
            </w:pPr>
            <w:r w:rsidRPr="00873B6C">
              <w:rPr>
                <w:sz w:val="16"/>
                <w:szCs w:val="16"/>
              </w:rPr>
              <w:t>1</w:t>
            </w:r>
          </w:p>
        </w:tc>
        <w:tc>
          <w:tcPr>
            <w:tcW w:w="425" w:type="dxa"/>
            <w:shd w:val="solid" w:color="FFFFFF" w:fill="auto"/>
          </w:tcPr>
          <w:p w14:paraId="188B6078" w14:textId="081DAB96" w:rsidR="00985055" w:rsidRPr="00873B6C" w:rsidRDefault="00985055" w:rsidP="002C4A81">
            <w:pPr>
              <w:pStyle w:val="TAL"/>
              <w:rPr>
                <w:sz w:val="16"/>
                <w:szCs w:val="16"/>
              </w:rPr>
            </w:pPr>
            <w:r w:rsidRPr="00873B6C">
              <w:rPr>
                <w:sz w:val="16"/>
                <w:szCs w:val="16"/>
              </w:rPr>
              <w:t>B</w:t>
            </w:r>
          </w:p>
        </w:tc>
        <w:tc>
          <w:tcPr>
            <w:tcW w:w="4820" w:type="dxa"/>
            <w:shd w:val="solid" w:color="FFFFFF" w:fill="auto"/>
          </w:tcPr>
          <w:p w14:paraId="36009EF5" w14:textId="754C3BE2" w:rsidR="00985055" w:rsidRPr="00873B6C" w:rsidRDefault="00985055" w:rsidP="002C4A81">
            <w:pPr>
              <w:pStyle w:val="TAL"/>
              <w:rPr>
                <w:sz w:val="16"/>
                <w:szCs w:val="16"/>
              </w:rPr>
            </w:pPr>
            <w:r w:rsidRPr="00873B6C">
              <w:rPr>
                <w:sz w:val="16"/>
                <w:szCs w:val="16"/>
              </w:rPr>
              <w:t xml:space="preserve">Clarification of N19 forwarding for local switch via PSA UPF on GEO </w:t>
            </w:r>
          </w:p>
        </w:tc>
        <w:tc>
          <w:tcPr>
            <w:tcW w:w="708" w:type="dxa"/>
            <w:shd w:val="solid" w:color="FFFFFF" w:fill="auto"/>
          </w:tcPr>
          <w:p w14:paraId="50DEDBCB" w14:textId="08A23541" w:rsidR="00985055" w:rsidRPr="00873B6C" w:rsidRDefault="00985055" w:rsidP="002C4A81">
            <w:pPr>
              <w:pStyle w:val="TAC"/>
              <w:rPr>
                <w:sz w:val="16"/>
                <w:szCs w:val="16"/>
              </w:rPr>
            </w:pPr>
            <w:r w:rsidRPr="00873B6C">
              <w:rPr>
                <w:sz w:val="16"/>
                <w:szCs w:val="16"/>
              </w:rPr>
              <w:t>18.1.0</w:t>
            </w:r>
          </w:p>
        </w:tc>
      </w:tr>
      <w:tr w:rsidR="00985055" w:rsidRPr="00873B6C" w14:paraId="115B27E1" w14:textId="77777777" w:rsidTr="009D14FB">
        <w:tc>
          <w:tcPr>
            <w:tcW w:w="800" w:type="dxa"/>
            <w:shd w:val="solid" w:color="FFFFFF" w:fill="auto"/>
          </w:tcPr>
          <w:p w14:paraId="7CD81DDE" w14:textId="7115A8CB"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09FECE9B" w14:textId="66F96D94"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0F48B4A7" w14:textId="445CE4C6" w:rsidR="00985055" w:rsidRPr="00873B6C" w:rsidRDefault="00985055" w:rsidP="002C4A81">
            <w:pPr>
              <w:pStyle w:val="TAC"/>
              <w:rPr>
                <w:sz w:val="16"/>
                <w:szCs w:val="16"/>
              </w:rPr>
            </w:pPr>
            <w:r w:rsidRPr="00873B6C">
              <w:rPr>
                <w:sz w:val="16"/>
                <w:szCs w:val="16"/>
              </w:rPr>
              <w:t>SP-230064</w:t>
            </w:r>
          </w:p>
        </w:tc>
        <w:tc>
          <w:tcPr>
            <w:tcW w:w="567" w:type="dxa"/>
            <w:shd w:val="solid" w:color="FFFFFF" w:fill="auto"/>
          </w:tcPr>
          <w:p w14:paraId="734721D0" w14:textId="09EDAE18" w:rsidR="00985055" w:rsidRPr="00873B6C" w:rsidRDefault="00985055" w:rsidP="002C4A81">
            <w:pPr>
              <w:pStyle w:val="TAL"/>
              <w:rPr>
                <w:sz w:val="16"/>
                <w:szCs w:val="16"/>
              </w:rPr>
            </w:pPr>
            <w:r w:rsidRPr="00873B6C">
              <w:rPr>
                <w:sz w:val="16"/>
                <w:szCs w:val="16"/>
              </w:rPr>
              <w:t>4004</w:t>
            </w:r>
          </w:p>
        </w:tc>
        <w:tc>
          <w:tcPr>
            <w:tcW w:w="425" w:type="dxa"/>
            <w:shd w:val="solid" w:color="FFFFFF" w:fill="auto"/>
          </w:tcPr>
          <w:p w14:paraId="0AE91CC8" w14:textId="7E3C94B3" w:rsidR="00985055" w:rsidRPr="00873B6C" w:rsidRDefault="00985055" w:rsidP="002C4A81">
            <w:pPr>
              <w:pStyle w:val="TAL"/>
              <w:rPr>
                <w:sz w:val="16"/>
                <w:szCs w:val="16"/>
              </w:rPr>
            </w:pPr>
            <w:r w:rsidRPr="00873B6C">
              <w:rPr>
                <w:sz w:val="16"/>
                <w:szCs w:val="16"/>
              </w:rPr>
              <w:t>5</w:t>
            </w:r>
          </w:p>
        </w:tc>
        <w:tc>
          <w:tcPr>
            <w:tcW w:w="425" w:type="dxa"/>
            <w:shd w:val="solid" w:color="FFFFFF" w:fill="auto"/>
          </w:tcPr>
          <w:p w14:paraId="2C01CDA5" w14:textId="752189E4" w:rsidR="00985055" w:rsidRPr="00873B6C" w:rsidRDefault="00985055" w:rsidP="002C4A81">
            <w:pPr>
              <w:pStyle w:val="TAL"/>
              <w:rPr>
                <w:sz w:val="16"/>
                <w:szCs w:val="16"/>
              </w:rPr>
            </w:pPr>
            <w:r w:rsidRPr="00873B6C">
              <w:rPr>
                <w:sz w:val="16"/>
                <w:szCs w:val="16"/>
              </w:rPr>
              <w:t>B</w:t>
            </w:r>
          </w:p>
        </w:tc>
        <w:tc>
          <w:tcPr>
            <w:tcW w:w="4820" w:type="dxa"/>
            <w:shd w:val="solid" w:color="FFFFFF" w:fill="auto"/>
          </w:tcPr>
          <w:p w14:paraId="5C3AF421" w14:textId="22B3DB34" w:rsidR="00985055" w:rsidRPr="00873B6C" w:rsidRDefault="00985055" w:rsidP="002C4A81">
            <w:pPr>
              <w:pStyle w:val="TAL"/>
              <w:rPr>
                <w:sz w:val="16"/>
                <w:szCs w:val="16"/>
              </w:rPr>
            </w:pPr>
            <w:r w:rsidRPr="00873B6C">
              <w:rPr>
                <w:sz w:val="16"/>
                <w:szCs w:val="16"/>
              </w:rPr>
              <w:t>Optimizations for the support of time vality policies for a network slice and graceful network slice PDU sessions release.</w:t>
            </w:r>
          </w:p>
        </w:tc>
        <w:tc>
          <w:tcPr>
            <w:tcW w:w="708" w:type="dxa"/>
            <w:shd w:val="solid" w:color="FFFFFF" w:fill="auto"/>
          </w:tcPr>
          <w:p w14:paraId="5CB470E0" w14:textId="68ED189A" w:rsidR="00985055" w:rsidRPr="00873B6C" w:rsidRDefault="00985055" w:rsidP="002C4A81">
            <w:pPr>
              <w:pStyle w:val="TAC"/>
              <w:rPr>
                <w:sz w:val="16"/>
                <w:szCs w:val="16"/>
              </w:rPr>
            </w:pPr>
            <w:r w:rsidRPr="00873B6C">
              <w:rPr>
                <w:sz w:val="16"/>
                <w:szCs w:val="16"/>
              </w:rPr>
              <w:t>18.1.0</w:t>
            </w:r>
          </w:p>
        </w:tc>
      </w:tr>
      <w:tr w:rsidR="00985055" w:rsidRPr="00873B6C" w14:paraId="1BCEFA78" w14:textId="77777777" w:rsidTr="009D14FB">
        <w:tc>
          <w:tcPr>
            <w:tcW w:w="800" w:type="dxa"/>
            <w:shd w:val="solid" w:color="FFFFFF" w:fill="auto"/>
          </w:tcPr>
          <w:p w14:paraId="2B619927" w14:textId="6E6B8D5B"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5A3D4A3A" w14:textId="2F1ACC01"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7C5583D6" w14:textId="64BE4653" w:rsidR="00985055" w:rsidRPr="00873B6C" w:rsidRDefault="00985055" w:rsidP="002C4A81">
            <w:pPr>
              <w:pStyle w:val="TAC"/>
              <w:rPr>
                <w:sz w:val="16"/>
                <w:szCs w:val="16"/>
              </w:rPr>
            </w:pPr>
            <w:r w:rsidRPr="00873B6C">
              <w:rPr>
                <w:sz w:val="16"/>
                <w:szCs w:val="16"/>
              </w:rPr>
              <w:t>SP-230068</w:t>
            </w:r>
          </w:p>
        </w:tc>
        <w:tc>
          <w:tcPr>
            <w:tcW w:w="567" w:type="dxa"/>
            <w:shd w:val="solid" w:color="FFFFFF" w:fill="auto"/>
          </w:tcPr>
          <w:p w14:paraId="77AF90BD" w14:textId="3211043A" w:rsidR="00985055" w:rsidRPr="00873B6C" w:rsidRDefault="00985055" w:rsidP="002C4A81">
            <w:pPr>
              <w:pStyle w:val="TAL"/>
              <w:rPr>
                <w:sz w:val="16"/>
                <w:szCs w:val="16"/>
              </w:rPr>
            </w:pPr>
            <w:r w:rsidRPr="00873B6C">
              <w:rPr>
                <w:sz w:val="16"/>
                <w:szCs w:val="16"/>
              </w:rPr>
              <w:t>4010</w:t>
            </w:r>
          </w:p>
        </w:tc>
        <w:tc>
          <w:tcPr>
            <w:tcW w:w="425" w:type="dxa"/>
            <w:shd w:val="solid" w:color="FFFFFF" w:fill="auto"/>
          </w:tcPr>
          <w:p w14:paraId="2550A75C" w14:textId="51DBF1F2" w:rsidR="00985055" w:rsidRPr="00873B6C" w:rsidRDefault="00985055" w:rsidP="002C4A81">
            <w:pPr>
              <w:pStyle w:val="TAL"/>
              <w:rPr>
                <w:sz w:val="16"/>
                <w:szCs w:val="16"/>
              </w:rPr>
            </w:pPr>
            <w:r w:rsidRPr="00873B6C">
              <w:rPr>
                <w:sz w:val="16"/>
                <w:szCs w:val="16"/>
              </w:rPr>
              <w:t>1</w:t>
            </w:r>
          </w:p>
        </w:tc>
        <w:tc>
          <w:tcPr>
            <w:tcW w:w="425" w:type="dxa"/>
            <w:shd w:val="solid" w:color="FFFFFF" w:fill="auto"/>
          </w:tcPr>
          <w:p w14:paraId="22314246" w14:textId="7DDDB8B0" w:rsidR="00985055" w:rsidRPr="00873B6C" w:rsidRDefault="00985055" w:rsidP="002C4A81">
            <w:pPr>
              <w:pStyle w:val="TAL"/>
              <w:rPr>
                <w:sz w:val="16"/>
                <w:szCs w:val="16"/>
              </w:rPr>
            </w:pPr>
            <w:r w:rsidRPr="00873B6C">
              <w:rPr>
                <w:sz w:val="16"/>
                <w:szCs w:val="16"/>
              </w:rPr>
              <w:t>B</w:t>
            </w:r>
          </w:p>
        </w:tc>
        <w:tc>
          <w:tcPr>
            <w:tcW w:w="4820" w:type="dxa"/>
            <w:shd w:val="solid" w:color="FFFFFF" w:fill="auto"/>
          </w:tcPr>
          <w:p w14:paraId="56C846B4" w14:textId="3E0327BB" w:rsidR="00985055" w:rsidRPr="00873B6C" w:rsidRDefault="00985055" w:rsidP="002C4A81">
            <w:pPr>
              <w:pStyle w:val="TAL"/>
              <w:rPr>
                <w:sz w:val="16"/>
                <w:szCs w:val="16"/>
              </w:rPr>
            </w:pPr>
            <w:r w:rsidRPr="00873B6C">
              <w:rPr>
                <w:sz w:val="16"/>
                <w:szCs w:val="16"/>
              </w:rPr>
              <w:t>Add the default QoS parameters for 5G VN group data</w:t>
            </w:r>
          </w:p>
        </w:tc>
        <w:tc>
          <w:tcPr>
            <w:tcW w:w="708" w:type="dxa"/>
            <w:shd w:val="solid" w:color="FFFFFF" w:fill="auto"/>
          </w:tcPr>
          <w:p w14:paraId="5C4D47F9" w14:textId="1A180B13" w:rsidR="00985055" w:rsidRPr="00873B6C" w:rsidRDefault="00985055" w:rsidP="002C4A81">
            <w:pPr>
              <w:pStyle w:val="TAC"/>
              <w:rPr>
                <w:sz w:val="16"/>
                <w:szCs w:val="16"/>
              </w:rPr>
            </w:pPr>
            <w:r w:rsidRPr="00873B6C">
              <w:rPr>
                <w:sz w:val="16"/>
                <w:szCs w:val="16"/>
              </w:rPr>
              <w:t>18.1.0</w:t>
            </w:r>
          </w:p>
        </w:tc>
      </w:tr>
      <w:tr w:rsidR="00F03116" w:rsidRPr="00873B6C" w14:paraId="273418DA" w14:textId="77777777" w:rsidTr="009D14FB">
        <w:tc>
          <w:tcPr>
            <w:tcW w:w="800" w:type="dxa"/>
            <w:shd w:val="solid" w:color="FFFFFF" w:fill="auto"/>
          </w:tcPr>
          <w:p w14:paraId="73CB3332" w14:textId="14AA2237" w:rsidR="00F03116" w:rsidRPr="00873B6C" w:rsidRDefault="00F03116" w:rsidP="002C4A81">
            <w:pPr>
              <w:pStyle w:val="TAC"/>
              <w:rPr>
                <w:sz w:val="16"/>
                <w:szCs w:val="16"/>
              </w:rPr>
            </w:pPr>
            <w:r w:rsidRPr="00873B6C">
              <w:rPr>
                <w:sz w:val="16"/>
                <w:szCs w:val="16"/>
              </w:rPr>
              <w:t>2023-03</w:t>
            </w:r>
          </w:p>
        </w:tc>
        <w:tc>
          <w:tcPr>
            <w:tcW w:w="800" w:type="dxa"/>
            <w:shd w:val="solid" w:color="FFFFFF" w:fill="auto"/>
          </w:tcPr>
          <w:p w14:paraId="5577EC31" w14:textId="5DEF423D" w:rsidR="00F03116" w:rsidRPr="00873B6C" w:rsidRDefault="00F03116" w:rsidP="002C4A81">
            <w:pPr>
              <w:pStyle w:val="TAL"/>
              <w:rPr>
                <w:sz w:val="16"/>
                <w:szCs w:val="16"/>
              </w:rPr>
            </w:pPr>
            <w:r w:rsidRPr="00873B6C">
              <w:rPr>
                <w:sz w:val="16"/>
                <w:szCs w:val="16"/>
              </w:rPr>
              <w:t>SP#99</w:t>
            </w:r>
          </w:p>
        </w:tc>
        <w:tc>
          <w:tcPr>
            <w:tcW w:w="1094" w:type="dxa"/>
            <w:shd w:val="solid" w:color="FFFFFF" w:fill="auto"/>
          </w:tcPr>
          <w:p w14:paraId="74ACE459" w14:textId="155C9B6B" w:rsidR="00F03116" w:rsidRPr="00873B6C" w:rsidRDefault="00F03116" w:rsidP="002C4A81">
            <w:pPr>
              <w:pStyle w:val="TAC"/>
              <w:rPr>
                <w:sz w:val="16"/>
                <w:szCs w:val="16"/>
              </w:rPr>
            </w:pPr>
            <w:r w:rsidRPr="00873B6C">
              <w:rPr>
                <w:sz w:val="16"/>
                <w:szCs w:val="16"/>
              </w:rPr>
              <w:t>SP-230038</w:t>
            </w:r>
          </w:p>
        </w:tc>
        <w:tc>
          <w:tcPr>
            <w:tcW w:w="567" w:type="dxa"/>
            <w:shd w:val="solid" w:color="FFFFFF" w:fill="auto"/>
          </w:tcPr>
          <w:p w14:paraId="27C10E4A" w14:textId="3ECD0915" w:rsidR="00F03116" w:rsidRPr="00873B6C" w:rsidRDefault="00F03116" w:rsidP="002C4A81">
            <w:pPr>
              <w:pStyle w:val="TAL"/>
              <w:rPr>
                <w:sz w:val="16"/>
                <w:szCs w:val="16"/>
              </w:rPr>
            </w:pPr>
            <w:r w:rsidRPr="00873B6C">
              <w:rPr>
                <w:sz w:val="16"/>
                <w:szCs w:val="16"/>
              </w:rPr>
              <w:t>4018</w:t>
            </w:r>
          </w:p>
        </w:tc>
        <w:tc>
          <w:tcPr>
            <w:tcW w:w="425" w:type="dxa"/>
            <w:shd w:val="solid" w:color="FFFFFF" w:fill="auto"/>
          </w:tcPr>
          <w:p w14:paraId="344DEC59" w14:textId="5AE24C2F" w:rsidR="00F03116" w:rsidRPr="00873B6C" w:rsidRDefault="00F03116" w:rsidP="002C4A81">
            <w:pPr>
              <w:pStyle w:val="TAL"/>
              <w:rPr>
                <w:sz w:val="16"/>
                <w:szCs w:val="16"/>
              </w:rPr>
            </w:pPr>
            <w:r w:rsidRPr="00873B6C">
              <w:rPr>
                <w:sz w:val="16"/>
                <w:szCs w:val="16"/>
              </w:rPr>
              <w:t>1</w:t>
            </w:r>
          </w:p>
        </w:tc>
        <w:tc>
          <w:tcPr>
            <w:tcW w:w="425" w:type="dxa"/>
            <w:shd w:val="solid" w:color="FFFFFF" w:fill="auto"/>
          </w:tcPr>
          <w:p w14:paraId="2C70E667" w14:textId="369193F2" w:rsidR="00F03116" w:rsidRPr="00873B6C" w:rsidRDefault="00F03116" w:rsidP="002C4A81">
            <w:pPr>
              <w:pStyle w:val="TAL"/>
              <w:rPr>
                <w:sz w:val="16"/>
                <w:szCs w:val="16"/>
              </w:rPr>
            </w:pPr>
            <w:r w:rsidRPr="00873B6C">
              <w:rPr>
                <w:sz w:val="16"/>
                <w:szCs w:val="16"/>
              </w:rPr>
              <w:t>A</w:t>
            </w:r>
          </w:p>
        </w:tc>
        <w:tc>
          <w:tcPr>
            <w:tcW w:w="4820" w:type="dxa"/>
            <w:shd w:val="solid" w:color="FFFFFF" w:fill="auto"/>
          </w:tcPr>
          <w:p w14:paraId="0243CF9E" w14:textId="09E581D6" w:rsidR="00F03116" w:rsidRPr="00873B6C" w:rsidRDefault="00F03116" w:rsidP="002C4A81">
            <w:pPr>
              <w:pStyle w:val="TAL"/>
              <w:rPr>
                <w:sz w:val="16"/>
                <w:szCs w:val="16"/>
              </w:rPr>
            </w:pPr>
            <w:r w:rsidRPr="00873B6C">
              <w:rPr>
                <w:sz w:val="16"/>
                <w:szCs w:val="16"/>
              </w:rPr>
              <w:t>Correction of supported services in UPF</w:t>
            </w:r>
          </w:p>
        </w:tc>
        <w:tc>
          <w:tcPr>
            <w:tcW w:w="708" w:type="dxa"/>
            <w:shd w:val="solid" w:color="FFFFFF" w:fill="auto"/>
          </w:tcPr>
          <w:p w14:paraId="7E809DD6" w14:textId="44B296D4" w:rsidR="00F03116" w:rsidRPr="00873B6C" w:rsidRDefault="00F03116" w:rsidP="002C4A81">
            <w:pPr>
              <w:pStyle w:val="TAC"/>
              <w:rPr>
                <w:sz w:val="16"/>
                <w:szCs w:val="16"/>
              </w:rPr>
            </w:pPr>
            <w:r w:rsidRPr="00873B6C">
              <w:rPr>
                <w:sz w:val="16"/>
                <w:szCs w:val="16"/>
              </w:rPr>
              <w:t>18.1.0</w:t>
            </w:r>
          </w:p>
        </w:tc>
      </w:tr>
      <w:tr w:rsidR="00F03116" w:rsidRPr="00873B6C" w14:paraId="0D33400A" w14:textId="77777777" w:rsidTr="009D14FB">
        <w:tc>
          <w:tcPr>
            <w:tcW w:w="800" w:type="dxa"/>
            <w:shd w:val="solid" w:color="FFFFFF" w:fill="auto"/>
          </w:tcPr>
          <w:p w14:paraId="473B6451" w14:textId="022C853F" w:rsidR="00F03116" w:rsidRPr="00873B6C" w:rsidRDefault="00F03116" w:rsidP="002C4A81">
            <w:pPr>
              <w:pStyle w:val="TAC"/>
              <w:rPr>
                <w:sz w:val="16"/>
                <w:szCs w:val="16"/>
              </w:rPr>
            </w:pPr>
            <w:r w:rsidRPr="00873B6C">
              <w:rPr>
                <w:sz w:val="16"/>
                <w:szCs w:val="16"/>
              </w:rPr>
              <w:t>2023-03</w:t>
            </w:r>
          </w:p>
        </w:tc>
        <w:tc>
          <w:tcPr>
            <w:tcW w:w="800" w:type="dxa"/>
            <w:shd w:val="solid" w:color="FFFFFF" w:fill="auto"/>
          </w:tcPr>
          <w:p w14:paraId="4C845CA7" w14:textId="01006B8D" w:rsidR="00F03116" w:rsidRPr="00873B6C" w:rsidRDefault="00F03116" w:rsidP="002C4A81">
            <w:pPr>
              <w:pStyle w:val="TAL"/>
              <w:rPr>
                <w:sz w:val="16"/>
                <w:szCs w:val="16"/>
              </w:rPr>
            </w:pPr>
            <w:r w:rsidRPr="00873B6C">
              <w:rPr>
                <w:sz w:val="16"/>
                <w:szCs w:val="16"/>
              </w:rPr>
              <w:t>SP#99</w:t>
            </w:r>
          </w:p>
        </w:tc>
        <w:tc>
          <w:tcPr>
            <w:tcW w:w="1094" w:type="dxa"/>
            <w:shd w:val="solid" w:color="FFFFFF" w:fill="auto"/>
          </w:tcPr>
          <w:p w14:paraId="0CE35BB9" w14:textId="106087EC" w:rsidR="00F03116" w:rsidRPr="00873B6C" w:rsidRDefault="00F03116" w:rsidP="002C4A81">
            <w:pPr>
              <w:pStyle w:val="TAC"/>
              <w:rPr>
                <w:sz w:val="16"/>
                <w:szCs w:val="16"/>
              </w:rPr>
            </w:pPr>
            <w:r w:rsidRPr="00873B6C">
              <w:rPr>
                <w:sz w:val="16"/>
                <w:szCs w:val="16"/>
              </w:rPr>
              <w:t>SP-230056</w:t>
            </w:r>
          </w:p>
        </w:tc>
        <w:tc>
          <w:tcPr>
            <w:tcW w:w="567" w:type="dxa"/>
            <w:shd w:val="solid" w:color="FFFFFF" w:fill="auto"/>
          </w:tcPr>
          <w:p w14:paraId="09426EA6" w14:textId="082AB368" w:rsidR="00F03116" w:rsidRPr="00873B6C" w:rsidRDefault="00F03116" w:rsidP="002C4A81">
            <w:pPr>
              <w:pStyle w:val="TAL"/>
              <w:rPr>
                <w:sz w:val="16"/>
                <w:szCs w:val="16"/>
              </w:rPr>
            </w:pPr>
            <w:r w:rsidRPr="00873B6C">
              <w:rPr>
                <w:sz w:val="16"/>
                <w:szCs w:val="16"/>
              </w:rPr>
              <w:t>4019</w:t>
            </w:r>
          </w:p>
        </w:tc>
        <w:tc>
          <w:tcPr>
            <w:tcW w:w="425" w:type="dxa"/>
            <w:shd w:val="solid" w:color="FFFFFF" w:fill="auto"/>
          </w:tcPr>
          <w:p w14:paraId="549B90BF" w14:textId="69314336" w:rsidR="00F03116" w:rsidRPr="00873B6C" w:rsidRDefault="00F03116" w:rsidP="002C4A81">
            <w:pPr>
              <w:pStyle w:val="TAL"/>
              <w:rPr>
                <w:sz w:val="16"/>
                <w:szCs w:val="16"/>
              </w:rPr>
            </w:pPr>
            <w:r w:rsidRPr="00873B6C">
              <w:rPr>
                <w:sz w:val="16"/>
                <w:szCs w:val="16"/>
              </w:rPr>
              <w:t>1</w:t>
            </w:r>
          </w:p>
        </w:tc>
        <w:tc>
          <w:tcPr>
            <w:tcW w:w="425" w:type="dxa"/>
            <w:shd w:val="solid" w:color="FFFFFF" w:fill="auto"/>
          </w:tcPr>
          <w:p w14:paraId="6F0CE34C" w14:textId="21EC62AA" w:rsidR="00F03116" w:rsidRPr="00873B6C" w:rsidRDefault="00F03116" w:rsidP="002C4A81">
            <w:pPr>
              <w:pStyle w:val="TAL"/>
              <w:rPr>
                <w:sz w:val="16"/>
                <w:szCs w:val="16"/>
              </w:rPr>
            </w:pPr>
            <w:r w:rsidRPr="00873B6C">
              <w:rPr>
                <w:sz w:val="16"/>
                <w:szCs w:val="16"/>
              </w:rPr>
              <w:t>B</w:t>
            </w:r>
          </w:p>
        </w:tc>
        <w:tc>
          <w:tcPr>
            <w:tcW w:w="4820" w:type="dxa"/>
            <w:shd w:val="solid" w:color="FFFFFF" w:fill="auto"/>
          </w:tcPr>
          <w:p w14:paraId="5C78DABC" w14:textId="0491DCF7" w:rsidR="00F03116" w:rsidRPr="00873B6C" w:rsidRDefault="00F03116" w:rsidP="002C4A81">
            <w:pPr>
              <w:pStyle w:val="TAL"/>
              <w:rPr>
                <w:sz w:val="16"/>
                <w:szCs w:val="16"/>
              </w:rPr>
            </w:pPr>
            <w:r w:rsidRPr="00873B6C">
              <w:rPr>
                <w:sz w:val="16"/>
                <w:szCs w:val="16"/>
              </w:rPr>
              <w:t>Introducing Redundant Steering Mode</w:t>
            </w:r>
          </w:p>
        </w:tc>
        <w:tc>
          <w:tcPr>
            <w:tcW w:w="708" w:type="dxa"/>
            <w:shd w:val="solid" w:color="FFFFFF" w:fill="auto"/>
          </w:tcPr>
          <w:p w14:paraId="236C4F84" w14:textId="6AD6B4F6" w:rsidR="00F03116" w:rsidRPr="00873B6C" w:rsidRDefault="00F03116" w:rsidP="002C4A81">
            <w:pPr>
              <w:pStyle w:val="TAC"/>
              <w:rPr>
                <w:sz w:val="16"/>
                <w:szCs w:val="16"/>
              </w:rPr>
            </w:pPr>
            <w:r w:rsidRPr="00873B6C">
              <w:rPr>
                <w:sz w:val="16"/>
                <w:szCs w:val="16"/>
              </w:rPr>
              <w:t>18.1.0</w:t>
            </w:r>
          </w:p>
        </w:tc>
      </w:tr>
      <w:tr w:rsidR="00D01473" w:rsidRPr="00873B6C" w14:paraId="230A7C00" w14:textId="77777777" w:rsidTr="009D14FB">
        <w:tc>
          <w:tcPr>
            <w:tcW w:w="800" w:type="dxa"/>
            <w:shd w:val="solid" w:color="FFFFFF" w:fill="auto"/>
          </w:tcPr>
          <w:p w14:paraId="2399F65A" w14:textId="6443DEA5"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648CB009" w14:textId="1AC14732"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044A4534" w14:textId="60DC03AF" w:rsidR="00D01473" w:rsidRPr="00873B6C" w:rsidRDefault="00D01473" w:rsidP="002C4A81">
            <w:pPr>
              <w:pStyle w:val="TAC"/>
              <w:rPr>
                <w:sz w:val="16"/>
                <w:szCs w:val="16"/>
              </w:rPr>
            </w:pPr>
            <w:r w:rsidRPr="00873B6C">
              <w:rPr>
                <w:sz w:val="16"/>
                <w:szCs w:val="16"/>
              </w:rPr>
              <w:t>SP-230049</w:t>
            </w:r>
          </w:p>
        </w:tc>
        <w:tc>
          <w:tcPr>
            <w:tcW w:w="567" w:type="dxa"/>
            <w:shd w:val="solid" w:color="FFFFFF" w:fill="auto"/>
          </w:tcPr>
          <w:p w14:paraId="304DA000" w14:textId="03D5082F" w:rsidR="00D01473" w:rsidRPr="00873B6C" w:rsidRDefault="00D01473" w:rsidP="002C4A81">
            <w:pPr>
              <w:pStyle w:val="TAL"/>
              <w:rPr>
                <w:sz w:val="16"/>
                <w:szCs w:val="16"/>
              </w:rPr>
            </w:pPr>
            <w:r w:rsidRPr="00873B6C">
              <w:rPr>
                <w:sz w:val="16"/>
                <w:szCs w:val="16"/>
              </w:rPr>
              <w:t>4020</w:t>
            </w:r>
          </w:p>
        </w:tc>
        <w:tc>
          <w:tcPr>
            <w:tcW w:w="425" w:type="dxa"/>
            <w:shd w:val="solid" w:color="FFFFFF" w:fill="auto"/>
          </w:tcPr>
          <w:p w14:paraId="2CFFFE1D" w14:textId="1EA79D56" w:rsidR="00D01473" w:rsidRPr="00873B6C" w:rsidRDefault="00D01473" w:rsidP="002C4A81">
            <w:pPr>
              <w:pStyle w:val="TAL"/>
              <w:rPr>
                <w:sz w:val="16"/>
                <w:szCs w:val="16"/>
              </w:rPr>
            </w:pPr>
            <w:r w:rsidRPr="00873B6C">
              <w:rPr>
                <w:sz w:val="16"/>
                <w:szCs w:val="16"/>
              </w:rPr>
              <w:t>6</w:t>
            </w:r>
          </w:p>
        </w:tc>
        <w:tc>
          <w:tcPr>
            <w:tcW w:w="425" w:type="dxa"/>
            <w:shd w:val="solid" w:color="FFFFFF" w:fill="auto"/>
          </w:tcPr>
          <w:p w14:paraId="73C45767" w14:textId="1F4BB0CE"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4E5A0573" w14:textId="35CA8A08" w:rsidR="00D01473" w:rsidRPr="00873B6C" w:rsidRDefault="00D01473" w:rsidP="002C4A81">
            <w:pPr>
              <w:pStyle w:val="TAL"/>
              <w:rPr>
                <w:sz w:val="16"/>
                <w:szCs w:val="16"/>
              </w:rPr>
            </w:pPr>
            <w:r w:rsidRPr="00873B6C">
              <w:rPr>
                <w:sz w:val="16"/>
                <w:szCs w:val="16"/>
              </w:rPr>
              <w:t>Wait range during discontinuous coverage.</w:t>
            </w:r>
          </w:p>
        </w:tc>
        <w:tc>
          <w:tcPr>
            <w:tcW w:w="708" w:type="dxa"/>
            <w:shd w:val="solid" w:color="FFFFFF" w:fill="auto"/>
          </w:tcPr>
          <w:p w14:paraId="6E8FF081" w14:textId="361E1B6A" w:rsidR="00D01473" w:rsidRPr="00873B6C" w:rsidRDefault="00D01473" w:rsidP="002C4A81">
            <w:pPr>
              <w:pStyle w:val="TAC"/>
              <w:rPr>
                <w:sz w:val="16"/>
                <w:szCs w:val="16"/>
              </w:rPr>
            </w:pPr>
            <w:r w:rsidRPr="00873B6C">
              <w:rPr>
                <w:sz w:val="16"/>
                <w:szCs w:val="16"/>
              </w:rPr>
              <w:t>18.1.0</w:t>
            </w:r>
          </w:p>
        </w:tc>
      </w:tr>
      <w:tr w:rsidR="00D01473" w:rsidRPr="00873B6C" w14:paraId="01415F66" w14:textId="77777777" w:rsidTr="009D14FB">
        <w:tc>
          <w:tcPr>
            <w:tcW w:w="800" w:type="dxa"/>
            <w:shd w:val="solid" w:color="FFFFFF" w:fill="auto"/>
          </w:tcPr>
          <w:p w14:paraId="7B607CE6" w14:textId="43F58B4B"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3FA47EF6" w14:textId="3DEDA1C7"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24A78381" w14:textId="0AE625E3" w:rsidR="00D01473" w:rsidRPr="00873B6C" w:rsidRDefault="00D01473" w:rsidP="002C4A81">
            <w:pPr>
              <w:pStyle w:val="TAC"/>
              <w:rPr>
                <w:sz w:val="16"/>
                <w:szCs w:val="16"/>
              </w:rPr>
            </w:pPr>
            <w:r w:rsidRPr="00873B6C">
              <w:rPr>
                <w:sz w:val="16"/>
                <w:szCs w:val="16"/>
              </w:rPr>
              <w:t>SP-230073</w:t>
            </w:r>
          </w:p>
        </w:tc>
        <w:tc>
          <w:tcPr>
            <w:tcW w:w="567" w:type="dxa"/>
            <w:shd w:val="solid" w:color="FFFFFF" w:fill="auto"/>
          </w:tcPr>
          <w:p w14:paraId="496CA110" w14:textId="606412F4" w:rsidR="00D01473" w:rsidRPr="00873B6C" w:rsidRDefault="00D01473" w:rsidP="002C4A81">
            <w:pPr>
              <w:pStyle w:val="TAL"/>
              <w:rPr>
                <w:sz w:val="16"/>
                <w:szCs w:val="16"/>
              </w:rPr>
            </w:pPr>
            <w:r w:rsidRPr="00873B6C">
              <w:rPr>
                <w:sz w:val="16"/>
                <w:szCs w:val="16"/>
              </w:rPr>
              <w:t>4028</w:t>
            </w:r>
          </w:p>
        </w:tc>
        <w:tc>
          <w:tcPr>
            <w:tcW w:w="425" w:type="dxa"/>
            <w:shd w:val="solid" w:color="FFFFFF" w:fill="auto"/>
          </w:tcPr>
          <w:p w14:paraId="676BBB4D" w14:textId="7A37F54D" w:rsidR="00D01473" w:rsidRPr="00873B6C" w:rsidRDefault="00D01473" w:rsidP="002C4A81">
            <w:pPr>
              <w:pStyle w:val="TAL"/>
              <w:rPr>
                <w:sz w:val="16"/>
                <w:szCs w:val="16"/>
              </w:rPr>
            </w:pPr>
            <w:r w:rsidRPr="00873B6C">
              <w:rPr>
                <w:sz w:val="16"/>
                <w:szCs w:val="16"/>
              </w:rPr>
              <w:t>5</w:t>
            </w:r>
          </w:p>
        </w:tc>
        <w:tc>
          <w:tcPr>
            <w:tcW w:w="425" w:type="dxa"/>
            <w:shd w:val="solid" w:color="FFFFFF" w:fill="auto"/>
          </w:tcPr>
          <w:p w14:paraId="2AFD66AB" w14:textId="4FCA82EF"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565884F6" w14:textId="270DDD52" w:rsidR="00D01473" w:rsidRPr="00873B6C" w:rsidRDefault="00D01473" w:rsidP="002C4A81">
            <w:pPr>
              <w:pStyle w:val="TAL"/>
              <w:rPr>
                <w:sz w:val="16"/>
                <w:szCs w:val="16"/>
              </w:rPr>
            </w:pPr>
            <w:r w:rsidRPr="00873B6C">
              <w:rPr>
                <w:sz w:val="16"/>
                <w:szCs w:val="16"/>
              </w:rPr>
              <w:t>Informative Annex on PIN Architecture</w:t>
            </w:r>
          </w:p>
        </w:tc>
        <w:tc>
          <w:tcPr>
            <w:tcW w:w="708" w:type="dxa"/>
            <w:shd w:val="solid" w:color="FFFFFF" w:fill="auto"/>
          </w:tcPr>
          <w:p w14:paraId="1CF1BF37" w14:textId="59F06C1A" w:rsidR="00D01473" w:rsidRPr="00873B6C" w:rsidRDefault="00D01473" w:rsidP="002C4A81">
            <w:pPr>
              <w:pStyle w:val="TAC"/>
              <w:rPr>
                <w:sz w:val="16"/>
                <w:szCs w:val="16"/>
              </w:rPr>
            </w:pPr>
            <w:r w:rsidRPr="00873B6C">
              <w:rPr>
                <w:sz w:val="16"/>
                <w:szCs w:val="16"/>
              </w:rPr>
              <w:t>18.1.0</w:t>
            </w:r>
          </w:p>
        </w:tc>
      </w:tr>
      <w:tr w:rsidR="00D01473" w:rsidRPr="00873B6C" w14:paraId="0C7CEC15" w14:textId="77777777" w:rsidTr="009D14FB">
        <w:tc>
          <w:tcPr>
            <w:tcW w:w="800" w:type="dxa"/>
            <w:shd w:val="solid" w:color="FFFFFF" w:fill="auto"/>
          </w:tcPr>
          <w:p w14:paraId="50004B01" w14:textId="2F7999FA"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364A55E8" w14:textId="6714D612"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5CCE83D7" w14:textId="3A02D80F" w:rsidR="00D01473" w:rsidRPr="00873B6C" w:rsidRDefault="00D01473" w:rsidP="002C4A81">
            <w:pPr>
              <w:pStyle w:val="TAC"/>
              <w:rPr>
                <w:sz w:val="16"/>
                <w:szCs w:val="16"/>
              </w:rPr>
            </w:pPr>
            <w:r w:rsidRPr="00873B6C">
              <w:rPr>
                <w:sz w:val="16"/>
                <w:szCs w:val="16"/>
              </w:rPr>
              <w:t>SP-230386</w:t>
            </w:r>
          </w:p>
        </w:tc>
        <w:tc>
          <w:tcPr>
            <w:tcW w:w="567" w:type="dxa"/>
            <w:shd w:val="solid" w:color="FFFFFF" w:fill="auto"/>
          </w:tcPr>
          <w:p w14:paraId="79A4B1C8" w14:textId="256570F8" w:rsidR="00D01473" w:rsidRPr="00873B6C" w:rsidRDefault="00D01473" w:rsidP="002C4A81">
            <w:pPr>
              <w:pStyle w:val="TAL"/>
              <w:rPr>
                <w:sz w:val="16"/>
                <w:szCs w:val="16"/>
              </w:rPr>
            </w:pPr>
            <w:r w:rsidRPr="00873B6C">
              <w:rPr>
                <w:sz w:val="16"/>
                <w:szCs w:val="16"/>
              </w:rPr>
              <w:t>4033</w:t>
            </w:r>
          </w:p>
        </w:tc>
        <w:tc>
          <w:tcPr>
            <w:tcW w:w="425" w:type="dxa"/>
            <w:shd w:val="solid" w:color="FFFFFF" w:fill="auto"/>
          </w:tcPr>
          <w:p w14:paraId="3E454E53" w14:textId="3FAB9A4F" w:rsidR="00D01473" w:rsidRPr="00873B6C" w:rsidRDefault="00D01473" w:rsidP="002C4A81">
            <w:pPr>
              <w:pStyle w:val="TAL"/>
              <w:rPr>
                <w:sz w:val="16"/>
                <w:szCs w:val="16"/>
              </w:rPr>
            </w:pPr>
            <w:r w:rsidRPr="00873B6C">
              <w:rPr>
                <w:sz w:val="16"/>
                <w:szCs w:val="16"/>
              </w:rPr>
              <w:t>13</w:t>
            </w:r>
          </w:p>
        </w:tc>
        <w:tc>
          <w:tcPr>
            <w:tcW w:w="425" w:type="dxa"/>
            <w:shd w:val="solid" w:color="FFFFFF" w:fill="auto"/>
          </w:tcPr>
          <w:p w14:paraId="03DAABFC" w14:textId="354B95BA"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77049040" w14:textId="2FBBCFEC" w:rsidR="00D01473" w:rsidRPr="00873B6C" w:rsidRDefault="00D01473" w:rsidP="002C4A81">
            <w:pPr>
              <w:pStyle w:val="TAL"/>
              <w:rPr>
                <w:sz w:val="16"/>
                <w:szCs w:val="16"/>
              </w:rPr>
            </w:pPr>
            <w:r w:rsidRPr="00873B6C">
              <w:rPr>
                <w:sz w:val="16"/>
                <w:szCs w:val="16"/>
              </w:rPr>
              <w:t>Support of discontinuous coverage</w:t>
            </w:r>
          </w:p>
        </w:tc>
        <w:tc>
          <w:tcPr>
            <w:tcW w:w="708" w:type="dxa"/>
            <w:shd w:val="solid" w:color="FFFFFF" w:fill="auto"/>
          </w:tcPr>
          <w:p w14:paraId="051EDFD0" w14:textId="532451EC" w:rsidR="00D01473" w:rsidRPr="00873B6C" w:rsidRDefault="00D01473" w:rsidP="002C4A81">
            <w:pPr>
              <w:pStyle w:val="TAC"/>
              <w:rPr>
                <w:sz w:val="16"/>
                <w:szCs w:val="16"/>
              </w:rPr>
            </w:pPr>
            <w:r w:rsidRPr="00873B6C">
              <w:rPr>
                <w:sz w:val="16"/>
                <w:szCs w:val="16"/>
              </w:rPr>
              <w:t>18.1.0</w:t>
            </w:r>
          </w:p>
        </w:tc>
      </w:tr>
      <w:tr w:rsidR="00D01473" w:rsidRPr="00873B6C" w14:paraId="16502BFE" w14:textId="77777777" w:rsidTr="009D14FB">
        <w:tc>
          <w:tcPr>
            <w:tcW w:w="800" w:type="dxa"/>
            <w:shd w:val="solid" w:color="FFFFFF" w:fill="auto"/>
          </w:tcPr>
          <w:p w14:paraId="64B725C1" w14:textId="1CB459D6"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613044F6" w14:textId="4DE720D0"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13D28822" w14:textId="49F18288" w:rsidR="00D01473" w:rsidRPr="00873B6C" w:rsidRDefault="00D01473" w:rsidP="002C4A81">
            <w:pPr>
              <w:pStyle w:val="TAC"/>
              <w:rPr>
                <w:sz w:val="16"/>
                <w:szCs w:val="16"/>
              </w:rPr>
            </w:pPr>
            <w:r w:rsidRPr="00873B6C">
              <w:rPr>
                <w:sz w:val="16"/>
                <w:szCs w:val="16"/>
              </w:rPr>
              <w:t>SP-230064</w:t>
            </w:r>
          </w:p>
        </w:tc>
        <w:tc>
          <w:tcPr>
            <w:tcW w:w="567" w:type="dxa"/>
            <w:shd w:val="solid" w:color="FFFFFF" w:fill="auto"/>
          </w:tcPr>
          <w:p w14:paraId="0EBD3002" w14:textId="36E29CA3" w:rsidR="00D01473" w:rsidRPr="00873B6C" w:rsidRDefault="00D01473" w:rsidP="002C4A81">
            <w:pPr>
              <w:pStyle w:val="TAL"/>
              <w:rPr>
                <w:sz w:val="16"/>
                <w:szCs w:val="16"/>
              </w:rPr>
            </w:pPr>
            <w:r w:rsidRPr="00873B6C">
              <w:rPr>
                <w:sz w:val="16"/>
                <w:szCs w:val="16"/>
              </w:rPr>
              <w:t>4035</w:t>
            </w:r>
          </w:p>
        </w:tc>
        <w:tc>
          <w:tcPr>
            <w:tcW w:w="425" w:type="dxa"/>
            <w:shd w:val="solid" w:color="FFFFFF" w:fill="auto"/>
          </w:tcPr>
          <w:p w14:paraId="0AE78449" w14:textId="2E9FE139" w:rsidR="00D01473" w:rsidRPr="00873B6C" w:rsidRDefault="00D01473" w:rsidP="002C4A81">
            <w:pPr>
              <w:pStyle w:val="TAL"/>
              <w:rPr>
                <w:sz w:val="16"/>
                <w:szCs w:val="16"/>
              </w:rPr>
            </w:pPr>
            <w:r w:rsidRPr="00873B6C">
              <w:rPr>
                <w:sz w:val="16"/>
                <w:szCs w:val="16"/>
              </w:rPr>
              <w:t>7</w:t>
            </w:r>
          </w:p>
        </w:tc>
        <w:tc>
          <w:tcPr>
            <w:tcW w:w="425" w:type="dxa"/>
            <w:shd w:val="solid" w:color="FFFFFF" w:fill="auto"/>
          </w:tcPr>
          <w:p w14:paraId="6ECAA9E7" w14:textId="4690108A"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6FE4E466" w14:textId="1FD746E4" w:rsidR="00D01473" w:rsidRPr="00873B6C" w:rsidRDefault="00D01473" w:rsidP="002C4A81">
            <w:pPr>
              <w:pStyle w:val="TAL"/>
              <w:rPr>
                <w:sz w:val="16"/>
                <w:szCs w:val="16"/>
              </w:rPr>
            </w:pPr>
            <w:r w:rsidRPr="00873B6C">
              <w:rPr>
                <w:sz w:val="16"/>
                <w:szCs w:val="16"/>
              </w:rPr>
              <w:t>Introduction of partially Allowed NSSAI and Partially Rejected S-NSSAI</w:t>
            </w:r>
          </w:p>
        </w:tc>
        <w:tc>
          <w:tcPr>
            <w:tcW w:w="708" w:type="dxa"/>
            <w:shd w:val="solid" w:color="FFFFFF" w:fill="auto"/>
          </w:tcPr>
          <w:p w14:paraId="3B1B0308" w14:textId="20C75A9E" w:rsidR="00D01473" w:rsidRPr="00873B6C" w:rsidRDefault="00D01473" w:rsidP="002C4A81">
            <w:pPr>
              <w:pStyle w:val="TAC"/>
              <w:rPr>
                <w:sz w:val="16"/>
                <w:szCs w:val="16"/>
              </w:rPr>
            </w:pPr>
            <w:r w:rsidRPr="00873B6C">
              <w:rPr>
                <w:sz w:val="16"/>
                <w:szCs w:val="16"/>
              </w:rPr>
              <w:t>18.1.0</w:t>
            </w:r>
          </w:p>
        </w:tc>
      </w:tr>
      <w:tr w:rsidR="00D01473" w:rsidRPr="00873B6C" w14:paraId="68EF567B" w14:textId="77777777" w:rsidTr="009D14FB">
        <w:tc>
          <w:tcPr>
            <w:tcW w:w="800" w:type="dxa"/>
            <w:shd w:val="solid" w:color="FFFFFF" w:fill="auto"/>
          </w:tcPr>
          <w:p w14:paraId="048686FF" w14:textId="40D58FD0"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37F5A12E" w14:textId="5BFB0450"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6535328E" w14:textId="6FA8ACE2" w:rsidR="00D01473" w:rsidRPr="00873B6C" w:rsidRDefault="00D01473" w:rsidP="002C4A81">
            <w:pPr>
              <w:pStyle w:val="TAC"/>
              <w:rPr>
                <w:sz w:val="16"/>
                <w:szCs w:val="16"/>
              </w:rPr>
            </w:pPr>
            <w:r w:rsidRPr="00873B6C">
              <w:rPr>
                <w:sz w:val="16"/>
                <w:szCs w:val="16"/>
              </w:rPr>
              <w:t>SP-230315</w:t>
            </w:r>
          </w:p>
        </w:tc>
        <w:tc>
          <w:tcPr>
            <w:tcW w:w="567" w:type="dxa"/>
            <w:shd w:val="solid" w:color="FFFFFF" w:fill="auto"/>
          </w:tcPr>
          <w:p w14:paraId="44E1716A" w14:textId="47E16487" w:rsidR="00D01473" w:rsidRPr="00873B6C" w:rsidRDefault="00D01473" w:rsidP="002C4A81">
            <w:pPr>
              <w:pStyle w:val="TAL"/>
              <w:rPr>
                <w:sz w:val="16"/>
                <w:szCs w:val="16"/>
              </w:rPr>
            </w:pPr>
            <w:r w:rsidRPr="00873B6C">
              <w:rPr>
                <w:sz w:val="16"/>
                <w:szCs w:val="16"/>
              </w:rPr>
              <w:t>4036</w:t>
            </w:r>
          </w:p>
        </w:tc>
        <w:tc>
          <w:tcPr>
            <w:tcW w:w="425" w:type="dxa"/>
            <w:shd w:val="solid" w:color="FFFFFF" w:fill="auto"/>
          </w:tcPr>
          <w:p w14:paraId="17C8C4B4" w14:textId="2CDA655D" w:rsidR="00D01473" w:rsidRPr="00873B6C" w:rsidRDefault="00D01473" w:rsidP="002C4A81">
            <w:pPr>
              <w:pStyle w:val="TAL"/>
              <w:rPr>
                <w:sz w:val="16"/>
                <w:szCs w:val="16"/>
              </w:rPr>
            </w:pPr>
            <w:r w:rsidRPr="00873B6C">
              <w:rPr>
                <w:sz w:val="16"/>
                <w:szCs w:val="16"/>
              </w:rPr>
              <w:t>4</w:t>
            </w:r>
          </w:p>
        </w:tc>
        <w:tc>
          <w:tcPr>
            <w:tcW w:w="425" w:type="dxa"/>
            <w:shd w:val="solid" w:color="FFFFFF" w:fill="auto"/>
          </w:tcPr>
          <w:p w14:paraId="0C2EF507" w14:textId="516F5DDA"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007AB389" w14:textId="38704F75" w:rsidR="00D01473" w:rsidRPr="00873B6C" w:rsidRDefault="00D01473" w:rsidP="002C4A81">
            <w:pPr>
              <w:pStyle w:val="TAL"/>
              <w:rPr>
                <w:sz w:val="16"/>
                <w:szCs w:val="16"/>
              </w:rPr>
            </w:pPr>
            <w:r w:rsidRPr="00873B6C">
              <w:rPr>
                <w:sz w:val="16"/>
                <w:szCs w:val="16"/>
              </w:rPr>
              <w:t>Introduction of Alternative S-NSSAI replacement determined by NSSF</w:t>
            </w:r>
          </w:p>
        </w:tc>
        <w:tc>
          <w:tcPr>
            <w:tcW w:w="708" w:type="dxa"/>
            <w:shd w:val="solid" w:color="FFFFFF" w:fill="auto"/>
          </w:tcPr>
          <w:p w14:paraId="7E4645C3" w14:textId="47A51E7C" w:rsidR="00D01473" w:rsidRPr="00873B6C" w:rsidRDefault="00D01473" w:rsidP="002C4A81">
            <w:pPr>
              <w:pStyle w:val="TAC"/>
              <w:rPr>
                <w:sz w:val="16"/>
                <w:szCs w:val="16"/>
              </w:rPr>
            </w:pPr>
            <w:r w:rsidRPr="00873B6C">
              <w:rPr>
                <w:sz w:val="16"/>
                <w:szCs w:val="16"/>
              </w:rPr>
              <w:t>18.1.0</w:t>
            </w:r>
          </w:p>
        </w:tc>
      </w:tr>
      <w:tr w:rsidR="00AB1E8D" w:rsidRPr="00873B6C" w14:paraId="6E5E6B4B" w14:textId="77777777" w:rsidTr="009D14FB">
        <w:tc>
          <w:tcPr>
            <w:tcW w:w="800" w:type="dxa"/>
            <w:shd w:val="solid" w:color="FFFFFF" w:fill="auto"/>
          </w:tcPr>
          <w:p w14:paraId="1E681B69" w14:textId="37471E3F"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1AF0449E" w14:textId="3E60366C"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0E852117" w14:textId="04F0BF64" w:rsidR="00AB1E8D" w:rsidRPr="00873B6C" w:rsidRDefault="00AB1E8D" w:rsidP="002C4A81">
            <w:pPr>
              <w:pStyle w:val="TAC"/>
              <w:rPr>
                <w:sz w:val="16"/>
                <w:szCs w:val="16"/>
              </w:rPr>
            </w:pPr>
            <w:r w:rsidRPr="00873B6C">
              <w:rPr>
                <w:sz w:val="16"/>
                <w:szCs w:val="16"/>
              </w:rPr>
              <w:t>SP-230078</w:t>
            </w:r>
          </w:p>
        </w:tc>
        <w:tc>
          <w:tcPr>
            <w:tcW w:w="567" w:type="dxa"/>
            <w:shd w:val="solid" w:color="FFFFFF" w:fill="auto"/>
          </w:tcPr>
          <w:p w14:paraId="245331F8" w14:textId="0C14976B" w:rsidR="00AB1E8D" w:rsidRPr="00873B6C" w:rsidRDefault="00AB1E8D" w:rsidP="002C4A81">
            <w:pPr>
              <w:pStyle w:val="TAL"/>
              <w:rPr>
                <w:sz w:val="16"/>
                <w:szCs w:val="16"/>
              </w:rPr>
            </w:pPr>
            <w:r w:rsidRPr="00873B6C">
              <w:rPr>
                <w:sz w:val="16"/>
                <w:szCs w:val="16"/>
              </w:rPr>
              <w:t>4039</w:t>
            </w:r>
          </w:p>
        </w:tc>
        <w:tc>
          <w:tcPr>
            <w:tcW w:w="425" w:type="dxa"/>
            <w:shd w:val="solid" w:color="FFFFFF" w:fill="auto"/>
          </w:tcPr>
          <w:p w14:paraId="26B0BCEE" w14:textId="0D01909B" w:rsidR="00AB1E8D" w:rsidRPr="00873B6C" w:rsidRDefault="00AB1E8D" w:rsidP="002C4A81">
            <w:pPr>
              <w:pStyle w:val="TAL"/>
              <w:rPr>
                <w:sz w:val="16"/>
                <w:szCs w:val="16"/>
              </w:rPr>
            </w:pPr>
            <w:r w:rsidRPr="00873B6C">
              <w:rPr>
                <w:sz w:val="16"/>
                <w:szCs w:val="16"/>
              </w:rPr>
              <w:t>1</w:t>
            </w:r>
          </w:p>
        </w:tc>
        <w:tc>
          <w:tcPr>
            <w:tcW w:w="425" w:type="dxa"/>
            <w:shd w:val="solid" w:color="FFFFFF" w:fill="auto"/>
          </w:tcPr>
          <w:p w14:paraId="654CB506" w14:textId="10154EA5" w:rsidR="00AB1E8D" w:rsidRPr="00873B6C" w:rsidRDefault="00AB1E8D" w:rsidP="002C4A81">
            <w:pPr>
              <w:pStyle w:val="TAL"/>
              <w:rPr>
                <w:sz w:val="16"/>
                <w:szCs w:val="16"/>
              </w:rPr>
            </w:pPr>
            <w:r w:rsidRPr="00873B6C">
              <w:rPr>
                <w:sz w:val="16"/>
                <w:szCs w:val="16"/>
              </w:rPr>
              <w:t>F</w:t>
            </w:r>
          </w:p>
        </w:tc>
        <w:tc>
          <w:tcPr>
            <w:tcW w:w="4820" w:type="dxa"/>
            <w:shd w:val="solid" w:color="FFFFFF" w:fill="auto"/>
          </w:tcPr>
          <w:p w14:paraId="4AC99AB8" w14:textId="1C76DC98" w:rsidR="00AB1E8D" w:rsidRPr="00873B6C" w:rsidRDefault="00AB1E8D" w:rsidP="002C4A81">
            <w:pPr>
              <w:pStyle w:val="TAL"/>
              <w:rPr>
                <w:sz w:val="16"/>
                <w:szCs w:val="16"/>
              </w:rPr>
            </w:pPr>
            <w:r w:rsidRPr="00873B6C">
              <w:rPr>
                <w:sz w:val="16"/>
                <w:szCs w:val="16"/>
              </w:rPr>
              <w:t>Resolving EN on emergency services.</w:t>
            </w:r>
          </w:p>
        </w:tc>
        <w:tc>
          <w:tcPr>
            <w:tcW w:w="708" w:type="dxa"/>
            <w:shd w:val="solid" w:color="FFFFFF" w:fill="auto"/>
          </w:tcPr>
          <w:p w14:paraId="33416221" w14:textId="16F98618" w:rsidR="00AB1E8D" w:rsidRPr="00873B6C" w:rsidRDefault="00AB1E8D" w:rsidP="002C4A81">
            <w:pPr>
              <w:pStyle w:val="TAC"/>
              <w:rPr>
                <w:sz w:val="16"/>
                <w:szCs w:val="16"/>
              </w:rPr>
            </w:pPr>
            <w:r w:rsidRPr="00873B6C">
              <w:rPr>
                <w:sz w:val="16"/>
                <w:szCs w:val="16"/>
              </w:rPr>
              <w:t>18.1.0</w:t>
            </w:r>
          </w:p>
        </w:tc>
      </w:tr>
      <w:tr w:rsidR="00AB1E8D" w:rsidRPr="00873B6C" w14:paraId="6DF1FDB2" w14:textId="77777777" w:rsidTr="009D14FB">
        <w:tc>
          <w:tcPr>
            <w:tcW w:w="800" w:type="dxa"/>
            <w:shd w:val="solid" w:color="FFFFFF" w:fill="auto"/>
          </w:tcPr>
          <w:p w14:paraId="2DEEA5B4" w14:textId="779E7D96"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3757A68F" w14:textId="1644E14D"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389D9052" w14:textId="0F5104A2" w:rsidR="00AB1E8D" w:rsidRPr="00873B6C" w:rsidRDefault="00AB1E8D" w:rsidP="002C4A81">
            <w:pPr>
              <w:pStyle w:val="TAC"/>
              <w:rPr>
                <w:sz w:val="16"/>
                <w:szCs w:val="16"/>
              </w:rPr>
            </w:pPr>
            <w:r w:rsidRPr="00873B6C">
              <w:rPr>
                <w:sz w:val="16"/>
                <w:szCs w:val="16"/>
              </w:rPr>
              <w:t>SP-230373</w:t>
            </w:r>
          </w:p>
        </w:tc>
        <w:tc>
          <w:tcPr>
            <w:tcW w:w="567" w:type="dxa"/>
            <w:shd w:val="solid" w:color="FFFFFF" w:fill="auto"/>
          </w:tcPr>
          <w:p w14:paraId="0FB66180" w14:textId="6B83F98C" w:rsidR="00AB1E8D" w:rsidRPr="00873B6C" w:rsidRDefault="00AB1E8D" w:rsidP="002C4A81">
            <w:pPr>
              <w:pStyle w:val="TAL"/>
              <w:rPr>
                <w:sz w:val="16"/>
                <w:szCs w:val="16"/>
              </w:rPr>
            </w:pPr>
            <w:r w:rsidRPr="00873B6C">
              <w:rPr>
                <w:sz w:val="16"/>
                <w:szCs w:val="16"/>
              </w:rPr>
              <w:t>4040</w:t>
            </w:r>
          </w:p>
        </w:tc>
        <w:tc>
          <w:tcPr>
            <w:tcW w:w="425" w:type="dxa"/>
            <w:shd w:val="solid" w:color="FFFFFF" w:fill="auto"/>
          </w:tcPr>
          <w:p w14:paraId="62C71875" w14:textId="41096100" w:rsidR="00AB1E8D" w:rsidRPr="00873B6C" w:rsidRDefault="00AB1E8D" w:rsidP="002C4A81">
            <w:pPr>
              <w:pStyle w:val="TAL"/>
              <w:rPr>
                <w:sz w:val="16"/>
                <w:szCs w:val="16"/>
              </w:rPr>
            </w:pPr>
            <w:r w:rsidRPr="00873B6C">
              <w:rPr>
                <w:sz w:val="16"/>
                <w:szCs w:val="16"/>
              </w:rPr>
              <w:t>3</w:t>
            </w:r>
          </w:p>
        </w:tc>
        <w:tc>
          <w:tcPr>
            <w:tcW w:w="425" w:type="dxa"/>
            <w:shd w:val="solid" w:color="FFFFFF" w:fill="auto"/>
          </w:tcPr>
          <w:p w14:paraId="0B0219BF" w14:textId="1FDB21A2" w:rsidR="00AB1E8D" w:rsidRPr="00873B6C" w:rsidRDefault="00AB1E8D" w:rsidP="002C4A81">
            <w:pPr>
              <w:pStyle w:val="TAL"/>
              <w:rPr>
                <w:sz w:val="16"/>
                <w:szCs w:val="16"/>
              </w:rPr>
            </w:pPr>
            <w:r w:rsidRPr="00873B6C">
              <w:rPr>
                <w:sz w:val="16"/>
                <w:szCs w:val="16"/>
              </w:rPr>
              <w:t>F</w:t>
            </w:r>
          </w:p>
        </w:tc>
        <w:tc>
          <w:tcPr>
            <w:tcW w:w="4820" w:type="dxa"/>
            <w:shd w:val="solid" w:color="FFFFFF" w:fill="auto"/>
          </w:tcPr>
          <w:p w14:paraId="6AA274AC" w14:textId="34A5F528" w:rsidR="00AB1E8D" w:rsidRPr="00873B6C" w:rsidRDefault="00AB1E8D" w:rsidP="002C4A81">
            <w:pPr>
              <w:pStyle w:val="TAL"/>
              <w:rPr>
                <w:sz w:val="16"/>
                <w:szCs w:val="16"/>
              </w:rPr>
            </w:pPr>
            <w:r w:rsidRPr="00873B6C">
              <w:rPr>
                <w:sz w:val="16"/>
                <w:szCs w:val="16"/>
              </w:rPr>
              <w:t>Not allowed to act as MBSR handling</w:t>
            </w:r>
          </w:p>
        </w:tc>
        <w:tc>
          <w:tcPr>
            <w:tcW w:w="708" w:type="dxa"/>
            <w:shd w:val="solid" w:color="FFFFFF" w:fill="auto"/>
          </w:tcPr>
          <w:p w14:paraId="7562E4D7" w14:textId="5DBAC6F0" w:rsidR="00AB1E8D" w:rsidRPr="00873B6C" w:rsidRDefault="00AB1E8D" w:rsidP="002C4A81">
            <w:pPr>
              <w:pStyle w:val="TAC"/>
              <w:rPr>
                <w:sz w:val="16"/>
                <w:szCs w:val="16"/>
              </w:rPr>
            </w:pPr>
            <w:r w:rsidRPr="00873B6C">
              <w:rPr>
                <w:sz w:val="16"/>
                <w:szCs w:val="16"/>
              </w:rPr>
              <w:t>18.1.0</w:t>
            </w:r>
          </w:p>
        </w:tc>
      </w:tr>
      <w:tr w:rsidR="00AB1E8D" w:rsidRPr="00873B6C" w14:paraId="76DEA1C1" w14:textId="77777777" w:rsidTr="009D14FB">
        <w:tc>
          <w:tcPr>
            <w:tcW w:w="800" w:type="dxa"/>
            <w:shd w:val="solid" w:color="FFFFFF" w:fill="auto"/>
          </w:tcPr>
          <w:p w14:paraId="41AF3358" w14:textId="55F0535C"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79519A2C" w14:textId="7FBAE023"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4A9476B4" w14:textId="1F5EAC7B" w:rsidR="00AB1E8D" w:rsidRPr="00873B6C" w:rsidRDefault="00AB1E8D" w:rsidP="002C4A81">
            <w:pPr>
              <w:pStyle w:val="TAC"/>
              <w:rPr>
                <w:sz w:val="16"/>
                <w:szCs w:val="16"/>
              </w:rPr>
            </w:pPr>
            <w:r w:rsidRPr="00873B6C">
              <w:rPr>
                <w:sz w:val="16"/>
                <w:szCs w:val="16"/>
              </w:rPr>
              <w:t>SP-230058</w:t>
            </w:r>
          </w:p>
        </w:tc>
        <w:tc>
          <w:tcPr>
            <w:tcW w:w="567" w:type="dxa"/>
            <w:shd w:val="solid" w:color="FFFFFF" w:fill="auto"/>
          </w:tcPr>
          <w:p w14:paraId="3C9AC6CF" w14:textId="3F359840" w:rsidR="00AB1E8D" w:rsidRPr="00873B6C" w:rsidRDefault="00AB1E8D" w:rsidP="002C4A81">
            <w:pPr>
              <w:pStyle w:val="TAL"/>
              <w:rPr>
                <w:sz w:val="16"/>
                <w:szCs w:val="16"/>
              </w:rPr>
            </w:pPr>
            <w:r w:rsidRPr="00873B6C">
              <w:rPr>
                <w:sz w:val="16"/>
                <w:szCs w:val="16"/>
              </w:rPr>
              <w:t>4042</w:t>
            </w:r>
          </w:p>
        </w:tc>
        <w:tc>
          <w:tcPr>
            <w:tcW w:w="425" w:type="dxa"/>
            <w:shd w:val="solid" w:color="FFFFFF" w:fill="auto"/>
          </w:tcPr>
          <w:p w14:paraId="18C9D0DD" w14:textId="061E9AB5" w:rsidR="00AB1E8D" w:rsidRPr="00873B6C" w:rsidRDefault="00AB1E8D" w:rsidP="002C4A81">
            <w:pPr>
              <w:pStyle w:val="TAL"/>
              <w:rPr>
                <w:sz w:val="16"/>
                <w:szCs w:val="16"/>
              </w:rPr>
            </w:pPr>
            <w:r w:rsidRPr="00873B6C">
              <w:rPr>
                <w:sz w:val="16"/>
                <w:szCs w:val="16"/>
              </w:rPr>
              <w:t>3</w:t>
            </w:r>
          </w:p>
        </w:tc>
        <w:tc>
          <w:tcPr>
            <w:tcW w:w="425" w:type="dxa"/>
            <w:shd w:val="solid" w:color="FFFFFF" w:fill="auto"/>
          </w:tcPr>
          <w:p w14:paraId="115E63B6" w14:textId="5F21C1DB" w:rsidR="00AB1E8D" w:rsidRPr="00873B6C" w:rsidRDefault="00AB1E8D" w:rsidP="002C4A81">
            <w:pPr>
              <w:pStyle w:val="TAL"/>
              <w:rPr>
                <w:sz w:val="16"/>
                <w:szCs w:val="16"/>
              </w:rPr>
            </w:pPr>
            <w:r w:rsidRPr="00873B6C">
              <w:rPr>
                <w:sz w:val="16"/>
                <w:szCs w:val="16"/>
              </w:rPr>
              <w:t>B</w:t>
            </w:r>
          </w:p>
        </w:tc>
        <w:tc>
          <w:tcPr>
            <w:tcW w:w="4820" w:type="dxa"/>
            <w:shd w:val="solid" w:color="FFFFFF" w:fill="auto"/>
          </w:tcPr>
          <w:p w14:paraId="6D240426" w14:textId="2D16DFED" w:rsidR="00AB1E8D" w:rsidRPr="00873B6C" w:rsidRDefault="00AB1E8D" w:rsidP="002C4A81">
            <w:pPr>
              <w:pStyle w:val="TAL"/>
              <w:rPr>
                <w:sz w:val="16"/>
                <w:szCs w:val="16"/>
              </w:rPr>
            </w:pPr>
            <w:r w:rsidRPr="00873B6C">
              <w:rPr>
                <w:sz w:val="16"/>
                <w:szCs w:val="16"/>
              </w:rPr>
              <w:t>Edge relocation with common DNAI</w:t>
            </w:r>
          </w:p>
        </w:tc>
        <w:tc>
          <w:tcPr>
            <w:tcW w:w="708" w:type="dxa"/>
            <w:shd w:val="solid" w:color="FFFFFF" w:fill="auto"/>
          </w:tcPr>
          <w:p w14:paraId="19C00724" w14:textId="61995A1E" w:rsidR="00AB1E8D" w:rsidRPr="00873B6C" w:rsidRDefault="00AB1E8D" w:rsidP="002C4A81">
            <w:pPr>
              <w:pStyle w:val="TAC"/>
              <w:rPr>
                <w:sz w:val="16"/>
                <w:szCs w:val="16"/>
              </w:rPr>
            </w:pPr>
            <w:r w:rsidRPr="00873B6C">
              <w:rPr>
                <w:sz w:val="16"/>
                <w:szCs w:val="16"/>
              </w:rPr>
              <w:t>18.1.0</w:t>
            </w:r>
          </w:p>
        </w:tc>
      </w:tr>
      <w:tr w:rsidR="00AB1E8D" w:rsidRPr="00873B6C" w14:paraId="5063994F" w14:textId="77777777" w:rsidTr="009D14FB">
        <w:tc>
          <w:tcPr>
            <w:tcW w:w="800" w:type="dxa"/>
            <w:shd w:val="solid" w:color="FFFFFF" w:fill="auto"/>
          </w:tcPr>
          <w:p w14:paraId="31036976" w14:textId="17FD52BA"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6AF1A2D7" w14:textId="6C5B7A0A"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5300FD2D" w14:textId="3002EFCA" w:rsidR="00AB1E8D" w:rsidRPr="00873B6C" w:rsidRDefault="00AB1E8D" w:rsidP="002C4A81">
            <w:pPr>
              <w:pStyle w:val="TAC"/>
              <w:rPr>
                <w:sz w:val="16"/>
                <w:szCs w:val="16"/>
              </w:rPr>
            </w:pPr>
            <w:r w:rsidRPr="00873B6C">
              <w:rPr>
                <w:sz w:val="16"/>
                <w:szCs w:val="16"/>
              </w:rPr>
              <w:t>SP-230247</w:t>
            </w:r>
          </w:p>
        </w:tc>
        <w:tc>
          <w:tcPr>
            <w:tcW w:w="567" w:type="dxa"/>
            <w:shd w:val="solid" w:color="FFFFFF" w:fill="auto"/>
          </w:tcPr>
          <w:p w14:paraId="67FD96EA" w14:textId="0C65D4FC" w:rsidR="00AB1E8D" w:rsidRPr="00873B6C" w:rsidRDefault="00AB1E8D" w:rsidP="002C4A81">
            <w:pPr>
              <w:pStyle w:val="TAL"/>
              <w:rPr>
                <w:sz w:val="16"/>
                <w:szCs w:val="16"/>
              </w:rPr>
            </w:pPr>
            <w:r w:rsidRPr="00873B6C">
              <w:rPr>
                <w:sz w:val="16"/>
                <w:szCs w:val="16"/>
              </w:rPr>
              <w:t>4046</w:t>
            </w:r>
          </w:p>
        </w:tc>
        <w:tc>
          <w:tcPr>
            <w:tcW w:w="425" w:type="dxa"/>
            <w:shd w:val="solid" w:color="FFFFFF" w:fill="auto"/>
          </w:tcPr>
          <w:p w14:paraId="06937A9C" w14:textId="39A88B0F" w:rsidR="00AB1E8D" w:rsidRPr="00873B6C" w:rsidRDefault="00AB1E8D" w:rsidP="002C4A81">
            <w:pPr>
              <w:pStyle w:val="TAL"/>
              <w:rPr>
                <w:sz w:val="16"/>
                <w:szCs w:val="16"/>
              </w:rPr>
            </w:pPr>
            <w:r w:rsidRPr="00873B6C">
              <w:rPr>
                <w:sz w:val="16"/>
                <w:szCs w:val="16"/>
              </w:rPr>
              <w:t>12</w:t>
            </w:r>
          </w:p>
        </w:tc>
        <w:tc>
          <w:tcPr>
            <w:tcW w:w="425" w:type="dxa"/>
            <w:shd w:val="solid" w:color="FFFFFF" w:fill="auto"/>
          </w:tcPr>
          <w:p w14:paraId="62D35FDA" w14:textId="11EB8B2E" w:rsidR="00AB1E8D" w:rsidRPr="00873B6C" w:rsidRDefault="00AB1E8D" w:rsidP="002C4A81">
            <w:pPr>
              <w:pStyle w:val="TAL"/>
              <w:rPr>
                <w:sz w:val="16"/>
                <w:szCs w:val="16"/>
              </w:rPr>
            </w:pPr>
            <w:r w:rsidRPr="00873B6C">
              <w:rPr>
                <w:sz w:val="16"/>
                <w:szCs w:val="16"/>
              </w:rPr>
              <w:t>B</w:t>
            </w:r>
          </w:p>
        </w:tc>
        <w:tc>
          <w:tcPr>
            <w:tcW w:w="4820" w:type="dxa"/>
            <w:shd w:val="solid" w:color="FFFFFF" w:fill="auto"/>
          </w:tcPr>
          <w:p w14:paraId="62111C57" w14:textId="14471731" w:rsidR="00AB1E8D" w:rsidRPr="00873B6C" w:rsidRDefault="00AB1E8D" w:rsidP="002C4A81">
            <w:pPr>
              <w:pStyle w:val="TAL"/>
              <w:rPr>
                <w:sz w:val="16"/>
                <w:szCs w:val="16"/>
              </w:rPr>
            </w:pPr>
            <w:r w:rsidRPr="00873B6C">
              <w:rPr>
                <w:sz w:val="16"/>
                <w:szCs w:val="16"/>
              </w:rPr>
              <w:t>Support of PDU Set based handling</w:t>
            </w:r>
          </w:p>
        </w:tc>
        <w:tc>
          <w:tcPr>
            <w:tcW w:w="708" w:type="dxa"/>
            <w:shd w:val="solid" w:color="FFFFFF" w:fill="auto"/>
          </w:tcPr>
          <w:p w14:paraId="45790FE5" w14:textId="06515E1D" w:rsidR="00AB1E8D" w:rsidRPr="00873B6C" w:rsidRDefault="00AB1E8D" w:rsidP="002C4A81">
            <w:pPr>
              <w:pStyle w:val="TAC"/>
              <w:rPr>
                <w:sz w:val="16"/>
                <w:szCs w:val="16"/>
              </w:rPr>
            </w:pPr>
            <w:r w:rsidRPr="00873B6C">
              <w:rPr>
                <w:sz w:val="16"/>
                <w:szCs w:val="16"/>
              </w:rPr>
              <w:t>18.1.0</w:t>
            </w:r>
          </w:p>
        </w:tc>
      </w:tr>
      <w:tr w:rsidR="00AB1E8D" w:rsidRPr="00873B6C" w14:paraId="0D9259EE" w14:textId="77777777" w:rsidTr="009D14FB">
        <w:tc>
          <w:tcPr>
            <w:tcW w:w="800" w:type="dxa"/>
            <w:shd w:val="solid" w:color="FFFFFF" w:fill="auto"/>
          </w:tcPr>
          <w:p w14:paraId="633FA13B" w14:textId="4290B0C4"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1B1945E1" w14:textId="43DA169C"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339A7C5D" w14:textId="5B937860" w:rsidR="00AB1E8D" w:rsidRPr="00873B6C" w:rsidRDefault="00AB1E8D" w:rsidP="002C4A81">
            <w:pPr>
              <w:pStyle w:val="TAC"/>
              <w:rPr>
                <w:sz w:val="16"/>
                <w:szCs w:val="16"/>
              </w:rPr>
            </w:pPr>
            <w:r w:rsidRPr="00873B6C">
              <w:rPr>
                <w:sz w:val="16"/>
                <w:szCs w:val="16"/>
              </w:rPr>
              <w:t>SP-230080</w:t>
            </w:r>
          </w:p>
        </w:tc>
        <w:tc>
          <w:tcPr>
            <w:tcW w:w="567" w:type="dxa"/>
            <w:shd w:val="solid" w:color="FFFFFF" w:fill="auto"/>
          </w:tcPr>
          <w:p w14:paraId="48A1DB65" w14:textId="20A23C7C" w:rsidR="00AB1E8D" w:rsidRPr="00873B6C" w:rsidRDefault="00AB1E8D" w:rsidP="002C4A81">
            <w:pPr>
              <w:pStyle w:val="TAL"/>
              <w:rPr>
                <w:sz w:val="16"/>
                <w:szCs w:val="16"/>
              </w:rPr>
            </w:pPr>
            <w:r w:rsidRPr="00873B6C">
              <w:rPr>
                <w:sz w:val="16"/>
                <w:szCs w:val="16"/>
              </w:rPr>
              <w:t>4049</w:t>
            </w:r>
          </w:p>
        </w:tc>
        <w:tc>
          <w:tcPr>
            <w:tcW w:w="425" w:type="dxa"/>
            <w:shd w:val="solid" w:color="FFFFFF" w:fill="auto"/>
          </w:tcPr>
          <w:p w14:paraId="046A82D8" w14:textId="77777777" w:rsidR="00AB1E8D" w:rsidRPr="00873B6C" w:rsidRDefault="00AB1E8D" w:rsidP="002C4A81">
            <w:pPr>
              <w:pStyle w:val="TAL"/>
              <w:rPr>
                <w:sz w:val="16"/>
                <w:szCs w:val="16"/>
              </w:rPr>
            </w:pPr>
          </w:p>
        </w:tc>
        <w:tc>
          <w:tcPr>
            <w:tcW w:w="425" w:type="dxa"/>
            <w:shd w:val="solid" w:color="FFFFFF" w:fill="auto"/>
          </w:tcPr>
          <w:p w14:paraId="052A4115" w14:textId="0AF72469" w:rsidR="00AB1E8D" w:rsidRPr="00873B6C" w:rsidRDefault="00AB1E8D" w:rsidP="002C4A81">
            <w:pPr>
              <w:pStyle w:val="TAL"/>
              <w:rPr>
                <w:sz w:val="16"/>
                <w:szCs w:val="16"/>
              </w:rPr>
            </w:pPr>
            <w:r w:rsidRPr="00873B6C">
              <w:rPr>
                <w:sz w:val="16"/>
                <w:szCs w:val="16"/>
              </w:rPr>
              <w:t>F</w:t>
            </w:r>
          </w:p>
        </w:tc>
        <w:tc>
          <w:tcPr>
            <w:tcW w:w="4820" w:type="dxa"/>
            <w:shd w:val="solid" w:color="FFFFFF" w:fill="auto"/>
          </w:tcPr>
          <w:p w14:paraId="410F8757" w14:textId="463C8EEF" w:rsidR="00AB1E8D" w:rsidRPr="00873B6C" w:rsidRDefault="00AB1E8D" w:rsidP="002C4A81">
            <w:pPr>
              <w:pStyle w:val="TAL"/>
              <w:rPr>
                <w:sz w:val="16"/>
                <w:szCs w:val="16"/>
              </w:rPr>
            </w:pPr>
            <w:r w:rsidRPr="00873B6C">
              <w:rPr>
                <w:sz w:val="16"/>
                <w:szCs w:val="16"/>
              </w:rPr>
              <w:t>Corrections of Nudm service operations list</w:t>
            </w:r>
          </w:p>
        </w:tc>
        <w:tc>
          <w:tcPr>
            <w:tcW w:w="708" w:type="dxa"/>
            <w:shd w:val="solid" w:color="FFFFFF" w:fill="auto"/>
          </w:tcPr>
          <w:p w14:paraId="0BC7DDBD" w14:textId="1C4448E8" w:rsidR="00AB1E8D" w:rsidRPr="00873B6C" w:rsidRDefault="00AB1E8D" w:rsidP="002C4A81">
            <w:pPr>
              <w:pStyle w:val="TAC"/>
              <w:rPr>
                <w:sz w:val="16"/>
                <w:szCs w:val="16"/>
              </w:rPr>
            </w:pPr>
            <w:r w:rsidRPr="00873B6C">
              <w:rPr>
                <w:sz w:val="16"/>
                <w:szCs w:val="16"/>
              </w:rPr>
              <w:t>18.1.0</w:t>
            </w:r>
          </w:p>
        </w:tc>
      </w:tr>
      <w:tr w:rsidR="00397D37" w:rsidRPr="00873B6C" w14:paraId="66B6DFC9" w14:textId="77777777" w:rsidTr="009D14FB">
        <w:tc>
          <w:tcPr>
            <w:tcW w:w="800" w:type="dxa"/>
            <w:shd w:val="solid" w:color="FFFFFF" w:fill="auto"/>
          </w:tcPr>
          <w:p w14:paraId="16B63D3E" w14:textId="10B420F4" w:rsidR="00397D37" w:rsidRPr="00873B6C" w:rsidRDefault="00397D37" w:rsidP="002C4A81">
            <w:pPr>
              <w:pStyle w:val="TAC"/>
              <w:rPr>
                <w:sz w:val="16"/>
                <w:szCs w:val="16"/>
              </w:rPr>
            </w:pPr>
            <w:r w:rsidRPr="00873B6C">
              <w:rPr>
                <w:sz w:val="16"/>
                <w:szCs w:val="16"/>
              </w:rPr>
              <w:t>2023-03</w:t>
            </w:r>
          </w:p>
        </w:tc>
        <w:tc>
          <w:tcPr>
            <w:tcW w:w="800" w:type="dxa"/>
            <w:shd w:val="solid" w:color="FFFFFF" w:fill="auto"/>
          </w:tcPr>
          <w:p w14:paraId="685822BA" w14:textId="6960D893" w:rsidR="00397D37" w:rsidRPr="00873B6C" w:rsidRDefault="00397D37" w:rsidP="002C4A81">
            <w:pPr>
              <w:pStyle w:val="TAL"/>
              <w:rPr>
                <w:sz w:val="16"/>
                <w:szCs w:val="16"/>
              </w:rPr>
            </w:pPr>
            <w:r w:rsidRPr="00873B6C">
              <w:rPr>
                <w:sz w:val="16"/>
                <w:szCs w:val="16"/>
              </w:rPr>
              <w:t>SP#99</w:t>
            </w:r>
          </w:p>
        </w:tc>
        <w:tc>
          <w:tcPr>
            <w:tcW w:w="1094" w:type="dxa"/>
            <w:shd w:val="solid" w:color="FFFFFF" w:fill="auto"/>
          </w:tcPr>
          <w:p w14:paraId="1839240C" w14:textId="1A79908F" w:rsidR="00397D37" w:rsidRPr="00873B6C" w:rsidRDefault="00397D37" w:rsidP="002C4A81">
            <w:pPr>
              <w:pStyle w:val="TAC"/>
              <w:rPr>
                <w:sz w:val="16"/>
                <w:szCs w:val="16"/>
              </w:rPr>
            </w:pPr>
            <w:r w:rsidRPr="00873B6C">
              <w:rPr>
                <w:sz w:val="16"/>
                <w:szCs w:val="16"/>
              </w:rPr>
              <w:t>SP-230058</w:t>
            </w:r>
          </w:p>
        </w:tc>
        <w:tc>
          <w:tcPr>
            <w:tcW w:w="567" w:type="dxa"/>
            <w:shd w:val="solid" w:color="FFFFFF" w:fill="auto"/>
          </w:tcPr>
          <w:p w14:paraId="6328981B" w14:textId="4361787D" w:rsidR="00397D37" w:rsidRPr="00873B6C" w:rsidRDefault="00397D37" w:rsidP="002C4A81">
            <w:pPr>
              <w:pStyle w:val="TAL"/>
              <w:rPr>
                <w:sz w:val="16"/>
                <w:szCs w:val="16"/>
              </w:rPr>
            </w:pPr>
            <w:r w:rsidRPr="00873B6C">
              <w:rPr>
                <w:sz w:val="16"/>
                <w:szCs w:val="16"/>
              </w:rPr>
              <w:t>4054</w:t>
            </w:r>
          </w:p>
        </w:tc>
        <w:tc>
          <w:tcPr>
            <w:tcW w:w="425" w:type="dxa"/>
            <w:shd w:val="solid" w:color="FFFFFF" w:fill="auto"/>
          </w:tcPr>
          <w:p w14:paraId="2760230B" w14:textId="0D581B45" w:rsidR="00397D37" w:rsidRPr="00873B6C" w:rsidRDefault="00397D37" w:rsidP="002C4A81">
            <w:pPr>
              <w:pStyle w:val="TAL"/>
              <w:rPr>
                <w:sz w:val="16"/>
                <w:szCs w:val="16"/>
              </w:rPr>
            </w:pPr>
            <w:r w:rsidRPr="00873B6C">
              <w:rPr>
                <w:sz w:val="16"/>
                <w:szCs w:val="16"/>
              </w:rPr>
              <w:t>-</w:t>
            </w:r>
          </w:p>
        </w:tc>
        <w:tc>
          <w:tcPr>
            <w:tcW w:w="425" w:type="dxa"/>
            <w:shd w:val="solid" w:color="FFFFFF" w:fill="auto"/>
          </w:tcPr>
          <w:p w14:paraId="2E2D31AB" w14:textId="081AE0F7" w:rsidR="00397D37" w:rsidRPr="00873B6C" w:rsidRDefault="00397D37" w:rsidP="002C4A81">
            <w:pPr>
              <w:pStyle w:val="TAL"/>
              <w:rPr>
                <w:sz w:val="16"/>
                <w:szCs w:val="16"/>
              </w:rPr>
            </w:pPr>
            <w:r w:rsidRPr="00873B6C">
              <w:rPr>
                <w:sz w:val="16"/>
                <w:szCs w:val="16"/>
              </w:rPr>
              <w:t>B</w:t>
            </w:r>
          </w:p>
        </w:tc>
        <w:tc>
          <w:tcPr>
            <w:tcW w:w="4820" w:type="dxa"/>
            <w:shd w:val="solid" w:color="FFFFFF" w:fill="auto"/>
          </w:tcPr>
          <w:p w14:paraId="16D72A57" w14:textId="0A350E5E" w:rsidR="00397D37" w:rsidRPr="00873B6C" w:rsidRDefault="00397D37" w:rsidP="002C4A81">
            <w:pPr>
              <w:pStyle w:val="TAL"/>
              <w:rPr>
                <w:sz w:val="16"/>
                <w:szCs w:val="16"/>
              </w:rPr>
            </w:pPr>
            <w:r w:rsidRPr="00873B6C">
              <w:rPr>
                <w:sz w:val="16"/>
                <w:szCs w:val="16"/>
              </w:rPr>
              <w:t>AF obtaining DNAI associated to EAS</w:t>
            </w:r>
          </w:p>
        </w:tc>
        <w:tc>
          <w:tcPr>
            <w:tcW w:w="708" w:type="dxa"/>
            <w:shd w:val="solid" w:color="FFFFFF" w:fill="auto"/>
          </w:tcPr>
          <w:p w14:paraId="57800E71" w14:textId="3074ED30" w:rsidR="00397D37" w:rsidRPr="00873B6C" w:rsidRDefault="00397D37" w:rsidP="002C4A81">
            <w:pPr>
              <w:pStyle w:val="TAC"/>
              <w:rPr>
                <w:sz w:val="16"/>
                <w:szCs w:val="16"/>
              </w:rPr>
            </w:pPr>
            <w:r w:rsidRPr="00873B6C">
              <w:rPr>
                <w:sz w:val="16"/>
                <w:szCs w:val="16"/>
              </w:rPr>
              <w:t>18.1.0</w:t>
            </w:r>
          </w:p>
        </w:tc>
      </w:tr>
      <w:tr w:rsidR="003D4653" w:rsidRPr="00873B6C" w14:paraId="570B0D7C" w14:textId="77777777" w:rsidTr="009D14FB">
        <w:tc>
          <w:tcPr>
            <w:tcW w:w="800" w:type="dxa"/>
            <w:shd w:val="solid" w:color="FFFFFF" w:fill="auto"/>
          </w:tcPr>
          <w:p w14:paraId="21D0198A" w14:textId="5E11354C" w:rsidR="003D4653" w:rsidRPr="00873B6C" w:rsidRDefault="003D4653" w:rsidP="002C4A81">
            <w:pPr>
              <w:pStyle w:val="TAC"/>
              <w:rPr>
                <w:sz w:val="16"/>
                <w:szCs w:val="16"/>
              </w:rPr>
            </w:pPr>
            <w:r w:rsidRPr="00873B6C">
              <w:rPr>
                <w:sz w:val="16"/>
                <w:szCs w:val="16"/>
              </w:rPr>
              <w:t>2023-03</w:t>
            </w:r>
          </w:p>
        </w:tc>
        <w:tc>
          <w:tcPr>
            <w:tcW w:w="800" w:type="dxa"/>
            <w:shd w:val="solid" w:color="FFFFFF" w:fill="auto"/>
          </w:tcPr>
          <w:p w14:paraId="47708CA3" w14:textId="553689FD" w:rsidR="003D4653" w:rsidRPr="00873B6C" w:rsidRDefault="003D4653" w:rsidP="002C4A81">
            <w:pPr>
              <w:pStyle w:val="TAL"/>
              <w:rPr>
                <w:sz w:val="16"/>
                <w:szCs w:val="16"/>
              </w:rPr>
            </w:pPr>
            <w:r w:rsidRPr="00873B6C">
              <w:rPr>
                <w:sz w:val="16"/>
                <w:szCs w:val="16"/>
              </w:rPr>
              <w:t>SP#99</w:t>
            </w:r>
          </w:p>
        </w:tc>
        <w:tc>
          <w:tcPr>
            <w:tcW w:w="1094" w:type="dxa"/>
            <w:shd w:val="solid" w:color="FFFFFF" w:fill="auto"/>
          </w:tcPr>
          <w:p w14:paraId="43D02A52" w14:textId="39F8CA12" w:rsidR="003D4653" w:rsidRPr="00873B6C" w:rsidRDefault="003D4653" w:rsidP="002C4A81">
            <w:pPr>
              <w:pStyle w:val="TAC"/>
              <w:rPr>
                <w:sz w:val="16"/>
                <w:szCs w:val="16"/>
              </w:rPr>
            </w:pPr>
            <w:r w:rsidRPr="00873B6C">
              <w:rPr>
                <w:sz w:val="16"/>
                <w:szCs w:val="16"/>
              </w:rPr>
              <w:t>SP-230080</w:t>
            </w:r>
          </w:p>
        </w:tc>
        <w:tc>
          <w:tcPr>
            <w:tcW w:w="567" w:type="dxa"/>
            <w:shd w:val="solid" w:color="FFFFFF" w:fill="auto"/>
          </w:tcPr>
          <w:p w14:paraId="23F47537" w14:textId="28587F89" w:rsidR="003D4653" w:rsidRPr="00873B6C" w:rsidRDefault="003D4653" w:rsidP="002C4A81">
            <w:pPr>
              <w:pStyle w:val="TAL"/>
              <w:rPr>
                <w:sz w:val="16"/>
                <w:szCs w:val="16"/>
              </w:rPr>
            </w:pPr>
            <w:r w:rsidRPr="00873B6C">
              <w:rPr>
                <w:sz w:val="16"/>
                <w:szCs w:val="16"/>
              </w:rPr>
              <w:t>4056</w:t>
            </w:r>
          </w:p>
        </w:tc>
        <w:tc>
          <w:tcPr>
            <w:tcW w:w="425" w:type="dxa"/>
            <w:shd w:val="solid" w:color="FFFFFF" w:fill="auto"/>
          </w:tcPr>
          <w:p w14:paraId="74418842" w14:textId="66216F54" w:rsidR="003D4653" w:rsidRPr="00873B6C" w:rsidRDefault="003D4653" w:rsidP="002C4A81">
            <w:pPr>
              <w:pStyle w:val="TAL"/>
              <w:rPr>
                <w:sz w:val="16"/>
                <w:szCs w:val="16"/>
              </w:rPr>
            </w:pPr>
            <w:r w:rsidRPr="00873B6C">
              <w:rPr>
                <w:sz w:val="16"/>
                <w:szCs w:val="16"/>
              </w:rPr>
              <w:t>1</w:t>
            </w:r>
          </w:p>
        </w:tc>
        <w:tc>
          <w:tcPr>
            <w:tcW w:w="425" w:type="dxa"/>
            <w:shd w:val="solid" w:color="FFFFFF" w:fill="auto"/>
          </w:tcPr>
          <w:p w14:paraId="11153E8C" w14:textId="2BB8CB13" w:rsidR="003D4653" w:rsidRPr="00873B6C" w:rsidRDefault="003D4653" w:rsidP="002C4A81">
            <w:pPr>
              <w:pStyle w:val="TAL"/>
              <w:rPr>
                <w:sz w:val="16"/>
                <w:szCs w:val="16"/>
              </w:rPr>
            </w:pPr>
            <w:r w:rsidRPr="00873B6C">
              <w:rPr>
                <w:sz w:val="16"/>
                <w:szCs w:val="16"/>
              </w:rPr>
              <w:t>F</w:t>
            </w:r>
          </w:p>
        </w:tc>
        <w:tc>
          <w:tcPr>
            <w:tcW w:w="4820" w:type="dxa"/>
            <w:shd w:val="solid" w:color="FFFFFF" w:fill="auto"/>
          </w:tcPr>
          <w:p w14:paraId="770D29FE" w14:textId="6B535E68" w:rsidR="003D4653" w:rsidRPr="00873B6C" w:rsidRDefault="003D4653" w:rsidP="002C4A81">
            <w:pPr>
              <w:pStyle w:val="TAL"/>
              <w:rPr>
                <w:sz w:val="16"/>
                <w:szCs w:val="16"/>
              </w:rPr>
            </w:pPr>
            <w:r w:rsidRPr="00873B6C">
              <w:rPr>
                <w:sz w:val="16"/>
                <w:szCs w:val="16"/>
              </w:rPr>
              <w:t>Generalization of QoS monitoring control description</w:t>
            </w:r>
          </w:p>
        </w:tc>
        <w:tc>
          <w:tcPr>
            <w:tcW w:w="708" w:type="dxa"/>
            <w:shd w:val="solid" w:color="FFFFFF" w:fill="auto"/>
          </w:tcPr>
          <w:p w14:paraId="4F10EAC3" w14:textId="7859B90F" w:rsidR="003D4653" w:rsidRPr="00873B6C" w:rsidRDefault="003D4653" w:rsidP="002C4A81">
            <w:pPr>
              <w:pStyle w:val="TAC"/>
              <w:rPr>
                <w:sz w:val="16"/>
                <w:szCs w:val="16"/>
              </w:rPr>
            </w:pPr>
            <w:r w:rsidRPr="00873B6C">
              <w:rPr>
                <w:sz w:val="16"/>
                <w:szCs w:val="16"/>
              </w:rPr>
              <w:t>18.1.0</w:t>
            </w:r>
          </w:p>
        </w:tc>
      </w:tr>
      <w:tr w:rsidR="003D4653" w:rsidRPr="00873B6C" w14:paraId="389EDE46" w14:textId="77777777" w:rsidTr="009D14FB">
        <w:tc>
          <w:tcPr>
            <w:tcW w:w="800" w:type="dxa"/>
            <w:shd w:val="solid" w:color="FFFFFF" w:fill="auto"/>
          </w:tcPr>
          <w:p w14:paraId="1D239CC0" w14:textId="41C1FA92" w:rsidR="003D4653" w:rsidRPr="00873B6C" w:rsidRDefault="003D4653" w:rsidP="002C4A81">
            <w:pPr>
              <w:pStyle w:val="TAC"/>
              <w:rPr>
                <w:sz w:val="16"/>
                <w:szCs w:val="16"/>
              </w:rPr>
            </w:pPr>
            <w:r w:rsidRPr="00873B6C">
              <w:rPr>
                <w:sz w:val="16"/>
                <w:szCs w:val="16"/>
              </w:rPr>
              <w:t>2023-03</w:t>
            </w:r>
          </w:p>
        </w:tc>
        <w:tc>
          <w:tcPr>
            <w:tcW w:w="800" w:type="dxa"/>
            <w:shd w:val="solid" w:color="FFFFFF" w:fill="auto"/>
          </w:tcPr>
          <w:p w14:paraId="7A4125BF" w14:textId="49B69665" w:rsidR="003D4653" w:rsidRPr="00873B6C" w:rsidRDefault="003D4653" w:rsidP="002C4A81">
            <w:pPr>
              <w:pStyle w:val="TAL"/>
              <w:rPr>
                <w:sz w:val="16"/>
                <w:szCs w:val="16"/>
              </w:rPr>
            </w:pPr>
            <w:r w:rsidRPr="00873B6C">
              <w:rPr>
                <w:sz w:val="16"/>
                <w:szCs w:val="16"/>
              </w:rPr>
              <w:t>SP#99</w:t>
            </w:r>
          </w:p>
        </w:tc>
        <w:tc>
          <w:tcPr>
            <w:tcW w:w="1094" w:type="dxa"/>
            <w:shd w:val="solid" w:color="FFFFFF" w:fill="auto"/>
          </w:tcPr>
          <w:p w14:paraId="305212D7" w14:textId="2A36EFBF" w:rsidR="003D4653" w:rsidRPr="00873B6C" w:rsidRDefault="003D4653" w:rsidP="002C4A81">
            <w:pPr>
              <w:pStyle w:val="TAC"/>
              <w:rPr>
                <w:sz w:val="16"/>
                <w:szCs w:val="16"/>
              </w:rPr>
            </w:pPr>
            <w:r w:rsidRPr="00873B6C">
              <w:rPr>
                <w:sz w:val="16"/>
                <w:szCs w:val="16"/>
              </w:rPr>
              <w:t>SP-230080</w:t>
            </w:r>
          </w:p>
        </w:tc>
        <w:tc>
          <w:tcPr>
            <w:tcW w:w="567" w:type="dxa"/>
            <w:shd w:val="solid" w:color="FFFFFF" w:fill="auto"/>
          </w:tcPr>
          <w:p w14:paraId="57A97EB9" w14:textId="7CB474FB" w:rsidR="003D4653" w:rsidRPr="00873B6C" w:rsidRDefault="003D4653" w:rsidP="002C4A81">
            <w:pPr>
              <w:pStyle w:val="TAL"/>
              <w:rPr>
                <w:sz w:val="16"/>
                <w:szCs w:val="16"/>
              </w:rPr>
            </w:pPr>
            <w:r w:rsidRPr="00873B6C">
              <w:rPr>
                <w:sz w:val="16"/>
                <w:szCs w:val="16"/>
              </w:rPr>
              <w:t>4057</w:t>
            </w:r>
          </w:p>
        </w:tc>
        <w:tc>
          <w:tcPr>
            <w:tcW w:w="425" w:type="dxa"/>
            <w:shd w:val="solid" w:color="FFFFFF" w:fill="auto"/>
          </w:tcPr>
          <w:p w14:paraId="1C6F5707" w14:textId="31F8CEA6" w:rsidR="003D4653" w:rsidRPr="00873B6C" w:rsidRDefault="003D4653" w:rsidP="002C4A81">
            <w:pPr>
              <w:pStyle w:val="TAL"/>
              <w:rPr>
                <w:sz w:val="16"/>
                <w:szCs w:val="16"/>
              </w:rPr>
            </w:pPr>
            <w:r w:rsidRPr="00873B6C">
              <w:rPr>
                <w:sz w:val="16"/>
                <w:szCs w:val="16"/>
              </w:rPr>
              <w:t>1</w:t>
            </w:r>
          </w:p>
        </w:tc>
        <w:tc>
          <w:tcPr>
            <w:tcW w:w="425" w:type="dxa"/>
            <w:shd w:val="solid" w:color="FFFFFF" w:fill="auto"/>
          </w:tcPr>
          <w:p w14:paraId="766A5685" w14:textId="311C8DBF" w:rsidR="003D4653" w:rsidRPr="00873B6C" w:rsidRDefault="003D4653" w:rsidP="002C4A81">
            <w:pPr>
              <w:pStyle w:val="TAL"/>
              <w:rPr>
                <w:sz w:val="16"/>
                <w:szCs w:val="16"/>
              </w:rPr>
            </w:pPr>
            <w:r w:rsidRPr="00873B6C">
              <w:rPr>
                <w:sz w:val="16"/>
                <w:szCs w:val="16"/>
              </w:rPr>
              <w:t>F</w:t>
            </w:r>
          </w:p>
        </w:tc>
        <w:tc>
          <w:tcPr>
            <w:tcW w:w="4820" w:type="dxa"/>
            <w:shd w:val="solid" w:color="FFFFFF" w:fill="auto"/>
          </w:tcPr>
          <w:p w14:paraId="6886283F" w14:textId="2F76B141" w:rsidR="003D4653" w:rsidRPr="00873B6C" w:rsidRDefault="003D4653" w:rsidP="002C4A81">
            <w:pPr>
              <w:pStyle w:val="TAL"/>
              <w:rPr>
                <w:sz w:val="16"/>
                <w:szCs w:val="16"/>
              </w:rPr>
            </w:pPr>
            <w:r w:rsidRPr="00873B6C">
              <w:rPr>
                <w:sz w:val="16"/>
                <w:szCs w:val="16"/>
              </w:rPr>
              <w:t>Clarifications for GTP-U Path Monitoring</w:t>
            </w:r>
          </w:p>
        </w:tc>
        <w:tc>
          <w:tcPr>
            <w:tcW w:w="708" w:type="dxa"/>
            <w:shd w:val="solid" w:color="FFFFFF" w:fill="auto"/>
          </w:tcPr>
          <w:p w14:paraId="7DC2E382" w14:textId="777ACE6C" w:rsidR="003D4653" w:rsidRPr="00873B6C" w:rsidRDefault="003D4653" w:rsidP="002C4A81">
            <w:pPr>
              <w:pStyle w:val="TAC"/>
              <w:rPr>
                <w:sz w:val="16"/>
                <w:szCs w:val="16"/>
              </w:rPr>
            </w:pPr>
            <w:r w:rsidRPr="00873B6C">
              <w:rPr>
                <w:sz w:val="16"/>
                <w:szCs w:val="16"/>
              </w:rPr>
              <w:t>18.1.0</w:t>
            </w:r>
          </w:p>
        </w:tc>
      </w:tr>
      <w:tr w:rsidR="003D4653" w:rsidRPr="00873B6C" w14:paraId="6FC70C9C" w14:textId="77777777" w:rsidTr="009D14FB">
        <w:tc>
          <w:tcPr>
            <w:tcW w:w="800" w:type="dxa"/>
            <w:shd w:val="solid" w:color="FFFFFF" w:fill="auto"/>
          </w:tcPr>
          <w:p w14:paraId="2BA986A2" w14:textId="423BA220" w:rsidR="003D4653" w:rsidRPr="00873B6C" w:rsidRDefault="003D4653" w:rsidP="002C4A81">
            <w:pPr>
              <w:pStyle w:val="TAC"/>
              <w:rPr>
                <w:sz w:val="16"/>
                <w:szCs w:val="16"/>
              </w:rPr>
            </w:pPr>
            <w:r w:rsidRPr="00873B6C">
              <w:rPr>
                <w:sz w:val="16"/>
                <w:szCs w:val="16"/>
              </w:rPr>
              <w:t>2023-03</w:t>
            </w:r>
          </w:p>
        </w:tc>
        <w:tc>
          <w:tcPr>
            <w:tcW w:w="800" w:type="dxa"/>
            <w:shd w:val="solid" w:color="FFFFFF" w:fill="auto"/>
          </w:tcPr>
          <w:p w14:paraId="219EBA89" w14:textId="04C77D5F" w:rsidR="003D4653" w:rsidRPr="00873B6C" w:rsidRDefault="003D4653" w:rsidP="002C4A81">
            <w:pPr>
              <w:pStyle w:val="TAL"/>
              <w:rPr>
                <w:sz w:val="16"/>
                <w:szCs w:val="16"/>
              </w:rPr>
            </w:pPr>
            <w:r w:rsidRPr="00873B6C">
              <w:rPr>
                <w:sz w:val="16"/>
                <w:szCs w:val="16"/>
              </w:rPr>
              <w:t>SP#99</w:t>
            </w:r>
          </w:p>
        </w:tc>
        <w:tc>
          <w:tcPr>
            <w:tcW w:w="1094" w:type="dxa"/>
            <w:shd w:val="solid" w:color="FFFFFF" w:fill="auto"/>
          </w:tcPr>
          <w:p w14:paraId="6166F0C2" w14:textId="50504EED" w:rsidR="003D4653" w:rsidRPr="00873B6C" w:rsidRDefault="003D4653" w:rsidP="002C4A81">
            <w:pPr>
              <w:pStyle w:val="TAC"/>
              <w:rPr>
                <w:sz w:val="16"/>
                <w:szCs w:val="16"/>
              </w:rPr>
            </w:pPr>
            <w:r w:rsidRPr="00873B6C">
              <w:rPr>
                <w:sz w:val="16"/>
                <w:szCs w:val="16"/>
              </w:rPr>
              <w:t>SP-230080</w:t>
            </w:r>
          </w:p>
        </w:tc>
        <w:tc>
          <w:tcPr>
            <w:tcW w:w="567" w:type="dxa"/>
            <w:shd w:val="solid" w:color="FFFFFF" w:fill="auto"/>
          </w:tcPr>
          <w:p w14:paraId="452F3E42" w14:textId="74214D85" w:rsidR="003D4653" w:rsidRPr="00873B6C" w:rsidRDefault="003D4653" w:rsidP="002C4A81">
            <w:pPr>
              <w:pStyle w:val="TAL"/>
              <w:rPr>
                <w:sz w:val="16"/>
                <w:szCs w:val="16"/>
              </w:rPr>
            </w:pPr>
            <w:r w:rsidRPr="00873B6C">
              <w:rPr>
                <w:sz w:val="16"/>
                <w:szCs w:val="16"/>
              </w:rPr>
              <w:t>4058</w:t>
            </w:r>
          </w:p>
        </w:tc>
        <w:tc>
          <w:tcPr>
            <w:tcW w:w="425" w:type="dxa"/>
            <w:shd w:val="solid" w:color="FFFFFF" w:fill="auto"/>
          </w:tcPr>
          <w:p w14:paraId="40744683" w14:textId="3CA7E75F" w:rsidR="003D4653" w:rsidRPr="00873B6C" w:rsidRDefault="003D4653" w:rsidP="002C4A81">
            <w:pPr>
              <w:pStyle w:val="TAL"/>
              <w:rPr>
                <w:sz w:val="16"/>
                <w:szCs w:val="16"/>
              </w:rPr>
            </w:pPr>
            <w:r w:rsidRPr="00873B6C">
              <w:rPr>
                <w:sz w:val="16"/>
                <w:szCs w:val="16"/>
              </w:rPr>
              <w:t>1</w:t>
            </w:r>
          </w:p>
        </w:tc>
        <w:tc>
          <w:tcPr>
            <w:tcW w:w="425" w:type="dxa"/>
            <w:shd w:val="solid" w:color="FFFFFF" w:fill="auto"/>
          </w:tcPr>
          <w:p w14:paraId="47C1F5F1" w14:textId="1063EB53" w:rsidR="003D4653" w:rsidRPr="00873B6C" w:rsidRDefault="003D4653" w:rsidP="002C4A81">
            <w:pPr>
              <w:pStyle w:val="TAL"/>
              <w:rPr>
                <w:sz w:val="16"/>
                <w:szCs w:val="16"/>
              </w:rPr>
            </w:pPr>
            <w:r w:rsidRPr="00873B6C">
              <w:rPr>
                <w:sz w:val="16"/>
                <w:szCs w:val="16"/>
              </w:rPr>
              <w:t>F</w:t>
            </w:r>
          </w:p>
        </w:tc>
        <w:tc>
          <w:tcPr>
            <w:tcW w:w="4820" w:type="dxa"/>
            <w:shd w:val="solid" w:color="FFFFFF" w:fill="auto"/>
          </w:tcPr>
          <w:p w14:paraId="7704FD08" w14:textId="64479163" w:rsidR="003D4653" w:rsidRPr="00873B6C" w:rsidRDefault="003D4653" w:rsidP="002C4A81">
            <w:pPr>
              <w:pStyle w:val="TAL"/>
              <w:rPr>
                <w:sz w:val="16"/>
                <w:szCs w:val="16"/>
              </w:rPr>
            </w:pPr>
            <w:r w:rsidRPr="00873B6C">
              <w:rPr>
                <w:sz w:val="16"/>
                <w:szCs w:val="16"/>
              </w:rPr>
              <w:t>Restructuring of user plane management clause</w:t>
            </w:r>
          </w:p>
        </w:tc>
        <w:tc>
          <w:tcPr>
            <w:tcW w:w="708" w:type="dxa"/>
            <w:shd w:val="solid" w:color="FFFFFF" w:fill="auto"/>
          </w:tcPr>
          <w:p w14:paraId="156C1DFC" w14:textId="28A172AF" w:rsidR="003D4653" w:rsidRPr="00873B6C" w:rsidRDefault="003D4653" w:rsidP="002C4A81">
            <w:pPr>
              <w:pStyle w:val="TAC"/>
              <w:rPr>
                <w:sz w:val="16"/>
                <w:szCs w:val="16"/>
              </w:rPr>
            </w:pPr>
            <w:r w:rsidRPr="00873B6C">
              <w:rPr>
                <w:sz w:val="16"/>
                <w:szCs w:val="16"/>
              </w:rPr>
              <w:t>18.1.0</w:t>
            </w:r>
          </w:p>
        </w:tc>
      </w:tr>
      <w:tr w:rsidR="00335A94" w:rsidRPr="00873B6C" w14:paraId="1EBAB785" w14:textId="77777777" w:rsidTr="009D14FB">
        <w:tc>
          <w:tcPr>
            <w:tcW w:w="800" w:type="dxa"/>
            <w:shd w:val="solid" w:color="FFFFFF" w:fill="auto"/>
          </w:tcPr>
          <w:p w14:paraId="1A8210B8" w14:textId="7C1F2C60" w:rsidR="00335A94" w:rsidRPr="00873B6C" w:rsidRDefault="00335A94" w:rsidP="002C4A81">
            <w:pPr>
              <w:pStyle w:val="TAC"/>
              <w:rPr>
                <w:sz w:val="16"/>
                <w:szCs w:val="16"/>
              </w:rPr>
            </w:pPr>
            <w:r w:rsidRPr="00873B6C">
              <w:rPr>
                <w:sz w:val="16"/>
                <w:szCs w:val="16"/>
              </w:rPr>
              <w:t>2023-03</w:t>
            </w:r>
          </w:p>
        </w:tc>
        <w:tc>
          <w:tcPr>
            <w:tcW w:w="800" w:type="dxa"/>
            <w:shd w:val="solid" w:color="FFFFFF" w:fill="auto"/>
          </w:tcPr>
          <w:p w14:paraId="0AC816EC" w14:textId="52F64E84" w:rsidR="00335A94" w:rsidRPr="00873B6C" w:rsidRDefault="00335A94" w:rsidP="002C4A81">
            <w:pPr>
              <w:pStyle w:val="TAL"/>
              <w:rPr>
                <w:sz w:val="16"/>
                <w:szCs w:val="16"/>
              </w:rPr>
            </w:pPr>
            <w:r w:rsidRPr="00873B6C">
              <w:rPr>
                <w:sz w:val="16"/>
                <w:szCs w:val="16"/>
              </w:rPr>
              <w:t>SP#99</w:t>
            </w:r>
          </w:p>
        </w:tc>
        <w:tc>
          <w:tcPr>
            <w:tcW w:w="1094" w:type="dxa"/>
            <w:shd w:val="solid" w:color="FFFFFF" w:fill="auto"/>
          </w:tcPr>
          <w:p w14:paraId="3924186D" w14:textId="2033463E" w:rsidR="00335A94" w:rsidRPr="00873B6C" w:rsidRDefault="00335A94" w:rsidP="002C4A81">
            <w:pPr>
              <w:pStyle w:val="TAC"/>
              <w:rPr>
                <w:sz w:val="16"/>
                <w:szCs w:val="16"/>
              </w:rPr>
            </w:pPr>
            <w:r w:rsidRPr="00873B6C">
              <w:rPr>
                <w:sz w:val="16"/>
                <w:szCs w:val="16"/>
              </w:rPr>
              <w:t>SP-230075</w:t>
            </w:r>
          </w:p>
        </w:tc>
        <w:tc>
          <w:tcPr>
            <w:tcW w:w="567" w:type="dxa"/>
            <w:shd w:val="solid" w:color="FFFFFF" w:fill="auto"/>
          </w:tcPr>
          <w:p w14:paraId="38C9EC62" w14:textId="4E2F10AB" w:rsidR="00335A94" w:rsidRPr="00873B6C" w:rsidRDefault="00335A94" w:rsidP="002C4A81">
            <w:pPr>
              <w:pStyle w:val="TAL"/>
              <w:rPr>
                <w:sz w:val="16"/>
                <w:szCs w:val="16"/>
              </w:rPr>
            </w:pPr>
            <w:r w:rsidRPr="00873B6C">
              <w:rPr>
                <w:sz w:val="16"/>
                <w:szCs w:val="16"/>
              </w:rPr>
              <w:t>4069</w:t>
            </w:r>
          </w:p>
        </w:tc>
        <w:tc>
          <w:tcPr>
            <w:tcW w:w="425" w:type="dxa"/>
            <w:shd w:val="solid" w:color="FFFFFF" w:fill="auto"/>
          </w:tcPr>
          <w:p w14:paraId="357E3CD3" w14:textId="7E9F4D7A" w:rsidR="00335A94" w:rsidRPr="00873B6C" w:rsidRDefault="00335A94" w:rsidP="002C4A81">
            <w:pPr>
              <w:pStyle w:val="TAL"/>
              <w:rPr>
                <w:sz w:val="16"/>
                <w:szCs w:val="16"/>
              </w:rPr>
            </w:pPr>
            <w:r w:rsidRPr="00873B6C">
              <w:rPr>
                <w:sz w:val="16"/>
                <w:szCs w:val="16"/>
              </w:rPr>
              <w:t>1</w:t>
            </w:r>
          </w:p>
        </w:tc>
        <w:tc>
          <w:tcPr>
            <w:tcW w:w="425" w:type="dxa"/>
            <w:shd w:val="solid" w:color="FFFFFF" w:fill="auto"/>
          </w:tcPr>
          <w:p w14:paraId="46F04098" w14:textId="406C4DF6" w:rsidR="00335A94" w:rsidRPr="00873B6C" w:rsidRDefault="00335A94" w:rsidP="002C4A81">
            <w:pPr>
              <w:pStyle w:val="TAL"/>
              <w:rPr>
                <w:sz w:val="16"/>
                <w:szCs w:val="16"/>
              </w:rPr>
            </w:pPr>
            <w:r w:rsidRPr="00873B6C">
              <w:rPr>
                <w:sz w:val="16"/>
                <w:szCs w:val="16"/>
              </w:rPr>
              <w:t xml:space="preserve">B </w:t>
            </w:r>
          </w:p>
        </w:tc>
        <w:tc>
          <w:tcPr>
            <w:tcW w:w="4820" w:type="dxa"/>
            <w:shd w:val="solid" w:color="FFFFFF" w:fill="auto"/>
          </w:tcPr>
          <w:p w14:paraId="09EAEE2D" w14:textId="15F7ADF6" w:rsidR="00335A94" w:rsidRPr="00873B6C" w:rsidRDefault="00335A94" w:rsidP="002C4A81">
            <w:pPr>
              <w:pStyle w:val="TAL"/>
              <w:rPr>
                <w:sz w:val="16"/>
                <w:szCs w:val="16"/>
              </w:rPr>
            </w:pPr>
            <w:r w:rsidRPr="00873B6C">
              <w:rPr>
                <w:sz w:val="16"/>
                <w:szCs w:val="16"/>
              </w:rPr>
              <w:t>Support for Service Function Chaining in 5GS</w:t>
            </w:r>
          </w:p>
        </w:tc>
        <w:tc>
          <w:tcPr>
            <w:tcW w:w="708" w:type="dxa"/>
            <w:shd w:val="solid" w:color="FFFFFF" w:fill="auto"/>
          </w:tcPr>
          <w:p w14:paraId="14BFD77E" w14:textId="59D976CE" w:rsidR="00335A94" w:rsidRPr="00873B6C" w:rsidRDefault="00335A94" w:rsidP="002C4A81">
            <w:pPr>
              <w:pStyle w:val="TAC"/>
              <w:rPr>
                <w:sz w:val="16"/>
                <w:szCs w:val="16"/>
              </w:rPr>
            </w:pPr>
            <w:r w:rsidRPr="00873B6C">
              <w:rPr>
                <w:sz w:val="16"/>
                <w:szCs w:val="16"/>
              </w:rPr>
              <w:t>18.1.0</w:t>
            </w:r>
          </w:p>
        </w:tc>
      </w:tr>
      <w:tr w:rsidR="00335A94" w:rsidRPr="00873B6C" w14:paraId="23A2BA1B" w14:textId="77777777" w:rsidTr="009D14FB">
        <w:tc>
          <w:tcPr>
            <w:tcW w:w="800" w:type="dxa"/>
            <w:shd w:val="solid" w:color="FFFFFF" w:fill="auto"/>
          </w:tcPr>
          <w:p w14:paraId="69722BC6" w14:textId="34CA7181" w:rsidR="00335A94" w:rsidRPr="00873B6C" w:rsidRDefault="00335A94" w:rsidP="002C4A81">
            <w:pPr>
              <w:pStyle w:val="TAC"/>
              <w:rPr>
                <w:sz w:val="16"/>
                <w:szCs w:val="16"/>
              </w:rPr>
            </w:pPr>
            <w:r w:rsidRPr="00873B6C">
              <w:rPr>
                <w:sz w:val="16"/>
                <w:szCs w:val="16"/>
              </w:rPr>
              <w:t>2023-03</w:t>
            </w:r>
          </w:p>
        </w:tc>
        <w:tc>
          <w:tcPr>
            <w:tcW w:w="800" w:type="dxa"/>
            <w:shd w:val="solid" w:color="FFFFFF" w:fill="auto"/>
          </w:tcPr>
          <w:p w14:paraId="5C064B95" w14:textId="55713795" w:rsidR="00335A94" w:rsidRPr="00873B6C" w:rsidRDefault="00335A94" w:rsidP="002C4A81">
            <w:pPr>
              <w:pStyle w:val="TAL"/>
              <w:rPr>
                <w:sz w:val="16"/>
                <w:szCs w:val="16"/>
              </w:rPr>
            </w:pPr>
            <w:r w:rsidRPr="00873B6C">
              <w:rPr>
                <w:sz w:val="16"/>
                <w:szCs w:val="16"/>
              </w:rPr>
              <w:t>SP#99</w:t>
            </w:r>
          </w:p>
        </w:tc>
        <w:tc>
          <w:tcPr>
            <w:tcW w:w="1094" w:type="dxa"/>
            <w:shd w:val="solid" w:color="FFFFFF" w:fill="auto"/>
          </w:tcPr>
          <w:p w14:paraId="788E683F" w14:textId="5A6AE4CC" w:rsidR="00335A94" w:rsidRPr="00873B6C" w:rsidRDefault="00335A94" w:rsidP="002C4A81">
            <w:pPr>
              <w:pStyle w:val="TAC"/>
              <w:rPr>
                <w:sz w:val="16"/>
                <w:szCs w:val="16"/>
              </w:rPr>
            </w:pPr>
            <w:r w:rsidRPr="00873B6C">
              <w:rPr>
                <w:sz w:val="16"/>
                <w:szCs w:val="16"/>
              </w:rPr>
              <w:t>SP-230062</w:t>
            </w:r>
          </w:p>
        </w:tc>
        <w:tc>
          <w:tcPr>
            <w:tcW w:w="567" w:type="dxa"/>
            <w:shd w:val="solid" w:color="FFFFFF" w:fill="auto"/>
          </w:tcPr>
          <w:p w14:paraId="0A421FEB" w14:textId="736E212C" w:rsidR="00335A94" w:rsidRPr="00873B6C" w:rsidRDefault="00335A94" w:rsidP="002C4A81">
            <w:pPr>
              <w:pStyle w:val="TAL"/>
              <w:rPr>
                <w:sz w:val="16"/>
                <w:szCs w:val="16"/>
              </w:rPr>
            </w:pPr>
            <w:r w:rsidRPr="00873B6C">
              <w:rPr>
                <w:sz w:val="16"/>
                <w:szCs w:val="16"/>
              </w:rPr>
              <w:t>4070</w:t>
            </w:r>
          </w:p>
        </w:tc>
        <w:tc>
          <w:tcPr>
            <w:tcW w:w="425" w:type="dxa"/>
            <w:shd w:val="solid" w:color="FFFFFF" w:fill="auto"/>
          </w:tcPr>
          <w:p w14:paraId="25CF248F" w14:textId="62FB9137" w:rsidR="00335A94" w:rsidRPr="00873B6C" w:rsidRDefault="00335A94" w:rsidP="002C4A81">
            <w:pPr>
              <w:pStyle w:val="TAL"/>
              <w:rPr>
                <w:sz w:val="16"/>
                <w:szCs w:val="16"/>
              </w:rPr>
            </w:pPr>
            <w:r w:rsidRPr="00873B6C">
              <w:rPr>
                <w:sz w:val="16"/>
                <w:szCs w:val="16"/>
              </w:rPr>
              <w:t>-</w:t>
            </w:r>
          </w:p>
        </w:tc>
        <w:tc>
          <w:tcPr>
            <w:tcW w:w="425" w:type="dxa"/>
            <w:shd w:val="solid" w:color="FFFFFF" w:fill="auto"/>
          </w:tcPr>
          <w:p w14:paraId="16BA3F8B" w14:textId="67FECB1D" w:rsidR="00335A94" w:rsidRPr="00873B6C" w:rsidRDefault="00335A94" w:rsidP="002C4A81">
            <w:pPr>
              <w:pStyle w:val="TAL"/>
              <w:rPr>
                <w:sz w:val="16"/>
                <w:szCs w:val="16"/>
              </w:rPr>
            </w:pPr>
            <w:r w:rsidRPr="00873B6C">
              <w:rPr>
                <w:sz w:val="16"/>
                <w:szCs w:val="16"/>
              </w:rPr>
              <w:t>B</w:t>
            </w:r>
          </w:p>
        </w:tc>
        <w:tc>
          <w:tcPr>
            <w:tcW w:w="4820" w:type="dxa"/>
            <w:shd w:val="solid" w:color="FFFFFF" w:fill="auto"/>
          </w:tcPr>
          <w:p w14:paraId="022476D1" w14:textId="34C2F319" w:rsidR="00335A94" w:rsidRPr="00873B6C" w:rsidRDefault="00335A94" w:rsidP="002C4A81">
            <w:pPr>
              <w:pStyle w:val="TAL"/>
              <w:rPr>
                <w:sz w:val="16"/>
                <w:szCs w:val="16"/>
              </w:rPr>
            </w:pPr>
            <w:r w:rsidRPr="00873B6C">
              <w:rPr>
                <w:sz w:val="16"/>
                <w:szCs w:val="16"/>
              </w:rPr>
              <w:t>Discovery and selection of NWDAF with FL support - Resolve EN</w:t>
            </w:r>
          </w:p>
        </w:tc>
        <w:tc>
          <w:tcPr>
            <w:tcW w:w="708" w:type="dxa"/>
            <w:shd w:val="solid" w:color="FFFFFF" w:fill="auto"/>
          </w:tcPr>
          <w:p w14:paraId="4BEECFB2" w14:textId="35F4DE93" w:rsidR="00335A94" w:rsidRPr="00873B6C" w:rsidRDefault="00335A94" w:rsidP="002C4A81">
            <w:pPr>
              <w:pStyle w:val="TAC"/>
              <w:rPr>
                <w:sz w:val="16"/>
                <w:szCs w:val="16"/>
              </w:rPr>
            </w:pPr>
            <w:r w:rsidRPr="00873B6C">
              <w:rPr>
                <w:sz w:val="16"/>
                <w:szCs w:val="16"/>
              </w:rPr>
              <w:t>18.1.0</w:t>
            </w:r>
          </w:p>
        </w:tc>
      </w:tr>
      <w:tr w:rsidR="00335A94" w:rsidRPr="00873B6C" w14:paraId="036DD601" w14:textId="77777777" w:rsidTr="009D14FB">
        <w:tc>
          <w:tcPr>
            <w:tcW w:w="800" w:type="dxa"/>
            <w:shd w:val="solid" w:color="FFFFFF" w:fill="auto"/>
          </w:tcPr>
          <w:p w14:paraId="523B2356" w14:textId="27B7930C" w:rsidR="00335A94" w:rsidRPr="00873B6C" w:rsidRDefault="00335A94" w:rsidP="002C4A81">
            <w:pPr>
              <w:pStyle w:val="TAC"/>
              <w:rPr>
                <w:sz w:val="16"/>
                <w:szCs w:val="16"/>
              </w:rPr>
            </w:pPr>
            <w:r w:rsidRPr="00873B6C">
              <w:rPr>
                <w:sz w:val="16"/>
                <w:szCs w:val="16"/>
              </w:rPr>
              <w:t>2023-03</w:t>
            </w:r>
          </w:p>
        </w:tc>
        <w:tc>
          <w:tcPr>
            <w:tcW w:w="800" w:type="dxa"/>
            <w:shd w:val="solid" w:color="FFFFFF" w:fill="auto"/>
          </w:tcPr>
          <w:p w14:paraId="41C7750E" w14:textId="4890ED0E" w:rsidR="00335A94" w:rsidRPr="00873B6C" w:rsidRDefault="00335A94" w:rsidP="002C4A81">
            <w:pPr>
              <w:pStyle w:val="TAL"/>
              <w:rPr>
                <w:sz w:val="16"/>
                <w:szCs w:val="16"/>
              </w:rPr>
            </w:pPr>
            <w:r w:rsidRPr="00873B6C">
              <w:rPr>
                <w:sz w:val="16"/>
                <w:szCs w:val="16"/>
              </w:rPr>
              <w:t>SP#99</w:t>
            </w:r>
          </w:p>
        </w:tc>
        <w:tc>
          <w:tcPr>
            <w:tcW w:w="1094" w:type="dxa"/>
            <w:shd w:val="solid" w:color="FFFFFF" w:fill="auto"/>
          </w:tcPr>
          <w:p w14:paraId="1BE2799F" w14:textId="30D6CC4F" w:rsidR="00335A94" w:rsidRPr="00873B6C" w:rsidRDefault="00335A94" w:rsidP="002C4A81">
            <w:pPr>
              <w:pStyle w:val="TAC"/>
              <w:rPr>
                <w:sz w:val="16"/>
                <w:szCs w:val="16"/>
              </w:rPr>
            </w:pPr>
            <w:r w:rsidRPr="00873B6C">
              <w:rPr>
                <w:sz w:val="16"/>
                <w:szCs w:val="16"/>
              </w:rPr>
              <w:t>SP-230044</w:t>
            </w:r>
          </w:p>
        </w:tc>
        <w:tc>
          <w:tcPr>
            <w:tcW w:w="567" w:type="dxa"/>
            <w:shd w:val="solid" w:color="FFFFFF" w:fill="auto"/>
          </w:tcPr>
          <w:p w14:paraId="5A6092F0" w14:textId="7AE306AD" w:rsidR="00335A94" w:rsidRPr="00873B6C" w:rsidRDefault="00335A94" w:rsidP="002C4A81">
            <w:pPr>
              <w:pStyle w:val="TAL"/>
              <w:rPr>
                <w:sz w:val="16"/>
                <w:szCs w:val="16"/>
              </w:rPr>
            </w:pPr>
            <w:r w:rsidRPr="00873B6C">
              <w:rPr>
                <w:sz w:val="16"/>
                <w:szCs w:val="16"/>
              </w:rPr>
              <w:t>4076</w:t>
            </w:r>
          </w:p>
        </w:tc>
        <w:tc>
          <w:tcPr>
            <w:tcW w:w="425" w:type="dxa"/>
            <w:shd w:val="solid" w:color="FFFFFF" w:fill="auto"/>
          </w:tcPr>
          <w:p w14:paraId="45F1FAA5" w14:textId="72841DD2" w:rsidR="00335A94" w:rsidRPr="00873B6C" w:rsidRDefault="00335A94" w:rsidP="002C4A81">
            <w:pPr>
              <w:pStyle w:val="TAL"/>
              <w:rPr>
                <w:sz w:val="16"/>
                <w:szCs w:val="16"/>
              </w:rPr>
            </w:pPr>
            <w:r w:rsidRPr="00873B6C">
              <w:rPr>
                <w:sz w:val="16"/>
                <w:szCs w:val="16"/>
              </w:rPr>
              <w:t>1</w:t>
            </w:r>
          </w:p>
        </w:tc>
        <w:tc>
          <w:tcPr>
            <w:tcW w:w="425" w:type="dxa"/>
            <w:shd w:val="solid" w:color="FFFFFF" w:fill="auto"/>
          </w:tcPr>
          <w:p w14:paraId="6F2976A3" w14:textId="5178EE9C" w:rsidR="00335A94" w:rsidRPr="00873B6C" w:rsidRDefault="00335A94" w:rsidP="002C4A81">
            <w:pPr>
              <w:pStyle w:val="TAL"/>
              <w:rPr>
                <w:sz w:val="16"/>
                <w:szCs w:val="16"/>
              </w:rPr>
            </w:pPr>
            <w:r w:rsidRPr="00873B6C">
              <w:rPr>
                <w:sz w:val="16"/>
                <w:szCs w:val="16"/>
              </w:rPr>
              <w:t>A</w:t>
            </w:r>
          </w:p>
        </w:tc>
        <w:tc>
          <w:tcPr>
            <w:tcW w:w="4820" w:type="dxa"/>
            <w:shd w:val="solid" w:color="FFFFFF" w:fill="auto"/>
          </w:tcPr>
          <w:p w14:paraId="24B93E3B" w14:textId="2766B11D" w:rsidR="00335A94" w:rsidRPr="00873B6C" w:rsidRDefault="00335A94" w:rsidP="002C4A81">
            <w:pPr>
              <w:pStyle w:val="TAL"/>
              <w:rPr>
                <w:sz w:val="16"/>
                <w:szCs w:val="16"/>
              </w:rPr>
            </w:pPr>
            <w:r w:rsidRPr="00873B6C">
              <w:rPr>
                <w:sz w:val="16"/>
                <w:szCs w:val="16"/>
              </w:rPr>
              <w:t>Mapped NSSAI when UE is roaming</w:t>
            </w:r>
          </w:p>
        </w:tc>
        <w:tc>
          <w:tcPr>
            <w:tcW w:w="708" w:type="dxa"/>
            <w:shd w:val="solid" w:color="FFFFFF" w:fill="auto"/>
          </w:tcPr>
          <w:p w14:paraId="71953060" w14:textId="29A5623B" w:rsidR="00335A94" w:rsidRPr="00873B6C" w:rsidRDefault="00335A94" w:rsidP="002C4A81">
            <w:pPr>
              <w:pStyle w:val="TAC"/>
              <w:rPr>
                <w:sz w:val="16"/>
                <w:szCs w:val="16"/>
              </w:rPr>
            </w:pPr>
            <w:r w:rsidRPr="00873B6C">
              <w:rPr>
                <w:sz w:val="16"/>
                <w:szCs w:val="16"/>
              </w:rPr>
              <w:t>18.1.0</w:t>
            </w:r>
          </w:p>
        </w:tc>
      </w:tr>
      <w:tr w:rsidR="00335A94" w:rsidRPr="00873B6C" w14:paraId="3DCA7C07" w14:textId="77777777" w:rsidTr="009D14FB">
        <w:tc>
          <w:tcPr>
            <w:tcW w:w="800" w:type="dxa"/>
            <w:shd w:val="solid" w:color="FFFFFF" w:fill="auto"/>
          </w:tcPr>
          <w:p w14:paraId="1111E1CA" w14:textId="1C04EF3D" w:rsidR="00335A94" w:rsidRPr="00873B6C" w:rsidRDefault="00335A94" w:rsidP="002C4A81">
            <w:pPr>
              <w:pStyle w:val="TAC"/>
              <w:rPr>
                <w:sz w:val="16"/>
                <w:szCs w:val="16"/>
              </w:rPr>
            </w:pPr>
            <w:r w:rsidRPr="00873B6C">
              <w:rPr>
                <w:sz w:val="16"/>
                <w:szCs w:val="16"/>
              </w:rPr>
              <w:t>2023-03</w:t>
            </w:r>
          </w:p>
        </w:tc>
        <w:tc>
          <w:tcPr>
            <w:tcW w:w="800" w:type="dxa"/>
            <w:shd w:val="solid" w:color="FFFFFF" w:fill="auto"/>
          </w:tcPr>
          <w:p w14:paraId="760FBFAC" w14:textId="045AB0B6" w:rsidR="00335A94" w:rsidRPr="00873B6C" w:rsidRDefault="00335A94" w:rsidP="002C4A81">
            <w:pPr>
              <w:pStyle w:val="TAL"/>
              <w:rPr>
                <w:sz w:val="16"/>
                <w:szCs w:val="16"/>
              </w:rPr>
            </w:pPr>
            <w:r w:rsidRPr="00873B6C">
              <w:rPr>
                <w:sz w:val="16"/>
                <w:szCs w:val="16"/>
              </w:rPr>
              <w:t>SP#99</w:t>
            </w:r>
          </w:p>
        </w:tc>
        <w:tc>
          <w:tcPr>
            <w:tcW w:w="1094" w:type="dxa"/>
            <w:shd w:val="solid" w:color="FFFFFF" w:fill="auto"/>
          </w:tcPr>
          <w:p w14:paraId="553919A7" w14:textId="75FA6783" w:rsidR="00335A94" w:rsidRPr="00873B6C" w:rsidRDefault="00335A94" w:rsidP="002C4A81">
            <w:pPr>
              <w:pStyle w:val="TAC"/>
              <w:rPr>
                <w:sz w:val="16"/>
                <w:szCs w:val="16"/>
              </w:rPr>
            </w:pPr>
            <w:r w:rsidRPr="00873B6C">
              <w:rPr>
                <w:sz w:val="16"/>
                <w:szCs w:val="16"/>
              </w:rPr>
              <w:t>SP-230064</w:t>
            </w:r>
          </w:p>
        </w:tc>
        <w:tc>
          <w:tcPr>
            <w:tcW w:w="567" w:type="dxa"/>
            <w:shd w:val="solid" w:color="FFFFFF" w:fill="auto"/>
          </w:tcPr>
          <w:p w14:paraId="0A99F25D" w14:textId="2639D66A" w:rsidR="00335A94" w:rsidRPr="00873B6C" w:rsidRDefault="00335A94" w:rsidP="002C4A81">
            <w:pPr>
              <w:pStyle w:val="TAL"/>
              <w:rPr>
                <w:sz w:val="16"/>
                <w:szCs w:val="16"/>
              </w:rPr>
            </w:pPr>
            <w:r w:rsidRPr="00873B6C">
              <w:rPr>
                <w:sz w:val="16"/>
                <w:szCs w:val="16"/>
              </w:rPr>
              <w:t>4077</w:t>
            </w:r>
          </w:p>
        </w:tc>
        <w:tc>
          <w:tcPr>
            <w:tcW w:w="425" w:type="dxa"/>
            <w:shd w:val="solid" w:color="FFFFFF" w:fill="auto"/>
          </w:tcPr>
          <w:p w14:paraId="4EF39354" w14:textId="13E35F00" w:rsidR="00335A94" w:rsidRPr="00873B6C" w:rsidRDefault="00335A94" w:rsidP="002C4A81">
            <w:pPr>
              <w:pStyle w:val="TAL"/>
              <w:rPr>
                <w:sz w:val="16"/>
                <w:szCs w:val="16"/>
              </w:rPr>
            </w:pPr>
            <w:r w:rsidRPr="00873B6C">
              <w:rPr>
                <w:sz w:val="16"/>
                <w:szCs w:val="16"/>
              </w:rPr>
              <w:t>6</w:t>
            </w:r>
          </w:p>
        </w:tc>
        <w:tc>
          <w:tcPr>
            <w:tcW w:w="425" w:type="dxa"/>
            <w:shd w:val="solid" w:color="FFFFFF" w:fill="auto"/>
          </w:tcPr>
          <w:p w14:paraId="7167EA89" w14:textId="14C04936" w:rsidR="00335A94" w:rsidRPr="00873B6C" w:rsidRDefault="00335A94" w:rsidP="002C4A81">
            <w:pPr>
              <w:pStyle w:val="TAL"/>
              <w:rPr>
                <w:sz w:val="16"/>
                <w:szCs w:val="16"/>
              </w:rPr>
            </w:pPr>
            <w:r w:rsidRPr="00873B6C">
              <w:rPr>
                <w:sz w:val="16"/>
                <w:szCs w:val="16"/>
              </w:rPr>
              <w:t>B</w:t>
            </w:r>
          </w:p>
        </w:tc>
        <w:tc>
          <w:tcPr>
            <w:tcW w:w="4820" w:type="dxa"/>
            <w:shd w:val="solid" w:color="FFFFFF" w:fill="auto"/>
          </w:tcPr>
          <w:p w14:paraId="3A9D6EA0" w14:textId="2FC557A9" w:rsidR="00335A94" w:rsidRPr="00873B6C" w:rsidRDefault="00335A94" w:rsidP="002C4A81">
            <w:pPr>
              <w:pStyle w:val="TAL"/>
              <w:rPr>
                <w:sz w:val="16"/>
                <w:szCs w:val="16"/>
              </w:rPr>
            </w:pPr>
            <w:r w:rsidRPr="00873B6C">
              <w:rPr>
                <w:sz w:val="16"/>
                <w:szCs w:val="16"/>
              </w:rPr>
              <w:t xml:space="preserve">Support of reduced network slice availability </w:t>
            </w:r>
          </w:p>
        </w:tc>
        <w:tc>
          <w:tcPr>
            <w:tcW w:w="708" w:type="dxa"/>
            <w:shd w:val="solid" w:color="FFFFFF" w:fill="auto"/>
          </w:tcPr>
          <w:p w14:paraId="44A9B67C" w14:textId="40C0CD54" w:rsidR="00335A94" w:rsidRPr="00873B6C" w:rsidRDefault="00335A94" w:rsidP="002C4A81">
            <w:pPr>
              <w:pStyle w:val="TAC"/>
              <w:rPr>
                <w:sz w:val="16"/>
                <w:szCs w:val="16"/>
              </w:rPr>
            </w:pPr>
            <w:r w:rsidRPr="00873B6C">
              <w:rPr>
                <w:sz w:val="16"/>
                <w:szCs w:val="16"/>
              </w:rPr>
              <w:t>18.1.0</w:t>
            </w:r>
          </w:p>
        </w:tc>
      </w:tr>
      <w:tr w:rsidR="003E03C2" w:rsidRPr="00873B6C" w14:paraId="1E8AC0B6" w14:textId="77777777" w:rsidTr="009D14FB">
        <w:tc>
          <w:tcPr>
            <w:tcW w:w="800" w:type="dxa"/>
            <w:shd w:val="solid" w:color="FFFFFF" w:fill="auto"/>
          </w:tcPr>
          <w:p w14:paraId="2D03D71B" w14:textId="4C0FC535" w:rsidR="003E03C2" w:rsidRPr="00873B6C" w:rsidRDefault="003E03C2" w:rsidP="002C4A81">
            <w:pPr>
              <w:pStyle w:val="TAC"/>
              <w:rPr>
                <w:sz w:val="16"/>
                <w:szCs w:val="16"/>
              </w:rPr>
            </w:pPr>
            <w:r w:rsidRPr="00873B6C">
              <w:rPr>
                <w:sz w:val="16"/>
                <w:szCs w:val="16"/>
              </w:rPr>
              <w:t>2023-03</w:t>
            </w:r>
          </w:p>
        </w:tc>
        <w:tc>
          <w:tcPr>
            <w:tcW w:w="800" w:type="dxa"/>
            <w:shd w:val="solid" w:color="FFFFFF" w:fill="auto"/>
          </w:tcPr>
          <w:p w14:paraId="075FEC7F" w14:textId="140D59D9" w:rsidR="003E03C2" w:rsidRPr="00873B6C" w:rsidRDefault="003E03C2" w:rsidP="002C4A81">
            <w:pPr>
              <w:pStyle w:val="TAL"/>
              <w:rPr>
                <w:sz w:val="16"/>
                <w:szCs w:val="16"/>
              </w:rPr>
            </w:pPr>
            <w:r w:rsidRPr="00873B6C">
              <w:rPr>
                <w:sz w:val="16"/>
                <w:szCs w:val="16"/>
              </w:rPr>
              <w:t>SP#99</w:t>
            </w:r>
          </w:p>
        </w:tc>
        <w:tc>
          <w:tcPr>
            <w:tcW w:w="1094" w:type="dxa"/>
            <w:shd w:val="solid" w:color="FFFFFF" w:fill="auto"/>
          </w:tcPr>
          <w:p w14:paraId="060074C5" w14:textId="5AD98675" w:rsidR="003E03C2" w:rsidRPr="00873B6C" w:rsidRDefault="003E03C2" w:rsidP="002C4A81">
            <w:pPr>
              <w:pStyle w:val="TAC"/>
              <w:rPr>
                <w:sz w:val="16"/>
                <w:szCs w:val="16"/>
              </w:rPr>
            </w:pPr>
            <w:r w:rsidRPr="00873B6C">
              <w:rPr>
                <w:sz w:val="16"/>
                <w:szCs w:val="16"/>
              </w:rPr>
              <w:t>SP-230064</w:t>
            </w:r>
          </w:p>
        </w:tc>
        <w:tc>
          <w:tcPr>
            <w:tcW w:w="567" w:type="dxa"/>
            <w:shd w:val="solid" w:color="FFFFFF" w:fill="auto"/>
          </w:tcPr>
          <w:p w14:paraId="5A8C589F" w14:textId="5F3C9A45" w:rsidR="003E03C2" w:rsidRPr="00873B6C" w:rsidRDefault="003E03C2" w:rsidP="002C4A81">
            <w:pPr>
              <w:pStyle w:val="TAL"/>
              <w:rPr>
                <w:sz w:val="16"/>
                <w:szCs w:val="16"/>
              </w:rPr>
            </w:pPr>
            <w:r w:rsidRPr="00873B6C">
              <w:rPr>
                <w:sz w:val="16"/>
                <w:szCs w:val="16"/>
              </w:rPr>
              <w:t>4078</w:t>
            </w:r>
          </w:p>
        </w:tc>
        <w:tc>
          <w:tcPr>
            <w:tcW w:w="425" w:type="dxa"/>
            <w:shd w:val="solid" w:color="FFFFFF" w:fill="auto"/>
          </w:tcPr>
          <w:p w14:paraId="5530A84C" w14:textId="32F72B00" w:rsidR="003E03C2" w:rsidRPr="00873B6C" w:rsidRDefault="003E03C2" w:rsidP="002C4A81">
            <w:pPr>
              <w:pStyle w:val="TAL"/>
              <w:rPr>
                <w:sz w:val="16"/>
                <w:szCs w:val="16"/>
              </w:rPr>
            </w:pPr>
            <w:r w:rsidRPr="00873B6C">
              <w:rPr>
                <w:sz w:val="16"/>
                <w:szCs w:val="16"/>
              </w:rPr>
              <w:t>2</w:t>
            </w:r>
          </w:p>
        </w:tc>
        <w:tc>
          <w:tcPr>
            <w:tcW w:w="425" w:type="dxa"/>
            <w:shd w:val="solid" w:color="FFFFFF" w:fill="auto"/>
          </w:tcPr>
          <w:p w14:paraId="46B551F6" w14:textId="4F3961FC" w:rsidR="003E03C2" w:rsidRPr="00873B6C" w:rsidRDefault="003E03C2" w:rsidP="002C4A81">
            <w:pPr>
              <w:pStyle w:val="TAL"/>
              <w:rPr>
                <w:sz w:val="16"/>
                <w:szCs w:val="16"/>
              </w:rPr>
            </w:pPr>
            <w:r w:rsidRPr="00873B6C">
              <w:rPr>
                <w:sz w:val="16"/>
                <w:szCs w:val="16"/>
              </w:rPr>
              <w:t>B</w:t>
            </w:r>
          </w:p>
        </w:tc>
        <w:tc>
          <w:tcPr>
            <w:tcW w:w="4820" w:type="dxa"/>
            <w:shd w:val="solid" w:color="FFFFFF" w:fill="auto"/>
          </w:tcPr>
          <w:p w14:paraId="351628DA" w14:textId="6770E938" w:rsidR="003E03C2" w:rsidRPr="00873B6C" w:rsidRDefault="003E03C2" w:rsidP="002C4A81">
            <w:pPr>
              <w:pStyle w:val="TAL"/>
              <w:rPr>
                <w:sz w:val="16"/>
                <w:szCs w:val="16"/>
              </w:rPr>
            </w:pPr>
            <w:r w:rsidRPr="00873B6C">
              <w:rPr>
                <w:sz w:val="16"/>
                <w:szCs w:val="16"/>
              </w:rPr>
              <w:t>Support of graceful/gradual termination of PDU sessions during network slice decommissioning</w:t>
            </w:r>
          </w:p>
        </w:tc>
        <w:tc>
          <w:tcPr>
            <w:tcW w:w="708" w:type="dxa"/>
            <w:shd w:val="solid" w:color="FFFFFF" w:fill="auto"/>
          </w:tcPr>
          <w:p w14:paraId="2E2A0EE9" w14:textId="71B00007" w:rsidR="003E03C2" w:rsidRPr="00873B6C" w:rsidRDefault="003E03C2" w:rsidP="002C4A81">
            <w:pPr>
              <w:pStyle w:val="TAC"/>
              <w:rPr>
                <w:sz w:val="16"/>
                <w:szCs w:val="16"/>
              </w:rPr>
            </w:pPr>
            <w:r w:rsidRPr="00873B6C">
              <w:rPr>
                <w:sz w:val="16"/>
                <w:szCs w:val="16"/>
              </w:rPr>
              <w:t>18.1.0</w:t>
            </w:r>
          </w:p>
        </w:tc>
      </w:tr>
      <w:tr w:rsidR="003E03C2" w:rsidRPr="00873B6C" w14:paraId="5854C20A" w14:textId="77777777" w:rsidTr="009D14FB">
        <w:tc>
          <w:tcPr>
            <w:tcW w:w="800" w:type="dxa"/>
            <w:shd w:val="solid" w:color="FFFFFF" w:fill="auto"/>
          </w:tcPr>
          <w:p w14:paraId="53A1D884" w14:textId="46A4D0A0" w:rsidR="003E03C2" w:rsidRPr="00873B6C" w:rsidRDefault="003E03C2" w:rsidP="002C4A81">
            <w:pPr>
              <w:pStyle w:val="TAC"/>
              <w:rPr>
                <w:sz w:val="16"/>
                <w:szCs w:val="16"/>
              </w:rPr>
            </w:pPr>
            <w:r w:rsidRPr="00873B6C">
              <w:rPr>
                <w:sz w:val="16"/>
                <w:szCs w:val="16"/>
              </w:rPr>
              <w:t>2023-03</w:t>
            </w:r>
          </w:p>
        </w:tc>
        <w:tc>
          <w:tcPr>
            <w:tcW w:w="800" w:type="dxa"/>
            <w:shd w:val="solid" w:color="FFFFFF" w:fill="auto"/>
          </w:tcPr>
          <w:p w14:paraId="02FC2C9A" w14:textId="3BE45F8B" w:rsidR="003E03C2" w:rsidRPr="00873B6C" w:rsidRDefault="003E03C2" w:rsidP="002C4A81">
            <w:pPr>
              <w:pStyle w:val="TAL"/>
              <w:rPr>
                <w:sz w:val="16"/>
                <w:szCs w:val="16"/>
              </w:rPr>
            </w:pPr>
            <w:r w:rsidRPr="00873B6C">
              <w:rPr>
                <w:sz w:val="16"/>
                <w:szCs w:val="16"/>
              </w:rPr>
              <w:t>SP#99</w:t>
            </w:r>
          </w:p>
        </w:tc>
        <w:tc>
          <w:tcPr>
            <w:tcW w:w="1094" w:type="dxa"/>
            <w:shd w:val="solid" w:color="FFFFFF" w:fill="auto"/>
          </w:tcPr>
          <w:p w14:paraId="1F47D1F6" w14:textId="4CFC9E63" w:rsidR="003E03C2" w:rsidRPr="00873B6C" w:rsidRDefault="003E03C2" w:rsidP="002C4A81">
            <w:pPr>
              <w:pStyle w:val="TAC"/>
              <w:rPr>
                <w:sz w:val="16"/>
                <w:szCs w:val="16"/>
              </w:rPr>
            </w:pPr>
            <w:r w:rsidRPr="00873B6C">
              <w:rPr>
                <w:sz w:val="16"/>
                <w:szCs w:val="16"/>
              </w:rPr>
              <w:t>SP-230062</w:t>
            </w:r>
          </w:p>
        </w:tc>
        <w:tc>
          <w:tcPr>
            <w:tcW w:w="567" w:type="dxa"/>
            <w:shd w:val="solid" w:color="FFFFFF" w:fill="auto"/>
          </w:tcPr>
          <w:p w14:paraId="214E7ED2" w14:textId="43323408" w:rsidR="003E03C2" w:rsidRPr="00873B6C" w:rsidRDefault="003E03C2" w:rsidP="002C4A81">
            <w:pPr>
              <w:pStyle w:val="TAL"/>
              <w:rPr>
                <w:sz w:val="16"/>
                <w:szCs w:val="16"/>
              </w:rPr>
            </w:pPr>
            <w:r w:rsidRPr="00873B6C">
              <w:rPr>
                <w:sz w:val="16"/>
                <w:szCs w:val="16"/>
              </w:rPr>
              <w:t>4080</w:t>
            </w:r>
          </w:p>
        </w:tc>
        <w:tc>
          <w:tcPr>
            <w:tcW w:w="425" w:type="dxa"/>
            <w:shd w:val="solid" w:color="FFFFFF" w:fill="auto"/>
          </w:tcPr>
          <w:p w14:paraId="5B640E76" w14:textId="7802FD41" w:rsidR="003E03C2" w:rsidRPr="00873B6C" w:rsidRDefault="003E03C2" w:rsidP="002C4A81">
            <w:pPr>
              <w:pStyle w:val="TAL"/>
              <w:rPr>
                <w:sz w:val="16"/>
                <w:szCs w:val="16"/>
              </w:rPr>
            </w:pPr>
            <w:r w:rsidRPr="00873B6C">
              <w:rPr>
                <w:sz w:val="16"/>
                <w:szCs w:val="16"/>
              </w:rPr>
              <w:t>1</w:t>
            </w:r>
          </w:p>
        </w:tc>
        <w:tc>
          <w:tcPr>
            <w:tcW w:w="425" w:type="dxa"/>
            <w:shd w:val="solid" w:color="FFFFFF" w:fill="auto"/>
          </w:tcPr>
          <w:p w14:paraId="288BAC58" w14:textId="25BAAB77" w:rsidR="003E03C2" w:rsidRPr="00873B6C" w:rsidRDefault="003E03C2" w:rsidP="002C4A81">
            <w:pPr>
              <w:pStyle w:val="TAL"/>
              <w:rPr>
                <w:sz w:val="16"/>
                <w:szCs w:val="16"/>
              </w:rPr>
            </w:pPr>
            <w:r w:rsidRPr="00873B6C">
              <w:rPr>
                <w:sz w:val="16"/>
                <w:szCs w:val="16"/>
              </w:rPr>
              <w:t>B</w:t>
            </w:r>
          </w:p>
        </w:tc>
        <w:tc>
          <w:tcPr>
            <w:tcW w:w="4820" w:type="dxa"/>
            <w:shd w:val="solid" w:color="FFFFFF" w:fill="auto"/>
          </w:tcPr>
          <w:p w14:paraId="115F7FE4" w14:textId="0550A9A9" w:rsidR="003E03C2" w:rsidRPr="00873B6C" w:rsidRDefault="003E03C2" w:rsidP="002C4A81">
            <w:pPr>
              <w:pStyle w:val="TAL"/>
              <w:rPr>
                <w:sz w:val="16"/>
                <w:szCs w:val="16"/>
              </w:rPr>
            </w:pPr>
            <w:r w:rsidRPr="00873B6C">
              <w:rPr>
                <w:sz w:val="16"/>
                <w:szCs w:val="16"/>
              </w:rPr>
              <w:t>Using network analytics for roaming scenarios</w:t>
            </w:r>
          </w:p>
        </w:tc>
        <w:tc>
          <w:tcPr>
            <w:tcW w:w="708" w:type="dxa"/>
            <w:shd w:val="solid" w:color="FFFFFF" w:fill="auto"/>
          </w:tcPr>
          <w:p w14:paraId="17BA1217" w14:textId="02895911" w:rsidR="003E03C2" w:rsidRPr="00873B6C" w:rsidRDefault="003E03C2" w:rsidP="002C4A81">
            <w:pPr>
              <w:pStyle w:val="TAC"/>
              <w:rPr>
                <w:sz w:val="16"/>
                <w:szCs w:val="16"/>
              </w:rPr>
            </w:pPr>
            <w:r w:rsidRPr="00873B6C">
              <w:rPr>
                <w:sz w:val="16"/>
                <w:szCs w:val="16"/>
              </w:rPr>
              <w:t>18.1.0</w:t>
            </w:r>
          </w:p>
        </w:tc>
      </w:tr>
      <w:tr w:rsidR="003E03C2" w:rsidRPr="00873B6C" w14:paraId="2D6EC1ED" w14:textId="77777777" w:rsidTr="009D14FB">
        <w:tc>
          <w:tcPr>
            <w:tcW w:w="800" w:type="dxa"/>
            <w:shd w:val="solid" w:color="FFFFFF" w:fill="auto"/>
          </w:tcPr>
          <w:p w14:paraId="03DB7497" w14:textId="0D127339" w:rsidR="003E03C2" w:rsidRPr="00873B6C" w:rsidRDefault="003E03C2" w:rsidP="002C4A81">
            <w:pPr>
              <w:pStyle w:val="TAC"/>
              <w:rPr>
                <w:sz w:val="16"/>
                <w:szCs w:val="16"/>
              </w:rPr>
            </w:pPr>
            <w:r w:rsidRPr="00873B6C">
              <w:rPr>
                <w:sz w:val="16"/>
                <w:szCs w:val="16"/>
              </w:rPr>
              <w:t>2023-03</w:t>
            </w:r>
          </w:p>
        </w:tc>
        <w:tc>
          <w:tcPr>
            <w:tcW w:w="800" w:type="dxa"/>
            <w:shd w:val="solid" w:color="FFFFFF" w:fill="auto"/>
          </w:tcPr>
          <w:p w14:paraId="15146CDF" w14:textId="17DB082F" w:rsidR="003E03C2" w:rsidRPr="00873B6C" w:rsidRDefault="003E03C2" w:rsidP="002C4A81">
            <w:pPr>
              <w:pStyle w:val="TAL"/>
              <w:rPr>
                <w:sz w:val="16"/>
                <w:szCs w:val="16"/>
              </w:rPr>
            </w:pPr>
            <w:r w:rsidRPr="00873B6C">
              <w:rPr>
                <w:sz w:val="16"/>
                <w:szCs w:val="16"/>
              </w:rPr>
              <w:t>SP#99</w:t>
            </w:r>
          </w:p>
        </w:tc>
        <w:tc>
          <w:tcPr>
            <w:tcW w:w="1094" w:type="dxa"/>
            <w:shd w:val="solid" w:color="FFFFFF" w:fill="auto"/>
          </w:tcPr>
          <w:p w14:paraId="4BA15A56" w14:textId="60719030" w:rsidR="003E03C2" w:rsidRPr="00873B6C" w:rsidRDefault="003E03C2" w:rsidP="002C4A81">
            <w:pPr>
              <w:pStyle w:val="TAC"/>
              <w:rPr>
                <w:sz w:val="16"/>
                <w:szCs w:val="16"/>
              </w:rPr>
            </w:pPr>
            <w:r w:rsidRPr="00873B6C">
              <w:rPr>
                <w:sz w:val="16"/>
                <w:szCs w:val="16"/>
              </w:rPr>
              <w:t>SP-230115</w:t>
            </w:r>
          </w:p>
        </w:tc>
        <w:tc>
          <w:tcPr>
            <w:tcW w:w="567" w:type="dxa"/>
            <w:shd w:val="solid" w:color="FFFFFF" w:fill="auto"/>
          </w:tcPr>
          <w:p w14:paraId="08137F58" w14:textId="48D5A893" w:rsidR="003E03C2" w:rsidRPr="00873B6C" w:rsidRDefault="003E03C2" w:rsidP="002C4A81">
            <w:pPr>
              <w:pStyle w:val="TAL"/>
              <w:rPr>
                <w:sz w:val="16"/>
                <w:szCs w:val="16"/>
              </w:rPr>
            </w:pPr>
            <w:r w:rsidRPr="00873B6C">
              <w:rPr>
                <w:sz w:val="16"/>
                <w:szCs w:val="16"/>
              </w:rPr>
              <w:t>4081</w:t>
            </w:r>
          </w:p>
        </w:tc>
        <w:tc>
          <w:tcPr>
            <w:tcW w:w="425" w:type="dxa"/>
            <w:shd w:val="solid" w:color="FFFFFF" w:fill="auto"/>
          </w:tcPr>
          <w:p w14:paraId="6F090E3C" w14:textId="47B0DD67" w:rsidR="003E03C2" w:rsidRPr="00873B6C" w:rsidRDefault="003E03C2" w:rsidP="002C4A81">
            <w:pPr>
              <w:pStyle w:val="TAL"/>
              <w:rPr>
                <w:sz w:val="16"/>
                <w:szCs w:val="16"/>
              </w:rPr>
            </w:pPr>
            <w:r w:rsidRPr="00873B6C">
              <w:rPr>
                <w:sz w:val="16"/>
                <w:szCs w:val="16"/>
              </w:rPr>
              <w:t>1</w:t>
            </w:r>
          </w:p>
        </w:tc>
        <w:tc>
          <w:tcPr>
            <w:tcW w:w="425" w:type="dxa"/>
            <w:shd w:val="solid" w:color="FFFFFF" w:fill="auto"/>
          </w:tcPr>
          <w:p w14:paraId="497407A3" w14:textId="672A95A0" w:rsidR="003E03C2" w:rsidRPr="00873B6C" w:rsidRDefault="003E03C2" w:rsidP="002C4A81">
            <w:pPr>
              <w:pStyle w:val="TAL"/>
              <w:rPr>
                <w:sz w:val="16"/>
                <w:szCs w:val="16"/>
              </w:rPr>
            </w:pPr>
            <w:r w:rsidRPr="00873B6C">
              <w:rPr>
                <w:sz w:val="16"/>
                <w:szCs w:val="16"/>
              </w:rPr>
              <w:t>B</w:t>
            </w:r>
          </w:p>
        </w:tc>
        <w:tc>
          <w:tcPr>
            <w:tcW w:w="4820" w:type="dxa"/>
            <w:shd w:val="solid" w:color="FFFFFF" w:fill="auto"/>
          </w:tcPr>
          <w:p w14:paraId="0355CB2A" w14:textId="67BB19D4" w:rsidR="003E03C2" w:rsidRPr="00873B6C" w:rsidRDefault="003E03C2" w:rsidP="002C4A81">
            <w:pPr>
              <w:pStyle w:val="TAL"/>
              <w:rPr>
                <w:sz w:val="16"/>
                <w:szCs w:val="16"/>
              </w:rPr>
            </w:pPr>
            <w:r w:rsidRPr="00873B6C">
              <w:rPr>
                <w:sz w:val="16"/>
                <w:szCs w:val="16"/>
              </w:rPr>
              <w:t>CN based MT communication capability indication</w:t>
            </w:r>
          </w:p>
        </w:tc>
        <w:tc>
          <w:tcPr>
            <w:tcW w:w="708" w:type="dxa"/>
            <w:shd w:val="solid" w:color="FFFFFF" w:fill="auto"/>
          </w:tcPr>
          <w:p w14:paraId="0D5FC0A9" w14:textId="0FDAB9C7" w:rsidR="003E03C2" w:rsidRPr="00873B6C" w:rsidRDefault="003E03C2" w:rsidP="002C4A81">
            <w:pPr>
              <w:pStyle w:val="TAC"/>
              <w:rPr>
                <w:sz w:val="16"/>
                <w:szCs w:val="16"/>
              </w:rPr>
            </w:pPr>
            <w:r w:rsidRPr="00873B6C">
              <w:rPr>
                <w:sz w:val="16"/>
                <w:szCs w:val="16"/>
              </w:rPr>
              <w:t>18.1.0</w:t>
            </w:r>
          </w:p>
        </w:tc>
      </w:tr>
      <w:tr w:rsidR="003E03C2" w:rsidRPr="00873B6C" w14:paraId="0F0A056F" w14:textId="77777777" w:rsidTr="009D14FB">
        <w:tc>
          <w:tcPr>
            <w:tcW w:w="800" w:type="dxa"/>
            <w:shd w:val="solid" w:color="FFFFFF" w:fill="auto"/>
          </w:tcPr>
          <w:p w14:paraId="2DC56DCD" w14:textId="0E7F1CD6" w:rsidR="003E03C2" w:rsidRPr="00873B6C" w:rsidRDefault="003E03C2" w:rsidP="002C4A81">
            <w:pPr>
              <w:pStyle w:val="TAC"/>
              <w:rPr>
                <w:sz w:val="16"/>
                <w:szCs w:val="16"/>
              </w:rPr>
            </w:pPr>
            <w:r w:rsidRPr="00873B6C">
              <w:rPr>
                <w:sz w:val="16"/>
                <w:szCs w:val="16"/>
              </w:rPr>
              <w:t>2023-03</w:t>
            </w:r>
          </w:p>
        </w:tc>
        <w:tc>
          <w:tcPr>
            <w:tcW w:w="800" w:type="dxa"/>
            <w:shd w:val="solid" w:color="FFFFFF" w:fill="auto"/>
          </w:tcPr>
          <w:p w14:paraId="0A1227F2" w14:textId="3D820958" w:rsidR="003E03C2" w:rsidRPr="00873B6C" w:rsidRDefault="003E03C2" w:rsidP="002C4A81">
            <w:pPr>
              <w:pStyle w:val="TAL"/>
              <w:rPr>
                <w:sz w:val="16"/>
                <w:szCs w:val="16"/>
              </w:rPr>
            </w:pPr>
            <w:r w:rsidRPr="00873B6C">
              <w:rPr>
                <w:sz w:val="16"/>
                <w:szCs w:val="16"/>
              </w:rPr>
              <w:t>SP#99</w:t>
            </w:r>
          </w:p>
        </w:tc>
        <w:tc>
          <w:tcPr>
            <w:tcW w:w="1094" w:type="dxa"/>
            <w:shd w:val="solid" w:color="FFFFFF" w:fill="auto"/>
          </w:tcPr>
          <w:p w14:paraId="7593138D" w14:textId="6BE283A8" w:rsidR="003E03C2" w:rsidRPr="00873B6C" w:rsidRDefault="003E03C2" w:rsidP="002C4A81">
            <w:pPr>
              <w:pStyle w:val="TAC"/>
              <w:rPr>
                <w:sz w:val="16"/>
                <w:szCs w:val="16"/>
              </w:rPr>
            </w:pPr>
            <w:r w:rsidRPr="00873B6C">
              <w:rPr>
                <w:sz w:val="16"/>
                <w:szCs w:val="16"/>
              </w:rPr>
              <w:t>SP-230064</w:t>
            </w:r>
          </w:p>
        </w:tc>
        <w:tc>
          <w:tcPr>
            <w:tcW w:w="567" w:type="dxa"/>
            <w:shd w:val="solid" w:color="FFFFFF" w:fill="auto"/>
          </w:tcPr>
          <w:p w14:paraId="2662019C" w14:textId="40AD595F" w:rsidR="003E03C2" w:rsidRPr="00873B6C" w:rsidRDefault="003E03C2" w:rsidP="002C4A81">
            <w:pPr>
              <w:pStyle w:val="TAL"/>
              <w:rPr>
                <w:sz w:val="16"/>
                <w:szCs w:val="16"/>
              </w:rPr>
            </w:pPr>
            <w:r w:rsidRPr="00873B6C">
              <w:rPr>
                <w:sz w:val="16"/>
                <w:szCs w:val="16"/>
              </w:rPr>
              <w:t>4083</w:t>
            </w:r>
          </w:p>
        </w:tc>
        <w:tc>
          <w:tcPr>
            <w:tcW w:w="425" w:type="dxa"/>
            <w:shd w:val="solid" w:color="FFFFFF" w:fill="auto"/>
          </w:tcPr>
          <w:p w14:paraId="18E47B0A" w14:textId="554A7AA3" w:rsidR="003E03C2" w:rsidRPr="00873B6C" w:rsidRDefault="003E03C2" w:rsidP="002C4A81">
            <w:pPr>
              <w:pStyle w:val="TAL"/>
              <w:rPr>
                <w:sz w:val="16"/>
                <w:szCs w:val="16"/>
              </w:rPr>
            </w:pPr>
            <w:r w:rsidRPr="00873B6C">
              <w:rPr>
                <w:sz w:val="16"/>
                <w:szCs w:val="16"/>
              </w:rPr>
              <w:t>10</w:t>
            </w:r>
          </w:p>
        </w:tc>
        <w:tc>
          <w:tcPr>
            <w:tcW w:w="425" w:type="dxa"/>
            <w:shd w:val="solid" w:color="FFFFFF" w:fill="auto"/>
          </w:tcPr>
          <w:p w14:paraId="1050FF69" w14:textId="254F92FD" w:rsidR="003E03C2" w:rsidRPr="00873B6C" w:rsidRDefault="003E03C2" w:rsidP="002C4A81">
            <w:pPr>
              <w:pStyle w:val="TAL"/>
              <w:rPr>
                <w:sz w:val="16"/>
                <w:szCs w:val="16"/>
              </w:rPr>
            </w:pPr>
            <w:r w:rsidRPr="00873B6C">
              <w:rPr>
                <w:sz w:val="16"/>
                <w:szCs w:val="16"/>
              </w:rPr>
              <w:t>B</w:t>
            </w:r>
          </w:p>
        </w:tc>
        <w:tc>
          <w:tcPr>
            <w:tcW w:w="4820" w:type="dxa"/>
            <w:shd w:val="solid" w:color="FFFFFF" w:fill="auto"/>
          </w:tcPr>
          <w:p w14:paraId="0E630B48" w14:textId="78C6AA3B" w:rsidR="003E03C2" w:rsidRPr="00873B6C" w:rsidRDefault="003E03C2" w:rsidP="002C4A81">
            <w:pPr>
              <w:pStyle w:val="TAL"/>
              <w:rPr>
                <w:sz w:val="16"/>
                <w:szCs w:val="16"/>
              </w:rPr>
            </w:pPr>
            <w:r w:rsidRPr="00873B6C">
              <w:rPr>
                <w:sz w:val="16"/>
                <w:szCs w:val="16"/>
              </w:rPr>
              <w:t xml:space="preserve">Support of network slice replacement </w:t>
            </w:r>
          </w:p>
        </w:tc>
        <w:tc>
          <w:tcPr>
            <w:tcW w:w="708" w:type="dxa"/>
            <w:shd w:val="solid" w:color="FFFFFF" w:fill="auto"/>
          </w:tcPr>
          <w:p w14:paraId="08B47C1C" w14:textId="787D8DB8" w:rsidR="003E03C2" w:rsidRPr="00873B6C" w:rsidRDefault="003E03C2" w:rsidP="002C4A81">
            <w:pPr>
              <w:pStyle w:val="TAC"/>
              <w:rPr>
                <w:sz w:val="16"/>
                <w:szCs w:val="16"/>
              </w:rPr>
            </w:pPr>
            <w:r w:rsidRPr="00873B6C">
              <w:rPr>
                <w:sz w:val="16"/>
                <w:szCs w:val="16"/>
              </w:rPr>
              <w:t>18.1.0</w:t>
            </w:r>
          </w:p>
        </w:tc>
      </w:tr>
      <w:tr w:rsidR="00111015" w:rsidRPr="00873B6C" w14:paraId="2B12D19A" w14:textId="77777777" w:rsidTr="009D14FB">
        <w:tc>
          <w:tcPr>
            <w:tcW w:w="800" w:type="dxa"/>
            <w:shd w:val="solid" w:color="FFFFFF" w:fill="auto"/>
          </w:tcPr>
          <w:p w14:paraId="06490DA1" w14:textId="0BFFC103" w:rsidR="00111015" w:rsidRPr="00873B6C" w:rsidRDefault="00111015" w:rsidP="002C4A81">
            <w:pPr>
              <w:pStyle w:val="TAC"/>
              <w:rPr>
                <w:sz w:val="16"/>
                <w:szCs w:val="16"/>
              </w:rPr>
            </w:pPr>
            <w:r w:rsidRPr="00873B6C">
              <w:rPr>
                <w:sz w:val="16"/>
                <w:szCs w:val="16"/>
              </w:rPr>
              <w:t>2023-03</w:t>
            </w:r>
          </w:p>
        </w:tc>
        <w:tc>
          <w:tcPr>
            <w:tcW w:w="800" w:type="dxa"/>
            <w:shd w:val="solid" w:color="FFFFFF" w:fill="auto"/>
          </w:tcPr>
          <w:p w14:paraId="3B9C8B51" w14:textId="6D9C4F2D" w:rsidR="00111015" w:rsidRPr="00873B6C" w:rsidRDefault="00111015" w:rsidP="002C4A81">
            <w:pPr>
              <w:pStyle w:val="TAL"/>
              <w:rPr>
                <w:sz w:val="16"/>
                <w:szCs w:val="16"/>
              </w:rPr>
            </w:pPr>
            <w:r w:rsidRPr="00873B6C">
              <w:rPr>
                <w:sz w:val="16"/>
                <w:szCs w:val="16"/>
              </w:rPr>
              <w:t>SP#99</w:t>
            </w:r>
          </w:p>
        </w:tc>
        <w:tc>
          <w:tcPr>
            <w:tcW w:w="1094" w:type="dxa"/>
            <w:shd w:val="solid" w:color="FFFFFF" w:fill="auto"/>
          </w:tcPr>
          <w:p w14:paraId="7F99743E" w14:textId="63CA5004" w:rsidR="00111015" w:rsidRPr="00873B6C" w:rsidRDefault="00111015" w:rsidP="002C4A81">
            <w:pPr>
              <w:pStyle w:val="TAC"/>
              <w:rPr>
                <w:sz w:val="16"/>
                <w:szCs w:val="16"/>
              </w:rPr>
            </w:pPr>
            <w:r w:rsidRPr="00873B6C">
              <w:rPr>
                <w:sz w:val="16"/>
                <w:szCs w:val="16"/>
              </w:rPr>
              <w:t>SP-230068</w:t>
            </w:r>
          </w:p>
        </w:tc>
        <w:tc>
          <w:tcPr>
            <w:tcW w:w="567" w:type="dxa"/>
            <w:shd w:val="solid" w:color="FFFFFF" w:fill="auto"/>
          </w:tcPr>
          <w:p w14:paraId="3D0D7C37" w14:textId="20966F4E" w:rsidR="00111015" w:rsidRPr="00873B6C" w:rsidRDefault="00111015" w:rsidP="002C4A81">
            <w:pPr>
              <w:pStyle w:val="TAL"/>
              <w:rPr>
                <w:sz w:val="16"/>
                <w:szCs w:val="16"/>
              </w:rPr>
            </w:pPr>
            <w:r w:rsidRPr="00873B6C">
              <w:rPr>
                <w:sz w:val="16"/>
                <w:szCs w:val="16"/>
              </w:rPr>
              <w:t>4086</w:t>
            </w:r>
          </w:p>
        </w:tc>
        <w:tc>
          <w:tcPr>
            <w:tcW w:w="425" w:type="dxa"/>
            <w:shd w:val="solid" w:color="FFFFFF" w:fill="auto"/>
          </w:tcPr>
          <w:p w14:paraId="4963100A" w14:textId="4638C3D9" w:rsidR="00111015" w:rsidRPr="00873B6C" w:rsidRDefault="00111015" w:rsidP="002C4A81">
            <w:pPr>
              <w:pStyle w:val="TAL"/>
              <w:rPr>
                <w:sz w:val="16"/>
                <w:szCs w:val="16"/>
              </w:rPr>
            </w:pPr>
            <w:r w:rsidRPr="00873B6C">
              <w:rPr>
                <w:sz w:val="16"/>
                <w:szCs w:val="16"/>
              </w:rPr>
              <w:t xml:space="preserve">1 </w:t>
            </w:r>
          </w:p>
        </w:tc>
        <w:tc>
          <w:tcPr>
            <w:tcW w:w="425" w:type="dxa"/>
            <w:shd w:val="solid" w:color="FFFFFF" w:fill="auto"/>
          </w:tcPr>
          <w:p w14:paraId="786B231A" w14:textId="0ABE44BC" w:rsidR="00111015" w:rsidRPr="00873B6C" w:rsidRDefault="00111015" w:rsidP="002C4A81">
            <w:pPr>
              <w:pStyle w:val="TAL"/>
              <w:rPr>
                <w:sz w:val="16"/>
                <w:szCs w:val="16"/>
              </w:rPr>
            </w:pPr>
            <w:r w:rsidRPr="00873B6C">
              <w:rPr>
                <w:sz w:val="16"/>
                <w:szCs w:val="16"/>
              </w:rPr>
              <w:t>B</w:t>
            </w:r>
          </w:p>
        </w:tc>
        <w:tc>
          <w:tcPr>
            <w:tcW w:w="4820" w:type="dxa"/>
            <w:shd w:val="solid" w:color="FFFFFF" w:fill="auto"/>
          </w:tcPr>
          <w:p w14:paraId="412E839F" w14:textId="405F9F29" w:rsidR="00111015" w:rsidRPr="00873B6C" w:rsidRDefault="00111015" w:rsidP="002C4A81">
            <w:pPr>
              <w:pStyle w:val="TAL"/>
              <w:rPr>
                <w:sz w:val="16"/>
                <w:szCs w:val="16"/>
              </w:rPr>
            </w:pPr>
            <w:r w:rsidRPr="00873B6C">
              <w:rPr>
                <w:sz w:val="16"/>
                <w:szCs w:val="16"/>
              </w:rPr>
              <w:t>KI#1: Support the enhancement of group attribute management</w:t>
            </w:r>
          </w:p>
        </w:tc>
        <w:tc>
          <w:tcPr>
            <w:tcW w:w="708" w:type="dxa"/>
            <w:shd w:val="solid" w:color="FFFFFF" w:fill="auto"/>
          </w:tcPr>
          <w:p w14:paraId="307C493F" w14:textId="2F69D0F2" w:rsidR="00111015" w:rsidRPr="00873B6C" w:rsidRDefault="00111015" w:rsidP="002C4A81">
            <w:pPr>
              <w:pStyle w:val="TAC"/>
              <w:rPr>
                <w:sz w:val="16"/>
                <w:szCs w:val="16"/>
              </w:rPr>
            </w:pPr>
            <w:r w:rsidRPr="00873B6C">
              <w:rPr>
                <w:sz w:val="16"/>
                <w:szCs w:val="16"/>
              </w:rPr>
              <w:t>18.1.0</w:t>
            </w:r>
          </w:p>
        </w:tc>
      </w:tr>
      <w:tr w:rsidR="00111015" w:rsidRPr="00873B6C" w14:paraId="5D9A167F" w14:textId="77777777" w:rsidTr="009D14FB">
        <w:tc>
          <w:tcPr>
            <w:tcW w:w="800" w:type="dxa"/>
            <w:shd w:val="solid" w:color="FFFFFF" w:fill="auto"/>
          </w:tcPr>
          <w:p w14:paraId="1B737E4F" w14:textId="7B5DF181" w:rsidR="00111015" w:rsidRPr="00873B6C" w:rsidRDefault="00111015" w:rsidP="002C4A81">
            <w:pPr>
              <w:pStyle w:val="TAC"/>
              <w:rPr>
                <w:sz w:val="16"/>
                <w:szCs w:val="16"/>
              </w:rPr>
            </w:pPr>
            <w:r w:rsidRPr="00873B6C">
              <w:rPr>
                <w:sz w:val="16"/>
                <w:szCs w:val="16"/>
              </w:rPr>
              <w:t>2023-03</w:t>
            </w:r>
          </w:p>
        </w:tc>
        <w:tc>
          <w:tcPr>
            <w:tcW w:w="800" w:type="dxa"/>
            <w:shd w:val="solid" w:color="FFFFFF" w:fill="auto"/>
          </w:tcPr>
          <w:p w14:paraId="38C16E4C" w14:textId="5E06ED3A" w:rsidR="00111015" w:rsidRPr="00873B6C" w:rsidRDefault="00111015" w:rsidP="002C4A81">
            <w:pPr>
              <w:pStyle w:val="TAL"/>
              <w:rPr>
                <w:sz w:val="16"/>
                <w:szCs w:val="16"/>
              </w:rPr>
            </w:pPr>
            <w:r w:rsidRPr="00873B6C">
              <w:rPr>
                <w:sz w:val="16"/>
                <w:szCs w:val="16"/>
              </w:rPr>
              <w:t>SP#99</w:t>
            </w:r>
          </w:p>
        </w:tc>
        <w:tc>
          <w:tcPr>
            <w:tcW w:w="1094" w:type="dxa"/>
            <w:shd w:val="solid" w:color="FFFFFF" w:fill="auto"/>
          </w:tcPr>
          <w:p w14:paraId="6FB12C07" w14:textId="67DDFECE" w:rsidR="00111015" w:rsidRPr="00873B6C" w:rsidRDefault="00111015" w:rsidP="002C4A81">
            <w:pPr>
              <w:pStyle w:val="TAC"/>
              <w:rPr>
                <w:sz w:val="16"/>
                <w:szCs w:val="16"/>
              </w:rPr>
            </w:pPr>
            <w:r w:rsidRPr="00873B6C">
              <w:rPr>
                <w:sz w:val="16"/>
                <w:szCs w:val="16"/>
              </w:rPr>
              <w:t>SP-230068</w:t>
            </w:r>
          </w:p>
        </w:tc>
        <w:tc>
          <w:tcPr>
            <w:tcW w:w="567" w:type="dxa"/>
            <w:shd w:val="solid" w:color="FFFFFF" w:fill="auto"/>
          </w:tcPr>
          <w:p w14:paraId="7AF30140" w14:textId="4AC7C494" w:rsidR="00111015" w:rsidRPr="00873B6C" w:rsidRDefault="00111015" w:rsidP="002C4A81">
            <w:pPr>
              <w:pStyle w:val="TAL"/>
              <w:rPr>
                <w:sz w:val="16"/>
                <w:szCs w:val="16"/>
              </w:rPr>
            </w:pPr>
            <w:r w:rsidRPr="00873B6C">
              <w:rPr>
                <w:sz w:val="16"/>
                <w:szCs w:val="16"/>
              </w:rPr>
              <w:t>4087</w:t>
            </w:r>
          </w:p>
        </w:tc>
        <w:tc>
          <w:tcPr>
            <w:tcW w:w="425" w:type="dxa"/>
            <w:shd w:val="solid" w:color="FFFFFF" w:fill="auto"/>
          </w:tcPr>
          <w:p w14:paraId="5783E611" w14:textId="6CCD3AEE" w:rsidR="00111015" w:rsidRPr="00873B6C" w:rsidRDefault="00111015" w:rsidP="002C4A81">
            <w:pPr>
              <w:pStyle w:val="TAL"/>
              <w:rPr>
                <w:sz w:val="16"/>
                <w:szCs w:val="16"/>
              </w:rPr>
            </w:pPr>
            <w:r w:rsidRPr="00873B6C">
              <w:rPr>
                <w:sz w:val="16"/>
                <w:szCs w:val="16"/>
              </w:rPr>
              <w:t>1</w:t>
            </w:r>
          </w:p>
        </w:tc>
        <w:tc>
          <w:tcPr>
            <w:tcW w:w="425" w:type="dxa"/>
            <w:shd w:val="solid" w:color="FFFFFF" w:fill="auto"/>
          </w:tcPr>
          <w:p w14:paraId="7A1DF0B7" w14:textId="185A9C26" w:rsidR="00111015" w:rsidRPr="00873B6C" w:rsidRDefault="00111015" w:rsidP="002C4A81">
            <w:pPr>
              <w:pStyle w:val="TAL"/>
              <w:rPr>
                <w:sz w:val="16"/>
                <w:szCs w:val="16"/>
              </w:rPr>
            </w:pPr>
            <w:r w:rsidRPr="00873B6C">
              <w:rPr>
                <w:sz w:val="16"/>
                <w:szCs w:val="16"/>
              </w:rPr>
              <w:t>B</w:t>
            </w:r>
          </w:p>
        </w:tc>
        <w:tc>
          <w:tcPr>
            <w:tcW w:w="4820" w:type="dxa"/>
            <w:shd w:val="solid" w:color="FFFFFF" w:fill="auto"/>
          </w:tcPr>
          <w:p w14:paraId="69A894D0" w14:textId="67250FA1" w:rsidR="00111015" w:rsidRPr="00873B6C" w:rsidRDefault="00111015" w:rsidP="002C4A81">
            <w:pPr>
              <w:pStyle w:val="TAL"/>
              <w:rPr>
                <w:sz w:val="16"/>
                <w:szCs w:val="16"/>
              </w:rPr>
            </w:pPr>
            <w:r w:rsidRPr="00873B6C">
              <w:rPr>
                <w:sz w:val="16"/>
                <w:szCs w:val="16"/>
              </w:rPr>
              <w:t>KI#3: provisioning of traffic characteristics and monitoring of performance characteristics</w:t>
            </w:r>
          </w:p>
        </w:tc>
        <w:tc>
          <w:tcPr>
            <w:tcW w:w="708" w:type="dxa"/>
            <w:shd w:val="solid" w:color="FFFFFF" w:fill="auto"/>
          </w:tcPr>
          <w:p w14:paraId="0361E4FB" w14:textId="13D58BAD" w:rsidR="00111015" w:rsidRPr="00873B6C" w:rsidRDefault="00111015" w:rsidP="002C4A81">
            <w:pPr>
              <w:pStyle w:val="TAC"/>
              <w:rPr>
                <w:sz w:val="16"/>
                <w:szCs w:val="16"/>
              </w:rPr>
            </w:pPr>
            <w:r w:rsidRPr="00873B6C">
              <w:rPr>
                <w:sz w:val="16"/>
                <w:szCs w:val="16"/>
              </w:rPr>
              <w:t>18.1.0</w:t>
            </w:r>
          </w:p>
        </w:tc>
      </w:tr>
      <w:tr w:rsidR="00286939" w:rsidRPr="00873B6C" w14:paraId="734B00DB" w14:textId="77777777" w:rsidTr="009D14FB">
        <w:tc>
          <w:tcPr>
            <w:tcW w:w="800" w:type="dxa"/>
            <w:shd w:val="solid" w:color="FFFFFF" w:fill="auto"/>
          </w:tcPr>
          <w:p w14:paraId="25889993" w14:textId="1F6CD3C9" w:rsidR="00286939" w:rsidRPr="00873B6C" w:rsidRDefault="00286939" w:rsidP="002C4A81">
            <w:pPr>
              <w:pStyle w:val="TAC"/>
              <w:rPr>
                <w:sz w:val="16"/>
                <w:szCs w:val="16"/>
              </w:rPr>
            </w:pPr>
            <w:r w:rsidRPr="00873B6C">
              <w:rPr>
                <w:sz w:val="16"/>
                <w:szCs w:val="16"/>
              </w:rPr>
              <w:t>2023-03</w:t>
            </w:r>
          </w:p>
        </w:tc>
        <w:tc>
          <w:tcPr>
            <w:tcW w:w="800" w:type="dxa"/>
            <w:shd w:val="solid" w:color="FFFFFF" w:fill="auto"/>
          </w:tcPr>
          <w:p w14:paraId="04785C2C" w14:textId="2D05942C" w:rsidR="00286939" w:rsidRPr="00873B6C" w:rsidRDefault="00286939" w:rsidP="002C4A81">
            <w:pPr>
              <w:pStyle w:val="TAL"/>
              <w:rPr>
                <w:sz w:val="16"/>
                <w:szCs w:val="16"/>
              </w:rPr>
            </w:pPr>
            <w:r w:rsidRPr="00873B6C">
              <w:rPr>
                <w:sz w:val="16"/>
                <w:szCs w:val="16"/>
              </w:rPr>
              <w:t>SP#99</w:t>
            </w:r>
          </w:p>
        </w:tc>
        <w:tc>
          <w:tcPr>
            <w:tcW w:w="1094" w:type="dxa"/>
            <w:shd w:val="solid" w:color="FFFFFF" w:fill="auto"/>
          </w:tcPr>
          <w:p w14:paraId="1874B2B4" w14:textId="62BB18B9" w:rsidR="00286939" w:rsidRPr="00873B6C" w:rsidRDefault="00286939" w:rsidP="002C4A81">
            <w:pPr>
              <w:pStyle w:val="TAC"/>
              <w:rPr>
                <w:sz w:val="16"/>
                <w:szCs w:val="16"/>
              </w:rPr>
            </w:pPr>
            <w:r w:rsidRPr="00873B6C">
              <w:rPr>
                <w:sz w:val="16"/>
                <w:szCs w:val="16"/>
              </w:rPr>
              <w:t>SP-230052</w:t>
            </w:r>
          </w:p>
        </w:tc>
        <w:tc>
          <w:tcPr>
            <w:tcW w:w="567" w:type="dxa"/>
            <w:shd w:val="solid" w:color="FFFFFF" w:fill="auto"/>
          </w:tcPr>
          <w:p w14:paraId="4FF873C0" w14:textId="4A1220C5" w:rsidR="00286939" w:rsidRPr="00873B6C" w:rsidRDefault="00286939" w:rsidP="002C4A81">
            <w:pPr>
              <w:pStyle w:val="TAL"/>
              <w:rPr>
                <w:sz w:val="16"/>
                <w:szCs w:val="16"/>
              </w:rPr>
            </w:pPr>
            <w:r w:rsidRPr="00873B6C">
              <w:rPr>
                <w:sz w:val="16"/>
                <w:szCs w:val="16"/>
              </w:rPr>
              <w:t>4088</w:t>
            </w:r>
          </w:p>
        </w:tc>
        <w:tc>
          <w:tcPr>
            <w:tcW w:w="425" w:type="dxa"/>
            <w:shd w:val="solid" w:color="FFFFFF" w:fill="auto"/>
          </w:tcPr>
          <w:p w14:paraId="097D7278" w14:textId="347FF5AA" w:rsidR="00286939" w:rsidRPr="00873B6C" w:rsidRDefault="00286939" w:rsidP="002C4A81">
            <w:pPr>
              <w:pStyle w:val="TAL"/>
              <w:rPr>
                <w:sz w:val="16"/>
                <w:szCs w:val="16"/>
              </w:rPr>
            </w:pPr>
            <w:r w:rsidRPr="00873B6C">
              <w:rPr>
                <w:sz w:val="16"/>
                <w:szCs w:val="16"/>
              </w:rPr>
              <w:t>4</w:t>
            </w:r>
          </w:p>
        </w:tc>
        <w:tc>
          <w:tcPr>
            <w:tcW w:w="425" w:type="dxa"/>
            <w:shd w:val="solid" w:color="FFFFFF" w:fill="auto"/>
          </w:tcPr>
          <w:p w14:paraId="2C9D1BFE" w14:textId="2C005B44" w:rsidR="00286939" w:rsidRPr="00873B6C" w:rsidRDefault="00286939" w:rsidP="002C4A81">
            <w:pPr>
              <w:pStyle w:val="TAL"/>
              <w:rPr>
                <w:sz w:val="16"/>
                <w:szCs w:val="16"/>
              </w:rPr>
            </w:pPr>
            <w:r w:rsidRPr="00873B6C">
              <w:rPr>
                <w:sz w:val="16"/>
                <w:szCs w:val="16"/>
              </w:rPr>
              <w:t>B</w:t>
            </w:r>
          </w:p>
        </w:tc>
        <w:tc>
          <w:tcPr>
            <w:tcW w:w="4820" w:type="dxa"/>
            <w:shd w:val="solid" w:color="FFFFFF" w:fill="auto"/>
          </w:tcPr>
          <w:p w14:paraId="2247B42B" w14:textId="24BA17BF" w:rsidR="00286939" w:rsidRPr="00873B6C" w:rsidRDefault="00286939" w:rsidP="002C4A81">
            <w:pPr>
              <w:pStyle w:val="TAL"/>
              <w:rPr>
                <w:sz w:val="16"/>
                <w:szCs w:val="16"/>
              </w:rPr>
            </w:pPr>
            <w:r w:rsidRPr="00873B6C">
              <w:rPr>
                <w:sz w:val="16"/>
                <w:szCs w:val="16"/>
              </w:rPr>
              <w:t>Clarify on periodicity adaption on Proactive feedback</w:t>
            </w:r>
          </w:p>
        </w:tc>
        <w:tc>
          <w:tcPr>
            <w:tcW w:w="708" w:type="dxa"/>
            <w:shd w:val="solid" w:color="FFFFFF" w:fill="auto"/>
          </w:tcPr>
          <w:p w14:paraId="33D7A7BE" w14:textId="122DBE46" w:rsidR="00286939" w:rsidRPr="00873B6C" w:rsidRDefault="00286939" w:rsidP="002C4A81">
            <w:pPr>
              <w:pStyle w:val="TAC"/>
              <w:rPr>
                <w:sz w:val="16"/>
                <w:szCs w:val="16"/>
              </w:rPr>
            </w:pPr>
            <w:r w:rsidRPr="00873B6C">
              <w:rPr>
                <w:sz w:val="16"/>
                <w:szCs w:val="16"/>
              </w:rPr>
              <w:t>18.1.0</w:t>
            </w:r>
          </w:p>
        </w:tc>
      </w:tr>
      <w:tr w:rsidR="0022127D" w:rsidRPr="00873B6C" w14:paraId="7ABA53F3" w14:textId="77777777" w:rsidTr="009D14FB">
        <w:tc>
          <w:tcPr>
            <w:tcW w:w="800" w:type="dxa"/>
            <w:shd w:val="solid" w:color="FFFFFF" w:fill="auto"/>
          </w:tcPr>
          <w:p w14:paraId="57A892A7" w14:textId="59338471"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790EF405" w14:textId="286CC3EF"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4DB45E79" w14:textId="1E5983F4" w:rsidR="0022127D" w:rsidRPr="00873B6C" w:rsidRDefault="0022127D" w:rsidP="002C4A81">
            <w:pPr>
              <w:pStyle w:val="TAC"/>
              <w:rPr>
                <w:sz w:val="16"/>
                <w:szCs w:val="16"/>
              </w:rPr>
            </w:pPr>
            <w:r w:rsidRPr="00873B6C">
              <w:rPr>
                <w:sz w:val="16"/>
                <w:szCs w:val="16"/>
              </w:rPr>
              <w:t>SP-230052</w:t>
            </w:r>
          </w:p>
        </w:tc>
        <w:tc>
          <w:tcPr>
            <w:tcW w:w="567" w:type="dxa"/>
            <w:shd w:val="solid" w:color="FFFFFF" w:fill="auto"/>
          </w:tcPr>
          <w:p w14:paraId="1B992F23" w14:textId="6FA57C57" w:rsidR="0022127D" w:rsidRPr="00873B6C" w:rsidRDefault="0022127D" w:rsidP="002C4A81">
            <w:pPr>
              <w:pStyle w:val="TAL"/>
              <w:rPr>
                <w:sz w:val="16"/>
                <w:szCs w:val="16"/>
              </w:rPr>
            </w:pPr>
            <w:r w:rsidRPr="00873B6C">
              <w:rPr>
                <w:sz w:val="16"/>
                <w:szCs w:val="16"/>
              </w:rPr>
              <w:t>4089</w:t>
            </w:r>
          </w:p>
        </w:tc>
        <w:tc>
          <w:tcPr>
            <w:tcW w:w="425" w:type="dxa"/>
            <w:shd w:val="solid" w:color="FFFFFF" w:fill="auto"/>
          </w:tcPr>
          <w:p w14:paraId="5EB209C2" w14:textId="3AA0119D" w:rsidR="0022127D" w:rsidRPr="00873B6C" w:rsidRDefault="0022127D" w:rsidP="002C4A81">
            <w:pPr>
              <w:pStyle w:val="TAL"/>
              <w:rPr>
                <w:sz w:val="16"/>
                <w:szCs w:val="16"/>
              </w:rPr>
            </w:pPr>
            <w:r w:rsidRPr="00873B6C">
              <w:rPr>
                <w:sz w:val="16"/>
                <w:szCs w:val="16"/>
              </w:rPr>
              <w:t>4</w:t>
            </w:r>
          </w:p>
        </w:tc>
        <w:tc>
          <w:tcPr>
            <w:tcW w:w="425" w:type="dxa"/>
            <w:shd w:val="solid" w:color="FFFFFF" w:fill="auto"/>
          </w:tcPr>
          <w:p w14:paraId="6F2D5295" w14:textId="29D07F31" w:rsidR="0022127D" w:rsidRPr="00873B6C" w:rsidRDefault="0022127D" w:rsidP="002C4A81">
            <w:pPr>
              <w:pStyle w:val="TAL"/>
              <w:rPr>
                <w:sz w:val="16"/>
                <w:szCs w:val="16"/>
              </w:rPr>
            </w:pPr>
            <w:r w:rsidRPr="00873B6C">
              <w:rPr>
                <w:sz w:val="16"/>
                <w:szCs w:val="16"/>
              </w:rPr>
              <w:t>F</w:t>
            </w:r>
          </w:p>
        </w:tc>
        <w:tc>
          <w:tcPr>
            <w:tcW w:w="4820" w:type="dxa"/>
            <w:shd w:val="solid" w:color="FFFFFF" w:fill="auto"/>
          </w:tcPr>
          <w:p w14:paraId="38C608AD" w14:textId="20BCBBF1" w:rsidR="0022127D" w:rsidRPr="00873B6C" w:rsidRDefault="0022127D" w:rsidP="002C4A81">
            <w:pPr>
              <w:pStyle w:val="TAL"/>
              <w:rPr>
                <w:sz w:val="16"/>
                <w:szCs w:val="16"/>
              </w:rPr>
            </w:pPr>
            <w:r w:rsidRPr="00873B6C">
              <w:rPr>
                <w:sz w:val="16"/>
                <w:szCs w:val="16"/>
              </w:rPr>
              <w:t>Clarification for Controlling time synchronization service based on the Subscription</w:t>
            </w:r>
          </w:p>
        </w:tc>
        <w:tc>
          <w:tcPr>
            <w:tcW w:w="708" w:type="dxa"/>
            <w:shd w:val="solid" w:color="FFFFFF" w:fill="auto"/>
          </w:tcPr>
          <w:p w14:paraId="2047BA14" w14:textId="6F893F2D" w:rsidR="0022127D" w:rsidRPr="00873B6C" w:rsidRDefault="0022127D" w:rsidP="002C4A81">
            <w:pPr>
              <w:pStyle w:val="TAC"/>
              <w:rPr>
                <w:sz w:val="16"/>
                <w:szCs w:val="16"/>
              </w:rPr>
            </w:pPr>
            <w:r w:rsidRPr="00873B6C">
              <w:rPr>
                <w:sz w:val="16"/>
                <w:szCs w:val="16"/>
              </w:rPr>
              <w:t>18.1.0</w:t>
            </w:r>
          </w:p>
        </w:tc>
      </w:tr>
      <w:tr w:rsidR="0022127D" w:rsidRPr="00873B6C" w14:paraId="6706B883" w14:textId="77777777" w:rsidTr="009D14FB">
        <w:tc>
          <w:tcPr>
            <w:tcW w:w="800" w:type="dxa"/>
            <w:shd w:val="solid" w:color="FFFFFF" w:fill="auto"/>
          </w:tcPr>
          <w:p w14:paraId="0840562A" w14:textId="07E17A05"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2736305F" w14:textId="7012D207"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64EA7F4E" w14:textId="7F084ECD" w:rsidR="0022127D" w:rsidRPr="00873B6C" w:rsidRDefault="0022127D" w:rsidP="002C4A81">
            <w:pPr>
              <w:pStyle w:val="TAC"/>
              <w:rPr>
                <w:sz w:val="16"/>
                <w:szCs w:val="16"/>
              </w:rPr>
            </w:pPr>
            <w:r w:rsidRPr="00873B6C">
              <w:rPr>
                <w:sz w:val="16"/>
                <w:szCs w:val="16"/>
              </w:rPr>
              <w:t>SP-230073</w:t>
            </w:r>
          </w:p>
        </w:tc>
        <w:tc>
          <w:tcPr>
            <w:tcW w:w="567" w:type="dxa"/>
            <w:shd w:val="solid" w:color="FFFFFF" w:fill="auto"/>
          </w:tcPr>
          <w:p w14:paraId="1322C887" w14:textId="1D1049EF" w:rsidR="0022127D" w:rsidRPr="00873B6C" w:rsidRDefault="0022127D" w:rsidP="002C4A81">
            <w:pPr>
              <w:pStyle w:val="TAL"/>
              <w:rPr>
                <w:sz w:val="16"/>
                <w:szCs w:val="16"/>
              </w:rPr>
            </w:pPr>
            <w:r w:rsidRPr="00873B6C">
              <w:rPr>
                <w:sz w:val="16"/>
                <w:szCs w:val="16"/>
              </w:rPr>
              <w:t>4092</w:t>
            </w:r>
          </w:p>
        </w:tc>
        <w:tc>
          <w:tcPr>
            <w:tcW w:w="425" w:type="dxa"/>
            <w:shd w:val="solid" w:color="FFFFFF" w:fill="auto"/>
          </w:tcPr>
          <w:p w14:paraId="387399D1" w14:textId="14F1252D" w:rsidR="0022127D" w:rsidRPr="00873B6C" w:rsidRDefault="0022127D" w:rsidP="002C4A81">
            <w:pPr>
              <w:pStyle w:val="TAL"/>
              <w:rPr>
                <w:sz w:val="16"/>
                <w:szCs w:val="16"/>
              </w:rPr>
            </w:pPr>
            <w:r w:rsidRPr="00873B6C">
              <w:rPr>
                <w:sz w:val="16"/>
                <w:szCs w:val="16"/>
              </w:rPr>
              <w:t>6</w:t>
            </w:r>
          </w:p>
        </w:tc>
        <w:tc>
          <w:tcPr>
            <w:tcW w:w="425" w:type="dxa"/>
            <w:shd w:val="solid" w:color="FFFFFF" w:fill="auto"/>
          </w:tcPr>
          <w:p w14:paraId="45E0B84C" w14:textId="022BF08A"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590B1F7D" w14:textId="6AB792A8" w:rsidR="0022127D" w:rsidRPr="00873B6C" w:rsidRDefault="0022127D" w:rsidP="002C4A81">
            <w:pPr>
              <w:pStyle w:val="TAL"/>
              <w:rPr>
                <w:sz w:val="16"/>
                <w:szCs w:val="16"/>
              </w:rPr>
            </w:pPr>
            <w:r w:rsidRPr="00873B6C">
              <w:rPr>
                <w:sz w:val="16"/>
                <w:szCs w:val="16"/>
              </w:rPr>
              <w:t>PIN definition and architecture</w:t>
            </w:r>
          </w:p>
        </w:tc>
        <w:tc>
          <w:tcPr>
            <w:tcW w:w="708" w:type="dxa"/>
            <w:shd w:val="solid" w:color="FFFFFF" w:fill="auto"/>
          </w:tcPr>
          <w:p w14:paraId="1AC3DD1F" w14:textId="1F821D8A" w:rsidR="0022127D" w:rsidRPr="00873B6C" w:rsidRDefault="0022127D" w:rsidP="002C4A81">
            <w:pPr>
              <w:pStyle w:val="TAC"/>
              <w:rPr>
                <w:sz w:val="16"/>
                <w:szCs w:val="16"/>
              </w:rPr>
            </w:pPr>
            <w:r w:rsidRPr="00873B6C">
              <w:rPr>
                <w:sz w:val="16"/>
                <w:szCs w:val="16"/>
              </w:rPr>
              <w:t>18.1.0</w:t>
            </w:r>
          </w:p>
        </w:tc>
      </w:tr>
      <w:tr w:rsidR="0022127D" w:rsidRPr="00873B6C" w14:paraId="09CC75D3" w14:textId="77777777" w:rsidTr="009D14FB">
        <w:tc>
          <w:tcPr>
            <w:tcW w:w="800" w:type="dxa"/>
            <w:shd w:val="solid" w:color="FFFFFF" w:fill="auto"/>
          </w:tcPr>
          <w:p w14:paraId="3EF43B6D" w14:textId="03D0DC80"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3A98966C" w14:textId="7EA7BA7E"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0ACF6E33" w14:textId="0FD17B35" w:rsidR="0022127D" w:rsidRPr="00873B6C" w:rsidRDefault="0022127D" w:rsidP="002C4A81">
            <w:pPr>
              <w:pStyle w:val="TAC"/>
              <w:rPr>
                <w:sz w:val="16"/>
                <w:szCs w:val="16"/>
              </w:rPr>
            </w:pPr>
            <w:r w:rsidRPr="00873B6C">
              <w:rPr>
                <w:sz w:val="16"/>
                <w:szCs w:val="16"/>
              </w:rPr>
              <w:t>SP-230063</w:t>
            </w:r>
          </w:p>
        </w:tc>
        <w:tc>
          <w:tcPr>
            <w:tcW w:w="567" w:type="dxa"/>
            <w:shd w:val="solid" w:color="FFFFFF" w:fill="auto"/>
          </w:tcPr>
          <w:p w14:paraId="52C36082" w14:textId="03AA631F" w:rsidR="0022127D" w:rsidRPr="00873B6C" w:rsidRDefault="0022127D" w:rsidP="002C4A81">
            <w:pPr>
              <w:pStyle w:val="TAL"/>
              <w:rPr>
                <w:sz w:val="16"/>
                <w:szCs w:val="16"/>
              </w:rPr>
            </w:pPr>
            <w:r w:rsidRPr="00873B6C">
              <w:rPr>
                <w:sz w:val="16"/>
                <w:szCs w:val="16"/>
              </w:rPr>
              <w:t>4095</w:t>
            </w:r>
          </w:p>
        </w:tc>
        <w:tc>
          <w:tcPr>
            <w:tcW w:w="425" w:type="dxa"/>
            <w:shd w:val="solid" w:color="FFFFFF" w:fill="auto"/>
          </w:tcPr>
          <w:p w14:paraId="2C5A4E18" w14:textId="3AA94CBE"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1F72B3A8" w14:textId="0BF1DC82"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0E62EBB5" w14:textId="58A525A4" w:rsidR="0022127D" w:rsidRPr="00873B6C" w:rsidRDefault="0022127D" w:rsidP="002C4A81">
            <w:pPr>
              <w:pStyle w:val="TAL"/>
              <w:rPr>
                <w:sz w:val="16"/>
                <w:szCs w:val="16"/>
              </w:rPr>
            </w:pPr>
            <w:r w:rsidRPr="00873B6C">
              <w:rPr>
                <w:sz w:val="16"/>
                <w:szCs w:val="16"/>
              </w:rPr>
              <w:t>SNPN broadcast system information and manual network selection for localized service</w:t>
            </w:r>
          </w:p>
        </w:tc>
        <w:tc>
          <w:tcPr>
            <w:tcW w:w="708" w:type="dxa"/>
            <w:shd w:val="solid" w:color="FFFFFF" w:fill="auto"/>
          </w:tcPr>
          <w:p w14:paraId="03F930A9" w14:textId="52A1EA2E" w:rsidR="0022127D" w:rsidRPr="00873B6C" w:rsidRDefault="0022127D" w:rsidP="002C4A81">
            <w:pPr>
              <w:pStyle w:val="TAC"/>
              <w:rPr>
                <w:sz w:val="16"/>
                <w:szCs w:val="16"/>
              </w:rPr>
            </w:pPr>
            <w:r w:rsidRPr="00873B6C">
              <w:rPr>
                <w:sz w:val="16"/>
                <w:szCs w:val="16"/>
              </w:rPr>
              <w:t>18.1.0</w:t>
            </w:r>
          </w:p>
        </w:tc>
      </w:tr>
      <w:tr w:rsidR="0022127D" w:rsidRPr="00873B6C" w14:paraId="2F07C341" w14:textId="77777777" w:rsidTr="009D14FB">
        <w:tc>
          <w:tcPr>
            <w:tcW w:w="800" w:type="dxa"/>
            <w:shd w:val="solid" w:color="FFFFFF" w:fill="auto"/>
          </w:tcPr>
          <w:p w14:paraId="2FE98BA0" w14:textId="57DA6A2E"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2D9E542A" w14:textId="7128512E"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2E0F9D56" w14:textId="66B812C1" w:rsidR="0022127D" w:rsidRPr="00873B6C" w:rsidRDefault="0022127D" w:rsidP="002C4A81">
            <w:pPr>
              <w:pStyle w:val="TAC"/>
              <w:rPr>
                <w:sz w:val="16"/>
                <w:szCs w:val="16"/>
              </w:rPr>
            </w:pPr>
            <w:r w:rsidRPr="00873B6C">
              <w:rPr>
                <w:sz w:val="16"/>
                <w:szCs w:val="16"/>
              </w:rPr>
              <w:t>SP-230044</w:t>
            </w:r>
          </w:p>
        </w:tc>
        <w:tc>
          <w:tcPr>
            <w:tcW w:w="567" w:type="dxa"/>
            <w:shd w:val="solid" w:color="FFFFFF" w:fill="auto"/>
          </w:tcPr>
          <w:p w14:paraId="2813AA0F" w14:textId="32BF562F" w:rsidR="0022127D" w:rsidRPr="00873B6C" w:rsidRDefault="0022127D" w:rsidP="002C4A81">
            <w:pPr>
              <w:pStyle w:val="TAL"/>
              <w:rPr>
                <w:sz w:val="16"/>
                <w:szCs w:val="16"/>
              </w:rPr>
            </w:pPr>
            <w:r w:rsidRPr="00873B6C">
              <w:rPr>
                <w:sz w:val="16"/>
                <w:szCs w:val="16"/>
              </w:rPr>
              <w:t>4101</w:t>
            </w:r>
          </w:p>
        </w:tc>
        <w:tc>
          <w:tcPr>
            <w:tcW w:w="425" w:type="dxa"/>
            <w:shd w:val="solid" w:color="FFFFFF" w:fill="auto"/>
          </w:tcPr>
          <w:p w14:paraId="156FD5AC" w14:textId="715A284E"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7E64E140" w14:textId="2AC9335F" w:rsidR="0022127D" w:rsidRPr="00873B6C" w:rsidRDefault="0022127D" w:rsidP="002C4A81">
            <w:pPr>
              <w:pStyle w:val="TAL"/>
              <w:rPr>
                <w:sz w:val="16"/>
                <w:szCs w:val="16"/>
              </w:rPr>
            </w:pPr>
            <w:r w:rsidRPr="00873B6C">
              <w:rPr>
                <w:sz w:val="16"/>
                <w:szCs w:val="16"/>
              </w:rPr>
              <w:t>A</w:t>
            </w:r>
          </w:p>
        </w:tc>
        <w:tc>
          <w:tcPr>
            <w:tcW w:w="4820" w:type="dxa"/>
            <w:shd w:val="solid" w:color="FFFFFF" w:fill="auto"/>
          </w:tcPr>
          <w:p w14:paraId="7F22562C" w14:textId="03C480E2" w:rsidR="0022127D" w:rsidRPr="00873B6C" w:rsidRDefault="0022127D" w:rsidP="002C4A81">
            <w:pPr>
              <w:pStyle w:val="TAL"/>
              <w:rPr>
                <w:sz w:val="16"/>
                <w:szCs w:val="16"/>
              </w:rPr>
            </w:pPr>
            <w:r w:rsidRPr="00873B6C">
              <w:rPr>
                <w:sz w:val="16"/>
                <w:szCs w:val="16"/>
              </w:rPr>
              <w:t>UDM determination Internal Group ID values for 5G VN group management</w:t>
            </w:r>
          </w:p>
        </w:tc>
        <w:tc>
          <w:tcPr>
            <w:tcW w:w="708" w:type="dxa"/>
            <w:shd w:val="solid" w:color="FFFFFF" w:fill="auto"/>
          </w:tcPr>
          <w:p w14:paraId="6350D4FC" w14:textId="24910883" w:rsidR="0022127D" w:rsidRPr="00873B6C" w:rsidRDefault="0022127D" w:rsidP="002C4A81">
            <w:pPr>
              <w:pStyle w:val="TAC"/>
              <w:rPr>
                <w:sz w:val="16"/>
                <w:szCs w:val="16"/>
              </w:rPr>
            </w:pPr>
            <w:r w:rsidRPr="00873B6C">
              <w:rPr>
                <w:sz w:val="16"/>
                <w:szCs w:val="16"/>
              </w:rPr>
              <w:t>18.1.0</w:t>
            </w:r>
          </w:p>
        </w:tc>
      </w:tr>
      <w:tr w:rsidR="0022127D" w:rsidRPr="00873B6C" w14:paraId="1DE006C9" w14:textId="77777777" w:rsidTr="009D14FB">
        <w:tc>
          <w:tcPr>
            <w:tcW w:w="800" w:type="dxa"/>
            <w:shd w:val="solid" w:color="FFFFFF" w:fill="auto"/>
          </w:tcPr>
          <w:p w14:paraId="3C8AC2D0" w14:textId="36711135"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32608D1D" w14:textId="2AADDCF8"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3D126C6C" w14:textId="2705EE5B" w:rsidR="0022127D" w:rsidRPr="00873B6C" w:rsidRDefault="0022127D" w:rsidP="002C4A81">
            <w:pPr>
              <w:pStyle w:val="TAC"/>
              <w:rPr>
                <w:sz w:val="16"/>
                <w:szCs w:val="16"/>
              </w:rPr>
            </w:pPr>
            <w:r w:rsidRPr="00873B6C">
              <w:rPr>
                <w:sz w:val="16"/>
                <w:szCs w:val="16"/>
              </w:rPr>
              <w:t>SP-230062</w:t>
            </w:r>
          </w:p>
        </w:tc>
        <w:tc>
          <w:tcPr>
            <w:tcW w:w="567" w:type="dxa"/>
            <w:shd w:val="solid" w:color="FFFFFF" w:fill="auto"/>
          </w:tcPr>
          <w:p w14:paraId="06D651BD" w14:textId="6B02F134" w:rsidR="0022127D" w:rsidRPr="00873B6C" w:rsidRDefault="0022127D" w:rsidP="002C4A81">
            <w:pPr>
              <w:pStyle w:val="TAL"/>
              <w:rPr>
                <w:sz w:val="16"/>
                <w:szCs w:val="16"/>
              </w:rPr>
            </w:pPr>
            <w:r w:rsidRPr="00873B6C">
              <w:rPr>
                <w:sz w:val="16"/>
                <w:szCs w:val="16"/>
              </w:rPr>
              <w:t>4105</w:t>
            </w:r>
          </w:p>
        </w:tc>
        <w:tc>
          <w:tcPr>
            <w:tcW w:w="425" w:type="dxa"/>
            <w:shd w:val="solid" w:color="FFFFFF" w:fill="auto"/>
          </w:tcPr>
          <w:p w14:paraId="670A85B7" w14:textId="6AEC534C"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19B8B751" w14:textId="07446ABF"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5E5D5F3D" w14:textId="66BFD6A9" w:rsidR="0022127D" w:rsidRPr="00873B6C" w:rsidRDefault="0022127D" w:rsidP="002C4A81">
            <w:pPr>
              <w:pStyle w:val="TAL"/>
              <w:rPr>
                <w:sz w:val="16"/>
                <w:szCs w:val="16"/>
              </w:rPr>
            </w:pPr>
            <w:r w:rsidRPr="00873B6C">
              <w:rPr>
                <w:sz w:val="16"/>
                <w:szCs w:val="16"/>
              </w:rPr>
              <w:t>Update NEF to support NWDAF-assisted application detection</w:t>
            </w:r>
          </w:p>
        </w:tc>
        <w:tc>
          <w:tcPr>
            <w:tcW w:w="708" w:type="dxa"/>
            <w:shd w:val="solid" w:color="FFFFFF" w:fill="auto"/>
          </w:tcPr>
          <w:p w14:paraId="3F1B8592" w14:textId="689AF0DA" w:rsidR="0022127D" w:rsidRPr="00873B6C" w:rsidRDefault="0022127D" w:rsidP="002C4A81">
            <w:pPr>
              <w:pStyle w:val="TAC"/>
              <w:rPr>
                <w:sz w:val="16"/>
                <w:szCs w:val="16"/>
              </w:rPr>
            </w:pPr>
            <w:r w:rsidRPr="00873B6C">
              <w:rPr>
                <w:sz w:val="16"/>
                <w:szCs w:val="16"/>
              </w:rPr>
              <w:t>18.1.0</w:t>
            </w:r>
          </w:p>
        </w:tc>
      </w:tr>
      <w:tr w:rsidR="0022127D" w:rsidRPr="00873B6C" w14:paraId="1FEE935C" w14:textId="77777777" w:rsidTr="009D14FB">
        <w:tc>
          <w:tcPr>
            <w:tcW w:w="800" w:type="dxa"/>
            <w:shd w:val="solid" w:color="FFFFFF" w:fill="auto"/>
          </w:tcPr>
          <w:p w14:paraId="18BCA918" w14:textId="1E980505"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18AFC5E1" w14:textId="49054710"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2A46F925" w14:textId="749AC387" w:rsidR="0022127D" w:rsidRPr="00873B6C" w:rsidRDefault="0022127D" w:rsidP="002C4A81">
            <w:pPr>
              <w:pStyle w:val="TAC"/>
              <w:rPr>
                <w:sz w:val="16"/>
                <w:szCs w:val="16"/>
              </w:rPr>
            </w:pPr>
            <w:r w:rsidRPr="00873B6C">
              <w:rPr>
                <w:sz w:val="16"/>
                <w:szCs w:val="16"/>
              </w:rPr>
              <w:t>SP-230078</w:t>
            </w:r>
          </w:p>
        </w:tc>
        <w:tc>
          <w:tcPr>
            <w:tcW w:w="567" w:type="dxa"/>
            <w:shd w:val="solid" w:color="FFFFFF" w:fill="auto"/>
          </w:tcPr>
          <w:p w14:paraId="7FD0C0F3" w14:textId="6A841E21" w:rsidR="0022127D" w:rsidRPr="00873B6C" w:rsidRDefault="0022127D" w:rsidP="002C4A81">
            <w:pPr>
              <w:pStyle w:val="TAL"/>
              <w:rPr>
                <w:sz w:val="16"/>
                <w:szCs w:val="16"/>
              </w:rPr>
            </w:pPr>
            <w:r w:rsidRPr="00873B6C">
              <w:rPr>
                <w:sz w:val="16"/>
                <w:szCs w:val="16"/>
              </w:rPr>
              <w:t>4107</w:t>
            </w:r>
          </w:p>
        </w:tc>
        <w:tc>
          <w:tcPr>
            <w:tcW w:w="425" w:type="dxa"/>
            <w:shd w:val="solid" w:color="FFFFFF" w:fill="auto"/>
          </w:tcPr>
          <w:p w14:paraId="0687398B" w14:textId="6984D8B6"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0CB7485D" w14:textId="287AC092" w:rsidR="0022127D" w:rsidRPr="00873B6C" w:rsidRDefault="0022127D" w:rsidP="002C4A81">
            <w:pPr>
              <w:pStyle w:val="TAL"/>
              <w:rPr>
                <w:sz w:val="16"/>
                <w:szCs w:val="16"/>
              </w:rPr>
            </w:pPr>
            <w:r w:rsidRPr="00873B6C">
              <w:rPr>
                <w:sz w:val="16"/>
                <w:szCs w:val="16"/>
              </w:rPr>
              <w:t>C</w:t>
            </w:r>
          </w:p>
        </w:tc>
        <w:tc>
          <w:tcPr>
            <w:tcW w:w="4820" w:type="dxa"/>
            <w:shd w:val="solid" w:color="FFFFFF" w:fill="auto"/>
          </w:tcPr>
          <w:p w14:paraId="6E5FDA78" w14:textId="083A5D96" w:rsidR="0022127D" w:rsidRPr="00873B6C" w:rsidRDefault="0022127D" w:rsidP="002C4A81">
            <w:pPr>
              <w:pStyle w:val="TAL"/>
              <w:rPr>
                <w:sz w:val="16"/>
                <w:szCs w:val="16"/>
              </w:rPr>
            </w:pPr>
            <w:r w:rsidRPr="00873B6C">
              <w:rPr>
                <w:sz w:val="16"/>
                <w:szCs w:val="16"/>
              </w:rPr>
              <w:t>UE mobility when moving together with a MBSR cell</w:t>
            </w:r>
          </w:p>
        </w:tc>
        <w:tc>
          <w:tcPr>
            <w:tcW w:w="708" w:type="dxa"/>
            <w:shd w:val="solid" w:color="FFFFFF" w:fill="auto"/>
          </w:tcPr>
          <w:p w14:paraId="6E4D20C2" w14:textId="4224EDFA" w:rsidR="0022127D" w:rsidRPr="00873B6C" w:rsidRDefault="0022127D" w:rsidP="002C4A81">
            <w:pPr>
              <w:pStyle w:val="TAC"/>
              <w:rPr>
                <w:sz w:val="16"/>
                <w:szCs w:val="16"/>
              </w:rPr>
            </w:pPr>
            <w:r w:rsidRPr="00873B6C">
              <w:rPr>
                <w:sz w:val="16"/>
                <w:szCs w:val="16"/>
              </w:rPr>
              <w:t>18.1.0</w:t>
            </w:r>
          </w:p>
        </w:tc>
      </w:tr>
      <w:tr w:rsidR="0022127D" w:rsidRPr="00873B6C" w14:paraId="02C3BE85" w14:textId="77777777" w:rsidTr="009D14FB">
        <w:tc>
          <w:tcPr>
            <w:tcW w:w="800" w:type="dxa"/>
            <w:shd w:val="solid" w:color="FFFFFF" w:fill="auto"/>
          </w:tcPr>
          <w:p w14:paraId="2A223E2B" w14:textId="2A709BBB"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7EB7D055" w14:textId="3D131D3E"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6CC04F7A" w14:textId="15EC4D68" w:rsidR="0022127D" w:rsidRPr="00873B6C" w:rsidRDefault="0022127D" w:rsidP="002C4A81">
            <w:pPr>
              <w:pStyle w:val="TAC"/>
              <w:rPr>
                <w:sz w:val="16"/>
                <w:szCs w:val="16"/>
              </w:rPr>
            </w:pPr>
            <w:r w:rsidRPr="00873B6C">
              <w:rPr>
                <w:sz w:val="16"/>
                <w:szCs w:val="16"/>
              </w:rPr>
              <w:t>SP-230078</w:t>
            </w:r>
          </w:p>
        </w:tc>
        <w:tc>
          <w:tcPr>
            <w:tcW w:w="567" w:type="dxa"/>
            <w:shd w:val="solid" w:color="FFFFFF" w:fill="auto"/>
          </w:tcPr>
          <w:p w14:paraId="28B5EC3D" w14:textId="2155A8DE" w:rsidR="0022127D" w:rsidRPr="00873B6C" w:rsidRDefault="0022127D" w:rsidP="002C4A81">
            <w:pPr>
              <w:pStyle w:val="TAL"/>
              <w:rPr>
                <w:sz w:val="16"/>
                <w:szCs w:val="16"/>
              </w:rPr>
            </w:pPr>
            <w:r w:rsidRPr="00873B6C">
              <w:rPr>
                <w:sz w:val="16"/>
                <w:szCs w:val="16"/>
              </w:rPr>
              <w:t>4108</w:t>
            </w:r>
          </w:p>
        </w:tc>
        <w:tc>
          <w:tcPr>
            <w:tcW w:w="425" w:type="dxa"/>
            <w:shd w:val="solid" w:color="FFFFFF" w:fill="auto"/>
          </w:tcPr>
          <w:p w14:paraId="6634AFCF" w14:textId="6E3C2237"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0E497543" w14:textId="13F98275"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332455BF" w14:textId="660E7A53" w:rsidR="0022127D" w:rsidRPr="00873B6C" w:rsidRDefault="0022127D" w:rsidP="002C4A81">
            <w:pPr>
              <w:pStyle w:val="TAL"/>
              <w:rPr>
                <w:sz w:val="16"/>
                <w:szCs w:val="16"/>
              </w:rPr>
            </w:pPr>
            <w:r w:rsidRPr="00873B6C">
              <w:rPr>
                <w:sz w:val="16"/>
                <w:szCs w:val="16"/>
              </w:rPr>
              <w:t>Configuration of the MBSR node</w:t>
            </w:r>
          </w:p>
        </w:tc>
        <w:tc>
          <w:tcPr>
            <w:tcW w:w="708" w:type="dxa"/>
            <w:shd w:val="solid" w:color="FFFFFF" w:fill="auto"/>
          </w:tcPr>
          <w:p w14:paraId="13FA4207" w14:textId="5477A85B" w:rsidR="0022127D" w:rsidRPr="00873B6C" w:rsidRDefault="0022127D" w:rsidP="002C4A81">
            <w:pPr>
              <w:pStyle w:val="TAC"/>
              <w:rPr>
                <w:sz w:val="16"/>
                <w:szCs w:val="16"/>
              </w:rPr>
            </w:pPr>
            <w:r w:rsidRPr="00873B6C">
              <w:rPr>
                <w:sz w:val="16"/>
                <w:szCs w:val="16"/>
              </w:rPr>
              <w:t>18.1.0</w:t>
            </w:r>
          </w:p>
        </w:tc>
      </w:tr>
      <w:tr w:rsidR="0022127D" w:rsidRPr="00873B6C" w14:paraId="14633E34" w14:textId="77777777" w:rsidTr="009D14FB">
        <w:tc>
          <w:tcPr>
            <w:tcW w:w="800" w:type="dxa"/>
            <w:shd w:val="solid" w:color="FFFFFF" w:fill="auto"/>
          </w:tcPr>
          <w:p w14:paraId="6E6E09B6" w14:textId="3E5612C1" w:rsidR="0022127D" w:rsidRPr="00873B6C" w:rsidRDefault="0022127D" w:rsidP="002C4A81">
            <w:pPr>
              <w:pStyle w:val="TAC"/>
              <w:rPr>
                <w:sz w:val="16"/>
                <w:szCs w:val="16"/>
              </w:rPr>
            </w:pPr>
            <w:r w:rsidRPr="00873B6C">
              <w:rPr>
                <w:sz w:val="16"/>
                <w:szCs w:val="16"/>
              </w:rPr>
              <w:lastRenderedPageBreak/>
              <w:t>2023-03</w:t>
            </w:r>
          </w:p>
        </w:tc>
        <w:tc>
          <w:tcPr>
            <w:tcW w:w="800" w:type="dxa"/>
            <w:shd w:val="solid" w:color="FFFFFF" w:fill="auto"/>
          </w:tcPr>
          <w:p w14:paraId="0E777119" w14:textId="071A42FE"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173A87CD" w14:textId="2BE5CD97" w:rsidR="0022127D" w:rsidRPr="00873B6C" w:rsidRDefault="0022127D" w:rsidP="002C4A81">
            <w:pPr>
              <w:pStyle w:val="TAC"/>
              <w:rPr>
                <w:sz w:val="16"/>
                <w:szCs w:val="16"/>
              </w:rPr>
            </w:pPr>
            <w:r w:rsidRPr="00873B6C">
              <w:rPr>
                <w:sz w:val="16"/>
                <w:szCs w:val="16"/>
              </w:rPr>
              <w:t>SP-230063</w:t>
            </w:r>
          </w:p>
        </w:tc>
        <w:tc>
          <w:tcPr>
            <w:tcW w:w="567" w:type="dxa"/>
            <w:shd w:val="solid" w:color="FFFFFF" w:fill="auto"/>
          </w:tcPr>
          <w:p w14:paraId="3B789465" w14:textId="1588CBB0" w:rsidR="0022127D" w:rsidRPr="00873B6C" w:rsidRDefault="0022127D" w:rsidP="002C4A81">
            <w:pPr>
              <w:pStyle w:val="TAL"/>
              <w:rPr>
                <w:sz w:val="16"/>
                <w:szCs w:val="16"/>
              </w:rPr>
            </w:pPr>
            <w:r w:rsidRPr="00873B6C">
              <w:rPr>
                <w:sz w:val="16"/>
                <w:szCs w:val="16"/>
              </w:rPr>
              <w:t>4118</w:t>
            </w:r>
          </w:p>
        </w:tc>
        <w:tc>
          <w:tcPr>
            <w:tcW w:w="425" w:type="dxa"/>
            <w:shd w:val="solid" w:color="FFFFFF" w:fill="auto"/>
          </w:tcPr>
          <w:p w14:paraId="1BE1C720" w14:textId="3BFAE85E" w:rsidR="0022127D" w:rsidRPr="00873B6C" w:rsidRDefault="0022127D" w:rsidP="002C4A81">
            <w:pPr>
              <w:pStyle w:val="TAL"/>
              <w:rPr>
                <w:sz w:val="16"/>
                <w:szCs w:val="16"/>
              </w:rPr>
            </w:pPr>
            <w:r w:rsidRPr="00873B6C">
              <w:rPr>
                <w:sz w:val="16"/>
                <w:szCs w:val="16"/>
              </w:rPr>
              <w:t>3</w:t>
            </w:r>
          </w:p>
        </w:tc>
        <w:tc>
          <w:tcPr>
            <w:tcW w:w="425" w:type="dxa"/>
            <w:shd w:val="solid" w:color="FFFFFF" w:fill="auto"/>
          </w:tcPr>
          <w:p w14:paraId="3FA0E7B3" w14:textId="23B1384A"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1AE58609" w14:textId="60C93610" w:rsidR="0022127D" w:rsidRPr="00873B6C" w:rsidRDefault="0022127D" w:rsidP="002C4A81">
            <w:pPr>
              <w:pStyle w:val="TAL"/>
              <w:rPr>
                <w:sz w:val="16"/>
                <w:szCs w:val="16"/>
              </w:rPr>
            </w:pPr>
            <w:r w:rsidRPr="00873B6C">
              <w:rPr>
                <w:sz w:val="16"/>
                <w:szCs w:val="16"/>
              </w:rPr>
              <w:t>Support of non-3GPP access to SNPN</w:t>
            </w:r>
          </w:p>
        </w:tc>
        <w:tc>
          <w:tcPr>
            <w:tcW w:w="708" w:type="dxa"/>
            <w:shd w:val="solid" w:color="FFFFFF" w:fill="auto"/>
          </w:tcPr>
          <w:p w14:paraId="7253D019" w14:textId="222BF315" w:rsidR="0022127D" w:rsidRPr="00873B6C" w:rsidRDefault="0022127D" w:rsidP="002C4A81">
            <w:pPr>
              <w:pStyle w:val="TAC"/>
              <w:rPr>
                <w:sz w:val="16"/>
                <w:szCs w:val="16"/>
              </w:rPr>
            </w:pPr>
            <w:r w:rsidRPr="00873B6C">
              <w:rPr>
                <w:sz w:val="16"/>
                <w:szCs w:val="16"/>
              </w:rPr>
              <w:t>18.1.0</w:t>
            </w:r>
          </w:p>
        </w:tc>
      </w:tr>
      <w:tr w:rsidR="00022CB9" w:rsidRPr="00873B6C" w14:paraId="0B49DD4E" w14:textId="77777777" w:rsidTr="009D14FB">
        <w:tc>
          <w:tcPr>
            <w:tcW w:w="800" w:type="dxa"/>
            <w:shd w:val="solid" w:color="FFFFFF" w:fill="auto"/>
          </w:tcPr>
          <w:p w14:paraId="3F671A8C" w14:textId="2BBBBC19"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7172371C" w14:textId="5C2BDEDA"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45B92D99" w14:textId="589C9CF0" w:rsidR="00022CB9" w:rsidRPr="00873B6C" w:rsidRDefault="00022CB9" w:rsidP="002C4A81">
            <w:pPr>
              <w:pStyle w:val="TAC"/>
              <w:rPr>
                <w:sz w:val="16"/>
                <w:szCs w:val="16"/>
              </w:rPr>
            </w:pPr>
            <w:r w:rsidRPr="00873B6C">
              <w:rPr>
                <w:sz w:val="16"/>
                <w:szCs w:val="16"/>
              </w:rPr>
              <w:t>SP-230063</w:t>
            </w:r>
          </w:p>
        </w:tc>
        <w:tc>
          <w:tcPr>
            <w:tcW w:w="567" w:type="dxa"/>
            <w:shd w:val="solid" w:color="FFFFFF" w:fill="auto"/>
          </w:tcPr>
          <w:p w14:paraId="6C172D4E" w14:textId="1A112DE2" w:rsidR="00022CB9" w:rsidRPr="00873B6C" w:rsidRDefault="00022CB9" w:rsidP="002C4A81">
            <w:pPr>
              <w:pStyle w:val="TAL"/>
              <w:rPr>
                <w:sz w:val="16"/>
                <w:szCs w:val="16"/>
              </w:rPr>
            </w:pPr>
            <w:r w:rsidRPr="00873B6C">
              <w:rPr>
                <w:sz w:val="16"/>
                <w:szCs w:val="16"/>
              </w:rPr>
              <w:t>4119</w:t>
            </w:r>
          </w:p>
        </w:tc>
        <w:tc>
          <w:tcPr>
            <w:tcW w:w="425" w:type="dxa"/>
            <w:shd w:val="solid" w:color="FFFFFF" w:fill="auto"/>
          </w:tcPr>
          <w:p w14:paraId="50320AA9" w14:textId="201A0507" w:rsidR="00022CB9" w:rsidRPr="00873B6C" w:rsidRDefault="00022CB9" w:rsidP="002C4A81">
            <w:pPr>
              <w:pStyle w:val="TAL"/>
              <w:rPr>
                <w:sz w:val="16"/>
                <w:szCs w:val="16"/>
              </w:rPr>
            </w:pPr>
            <w:r w:rsidRPr="00873B6C">
              <w:rPr>
                <w:sz w:val="16"/>
                <w:szCs w:val="16"/>
              </w:rPr>
              <w:t>3</w:t>
            </w:r>
          </w:p>
        </w:tc>
        <w:tc>
          <w:tcPr>
            <w:tcW w:w="425" w:type="dxa"/>
            <w:shd w:val="solid" w:color="FFFFFF" w:fill="auto"/>
          </w:tcPr>
          <w:p w14:paraId="2ACFE304" w14:textId="213FB3CA"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0444E055" w14:textId="23E1027C" w:rsidR="00022CB9" w:rsidRPr="00873B6C" w:rsidRDefault="00022CB9" w:rsidP="002C4A81">
            <w:pPr>
              <w:pStyle w:val="TAL"/>
              <w:rPr>
                <w:sz w:val="16"/>
                <w:szCs w:val="16"/>
              </w:rPr>
            </w:pPr>
            <w:r w:rsidRPr="00873B6C">
              <w:rPr>
                <w:sz w:val="16"/>
                <w:szCs w:val="16"/>
              </w:rPr>
              <w:t>Support of allowed CAG list with validity condition</w:t>
            </w:r>
          </w:p>
        </w:tc>
        <w:tc>
          <w:tcPr>
            <w:tcW w:w="708" w:type="dxa"/>
            <w:shd w:val="solid" w:color="FFFFFF" w:fill="auto"/>
          </w:tcPr>
          <w:p w14:paraId="615EC21E" w14:textId="0A290812" w:rsidR="00022CB9" w:rsidRPr="00873B6C" w:rsidRDefault="00022CB9" w:rsidP="002C4A81">
            <w:pPr>
              <w:pStyle w:val="TAC"/>
              <w:rPr>
                <w:sz w:val="16"/>
                <w:szCs w:val="16"/>
              </w:rPr>
            </w:pPr>
            <w:r w:rsidRPr="00873B6C">
              <w:rPr>
                <w:sz w:val="16"/>
                <w:szCs w:val="16"/>
              </w:rPr>
              <w:t>18.1.0</w:t>
            </w:r>
          </w:p>
        </w:tc>
      </w:tr>
      <w:tr w:rsidR="00022CB9" w:rsidRPr="00873B6C" w14:paraId="03538C39" w14:textId="77777777" w:rsidTr="009D14FB">
        <w:tc>
          <w:tcPr>
            <w:tcW w:w="800" w:type="dxa"/>
            <w:shd w:val="solid" w:color="FFFFFF" w:fill="auto"/>
          </w:tcPr>
          <w:p w14:paraId="0EB9A4E2" w14:textId="3737105E"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02F733D1" w14:textId="567BBFB0"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608B97DD" w14:textId="444692E6" w:rsidR="00022CB9" w:rsidRPr="00873B6C" w:rsidRDefault="00022CB9" w:rsidP="002C4A81">
            <w:pPr>
              <w:pStyle w:val="TAC"/>
              <w:rPr>
                <w:sz w:val="16"/>
                <w:szCs w:val="16"/>
              </w:rPr>
            </w:pPr>
            <w:r w:rsidRPr="00873B6C">
              <w:rPr>
                <w:sz w:val="16"/>
                <w:szCs w:val="16"/>
              </w:rPr>
              <w:t>SP-230063</w:t>
            </w:r>
          </w:p>
        </w:tc>
        <w:tc>
          <w:tcPr>
            <w:tcW w:w="567" w:type="dxa"/>
            <w:shd w:val="solid" w:color="FFFFFF" w:fill="auto"/>
          </w:tcPr>
          <w:p w14:paraId="664DE94E" w14:textId="6475B61A" w:rsidR="00022CB9" w:rsidRPr="00873B6C" w:rsidRDefault="00022CB9" w:rsidP="002C4A81">
            <w:pPr>
              <w:pStyle w:val="TAL"/>
              <w:rPr>
                <w:sz w:val="16"/>
                <w:szCs w:val="16"/>
              </w:rPr>
            </w:pPr>
            <w:r w:rsidRPr="00873B6C">
              <w:rPr>
                <w:sz w:val="16"/>
                <w:szCs w:val="16"/>
              </w:rPr>
              <w:t>4124</w:t>
            </w:r>
          </w:p>
        </w:tc>
        <w:tc>
          <w:tcPr>
            <w:tcW w:w="425" w:type="dxa"/>
            <w:shd w:val="solid" w:color="FFFFFF" w:fill="auto"/>
          </w:tcPr>
          <w:p w14:paraId="55FC3505" w14:textId="12D7E441" w:rsidR="00022CB9" w:rsidRPr="00873B6C" w:rsidRDefault="00022CB9" w:rsidP="002C4A81">
            <w:pPr>
              <w:pStyle w:val="TAL"/>
              <w:rPr>
                <w:sz w:val="16"/>
                <w:szCs w:val="16"/>
              </w:rPr>
            </w:pPr>
            <w:r w:rsidRPr="00873B6C">
              <w:rPr>
                <w:sz w:val="16"/>
                <w:szCs w:val="16"/>
              </w:rPr>
              <w:t>3</w:t>
            </w:r>
          </w:p>
        </w:tc>
        <w:tc>
          <w:tcPr>
            <w:tcW w:w="425" w:type="dxa"/>
            <w:shd w:val="solid" w:color="FFFFFF" w:fill="auto"/>
          </w:tcPr>
          <w:p w14:paraId="478AD8EF" w14:textId="7F5C5F29"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34B113AE" w14:textId="15BBA806" w:rsidR="00022CB9" w:rsidRPr="00873B6C" w:rsidRDefault="00022CB9" w:rsidP="002C4A81">
            <w:pPr>
              <w:pStyle w:val="TAL"/>
              <w:rPr>
                <w:sz w:val="16"/>
                <w:szCs w:val="16"/>
              </w:rPr>
            </w:pPr>
            <w:r w:rsidRPr="00873B6C">
              <w:rPr>
                <w:sz w:val="16"/>
                <w:szCs w:val="16"/>
              </w:rPr>
              <w:t>Support of wireline access as access to SNPN</w:t>
            </w:r>
          </w:p>
        </w:tc>
        <w:tc>
          <w:tcPr>
            <w:tcW w:w="708" w:type="dxa"/>
            <w:shd w:val="solid" w:color="FFFFFF" w:fill="auto"/>
          </w:tcPr>
          <w:p w14:paraId="084CBF4C" w14:textId="5B29B908" w:rsidR="00022CB9" w:rsidRPr="00873B6C" w:rsidRDefault="00022CB9" w:rsidP="002C4A81">
            <w:pPr>
              <w:pStyle w:val="TAC"/>
              <w:rPr>
                <w:sz w:val="16"/>
                <w:szCs w:val="16"/>
              </w:rPr>
            </w:pPr>
            <w:r w:rsidRPr="00873B6C">
              <w:rPr>
                <w:sz w:val="16"/>
                <w:szCs w:val="16"/>
              </w:rPr>
              <w:t>18.1.0</w:t>
            </w:r>
          </w:p>
        </w:tc>
      </w:tr>
      <w:tr w:rsidR="00022CB9" w:rsidRPr="00873B6C" w14:paraId="559F143E" w14:textId="77777777" w:rsidTr="009D14FB">
        <w:tc>
          <w:tcPr>
            <w:tcW w:w="800" w:type="dxa"/>
            <w:shd w:val="solid" w:color="FFFFFF" w:fill="auto"/>
          </w:tcPr>
          <w:p w14:paraId="0988954B" w14:textId="52D86D62"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57D411CC" w14:textId="53E920CB"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7DBB97BF" w14:textId="7617515C" w:rsidR="00022CB9" w:rsidRPr="00873B6C" w:rsidRDefault="00022CB9" w:rsidP="002C4A81">
            <w:pPr>
              <w:pStyle w:val="TAC"/>
              <w:rPr>
                <w:sz w:val="16"/>
                <w:szCs w:val="16"/>
              </w:rPr>
            </w:pPr>
            <w:r w:rsidRPr="00873B6C">
              <w:rPr>
                <w:sz w:val="16"/>
                <w:szCs w:val="16"/>
              </w:rPr>
              <w:t>SP-230054</w:t>
            </w:r>
          </w:p>
        </w:tc>
        <w:tc>
          <w:tcPr>
            <w:tcW w:w="567" w:type="dxa"/>
            <w:shd w:val="solid" w:color="FFFFFF" w:fill="auto"/>
          </w:tcPr>
          <w:p w14:paraId="20B97605" w14:textId="319BDD92" w:rsidR="00022CB9" w:rsidRPr="00873B6C" w:rsidRDefault="00022CB9" w:rsidP="002C4A81">
            <w:pPr>
              <w:pStyle w:val="TAL"/>
              <w:rPr>
                <w:sz w:val="16"/>
                <w:szCs w:val="16"/>
              </w:rPr>
            </w:pPr>
            <w:r w:rsidRPr="00873B6C">
              <w:rPr>
                <w:sz w:val="16"/>
                <w:szCs w:val="16"/>
              </w:rPr>
              <w:t>4128</w:t>
            </w:r>
          </w:p>
        </w:tc>
        <w:tc>
          <w:tcPr>
            <w:tcW w:w="425" w:type="dxa"/>
            <w:shd w:val="solid" w:color="FFFFFF" w:fill="auto"/>
          </w:tcPr>
          <w:p w14:paraId="05F16C92" w14:textId="438FEB01" w:rsidR="00022CB9" w:rsidRPr="00873B6C" w:rsidRDefault="00022CB9" w:rsidP="002C4A81">
            <w:pPr>
              <w:pStyle w:val="TAL"/>
              <w:rPr>
                <w:sz w:val="16"/>
                <w:szCs w:val="16"/>
              </w:rPr>
            </w:pPr>
            <w:r w:rsidRPr="00873B6C">
              <w:rPr>
                <w:sz w:val="16"/>
                <w:szCs w:val="16"/>
              </w:rPr>
              <w:t>4</w:t>
            </w:r>
          </w:p>
        </w:tc>
        <w:tc>
          <w:tcPr>
            <w:tcW w:w="425" w:type="dxa"/>
            <w:shd w:val="solid" w:color="FFFFFF" w:fill="auto"/>
          </w:tcPr>
          <w:p w14:paraId="19DECCD9" w14:textId="03374B5A"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13654FF7" w14:textId="7B5261D5" w:rsidR="00022CB9" w:rsidRPr="00873B6C" w:rsidRDefault="00022CB9" w:rsidP="002C4A81">
            <w:pPr>
              <w:pStyle w:val="TAL"/>
              <w:rPr>
                <w:sz w:val="16"/>
                <w:szCs w:val="16"/>
              </w:rPr>
            </w:pPr>
            <w:r w:rsidRPr="00873B6C">
              <w:rPr>
                <w:sz w:val="16"/>
                <w:szCs w:val="16"/>
              </w:rPr>
              <w:t>Support of Group AF Sessions for QoS Resource Allocation and QoS monitoring operation</w:t>
            </w:r>
          </w:p>
        </w:tc>
        <w:tc>
          <w:tcPr>
            <w:tcW w:w="708" w:type="dxa"/>
            <w:shd w:val="solid" w:color="FFFFFF" w:fill="auto"/>
          </w:tcPr>
          <w:p w14:paraId="30B973E0" w14:textId="228013AE" w:rsidR="00022CB9" w:rsidRPr="00873B6C" w:rsidRDefault="00022CB9" w:rsidP="002C4A81">
            <w:pPr>
              <w:pStyle w:val="TAC"/>
              <w:rPr>
                <w:sz w:val="16"/>
                <w:szCs w:val="16"/>
              </w:rPr>
            </w:pPr>
            <w:r w:rsidRPr="00873B6C">
              <w:rPr>
                <w:sz w:val="16"/>
                <w:szCs w:val="16"/>
              </w:rPr>
              <w:t>18.1.0</w:t>
            </w:r>
          </w:p>
        </w:tc>
      </w:tr>
      <w:tr w:rsidR="00022CB9" w:rsidRPr="00873B6C" w14:paraId="6D511F68" w14:textId="77777777" w:rsidTr="009D14FB">
        <w:tc>
          <w:tcPr>
            <w:tcW w:w="800" w:type="dxa"/>
            <w:shd w:val="solid" w:color="FFFFFF" w:fill="auto"/>
          </w:tcPr>
          <w:p w14:paraId="1A661B88" w14:textId="5C2EB983"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5A3AE561" w14:textId="078FC39D"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207EA430" w14:textId="1F808B6D" w:rsidR="00022CB9" w:rsidRPr="00873B6C" w:rsidRDefault="00022CB9" w:rsidP="002C4A81">
            <w:pPr>
              <w:pStyle w:val="TAC"/>
              <w:rPr>
                <w:sz w:val="16"/>
                <w:szCs w:val="16"/>
              </w:rPr>
            </w:pPr>
            <w:r w:rsidRPr="00873B6C">
              <w:rPr>
                <w:sz w:val="16"/>
                <w:szCs w:val="16"/>
              </w:rPr>
              <w:t>SP-230052</w:t>
            </w:r>
          </w:p>
        </w:tc>
        <w:tc>
          <w:tcPr>
            <w:tcW w:w="567" w:type="dxa"/>
            <w:shd w:val="solid" w:color="FFFFFF" w:fill="auto"/>
          </w:tcPr>
          <w:p w14:paraId="356D9922" w14:textId="31501C87" w:rsidR="00022CB9" w:rsidRPr="00873B6C" w:rsidRDefault="00022CB9" w:rsidP="002C4A81">
            <w:pPr>
              <w:pStyle w:val="TAL"/>
              <w:rPr>
                <w:sz w:val="16"/>
                <w:szCs w:val="16"/>
              </w:rPr>
            </w:pPr>
            <w:r w:rsidRPr="00873B6C">
              <w:rPr>
                <w:sz w:val="16"/>
                <w:szCs w:val="16"/>
              </w:rPr>
              <w:t>4133</w:t>
            </w:r>
          </w:p>
        </w:tc>
        <w:tc>
          <w:tcPr>
            <w:tcW w:w="425" w:type="dxa"/>
            <w:shd w:val="solid" w:color="FFFFFF" w:fill="auto"/>
          </w:tcPr>
          <w:p w14:paraId="48988312" w14:textId="69632D40" w:rsidR="00022CB9" w:rsidRPr="00873B6C" w:rsidRDefault="00022CB9" w:rsidP="002C4A81">
            <w:pPr>
              <w:pStyle w:val="TAL"/>
              <w:rPr>
                <w:sz w:val="16"/>
                <w:szCs w:val="16"/>
              </w:rPr>
            </w:pPr>
            <w:r w:rsidRPr="00873B6C">
              <w:rPr>
                <w:sz w:val="16"/>
                <w:szCs w:val="16"/>
              </w:rPr>
              <w:t>2</w:t>
            </w:r>
          </w:p>
        </w:tc>
        <w:tc>
          <w:tcPr>
            <w:tcW w:w="425" w:type="dxa"/>
            <w:shd w:val="solid" w:color="FFFFFF" w:fill="auto"/>
          </w:tcPr>
          <w:p w14:paraId="1DE91B97" w14:textId="1CCBD1A9"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12D41F5D" w14:textId="5236F8F7" w:rsidR="00022CB9" w:rsidRPr="00873B6C" w:rsidRDefault="00022CB9" w:rsidP="002C4A81">
            <w:pPr>
              <w:pStyle w:val="TAL"/>
              <w:rPr>
                <w:sz w:val="16"/>
                <w:szCs w:val="16"/>
              </w:rPr>
            </w:pPr>
            <w:r w:rsidRPr="00873B6C">
              <w:rPr>
                <w:sz w:val="16"/>
                <w:szCs w:val="16"/>
              </w:rPr>
              <w:t>Ensuring that a geographical area requested for a time sync service coincides with a RA</w:t>
            </w:r>
          </w:p>
        </w:tc>
        <w:tc>
          <w:tcPr>
            <w:tcW w:w="708" w:type="dxa"/>
            <w:shd w:val="solid" w:color="FFFFFF" w:fill="auto"/>
          </w:tcPr>
          <w:p w14:paraId="6EC3EC67" w14:textId="21F9FAE4" w:rsidR="00022CB9" w:rsidRPr="00873B6C" w:rsidRDefault="00022CB9" w:rsidP="002C4A81">
            <w:pPr>
              <w:pStyle w:val="TAC"/>
              <w:rPr>
                <w:sz w:val="16"/>
                <w:szCs w:val="16"/>
              </w:rPr>
            </w:pPr>
            <w:r w:rsidRPr="00873B6C">
              <w:rPr>
                <w:sz w:val="16"/>
                <w:szCs w:val="16"/>
              </w:rPr>
              <w:t>18.1.0</w:t>
            </w:r>
          </w:p>
        </w:tc>
      </w:tr>
      <w:tr w:rsidR="00022CB9" w:rsidRPr="00873B6C" w14:paraId="031AED90" w14:textId="77777777" w:rsidTr="009D14FB">
        <w:tc>
          <w:tcPr>
            <w:tcW w:w="800" w:type="dxa"/>
            <w:shd w:val="solid" w:color="FFFFFF" w:fill="auto"/>
          </w:tcPr>
          <w:p w14:paraId="34344410" w14:textId="3B18570C"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5423E74A" w14:textId="2FD047DF"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006CD4AF" w14:textId="368C8940" w:rsidR="00022CB9" w:rsidRPr="00873B6C" w:rsidRDefault="00022CB9" w:rsidP="002C4A81">
            <w:pPr>
              <w:pStyle w:val="TAC"/>
              <w:rPr>
                <w:sz w:val="16"/>
                <w:szCs w:val="16"/>
              </w:rPr>
            </w:pPr>
            <w:r w:rsidRPr="00873B6C">
              <w:rPr>
                <w:sz w:val="16"/>
                <w:szCs w:val="16"/>
              </w:rPr>
              <w:t>SP-230040</w:t>
            </w:r>
          </w:p>
        </w:tc>
        <w:tc>
          <w:tcPr>
            <w:tcW w:w="567" w:type="dxa"/>
            <w:shd w:val="solid" w:color="FFFFFF" w:fill="auto"/>
          </w:tcPr>
          <w:p w14:paraId="6A27E609" w14:textId="6461FEB1" w:rsidR="00022CB9" w:rsidRPr="00873B6C" w:rsidRDefault="00022CB9" w:rsidP="002C4A81">
            <w:pPr>
              <w:pStyle w:val="TAL"/>
              <w:rPr>
                <w:sz w:val="16"/>
                <w:szCs w:val="16"/>
              </w:rPr>
            </w:pPr>
            <w:r w:rsidRPr="00873B6C">
              <w:rPr>
                <w:sz w:val="16"/>
                <w:szCs w:val="16"/>
              </w:rPr>
              <w:t>4137</w:t>
            </w:r>
          </w:p>
        </w:tc>
        <w:tc>
          <w:tcPr>
            <w:tcW w:w="425" w:type="dxa"/>
            <w:shd w:val="solid" w:color="FFFFFF" w:fill="auto"/>
          </w:tcPr>
          <w:p w14:paraId="17B0C469" w14:textId="1E74AD7C" w:rsidR="00022CB9" w:rsidRPr="00873B6C" w:rsidRDefault="00022CB9" w:rsidP="002C4A81">
            <w:pPr>
              <w:pStyle w:val="TAL"/>
              <w:rPr>
                <w:sz w:val="16"/>
                <w:szCs w:val="16"/>
              </w:rPr>
            </w:pPr>
            <w:r w:rsidRPr="00873B6C">
              <w:rPr>
                <w:sz w:val="16"/>
                <w:szCs w:val="16"/>
              </w:rPr>
              <w:t>1</w:t>
            </w:r>
          </w:p>
        </w:tc>
        <w:tc>
          <w:tcPr>
            <w:tcW w:w="425" w:type="dxa"/>
            <w:shd w:val="solid" w:color="FFFFFF" w:fill="auto"/>
          </w:tcPr>
          <w:p w14:paraId="736BA69D" w14:textId="7D303813" w:rsidR="00022CB9" w:rsidRPr="00873B6C" w:rsidRDefault="00022CB9" w:rsidP="002C4A81">
            <w:pPr>
              <w:pStyle w:val="TAL"/>
              <w:rPr>
                <w:sz w:val="16"/>
                <w:szCs w:val="16"/>
              </w:rPr>
            </w:pPr>
            <w:r w:rsidRPr="00873B6C">
              <w:rPr>
                <w:sz w:val="16"/>
                <w:szCs w:val="16"/>
              </w:rPr>
              <w:t>A</w:t>
            </w:r>
          </w:p>
        </w:tc>
        <w:tc>
          <w:tcPr>
            <w:tcW w:w="4820" w:type="dxa"/>
            <w:shd w:val="solid" w:color="FFFFFF" w:fill="auto"/>
          </w:tcPr>
          <w:p w14:paraId="03E3D744" w14:textId="3DE41C6D" w:rsidR="00022CB9" w:rsidRPr="00873B6C" w:rsidRDefault="00022CB9" w:rsidP="002C4A81">
            <w:pPr>
              <w:pStyle w:val="TAL"/>
              <w:rPr>
                <w:sz w:val="16"/>
                <w:szCs w:val="16"/>
              </w:rPr>
            </w:pPr>
            <w:r w:rsidRPr="00873B6C">
              <w:rPr>
                <w:sz w:val="16"/>
                <w:szCs w:val="16"/>
              </w:rPr>
              <w:t>UE-Slice-MBR clarifications including for priority services</w:t>
            </w:r>
          </w:p>
        </w:tc>
        <w:tc>
          <w:tcPr>
            <w:tcW w:w="708" w:type="dxa"/>
            <w:shd w:val="solid" w:color="FFFFFF" w:fill="auto"/>
          </w:tcPr>
          <w:p w14:paraId="56C5F37D" w14:textId="73234E3F" w:rsidR="00022CB9" w:rsidRPr="00873B6C" w:rsidRDefault="00022CB9" w:rsidP="002C4A81">
            <w:pPr>
              <w:pStyle w:val="TAC"/>
              <w:rPr>
                <w:sz w:val="16"/>
                <w:szCs w:val="16"/>
              </w:rPr>
            </w:pPr>
            <w:r w:rsidRPr="00873B6C">
              <w:rPr>
                <w:sz w:val="16"/>
                <w:szCs w:val="16"/>
              </w:rPr>
              <w:t>18.1.0</w:t>
            </w:r>
          </w:p>
        </w:tc>
      </w:tr>
      <w:tr w:rsidR="00022CB9" w:rsidRPr="00873B6C" w14:paraId="0F705D6C" w14:textId="77777777" w:rsidTr="009D14FB">
        <w:tc>
          <w:tcPr>
            <w:tcW w:w="800" w:type="dxa"/>
            <w:shd w:val="solid" w:color="FFFFFF" w:fill="auto"/>
          </w:tcPr>
          <w:p w14:paraId="056F2928" w14:textId="64BCB1C7"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148AA3E6" w14:textId="35FD0C51"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25BE6328" w14:textId="2252FCA3" w:rsidR="00022CB9" w:rsidRPr="00873B6C" w:rsidRDefault="00022CB9" w:rsidP="002C4A81">
            <w:pPr>
              <w:pStyle w:val="TAC"/>
              <w:rPr>
                <w:sz w:val="16"/>
                <w:szCs w:val="16"/>
              </w:rPr>
            </w:pPr>
            <w:r w:rsidRPr="00873B6C">
              <w:rPr>
                <w:sz w:val="16"/>
                <w:szCs w:val="16"/>
              </w:rPr>
              <w:t>SP-230058</w:t>
            </w:r>
          </w:p>
        </w:tc>
        <w:tc>
          <w:tcPr>
            <w:tcW w:w="567" w:type="dxa"/>
            <w:shd w:val="solid" w:color="FFFFFF" w:fill="auto"/>
          </w:tcPr>
          <w:p w14:paraId="13EEBCA4" w14:textId="47CE3DEA" w:rsidR="00022CB9" w:rsidRPr="00873B6C" w:rsidRDefault="00022CB9" w:rsidP="002C4A81">
            <w:pPr>
              <w:pStyle w:val="TAL"/>
              <w:rPr>
                <w:sz w:val="16"/>
                <w:szCs w:val="16"/>
              </w:rPr>
            </w:pPr>
            <w:r w:rsidRPr="00873B6C">
              <w:rPr>
                <w:sz w:val="16"/>
                <w:szCs w:val="16"/>
              </w:rPr>
              <w:t>4144</w:t>
            </w:r>
          </w:p>
        </w:tc>
        <w:tc>
          <w:tcPr>
            <w:tcW w:w="425" w:type="dxa"/>
            <w:shd w:val="solid" w:color="FFFFFF" w:fill="auto"/>
          </w:tcPr>
          <w:p w14:paraId="48C7A184" w14:textId="4E2A2694" w:rsidR="00022CB9" w:rsidRPr="00873B6C" w:rsidRDefault="00022CB9" w:rsidP="002C4A81">
            <w:pPr>
              <w:pStyle w:val="TAL"/>
              <w:rPr>
                <w:sz w:val="16"/>
                <w:szCs w:val="16"/>
              </w:rPr>
            </w:pPr>
            <w:r w:rsidRPr="00873B6C">
              <w:rPr>
                <w:sz w:val="16"/>
                <w:szCs w:val="16"/>
              </w:rPr>
              <w:t>-</w:t>
            </w:r>
          </w:p>
        </w:tc>
        <w:tc>
          <w:tcPr>
            <w:tcW w:w="425" w:type="dxa"/>
            <w:shd w:val="solid" w:color="FFFFFF" w:fill="auto"/>
          </w:tcPr>
          <w:p w14:paraId="2D8C18CD" w14:textId="4216DD2C"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72A02DC3" w14:textId="022FBFEC" w:rsidR="00022CB9" w:rsidRPr="00873B6C" w:rsidRDefault="00022CB9" w:rsidP="002C4A81">
            <w:pPr>
              <w:pStyle w:val="TAL"/>
              <w:rPr>
                <w:sz w:val="16"/>
                <w:szCs w:val="16"/>
              </w:rPr>
            </w:pPr>
            <w:r w:rsidRPr="00873B6C">
              <w:rPr>
                <w:sz w:val="16"/>
                <w:szCs w:val="16"/>
              </w:rPr>
              <w:t xml:space="preserve">Common EAS re-discovery initiated by SMF </w:t>
            </w:r>
          </w:p>
        </w:tc>
        <w:tc>
          <w:tcPr>
            <w:tcW w:w="708" w:type="dxa"/>
            <w:shd w:val="solid" w:color="FFFFFF" w:fill="auto"/>
          </w:tcPr>
          <w:p w14:paraId="06088203" w14:textId="7CE27987" w:rsidR="00022CB9" w:rsidRPr="00873B6C" w:rsidRDefault="00022CB9" w:rsidP="002C4A81">
            <w:pPr>
              <w:pStyle w:val="TAC"/>
              <w:rPr>
                <w:sz w:val="16"/>
                <w:szCs w:val="16"/>
              </w:rPr>
            </w:pPr>
            <w:r w:rsidRPr="00873B6C">
              <w:rPr>
                <w:sz w:val="16"/>
                <w:szCs w:val="16"/>
              </w:rPr>
              <w:t>18.1.0</w:t>
            </w:r>
          </w:p>
        </w:tc>
      </w:tr>
      <w:tr w:rsidR="00022CB9" w:rsidRPr="00873B6C" w14:paraId="2D1539C1" w14:textId="77777777" w:rsidTr="009D14FB">
        <w:tc>
          <w:tcPr>
            <w:tcW w:w="800" w:type="dxa"/>
            <w:shd w:val="solid" w:color="FFFFFF" w:fill="auto"/>
          </w:tcPr>
          <w:p w14:paraId="3F5DA70D" w14:textId="22557DCD"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06DE7039" w14:textId="44C7EF66"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1E83EDA9" w14:textId="01293A77" w:rsidR="00022CB9" w:rsidRPr="00873B6C" w:rsidRDefault="00022CB9" w:rsidP="002C4A81">
            <w:pPr>
              <w:pStyle w:val="TAC"/>
              <w:rPr>
                <w:sz w:val="16"/>
                <w:szCs w:val="16"/>
              </w:rPr>
            </w:pPr>
            <w:r w:rsidRPr="00873B6C">
              <w:rPr>
                <w:sz w:val="16"/>
                <w:szCs w:val="16"/>
              </w:rPr>
              <w:t>SP-230170</w:t>
            </w:r>
          </w:p>
        </w:tc>
        <w:tc>
          <w:tcPr>
            <w:tcW w:w="567" w:type="dxa"/>
            <w:shd w:val="solid" w:color="FFFFFF" w:fill="auto"/>
          </w:tcPr>
          <w:p w14:paraId="464133A7" w14:textId="4537F24C" w:rsidR="00022CB9" w:rsidRPr="00873B6C" w:rsidRDefault="00022CB9" w:rsidP="002C4A81">
            <w:pPr>
              <w:pStyle w:val="TAL"/>
              <w:rPr>
                <w:sz w:val="16"/>
                <w:szCs w:val="16"/>
              </w:rPr>
            </w:pPr>
            <w:r w:rsidRPr="00873B6C">
              <w:rPr>
                <w:sz w:val="16"/>
                <w:szCs w:val="16"/>
              </w:rPr>
              <w:t>4156</w:t>
            </w:r>
          </w:p>
        </w:tc>
        <w:tc>
          <w:tcPr>
            <w:tcW w:w="425" w:type="dxa"/>
            <w:shd w:val="solid" w:color="FFFFFF" w:fill="auto"/>
          </w:tcPr>
          <w:p w14:paraId="4E675D8A" w14:textId="0E572A13" w:rsidR="00022CB9" w:rsidRPr="00873B6C" w:rsidRDefault="00022CB9" w:rsidP="002C4A81">
            <w:pPr>
              <w:pStyle w:val="TAL"/>
              <w:rPr>
                <w:sz w:val="16"/>
                <w:szCs w:val="16"/>
              </w:rPr>
            </w:pPr>
            <w:r w:rsidRPr="00873B6C">
              <w:rPr>
                <w:sz w:val="16"/>
                <w:szCs w:val="16"/>
              </w:rPr>
              <w:t>2</w:t>
            </w:r>
          </w:p>
        </w:tc>
        <w:tc>
          <w:tcPr>
            <w:tcW w:w="425" w:type="dxa"/>
            <w:shd w:val="solid" w:color="FFFFFF" w:fill="auto"/>
          </w:tcPr>
          <w:p w14:paraId="6E7C6919" w14:textId="40F5D3EC"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35D8C87D" w14:textId="31CFE757" w:rsidR="00022CB9" w:rsidRPr="00873B6C" w:rsidRDefault="00022CB9" w:rsidP="002C4A81">
            <w:pPr>
              <w:pStyle w:val="TAL"/>
              <w:rPr>
                <w:sz w:val="16"/>
                <w:szCs w:val="16"/>
              </w:rPr>
            </w:pPr>
            <w:r w:rsidRPr="00873B6C">
              <w:rPr>
                <w:sz w:val="16"/>
                <w:szCs w:val="16"/>
              </w:rPr>
              <w:t>Event exposure enhancement for enhanced NSAC architecture</w:t>
            </w:r>
          </w:p>
        </w:tc>
        <w:tc>
          <w:tcPr>
            <w:tcW w:w="708" w:type="dxa"/>
            <w:shd w:val="solid" w:color="FFFFFF" w:fill="auto"/>
          </w:tcPr>
          <w:p w14:paraId="5890262C" w14:textId="0FEACFF2" w:rsidR="00022CB9" w:rsidRPr="00873B6C" w:rsidRDefault="00022CB9" w:rsidP="002C4A81">
            <w:pPr>
              <w:pStyle w:val="TAC"/>
              <w:rPr>
                <w:sz w:val="16"/>
                <w:szCs w:val="16"/>
              </w:rPr>
            </w:pPr>
            <w:r w:rsidRPr="00873B6C">
              <w:rPr>
                <w:sz w:val="16"/>
                <w:szCs w:val="16"/>
              </w:rPr>
              <w:t>18.1.0</w:t>
            </w:r>
          </w:p>
        </w:tc>
      </w:tr>
      <w:tr w:rsidR="00022CB9" w:rsidRPr="00873B6C" w14:paraId="450F3C53" w14:textId="77777777" w:rsidTr="009D14FB">
        <w:tc>
          <w:tcPr>
            <w:tcW w:w="800" w:type="dxa"/>
            <w:shd w:val="solid" w:color="FFFFFF" w:fill="auto"/>
          </w:tcPr>
          <w:p w14:paraId="79F45EFD" w14:textId="748A02F5"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2EED0A0B" w14:textId="6DA063CB"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56A724D5" w14:textId="77B6FBC6" w:rsidR="00022CB9" w:rsidRPr="00873B6C" w:rsidRDefault="00B975A9" w:rsidP="002C4A81">
            <w:pPr>
              <w:pStyle w:val="TAC"/>
              <w:rPr>
                <w:sz w:val="16"/>
                <w:szCs w:val="16"/>
              </w:rPr>
            </w:pPr>
            <w:r w:rsidRPr="00873B6C">
              <w:rPr>
                <w:sz w:val="16"/>
                <w:szCs w:val="16"/>
              </w:rPr>
              <w:t>SP-230058</w:t>
            </w:r>
          </w:p>
        </w:tc>
        <w:tc>
          <w:tcPr>
            <w:tcW w:w="567" w:type="dxa"/>
            <w:shd w:val="solid" w:color="FFFFFF" w:fill="auto"/>
          </w:tcPr>
          <w:p w14:paraId="653CDB3D" w14:textId="3D214713" w:rsidR="00022CB9" w:rsidRPr="00873B6C" w:rsidRDefault="00022CB9" w:rsidP="002C4A81">
            <w:pPr>
              <w:pStyle w:val="TAL"/>
              <w:rPr>
                <w:sz w:val="16"/>
                <w:szCs w:val="16"/>
              </w:rPr>
            </w:pPr>
            <w:r w:rsidRPr="00873B6C">
              <w:rPr>
                <w:sz w:val="16"/>
                <w:szCs w:val="16"/>
              </w:rPr>
              <w:t>4160</w:t>
            </w:r>
          </w:p>
        </w:tc>
        <w:tc>
          <w:tcPr>
            <w:tcW w:w="425" w:type="dxa"/>
            <w:shd w:val="solid" w:color="FFFFFF" w:fill="auto"/>
          </w:tcPr>
          <w:p w14:paraId="6AB3A786" w14:textId="40B08622" w:rsidR="00022CB9" w:rsidRPr="00873B6C" w:rsidRDefault="00022CB9" w:rsidP="002C4A81">
            <w:pPr>
              <w:pStyle w:val="TAL"/>
              <w:rPr>
                <w:sz w:val="16"/>
                <w:szCs w:val="16"/>
              </w:rPr>
            </w:pPr>
            <w:r w:rsidRPr="00873B6C">
              <w:rPr>
                <w:sz w:val="16"/>
                <w:szCs w:val="16"/>
              </w:rPr>
              <w:t>2</w:t>
            </w:r>
          </w:p>
        </w:tc>
        <w:tc>
          <w:tcPr>
            <w:tcW w:w="425" w:type="dxa"/>
            <w:shd w:val="solid" w:color="FFFFFF" w:fill="auto"/>
          </w:tcPr>
          <w:p w14:paraId="092E9CE5" w14:textId="4F16A536"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5C45AF2B" w14:textId="32CCE0CF" w:rsidR="00022CB9" w:rsidRPr="00873B6C" w:rsidRDefault="00022CB9" w:rsidP="002C4A81">
            <w:pPr>
              <w:pStyle w:val="TAL"/>
              <w:rPr>
                <w:sz w:val="16"/>
                <w:szCs w:val="16"/>
              </w:rPr>
            </w:pPr>
            <w:r w:rsidRPr="00873B6C">
              <w:rPr>
                <w:sz w:val="16"/>
                <w:szCs w:val="16"/>
              </w:rPr>
              <w:t>Delivery of Traffic Influence information for Home Routed-Session Breakout (HR-SBO) support</w:t>
            </w:r>
          </w:p>
        </w:tc>
        <w:tc>
          <w:tcPr>
            <w:tcW w:w="708" w:type="dxa"/>
            <w:shd w:val="solid" w:color="FFFFFF" w:fill="auto"/>
          </w:tcPr>
          <w:p w14:paraId="785DE460" w14:textId="78D93705" w:rsidR="00022CB9" w:rsidRPr="00873B6C" w:rsidRDefault="00022CB9" w:rsidP="002C4A81">
            <w:pPr>
              <w:pStyle w:val="TAC"/>
              <w:rPr>
                <w:sz w:val="16"/>
                <w:szCs w:val="16"/>
              </w:rPr>
            </w:pPr>
            <w:r w:rsidRPr="00873B6C">
              <w:rPr>
                <w:sz w:val="16"/>
                <w:szCs w:val="16"/>
              </w:rPr>
              <w:t>18.1.0</w:t>
            </w:r>
          </w:p>
        </w:tc>
      </w:tr>
      <w:tr w:rsidR="00B975A9" w:rsidRPr="00873B6C" w14:paraId="6ABFC608" w14:textId="77777777" w:rsidTr="009D14FB">
        <w:tc>
          <w:tcPr>
            <w:tcW w:w="800" w:type="dxa"/>
            <w:shd w:val="solid" w:color="FFFFFF" w:fill="auto"/>
          </w:tcPr>
          <w:p w14:paraId="6147F15A" w14:textId="5A1CFEF1" w:rsidR="00B975A9" w:rsidRPr="00873B6C" w:rsidRDefault="00B975A9" w:rsidP="002C4A81">
            <w:pPr>
              <w:pStyle w:val="TAC"/>
              <w:rPr>
                <w:sz w:val="16"/>
                <w:szCs w:val="16"/>
              </w:rPr>
            </w:pPr>
            <w:r w:rsidRPr="00873B6C">
              <w:rPr>
                <w:sz w:val="16"/>
                <w:szCs w:val="16"/>
              </w:rPr>
              <w:t>2023-03</w:t>
            </w:r>
          </w:p>
        </w:tc>
        <w:tc>
          <w:tcPr>
            <w:tcW w:w="800" w:type="dxa"/>
            <w:shd w:val="solid" w:color="FFFFFF" w:fill="auto"/>
          </w:tcPr>
          <w:p w14:paraId="2002EBEE" w14:textId="256D3BD1" w:rsidR="00B975A9" w:rsidRPr="00873B6C" w:rsidRDefault="00B975A9" w:rsidP="002C4A81">
            <w:pPr>
              <w:pStyle w:val="TAL"/>
              <w:rPr>
                <w:sz w:val="16"/>
                <w:szCs w:val="16"/>
              </w:rPr>
            </w:pPr>
            <w:r w:rsidRPr="00873B6C">
              <w:rPr>
                <w:sz w:val="16"/>
                <w:szCs w:val="16"/>
              </w:rPr>
              <w:t>SP#99</w:t>
            </w:r>
          </w:p>
        </w:tc>
        <w:tc>
          <w:tcPr>
            <w:tcW w:w="1094" w:type="dxa"/>
            <w:shd w:val="solid" w:color="FFFFFF" w:fill="auto"/>
          </w:tcPr>
          <w:p w14:paraId="2B21C1F5" w14:textId="69D2C94D" w:rsidR="00B975A9" w:rsidRPr="00873B6C" w:rsidRDefault="00B975A9" w:rsidP="002C4A81">
            <w:pPr>
              <w:pStyle w:val="TAC"/>
              <w:rPr>
                <w:sz w:val="16"/>
                <w:szCs w:val="16"/>
              </w:rPr>
            </w:pPr>
            <w:r w:rsidRPr="00873B6C">
              <w:rPr>
                <w:sz w:val="16"/>
                <w:szCs w:val="16"/>
              </w:rPr>
              <w:t>SP-230052</w:t>
            </w:r>
          </w:p>
        </w:tc>
        <w:tc>
          <w:tcPr>
            <w:tcW w:w="567" w:type="dxa"/>
            <w:shd w:val="solid" w:color="FFFFFF" w:fill="auto"/>
          </w:tcPr>
          <w:p w14:paraId="491AAC32" w14:textId="6A9C99B7" w:rsidR="00B975A9" w:rsidRPr="00873B6C" w:rsidRDefault="00B975A9" w:rsidP="002C4A81">
            <w:pPr>
              <w:pStyle w:val="TAL"/>
              <w:rPr>
                <w:sz w:val="16"/>
                <w:szCs w:val="16"/>
              </w:rPr>
            </w:pPr>
            <w:r w:rsidRPr="00873B6C">
              <w:rPr>
                <w:sz w:val="16"/>
                <w:szCs w:val="16"/>
              </w:rPr>
              <w:t>4180</w:t>
            </w:r>
          </w:p>
        </w:tc>
        <w:tc>
          <w:tcPr>
            <w:tcW w:w="425" w:type="dxa"/>
            <w:shd w:val="solid" w:color="FFFFFF" w:fill="auto"/>
          </w:tcPr>
          <w:p w14:paraId="1F4CCBFD" w14:textId="368D55DC" w:rsidR="00B975A9" w:rsidRPr="00873B6C" w:rsidRDefault="00B975A9" w:rsidP="002C4A81">
            <w:pPr>
              <w:pStyle w:val="TAL"/>
              <w:rPr>
                <w:sz w:val="16"/>
                <w:szCs w:val="16"/>
              </w:rPr>
            </w:pPr>
            <w:r w:rsidRPr="00873B6C">
              <w:rPr>
                <w:sz w:val="16"/>
                <w:szCs w:val="16"/>
              </w:rPr>
              <w:t>1</w:t>
            </w:r>
          </w:p>
        </w:tc>
        <w:tc>
          <w:tcPr>
            <w:tcW w:w="425" w:type="dxa"/>
            <w:shd w:val="solid" w:color="FFFFFF" w:fill="auto"/>
          </w:tcPr>
          <w:p w14:paraId="603A69DF" w14:textId="6D6EFA4B" w:rsidR="00B975A9" w:rsidRPr="00873B6C" w:rsidRDefault="00B975A9" w:rsidP="002C4A81">
            <w:pPr>
              <w:pStyle w:val="TAL"/>
              <w:rPr>
                <w:sz w:val="16"/>
                <w:szCs w:val="16"/>
              </w:rPr>
            </w:pPr>
            <w:r w:rsidRPr="00873B6C">
              <w:rPr>
                <w:sz w:val="16"/>
                <w:szCs w:val="16"/>
              </w:rPr>
              <w:t>C</w:t>
            </w:r>
          </w:p>
        </w:tc>
        <w:tc>
          <w:tcPr>
            <w:tcW w:w="4820" w:type="dxa"/>
            <w:shd w:val="solid" w:color="FFFFFF" w:fill="auto"/>
          </w:tcPr>
          <w:p w14:paraId="3BFC7C5C" w14:textId="5584FE97" w:rsidR="00B975A9" w:rsidRPr="00873B6C" w:rsidRDefault="00B975A9" w:rsidP="002C4A81">
            <w:pPr>
              <w:pStyle w:val="TAL"/>
              <w:rPr>
                <w:sz w:val="16"/>
                <w:szCs w:val="16"/>
              </w:rPr>
            </w:pPr>
            <w:r w:rsidRPr="00873B6C">
              <w:rPr>
                <w:sz w:val="16"/>
                <w:szCs w:val="16"/>
              </w:rPr>
              <w:t>Corrections for the description of coverage area support for time synchronization service KI2</w:t>
            </w:r>
          </w:p>
        </w:tc>
        <w:tc>
          <w:tcPr>
            <w:tcW w:w="708" w:type="dxa"/>
            <w:shd w:val="solid" w:color="FFFFFF" w:fill="auto"/>
          </w:tcPr>
          <w:p w14:paraId="603BA1EC" w14:textId="6A27BDB2" w:rsidR="00B975A9" w:rsidRPr="00873B6C" w:rsidRDefault="00B975A9" w:rsidP="002C4A81">
            <w:pPr>
              <w:pStyle w:val="TAC"/>
              <w:rPr>
                <w:sz w:val="16"/>
                <w:szCs w:val="16"/>
              </w:rPr>
            </w:pPr>
            <w:r w:rsidRPr="00873B6C">
              <w:rPr>
                <w:sz w:val="16"/>
                <w:szCs w:val="16"/>
              </w:rPr>
              <w:t>18.1.0</w:t>
            </w:r>
          </w:p>
        </w:tc>
      </w:tr>
      <w:tr w:rsidR="00301C42" w:rsidRPr="00873B6C" w14:paraId="1DDA9AA2" w14:textId="77777777" w:rsidTr="009D14FB">
        <w:tc>
          <w:tcPr>
            <w:tcW w:w="800" w:type="dxa"/>
            <w:shd w:val="solid" w:color="FFFFFF" w:fill="auto"/>
          </w:tcPr>
          <w:p w14:paraId="2809B032" w14:textId="666B044D" w:rsidR="00301C42" w:rsidRPr="00873B6C" w:rsidRDefault="00301C42" w:rsidP="002C4A81">
            <w:pPr>
              <w:pStyle w:val="TAC"/>
              <w:rPr>
                <w:sz w:val="16"/>
                <w:szCs w:val="16"/>
              </w:rPr>
            </w:pPr>
            <w:r w:rsidRPr="00873B6C">
              <w:rPr>
                <w:sz w:val="16"/>
                <w:szCs w:val="16"/>
              </w:rPr>
              <w:t>2023-06</w:t>
            </w:r>
          </w:p>
        </w:tc>
        <w:tc>
          <w:tcPr>
            <w:tcW w:w="800" w:type="dxa"/>
            <w:shd w:val="solid" w:color="FFFFFF" w:fill="auto"/>
          </w:tcPr>
          <w:p w14:paraId="16B92AA2" w14:textId="3290FACE" w:rsidR="00301C42" w:rsidRPr="00873B6C" w:rsidRDefault="00301C42" w:rsidP="002C4A81">
            <w:pPr>
              <w:pStyle w:val="TAL"/>
              <w:rPr>
                <w:sz w:val="16"/>
                <w:szCs w:val="16"/>
              </w:rPr>
            </w:pPr>
            <w:r w:rsidRPr="00873B6C">
              <w:rPr>
                <w:sz w:val="16"/>
                <w:szCs w:val="16"/>
              </w:rPr>
              <w:t>SP#100</w:t>
            </w:r>
          </w:p>
        </w:tc>
        <w:tc>
          <w:tcPr>
            <w:tcW w:w="1094" w:type="dxa"/>
            <w:shd w:val="solid" w:color="FFFFFF" w:fill="auto"/>
          </w:tcPr>
          <w:p w14:paraId="58A552BB" w14:textId="185B3530" w:rsidR="00301C42" w:rsidRPr="00873B6C" w:rsidRDefault="00301C42" w:rsidP="002C4A81">
            <w:pPr>
              <w:pStyle w:val="TAC"/>
              <w:rPr>
                <w:sz w:val="16"/>
                <w:szCs w:val="16"/>
              </w:rPr>
            </w:pPr>
            <w:r w:rsidRPr="00873B6C">
              <w:rPr>
                <w:sz w:val="16"/>
                <w:szCs w:val="16"/>
              </w:rPr>
              <w:t>SP-230490</w:t>
            </w:r>
          </w:p>
        </w:tc>
        <w:tc>
          <w:tcPr>
            <w:tcW w:w="567" w:type="dxa"/>
            <w:shd w:val="solid" w:color="FFFFFF" w:fill="auto"/>
          </w:tcPr>
          <w:p w14:paraId="5963AD85" w14:textId="7EF27BD6" w:rsidR="00301C42" w:rsidRPr="00873B6C" w:rsidRDefault="00301C42" w:rsidP="002C4A81">
            <w:pPr>
              <w:pStyle w:val="TAL"/>
              <w:rPr>
                <w:sz w:val="16"/>
                <w:szCs w:val="16"/>
              </w:rPr>
            </w:pPr>
            <w:r w:rsidRPr="00873B6C">
              <w:rPr>
                <w:sz w:val="16"/>
                <w:szCs w:val="16"/>
              </w:rPr>
              <w:t>3748</w:t>
            </w:r>
          </w:p>
        </w:tc>
        <w:tc>
          <w:tcPr>
            <w:tcW w:w="425" w:type="dxa"/>
            <w:shd w:val="solid" w:color="FFFFFF" w:fill="auto"/>
          </w:tcPr>
          <w:p w14:paraId="60049C22" w14:textId="3785BA20" w:rsidR="00301C42" w:rsidRPr="00873B6C" w:rsidRDefault="00301C42" w:rsidP="002C4A81">
            <w:pPr>
              <w:pStyle w:val="TAL"/>
              <w:rPr>
                <w:sz w:val="16"/>
                <w:szCs w:val="16"/>
              </w:rPr>
            </w:pPr>
            <w:r w:rsidRPr="00873B6C">
              <w:rPr>
                <w:sz w:val="16"/>
                <w:szCs w:val="16"/>
              </w:rPr>
              <w:t>2</w:t>
            </w:r>
          </w:p>
        </w:tc>
        <w:tc>
          <w:tcPr>
            <w:tcW w:w="425" w:type="dxa"/>
            <w:shd w:val="solid" w:color="FFFFFF" w:fill="auto"/>
          </w:tcPr>
          <w:p w14:paraId="2BE6B5DF" w14:textId="2042415B" w:rsidR="00301C42" w:rsidRPr="00873B6C" w:rsidRDefault="00301C42" w:rsidP="002C4A81">
            <w:pPr>
              <w:pStyle w:val="TAL"/>
              <w:rPr>
                <w:sz w:val="16"/>
                <w:szCs w:val="16"/>
              </w:rPr>
            </w:pPr>
            <w:r w:rsidRPr="00873B6C">
              <w:rPr>
                <w:sz w:val="16"/>
                <w:szCs w:val="16"/>
              </w:rPr>
              <w:t>F</w:t>
            </w:r>
          </w:p>
        </w:tc>
        <w:tc>
          <w:tcPr>
            <w:tcW w:w="4820" w:type="dxa"/>
            <w:shd w:val="solid" w:color="FFFFFF" w:fill="auto"/>
          </w:tcPr>
          <w:p w14:paraId="4CDBE69B" w14:textId="28D210D5" w:rsidR="00301C42" w:rsidRPr="00873B6C" w:rsidRDefault="00301C42" w:rsidP="002C4A81">
            <w:pPr>
              <w:pStyle w:val="TAL"/>
              <w:rPr>
                <w:sz w:val="16"/>
                <w:szCs w:val="16"/>
              </w:rPr>
            </w:pPr>
            <w:r w:rsidRPr="00873B6C">
              <w:rPr>
                <w:sz w:val="16"/>
                <w:szCs w:val="16"/>
              </w:rPr>
              <w:t>Support for 5QI Priority Level in QoS constraints</w:t>
            </w:r>
          </w:p>
        </w:tc>
        <w:tc>
          <w:tcPr>
            <w:tcW w:w="708" w:type="dxa"/>
            <w:shd w:val="solid" w:color="FFFFFF" w:fill="auto"/>
          </w:tcPr>
          <w:p w14:paraId="2B2AA3CC" w14:textId="1DDC8DE1" w:rsidR="00301C42" w:rsidRPr="00873B6C" w:rsidRDefault="00301C42" w:rsidP="002C4A81">
            <w:pPr>
              <w:pStyle w:val="TAC"/>
              <w:rPr>
                <w:sz w:val="16"/>
                <w:szCs w:val="16"/>
              </w:rPr>
            </w:pPr>
            <w:r w:rsidRPr="00873B6C">
              <w:rPr>
                <w:sz w:val="16"/>
                <w:szCs w:val="16"/>
              </w:rPr>
              <w:t>18.2.0</w:t>
            </w:r>
          </w:p>
        </w:tc>
      </w:tr>
      <w:tr w:rsidR="009B42A2" w:rsidRPr="00873B6C" w14:paraId="72855625" w14:textId="77777777" w:rsidTr="009D14FB">
        <w:tc>
          <w:tcPr>
            <w:tcW w:w="800" w:type="dxa"/>
            <w:shd w:val="solid" w:color="FFFFFF" w:fill="auto"/>
          </w:tcPr>
          <w:p w14:paraId="06ABBCC5" w14:textId="0046CDFE"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0575759C" w14:textId="37594930"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062DA350" w14:textId="356AC728" w:rsidR="009B42A2" w:rsidRPr="00873B6C" w:rsidRDefault="009B42A2" w:rsidP="002C4A81">
            <w:pPr>
              <w:pStyle w:val="TAC"/>
              <w:rPr>
                <w:sz w:val="16"/>
                <w:szCs w:val="16"/>
              </w:rPr>
            </w:pPr>
            <w:r w:rsidRPr="00873B6C">
              <w:rPr>
                <w:sz w:val="16"/>
                <w:szCs w:val="16"/>
              </w:rPr>
              <w:t>SP-230469</w:t>
            </w:r>
          </w:p>
        </w:tc>
        <w:tc>
          <w:tcPr>
            <w:tcW w:w="567" w:type="dxa"/>
            <w:shd w:val="solid" w:color="FFFFFF" w:fill="auto"/>
          </w:tcPr>
          <w:p w14:paraId="1FDEEC09" w14:textId="77598DF4" w:rsidR="009B42A2" w:rsidRPr="00873B6C" w:rsidRDefault="009B42A2" w:rsidP="002C4A81">
            <w:pPr>
              <w:pStyle w:val="TAL"/>
              <w:rPr>
                <w:sz w:val="16"/>
                <w:szCs w:val="16"/>
              </w:rPr>
            </w:pPr>
            <w:r w:rsidRPr="00873B6C">
              <w:rPr>
                <w:sz w:val="16"/>
                <w:szCs w:val="16"/>
              </w:rPr>
              <w:t>3764</w:t>
            </w:r>
          </w:p>
        </w:tc>
        <w:tc>
          <w:tcPr>
            <w:tcW w:w="425" w:type="dxa"/>
            <w:shd w:val="solid" w:color="FFFFFF" w:fill="auto"/>
          </w:tcPr>
          <w:p w14:paraId="4611E30C" w14:textId="41A7B7DC" w:rsidR="009B42A2" w:rsidRPr="00873B6C" w:rsidRDefault="009B42A2" w:rsidP="002C4A81">
            <w:pPr>
              <w:pStyle w:val="TAL"/>
              <w:rPr>
                <w:sz w:val="16"/>
                <w:szCs w:val="16"/>
              </w:rPr>
            </w:pPr>
            <w:r w:rsidRPr="00873B6C">
              <w:rPr>
                <w:sz w:val="16"/>
                <w:szCs w:val="16"/>
              </w:rPr>
              <w:t>6</w:t>
            </w:r>
          </w:p>
        </w:tc>
        <w:tc>
          <w:tcPr>
            <w:tcW w:w="425" w:type="dxa"/>
            <w:shd w:val="solid" w:color="FFFFFF" w:fill="auto"/>
          </w:tcPr>
          <w:p w14:paraId="37400BAB" w14:textId="5A455441" w:rsidR="009B42A2" w:rsidRPr="00873B6C" w:rsidRDefault="009B42A2" w:rsidP="002C4A81">
            <w:pPr>
              <w:pStyle w:val="TAL"/>
              <w:rPr>
                <w:sz w:val="16"/>
                <w:szCs w:val="16"/>
              </w:rPr>
            </w:pPr>
            <w:r w:rsidRPr="00873B6C">
              <w:rPr>
                <w:sz w:val="16"/>
                <w:szCs w:val="16"/>
              </w:rPr>
              <w:t>B</w:t>
            </w:r>
          </w:p>
        </w:tc>
        <w:tc>
          <w:tcPr>
            <w:tcW w:w="4820" w:type="dxa"/>
            <w:shd w:val="solid" w:color="FFFFFF" w:fill="auto"/>
          </w:tcPr>
          <w:p w14:paraId="2F0C5D76" w14:textId="30BE1995" w:rsidR="009B42A2" w:rsidRPr="00873B6C" w:rsidRDefault="009B42A2" w:rsidP="002C4A81">
            <w:pPr>
              <w:pStyle w:val="TAL"/>
              <w:rPr>
                <w:sz w:val="16"/>
                <w:szCs w:val="16"/>
              </w:rPr>
            </w:pPr>
            <w:r w:rsidRPr="00873B6C">
              <w:rPr>
                <w:sz w:val="16"/>
                <w:szCs w:val="16"/>
              </w:rPr>
              <w:t>Extension of NWDAF registration information to reflect new accuracy checking capability</w:t>
            </w:r>
          </w:p>
        </w:tc>
        <w:tc>
          <w:tcPr>
            <w:tcW w:w="708" w:type="dxa"/>
            <w:shd w:val="solid" w:color="FFFFFF" w:fill="auto"/>
          </w:tcPr>
          <w:p w14:paraId="086A5681" w14:textId="07E8260D" w:rsidR="009B42A2" w:rsidRPr="00873B6C" w:rsidRDefault="009B42A2" w:rsidP="002C4A81">
            <w:pPr>
              <w:pStyle w:val="TAC"/>
              <w:rPr>
                <w:sz w:val="16"/>
                <w:szCs w:val="16"/>
              </w:rPr>
            </w:pPr>
            <w:r w:rsidRPr="00873B6C">
              <w:rPr>
                <w:sz w:val="16"/>
                <w:szCs w:val="16"/>
              </w:rPr>
              <w:t>18.2.0</w:t>
            </w:r>
          </w:p>
        </w:tc>
      </w:tr>
      <w:tr w:rsidR="009B42A2" w:rsidRPr="00873B6C" w14:paraId="70F4161A" w14:textId="77777777" w:rsidTr="009D14FB">
        <w:tc>
          <w:tcPr>
            <w:tcW w:w="800" w:type="dxa"/>
            <w:shd w:val="solid" w:color="FFFFFF" w:fill="auto"/>
          </w:tcPr>
          <w:p w14:paraId="1530071D" w14:textId="5F00C992"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6E8DA804" w14:textId="3C41D60F"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4B73A268" w14:textId="1147DF54" w:rsidR="009B42A2" w:rsidRPr="00873B6C" w:rsidRDefault="009B42A2" w:rsidP="002C4A81">
            <w:pPr>
              <w:pStyle w:val="TAC"/>
              <w:rPr>
                <w:sz w:val="16"/>
                <w:szCs w:val="16"/>
              </w:rPr>
            </w:pPr>
            <w:r w:rsidRPr="00873B6C">
              <w:rPr>
                <w:sz w:val="16"/>
                <w:szCs w:val="16"/>
              </w:rPr>
              <w:t>SP-230495</w:t>
            </w:r>
          </w:p>
        </w:tc>
        <w:tc>
          <w:tcPr>
            <w:tcW w:w="567" w:type="dxa"/>
            <w:shd w:val="solid" w:color="FFFFFF" w:fill="auto"/>
          </w:tcPr>
          <w:p w14:paraId="2E2A3A7C" w14:textId="44BDC621" w:rsidR="009B42A2" w:rsidRPr="00873B6C" w:rsidRDefault="009B42A2" w:rsidP="002C4A81">
            <w:pPr>
              <w:pStyle w:val="TAL"/>
              <w:rPr>
                <w:sz w:val="16"/>
                <w:szCs w:val="16"/>
              </w:rPr>
            </w:pPr>
            <w:r w:rsidRPr="00873B6C">
              <w:rPr>
                <w:sz w:val="16"/>
                <w:szCs w:val="16"/>
              </w:rPr>
              <w:t>3922</w:t>
            </w:r>
          </w:p>
        </w:tc>
        <w:tc>
          <w:tcPr>
            <w:tcW w:w="425" w:type="dxa"/>
            <w:shd w:val="solid" w:color="FFFFFF" w:fill="auto"/>
          </w:tcPr>
          <w:p w14:paraId="2512848F" w14:textId="3F66C12C" w:rsidR="009B42A2" w:rsidRPr="00873B6C" w:rsidRDefault="009B42A2" w:rsidP="002C4A81">
            <w:pPr>
              <w:pStyle w:val="TAL"/>
              <w:rPr>
                <w:sz w:val="16"/>
                <w:szCs w:val="16"/>
              </w:rPr>
            </w:pPr>
            <w:r w:rsidRPr="00873B6C">
              <w:rPr>
                <w:sz w:val="16"/>
                <w:szCs w:val="16"/>
              </w:rPr>
              <w:t>2</w:t>
            </w:r>
          </w:p>
        </w:tc>
        <w:tc>
          <w:tcPr>
            <w:tcW w:w="425" w:type="dxa"/>
            <w:shd w:val="solid" w:color="FFFFFF" w:fill="auto"/>
          </w:tcPr>
          <w:p w14:paraId="52742FCD" w14:textId="640D7F03"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4E5A9ABF" w14:textId="74CE819C" w:rsidR="009B42A2" w:rsidRPr="00873B6C" w:rsidRDefault="009B42A2" w:rsidP="002C4A81">
            <w:pPr>
              <w:pStyle w:val="TAL"/>
              <w:rPr>
                <w:sz w:val="16"/>
                <w:szCs w:val="16"/>
              </w:rPr>
            </w:pPr>
            <w:r w:rsidRPr="00873B6C">
              <w:rPr>
                <w:sz w:val="16"/>
                <w:szCs w:val="16"/>
              </w:rPr>
              <w:t>Update for the description of the Nupf interface in 5G reference architecture</w:t>
            </w:r>
          </w:p>
        </w:tc>
        <w:tc>
          <w:tcPr>
            <w:tcW w:w="708" w:type="dxa"/>
            <w:shd w:val="solid" w:color="FFFFFF" w:fill="auto"/>
          </w:tcPr>
          <w:p w14:paraId="04EF71F9" w14:textId="314F309D" w:rsidR="009B42A2" w:rsidRPr="00873B6C" w:rsidRDefault="009B42A2" w:rsidP="002C4A81">
            <w:pPr>
              <w:pStyle w:val="TAC"/>
              <w:rPr>
                <w:sz w:val="16"/>
                <w:szCs w:val="16"/>
              </w:rPr>
            </w:pPr>
            <w:r w:rsidRPr="00873B6C">
              <w:rPr>
                <w:sz w:val="16"/>
                <w:szCs w:val="16"/>
              </w:rPr>
              <w:t>18.2.0</w:t>
            </w:r>
          </w:p>
        </w:tc>
      </w:tr>
      <w:tr w:rsidR="009B42A2" w:rsidRPr="00873B6C" w14:paraId="444715DB" w14:textId="77777777" w:rsidTr="009D14FB">
        <w:tc>
          <w:tcPr>
            <w:tcW w:w="800" w:type="dxa"/>
            <w:shd w:val="solid" w:color="FFFFFF" w:fill="auto"/>
          </w:tcPr>
          <w:p w14:paraId="5DD6F315" w14:textId="761E48B9"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1A3856CE" w14:textId="02D8DD11"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7E66DF12" w14:textId="73939C17" w:rsidR="009B42A2" w:rsidRPr="00873B6C" w:rsidRDefault="009B42A2" w:rsidP="002C4A81">
            <w:pPr>
              <w:pStyle w:val="TAC"/>
              <w:rPr>
                <w:sz w:val="16"/>
                <w:szCs w:val="16"/>
              </w:rPr>
            </w:pPr>
            <w:r w:rsidRPr="00873B6C">
              <w:rPr>
                <w:sz w:val="16"/>
                <w:szCs w:val="16"/>
              </w:rPr>
              <w:t>SP-230490</w:t>
            </w:r>
          </w:p>
        </w:tc>
        <w:tc>
          <w:tcPr>
            <w:tcW w:w="567" w:type="dxa"/>
            <w:shd w:val="solid" w:color="FFFFFF" w:fill="auto"/>
          </w:tcPr>
          <w:p w14:paraId="4B88A542" w14:textId="54A59264" w:rsidR="009B42A2" w:rsidRPr="00873B6C" w:rsidRDefault="009B42A2" w:rsidP="002C4A81">
            <w:pPr>
              <w:pStyle w:val="TAL"/>
              <w:rPr>
                <w:sz w:val="16"/>
                <w:szCs w:val="16"/>
              </w:rPr>
            </w:pPr>
            <w:r w:rsidRPr="00873B6C">
              <w:rPr>
                <w:sz w:val="16"/>
                <w:szCs w:val="16"/>
              </w:rPr>
              <w:t>4037</w:t>
            </w:r>
          </w:p>
        </w:tc>
        <w:tc>
          <w:tcPr>
            <w:tcW w:w="425" w:type="dxa"/>
            <w:shd w:val="solid" w:color="FFFFFF" w:fill="auto"/>
          </w:tcPr>
          <w:p w14:paraId="5438A839" w14:textId="6EEDEF87" w:rsidR="009B42A2" w:rsidRPr="00873B6C" w:rsidRDefault="009B42A2" w:rsidP="002C4A81">
            <w:pPr>
              <w:pStyle w:val="TAL"/>
              <w:rPr>
                <w:sz w:val="16"/>
                <w:szCs w:val="16"/>
              </w:rPr>
            </w:pPr>
            <w:r w:rsidRPr="00873B6C">
              <w:rPr>
                <w:sz w:val="16"/>
                <w:szCs w:val="16"/>
              </w:rPr>
              <w:t>2</w:t>
            </w:r>
          </w:p>
        </w:tc>
        <w:tc>
          <w:tcPr>
            <w:tcW w:w="425" w:type="dxa"/>
            <w:shd w:val="solid" w:color="FFFFFF" w:fill="auto"/>
          </w:tcPr>
          <w:p w14:paraId="1C9A64FB" w14:textId="390AFFC9"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6A20B597" w14:textId="760391AA" w:rsidR="009B42A2" w:rsidRPr="00873B6C" w:rsidRDefault="009B42A2" w:rsidP="002C4A81">
            <w:pPr>
              <w:pStyle w:val="TAL"/>
              <w:rPr>
                <w:sz w:val="16"/>
                <w:szCs w:val="16"/>
              </w:rPr>
            </w:pPr>
            <w:r w:rsidRPr="00873B6C">
              <w:rPr>
                <w:sz w:val="16"/>
                <w:szCs w:val="16"/>
              </w:rPr>
              <w:t>NWDAF discovery with overlapping Serving Areas</w:t>
            </w:r>
          </w:p>
        </w:tc>
        <w:tc>
          <w:tcPr>
            <w:tcW w:w="708" w:type="dxa"/>
            <w:shd w:val="solid" w:color="FFFFFF" w:fill="auto"/>
          </w:tcPr>
          <w:p w14:paraId="03E35BD8" w14:textId="01F82A30" w:rsidR="009B42A2" w:rsidRPr="00873B6C" w:rsidRDefault="009B42A2" w:rsidP="002C4A81">
            <w:pPr>
              <w:pStyle w:val="TAC"/>
              <w:rPr>
                <w:sz w:val="16"/>
                <w:szCs w:val="16"/>
              </w:rPr>
            </w:pPr>
            <w:r w:rsidRPr="00873B6C">
              <w:rPr>
                <w:sz w:val="16"/>
                <w:szCs w:val="16"/>
              </w:rPr>
              <w:t>18.2.0</w:t>
            </w:r>
          </w:p>
        </w:tc>
      </w:tr>
      <w:tr w:rsidR="009B42A2" w:rsidRPr="00873B6C" w14:paraId="037D7FC9" w14:textId="77777777" w:rsidTr="009D14FB">
        <w:tc>
          <w:tcPr>
            <w:tcW w:w="800" w:type="dxa"/>
            <w:shd w:val="solid" w:color="FFFFFF" w:fill="auto"/>
          </w:tcPr>
          <w:p w14:paraId="3B7E2DE4" w14:textId="009BE71D"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72B366A8" w14:textId="77FDF3A3"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67762B46" w14:textId="22423771" w:rsidR="009B42A2" w:rsidRPr="00873B6C" w:rsidRDefault="009B42A2" w:rsidP="002C4A81">
            <w:pPr>
              <w:pStyle w:val="TAC"/>
              <w:rPr>
                <w:sz w:val="16"/>
                <w:szCs w:val="16"/>
              </w:rPr>
            </w:pPr>
            <w:r w:rsidRPr="00873B6C">
              <w:rPr>
                <w:sz w:val="16"/>
                <w:szCs w:val="16"/>
              </w:rPr>
              <w:t>SP-230463</w:t>
            </w:r>
          </w:p>
        </w:tc>
        <w:tc>
          <w:tcPr>
            <w:tcW w:w="567" w:type="dxa"/>
            <w:shd w:val="solid" w:color="FFFFFF" w:fill="auto"/>
          </w:tcPr>
          <w:p w14:paraId="3B66FA2A" w14:textId="6478A595" w:rsidR="009B42A2" w:rsidRPr="00873B6C" w:rsidRDefault="009B42A2" w:rsidP="002C4A81">
            <w:pPr>
              <w:pStyle w:val="TAL"/>
              <w:rPr>
                <w:sz w:val="16"/>
                <w:szCs w:val="16"/>
              </w:rPr>
            </w:pPr>
            <w:r w:rsidRPr="00873B6C">
              <w:rPr>
                <w:sz w:val="16"/>
                <w:szCs w:val="16"/>
              </w:rPr>
              <w:t>4155</w:t>
            </w:r>
          </w:p>
        </w:tc>
        <w:tc>
          <w:tcPr>
            <w:tcW w:w="425" w:type="dxa"/>
            <w:shd w:val="solid" w:color="FFFFFF" w:fill="auto"/>
          </w:tcPr>
          <w:p w14:paraId="78980003" w14:textId="037523C4" w:rsidR="009B42A2" w:rsidRPr="00873B6C" w:rsidRDefault="009B42A2" w:rsidP="002C4A81">
            <w:pPr>
              <w:pStyle w:val="TAL"/>
              <w:rPr>
                <w:sz w:val="16"/>
                <w:szCs w:val="16"/>
              </w:rPr>
            </w:pPr>
            <w:r w:rsidRPr="00873B6C">
              <w:rPr>
                <w:sz w:val="16"/>
                <w:szCs w:val="16"/>
              </w:rPr>
              <w:t>5</w:t>
            </w:r>
          </w:p>
        </w:tc>
        <w:tc>
          <w:tcPr>
            <w:tcW w:w="425" w:type="dxa"/>
            <w:shd w:val="solid" w:color="FFFFFF" w:fill="auto"/>
          </w:tcPr>
          <w:p w14:paraId="7A455C5C" w14:textId="3FE9D97D" w:rsidR="009B42A2" w:rsidRPr="00873B6C" w:rsidRDefault="009B42A2" w:rsidP="002C4A81">
            <w:pPr>
              <w:pStyle w:val="TAL"/>
              <w:rPr>
                <w:sz w:val="16"/>
                <w:szCs w:val="16"/>
              </w:rPr>
            </w:pPr>
            <w:r w:rsidRPr="00873B6C">
              <w:rPr>
                <w:sz w:val="16"/>
                <w:szCs w:val="16"/>
              </w:rPr>
              <w:t>A</w:t>
            </w:r>
          </w:p>
        </w:tc>
        <w:tc>
          <w:tcPr>
            <w:tcW w:w="4820" w:type="dxa"/>
            <w:shd w:val="solid" w:color="FFFFFF" w:fill="auto"/>
          </w:tcPr>
          <w:p w14:paraId="51F53D91" w14:textId="09496E99" w:rsidR="009B42A2" w:rsidRPr="00873B6C" w:rsidRDefault="009B42A2" w:rsidP="002C4A81">
            <w:pPr>
              <w:pStyle w:val="TAL"/>
              <w:rPr>
                <w:sz w:val="16"/>
                <w:szCs w:val="16"/>
              </w:rPr>
            </w:pPr>
            <w:r w:rsidRPr="00873B6C">
              <w:rPr>
                <w:sz w:val="16"/>
                <w:szCs w:val="16"/>
              </w:rPr>
              <w:t>Rewording of NOTE on AF Specific UE identifier</w:t>
            </w:r>
          </w:p>
        </w:tc>
        <w:tc>
          <w:tcPr>
            <w:tcW w:w="708" w:type="dxa"/>
            <w:shd w:val="solid" w:color="FFFFFF" w:fill="auto"/>
          </w:tcPr>
          <w:p w14:paraId="4847BF2A" w14:textId="6124A36B" w:rsidR="009B42A2" w:rsidRPr="00873B6C" w:rsidRDefault="009B42A2" w:rsidP="002C4A81">
            <w:pPr>
              <w:pStyle w:val="TAC"/>
              <w:rPr>
                <w:sz w:val="16"/>
                <w:szCs w:val="16"/>
              </w:rPr>
            </w:pPr>
            <w:r w:rsidRPr="00873B6C">
              <w:rPr>
                <w:sz w:val="16"/>
                <w:szCs w:val="16"/>
              </w:rPr>
              <w:t>18.2.0</w:t>
            </w:r>
          </w:p>
        </w:tc>
      </w:tr>
      <w:tr w:rsidR="009B42A2" w:rsidRPr="00873B6C" w14:paraId="4E5AF33A" w14:textId="77777777" w:rsidTr="009D14FB">
        <w:tc>
          <w:tcPr>
            <w:tcW w:w="800" w:type="dxa"/>
            <w:shd w:val="solid" w:color="FFFFFF" w:fill="auto"/>
          </w:tcPr>
          <w:p w14:paraId="748B685B" w14:textId="1231DDC0"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232F577B" w14:textId="1E14D4E3"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6A3BDD3A" w14:textId="03AC7248" w:rsidR="009B42A2" w:rsidRPr="00873B6C" w:rsidRDefault="009B42A2" w:rsidP="002C4A81">
            <w:pPr>
              <w:pStyle w:val="TAC"/>
              <w:rPr>
                <w:sz w:val="16"/>
                <w:szCs w:val="16"/>
              </w:rPr>
            </w:pPr>
            <w:r w:rsidRPr="00873B6C">
              <w:rPr>
                <w:sz w:val="16"/>
                <w:szCs w:val="16"/>
              </w:rPr>
              <w:t>SP-230497</w:t>
            </w:r>
          </w:p>
        </w:tc>
        <w:tc>
          <w:tcPr>
            <w:tcW w:w="567" w:type="dxa"/>
            <w:shd w:val="solid" w:color="FFFFFF" w:fill="auto"/>
          </w:tcPr>
          <w:p w14:paraId="15A2E838" w14:textId="2037BC8B" w:rsidR="009B42A2" w:rsidRPr="00873B6C" w:rsidRDefault="009B42A2" w:rsidP="002C4A81">
            <w:pPr>
              <w:pStyle w:val="TAL"/>
              <w:rPr>
                <w:sz w:val="16"/>
                <w:szCs w:val="16"/>
              </w:rPr>
            </w:pPr>
            <w:r w:rsidRPr="00873B6C">
              <w:rPr>
                <w:sz w:val="16"/>
                <w:szCs w:val="16"/>
              </w:rPr>
              <w:t>4183</w:t>
            </w:r>
          </w:p>
        </w:tc>
        <w:tc>
          <w:tcPr>
            <w:tcW w:w="425" w:type="dxa"/>
            <w:shd w:val="solid" w:color="FFFFFF" w:fill="auto"/>
          </w:tcPr>
          <w:p w14:paraId="25B36045" w14:textId="1548DD31" w:rsidR="009B42A2" w:rsidRPr="00873B6C" w:rsidRDefault="009B42A2" w:rsidP="002C4A81">
            <w:pPr>
              <w:pStyle w:val="TAL"/>
              <w:rPr>
                <w:sz w:val="16"/>
                <w:szCs w:val="16"/>
              </w:rPr>
            </w:pPr>
            <w:r w:rsidRPr="00873B6C">
              <w:rPr>
                <w:sz w:val="16"/>
                <w:szCs w:val="16"/>
              </w:rPr>
              <w:t>3</w:t>
            </w:r>
          </w:p>
        </w:tc>
        <w:tc>
          <w:tcPr>
            <w:tcW w:w="425" w:type="dxa"/>
            <w:shd w:val="solid" w:color="FFFFFF" w:fill="auto"/>
          </w:tcPr>
          <w:p w14:paraId="6D810C2F" w14:textId="275A5939" w:rsidR="009B42A2" w:rsidRPr="00873B6C" w:rsidRDefault="009B42A2" w:rsidP="002C4A81">
            <w:pPr>
              <w:pStyle w:val="TAL"/>
              <w:rPr>
                <w:sz w:val="16"/>
                <w:szCs w:val="16"/>
              </w:rPr>
            </w:pPr>
            <w:r w:rsidRPr="00873B6C">
              <w:rPr>
                <w:sz w:val="16"/>
                <w:szCs w:val="16"/>
              </w:rPr>
              <w:t>B</w:t>
            </w:r>
          </w:p>
        </w:tc>
        <w:tc>
          <w:tcPr>
            <w:tcW w:w="4820" w:type="dxa"/>
            <w:shd w:val="solid" w:color="FFFFFF" w:fill="auto"/>
          </w:tcPr>
          <w:p w14:paraId="0ABD4E1B" w14:textId="501DB0EE" w:rsidR="009B42A2" w:rsidRPr="00873B6C" w:rsidRDefault="009B42A2" w:rsidP="002C4A81">
            <w:pPr>
              <w:pStyle w:val="TAL"/>
              <w:rPr>
                <w:sz w:val="16"/>
                <w:szCs w:val="16"/>
              </w:rPr>
            </w:pPr>
            <w:r w:rsidRPr="00873B6C">
              <w:rPr>
                <w:sz w:val="16"/>
                <w:szCs w:val="16"/>
              </w:rPr>
              <w:t>Support of extra traffic characteristics for alternative QoS profile</w:t>
            </w:r>
          </w:p>
        </w:tc>
        <w:tc>
          <w:tcPr>
            <w:tcW w:w="708" w:type="dxa"/>
            <w:shd w:val="solid" w:color="FFFFFF" w:fill="auto"/>
          </w:tcPr>
          <w:p w14:paraId="1B6A0BFF" w14:textId="1E197068" w:rsidR="009B42A2" w:rsidRPr="00873B6C" w:rsidRDefault="009B42A2" w:rsidP="002C4A81">
            <w:pPr>
              <w:pStyle w:val="TAC"/>
              <w:rPr>
                <w:sz w:val="16"/>
                <w:szCs w:val="16"/>
              </w:rPr>
            </w:pPr>
            <w:r w:rsidRPr="00873B6C">
              <w:rPr>
                <w:sz w:val="16"/>
                <w:szCs w:val="16"/>
              </w:rPr>
              <w:t>18.2.0</w:t>
            </w:r>
          </w:p>
        </w:tc>
      </w:tr>
      <w:tr w:rsidR="009B42A2" w:rsidRPr="00873B6C" w14:paraId="3A53CC91" w14:textId="77777777" w:rsidTr="009D14FB">
        <w:tc>
          <w:tcPr>
            <w:tcW w:w="800" w:type="dxa"/>
            <w:shd w:val="solid" w:color="FFFFFF" w:fill="auto"/>
          </w:tcPr>
          <w:p w14:paraId="652A9176" w14:textId="3BDBB8C2"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2D1B46F1" w14:textId="774BBB65"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0A7D54AF" w14:textId="545AAEBB" w:rsidR="009B42A2" w:rsidRPr="00873B6C" w:rsidRDefault="009B42A2" w:rsidP="002C4A81">
            <w:pPr>
              <w:pStyle w:val="TAC"/>
              <w:rPr>
                <w:sz w:val="16"/>
                <w:szCs w:val="16"/>
              </w:rPr>
            </w:pPr>
            <w:r w:rsidRPr="00873B6C">
              <w:rPr>
                <w:sz w:val="16"/>
                <w:szCs w:val="16"/>
              </w:rPr>
              <w:t>SP-230491</w:t>
            </w:r>
          </w:p>
        </w:tc>
        <w:tc>
          <w:tcPr>
            <w:tcW w:w="567" w:type="dxa"/>
            <w:shd w:val="solid" w:color="FFFFFF" w:fill="auto"/>
          </w:tcPr>
          <w:p w14:paraId="05267BD8" w14:textId="2F61187D" w:rsidR="009B42A2" w:rsidRPr="00873B6C" w:rsidRDefault="009B42A2" w:rsidP="002C4A81">
            <w:pPr>
              <w:pStyle w:val="TAL"/>
              <w:rPr>
                <w:sz w:val="16"/>
                <w:szCs w:val="16"/>
              </w:rPr>
            </w:pPr>
            <w:r w:rsidRPr="00873B6C">
              <w:rPr>
                <w:sz w:val="16"/>
                <w:szCs w:val="16"/>
              </w:rPr>
              <w:t>4189</w:t>
            </w:r>
          </w:p>
        </w:tc>
        <w:tc>
          <w:tcPr>
            <w:tcW w:w="425" w:type="dxa"/>
            <w:shd w:val="solid" w:color="FFFFFF" w:fill="auto"/>
          </w:tcPr>
          <w:p w14:paraId="3069BEC6" w14:textId="3AF5448F" w:rsidR="009B42A2" w:rsidRPr="00873B6C" w:rsidRDefault="009B42A2" w:rsidP="002C4A81">
            <w:pPr>
              <w:pStyle w:val="TAL"/>
              <w:rPr>
                <w:sz w:val="16"/>
                <w:szCs w:val="16"/>
              </w:rPr>
            </w:pPr>
            <w:r w:rsidRPr="00873B6C">
              <w:rPr>
                <w:sz w:val="16"/>
                <w:szCs w:val="16"/>
              </w:rPr>
              <w:t>-</w:t>
            </w:r>
          </w:p>
        </w:tc>
        <w:tc>
          <w:tcPr>
            <w:tcW w:w="425" w:type="dxa"/>
            <w:shd w:val="solid" w:color="FFFFFF" w:fill="auto"/>
          </w:tcPr>
          <w:p w14:paraId="63C87956" w14:textId="6E53F0EC" w:rsidR="009B42A2" w:rsidRPr="00873B6C" w:rsidRDefault="009B42A2" w:rsidP="002C4A81">
            <w:pPr>
              <w:pStyle w:val="TAL"/>
              <w:rPr>
                <w:sz w:val="16"/>
                <w:szCs w:val="16"/>
              </w:rPr>
            </w:pPr>
            <w:r w:rsidRPr="00873B6C">
              <w:rPr>
                <w:sz w:val="16"/>
                <w:szCs w:val="16"/>
              </w:rPr>
              <w:t>B</w:t>
            </w:r>
          </w:p>
        </w:tc>
        <w:tc>
          <w:tcPr>
            <w:tcW w:w="4820" w:type="dxa"/>
            <w:shd w:val="solid" w:color="FFFFFF" w:fill="auto"/>
          </w:tcPr>
          <w:p w14:paraId="1CE3B60E" w14:textId="254E78CF" w:rsidR="009B42A2" w:rsidRPr="00873B6C" w:rsidRDefault="009B42A2" w:rsidP="002C4A81">
            <w:pPr>
              <w:pStyle w:val="TAL"/>
              <w:rPr>
                <w:sz w:val="16"/>
                <w:szCs w:val="16"/>
              </w:rPr>
            </w:pPr>
            <w:r w:rsidRPr="00873B6C">
              <w:rPr>
                <w:sz w:val="16"/>
                <w:szCs w:val="16"/>
              </w:rPr>
              <w:t>Dymically changing AM policies for inbound roamers using LBO</w:t>
            </w:r>
          </w:p>
        </w:tc>
        <w:tc>
          <w:tcPr>
            <w:tcW w:w="708" w:type="dxa"/>
            <w:shd w:val="solid" w:color="FFFFFF" w:fill="auto"/>
          </w:tcPr>
          <w:p w14:paraId="66CBFA72" w14:textId="4E7D6667" w:rsidR="009B42A2" w:rsidRPr="00873B6C" w:rsidRDefault="009B42A2" w:rsidP="002C4A81">
            <w:pPr>
              <w:pStyle w:val="TAC"/>
              <w:rPr>
                <w:sz w:val="16"/>
                <w:szCs w:val="16"/>
              </w:rPr>
            </w:pPr>
            <w:r w:rsidRPr="00873B6C">
              <w:rPr>
                <w:sz w:val="16"/>
                <w:szCs w:val="16"/>
              </w:rPr>
              <w:t>18.2.0</w:t>
            </w:r>
          </w:p>
        </w:tc>
      </w:tr>
      <w:tr w:rsidR="009B42A2" w:rsidRPr="00873B6C" w14:paraId="3195EF66" w14:textId="77777777" w:rsidTr="009D14FB">
        <w:tc>
          <w:tcPr>
            <w:tcW w:w="800" w:type="dxa"/>
            <w:shd w:val="solid" w:color="FFFFFF" w:fill="auto"/>
          </w:tcPr>
          <w:p w14:paraId="0E57A286" w14:textId="600DE568"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5302981D" w14:textId="1026C051"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25927B89" w14:textId="39C9BE86" w:rsidR="009B42A2" w:rsidRPr="00873B6C" w:rsidRDefault="009B42A2" w:rsidP="002C4A81">
            <w:pPr>
              <w:pStyle w:val="TAC"/>
              <w:rPr>
                <w:sz w:val="16"/>
                <w:szCs w:val="16"/>
              </w:rPr>
            </w:pPr>
            <w:r w:rsidRPr="00873B6C">
              <w:rPr>
                <w:sz w:val="16"/>
                <w:szCs w:val="16"/>
              </w:rPr>
              <w:t>SP-230476</w:t>
            </w:r>
          </w:p>
        </w:tc>
        <w:tc>
          <w:tcPr>
            <w:tcW w:w="567" w:type="dxa"/>
            <w:shd w:val="solid" w:color="FFFFFF" w:fill="auto"/>
          </w:tcPr>
          <w:p w14:paraId="7F99F8ED" w14:textId="39ACAEBB" w:rsidR="009B42A2" w:rsidRPr="00873B6C" w:rsidRDefault="009B42A2" w:rsidP="002C4A81">
            <w:pPr>
              <w:pStyle w:val="TAL"/>
              <w:rPr>
                <w:sz w:val="16"/>
                <w:szCs w:val="16"/>
              </w:rPr>
            </w:pPr>
            <w:r w:rsidRPr="00873B6C">
              <w:rPr>
                <w:sz w:val="16"/>
                <w:szCs w:val="16"/>
              </w:rPr>
              <w:t>4190</w:t>
            </w:r>
          </w:p>
        </w:tc>
        <w:tc>
          <w:tcPr>
            <w:tcW w:w="425" w:type="dxa"/>
            <w:shd w:val="solid" w:color="FFFFFF" w:fill="auto"/>
          </w:tcPr>
          <w:p w14:paraId="50EFAB36" w14:textId="30B80477" w:rsidR="009B42A2" w:rsidRPr="00873B6C" w:rsidRDefault="009B42A2" w:rsidP="002C4A81">
            <w:pPr>
              <w:pStyle w:val="TAL"/>
              <w:rPr>
                <w:sz w:val="16"/>
                <w:szCs w:val="16"/>
              </w:rPr>
            </w:pPr>
            <w:r w:rsidRPr="00873B6C">
              <w:rPr>
                <w:sz w:val="16"/>
                <w:szCs w:val="16"/>
              </w:rPr>
              <w:t>-</w:t>
            </w:r>
          </w:p>
        </w:tc>
        <w:tc>
          <w:tcPr>
            <w:tcW w:w="425" w:type="dxa"/>
            <w:shd w:val="solid" w:color="FFFFFF" w:fill="auto"/>
          </w:tcPr>
          <w:p w14:paraId="15880E10" w14:textId="1E901C7A"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1F902E51" w14:textId="19A14698" w:rsidR="009B42A2" w:rsidRPr="00873B6C" w:rsidRDefault="009B42A2" w:rsidP="002C4A81">
            <w:pPr>
              <w:pStyle w:val="TAL"/>
              <w:rPr>
                <w:sz w:val="16"/>
                <w:szCs w:val="16"/>
              </w:rPr>
            </w:pPr>
            <w:r w:rsidRPr="00873B6C">
              <w:rPr>
                <w:sz w:val="16"/>
                <w:szCs w:val="16"/>
              </w:rPr>
              <w:t>KI#3 -5GS to EPS mobility</w:t>
            </w:r>
          </w:p>
        </w:tc>
        <w:tc>
          <w:tcPr>
            <w:tcW w:w="708" w:type="dxa"/>
            <w:shd w:val="solid" w:color="FFFFFF" w:fill="auto"/>
          </w:tcPr>
          <w:p w14:paraId="794D9D3C" w14:textId="5B1DF9A1" w:rsidR="009B42A2" w:rsidRPr="00873B6C" w:rsidRDefault="009B42A2" w:rsidP="002C4A81">
            <w:pPr>
              <w:pStyle w:val="TAC"/>
              <w:rPr>
                <w:sz w:val="16"/>
                <w:szCs w:val="16"/>
              </w:rPr>
            </w:pPr>
            <w:r w:rsidRPr="00873B6C">
              <w:rPr>
                <w:sz w:val="16"/>
                <w:szCs w:val="16"/>
              </w:rPr>
              <w:t>18.2.0</w:t>
            </w:r>
          </w:p>
        </w:tc>
      </w:tr>
      <w:tr w:rsidR="009B42A2" w:rsidRPr="00873B6C" w14:paraId="26D3C892" w14:textId="77777777" w:rsidTr="009D14FB">
        <w:tc>
          <w:tcPr>
            <w:tcW w:w="800" w:type="dxa"/>
            <w:shd w:val="solid" w:color="FFFFFF" w:fill="auto"/>
          </w:tcPr>
          <w:p w14:paraId="7001EE9E" w14:textId="25C25924"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152C0A0E" w14:textId="2BE27439"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558A68DE" w14:textId="12D0DFE5" w:rsidR="009B42A2" w:rsidRPr="00873B6C" w:rsidRDefault="009B42A2" w:rsidP="002C4A81">
            <w:pPr>
              <w:pStyle w:val="TAC"/>
              <w:rPr>
                <w:sz w:val="16"/>
                <w:szCs w:val="16"/>
              </w:rPr>
            </w:pPr>
            <w:r w:rsidRPr="00873B6C">
              <w:rPr>
                <w:sz w:val="16"/>
                <w:szCs w:val="16"/>
              </w:rPr>
              <w:t>SP-230457</w:t>
            </w:r>
          </w:p>
        </w:tc>
        <w:tc>
          <w:tcPr>
            <w:tcW w:w="567" w:type="dxa"/>
            <w:shd w:val="solid" w:color="FFFFFF" w:fill="auto"/>
          </w:tcPr>
          <w:p w14:paraId="39E5E5D0" w14:textId="299186C0" w:rsidR="009B42A2" w:rsidRPr="00873B6C" w:rsidRDefault="009B42A2" w:rsidP="002C4A81">
            <w:pPr>
              <w:pStyle w:val="TAL"/>
              <w:rPr>
                <w:sz w:val="16"/>
                <w:szCs w:val="16"/>
              </w:rPr>
            </w:pPr>
            <w:r w:rsidRPr="00873B6C">
              <w:rPr>
                <w:sz w:val="16"/>
                <w:szCs w:val="16"/>
              </w:rPr>
              <w:t>4191</w:t>
            </w:r>
          </w:p>
        </w:tc>
        <w:tc>
          <w:tcPr>
            <w:tcW w:w="425" w:type="dxa"/>
            <w:shd w:val="solid" w:color="FFFFFF" w:fill="auto"/>
          </w:tcPr>
          <w:p w14:paraId="43AE3C3F" w14:textId="4EEB37A2" w:rsidR="009B42A2" w:rsidRPr="00873B6C" w:rsidRDefault="009B42A2" w:rsidP="002C4A81">
            <w:pPr>
              <w:pStyle w:val="TAL"/>
              <w:rPr>
                <w:sz w:val="16"/>
                <w:szCs w:val="16"/>
              </w:rPr>
            </w:pPr>
            <w:r w:rsidRPr="00873B6C">
              <w:rPr>
                <w:sz w:val="16"/>
                <w:szCs w:val="16"/>
              </w:rPr>
              <w:t>1</w:t>
            </w:r>
          </w:p>
        </w:tc>
        <w:tc>
          <w:tcPr>
            <w:tcW w:w="425" w:type="dxa"/>
            <w:shd w:val="solid" w:color="FFFFFF" w:fill="auto"/>
          </w:tcPr>
          <w:p w14:paraId="0E4A1501" w14:textId="30C2316C"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4B149237" w14:textId="24EEC178" w:rsidR="009B42A2" w:rsidRPr="00873B6C" w:rsidRDefault="009B42A2" w:rsidP="002C4A81">
            <w:pPr>
              <w:pStyle w:val="TAL"/>
              <w:rPr>
                <w:sz w:val="16"/>
                <w:szCs w:val="16"/>
              </w:rPr>
            </w:pPr>
            <w:r w:rsidRPr="00873B6C">
              <w:rPr>
                <w:sz w:val="16"/>
                <w:szCs w:val="16"/>
              </w:rPr>
              <w:t>Translation of Internal-External Information for Assisting Application Layer AI/ML Operations</w:t>
            </w:r>
          </w:p>
        </w:tc>
        <w:tc>
          <w:tcPr>
            <w:tcW w:w="708" w:type="dxa"/>
            <w:shd w:val="solid" w:color="FFFFFF" w:fill="auto"/>
          </w:tcPr>
          <w:p w14:paraId="6F3A336D" w14:textId="7680EC23" w:rsidR="009B42A2" w:rsidRPr="00873B6C" w:rsidRDefault="009B42A2" w:rsidP="002C4A81">
            <w:pPr>
              <w:pStyle w:val="TAC"/>
              <w:rPr>
                <w:sz w:val="16"/>
                <w:szCs w:val="16"/>
              </w:rPr>
            </w:pPr>
            <w:r w:rsidRPr="00873B6C">
              <w:rPr>
                <w:sz w:val="16"/>
                <w:szCs w:val="16"/>
              </w:rPr>
              <w:t>18.2.0</w:t>
            </w:r>
          </w:p>
        </w:tc>
      </w:tr>
      <w:tr w:rsidR="009B42A2" w:rsidRPr="00873B6C" w14:paraId="0A84E1E5" w14:textId="77777777" w:rsidTr="009D14FB">
        <w:tc>
          <w:tcPr>
            <w:tcW w:w="800" w:type="dxa"/>
            <w:shd w:val="solid" w:color="FFFFFF" w:fill="auto"/>
          </w:tcPr>
          <w:p w14:paraId="6AE34D39" w14:textId="26DAC5CA"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2D166989" w14:textId="31E2A7AE"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4FDB80EA" w14:textId="22EF6101" w:rsidR="009B42A2" w:rsidRPr="00873B6C" w:rsidRDefault="009B42A2" w:rsidP="002C4A81">
            <w:pPr>
              <w:pStyle w:val="TAC"/>
              <w:rPr>
                <w:sz w:val="16"/>
                <w:szCs w:val="16"/>
              </w:rPr>
            </w:pPr>
            <w:r w:rsidRPr="00873B6C">
              <w:rPr>
                <w:sz w:val="16"/>
                <w:szCs w:val="16"/>
              </w:rPr>
              <w:t>SP-230457</w:t>
            </w:r>
          </w:p>
        </w:tc>
        <w:tc>
          <w:tcPr>
            <w:tcW w:w="567" w:type="dxa"/>
            <w:shd w:val="solid" w:color="FFFFFF" w:fill="auto"/>
          </w:tcPr>
          <w:p w14:paraId="32ED6A2C" w14:textId="5F479B1F" w:rsidR="009B42A2" w:rsidRPr="00873B6C" w:rsidRDefault="009B42A2" w:rsidP="002C4A81">
            <w:pPr>
              <w:pStyle w:val="TAL"/>
              <w:rPr>
                <w:sz w:val="16"/>
                <w:szCs w:val="16"/>
              </w:rPr>
            </w:pPr>
            <w:r w:rsidRPr="00873B6C">
              <w:rPr>
                <w:sz w:val="16"/>
                <w:szCs w:val="16"/>
              </w:rPr>
              <w:t>4192</w:t>
            </w:r>
          </w:p>
        </w:tc>
        <w:tc>
          <w:tcPr>
            <w:tcW w:w="425" w:type="dxa"/>
            <w:shd w:val="solid" w:color="FFFFFF" w:fill="auto"/>
          </w:tcPr>
          <w:p w14:paraId="590EF9AB" w14:textId="5916D717" w:rsidR="009B42A2" w:rsidRPr="00873B6C" w:rsidRDefault="009B42A2" w:rsidP="002C4A81">
            <w:pPr>
              <w:pStyle w:val="TAL"/>
              <w:rPr>
                <w:sz w:val="16"/>
                <w:szCs w:val="16"/>
              </w:rPr>
            </w:pPr>
            <w:r w:rsidRPr="00873B6C">
              <w:rPr>
                <w:sz w:val="16"/>
                <w:szCs w:val="16"/>
              </w:rPr>
              <w:t>6</w:t>
            </w:r>
          </w:p>
        </w:tc>
        <w:tc>
          <w:tcPr>
            <w:tcW w:w="425" w:type="dxa"/>
            <w:shd w:val="solid" w:color="FFFFFF" w:fill="auto"/>
          </w:tcPr>
          <w:p w14:paraId="2E8CED3D" w14:textId="5C467D99"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6F760803" w14:textId="174D342C" w:rsidR="009B42A2" w:rsidRPr="00873B6C" w:rsidRDefault="009B42A2" w:rsidP="002C4A81">
            <w:pPr>
              <w:pStyle w:val="TAL"/>
              <w:rPr>
                <w:sz w:val="16"/>
                <w:szCs w:val="16"/>
              </w:rPr>
            </w:pPr>
            <w:r w:rsidRPr="00873B6C">
              <w:rPr>
                <w:sz w:val="16"/>
                <w:szCs w:val="16"/>
              </w:rPr>
              <w:t>High level feature description for AIMLsys</w:t>
            </w:r>
          </w:p>
        </w:tc>
        <w:tc>
          <w:tcPr>
            <w:tcW w:w="708" w:type="dxa"/>
            <w:shd w:val="solid" w:color="FFFFFF" w:fill="auto"/>
          </w:tcPr>
          <w:p w14:paraId="1E1E468A" w14:textId="07D72A72" w:rsidR="009B42A2" w:rsidRPr="00873B6C" w:rsidRDefault="009B42A2" w:rsidP="002C4A81">
            <w:pPr>
              <w:pStyle w:val="TAC"/>
              <w:rPr>
                <w:sz w:val="16"/>
                <w:szCs w:val="16"/>
              </w:rPr>
            </w:pPr>
            <w:r w:rsidRPr="00873B6C">
              <w:rPr>
                <w:sz w:val="16"/>
                <w:szCs w:val="16"/>
              </w:rPr>
              <w:t>18.2.0</w:t>
            </w:r>
          </w:p>
        </w:tc>
      </w:tr>
      <w:tr w:rsidR="007C1B83" w:rsidRPr="00873B6C" w14:paraId="79B1391C" w14:textId="77777777" w:rsidTr="009D14FB">
        <w:tc>
          <w:tcPr>
            <w:tcW w:w="800" w:type="dxa"/>
            <w:shd w:val="solid" w:color="FFFFFF" w:fill="auto"/>
          </w:tcPr>
          <w:p w14:paraId="64007624" w14:textId="1EE8DBD6" w:rsidR="007C1B83" w:rsidRPr="00873B6C" w:rsidRDefault="007C1B83" w:rsidP="002C4A81">
            <w:pPr>
              <w:pStyle w:val="TAC"/>
              <w:rPr>
                <w:sz w:val="16"/>
                <w:szCs w:val="16"/>
              </w:rPr>
            </w:pPr>
            <w:r w:rsidRPr="00873B6C">
              <w:rPr>
                <w:sz w:val="16"/>
                <w:szCs w:val="16"/>
              </w:rPr>
              <w:t>2023-06</w:t>
            </w:r>
          </w:p>
        </w:tc>
        <w:tc>
          <w:tcPr>
            <w:tcW w:w="800" w:type="dxa"/>
            <w:shd w:val="solid" w:color="FFFFFF" w:fill="auto"/>
          </w:tcPr>
          <w:p w14:paraId="00C1247D" w14:textId="66467389" w:rsidR="007C1B83" w:rsidRPr="00873B6C" w:rsidRDefault="007C1B83" w:rsidP="002C4A81">
            <w:pPr>
              <w:pStyle w:val="TAL"/>
              <w:rPr>
                <w:sz w:val="16"/>
                <w:szCs w:val="16"/>
              </w:rPr>
            </w:pPr>
            <w:r w:rsidRPr="00873B6C">
              <w:rPr>
                <w:sz w:val="16"/>
                <w:szCs w:val="16"/>
              </w:rPr>
              <w:t>SP#100</w:t>
            </w:r>
          </w:p>
        </w:tc>
        <w:tc>
          <w:tcPr>
            <w:tcW w:w="1094" w:type="dxa"/>
            <w:shd w:val="solid" w:color="FFFFFF" w:fill="auto"/>
          </w:tcPr>
          <w:p w14:paraId="0CA187FC" w14:textId="5FDE540F" w:rsidR="007C1B83" w:rsidRPr="00873B6C" w:rsidRDefault="007C1B83" w:rsidP="002C4A81">
            <w:pPr>
              <w:pStyle w:val="TAC"/>
              <w:rPr>
                <w:sz w:val="16"/>
                <w:szCs w:val="16"/>
              </w:rPr>
            </w:pPr>
            <w:r w:rsidRPr="00873B6C">
              <w:rPr>
                <w:sz w:val="16"/>
                <w:szCs w:val="16"/>
              </w:rPr>
              <w:t>SP-230493</w:t>
            </w:r>
          </w:p>
        </w:tc>
        <w:tc>
          <w:tcPr>
            <w:tcW w:w="567" w:type="dxa"/>
            <w:shd w:val="solid" w:color="FFFFFF" w:fill="auto"/>
          </w:tcPr>
          <w:p w14:paraId="2BEA8758" w14:textId="37CB43F5" w:rsidR="007C1B83" w:rsidRPr="00873B6C" w:rsidRDefault="007C1B83" w:rsidP="002C4A81">
            <w:pPr>
              <w:pStyle w:val="TAL"/>
              <w:rPr>
                <w:sz w:val="16"/>
                <w:szCs w:val="16"/>
              </w:rPr>
            </w:pPr>
            <w:r w:rsidRPr="00873B6C">
              <w:rPr>
                <w:sz w:val="16"/>
                <w:szCs w:val="16"/>
              </w:rPr>
              <w:t>4196</w:t>
            </w:r>
          </w:p>
        </w:tc>
        <w:tc>
          <w:tcPr>
            <w:tcW w:w="425" w:type="dxa"/>
            <w:shd w:val="solid" w:color="FFFFFF" w:fill="auto"/>
          </w:tcPr>
          <w:p w14:paraId="5F57142B" w14:textId="0BFAEB25" w:rsidR="007C1B83" w:rsidRPr="00873B6C" w:rsidRDefault="007C1B83" w:rsidP="002C4A81">
            <w:pPr>
              <w:pStyle w:val="TAL"/>
              <w:rPr>
                <w:sz w:val="16"/>
                <w:szCs w:val="16"/>
              </w:rPr>
            </w:pPr>
            <w:r w:rsidRPr="00873B6C">
              <w:rPr>
                <w:sz w:val="16"/>
                <w:szCs w:val="16"/>
              </w:rPr>
              <w:t>1</w:t>
            </w:r>
          </w:p>
        </w:tc>
        <w:tc>
          <w:tcPr>
            <w:tcW w:w="425" w:type="dxa"/>
            <w:shd w:val="solid" w:color="FFFFFF" w:fill="auto"/>
          </w:tcPr>
          <w:p w14:paraId="2AADABF9" w14:textId="341B9574" w:rsidR="007C1B83" w:rsidRPr="00873B6C" w:rsidRDefault="007C1B83" w:rsidP="002C4A81">
            <w:pPr>
              <w:pStyle w:val="TAL"/>
              <w:rPr>
                <w:sz w:val="16"/>
                <w:szCs w:val="16"/>
              </w:rPr>
            </w:pPr>
            <w:r w:rsidRPr="00873B6C">
              <w:rPr>
                <w:sz w:val="16"/>
                <w:szCs w:val="16"/>
              </w:rPr>
              <w:t>C</w:t>
            </w:r>
          </w:p>
        </w:tc>
        <w:tc>
          <w:tcPr>
            <w:tcW w:w="4820" w:type="dxa"/>
            <w:shd w:val="solid" w:color="FFFFFF" w:fill="auto"/>
          </w:tcPr>
          <w:p w14:paraId="63AB324B" w14:textId="214140A9" w:rsidR="007C1B83" w:rsidRPr="00873B6C" w:rsidRDefault="007C1B83" w:rsidP="002C4A81">
            <w:pPr>
              <w:pStyle w:val="TAL"/>
              <w:rPr>
                <w:sz w:val="16"/>
                <w:szCs w:val="16"/>
              </w:rPr>
            </w:pPr>
            <w:r w:rsidRPr="00873B6C">
              <w:rPr>
                <w:sz w:val="16"/>
                <w:szCs w:val="16"/>
              </w:rPr>
              <w:t>Resolving (Removing) ENs for TSN TN integration</w:t>
            </w:r>
          </w:p>
        </w:tc>
        <w:tc>
          <w:tcPr>
            <w:tcW w:w="708" w:type="dxa"/>
            <w:shd w:val="solid" w:color="FFFFFF" w:fill="auto"/>
          </w:tcPr>
          <w:p w14:paraId="39B541FC" w14:textId="5F5A4BBD" w:rsidR="007C1B83" w:rsidRPr="00873B6C" w:rsidRDefault="007C1B83" w:rsidP="002C4A81">
            <w:pPr>
              <w:pStyle w:val="TAC"/>
              <w:rPr>
                <w:sz w:val="16"/>
                <w:szCs w:val="16"/>
              </w:rPr>
            </w:pPr>
            <w:r w:rsidRPr="00873B6C">
              <w:rPr>
                <w:sz w:val="16"/>
                <w:szCs w:val="16"/>
              </w:rPr>
              <w:t>18.2.0</w:t>
            </w:r>
          </w:p>
        </w:tc>
      </w:tr>
      <w:tr w:rsidR="007C1B83" w:rsidRPr="00873B6C" w14:paraId="1322B6FD" w14:textId="77777777" w:rsidTr="009D14FB">
        <w:tc>
          <w:tcPr>
            <w:tcW w:w="800" w:type="dxa"/>
            <w:shd w:val="solid" w:color="FFFFFF" w:fill="auto"/>
          </w:tcPr>
          <w:p w14:paraId="72B84477" w14:textId="35D2CA41" w:rsidR="007C1B83" w:rsidRPr="00873B6C" w:rsidRDefault="007C1B83" w:rsidP="002C4A81">
            <w:pPr>
              <w:pStyle w:val="TAC"/>
              <w:rPr>
                <w:sz w:val="16"/>
                <w:szCs w:val="16"/>
              </w:rPr>
            </w:pPr>
            <w:r w:rsidRPr="00873B6C">
              <w:rPr>
                <w:sz w:val="16"/>
                <w:szCs w:val="16"/>
              </w:rPr>
              <w:t>2023-06</w:t>
            </w:r>
          </w:p>
        </w:tc>
        <w:tc>
          <w:tcPr>
            <w:tcW w:w="800" w:type="dxa"/>
            <w:shd w:val="solid" w:color="FFFFFF" w:fill="auto"/>
          </w:tcPr>
          <w:p w14:paraId="22279007" w14:textId="72A5E7F9" w:rsidR="007C1B83" w:rsidRPr="00873B6C" w:rsidRDefault="007C1B83" w:rsidP="002C4A81">
            <w:pPr>
              <w:pStyle w:val="TAL"/>
              <w:rPr>
                <w:sz w:val="16"/>
                <w:szCs w:val="16"/>
              </w:rPr>
            </w:pPr>
            <w:r w:rsidRPr="00873B6C">
              <w:rPr>
                <w:sz w:val="16"/>
                <w:szCs w:val="16"/>
              </w:rPr>
              <w:t>SP#100</w:t>
            </w:r>
          </w:p>
        </w:tc>
        <w:tc>
          <w:tcPr>
            <w:tcW w:w="1094" w:type="dxa"/>
            <w:shd w:val="solid" w:color="FFFFFF" w:fill="auto"/>
          </w:tcPr>
          <w:p w14:paraId="62CD2DB0" w14:textId="2F63B446" w:rsidR="007C1B83" w:rsidRPr="00873B6C" w:rsidRDefault="007C1B83" w:rsidP="002C4A81">
            <w:pPr>
              <w:pStyle w:val="TAC"/>
              <w:rPr>
                <w:sz w:val="16"/>
                <w:szCs w:val="16"/>
              </w:rPr>
            </w:pPr>
            <w:r w:rsidRPr="00873B6C">
              <w:rPr>
                <w:sz w:val="16"/>
                <w:szCs w:val="16"/>
              </w:rPr>
              <w:t>SP-230471</w:t>
            </w:r>
          </w:p>
        </w:tc>
        <w:tc>
          <w:tcPr>
            <w:tcW w:w="567" w:type="dxa"/>
            <w:shd w:val="solid" w:color="FFFFFF" w:fill="auto"/>
          </w:tcPr>
          <w:p w14:paraId="745EAE46" w14:textId="61C12EFF" w:rsidR="007C1B83" w:rsidRPr="00873B6C" w:rsidRDefault="007C1B83" w:rsidP="002C4A81">
            <w:pPr>
              <w:pStyle w:val="TAL"/>
              <w:rPr>
                <w:sz w:val="16"/>
                <w:szCs w:val="16"/>
              </w:rPr>
            </w:pPr>
            <w:r w:rsidRPr="00873B6C">
              <w:rPr>
                <w:sz w:val="16"/>
                <w:szCs w:val="16"/>
              </w:rPr>
              <w:t>4202</w:t>
            </w:r>
          </w:p>
        </w:tc>
        <w:tc>
          <w:tcPr>
            <w:tcW w:w="425" w:type="dxa"/>
            <w:shd w:val="solid" w:color="FFFFFF" w:fill="auto"/>
          </w:tcPr>
          <w:p w14:paraId="6F509E80" w14:textId="4B34CA12" w:rsidR="007C1B83" w:rsidRPr="00873B6C" w:rsidRDefault="007C1B83" w:rsidP="002C4A81">
            <w:pPr>
              <w:pStyle w:val="TAL"/>
              <w:rPr>
                <w:sz w:val="16"/>
                <w:szCs w:val="16"/>
              </w:rPr>
            </w:pPr>
            <w:r w:rsidRPr="00873B6C">
              <w:rPr>
                <w:sz w:val="16"/>
                <w:szCs w:val="16"/>
              </w:rPr>
              <w:t>1</w:t>
            </w:r>
          </w:p>
        </w:tc>
        <w:tc>
          <w:tcPr>
            <w:tcW w:w="425" w:type="dxa"/>
            <w:shd w:val="solid" w:color="FFFFFF" w:fill="auto"/>
          </w:tcPr>
          <w:p w14:paraId="02DD8413" w14:textId="433901C9" w:rsidR="007C1B83" w:rsidRPr="00873B6C" w:rsidRDefault="007C1B83" w:rsidP="002C4A81">
            <w:pPr>
              <w:pStyle w:val="TAL"/>
              <w:rPr>
                <w:sz w:val="16"/>
                <w:szCs w:val="16"/>
              </w:rPr>
            </w:pPr>
            <w:r w:rsidRPr="00873B6C">
              <w:rPr>
                <w:sz w:val="16"/>
                <w:szCs w:val="16"/>
              </w:rPr>
              <w:t>C</w:t>
            </w:r>
          </w:p>
        </w:tc>
        <w:tc>
          <w:tcPr>
            <w:tcW w:w="4820" w:type="dxa"/>
            <w:shd w:val="solid" w:color="FFFFFF" w:fill="auto"/>
          </w:tcPr>
          <w:p w14:paraId="07206BDA" w14:textId="7D064F69" w:rsidR="007C1B83" w:rsidRPr="00873B6C" w:rsidRDefault="007C1B83" w:rsidP="002C4A81">
            <w:pPr>
              <w:pStyle w:val="TAL"/>
              <w:rPr>
                <w:sz w:val="16"/>
                <w:szCs w:val="16"/>
              </w:rPr>
            </w:pPr>
            <w:r w:rsidRPr="00873B6C">
              <w:rPr>
                <w:sz w:val="16"/>
                <w:szCs w:val="16"/>
              </w:rPr>
              <w:t>Clarify the allowed CAG list with validity condition</w:t>
            </w:r>
          </w:p>
        </w:tc>
        <w:tc>
          <w:tcPr>
            <w:tcW w:w="708" w:type="dxa"/>
            <w:shd w:val="solid" w:color="FFFFFF" w:fill="auto"/>
          </w:tcPr>
          <w:p w14:paraId="01D63E5A" w14:textId="762175B6" w:rsidR="007C1B83" w:rsidRPr="00873B6C" w:rsidRDefault="007C1B83" w:rsidP="002C4A81">
            <w:pPr>
              <w:pStyle w:val="TAC"/>
              <w:rPr>
                <w:sz w:val="16"/>
                <w:szCs w:val="16"/>
              </w:rPr>
            </w:pPr>
            <w:r w:rsidRPr="00873B6C">
              <w:rPr>
                <w:sz w:val="16"/>
                <w:szCs w:val="16"/>
              </w:rPr>
              <w:t>18.2.0</w:t>
            </w:r>
          </w:p>
        </w:tc>
      </w:tr>
      <w:tr w:rsidR="00AA4C8A" w:rsidRPr="00873B6C" w14:paraId="30119B2B" w14:textId="77777777" w:rsidTr="009D14FB">
        <w:tc>
          <w:tcPr>
            <w:tcW w:w="800" w:type="dxa"/>
            <w:shd w:val="solid" w:color="FFFFFF" w:fill="auto"/>
          </w:tcPr>
          <w:p w14:paraId="64089A4D" w14:textId="2E7A8961" w:rsidR="00AA4C8A" w:rsidRPr="00873B6C" w:rsidRDefault="00AA4C8A" w:rsidP="002C4A81">
            <w:pPr>
              <w:pStyle w:val="TAC"/>
              <w:rPr>
                <w:sz w:val="16"/>
                <w:szCs w:val="16"/>
              </w:rPr>
            </w:pPr>
            <w:r w:rsidRPr="00873B6C">
              <w:rPr>
                <w:sz w:val="16"/>
                <w:szCs w:val="16"/>
              </w:rPr>
              <w:t>2023-06</w:t>
            </w:r>
          </w:p>
        </w:tc>
        <w:tc>
          <w:tcPr>
            <w:tcW w:w="800" w:type="dxa"/>
            <w:shd w:val="solid" w:color="FFFFFF" w:fill="auto"/>
          </w:tcPr>
          <w:p w14:paraId="391465B2" w14:textId="2DF51007" w:rsidR="00AA4C8A" w:rsidRPr="00873B6C" w:rsidRDefault="00AA4C8A" w:rsidP="002C4A81">
            <w:pPr>
              <w:pStyle w:val="TAL"/>
              <w:rPr>
                <w:sz w:val="16"/>
                <w:szCs w:val="16"/>
              </w:rPr>
            </w:pPr>
            <w:r w:rsidRPr="00873B6C">
              <w:rPr>
                <w:sz w:val="16"/>
                <w:szCs w:val="16"/>
              </w:rPr>
              <w:t>SP#100</w:t>
            </w:r>
          </w:p>
        </w:tc>
        <w:tc>
          <w:tcPr>
            <w:tcW w:w="1094" w:type="dxa"/>
            <w:shd w:val="solid" w:color="FFFFFF" w:fill="auto"/>
          </w:tcPr>
          <w:p w14:paraId="5E8E42D1" w14:textId="410FAE67" w:rsidR="00AA4C8A" w:rsidRPr="00873B6C" w:rsidRDefault="00AA4C8A" w:rsidP="002C4A81">
            <w:pPr>
              <w:pStyle w:val="TAC"/>
              <w:rPr>
                <w:sz w:val="16"/>
                <w:szCs w:val="16"/>
              </w:rPr>
            </w:pPr>
            <w:r w:rsidRPr="00873B6C">
              <w:rPr>
                <w:sz w:val="16"/>
                <w:szCs w:val="16"/>
              </w:rPr>
              <w:t>SP-230471</w:t>
            </w:r>
          </w:p>
        </w:tc>
        <w:tc>
          <w:tcPr>
            <w:tcW w:w="567" w:type="dxa"/>
            <w:shd w:val="solid" w:color="FFFFFF" w:fill="auto"/>
          </w:tcPr>
          <w:p w14:paraId="12A62E03" w14:textId="2D74A274" w:rsidR="00AA4C8A" w:rsidRPr="00873B6C" w:rsidRDefault="00AA4C8A" w:rsidP="002C4A81">
            <w:pPr>
              <w:pStyle w:val="TAL"/>
              <w:rPr>
                <w:sz w:val="16"/>
                <w:szCs w:val="16"/>
              </w:rPr>
            </w:pPr>
            <w:r w:rsidRPr="00873B6C">
              <w:rPr>
                <w:sz w:val="16"/>
                <w:szCs w:val="16"/>
              </w:rPr>
              <w:t>4205</w:t>
            </w:r>
          </w:p>
        </w:tc>
        <w:tc>
          <w:tcPr>
            <w:tcW w:w="425" w:type="dxa"/>
            <w:shd w:val="solid" w:color="FFFFFF" w:fill="auto"/>
          </w:tcPr>
          <w:p w14:paraId="0C3FD3A7" w14:textId="6E8901AC" w:rsidR="00AA4C8A" w:rsidRPr="00873B6C" w:rsidRDefault="00AA4C8A" w:rsidP="002C4A81">
            <w:pPr>
              <w:pStyle w:val="TAL"/>
              <w:rPr>
                <w:sz w:val="16"/>
                <w:szCs w:val="16"/>
              </w:rPr>
            </w:pPr>
            <w:r w:rsidRPr="00873B6C">
              <w:rPr>
                <w:sz w:val="16"/>
                <w:szCs w:val="16"/>
              </w:rPr>
              <w:t>1</w:t>
            </w:r>
          </w:p>
        </w:tc>
        <w:tc>
          <w:tcPr>
            <w:tcW w:w="425" w:type="dxa"/>
            <w:shd w:val="solid" w:color="FFFFFF" w:fill="auto"/>
          </w:tcPr>
          <w:p w14:paraId="07A767BE" w14:textId="191212E8" w:rsidR="00AA4C8A" w:rsidRPr="00873B6C" w:rsidRDefault="00AA4C8A" w:rsidP="002C4A81">
            <w:pPr>
              <w:pStyle w:val="TAL"/>
              <w:rPr>
                <w:sz w:val="16"/>
                <w:szCs w:val="16"/>
              </w:rPr>
            </w:pPr>
            <w:r w:rsidRPr="00873B6C">
              <w:rPr>
                <w:sz w:val="16"/>
                <w:szCs w:val="16"/>
              </w:rPr>
              <w:t>C</w:t>
            </w:r>
          </w:p>
        </w:tc>
        <w:tc>
          <w:tcPr>
            <w:tcW w:w="4820" w:type="dxa"/>
            <w:shd w:val="solid" w:color="FFFFFF" w:fill="auto"/>
          </w:tcPr>
          <w:p w14:paraId="3C438EBC" w14:textId="656C05A7" w:rsidR="00AA4C8A" w:rsidRPr="00873B6C" w:rsidRDefault="00AA4C8A" w:rsidP="002C4A81">
            <w:pPr>
              <w:pStyle w:val="TAL"/>
              <w:rPr>
                <w:sz w:val="16"/>
                <w:szCs w:val="16"/>
              </w:rPr>
            </w:pPr>
            <w:r w:rsidRPr="00873B6C">
              <w:rPr>
                <w:sz w:val="16"/>
                <w:szCs w:val="16"/>
              </w:rPr>
              <w:t>SNPN selection for access to localized services</w:t>
            </w:r>
          </w:p>
        </w:tc>
        <w:tc>
          <w:tcPr>
            <w:tcW w:w="708" w:type="dxa"/>
            <w:shd w:val="solid" w:color="FFFFFF" w:fill="auto"/>
          </w:tcPr>
          <w:p w14:paraId="06C78A4F" w14:textId="7C21BA6C" w:rsidR="00AA4C8A" w:rsidRPr="00873B6C" w:rsidRDefault="00AA4C8A" w:rsidP="002C4A81">
            <w:pPr>
              <w:pStyle w:val="TAC"/>
              <w:rPr>
                <w:sz w:val="16"/>
                <w:szCs w:val="16"/>
              </w:rPr>
            </w:pPr>
            <w:r w:rsidRPr="00873B6C">
              <w:rPr>
                <w:sz w:val="16"/>
                <w:szCs w:val="16"/>
              </w:rPr>
              <w:t>18.2.0</w:t>
            </w:r>
          </w:p>
        </w:tc>
      </w:tr>
      <w:tr w:rsidR="00424087" w:rsidRPr="00873B6C" w14:paraId="06ECA158" w14:textId="77777777" w:rsidTr="009D14FB">
        <w:tc>
          <w:tcPr>
            <w:tcW w:w="800" w:type="dxa"/>
            <w:shd w:val="solid" w:color="FFFFFF" w:fill="auto"/>
          </w:tcPr>
          <w:p w14:paraId="5E1D8AA9" w14:textId="3EF64E76" w:rsidR="00424087" w:rsidRPr="00873B6C" w:rsidRDefault="00424087" w:rsidP="002C4A81">
            <w:pPr>
              <w:pStyle w:val="TAC"/>
              <w:rPr>
                <w:sz w:val="16"/>
                <w:szCs w:val="16"/>
              </w:rPr>
            </w:pPr>
            <w:r w:rsidRPr="00873B6C">
              <w:rPr>
                <w:sz w:val="16"/>
                <w:szCs w:val="16"/>
              </w:rPr>
              <w:t>2023-06</w:t>
            </w:r>
          </w:p>
        </w:tc>
        <w:tc>
          <w:tcPr>
            <w:tcW w:w="800" w:type="dxa"/>
            <w:shd w:val="solid" w:color="FFFFFF" w:fill="auto"/>
          </w:tcPr>
          <w:p w14:paraId="2E5D6C75" w14:textId="0A2CE621" w:rsidR="00424087" w:rsidRPr="00873B6C" w:rsidRDefault="00424087" w:rsidP="002C4A81">
            <w:pPr>
              <w:pStyle w:val="TAL"/>
              <w:rPr>
                <w:sz w:val="16"/>
                <w:szCs w:val="16"/>
              </w:rPr>
            </w:pPr>
            <w:r w:rsidRPr="00873B6C">
              <w:rPr>
                <w:sz w:val="16"/>
                <w:szCs w:val="16"/>
              </w:rPr>
              <w:t>SP#100</w:t>
            </w:r>
          </w:p>
        </w:tc>
        <w:tc>
          <w:tcPr>
            <w:tcW w:w="1094" w:type="dxa"/>
            <w:shd w:val="solid" w:color="FFFFFF" w:fill="auto"/>
          </w:tcPr>
          <w:p w14:paraId="51169008" w14:textId="08D71E8D" w:rsidR="00424087" w:rsidRPr="00873B6C" w:rsidRDefault="00424087" w:rsidP="002C4A81">
            <w:pPr>
              <w:pStyle w:val="TAC"/>
              <w:rPr>
                <w:sz w:val="16"/>
                <w:szCs w:val="16"/>
              </w:rPr>
            </w:pPr>
            <w:r w:rsidRPr="00873B6C">
              <w:rPr>
                <w:sz w:val="16"/>
                <w:szCs w:val="16"/>
              </w:rPr>
              <w:t>SP-230459</w:t>
            </w:r>
          </w:p>
        </w:tc>
        <w:tc>
          <w:tcPr>
            <w:tcW w:w="567" w:type="dxa"/>
            <w:shd w:val="solid" w:color="FFFFFF" w:fill="auto"/>
          </w:tcPr>
          <w:p w14:paraId="69A06057" w14:textId="77852A9F" w:rsidR="00424087" w:rsidRPr="00873B6C" w:rsidRDefault="00424087" w:rsidP="002C4A81">
            <w:pPr>
              <w:pStyle w:val="TAL"/>
              <w:rPr>
                <w:sz w:val="16"/>
                <w:szCs w:val="16"/>
              </w:rPr>
            </w:pPr>
            <w:r w:rsidRPr="00873B6C">
              <w:rPr>
                <w:sz w:val="16"/>
                <w:szCs w:val="16"/>
              </w:rPr>
              <w:t>4210</w:t>
            </w:r>
          </w:p>
        </w:tc>
        <w:tc>
          <w:tcPr>
            <w:tcW w:w="425" w:type="dxa"/>
            <w:shd w:val="solid" w:color="FFFFFF" w:fill="auto"/>
          </w:tcPr>
          <w:p w14:paraId="489CD6DA" w14:textId="4AC0FD2A" w:rsidR="00424087" w:rsidRPr="00873B6C" w:rsidRDefault="00424087" w:rsidP="002C4A81">
            <w:pPr>
              <w:pStyle w:val="TAL"/>
              <w:rPr>
                <w:sz w:val="16"/>
                <w:szCs w:val="16"/>
              </w:rPr>
            </w:pPr>
            <w:r w:rsidRPr="00873B6C">
              <w:rPr>
                <w:sz w:val="16"/>
                <w:szCs w:val="16"/>
              </w:rPr>
              <w:t>1</w:t>
            </w:r>
          </w:p>
        </w:tc>
        <w:tc>
          <w:tcPr>
            <w:tcW w:w="425" w:type="dxa"/>
            <w:shd w:val="solid" w:color="FFFFFF" w:fill="auto"/>
          </w:tcPr>
          <w:p w14:paraId="43EB3C97" w14:textId="68BD0135" w:rsidR="00424087" w:rsidRPr="00873B6C" w:rsidRDefault="00424087" w:rsidP="002C4A81">
            <w:pPr>
              <w:pStyle w:val="TAL"/>
              <w:rPr>
                <w:sz w:val="16"/>
                <w:szCs w:val="16"/>
              </w:rPr>
            </w:pPr>
            <w:r w:rsidRPr="00873B6C">
              <w:rPr>
                <w:sz w:val="16"/>
                <w:szCs w:val="16"/>
              </w:rPr>
              <w:t>C</w:t>
            </w:r>
          </w:p>
        </w:tc>
        <w:tc>
          <w:tcPr>
            <w:tcW w:w="4820" w:type="dxa"/>
            <w:shd w:val="solid" w:color="FFFFFF" w:fill="auto"/>
          </w:tcPr>
          <w:p w14:paraId="32804D11" w14:textId="35E43D00" w:rsidR="00424087" w:rsidRPr="00873B6C" w:rsidRDefault="00424087" w:rsidP="002C4A81">
            <w:pPr>
              <w:pStyle w:val="TAL"/>
              <w:rPr>
                <w:sz w:val="16"/>
                <w:szCs w:val="16"/>
              </w:rPr>
            </w:pPr>
            <w:r w:rsidRPr="00873B6C">
              <w:rPr>
                <w:sz w:val="16"/>
                <w:szCs w:val="16"/>
              </w:rPr>
              <w:t>Updates to non-3GPP access path switching</w:t>
            </w:r>
          </w:p>
        </w:tc>
        <w:tc>
          <w:tcPr>
            <w:tcW w:w="708" w:type="dxa"/>
            <w:shd w:val="solid" w:color="FFFFFF" w:fill="auto"/>
          </w:tcPr>
          <w:p w14:paraId="7F194157" w14:textId="1004EE50" w:rsidR="00424087" w:rsidRPr="00873B6C" w:rsidRDefault="00424087" w:rsidP="002C4A81">
            <w:pPr>
              <w:pStyle w:val="TAC"/>
              <w:rPr>
                <w:sz w:val="16"/>
                <w:szCs w:val="16"/>
              </w:rPr>
            </w:pPr>
            <w:r w:rsidRPr="00873B6C">
              <w:rPr>
                <w:sz w:val="16"/>
                <w:szCs w:val="16"/>
              </w:rPr>
              <w:t>18.2.0</w:t>
            </w:r>
          </w:p>
        </w:tc>
      </w:tr>
      <w:tr w:rsidR="00424087" w:rsidRPr="00873B6C" w14:paraId="5EA5971F" w14:textId="77777777" w:rsidTr="009D14FB">
        <w:tc>
          <w:tcPr>
            <w:tcW w:w="800" w:type="dxa"/>
            <w:shd w:val="solid" w:color="FFFFFF" w:fill="auto"/>
          </w:tcPr>
          <w:p w14:paraId="688FFBA8" w14:textId="11A3747B" w:rsidR="00424087" w:rsidRPr="00873B6C" w:rsidRDefault="00424087" w:rsidP="002C4A81">
            <w:pPr>
              <w:pStyle w:val="TAC"/>
              <w:rPr>
                <w:sz w:val="16"/>
                <w:szCs w:val="16"/>
              </w:rPr>
            </w:pPr>
            <w:r w:rsidRPr="00873B6C">
              <w:rPr>
                <w:sz w:val="16"/>
                <w:szCs w:val="16"/>
              </w:rPr>
              <w:t>2023-06</w:t>
            </w:r>
          </w:p>
        </w:tc>
        <w:tc>
          <w:tcPr>
            <w:tcW w:w="800" w:type="dxa"/>
            <w:shd w:val="solid" w:color="FFFFFF" w:fill="auto"/>
          </w:tcPr>
          <w:p w14:paraId="76B6594F" w14:textId="46B83B98" w:rsidR="00424087" w:rsidRPr="00873B6C" w:rsidRDefault="00424087" w:rsidP="002C4A81">
            <w:pPr>
              <w:pStyle w:val="TAL"/>
              <w:rPr>
                <w:sz w:val="16"/>
                <w:szCs w:val="16"/>
              </w:rPr>
            </w:pPr>
            <w:r w:rsidRPr="00873B6C">
              <w:rPr>
                <w:sz w:val="16"/>
                <w:szCs w:val="16"/>
              </w:rPr>
              <w:t>SP#100</w:t>
            </w:r>
          </w:p>
        </w:tc>
        <w:tc>
          <w:tcPr>
            <w:tcW w:w="1094" w:type="dxa"/>
            <w:shd w:val="solid" w:color="FFFFFF" w:fill="auto"/>
          </w:tcPr>
          <w:p w14:paraId="4C8D2083" w14:textId="79092F42" w:rsidR="00424087" w:rsidRPr="00873B6C" w:rsidRDefault="00424087" w:rsidP="002C4A81">
            <w:pPr>
              <w:pStyle w:val="TAC"/>
              <w:rPr>
                <w:sz w:val="16"/>
                <w:szCs w:val="16"/>
              </w:rPr>
            </w:pPr>
            <w:r w:rsidRPr="00873B6C">
              <w:rPr>
                <w:sz w:val="16"/>
                <w:szCs w:val="16"/>
              </w:rPr>
              <w:t>SP-230478</w:t>
            </w:r>
          </w:p>
        </w:tc>
        <w:tc>
          <w:tcPr>
            <w:tcW w:w="567" w:type="dxa"/>
            <w:shd w:val="solid" w:color="FFFFFF" w:fill="auto"/>
          </w:tcPr>
          <w:p w14:paraId="5D252252" w14:textId="24D316CE" w:rsidR="00424087" w:rsidRPr="00873B6C" w:rsidRDefault="00424087" w:rsidP="002C4A81">
            <w:pPr>
              <w:pStyle w:val="TAL"/>
              <w:rPr>
                <w:sz w:val="16"/>
                <w:szCs w:val="16"/>
              </w:rPr>
            </w:pPr>
            <w:r w:rsidRPr="00873B6C">
              <w:rPr>
                <w:sz w:val="16"/>
                <w:szCs w:val="16"/>
              </w:rPr>
              <w:t>4211</w:t>
            </w:r>
          </w:p>
        </w:tc>
        <w:tc>
          <w:tcPr>
            <w:tcW w:w="425" w:type="dxa"/>
            <w:shd w:val="solid" w:color="FFFFFF" w:fill="auto"/>
          </w:tcPr>
          <w:p w14:paraId="74A290BB" w14:textId="511E957B" w:rsidR="00424087" w:rsidRPr="00873B6C" w:rsidRDefault="00424087" w:rsidP="002C4A81">
            <w:pPr>
              <w:pStyle w:val="TAL"/>
              <w:rPr>
                <w:sz w:val="16"/>
                <w:szCs w:val="16"/>
              </w:rPr>
            </w:pPr>
            <w:r w:rsidRPr="00873B6C">
              <w:rPr>
                <w:sz w:val="16"/>
                <w:szCs w:val="16"/>
              </w:rPr>
              <w:t>1</w:t>
            </w:r>
          </w:p>
        </w:tc>
        <w:tc>
          <w:tcPr>
            <w:tcW w:w="425" w:type="dxa"/>
            <w:shd w:val="solid" w:color="FFFFFF" w:fill="auto"/>
          </w:tcPr>
          <w:p w14:paraId="1B975A2F" w14:textId="1D5975D0" w:rsidR="00424087" w:rsidRPr="00873B6C" w:rsidRDefault="00424087" w:rsidP="002C4A81">
            <w:pPr>
              <w:pStyle w:val="TAL"/>
              <w:rPr>
                <w:sz w:val="16"/>
                <w:szCs w:val="16"/>
              </w:rPr>
            </w:pPr>
            <w:r w:rsidRPr="00873B6C">
              <w:rPr>
                <w:sz w:val="16"/>
                <w:szCs w:val="16"/>
              </w:rPr>
              <w:t>C</w:t>
            </w:r>
          </w:p>
        </w:tc>
        <w:tc>
          <w:tcPr>
            <w:tcW w:w="4820" w:type="dxa"/>
            <w:shd w:val="solid" w:color="FFFFFF" w:fill="auto"/>
          </w:tcPr>
          <w:p w14:paraId="186B877B" w14:textId="0C097625" w:rsidR="00424087" w:rsidRPr="00873B6C" w:rsidRDefault="00424087" w:rsidP="002C4A81">
            <w:pPr>
              <w:pStyle w:val="TAL"/>
              <w:rPr>
                <w:sz w:val="16"/>
                <w:szCs w:val="16"/>
              </w:rPr>
            </w:pPr>
            <w:r w:rsidRPr="00873B6C">
              <w:rPr>
                <w:sz w:val="16"/>
                <w:szCs w:val="16"/>
              </w:rPr>
              <w:t>Corrections to handling of LADN area per DNN and S-NSSAI</w:t>
            </w:r>
          </w:p>
        </w:tc>
        <w:tc>
          <w:tcPr>
            <w:tcW w:w="708" w:type="dxa"/>
            <w:shd w:val="solid" w:color="FFFFFF" w:fill="auto"/>
          </w:tcPr>
          <w:p w14:paraId="70393B51" w14:textId="62062B27" w:rsidR="00424087" w:rsidRPr="00873B6C" w:rsidRDefault="00424087" w:rsidP="002C4A81">
            <w:pPr>
              <w:pStyle w:val="TAC"/>
              <w:rPr>
                <w:sz w:val="16"/>
                <w:szCs w:val="16"/>
              </w:rPr>
            </w:pPr>
            <w:r w:rsidRPr="00873B6C">
              <w:rPr>
                <w:sz w:val="16"/>
                <w:szCs w:val="16"/>
              </w:rPr>
              <w:t>18.2.0</w:t>
            </w:r>
          </w:p>
        </w:tc>
      </w:tr>
      <w:tr w:rsidR="00424087" w:rsidRPr="00873B6C" w14:paraId="06EDBE89" w14:textId="77777777" w:rsidTr="009D14FB">
        <w:tc>
          <w:tcPr>
            <w:tcW w:w="800" w:type="dxa"/>
            <w:shd w:val="solid" w:color="FFFFFF" w:fill="auto"/>
          </w:tcPr>
          <w:p w14:paraId="2CBFF9AB" w14:textId="69B34A29" w:rsidR="00424087" w:rsidRPr="00873B6C" w:rsidRDefault="00424087" w:rsidP="002C4A81">
            <w:pPr>
              <w:pStyle w:val="TAC"/>
              <w:rPr>
                <w:sz w:val="16"/>
                <w:szCs w:val="16"/>
              </w:rPr>
            </w:pPr>
            <w:r w:rsidRPr="00873B6C">
              <w:rPr>
                <w:sz w:val="16"/>
                <w:szCs w:val="16"/>
              </w:rPr>
              <w:t>2023-06</w:t>
            </w:r>
          </w:p>
        </w:tc>
        <w:tc>
          <w:tcPr>
            <w:tcW w:w="800" w:type="dxa"/>
            <w:shd w:val="solid" w:color="FFFFFF" w:fill="auto"/>
          </w:tcPr>
          <w:p w14:paraId="5BD9D230" w14:textId="1E30F02C" w:rsidR="00424087" w:rsidRPr="00873B6C" w:rsidRDefault="00424087" w:rsidP="002C4A81">
            <w:pPr>
              <w:pStyle w:val="TAL"/>
              <w:rPr>
                <w:sz w:val="16"/>
                <w:szCs w:val="16"/>
              </w:rPr>
            </w:pPr>
            <w:r w:rsidRPr="00873B6C">
              <w:rPr>
                <w:sz w:val="16"/>
                <w:szCs w:val="16"/>
              </w:rPr>
              <w:t>SP#100</w:t>
            </w:r>
          </w:p>
        </w:tc>
        <w:tc>
          <w:tcPr>
            <w:tcW w:w="1094" w:type="dxa"/>
            <w:shd w:val="solid" w:color="FFFFFF" w:fill="auto"/>
          </w:tcPr>
          <w:p w14:paraId="4E616DB4" w14:textId="4E9B69E7" w:rsidR="00424087" w:rsidRPr="00873B6C" w:rsidRDefault="00424087" w:rsidP="002C4A81">
            <w:pPr>
              <w:pStyle w:val="TAC"/>
              <w:rPr>
                <w:sz w:val="16"/>
                <w:szCs w:val="16"/>
              </w:rPr>
            </w:pPr>
            <w:r w:rsidRPr="00873B6C">
              <w:rPr>
                <w:sz w:val="16"/>
                <w:szCs w:val="16"/>
              </w:rPr>
              <w:t>SP-230493</w:t>
            </w:r>
          </w:p>
        </w:tc>
        <w:tc>
          <w:tcPr>
            <w:tcW w:w="567" w:type="dxa"/>
            <w:shd w:val="solid" w:color="FFFFFF" w:fill="auto"/>
          </w:tcPr>
          <w:p w14:paraId="0ABA6C4F" w14:textId="567A8354" w:rsidR="00424087" w:rsidRPr="00873B6C" w:rsidRDefault="00424087" w:rsidP="002C4A81">
            <w:pPr>
              <w:pStyle w:val="TAL"/>
              <w:rPr>
                <w:sz w:val="16"/>
                <w:szCs w:val="16"/>
              </w:rPr>
            </w:pPr>
            <w:r w:rsidRPr="00873B6C">
              <w:rPr>
                <w:sz w:val="16"/>
                <w:szCs w:val="16"/>
              </w:rPr>
              <w:t>4216</w:t>
            </w:r>
          </w:p>
        </w:tc>
        <w:tc>
          <w:tcPr>
            <w:tcW w:w="425" w:type="dxa"/>
            <w:shd w:val="solid" w:color="FFFFFF" w:fill="auto"/>
          </w:tcPr>
          <w:p w14:paraId="2CD9C4FA" w14:textId="350D01F6" w:rsidR="00424087" w:rsidRPr="00873B6C" w:rsidRDefault="00424087" w:rsidP="002C4A81">
            <w:pPr>
              <w:pStyle w:val="TAL"/>
              <w:rPr>
                <w:sz w:val="16"/>
                <w:szCs w:val="16"/>
              </w:rPr>
            </w:pPr>
            <w:r w:rsidRPr="00873B6C">
              <w:rPr>
                <w:sz w:val="16"/>
                <w:szCs w:val="16"/>
              </w:rPr>
              <w:t>9</w:t>
            </w:r>
          </w:p>
        </w:tc>
        <w:tc>
          <w:tcPr>
            <w:tcW w:w="425" w:type="dxa"/>
            <w:shd w:val="solid" w:color="FFFFFF" w:fill="auto"/>
          </w:tcPr>
          <w:p w14:paraId="39668017" w14:textId="4F11090B" w:rsidR="00424087" w:rsidRPr="00873B6C" w:rsidRDefault="00424087" w:rsidP="002C4A81">
            <w:pPr>
              <w:pStyle w:val="TAL"/>
              <w:rPr>
                <w:sz w:val="16"/>
                <w:szCs w:val="16"/>
              </w:rPr>
            </w:pPr>
            <w:r w:rsidRPr="00873B6C">
              <w:rPr>
                <w:sz w:val="16"/>
                <w:szCs w:val="16"/>
              </w:rPr>
              <w:t>C</w:t>
            </w:r>
          </w:p>
        </w:tc>
        <w:tc>
          <w:tcPr>
            <w:tcW w:w="4820" w:type="dxa"/>
            <w:shd w:val="solid" w:color="FFFFFF" w:fill="auto"/>
          </w:tcPr>
          <w:p w14:paraId="2C4CC0F5" w14:textId="5B94BA32" w:rsidR="00424087" w:rsidRPr="00873B6C" w:rsidRDefault="00424087" w:rsidP="002C4A81">
            <w:pPr>
              <w:pStyle w:val="TAL"/>
              <w:rPr>
                <w:sz w:val="16"/>
                <w:szCs w:val="16"/>
              </w:rPr>
            </w:pPr>
            <w:r w:rsidRPr="00873B6C">
              <w:rPr>
                <w:sz w:val="16"/>
                <w:szCs w:val="16"/>
              </w:rPr>
              <w:t>Revision on the support of network timing synchronization status and reporting</w:t>
            </w:r>
          </w:p>
        </w:tc>
        <w:tc>
          <w:tcPr>
            <w:tcW w:w="708" w:type="dxa"/>
            <w:shd w:val="solid" w:color="FFFFFF" w:fill="auto"/>
          </w:tcPr>
          <w:p w14:paraId="17933F3D" w14:textId="73B7E9C7" w:rsidR="00424087" w:rsidRPr="00873B6C" w:rsidRDefault="00424087" w:rsidP="002C4A81">
            <w:pPr>
              <w:pStyle w:val="TAC"/>
              <w:rPr>
                <w:sz w:val="16"/>
                <w:szCs w:val="16"/>
              </w:rPr>
            </w:pPr>
            <w:r w:rsidRPr="00873B6C">
              <w:rPr>
                <w:sz w:val="16"/>
                <w:szCs w:val="16"/>
              </w:rPr>
              <w:t>18.2.0</w:t>
            </w:r>
          </w:p>
        </w:tc>
      </w:tr>
      <w:tr w:rsidR="00386935" w:rsidRPr="00873B6C" w14:paraId="38C04EF6" w14:textId="77777777" w:rsidTr="009D14FB">
        <w:tc>
          <w:tcPr>
            <w:tcW w:w="800" w:type="dxa"/>
            <w:shd w:val="solid" w:color="FFFFFF" w:fill="auto"/>
          </w:tcPr>
          <w:p w14:paraId="0DC79942" w14:textId="44A21586"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3D4F209D" w14:textId="19208D93"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1FA30440" w14:textId="1439AF6E" w:rsidR="00386935" w:rsidRPr="00873B6C" w:rsidRDefault="00386935" w:rsidP="002C4A81">
            <w:pPr>
              <w:pStyle w:val="TAC"/>
              <w:rPr>
                <w:sz w:val="16"/>
                <w:szCs w:val="16"/>
              </w:rPr>
            </w:pPr>
            <w:r w:rsidRPr="00873B6C">
              <w:rPr>
                <w:sz w:val="16"/>
                <w:szCs w:val="16"/>
              </w:rPr>
              <w:t>SP-230483</w:t>
            </w:r>
          </w:p>
        </w:tc>
        <w:tc>
          <w:tcPr>
            <w:tcW w:w="567" w:type="dxa"/>
            <w:shd w:val="solid" w:color="FFFFFF" w:fill="auto"/>
          </w:tcPr>
          <w:p w14:paraId="4BE6BD3A" w14:textId="10E3F65B" w:rsidR="00386935" w:rsidRPr="00873B6C" w:rsidRDefault="00386935" w:rsidP="002C4A81">
            <w:pPr>
              <w:pStyle w:val="TAL"/>
              <w:rPr>
                <w:sz w:val="16"/>
                <w:szCs w:val="16"/>
              </w:rPr>
            </w:pPr>
            <w:r w:rsidRPr="00873B6C">
              <w:rPr>
                <w:sz w:val="16"/>
                <w:szCs w:val="16"/>
              </w:rPr>
              <w:t>4218</w:t>
            </w:r>
          </w:p>
        </w:tc>
        <w:tc>
          <w:tcPr>
            <w:tcW w:w="425" w:type="dxa"/>
            <w:shd w:val="solid" w:color="FFFFFF" w:fill="auto"/>
          </w:tcPr>
          <w:p w14:paraId="6DF639D4" w14:textId="146EAC25" w:rsidR="00386935" w:rsidRPr="00873B6C" w:rsidRDefault="00386935" w:rsidP="002C4A81">
            <w:pPr>
              <w:pStyle w:val="TAL"/>
              <w:rPr>
                <w:sz w:val="16"/>
                <w:szCs w:val="16"/>
              </w:rPr>
            </w:pPr>
            <w:r w:rsidRPr="00873B6C">
              <w:rPr>
                <w:sz w:val="16"/>
                <w:szCs w:val="16"/>
              </w:rPr>
              <w:t>1</w:t>
            </w:r>
          </w:p>
        </w:tc>
        <w:tc>
          <w:tcPr>
            <w:tcW w:w="425" w:type="dxa"/>
            <w:shd w:val="solid" w:color="FFFFFF" w:fill="auto"/>
          </w:tcPr>
          <w:p w14:paraId="1A15591A" w14:textId="74CECBEC" w:rsidR="00386935" w:rsidRPr="00873B6C" w:rsidRDefault="00386935" w:rsidP="002C4A81">
            <w:pPr>
              <w:pStyle w:val="TAL"/>
              <w:rPr>
                <w:sz w:val="16"/>
                <w:szCs w:val="16"/>
              </w:rPr>
            </w:pPr>
            <w:r w:rsidRPr="00873B6C">
              <w:rPr>
                <w:sz w:val="16"/>
                <w:szCs w:val="16"/>
              </w:rPr>
              <w:t>C</w:t>
            </w:r>
          </w:p>
        </w:tc>
        <w:tc>
          <w:tcPr>
            <w:tcW w:w="4820" w:type="dxa"/>
            <w:shd w:val="solid" w:color="FFFFFF" w:fill="auto"/>
          </w:tcPr>
          <w:p w14:paraId="40080141" w14:textId="3C721DB0" w:rsidR="00386935" w:rsidRPr="00873B6C" w:rsidRDefault="00386935" w:rsidP="002C4A81">
            <w:pPr>
              <w:pStyle w:val="TAL"/>
              <w:rPr>
                <w:sz w:val="16"/>
                <w:szCs w:val="16"/>
              </w:rPr>
            </w:pPr>
            <w:r w:rsidRPr="00873B6C">
              <w:rPr>
                <w:sz w:val="16"/>
                <w:szCs w:val="16"/>
              </w:rPr>
              <w:t>Co-existence of Small Data Transmission and CN based MT communication handling for UE in RRC_INACTIVE</w:t>
            </w:r>
          </w:p>
        </w:tc>
        <w:tc>
          <w:tcPr>
            <w:tcW w:w="708" w:type="dxa"/>
            <w:shd w:val="solid" w:color="FFFFFF" w:fill="auto"/>
          </w:tcPr>
          <w:p w14:paraId="0E24E70B" w14:textId="00E9B3A5" w:rsidR="00386935" w:rsidRPr="00873B6C" w:rsidRDefault="00386935" w:rsidP="002C4A81">
            <w:pPr>
              <w:pStyle w:val="TAC"/>
              <w:rPr>
                <w:sz w:val="16"/>
                <w:szCs w:val="16"/>
              </w:rPr>
            </w:pPr>
            <w:r w:rsidRPr="00873B6C">
              <w:rPr>
                <w:sz w:val="16"/>
                <w:szCs w:val="16"/>
              </w:rPr>
              <w:t>18.2.0</w:t>
            </w:r>
          </w:p>
        </w:tc>
      </w:tr>
      <w:tr w:rsidR="00386935" w:rsidRPr="00873B6C" w14:paraId="39996055" w14:textId="77777777" w:rsidTr="009D14FB">
        <w:tc>
          <w:tcPr>
            <w:tcW w:w="800" w:type="dxa"/>
            <w:shd w:val="solid" w:color="FFFFFF" w:fill="auto"/>
          </w:tcPr>
          <w:p w14:paraId="6B9D54CD" w14:textId="4C116316"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0DCB24C7" w14:textId="52132466"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454E93C6" w14:textId="7DF028C2" w:rsidR="00386935" w:rsidRPr="00873B6C" w:rsidRDefault="00386935" w:rsidP="002C4A81">
            <w:pPr>
              <w:pStyle w:val="TAC"/>
              <w:rPr>
                <w:sz w:val="16"/>
                <w:szCs w:val="16"/>
              </w:rPr>
            </w:pPr>
            <w:r w:rsidRPr="00873B6C">
              <w:rPr>
                <w:sz w:val="16"/>
                <w:szCs w:val="16"/>
              </w:rPr>
              <w:t>SP-230497</w:t>
            </w:r>
          </w:p>
        </w:tc>
        <w:tc>
          <w:tcPr>
            <w:tcW w:w="567" w:type="dxa"/>
            <w:shd w:val="solid" w:color="FFFFFF" w:fill="auto"/>
          </w:tcPr>
          <w:p w14:paraId="7287F695" w14:textId="43683BFD" w:rsidR="00386935" w:rsidRPr="00873B6C" w:rsidRDefault="00386935" w:rsidP="002C4A81">
            <w:pPr>
              <w:pStyle w:val="TAL"/>
              <w:rPr>
                <w:sz w:val="16"/>
                <w:szCs w:val="16"/>
              </w:rPr>
            </w:pPr>
            <w:r w:rsidRPr="00873B6C">
              <w:rPr>
                <w:sz w:val="16"/>
                <w:szCs w:val="16"/>
              </w:rPr>
              <w:t>4219</w:t>
            </w:r>
          </w:p>
        </w:tc>
        <w:tc>
          <w:tcPr>
            <w:tcW w:w="425" w:type="dxa"/>
            <w:shd w:val="solid" w:color="FFFFFF" w:fill="auto"/>
          </w:tcPr>
          <w:p w14:paraId="650BA24B" w14:textId="10D23813" w:rsidR="00386935" w:rsidRPr="00873B6C" w:rsidRDefault="00386935" w:rsidP="002C4A81">
            <w:pPr>
              <w:pStyle w:val="TAL"/>
              <w:rPr>
                <w:sz w:val="16"/>
                <w:szCs w:val="16"/>
              </w:rPr>
            </w:pPr>
            <w:r w:rsidRPr="00873B6C">
              <w:rPr>
                <w:sz w:val="16"/>
                <w:szCs w:val="16"/>
              </w:rPr>
              <w:t>6</w:t>
            </w:r>
          </w:p>
        </w:tc>
        <w:tc>
          <w:tcPr>
            <w:tcW w:w="425" w:type="dxa"/>
            <w:shd w:val="solid" w:color="FFFFFF" w:fill="auto"/>
          </w:tcPr>
          <w:p w14:paraId="0A5E144E" w14:textId="6BBDD83D" w:rsidR="00386935" w:rsidRPr="00873B6C" w:rsidRDefault="00386935" w:rsidP="002C4A81">
            <w:pPr>
              <w:pStyle w:val="TAL"/>
              <w:rPr>
                <w:sz w:val="16"/>
                <w:szCs w:val="16"/>
              </w:rPr>
            </w:pPr>
            <w:r w:rsidRPr="00873B6C">
              <w:rPr>
                <w:sz w:val="16"/>
                <w:szCs w:val="16"/>
              </w:rPr>
              <w:t>C</w:t>
            </w:r>
          </w:p>
        </w:tc>
        <w:tc>
          <w:tcPr>
            <w:tcW w:w="4820" w:type="dxa"/>
            <w:shd w:val="solid" w:color="FFFFFF" w:fill="auto"/>
          </w:tcPr>
          <w:p w14:paraId="563DADE1" w14:textId="6D1D83DC" w:rsidR="00386935" w:rsidRPr="00873B6C" w:rsidRDefault="00386935" w:rsidP="002C4A81">
            <w:pPr>
              <w:pStyle w:val="TAL"/>
              <w:rPr>
                <w:sz w:val="16"/>
                <w:szCs w:val="16"/>
              </w:rPr>
            </w:pPr>
            <w:r w:rsidRPr="00873B6C">
              <w:rPr>
                <w:sz w:val="16"/>
                <w:szCs w:val="16"/>
              </w:rPr>
              <w:t>Resolution of EN for L4S</w:t>
            </w:r>
          </w:p>
        </w:tc>
        <w:tc>
          <w:tcPr>
            <w:tcW w:w="708" w:type="dxa"/>
            <w:shd w:val="solid" w:color="FFFFFF" w:fill="auto"/>
          </w:tcPr>
          <w:p w14:paraId="17447DC3" w14:textId="205877C0" w:rsidR="00386935" w:rsidRPr="00873B6C" w:rsidRDefault="00386935" w:rsidP="002C4A81">
            <w:pPr>
              <w:pStyle w:val="TAC"/>
              <w:rPr>
                <w:sz w:val="16"/>
                <w:szCs w:val="16"/>
              </w:rPr>
            </w:pPr>
            <w:r w:rsidRPr="00873B6C">
              <w:rPr>
                <w:sz w:val="16"/>
                <w:szCs w:val="16"/>
              </w:rPr>
              <w:t>18.2.0</w:t>
            </w:r>
          </w:p>
        </w:tc>
      </w:tr>
      <w:tr w:rsidR="00386935" w:rsidRPr="00873B6C" w14:paraId="1E2C6638" w14:textId="77777777" w:rsidTr="009D14FB">
        <w:tc>
          <w:tcPr>
            <w:tcW w:w="800" w:type="dxa"/>
            <w:shd w:val="solid" w:color="FFFFFF" w:fill="auto"/>
          </w:tcPr>
          <w:p w14:paraId="3263F607" w14:textId="285A2991"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3FE24788" w14:textId="25F9747F"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66DEEFD7" w14:textId="5CAFD554" w:rsidR="00386935" w:rsidRPr="00873B6C" w:rsidRDefault="00386935" w:rsidP="002C4A81">
            <w:pPr>
              <w:pStyle w:val="TAC"/>
              <w:rPr>
                <w:sz w:val="16"/>
                <w:szCs w:val="16"/>
              </w:rPr>
            </w:pPr>
            <w:r w:rsidRPr="00873B6C">
              <w:rPr>
                <w:sz w:val="16"/>
                <w:szCs w:val="16"/>
              </w:rPr>
              <w:t>SP-230484</w:t>
            </w:r>
          </w:p>
        </w:tc>
        <w:tc>
          <w:tcPr>
            <w:tcW w:w="567" w:type="dxa"/>
            <w:shd w:val="solid" w:color="FFFFFF" w:fill="auto"/>
          </w:tcPr>
          <w:p w14:paraId="11A3F73B" w14:textId="6DF6F74A" w:rsidR="00386935" w:rsidRPr="00873B6C" w:rsidRDefault="00386935" w:rsidP="002C4A81">
            <w:pPr>
              <w:pStyle w:val="TAL"/>
              <w:rPr>
                <w:sz w:val="16"/>
                <w:szCs w:val="16"/>
              </w:rPr>
            </w:pPr>
            <w:r w:rsidRPr="00873B6C">
              <w:rPr>
                <w:sz w:val="16"/>
                <w:szCs w:val="16"/>
              </w:rPr>
              <w:t>4224</w:t>
            </w:r>
          </w:p>
        </w:tc>
        <w:tc>
          <w:tcPr>
            <w:tcW w:w="425" w:type="dxa"/>
            <w:shd w:val="solid" w:color="FFFFFF" w:fill="auto"/>
          </w:tcPr>
          <w:p w14:paraId="5A504A07" w14:textId="3679B2D7" w:rsidR="00386935" w:rsidRPr="00873B6C" w:rsidRDefault="00386935" w:rsidP="002C4A81">
            <w:pPr>
              <w:pStyle w:val="TAL"/>
              <w:rPr>
                <w:sz w:val="16"/>
                <w:szCs w:val="16"/>
              </w:rPr>
            </w:pPr>
            <w:r w:rsidRPr="00873B6C">
              <w:rPr>
                <w:sz w:val="16"/>
                <w:szCs w:val="16"/>
              </w:rPr>
              <w:t>1</w:t>
            </w:r>
          </w:p>
        </w:tc>
        <w:tc>
          <w:tcPr>
            <w:tcW w:w="425" w:type="dxa"/>
            <w:shd w:val="solid" w:color="FFFFFF" w:fill="auto"/>
          </w:tcPr>
          <w:p w14:paraId="5534E634" w14:textId="75CEBDBD" w:rsidR="00386935" w:rsidRPr="00873B6C" w:rsidRDefault="00386935" w:rsidP="002C4A81">
            <w:pPr>
              <w:pStyle w:val="TAL"/>
              <w:rPr>
                <w:sz w:val="16"/>
                <w:szCs w:val="16"/>
              </w:rPr>
            </w:pPr>
            <w:r w:rsidRPr="00873B6C">
              <w:rPr>
                <w:sz w:val="16"/>
                <w:szCs w:val="16"/>
              </w:rPr>
              <w:t>F</w:t>
            </w:r>
          </w:p>
        </w:tc>
        <w:tc>
          <w:tcPr>
            <w:tcW w:w="4820" w:type="dxa"/>
            <w:shd w:val="solid" w:color="FFFFFF" w:fill="auto"/>
          </w:tcPr>
          <w:p w14:paraId="697035CD" w14:textId="1752017C" w:rsidR="00386935" w:rsidRPr="00873B6C" w:rsidRDefault="00386935" w:rsidP="002C4A81">
            <w:pPr>
              <w:pStyle w:val="TAL"/>
              <w:rPr>
                <w:sz w:val="16"/>
                <w:szCs w:val="16"/>
              </w:rPr>
            </w:pPr>
            <w:r w:rsidRPr="00873B6C">
              <w:rPr>
                <w:sz w:val="16"/>
                <w:szCs w:val="16"/>
              </w:rPr>
              <w:t>PDU session sharing among PINs</w:t>
            </w:r>
          </w:p>
        </w:tc>
        <w:tc>
          <w:tcPr>
            <w:tcW w:w="708" w:type="dxa"/>
            <w:shd w:val="solid" w:color="FFFFFF" w:fill="auto"/>
          </w:tcPr>
          <w:p w14:paraId="10CCDC4E" w14:textId="400FB568" w:rsidR="00386935" w:rsidRPr="00873B6C" w:rsidRDefault="00386935" w:rsidP="002C4A81">
            <w:pPr>
              <w:pStyle w:val="TAC"/>
              <w:rPr>
                <w:sz w:val="16"/>
                <w:szCs w:val="16"/>
              </w:rPr>
            </w:pPr>
            <w:r w:rsidRPr="00873B6C">
              <w:rPr>
                <w:sz w:val="16"/>
                <w:szCs w:val="16"/>
              </w:rPr>
              <w:t>18.2.0</w:t>
            </w:r>
          </w:p>
        </w:tc>
      </w:tr>
      <w:tr w:rsidR="00386935" w:rsidRPr="00873B6C" w14:paraId="59FAD889" w14:textId="77777777" w:rsidTr="009D14FB">
        <w:tc>
          <w:tcPr>
            <w:tcW w:w="800" w:type="dxa"/>
            <w:shd w:val="solid" w:color="FFFFFF" w:fill="auto"/>
          </w:tcPr>
          <w:p w14:paraId="17A9962B" w14:textId="0751E454"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5FF2AAD0" w14:textId="6BB114D9"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7B8FDA6E" w14:textId="1CA29083" w:rsidR="00386935" w:rsidRPr="00873B6C" w:rsidRDefault="00386935" w:rsidP="002C4A81">
            <w:pPr>
              <w:pStyle w:val="TAC"/>
              <w:rPr>
                <w:sz w:val="16"/>
                <w:szCs w:val="16"/>
              </w:rPr>
            </w:pPr>
            <w:r w:rsidRPr="00873B6C">
              <w:rPr>
                <w:sz w:val="16"/>
                <w:szCs w:val="16"/>
              </w:rPr>
              <w:t>SP-230496</w:t>
            </w:r>
          </w:p>
        </w:tc>
        <w:tc>
          <w:tcPr>
            <w:tcW w:w="567" w:type="dxa"/>
            <w:shd w:val="solid" w:color="FFFFFF" w:fill="auto"/>
          </w:tcPr>
          <w:p w14:paraId="58BBAB3D" w14:textId="0379BABA" w:rsidR="00386935" w:rsidRPr="00873B6C" w:rsidRDefault="00386935" w:rsidP="002C4A81">
            <w:pPr>
              <w:pStyle w:val="TAL"/>
              <w:rPr>
                <w:sz w:val="16"/>
                <w:szCs w:val="16"/>
              </w:rPr>
            </w:pPr>
            <w:r w:rsidRPr="00873B6C">
              <w:rPr>
                <w:sz w:val="16"/>
                <w:szCs w:val="16"/>
              </w:rPr>
              <w:t>4228</w:t>
            </w:r>
          </w:p>
        </w:tc>
        <w:tc>
          <w:tcPr>
            <w:tcW w:w="425" w:type="dxa"/>
            <w:shd w:val="solid" w:color="FFFFFF" w:fill="auto"/>
          </w:tcPr>
          <w:p w14:paraId="32A537F9" w14:textId="6FFD28A4" w:rsidR="00386935" w:rsidRPr="00873B6C" w:rsidRDefault="00386935" w:rsidP="002C4A81">
            <w:pPr>
              <w:pStyle w:val="TAL"/>
              <w:rPr>
                <w:sz w:val="16"/>
                <w:szCs w:val="16"/>
              </w:rPr>
            </w:pPr>
            <w:r w:rsidRPr="00873B6C">
              <w:rPr>
                <w:sz w:val="16"/>
                <w:szCs w:val="16"/>
              </w:rPr>
              <w:t>6</w:t>
            </w:r>
          </w:p>
        </w:tc>
        <w:tc>
          <w:tcPr>
            <w:tcW w:w="425" w:type="dxa"/>
            <w:shd w:val="solid" w:color="FFFFFF" w:fill="auto"/>
          </w:tcPr>
          <w:p w14:paraId="07612C1E" w14:textId="5E0D08D2" w:rsidR="00386935" w:rsidRPr="00873B6C" w:rsidRDefault="00386935" w:rsidP="002C4A81">
            <w:pPr>
              <w:pStyle w:val="TAL"/>
              <w:rPr>
                <w:sz w:val="16"/>
                <w:szCs w:val="16"/>
              </w:rPr>
            </w:pPr>
            <w:r w:rsidRPr="00873B6C">
              <w:rPr>
                <w:sz w:val="16"/>
                <w:szCs w:val="16"/>
              </w:rPr>
              <w:t>C</w:t>
            </w:r>
          </w:p>
        </w:tc>
        <w:tc>
          <w:tcPr>
            <w:tcW w:w="4820" w:type="dxa"/>
            <w:shd w:val="solid" w:color="FFFFFF" w:fill="auto"/>
          </w:tcPr>
          <w:p w14:paraId="35E63A83" w14:textId="35185A33" w:rsidR="00386935" w:rsidRPr="00873B6C" w:rsidRDefault="00386935" w:rsidP="002C4A81">
            <w:pPr>
              <w:pStyle w:val="TAL"/>
              <w:rPr>
                <w:sz w:val="16"/>
                <w:szCs w:val="16"/>
              </w:rPr>
            </w:pPr>
            <w:r w:rsidRPr="00873B6C">
              <w:rPr>
                <w:sz w:val="16"/>
                <w:szCs w:val="16"/>
              </w:rPr>
              <w:t>Additional User Location Information</w:t>
            </w:r>
          </w:p>
        </w:tc>
        <w:tc>
          <w:tcPr>
            <w:tcW w:w="708" w:type="dxa"/>
            <w:shd w:val="solid" w:color="FFFFFF" w:fill="auto"/>
          </w:tcPr>
          <w:p w14:paraId="5C5F9598" w14:textId="02491E50" w:rsidR="00386935" w:rsidRPr="00873B6C" w:rsidRDefault="00386935" w:rsidP="002C4A81">
            <w:pPr>
              <w:pStyle w:val="TAC"/>
              <w:rPr>
                <w:sz w:val="16"/>
                <w:szCs w:val="16"/>
              </w:rPr>
            </w:pPr>
            <w:r w:rsidRPr="00873B6C">
              <w:rPr>
                <w:sz w:val="16"/>
                <w:szCs w:val="16"/>
              </w:rPr>
              <w:t>18.2.0</w:t>
            </w:r>
          </w:p>
        </w:tc>
      </w:tr>
      <w:tr w:rsidR="00386935" w:rsidRPr="00873B6C" w14:paraId="650C4201" w14:textId="77777777" w:rsidTr="009D14FB">
        <w:tc>
          <w:tcPr>
            <w:tcW w:w="800" w:type="dxa"/>
            <w:shd w:val="solid" w:color="FFFFFF" w:fill="auto"/>
          </w:tcPr>
          <w:p w14:paraId="538C0A25" w14:textId="224D06A4"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3E6E0987" w14:textId="00049919"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1E7062F3" w14:textId="1D016258" w:rsidR="00386935" w:rsidRPr="00873B6C" w:rsidRDefault="00386935" w:rsidP="002C4A81">
            <w:pPr>
              <w:pStyle w:val="TAC"/>
              <w:rPr>
                <w:sz w:val="16"/>
                <w:szCs w:val="16"/>
              </w:rPr>
            </w:pPr>
            <w:r w:rsidRPr="00873B6C">
              <w:rPr>
                <w:sz w:val="16"/>
                <w:szCs w:val="16"/>
              </w:rPr>
              <w:t>SP-230490</w:t>
            </w:r>
          </w:p>
        </w:tc>
        <w:tc>
          <w:tcPr>
            <w:tcW w:w="567" w:type="dxa"/>
            <w:shd w:val="solid" w:color="FFFFFF" w:fill="auto"/>
          </w:tcPr>
          <w:p w14:paraId="5890D520" w14:textId="4B720D8D" w:rsidR="00386935" w:rsidRPr="00873B6C" w:rsidRDefault="00386935" w:rsidP="002C4A81">
            <w:pPr>
              <w:pStyle w:val="TAL"/>
              <w:rPr>
                <w:sz w:val="16"/>
                <w:szCs w:val="16"/>
              </w:rPr>
            </w:pPr>
            <w:r w:rsidRPr="00873B6C">
              <w:rPr>
                <w:sz w:val="16"/>
                <w:szCs w:val="16"/>
              </w:rPr>
              <w:t>4229</w:t>
            </w:r>
          </w:p>
        </w:tc>
        <w:tc>
          <w:tcPr>
            <w:tcW w:w="425" w:type="dxa"/>
            <w:shd w:val="solid" w:color="FFFFFF" w:fill="auto"/>
          </w:tcPr>
          <w:p w14:paraId="474D0617" w14:textId="717EC046" w:rsidR="00386935" w:rsidRPr="00873B6C" w:rsidRDefault="00386935" w:rsidP="002C4A81">
            <w:pPr>
              <w:pStyle w:val="TAL"/>
              <w:rPr>
                <w:sz w:val="16"/>
                <w:szCs w:val="16"/>
              </w:rPr>
            </w:pPr>
            <w:r w:rsidRPr="00873B6C">
              <w:rPr>
                <w:sz w:val="16"/>
                <w:szCs w:val="16"/>
              </w:rPr>
              <w:t>1</w:t>
            </w:r>
          </w:p>
        </w:tc>
        <w:tc>
          <w:tcPr>
            <w:tcW w:w="425" w:type="dxa"/>
            <w:shd w:val="solid" w:color="FFFFFF" w:fill="auto"/>
          </w:tcPr>
          <w:p w14:paraId="70EF758C" w14:textId="26A33445" w:rsidR="00386935" w:rsidRPr="00873B6C" w:rsidRDefault="00386935" w:rsidP="002C4A81">
            <w:pPr>
              <w:pStyle w:val="TAL"/>
              <w:rPr>
                <w:sz w:val="16"/>
                <w:szCs w:val="16"/>
              </w:rPr>
            </w:pPr>
            <w:r w:rsidRPr="00873B6C">
              <w:rPr>
                <w:sz w:val="16"/>
                <w:szCs w:val="16"/>
              </w:rPr>
              <w:t>F</w:t>
            </w:r>
          </w:p>
        </w:tc>
        <w:tc>
          <w:tcPr>
            <w:tcW w:w="4820" w:type="dxa"/>
            <w:shd w:val="solid" w:color="FFFFFF" w:fill="auto"/>
          </w:tcPr>
          <w:p w14:paraId="2D7D69DB" w14:textId="5E18F1D6" w:rsidR="00386935" w:rsidRPr="00873B6C" w:rsidRDefault="00386935" w:rsidP="002C4A81">
            <w:pPr>
              <w:pStyle w:val="TAL"/>
              <w:rPr>
                <w:sz w:val="16"/>
                <w:szCs w:val="16"/>
              </w:rPr>
            </w:pPr>
            <w:r w:rsidRPr="00873B6C">
              <w:rPr>
                <w:sz w:val="16"/>
                <w:szCs w:val="16"/>
              </w:rPr>
              <w:t>IAB node release handling</w:t>
            </w:r>
          </w:p>
        </w:tc>
        <w:tc>
          <w:tcPr>
            <w:tcW w:w="708" w:type="dxa"/>
            <w:shd w:val="solid" w:color="FFFFFF" w:fill="auto"/>
          </w:tcPr>
          <w:p w14:paraId="3F52C2E9" w14:textId="7E029679" w:rsidR="00386935" w:rsidRPr="00873B6C" w:rsidRDefault="00386935" w:rsidP="002C4A81">
            <w:pPr>
              <w:pStyle w:val="TAC"/>
              <w:rPr>
                <w:sz w:val="16"/>
                <w:szCs w:val="16"/>
              </w:rPr>
            </w:pPr>
            <w:r w:rsidRPr="00873B6C">
              <w:rPr>
                <w:sz w:val="16"/>
                <w:szCs w:val="16"/>
              </w:rPr>
              <w:t>18.2.0</w:t>
            </w:r>
          </w:p>
        </w:tc>
      </w:tr>
      <w:tr w:rsidR="005656CA" w:rsidRPr="00873B6C" w14:paraId="7D7297D4" w14:textId="77777777" w:rsidTr="009D14FB">
        <w:tc>
          <w:tcPr>
            <w:tcW w:w="800" w:type="dxa"/>
            <w:shd w:val="solid" w:color="FFFFFF" w:fill="auto"/>
          </w:tcPr>
          <w:p w14:paraId="4581BC2F" w14:textId="30379AD3"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1D1D2FB8" w14:textId="603B5F66"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03BC54C1" w14:textId="0EFB8C29" w:rsidR="005656CA" w:rsidRPr="00873B6C" w:rsidRDefault="005656CA" w:rsidP="002C4A81">
            <w:pPr>
              <w:pStyle w:val="TAC"/>
              <w:rPr>
                <w:sz w:val="16"/>
                <w:szCs w:val="16"/>
              </w:rPr>
            </w:pPr>
            <w:r w:rsidRPr="00873B6C">
              <w:rPr>
                <w:sz w:val="16"/>
                <w:szCs w:val="16"/>
              </w:rPr>
              <w:t>SP-230483</w:t>
            </w:r>
          </w:p>
        </w:tc>
        <w:tc>
          <w:tcPr>
            <w:tcW w:w="567" w:type="dxa"/>
            <w:shd w:val="solid" w:color="FFFFFF" w:fill="auto"/>
          </w:tcPr>
          <w:p w14:paraId="6B0C1859" w14:textId="60C7C895" w:rsidR="005656CA" w:rsidRPr="00873B6C" w:rsidRDefault="005656CA" w:rsidP="002C4A81">
            <w:pPr>
              <w:pStyle w:val="TAL"/>
              <w:rPr>
                <w:sz w:val="16"/>
                <w:szCs w:val="16"/>
              </w:rPr>
            </w:pPr>
            <w:r w:rsidRPr="00873B6C">
              <w:rPr>
                <w:sz w:val="16"/>
                <w:szCs w:val="16"/>
              </w:rPr>
              <w:t>4231</w:t>
            </w:r>
          </w:p>
        </w:tc>
        <w:tc>
          <w:tcPr>
            <w:tcW w:w="425" w:type="dxa"/>
            <w:shd w:val="solid" w:color="FFFFFF" w:fill="auto"/>
          </w:tcPr>
          <w:p w14:paraId="4A0EFCED" w14:textId="6B66F7FC"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3C09EDD5" w14:textId="6844620D"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63F5E722" w14:textId="22726EF5" w:rsidR="005656CA" w:rsidRPr="00873B6C" w:rsidRDefault="005656CA" w:rsidP="002C4A81">
            <w:pPr>
              <w:pStyle w:val="TAL"/>
              <w:rPr>
                <w:sz w:val="16"/>
                <w:szCs w:val="16"/>
              </w:rPr>
            </w:pPr>
            <w:r w:rsidRPr="00873B6C">
              <w:rPr>
                <w:sz w:val="16"/>
                <w:szCs w:val="16"/>
              </w:rPr>
              <w:t>N2 release handling for RRC_INACTIVE</w:t>
            </w:r>
          </w:p>
        </w:tc>
        <w:tc>
          <w:tcPr>
            <w:tcW w:w="708" w:type="dxa"/>
            <w:shd w:val="solid" w:color="FFFFFF" w:fill="auto"/>
          </w:tcPr>
          <w:p w14:paraId="6BB0ECA0" w14:textId="1B176581" w:rsidR="005656CA" w:rsidRPr="00873B6C" w:rsidRDefault="005656CA" w:rsidP="002C4A81">
            <w:pPr>
              <w:pStyle w:val="TAC"/>
              <w:rPr>
                <w:sz w:val="16"/>
                <w:szCs w:val="16"/>
              </w:rPr>
            </w:pPr>
            <w:r w:rsidRPr="00873B6C">
              <w:rPr>
                <w:sz w:val="16"/>
                <w:szCs w:val="16"/>
              </w:rPr>
              <w:t>18.2.0</w:t>
            </w:r>
          </w:p>
        </w:tc>
      </w:tr>
      <w:tr w:rsidR="005656CA" w:rsidRPr="00873B6C" w14:paraId="46545423" w14:textId="77777777" w:rsidTr="009D14FB">
        <w:tc>
          <w:tcPr>
            <w:tcW w:w="800" w:type="dxa"/>
            <w:shd w:val="solid" w:color="FFFFFF" w:fill="auto"/>
          </w:tcPr>
          <w:p w14:paraId="0E3C0A68" w14:textId="2C2C8BEC"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30680063" w14:textId="4400A1F8"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20E3B02E" w14:textId="7ED7E23D" w:rsidR="005656CA" w:rsidRPr="00873B6C" w:rsidRDefault="005656CA" w:rsidP="002C4A81">
            <w:pPr>
              <w:pStyle w:val="TAC"/>
              <w:rPr>
                <w:sz w:val="16"/>
                <w:szCs w:val="16"/>
              </w:rPr>
            </w:pPr>
            <w:r w:rsidRPr="00873B6C">
              <w:rPr>
                <w:sz w:val="16"/>
                <w:szCs w:val="16"/>
              </w:rPr>
              <w:t>SP-230473</w:t>
            </w:r>
          </w:p>
        </w:tc>
        <w:tc>
          <w:tcPr>
            <w:tcW w:w="567" w:type="dxa"/>
            <w:shd w:val="solid" w:color="FFFFFF" w:fill="auto"/>
          </w:tcPr>
          <w:p w14:paraId="59EAA2DC" w14:textId="67527AA3" w:rsidR="005656CA" w:rsidRPr="00873B6C" w:rsidRDefault="005656CA" w:rsidP="002C4A81">
            <w:pPr>
              <w:pStyle w:val="TAL"/>
              <w:rPr>
                <w:sz w:val="16"/>
                <w:szCs w:val="16"/>
              </w:rPr>
            </w:pPr>
            <w:r w:rsidRPr="00873B6C">
              <w:rPr>
                <w:sz w:val="16"/>
                <w:szCs w:val="16"/>
              </w:rPr>
              <w:t>4234</w:t>
            </w:r>
          </w:p>
        </w:tc>
        <w:tc>
          <w:tcPr>
            <w:tcW w:w="425" w:type="dxa"/>
            <w:shd w:val="solid" w:color="FFFFFF" w:fill="auto"/>
          </w:tcPr>
          <w:p w14:paraId="1976BD12" w14:textId="6237AD5C"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7B402BA2" w14:textId="0D027CB7"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67D6ECB8" w14:textId="3377273D" w:rsidR="005656CA" w:rsidRPr="00873B6C" w:rsidRDefault="005656CA" w:rsidP="002C4A81">
            <w:pPr>
              <w:pStyle w:val="TAL"/>
              <w:rPr>
                <w:sz w:val="16"/>
                <w:szCs w:val="16"/>
              </w:rPr>
            </w:pPr>
            <w:r w:rsidRPr="00873B6C">
              <w:rPr>
                <w:sz w:val="16"/>
                <w:szCs w:val="16"/>
              </w:rPr>
              <w:t>Resolving open issues related to Alternative S-NSSAI</w:t>
            </w:r>
          </w:p>
        </w:tc>
        <w:tc>
          <w:tcPr>
            <w:tcW w:w="708" w:type="dxa"/>
            <w:shd w:val="solid" w:color="FFFFFF" w:fill="auto"/>
          </w:tcPr>
          <w:p w14:paraId="3B444D40" w14:textId="7D290FD2" w:rsidR="005656CA" w:rsidRPr="00873B6C" w:rsidRDefault="005656CA" w:rsidP="002C4A81">
            <w:pPr>
              <w:pStyle w:val="TAC"/>
              <w:rPr>
                <w:sz w:val="16"/>
                <w:szCs w:val="16"/>
              </w:rPr>
            </w:pPr>
            <w:r w:rsidRPr="00873B6C">
              <w:rPr>
                <w:sz w:val="16"/>
                <w:szCs w:val="16"/>
              </w:rPr>
              <w:t>18.2.0</w:t>
            </w:r>
          </w:p>
        </w:tc>
      </w:tr>
      <w:tr w:rsidR="005656CA" w:rsidRPr="00873B6C" w14:paraId="6ADBA4F1" w14:textId="77777777" w:rsidTr="009D14FB">
        <w:tc>
          <w:tcPr>
            <w:tcW w:w="800" w:type="dxa"/>
            <w:shd w:val="solid" w:color="FFFFFF" w:fill="auto"/>
          </w:tcPr>
          <w:p w14:paraId="2A4A7256" w14:textId="075393C9"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051126EF" w14:textId="2C593E98"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7E0F628E" w14:textId="75016B6E" w:rsidR="005656CA" w:rsidRPr="00873B6C" w:rsidRDefault="005656CA" w:rsidP="002C4A81">
            <w:pPr>
              <w:pStyle w:val="TAC"/>
              <w:rPr>
                <w:sz w:val="16"/>
                <w:szCs w:val="16"/>
              </w:rPr>
            </w:pPr>
            <w:r w:rsidRPr="00873B6C">
              <w:rPr>
                <w:sz w:val="16"/>
                <w:szCs w:val="16"/>
              </w:rPr>
              <w:t>SP-230473</w:t>
            </w:r>
          </w:p>
        </w:tc>
        <w:tc>
          <w:tcPr>
            <w:tcW w:w="567" w:type="dxa"/>
            <w:shd w:val="solid" w:color="FFFFFF" w:fill="auto"/>
          </w:tcPr>
          <w:p w14:paraId="2F44E995" w14:textId="76C30603" w:rsidR="005656CA" w:rsidRPr="00873B6C" w:rsidRDefault="005656CA" w:rsidP="002C4A81">
            <w:pPr>
              <w:pStyle w:val="TAL"/>
              <w:rPr>
                <w:sz w:val="16"/>
                <w:szCs w:val="16"/>
              </w:rPr>
            </w:pPr>
            <w:r w:rsidRPr="00873B6C">
              <w:rPr>
                <w:sz w:val="16"/>
                <w:szCs w:val="16"/>
              </w:rPr>
              <w:t>4235</w:t>
            </w:r>
          </w:p>
        </w:tc>
        <w:tc>
          <w:tcPr>
            <w:tcW w:w="425" w:type="dxa"/>
            <w:shd w:val="solid" w:color="FFFFFF" w:fill="auto"/>
          </w:tcPr>
          <w:p w14:paraId="01C1C6AF" w14:textId="32CA9528" w:rsidR="005656CA" w:rsidRPr="00873B6C" w:rsidRDefault="005656CA" w:rsidP="002C4A81">
            <w:pPr>
              <w:pStyle w:val="TAL"/>
              <w:rPr>
                <w:sz w:val="16"/>
                <w:szCs w:val="16"/>
              </w:rPr>
            </w:pPr>
            <w:r w:rsidRPr="00873B6C">
              <w:rPr>
                <w:sz w:val="16"/>
                <w:szCs w:val="16"/>
              </w:rPr>
              <w:t>-</w:t>
            </w:r>
          </w:p>
        </w:tc>
        <w:tc>
          <w:tcPr>
            <w:tcW w:w="425" w:type="dxa"/>
            <w:shd w:val="solid" w:color="FFFFFF" w:fill="auto"/>
          </w:tcPr>
          <w:p w14:paraId="01EFDAFB" w14:textId="20C8E0F2"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69B07386" w14:textId="556A6D58" w:rsidR="005656CA" w:rsidRPr="00873B6C" w:rsidRDefault="005656CA" w:rsidP="002C4A81">
            <w:pPr>
              <w:pStyle w:val="TAL"/>
              <w:rPr>
                <w:sz w:val="16"/>
                <w:szCs w:val="16"/>
              </w:rPr>
            </w:pPr>
            <w:r w:rsidRPr="00873B6C">
              <w:rPr>
                <w:sz w:val="16"/>
                <w:szCs w:val="16"/>
              </w:rPr>
              <w:t>Resolving open issues for temporarily available network slices</w:t>
            </w:r>
          </w:p>
        </w:tc>
        <w:tc>
          <w:tcPr>
            <w:tcW w:w="708" w:type="dxa"/>
            <w:shd w:val="solid" w:color="FFFFFF" w:fill="auto"/>
          </w:tcPr>
          <w:p w14:paraId="314CD031" w14:textId="6EF1A31B" w:rsidR="005656CA" w:rsidRPr="00873B6C" w:rsidRDefault="005656CA" w:rsidP="002C4A81">
            <w:pPr>
              <w:pStyle w:val="TAC"/>
              <w:rPr>
                <w:sz w:val="16"/>
                <w:szCs w:val="16"/>
              </w:rPr>
            </w:pPr>
            <w:r w:rsidRPr="00873B6C">
              <w:rPr>
                <w:sz w:val="16"/>
                <w:szCs w:val="16"/>
              </w:rPr>
              <w:t>18.2.0</w:t>
            </w:r>
          </w:p>
        </w:tc>
      </w:tr>
      <w:tr w:rsidR="005656CA" w:rsidRPr="00873B6C" w14:paraId="30A0F0EE" w14:textId="77777777" w:rsidTr="009D14FB">
        <w:tc>
          <w:tcPr>
            <w:tcW w:w="800" w:type="dxa"/>
            <w:shd w:val="solid" w:color="FFFFFF" w:fill="auto"/>
          </w:tcPr>
          <w:p w14:paraId="043CC0AB" w14:textId="2947A6AA"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29B81266" w14:textId="3CD1972F"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15A6A853" w14:textId="669E6828" w:rsidR="005656CA" w:rsidRPr="00873B6C" w:rsidRDefault="005656CA" w:rsidP="002C4A81">
            <w:pPr>
              <w:pStyle w:val="TAC"/>
              <w:rPr>
                <w:sz w:val="16"/>
                <w:szCs w:val="16"/>
              </w:rPr>
            </w:pPr>
            <w:r w:rsidRPr="00873B6C">
              <w:rPr>
                <w:sz w:val="16"/>
                <w:szCs w:val="16"/>
              </w:rPr>
              <w:t>SP-230473</w:t>
            </w:r>
          </w:p>
        </w:tc>
        <w:tc>
          <w:tcPr>
            <w:tcW w:w="567" w:type="dxa"/>
            <w:shd w:val="solid" w:color="FFFFFF" w:fill="auto"/>
          </w:tcPr>
          <w:p w14:paraId="359446C1" w14:textId="4FA1AE3B" w:rsidR="005656CA" w:rsidRPr="00873B6C" w:rsidRDefault="005656CA" w:rsidP="002C4A81">
            <w:pPr>
              <w:pStyle w:val="TAL"/>
              <w:rPr>
                <w:sz w:val="16"/>
                <w:szCs w:val="16"/>
              </w:rPr>
            </w:pPr>
            <w:r w:rsidRPr="00873B6C">
              <w:rPr>
                <w:sz w:val="16"/>
                <w:szCs w:val="16"/>
              </w:rPr>
              <w:t>4236</w:t>
            </w:r>
          </w:p>
        </w:tc>
        <w:tc>
          <w:tcPr>
            <w:tcW w:w="425" w:type="dxa"/>
            <w:shd w:val="solid" w:color="FFFFFF" w:fill="auto"/>
          </w:tcPr>
          <w:p w14:paraId="146B2259" w14:textId="08A5E434"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6D1167B4" w14:textId="5F305F67" w:rsidR="005656CA" w:rsidRPr="00873B6C" w:rsidRDefault="005656CA" w:rsidP="002C4A81">
            <w:pPr>
              <w:pStyle w:val="TAL"/>
              <w:rPr>
                <w:sz w:val="16"/>
                <w:szCs w:val="16"/>
              </w:rPr>
            </w:pPr>
            <w:r w:rsidRPr="00873B6C">
              <w:rPr>
                <w:sz w:val="16"/>
                <w:szCs w:val="16"/>
              </w:rPr>
              <w:t>C</w:t>
            </w:r>
          </w:p>
        </w:tc>
        <w:tc>
          <w:tcPr>
            <w:tcW w:w="4820" w:type="dxa"/>
            <w:shd w:val="solid" w:color="FFFFFF" w:fill="auto"/>
          </w:tcPr>
          <w:p w14:paraId="4FC44725" w14:textId="5DC8DB51" w:rsidR="005656CA" w:rsidRPr="00873B6C" w:rsidRDefault="005656CA" w:rsidP="002C4A81">
            <w:pPr>
              <w:pStyle w:val="TAL"/>
              <w:rPr>
                <w:sz w:val="16"/>
                <w:szCs w:val="16"/>
              </w:rPr>
            </w:pPr>
            <w:r w:rsidRPr="00873B6C">
              <w:rPr>
                <w:sz w:val="16"/>
                <w:szCs w:val="16"/>
              </w:rPr>
              <w:t>Resolving open issues for Network Slices with Network Slice Area of Service not matching deployed TAs</w:t>
            </w:r>
          </w:p>
        </w:tc>
        <w:tc>
          <w:tcPr>
            <w:tcW w:w="708" w:type="dxa"/>
            <w:shd w:val="solid" w:color="FFFFFF" w:fill="auto"/>
          </w:tcPr>
          <w:p w14:paraId="37EA3FDE" w14:textId="7D9297A7" w:rsidR="005656CA" w:rsidRPr="00873B6C" w:rsidRDefault="005656CA" w:rsidP="002C4A81">
            <w:pPr>
              <w:pStyle w:val="TAC"/>
              <w:rPr>
                <w:sz w:val="16"/>
                <w:szCs w:val="16"/>
              </w:rPr>
            </w:pPr>
            <w:r w:rsidRPr="00873B6C">
              <w:rPr>
                <w:sz w:val="16"/>
                <w:szCs w:val="16"/>
              </w:rPr>
              <w:t>18.2.0</w:t>
            </w:r>
          </w:p>
        </w:tc>
      </w:tr>
      <w:tr w:rsidR="005656CA" w:rsidRPr="00873B6C" w14:paraId="2C0A9420" w14:textId="77777777" w:rsidTr="009D14FB">
        <w:tc>
          <w:tcPr>
            <w:tcW w:w="800" w:type="dxa"/>
            <w:shd w:val="solid" w:color="FFFFFF" w:fill="auto"/>
          </w:tcPr>
          <w:p w14:paraId="5F29DDA1" w14:textId="2CE15C0E"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64286531" w14:textId="5C95430D"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7CBF04BB" w14:textId="6D8FD3A6" w:rsidR="005656CA" w:rsidRPr="00873B6C" w:rsidRDefault="005656CA" w:rsidP="002C4A81">
            <w:pPr>
              <w:pStyle w:val="TAC"/>
              <w:rPr>
                <w:sz w:val="16"/>
                <w:szCs w:val="16"/>
              </w:rPr>
            </w:pPr>
            <w:r w:rsidRPr="00873B6C">
              <w:rPr>
                <w:sz w:val="16"/>
                <w:szCs w:val="16"/>
              </w:rPr>
              <w:t>SP-230471</w:t>
            </w:r>
          </w:p>
        </w:tc>
        <w:tc>
          <w:tcPr>
            <w:tcW w:w="567" w:type="dxa"/>
            <w:shd w:val="solid" w:color="FFFFFF" w:fill="auto"/>
          </w:tcPr>
          <w:p w14:paraId="47256468" w14:textId="653A2BE0" w:rsidR="005656CA" w:rsidRPr="00873B6C" w:rsidRDefault="005656CA" w:rsidP="002C4A81">
            <w:pPr>
              <w:pStyle w:val="TAL"/>
              <w:rPr>
                <w:sz w:val="16"/>
                <w:szCs w:val="16"/>
              </w:rPr>
            </w:pPr>
            <w:r w:rsidRPr="00873B6C">
              <w:rPr>
                <w:sz w:val="16"/>
                <w:szCs w:val="16"/>
              </w:rPr>
              <w:t>4238</w:t>
            </w:r>
          </w:p>
        </w:tc>
        <w:tc>
          <w:tcPr>
            <w:tcW w:w="425" w:type="dxa"/>
            <w:shd w:val="solid" w:color="FFFFFF" w:fill="auto"/>
          </w:tcPr>
          <w:p w14:paraId="0089C7F8" w14:textId="03B22EA2" w:rsidR="005656CA" w:rsidRPr="00873B6C" w:rsidRDefault="005656CA" w:rsidP="002C4A81">
            <w:pPr>
              <w:pStyle w:val="TAL"/>
              <w:rPr>
                <w:sz w:val="16"/>
                <w:szCs w:val="16"/>
              </w:rPr>
            </w:pPr>
            <w:r w:rsidRPr="00873B6C">
              <w:rPr>
                <w:sz w:val="16"/>
                <w:szCs w:val="16"/>
              </w:rPr>
              <w:t>-</w:t>
            </w:r>
          </w:p>
        </w:tc>
        <w:tc>
          <w:tcPr>
            <w:tcW w:w="425" w:type="dxa"/>
            <w:shd w:val="solid" w:color="FFFFFF" w:fill="auto"/>
          </w:tcPr>
          <w:p w14:paraId="40C934EF" w14:textId="65B3B2CC"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02008561" w14:textId="39DF33EC" w:rsidR="005656CA" w:rsidRPr="00873B6C" w:rsidRDefault="005656CA" w:rsidP="002C4A81">
            <w:pPr>
              <w:pStyle w:val="TAL"/>
              <w:rPr>
                <w:sz w:val="16"/>
                <w:szCs w:val="16"/>
              </w:rPr>
            </w:pPr>
            <w:r w:rsidRPr="00873B6C">
              <w:rPr>
                <w:sz w:val="16"/>
                <w:szCs w:val="16"/>
              </w:rPr>
              <w:t>Additional requirements for N3IWF selection for onboarding</w:t>
            </w:r>
          </w:p>
        </w:tc>
        <w:tc>
          <w:tcPr>
            <w:tcW w:w="708" w:type="dxa"/>
            <w:shd w:val="solid" w:color="FFFFFF" w:fill="auto"/>
          </w:tcPr>
          <w:p w14:paraId="69097CEE" w14:textId="42D7A938" w:rsidR="005656CA" w:rsidRPr="00873B6C" w:rsidRDefault="005656CA" w:rsidP="002C4A81">
            <w:pPr>
              <w:pStyle w:val="TAC"/>
              <w:rPr>
                <w:sz w:val="16"/>
                <w:szCs w:val="16"/>
              </w:rPr>
            </w:pPr>
            <w:r w:rsidRPr="00873B6C">
              <w:rPr>
                <w:sz w:val="16"/>
                <w:szCs w:val="16"/>
              </w:rPr>
              <w:t>18.2.0</w:t>
            </w:r>
          </w:p>
        </w:tc>
      </w:tr>
      <w:tr w:rsidR="005656CA" w:rsidRPr="00873B6C" w14:paraId="1A74C689" w14:textId="77777777" w:rsidTr="009D14FB">
        <w:tc>
          <w:tcPr>
            <w:tcW w:w="800" w:type="dxa"/>
            <w:shd w:val="solid" w:color="FFFFFF" w:fill="auto"/>
          </w:tcPr>
          <w:p w14:paraId="0A09F5EB" w14:textId="0CF141E6"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3B2C00C1" w14:textId="1E79DD03"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2225B16D" w14:textId="4B680FB7" w:rsidR="005656CA" w:rsidRPr="00873B6C" w:rsidRDefault="005656CA" w:rsidP="002C4A81">
            <w:pPr>
              <w:pStyle w:val="TAC"/>
              <w:rPr>
                <w:sz w:val="16"/>
                <w:szCs w:val="16"/>
              </w:rPr>
            </w:pPr>
            <w:r w:rsidRPr="00873B6C">
              <w:rPr>
                <w:sz w:val="16"/>
                <w:szCs w:val="16"/>
              </w:rPr>
              <w:t>SP-230451</w:t>
            </w:r>
          </w:p>
        </w:tc>
        <w:tc>
          <w:tcPr>
            <w:tcW w:w="567" w:type="dxa"/>
            <w:shd w:val="solid" w:color="FFFFFF" w:fill="auto"/>
          </w:tcPr>
          <w:p w14:paraId="1B1456C0" w14:textId="4420885E" w:rsidR="005656CA" w:rsidRPr="00873B6C" w:rsidRDefault="005656CA" w:rsidP="002C4A81">
            <w:pPr>
              <w:pStyle w:val="TAL"/>
              <w:rPr>
                <w:sz w:val="16"/>
                <w:szCs w:val="16"/>
              </w:rPr>
            </w:pPr>
            <w:r w:rsidRPr="00873B6C">
              <w:rPr>
                <w:sz w:val="16"/>
                <w:szCs w:val="16"/>
              </w:rPr>
              <w:t>4240</w:t>
            </w:r>
          </w:p>
        </w:tc>
        <w:tc>
          <w:tcPr>
            <w:tcW w:w="425" w:type="dxa"/>
            <w:shd w:val="solid" w:color="FFFFFF" w:fill="auto"/>
          </w:tcPr>
          <w:p w14:paraId="7650C768" w14:textId="2F1C548B" w:rsidR="005656CA" w:rsidRPr="00873B6C" w:rsidRDefault="005656CA" w:rsidP="002C4A81">
            <w:pPr>
              <w:pStyle w:val="TAL"/>
              <w:rPr>
                <w:sz w:val="16"/>
                <w:szCs w:val="16"/>
              </w:rPr>
            </w:pPr>
            <w:r w:rsidRPr="00873B6C">
              <w:rPr>
                <w:sz w:val="16"/>
                <w:szCs w:val="16"/>
              </w:rPr>
              <w:t>4</w:t>
            </w:r>
          </w:p>
        </w:tc>
        <w:tc>
          <w:tcPr>
            <w:tcW w:w="425" w:type="dxa"/>
            <w:shd w:val="solid" w:color="FFFFFF" w:fill="auto"/>
          </w:tcPr>
          <w:p w14:paraId="13FEE1D0" w14:textId="6CE41C87" w:rsidR="005656CA" w:rsidRPr="00873B6C" w:rsidRDefault="005656CA" w:rsidP="002C4A81">
            <w:pPr>
              <w:pStyle w:val="TAL"/>
              <w:rPr>
                <w:sz w:val="16"/>
                <w:szCs w:val="16"/>
              </w:rPr>
            </w:pPr>
            <w:r w:rsidRPr="00873B6C">
              <w:rPr>
                <w:sz w:val="16"/>
                <w:szCs w:val="16"/>
              </w:rPr>
              <w:t>C</w:t>
            </w:r>
          </w:p>
        </w:tc>
        <w:tc>
          <w:tcPr>
            <w:tcW w:w="4820" w:type="dxa"/>
            <w:shd w:val="solid" w:color="FFFFFF" w:fill="auto"/>
          </w:tcPr>
          <w:p w14:paraId="342993F2" w14:textId="0627648D" w:rsidR="005656CA" w:rsidRPr="00873B6C" w:rsidRDefault="005656CA" w:rsidP="002C4A81">
            <w:pPr>
              <w:pStyle w:val="TAL"/>
              <w:rPr>
                <w:sz w:val="16"/>
                <w:szCs w:val="16"/>
              </w:rPr>
            </w:pPr>
            <w:r w:rsidRPr="00873B6C">
              <w:rPr>
                <w:sz w:val="16"/>
                <w:szCs w:val="16"/>
              </w:rPr>
              <w:t>Closing ENs for the procedures for discontinuous coverage reporting</w:t>
            </w:r>
          </w:p>
        </w:tc>
        <w:tc>
          <w:tcPr>
            <w:tcW w:w="708" w:type="dxa"/>
            <w:shd w:val="solid" w:color="FFFFFF" w:fill="auto"/>
          </w:tcPr>
          <w:p w14:paraId="3A1D8B46" w14:textId="3049324A" w:rsidR="005656CA" w:rsidRPr="00873B6C" w:rsidRDefault="005656CA" w:rsidP="002C4A81">
            <w:pPr>
              <w:pStyle w:val="TAC"/>
              <w:rPr>
                <w:sz w:val="16"/>
                <w:szCs w:val="16"/>
              </w:rPr>
            </w:pPr>
            <w:r w:rsidRPr="00873B6C">
              <w:rPr>
                <w:sz w:val="16"/>
                <w:szCs w:val="16"/>
              </w:rPr>
              <w:t>18.2.0</w:t>
            </w:r>
          </w:p>
        </w:tc>
      </w:tr>
      <w:tr w:rsidR="005656CA" w:rsidRPr="00873B6C" w14:paraId="203B439B" w14:textId="77777777" w:rsidTr="009D14FB">
        <w:tc>
          <w:tcPr>
            <w:tcW w:w="800" w:type="dxa"/>
            <w:shd w:val="solid" w:color="FFFFFF" w:fill="auto"/>
          </w:tcPr>
          <w:p w14:paraId="0A6130A2" w14:textId="1C9D6156"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4D9370EC" w14:textId="5CABEA6B"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2C5FDECF" w14:textId="2689E3F9" w:rsidR="005656CA" w:rsidRPr="00873B6C" w:rsidRDefault="005656CA" w:rsidP="002C4A81">
            <w:pPr>
              <w:pStyle w:val="TAC"/>
              <w:rPr>
                <w:sz w:val="16"/>
                <w:szCs w:val="16"/>
              </w:rPr>
            </w:pPr>
            <w:r w:rsidRPr="00873B6C">
              <w:rPr>
                <w:sz w:val="16"/>
                <w:szCs w:val="16"/>
              </w:rPr>
              <w:t>SP-230452</w:t>
            </w:r>
          </w:p>
        </w:tc>
        <w:tc>
          <w:tcPr>
            <w:tcW w:w="567" w:type="dxa"/>
            <w:shd w:val="solid" w:color="FFFFFF" w:fill="auto"/>
          </w:tcPr>
          <w:p w14:paraId="74F37334" w14:textId="4A4D0454" w:rsidR="005656CA" w:rsidRPr="00873B6C" w:rsidRDefault="005656CA" w:rsidP="002C4A81">
            <w:pPr>
              <w:pStyle w:val="TAL"/>
              <w:rPr>
                <w:sz w:val="16"/>
                <w:szCs w:val="16"/>
              </w:rPr>
            </w:pPr>
            <w:r w:rsidRPr="00873B6C">
              <w:rPr>
                <w:sz w:val="16"/>
                <w:szCs w:val="16"/>
              </w:rPr>
              <w:t>4246</w:t>
            </w:r>
          </w:p>
        </w:tc>
        <w:tc>
          <w:tcPr>
            <w:tcW w:w="425" w:type="dxa"/>
            <w:shd w:val="solid" w:color="FFFFFF" w:fill="auto"/>
          </w:tcPr>
          <w:p w14:paraId="3A978116" w14:textId="07ABF538"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613FF1BF" w14:textId="6AEB0BA1" w:rsidR="005656CA" w:rsidRPr="00873B6C" w:rsidRDefault="005656CA" w:rsidP="002C4A81">
            <w:pPr>
              <w:pStyle w:val="TAL"/>
              <w:rPr>
                <w:sz w:val="16"/>
                <w:szCs w:val="16"/>
              </w:rPr>
            </w:pPr>
            <w:r w:rsidRPr="00873B6C">
              <w:rPr>
                <w:sz w:val="16"/>
                <w:szCs w:val="16"/>
              </w:rPr>
              <w:t>B</w:t>
            </w:r>
          </w:p>
        </w:tc>
        <w:tc>
          <w:tcPr>
            <w:tcW w:w="4820" w:type="dxa"/>
            <w:shd w:val="solid" w:color="FFFFFF" w:fill="auto"/>
          </w:tcPr>
          <w:p w14:paraId="6D2A1489" w14:textId="562A18B9" w:rsidR="005656CA" w:rsidRPr="00873B6C" w:rsidRDefault="005656CA" w:rsidP="002C4A81">
            <w:pPr>
              <w:pStyle w:val="TAL"/>
              <w:rPr>
                <w:sz w:val="16"/>
                <w:szCs w:val="16"/>
              </w:rPr>
            </w:pPr>
            <w:r w:rsidRPr="00873B6C">
              <w:rPr>
                <w:sz w:val="16"/>
                <w:szCs w:val="16"/>
              </w:rPr>
              <w:t xml:space="preserve">Optimization consideration for satellite backhaul QoS monitoring </w:t>
            </w:r>
          </w:p>
        </w:tc>
        <w:tc>
          <w:tcPr>
            <w:tcW w:w="708" w:type="dxa"/>
            <w:shd w:val="solid" w:color="FFFFFF" w:fill="auto"/>
          </w:tcPr>
          <w:p w14:paraId="0262B80C" w14:textId="28034727" w:rsidR="005656CA" w:rsidRPr="00873B6C" w:rsidRDefault="005656CA" w:rsidP="002C4A81">
            <w:pPr>
              <w:pStyle w:val="TAC"/>
              <w:rPr>
                <w:sz w:val="16"/>
                <w:szCs w:val="16"/>
              </w:rPr>
            </w:pPr>
            <w:r w:rsidRPr="00873B6C">
              <w:rPr>
                <w:sz w:val="16"/>
                <w:szCs w:val="16"/>
              </w:rPr>
              <w:t>18.2.0</w:t>
            </w:r>
          </w:p>
        </w:tc>
      </w:tr>
      <w:tr w:rsidR="005656CA" w:rsidRPr="00873B6C" w14:paraId="0A5E2DDE" w14:textId="77777777" w:rsidTr="009D14FB">
        <w:tc>
          <w:tcPr>
            <w:tcW w:w="800" w:type="dxa"/>
            <w:shd w:val="solid" w:color="FFFFFF" w:fill="auto"/>
          </w:tcPr>
          <w:p w14:paraId="406B21D8" w14:textId="5A124D74"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68FE1F47" w14:textId="0B3230A3"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7802CF64" w14:textId="48AFFB36" w:rsidR="005656CA" w:rsidRPr="00873B6C" w:rsidRDefault="005656CA" w:rsidP="002C4A81">
            <w:pPr>
              <w:pStyle w:val="TAC"/>
              <w:rPr>
                <w:sz w:val="16"/>
                <w:szCs w:val="16"/>
              </w:rPr>
            </w:pPr>
            <w:r w:rsidRPr="00873B6C">
              <w:rPr>
                <w:sz w:val="16"/>
                <w:szCs w:val="16"/>
              </w:rPr>
              <w:t>SP-230494</w:t>
            </w:r>
          </w:p>
        </w:tc>
        <w:tc>
          <w:tcPr>
            <w:tcW w:w="567" w:type="dxa"/>
            <w:shd w:val="solid" w:color="FFFFFF" w:fill="auto"/>
          </w:tcPr>
          <w:p w14:paraId="1EDB1F0C" w14:textId="1F809A5C" w:rsidR="005656CA" w:rsidRPr="00873B6C" w:rsidRDefault="005656CA" w:rsidP="002C4A81">
            <w:pPr>
              <w:pStyle w:val="TAL"/>
              <w:rPr>
                <w:sz w:val="16"/>
                <w:szCs w:val="16"/>
              </w:rPr>
            </w:pPr>
            <w:r w:rsidRPr="00873B6C">
              <w:rPr>
                <w:sz w:val="16"/>
                <w:szCs w:val="16"/>
              </w:rPr>
              <w:t>4249</w:t>
            </w:r>
          </w:p>
        </w:tc>
        <w:tc>
          <w:tcPr>
            <w:tcW w:w="425" w:type="dxa"/>
            <w:shd w:val="solid" w:color="FFFFFF" w:fill="auto"/>
          </w:tcPr>
          <w:p w14:paraId="5742E29B" w14:textId="23AE774B" w:rsidR="005656CA" w:rsidRPr="00873B6C" w:rsidRDefault="005656CA" w:rsidP="002C4A81">
            <w:pPr>
              <w:pStyle w:val="TAL"/>
              <w:rPr>
                <w:sz w:val="16"/>
                <w:szCs w:val="16"/>
              </w:rPr>
            </w:pPr>
            <w:r w:rsidRPr="00873B6C">
              <w:rPr>
                <w:sz w:val="16"/>
                <w:szCs w:val="16"/>
              </w:rPr>
              <w:t>-</w:t>
            </w:r>
          </w:p>
        </w:tc>
        <w:tc>
          <w:tcPr>
            <w:tcW w:w="425" w:type="dxa"/>
            <w:shd w:val="solid" w:color="FFFFFF" w:fill="auto"/>
          </w:tcPr>
          <w:p w14:paraId="3BFC2695" w14:textId="772330BD" w:rsidR="005656CA" w:rsidRPr="00873B6C" w:rsidRDefault="005656CA" w:rsidP="002C4A81">
            <w:pPr>
              <w:pStyle w:val="TAL"/>
              <w:rPr>
                <w:sz w:val="16"/>
                <w:szCs w:val="16"/>
              </w:rPr>
            </w:pPr>
            <w:r w:rsidRPr="00873B6C">
              <w:rPr>
                <w:sz w:val="16"/>
                <w:szCs w:val="16"/>
              </w:rPr>
              <w:t>B</w:t>
            </w:r>
          </w:p>
        </w:tc>
        <w:tc>
          <w:tcPr>
            <w:tcW w:w="4820" w:type="dxa"/>
            <w:shd w:val="solid" w:color="FFFFFF" w:fill="auto"/>
          </w:tcPr>
          <w:p w14:paraId="5360E68A" w14:textId="1C11C137" w:rsidR="005656CA" w:rsidRPr="00873B6C" w:rsidRDefault="005656CA" w:rsidP="002C4A81">
            <w:pPr>
              <w:pStyle w:val="TAL"/>
              <w:rPr>
                <w:sz w:val="16"/>
                <w:szCs w:val="16"/>
              </w:rPr>
            </w:pPr>
            <w:r w:rsidRPr="00873B6C">
              <w:rPr>
                <w:sz w:val="16"/>
                <w:szCs w:val="16"/>
              </w:rPr>
              <w:t>5QI for A2X message delivery via MBS</w:t>
            </w:r>
          </w:p>
        </w:tc>
        <w:tc>
          <w:tcPr>
            <w:tcW w:w="708" w:type="dxa"/>
            <w:shd w:val="solid" w:color="FFFFFF" w:fill="auto"/>
          </w:tcPr>
          <w:p w14:paraId="47790FC1" w14:textId="702E2CE0" w:rsidR="005656CA" w:rsidRPr="00873B6C" w:rsidRDefault="005656CA" w:rsidP="002C4A81">
            <w:pPr>
              <w:pStyle w:val="TAC"/>
              <w:rPr>
                <w:sz w:val="16"/>
                <w:szCs w:val="16"/>
              </w:rPr>
            </w:pPr>
            <w:r w:rsidRPr="00873B6C">
              <w:rPr>
                <w:sz w:val="16"/>
                <w:szCs w:val="16"/>
              </w:rPr>
              <w:t>18.2.0</w:t>
            </w:r>
          </w:p>
        </w:tc>
      </w:tr>
      <w:tr w:rsidR="005656CA" w:rsidRPr="00873B6C" w14:paraId="56878316" w14:textId="77777777" w:rsidTr="009D14FB">
        <w:tc>
          <w:tcPr>
            <w:tcW w:w="800" w:type="dxa"/>
            <w:shd w:val="solid" w:color="FFFFFF" w:fill="auto"/>
          </w:tcPr>
          <w:p w14:paraId="529C6F42" w14:textId="27BCB591"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5665068D" w14:textId="0D8E3599"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7CB92550" w14:textId="3915BEC5" w:rsidR="005656CA" w:rsidRPr="00873B6C" w:rsidRDefault="005656CA" w:rsidP="002C4A81">
            <w:pPr>
              <w:pStyle w:val="TAC"/>
              <w:rPr>
                <w:sz w:val="16"/>
                <w:szCs w:val="16"/>
              </w:rPr>
            </w:pPr>
            <w:r w:rsidRPr="00873B6C">
              <w:rPr>
                <w:sz w:val="16"/>
                <w:szCs w:val="16"/>
              </w:rPr>
              <w:t>SP-230476</w:t>
            </w:r>
          </w:p>
        </w:tc>
        <w:tc>
          <w:tcPr>
            <w:tcW w:w="567" w:type="dxa"/>
            <w:shd w:val="solid" w:color="FFFFFF" w:fill="auto"/>
          </w:tcPr>
          <w:p w14:paraId="65D962F3" w14:textId="23AAF1B8" w:rsidR="005656CA" w:rsidRPr="00873B6C" w:rsidRDefault="005656CA" w:rsidP="002C4A81">
            <w:pPr>
              <w:pStyle w:val="TAL"/>
              <w:rPr>
                <w:sz w:val="16"/>
                <w:szCs w:val="16"/>
              </w:rPr>
            </w:pPr>
            <w:r w:rsidRPr="00873B6C">
              <w:rPr>
                <w:sz w:val="16"/>
                <w:szCs w:val="16"/>
              </w:rPr>
              <w:t>4253</w:t>
            </w:r>
          </w:p>
        </w:tc>
        <w:tc>
          <w:tcPr>
            <w:tcW w:w="425" w:type="dxa"/>
            <w:shd w:val="solid" w:color="FFFFFF" w:fill="auto"/>
          </w:tcPr>
          <w:p w14:paraId="5FB5EBE7" w14:textId="7007F017"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6127DEC6" w14:textId="7B9290CC" w:rsidR="005656CA" w:rsidRPr="00873B6C" w:rsidRDefault="005656CA" w:rsidP="002C4A81">
            <w:pPr>
              <w:pStyle w:val="TAL"/>
              <w:rPr>
                <w:sz w:val="16"/>
                <w:szCs w:val="16"/>
              </w:rPr>
            </w:pPr>
            <w:r w:rsidRPr="00873B6C">
              <w:rPr>
                <w:sz w:val="16"/>
                <w:szCs w:val="16"/>
              </w:rPr>
              <w:t>B</w:t>
            </w:r>
          </w:p>
        </w:tc>
        <w:tc>
          <w:tcPr>
            <w:tcW w:w="4820" w:type="dxa"/>
            <w:shd w:val="solid" w:color="FFFFFF" w:fill="auto"/>
          </w:tcPr>
          <w:p w14:paraId="519A344F" w14:textId="40C9D86C" w:rsidR="005656CA" w:rsidRPr="00873B6C" w:rsidRDefault="005656CA" w:rsidP="002C4A81">
            <w:pPr>
              <w:pStyle w:val="TAL"/>
              <w:rPr>
                <w:sz w:val="16"/>
                <w:szCs w:val="16"/>
              </w:rPr>
            </w:pPr>
            <w:r w:rsidRPr="00873B6C">
              <w:rPr>
                <w:sz w:val="16"/>
                <w:szCs w:val="16"/>
              </w:rPr>
              <w:t>Support URSP provisioning in EPS</w:t>
            </w:r>
          </w:p>
        </w:tc>
        <w:tc>
          <w:tcPr>
            <w:tcW w:w="708" w:type="dxa"/>
            <w:shd w:val="solid" w:color="FFFFFF" w:fill="auto"/>
          </w:tcPr>
          <w:p w14:paraId="23D5A77F" w14:textId="1A8079E2" w:rsidR="005656CA" w:rsidRPr="00873B6C" w:rsidRDefault="005656CA" w:rsidP="002C4A81">
            <w:pPr>
              <w:pStyle w:val="TAC"/>
              <w:rPr>
                <w:sz w:val="16"/>
                <w:szCs w:val="16"/>
              </w:rPr>
            </w:pPr>
            <w:r w:rsidRPr="00873B6C">
              <w:rPr>
                <w:sz w:val="16"/>
                <w:szCs w:val="16"/>
              </w:rPr>
              <w:t>18.2.0</w:t>
            </w:r>
          </w:p>
        </w:tc>
      </w:tr>
      <w:tr w:rsidR="005656CA" w:rsidRPr="00873B6C" w14:paraId="6282AA6C" w14:textId="77777777" w:rsidTr="009D14FB">
        <w:tc>
          <w:tcPr>
            <w:tcW w:w="800" w:type="dxa"/>
            <w:shd w:val="solid" w:color="FFFFFF" w:fill="auto"/>
          </w:tcPr>
          <w:p w14:paraId="56ABEC5F" w14:textId="49D0CC59"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1C97E310" w14:textId="6A3C4760"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09EE9B88" w14:textId="71E53499" w:rsidR="005656CA" w:rsidRPr="00873B6C" w:rsidRDefault="005656CA" w:rsidP="002C4A81">
            <w:pPr>
              <w:pStyle w:val="TAC"/>
              <w:rPr>
                <w:sz w:val="16"/>
                <w:szCs w:val="16"/>
              </w:rPr>
            </w:pPr>
            <w:r w:rsidRPr="00873B6C">
              <w:rPr>
                <w:sz w:val="16"/>
                <w:szCs w:val="16"/>
              </w:rPr>
              <w:t>SP-230457</w:t>
            </w:r>
          </w:p>
        </w:tc>
        <w:tc>
          <w:tcPr>
            <w:tcW w:w="567" w:type="dxa"/>
            <w:shd w:val="solid" w:color="FFFFFF" w:fill="auto"/>
          </w:tcPr>
          <w:p w14:paraId="21D16528" w14:textId="258B0DEF" w:rsidR="005656CA" w:rsidRPr="00873B6C" w:rsidRDefault="005656CA" w:rsidP="002C4A81">
            <w:pPr>
              <w:pStyle w:val="TAL"/>
              <w:rPr>
                <w:sz w:val="16"/>
                <w:szCs w:val="16"/>
              </w:rPr>
            </w:pPr>
            <w:r w:rsidRPr="00873B6C">
              <w:rPr>
                <w:sz w:val="16"/>
                <w:szCs w:val="16"/>
              </w:rPr>
              <w:t>4255</w:t>
            </w:r>
          </w:p>
        </w:tc>
        <w:tc>
          <w:tcPr>
            <w:tcW w:w="425" w:type="dxa"/>
            <w:shd w:val="solid" w:color="FFFFFF" w:fill="auto"/>
          </w:tcPr>
          <w:p w14:paraId="79228492" w14:textId="62A25E6B"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3C44DB76" w14:textId="0A0D0B7C"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38A4129D" w14:textId="317E5B01" w:rsidR="005656CA" w:rsidRPr="00873B6C" w:rsidRDefault="005656CA" w:rsidP="002C4A81">
            <w:pPr>
              <w:pStyle w:val="TAL"/>
              <w:rPr>
                <w:sz w:val="16"/>
                <w:szCs w:val="16"/>
              </w:rPr>
            </w:pPr>
            <w:r w:rsidRPr="00873B6C">
              <w:rPr>
                <w:sz w:val="16"/>
                <w:szCs w:val="16"/>
              </w:rPr>
              <w:t>R18 AIMLsys_General_23501 CR_EN on AIML traffic</w:t>
            </w:r>
          </w:p>
        </w:tc>
        <w:tc>
          <w:tcPr>
            <w:tcW w:w="708" w:type="dxa"/>
            <w:shd w:val="solid" w:color="FFFFFF" w:fill="auto"/>
          </w:tcPr>
          <w:p w14:paraId="096AD539" w14:textId="57760FBA" w:rsidR="005656CA" w:rsidRPr="00873B6C" w:rsidRDefault="005656CA" w:rsidP="002C4A81">
            <w:pPr>
              <w:pStyle w:val="TAC"/>
              <w:rPr>
                <w:sz w:val="16"/>
                <w:szCs w:val="16"/>
              </w:rPr>
            </w:pPr>
            <w:r w:rsidRPr="00873B6C">
              <w:rPr>
                <w:sz w:val="16"/>
                <w:szCs w:val="16"/>
              </w:rPr>
              <w:t>18.2.0</w:t>
            </w:r>
          </w:p>
        </w:tc>
      </w:tr>
      <w:tr w:rsidR="007D1AB8" w:rsidRPr="00873B6C" w14:paraId="759D2D9E" w14:textId="77777777" w:rsidTr="009D14FB">
        <w:tc>
          <w:tcPr>
            <w:tcW w:w="800" w:type="dxa"/>
            <w:shd w:val="solid" w:color="FFFFFF" w:fill="auto"/>
          </w:tcPr>
          <w:p w14:paraId="422E0065" w14:textId="29EBED6D"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79D1F1AA" w14:textId="5B003F25"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0630F1D6" w14:textId="38D31449" w:rsidR="007D1AB8" w:rsidRPr="00873B6C" w:rsidRDefault="007D1AB8" w:rsidP="002C4A81">
            <w:pPr>
              <w:pStyle w:val="TAC"/>
              <w:rPr>
                <w:sz w:val="16"/>
                <w:szCs w:val="16"/>
              </w:rPr>
            </w:pPr>
            <w:r w:rsidRPr="00873B6C">
              <w:rPr>
                <w:sz w:val="16"/>
                <w:szCs w:val="16"/>
              </w:rPr>
              <w:t>SP-230457</w:t>
            </w:r>
          </w:p>
        </w:tc>
        <w:tc>
          <w:tcPr>
            <w:tcW w:w="567" w:type="dxa"/>
            <w:shd w:val="solid" w:color="FFFFFF" w:fill="auto"/>
          </w:tcPr>
          <w:p w14:paraId="1EBA4196" w14:textId="33835266" w:rsidR="007D1AB8" w:rsidRPr="00873B6C" w:rsidRDefault="007D1AB8" w:rsidP="002C4A81">
            <w:pPr>
              <w:pStyle w:val="TAL"/>
              <w:rPr>
                <w:sz w:val="16"/>
                <w:szCs w:val="16"/>
              </w:rPr>
            </w:pPr>
            <w:r w:rsidRPr="00873B6C">
              <w:rPr>
                <w:sz w:val="16"/>
                <w:szCs w:val="16"/>
              </w:rPr>
              <w:t>4257</w:t>
            </w:r>
          </w:p>
        </w:tc>
        <w:tc>
          <w:tcPr>
            <w:tcW w:w="425" w:type="dxa"/>
            <w:shd w:val="solid" w:color="FFFFFF" w:fill="auto"/>
          </w:tcPr>
          <w:p w14:paraId="6A72DCB9" w14:textId="4FFCD25E" w:rsidR="007D1AB8" w:rsidRPr="00873B6C" w:rsidRDefault="007D1AB8" w:rsidP="002C4A81">
            <w:pPr>
              <w:pStyle w:val="TAL"/>
              <w:rPr>
                <w:sz w:val="16"/>
                <w:szCs w:val="16"/>
              </w:rPr>
            </w:pPr>
            <w:r w:rsidRPr="00873B6C">
              <w:rPr>
                <w:sz w:val="16"/>
                <w:szCs w:val="16"/>
              </w:rPr>
              <w:t>-</w:t>
            </w:r>
          </w:p>
        </w:tc>
        <w:tc>
          <w:tcPr>
            <w:tcW w:w="425" w:type="dxa"/>
            <w:shd w:val="solid" w:color="FFFFFF" w:fill="auto"/>
          </w:tcPr>
          <w:p w14:paraId="538A9F1D" w14:textId="311F4CA5" w:rsidR="007D1AB8" w:rsidRPr="00873B6C" w:rsidRDefault="007D1AB8" w:rsidP="002C4A81">
            <w:pPr>
              <w:pStyle w:val="TAL"/>
              <w:rPr>
                <w:sz w:val="16"/>
                <w:szCs w:val="16"/>
              </w:rPr>
            </w:pPr>
            <w:r w:rsidRPr="00873B6C">
              <w:rPr>
                <w:sz w:val="16"/>
                <w:szCs w:val="16"/>
              </w:rPr>
              <w:t>F</w:t>
            </w:r>
          </w:p>
        </w:tc>
        <w:tc>
          <w:tcPr>
            <w:tcW w:w="4820" w:type="dxa"/>
            <w:shd w:val="solid" w:color="FFFFFF" w:fill="auto"/>
          </w:tcPr>
          <w:p w14:paraId="080709AF" w14:textId="18CC3062" w:rsidR="007D1AB8" w:rsidRPr="00873B6C" w:rsidRDefault="007D1AB8" w:rsidP="002C4A81">
            <w:pPr>
              <w:pStyle w:val="TAL"/>
              <w:rPr>
                <w:sz w:val="16"/>
                <w:szCs w:val="16"/>
              </w:rPr>
            </w:pPr>
            <w:r w:rsidRPr="00873B6C">
              <w:rPr>
                <w:sz w:val="16"/>
                <w:szCs w:val="16"/>
              </w:rPr>
              <w:t>R18 AIMLsys_KI1_23501 CR_SingleSO_for_QoS</w:t>
            </w:r>
          </w:p>
        </w:tc>
        <w:tc>
          <w:tcPr>
            <w:tcW w:w="708" w:type="dxa"/>
            <w:shd w:val="solid" w:color="FFFFFF" w:fill="auto"/>
          </w:tcPr>
          <w:p w14:paraId="110B3281" w14:textId="6C68DC4B" w:rsidR="007D1AB8" w:rsidRPr="00873B6C" w:rsidRDefault="007D1AB8" w:rsidP="002C4A81">
            <w:pPr>
              <w:pStyle w:val="TAC"/>
              <w:rPr>
                <w:sz w:val="16"/>
                <w:szCs w:val="16"/>
              </w:rPr>
            </w:pPr>
            <w:r w:rsidRPr="00873B6C">
              <w:rPr>
                <w:sz w:val="16"/>
                <w:szCs w:val="16"/>
              </w:rPr>
              <w:t>18.2.0</w:t>
            </w:r>
          </w:p>
        </w:tc>
      </w:tr>
      <w:tr w:rsidR="007D1AB8" w:rsidRPr="00873B6C" w14:paraId="27364FF8" w14:textId="77777777" w:rsidTr="009D14FB">
        <w:tc>
          <w:tcPr>
            <w:tcW w:w="800" w:type="dxa"/>
            <w:shd w:val="solid" w:color="FFFFFF" w:fill="auto"/>
          </w:tcPr>
          <w:p w14:paraId="0260A3E1" w14:textId="69A6AEEA"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507BAD27" w14:textId="3A912E56"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33AE96C6" w14:textId="6D0AE070" w:rsidR="007D1AB8" w:rsidRPr="00873B6C" w:rsidRDefault="007D1AB8" w:rsidP="002C4A81">
            <w:pPr>
              <w:pStyle w:val="TAC"/>
              <w:rPr>
                <w:sz w:val="16"/>
                <w:szCs w:val="16"/>
              </w:rPr>
            </w:pPr>
            <w:r w:rsidRPr="00873B6C">
              <w:rPr>
                <w:sz w:val="16"/>
                <w:szCs w:val="16"/>
              </w:rPr>
              <w:t>SP-230472</w:t>
            </w:r>
          </w:p>
        </w:tc>
        <w:tc>
          <w:tcPr>
            <w:tcW w:w="567" w:type="dxa"/>
            <w:shd w:val="solid" w:color="FFFFFF" w:fill="auto"/>
          </w:tcPr>
          <w:p w14:paraId="4BDB0019" w14:textId="6EAB5F39" w:rsidR="007D1AB8" w:rsidRPr="00873B6C" w:rsidRDefault="007D1AB8" w:rsidP="002C4A81">
            <w:pPr>
              <w:pStyle w:val="TAL"/>
              <w:rPr>
                <w:sz w:val="16"/>
                <w:szCs w:val="16"/>
              </w:rPr>
            </w:pPr>
            <w:r w:rsidRPr="00873B6C">
              <w:rPr>
                <w:sz w:val="16"/>
                <w:szCs w:val="16"/>
              </w:rPr>
              <w:t>4259</w:t>
            </w:r>
          </w:p>
        </w:tc>
        <w:tc>
          <w:tcPr>
            <w:tcW w:w="425" w:type="dxa"/>
            <w:shd w:val="solid" w:color="FFFFFF" w:fill="auto"/>
          </w:tcPr>
          <w:p w14:paraId="2B9F9494" w14:textId="3F710093" w:rsidR="007D1AB8" w:rsidRPr="00873B6C" w:rsidRDefault="007D1AB8" w:rsidP="002C4A81">
            <w:pPr>
              <w:pStyle w:val="TAL"/>
              <w:rPr>
                <w:sz w:val="16"/>
                <w:szCs w:val="16"/>
              </w:rPr>
            </w:pPr>
            <w:r w:rsidRPr="00873B6C">
              <w:rPr>
                <w:sz w:val="16"/>
                <w:szCs w:val="16"/>
              </w:rPr>
              <w:t>1</w:t>
            </w:r>
          </w:p>
        </w:tc>
        <w:tc>
          <w:tcPr>
            <w:tcW w:w="425" w:type="dxa"/>
            <w:shd w:val="solid" w:color="FFFFFF" w:fill="auto"/>
          </w:tcPr>
          <w:p w14:paraId="2413AEE9" w14:textId="6D2FCC69" w:rsidR="007D1AB8" w:rsidRPr="00873B6C" w:rsidRDefault="007D1AB8" w:rsidP="002C4A81">
            <w:pPr>
              <w:pStyle w:val="TAL"/>
              <w:rPr>
                <w:sz w:val="16"/>
                <w:szCs w:val="16"/>
              </w:rPr>
            </w:pPr>
            <w:r w:rsidRPr="00873B6C">
              <w:rPr>
                <w:sz w:val="16"/>
                <w:szCs w:val="16"/>
              </w:rPr>
              <w:t>A</w:t>
            </w:r>
          </w:p>
        </w:tc>
        <w:tc>
          <w:tcPr>
            <w:tcW w:w="4820" w:type="dxa"/>
            <w:shd w:val="solid" w:color="FFFFFF" w:fill="auto"/>
          </w:tcPr>
          <w:p w14:paraId="2229DC84" w14:textId="5DC1BD25" w:rsidR="007D1AB8" w:rsidRPr="00873B6C" w:rsidRDefault="007D1AB8" w:rsidP="002C4A81">
            <w:pPr>
              <w:pStyle w:val="TAL"/>
              <w:rPr>
                <w:sz w:val="16"/>
                <w:szCs w:val="16"/>
              </w:rPr>
            </w:pPr>
            <w:r w:rsidRPr="00873B6C">
              <w:rPr>
                <w:sz w:val="16"/>
                <w:szCs w:val="16"/>
              </w:rPr>
              <w:t>Number of PDU session slice availability check during EPC IWK</w:t>
            </w:r>
          </w:p>
        </w:tc>
        <w:tc>
          <w:tcPr>
            <w:tcW w:w="708" w:type="dxa"/>
            <w:shd w:val="solid" w:color="FFFFFF" w:fill="auto"/>
          </w:tcPr>
          <w:p w14:paraId="3AFD6C73" w14:textId="6C822EF2" w:rsidR="007D1AB8" w:rsidRPr="00873B6C" w:rsidRDefault="007D1AB8" w:rsidP="002C4A81">
            <w:pPr>
              <w:pStyle w:val="TAC"/>
              <w:rPr>
                <w:sz w:val="16"/>
                <w:szCs w:val="16"/>
              </w:rPr>
            </w:pPr>
            <w:r w:rsidRPr="00873B6C">
              <w:rPr>
                <w:sz w:val="16"/>
                <w:szCs w:val="16"/>
              </w:rPr>
              <w:t>18.2.0</w:t>
            </w:r>
          </w:p>
        </w:tc>
      </w:tr>
      <w:tr w:rsidR="007D1AB8" w:rsidRPr="00873B6C" w14:paraId="04C8EFE4" w14:textId="77777777" w:rsidTr="009D14FB">
        <w:tc>
          <w:tcPr>
            <w:tcW w:w="800" w:type="dxa"/>
            <w:shd w:val="solid" w:color="FFFFFF" w:fill="auto"/>
          </w:tcPr>
          <w:p w14:paraId="68924D72" w14:textId="2BA7B8E0"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4FB2089F" w14:textId="5C6C21F2"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7C019F6A" w14:textId="6B753FE4" w:rsidR="007D1AB8" w:rsidRPr="00873B6C" w:rsidRDefault="007D1AB8" w:rsidP="002C4A81">
            <w:pPr>
              <w:pStyle w:val="TAC"/>
              <w:rPr>
                <w:sz w:val="16"/>
                <w:szCs w:val="16"/>
              </w:rPr>
            </w:pPr>
            <w:r w:rsidRPr="00873B6C">
              <w:rPr>
                <w:sz w:val="16"/>
                <w:szCs w:val="16"/>
              </w:rPr>
              <w:t>SP-230471</w:t>
            </w:r>
          </w:p>
        </w:tc>
        <w:tc>
          <w:tcPr>
            <w:tcW w:w="567" w:type="dxa"/>
            <w:shd w:val="solid" w:color="FFFFFF" w:fill="auto"/>
          </w:tcPr>
          <w:p w14:paraId="654D95AC" w14:textId="3B5F2013" w:rsidR="007D1AB8" w:rsidRPr="00873B6C" w:rsidRDefault="007D1AB8" w:rsidP="002C4A81">
            <w:pPr>
              <w:pStyle w:val="TAL"/>
              <w:rPr>
                <w:sz w:val="16"/>
                <w:szCs w:val="16"/>
              </w:rPr>
            </w:pPr>
            <w:r w:rsidRPr="00873B6C">
              <w:rPr>
                <w:sz w:val="16"/>
                <w:szCs w:val="16"/>
              </w:rPr>
              <w:t>4270</w:t>
            </w:r>
          </w:p>
        </w:tc>
        <w:tc>
          <w:tcPr>
            <w:tcW w:w="425" w:type="dxa"/>
            <w:shd w:val="solid" w:color="FFFFFF" w:fill="auto"/>
          </w:tcPr>
          <w:p w14:paraId="6C73E48A" w14:textId="4B5E469A" w:rsidR="007D1AB8" w:rsidRPr="00873B6C" w:rsidRDefault="007D1AB8" w:rsidP="002C4A81">
            <w:pPr>
              <w:pStyle w:val="TAL"/>
              <w:rPr>
                <w:sz w:val="16"/>
                <w:szCs w:val="16"/>
              </w:rPr>
            </w:pPr>
            <w:r w:rsidRPr="00873B6C">
              <w:rPr>
                <w:sz w:val="16"/>
                <w:szCs w:val="16"/>
              </w:rPr>
              <w:t>1</w:t>
            </w:r>
          </w:p>
        </w:tc>
        <w:tc>
          <w:tcPr>
            <w:tcW w:w="425" w:type="dxa"/>
            <w:shd w:val="solid" w:color="FFFFFF" w:fill="auto"/>
          </w:tcPr>
          <w:p w14:paraId="3513620B" w14:textId="7AC769A5" w:rsidR="007D1AB8" w:rsidRPr="00873B6C" w:rsidRDefault="007D1AB8" w:rsidP="002C4A81">
            <w:pPr>
              <w:pStyle w:val="TAL"/>
              <w:rPr>
                <w:sz w:val="16"/>
                <w:szCs w:val="16"/>
              </w:rPr>
            </w:pPr>
            <w:r w:rsidRPr="00873B6C">
              <w:rPr>
                <w:sz w:val="16"/>
                <w:szCs w:val="16"/>
              </w:rPr>
              <w:t>B</w:t>
            </w:r>
          </w:p>
        </w:tc>
        <w:tc>
          <w:tcPr>
            <w:tcW w:w="4820" w:type="dxa"/>
            <w:shd w:val="solid" w:color="FFFFFF" w:fill="auto"/>
          </w:tcPr>
          <w:p w14:paraId="43A506A7" w14:textId="4F2CC7C4" w:rsidR="007D1AB8" w:rsidRPr="00873B6C" w:rsidRDefault="007D1AB8" w:rsidP="002C4A81">
            <w:pPr>
              <w:pStyle w:val="TAL"/>
              <w:rPr>
                <w:sz w:val="16"/>
                <w:szCs w:val="16"/>
              </w:rPr>
            </w:pPr>
            <w:r w:rsidRPr="00873B6C">
              <w:rPr>
                <w:sz w:val="16"/>
                <w:szCs w:val="16"/>
              </w:rPr>
              <w:t>Network access control when the UE accesse an SNPN that provides access for Localized Services</w:t>
            </w:r>
          </w:p>
        </w:tc>
        <w:tc>
          <w:tcPr>
            <w:tcW w:w="708" w:type="dxa"/>
            <w:shd w:val="solid" w:color="FFFFFF" w:fill="auto"/>
          </w:tcPr>
          <w:p w14:paraId="2CFD1986" w14:textId="03F8888B" w:rsidR="007D1AB8" w:rsidRPr="00873B6C" w:rsidRDefault="007D1AB8" w:rsidP="002C4A81">
            <w:pPr>
              <w:pStyle w:val="TAC"/>
              <w:rPr>
                <w:sz w:val="16"/>
                <w:szCs w:val="16"/>
              </w:rPr>
            </w:pPr>
            <w:r w:rsidRPr="00873B6C">
              <w:rPr>
                <w:sz w:val="16"/>
                <w:szCs w:val="16"/>
              </w:rPr>
              <w:t>18.2.0</w:t>
            </w:r>
          </w:p>
        </w:tc>
      </w:tr>
      <w:tr w:rsidR="007D1AB8" w:rsidRPr="00873B6C" w14:paraId="2D1124C1" w14:textId="77777777" w:rsidTr="009D14FB">
        <w:tc>
          <w:tcPr>
            <w:tcW w:w="800" w:type="dxa"/>
            <w:shd w:val="solid" w:color="FFFFFF" w:fill="auto"/>
          </w:tcPr>
          <w:p w14:paraId="0EF7E763" w14:textId="05BBC653"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57747364" w14:textId="0FB41933"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297BA689" w14:textId="2D2BEDAC" w:rsidR="007D1AB8" w:rsidRPr="00873B6C" w:rsidRDefault="007D1AB8" w:rsidP="002C4A81">
            <w:pPr>
              <w:pStyle w:val="TAC"/>
              <w:rPr>
                <w:sz w:val="16"/>
                <w:szCs w:val="16"/>
              </w:rPr>
            </w:pPr>
            <w:r w:rsidRPr="00873B6C">
              <w:rPr>
                <w:sz w:val="16"/>
                <w:szCs w:val="16"/>
              </w:rPr>
              <w:t>SP-230461</w:t>
            </w:r>
          </w:p>
        </w:tc>
        <w:tc>
          <w:tcPr>
            <w:tcW w:w="567" w:type="dxa"/>
            <w:shd w:val="solid" w:color="FFFFFF" w:fill="auto"/>
          </w:tcPr>
          <w:p w14:paraId="07B09C22" w14:textId="0B37721A" w:rsidR="007D1AB8" w:rsidRPr="00873B6C" w:rsidRDefault="007D1AB8" w:rsidP="002C4A81">
            <w:pPr>
              <w:pStyle w:val="TAL"/>
              <w:rPr>
                <w:sz w:val="16"/>
                <w:szCs w:val="16"/>
              </w:rPr>
            </w:pPr>
            <w:r w:rsidRPr="00873B6C">
              <w:rPr>
                <w:sz w:val="16"/>
                <w:szCs w:val="16"/>
              </w:rPr>
              <w:t>4271</w:t>
            </w:r>
          </w:p>
        </w:tc>
        <w:tc>
          <w:tcPr>
            <w:tcW w:w="425" w:type="dxa"/>
            <w:shd w:val="solid" w:color="FFFFFF" w:fill="auto"/>
          </w:tcPr>
          <w:p w14:paraId="1D6266F9" w14:textId="6921083D" w:rsidR="007D1AB8" w:rsidRPr="00873B6C" w:rsidRDefault="007D1AB8" w:rsidP="002C4A81">
            <w:pPr>
              <w:pStyle w:val="TAL"/>
              <w:rPr>
                <w:sz w:val="16"/>
                <w:szCs w:val="16"/>
              </w:rPr>
            </w:pPr>
            <w:r w:rsidRPr="00873B6C">
              <w:rPr>
                <w:sz w:val="16"/>
                <w:szCs w:val="16"/>
              </w:rPr>
              <w:t>4</w:t>
            </w:r>
          </w:p>
        </w:tc>
        <w:tc>
          <w:tcPr>
            <w:tcW w:w="425" w:type="dxa"/>
            <w:shd w:val="solid" w:color="FFFFFF" w:fill="auto"/>
          </w:tcPr>
          <w:p w14:paraId="63150EC9" w14:textId="3346003A" w:rsidR="007D1AB8" w:rsidRPr="00873B6C" w:rsidRDefault="007D1AB8" w:rsidP="002C4A81">
            <w:pPr>
              <w:pStyle w:val="TAL"/>
              <w:rPr>
                <w:sz w:val="16"/>
                <w:szCs w:val="16"/>
              </w:rPr>
            </w:pPr>
            <w:r w:rsidRPr="00873B6C">
              <w:rPr>
                <w:sz w:val="16"/>
                <w:szCs w:val="16"/>
              </w:rPr>
              <w:t>F</w:t>
            </w:r>
          </w:p>
        </w:tc>
        <w:tc>
          <w:tcPr>
            <w:tcW w:w="4820" w:type="dxa"/>
            <w:shd w:val="solid" w:color="FFFFFF" w:fill="auto"/>
          </w:tcPr>
          <w:p w14:paraId="39E514EE" w14:textId="1F837269" w:rsidR="007D1AB8" w:rsidRPr="00873B6C" w:rsidRDefault="007D1AB8" w:rsidP="002C4A81">
            <w:pPr>
              <w:pStyle w:val="TAL"/>
              <w:rPr>
                <w:sz w:val="16"/>
                <w:szCs w:val="16"/>
              </w:rPr>
            </w:pPr>
            <w:r w:rsidRPr="00873B6C">
              <w:rPr>
                <w:sz w:val="16"/>
                <w:szCs w:val="16"/>
              </w:rPr>
              <w:t>Selection of Common DNAI</w:t>
            </w:r>
          </w:p>
        </w:tc>
        <w:tc>
          <w:tcPr>
            <w:tcW w:w="708" w:type="dxa"/>
            <w:shd w:val="solid" w:color="FFFFFF" w:fill="auto"/>
          </w:tcPr>
          <w:p w14:paraId="2460B51F" w14:textId="10C8E89C" w:rsidR="007D1AB8" w:rsidRPr="00873B6C" w:rsidRDefault="007D1AB8" w:rsidP="002C4A81">
            <w:pPr>
              <w:pStyle w:val="TAC"/>
              <w:rPr>
                <w:sz w:val="16"/>
                <w:szCs w:val="16"/>
              </w:rPr>
            </w:pPr>
            <w:r w:rsidRPr="00873B6C">
              <w:rPr>
                <w:sz w:val="16"/>
                <w:szCs w:val="16"/>
              </w:rPr>
              <w:t>18.2.0</w:t>
            </w:r>
          </w:p>
        </w:tc>
      </w:tr>
      <w:tr w:rsidR="007D1AB8" w:rsidRPr="00873B6C" w14:paraId="7A88461C" w14:textId="77777777" w:rsidTr="009D14FB">
        <w:tc>
          <w:tcPr>
            <w:tcW w:w="800" w:type="dxa"/>
            <w:shd w:val="solid" w:color="FFFFFF" w:fill="auto"/>
          </w:tcPr>
          <w:p w14:paraId="7C1583F3" w14:textId="58F69210"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60740034" w14:textId="064E4D40"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5D38BFB4" w14:textId="0023B970" w:rsidR="007D1AB8" w:rsidRPr="00873B6C" w:rsidRDefault="007D1AB8" w:rsidP="002C4A81">
            <w:pPr>
              <w:pStyle w:val="TAC"/>
              <w:rPr>
                <w:sz w:val="16"/>
                <w:szCs w:val="16"/>
              </w:rPr>
            </w:pPr>
            <w:r w:rsidRPr="00873B6C">
              <w:rPr>
                <w:sz w:val="16"/>
                <w:szCs w:val="16"/>
              </w:rPr>
              <w:t>SP-230497</w:t>
            </w:r>
          </w:p>
        </w:tc>
        <w:tc>
          <w:tcPr>
            <w:tcW w:w="567" w:type="dxa"/>
            <w:shd w:val="solid" w:color="FFFFFF" w:fill="auto"/>
          </w:tcPr>
          <w:p w14:paraId="651F3D0C" w14:textId="04F65723" w:rsidR="007D1AB8" w:rsidRPr="00873B6C" w:rsidRDefault="007D1AB8" w:rsidP="002C4A81">
            <w:pPr>
              <w:pStyle w:val="TAL"/>
              <w:rPr>
                <w:sz w:val="16"/>
                <w:szCs w:val="16"/>
              </w:rPr>
            </w:pPr>
            <w:r w:rsidRPr="00873B6C">
              <w:rPr>
                <w:sz w:val="16"/>
                <w:szCs w:val="16"/>
              </w:rPr>
              <w:t>4278</w:t>
            </w:r>
          </w:p>
        </w:tc>
        <w:tc>
          <w:tcPr>
            <w:tcW w:w="425" w:type="dxa"/>
            <w:shd w:val="solid" w:color="FFFFFF" w:fill="auto"/>
          </w:tcPr>
          <w:p w14:paraId="7A75DB55" w14:textId="797986BE" w:rsidR="007D1AB8" w:rsidRPr="00873B6C" w:rsidRDefault="007D1AB8" w:rsidP="002C4A81">
            <w:pPr>
              <w:pStyle w:val="TAL"/>
              <w:rPr>
                <w:sz w:val="16"/>
                <w:szCs w:val="16"/>
              </w:rPr>
            </w:pPr>
            <w:r w:rsidRPr="00873B6C">
              <w:rPr>
                <w:sz w:val="16"/>
                <w:szCs w:val="16"/>
              </w:rPr>
              <w:t>1</w:t>
            </w:r>
          </w:p>
        </w:tc>
        <w:tc>
          <w:tcPr>
            <w:tcW w:w="425" w:type="dxa"/>
            <w:shd w:val="solid" w:color="FFFFFF" w:fill="auto"/>
          </w:tcPr>
          <w:p w14:paraId="166C5440" w14:textId="46332D98" w:rsidR="007D1AB8" w:rsidRPr="00873B6C" w:rsidRDefault="007D1AB8" w:rsidP="002C4A81">
            <w:pPr>
              <w:pStyle w:val="TAL"/>
              <w:rPr>
                <w:sz w:val="16"/>
                <w:szCs w:val="16"/>
              </w:rPr>
            </w:pPr>
            <w:r w:rsidRPr="00873B6C">
              <w:rPr>
                <w:sz w:val="16"/>
                <w:szCs w:val="16"/>
              </w:rPr>
              <w:t>F</w:t>
            </w:r>
          </w:p>
        </w:tc>
        <w:tc>
          <w:tcPr>
            <w:tcW w:w="4820" w:type="dxa"/>
            <w:shd w:val="solid" w:color="FFFFFF" w:fill="auto"/>
          </w:tcPr>
          <w:p w14:paraId="54E8E534" w14:textId="346902C0" w:rsidR="007D1AB8" w:rsidRPr="00873B6C" w:rsidRDefault="007D1AB8" w:rsidP="002C4A81">
            <w:pPr>
              <w:pStyle w:val="TAL"/>
              <w:rPr>
                <w:sz w:val="16"/>
                <w:szCs w:val="16"/>
              </w:rPr>
            </w:pPr>
            <w:r w:rsidRPr="00873B6C">
              <w:rPr>
                <w:sz w:val="16"/>
                <w:szCs w:val="16"/>
              </w:rPr>
              <w:t>KI#6 text alignment text</w:t>
            </w:r>
          </w:p>
        </w:tc>
        <w:tc>
          <w:tcPr>
            <w:tcW w:w="708" w:type="dxa"/>
            <w:shd w:val="solid" w:color="FFFFFF" w:fill="auto"/>
          </w:tcPr>
          <w:p w14:paraId="05ADE073" w14:textId="3B9B541F" w:rsidR="007D1AB8" w:rsidRPr="00873B6C" w:rsidRDefault="007D1AB8" w:rsidP="002C4A81">
            <w:pPr>
              <w:pStyle w:val="TAC"/>
              <w:rPr>
                <w:sz w:val="16"/>
                <w:szCs w:val="16"/>
              </w:rPr>
            </w:pPr>
            <w:r w:rsidRPr="00873B6C">
              <w:rPr>
                <w:sz w:val="16"/>
                <w:szCs w:val="16"/>
              </w:rPr>
              <w:t>18.2.0</w:t>
            </w:r>
          </w:p>
        </w:tc>
      </w:tr>
      <w:tr w:rsidR="00120E23" w:rsidRPr="00873B6C" w14:paraId="614572C9" w14:textId="77777777" w:rsidTr="009D14FB">
        <w:tc>
          <w:tcPr>
            <w:tcW w:w="800" w:type="dxa"/>
            <w:shd w:val="solid" w:color="FFFFFF" w:fill="auto"/>
          </w:tcPr>
          <w:p w14:paraId="1F60E75C" w14:textId="4051700C"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639879A7" w14:textId="0F444CD6"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6B7FF593" w14:textId="42D34665" w:rsidR="00120E23" w:rsidRPr="00873B6C" w:rsidRDefault="00120E23" w:rsidP="002C4A81">
            <w:pPr>
              <w:pStyle w:val="TAC"/>
              <w:rPr>
                <w:sz w:val="16"/>
                <w:szCs w:val="16"/>
              </w:rPr>
            </w:pPr>
            <w:r w:rsidRPr="00873B6C">
              <w:rPr>
                <w:sz w:val="16"/>
                <w:szCs w:val="16"/>
              </w:rPr>
              <w:t>SP-230460</w:t>
            </w:r>
          </w:p>
        </w:tc>
        <w:tc>
          <w:tcPr>
            <w:tcW w:w="567" w:type="dxa"/>
            <w:shd w:val="solid" w:color="FFFFFF" w:fill="auto"/>
          </w:tcPr>
          <w:p w14:paraId="26FCF68C" w14:textId="4A44645D" w:rsidR="00120E23" w:rsidRPr="00873B6C" w:rsidRDefault="00120E23" w:rsidP="002C4A81">
            <w:pPr>
              <w:pStyle w:val="TAL"/>
              <w:rPr>
                <w:sz w:val="16"/>
                <w:szCs w:val="16"/>
              </w:rPr>
            </w:pPr>
            <w:r w:rsidRPr="00873B6C">
              <w:rPr>
                <w:sz w:val="16"/>
                <w:szCs w:val="16"/>
              </w:rPr>
              <w:t>4280</w:t>
            </w:r>
          </w:p>
        </w:tc>
        <w:tc>
          <w:tcPr>
            <w:tcW w:w="425" w:type="dxa"/>
            <w:shd w:val="solid" w:color="FFFFFF" w:fill="auto"/>
          </w:tcPr>
          <w:p w14:paraId="518B334C" w14:textId="3CCB2D96" w:rsidR="00120E23" w:rsidRPr="00873B6C" w:rsidRDefault="00120E23" w:rsidP="002C4A81">
            <w:pPr>
              <w:pStyle w:val="TAL"/>
              <w:rPr>
                <w:sz w:val="16"/>
                <w:szCs w:val="16"/>
              </w:rPr>
            </w:pPr>
            <w:r w:rsidRPr="00873B6C">
              <w:rPr>
                <w:sz w:val="16"/>
                <w:szCs w:val="16"/>
              </w:rPr>
              <w:t>1</w:t>
            </w:r>
          </w:p>
        </w:tc>
        <w:tc>
          <w:tcPr>
            <w:tcW w:w="425" w:type="dxa"/>
            <w:shd w:val="solid" w:color="FFFFFF" w:fill="auto"/>
          </w:tcPr>
          <w:p w14:paraId="643BCDAA" w14:textId="59A09940" w:rsidR="00120E23" w:rsidRPr="00873B6C" w:rsidRDefault="00120E23" w:rsidP="002C4A81">
            <w:pPr>
              <w:pStyle w:val="TAL"/>
              <w:rPr>
                <w:sz w:val="16"/>
                <w:szCs w:val="16"/>
              </w:rPr>
            </w:pPr>
            <w:r w:rsidRPr="00873B6C">
              <w:rPr>
                <w:sz w:val="16"/>
                <w:szCs w:val="16"/>
              </w:rPr>
              <w:t>F</w:t>
            </w:r>
          </w:p>
        </w:tc>
        <w:tc>
          <w:tcPr>
            <w:tcW w:w="4820" w:type="dxa"/>
            <w:shd w:val="solid" w:color="FFFFFF" w:fill="auto"/>
          </w:tcPr>
          <w:p w14:paraId="654DD18A" w14:textId="01240A37" w:rsidR="00120E23" w:rsidRPr="00873B6C" w:rsidRDefault="00120E23" w:rsidP="002C4A81">
            <w:pPr>
              <w:pStyle w:val="TAL"/>
              <w:rPr>
                <w:sz w:val="16"/>
                <w:szCs w:val="16"/>
              </w:rPr>
            </w:pPr>
            <w:r w:rsidRPr="00873B6C">
              <w:rPr>
                <w:sz w:val="16"/>
                <w:szCs w:val="16"/>
              </w:rPr>
              <w:t>Architectural diagram change for DetNet</w:t>
            </w:r>
          </w:p>
        </w:tc>
        <w:tc>
          <w:tcPr>
            <w:tcW w:w="708" w:type="dxa"/>
            <w:shd w:val="solid" w:color="FFFFFF" w:fill="auto"/>
          </w:tcPr>
          <w:p w14:paraId="756C92B7" w14:textId="5EA88AEA" w:rsidR="00120E23" w:rsidRPr="00873B6C" w:rsidRDefault="00120E23" w:rsidP="002C4A81">
            <w:pPr>
              <w:pStyle w:val="TAC"/>
              <w:rPr>
                <w:sz w:val="16"/>
                <w:szCs w:val="16"/>
              </w:rPr>
            </w:pPr>
            <w:r w:rsidRPr="00873B6C">
              <w:rPr>
                <w:sz w:val="16"/>
                <w:szCs w:val="16"/>
              </w:rPr>
              <w:t>18.2.0</w:t>
            </w:r>
          </w:p>
        </w:tc>
      </w:tr>
      <w:tr w:rsidR="00120E23" w:rsidRPr="00873B6C" w14:paraId="5021B065" w14:textId="77777777" w:rsidTr="009D14FB">
        <w:tc>
          <w:tcPr>
            <w:tcW w:w="800" w:type="dxa"/>
            <w:shd w:val="solid" w:color="FFFFFF" w:fill="auto"/>
          </w:tcPr>
          <w:p w14:paraId="6DE67725" w14:textId="3778EF01"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3D75AEF8" w14:textId="3575CAD0"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66C6228E" w14:textId="482169EF" w:rsidR="00120E23" w:rsidRPr="00873B6C" w:rsidRDefault="00120E23" w:rsidP="002C4A81">
            <w:pPr>
              <w:pStyle w:val="TAC"/>
              <w:rPr>
                <w:sz w:val="16"/>
                <w:szCs w:val="16"/>
              </w:rPr>
            </w:pPr>
            <w:r w:rsidRPr="00873B6C">
              <w:rPr>
                <w:sz w:val="16"/>
                <w:szCs w:val="16"/>
              </w:rPr>
              <w:t>SP-230460</w:t>
            </w:r>
          </w:p>
        </w:tc>
        <w:tc>
          <w:tcPr>
            <w:tcW w:w="567" w:type="dxa"/>
            <w:shd w:val="solid" w:color="FFFFFF" w:fill="auto"/>
          </w:tcPr>
          <w:p w14:paraId="5A287FD8" w14:textId="02F2520D" w:rsidR="00120E23" w:rsidRPr="00873B6C" w:rsidRDefault="00120E23" w:rsidP="002C4A81">
            <w:pPr>
              <w:pStyle w:val="TAL"/>
              <w:rPr>
                <w:sz w:val="16"/>
                <w:szCs w:val="16"/>
              </w:rPr>
            </w:pPr>
            <w:r w:rsidRPr="00873B6C">
              <w:rPr>
                <w:sz w:val="16"/>
                <w:szCs w:val="16"/>
              </w:rPr>
              <w:t>4281</w:t>
            </w:r>
          </w:p>
        </w:tc>
        <w:tc>
          <w:tcPr>
            <w:tcW w:w="425" w:type="dxa"/>
            <w:shd w:val="solid" w:color="FFFFFF" w:fill="auto"/>
          </w:tcPr>
          <w:p w14:paraId="5EBD6EA3" w14:textId="254270F3" w:rsidR="00120E23" w:rsidRPr="00873B6C" w:rsidRDefault="00120E23" w:rsidP="002C4A81">
            <w:pPr>
              <w:pStyle w:val="TAL"/>
              <w:rPr>
                <w:sz w:val="16"/>
                <w:szCs w:val="16"/>
              </w:rPr>
            </w:pPr>
            <w:r w:rsidRPr="00873B6C">
              <w:rPr>
                <w:sz w:val="16"/>
                <w:szCs w:val="16"/>
              </w:rPr>
              <w:t>1</w:t>
            </w:r>
          </w:p>
        </w:tc>
        <w:tc>
          <w:tcPr>
            <w:tcW w:w="425" w:type="dxa"/>
            <w:shd w:val="solid" w:color="FFFFFF" w:fill="auto"/>
          </w:tcPr>
          <w:p w14:paraId="244A5602" w14:textId="00F3E4EA" w:rsidR="00120E23" w:rsidRPr="00873B6C" w:rsidRDefault="00120E23" w:rsidP="002C4A81">
            <w:pPr>
              <w:pStyle w:val="TAL"/>
              <w:rPr>
                <w:sz w:val="16"/>
                <w:szCs w:val="16"/>
              </w:rPr>
            </w:pPr>
            <w:r w:rsidRPr="00873B6C">
              <w:rPr>
                <w:sz w:val="16"/>
                <w:szCs w:val="16"/>
              </w:rPr>
              <w:t>B</w:t>
            </w:r>
          </w:p>
        </w:tc>
        <w:tc>
          <w:tcPr>
            <w:tcW w:w="4820" w:type="dxa"/>
            <w:shd w:val="solid" w:color="FFFFFF" w:fill="auto"/>
          </w:tcPr>
          <w:p w14:paraId="52D248B1" w14:textId="27A185D4" w:rsidR="00120E23" w:rsidRPr="00873B6C" w:rsidRDefault="00120E23" w:rsidP="002C4A81">
            <w:pPr>
              <w:pStyle w:val="TAL"/>
              <w:rPr>
                <w:sz w:val="16"/>
                <w:szCs w:val="16"/>
              </w:rPr>
            </w:pPr>
            <w:r w:rsidRPr="00873B6C">
              <w:rPr>
                <w:sz w:val="16"/>
                <w:szCs w:val="16"/>
              </w:rPr>
              <w:t>UPF discovery and Selection for DetNet</w:t>
            </w:r>
          </w:p>
        </w:tc>
        <w:tc>
          <w:tcPr>
            <w:tcW w:w="708" w:type="dxa"/>
            <w:shd w:val="solid" w:color="FFFFFF" w:fill="auto"/>
          </w:tcPr>
          <w:p w14:paraId="683B9074" w14:textId="7A97DEEB" w:rsidR="00120E23" w:rsidRPr="00873B6C" w:rsidRDefault="00120E23" w:rsidP="002C4A81">
            <w:pPr>
              <w:pStyle w:val="TAC"/>
              <w:rPr>
                <w:sz w:val="16"/>
                <w:szCs w:val="16"/>
              </w:rPr>
            </w:pPr>
            <w:r w:rsidRPr="00873B6C">
              <w:rPr>
                <w:sz w:val="16"/>
                <w:szCs w:val="16"/>
              </w:rPr>
              <w:t>18.2.0</w:t>
            </w:r>
          </w:p>
        </w:tc>
      </w:tr>
      <w:tr w:rsidR="00120E23" w:rsidRPr="00873B6C" w14:paraId="247B2913" w14:textId="77777777" w:rsidTr="009D14FB">
        <w:tc>
          <w:tcPr>
            <w:tcW w:w="800" w:type="dxa"/>
            <w:shd w:val="solid" w:color="FFFFFF" w:fill="auto"/>
          </w:tcPr>
          <w:p w14:paraId="1B117E52" w14:textId="23E3762D"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0927DF71" w14:textId="68395FA2"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59B3A8BF" w14:textId="660921B2" w:rsidR="00120E23" w:rsidRPr="00873B6C" w:rsidRDefault="00120E23" w:rsidP="002C4A81">
            <w:pPr>
              <w:pStyle w:val="TAC"/>
              <w:rPr>
                <w:sz w:val="16"/>
                <w:szCs w:val="16"/>
              </w:rPr>
            </w:pPr>
            <w:r w:rsidRPr="00873B6C">
              <w:rPr>
                <w:sz w:val="16"/>
                <w:szCs w:val="16"/>
              </w:rPr>
              <w:t>SP-230484</w:t>
            </w:r>
          </w:p>
        </w:tc>
        <w:tc>
          <w:tcPr>
            <w:tcW w:w="567" w:type="dxa"/>
            <w:shd w:val="solid" w:color="FFFFFF" w:fill="auto"/>
          </w:tcPr>
          <w:p w14:paraId="5C5D9827" w14:textId="7C16A808" w:rsidR="00120E23" w:rsidRPr="00873B6C" w:rsidRDefault="00120E23" w:rsidP="002C4A81">
            <w:pPr>
              <w:pStyle w:val="TAL"/>
              <w:rPr>
                <w:sz w:val="16"/>
                <w:szCs w:val="16"/>
              </w:rPr>
            </w:pPr>
            <w:r w:rsidRPr="00873B6C">
              <w:rPr>
                <w:sz w:val="16"/>
                <w:szCs w:val="16"/>
              </w:rPr>
              <w:t>4284</w:t>
            </w:r>
          </w:p>
        </w:tc>
        <w:tc>
          <w:tcPr>
            <w:tcW w:w="425" w:type="dxa"/>
            <w:shd w:val="solid" w:color="FFFFFF" w:fill="auto"/>
          </w:tcPr>
          <w:p w14:paraId="0DA2F82C" w14:textId="0C39477A" w:rsidR="00120E23" w:rsidRPr="00873B6C" w:rsidRDefault="00120E23" w:rsidP="002C4A81">
            <w:pPr>
              <w:pStyle w:val="TAL"/>
              <w:rPr>
                <w:sz w:val="16"/>
                <w:szCs w:val="16"/>
              </w:rPr>
            </w:pPr>
            <w:r w:rsidRPr="00873B6C">
              <w:rPr>
                <w:sz w:val="16"/>
                <w:szCs w:val="16"/>
              </w:rPr>
              <w:t>7</w:t>
            </w:r>
          </w:p>
        </w:tc>
        <w:tc>
          <w:tcPr>
            <w:tcW w:w="425" w:type="dxa"/>
            <w:shd w:val="solid" w:color="FFFFFF" w:fill="auto"/>
          </w:tcPr>
          <w:p w14:paraId="401767F5" w14:textId="0C77BD82" w:rsidR="00120E23" w:rsidRPr="00873B6C" w:rsidRDefault="00120E23" w:rsidP="002C4A81">
            <w:pPr>
              <w:pStyle w:val="TAL"/>
              <w:rPr>
                <w:sz w:val="16"/>
                <w:szCs w:val="16"/>
              </w:rPr>
            </w:pPr>
            <w:r w:rsidRPr="00873B6C">
              <w:rPr>
                <w:sz w:val="16"/>
                <w:szCs w:val="16"/>
              </w:rPr>
              <w:t>C</w:t>
            </w:r>
          </w:p>
        </w:tc>
        <w:tc>
          <w:tcPr>
            <w:tcW w:w="4820" w:type="dxa"/>
            <w:shd w:val="solid" w:color="FFFFFF" w:fill="auto"/>
          </w:tcPr>
          <w:p w14:paraId="5CFBEFC7" w14:textId="68ADE1D1" w:rsidR="00120E23" w:rsidRPr="00873B6C" w:rsidRDefault="00120E23" w:rsidP="002C4A81">
            <w:pPr>
              <w:pStyle w:val="TAL"/>
              <w:rPr>
                <w:sz w:val="16"/>
                <w:szCs w:val="16"/>
              </w:rPr>
            </w:pPr>
            <w:r w:rsidRPr="00873B6C">
              <w:rPr>
                <w:sz w:val="16"/>
                <w:szCs w:val="16"/>
              </w:rPr>
              <w:t>Clarifying SMF behaviour for non-3GPP delay budget</w:t>
            </w:r>
          </w:p>
        </w:tc>
        <w:tc>
          <w:tcPr>
            <w:tcW w:w="708" w:type="dxa"/>
            <w:shd w:val="solid" w:color="FFFFFF" w:fill="auto"/>
          </w:tcPr>
          <w:p w14:paraId="482A93F6" w14:textId="71BCF49A" w:rsidR="00120E23" w:rsidRPr="00873B6C" w:rsidRDefault="00120E23" w:rsidP="002C4A81">
            <w:pPr>
              <w:pStyle w:val="TAC"/>
              <w:rPr>
                <w:sz w:val="16"/>
                <w:szCs w:val="16"/>
              </w:rPr>
            </w:pPr>
            <w:r w:rsidRPr="00873B6C">
              <w:rPr>
                <w:sz w:val="16"/>
                <w:szCs w:val="16"/>
              </w:rPr>
              <w:t>18.2.0</w:t>
            </w:r>
          </w:p>
        </w:tc>
      </w:tr>
      <w:tr w:rsidR="00120E23" w:rsidRPr="00873B6C" w14:paraId="5135A4DE" w14:textId="77777777" w:rsidTr="009D14FB">
        <w:tc>
          <w:tcPr>
            <w:tcW w:w="800" w:type="dxa"/>
            <w:shd w:val="solid" w:color="FFFFFF" w:fill="auto"/>
          </w:tcPr>
          <w:p w14:paraId="0A4E8EF1" w14:textId="1202CB11"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02CE7079" w14:textId="10350CAB"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44BD78EB" w14:textId="2F9BD9F4" w:rsidR="00120E23" w:rsidRPr="00873B6C" w:rsidRDefault="00120E23" w:rsidP="002C4A81">
            <w:pPr>
              <w:pStyle w:val="TAC"/>
              <w:rPr>
                <w:sz w:val="16"/>
                <w:szCs w:val="16"/>
              </w:rPr>
            </w:pPr>
            <w:r w:rsidRPr="00873B6C">
              <w:rPr>
                <w:sz w:val="16"/>
                <w:szCs w:val="16"/>
              </w:rPr>
              <w:t>SP-230484</w:t>
            </w:r>
          </w:p>
        </w:tc>
        <w:tc>
          <w:tcPr>
            <w:tcW w:w="567" w:type="dxa"/>
            <w:shd w:val="solid" w:color="FFFFFF" w:fill="auto"/>
          </w:tcPr>
          <w:p w14:paraId="33D4BA99" w14:textId="5E33A628" w:rsidR="00120E23" w:rsidRPr="00873B6C" w:rsidRDefault="00120E23" w:rsidP="002C4A81">
            <w:pPr>
              <w:pStyle w:val="TAL"/>
              <w:rPr>
                <w:sz w:val="16"/>
                <w:szCs w:val="16"/>
              </w:rPr>
            </w:pPr>
            <w:r w:rsidRPr="00873B6C">
              <w:rPr>
                <w:sz w:val="16"/>
                <w:szCs w:val="16"/>
              </w:rPr>
              <w:t>4287</w:t>
            </w:r>
          </w:p>
        </w:tc>
        <w:tc>
          <w:tcPr>
            <w:tcW w:w="425" w:type="dxa"/>
            <w:shd w:val="solid" w:color="FFFFFF" w:fill="auto"/>
          </w:tcPr>
          <w:p w14:paraId="0307474B" w14:textId="7E7A228C" w:rsidR="00120E23" w:rsidRPr="00873B6C" w:rsidRDefault="00120E23" w:rsidP="002C4A81">
            <w:pPr>
              <w:pStyle w:val="TAL"/>
              <w:rPr>
                <w:sz w:val="16"/>
                <w:szCs w:val="16"/>
              </w:rPr>
            </w:pPr>
            <w:r w:rsidRPr="00873B6C">
              <w:rPr>
                <w:sz w:val="16"/>
                <w:szCs w:val="16"/>
              </w:rPr>
              <w:t>6</w:t>
            </w:r>
          </w:p>
        </w:tc>
        <w:tc>
          <w:tcPr>
            <w:tcW w:w="425" w:type="dxa"/>
            <w:shd w:val="solid" w:color="FFFFFF" w:fill="auto"/>
          </w:tcPr>
          <w:p w14:paraId="4946B534" w14:textId="2E8C42C8" w:rsidR="00120E23" w:rsidRPr="00873B6C" w:rsidRDefault="00120E23" w:rsidP="002C4A81">
            <w:pPr>
              <w:pStyle w:val="TAL"/>
              <w:rPr>
                <w:sz w:val="16"/>
                <w:szCs w:val="16"/>
              </w:rPr>
            </w:pPr>
            <w:r w:rsidRPr="00873B6C">
              <w:rPr>
                <w:sz w:val="16"/>
                <w:szCs w:val="16"/>
              </w:rPr>
              <w:t>B</w:t>
            </w:r>
          </w:p>
        </w:tc>
        <w:tc>
          <w:tcPr>
            <w:tcW w:w="4820" w:type="dxa"/>
            <w:shd w:val="solid" w:color="FFFFFF" w:fill="auto"/>
          </w:tcPr>
          <w:p w14:paraId="38A26522" w14:textId="55EAB81D" w:rsidR="00120E23" w:rsidRPr="00873B6C" w:rsidRDefault="00120E23" w:rsidP="002C4A81">
            <w:pPr>
              <w:pStyle w:val="TAL"/>
              <w:rPr>
                <w:sz w:val="16"/>
                <w:szCs w:val="16"/>
              </w:rPr>
            </w:pPr>
            <w:r w:rsidRPr="00873B6C">
              <w:rPr>
                <w:sz w:val="16"/>
                <w:szCs w:val="16"/>
              </w:rPr>
              <w:t>PIN identifiers</w:t>
            </w:r>
          </w:p>
        </w:tc>
        <w:tc>
          <w:tcPr>
            <w:tcW w:w="708" w:type="dxa"/>
            <w:shd w:val="solid" w:color="FFFFFF" w:fill="auto"/>
          </w:tcPr>
          <w:p w14:paraId="490EA0A5" w14:textId="28A618FD" w:rsidR="00120E23" w:rsidRPr="00873B6C" w:rsidRDefault="00120E23" w:rsidP="002C4A81">
            <w:pPr>
              <w:pStyle w:val="TAC"/>
              <w:rPr>
                <w:sz w:val="16"/>
                <w:szCs w:val="16"/>
              </w:rPr>
            </w:pPr>
            <w:r w:rsidRPr="00873B6C">
              <w:rPr>
                <w:sz w:val="16"/>
                <w:szCs w:val="16"/>
              </w:rPr>
              <w:t>18.2.0</w:t>
            </w:r>
          </w:p>
        </w:tc>
      </w:tr>
      <w:tr w:rsidR="00120E23" w:rsidRPr="00873B6C" w14:paraId="5D3DAEA3" w14:textId="77777777" w:rsidTr="009D14FB">
        <w:tc>
          <w:tcPr>
            <w:tcW w:w="800" w:type="dxa"/>
            <w:shd w:val="solid" w:color="FFFFFF" w:fill="auto"/>
          </w:tcPr>
          <w:p w14:paraId="35B5CF94" w14:textId="22617BC8"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1AE926FA" w14:textId="10D675F6"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7D88FFDC" w14:textId="575E6792" w:rsidR="00120E23" w:rsidRPr="00873B6C" w:rsidRDefault="00120E23" w:rsidP="002C4A81">
            <w:pPr>
              <w:pStyle w:val="TAC"/>
              <w:rPr>
                <w:sz w:val="16"/>
                <w:szCs w:val="16"/>
              </w:rPr>
            </w:pPr>
            <w:r w:rsidRPr="00873B6C">
              <w:rPr>
                <w:sz w:val="16"/>
                <w:szCs w:val="16"/>
              </w:rPr>
              <w:t>SP-230471</w:t>
            </w:r>
          </w:p>
        </w:tc>
        <w:tc>
          <w:tcPr>
            <w:tcW w:w="567" w:type="dxa"/>
            <w:shd w:val="solid" w:color="FFFFFF" w:fill="auto"/>
          </w:tcPr>
          <w:p w14:paraId="0BCCA039" w14:textId="0E780ABA" w:rsidR="00120E23" w:rsidRPr="00873B6C" w:rsidRDefault="00120E23" w:rsidP="002C4A81">
            <w:pPr>
              <w:pStyle w:val="TAL"/>
              <w:rPr>
                <w:sz w:val="16"/>
                <w:szCs w:val="16"/>
              </w:rPr>
            </w:pPr>
            <w:r w:rsidRPr="00873B6C">
              <w:rPr>
                <w:sz w:val="16"/>
                <w:szCs w:val="16"/>
              </w:rPr>
              <w:t>4288</w:t>
            </w:r>
          </w:p>
        </w:tc>
        <w:tc>
          <w:tcPr>
            <w:tcW w:w="425" w:type="dxa"/>
            <w:shd w:val="solid" w:color="FFFFFF" w:fill="auto"/>
          </w:tcPr>
          <w:p w14:paraId="442B6394" w14:textId="2E40496E" w:rsidR="00120E23" w:rsidRPr="00873B6C" w:rsidRDefault="00120E23" w:rsidP="002C4A81">
            <w:pPr>
              <w:pStyle w:val="TAL"/>
              <w:rPr>
                <w:sz w:val="16"/>
                <w:szCs w:val="16"/>
              </w:rPr>
            </w:pPr>
            <w:r w:rsidRPr="00873B6C">
              <w:rPr>
                <w:sz w:val="16"/>
                <w:szCs w:val="16"/>
              </w:rPr>
              <w:t>1</w:t>
            </w:r>
          </w:p>
        </w:tc>
        <w:tc>
          <w:tcPr>
            <w:tcW w:w="425" w:type="dxa"/>
            <w:shd w:val="solid" w:color="FFFFFF" w:fill="auto"/>
          </w:tcPr>
          <w:p w14:paraId="4F97F96F" w14:textId="734DBBDA" w:rsidR="00120E23" w:rsidRPr="00873B6C" w:rsidRDefault="00120E23" w:rsidP="002C4A81">
            <w:pPr>
              <w:pStyle w:val="TAL"/>
              <w:rPr>
                <w:sz w:val="16"/>
                <w:szCs w:val="16"/>
              </w:rPr>
            </w:pPr>
            <w:r w:rsidRPr="00873B6C">
              <w:rPr>
                <w:sz w:val="16"/>
                <w:szCs w:val="16"/>
              </w:rPr>
              <w:t>B</w:t>
            </w:r>
          </w:p>
        </w:tc>
        <w:tc>
          <w:tcPr>
            <w:tcW w:w="4820" w:type="dxa"/>
            <w:shd w:val="solid" w:color="FFFFFF" w:fill="auto"/>
          </w:tcPr>
          <w:p w14:paraId="1448FAE8" w14:textId="082C918F" w:rsidR="00120E23" w:rsidRPr="00873B6C" w:rsidRDefault="00120E23" w:rsidP="002C4A81">
            <w:pPr>
              <w:pStyle w:val="TAL"/>
              <w:rPr>
                <w:sz w:val="16"/>
                <w:szCs w:val="16"/>
              </w:rPr>
            </w:pPr>
            <w:r w:rsidRPr="00873B6C">
              <w:rPr>
                <w:sz w:val="16"/>
                <w:szCs w:val="16"/>
              </w:rPr>
              <w:t>Configuration of Credentials Holder for determining SNPN selection information (Annex N.x)</w:t>
            </w:r>
          </w:p>
        </w:tc>
        <w:tc>
          <w:tcPr>
            <w:tcW w:w="708" w:type="dxa"/>
            <w:shd w:val="solid" w:color="FFFFFF" w:fill="auto"/>
          </w:tcPr>
          <w:p w14:paraId="4ECE591E" w14:textId="30D8DC10" w:rsidR="00120E23" w:rsidRPr="00873B6C" w:rsidRDefault="00120E23" w:rsidP="002C4A81">
            <w:pPr>
              <w:pStyle w:val="TAC"/>
              <w:rPr>
                <w:sz w:val="16"/>
                <w:szCs w:val="16"/>
              </w:rPr>
            </w:pPr>
            <w:r w:rsidRPr="00873B6C">
              <w:rPr>
                <w:sz w:val="16"/>
                <w:szCs w:val="16"/>
              </w:rPr>
              <w:t>18.2.0</w:t>
            </w:r>
          </w:p>
        </w:tc>
      </w:tr>
      <w:tr w:rsidR="00FB1520" w:rsidRPr="00873B6C" w14:paraId="2B42D69C" w14:textId="77777777" w:rsidTr="009D14FB">
        <w:tc>
          <w:tcPr>
            <w:tcW w:w="800" w:type="dxa"/>
            <w:shd w:val="solid" w:color="FFFFFF" w:fill="auto"/>
          </w:tcPr>
          <w:p w14:paraId="49B72E63" w14:textId="3E2FE46E"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137B6C67" w14:textId="4E5B2DEC"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00FA5622" w14:textId="4FBA4983" w:rsidR="00FB1520" w:rsidRPr="00873B6C" w:rsidRDefault="00FB1520" w:rsidP="002C4A81">
            <w:pPr>
              <w:pStyle w:val="TAC"/>
              <w:rPr>
                <w:sz w:val="16"/>
                <w:szCs w:val="16"/>
              </w:rPr>
            </w:pPr>
            <w:r w:rsidRPr="00873B6C">
              <w:rPr>
                <w:sz w:val="16"/>
                <w:szCs w:val="16"/>
              </w:rPr>
              <w:t>SP-230452</w:t>
            </w:r>
          </w:p>
        </w:tc>
        <w:tc>
          <w:tcPr>
            <w:tcW w:w="567" w:type="dxa"/>
            <w:shd w:val="solid" w:color="FFFFFF" w:fill="auto"/>
          </w:tcPr>
          <w:p w14:paraId="1EC6F7FF" w14:textId="1AFD8809" w:rsidR="00FB1520" w:rsidRPr="00873B6C" w:rsidRDefault="00FB1520" w:rsidP="002C4A81">
            <w:pPr>
              <w:pStyle w:val="TAL"/>
              <w:rPr>
                <w:sz w:val="16"/>
                <w:szCs w:val="16"/>
              </w:rPr>
            </w:pPr>
            <w:r w:rsidRPr="00873B6C">
              <w:rPr>
                <w:sz w:val="16"/>
                <w:szCs w:val="16"/>
              </w:rPr>
              <w:t>4293</w:t>
            </w:r>
          </w:p>
        </w:tc>
        <w:tc>
          <w:tcPr>
            <w:tcW w:w="425" w:type="dxa"/>
            <w:shd w:val="solid" w:color="FFFFFF" w:fill="auto"/>
          </w:tcPr>
          <w:p w14:paraId="5224BA78" w14:textId="0B5877D2"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661261D9" w14:textId="5BF96FC1" w:rsidR="00FB1520" w:rsidRPr="00873B6C" w:rsidRDefault="00FB1520" w:rsidP="002C4A81">
            <w:pPr>
              <w:pStyle w:val="TAL"/>
              <w:rPr>
                <w:sz w:val="16"/>
                <w:szCs w:val="16"/>
              </w:rPr>
            </w:pPr>
            <w:r w:rsidRPr="00873B6C">
              <w:rPr>
                <w:sz w:val="16"/>
                <w:szCs w:val="16"/>
              </w:rPr>
              <w:t>B</w:t>
            </w:r>
          </w:p>
        </w:tc>
        <w:tc>
          <w:tcPr>
            <w:tcW w:w="4820" w:type="dxa"/>
            <w:shd w:val="solid" w:color="FFFFFF" w:fill="auto"/>
          </w:tcPr>
          <w:p w14:paraId="6A40B8AB" w14:textId="0B412F5C" w:rsidR="00FB1520" w:rsidRPr="00873B6C" w:rsidRDefault="00FB1520" w:rsidP="002C4A81">
            <w:pPr>
              <w:pStyle w:val="TAL"/>
              <w:rPr>
                <w:sz w:val="16"/>
                <w:szCs w:val="16"/>
              </w:rPr>
            </w:pPr>
            <w:r w:rsidRPr="00873B6C">
              <w:rPr>
                <w:sz w:val="16"/>
                <w:szCs w:val="16"/>
              </w:rPr>
              <w:t>Update the descriptions for supporting Edge Computing on satellite</w:t>
            </w:r>
          </w:p>
        </w:tc>
        <w:tc>
          <w:tcPr>
            <w:tcW w:w="708" w:type="dxa"/>
            <w:shd w:val="solid" w:color="FFFFFF" w:fill="auto"/>
          </w:tcPr>
          <w:p w14:paraId="4FF9551B" w14:textId="5EC293A4" w:rsidR="00FB1520" w:rsidRPr="00873B6C" w:rsidRDefault="00FB1520" w:rsidP="002C4A81">
            <w:pPr>
              <w:pStyle w:val="TAC"/>
              <w:rPr>
                <w:sz w:val="16"/>
                <w:szCs w:val="16"/>
              </w:rPr>
            </w:pPr>
            <w:r w:rsidRPr="00873B6C">
              <w:rPr>
                <w:sz w:val="16"/>
                <w:szCs w:val="16"/>
              </w:rPr>
              <w:t>18.2.0</w:t>
            </w:r>
          </w:p>
        </w:tc>
      </w:tr>
      <w:tr w:rsidR="00FB1520" w:rsidRPr="00873B6C" w14:paraId="6D24D3C2" w14:textId="77777777" w:rsidTr="009D14FB">
        <w:tc>
          <w:tcPr>
            <w:tcW w:w="800" w:type="dxa"/>
            <w:shd w:val="solid" w:color="FFFFFF" w:fill="auto"/>
          </w:tcPr>
          <w:p w14:paraId="0C804A2C" w14:textId="38DCB9C1"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30AA206D" w14:textId="06CEF9C2"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09AAB00C" w14:textId="3280A625" w:rsidR="00FB1520" w:rsidRPr="00873B6C" w:rsidRDefault="00FB1520" w:rsidP="002C4A81">
            <w:pPr>
              <w:pStyle w:val="TAC"/>
              <w:rPr>
                <w:sz w:val="16"/>
                <w:szCs w:val="16"/>
              </w:rPr>
            </w:pPr>
            <w:r w:rsidRPr="00873B6C">
              <w:rPr>
                <w:sz w:val="16"/>
                <w:szCs w:val="16"/>
              </w:rPr>
              <w:t>SP-230497</w:t>
            </w:r>
          </w:p>
        </w:tc>
        <w:tc>
          <w:tcPr>
            <w:tcW w:w="567" w:type="dxa"/>
            <w:shd w:val="solid" w:color="FFFFFF" w:fill="auto"/>
          </w:tcPr>
          <w:p w14:paraId="7430638B" w14:textId="4D503662" w:rsidR="00FB1520" w:rsidRPr="00873B6C" w:rsidRDefault="00FB1520" w:rsidP="002C4A81">
            <w:pPr>
              <w:pStyle w:val="TAL"/>
              <w:rPr>
                <w:sz w:val="16"/>
                <w:szCs w:val="16"/>
              </w:rPr>
            </w:pPr>
            <w:r w:rsidRPr="00873B6C">
              <w:rPr>
                <w:sz w:val="16"/>
                <w:szCs w:val="16"/>
              </w:rPr>
              <w:t>4294</w:t>
            </w:r>
          </w:p>
        </w:tc>
        <w:tc>
          <w:tcPr>
            <w:tcW w:w="425" w:type="dxa"/>
            <w:shd w:val="solid" w:color="FFFFFF" w:fill="auto"/>
          </w:tcPr>
          <w:p w14:paraId="7F67CB9F" w14:textId="19431C34" w:rsidR="00FB1520" w:rsidRPr="00873B6C" w:rsidRDefault="00FB1520" w:rsidP="002C4A81">
            <w:pPr>
              <w:pStyle w:val="TAL"/>
              <w:rPr>
                <w:sz w:val="16"/>
                <w:szCs w:val="16"/>
              </w:rPr>
            </w:pPr>
            <w:r w:rsidRPr="00873B6C">
              <w:rPr>
                <w:sz w:val="16"/>
                <w:szCs w:val="16"/>
              </w:rPr>
              <w:t>3</w:t>
            </w:r>
          </w:p>
        </w:tc>
        <w:tc>
          <w:tcPr>
            <w:tcW w:w="425" w:type="dxa"/>
            <w:shd w:val="solid" w:color="FFFFFF" w:fill="auto"/>
          </w:tcPr>
          <w:p w14:paraId="4BFB83FA" w14:textId="3E9DBF1F" w:rsidR="00FB1520" w:rsidRPr="00873B6C" w:rsidRDefault="00FB1520" w:rsidP="002C4A81">
            <w:pPr>
              <w:pStyle w:val="TAL"/>
              <w:rPr>
                <w:sz w:val="16"/>
                <w:szCs w:val="16"/>
              </w:rPr>
            </w:pPr>
            <w:r w:rsidRPr="00873B6C">
              <w:rPr>
                <w:sz w:val="16"/>
                <w:szCs w:val="16"/>
              </w:rPr>
              <w:t>C</w:t>
            </w:r>
          </w:p>
        </w:tc>
        <w:tc>
          <w:tcPr>
            <w:tcW w:w="4820" w:type="dxa"/>
            <w:shd w:val="solid" w:color="FFFFFF" w:fill="auto"/>
          </w:tcPr>
          <w:p w14:paraId="0B02F959" w14:textId="44B9E5FF" w:rsidR="00FB1520" w:rsidRPr="00873B6C" w:rsidRDefault="00FB1520" w:rsidP="002C4A81">
            <w:pPr>
              <w:pStyle w:val="TAL"/>
              <w:rPr>
                <w:sz w:val="16"/>
                <w:szCs w:val="16"/>
              </w:rPr>
            </w:pPr>
            <w:r w:rsidRPr="00873B6C">
              <w:rPr>
                <w:sz w:val="16"/>
                <w:szCs w:val="16"/>
              </w:rPr>
              <w:t xml:space="preserve">QoS Monitoring and 5GS information exposure update </w:t>
            </w:r>
          </w:p>
        </w:tc>
        <w:tc>
          <w:tcPr>
            <w:tcW w:w="708" w:type="dxa"/>
            <w:shd w:val="solid" w:color="FFFFFF" w:fill="auto"/>
          </w:tcPr>
          <w:p w14:paraId="0C24718D" w14:textId="2AB94A65" w:rsidR="00FB1520" w:rsidRPr="00873B6C" w:rsidRDefault="00FB1520" w:rsidP="002C4A81">
            <w:pPr>
              <w:pStyle w:val="TAC"/>
              <w:rPr>
                <w:sz w:val="16"/>
                <w:szCs w:val="16"/>
              </w:rPr>
            </w:pPr>
            <w:r w:rsidRPr="00873B6C">
              <w:rPr>
                <w:sz w:val="16"/>
                <w:szCs w:val="16"/>
              </w:rPr>
              <w:t>18.2.0</w:t>
            </w:r>
          </w:p>
        </w:tc>
      </w:tr>
      <w:tr w:rsidR="00FB1520" w:rsidRPr="00873B6C" w14:paraId="385B1F5B" w14:textId="77777777" w:rsidTr="009D14FB">
        <w:tc>
          <w:tcPr>
            <w:tcW w:w="800" w:type="dxa"/>
            <w:shd w:val="solid" w:color="FFFFFF" w:fill="auto"/>
          </w:tcPr>
          <w:p w14:paraId="2CD129C5" w14:textId="1ACEBB08"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6F3C3C50" w14:textId="07E9D4A3"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74E2A96B" w14:textId="363A9416" w:rsidR="00FB1520" w:rsidRPr="00873B6C" w:rsidRDefault="00FB1520" w:rsidP="002C4A81">
            <w:pPr>
              <w:pStyle w:val="TAC"/>
              <w:rPr>
                <w:sz w:val="16"/>
                <w:szCs w:val="16"/>
              </w:rPr>
            </w:pPr>
            <w:r w:rsidRPr="00873B6C">
              <w:rPr>
                <w:sz w:val="16"/>
                <w:szCs w:val="16"/>
              </w:rPr>
              <w:t>SP-230471</w:t>
            </w:r>
          </w:p>
        </w:tc>
        <w:tc>
          <w:tcPr>
            <w:tcW w:w="567" w:type="dxa"/>
            <w:shd w:val="solid" w:color="FFFFFF" w:fill="auto"/>
          </w:tcPr>
          <w:p w14:paraId="368A5E7D" w14:textId="308F2391" w:rsidR="00FB1520" w:rsidRPr="00873B6C" w:rsidRDefault="00FB1520" w:rsidP="002C4A81">
            <w:pPr>
              <w:pStyle w:val="TAL"/>
              <w:rPr>
                <w:sz w:val="16"/>
                <w:szCs w:val="16"/>
              </w:rPr>
            </w:pPr>
            <w:r w:rsidRPr="00873B6C">
              <w:rPr>
                <w:sz w:val="16"/>
                <w:szCs w:val="16"/>
              </w:rPr>
              <w:t>4300</w:t>
            </w:r>
          </w:p>
        </w:tc>
        <w:tc>
          <w:tcPr>
            <w:tcW w:w="425" w:type="dxa"/>
            <w:shd w:val="solid" w:color="FFFFFF" w:fill="auto"/>
          </w:tcPr>
          <w:p w14:paraId="7557BB8C" w14:textId="7E544DE9"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41C2D768" w14:textId="033DD47E" w:rsidR="00FB1520" w:rsidRPr="00873B6C" w:rsidRDefault="00FB1520" w:rsidP="002C4A81">
            <w:pPr>
              <w:pStyle w:val="TAL"/>
              <w:rPr>
                <w:sz w:val="16"/>
                <w:szCs w:val="16"/>
              </w:rPr>
            </w:pPr>
            <w:r w:rsidRPr="00873B6C">
              <w:rPr>
                <w:sz w:val="16"/>
                <w:szCs w:val="16"/>
              </w:rPr>
              <w:t>F</w:t>
            </w:r>
          </w:p>
        </w:tc>
        <w:tc>
          <w:tcPr>
            <w:tcW w:w="4820" w:type="dxa"/>
            <w:shd w:val="solid" w:color="FFFFFF" w:fill="auto"/>
          </w:tcPr>
          <w:p w14:paraId="6ACE79D6" w14:textId="760D882A" w:rsidR="00FB1520" w:rsidRPr="00873B6C" w:rsidRDefault="00FB1520" w:rsidP="002C4A81">
            <w:pPr>
              <w:pStyle w:val="TAL"/>
              <w:rPr>
                <w:sz w:val="16"/>
                <w:szCs w:val="16"/>
              </w:rPr>
            </w:pPr>
            <w:r w:rsidRPr="00873B6C">
              <w:rPr>
                <w:sz w:val="16"/>
                <w:szCs w:val="16"/>
              </w:rPr>
              <w:t>N3IWF selection for emergency services for UE not equipped with valid SNPN credentials</w:t>
            </w:r>
          </w:p>
        </w:tc>
        <w:tc>
          <w:tcPr>
            <w:tcW w:w="708" w:type="dxa"/>
            <w:shd w:val="solid" w:color="FFFFFF" w:fill="auto"/>
          </w:tcPr>
          <w:p w14:paraId="0E24E468" w14:textId="002D9B6A" w:rsidR="00FB1520" w:rsidRPr="00873B6C" w:rsidRDefault="00FB1520" w:rsidP="002C4A81">
            <w:pPr>
              <w:pStyle w:val="TAC"/>
              <w:rPr>
                <w:sz w:val="16"/>
                <w:szCs w:val="16"/>
              </w:rPr>
            </w:pPr>
            <w:r w:rsidRPr="00873B6C">
              <w:rPr>
                <w:sz w:val="16"/>
                <w:szCs w:val="16"/>
              </w:rPr>
              <w:t>18.2.0</w:t>
            </w:r>
          </w:p>
        </w:tc>
      </w:tr>
      <w:tr w:rsidR="00FB1520" w:rsidRPr="00873B6C" w14:paraId="50789B4A" w14:textId="77777777" w:rsidTr="009D14FB">
        <w:tc>
          <w:tcPr>
            <w:tcW w:w="800" w:type="dxa"/>
            <w:shd w:val="solid" w:color="FFFFFF" w:fill="auto"/>
          </w:tcPr>
          <w:p w14:paraId="1659C752" w14:textId="3DEA54A1"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0D4046FF" w14:textId="61BD69CC"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75F04C92" w14:textId="1F2A06ED" w:rsidR="00FB1520" w:rsidRPr="00873B6C" w:rsidRDefault="00FB1520" w:rsidP="002C4A81">
            <w:pPr>
              <w:pStyle w:val="TAC"/>
              <w:rPr>
                <w:sz w:val="16"/>
                <w:szCs w:val="16"/>
              </w:rPr>
            </w:pPr>
            <w:r w:rsidRPr="00873B6C">
              <w:rPr>
                <w:sz w:val="16"/>
                <w:szCs w:val="16"/>
              </w:rPr>
              <w:t>SP-230451</w:t>
            </w:r>
          </w:p>
        </w:tc>
        <w:tc>
          <w:tcPr>
            <w:tcW w:w="567" w:type="dxa"/>
            <w:shd w:val="solid" w:color="FFFFFF" w:fill="auto"/>
          </w:tcPr>
          <w:p w14:paraId="1EB67620" w14:textId="3A9091A0" w:rsidR="00FB1520" w:rsidRPr="00873B6C" w:rsidRDefault="00FB1520" w:rsidP="002C4A81">
            <w:pPr>
              <w:pStyle w:val="TAL"/>
              <w:rPr>
                <w:sz w:val="16"/>
                <w:szCs w:val="16"/>
              </w:rPr>
            </w:pPr>
            <w:r w:rsidRPr="00873B6C">
              <w:rPr>
                <w:sz w:val="16"/>
                <w:szCs w:val="16"/>
              </w:rPr>
              <w:t>4302</w:t>
            </w:r>
          </w:p>
        </w:tc>
        <w:tc>
          <w:tcPr>
            <w:tcW w:w="425" w:type="dxa"/>
            <w:shd w:val="solid" w:color="FFFFFF" w:fill="auto"/>
          </w:tcPr>
          <w:p w14:paraId="58DE717B" w14:textId="572F6AC9"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68B45CF0" w14:textId="51207BAF" w:rsidR="00FB1520" w:rsidRPr="00873B6C" w:rsidRDefault="00FB1520" w:rsidP="002C4A81">
            <w:pPr>
              <w:pStyle w:val="TAL"/>
              <w:rPr>
                <w:sz w:val="16"/>
                <w:szCs w:val="16"/>
              </w:rPr>
            </w:pPr>
            <w:r w:rsidRPr="00873B6C">
              <w:rPr>
                <w:sz w:val="16"/>
                <w:szCs w:val="16"/>
              </w:rPr>
              <w:t>B</w:t>
            </w:r>
          </w:p>
        </w:tc>
        <w:tc>
          <w:tcPr>
            <w:tcW w:w="4820" w:type="dxa"/>
            <w:shd w:val="solid" w:color="FFFFFF" w:fill="auto"/>
          </w:tcPr>
          <w:p w14:paraId="6A5E5A8C" w14:textId="6635BA2B" w:rsidR="00FB1520" w:rsidRPr="00873B6C" w:rsidRDefault="00FB1520" w:rsidP="002C4A81">
            <w:pPr>
              <w:pStyle w:val="TAL"/>
              <w:rPr>
                <w:sz w:val="16"/>
                <w:szCs w:val="16"/>
              </w:rPr>
            </w:pPr>
            <w:r w:rsidRPr="00873B6C">
              <w:rPr>
                <w:sz w:val="16"/>
                <w:szCs w:val="16"/>
              </w:rPr>
              <w:t>Provisioning Satellite Coverage Availability to the AMF</w:t>
            </w:r>
          </w:p>
        </w:tc>
        <w:tc>
          <w:tcPr>
            <w:tcW w:w="708" w:type="dxa"/>
            <w:shd w:val="solid" w:color="FFFFFF" w:fill="auto"/>
          </w:tcPr>
          <w:p w14:paraId="40C49443" w14:textId="3633FC68" w:rsidR="00FB1520" w:rsidRPr="00873B6C" w:rsidRDefault="00FB1520" w:rsidP="002C4A81">
            <w:pPr>
              <w:pStyle w:val="TAC"/>
              <w:rPr>
                <w:sz w:val="16"/>
                <w:szCs w:val="16"/>
              </w:rPr>
            </w:pPr>
            <w:r w:rsidRPr="00873B6C">
              <w:rPr>
                <w:sz w:val="16"/>
                <w:szCs w:val="16"/>
              </w:rPr>
              <w:t>18.2.0</w:t>
            </w:r>
          </w:p>
        </w:tc>
      </w:tr>
      <w:tr w:rsidR="00FB1520" w:rsidRPr="00873B6C" w14:paraId="7C1C2CD1" w14:textId="77777777" w:rsidTr="009D14FB">
        <w:tc>
          <w:tcPr>
            <w:tcW w:w="800" w:type="dxa"/>
            <w:shd w:val="solid" w:color="FFFFFF" w:fill="auto"/>
          </w:tcPr>
          <w:p w14:paraId="36A1AD45" w14:textId="5FF03BFE"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738100C3" w14:textId="1E3A7909"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37072ABB" w14:textId="0E2B8C94" w:rsidR="00FB1520" w:rsidRPr="00873B6C" w:rsidRDefault="00FB1520" w:rsidP="002C4A81">
            <w:pPr>
              <w:pStyle w:val="TAC"/>
              <w:rPr>
                <w:sz w:val="16"/>
                <w:szCs w:val="16"/>
              </w:rPr>
            </w:pPr>
            <w:r w:rsidRPr="00873B6C">
              <w:rPr>
                <w:sz w:val="16"/>
                <w:szCs w:val="16"/>
              </w:rPr>
              <w:t>SP-230478</w:t>
            </w:r>
          </w:p>
        </w:tc>
        <w:tc>
          <w:tcPr>
            <w:tcW w:w="567" w:type="dxa"/>
            <w:shd w:val="solid" w:color="FFFFFF" w:fill="auto"/>
          </w:tcPr>
          <w:p w14:paraId="28FF255F" w14:textId="4442081D" w:rsidR="00FB1520" w:rsidRPr="00873B6C" w:rsidRDefault="00FB1520" w:rsidP="002C4A81">
            <w:pPr>
              <w:pStyle w:val="TAL"/>
              <w:rPr>
                <w:sz w:val="16"/>
                <w:szCs w:val="16"/>
              </w:rPr>
            </w:pPr>
            <w:r w:rsidRPr="00873B6C">
              <w:rPr>
                <w:sz w:val="16"/>
                <w:szCs w:val="16"/>
              </w:rPr>
              <w:t>4306</w:t>
            </w:r>
          </w:p>
        </w:tc>
        <w:tc>
          <w:tcPr>
            <w:tcW w:w="425" w:type="dxa"/>
            <w:shd w:val="solid" w:color="FFFFFF" w:fill="auto"/>
          </w:tcPr>
          <w:p w14:paraId="5F497464" w14:textId="343E2311"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20031A17" w14:textId="4ED4178B" w:rsidR="00FB1520" w:rsidRPr="00873B6C" w:rsidRDefault="00FB1520" w:rsidP="002C4A81">
            <w:pPr>
              <w:pStyle w:val="TAL"/>
              <w:rPr>
                <w:sz w:val="16"/>
                <w:szCs w:val="16"/>
              </w:rPr>
            </w:pPr>
            <w:r w:rsidRPr="00873B6C">
              <w:rPr>
                <w:sz w:val="16"/>
                <w:szCs w:val="16"/>
              </w:rPr>
              <w:t>B</w:t>
            </w:r>
          </w:p>
        </w:tc>
        <w:tc>
          <w:tcPr>
            <w:tcW w:w="4820" w:type="dxa"/>
            <w:shd w:val="solid" w:color="FFFFFF" w:fill="auto"/>
          </w:tcPr>
          <w:p w14:paraId="320C9E34" w14:textId="39981D91" w:rsidR="00FB1520" w:rsidRPr="00873B6C" w:rsidRDefault="00FB1520" w:rsidP="002C4A81">
            <w:pPr>
              <w:pStyle w:val="TAL"/>
              <w:rPr>
                <w:sz w:val="16"/>
                <w:szCs w:val="16"/>
              </w:rPr>
            </w:pPr>
            <w:r w:rsidRPr="00873B6C">
              <w:rPr>
                <w:sz w:val="16"/>
                <w:szCs w:val="16"/>
              </w:rPr>
              <w:t>Support for 5G VN group with multiple SMF(Set)s</w:t>
            </w:r>
          </w:p>
        </w:tc>
        <w:tc>
          <w:tcPr>
            <w:tcW w:w="708" w:type="dxa"/>
            <w:shd w:val="solid" w:color="FFFFFF" w:fill="auto"/>
          </w:tcPr>
          <w:p w14:paraId="291DED0F" w14:textId="1BB31700" w:rsidR="00FB1520" w:rsidRPr="00873B6C" w:rsidRDefault="00FB1520" w:rsidP="002C4A81">
            <w:pPr>
              <w:pStyle w:val="TAC"/>
              <w:rPr>
                <w:sz w:val="16"/>
                <w:szCs w:val="16"/>
              </w:rPr>
            </w:pPr>
            <w:r w:rsidRPr="00873B6C">
              <w:rPr>
                <w:sz w:val="16"/>
                <w:szCs w:val="16"/>
              </w:rPr>
              <w:t>18.2.0</w:t>
            </w:r>
          </w:p>
        </w:tc>
      </w:tr>
      <w:tr w:rsidR="00FB1520" w:rsidRPr="00873B6C" w14:paraId="5F525EBB" w14:textId="77777777" w:rsidTr="009D14FB">
        <w:tc>
          <w:tcPr>
            <w:tcW w:w="800" w:type="dxa"/>
            <w:shd w:val="solid" w:color="FFFFFF" w:fill="auto"/>
          </w:tcPr>
          <w:p w14:paraId="065D484A" w14:textId="760917D4"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43AAED7D" w14:textId="55E40F6F"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0F65AD81" w14:textId="63451F8F" w:rsidR="00FB1520" w:rsidRPr="00873B6C" w:rsidRDefault="00FB1520" w:rsidP="002C4A81">
            <w:pPr>
              <w:pStyle w:val="TAC"/>
              <w:rPr>
                <w:sz w:val="16"/>
                <w:szCs w:val="16"/>
              </w:rPr>
            </w:pPr>
            <w:r w:rsidRPr="00873B6C">
              <w:rPr>
                <w:sz w:val="16"/>
                <w:szCs w:val="16"/>
              </w:rPr>
              <w:t>SP-230478</w:t>
            </w:r>
          </w:p>
        </w:tc>
        <w:tc>
          <w:tcPr>
            <w:tcW w:w="567" w:type="dxa"/>
            <w:shd w:val="solid" w:color="FFFFFF" w:fill="auto"/>
          </w:tcPr>
          <w:p w14:paraId="4ABDE037" w14:textId="2930F310" w:rsidR="00FB1520" w:rsidRPr="00873B6C" w:rsidRDefault="00FB1520" w:rsidP="002C4A81">
            <w:pPr>
              <w:pStyle w:val="TAL"/>
              <w:rPr>
                <w:sz w:val="16"/>
                <w:szCs w:val="16"/>
              </w:rPr>
            </w:pPr>
            <w:r w:rsidRPr="00873B6C">
              <w:rPr>
                <w:sz w:val="16"/>
                <w:szCs w:val="16"/>
              </w:rPr>
              <w:t>4313</w:t>
            </w:r>
          </w:p>
        </w:tc>
        <w:tc>
          <w:tcPr>
            <w:tcW w:w="425" w:type="dxa"/>
            <w:shd w:val="solid" w:color="FFFFFF" w:fill="auto"/>
          </w:tcPr>
          <w:p w14:paraId="714F7A37" w14:textId="55E96934"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111080D3" w14:textId="7675D929" w:rsidR="00FB1520" w:rsidRPr="00873B6C" w:rsidRDefault="00FB1520" w:rsidP="002C4A81">
            <w:pPr>
              <w:pStyle w:val="TAL"/>
              <w:rPr>
                <w:sz w:val="16"/>
                <w:szCs w:val="16"/>
              </w:rPr>
            </w:pPr>
            <w:r w:rsidRPr="00873B6C">
              <w:rPr>
                <w:sz w:val="16"/>
                <w:szCs w:val="16"/>
              </w:rPr>
              <w:t>B</w:t>
            </w:r>
          </w:p>
        </w:tc>
        <w:tc>
          <w:tcPr>
            <w:tcW w:w="4820" w:type="dxa"/>
            <w:shd w:val="solid" w:color="FFFFFF" w:fill="auto"/>
          </w:tcPr>
          <w:p w14:paraId="412AE768" w14:textId="221901F7" w:rsidR="00FB1520" w:rsidRPr="00873B6C" w:rsidRDefault="00FB1520" w:rsidP="002C4A81">
            <w:pPr>
              <w:pStyle w:val="TAL"/>
              <w:rPr>
                <w:sz w:val="16"/>
                <w:szCs w:val="16"/>
              </w:rPr>
            </w:pPr>
            <w:r w:rsidRPr="00873B6C">
              <w:rPr>
                <w:sz w:val="16"/>
                <w:szCs w:val="16"/>
              </w:rPr>
              <w:t>KI#4 implementation of cross-SMF VN group communication</w:t>
            </w:r>
          </w:p>
        </w:tc>
        <w:tc>
          <w:tcPr>
            <w:tcW w:w="708" w:type="dxa"/>
            <w:shd w:val="solid" w:color="FFFFFF" w:fill="auto"/>
          </w:tcPr>
          <w:p w14:paraId="25FC68EF" w14:textId="346D352D" w:rsidR="00FB1520" w:rsidRPr="00873B6C" w:rsidRDefault="00FB1520" w:rsidP="002C4A81">
            <w:pPr>
              <w:pStyle w:val="TAC"/>
              <w:rPr>
                <w:sz w:val="16"/>
                <w:szCs w:val="16"/>
              </w:rPr>
            </w:pPr>
            <w:r w:rsidRPr="00873B6C">
              <w:rPr>
                <w:sz w:val="16"/>
                <w:szCs w:val="16"/>
              </w:rPr>
              <w:t>18.2.0</w:t>
            </w:r>
          </w:p>
        </w:tc>
      </w:tr>
      <w:tr w:rsidR="00354C8E" w:rsidRPr="00873B6C" w14:paraId="7C144BC4" w14:textId="77777777" w:rsidTr="009D14FB">
        <w:tc>
          <w:tcPr>
            <w:tcW w:w="800" w:type="dxa"/>
            <w:shd w:val="solid" w:color="FFFFFF" w:fill="auto"/>
          </w:tcPr>
          <w:p w14:paraId="2B8E1C14" w14:textId="31AB957D" w:rsidR="00354C8E" w:rsidRPr="00873B6C" w:rsidRDefault="00354C8E" w:rsidP="002C4A81">
            <w:pPr>
              <w:pStyle w:val="TAC"/>
              <w:rPr>
                <w:sz w:val="16"/>
                <w:szCs w:val="16"/>
              </w:rPr>
            </w:pPr>
            <w:r w:rsidRPr="00873B6C">
              <w:rPr>
                <w:sz w:val="16"/>
                <w:szCs w:val="16"/>
              </w:rPr>
              <w:lastRenderedPageBreak/>
              <w:t>2023-06</w:t>
            </w:r>
          </w:p>
        </w:tc>
        <w:tc>
          <w:tcPr>
            <w:tcW w:w="800" w:type="dxa"/>
            <w:shd w:val="solid" w:color="FFFFFF" w:fill="auto"/>
          </w:tcPr>
          <w:p w14:paraId="05D7F466" w14:textId="1E92BCD8" w:rsidR="00354C8E" w:rsidRPr="00873B6C" w:rsidRDefault="00354C8E" w:rsidP="002C4A81">
            <w:pPr>
              <w:pStyle w:val="TAL"/>
              <w:rPr>
                <w:sz w:val="16"/>
                <w:szCs w:val="16"/>
              </w:rPr>
            </w:pPr>
            <w:r w:rsidRPr="00873B6C">
              <w:rPr>
                <w:sz w:val="16"/>
                <w:szCs w:val="16"/>
              </w:rPr>
              <w:t>SP#100</w:t>
            </w:r>
          </w:p>
        </w:tc>
        <w:tc>
          <w:tcPr>
            <w:tcW w:w="1094" w:type="dxa"/>
            <w:shd w:val="solid" w:color="FFFFFF" w:fill="auto"/>
          </w:tcPr>
          <w:p w14:paraId="48C7AB52" w14:textId="545CBBF1" w:rsidR="00354C8E" w:rsidRPr="00873B6C" w:rsidRDefault="00354C8E" w:rsidP="002C4A81">
            <w:pPr>
              <w:pStyle w:val="TAC"/>
              <w:rPr>
                <w:sz w:val="16"/>
                <w:szCs w:val="16"/>
              </w:rPr>
            </w:pPr>
            <w:r w:rsidRPr="00873B6C">
              <w:rPr>
                <w:sz w:val="16"/>
                <w:szCs w:val="16"/>
              </w:rPr>
              <w:t>SP-230478</w:t>
            </w:r>
          </w:p>
        </w:tc>
        <w:tc>
          <w:tcPr>
            <w:tcW w:w="567" w:type="dxa"/>
            <w:shd w:val="solid" w:color="FFFFFF" w:fill="auto"/>
          </w:tcPr>
          <w:p w14:paraId="2F044075" w14:textId="7E637B8A" w:rsidR="00354C8E" w:rsidRPr="00873B6C" w:rsidRDefault="00354C8E" w:rsidP="002C4A81">
            <w:pPr>
              <w:pStyle w:val="TAL"/>
              <w:rPr>
                <w:sz w:val="16"/>
                <w:szCs w:val="16"/>
              </w:rPr>
            </w:pPr>
            <w:r w:rsidRPr="00873B6C">
              <w:rPr>
                <w:sz w:val="16"/>
                <w:szCs w:val="16"/>
              </w:rPr>
              <w:t>4314</w:t>
            </w:r>
          </w:p>
        </w:tc>
        <w:tc>
          <w:tcPr>
            <w:tcW w:w="425" w:type="dxa"/>
            <w:shd w:val="solid" w:color="FFFFFF" w:fill="auto"/>
          </w:tcPr>
          <w:p w14:paraId="51298FE9" w14:textId="49874B80" w:rsidR="00354C8E" w:rsidRPr="00873B6C" w:rsidRDefault="00354C8E" w:rsidP="002C4A81">
            <w:pPr>
              <w:pStyle w:val="TAL"/>
              <w:rPr>
                <w:sz w:val="16"/>
                <w:szCs w:val="16"/>
              </w:rPr>
            </w:pPr>
            <w:r w:rsidRPr="00873B6C">
              <w:rPr>
                <w:sz w:val="16"/>
                <w:szCs w:val="16"/>
              </w:rPr>
              <w:t>1</w:t>
            </w:r>
          </w:p>
        </w:tc>
        <w:tc>
          <w:tcPr>
            <w:tcW w:w="425" w:type="dxa"/>
            <w:shd w:val="solid" w:color="FFFFFF" w:fill="auto"/>
          </w:tcPr>
          <w:p w14:paraId="4282BB74" w14:textId="66685CC4" w:rsidR="00354C8E" w:rsidRPr="00873B6C" w:rsidRDefault="00354C8E" w:rsidP="002C4A81">
            <w:pPr>
              <w:pStyle w:val="TAL"/>
              <w:rPr>
                <w:sz w:val="16"/>
                <w:szCs w:val="16"/>
              </w:rPr>
            </w:pPr>
            <w:r w:rsidRPr="00873B6C">
              <w:rPr>
                <w:sz w:val="16"/>
                <w:szCs w:val="16"/>
              </w:rPr>
              <w:t>F</w:t>
            </w:r>
          </w:p>
        </w:tc>
        <w:tc>
          <w:tcPr>
            <w:tcW w:w="4820" w:type="dxa"/>
            <w:shd w:val="solid" w:color="FFFFFF" w:fill="auto"/>
          </w:tcPr>
          <w:p w14:paraId="2C5E3ADE" w14:textId="4CBBC14A" w:rsidR="00354C8E" w:rsidRPr="00873B6C" w:rsidRDefault="00354C8E" w:rsidP="002C4A81">
            <w:pPr>
              <w:pStyle w:val="TAL"/>
              <w:rPr>
                <w:sz w:val="16"/>
                <w:szCs w:val="16"/>
              </w:rPr>
            </w:pPr>
            <w:r w:rsidRPr="00873B6C">
              <w:rPr>
                <w:sz w:val="16"/>
                <w:szCs w:val="16"/>
              </w:rPr>
              <w:t>KI#5 correction on the QoS support for UE with multiple groups</w:t>
            </w:r>
          </w:p>
        </w:tc>
        <w:tc>
          <w:tcPr>
            <w:tcW w:w="708" w:type="dxa"/>
            <w:shd w:val="solid" w:color="FFFFFF" w:fill="auto"/>
          </w:tcPr>
          <w:p w14:paraId="36051570" w14:textId="59F317E9" w:rsidR="00354C8E" w:rsidRPr="00873B6C" w:rsidRDefault="00354C8E" w:rsidP="002C4A81">
            <w:pPr>
              <w:pStyle w:val="TAC"/>
              <w:rPr>
                <w:sz w:val="16"/>
                <w:szCs w:val="16"/>
              </w:rPr>
            </w:pPr>
            <w:r w:rsidRPr="00873B6C">
              <w:rPr>
                <w:sz w:val="16"/>
                <w:szCs w:val="16"/>
              </w:rPr>
              <w:t>18.2.0</w:t>
            </w:r>
          </w:p>
        </w:tc>
      </w:tr>
      <w:tr w:rsidR="00354C8E" w:rsidRPr="00873B6C" w14:paraId="7A2739F6" w14:textId="77777777" w:rsidTr="009D14FB">
        <w:tc>
          <w:tcPr>
            <w:tcW w:w="800" w:type="dxa"/>
            <w:shd w:val="solid" w:color="FFFFFF" w:fill="auto"/>
          </w:tcPr>
          <w:p w14:paraId="53E91DB0" w14:textId="4DE77E6A" w:rsidR="00354C8E" w:rsidRPr="00873B6C" w:rsidRDefault="00354C8E" w:rsidP="002C4A81">
            <w:pPr>
              <w:pStyle w:val="TAC"/>
              <w:rPr>
                <w:sz w:val="16"/>
                <w:szCs w:val="16"/>
              </w:rPr>
            </w:pPr>
            <w:r w:rsidRPr="00873B6C">
              <w:rPr>
                <w:sz w:val="16"/>
                <w:szCs w:val="16"/>
              </w:rPr>
              <w:t>2023-06</w:t>
            </w:r>
          </w:p>
        </w:tc>
        <w:tc>
          <w:tcPr>
            <w:tcW w:w="800" w:type="dxa"/>
            <w:shd w:val="solid" w:color="FFFFFF" w:fill="auto"/>
          </w:tcPr>
          <w:p w14:paraId="3124C866" w14:textId="44E97FA6" w:rsidR="00354C8E" w:rsidRPr="00873B6C" w:rsidRDefault="00354C8E" w:rsidP="002C4A81">
            <w:pPr>
              <w:pStyle w:val="TAL"/>
              <w:rPr>
                <w:sz w:val="16"/>
                <w:szCs w:val="16"/>
              </w:rPr>
            </w:pPr>
            <w:r w:rsidRPr="00873B6C">
              <w:rPr>
                <w:sz w:val="16"/>
                <w:szCs w:val="16"/>
              </w:rPr>
              <w:t>SP#100</w:t>
            </w:r>
          </w:p>
        </w:tc>
        <w:tc>
          <w:tcPr>
            <w:tcW w:w="1094" w:type="dxa"/>
            <w:shd w:val="solid" w:color="FFFFFF" w:fill="auto"/>
          </w:tcPr>
          <w:p w14:paraId="6B28B443" w14:textId="5381E77A" w:rsidR="00354C8E" w:rsidRPr="00873B6C" w:rsidRDefault="00354C8E" w:rsidP="002C4A81">
            <w:pPr>
              <w:pStyle w:val="TAC"/>
              <w:rPr>
                <w:sz w:val="16"/>
                <w:szCs w:val="16"/>
              </w:rPr>
            </w:pPr>
            <w:r w:rsidRPr="00873B6C">
              <w:rPr>
                <w:sz w:val="16"/>
                <w:szCs w:val="16"/>
              </w:rPr>
              <w:t>SP-230469</w:t>
            </w:r>
          </w:p>
        </w:tc>
        <w:tc>
          <w:tcPr>
            <w:tcW w:w="567" w:type="dxa"/>
            <w:shd w:val="solid" w:color="FFFFFF" w:fill="auto"/>
          </w:tcPr>
          <w:p w14:paraId="13986BEC" w14:textId="4CD2E6A9" w:rsidR="00354C8E" w:rsidRPr="00873B6C" w:rsidRDefault="00354C8E" w:rsidP="002C4A81">
            <w:pPr>
              <w:pStyle w:val="TAL"/>
              <w:rPr>
                <w:sz w:val="16"/>
                <w:szCs w:val="16"/>
              </w:rPr>
            </w:pPr>
            <w:r w:rsidRPr="00873B6C">
              <w:rPr>
                <w:sz w:val="16"/>
                <w:szCs w:val="16"/>
              </w:rPr>
              <w:t>4318</w:t>
            </w:r>
          </w:p>
        </w:tc>
        <w:tc>
          <w:tcPr>
            <w:tcW w:w="425" w:type="dxa"/>
            <w:shd w:val="solid" w:color="FFFFFF" w:fill="auto"/>
          </w:tcPr>
          <w:p w14:paraId="597100B1" w14:textId="51E7B5B0" w:rsidR="00354C8E" w:rsidRPr="00873B6C" w:rsidRDefault="00354C8E" w:rsidP="002C4A81">
            <w:pPr>
              <w:pStyle w:val="TAL"/>
              <w:rPr>
                <w:sz w:val="16"/>
                <w:szCs w:val="16"/>
              </w:rPr>
            </w:pPr>
            <w:r w:rsidRPr="00873B6C">
              <w:rPr>
                <w:sz w:val="16"/>
                <w:szCs w:val="16"/>
              </w:rPr>
              <w:t>1</w:t>
            </w:r>
          </w:p>
        </w:tc>
        <w:tc>
          <w:tcPr>
            <w:tcW w:w="425" w:type="dxa"/>
            <w:shd w:val="solid" w:color="FFFFFF" w:fill="auto"/>
          </w:tcPr>
          <w:p w14:paraId="5F347CD6" w14:textId="4132080A" w:rsidR="00354C8E" w:rsidRPr="00873B6C" w:rsidRDefault="00354C8E" w:rsidP="002C4A81">
            <w:pPr>
              <w:pStyle w:val="TAL"/>
              <w:rPr>
                <w:sz w:val="16"/>
                <w:szCs w:val="16"/>
              </w:rPr>
            </w:pPr>
            <w:r w:rsidRPr="00873B6C">
              <w:rPr>
                <w:sz w:val="16"/>
                <w:szCs w:val="16"/>
              </w:rPr>
              <w:t>B</w:t>
            </w:r>
          </w:p>
        </w:tc>
        <w:tc>
          <w:tcPr>
            <w:tcW w:w="4820" w:type="dxa"/>
            <w:shd w:val="solid" w:color="FFFFFF" w:fill="auto"/>
          </w:tcPr>
          <w:p w14:paraId="7BA60537" w14:textId="376B3F13" w:rsidR="00354C8E" w:rsidRPr="00873B6C" w:rsidRDefault="00354C8E" w:rsidP="002C4A81">
            <w:pPr>
              <w:pStyle w:val="TAL"/>
              <w:rPr>
                <w:sz w:val="16"/>
                <w:szCs w:val="16"/>
              </w:rPr>
            </w:pPr>
            <w:r w:rsidRPr="00873B6C">
              <w:rPr>
                <w:sz w:val="16"/>
                <w:szCs w:val="16"/>
              </w:rPr>
              <w:t>DCCF Discovery principle enhancements for DCCF relocation in TS 23.501</w:t>
            </w:r>
          </w:p>
        </w:tc>
        <w:tc>
          <w:tcPr>
            <w:tcW w:w="708" w:type="dxa"/>
            <w:shd w:val="solid" w:color="FFFFFF" w:fill="auto"/>
          </w:tcPr>
          <w:p w14:paraId="2B230944" w14:textId="285F94C5" w:rsidR="00354C8E" w:rsidRPr="00873B6C" w:rsidRDefault="00354C8E" w:rsidP="002C4A81">
            <w:pPr>
              <w:pStyle w:val="TAC"/>
              <w:rPr>
                <w:sz w:val="16"/>
                <w:szCs w:val="16"/>
              </w:rPr>
            </w:pPr>
            <w:r w:rsidRPr="00873B6C">
              <w:rPr>
                <w:sz w:val="16"/>
                <w:szCs w:val="16"/>
              </w:rPr>
              <w:t>18.2.0</w:t>
            </w:r>
          </w:p>
        </w:tc>
      </w:tr>
      <w:tr w:rsidR="00354C8E" w:rsidRPr="00873B6C" w14:paraId="3B681C39" w14:textId="77777777" w:rsidTr="009D14FB">
        <w:tc>
          <w:tcPr>
            <w:tcW w:w="800" w:type="dxa"/>
            <w:shd w:val="solid" w:color="FFFFFF" w:fill="auto"/>
          </w:tcPr>
          <w:p w14:paraId="4EB76E43" w14:textId="240F9C63" w:rsidR="00354C8E" w:rsidRPr="00873B6C" w:rsidRDefault="00354C8E" w:rsidP="002C4A81">
            <w:pPr>
              <w:pStyle w:val="TAC"/>
              <w:rPr>
                <w:sz w:val="16"/>
                <w:szCs w:val="16"/>
              </w:rPr>
            </w:pPr>
            <w:r w:rsidRPr="00873B6C">
              <w:rPr>
                <w:sz w:val="16"/>
                <w:szCs w:val="16"/>
              </w:rPr>
              <w:t>2023-06</w:t>
            </w:r>
          </w:p>
        </w:tc>
        <w:tc>
          <w:tcPr>
            <w:tcW w:w="800" w:type="dxa"/>
            <w:shd w:val="solid" w:color="FFFFFF" w:fill="auto"/>
          </w:tcPr>
          <w:p w14:paraId="6E0DDCE0" w14:textId="05EF481A" w:rsidR="00354C8E" w:rsidRPr="00873B6C" w:rsidRDefault="00354C8E" w:rsidP="002C4A81">
            <w:pPr>
              <w:pStyle w:val="TAL"/>
              <w:rPr>
                <w:sz w:val="16"/>
                <w:szCs w:val="16"/>
              </w:rPr>
            </w:pPr>
            <w:r w:rsidRPr="00873B6C">
              <w:rPr>
                <w:sz w:val="16"/>
                <w:szCs w:val="16"/>
              </w:rPr>
              <w:t>SP#100</w:t>
            </w:r>
          </w:p>
        </w:tc>
        <w:tc>
          <w:tcPr>
            <w:tcW w:w="1094" w:type="dxa"/>
            <w:shd w:val="solid" w:color="FFFFFF" w:fill="auto"/>
          </w:tcPr>
          <w:p w14:paraId="24DF63BB" w14:textId="5E7BE0A3" w:rsidR="00354C8E" w:rsidRPr="00873B6C" w:rsidRDefault="00354C8E" w:rsidP="002C4A81">
            <w:pPr>
              <w:pStyle w:val="TAC"/>
              <w:rPr>
                <w:sz w:val="16"/>
                <w:szCs w:val="16"/>
              </w:rPr>
            </w:pPr>
            <w:r w:rsidRPr="00873B6C">
              <w:rPr>
                <w:sz w:val="16"/>
                <w:szCs w:val="16"/>
              </w:rPr>
              <w:t>SP-230497</w:t>
            </w:r>
          </w:p>
        </w:tc>
        <w:tc>
          <w:tcPr>
            <w:tcW w:w="567" w:type="dxa"/>
            <w:shd w:val="solid" w:color="FFFFFF" w:fill="auto"/>
          </w:tcPr>
          <w:p w14:paraId="2901B535" w14:textId="47ADC185" w:rsidR="00354C8E" w:rsidRPr="00873B6C" w:rsidRDefault="00354C8E" w:rsidP="002C4A81">
            <w:pPr>
              <w:pStyle w:val="TAL"/>
              <w:rPr>
                <w:sz w:val="16"/>
                <w:szCs w:val="16"/>
              </w:rPr>
            </w:pPr>
            <w:r w:rsidRPr="00873B6C">
              <w:rPr>
                <w:sz w:val="16"/>
                <w:szCs w:val="16"/>
              </w:rPr>
              <w:t>4322</w:t>
            </w:r>
          </w:p>
        </w:tc>
        <w:tc>
          <w:tcPr>
            <w:tcW w:w="425" w:type="dxa"/>
            <w:shd w:val="solid" w:color="FFFFFF" w:fill="auto"/>
          </w:tcPr>
          <w:p w14:paraId="4191758A" w14:textId="6FE5EE5E" w:rsidR="00354C8E" w:rsidRPr="00873B6C" w:rsidRDefault="00354C8E" w:rsidP="002C4A81">
            <w:pPr>
              <w:pStyle w:val="TAL"/>
              <w:rPr>
                <w:sz w:val="16"/>
                <w:szCs w:val="16"/>
              </w:rPr>
            </w:pPr>
            <w:r w:rsidRPr="00873B6C">
              <w:rPr>
                <w:sz w:val="16"/>
                <w:szCs w:val="16"/>
              </w:rPr>
              <w:t>9</w:t>
            </w:r>
          </w:p>
        </w:tc>
        <w:tc>
          <w:tcPr>
            <w:tcW w:w="425" w:type="dxa"/>
            <w:shd w:val="solid" w:color="FFFFFF" w:fill="auto"/>
          </w:tcPr>
          <w:p w14:paraId="04570D52" w14:textId="62F6914B" w:rsidR="00354C8E" w:rsidRPr="00873B6C" w:rsidRDefault="00354C8E" w:rsidP="002C4A81">
            <w:pPr>
              <w:pStyle w:val="TAL"/>
              <w:rPr>
                <w:sz w:val="16"/>
                <w:szCs w:val="16"/>
              </w:rPr>
            </w:pPr>
            <w:r w:rsidRPr="00873B6C">
              <w:rPr>
                <w:sz w:val="16"/>
                <w:szCs w:val="16"/>
              </w:rPr>
              <w:t>B</w:t>
            </w:r>
          </w:p>
        </w:tc>
        <w:tc>
          <w:tcPr>
            <w:tcW w:w="4820" w:type="dxa"/>
            <w:shd w:val="solid" w:color="FFFFFF" w:fill="auto"/>
          </w:tcPr>
          <w:p w14:paraId="1AA6C2A1" w14:textId="2830E1E9" w:rsidR="00354C8E" w:rsidRPr="00873B6C" w:rsidRDefault="00354C8E" w:rsidP="002C4A81">
            <w:pPr>
              <w:pStyle w:val="TAL"/>
              <w:rPr>
                <w:sz w:val="16"/>
                <w:szCs w:val="16"/>
              </w:rPr>
            </w:pPr>
            <w:r w:rsidRPr="00873B6C">
              <w:rPr>
                <w:sz w:val="16"/>
                <w:szCs w:val="16"/>
              </w:rPr>
              <w:t>EN resolving for KI#8 Except TSCAC and clarifications on AF inputs</w:t>
            </w:r>
          </w:p>
        </w:tc>
        <w:tc>
          <w:tcPr>
            <w:tcW w:w="708" w:type="dxa"/>
            <w:shd w:val="solid" w:color="FFFFFF" w:fill="auto"/>
          </w:tcPr>
          <w:p w14:paraId="0A856B0A" w14:textId="76575E30" w:rsidR="00354C8E" w:rsidRPr="00873B6C" w:rsidRDefault="00354C8E" w:rsidP="002C4A81">
            <w:pPr>
              <w:pStyle w:val="TAC"/>
              <w:rPr>
                <w:sz w:val="16"/>
                <w:szCs w:val="16"/>
              </w:rPr>
            </w:pPr>
            <w:r w:rsidRPr="00873B6C">
              <w:rPr>
                <w:sz w:val="16"/>
                <w:szCs w:val="16"/>
              </w:rPr>
              <w:t>18.2.0</w:t>
            </w:r>
          </w:p>
        </w:tc>
      </w:tr>
      <w:tr w:rsidR="00114986" w:rsidRPr="00873B6C" w14:paraId="0B52F30C" w14:textId="77777777" w:rsidTr="009D14FB">
        <w:tc>
          <w:tcPr>
            <w:tcW w:w="800" w:type="dxa"/>
            <w:shd w:val="solid" w:color="FFFFFF" w:fill="auto"/>
          </w:tcPr>
          <w:p w14:paraId="761522B5" w14:textId="0842DC32"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23E17F94" w14:textId="08060C8F"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1CE81421" w14:textId="42861253" w:rsidR="00114986" w:rsidRPr="00873B6C" w:rsidRDefault="00114986" w:rsidP="002C4A81">
            <w:pPr>
              <w:pStyle w:val="TAC"/>
              <w:rPr>
                <w:sz w:val="16"/>
                <w:szCs w:val="16"/>
              </w:rPr>
            </w:pPr>
            <w:r w:rsidRPr="00873B6C">
              <w:rPr>
                <w:sz w:val="16"/>
                <w:szCs w:val="16"/>
              </w:rPr>
              <w:t>SP-230484</w:t>
            </w:r>
          </w:p>
        </w:tc>
        <w:tc>
          <w:tcPr>
            <w:tcW w:w="567" w:type="dxa"/>
            <w:shd w:val="solid" w:color="FFFFFF" w:fill="auto"/>
          </w:tcPr>
          <w:p w14:paraId="0E58F4C8" w14:textId="6B1C8BBC" w:rsidR="00114986" w:rsidRPr="00873B6C" w:rsidRDefault="00114986" w:rsidP="002C4A81">
            <w:pPr>
              <w:pStyle w:val="TAL"/>
              <w:rPr>
                <w:sz w:val="16"/>
                <w:szCs w:val="16"/>
              </w:rPr>
            </w:pPr>
            <w:r w:rsidRPr="00873B6C">
              <w:rPr>
                <w:sz w:val="16"/>
                <w:szCs w:val="16"/>
              </w:rPr>
              <w:t>4326</w:t>
            </w:r>
          </w:p>
        </w:tc>
        <w:tc>
          <w:tcPr>
            <w:tcW w:w="425" w:type="dxa"/>
            <w:shd w:val="solid" w:color="FFFFFF" w:fill="auto"/>
          </w:tcPr>
          <w:p w14:paraId="05B35861" w14:textId="41299792" w:rsidR="00114986" w:rsidRPr="00873B6C" w:rsidRDefault="00114986" w:rsidP="002C4A81">
            <w:pPr>
              <w:pStyle w:val="TAL"/>
              <w:rPr>
                <w:sz w:val="16"/>
                <w:szCs w:val="16"/>
              </w:rPr>
            </w:pPr>
            <w:r w:rsidRPr="00873B6C">
              <w:rPr>
                <w:sz w:val="16"/>
                <w:szCs w:val="16"/>
              </w:rPr>
              <w:t>-</w:t>
            </w:r>
          </w:p>
        </w:tc>
        <w:tc>
          <w:tcPr>
            <w:tcW w:w="425" w:type="dxa"/>
            <w:shd w:val="solid" w:color="FFFFFF" w:fill="auto"/>
          </w:tcPr>
          <w:p w14:paraId="4C522BCC" w14:textId="73A881A5"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0767118C" w14:textId="22828D55" w:rsidR="00114986" w:rsidRPr="00873B6C" w:rsidRDefault="00114986" w:rsidP="002C4A81">
            <w:pPr>
              <w:pStyle w:val="TAL"/>
              <w:rPr>
                <w:sz w:val="16"/>
                <w:szCs w:val="16"/>
              </w:rPr>
            </w:pPr>
            <w:r w:rsidRPr="00873B6C">
              <w:rPr>
                <w:sz w:val="16"/>
                <w:szCs w:val="16"/>
              </w:rPr>
              <w:t>Solve the EN about handling of the PEMC in 5GC in relation with PIN</w:t>
            </w:r>
          </w:p>
        </w:tc>
        <w:tc>
          <w:tcPr>
            <w:tcW w:w="708" w:type="dxa"/>
            <w:shd w:val="solid" w:color="FFFFFF" w:fill="auto"/>
          </w:tcPr>
          <w:p w14:paraId="1818D292" w14:textId="0574A90F" w:rsidR="00114986" w:rsidRPr="00873B6C" w:rsidRDefault="00114986" w:rsidP="002C4A81">
            <w:pPr>
              <w:pStyle w:val="TAC"/>
              <w:rPr>
                <w:sz w:val="16"/>
                <w:szCs w:val="16"/>
              </w:rPr>
            </w:pPr>
            <w:r w:rsidRPr="00873B6C">
              <w:rPr>
                <w:sz w:val="16"/>
                <w:szCs w:val="16"/>
              </w:rPr>
              <w:t>18.2.0</w:t>
            </w:r>
          </w:p>
        </w:tc>
      </w:tr>
      <w:tr w:rsidR="00114986" w:rsidRPr="00873B6C" w14:paraId="16DFB2DC" w14:textId="77777777" w:rsidTr="009D14FB">
        <w:tc>
          <w:tcPr>
            <w:tcW w:w="800" w:type="dxa"/>
            <w:shd w:val="solid" w:color="FFFFFF" w:fill="auto"/>
          </w:tcPr>
          <w:p w14:paraId="783D49A2" w14:textId="1EDD6B5B"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623EBE44" w14:textId="2F6C35D6"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1C161EA2" w14:textId="7223D5D4" w:rsidR="00114986" w:rsidRPr="00873B6C" w:rsidRDefault="00114986" w:rsidP="002C4A81">
            <w:pPr>
              <w:pStyle w:val="TAC"/>
              <w:rPr>
                <w:sz w:val="16"/>
                <w:szCs w:val="16"/>
              </w:rPr>
            </w:pPr>
            <w:r w:rsidRPr="00873B6C">
              <w:rPr>
                <w:sz w:val="16"/>
                <w:szCs w:val="16"/>
              </w:rPr>
              <w:t>SP-230484</w:t>
            </w:r>
          </w:p>
        </w:tc>
        <w:tc>
          <w:tcPr>
            <w:tcW w:w="567" w:type="dxa"/>
            <w:shd w:val="solid" w:color="FFFFFF" w:fill="auto"/>
          </w:tcPr>
          <w:p w14:paraId="17A1DDDC" w14:textId="655A19EC" w:rsidR="00114986" w:rsidRPr="00873B6C" w:rsidRDefault="00114986" w:rsidP="002C4A81">
            <w:pPr>
              <w:pStyle w:val="TAL"/>
              <w:rPr>
                <w:sz w:val="16"/>
                <w:szCs w:val="16"/>
              </w:rPr>
            </w:pPr>
            <w:r w:rsidRPr="00873B6C">
              <w:rPr>
                <w:sz w:val="16"/>
                <w:szCs w:val="16"/>
              </w:rPr>
              <w:t>4327</w:t>
            </w:r>
          </w:p>
        </w:tc>
        <w:tc>
          <w:tcPr>
            <w:tcW w:w="425" w:type="dxa"/>
            <w:shd w:val="solid" w:color="FFFFFF" w:fill="auto"/>
          </w:tcPr>
          <w:p w14:paraId="37C8EC75" w14:textId="4CA16201"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32240C70" w14:textId="66399016"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2BFDE68D" w14:textId="49598005" w:rsidR="00114986" w:rsidRPr="00873B6C" w:rsidRDefault="00114986" w:rsidP="002C4A81">
            <w:pPr>
              <w:pStyle w:val="TAL"/>
              <w:rPr>
                <w:sz w:val="16"/>
                <w:szCs w:val="16"/>
              </w:rPr>
            </w:pPr>
            <w:r w:rsidRPr="00873B6C">
              <w:rPr>
                <w:sz w:val="16"/>
                <w:szCs w:val="16"/>
              </w:rPr>
              <w:t>Solve the EN about PIN deletion, activation and deactivation</w:t>
            </w:r>
          </w:p>
        </w:tc>
        <w:tc>
          <w:tcPr>
            <w:tcW w:w="708" w:type="dxa"/>
            <w:shd w:val="solid" w:color="FFFFFF" w:fill="auto"/>
          </w:tcPr>
          <w:p w14:paraId="46827C19" w14:textId="09912C77" w:rsidR="00114986" w:rsidRPr="00873B6C" w:rsidRDefault="00114986" w:rsidP="002C4A81">
            <w:pPr>
              <w:pStyle w:val="TAC"/>
              <w:rPr>
                <w:sz w:val="16"/>
                <w:szCs w:val="16"/>
              </w:rPr>
            </w:pPr>
            <w:r w:rsidRPr="00873B6C">
              <w:rPr>
                <w:sz w:val="16"/>
                <w:szCs w:val="16"/>
              </w:rPr>
              <w:t>18.2.0</w:t>
            </w:r>
          </w:p>
        </w:tc>
      </w:tr>
      <w:tr w:rsidR="00114986" w:rsidRPr="00873B6C" w14:paraId="75284C1B" w14:textId="77777777" w:rsidTr="009D14FB">
        <w:tc>
          <w:tcPr>
            <w:tcW w:w="800" w:type="dxa"/>
            <w:shd w:val="solid" w:color="FFFFFF" w:fill="auto"/>
          </w:tcPr>
          <w:p w14:paraId="3CCACB1E" w14:textId="25FCA1F2"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4ADF1650" w14:textId="67DD7763"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6B67E1C9" w14:textId="6818BCCF" w:rsidR="00114986" w:rsidRPr="00873B6C" w:rsidRDefault="00114986" w:rsidP="002C4A81">
            <w:pPr>
              <w:pStyle w:val="TAC"/>
              <w:rPr>
                <w:sz w:val="16"/>
                <w:szCs w:val="16"/>
              </w:rPr>
            </w:pPr>
            <w:r w:rsidRPr="00873B6C">
              <w:rPr>
                <w:sz w:val="16"/>
                <w:szCs w:val="16"/>
              </w:rPr>
              <w:t>SP-230459</w:t>
            </w:r>
          </w:p>
        </w:tc>
        <w:tc>
          <w:tcPr>
            <w:tcW w:w="567" w:type="dxa"/>
            <w:shd w:val="solid" w:color="FFFFFF" w:fill="auto"/>
          </w:tcPr>
          <w:p w14:paraId="0B4DDD59" w14:textId="3639ECD4" w:rsidR="00114986" w:rsidRPr="00873B6C" w:rsidRDefault="00114986" w:rsidP="002C4A81">
            <w:pPr>
              <w:pStyle w:val="TAL"/>
              <w:rPr>
                <w:sz w:val="16"/>
                <w:szCs w:val="16"/>
              </w:rPr>
            </w:pPr>
            <w:r w:rsidRPr="00873B6C">
              <w:rPr>
                <w:sz w:val="16"/>
                <w:szCs w:val="16"/>
              </w:rPr>
              <w:t>4330</w:t>
            </w:r>
          </w:p>
        </w:tc>
        <w:tc>
          <w:tcPr>
            <w:tcW w:w="425" w:type="dxa"/>
            <w:shd w:val="solid" w:color="FFFFFF" w:fill="auto"/>
          </w:tcPr>
          <w:p w14:paraId="45316697" w14:textId="673F4F04"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13397EBB" w14:textId="02C729AB"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1FBF978A" w14:textId="2D96371A" w:rsidR="00114986" w:rsidRPr="00873B6C" w:rsidRDefault="00114986" w:rsidP="002C4A81">
            <w:pPr>
              <w:pStyle w:val="TAL"/>
              <w:rPr>
                <w:sz w:val="16"/>
                <w:szCs w:val="16"/>
              </w:rPr>
            </w:pPr>
            <w:r w:rsidRPr="00873B6C">
              <w:rPr>
                <w:sz w:val="16"/>
                <w:szCs w:val="16"/>
              </w:rPr>
              <w:t>Clarification on Redundant Steering Mode</w:t>
            </w:r>
          </w:p>
        </w:tc>
        <w:tc>
          <w:tcPr>
            <w:tcW w:w="708" w:type="dxa"/>
            <w:shd w:val="solid" w:color="FFFFFF" w:fill="auto"/>
          </w:tcPr>
          <w:p w14:paraId="1425472D" w14:textId="76CC99D7" w:rsidR="00114986" w:rsidRPr="00873B6C" w:rsidRDefault="00114986" w:rsidP="002C4A81">
            <w:pPr>
              <w:pStyle w:val="TAC"/>
              <w:rPr>
                <w:sz w:val="16"/>
                <w:szCs w:val="16"/>
              </w:rPr>
            </w:pPr>
            <w:r w:rsidRPr="00873B6C">
              <w:rPr>
                <w:sz w:val="16"/>
                <w:szCs w:val="16"/>
              </w:rPr>
              <w:t>18.2.0</w:t>
            </w:r>
          </w:p>
        </w:tc>
      </w:tr>
      <w:tr w:rsidR="00114986" w:rsidRPr="00873B6C" w14:paraId="693E00E2" w14:textId="77777777" w:rsidTr="009D14FB">
        <w:tc>
          <w:tcPr>
            <w:tcW w:w="800" w:type="dxa"/>
            <w:shd w:val="solid" w:color="FFFFFF" w:fill="auto"/>
          </w:tcPr>
          <w:p w14:paraId="4A7FC913" w14:textId="0AB4DCCF"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2351C23C" w14:textId="5787AA98"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12953398" w14:textId="11415250" w:rsidR="00114986" w:rsidRPr="00873B6C" w:rsidRDefault="00114986" w:rsidP="002C4A81">
            <w:pPr>
              <w:pStyle w:val="TAC"/>
              <w:rPr>
                <w:sz w:val="16"/>
                <w:szCs w:val="16"/>
              </w:rPr>
            </w:pPr>
            <w:r w:rsidRPr="00873B6C">
              <w:rPr>
                <w:sz w:val="16"/>
                <w:szCs w:val="16"/>
              </w:rPr>
              <w:t>SP-230459</w:t>
            </w:r>
          </w:p>
        </w:tc>
        <w:tc>
          <w:tcPr>
            <w:tcW w:w="567" w:type="dxa"/>
            <w:shd w:val="solid" w:color="FFFFFF" w:fill="auto"/>
          </w:tcPr>
          <w:p w14:paraId="00E8FFC0" w14:textId="0AA8684E" w:rsidR="00114986" w:rsidRPr="00873B6C" w:rsidRDefault="00114986" w:rsidP="002C4A81">
            <w:pPr>
              <w:pStyle w:val="TAL"/>
              <w:rPr>
                <w:sz w:val="16"/>
                <w:szCs w:val="16"/>
              </w:rPr>
            </w:pPr>
            <w:r w:rsidRPr="00873B6C">
              <w:rPr>
                <w:sz w:val="16"/>
                <w:szCs w:val="16"/>
              </w:rPr>
              <w:t>4342</w:t>
            </w:r>
          </w:p>
        </w:tc>
        <w:tc>
          <w:tcPr>
            <w:tcW w:w="425" w:type="dxa"/>
            <w:shd w:val="solid" w:color="FFFFFF" w:fill="auto"/>
          </w:tcPr>
          <w:p w14:paraId="05A81EB4" w14:textId="79B63F11" w:rsidR="00114986" w:rsidRPr="00873B6C" w:rsidRDefault="00114986" w:rsidP="002C4A81">
            <w:pPr>
              <w:pStyle w:val="TAL"/>
              <w:rPr>
                <w:sz w:val="16"/>
                <w:szCs w:val="16"/>
              </w:rPr>
            </w:pPr>
            <w:r w:rsidRPr="00873B6C">
              <w:rPr>
                <w:sz w:val="16"/>
                <w:szCs w:val="16"/>
              </w:rPr>
              <w:t>-</w:t>
            </w:r>
          </w:p>
        </w:tc>
        <w:tc>
          <w:tcPr>
            <w:tcW w:w="425" w:type="dxa"/>
            <w:shd w:val="solid" w:color="FFFFFF" w:fill="auto"/>
          </w:tcPr>
          <w:p w14:paraId="1DAE8A7A" w14:textId="5F9E5AFF"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4C033A4D" w14:textId="5915D129" w:rsidR="00114986" w:rsidRPr="00873B6C" w:rsidRDefault="00114986" w:rsidP="002C4A81">
            <w:pPr>
              <w:pStyle w:val="TAL"/>
              <w:rPr>
                <w:sz w:val="16"/>
                <w:szCs w:val="16"/>
              </w:rPr>
            </w:pPr>
            <w:r w:rsidRPr="00873B6C">
              <w:rPr>
                <w:sz w:val="16"/>
                <w:szCs w:val="16"/>
              </w:rPr>
              <w:t>Clarification of RTT measurement for RSM</w:t>
            </w:r>
          </w:p>
        </w:tc>
        <w:tc>
          <w:tcPr>
            <w:tcW w:w="708" w:type="dxa"/>
            <w:shd w:val="solid" w:color="FFFFFF" w:fill="auto"/>
          </w:tcPr>
          <w:p w14:paraId="32E07D91" w14:textId="3505FAA5" w:rsidR="00114986" w:rsidRPr="00873B6C" w:rsidRDefault="00114986" w:rsidP="002C4A81">
            <w:pPr>
              <w:pStyle w:val="TAC"/>
              <w:rPr>
                <w:sz w:val="16"/>
                <w:szCs w:val="16"/>
              </w:rPr>
            </w:pPr>
            <w:r w:rsidRPr="00873B6C">
              <w:rPr>
                <w:sz w:val="16"/>
                <w:szCs w:val="16"/>
              </w:rPr>
              <w:t>18.2.0</w:t>
            </w:r>
          </w:p>
        </w:tc>
      </w:tr>
      <w:tr w:rsidR="00114986" w:rsidRPr="00873B6C" w14:paraId="1AC15193" w14:textId="77777777" w:rsidTr="009D14FB">
        <w:tc>
          <w:tcPr>
            <w:tcW w:w="800" w:type="dxa"/>
            <w:shd w:val="solid" w:color="FFFFFF" w:fill="auto"/>
          </w:tcPr>
          <w:p w14:paraId="5D0AE2BB" w14:textId="05632243"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05A8F5F5" w14:textId="47261E1C"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3DF05933" w14:textId="70A13BF1" w:rsidR="00114986" w:rsidRPr="00873B6C" w:rsidRDefault="00114986" w:rsidP="002C4A81">
            <w:pPr>
              <w:pStyle w:val="TAC"/>
              <w:rPr>
                <w:sz w:val="16"/>
                <w:szCs w:val="16"/>
              </w:rPr>
            </w:pPr>
            <w:r w:rsidRPr="00873B6C">
              <w:rPr>
                <w:sz w:val="16"/>
                <w:szCs w:val="16"/>
              </w:rPr>
              <w:t>SP-230456</w:t>
            </w:r>
          </w:p>
        </w:tc>
        <w:tc>
          <w:tcPr>
            <w:tcW w:w="567" w:type="dxa"/>
            <w:shd w:val="solid" w:color="FFFFFF" w:fill="auto"/>
          </w:tcPr>
          <w:p w14:paraId="489ABEE9" w14:textId="1C5DF3BD" w:rsidR="00114986" w:rsidRPr="00873B6C" w:rsidRDefault="00114986" w:rsidP="002C4A81">
            <w:pPr>
              <w:pStyle w:val="TAL"/>
              <w:rPr>
                <w:sz w:val="16"/>
                <w:szCs w:val="16"/>
              </w:rPr>
            </w:pPr>
            <w:r w:rsidRPr="00873B6C">
              <w:rPr>
                <w:sz w:val="16"/>
                <w:szCs w:val="16"/>
              </w:rPr>
              <w:t>4351</w:t>
            </w:r>
          </w:p>
        </w:tc>
        <w:tc>
          <w:tcPr>
            <w:tcW w:w="425" w:type="dxa"/>
            <w:shd w:val="solid" w:color="FFFFFF" w:fill="auto"/>
          </w:tcPr>
          <w:p w14:paraId="739AD220" w14:textId="5B5C4BC9" w:rsidR="00114986" w:rsidRPr="00873B6C" w:rsidRDefault="00114986" w:rsidP="002C4A81">
            <w:pPr>
              <w:pStyle w:val="TAL"/>
              <w:rPr>
                <w:sz w:val="16"/>
                <w:szCs w:val="16"/>
              </w:rPr>
            </w:pPr>
            <w:r w:rsidRPr="00873B6C">
              <w:rPr>
                <w:sz w:val="16"/>
                <w:szCs w:val="16"/>
              </w:rPr>
              <w:t>5</w:t>
            </w:r>
          </w:p>
        </w:tc>
        <w:tc>
          <w:tcPr>
            <w:tcW w:w="425" w:type="dxa"/>
            <w:shd w:val="solid" w:color="FFFFFF" w:fill="auto"/>
          </w:tcPr>
          <w:p w14:paraId="157BFB88" w14:textId="7ED44BB6"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506D4515" w14:textId="31698253" w:rsidR="00114986" w:rsidRPr="00873B6C" w:rsidRDefault="00114986" w:rsidP="002C4A81">
            <w:pPr>
              <w:pStyle w:val="TAL"/>
              <w:rPr>
                <w:sz w:val="16"/>
                <w:szCs w:val="16"/>
              </w:rPr>
            </w:pPr>
            <w:r w:rsidRPr="00873B6C">
              <w:rPr>
                <w:sz w:val="16"/>
                <w:szCs w:val="16"/>
              </w:rPr>
              <w:t>Clarification on N3IWF/TNGF selection to support of S-NSSAI needed by UE</w:t>
            </w:r>
          </w:p>
        </w:tc>
        <w:tc>
          <w:tcPr>
            <w:tcW w:w="708" w:type="dxa"/>
            <w:shd w:val="solid" w:color="FFFFFF" w:fill="auto"/>
          </w:tcPr>
          <w:p w14:paraId="0B0004B5" w14:textId="37B971B6" w:rsidR="00114986" w:rsidRPr="00873B6C" w:rsidRDefault="00114986" w:rsidP="002C4A81">
            <w:pPr>
              <w:pStyle w:val="TAC"/>
              <w:rPr>
                <w:sz w:val="16"/>
                <w:szCs w:val="16"/>
              </w:rPr>
            </w:pPr>
            <w:r w:rsidRPr="00873B6C">
              <w:rPr>
                <w:sz w:val="16"/>
                <w:szCs w:val="16"/>
              </w:rPr>
              <w:t>18.2.0</w:t>
            </w:r>
          </w:p>
        </w:tc>
      </w:tr>
      <w:tr w:rsidR="00114986" w:rsidRPr="00873B6C" w14:paraId="5E691183" w14:textId="77777777" w:rsidTr="009D14FB">
        <w:tc>
          <w:tcPr>
            <w:tcW w:w="800" w:type="dxa"/>
            <w:shd w:val="solid" w:color="FFFFFF" w:fill="auto"/>
          </w:tcPr>
          <w:p w14:paraId="66E1322E" w14:textId="7FD1BADC"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684EF0CA" w14:textId="2BFA75D2"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37786CAB" w14:textId="6374399F" w:rsidR="00114986" w:rsidRPr="00873B6C" w:rsidRDefault="00114986" w:rsidP="002C4A81">
            <w:pPr>
              <w:pStyle w:val="TAC"/>
              <w:rPr>
                <w:sz w:val="16"/>
                <w:szCs w:val="16"/>
              </w:rPr>
            </w:pPr>
            <w:r w:rsidRPr="00873B6C">
              <w:rPr>
                <w:sz w:val="16"/>
                <w:szCs w:val="16"/>
              </w:rPr>
              <w:t>SP-230473</w:t>
            </w:r>
          </w:p>
        </w:tc>
        <w:tc>
          <w:tcPr>
            <w:tcW w:w="567" w:type="dxa"/>
            <w:shd w:val="solid" w:color="FFFFFF" w:fill="auto"/>
          </w:tcPr>
          <w:p w14:paraId="21EDBC8E" w14:textId="4286C258" w:rsidR="00114986" w:rsidRPr="00873B6C" w:rsidRDefault="00114986" w:rsidP="002C4A81">
            <w:pPr>
              <w:pStyle w:val="TAL"/>
              <w:rPr>
                <w:sz w:val="16"/>
                <w:szCs w:val="16"/>
              </w:rPr>
            </w:pPr>
            <w:r w:rsidRPr="00873B6C">
              <w:rPr>
                <w:sz w:val="16"/>
                <w:szCs w:val="16"/>
              </w:rPr>
              <w:t>4354</w:t>
            </w:r>
          </w:p>
        </w:tc>
        <w:tc>
          <w:tcPr>
            <w:tcW w:w="425" w:type="dxa"/>
            <w:shd w:val="solid" w:color="FFFFFF" w:fill="auto"/>
          </w:tcPr>
          <w:p w14:paraId="386764A9" w14:textId="46DA87A1" w:rsidR="00114986" w:rsidRPr="00873B6C" w:rsidRDefault="00114986" w:rsidP="002C4A81">
            <w:pPr>
              <w:pStyle w:val="TAL"/>
              <w:rPr>
                <w:sz w:val="16"/>
                <w:szCs w:val="16"/>
              </w:rPr>
            </w:pPr>
            <w:r w:rsidRPr="00873B6C">
              <w:rPr>
                <w:sz w:val="16"/>
                <w:szCs w:val="16"/>
              </w:rPr>
              <w:t>3</w:t>
            </w:r>
          </w:p>
        </w:tc>
        <w:tc>
          <w:tcPr>
            <w:tcW w:w="425" w:type="dxa"/>
            <w:shd w:val="solid" w:color="FFFFFF" w:fill="auto"/>
          </w:tcPr>
          <w:p w14:paraId="718D6F66" w14:textId="48920746" w:rsidR="00114986" w:rsidRPr="00873B6C" w:rsidRDefault="00114986" w:rsidP="002C4A81">
            <w:pPr>
              <w:pStyle w:val="TAL"/>
              <w:rPr>
                <w:sz w:val="16"/>
                <w:szCs w:val="16"/>
              </w:rPr>
            </w:pPr>
            <w:r w:rsidRPr="00873B6C">
              <w:rPr>
                <w:sz w:val="16"/>
                <w:szCs w:val="16"/>
              </w:rPr>
              <w:t>C</w:t>
            </w:r>
          </w:p>
        </w:tc>
        <w:tc>
          <w:tcPr>
            <w:tcW w:w="4820" w:type="dxa"/>
            <w:shd w:val="solid" w:color="FFFFFF" w:fill="auto"/>
          </w:tcPr>
          <w:p w14:paraId="59F78B3F" w14:textId="252DF5D4" w:rsidR="00114986" w:rsidRPr="00873B6C" w:rsidRDefault="00114986" w:rsidP="002C4A81">
            <w:pPr>
              <w:pStyle w:val="TAL"/>
              <w:rPr>
                <w:sz w:val="16"/>
                <w:szCs w:val="16"/>
              </w:rPr>
            </w:pPr>
            <w:r w:rsidRPr="00873B6C">
              <w:rPr>
                <w:sz w:val="16"/>
                <w:szCs w:val="16"/>
              </w:rPr>
              <w:t xml:space="preserve">Explicit subscription to NSSF for network slice instance replacement </w:t>
            </w:r>
          </w:p>
        </w:tc>
        <w:tc>
          <w:tcPr>
            <w:tcW w:w="708" w:type="dxa"/>
            <w:shd w:val="solid" w:color="FFFFFF" w:fill="auto"/>
          </w:tcPr>
          <w:p w14:paraId="08A5DF02" w14:textId="6F3C80FB" w:rsidR="00114986" w:rsidRPr="00873B6C" w:rsidRDefault="00114986" w:rsidP="002C4A81">
            <w:pPr>
              <w:pStyle w:val="TAC"/>
              <w:rPr>
                <w:sz w:val="16"/>
                <w:szCs w:val="16"/>
              </w:rPr>
            </w:pPr>
            <w:r w:rsidRPr="00873B6C">
              <w:rPr>
                <w:sz w:val="16"/>
                <w:szCs w:val="16"/>
              </w:rPr>
              <w:t>18.2.0</w:t>
            </w:r>
          </w:p>
        </w:tc>
      </w:tr>
      <w:tr w:rsidR="00114986" w:rsidRPr="00873B6C" w14:paraId="7EEE443D" w14:textId="77777777" w:rsidTr="009D14FB">
        <w:tc>
          <w:tcPr>
            <w:tcW w:w="800" w:type="dxa"/>
            <w:shd w:val="solid" w:color="FFFFFF" w:fill="auto"/>
          </w:tcPr>
          <w:p w14:paraId="1543B73E" w14:textId="15BCC615"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61D9843D" w14:textId="0607D917"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70B2F345" w14:textId="25D66F8E" w:rsidR="00114986" w:rsidRPr="00873B6C" w:rsidRDefault="00114986" w:rsidP="002C4A81">
            <w:pPr>
              <w:pStyle w:val="TAC"/>
              <w:rPr>
                <w:sz w:val="16"/>
                <w:szCs w:val="16"/>
              </w:rPr>
            </w:pPr>
            <w:r w:rsidRPr="00873B6C">
              <w:rPr>
                <w:sz w:val="16"/>
                <w:szCs w:val="16"/>
              </w:rPr>
              <w:t>SP-230496</w:t>
            </w:r>
          </w:p>
        </w:tc>
        <w:tc>
          <w:tcPr>
            <w:tcW w:w="567" w:type="dxa"/>
            <w:shd w:val="solid" w:color="FFFFFF" w:fill="auto"/>
          </w:tcPr>
          <w:p w14:paraId="1C2B997A" w14:textId="76200970" w:rsidR="00114986" w:rsidRPr="00873B6C" w:rsidRDefault="00114986" w:rsidP="002C4A81">
            <w:pPr>
              <w:pStyle w:val="TAL"/>
              <w:rPr>
                <w:sz w:val="16"/>
                <w:szCs w:val="16"/>
              </w:rPr>
            </w:pPr>
            <w:r w:rsidRPr="00873B6C">
              <w:rPr>
                <w:sz w:val="16"/>
                <w:szCs w:val="16"/>
              </w:rPr>
              <w:t>4367</w:t>
            </w:r>
          </w:p>
        </w:tc>
        <w:tc>
          <w:tcPr>
            <w:tcW w:w="425" w:type="dxa"/>
            <w:shd w:val="solid" w:color="FFFFFF" w:fill="auto"/>
          </w:tcPr>
          <w:p w14:paraId="4FAB9717" w14:textId="461715D5"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04D028EC" w14:textId="7EAD67DD" w:rsidR="00114986" w:rsidRPr="00873B6C" w:rsidRDefault="00114986" w:rsidP="002C4A81">
            <w:pPr>
              <w:pStyle w:val="TAL"/>
              <w:rPr>
                <w:sz w:val="16"/>
                <w:szCs w:val="16"/>
              </w:rPr>
            </w:pPr>
            <w:r w:rsidRPr="00873B6C">
              <w:rPr>
                <w:sz w:val="16"/>
                <w:szCs w:val="16"/>
              </w:rPr>
              <w:t>B</w:t>
            </w:r>
          </w:p>
        </w:tc>
        <w:tc>
          <w:tcPr>
            <w:tcW w:w="4820" w:type="dxa"/>
            <w:shd w:val="solid" w:color="FFFFFF" w:fill="auto"/>
          </w:tcPr>
          <w:p w14:paraId="40BE97DD" w14:textId="5D76812B" w:rsidR="00114986" w:rsidRPr="00873B6C" w:rsidRDefault="00114986" w:rsidP="002C4A81">
            <w:pPr>
              <w:pStyle w:val="TAL"/>
              <w:rPr>
                <w:sz w:val="16"/>
                <w:szCs w:val="16"/>
              </w:rPr>
            </w:pPr>
            <w:r w:rsidRPr="00873B6C">
              <w:rPr>
                <w:sz w:val="16"/>
                <w:szCs w:val="16"/>
              </w:rPr>
              <w:t>Open issue resolutions for MBSR support</w:t>
            </w:r>
          </w:p>
        </w:tc>
        <w:tc>
          <w:tcPr>
            <w:tcW w:w="708" w:type="dxa"/>
            <w:shd w:val="solid" w:color="FFFFFF" w:fill="auto"/>
          </w:tcPr>
          <w:p w14:paraId="6AD4C09D" w14:textId="26464070" w:rsidR="00114986" w:rsidRPr="00873B6C" w:rsidRDefault="00114986" w:rsidP="002C4A81">
            <w:pPr>
              <w:pStyle w:val="TAC"/>
              <w:rPr>
                <w:sz w:val="16"/>
                <w:szCs w:val="16"/>
              </w:rPr>
            </w:pPr>
            <w:r w:rsidRPr="00873B6C">
              <w:rPr>
                <w:sz w:val="16"/>
                <w:szCs w:val="16"/>
              </w:rPr>
              <w:t>18.2.0</w:t>
            </w:r>
          </w:p>
        </w:tc>
      </w:tr>
      <w:tr w:rsidR="00114986" w:rsidRPr="00873B6C" w14:paraId="50E229F0" w14:textId="77777777" w:rsidTr="009D14FB">
        <w:tc>
          <w:tcPr>
            <w:tcW w:w="800" w:type="dxa"/>
            <w:shd w:val="solid" w:color="FFFFFF" w:fill="auto"/>
          </w:tcPr>
          <w:p w14:paraId="193A524B" w14:textId="0F6FB98D"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6D73D10C" w14:textId="4C2E1623"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0F27B658" w14:textId="70615D19" w:rsidR="00114986" w:rsidRPr="00873B6C" w:rsidRDefault="00114986" w:rsidP="002C4A81">
            <w:pPr>
              <w:pStyle w:val="TAC"/>
              <w:rPr>
                <w:sz w:val="16"/>
                <w:szCs w:val="16"/>
              </w:rPr>
            </w:pPr>
            <w:r w:rsidRPr="00873B6C">
              <w:rPr>
                <w:sz w:val="16"/>
                <w:szCs w:val="16"/>
              </w:rPr>
              <w:t>SP-230493</w:t>
            </w:r>
          </w:p>
        </w:tc>
        <w:tc>
          <w:tcPr>
            <w:tcW w:w="567" w:type="dxa"/>
            <w:shd w:val="solid" w:color="FFFFFF" w:fill="auto"/>
          </w:tcPr>
          <w:p w14:paraId="018B008D" w14:textId="1F14143C" w:rsidR="00114986" w:rsidRPr="00873B6C" w:rsidRDefault="00114986" w:rsidP="002C4A81">
            <w:pPr>
              <w:pStyle w:val="TAL"/>
              <w:rPr>
                <w:sz w:val="16"/>
                <w:szCs w:val="16"/>
              </w:rPr>
            </w:pPr>
            <w:r w:rsidRPr="00873B6C">
              <w:rPr>
                <w:sz w:val="16"/>
                <w:szCs w:val="16"/>
              </w:rPr>
              <w:t>4370</w:t>
            </w:r>
          </w:p>
        </w:tc>
        <w:tc>
          <w:tcPr>
            <w:tcW w:w="425" w:type="dxa"/>
            <w:shd w:val="solid" w:color="FFFFFF" w:fill="auto"/>
          </w:tcPr>
          <w:p w14:paraId="4CA0C5A3" w14:textId="6058FB44"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4ECAE2B2" w14:textId="50AC45C1" w:rsidR="00114986" w:rsidRPr="00873B6C" w:rsidRDefault="00114986" w:rsidP="002C4A81">
            <w:pPr>
              <w:pStyle w:val="TAL"/>
              <w:rPr>
                <w:sz w:val="16"/>
                <w:szCs w:val="16"/>
              </w:rPr>
            </w:pPr>
            <w:r w:rsidRPr="00873B6C">
              <w:rPr>
                <w:sz w:val="16"/>
                <w:szCs w:val="16"/>
              </w:rPr>
              <w:t>C</w:t>
            </w:r>
          </w:p>
        </w:tc>
        <w:tc>
          <w:tcPr>
            <w:tcW w:w="4820" w:type="dxa"/>
            <w:shd w:val="solid" w:color="FFFFFF" w:fill="auto"/>
          </w:tcPr>
          <w:p w14:paraId="58679BDB" w14:textId="7BFCE616" w:rsidR="00114986" w:rsidRPr="00873B6C" w:rsidRDefault="00114986" w:rsidP="002C4A81">
            <w:pPr>
              <w:pStyle w:val="TAL"/>
              <w:rPr>
                <w:sz w:val="16"/>
                <w:szCs w:val="16"/>
              </w:rPr>
            </w:pPr>
            <w:r w:rsidRPr="00873B6C">
              <w:rPr>
                <w:sz w:val="16"/>
                <w:szCs w:val="16"/>
              </w:rPr>
              <w:t xml:space="preserve">Support of provisioning periodicity set </w:t>
            </w:r>
          </w:p>
        </w:tc>
        <w:tc>
          <w:tcPr>
            <w:tcW w:w="708" w:type="dxa"/>
            <w:shd w:val="solid" w:color="FFFFFF" w:fill="auto"/>
          </w:tcPr>
          <w:p w14:paraId="19D30E8E" w14:textId="3013C631" w:rsidR="00114986" w:rsidRPr="00873B6C" w:rsidRDefault="00114986" w:rsidP="002C4A81">
            <w:pPr>
              <w:pStyle w:val="TAC"/>
              <w:rPr>
                <w:sz w:val="16"/>
                <w:szCs w:val="16"/>
              </w:rPr>
            </w:pPr>
            <w:r w:rsidRPr="00873B6C">
              <w:rPr>
                <w:sz w:val="16"/>
                <w:szCs w:val="16"/>
              </w:rPr>
              <w:t>18.2.0</w:t>
            </w:r>
          </w:p>
        </w:tc>
      </w:tr>
      <w:tr w:rsidR="00114986" w:rsidRPr="00873B6C" w14:paraId="55E52C91" w14:textId="77777777" w:rsidTr="009D14FB">
        <w:tc>
          <w:tcPr>
            <w:tcW w:w="800" w:type="dxa"/>
            <w:shd w:val="solid" w:color="FFFFFF" w:fill="auto"/>
          </w:tcPr>
          <w:p w14:paraId="487A6F27" w14:textId="53EB9456"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1C06FC3E" w14:textId="0FA68308"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53079E87" w14:textId="6200E0CA" w:rsidR="00114986" w:rsidRPr="00873B6C" w:rsidRDefault="00114986" w:rsidP="002C4A81">
            <w:pPr>
              <w:pStyle w:val="TAC"/>
              <w:rPr>
                <w:sz w:val="16"/>
                <w:szCs w:val="16"/>
              </w:rPr>
            </w:pPr>
            <w:r w:rsidRPr="00873B6C">
              <w:rPr>
                <w:sz w:val="16"/>
                <w:szCs w:val="16"/>
              </w:rPr>
              <w:t>SP-230469</w:t>
            </w:r>
          </w:p>
        </w:tc>
        <w:tc>
          <w:tcPr>
            <w:tcW w:w="567" w:type="dxa"/>
            <w:shd w:val="solid" w:color="FFFFFF" w:fill="auto"/>
          </w:tcPr>
          <w:p w14:paraId="6659903C" w14:textId="01FD90F1" w:rsidR="00114986" w:rsidRPr="00873B6C" w:rsidRDefault="00114986" w:rsidP="002C4A81">
            <w:pPr>
              <w:pStyle w:val="TAL"/>
              <w:rPr>
                <w:sz w:val="16"/>
                <w:szCs w:val="16"/>
              </w:rPr>
            </w:pPr>
            <w:r w:rsidRPr="00873B6C">
              <w:rPr>
                <w:sz w:val="16"/>
                <w:szCs w:val="16"/>
              </w:rPr>
              <w:t>4372</w:t>
            </w:r>
          </w:p>
        </w:tc>
        <w:tc>
          <w:tcPr>
            <w:tcW w:w="425" w:type="dxa"/>
            <w:shd w:val="solid" w:color="FFFFFF" w:fill="auto"/>
          </w:tcPr>
          <w:p w14:paraId="14FF3CEB" w14:textId="77777777" w:rsidR="00114986" w:rsidRPr="00873B6C" w:rsidRDefault="00114986" w:rsidP="002C4A81">
            <w:pPr>
              <w:pStyle w:val="TAL"/>
              <w:rPr>
                <w:sz w:val="16"/>
                <w:szCs w:val="16"/>
              </w:rPr>
            </w:pPr>
          </w:p>
        </w:tc>
        <w:tc>
          <w:tcPr>
            <w:tcW w:w="425" w:type="dxa"/>
            <w:shd w:val="solid" w:color="FFFFFF" w:fill="auto"/>
          </w:tcPr>
          <w:p w14:paraId="1ED0C529" w14:textId="77AE2884" w:rsidR="00114986" w:rsidRPr="00873B6C" w:rsidRDefault="00114986" w:rsidP="002C4A81">
            <w:pPr>
              <w:pStyle w:val="TAL"/>
              <w:rPr>
                <w:sz w:val="16"/>
                <w:szCs w:val="16"/>
              </w:rPr>
            </w:pPr>
            <w:r w:rsidRPr="00873B6C">
              <w:rPr>
                <w:sz w:val="16"/>
                <w:szCs w:val="16"/>
              </w:rPr>
              <w:t>C</w:t>
            </w:r>
          </w:p>
        </w:tc>
        <w:tc>
          <w:tcPr>
            <w:tcW w:w="4820" w:type="dxa"/>
            <w:shd w:val="solid" w:color="FFFFFF" w:fill="auto"/>
          </w:tcPr>
          <w:p w14:paraId="4A287BCD" w14:textId="6F554E48" w:rsidR="00114986" w:rsidRPr="00873B6C" w:rsidRDefault="00114986" w:rsidP="002C4A81">
            <w:pPr>
              <w:pStyle w:val="TAL"/>
              <w:rPr>
                <w:sz w:val="16"/>
                <w:szCs w:val="16"/>
              </w:rPr>
            </w:pPr>
            <w:r w:rsidRPr="00873B6C">
              <w:rPr>
                <w:sz w:val="16"/>
                <w:szCs w:val="16"/>
              </w:rPr>
              <w:t>Updates for registration and discovery for FL entity</w:t>
            </w:r>
          </w:p>
        </w:tc>
        <w:tc>
          <w:tcPr>
            <w:tcW w:w="708" w:type="dxa"/>
            <w:shd w:val="solid" w:color="FFFFFF" w:fill="auto"/>
          </w:tcPr>
          <w:p w14:paraId="0E22535F" w14:textId="36A91A84" w:rsidR="00114986" w:rsidRPr="00873B6C" w:rsidRDefault="00114986" w:rsidP="002C4A81">
            <w:pPr>
              <w:pStyle w:val="TAC"/>
              <w:rPr>
                <w:sz w:val="16"/>
                <w:szCs w:val="16"/>
              </w:rPr>
            </w:pPr>
            <w:r w:rsidRPr="00873B6C">
              <w:rPr>
                <w:sz w:val="16"/>
                <w:szCs w:val="16"/>
              </w:rPr>
              <w:t>18.2.0</w:t>
            </w:r>
          </w:p>
        </w:tc>
      </w:tr>
      <w:tr w:rsidR="00114986" w:rsidRPr="00873B6C" w14:paraId="589CD5B1" w14:textId="77777777" w:rsidTr="009D14FB">
        <w:tc>
          <w:tcPr>
            <w:tcW w:w="800" w:type="dxa"/>
            <w:shd w:val="solid" w:color="FFFFFF" w:fill="auto"/>
          </w:tcPr>
          <w:p w14:paraId="624B3759" w14:textId="13BED79F"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7A97332F" w14:textId="1B62ACF4"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15939AD2" w14:textId="19D01046" w:rsidR="00114986" w:rsidRPr="00873B6C" w:rsidRDefault="00114986" w:rsidP="002C4A81">
            <w:pPr>
              <w:pStyle w:val="TAC"/>
              <w:rPr>
                <w:sz w:val="16"/>
                <w:szCs w:val="16"/>
              </w:rPr>
            </w:pPr>
            <w:r w:rsidRPr="00873B6C">
              <w:rPr>
                <w:sz w:val="16"/>
                <w:szCs w:val="16"/>
              </w:rPr>
              <w:t>SP-230461</w:t>
            </w:r>
          </w:p>
        </w:tc>
        <w:tc>
          <w:tcPr>
            <w:tcW w:w="567" w:type="dxa"/>
            <w:shd w:val="solid" w:color="FFFFFF" w:fill="auto"/>
          </w:tcPr>
          <w:p w14:paraId="5AA730CC" w14:textId="3391DD57" w:rsidR="00114986" w:rsidRPr="00873B6C" w:rsidRDefault="00114986" w:rsidP="002C4A81">
            <w:pPr>
              <w:pStyle w:val="TAL"/>
              <w:rPr>
                <w:sz w:val="16"/>
                <w:szCs w:val="16"/>
              </w:rPr>
            </w:pPr>
            <w:r w:rsidRPr="00873B6C">
              <w:rPr>
                <w:sz w:val="16"/>
                <w:szCs w:val="16"/>
              </w:rPr>
              <w:t>4376</w:t>
            </w:r>
          </w:p>
        </w:tc>
        <w:tc>
          <w:tcPr>
            <w:tcW w:w="425" w:type="dxa"/>
            <w:shd w:val="solid" w:color="FFFFFF" w:fill="auto"/>
          </w:tcPr>
          <w:p w14:paraId="5B07D906" w14:textId="7DE51E21" w:rsidR="00114986" w:rsidRPr="00873B6C" w:rsidRDefault="00114986" w:rsidP="002C4A81">
            <w:pPr>
              <w:pStyle w:val="TAL"/>
              <w:rPr>
                <w:sz w:val="16"/>
                <w:szCs w:val="16"/>
              </w:rPr>
            </w:pPr>
            <w:r w:rsidRPr="00873B6C">
              <w:rPr>
                <w:sz w:val="16"/>
                <w:szCs w:val="16"/>
              </w:rPr>
              <w:t>3</w:t>
            </w:r>
          </w:p>
        </w:tc>
        <w:tc>
          <w:tcPr>
            <w:tcW w:w="425" w:type="dxa"/>
            <w:shd w:val="solid" w:color="FFFFFF" w:fill="auto"/>
          </w:tcPr>
          <w:p w14:paraId="571DAFFE" w14:textId="59C1DBC9" w:rsidR="00114986" w:rsidRPr="00873B6C" w:rsidRDefault="00114986" w:rsidP="002C4A81">
            <w:pPr>
              <w:pStyle w:val="TAL"/>
              <w:rPr>
                <w:sz w:val="16"/>
                <w:szCs w:val="16"/>
              </w:rPr>
            </w:pPr>
            <w:r w:rsidRPr="00873B6C">
              <w:rPr>
                <w:sz w:val="16"/>
                <w:szCs w:val="16"/>
              </w:rPr>
              <w:t xml:space="preserve">B </w:t>
            </w:r>
          </w:p>
        </w:tc>
        <w:tc>
          <w:tcPr>
            <w:tcW w:w="4820" w:type="dxa"/>
            <w:shd w:val="solid" w:color="FFFFFF" w:fill="auto"/>
          </w:tcPr>
          <w:p w14:paraId="28F583EF" w14:textId="7D199B56" w:rsidR="00114986" w:rsidRPr="00873B6C" w:rsidRDefault="00114986" w:rsidP="002C4A81">
            <w:pPr>
              <w:pStyle w:val="TAL"/>
              <w:rPr>
                <w:sz w:val="16"/>
                <w:szCs w:val="16"/>
              </w:rPr>
            </w:pPr>
            <w:r w:rsidRPr="00873B6C">
              <w:rPr>
                <w:sz w:val="16"/>
                <w:szCs w:val="16"/>
              </w:rPr>
              <w:t>Update supporting Edge Computing</w:t>
            </w:r>
          </w:p>
        </w:tc>
        <w:tc>
          <w:tcPr>
            <w:tcW w:w="708" w:type="dxa"/>
            <w:shd w:val="solid" w:color="FFFFFF" w:fill="auto"/>
          </w:tcPr>
          <w:p w14:paraId="6DD32770" w14:textId="5A6932F8" w:rsidR="00114986" w:rsidRPr="00873B6C" w:rsidRDefault="00114986" w:rsidP="002C4A81">
            <w:pPr>
              <w:pStyle w:val="TAC"/>
              <w:rPr>
                <w:sz w:val="16"/>
                <w:szCs w:val="16"/>
              </w:rPr>
            </w:pPr>
            <w:r w:rsidRPr="00873B6C">
              <w:rPr>
                <w:sz w:val="16"/>
                <w:szCs w:val="16"/>
              </w:rPr>
              <w:t>18.2.0</w:t>
            </w:r>
          </w:p>
        </w:tc>
      </w:tr>
      <w:tr w:rsidR="00114986" w:rsidRPr="00873B6C" w14:paraId="4C6A6756" w14:textId="77777777" w:rsidTr="009D14FB">
        <w:tc>
          <w:tcPr>
            <w:tcW w:w="800" w:type="dxa"/>
            <w:shd w:val="solid" w:color="FFFFFF" w:fill="auto"/>
          </w:tcPr>
          <w:p w14:paraId="7279D815" w14:textId="290B1F2B"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47638DF2" w14:textId="2AB76EB1"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5149618B" w14:textId="745F86C8" w:rsidR="00114986" w:rsidRPr="00873B6C" w:rsidRDefault="00114986" w:rsidP="002C4A81">
            <w:pPr>
              <w:pStyle w:val="TAC"/>
              <w:rPr>
                <w:sz w:val="16"/>
                <w:szCs w:val="16"/>
              </w:rPr>
            </w:pPr>
            <w:r w:rsidRPr="00873B6C">
              <w:rPr>
                <w:sz w:val="16"/>
                <w:szCs w:val="16"/>
              </w:rPr>
              <w:t>SP-230490</w:t>
            </w:r>
          </w:p>
        </w:tc>
        <w:tc>
          <w:tcPr>
            <w:tcW w:w="567" w:type="dxa"/>
            <w:shd w:val="solid" w:color="FFFFFF" w:fill="auto"/>
          </w:tcPr>
          <w:p w14:paraId="072FE92A" w14:textId="5A1E4D5F" w:rsidR="00114986" w:rsidRPr="00873B6C" w:rsidRDefault="00114986" w:rsidP="002C4A81">
            <w:pPr>
              <w:pStyle w:val="TAL"/>
              <w:rPr>
                <w:sz w:val="16"/>
                <w:szCs w:val="16"/>
              </w:rPr>
            </w:pPr>
            <w:r w:rsidRPr="00873B6C">
              <w:rPr>
                <w:sz w:val="16"/>
                <w:szCs w:val="16"/>
              </w:rPr>
              <w:t>4377</w:t>
            </w:r>
          </w:p>
        </w:tc>
        <w:tc>
          <w:tcPr>
            <w:tcW w:w="425" w:type="dxa"/>
            <w:shd w:val="solid" w:color="FFFFFF" w:fill="auto"/>
          </w:tcPr>
          <w:p w14:paraId="5410B7AA" w14:textId="578B23E1"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2062D292" w14:textId="0FEC5DEF"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0A34EE67" w14:textId="79DC6294" w:rsidR="00114986" w:rsidRPr="00873B6C" w:rsidRDefault="00114986" w:rsidP="002C4A81">
            <w:pPr>
              <w:pStyle w:val="TAL"/>
              <w:rPr>
                <w:sz w:val="16"/>
                <w:szCs w:val="16"/>
              </w:rPr>
            </w:pPr>
            <w:r w:rsidRPr="00873B6C">
              <w:rPr>
                <w:sz w:val="16"/>
                <w:szCs w:val="16"/>
              </w:rPr>
              <w:t>Add FQDN in Traffic Detection Information</w:t>
            </w:r>
          </w:p>
        </w:tc>
        <w:tc>
          <w:tcPr>
            <w:tcW w:w="708" w:type="dxa"/>
            <w:shd w:val="solid" w:color="FFFFFF" w:fill="auto"/>
          </w:tcPr>
          <w:p w14:paraId="2BAAA436" w14:textId="16BEAFEB" w:rsidR="00114986" w:rsidRPr="00873B6C" w:rsidRDefault="00114986" w:rsidP="002C4A81">
            <w:pPr>
              <w:pStyle w:val="TAC"/>
              <w:rPr>
                <w:sz w:val="16"/>
                <w:szCs w:val="16"/>
              </w:rPr>
            </w:pPr>
            <w:r w:rsidRPr="00873B6C">
              <w:rPr>
                <w:sz w:val="16"/>
                <w:szCs w:val="16"/>
              </w:rPr>
              <w:t>18.2.0</w:t>
            </w:r>
          </w:p>
        </w:tc>
      </w:tr>
      <w:tr w:rsidR="00114986" w:rsidRPr="00873B6C" w14:paraId="5CDCF767" w14:textId="77777777" w:rsidTr="009D14FB">
        <w:tc>
          <w:tcPr>
            <w:tcW w:w="800" w:type="dxa"/>
            <w:shd w:val="solid" w:color="FFFFFF" w:fill="auto"/>
          </w:tcPr>
          <w:p w14:paraId="3570AC98" w14:textId="240C095B"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3E9A157E" w14:textId="7CCFA0DA"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3837472F" w14:textId="15B2F6FA" w:rsidR="00114986" w:rsidRPr="00873B6C" w:rsidRDefault="00114986" w:rsidP="002C4A81">
            <w:pPr>
              <w:pStyle w:val="TAC"/>
              <w:rPr>
                <w:sz w:val="16"/>
                <w:szCs w:val="16"/>
              </w:rPr>
            </w:pPr>
            <w:r w:rsidRPr="00873B6C">
              <w:rPr>
                <w:sz w:val="16"/>
                <w:szCs w:val="16"/>
              </w:rPr>
              <w:t>SP-230495</w:t>
            </w:r>
          </w:p>
        </w:tc>
        <w:tc>
          <w:tcPr>
            <w:tcW w:w="567" w:type="dxa"/>
            <w:shd w:val="solid" w:color="FFFFFF" w:fill="auto"/>
          </w:tcPr>
          <w:p w14:paraId="3BB2A9B2" w14:textId="445ABF42" w:rsidR="00114986" w:rsidRPr="00873B6C" w:rsidRDefault="00114986" w:rsidP="002C4A81">
            <w:pPr>
              <w:pStyle w:val="TAL"/>
              <w:rPr>
                <w:sz w:val="16"/>
                <w:szCs w:val="16"/>
              </w:rPr>
            </w:pPr>
            <w:r w:rsidRPr="00873B6C">
              <w:rPr>
                <w:sz w:val="16"/>
                <w:szCs w:val="16"/>
              </w:rPr>
              <w:t>4378</w:t>
            </w:r>
          </w:p>
        </w:tc>
        <w:tc>
          <w:tcPr>
            <w:tcW w:w="425" w:type="dxa"/>
            <w:shd w:val="solid" w:color="FFFFFF" w:fill="auto"/>
          </w:tcPr>
          <w:p w14:paraId="5024E06A" w14:textId="68682EC0"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31C218AD" w14:textId="7FD66B8A" w:rsidR="00114986" w:rsidRPr="00873B6C" w:rsidRDefault="00114986" w:rsidP="002C4A81">
            <w:pPr>
              <w:pStyle w:val="TAL"/>
              <w:rPr>
                <w:sz w:val="16"/>
                <w:szCs w:val="16"/>
              </w:rPr>
            </w:pPr>
            <w:r w:rsidRPr="00873B6C">
              <w:rPr>
                <w:sz w:val="16"/>
                <w:szCs w:val="16"/>
              </w:rPr>
              <w:t xml:space="preserve">B </w:t>
            </w:r>
          </w:p>
        </w:tc>
        <w:tc>
          <w:tcPr>
            <w:tcW w:w="4820" w:type="dxa"/>
            <w:shd w:val="solid" w:color="FFFFFF" w:fill="auto"/>
          </w:tcPr>
          <w:p w14:paraId="7E397A56" w14:textId="5FE88DA2" w:rsidR="00114986" w:rsidRPr="00873B6C" w:rsidRDefault="00114986" w:rsidP="002C4A81">
            <w:pPr>
              <w:pStyle w:val="TAL"/>
              <w:rPr>
                <w:sz w:val="16"/>
                <w:szCs w:val="16"/>
              </w:rPr>
            </w:pPr>
            <w:r w:rsidRPr="00873B6C">
              <w:rPr>
                <w:sz w:val="16"/>
                <w:szCs w:val="16"/>
              </w:rPr>
              <w:t>Considering capability of UPF event exposure during UPF discovery</w:t>
            </w:r>
          </w:p>
        </w:tc>
        <w:tc>
          <w:tcPr>
            <w:tcW w:w="708" w:type="dxa"/>
            <w:shd w:val="solid" w:color="FFFFFF" w:fill="auto"/>
          </w:tcPr>
          <w:p w14:paraId="7E173F1B" w14:textId="778E6D78" w:rsidR="00114986" w:rsidRPr="00873B6C" w:rsidRDefault="00114986" w:rsidP="002C4A81">
            <w:pPr>
              <w:pStyle w:val="TAC"/>
              <w:rPr>
                <w:sz w:val="16"/>
                <w:szCs w:val="16"/>
              </w:rPr>
            </w:pPr>
            <w:r w:rsidRPr="00873B6C">
              <w:rPr>
                <w:sz w:val="16"/>
                <w:szCs w:val="16"/>
              </w:rPr>
              <w:t>18.2.0</w:t>
            </w:r>
          </w:p>
        </w:tc>
      </w:tr>
      <w:tr w:rsidR="00114986" w:rsidRPr="00873B6C" w14:paraId="6D6BB46E" w14:textId="77777777" w:rsidTr="009D14FB">
        <w:tc>
          <w:tcPr>
            <w:tcW w:w="800" w:type="dxa"/>
            <w:shd w:val="solid" w:color="FFFFFF" w:fill="auto"/>
          </w:tcPr>
          <w:p w14:paraId="3C22A3BD" w14:textId="57F5D7B2"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17F06F0A" w14:textId="0D60ABB2"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7DE0A341" w14:textId="3A562305" w:rsidR="00114986" w:rsidRPr="00873B6C" w:rsidRDefault="00114986" w:rsidP="002C4A81">
            <w:pPr>
              <w:pStyle w:val="TAC"/>
              <w:rPr>
                <w:sz w:val="16"/>
                <w:szCs w:val="16"/>
              </w:rPr>
            </w:pPr>
            <w:r w:rsidRPr="00873B6C">
              <w:rPr>
                <w:sz w:val="16"/>
                <w:szCs w:val="16"/>
              </w:rPr>
              <w:t>SP-230461</w:t>
            </w:r>
          </w:p>
        </w:tc>
        <w:tc>
          <w:tcPr>
            <w:tcW w:w="567" w:type="dxa"/>
            <w:shd w:val="solid" w:color="FFFFFF" w:fill="auto"/>
          </w:tcPr>
          <w:p w14:paraId="2DE3DF8A" w14:textId="50A791F2" w:rsidR="00114986" w:rsidRPr="00873B6C" w:rsidRDefault="00114986" w:rsidP="002C4A81">
            <w:pPr>
              <w:pStyle w:val="TAL"/>
              <w:rPr>
                <w:sz w:val="16"/>
                <w:szCs w:val="16"/>
              </w:rPr>
            </w:pPr>
            <w:r w:rsidRPr="00873B6C">
              <w:rPr>
                <w:sz w:val="16"/>
                <w:szCs w:val="16"/>
              </w:rPr>
              <w:t>4381</w:t>
            </w:r>
          </w:p>
        </w:tc>
        <w:tc>
          <w:tcPr>
            <w:tcW w:w="425" w:type="dxa"/>
            <w:shd w:val="solid" w:color="FFFFFF" w:fill="auto"/>
          </w:tcPr>
          <w:p w14:paraId="1A036C67" w14:textId="4796D94A"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106278E6" w14:textId="011AC6B3" w:rsidR="00114986" w:rsidRPr="00873B6C" w:rsidRDefault="00114986" w:rsidP="002C4A81">
            <w:pPr>
              <w:pStyle w:val="TAL"/>
              <w:rPr>
                <w:sz w:val="16"/>
                <w:szCs w:val="16"/>
              </w:rPr>
            </w:pPr>
            <w:r w:rsidRPr="00873B6C">
              <w:rPr>
                <w:sz w:val="16"/>
                <w:szCs w:val="16"/>
              </w:rPr>
              <w:t>B</w:t>
            </w:r>
          </w:p>
        </w:tc>
        <w:tc>
          <w:tcPr>
            <w:tcW w:w="4820" w:type="dxa"/>
            <w:shd w:val="solid" w:color="FFFFFF" w:fill="auto"/>
          </w:tcPr>
          <w:p w14:paraId="2CC4BBFD" w14:textId="7B457A32" w:rsidR="00114986" w:rsidRPr="00873B6C" w:rsidRDefault="00114986" w:rsidP="002C4A81">
            <w:pPr>
              <w:pStyle w:val="TAL"/>
              <w:rPr>
                <w:sz w:val="16"/>
                <w:szCs w:val="16"/>
              </w:rPr>
            </w:pPr>
            <w:r w:rsidRPr="00873B6C">
              <w:rPr>
                <w:sz w:val="16"/>
                <w:szCs w:val="16"/>
              </w:rPr>
              <w:t>KI#1 V-SMF selection enhancement to support HR-SBO</w:t>
            </w:r>
          </w:p>
        </w:tc>
        <w:tc>
          <w:tcPr>
            <w:tcW w:w="708" w:type="dxa"/>
            <w:shd w:val="solid" w:color="FFFFFF" w:fill="auto"/>
          </w:tcPr>
          <w:p w14:paraId="126CA7BD" w14:textId="336DC0B5" w:rsidR="00114986" w:rsidRPr="00873B6C" w:rsidRDefault="00114986" w:rsidP="002C4A81">
            <w:pPr>
              <w:pStyle w:val="TAC"/>
              <w:rPr>
                <w:sz w:val="16"/>
                <w:szCs w:val="16"/>
              </w:rPr>
            </w:pPr>
            <w:r w:rsidRPr="00873B6C">
              <w:rPr>
                <w:sz w:val="16"/>
                <w:szCs w:val="16"/>
              </w:rPr>
              <w:t>18.2.0</w:t>
            </w:r>
          </w:p>
        </w:tc>
      </w:tr>
      <w:tr w:rsidR="00114986" w:rsidRPr="00873B6C" w14:paraId="4DC15EFC" w14:textId="77777777" w:rsidTr="009D14FB">
        <w:tc>
          <w:tcPr>
            <w:tcW w:w="800" w:type="dxa"/>
            <w:shd w:val="solid" w:color="FFFFFF" w:fill="auto"/>
          </w:tcPr>
          <w:p w14:paraId="49AD61CE" w14:textId="0E65C796"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1B8DFE12" w14:textId="71A67764"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3158B109" w14:textId="5A2EAC3B" w:rsidR="00114986" w:rsidRPr="00873B6C" w:rsidRDefault="00114986" w:rsidP="002C4A81">
            <w:pPr>
              <w:pStyle w:val="TAC"/>
              <w:rPr>
                <w:sz w:val="16"/>
                <w:szCs w:val="16"/>
              </w:rPr>
            </w:pPr>
            <w:r w:rsidRPr="00873B6C">
              <w:rPr>
                <w:sz w:val="16"/>
                <w:szCs w:val="16"/>
              </w:rPr>
              <w:t>SP-230497</w:t>
            </w:r>
          </w:p>
        </w:tc>
        <w:tc>
          <w:tcPr>
            <w:tcW w:w="567" w:type="dxa"/>
            <w:shd w:val="solid" w:color="FFFFFF" w:fill="auto"/>
          </w:tcPr>
          <w:p w14:paraId="328C7E76" w14:textId="1A3F367C" w:rsidR="00114986" w:rsidRPr="00873B6C" w:rsidRDefault="00114986" w:rsidP="002C4A81">
            <w:pPr>
              <w:pStyle w:val="TAL"/>
              <w:rPr>
                <w:sz w:val="16"/>
                <w:szCs w:val="16"/>
              </w:rPr>
            </w:pPr>
            <w:r w:rsidRPr="00873B6C">
              <w:rPr>
                <w:sz w:val="16"/>
                <w:szCs w:val="16"/>
              </w:rPr>
              <w:t>4383</w:t>
            </w:r>
          </w:p>
        </w:tc>
        <w:tc>
          <w:tcPr>
            <w:tcW w:w="425" w:type="dxa"/>
            <w:shd w:val="solid" w:color="FFFFFF" w:fill="auto"/>
          </w:tcPr>
          <w:p w14:paraId="52DC46B0" w14:textId="0619EFF8" w:rsidR="00114986" w:rsidRPr="00873B6C" w:rsidRDefault="00114986" w:rsidP="002C4A81">
            <w:pPr>
              <w:pStyle w:val="TAL"/>
              <w:rPr>
                <w:sz w:val="16"/>
                <w:szCs w:val="16"/>
              </w:rPr>
            </w:pPr>
            <w:r w:rsidRPr="00873B6C">
              <w:rPr>
                <w:sz w:val="16"/>
                <w:szCs w:val="16"/>
              </w:rPr>
              <w:t>11</w:t>
            </w:r>
          </w:p>
        </w:tc>
        <w:tc>
          <w:tcPr>
            <w:tcW w:w="425" w:type="dxa"/>
            <w:shd w:val="solid" w:color="FFFFFF" w:fill="auto"/>
          </w:tcPr>
          <w:p w14:paraId="6790B543" w14:textId="2C17A40F" w:rsidR="00114986" w:rsidRPr="00873B6C" w:rsidRDefault="00114986" w:rsidP="002C4A81">
            <w:pPr>
              <w:pStyle w:val="TAL"/>
              <w:rPr>
                <w:sz w:val="16"/>
                <w:szCs w:val="16"/>
              </w:rPr>
            </w:pPr>
            <w:r w:rsidRPr="00873B6C">
              <w:rPr>
                <w:sz w:val="16"/>
                <w:szCs w:val="16"/>
              </w:rPr>
              <w:t>B</w:t>
            </w:r>
          </w:p>
        </w:tc>
        <w:tc>
          <w:tcPr>
            <w:tcW w:w="4820" w:type="dxa"/>
            <w:shd w:val="solid" w:color="FFFFFF" w:fill="auto"/>
          </w:tcPr>
          <w:p w14:paraId="3586B7B0" w14:textId="21FD984F" w:rsidR="00114986" w:rsidRPr="00873B6C" w:rsidRDefault="00114986" w:rsidP="002C4A81">
            <w:pPr>
              <w:pStyle w:val="TAL"/>
              <w:rPr>
                <w:sz w:val="16"/>
                <w:szCs w:val="16"/>
              </w:rPr>
            </w:pPr>
            <w:r w:rsidRPr="00873B6C">
              <w:rPr>
                <w:sz w:val="16"/>
                <w:szCs w:val="16"/>
              </w:rPr>
              <w:t>Resolve ENs for support of PDU Set handling</w:t>
            </w:r>
          </w:p>
        </w:tc>
        <w:tc>
          <w:tcPr>
            <w:tcW w:w="708" w:type="dxa"/>
            <w:shd w:val="solid" w:color="FFFFFF" w:fill="auto"/>
          </w:tcPr>
          <w:p w14:paraId="0C41A771" w14:textId="18C8E5C5" w:rsidR="00114986" w:rsidRPr="00873B6C" w:rsidRDefault="00114986" w:rsidP="002C4A81">
            <w:pPr>
              <w:pStyle w:val="TAC"/>
              <w:rPr>
                <w:sz w:val="16"/>
                <w:szCs w:val="16"/>
              </w:rPr>
            </w:pPr>
            <w:r w:rsidRPr="00873B6C">
              <w:rPr>
                <w:sz w:val="16"/>
                <w:szCs w:val="16"/>
              </w:rPr>
              <w:t>18.2.0</w:t>
            </w:r>
          </w:p>
        </w:tc>
      </w:tr>
      <w:tr w:rsidR="00571B2E" w:rsidRPr="00873B6C" w14:paraId="37BC18CE" w14:textId="77777777" w:rsidTr="009D14FB">
        <w:tc>
          <w:tcPr>
            <w:tcW w:w="800" w:type="dxa"/>
            <w:shd w:val="solid" w:color="FFFFFF" w:fill="auto"/>
          </w:tcPr>
          <w:p w14:paraId="3EFE477D" w14:textId="4610789E" w:rsidR="00571B2E" w:rsidRPr="00873B6C" w:rsidRDefault="00571B2E" w:rsidP="002C4A81">
            <w:pPr>
              <w:pStyle w:val="TAC"/>
              <w:rPr>
                <w:sz w:val="16"/>
                <w:szCs w:val="16"/>
              </w:rPr>
            </w:pPr>
            <w:r w:rsidRPr="00873B6C">
              <w:rPr>
                <w:sz w:val="16"/>
                <w:szCs w:val="16"/>
              </w:rPr>
              <w:t>2023-06</w:t>
            </w:r>
          </w:p>
        </w:tc>
        <w:tc>
          <w:tcPr>
            <w:tcW w:w="800" w:type="dxa"/>
            <w:shd w:val="solid" w:color="FFFFFF" w:fill="auto"/>
          </w:tcPr>
          <w:p w14:paraId="3C095469" w14:textId="00F020D1" w:rsidR="00571B2E" w:rsidRPr="00873B6C" w:rsidRDefault="00571B2E" w:rsidP="002C4A81">
            <w:pPr>
              <w:pStyle w:val="TAL"/>
              <w:rPr>
                <w:sz w:val="16"/>
                <w:szCs w:val="16"/>
              </w:rPr>
            </w:pPr>
            <w:r w:rsidRPr="00873B6C">
              <w:rPr>
                <w:sz w:val="16"/>
                <w:szCs w:val="16"/>
              </w:rPr>
              <w:t>SP#100</w:t>
            </w:r>
          </w:p>
        </w:tc>
        <w:tc>
          <w:tcPr>
            <w:tcW w:w="1094" w:type="dxa"/>
            <w:shd w:val="solid" w:color="FFFFFF" w:fill="auto"/>
          </w:tcPr>
          <w:p w14:paraId="4CF81D5B" w14:textId="7600889B" w:rsidR="00571B2E" w:rsidRPr="00873B6C" w:rsidRDefault="00571B2E" w:rsidP="002C4A81">
            <w:pPr>
              <w:pStyle w:val="TAC"/>
              <w:rPr>
                <w:sz w:val="16"/>
                <w:szCs w:val="16"/>
              </w:rPr>
            </w:pPr>
            <w:r w:rsidRPr="00873B6C">
              <w:rPr>
                <w:sz w:val="16"/>
                <w:szCs w:val="16"/>
              </w:rPr>
              <w:t>SP-230479</w:t>
            </w:r>
          </w:p>
        </w:tc>
        <w:tc>
          <w:tcPr>
            <w:tcW w:w="567" w:type="dxa"/>
            <w:shd w:val="solid" w:color="FFFFFF" w:fill="auto"/>
          </w:tcPr>
          <w:p w14:paraId="658B0466" w14:textId="1727961E" w:rsidR="00571B2E" w:rsidRPr="00873B6C" w:rsidRDefault="00571B2E" w:rsidP="002C4A81">
            <w:pPr>
              <w:pStyle w:val="TAL"/>
              <w:rPr>
                <w:sz w:val="16"/>
                <w:szCs w:val="16"/>
              </w:rPr>
            </w:pPr>
            <w:r w:rsidRPr="00873B6C">
              <w:rPr>
                <w:sz w:val="16"/>
                <w:szCs w:val="16"/>
              </w:rPr>
              <w:t>4390</w:t>
            </w:r>
          </w:p>
        </w:tc>
        <w:tc>
          <w:tcPr>
            <w:tcW w:w="425" w:type="dxa"/>
            <w:shd w:val="solid" w:color="FFFFFF" w:fill="auto"/>
          </w:tcPr>
          <w:p w14:paraId="21349CD1" w14:textId="64B6CC79" w:rsidR="00571B2E" w:rsidRPr="00873B6C" w:rsidRDefault="00571B2E" w:rsidP="002C4A81">
            <w:pPr>
              <w:pStyle w:val="TAL"/>
              <w:rPr>
                <w:sz w:val="16"/>
                <w:szCs w:val="16"/>
              </w:rPr>
            </w:pPr>
            <w:r w:rsidRPr="00873B6C">
              <w:rPr>
                <w:sz w:val="16"/>
                <w:szCs w:val="16"/>
              </w:rPr>
              <w:t>2</w:t>
            </w:r>
          </w:p>
        </w:tc>
        <w:tc>
          <w:tcPr>
            <w:tcW w:w="425" w:type="dxa"/>
            <w:shd w:val="solid" w:color="FFFFFF" w:fill="auto"/>
          </w:tcPr>
          <w:p w14:paraId="7A70B6A5" w14:textId="53CF1F8D" w:rsidR="00571B2E" w:rsidRPr="00873B6C" w:rsidRDefault="00571B2E" w:rsidP="002C4A81">
            <w:pPr>
              <w:pStyle w:val="TAL"/>
              <w:rPr>
                <w:sz w:val="16"/>
                <w:szCs w:val="16"/>
              </w:rPr>
            </w:pPr>
            <w:r w:rsidRPr="00873B6C">
              <w:rPr>
                <w:sz w:val="16"/>
                <w:szCs w:val="16"/>
              </w:rPr>
              <w:t>A</w:t>
            </w:r>
          </w:p>
        </w:tc>
        <w:tc>
          <w:tcPr>
            <w:tcW w:w="4820" w:type="dxa"/>
            <w:shd w:val="solid" w:color="FFFFFF" w:fill="auto"/>
          </w:tcPr>
          <w:p w14:paraId="511BC509" w14:textId="4BFA416F" w:rsidR="00571B2E" w:rsidRPr="00873B6C" w:rsidRDefault="00571B2E" w:rsidP="002C4A81">
            <w:pPr>
              <w:pStyle w:val="TAL"/>
              <w:rPr>
                <w:sz w:val="16"/>
                <w:szCs w:val="16"/>
              </w:rPr>
            </w:pPr>
            <w:r w:rsidRPr="00873B6C">
              <w:rPr>
                <w:sz w:val="16"/>
                <w:szCs w:val="16"/>
              </w:rPr>
              <w:t>Clarification on IAB Authorization</w:t>
            </w:r>
          </w:p>
        </w:tc>
        <w:tc>
          <w:tcPr>
            <w:tcW w:w="708" w:type="dxa"/>
            <w:shd w:val="solid" w:color="FFFFFF" w:fill="auto"/>
          </w:tcPr>
          <w:p w14:paraId="3162D618" w14:textId="5AAD17AA" w:rsidR="00571B2E" w:rsidRPr="00873B6C" w:rsidRDefault="00571B2E" w:rsidP="002C4A81">
            <w:pPr>
              <w:pStyle w:val="TAC"/>
              <w:rPr>
                <w:sz w:val="16"/>
                <w:szCs w:val="16"/>
              </w:rPr>
            </w:pPr>
            <w:r w:rsidRPr="00873B6C">
              <w:rPr>
                <w:sz w:val="16"/>
                <w:szCs w:val="16"/>
              </w:rPr>
              <w:t>18.2.0</w:t>
            </w:r>
          </w:p>
        </w:tc>
      </w:tr>
      <w:tr w:rsidR="002A3DAF" w:rsidRPr="00873B6C" w14:paraId="00BD17BE" w14:textId="77777777" w:rsidTr="009D14FB">
        <w:tc>
          <w:tcPr>
            <w:tcW w:w="800" w:type="dxa"/>
            <w:shd w:val="solid" w:color="FFFFFF" w:fill="auto"/>
          </w:tcPr>
          <w:p w14:paraId="5CF8CBFA" w14:textId="71448F37" w:rsidR="002A3DAF" w:rsidRPr="00873B6C" w:rsidRDefault="002A3DAF" w:rsidP="002C4A81">
            <w:pPr>
              <w:pStyle w:val="TAC"/>
              <w:rPr>
                <w:sz w:val="16"/>
                <w:szCs w:val="16"/>
              </w:rPr>
            </w:pPr>
            <w:r w:rsidRPr="00873B6C">
              <w:rPr>
                <w:sz w:val="16"/>
                <w:szCs w:val="16"/>
              </w:rPr>
              <w:t>2023-06</w:t>
            </w:r>
          </w:p>
        </w:tc>
        <w:tc>
          <w:tcPr>
            <w:tcW w:w="800" w:type="dxa"/>
            <w:shd w:val="solid" w:color="FFFFFF" w:fill="auto"/>
          </w:tcPr>
          <w:p w14:paraId="4FB62790" w14:textId="6E371DDA" w:rsidR="002A3DAF" w:rsidRPr="00873B6C" w:rsidRDefault="002A3DAF" w:rsidP="002C4A81">
            <w:pPr>
              <w:pStyle w:val="TAL"/>
              <w:rPr>
                <w:sz w:val="16"/>
                <w:szCs w:val="16"/>
              </w:rPr>
            </w:pPr>
            <w:r w:rsidRPr="00873B6C">
              <w:rPr>
                <w:sz w:val="16"/>
                <w:szCs w:val="16"/>
              </w:rPr>
              <w:t>SP#100</w:t>
            </w:r>
          </w:p>
        </w:tc>
        <w:tc>
          <w:tcPr>
            <w:tcW w:w="1094" w:type="dxa"/>
            <w:shd w:val="solid" w:color="FFFFFF" w:fill="auto"/>
          </w:tcPr>
          <w:p w14:paraId="1A188ED0" w14:textId="753C46A8" w:rsidR="002A3DAF" w:rsidRPr="00873B6C" w:rsidRDefault="002A3DAF" w:rsidP="002C4A81">
            <w:pPr>
              <w:pStyle w:val="TAC"/>
              <w:rPr>
                <w:sz w:val="16"/>
                <w:szCs w:val="16"/>
              </w:rPr>
            </w:pPr>
            <w:r w:rsidRPr="00873B6C">
              <w:rPr>
                <w:sz w:val="16"/>
                <w:szCs w:val="16"/>
              </w:rPr>
              <w:t>SP-230496</w:t>
            </w:r>
          </w:p>
        </w:tc>
        <w:tc>
          <w:tcPr>
            <w:tcW w:w="567" w:type="dxa"/>
            <w:shd w:val="solid" w:color="FFFFFF" w:fill="auto"/>
          </w:tcPr>
          <w:p w14:paraId="3B2B90B0" w14:textId="538116BA" w:rsidR="002A3DAF" w:rsidRPr="00873B6C" w:rsidRDefault="002A3DAF" w:rsidP="002C4A81">
            <w:pPr>
              <w:pStyle w:val="TAL"/>
              <w:rPr>
                <w:sz w:val="16"/>
                <w:szCs w:val="16"/>
              </w:rPr>
            </w:pPr>
            <w:r w:rsidRPr="00873B6C">
              <w:rPr>
                <w:sz w:val="16"/>
                <w:szCs w:val="16"/>
              </w:rPr>
              <w:t>4391</w:t>
            </w:r>
          </w:p>
        </w:tc>
        <w:tc>
          <w:tcPr>
            <w:tcW w:w="425" w:type="dxa"/>
            <w:shd w:val="solid" w:color="FFFFFF" w:fill="auto"/>
          </w:tcPr>
          <w:p w14:paraId="115A8296" w14:textId="1A51B204" w:rsidR="002A3DAF" w:rsidRPr="00873B6C" w:rsidRDefault="002A3DAF" w:rsidP="002C4A81">
            <w:pPr>
              <w:pStyle w:val="TAL"/>
              <w:rPr>
                <w:sz w:val="16"/>
                <w:szCs w:val="16"/>
              </w:rPr>
            </w:pPr>
            <w:r w:rsidRPr="00873B6C">
              <w:rPr>
                <w:sz w:val="16"/>
                <w:szCs w:val="16"/>
              </w:rPr>
              <w:t>3</w:t>
            </w:r>
          </w:p>
        </w:tc>
        <w:tc>
          <w:tcPr>
            <w:tcW w:w="425" w:type="dxa"/>
            <w:shd w:val="solid" w:color="FFFFFF" w:fill="auto"/>
          </w:tcPr>
          <w:p w14:paraId="58507561" w14:textId="4B271221" w:rsidR="002A3DAF" w:rsidRPr="00873B6C" w:rsidRDefault="002A3DAF" w:rsidP="002C4A81">
            <w:pPr>
              <w:pStyle w:val="TAL"/>
              <w:rPr>
                <w:sz w:val="16"/>
                <w:szCs w:val="16"/>
              </w:rPr>
            </w:pPr>
            <w:r w:rsidRPr="00873B6C">
              <w:rPr>
                <w:sz w:val="16"/>
                <w:szCs w:val="16"/>
              </w:rPr>
              <w:t>B</w:t>
            </w:r>
          </w:p>
        </w:tc>
        <w:tc>
          <w:tcPr>
            <w:tcW w:w="4820" w:type="dxa"/>
            <w:shd w:val="solid" w:color="FFFFFF" w:fill="auto"/>
          </w:tcPr>
          <w:p w14:paraId="21B3EF9E" w14:textId="34EF4B30" w:rsidR="002A3DAF" w:rsidRPr="00873B6C" w:rsidRDefault="002A3DAF" w:rsidP="002C4A81">
            <w:pPr>
              <w:pStyle w:val="TAL"/>
              <w:rPr>
                <w:sz w:val="16"/>
                <w:szCs w:val="16"/>
              </w:rPr>
            </w:pPr>
            <w:r w:rsidRPr="00873B6C">
              <w:rPr>
                <w:sz w:val="16"/>
                <w:szCs w:val="16"/>
              </w:rPr>
              <w:t>Update of MBSR Configuration</w:t>
            </w:r>
          </w:p>
        </w:tc>
        <w:tc>
          <w:tcPr>
            <w:tcW w:w="708" w:type="dxa"/>
            <w:shd w:val="solid" w:color="FFFFFF" w:fill="auto"/>
          </w:tcPr>
          <w:p w14:paraId="0EFC5106" w14:textId="5B244A0D" w:rsidR="002A3DAF" w:rsidRPr="00873B6C" w:rsidRDefault="002A3DAF" w:rsidP="002C4A81">
            <w:pPr>
              <w:pStyle w:val="TAC"/>
              <w:rPr>
                <w:sz w:val="16"/>
                <w:szCs w:val="16"/>
              </w:rPr>
            </w:pPr>
            <w:r w:rsidRPr="00873B6C">
              <w:rPr>
                <w:sz w:val="16"/>
                <w:szCs w:val="16"/>
              </w:rPr>
              <w:t>18.2.0</w:t>
            </w:r>
          </w:p>
        </w:tc>
      </w:tr>
      <w:tr w:rsidR="002A3DAF" w:rsidRPr="00873B6C" w14:paraId="15767E99" w14:textId="77777777" w:rsidTr="009D14FB">
        <w:tc>
          <w:tcPr>
            <w:tcW w:w="800" w:type="dxa"/>
            <w:shd w:val="solid" w:color="FFFFFF" w:fill="auto"/>
          </w:tcPr>
          <w:p w14:paraId="1095997F" w14:textId="7DE37EF5" w:rsidR="002A3DAF" w:rsidRPr="00873B6C" w:rsidRDefault="002A3DAF" w:rsidP="002C4A81">
            <w:pPr>
              <w:pStyle w:val="TAC"/>
              <w:rPr>
                <w:sz w:val="16"/>
                <w:szCs w:val="16"/>
              </w:rPr>
            </w:pPr>
            <w:r w:rsidRPr="00873B6C">
              <w:rPr>
                <w:sz w:val="16"/>
                <w:szCs w:val="16"/>
              </w:rPr>
              <w:t>2023-06</w:t>
            </w:r>
          </w:p>
        </w:tc>
        <w:tc>
          <w:tcPr>
            <w:tcW w:w="800" w:type="dxa"/>
            <w:shd w:val="solid" w:color="FFFFFF" w:fill="auto"/>
          </w:tcPr>
          <w:p w14:paraId="562E60F2" w14:textId="1B8A72DE" w:rsidR="002A3DAF" w:rsidRPr="00873B6C" w:rsidRDefault="002A3DAF" w:rsidP="002C4A81">
            <w:pPr>
              <w:pStyle w:val="TAL"/>
              <w:rPr>
                <w:sz w:val="16"/>
                <w:szCs w:val="16"/>
              </w:rPr>
            </w:pPr>
            <w:r w:rsidRPr="00873B6C">
              <w:rPr>
                <w:sz w:val="16"/>
                <w:szCs w:val="16"/>
              </w:rPr>
              <w:t>SP#100</w:t>
            </w:r>
          </w:p>
        </w:tc>
        <w:tc>
          <w:tcPr>
            <w:tcW w:w="1094" w:type="dxa"/>
            <w:shd w:val="solid" w:color="FFFFFF" w:fill="auto"/>
          </w:tcPr>
          <w:p w14:paraId="4C4A0C83" w14:textId="584A70DF" w:rsidR="002A3DAF" w:rsidRPr="00873B6C" w:rsidRDefault="002A3DAF" w:rsidP="002C4A81">
            <w:pPr>
              <w:pStyle w:val="TAC"/>
              <w:rPr>
                <w:sz w:val="16"/>
                <w:szCs w:val="16"/>
              </w:rPr>
            </w:pPr>
            <w:r w:rsidRPr="00873B6C">
              <w:rPr>
                <w:sz w:val="16"/>
                <w:szCs w:val="16"/>
              </w:rPr>
              <w:t>SP-230495</w:t>
            </w:r>
          </w:p>
        </w:tc>
        <w:tc>
          <w:tcPr>
            <w:tcW w:w="567" w:type="dxa"/>
            <w:shd w:val="solid" w:color="FFFFFF" w:fill="auto"/>
          </w:tcPr>
          <w:p w14:paraId="4FCEED4F" w14:textId="29657DD9" w:rsidR="002A3DAF" w:rsidRPr="00873B6C" w:rsidRDefault="002A3DAF" w:rsidP="002C4A81">
            <w:pPr>
              <w:pStyle w:val="TAL"/>
              <w:rPr>
                <w:sz w:val="16"/>
                <w:szCs w:val="16"/>
              </w:rPr>
            </w:pPr>
            <w:r w:rsidRPr="00873B6C">
              <w:rPr>
                <w:sz w:val="16"/>
                <w:szCs w:val="16"/>
              </w:rPr>
              <w:t>4404</w:t>
            </w:r>
          </w:p>
        </w:tc>
        <w:tc>
          <w:tcPr>
            <w:tcW w:w="425" w:type="dxa"/>
            <w:shd w:val="solid" w:color="FFFFFF" w:fill="auto"/>
          </w:tcPr>
          <w:p w14:paraId="5072C2DE" w14:textId="3599C772" w:rsidR="002A3DAF" w:rsidRPr="00873B6C" w:rsidRDefault="002A3DAF" w:rsidP="002C4A81">
            <w:pPr>
              <w:pStyle w:val="TAL"/>
              <w:rPr>
                <w:sz w:val="16"/>
                <w:szCs w:val="16"/>
              </w:rPr>
            </w:pPr>
            <w:r w:rsidRPr="00873B6C">
              <w:rPr>
                <w:sz w:val="16"/>
                <w:szCs w:val="16"/>
              </w:rPr>
              <w:t>1</w:t>
            </w:r>
          </w:p>
        </w:tc>
        <w:tc>
          <w:tcPr>
            <w:tcW w:w="425" w:type="dxa"/>
            <w:shd w:val="solid" w:color="FFFFFF" w:fill="auto"/>
          </w:tcPr>
          <w:p w14:paraId="5DAAB050" w14:textId="6785438B" w:rsidR="002A3DAF" w:rsidRPr="00873B6C" w:rsidRDefault="002A3DAF" w:rsidP="002C4A81">
            <w:pPr>
              <w:pStyle w:val="TAL"/>
              <w:rPr>
                <w:sz w:val="16"/>
                <w:szCs w:val="16"/>
              </w:rPr>
            </w:pPr>
            <w:r w:rsidRPr="00873B6C">
              <w:rPr>
                <w:sz w:val="16"/>
                <w:szCs w:val="16"/>
              </w:rPr>
              <w:t>B</w:t>
            </w:r>
          </w:p>
        </w:tc>
        <w:tc>
          <w:tcPr>
            <w:tcW w:w="4820" w:type="dxa"/>
            <w:shd w:val="solid" w:color="FFFFFF" w:fill="auto"/>
          </w:tcPr>
          <w:p w14:paraId="783ADBF4" w14:textId="7E7D113F" w:rsidR="002A3DAF" w:rsidRPr="00873B6C" w:rsidRDefault="002A3DAF" w:rsidP="002C4A81">
            <w:pPr>
              <w:pStyle w:val="TAL"/>
              <w:rPr>
                <w:sz w:val="16"/>
                <w:szCs w:val="16"/>
              </w:rPr>
            </w:pPr>
            <w:r w:rsidRPr="00873B6C">
              <w:rPr>
                <w:sz w:val="16"/>
                <w:szCs w:val="16"/>
              </w:rPr>
              <w:t xml:space="preserve">Updates on TSC management information </w:t>
            </w:r>
          </w:p>
        </w:tc>
        <w:tc>
          <w:tcPr>
            <w:tcW w:w="708" w:type="dxa"/>
            <w:shd w:val="solid" w:color="FFFFFF" w:fill="auto"/>
          </w:tcPr>
          <w:p w14:paraId="05151941" w14:textId="1F0B915B" w:rsidR="002A3DAF" w:rsidRPr="00873B6C" w:rsidRDefault="002A3DAF" w:rsidP="002C4A81">
            <w:pPr>
              <w:pStyle w:val="TAC"/>
              <w:rPr>
                <w:sz w:val="16"/>
                <w:szCs w:val="16"/>
              </w:rPr>
            </w:pPr>
            <w:r w:rsidRPr="00873B6C">
              <w:rPr>
                <w:sz w:val="16"/>
                <w:szCs w:val="16"/>
              </w:rPr>
              <w:t>18.2.0</w:t>
            </w:r>
          </w:p>
        </w:tc>
      </w:tr>
      <w:tr w:rsidR="002A3DAF" w:rsidRPr="00873B6C" w14:paraId="1EEFE42B" w14:textId="77777777" w:rsidTr="009D14FB">
        <w:tc>
          <w:tcPr>
            <w:tcW w:w="800" w:type="dxa"/>
            <w:shd w:val="solid" w:color="FFFFFF" w:fill="auto"/>
          </w:tcPr>
          <w:p w14:paraId="5EBCAF60" w14:textId="741105E8" w:rsidR="002A3DAF" w:rsidRPr="00873B6C" w:rsidRDefault="002A3DAF" w:rsidP="002C4A81">
            <w:pPr>
              <w:pStyle w:val="TAC"/>
              <w:rPr>
                <w:sz w:val="16"/>
                <w:szCs w:val="16"/>
              </w:rPr>
            </w:pPr>
            <w:r w:rsidRPr="00873B6C">
              <w:rPr>
                <w:sz w:val="16"/>
                <w:szCs w:val="16"/>
              </w:rPr>
              <w:t>2023-06</w:t>
            </w:r>
          </w:p>
        </w:tc>
        <w:tc>
          <w:tcPr>
            <w:tcW w:w="800" w:type="dxa"/>
            <w:shd w:val="solid" w:color="FFFFFF" w:fill="auto"/>
          </w:tcPr>
          <w:p w14:paraId="07A0D051" w14:textId="4C1C8FA4" w:rsidR="002A3DAF" w:rsidRPr="00873B6C" w:rsidRDefault="002A3DAF" w:rsidP="002C4A81">
            <w:pPr>
              <w:pStyle w:val="TAL"/>
              <w:rPr>
                <w:sz w:val="16"/>
                <w:szCs w:val="16"/>
              </w:rPr>
            </w:pPr>
            <w:r w:rsidRPr="00873B6C">
              <w:rPr>
                <w:sz w:val="16"/>
                <w:szCs w:val="16"/>
              </w:rPr>
              <w:t>SP#100</w:t>
            </w:r>
          </w:p>
        </w:tc>
        <w:tc>
          <w:tcPr>
            <w:tcW w:w="1094" w:type="dxa"/>
            <w:shd w:val="solid" w:color="FFFFFF" w:fill="auto"/>
          </w:tcPr>
          <w:p w14:paraId="3F64701E" w14:textId="5ED98F2B" w:rsidR="002A3DAF" w:rsidRPr="00873B6C" w:rsidRDefault="002A3DAF" w:rsidP="002C4A81">
            <w:pPr>
              <w:pStyle w:val="TAC"/>
              <w:rPr>
                <w:sz w:val="16"/>
                <w:szCs w:val="16"/>
              </w:rPr>
            </w:pPr>
            <w:r w:rsidRPr="00873B6C">
              <w:rPr>
                <w:sz w:val="16"/>
                <w:szCs w:val="16"/>
              </w:rPr>
              <w:t>SP-230457</w:t>
            </w:r>
          </w:p>
        </w:tc>
        <w:tc>
          <w:tcPr>
            <w:tcW w:w="567" w:type="dxa"/>
            <w:shd w:val="solid" w:color="FFFFFF" w:fill="auto"/>
          </w:tcPr>
          <w:p w14:paraId="0B2E0DB0" w14:textId="7EBF51E1" w:rsidR="002A3DAF" w:rsidRPr="00873B6C" w:rsidRDefault="002A3DAF" w:rsidP="002C4A81">
            <w:pPr>
              <w:pStyle w:val="TAL"/>
              <w:rPr>
                <w:sz w:val="16"/>
                <w:szCs w:val="16"/>
              </w:rPr>
            </w:pPr>
            <w:r w:rsidRPr="00873B6C">
              <w:rPr>
                <w:sz w:val="16"/>
                <w:szCs w:val="16"/>
              </w:rPr>
              <w:t>4408</w:t>
            </w:r>
          </w:p>
        </w:tc>
        <w:tc>
          <w:tcPr>
            <w:tcW w:w="425" w:type="dxa"/>
            <w:shd w:val="solid" w:color="FFFFFF" w:fill="auto"/>
          </w:tcPr>
          <w:p w14:paraId="00CFC3CD" w14:textId="0CB513A3" w:rsidR="002A3DAF" w:rsidRPr="00873B6C" w:rsidRDefault="002A3DAF" w:rsidP="002C4A81">
            <w:pPr>
              <w:pStyle w:val="TAL"/>
              <w:rPr>
                <w:sz w:val="16"/>
                <w:szCs w:val="16"/>
              </w:rPr>
            </w:pPr>
            <w:r w:rsidRPr="00873B6C">
              <w:rPr>
                <w:sz w:val="16"/>
                <w:szCs w:val="16"/>
              </w:rPr>
              <w:t>4</w:t>
            </w:r>
          </w:p>
        </w:tc>
        <w:tc>
          <w:tcPr>
            <w:tcW w:w="425" w:type="dxa"/>
            <w:shd w:val="solid" w:color="FFFFFF" w:fill="auto"/>
          </w:tcPr>
          <w:p w14:paraId="3D973F0D" w14:textId="19BF0119" w:rsidR="002A3DAF" w:rsidRPr="00873B6C" w:rsidRDefault="002A3DAF" w:rsidP="002C4A81">
            <w:pPr>
              <w:pStyle w:val="TAL"/>
              <w:rPr>
                <w:sz w:val="16"/>
                <w:szCs w:val="16"/>
              </w:rPr>
            </w:pPr>
            <w:r w:rsidRPr="00873B6C">
              <w:rPr>
                <w:sz w:val="16"/>
                <w:szCs w:val="16"/>
              </w:rPr>
              <w:t>B</w:t>
            </w:r>
          </w:p>
        </w:tc>
        <w:tc>
          <w:tcPr>
            <w:tcW w:w="4820" w:type="dxa"/>
            <w:shd w:val="solid" w:color="FFFFFF" w:fill="auto"/>
          </w:tcPr>
          <w:p w14:paraId="6E5ABCAC" w14:textId="4F99EE5A" w:rsidR="002A3DAF" w:rsidRPr="00873B6C" w:rsidRDefault="002A3DAF" w:rsidP="002C4A81">
            <w:pPr>
              <w:pStyle w:val="TAL"/>
              <w:rPr>
                <w:sz w:val="16"/>
                <w:szCs w:val="16"/>
              </w:rPr>
            </w:pPr>
            <w:r w:rsidRPr="00873B6C">
              <w:rPr>
                <w:sz w:val="16"/>
                <w:szCs w:val="16"/>
              </w:rPr>
              <w:t>NEF capability for the new AIML service</w:t>
            </w:r>
          </w:p>
        </w:tc>
        <w:tc>
          <w:tcPr>
            <w:tcW w:w="708" w:type="dxa"/>
            <w:shd w:val="solid" w:color="FFFFFF" w:fill="auto"/>
          </w:tcPr>
          <w:p w14:paraId="2A050DD1" w14:textId="5F59DD77" w:rsidR="002A3DAF" w:rsidRPr="00873B6C" w:rsidRDefault="002A3DAF" w:rsidP="002C4A81">
            <w:pPr>
              <w:pStyle w:val="TAC"/>
              <w:rPr>
                <w:sz w:val="16"/>
                <w:szCs w:val="16"/>
              </w:rPr>
            </w:pPr>
            <w:r w:rsidRPr="00873B6C">
              <w:rPr>
                <w:sz w:val="16"/>
                <w:szCs w:val="16"/>
              </w:rPr>
              <w:t>18.2.0</w:t>
            </w:r>
          </w:p>
        </w:tc>
      </w:tr>
      <w:tr w:rsidR="000046DD" w:rsidRPr="00873B6C" w14:paraId="32435678" w14:textId="77777777" w:rsidTr="009D14FB">
        <w:tc>
          <w:tcPr>
            <w:tcW w:w="800" w:type="dxa"/>
            <w:shd w:val="solid" w:color="FFFFFF" w:fill="auto"/>
          </w:tcPr>
          <w:p w14:paraId="0D8B85ED" w14:textId="5C590E09"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3C9D934A" w14:textId="5F7C644E"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04284E96" w14:textId="7640C39B" w:rsidR="000046DD" w:rsidRPr="00873B6C" w:rsidRDefault="000046DD" w:rsidP="002C4A81">
            <w:pPr>
              <w:pStyle w:val="TAC"/>
              <w:rPr>
                <w:sz w:val="16"/>
                <w:szCs w:val="16"/>
              </w:rPr>
            </w:pPr>
            <w:r w:rsidRPr="00873B6C">
              <w:rPr>
                <w:sz w:val="16"/>
                <w:szCs w:val="16"/>
              </w:rPr>
              <w:t>SP-230478</w:t>
            </w:r>
          </w:p>
        </w:tc>
        <w:tc>
          <w:tcPr>
            <w:tcW w:w="567" w:type="dxa"/>
            <w:shd w:val="solid" w:color="FFFFFF" w:fill="auto"/>
          </w:tcPr>
          <w:p w14:paraId="195B75A9" w14:textId="4220F9E6" w:rsidR="000046DD" w:rsidRPr="00873B6C" w:rsidRDefault="000046DD" w:rsidP="002C4A81">
            <w:pPr>
              <w:pStyle w:val="TAL"/>
              <w:rPr>
                <w:sz w:val="16"/>
                <w:szCs w:val="16"/>
              </w:rPr>
            </w:pPr>
            <w:r w:rsidRPr="00873B6C">
              <w:rPr>
                <w:sz w:val="16"/>
                <w:szCs w:val="16"/>
              </w:rPr>
              <w:t>4410</w:t>
            </w:r>
          </w:p>
        </w:tc>
        <w:tc>
          <w:tcPr>
            <w:tcW w:w="425" w:type="dxa"/>
            <w:shd w:val="solid" w:color="FFFFFF" w:fill="auto"/>
          </w:tcPr>
          <w:p w14:paraId="64BD8B77" w14:textId="061FC62C" w:rsidR="000046DD" w:rsidRPr="00873B6C" w:rsidRDefault="000046DD" w:rsidP="002C4A81">
            <w:pPr>
              <w:pStyle w:val="TAL"/>
              <w:rPr>
                <w:sz w:val="16"/>
                <w:szCs w:val="16"/>
              </w:rPr>
            </w:pPr>
            <w:r w:rsidRPr="00873B6C">
              <w:rPr>
                <w:sz w:val="16"/>
                <w:szCs w:val="16"/>
              </w:rPr>
              <w:t xml:space="preserve">1 </w:t>
            </w:r>
          </w:p>
        </w:tc>
        <w:tc>
          <w:tcPr>
            <w:tcW w:w="425" w:type="dxa"/>
            <w:shd w:val="solid" w:color="FFFFFF" w:fill="auto"/>
          </w:tcPr>
          <w:p w14:paraId="569C417A" w14:textId="0C0242C1"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4388B8B7" w14:textId="4DC7A581" w:rsidR="000046DD" w:rsidRPr="00873B6C" w:rsidRDefault="000046DD" w:rsidP="002C4A81">
            <w:pPr>
              <w:pStyle w:val="TAL"/>
              <w:rPr>
                <w:sz w:val="16"/>
                <w:szCs w:val="16"/>
              </w:rPr>
            </w:pPr>
            <w:r w:rsidRPr="00873B6C">
              <w:rPr>
                <w:sz w:val="16"/>
                <w:szCs w:val="16"/>
              </w:rPr>
              <w:t>KI#1: Other Group Attributes</w:t>
            </w:r>
          </w:p>
        </w:tc>
        <w:tc>
          <w:tcPr>
            <w:tcW w:w="708" w:type="dxa"/>
            <w:shd w:val="solid" w:color="FFFFFF" w:fill="auto"/>
          </w:tcPr>
          <w:p w14:paraId="6F2324B0" w14:textId="7F2512F6" w:rsidR="000046DD" w:rsidRPr="00873B6C" w:rsidRDefault="000046DD" w:rsidP="002C4A81">
            <w:pPr>
              <w:pStyle w:val="TAC"/>
              <w:rPr>
                <w:sz w:val="16"/>
                <w:szCs w:val="16"/>
              </w:rPr>
            </w:pPr>
            <w:r w:rsidRPr="00873B6C">
              <w:rPr>
                <w:sz w:val="16"/>
                <w:szCs w:val="16"/>
              </w:rPr>
              <w:t>18.2.0</w:t>
            </w:r>
          </w:p>
        </w:tc>
      </w:tr>
      <w:tr w:rsidR="000046DD" w:rsidRPr="00873B6C" w14:paraId="1299017C" w14:textId="77777777" w:rsidTr="009D14FB">
        <w:tc>
          <w:tcPr>
            <w:tcW w:w="800" w:type="dxa"/>
            <w:shd w:val="solid" w:color="FFFFFF" w:fill="auto"/>
          </w:tcPr>
          <w:p w14:paraId="452AC726" w14:textId="12DAB7F5"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1526DEE4" w14:textId="6BCFF789"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0F417B64" w14:textId="11040905" w:rsidR="000046DD" w:rsidRPr="00873B6C" w:rsidRDefault="000046DD" w:rsidP="002C4A81">
            <w:pPr>
              <w:pStyle w:val="TAC"/>
              <w:rPr>
                <w:sz w:val="16"/>
                <w:szCs w:val="16"/>
              </w:rPr>
            </w:pPr>
            <w:r w:rsidRPr="00873B6C">
              <w:rPr>
                <w:sz w:val="16"/>
                <w:szCs w:val="16"/>
              </w:rPr>
              <w:t>SP-230478</w:t>
            </w:r>
          </w:p>
        </w:tc>
        <w:tc>
          <w:tcPr>
            <w:tcW w:w="567" w:type="dxa"/>
            <w:shd w:val="solid" w:color="FFFFFF" w:fill="auto"/>
          </w:tcPr>
          <w:p w14:paraId="5E276565" w14:textId="24583231" w:rsidR="000046DD" w:rsidRPr="00873B6C" w:rsidRDefault="000046DD" w:rsidP="002C4A81">
            <w:pPr>
              <w:pStyle w:val="TAL"/>
              <w:rPr>
                <w:sz w:val="16"/>
                <w:szCs w:val="16"/>
              </w:rPr>
            </w:pPr>
            <w:r w:rsidRPr="00873B6C">
              <w:rPr>
                <w:sz w:val="16"/>
                <w:szCs w:val="16"/>
              </w:rPr>
              <w:t>4411</w:t>
            </w:r>
          </w:p>
        </w:tc>
        <w:tc>
          <w:tcPr>
            <w:tcW w:w="425" w:type="dxa"/>
            <w:shd w:val="solid" w:color="FFFFFF" w:fill="auto"/>
          </w:tcPr>
          <w:p w14:paraId="2869CB21" w14:textId="668A392C"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7DA278FE" w14:textId="5FC02FBD"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5D089777" w14:textId="6AF44EEF" w:rsidR="000046DD" w:rsidRPr="00873B6C" w:rsidRDefault="000046DD" w:rsidP="002C4A81">
            <w:pPr>
              <w:pStyle w:val="TAL"/>
              <w:rPr>
                <w:sz w:val="16"/>
                <w:szCs w:val="16"/>
              </w:rPr>
            </w:pPr>
            <w:r w:rsidRPr="00873B6C">
              <w:rPr>
                <w:sz w:val="16"/>
                <w:szCs w:val="16"/>
              </w:rPr>
              <w:t>KI#1: QoS for a group</w:t>
            </w:r>
          </w:p>
        </w:tc>
        <w:tc>
          <w:tcPr>
            <w:tcW w:w="708" w:type="dxa"/>
            <w:shd w:val="solid" w:color="FFFFFF" w:fill="auto"/>
          </w:tcPr>
          <w:p w14:paraId="2DA79F5A" w14:textId="39850888" w:rsidR="000046DD" w:rsidRPr="00873B6C" w:rsidRDefault="000046DD" w:rsidP="002C4A81">
            <w:pPr>
              <w:pStyle w:val="TAC"/>
              <w:rPr>
                <w:sz w:val="16"/>
                <w:szCs w:val="16"/>
              </w:rPr>
            </w:pPr>
            <w:r w:rsidRPr="00873B6C">
              <w:rPr>
                <w:sz w:val="16"/>
                <w:szCs w:val="16"/>
              </w:rPr>
              <w:t>18.2.0</w:t>
            </w:r>
          </w:p>
        </w:tc>
      </w:tr>
      <w:tr w:rsidR="000046DD" w:rsidRPr="00873B6C" w14:paraId="5B3255FF" w14:textId="77777777" w:rsidTr="009D14FB">
        <w:tc>
          <w:tcPr>
            <w:tcW w:w="800" w:type="dxa"/>
            <w:shd w:val="solid" w:color="FFFFFF" w:fill="auto"/>
          </w:tcPr>
          <w:p w14:paraId="0A1A56B4" w14:textId="351A0BB4"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2F7CF9DA" w14:textId="433FB9BA"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889FE74" w14:textId="65E880E5" w:rsidR="000046DD" w:rsidRPr="00873B6C" w:rsidRDefault="000046DD" w:rsidP="002C4A81">
            <w:pPr>
              <w:pStyle w:val="TAC"/>
              <w:rPr>
                <w:sz w:val="16"/>
                <w:szCs w:val="16"/>
              </w:rPr>
            </w:pPr>
            <w:r w:rsidRPr="00873B6C">
              <w:rPr>
                <w:sz w:val="16"/>
                <w:szCs w:val="16"/>
              </w:rPr>
              <w:t>SP-230478</w:t>
            </w:r>
          </w:p>
        </w:tc>
        <w:tc>
          <w:tcPr>
            <w:tcW w:w="567" w:type="dxa"/>
            <w:shd w:val="solid" w:color="FFFFFF" w:fill="auto"/>
          </w:tcPr>
          <w:p w14:paraId="10F39550" w14:textId="7EC4FD64" w:rsidR="000046DD" w:rsidRPr="00873B6C" w:rsidRDefault="000046DD" w:rsidP="002C4A81">
            <w:pPr>
              <w:pStyle w:val="TAL"/>
              <w:rPr>
                <w:sz w:val="16"/>
                <w:szCs w:val="16"/>
              </w:rPr>
            </w:pPr>
            <w:r w:rsidRPr="00873B6C">
              <w:rPr>
                <w:sz w:val="16"/>
                <w:szCs w:val="16"/>
              </w:rPr>
              <w:t>4413</w:t>
            </w:r>
          </w:p>
        </w:tc>
        <w:tc>
          <w:tcPr>
            <w:tcW w:w="425" w:type="dxa"/>
            <w:shd w:val="solid" w:color="FFFFFF" w:fill="auto"/>
          </w:tcPr>
          <w:p w14:paraId="6BB3EA7D" w14:textId="6639E9F3"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7037A1BD" w14:textId="56D0FC99"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2144B1E5" w14:textId="2A7753F2" w:rsidR="000046DD" w:rsidRPr="00873B6C" w:rsidRDefault="000046DD" w:rsidP="002C4A81">
            <w:pPr>
              <w:pStyle w:val="TAL"/>
              <w:rPr>
                <w:sz w:val="16"/>
                <w:szCs w:val="16"/>
              </w:rPr>
            </w:pPr>
            <w:r w:rsidRPr="00873B6C">
              <w:rPr>
                <w:sz w:val="16"/>
                <w:szCs w:val="16"/>
              </w:rPr>
              <w:t>KI#5: Reference Correction for Group QoS</w:t>
            </w:r>
          </w:p>
        </w:tc>
        <w:tc>
          <w:tcPr>
            <w:tcW w:w="708" w:type="dxa"/>
            <w:shd w:val="solid" w:color="FFFFFF" w:fill="auto"/>
          </w:tcPr>
          <w:p w14:paraId="636956C3" w14:textId="3EDC4700" w:rsidR="000046DD" w:rsidRPr="00873B6C" w:rsidRDefault="000046DD" w:rsidP="002C4A81">
            <w:pPr>
              <w:pStyle w:val="TAC"/>
              <w:rPr>
                <w:sz w:val="16"/>
                <w:szCs w:val="16"/>
              </w:rPr>
            </w:pPr>
            <w:r w:rsidRPr="00873B6C">
              <w:rPr>
                <w:sz w:val="16"/>
                <w:szCs w:val="16"/>
              </w:rPr>
              <w:t>18.2.0</w:t>
            </w:r>
          </w:p>
        </w:tc>
      </w:tr>
      <w:tr w:rsidR="000046DD" w:rsidRPr="00873B6C" w14:paraId="697D0E31" w14:textId="77777777" w:rsidTr="009D14FB">
        <w:tc>
          <w:tcPr>
            <w:tcW w:w="800" w:type="dxa"/>
            <w:shd w:val="solid" w:color="FFFFFF" w:fill="auto"/>
          </w:tcPr>
          <w:p w14:paraId="2C859F17" w14:textId="7D96641C"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1D34FFE9" w14:textId="0D8B7F1C"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154A5D39" w14:textId="2849BB5A" w:rsidR="000046DD" w:rsidRPr="00873B6C" w:rsidRDefault="000046DD" w:rsidP="002C4A81">
            <w:pPr>
              <w:pStyle w:val="TAC"/>
              <w:rPr>
                <w:sz w:val="16"/>
                <w:szCs w:val="16"/>
              </w:rPr>
            </w:pPr>
            <w:r w:rsidRPr="00873B6C">
              <w:rPr>
                <w:sz w:val="16"/>
                <w:szCs w:val="16"/>
              </w:rPr>
              <w:t>SP-230486</w:t>
            </w:r>
          </w:p>
        </w:tc>
        <w:tc>
          <w:tcPr>
            <w:tcW w:w="567" w:type="dxa"/>
            <w:shd w:val="solid" w:color="FFFFFF" w:fill="auto"/>
          </w:tcPr>
          <w:p w14:paraId="60E7036F" w14:textId="3B980F3E" w:rsidR="000046DD" w:rsidRPr="00873B6C" w:rsidRDefault="000046DD" w:rsidP="002C4A81">
            <w:pPr>
              <w:pStyle w:val="TAL"/>
              <w:rPr>
                <w:sz w:val="16"/>
                <w:szCs w:val="16"/>
              </w:rPr>
            </w:pPr>
            <w:r w:rsidRPr="00873B6C">
              <w:rPr>
                <w:sz w:val="16"/>
                <w:szCs w:val="16"/>
              </w:rPr>
              <w:t>4415</w:t>
            </w:r>
          </w:p>
        </w:tc>
        <w:tc>
          <w:tcPr>
            <w:tcW w:w="425" w:type="dxa"/>
            <w:shd w:val="solid" w:color="FFFFFF" w:fill="auto"/>
          </w:tcPr>
          <w:p w14:paraId="197BAE37" w14:textId="538D8E98"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38D7353E" w14:textId="78A44B96" w:rsidR="000046DD" w:rsidRPr="00873B6C" w:rsidRDefault="000046DD" w:rsidP="002C4A81">
            <w:pPr>
              <w:pStyle w:val="TAL"/>
              <w:rPr>
                <w:sz w:val="16"/>
                <w:szCs w:val="16"/>
              </w:rPr>
            </w:pPr>
            <w:r w:rsidRPr="00873B6C">
              <w:rPr>
                <w:sz w:val="16"/>
                <w:szCs w:val="16"/>
              </w:rPr>
              <w:t>F</w:t>
            </w:r>
          </w:p>
        </w:tc>
        <w:tc>
          <w:tcPr>
            <w:tcW w:w="4820" w:type="dxa"/>
            <w:shd w:val="solid" w:color="FFFFFF" w:fill="auto"/>
          </w:tcPr>
          <w:p w14:paraId="33226D62" w14:textId="51F4A8AF" w:rsidR="000046DD" w:rsidRPr="00873B6C" w:rsidRDefault="000046DD" w:rsidP="002C4A81">
            <w:pPr>
              <w:pStyle w:val="TAL"/>
              <w:rPr>
                <w:sz w:val="16"/>
                <w:szCs w:val="16"/>
              </w:rPr>
            </w:pPr>
            <w:r w:rsidRPr="00873B6C">
              <w:rPr>
                <w:sz w:val="16"/>
                <w:szCs w:val="16"/>
              </w:rPr>
              <w:t>Corrections and alignments of SFC terminology</w:t>
            </w:r>
          </w:p>
        </w:tc>
        <w:tc>
          <w:tcPr>
            <w:tcW w:w="708" w:type="dxa"/>
            <w:shd w:val="solid" w:color="FFFFFF" w:fill="auto"/>
          </w:tcPr>
          <w:p w14:paraId="4ACB049E" w14:textId="31F830B2" w:rsidR="000046DD" w:rsidRPr="00873B6C" w:rsidRDefault="000046DD" w:rsidP="002C4A81">
            <w:pPr>
              <w:pStyle w:val="TAC"/>
              <w:rPr>
                <w:sz w:val="16"/>
                <w:szCs w:val="16"/>
              </w:rPr>
            </w:pPr>
            <w:r w:rsidRPr="00873B6C">
              <w:rPr>
                <w:sz w:val="16"/>
                <w:szCs w:val="16"/>
              </w:rPr>
              <w:t>18.2.0</w:t>
            </w:r>
          </w:p>
        </w:tc>
      </w:tr>
      <w:tr w:rsidR="000046DD" w:rsidRPr="00873B6C" w14:paraId="4A7A5792" w14:textId="77777777" w:rsidTr="009D14FB">
        <w:tc>
          <w:tcPr>
            <w:tcW w:w="800" w:type="dxa"/>
            <w:shd w:val="solid" w:color="FFFFFF" w:fill="auto"/>
          </w:tcPr>
          <w:p w14:paraId="6EC75B01" w14:textId="527E5F78"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70FB254E" w14:textId="552159DB"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DD3098F" w14:textId="698AEB1E" w:rsidR="000046DD" w:rsidRPr="00873B6C" w:rsidRDefault="000046DD" w:rsidP="002C4A81">
            <w:pPr>
              <w:pStyle w:val="TAC"/>
              <w:rPr>
                <w:sz w:val="16"/>
                <w:szCs w:val="16"/>
              </w:rPr>
            </w:pPr>
            <w:r w:rsidRPr="00873B6C">
              <w:rPr>
                <w:sz w:val="16"/>
                <w:szCs w:val="16"/>
              </w:rPr>
              <w:t>SP-230452</w:t>
            </w:r>
          </w:p>
        </w:tc>
        <w:tc>
          <w:tcPr>
            <w:tcW w:w="567" w:type="dxa"/>
            <w:shd w:val="solid" w:color="FFFFFF" w:fill="auto"/>
          </w:tcPr>
          <w:p w14:paraId="5422A643" w14:textId="7B810989" w:rsidR="000046DD" w:rsidRPr="00873B6C" w:rsidRDefault="000046DD" w:rsidP="002C4A81">
            <w:pPr>
              <w:pStyle w:val="TAL"/>
              <w:rPr>
                <w:sz w:val="16"/>
                <w:szCs w:val="16"/>
              </w:rPr>
            </w:pPr>
            <w:r w:rsidRPr="00873B6C">
              <w:rPr>
                <w:sz w:val="16"/>
                <w:szCs w:val="16"/>
              </w:rPr>
              <w:t>4422</w:t>
            </w:r>
          </w:p>
        </w:tc>
        <w:tc>
          <w:tcPr>
            <w:tcW w:w="425" w:type="dxa"/>
            <w:shd w:val="solid" w:color="FFFFFF" w:fill="auto"/>
          </w:tcPr>
          <w:p w14:paraId="50514728" w14:textId="2057CAF3" w:rsidR="000046DD" w:rsidRPr="00873B6C" w:rsidRDefault="000046DD" w:rsidP="002C4A81">
            <w:pPr>
              <w:pStyle w:val="TAL"/>
              <w:rPr>
                <w:sz w:val="16"/>
                <w:szCs w:val="16"/>
              </w:rPr>
            </w:pPr>
            <w:r w:rsidRPr="00873B6C">
              <w:rPr>
                <w:sz w:val="16"/>
                <w:szCs w:val="16"/>
              </w:rPr>
              <w:t>-</w:t>
            </w:r>
          </w:p>
        </w:tc>
        <w:tc>
          <w:tcPr>
            <w:tcW w:w="425" w:type="dxa"/>
            <w:shd w:val="solid" w:color="FFFFFF" w:fill="auto"/>
          </w:tcPr>
          <w:p w14:paraId="5923BC2C" w14:textId="6311A19E" w:rsidR="000046DD" w:rsidRPr="00873B6C" w:rsidRDefault="000046DD" w:rsidP="002C4A81">
            <w:pPr>
              <w:pStyle w:val="TAL"/>
              <w:rPr>
                <w:sz w:val="16"/>
                <w:szCs w:val="16"/>
              </w:rPr>
            </w:pPr>
            <w:r w:rsidRPr="00873B6C">
              <w:rPr>
                <w:sz w:val="16"/>
                <w:szCs w:val="16"/>
              </w:rPr>
              <w:t>F</w:t>
            </w:r>
          </w:p>
        </w:tc>
        <w:tc>
          <w:tcPr>
            <w:tcW w:w="4820" w:type="dxa"/>
            <w:shd w:val="solid" w:color="FFFFFF" w:fill="auto"/>
          </w:tcPr>
          <w:p w14:paraId="4AF6BA60" w14:textId="36722655" w:rsidR="000046DD" w:rsidRPr="00873B6C" w:rsidRDefault="000046DD" w:rsidP="002C4A81">
            <w:pPr>
              <w:pStyle w:val="TAL"/>
              <w:rPr>
                <w:sz w:val="16"/>
                <w:szCs w:val="16"/>
              </w:rPr>
            </w:pPr>
            <w:r w:rsidRPr="00873B6C">
              <w:rPr>
                <w:sz w:val="16"/>
                <w:szCs w:val="16"/>
              </w:rPr>
              <w:t>Clarification of local switch via UPF on GEO satellites</w:t>
            </w:r>
          </w:p>
        </w:tc>
        <w:tc>
          <w:tcPr>
            <w:tcW w:w="708" w:type="dxa"/>
            <w:shd w:val="solid" w:color="FFFFFF" w:fill="auto"/>
          </w:tcPr>
          <w:p w14:paraId="7658DF45" w14:textId="54354EFD" w:rsidR="000046DD" w:rsidRPr="00873B6C" w:rsidRDefault="000046DD" w:rsidP="002C4A81">
            <w:pPr>
              <w:pStyle w:val="TAC"/>
              <w:rPr>
                <w:sz w:val="16"/>
                <w:szCs w:val="16"/>
              </w:rPr>
            </w:pPr>
            <w:r w:rsidRPr="00873B6C">
              <w:rPr>
                <w:sz w:val="16"/>
                <w:szCs w:val="16"/>
              </w:rPr>
              <w:t>18.2.0</w:t>
            </w:r>
          </w:p>
        </w:tc>
      </w:tr>
      <w:tr w:rsidR="000046DD" w:rsidRPr="00873B6C" w14:paraId="53436BB4" w14:textId="77777777" w:rsidTr="009D14FB">
        <w:tc>
          <w:tcPr>
            <w:tcW w:w="800" w:type="dxa"/>
            <w:shd w:val="solid" w:color="FFFFFF" w:fill="auto"/>
          </w:tcPr>
          <w:p w14:paraId="6A130144" w14:textId="5C87B35A"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7624739A" w14:textId="5CF8712A"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F73DC58" w14:textId="193CD8F4" w:rsidR="000046DD" w:rsidRPr="00873B6C" w:rsidRDefault="000046DD" w:rsidP="002C4A81">
            <w:pPr>
              <w:pStyle w:val="TAC"/>
              <w:rPr>
                <w:sz w:val="16"/>
                <w:szCs w:val="16"/>
              </w:rPr>
            </w:pPr>
            <w:r w:rsidRPr="00873B6C">
              <w:rPr>
                <w:sz w:val="16"/>
                <w:szCs w:val="16"/>
              </w:rPr>
              <w:t>SP-230471</w:t>
            </w:r>
          </w:p>
        </w:tc>
        <w:tc>
          <w:tcPr>
            <w:tcW w:w="567" w:type="dxa"/>
            <w:shd w:val="solid" w:color="FFFFFF" w:fill="auto"/>
          </w:tcPr>
          <w:p w14:paraId="4AD9107B" w14:textId="421A408F" w:rsidR="000046DD" w:rsidRPr="00873B6C" w:rsidRDefault="000046DD" w:rsidP="002C4A81">
            <w:pPr>
              <w:pStyle w:val="TAL"/>
              <w:rPr>
                <w:sz w:val="16"/>
                <w:szCs w:val="16"/>
              </w:rPr>
            </w:pPr>
            <w:r w:rsidRPr="00873B6C">
              <w:rPr>
                <w:sz w:val="16"/>
                <w:szCs w:val="16"/>
              </w:rPr>
              <w:t>4424</w:t>
            </w:r>
          </w:p>
        </w:tc>
        <w:tc>
          <w:tcPr>
            <w:tcW w:w="425" w:type="dxa"/>
            <w:shd w:val="solid" w:color="FFFFFF" w:fill="auto"/>
          </w:tcPr>
          <w:p w14:paraId="045A29E9" w14:textId="042B81CC" w:rsidR="000046DD" w:rsidRPr="00873B6C" w:rsidRDefault="000046DD" w:rsidP="002C4A81">
            <w:pPr>
              <w:pStyle w:val="TAL"/>
              <w:rPr>
                <w:sz w:val="16"/>
                <w:szCs w:val="16"/>
              </w:rPr>
            </w:pPr>
            <w:r w:rsidRPr="00873B6C">
              <w:rPr>
                <w:sz w:val="16"/>
                <w:szCs w:val="16"/>
              </w:rPr>
              <w:t>-</w:t>
            </w:r>
          </w:p>
        </w:tc>
        <w:tc>
          <w:tcPr>
            <w:tcW w:w="425" w:type="dxa"/>
            <w:shd w:val="solid" w:color="FFFFFF" w:fill="auto"/>
          </w:tcPr>
          <w:p w14:paraId="1206805A" w14:textId="141F2C67" w:rsidR="000046DD" w:rsidRPr="00873B6C" w:rsidRDefault="000046DD" w:rsidP="002C4A81">
            <w:pPr>
              <w:pStyle w:val="TAL"/>
              <w:rPr>
                <w:sz w:val="16"/>
                <w:szCs w:val="16"/>
              </w:rPr>
            </w:pPr>
            <w:r w:rsidRPr="00873B6C">
              <w:rPr>
                <w:sz w:val="16"/>
                <w:szCs w:val="16"/>
              </w:rPr>
              <w:t>F</w:t>
            </w:r>
          </w:p>
        </w:tc>
        <w:tc>
          <w:tcPr>
            <w:tcW w:w="4820" w:type="dxa"/>
            <w:shd w:val="solid" w:color="FFFFFF" w:fill="auto"/>
          </w:tcPr>
          <w:p w14:paraId="1E76B2B9" w14:textId="0AF7353A" w:rsidR="000046DD" w:rsidRPr="00873B6C" w:rsidRDefault="000046DD" w:rsidP="002C4A81">
            <w:pPr>
              <w:pStyle w:val="TAL"/>
              <w:rPr>
                <w:sz w:val="16"/>
                <w:szCs w:val="16"/>
              </w:rPr>
            </w:pPr>
            <w:r w:rsidRPr="00873B6C">
              <w:rPr>
                <w:sz w:val="16"/>
                <w:szCs w:val="16"/>
              </w:rPr>
              <w:t>Clarification on the onboarding indication</w:t>
            </w:r>
          </w:p>
        </w:tc>
        <w:tc>
          <w:tcPr>
            <w:tcW w:w="708" w:type="dxa"/>
            <w:shd w:val="solid" w:color="FFFFFF" w:fill="auto"/>
          </w:tcPr>
          <w:p w14:paraId="4AB31542" w14:textId="48C1A253" w:rsidR="000046DD" w:rsidRPr="00873B6C" w:rsidRDefault="000046DD" w:rsidP="002C4A81">
            <w:pPr>
              <w:pStyle w:val="TAC"/>
              <w:rPr>
                <w:sz w:val="16"/>
                <w:szCs w:val="16"/>
              </w:rPr>
            </w:pPr>
            <w:r w:rsidRPr="00873B6C">
              <w:rPr>
                <w:sz w:val="16"/>
                <w:szCs w:val="16"/>
              </w:rPr>
              <w:t>18.2.0</w:t>
            </w:r>
          </w:p>
        </w:tc>
      </w:tr>
      <w:tr w:rsidR="000046DD" w:rsidRPr="00873B6C" w14:paraId="100940E5" w14:textId="77777777" w:rsidTr="009D14FB">
        <w:tc>
          <w:tcPr>
            <w:tcW w:w="800" w:type="dxa"/>
            <w:shd w:val="solid" w:color="FFFFFF" w:fill="auto"/>
          </w:tcPr>
          <w:p w14:paraId="419A8AE4" w14:textId="4E0B4976"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60CF1C7A" w14:textId="220E1D85"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04845163" w14:textId="58A3E720" w:rsidR="000046DD" w:rsidRPr="00873B6C" w:rsidRDefault="000046DD" w:rsidP="002C4A81">
            <w:pPr>
              <w:pStyle w:val="TAC"/>
              <w:rPr>
                <w:sz w:val="16"/>
                <w:szCs w:val="16"/>
              </w:rPr>
            </w:pPr>
            <w:r w:rsidRPr="00873B6C">
              <w:rPr>
                <w:sz w:val="16"/>
                <w:szCs w:val="16"/>
              </w:rPr>
              <w:t>SP-230457</w:t>
            </w:r>
          </w:p>
        </w:tc>
        <w:tc>
          <w:tcPr>
            <w:tcW w:w="567" w:type="dxa"/>
            <w:shd w:val="solid" w:color="FFFFFF" w:fill="auto"/>
          </w:tcPr>
          <w:p w14:paraId="6332E701" w14:textId="128F2F24" w:rsidR="000046DD" w:rsidRPr="00873B6C" w:rsidRDefault="000046DD" w:rsidP="002C4A81">
            <w:pPr>
              <w:pStyle w:val="TAL"/>
              <w:rPr>
                <w:sz w:val="16"/>
                <w:szCs w:val="16"/>
              </w:rPr>
            </w:pPr>
            <w:r w:rsidRPr="00873B6C">
              <w:rPr>
                <w:sz w:val="16"/>
                <w:szCs w:val="16"/>
              </w:rPr>
              <w:t>4427</w:t>
            </w:r>
          </w:p>
        </w:tc>
        <w:tc>
          <w:tcPr>
            <w:tcW w:w="425" w:type="dxa"/>
            <w:shd w:val="solid" w:color="FFFFFF" w:fill="auto"/>
          </w:tcPr>
          <w:p w14:paraId="32D4F95D" w14:textId="1A1037EB" w:rsidR="000046DD" w:rsidRPr="00873B6C" w:rsidRDefault="000046DD" w:rsidP="002C4A81">
            <w:pPr>
              <w:pStyle w:val="TAL"/>
              <w:rPr>
                <w:sz w:val="16"/>
                <w:szCs w:val="16"/>
              </w:rPr>
            </w:pPr>
            <w:r w:rsidRPr="00873B6C">
              <w:rPr>
                <w:sz w:val="16"/>
                <w:szCs w:val="16"/>
              </w:rPr>
              <w:t>3</w:t>
            </w:r>
          </w:p>
        </w:tc>
        <w:tc>
          <w:tcPr>
            <w:tcW w:w="425" w:type="dxa"/>
            <w:shd w:val="solid" w:color="FFFFFF" w:fill="auto"/>
          </w:tcPr>
          <w:p w14:paraId="2F6F431F" w14:textId="7B3E02EA" w:rsidR="000046DD" w:rsidRPr="00873B6C" w:rsidRDefault="000046DD" w:rsidP="002C4A81">
            <w:pPr>
              <w:pStyle w:val="TAL"/>
              <w:rPr>
                <w:sz w:val="16"/>
                <w:szCs w:val="16"/>
              </w:rPr>
            </w:pPr>
            <w:r w:rsidRPr="00873B6C">
              <w:rPr>
                <w:sz w:val="16"/>
                <w:szCs w:val="16"/>
              </w:rPr>
              <w:t>F</w:t>
            </w:r>
          </w:p>
        </w:tc>
        <w:tc>
          <w:tcPr>
            <w:tcW w:w="4820" w:type="dxa"/>
            <w:shd w:val="solid" w:color="FFFFFF" w:fill="auto"/>
          </w:tcPr>
          <w:p w14:paraId="5A6ECA09" w14:textId="1502D554" w:rsidR="000046DD" w:rsidRPr="00873B6C" w:rsidRDefault="000046DD" w:rsidP="002C4A81">
            <w:pPr>
              <w:pStyle w:val="TAL"/>
              <w:rPr>
                <w:sz w:val="16"/>
                <w:szCs w:val="16"/>
              </w:rPr>
            </w:pPr>
            <w:r w:rsidRPr="00873B6C">
              <w:rPr>
                <w:sz w:val="16"/>
                <w:szCs w:val="16"/>
              </w:rPr>
              <w:t>Clarifications on the UE member selection assistance functionality</w:t>
            </w:r>
          </w:p>
        </w:tc>
        <w:tc>
          <w:tcPr>
            <w:tcW w:w="708" w:type="dxa"/>
            <w:shd w:val="solid" w:color="FFFFFF" w:fill="auto"/>
          </w:tcPr>
          <w:p w14:paraId="6749A9F0" w14:textId="28BEB6FB" w:rsidR="000046DD" w:rsidRPr="00873B6C" w:rsidRDefault="000046DD" w:rsidP="002C4A81">
            <w:pPr>
              <w:pStyle w:val="TAC"/>
              <w:rPr>
                <w:sz w:val="16"/>
                <w:szCs w:val="16"/>
              </w:rPr>
            </w:pPr>
            <w:r w:rsidRPr="00873B6C">
              <w:rPr>
                <w:sz w:val="16"/>
                <w:szCs w:val="16"/>
              </w:rPr>
              <w:t>18.2.0</w:t>
            </w:r>
          </w:p>
        </w:tc>
      </w:tr>
      <w:tr w:rsidR="000046DD" w:rsidRPr="00873B6C" w14:paraId="078D7A3A" w14:textId="77777777" w:rsidTr="009D14FB">
        <w:tc>
          <w:tcPr>
            <w:tcW w:w="800" w:type="dxa"/>
            <w:shd w:val="solid" w:color="FFFFFF" w:fill="auto"/>
          </w:tcPr>
          <w:p w14:paraId="2568AB6D" w14:textId="5996AC34"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3B853E7A" w14:textId="04593C62"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01BAABE9" w14:textId="19125CDE" w:rsidR="000046DD" w:rsidRPr="00873B6C" w:rsidRDefault="000046DD" w:rsidP="002C4A81">
            <w:pPr>
              <w:pStyle w:val="TAC"/>
              <w:rPr>
                <w:sz w:val="16"/>
                <w:szCs w:val="16"/>
              </w:rPr>
            </w:pPr>
            <w:r w:rsidRPr="00873B6C">
              <w:rPr>
                <w:sz w:val="16"/>
                <w:szCs w:val="16"/>
              </w:rPr>
              <w:t>SP-230469</w:t>
            </w:r>
          </w:p>
        </w:tc>
        <w:tc>
          <w:tcPr>
            <w:tcW w:w="567" w:type="dxa"/>
            <w:shd w:val="solid" w:color="FFFFFF" w:fill="auto"/>
          </w:tcPr>
          <w:p w14:paraId="7161B819" w14:textId="6E6E27E2" w:rsidR="000046DD" w:rsidRPr="00873B6C" w:rsidRDefault="000046DD" w:rsidP="002C4A81">
            <w:pPr>
              <w:pStyle w:val="TAL"/>
              <w:rPr>
                <w:sz w:val="16"/>
                <w:szCs w:val="16"/>
              </w:rPr>
            </w:pPr>
            <w:r w:rsidRPr="00873B6C">
              <w:rPr>
                <w:sz w:val="16"/>
                <w:szCs w:val="16"/>
              </w:rPr>
              <w:t>4428</w:t>
            </w:r>
          </w:p>
        </w:tc>
        <w:tc>
          <w:tcPr>
            <w:tcW w:w="425" w:type="dxa"/>
            <w:shd w:val="solid" w:color="FFFFFF" w:fill="auto"/>
          </w:tcPr>
          <w:p w14:paraId="4CE0889A" w14:textId="12FCF05B"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5CE54D8A" w14:textId="0C9D923A"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63DC9FEA" w14:textId="13FF7345" w:rsidR="000046DD" w:rsidRPr="00873B6C" w:rsidRDefault="000046DD" w:rsidP="002C4A81">
            <w:pPr>
              <w:pStyle w:val="TAL"/>
              <w:rPr>
                <w:sz w:val="16"/>
                <w:szCs w:val="16"/>
              </w:rPr>
            </w:pPr>
            <w:r w:rsidRPr="00873B6C">
              <w:rPr>
                <w:sz w:val="16"/>
                <w:szCs w:val="16"/>
              </w:rPr>
              <w:t>Add NWDAF services and Reference point between two NWDAFs for roaming case</w:t>
            </w:r>
          </w:p>
        </w:tc>
        <w:tc>
          <w:tcPr>
            <w:tcW w:w="708" w:type="dxa"/>
            <w:shd w:val="solid" w:color="FFFFFF" w:fill="auto"/>
          </w:tcPr>
          <w:p w14:paraId="21EFCCB8" w14:textId="49F5DA62" w:rsidR="000046DD" w:rsidRPr="00873B6C" w:rsidRDefault="000046DD" w:rsidP="002C4A81">
            <w:pPr>
              <w:pStyle w:val="TAC"/>
              <w:rPr>
                <w:sz w:val="16"/>
                <w:szCs w:val="16"/>
              </w:rPr>
            </w:pPr>
            <w:r w:rsidRPr="00873B6C">
              <w:rPr>
                <w:sz w:val="16"/>
                <w:szCs w:val="16"/>
              </w:rPr>
              <w:t>18.2.0</w:t>
            </w:r>
          </w:p>
        </w:tc>
      </w:tr>
      <w:tr w:rsidR="000046DD" w:rsidRPr="00873B6C" w14:paraId="5D63D39C" w14:textId="77777777" w:rsidTr="009D14FB">
        <w:tc>
          <w:tcPr>
            <w:tcW w:w="800" w:type="dxa"/>
            <w:shd w:val="solid" w:color="FFFFFF" w:fill="auto"/>
          </w:tcPr>
          <w:p w14:paraId="6D5C79A1" w14:textId="59B9DF30"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0FB2FA0C" w14:textId="4AB41445"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02F48D8" w14:textId="50A8901E" w:rsidR="000046DD" w:rsidRPr="00873B6C" w:rsidRDefault="000046DD" w:rsidP="002C4A81">
            <w:pPr>
              <w:pStyle w:val="TAC"/>
              <w:rPr>
                <w:sz w:val="16"/>
                <w:szCs w:val="16"/>
              </w:rPr>
            </w:pPr>
            <w:r w:rsidRPr="00873B6C">
              <w:rPr>
                <w:sz w:val="16"/>
                <w:szCs w:val="16"/>
              </w:rPr>
              <w:t>SP-230469</w:t>
            </w:r>
          </w:p>
        </w:tc>
        <w:tc>
          <w:tcPr>
            <w:tcW w:w="567" w:type="dxa"/>
            <w:shd w:val="solid" w:color="FFFFFF" w:fill="auto"/>
          </w:tcPr>
          <w:p w14:paraId="110A5FF0" w14:textId="797A811E" w:rsidR="000046DD" w:rsidRPr="00873B6C" w:rsidRDefault="000046DD" w:rsidP="002C4A81">
            <w:pPr>
              <w:pStyle w:val="TAL"/>
              <w:rPr>
                <w:sz w:val="16"/>
                <w:szCs w:val="16"/>
              </w:rPr>
            </w:pPr>
            <w:r w:rsidRPr="00873B6C">
              <w:rPr>
                <w:sz w:val="16"/>
                <w:szCs w:val="16"/>
              </w:rPr>
              <w:t>4430</w:t>
            </w:r>
          </w:p>
        </w:tc>
        <w:tc>
          <w:tcPr>
            <w:tcW w:w="425" w:type="dxa"/>
            <w:shd w:val="solid" w:color="FFFFFF" w:fill="auto"/>
          </w:tcPr>
          <w:p w14:paraId="560F2904" w14:textId="6BB844DF" w:rsidR="000046DD" w:rsidRPr="00873B6C" w:rsidRDefault="000046DD" w:rsidP="002C4A81">
            <w:pPr>
              <w:pStyle w:val="TAL"/>
              <w:rPr>
                <w:sz w:val="16"/>
                <w:szCs w:val="16"/>
              </w:rPr>
            </w:pPr>
            <w:r w:rsidRPr="00873B6C">
              <w:rPr>
                <w:sz w:val="16"/>
                <w:szCs w:val="16"/>
              </w:rPr>
              <w:t>-</w:t>
            </w:r>
          </w:p>
        </w:tc>
        <w:tc>
          <w:tcPr>
            <w:tcW w:w="425" w:type="dxa"/>
            <w:shd w:val="solid" w:color="FFFFFF" w:fill="auto"/>
          </w:tcPr>
          <w:p w14:paraId="1EA56C73" w14:textId="17370B49"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4B3E4421" w14:textId="35B8B521" w:rsidR="000046DD" w:rsidRPr="00873B6C" w:rsidRDefault="000046DD" w:rsidP="002C4A81">
            <w:pPr>
              <w:pStyle w:val="TAL"/>
              <w:rPr>
                <w:sz w:val="16"/>
                <w:szCs w:val="16"/>
              </w:rPr>
            </w:pPr>
            <w:r w:rsidRPr="00873B6C">
              <w:rPr>
                <w:sz w:val="16"/>
                <w:szCs w:val="16"/>
              </w:rPr>
              <w:t>Update of ADRF services</w:t>
            </w:r>
          </w:p>
        </w:tc>
        <w:tc>
          <w:tcPr>
            <w:tcW w:w="708" w:type="dxa"/>
            <w:shd w:val="solid" w:color="FFFFFF" w:fill="auto"/>
          </w:tcPr>
          <w:p w14:paraId="2EC8835A" w14:textId="0A098304" w:rsidR="000046DD" w:rsidRPr="00873B6C" w:rsidRDefault="000046DD" w:rsidP="002C4A81">
            <w:pPr>
              <w:pStyle w:val="TAC"/>
              <w:rPr>
                <w:sz w:val="16"/>
                <w:szCs w:val="16"/>
              </w:rPr>
            </w:pPr>
            <w:r w:rsidRPr="00873B6C">
              <w:rPr>
                <w:sz w:val="16"/>
                <w:szCs w:val="16"/>
              </w:rPr>
              <w:t>18.2.0</w:t>
            </w:r>
          </w:p>
        </w:tc>
      </w:tr>
      <w:tr w:rsidR="000046DD" w:rsidRPr="00873B6C" w14:paraId="3FBFC295" w14:textId="77777777" w:rsidTr="009D14FB">
        <w:tc>
          <w:tcPr>
            <w:tcW w:w="800" w:type="dxa"/>
            <w:shd w:val="solid" w:color="FFFFFF" w:fill="auto"/>
          </w:tcPr>
          <w:p w14:paraId="7E9BE8B8" w14:textId="3A9893AA"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3E3BCDDC" w14:textId="0A65A9D1"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175543DF" w14:textId="40144AA6" w:rsidR="000046DD" w:rsidRPr="00873B6C" w:rsidRDefault="000046DD" w:rsidP="002C4A81">
            <w:pPr>
              <w:pStyle w:val="TAC"/>
              <w:rPr>
                <w:sz w:val="16"/>
                <w:szCs w:val="16"/>
              </w:rPr>
            </w:pPr>
            <w:r w:rsidRPr="00873B6C">
              <w:rPr>
                <w:sz w:val="16"/>
                <w:szCs w:val="16"/>
              </w:rPr>
              <w:t>SP-230459</w:t>
            </w:r>
          </w:p>
        </w:tc>
        <w:tc>
          <w:tcPr>
            <w:tcW w:w="567" w:type="dxa"/>
            <w:shd w:val="solid" w:color="FFFFFF" w:fill="auto"/>
          </w:tcPr>
          <w:p w14:paraId="3D197869" w14:textId="79306E38" w:rsidR="000046DD" w:rsidRPr="00873B6C" w:rsidRDefault="000046DD" w:rsidP="002C4A81">
            <w:pPr>
              <w:pStyle w:val="TAL"/>
              <w:rPr>
                <w:sz w:val="16"/>
                <w:szCs w:val="16"/>
              </w:rPr>
            </w:pPr>
            <w:r w:rsidRPr="00873B6C">
              <w:rPr>
                <w:sz w:val="16"/>
                <w:szCs w:val="16"/>
              </w:rPr>
              <w:t>4431</w:t>
            </w:r>
          </w:p>
        </w:tc>
        <w:tc>
          <w:tcPr>
            <w:tcW w:w="425" w:type="dxa"/>
            <w:shd w:val="solid" w:color="FFFFFF" w:fill="auto"/>
          </w:tcPr>
          <w:p w14:paraId="152D290B" w14:textId="52015C7E"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008C36C2" w14:textId="19463B3F"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1E1D66F4" w14:textId="365BA1D3" w:rsidR="000046DD" w:rsidRPr="00873B6C" w:rsidRDefault="000046DD" w:rsidP="002C4A81">
            <w:pPr>
              <w:pStyle w:val="TAL"/>
              <w:rPr>
                <w:sz w:val="16"/>
                <w:szCs w:val="16"/>
              </w:rPr>
            </w:pPr>
            <w:r w:rsidRPr="00873B6C">
              <w:rPr>
                <w:sz w:val="16"/>
                <w:szCs w:val="16"/>
              </w:rPr>
              <w:t>Clarifications the Redundant Steering Mode for GBR SDF</w:t>
            </w:r>
          </w:p>
        </w:tc>
        <w:tc>
          <w:tcPr>
            <w:tcW w:w="708" w:type="dxa"/>
            <w:shd w:val="solid" w:color="FFFFFF" w:fill="auto"/>
          </w:tcPr>
          <w:p w14:paraId="69035423" w14:textId="745BEF7F" w:rsidR="000046DD" w:rsidRPr="00873B6C" w:rsidRDefault="000046DD" w:rsidP="002C4A81">
            <w:pPr>
              <w:pStyle w:val="TAC"/>
              <w:rPr>
                <w:sz w:val="16"/>
                <w:szCs w:val="16"/>
              </w:rPr>
            </w:pPr>
            <w:r w:rsidRPr="00873B6C">
              <w:rPr>
                <w:sz w:val="16"/>
                <w:szCs w:val="16"/>
              </w:rPr>
              <w:t>18.2.0</w:t>
            </w:r>
          </w:p>
        </w:tc>
      </w:tr>
      <w:tr w:rsidR="000046DD" w:rsidRPr="00873B6C" w14:paraId="6034B0BF" w14:textId="77777777" w:rsidTr="009D14FB">
        <w:tc>
          <w:tcPr>
            <w:tcW w:w="800" w:type="dxa"/>
            <w:shd w:val="solid" w:color="FFFFFF" w:fill="auto"/>
          </w:tcPr>
          <w:p w14:paraId="69877B6B" w14:textId="606D742A"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0D9698FB" w14:textId="620E54DC"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577983E" w14:textId="054EFBE0" w:rsidR="000046DD" w:rsidRPr="00873B6C" w:rsidRDefault="000046DD" w:rsidP="002C4A81">
            <w:pPr>
              <w:pStyle w:val="TAC"/>
              <w:rPr>
                <w:sz w:val="16"/>
                <w:szCs w:val="16"/>
              </w:rPr>
            </w:pPr>
            <w:r w:rsidRPr="00873B6C">
              <w:rPr>
                <w:sz w:val="16"/>
                <w:szCs w:val="16"/>
              </w:rPr>
              <w:t>SP-230473</w:t>
            </w:r>
          </w:p>
        </w:tc>
        <w:tc>
          <w:tcPr>
            <w:tcW w:w="567" w:type="dxa"/>
            <w:shd w:val="solid" w:color="FFFFFF" w:fill="auto"/>
          </w:tcPr>
          <w:p w14:paraId="3818722B" w14:textId="5ADA6173" w:rsidR="000046DD" w:rsidRPr="00873B6C" w:rsidRDefault="000046DD" w:rsidP="002C4A81">
            <w:pPr>
              <w:pStyle w:val="TAL"/>
              <w:rPr>
                <w:sz w:val="16"/>
                <w:szCs w:val="16"/>
              </w:rPr>
            </w:pPr>
            <w:r w:rsidRPr="00873B6C">
              <w:rPr>
                <w:sz w:val="16"/>
                <w:szCs w:val="16"/>
              </w:rPr>
              <w:t>4442</w:t>
            </w:r>
          </w:p>
        </w:tc>
        <w:tc>
          <w:tcPr>
            <w:tcW w:w="425" w:type="dxa"/>
            <w:shd w:val="solid" w:color="FFFFFF" w:fill="auto"/>
          </w:tcPr>
          <w:p w14:paraId="1CE0A7D3" w14:textId="06D95757"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71931913" w14:textId="5AF860EC"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3335DC6C" w14:textId="05AB200B" w:rsidR="000046DD" w:rsidRPr="00873B6C" w:rsidRDefault="000046DD" w:rsidP="002C4A81">
            <w:pPr>
              <w:pStyle w:val="TAL"/>
              <w:rPr>
                <w:sz w:val="16"/>
                <w:szCs w:val="16"/>
              </w:rPr>
            </w:pPr>
            <w:r w:rsidRPr="00873B6C">
              <w:rPr>
                <w:sz w:val="16"/>
                <w:szCs w:val="16"/>
              </w:rPr>
              <w:t xml:space="preserve">Hierarchical NSAC Architecture for EPS counting </w:t>
            </w:r>
          </w:p>
        </w:tc>
        <w:tc>
          <w:tcPr>
            <w:tcW w:w="708" w:type="dxa"/>
            <w:shd w:val="solid" w:color="FFFFFF" w:fill="auto"/>
          </w:tcPr>
          <w:p w14:paraId="3455F214" w14:textId="10F90577" w:rsidR="000046DD" w:rsidRPr="00873B6C" w:rsidRDefault="000046DD" w:rsidP="002C4A81">
            <w:pPr>
              <w:pStyle w:val="TAC"/>
              <w:rPr>
                <w:sz w:val="16"/>
                <w:szCs w:val="16"/>
              </w:rPr>
            </w:pPr>
            <w:r w:rsidRPr="00873B6C">
              <w:rPr>
                <w:sz w:val="16"/>
                <w:szCs w:val="16"/>
              </w:rPr>
              <w:t>18.2.0</w:t>
            </w:r>
          </w:p>
        </w:tc>
      </w:tr>
      <w:tr w:rsidR="000046DD" w:rsidRPr="00873B6C" w14:paraId="1BE3A251" w14:textId="77777777" w:rsidTr="009D14FB">
        <w:tc>
          <w:tcPr>
            <w:tcW w:w="800" w:type="dxa"/>
            <w:shd w:val="solid" w:color="FFFFFF" w:fill="auto"/>
          </w:tcPr>
          <w:p w14:paraId="0C02334E" w14:textId="06D6C639"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4B76E80A" w14:textId="787F2ACB"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2BB0A405" w14:textId="10D4E3D4" w:rsidR="000046DD" w:rsidRPr="00873B6C" w:rsidRDefault="000046DD" w:rsidP="002C4A81">
            <w:pPr>
              <w:pStyle w:val="TAC"/>
              <w:rPr>
                <w:sz w:val="16"/>
                <w:szCs w:val="16"/>
              </w:rPr>
            </w:pPr>
            <w:r w:rsidRPr="00873B6C">
              <w:rPr>
                <w:sz w:val="16"/>
                <w:szCs w:val="16"/>
              </w:rPr>
              <w:t>SP-230473</w:t>
            </w:r>
          </w:p>
        </w:tc>
        <w:tc>
          <w:tcPr>
            <w:tcW w:w="567" w:type="dxa"/>
            <w:shd w:val="solid" w:color="FFFFFF" w:fill="auto"/>
          </w:tcPr>
          <w:p w14:paraId="32912C3C" w14:textId="4199AB24" w:rsidR="000046DD" w:rsidRPr="00873B6C" w:rsidRDefault="000046DD" w:rsidP="002C4A81">
            <w:pPr>
              <w:pStyle w:val="TAL"/>
              <w:rPr>
                <w:sz w:val="16"/>
                <w:szCs w:val="16"/>
              </w:rPr>
            </w:pPr>
            <w:r w:rsidRPr="00873B6C">
              <w:rPr>
                <w:sz w:val="16"/>
                <w:szCs w:val="16"/>
              </w:rPr>
              <w:t>4443</w:t>
            </w:r>
          </w:p>
        </w:tc>
        <w:tc>
          <w:tcPr>
            <w:tcW w:w="425" w:type="dxa"/>
            <w:shd w:val="solid" w:color="FFFFFF" w:fill="auto"/>
          </w:tcPr>
          <w:p w14:paraId="065ABA2A" w14:textId="3F4749D6" w:rsidR="000046DD" w:rsidRPr="00873B6C" w:rsidRDefault="000046DD" w:rsidP="002C4A81">
            <w:pPr>
              <w:pStyle w:val="TAL"/>
              <w:rPr>
                <w:sz w:val="16"/>
                <w:szCs w:val="16"/>
              </w:rPr>
            </w:pPr>
            <w:r w:rsidRPr="00873B6C">
              <w:rPr>
                <w:sz w:val="16"/>
                <w:szCs w:val="16"/>
              </w:rPr>
              <w:t>3</w:t>
            </w:r>
          </w:p>
        </w:tc>
        <w:tc>
          <w:tcPr>
            <w:tcW w:w="425" w:type="dxa"/>
            <w:shd w:val="solid" w:color="FFFFFF" w:fill="auto"/>
          </w:tcPr>
          <w:p w14:paraId="61A491DB" w14:textId="2CE874B4"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017C6C08" w14:textId="6CD1EEAF" w:rsidR="000046DD" w:rsidRPr="00873B6C" w:rsidRDefault="000046DD" w:rsidP="002C4A81">
            <w:pPr>
              <w:pStyle w:val="TAL"/>
              <w:rPr>
                <w:sz w:val="16"/>
                <w:szCs w:val="16"/>
              </w:rPr>
            </w:pPr>
            <w:r w:rsidRPr="00873B6C">
              <w:rPr>
                <w:sz w:val="16"/>
                <w:szCs w:val="16"/>
              </w:rPr>
              <w:t>Network control of the slice usage</w:t>
            </w:r>
          </w:p>
        </w:tc>
        <w:tc>
          <w:tcPr>
            <w:tcW w:w="708" w:type="dxa"/>
            <w:shd w:val="solid" w:color="FFFFFF" w:fill="auto"/>
          </w:tcPr>
          <w:p w14:paraId="1D4930D8" w14:textId="4CBEB2D9" w:rsidR="000046DD" w:rsidRPr="00873B6C" w:rsidRDefault="000046DD" w:rsidP="002C4A81">
            <w:pPr>
              <w:pStyle w:val="TAC"/>
              <w:rPr>
                <w:sz w:val="16"/>
                <w:szCs w:val="16"/>
              </w:rPr>
            </w:pPr>
            <w:r w:rsidRPr="00873B6C">
              <w:rPr>
                <w:sz w:val="16"/>
                <w:szCs w:val="16"/>
              </w:rPr>
              <w:t>18.2.0</w:t>
            </w:r>
          </w:p>
        </w:tc>
      </w:tr>
      <w:tr w:rsidR="00C86B51" w:rsidRPr="00873B6C" w14:paraId="48DDD9C8" w14:textId="77777777" w:rsidTr="009D14FB">
        <w:tc>
          <w:tcPr>
            <w:tcW w:w="800" w:type="dxa"/>
            <w:shd w:val="solid" w:color="FFFFFF" w:fill="auto"/>
          </w:tcPr>
          <w:p w14:paraId="22799B91" w14:textId="01F8B1B1"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2E51C432" w14:textId="3CC58A39"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11E086B0" w14:textId="4D496FCD" w:rsidR="00C86B51" w:rsidRPr="00873B6C" w:rsidRDefault="00C86B51" w:rsidP="002C4A81">
            <w:pPr>
              <w:pStyle w:val="TAC"/>
              <w:rPr>
                <w:sz w:val="16"/>
                <w:szCs w:val="16"/>
              </w:rPr>
            </w:pPr>
            <w:r w:rsidRPr="00873B6C">
              <w:rPr>
                <w:sz w:val="16"/>
                <w:szCs w:val="16"/>
              </w:rPr>
              <w:t>SP-230495</w:t>
            </w:r>
          </w:p>
        </w:tc>
        <w:tc>
          <w:tcPr>
            <w:tcW w:w="567" w:type="dxa"/>
            <w:shd w:val="solid" w:color="FFFFFF" w:fill="auto"/>
          </w:tcPr>
          <w:p w14:paraId="6D9BBD37" w14:textId="01548C06" w:rsidR="00C86B51" w:rsidRPr="00873B6C" w:rsidRDefault="00C86B51" w:rsidP="002C4A81">
            <w:pPr>
              <w:pStyle w:val="TAL"/>
              <w:rPr>
                <w:sz w:val="16"/>
                <w:szCs w:val="16"/>
              </w:rPr>
            </w:pPr>
            <w:r w:rsidRPr="00873B6C">
              <w:rPr>
                <w:sz w:val="16"/>
                <w:szCs w:val="16"/>
              </w:rPr>
              <w:t>4445</w:t>
            </w:r>
          </w:p>
        </w:tc>
        <w:tc>
          <w:tcPr>
            <w:tcW w:w="425" w:type="dxa"/>
            <w:shd w:val="solid" w:color="FFFFFF" w:fill="auto"/>
          </w:tcPr>
          <w:p w14:paraId="0AB6D86D" w14:textId="238C6818"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23998160" w14:textId="5C82371C"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5305070E" w14:textId="0A892313" w:rsidR="00C86B51" w:rsidRPr="00873B6C" w:rsidRDefault="00C86B51" w:rsidP="002C4A81">
            <w:pPr>
              <w:pStyle w:val="TAL"/>
              <w:rPr>
                <w:sz w:val="16"/>
                <w:szCs w:val="16"/>
              </w:rPr>
            </w:pPr>
            <w:r w:rsidRPr="00873B6C">
              <w:rPr>
                <w:sz w:val="16"/>
                <w:szCs w:val="16"/>
              </w:rPr>
              <w:t>Support of NAT exposure aligned with TS 23.502</w:t>
            </w:r>
          </w:p>
        </w:tc>
        <w:tc>
          <w:tcPr>
            <w:tcW w:w="708" w:type="dxa"/>
            <w:shd w:val="solid" w:color="FFFFFF" w:fill="auto"/>
          </w:tcPr>
          <w:p w14:paraId="02EC935C" w14:textId="4A134F4B" w:rsidR="00C86B51" w:rsidRPr="00873B6C" w:rsidRDefault="00C86B51" w:rsidP="002C4A81">
            <w:pPr>
              <w:pStyle w:val="TAC"/>
              <w:rPr>
                <w:sz w:val="16"/>
                <w:szCs w:val="16"/>
              </w:rPr>
            </w:pPr>
            <w:r w:rsidRPr="00873B6C">
              <w:rPr>
                <w:sz w:val="16"/>
                <w:szCs w:val="16"/>
              </w:rPr>
              <w:t>18.2.0</w:t>
            </w:r>
          </w:p>
        </w:tc>
      </w:tr>
      <w:tr w:rsidR="00C86B51" w:rsidRPr="00873B6C" w14:paraId="36A597A7" w14:textId="77777777" w:rsidTr="009D14FB">
        <w:tc>
          <w:tcPr>
            <w:tcW w:w="800" w:type="dxa"/>
            <w:shd w:val="solid" w:color="FFFFFF" w:fill="auto"/>
          </w:tcPr>
          <w:p w14:paraId="2B2C6066" w14:textId="09B7C267"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607B0464" w14:textId="69A9B000"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6A645A46" w14:textId="079D2033" w:rsidR="00C86B51" w:rsidRPr="00873B6C" w:rsidRDefault="00C86B51" w:rsidP="002C4A81">
            <w:pPr>
              <w:pStyle w:val="TAC"/>
              <w:rPr>
                <w:sz w:val="16"/>
                <w:szCs w:val="16"/>
              </w:rPr>
            </w:pPr>
            <w:r w:rsidRPr="00873B6C">
              <w:rPr>
                <w:sz w:val="16"/>
                <w:szCs w:val="16"/>
              </w:rPr>
              <w:t>SP-230461</w:t>
            </w:r>
          </w:p>
        </w:tc>
        <w:tc>
          <w:tcPr>
            <w:tcW w:w="567" w:type="dxa"/>
            <w:shd w:val="solid" w:color="FFFFFF" w:fill="auto"/>
          </w:tcPr>
          <w:p w14:paraId="26E8297D" w14:textId="2DD1CDE3" w:rsidR="00C86B51" w:rsidRPr="00873B6C" w:rsidRDefault="00C86B51" w:rsidP="002C4A81">
            <w:pPr>
              <w:pStyle w:val="TAL"/>
              <w:rPr>
                <w:sz w:val="16"/>
                <w:szCs w:val="16"/>
              </w:rPr>
            </w:pPr>
            <w:r w:rsidRPr="00873B6C">
              <w:rPr>
                <w:sz w:val="16"/>
                <w:szCs w:val="16"/>
              </w:rPr>
              <w:t>4447</w:t>
            </w:r>
          </w:p>
        </w:tc>
        <w:tc>
          <w:tcPr>
            <w:tcW w:w="425" w:type="dxa"/>
            <w:shd w:val="solid" w:color="FFFFFF" w:fill="auto"/>
          </w:tcPr>
          <w:p w14:paraId="338C7621" w14:textId="64D447CB" w:rsidR="00C86B51" w:rsidRPr="00873B6C" w:rsidRDefault="00C86B51" w:rsidP="002C4A81">
            <w:pPr>
              <w:pStyle w:val="TAL"/>
              <w:rPr>
                <w:sz w:val="16"/>
                <w:szCs w:val="16"/>
              </w:rPr>
            </w:pPr>
            <w:r w:rsidRPr="00873B6C">
              <w:rPr>
                <w:sz w:val="16"/>
                <w:szCs w:val="16"/>
              </w:rPr>
              <w:t>-</w:t>
            </w:r>
          </w:p>
        </w:tc>
        <w:tc>
          <w:tcPr>
            <w:tcW w:w="425" w:type="dxa"/>
            <w:shd w:val="solid" w:color="FFFFFF" w:fill="auto"/>
          </w:tcPr>
          <w:p w14:paraId="2E9CA209" w14:textId="3ED317C7" w:rsidR="00C86B51" w:rsidRPr="00873B6C" w:rsidRDefault="00C86B51" w:rsidP="002C4A81">
            <w:pPr>
              <w:pStyle w:val="TAL"/>
              <w:rPr>
                <w:sz w:val="16"/>
                <w:szCs w:val="16"/>
              </w:rPr>
            </w:pPr>
            <w:r w:rsidRPr="00873B6C">
              <w:rPr>
                <w:sz w:val="16"/>
                <w:szCs w:val="16"/>
              </w:rPr>
              <w:t>D</w:t>
            </w:r>
          </w:p>
        </w:tc>
        <w:tc>
          <w:tcPr>
            <w:tcW w:w="4820" w:type="dxa"/>
            <w:shd w:val="solid" w:color="FFFFFF" w:fill="auto"/>
          </w:tcPr>
          <w:p w14:paraId="4A010923" w14:textId="43440FC0" w:rsidR="00C86B51" w:rsidRPr="00873B6C" w:rsidRDefault="00C86B51" w:rsidP="002C4A81">
            <w:pPr>
              <w:pStyle w:val="TAL"/>
              <w:rPr>
                <w:sz w:val="16"/>
                <w:szCs w:val="16"/>
              </w:rPr>
            </w:pPr>
            <w:r w:rsidRPr="00873B6C">
              <w:rPr>
                <w:sz w:val="16"/>
                <w:szCs w:val="16"/>
              </w:rPr>
              <w:t>Support fo Edge Computing DNAI mapping update</w:t>
            </w:r>
          </w:p>
        </w:tc>
        <w:tc>
          <w:tcPr>
            <w:tcW w:w="708" w:type="dxa"/>
            <w:shd w:val="solid" w:color="FFFFFF" w:fill="auto"/>
          </w:tcPr>
          <w:p w14:paraId="24C863B3" w14:textId="251D0627" w:rsidR="00C86B51" w:rsidRPr="00873B6C" w:rsidRDefault="00C86B51" w:rsidP="002C4A81">
            <w:pPr>
              <w:pStyle w:val="TAC"/>
              <w:rPr>
                <w:sz w:val="16"/>
                <w:szCs w:val="16"/>
              </w:rPr>
            </w:pPr>
            <w:r w:rsidRPr="00873B6C">
              <w:rPr>
                <w:sz w:val="16"/>
                <w:szCs w:val="16"/>
              </w:rPr>
              <w:t>18.2.0</w:t>
            </w:r>
          </w:p>
        </w:tc>
      </w:tr>
      <w:tr w:rsidR="00C86B51" w:rsidRPr="00873B6C" w14:paraId="3E5366EA" w14:textId="77777777" w:rsidTr="009D14FB">
        <w:tc>
          <w:tcPr>
            <w:tcW w:w="800" w:type="dxa"/>
            <w:shd w:val="solid" w:color="FFFFFF" w:fill="auto"/>
          </w:tcPr>
          <w:p w14:paraId="0B4A05E1" w14:textId="20A006C9"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31D0365F" w14:textId="36311673"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1BC2A5BE" w14:textId="7F1F8EC9" w:rsidR="00C86B51" w:rsidRPr="00873B6C" w:rsidRDefault="00C86B51" w:rsidP="002C4A81">
            <w:pPr>
              <w:pStyle w:val="TAC"/>
              <w:rPr>
                <w:sz w:val="16"/>
                <w:szCs w:val="16"/>
              </w:rPr>
            </w:pPr>
            <w:r w:rsidRPr="00873B6C">
              <w:rPr>
                <w:sz w:val="16"/>
                <w:szCs w:val="16"/>
              </w:rPr>
              <w:t>SP-230484</w:t>
            </w:r>
          </w:p>
        </w:tc>
        <w:tc>
          <w:tcPr>
            <w:tcW w:w="567" w:type="dxa"/>
            <w:shd w:val="solid" w:color="FFFFFF" w:fill="auto"/>
          </w:tcPr>
          <w:p w14:paraId="155D2B97" w14:textId="143713EB" w:rsidR="00C86B51" w:rsidRPr="00873B6C" w:rsidRDefault="00C86B51" w:rsidP="002C4A81">
            <w:pPr>
              <w:pStyle w:val="TAL"/>
              <w:rPr>
                <w:sz w:val="16"/>
                <w:szCs w:val="16"/>
              </w:rPr>
            </w:pPr>
            <w:r w:rsidRPr="00873B6C">
              <w:rPr>
                <w:sz w:val="16"/>
                <w:szCs w:val="16"/>
              </w:rPr>
              <w:t>4450</w:t>
            </w:r>
          </w:p>
        </w:tc>
        <w:tc>
          <w:tcPr>
            <w:tcW w:w="425" w:type="dxa"/>
            <w:shd w:val="solid" w:color="FFFFFF" w:fill="auto"/>
          </w:tcPr>
          <w:p w14:paraId="325DF0DC" w14:textId="2003E58E" w:rsidR="00C86B51" w:rsidRPr="00873B6C" w:rsidRDefault="00C86B51" w:rsidP="002C4A81">
            <w:pPr>
              <w:pStyle w:val="TAL"/>
              <w:rPr>
                <w:sz w:val="16"/>
                <w:szCs w:val="16"/>
              </w:rPr>
            </w:pPr>
            <w:r w:rsidRPr="00873B6C">
              <w:rPr>
                <w:sz w:val="16"/>
                <w:szCs w:val="16"/>
              </w:rPr>
              <w:t>4</w:t>
            </w:r>
          </w:p>
        </w:tc>
        <w:tc>
          <w:tcPr>
            <w:tcW w:w="425" w:type="dxa"/>
            <w:shd w:val="solid" w:color="FFFFFF" w:fill="auto"/>
          </w:tcPr>
          <w:p w14:paraId="58EDF9D1" w14:textId="508A417E"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3C95B539" w14:textId="62FF4E7F" w:rsidR="00C86B51" w:rsidRPr="00873B6C" w:rsidRDefault="00C86B51" w:rsidP="002C4A81">
            <w:pPr>
              <w:pStyle w:val="TAL"/>
              <w:rPr>
                <w:sz w:val="16"/>
                <w:szCs w:val="16"/>
              </w:rPr>
            </w:pPr>
            <w:r w:rsidRPr="00873B6C">
              <w:rPr>
                <w:sz w:val="16"/>
                <w:szCs w:val="16"/>
              </w:rPr>
              <w:t>Support QoS management for PIN</w:t>
            </w:r>
          </w:p>
        </w:tc>
        <w:tc>
          <w:tcPr>
            <w:tcW w:w="708" w:type="dxa"/>
            <w:shd w:val="solid" w:color="FFFFFF" w:fill="auto"/>
          </w:tcPr>
          <w:p w14:paraId="56560D91" w14:textId="7773422A" w:rsidR="00C86B51" w:rsidRPr="00873B6C" w:rsidRDefault="00C86B51" w:rsidP="002C4A81">
            <w:pPr>
              <w:pStyle w:val="TAC"/>
              <w:rPr>
                <w:sz w:val="16"/>
                <w:szCs w:val="16"/>
              </w:rPr>
            </w:pPr>
            <w:r w:rsidRPr="00873B6C">
              <w:rPr>
                <w:sz w:val="16"/>
                <w:szCs w:val="16"/>
              </w:rPr>
              <w:t>18.2.0</w:t>
            </w:r>
          </w:p>
        </w:tc>
      </w:tr>
      <w:tr w:rsidR="00C86B51" w:rsidRPr="00873B6C" w14:paraId="28D7F0B8" w14:textId="77777777" w:rsidTr="009D14FB">
        <w:tc>
          <w:tcPr>
            <w:tcW w:w="800" w:type="dxa"/>
            <w:shd w:val="solid" w:color="FFFFFF" w:fill="auto"/>
          </w:tcPr>
          <w:p w14:paraId="00158B64" w14:textId="7F3A7C03"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55913E2A" w14:textId="01B46FA3"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400AABFF" w14:textId="668BEEF8" w:rsidR="00C86B51" w:rsidRPr="00873B6C" w:rsidRDefault="00C86B51" w:rsidP="002C4A81">
            <w:pPr>
              <w:pStyle w:val="TAC"/>
              <w:rPr>
                <w:sz w:val="16"/>
                <w:szCs w:val="16"/>
              </w:rPr>
            </w:pPr>
            <w:r w:rsidRPr="00873B6C">
              <w:rPr>
                <w:sz w:val="16"/>
                <w:szCs w:val="16"/>
              </w:rPr>
              <w:t>SP-230459</w:t>
            </w:r>
          </w:p>
        </w:tc>
        <w:tc>
          <w:tcPr>
            <w:tcW w:w="567" w:type="dxa"/>
            <w:shd w:val="solid" w:color="FFFFFF" w:fill="auto"/>
          </w:tcPr>
          <w:p w14:paraId="74753BD6" w14:textId="022B6D1A" w:rsidR="00C86B51" w:rsidRPr="00873B6C" w:rsidRDefault="00C86B51" w:rsidP="002C4A81">
            <w:pPr>
              <w:pStyle w:val="TAL"/>
              <w:rPr>
                <w:sz w:val="16"/>
                <w:szCs w:val="16"/>
              </w:rPr>
            </w:pPr>
            <w:r w:rsidRPr="00873B6C">
              <w:rPr>
                <w:sz w:val="16"/>
                <w:szCs w:val="16"/>
              </w:rPr>
              <w:t>4457</w:t>
            </w:r>
          </w:p>
        </w:tc>
        <w:tc>
          <w:tcPr>
            <w:tcW w:w="425" w:type="dxa"/>
            <w:shd w:val="solid" w:color="FFFFFF" w:fill="auto"/>
          </w:tcPr>
          <w:p w14:paraId="508577A7" w14:textId="57052A5B"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2B4C25B3" w14:textId="7C36C077"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234F0A50" w14:textId="5B827E81" w:rsidR="00C86B51" w:rsidRPr="00873B6C" w:rsidRDefault="00C86B51" w:rsidP="002C4A81">
            <w:pPr>
              <w:pStyle w:val="TAL"/>
              <w:rPr>
                <w:sz w:val="16"/>
                <w:szCs w:val="16"/>
              </w:rPr>
            </w:pPr>
            <w:r w:rsidRPr="00873B6C">
              <w:rPr>
                <w:sz w:val="16"/>
                <w:szCs w:val="16"/>
              </w:rPr>
              <w:t>Determining the ATSSS capabilities of a MA PDU Session when the UE supports MPQUIC</w:t>
            </w:r>
          </w:p>
        </w:tc>
        <w:tc>
          <w:tcPr>
            <w:tcW w:w="708" w:type="dxa"/>
            <w:shd w:val="solid" w:color="FFFFFF" w:fill="auto"/>
          </w:tcPr>
          <w:p w14:paraId="2A4B6113" w14:textId="383BFCA5" w:rsidR="00C86B51" w:rsidRPr="00873B6C" w:rsidRDefault="00C86B51" w:rsidP="002C4A81">
            <w:pPr>
              <w:pStyle w:val="TAC"/>
              <w:rPr>
                <w:sz w:val="16"/>
                <w:szCs w:val="16"/>
              </w:rPr>
            </w:pPr>
            <w:r w:rsidRPr="00873B6C">
              <w:rPr>
                <w:sz w:val="16"/>
                <w:szCs w:val="16"/>
              </w:rPr>
              <w:t>18.2.0</w:t>
            </w:r>
          </w:p>
        </w:tc>
      </w:tr>
      <w:tr w:rsidR="00C86B51" w:rsidRPr="00873B6C" w14:paraId="39247CB3" w14:textId="77777777" w:rsidTr="009D14FB">
        <w:tc>
          <w:tcPr>
            <w:tcW w:w="800" w:type="dxa"/>
            <w:shd w:val="solid" w:color="FFFFFF" w:fill="auto"/>
          </w:tcPr>
          <w:p w14:paraId="5A4C99C0" w14:textId="47D0C18F"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47B34AB1" w14:textId="2E9E5F52"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44455060" w14:textId="2F6146E5" w:rsidR="00C86B51" w:rsidRPr="00873B6C" w:rsidRDefault="00C86B51" w:rsidP="002C4A81">
            <w:pPr>
              <w:pStyle w:val="TAC"/>
              <w:rPr>
                <w:sz w:val="16"/>
                <w:szCs w:val="16"/>
              </w:rPr>
            </w:pPr>
            <w:r w:rsidRPr="00873B6C">
              <w:rPr>
                <w:sz w:val="16"/>
                <w:szCs w:val="16"/>
              </w:rPr>
              <w:t>SP-230459</w:t>
            </w:r>
          </w:p>
        </w:tc>
        <w:tc>
          <w:tcPr>
            <w:tcW w:w="567" w:type="dxa"/>
            <w:shd w:val="solid" w:color="FFFFFF" w:fill="auto"/>
          </w:tcPr>
          <w:p w14:paraId="72DF69FB" w14:textId="0CBB9480" w:rsidR="00C86B51" w:rsidRPr="00873B6C" w:rsidRDefault="00C86B51" w:rsidP="002C4A81">
            <w:pPr>
              <w:pStyle w:val="TAL"/>
              <w:rPr>
                <w:sz w:val="16"/>
                <w:szCs w:val="16"/>
              </w:rPr>
            </w:pPr>
            <w:r w:rsidRPr="00873B6C">
              <w:rPr>
                <w:sz w:val="16"/>
                <w:szCs w:val="16"/>
              </w:rPr>
              <w:t>4459</w:t>
            </w:r>
          </w:p>
        </w:tc>
        <w:tc>
          <w:tcPr>
            <w:tcW w:w="425" w:type="dxa"/>
            <w:shd w:val="solid" w:color="FFFFFF" w:fill="auto"/>
          </w:tcPr>
          <w:p w14:paraId="7FF1C2D5" w14:textId="133C9F76"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78CC60EF" w14:textId="17BE24BF"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53AF9EE5" w14:textId="749473AC" w:rsidR="00C86B51" w:rsidRPr="00873B6C" w:rsidRDefault="00C86B51" w:rsidP="002C4A81">
            <w:pPr>
              <w:pStyle w:val="TAL"/>
              <w:rPr>
                <w:sz w:val="16"/>
                <w:szCs w:val="16"/>
              </w:rPr>
            </w:pPr>
            <w:r w:rsidRPr="00873B6C">
              <w:rPr>
                <w:sz w:val="16"/>
                <w:szCs w:val="16"/>
              </w:rPr>
              <w:t>Associating a QUIC connection with a QoS flow</w:t>
            </w:r>
          </w:p>
        </w:tc>
        <w:tc>
          <w:tcPr>
            <w:tcW w:w="708" w:type="dxa"/>
            <w:shd w:val="solid" w:color="FFFFFF" w:fill="auto"/>
          </w:tcPr>
          <w:p w14:paraId="136F8A97" w14:textId="7E2687D7" w:rsidR="00C86B51" w:rsidRPr="00873B6C" w:rsidRDefault="00C86B51" w:rsidP="002C4A81">
            <w:pPr>
              <w:pStyle w:val="TAC"/>
              <w:rPr>
                <w:sz w:val="16"/>
                <w:szCs w:val="16"/>
              </w:rPr>
            </w:pPr>
            <w:r w:rsidRPr="00873B6C">
              <w:rPr>
                <w:sz w:val="16"/>
                <w:szCs w:val="16"/>
              </w:rPr>
              <w:t>18.2.0</w:t>
            </w:r>
          </w:p>
        </w:tc>
      </w:tr>
      <w:tr w:rsidR="00C86B51" w:rsidRPr="00873B6C" w14:paraId="5EBFEC59" w14:textId="77777777" w:rsidTr="009D14FB">
        <w:tc>
          <w:tcPr>
            <w:tcW w:w="800" w:type="dxa"/>
            <w:shd w:val="solid" w:color="FFFFFF" w:fill="auto"/>
          </w:tcPr>
          <w:p w14:paraId="5D0D34C0" w14:textId="03DAF624"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5EAD9366" w14:textId="02217476"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43FC8E3D" w14:textId="6F7D1ECF" w:rsidR="00C86B51" w:rsidRPr="00873B6C" w:rsidRDefault="00C86B51" w:rsidP="002C4A81">
            <w:pPr>
              <w:pStyle w:val="TAC"/>
              <w:rPr>
                <w:sz w:val="16"/>
                <w:szCs w:val="16"/>
              </w:rPr>
            </w:pPr>
            <w:r w:rsidRPr="00873B6C">
              <w:rPr>
                <w:sz w:val="16"/>
                <w:szCs w:val="16"/>
              </w:rPr>
              <w:t>SP-230470</w:t>
            </w:r>
          </w:p>
        </w:tc>
        <w:tc>
          <w:tcPr>
            <w:tcW w:w="567" w:type="dxa"/>
            <w:shd w:val="solid" w:color="FFFFFF" w:fill="auto"/>
          </w:tcPr>
          <w:p w14:paraId="4AE9A05D" w14:textId="587D7AE1" w:rsidR="00C86B51" w:rsidRPr="00873B6C" w:rsidRDefault="00C86B51" w:rsidP="002C4A81">
            <w:pPr>
              <w:pStyle w:val="TAL"/>
              <w:rPr>
                <w:sz w:val="16"/>
                <w:szCs w:val="16"/>
              </w:rPr>
            </w:pPr>
            <w:r w:rsidRPr="00873B6C">
              <w:rPr>
                <w:sz w:val="16"/>
                <w:szCs w:val="16"/>
              </w:rPr>
              <w:t>4461</w:t>
            </w:r>
          </w:p>
        </w:tc>
        <w:tc>
          <w:tcPr>
            <w:tcW w:w="425" w:type="dxa"/>
            <w:shd w:val="solid" w:color="FFFFFF" w:fill="auto"/>
          </w:tcPr>
          <w:p w14:paraId="7FB9E054" w14:textId="60DFE36E"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18E000D6" w14:textId="0824CDB4" w:rsidR="00C86B51" w:rsidRPr="00873B6C" w:rsidRDefault="00C86B51" w:rsidP="002C4A81">
            <w:pPr>
              <w:pStyle w:val="TAL"/>
              <w:rPr>
                <w:sz w:val="16"/>
                <w:szCs w:val="16"/>
              </w:rPr>
            </w:pPr>
            <w:r w:rsidRPr="00873B6C">
              <w:rPr>
                <w:sz w:val="16"/>
                <w:szCs w:val="16"/>
              </w:rPr>
              <w:t>A</w:t>
            </w:r>
          </w:p>
        </w:tc>
        <w:tc>
          <w:tcPr>
            <w:tcW w:w="4820" w:type="dxa"/>
            <w:shd w:val="solid" w:color="FFFFFF" w:fill="auto"/>
          </w:tcPr>
          <w:p w14:paraId="648CD134" w14:textId="06F42499" w:rsidR="00C86B51" w:rsidRPr="00873B6C" w:rsidRDefault="00C86B51" w:rsidP="002C4A81">
            <w:pPr>
              <w:pStyle w:val="TAL"/>
              <w:rPr>
                <w:sz w:val="16"/>
                <w:szCs w:val="16"/>
              </w:rPr>
            </w:pPr>
            <w:r w:rsidRPr="00873B6C">
              <w:rPr>
                <w:sz w:val="16"/>
                <w:szCs w:val="16"/>
              </w:rPr>
              <w:t>Correction on maximum number of PVS IP address(es) and/or PVS FQDN(s) allowed to be provided to the UE</w:t>
            </w:r>
          </w:p>
        </w:tc>
        <w:tc>
          <w:tcPr>
            <w:tcW w:w="708" w:type="dxa"/>
            <w:shd w:val="solid" w:color="FFFFFF" w:fill="auto"/>
          </w:tcPr>
          <w:p w14:paraId="0942B254" w14:textId="5F2CA984" w:rsidR="00C86B51" w:rsidRPr="00873B6C" w:rsidRDefault="00C86B51" w:rsidP="002C4A81">
            <w:pPr>
              <w:pStyle w:val="TAC"/>
              <w:rPr>
                <w:sz w:val="16"/>
                <w:szCs w:val="16"/>
              </w:rPr>
            </w:pPr>
            <w:r w:rsidRPr="00873B6C">
              <w:rPr>
                <w:sz w:val="16"/>
                <w:szCs w:val="16"/>
              </w:rPr>
              <w:t>18.2.0</w:t>
            </w:r>
          </w:p>
        </w:tc>
      </w:tr>
      <w:tr w:rsidR="00C86B51" w:rsidRPr="00873B6C" w14:paraId="523F4FB0" w14:textId="77777777" w:rsidTr="009D14FB">
        <w:tc>
          <w:tcPr>
            <w:tcW w:w="800" w:type="dxa"/>
            <w:shd w:val="solid" w:color="FFFFFF" w:fill="auto"/>
          </w:tcPr>
          <w:p w14:paraId="3F9C1215" w14:textId="61E0EC7A"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616E9574" w14:textId="0CDCE07C"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6A687D92" w14:textId="116D729D" w:rsidR="00C86B51" w:rsidRPr="00873B6C" w:rsidRDefault="00C86B51" w:rsidP="002C4A81">
            <w:pPr>
              <w:pStyle w:val="TAC"/>
              <w:rPr>
                <w:sz w:val="16"/>
                <w:szCs w:val="16"/>
              </w:rPr>
            </w:pPr>
            <w:r w:rsidRPr="00873B6C">
              <w:rPr>
                <w:sz w:val="16"/>
                <w:szCs w:val="16"/>
              </w:rPr>
              <w:t>SP-230476</w:t>
            </w:r>
          </w:p>
        </w:tc>
        <w:tc>
          <w:tcPr>
            <w:tcW w:w="567" w:type="dxa"/>
            <w:shd w:val="solid" w:color="FFFFFF" w:fill="auto"/>
          </w:tcPr>
          <w:p w14:paraId="45A64299" w14:textId="109CB88F" w:rsidR="00C86B51" w:rsidRPr="00873B6C" w:rsidRDefault="00C86B51" w:rsidP="002C4A81">
            <w:pPr>
              <w:pStyle w:val="TAL"/>
              <w:rPr>
                <w:sz w:val="16"/>
                <w:szCs w:val="16"/>
              </w:rPr>
            </w:pPr>
            <w:r w:rsidRPr="00873B6C">
              <w:rPr>
                <w:sz w:val="16"/>
                <w:szCs w:val="16"/>
              </w:rPr>
              <w:t>4470</w:t>
            </w:r>
          </w:p>
        </w:tc>
        <w:tc>
          <w:tcPr>
            <w:tcW w:w="425" w:type="dxa"/>
            <w:shd w:val="solid" w:color="FFFFFF" w:fill="auto"/>
          </w:tcPr>
          <w:p w14:paraId="1655CB64" w14:textId="676112AC"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74686CB4" w14:textId="121650B1"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651F2A21" w14:textId="7D22419B" w:rsidR="00C86B51" w:rsidRPr="00873B6C" w:rsidRDefault="00C86B51" w:rsidP="002C4A81">
            <w:pPr>
              <w:pStyle w:val="TAL"/>
              <w:rPr>
                <w:sz w:val="16"/>
                <w:szCs w:val="16"/>
              </w:rPr>
            </w:pPr>
            <w:r w:rsidRPr="00873B6C">
              <w:rPr>
                <w:sz w:val="16"/>
                <w:szCs w:val="16"/>
              </w:rPr>
              <w:t xml:space="preserve">UE Policy Association handling during EPS to 5GS mobility with N26 </w:t>
            </w:r>
          </w:p>
        </w:tc>
        <w:tc>
          <w:tcPr>
            <w:tcW w:w="708" w:type="dxa"/>
            <w:shd w:val="solid" w:color="FFFFFF" w:fill="auto"/>
          </w:tcPr>
          <w:p w14:paraId="77A00DD3" w14:textId="263BD710" w:rsidR="00C86B51" w:rsidRPr="00873B6C" w:rsidRDefault="00C86B51" w:rsidP="002C4A81">
            <w:pPr>
              <w:pStyle w:val="TAC"/>
              <w:rPr>
                <w:sz w:val="16"/>
                <w:szCs w:val="16"/>
              </w:rPr>
            </w:pPr>
            <w:r w:rsidRPr="00873B6C">
              <w:rPr>
                <w:sz w:val="16"/>
                <w:szCs w:val="16"/>
              </w:rPr>
              <w:t>18.2.0</w:t>
            </w:r>
          </w:p>
        </w:tc>
      </w:tr>
      <w:tr w:rsidR="00C86B51" w:rsidRPr="00873B6C" w14:paraId="2A31C393" w14:textId="77777777" w:rsidTr="009D14FB">
        <w:tc>
          <w:tcPr>
            <w:tcW w:w="800" w:type="dxa"/>
            <w:shd w:val="solid" w:color="FFFFFF" w:fill="auto"/>
          </w:tcPr>
          <w:p w14:paraId="23B8CBC7" w14:textId="5228B6AB"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036E44B3" w14:textId="7EF496E8"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384E2B5E" w14:textId="56235022" w:rsidR="00C86B51" w:rsidRPr="00873B6C" w:rsidRDefault="00C86B51" w:rsidP="002C4A81">
            <w:pPr>
              <w:pStyle w:val="TAC"/>
              <w:rPr>
                <w:sz w:val="16"/>
                <w:szCs w:val="16"/>
              </w:rPr>
            </w:pPr>
            <w:r w:rsidRPr="00873B6C">
              <w:rPr>
                <w:sz w:val="16"/>
                <w:szCs w:val="16"/>
              </w:rPr>
              <w:t>SP-230457</w:t>
            </w:r>
          </w:p>
        </w:tc>
        <w:tc>
          <w:tcPr>
            <w:tcW w:w="567" w:type="dxa"/>
            <w:shd w:val="solid" w:color="FFFFFF" w:fill="auto"/>
          </w:tcPr>
          <w:p w14:paraId="29E292A9" w14:textId="084E4BDA" w:rsidR="00C86B51" w:rsidRPr="00873B6C" w:rsidRDefault="00C86B51" w:rsidP="002C4A81">
            <w:pPr>
              <w:pStyle w:val="TAL"/>
              <w:rPr>
                <w:sz w:val="16"/>
                <w:szCs w:val="16"/>
              </w:rPr>
            </w:pPr>
            <w:r w:rsidRPr="00873B6C">
              <w:rPr>
                <w:sz w:val="16"/>
                <w:szCs w:val="16"/>
              </w:rPr>
              <w:t>4473</w:t>
            </w:r>
          </w:p>
        </w:tc>
        <w:tc>
          <w:tcPr>
            <w:tcW w:w="425" w:type="dxa"/>
            <w:shd w:val="solid" w:color="FFFFFF" w:fill="auto"/>
          </w:tcPr>
          <w:p w14:paraId="74212B3E" w14:textId="3EC0B08E" w:rsidR="00C86B51" w:rsidRPr="00873B6C" w:rsidRDefault="00C86B51" w:rsidP="002C4A81">
            <w:pPr>
              <w:pStyle w:val="TAL"/>
              <w:rPr>
                <w:sz w:val="16"/>
                <w:szCs w:val="16"/>
              </w:rPr>
            </w:pPr>
            <w:r w:rsidRPr="00873B6C">
              <w:rPr>
                <w:sz w:val="16"/>
                <w:szCs w:val="16"/>
              </w:rPr>
              <w:t>4</w:t>
            </w:r>
          </w:p>
        </w:tc>
        <w:tc>
          <w:tcPr>
            <w:tcW w:w="425" w:type="dxa"/>
            <w:shd w:val="solid" w:color="FFFFFF" w:fill="auto"/>
          </w:tcPr>
          <w:p w14:paraId="3784DF29" w14:textId="01420092" w:rsidR="00C86B51" w:rsidRPr="00873B6C" w:rsidRDefault="00C86B51" w:rsidP="002C4A81">
            <w:pPr>
              <w:pStyle w:val="TAL"/>
              <w:rPr>
                <w:sz w:val="16"/>
                <w:szCs w:val="16"/>
              </w:rPr>
            </w:pPr>
            <w:r w:rsidRPr="00873B6C">
              <w:rPr>
                <w:sz w:val="16"/>
                <w:szCs w:val="16"/>
              </w:rPr>
              <w:t>F</w:t>
            </w:r>
          </w:p>
        </w:tc>
        <w:tc>
          <w:tcPr>
            <w:tcW w:w="4820" w:type="dxa"/>
            <w:shd w:val="solid" w:color="FFFFFF" w:fill="auto"/>
          </w:tcPr>
          <w:p w14:paraId="7F7208A0" w14:textId="5C1C915E" w:rsidR="00C86B51" w:rsidRPr="00873B6C" w:rsidRDefault="00C86B51" w:rsidP="002C4A81">
            <w:pPr>
              <w:pStyle w:val="TAL"/>
              <w:rPr>
                <w:sz w:val="16"/>
                <w:szCs w:val="16"/>
              </w:rPr>
            </w:pPr>
            <w:r w:rsidRPr="00873B6C">
              <w:rPr>
                <w:sz w:val="16"/>
                <w:szCs w:val="16"/>
              </w:rPr>
              <w:t>5QI for AIML services</w:t>
            </w:r>
          </w:p>
        </w:tc>
        <w:tc>
          <w:tcPr>
            <w:tcW w:w="708" w:type="dxa"/>
            <w:shd w:val="solid" w:color="FFFFFF" w:fill="auto"/>
          </w:tcPr>
          <w:p w14:paraId="54C1CF12" w14:textId="4F01A30F" w:rsidR="00C86B51" w:rsidRPr="00873B6C" w:rsidRDefault="00C86B51" w:rsidP="002C4A81">
            <w:pPr>
              <w:pStyle w:val="TAC"/>
              <w:rPr>
                <w:sz w:val="16"/>
                <w:szCs w:val="16"/>
              </w:rPr>
            </w:pPr>
            <w:r w:rsidRPr="00873B6C">
              <w:rPr>
                <w:sz w:val="16"/>
                <w:szCs w:val="16"/>
              </w:rPr>
              <w:t>18.2.0</w:t>
            </w:r>
          </w:p>
        </w:tc>
      </w:tr>
      <w:tr w:rsidR="00C86B51" w:rsidRPr="00873B6C" w14:paraId="178FD6C8" w14:textId="77777777" w:rsidTr="009D14FB">
        <w:tc>
          <w:tcPr>
            <w:tcW w:w="800" w:type="dxa"/>
            <w:shd w:val="solid" w:color="FFFFFF" w:fill="auto"/>
          </w:tcPr>
          <w:p w14:paraId="0CA04B7D" w14:textId="042F7FDD"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7C7CB441" w14:textId="2D490685"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571C1B23" w14:textId="693FD1B1" w:rsidR="00C86B51" w:rsidRPr="00873B6C" w:rsidRDefault="00C86B51" w:rsidP="002C4A81">
            <w:pPr>
              <w:pStyle w:val="TAC"/>
              <w:rPr>
                <w:sz w:val="16"/>
                <w:szCs w:val="16"/>
              </w:rPr>
            </w:pPr>
            <w:r w:rsidRPr="00873B6C">
              <w:rPr>
                <w:sz w:val="16"/>
                <w:szCs w:val="16"/>
              </w:rPr>
              <w:t>SP-230493</w:t>
            </w:r>
          </w:p>
        </w:tc>
        <w:tc>
          <w:tcPr>
            <w:tcW w:w="567" w:type="dxa"/>
            <w:shd w:val="solid" w:color="FFFFFF" w:fill="auto"/>
          </w:tcPr>
          <w:p w14:paraId="6C49F03E" w14:textId="658BEFDC" w:rsidR="00C86B51" w:rsidRPr="00873B6C" w:rsidRDefault="00C86B51" w:rsidP="002C4A81">
            <w:pPr>
              <w:pStyle w:val="TAL"/>
              <w:rPr>
                <w:sz w:val="16"/>
                <w:szCs w:val="16"/>
              </w:rPr>
            </w:pPr>
            <w:r w:rsidRPr="00873B6C">
              <w:rPr>
                <w:sz w:val="16"/>
                <w:szCs w:val="16"/>
              </w:rPr>
              <w:t>4475</w:t>
            </w:r>
          </w:p>
        </w:tc>
        <w:tc>
          <w:tcPr>
            <w:tcW w:w="425" w:type="dxa"/>
            <w:shd w:val="solid" w:color="FFFFFF" w:fill="auto"/>
          </w:tcPr>
          <w:p w14:paraId="6B927541" w14:textId="447DB911"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6CA92CD5" w14:textId="26319B77"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3129C8B6" w14:textId="5825F959" w:rsidR="00C86B51" w:rsidRPr="00873B6C" w:rsidRDefault="00C86B51" w:rsidP="002C4A81">
            <w:pPr>
              <w:pStyle w:val="TAL"/>
              <w:rPr>
                <w:sz w:val="16"/>
                <w:szCs w:val="16"/>
              </w:rPr>
            </w:pPr>
            <w:r w:rsidRPr="00873B6C">
              <w:rPr>
                <w:sz w:val="16"/>
                <w:szCs w:val="16"/>
              </w:rPr>
              <w:t>Remove the EN on supporting TSN TN</w:t>
            </w:r>
          </w:p>
        </w:tc>
        <w:tc>
          <w:tcPr>
            <w:tcW w:w="708" w:type="dxa"/>
            <w:shd w:val="solid" w:color="FFFFFF" w:fill="auto"/>
          </w:tcPr>
          <w:p w14:paraId="2B05C629" w14:textId="43DBB25C" w:rsidR="00C86B51" w:rsidRPr="00873B6C" w:rsidRDefault="00C86B51" w:rsidP="002C4A81">
            <w:pPr>
              <w:pStyle w:val="TAC"/>
              <w:rPr>
                <w:sz w:val="16"/>
                <w:szCs w:val="16"/>
              </w:rPr>
            </w:pPr>
            <w:r w:rsidRPr="00873B6C">
              <w:rPr>
                <w:sz w:val="16"/>
                <w:szCs w:val="16"/>
              </w:rPr>
              <w:t>18.2.0</w:t>
            </w:r>
          </w:p>
        </w:tc>
      </w:tr>
      <w:tr w:rsidR="00C86B51" w:rsidRPr="00873B6C" w14:paraId="765DC96B" w14:textId="77777777" w:rsidTr="009D14FB">
        <w:tc>
          <w:tcPr>
            <w:tcW w:w="800" w:type="dxa"/>
            <w:shd w:val="solid" w:color="FFFFFF" w:fill="auto"/>
          </w:tcPr>
          <w:p w14:paraId="4570B1FA" w14:textId="07050AA1"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0F68999E" w14:textId="67758699"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3AD9F50D" w14:textId="4205E589" w:rsidR="00C86B51" w:rsidRPr="00873B6C" w:rsidRDefault="00C86B51" w:rsidP="002C4A81">
            <w:pPr>
              <w:pStyle w:val="TAC"/>
              <w:rPr>
                <w:sz w:val="16"/>
                <w:szCs w:val="16"/>
              </w:rPr>
            </w:pPr>
            <w:r w:rsidRPr="00873B6C">
              <w:rPr>
                <w:sz w:val="16"/>
                <w:szCs w:val="16"/>
              </w:rPr>
              <w:t>SP-230490</w:t>
            </w:r>
          </w:p>
        </w:tc>
        <w:tc>
          <w:tcPr>
            <w:tcW w:w="567" w:type="dxa"/>
            <w:shd w:val="solid" w:color="FFFFFF" w:fill="auto"/>
          </w:tcPr>
          <w:p w14:paraId="569AC578" w14:textId="22B979B2" w:rsidR="00C86B51" w:rsidRPr="00873B6C" w:rsidRDefault="00C86B51" w:rsidP="002C4A81">
            <w:pPr>
              <w:pStyle w:val="TAL"/>
              <w:rPr>
                <w:sz w:val="16"/>
                <w:szCs w:val="16"/>
              </w:rPr>
            </w:pPr>
            <w:r w:rsidRPr="00873B6C">
              <w:rPr>
                <w:sz w:val="16"/>
                <w:szCs w:val="16"/>
              </w:rPr>
              <w:t>4476</w:t>
            </w:r>
          </w:p>
        </w:tc>
        <w:tc>
          <w:tcPr>
            <w:tcW w:w="425" w:type="dxa"/>
            <w:shd w:val="solid" w:color="FFFFFF" w:fill="auto"/>
          </w:tcPr>
          <w:p w14:paraId="0A966CF5" w14:textId="407E5A89"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47DE96BF" w14:textId="4A640E70" w:rsidR="00C86B51" w:rsidRPr="00873B6C" w:rsidRDefault="00C86B51" w:rsidP="002C4A81">
            <w:pPr>
              <w:pStyle w:val="TAL"/>
              <w:rPr>
                <w:sz w:val="16"/>
                <w:szCs w:val="16"/>
              </w:rPr>
            </w:pPr>
            <w:r w:rsidRPr="00873B6C">
              <w:rPr>
                <w:sz w:val="16"/>
                <w:szCs w:val="16"/>
              </w:rPr>
              <w:t>F</w:t>
            </w:r>
          </w:p>
        </w:tc>
        <w:tc>
          <w:tcPr>
            <w:tcW w:w="4820" w:type="dxa"/>
            <w:shd w:val="solid" w:color="FFFFFF" w:fill="auto"/>
          </w:tcPr>
          <w:p w14:paraId="4149E984" w14:textId="7B8AC244" w:rsidR="00C86B51" w:rsidRPr="00873B6C" w:rsidRDefault="00C86B51" w:rsidP="002C4A81">
            <w:pPr>
              <w:pStyle w:val="TAL"/>
              <w:rPr>
                <w:sz w:val="16"/>
                <w:szCs w:val="16"/>
              </w:rPr>
            </w:pPr>
            <w:r w:rsidRPr="00873B6C">
              <w:rPr>
                <w:sz w:val="16"/>
                <w:szCs w:val="16"/>
              </w:rPr>
              <w:t>Clarification related to LADN PDU session.</w:t>
            </w:r>
          </w:p>
        </w:tc>
        <w:tc>
          <w:tcPr>
            <w:tcW w:w="708" w:type="dxa"/>
            <w:shd w:val="solid" w:color="FFFFFF" w:fill="auto"/>
          </w:tcPr>
          <w:p w14:paraId="4B903569" w14:textId="154B93E8" w:rsidR="00C86B51" w:rsidRPr="00873B6C" w:rsidRDefault="00C86B51" w:rsidP="002C4A81">
            <w:pPr>
              <w:pStyle w:val="TAC"/>
              <w:rPr>
                <w:sz w:val="16"/>
                <w:szCs w:val="16"/>
              </w:rPr>
            </w:pPr>
            <w:r w:rsidRPr="00873B6C">
              <w:rPr>
                <w:sz w:val="16"/>
                <w:szCs w:val="16"/>
              </w:rPr>
              <w:t>18.2.0</w:t>
            </w:r>
          </w:p>
        </w:tc>
      </w:tr>
      <w:tr w:rsidR="00A51A83" w:rsidRPr="00873B6C" w14:paraId="5E1B36FD" w14:textId="77777777" w:rsidTr="009D14FB">
        <w:tc>
          <w:tcPr>
            <w:tcW w:w="800" w:type="dxa"/>
            <w:shd w:val="solid" w:color="FFFFFF" w:fill="auto"/>
          </w:tcPr>
          <w:p w14:paraId="4FDB5698" w14:textId="55195E4D"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2C95D6D1" w14:textId="49439A5F"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0B5EE25A" w14:textId="7E767CFF" w:rsidR="00A51A83" w:rsidRPr="00873B6C" w:rsidRDefault="00A51A83" w:rsidP="002C4A81">
            <w:pPr>
              <w:pStyle w:val="TAC"/>
              <w:rPr>
                <w:sz w:val="16"/>
                <w:szCs w:val="16"/>
              </w:rPr>
            </w:pPr>
            <w:r w:rsidRPr="00873B6C">
              <w:rPr>
                <w:sz w:val="16"/>
                <w:szCs w:val="16"/>
              </w:rPr>
              <w:t>SP-230452</w:t>
            </w:r>
          </w:p>
        </w:tc>
        <w:tc>
          <w:tcPr>
            <w:tcW w:w="567" w:type="dxa"/>
            <w:shd w:val="solid" w:color="FFFFFF" w:fill="auto"/>
          </w:tcPr>
          <w:p w14:paraId="521E42AD" w14:textId="418605A7" w:rsidR="00A51A83" w:rsidRPr="00873B6C" w:rsidRDefault="00A51A83" w:rsidP="002C4A81">
            <w:pPr>
              <w:pStyle w:val="TAL"/>
              <w:rPr>
                <w:sz w:val="16"/>
                <w:szCs w:val="16"/>
              </w:rPr>
            </w:pPr>
            <w:r w:rsidRPr="00873B6C">
              <w:rPr>
                <w:sz w:val="16"/>
                <w:szCs w:val="16"/>
              </w:rPr>
              <w:t>4478</w:t>
            </w:r>
          </w:p>
        </w:tc>
        <w:tc>
          <w:tcPr>
            <w:tcW w:w="425" w:type="dxa"/>
            <w:shd w:val="solid" w:color="FFFFFF" w:fill="auto"/>
          </w:tcPr>
          <w:p w14:paraId="6DF0D896" w14:textId="4D93BB06" w:rsidR="00A51A83" w:rsidRPr="00873B6C" w:rsidRDefault="00A51A83" w:rsidP="002C4A81">
            <w:pPr>
              <w:pStyle w:val="TAL"/>
              <w:rPr>
                <w:sz w:val="16"/>
                <w:szCs w:val="16"/>
              </w:rPr>
            </w:pPr>
            <w:r w:rsidRPr="00873B6C">
              <w:rPr>
                <w:sz w:val="16"/>
                <w:szCs w:val="16"/>
              </w:rPr>
              <w:t>1</w:t>
            </w:r>
          </w:p>
        </w:tc>
        <w:tc>
          <w:tcPr>
            <w:tcW w:w="425" w:type="dxa"/>
            <w:shd w:val="solid" w:color="FFFFFF" w:fill="auto"/>
          </w:tcPr>
          <w:p w14:paraId="4BB1E85B" w14:textId="377AA97A"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032BBA43" w14:textId="77C46E0E" w:rsidR="00A51A83" w:rsidRPr="00873B6C" w:rsidRDefault="00A51A83" w:rsidP="002C4A81">
            <w:pPr>
              <w:pStyle w:val="TAL"/>
              <w:rPr>
                <w:sz w:val="16"/>
                <w:szCs w:val="16"/>
              </w:rPr>
            </w:pPr>
            <w:r w:rsidRPr="00873B6C">
              <w:rPr>
                <w:sz w:val="16"/>
                <w:szCs w:val="16"/>
              </w:rPr>
              <w:t>Remove ENs for QoS monitoring on dynamic satellite backhaul</w:t>
            </w:r>
          </w:p>
        </w:tc>
        <w:tc>
          <w:tcPr>
            <w:tcW w:w="708" w:type="dxa"/>
            <w:shd w:val="solid" w:color="FFFFFF" w:fill="auto"/>
          </w:tcPr>
          <w:p w14:paraId="3F954F97" w14:textId="45BF0CE4" w:rsidR="00A51A83" w:rsidRPr="00873B6C" w:rsidRDefault="00A51A83" w:rsidP="002C4A81">
            <w:pPr>
              <w:pStyle w:val="TAC"/>
              <w:rPr>
                <w:sz w:val="16"/>
                <w:szCs w:val="16"/>
              </w:rPr>
            </w:pPr>
            <w:r w:rsidRPr="00873B6C">
              <w:rPr>
                <w:sz w:val="16"/>
                <w:szCs w:val="16"/>
              </w:rPr>
              <w:t>18.2.0</w:t>
            </w:r>
          </w:p>
        </w:tc>
      </w:tr>
      <w:tr w:rsidR="00A51A83" w:rsidRPr="00873B6C" w14:paraId="66F5294E" w14:textId="77777777" w:rsidTr="009D14FB">
        <w:tc>
          <w:tcPr>
            <w:tcW w:w="800" w:type="dxa"/>
            <w:shd w:val="solid" w:color="FFFFFF" w:fill="auto"/>
          </w:tcPr>
          <w:p w14:paraId="72C34970" w14:textId="663E880D"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48E53DA1" w14:textId="07F63816"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1D7A31B7" w14:textId="6472E668" w:rsidR="00A51A83" w:rsidRPr="00873B6C" w:rsidRDefault="00A51A83" w:rsidP="002C4A81">
            <w:pPr>
              <w:pStyle w:val="TAC"/>
              <w:rPr>
                <w:sz w:val="16"/>
                <w:szCs w:val="16"/>
              </w:rPr>
            </w:pPr>
            <w:r w:rsidRPr="00873B6C">
              <w:rPr>
                <w:sz w:val="16"/>
                <w:szCs w:val="16"/>
              </w:rPr>
              <w:t>SP-230497</w:t>
            </w:r>
          </w:p>
        </w:tc>
        <w:tc>
          <w:tcPr>
            <w:tcW w:w="567" w:type="dxa"/>
            <w:shd w:val="solid" w:color="FFFFFF" w:fill="auto"/>
          </w:tcPr>
          <w:p w14:paraId="73D2065B" w14:textId="0BD263E9" w:rsidR="00A51A83" w:rsidRPr="00873B6C" w:rsidRDefault="00A51A83" w:rsidP="002C4A81">
            <w:pPr>
              <w:pStyle w:val="TAL"/>
              <w:rPr>
                <w:sz w:val="16"/>
                <w:szCs w:val="16"/>
              </w:rPr>
            </w:pPr>
            <w:r w:rsidRPr="00873B6C">
              <w:rPr>
                <w:sz w:val="16"/>
                <w:szCs w:val="16"/>
              </w:rPr>
              <w:t>4486</w:t>
            </w:r>
          </w:p>
        </w:tc>
        <w:tc>
          <w:tcPr>
            <w:tcW w:w="425" w:type="dxa"/>
            <w:shd w:val="solid" w:color="FFFFFF" w:fill="auto"/>
          </w:tcPr>
          <w:p w14:paraId="5B4AB8D5" w14:textId="214F92CD" w:rsidR="00A51A83" w:rsidRPr="00873B6C" w:rsidRDefault="00A51A83" w:rsidP="002C4A81">
            <w:pPr>
              <w:pStyle w:val="TAL"/>
              <w:rPr>
                <w:sz w:val="16"/>
                <w:szCs w:val="16"/>
              </w:rPr>
            </w:pPr>
            <w:r w:rsidRPr="00873B6C">
              <w:rPr>
                <w:sz w:val="16"/>
                <w:szCs w:val="16"/>
              </w:rPr>
              <w:t>1</w:t>
            </w:r>
          </w:p>
        </w:tc>
        <w:tc>
          <w:tcPr>
            <w:tcW w:w="425" w:type="dxa"/>
            <w:shd w:val="solid" w:color="FFFFFF" w:fill="auto"/>
          </w:tcPr>
          <w:p w14:paraId="5CA1B33F" w14:textId="04BF7BF2"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426658FE" w14:textId="4102B29A" w:rsidR="00A51A83" w:rsidRPr="00873B6C" w:rsidRDefault="00A51A83" w:rsidP="002C4A81">
            <w:pPr>
              <w:pStyle w:val="TAL"/>
              <w:rPr>
                <w:sz w:val="16"/>
                <w:szCs w:val="16"/>
              </w:rPr>
            </w:pPr>
            <w:r w:rsidRPr="00873B6C">
              <w:rPr>
                <w:sz w:val="16"/>
                <w:szCs w:val="16"/>
              </w:rPr>
              <w:t>PDU Set Importance spanning across QoS Flows</w:t>
            </w:r>
          </w:p>
        </w:tc>
        <w:tc>
          <w:tcPr>
            <w:tcW w:w="708" w:type="dxa"/>
            <w:shd w:val="solid" w:color="FFFFFF" w:fill="auto"/>
          </w:tcPr>
          <w:p w14:paraId="6B70F1B2" w14:textId="1F8AA6EC" w:rsidR="00A51A83" w:rsidRPr="00873B6C" w:rsidRDefault="00A51A83" w:rsidP="002C4A81">
            <w:pPr>
              <w:pStyle w:val="TAC"/>
              <w:rPr>
                <w:sz w:val="16"/>
                <w:szCs w:val="16"/>
              </w:rPr>
            </w:pPr>
            <w:r w:rsidRPr="00873B6C">
              <w:rPr>
                <w:sz w:val="16"/>
                <w:szCs w:val="16"/>
              </w:rPr>
              <w:t>18.2.0</w:t>
            </w:r>
          </w:p>
        </w:tc>
      </w:tr>
      <w:tr w:rsidR="00A51A83" w:rsidRPr="00873B6C" w14:paraId="1BB4C4A4" w14:textId="77777777" w:rsidTr="009D14FB">
        <w:tc>
          <w:tcPr>
            <w:tcW w:w="800" w:type="dxa"/>
            <w:shd w:val="solid" w:color="FFFFFF" w:fill="auto"/>
          </w:tcPr>
          <w:p w14:paraId="62AA7E15" w14:textId="00E88A58"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41B3D6B4" w14:textId="740FFF5F"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2B408086" w14:textId="6E04E5FA" w:rsidR="00A51A83" w:rsidRPr="00873B6C" w:rsidRDefault="00A51A83" w:rsidP="002C4A81">
            <w:pPr>
              <w:pStyle w:val="TAC"/>
              <w:rPr>
                <w:sz w:val="16"/>
                <w:szCs w:val="16"/>
              </w:rPr>
            </w:pPr>
            <w:r w:rsidRPr="00873B6C">
              <w:rPr>
                <w:sz w:val="16"/>
                <w:szCs w:val="16"/>
              </w:rPr>
              <w:t>SP-230473</w:t>
            </w:r>
          </w:p>
        </w:tc>
        <w:tc>
          <w:tcPr>
            <w:tcW w:w="567" w:type="dxa"/>
            <w:shd w:val="solid" w:color="FFFFFF" w:fill="auto"/>
          </w:tcPr>
          <w:p w14:paraId="648F52F1" w14:textId="24C4E291" w:rsidR="00A51A83" w:rsidRPr="00873B6C" w:rsidRDefault="00A51A83" w:rsidP="002C4A81">
            <w:pPr>
              <w:pStyle w:val="TAL"/>
              <w:rPr>
                <w:sz w:val="16"/>
                <w:szCs w:val="16"/>
              </w:rPr>
            </w:pPr>
            <w:r w:rsidRPr="00873B6C">
              <w:rPr>
                <w:sz w:val="16"/>
                <w:szCs w:val="16"/>
              </w:rPr>
              <w:t>4487</w:t>
            </w:r>
          </w:p>
        </w:tc>
        <w:tc>
          <w:tcPr>
            <w:tcW w:w="425" w:type="dxa"/>
            <w:shd w:val="solid" w:color="FFFFFF" w:fill="auto"/>
          </w:tcPr>
          <w:p w14:paraId="696DE594" w14:textId="303487DA" w:rsidR="00A51A83" w:rsidRPr="00873B6C" w:rsidRDefault="00A51A83" w:rsidP="002C4A81">
            <w:pPr>
              <w:pStyle w:val="TAL"/>
              <w:rPr>
                <w:sz w:val="16"/>
                <w:szCs w:val="16"/>
              </w:rPr>
            </w:pPr>
            <w:r w:rsidRPr="00873B6C">
              <w:rPr>
                <w:sz w:val="16"/>
                <w:szCs w:val="16"/>
              </w:rPr>
              <w:t>1</w:t>
            </w:r>
          </w:p>
        </w:tc>
        <w:tc>
          <w:tcPr>
            <w:tcW w:w="425" w:type="dxa"/>
            <w:shd w:val="solid" w:color="FFFFFF" w:fill="auto"/>
          </w:tcPr>
          <w:p w14:paraId="380D4C89" w14:textId="6A4C925B"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713E0194" w14:textId="169796EF" w:rsidR="00A51A83" w:rsidRPr="00873B6C" w:rsidRDefault="00A51A83" w:rsidP="002C4A81">
            <w:pPr>
              <w:pStyle w:val="TAL"/>
              <w:rPr>
                <w:sz w:val="16"/>
                <w:szCs w:val="16"/>
              </w:rPr>
            </w:pPr>
            <w:r w:rsidRPr="00873B6C">
              <w:rPr>
                <w:sz w:val="16"/>
                <w:szCs w:val="16"/>
              </w:rPr>
              <w:t>Updates on S-NSSAI Location Availability information</w:t>
            </w:r>
          </w:p>
        </w:tc>
        <w:tc>
          <w:tcPr>
            <w:tcW w:w="708" w:type="dxa"/>
            <w:shd w:val="solid" w:color="FFFFFF" w:fill="auto"/>
          </w:tcPr>
          <w:p w14:paraId="72CF747D" w14:textId="50861B8D" w:rsidR="00A51A83" w:rsidRPr="00873B6C" w:rsidRDefault="00A51A83" w:rsidP="002C4A81">
            <w:pPr>
              <w:pStyle w:val="TAC"/>
              <w:rPr>
                <w:sz w:val="16"/>
                <w:szCs w:val="16"/>
              </w:rPr>
            </w:pPr>
            <w:r w:rsidRPr="00873B6C">
              <w:rPr>
                <w:sz w:val="16"/>
                <w:szCs w:val="16"/>
              </w:rPr>
              <w:t>18.2.0</w:t>
            </w:r>
          </w:p>
        </w:tc>
      </w:tr>
      <w:tr w:rsidR="00A51A83" w:rsidRPr="00873B6C" w14:paraId="78FD9E11" w14:textId="77777777" w:rsidTr="009D14FB">
        <w:tc>
          <w:tcPr>
            <w:tcW w:w="800" w:type="dxa"/>
            <w:shd w:val="solid" w:color="FFFFFF" w:fill="auto"/>
          </w:tcPr>
          <w:p w14:paraId="67189BD4" w14:textId="34A5E591"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361F04A2" w14:textId="5B64BB06"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5F0194EA" w14:textId="17F06094" w:rsidR="00A51A83" w:rsidRPr="00873B6C" w:rsidRDefault="00A51A83" w:rsidP="002C4A81">
            <w:pPr>
              <w:pStyle w:val="TAC"/>
              <w:rPr>
                <w:sz w:val="16"/>
                <w:szCs w:val="16"/>
              </w:rPr>
            </w:pPr>
            <w:r w:rsidRPr="00873B6C">
              <w:rPr>
                <w:sz w:val="16"/>
                <w:szCs w:val="16"/>
              </w:rPr>
              <w:t>SP-230473</w:t>
            </w:r>
          </w:p>
        </w:tc>
        <w:tc>
          <w:tcPr>
            <w:tcW w:w="567" w:type="dxa"/>
            <w:shd w:val="solid" w:color="FFFFFF" w:fill="auto"/>
          </w:tcPr>
          <w:p w14:paraId="5ABABB95" w14:textId="4267BCBB" w:rsidR="00A51A83" w:rsidRPr="00873B6C" w:rsidRDefault="00A51A83" w:rsidP="002C4A81">
            <w:pPr>
              <w:pStyle w:val="TAL"/>
              <w:rPr>
                <w:sz w:val="16"/>
                <w:szCs w:val="16"/>
              </w:rPr>
            </w:pPr>
            <w:r w:rsidRPr="00873B6C">
              <w:rPr>
                <w:sz w:val="16"/>
                <w:szCs w:val="16"/>
              </w:rPr>
              <w:t>4488</w:t>
            </w:r>
          </w:p>
        </w:tc>
        <w:tc>
          <w:tcPr>
            <w:tcW w:w="425" w:type="dxa"/>
            <w:shd w:val="solid" w:color="FFFFFF" w:fill="auto"/>
          </w:tcPr>
          <w:p w14:paraId="48BB3685" w14:textId="20C02CD3" w:rsidR="00A51A83" w:rsidRPr="00873B6C" w:rsidRDefault="00A51A83" w:rsidP="002C4A81">
            <w:pPr>
              <w:pStyle w:val="TAL"/>
              <w:rPr>
                <w:sz w:val="16"/>
                <w:szCs w:val="16"/>
              </w:rPr>
            </w:pPr>
            <w:r w:rsidRPr="00873B6C">
              <w:rPr>
                <w:sz w:val="16"/>
                <w:szCs w:val="16"/>
              </w:rPr>
              <w:t>3</w:t>
            </w:r>
          </w:p>
        </w:tc>
        <w:tc>
          <w:tcPr>
            <w:tcW w:w="425" w:type="dxa"/>
            <w:shd w:val="solid" w:color="FFFFFF" w:fill="auto"/>
          </w:tcPr>
          <w:p w14:paraId="51275BAA" w14:textId="07845ACB"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6DF4704E" w14:textId="7B9BE3CD" w:rsidR="00A51A83" w:rsidRPr="00873B6C" w:rsidRDefault="00A51A83" w:rsidP="002C4A81">
            <w:pPr>
              <w:pStyle w:val="TAL"/>
              <w:rPr>
                <w:sz w:val="16"/>
                <w:szCs w:val="16"/>
              </w:rPr>
            </w:pPr>
            <w:r w:rsidRPr="00873B6C">
              <w:rPr>
                <w:sz w:val="16"/>
                <w:szCs w:val="16"/>
              </w:rPr>
              <w:t>Storage of S-NSSAI validity time information</w:t>
            </w:r>
          </w:p>
        </w:tc>
        <w:tc>
          <w:tcPr>
            <w:tcW w:w="708" w:type="dxa"/>
            <w:shd w:val="solid" w:color="FFFFFF" w:fill="auto"/>
          </w:tcPr>
          <w:p w14:paraId="55856196" w14:textId="267F294F" w:rsidR="00A51A83" w:rsidRPr="00873B6C" w:rsidRDefault="00A51A83" w:rsidP="002C4A81">
            <w:pPr>
              <w:pStyle w:val="TAC"/>
              <w:rPr>
                <w:sz w:val="16"/>
                <w:szCs w:val="16"/>
              </w:rPr>
            </w:pPr>
            <w:r w:rsidRPr="00873B6C">
              <w:rPr>
                <w:sz w:val="16"/>
                <w:szCs w:val="16"/>
              </w:rPr>
              <w:t>18.2.0</w:t>
            </w:r>
          </w:p>
        </w:tc>
      </w:tr>
      <w:tr w:rsidR="00A51A83" w:rsidRPr="00873B6C" w14:paraId="68EFEF35" w14:textId="77777777" w:rsidTr="009D14FB">
        <w:tc>
          <w:tcPr>
            <w:tcW w:w="800" w:type="dxa"/>
            <w:shd w:val="solid" w:color="FFFFFF" w:fill="auto"/>
          </w:tcPr>
          <w:p w14:paraId="539F10A0" w14:textId="57B8B3E5"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184DAD2F" w14:textId="63DA4AC1"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76F99C7E" w14:textId="510A7293" w:rsidR="00A51A83" w:rsidRPr="00873B6C" w:rsidRDefault="00A51A83" w:rsidP="002C4A81">
            <w:pPr>
              <w:pStyle w:val="TAC"/>
              <w:rPr>
                <w:sz w:val="16"/>
                <w:szCs w:val="16"/>
              </w:rPr>
            </w:pPr>
            <w:r w:rsidRPr="00873B6C">
              <w:rPr>
                <w:sz w:val="16"/>
                <w:szCs w:val="16"/>
              </w:rPr>
              <w:t>SP-230495</w:t>
            </w:r>
          </w:p>
        </w:tc>
        <w:tc>
          <w:tcPr>
            <w:tcW w:w="567" w:type="dxa"/>
            <w:shd w:val="solid" w:color="FFFFFF" w:fill="auto"/>
          </w:tcPr>
          <w:p w14:paraId="60F5855B" w14:textId="4872C3E6" w:rsidR="00A51A83" w:rsidRPr="00873B6C" w:rsidRDefault="00A51A83" w:rsidP="002C4A81">
            <w:pPr>
              <w:pStyle w:val="TAL"/>
              <w:rPr>
                <w:sz w:val="16"/>
                <w:szCs w:val="16"/>
              </w:rPr>
            </w:pPr>
            <w:r w:rsidRPr="00873B6C">
              <w:rPr>
                <w:sz w:val="16"/>
                <w:szCs w:val="16"/>
              </w:rPr>
              <w:t>4490</w:t>
            </w:r>
          </w:p>
        </w:tc>
        <w:tc>
          <w:tcPr>
            <w:tcW w:w="425" w:type="dxa"/>
            <w:shd w:val="solid" w:color="FFFFFF" w:fill="auto"/>
          </w:tcPr>
          <w:p w14:paraId="4609F05D" w14:textId="75D23D12" w:rsidR="00A51A83" w:rsidRPr="00873B6C" w:rsidRDefault="00A51A83" w:rsidP="002C4A81">
            <w:pPr>
              <w:pStyle w:val="TAL"/>
              <w:rPr>
                <w:sz w:val="16"/>
                <w:szCs w:val="16"/>
              </w:rPr>
            </w:pPr>
            <w:r w:rsidRPr="00873B6C">
              <w:rPr>
                <w:sz w:val="16"/>
                <w:szCs w:val="16"/>
              </w:rPr>
              <w:t>3</w:t>
            </w:r>
          </w:p>
        </w:tc>
        <w:tc>
          <w:tcPr>
            <w:tcW w:w="425" w:type="dxa"/>
            <w:shd w:val="solid" w:color="FFFFFF" w:fill="auto"/>
          </w:tcPr>
          <w:p w14:paraId="065706BE" w14:textId="1D7DD8AC"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53AA4A2A" w14:textId="7FEDFF25" w:rsidR="00A51A83" w:rsidRPr="00873B6C" w:rsidRDefault="00A51A83" w:rsidP="002C4A81">
            <w:pPr>
              <w:pStyle w:val="TAL"/>
              <w:rPr>
                <w:sz w:val="16"/>
                <w:szCs w:val="16"/>
              </w:rPr>
            </w:pPr>
            <w:r w:rsidRPr="00873B6C">
              <w:rPr>
                <w:sz w:val="16"/>
                <w:szCs w:val="16"/>
              </w:rPr>
              <w:t>Update the description of reporting suggestion information</w:t>
            </w:r>
          </w:p>
        </w:tc>
        <w:tc>
          <w:tcPr>
            <w:tcW w:w="708" w:type="dxa"/>
            <w:shd w:val="solid" w:color="FFFFFF" w:fill="auto"/>
          </w:tcPr>
          <w:p w14:paraId="46EC0E5D" w14:textId="68622547" w:rsidR="00A51A83" w:rsidRPr="00873B6C" w:rsidRDefault="00A51A83" w:rsidP="002C4A81">
            <w:pPr>
              <w:pStyle w:val="TAC"/>
              <w:rPr>
                <w:sz w:val="16"/>
                <w:szCs w:val="16"/>
              </w:rPr>
            </w:pPr>
            <w:r w:rsidRPr="00873B6C">
              <w:rPr>
                <w:sz w:val="16"/>
                <w:szCs w:val="16"/>
              </w:rPr>
              <w:t>18.2.0</w:t>
            </w:r>
          </w:p>
        </w:tc>
      </w:tr>
      <w:tr w:rsidR="00A51A83" w:rsidRPr="00873B6C" w14:paraId="4FB71778" w14:textId="77777777" w:rsidTr="009D14FB">
        <w:tc>
          <w:tcPr>
            <w:tcW w:w="800" w:type="dxa"/>
            <w:shd w:val="solid" w:color="FFFFFF" w:fill="auto"/>
          </w:tcPr>
          <w:p w14:paraId="43E899EF" w14:textId="3E0C2951"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4D6632C6" w14:textId="7399D047"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64B6C4AC" w14:textId="69C4F956" w:rsidR="00A51A83" w:rsidRPr="00873B6C" w:rsidRDefault="00A51A83" w:rsidP="002C4A81">
            <w:pPr>
              <w:pStyle w:val="TAC"/>
              <w:rPr>
                <w:sz w:val="16"/>
                <w:szCs w:val="16"/>
              </w:rPr>
            </w:pPr>
            <w:r w:rsidRPr="00873B6C">
              <w:rPr>
                <w:sz w:val="16"/>
                <w:szCs w:val="16"/>
              </w:rPr>
              <w:t>SP-230481</w:t>
            </w:r>
          </w:p>
        </w:tc>
        <w:tc>
          <w:tcPr>
            <w:tcW w:w="567" w:type="dxa"/>
            <w:shd w:val="solid" w:color="FFFFFF" w:fill="auto"/>
          </w:tcPr>
          <w:p w14:paraId="52A3E628" w14:textId="6ED83B69" w:rsidR="00A51A83" w:rsidRPr="00873B6C" w:rsidRDefault="00A51A83" w:rsidP="002C4A81">
            <w:pPr>
              <w:pStyle w:val="TAL"/>
              <w:rPr>
                <w:sz w:val="16"/>
                <w:szCs w:val="16"/>
              </w:rPr>
            </w:pPr>
            <w:r w:rsidRPr="00873B6C">
              <w:rPr>
                <w:sz w:val="16"/>
                <w:szCs w:val="16"/>
              </w:rPr>
              <w:t>4491</w:t>
            </w:r>
          </w:p>
        </w:tc>
        <w:tc>
          <w:tcPr>
            <w:tcW w:w="425" w:type="dxa"/>
            <w:shd w:val="solid" w:color="FFFFFF" w:fill="auto"/>
          </w:tcPr>
          <w:p w14:paraId="74C1670B" w14:textId="786C22A7" w:rsidR="00A51A83" w:rsidRPr="00873B6C" w:rsidRDefault="00A51A83" w:rsidP="002C4A81">
            <w:pPr>
              <w:pStyle w:val="TAL"/>
              <w:rPr>
                <w:sz w:val="16"/>
                <w:szCs w:val="16"/>
              </w:rPr>
            </w:pPr>
            <w:r w:rsidRPr="00873B6C">
              <w:rPr>
                <w:sz w:val="16"/>
                <w:szCs w:val="16"/>
              </w:rPr>
              <w:t>1</w:t>
            </w:r>
          </w:p>
        </w:tc>
        <w:tc>
          <w:tcPr>
            <w:tcW w:w="425" w:type="dxa"/>
            <w:shd w:val="solid" w:color="FFFFFF" w:fill="auto"/>
          </w:tcPr>
          <w:p w14:paraId="3A9AFB05" w14:textId="677A5614"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669CC98D" w14:textId="5B452F61" w:rsidR="00A51A83" w:rsidRPr="00873B6C" w:rsidRDefault="00A51A83" w:rsidP="002C4A81">
            <w:pPr>
              <w:pStyle w:val="TAL"/>
              <w:rPr>
                <w:sz w:val="16"/>
                <w:szCs w:val="16"/>
              </w:rPr>
            </w:pPr>
            <w:r w:rsidRPr="00873B6C">
              <w:rPr>
                <w:sz w:val="16"/>
                <w:szCs w:val="16"/>
              </w:rPr>
              <w:t>MPS when access to 5GC is WLAN corrections</w:t>
            </w:r>
          </w:p>
        </w:tc>
        <w:tc>
          <w:tcPr>
            <w:tcW w:w="708" w:type="dxa"/>
            <w:shd w:val="solid" w:color="FFFFFF" w:fill="auto"/>
          </w:tcPr>
          <w:p w14:paraId="27ED2527" w14:textId="08378E95" w:rsidR="00A51A83" w:rsidRPr="00873B6C" w:rsidRDefault="00A51A83" w:rsidP="002C4A81">
            <w:pPr>
              <w:pStyle w:val="TAC"/>
              <w:rPr>
                <w:sz w:val="16"/>
                <w:szCs w:val="16"/>
              </w:rPr>
            </w:pPr>
            <w:r w:rsidRPr="00873B6C">
              <w:rPr>
                <w:sz w:val="16"/>
                <w:szCs w:val="16"/>
              </w:rPr>
              <w:t>18.2.0</w:t>
            </w:r>
          </w:p>
        </w:tc>
      </w:tr>
      <w:tr w:rsidR="00A51A83" w:rsidRPr="00873B6C" w14:paraId="221B741F" w14:textId="77777777" w:rsidTr="009D14FB">
        <w:tc>
          <w:tcPr>
            <w:tcW w:w="800" w:type="dxa"/>
            <w:shd w:val="solid" w:color="FFFFFF" w:fill="auto"/>
          </w:tcPr>
          <w:p w14:paraId="559298B3" w14:textId="1242885B"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73F8E05E" w14:textId="1D75BC4A"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2DC47215" w14:textId="6D2ECC98" w:rsidR="00A51A83" w:rsidRPr="00873B6C" w:rsidRDefault="00A51A83" w:rsidP="002C4A81">
            <w:pPr>
              <w:pStyle w:val="TAC"/>
              <w:rPr>
                <w:sz w:val="16"/>
                <w:szCs w:val="16"/>
              </w:rPr>
            </w:pPr>
            <w:r w:rsidRPr="00873B6C">
              <w:rPr>
                <w:sz w:val="16"/>
                <w:szCs w:val="16"/>
              </w:rPr>
              <w:t>SP-230484</w:t>
            </w:r>
          </w:p>
        </w:tc>
        <w:tc>
          <w:tcPr>
            <w:tcW w:w="567" w:type="dxa"/>
            <w:shd w:val="solid" w:color="FFFFFF" w:fill="auto"/>
          </w:tcPr>
          <w:p w14:paraId="645953E3" w14:textId="48C52352" w:rsidR="00A51A83" w:rsidRPr="00873B6C" w:rsidRDefault="00A51A83" w:rsidP="002C4A81">
            <w:pPr>
              <w:pStyle w:val="TAL"/>
              <w:rPr>
                <w:sz w:val="16"/>
                <w:szCs w:val="16"/>
              </w:rPr>
            </w:pPr>
            <w:r w:rsidRPr="00873B6C">
              <w:rPr>
                <w:sz w:val="16"/>
                <w:szCs w:val="16"/>
              </w:rPr>
              <w:t>4492</w:t>
            </w:r>
          </w:p>
        </w:tc>
        <w:tc>
          <w:tcPr>
            <w:tcW w:w="425" w:type="dxa"/>
            <w:shd w:val="solid" w:color="FFFFFF" w:fill="auto"/>
          </w:tcPr>
          <w:p w14:paraId="51F41783" w14:textId="4DE8E2B8" w:rsidR="00A51A83" w:rsidRPr="00873B6C" w:rsidRDefault="00A51A83" w:rsidP="002C4A81">
            <w:pPr>
              <w:pStyle w:val="TAL"/>
              <w:rPr>
                <w:sz w:val="16"/>
                <w:szCs w:val="16"/>
              </w:rPr>
            </w:pPr>
            <w:r w:rsidRPr="00873B6C">
              <w:rPr>
                <w:sz w:val="16"/>
                <w:szCs w:val="16"/>
              </w:rPr>
              <w:t>7</w:t>
            </w:r>
          </w:p>
        </w:tc>
        <w:tc>
          <w:tcPr>
            <w:tcW w:w="425" w:type="dxa"/>
            <w:shd w:val="solid" w:color="FFFFFF" w:fill="auto"/>
          </w:tcPr>
          <w:p w14:paraId="1C36D396" w14:textId="7A4E9631"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7E5FD08B" w14:textId="33E4BE7A" w:rsidR="00A51A83" w:rsidRPr="00873B6C" w:rsidRDefault="00A51A83" w:rsidP="002C4A81">
            <w:pPr>
              <w:pStyle w:val="TAL"/>
              <w:rPr>
                <w:sz w:val="16"/>
                <w:szCs w:val="16"/>
              </w:rPr>
            </w:pPr>
            <w:r w:rsidRPr="00873B6C">
              <w:rPr>
                <w:sz w:val="16"/>
                <w:szCs w:val="16"/>
              </w:rPr>
              <w:t>PIN communication definition</w:t>
            </w:r>
          </w:p>
        </w:tc>
        <w:tc>
          <w:tcPr>
            <w:tcW w:w="708" w:type="dxa"/>
            <w:shd w:val="solid" w:color="FFFFFF" w:fill="auto"/>
          </w:tcPr>
          <w:p w14:paraId="3CD06765" w14:textId="696C1EB7" w:rsidR="00A51A83" w:rsidRPr="00873B6C" w:rsidRDefault="00A51A83" w:rsidP="002C4A81">
            <w:pPr>
              <w:pStyle w:val="TAC"/>
              <w:rPr>
                <w:sz w:val="16"/>
                <w:szCs w:val="16"/>
              </w:rPr>
            </w:pPr>
            <w:r w:rsidRPr="00873B6C">
              <w:rPr>
                <w:sz w:val="16"/>
                <w:szCs w:val="16"/>
              </w:rPr>
              <w:t>18.2.0</w:t>
            </w:r>
          </w:p>
        </w:tc>
      </w:tr>
      <w:tr w:rsidR="00A51A83" w:rsidRPr="00873B6C" w14:paraId="5FA67B60" w14:textId="77777777" w:rsidTr="009D14FB">
        <w:tc>
          <w:tcPr>
            <w:tcW w:w="800" w:type="dxa"/>
            <w:shd w:val="solid" w:color="FFFFFF" w:fill="auto"/>
          </w:tcPr>
          <w:p w14:paraId="3E7582A9" w14:textId="10D7F203"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3D226476" w14:textId="476C124A"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6B74DF40" w14:textId="7D9F9D78" w:rsidR="00A51A83" w:rsidRPr="00873B6C" w:rsidRDefault="00A51A83" w:rsidP="002C4A81">
            <w:pPr>
              <w:pStyle w:val="TAC"/>
              <w:rPr>
                <w:sz w:val="16"/>
                <w:szCs w:val="16"/>
              </w:rPr>
            </w:pPr>
            <w:r w:rsidRPr="00873B6C">
              <w:rPr>
                <w:sz w:val="16"/>
                <w:szCs w:val="16"/>
              </w:rPr>
              <w:t>SP-230497</w:t>
            </w:r>
          </w:p>
        </w:tc>
        <w:tc>
          <w:tcPr>
            <w:tcW w:w="567" w:type="dxa"/>
            <w:shd w:val="solid" w:color="FFFFFF" w:fill="auto"/>
          </w:tcPr>
          <w:p w14:paraId="7DA59906" w14:textId="18067960" w:rsidR="00A51A83" w:rsidRPr="00873B6C" w:rsidRDefault="00A51A83" w:rsidP="002C4A81">
            <w:pPr>
              <w:pStyle w:val="TAL"/>
              <w:rPr>
                <w:sz w:val="16"/>
                <w:szCs w:val="16"/>
              </w:rPr>
            </w:pPr>
            <w:r w:rsidRPr="00873B6C">
              <w:rPr>
                <w:sz w:val="16"/>
                <w:szCs w:val="16"/>
              </w:rPr>
              <w:t>4493</w:t>
            </w:r>
          </w:p>
        </w:tc>
        <w:tc>
          <w:tcPr>
            <w:tcW w:w="425" w:type="dxa"/>
            <w:shd w:val="solid" w:color="FFFFFF" w:fill="auto"/>
          </w:tcPr>
          <w:p w14:paraId="54EC8845" w14:textId="4B6B1F35" w:rsidR="00A51A83" w:rsidRPr="00873B6C" w:rsidRDefault="00A51A83" w:rsidP="002C4A81">
            <w:pPr>
              <w:pStyle w:val="TAL"/>
              <w:rPr>
                <w:sz w:val="16"/>
                <w:szCs w:val="16"/>
              </w:rPr>
            </w:pPr>
            <w:r w:rsidRPr="00873B6C">
              <w:rPr>
                <w:sz w:val="16"/>
                <w:szCs w:val="16"/>
              </w:rPr>
              <w:t>3</w:t>
            </w:r>
          </w:p>
        </w:tc>
        <w:tc>
          <w:tcPr>
            <w:tcW w:w="425" w:type="dxa"/>
            <w:shd w:val="solid" w:color="FFFFFF" w:fill="auto"/>
          </w:tcPr>
          <w:p w14:paraId="11349A1C" w14:textId="67990B18"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2A08CBE3" w14:textId="754B8590" w:rsidR="00A51A83" w:rsidRPr="00873B6C" w:rsidRDefault="00A51A83" w:rsidP="002C4A81">
            <w:pPr>
              <w:pStyle w:val="TAL"/>
              <w:rPr>
                <w:sz w:val="16"/>
                <w:szCs w:val="16"/>
              </w:rPr>
            </w:pPr>
            <w:r w:rsidRPr="00873B6C">
              <w:rPr>
                <w:sz w:val="16"/>
                <w:szCs w:val="16"/>
              </w:rPr>
              <w:t>Introduction of a new standard SST for Extended Reality and Media Services</w:t>
            </w:r>
          </w:p>
        </w:tc>
        <w:tc>
          <w:tcPr>
            <w:tcW w:w="708" w:type="dxa"/>
            <w:shd w:val="solid" w:color="FFFFFF" w:fill="auto"/>
          </w:tcPr>
          <w:p w14:paraId="2E828148" w14:textId="6D4FCA17" w:rsidR="00A51A83" w:rsidRPr="00873B6C" w:rsidRDefault="00A51A83" w:rsidP="002C4A81">
            <w:pPr>
              <w:pStyle w:val="TAC"/>
              <w:rPr>
                <w:sz w:val="16"/>
                <w:szCs w:val="16"/>
              </w:rPr>
            </w:pPr>
            <w:r w:rsidRPr="00873B6C">
              <w:rPr>
                <w:sz w:val="16"/>
                <w:szCs w:val="16"/>
              </w:rPr>
              <w:t>18.2.0</w:t>
            </w:r>
          </w:p>
        </w:tc>
      </w:tr>
      <w:tr w:rsidR="00A51A83" w:rsidRPr="00873B6C" w14:paraId="26142B0F" w14:textId="77777777" w:rsidTr="009D14FB">
        <w:tc>
          <w:tcPr>
            <w:tcW w:w="800" w:type="dxa"/>
            <w:shd w:val="solid" w:color="FFFFFF" w:fill="auto"/>
          </w:tcPr>
          <w:p w14:paraId="207EADE7" w14:textId="6EC4B763"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36E248F7" w14:textId="0BBC421C"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2216019A" w14:textId="17E4497E" w:rsidR="00A51A83" w:rsidRPr="00873B6C" w:rsidRDefault="00A51A83" w:rsidP="002C4A81">
            <w:pPr>
              <w:pStyle w:val="TAC"/>
              <w:rPr>
                <w:sz w:val="16"/>
                <w:szCs w:val="16"/>
              </w:rPr>
            </w:pPr>
            <w:r w:rsidRPr="00873B6C">
              <w:rPr>
                <w:sz w:val="16"/>
                <w:szCs w:val="16"/>
              </w:rPr>
              <w:t>SP-230483</w:t>
            </w:r>
          </w:p>
        </w:tc>
        <w:tc>
          <w:tcPr>
            <w:tcW w:w="567" w:type="dxa"/>
            <w:shd w:val="solid" w:color="FFFFFF" w:fill="auto"/>
          </w:tcPr>
          <w:p w14:paraId="41482A91" w14:textId="5040EA70" w:rsidR="00A51A83" w:rsidRPr="00873B6C" w:rsidRDefault="00A51A83" w:rsidP="002C4A81">
            <w:pPr>
              <w:pStyle w:val="TAL"/>
              <w:rPr>
                <w:sz w:val="16"/>
                <w:szCs w:val="16"/>
              </w:rPr>
            </w:pPr>
            <w:r w:rsidRPr="00873B6C">
              <w:rPr>
                <w:sz w:val="16"/>
                <w:szCs w:val="16"/>
              </w:rPr>
              <w:t>4499</w:t>
            </w:r>
          </w:p>
        </w:tc>
        <w:tc>
          <w:tcPr>
            <w:tcW w:w="425" w:type="dxa"/>
            <w:shd w:val="solid" w:color="FFFFFF" w:fill="auto"/>
          </w:tcPr>
          <w:p w14:paraId="0895CA4E" w14:textId="656EA25A" w:rsidR="00A51A83" w:rsidRPr="00873B6C" w:rsidRDefault="00A51A83" w:rsidP="002C4A81">
            <w:pPr>
              <w:pStyle w:val="TAL"/>
              <w:rPr>
                <w:sz w:val="16"/>
                <w:szCs w:val="16"/>
              </w:rPr>
            </w:pPr>
            <w:r w:rsidRPr="00873B6C">
              <w:rPr>
                <w:sz w:val="16"/>
                <w:szCs w:val="16"/>
              </w:rPr>
              <w:t>4</w:t>
            </w:r>
          </w:p>
        </w:tc>
        <w:tc>
          <w:tcPr>
            <w:tcW w:w="425" w:type="dxa"/>
            <w:shd w:val="solid" w:color="FFFFFF" w:fill="auto"/>
          </w:tcPr>
          <w:p w14:paraId="757ECCB4" w14:textId="60574477"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1C800257" w14:textId="0EEA670B" w:rsidR="00A51A83" w:rsidRPr="00873B6C" w:rsidRDefault="00A51A83" w:rsidP="002C4A81">
            <w:pPr>
              <w:pStyle w:val="TAL"/>
              <w:rPr>
                <w:sz w:val="16"/>
                <w:szCs w:val="16"/>
              </w:rPr>
            </w:pPr>
            <w:r w:rsidRPr="00873B6C">
              <w:rPr>
                <w:sz w:val="16"/>
                <w:szCs w:val="16"/>
              </w:rPr>
              <w:t xml:space="preserve">CN based MT communication capability </w:t>
            </w:r>
          </w:p>
        </w:tc>
        <w:tc>
          <w:tcPr>
            <w:tcW w:w="708" w:type="dxa"/>
            <w:shd w:val="solid" w:color="FFFFFF" w:fill="auto"/>
          </w:tcPr>
          <w:p w14:paraId="75E67B46" w14:textId="517FD45B" w:rsidR="00A51A83" w:rsidRPr="00873B6C" w:rsidRDefault="00A51A83" w:rsidP="002C4A81">
            <w:pPr>
              <w:pStyle w:val="TAC"/>
              <w:rPr>
                <w:sz w:val="16"/>
                <w:szCs w:val="16"/>
              </w:rPr>
            </w:pPr>
            <w:r w:rsidRPr="00873B6C">
              <w:rPr>
                <w:sz w:val="16"/>
                <w:szCs w:val="16"/>
              </w:rPr>
              <w:t>18.2.0</w:t>
            </w:r>
          </w:p>
        </w:tc>
      </w:tr>
      <w:tr w:rsidR="00A51A83" w:rsidRPr="00873B6C" w14:paraId="5DE99396" w14:textId="77777777" w:rsidTr="009D14FB">
        <w:tc>
          <w:tcPr>
            <w:tcW w:w="800" w:type="dxa"/>
            <w:shd w:val="solid" w:color="FFFFFF" w:fill="auto"/>
          </w:tcPr>
          <w:p w14:paraId="272F0733" w14:textId="64CFD75A"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523404CC" w14:textId="14858D30"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30A8D4B6" w14:textId="110AA69B" w:rsidR="00A51A83" w:rsidRPr="00873B6C" w:rsidRDefault="00A51A83" w:rsidP="002C4A81">
            <w:pPr>
              <w:pStyle w:val="TAC"/>
              <w:rPr>
                <w:sz w:val="16"/>
                <w:szCs w:val="16"/>
              </w:rPr>
            </w:pPr>
            <w:r w:rsidRPr="00873B6C">
              <w:rPr>
                <w:sz w:val="16"/>
                <w:szCs w:val="16"/>
              </w:rPr>
              <w:t>SP-230475</w:t>
            </w:r>
          </w:p>
        </w:tc>
        <w:tc>
          <w:tcPr>
            <w:tcW w:w="567" w:type="dxa"/>
            <w:shd w:val="solid" w:color="FFFFFF" w:fill="auto"/>
          </w:tcPr>
          <w:p w14:paraId="57F51259" w14:textId="628616B8" w:rsidR="00A51A83" w:rsidRPr="00873B6C" w:rsidRDefault="00A51A83" w:rsidP="002C4A81">
            <w:pPr>
              <w:pStyle w:val="TAL"/>
              <w:rPr>
                <w:sz w:val="16"/>
                <w:szCs w:val="16"/>
              </w:rPr>
            </w:pPr>
            <w:r w:rsidRPr="00873B6C">
              <w:rPr>
                <w:sz w:val="16"/>
                <w:szCs w:val="16"/>
              </w:rPr>
              <w:t>4500</w:t>
            </w:r>
          </w:p>
        </w:tc>
        <w:tc>
          <w:tcPr>
            <w:tcW w:w="425" w:type="dxa"/>
            <w:shd w:val="solid" w:color="FFFFFF" w:fill="auto"/>
          </w:tcPr>
          <w:p w14:paraId="6FCDBE11" w14:textId="4D227818" w:rsidR="00A51A83" w:rsidRPr="00873B6C" w:rsidRDefault="00A51A83" w:rsidP="002C4A81">
            <w:pPr>
              <w:pStyle w:val="TAL"/>
              <w:rPr>
                <w:sz w:val="16"/>
                <w:szCs w:val="16"/>
              </w:rPr>
            </w:pPr>
            <w:r w:rsidRPr="00873B6C">
              <w:rPr>
                <w:sz w:val="16"/>
                <w:szCs w:val="16"/>
              </w:rPr>
              <w:t>7</w:t>
            </w:r>
          </w:p>
        </w:tc>
        <w:tc>
          <w:tcPr>
            <w:tcW w:w="425" w:type="dxa"/>
            <w:shd w:val="solid" w:color="FFFFFF" w:fill="auto"/>
          </w:tcPr>
          <w:p w14:paraId="430174EE" w14:textId="3E661619"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29EFB7E3" w14:textId="6D6A8DB4" w:rsidR="00A51A83" w:rsidRPr="00873B6C" w:rsidRDefault="00A51A83" w:rsidP="002C4A81">
            <w:pPr>
              <w:pStyle w:val="TAL"/>
              <w:rPr>
                <w:sz w:val="16"/>
                <w:szCs w:val="16"/>
              </w:rPr>
            </w:pPr>
            <w:r w:rsidRPr="00873B6C">
              <w:rPr>
                <w:sz w:val="16"/>
                <w:szCs w:val="16"/>
              </w:rPr>
              <w:t>Introduction of the Support of Counting of UEs with at least one PDU sessions in the 5GS option 1</w:t>
            </w:r>
          </w:p>
        </w:tc>
        <w:tc>
          <w:tcPr>
            <w:tcW w:w="708" w:type="dxa"/>
            <w:shd w:val="solid" w:color="FFFFFF" w:fill="auto"/>
          </w:tcPr>
          <w:p w14:paraId="6C6E48BE" w14:textId="2BCB1D51" w:rsidR="00A51A83" w:rsidRPr="00873B6C" w:rsidRDefault="00A51A83" w:rsidP="002C4A81">
            <w:pPr>
              <w:pStyle w:val="TAC"/>
              <w:rPr>
                <w:sz w:val="16"/>
                <w:szCs w:val="16"/>
              </w:rPr>
            </w:pPr>
            <w:r w:rsidRPr="00873B6C">
              <w:rPr>
                <w:sz w:val="16"/>
                <w:szCs w:val="16"/>
              </w:rPr>
              <w:t>18.2.0</w:t>
            </w:r>
          </w:p>
        </w:tc>
      </w:tr>
      <w:tr w:rsidR="002506F3" w:rsidRPr="00873B6C" w14:paraId="1D26576A" w14:textId="77777777" w:rsidTr="009D14FB">
        <w:tc>
          <w:tcPr>
            <w:tcW w:w="800" w:type="dxa"/>
            <w:shd w:val="solid" w:color="FFFFFF" w:fill="auto"/>
          </w:tcPr>
          <w:p w14:paraId="71470248" w14:textId="62F43926" w:rsidR="002506F3" w:rsidRPr="00873B6C" w:rsidRDefault="002506F3" w:rsidP="002C4A81">
            <w:pPr>
              <w:pStyle w:val="TAC"/>
              <w:rPr>
                <w:sz w:val="16"/>
                <w:szCs w:val="16"/>
              </w:rPr>
            </w:pPr>
            <w:r w:rsidRPr="00873B6C">
              <w:rPr>
                <w:sz w:val="16"/>
                <w:szCs w:val="16"/>
              </w:rPr>
              <w:t>2023-06</w:t>
            </w:r>
          </w:p>
        </w:tc>
        <w:tc>
          <w:tcPr>
            <w:tcW w:w="800" w:type="dxa"/>
            <w:shd w:val="solid" w:color="FFFFFF" w:fill="auto"/>
          </w:tcPr>
          <w:p w14:paraId="4C2F7B24" w14:textId="4E41571F" w:rsidR="002506F3" w:rsidRPr="00873B6C" w:rsidRDefault="002506F3" w:rsidP="002C4A81">
            <w:pPr>
              <w:pStyle w:val="TAL"/>
              <w:rPr>
                <w:sz w:val="16"/>
                <w:szCs w:val="16"/>
              </w:rPr>
            </w:pPr>
            <w:r w:rsidRPr="00873B6C">
              <w:rPr>
                <w:sz w:val="16"/>
                <w:szCs w:val="16"/>
              </w:rPr>
              <w:t>SP#100</w:t>
            </w:r>
          </w:p>
        </w:tc>
        <w:tc>
          <w:tcPr>
            <w:tcW w:w="1094" w:type="dxa"/>
            <w:shd w:val="solid" w:color="FFFFFF" w:fill="auto"/>
          </w:tcPr>
          <w:p w14:paraId="5493FF00" w14:textId="6BFCF4F4" w:rsidR="002506F3" w:rsidRPr="00873B6C" w:rsidRDefault="002506F3" w:rsidP="002C4A81">
            <w:pPr>
              <w:pStyle w:val="TAC"/>
              <w:rPr>
                <w:sz w:val="16"/>
                <w:szCs w:val="16"/>
              </w:rPr>
            </w:pPr>
            <w:r w:rsidRPr="00873B6C">
              <w:rPr>
                <w:sz w:val="16"/>
                <w:szCs w:val="16"/>
              </w:rPr>
              <w:t>SP-230497</w:t>
            </w:r>
          </w:p>
        </w:tc>
        <w:tc>
          <w:tcPr>
            <w:tcW w:w="567" w:type="dxa"/>
            <w:shd w:val="solid" w:color="FFFFFF" w:fill="auto"/>
          </w:tcPr>
          <w:p w14:paraId="4CAA848E" w14:textId="3BB824D1" w:rsidR="002506F3" w:rsidRPr="00873B6C" w:rsidRDefault="002506F3" w:rsidP="002C4A81">
            <w:pPr>
              <w:pStyle w:val="TAL"/>
              <w:rPr>
                <w:sz w:val="16"/>
                <w:szCs w:val="16"/>
              </w:rPr>
            </w:pPr>
            <w:r w:rsidRPr="00873B6C">
              <w:rPr>
                <w:sz w:val="16"/>
                <w:szCs w:val="16"/>
              </w:rPr>
              <w:t>4503</w:t>
            </w:r>
          </w:p>
        </w:tc>
        <w:tc>
          <w:tcPr>
            <w:tcW w:w="425" w:type="dxa"/>
            <w:shd w:val="solid" w:color="FFFFFF" w:fill="auto"/>
          </w:tcPr>
          <w:p w14:paraId="44AC2875" w14:textId="226936A0" w:rsidR="002506F3" w:rsidRPr="00873B6C" w:rsidRDefault="002506F3" w:rsidP="002C4A81">
            <w:pPr>
              <w:pStyle w:val="TAL"/>
              <w:rPr>
                <w:sz w:val="16"/>
                <w:szCs w:val="16"/>
              </w:rPr>
            </w:pPr>
            <w:r w:rsidRPr="00873B6C">
              <w:rPr>
                <w:sz w:val="16"/>
                <w:szCs w:val="16"/>
              </w:rPr>
              <w:t>1</w:t>
            </w:r>
          </w:p>
        </w:tc>
        <w:tc>
          <w:tcPr>
            <w:tcW w:w="425" w:type="dxa"/>
            <w:shd w:val="solid" w:color="FFFFFF" w:fill="auto"/>
          </w:tcPr>
          <w:p w14:paraId="1B98E76C" w14:textId="396163A7" w:rsidR="002506F3" w:rsidRPr="00873B6C" w:rsidRDefault="002506F3" w:rsidP="002C4A81">
            <w:pPr>
              <w:pStyle w:val="TAL"/>
              <w:rPr>
                <w:sz w:val="16"/>
                <w:szCs w:val="16"/>
              </w:rPr>
            </w:pPr>
            <w:r w:rsidRPr="00873B6C">
              <w:rPr>
                <w:sz w:val="16"/>
                <w:szCs w:val="16"/>
              </w:rPr>
              <w:t>C</w:t>
            </w:r>
          </w:p>
        </w:tc>
        <w:tc>
          <w:tcPr>
            <w:tcW w:w="4820" w:type="dxa"/>
            <w:shd w:val="solid" w:color="FFFFFF" w:fill="auto"/>
          </w:tcPr>
          <w:p w14:paraId="53F2E8AF" w14:textId="6838DB1A" w:rsidR="002506F3" w:rsidRPr="00873B6C" w:rsidRDefault="002506F3" w:rsidP="002C4A81">
            <w:pPr>
              <w:pStyle w:val="TAL"/>
              <w:rPr>
                <w:sz w:val="16"/>
                <w:szCs w:val="16"/>
              </w:rPr>
            </w:pPr>
            <w:r w:rsidRPr="00873B6C">
              <w:rPr>
                <w:sz w:val="16"/>
                <w:szCs w:val="16"/>
              </w:rPr>
              <w:t>Update for network exposure for XR services</w:t>
            </w:r>
          </w:p>
        </w:tc>
        <w:tc>
          <w:tcPr>
            <w:tcW w:w="708" w:type="dxa"/>
            <w:shd w:val="solid" w:color="FFFFFF" w:fill="auto"/>
          </w:tcPr>
          <w:p w14:paraId="28D5623C" w14:textId="683A61B0" w:rsidR="002506F3" w:rsidRPr="00873B6C" w:rsidRDefault="002506F3" w:rsidP="002C4A81">
            <w:pPr>
              <w:pStyle w:val="TAC"/>
              <w:rPr>
                <w:sz w:val="16"/>
                <w:szCs w:val="16"/>
              </w:rPr>
            </w:pPr>
            <w:r w:rsidRPr="00873B6C">
              <w:rPr>
                <w:sz w:val="16"/>
                <w:szCs w:val="16"/>
              </w:rPr>
              <w:t>18.2.0</w:t>
            </w:r>
          </w:p>
        </w:tc>
      </w:tr>
      <w:tr w:rsidR="002506F3" w:rsidRPr="00873B6C" w14:paraId="5AB7DB2B" w14:textId="77777777" w:rsidTr="009D14FB">
        <w:tc>
          <w:tcPr>
            <w:tcW w:w="800" w:type="dxa"/>
            <w:shd w:val="solid" w:color="FFFFFF" w:fill="auto"/>
          </w:tcPr>
          <w:p w14:paraId="093BCB32" w14:textId="5A5FEAB8" w:rsidR="002506F3" w:rsidRPr="00873B6C" w:rsidRDefault="002506F3" w:rsidP="002C4A81">
            <w:pPr>
              <w:pStyle w:val="TAC"/>
              <w:rPr>
                <w:sz w:val="16"/>
                <w:szCs w:val="16"/>
              </w:rPr>
            </w:pPr>
            <w:r w:rsidRPr="00873B6C">
              <w:rPr>
                <w:sz w:val="16"/>
                <w:szCs w:val="16"/>
              </w:rPr>
              <w:t>2023-06</w:t>
            </w:r>
          </w:p>
        </w:tc>
        <w:tc>
          <w:tcPr>
            <w:tcW w:w="800" w:type="dxa"/>
            <w:shd w:val="solid" w:color="FFFFFF" w:fill="auto"/>
          </w:tcPr>
          <w:p w14:paraId="55EEF91B" w14:textId="2CBC767A" w:rsidR="002506F3" w:rsidRPr="00873B6C" w:rsidRDefault="002506F3" w:rsidP="002C4A81">
            <w:pPr>
              <w:pStyle w:val="TAL"/>
              <w:rPr>
                <w:sz w:val="16"/>
                <w:szCs w:val="16"/>
              </w:rPr>
            </w:pPr>
            <w:r w:rsidRPr="00873B6C">
              <w:rPr>
                <w:sz w:val="16"/>
                <w:szCs w:val="16"/>
              </w:rPr>
              <w:t>SP#100</w:t>
            </w:r>
          </w:p>
        </w:tc>
        <w:tc>
          <w:tcPr>
            <w:tcW w:w="1094" w:type="dxa"/>
            <w:shd w:val="solid" w:color="FFFFFF" w:fill="auto"/>
          </w:tcPr>
          <w:p w14:paraId="4BD766A3" w14:textId="2160D6BF" w:rsidR="002506F3" w:rsidRPr="00873B6C" w:rsidRDefault="002506F3" w:rsidP="002C4A81">
            <w:pPr>
              <w:pStyle w:val="TAC"/>
              <w:rPr>
                <w:sz w:val="16"/>
                <w:szCs w:val="16"/>
              </w:rPr>
            </w:pPr>
            <w:r w:rsidRPr="00873B6C">
              <w:rPr>
                <w:sz w:val="16"/>
                <w:szCs w:val="16"/>
              </w:rPr>
              <w:t>SP-230497</w:t>
            </w:r>
          </w:p>
        </w:tc>
        <w:tc>
          <w:tcPr>
            <w:tcW w:w="567" w:type="dxa"/>
            <w:shd w:val="solid" w:color="FFFFFF" w:fill="auto"/>
          </w:tcPr>
          <w:p w14:paraId="21894F49" w14:textId="5519F3CC" w:rsidR="002506F3" w:rsidRPr="00873B6C" w:rsidRDefault="002506F3" w:rsidP="002C4A81">
            <w:pPr>
              <w:pStyle w:val="TAL"/>
              <w:rPr>
                <w:sz w:val="16"/>
                <w:szCs w:val="16"/>
              </w:rPr>
            </w:pPr>
            <w:r w:rsidRPr="00873B6C">
              <w:rPr>
                <w:sz w:val="16"/>
                <w:szCs w:val="16"/>
              </w:rPr>
              <w:t>4506</w:t>
            </w:r>
          </w:p>
        </w:tc>
        <w:tc>
          <w:tcPr>
            <w:tcW w:w="425" w:type="dxa"/>
            <w:shd w:val="solid" w:color="FFFFFF" w:fill="auto"/>
          </w:tcPr>
          <w:p w14:paraId="2BB375B8" w14:textId="5FAAABE7" w:rsidR="002506F3" w:rsidRPr="00873B6C" w:rsidRDefault="002506F3" w:rsidP="002C4A81">
            <w:pPr>
              <w:pStyle w:val="TAL"/>
              <w:rPr>
                <w:sz w:val="16"/>
                <w:szCs w:val="16"/>
              </w:rPr>
            </w:pPr>
            <w:r w:rsidRPr="00873B6C">
              <w:rPr>
                <w:sz w:val="16"/>
                <w:szCs w:val="16"/>
              </w:rPr>
              <w:t>1</w:t>
            </w:r>
          </w:p>
        </w:tc>
        <w:tc>
          <w:tcPr>
            <w:tcW w:w="425" w:type="dxa"/>
            <w:shd w:val="solid" w:color="FFFFFF" w:fill="auto"/>
          </w:tcPr>
          <w:p w14:paraId="1EB7D14A" w14:textId="3191B21B" w:rsidR="002506F3" w:rsidRPr="00873B6C" w:rsidRDefault="002506F3" w:rsidP="002C4A81">
            <w:pPr>
              <w:pStyle w:val="TAL"/>
              <w:rPr>
                <w:sz w:val="16"/>
                <w:szCs w:val="16"/>
              </w:rPr>
            </w:pPr>
            <w:r w:rsidRPr="00873B6C">
              <w:rPr>
                <w:sz w:val="16"/>
                <w:szCs w:val="16"/>
              </w:rPr>
              <w:t>B</w:t>
            </w:r>
          </w:p>
        </w:tc>
        <w:tc>
          <w:tcPr>
            <w:tcW w:w="4820" w:type="dxa"/>
            <w:shd w:val="solid" w:color="FFFFFF" w:fill="auto"/>
          </w:tcPr>
          <w:p w14:paraId="0CE4B544" w14:textId="3D6A92F2" w:rsidR="002506F3" w:rsidRPr="00873B6C" w:rsidRDefault="002506F3" w:rsidP="002C4A81">
            <w:pPr>
              <w:pStyle w:val="TAL"/>
              <w:rPr>
                <w:sz w:val="16"/>
                <w:szCs w:val="16"/>
              </w:rPr>
            </w:pPr>
            <w:r w:rsidRPr="00873B6C">
              <w:rPr>
                <w:sz w:val="16"/>
                <w:szCs w:val="16"/>
              </w:rPr>
              <w:t xml:space="preserve">Update about the Packet Delay Variation description and add PDV in QoS monitoring parameters </w:t>
            </w:r>
          </w:p>
        </w:tc>
        <w:tc>
          <w:tcPr>
            <w:tcW w:w="708" w:type="dxa"/>
            <w:shd w:val="solid" w:color="FFFFFF" w:fill="auto"/>
          </w:tcPr>
          <w:p w14:paraId="3D0A99B7" w14:textId="3C941F49" w:rsidR="002506F3" w:rsidRPr="00873B6C" w:rsidRDefault="002506F3" w:rsidP="002C4A81">
            <w:pPr>
              <w:pStyle w:val="TAC"/>
              <w:rPr>
                <w:sz w:val="16"/>
                <w:szCs w:val="16"/>
              </w:rPr>
            </w:pPr>
            <w:r w:rsidRPr="00873B6C">
              <w:rPr>
                <w:sz w:val="16"/>
                <w:szCs w:val="16"/>
              </w:rPr>
              <w:t>18.2.0</w:t>
            </w:r>
          </w:p>
        </w:tc>
      </w:tr>
      <w:tr w:rsidR="002506F3" w:rsidRPr="00873B6C" w14:paraId="64EAD0FF" w14:textId="77777777" w:rsidTr="009D14FB">
        <w:tc>
          <w:tcPr>
            <w:tcW w:w="800" w:type="dxa"/>
            <w:shd w:val="solid" w:color="FFFFFF" w:fill="auto"/>
          </w:tcPr>
          <w:p w14:paraId="035F2F45" w14:textId="1F60B3E2" w:rsidR="002506F3" w:rsidRPr="00873B6C" w:rsidRDefault="002506F3" w:rsidP="002C4A81">
            <w:pPr>
              <w:pStyle w:val="TAC"/>
              <w:rPr>
                <w:sz w:val="16"/>
                <w:szCs w:val="16"/>
              </w:rPr>
            </w:pPr>
            <w:r w:rsidRPr="00873B6C">
              <w:rPr>
                <w:sz w:val="16"/>
                <w:szCs w:val="16"/>
              </w:rPr>
              <w:t>2023-06</w:t>
            </w:r>
          </w:p>
        </w:tc>
        <w:tc>
          <w:tcPr>
            <w:tcW w:w="800" w:type="dxa"/>
            <w:shd w:val="solid" w:color="FFFFFF" w:fill="auto"/>
          </w:tcPr>
          <w:p w14:paraId="75A50DA8" w14:textId="5BE1B87F" w:rsidR="002506F3" w:rsidRPr="00873B6C" w:rsidRDefault="002506F3" w:rsidP="002C4A81">
            <w:pPr>
              <w:pStyle w:val="TAL"/>
              <w:rPr>
                <w:sz w:val="16"/>
                <w:szCs w:val="16"/>
              </w:rPr>
            </w:pPr>
            <w:r w:rsidRPr="00873B6C">
              <w:rPr>
                <w:sz w:val="16"/>
                <w:szCs w:val="16"/>
              </w:rPr>
              <w:t>SP#100</w:t>
            </w:r>
          </w:p>
        </w:tc>
        <w:tc>
          <w:tcPr>
            <w:tcW w:w="1094" w:type="dxa"/>
            <w:shd w:val="solid" w:color="FFFFFF" w:fill="auto"/>
          </w:tcPr>
          <w:p w14:paraId="5809CA95" w14:textId="73232068" w:rsidR="002506F3" w:rsidRPr="00873B6C" w:rsidRDefault="002506F3" w:rsidP="002C4A81">
            <w:pPr>
              <w:pStyle w:val="TAC"/>
              <w:rPr>
                <w:sz w:val="16"/>
                <w:szCs w:val="16"/>
              </w:rPr>
            </w:pPr>
            <w:r w:rsidRPr="00873B6C">
              <w:rPr>
                <w:sz w:val="16"/>
                <w:szCs w:val="16"/>
              </w:rPr>
              <w:t>SP-230478</w:t>
            </w:r>
          </w:p>
        </w:tc>
        <w:tc>
          <w:tcPr>
            <w:tcW w:w="567" w:type="dxa"/>
            <w:shd w:val="solid" w:color="FFFFFF" w:fill="auto"/>
          </w:tcPr>
          <w:p w14:paraId="0AADAD58" w14:textId="7D6FC057" w:rsidR="002506F3" w:rsidRPr="00873B6C" w:rsidRDefault="002506F3" w:rsidP="002C4A81">
            <w:pPr>
              <w:pStyle w:val="TAL"/>
              <w:rPr>
                <w:sz w:val="16"/>
                <w:szCs w:val="16"/>
              </w:rPr>
            </w:pPr>
            <w:r w:rsidRPr="00873B6C">
              <w:rPr>
                <w:sz w:val="16"/>
                <w:szCs w:val="16"/>
              </w:rPr>
              <w:t>4510</w:t>
            </w:r>
          </w:p>
        </w:tc>
        <w:tc>
          <w:tcPr>
            <w:tcW w:w="425" w:type="dxa"/>
            <w:shd w:val="solid" w:color="FFFFFF" w:fill="auto"/>
          </w:tcPr>
          <w:p w14:paraId="43DFBC12" w14:textId="4332D280" w:rsidR="002506F3" w:rsidRPr="00873B6C" w:rsidRDefault="002506F3" w:rsidP="002C4A81">
            <w:pPr>
              <w:pStyle w:val="TAL"/>
              <w:rPr>
                <w:sz w:val="16"/>
                <w:szCs w:val="16"/>
              </w:rPr>
            </w:pPr>
            <w:r w:rsidRPr="00873B6C">
              <w:rPr>
                <w:sz w:val="16"/>
                <w:szCs w:val="16"/>
              </w:rPr>
              <w:t>1</w:t>
            </w:r>
          </w:p>
        </w:tc>
        <w:tc>
          <w:tcPr>
            <w:tcW w:w="425" w:type="dxa"/>
            <w:shd w:val="solid" w:color="FFFFFF" w:fill="auto"/>
          </w:tcPr>
          <w:p w14:paraId="793ED3BB" w14:textId="0FC24CF3" w:rsidR="002506F3" w:rsidRPr="00873B6C" w:rsidRDefault="002506F3" w:rsidP="002C4A81">
            <w:pPr>
              <w:pStyle w:val="TAL"/>
              <w:rPr>
                <w:sz w:val="16"/>
                <w:szCs w:val="16"/>
              </w:rPr>
            </w:pPr>
            <w:r w:rsidRPr="00873B6C">
              <w:rPr>
                <w:sz w:val="16"/>
                <w:szCs w:val="16"/>
              </w:rPr>
              <w:t>F</w:t>
            </w:r>
          </w:p>
        </w:tc>
        <w:tc>
          <w:tcPr>
            <w:tcW w:w="4820" w:type="dxa"/>
            <w:shd w:val="solid" w:color="FFFFFF" w:fill="auto"/>
          </w:tcPr>
          <w:p w14:paraId="7A4D9AED" w14:textId="2C0EAE97" w:rsidR="002506F3" w:rsidRPr="00873B6C" w:rsidRDefault="002506F3" w:rsidP="002C4A81">
            <w:pPr>
              <w:pStyle w:val="TAL"/>
              <w:rPr>
                <w:sz w:val="16"/>
                <w:szCs w:val="16"/>
              </w:rPr>
            </w:pPr>
            <w:r w:rsidRPr="00873B6C">
              <w:rPr>
                <w:sz w:val="16"/>
                <w:szCs w:val="16"/>
              </w:rPr>
              <w:t>Resolving the ENs on the Provisioning and monitoring for a group</w:t>
            </w:r>
          </w:p>
        </w:tc>
        <w:tc>
          <w:tcPr>
            <w:tcW w:w="708" w:type="dxa"/>
            <w:shd w:val="solid" w:color="FFFFFF" w:fill="auto"/>
          </w:tcPr>
          <w:p w14:paraId="0E3D68D1" w14:textId="4A4CA60E" w:rsidR="002506F3" w:rsidRPr="00873B6C" w:rsidRDefault="002506F3" w:rsidP="002C4A81">
            <w:pPr>
              <w:pStyle w:val="TAC"/>
              <w:rPr>
                <w:sz w:val="16"/>
                <w:szCs w:val="16"/>
              </w:rPr>
            </w:pPr>
            <w:r w:rsidRPr="00873B6C">
              <w:rPr>
                <w:sz w:val="16"/>
                <w:szCs w:val="16"/>
              </w:rPr>
              <w:t>18.2.0</w:t>
            </w:r>
          </w:p>
        </w:tc>
      </w:tr>
      <w:tr w:rsidR="002506F3" w:rsidRPr="00873B6C" w14:paraId="426F5FE5" w14:textId="77777777" w:rsidTr="009D14FB">
        <w:tc>
          <w:tcPr>
            <w:tcW w:w="800" w:type="dxa"/>
            <w:shd w:val="solid" w:color="FFFFFF" w:fill="auto"/>
          </w:tcPr>
          <w:p w14:paraId="7C9675CC" w14:textId="45BEAA82" w:rsidR="002506F3" w:rsidRPr="00873B6C" w:rsidRDefault="002506F3" w:rsidP="002C4A81">
            <w:pPr>
              <w:pStyle w:val="TAC"/>
              <w:rPr>
                <w:sz w:val="16"/>
                <w:szCs w:val="16"/>
              </w:rPr>
            </w:pPr>
            <w:r w:rsidRPr="00873B6C">
              <w:rPr>
                <w:sz w:val="16"/>
                <w:szCs w:val="16"/>
              </w:rPr>
              <w:t>2023-06</w:t>
            </w:r>
          </w:p>
        </w:tc>
        <w:tc>
          <w:tcPr>
            <w:tcW w:w="800" w:type="dxa"/>
            <w:shd w:val="solid" w:color="FFFFFF" w:fill="auto"/>
          </w:tcPr>
          <w:p w14:paraId="33321B2E" w14:textId="3EA020A8" w:rsidR="002506F3" w:rsidRPr="00873B6C" w:rsidRDefault="002506F3" w:rsidP="002C4A81">
            <w:pPr>
              <w:pStyle w:val="TAL"/>
              <w:rPr>
                <w:sz w:val="16"/>
                <w:szCs w:val="16"/>
              </w:rPr>
            </w:pPr>
            <w:r w:rsidRPr="00873B6C">
              <w:rPr>
                <w:sz w:val="16"/>
                <w:szCs w:val="16"/>
              </w:rPr>
              <w:t>SP#100</w:t>
            </w:r>
          </w:p>
        </w:tc>
        <w:tc>
          <w:tcPr>
            <w:tcW w:w="1094" w:type="dxa"/>
            <w:shd w:val="solid" w:color="FFFFFF" w:fill="auto"/>
          </w:tcPr>
          <w:p w14:paraId="24498828" w14:textId="421F307E" w:rsidR="002506F3" w:rsidRPr="00873B6C" w:rsidRDefault="002506F3" w:rsidP="002C4A81">
            <w:pPr>
              <w:pStyle w:val="TAC"/>
              <w:rPr>
                <w:sz w:val="16"/>
                <w:szCs w:val="16"/>
              </w:rPr>
            </w:pPr>
            <w:r w:rsidRPr="00873B6C">
              <w:rPr>
                <w:sz w:val="16"/>
                <w:szCs w:val="16"/>
              </w:rPr>
              <w:t>SP-230478</w:t>
            </w:r>
          </w:p>
        </w:tc>
        <w:tc>
          <w:tcPr>
            <w:tcW w:w="567" w:type="dxa"/>
            <w:shd w:val="solid" w:color="FFFFFF" w:fill="auto"/>
          </w:tcPr>
          <w:p w14:paraId="33F93535" w14:textId="2011A84C" w:rsidR="002506F3" w:rsidRPr="00873B6C" w:rsidRDefault="002506F3" w:rsidP="002C4A81">
            <w:pPr>
              <w:pStyle w:val="TAL"/>
              <w:rPr>
                <w:sz w:val="16"/>
                <w:szCs w:val="16"/>
              </w:rPr>
            </w:pPr>
            <w:r w:rsidRPr="00873B6C">
              <w:rPr>
                <w:sz w:val="16"/>
                <w:szCs w:val="16"/>
              </w:rPr>
              <w:t>4511</w:t>
            </w:r>
          </w:p>
        </w:tc>
        <w:tc>
          <w:tcPr>
            <w:tcW w:w="425" w:type="dxa"/>
            <w:shd w:val="solid" w:color="FFFFFF" w:fill="auto"/>
          </w:tcPr>
          <w:p w14:paraId="7A7B0173" w14:textId="6072283A" w:rsidR="002506F3" w:rsidRPr="00873B6C" w:rsidRDefault="002506F3" w:rsidP="002C4A81">
            <w:pPr>
              <w:pStyle w:val="TAL"/>
              <w:rPr>
                <w:sz w:val="16"/>
                <w:szCs w:val="16"/>
              </w:rPr>
            </w:pPr>
            <w:r w:rsidRPr="00873B6C">
              <w:rPr>
                <w:sz w:val="16"/>
                <w:szCs w:val="16"/>
              </w:rPr>
              <w:t>1</w:t>
            </w:r>
          </w:p>
        </w:tc>
        <w:tc>
          <w:tcPr>
            <w:tcW w:w="425" w:type="dxa"/>
            <w:shd w:val="solid" w:color="FFFFFF" w:fill="auto"/>
          </w:tcPr>
          <w:p w14:paraId="5BF398C1" w14:textId="167E10E4" w:rsidR="002506F3" w:rsidRPr="00873B6C" w:rsidRDefault="002506F3" w:rsidP="002C4A81">
            <w:pPr>
              <w:pStyle w:val="TAL"/>
              <w:rPr>
                <w:sz w:val="16"/>
                <w:szCs w:val="16"/>
              </w:rPr>
            </w:pPr>
            <w:r w:rsidRPr="00873B6C">
              <w:rPr>
                <w:sz w:val="16"/>
                <w:szCs w:val="16"/>
              </w:rPr>
              <w:t>F</w:t>
            </w:r>
          </w:p>
        </w:tc>
        <w:tc>
          <w:tcPr>
            <w:tcW w:w="4820" w:type="dxa"/>
            <w:shd w:val="solid" w:color="FFFFFF" w:fill="auto"/>
          </w:tcPr>
          <w:p w14:paraId="2B38073F" w14:textId="7D5AA9CE" w:rsidR="002506F3" w:rsidRPr="00873B6C" w:rsidRDefault="002506F3" w:rsidP="002C4A81">
            <w:pPr>
              <w:pStyle w:val="TAL"/>
              <w:rPr>
                <w:sz w:val="16"/>
                <w:szCs w:val="16"/>
              </w:rPr>
            </w:pPr>
            <w:r w:rsidRPr="00873B6C">
              <w:rPr>
                <w:sz w:val="16"/>
                <w:szCs w:val="16"/>
              </w:rPr>
              <w:t>Clarification on the group-MBR</w:t>
            </w:r>
          </w:p>
        </w:tc>
        <w:tc>
          <w:tcPr>
            <w:tcW w:w="708" w:type="dxa"/>
            <w:shd w:val="solid" w:color="FFFFFF" w:fill="auto"/>
          </w:tcPr>
          <w:p w14:paraId="1F7ABB47" w14:textId="1A313FC5" w:rsidR="002506F3" w:rsidRPr="00873B6C" w:rsidRDefault="002506F3" w:rsidP="002C4A81">
            <w:pPr>
              <w:pStyle w:val="TAC"/>
              <w:rPr>
                <w:sz w:val="16"/>
                <w:szCs w:val="16"/>
              </w:rPr>
            </w:pPr>
            <w:r w:rsidRPr="00873B6C">
              <w:rPr>
                <w:sz w:val="16"/>
                <w:szCs w:val="16"/>
              </w:rPr>
              <w:t>18.2.0</w:t>
            </w:r>
          </w:p>
        </w:tc>
      </w:tr>
      <w:tr w:rsidR="00A13197" w:rsidRPr="00873B6C" w14:paraId="2448E4D8" w14:textId="77777777" w:rsidTr="009D14FB">
        <w:tc>
          <w:tcPr>
            <w:tcW w:w="800" w:type="dxa"/>
            <w:shd w:val="solid" w:color="FFFFFF" w:fill="auto"/>
          </w:tcPr>
          <w:p w14:paraId="135C973C" w14:textId="1B7FFC80"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62229171" w14:textId="18067FA9"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6332822D" w14:textId="7E49B6B5" w:rsidR="00A13197" w:rsidRPr="00873B6C" w:rsidRDefault="00A13197" w:rsidP="002C4A81">
            <w:pPr>
              <w:pStyle w:val="TAC"/>
              <w:rPr>
                <w:sz w:val="16"/>
                <w:szCs w:val="16"/>
              </w:rPr>
            </w:pPr>
            <w:r w:rsidRPr="00873B6C">
              <w:rPr>
                <w:sz w:val="16"/>
                <w:szCs w:val="16"/>
              </w:rPr>
              <w:t>SP-230493</w:t>
            </w:r>
          </w:p>
        </w:tc>
        <w:tc>
          <w:tcPr>
            <w:tcW w:w="567" w:type="dxa"/>
            <w:shd w:val="solid" w:color="FFFFFF" w:fill="auto"/>
          </w:tcPr>
          <w:p w14:paraId="23B8E84B" w14:textId="4C5C42F9" w:rsidR="00A13197" w:rsidRPr="00873B6C" w:rsidRDefault="00A13197" w:rsidP="002C4A81">
            <w:pPr>
              <w:pStyle w:val="TAL"/>
              <w:rPr>
                <w:sz w:val="16"/>
                <w:szCs w:val="16"/>
              </w:rPr>
            </w:pPr>
            <w:r w:rsidRPr="00873B6C">
              <w:rPr>
                <w:sz w:val="16"/>
                <w:szCs w:val="16"/>
              </w:rPr>
              <w:t>4514</w:t>
            </w:r>
          </w:p>
        </w:tc>
        <w:tc>
          <w:tcPr>
            <w:tcW w:w="425" w:type="dxa"/>
            <w:shd w:val="solid" w:color="FFFFFF" w:fill="auto"/>
          </w:tcPr>
          <w:p w14:paraId="07B446F6" w14:textId="0A82165D" w:rsidR="00A13197" w:rsidRPr="00873B6C" w:rsidRDefault="00A13197" w:rsidP="002C4A81">
            <w:pPr>
              <w:pStyle w:val="TAL"/>
              <w:rPr>
                <w:sz w:val="16"/>
                <w:szCs w:val="16"/>
              </w:rPr>
            </w:pPr>
            <w:r w:rsidRPr="00873B6C">
              <w:rPr>
                <w:sz w:val="16"/>
                <w:szCs w:val="16"/>
              </w:rPr>
              <w:t>4</w:t>
            </w:r>
          </w:p>
        </w:tc>
        <w:tc>
          <w:tcPr>
            <w:tcW w:w="425" w:type="dxa"/>
            <w:shd w:val="solid" w:color="FFFFFF" w:fill="auto"/>
          </w:tcPr>
          <w:p w14:paraId="2A130A4F" w14:textId="3BA0A156"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377F425B" w14:textId="1C5A38E3" w:rsidR="00A13197" w:rsidRPr="00873B6C" w:rsidRDefault="00A13197" w:rsidP="002C4A81">
            <w:pPr>
              <w:pStyle w:val="TAL"/>
              <w:rPr>
                <w:sz w:val="16"/>
                <w:szCs w:val="16"/>
              </w:rPr>
            </w:pPr>
            <w:r w:rsidRPr="00873B6C">
              <w:rPr>
                <w:sz w:val="16"/>
                <w:szCs w:val="16"/>
              </w:rPr>
              <w:t>Clarification on the TSCTSF handling when it receives the time sync request from AF and time sync subscription from UDM</w:t>
            </w:r>
          </w:p>
        </w:tc>
        <w:tc>
          <w:tcPr>
            <w:tcW w:w="708" w:type="dxa"/>
            <w:shd w:val="solid" w:color="FFFFFF" w:fill="auto"/>
          </w:tcPr>
          <w:p w14:paraId="282165BE" w14:textId="4C450B5F" w:rsidR="00A13197" w:rsidRPr="00873B6C" w:rsidRDefault="00A13197" w:rsidP="002C4A81">
            <w:pPr>
              <w:pStyle w:val="TAC"/>
              <w:rPr>
                <w:sz w:val="16"/>
                <w:szCs w:val="16"/>
              </w:rPr>
            </w:pPr>
            <w:r w:rsidRPr="00873B6C">
              <w:rPr>
                <w:sz w:val="16"/>
                <w:szCs w:val="16"/>
              </w:rPr>
              <w:t>18.2.0</w:t>
            </w:r>
          </w:p>
        </w:tc>
      </w:tr>
      <w:tr w:rsidR="00A13197" w:rsidRPr="00873B6C" w14:paraId="376435F3" w14:textId="77777777" w:rsidTr="009D14FB">
        <w:tc>
          <w:tcPr>
            <w:tcW w:w="800" w:type="dxa"/>
            <w:shd w:val="solid" w:color="FFFFFF" w:fill="auto"/>
          </w:tcPr>
          <w:p w14:paraId="7069A42B" w14:textId="1A76839F" w:rsidR="00A13197" w:rsidRPr="00873B6C" w:rsidRDefault="00A13197" w:rsidP="002C4A81">
            <w:pPr>
              <w:pStyle w:val="TAC"/>
              <w:rPr>
                <w:sz w:val="16"/>
                <w:szCs w:val="16"/>
              </w:rPr>
            </w:pPr>
            <w:r w:rsidRPr="00873B6C">
              <w:rPr>
                <w:sz w:val="16"/>
                <w:szCs w:val="16"/>
              </w:rPr>
              <w:lastRenderedPageBreak/>
              <w:t>2023-06</w:t>
            </w:r>
          </w:p>
        </w:tc>
        <w:tc>
          <w:tcPr>
            <w:tcW w:w="800" w:type="dxa"/>
            <w:shd w:val="solid" w:color="FFFFFF" w:fill="auto"/>
          </w:tcPr>
          <w:p w14:paraId="1FCBF604" w14:textId="4FA42428"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6EA9BC9C" w14:textId="35F50ADC" w:rsidR="00A13197" w:rsidRPr="00873B6C" w:rsidRDefault="00A13197" w:rsidP="002C4A81">
            <w:pPr>
              <w:pStyle w:val="TAC"/>
              <w:rPr>
                <w:sz w:val="16"/>
                <w:szCs w:val="16"/>
              </w:rPr>
            </w:pPr>
            <w:r w:rsidRPr="00873B6C">
              <w:rPr>
                <w:sz w:val="16"/>
                <w:szCs w:val="16"/>
              </w:rPr>
              <w:t>SP-230497</w:t>
            </w:r>
          </w:p>
        </w:tc>
        <w:tc>
          <w:tcPr>
            <w:tcW w:w="567" w:type="dxa"/>
            <w:shd w:val="solid" w:color="FFFFFF" w:fill="auto"/>
          </w:tcPr>
          <w:p w14:paraId="00B59F9E" w14:textId="670BF19D" w:rsidR="00A13197" w:rsidRPr="00873B6C" w:rsidRDefault="00A13197" w:rsidP="002C4A81">
            <w:pPr>
              <w:pStyle w:val="TAL"/>
              <w:rPr>
                <w:sz w:val="16"/>
                <w:szCs w:val="16"/>
              </w:rPr>
            </w:pPr>
            <w:r w:rsidRPr="00873B6C">
              <w:rPr>
                <w:sz w:val="16"/>
                <w:szCs w:val="16"/>
              </w:rPr>
              <w:t>4516</w:t>
            </w:r>
          </w:p>
        </w:tc>
        <w:tc>
          <w:tcPr>
            <w:tcW w:w="425" w:type="dxa"/>
            <w:shd w:val="solid" w:color="FFFFFF" w:fill="auto"/>
          </w:tcPr>
          <w:p w14:paraId="52B91616" w14:textId="50410121"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219131D9" w14:textId="68D53ACF" w:rsidR="00A13197" w:rsidRPr="00873B6C" w:rsidRDefault="00A13197" w:rsidP="002C4A81">
            <w:pPr>
              <w:pStyle w:val="TAL"/>
              <w:rPr>
                <w:sz w:val="16"/>
                <w:szCs w:val="16"/>
              </w:rPr>
            </w:pPr>
            <w:r w:rsidRPr="00873B6C">
              <w:rPr>
                <w:sz w:val="16"/>
                <w:szCs w:val="16"/>
              </w:rPr>
              <w:t>C</w:t>
            </w:r>
          </w:p>
        </w:tc>
        <w:tc>
          <w:tcPr>
            <w:tcW w:w="4820" w:type="dxa"/>
            <w:shd w:val="solid" w:color="FFFFFF" w:fill="auto"/>
          </w:tcPr>
          <w:p w14:paraId="5A320754" w14:textId="573DFFA6" w:rsidR="00A13197" w:rsidRPr="00873B6C" w:rsidRDefault="00A13197" w:rsidP="002C4A81">
            <w:pPr>
              <w:pStyle w:val="TAL"/>
              <w:rPr>
                <w:sz w:val="16"/>
                <w:szCs w:val="16"/>
              </w:rPr>
            </w:pPr>
            <w:r w:rsidRPr="00873B6C">
              <w:rPr>
                <w:sz w:val="16"/>
                <w:szCs w:val="16"/>
              </w:rPr>
              <w:t xml:space="preserve">The update of Policy control enhancements to support multi-modal services </w:t>
            </w:r>
          </w:p>
        </w:tc>
        <w:tc>
          <w:tcPr>
            <w:tcW w:w="708" w:type="dxa"/>
            <w:shd w:val="solid" w:color="FFFFFF" w:fill="auto"/>
          </w:tcPr>
          <w:p w14:paraId="4C5015E1" w14:textId="00856517" w:rsidR="00A13197" w:rsidRPr="00873B6C" w:rsidRDefault="00A13197" w:rsidP="002C4A81">
            <w:pPr>
              <w:pStyle w:val="TAC"/>
              <w:rPr>
                <w:sz w:val="16"/>
                <w:szCs w:val="16"/>
              </w:rPr>
            </w:pPr>
            <w:r w:rsidRPr="00873B6C">
              <w:rPr>
                <w:sz w:val="16"/>
                <w:szCs w:val="16"/>
              </w:rPr>
              <w:t>18.2.0</w:t>
            </w:r>
          </w:p>
        </w:tc>
      </w:tr>
      <w:tr w:rsidR="00A13197" w:rsidRPr="00873B6C" w14:paraId="5B9CADF9" w14:textId="77777777" w:rsidTr="009D14FB">
        <w:tc>
          <w:tcPr>
            <w:tcW w:w="800" w:type="dxa"/>
            <w:shd w:val="solid" w:color="FFFFFF" w:fill="auto"/>
          </w:tcPr>
          <w:p w14:paraId="7D217D83" w14:textId="24CB0BEA"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8D8FE82" w14:textId="1C94DD69"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07A874B5" w14:textId="54177DD0" w:rsidR="00A13197" w:rsidRPr="00873B6C" w:rsidRDefault="00A13197" w:rsidP="002C4A81">
            <w:pPr>
              <w:pStyle w:val="TAC"/>
              <w:rPr>
                <w:sz w:val="16"/>
                <w:szCs w:val="16"/>
              </w:rPr>
            </w:pPr>
            <w:r w:rsidRPr="00873B6C">
              <w:rPr>
                <w:sz w:val="16"/>
                <w:szCs w:val="16"/>
              </w:rPr>
              <w:t>SP-230497</w:t>
            </w:r>
          </w:p>
        </w:tc>
        <w:tc>
          <w:tcPr>
            <w:tcW w:w="567" w:type="dxa"/>
            <w:shd w:val="solid" w:color="FFFFFF" w:fill="auto"/>
          </w:tcPr>
          <w:p w14:paraId="6491EF10" w14:textId="15FED0FA" w:rsidR="00A13197" w:rsidRPr="00873B6C" w:rsidRDefault="00A13197" w:rsidP="002C4A81">
            <w:pPr>
              <w:pStyle w:val="TAL"/>
              <w:rPr>
                <w:sz w:val="16"/>
                <w:szCs w:val="16"/>
              </w:rPr>
            </w:pPr>
            <w:r w:rsidRPr="00873B6C">
              <w:rPr>
                <w:sz w:val="16"/>
                <w:szCs w:val="16"/>
              </w:rPr>
              <w:t>4527</w:t>
            </w:r>
          </w:p>
        </w:tc>
        <w:tc>
          <w:tcPr>
            <w:tcW w:w="425" w:type="dxa"/>
            <w:shd w:val="solid" w:color="FFFFFF" w:fill="auto"/>
          </w:tcPr>
          <w:p w14:paraId="4D8D1234" w14:textId="6BA3B366" w:rsidR="00A13197" w:rsidRPr="00873B6C" w:rsidRDefault="00A13197" w:rsidP="002C4A81">
            <w:pPr>
              <w:pStyle w:val="TAL"/>
              <w:rPr>
                <w:sz w:val="16"/>
                <w:szCs w:val="16"/>
              </w:rPr>
            </w:pPr>
            <w:r w:rsidRPr="00873B6C">
              <w:rPr>
                <w:sz w:val="16"/>
                <w:szCs w:val="16"/>
              </w:rPr>
              <w:t>8</w:t>
            </w:r>
          </w:p>
        </w:tc>
        <w:tc>
          <w:tcPr>
            <w:tcW w:w="425" w:type="dxa"/>
            <w:shd w:val="solid" w:color="FFFFFF" w:fill="auto"/>
          </w:tcPr>
          <w:p w14:paraId="3800231E" w14:textId="0226532F"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785001A6" w14:textId="1351E0C2" w:rsidR="00A13197" w:rsidRPr="00873B6C" w:rsidRDefault="00A13197" w:rsidP="002C4A81">
            <w:pPr>
              <w:pStyle w:val="TAL"/>
              <w:rPr>
                <w:sz w:val="16"/>
                <w:szCs w:val="16"/>
              </w:rPr>
            </w:pPr>
            <w:r w:rsidRPr="00873B6C">
              <w:rPr>
                <w:sz w:val="16"/>
                <w:szCs w:val="16"/>
              </w:rPr>
              <w:t>Update TS23.501 for PDU Set and PDU Handling</w:t>
            </w:r>
          </w:p>
        </w:tc>
        <w:tc>
          <w:tcPr>
            <w:tcW w:w="708" w:type="dxa"/>
            <w:shd w:val="solid" w:color="FFFFFF" w:fill="auto"/>
          </w:tcPr>
          <w:p w14:paraId="305C2FA6" w14:textId="47282C2C" w:rsidR="00A13197" w:rsidRPr="00873B6C" w:rsidRDefault="00A13197" w:rsidP="002C4A81">
            <w:pPr>
              <w:pStyle w:val="TAC"/>
              <w:rPr>
                <w:sz w:val="16"/>
                <w:szCs w:val="16"/>
              </w:rPr>
            </w:pPr>
            <w:r w:rsidRPr="00873B6C">
              <w:rPr>
                <w:sz w:val="16"/>
                <w:szCs w:val="16"/>
              </w:rPr>
              <w:t>18.2.0</w:t>
            </w:r>
          </w:p>
        </w:tc>
      </w:tr>
      <w:tr w:rsidR="00A13197" w:rsidRPr="00873B6C" w14:paraId="6A621AA4" w14:textId="77777777" w:rsidTr="009D14FB">
        <w:tc>
          <w:tcPr>
            <w:tcW w:w="800" w:type="dxa"/>
            <w:shd w:val="solid" w:color="FFFFFF" w:fill="auto"/>
          </w:tcPr>
          <w:p w14:paraId="63AD8C1E" w14:textId="50A4E6C2"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13E53C75" w14:textId="613590DE"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5C4D1B03" w14:textId="4E75C1B8" w:rsidR="00A13197" w:rsidRPr="00873B6C" w:rsidRDefault="00A13197" w:rsidP="002C4A81">
            <w:pPr>
              <w:pStyle w:val="TAC"/>
              <w:rPr>
                <w:sz w:val="16"/>
                <w:szCs w:val="16"/>
              </w:rPr>
            </w:pPr>
            <w:r w:rsidRPr="00873B6C">
              <w:rPr>
                <w:sz w:val="16"/>
                <w:szCs w:val="16"/>
              </w:rPr>
              <w:t>SP-230497</w:t>
            </w:r>
          </w:p>
        </w:tc>
        <w:tc>
          <w:tcPr>
            <w:tcW w:w="567" w:type="dxa"/>
            <w:shd w:val="solid" w:color="FFFFFF" w:fill="auto"/>
          </w:tcPr>
          <w:p w14:paraId="15121902" w14:textId="5F03802B" w:rsidR="00A13197" w:rsidRPr="00873B6C" w:rsidRDefault="00A13197" w:rsidP="002C4A81">
            <w:pPr>
              <w:pStyle w:val="TAL"/>
              <w:rPr>
                <w:sz w:val="16"/>
                <w:szCs w:val="16"/>
              </w:rPr>
            </w:pPr>
            <w:r w:rsidRPr="00873B6C">
              <w:rPr>
                <w:sz w:val="16"/>
                <w:szCs w:val="16"/>
              </w:rPr>
              <w:t>4529</w:t>
            </w:r>
          </w:p>
        </w:tc>
        <w:tc>
          <w:tcPr>
            <w:tcW w:w="425" w:type="dxa"/>
            <w:shd w:val="solid" w:color="FFFFFF" w:fill="auto"/>
          </w:tcPr>
          <w:p w14:paraId="7256302C" w14:textId="2458E490" w:rsidR="00A13197" w:rsidRPr="00873B6C" w:rsidRDefault="00A13197" w:rsidP="002C4A81">
            <w:pPr>
              <w:pStyle w:val="TAL"/>
              <w:rPr>
                <w:sz w:val="16"/>
                <w:szCs w:val="16"/>
              </w:rPr>
            </w:pPr>
            <w:r w:rsidRPr="00873B6C">
              <w:rPr>
                <w:sz w:val="16"/>
                <w:szCs w:val="16"/>
              </w:rPr>
              <w:t>4</w:t>
            </w:r>
          </w:p>
        </w:tc>
        <w:tc>
          <w:tcPr>
            <w:tcW w:w="425" w:type="dxa"/>
            <w:shd w:val="solid" w:color="FFFFFF" w:fill="auto"/>
          </w:tcPr>
          <w:p w14:paraId="6F830F01" w14:textId="01453438"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11E37F7E" w14:textId="56F0FBE5" w:rsidR="00A13197" w:rsidRPr="00873B6C" w:rsidRDefault="00A13197" w:rsidP="002C4A81">
            <w:pPr>
              <w:pStyle w:val="TAL"/>
              <w:rPr>
                <w:sz w:val="16"/>
                <w:szCs w:val="16"/>
              </w:rPr>
            </w:pPr>
            <w:r w:rsidRPr="00873B6C">
              <w:rPr>
                <w:sz w:val="16"/>
                <w:szCs w:val="16"/>
              </w:rPr>
              <w:t>PCF provides the Periodicity to SMF via PCC rules for resolving the EN for KI#8</w:t>
            </w:r>
          </w:p>
        </w:tc>
        <w:tc>
          <w:tcPr>
            <w:tcW w:w="708" w:type="dxa"/>
            <w:shd w:val="solid" w:color="FFFFFF" w:fill="auto"/>
          </w:tcPr>
          <w:p w14:paraId="5F9ECE6D" w14:textId="75FC58D4" w:rsidR="00A13197" w:rsidRPr="00873B6C" w:rsidRDefault="00A13197" w:rsidP="002C4A81">
            <w:pPr>
              <w:pStyle w:val="TAC"/>
              <w:rPr>
                <w:sz w:val="16"/>
                <w:szCs w:val="16"/>
              </w:rPr>
            </w:pPr>
            <w:r w:rsidRPr="00873B6C">
              <w:rPr>
                <w:sz w:val="16"/>
                <w:szCs w:val="16"/>
              </w:rPr>
              <w:t>18.2.0</w:t>
            </w:r>
          </w:p>
        </w:tc>
      </w:tr>
      <w:tr w:rsidR="00A13197" w:rsidRPr="00873B6C" w14:paraId="755EB67A" w14:textId="77777777" w:rsidTr="009D14FB">
        <w:tc>
          <w:tcPr>
            <w:tcW w:w="800" w:type="dxa"/>
            <w:shd w:val="solid" w:color="FFFFFF" w:fill="auto"/>
          </w:tcPr>
          <w:p w14:paraId="14AD2AD9" w14:textId="4D8B6CD1"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52518F5D" w14:textId="78DA698F"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1DF5B608" w14:textId="24B8C653" w:rsidR="00A13197" w:rsidRPr="00873B6C" w:rsidRDefault="00A13197" w:rsidP="002C4A81">
            <w:pPr>
              <w:pStyle w:val="TAC"/>
              <w:rPr>
                <w:sz w:val="16"/>
                <w:szCs w:val="16"/>
              </w:rPr>
            </w:pPr>
            <w:r w:rsidRPr="00873B6C">
              <w:rPr>
                <w:sz w:val="16"/>
                <w:szCs w:val="16"/>
              </w:rPr>
              <w:t>SP-230457</w:t>
            </w:r>
          </w:p>
        </w:tc>
        <w:tc>
          <w:tcPr>
            <w:tcW w:w="567" w:type="dxa"/>
            <w:shd w:val="solid" w:color="FFFFFF" w:fill="auto"/>
          </w:tcPr>
          <w:p w14:paraId="7655232D" w14:textId="6E1098C5" w:rsidR="00A13197" w:rsidRPr="00873B6C" w:rsidRDefault="00A13197" w:rsidP="002C4A81">
            <w:pPr>
              <w:pStyle w:val="TAL"/>
              <w:rPr>
                <w:sz w:val="16"/>
                <w:szCs w:val="16"/>
              </w:rPr>
            </w:pPr>
            <w:r w:rsidRPr="00873B6C">
              <w:rPr>
                <w:sz w:val="16"/>
                <w:szCs w:val="16"/>
              </w:rPr>
              <w:t>4530</w:t>
            </w:r>
          </w:p>
        </w:tc>
        <w:tc>
          <w:tcPr>
            <w:tcW w:w="425" w:type="dxa"/>
            <w:shd w:val="solid" w:color="FFFFFF" w:fill="auto"/>
          </w:tcPr>
          <w:p w14:paraId="3B33601F" w14:textId="0DC1A74B" w:rsidR="00A13197" w:rsidRPr="00873B6C" w:rsidRDefault="00A13197" w:rsidP="002C4A81">
            <w:pPr>
              <w:pStyle w:val="TAL"/>
              <w:rPr>
                <w:sz w:val="16"/>
                <w:szCs w:val="16"/>
              </w:rPr>
            </w:pPr>
            <w:r w:rsidRPr="00873B6C">
              <w:rPr>
                <w:sz w:val="16"/>
                <w:szCs w:val="16"/>
              </w:rPr>
              <w:t>-</w:t>
            </w:r>
          </w:p>
        </w:tc>
        <w:tc>
          <w:tcPr>
            <w:tcW w:w="425" w:type="dxa"/>
            <w:shd w:val="solid" w:color="FFFFFF" w:fill="auto"/>
          </w:tcPr>
          <w:p w14:paraId="3CFB58F5" w14:textId="593BA71C"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119084BA" w14:textId="52EA5876" w:rsidR="00A13197" w:rsidRPr="00873B6C" w:rsidRDefault="00A13197" w:rsidP="002C4A81">
            <w:pPr>
              <w:pStyle w:val="TAL"/>
              <w:rPr>
                <w:sz w:val="16"/>
                <w:szCs w:val="16"/>
              </w:rPr>
            </w:pPr>
            <w:r w:rsidRPr="00873B6C">
              <w:rPr>
                <w:sz w:val="16"/>
                <w:szCs w:val="16"/>
              </w:rPr>
              <w:t>Service Experience filtering criteria in assistance to UE member selection</w:t>
            </w:r>
          </w:p>
        </w:tc>
        <w:tc>
          <w:tcPr>
            <w:tcW w:w="708" w:type="dxa"/>
            <w:shd w:val="solid" w:color="FFFFFF" w:fill="auto"/>
          </w:tcPr>
          <w:p w14:paraId="70407F40" w14:textId="2D6F4583" w:rsidR="00A13197" w:rsidRPr="00873B6C" w:rsidRDefault="00A13197" w:rsidP="002C4A81">
            <w:pPr>
              <w:pStyle w:val="TAC"/>
              <w:rPr>
                <w:sz w:val="16"/>
                <w:szCs w:val="16"/>
              </w:rPr>
            </w:pPr>
            <w:r w:rsidRPr="00873B6C">
              <w:rPr>
                <w:sz w:val="16"/>
                <w:szCs w:val="16"/>
              </w:rPr>
              <w:t>18.2.0</w:t>
            </w:r>
          </w:p>
        </w:tc>
      </w:tr>
      <w:tr w:rsidR="00A13197" w:rsidRPr="00873B6C" w14:paraId="2483960F" w14:textId="77777777" w:rsidTr="009D14FB">
        <w:tc>
          <w:tcPr>
            <w:tcW w:w="800" w:type="dxa"/>
            <w:shd w:val="solid" w:color="FFFFFF" w:fill="auto"/>
          </w:tcPr>
          <w:p w14:paraId="2B12E43B" w14:textId="67208740"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ECA7398" w14:textId="65F19F3A"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07C13EA0" w14:textId="697D11F4" w:rsidR="00A13197" w:rsidRPr="00873B6C" w:rsidRDefault="00A13197" w:rsidP="002C4A81">
            <w:pPr>
              <w:pStyle w:val="TAC"/>
              <w:rPr>
                <w:sz w:val="16"/>
                <w:szCs w:val="16"/>
              </w:rPr>
            </w:pPr>
            <w:r w:rsidRPr="00873B6C">
              <w:rPr>
                <w:sz w:val="16"/>
                <w:szCs w:val="16"/>
              </w:rPr>
              <w:t>SP-230484</w:t>
            </w:r>
          </w:p>
        </w:tc>
        <w:tc>
          <w:tcPr>
            <w:tcW w:w="567" w:type="dxa"/>
            <w:shd w:val="solid" w:color="FFFFFF" w:fill="auto"/>
          </w:tcPr>
          <w:p w14:paraId="1B8C40A4" w14:textId="01767361" w:rsidR="00A13197" w:rsidRPr="00873B6C" w:rsidRDefault="00A13197" w:rsidP="002C4A81">
            <w:pPr>
              <w:pStyle w:val="TAL"/>
              <w:rPr>
                <w:sz w:val="16"/>
                <w:szCs w:val="16"/>
              </w:rPr>
            </w:pPr>
            <w:r w:rsidRPr="00873B6C">
              <w:rPr>
                <w:sz w:val="16"/>
                <w:szCs w:val="16"/>
              </w:rPr>
              <w:t>4535</w:t>
            </w:r>
          </w:p>
        </w:tc>
        <w:tc>
          <w:tcPr>
            <w:tcW w:w="425" w:type="dxa"/>
            <w:shd w:val="solid" w:color="FFFFFF" w:fill="auto"/>
          </w:tcPr>
          <w:p w14:paraId="6E98961D" w14:textId="3834F4A7"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6EC3BBC3" w14:textId="629A8F25"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660710F6" w14:textId="5E7279FF" w:rsidR="00A13197" w:rsidRPr="00873B6C" w:rsidRDefault="00A13197" w:rsidP="002C4A81">
            <w:pPr>
              <w:pStyle w:val="TAL"/>
              <w:rPr>
                <w:sz w:val="16"/>
                <w:szCs w:val="16"/>
              </w:rPr>
            </w:pPr>
            <w:r w:rsidRPr="00873B6C">
              <w:rPr>
                <w:sz w:val="16"/>
                <w:szCs w:val="16"/>
              </w:rPr>
              <w:t xml:space="preserve">Editorial change for the PIN </w:t>
            </w:r>
          </w:p>
        </w:tc>
        <w:tc>
          <w:tcPr>
            <w:tcW w:w="708" w:type="dxa"/>
            <w:shd w:val="solid" w:color="FFFFFF" w:fill="auto"/>
          </w:tcPr>
          <w:p w14:paraId="3822A793" w14:textId="68BF19A1" w:rsidR="00A13197" w:rsidRPr="00873B6C" w:rsidRDefault="00A13197" w:rsidP="002C4A81">
            <w:pPr>
              <w:pStyle w:val="TAC"/>
              <w:rPr>
                <w:sz w:val="16"/>
                <w:szCs w:val="16"/>
              </w:rPr>
            </w:pPr>
            <w:r w:rsidRPr="00873B6C">
              <w:rPr>
                <w:sz w:val="16"/>
                <w:szCs w:val="16"/>
              </w:rPr>
              <w:t>18.2.0</w:t>
            </w:r>
          </w:p>
        </w:tc>
      </w:tr>
      <w:tr w:rsidR="00A13197" w:rsidRPr="00873B6C" w14:paraId="2AB784B8" w14:textId="77777777" w:rsidTr="009D14FB">
        <w:tc>
          <w:tcPr>
            <w:tcW w:w="800" w:type="dxa"/>
            <w:shd w:val="solid" w:color="FFFFFF" w:fill="auto"/>
          </w:tcPr>
          <w:p w14:paraId="03EF176B" w14:textId="5D6B3E37"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662169A" w14:textId="763EA6BC"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7C09C44B" w14:textId="07A66FAB" w:rsidR="00A13197" w:rsidRPr="00873B6C" w:rsidRDefault="00A13197" w:rsidP="002C4A81">
            <w:pPr>
              <w:pStyle w:val="TAC"/>
              <w:rPr>
                <w:sz w:val="16"/>
                <w:szCs w:val="16"/>
              </w:rPr>
            </w:pPr>
            <w:r w:rsidRPr="00873B6C">
              <w:rPr>
                <w:sz w:val="16"/>
                <w:szCs w:val="16"/>
              </w:rPr>
              <w:t>SP-230478</w:t>
            </w:r>
          </w:p>
        </w:tc>
        <w:tc>
          <w:tcPr>
            <w:tcW w:w="567" w:type="dxa"/>
            <w:shd w:val="solid" w:color="FFFFFF" w:fill="auto"/>
          </w:tcPr>
          <w:p w14:paraId="1DBC73D9" w14:textId="5C8F6392" w:rsidR="00A13197" w:rsidRPr="00873B6C" w:rsidRDefault="00A13197" w:rsidP="002C4A81">
            <w:pPr>
              <w:pStyle w:val="TAL"/>
              <w:rPr>
                <w:sz w:val="16"/>
                <w:szCs w:val="16"/>
              </w:rPr>
            </w:pPr>
            <w:r w:rsidRPr="00873B6C">
              <w:rPr>
                <w:sz w:val="16"/>
                <w:szCs w:val="16"/>
              </w:rPr>
              <w:t>4541</w:t>
            </w:r>
          </w:p>
        </w:tc>
        <w:tc>
          <w:tcPr>
            <w:tcW w:w="425" w:type="dxa"/>
            <w:shd w:val="solid" w:color="FFFFFF" w:fill="auto"/>
          </w:tcPr>
          <w:p w14:paraId="61B51662" w14:textId="03EBB9D3"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7B28A389" w14:textId="054488B5"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6116BB39" w14:textId="313D2BF2" w:rsidR="00A13197" w:rsidRPr="00873B6C" w:rsidRDefault="00A13197" w:rsidP="002C4A81">
            <w:pPr>
              <w:pStyle w:val="TAL"/>
              <w:rPr>
                <w:sz w:val="16"/>
                <w:szCs w:val="16"/>
              </w:rPr>
            </w:pPr>
            <w:r w:rsidRPr="00873B6C">
              <w:rPr>
                <w:sz w:val="16"/>
                <w:szCs w:val="16"/>
              </w:rPr>
              <w:t>Update to Annex O to correct referenced clause number and add an optional condition for setup of the QoS flow</w:t>
            </w:r>
          </w:p>
        </w:tc>
        <w:tc>
          <w:tcPr>
            <w:tcW w:w="708" w:type="dxa"/>
            <w:shd w:val="solid" w:color="FFFFFF" w:fill="auto"/>
          </w:tcPr>
          <w:p w14:paraId="40196EAC" w14:textId="12CBB27E" w:rsidR="00A13197" w:rsidRPr="00873B6C" w:rsidRDefault="00A13197" w:rsidP="002C4A81">
            <w:pPr>
              <w:pStyle w:val="TAC"/>
              <w:rPr>
                <w:sz w:val="16"/>
                <w:szCs w:val="16"/>
              </w:rPr>
            </w:pPr>
            <w:r w:rsidRPr="00873B6C">
              <w:rPr>
                <w:sz w:val="16"/>
                <w:szCs w:val="16"/>
              </w:rPr>
              <w:t>18.2.0</w:t>
            </w:r>
          </w:p>
        </w:tc>
      </w:tr>
      <w:tr w:rsidR="00A13197" w:rsidRPr="00873B6C" w14:paraId="353D3FA7" w14:textId="77777777" w:rsidTr="009D14FB">
        <w:tc>
          <w:tcPr>
            <w:tcW w:w="800" w:type="dxa"/>
            <w:shd w:val="solid" w:color="FFFFFF" w:fill="auto"/>
          </w:tcPr>
          <w:p w14:paraId="74181399" w14:textId="09BFCB14"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5AB4B7C9" w14:textId="1DDE76D7"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61FB86BD" w14:textId="764D4120" w:rsidR="00A13197" w:rsidRPr="00873B6C" w:rsidRDefault="00A13197" w:rsidP="002C4A81">
            <w:pPr>
              <w:pStyle w:val="TAC"/>
              <w:rPr>
                <w:sz w:val="16"/>
                <w:szCs w:val="16"/>
              </w:rPr>
            </w:pPr>
            <w:r w:rsidRPr="00873B6C">
              <w:rPr>
                <w:sz w:val="16"/>
                <w:szCs w:val="16"/>
              </w:rPr>
              <w:t>SP-230719</w:t>
            </w:r>
          </w:p>
        </w:tc>
        <w:tc>
          <w:tcPr>
            <w:tcW w:w="567" w:type="dxa"/>
            <w:shd w:val="solid" w:color="FFFFFF" w:fill="auto"/>
          </w:tcPr>
          <w:p w14:paraId="096CF002" w14:textId="7A81CEE6" w:rsidR="00A13197" w:rsidRPr="00873B6C" w:rsidRDefault="00A13197" w:rsidP="002C4A81">
            <w:pPr>
              <w:pStyle w:val="TAL"/>
              <w:rPr>
                <w:sz w:val="16"/>
                <w:szCs w:val="16"/>
              </w:rPr>
            </w:pPr>
            <w:r w:rsidRPr="00873B6C">
              <w:rPr>
                <w:sz w:val="16"/>
                <w:szCs w:val="16"/>
              </w:rPr>
              <w:t>4553</w:t>
            </w:r>
          </w:p>
        </w:tc>
        <w:tc>
          <w:tcPr>
            <w:tcW w:w="425" w:type="dxa"/>
            <w:shd w:val="solid" w:color="FFFFFF" w:fill="auto"/>
          </w:tcPr>
          <w:p w14:paraId="33402D0E" w14:textId="60EB419E" w:rsidR="00A13197" w:rsidRPr="00873B6C" w:rsidRDefault="00A13197" w:rsidP="002C4A81">
            <w:pPr>
              <w:pStyle w:val="TAL"/>
              <w:rPr>
                <w:sz w:val="16"/>
                <w:szCs w:val="16"/>
              </w:rPr>
            </w:pPr>
            <w:r w:rsidRPr="00873B6C">
              <w:rPr>
                <w:sz w:val="16"/>
                <w:szCs w:val="16"/>
              </w:rPr>
              <w:t>5</w:t>
            </w:r>
          </w:p>
        </w:tc>
        <w:tc>
          <w:tcPr>
            <w:tcW w:w="425" w:type="dxa"/>
            <w:shd w:val="solid" w:color="FFFFFF" w:fill="auto"/>
          </w:tcPr>
          <w:p w14:paraId="400D51FF" w14:textId="3C41322D" w:rsidR="00A13197" w:rsidRPr="00873B6C" w:rsidRDefault="00A13197" w:rsidP="002C4A81">
            <w:pPr>
              <w:pStyle w:val="TAL"/>
              <w:rPr>
                <w:sz w:val="16"/>
                <w:szCs w:val="16"/>
              </w:rPr>
            </w:pPr>
            <w:r w:rsidRPr="00873B6C">
              <w:rPr>
                <w:sz w:val="16"/>
                <w:szCs w:val="16"/>
              </w:rPr>
              <w:t>C</w:t>
            </w:r>
          </w:p>
        </w:tc>
        <w:tc>
          <w:tcPr>
            <w:tcW w:w="4820" w:type="dxa"/>
            <w:shd w:val="solid" w:color="FFFFFF" w:fill="auto"/>
          </w:tcPr>
          <w:p w14:paraId="5A0F6A4B" w14:textId="2C2EB1C7" w:rsidR="00A13197" w:rsidRPr="00873B6C" w:rsidRDefault="00A13197" w:rsidP="002C4A81">
            <w:pPr>
              <w:pStyle w:val="TAL"/>
              <w:rPr>
                <w:sz w:val="16"/>
                <w:szCs w:val="16"/>
              </w:rPr>
            </w:pPr>
            <w:r w:rsidRPr="00873B6C">
              <w:rPr>
                <w:sz w:val="16"/>
                <w:szCs w:val="16"/>
              </w:rPr>
              <w:t>Creating an RA when a Slice is Partially Supported in the RA</w:t>
            </w:r>
          </w:p>
        </w:tc>
        <w:tc>
          <w:tcPr>
            <w:tcW w:w="708" w:type="dxa"/>
            <w:shd w:val="solid" w:color="FFFFFF" w:fill="auto"/>
          </w:tcPr>
          <w:p w14:paraId="1C6DA41A" w14:textId="1666F96F" w:rsidR="00A13197" w:rsidRPr="00873B6C" w:rsidRDefault="00A13197" w:rsidP="002C4A81">
            <w:pPr>
              <w:pStyle w:val="TAC"/>
              <w:rPr>
                <w:sz w:val="16"/>
                <w:szCs w:val="16"/>
              </w:rPr>
            </w:pPr>
            <w:r w:rsidRPr="00873B6C">
              <w:rPr>
                <w:sz w:val="16"/>
                <w:szCs w:val="16"/>
              </w:rPr>
              <w:t>18.2.0</w:t>
            </w:r>
          </w:p>
        </w:tc>
      </w:tr>
      <w:tr w:rsidR="00A13197" w:rsidRPr="00873B6C" w14:paraId="5BAFAF7E" w14:textId="77777777" w:rsidTr="009D14FB">
        <w:tc>
          <w:tcPr>
            <w:tcW w:w="800" w:type="dxa"/>
            <w:shd w:val="solid" w:color="FFFFFF" w:fill="auto"/>
          </w:tcPr>
          <w:p w14:paraId="4376B7D3" w14:textId="7DEC59EC"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3C76ED59" w14:textId="6F42BB2D"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397C450D" w14:textId="14D56BFF" w:rsidR="00A13197" w:rsidRPr="00873B6C" w:rsidRDefault="00A13197" w:rsidP="002C4A81">
            <w:pPr>
              <w:pStyle w:val="TAC"/>
              <w:rPr>
                <w:sz w:val="16"/>
                <w:szCs w:val="16"/>
              </w:rPr>
            </w:pPr>
            <w:r w:rsidRPr="00873B6C">
              <w:rPr>
                <w:sz w:val="16"/>
                <w:szCs w:val="16"/>
              </w:rPr>
              <w:t>SP-230485</w:t>
            </w:r>
          </w:p>
        </w:tc>
        <w:tc>
          <w:tcPr>
            <w:tcW w:w="567" w:type="dxa"/>
            <w:shd w:val="solid" w:color="FFFFFF" w:fill="auto"/>
          </w:tcPr>
          <w:p w14:paraId="6F71D5C4" w14:textId="6E13A4B5" w:rsidR="00A13197" w:rsidRPr="00873B6C" w:rsidRDefault="00A13197" w:rsidP="002C4A81">
            <w:pPr>
              <w:pStyle w:val="TAL"/>
              <w:rPr>
                <w:sz w:val="16"/>
                <w:szCs w:val="16"/>
              </w:rPr>
            </w:pPr>
            <w:r w:rsidRPr="00873B6C">
              <w:rPr>
                <w:sz w:val="16"/>
                <w:szCs w:val="16"/>
              </w:rPr>
              <w:t>4555</w:t>
            </w:r>
          </w:p>
        </w:tc>
        <w:tc>
          <w:tcPr>
            <w:tcW w:w="425" w:type="dxa"/>
            <w:shd w:val="solid" w:color="FFFFFF" w:fill="auto"/>
          </w:tcPr>
          <w:p w14:paraId="7D22BC6E" w14:textId="27D7342E" w:rsidR="00A13197" w:rsidRPr="00873B6C" w:rsidRDefault="00A13197" w:rsidP="002C4A81">
            <w:pPr>
              <w:pStyle w:val="TAL"/>
              <w:rPr>
                <w:sz w:val="16"/>
                <w:szCs w:val="16"/>
              </w:rPr>
            </w:pPr>
            <w:r w:rsidRPr="00873B6C">
              <w:rPr>
                <w:sz w:val="16"/>
                <w:szCs w:val="16"/>
              </w:rPr>
              <w:t>-</w:t>
            </w:r>
          </w:p>
        </w:tc>
        <w:tc>
          <w:tcPr>
            <w:tcW w:w="425" w:type="dxa"/>
            <w:shd w:val="solid" w:color="FFFFFF" w:fill="auto"/>
          </w:tcPr>
          <w:p w14:paraId="38A3CE75" w14:textId="02A29B3C"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7F343A23" w14:textId="3329FA6E" w:rsidR="00A13197" w:rsidRPr="00873B6C" w:rsidRDefault="00A13197" w:rsidP="002C4A81">
            <w:pPr>
              <w:pStyle w:val="TAL"/>
              <w:rPr>
                <w:sz w:val="16"/>
                <w:szCs w:val="16"/>
              </w:rPr>
            </w:pPr>
            <w:r w:rsidRPr="00873B6C">
              <w:rPr>
                <w:sz w:val="16"/>
                <w:szCs w:val="16"/>
              </w:rPr>
              <w:t>Support of SL Positioning</w:t>
            </w:r>
          </w:p>
        </w:tc>
        <w:tc>
          <w:tcPr>
            <w:tcW w:w="708" w:type="dxa"/>
            <w:shd w:val="solid" w:color="FFFFFF" w:fill="auto"/>
          </w:tcPr>
          <w:p w14:paraId="11A7568A" w14:textId="6C791930" w:rsidR="00A13197" w:rsidRPr="00873B6C" w:rsidRDefault="00A13197" w:rsidP="002C4A81">
            <w:pPr>
              <w:pStyle w:val="TAC"/>
              <w:rPr>
                <w:sz w:val="16"/>
                <w:szCs w:val="16"/>
              </w:rPr>
            </w:pPr>
            <w:r w:rsidRPr="00873B6C">
              <w:rPr>
                <w:sz w:val="16"/>
                <w:szCs w:val="16"/>
              </w:rPr>
              <w:t>18.2.0</w:t>
            </w:r>
          </w:p>
        </w:tc>
      </w:tr>
      <w:tr w:rsidR="00A13197" w:rsidRPr="00873B6C" w14:paraId="142210B1" w14:textId="77777777" w:rsidTr="009D14FB">
        <w:tc>
          <w:tcPr>
            <w:tcW w:w="800" w:type="dxa"/>
            <w:shd w:val="solid" w:color="FFFFFF" w:fill="auto"/>
          </w:tcPr>
          <w:p w14:paraId="677C663A" w14:textId="79E719CF"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2A6AA87F" w14:textId="31D60D4A"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1277AA14" w14:textId="7D5A7F9B" w:rsidR="00A13197" w:rsidRPr="00873B6C" w:rsidRDefault="00A13197" w:rsidP="002C4A81">
            <w:pPr>
              <w:pStyle w:val="TAC"/>
              <w:rPr>
                <w:sz w:val="16"/>
                <w:szCs w:val="16"/>
              </w:rPr>
            </w:pPr>
            <w:r w:rsidRPr="00873B6C">
              <w:rPr>
                <w:sz w:val="16"/>
                <w:szCs w:val="16"/>
              </w:rPr>
              <w:t>SP-230457</w:t>
            </w:r>
          </w:p>
        </w:tc>
        <w:tc>
          <w:tcPr>
            <w:tcW w:w="567" w:type="dxa"/>
            <w:shd w:val="solid" w:color="FFFFFF" w:fill="auto"/>
          </w:tcPr>
          <w:p w14:paraId="13C46A54" w14:textId="7BC8A9B8" w:rsidR="00A13197" w:rsidRPr="00873B6C" w:rsidRDefault="00A13197" w:rsidP="002C4A81">
            <w:pPr>
              <w:pStyle w:val="TAL"/>
              <w:rPr>
                <w:sz w:val="16"/>
                <w:szCs w:val="16"/>
              </w:rPr>
            </w:pPr>
            <w:r w:rsidRPr="00873B6C">
              <w:rPr>
                <w:sz w:val="16"/>
                <w:szCs w:val="16"/>
              </w:rPr>
              <w:t>4565</w:t>
            </w:r>
          </w:p>
        </w:tc>
        <w:tc>
          <w:tcPr>
            <w:tcW w:w="425" w:type="dxa"/>
            <w:shd w:val="solid" w:color="FFFFFF" w:fill="auto"/>
          </w:tcPr>
          <w:p w14:paraId="712FE0AB" w14:textId="5C23EFE1"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54CAFD40" w14:textId="69B66446"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0A626748" w14:textId="1531D3F5" w:rsidR="00A13197" w:rsidRPr="00873B6C" w:rsidRDefault="00A13197" w:rsidP="002C4A81">
            <w:pPr>
              <w:pStyle w:val="TAL"/>
              <w:rPr>
                <w:sz w:val="16"/>
                <w:szCs w:val="16"/>
              </w:rPr>
            </w:pPr>
            <w:r w:rsidRPr="00873B6C">
              <w:rPr>
                <w:sz w:val="16"/>
                <w:szCs w:val="16"/>
              </w:rPr>
              <w:t>23.501 - Member UE terminology update</w:t>
            </w:r>
          </w:p>
        </w:tc>
        <w:tc>
          <w:tcPr>
            <w:tcW w:w="708" w:type="dxa"/>
            <w:shd w:val="solid" w:color="FFFFFF" w:fill="auto"/>
          </w:tcPr>
          <w:p w14:paraId="7C20DF43" w14:textId="339D2184" w:rsidR="00A13197" w:rsidRPr="00873B6C" w:rsidRDefault="00A13197" w:rsidP="002C4A81">
            <w:pPr>
              <w:pStyle w:val="TAC"/>
              <w:rPr>
                <w:sz w:val="16"/>
                <w:szCs w:val="16"/>
              </w:rPr>
            </w:pPr>
            <w:r w:rsidRPr="00873B6C">
              <w:rPr>
                <w:sz w:val="16"/>
                <w:szCs w:val="16"/>
              </w:rPr>
              <w:t>18.2.0</w:t>
            </w:r>
          </w:p>
        </w:tc>
      </w:tr>
      <w:tr w:rsidR="00A13197" w:rsidRPr="00873B6C" w14:paraId="26110AEF" w14:textId="77777777" w:rsidTr="009D14FB">
        <w:tc>
          <w:tcPr>
            <w:tcW w:w="800" w:type="dxa"/>
            <w:shd w:val="solid" w:color="FFFFFF" w:fill="auto"/>
          </w:tcPr>
          <w:p w14:paraId="070A506B" w14:textId="76DD361B"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31BBC66E" w14:textId="1F71AE5C"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0BB82E39" w14:textId="559A4C58" w:rsidR="00A13197" w:rsidRPr="00873B6C" w:rsidRDefault="00A13197" w:rsidP="002C4A81">
            <w:pPr>
              <w:pStyle w:val="TAC"/>
              <w:rPr>
                <w:sz w:val="16"/>
                <w:szCs w:val="16"/>
              </w:rPr>
            </w:pPr>
            <w:r w:rsidRPr="00873B6C">
              <w:rPr>
                <w:sz w:val="16"/>
                <w:szCs w:val="16"/>
              </w:rPr>
              <w:t>SP-230483</w:t>
            </w:r>
          </w:p>
        </w:tc>
        <w:tc>
          <w:tcPr>
            <w:tcW w:w="567" w:type="dxa"/>
            <w:shd w:val="solid" w:color="FFFFFF" w:fill="auto"/>
          </w:tcPr>
          <w:p w14:paraId="33D20664" w14:textId="673ABF55" w:rsidR="00A13197" w:rsidRPr="00873B6C" w:rsidRDefault="00A13197" w:rsidP="002C4A81">
            <w:pPr>
              <w:pStyle w:val="TAL"/>
              <w:rPr>
                <w:sz w:val="16"/>
                <w:szCs w:val="16"/>
              </w:rPr>
            </w:pPr>
            <w:r w:rsidRPr="00873B6C">
              <w:rPr>
                <w:sz w:val="16"/>
                <w:szCs w:val="16"/>
              </w:rPr>
              <w:t>4569</w:t>
            </w:r>
          </w:p>
        </w:tc>
        <w:tc>
          <w:tcPr>
            <w:tcW w:w="425" w:type="dxa"/>
            <w:shd w:val="solid" w:color="FFFFFF" w:fill="auto"/>
          </w:tcPr>
          <w:p w14:paraId="1B4C0153" w14:textId="53CB1DC2" w:rsidR="00A13197" w:rsidRPr="00873B6C" w:rsidRDefault="00A13197" w:rsidP="002C4A81">
            <w:pPr>
              <w:pStyle w:val="TAL"/>
              <w:rPr>
                <w:sz w:val="16"/>
                <w:szCs w:val="16"/>
              </w:rPr>
            </w:pPr>
            <w:r w:rsidRPr="00873B6C">
              <w:rPr>
                <w:sz w:val="16"/>
                <w:szCs w:val="16"/>
              </w:rPr>
              <w:t>2</w:t>
            </w:r>
          </w:p>
        </w:tc>
        <w:tc>
          <w:tcPr>
            <w:tcW w:w="425" w:type="dxa"/>
            <w:shd w:val="solid" w:color="FFFFFF" w:fill="auto"/>
          </w:tcPr>
          <w:p w14:paraId="4DDB7C35" w14:textId="32417B50"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7838D9CA" w14:textId="15246BC1" w:rsidR="00A13197" w:rsidRPr="00873B6C" w:rsidRDefault="00A13197" w:rsidP="002C4A81">
            <w:pPr>
              <w:pStyle w:val="TAL"/>
              <w:rPr>
                <w:sz w:val="16"/>
                <w:szCs w:val="16"/>
              </w:rPr>
            </w:pPr>
            <w:r w:rsidRPr="00873B6C">
              <w:rPr>
                <w:sz w:val="16"/>
                <w:szCs w:val="16"/>
              </w:rPr>
              <w:t>Correction for Asynchronous Type Communication for CN based MT communication handling</w:t>
            </w:r>
          </w:p>
        </w:tc>
        <w:tc>
          <w:tcPr>
            <w:tcW w:w="708" w:type="dxa"/>
            <w:shd w:val="solid" w:color="FFFFFF" w:fill="auto"/>
          </w:tcPr>
          <w:p w14:paraId="380800BC" w14:textId="31468DBA" w:rsidR="00A13197" w:rsidRPr="00873B6C" w:rsidRDefault="00A13197" w:rsidP="002C4A81">
            <w:pPr>
              <w:pStyle w:val="TAC"/>
              <w:rPr>
                <w:sz w:val="16"/>
                <w:szCs w:val="16"/>
              </w:rPr>
            </w:pPr>
            <w:r w:rsidRPr="00873B6C">
              <w:rPr>
                <w:sz w:val="16"/>
                <w:szCs w:val="16"/>
              </w:rPr>
              <w:t>18.2.0</w:t>
            </w:r>
          </w:p>
        </w:tc>
      </w:tr>
      <w:tr w:rsidR="00A13197" w:rsidRPr="00873B6C" w14:paraId="3A82D7A0" w14:textId="77777777" w:rsidTr="009D14FB">
        <w:tc>
          <w:tcPr>
            <w:tcW w:w="800" w:type="dxa"/>
            <w:shd w:val="solid" w:color="FFFFFF" w:fill="auto"/>
          </w:tcPr>
          <w:p w14:paraId="2C1E4BD8" w14:textId="4896EDEA"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21506F84" w14:textId="61320D36"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25D2F0D3" w14:textId="1F5D6F30" w:rsidR="00A13197" w:rsidRPr="00873B6C" w:rsidRDefault="00A13197" w:rsidP="002C4A81">
            <w:pPr>
              <w:pStyle w:val="TAC"/>
              <w:rPr>
                <w:sz w:val="16"/>
                <w:szCs w:val="16"/>
              </w:rPr>
            </w:pPr>
            <w:r w:rsidRPr="00873B6C">
              <w:rPr>
                <w:sz w:val="16"/>
                <w:szCs w:val="16"/>
              </w:rPr>
              <w:t>SP-230476</w:t>
            </w:r>
          </w:p>
        </w:tc>
        <w:tc>
          <w:tcPr>
            <w:tcW w:w="567" w:type="dxa"/>
            <w:shd w:val="solid" w:color="FFFFFF" w:fill="auto"/>
          </w:tcPr>
          <w:p w14:paraId="286D8846" w14:textId="5831BD56" w:rsidR="00A13197" w:rsidRPr="00873B6C" w:rsidRDefault="00A13197" w:rsidP="002C4A81">
            <w:pPr>
              <w:pStyle w:val="TAL"/>
              <w:rPr>
                <w:sz w:val="16"/>
                <w:szCs w:val="16"/>
              </w:rPr>
            </w:pPr>
            <w:r w:rsidRPr="00873B6C">
              <w:rPr>
                <w:sz w:val="16"/>
                <w:szCs w:val="16"/>
              </w:rPr>
              <w:t>4570</w:t>
            </w:r>
          </w:p>
        </w:tc>
        <w:tc>
          <w:tcPr>
            <w:tcW w:w="425" w:type="dxa"/>
            <w:shd w:val="solid" w:color="FFFFFF" w:fill="auto"/>
          </w:tcPr>
          <w:p w14:paraId="0D11B30F" w14:textId="07397B97" w:rsidR="00A13197" w:rsidRPr="00873B6C" w:rsidRDefault="00A13197" w:rsidP="002C4A81">
            <w:pPr>
              <w:pStyle w:val="TAL"/>
              <w:rPr>
                <w:sz w:val="16"/>
                <w:szCs w:val="16"/>
              </w:rPr>
            </w:pPr>
            <w:r w:rsidRPr="00873B6C">
              <w:rPr>
                <w:sz w:val="16"/>
                <w:szCs w:val="16"/>
              </w:rPr>
              <w:t>2</w:t>
            </w:r>
          </w:p>
        </w:tc>
        <w:tc>
          <w:tcPr>
            <w:tcW w:w="425" w:type="dxa"/>
            <w:shd w:val="solid" w:color="FFFFFF" w:fill="auto"/>
          </w:tcPr>
          <w:p w14:paraId="7B0F00D1" w14:textId="4347002F" w:rsidR="00A13197" w:rsidRPr="00873B6C" w:rsidRDefault="00A13197" w:rsidP="002C4A81">
            <w:pPr>
              <w:pStyle w:val="TAL"/>
              <w:rPr>
                <w:sz w:val="16"/>
                <w:szCs w:val="16"/>
              </w:rPr>
            </w:pPr>
            <w:r w:rsidRPr="00873B6C">
              <w:rPr>
                <w:sz w:val="16"/>
                <w:szCs w:val="16"/>
              </w:rPr>
              <w:t xml:space="preserve">B </w:t>
            </w:r>
          </w:p>
        </w:tc>
        <w:tc>
          <w:tcPr>
            <w:tcW w:w="4820" w:type="dxa"/>
            <w:shd w:val="solid" w:color="FFFFFF" w:fill="auto"/>
          </w:tcPr>
          <w:p w14:paraId="099F3EE0" w14:textId="15DEEAFC" w:rsidR="00A13197" w:rsidRPr="00873B6C" w:rsidRDefault="00A13197" w:rsidP="002C4A81">
            <w:pPr>
              <w:pStyle w:val="TAL"/>
              <w:rPr>
                <w:sz w:val="16"/>
                <w:szCs w:val="16"/>
              </w:rPr>
            </w:pPr>
            <w:r w:rsidRPr="00873B6C">
              <w:rPr>
                <w:sz w:val="16"/>
                <w:szCs w:val="16"/>
              </w:rPr>
              <w:t>Handling UE policy association when UE registered over both 3GPP and Non-3GPP access</w:t>
            </w:r>
          </w:p>
        </w:tc>
        <w:tc>
          <w:tcPr>
            <w:tcW w:w="708" w:type="dxa"/>
            <w:shd w:val="solid" w:color="FFFFFF" w:fill="auto"/>
          </w:tcPr>
          <w:p w14:paraId="3D3BCF0C" w14:textId="23E98C35" w:rsidR="00A13197" w:rsidRPr="00873B6C" w:rsidRDefault="00A13197" w:rsidP="002C4A81">
            <w:pPr>
              <w:pStyle w:val="TAC"/>
              <w:rPr>
                <w:sz w:val="16"/>
                <w:szCs w:val="16"/>
              </w:rPr>
            </w:pPr>
            <w:r w:rsidRPr="00873B6C">
              <w:rPr>
                <w:sz w:val="16"/>
                <w:szCs w:val="16"/>
              </w:rPr>
              <w:t>18.2.0</w:t>
            </w:r>
          </w:p>
        </w:tc>
      </w:tr>
      <w:tr w:rsidR="00A13197" w:rsidRPr="00873B6C" w14:paraId="4758F736" w14:textId="77777777" w:rsidTr="009D14FB">
        <w:tc>
          <w:tcPr>
            <w:tcW w:w="800" w:type="dxa"/>
            <w:shd w:val="solid" w:color="FFFFFF" w:fill="auto"/>
          </w:tcPr>
          <w:p w14:paraId="2A656B1E" w14:textId="3B10A44A"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FCB22FC" w14:textId="087B8447"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7F09E327" w14:textId="1F2C578A" w:rsidR="00A13197" w:rsidRPr="00873B6C" w:rsidRDefault="00A13197" w:rsidP="002C4A81">
            <w:pPr>
              <w:pStyle w:val="TAC"/>
              <w:rPr>
                <w:sz w:val="16"/>
                <w:szCs w:val="16"/>
              </w:rPr>
            </w:pPr>
            <w:r w:rsidRPr="00873B6C">
              <w:rPr>
                <w:sz w:val="16"/>
                <w:szCs w:val="16"/>
              </w:rPr>
              <w:t>SP-230461</w:t>
            </w:r>
          </w:p>
        </w:tc>
        <w:tc>
          <w:tcPr>
            <w:tcW w:w="567" w:type="dxa"/>
            <w:shd w:val="solid" w:color="FFFFFF" w:fill="auto"/>
          </w:tcPr>
          <w:p w14:paraId="395C458E" w14:textId="058E3FA9" w:rsidR="00A13197" w:rsidRPr="00873B6C" w:rsidRDefault="00A13197" w:rsidP="002C4A81">
            <w:pPr>
              <w:pStyle w:val="TAL"/>
              <w:rPr>
                <w:sz w:val="16"/>
                <w:szCs w:val="16"/>
              </w:rPr>
            </w:pPr>
            <w:r w:rsidRPr="00873B6C">
              <w:rPr>
                <w:sz w:val="16"/>
                <w:szCs w:val="16"/>
              </w:rPr>
              <w:t>4571</w:t>
            </w:r>
          </w:p>
        </w:tc>
        <w:tc>
          <w:tcPr>
            <w:tcW w:w="425" w:type="dxa"/>
            <w:shd w:val="solid" w:color="FFFFFF" w:fill="auto"/>
          </w:tcPr>
          <w:p w14:paraId="23E53221" w14:textId="3D2CDBC9" w:rsidR="00A13197" w:rsidRPr="00873B6C" w:rsidRDefault="00A13197" w:rsidP="002C4A81">
            <w:pPr>
              <w:pStyle w:val="TAL"/>
              <w:rPr>
                <w:sz w:val="16"/>
                <w:szCs w:val="16"/>
              </w:rPr>
            </w:pPr>
            <w:r w:rsidRPr="00873B6C">
              <w:rPr>
                <w:sz w:val="16"/>
                <w:szCs w:val="16"/>
              </w:rPr>
              <w:t>2</w:t>
            </w:r>
          </w:p>
        </w:tc>
        <w:tc>
          <w:tcPr>
            <w:tcW w:w="425" w:type="dxa"/>
            <w:shd w:val="solid" w:color="FFFFFF" w:fill="auto"/>
          </w:tcPr>
          <w:p w14:paraId="2AC0D1CA" w14:textId="7CF879FE" w:rsidR="00A13197" w:rsidRPr="00873B6C" w:rsidRDefault="00A13197" w:rsidP="002C4A81">
            <w:pPr>
              <w:pStyle w:val="TAL"/>
              <w:rPr>
                <w:sz w:val="16"/>
                <w:szCs w:val="16"/>
              </w:rPr>
            </w:pPr>
            <w:r w:rsidRPr="00873B6C">
              <w:rPr>
                <w:sz w:val="16"/>
                <w:szCs w:val="16"/>
              </w:rPr>
              <w:t xml:space="preserve">B </w:t>
            </w:r>
          </w:p>
        </w:tc>
        <w:tc>
          <w:tcPr>
            <w:tcW w:w="4820" w:type="dxa"/>
            <w:shd w:val="solid" w:color="FFFFFF" w:fill="auto"/>
          </w:tcPr>
          <w:p w14:paraId="423CF5E5" w14:textId="636D0C84" w:rsidR="00A13197" w:rsidRPr="00873B6C" w:rsidRDefault="00A13197" w:rsidP="002C4A81">
            <w:pPr>
              <w:pStyle w:val="TAL"/>
              <w:rPr>
                <w:sz w:val="16"/>
                <w:szCs w:val="16"/>
              </w:rPr>
            </w:pPr>
            <w:r w:rsidRPr="00873B6C">
              <w:rPr>
                <w:sz w:val="16"/>
                <w:szCs w:val="16"/>
              </w:rPr>
              <w:t>NEF function update</w:t>
            </w:r>
          </w:p>
        </w:tc>
        <w:tc>
          <w:tcPr>
            <w:tcW w:w="708" w:type="dxa"/>
            <w:shd w:val="solid" w:color="FFFFFF" w:fill="auto"/>
          </w:tcPr>
          <w:p w14:paraId="37B21EEB" w14:textId="69861EE9" w:rsidR="00A13197" w:rsidRPr="00873B6C" w:rsidRDefault="00A13197" w:rsidP="002C4A81">
            <w:pPr>
              <w:pStyle w:val="TAC"/>
              <w:rPr>
                <w:sz w:val="16"/>
                <w:szCs w:val="16"/>
              </w:rPr>
            </w:pPr>
            <w:r w:rsidRPr="00873B6C">
              <w:rPr>
                <w:sz w:val="16"/>
                <w:szCs w:val="16"/>
              </w:rPr>
              <w:t>18.2.0</w:t>
            </w:r>
          </w:p>
        </w:tc>
      </w:tr>
      <w:tr w:rsidR="00A13197" w:rsidRPr="00873B6C" w14:paraId="1DB00206" w14:textId="77777777" w:rsidTr="009D14FB">
        <w:tc>
          <w:tcPr>
            <w:tcW w:w="800" w:type="dxa"/>
            <w:shd w:val="solid" w:color="FFFFFF" w:fill="auto"/>
          </w:tcPr>
          <w:p w14:paraId="642355E2" w14:textId="044A6E55"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3AA29B0A" w14:textId="367777AA"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0B22A39B" w14:textId="7C3DA782" w:rsidR="00A13197" w:rsidRPr="00873B6C" w:rsidRDefault="00A13197" w:rsidP="002C4A81">
            <w:pPr>
              <w:pStyle w:val="TAC"/>
              <w:rPr>
                <w:sz w:val="16"/>
                <w:szCs w:val="16"/>
              </w:rPr>
            </w:pPr>
            <w:r w:rsidRPr="00873B6C">
              <w:rPr>
                <w:sz w:val="16"/>
                <w:szCs w:val="16"/>
              </w:rPr>
              <w:t>SP-230484</w:t>
            </w:r>
          </w:p>
        </w:tc>
        <w:tc>
          <w:tcPr>
            <w:tcW w:w="567" w:type="dxa"/>
            <w:shd w:val="solid" w:color="FFFFFF" w:fill="auto"/>
          </w:tcPr>
          <w:p w14:paraId="4AEB2409" w14:textId="203684DC" w:rsidR="00A13197" w:rsidRPr="00873B6C" w:rsidRDefault="00A13197" w:rsidP="002C4A81">
            <w:pPr>
              <w:pStyle w:val="TAL"/>
              <w:rPr>
                <w:sz w:val="16"/>
                <w:szCs w:val="16"/>
              </w:rPr>
            </w:pPr>
            <w:r w:rsidRPr="00873B6C">
              <w:rPr>
                <w:sz w:val="16"/>
                <w:szCs w:val="16"/>
              </w:rPr>
              <w:t>4572</w:t>
            </w:r>
          </w:p>
        </w:tc>
        <w:tc>
          <w:tcPr>
            <w:tcW w:w="425" w:type="dxa"/>
            <w:shd w:val="solid" w:color="FFFFFF" w:fill="auto"/>
          </w:tcPr>
          <w:p w14:paraId="39D245FC" w14:textId="6693A610" w:rsidR="00A13197" w:rsidRPr="00873B6C" w:rsidRDefault="00A13197" w:rsidP="002C4A81">
            <w:pPr>
              <w:pStyle w:val="TAL"/>
              <w:rPr>
                <w:sz w:val="16"/>
                <w:szCs w:val="16"/>
              </w:rPr>
            </w:pPr>
            <w:r w:rsidRPr="00873B6C">
              <w:rPr>
                <w:sz w:val="16"/>
                <w:szCs w:val="16"/>
              </w:rPr>
              <w:t>2</w:t>
            </w:r>
          </w:p>
        </w:tc>
        <w:tc>
          <w:tcPr>
            <w:tcW w:w="425" w:type="dxa"/>
            <w:shd w:val="solid" w:color="FFFFFF" w:fill="auto"/>
          </w:tcPr>
          <w:p w14:paraId="52D3B0C8" w14:textId="4956B237"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1E31D980" w14:textId="1DFFD23B" w:rsidR="00A13197" w:rsidRPr="00873B6C" w:rsidRDefault="00A13197" w:rsidP="002C4A81">
            <w:pPr>
              <w:pStyle w:val="TAL"/>
              <w:rPr>
                <w:sz w:val="16"/>
                <w:szCs w:val="16"/>
              </w:rPr>
            </w:pPr>
            <w:r w:rsidRPr="00873B6C">
              <w:rPr>
                <w:sz w:val="16"/>
                <w:szCs w:val="16"/>
              </w:rPr>
              <w:t>PIN traffic routing support</w:t>
            </w:r>
          </w:p>
        </w:tc>
        <w:tc>
          <w:tcPr>
            <w:tcW w:w="708" w:type="dxa"/>
            <w:shd w:val="solid" w:color="FFFFFF" w:fill="auto"/>
          </w:tcPr>
          <w:p w14:paraId="7971CC1A" w14:textId="7A30EAA3" w:rsidR="00A13197" w:rsidRPr="00873B6C" w:rsidRDefault="00A13197" w:rsidP="002C4A81">
            <w:pPr>
              <w:pStyle w:val="TAC"/>
              <w:rPr>
                <w:sz w:val="16"/>
                <w:szCs w:val="16"/>
              </w:rPr>
            </w:pPr>
            <w:r w:rsidRPr="00873B6C">
              <w:rPr>
                <w:sz w:val="16"/>
                <w:szCs w:val="16"/>
              </w:rPr>
              <w:t>18.2.0</w:t>
            </w:r>
          </w:p>
        </w:tc>
      </w:tr>
      <w:tr w:rsidR="00A13197" w:rsidRPr="00873B6C" w14:paraId="2F273A07" w14:textId="77777777" w:rsidTr="009D14FB">
        <w:tc>
          <w:tcPr>
            <w:tcW w:w="800" w:type="dxa"/>
            <w:shd w:val="solid" w:color="FFFFFF" w:fill="auto"/>
          </w:tcPr>
          <w:p w14:paraId="45F4B7D1" w14:textId="0EE9E1FB"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583CB3F3" w14:textId="3D8F1FF1"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2BD0681D" w14:textId="710610F0" w:rsidR="00A13197" w:rsidRPr="00873B6C" w:rsidRDefault="00A13197" w:rsidP="002C4A81">
            <w:pPr>
              <w:pStyle w:val="TAC"/>
              <w:rPr>
                <w:sz w:val="16"/>
                <w:szCs w:val="16"/>
              </w:rPr>
            </w:pPr>
            <w:r w:rsidRPr="00873B6C">
              <w:rPr>
                <w:sz w:val="16"/>
                <w:szCs w:val="16"/>
              </w:rPr>
              <w:t>SP-230484</w:t>
            </w:r>
          </w:p>
        </w:tc>
        <w:tc>
          <w:tcPr>
            <w:tcW w:w="567" w:type="dxa"/>
            <w:shd w:val="solid" w:color="FFFFFF" w:fill="auto"/>
          </w:tcPr>
          <w:p w14:paraId="7536FD85" w14:textId="36C93E83" w:rsidR="00A13197" w:rsidRPr="00873B6C" w:rsidRDefault="00A13197" w:rsidP="002C4A81">
            <w:pPr>
              <w:pStyle w:val="TAL"/>
              <w:rPr>
                <w:sz w:val="16"/>
                <w:szCs w:val="16"/>
              </w:rPr>
            </w:pPr>
            <w:r w:rsidRPr="00873B6C">
              <w:rPr>
                <w:sz w:val="16"/>
                <w:szCs w:val="16"/>
              </w:rPr>
              <w:t>4573</w:t>
            </w:r>
          </w:p>
        </w:tc>
        <w:tc>
          <w:tcPr>
            <w:tcW w:w="425" w:type="dxa"/>
            <w:shd w:val="solid" w:color="FFFFFF" w:fill="auto"/>
          </w:tcPr>
          <w:p w14:paraId="59A8C11D" w14:textId="616FF8E3" w:rsidR="00A13197" w:rsidRPr="00873B6C" w:rsidRDefault="00A13197" w:rsidP="002C4A81">
            <w:pPr>
              <w:pStyle w:val="TAL"/>
              <w:rPr>
                <w:sz w:val="16"/>
                <w:szCs w:val="16"/>
              </w:rPr>
            </w:pPr>
            <w:r w:rsidRPr="00873B6C">
              <w:rPr>
                <w:sz w:val="16"/>
                <w:szCs w:val="16"/>
              </w:rPr>
              <w:t>3</w:t>
            </w:r>
          </w:p>
        </w:tc>
        <w:tc>
          <w:tcPr>
            <w:tcW w:w="425" w:type="dxa"/>
            <w:shd w:val="solid" w:color="FFFFFF" w:fill="auto"/>
          </w:tcPr>
          <w:p w14:paraId="3A0561A8" w14:textId="1FABF961"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7B8047FD" w14:textId="238ABAB5" w:rsidR="00A13197" w:rsidRPr="00873B6C" w:rsidRDefault="00A13197" w:rsidP="002C4A81">
            <w:pPr>
              <w:pStyle w:val="TAL"/>
              <w:rPr>
                <w:sz w:val="16"/>
                <w:szCs w:val="16"/>
              </w:rPr>
            </w:pPr>
            <w:r w:rsidRPr="00873B6C">
              <w:rPr>
                <w:sz w:val="16"/>
                <w:szCs w:val="16"/>
              </w:rPr>
              <w:t>PIN general principles</w:t>
            </w:r>
          </w:p>
        </w:tc>
        <w:tc>
          <w:tcPr>
            <w:tcW w:w="708" w:type="dxa"/>
            <w:shd w:val="solid" w:color="FFFFFF" w:fill="auto"/>
          </w:tcPr>
          <w:p w14:paraId="0356AC93" w14:textId="1C297BA3" w:rsidR="00A13197" w:rsidRPr="00873B6C" w:rsidRDefault="00A13197" w:rsidP="002C4A81">
            <w:pPr>
              <w:pStyle w:val="TAC"/>
              <w:rPr>
                <w:sz w:val="16"/>
                <w:szCs w:val="16"/>
              </w:rPr>
            </w:pPr>
            <w:r w:rsidRPr="00873B6C">
              <w:rPr>
                <w:sz w:val="16"/>
                <w:szCs w:val="16"/>
              </w:rPr>
              <w:t>18.2.0</w:t>
            </w:r>
          </w:p>
        </w:tc>
      </w:tr>
      <w:tr w:rsidR="00A13197" w:rsidRPr="00873B6C" w14:paraId="5016570B" w14:textId="77777777" w:rsidTr="009D14FB">
        <w:tc>
          <w:tcPr>
            <w:tcW w:w="800" w:type="dxa"/>
            <w:shd w:val="solid" w:color="FFFFFF" w:fill="auto"/>
          </w:tcPr>
          <w:p w14:paraId="4581536C" w14:textId="041628ED"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D6A38C5" w14:textId="612CBD19"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3F108B93" w14:textId="5E1E9210" w:rsidR="00A13197" w:rsidRPr="00873B6C" w:rsidRDefault="00A13197" w:rsidP="002C4A81">
            <w:pPr>
              <w:pStyle w:val="TAC"/>
              <w:rPr>
                <w:sz w:val="16"/>
                <w:szCs w:val="16"/>
              </w:rPr>
            </w:pPr>
            <w:r w:rsidRPr="00873B6C">
              <w:rPr>
                <w:sz w:val="16"/>
                <w:szCs w:val="16"/>
              </w:rPr>
              <w:t>SP-230493</w:t>
            </w:r>
          </w:p>
        </w:tc>
        <w:tc>
          <w:tcPr>
            <w:tcW w:w="567" w:type="dxa"/>
            <w:shd w:val="solid" w:color="FFFFFF" w:fill="auto"/>
          </w:tcPr>
          <w:p w14:paraId="78C74E1B" w14:textId="0C5F6058" w:rsidR="00A13197" w:rsidRPr="00873B6C" w:rsidRDefault="00A13197" w:rsidP="002C4A81">
            <w:pPr>
              <w:pStyle w:val="TAL"/>
              <w:rPr>
                <w:sz w:val="16"/>
                <w:szCs w:val="16"/>
              </w:rPr>
            </w:pPr>
            <w:r w:rsidRPr="00873B6C">
              <w:rPr>
                <w:sz w:val="16"/>
                <w:szCs w:val="16"/>
              </w:rPr>
              <w:t>4580</w:t>
            </w:r>
          </w:p>
        </w:tc>
        <w:tc>
          <w:tcPr>
            <w:tcW w:w="425" w:type="dxa"/>
            <w:shd w:val="solid" w:color="FFFFFF" w:fill="auto"/>
          </w:tcPr>
          <w:p w14:paraId="110C5B7F" w14:textId="41FFD7E6" w:rsidR="00A13197" w:rsidRPr="00873B6C" w:rsidRDefault="00A13197" w:rsidP="002C4A81">
            <w:pPr>
              <w:pStyle w:val="TAL"/>
              <w:rPr>
                <w:sz w:val="16"/>
                <w:szCs w:val="16"/>
              </w:rPr>
            </w:pPr>
            <w:r w:rsidRPr="00873B6C">
              <w:rPr>
                <w:sz w:val="16"/>
                <w:szCs w:val="16"/>
              </w:rPr>
              <w:t>-</w:t>
            </w:r>
          </w:p>
        </w:tc>
        <w:tc>
          <w:tcPr>
            <w:tcW w:w="425" w:type="dxa"/>
            <w:shd w:val="solid" w:color="FFFFFF" w:fill="auto"/>
          </w:tcPr>
          <w:p w14:paraId="221ECA04" w14:textId="0F0A7AC9"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1238BBBF" w14:textId="20151789" w:rsidR="00A13197" w:rsidRPr="00873B6C" w:rsidRDefault="00A13197" w:rsidP="002C4A81">
            <w:pPr>
              <w:pStyle w:val="TAL"/>
              <w:rPr>
                <w:sz w:val="16"/>
                <w:szCs w:val="16"/>
              </w:rPr>
            </w:pPr>
            <w:r w:rsidRPr="00873B6C">
              <w:rPr>
                <w:sz w:val="16"/>
                <w:szCs w:val="16"/>
              </w:rPr>
              <w:t>Clarifying the use of TSS information in UMIC</w:t>
            </w:r>
          </w:p>
        </w:tc>
        <w:tc>
          <w:tcPr>
            <w:tcW w:w="708" w:type="dxa"/>
            <w:shd w:val="solid" w:color="FFFFFF" w:fill="auto"/>
          </w:tcPr>
          <w:p w14:paraId="25873C05" w14:textId="6434A42E" w:rsidR="00A13197" w:rsidRPr="00873B6C" w:rsidRDefault="00A13197" w:rsidP="002C4A81">
            <w:pPr>
              <w:pStyle w:val="TAC"/>
              <w:rPr>
                <w:sz w:val="16"/>
                <w:szCs w:val="16"/>
              </w:rPr>
            </w:pPr>
            <w:r w:rsidRPr="00873B6C">
              <w:rPr>
                <w:sz w:val="16"/>
                <w:szCs w:val="16"/>
              </w:rPr>
              <w:t>18.2.0</w:t>
            </w:r>
          </w:p>
        </w:tc>
      </w:tr>
      <w:tr w:rsidR="00A13197" w:rsidRPr="00873B6C" w14:paraId="2C59A391" w14:textId="77777777" w:rsidTr="009D14FB">
        <w:tc>
          <w:tcPr>
            <w:tcW w:w="800" w:type="dxa"/>
            <w:shd w:val="solid" w:color="FFFFFF" w:fill="auto"/>
          </w:tcPr>
          <w:p w14:paraId="39AED191" w14:textId="05E4BCAF"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2AA8231" w14:textId="3327323C"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62515576" w14:textId="65F5A1BA" w:rsidR="00A13197" w:rsidRPr="00873B6C" w:rsidRDefault="00A13197" w:rsidP="002C4A81">
            <w:pPr>
              <w:pStyle w:val="TAC"/>
              <w:rPr>
                <w:sz w:val="16"/>
                <w:szCs w:val="16"/>
              </w:rPr>
            </w:pPr>
            <w:r w:rsidRPr="00873B6C">
              <w:rPr>
                <w:sz w:val="16"/>
                <w:szCs w:val="16"/>
              </w:rPr>
              <w:t>SP-230493</w:t>
            </w:r>
          </w:p>
        </w:tc>
        <w:tc>
          <w:tcPr>
            <w:tcW w:w="567" w:type="dxa"/>
            <w:shd w:val="solid" w:color="FFFFFF" w:fill="auto"/>
          </w:tcPr>
          <w:p w14:paraId="65486A88" w14:textId="01BEE52B" w:rsidR="00A13197" w:rsidRPr="00873B6C" w:rsidRDefault="00A13197" w:rsidP="002C4A81">
            <w:pPr>
              <w:pStyle w:val="TAL"/>
              <w:rPr>
                <w:sz w:val="16"/>
                <w:szCs w:val="16"/>
              </w:rPr>
            </w:pPr>
            <w:r w:rsidRPr="00873B6C">
              <w:rPr>
                <w:sz w:val="16"/>
                <w:szCs w:val="16"/>
              </w:rPr>
              <w:t>4581</w:t>
            </w:r>
          </w:p>
        </w:tc>
        <w:tc>
          <w:tcPr>
            <w:tcW w:w="425" w:type="dxa"/>
            <w:shd w:val="solid" w:color="FFFFFF" w:fill="auto"/>
          </w:tcPr>
          <w:p w14:paraId="262BCC02" w14:textId="136A4D09"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793E3214" w14:textId="7019FE67"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621422CC" w14:textId="3041A5BD" w:rsidR="00A13197" w:rsidRPr="00873B6C" w:rsidRDefault="00A13197" w:rsidP="002C4A81">
            <w:pPr>
              <w:pStyle w:val="TAL"/>
              <w:rPr>
                <w:sz w:val="16"/>
                <w:szCs w:val="16"/>
              </w:rPr>
            </w:pPr>
            <w:r w:rsidRPr="00873B6C">
              <w:rPr>
                <w:sz w:val="16"/>
                <w:szCs w:val="16"/>
              </w:rPr>
              <w:t>Parameters for AF Request Authorization</w:t>
            </w:r>
          </w:p>
        </w:tc>
        <w:tc>
          <w:tcPr>
            <w:tcW w:w="708" w:type="dxa"/>
            <w:shd w:val="solid" w:color="FFFFFF" w:fill="auto"/>
          </w:tcPr>
          <w:p w14:paraId="3987DDED" w14:textId="618001ED" w:rsidR="00A13197" w:rsidRPr="00873B6C" w:rsidRDefault="00A13197" w:rsidP="002C4A81">
            <w:pPr>
              <w:pStyle w:val="TAC"/>
              <w:rPr>
                <w:sz w:val="16"/>
                <w:szCs w:val="16"/>
              </w:rPr>
            </w:pPr>
            <w:r w:rsidRPr="00873B6C">
              <w:rPr>
                <w:sz w:val="16"/>
                <w:szCs w:val="16"/>
              </w:rPr>
              <w:t>18.2.0</w:t>
            </w:r>
          </w:p>
        </w:tc>
      </w:tr>
      <w:tr w:rsidR="006E26ED" w:rsidRPr="00873B6C" w14:paraId="0960555E" w14:textId="77777777" w:rsidTr="009D14FB">
        <w:tc>
          <w:tcPr>
            <w:tcW w:w="800" w:type="dxa"/>
            <w:shd w:val="solid" w:color="FFFFFF" w:fill="auto"/>
          </w:tcPr>
          <w:p w14:paraId="510CD4C3" w14:textId="4FB7B138"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744B303A" w14:textId="5516826A"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038616C9" w14:textId="1D963F92" w:rsidR="006E26ED" w:rsidRPr="00873B6C" w:rsidRDefault="006E26ED" w:rsidP="002C4A81">
            <w:pPr>
              <w:pStyle w:val="TAC"/>
              <w:rPr>
                <w:sz w:val="16"/>
                <w:szCs w:val="16"/>
              </w:rPr>
            </w:pPr>
            <w:r w:rsidRPr="00873B6C">
              <w:rPr>
                <w:sz w:val="16"/>
                <w:szCs w:val="16"/>
              </w:rPr>
              <w:t>SP-230473</w:t>
            </w:r>
          </w:p>
        </w:tc>
        <w:tc>
          <w:tcPr>
            <w:tcW w:w="567" w:type="dxa"/>
            <w:shd w:val="solid" w:color="FFFFFF" w:fill="auto"/>
          </w:tcPr>
          <w:p w14:paraId="4A24DE48" w14:textId="5B960AE0" w:rsidR="006E26ED" w:rsidRPr="00873B6C" w:rsidRDefault="006E26ED" w:rsidP="002C4A81">
            <w:pPr>
              <w:pStyle w:val="TAL"/>
              <w:rPr>
                <w:sz w:val="16"/>
                <w:szCs w:val="16"/>
              </w:rPr>
            </w:pPr>
            <w:r w:rsidRPr="00873B6C">
              <w:rPr>
                <w:sz w:val="16"/>
                <w:szCs w:val="16"/>
              </w:rPr>
              <w:t>4584</w:t>
            </w:r>
          </w:p>
        </w:tc>
        <w:tc>
          <w:tcPr>
            <w:tcW w:w="425" w:type="dxa"/>
            <w:shd w:val="solid" w:color="FFFFFF" w:fill="auto"/>
          </w:tcPr>
          <w:p w14:paraId="03705204" w14:textId="262C2292"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07071F79" w14:textId="063703CC"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374F2B64" w14:textId="07996AE6" w:rsidR="006E26ED" w:rsidRPr="00873B6C" w:rsidRDefault="006E26ED" w:rsidP="002C4A81">
            <w:pPr>
              <w:pStyle w:val="TAL"/>
              <w:rPr>
                <w:sz w:val="16"/>
                <w:szCs w:val="16"/>
              </w:rPr>
            </w:pPr>
            <w:r w:rsidRPr="00873B6C">
              <w:rPr>
                <w:sz w:val="16"/>
                <w:szCs w:val="16"/>
              </w:rPr>
              <w:t>Resolving open issues for Network Slice Area of Service</w:t>
            </w:r>
          </w:p>
        </w:tc>
        <w:tc>
          <w:tcPr>
            <w:tcW w:w="708" w:type="dxa"/>
            <w:shd w:val="solid" w:color="FFFFFF" w:fill="auto"/>
          </w:tcPr>
          <w:p w14:paraId="73406B46" w14:textId="23A6BF77" w:rsidR="006E26ED" w:rsidRPr="00873B6C" w:rsidRDefault="006E26ED" w:rsidP="002C4A81">
            <w:pPr>
              <w:pStyle w:val="TAC"/>
              <w:rPr>
                <w:sz w:val="16"/>
                <w:szCs w:val="16"/>
              </w:rPr>
            </w:pPr>
            <w:r w:rsidRPr="00873B6C">
              <w:rPr>
                <w:sz w:val="16"/>
                <w:szCs w:val="16"/>
              </w:rPr>
              <w:t>18.2.0</w:t>
            </w:r>
          </w:p>
        </w:tc>
      </w:tr>
      <w:tr w:rsidR="006E26ED" w:rsidRPr="00873B6C" w14:paraId="4CAC2C96" w14:textId="77777777" w:rsidTr="009D14FB">
        <w:tc>
          <w:tcPr>
            <w:tcW w:w="800" w:type="dxa"/>
            <w:shd w:val="solid" w:color="FFFFFF" w:fill="auto"/>
          </w:tcPr>
          <w:p w14:paraId="3E04544D" w14:textId="04375009"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4722DCDF" w14:textId="59061F11"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1F803B1E" w14:textId="2BEF61F4" w:rsidR="006E26ED" w:rsidRPr="00873B6C" w:rsidRDefault="006E26ED" w:rsidP="002C4A81">
            <w:pPr>
              <w:pStyle w:val="TAC"/>
              <w:rPr>
                <w:sz w:val="16"/>
                <w:szCs w:val="16"/>
              </w:rPr>
            </w:pPr>
            <w:r w:rsidRPr="00873B6C">
              <w:rPr>
                <w:sz w:val="16"/>
                <w:szCs w:val="16"/>
              </w:rPr>
              <w:t>SP-230473</w:t>
            </w:r>
          </w:p>
        </w:tc>
        <w:tc>
          <w:tcPr>
            <w:tcW w:w="567" w:type="dxa"/>
            <w:shd w:val="solid" w:color="FFFFFF" w:fill="auto"/>
          </w:tcPr>
          <w:p w14:paraId="1568BB27" w14:textId="5AE2B90C" w:rsidR="006E26ED" w:rsidRPr="00873B6C" w:rsidRDefault="006E26ED" w:rsidP="002C4A81">
            <w:pPr>
              <w:pStyle w:val="TAL"/>
              <w:rPr>
                <w:sz w:val="16"/>
                <w:szCs w:val="16"/>
              </w:rPr>
            </w:pPr>
            <w:r w:rsidRPr="00873B6C">
              <w:rPr>
                <w:sz w:val="16"/>
                <w:szCs w:val="16"/>
              </w:rPr>
              <w:t>4585</w:t>
            </w:r>
          </w:p>
        </w:tc>
        <w:tc>
          <w:tcPr>
            <w:tcW w:w="425" w:type="dxa"/>
            <w:shd w:val="solid" w:color="FFFFFF" w:fill="auto"/>
          </w:tcPr>
          <w:p w14:paraId="6DE0850E" w14:textId="46E1F473"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595D6BA3" w14:textId="656BB99D"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6FF7284D" w14:textId="70BCB411" w:rsidR="006E26ED" w:rsidRPr="00873B6C" w:rsidRDefault="006E26ED" w:rsidP="002C4A81">
            <w:pPr>
              <w:pStyle w:val="TAL"/>
              <w:rPr>
                <w:sz w:val="16"/>
                <w:szCs w:val="16"/>
              </w:rPr>
            </w:pPr>
            <w:r w:rsidRPr="00873B6C">
              <w:rPr>
                <w:sz w:val="16"/>
                <w:szCs w:val="16"/>
              </w:rPr>
              <w:t>Target NSSAI configuration considering Partial Network Slice support in a Registration Area</w:t>
            </w:r>
          </w:p>
        </w:tc>
        <w:tc>
          <w:tcPr>
            <w:tcW w:w="708" w:type="dxa"/>
            <w:shd w:val="solid" w:color="FFFFFF" w:fill="auto"/>
          </w:tcPr>
          <w:p w14:paraId="77D1F4E0" w14:textId="1254EFEE" w:rsidR="006E26ED" w:rsidRPr="00873B6C" w:rsidRDefault="006E26ED" w:rsidP="002C4A81">
            <w:pPr>
              <w:pStyle w:val="TAC"/>
              <w:rPr>
                <w:sz w:val="16"/>
                <w:szCs w:val="16"/>
              </w:rPr>
            </w:pPr>
            <w:r w:rsidRPr="00873B6C">
              <w:rPr>
                <w:sz w:val="16"/>
                <w:szCs w:val="16"/>
              </w:rPr>
              <w:t>18.2.0</w:t>
            </w:r>
          </w:p>
        </w:tc>
      </w:tr>
      <w:tr w:rsidR="006E26ED" w:rsidRPr="00873B6C" w14:paraId="2F5712BA" w14:textId="77777777" w:rsidTr="009D14FB">
        <w:tc>
          <w:tcPr>
            <w:tcW w:w="800" w:type="dxa"/>
            <w:shd w:val="solid" w:color="FFFFFF" w:fill="auto"/>
          </w:tcPr>
          <w:p w14:paraId="44D1BB99" w14:textId="3A763972"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3D16B30D" w14:textId="64869604"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2ADFC4BA" w14:textId="36A3401D" w:rsidR="006E26ED" w:rsidRPr="00873B6C" w:rsidRDefault="006E26ED" w:rsidP="002C4A81">
            <w:pPr>
              <w:pStyle w:val="TAC"/>
              <w:rPr>
                <w:sz w:val="16"/>
                <w:szCs w:val="16"/>
              </w:rPr>
            </w:pPr>
            <w:r w:rsidRPr="00873B6C">
              <w:rPr>
                <w:sz w:val="16"/>
                <w:szCs w:val="16"/>
              </w:rPr>
              <w:t>SP-230473</w:t>
            </w:r>
          </w:p>
        </w:tc>
        <w:tc>
          <w:tcPr>
            <w:tcW w:w="567" w:type="dxa"/>
            <w:shd w:val="solid" w:color="FFFFFF" w:fill="auto"/>
          </w:tcPr>
          <w:p w14:paraId="658AE697" w14:textId="1A35FBDC" w:rsidR="006E26ED" w:rsidRPr="00873B6C" w:rsidRDefault="006E26ED" w:rsidP="002C4A81">
            <w:pPr>
              <w:pStyle w:val="TAL"/>
              <w:rPr>
                <w:sz w:val="16"/>
                <w:szCs w:val="16"/>
              </w:rPr>
            </w:pPr>
            <w:r w:rsidRPr="00873B6C">
              <w:rPr>
                <w:sz w:val="16"/>
                <w:szCs w:val="16"/>
              </w:rPr>
              <w:t>4586</w:t>
            </w:r>
          </w:p>
        </w:tc>
        <w:tc>
          <w:tcPr>
            <w:tcW w:w="425" w:type="dxa"/>
            <w:shd w:val="solid" w:color="FFFFFF" w:fill="auto"/>
          </w:tcPr>
          <w:p w14:paraId="1CBD1296" w14:textId="240BE9AF"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1C7ED544" w14:textId="7810B257"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48C86433" w14:textId="3396B6A8" w:rsidR="006E26ED" w:rsidRPr="00873B6C" w:rsidRDefault="006E26ED" w:rsidP="002C4A81">
            <w:pPr>
              <w:pStyle w:val="TAL"/>
              <w:rPr>
                <w:sz w:val="16"/>
                <w:szCs w:val="16"/>
              </w:rPr>
            </w:pPr>
            <w:r w:rsidRPr="00873B6C">
              <w:rPr>
                <w:sz w:val="16"/>
                <w:szCs w:val="16"/>
              </w:rPr>
              <w:t>Number of S-NSSAIs in Partially Allowed NSSAI</w:t>
            </w:r>
          </w:p>
        </w:tc>
        <w:tc>
          <w:tcPr>
            <w:tcW w:w="708" w:type="dxa"/>
            <w:shd w:val="solid" w:color="FFFFFF" w:fill="auto"/>
          </w:tcPr>
          <w:p w14:paraId="4AB8D1D7" w14:textId="37EA1908" w:rsidR="006E26ED" w:rsidRPr="00873B6C" w:rsidRDefault="006E26ED" w:rsidP="002C4A81">
            <w:pPr>
              <w:pStyle w:val="TAC"/>
              <w:rPr>
                <w:sz w:val="16"/>
                <w:szCs w:val="16"/>
              </w:rPr>
            </w:pPr>
            <w:r w:rsidRPr="00873B6C">
              <w:rPr>
                <w:sz w:val="16"/>
                <w:szCs w:val="16"/>
              </w:rPr>
              <w:t>18.2.0</w:t>
            </w:r>
          </w:p>
        </w:tc>
      </w:tr>
      <w:tr w:rsidR="006E26ED" w:rsidRPr="00873B6C" w14:paraId="68B7DDD3" w14:textId="77777777" w:rsidTr="009D14FB">
        <w:tc>
          <w:tcPr>
            <w:tcW w:w="800" w:type="dxa"/>
            <w:shd w:val="solid" w:color="FFFFFF" w:fill="auto"/>
          </w:tcPr>
          <w:p w14:paraId="175D2475" w14:textId="70C5C695"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6B4C64A8" w14:textId="6E6047A6"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6CBE7E29" w14:textId="0A7F897D" w:rsidR="006E26ED" w:rsidRPr="00873B6C" w:rsidRDefault="006E26ED" w:rsidP="002C4A81">
            <w:pPr>
              <w:pStyle w:val="TAC"/>
              <w:rPr>
                <w:sz w:val="16"/>
                <w:szCs w:val="16"/>
              </w:rPr>
            </w:pPr>
            <w:r w:rsidRPr="00873B6C">
              <w:rPr>
                <w:sz w:val="16"/>
                <w:szCs w:val="16"/>
              </w:rPr>
              <w:t>SP-230497</w:t>
            </w:r>
          </w:p>
        </w:tc>
        <w:tc>
          <w:tcPr>
            <w:tcW w:w="567" w:type="dxa"/>
            <w:shd w:val="solid" w:color="FFFFFF" w:fill="auto"/>
          </w:tcPr>
          <w:p w14:paraId="62FAD1EB" w14:textId="7EA99F84" w:rsidR="006E26ED" w:rsidRPr="00873B6C" w:rsidRDefault="006E26ED" w:rsidP="002C4A81">
            <w:pPr>
              <w:pStyle w:val="TAL"/>
              <w:rPr>
                <w:sz w:val="16"/>
                <w:szCs w:val="16"/>
              </w:rPr>
            </w:pPr>
            <w:r w:rsidRPr="00873B6C">
              <w:rPr>
                <w:sz w:val="16"/>
                <w:szCs w:val="16"/>
              </w:rPr>
              <w:t>4587</w:t>
            </w:r>
          </w:p>
        </w:tc>
        <w:tc>
          <w:tcPr>
            <w:tcW w:w="425" w:type="dxa"/>
            <w:shd w:val="solid" w:color="FFFFFF" w:fill="auto"/>
          </w:tcPr>
          <w:p w14:paraId="4B541B48" w14:textId="4C5980AA"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74A77D1C" w14:textId="20A9E163" w:rsidR="006E26ED" w:rsidRPr="00873B6C" w:rsidRDefault="006E26ED" w:rsidP="002C4A81">
            <w:pPr>
              <w:pStyle w:val="TAL"/>
              <w:rPr>
                <w:sz w:val="16"/>
                <w:szCs w:val="16"/>
              </w:rPr>
            </w:pPr>
            <w:r w:rsidRPr="00873B6C">
              <w:rPr>
                <w:sz w:val="16"/>
                <w:szCs w:val="16"/>
              </w:rPr>
              <w:t>F</w:t>
            </w:r>
          </w:p>
        </w:tc>
        <w:tc>
          <w:tcPr>
            <w:tcW w:w="4820" w:type="dxa"/>
            <w:shd w:val="solid" w:color="FFFFFF" w:fill="auto"/>
          </w:tcPr>
          <w:p w14:paraId="587780D9" w14:textId="30384E76" w:rsidR="006E26ED" w:rsidRPr="00873B6C" w:rsidRDefault="006E26ED" w:rsidP="002C4A81">
            <w:pPr>
              <w:pStyle w:val="TAL"/>
              <w:rPr>
                <w:sz w:val="16"/>
                <w:szCs w:val="16"/>
              </w:rPr>
            </w:pPr>
            <w:r w:rsidRPr="00873B6C">
              <w:rPr>
                <w:sz w:val="16"/>
                <w:szCs w:val="16"/>
              </w:rPr>
              <w:t>Clarification on the usage of TSCAI for XRM services</w:t>
            </w:r>
          </w:p>
        </w:tc>
        <w:tc>
          <w:tcPr>
            <w:tcW w:w="708" w:type="dxa"/>
            <w:shd w:val="solid" w:color="FFFFFF" w:fill="auto"/>
          </w:tcPr>
          <w:p w14:paraId="7B96F166" w14:textId="7B26C0E2" w:rsidR="006E26ED" w:rsidRPr="00873B6C" w:rsidRDefault="006E26ED" w:rsidP="002C4A81">
            <w:pPr>
              <w:pStyle w:val="TAC"/>
              <w:rPr>
                <w:sz w:val="16"/>
                <w:szCs w:val="16"/>
              </w:rPr>
            </w:pPr>
            <w:r w:rsidRPr="00873B6C">
              <w:rPr>
                <w:sz w:val="16"/>
                <w:szCs w:val="16"/>
              </w:rPr>
              <w:t>18.2.0</w:t>
            </w:r>
          </w:p>
        </w:tc>
      </w:tr>
      <w:tr w:rsidR="006E26ED" w:rsidRPr="00873B6C" w14:paraId="5C891797" w14:textId="77777777" w:rsidTr="009D14FB">
        <w:tc>
          <w:tcPr>
            <w:tcW w:w="800" w:type="dxa"/>
            <w:shd w:val="solid" w:color="FFFFFF" w:fill="auto"/>
          </w:tcPr>
          <w:p w14:paraId="7A4D43DF" w14:textId="125AD4B9"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0131C285" w14:textId="419F8104"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6D000935" w14:textId="204A41E9" w:rsidR="006E26ED" w:rsidRPr="00873B6C" w:rsidRDefault="006E26ED" w:rsidP="002C4A81">
            <w:pPr>
              <w:pStyle w:val="TAC"/>
              <w:rPr>
                <w:sz w:val="16"/>
                <w:szCs w:val="16"/>
              </w:rPr>
            </w:pPr>
            <w:r w:rsidRPr="00873B6C">
              <w:rPr>
                <w:sz w:val="16"/>
                <w:szCs w:val="16"/>
              </w:rPr>
              <w:t>SP-230469</w:t>
            </w:r>
          </w:p>
        </w:tc>
        <w:tc>
          <w:tcPr>
            <w:tcW w:w="567" w:type="dxa"/>
            <w:shd w:val="solid" w:color="FFFFFF" w:fill="auto"/>
          </w:tcPr>
          <w:p w14:paraId="356E2C7E" w14:textId="1F255F0E" w:rsidR="006E26ED" w:rsidRPr="00873B6C" w:rsidRDefault="006E26ED" w:rsidP="002C4A81">
            <w:pPr>
              <w:pStyle w:val="TAL"/>
              <w:rPr>
                <w:sz w:val="16"/>
                <w:szCs w:val="16"/>
              </w:rPr>
            </w:pPr>
            <w:r w:rsidRPr="00873B6C">
              <w:rPr>
                <w:sz w:val="16"/>
                <w:szCs w:val="16"/>
              </w:rPr>
              <w:t>4589</w:t>
            </w:r>
          </w:p>
        </w:tc>
        <w:tc>
          <w:tcPr>
            <w:tcW w:w="425" w:type="dxa"/>
            <w:shd w:val="solid" w:color="FFFFFF" w:fill="auto"/>
          </w:tcPr>
          <w:p w14:paraId="5EADB4EA" w14:textId="77BC6570" w:rsidR="006E26ED" w:rsidRPr="00873B6C" w:rsidRDefault="006E26ED" w:rsidP="002C4A81">
            <w:pPr>
              <w:pStyle w:val="TAL"/>
              <w:rPr>
                <w:sz w:val="16"/>
                <w:szCs w:val="16"/>
              </w:rPr>
            </w:pPr>
            <w:r w:rsidRPr="00873B6C">
              <w:rPr>
                <w:sz w:val="16"/>
                <w:szCs w:val="16"/>
              </w:rPr>
              <w:t>1</w:t>
            </w:r>
          </w:p>
        </w:tc>
        <w:tc>
          <w:tcPr>
            <w:tcW w:w="425" w:type="dxa"/>
            <w:shd w:val="solid" w:color="FFFFFF" w:fill="auto"/>
          </w:tcPr>
          <w:p w14:paraId="4902585D" w14:textId="118C7339"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7A04BC14" w14:textId="542D1D29" w:rsidR="006E26ED" w:rsidRPr="00873B6C" w:rsidRDefault="006E26ED" w:rsidP="002C4A81">
            <w:pPr>
              <w:pStyle w:val="TAL"/>
              <w:rPr>
                <w:sz w:val="16"/>
                <w:szCs w:val="16"/>
              </w:rPr>
            </w:pPr>
            <w:r w:rsidRPr="00873B6C">
              <w:rPr>
                <w:sz w:val="16"/>
                <w:szCs w:val="16"/>
              </w:rPr>
              <w:t>Clarification for NWDAF in roaming architecture</w:t>
            </w:r>
          </w:p>
        </w:tc>
        <w:tc>
          <w:tcPr>
            <w:tcW w:w="708" w:type="dxa"/>
            <w:shd w:val="solid" w:color="FFFFFF" w:fill="auto"/>
          </w:tcPr>
          <w:p w14:paraId="22B0325E" w14:textId="61C4845C" w:rsidR="006E26ED" w:rsidRPr="00873B6C" w:rsidRDefault="006E26ED" w:rsidP="002C4A81">
            <w:pPr>
              <w:pStyle w:val="TAC"/>
              <w:rPr>
                <w:sz w:val="16"/>
                <w:szCs w:val="16"/>
              </w:rPr>
            </w:pPr>
            <w:r w:rsidRPr="00873B6C">
              <w:rPr>
                <w:sz w:val="16"/>
                <w:szCs w:val="16"/>
              </w:rPr>
              <w:t>18.2.0</w:t>
            </w:r>
          </w:p>
        </w:tc>
      </w:tr>
      <w:tr w:rsidR="006E26ED" w:rsidRPr="00873B6C" w14:paraId="0EBE7D76" w14:textId="77777777" w:rsidTr="009D14FB">
        <w:tc>
          <w:tcPr>
            <w:tcW w:w="800" w:type="dxa"/>
            <w:shd w:val="solid" w:color="FFFFFF" w:fill="auto"/>
          </w:tcPr>
          <w:p w14:paraId="53B70C04" w14:textId="3CDFCBB8"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3054E6AC" w14:textId="70971FFE"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44221991" w14:textId="4254EA5E" w:rsidR="006E26ED" w:rsidRPr="00873B6C" w:rsidRDefault="006E26ED" w:rsidP="002C4A81">
            <w:pPr>
              <w:pStyle w:val="TAC"/>
              <w:rPr>
                <w:sz w:val="16"/>
                <w:szCs w:val="16"/>
              </w:rPr>
            </w:pPr>
            <w:r w:rsidRPr="00873B6C">
              <w:rPr>
                <w:sz w:val="16"/>
                <w:szCs w:val="16"/>
              </w:rPr>
              <w:t>SP-230469</w:t>
            </w:r>
          </w:p>
        </w:tc>
        <w:tc>
          <w:tcPr>
            <w:tcW w:w="567" w:type="dxa"/>
            <w:shd w:val="solid" w:color="FFFFFF" w:fill="auto"/>
          </w:tcPr>
          <w:p w14:paraId="6B3BBBA5" w14:textId="70B33E6B" w:rsidR="006E26ED" w:rsidRPr="00873B6C" w:rsidRDefault="006E26ED" w:rsidP="002C4A81">
            <w:pPr>
              <w:pStyle w:val="TAL"/>
              <w:rPr>
                <w:sz w:val="16"/>
                <w:szCs w:val="16"/>
              </w:rPr>
            </w:pPr>
            <w:r w:rsidRPr="00873B6C">
              <w:rPr>
                <w:sz w:val="16"/>
                <w:szCs w:val="16"/>
              </w:rPr>
              <w:t>4590</w:t>
            </w:r>
          </w:p>
        </w:tc>
        <w:tc>
          <w:tcPr>
            <w:tcW w:w="425" w:type="dxa"/>
            <w:shd w:val="solid" w:color="FFFFFF" w:fill="auto"/>
          </w:tcPr>
          <w:p w14:paraId="6D9A9F53" w14:textId="276E857C"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5FDF330E" w14:textId="5603AE34"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10B67C53" w14:textId="663ED7A8" w:rsidR="006E26ED" w:rsidRPr="00873B6C" w:rsidRDefault="006E26ED" w:rsidP="002C4A81">
            <w:pPr>
              <w:pStyle w:val="TAL"/>
              <w:rPr>
                <w:sz w:val="16"/>
                <w:szCs w:val="16"/>
              </w:rPr>
            </w:pPr>
            <w:r w:rsidRPr="00873B6C">
              <w:rPr>
                <w:sz w:val="16"/>
                <w:szCs w:val="16"/>
              </w:rPr>
              <w:t xml:space="preserve">Clarification of RE-NWDAF discovery </w:t>
            </w:r>
          </w:p>
        </w:tc>
        <w:tc>
          <w:tcPr>
            <w:tcW w:w="708" w:type="dxa"/>
            <w:shd w:val="solid" w:color="FFFFFF" w:fill="auto"/>
          </w:tcPr>
          <w:p w14:paraId="43CC46A2" w14:textId="13E42EE9" w:rsidR="006E26ED" w:rsidRPr="00873B6C" w:rsidRDefault="006E26ED" w:rsidP="002C4A81">
            <w:pPr>
              <w:pStyle w:val="TAC"/>
              <w:rPr>
                <w:sz w:val="16"/>
                <w:szCs w:val="16"/>
              </w:rPr>
            </w:pPr>
            <w:r w:rsidRPr="00873B6C">
              <w:rPr>
                <w:sz w:val="16"/>
                <w:szCs w:val="16"/>
              </w:rPr>
              <w:t>18.2.0</w:t>
            </w:r>
          </w:p>
        </w:tc>
      </w:tr>
      <w:tr w:rsidR="006E26ED" w:rsidRPr="00873B6C" w14:paraId="6264FD75" w14:textId="77777777" w:rsidTr="009D14FB">
        <w:tc>
          <w:tcPr>
            <w:tcW w:w="800" w:type="dxa"/>
            <w:shd w:val="solid" w:color="FFFFFF" w:fill="auto"/>
          </w:tcPr>
          <w:p w14:paraId="7960D118" w14:textId="575C5B9A"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124281A7" w14:textId="0D330495"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1C74A7EE" w14:textId="104404F5" w:rsidR="006E26ED" w:rsidRPr="00873B6C" w:rsidRDefault="006E26ED" w:rsidP="002C4A81">
            <w:pPr>
              <w:pStyle w:val="TAC"/>
              <w:rPr>
                <w:sz w:val="16"/>
                <w:szCs w:val="16"/>
              </w:rPr>
            </w:pPr>
            <w:r w:rsidRPr="00873B6C">
              <w:rPr>
                <w:sz w:val="16"/>
                <w:szCs w:val="16"/>
              </w:rPr>
              <w:t>SP-230457</w:t>
            </w:r>
          </w:p>
        </w:tc>
        <w:tc>
          <w:tcPr>
            <w:tcW w:w="567" w:type="dxa"/>
            <w:shd w:val="solid" w:color="FFFFFF" w:fill="auto"/>
          </w:tcPr>
          <w:p w14:paraId="425B1B25" w14:textId="79436F3D" w:rsidR="006E26ED" w:rsidRPr="00873B6C" w:rsidRDefault="006E26ED" w:rsidP="002C4A81">
            <w:pPr>
              <w:pStyle w:val="TAL"/>
              <w:rPr>
                <w:sz w:val="16"/>
                <w:szCs w:val="16"/>
              </w:rPr>
            </w:pPr>
            <w:r w:rsidRPr="00873B6C">
              <w:rPr>
                <w:sz w:val="16"/>
                <w:szCs w:val="16"/>
              </w:rPr>
              <w:t>4591</w:t>
            </w:r>
          </w:p>
        </w:tc>
        <w:tc>
          <w:tcPr>
            <w:tcW w:w="425" w:type="dxa"/>
            <w:shd w:val="solid" w:color="FFFFFF" w:fill="auto"/>
          </w:tcPr>
          <w:p w14:paraId="3C2D316F" w14:textId="2B0F7052"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2CCE44BE" w14:textId="0A54C8B1" w:rsidR="006E26ED" w:rsidRPr="00873B6C" w:rsidRDefault="006E26ED" w:rsidP="002C4A81">
            <w:pPr>
              <w:pStyle w:val="TAL"/>
              <w:rPr>
                <w:sz w:val="16"/>
                <w:szCs w:val="16"/>
              </w:rPr>
            </w:pPr>
            <w:r w:rsidRPr="00873B6C">
              <w:rPr>
                <w:sz w:val="16"/>
                <w:szCs w:val="16"/>
              </w:rPr>
              <w:t>B</w:t>
            </w:r>
          </w:p>
        </w:tc>
        <w:tc>
          <w:tcPr>
            <w:tcW w:w="4820" w:type="dxa"/>
            <w:shd w:val="solid" w:color="FFFFFF" w:fill="auto"/>
          </w:tcPr>
          <w:p w14:paraId="00300990" w14:textId="71A3EC0A" w:rsidR="006E26ED" w:rsidRPr="00873B6C" w:rsidRDefault="006E26ED" w:rsidP="002C4A81">
            <w:pPr>
              <w:pStyle w:val="TAL"/>
              <w:rPr>
                <w:sz w:val="16"/>
                <w:szCs w:val="16"/>
              </w:rPr>
            </w:pPr>
            <w:r w:rsidRPr="00873B6C">
              <w:rPr>
                <w:sz w:val="16"/>
                <w:szCs w:val="16"/>
              </w:rPr>
              <w:t>NEF capability for the new AIML service</w:t>
            </w:r>
          </w:p>
        </w:tc>
        <w:tc>
          <w:tcPr>
            <w:tcW w:w="708" w:type="dxa"/>
            <w:shd w:val="solid" w:color="FFFFFF" w:fill="auto"/>
          </w:tcPr>
          <w:p w14:paraId="4DEB994D" w14:textId="38A32F3F" w:rsidR="006E26ED" w:rsidRPr="00873B6C" w:rsidRDefault="006E26ED" w:rsidP="002C4A81">
            <w:pPr>
              <w:pStyle w:val="TAC"/>
              <w:rPr>
                <w:sz w:val="16"/>
                <w:szCs w:val="16"/>
              </w:rPr>
            </w:pPr>
            <w:r w:rsidRPr="00873B6C">
              <w:rPr>
                <w:sz w:val="16"/>
                <w:szCs w:val="16"/>
              </w:rPr>
              <w:t>18.2.0</w:t>
            </w:r>
          </w:p>
        </w:tc>
      </w:tr>
      <w:tr w:rsidR="006E26ED" w:rsidRPr="00873B6C" w14:paraId="3B2CDEC8" w14:textId="77777777" w:rsidTr="009D14FB">
        <w:tc>
          <w:tcPr>
            <w:tcW w:w="800" w:type="dxa"/>
            <w:shd w:val="solid" w:color="FFFFFF" w:fill="auto"/>
          </w:tcPr>
          <w:p w14:paraId="6E5A2718" w14:textId="436B6889"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139ABA8F" w14:textId="0A962D5C"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31F3B6B9" w14:textId="6183D800" w:rsidR="006E26ED" w:rsidRPr="00873B6C" w:rsidRDefault="006E26ED" w:rsidP="002C4A81">
            <w:pPr>
              <w:pStyle w:val="TAC"/>
              <w:rPr>
                <w:sz w:val="16"/>
                <w:szCs w:val="16"/>
              </w:rPr>
            </w:pPr>
            <w:r w:rsidRPr="00873B6C">
              <w:rPr>
                <w:sz w:val="16"/>
                <w:szCs w:val="16"/>
              </w:rPr>
              <w:t>SP-230493</w:t>
            </w:r>
          </w:p>
        </w:tc>
        <w:tc>
          <w:tcPr>
            <w:tcW w:w="567" w:type="dxa"/>
            <w:shd w:val="solid" w:color="FFFFFF" w:fill="auto"/>
          </w:tcPr>
          <w:p w14:paraId="6DB5A894" w14:textId="3E56D0E1" w:rsidR="006E26ED" w:rsidRPr="00873B6C" w:rsidRDefault="006E26ED" w:rsidP="002C4A81">
            <w:pPr>
              <w:pStyle w:val="TAL"/>
              <w:rPr>
                <w:sz w:val="16"/>
                <w:szCs w:val="16"/>
              </w:rPr>
            </w:pPr>
            <w:r w:rsidRPr="00873B6C">
              <w:rPr>
                <w:sz w:val="16"/>
                <w:szCs w:val="16"/>
              </w:rPr>
              <w:t>4592</w:t>
            </w:r>
          </w:p>
        </w:tc>
        <w:tc>
          <w:tcPr>
            <w:tcW w:w="425" w:type="dxa"/>
            <w:shd w:val="solid" w:color="FFFFFF" w:fill="auto"/>
          </w:tcPr>
          <w:p w14:paraId="6D1119A5" w14:textId="239812E5"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4411ADBA" w14:textId="1C1995CA" w:rsidR="006E26ED" w:rsidRPr="00873B6C" w:rsidRDefault="006E26ED" w:rsidP="002C4A81">
            <w:pPr>
              <w:pStyle w:val="TAL"/>
              <w:rPr>
                <w:sz w:val="16"/>
                <w:szCs w:val="16"/>
              </w:rPr>
            </w:pPr>
            <w:r w:rsidRPr="00873B6C">
              <w:rPr>
                <w:sz w:val="16"/>
                <w:szCs w:val="16"/>
              </w:rPr>
              <w:t>B</w:t>
            </w:r>
          </w:p>
        </w:tc>
        <w:tc>
          <w:tcPr>
            <w:tcW w:w="4820" w:type="dxa"/>
            <w:shd w:val="solid" w:color="FFFFFF" w:fill="auto"/>
          </w:tcPr>
          <w:p w14:paraId="754289DD" w14:textId="1C941B82" w:rsidR="006E26ED" w:rsidRPr="00873B6C" w:rsidRDefault="006E26ED" w:rsidP="002C4A81">
            <w:pPr>
              <w:pStyle w:val="TAL"/>
              <w:rPr>
                <w:sz w:val="16"/>
                <w:szCs w:val="16"/>
              </w:rPr>
            </w:pPr>
            <w:r w:rsidRPr="00873B6C">
              <w:rPr>
                <w:sz w:val="16"/>
                <w:szCs w:val="16"/>
              </w:rPr>
              <w:t>Definition of TL Containers</w:t>
            </w:r>
          </w:p>
        </w:tc>
        <w:tc>
          <w:tcPr>
            <w:tcW w:w="708" w:type="dxa"/>
            <w:shd w:val="solid" w:color="FFFFFF" w:fill="auto"/>
          </w:tcPr>
          <w:p w14:paraId="14AFE690" w14:textId="78F01BBF" w:rsidR="006E26ED" w:rsidRPr="00873B6C" w:rsidRDefault="006E26ED" w:rsidP="002C4A81">
            <w:pPr>
              <w:pStyle w:val="TAC"/>
              <w:rPr>
                <w:sz w:val="16"/>
                <w:szCs w:val="16"/>
              </w:rPr>
            </w:pPr>
            <w:r w:rsidRPr="00873B6C">
              <w:rPr>
                <w:sz w:val="16"/>
                <w:szCs w:val="16"/>
              </w:rPr>
              <w:t>18.2.0</w:t>
            </w:r>
          </w:p>
        </w:tc>
      </w:tr>
      <w:tr w:rsidR="003D25E4" w:rsidRPr="00873B6C" w14:paraId="5286425D" w14:textId="77777777" w:rsidTr="009D14FB">
        <w:tc>
          <w:tcPr>
            <w:tcW w:w="800" w:type="dxa"/>
            <w:shd w:val="solid" w:color="FFFFFF" w:fill="auto"/>
          </w:tcPr>
          <w:p w14:paraId="69ADB70C" w14:textId="03ACBBFC"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48542C23" w14:textId="14B46FFE"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602E2051" w14:textId="0773FE45" w:rsidR="003D25E4" w:rsidRPr="00873B6C" w:rsidRDefault="003D25E4" w:rsidP="002C4A81">
            <w:pPr>
              <w:pStyle w:val="TAC"/>
              <w:rPr>
                <w:sz w:val="16"/>
                <w:szCs w:val="16"/>
              </w:rPr>
            </w:pPr>
            <w:r w:rsidRPr="00873B6C">
              <w:rPr>
                <w:sz w:val="16"/>
                <w:szCs w:val="16"/>
              </w:rPr>
              <w:t>SP-230497</w:t>
            </w:r>
          </w:p>
        </w:tc>
        <w:tc>
          <w:tcPr>
            <w:tcW w:w="567" w:type="dxa"/>
            <w:shd w:val="solid" w:color="FFFFFF" w:fill="auto"/>
          </w:tcPr>
          <w:p w14:paraId="649AA8F4" w14:textId="693914A6" w:rsidR="003D25E4" w:rsidRPr="00873B6C" w:rsidRDefault="003D25E4" w:rsidP="002C4A81">
            <w:pPr>
              <w:pStyle w:val="TAL"/>
              <w:rPr>
                <w:sz w:val="16"/>
                <w:szCs w:val="16"/>
              </w:rPr>
            </w:pPr>
            <w:r w:rsidRPr="00873B6C">
              <w:rPr>
                <w:sz w:val="16"/>
                <w:szCs w:val="16"/>
              </w:rPr>
              <w:t>4604</w:t>
            </w:r>
          </w:p>
        </w:tc>
        <w:tc>
          <w:tcPr>
            <w:tcW w:w="425" w:type="dxa"/>
            <w:shd w:val="solid" w:color="FFFFFF" w:fill="auto"/>
          </w:tcPr>
          <w:p w14:paraId="1C507734" w14:textId="4DDA190B" w:rsidR="003D25E4" w:rsidRPr="00873B6C" w:rsidRDefault="003D25E4" w:rsidP="002C4A81">
            <w:pPr>
              <w:pStyle w:val="TAL"/>
              <w:rPr>
                <w:sz w:val="16"/>
                <w:szCs w:val="16"/>
              </w:rPr>
            </w:pPr>
            <w:r w:rsidRPr="00873B6C">
              <w:rPr>
                <w:sz w:val="16"/>
                <w:szCs w:val="16"/>
              </w:rPr>
              <w:t>2</w:t>
            </w:r>
          </w:p>
        </w:tc>
        <w:tc>
          <w:tcPr>
            <w:tcW w:w="425" w:type="dxa"/>
            <w:shd w:val="solid" w:color="FFFFFF" w:fill="auto"/>
          </w:tcPr>
          <w:p w14:paraId="55F9C235" w14:textId="42FF94AF"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699C4D8F" w14:textId="61F7E7AC" w:rsidR="003D25E4" w:rsidRPr="00873B6C" w:rsidRDefault="003D25E4" w:rsidP="002C4A81">
            <w:pPr>
              <w:pStyle w:val="TAL"/>
              <w:rPr>
                <w:sz w:val="16"/>
                <w:szCs w:val="16"/>
              </w:rPr>
            </w:pPr>
            <w:r w:rsidRPr="00873B6C">
              <w:rPr>
                <w:sz w:val="16"/>
                <w:szCs w:val="16"/>
              </w:rPr>
              <w:t>QNC Direct Exposure by UPF</w:t>
            </w:r>
          </w:p>
        </w:tc>
        <w:tc>
          <w:tcPr>
            <w:tcW w:w="708" w:type="dxa"/>
            <w:shd w:val="solid" w:color="FFFFFF" w:fill="auto"/>
          </w:tcPr>
          <w:p w14:paraId="2C584CC7" w14:textId="7E7F931D" w:rsidR="003D25E4" w:rsidRPr="00873B6C" w:rsidRDefault="003D25E4" w:rsidP="002C4A81">
            <w:pPr>
              <w:pStyle w:val="TAC"/>
              <w:rPr>
                <w:sz w:val="16"/>
                <w:szCs w:val="16"/>
              </w:rPr>
            </w:pPr>
            <w:r w:rsidRPr="00873B6C">
              <w:rPr>
                <w:sz w:val="16"/>
                <w:szCs w:val="16"/>
              </w:rPr>
              <w:t>18.2.0</w:t>
            </w:r>
          </w:p>
        </w:tc>
      </w:tr>
      <w:tr w:rsidR="003D25E4" w:rsidRPr="00873B6C" w14:paraId="6C1E4965" w14:textId="77777777" w:rsidTr="009D14FB">
        <w:tc>
          <w:tcPr>
            <w:tcW w:w="800" w:type="dxa"/>
            <w:shd w:val="solid" w:color="FFFFFF" w:fill="auto"/>
          </w:tcPr>
          <w:p w14:paraId="7264306D" w14:textId="60F28C3E"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08A2CCB2" w14:textId="53FB1DBC"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68938F52" w14:textId="0A5CE176" w:rsidR="003D25E4" w:rsidRPr="00873B6C" w:rsidRDefault="003D25E4" w:rsidP="002C4A81">
            <w:pPr>
              <w:pStyle w:val="TAC"/>
              <w:rPr>
                <w:sz w:val="16"/>
                <w:szCs w:val="16"/>
              </w:rPr>
            </w:pPr>
            <w:r w:rsidRPr="00873B6C">
              <w:rPr>
                <w:sz w:val="16"/>
                <w:szCs w:val="16"/>
              </w:rPr>
              <w:t>SP-230498</w:t>
            </w:r>
          </w:p>
        </w:tc>
        <w:tc>
          <w:tcPr>
            <w:tcW w:w="567" w:type="dxa"/>
            <w:shd w:val="solid" w:color="FFFFFF" w:fill="auto"/>
          </w:tcPr>
          <w:p w14:paraId="7FEE21A4" w14:textId="63B08EC2" w:rsidR="003D25E4" w:rsidRPr="00873B6C" w:rsidRDefault="003D25E4" w:rsidP="002C4A81">
            <w:pPr>
              <w:pStyle w:val="TAL"/>
              <w:rPr>
                <w:sz w:val="16"/>
                <w:szCs w:val="16"/>
              </w:rPr>
            </w:pPr>
            <w:r w:rsidRPr="00873B6C">
              <w:rPr>
                <w:sz w:val="16"/>
                <w:szCs w:val="16"/>
              </w:rPr>
              <w:t>4605</w:t>
            </w:r>
          </w:p>
        </w:tc>
        <w:tc>
          <w:tcPr>
            <w:tcW w:w="425" w:type="dxa"/>
            <w:shd w:val="solid" w:color="FFFFFF" w:fill="auto"/>
          </w:tcPr>
          <w:p w14:paraId="6D8D7D26" w14:textId="0761A409" w:rsidR="003D25E4" w:rsidRPr="00873B6C" w:rsidRDefault="003D25E4" w:rsidP="002C4A81">
            <w:pPr>
              <w:pStyle w:val="TAL"/>
              <w:rPr>
                <w:sz w:val="16"/>
                <w:szCs w:val="16"/>
              </w:rPr>
            </w:pPr>
            <w:r w:rsidRPr="00873B6C">
              <w:rPr>
                <w:sz w:val="16"/>
                <w:szCs w:val="16"/>
              </w:rPr>
              <w:t>2</w:t>
            </w:r>
          </w:p>
        </w:tc>
        <w:tc>
          <w:tcPr>
            <w:tcW w:w="425" w:type="dxa"/>
            <w:shd w:val="solid" w:color="FFFFFF" w:fill="auto"/>
          </w:tcPr>
          <w:p w14:paraId="6806FC49" w14:textId="47DEB4E7"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6F09627F" w14:textId="45CECE45" w:rsidR="003D25E4" w:rsidRPr="00873B6C" w:rsidRDefault="003D25E4" w:rsidP="002C4A81">
            <w:pPr>
              <w:pStyle w:val="TAL"/>
              <w:rPr>
                <w:sz w:val="16"/>
                <w:szCs w:val="16"/>
              </w:rPr>
            </w:pPr>
            <w:r w:rsidRPr="00873B6C">
              <w:rPr>
                <w:sz w:val="16"/>
                <w:szCs w:val="16"/>
              </w:rPr>
              <w:t>Exposure of RAN measured data rates</w:t>
            </w:r>
          </w:p>
        </w:tc>
        <w:tc>
          <w:tcPr>
            <w:tcW w:w="708" w:type="dxa"/>
            <w:shd w:val="solid" w:color="FFFFFF" w:fill="auto"/>
          </w:tcPr>
          <w:p w14:paraId="56148424" w14:textId="29CC0A6E" w:rsidR="003D25E4" w:rsidRPr="00873B6C" w:rsidRDefault="003D25E4" w:rsidP="002C4A81">
            <w:pPr>
              <w:pStyle w:val="TAC"/>
              <w:rPr>
                <w:sz w:val="16"/>
                <w:szCs w:val="16"/>
              </w:rPr>
            </w:pPr>
            <w:r w:rsidRPr="00873B6C">
              <w:rPr>
                <w:sz w:val="16"/>
                <w:szCs w:val="16"/>
              </w:rPr>
              <w:t>18.2.0</w:t>
            </w:r>
          </w:p>
        </w:tc>
      </w:tr>
      <w:tr w:rsidR="003D25E4" w:rsidRPr="00873B6C" w14:paraId="7FC2D387" w14:textId="77777777" w:rsidTr="009D14FB">
        <w:tc>
          <w:tcPr>
            <w:tcW w:w="800" w:type="dxa"/>
            <w:shd w:val="solid" w:color="FFFFFF" w:fill="auto"/>
          </w:tcPr>
          <w:p w14:paraId="4093E38D" w14:textId="7039E3E4"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048D6361" w14:textId="77E899C9"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3F2A3AD5" w14:textId="0DBAD386" w:rsidR="003D25E4" w:rsidRPr="00873B6C" w:rsidRDefault="003D25E4" w:rsidP="002C4A81">
            <w:pPr>
              <w:pStyle w:val="TAC"/>
              <w:rPr>
                <w:sz w:val="16"/>
                <w:szCs w:val="16"/>
              </w:rPr>
            </w:pPr>
            <w:r w:rsidRPr="00873B6C">
              <w:rPr>
                <w:sz w:val="16"/>
                <w:szCs w:val="16"/>
              </w:rPr>
              <w:t>SP-230498</w:t>
            </w:r>
          </w:p>
        </w:tc>
        <w:tc>
          <w:tcPr>
            <w:tcW w:w="567" w:type="dxa"/>
            <w:shd w:val="solid" w:color="FFFFFF" w:fill="auto"/>
          </w:tcPr>
          <w:p w14:paraId="521FD8DE" w14:textId="3160ACE1" w:rsidR="003D25E4" w:rsidRPr="00873B6C" w:rsidRDefault="003D25E4" w:rsidP="002C4A81">
            <w:pPr>
              <w:pStyle w:val="TAL"/>
              <w:rPr>
                <w:sz w:val="16"/>
                <w:szCs w:val="16"/>
              </w:rPr>
            </w:pPr>
            <w:r w:rsidRPr="00873B6C">
              <w:rPr>
                <w:sz w:val="16"/>
                <w:szCs w:val="16"/>
              </w:rPr>
              <w:t>4611</w:t>
            </w:r>
          </w:p>
        </w:tc>
        <w:tc>
          <w:tcPr>
            <w:tcW w:w="425" w:type="dxa"/>
            <w:shd w:val="solid" w:color="FFFFFF" w:fill="auto"/>
          </w:tcPr>
          <w:p w14:paraId="2ACF8E2C" w14:textId="64D50D20" w:rsidR="003D25E4" w:rsidRPr="00873B6C" w:rsidRDefault="003D25E4" w:rsidP="002C4A81">
            <w:pPr>
              <w:pStyle w:val="TAL"/>
              <w:rPr>
                <w:sz w:val="16"/>
                <w:szCs w:val="16"/>
              </w:rPr>
            </w:pPr>
            <w:r w:rsidRPr="00873B6C">
              <w:rPr>
                <w:sz w:val="16"/>
                <w:szCs w:val="16"/>
              </w:rPr>
              <w:t>3</w:t>
            </w:r>
          </w:p>
        </w:tc>
        <w:tc>
          <w:tcPr>
            <w:tcW w:w="425" w:type="dxa"/>
            <w:shd w:val="solid" w:color="FFFFFF" w:fill="auto"/>
          </w:tcPr>
          <w:p w14:paraId="778DF96F" w14:textId="5C657936"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1CA71428" w14:textId="3BE7FEBC" w:rsidR="003D25E4" w:rsidRPr="00873B6C" w:rsidRDefault="003D25E4" w:rsidP="002C4A81">
            <w:pPr>
              <w:pStyle w:val="TAL"/>
              <w:rPr>
                <w:sz w:val="16"/>
                <w:szCs w:val="16"/>
              </w:rPr>
            </w:pPr>
            <w:r w:rsidRPr="00873B6C">
              <w:rPr>
                <w:sz w:val="16"/>
                <w:szCs w:val="16"/>
              </w:rPr>
              <w:t>PDU Set QoS handling: non-homogenous support (Alternative 2)</w:t>
            </w:r>
          </w:p>
        </w:tc>
        <w:tc>
          <w:tcPr>
            <w:tcW w:w="708" w:type="dxa"/>
            <w:shd w:val="solid" w:color="FFFFFF" w:fill="auto"/>
          </w:tcPr>
          <w:p w14:paraId="50BD0DAF" w14:textId="4E243E46" w:rsidR="003D25E4" w:rsidRPr="00873B6C" w:rsidRDefault="003D25E4" w:rsidP="002C4A81">
            <w:pPr>
              <w:pStyle w:val="TAC"/>
              <w:rPr>
                <w:sz w:val="16"/>
                <w:szCs w:val="16"/>
              </w:rPr>
            </w:pPr>
            <w:r w:rsidRPr="00873B6C">
              <w:rPr>
                <w:sz w:val="16"/>
                <w:szCs w:val="16"/>
              </w:rPr>
              <w:t>18.2.0</w:t>
            </w:r>
          </w:p>
        </w:tc>
      </w:tr>
      <w:tr w:rsidR="003D25E4" w:rsidRPr="00873B6C" w14:paraId="145AF535" w14:textId="77777777" w:rsidTr="009D14FB">
        <w:tc>
          <w:tcPr>
            <w:tcW w:w="800" w:type="dxa"/>
            <w:shd w:val="solid" w:color="FFFFFF" w:fill="auto"/>
          </w:tcPr>
          <w:p w14:paraId="75F8013B" w14:textId="007DA4E9"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46542520" w14:textId="6F2C2A07"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25211DA9" w14:textId="31034BDC" w:rsidR="003D25E4" w:rsidRPr="00873B6C" w:rsidRDefault="003D25E4" w:rsidP="002C4A81">
            <w:pPr>
              <w:pStyle w:val="TAC"/>
              <w:rPr>
                <w:sz w:val="16"/>
                <w:szCs w:val="16"/>
              </w:rPr>
            </w:pPr>
            <w:r w:rsidRPr="00873B6C">
              <w:rPr>
                <w:sz w:val="16"/>
                <w:szCs w:val="16"/>
              </w:rPr>
              <w:t>SP-230484</w:t>
            </w:r>
          </w:p>
        </w:tc>
        <w:tc>
          <w:tcPr>
            <w:tcW w:w="567" w:type="dxa"/>
            <w:shd w:val="solid" w:color="FFFFFF" w:fill="auto"/>
          </w:tcPr>
          <w:p w14:paraId="027B987E" w14:textId="0C552EE8" w:rsidR="003D25E4" w:rsidRPr="00873B6C" w:rsidRDefault="003D25E4" w:rsidP="002C4A81">
            <w:pPr>
              <w:pStyle w:val="TAL"/>
              <w:rPr>
                <w:sz w:val="16"/>
                <w:szCs w:val="16"/>
              </w:rPr>
            </w:pPr>
            <w:r w:rsidRPr="00873B6C">
              <w:rPr>
                <w:sz w:val="16"/>
                <w:szCs w:val="16"/>
              </w:rPr>
              <w:t>4614</w:t>
            </w:r>
          </w:p>
        </w:tc>
        <w:tc>
          <w:tcPr>
            <w:tcW w:w="425" w:type="dxa"/>
            <w:shd w:val="solid" w:color="FFFFFF" w:fill="auto"/>
          </w:tcPr>
          <w:p w14:paraId="5A95C0CF" w14:textId="3AF52990" w:rsidR="003D25E4" w:rsidRPr="00873B6C" w:rsidRDefault="003D25E4" w:rsidP="002C4A81">
            <w:pPr>
              <w:pStyle w:val="TAL"/>
              <w:rPr>
                <w:sz w:val="16"/>
                <w:szCs w:val="16"/>
              </w:rPr>
            </w:pPr>
            <w:r w:rsidRPr="00873B6C">
              <w:rPr>
                <w:sz w:val="16"/>
                <w:szCs w:val="16"/>
              </w:rPr>
              <w:t>1</w:t>
            </w:r>
          </w:p>
        </w:tc>
        <w:tc>
          <w:tcPr>
            <w:tcW w:w="425" w:type="dxa"/>
            <w:shd w:val="solid" w:color="FFFFFF" w:fill="auto"/>
          </w:tcPr>
          <w:p w14:paraId="3E12B765" w14:textId="6A484463" w:rsidR="003D25E4" w:rsidRPr="00873B6C" w:rsidRDefault="003D25E4" w:rsidP="002C4A81">
            <w:pPr>
              <w:pStyle w:val="TAL"/>
              <w:rPr>
                <w:sz w:val="16"/>
                <w:szCs w:val="16"/>
              </w:rPr>
            </w:pPr>
            <w:r w:rsidRPr="00873B6C">
              <w:rPr>
                <w:sz w:val="16"/>
                <w:szCs w:val="16"/>
              </w:rPr>
              <w:t>C</w:t>
            </w:r>
          </w:p>
        </w:tc>
        <w:tc>
          <w:tcPr>
            <w:tcW w:w="4820" w:type="dxa"/>
            <w:shd w:val="solid" w:color="FFFFFF" w:fill="auto"/>
          </w:tcPr>
          <w:p w14:paraId="6F126146" w14:textId="71748A50" w:rsidR="003D25E4" w:rsidRPr="00873B6C" w:rsidRDefault="003D25E4" w:rsidP="002C4A81">
            <w:pPr>
              <w:pStyle w:val="TAL"/>
              <w:rPr>
                <w:sz w:val="16"/>
                <w:szCs w:val="16"/>
              </w:rPr>
            </w:pPr>
            <w:r w:rsidRPr="00873B6C">
              <w:rPr>
                <w:sz w:val="16"/>
                <w:szCs w:val="16"/>
              </w:rPr>
              <w:t>Resolve ENs on one PIN Served by multiple PDU Sessions</w:t>
            </w:r>
          </w:p>
        </w:tc>
        <w:tc>
          <w:tcPr>
            <w:tcW w:w="708" w:type="dxa"/>
            <w:shd w:val="solid" w:color="FFFFFF" w:fill="auto"/>
          </w:tcPr>
          <w:p w14:paraId="2F2AB47D" w14:textId="1EEB2509" w:rsidR="003D25E4" w:rsidRPr="00873B6C" w:rsidRDefault="003D25E4" w:rsidP="002C4A81">
            <w:pPr>
              <w:pStyle w:val="TAC"/>
              <w:rPr>
                <w:sz w:val="16"/>
                <w:szCs w:val="16"/>
              </w:rPr>
            </w:pPr>
            <w:r w:rsidRPr="00873B6C">
              <w:rPr>
                <w:sz w:val="16"/>
                <w:szCs w:val="16"/>
              </w:rPr>
              <w:t>18.2.0</w:t>
            </w:r>
          </w:p>
        </w:tc>
      </w:tr>
      <w:tr w:rsidR="003D25E4" w:rsidRPr="00873B6C" w14:paraId="71D2A335" w14:textId="77777777" w:rsidTr="009D14FB">
        <w:tc>
          <w:tcPr>
            <w:tcW w:w="800" w:type="dxa"/>
            <w:shd w:val="solid" w:color="FFFFFF" w:fill="auto"/>
          </w:tcPr>
          <w:p w14:paraId="47202C45" w14:textId="38CC278F"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384F39CB" w14:textId="0B1663CE"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5268FBB5" w14:textId="2930F47A" w:rsidR="003D25E4" w:rsidRPr="00873B6C" w:rsidRDefault="003D25E4" w:rsidP="002C4A81">
            <w:pPr>
              <w:pStyle w:val="TAC"/>
              <w:rPr>
                <w:sz w:val="16"/>
                <w:szCs w:val="16"/>
              </w:rPr>
            </w:pPr>
            <w:r w:rsidRPr="00873B6C">
              <w:rPr>
                <w:sz w:val="16"/>
                <w:szCs w:val="16"/>
              </w:rPr>
              <w:t>SP-230484</w:t>
            </w:r>
          </w:p>
        </w:tc>
        <w:tc>
          <w:tcPr>
            <w:tcW w:w="567" w:type="dxa"/>
            <w:shd w:val="solid" w:color="FFFFFF" w:fill="auto"/>
          </w:tcPr>
          <w:p w14:paraId="208D3C3A" w14:textId="74FF9AEB" w:rsidR="003D25E4" w:rsidRPr="00873B6C" w:rsidRDefault="003D25E4" w:rsidP="002C4A81">
            <w:pPr>
              <w:pStyle w:val="TAL"/>
              <w:rPr>
                <w:sz w:val="16"/>
                <w:szCs w:val="16"/>
              </w:rPr>
            </w:pPr>
            <w:r w:rsidRPr="00873B6C">
              <w:rPr>
                <w:sz w:val="16"/>
                <w:szCs w:val="16"/>
              </w:rPr>
              <w:t>4621</w:t>
            </w:r>
          </w:p>
        </w:tc>
        <w:tc>
          <w:tcPr>
            <w:tcW w:w="425" w:type="dxa"/>
            <w:shd w:val="solid" w:color="FFFFFF" w:fill="auto"/>
          </w:tcPr>
          <w:p w14:paraId="654C3F01" w14:textId="0CE71559" w:rsidR="003D25E4" w:rsidRPr="00873B6C" w:rsidRDefault="003D25E4" w:rsidP="002C4A81">
            <w:pPr>
              <w:pStyle w:val="TAL"/>
              <w:rPr>
                <w:sz w:val="16"/>
                <w:szCs w:val="16"/>
              </w:rPr>
            </w:pPr>
            <w:r w:rsidRPr="00873B6C">
              <w:rPr>
                <w:sz w:val="16"/>
                <w:szCs w:val="16"/>
              </w:rPr>
              <w:t>1</w:t>
            </w:r>
          </w:p>
        </w:tc>
        <w:tc>
          <w:tcPr>
            <w:tcW w:w="425" w:type="dxa"/>
            <w:shd w:val="solid" w:color="FFFFFF" w:fill="auto"/>
          </w:tcPr>
          <w:p w14:paraId="391A0392" w14:textId="182AA112"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3607DBB2" w14:textId="3671E9AF" w:rsidR="003D25E4" w:rsidRPr="00873B6C" w:rsidRDefault="003D25E4" w:rsidP="002C4A81">
            <w:pPr>
              <w:pStyle w:val="TAL"/>
              <w:rPr>
                <w:sz w:val="16"/>
                <w:szCs w:val="16"/>
              </w:rPr>
            </w:pPr>
            <w:r w:rsidRPr="00873B6C">
              <w:rPr>
                <w:sz w:val="16"/>
                <w:szCs w:val="16"/>
              </w:rPr>
              <w:t>Informative annex on PIN traffic routing</w:t>
            </w:r>
          </w:p>
        </w:tc>
        <w:tc>
          <w:tcPr>
            <w:tcW w:w="708" w:type="dxa"/>
            <w:shd w:val="solid" w:color="FFFFFF" w:fill="auto"/>
          </w:tcPr>
          <w:p w14:paraId="66840577" w14:textId="4B1EB69D" w:rsidR="003D25E4" w:rsidRPr="00873B6C" w:rsidRDefault="003D25E4" w:rsidP="002C4A81">
            <w:pPr>
              <w:pStyle w:val="TAC"/>
              <w:rPr>
                <w:sz w:val="16"/>
                <w:szCs w:val="16"/>
              </w:rPr>
            </w:pPr>
            <w:r w:rsidRPr="00873B6C">
              <w:rPr>
                <w:sz w:val="16"/>
                <w:szCs w:val="16"/>
              </w:rPr>
              <w:t>18.2.0</w:t>
            </w:r>
          </w:p>
        </w:tc>
      </w:tr>
      <w:tr w:rsidR="003D25E4" w:rsidRPr="00873B6C" w14:paraId="575CA0DE" w14:textId="77777777" w:rsidTr="009D14FB">
        <w:tc>
          <w:tcPr>
            <w:tcW w:w="800" w:type="dxa"/>
            <w:shd w:val="solid" w:color="FFFFFF" w:fill="auto"/>
          </w:tcPr>
          <w:p w14:paraId="27F07DE8" w14:textId="17944442"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501AFB81" w14:textId="2E0B6920"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362F75FB" w14:textId="5745D103" w:rsidR="003D25E4" w:rsidRPr="00873B6C" w:rsidRDefault="003D25E4" w:rsidP="002C4A81">
            <w:pPr>
              <w:pStyle w:val="TAC"/>
              <w:rPr>
                <w:sz w:val="16"/>
                <w:szCs w:val="16"/>
              </w:rPr>
            </w:pPr>
            <w:r w:rsidRPr="00873B6C">
              <w:rPr>
                <w:sz w:val="16"/>
                <w:szCs w:val="16"/>
              </w:rPr>
              <w:t>SP-230457</w:t>
            </w:r>
          </w:p>
        </w:tc>
        <w:tc>
          <w:tcPr>
            <w:tcW w:w="567" w:type="dxa"/>
            <w:shd w:val="solid" w:color="FFFFFF" w:fill="auto"/>
          </w:tcPr>
          <w:p w14:paraId="55CDEA29" w14:textId="06CCBF9A" w:rsidR="003D25E4" w:rsidRPr="00873B6C" w:rsidRDefault="003D25E4" w:rsidP="002C4A81">
            <w:pPr>
              <w:pStyle w:val="TAL"/>
              <w:rPr>
                <w:sz w:val="16"/>
                <w:szCs w:val="16"/>
              </w:rPr>
            </w:pPr>
            <w:r w:rsidRPr="00873B6C">
              <w:rPr>
                <w:sz w:val="16"/>
                <w:szCs w:val="16"/>
              </w:rPr>
              <w:t>4622</w:t>
            </w:r>
          </w:p>
        </w:tc>
        <w:tc>
          <w:tcPr>
            <w:tcW w:w="425" w:type="dxa"/>
            <w:shd w:val="solid" w:color="FFFFFF" w:fill="auto"/>
          </w:tcPr>
          <w:p w14:paraId="579D07C7" w14:textId="77DF3BA7" w:rsidR="003D25E4" w:rsidRPr="00873B6C" w:rsidRDefault="003D25E4" w:rsidP="002C4A81">
            <w:pPr>
              <w:pStyle w:val="TAL"/>
              <w:rPr>
                <w:sz w:val="16"/>
                <w:szCs w:val="16"/>
              </w:rPr>
            </w:pPr>
            <w:r w:rsidRPr="00873B6C">
              <w:rPr>
                <w:sz w:val="16"/>
                <w:szCs w:val="16"/>
              </w:rPr>
              <w:t>-</w:t>
            </w:r>
          </w:p>
        </w:tc>
        <w:tc>
          <w:tcPr>
            <w:tcW w:w="425" w:type="dxa"/>
            <w:shd w:val="solid" w:color="FFFFFF" w:fill="auto"/>
          </w:tcPr>
          <w:p w14:paraId="3E4031D0" w14:textId="4A006529"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3FC3CE35" w14:textId="0C35BA87" w:rsidR="003D25E4" w:rsidRPr="00873B6C" w:rsidRDefault="003D25E4" w:rsidP="002C4A81">
            <w:pPr>
              <w:pStyle w:val="TAL"/>
              <w:rPr>
                <w:sz w:val="16"/>
                <w:szCs w:val="16"/>
              </w:rPr>
            </w:pPr>
            <w:r w:rsidRPr="00873B6C">
              <w:rPr>
                <w:sz w:val="16"/>
                <w:szCs w:val="16"/>
              </w:rPr>
              <w:t>Update to UE member selection assistance functionality for application operation</w:t>
            </w:r>
          </w:p>
        </w:tc>
        <w:tc>
          <w:tcPr>
            <w:tcW w:w="708" w:type="dxa"/>
            <w:shd w:val="solid" w:color="FFFFFF" w:fill="auto"/>
          </w:tcPr>
          <w:p w14:paraId="55CA9255" w14:textId="04417E5A" w:rsidR="003D25E4" w:rsidRPr="00873B6C" w:rsidRDefault="003D25E4" w:rsidP="002C4A81">
            <w:pPr>
              <w:pStyle w:val="TAC"/>
              <w:rPr>
                <w:sz w:val="16"/>
                <w:szCs w:val="16"/>
              </w:rPr>
            </w:pPr>
            <w:r w:rsidRPr="00873B6C">
              <w:rPr>
                <w:sz w:val="16"/>
                <w:szCs w:val="16"/>
              </w:rPr>
              <w:t>18.2.0</w:t>
            </w:r>
          </w:p>
        </w:tc>
      </w:tr>
      <w:tr w:rsidR="003D25E4" w:rsidRPr="00873B6C" w14:paraId="63895710" w14:textId="77777777" w:rsidTr="009D14FB">
        <w:tc>
          <w:tcPr>
            <w:tcW w:w="800" w:type="dxa"/>
            <w:shd w:val="solid" w:color="FFFFFF" w:fill="auto"/>
          </w:tcPr>
          <w:p w14:paraId="464D3865" w14:textId="26DDDD80"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1B79640C" w14:textId="2887456D"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1AFFD350" w14:textId="2E5D72CA" w:rsidR="003D25E4" w:rsidRPr="00873B6C" w:rsidRDefault="003D25E4" w:rsidP="002C4A81">
            <w:pPr>
              <w:pStyle w:val="TAC"/>
              <w:rPr>
                <w:sz w:val="16"/>
                <w:szCs w:val="16"/>
              </w:rPr>
            </w:pPr>
            <w:r w:rsidRPr="00873B6C">
              <w:rPr>
                <w:sz w:val="16"/>
                <w:szCs w:val="16"/>
              </w:rPr>
              <w:t>SP-230493</w:t>
            </w:r>
          </w:p>
        </w:tc>
        <w:tc>
          <w:tcPr>
            <w:tcW w:w="567" w:type="dxa"/>
            <w:shd w:val="solid" w:color="FFFFFF" w:fill="auto"/>
          </w:tcPr>
          <w:p w14:paraId="635A6B51" w14:textId="687F3CD7" w:rsidR="003D25E4" w:rsidRPr="00873B6C" w:rsidRDefault="003D25E4" w:rsidP="002C4A81">
            <w:pPr>
              <w:pStyle w:val="TAL"/>
              <w:rPr>
                <w:sz w:val="16"/>
                <w:szCs w:val="16"/>
              </w:rPr>
            </w:pPr>
            <w:r w:rsidRPr="00873B6C">
              <w:rPr>
                <w:sz w:val="16"/>
                <w:szCs w:val="16"/>
              </w:rPr>
              <w:t>4636</w:t>
            </w:r>
          </w:p>
        </w:tc>
        <w:tc>
          <w:tcPr>
            <w:tcW w:w="425" w:type="dxa"/>
            <w:shd w:val="solid" w:color="FFFFFF" w:fill="auto"/>
          </w:tcPr>
          <w:p w14:paraId="1ED3F8AA" w14:textId="744DE090" w:rsidR="003D25E4" w:rsidRPr="00873B6C" w:rsidRDefault="003D25E4" w:rsidP="002C4A81">
            <w:pPr>
              <w:pStyle w:val="TAL"/>
              <w:rPr>
                <w:sz w:val="16"/>
                <w:szCs w:val="16"/>
              </w:rPr>
            </w:pPr>
            <w:r w:rsidRPr="00873B6C">
              <w:rPr>
                <w:sz w:val="16"/>
                <w:szCs w:val="16"/>
              </w:rPr>
              <w:t>3</w:t>
            </w:r>
          </w:p>
        </w:tc>
        <w:tc>
          <w:tcPr>
            <w:tcW w:w="425" w:type="dxa"/>
            <w:shd w:val="solid" w:color="FFFFFF" w:fill="auto"/>
          </w:tcPr>
          <w:p w14:paraId="44F75D5C" w14:textId="6AACFA0F" w:rsidR="003D25E4" w:rsidRPr="00873B6C" w:rsidRDefault="003D25E4" w:rsidP="002C4A81">
            <w:pPr>
              <w:pStyle w:val="TAL"/>
              <w:rPr>
                <w:sz w:val="16"/>
                <w:szCs w:val="16"/>
              </w:rPr>
            </w:pPr>
            <w:r w:rsidRPr="00873B6C">
              <w:rPr>
                <w:sz w:val="16"/>
                <w:szCs w:val="16"/>
              </w:rPr>
              <w:t>C</w:t>
            </w:r>
          </w:p>
        </w:tc>
        <w:tc>
          <w:tcPr>
            <w:tcW w:w="4820" w:type="dxa"/>
            <w:shd w:val="solid" w:color="FFFFFF" w:fill="auto"/>
          </w:tcPr>
          <w:p w14:paraId="60C576D3" w14:textId="0901F422" w:rsidR="003D25E4" w:rsidRPr="00873B6C" w:rsidRDefault="003D25E4" w:rsidP="002C4A81">
            <w:pPr>
              <w:pStyle w:val="TAL"/>
              <w:rPr>
                <w:sz w:val="16"/>
                <w:szCs w:val="16"/>
              </w:rPr>
            </w:pPr>
            <w:r w:rsidRPr="00873B6C">
              <w:rPr>
                <w:sz w:val="16"/>
                <w:szCs w:val="16"/>
              </w:rPr>
              <w:t>Update on Periodicity Range</w:t>
            </w:r>
          </w:p>
        </w:tc>
        <w:tc>
          <w:tcPr>
            <w:tcW w:w="708" w:type="dxa"/>
            <w:shd w:val="solid" w:color="FFFFFF" w:fill="auto"/>
          </w:tcPr>
          <w:p w14:paraId="126C65C8" w14:textId="2AFF784C" w:rsidR="003D25E4" w:rsidRPr="00873B6C" w:rsidRDefault="003D25E4" w:rsidP="002C4A81">
            <w:pPr>
              <w:pStyle w:val="TAC"/>
              <w:rPr>
                <w:sz w:val="16"/>
                <w:szCs w:val="16"/>
              </w:rPr>
            </w:pPr>
            <w:r w:rsidRPr="00873B6C">
              <w:rPr>
                <w:sz w:val="16"/>
                <w:szCs w:val="16"/>
              </w:rPr>
              <w:t>18.2.0</w:t>
            </w:r>
          </w:p>
        </w:tc>
      </w:tr>
      <w:tr w:rsidR="003D25E4" w:rsidRPr="00873B6C" w14:paraId="0123D9B5" w14:textId="77777777" w:rsidTr="009D14FB">
        <w:tc>
          <w:tcPr>
            <w:tcW w:w="800" w:type="dxa"/>
            <w:shd w:val="solid" w:color="FFFFFF" w:fill="auto"/>
          </w:tcPr>
          <w:p w14:paraId="6B45B017" w14:textId="5763A083"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6B816002" w14:textId="24119E6E"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5D4D1E17" w14:textId="7FCAF851" w:rsidR="003D25E4" w:rsidRPr="00873B6C" w:rsidRDefault="003D25E4" w:rsidP="002C4A81">
            <w:pPr>
              <w:pStyle w:val="TAC"/>
              <w:rPr>
                <w:sz w:val="16"/>
                <w:szCs w:val="16"/>
              </w:rPr>
            </w:pPr>
            <w:r w:rsidRPr="00873B6C">
              <w:rPr>
                <w:sz w:val="16"/>
                <w:szCs w:val="16"/>
              </w:rPr>
              <w:t>SP-230461</w:t>
            </w:r>
          </w:p>
        </w:tc>
        <w:tc>
          <w:tcPr>
            <w:tcW w:w="567" w:type="dxa"/>
            <w:shd w:val="solid" w:color="FFFFFF" w:fill="auto"/>
          </w:tcPr>
          <w:p w14:paraId="728851D0" w14:textId="52F7A2EC" w:rsidR="003D25E4" w:rsidRPr="00873B6C" w:rsidRDefault="003D25E4" w:rsidP="002C4A81">
            <w:pPr>
              <w:pStyle w:val="TAL"/>
              <w:rPr>
                <w:sz w:val="16"/>
                <w:szCs w:val="16"/>
              </w:rPr>
            </w:pPr>
            <w:r w:rsidRPr="00873B6C">
              <w:rPr>
                <w:sz w:val="16"/>
                <w:szCs w:val="16"/>
              </w:rPr>
              <w:t>4638</w:t>
            </w:r>
          </w:p>
        </w:tc>
        <w:tc>
          <w:tcPr>
            <w:tcW w:w="425" w:type="dxa"/>
            <w:shd w:val="solid" w:color="FFFFFF" w:fill="auto"/>
          </w:tcPr>
          <w:p w14:paraId="72B78342" w14:textId="01322416" w:rsidR="003D25E4" w:rsidRPr="00873B6C" w:rsidRDefault="003D25E4" w:rsidP="002C4A81">
            <w:pPr>
              <w:pStyle w:val="TAL"/>
              <w:rPr>
                <w:sz w:val="16"/>
                <w:szCs w:val="16"/>
              </w:rPr>
            </w:pPr>
            <w:r w:rsidRPr="00873B6C">
              <w:rPr>
                <w:sz w:val="16"/>
                <w:szCs w:val="16"/>
              </w:rPr>
              <w:t>2</w:t>
            </w:r>
          </w:p>
        </w:tc>
        <w:tc>
          <w:tcPr>
            <w:tcW w:w="425" w:type="dxa"/>
            <w:shd w:val="solid" w:color="FFFFFF" w:fill="auto"/>
          </w:tcPr>
          <w:p w14:paraId="05336DFF" w14:textId="7B9F0621" w:rsidR="003D25E4" w:rsidRPr="00873B6C" w:rsidRDefault="003D25E4" w:rsidP="002C4A81">
            <w:pPr>
              <w:pStyle w:val="TAL"/>
              <w:rPr>
                <w:sz w:val="16"/>
                <w:szCs w:val="16"/>
              </w:rPr>
            </w:pPr>
            <w:r w:rsidRPr="00873B6C">
              <w:rPr>
                <w:sz w:val="16"/>
                <w:szCs w:val="16"/>
              </w:rPr>
              <w:t>F</w:t>
            </w:r>
          </w:p>
        </w:tc>
        <w:tc>
          <w:tcPr>
            <w:tcW w:w="4820" w:type="dxa"/>
            <w:shd w:val="solid" w:color="FFFFFF" w:fill="auto"/>
          </w:tcPr>
          <w:p w14:paraId="210F7C39" w14:textId="1EBB0B4A" w:rsidR="003D25E4" w:rsidRPr="00873B6C" w:rsidRDefault="003D25E4" w:rsidP="002C4A81">
            <w:pPr>
              <w:pStyle w:val="TAL"/>
              <w:rPr>
                <w:sz w:val="16"/>
                <w:szCs w:val="16"/>
              </w:rPr>
            </w:pPr>
            <w:r w:rsidRPr="00873B6C">
              <w:rPr>
                <w:sz w:val="16"/>
                <w:szCs w:val="16"/>
              </w:rPr>
              <w:t>Nnef service update on multiple SMF coordination</w:t>
            </w:r>
          </w:p>
        </w:tc>
        <w:tc>
          <w:tcPr>
            <w:tcW w:w="708" w:type="dxa"/>
            <w:shd w:val="solid" w:color="FFFFFF" w:fill="auto"/>
          </w:tcPr>
          <w:p w14:paraId="6A1D4D1A" w14:textId="08ACD919" w:rsidR="003D25E4" w:rsidRPr="00873B6C" w:rsidRDefault="003D25E4" w:rsidP="002C4A81">
            <w:pPr>
              <w:pStyle w:val="TAC"/>
              <w:rPr>
                <w:sz w:val="16"/>
                <w:szCs w:val="16"/>
              </w:rPr>
            </w:pPr>
            <w:r w:rsidRPr="00873B6C">
              <w:rPr>
                <w:sz w:val="16"/>
                <w:szCs w:val="16"/>
              </w:rPr>
              <w:t>18.2.0</w:t>
            </w:r>
          </w:p>
        </w:tc>
      </w:tr>
      <w:tr w:rsidR="00252264" w:rsidRPr="00873B6C" w14:paraId="3D35E9E4" w14:textId="77777777" w:rsidTr="009D14FB">
        <w:tc>
          <w:tcPr>
            <w:tcW w:w="800" w:type="dxa"/>
            <w:shd w:val="solid" w:color="FFFFFF" w:fill="auto"/>
          </w:tcPr>
          <w:p w14:paraId="4654050E" w14:textId="585AAB64"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2052BA69" w14:textId="296DF3D2"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20C61D32" w14:textId="49CB51F9" w:rsidR="00252264" w:rsidRPr="00873B6C" w:rsidRDefault="00252264" w:rsidP="002C4A81">
            <w:pPr>
              <w:pStyle w:val="TAC"/>
              <w:rPr>
                <w:sz w:val="16"/>
                <w:szCs w:val="16"/>
              </w:rPr>
            </w:pPr>
            <w:r w:rsidRPr="00873B6C">
              <w:rPr>
                <w:sz w:val="16"/>
                <w:szCs w:val="16"/>
              </w:rPr>
              <w:t>SP-230473</w:t>
            </w:r>
          </w:p>
        </w:tc>
        <w:tc>
          <w:tcPr>
            <w:tcW w:w="567" w:type="dxa"/>
            <w:shd w:val="solid" w:color="FFFFFF" w:fill="auto"/>
          </w:tcPr>
          <w:p w14:paraId="6B5AD2D7" w14:textId="7A2F869E" w:rsidR="00252264" w:rsidRPr="00873B6C" w:rsidRDefault="00252264" w:rsidP="002C4A81">
            <w:pPr>
              <w:pStyle w:val="TAL"/>
              <w:rPr>
                <w:sz w:val="16"/>
                <w:szCs w:val="16"/>
              </w:rPr>
            </w:pPr>
            <w:r w:rsidRPr="00873B6C">
              <w:rPr>
                <w:sz w:val="16"/>
                <w:szCs w:val="16"/>
              </w:rPr>
              <w:t>4651</w:t>
            </w:r>
          </w:p>
        </w:tc>
        <w:tc>
          <w:tcPr>
            <w:tcW w:w="425" w:type="dxa"/>
            <w:shd w:val="solid" w:color="FFFFFF" w:fill="auto"/>
          </w:tcPr>
          <w:p w14:paraId="16576D7B" w14:textId="0C4C589B" w:rsidR="00252264" w:rsidRPr="00873B6C" w:rsidRDefault="00252264" w:rsidP="002C4A81">
            <w:pPr>
              <w:pStyle w:val="TAL"/>
              <w:rPr>
                <w:sz w:val="16"/>
                <w:szCs w:val="16"/>
              </w:rPr>
            </w:pPr>
            <w:r w:rsidRPr="00873B6C">
              <w:rPr>
                <w:sz w:val="16"/>
                <w:szCs w:val="16"/>
              </w:rPr>
              <w:t>1</w:t>
            </w:r>
          </w:p>
        </w:tc>
        <w:tc>
          <w:tcPr>
            <w:tcW w:w="425" w:type="dxa"/>
            <w:shd w:val="solid" w:color="FFFFFF" w:fill="auto"/>
          </w:tcPr>
          <w:p w14:paraId="330FC666" w14:textId="67EFF9DD"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7F3B122A" w14:textId="7C517F07" w:rsidR="00252264" w:rsidRPr="00873B6C" w:rsidRDefault="00252264" w:rsidP="002C4A81">
            <w:pPr>
              <w:pStyle w:val="TAL"/>
              <w:rPr>
                <w:sz w:val="16"/>
                <w:szCs w:val="16"/>
              </w:rPr>
            </w:pPr>
            <w:r w:rsidRPr="00873B6C">
              <w:rPr>
                <w:sz w:val="16"/>
                <w:szCs w:val="16"/>
              </w:rPr>
              <w:t>Support of network slice replacement for handover</w:t>
            </w:r>
          </w:p>
        </w:tc>
        <w:tc>
          <w:tcPr>
            <w:tcW w:w="708" w:type="dxa"/>
            <w:shd w:val="solid" w:color="FFFFFF" w:fill="auto"/>
          </w:tcPr>
          <w:p w14:paraId="1834D0AB" w14:textId="5D833763" w:rsidR="00252264" w:rsidRPr="00873B6C" w:rsidRDefault="00252264" w:rsidP="002C4A81">
            <w:pPr>
              <w:pStyle w:val="TAC"/>
              <w:rPr>
                <w:sz w:val="16"/>
                <w:szCs w:val="16"/>
              </w:rPr>
            </w:pPr>
            <w:r w:rsidRPr="00873B6C">
              <w:rPr>
                <w:sz w:val="16"/>
                <w:szCs w:val="16"/>
              </w:rPr>
              <w:t>18.2.0</w:t>
            </w:r>
          </w:p>
        </w:tc>
      </w:tr>
      <w:tr w:rsidR="00252264" w:rsidRPr="00873B6C" w14:paraId="1BC57B6C" w14:textId="77777777" w:rsidTr="009D14FB">
        <w:tc>
          <w:tcPr>
            <w:tcW w:w="800" w:type="dxa"/>
            <w:shd w:val="solid" w:color="FFFFFF" w:fill="auto"/>
          </w:tcPr>
          <w:p w14:paraId="5B06B4D6" w14:textId="021C8F17"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2B5465FD" w14:textId="1CAA2951"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5FD95221" w14:textId="385AF252" w:rsidR="00252264" w:rsidRPr="00873B6C" w:rsidRDefault="00252264" w:rsidP="002C4A81">
            <w:pPr>
              <w:pStyle w:val="TAC"/>
              <w:rPr>
                <w:sz w:val="16"/>
                <w:szCs w:val="16"/>
              </w:rPr>
            </w:pPr>
            <w:r w:rsidRPr="00873B6C">
              <w:rPr>
                <w:sz w:val="16"/>
                <w:szCs w:val="16"/>
              </w:rPr>
              <w:t>SP-230451</w:t>
            </w:r>
          </w:p>
        </w:tc>
        <w:tc>
          <w:tcPr>
            <w:tcW w:w="567" w:type="dxa"/>
            <w:shd w:val="solid" w:color="FFFFFF" w:fill="auto"/>
          </w:tcPr>
          <w:p w14:paraId="2F30B72C" w14:textId="46FFD89A" w:rsidR="00252264" w:rsidRPr="00873B6C" w:rsidRDefault="00252264" w:rsidP="002C4A81">
            <w:pPr>
              <w:pStyle w:val="TAL"/>
              <w:rPr>
                <w:sz w:val="16"/>
                <w:szCs w:val="16"/>
              </w:rPr>
            </w:pPr>
            <w:r w:rsidRPr="00873B6C">
              <w:rPr>
                <w:sz w:val="16"/>
                <w:szCs w:val="16"/>
              </w:rPr>
              <w:t>4658</w:t>
            </w:r>
          </w:p>
        </w:tc>
        <w:tc>
          <w:tcPr>
            <w:tcW w:w="425" w:type="dxa"/>
            <w:shd w:val="solid" w:color="FFFFFF" w:fill="auto"/>
          </w:tcPr>
          <w:p w14:paraId="7AEFDE22" w14:textId="6025640F" w:rsidR="00252264" w:rsidRPr="00873B6C" w:rsidRDefault="00252264" w:rsidP="002C4A81">
            <w:pPr>
              <w:pStyle w:val="TAL"/>
              <w:rPr>
                <w:sz w:val="16"/>
                <w:szCs w:val="16"/>
              </w:rPr>
            </w:pPr>
            <w:r w:rsidRPr="00873B6C">
              <w:rPr>
                <w:sz w:val="16"/>
                <w:szCs w:val="16"/>
              </w:rPr>
              <w:t>2</w:t>
            </w:r>
          </w:p>
        </w:tc>
        <w:tc>
          <w:tcPr>
            <w:tcW w:w="425" w:type="dxa"/>
            <w:shd w:val="solid" w:color="FFFFFF" w:fill="auto"/>
          </w:tcPr>
          <w:p w14:paraId="5F29C5AC" w14:textId="157C84AB"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6091331F" w14:textId="64FA5934" w:rsidR="00252264" w:rsidRPr="00873B6C" w:rsidRDefault="00252264" w:rsidP="002C4A81">
            <w:pPr>
              <w:pStyle w:val="TAL"/>
              <w:rPr>
                <w:sz w:val="16"/>
                <w:szCs w:val="16"/>
              </w:rPr>
            </w:pPr>
            <w:r w:rsidRPr="00873B6C">
              <w:rPr>
                <w:sz w:val="16"/>
                <w:szCs w:val="16"/>
              </w:rPr>
              <w:t>Completion of Support discontinuous coverage</w:t>
            </w:r>
          </w:p>
        </w:tc>
        <w:tc>
          <w:tcPr>
            <w:tcW w:w="708" w:type="dxa"/>
            <w:shd w:val="solid" w:color="FFFFFF" w:fill="auto"/>
          </w:tcPr>
          <w:p w14:paraId="3D630BB9" w14:textId="733D0BDC" w:rsidR="00252264" w:rsidRPr="00873B6C" w:rsidRDefault="00252264" w:rsidP="002C4A81">
            <w:pPr>
              <w:pStyle w:val="TAC"/>
              <w:rPr>
                <w:sz w:val="16"/>
                <w:szCs w:val="16"/>
              </w:rPr>
            </w:pPr>
            <w:r w:rsidRPr="00873B6C">
              <w:rPr>
                <w:sz w:val="16"/>
                <w:szCs w:val="16"/>
              </w:rPr>
              <w:t>18.2.0</w:t>
            </w:r>
          </w:p>
        </w:tc>
      </w:tr>
      <w:tr w:rsidR="00252264" w:rsidRPr="00873B6C" w14:paraId="62786AFA" w14:textId="77777777" w:rsidTr="009D14FB">
        <w:tc>
          <w:tcPr>
            <w:tcW w:w="800" w:type="dxa"/>
            <w:shd w:val="solid" w:color="FFFFFF" w:fill="auto"/>
          </w:tcPr>
          <w:p w14:paraId="05321047" w14:textId="40ACF6ED"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6CA713EF" w14:textId="4689B079"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60B4B51A" w14:textId="7AE425F5" w:rsidR="00252264" w:rsidRPr="00873B6C" w:rsidRDefault="00252264" w:rsidP="002C4A81">
            <w:pPr>
              <w:pStyle w:val="TAC"/>
              <w:rPr>
                <w:sz w:val="16"/>
                <w:szCs w:val="16"/>
              </w:rPr>
            </w:pPr>
            <w:r w:rsidRPr="00873B6C">
              <w:rPr>
                <w:sz w:val="16"/>
                <w:szCs w:val="16"/>
              </w:rPr>
              <w:t>SP-230490</w:t>
            </w:r>
          </w:p>
        </w:tc>
        <w:tc>
          <w:tcPr>
            <w:tcW w:w="567" w:type="dxa"/>
            <w:shd w:val="solid" w:color="FFFFFF" w:fill="auto"/>
          </w:tcPr>
          <w:p w14:paraId="0F949B43" w14:textId="2B43EBA6" w:rsidR="00252264" w:rsidRPr="00873B6C" w:rsidRDefault="00252264" w:rsidP="002C4A81">
            <w:pPr>
              <w:pStyle w:val="TAL"/>
              <w:rPr>
                <w:sz w:val="16"/>
                <w:szCs w:val="16"/>
              </w:rPr>
            </w:pPr>
            <w:r w:rsidRPr="00873B6C">
              <w:rPr>
                <w:sz w:val="16"/>
                <w:szCs w:val="16"/>
              </w:rPr>
              <w:t>4659</w:t>
            </w:r>
          </w:p>
        </w:tc>
        <w:tc>
          <w:tcPr>
            <w:tcW w:w="425" w:type="dxa"/>
            <w:shd w:val="solid" w:color="FFFFFF" w:fill="auto"/>
          </w:tcPr>
          <w:p w14:paraId="531513A2" w14:textId="67B4030A" w:rsidR="00252264" w:rsidRPr="00873B6C" w:rsidRDefault="00252264" w:rsidP="002C4A81">
            <w:pPr>
              <w:pStyle w:val="TAL"/>
              <w:rPr>
                <w:sz w:val="16"/>
                <w:szCs w:val="16"/>
              </w:rPr>
            </w:pPr>
            <w:r w:rsidRPr="00873B6C">
              <w:rPr>
                <w:sz w:val="16"/>
                <w:szCs w:val="16"/>
              </w:rPr>
              <w:t>2</w:t>
            </w:r>
          </w:p>
        </w:tc>
        <w:tc>
          <w:tcPr>
            <w:tcW w:w="425" w:type="dxa"/>
            <w:shd w:val="solid" w:color="FFFFFF" w:fill="auto"/>
          </w:tcPr>
          <w:p w14:paraId="6A9F13D4" w14:textId="7FE57843" w:rsidR="00252264" w:rsidRPr="00873B6C" w:rsidRDefault="00252264" w:rsidP="002C4A81">
            <w:pPr>
              <w:pStyle w:val="TAL"/>
              <w:rPr>
                <w:sz w:val="16"/>
                <w:szCs w:val="16"/>
              </w:rPr>
            </w:pPr>
            <w:r w:rsidRPr="00873B6C">
              <w:rPr>
                <w:sz w:val="16"/>
                <w:szCs w:val="16"/>
              </w:rPr>
              <w:t>F</w:t>
            </w:r>
          </w:p>
        </w:tc>
        <w:tc>
          <w:tcPr>
            <w:tcW w:w="4820" w:type="dxa"/>
            <w:shd w:val="solid" w:color="FFFFFF" w:fill="auto"/>
          </w:tcPr>
          <w:p w14:paraId="73C88E05" w14:textId="2143962E" w:rsidR="00252264" w:rsidRPr="00873B6C" w:rsidRDefault="00252264" w:rsidP="002C4A81">
            <w:pPr>
              <w:pStyle w:val="TAL"/>
              <w:rPr>
                <w:sz w:val="16"/>
                <w:szCs w:val="16"/>
              </w:rPr>
            </w:pPr>
            <w:r w:rsidRPr="00873B6C">
              <w:rPr>
                <w:sz w:val="16"/>
                <w:szCs w:val="16"/>
              </w:rPr>
              <w:t>Transfer of emergency PDU session from non-3GPP to 3GPP access</w:t>
            </w:r>
          </w:p>
        </w:tc>
        <w:tc>
          <w:tcPr>
            <w:tcW w:w="708" w:type="dxa"/>
            <w:shd w:val="solid" w:color="FFFFFF" w:fill="auto"/>
          </w:tcPr>
          <w:p w14:paraId="6FFD4622" w14:textId="38E535A8" w:rsidR="00252264" w:rsidRPr="00873B6C" w:rsidRDefault="00252264" w:rsidP="002C4A81">
            <w:pPr>
              <w:pStyle w:val="TAC"/>
              <w:rPr>
                <w:sz w:val="16"/>
                <w:szCs w:val="16"/>
              </w:rPr>
            </w:pPr>
            <w:r w:rsidRPr="00873B6C">
              <w:rPr>
                <w:sz w:val="16"/>
                <w:szCs w:val="16"/>
              </w:rPr>
              <w:t>18.2.0</w:t>
            </w:r>
          </w:p>
        </w:tc>
      </w:tr>
      <w:tr w:rsidR="00252264" w:rsidRPr="00873B6C" w14:paraId="4B710107" w14:textId="77777777" w:rsidTr="009D14FB">
        <w:tc>
          <w:tcPr>
            <w:tcW w:w="800" w:type="dxa"/>
            <w:shd w:val="solid" w:color="FFFFFF" w:fill="auto"/>
          </w:tcPr>
          <w:p w14:paraId="57F475F3" w14:textId="4941519E"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585DDC58" w14:textId="69E4FFB3"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23DAF97B" w14:textId="5CDA6BC6" w:rsidR="00252264" w:rsidRPr="00873B6C" w:rsidRDefault="00252264" w:rsidP="002C4A81">
            <w:pPr>
              <w:pStyle w:val="TAC"/>
              <w:rPr>
                <w:sz w:val="16"/>
                <w:szCs w:val="16"/>
              </w:rPr>
            </w:pPr>
            <w:r w:rsidRPr="00873B6C">
              <w:rPr>
                <w:sz w:val="16"/>
                <w:szCs w:val="16"/>
              </w:rPr>
              <w:t>SP-230492</w:t>
            </w:r>
          </w:p>
        </w:tc>
        <w:tc>
          <w:tcPr>
            <w:tcW w:w="567" w:type="dxa"/>
            <w:shd w:val="solid" w:color="FFFFFF" w:fill="auto"/>
          </w:tcPr>
          <w:p w14:paraId="22A1B189" w14:textId="1132660C" w:rsidR="00252264" w:rsidRPr="00873B6C" w:rsidRDefault="00252264" w:rsidP="002C4A81">
            <w:pPr>
              <w:pStyle w:val="TAL"/>
              <w:rPr>
                <w:sz w:val="16"/>
                <w:szCs w:val="16"/>
              </w:rPr>
            </w:pPr>
            <w:r w:rsidRPr="00873B6C">
              <w:rPr>
                <w:sz w:val="16"/>
                <w:szCs w:val="16"/>
              </w:rPr>
              <w:t>4666</w:t>
            </w:r>
          </w:p>
        </w:tc>
        <w:tc>
          <w:tcPr>
            <w:tcW w:w="425" w:type="dxa"/>
            <w:shd w:val="solid" w:color="FFFFFF" w:fill="auto"/>
          </w:tcPr>
          <w:p w14:paraId="3024A40C" w14:textId="5581A30A" w:rsidR="00252264" w:rsidRPr="00873B6C" w:rsidRDefault="00252264" w:rsidP="002C4A81">
            <w:pPr>
              <w:pStyle w:val="TAL"/>
              <w:rPr>
                <w:sz w:val="16"/>
                <w:szCs w:val="16"/>
              </w:rPr>
            </w:pPr>
            <w:r w:rsidRPr="00873B6C">
              <w:rPr>
                <w:sz w:val="16"/>
                <w:szCs w:val="16"/>
              </w:rPr>
              <w:t>1</w:t>
            </w:r>
          </w:p>
        </w:tc>
        <w:tc>
          <w:tcPr>
            <w:tcW w:w="425" w:type="dxa"/>
            <w:shd w:val="solid" w:color="FFFFFF" w:fill="auto"/>
          </w:tcPr>
          <w:p w14:paraId="08B61A95" w14:textId="695897D0"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4D267EC6" w14:textId="06C4F6F5" w:rsidR="00252264" w:rsidRPr="00873B6C" w:rsidRDefault="00252264" w:rsidP="002C4A81">
            <w:pPr>
              <w:pStyle w:val="TAL"/>
              <w:rPr>
                <w:sz w:val="16"/>
                <w:szCs w:val="16"/>
              </w:rPr>
            </w:pPr>
            <w:r w:rsidRPr="00873B6C">
              <w:rPr>
                <w:sz w:val="16"/>
                <w:szCs w:val="16"/>
              </w:rPr>
              <w:t>23.501 - Spending Limits for AM and UE Policies in the 5GC</w:t>
            </w:r>
          </w:p>
        </w:tc>
        <w:tc>
          <w:tcPr>
            <w:tcW w:w="708" w:type="dxa"/>
            <w:shd w:val="solid" w:color="FFFFFF" w:fill="auto"/>
          </w:tcPr>
          <w:p w14:paraId="58DA580E" w14:textId="4D42DA2A" w:rsidR="00252264" w:rsidRPr="00873B6C" w:rsidRDefault="00252264" w:rsidP="002C4A81">
            <w:pPr>
              <w:pStyle w:val="TAC"/>
              <w:rPr>
                <w:sz w:val="16"/>
                <w:szCs w:val="16"/>
              </w:rPr>
            </w:pPr>
            <w:r w:rsidRPr="00873B6C">
              <w:rPr>
                <w:sz w:val="16"/>
                <w:szCs w:val="16"/>
              </w:rPr>
              <w:t>18.2.0</w:t>
            </w:r>
          </w:p>
        </w:tc>
      </w:tr>
      <w:tr w:rsidR="00252264" w:rsidRPr="00873B6C" w14:paraId="2F7071EF" w14:textId="77777777" w:rsidTr="009D14FB">
        <w:tc>
          <w:tcPr>
            <w:tcW w:w="800" w:type="dxa"/>
            <w:shd w:val="solid" w:color="FFFFFF" w:fill="auto"/>
          </w:tcPr>
          <w:p w14:paraId="20980776" w14:textId="07CFB3B2"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0362EFF8" w14:textId="462D6D49"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059CB61E" w14:textId="64FA08DC" w:rsidR="00252264" w:rsidRPr="00873B6C" w:rsidRDefault="00252264" w:rsidP="002C4A81">
            <w:pPr>
              <w:pStyle w:val="TAC"/>
              <w:rPr>
                <w:sz w:val="16"/>
                <w:szCs w:val="16"/>
              </w:rPr>
            </w:pPr>
            <w:r w:rsidRPr="00873B6C">
              <w:rPr>
                <w:sz w:val="16"/>
                <w:szCs w:val="16"/>
              </w:rPr>
              <w:t>SP-230496</w:t>
            </w:r>
          </w:p>
        </w:tc>
        <w:tc>
          <w:tcPr>
            <w:tcW w:w="567" w:type="dxa"/>
            <w:shd w:val="solid" w:color="FFFFFF" w:fill="auto"/>
          </w:tcPr>
          <w:p w14:paraId="68035923" w14:textId="57C65725" w:rsidR="00252264" w:rsidRPr="00873B6C" w:rsidRDefault="00252264" w:rsidP="002C4A81">
            <w:pPr>
              <w:pStyle w:val="TAL"/>
              <w:rPr>
                <w:sz w:val="16"/>
                <w:szCs w:val="16"/>
              </w:rPr>
            </w:pPr>
            <w:r w:rsidRPr="00873B6C">
              <w:rPr>
                <w:sz w:val="16"/>
                <w:szCs w:val="16"/>
              </w:rPr>
              <w:t>4669</w:t>
            </w:r>
          </w:p>
        </w:tc>
        <w:tc>
          <w:tcPr>
            <w:tcW w:w="425" w:type="dxa"/>
            <w:shd w:val="solid" w:color="FFFFFF" w:fill="auto"/>
          </w:tcPr>
          <w:p w14:paraId="637F956A" w14:textId="6F0A072C" w:rsidR="00252264" w:rsidRPr="00873B6C" w:rsidRDefault="00252264" w:rsidP="002C4A81">
            <w:pPr>
              <w:pStyle w:val="TAL"/>
              <w:rPr>
                <w:sz w:val="16"/>
                <w:szCs w:val="16"/>
              </w:rPr>
            </w:pPr>
            <w:r w:rsidRPr="00873B6C">
              <w:rPr>
                <w:sz w:val="16"/>
                <w:szCs w:val="16"/>
              </w:rPr>
              <w:t>1</w:t>
            </w:r>
          </w:p>
        </w:tc>
        <w:tc>
          <w:tcPr>
            <w:tcW w:w="425" w:type="dxa"/>
            <w:shd w:val="solid" w:color="FFFFFF" w:fill="auto"/>
          </w:tcPr>
          <w:p w14:paraId="3093ED75" w14:textId="6EC20FED"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36097533" w14:textId="25E9FB7F" w:rsidR="00252264" w:rsidRPr="00873B6C" w:rsidRDefault="00252264" w:rsidP="002C4A81">
            <w:pPr>
              <w:pStyle w:val="TAL"/>
              <w:rPr>
                <w:sz w:val="16"/>
                <w:szCs w:val="16"/>
              </w:rPr>
            </w:pPr>
            <w:r w:rsidRPr="00873B6C">
              <w:rPr>
                <w:sz w:val="16"/>
                <w:szCs w:val="16"/>
              </w:rPr>
              <w:t>Open issue resolutions for MBSR support</w:t>
            </w:r>
          </w:p>
        </w:tc>
        <w:tc>
          <w:tcPr>
            <w:tcW w:w="708" w:type="dxa"/>
            <w:shd w:val="solid" w:color="FFFFFF" w:fill="auto"/>
          </w:tcPr>
          <w:p w14:paraId="23E1FB3F" w14:textId="1C620F7B" w:rsidR="00252264" w:rsidRPr="00873B6C" w:rsidRDefault="00252264" w:rsidP="002C4A81">
            <w:pPr>
              <w:pStyle w:val="TAC"/>
              <w:rPr>
                <w:sz w:val="16"/>
                <w:szCs w:val="16"/>
              </w:rPr>
            </w:pPr>
            <w:r w:rsidRPr="00873B6C">
              <w:rPr>
                <w:sz w:val="16"/>
                <w:szCs w:val="16"/>
              </w:rPr>
              <w:t>18.2.0</w:t>
            </w:r>
          </w:p>
        </w:tc>
      </w:tr>
      <w:tr w:rsidR="00252264" w:rsidRPr="00873B6C" w14:paraId="194B659D" w14:textId="77777777" w:rsidTr="009D14FB">
        <w:tc>
          <w:tcPr>
            <w:tcW w:w="800" w:type="dxa"/>
            <w:shd w:val="solid" w:color="FFFFFF" w:fill="auto"/>
          </w:tcPr>
          <w:p w14:paraId="2F5B978F" w14:textId="7C85E896"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67D2129A" w14:textId="3838B74E"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01208CFE" w14:textId="7B69C17C" w:rsidR="00252264" w:rsidRPr="00873B6C" w:rsidRDefault="00252264" w:rsidP="002C4A81">
            <w:pPr>
              <w:pStyle w:val="TAC"/>
              <w:rPr>
                <w:sz w:val="16"/>
                <w:szCs w:val="16"/>
              </w:rPr>
            </w:pPr>
            <w:r w:rsidRPr="00873B6C">
              <w:rPr>
                <w:sz w:val="16"/>
                <w:szCs w:val="16"/>
              </w:rPr>
              <w:t>SP-230496</w:t>
            </w:r>
          </w:p>
        </w:tc>
        <w:tc>
          <w:tcPr>
            <w:tcW w:w="567" w:type="dxa"/>
            <w:shd w:val="solid" w:color="FFFFFF" w:fill="auto"/>
          </w:tcPr>
          <w:p w14:paraId="58CDA717" w14:textId="72DD0C11" w:rsidR="00252264" w:rsidRPr="00873B6C" w:rsidRDefault="00252264" w:rsidP="002C4A81">
            <w:pPr>
              <w:pStyle w:val="TAL"/>
              <w:rPr>
                <w:sz w:val="16"/>
                <w:szCs w:val="16"/>
              </w:rPr>
            </w:pPr>
            <w:r w:rsidRPr="00873B6C">
              <w:rPr>
                <w:sz w:val="16"/>
                <w:szCs w:val="16"/>
              </w:rPr>
              <w:t>4670</w:t>
            </w:r>
          </w:p>
        </w:tc>
        <w:tc>
          <w:tcPr>
            <w:tcW w:w="425" w:type="dxa"/>
            <w:shd w:val="solid" w:color="FFFFFF" w:fill="auto"/>
          </w:tcPr>
          <w:p w14:paraId="64900DBF" w14:textId="2524D520" w:rsidR="00252264" w:rsidRPr="00873B6C" w:rsidRDefault="00252264" w:rsidP="002C4A81">
            <w:pPr>
              <w:pStyle w:val="TAL"/>
              <w:rPr>
                <w:sz w:val="16"/>
                <w:szCs w:val="16"/>
              </w:rPr>
            </w:pPr>
            <w:r w:rsidRPr="00873B6C">
              <w:rPr>
                <w:sz w:val="16"/>
                <w:szCs w:val="16"/>
              </w:rPr>
              <w:t>3</w:t>
            </w:r>
          </w:p>
        </w:tc>
        <w:tc>
          <w:tcPr>
            <w:tcW w:w="425" w:type="dxa"/>
            <w:shd w:val="solid" w:color="FFFFFF" w:fill="auto"/>
          </w:tcPr>
          <w:p w14:paraId="056C4F60" w14:textId="1110E44D"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272DDA70" w14:textId="50130FE0" w:rsidR="00252264" w:rsidRPr="00873B6C" w:rsidRDefault="00252264" w:rsidP="002C4A81">
            <w:pPr>
              <w:pStyle w:val="TAL"/>
              <w:rPr>
                <w:sz w:val="16"/>
                <w:szCs w:val="16"/>
              </w:rPr>
            </w:pPr>
            <w:r w:rsidRPr="00873B6C">
              <w:rPr>
                <w:sz w:val="16"/>
                <w:szCs w:val="16"/>
              </w:rPr>
              <w:t>MBSR registration and authorization support</w:t>
            </w:r>
          </w:p>
        </w:tc>
        <w:tc>
          <w:tcPr>
            <w:tcW w:w="708" w:type="dxa"/>
            <w:shd w:val="solid" w:color="FFFFFF" w:fill="auto"/>
          </w:tcPr>
          <w:p w14:paraId="2521B5E2" w14:textId="0654DD2B" w:rsidR="00252264" w:rsidRPr="00873B6C" w:rsidRDefault="00252264" w:rsidP="002C4A81">
            <w:pPr>
              <w:pStyle w:val="TAC"/>
              <w:rPr>
                <w:sz w:val="16"/>
                <w:szCs w:val="16"/>
              </w:rPr>
            </w:pPr>
            <w:r w:rsidRPr="00873B6C">
              <w:rPr>
                <w:sz w:val="16"/>
                <w:szCs w:val="16"/>
              </w:rPr>
              <w:t>18.2.0</w:t>
            </w:r>
          </w:p>
        </w:tc>
      </w:tr>
      <w:tr w:rsidR="00252264" w:rsidRPr="00873B6C" w14:paraId="47CFC9E8" w14:textId="77777777" w:rsidTr="009D14FB">
        <w:tc>
          <w:tcPr>
            <w:tcW w:w="800" w:type="dxa"/>
            <w:shd w:val="solid" w:color="FFFFFF" w:fill="auto"/>
          </w:tcPr>
          <w:p w14:paraId="780B32C8" w14:textId="0981AC6A"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60A80D21" w14:textId="4EC01DE6"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2A0C892D" w14:textId="23D678AF" w:rsidR="00252264" w:rsidRPr="00873B6C" w:rsidRDefault="00252264" w:rsidP="002C4A81">
            <w:pPr>
              <w:pStyle w:val="TAC"/>
              <w:rPr>
                <w:sz w:val="16"/>
                <w:szCs w:val="16"/>
              </w:rPr>
            </w:pPr>
            <w:r w:rsidRPr="00873B6C">
              <w:rPr>
                <w:sz w:val="16"/>
                <w:szCs w:val="16"/>
              </w:rPr>
              <w:t>SP-230451</w:t>
            </w:r>
          </w:p>
        </w:tc>
        <w:tc>
          <w:tcPr>
            <w:tcW w:w="567" w:type="dxa"/>
            <w:shd w:val="solid" w:color="FFFFFF" w:fill="auto"/>
          </w:tcPr>
          <w:p w14:paraId="3DF74330" w14:textId="3B47CDA8" w:rsidR="00252264" w:rsidRPr="00873B6C" w:rsidRDefault="00252264" w:rsidP="002C4A81">
            <w:pPr>
              <w:pStyle w:val="TAL"/>
              <w:rPr>
                <w:sz w:val="16"/>
                <w:szCs w:val="16"/>
              </w:rPr>
            </w:pPr>
            <w:r w:rsidRPr="00873B6C">
              <w:rPr>
                <w:sz w:val="16"/>
                <w:szCs w:val="16"/>
              </w:rPr>
              <w:t>4685</w:t>
            </w:r>
          </w:p>
        </w:tc>
        <w:tc>
          <w:tcPr>
            <w:tcW w:w="425" w:type="dxa"/>
            <w:shd w:val="solid" w:color="FFFFFF" w:fill="auto"/>
          </w:tcPr>
          <w:p w14:paraId="51D958FC" w14:textId="4CA97C59" w:rsidR="00252264" w:rsidRPr="00873B6C" w:rsidRDefault="00252264" w:rsidP="002C4A81">
            <w:pPr>
              <w:pStyle w:val="TAL"/>
              <w:rPr>
                <w:sz w:val="16"/>
                <w:szCs w:val="16"/>
              </w:rPr>
            </w:pPr>
            <w:r w:rsidRPr="00873B6C">
              <w:rPr>
                <w:sz w:val="16"/>
                <w:szCs w:val="16"/>
              </w:rPr>
              <w:t>3</w:t>
            </w:r>
          </w:p>
        </w:tc>
        <w:tc>
          <w:tcPr>
            <w:tcW w:w="425" w:type="dxa"/>
            <w:shd w:val="solid" w:color="FFFFFF" w:fill="auto"/>
          </w:tcPr>
          <w:p w14:paraId="1A379F81" w14:textId="1D1445C4"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62EED72D" w14:textId="2DC5251B" w:rsidR="00252264" w:rsidRPr="00873B6C" w:rsidRDefault="00252264" w:rsidP="002C4A81">
            <w:pPr>
              <w:pStyle w:val="TAL"/>
              <w:rPr>
                <w:sz w:val="16"/>
                <w:szCs w:val="16"/>
              </w:rPr>
            </w:pPr>
            <w:r w:rsidRPr="00873B6C">
              <w:rPr>
                <w:sz w:val="16"/>
                <w:szCs w:val="16"/>
              </w:rPr>
              <w:t>Discontinuous coverage reporting</w:t>
            </w:r>
          </w:p>
        </w:tc>
        <w:tc>
          <w:tcPr>
            <w:tcW w:w="708" w:type="dxa"/>
            <w:shd w:val="solid" w:color="FFFFFF" w:fill="auto"/>
          </w:tcPr>
          <w:p w14:paraId="7FC1C5D7" w14:textId="7F2D396C" w:rsidR="00252264" w:rsidRPr="00873B6C" w:rsidRDefault="00252264" w:rsidP="002C4A81">
            <w:pPr>
              <w:pStyle w:val="TAC"/>
              <w:rPr>
                <w:sz w:val="16"/>
                <w:szCs w:val="16"/>
              </w:rPr>
            </w:pPr>
            <w:r w:rsidRPr="00873B6C">
              <w:rPr>
                <w:sz w:val="16"/>
                <w:szCs w:val="16"/>
              </w:rPr>
              <w:t>18.2.0</w:t>
            </w:r>
          </w:p>
        </w:tc>
      </w:tr>
      <w:tr w:rsidR="00252264" w:rsidRPr="00873B6C" w14:paraId="11492055" w14:textId="77777777" w:rsidTr="009D14FB">
        <w:tc>
          <w:tcPr>
            <w:tcW w:w="800" w:type="dxa"/>
            <w:shd w:val="solid" w:color="FFFFFF" w:fill="auto"/>
          </w:tcPr>
          <w:p w14:paraId="32A33315" w14:textId="3D6A06D7"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39EB8858" w14:textId="27953528"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1BDA5809" w14:textId="60CF44CA" w:rsidR="00252264" w:rsidRPr="00873B6C" w:rsidRDefault="00252264" w:rsidP="002C4A81">
            <w:pPr>
              <w:pStyle w:val="TAC"/>
              <w:rPr>
                <w:sz w:val="16"/>
                <w:szCs w:val="16"/>
              </w:rPr>
            </w:pPr>
            <w:r w:rsidRPr="00873B6C">
              <w:rPr>
                <w:sz w:val="16"/>
                <w:szCs w:val="16"/>
              </w:rPr>
              <w:t>SP-230461</w:t>
            </w:r>
          </w:p>
        </w:tc>
        <w:tc>
          <w:tcPr>
            <w:tcW w:w="567" w:type="dxa"/>
            <w:shd w:val="solid" w:color="FFFFFF" w:fill="auto"/>
          </w:tcPr>
          <w:p w14:paraId="2270105C" w14:textId="22250B36" w:rsidR="00252264" w:rsidRPr="00873B6C" w:rsidRDefault="00252264" w:rsidP="002C4A81">
            <w:pPr>
              <w:pStyle w:val="TAL"/>
              <w:rPr>
                <w:sz w:val="16"/>
                <w:szCs w:val="16"/>
              </w:rPr>
            </w:pPr>
            <w:r w:rsidRPr="00873B6C">
              <w:rPr>
                <w:sz w:val="16"/>
                <w:szCs w:val="16"/>
              </w:rPr>
              <w:t>4686</w:t>
            </w:r>
          </w:p>
        </w:tc>
        <w:tc>
          <w:tcPr>
            <w:tcW w:w="425" w:type="dxa"/>
            <w:shd w:val="solid" w:color="FFFFFF" w:fill="auto"/>
          </w:tcPr>
          <w:p w14:paraId="40307103" w14:textId="022BDBA1" w:rsidR="00252264" w:rsidRPr="00873B6C" w:rsidRDefault="00252264" w:rsidP="002C4A81">
            <w:pPr>
              <w:pStyle w:val="TAL"/>
              <w:rPr>
                <w:sz w:val="16"/>
                <w:szCs w:val="16"/>
              </w:rPr>
            </w:pPr>
            <w:r w:rsidRPr="00873B6C">
              <w:rPr>
                <w:sz w:val="16"/>
                <w:szCs w:val="16"/>
              </w:rPr>
              <w:t>2</w:t>
            </w:r>
          </w:p>
        </w:tc>
        <w:tc>
          <w:tcPr>
            <w:tcW w:w="425" w:type="dxa"/>
            <w:shd w:val="solid" w:color="FFFFFF" w:fill="auto"/>
          </w:tcPr>
          <w:p w14:paraId="1D6C66E5" w14:textId="67956E20"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62B41AC2" w14:textId="6AAEBC22" w:rsidR="00252264" w:rsidRPr="00873B6C" w:rsidRDefault="00252264" w:rsidP="002C4A81">
            <w:pPr>
              <w:pStyle w:val="TAL"/>
              <w:rPr>
                <w:sz w:val="16"/>
                <w:szCs w:val="16"/>
              </w:rPr>
            </w:pPr>
            <w:r w:rsidRPr="00873B6C">
              <w:rPr>
                <w:sz w:val="16"/>
                <w:szCs w:val="16"/>
              </w:rPr>
              <w:t>Common EAS/DNAI determination for a set of UEs</w:t>
            </w:r>
          </w:p>
        </w:tc>
        <w:tc>
          <w:tcPr>
            <w:tcW w:w="708" w:type="dxa"/>
            <w:shd w:val="solid" w:color="FFFFFF" w:fill="auto"/>
          </w:tcPr>
          <w:p w14:paraId="32736DD4" w14:textId="4C745485" w:rsidR="00252264" w:rsidRPr="00873B6C" w:rsidRDefault="00252264" w:rsidP="002C4A81">
            <w:pPr>
              <w:pStyle w:val="TAC"/>
              <w:rPr>
                <w:sz w:val="16"/>
                <w:szCs w:val="16"/>
              </w:rPr>
            </w:pPr>
            <w:r w:rsidRPr="00873B6C">
              <w:rPr>
                <w:sz w:val="16"/>
                <w:szCs w:val="16"/>
              </w:rPr>
              <w:t>18.2.0</w:t>
            </w:r>
          </w:p>
        </w:tc>
      </w:tr>
      <w:tr w:rsidR="00252264" w:rsidRPr="00873B6C" w14:paraId="13956417" w14:textId="77777777" w:rsidTr="009D14FB">
        <w:tc>
          <w:tcPr>
            <w:tcW w:w="800" w:type="dxa"/>
            <w:shd w:val="solid" w:color="FFFFFF" w:fill="auto"/>
          </w:tcPr>
          <w:p w14:paraId="4703ECFA" w14:textId="652D88F7"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7CA71C3E" w14:textId="1EEC57EE"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31F3662B" w14:textId="08602505" w:rsidR="00252264" w:rsidRPr="00873B6C" w:rsidRDefault="00252264" w:rsidP="002C4A81">
            <w:pPr>
              <w:pStyle w:val="TAC"/>
              <w:rPr>
                <w:sz w:val="16"/>
                <w:szCs w:val="16"/>
              </w:rPr>
            </w:pPr>
            <w:r w:rsidRPr="00873B6C">
              <w:rPr>
                <w:sz w:val="16"/>
                <w:szCs w:val="16"/>
              </w:rPr>
              <w:t>SP-230461</w:t>
            </w:r>
          </w:p>
        </w:tc>
        <w:tc>
          <w:tcPr>
            <w:tcW w:w="567" w:type="dxa"/>
            <w:shd w:val="solid" w:color="FFFFFF" w:fill="auto"/>
          </w:tcPr>
          <w:p w14:paraId="61A34BF9" w14:textId="6BF60406" w:rsidR="00252264" w:rsidRPr="00873B6C" w:rsidRDefault="00252264" w:rsidP="002C4A81">
            <w:pPr>
              <w:pStyle w:val="TAL"/>
              <w:rPr>
                <w:sz w:val="16"/>
                <w:szCs w:val="16"/>
              </w:rPr>
            </w:pPr>
            <w:r w:rsidRPr="00873B6C">
              <w:rPr>
                <w:sz w:val="16"/>
                <w:szCs w:val="16"/>
              </w:rPr>
              <w:t>4688</w:t>
            </w:r>
          </w:p>
        </w:tc>
        <w:tc>
          <w:tcPr>
            <w:tcW w:w="425" w:type="dxa"/>
            <w:shd w:val="solid" w:color="FFFFFF" w:fill="auto"/>
          </w:tcPr>
          <w:p w14:paraId="50A66CD1" w14:textId="58054DB8" w:rsidR="00252264" w:rsidRPr="00873B6C" w:rsidRDefault="00252264" w:rsidP="002C4A81">
            <w:pPr>
              <w:pStyle w:val="TAL"/>
              <w:rPr>
                <w:sz w:val="16"/>
                <w:szCs w:val="16"/>
              </w:rPr>
            </w:pPr>
            <w:r w:rsidRPr="00873B6C">
              <w:rPr>
                <w:sz w:val="16"/>
                <w:szCs w:val="16"/>
              </w:rPr>
              <w:t>-</w:t>
            </w:r>
          </w:p>
        </w:tc>
        <w:tc>
          <w:tcPr>
            <w:tcW w:w="425" w:type="dxa"/>
            <w:shd w:val="solid" w:color="FFFFFF" w:fill="auto"/>
          </w:tcPr>
          <w:p w14:paraId="1BA97435" w14:textId="5E836947" w:rsidR="00252264" w:rsidRPr="00873B6C" w:rsidRDefault="00252264" w:rsidP="002C4A81">
            <w:pPr>
              <w:pStyle w:val="TAL"/>
              <w:rPr>
                <w:sz w:val="16"/>
                <w:szCs w:val="16"/>
              </w:rPr>
            </w:pPr>
            <w:r w:rsidRPr="00873B6C">
              <w:rPr>
                <w:sz w:val="16"/>
                <w:szCs w:val="16"/>
              </w:rPr>
              <w:t>F</w:t>
            </w:r>
          </w:p>
        </w:tc>
        <w:tc>
          <w:tcPr>
            <w:tcW w:w="4820" w:type="dxa"/>
            <w:shd w:val="solid" w:color="FFFFFF" w:fill="auto"/>
          </w:tcPr>
          <w:p w14:paraId="4EDBC668" w14:textId="726AB609" w:rsidR="00252264" w:rsidRPr="00873B6C" w:rsidRDefault="00252264" w:rsidP="002C4A81">
            <w:pPr>
              <w:pStyle w:val="TAL"/>
              <w:rPr>
                <w:sz w:val="16"/>
                <w:szCs w:val="16"/>
              </w:rPr>
            </w:pPr>
            <w:r w:rsidRPr="00873B6C">
              <w:rPr>
                <w:sz w:val="16"/>
                <w:szCs w:val="16"/>
              </w:rPr>
              <w:t>SMF determining target AF ID</w:t>
            </w:r>
          </w:p>
        </w:tc>
        <w:tc>
          <w:tcPr>
            <w:tcW w:w="708" w:type="dxa"/>
            <w:shd w:val="solid" w:color="FFFFFF" w:fill="auto"/>
          </w:tcPr>
          <w:p w14:paraId="6057639D" w14:textId="02D67108" w:rsidR="00252264" w:rsidRPr="00873B6C" w:rsidRDefault="00252264" w:rsidP="002C4A81">
            <w:pPr>
              <w:pStyle w:val="TAC"/>
              <w:rPr>
                <w:sz w:val="16"/>
                <w:szCs w:val="16"/>
              </w:rPr>
            </w:pPr>
            <w:r w:rsidRPr="00873B6C">
              <w:rPr>
                <w:sz w:val="16"/>
                <w:szCs w:val="16"/>
              </w:rPr>
              <w:t>18.2.0</w:t>
            </w:r>
          </w:p>
        </w:tc>
      </w:tr>
      <w:tr w:rsidR="004A0323" w:rsidRPr="00873B6C" w14:paraId="1F44EE1F" w14:textId="77777777" w:rsidTr="009D14FB">
        <w:tc>
          <w:tcPr>
            <w:tcW w:w="800" w:type="dxa"/>
            <w:shd w:val="solid" w:color="FFFFFF" w:fill="auto"/>
          </w:tcPr>
          <w:p w14:paraId="1F37B18F" w14:textId="4BCC1D1C" w:rsidR="004A0323" w:rsidRPr="00873B6C" w:rsidRDefault="004A0323" w:rsidP="004A0323">
            <w:pPr>
              <w:pStyle w:val="TAC"/>
              <w:rPr>
                <w:sz w:val="16"/>
                <w:szCs w:val="16"/>
              </w:rPr>
            </w:pPr>
            <w:r w:rsidRPr="00873B6C">
              <w:rPr>
                <w:sz w:val="16"/>
                <w:szCs w:val="16"/>
              </w:rPr>
              <w:t>2023-06</w:t>
            </w:r>
          </w:p>
        </w:tc>
        <w:tc>
          <w:tcPr>
            <w:tcW w:w="800" w:type="dxa"/>
            <w:shd w:val="solid" w:color="FFFFFF" w:fill="auto"/>
          </w:tcPr>
          <w:p w14:paraId="36A3776B" w14:textId="70859C20" w:rsidR="004A0323" w:rsidRPr="00873B6C" w:rsidRDefault="004A0323" w:rsidP="004A0323">
            <w:pPr>
              <w:pStyle w:val="TAL"/>
              <w:rPr>
                <w:sz w:val="16"/>
                <w:szCs w:val="16"/>
              </w:rPr>
            </w:pPr>
            <w:r w:rsidRPr="00873B6C">
              <w:rPr>
                <w:sz w:val="16"/>
                <w:szCs w:val="16"/>
              </w:rPr>
              <w:t>SP#100</w:t>
            </w:r>
          </w:p>
        </w:tc>
        <w:tc>
          <w:tcPr>
            <w:tcW w:w="1094" w:type="dxa"/>
            <w:shd w:val="solid" w:color="FFFFFF" w:fill="auto"/>
          </w:tcPr>
          <w:p w14:paraId="38290DC0" w14:textId="5DD36D4D" w:rsidR="004A0323" w:rsidRPr="00873B6C" w:rsidRDefault="004A0323" w:rsidP="004A0323">
            <w:pPr>
              <w:pStyle w:val="TAC"/>
              <w:rPr>
                <w:sz w:val="16"/>
                <w:szCs w:val="16"/>
              </w:rPr>
            </w:pPr>
            <w:r w:rsidRPr="00873B6C">
              <w:rPr>
                <w:sz w:val="16"/>
                <w:szCs w:val="16"/>
              </w:rPr>
              <w:t>-</w:t>
            </w:r>
          </w:p>
        </w:tc>
        <w:tc>
          <w:tcPr>
            <w:tcW w:w="567" w:type="dxa"/>
            <w:shd w:val="solid" w:color="FFFFFF" w:fill="auto"/>
          </w:tcPr>
          <w:p w14:paraId="1A015C57" w14:textId="29F9894B" w:rsidR="004A0323" w:rsidRPr="00873B6C" w:rsidRDefault="004A0323" w:rsidP="004A0323">
            <w:pPr>
              <w:pStyle w:val="TAL"/>
              <w:rPr>
                <w:sz w:val="16"/>
                <w:szCs w:val="16"/>
              </w:rPr>
            </w:pPr>
            <w:r w:rsidRPr="00873B6C">
              <w:rPr>
                <w:sz w:val="16"/>
                <w:szCs w:val="16"/>
              </w:rPr>
              <w:t>-</w:t>
            </w:r>
          </w:p>
        </w:tc>
        <w:tc>
          <w:tcPr>
            <w:tcW w:w="425" w:type="dxa"/>
            <w:shd w:val="solid" w:color="FFFFFF" w:fill="auto"/>
          </w:tcPr>
          <w:p w14:paraId="41402410" w14:textId="14011FCC" w:rsidR="004A0323" w:rsidRPr="00873B6C" w:rsidRDefault="004A0323" w:rsidP="004A0323">
            <w:pPr>
              <w:pStyle w:val="TAL"/>
              <w:rPr>
                <w:sz w:val="16"/>
                <w:szCs w:val="16"/>
              </w:rPr>
            </w:pPr>
            <w:r w:rsidRPr="00873B6C">
              <w:rPr>
                <w:sz w:val="16"/>
                <w:szCs w:val="16"/>
              </w:rPr>
              <w:t>-</w:t>
            </w:r>
          </w:p>
        </w:tc>
        <w:tc>
          <w:tcPr>
            <w:tcW w:w="425" w:type="dxa"/>
            <w:shd w:val="solid" w:color="FFFFFF" w:fill="auto"/>
          </w:tcPr>
          <w:p w14:paraId="54B444F7" w14:textId="692A0DBE" w:rsidR="004A0323" w:rsidRPr="00873B6C" w:rsidRDefault="004A0323" w:rsidP="004A0323">
            <w:pPr>
              <w:pStyle w:val="TAL"/>
              <w:rPr>
                <w:sz w:val="16"/>
                <w:szCs w:val="16"/>
              </w:rPr>
            </w:pPr>
            <w:r w:rsidRPr="00873B6C">
              <w:rPr>
                <w:sz w:val="16"/>
                <w:szCs w:val="16"/>
              </w:rPr>
              <w:t>-</w:t>
            </w:r>
          </w:p>
        </w:tc>
        <w:tc>
          <w:tcPr>
            <w:tcW w:w="4820" w:type="dxa"/>
            <w:shd w:val="solid" w:color="FFFFFF" w:fill="auto"/>
          </w:tcPr>
          <w:p w14:paraId="22C698B1" w14:textId="3ED268A2" w:rsidR="004A0323" w:rsidRPr="00873B6C" w:rsidRDefault="004A0323" w:rsidP="004A0323">
            <w:pPr>
              <w:pStyle w:val="TAL"/>
              <w:rPr>
                <w:sz w:val="16"/>
                <w:szCs w:val="16"/>
              </w:rPr>
            </w:pPr>
            <w:r w:rsidRPr="00873B6C">
              <w:rPr>
                <w:sz w:val="16"/>
                <w:szCs w:val="16"/>
              </w:rPr>
              <w:t>MCC correction to table 7.2.8-1 for reference to Nnef_TrafficCorrelation_Notify clause in 23.502</w:t>
            </w:r>
          </w:p>
        </w:tc>
        <w:tc>
          <w:tcPr>
            <w:tcW w:w="708" w:type="dxa"/>
            <w:shd w:val="solid" w:color="FFFFFF" w:fill="auto"/>
          </w:tcPr>
          <w:p w14:paraId="37DC736D" w14:textId="281285AC" w:rsidR="004A0323" w:rsidRPr="00873B6C" w:rsidRDefault="004A0323" w:rsidP="004A0323">
            <w:pPr>
              <w:pStyle w:val="TAC"/>
              <w:rPr>
                <w:sz w:val="16"/>
                <w:szCs w:val="16"/>
              </w:rPr>
            </w:pPr>
            <w:r w:rsidRPr="00873B6C">
              <w:rPr>
                <w:sz w:val="16"/>
                <w:szCs w:val="16"/>
              </w:rPr>
              <w:t>18.2.1</w:t>
            </w:r>
          </w:p>
        </w:tc>
      </w:tr>
      <w:tr w:rsidR="008606DA" w:rsidRPr="00873B6C" w14:paraId="73B042C1" w14:textId="77777777" w:rsidTr="009D14FB">
        <w:tc>
          <w:tcPr>
            <w:tcW w:w="800" w:type="dxa"/>
            <w:shd w:val="solid" w:color="FFFFFF" w:fill="auto"/>
          </w:tcPr>
          <w:p w14:paraId="0009A186" w14:textId="356BF75D" w:rsidR="008606DA" w:rsidRPr="00873B6C" w:rsidRDefault="008606DA" w:rsidP="004A0323">
            <w:pPr>
              <w:pStyle w:val="TAC"/>
              <w:rPr>
                <w:sz w:val="16"/>
                <w:szCs w:val="16"/>
              </w:rPr>
            </w:pPr>
            <w:r w:rsidRPr="00873B6C">
              <w:rPr>
                <w:sz w:val="16"/>
                <w:szCs w:val="16"/>
              </w:rPr>
              <w:t>2023-07</w:t>
            </w:r>
          </w:p>
        </w:tc>
        <w:tc>
          <w:tcPr>
            <w:tcW w:w="800" w:type="dxa"/>
            <w:shd w:val="solid" w:color="FFFFFF" w:fill="auto"/>
          </w:tcPr>
          <w:p w14:paraId="0C863B91" w14:textId="29AE37AB" w:rsidR="008606DA" w:rsidRPr="00873B6C" w:rsidRDefault="008606DA" w:rsidP="004A0323">
            <w:pPr>
              <w:pStyle w:val="TAL"/>
              <w:rPr>
                <w:sz w:val="16"/>
                <w:szCs w:val="16"/>
              </w:rPr>
            </w:pPr>
            <w:r w:rsidRPr="00873B6C">
              <w:rPr>
                <w:sz w:val="16"/>
                <w:szCs w:val="16"/>
              </w:rPr>
              <w:t>SP#100</w:t>
            </w:r>
          </w:p>
        </w:tc>
        <w:tc>
          <w:tcPr>
            <w:tcW w:w="1094" w:type="dxa"/>
            <w:shd w:val="solid" w:color="FFFFFF" w:fill="auto"/>
          </w:tcPr>
          <w:p w14:paraId="14A7F1C3" w14:textId="1B9A672D" w:rsidR="008606DA" w:rsidRPr="00873B6C" w:rsidRDefault="008606DA" w:rsidP="004A0323">
            <w:pPr>
              <w:pStyle w:val="TAC"/>
              <w:rPr>
                <w:sz w:val="16"/>
                <w:szCs w:val="16"/>
              </w:rPr>
            </w:pPr>
            <w:r w:rsidRPr="00873B6C">
              <w:rPr>
                <w:sz w:val="16"/>
                <w:szCs w:val="16"/>
              </w:rPr>
              <w:t>-</w:t>
            </w:r>
          </w:p>
        </w:tc>
        <w:tc>
          <w:tcPr>
            <w:tcW w:w="567" w:type="dxa"/>
            <w:shd w:val="solid" w:color="FFFFFF" w:fill="auto"/>
          </w:tcPr>
          <w:p w14:paraId="09F27CEF" w14:textId="4AB5BBD5" w:rsidR="008606DA" w:rsidRPr="00873B6C" w:rsidRDefault="008606DA" w:rsidP="004A0323">
            <w:pPr>
              <w:pStyle w:val="TAL"/>
              <w:rPr>
                <w:sz w:val="16"/>
                <w:szCs w:val="16"/>
              </w:rPr>
            </w:pPr>
            <w:r w:rsidRPr="00873B6C">
              <w:rPr>
                <w:sz w:val="16"/>
                <w:szCs w:val="16"/>
              </w:rPr>
              <w:t>4238</w:t>
            </w:r>
          </w:p>
        </w:tc>
        <w:tc>
          <w:tcPr>
            <w:tcW w:w="425" w:type="dxa"/>
            <w:shd w:val="solid" w:color="FFFFFF" w:fill="auto"/>
          </w:tcPr>
          <w:p w14:paraId="36AF9BDC" w14:textId="38F3AF6C" w:rsidR="008606DA" w:rsidRPr="00873B6C" w:rsidRDefault="008606DA" w:rsidP="004A0323">
            <w:pPr>
              <w:pStyle w:val="TAL"/>
              <w:rPr>
                <w:sz w:val="16"/>
                <w:szCs w:val="16"/>
              </w:rPr>
            </w:pPr>
            <w:r w:rsidRPr="00873B6C">
              <w:rPr>
                <w:sz w:val="16"/>
                <w:szCs w:val="16"/>
              </w:rPr>
              <w:t>-</w:t>
            </w:r>
          </w:p>
        </w:tc>
        <w:tc>
          <w:tcPr>
            <w:tcW w:w="425" w:type="dxa"/>
            <w:shd w:val="solid" w:color="FFFFFF" w:fill="auto"/>
          </w:tcPr>
          <w:p w14:paraId="09FB0FB3" w14:textId="779DA24A" w:rsidR="008606DA" w:rsidRPr="00873B6C" w:rsidRDefault="008606DA" w:rsidP="004A0323">
            <w:pPr>
              <w:pStyle w:val="TAL"/>
              <w:rPr>
                <w:sz w:val="16"/>
                <w:szCs w:val="16"/>
              </w:rPr>
            </w:pPr>
            <w:r w:rsidRPr="00873B6C">
              <w:rPr>
                <w:sz w:val="16"/>
                <w:szCs w:val="16"/>
              </w:rPr>
              <w:t>F</w:t>
            </w:r>
          </w:p>
        </w:tc>
        <w:tc>
          <w:tcPr>
            <w:tcW w:w="4820" w:type="dxa"/>
            <w:shd w:val="solid" w:color="FFFFFF" w:fill="auto"/>
          </w:tcPr>
          <w:p w14:paraId="7F95FFF2" w14:textId="7567EBD6" w:rsidR="008606DA" w:rsidRPr="00873B6C" w:rsidRDefault="008606DA" w:rsidP="004A0323">
            <w:pPr>
              <w:pStyle w:val="TAL"/>
              <w:rPr>
                <w:sz w:val="16"/>
                <w:szCs w:val="16"/>
              </w:rPr>
            </w:pPr>
            <w:r w:rsidRPr="00873B6C">
              <w:rPr>
                <w:sz w:val="16"/>
                <w:szCs w:val="16"/>
              </w:rPr>
              <w:t>MCC correction to add missing bullet and Editor's note in clause 5.30.2.12</w:t>
            </w:r>
          </w:p>
        </w:tc>
        <w:tc>
          <w:tcPr>
            <w:tcW w:w="708" w:type="dxa"/>
            <w:shd w:val="solid" w:color="FFFFFF" w:fill="auto"/>
          </w:tcPr>
          <w:p w14:paraId="3888D06A" w14:textId="06A402DC" w:rsidR="008606DA" w:rsidRPr="00873B6C" w:rsidRDefault="008606DA" w:rsidP="004A0323">
            <w:pPr>
              <w:pStyle w:val="TAC"/>
              <w:rPr>
                <w:sz w:val="16"/>
                <w:szCs w:val="16"/>
              </w:rPr>
            </w:pPr>
            <w:r w:rsidRPr="00873B6C">
              <w:rPr>
                <w:sz w:val="16"/>
                <w:szCs w:val="16"/>
              </w:rPr>
              <w:t>18.2.2</w:t>
            </w:r>
          </w:p>
        </w:tc>
      </w:tr>
      <w:tr w:rsidR="0004047F" w:rsidRPr="00873B6C" w14:paraId="680F5444" w14:textId="77777777" w:rsidTr="009D14FB">
        <w:tc>
          <w:tcPr>
            <w:tcW w:w="800" w:type="dxa"/>
            <w:shd w:val="solid" w:color="FFFFFF" w:fill="auto"/>
          </w:tcPr>
          <w:p w14:paraId="07BF1686" w14:textId="2F20B43C" w:rsidR="0004047F" w:rsidRPr="00873B6C" w:rsidRDefault="0004047F" w:rsidP="004A0323">
            <w:pPr>
              <w:pStyle w:val="TAC"/>
              <w:rPr>
                <w:sz w:val="16"/>
                <w:szCs w:val="16"/>
              </w:rPr>
            </w:pPr>
            <w:r w:rsidRPr="00873B6C">
              <w:rPr>
                <w:sz w:val="16"/>
                <w:szCs w:val="16"/>
              </w:rPr>
              <w:t>2023-09</w:t>
            </w:r>
          </w:p>
        </w:tc>
        <w:tc>
          <w:tcPr>
            <w:tcW w:w="800" w:type="dxa"/>
            <w:shd w:val="solid" w:color="FFFFFF" w:fill="auto"/>
          </w:tcPr>
          <w:p w14:paraId="48CFC482" w14:textId="14AF1B1F" w:rsidR="0004047F" w:rsidRPr="00873B6C" w:rsidRDefault="0004047F" w:rsidP="004A0323">
            <w:pPr>
              <w:pStyle w:val="TAL"/>
              <w:rPr>
                <w:sz w:val="16"/>
                <w:szCs w:val="16"/>
              </w:rPr>
            </w:pPr>
            <w:r w:rsidRPr="00873B6C">
              <w:rPr>
                <w:sz w:val="16"/>
                <w:szCs w:val="16"/>
              </w:rPr>
              <w:t>SP#101</w:t>
            </w:r>
          </w:p>
        </w:tc>
        <w:tc>
          <w:tcPr>
            <w:tcW w:w="1094" w:type="dxa"/>
            <w:shd w:val="solid" w:color="FFFFFF" w:fill="auto"/>
          </w:tcPr>
          <w:p w14:paraId="65B2810C" w14:textId="3F45E1CD" w:rsidR="0004047F" w:rsidRPr="00873B6C" w:rsidRDefault="0004047F" w:rsidP="004A0323">
            <w:pPr>
              <w:pStyle w:val="TAC"/>
              <w:rPr>
                <w:sz w:val="16"/>
                <w:szCs w:val="16"/>
              </w:rPr>
            </w:pPr>
            <w:r w:rsidRPr="00873B6C">
              <w:rPr>
                <w:sz w:val="16"/>
                <w:szCs w:val="16"/>
              </w:rPr>
              <w:t>SP-230849</w:t>
            </w:r>
          </w:p>
        </w:tc>
        <w:tc>
          <w:tcPr>
            <w:tcW w:w="567" w:type="dxa"/>
            <w:shd w:val="solid" w:color="FFFFFF" w:fill="auto"/>
          </w:tcPr>
          <w:p w14:paraId="0C0D90B0" w14:textId="1CB02604" w:rsidR="0004047F" w:rsidRPr="00873B6C" w:rsidRDefault="0004047F" w:rsidP="004A0323">
            <w:pPr>
              <w:pStyle w:val="TAL"/>
              <w:rPr>
                <w:sz w:val="16"/>
                <w:szCs w:val="16"/>
              </w:rPr>
            </w:pPr>
            <w:r w:rsidRPr="00873B6C">
              <w:rPr>
                <w:sz w:val="16"/>
                <w:szCs w:val="16"/>
              </w:rPr>
              <w:t>4582</w:t>
            </w:r>
          </w:p>
        </w:tc>
        <w:tc>
          <w:tcPr>
            <w:tcW w:w="425" w:type="dxa"/>
            <w:shd w:val="solid" w:color="FFFFFF" w:fill="auto"/>
          </w:tcPr>
          <w:p w14:paraId="7F7475EB" w14:textId="2CAF324F" w:rsidR="0004047F" w:rsidRPr="00873B6C" w:rsidRDefault="0004047F" w:rsidP="004A0323">
            <w:pPr>
              <w:pStyle w:val="TAL"/>
              <w:rPr>
                <w:sz w:val="16"/>
                <w:szCs w:val="16"/>
              </w:rPr>
            </w:pPr>
            <w:r w:rsidRPr="00873B6C">
              <w:rPr>
                <w:sz w:val="16"/>
                <w:szCs w:val="16"/>
              </w:rPr>
              <w:t>5</w:t>
            </w:r>
          </w:p>
        </w:tc>
        <w:tc>
          <w:tcPr>
            <w:tcW w:w="425" w:type="dxa"/>
            <w:shd w:val="solid" w:color="FFFFFF" w:fill="auto"/>
          </w:tcPr>
          <w:p w14:paraId="31DCAB3D" w14:textId="5829C5C8" w:rsidR="0004047F" w:rsidRPr="00873B6C" w:rsidRDefault="0004047F" w:rsidP="004A0323">
            <w:pPr>
              <w:pStyle w:val="TAL"/>
              <w:rPr>
                <w:sz w:val="16"/>
                <w:szCs w:val="16"/>
              </w:rPr>
            </w:pPr>
            <w:r w:rsidRPr="00873B6C">
              <w:rPr>
                <w:sz w:val="16"/>
                <w:szCs w:val="16"/>
              </w:rPr>
              <w:t>F</w:t>
            </w:r>
          </w:p>
        </w:tc>
        <w:tc>
          <w:tcPr>
            <w:tcW w:w="4820" w:type="dxa"/>
            <w:shd w:val="solid" w:color="FFFFFF" w:fill="auto"/>
          </w:tcPr>
          <w:p w14:paraId="79A2082A" w14:textId="559575A0" w:rsidR="0004047F" w:rsidRPr="00873B6C" w:rsidRDefault="0004047F" w:rsidP="004A0323">
            <w:pPr>
              <w:pStyle w:val="TAL"/>
              <w:rPr>
                <w:sz w:val="16"/>
                <w:szCs w:val="16"/>
              </w:rPr>
            </w:pPr>
            <w:r w:rsidRPr="00873B6C">
              <w:rPr>
                <w:sz w:val="16"/>
                <w:szCs w:val="16"/>
              </w:rPr>
              <w:t>NG-RAN resource usage for Alternative S-NSSAI</w:t>
            </w:r>
          </w:p>
        </w:tc>
        <w:tc>
          <w:tcPr>
            <w:tcW w:w="708" w:type="dxa"/>
            <w:shd w:val="solid" w:color="FFFFFF" w:fill="auto"/>
          </w:tcPr>
          <w:p w14:paraId="58203EA0" w14:textId="61CE7183" w:rsidR="0004047F" w:rsidRPr="00873B6C" w:rsidRDefault="0004047F" w:rsidP="004A0323">
            <w:pPr>
              <w:pStyle w:val="TAC"/>
              <w:rPr>
                <w:sz w:val="16"/>
                <w:szCs w:val="16"/>
              </w:rPr>
            </w:pPr>
            <w:r w:rsidRPr="00873B6C">
              <w:rPr>
                <w:sz w:val="16"/>
                <w:szCs w:val="16"/>
              </w:rPr>
              <w:t>18.3.0</w:t>
            </w:r>
          </w:p>
        </w:tc>
      </w:tr>
      <w:tr w:rsidR="0004047F" w:rsidRPr="00873B6C" w14:paraId="121E623B" w14:textId="77777777" w:rsidTr="009D14FB">
        <w:tc>
          <w:tcPr>
            <w:tcW w:w="800" w:type="dxa"/>
            <w:shd w:val="solid" w:color="FFFFFF" w:fill="auto"/>
          </w:tcPr>
          <w:p w14:paraId="15F0BAEC" w14:textId="32AB38B1" w:rsidR="0004047F" w:rsidRPr="00873B6C" w:rsidRDefault="0004047F" w:rsidP="004A0323">
            <w:pPr>
              <w:pStyle w:val="TAC"/>
              <w:rPr>
                <w:sz w:val="16"/>
                <w:szCs w:val="16"/>
              </w:rPr>
            </w:pPr>
            <w:r w:rsidRPr="00873B6C">
              <w:rPr>
                <w:sz w:val="16"/>
                <w:szCs w:val="16"/>
              </w:rPr>
              <w:t>2023-09</w:t>
            </w:r>
          </w:p>
        </w:tc>
        <w:tc>
          <w:tcPr>
            <w:tcW w:w="800" w:type="dxa"/>
            <w:shd w:val="solid" w:color="FFFFFF" w:fill="auto"/>
          </w:tcPr>
          <w:p w14:paraId="4F3FBB30" w14:textId="6DAAAE2C" w:rsidR="0004047F" w:rsidRPr="00873B6C" w:rsidRDefault="0004047F" w:rsidP="004A0323">
            <w:pPr>
              <w:pStyle w:val="TAL"/>
              <w:rPr>
                <w:sz w:val="16"/>
                <w:szCs w:val="16"/>
              </w:rPr>
            </w:pPr>
            <w:r w:rsidRPr="00873B6C">
              <w:rPr>
                <w:sz w:val="16"/>
                <w:szCs w:val="16"/>
              </w:rPr>
              <w:t>SP#101</w:t>
            </w:r>
          </w:p>
        </w:tc>
        <w:tc>
          <w:tcPr>
            <w:tcW w:w="1094" w:type="dxa"/>
            <w:shd w:val="solid" w:color="FFFFFF" w:fill="auto"/>
          </w:tcPr>
          <w:p w14:paraId="5AFCF6E7" w14:textId="50782D8F" w:rsidR="0004047F" w:rsidRPr="00873B6C" w:rsidRDefault="0004047F" w:rsidP="004A0323">
            <w:pPr>
              <w:pStyle w:val="TAC"/>
              <w:rPr>
                <w:sz w:val="16"/>
                <w:szCs w:val="16"/>
              </w:rPr>
            </w:pPr>
            <w:r w:rsidRPr="00873B6C">
              <w:rPr>
                <w:sz w:val="16"/>
                <w:szCs w:val="16"/>
              </w:rPr>
              <w:t>SP-230859</w:t>
            </w:r>
          </w:p>
        </w:tc>
        <w:tc>
          <w:tcPr>
            <w:tcW w:w="567" w:type="dxa"/>
            <w:shd w:val="solid" w:color="FFFFFF" w:fill="auto"/>
          </w:tcPr>
          <w:p w14:paraId="3598ED49" w14:textId="47E8BFF3" w:rsidR="0004047F" w:rsidRPr="00873B6C" w:rsidRDefault="0004047F" w:rsidP="004A0323">
            <w:pPr>
              <w:pStyle w:val="TAL"/>
              <w:rPr>
                <w:sz w:val="16"/>
                <w:szCs w:val="16"/>
              </w:rPr>
            </w:pPr>
            <w:r w:rsidRPr="00873B6C">
              <w:rPr>
                <w:sz w:val="16"/>
                <w:szCs w:val="16"/>
              </w:rPr>
              <w:t>4647</w:t>
            </w:r>
          </w:p>
        </w:tc>
        <w:tc>
          <w:tcPr>
            <w:tcW w:w="425" w:type="dxa"/>
            <w:shd w:val="solid" w:color="FFFFFF" w:fill="auto"/>
          </w:tcPr>
          <w:p w14:paraId="46D3DC8A" w14:textId="4718B1C2" w:rsidR="0004047F" w:rsidRPr="00873B6C" w:rsidRDefault="0004047F" w:rsidP="004A0323">
            <w:pPr>
              <w:pStyle w:val="TAL"/>
              <w:rPr>
                <w:sz w:val="16"/>
                <w:szCs w:val="16"/>
              </w:rPr>
            </w:pPr>
            <w:r w:rsidRPr="00873B6C">
              <w:rPr>
                <w:sz w:val="16"/>
                <w:szCs w:val="16"/>
              </w:rPr>
              <w:t>3</w:t>
            </w:r>
          </w:p>
        </w:tc>
        <w:tc>
          <w:tcPr>
            <w:tcW w:w="425" w:type="dxa"/>
            <w:shd w:val="solid" w:color="FFFFFF" w:fill="auto"/>
          </w:tcPr>
          <w:p w14:paraId="48C07DDD" w14:textId="19682935" w:rsidR="0004047F" w:rsidRPr="00873B6C" w:rsidRDefault="0004047F" w:rsidP="004A0323">
            <w:pPr>
              <w:pStyle w:val="TAL"/>
              <w:rPr>
                <w:sz w:val="16"/>
                <w:szCs w:val="16"/>
              </w:rPr>
            </w:pPr>
            <w:r w:rsidRPr="00873B6C">
              <w:rPr>
                <w:sz w:val="16"/>
                <w:szCs w:val="16"/>
              </w:rPr>
              <w:t>F</w:t>
            </w:r>
          </w:p>
        </w:tc>
        <w:tc>
          <w:tcPr>
            <w:tcW w:w="4820" w:type="dxa"/>
            <w:shd w:val="solid" w:color="FFFFFF" w:fill="auto"/>
          </w:tcPr>
          <w:p w14:paraId="1BA9580F" w14:textId="4C01A5E7" w:rsidR="0004047F" w:rsidRPr="00873B6C" w:rsidRDefault="0004047F" w:rsidP="004A0323">
            <w:pPr>
              <w:pStyle w:val="TAL"/>
              <w:rPr>
                <w:sz w:val="16"/>
                <w:szCs w:val="16"/>
              </w:rPr>
            </w:pPr>
            <w:r w:rsidRPr="00873B6C">
              <w:rPr>
                <w:sz w:val="16"/>
                <w:szCs w:val="16"/>
              </w:rPr>
              <w:t>Capability signalling limitation for Reflective QoS</w:t>
            </w:r>
          </w:p>
        </w:tc>
        <w:tc>
          <w:tcPr>
            <w:tcW w:w="708" w:type="dxa"/>
            <w:shd w:val="solid" w:color="FFFFFF" w:fill="auto"/>
          </w:tcPr>
          <w:p w14:paraId="4AA409F2" w14:textId="76466BFA" w:rsidR="0004047F" w:rsidRPr="00873B6C" w:rsidRDefault="0004047F" w:rsidP="004A0323">
            <w:pPr>
              <w:pStyle w:val="TAC"/>
              <w:rPr>
                <w:sz w:val="16"/>
                <w:szCs w:val="16"/>
              </w:rPr>
            </w:pPr>
            <w:r w:rsidRPr="00873B6C">
              <w:rPr>
                <w:sz w:val="16"/>
                <w:szCs w:val="16"/>
              </w:rPr>
              <w:t>18.3.0</w:t>
            </w:r>
          </w:p>
        </w:tc>
      </w:tr>
      <w:tr w:rsidR="0004047F" w:rsidRPr="00873B6C" w14:paraId="2C2B51FB" w14:textId="77777777" w:rsidTr="009D14FB">
        <w:tc>
          <w:tcPr>
            <w:tcW w:w="800" w:type="dxa"/>
            <w:shd w:val="solid" w:color="FFFFFF" w:fill="auto"/>
          </w:tcPr>
          <w:p w14:paraId="1CCF2370" w14:textId="14F4D99C" w:rsidR="0004047F" w:rsidRPr="00873B6C" w:rsidRDefault="0004047F" w:rsidP="004A0323">
            <w:pPr>
              <w:pStyle w:val="TAC"/>
              <w:rPr>
                <w:sz w:val="16"/>
                <w:szCs w:val="16"/>
              </w:rPr>
            </w:pPr>
            <w:r w:rsidRPr="00873B6C">
              <w:rPr>
                <w:sz w:val="16"/>
                <w:szCs w:val="16"/>
              </w:rPr>
              <w:t>2023-09</w:t>
            </w:r>
          </w:p>
        </w:tc>
        <w:tc>
          <w:tcPr>
            <w:tcW w:w="800" w:type="dxa"/>
            <w:shd w:val="solid" w:color="FFFFFF" w:fill="auto"/>
          </w:tcPr>
          <w:p w14:paraId="518F43F2" w14:textId="104CFDD5" w:rsidR="0004047F" w:rsidRPr="00873B6C" w:rsidRDefault="0004047F" w:rsidP="004A0323">
            <w:pPr>
              <w:pStyle w:val="TAL"/>
              <w:rPr>
                <w:sz w:val="16"/>
                <w:szCs w:val="16"/>
              </w:rPr>
            </w:pPr>
            <w:r w:rsidRPr="00873B6C">
              <w:rPr>
                <w:sz w:val="16"/>
                <w:szCs w:val="16"/>
              </w:rPr>
              <w:t>SP#101</w:t>
            </w:r>
          </w:p>
        </w:tc>
        <w:tc>
          <w:tcPr>
            <w:tcW w:w="1094" w:type="dxa"/>
            <w:shd w:val="solid" w:color="FFFFFF" w:fill="auto"/>
          </w:tcPr>
          <w:p w14:paraId="002E86F7" w14:textId="6C0B6E74" w:rsidR="0004047F" w:rsidRPr="00873B6C" w:rsidRDefault="0004047F" w:rsidP="004A0323">
            <w:pPr>
              <w:pStyle w:val="TAC"/>
              <w:rPr>
                <w:sz w:val="16"/>
                <w:szCs w:val="16"/>
              </w:rPr>
            </w:pPr>
            <w:r w:rsidRPr="00873B6C">
              <w:rPr>
                <w:sz w:val="16"/>
                <w:szCs w:val="16"/>
              </w:rPr>
              <w:t>SP-230831</w:t>
            </w:r>
          </w:p>
        </w:tc>
        <w:tc>
          <w:tcPr>
            <w:tcW w:w="567" w:type="dxa"/>
            <w:shd w:val="solid" w:color="FFFFFF" w:fill="auto"/>
          </w:tcPr>
          <w:p w14:paraId="13FC625D" w14:textId="74B284C8" w:rsidR="0004047F" w:rsidRPr="00873B6C" w:rsidRDefault="0004047F" w:rsidP="004A0323">
            <w:pPr>
              <w:pStyle w:val="TAL"/>
              <w:rPr>
                <w:sz w:val="16"/>
                <w:szCs w:val="16"/>
              </w:rPr>
            </w:pPr>
            <w:r w:rsidRPr="00873B6C">
              <w:rPr>
                <w:sz w:val="16"/>
                <w:szCs w:val="16"/>
              </w:rPr>
              <w:t>4695</w:t>
            </w:r>
          </w:p>
        </w:tc>
        <w:tc>
          <w:tcPr>
            <w:tcW w:w="425" w:type="dxa"/>
            <w:shd w:val="solid" w:color="FFFFFF" w:fill="auto"/>
          </w:tcPr>
          <w:p w14:paraId="545638D7" w14:textId="7F9CD387" w:rsidR="0004047F" w:rsidRPr="00873B6C" w:rsidRDefault="0004047F" w:rsidP="004A0323">
            <w:pPr>
              <w:pStyle w:val="TAL"/>
              <w:rPr>
                <w:sz w:val="16"/>
                <w:szCs w:val="16"/>
              </w:rPr>
            </w:pPr>
            <w:r w:rsidRPr="00873B6C">
              <w:rPr>
                <w:sz w:val="16"/>
                <w:szCs w:val="16"/>
              </w:rPr>
              <w:t>1</w:t>
            </w:r>
          </w:p>
        </w:tc>
        <w:tc>
          <w:tcPr>
            <w:tcW w:w="425" w:type="dxa"/>
            <w:shd w:val="solid" w:color="FFFFFF" w:fill="auto"/>
          </w:tcPr>
          <w:p w14:paraId="0ACF7B03" w14:textId="3E6BF162" w:rsidR="0004047F" w:rsidRPr="00873B6C" w:rsidRDefault="0004047F" w:rsidP="004A0323">
            <w:pPr>
              <w:pStyle w:val="TAL"/>
              <w:rPr>
                <w:sz w:val="16"/>
                <w:szCs w:val="16"/>
              </w:rPr>
            </w:pPr>
            <w:r w:rsidRPr="00873B6C">
              <w:rPr>
                <w:sz w:val="16"/>
                <w:szCs w:val="16"/>
              </w:rPr>
              <w:t>A</w:t>
            </w:r>
          </w:p>
        </w:tc>
        <w:tc>
          <w:tcPr>
            <w:tcW w:w="4820" w:type="dxa"/>
            <w:shd w:val="solid" w:color="FFFFFF" w:fill="auto"/>
          </w:tcPr>
          <w:p w14:paraId="54AEE526" w14:textId="4E180282" w:rsidR="0004047F" w:rsidRPr="00873B6C" w:rsidRDefault="0004047F" w:rsidP="004A0323">
            <w:pPr>
              <w:pStyle w:val="TAL"/>
              <w:rPr>
                <w:sz w:val="16"/>
                <w:szCs w:val="16"/>
              </w:rPr>
            </w:pPr>
            <w:r w:rsidRPr="00873B6C">
              <w:rPr>
                <w:sz w:val="16"/>
                <w:szCs w:val="16"/>
              </w:rPr>
              <w:t>Update of subscribed NSSAI when UE is not registered in network</w:t>
            </w:r>
          </w:p>
        </w:tc>
        <w:tc>
          <w:tcPr>
            <w:tcW w:w="708" w:type="dxa"/>
            <w:shd w:val="solid" w:color="FFFFFF" w:fill="auto"/>
          </w:tcPr>
          <w:p w14:paraId="5499D272" w14:textId="0A252120" w:rsidR="0004047F" w:rsidRPr="00873B6C" w:rsidRDefault="0004047F" w:rsidP="004A0323">
            <w:pPr>
              <w:pStyle w:val="TAC"/>
              <w:rPr>
                <w:sz w:val="16"/>
                <w:szCs w:val="16"/>
              </w:rPr>
            </w:pPr>
            <w:r w:rsidRPr="00873B6C">
              <w:rPr>
                <w:sz w:val="16"/>
                <w:szCs w:val="16"/>
              </w:rPr>
              <w:t>18.3.0</w:t>
            </w:r>
          </w:p>
        </w:tc>
      </w:tr>
      <w:tr w:rsidR="0004047F" w:rsidRPr="00873B6C" w14:paraId="610E6653" w14:textId="77777777" w:rsidTr="009D14FB">
        <w:tc>
          <w:tcPr>
            <w:tcW w:w="800" w:type="dxa"/>
            <w:shd w:val="solid" w:color="FFFFFF" w:fill="auto"/>
          </w:tcPr>
          <w:p w14:paraId="47143B7F" w14:textId="00785A9E" w:rsidR="0004047F" w:rsidRPr="00873B6C" w:rsidRDefault="0004047F" w:rsidP="004A0323">
            <w:pPr>
              <w:pStyle w:val="TAC"/>
              <w:rPr>
                <w:sz w:val="16"/>
                <w:szCs w:val="16"/>
              </w:rPr>
            </w:pPr>
            <w:r w:rsidRPr="00873B6C">
              <w:rPr>
                <w:sz w:val="16"/>
                <w:szCs w:val="16"/>
              </w:rPr>
              <w:t>2023-09</w:t>
            </w:r>
          </w:p>
        </w:tc>
        <w:tc>
          <w:tcPr>
            <w:tcW w:w="800" w:type="dxa"/>
            <w:shd w:val="solid" w:color="FFFFFF" w:fill="auto"/>
          </w:tcPr>
          <w:p w14:paraId="6E3B4BE1" w14:textId="2439186C" w:rsidR="0004047F" w:rsidRPr="00873B6C" w:rsidRDefault="0004047F" w:rsidP="004A0323">
            <w:pPr>
              <w:pStyle w:val="TAL"/>
              <w:rPr>
                <w:sz w:val="16"/>
                <w:szCs w:val="16"/>
              </w:rPr>
            </w:pPr>
            <w:r w:rsidRPr="00873B6C">
              <w:rPr>
                <w:sz w:val="16"/>
                <w:szCs w:val="16"/>
              </w:rPr>
              <w:t>SP#101</w:t>
            </w:r>
          </w:p>
        </w:tc>
        <w:tc>
          <w:tcPr>
            <w:tcW w:w="1094" w:type="dxa"/>
            <w:shd w:val="solid" w:color="FFFFFF" w:fill="auto"/>
          </w:tcPr>
          <w:p w14:paraId="73DAE149" w14:textId="0C6D9F1E" w:rsidR="0004047F" w:rsidRPr="00873B6C" w:rsidRDefault="0004047F" w:rsidP="004A0323">
            <w:pPr>
              <w:pStyle w:val="TAC"/>
              <w:rPr>
                <w:sz w:val="16"/>
                <w:szCs w:val="16"/>
              </w:rPr>
            </w:pPr>
            <w:r w:rsidRPr="00873B6C">
              <w:rPr>
                <w:sz w:val="16"/>
                <w:szCs w:val="16"/>
              </w:rPr>
              <w:t>SP-230844</w:t>
            </w:r>
          </w:p>
        </w:tc>
        <w:tc>
          <w:tcPr>
            <w:tcW w:w="567" w:type="dxa"/>
            <w:shd w:val="solid" w:color="FFFFFF" w:fill="auto"/>
          </w:tcPr>
          <w:p w14:paraId="2F0192C0" w14:textId="3D6AA37A" w:rsidR="0004047F" w:rsidRPr="00873B6C" w:rsidRDefault="0004047F" w:rsidP="004A0323">
            <w:pPr>
              <w:pStyle w:val="TAL"/>
              <w:rPr>
                <w:sz w:val="16"/>
                <w:szCs w:val="16"/>
              </w:rPr>
            </w:pPr>
            <w:r w:rsidRPr="00873B6C">
              <w:rPr>
                <w:sz w:val="16"/>
                <w:szCs w:val="16"/>
              </w:rPr>
              <w:t>4696</w:t>
            </w:r>
          </w:p>
        </w:tc>
        <w:tc>
          <w:tcPr>
            <w:tcW w:w="425" w:type="dxa"/>
            <w:shd w:val="solid" w:color="FFFFFF" w:fill="auto"/>
          </w:tcPr>
          <w:p w14:paraId="6A679282" w14:textId="3F0E6629" w:rsidR="0004047F" w:rsidRPr="00873B6C" w:rsidRDefault="0004047F" w:rsidP="004A0323">
            <w:pPr>
              <w:pStyle w:val="TAL"/>
              <w:rPr>
                <w:sz w:val="16"/>
                <w:szCs w:val="16"/>
              </w:rPr>
            </w:pPr>
            <w:r w:rsidRPr="00873B6C">
              <w:rPr>
                <w:sz w:val="16"/>
                <w:szCs w:val="16"/>
              </w:rPr>
              <w:t>3</w:t>
            </w:r>
          </w:p>
        </w:tc>
        <w:tc>
          <w:tcPr>
            <w:tcW w:w="425" w:type="dxa"/>
            <w:shd w:val="solid" w:color="FFFFFF" w:fill="auto"/>
          </w:tcPr>
          <w:p w14:paraId="226C7F5D" w14:textId="2672052B" w:rsidR="0004047F" w:rsidRPr="00873B6C" w:rsidRDefault="0004047F" w:rsidP="004A0323">
            <w:pPr>
              <w:pStyle w:val="TAL"/>
              <w:rPr>
                <w:sz w:val="16"/>
                <w:szCs w:val="16"/>
              </w:rPr>
            </w:pPr>
            <w:r w:rsidRPr="00873B6C">
              <w:rPr>
                <w:sz w:val="16"/>
                <w:szCs w:val="16"/>
              </w:rPr>
              <w:t>D</w:t>
            </w:r>
          </w:p>
        </w:tc>
        <w:tc>
          <w:tcPr>
            <w:tcW w:w="4820" w:type="dxa"/>
            <w:shd w:val="solid" w:color="FFFFFF" w:fill="auto"/>
          </w:tcPr>
          <w:p w14:paraId="375EC91C" w14:textId="7F3D0707" w:rsidR="0004047F" w:rsidRPr="00873B6C" w:rsidRDefault="0004047F" w:rsidP="004A0323">
            <w:pPr>
              <w:pStyle w:val="TAL"/>
              <w:rPr>
                <w:sz w:val="16"/>
                <w:szCs w:val="16"/>
              </w:rPr>
            </w:pPr>
            <w:r w:rsidRPr="00873B6C">
              <w:rPr>
                <w:sz w:val="16"/>
                <w:szCs w:val="16"/>
              </w:rPr>
              <w:t>Updates to application AI/ML assistance functionality descriptions related to Member UE selection</w:t>
            </w:r>
          </w:p>
        </w:tc>
        <w:tc>
          <w:tcPr>
            <w:tcW w:w="708" w:type="dxa"/>
            <w:shd w:val="solid" w:color="FFFFFF" w:fill="auto"/>
          </w:tcPr>
          <w:p w14:paraId="4A560519" w14:textId="63439186" w:rsidR="0004047F" w:rsidRPr="00873B6C" w:rsidRDefault="0004047F" w:rsidP="004A0323">
            <w:pPr>
              <w:pStyle w:val="TAC"/>
              <w:rPr>
                <w:sz w:val="16"/>
                <w:szCs w:val="16"/>
              </w:rPr>
            </w:pPr>
            <w:r w:rsidRPr="00873B6C">
              <w:rPr>
                <w:sz w:val="16"/>
                <w:szCs w:val="16"/>
              </w:rPr>
              <w:t>18.3.0</w:t>
            </w:r>
          </w:p>
        </w:tc>
      </w:tr>
      <w:tr w:rsidR="00357584" w:rsidRPr="00873B6C" w14:paraId="18BEDC63" w14:textId="77777777" w:rsidTr="009D14FB">
        <w:tc>
          <w:tcPr>
            <w:tcW w:w="800" w:type="dxa"/>
            <w:shd w:val="solid" w:color="FFFFFF" w:fill="auto"/>
          </w:tcPr>
          <w:p w14:paraId="75E880FD" w14:textId="6D199356"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73A966AA" w14:textId="09362E20"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44D4723B" w14:textId="544F9B49" w:rsidR="00357584" w:rsidRPr="00873B6C" w:rsidRDefault="00357584" w:rsidP="004A0323">
            <w:pPr>
              <w:pStyle w:val="TAC"/>
              <w:rPr>
                <w:sz w:val="16"/>
                <w:szCs w:val="16"/>
              </w:rPr>
            </w:pPr>
            <w:r w:rsidRPr="00873B6C">
              <w:rPr>
                <w:sz w:val="16"/>
                <w:szCs w:val="16"/>
              </w:rPr>
              <w:t>SP-230847</w:t>
            </w:r>
          </w:p>
        </w:tc>
        <w:tc>
          <w:tcPr>
            <w:tcW w:w="567" w:type="dxa"/>
            <w:shd w:val="solid" w:color="FFFFFF" w:fill="auto"/>
          </w:tcPr>
          <w:p w14:paraId="252F1F9F" w14:textId="7E943A0B" w:rsidR="00357584" w:rsidRPr="00873B6C" w:rsidRDefault="00357584" w:rsidP="004A0323">
            <w:pPr>
              <w:pStyle w:val="TAL"/>
              <w:rPr>
                <w:sz w:val="16"/>
                <w:szCs w:val="16"/>
              </w:rPr>
            </w:pPr>
            <w:r w:rsidRPr="00873B6C">
              <w:rPr>
                <w:sz w:val="16"/>
                <w:szCs w:val="16"/>
              </w:rPr>
              <w:t>4699</w:t>
            </w:r>
          </w:p>
        </w:tc>
        <w:tc>
          <w:tcPr>
            <w:tcW w:w="425" w:type="dxa"/>
            <w:shd w:val="solid" w:color="FFFFFF" w:fill="auto"/>
          </w:tcPr>
          <w:p w14:paraId="1BDCD69A" w14:textId="1783AF96" w:rsidR="00357584" w:rsidRPr="00873B6C" w:rsidRDefault="00357584" w:rsidP="004A0323">
            <w:pPr>
              <w:pStyle w:val="TAL"/>
              <w:rPr>
                <w:sz w:val="16"/>
                <w:szCs w:val="16"/>
              </w:rPr>
            </w:pPr>
            <w:r w:rsidRPr="00873B6C">
              <w:rPr>
                <w:sz w:val="16"/>
                <w:szCs w:val="16"/>
              </w:rPr>
              <w:t>1</w:t>
            </w:r>
          </w:p>
        </w:tc>
        <w:tc>
          <w:tcPr>
            <w:tcW w:w="425" w:type="dxa"/>
            <w:shd w:val="solid" w:color="FFFFFF" w:fill="auto"/>
          </w:tcPr>
          <w:p w14:paraId="0221A27F" w14:textId="31F3BD13" w:rsidR="00357584" w:rsidRPr="00873B6C" w:rsidRDefault="00357584" w:rsidP="004A0323">
            <w:pPr>
              <w:pStyle w:val="TAL"/>
              <w:rPr>
                <w:sz w:val="16"/>
                <w:szCs w:val="16"/>
              </w:rPr>
            </w:pPr>
            <w:r w:rsidRPr="00873B6C">
              <w:rPr>
                <w:sz w:val="16"/>
                <w:szCs w:val="16"/>
              </w:rPr>
              <w:t>F</w:t>
            </w:r>
          </w:p>
        </w:tc>
        <w:tc>
          <w:tcPr>
            <w:tcW w:w="4820" w:type="dxa"/>
            <w:shd w:val="solid" w:color="FFFFFF" w:fill="auto"/>
          </w:tcPr>
          <w:p w14:paraId="5F639FBA" w14:textId="6EA9427D" w:rsidR="00357584" w:rsidRPr="00873B6C" w:rsidRDefault="00357584" w:rsidP="004A0323">
            <w:pPr>
              <w:pStyle w:val="TAL"/>
              <w:rPr>
                <w:sz w:val="16"/>
                <w:szCs w:val="16"/>
              </w:rPr>
            </w:pPr>
            <w:r w:rsidRPr="00873B6C">
              <w:rPr>
                <w:sz w:val="16"/>
                <w:szCs w:val="16"/>
              </w:rPr>
              <w:t>Corrections on NEF(PFDF) support NWDAF-assisted application detection</w:t>
            </w:r>
          </w:p>
        </w:tc>
        <w:tc>
          <w:tcPr>
            <w:tcW w:w="708" w:type="dxa"/>
            <w:shd w:val="solid" w:color="FFFFFF" w:fill="auto"/>
          </w:tcPr>
          <w:p w14:paraId="0BF38841" w14:textId="6E68A547" w:rsidR="00357584" w:rsidRPr="00873B6C" w:rsidRDefault="00357584" w:rsidP="004A0323">
            <w:pPr>
              <w:pStyle w:val="TAC"/>
              <w:rPr>
                <w:sz w:val="16"/>
                <w:szCs w:val="16"/>
              </w:rPr>
            </w:pPr>
            <w:r w:rsidRPr="00873B6C">
              <w:rPr>
                <w:sz w:val="16"/>
                <w:szCs w:val="16"/>
              </w:rPr>
              <w:t>18.3.0</w:t>
            </w:r>
          </w:p>
        </w:tc>
      </w:tr>
      <w:tr w:rsidR="00357584" w:rsidRPr="00873B6C" w14:paraId="51E390CB" w14:textId="77777777" w:rsidTr="009D14FB">
        <w:tc>
          <w:tcPr>
            <w:tcW w:w="800" w:type="dxa"/>
            <w:shd w:val="solid" w:color="FFFFFF" w:fill="auto"/>
          </w:tcPr>
          <w:p w14:paraId="73816631" w14:textId="2236A027"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463A6002" w14:textId="24AABAEE"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48821075" w14:textId="2F1D3F62" w:rsidR="00357584" w:rsidRPr="00873B6C" w:rsidRDefault="00357584" w:rsidP="004A0323">
            <w:pPr>
              <w:pStyle w:val="TAC"/>
              <w:rPr>
                <w:sz w:val="16"/>
                <w:szCs w:val="16"/>
              </w:rPr>
            </w:pPr>
            <w:r w:rsidRPr="00873B6C">
              <w:rPr>
                <w:sz w:val="16"/>
                <w:szCs w:val="16"/>
              </w:rPr>
              <w:t>SP-230858</w:t>
            </w:r>
          </w:p>
        </w:tc>
        <w:tc>
          <w:tcPr>
            <w:tcW w:w="567" w:type="dxa"/>
            <w:shd w:val="solid" w:color="FFFFFF" w:fill="auto"/>
          </w:tcPr>
          <w:p w14:paraId="40BE2947" w14:textId="44D2103B" w:rsidR="00357584" w:rsidRPr="00873B6C" w:rsidRDefault="00357584" w:rsidP="004A0323">
            <w:pPr>
              <w:pStyle w:val="TAL"/>
              <w:rPr>
                <w:sz w:val="16"/>
                <w:szCs w:val="16"/>
              </w:rPr>
            </w:pPr>
            <w:r w:rsidRPr="00873B6C">
              <w:rPr>
                <w:sz w:val="16"/>
                <w:szCs w:val="16"/>
              </w:rPr>
              <w:t>4700</w:t>
            </w:r>
          </w:p>
        </w:tc>
        <w:tc>
          <w:tcPr>
            <w:tcW w:w="425" w:type="dxa"/>
            <w:shd w:val="solid" w:color="FFFFFF" w:fill="auto"/>
          </w:tcPr>
          <w:p w14:paraId="5A425B4A" w14:textId="49C5841F" w:rsidR="00357584" w:rsidRPr="00873B6C" w:rsidRDefault="00357584" w:rsidP="004A0323">
            <w:pPr>
              <w:pStyle w:val="TAL"/>
              <w:rPr>
                <w:sz w:val="16"/>
                <w:szCs w:val="16"/>
              </w:rPr>
            </w:pPr>
            <w:r w:rsidRPr="00873B6C">
              <w:rPr>
                <w:sz w:val="16"/>
                <w:szCs w:val="16"/>
              </w:rPr>
              <w:t>2</w:t>
            </w:r>
          </w:p>
        </w:tc>
        <w:tc>
          <w:tcPr>
            <w:tcW w:w="425" w:type="dxa"/>
            <w:shd w:val="solid" w:color="FFFFFF" w:fill="auto"/>
          </w:tcPr>
          <w:p w14:paraId="3EB4FF33" w14:textId="396A6730" w:rsidR="00357584" w:rsidRPr="00873B6C" w:rsidRDefault="00357584" w:rsidP="004A0323">
            <w:pPr>
              <w:pStyle w:val="TAL"/>
              <w:rPr>
                <w:sz w:val="16"/>
                <w:szCs w:val="16"/>
              </w:rPr>
            </w:pPr>
            <w:r w:rsidRPr="00873B6C">
              <w:rPr>
                <w:sz w:val="16"/>
                <w:szCs w:val="16"/>
              </w:rPr>
              <w:t>F</w:t>
            </w:r>
          </w:p>
        </w:tc>
        <w:tc>
          <w:tcPr>
            <w:tcW w:w="4820" w:type="dxa"/>
            <w:shd w:val="solid" w:color="FFFFFF" w:fill="auto"/>
          </w:tcPr>
          <w:p w14:paraId="40AF0EC9" w14:textId="420572AE" w:rsidR="00357584" w:rsidRPr="00873B6C" w:rsidRDefault="00357584" w:rsidP="004A0323">
            <w:pPr>
              <w:pStyle w:val="TAL"/>
              <w:rPr>
                <w:sz w:val="16"/>
                <w:szCs w:val="16"/>
              </w:rPr>
            </w:pPr>
            <w:r w:rsidRPr="00873B6C">
              <w:rPr>
                <w:sz w:val="16"/>
                <w:szCs w:val="16"/>
              </w:rPr>
              <w:t>Add support for UPF selection criteria in context of XRM</w:t>
            </w:r>
          </w:p>
        </w:tc>
        <w:tc>
          <w:tcPr>
            <w:tcW w:w="708" w:type="dxa"/>
            <w:shd w:val="solid" w:color="FFFFFF" w:fill="auto"/>
          </w:tcPr>
          <w:p w14:paraId="16D704E5" w14:textId="660D59AC" w:rsidR="00357584" w:rsidRPr="00873B6C" w:rsidRDefault="00357584" w:rsidP="004A0323">
            <w:pPr>
              <w:pStyle w:val="TAC"/>
              <w:rPr>
                <w:sz w:val="16"/>
                <w:szCs w:val="16"/>
              </w:rPr>
            </w:pPr>
            <w:r w:rsidRPr="00873B6C">
              <w:rPr>
                <w:sz w:val="16"/>
                <w:szCs w:val="16"/>
              </w:rPr>
              <w:t>18.3.0</w:t>
            </w:r>
          </w:p>
        </w:tc>
      </w:tr>
      <w:tr w:rsidR="00357584" w:rsidRPr="00873B6C" w14:paraId="0FD4326C" w14:textId="77777777" w:rsidTr="009D14FB">
        <w:tc>
          <w:tcPr>
            <w:tcW w:w="800" w:type="dxa"/>
            <w:shd w:val="solid" w:color="FFFFFF" w:fill="auto"/>
          </w:tcPr>
          <w:p w14:paraId="72D8E55F" w14:textId="5A9F1FAA"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05E470F1" w14:textId="258EB312"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27CD71BE" w14:textId="0A6086D5" w:rsidR="00357584" w:rsidRPr="00873B6C" w:rsidRDefault="00357584" w:rsidP="004A0323">
            <w:pPr>
              <w:pStyle w:val="TAC"/>
              <w:rPr>
                <w:sz w:val="16"/>
                <w:szCs w:val="16"/>
              </w:rPr>
            </w:pPr>
            <w:r w:rsidRPr="00873B6C">
              <w:rPr>
                <w:sz w:val="16"/>
                <w:szCs w:val="16"/>
              </w:rPr>
              <w:t>SP-230838</w:t>
            </w:r>
          </w:p>
        </w:tc>
        <w:tc>
          <w:tcPr>
            <w:tcW w:w="567" w:type="dxa"/>
            <w:shd w:val="solid" w:color="FFFFFF" w:fill="auto"/>
          </w:tcPr>
          <w:p w14:paraId="0F91559A" w14:textId="6E788C1C" w:rsidR="00357584" w:rsidRPr="00873B6C" w:rsidRDefault="00357584" w:rsidP="004A0323">
            <w:pPr>
              <w:pStyle w:val="TAL"/>
              <w:rPr>
                <w:sz w:val="16"/>
                <w:szCs w:val="16"/>
              </w:rPr>
            </w:pPr>
            <w:r w:rsidRPr="00873B6C">
              <w:rPr>
                <w:sz w:val="16"/>
                <w:szCs w:val="16"/>
              </w:rPr>
              <w:t>4702</w:t>
            </w:r>
          </w:p>
        </w:tc>
        <w:tc>
          <w:tcPr>
            <w:tcW w:w="425" w:type="dxa"/>
            <w:shd w:val="solid" w:color="FFFFFF" w:fill="auto"/>
          </w:tcPr>
          <w:p w14:paraId="558DA4AC" w14:textId="21A3EE75" w:rsidR="00357584" w:rsidRPr="00873B6C" w:rsidRDefault="00357584" w:rsidP="004A0323">
            <w:pPr>
              <w:pStyle w:val="TAL"/>
              <w:rPr>
                <w:sz w:val="16"/>
                <w:szCs w:val="16"/>
              </w:rPr>
            </w:pPr>
            <w:r w:rsidRPr="00873B6C">
              <w:rPr>
                <w:sz w:val="16"/>
                <w:szCs w:val="16"/>
              </w:rPr>
              <w:t>-</w:t>
            </w:r>
          </w:p>
        </w:tc>
        <w:tc>
          <w:tcPr>
            <w:tcW w:w="425" w:type="dxa"/>
            <w:shd w:val="solid" w:color="FFFFFF" w:fill="auto"/>
          </w:tcPr>
          <w:p w14:paraId="35F34F60" w14:textId="28FFC1B7" w:rsidR="00357584" w:rsidRPr="00873B6C" w:rsidRDefault="00357584" w:rsidP="004A0323">
            <w:pPr>
              <w:pStyle w:val="TAL"/>
              <w:rPr>
                <w:sz w:val="16"/>
                <w:szCs w:val="16"/>
              </w:rPr>
            </w:pPr>
            <w:r w:rsidRPr="00873B6C">
              <w:rPr>
                <w:sz w:val="16"/>
                <w:szCs w:val="16"/>
              </w:rPr>
              <w:t>A</w:t>
            </w:r>
          </w:p>
        </w:tc>
        <w:tc>
          <w:tcPr>
            <w:tcW w:w="4820" w:type="dxa"/>
            <w:shd w:val="solid" w:color="FFFFFF" w:fill="auto"/>
          </w:tcPr>
          <w:p w14:paraId="5238D723" w14:textId="76B760B2" w:rsidR="00357584" w:rsidRPr="00873B6C" w:rsidRDefault="00357584" w:rsidP="004A0323">
            <w:pPr>
              <w:pStyle w:val="TAL"/>
              <w:rPr>
                <w:sz w:val="16"/>
                <w:szCs w:val="16"/>
              </w:rPr>
            </w:pPr>
            <w:r w:rsidRPr="00873B6C">
              <w:rPr>
                <w:sz w:val="16"/>
                <w:szCs w:val="16"/>
              </w:rPr>
              <w:t>Replacing obsoleted RFC related to DHCPv6 with RFC 8415</w:t>
            </w:r>
          </w:p>
        </w:tc>
        <w:tc>
          <w:tcPr>
            <w:tcW w:w="708" w:type="dxa"/>
            <w:shd w:val="solid" w:color="FFFFFF" w:fill="auto"/>
          </w:tcPr>
          <w:p w14:paraId="69A23B92" w14:textId="740576FC" w:rsidR="00357584" w:rsidRPr="00873B6C" w:rsidRDefault="00357584" w:rsidP="004A0323">
            <w:pPr>
              <w:pStyle w:val="TAC"/>
              <w:rPr>
                <w:sz w:val="16"/>
                <w:szCs w:val="16"/>
              </w:rPr>
            </w:pPr>
            <w:r w:rsidRPr="00873B6C">
              <w:rPr>
                <w:sz w:val="16"/>
                <w:szCs w:val="16"/>
              </w:rPr>
              <w:t>18.3.0</w:t>
            </w:r>
          </w:p>
        </w:tc>
      </w:tr>
      <w:tr w:rsidR="00357584" w:rsidRPr="00873B6C" w14:paraId="4A5F7880" w14:textId="77777777" w:rsidTr="009D14FB">
        <w:tc>
          <w:tcPr>
            <w:tcW w:w="800" w:type="dxa"/>
            <w:shd w:val="solid" w:color="FFFFFF" w:fill="auto"/>
          </w:tcPr>
          <w:p w14:paraId="3A4DC8A5" w14:textId="4B9EAE20"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55173350" w14:textId="218AE37C"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761867F0" w14:textId="2851368C" w:rsidR="00357584" w:rsidRPr="00873B6C" w:rsidRDefault="00357584" w:rsidP="004A0323">
            <w:pPr>
              <w:pStyle w:val="TAC"/>
              <w:rPr>
                <w:sz w:val="16"/>
                <w:szCs w:val="16"/>
              </w:rPr>
            </w:pPr>
            <w:r w:rsidRPr="00873B6C">
              <w:rPr>
                <w:sz w:val="16"/>
                <w:szCs w:val="16"/>
              </w:rPr>
              <w:t>SP-230859</w:t>
            </w:r>
          </w:p>
        </w:tc>
        <w:tc>
          <w:tcPr>
            <w:tcW w:w="567" w:type="dxa"/>
            <w:shd w:val="solid" w:color="FFFFFF" w:fill="auto"/>
          </w:tcPr>
          <w:p w14:paraId="21586743" w14:textId="6845C810" w:rsidR="00357584" w:rsidRPr="00873B6C" w:rsidRDefault="00357584" w:rsidP="004A0323">
            <w:pPr>
              <w:pStyle w:val="TAL"/>
              <w:rPr>
                <w:sz w:val="16"/>
                <w:szCs w:val="16"/>
              </w:rPr>
            </w:pPr>
            <w:r w:rsidRPr="00873B6C">
              <w:rPr>
                <w:sz w:val="16"/>
                <w:szCs w:val="16"/>
              </w:rPr>
              <w:t>4709</w:t>
            </w:r>
          </w:p>
        </w:tc>
        <w:tc>
          <w:tcPr>
            <w:tcW w:w="425" w:type="dxa"/>
            <w:shd w:val="solid" w:color="FFFFFF" w:fill="auto"/>
          </w:tcPr>
          <w:p w14:paraId="577E3F98" w14:textId="5818FA9B" w:rsidR="00357584" w:rsidRPr="00873B6C" w:rsidRDefault="00357584" w:rsidP="004A0323">
            <w:pPr>
              <w:pStyle w:val="TAL"/>
              <w:rPr>
                <w:sz w:val="16"/>
                <w:szCs w:val="16"/>
              </w:rPr>
            </w:pPr>
            <w:r w:rsidRPr="00873B6C">
              <w:rPr>
                <w:sz w:val="16"/>
                <w:szCs w:val="16"/>
              </w:rPr>
              <w:t>1</w:t>
            </w:r>
          </w:p>
        </w:tc>
        <w:tc>
          <w:tcPr>
            <w:tcW w:w="425" w:type="dxa"/>
            <w:shd w:val="solid" w:color="FFFFFF" w:fill="auto"/>
          </w:tcPr>
          <w:p w14:paraId="215A8449" w14:textId="5153029F" w:rsidR="00357584" w:rsidRPr="00873B6C" w:rsidRDefault="00357584" w:rsidP="004A0323">
            <w:pPr>
              <w:pStyle w:val="TAL"/>
              <w:rPr>
                <w:sz w:val="16"/>
                <w:szCs w:val="16"/>
              </w:rPr>
            </w:pPr>
            <w:r w:rsidRPr="00873B6C">
              <w:rPr>
                <w:sz w:val="16"/>
                <w:szCs w:val="16"/>
              </w:rPr>
              <w:t>F</w:t>
            </w:r>
          </w:p>
        </w:tc>
        <w:tc>
          <w:tcPr>
            <w:tcW w:w="4820" w:type="dxa"/>
            <w:shd w:val="solid" w:color="FFFFFF" w:fill="auto"/>
          </w:tcPr>
          <w:p w14:paraId="2891A4BC" w14:textId="78986054" w:rsidR="00357584" w:rsidRPr="00873B6C" w:rsidRDefault="00357584" w:rsidP="004A0323">
            <w:pPr>
              <w:pStyle w:val="TAL"/>
              <w:rPr>
                <w:sz w:val="16"/>
                <w:szCs w:val="16"/>
              </w:rPr>
            </w:pPr>
            <w:r w:rsidRPr="00873B6C">
              <w:rPr>
                <w:sz w:val="16"/>
                <w:szCs w:val="16"/>
              </w:rPr>
              <w:t>Relaxation of 5QI delay requirements for first packets should also apply for RRC-INACTIVE mode.</w:t>
            </w:r>
          </w:p>
        </w:tc>
        <w:tc>
          <w:tcPr>
            <w:tcW w:w="708" w:type="dxa"/>
            <w:shd w:val="solid" w:color="FFFFFF" w:fill="auto"/>
          </w:tcPr>
          <w:p w14:paraId="76698D52" w14:textId="08B47D2A" w:rsidR="00357584" w:rsidRPr="00873B6C" w:rsidRDefault="00357584" w:rsidP="004A0323">
            <w:pPr>
              <w:pStyle w:val="TAC"/>
              <w:rPr>
                <w:sz w:val="16"/>
                <w:szCs w:val="16"/>
              </w:rPr>
            </w:pPr>
            <w:r w:rsidRPr="00873B6C">
              <w:rPr>
                <w:sz w:val="16"/>
                <w:szCs w:val="16"/>
              </w:rPr>
              <w:t>18.3.0</w:t>
            </w:r>
          </w:p>
        </w:tc>
      </w:tr>
      <w:tr w:rsidR="00357584" w:rsidRPr="00873B6C" w14:paraId="4C5BA943" w14:textId="77777777" w:rsidTr="009D14FB">
        <w:tc>
          <w:tcPr>
            <w:tcW w:w="800" w:type="dxa"/>
            <w:shd w:val="solid" w:color="FFFFFF" w:fill="auto"/>
          </w:tcPr>
          <w:p w14:paraId="72C595A9" w14:textId="73793C5D"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210B6996" w14:textId="0D0DB180"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4DDE5644" w14:textId="7A2F575A" w:rsidR="00357584" w:rsidRPr="00873B6C" w:rsidRDefault="00357584" w:rsidP="004A0323">
            <w:pPr>
              <w:pStyle w:val="TAC"/>
              <w:rPr>
                <w:sz w:val="16"/>
                <w:szCs w:val="16"/>
              </w:rPr>
            </w:pPr>
            <w:r w:rsidRPr="00873B6C">
              <w:rPr>
                <w:sz w:val="16"/>
                <w:szCs w:val="16"/>
              </w:rPr>
              <w:t>SP-230849</w:t>
            </w:r>
          </w:p>
        </w:tc>
        <w:tc>
          <w:tcPr>
            <w:tcW w:w="567" w:type="dxa"/>
            <w:shd w:val="solid" w:color="FFFFFF" w:fill="auto"/>
          </w:tcPr>
          <w:p w14:paraId="65A04013" w14:textId="615F3CC3" w:rsidR="00357584" w:rsidRPr="00873B6C" w:rsidRDefault="00357584" w:rsidP="004A0323">
            <w:pPr>
              <w:pStyle w:val="TAL"/>
              <w:rPr>
                <w:sz w:val="16"/>
                <w:szCs w:val="16"/>
              </w:rPr>
            </w:pPr>
            <w:r w:rsidRPr="00873B6C">
              <w:rPr>
                <w:sz w:val="16"/>
                <w:szCs w:val="16"/>
              </w:rPr>
              <w:t>4717</w:t>
            </w:r>
          </w:p>
        </w:tc>
        <w:tc>
          <w:tcPr>
            <w:tcW w:w="425" w:type="dxa"/>
            <w:shd w:val="solid" w:color="FFFFFF" w:fill="auto"/>
          </w:tcPr>
          <w:p w14:paraId="4FC6FCC8" w14:textId="1DAAE6B3" w:rsidR="00357584" w:rsidRPr="00873B6C" w:rsidRDefault="00357584" w:rsidP="004A0323">
            <w:pPr>
              <w:pStyle w:val="TAL"/>
              <w:rPr>
                <w:sz w:val="16"/>
                <w:szCs w:val="16"/>
              </w:rPr>
            </w:pPr>
            <w:r w:rsidRPr="00873B6C">
              <w:rPr>
                <w:sz w:val="16"/>
                <w:szCs w:val="16"/>
              </w:rPr>
              <w:t>4</w:t>
            </w:r>
          </w:p>
        </w:tc>
        <w:tc>
          <w:tcPr>
            <w:tcW w:w="425" w:type="dxa"/>
            <w:shd w:val="solid" w:color="FFFFFF" w:fill="auto"/>
          </w:tcPr>
          <w:p w14:paraId="1FDC635E" w14:textId="40611D0C" w:rsidR="00357584" w:rsidRPr="00873B6C" w:rsidRDefault="00357584" w:rsidP="004A0323">
            <w:pPr>
              <w:pStyle w:val="TAL"/>
              <w:rPr>
                <w:sz w:val="16"/>
                <w:szCs w:val="16"/>
              </w:rPr>
            </w:pPr>
            <w:r w:rsidRPr="00873B6C">
              <w:rPr>
                <w:sz w:val="16"/>
                <w:szCs w:val="16"/>
              </w:rPr>
              <w:t>F</w:t>
            </w:r>
          </w:p>
        </w:tc>
        <w:tc>
          <w:tcPr>
            <w:tcW w:w="4820" w:type="dxa"/>
            <w:shd w:val="solid" w:color="FFFFFF" w:fill="auto"/>
          </w:tcPr>
          <w:p w14:paraId="64DCD767" w14:textId="68A41BCA" w:rsidR="00357584" w:rsidRPr="00873B6C" w:rsidRDefault="00357584" w:rsidP="004A0323">
            <w:pPr>
              <w:pStyle w:val="TAL"/>
              <w:rPr>
                <w:sz w:val="16"/>
                <w:szCs w:val="16"/>
              </w:rPr>
            </w:pPr>
            <w:r w:rsidRPr="00873B6C">
              <w:rPr>
                <w:sz w:val="16"/>
                <w:szCs w:val="16"/>
              </w:rPr>
              <w:t>Resolving open issues related to RAN resoruces handling in KI#1</w:t>
            </w:r>
          </w:p>
        </w:tc>
        <w:tc>
          <w:tcPr>
            <w:tcW w:w="708" w:type="dxa"/>
            <w:shd w:val="solid" w:color="FFFFFF" w:fill="auto"/>
          </w:tcPr>
          <w:p w14:paraId="0740647C" w14:textId="7ACB0AB1" w:rsidR="00357584" w:rsidRPr="00873B6C" w:rsidRDefault="00357584" w:rsidP="004A0323">
            <w:pPr>
              <w:pStyle w:val="TAC"/>
              <w:rPr>
                <w:sz w:val="16"/>
                <w:szCs w:val="16"/>
              </w:rPr>
            </w:pPr>
            <w:r w:rsidRPr="00873B6C">
              <w:rPr>
                <w:sz w:val="16"/>
                <w:szCs w:val="16"/>
              </w:rPr>
              <w:t>18.3.0</w:t>
            </w:r>
          </w:p>
        </w:tc>
      </w:tr>
      <w:tr w:rsidR="00A10084" w:rsidRPr="00873B6C" w14:paraId="4CDA7824" w14:textId="77777777" w:rsidTr="009D14FB">
        <w:tc>
          <w:tcPr>
            <w:tcW w:w="800" w:type="dxa"/>
            <w:shd w:val="solid" w:color="FFFFFF" w:fill="auto"/>
          </w:tcPr>
          <w:p w14:paraId="247C1026" w14:textId="743FCB00"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46844F35" w14:textId="4E5BBB9B"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5CDF7014" w14:textId="23430504" w:rsidR="00A10084" w:rsidRPr="00873B6C" w:rsidRDefault="00A10084" w:rsidP="004A0323">
            <w:pPr>
              <w:pStyle w:val="TAC"/>
              <w:rPr>
                <w:sz w:val="16"/>
                <w:szCs w:val="16"/>
              </w:rPr>
            </w:pPr>
            <w:r w:rsidRPr="00873B6C">
              <w:rPr>
                <w:sz w:val="16"/>
                <w:szCs w:val="16"/>
              </w:rPr>
              <w:t>SP-230850</w:t>
            </w:r>
          </w:p>
        </w:tc>
        <w:tc>
          <w:tcPr>
            <w:tcW w:w="567" w:type="dxa"/>
            <w:shd w:val="solid" w:color="FFFFFF" w:fill="auto"/>
          </w:tcPr>
          <w:p w14:paraId="02DBA894" w14:textId="303905D9" w:rsidR="00A10084" w:rsidRPr="00873B6C" w:rsidRDefault="00A10084" w:rsidP="004A0323">
            <w:pPr>
              <w:pStyle w:val="TAL"/>
              <w:rPr>
                <w:sz w:val="16"/>
                <w:szCs w:val="16"/>
              </w:rPr>
            </w:pPr>
            <w:r w:rsidRPr="00873B6C">
              <w:rPr>
                <w:sz w:val="16"/>
                <w:szCs w:val="16"/>
              </w:rPr>
              <w:t>4719</w:t>
            </w:r>
          </w:p>
        </w:tc>
        <w:tc>
          <w:tcPr>
            <w:tcW w:w="425" w:type="dxa"/>
            <w:shd w:val="solid" w:color="FFFFFF" w:fill="auto"/>
          </w:tcPr>
          <w:p w14:paraId="3FDEEC2A" w14:textId="16A215D3" w:rsidR="00A10084" w:rsidRPr="00873B6C" w:rsidRDefault="00A10084" w:rsidP="004A0323">
            <w:pPr>
              <w:pStyle w:val="TAL"/>
              <w:rPr>
                <w:sz w:val="16"/>
                <w:szCs w:val="16"/>
              </w:rPr>
            </w:pPr>
            <w:r w:rsidRPr="00873B6C">
              <w:rPr>
                <w:sz w:val="16"/>
                <w:szCs w:val="16"/>
              </w:rPr>
              <w:t>3</w:t>
            </w:r>
          </w:p>
        </w:tc>
        <w:tc>
          <w:tcPr>
            <w:tcW w:w="425" w:type="dxa"/>
            <w:shd w:val="solid" w:color="FFFFFF" w:fill="auto"/>
          </w:tcPr>
          <w:p w14:paraId="6616DC27" w14:textId="632BF7C6"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1608AD4C" w14:textId="28CD42A5" w:rsidR="00A10084" w:rsidRPr="00873B6C" w:rsidRDefault="00A10084" w:rsidP="004A0323">
            <w:pPr>
              <w:pStyle w:val="TAL"/>
              <w:rPr>
                <w:sz w:val="16"/>
                <w:szCs w:val="16"/>
              </w:rPr>
            </w:pPr>
            <w:r w:rsidRPr="00873B6C">
              <w:rPr>
                <w:sz w:val="16"/>
                <w:szCs w:val="16"/>
              </w:rPr>
              <w:t>Clarification of the discovery and seletion of NSACF</w:t>
            </w:r>
          </w:p>
        </w:tc>
        <w:tc>
          <w:tcPr>
            <w:tcW w:w="708" w:type="dxa"/>
            <w:shd w:val="solid" w:color="FFFFFF" w:fill="auto"/>
          </w:tcPr>
          <w:p w14:paraId="65ECEA04" w14:textId="65827401" w:rsidR="00A10084" w:rsidRPr="00873B6C" w:rsidRDefault="00A10084" w:rsidP="004A0323">
            <w:pPr>
              <w:pStyle w:val="TAC"/>
              <w:rPr>
                <w:sz w:val="16"/>
                <w:szCs w:val="16"/>
              </w:rPr>
            </w:pPr>
            <w:r w:rsidRPr="00873B6C">
              <w:rPr>
                <w:sz w:val="16"/>
                <w:szCs w:val="16"/>
              </w:rPr>
              <w:t>18.3.0</w:t>
            </w:r>
          </w:p>
        </w:tc>
      </w:tr>
      <w:tr w:rsidR="00A10084" w:rsidRPr="00873B6C" w14:paraId="453D89B6" w14:textId="77777777" w:rsidTr="009D14FB">
        <w:tc>
          <w:tcPr>
            <w:tcW w:w="800" w:type="dxa"/>
            <w:shd w:val="solid" w:color="FFFFFF" w:fill="auto"/>
          </w:tcPr>
          <w:p w14:paraId="3434CD1A" w14:textId="64D8DB24"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68AD3729" w14:textId="6E5BCD9D"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582A07A2" w14:textId="1D31C1FD" w:rsidR="00A10084" w:rsidRPr="00873B6C" w:rsidRDefault="00A10084" w:rsidP="004A0323">
            <w:pPr>
              <w:pStyle w:val="TAC"/>
              <w:rPr>
                <w:sz w:val="16"/>
                <w:szCs w:val="16"/>
              </w:rPr>
            </w:pPr>
            <w:r w:rsidRPr="00873B6C">
              <w:rPr>
                <w:sz w:val="16"/>
                <w:szCs w:val="16"/>
              </w:rPr>
              <w:t>SP-230836</w:t>
            </w:r>
          </w:p>
        </w:tc>
        <w:tc>
          <w:tcPr>
            <w:tcW w:w="567" w:type="dxa"/>
            <w:shd w:val="solid" w:color="FFFFFF" w:fill="auto"/>
          </w:tcPr>
          <w:p w14:paraId="5F73AB04" w14:textId="52EC028F" w:rsidR="00A10084" w:rsidRPr="00873B6C" w:rsidRDefault="00A10084" w:rsidP="004A0323">
            <w:pPr>
              <w:pStyle w:val="TAL"/>
              <w:rPr>
                <w:sz w:val="16"/>
                <w:szCs w:val="16"/>
              </w:rPr>
            </w:pPr>
            <w:r w:rsidRPr="00873B6C">
              <w:rPr>
                <w:sz w:val="16"/>
                <w:szCs w:val="16"/>
              </w:rPr>
              <w:t>4721</w:t>
            </w:r>
          </w:p>
        </w:tc>
        <w:tc>
          <w:tcPr>
            <w:tcW w:w="425" w:type="dxa"/>
            <w:shd w:val="solid" w:color="FFFFFF" w:fill="auto"/>
          </w:tcPr>
          <w:p w14:paraId="73749822" w14:textId="432B11F9" w:rsidR="00A10084" w:rsidRPr="00873B6C" w:rsidRDefault="00A10084" w:rsidP="004A0323">
            <w:pPr>
              <w:pStyle w:val="TAL"/>
              <w:rPr>
                <w:sz w:val="16"/>
                <w:szCs w:val="16"/>
              </w:rPr>
            </w:pPr>
            <w:r w:rsidRPr="00873B6C">
              <w:rPr>
                <w:sz w:val="16"/>
                <w:szCs w:val="16"/>
              </w:rPr>
              <w:t>-</w:t>
            </w:r>
          </w:p>
        </w:tc>
        <w:tc>
          <w:tcPr>
            <w:tcW w:w="425" w:type="dxa"/>
            <w:shd w:val="solid" w:color="FFFFFF" w:fill="auto"/>
          </w:tcPr>
          <w:p w14:paraId="5AFD4ED4" w14:textId="665D581E"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42C60C3C" w14:textId="260A6EDC" w:rsidR="00A10084" w:rsidRPr="00873B6C" w:rsidRDefault="00A10084" w:rsidP="004A0323">
            <w:pPr>
              <w:pStyle w:val="TAL"/>
              <w:rPr>
                <w:sz w:val="16"/>
                <w:szCs w:val="16"/>
              </w:rPr>
            </w:pPr>
            <w:r w:rsidRPr="00873B6C">
              <w:rPr>
                <w:sz w:val="16"/>
                <w:szCs w:val="16"/>
              </w:rPr>
              <w:t>Move PMIC and UMIC into Annex</w:t>
            </w:r>
          </w:p>
        </w:tc>
        <w:tc>
          <w:tcPr>
            <w:tcW w:w="708" w:type="dxa"/>
            <w:shd w:val="solid" w:color="FFFFFF" w:fill="auto"/>
          </w:tcPr>
          <w:p w14:paraId="42D01EE2" w14:textId="794BC057" w:rsidR="00A10084" w:rsidRPr="00873B6C" w:rsidRDefault="00A10084" w:rsidP="004A0323">
            <w:pPr>
              <w:pStyle w:val="TAC"/>
              <w:rPr>
                <w:sz w:val="16"/>
                <w:szCs w:val="16"/>
              </w:rPr>
            </w:pPr>
            <w:r w:rsidRPr="00873B6C">
              <w:rPr>
                <w:sz w:val="16"/>
                <w:szCs w:val="16"/>
              </w:rPr>
              <w:t>18.3.0</w:t>
            </w:r>
          </w:p>
        </w:tc>
      </w:tr>
      <w:tr w:rsidR="00A10084" w:rsidRPr="00873B6C" w14:paraId="6A5C74DA" w14:textId="77777777" w:rsidTr="009D14FB">
        <w:tc>
          <w:tcPr>
            <w:tcW w:w="800" w:type="dxa"/>
            <w:shd w:val="solid" w:color="FFFFFF" w:fill="auto"/>
          </w:tcPr>
          <w:p w14:paraId="5427DF39" w14:textId="77FBC61A"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18AB5F3B" w14:textId="10EBDDC4"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017125E4" w14:textId="6845715C" w:rsidR="00A10084" w:rsidRPr="00873B6C" w:rsidRDefault="00A10084" w:rsidP="004A0323">
            <w:pPr>
              <w:pStyle w:val="TAC"/>
              <w:rPr>
                <w:sz w:val="16"/>
                <w:szCs w:val="16"/>
              </w:rPr>
            </w:pPr>
            <w:r w:rsidRPr="00873B6C">
              <w:rPr>
                <w:sz w:val="16"/>
                <w:szCs w:val="16"/>
              </w:rPr>
              <w:t>SP-230858</w:t>
            </w:r>
          </w:p>
        </w:tc>
        <w:tc>
          <w:tcPr>
            <w:tcW w:w="567" w:type="dxa"/>
            <w:shd w:val="solid" w:color="FFFFFF" w:fill="auto"/>
          </w:tcPr>
          <w:p w14:paraId="6CC74BEE" w14:textId="43A767AB" w:rsidR="00A10084" w:rsidRPr="00873B6C" w:rsidRDefault="00A10084" w:rsidP="004A0323">
            <w:pPr>
              <w:pStyle w:val="TAL"/>
              <w:rPr>
                <w:sz w:val="16"/>
                <w:szCs w:val="16"/>
              </w:rPr>
            </w:pPr>
            <w:r w:rsidRPr="00873B6C">
              <w:rPr>
                <w:sz w:val="16"/>
                <w:szCs w:val="16"/>
              </w:rPr>
              <w:t>4723</w:t>
            </w:r>
          </w:p>
        </w:tc>
        <w:tc>
          <w:tcPr>
            <w:tcW w:w="425" w:type="dxa"/>
            <w:shd w:val="solid" w:color="FFFFFF" w:fill="auto"/>
          </w:tcPr>
          <w:p w14:paraId="34B8DAD4" w14:textId="0840DF32" w:rsidR="00A10084" w:rsidRPr="00873B6C" w:rsidRDefault="00A10084" w:rsidP="004A0323">
            <w:pPr>
              <w:pStyle w:val="TAL"/>
              <w:rPr>
                <w:sz w:val="16"/>
                <w:szCs w:val="16"/>
              </w:rPr>
            </w:pPr>
            <w:r w:rsidRPr="00873B6C">
              <w:rPr>
                <w:sz w:val="16"/>
                <w:szCs w:val="16"/>
              </w:rPr>
              <w:t>3</w:t>
            </w:r>
          </w:p>
        </w:tc>
        <w:tc>
          <w:tcPr>
            <w:tcW w:w="425" w:type="dxa"/>
            <w:shd w:val="solid" w:color="FFFFFF" w:fill="auto"/>
          </w:tcPr>
          <w:p w14:paraId="32AFD5A7" w14:textId="3BBF2CFF"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1EA42AF5" w14:textId="302E1671" w:rsidR="00A10084" w:rsidRPr="00873B6C" w:rsidRDefault="00A10084" w:rsidP="004A0323">
            <w:pPr>
              <w:pStyle w:val="TAL"/>
              <w:rPr>
                <w:sz w:val="16"/>
                <w:szCs w:val="16"/>
              </w:rPr>
            </w:pPr>
            <w:r w:rsidRPr="00873B6C">
              <w:rPr>
                <w:sz w:val="16"/>
                <w:szCs w:val="16"/>
              </w:rPr>
              <w:t>PCC support for ECN marking for L4S</w:t>
            </w:r>
          </w:p>
        </w:tc>
        <w:tc>
          <w:tcPr>
            <w:tcW w:w="708" w:type="dxa"/>
            <w:shd w:val="solid" w:color="FFFFFF" w:fill="auto"/>
          </w:tcPr>
          <w:p w14:paraId="1B10B0D4" w14:textId="731FC4CA" w:rsidR="00A10084" w:rsidRPr="00873B6C" w:rsidRDefault="00A10084" w:rsidP="004A0323">
            <w:pPr>
              <w:pStyle w:val="TAC"/>
              <w:rPr>
                <w:sz w:val="16"/>
                <w:szCs w:val="16"/>
              </w:rPr>
            </w:pPr>
            <w:r w:rsidRPr="00873B6C">
              <w:rPr>
                <w:sz w:val="16"/>
                <w:szCs w:val="16"/>
              </w:rPr>
              <w:t>18.3.0</w:t>
            </w:r>
          </w:p>
        </w:tc>
      </w:tr>
      <w:tr w:rsidR="00A10084" w:rsidRPr="00873B6C" w14:paraId="44024DDE" w14:textId="77777777" w:rsidTr="009D14FB">
        <w:tc>
          <w:tcPr>
            <w:tcW w:w="800" w:type="dxa"/>
            <w:shd w:val="solid" w:color="FFFFFF" w:fill="auto"/>
          </w:tcPr>
          <w:p w14:paraId="5BAC6C23" w14:textId="27721E4F"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00BD5FA6" w14:textId="60017C50"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7C0B0A1D" w14:textId="5894245C" w:rsidR="00A10084" w:rsidRPr="00873B6C" w:rsidRDefault="00A10084" w:rsidP="004A0323">
            <w:pPr>
              <w:pStyle w:val="TAC"/>
              <w:rPr>
                <w:sz w:val="16"/>
                <w:szCs w:val="16"/>
              </w:rPr>
            </w:pPr>
            <w:r w:rsidRPr="00873B6C">
              <w:rPr>
                <w:sz w:val="16"/>
                <w:szCs w:val="16"/>
              </w:rPr>
              <w:t>SP-230856</w:t>
            </w:r>
          </w:p>
        </w:tc>
        <w:tc>
          <w:tcPr>
            <w:tcW w:w="567" w:type="dxa"/>
            <w:shd w:val="solid" w:color="FFFFFF" w:fill="auto"/>
          </w:tcPr>
          <w:p w14:paraId="4E8FFE2F" w14:textId="340AEB12" w:rsidR="00A10084" w:rsidRPr="00873B6C" w:rsidRDefault="00A10084" w:rsidP="004A0323">
            <w:pPr>
              <w:pStyle w:val="TAL"/>
              <w:rPr>
                <w:sz w:val="16"/>
                <w:szCs w:val="16"/>
              </w:rPr>
            </w:pPr>
            <w:r w:rsidRPr="00873B6C">
              <w:rPr>
                <w:sz w:val="16"/>
                <w:szCs w:val="16"/>
              </w:rPr>
              <w:t>4727</w:t>
            </w:r>
          </w:p>
        </w:tc>
        <w:tc>
          <w:tcPr>
            <w:tcW w:w="425" w:type="dxa"/>
            <w:shd w:val="solid" w:color="FFFFFF" w:fill="auto"/>
          </w:tcPr>
          <w:p w14:paraId="05173C00" w14:textId="21E8DB7F" w:rsidR="00A10084" w:rsidRPr="00873B6C" w:rsidRDefault="00A10084" w:rsidP="004A0323">
            <w:pPr>
              <w:pStyle w:val="TAL"/>
              <w:rPr>
                <w:sz w:val="16"/>
                <w:szCs w:val="16"/>
              </w:rPr>
            </w:pPr>
            <w:r w:rsidRPr="00873B6C">
              <w:rPr>
                <w:sz w:val="16"/>
                <w:szCs w:val="16"/>
              </w:rPr>
              <w:t>2</w:t>
            </w:r>
          </w:p>
        </w:tc>
        <w:tc>
          <w:tcPr>
            <w:tcW w:w="425" w:type="dxa"/>
            <w:shd w:val="solid" w:color="FFFFFF" w:fill="auto"/>
          </w:tcPr>
          <w:p w14:paraId="67658731" w14:textId="7D395553"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3D004FAC" w14:textId="1B8B4837" w:rsidR="00A10084" w:rsidRPr="00873B6C" w:rsidRDefault="00A10084" w:rsidP="004A0323">
            <w:pPr>
              <w:pStyle w:val="TAL"/>
              <w:rPr>
                <w:sz w:val="16"/>
                <w:szCs w:val="16"/>
              </w:rPr>
            </w:pPr>
            <w:r w:rsidRPr="00873B6C">
              <w:rPr>
                <w:sz w:val="16"/>
                <w:szCs w:val="16"/>
              </w:rPr>
              <w:t>Clarification on the support for TSCTSF subscribing to AMF notifications for TRS</w:t>
            </w:r>
          </w:p>
        </w:tc>
        <w:tc>
          <w:tcPr>
            <w:tcW w:w="708" w:type="dxa"/>
            <w:shd w:val="solid" w:color="FFFFFF" w:fill="auto"/>
          </w:tcPr>
          <w:p w14:paraId="4FFD5067" w14:textId="495E3195" w:rsidR="00A10084" w:rsidRPr="00873B6C" w:rsidRDefault="00A10084" w:rsidP="004A0323">
            <w:pPr>
              <w:pStyle w:val="TAC"/>
              <w:rPr>
                <w:sz w:val="16"/>
                <w:szCs w:val="16"/>
              </w:rPr>
            </w:pPr>
            <w:r w:rsidRPr="00873B6C">
              <w:rPr>
                <w:sz w:val="16"/>
                <w:szCs w:val="16"/>
              </w:rPr>
              <w:t>18.3.0</w:t>
            </w:r>
          </w:p>
        </w:tc>
      </w:tr>
      <w:tr w:rsidR="00A10084" w:rsidRPr="00873B6C" w14:paraId="617536BB" w14:textId="77777777" w:rsidTr="009D14FB">
        <w:tc>
          <w:tcPr>
            <w:tcW w:w="800" w:type="dxa"/>
            <w:shd w:val="solid" w:color="FFFFFF" w:fill="auto"/>
          </w:tcPr>
          <w:p w14:paraId="157DCFF5" w14:textId="68C19FA3"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169FB2B0" w14:textId="67162C25"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0796C4C3" w14:textId="61BD18ED" w:rsidR="00A10084" w:rsidRPr="00873B6C" w:rsidRDefault="00A10084" w:rsidP="004A0323">
            <w:pPr>
              <w:pStyle w:val="TAC"/>
              <w:rPr>
                <w:sz w:val="16"/>
                <w:szCs w:val="16"/>
              </w:rPr>
            </w:pPr>
            <w:r w:rsidRPr="00873B6C">
              <w:rPr>
                <w:sz w:val="16"/>
                <w:szCs w:val="16"/>
              </w:rPr>
              <w:t>SP-230854</w:t>
            </w:r>
          </w:p>
        </w:tc>
        <w:tc>
          <w:tcPr>
            <w:tcW w:w="567" w:type="dxa"/>
            <w:shd w:val="solid" w:color="FFFFFF" w:fill="auto"/>
          </w:tcPr>
          <w:p w14:paraId="3E071082" w14:textId="58A871EA" w:rsidR="00A10084" w:rsidRPr="00873B6C" w:rsidRDefault="00A10084" w:rsidP="004A0323">
            <w:pPr>
              <w:pStyle w:val="TAL"/>
              <w:rPr>
                <w:sz w:val="16"/>
                <w:szCs w:val="16"/>
              </w:rPr>
            </w:pPr>
            <w:r w:rsidRPr="00873B6C">
              <w:rPr>
                <w:sz w:val="16"/>
                <w:szCs w:val="16"/>
              </w:rPr>
              <w:t>4733</w:t>
            </w:r>
          </w:p>
        </w:tc>
        <w:tc>
          <w:tcPr>
            <w:tcW w:w="425" w:type="dxa"/>
            <w:shd w:val="solid" w:color="FFFFFF" w:fill="auto"/>
          </w:tcPr>
          <w:p w14:paraId="30111063" w14:textId="5126FC1E" w:rsidR="00A10084" w:rsidRPr="00873B6C" w:rsidRDefault="00A10084" w:rsidP="004A0323">
            <w:pPr>
              <w:pStyle w:val="TAL"/>
              <w:rPr>
                <w:sz w:val="16"/>
                <w:szCs w:val="16"/>
              </w:rPr>
            </w:pPr>
            <w:r w:rsidRPr="00873B6C">
              <w:rPr>
                <w:sz w:val="16"/>
                <w:szCs w:val="16"/>
              </w:rPr>
              <w:t>2</w:t>
            </w:r>
          </w:p>
        </w:tc>
        <w:tc>
          <w:tcPr>
            <w:tcW w:w="425" w:type="dxa"/>
            <w:shd w:val="solid" w:color="FFFFFF" w:fill="auto"/>
          </w:tcPr>
          <w:p w14:paraId="19AE728B" w14:textId="5FA2EA21"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546D0A66" w14:textId="07FCEF06" w:rsidR="00A10084" w:rsidRPr="00873B6C" w:rsidRDefault="00A10084" w:rsidP="004A0323">
            <w:pPr>
              <w:pStyle w:val="TAL"/>
              <w:rPr>
                <w:sz w:val="16"/>
                <w:szCs w:val="16"/>
              </w:rPr>
            </w:pPr>
            <w:r w:rsidRPr="00873B6C">
              <w:rPr>
                <w:sz w:val="16"/>
                <w:szCs w:val="16"/>
              </w:rPr>
              <w:t>Correction on description about PEGC</w:t>
            </w:r>
          </w:p>
        </w:tc>
        <w:tc>
          <w:tcPr>
            <w:tcW w:w="708" w:type="dxa"/>
            <w:shd w:val="solid" w:color="FFFFFF" w:fill="auto"/>
          </w:tcPr>
          <w:p w14:paraId="7634C4F7" w14:textId="0D6A7666" w:rsidR="00A10084" w:rsidRPr="00873B6C" w:rsidRDefault="00A10084" w:rsidP="004A0323">
            <w:pPr>
              <w:pStyle w:val="TAC"/>
              <w:rPr>
                <w:sz w:val="16"/>
                <w:szCs w:val="16"/>
              </w:rPr>
            </w:pPr>
            <w:r w:rsidRPr="00873B6C">
              <w:rPr>
                <w:sz w:val="16"/>
                <w:szCs w:val="16"/>
              </w:rPr>
              <w:t>18.3.0</w:t>
            </w:r>
          </w:p>
        </w:tc>
      </w:tr>
      <w:tr w:rsidR="00A10084" w:rsidRPr="00873B6C" w14:paraId="3AEA389A" w14:textId="77777777" w:rsidTr="009D14FB">
        <w:tc>
          <w:tcPr>
            <w:tcW w:w="800" w:type="dxa"/>
            <w:shd w:val="solid" w:color="FFFFFF" w:fill="auto"/>
          </w:tcPr>
          <w:p w14:paraId="2BCBB468" w14:textId="468A317B" w:rsidR="00A10084" w:rsidRPr="00873B6C" w:rsidRDefault="00A10084" w:rsidP="004A0323">
            <w:pPr>
              <w:pStyle w:val="TAC"/>
              <w:rPr>
                <w:sz w:val="16"/>
                <w:szCs w:val="16"/>
              </w:rPr>
            </w:pPr>
            <w:r w:rsidRPr="00873B6C">
              <w:rPr>
                <w:sz w:val="16"/>
                <w:szCs w:val="16"/>
              </w:rPr>
              <w:lastRenderedPageBreak/>
              <w:t>2023-09</w:t>
            </w:r>
          </w:p>
        </w:tc>
        <w:tc>
          <w:tcPr>
            <w:tcW w:w="800" w:type="dxa"/>
            <w:shd w:val="solid" w:color="FFFFFF" w:fill="auto"/>
          </w:tcPr>
          <w:p w14:paraId="40D4CAB4" w14:textId="3E9904BD"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3E713BD3" w14:textId="6F48B62B" w:rsidR="00A10084" w:rsidRPr="00873B6C" w:rsidRDefault="00A10084" w:rsidP="004A0323">
            <w:pPr>
              <w:pStyle w:val="TAC"/>
              <w:rPr>
                <w:sz w:val="16"/>
                <w:szCs w:val="16"/>
              </w:rPr>
            </w:pPr>
            <w:r w:rsidRPr="00873B6C">
              <w:rPr>
                <w:sz w:val="16"/>
                <w:szCs w:val="16"/>
              </w:rPr>
              <w:t>SP-230849</w:t>
            </w:r>
          </w:p>
        </w:tc>
        <w:tc>
          <w:tcPr>
            <w:tcW w:w="567" w:type="dxa"/>
            <w:shd w:val="solid" w:color="FFFFFF" w:fill="auto"/>
          </w:tcPr>
          <w:p w14:paraId="1910DEBA" w14:textId="0F57A453" w:rsidR="00A10084" w:rsidRPr="00873B6C" w:rsidRDefault="00A10084" w:rsidP="004A0323">
            <w:pPr>
              <w:pStyle w:val="TAL"/>
              <w:rPr>
                <w:sz w:val="16"/>
                <w:szCs w:val="16"/>
              </w:rPr>
            </w:pPr>
            <w:r w:rsidRPr="00873B6C">
              <w:rPr>
                <w:sz w:val="16"/>
                <w:szCs w:val="16"/>
              </w:rPr>
              <w:t>4741</w:t>
            </w:r>
          </w:p>
        </w:tc>
        <w:tc>
          <w:tcPr>
            <w:tcW w:w="425" w:type="dxa"/>
            <w:shd w:val="solid" w:color="FFFFFF" w:fill="auto"/>
          </w:tcPr>
          <w:p w14:paraId="373D4D94" w14:textId="3047B994" w:rsidR="00A10084" w:rsidRPr="00873B6C" w:rsidRDefault="00A10084" w:rsidP="004A0323">
            <w:pPr>
              <w:pStyle w:val="TAL"/>
              <w:rPr>
                <w:sz w:val="16"/>
                <w:szCs w:val="16"/>
              </w:rPr>
            </w:pPr>
            <w:r w:rsidRPr="00873B6C">
              <w:rPr>
                <w:sz w:val="16"/>
                <w:szCs w:val="16"/>
              </w:rPr>
              <w:t>2</w:t>
            </w:r>
          </w:p>
        </w:tc>
        <w:tc>
          <w:tcPr>
            <w:tcW w:w="425" w:type="dxa"/>
            <w:shd w:val="solid" w:color="FFFFFF" w:fill="auto"/>
          </w:tcPr>
          <w:p w14:paraId="45D5EF99" w14:textId="4AA729CC"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3B558957" w14:textId="09FB5872" w:rsidR="00A10084" w:rsidRPr="00873B6C" w:rsidRDefault="00A10084" w:rsidP="004A0323">
            <w:pPr>
              <w:pStyle w:val="TAL"/>
              <w:rPr>
                <w:sz w:val="16"/>
                <w:szCs w:val="16"/>
              </w:rPr>
            </w:pPr>
            <w:r w:rsidRPr="00873B6C">
              <w:rPr>
                <w:sz w:val="16"/>
                <w:szCs w:val="16"/>
              </w:rPr>
              <w:t>UP resource deactivation when the UE moves outside the area of slice availability</w:t>
            </w:r>
          </w:p>
        </w:tc>
        <w:tc>
          <w:tcPr>
            <w:tcW w:w="708" w:type="dxa"/>
            <w:shd w:val="solid" w:color="FFFFFF" w:fill="auto"/>
          </w:tcPr>
          <w:p w14:paraId="5B829064" w14:textId="0A7CBF05" w:rsidR="00A10084" w:rsidRPr="00873B6C" w:rsidRDefault="00A10084" w:rsidP="004A0323">
            <w:pPr>
              <w:pStyle w:val="TAC"/>
              <w:rPr>
                <w:sz w:val="16"/>
                <w:szCs w:val="16"/>
              </w:rPr>
            </w:pPr>
            <w:r w:rsidRPr="00873B6C">
              <w:rPr>
                <w:sz w:val="16"/>
                <w:szCs w:val="16"/>
              </w:rPr>
              <w:t>18.3.0</w:t>
            </w:r>
          </w:p>
        </w:tc>
      </w:tr>
      <w:tr w:rsidR="00A10084" w:rsidRPr="00873B6C" w14:paraId="2E6AE908" w14:textId="77777777" w:rsidTr="009D14FB">
        <w:tc>
          <w:tcPr>
            <w:tcW w:w="800" w:type="dxa"/>
            <w:shd w:val="solid" w:color="FFFFFF" w:fill="auto"/>
          </w:tcPr>
          <w:p w14:paraId="1ED556F1" w14:textId="567AA6CE"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7975214E" w14:textId="3A5E10F1"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1D8BB1A9" w14:textId="07BA012A" w:rsidR="00A10084" w:rsidRPr="00873B6C" w:rsidRDefault="00A10084" w:rsidP="004A0323">
            <w:pPr>
              <w:pStyle w:val="TAC"/>
              <w:rPr>
                <w:sz w:val="16"/>
                <w:szCs w:val="16"/>
              </w:rPr>
            </w:pPr>
            <w:r w:rsidRPr="00873B6C">
              <w:rPr>
                <w:sz w:val="16"/>
                <w:szCs w:val="16"/>
              </w:rPr>
              <w:t>SP-230858</w:t>
            </w:r>
          </w:p>
        </w:tc>
        <w:tc>
          <w:tcPr>
            <w:tcW w:w="567" w:type="dxa"/>
            <w:shd w:val="solid" w:color="FFFFFF" w:fill="auto"/>
          </w:tcPr>
          <w:p w14:paraId="132B71D8" w14:textId="45BCBACD" w:rsidR="00A10084" w:rsidRPr="00873B6C" w:rsidRDefault="00A10084" w:rsidP="004A0323">
            <w:pPr>
              <w:pStyle w:val="TAL"/>
              <w:rPr>
                <w:sz w:val="16"/>
                <w:szCs w:val="16"/>
              </w:rPr>
            </w:pPr>
            <w:r w:rsidRPr="00873B6C">
              <w:rPr>
                <w:sz w:val="16"/>
                <w:szCs w:val="16"/>
              </w:rPr>
              <w:t>4747</w:t>
            </w:r>
          </w:p>
        </w:tc>
        <w:tc>
          <w:tcPr>
            <w:tcW w:w="425" w:type="dxa"/>
            <w:shd w:val="solid" w:color="FFFFFF" w:fill="auto"/>
          </w:tcPr>
          <w:p w14:paraId="04BB2FF5" w14:textId="74572EB9" w:rsidR="00A10084" w:rsidRPr="00873B6C" w:rsidRDefault="00A10084" w:rsidP="004A0323">
            <w:pPr>
              <w:pStyle w:val="TAL"/>
              <w:rPr>
                <w:sz w:val="16"/>
                <w:szCs w:val="16"/>
              </w:rPr>
            </w:pPr>
            <w:r w:rsidRPr="00873B6C">
              <w:rPr>
                <w:sz w:val="16"/>
                <w:szCs w:val="16"/>
              </w:rPr>
              <w:t>3</w:t>
            </w:r>
          </w:p>
        </w:tc>
        <w:tc>
          <w:tcPr>
            <w:tcW w:w="425" w:type="dxa"/>
            <w:shd w:val="solid" w:color="FFFFFF" w:fill="auto"/>
          </w:tcPr>
          <w:p w14:paraId="1C2B7E3B" w14:textId="4FA870C2"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4B966810" w14:textId="0BFA9E91" w:rsidR="00A10084" w:rsidRPr="00873B6C" w:rsidRDefault="00A10084" w:rsidP="004A0323">
            <w:pPr>
              <w:pStyle w:val="TAL"/>
              <w:rPr>
                <w:sz w:val="16"/>
                <w:szCs w:val="16"/>
              </w:rPr>
            </w:pPr>
            <w:r w:rsidRPr="00873B6C">
              <w:rPr>
                <w:sz w:val="16"/>
                <w:szCs w:val="16"/>
              </w:rPr>
              <w:t>Clarification for GBR and non-GBR support of PDU set QoS Parameters</w:t>
            </w:r>
          </w:p>
        </w:tc>
        <w:tc>
          <w:tcPr>
            <w:tcW w:w="708" w:type="dxa"/>
            <w:shd w:val="solid" w:color="FFFFFF" w:fill="auto"/>
          </w:tcPr>
          <w:p w14:paraId="6423045A" w14:textId="28A1DD38" w:rsidR="00A10084" w:rsidRPr="00873B6C" w:rsidRDefault="00A10084" w:rsidP="004A0323">
            <w:pPr>
              <w:pStyle w:val="TAC"/>
              <w:rPr>
                <w:sz w:val="16"/>
                <w:szCs w:val="16"/>
              </w:rPr>
            </w:pPr>
            <w:r w:rsidRPr="00873B6C">
              <w:rPr>
                <w:sz w:val="16"/>
                <w:szCs w:val="16"/>
              </w:rPr>
              <w:t>18.3.0</w:t>
            </w:r>
          </w:p>
        </w:tc>
      </w:tr>
      <w:tr w:rsidR="00A10084" w:rsidRPr="00873B6C" w14:paraId="24BEDB71" w14:textId="77777777" w:rsidTr="009D14FB">
        <w:tc>
          <w:tcPr>
            <w:tcW w:w="800" w:type="dxa"/>
            <w:shd w:val="solid" w:color="FFFFFF" w:fill="auto"/>
          </w:tcPr>
          <w:p w14:paraId="36C147F8" w14:textId="48F545C2"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2FF2BFA6" w14:textId="0481F6CD"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0EAF12E2" w14:textId="7131FF75" w:rsidR="00A10084" w:rsidRPr="00873B6C" w:rsidRDefault="00A10084" w:rsidP="004A0323">
            <w:pPr>
              <w:pStyle w:val="TAC"/>
              <w:rPr>
                <w:sz w:val="16"/>
                <w:szCs w:val="16"/>
              </w:rPr>
            </w:pPr>
            <w:r w:rsidRPr="00873B6C">
              <w:rPr>
                <w:sz w:val="16"/>
                <w:szCs w:val="16"/>
              </w:rPr>
              <w:t>SP-230859</w:t>
            </w:r>
          </w:p>
        </w:tc>
        <w:tc>
          <w:tcPr>
            <w:tcW w:w="567" w:type="dxa"/>
            <w:shd w:val="solid" w:color="FFFFFF" w:fill="auto"/>
          </w:tcPr>
          <w:p w14:paraId="6D7417D4" w14:textId="08E5C95A" w:rsidR="00A10084" w:rsidRPr="00873B6C" w:rsidRDefault="00A10084" w:rsidP="004A0323">
            <w:pPr>
              <w:pStyle w:val="TAL"/>
              <w:rPr>
                <w:sz w:val="16"/>
                <w:szCs w:val="16"/>
              </w:rPr>
            </w:pPr>
            <w:r w:rsidRPr="00873B6C">
              <w:rPr>
                <w:sz w:val="16"/>
                <w:szCs w:val="16"/>
              </w:rPr>
              <w:t>4748</w:t>
            </w:r>
          </w:p>
        </w:tc>
        <w:tc>
          <w:tcPr>
            <w:tcW w:w="425" w:type="dxa"/>
            <w:shd w:val="solid" w:color="FFFFFF" w:fill="auto"/>
          </w:tcPr>
          <w:p w14:paraId="19C314E8" w14:textId="726A41FB" w:rsidR="00A10084" w:rsidRPr="00873B6C" w:rsidRDefault="00A10084" w:rsidP="004A0323">
            <w:pPr>
              <w:pStyle w:val="TAL"/>
              <w:rPr>
                <w:sz w:val="16"/>
                <w:szCs w:val="16"/>
              </w:rPr>
            </w:pPr>
            <w:r w:rsidRPr="00873B6C">
              <w:rPr>
                <w:sz w:val="16"/>
                <w:szCs w:val="16"/>
              </w:rPr>
              <w:t>1</w:t>
            </w:r>
          </w:p>
        </w:tc>
        <w:tc>
          <w:tcPr>
            <w:tcW w:w="425" w:type="dxa"/>
            <w:shd w:val="solid" w:color="FFFFFF" w:fill="auto"/>
          </w:tcPr>
          <w:p w14:paraId="6C05C98B" w14:textId="7172348A"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3511BB5A" w14:textId="455683CD" w:rsidR="00A10084" w:rsidRPr="00873B6C" w:rsidRDefault="00A10084" w:rsidP="004A0323">
            <w:pPr>
              <w:pStyle w:val="TAL"/>
              <w:rPr>
                <w:sz w:val="16"/>
                <w:szCs w:val="16"/>
              </w:rPr>
            </w:pPr>
            <w:r w:rsidRPr="00873B6C">
              <w:rPr>
                <w:sz w:val="16"/>
                <w:szCs w:val="16"/>
              </w:rPr>
              <w:t>General corrections and alignment for TS23.501</w:t>
            </w:r>
          </w:p>
        </w:tc>
        <w:tc>
          <w:tcPr>
            <w:tcW w:w="708" w:type="dxa"/>
            <w:shd w:val="solid" w:color="FFFFFF" w:fill="auto"/>
          </w:tcPr>
          <w:p w14:paraId="044D4E3B" w14:textId="230B1815" w:rsidR="00A10084" w:rsidRPr="00873B6C" w:rsidRDefault="00A10084" w:rsidP="004A0323">
            <w:pPr>
              <w:pStyle w:val="TAC"/>
              <w:rPr>
                <w:sz w:val="16"/>
                <w:szCs w:val="16"/>
              </w:rPr>
            </w:pPr>
            <w:r w:rsidRPr="00873B6C">
              <w:rPr>
                <w:sz w:val="16"/>
                <w:szCs w:val="16"/>
              </w:rPr>
              <w:t>18.3.0</w:t>
            </w:r>
          </w:p>
        </w:tc>
      </w:tr>
      <w:tr w:rsidR="00A10084" w:rsidRPr="00873B6C" w14:paraId="7AD8EDE5" w14:textId="77777777" w:rsidTr="009D14FB">
        <w:tc>
          <w:tcPr>
            <w:tcW w:w="800" w:type="dxa"/>
            <w:shd w:val="solid" w:color="FFFFFF" w:fill="auto"/>
          </w:tcPr>
          <w:p w14:paraId="475553FC" w14:textId="6F2B6C90"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2F83CC2E" w14:textId="6FF0D29C"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6E3CCE2F" w14:textId="67BC2D0B" w:rsidR="00A10084" w:rsidRPr="00873B6C" w:rsidRDefault="00A10084" w:rsidP="004A0323">
            <w:pPr>
              <w:pStyle w:val="TAC"/>
              <w:rPr>
                <w:sz w:val="16"/>
                <w:szCs w:val="16"/>
              </w:rPr>
            </w:pPr>
            <w:r w:rsidRPr="00873B6C">
              <w:rPr>
                <w:sz w:val="16"/>
                <w:szCs w:val="16"/>
              </w:rPr>
              <w:t>SP-230848</w:t>
            </w:r>
          </w:p>
        </w:tc>
        <w:tc>
          <w:tcPr>
            <w:tcW w:w="567" w:type="dxa"/>
            <w:shd w:val="solid" w:color="FFFFFF" w:fill="auto"/>
          </w:tcPr>
          <w:p w14:paraId="2DBEDA3C" w14:textId="04CCA615" w:rsidR="00A10084" w:rsidRPr="00873B6C" w:rsidRDefault="00A10084" w:rsidP="004A0323">
            <w:pPr>
              <w:pStyle w:val="TAL"/>
              <w:rPr>
                <w:sz w:val="16"/>
                <w:szCs w:val="16"/>
              </w:rPr>
            </w:pPr>
            <w:r w:rsidRPr="00873B6C">
              <w:rPr>
                <w:sz w:val="16"/>
                <w:szCs w:val="16"/>
              </w:rPr>
              <w:t>4750</w:t>
            </w:r>
          </w:p>
        </w:tc>
        <w:tc>
          <w:tcPr>
            <w:tcW w:w="425" w:type="dxa"/>
            <w:shd w:val="solid" w:color="FFFFFF" w:fill="auto"/>
          </w:tcPr>
          <w:p w14:paraId="0DC6FEB3" w14:textId="3A0C2D66" w:rsidR="00A10084" w:rsidRPr="00873B6C" w:rsidRDefault="00A10084" w:rsidP="004A0323">
            <w:pPr>
              <w:pStyle w:val="TAL"/>
              <w:rPr>
                <w:sz w:val="16"/>
                <w:szCs w:val="16"/>
              </w:rPr>
            </w:pPr>
            <w:r w:rsidRPr="00873B6C">
              <w:rPr>
                <w:sz w:val="16"/>
                <w:szCs w:val="16"/>
              </w:rPr>
              <w:t>2</w:t>
            </w:r>
          </w:p>
        </w:tc>
        <w:tc>
          <w:tcPr>
            <w:tcW w:w="425" w:type="dxa"/>
            <w:shd w:val="solid" w:color="FFFFFF" w:fill="auto"/>
          </w:tcPr>
          <w:p w14:paraId="2625D6C5" w14:textId="00367D9F"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14AD10D2" w14:textId="457DEEE4" w:rsidR="00A10084" w:rsidRPr="00873B6C" w:rsidRDefault="00A10084" w:rsidP="004A0323">
            <w:pPr>
              <w:pStyle w:val="TAL"/>
              <w:rPr>
                <w:sz w:val="16"/>
                <w:szCs w:val="16"/>
              </w:rPr>
            </w:pPr>
            <w:r w:rsidRPr="00873B6C">
              <w:rPr>
                <w:sz w:val="16"/>
                <w:szCs w:val="16"/>
              </w:rPr>
              <w:t>Alt. 1 for the equivalent SNPN used by the UE for Localized Services</w:t>
            </w:r>
          </w:p>
        </w:tc>
        <w:tc>
          <w:tcPr>
            <w:tcW w:w="708" w:type="dxa"/>
            <w:shd w:val="solid" w:color="FFFFFF" w:fill="auto"/>
          </w:tcPr>
          <w:p w14:paraId="4E6B062E" w14:textId="0B42682A" w:rsidR="00A10084" w:rsidRPr="00873B6C" w:rsidRDefault="00A10084" w:rsidP="004A0323">
            <w:pPr>
              <w:pStyle w:val="TAC"/>
              <w:rPr>
                <w:sz w:val="16"/>
                <w:szCs w:val="16"/>
              </w:rPr>
            </w:pPr>
            <w:r w:rsidRPr="00873B6C">
              <w:rPr>
                <w:sz w:val="16"/>
                <w:szCs w:val="16"/>
              </w:rPr>
              <w:t>18.3.0</w:t>
            </w:r>
          </w:p>
        </w:tc>
      </w:tr>
      <w:tr w:rsidR="00A10084" w:rsidRPr="00873B6C" w14:paraId="6F3B0F9D" w14:textId="77777777" w:rsidTr="009D14FB">
        <w:tc>
          <w:tcPr>
            <w:tcW w:w="800" w:type="dxa"/>
            <w:shd w:val="solid" w:color="FFFFFF" w:fill="auto"/>
          </w:tcPr>
          <w:p w14:paraId="6CA38A1E" w14:textId="47D2ED20"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58F6A033" w14:textId="01DFBE78"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086CB5BF" w14:textId="65046CE9" w:rsidR="00A10084" w:rsidRPr="00873B6C" w:rsidRDefault="00A10084" w:rsidP="004A0323">
            <w:pPr>
              <w:pStyle w:val="TAC"/>
              <w:rPr>
                <w:sz w:val="16"/>
                <w:szCs w:val="16"/>
              </w:rPr>
            </w:pPr>
            <w:r w:rsidRPr="00873B6C">
              <w:rPr>
                <w:sz w:val="16"/>
                <w:szCs w:val="16"/>
              </w:rPr>
              <w:t>SP-230854</w:t>
            </w:r>
          </w:p>
        </w:tc>
        <w:tc>
          <w:tcPr>
            <w:tcW w:w="567" w:type="dxa"/>
            <w:shd w:val="solid" w:color="FFFFFF" w:fill="auto"/>
          </w:tcPr>
          <w:p w14:paraId="4D852578" w14:textId="7F9AACE6" w:rsidR="00A10084" w:rsidRPr="00873B6C" w:rsidRDefault="00A10084" w:rsidP="004A0323">
            <w:pPr>
              <w:pStyle w:val="TAL"/>
              <w:rPr>
                <w:sz w:val="16"/>
                <w:szCs w:val="16"/>
              </w:rPr>
            </w:pPr>
            <w:r w:rsidRPr="00873B6C">
              <w:rPr>
                <w:sz w:val="16"/>
                <w:szCs w:val="16"/>
              </w:rPr>
              <w:t>4755</w:t>
            </w:r>
          </w:p>
        </w:tc>
        <w:tc>
          <w:tcPr>
            <w:tcW w:w="425" w:type="dxa"/>
            <w:shd w:val="solid" w:color="FFFFFF" w:fill="auto"/>
          </w:tcPr>
          <w:p w14:paraId="07FB5892" w14:textId="6BE7F34F" w:rsidR="00A10084" w:rsidRPr="00873B6C" w:rsidRDefault="00A10084" w:rsidP="004A0323">
            <w:pPr>
              <w:pStyle w:val="TAL"/>
              <w:rPr>
                <w:sz w:val="16"/>
                <w:szCs w:val="16"/>
              </w:rPr>
            </w:pPr>
            <w:r w:rsidRPr="00873B6C">
              <w:rPr>
                <w:sz w:val="16"/>
                <w:szCs w:val="16"/>
              </w:rPr>
              <w:t>3</w:t>
            </w:r>
          </w:p>
        </w:tc>
        <w:tc>
          <w:tcPr>
            <w:tcW w:w="425" w:type="dxa"/>
            <w:shd w:val="solid" w:color="FFFFFF" w:fill="auto"/>
          </w:tcPr>
          <w:p w14:paraId="508182B3" w14:textId="3C6E02EE"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137FE692" w14:textId="63732738" w:rsidR="00A10084" w:rsidRPr="00873B6C" w:rsidRDefault="00A10084" w:rsidP="004A0323">
            <w:pPr>
              <w:pStyle w:val="TAL"/>
              <w:rPr>
                <w:sz w:val="16"/>
                <w:szCs w:val="16"/>
              </w:rPr>
            </w:pPr>
            <w:r w:rsidRPr="00873B6C">
              <w:rPr>
                <w:sz w:val="16"/>
                <w:szCs w:val="16"/>
              </w:rPr>
              <w:t>PIN direct and indirect communication definition correction</w:t>
            </w:r>
          </w:p>
        </w:tc>
        <w:tc>
          <w:tcPr>
            <w:tcW w:w="708" w:type="dxa"/>
            <w:shd w:val="solid" w:color="FFFFFF" w:fill="auto"/>
          </w:tcPr>
          <w:p w14:paraId="2CBD24D7" w14:textId="53B4897A" w:rsidR="00A10084" w:rsidRPr="00873B6C" w:rsidRDefault="00A10084" w:rsidP="004A0323">
            <w:pPr>
              <w:pStyle w:val="TAC"/>
              <w:rPr>
                <w:sz w:val="16"/>
                <w:szCs w:val="16"/>
              </w:rPr>
            </w:pPr>
            <w:r w:rsidRPr="00873B6C">
              <w:rPr>
                <w:sz w:val="16"/>
                <w:szCs w:val="16"/>
              </w:rPr>
              <w:t>18.3.0</w:t>
            </w:r>
          </w:p>
        </w:tc>
      </w:tr>
      <w:tr w:rsidR="0001796C" w:rsidRPr="00873B6C" w14:paraId="07E8B46A" w14:textId="77777777" w:rsidTr="009D14FB">
        <w:tc>
          <w:tcPr>
            <w:tcW w:w="800" w:type="dxa"/>
            <w:shd w:val="solid" w:color="FFFFFF" w:fill="auto"/>
          </w:tcPr>
          <w:p w14:paraId="4125C003" w14:textId="055E09CC" w:rsidR="0001796C" w:rsidRPr="00873B6C" w:rsidRDefault="0001796C" w:rsidP="004A0323">
            <w:pPr>
              <w:pStyle w:val="TAC"/>
              <w:rPr>
                <w:sz w:val="16"/>
                <w:szCs w:val="16"/>
              </w:rPr>
            </w:pPr>
            <w:r w:rsidRPr="00873B6C">
              <w:rPr>
                <w:sz w:val="16"/>
                <w:szCs w:val="16"/>
              </w:rPr>
              <w:t>2023-09</w:t>
            </w:r>
          </w:p>
        </w:tc>
        <w:tc>
          <w:tcPr>
            <w:tcW w:w="800" w:type="dxa"/>
            <w:shd w:val="solid" w:color="FFFFFF" w:fill="auto"/>
          </w:tcPr>
          <w:p w14:paraId="60440882" w14:textId="03AA8EEF" w:rsidR="0001796C" w:rsidRPr="00873B6C" w:rsidRDefault="0001796C" w:rsidP="004A0323">
            <w:pPr>
              <w:pStyle w:val="TAL"/>
              <w:rPr>
                <w:sz w:val="16"/>
                <w:szCs w:val="16"/>
              </w:rPr>
            </w:pPr>
            <w:r w:rsidRPr="00873B6C">
              <w:rPr>
                <w:sz w:val="16"/>
                <w:szCs w:val="16"/>
              </w:rPr>
              <w:t>SP#101</w:t>
            </w:r>
          </w:p>
        </w:tc>
        <w:tc>
          <w:tcPr>
            <w:tcW w:w="1094" w:type="dxa"/>
            <w:shd w:val="solid" w:color="FFFFFF" w:fill="auto"/>
          </w:tcPr>
          <w:p w14:paraId="2D073FC4" w14:textId="73932752" w:rsidR="0001796C" w:rsidRPr="00873B6C" w:rsidRDefault="0001796C" w:rsidP="004A0323">
            <w:pPr>
              <w:pStyle w:val="TAC"/>
              <w:rPr>
                <w:sz w:val="16"/>
                <w:szCs w:val="16"/>
              </w:rPr>
            </w:pPr>
            <w:r w:rsidRPr="00873B6C">
              <w:rPr>
                <w:sz w:val="16"/>
                <w:szCs w:val="16"/>
              </w:rPr>
              <w:t>SP-230854</w:t>
            </w:r>
          </w:p>
        </w:tc>
        <w:tc>
          <w:tcPr>
            <w:tcW w:w="567" w:type="dxa"/>
            <w:shd w:val="solid" w:color="FFFFFF" w:fill="auto"/>
          </w:tcPr>
          <w:p w14:paraId="0A260232" w14:textId="413A26AA" w:rsidR="0001796C" w:rsidRPr="00873B6C" w:rsidRDefault="0001796C" w:rsidP="004A0323">
            <w:pPr>
              <w:pStyle w:val="TAL"/>
              <w:rPr>
                <w:sz w:val="16"/>
                <w:szCs w:val="16"/>
              </w:rPr>
            </w:pPr>
            <w:r w:rsidRPr="00873B6C">
              <w:rPr>
                <w:sz w:val="16"/>
                <w:szCs w:val="16"/>
              </w:rPr>
              <w:t>4761</w:t>
            </w:r>
          </w:p>
        </w:tc>
        <w:tc>
          <w:tcPr>
            <w:tcW w:w="425" w:type="dxa"/>
            <w:shd w:val="solid" w:color="FFFFFF" w:fill="auto"/>
          </w:tcPr>
          <w:p w14:paraId="6F2EF048" w14:textId="6EEA184E" w:rsidR="0001796C" w:rsidRPr="00873B6C" w:rsidRDefault="0001796C" w:rsidP="004A0323">
            <w:pPr>
              <w:pStyle w:val="TAL"/>
              <w:rPr>
                <w:sz w:val="16"/>
                <w:szCs w:val="16"/>
              </w:rPr>
            </w:pPr>
            <w:r w:rsidRPr="00873B6C">
              <w:rPr>
                <w:sz w:val="16"/>
                <w:szCs w:val="16"/>
              </w:rPr>
              <w:t>2</w:t>
            </w:r>
          </w:p>
        </w:tc>
        <w:tc>
          <w:tcPr>
            <w:tcW w:w="425" w:type="dxa"/>
            <w:shd w:val="solid" w:color="FFFFFF" w:fill="auto"/>
          </w:tcPr>
          <w:p w14:paraId="76C4FC3B" w14:textId="25B34C4B" w:rsidR="0001796C" w:rsidRPr="00873B6C" w:rsidRDefault="0001796C" w:rsidP="004A0323">
            <w:pPr>
              <w:pStyle w:val="TAL"/>
              <w:rPr>
                <w:sz w:val="16"/>
                <w:szCs w:val="16"/>
              </w:rPr>
            </w:pPr>
            <w:r w:rsidRPr="00873B6C">
              <w:rPr>
                <w:sz w:val="16"/>
                <w:szCs w:val="16"/>
              </w:rPr>
              <w:t>F</w:t>
            </w:r>
          </w:p>
        </w:tc>
        <w:tc>
          <w:tcPr>
            <w:tcW w:w="4820" w:type="dxa"/>
            <w:shd w:val="solid" w:color="FFFFFF" w:fill="auto"/>
          </w:tcPr>
          <w:p w14:paraId="7E0D49DB" w14:textId="6A8298B5" w:rsidR="0001796C" w:rsidRPr="00873B6C" w:rsidRDefault="0001796C" w:rsidP="004A0323">
            <w:pPr>
              <w:pStyle w:val="TAL"/>
              <w:rPr>
                <w:sz w:val="16"/>
                <w:szCs w:val="16"/>
              </w:rPr>
            </w:pPr>
            <w:r w:rsidRPr="00873B6C">
              <w:rPr>
                <w:sz w:val="16"/>
                <w:szCs w:val="16"/>
              </w:rPr>
              <w:t>Make PIN ID unique in PLMN</w:t>
            </w:r>
          </w:p>
        </w:tc>
        <w:tc>
          <w:tcPr>
            <w:tcW w:w="708" w:type="dxa"/>
            <w:shd w:val="solid" w:color="FFFFFF" w:fill="auto"/>
          </w:tcPr>
          <w:p w14:paraId="5ED76273" w14:textId="2F295230" w:rsidR="0001796C" w:rsidRPr="00873B6C" w:rsidRDefault="0001796C" w:rsidP="004A0323">
            <w:pPr>
              <w:pStyle w:val="TAC"/>
              <w:rPr>
                <w:sz w:val="16"/>
                <w:szCs w:val="16"/>
              </w:rPr>
            </w:pPr>
            <w:r w:rsidRPr="00873B6C">
              <w:rPr>
                <w:sz w:val="16"/>
                <w:szCs w:val="16"/>
              </w:rPr>
              <w:t>18.3.0</w:t>
            </w:r>
          </w:p>
        </w:tc>
      </w:tr>
      <w:tr w:rsidR="0001796C" w:rsidRPr="00873B6C" w14:paraId="63DC9D5A" w14:textId="77777777" w:rsidTr="009D14FB">
        <w:tc>
          <w:tcPr>
            <w:tcW w:w="800" w:type="dxa"/>
            <w:shd w:val="solid" w:color="FFFFFF" w:fill="auto"/>
          </w:tcPr>
          <w:p w14:paraId="6940E6A6" w14:textId="218D7CE9" w:rsidR="0001796C" w:rsidRPr="00873B6C" w:rsidRDefault="0001796C" w:rsidP="004A0323">
            <w:pPr>
              <w:pStyle w:val="TAC"/>
              <w:rPr>
                <w:sz w:val="16"/>
                <w:szCs w:val="16"/>
              </w:rPr>
            </w:pPr>
            <w:r w:rsidRPr="00873B6C">
              <w:rPr>
                <w:sz w:val="16"/>
                <w:szCs w:val="16"/>
              </w:rPr>
              <w:t>2023-09</w:t>
            </w:r>
          </w:p>
        </w:tc>
        <w:tc>
          <w:tcPr>
            <w:tcW w:w="800" w:type="dxa"/>
            <w:shd w:val="solid" w:color="FFFFFF" w:fill="auto"/>
          </w:tcPr>
          <w:p w14:paraId="79DD503C" w14:textId="4BFDA9BF" w:rsidR="0001796C" w:rsidRPr="00873B6C" w:rsidRDefault="0001796C" w:rsidP="004A0323">
            <w:pPr>
              <w:pStyle w:val="TAL"/>
              <w:rPr>
                <w:sz w:val="16"/>
                <w:szCs w:val="16"/>
              </w:rPr>
            </w:pPr>
            <w:r w:rsidRPr="00873B6C">
              <w:rPr>
                <w:sz w:val="16"/>
                <w:szCs w:val="16"/>
              </w:rPr>
              <w:t>SP#101</w:t>
            </w:r>
          </w:p>
        </w:tc>
        <w:tc>
          <w:tcPr>
            <w:tcW w:w="1094" w:type="dxa"/>
            <w:shd w:val="solid" w:color="FFFFFF" w:fill="auto"/>
          </w:tcPr>
          <w:p w14:paraId="3A5BF726" w14:textId="0328A535" w:rsidR="0001796C" w:rsidRPr="00873B6C" w:rsidRDefault="0001796C" w:rsidP="004A0323">
            <w:pPr>
              <w:pStyle w:val="TAC"/>
              <w:rPr>
                <w:sz w:val="16"/>
                <w:szCs w:val="16"/>
              </w:rPr>
            </w:pPr>
            <w:r w:rsidRPr="00873B6C">
              <w:rPr>
                <w:sz w:val="16"/>
                <w:szCs w:val="16"/>
              </w:rPr>
              <w:t>SP-230845</w:t>
            </w:r>
          </w:p>
        </w:tc>
        <w:tc>
          <w:tcPr>
            <w:tcW w:w="567" w:type="dxa"/>
            <w:shd w:val="solid" w:color="FFFFFF" w:fill="auto"/>
          </w:tcPr>
          <w:p w14:paraId="75252F43" w14:textId="5D65D994" w:rsidR="0001796C" w:rsidRPr="00873B6C" w:rsidRDefault="0001796C" w:rsidP="004A0323">
            <w:pPr>
              <w:pStyle w:val="TAL"/>
              <w:rPr>
                <w:sz w:val="16"/>
                <w:szCs w:val="16"/>
              </w:rPr>
            </w:pPr>
            <w:r w:rsidRPr="00873B6C">
              <w:rPr>
                <w:sz w:val="16"/>
                <w:szCs w:val="16"/>
              </w:rPr>
              <w:t>4767</w:t>
            </w:r>
          </w:p>
        </w:tc>
        <w:tc>
          <w:tcPr>
            <w:tcW w:w="425" w:type="dxa"/>
            <w:shd w:val="solid" w:color="FFFFFF" w:fill="auto"/>
          </w:tcPr>
          <w:p w14:paraId="2E9321F7" w14:textId="2758F0C3" w:rsidR="0001796C" w:rsidRPr="00873B6C" w:rsidRDefault="0001796C" w:rsidP="004A0323">
            <w:pPr>
              <w:pStyle w:val="TAL"/>
              <w:rPr>
                <w:sz w:val="16"/>
                <w:szCs w:val="16"/>
              </w:rPr>
            </w:pPr>
            <w:r w:rsidRPr="00873B6C">
              <w:rPr>
                <w:sz w:val="16"/>
                <w:szCs w:val="16"/>
              </w:rPr>
              <w:t>3</w:t>
            </w:r>
          </w:p>
        </w:tc>
        <w:tc>
          <w:tcPr>
            <w:tcW w:w="425" w:type="dxa"/>
            <w:shd w:val="solid" w:color="FFFFFF" w:fill="auto"/>
          </w:tcPr>
          <w:p w14:paraId="5D8AC7B0" w14:textId="1A193532" w:rsidR="0001796C" w:rsidRPr="00873B6C" w:rsidRDefault="0001796C" w:rsidP="004A0323">
            <w:pPr>
              <w:pStyle w:val="TAL"/>
              <w:rPr>
                <w:sz w:val="16"/>
                <w:szCs w:val="16"/>
              </w:rPr>
            </w:pPr>
            <w:r w:rsidRPr="00873B6C">
              <w:rPr>
                <w:sz w:val="16"/>
                <w:szCs w:val="16"/>
              </w:rPr>
              <w:t>F</w:t>
            </w:r>
          </w:p>
        </w:tc>
        <w:tc>
          <w:tcPr>
            <w:tcW w:w="4820" w:type="dxa"/>
            <w:shd w:val="solid" w:color="FFFFFF" w:fill="auto"/>
          </w:tcPr>
          <w:p w14:paraId="301B854D" w14:textId="541A7629" w:rsidR="0001796C" w:rsidRPr="00873B6C" w:rsidRDefault="0001796C" w:rsidP="004A0323">
            <w:pPr>
              <w:pStyle w:val="TAL"/>
              <w:rPr>
                <w:sz w:val="16"/>
                <w:szCs w:val="16"/>
              </w:rPr>
            </w:pPr>
            <w:r w:rsidRPr="00873B6C">
              <w:rPr>
                <w:sz w:val="16"/>
                <w:szCs w:val="16"/>
              </w:rPr>
              <w:t>Meaning of availability for 3GPP access</w:t>
            </w:r>
          </w:p>
        </w:tc>
        <w:tc>
          <w:tcPr>
            <w:tcW w:w="708" w:type="dxa"/>
            <w:shd w:val="solid" w:color="FFFFFF" w:fill="auto"/>
          </w:tcPr>
          <w:p w14:paraId="2AD5B710" w14:textId="1633E92D" w:rsidR="0001796C" w:rsidRPr="00873B6C" w:rsidRDefault="0001796C" w:rsidP="004A0323">
            <w:pPr>
              <w:pStyle w:val="TAC"/>
              <w:rPr>
                <w:sz w:val="16"/>
                <w:szCs w:val="16"/>
              </w:rPr>
            </w:pPr>
            <w:r w:rsidRPr="00873B6C">
              <w:rPr>
                <w:sz w:val="16"/>
                <w:szCs w:val="16"/>
              </w:rPr>
              <w:t>18.3.0</w:t>
            </w:r>
          </w:p>
        </w:tc>
      </w:tr>
      <w:tr w:rsidR="0001796C" w:rsidRPr="00873B6C" w14:paraId="58093201" w14:textId="77777777" w:rsidTr="009D14FB">
        <w:tc>
          <w:tcPr>
            <w:tcW w:w="800" w:type="dxa"/>
            <w:shd w:val="solid" w:color="FFFFFF" w:fill="auto"/>
          </w:tcPr>
          <w:p w14:paraId="4999970E" w14:textId="73D03B82" w:rsidR="0001796C" w:rsidRPr="00873B6C" w:rsidRDefault="0001796C" w:rsidP="004A0323">
            <w:pPr>
              <w:pStyle w:val="TAC"/>
              <w:rPr>
                <w:sz w:val="16"/>
                <w:szCs w:val="16"/>
              </w:rPr>
            </w:pPr>
            <w:r w:rsidRPr="00873B6C">
              <w:rPr>
                <w:sz w:val="16"/>
                <w:szCs w:val="16"/>
              </w:rPr>
              <w:t>2023-09</w:t>
            </w:r>
          </w:p>
        </w:tc>
        <w:tc>
          <w:tcPr>
            <w:tcW w:w="800" w:type="dxa"/>
            <w:shd w:val="solid" w:color="FFFFFF" w:fill="auto"/>
          </w:tcPr>
          <w:p w14:paraId="2444C3F6" w14:textId="1687E0B1" w:rsidR="0001796C" w:rsidRPr="00873B6C" w:rsidRDefault="0001796C" w:rsidP="004A0323">
            <w:pPr>
              <w:pStyle w:val="TAL"/>
              <w:rPr>
                <w:sz w:val="16"/>
                <w:szCs w:val="16"/>
              </w:rPr>
            </w:pPr>
            <w:r w:rsidRPr="00873B6C">
              <w:rPr>
                <w:sz w:val="16"/>
                <w:szCs w:val="16"/>
              </w:rPr>
              <w:t>SP#101</w:t>
            </w:r>
          </w:p>
        </w:tc>
        <w:tc>
          <w:tcPr>
            <w:tcW w:w="1094" w:type="dxa"/>
            <w:shd w:val="solid" w:color="FFFFFF" w:fill="auto"/>
          </w:tcPr>
          <w:p w14:paraId="7D1E7FF7" w14:textId="029E4E27" w:rsidR="0001796C" w:rsidRPr="00873B6C" w:rsidRDefault="0001796C" w:rsidP="004A0323">
            <w:pPr>
              <w:pStyle w:val="TAC"/>
              <w:rPr>
                <w:sz w:val="16"/>
                <w:szCs w:val="16"/>
              </w:rPr>
            </w:pPr>
            <w:r w:rsidRPr="00873B6C">
              <w:rPr>
                <w:sz w:val="16"/>
                <w:szCs w:val="16"/>
              </w:rPr>
              <w:t>SP-230846</w:t>
            </w:r>
          </w:p>
        </w:tc>
        <w:tc>
          <w:tcPr>
            <w:tcW w:w="567" w:type="dxa"/>
            <w:shd w:val="solid" w:color="FFFFFF" w:fill="auto"/>
          </w:tcPr>
          <w:p w14:paraId="16203180" w14:textId="75C3A084" w:rsidR="0001796C" w:rsidRPr="00873B6C" w:rsidRDefault="0001796C" w:rsidP="004A0323">
            <w:pPr>
              <w:pStyle w:val="TAL"/>
              <w:rPr>
                <w:sz w:val="16"/>
                <w:szCs w:val="16"/>
              </w:rPr>
            </w:pPr>
            <w:r w:rsidRPr="00873B6C">
              <w:rPr>
                <w:sz w:val="16"/>
                <w:szCs w:val="16"/>
              </w:rPr>
              <w:t>4769</w:t>
            </w:r>
          </w:p>
        </w:tc>
        <w:tc>
          <w:tcPr>
            <w:tcW w:w="425" w:type="dxa"/>
            <w:shd w:val="solid" w:color="FFFFFF" w:fill="auto"/>
          </w:tcPr>
          <w:p w14:paraId="6C17BE42" w14:textId="6CF1ED53" w:rsidR="0001796C" w:rsidRPr="00873B6C" w:rsidRDefault="0001796C" w:rsidP="004A0323">
            <w:pPr>
              <w:pStyle w:val="TAL"/>
              <w:rPr>
                <w:sz w:val="16"/>
                <w:szCs w:val="16"/>
              </w:rPr>
            </w:pPr>
            <w:r w:rsidRPr="00873B6C">
              <w:rPr>
                <w:sz w:val="16"/>
                <w:szCs w:val="16"/>
              </w:rPr>
              <w:t>1</w:t>
            </w:r>
          </w:p>
        </w:tc>
        <w:tc>
          <w:tcPr>
            <w:tcW w:w="425" w:type="dxa"/>
            <w:shd w:val="solid" w:color="FFFFFF" w:fill="auto"/>
          </w:tcPr>
          <w:p w14:paraId="65EAE41C" w14:textId="182A6F48" w:rsidR="0001796C" w:rsidRPr="00873B6C" w:rsidRDefault="0001796C" w:rsidP="004A0323">
            <w:pPr>
              <w:pStyle w:val="TAL"/>
              <w:rPr>
                <w:sz w:val="16"/>
                <w:szCs w:val="16"/>
              </w:rPr>
            </w:pPr>
            <w:r w:rsidRPr="00873B6C">
              <w:rPr>
                <w:sz w:val="16"/>
                <w:szCs w:val="16"/>
              </w:rPr>
              <w:t>F</w:t>
            </w:r>
          </w:p>
        </w:tc>
        <w:tc>
          <w:tcPr>
            <w:tcW w:w="4820" w:type="dxa"/>
            <w:shd w:val="solid" w:color="FFFFFF" w:fill="auto"/>
          </w:tcPr>
          <w:p w14:paraId="7F3DE301" w14:textId="2EFBE6D0" w:rsidR="0001796C" w:rsidRPr="00873B6C" w:rsidRDefault="0001796C" w:rsidP="004A0323">
            <w:pPr>
              <w:pStyle w:val="TAL"/>
              <w:rPr>
                <w:sz w:val="16"/>
                <w:szCs w:val="16"/>
              </w:rPr>
            </w:pPr>
            <w:r w:rsidRPr="00873B6C">
              <w:rPr>
                <w:sz w:val="16"/>
                <w:szCs w:val="16"/>
              </w:rPr>
              <w:t>Service correction related to traffic correlation</w:t>
            </w:r>
          </w:p>
        </w:tc>
        <w:tc>
          <w:tcPr>
            <w:tcW w:w="708" w:type="dxa"/>
            <w:shd w:val="solid" w:color="FFFFFF" w:fill="auto"/>
          </w:tcPr>
          <w:p w14:paraId="043A9F98" w14:textId="10D2823F" w:rsidR="0001796C" w:rsidRPr="00873B6C" w:rsidRDefault="0001796C" w:rsidP="004A0323">
            <w:pPr>
              <w:pStyle w:val="TAC"/>
              <w:rPr>
                <w:sz w:val="16"/>
                <w:szCs w:val="16"/>
              </w:rPr>
            </w:pPr>
            <w:r w:rsidRPr="00873B6C">
              <w:rPr>
                <w:sz w:val="16"/>
                <w:szCs w:val="16"/>
              </w:rPr>
              <w:t>18.3.0</w:t>
            </w:r>
          </w:p>
        </w:tc>
      </w:tr>
      <w:tr w:rsidR="00141A61" w:rsidRPr="00873B6C" w14:paraId="0A5400D4" w14:textId="77777777" w:rsidTr="009D14FB">
        <w:tc>
          <w:tcPr>
            <w:tcW w:w="800" w:type="dxa"/>
            <w:shd w:val="solid" w:color="FFFFFF" w:fill="auto"/>
          </w:tcPr>
          <w:p w14:paraId="1674F8EB" w14:textId="53B07EDC"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207E0B04" w14:textId="34FFA074"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1E796269" w14:textId="063B2578" w:rsidR="00141A61" w:rsidRPr="00873B6C" w:rsidRDefault="00141A61" w:rsidP="004A0323">
            <w:pPr>
              <w:pStyle w:val="TAC"/>
              <w:rPr>
                <w:sz w:val="16"/>
                <w:szCs w:val="16"/>
              </w:rPr>
            </w:pPr>
            <w:r w:rsidRPr="00873B6C">
              <w:rPr>
                <w:sz w:val="16"/>
                <w:szCs w:val="16"/>
              </w:rPr>
              <w:t>SP-230853</w:t>
            </w:r>
          </w:p>
        </w:tc>
        <w:tc>
          <w:tcPr>
            <w:tcW w:w="567" w:type="dxa"/>
            <w:shd w:val="solid" w:color="FFFFFF" w:fill="auto"/>
          </w:tcPr>
          <w:p w14:paraId="31C11456" w14:textId="4DBB5682" w:rsidR="00141A61" w:rsidRPr="00873B6C" w:rsidRDefault="00141A61" w:rsidP="004A0323">
            <w:pPr>
              <w:pStyle w:val="TAL"/>
              <w:rPr>
                <w:sz w:val="16"/>
                <w:szCs w:val="16"/>
              </w:rPr>
            </w:pPr>
            <w:r w:rsidRPr="00873B6C">
              <w:rPr>
                <w:sz w:val="16"/>
                <w:szCs w:val="16"/>
              </w:rPr>
              <w:t>4770</w:t>
            </w:r>
          </w:p>
        </w:tc>
        <w:tc>
          <w:tcPr>
            <w:tcW w:w="425" w:type="dxa"/>
            <w:shd w:val="solid" w:color="FFFFFF" w:fill="auto"/>
          </w:tcPr>
          <w:p w14:paraId="5735F7F0" w14:textId="26F2A74C" w:rsidR="00141A61" w:rsidRPr="00873B6C" w:rsidRDefault="00141A61" w:rsidP="004A0323">
            <w:pPr>
              <w:pStyle w:val="TAL"/>
              <w:rPr>
                <w:sz w:val="16"/>
                <w:szCs w:val="16"/>
              </w:rPr>
            </w:pPr>
            <w:r w:rsidRPr="00873B6C">
              <w:rPr>
                <w:sz w:val="16"/>
                <w:szCs w:val="16"/>
              </w:rPr>
              <w:t>1</w:t>
            </w:r>
          </w:p>
        </w:tc>
        <w:tc>
          <w:tcPr>
            <w:tcW w:w="425" w:type="dxa"/>
            <w:shd w:val="solid" w:color="FFFFFF" w:fill="auto"/>
          </w:tcPr>
          <w:p w14:paraId="4C75A414" w14:textId="4608E1EE"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82470B3" w14:textId="5DD040B3" w:rsidR="00141A61" w:rsidRPr="00873B6C" w:rsidRDefault="00141A61" w:rsidP="004A0323">
            <w:pPr>
              <w:pStyle w:val="TAL"/>
              <w:rPr>
                <w:sz w:val="16"/>
                <w:szCs w:val="16"/>
              </w:rPr>
            </w:pPr>
            <w:r w:rsidRPr="00873B6C">
              <w:rPr>
                <w:sz w:val="16"/>
                <w:szCs w:val="16"/>
              </w:rPr>
              <w:t>Provision of eDRX for RRC_INACTIVE with PTW</w:t>
            </w:r>
          </w:p>
        </w:tc>
        <w:tc>
          <w:tcPr>
            <w:tcW w:w="708" w:type="dxa"/>
            <w:shd w:val="solid" w:color="FFFFFF" w:fill="auto"/>
          </w:tcPr>
          <w:p w14:paraId="09047047" w14:textId="194EF9AF" w:rsidR="00141A61" w:rsidRPr="00873B6C" w:rsidRDefault="00141A61" w:rsidP="004A0323">
            <w:pPr>
              <w:pStyle w:val="TAC"/>
              <w:rPr>
                <w:sz w:val="16"/>
                <w:szCs w:val="16"/>
              </w:rPr>
            </w:pPr>
            <w:r w:rsidRPr="00873B6C">
              <w:rPr>
                <w:sz w:val="16"/>
                <w:szCs w:val="16"/>
              </w:rPr>
              <w:t>18.3.0</w:t>
            </w:r>
          </w:p>
        </w:tc>
      </w:tr>
      <w:tr w:rsidR="00141A61" w:rsidRPr="00873B6C" w14:paraId="093B164C" w14:textId="77777777" w:rsidTr="009D14FB">
        <w:tc>
          <w:tcPr>
            <w:tcW w:w="800" w:type="dxa"/>
            <w:shd w:val="solid" w:color="FFFFFF" w:fill="auto"/>
          </w:tcPr>
          <w:p w14:paraId="6707EDBB" w14:textId="3AD31A2E"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36380895" w14:textId="4FA035DF"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1EAE1A51" w14:textId="1BBB2C2C" w:rsidR="00141A61" w:rsidRPr="00873B6C" w:rsidRDefault="00141A61" w:rsidP="004A0323">
            <w:pPr>
              <w:pStyle w:val="TAC"/>
              <w:rPr>
                <w:sz w:val="16"/>
                <w:szCs w:val="16"/>
              </w:rPr>
            </w:pPr>
            <w:r w:rsidRPr="00873B6C">
              <w:rPr>
                <w:sz w:val="16"/>
                <w:szCs w:val="16"/>
              </w:rPr>
              <w:t>SP-230857</w:t>
            </w:r>
          </w:p>
        </w:tc>
        <w:tc>
          <w:tcPr>
            <w:tcW w:w="567" w:type="dxa"/>
            <w:shd w:val="solid" w:color="FFFFFF" w:fill="auto"/>
          </w:tcPr>
          <w:p w14:paraId="18345544" w14:textId="503F79B6" w:rsidR="00141A61" w:rsidRPr="00873B6C" w:rsidRDefault="00141A61" w:rsidP="004A0323">
            <w:pPr>
              <w:pStyle w:val="TAL"/>
              <w:rPr>
                <w:sz w:val="16"/>
                <w:szCs w:val="16"/>
              </w:rPr>
            </w:pPr>
            <w:r w:rsidRPr="00873B6C">
              <w:rPr>
                <w:sz w:val="16"/>
                <w:szCs w:val="16"/>
              </w:rPr>
              <w:t>4772</w:t>
            </w:r>
          </w:p>
        </w:tc>
        <w:tc>
          <w:tcPr>
            <w:tcW w:w="425" w:type="dxa"/>
            <w:shd w:val="solid" w:color="FFFFFF" w:fill="auto"/>
          </w:tcPr>
          <w:p w14:paraId="2AB7E241" w14:textId="2E2D22D2" w:rsidR="00141A61" w:rsidRPr="00873B6C" w:rsidRDefault="00141A61" w:rsidP="004A0323">
            <w:pPr>
              <w:pStyle w:val="TAL"/>
              <w:rPr>
                <w:sz w:val="16"/>
                <w:szCs w:val="16"/>
              </w:rPr>
            </w:pPr>
            <w:r w:rsidRPr="00873B6C">
              <w:rPr>
                <w:sz w:val="16"/>
                <w:szCs w:val="16"/>
              </w:rPr>
              <w:t>2</w:t>
            </w:r>
          </w:p>
        </w:tc>
        <w:tc>
          <w:tcPr>
            <w:tcW w:w="425" w:type="dxa"/>
            <w:shd w:val="solid" w:color="FFFFFF" w:fill="auto"/>
          </w:tcPr>
          <w:p w14:paraId="6B6F9534" w14:textId="149D94C1"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32BBD192" w14:textId="7C606802" w:rsidR="00141A61" w:rsidRPr="00873B6C" w:rsidRDefault="00141A61" w:rsidP="004A0323">
            <w:pPr>
              <w:pStyle w:val="TAL"/>
              <w:rPr>
                <w:sz w:val="16"/>
                <w:szCs w:val="16"/>
              </w:rPr>
            </w:pPr>
            <w:r w:rsidRPr="00873B6C">
              <w:rPr>
                <w:sz w:val="16"/>
                <w:szCs w:val="16"/>
              </w:rPr>
              <w:t>CAG application for MBSR</w:t>
            </w:r>
          </w:p>
        </w:tc>
        <w:tc>
          <w:tcPr>
            <w:tcW w:w="708" w:type="dxa"/>
            <w:shd w:val="solid" w:color="FFFFFF" w:fill="auto"/>
          </w:tcPr>
          <w:p w14:paraId="6A63943F" w14:textId="198301E6" w:rsidR="00141A61" w:rsidRPr="00873B6C" w:rsidRDefault="00141A61" w:rsidP="004A0323">
            <w:pPr>
              <w:pStyle w:val="TAC"/>
              <w:rPr>
                <w:sz w:val="16"/>
                <w:szCs w:val="16"/>
              </w:rPr>
            </w:pPr>
            <w:r w:rsidRPr="00873B6C">
              <w:rPr>
                <w:sz w:val="16"/>
                <w:szCs w:val="16"/>
              </w:rPr>
              <w:t>18.3.0</w:t>
            </w:r>
          </w:p>
        </w:tc>
      </w:tr>
      <w:tr w:rsidR="00141A61" w:rsidRPr="00873B6C" w14:paraId="6C7425E6" w14:textId="77777777" w:rsidTr="009D14FB">
        <w:tc>
          <w:tcPr>
            <w:tcW w:w="800" w:type="dxa"/>
            <w:shd w:val="solid" w:color="FFFFFF" w:fill="auto"/>
          </w:tcPr>
          <w:p w14:paraId="5642EE1D" w14:textId="3EDED99F"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60B5B569" w14:textId="064F865A"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35FD660C" w14:textId="14D7A37F" w:rsidR="00141A61" w:rsidRPr="00873B6C" w:rsidRDefault="00141A61" w:rsidP="004A0323">
            <w:pPr>
              <w:pStyle w:val="TAC"/>
              <w:rPr>
                <w:sz w:val="16"/>
                <w:szCs w:val="16"/>
              </w:rPr>
            </w:pPr>
            <w:r w:rsidRPr="00873B6C">
              <w:rPr>
                <w:sz w:val="16"/>
                <w:szCs w:val="16"/>
              </w:rPr>
              <w:t>SP-230854</w:t>
            </w:r>
          </w:p>
        </w:tc>
        <w:tc>
          <w:tcPr>
            <w:tcW w:w="567" w:type="dxa"/>
            <w:shd w:val="solid" w:color="FFFFFF" w:fill="auto"/>
          </w:tcPr>
          <w:p w14:paraId="55409939" w14:textId="33E1D927" w:rsidR="00141A61" w:rsidRPr="00873B6C" w:rsidRDefault="00141A61" w:rsidP="004A0323">
            <w:pPr>
              <w:pStyle w:val="TAL"/>
              <w:rPr>
                <w:sz w:val="16"/>
                <w:szCs w:val="16"/>
              </w:rPr>
            </w:pPr>
            <w:r w:rsidRPr="00873B6C">
              <w:rPr>
                <w:sz w:val="16"/>
                <w:szCs w:val="16"/>
              </w:rPr>
              <w:t>4773</w:t>
            </w:r>
          </w:p>
        </w:tc>
        <w:tc>
          <w:tcPr>
            <w:tcW w:w="425" w:type="dxa"/>
            <w:shd w:val="solid" w:color="FFFFFF" w:fill="auto"/>
          </w:tcPr>
          <w:p w14:paraId="2A4308C2" w14:textId="7A547851" w:rsidR="00141A61" w:rsidRPr="00873B6C" w:rsidRDefault="00141A61" w:rsidP="004A0323">
            <w:pPr>
              <w:pStyle w:val="TAL"/>
              <w:rPr>
                <w:sz w:val="16"/>
                <w:szCs w:val="16"/>
              </w:rPr>
            </w:pPr>
            <w:r w:rsidRPr="00873B6C">
              <w:rPr>
                <w:sz w:val="16"/>
                <w:szCs w:val="16"/>
              </w:rPr>
              <w:t>3</w:t>
            </w:r>
          </w:p>
        </w:tc>
        <w:tc>
          <w:tcPr>
            <w:tcW w:w="425" w:type="dxa"/>
            <w:shd w:val="solid" w:color="FFFFFF" w:fill="auto"/>
          </w:tcPr>
          <w:p w14:paraId="68B3C747" w14:textId="1598C2C0"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3F0CF99" w14:textId="2073F507" w:rsidR="00141A61" w:rsidRPr="00873B6C" w:rsidRDefault="00141A61" w:rsidP="004A0323">
            <w:pPr>
              <w:pStyle w:val="TAL"/>
              <w:rPr>
                <w:sz w:val="16"/>
                <w:szCs w:val="16"/>
              </w:rPr>
            </w:pPr>
            <w:r w:rsidRPr="00873B6C">
              <w:rPr>
                <w:sz w:val="16"/>
                <w:szCs w:val="16"/>
              </w:rPr>
              <w:t>PIN description correction</w:t>
            </w:r>
          </w:p>
        </w:tc>
        <w:tc>
          <w:tcPr>
            <w:tcW w:w="708" w:type="dxa"/>
            <w:shd w:val="solid" w:color="FFFFFF" w:fill="auto"/>
          </w:tcPr>
          <w:p w14:paraId="5859147F" w14:textId="1B8BC6A4" w:rsidR="00141A61" w:rsidRPr="00873B6C" w:rsidRDefault="00141A61" w:rsidP="004A0323">
            <w:pPr>
              <w:pStyle w:val="TAC"/>
              <w:rPr>
                <w:sz w:val="16"/>
                <w:szCs w:val="16"/>
              </w:rPr>
            </w:pPr>
            <w:r w:rsidRPr="00873B6C">
              <w:rPr>
                <w:sz w:val="16"/>
                <w:szCs w:val="16"/>
              </w:rPr>
              <w:t>18.3.0</w:t>
            </w:r>
          </w:p>
        </w:tc>
      </w:tr>
      <w:tr w:rsidR="00141A61" w:rsidRPr="00873B6C" w14:paraId="5A9FF9CF" w14:textId="77777777" w:rsidTr="009D14FB">
        <w:tc>
          <w:tcPr>
            <w:tcW w:w="800" w:type="dxa"/>
            <w:shd w:val="solid" w:color="FFFFFF" w:fill="auto"/>
          </w:tcPr>
          <w:p w14:paraId="65131D49" w14:textId="463F5D7B"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295771B5" w14:textId="07F20503"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1AB1EDB8" w14:textId="19AD71CE" w:rsidR="00141A61" w:rsidRPr="00873B6C" w:rsidRDefault="00141A61" w:rsidP="004A0323">
            <w:pPr>
              <w:pStyle w:val="TAC"/>
              <w:rPr>
                <w:sz w:val="16"/>
                <w:szCs w:val="16"/>
              </w:rPr>
            </w:pPr>
            <w:r w:rsidRPr="00873B6C">
              <w:rPr>
                <w:sz w:val="16"/>
                <w:szCs w:val="16"/>
              </w:rPr>
              <w:t>SP-230833</w:t>
            </w:r>
          </w:p>
        </w:tc>
        <w:tc>
          <w:tcPr>
            <w:tcW w:w="567" w:type="dxa"/>
            <w:shd w:val="solid" w:color="FFFFFF" w:fill="auto"/>
          </w:tcPr>
          <w:p w14:paraId="36F971D4" w14:textId="6AB708F2" w:rsidR="00141A61" w:rsidRPr="00873B6C" w:rsidRDefault="00141A61" w:rsidP="004A0323">
            <w:pPr>
              <w:pStyle w:val="TAL"/>
              <w:rPr>
                <w:sz w:val="16"/>
                <w:szCs w:val="16"/>
              </w:rPr>
            </w:pPr>
            <w:r w:rsidRPr="00873B6C">
              <w:rPr>
                <w:sz w:val="16"/>
                <w:szCs w:val="16"/>
              </w:rPr>
              <w:t>4775</w:t>
            </w:r>
          </w:p>
        </w:tc>
        <w:tc>
          <w:tcPr>
            <w:tcW w:w="425" w:type="dxa"/>
            <w:shd w:val="solid" w:color="FFFFFF" w:fill="auto"/>
          </w:tcPr>
          <w:p w14:paraId="1A909E85" w14:textId="0ADF2959" w:rsidR="00141A61" w:rsidRPr="00873B6C" w:rsidRDefault="00141A61" w:rsidP="004A0323">
            <w:pPr>
              <w:pStyle w:val="TAL"/>
              <w:rPr>
                <w:sz w:val="16"/>
                <w:szCs w:val="16"/>
              </w:rPr>
            </w:pPr>
            <w:r w:rsidRPr="00873B6C">
              <w:rPr>
                <w:sz w:val="16"/>
                <w:szCs w:val="16"/>
              </w:rPr>
              <w:t>-</w:t>
            </w:r>
          </w:p>
        </w:tc>
        <w:tc>
          <w:tcPr>
            <w:tcW w:w="425" w:type="dxa"/>
            <w:shd w:val="solid" w:color="FFFFFF" w:fill="auto"/>
          </w:tcPr>
          <w:p w14:paraId="391E1940" w14:textId="2E41F15B" w:rsidR="00141A61" w:rsidRPr="00873B6C" w:rsidRDefault="00141A61" w:rsidP="004A0323">
            <w:pPr>
              <w:pStyle w:val="TAL"/>
              <w:rPr>
                <w:sz w:val="16"/>
                <w:szCs w:val="16"/>
              </w:rPr>
            </w:pPr>
            <w:r w:rsidRPr="00873B6C">
              <w:rPr>
                <w:sz w:val="16"/>
                <w:szCs w:val="16"/>
              </w:rPr>
              <w:t>A</w:t>
            </w:r>
          </w:p>
        </w:tc>
        <w:tc>
          <w:tcPr>
            <w:tcW w:w="4820" w:type="dxa"/>
            <w:shd w:val="solid" w:color="FFFFFF" w:fill="auto"/>
          </w:tcPr>
          <w:p w14:paraId="52BB8A49" w14:textId="32D5087A" w:rsidR="00141A61" w:rsidRPr="00873B6C" w:rsidRDefault="00141A61" w:rsidP="004A0323">
            <w:pPr>
              <w:pStyle w:val="TAL"/>
              <w:rPr>
                <w:sz w:val="16"/>
                <w:szCs w:val="16"/>
              </w:rPr>
            </w:pPr>
            <w:r w:rsidRPr="00873B6C">
              <w:rPr>
                <w:sz w:val="16"/>
                <w:szCs w:val="16"/>
              </w:rPr>
              <w:t>Removal of Editor's note for NTN tracking area handling</w:t>
            </w:r>
          </w:p>
        </w:tc>
        <w:tc>
          <w:tcPr>
            <w:tcW w:w="708" w:type="dxa"/>
            <w:shd w:val="solid" w:color="FFFFFF" w:fill="auto"/>
          </w:tcPr>
          <w:p w14:paraId="7FB4EAC8" w14:textId="31B2F0AF" w:rsidR="00141A61" w:rsidRPr="00873B6C" w:rsidRDefault="00141A61" w:rsidP="004A0323">
            <w:pPr>
              <w:pStyle w:val="TAC"/>
              <w:rPr>
                <w:sz w:val="16"/>
                <w:szCs w:val="16"/>
              </w:rPr>
            </w:pPr>
            <w:r w:rsidRPr="00873B6C">
              <w:rPr>
                <w:sz w:val="16"/>
                <w:szCs w:val="16"/>
              </w:rPr>
              <w:t>18.3.0</w:t>
            </w:r>
          </w:p>
        </w:tc>
      </w:tr>
      <w:tr w:rsidR="00141A61" w:rsidRPr="00873B6C" w14:paraId="74B1B8D1" w14:textId="77777777" w:rsidTr="009D14FB">
        <w:tc>
          <w:tcPr>
            <w:tcW w:w="800" w:type="dxa"/>
            <w:shd w:val="solid" w:color="FFFFFF" w:fill="auto"/>
          </w:tcPr>
          <w:p w14:paraId="3A480124" w14:textId="610C29FA"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77609BB0" w14:textId="2AB345FF"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5041B86E" w14:textId="3F06EA90" w:rsidR="00141A61" w:rsidRPr="00873B6C" w:rsidRDefault="00141A61" w:rsidP="004A0323">
            <w:pPr>
              <w:pStyle w:val="TAC"/>
              <w:rPr>
                <w:sz w:val="16"/>
                <w:szCs w:val="16"/>
              </w:rPr>
            </w:pPr>
            <w:r w:rsidRPr="00873B6C">
              <w:rPr>
                <w:sz w:val="16"/>
                <w:szCs w:val="16"/>
              </w:rPr>
              <w:t>SP-230845</w:t>
            </w:r>
          </w:p>
        </w:tc>
        <w:tc>
          <w:tcPr>
            <w:tcW w:w="567" w:type="dxa"/>
            <w:shd w:val="solid" w:color="FFFFFF" w:fill="auto"/>
          </w:tcPr>
          <w:p w14:paraId="044D39CB" w14:textId="3A9109E0" w:rsidR="00141A61" w:rsidRPr="00873B6C" w:rsidRDefault="00141A61" w:rsidP="004A0323">
            <w:pPr>
              <w:pStyle w:val="TAL"/>
              <w:rPr>
                <w:sz w:val="16"/>
                <w:szCs w:val="16"/>
              </w:rPr>
            </w:pPr>
            <w:r w:rsidRPr="00873B6C">
              <w:rPr>
                <w:sz w:val="16"/>
                <w:szCs w:val="16"/>
              </w:rPr>
              <w:t>4777</w:t>
            </w:r>
          </w:p>
        </w:tc>
        <w:tc>
          <w:tcPr>
            <w:tcW w:w="425" w:type="dxa"/>
            <w:shd w:val="solid" w:color="FFFFFF" w:fill="auto"/>
          </w:tcPr>
          <w:p w14:paraId="21AECE74" w14:textId="69349FBA" w:rsidR="00141A61" w:rsidRPr="00873B6C" w:rsidRDefault="00141A61" w:rsidP="004A0323">
            <w:pPr>
              <w:pStyle w:val="TAL"/>
              <w:rPr>
                <w:sz w:val="16"/>
                <w:szCs w:val="16"/>
              </w:rPr>
            </w:pPr>
            <w:r w:rsidRPr="00873B6C">
              <w:rPr>
                <w:sz w:val="16"/>
                <w:szCs w:val="16"/>
              </w:rPr>
              <w:t>2</w:t>
            </w:r>
          </w:p>
        </w:tc>
        <w:tc>
          <w:tcPr>
            <w:tcW w:w="425" w:type="dxa"/>
            <w:shd w:val="solid" w:color="FFFFFF" w:fill="auto"/>
          </w:tcPr>
          <w:p w14:paraId="4A330A56" w14:textId="22E09C1B"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2320690C" w14:textId="1DD1831D" w:rsidR="00141A61" w:rsidRPr="00873B6C" w:rsidRDefault="00141A61" w:rsidP="004A0323">
            <w:pPr>
              <w:pStyle w:val="TAL"/>
              <w:rPr>
                <w:sz w:val="16"/>
                <w:szCs w:val="16"/>
              </w:rPr>
            </w:pPr>
            <w:r w:rsidRPr="00873B6C">
              <w:rPr>
                <w:sz w:val="16"/>
                <w:szCs w:val="16"/>
              </w:rPr>
              <w:t>ATSSS_Ph3 Enhanced Considerations of MPQUIC Multi-layer Stack Parameter Settings &amp; Logics</w:t>
            </w:r>
          </w:p>
        </w:tc>
        <w:tc>
          <w:tcPr>
            <w:tcW w:w="708" w:type="dxa"/>
            <w:shd w:val="solid" w:color="FFFFFF" w:fill="auto"/>
          </w:tcPr>
          <w:p w14:paraId="2D6AC91A" w14:textId="099FB812" w:rsidR="00141A61" w:rsidRPr="00873B6C" w:rsidRDefault="00141A61" w:rsidP="004A0323">
            <w:pPr>
              <w:pStyle w:val="TAC"/>
              <w:rPr>
                <w:sz w:val="16"/>
                <w:szCs w:val="16"/>
              </w:rPr>
            </w:pPr>
            <w:r w:rsidRPr="00873B6C">
              <w:rPr>
                <w:sz w:val="16"/>
                <w:szCs w:val="16"/>
              </w:rPr>
              <w:t>18.3.0</w:t>
            </w:r>
          </w:p>
        </w:tc>
      </w:tr>
      <w:tr w:rsidR="00141A61" w:rsidRPr="00873B6C" w14:paraId="6B26B0D9" w14:textId="77777777" w:rsidTr="009D14FB">
        <w:tc>
          <w:tcPr>
            <w:tcW w:w="800" w:type="dxa"/>
            <w:shd w:val="solid" w:color="FFFFFF" w:fill="auto"/>
          </w:tcPr>
          <w:p w14:paraId="19C20480" w14:textId="465B6706"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433363D7" w14:textId="3B8C2420"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2589FD12" w14:textId="7537AD8E" w:rsidR="00141A61" w:rsidRPr="00873B6C" w:rsidRDefault="00141A61" w:rsidP="004A0323">
            <w:pPr>
              <w:pStyle w:val="TAC"/>
              <w:rPr>
                <w:sz w:val="16"/>
                <w:szCs w:val="16"/>
              </w:rPr>
            </w:pPr>
            <w:r w:rsidRPr="00873B6C">
              <w:rPr>
                <w:sz w:val="16"/>
                <w:szCs w:val="16"/>
              </w:rPr>
              <w:t>SP-230848</w:t>
            </w:r>
          </w:p>
        </w:tc>
        <w:tc>
          <w:tcPr>
            <w:tcW w:w="567" w:type="dxa"/>
            <w:shd w:val="solid" w:color="FFFFFF" w:fill="auto"/>
          </w:tcPr>
          <w:p w14:paraId="39BE621F" w14:textId="0A52BC64" w:rsidR="00141A61" w:rsidRPr="00873B6C" w:rsidRDefault="00141A61" w:rsidP="004A0323">
            <w:pPr>
              <w:pStyle w:val="TAL"/>
              <w:rPr>
                <w:sz w:val="16"/>
                <w:szCs w:val="16"/>
              </w:rPr>
            </w:pPr>
            <w:r w:rsidRPr="00873B6C">
              <w:rPr>
                <w:sz w:val="16"/>
                <w:szCs w:val="16"/>
              </w:rPr>
              <w:t>4784</w:t>
            </w:r>
          </w:p>
        </w:tc>
        <w:tc>
          <w:tcPr>
            <w:tcW w:w="425" w:type="dxa"/>
            <w:shd w:val="solid" w:color="FFFFFF" w:fill="auto"/>
          </w:tcPr>
          <w:p w14:paraId="57C71D25" w14:textId="2311F6DC" w:rsidR="00141A61" w:rsidRPr="00873B6C" w:rsidRDefault="00141A61" w:rsidP="004A0323">
            <w:pPr>
              <w:pStyle w:val="TAL"/>
              <w:rPr>
                <w:sz w:val="16"/>
                <w:szCs w:val="16"/>
              </w:rPr>
            </w:pPr>
            <w:r w:rsidRPr="00873B6C">
              <w:rPr>
                <w:sz w:val="16"/>
                <w:szCs w:val="16"/>
              </w:rPr>
              <w:t>1</w:t>
            </w:r>
          </w:p>
        </w:tc>
        <w:tc>
          <w:tcPr>
            <w:tcW w:w="425" w:type="dxa"/>
            <w:shd w:val="solid" w:color="FFFFFF" w:fill="auto"/>
          </w:tcPr>
          <w:p w14:paraId="0CB60523" w14:textId="0338280C"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3DEFCA62" w14:textId="1C650AD6" w:rsidR="00141A61" w:rsidRPr="00873B6C" w:rsidRDefault="00141A61" w:rsidP="004A0323">
            <w:pPr>
              <w:pStyle w:val="TAL"/>
              <w:rPr>
                <w:sz w:val="16"/>
                <w:szCs w:val="16"/>
              </w:rPr>
            </w:pPr>
            <w:r w:rsidRPr="00873B6C">
              <w:rPr>
                <w:sz w:val="16"/>
                <w:szCs w:val="16"/>
              </w:rPr>
              <w:t>Method for exchange info to determine SNPN selection</w:t>
            </w:r>
          </w:p>
        </w:tc>
        <w:tc>
          <w:tcPr>
            <w:tcW w:w="708" w:type="dxa"/>
            <w:shd w:val="solid" w:color="FFFFFF" w:fill="auto"/>
          </w:tcPr>
          <w:p w14:paraId="3333F40F" w14:textId="6B5D693E" w:rsidR="00141A61" w:rsidRPr="00873B6C" w:rsidRDefault="00141A61" w:rsidP="004A0323">
            <w:pPr>
              <w:pStyle w:val="TAC"/>
              <w:rPr>
                <w:sz w:val="16"/>
                <w:szCs w:val="16"/>
              </w:rPr>
            </w:pPr>
            <w:r w:rsidRPr="00873B6C">
              <w:rPr>
                <w:sz w:val="16"/>
                <w:szCs w:val="16"/>
              </w:rPr>
              <w:t>18.3.0</w:t>
            </w:r>
          </w:p>
        </w:tc>
      </w:tr>
      <w:tr w:rsidR="00141A61" w:rsidRPr="00873B6C" w14:paraId="4E218E27" w14:textId="77777777" w:rsidTr="009D14FB">
        <w:tc>
          <w:tcPr>
            <w:tcW w:w="800" w:type="dxa"/>
            <w:shd w:val="solid" w:color="FFFFFF" w:fill="auto"/>
          </w:tcPr>
          <w:p w14:paraId="587D507F" w14:textId="78574010"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5A860635" w14:textId="4641941B"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62A8F293" w14:textId="6C91CAE5" w:rsidR="00141A61" w:rsidRPr="00873B6C" w:rsidRDefault="00141A61" w:rsidP="004A0323">
            <w:pPr>
              <w:pStyle w:val="TAC"/>
              <w:rPr>
                <w:sz w:val="16"/>
                <w:szCs w:val="16"/>
              </w:rPr>
            </w:pPr>
            <w:r w:rsidRPr="00873B6C">
              <w:rPr>
                <w:sz w:val="16"/>
                <w:szCs w:val="16"/>
              </w:rPr>
              <w:t>SP-230845</w:t>
            </w:r>
          </w:p>
        </w:tc>
        <w:tc>
          <w:tcPr>
            <w:tcW w:w="567" w:type="dxa"/>
            <w:shd w:val="solid" w:color="FFFFFF" w:fill="auto"/>
          </w:tcPr>
          <w:p w14:paraId="066ECAA5" w14:textId="5CDBB808" w:rsidR="00141A61" w:rsidRPr="00873B6C" w:rsidRDefault="00141A61" w:rsidP="004A0323">
            <w:pPr>
              <w:pStyle w:val="TAL"/>
              <w:rPr>
                <w:sz w:val="16"/>
                <w:szCs w:val="16"/>
              </w:rPr>
            </w:pPr>
            <w:r w:rsidRPr="00873B6C">
              <w:rPr>
                <w:sz w:val="16"/>
                <w:szCs w:val="16"/>
              </w:rPr>
              <w:t>4791</w:t>
            </w:r>
          </w:p>
        </w:tc>
        <w:tc>
          <w:tcPr>
            <w:tcW w:w="425" w:type="dxa"/>
            <w:shd w:val="solid" w:color="FFFFFF" w:fill="auto"/>
          </w:tcPr>
          <w:p w14:paraId="6360DC3A" w14:textId="742FFE25" w:rsidR="00141A61" w:rsidRPr="00873B6C" w:rsidRDefault="00141A61" w:rsidP="004A0323">
            <w:pPr>
              <w:pStyle w:val="TAL"/>
              <w:rPr>
                <w:sz w:val="16"/>
                <w:szCs w:val="16"/>
              </w:rPr>
            </w:pPr>
            <w:r w:rsidRPr="00873B6C">
              <w:rPr>
                <w:sz w:val="16"/>
                <w:szCs w:val="16"/>
              </w:rPr>
              <w:t>-</w:t>
            </w:r>
          </w:p>
        </w:tc>
        <w:tc>
          <w:tcPr>
            <w:tcW w:w="425" w:type="dxa"/>
            <w:shd w:val="solid" w:color="FFFFFF" w:fill="auto"/>
          </w:tcPr>
          <w:p w14:paraId="15ED976E" w14:textId="7035B937"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6D72230" w14:textId="580F62D9" w:rsidR="00141A61" w:rsidRPr="00873B6C" w:rsidRDefault="00141A61" w:rsidP="004A0323">
            <w:pPr>
              <w:pStyle w:val="TAL"/>
              <w:rPr>
                <w:sz w:val="16"/>
                <w:szCs w:val="16"/>
              </w:rPr>
            </w:pPr>
            <w:r w:rsidRPr="00873B6C">
              <w:rPr>
                <w:sz w:val="16"/>
                <w:szCs w:val="16"/>
              </w:rPr>
              <w:t>Clarification on non-3GPP path switching capability when a UE is registered to different PLMNs over 3GPP and non-3GPP accesses</w:t>
            </w:r>
          </w:p>
        </w:tc>
        <w:tc>
          <w:tcPr>
            <w:tcW w:w="708" w:type="dxa"/>
            <w:shd w:val="solid" w:color="FFFFFF" w:fill="auto"/>
          </w:tcPr>
          <w:p w14:paraId="1647735E" w14:textId="61500003" w:rsidR="00141A61" w:rsidRPr="00873B6C" w:rsidRDefault="00141A61" w:rsidP="004A0323">
            <w:pPr>
              <w:pStyle w:val="TAC"/>
              <w:rPr>
                <w:sz w:val="16"/>
                <w:szCs w:val="16"/>
              </w:rPr>
            </w:pPr>
            <w:r w:rsidRPr="00873B6C">
              <w:rPr>
                <w:sz w:val="16"/>
                <w:szCs w:val="16"/>
              </w:rPr>
              <w:t>18.3.0</w:t>
            </w:r>
          </w:p>
        </w:tc>
      </w:tr>
      <w:tr w:rsidR="00141A61" w:rsidRPr="00873B6C" w14:paraId="6D8E86AA" w14:textId="77777777" w:rsidTr="009D14FB">
        <w:tc>
          <w:tcPr>
            <w:tcW w:w="800" w:type="dxa"/>
            <w:shd w:val="solid" w:color="FFFFFF" w:fill="auto"/>
          </w:tcPr>
          <w:p w14:paraId="7AB48029" w14:textId="0FD12A83"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79A59DFA" w14:textId="665895B7"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61AA6E0A" w14:textId="3F7F3C39" w:rsidR="00141A61" w:rsidRPr="00873B6C" w:rsidRDefault="00141A61" w:rsidP="004A0323">
            <w:pPr>
              <w:pStyle w:val="TAC"/>
              <w:rPr>
                <w:sz w:val="16"/>
                <w:szCs w:val="16"/>
              </w:rPr>
            </w:pPr>
            <w:r w:rsidRPr="00873B6C">
              <w:rPr>
                <w:sz w:val="16"/>
                <w:szCs w:val="16"/>
              </w:rPr>
              <w:t>SP-230847</w:t>
            </w:r>
          </w:p>
        </w:tc>
        <w:tc>
          <w:tcPr>
            <w:tcW w:w="567" w:type="dxa"/>
            <w:shd w:val="solid" w:color="FFFFFF" w:fill="auto"/>
          </w:tcPr>
          <w:p w14:paraId="624C56F7" w14:textId="6F747B2C" w:rsidR="00141A61" w:rsidRPr="00873B6C" w:rsidRDefault="00141A61" w:rsidP="004A0323">
            <w:pPr>
              <w:pStyle w:val="TAL"/>
              <w:rPr>
                <w:sz w:val="16"/>
                <w:szCs w:val="16"/>
              </w:rPr>
            </w:pPr>
            <w:r w:rsidRPr="00873B6C">
              <w:rPr>
                <w:sz w:val="16"/>
                <w:szCs w:val="16"/>
              </w:rPr>
              <w:t>4798</w:t>
            </w:r>
          </w:p>
        </w:tc>
        <w:tc>
          <w:tcPr>
            <w:tcW w:w="425" w:type="dxa"/>
            <w:shd w:val="solid" w:color="FFFFFF" w:fill="auto"/>
          </w:tcPr>
          <w:p w14:paraId="25B119B3" w14:textId="62A64430" w:rsidR="00141A61" w:rsidRPr="00873B6C" w:rsidRDefault="00141A61" w:rsidP="004A0323">
            <w:pPr>
              <w:pStyle w:val="TAL"/>
              <w:rPr>
                <w:sz w:val="16"/>
                <w:szCs w:val="16"/>
              </w:rPr>
            </w:pPr>
            <w:r w:rsidRPr="00873B6C">
              <w:rPr>
                <w:sz w:val="16"/>
                <w:szCs w:val="16"/>
              </w:rPr>
              <w:t>2</w:t>
            </w:r>
          </w:p>
        </w:tc>
        <w:tc>
          <w:tcPr>
            <w:tcW w:w="425" w:type="dxa"/>
            <w:shd w:val="solid" w:color="FFFFFF" w:fill="auto"/>
          </w:tcPr>
          <w:p w14:paraId="1633A4F2" w14:textId="1F92D35C"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64BA53D" w14:textId="5EC335CE" w:rsidR="00141A61" w:rsidRPr="00873B6C" w:rsidRDefault="00141A61" w:rsidP="004A0323">
            <w:pPr>
              <w:pStyle w:val="TAL"/>
              <w:rPr>
                <w:sz w:val="16"/>
                <w:szCs w:val="16"/>
              </w:rPr>
            </w:pPr>
            <w:r w:rsidRPr="00873B6C">
              <w:rPr>
                <w:sz w:val="16"/>
                <w:szCs w:val="16"/>
              </w:rPr>
              <w:t>Interoperability Indicator for NWDAF discovery and selection</w:t>
            </w:r>
          </w:p>
        </w:tc>
        <w:tc>
          <w:tcPr>
            <w:tcW w:w="708" w:type="dxa"/>
            <w:shd w:val="solid" w:color="FFFFFF" w:fill="auto"/>
          </w:tcPr>
          <w:p w14:paraId="2F0F0062" w14:textId="01F40152" w:rsidR="00141A61" w:rsidRPr="00873B6C" w:rsidRDefault="00141A61" w:rsidP="004A0323">
            <w:pPr>
              <w:pStyle w:val="TAC"/>
              <w:rPr>
                <w:sz w:val="16"/>
                <w:szCs w:val="16"/>
              </w:rPr>
            </w:pPr>
            <w:r w:rsidRPr="00873B6C">
              <w:rPr>
                <w:sz w:val="16"/>
                <w:szCs w:val="16"/>
              </w:rPr>
              <w:t>18.3.0</w:t>
            </w:r>
          </w:p>
        </w:tc>
      </w:tr>
      <w:tr w:rsidR="00141A61" w:rsidRPr="00873B6C" w14:paraId="3D153D77" w14:textId="77777777" w:rsidTr="009D14FB">
        <w:tc>
          <w:tcPr>
            <w:tcW w:w="800" w:type="dxa"/>
            <w:shd w:val="solid" w:color="FFFFFF" w:fill="auto"/>
          </w:tcPr>
          <w:p w14:paraId="6EF8626C" w14:textId="72E3D645"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49E4C996" w14:textId="299FFF51"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69165F2C" w14:textId="11B20BEF" w:rsidR="00141A61" w:rsidRPr="00873B6C" w:rsidRDefault="00141A61" w:rsidP="004A0323">
            <w:pPr>
              <w:pStyle w:val="TAC"/>
              <w:rPr>
                <w:sz w:val="16"/>
                <w:szCs w:val="16"/>
              </w:rPr>
            </w:pPr>
            <w:r w:rsidRPr="00873B6C">
              <w:rPr>
                <w:sz w:val="16"/>
                <w:szCs w:val="16"/>
              </w:rPr>
              <w:t>SP-230837</w:t>
            </w:r>
          </w:p>
        </w:tc>
        <w:tc>
          <w:tcPr>
            <w:tcW w:w="567" w:type="dxa"/>
            <w:shd w:val="solid" w:color="FFFFFF" w:fill="auto"/>
          </w:tcPr>
          <w:p w14:paraId="1A4E1977" w14:textId="7A128FC7" w:rsidR="00141A61" w:rsidRPr="00873B6C" w:rsidRDefault="00141A61" w:rsidP="004A0323">
            <w:pPr>
              <w:pStyle w:val="TAL"/>
              <w:rPr>
                <w:sz w:val="16"/>
                <w:szCs w:val="16"/>
              </w:rPr>
            </w:pPr>
            <w:r w:rsidRPr="00873B6C">
              <w:rPr>
                <w:sz w:val="16"/>
                <w:szCs w:val="16"/>
              </w:rPr>
              <w:t>4817</w:t>
            </w:r>
          </w:p>
        </w:tc>
        <w:tc>
          <w:tcPr>
            <w:tcW w:w="425" w:type="dxa"/>
            <w:shd w:val="solid" w:color="FFFFFF" w:fill="auto"/>
          </w:tcPr>
          <w:p w14:paraId="4133B516" w14:textId="3522BED4" w:rsidR="00141A61" w:rsidRPr="00873B6C" w:rsidRDefault="00141A61" w:rsidP="004A0323">
            <w:pPr>
              <w:pStyle w:val="TAL"/>
              <w:rPr>
                <w:sz w:val="16"/>
                <w:szCs w:val="16"/>
              </w:rPr>
            </w:pPr>
            <w:r w:rsidRPr="00873B6C">
              <w:rPr>
                <w:sz w:val="16"/>
                <w:szCs w:val="16"/>
              </w:rPr>
              <w:t>1</w:t>
            </w:r>
          </w:p>
        </w:tc>
        <w:tc>
          <w:tcPr>
            <w:tcW w:w="425" w:type="dxa"/>
            <w:shd w:val="solid" w:color="FFFFFF" w:fill="auto"/>
          </w:tcPr>
          <w:p w14:paraId="77B6D213" w14:textId="10FF9679" w:rsidR="00141A61" w:rsidRPr="00873B6C" w:rsidRDefault="00141A61" w:rsidP="004A0323">
            <w:pPr>
              <w:pStyle w:val="TAL"/>
              <w:rPr>
                <w:sz w:val="16"/>
                <w:szCs w:val="16"/>
              </w:rPr>
            </w:pPr>
            <w:r w:rsidRPr="00873B6C">
              <w:rPr>
                <w:sz w:val="16"/>
                <w:szCs w:val="16"/>
              </w:rPr>
              <w:t>A</w:t>
            </w:r>
          </w:p>
        </w:tc>
        <w:tc>
          <w:tcPr>
            <w:tcW w:w="4820" w:type="dxa"/>
            <w:shd w:val="solid" w:color="FFFFFF" w:fill="auto"/>
          </w:tcPr>
          <w:p w14:paraId="3BA60EE0" w14:textId="383C5010" w:rsidR="00141A61" w:rsidRPr="00873B6C" w:rsidRDefault="00141A61" w:rsidP="004A0323">
            <w:pPr>
              <w:pStyle w:val="TAL"/>
              <w:rPr>
                <w:sz w:val="16"/>
                <w:szCs w:val="16"/>
              </w:rPr>
            </w:pPr>
            <w:r w:rsidRPr="00873B6C">
              <w:rPr>
                <w:sz w:val="16"/>
                <w:szCs w:val="16"/>
              </w:rPr>
              <w:t>PLMN list for NSWO in roaming scenario</w:t>
            </w:r>
          </w:p>
        </w:tc>
        <w:tc>
          <w:tcPr>
            <w:tcW w:w="708" w:type="dxa"/>
            <w:shd w:val="solid" w:color="FFFFFF" w:fill="auto"/>
          </w:tcPr>
          <w:p w14:paraId="6C957779" w14:textId="7CD840D0" w:rsidR="00141A61" w:rsidRPr="00873B6C" w:rsidRDefault="00141A61" w:rsidP="004A0323">
            <w:pPr>
              <w:pStyle w:val="TAC"/>
              <w:rPr>
                <w:sz w:val="16"/>
                <w:szCs w:val="16"/>
              </w:rPr>
            </w:pPr>
            <w:r w:rsidRPr="00873B6C">
              <w:rPr>
                <w:sz w:val="16"/>
                <w:szCs w:val="16"/>
              </w:rPr>
              <w:t>18.3.0</w:t>
            </w:r>
          </w:p>
        </w:tc>
      </w:tr>
      <w:tr w:rsidR="00141A61" w:rsidRPr="00873B6C" w14:paraId="2C53AB2D" w14:textId="77777777" w:rsidTr="009D14FB">
        <w:tc>
          <w:tcPr>
            <w:tcW w:w="800" w:type="dxa"/>
            <w:shd w:val="solid" w:color="FFFFFF" w:fill="auto"/>
          </w:tcPr>
          <w:p w14:paraId="7864BB53" w14:textId="20DAB444"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4B735577" w14:textId="01426328"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22A288E1" w14:textId="3A463CC3" w:rsidR="00141A61" w:rsidRPr="00873B6C" w:rsidRDefault="00141A61" w:rsidP="004A0323">
            <w:pPr>
              <w:pStyle w:val="TAC"/>
              <w:rPr>
                <w:sz w:val="16"/>
                <w:szCs w:val="16"/>
              </w:rPr>
            </w:pPr>
            <w:r w:rsidRPr="00873B6C">
              <w:rPr>
                <w:sz w:val="16"/>
                <w:szCs w:val="16"/>
              </w:rPr>
              <w:t>SP-230846</w:t>
            </w:r>
          </w:p>
        </w:tc>
        <w:tc>
          <w:tcPr>
            <w:tcW w:w="567" w:type="dxa"/>
            <w:shd w:val="solid" w:color="FFFFFF" w:fill="auto"/>
          </w:tcPr>
          <w:p w14:paraId="5069E0A0" w14:textId="6AE2AFD3" w:rsidR="00141A61" w:rsidRPr="00873B6C" w:rsidRDefault="00141A61" w:rsidP="004A0323">
            <w:pPr>
              <w:pStyle w:val="TAL"/>
              <w:rPr>
                <w:sz w:val="16"/>
                <w:szCs w:val="16"/>
              </w:rPr>
            </w:pPr>
            <w:r w:rsidRPr="00873B6C">
              <w:rPr>
                <w:sz w:val="16"/>
                <w:szCs w:val="16"/>
              </w:rPr>
              <w:t>4819</w:t>
            </w:r>
          </w:p>
        </w:tc>
        <w:tc>
          <w:tcPr>
            <w:tcW w:w="425" w:type="dxa"/>
            <w:shd w:val="solid" w:color="FFFFFF" w:fill="auto"/>
          </w:tcPr>
          <w:p w14:paraId="08DB3F82" w14:textId="158017A2" w:rsidR="00141A61" w:rsidRPr="00873B6C" w:rsidRDefault="00141A61" w:rsidP="004A0323">
            <w:pPr>
              <w:pStyle w:val="TAL"/>
              <w:rPr>
                <w:sz w:val="16"/>
                <w:szCs w:val="16"/>
              </w:rPr>
            </w:pPr>
            <w:r w:rsidRPr="00873B6C">
              <w:rPr>
                <w:sz w:val="16"/>
                <w:szCs w:val="16"/>
              </w:rPr>
              <w:t>-</w:t>
            </w:r>
          </w:p>
        </w:tc>
        <w:tc>
          <w:tcPr>
            <w:tcW w:w="425" w:type="dxa"/>
            <w:shd w:val="solid" w:color="FFFFFF" w:fill="auto"/>
          </w:tcPr>
          <w:p w14:paraId="5E20087C" w14:textId="6E17691B"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0DF267F9" w14:textId="1328270C" w:rsidR="00141A61" w:rsidRPr="00873B6C" w:rsidRDefault="00141A61" w:rsidP="004A0323">
            <w:pPr>
              <w:pStyle w:val="TAL"/>
              <w:rPr>
                <w:sz w:val="16"/>
                <w:szCs w:val="16"/>
              </w:rPr>
            </w:pPr>
            <w:r w:rsidRPr="00873B6C">
              <w:rPr>
                <w:sz w:val="16"/>
                <w:szCs w:val="16"/>
              </w:rPr>
              <w:t>clarification on Subscriber category in AF request</w:t>
            </w:r>
          </w:p>
        </w:tc>
        <w:tc>
          <w:tcPr>
            <w:tcW w:w="708" w:type="dxa"/>
            <w:shd w:val="solid" w:color="FFFFFF" w:fill="auto"/>
          </w:tcPr>
          <w:p w14:paraId="278B76A7" w14:textId="066EC31E" w:rsidR="00141A61" w:rsidRPr="00873B6C" w:rsidRDefault="00141A61" w:rsidP="004A0323">
            <w:pPr>
              <w:pStyle w:val="TAC"/>
              <w:rPr>
                <w:sz w:val="16"/>
                <w:szCs w:val="16"/>
              </w:rPr>
            </w:pPr>
            <w:r w:rsidRPr="00873B6C">
              <w:rPr>
                <w:sz w:val="16"/>
                <w:szCs w:val="16"/>
              </w:rPr>
              <w:t>18.3.0</w:t>
            </w:r>
          </w:p>
        </w:tc>
      </w:tr>
      <w:tr w:rsidR="00141A61" w:rsidRPr="00873B6C" w14:paraId="5CB74B72" w14:textId="77777777" w:rsidTr="009D14FB">
        <w:tc>
          <w:tcPr>
            <w:tcW w:w="800" w:type="dxa"/>
            <w:shd w:val="solid" w:color="FFFFFF" w:fill="auto"/>
          </w:tcPr>
          <w:p w14:paraId="19DE9795" w14:textId="7ED640AF"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0B69FEC8" w14:textId="7C7C6578"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7C5FF55A" w14:textId="7459D007" w:rsidR="00141A61" w:rsidRPr="00873B6C" w:rsidRDefault="00141A61" w:rsidP="004A0323">
            <w:pPr>
              <w:pStyle w:val="TAC"/>
              <w:rPr>
                <w:sz w:val="16"/>
                <w:szCs w:val="16"/>
              </w:rPr>
            </w:pPr>
            <w:r w:rsidRPr="00873B6C">
              <w:rPr>
                <w:sz w:val="16"/>
                <w:szCs w:val="16"/>
              </w:rPr>
              <w:t>SP-230859</w:t>
            </w:r>
          </w:p>
        </w:tc>
        <w:tc>
          <w:tcPr>
            <w:tcW w:w="567" w:type="dxa"/>
            <w:shd w:val="solid" w:color="FFFFFF" w:fill="auto"/>
          </w:tcPr>
          <w:p w14:paraId="08546E77" w14:textId="4B4D9C03" w:rsidR="00141A61" w:rsidRPr="00873B6C" w:rsidRDefault="00141A61" w:rsidP="004A0323">
            <w:pPr>
              <w:pStyle w:val="TAL"/>
              <w:rPr>
                <w:sz w:val="16"/>
                <w:szCs w:val="16"/>
              </w:rPr>
            </w:pPr>
            <w:r w:rsidRPr="00873B6C">
              <w:rPr>
                <w:sz w:val="16"/>
                <w:szCs w:val="16"/>
              </w:rPr>
              <w:t>4829</w:t>
            </w:r>
          </w:p>
        </w:tc>
        <w:tc>
          <w:tcPr>
            <w:tcW w:w="425" w:type="dxa"/>
            <w:shd w:val="solid" w:color="FFFFFF" w:fill="auto"/>
          </w:tcPr>
          <w:p w14:paraId="2A1E8CF2" w14:textId="7B66FCD2" w:rsidR="00141A61" w:rsidRPr="00873B6C" w:rsidRDefault="00141A61" w:rsidP="004A0323">
            <w:pPr>
              <w:pStyle w:val="TAL"/>
              <w:rPr>
                <w:sz w:val="16"/>
                <w:szCs w:val="16"/>
              </w:rPr>
            </w:pPr>
            <w:r w:rsidRPr="00873B6C">
              <w:rPr>
                <w:sz w:val="16"/>
                <w:szCs w:val="16"/>
              </w:rPr>
              <w:t>3</w:t>
            </w:r>
          </w:p>
        </w:tc>
        <w:tc>
          <w:tcPr>
            <w:tcW w:w="425" w:type="dxa"/>
            <w:shd w:val="solid" w:color="FFFFFF" w:fill="auto"/>
          </w:tcPr>
          <w:p w14:paraId="7111DEDA" w14:textId="38FE0D69"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59F4136" w14:textId="05553836" w:rsidR="00141A61" w:rsidRPr="00873B6C" w:rsidRDefault="00141A61" w:rsidP="004A0323">
            <w:pPr>
              <w:pStyle w:val="TAL"/>
              <w:rPr>
                <w:sz w:val="16"/>
                <w:szCs w:val="16"/>
              </w:rPr>
            </w:pPr>
            <w:r w:rsidRPr="00873B6C">
              <w:rPr>
                <w:sz w:val="16"/>
                <w:szCs w:val="16"/>
              </w:rPr>
              <w:t>Update to Network Triggered Service Request for UE in CM_IDLE with Connection Suspend</w:t>
            </w:r>
          </w:p>
        </w:tc>
        <w:tc>
          <w:tcPr>
            <w:tcW w:w="708" w:type="dxa"/>
            <w:shd w:val="solid" w:color="FFFFFF" w:fill="auto"/>
          </w:tcPr>
          <w:p w14:paraId="5995A3BC" w14:textId="315A1289" w:rsidR="00141A61" w:rsidRPr="00873B6C" w:rsidRDefault="00141A61" w:rsidP="004A0323">
            <w:pPr>
              <w:pStyle w:val="TAC"/>
              <w:rPr>
                <w:sz w:val="16"/>
                <w:szCs w:val="16"/>
              </w:rPr>
            </w:pPr>
            <w:r w:rsidRPr="00873B6C">
              <w:rPr>
                <w:sz w:val="16"/>
                <w:szCs w:val="16"/>
              </w:rPr>
              <w:t>18.3.0</w:t>
            </w:r>
          </w:p>
        </w:tc>
      </w:tr>
      <w:tr w:rsidR="00A2272A" w:rsidRPr="00873B6C" w14:paraId="66B14F22" w14:textId="77777777" w:rsidTr="009D14FB">
        <w:tc>
          <w:tcPr>
            <w:tcW w:w="800" w:type="dxa"/>
            <w:shd w:val="solid" w:color="FFFFFF" w:fill="auto"/>
          </w:tcPr>
          <w:p w14:paraId="1835B457" w14:textId="3B35A9D6"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5F542EB7" w14:textId="14C15275"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3B911CC4" w14:textId="5BAB09D5" w:rsidR="00A2272A" w:rsidRPr="00873B6C" w:rsidRDefault="00A2272A" w:rsidP="004A0323">
            <w:pPr>
              <w:pStyle w:val="TAC"/>
              <w:rPr>
                <w:sz w:val="16"/>
                <w:szCs w:val="16"/>
              </w:rPr>
            </w:pPr>
            <w:r w:rsidRPr="00873B6C">
              <w:rPr>
                <w:sz w:val="16"/>
                <w:szCs w:val="16"/>
              </w:rPr>
              <w:t>SP-230854</w:t>
            </w:r>
          </w:p>
        </w:tc>
        <w:tc>
          <w:tcPr>
            <w:tcW w:w="567" w:type="dxa"/>
            <w:shd w:val="solid" w:color="FFFFFF" w:fill="auto"/>
          </w:tcPr>
          <w:p w14:paraId="49094F76" w14:textId="57851291" w:rsidR="00A2272A" w:rsidRPr="00873B6C" w:rsidRDefault="00A2272A" w:rsidP="004A0323">
            <w:pPr>
              <w:pStyle w:val="TAL"/>
              <w:rPr>
                <w:sz w:val="16"/>
                <w:szCs w:val="16"/>
              </w:rPr>
            </w:pPr>
            <w:r w:rsidRPr="00873B6C">
              <w:rPr>
                <w:sz w:val="16"/>
                <w:szCs w:val="16"/>
              </w:rPr>
              <w:t>4832</w:t>
            </w:r>
          </w:p>
        </w:tc>
        <w:tc>
          <w:tcPr>
            <w:tcW w:w="425" w:type="dxa"/>
            <w:shd w:val="solid" w:color="FFFFFF" w:fill="auto"/>
          </w:tcPr>
          <w:p w14:paraId="053A4DEB" w14:textId="27262A21" w:rsidR="00A2272A" w:rsidRPr="00873B6C" w:rsidRDefault="00A2272A" w:rsidP="004A0323">
            <w:pPr>
              <w:pStyle w:val="TAL"/>
              <w:rPr>
                <w:sz w:val="16"/>
                <w:szCs w:val="16"/>
              </w:rPr>
            </w:pPr>
            <w:r w:rsidRPr="00873B6C">
              <w:rPr>
                <w:sz w:val="16"/>
                <w:szCs w:val="16"/>
              </w:rPr>
              <w:t>3</w:t>
            </w:r>
          </w:p>
        </w:tc>
        <w:tc>
          <w:tcPr>
            <w:tcW w:w="425" w:type="dxa"/>
            <w:shd w:val="solid" w:color="FFFFFF" w:fill="auto"/>
          </w:tcPr>
          <w:p w14:paraId="28CBE100" w14:textId="7E2B0B93"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3083926B" w14:textId="54681391" w:rsidR="00A2272A" w:rsidRPr="00873B6C" w:rsidRDefault="00A2272A" w:rsidP="004A0323">
            <w:pPr>
              <w:pStyle w:val="TAL"/>
              <w:rPr>
                <w:sz w:val="16"/>
                <w:szCs w:val="16"/>
              </w:rPr>
            </w:pPr>
            <w:r w:rsidRPr="00873B6C">
              <w:rPr>
                <w:sz w:val="16"/>
                <w:szCs w:val="16"/>
              </w:rPr>
              <w:t xml:space="preserve">Terminology and specification of functinalties not applicable to PIN. </w:t>
            </w:r>
          </w:p>
        </w:tc>
        <w:tc>
          <w:tcPr>
            <w:tcW w:w="708" w:type="dxa"/>
            <w:shd w:val="solid" w:color="FFFFFF" w:fill="auto"/>
          </w:tcPr>
          <w:p w14:paraId="4294EF68" w14:textId="37C3839C" w:rsidR="00A2272A" w:rsidRPr="00873B6C" w:rsidRDefault="00A2272A" w:rsidP="004A0323">
            <w:pPr>
              <w:pStyle w:val="TAC"/>
              <w:rPr>
                <w:sz w:val="16"/>
                <w:szCs w:val="16"/>
              </w:rPr>
            </w:pPr>
            <w:r w:rsidRPr="00873B6C">
              <w:rPr>
                <w:sz w:val="16"/>
                <w:szCs w:val="16"/>
              </w:rPr>
              <w:t>18.3.0</w:t>
            </w:r>
          </w:p>
        </w:tc>
      </w:tr>
      <w:tr w:rsidR="00A2272A" w:rsidRPr="00873B6C" w14:paraId="005A7EA6" w14:textId="77777777" w:rsidTr="009D14FB">
        <w:tc>
          <w:tcPr>
            <w:tcW w:w="800" w:type="dxa"/>
            <w:shd w:val="solid" w:color="FFFFFF" w:fill="auto"/>
          </w:tcPr>
          <w:p w14:paraId="080D1D20" w14:textId="2AB943D4"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7A2304E0" w14:textId="206BE539"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2C7F04AE" w14:textId="25B5AF45" w:rsidR="00A2272A" w:rsidRPr="00873B6C" w:rsidRDefault="00A2272A" w:rsidP="004A0323">
            <w:pPr>
              <w:pStyle w:val="TAC"/>
              <w:rPr>
                <w:sz w:val="16"/>
                <w:szCs w:val="16"/>
              </w:rPr>
            </w:pPr>
            <w:r w:rsidRPr="00873B6C">
              <w:rPr>
                <w:sz w:val="16"/>
                <w:szCs w:val="16"/>
              </w:rPr>
              <w:t>SP-230856</w:t>
            </w:r>
          </w:p>
        </w:tc>
        <w:tc>
          <w:tcPr>
            <w:tcW w:w="567" w:type="dxa"/>
            <w:shd w:val="solid" w:color="FFFFFF" w:fill="auto"/>
          </w:tcPr>
          <w:p w14:paraId="1FE35211" w14:textId="66458F53" w:rsidR="00A2272A" w:rsidRPr="00873B6C" w:rsidRDefault="00A2272A" w:rsidP="004A0323">
            <w:pPr>
              <w:pStyle w:val="TAL"/>
              <w:rPr>
                <w:sz w:val="16"/>
                <w:szCs w:val="16"/>
              </w:rPr>
            </w:pPr>
            <w:r w:rsidRPr="00873B6C">
              <w:rPr>
                <w:sz w:val="16"/>
                <w:szCs w:val="16"/>
              </w:rPr>
              <w:t>4836</w:t>
            </w:r>
          </w:p>
        </w:tc>
        <w:tc>
          <w:tcPr>
            <w:tcW w:w="425" w:type="dxa"/>
            <w:shd w:val="solid" w:color="FFFFFF" w:fill="auto"/>
          </w:tcPr>
          <w:p w14:paraId="6ED01B42" w14:textId="15985845" w:rsidR="00A2272A" w:rsidRPr="00873B6C" w:rsidRDefault="00A2272A" w:rsidP="004A0323">
            <w:pPr>
              <w:pStyle w:val="TAL"/>
              <w:rPr>
                <w:sz w:val="16"/>
                <w:szCs w:val="16"/>
              </w:rPr>
            </w:pPr>
            <w:r w:rsidRPr="00873B6C">
              <w:rPr>
                <w:sz w:val="16"/>
                <w:szCs w:val="16"/>
              </w:rPr>
              <w:t>-</w:t>
            </w:r>
          </w:p>
        </w:tc>
        <w:tc>
          <w:tcPr>
            <w:tcW w:w="425" w:type="dxa"/>
            <w:shd w:val="solid" w:color="FFFFFF" w:fill="auto"/>
          </w:tcPr>
          <w:p w14:paraId="40B29EF3" w14:textId="107EFEE0"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1F88A061" w14:textId="73048681" w:rsidR="00A2272A" w:rsidRPr="00873B6C" w:rsidRDefault="00A2272A" w:rsidP="004A0323">
            <w:pPr>
              <w:pStyle w:val="TAL"/>
              <w:rPr>
                <w:sz w:val="16"/>
                <w:szCs w:val="16"/>
              </w:rPr>
            </w:pPr>
            <w:r w:rsidRPr="00873B6C">
              <w:rPr>
                <w:sz w:val="16"/>
                <w:szCs w:val="16"/>
              </w:rPr>
              <w:t>Adjust AoI</w:t>
            </w:r>
          </w:p>
        </w:tc>
        <w:tc>
          <w:tcPr>
            <w:tcW w:w="708" w:type="dxa"/>
            <w:shd w:val="solid" w:color="FFFFFF" w:fill="auto"/>
          </w:tcPr>
          <w:p w14:paraId="577D6362" w14:textId="0FA8E65F" w:rsidR="00A2272A" w:rsidRPr="00873B6C" w:rsidRDefault="00A2272A" w:rsidP="004A0323">
            <w:pPr>
              <w:pStyle w:val="TAC"/>
              <w:rPr>
                <w:sz w:val="16"/>
                <w:szCs w:val="16"/>
              </w:rPr>
            </w:pPr>
            <w:r w:rsidRPr="00873B6C">
              <w:rPr>
                <w:sz w:val="16"/>
                <w:szCs w:val="16"/>
              </w:rPr>
              <w:t>18.3.0</w:t>
            </w:r>
          </w:p>
        </w:tc>
      </w:tr>
      <w:tr w:rsidR="00A2272A" w:rsidRPr="00873B6C" w14:paraId="5D48733E" w14:textId="77777777" w:rsidTr="009D14FB">
        <w:tc>
          <w:tcPr>
            <w:tcW w:w="800" w:type="dxa"/>
            <w:shd w:val="solid" w:color="FFFFFF" w:fill="auto"/>
          </w:tcPr>
          <w:p w14:paraId="7F5D7411" w14:textId="3F7A01FE"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3F3AAB6F" w14:textId="46AB5067"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48CF9385" w14:textId="62523789" w:rsidR="00A2272A" w:rsidRPr="00873B6C" w:rsidRDefault="00A2272A" w:rsidP="004A0323">
            <w:pPr>
              <w:pStyle w:val="TAC"/>
              <w:rPr>
                <w:sz w:val="16"/>
                <w:szCs w:val="16"/>
              </w:rPr>
            </w:pPr>
            <w:r w:rsidRPr="00873B6C">
              <w:rPr>
                <w:sz w:val="16"/>
                <w:szCs w:val="16"/>
              </w:rPr>
              <w:t>SP-230850</w:t>
            </w:r>
          </w:p>
        </w:tc>
        <w:tc>
          <w:tcPr>
            <w:tcW w:w="567" w:type="dxa"/>
            <w:shd w:val="solid" w:color="FFFFFF" w:fill="auto"/>
          </w:tcPr>
          <w:p w14:paraId="5E5B391F" w14:textId="3538652C" w:rsidR="00A2272A" w:rsidRPr="00873B6C" w:rsidRDefault="00A2272A" w:rsidP="004A0323">
            <w:pPr>
              <w:pStyle w:val="TAL"/>
              <w:rPr>
                <w:sz w:val="16"/>
                <w:szCs w:val="16"/>
              </w:rPr>
            </w:pPr>
            <w:r w:rsidRPr="00873B6C">
              <w:rPr>
                <w:sz w:val="16"/>
                <w:szCs w:val="16"/>
              </w:rPr>
              <w:t>4839</w:t>
            </w:r>
          </w:p>
        </w:tc>
        <w:tc>
          <w:tcPr>
            <w:tcW w:w="425" w:type="dxa"/>
            <w:shd w:val="solid" w:color="FFFFFF" w:fill="auto"/>
          </w:tcPr>
          <w:p w14:paraId="6CAB3200" w14:textId="4F8E1616" w:rsidR="00A2272A" w:rsidRPr="00873B6C" w:rsidRDefault="00A2272A" w:rsidP="004A0323">
            <w:pPr>
              <w:pStyle w:val="TAL"/>
              <w:rPr>
                <w:sz w:val="16"/>
                <w:szCs w:val="16"/>
              </w:rPr>
            </w:pPr>
            <w:r w:rsidRPr="00873B6C">
              <w:rPr>
                <w:sz w:val="16"/>
                <w:szCs w:val="16"/>
              </w:rPr>
              <w:t>2</w:t>
            </w:r>
          </w:p>
        </w:tc>
        <w:tc>
          <w:tcPr>
            <w:tcW w:w="425" w:type="dxa"/>
            <w:shd w:val="solid" w:color="FFFFFF" w:fill="auto"/>
          </w:tcPr>
          <w:p w14:paraId="7EAA1EBC" w14:textId="18F22050"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5F6A127F" w14:textId="1BCE5A22" w:rsidR="00A2272A" w:rsidRPr="00873B6C" w:rsidRDefault="00A2272A" w:rsidP="004A0323">
            <w:pPr>
              <w:pStyle w:val="TAL"/>
              <w:rPr>
                <w:sz w:val="16"/>
                <w:szCs w:val="16"/>
              </w:rPr>
            </w:pPr>
            <w:r w:rsidRPr="00873B6C">
              <w:rPr>
                <w:sz w:val="16"/>
                <w:szCs w:val="16"/>
              </w:rPr>
              <w:t>Clarifications on NSAC for maximum number of UEs with at least one PDU SessionPDN Connection</w:t>
            </w:r>
          </w:p>
        </w:tc>
        <w:tc>
          <w:tcPr>
            <w:tcW w:w="708" w:type="dxa"/>
            <w:shd w:val="solid" w:color="FFFFFF" w:fill="auto"/>
          </w:tcPr>
          <w:p w14:paraId="03548A40" w14:textId="56647F40" w:rsidR="00A2272A" w:rsidRPr="00873B6C" w:rsidRDefault="00A2272A" w:rsidP="004A0323">
            <w:pPr>
              <w:pStyle w:val="TAC"/>
              <w:rPr>
                <w:sz w:val="16"/>
                <w:szCs w:val="16"/>
              </w:rPr>
            </w:pPr>
            <w:r w:rsidRPr="00873B6C">
              <w:rPr>
                <w:sz w:val="16"/>
                <w:szCs w:val="16"/>
              </w:rPr>
              <w:t>18.3.0</w:t>
            </w:r>
          </w:p>
        </w:tc>
      </w:tr>
      <w:tr w:rsidR="00A2272A" w:rsidRPr="00873B6C" w14:paraId="0D989A38" w14:textId="77777777" w:rsidTr="009D14FB">
        <w:tc>
          <w:tcPr>
            <w:tcW w:w="800" w:type="dxa"/>
            <w:shd w:val="solid" w:color="FFFFFF" w:fill="auto"/>
          </w:tcPr>
          <w:p w14:paraId="335CF040" w14:textId="32610AF2"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0F799F38" w14:textId="4FEDB886"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47DDE443" w14:textId="54193065" w:rsidR="00A2272A" w:rsidRPr="00873B6C" w:rsidRDefault="00A2272A" w:rsidP="004A0323">
            <w:pPr>
              <w:pStyle w:val="TAC"/>
              <w:rPr>
                <w:sz w:val="16"/>
                <w:szCs w:val="16"/>
              </w:rPr>
            </w:pPr>
            <w:r w:rsidRPr="00873B6C">
              <w:rPr>
                <w:sz w:val="16"/>
                <w:szCs w:val="16"/>
              </w:rPr>
              <w:t>SP-230858</w:t>
            </w:r>
          </w:p>
        </w:tc>
        <w:tc>
          <w:tcPr>
            <w:tcW w:w="567" w:type="dxa"/>
            <w:shd w:val="solid" w:color="FFFFFF" w:fill="auto"/>
          </w:tcPr>
          <w:p w14:paraId="268AABAB" w14:textId="6DCCBD43" w:rsidR="00A2272A" w:rsidRPr="00873B6C" w:rsidRDefault="00A2272A" w:rsidP="004A0323">
            <w:pPr>
              <w:pStyle w:val="TAL"/>
              <w:rPr>
                <w:sz w:val="16"/>
                <w:szCs w:val="16"/>
              </w:rPr>
            </w:pPr>
            <w:r w:rsidRPr="00873B6C">
              <w:rPr>
                <w:sz w:val="16"/>
                <w:szCs w:val="16"/>
              </w:rPr>
              <w:t>4844</w:t>
            </w:r>
          </w:p>
        </w:tc>
        <w:tc>
          <w:tcPr>
            <w:tcW w:w="425" w:type="dxa"/>
            <w:shd w:val="solid" w:color="FFFFFF" w:fill="auto"/>
          </w:tcPr>
          <w:p w14:paraId="30E883FB" w14:textId="6285ADEC" w:rsidR="00A2272A" w:rsidRPr="00873B6C" w:rsidRDefault="00A2272A" w:rsidP="004A0323">
            <w:pPr>
              <w:pStyle w:val="TAL"/>
              <w:rPr>
                <w:sz w:val="16"/>
                <w:szCs w:val="16"/>
              </w:rPr>
            </w:pPr>
            <w:r w:rsidRPr="00873B6C">
              <w:rPr>
                <w:sz w:val="16"/>
                <w:szCs w:val="16"/>
              </w:rPr>
              <w:t>3</w:t>
            </w:r>
          </w:p>
        </w:tc>
        <w:tc>
          <w:tcPr>
            <w:tcW w:w="425" w:type="dxa"/>
            <w:shd w:val="solid" w:color="FFFFFF" w:fill="auto"/>
          </w:tcPr>
          <w:p w14:paraId="631C0B40" w14:textId="3D6E16DE"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45E872A3" w14:textId="43701E36" w:rsidR="00A2272A" w:rsidRPr="00873B6C" w:rsidRDefault="00A2272A" w:rsidP="004A0323">
            <w:pPr>
              <w:pStyle w:val="TAL"/>
              <w:rPr>
                <w:sz w:val="16"/>
                <w:szCs w:val="16"/>
              </w:rPr>
            </w:pPr>
            <w:r w:rsidRPr="00873B6C">
              <w:rPr>
                <w:sz w:val="16"/>
                <w:szCs w:val="16"/>
              </w:rPr>
              <w:t>Corrections on Protocol Description</w:t>
            </w:r>
          </w:p>
        </w:tc>
        <w:tc>
          <w:tcPr>
            <w:tcW w:w="708" w:type="dxa"/>
            <w:shd w:val="solid" w:color="FFFFFF" w:fill="auto"/>
          </w:tcPr>
          <w:p w14:paraId="0182AFA2" w14:textId="3F43D61C" w:rsidR="00A2272A" w:rsidRPr="00873B6C" w:rsidRDefault="00A2272A" w:rsidP="004A0323">
            <w:pPr>
              <w:pStyle w:val="TAC"/>
              <w:rPr>
                <w:sz w:val="16"/>
                <w:szCs w:val="16"/>
              </w:rPr>
            </w:pPr>
            <w:r w:rsidRPr="00873B6C">
              <w:rPr>
                <w:sz w:val="16"/>
                <w:szCs w:val="16"/>
              </w:rPr>
              <w:t>18.3.0</w:t>
            </w:r>
          </w:p>
        </w:tc>
      </w:tr>
      <w:tr w:rsidR="00A2272A" w:rsidRPr="00873B6C" w14:paraId="321572CF" w14:textId="77777777" w:rsidTr="009D14FB">
        <w:tc>
          <w:tcPr>
            <w:tcW w:w="800" w:type="dxa"/>
            <w:shd w:val="solid" w:color="FFFFFF" w:fill="auto"/>
          </w:tcPr>
          <w:p w14:paraId="7FA3BF91" w14:textId="7BE23973"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47F91410" w14:textId="30C2F135"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3983835A" w14:textId="3D10ADCF" w:rsidR="00A2272A" w:rsidRPr="00873B6C" w:rsidRDefault="00A2272A" w:rsidP="004A0323">
            <w:pPr>
              <w:pStyle w:val="TAC"/>
              <w:rPr>
                <w:sz w:val="16"/>
                <w:szCs w:val="16"/>
              </w:rPr>
            </w:pPr>
            <w:r w:rsidRPr="00873B6C">
              <w:rPr>
                <w:sz w:val="16"/>
                <w:szCs w:val="16"/>
              </w:rPr>
              <w:t>SP-230859</w:t>
            </w:r>
          </w:p>
        </w:tc>
        <w:tc>
          <w:tcPr>
            <w:tcW w:w="567" w:type="dxa"/>
            <w:shd w:val="solid" w:color="FFFFFF" w:fill="auto"/>
          </w:tcPr>
          <w:p w14:paraId="0552EFDC" w14:textId="41AC3E9E" w:rsidR="00A2272A" w:rsidRPr="00873B6C" w:rsidRDefault="00A2272A" w:rsidP="004A0323">
            <w:pPr>
              <w:pStyle w:val="TAL"/>
              <w:rPr>
                <w:sz w:val="16"/>
                <w:szCs w:val="16"/>
              </w:rPr>
            </w:pPr>
            <w:r w:rsidRPr="00873B6C">
              <w:rPr>
                <w:sz w:val="16"/>
                <w:szCs w:val="16"/>
              </w:rPr>
              <w:t>4848</w:t>
            </w:r>
          </w:p>
        </w:tc>
        <w:tc>
          <w:tcPr>
            <w:tcW w:w="425" w:type="dxa"/>
            <w:shd w:val="solid" w:color="FFFFFF" w:fill="auto"/>
          </w:tcPr>
          <w:p w14:paraId="59C88E6E" w14:textId="07EB0E5D" w:rsidR="00A2272A" w:rsidRPr="00873B6C" w:rsidRDefault="00A2272A" w:rsidP="004A0323">
            <w:pPr>
              <w:pStyle w:val="TAL"/>
              <w:rPr>
                <w:sz w:val="16"/>
                <w:szCs w:val="16"/>
              </w:rPr>
            </w:pPr>
            <w:r w:rsidRPr="00873B6C">
              <w:rPr>
                <w:sz w:val="16"/>
                <w:szCs w:val="16"/>
              </w:rPr>
              <w:t>1</w:t>
            </w:r>
          </w:p>
        </w:tc>
        <w:tc>
          <w:tcPr>
            <w:tcW w:w="425" w:type="dxa"/>
            <w:shd w:val="solid" w:color="FFFFFF" w:fill="auto"/>
          </w:tcPr>
          <w:p w14:paraId="7E0D050C" w14:textId="5F92CCE4"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54879D90" w14:textId="1DCB2F21" w:rsidR="00A2272A" w:rsidRPr="00873B6C" w:rsidRDefault="00A2272A" w:rsidP="004A0323">
            <w:pPr>
              <w:pStyle w:val="TAL"/>
              <w:rPr>
                <w:sz w:val="16"/>
                <w:szCs w:val="16"/>
              </w:rPr>
            </w:pPr>
            <w:r w:rsidRPr="00873B6C">
              <w:rPr>
                <w:sz w:val="16"/>
                <w:szCs w:val="16"/>
              </w:rPr>
              <w:t>UE Mobility Reference</w:t>
            </w:r>
          </w:p>
        </w:tc>
        <w:tc>
          <w:tcPr>
            <w:tcW w:w="708" w:type="dxa"/>
            <w:shd w:val="solid" w:color="FFFFFF" w:fill="auto"/>
          </w:tcPr>
          <w:p w14:paraId="71B46F0E" w14:textId="16DBD8D6" w:rsidR="00A2272A" w:rsidRPr="00873B6C" w:rsidRDefault="00A2272A" w:rsidP="004A0323">
            <w:pPr>
              <w:pStyle w:val="TAC"/>
              <w:rPr>
                <w:sz w:val="16"/>
                <w:szCs w:val="16"/>
              </w:rPr>
            </w:pPr>
            <w:r w:rsidRPr="00873B6C">
              <w:rPr>
                <w:sz w:val="16"/>
                <w:szCs w:val="16"/>
              </w:rPr>
              <w:t>18.3.0</w:t>
            </w:r>
          </w:p>
        </w:tc>
      </w:tr>
      <w:tr w:rsidR="00A2272A" w:rsidRPr="00873B6C" w14:paraId="4977EDF3" w14:textId="77777777" w:rsidTr="009D14FB">
        <w:tc>
          <w:tcPr>
            <w:tcW w:w="800" w:type="dxa"/>
            <w:shd w:val="solid" w:color="FFFFFF" w:fill="auto"/>
          </w:tcPr>
          <w:p w14:paraId="578DF62E" w14:textId="18F05E78"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7C2A3725" w14:textId="5864D73E"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7A9290FB" w14:textId="4CDE5EC3" w:rsidR="00A2272A" w:rsidRPr="00873B6C" w:rsidRDefault="00A2272A" w:rsidP="004A0323">
            <w:pPr>
              <w:pStyle w:val="TAC"/>
              <w:rPr>
                <w:sz w:val="16"/>
                <w:szCs w:val="16"/>
              </w:rPr>
            </w:pPr>
            <w:r w:rsidRPr="00873B6C">
              <w:rPr>
                <w:sz w:val="16"/>
                <w:szCs w:val="16"/>
              </w:rPr>
              <w:t>SP-230846</w:t>
            </w:r>
          </w:p>
        </w:tc>
        <w:tc>
          <w:tcPr>
            <w:tcW w:w="567" w:type="dxa"/>
            <w:shd w:val="solid" w:color="FFFFFF" w:fill="auto"/>
          </w:tcPr>
          <w:p w14:paraId="63D0E7D7" w14:textId="2FA24176" w:rsidR="00A2272A" w:rsidRPr="00873B6C" w:rsidRDefault="00A2272A" w:rsidP="004A0323">
            <w:pPr>
              <w:pStyle w:val="TAL"/>
              <w:rPr>
                <w:sz w:val="16"/>
                <w:szCs w:val="16"/>
              </w:rPr>
            </w:pPr>
            <w:r w:rsidRPr="00873B6C">
              <w:rPr>
                <w:sz w:val="16"/>
                <w:szCs w:val="16"/>
              </w:rPr>
              <w:t>4849</w:t>
            </w:r>
          </w:p>
        </w:tc>
        <w:tc>
          <w:tcPr>
            <w:tcW w:w="425" w:type="dxa"/>
            <w:shd w:val="solid" w:color="FFFFFF" w:fill="auto"/>
          </w:tcPr>
          <w:p w14:paraId="605B0A48" w14:textId="7EB620D5" w:rsidR="00A2272A" w:rsidRPr="00873B6C" w:rsidRDefault="00A2272A" w:rsidP="004A0323">
            <w:pPr>
              <w:pStyle w:val="TAL"/>
              <w:rPr>
                <w:sz w:val="16"/>
                <w:szCs w:val="16"/>
              </w:rPr>
            </w:pPr>
            <w:r w:rsidRPr="00873B6C">
              <w:rPr>
                <w:sz w:val="16"/>
                <w:szCs w:val="16"/>
              </w:rPr>
              <w:t xml:space="preserve">1 </w:t>
            </w:r>
          </w:p>
        </w:tc>
        <w:tc>
          <w:tcPr>
            <w:tcW w:w="425" w:type="dxa"/>
            <w:shd w:val="solid" w:color="FFFFFF" w:fill="auto"/>
          </w:tcPr>
          <w:p w14:paraId="1FA64A91" w14:textId="2C168AD5"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4987716B" w14:textId="77D8E62A" w:rsidR="00A2272A" w:rsidRPr="00873B6C" w:rsidRDefault="00A2272A" w:rsidP="004A0323">
            <w:pPr>
              <w:pStyle w:val="TAL"/>
              <w:rPr>
                <w:sz w:val="16"/>
                <w:szCs w:val="16"/>
              </w:rPr>
            </w:pPr>
            <w:r w:rsidRPr="00873B6C">
              <w:rPr>
                <w:sz w:val="16"/>
                <w:szCs w:val="16"/>
              </w:rPr>
              <w:t>Selection of Common DNAI</w:t>
            </w:r>
          </w:p>
        </w:tc>
        <w:tc>
          <w:tcPr>
            <w:tcW w:w="708" w:type="dxa"/>
            <w:shd w:val="solid" w:color="FFFFFF" w:fill="auto"/>
          </w:tcPr>
          <w:p w14:paraId="6C17006B" w14:textId="5702E2D3" w:rsidR="00A2272A" w:rsidRPr="00873B6C" w:rsidRDefault="00A2272A" w:rsidP="004A0323">
            <w:pPr>
              <w:pStyle w:val="TAC"/>
              <w:rPr>
                <w:sz w:val="16"/>
                <w:szCs w:val="16"/>
              </w:rPr>
            </w:pPr>
            <w:r w:rsidRPr="00873B6C">
              <w:rPr>
                <w:sz w:val="16"/>
                <w:szCs w:val="16"/>
              </w:rPr>
              <w:t>18.3.0</w:t>
            </w:r>
          </w:p>
        </w:tc>
      </w:tr>
      <w:tr w:rsidR="00A2272A" w:rsidRPr="00873B6C" w14:paraId="722FB1F7" w14:textId="77777777" w:rsidTr="009D14FB">
        <w:tc>
          <w:tcPr>
            <w:tcW w:w="800" w:type="dxa"/>
            <w:shd w:val="solid" w:color="FFFFFF" w:fill="auto"/>
          </w:tcPr>
          <w:p w14:paraId="72CE2ACC" w14:textId="2ACB3F07"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6A4CCE9D" w14:textId="523DB167"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1F9F5CA4" w14:textId="70BEB386" w:rsidR="00A2272A" w:rsidRPr="00873B6C" w:rsidRDefault="00A2272A" w:rsidP="004A0323">
            <w:pPr>
              <w:pStyle w:val="TAC"/>
              <w:rPr>
                <w:sz w:val="16"/>
                <w:szCs w:val="16"/>
              </w:rPr>
            </w:pPr>
            <w:r w:rsidRPr="00873B6C">
              <w:rPr>
                <w:sz w:val="16"/>
                <w:szCs w:val="16"/>
              </w:rPr>
              <w:t>SP-230835</w:t>
            </w:r>
          </w:p>
        </w:tc>
        <w:tc>
          <w:tcPr>
            <w:tcW w:w="567" w:type="dxa"/>
            <w:shd w:val="solid" w:color="FFFFFF" w:fill="auto"/>
          </w:tcPr>
          <w:p w14:paraId="3FB1BFDE" w14:textId="23CBAFA9" w:rsidR="00A2272A" w:rsidRPr="00873B6C" w:rsidRDefault="00A2272A" w:rsidP="004A0323">
            <w:pPr>
              <w:pStyle w:val="TAL"/>
              <w:rPr>
                <w:sz w:val="16"/>
                <w:szCs w:val="16"/>
              </w:rPr>
            </w:pPr>
            <w:r w:rsidRPr="00873B6C">
              <w:rPr>
                <w:sz w:val="16"/>
                <w:szCs w:val="16"/>
              </w:rPr>
              <w:t>4852</w:t>
            </w:r>
          </w:p>
        </w:tc>
        <w:tc>
          <w:tcPr>
            <w:tcW w:w="425" w:type="dxa"/>
            <w:shd w:val="solid" w:color="FFFFFF" w:fill="auto"/>
          </w:tcPr>
          <w:p w14:paraId="211A7BA5" w14:textId="581EA7CE" w:rsidR="00A2272A" w:rsidRPr="00873B6C" w:rsidRDefault="00A2272A" w:rsidP="004A0323">
            <w:pPr>
              <w:pStyle w:val="TAL"/>
              <w:rPr>
                <w:sz w:val="16"/>
                <w:szCs w:val="16"/>
              </w:rPr>
            </w:pPr>
            <w:r w:rsidRPr="00873B6C">
              <w:rPr>
                <w:sz w:val="16"/>
                <w:szCs w:val="16"/>
              </w:rPr>
              <w:t>1</w:t>
            </w:r>
          </w:p>
        </w:tc>
        <w:tc>
          <w:tcPr>
            <w:tcW w:w="425" w:type="dxa"/>
            <w:shd w:val="solid" w:color="FFFFFF" w:fill="auto"/>
          </w:tcPr>
          <w:p w14:paraId="1006342C" w14:textId="2B1879A1" w:rsidR="00A2272A" w:rsidRPr="00873B6C" w:rsidRDefault="00A2272A" w:rsidP="004A0323">
            <w:pPr>
              <w:pStyle w:val="TAL"/>
              <w:rPr>
                <w:sz w:val="16"/>
                <w:szCs w:val="16"/>
              </w:rPr>
            </w:pPr>
            <w:r w:rsidRPr="00873B6C">
              <w:rPr>
                <w:sz w:val="16"/>
                <w:szCs w:val="16"/>
              </w:rPr>
              <w:t>A</w:t>
            </w:r>
          </w:p>
        </w:tc>
        <w:tc>
          <w:tcPr>
            <w:tcW w:w="4820" w:type="dxa"/>
            <w:shd w:val="solid" w:color="FFFFFF" w:fill="auto"/>
          </w:tcPr>
          <w:p w14:paraId="590C3D8C" w14:textId="64FEEFA0" w:rsidR="00A2272A" w:rsidRPr="00873B6C" w:rsidRDefault="00A2272A" w:rsidP="004A0323">
            <w:pPr>
              <w:pStyle w:val="TAL"/>
              <w:rPr>
                <w:sz w:val="16"/>
                <w:szCs w:val="16"/>
              </w:rPr>
            </w:pPr>
            <w:r w:rsidRPr="00873B6C">
              <w:rPr>
                <w:sz w:val="16"/>
                <w:szCs w:val="16"/>
              </w:rPr>
              <w:t>Clarification on eDRX support for power saving enhancement</w:t>
            </w:r>
          </w:p>
        </w:tc>
        <w:tc>
          <w:tcPr>
            <w:tcW w:w="708" w:type="dxa"/>
            <w:shd w:val="solid" w:color="FFFFFF" w:fill="auto"/>
          </w:tcPr>
          <w:p w14:paraId="45A1FB3A" w14:textId="233BBAAC" w:rsidR="00A2272A" w:rsidRPr="00873B6C" w:rsidRDefault="00A2272A" w:rsidP="004A0323">
            <w:pPr>
              <w:pStyle w:val="TAC"/>
              <w:rPr>
                <w:sz w:val="16"/>
                <w:szCs w:val="16"/>
              </w:rPr>
            </w:pPr>
            <w:r w:rsidRPr="00873B6C">
              <w:rPr>
                <w:sz w:val="16"/>
                <w:szCs w:val="16"/>
              </w:rPr>
              <w:t>18.3.0</w:t>
            </w:r>
          </w:p>
        </w:tc>
      </w:tr>
      <w:tr w:rsidR="00F36287" w:rsidRPr="00873B6C" w14:paraId="3ECD1405" w14:textId="77777777" w:rsidTr="009D14FB">
        <w:tc>
          <w:tcPr>
            <w:tcW w:w="800" w:type="dxa"/>
            <w:shd w:val="solid" w:color="FFFFFF" w:fill="auto"/>
          </w:tcPr>
          <w:p w14:paraId="471A1370" w14:textId="5C85E60C" w:rsidR="00F36287" w:rsidRPr="00873B6C" w:rsidRDefault="00F36287" w:rsidP="004A0323">
            <w:pPr>
              <w:pStyle w:val="TAC"/>
              <w:rPr>
                <w:sz w:val="16"/>
                <w:szCs w:val="16"/>
              </w:rPr>
            </w:pPr>
            <w:r w:rsidRPr="00873B6C">
              <w:rPr>
                <w:sz w:val="16"/>
                <w:szCs w:val="16"/>
              </w:rPr>
              <w:t>2023-09</w:t>
            </w:r>
          </w:p>
        </w:tc>
        <w:tc>
          <w:tcPr>
            <w:tcW w:w="800" w:type="dxa"/>
            <w:shd w:val="solid" w:color="FFFFFF" w:fill="auto"/>
          </w:tcPr>
          <w:p w14:paraId="4E688ED9" w14:textId="17D73939" w:rsidR="00F36287" w:rsidRPr="00873B6C" w:rsidRDefault="00F36287" w:rsidP="004A0323">
            <w:pPr>
              <w:pStyle w:val="TAL"/>
              <w:rPr>
                <w:sz w:val="16"/>
                <w:szCs w:val="16"/>
              </w:rPr>
            </w:pPr>
            <w:r w:rsidRPr="00873B6C">
              <w:rPr>
                <w:sz w:val="16"/>
                <w:szCs w:val="16"/>
              </w:rPr>
              <w:t>SP#101</w:t>
            </w:r>
          </w:p>
        </w:tc>
        <w:tc>
          <w:tcPr>
            <w:tcW w:w="1094" w:type="dxa"/>
            <w:shd w:val="solid" w:color="FFFFFF" w:fill="auto"/>
          </w:tcPr>
          <w:p w14:paraId="1C3CE889" w14:textId="3C4606A3" w:rsidR="00F36287" w:rsidRPr="00873B6C" w:rsidRDefault="00F36287" w:rsidP="004A0323">
            <w:pPr>
              <w:pStyle w:val="TAC"/>
              <w:rPr>
                <w:sz w:val="16"/>
                <w:szCs w:val="16"/>
              </w:rPr>
            </w:pPr>
            <w:r w:rsidRPr="00873B6C">
              <w:rPr>
                <w:sz w:val="16"/>
                <w:szCs w:val="16"/>
              </w:rPr>
              <w:t>SP-230841</w:t>
            </w:r>
          </w:p>
        </w:tc>
        <w:tc>
          <w:tcPr>
            <w:tcW w:w="567" w:type="dxa"/>
            <w:shd w:val="solid" w:color="FFFFFF" w:fill="auto"/>
          </w:tcPr>
          <w:p w14:paraId="67B1911B" w14:textId="36BAF189" w:rsidR="00F36287" w:rsidRPr="00873B6C" w:rsidRDefault="00F36287" w:rsidP="004A0323">
            <w:pPr>
              <w:pStyle w:val="TAL"/>
              <w:rPr>
                <w:sz w:val="16"/>
                <w:szCs w:val="16"/>
              </w:rPr>
            </w:pPr>
            <w:r w:rsidRPr="00873B6C">
              <w:rPr>
                <w:sz w:val="16"/>
                <w:szCs w:val="16"/>
              </w:rPr>
              <w:t>4854</w:t>
            </w:r>
          </w:p>
        </w:tc>
        <w:tc>
          <w:tcPr>
            <w:tcW w:w="425" w:type="dxa"/>
            <w:shd w:val="solid" w:color="FFFFFF" w:fill="auto"/>
          </w:tcPr>
          <w:p w14:paraId="2218A1A3" w14:textId="3CD0E697" w:rsidR="00F36287" w:rsidRPr="00873B6C" w:rsidRDefault="00F36287" w:rsidP="004A0323">
            <w:pPr>
              <w:pStyle w:val="TAL"/>
              <w:rPr>
                <w:sz w:val="16"/>
                <w:szCs w:val="16"/>
              </w:rPr>
            </w:pPr>
            <w:r w:rsidRPr="00873B6C">
              <w:rPr>
                <w:sz w:val="16"/>
                <w:szCs w:val="16"/>
              </w:rPr>
              <w:t>4</w:t>
            </w:r>
          </w:p>
        </w:tc>
        <w:tc>
          <w:tcPr>
            <w:tcW w:w="425" w:type="dxa"/>
            <w:shd w:val="solid" w:color="FFFFFF" w:fill="auto"/>
          </w:tcPr>
          <w:p w14:paraId="25FDA21D" w14:textId="352B162F" w:rsidR="00F36287" w:rsidRPr="00873B6C" w:rsidRDefault="00F36287" w:rsidP="004A0323">
            <w:pPr>
              <w:pStyle w:val="TAL"/>
              <w:rPr>
                <w:sz w:val="16"/>
                <w:szCs w:val="16"/>
              </w:rPr>
            </w:pPr>
            <w:r w:rsidRPr="00873B6C">
              <w:rPr>
                <w:sz w:val="16"/>
                <w:szCs w:val="16"/>
              </w:rPr>
              <w:t>F</w:t>
            </w:r>
          </w:p>
        </w:tc>
        <w:tc>
          <w:tcPr>
            <w:tcW w:w="4820" w:type="dxa"/>
            <w:shd w:val="solid" w:color="FFFFFF" w:fill="auto"/>
          </w:tcPr>
          <w:p w14:paraId="0E40F959" w14:textId="50FECF0E" w:rsidR="00F36287" w:rsidRPr="00873B6C" w:rsidRDefault="00F36287" w:rsidP="004A0323">
            <w:pPr>
              <w:pStyle w:val="TAL"/>
              <w:rPr>
                <w:sz w:val="16"/>
                <w:szCs w:val="16"/>
              </w:rPr>
            </w:pPr>
            <w:r w:rsidRPr="00873B6C">
              <w:rPr>
                <w:sz w:val="16"/>
                <w:szCs w:val="16"/>
              </w:rPr>
              <w:t>Clarify on Discontinuous Coverage Support negotiation</w:t>
            </w:r>
          </w:p>
        </w:tc>
        <w:tc>
          <w:tcPr>
            <w:tcW w:w="708" w:type="dxa"/>
            <w:shd w:val="solid" w:color="FFFFFF" w:fill="auto"/>
          </w:tcPr>
          <w:p w14:paraId="6DAA7165" w14:textId="5A5A3EF3" w:rsidR="00F36287" w:rsidRPr="00873B6C" w:rsidRDefault="00F36287" w:rsidP="004A0323">
            <w:pPr>
              <w:pStyle w:val="TAC"/>
              <w:rPr>
                <w:sz w:val="16"/>
                <w:szCs w:val="16"/>
              </w:rPr>
            </w:pPr>
            <w:r w:rsidRPr="00873B6C">
              <w:rPr>
                <w:sz w:val="16"/>
                <w:szCs w:val="16"/>
              </w:rPr>
              <w:t>18.3.0</w:t>
            </w:r>
          </w:p>
        </w:tc>
      </w:tr>
      <w:tr w:rsidR="0029208C" w:rsidRPr="00873B6C" w14:paraId="6B6B5CA6" w14:textId="77777777" w:rsidTr="009D14FB">
        <w:tc>
          <w:tcPr>
            <w:tcW w:w="800" w:type="dxa"/>
            <w:shd w:val="solid" w:color="FFFFFF" w:fill="auto"/>
          </w:tcPr>
          <w:p w14:paraId="28E4B3FB" w14:textId="10CE2C84"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68D976D4" w14:textId="508E801F"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79B08A43" w14:textId="266E5175" w:rsidR="0029208C" w:rsidRPr="00873B6C" w:rsidRDefault="0029208C" w:rsidP="004A0323">
            <w:pPr>
              <w:pStyle w:val="TAC"/>
              <w:rPr>
                <w:sz w:val="16"/>
                <w:szCs w:val="16"/>
              </w:rPr>
            </w:pPr>
            <w:r w:rsidRPr="00873B6C">
              <w:rPr>
                <w:sz w:val="16"/>
                <w:szCs w:val="16"/>
              </w:rPr>
              <w:t>SP-230845</w:t>
            </w:r>
          </w:p>
        </w:tc>
        <w:tc>
          <w:tcPr>
            <w:tcW w:w="567" w:type="dxa"/>
            <w:shd w:val="solid" w:color="FFFFFF" w:fill="auto"/>
          </w:tcPr>
          <w:p w14:paraId="04B53816" w14:textId="05D5F9A3" w:rsidR="0029208C" w:rsidRPr="00873B6C" w:rsidRDefault="0029208C" w:rsidP="004A0323">
            <w:pPr>
              <w:pStyle w:val="TAL"/>
              <w:rPr>
                <w:sz w:val="16"/>
                <w:szCs w:val="16"/>
              </w:rPr>
            </w:pPr>
            <w:r w:rsidRPr="00873B6C">
              <w:rPr>
                <w:sz w:val="16"/>
                <w:szCs w:val="16"/>
              </w:rPr>
              <w:t>4856</w:t>
            </w:r>
          </w:p>
        </w:tc>
        <w:tc>
          <w:tcPr>
            <w:tcW w:w="425" w:type="dxa"/>
            <w:shd w:val="solid" w:color="FFFFFF" w:fill="auto"/>
          </w:tcPr>
          <w:p w14:paraId="37354E54" w14:textId="7CD6838E" w:rsidR="0029208C" w:rsidRPr="00873B6C" w:rsidRDefault="0029208C" w:rsidP="004A0323">
            <w:pPr>
              <w:pStyle w:val="TAL"/>
              <w:rPr>
                <w:sz w:val="16"/>
                <w:szCs w:val="16"/>
              </w:rPr>
            </w:pPr>
            <w:r w:rsidRPr="00873B6C">
              <w:rPr>
                <w:sz w:val="16"/>
                <w:szCs w:val="16"/>
              </w:rPr>
              <w:t>1</w:t>
            </w:r>
          </w:p>
        </w:tc>
        <w:tc>
          <w:tcPr>
            <w:tcW w:w="425" w:type="dxa"/>
            <w:shd w:val="solid" w:color="FFFFFF" w:fill="auto"/>
          </w:tcPr>
          <w:p w14:paraId="130AB80C" w14:textId="4C81D845"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1D435B6F" w14:textId="2C52A84F" w:rsidR="0029208C" w:rsidRPr="00873B6C" w:rsidRDefault="0029208C" w:rsidP="004A0323">
            <w:pPr>
              <w:pStyle w:val="TAL"/>
              <w:rPr>
                <w:sz w:val="16"/>
                <w:szCs w:val="16"/>
              </w:rPr>
            </w:pPr>
            <w:r w:rsidRPr="00873B6C">
              <w:rPr>
                <w:sz w:val="16"/>
                <w:szCs w:val="16"/>
              </w:rPr>
              <w:t>Editorial correction on ATSSS architecture</w:t>
            </w:r>
          </w:p>
        </w:tc>
        <w:tc>
          <w:tcPr>
            <w:tcW w:w="708" w:type="dxa"/>
            <w:shd w:val="solid" w:color="FFFFFF" w:fill="auto"/>
          </w:tcPr>
          <w:p w14:paraId="3C177835" w14:textId="7A0F9EFC" w:rsidR="0029208C" w:rsidRPr="00873B6C" w:rsidRDefault="0029208C" w:rsidP="004A0323">
            <w:pPr>
              <w:pStyle w:val="TAC"/>
              <w:rPr>
                <w:sz w:val="16"/>
                <w:szCs w:val="16"/>
              </w:rPr>
            </w:pPr>
            <w:r w:rsidRPr="00873B6C">
              <w:rPr>
                <w:sz w:val="16"/>
                <w:szCs w:val="16"/>
              </w:rPr>
              <w:t>18.3.0</w:t>
            </w:r>
          </w:p>
        </w:tc>
      </w:tr>
      <w:tr w:rsidR="0029208C" w:rsidRPr="00873B6C" w14:paraId="410EA6F0" w14:textId="77777777" w:rsidTr="009D14FB">
        <w:tc>
          <w:tcPr>
            <w:tcW w:w="800" w:type="dxa"/>
            <w:shd w:val="solid" w:color="FFFFFF" w:fill="auto"/>
          </w:tcPr>
          <w:p w14:paraId="439D2031" w14:textId="6A2718E2"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7DE8D47C" w14:textId="78F27748"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682C8D55" w14:textId="708EAF83" w:rsidR="0029208C" w:rsidRPr="00873B6C" w:rsidRDefault="0029208C" w:rsidP="004A0323">
            <w:pPr>
              <w:pStyle w:val="TAC"/>
              <w:rPr>
                <w:sz w:val="16"/>
                <w:szCs w:val="16"/>
              </w:rPr>
            </w:pPr>
            <w:r w:rsidRPr="00873B6C">
              <w:rPr>
                <w:sz w:val="16"/>
                <w:szCs w:val="16"/>
              </w:rPr>
              <w:t>SP-230849</w:t>
            </w:r>
          </w:p>
        </w:tc>
        <w:tc>
          <w:tcPr>
            <w:tcW w:w="567" w:type="dxa"/>
            <w:shd w:val="solid" w:color="FFFFFF" w:fill="auto"/>
          </w:tcPr>
          <w:p w14:paraId="1036F27D" w14:textId="08D6F58D" w:rsidR="0029208C" w:rsidRPr="00873B6C" w:rsidRDefault="0029208C" w:rsidP="004A0323">
            <w:pPr>
              <w:pStyle w:val="TAL"/>
              <w:rPr>
                <w:sz w:val="16"/>
                <w:szCs w:val="16"/>
              </w:rPr>
            </w:pPr>
            <w:r w:rsidRPr="00873B6C">
              <w:rPr>
                <w:sz w:val="16"/>
                <w:szCs w:val="16"/>
              </w:rPr>
              <w:t>4857</w:t>
            </w:r>
          </w:p>
        </w:tc>
        <w:tc>
          <w:tcPr>
            <w:tcW w:w="425" w:type="dxa"/>
            <w:shd w:val="solid" w:color="FFFFFF" w:fill="auto"/>
          </w:tcPr>
          <w:p w14:paraId="27015B83" w14:textId="3996E762" w:rsidR="0029208C" w:rsidRPr="00873B6C" w:rsidRDefault="0029208C" w:rsidP="004A0323">
            <w:pPr>
              <w:pStyle w:val="TAL"/>
              <w:rPr>
                <w:sz w:val="16"/>
                <w:szCs w:val="16"/>
              </w:rPr>
            </w:pPr>
            <w:r w:rsidRPr="00873B6C">
              <w:rPr>
                <w:sz w:val="16"/>
                <w:szCs w:val="16"/>
              </w:rPr>
              <w:t>4</w:t>
            </w:r>
          </w:p>
        </w:tc>
        <w:tc>
          <w:tcPr>
            <w:tcW w:w="425" w:type="dxa"/>
            <w:shd w:val="solid" w:color="FFFFFF" w:fill="auto"/>
          </w:tcPr>
          <w:p w14:paraId="7A20699B" w14:textId="6D37672D"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48806847" w14:textId="017E1B9E" w:rsidR="0029208C" w:rsidRPr="00873B6C" w:rsidRDefault="0029208C" w:rsidP="004A0323">
            <w:pPr>
              <w:pStyle w:val="TAL"/>
              <w:rPr>
                <w:sz w:val="16"/>
                <w:szCs w:val="16"/>
              </w:rPr>
            </w:pPr>
            <w:r w:rsidRPr="00873B6C">
              <w:rPr>
                <w:sz w:val="16"/>
                <w:szCs w:val="16"/>
              </w:rPr>
              <w:t>Downlink packet handling for UE when outside of slice support area</w:t>
            </w:r>
          </w:p>
        </w:tc>
        <w:tc>
          <w:tcPr>
            <w:tcW w:w="708" w:type="dxa"/>
            <w:shd w:val="solid" w:color="FFFFFF" w:fill="auto"/>
          </w:tcPr>
          <w:p w14:paraId="012D4722" w14:textId="5DF63006" w:rsidR="0029208C" w:rsidRPr="00873B6C" w:rsidRDefault="0029208C" w:rsidP="004A0323">
            <w:pPr>
              <w:pStyle w:val="TAC"/>
              <w:rPr>
                <w:sz w:val="16"/>
                <w:szCs w:val="16"/>
              </w:rPr>
            </w:pPr>
            <w:r w:rsidRPr="00873B6C">
              <w:rPr>
                <w:sz w:val="16"/>
                <w:szCs w:val="16"/>
              </w:rPr>
              <w:t>18.3.0</w:t>
            </w:r>
          </w:p>
        </w:tc>
      </w:tr>
      <w:tr w:rsidR="0029208C" w:rsidRPr="00873B6C" w14:paraId="2A27F3A6" w14:textId="77777777" w:rsidTr="009D14FB">
        <w:tc>
          <w:tcPr>
            <w:tcW w:w="800" w:type="dxa"/>
            <w:shd w:val="solid" w:color="FFFFFF" w:fill="auto"/>
          </w:tcPr>
          <w:p w14:paraId="72ADAC20" w14:textId="59BAE63E"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0BB14D27" w14:textId="721FC88A"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2BE978A8" w14:textId="0E6601F5" w:rsidR="0029208C" w:rsidRPr="00873B6C" w:rsidRDefault="0029208C" w:rsidP="004A0323">
            <w:pPr>
              <w:pStyle w:val="TAC"/>
              <w:rPr>
                <w:sz w:val="16"/>
                <w:szCs w:val="16"/>
              </w:rPr>
            </w:pPr>
            <w:r w:rsidRPr="00873B6C">
              <w:rPr>
                <w:sz w:val="16"/>
                <w:szCs w:val="16"/>
              </w:rPr>
              <w:t>SP-230846</w:t>
            </w:r>
          </w:p>
        </w:tc>
        <w:tc>
          <w:tcPr>
            <w:tcW w:w="567" w:type="dxa"/>
            <w:shd w:val="solid" w:color="FFFFFF" w:fill="auto"/>
          </w:tcPr>
          <w:p w14:paraId="36C6944E" w14:textId="485D452D" w:rsidR="0029208C" w:rsidRPr="00873B6C" w:rsidRDefault="0029208C" w:rsidP="004A0323">
            <w:pPr>
              <w:pStyle w:val="TAL"/>
              <w:rPr>
                <w:sz w:val="16"/>
                <w:szCs w:val="16"/>
              </w:rPr>
            </w:pPr>
            <w:r w:rsidRPr="00873B6C">
              <w:rPr>
                <w:sz w:val="16"/>
                <w:szCs w:val="16"/>
              </w:rPr>
              <w:t>4858</w:t>
            </w:r>
          </w:p>
        </w:tc>
        <w:tc>
          <w:tcPr>
            <w:tcW w:w="425" w:type="dxa"/>
            <w:shd w:val="solid" w:color="FFFFFF" w:fill="auto"/>
          </w:tcPr>
          <w:p w14:paraId="7B3454EA" w14:textId="3D33B0AE" w:rsidR="0029208C" w:rsidRPr="00873B6C" w:rsidRDefault="0029208C" w:rsidP="004A0323">
            <w:pPr>
              <w:pStyle w:val="TAL"/>
              <w:rPr>
                <w:sz w:val="16"/>
                <w:szCs w:val="16"/>
              </w:rPr>
            </w:pPr>
            <w:r w:rsidRPr="00873B6C">
              <w:rPr>
                <w:sz w:val="16"/>
                <w:szCs w:val="16"/>
              </w:rPr>
              <w:t>-</w:t>
            </w:r>
          </w:p>
        </w:tc>
        <w:tc>
          <w:tcPr>
            <w:tcW w:w="425" w:type="dxa"/>
            <w:shd w:val="solid" w:color="FFFFFF" w:fill="auto"/>
          </w:tcPr>
          <w:p w14:paraId="21AA9A62" w14:textId="030DDB2E"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28F1615E" w14:textId="459E30A1" w:rsidR="0029208C" w:rsidRPr="00873B6C" w:rsidRDefault="0029208C" w:rsidP="004A0323">
            <w:pPr>
              <w:pStyle w:val="TAL"/>
              <w:rPr>
                <w:sz w:val="16"/>
                <w:szCs w:val="16"/>
              </w:rPr>
            </w:pPr>
            <w:r w:rsidRPr="00873B6C">
              <w:rPr>
                <w:sz w:val="16"/>
                <w:szCs w:val="16"/>
              </w:rPr>
              <w:t>Update on NEF functionality</w:t>
            </w:r>
          </w:p>
        </w:tc>
        <w:tc>
          <w:tcPr>
            <w:tcW w:w="708" w:type="dxa"/>
            <w:shd w:val="solid" w:color="FFFFFF" w:fill="auto"/>
          </w:tcPr>
          <w:p w14:paraId="4F311CBA" w14:textId="60BC5DD1" w:rsidR="0029208C" w:rsidRPr="00873B6C" w:rsidRDefault="0029208C" w:rsidP="004A0323">
            <w:pPr>
              <w:pStyle w:val="TAC"/>
              <w:rPr>
                <w:sz w:val="16"/>
                <w:szCs w:val="16"/>
              </w:rPr>
            </w:pPr>
            <w:r w:rsidRPr="00873B6C">
              <w:rPr>
                <w:sz w:val="16"/>
                <w:szCs w:val="16"/>
              </w:rPr>
              <w:t>18.3.0</w:t>
            </w:r>
          </w:p>
        </w:tc>
      </w:tr>
      <w:tr w:rsidR="0029208C" w:rsidRPr="00873B6C" w14:paraId="52073AF7" w14:textId="77777777" w:rsidTr="009D14FB">
        <w:tc>
          <w:tcPr>
            <w:tcW w:w="800" w:type="dxa"/>
            <w:shd w:val="solid" w:color="FFFFFF" w:fill="auto"/>
          </w:tcPr>
          <w:p w14:paraId="7E81D794" w14:textId="7A6E09F1"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56383F9A" w14:textId="6A805830"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46ECD415" w14:textId="5FE04E36" w:rsidR="0029208C" w:rsidRPr="00873B6C" w:rsidRDefault="0029208C" w:rsidP="004A0323">
            <w:pPr>
              <w:pStyle w:val="TAC"/>
              <w:rPr>
                <w:sz w:val="16"/>
                <w:szCs w:val="16"/>
              </w:rPr>
            </w:pPr>
            <w:r w:rsidRPr="00873B6C">
              <w:rPr>
                <w:sz w:val="16"/>
                <w:szCs w:val="16"/>
              </w:rPr>
              <w:t>SP-230856</w:t>
            </w:r>
          </w:p>
        </w:tc>
        <w:tc>
          <w:tcPr>
            <w:tcW w:w="567" w:type="dxa"/>
            <w:shd w:val="solid" w:color="FFFFFF" w:fill="auto"/>
          </w:tcPr>
          <w:p w14:paraId="0690FB01" w14:textId="58C40A2B" w:rsidR="0029208C" w:rsidRPr="00873B6C" w:rsidRDefault="0029208C" w:rsidP="004A0323">
            <w:pPr>
              <w:pStyle w:val="TAL"/>
              <w:rPr>
                <w:sz w:val="16"/>
                <w:szCs w:val="16"/>
              </w:rPr>
            </w:pPr>
            <w:r w:rsidRPr="00873B6C">
              <w:rPr>
                <w:sz w:val="16"/>
                <w:szCs w:val="16"/>
              </w:rPr>
              <w:t>4859</w:t>
            </w:r>
          </w:p>
        </w:tc>
        <w:tc>
          <w:tcPr>
            <w:tcW w:w="425" w:type="dxa"/>
            <w:shd w:val="solid" w:color="FFFFFF" w:fill="auto"/>
          </w:tcPr>
          <w:p w14:paraId="02FA12E2" w14:textId="73C70090" w:rsidR="0029208C" w:rsidRPr="00873B6C" w:rsidRDefault="0029208C" w:rsidP="004A0323">
            <w:pPr>
              <w:pStyle w:val="TAL"/>
              <w:rPr>
                <w:sz w:val="16"/>
                <w:szCs w:val="16"/>
              </w:rPr>
            </w:pPr>
            <w:r w:rsidRPr="00873B6C">
              <w:rPr>
                <w:sz w:val="16"/>
                <w:szCs w:val="16"/>
              </w:rPr>
              <w:t>2</w:t>
            </w:r>
          </w:p>
        </w:tc>
        <w:tc>
          <w:tcPr>
            <w:tcW w:w="425" w:type="dxa"/>
            <w:shd w:val="solid" w:color="FFFFFF" w:fill="auto"/>
          </w:tcPr>
          <w:p w14:paraId="4EB32072" w14:textId="346D9890"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48F0A609" w14:textId="6B8296B7" w:rsidR="0029208C" w:rsidRPr="00873B6C" w:rsidRDefault="0029208C" w:rsidP="004A0323">
            <w:pPr>
              <w:pStyle w:val="TAL"/>
              <w:rPr>
                <w:sz w:val="16"/>
                <w:szCs w:val="16"/>
              </w:rPr>
            </w:pPr>
            <w:r w:rsidRPr="00873B6C">
              <w:rPr>
                <w:sz w:val="16"/>
                <w:szCs w:val="16"/>
              </w:rPr>
              <w:t>Updates on timing synchronization status reporting</w:t>
            </w:r>
          </w:p>
        </w:tc>
        <w:tc>
          <w:tcPr>
            <w:tcW w:w="708" w:type="dxa"/>
            <w:shd w:val="solid" w:color="FFFFFF" w:fill="auto"/>
          </w:tcPr>
          <w:p w14:paraId="531E71F9" w14:textId="0BDCD27C" w:rsidR="0029208C" w:rsidRPr="00873B6C" w:rsidRDefault="0029208C" w:rsidP="004A0323">
            <w:pPr>
              <w:pStyle w:val="TAC"/>
              <w:rPr>
                <w:sz w:val="16"/>
                <w:szCs w:val="16"/>
              </w:rPr>
            </w:pPr>
            <w:r w:rsidRPr="00873B6C">
              <w:rPr>
                <w:sz w:val="16"/>
                <w:szCs w:val="16"/>
              </w:rPr>
              <w:t>18.3.0</w:t>
            </w:r>
          </w:p>
        </w:tc>
      </w:tr>
      <w:tr w:rsidR="0029208C" w:rsidRPr="00873B6C" w14:paraId="31B79371" w14:textId="77777777" w:rsidTr="009D14FB">
        <w:tc>
          <w:tcPr>
            <w:tcW w:w="800" w:type="dxa"/>
            <w:shd w:val="solid" w:color="FFFFFF" w:fill="auto"/>
          </w:tcPr>
          <w:p w14:paraId="631E8DE4" w14:textId="6AA020E7"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26365C04" w14:textId="1C1B295E"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0E74C66B" w14:textId="3772752D" w:rsidR="0029208C" w:rsidRPr="00873B6C" w:rsidRDefault="0029208C" w:rsidP="004A0323">
            <w:pPr>
              <w:pStyle w:val="TAC"/>
              <w:rPr>
                <w:sz w:val="16"/>
                <w:szCs w:val="16"/>
              </w:rPr>
            </w:pPr>
            <w:r w:rsidRPr="00873B6C">
              <w:rPr>
                <w:sz w:val="16"/>
                <w:szCs w:val="16"/>
              </w:rPr>
              <w:t>SP-230842</w:t>
            </w:r>
          </w:p>
        </w:tc>
        <w:tc>
          <w:tcPr>
            <w:tcW w:w="567" w:type="dxa"/>
            <w:shd w:val="solid" w:color="FFFFFF" w:fill="auto"/>
          </w:tcPr>
          <w:p w14:paraId="30ECBCDB" w14:textId="590EC0C1" w:rsidR="0029208C" w:rsidRPr="00873B6C" w:rsidRDefault="0029208C" w:rsidP="004A0323">
            <w:pPr>
              <w:pStyle w:val="TAL"/>
              <w:rPr>
                <w:sz w:val="16"/>
                <w:szCs w:val="16"/>
              </w:rPr>
            </w:pPr>
            <w:r w:rsidRPr="00873B6C">
              <w:rPr>
                <w:sz w:val="16"/>
                <w:szCs w:val="16"/>
              </w:rPr>
              <w:t>4861</w:t>
            </w:r>
          </w:p>
        </w:tc>
        <w:tc>
          <w:tcPr>
            <w:tcW w:w="425" w:type="dxa"/>
            <w:shd w:val="solid" w:color="FFFFFF" w:fill="auto"/>
          </w:tcPr>
          <w:p w14:paraId="0515EA10" w14:textId="2605A280" w:rsidR="0029208C" w:rsidRPr="00873B6C" w:rsidRDefault="0029208C" w:rsidP="004A0323">
            <w:pPr>
              <w:pStyle w:val="TAL"/>
              <w:rPr>
                <w:sz w:val="16"/>
                <w:szCs w:val="16"/>
              </w:rPr>
            </w:pPr>
            <w:r w:rsidRPr="00873B6C">
              <w:rPr>
                <w:sz w:val="16"/>
                <w:szCs w:val="16"/>
              </w:rPr>
              <w:t>1</w:t>
            </w:r>
          </w:p>
        </w:tc>
        <w:tc>
          <w:tcPr>
            <w:tcW w:w="425" w:type="dxa"/>
            <w:shd w:val="solid" w:color="FFFFFF" w:fill="auto"/>
          </w:tcPr>
          <w:p w14:paraId="34C12CBF" w14:textId="4137E20A"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71DE796B" w14:textId="17E775CC" w:rsidR="0029208C" w:rsidRPr="00873B6C" w:rsidRDefault="0029208C" w:rsidP="004A0323">
            <w:pPr>
              <w:pStyle w:val="TAL"/>
              <w:rPr>
                <w:sz w:val="16"/>
                <w:szCs w:val="16"/>
              </w:rPr>
            </w:pPr>
            <w:r w:rsidRPr="00873B6C">
              <w:rPr>
                <w:sz w:val="16"/>
                <w:szCs w:val="16"/>
              </w:rPr>
              <w:t>QoS monitoring</w:t>
            </w:r>
          </w:p>
        </w:tc>
        <w:tc>
          <w:tcPr>
            <w:tcW w:w="708" w:type="dxa"/>
            <w:shd w:val="solid" w:color="FFFFFF" w:fill="auto"/>
          </w:tcPr>
          <w:p w14:paraId="7EE4FC7F" w14:textId="259ED69F" w:rsidR="0029208C" w:rsidRPr="00873B6C" w:rsidRDefault="0029208C" w:rsidP="004A0323">
            <w:pPr>
              <w:pStyle w:val="TAC"/>
              <w:rPr>
                <w:sz w:val="16"/>
                <w:szCs w:val="16"/>
              </w:rPr>
            </w:pPr>
            <w:r w:rsidRPr="00873B6C">
              <w:rPr>
                <w:sz w:val="16"/>
                <w:szCs w:val="16"/>
              </w:rPr>
              <w:t>18.3.0</w:t>
            </w:r>
          </w:p>
        </w:tc>
      </w:tr>
      <w:tr w:rsidR="0029208C" w:rsidRPr="00873B6C" w14:paraId="36E04D18" w14:textId="77777777" w:rsidTr="009D14FB">
        <w:tc>
          <w:tcPr>
            <w:tcW w:w="800" w:type="dxa"/>
            <w:shd w:val="solid" w:color="FFFFFF" w:fill="auto"/>
          </w:tcPr>
          <w:p w14:paraId="452BB886" w14:textId="55FA7021"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3952BDC1" w14:textId="03AC76BC"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36465D1F" w14:textId="5B275377" w:rsidR="0029208C" w:rsidRPr="00873B6C" w:rsidRDefault="0029208C" w:rsidP="004A0323">
            <w:pPr>
              <w:pStyle w:val="TAC"/>
              <w:rPr>
                <w:sz w:val="16"/>
                <w:szCs w:val="16"/>
              </w:rPr>
            </w:pPr>
            <w:r w:rsidRPr="00873B6C">
              <w:rPr>
                <w:sz w:val="16"/>
                <w:szCs w:val="16"/>
              </w:rPr>
              <w:t>SP-230846</w:t>
            </w:r>
          </w:p>
        </w:tc>
        <w:tc>
          <w:tcPr>
            <w:tcW w:w="567" w:type="dxa"/>
            <w:shd w:val="solid" w:color="FFFFFF" w:fill="auto"/>
          </w:tcPr>
          <w:p w14:paraId="446F3718" w14:textId="0A53CE7C" w:rsidR="0029208C" w:rsidRPr="00873B6C" w:rsidRDefault="0029208C" w:rsidP="004A0323">
            <w:pPr>
              <w:pStyle w:val="TAL"/>
              <w:rPr>
                <w:sz w:val="16"/>
                <w:szCs w:val="16"/>
              </w:rPr>
            </w:pPr>
            <w:r w:rsidRPr="00873B6C">
              <w:rPr>
                <w:sz w:val="16"/>
                <w:szCs w:val="16"/>
              </w:rPr>
              <w:t>4862</w:t>
            </w:r>
          </w:p>
        </w:tc>
        <w:tc>
          <w:tcPr>
            <w:tcW w:w="425" w:type="dxa"/>
            <w:shd w:val="solid" w:color="FFFFFF" w:fill="auto"/>
          </w:tcPr>
          <w:p w14:paraId="79A15C79" w14:textId="4C2529C3" w:rsidR="0029208C" w:rsidRPr="00873B6C" w:rsidRDefault="0029208C" w:rsidP="004A0323">
            <w:pPr>
              <w:pStyle w:val="TAL"/>
              <w:rPr>
                <w:sz w:val="16"/>
                <w:szCs w:val="16"/>
              </w:rPr>
            </w:pPr>
            <w:r w:rsidRPr="00873B6C">
              <w:rPr>
                <w:sz w:val="16"/>
                <w:szCs w:val="16"/>
              </w:rPr>
              <w:t>3</w:t>
            </w:r>
          </w:p>
        </w:tc>
        <w:tc>
          <w:tcPr>
            <w:tcW w:w="425" w:type="dxa"/>
            <w:shd w:val="solid" w:color="FFFFFF" w:fill="auto"/>
          </w:tcPr>
          <w:p w14:paraId="3E65761C" w14:textId="48BFF8F4"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5570D63B" w14:textId="07BE7DB0" w:rsidR="0029208C" w:rsidRPr="00873B6C" w:rsidRDefault="0029208C" w:rsidP="004A0323">
            <w:pPr>
              <w:pStyle w:val="TAL"/>
              <w:rPr>
                <w:sz w:val="16"/>
                <w:szCs w:val="16"/>
              </w:rPr>
            </w:pPr>
            <w:r w:rsidRPr="00873B6C">
              <w:rPr>
                <w:sz w:val="16"/>
                <w:szCs w:val="16"/>
              </w:rPr>
              <w:t>Clarification and editorial on the AF request influence on traffic routing for set of UEs</w:t>
            </w:r>
          </w:p>
        </w:tc>
        <w:tc>
          <w:tcPr>
            <w:tcW w:w="708" w:type="dxa"/>
            <w:shd w:val="solid" w:color="FFFFFF" w:fill="auto"/>
          </w:tcPr>
          <w:p w14:paraId="64D768E7" w14:textId="31E882A2" w:rsidR="0029208C" w:rsidRPr="00873B6C" w:rsidRDefault="0029208C" w:rsidP="004A0323">
            <w:pPr>
              <w:pStyle w:val="TAC"/>
              <w:rPr>
                <w:sz w:val="16"/>
                <w:szCs w:val="16"/>
              </w:rPr>
            </w:pPr>
            <w:r w:rsidRPr="00873B6C">
              <w:rPr>
                <w:sz w:val="16"/>
                <w:szCs w:val="16"/>
              </w:rPr>
              <w:t>18.3.0</w:t>
            </w:r>
          </w:p>
        </w:tc>
      </w:tr>
      <w:tr w:rsidR="0029208C" w:rsidRPr="00873B6C" w14:paraId="3D3668CA" w14:textId="77777777" w:rsidTr="009D14FB">
        <w:tc>
          <w:tcPr>
            <w:tcW w:w="800" w:type="dxa"/>
            <w:shd w:val="solid" w:color="FFFFFF" w:fill="auto"/>
          </w:tcPr>
          <w:p w14:paraId="1A80BA54" w14:textId="6B5EE2E0"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5778F3D1" w14:textId="32329D44"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562E87D2" w14:textId="2626B489" w:rsidR="0029208C" w:rsidRPr="00873B6C" w:rsidRDefault="0029208C" w:rsidP="004A0323">
            <w:pPr>
              <w:pStyle w:val="TAC"/>
              <w:rPr>
                <w:sz w:val="16"/>
                <w:szCs w:val="16"/>
              </w:rPr>
            </w:pPr>
            <w:r w:rsidRPr="00873B6C">
              <w:rPr>
                <w:sz w:val="16"/>
                <w:szCs w:val="16"/>
              </w:rPr>
              <w:t>SP-230845</w:t>
            </w:r>
          </w:p>
        </w:tc>
        <w:tc>
          <w:tcPr>
            <w:tcW w:w="567" w:type="dxa"/>
            <w:shd w:val="solid" w:color="FFFFFF" w:fill="auto"/>
          </w:tcPr>
          <w:p w14:paraId="521D5689" w14:textId="5AC81723" w:rsidR="0029208C" w:rsidRPr="00873B6C" w:rsidRDefault="0029208C" w:rsidP="004A0323">
            <w:pPr>
              <w:pStyle w:val="TAL"/>
              <w:rPr>
                <w:sz w:val="16"/>
                <w:szCs w:val="16"/>
              </w:rPr>
            </w:pPr>
            <w:r w:rsidRPr="00873B6C">
              <w:rPr>
                <w:sz w:val="16"/>
                <w:szCs w:val="16"/>
              </w:rPr>
              <w:t>4864</w:t>
            </w:r>
          </w:p>
        </w:tc>
        <w:tc>
          <w:tcPr>
            <w:tcW w:w="425" w:type="dxa"/>
            <w:shd w:val="solid" w:color="FFFFFF" w:fill="auto"/>
          </w:tcPr>
          <w:p w14:paraId="4A8D980A" w14:textId="492C86F6" w:rsidR="0029208C" w:rsidRPr="00873B6C" w:rsidRDefault="0029208C" w:rsidP="004A0323">
            <w:pPr>
              <w:pStyle w:val="TAL"/>
              <w:rPr>
                <w:sz w:val="16"/>
                <w:szCs w:val="16"/>
              </w:rPr>
            </w:pPr>
            <w:r w:rsidRPr="00873B6C">
              <w:rPr>
                <w:sz w:val="16"/>
                <w:szCs w:val="16"/>
              </w:rPr>
              <w:t>-</w:t>
            </w:r>
          </w:p>
        </w:tc>
        <w:tc>
          <w:tcPr>
            <w:tcW w:w="425" w:type="dxa"/>
            <w:shd w:val="solid" w:color="FFFFFF" w:fill="auto"/>
          </w:tcPr>
          <w:p w14:paraId="350EA268" w14:textId="4C425EC3"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0D794368" w14:textId="293A3F0D" w:rsidR="0029208C" w:rsidRPr="00873B6C" w:rsidRDefault="0029208C" w:rsidP="004A0323">
            <w:pPr>
              <w:pStyle w:val="TAL"/>
              <w:rPr>
                <w:sz w:val="16"/>
                <w:szCs w:val="16"/>
              </w:rPr>
            </w:pPr>
            <w:r w:rsidRPr="00873B6C">
              <w:rPr>
                <w:sz w:val="16"/>
                <w:szCs w:val="16"/>
              </w:rPr>
              <w:t>Clarifications to the Redundant Steering Mode</w:t>
            </w:r>
          </w:p>
        </w:tc>
        <w:tc>
          <w:tcPr>
            <w:tcW w:w="708" w:type="dxa"/>
            <w:shd w:val="solid" w:color="FFFFFF" w:fill="auto"/>
          </w:tcPr>
          <w:p w14:paraId="001B952C" w14:textId="3A9191E4" w:rsidR="0029208C" w:rsidRPr="00873B6C" w:rsidRDefault="0029208C" w:rsidP="004A0323">
            <w:pPr>
              <w:pStyle w:val="TAC"/>
              <w:rPr>
                <w:sz w:val="16"/>
                <w:szCs w:val="16"/>
              </w:rPr>
            </w:pPr>
            <w:r w:rsidRPr="00873B6C">
              <w:rPr>
                <w:sz w:val="16"/>
                <w:szCs w:val="16"/>
              </w:rPr>
              <w:t>18.3.0</w:t>
            </w:r>
          </w:p>
        </w:tc>
      </w:tr>
      <w:tr w:rsidR="0029208C" w:rsidRPr="00873B6C" w14:paraId="4702DDD3" w14:textId="77777777" w:rsidTr="009D14FB">
        <w:tc>
          <w:tcPr>
            <w:tcW w:w="800" w:type="dxa"/>
            <w:shd w:val="solid" w:color="FFFFFF" w:fill="auto"/>
          </w:tcPr>
          <w:p w14:paraId="2146A634" w14:textId="5404C47D"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2E62EFBC" w14:textId="55F2CB45"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2493C6C8" w14:textId="00299A79" w:rsidR="0029208C" w:rsidRPr="00873B6C" w:rsidRDefault="0029208C" w:rsidP="004A0323">
            <w:pPr>
              <w:pStyle w:val="TAC"/>
              <w:rPr>
                <w:sz w:val="16"/>
                <w:szCs w:val="16"/>
              </w:rPr>
            </w:pPr>
            <w:r w:rsidRPr="00873B6C">
              <w:rPr>
                <w:sz w:val="16"/>
                <w:szCs w:val="16"/>
              </w:rPr>
              <w:t>SP-230858</w:t>
            </w:r>
          </w:p>
        </w:tc>
        <w:tc>
          <w:tcPr>
            <w:tcW w:w="567" w:type="dxa"/>
            <w:shd w:val="solid" w:color="FFFFFF" w:fill="auto"/>
          </w:tcPr>
          <w:p w14:paraId="543DA512" w14:textId="5E6D0A6E" w:rsidR="0029208C" w:rsidRPr="00873B6C" w:rsidRDefault="0029208C" w:rsidP="004A0323">
            <w:pPr>
              <w:pStyle w:val="TAL"/>
              <w:rPr>
                <w:sz w:val="16"/>
                <w:szCs w:val="16"/>
              </w:rPr>
            </w:pPr>
            <w:r w:rsidRPr="00873B6C">
              <w:rPr>
                <w:sz w:val="16"/>
                <w:szCs w:val="16"/>
              </w:rPr>
              <w:t>4869</w:t>
            </w:r>
          </w:p>
        </w:tc>
        <w:tc>
          <w:tcPr>
            <w:tcW w:w="425" w:type="dxa"/>
            <w:shd w:val="solid" w:color="FFFFFF" w:fill="auto"/>
          </w:tcPr>
          <w:p w14:paraId="5BF28924" w14:textId="1835FB2D" w:rsidR="0029208C" w:rsidRPr="00873B6C" w:rsidRDefault="0029208C" w:rsidP="004A0323">
            <w:pPr>
              <w:pStyle w:val="TAL"/>
              <w:rPr>
                <w:sz w:val="16"/>
                <w:szCs w:val="16"/>
              </w:rPr>
            </w:pPr>
            <w:r w:rsidRPr="00873B6C">
              <w:rPr>
                <w:sz w:val="16"/>
                <w:szCs w:val="16"/>
              </w:rPr>
              <w:t>2</w:t>
            </w:r>
          </w:p>
        </w:tc>
        <w:tc>
          <w:tcPr>
            <w:tcW w:w="425" w:type="dxa"/>
            <w:shd w:val="solid" w:color="FFFFFF" w:fill="auto"/>
          </w:tcPr>
          <w:p w14:paraId="02840F9C" w14:textId="69F19F53"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1F578BDF" w14:textId="757A12E8" w:rsidR="0029208C" w:rsidRPr="00873B6C" w:rsidRDefault="0029208C" w:rsidP="004A0323">
            <w:pPr>
              <w:pStyle w:val="TAL"/>
              <w:rPr>
                <w:sz w:val="16"/>
                <w:szCs w:val="16"/>
              </w:rPr>
            </w:pPr>
            <w:r w:rsidRPr="00873B6C">
              <w:rPr>
                <w:sz w:val="16"/>
                <w:szCs w:val="16"/>
              </w:rPr>
              <w:t>Update on support of PDU Set handling</w:t>
            </w:r>
          </w:p>
        </w:tc>
        <w:tc>
          <w:tcPr>
            <w:tcW w:w="708" w:type="dxa"/>
            <w:shd w:val="solid" w:color="FFFFFF" w:fill="auto"/>
          </w:tcPr>
          <w:p w14:paraId="7C9DA654" w14:textId="673453BA" w:rsidR="0029208C" w:rsidRPr="00873B6C" w:rsidRDefault="0029208C" w:rsidP="004A0323">
            <w:pPr>
              <w:pStyle w:val="TAC"/>
              <w:rPr>
                <w:sz w:val="16"/>
                <w:szCs w:val="16"/>
              </w:rPr>
            </w:pPr>
            <w:r w:rsidRPr="00873B6C">
              <w:rPr>
                <w:sz w:val="16"/>
                <w:szCs w:val="16"/>
              </w:rPr>
              <w:t>18.3.0</w:t>
            </w:r>
          </w:p>
        </w:tc>
      </w:tr>
      <w:tr w:rsidR="00591B52" w:rsidRPr="00873B6C" w14:paraId="5C71C3DA" w14:textId="77777777" w:rsidTr="009D14FB">
        <w:tc>
          <w:tcPr>
            <w:tcW w:w="800" w:type="dxa"/>
            <w:shd w:val="solid" w:color="FFFFFF" w:fill="auto"/>
          </w:tcPr>
          <w:p w14:paraId="77405697" w14:textId="137361CF"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7A46DEE8" w14:textId="4C7BECFC"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0BE25475" w14:textId="400D10AE" w:rsidR="00591B52" w:rsidRPr="00873B6C" w:rsidRDefault="00591B52" w:rsidP="004A0323">
            <w:pPr>
              <w:pStyle w:val="TAC"/>
              <w:rPr>
                <w:sz w:val="16"/>
                <w:szCs w:val="16"/>
              </w:rPr>
            </w:pPr>
            <w:r w:rsidRPr="00873B6C">
              <w:rPr>
                <w:sz w:val="16"/>
                <w:szCs w:val="16"/>
              </w:rPr>
              <w:t>SP-230847</w:t>
            </w:r>
          </w:p>
        </w:tc>
        <w:tc>
          <w:tcPr>
            <w:tcW w:w="567" w:type="dxa"/>
            <w:shd w:val="solid" w:color="FFFFFF" w:fill="auto"/>
          </w:tcPr>
          <w:p w14:paraId="04CECED2" w14:textId="493F4E85" w:rsidR="00591B52" w:rsidRPr="00873B6C" w:rsidRDefault="00591B52" w:rsidP="004A0323">
            <w:pPr>
              <w:pStyle w:val="TAL"/>
              <w:rPr>
                <w:sz w:val="16"/>
                <w:szCs w:val="16"/>
              </w:rPr>
            </w:pPr>
            <w:r w:rsidRPr="00873B6C">
              <w:rPr>
                <w:sz w:val="16"/>
                <w:szCs w:val="16"/>
              </w:rPr>
              <w:t>4876</w:t>
            </w:r>
          </w:p>
        </w:tc>
        <w:tc>
          <w:tcPr>
            <w:tcW w:w="425" w:type="dxa"/>
            <w:shd w:val="solid" w:color="FFFFFF" w:fill="auto"/>
          </w:tcPr>
          <w:p w14:paraId="0CE0F841" w14:textId="1CB42F64" w:rsidR="00591B52" w:rsidRPr="00873B6C" w:rsidRDefault="00591B52" w:rsidP="004A0323">
            <w:pPr>
              <w:pStyle w:val="TAL"/>
              <w:rPr>
                <w:sz w:val="16"/>
                <w:szCs w:val="16"/>
              </w:rPr>
            </w:pPr>
            <w:r w:rsidRPr="00873B6C">
              <w:rPr>
                <w:sz w:val="16"/>
                <w:szCs w:val="16"/>
              </w:rPr>
              <w:t>2</w:t>
            </w:r>
          </w:p>
        </w:tc>
        <w:tc>
          <w:tcPr>
            <w:tcW w:w="425" w:type="dxa"/>
            <w:shd w:val="solid" w:color="FFFFFF" w:fill="auto"/>
          </w:tcPr>
          <w:p w14:paraId="2DA07E4D" w14:textId="478AD875" w:rsidR="00591B52" w:rsidRPr="00873B6C" w:rsidRDefault="00591B52" w:rsidP="004A0323">
            <w:pPr>
              <w:pStyle w:val="TAL"/>
              <w:rPr>
                <w:sz w:val="16"/>
                <w:szCs w:val="16"/>
              </w:rPr>
            </w:pPr>
            <w:r w:rsidRPr="00873B6C">
              <w:rPr>
                <w:sz w:val="16"/>
                <w:szCs w:val="16"/>
              </w:rPr>
              <w:t>F</w:t>
            </w:r>
          </w:p>
        </w:tc>
        <w:tc>
          <w:tcPr>
            <w:tcW w:w="4820" w:type="dxa"/>
            <w:shd w:val="solid" w:color="FFFFFF" w:fill="auto"/>
          </w:tcPr>
          <w:p w14:paraId="011A1BA8" w14:textId="349EE522" w:rsidR="00591B52" w:rsidRPr="00873B6C" w:rsidRDefault="00591B52" w:rsidP="004A0323">
            <w:pPr>
              <w:pStyle w:val="TAL"/>
              <w:rPr>
                <w:sz w:val="16"/>
                <w:szCs w:val="16"/>
              </w:rPr>
            </w:pPr>
            <w:r w:rsidRPr="00873B6C">
              <w:rPr>
                <w:sz w:val="16"/>
                <w:szCs w:val="16"/>
              </w:rPr>
              <w:t>Clarification on NWDAF functionalities and NF profile in TS 23.501</w:t>
            </w:r>
          </w:p>
        </w:tc>
        <w:tc>
          <w:tcPr>
            <w:tcW w:w="708" w:type="dxa"/>
            <w:shd w:val="solid" w:color="FFFFFF" w:fill="auto"/>
          </w:tcPr>
          <w:p w14:paraId="61A39AAD" w14:textId="4EC92104" w:rsidR="00591B52" w:rsidRPr="00873B6C" w:rsidRDefault="00591B52" w:rsidP="004A0323">
            <w:pPr>
              <w:pStyle w:val="TAC"/>
              <w:rPr>
                <w:sz w:val="16"/>
                <w:szCs w:val="16"/>
              </w:rPr>
            </w:pPr>
            <w:r w:rsidRPr="00873B6C">
              <w:rPr>
                <w:sz w:val="16"/>
                <w:szCs w:val="16"/>
              </w:rPr>
              <w:t>18.3.0</w:t>
            </w:r>
          </w:p>
        </w:tc>
      </w:tr>
      <w:tr w:rsidR="00591B52" w:rsidRPr="00873B6C" w14:paraId="4653EB03" w14:textId="77777777" w:rsidTr="009D14FB">
        <w:tc>
          <w:tcPr>
            <w:tcW w:w="800" w:type="dxa"/>
            <w:shd w:val="solid" w:color="FFFFFF" w:fill="auto"/>
          </w:tcPr>
          <w:p w14:paraId="29EF8B1F" w14:textId="1C6BB659"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65B8ED51" w14:textId="6B3F2927"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02751A17" w14:textId="37B2E138" w:rsidR="00591B52" w:rsidRPr="00873B6C" w:rsidRDefault="00591B52" w:rsidP="004A0323">
            <w:pPr>
              <w:pStyle w:val="TAC"/>
              <w:rPr>
                <w:sz w:val="16"/>
                <w:szCs w:val="16"/>
              </w:rPr>
            </w:pPr>
            <w:r w:rsidRPr="00873B6C">
              <w:rPr>
                <w:sz w:val="16"/>
                <w:szCs w:val="16"/>
              </w:rPr>
              <w:t>SP-230856</w:t>
            </w:r>
          </w:p>
        </w:tc>
        <w:tc>
          <w:tcPr>
            <w:tcW w:w="567" w:type="dxa"/>
            <w:shd w:val="solid" w:color="FFFFFF" w:fill="auto"/>
          </w:tcPr>
          <w:p w14:paraId="617699C7" w14:textId="711ABF8A" w:rsidR="00591B52" w:rsidRPr="00873B6C" w:rsidRDefault="00591B52" w:rsidP="004A0323">
            <w:pPr>
              <w:pStyle w:val="TAL"/>
              <w:rPr>
                <w:sz w:val="16"/>
                <w:szCs w:val="16"/>
              </w:rPr>
            </w:pPr>
            <w:r w:rsidRPr="00873B6C">
              <w:rPr>
                <w:sz w:val="16"/>
                <w:szCs w:val="16"/>
              </w:rPr>
              <w:t>4887</w:t>
            </w:r>
          </w:p>
        </w:tc>
        <w:tc>
          <w:tcPr>
            <w:tcW w:w="425" w:type="dxa"/>
            <w:shd w:val="solid" w:color="FFFFFF" w:fill="auto"/>
          </w:tcPr>
          <w:p w14:paraId="1DF654B1" w14:textId="2A33136F" w:rsidR="00591B52" w:rsidRPr="00873B6C" w:rsidRDefault="00591B52" w:rsidP="004A0323">
            <w:pPr>
              <w:pStyle w:val="TAL"/>
              <w:rPr>
                <w:sz w:val="16"/>
                <w:szCs w:val="16"/>
              </w:rPr>
            </w:pPr>
            <w:r w:rsidRPr="00873B6C">
              <w:rPr>
                <w:sz w:val="16"/>
                <w:szCs w:val="16"/>
              </w:rPr>
              <w:t>2</w:t>
            </w:r>
          </w:p>
        </w:tc>
        <w:tc>
          <w:tcPr>
            <w:tcW w:w="425" w:type="dxa"/>
            <w:shd w:val="solid" w:color="FFFFFF" w:fill="auto"/>
          </w:tcPr>
          <w:p w14:paraId="0E1BDC47" w14:textId="047D5E5F" w:rsidR="00591B52" w:rsidRPr="00873B6C" w:rsidRDefault="00591B52" w:rsidP="004A0323">
            <w:pPr>
              <w:pStyle w:val="TAL"/>
              <w:rPr>
                <w:sz w:val="16"/>
                <w:szCs w:val="16"/>
              </w:rPr>
            </w:pPr>
            <w:r w:rsidRPr="00873B6C">
              <w:rPr>
                <w:sz w:val="16"/>
                <w:szCs w:val="16"/>
              </w:rPr>
              <w:t>F</w:t>
            </w:r>
          </w:p>
        </w:tc>
        <w:tc>
          <w:tcPr>
            <w:tcW w:w="4820" w:type="dxa"/>
            <w:shd w:val="solid" w:color="FFFFFF" w:fill="auto"/>
          </w:tcPr>
          <w:p w14:paraId="5DDE3854" w14:textId="589A1C35" w:rsidR="00591B52" w:rsidRPr="00873B6C" w:rsidRDefault="00591B52" w:rsidP="004A0323">
            <w:pPr>
              <w:pStyle w:val="TAL"/>
              <w:rPr>
                <w:sz w:val="16"/>
                <w:szCs w:val="16"/>
              </w:rPr>
            </w:pPr>
            <w:r w:rsidRPr="00873B6C">
              <w:rPr>
                <w:sz w:val="16"/>
                <w:szCs w:val="16"/>
              </w:rPr>
              <w:t xml:space="preserve">Clarification for time synchronization service monitoring </w:t>
            </w:r>
          </w:p>
        </w:tc>
        <w:tc>
          <w:tcPr>
            <w:tcW w:w="708" w:type="dxa"/>
            <w:shd w:val="solid" w:color="FFFFFF" w:fill="auto"/>
          </w:tcPr>
          <w:p w14:paraId="3123D29F" w14:textId="2B38F1D9" w:rsidR="00591B52" w:rsidRPr="00873B6C" w:rsidRDefault="00591B52" w:rsidP="004A0323">
            <w:pPr>
              <w:pStyle w:val="TAC"/>
              <w:rPr>
                <w:sz w:val="16"/>
                <w:szCs w:val="16"/>
              </w:rPr>
            </w:pPr>
            <w:r w:rsidRPr="00873B6C">
              <w:rPr>
                <w:sz w:val="16"/>
                <w:szCs w:val="16"/>
              </w:rPr>
              <w:t>18.3.0</w:t>
            </w:r>
          </w:p>
        </w:tc>
      </w:tr>
      <w:tr w:rsidR="00591B52" w:rsidRPr="00873B6C" w14:paraId="1E0716DB" w14:textId="77777777" w:rsidTr="009D14FB">
        <w:tc>
          <w:tcPr>
            <w:tcW w:w="800" w:type="dxa"/>
            <w:shd w:val="solid" w:color="FFFFFF" w:fill="auto"/>
          </w:tcPr>
          <w:p w14:paraId="0C6E2546" w14:textId="11049CD0"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7898A221" w14:textId="79009573"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1290B291" w14:textId="132A76D1" w:rsidR="00591B52" w:rsidRPr="00873B6C" w:rsidRDefault="00591B52" w:rsidP="004A0323">
            <w:pPr>
              <w:pStyle w:val="TAC"/>
              <w:rPr>
                <w:sz w:val="16"/>
                <w:szCs w:val="16"/>
              </w:rPr>
            </w:pPr>
            <w:r w:rsidRPr="00873B6C">
              <w:rPr>
                <w:sz w:val="16"/>
                <w:szCs w:val="16"/>
              </w:rPr>
              <w:t>SP-230859</w:t>
            </w:r>
          </w:p>
        </w:tc>
        <w:tc>
          <w:tcPr>
            <w:tcW w:w="567" w:type="dxa"/>
            <w:shd w:val="solid" w:color="FFFFFF" w:fill="auto"/>
          </w:tcPr>
          <w:p w14:paraId="541F31C7" w14:textId="26725E55" w:rsidR="00591B52" w:rsidRPr="00873B6C" w:rsidRDefault="00591B52" w:rsidP="004A0323">
            <w:pPr>
              <w:pStyle w:val="TAL"/>
              <w:rPr>
                <w:sz w:val="16"/>
                <w:szCs w:val="16"/>
              </w:rPr>
            </w:pPr>
            <w:r w:rsidRPr="00873B6C">
              <w:rPr>
                <w:sz w:val="16"/>
                <w:szCs w:val="16"/>
              </w:rPr>
              <w:t>4891</w:t>
            </w:r>
          </w:p>
        </w:tc>
        <w:tc>
          <w:tcPr>
            <w:tcW w:w="425" w:type="dxa"/>
            <w:shd w:val="solid" w:color="FFFFFF" w:fill="auto"/>
          </w:tcPr>
          <w:p w14:paraId="4BC5759C" w14:textId="0C99989B" w:rsidR="00591B52" w:rsidRPr="00873B6C" w:rsidRDefault="00591B52" w:rsidP="004A0323">
            <w:pPr>
              <w:pStyle w:val="TAL"/>
              <w:rPr>
                <w:sz w:val="16"/>
                <w:szCs w:val="16"/>
              </w:rPr>
            </w:pPr>
            <w:r w:rsidRPr="00873B6C">
              <w:rPr>
                <w:sz w:val="16"/>
                <w:szCs w:val="16"/>
              </w:rPr>
              <w:t>2</w:t>
            </w:r>
          </w:p>
        </w:tc>
        <w:tc>
          <w:tcPr>
            <w:tcW w:w="425" w:type="dxa"/>
            <w:shd w:val="solid" w:color="FFFFFF" w:fill="auto"/>
          </w:tcPr>
          <w:p w14:paraId="713DC519" w14:textId="7B802ED9" w:rsidR="00591B52" w:rsidRPr="00873B6C" w:rsidRDefault="00591B52" w:rsidP="004A0323">
            <w:pPr>
              <w:pStyle w:val="TAL"/>
              <w:rPr>
                <w:sz w:val="16"/>
                <w:szCs w:val="16"/>
              </w:rPr>
            </w:pPr>
            <w:r w:rsidRPr="00873B6C">
              <w:rPr>
                <w:sz w:val="16"/>
                <w:szCs w:val="16"/>
              </w:rPr>
              <w:t>F</w:t>
            </w:r>
          </w:p>
        </w:tc>
        <w:tc>
          <w:tcPr>
            <w:tcW w:w="4820" w:type="dxa"/>
            <w:shd w:val="solid" w:color="FFFFFF" w:fill="auto"/>
          </w:tcPr>
          <w:p w14:paraId="69BF51B5" w14:textId="7F92320A" w:rsidR="00591B52" w:rsidRPr="00873B6C" w:rsidRDefault="00591B52" w:rsidP="004A0323">
            <w:pPr>
              <w:pStyle w:val="TAL"/>
              <w:rPr>
                <w:sz w:val="16"/>
                <w:szCs w:val="16"/>
              </w:rPr>
            </w:pPr>
            <w:r w:rsidRPr="00873B6C">
              <w:rPr>
                <w:sz w:val="16"/>
                <w:szCs w:val="16"/>
              </w:rPr>
              <w:t>Further clarification on transfer of emergency PDU session from non-3GPP to 3GPP access</w:t>
            </w:r>
          </w:p>
        </w:tc>
        <w:tc>
          <w:tcPr>
            <w:tcW w:w="708" w:type="dxa"/>
            <w:shd w:val="solid" w:color="FFFFFF" w:fill="auto"/>
          </w:tcPr>
          <w:p w14:paraId="6BAE6FE2" w14:textId="2696A98A" w:rsidR="00591B52" w:rsidRPr="00873B6C" w:rsidRDefault="00591B52" w:rsidP="004A0323">
            <w:pPr>
              <w:pStyle w:val="TAC"/>
              <w:rPr>
                <w:sz w:val="16"/>
                <w:szCs w:val="16"/>
              </w:rPr>
            </w:pPr>
            <w:r w:rsidRPr="00873B6C">
              <w:rPr>
                <w:sz w:val="16"/>
                <w:szCs w:val="16"/>
              </w:rPr>
              <w:t>18.3.0</w:t>
            </w:r>
          </w:p>
        </w:tc>
      </w:tr>
      <w:tr w:rsidR="00591B52" w:rsidRPr="00873B6C" w14:paraId="5F4849AA" w14:textId="77777777" w:rsidTr="009D14FB">
        <w:tc>
          <w:tcPr>
            <w:tcW w:w="800" w:type="dxa"/>
            <w:shd w:val="solid" w:color="FFFFFF" w:fill="auto"/>
          </w:tcPr>
          <w:p w14:paraId="44A85761" w14:textId="733EF691"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092D0D11" w14:textId="51860386"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205AFD13" w14:textId="328D9C8D" w:rsidR="00591B52" w:rsidRPr="00873B6C" w:rsidRDefault="00591B52" w:rsidP="004A0323">
            <w:pPr>
              <w:pStyle w:val="TAC"/>
              <w:rPr>
                <w:sz w:val="16"/>
                <w:szCs w:val="16"/>
              </w:rPr>
            </w:pPr>
            <w:r w:rsidRPr="00873B6C">
              <w:rPr>
                <w:sz w:val="16"/>
                <w:szCs w:val="16"/>
              </w:rPr>
              <w:t>SP-230838</w:t>
            </w:r>
          </w:p>
        </w:tc>
        <w:tc>
          <w:tcPr>
            <w:tcW w:w="567" w:type="dxa"/>
            <w:shd w:val="solid" w:color="FFFFFF" w:fill="auto"/>
          </w:tcPr>
          <w:p w14:paraId="5DAB88B5" w14:textId="1D42066C" w:rsidR="00591B52" w:rsidRPr="00873B6C" w:rsidRDefault="00591B52" w:rsidP="004A0323">
            <w:pPr>
              <w:pStyle w:val="TAL"/>
              <w:rPr>
                <w:sz w:val="16"/>
                <w:szCs w:val="16"/>
              </w:rPr>
            </w:pPr>
            <w:r w:rsidRPr="00873B6C">
              <w:rPr>
                <w:sz w:val="16"/>
                <w:szCs w:val="16"/>
              </w:rPr>
              <w:t>4893</w:t>
            </w:r>
          </w:p>
        </w:tc>
        <w:tc>
          <w:tcPr>
            <w:tcW w:w="425" w:type="dxa"/>
            <w:shd w:val="solid" w:color="FFFFFF" w:fill="auto"/>
          </w:tcPr>
          <w:p w14:paraId="18A87A8C" w14:textId="08FD0F71" w:rsidR="00591B52" w:rsidRPr="00873B6C" w:rsidRDefault="00591B52" w:rsidP="004A0323">
            <w:pPr>
              <w:pStyle w:val="TAL"/>
              <w:rPr>
                <w:sz w:val="16"/>
                <w:szCs w:val="16"/>
              </w:rPr>
            </w:pPr>
            <w:r w:rsidRPr="00873B6C">
              <w:rPr>
                <w:sz w:val="16"/>
                <w:szCs w:val="16"/>
              </w:rPr>
              <w:t>2</w:t>
            </w:r>
          </w:p>
        </w:tc>
        <w:tc>
          <w:tcPr>
            <w:tcW w:w="425" w:type="dxa"/>
            <w:shd w:val="solid" w:color="FFFFFF" w:fill="auto"/>
          </w:tcPr>
          <w:p w14:paraId="12720AD4" w14:textId="6F4609FC" w:rsidR="00591B52" w:rsidRPr="00873B6C" w:rsidRDefault="00591B52" w:rsidP="004A0323">
            <w:pPr>
              <w:pStyle w:val="TAL"/>
              <w:rPr>
                <w:sz w:val="16"/>
                <w:szCs w:val="16"/>
              </w:rPr>
            </w:pPr>
            <w:r w:rsidRPr="00873B6C">
              <w:rPr>
                <w:sz w:val="16"/>
                <w:szCs w:val="16"/>
              </w:rPr>
              <w:t>A</w:t>
            </w:r>
          </w:p>
        </w:tc>
        <w:tc>
          <w:tcPr>
            <w:tcW w:w="4820" w:type="dxa"/>
            <w:shd w:val="solid" w:color="FFFFFF" w:fill="auto"/>
          </w:tcPr>
          <w:p w14:paraId="3C1622CF" w14:textId="6CFA01A1" w:rsidR="00591B52" w:rsidRPr="00873B6C" w:rsidRDefault="00591B52" w:rsidP="004A0323">
            <w:pPr>
              <w:pStyle w:val="TAL"/>
              <w:rPr>
                <w:sz w:val="16"/>
                <w:szCs w:val="16"/>
              </w:rPr>
            </w:pPr>
            <w:r w:rsidRPr="00873B6C">
              <w:rPr>
                <w:sz w:val="16"/>
                <w:szCs w:val="16"/>
              </w:rPr>
              <w:t>Aligning secure DNS with SA3 specifications</w:t>
            </w:r>
          </w:p>
        </w:tc>
        <w:tc>
          <w:tcPr>
            <w:tcW w:w="708" w:type="dxa"/>
            <w:shd w:val="solid" w:color="FFFFFF" w:fill="auto"/>
          </w:tcPr>
          <w:p w14:paraId="38423717" w14:textId="4E1D6BB5" w:rsidR="00591B52" w:rsidRPr="00873B6C" w:rsidRDefault="00591B52" w:rsidP="004A0323">
            <w:pPr>
              <w:pStyle w:val="TAC"/>
              <w:rPr>
                <w:sz w:val="16"/>
                <w:szCs w:val="16"/>
              </w:rPr>
            </w:pPr>
            <w:r w:rsidRPr="00873B6C">
              <w:rPr>
                <w:sz w:val="16"/>
                <w:szCs w:val="16"/>
              </w:rPr>
              <w:t>18.3.0</w:t>
            </w:r>
          </w:p>
        </w:tc>
      </w:tr>
      <w:tr w:rsidR="00591B52" w:rsidRPr="00873B6C" w14:paraId="79B6A0C9" w14:textId="77777777" w:rsidTr="009D14FB">
        <w:tc>
          <w:tcPr>
            <w:tcW w:w="800" w:type="dxa"/>
            <w:shd w:val="solid" w:color="FFFFFF" w:fill="auto"/>
          </w:tcPr>
          <w:p w14:paraId="1F692338" w14:textId="6E434151"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1F78D770" w14:textId="252DBBD6"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79EDB116" w14:textId="675FCC73" w:rsidR="00591B52" w:rsidRPr="00873B6C" w:rsidRDefault="00591B52" w:rsidP="004A0323">
            <w:pPr>
              <w:pStyle w:val="TAC"/>
              <w:rPr>
                <w:sz w:val="16"/>
                <w:szCs w:val="16"/>
              </w:rPr>
            </w:pPr>
            <w:r w:rsidRPr="00873B6C">
              <w:rPr>
                <w:sz w:val="16"/>
                <w:szCs w:val="16"/>
              </w:rPr>
              <w:t>SP-230858</w:t>
            </w:r>
          </w:p>
        </w:tc>
        <w:tc>
          <w:tcPr>
            <w:tcW w:w="567" w:type="dxa"/>
            <w:shd w:val="solid" w:color="FFFFFF" w:fill="auto"/>
          </w:tcPr>
          <w:p w14:paraId="2EAF8B2F" w14:textId="668BBA83" w:rsidR="00591B52" w:rsidRPr="00873B6C" w:rsidRDefault="00591B52" w:rsidP="004A0323">
            <w:pPr>
              <w:pStyle w:val="TAL"/>
              <w:rPr>
                <w:sz w:val="16"/>
                <w:szCs w:val="16"/>
              </w:rPr>
            </w:pPr>
            <w:r w:rsidRPr="00873B6C">
              <w:rPr>
                <w:sz w:val="16"/>
                <w:szCs w:val="16"/>
              </w:rPr>
              <w:t>4907</w:t>
            </w:r>
          </w:p>
        </w:tc>
        <w:tc>
          <w:tcPr>
            <w:tcW w:w="425" w:type="dxa"/>
            <w:shd w:val="solid" w:color="FFFFFF" w:fill="auto"/>
          </w:tcPr>
          <w:p w14:paraId="1F7B5D06" w14:textId="197F0F28" w:rsidR="00591B52" w:rsidRPr="00873B6C" w:rsidRDefault="00591B52" w:rsidP="004A0323">
            <w:pPr>
              <w:pStyle w:val="TAL"/>
              <w:rPr>
                <w:sz w:val="16"/>
                <w:szCs w:val="16"/>
              </w:rPr>
            </w:pPr>
            <w:r w:rsidRPr="00873B6C">
              <w:rPr>
                <w:sz w:val="16"/>
                <w:szCs w:val="16"/>
              </w:rPr>
              <w:t>4</w:t>
            </w:r>
          </w:p>
        </w:tc>
        <w:tc>
          <w:tcPr>
            <w:tcW w:w="425" w:type="dxa"/>
            <w:shd w:val="solid" w:color="FFFFFF" w:fill="auto"/>
          </w:tcPr>
          <w:p w14:paraId="5AAC6594" w14:textId="3A7523A9" w:rsidR="00591B52" w:rsidRPr="00873B6C" w:rsidRDefault="00591B52" w:rsidP="004A0323">
            <w:pPr>
              <w:pStyle w:val="TAL"/>
              <w:rPr>
                <w:sz w:val="16"/>
                <w:szCs w:val="16"/>
              </w:rPr>
            </w:pPr>
            <w:r w:rsidRPr="00873B6C">
              <w:rPr>
                <w:sz w:val="16"/>
                <w:szCs w:val="16"/>
              </w:rPr>
              <w:t>F</w:t>
            </w:r>
          </w:p>
        </w:tc>
        <w:tc>
          <w:tcPr>
            <w:tcW w:w="4820" w:type="dxa"/>
            <w:shd w:val="solid" w:color="FFFFFF" w:fill="auto"/>
          </w:tcPr>
          <w:p w14:paraId="22C1B3A9" w14:textId="3AE5D1BA" w:rsidR="00591B52" w:rsidRPr="00873B6C" w:rsidRDefault="00591B52" w:rsidP="004A0323">
            <w:pPr>
              <w:pStyle w:val="TAL"/>
              <w:rPr>
                <w:sz w:val="16"/>
                <w:szCs w:val="16"/>
              </w:rPr>
            </w:pPr>
            <w:r w:rsidRPr="00873B6C">
              <w:rPr>
                <w:sz w:val="16"/>
                <w:szCs w:val="16"/>
              </w:rPr>
              <w:t>PDU Set QoS handling: Race conditions at mobility from supporting to non-supporting gNB</w:t>
            </w:r>
          </w:p>
        </w:tc>
        <w:tc>
          <w:tcPr>
            <w:tcW w:w="708" w:type="dxa"/>
            <w:shd w:val="solid" w:color="FFFFFF" w:fill="auto"/>
          </w:tcPr>
          <w:p w14:paraId="7C162C83" w14:textId="1DABA36A" w:rsidR="00591B52" w:rsidRPr="00873B6C" w:rsidRDefault="00591B52" w:rsidP="004A0323">
            <w:pPr>
              <w:pStyle w:val="TAC"/>
              <w:rPr>
                <w:sz w:val="16"/>
                <w:szCs w:val="16"/>
              </w:rPr>
            </w:pPr>
            <w:r w:rsidRPr="00873B6C">
              <w:rPr>
                <w:sz w:val="16"/>
                <w:szCs w:val="16"/>
              </w:rPr>
              <w:t>18.3.0</w:t>
            </w:r>
          </w:p>
        </w:tc>
      </w:tr>
      <w:tr w:rsidR="00591B52" w:rsidRPr="00873B6C" w14:paraId="23E7FD5C" w14:textId="77777777" w:rsidTr="009D14FB">
        <w:tc>
          <w:tcPr>
            <w:tcW w:w="800" w:type="dxa"/>
            <w:shd w:val="solid" w:color="FFFFFF" w:fill="auto"/>
          </w:tcPr>
          <w:p w14:paraId="04855C7A" w14:textId="15EF660D" w:rsidR="00591B52" w:rsidRPr="00873B6C" w:rsidRDefault="00591B52" w:rsidP="00591B52">
            <w:pPr>
              <w:pStyle w:val="TAC"/>
              <w:rPr>
                <w:sz w:val="16"/>
                <w:szCs w:val="16"/>
              </w:rPr>
            </w:pPr>
            <w:r w:rsidRPr="00873B6C">
              <w:rPr>
                <w:sz w:val="16"/>
                <w:szCs w:val="16"/>
              </w:rPr>
              <w:t>2023-09</w:t>
            </w:r>
          </w:p>
        </w:tc>
        <w:tc>
          <w:tcPr>
            <w:tcW w:w="800" w:type="dxa"/>
            <w:shd w:val="solid" w:color="FFFFFF" w:fill="auto"/>
          </w:tcPr>
          <w:p w14:paraId="0B3967A7" w14:textId="1C2AB9F8" w:rsidR="00591B52" w:rsidRPr="00873B6C" w:rsidRDefault="00591B52" w:rsidP="00591B52">
            <w:pPr>
              <w:pStyle w:val="TAL"/>
              <w:rPr>
                <w:sz w:val="16"/>
                <w:szCs w:val="16"/>
              </w:rPr>
            </w:pPr>
            <w:r w:rsidRPr="00873B6C">
              <w:rPr>
                <w:sz w:val="16"/>
                <w:szCs w:val="16"/>
              </w:rPr>
              <w:t>SP#101</w:t>
            </w:r>
          </w:p>
        </w:tc>
        <w:tc>
          <w:tcPr>
            <w:tcW w:w="1094" w:type="dxa"/>
            <w:shd w:val="solid" w:color="FFFFFF" w:fill="auto"/>
          </w:tcPr>
          <w:p w14:paraId="344A2609" w14:textId="016FEC3E" w:rsidR="00591B52" w:rsidRPr="00873B6C" w:rsidRDefault="00591B52" w:rsidP="00591B52">
            <w:pPr>
              <w:pStyle w:val="TAC"/>
              <w:rPr>
                <w:sz w:val="16"/>
                <w:szCs w:val="16"/>
              </w:rPr>
            </w:pPr>
            <w:r w:rsidRPr="00873B6C">
              <w:rPr>
                <w:sz w:val="16"/>
                <w:szCs w:val="16"/>
              </w:rPr>
              <w:t>SP-230859</w:t>
            </w:r>
          </w:p>
        </w:tc>
        <w:tc>
          <w:tcPr>
            <w:tcW w:w="567" w:type="dxa"/>
            <w:shd w:val="solid" w:color="FFFFFF" w:fill="auto"/>
          </w:tcPr>
          <w:p w14:paraId="1BA1F094" w14:textId="2E2D303E" w:rsidR="00591B52" w:rsidRPr="00873B6C" w:rsidRDefault="00591B52" w:rsidP="00591B52">
            <w:pPr>
              <w:pStyle w:val="TAL"/>
              <w:rPr>
                <w:sz w:val="16"/>
                <w:szCs w:val="16"/>
              </w:rPr>
            </w:pPr>
            <w:r w:rsidRPr="00873B6C">
              <w:rPr>
                <w:sz w:val="16"/>
                <w:szCs w:val="16"/>
              </w:rPr>
              <w:t>4920</w:t>
            </w:r>
          </w:p>
        </w:tc>
        <w:tc>
          <w:tcPr>
            <w:tcW w:w="425" w:type="dxa"/>
            <w:shd w:val="solid" w:color="FFFFFF" w:fill="auto"/>
          </w:tcPr>
          <w:p w14:paraId="2E973163" w14:textId="16A08980" w:rsidR="00591B52" w:rsidRPr="00873B6C" w:rsidRDefault="00591B52" w:rsidP="00591B52">
            <w:pPr>
              <w:pStyle w:val="TAL"/>
              <w:rPr>
                <w:sz w:val="16"/>
                <w:szCs w:val="16"/>
              </w:rPr>
            </w:pPr>
            <w:r w:rsidRPr="00873B6C">
              <w:rPr>
                <w:sz w:val="16"/>
                <w:szCs w:val="16"/>
              </w:rPr>
              <w:t>1</w:t>
            </w:r>
          </w:p>
        </w:tc>
        <w:tc>
          <w:tcPr>
            <w:tcW w:w="425" w:type="dxa"/>
            <w:shd w:val="solid" w:color="FFFFFF" w:fill="auto"/>
          </w:tcPr>
          <w:p w14:paraId="794E71B6" w14:textId="74268B6D" w:rsidR="00591B52" w:rsidRPr="00873B6C" w:rsidRDefault="00591B52" w:rsidP="00591B52">
            <w:pPr>
              <w:pStyle w:val="TAL"/>
              <w:rPr>
                <w:sz w:val="16"/>
                <w:szCs w:val="16"/>
              </w:rPr>
            </w:pPr>
            <w:r w:rsidRPr="00873B6C">
              <w:rPr>
                <w:sz w:val="16"/>
                <w:szCs w:val="16"/>
              </w:rPr>
              <w:t>F</w:t>
            </w:r>
          </w:p>
        </w:tc>
        <w:tc>
          <w:tcPr>
            <w:tcW w:w="4820" w:type="dxa"/>
            <w:shd w:val="solid" w:color="FFFFFF" w:fill="auto"/>
          </w:tcPr>
          <w:p w14:paraId="516D4FA6" w14:textId="33F2B8C0" w:rsidR="00591B52" w:rsidRPr="00873B6C" w:rsidRDefault="00591B52" w:rsidP="00591B52">
            <w:pPr>
              <w:pStyle w:val="TAL"/>
              <w:rPr>
                <w:sz w:val="16"/>
                <w:szCs w:val="16"/>
              </w:rPr>
            </w:pPr>
            <w:r w:rsidRPr="00873B6C">
              <w:rPr>
                <w:sz w:val="16"/>
                <w:szCs w:val="16"/>
              </w:rPr>
              <w:t>NSAC back-off timer correction</w:t>
            </w:r>
          </w:p>
        </w:tc>
        <w:tc>
          <w:tcPr>
            <w:tcW w:w="708" w:type="dxa"/>
            <w:shd w:val="solid" w:color="FFFFFF" w:fill="auto"/>
          </w:tcPr>
          <w:p w14:paraId="699568F2" w14:textId="01A65C05" w:rsidR="00591B52" w:rsidRPr="00873B6C" w:rsidRDefault="00591B52" w:rsidP="00591B52">
            <w:pPr>
              <w:pStyle w:val="TAC"/>
              <w:rPr>
                <w:sz w:val="16"/>
                <w:szCs w:val="16"/>
              </w:rPr>
            </w:pPr>
            <w:r w:rsidRPr="00873B6C">
              <w:rPr>
                <w:sz w:val="16"/>
                <w:szCs w:val="16"/>
              </w:rPr>
              <w:t>18.3.0</w:t>
            </w:r>
          </w:p>
        </w:tc>
      </w:tr>
      <w:tr w:rsidR="002E6C8C" w:rsidRPr="00873B6C" w14:paraId="36F09E6F" w14:textId="77777777" w:rsidTr="009D14FB">
        <w:tc>
          <w:tcPr>
            <w:tcW w:w="800" w:type="dxa"/>
            <w:shd w:val="solid" w:color="FFFFFF" w:fill="auto"/>
          </w:tcPr>
          <w:p w14:paraId="5D3C9E8B" w14:textId="47FADFEA" w:rsidR="002E6C8C" w:rsidRPr="00873B6C" w:rsidRDefault="002E6C8C" w:rsidP="00591B52">
            <w:pPr>
              <w:pStyle w:val="TAC"/>
              <w:rPr>
                <w:sz w:val="16"/>
                <w:szCs w:val="16"/>
              </w:rPr>
            </w:pPr>
            <w:r w:rsidRPr="00873B6C">
              <w:rPr>
                <w:sz w:val="16"/>
                <w:szCs w:val="16"/>
              </w:rPr>
              <w:t>2023-12</w:t>
            </w:r>
          </w:p>
        </w:tc>
        <w:tc>
          <w:tcPr>
            <w:tcW w:w="800" w:type="dxa"/>
            <w:shd w:val="solid" w:color="FFFFFF" w:fill="auto"/>
          </w:tcPr>
          <w:p w14:paraId="799B25B7" w14:textId="7E6CFACE" w:rsidR="002E6C8C" w:rsidRPr="00873B6C" w:rsidRDefault="002E6C8C" w:rsidP="00591B52">
            <w:pPr>
              <w:pStyle w:val="TAL"/>
              <w:rPr>
                <w:sz w:val="16"/>
                <w:szCs w:val="16"/>
              </w:rPr>
            </w:pPr>
            <w:r w:rsidRPr="00873B6C">
              <w:rPr>
                <w:sz w:val="16"/>
                <w:szCs w:val="16"/>
              </w:rPr>
              <w:t>SP#102</w:t>
            </w:r>
          </w:p>
        </w:tc>
        <w:tc>
          <w:tcPr>
            <w:tcW w:w="1094" w:type="dxa"/>
            <w:shd w:val="solid" w:color="FFFFFF" w:fill="auto"/>
          </w:tcPr>
          <w:p w14:paraId="5002DAE9" w14:textId="6293AF74" w:rsidR="002E6C8C" w:rsidRPr="00873B6C" w:rsidRDefault="002E6C8C" w:rsidP="00591B52">
            <w:pPr>
              <w:pStyle w:val="TAC"/>
              <w:rPr>
                <w:sz w:val="16"/>
                <w:szCs w:val="16"/>
              </w:rPr>
            </w:pPr>
            <w:r w:rsidRPr="00873B6C">
              <w:rPr>
                <w:sz w:val="16"/>
                <w:szCs w:val="16"/>
              </w:rPr>
              <w:t>SP-231260</w:t>
            </w:r>
          </w:p>
        </w:tc>
        <w:tc>
          <w:tcPr>
            <w:tcW w:w="567" w:type="dxa"/>
            <w:shd w:val="solid" w:color="FFFFFF" w:fill="auto"/>
          </w:tcPr>
          <w:p w14:paraId="1894F92F" w14:textId="35DEB922" w:rsidR="002E6C8C" w:rsidRPr="00873B6C" w:rsidRDefault="002E6C8C" w:rsidP="00591B52">
            <w:pPr>
              <w:pStyle w:val="TAL"/>
              <w:rPr>
                <w:sz w:val="16"/>
                <w:szCs w:val="16"/>
              </w:rPr>
            </w:pPr>
            <w:r w:rsidRPr="00873B6C">
              <w:rPr>
                <w:sz w:val="16"/>
                <w:szCs w:val="16"/>
              </w:rPr>
              <w:t>4350</w:t>
            </w:r>
          </w:p>
        </w:tc>
        <w:tc>
          <w:tcPr>
            <w:tcW w:w="425" w:type="dxa"/>
            <w:shd w:val="solid" w:color="FFFFFF" w:fill="auto"/>
          </w:tcPr>
          <w:p w14:paraId="26284011" w14:textId="3C71106A" w:rsidR="002E6C8C" w:rsidRPr="00873B6C" w:rsidRDefault="002E6C8C" w:rsidP="00591B52">
            <w:pPr>
              <w:pStyle w:val="TAL"/>
              <w:rPr>
                <w:sz w:val="16"/>
                <w:szCs w:val="16"/>
              </w:rPr>
            </w:pPr>
            <w:r w:rsidRPr="00873B6C">
              <w:rPr>
                <w:sz w:val="16"/>
                <w:szCs w:val="16"/>
              </w:rPr>
              <w:t>4</w:t>
            </w:r>
          </w:p>
        </w:tc>
        <w:tc>
          <w:tcPr>
            <w:tcW w:w="425" w:type="dxa"/>
            <w:shd w:val="solid" w:color="FFFFFF" w:fill="auto"/>
          </w:tcPr>
          <w:p w14:paraId="712E844B" w14:textId="588F7BC9" w:rsidR="002E6C8C" w:rsidRPr="00873B6C" w:rsidRDefault="002E6C8C" w:rsidP="00591B52">
            <w:pPr>
              <w:pStyle w:val="TAL"/>
              <w:rPr>
                <w:sz w:val="16"/>
                <w:szCs w:val="16"/>
              </w:rPr>
            </w:pPr>
            <w:r w:rsidRPr="00873B6C">
              <w:rPr>
                <w:sz w:val="16"/>
                <w:szCs w:val="16"/>
              </w:rPr>
              <w:t>F</w:t>
            </w:r>
          </w:p>
        </w:tc>
        <w:tc>
          <w:tcPr>
            <w:tcW w:w="4820" w:type="dxa"/>
            <w:shd w:val="solid" w:color="FFFFFF" w:fill="auto"/>
          </w:tcPr>
          <w:p w14:paraId="20963353" w14:textId="138CC097" w:rsidR="002E6C8C" w:rsidRPr="00873B6C" w:rsidRDefault="002E6C8C" w:rsidP="00591B52">
            <w:pPr>
              <w:pStyle w:val="TAL"/>
              <w:rPr>
                <w:sz w:val="16"/>
                <w:szCs w:val="16"/>
              </w:rPr>
            </w:pPr>
            <w:r w:rsidRPr="00873B6C">
              <w:rPr>
                <w:sz w:val="16"/>
                <w:szCs w:val="16"/>
              </w:rPr>
              <w:t>Clarification on the list of TAs associated with S-NSSAI partially rejected in the RA</w:t>
            </w:r>
          </w:p>
        </w:tc>
        <w:tc>
          <w:tcPr>
            <w:tcW w:w="708" w:type="dxa"/>
            <w:shd w:val="solid" w:color="FFFFFF" w:fill="auto"/>
          </w:tcPr>
          <w:p w14:paraId="3D3BB737" w14:textId="19C509EB" w:rsidR="002E6C8C" w:rsidRPr="00873B6C" w:rsidRDefault="002E6C8C" w:rsidP="00591B52">
            <w:pPr>
              <w:pStyle w:val="TAC"/>
              <w:rPr>
                <w:sz w:val="16"/>
                <w:szCs w:val="16"/>
              </w:rPr>
            </w:pPr>
            <w:r w:rsidRPr="00873B6C">
              <w:rPr>
                <w:sz w:val="16"/>
                <w:szCs w:val="16"/>
              </w:rPr>
              <w:t>18.4.0</w:t>
            </w:r>
          </w:p>
        </w:tc>
      </w:tr>
      <w:tr w:rsidR="002E6C8C" w:rsidRPr="00873B6C" w14:paraId="70A6D532" w14:textId="77777777" w:rsidTr="009D14FB">
        <w:tc>
          <w:tcPr>
            <w:tcW w:w="800" w:type="dxa"/>
            <w:shd w:val="solid" w:color="FFFFFF" w:fill="auto"/>
          </w:tcPr>
          <w:p w14:paraId="4CAD5B3F" w14:textId="4B4DD15B" w:rsidR="002E6C8C" w:rsidRPr="00873B6C" w:rsidRDefault="002E6C8C" w:rsidP="00591B52">
            <w:pPr>
              <w:pStyle w:val="TAC"/>
              <w:rPr>
                <w:sz w:val="16"/>
                <w:szCs w:val="16"/>
              </w:rPr>
            </w:pPr>
            <w:r w:rsidRPr="00873B6C">
              <w:rPr>
                <w:sz w:val="16"/>
                <w:szCs w:val="16"/>
              </w:rPr>
              <w:t>2023-12</w:t>
            </w:r>
          </w:p>
        </w:tc>
        <w:tc>
          <w:tcPr>
            <w:tcW w:w="800" w:type="dxa"/>
            <w:shd w:val="solid" w:color="FFFFFF" w:fill="auto"/>
          </w:tcPr>
          <w:p w14:paraId="31924D83" w14:textId="03656302" w:rsidR="002E6C8C" w:rsidRPr="00873B6C" w:rsidRDefault="002E6C8C" w:rsidP="00591B52">
            <w:pPr>
              <w:pStyle w:val="TAL"/>
              <w:rPr>
                <w:sz w:val="16"/>
                <w:szCs w:val="16"/>
              </w:rPr>
            </w:pPr>
            <w:r w:rsidRPr="00873B6C">
              <w:rPr>
                <w:sz w:val="16"/>
                <w:szCs w:val="16"/>
              </w:rPr>
              <w:t>SP#102</w:t>
            </w:r>
          </w:p>
        </w:tc>
        <w:tc>
          <w:tcPr>
            <w:tcW w:w="1094" w:type="dxa"/>
            <w:shd w:val="solid" w:color="FFFFFF" w:fill="auto"/>
          </w:tcPr>
          <w:p w14:paraId="54B47B52" w14:textId="20A05AB3" w:rsidR="002E6C8C" w:rsidRPr="00873B6C" w:rsidRDefault="002E6C8C" w:rsidP="00591B52">
            <w:pPr>
              <w:pStyle w:val="TAC"/>
              <w:rPr>
                <w:sz w:val="16"/>
                <w:szCs w:val="16"/>
              </w:rPr>
            </w:pPr>
            <w:r w:rsidRPr="00873B6C">
              <w:rPr>
                <w:sz w:val="16"/>
                <w:szCs w:val="16"/>
              </w:rPr>
              <w:t>SP-231260</w:t>
            </w:r>
          </w:p>
        </w:tc>
        <w:tc>
          <w:tcPr>
            <w:tcW w:w="567" w:type="dxa"/>
            <w:shd w:val="solid" w:color="FFFFFF" w:fill="auto"/>
          </w:tcPr>
          <w:p w14:paraId="2AEBE5BD" w14:textId="6393FA1F" w:rsidR="002E6C8C" w:rsidRPr="00873B6C" w:rsidRDefault="002E6C8C" w:rsidP="00591B52">
            <w:pPr>
              <w:pStyle w:val="TAL"/>
              <w:rPr>
                <w:sz w:val="16"/>
                <w:szCs w:val="16"/>
              </w:rPr>
            </w:pPr>
            <w:r w:rsidRPr="00873B6C">
              <w:rPr>
                <w:sz w:val="16"/>
                <w:szCs w:val="16"/>
              </w:rPr>
              <w:t>4480</w:t>
            </w:r>
          </w:p>
        </w:tc>
        <w:tc>
          <w:tcPr>
            <w:tcW w:w="425" w:type="dxa"/>
            <w:shd w:val="solid" w:color="FFFFFF" w:fill="auto"/>
          </w:tcPr>
          <w:p w14:paraId="36D93B2F" w14:textId="3EEF7285" w:rsidR="002E6C8C" w:rsidRPr="00873B6C" w:rsidRDefault="002E6C8C" w:rsidP="00591B52">
            <w:pPr>
              <w:pStyle w:val="TAL"/>
              <w:rPr>
                <w:sz w:val="16"/>
                <w:szCs w:val="16"/>
              </w:rPr>
            </w:pPr>
            <w:r w:rsidRPr="00873B6C">
              <w:rPr>
                <w:sz w:val="16"/>
                <w:szCs w:val="16"/>
              </w:rPr>
              <w:t>5</w:t>
            </w:r>
          </w:p>
        </w:tc>
        <w:tc>
          <w:tcPr>
            <w:tcW w:w="425" w:type="dxa"/>
            <w:shd w:val="solid" w:color="FFFFFF" w:fill="auto"/>
          </w:tcPr>
          <w:p w14:paraId="46C04467" w14:textId="03092A71" w:rsidR="002E6C8C" w:rsidRPr="00873B6C" w:rsidRDefault="002E6C8C" w:rsidP="00591B52">
            <w:pPr>
              <w:pStyle w:val="TAL"/>
              <w:rPr>
                <w:sz w:val="16"/>
                <w:szCs w:val="16"/>
              </w:rPr>
            </w:pPr>
            <w:r w:rsidRPr="00873B6C">
              <w:rPr>
                <w:sz w:val="16"/>
                <w:szCs w:val="16"/>
              </w:rPr>
              <w:t>F</w:t>
            </w:r>
          </w:p>
        </w:tc>
        <w:tc>
          <w:tcPr>
            <w:tcW w:w="4820" w:type="dxa"/>
            <w:shd w:val="solid" w:color="FFFFFF" w:fill="auto"/>
          </w:tcPr>
          <w:p w14:paraId="590D0473" w14:textId="11ADE787" w:rsidR="002E6C8C" w:rsidRPr="00873B6C" w:rsidRDefault="002E6C8C" w:rsidP="00591B52">
            <w:pPr>
              <w:pStyle w:val="TAL"/>
              <w:rPr>
                <w:sz w:val="16"/>
                <w:szCs w:val="16"/>
              </w:rPr>
            </w:pPr>
            <w:r w:rsidRPr="00873B6C">
              <w:rPr>
                <w:sz w:val="16"/>
                <w:szCs w:val="16"/>
              </w:rPr>
              <w:t>PDU session inactivity timer for MAPDU session</w:t>
            </w:r>
          </w:p>
        </w:tc>
        <w:tc>
          <w:tcPr>
            <w:tcW w:w="708" w:type="dxa"/>
            <w:shd w:val="solid" w:color="FFFFFF" w:fill="auto"/>
          </w:tcPr>
          <w:p w14:paraId="6370923B" w14:textId="5797DB8B" w:rsidR="002E6C8C" w:rsidRPr="00873B6C" w:rsidRDefault="002E6C8C" w:rsidP="00591B52">
            <w:pPr>
              <w:pStyle w:val="TAC"/>
              <w:rPr>
                <w:sz w:val="16"/>
                <w:szCs w:val="16"/>
              </w:rPr>
            </w:pPr>
            <w:r w:rsidRPr="00873B6C">
              <w:rPr>
                <w:sz w:val="16"/>
                <w:szCs w:val="16"/>
              </w:rPr>
              <w:t>18.4.0</w:t>
            </w:r>
          </w:p>
        </w:tc>
      </w:tr>
      <w:tr w:rsidR="002E6C8C" w:rsidRPr="00873B6C" w14:paraId="2DAA6BBE" w14:textId="77777777" w:rsidTr="009D14FB">
        <w:tc>
          <w:tcPr>
            <w:tcW w:w="800" w:type="dxa"/>
            <w:shd w:val="solid" w:color="FFFFFF" w:fill="auto"/>
          </w:tcPr>
          <w:p w14:paraId="14D47968" w14:textId="7DF428DE" w:rsidR="002E6C8C" w:rsidRPr="00873B6C" w:rsidRDefault="002E6C8C" w:rsidP="00591B52">
            <w:pPr>
              <w:pStyle w:val="TAC"/>
              <w:rPr>
                <w:sz w:val="16"/>
                <w:szCs w:val="16"/>
              </w:rPr>
            </w:pPr>
            <w:r w:rsidRPr="00873B6C">
              <w:rPr>
                <w:sz w:val="16"/>
                <w:szCs w:val="16"/>
              </w:rPr>
              <w:t>2023-12</w:t>
            </w:r>
          </w:p>
        </w:tc>
        <w:tc>
          <w:tcPr>
            <w:tcW w:w="800" w:type="dxa"/>
            <w:shd w:val="solid" w:color="FFFFFF" w:fill="auto"/>
          </w:tcPr>
          <w:p w14:paraId="36423976" w14:textId="1AD0CC7B" w:rsidR="002E6C8C" w:rsidRPr="00873B6C" w:rsidRDefault="002E6C8C" w:rsidP="00591B52">
            <w:pPr>
              <w:pStyle w:val="TAL"/>
              <w:rPr>
                <w:sz w:val="16"/>
                <w:szCs w:val="16"/>
              </w:rPr>
            </w:pPr>
            <w:r w:rsidRPr="00873B6C">
              <w:rPr>
                <w:sz w:val="16"/>
                <w:szCs w:val="16"/>
              </w:rPr>
              <w:t>SP#102</w:t>
            </w:r>
          </w:p>
        </w:tc>
        <w:tc>
          <w:tcPr>
            <w:tcW w:w="1094" w:type="dxa"/>
            <w:shd w:val="solid" w:color="FFFFFF" w:fill="auto"/>
          </w:tcPr>
          <w:p w14:paraId="25A343ED" w14:textId="6BF58DFF" w:rsidR="002E6C8C" w:rsidRPr="00873B6C" w:rsidRDefault="002E6C8C" w:rsidP="00591B52">
            <w:pPr>
              <w:pStyle w:val="TAC"/>
              <w:rPr>
                <w:sz w:val="16"/>
                <w:szCs w:val="16"/>
              </w:rPr>
            </w:pPr>
            <w:r w:rsidRPr="00873B6C">
              <w:rPr>
                <w:sz w:val="16"/>
                <w:szCs w:val="16"/>
              </w:rPr>
              <w:t>SP-231260</w:t>
            </w:r>
          </w:p>
        </w:tc>
        <w:tc>
          <w:tcPr>
            <w:tcW w:w="567" w:type="dxa"/>
            <w:shd w:val="solid" w:color="FFFFFF" w:fill="auto"/>
          </w:tcPr>
          <w:p w14:paraId="0371AFB2" w14:textId="574139AA" w:rsidR="002E6C8C" w:rsidRPr="00873B6C" w:rsidRDefault="002E6C8C" w:rsidP="00591B52">
            <w:pPr>
              <w:pStyle w:val="TAL"/>
              <w:rPr>
                <w:sz w:val="16"/>
                <w:szCs w:val="16"/>
              </w:rPr>
            </w:pPr>
            <w:r w:rsidRPr="00873B6C">
              <w:rPr>
                <w:sz w:val="16"/>
                <w:szCs w:val="16"/>
              </w:rPr>
              <w:t>4631</w:t>
            </w:r>
          </w:p>
        </w:tc>
        <w:tc>
          <w:tcPr>
            <w:tcW w:w="425" w:type="dxa"/>
            <w:shd w:val="solid" w:color="FFFFFF" w:fill="auto"/>
          </w:tcPr>
          <w:p w14:paraId="3B6DF5EA" w14:textId="7C4E0453" w:rsidR="002E6C8C" w:rsidRPr="00873B6C" w:rsidRDefault="002E6C8C" w:rsidP="00591B52">
            <w:pPr>
              <w:pStyle w:val="TAL"/>
              <w:rPr>
                <w:sz w:val="16"/>
                <w:szCs w:val="16"/>
              </w:rPr>
            </w:pPr>
            <w:r w:rsidRPr="00873B6C">
              <w:rPr>
                <w:sz w:val="16"/>
                <w:szCs w:val="16"/>
              </w:rPr>
              <w:t>8</w:t>
            </w:r>
          </w:p>
        </w:tc>
        <w:tc>
          <w:tcPr>
            <w:tcW w:w="425" w:type="dxa"/>
            <w:shd w:val="solid" w:color="FFFFFF" w:fill="auto"/>
          </w:tcPr>
          <w:p w14:paraId="047FD8F8" w14:textId="5808CEA0" w:rsidR="002E6C8C" w:rsidRPr="00873B6C" w:rsidRDefault="002E6C8C" w:rsidP="00591B52">
            <w:pPr>
              <w:pStyle w:val="TAL"/>
              <w:rPr>
                <w:sz w:val="16"/>
                <w:szCs w:val="16"/>
              </w:rPr>
            </w:pPr>
            <w:r w:rsidRPr="00873B6C">
              <w:rPr>
                <w:sz w:val="16"/>
                <w:szCs w:val="16"/>
              </w:rPr>
              <w:t>F</w:t>
            </w:r>
          </w:p>
        </w:tc>
        <w:tc>
          <w:tcPr>
            <w:tcW w:w="4820" w:type="dxa"/>
            <w:shd w:val="solid" w:color="FFFFFF" w:fill="auto"/>
          </w:tcPr>
          <w:p w14:paraId="37B35618" w14:textId="64EBAE4F" w:rsidR="002E6C8C" w:rsidRPr="00873B6C" w:rsidRDefault="002E6C8C" w:rsidP="00591B52">
            <w:pPr>
              <w:pStyle w:val="TAL"/>
              <w:rPr>
                <w:sz w:val="16"/>
                <w:szCs w:val="16"/>
              </w:rPr>
            </w:pPr>
            <w:r w:rsidRPr="00873B6C">
              <w:rPr>
                <w:sz w:val="16"/>
                <w:szCs w:val="16"/>
              </w:rPr>
              <w:t>Handling of rejected S-NSSAI from the NSSF by AMF:KI#5</w:t>
            </w:r>
          </w:p>
        </w:tc>
        <w:tc>
          <w:tcPr>
            <w:tcW w:w="708" w:type="dxa"/>
            <w:shd w:val="solid" w:color="FFFFFF" w:fill="auto"/>
          </w:tcPr>
          <w:p w14:paraId="75FAB2CD" w14:textId="408AF2E7" w:rsidR="002E6C8C" w:rsidRPr="00873B6C" w:rsidRDefault="002E6C8C" w:rsidP="00591B52">
            <w:pPr>
              <w:pStyle w:val="TAC"/>
              <w:rPr>
                <w:sz w:val="16"/>
                <w:szCs w:val="16"/>
              </w:rPr>
            </w:pPr>
            <w:r w:rsidRPr="00873B6C">
              <w:rPr>
                <w:sz w:val="16"/>
                <w:szCs w:val="16"/>
              </w:rPr>
              <w:t>18.4.0</w:t>
            </w:r>
          </w:p>
        </w:tc>
      </w:tr>
      <w:tr w:rsidR="00EF4A8B" w:rsidRPr="00873B6C" w14:paraId="0C8942FD" w14:textId="77777777" w:rsidTr="00C9561D">
        <w:tc>
          <w:tcPr>
            <w:tcW w:w="800" w:type="dxa"/>
            <w:shd w:val="solid" w:color="FFFFFF" w:fill="auto"/>
          </w:tcPr>
          <w:p w14:paraId="07748156" w14:textId="77777777" w:rsidR="00EF4A8B" w:rsidRPr="00873B6C" w:rsidRDefault="00EF4A8B" w:rsidP="00C9561D">
            <w:pPr>
              <w:pStyle w:val="TAC"/>
              <w:rPr>
                <w:sz w:val="16"/>
                <w:szCs w:val="16"/>
              </w:rPr>
            </w:pPr>
            <w:r w:rsidRPr="00873B6C">
              <w:rPr>
                <w:sz w:val="16"/>
                <w:szCs w:val="16"/>
              </w:rPr>
              <w:t>2023-12</w:t>
            </w:r>
          </w:p>
        </w:tc>
        <w:tc>
          <w:tcPr>
            <w:tcW w:w="800" w:type="dxa"/>
            <w:shd w:val="solid" w:color="FFFFFF" w:fill="auto"/>
          </w:tcPr>
          <w:p w14:paraId="1B92663C" w14:textId="77777777" w:rsidR="00EF4A8B" w:rsidRPr="00873B6C" w:rsidRDefault="00EF4A8B" w:rsidP="00C9561D">
            <w:pPr>
              <w:pStyle w:val="TAL"/>
              <w:rPr>
                <w:sz w:val="16"/>
                <w:szCs w:val="16"/>
              </w:rPr>
            </w:pPr>
            <w:r w:rsidRPr="00873B6C">
              <w:rPr>
                <w:sz w:val="16"/>
                <w:szCs w:val="16"/>
              </w:rPr>
              <w:t>SP#102</w:t>
            </w:r>
          </w:p>
        </w:tc>
        <w:tc>
          <w:tcPr>
            <w:tcW w:w="1094" w:type="dxa"/>
            <w:shd w:val="solid" w:color="FFFFFF" w:fill="auto"/>
          </w:tcPr>
          <w:p w14:paraId="5A68C2CB" w14:textId="77777777" w:rsidR="00EF4A8B" w:rsidRPr="00873B6C" w:rsidRDefault="00EF4A8B" w:rsidP="00C9561D">
            <w:pPr>
              <w:pStyle w:val="TAC"/>
              <w:rPr>
                <w:sz w:val="16"/>
                <w:szCs w:val="16"/>
              </w:rPr>
            </w:pPr>
            <w:r w:rsidRPr="00873B6C">
              <w:rPr>
                <w:sz w:val="16"/>
                <w:szCs w:val="16"/>
              </w:rPr>
              <w:t>SP-231362</w:t>
            </w:r>
          </w:p>
        </w:tc>
        <w:tc>
          <w:tcPr>
            <w:tcW w:w="567" w:type="dxa"/>
            <w:shd w:val="solid" w:color="FFFFFF" w:fill="auto"/>
          </w:tcPr>
          <w:p w14:paraId="0005CC07" w14:textId="77777777" w:rsidR="00EF4A8B" w:rsidRPr="00873B6C" w:rsidRDefault="00EF4A8B" w:rsidP="00C9561D">
            <w:pPr>
              <w:pStyle w:val="TAL"/>
              <w:rPr>
                <w:sz w:val="16"/>
                <w:szCs w:val="16"/>
              </w:rPr>
            </w:pPr>
            <w:r w:rsidRPr="00873B6C">
              <w:rPr>
                <w:sz w:val="16"/>
                <w:szCs w:val="16"/>
              </w:rPr>
              <w:t>4649</w:t>
            </w:r>
          </w:p>
        </w:tc>
        <w:tc>
          <w:tcPr>
            <w:tcW w:w="425" w:type="dxa"/>
            <w:shd w:val="solid" w:color="FFFFFF" w:fill="auto"/>
          </w:tcPr>
          <w:p w14:paraId="7970D9B1" w14:textId="77777777" w:rsidR="00EF4A8B" w:rsidRPr="00873B6C" w:rsidRDefault="00EF4A8B" w:rsidP="00C9561D">
            <w:pPr>
              <w:pStyle w:val="TAL"/>
              <w:rPr>
                <w:sz w:val="16"/>
                <w:szCs w:val="16"/>
              </w:rPr>
            </w:pPr>
            <w:r w:rsidRPr="00873B6C">
              <w:rPr>
                <w:sz w:val="16"/>
                <w:szCs w:val="16"/>
              </w:rPr>
              <w:t>6</w:t>
            </w:r>
          </w:p>
        </w:tc>
        <w:tc>
          <w:tcPr>
            <w:tcW w:w="425" w:type="dxa"/>
            <w:shd w:val="solid" w:color="FFFFFF" w:fill="auto"/>
          </w:tcPr>
          <w:p w14:paraId="795C617F" w14:textId="77777777" w:rsidR="00EF4A8B" w:rsidRPr="00873B6C" w:rsidRDefault="00EF4A8B" w:rsidP="00C9561D">
            <w:pPr>
              <w:pStyle w:val="TAL"/>
              <w:rPr>
                <w:sz w:val="16"/>
                <w:szCs w:val="16"/>
              </w:rPr>
            </w:pPr>
            <w:r w:rsidRPr="00873B6C">
              <w:rPr>
                <w:sz w:val="16"/>
                <w:szCs w:val="16"/>
              </w:rPr>
              <w:t>F</w:t>
            </w:r>
          </w:p>
        </w:tc>
        <w:tc>
          <w:tcPr>
            <w:tcW w:w="4820" w:type="dxa"/>
            <w:shd w:val="solid" w:color="FFFFFF" w:fill="auto"/>
          </w:tcPr>
          <w:p w14:paraId="6815390C" w14:textId="77777777" w:rsidR="00EF4A8B" w:rsidRPr="00873B6C" w:rsidRDefault="00EF4A8B" w:rsidP="00C9561D">
            <w:pPr>
              <w:pStyle w:val="TAL"/>
              <w:rPr>
                <w:sz w:val="16"/>
                <w:szCs w:val="16"/>
              </w:rPr>
            </w:pPr>
            <w:r w:rsidRPr="00873B6C">
              <w:rPr>
                <w:sz w:val="16"/>
                <w:szCs w:val="16"/>
              </w:rPr>
              <w:t>Clean Up of Hierarchical NSAC Architecture</w:t>
            </w:r>
          </w:p>
        </w:tc>
        <w:tc>
          <w:tcPr>
            <w:tcW w:w="708" w:type="dxa"/>
            <w:shd w:val="solid" w:color="FFFFFF" w:fill="auto"/>
          </w:tcPr>
          <w:p w14:paraId="113A8191" w14:textId="77777777" w:rsidR="00EF4A8B" w:rsidRPr="00873B6C" w:rsidRDefault="00EF4A8B" w:rsidP="00C9561D">
            <w:pPr>
              <w:pStyle w:val="TAC"/>
              <w:rPr>
                <w:sz w:val="16"/>
                <w:szCs w:val="16"/>
              </w:rPr>
            </w:pPr>
            <w:r w:rsidRPr="00873B6C">
              <w:rPr>
                <w:sz w:val="16"/>
                <w:szCs w:val="16"/>
              </w:rPr>
              <w:t>18.4.0</w:t>
            </w:r>
          </w:p>
        </w:tc>
      </w:tr>
      <w:tr w:rsidR="00893B12" w:rsidRPr="00873B6C" w14:paraId="3593EBF1" w14:textId="77777777" w:rsidTr="009D14FB">
        <w:tc>
          <w:tcPr>
            <w:tcW w:w="800" w:type="dxa"/>
            <w:shd w:val="solid" w:color="FFFFFF" w:fill="auto"/>
          </w:tcPr>
          <w:p w14:paraId="0D21169E" w14:textId="06CF5DE3"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496D7427" w14:textId="5C517F11"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070DE452" w14:textId="5DC10C8A" w:rsidR="00893B12" w:rsidRPr="00873B6C" w:rsidRDefault="00893B12" w:rsidP="00591B52">
            <w:pPr>
              <w:pStyle w:val="TAC"/>
              <w:rPr>
                <w:sz w:val="16"/>
                <w:szCs w:val="16"/>
              </w:rPr>
            </w:pPr>
            <w:r w:rsidRPr="00873B6C">
              <w:rPr>
                <w:sz w:val="16"/>
                <w:szCs w:val="16"/>
              </w:rPr>
              <w:t>SP-231249</w:t>
            </w:r>
          </w:p>
        </w:tc>
        <w:tc>
          <w:tcPr>
            <w:tcW w:w="567" w:type="dxa"/>
            <w:shd w:val="solid" w:color="FFFFFF" w:fill="auto"/>
          </w:tcPr>
          <w:p w14:paraId="3AFCE3B3" w14:textId="3D849275" w:rsidR="00893B12" w:rsidRPr="00873B6C" w:rsidRDefault="00893B12" w:rsidP="00591B52">
            <w:pPr>
              <w:pStyle w:val="TAL"/>
              <w:rPr>
                <w:sz w:val="16"/>
                <w:szCs w:val="16"/>
              </w:rPr>
            </w:pPr>
            <w:r w:rsidRPr="00873B6C">
              <w:rPr>
                <w:sz w:val="16"/>
                <w:szCs w:val="16"/>
              </w:rPr>
              <w:t>4689</w:t>
            </w:r>
          </w:p>
        </w:tc>
        <w:tc>
          <w:tcPr>
            <w:tcW w:w="425" w:type="dxa"/>
            <w:shd w:val="solid" w:color="FFFFFF" w:fill="auto"/>
          </w:tcPr>
          <w:p w14:paraId="12B80F90" w14:textId="21F35FD5" w:rsidR="00893B12" w:rsidRPr="00873B6C" w:rsidRDefault="00893B12" w:rsidP="00591B52">
            <w:pPr>
              <w:pStyle w:val="TAL"/>
              <w:rPr>
                <w:sz w:val="16"/>
                <w:szCs w:val="16"/>
              </w:rPr>
            </w:pPr>
            <w:r w:rsidRPr="00873B6C">
              <w:rPr>
                <w:sz w:val="16"/>
                <w:szCs w:val="16"/>
              </w:rPr>
              <w:t>3</w:t>
            </w:r>
          </w:p>
        </w:tc>
        <w:tc>
          <w:tcPr>
            <w:tcW w:w="425" w:type="dxa"/>
            <w:shd w:val="solid" w:color="FFFFFF" w:fill="auto"/>
          </w:tcPr>
          <w:p w14:paraId="3A39D05E" w14:textId="10B0333E"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56FB83CF" w14:textId="52AA823A" w:rsidR="00893B12" w:rsidRPr="00873B6C" w:rsidRDefault="00893B12" w:rsidP="00591B52">
            <w:pPr>
              <w:pStyle w:val="TAL"/>
              <w:rPr>
                <w:sz w:val="16"/>
                <w:szCs w:val="16"/>
              </w:rPr>
            </w:pPr>
            <w:r w:rsidRPr="00873B6C">
              <w:rPr>
                <w:sz w:val="16"/>
                <w:szCs w:val="16"/>
              </w:rPr>
              <w:t xml:space="preserve">Unavailability period EPC interworking aspects </w:t>
            </w:r>
          </w:p>
        </w:tc>
        <w:tc>
          <w:tcPr>
            <w:tcW w:w="708" w:type="dxa"/>
            <w:shd w:val="solid" w:color="FFFFFF" w:fill="auto"/>
          </w:tcPr>
          <w:p w14:paraId="09FC77FD" w14:textId="7252C774" w:rsidR="00893B12" w:rsidRPr="00873B6C" w:rsidRDefault="00893B12" w:rsidP="00591B52">
            <w:pPr>
              <w:pStyle w:val="TAC"/>
              <w:rPr>
                <w:sz w:val="16"/>
                <w:szCs w:val="16"/>
              </w:rPr>
            </w:pPr>
            <w:r w:rsidRPr="00873B6C">
              <w:rPr>
                <w:sz w:val="16"/>
                <w:szCs w:val="16"/>
              </w:rPr>
              <w:t>18.4.0</w:t>
            </w:r>
          </w:p>
        </w:tc>
      </w:tr>
      <w:tr w:rsidR="00893B12" w:rsidRPr="00873B6C" w14:paraId="2F70ECB3" w14:textId="77777777" w:rsidTr="009D14FB">
        <w:tc>
          <w:tcPr>
            <w:tcW w:w="800" w:type="dxa"/>
            <w:shd w:val="solid" w:color="FFFFFF" w:fill="auto"/>
          </w:tcPr>
          <w:p w14:paraId="4C67BD36" w14:textId="1A355A08"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42D2A58C" w14:textId="0BCBB7EE"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2625B90A" w14:textId="576A6FA8" w:rsidR="00893B12" w:rsidRPr="00873B6C" w:rsidRDefault="00893B12" w:rsidP="00591B52">
            <w:pPr>
              <w:pStyle w:val="TAC"/>
              <w:rPr>
                <w:sz w:val="16"/>
                <w:szCs w:val="16"/>
              </w:rPr>
            </w:pPr>
            <w:r w:rsidRPr="00873B6C">
              <w:rPr>
                <w:sz w:val="16"/>
                <w:szCs w:val="16"/>
              </w:rPr>
              <w:t>SP-231263</w:t>
            </w:r>
          </w:p>
        </w:tc>
        <w:tc>
          <w:tcPr>
            <w:tcW w:w="567" w:type="dxa"/>
            <w:shd w:val="solid" w:color="FFFFFF" w:fill="auto"/>
          </w:tcPr>
          <w:p w14:paraId="10386B8F" w14:textId="215BE2D4" w:rsidR="00893B12" w:rsidRPr="00873B6C" w:rsidRDefault="00893B12" w:rsidP="00591B52">
            <w:pPr>
              <w:pStyle w:val="TAL"/>
              <w:rPr>
                <w:sz w:val="16"/>
                <w:szCs w:val="16"/>
              </w:rPr>
            </w:pPr>
            <w:r w:rsidRPr="00873B6C">
              <w:rPr>
                <w:sz w:val="16"/>
                <w:szCs w:val="16"/>
              </w:rPr>
              <w:t>4724</w:t>
            </w:r>
          </w:p>
        </w:tc>
        <w:tc>
          <w:tcPr>
            <w:tcW w:w="425" w:type="dxa"/>
            <w:shd w:val="solid" w:color="FFFFFF" w:fill="auto"/>
          </w:tcPr>
          <w:p w14:paraId="5F8305E5" w14:textId="5D19AFC9" w:rsidR="00893B12" w:rsidRPr="00873B6C" w:rsidRDefault="00893B12" w:rsidP="00591B52">
            <w:pPr>
              <w:pStyle w:val="TAL"/>
              <w:rPr>
                <w:sz w:val="16"/>
                <w:szCs w:val="16"/>
              </w:rPr>
            </w:pPr>
            <w:r w:rsidRPr="00873B6C">
              <w:rPr>
                <w:sz w:val="16"/>
                <w:szCs w:val="16"/>
              </w:rPr>
              <w:t>3</w:t>
            </w:r>
          </w:p>
        </w:tc>
        <w:tc>
          <w:tcPr>
            <w:tcW w:w="425" w:type="dxa"/>
            <w:shd w:val="solid" w:color="FFFFFF" w:fill="auto"/>
          </w:tcPr>
          <w:p w14:paraId="4085FDD4" w14:textId="3D79AAE1"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6F678D79" w14:textId="7F9D530D" w:rsidR="00893B12" w:rsidRPr="00873B6C" w:rsidRDefault="00893B12" w:rsidP="00591B52">
            <w:pPr>
              <w:pStyle w:val="TAL"/>
              <w:rPr>
                <w:sz w:val="16"/>
                <w:szCs w:val="16"/>
              </w:rPr>
            </w:pPr>
            <w:r w:rsidRPr="00873B6C">
              <w:rPr>
                <w:sz w:val="16"/>
                <w:szCs w:val="16"/>
              </w:rPr>
              <w:t>Adding 'URSP delivery over EPS' capability in PCF profile in NRF (23.501)</w:t>
            </w:r>
          </w:p>
        </w:tc>
        <w:tc>
          <w:tcPr>
            <w:tcW w:w="708" w:type="dxa"/>
            <w:shd w:val="solid" w:color="FFFFFF" w:fill="auto"/>
          </w:tcPr>
          <w:p w14:paraId="72AB4487" w14:textId="51880758" w:rsidR="00893B12" w:rsidRPr="00873B6C" w:rsidRDefault="00893B12" w:rsidP="00591B52">
            <w:pPr>
              <w:pStyle w:val="TAC"/>
              <w:rPr>
                <w:sz w:val="16"/>
                <w:szCs w:val="16"/>
              </w:rPr>
            </w:pPr>
            <w:r w:rsidRPr="00873B6C">
              <w:rPr>
                <w:sz w:val="16"/>
                <w:szCs w:val="16"/>
              </w:rPr>
              <w:t>18.4.0</w:t>
            </w:r>
          </w:p>
        </w:tc>
      </w:tr>
      <w:tr w:rsidR="00893B12" w:rsidRPr="00873B6C" w14:paraId="4FB8FA5F" w14:textId="77777777" w:rsidTr="009D14FB">
        <w:tc>
          <w:tcPr>
            <w:tcW w:w="800" w:type="dxa"/>
            <w:shd w:val="solid" w:color="FFFFFF" w:fill="auto"/>
          </w:tcPr>
          <w:p w14:paraId="518B515C" w14:textId="0669DBD7"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68BD2251" w14:textId="26238BF7"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3ADA6CD8" w14:textId="2DD9A21F" w:rsidR="00893B12" w:rsidRPr="00873B6C" w:rsidRDefault="00893B12" w:rsidP="00591B52">
            <w:pPr>
              <w:pStyle w:val="TAC"/>
              <w:rPr>
                <w:sz w:val="16"/>
                <w:szCs w:val="16"/>
              </w:rPr>
            </w:pPr>
            <w:r w:rsidRPr="00873B6C">
              <w:rPr>
                <w:sz w:val="16"/>
                <w:szCs w:val="16"/>
              </w:rPr>
              <w:t>SP-231260</w:t>
            </w:r>
          </w:p>
        </w:tc>
        <w:tc>
          <w:tcPr>
            <w:tcW w:w="567" w:type="dxa"/>
            <w:shd w:val="solid" w:color="FFFFFF" w:fill="auto"/>
          </w:tcPr>
          <w:p w14:paraId="688E7821" w14:textId="3CBD59CC" w:rsidR="00893B12" w:rsidRPr="00873B6C" w:rsidRDefault="00893B12" w:rsidP="00591B52">
            <w:pPr>
              <w:pStyle w:val="TAL"/>
              <w:rPr>
                <w:sz w:val="16"/>
                <w:szCs w:val="16"/>
              </w:rPr>
            </w:pPr>
            <w:r w:rsidRPr="00873B6C">
              <w:rPr>
                <w:sz w:val="16"/>
                <w:szCs w:val="16"/>
              </w:rPr>
              <w:t>4740</w:t>
            </w:r>
          </w:p>
        </w:tc>
        <w:tc>
          <w:tcPr>
            <w:tcW w:w="425" w:type="dxa"/>
            <w:shd w:val="solid" w:color="FFFFFF" w:fill="auto"/>
          </w:tcPr>
          <w:p w14:paraId="3CA365C7" w14:textId="472AC37F" w:rsidR="00893B12" w:rsidRPr="00873B6C" w:rsidRDefault="00893B12" w:rsidP="00591B52">
            <w:pPr>
              <w:pStyle w:val="TAL"/>
              <w:rPr>
                <w:sz w:val="16"/>
                <w:szCs w:val="16"/>
              </w:rPr>
            </w:pPr>
            <w:r w:rsidRPr="00873B6C">
              <w:rPr>
                <w:sz w:val="16"/>
                <w:szCs w:val="16"/>
              </w:rPr>
              <w:t>4</w:t>
            </w:r>
          </w:p>
        </w:tc>
        <w:tc>
          <w:tcPr>
            <w:tcW w:w="425" w:type="dxa"/>
            <w:shd w:val="solid" w:color="FFFFFF" w:fill="auto"/>
          </w:tcPr>
          <w:p w14:paraId="63844A53" w14:textId="4E9AB78D"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6524337B" w14:textId="208082F4" w:rsidR="00893B12" w:rsidRPr="00873B6C" w:rsidRDefault="00893B12" w:rsidP="00591B52">
            <w:pPr>
              <w:pStyle w:val="TAL"/>
              <w:rPr>
                <w:sz w:val="16"/>
                <w:szCs w:val="16"/>
              </w:rPr>
            </w:pPr>
            <w:r w:rsidRPr="00873B6C">
              <w:rPr>
                <w:sz w:val="16"/>
                <w:szCs w:val="16"/>
              </w:rPr>
              <w:t>PDU Session management when the UE is outside the area of slice support or availability</w:t>
            </w:r>
          </w:p>
        </w:tc>
        <w:tc>
          <w:tcPr>
            <w:tcW w:w="708" w:type="dxa"/>
            <w:shd w:val="solid" w:color="FFFFFF" w:fill="auto"/>
          </w:tcPr>
          <w:p w14:paraId="38D7F403" w14:textId="7D2C7F3D" w:rsidR="00893B12" w:rsidRPr="00873B6C" w:rsidRDefault="00893B12" w:rsidP="00591B52">
            <w:pPr>
              <w:pStyle w:val="TAC"/>
              <w:rPr>
                <w:sz w:val="16"/>
                <w:szCs w:val="16"/>
              </w:rPr>
            </w:pPr>
            <w:r w:rsidRPr="00873B6C">
              <w:rPr>
                <w:sz w:val="16"/>
                <w:szCs w:val="16"/>
              </w:rPr>
              <w:t>18.4.0</w:t>
            </w:r>
          </w:p>
        </w:tc>
      </w:tr>
      <w:tr w:rsidR="00893B12" w:rsidRPr="00873B6C" w14:paraId="17B4692C" w14:textId="77777777" w:rsidTr="009D14FB">
        <w:tc>
          <w:tcPr>
            <w:tcW w:w="800" w:type="dxa"/>
            <w:shd w:val="solid" w:color="FFFFFF" w:fill="auto"/>
          </w:tcPr>
          <w:p w14:paraId="5EDFD800" w14:textId="7F336E95"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4C6E556F" w14:textId="732653C5"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3FD07092" w14:textId="6437AE78" w:rsidR="00893B12" w:rsidRPr="00873B6C" w:rsidRDefault="00893B12" w:rsidP="00591B52">
            <w:pPr>
              <w:pStyle w:val="TAC"/>
              <w:rPr>
                <w:sz w:val="16"/>
                <w:szCs w:val="16"/>
              </w:rPr>
            </w:pPr>
            <w:r w:rsidRPr="00873B6C">
              <w:rPr>
                <w:sz w:val="16"/>
                <w:szCs w:val="16"/>
              </w:rPr>
              <w:t>SP-231234</w:t>
            </w:r>
          </w:p>
        </w:tc>
        <w:tc>
          <w:tcPr>
            <w:tcW w:w="567" w:type="dxa"/>
            <w:shd w:val="solid" w:color="FFFFFF" w:fill="auto"/>
          </w:tcPr>
          <w:p w14:paraId="3A7B646F" w14:textId="2068A055" w:rsidR="00893B12" w:rsidRPr="00873B6C" w:rsidRDefault="00893B12" w:rsidP="00591B52">
            <w:pPr>
              <w:pStyle w:val="TAL"/>
              <w:rPr>
                <w:sz w:val="16"/>
                <w:szCs w:val="16"/>
              </w:rPr>
            </w:pPr>
            <w:r w:rsidRPr="00873B6C">
              <w:rPr>
                <w:sz w:val="16"/>
                <w:szCs w:val="16"/>
              </w:rPr>
              <w:t>4744</w:t>
            </w:r>
          </w:p>
        </w:tc>
        <w:tc>
          <w:tcPr>
            <w:tcW w:w="425" w:type="dxa"/>
            <w:shd w:val="solid" w:color="FFFFFF" w:fill="auto"/>
          </w:tcPr>
          <w:p w14:paraId="2AC8D689" w14:textId="68DBA8C7" w:rsidR="00893B12" w:rsidRPr="00873B6C" w:rsidRDefault="00893B12" w:rsidP="00591B52">
            <w:pPr>
              <w:pStyle w:val="TAL"/>
              <w:rPr>
                <w:sz w:val="16"/>
                <w:szCs w:val="16"/>
              </w:rPr>
            </w:pPr>
            <w:r w:rsidRPr="00873B6C">
              <w:rPr>
                <w:sz w:val="16"/>
                <w:szCs w:val="16"/>
              </w:rPr>
              <w:t>7</w:t>
            </w:r>
          </w:p>
        </w:tc>
        <w:tc>
          <w:tcPr>
            <w:tcW w:w="425" w:type="dxa"/>
            <w:shd w:val="solid" w:color="FFFFFF" w:fill="auto"/>
          </w:tcPr>
          <w:p w14:paraId="75DB01EF" w14:textId="4DE6DA92" w:rsidR="00893B12" w:rsidRPr="00873B6C" w:rsidRDefault="00893B12" w:rsidP="00591B52">
            <w:pPr>
              <w:pStyle w:val="TAL"/>
              <w:rPr>
                <w:sz w:val="16"/>
                <w:szCs w:val="16"/>
              </w:rPr>
            </w:pPr>
            <w:r w:rsidRPr="00873B6C">
              <w:rPr>
                <w:sz w:val="16"/>
                <w:szCs w:val="16"/>
              </w:rPr>
              <w:t>B</w:t>
            </w:r>
          </w:p>
        </w:tc>
        <w:tc>
          <w:tcPr>
            <w:tcW w:w="4820" w:type="dxa"/>
            <w:shd w:val="solid" w:color="FFFFFF" w:fill="auto"/>
          </w:tcPr>
          <w:p w14:paraId="6DE6288E" w14:textId="378B3AB0" w:rsidR="00893B12" w:rsidRPr="00873B6C" w:rsidRDefault="00893B12" w:rsidP="00591B52">
            <w:pPr>
              <w:pStyle w:val="TAL"/>
              <w:rPr>
                <w:sz w:val="16"/>
                <w:szCs w:val="16"/>
              </w:rPr>
            </w:pPr>
            <w:r w:rsidRPr="00873B6C">
              <w:rPr>
                <w:sz w:val="16"/>
                <w:szCs w:val="16"/>
              </w:rPr>
              <w:t>PDU Set based QoS Handling for uplink transmission</w:t>
            </w:r>
          </w:p>
        </w:tc>
        <w:tc>
          <w:tcPr>
            <w:tcW w:w="708" w:type="dxa"/>
            <w:shd w:val="solid" w:color="FFFFFF" w:fill="auto"/>
          </w:tcPr>
          <w:p w14:paraId="31AEBDCF" w14:textId="5D6D477A" w:rsidR="00893B12" w:rsidRPr="00873B6C" w:rsidRDefault="00893B12" w:rsidP="00591B52">
            <w:pPr>
              <w:pStyle w:val="TAC"/>
              <w:rPr>
                <w:sz w:val="16"/>
                <w:szCs w:val="16"/>
              </w:rPr>
            </w:pPr>
            <w:r w:rsidRPr="00873B6C">
              <w:rPr>
                <w:sz w:val="16"/>
                <w:szCs w:val="16"/>
              </w:rPr>
              <w:t>18.4.0</w:t>
            </w:r>
          </w:p>
        </w:tc>
      </w:tr>
      <w:tr w:rsidR="00EF4A8B" w:rsidRPr="00873B6C" w14:paraId="7EB0CB5C" w14:textId="77777777" w:rsidTr="00C9561D">
        <w:tc>
          <w:tcPr>
            <w:tcW w:w="800" w:type="dxa"/>
            <w:shd w:val="solid" w:color="FFFFFF" w:fill="auto"/>
          </w:tcPr>
          <w:p w14:paraId="42ACDB2B" w14:textId="77777777" w:rsidR="00EF4A8B" w:rsidRPr="00873B6C" w:rsidRDefault="00EF4A8B" w:rsidP="00C9561D">
            <w:pPr>
              <w:pStyle w:val="TAC"/>
              <w:rPr>
                <w:sz w:val="16"/>
                <w:szCs w:val="16"/>
              </w:rPr>
            </w:pPr>
            <w:r w:rsidRPr="00873B6C">
              <w:rPr>
                <w:sz w:val="16"/>
                <w:szCs w:val="16"/>
              </w:rPr>
              <w:t>2023-12</w:t>
            </w:r>
          </w:p>
        </w:tc>
        <w:tc>
          <w:tcPr>
            <w:tcW w:w="800" w:type="dxa"/>
            <w:shd w:val="solid" w:color="FFFFFF" w:fill="auto"/>
          </w:tcPr>
          <w:p w14:paraId="7C60E3BF" w14:textId="77777777" w:rsidR="00EF4A8B" w:rsidRPr="00873B6C" w:rsidRDefault="00EF4A8B" w:rsidP="00C9561D">
            <w:pPr>
              <w:pStyle w:val="TAL"/>
              <w:rPr>
                <w:sz w:val="16"/>
                <w:szCs w:val="16"/>
              </w:rPr>
            </w:pPr>
            <w:r w:rsidRPr="00873B6C">
              <w:rPr>
                <w:sz w:val="16"/>
                <w:szCs w:val="16"/>
              </w:rPr>
              <w:t>SP#102</w:t>
            </w:r>
          </w:p>
        </w:tc>
        <w:tc>
          <w:tcPr>
            <w:tcW w:w="1094" w:type="dxa"/>
            <w:shd w:val="solid" w:color="FFFFFF" w:fill="auto"/>
          </w:tcPr>
          <w:p w14:paraId="2C0E2281" w14:textId="486F2EBD" w:rsidR="00EF4A8B" w:rsidRPr="00873B6C" w:rsidRDefault="00EF4A8B" w:rsidP="00C9561D">
            <w:pPr>
              <w:pStyle w:val="TAC"/>
              <w:rPr>
                <w:sz w:val="16"/>
                <w:szCs w:val="16"/>
              </w:rPr>
            </w:pPr>
            <w:r w:rsidRPr="00873B6C">
              <w:rPr>
                <w:sz w:val="16"/>
                <w:szCs w:val="16"/>
              </w:rPr>
              <w:t>SP-231769</w:t>
            </w:r>
          </w:p>
        </w:tc>
        <w:tc>
          <w:tcPr>
            <w:tcW w:w="567" w:type="dxa"/>
            <w:shd w:val="solid" w:color="FFFFFF" w:fill="auto"/>
          </w:tcPr>
          <w:p w14:paraId="354E7C1E" w14:textId="77777777" w:rsidR="00EF4A8B" w:rsidRPr="00873B6C" w:rsidRDefault="00EF4A8B" w:rsidP="00C9561D">
            <w:pPr>
              <w:pStyle w:val="TAL"/>
              <w:rPr>
                <w:sz w:val="16"/>
                <w:szCs w:val="16"/>
              </w:rPr>
            </w:pPr>
            <w:r w:rsidRPr="00873B6C">
              <w:rPr>
                <w:sz w:val="16"/>
                <w:szCs w:val="16"/>
              </w:rPr>
              <w:t>4749</w:t>
            </w:r>
          </w:p>
        </w:tc>
        <w:tc>
          <w:tcPr>
            <w:tcW w:w="425" w:type="dxa"/>
            <w:shd w:val="solid" w:color="FFFFFF" w:fill="auto"/>
          </w:tcPr>
          <w:p w14:paraId="1EFC48CB" w14:textId="32833E07" w:rsidR="00EF4A8B" w:rsidRPr="00873B6C" w:rsidRDefault="00EF4A8B" w:rsidP="00C9561D">
            <w:pPr>
              <w:pStyle w:val="TAL"/>
              <w:rPr>
                <w:sz w:val="16"/>
                <w:szCs w:val="16"/>
              </w:rPr>
            </w:pPr>
            <w:r w:rsidRPr="00873B6C">
              <w:rPr>
                <w:sz w:val="16"/>
                <w:szCs w:val="16"/>
              </w:rPr>
              <w:t>8</w:t>
            </w:r>
          </w:p>
        </w:tc>
        <w:tc>
          <w:tcPr>
            <w:tcW w:w="425" w:type="dxa"/>
            <w:shd w:val="solid" w:color="FFFFFF" w:fill="auto"/>
          </w:tcPr>
          <w:p w14:paraId="4F814892" w14:textId="77777777" w:rsidR="00EF4A8B" w:rsidRPr="00873B6C" w:rsidRDefault="00EF4A8B" w:rsidP="00C9561D">
            <w:pPr>
              <w:pStyle w:val="TAL"/>
              <w:rPr>
                <w:sz w:val="16"/>
                <w:szCs w:val="16"/>
              </w:rPr>
            </w:pPr>
            <w:r w:rsidRPr="00873B6C">
              <w:rPr>
                <w:sz w:val="16"/>
                <w:szCs w:val="16"/>
              </w:rPr>
              <w:t>F</w:t>
            </w:r>
          </w:p>
        </w:tc>
        <w:tc>
          <w:tcPr>
            <w:tcW w:w="4820" w:type="dxa"/>
            <w:shd w:val="solid" w:color="FFFFFF" w:fill="auto"/>
          </w:tcPr>
          <w:p w14:paraId="2DC9E50D" w14:textId="77777777" w:rsidR="00EF4A8B" w:rsidRPr="00873B6C" w:rsidRDefault="00EF4A8B" w:rsidP="00C9561D">
            <w:pPr>
              <w:pStyle w:val="TAL"/>
              <w:rPr>
                <w:sz w:val="16"/>
                <w:szCs w:val="16"/>
              </w:rPr>
            </w:pPr>
            <w:r w:rsidRPr="00873B6C">
              <w:rPr>
                <w:sz w:val="16"/>
                <w:szCs w:val="16"/>
              </w:rPr>
              <w:t>Network Slice usage control clarification</w:t>
            </w:r>
          </w:p>
        </w:tc>
        <w:tc>
          <w:tcPr>
            <w:tcW w:w="708" w:type="dxa"/>
            <w:shd w:val="solid" w:color="FFFFFF" w:fill="auto"/>
          </w:tcPr>
          <w:p w14:paraId="3564FFA9" w14:textId="77777777" w:rsidR="00EF4A8B" w:rsidRPr="00873B6C" w:rsidRDefault="00EF4A8B" w:rsidP="00C9561D">
            <w:pPr>
              <w:pStyle w:val="TAC"/>
              <w:rPr>
                <w:sz w:val="16"/>
                <w:szCs w:val="16"/>
              </w:rPr>
            </w:pPr>
            <w:r w:rsidRPr="00873B6C">
              <w:rPr>
                <w:sz w:val="16"/>
                <w:szCs w:val="16"/>
              </w:rPr>
              <w:t>18.4.0</w:t>
            </w:r>
          </w:p>
        </w:tc>
      </w:tr>
      <w:tr w:rsidR="00893B12" w:rsidRPr="00873B6C" w14:paraId="20195446" w14:textId="77777777" w:rsidTr="009D14FB">
        <w:tc>
          <w:tcPr>
            <w:tcW w:w="800" w:type="dxa"/>
            <w:shd w:val="solid" w:color="FFFFFF" w:fill="auto"/>
          </w:tcPr>
          <w:p w14:paraId="52A30CF0" w14:textId="06C2D1E8"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54342E13" w14:textId="7AFB7367"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70D87567" w14:textId="6110441C" w:rsidR="00893B12" w:rsidRPr="00873B6C" w:rsidRDefault="00893B12" w:rsidP="00591B52">
            <w:pPr>
              <w:pStyle w:val="TAC"/>
              <w:rPr>
                <w:sz w:val="16"/>
                <w:szCs w:val="16"/>
              </w:rPr>
            </w:pPr>
            <w:r w:rsidRPr="00873B6C">
              <w:rPr>
                <w:sz w:val="16"/>
                <w:szCs w:val="16"/>
              </w:rPr>
              <w:t>SP-231269</w:t>
            </w:r>
          </w:p>
        </w:tc>
        <w:tc>
          <w:tcPr>
            <w:tcW w:w="567" w:type="dxa"/>
            <w:shd w:val="solid" w:color="FFFFFF" w:fill="auto"/>
          </w:tcPr>
          <w:p w14:paraId="3B1CDCD7" w14:textId="1B872EDE" w:rsidR="00893B12" w:rsidRPr="00873B6C" w:rsidRDefault="00893B12" w:rsidP="00591B52">
            <w:pPr>
              <w:pStyle w:val="TAL"/>
              <w:rPr>
                <w:sz w:val="16"/>
                <w:szCs w:val="16"/>
              </w:rPr>
            </w:pPr>
            <w:r w:rsidRPr="00873B6C">
              <w:rPr>
                <w:sz w:val="16"/>
                <w:szCs w:val="16"/>
              </w:rPr>
              <w:t>4760</w:t>
            </w:r>
          </w:p>
        </w:tc>
        <w:tc>
          <w:tcPr>
            <w:tcW w:w="425" w:type="dxa"/>
            <w:shd w:val="solid" w:color="FFFFFF" w:fill="auto"/>
          </w:tcPr>
          <w:p w14:paraId="5D50F7A6" w14:textId="2C1DC0DC" w:rsidR="00893B12" w:rsidRPr="00873B6C" w:rsidRDefault="00893B12" w:rsidP="00591B52">
            <w:pPr>
              <w:pStyle w:val="TAL"/>
              <w:rPr>
                <w:sz w:val="16"/>
                <w:szCs w:val="16"/>
              </w:rPr>
            </w:pPr>
            <w:r w:rsidRPr="00873B6C">
              <w:rPr>
                <w:sz w:val="16"/>
                <w:szCs w:val="16"/>
              </w:rPr>
              <w:t>4</w:t>
            </w:r>
          </w:p>
        </w:tc>
        <w:tc>
          <w:tcPr>
            <w:tcW w:w="425" w:type="dxa"/>
            <w:shd w:val="solid" w:color="FFFFFF" w:fill="auto"/>
          </w:tcPr>
          <w:p w14:paraId="06398974" w14:textId="0C7C72F8"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685ADB10" w14:textId="1D534CAB" w:rsidR="00893B12" w:rsidRPr="00873B6C" w:rsidRDefault="00893B12" w:rsidP="00591B52">
            <w:pPr>
              <w:pStyle w:val="TAL"/>
              <w:rPr>
                <w:sz w:val="16"/>
                <w:szCs w:val="16"/>
              </w:rPr>
            </w:pPr>
            <w:r w:rsidRPr="00873B6C">
              <w:rPr>
                <w:sz w:val="16"/>
                <w:szCs w:val="16"/>
              </w:rPr>
              <w:t>Enabling PEMC manage PIN via UPF local switch</w:t>
            </w:r>
          </w:p>
        </w:tc>
        <w:tc>
          <w:tcPr>
            <w:tcW w:w="708" w:type="dxa"/>
            <w:shd w:val="solid" w:color="FFFFFF" w:fill="auto"/>
          </w:tcPr>
          <w:p w14:paraId="0092F04C" w14:textId="1FB0F4EB" w:rsidR="00893B12" w:rsidRPr="00873B6C" w:rsidRDefault="00893B12" w:rsidP="00591B52">
            <w:pPr>
              <w:pStyle w:val="TAC"/>
              <w:rPr>
                <w:sz w:val="16"/>
                <w:szCs w:val="16"/>
              </w:rPr>
            </w:pPr>
            <w:r w:rsidRPr="00873B6C">
              <w:rPr>
                <w:sz w:val="16"/>
                <w:szCs w:val="16"/>
              </w:rPr>
              <w:t>18.4.0</w:t>
            </w:r>
          </w:p>
        </w:tc>
      </w:tr>
      <w:tr w:rsidR="00893B12" w:rsidRPr="00873B6C" w14:paraId="1CA3FA03" w14:textId="77777777" w:rsidTr="009D14FB">
        <w:tc>
          <w:tcPr>
            <w:tcW w:w="800" w:type="dxa"/>
            <w:shd w:val="solid" w:color="FFFFFF" w:fill="auto"/>
          </w:tcPr>
          <w:p w14:paraId="61048C76" w14:textId="59BB03CE"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068D635D" w14:textId="768DD0F2"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792987C0" w14:textId="10976CCD" w:rsidR="00893B12" w:rsidRPr="00873B6C" w:rsidRDefault="00893B12" w:rsidP="00591B52">
            <w:pPr>
              <w:pStyle w:val="TAC"/>
              <w:rPr>
                <w:sz w:val="16"/>
                <w:szCs w:val="16"/>
              </w:rPr>
            </w:pPr>
            <w:r w:rsidRPr="00873B6C">
              <w:rPr>
                <w:sz w:val="16"/>
                <w:szCs w:val="16"/>
              </w:rPr>
              <w:t>SP-231269</w:t>
            </w:r>
          </w:p>
        </w:tc>
        <w:tc>
          <w:tcPr>
            <w:tcW w:w="567" w:type="dxa"/>
            <w:shd w:val="solid" w:color="FFFFFF" w:fill="auto"/>
          </w:tcPr>
          <w:p w14:paraId="4949CDF4" w14:textId="3995CF52" w:rsidR="00893B12" w:rsidRPr="00873B6C" w:rsidRDefault="00893B12" w:rsidP="00591B52">
            <w:pPr>
              <w:pStyle w:val="TAL"/>
              <w:rPr>
                <w:sz w:val="16"/>
                <w:szCs w:val="16"/>
              </w:rPr>
            </w:pPr>
            <w:r w:rsidRPr="00873B6C">
              <w:rPr>
                <w:sz w:val="16"/>
                <w:szCs w:val="16"/>
              </w:rPr>
              <w:t>4762</w:t>
            </w:r>
          </w:p>
        </w:tc>
        <w:tc>
          <w:tcPr>
            <w:tcW w:w="425" w:type="dxa"/>
            <w:shd w:val="solid" w:color="FFFFFF" w:fill="auto"/>
          </w:tcPr>
          <w:p w14:paraId="2F6EF790" w14:textId="433F5CEC" w:rsidR="00893B12" w:rsidRPr="00873B6C" w:rsidRDefault="00893B12" w:rsidP="00591B52">
            <w:pPr>
              <w:pStyle w:val="TAL"/>
              <w:rPr>
                <w:sz w:val="16"/>
                <w:szCs w:val="16"/>
              </w:rPr>
            </w:pPr>
            <w:r w:rsidRPr="00873B6C">
              <w:rPr>
                <w:sz w:val="16"/>
                <w:szCs w:val="16"/>
              </w:rPr>
              <w:t>3</w:t>
            </w:r>
          </w:p>
        </w:tc>
        <w:tc>
          <w:tcPr>
            <w:tcW w:w="425" w:type="dxa"/>
            <w:shd w:val="solid" w:color="FFFFFF" w:fill="auto"/>
          </w:tcPr>
          <w:p w14:paraId="4F1C14B2" w14:textId="70DCA54B"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0352D226" w14:textId="5BBE2D19" w:rsidR="00893B12" w:rsidRPr="00873B6C" w:rsidRDefault="00893B12" w:rsidP="00591B52">
            <w:pPr>
              <w:pStyle w:val="TAL"/>
              <w:rPr>
                <w:sz w:val="16"/>
                <w:szCs w:val="16"/>
              </w:rPr>
            </w:pPr>
            <w:r w:rsidRPr="00873B6C">
              <w:rPr>
                <w:sz w:val="16"/>
                <w:szCs w:val="16"/>
              </w:rPr>
              <w:t>Correction to SMF behaviour for non-3GPP delay budget</w:t>
            </w:r>
          </w:p>
        </w:tc>
        <w:tc>
          <w:tcPr>
            <w:tcW w:w="708" w:type="dxa"/>
            <w:shd w:val="solid" w:color="FFFFFF" w:fill="auto"/>
          </w:tcPr>
          <w:p w14:paraId="1B54BB59" w14:textId="29D505DB" w:rsidR="00893B12" w:rsidRPr="00873B6C" w:rsidRDefault="00893B12" w:rsidP="00591B52">
            <w:pPr>
              <w:pStyle w:val="TAC"/>
              <w:rPr>
                <w:sz w:val="16"/>
                <w:szCs w:val="16"/>
              </w:rPr>
            </w:pPr>
            <w:r w:rsidRPr="00873B6C">
              <w:rPr>
                <w:sz w:val="16"/>
                <w:szCs w:val="16"/>
              </w:rPr>
              <w:t>18.4.0</w:t>
            </w:r>
          </w:p>
        </w:tc>
      </w:tr>
      <w:tr w:rsidR="00BE0437" w:rsidRPr="00873B6C" w14:paraId="5E7FCF0A" w14:textId="77777777" w:rsidTr="009D14FB">
        <w:tc>
          <w:tcPr>
            <w:tcW w:w="800" w:type="dxa"/>
            <w:shd w:val="solid" w:color="FFFFFF" w:fill="auto"/>
          </w:tcPr>
          <w:p w14:paraId="43881200" w14:textId="68369DC7"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56275EF8" w14:textId="124FD1C2"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3F73292F" w14:textId="4BBFF72C" w:rsidR="00BE0437" w:rsidRPr="00873B6C" w:rsidRDefault="00BE0437" w:rsidP="00591B52">
            <w:pPr>
              <w:pStyle w:val="TAC"/>
              <w:rPr>
                <w:sz w:val="16"/>
                <w:szCs w:val="16"/>
              </w:rPr>
            </w:pPr>
            <w:r w:rsidRPr="00873B6C">
              <w:rPr>
                <w:sz w:val="16"/>
                <w:szCs w:val="16"/>
              </w:rPr>
              <w:t>SP-231267</w:t>
            </w:r>
          </w:p>
        </w:tc>
        <w:tc>
          <w:tcPr>
            <w:tcW w:w="567" w:type="dxa"/>
            <w:shd w:val="solid" w:color="FFFFFF" w:fill="auto"/>
          </w:tcPr>
          <w:p w14:paraId="3FFFC8CA" w14:textId="1B2EB9A0" w:rsidR="00BE0437" w:rsidRPr="00873B6C" w:rsidRDefault="00BE0437" w:rsidP="00591B52">
            <w:pPr>
              <w:pStyle w:val="TAL"/>
              <w:rPr>
                <w:sz w:val="16"/>
                <w:szCs w:val="16"/>
              </w:rPr>
            </w:pPr>
            <w:r w:rsidRPr="00873B6C">
              <w:rPr>
                <w:sz w:val="16"/>
                <w:szCs w:val="16"/>
              </w:rPr>
              <w:t>4771</w:t>
            </w:r>
          </w:p>
        </w:tc>
        <w:tc>
          <w:tcPr>
            <w:tcW w:w="425" w:type="dxa"/>
            <w:shd w:val="solid" w:color="FFFFFF" w:fill="auto"/>
          </w:tcPr>
          <w:p w14:paraId="52C6C99E" w14:textId="6A93E0CD" w:rsidR="00BE0437" w:rsidRPr="00873B6C" w:rsidRDefault="00BE0437" w:rsidP="00591B52">
            <w:pPr>
              <w:pStyle w:val="TAL"/>
              <w:rPr>
                <w:sz w:val="16"/>
                <w:szCs w:val="16"/>
              </w:rPr>
            </w:pPr>
            <w:r w:rsidRPr="00873B6C">
              <w:rPr>
                <w:sz w:val="16"/>
                <w:szCs w:val="16"/>
              </w:rPr>
              <w:t>4</w:t>
            </w:r>
          </w:p>
        </w:tc>
        <w:tc>
          <w:tcPr>
            <w:tcW w:w="425" w:type="dxa"/>
            <w:shd w:val="solid" w:color="FFFFFF" w:fill="auto"/>
          </w:tcPr>
          <w:p w14:paraId="2F31A33E" w14:textId="462402B9" w:rsidR="00BE0437" w:rsidRPr="00873B6C" w:rsidRDefault="00BE0437" w:rsidP="00591B52">
            <w:pPr>
              <w:pStyle w:val="TAL"/>
              <w:rPr>
                <w:sz w:val="16"/>
                <w:szCs w:val="16"/>
              </w:rPr>
            </w:pPr>
            <w:r w:rsidRPr="00873B6C">
              <w:rPr>
                <w:sz w:val="16"/>
                <w:szCs w:val="16"/>
              </w:rPr>
              <w:t>B</w:t>
            </w:r>
          </w:p>
        </w:tc>
        <w:tc>
          <w:tcPr>
            <w:tcW w:w="4820" w:type="dxa"/>
            <w:shd w:val="solid" w:color="FFFFFF" w:fill="auto"/>
          </w:tcPr>
          <w:p w14:paraId="1E504A22" w14:textId="6E893C69" w:rsidR="00BE0437" w:rsidRPr="00873B6C" w:rsidRDefault="00BE0437" w:rsidP="00591B52">
            <w:pPr>
              <w:pStyle w:val="TAL"/>
              <w:rPr>
                <w:sz w:val="16"/>
                <w:szCs w:val="16"/>
              </w:rPr>
            </w:pPr>
            <w:r w:rsidRPr="00873B6C">
              <w:rPr>
                <w:sz w:val="16"/>
                <w:szCs w:val="16"/>
              </w:rPr>
              <w:t>Support of RRC_INACTIVE with MT-SDT</w:t>
            </w:r>
          </w:p>
        </w:tc>
        <w:tc>
          <w:tcPr>
            <w:tcW w:w="708" w:type="dxa"/>
            <w:shd w:val="solid" w:color="FFFFFF" w:fill="auto"/>
          </w:tcPr>
          <w:p w14:paraId="0938AE35" w14:textId="21DF73BE" w:rsidR="00BE0437" w:rsidRPr="00873B6C" w:rsidRDefault="00BE0437" w:rsidP="00591B52">
            <w:pPr>
              <w:pStyle w:val="TAC"/>
              <w:rPr>
                <w:sz w:val="16"/>
                <w:szCs w:val="16"/>
              </w:rPr>
            </w:pPr>
            <w:r w:rsidRPr="00873B6C">
              <w:rPr>
                <w:sz w:val="16"/>
                <w:szCs w:val="16"/>
              </w:rPr>
              <w:t>18.4.0</w:t>
            </w:r>
          </w:p>
        </w:tc>
      </w:tr>
      <w:tr w:rsidR="00BE0437" w:rsidRPr="00873B6C" w14:paraId="29E95139" w14:textId="77777777" w:rsidTr="009D14FB">
        <w:tc>
          <w:tcPr>
            <w:tcW w:w="800" w:type="dxa"/>
            <w:shd w:val="solid" w:color="FFFFFF" w:fill="auto"/>
          </w:tcPr>
          <w:p w14:paraId="5CCD0492" w14:textId="76DDBB5D"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40353E04" w14:textId="3369DFD0"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5598E549" w14:textId="5D37A794" w:rsidR="00BE0437" w:rsidRPr="00873B6C" w:rsidRDefault="00BE0437" w:rsidP="00591B52">
            <w:pPr>
              <w:pStyle w:val="TAC"/>
              <w:rPr>
                <w:sz w:val="16"/>
                <w:szCs w:val="16"/>
              </w:rPr>
            </w:pPr>
            <w:r w:rsidRPr="00873B6C">
              <w:rPr>
                <w:sz w:val="16"/>
                <w:szCs w:val="16"/>
              </w:rPr>
              <w:t>SP-231248</w:t>
            </w:r>
          </w:p>
        </w:tc>
        <w:tc>
          <w:tcPr>
            <w:tcW w:w="567" w:type="dxa"/>
            <w:shd w:val="solid" w:color="FFFFFF" w:fill="auto"/>
          </w:tcPr>
          <w:p w14:paraId="65A10672" w14:textId="7FBC004E" w:rsidR="00BE0437" w:rsidRPr="00873B6C" w:rsidRDefault="00BE0437" w:rsidP="00591B52">
            <w:pPr>
              <w:pStyle w:val="TAL"/>
              <w:rPr>
                <w:sz w:val="16"/>
                <w:szCs w:val="16"/>
              </w:rPr>
            </w:pPr>
            <w:r w:rsidRPr="00873B6C">
              <w:rPr>
                <w:sz w:val="16"/>
                <w:szCs w:val="16"/>
              </w:rPr>
              <w:t>4781</w:t>
            </w:r>
          </w:p>
        </w:tc>
        <w:tc>
          <w:tcPr>
            <w:tcW w:w="425" w:type="dxa"/>
            <w:shd w:val="solid" w:color="FFFFFF" w:fill="auto"/>
          </w:tcPr>
          <w:p w14:paraId="6D8136F3" w14:textId="6A64B70E" w:rsidR="00BE0437" w:rsidRPr="00873B6C" w:rsidRDefault="00BE0437" w:rsidP="00591B52">
            <w:pPr>
              <w:pStyle w:val="TAL"/>
              <w:rPr>
                <w:sz w:val="16"/>
                <w:szCs w:val="16"/>
              </w:rPr>
            </w:pPr>
            <w:r w:rsidRPr="00873B6C">
              <w:rPr>
                <w:sz w:val="16"/>
                <w:szCs w:val="16"/>
              </w:rPr>
              <w:t>4</w:t>
            </w:r>
          </w:p>
        </w:tc>
        <w:tc>
          <w:tcPr>
            <w:tcW w:w="425" w:type="dxa"/>
            <w:shd w:val="solid" w:color="FFFFFF" w:fill="auto"/>
          </w:tcPr>
          <w:p w14:paraId="11260BEE" w14:textId="34CF84B4" w:rsidR="00BE0437" w:rsidRPr="00873B6C" w:rsidRDefault="00BE0437" w:rsidP="00591B52">
            <w:pPr>
              <w:pStyle w:val="TAL"/>
              <w:rPr>
                <w:sz w:val="16"/>
                <w:szCs w:val="16"/>
              </w:rPr>
            </w:pPr>
            <w:r w:rsidRPr="00873B6C">
              <w:rPr>
                <w:sz w:val="16"/>
                <w:szCs w:val="16"/>
              </w:rPr>
              <w:t>F</w:t>
            </w:r>
          </w:p>
        </w:tc>
        <w:tc>
          <w:tcPr>
            <w:tcW w:w="4820" w:type="dxa"/>
            <w:shd w:val="solid" w:color="FFFFFF" w:fill="auto"/>
          </w:tcPr>
          <w:p w14:paraId="7BA4627A" w14:textId="1822C775" w:rsidR="00BE0437" w:rsidRPr="00873B6C" w:rsidRDefault="00BE0437" w:rsidP="00591B52">
            <w:pPr>
              <w:pStyle w:val="TAL"/>
              <w:rPr>
                <w:sz w:val="16"/>
                <w:szCs w:val="16"/>
              </w:rPr>
            </w:pPr>
            <w:r w:rsidRPr="00873B6C">
              <w:rPr>
                <w:sz w:val="16"/>
                <w:szCs w:val="16"/>
              </w:rPr>
              <w:t>Handling of EPS interworking due to NS-AoS</w:t>
            </w:r>
          </w:p>
        </w:tc>
        <w:tc>
          <w:tcPr>
            <w:tcW w:w="708" w:type="dxa"/>
            <w:shd w:val="solid" w:color="FFFFFF" w:fill="auto"/>
          </w:tcPr>
          <w:p w14:paraId="6C62EB49" w14:textId="094A93B9" w:rsidR="00BE0437" w:rsidRPr="00873B6C" w:rsidRDefault="00BE0437" w:rsidP="00591B52">
            <w:pPr>
              <w:pStyle w:val="TAC"/>
              <w:rPr>
                <w:sz w:val="16"/>
                <w:szCs w:val="16"/>
              </w:rPr>
            </w:pPr>
            <w:r w:rsidRPr="00873B6C">
              <w:rPr>
                <w:sz w:val="16"/>
                <w:szCs w:val="16"/>
              </w:rPr>
              <w:t>18.4.0</w:t>
            </w:r>
          </w:p>
        </w:tc>
      </w:tr>
      <w:tr w:rsidR="00BE0437" w:rsidRPr="00873B6C" w14:paraId="607D4619" w14:textId="77777777" w:rsidTr="009D14FB">
        <w:tc>
          <w:tcPr>
            <w:tcW w:w="800" w:type="dxa"/>
            <w:shd w:val="solid" w:color="FFFFFF" w:fill="auto"/>
          </w:tcPr>
          <w:p w14:paraId="24B21E88" w14:textId="40F71E73"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6049FEA0" w14:textId="6357F4CC"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11BA3B4F" w14:textId="585E64B6" w:rsidR="00BE0437" w:rsidRPr="00873B6C" w:rsidRDefault="00BE0437" w:rsidP="00591B52">
            <w:pPr>
              <w:pStyle w:val="TAC"/>
              <w:rPr>
                <w:sz w:val="16"/>
                <w:szCs w:val="16"/>
              </w:rPr>
            </w:pPr>
            <w:r w:rsidRPr="00873B6C">
              <w:rPr>
                <w:sz w:val="16"/>
                <w:szCs w:val="16"/>
              </w:rPr>
              <w:t>SP-231260</w:t>
            </w:r>
          </w:p>
        </w:tc>
        <w:tc>
          <w:tcPr>
            <w:tcW w:w="567" w:type="dxa"/>
            <w:shd w:val="solid" w:color="FFFFFF" w:fill="auto"/>
          </w:tcPr>
          <w:p w14:paraId="308210DB" w14:textId="405719D7" w:rsidR="00BE0437" w:rsidRPr="00873B6C" w:rsidRDefault="00BE0437" w:rsidP="00591B52">
            <w:pPr>
              <w:pStyle w:val="TAL"/>
              <w:rPr>
                <w:sz w:val="16"/>
                <w:szCs w:val="16"/>
              </w:rPr>
            </w:pPr>
            <w:r w:rsidRPr="00873B6C">
              <w:rPr>
                <w:sz w:val="16"/>
                <w:szCs w:val="16"/>
              </w:rPr>
              <w:t>4783</w:t>
            </w:r>
          </w:p>
        </w:tc>
        <w:tc>
          <w:tcPr>
            <w:tcW w:w="425" w:type="dxa"/>
            <w:shd w:val="solid" w:color="FFFFFF" w:fill="auto"/>
          </w:tcPr>
          <w:p w14:paraId="08CD5C28" w14:textId="68871DE0" w:rsidR="00BE0437" w:rsidRPr="00873B6C" w:rsidRDefault="00BE0437" w:rsidP="00591B52">
            <w:pPr>
              <w:pStyle w:val="TAL"/>
              <w:rPr>
                <w:sz w:val="16"/>
                <w:szCs w:val="16"/>
              </w:rPr>
            </w:pPr>
            <w:r w:rsidRPr="00873B6C">
              <w:rPr>
                <w:sz w:val="16"/>
                <w:szCs w:val="16"/>
              </w:rPr>
              <w:t>2</w:t>
            </w:r>
          </w:p>
        </w:tc>
        <w:tc>
          <w:tcPr>
            <w:tcW w:w="425" w:type="dxa"/>
            <w:shd w:val="solid" w:color="FFFFFF" w:fill="auto"/>
          </w:tcPr>
          <w:p w14:paraId="49551FA8" w14:textId="2292133D" w:rsidR="00BE0437" w:rsidRPr="00873B6C" w:rsidRDefault="00BE0437" w:rsidP="00591B52">
            <w:pPr>
              <w:pStyle w:val="TAL"/>
              <w:rPr>
                <w:sz w:val="16"/>
                <w:szCs w:val="16"/>
              </w:rPr>
            </w:pPr>
            <w:r w:rsidRPr="00873B6C">
              <w:rPr>
                <w:sz w:val="16"/>
                <w:szCs w:val="16"/>
              </w:rPr>
              <w:t>F</w:t>
            </w:r>
          </w:p>
        </w:tc>
        <w:tc>
          <w:tcPr>
            <w:tcW w:w="4820" w:type="dxa"/>
            <w:shd w:val="solid" w:color="FFFFFF" w:fill="auto"/>
          </w:tcPr>
          <w:p w14:paraId="61AC418D" w14:textId="58F8BE1C" w:rsidR="00BE0437" w:rsidRPr="00873B6C" w:rsidRDefault="00BE0437" w:rsidP="00591B52">
            <w:pPr>
              <w:pStyle w:val="TAL"/>
              <w:rPr>
                <w:sz w:val="16"/>
                <w:szCs w:val="16"/>
              </w:rPr>
            </w:pPr>
            <w:r w:rsidRPr="00873B6C">
              <w:rPr>
                <w:sz w:val="16"/>
                <w:szCs w:val="16"/>
              </w:rPr>
              <w:t>Partially Allowed NSSAI and S-NSSAIs used to determine RFSP</w:t>
            </w:r>
          </w:p>
        </w:tc>
        <w:tc>
          <w:tcPr>
            <w:tcW w:w="708" w:type="dxa"/>
            <w:shd w:val="solid" w:color="FFFFFF" w:fill="auto"/>
          </w:tcPr>
          <w:p w14:paraId="285BB00A" w14:textId="59A225CA" w:rsidR="00BE0437" w:rsidRPr="00873B6C" w:rsidRDefault="00BE0437" w:rsidP="00591B52">
            <w:pPr>
              <w:pStyle w:val="TAC"/>
              <w:rPr>
                <w:sz w:val="16"/>
                <w:szCs w:val="16"/>
              </w:rPr>
            </w:pPr>
            <w:r w:rsidRPr="00873B6C">
              <w:rPr>
                <w:sz w:val="16"/>
                <w:szCs w:val="16"/>
              </w:rPr>
              <w:t>18.4.0</w:t>
            </w:r>
          </w:p>
        </w:tc>
      </w:tr>
      <w:tr w:rsidR="00BE0437" w:rsidRPr="00873B6C" w14:paraId="1642F5A7" w14:textId="77777777" w:rsidTr="009D14FB">
        <w:tc>
          <w:tcPr>
            <w:tcW w:w="800" w:type="dxa"/>
            <w:shd w:val="solid" w:color="FFFFFF" w:fill="auto"/>
          </w:tcPr>
          <w:p w14:paraId="0AA7A36F" w14:textId="21D6C629"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5C358083" w14:textId="477CD91A"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0B8FFB5C" w14:textId="17495182" w:rsidR="00BE0437" w:rsidRPr="00873B6C" w:rsidRDefault="00BE0437" w:rsidP="00591B52">
            <w:pPr>
              <w:pStyle w:val="TAC"/>
              <w:rPr>
                <w:sz w:val="16"/>
                <w:szCs w:val="16"/>
              </w:rPr>
            </w:pPr>
            <w:r w:rsidRPr="00873B6C">
              <w:rPr>
                <w:sz w:val="16"/>
                <w:szCs w:val="16"/>
              </w:rPr>
              <w:t>SP-231259</w:t>
            </w:r>
          </w:p>
        </w:tc>
        <w:tc>
          <w:tcPr>
            <w:tcW w:w="567" w:type="dxa"/>
            <w:shd w:val="solid" w:color="FFFFFF" w:fill="auto"/>
          </w:tcPr>
          <w:p w14:paraId="2DAA9CC3" w14:textId="1BA19BDB" w:rsidR="00BE0437" w:rsidRPr="00873B6C" w:rsidRDefault="00BE0437" w:rsidP="00591B52">
            <w:pPr>
              <w:pStyle w:val="TAL"/>
              <w:rPr>
                <w:sz w:val="16"/>
                <w:szCs w:val="16"/>
              </w:rPr>
            </w:pPr>
            <w:r w:rsidRPr="00873B6C">
              <w:rPr>
                <w:sz w:val="16"/>
                <w:szCs w:val="16"/>
              </w:rPr>
              <w:t>4785</w:t>
            </w:r>
          </w:p>
        </w:tc>
        <w:tc>
          <w:tcPr>
            <w:tcW w:w="425" w:type="dxa"/>
            <w:shd w:val="solid" w:color="FFFFFF" w:fill="auto"/>
          </w:tcPr>
          <w:p w14:paraId="054CC25B" w14:textId="21E4D922" w:rsidR="00BE0437" w:rsidRPr="00873B6C" w:rsidRDefault="00BE0437" w:rsidP="00591B52">
            <w:pPr>
              <w:pStyle w:val="TAL"/>
              <w:rPr>
                <w:sz w:val="16"/>
                <w:szCs w:val="16"/>
              </w:rPr>
            </w:pPr>
            <w:r w:rsidRPr="00873B6C">
              <w:rPr>
                <w:sz w:val="16"/>
                <w:szCs w:val="16"/>
              </w:rPr>
              <w:t>2</w:t>
            </w:r>
          </w:p>
        </w:tc>
        <w:tc>
          <w:tcPr>
            <w:tcW w:w="425" w:type="dxa"/>
            <w:shd w:val="solid" w:color="FFFFFF" w:fill="auto"/>
          </w:tcPr>
          <w:p w14:paraId="6CC8C48B" w14:textId="636AA625" w:rsidR="00BE0437" w:rsidRPr="00873B6C" w:rsidRDefault="00BE0437" w:rsidP="00591B52">
            <w:pPr>
              <w:pStyle w:val="TAL"/>
              <w:rPr>
                <w:sz w:val="16"/>
                <w:szCs w:val="16"/>
              </w:rPr>
            </w:pPr>
            <w:r w:rsidRPr="00873B6C">
              <w:rPr>
                <w:sz w:val="16"/>
                <w:szCs w:val="16"/>
              </w:rPr>
              <w:t>D</w:t>
            </w:r>
          </w:p>
        </w:tc>
        <w:tc>
          <w:tcPr>
            <w:tcW w:w="4820" w:type="dxa"/>
            <w:shd w:val="solid" w:color="FFFFFF" w:fill="auto"/>
          </w:tcPr>
          <w:p w14:paraId="6D28FE22" w14:textId="0D74CD82" w:rsidR="00BE0437" w:rsidRPr="00873B6C" w:rsidRDefault="00BE0437" w:rsidP="00591B52">
            <w:pPr>
              <w:pStyle w:val="TAL"/>
              <w:rPr>
                <w:sz w:val="16"/>
                <w:szCs w:val="16"/>
              </w:rPr>
            </w:pPr>
            <w:r w:rsidRPr="00873B6C">
              <w:rPr>
                <w:sz w:val="16"/>
                <w:szCs w:val="16"/>
              </w:rPr>
              <w:t>eNPN_Ph2 general clean up</w:t>
            </w:r>
          </w:p>
        </w:tc>
        <w:tc>
          <w:tcPr>
            <w:tcW w:w="708" w:type="dxa"/>
            <w:shd w:val="solid" w:color="FFFFFF" w:fill="auto"/>
          </w:tcPr>
          <w:p w14:paraId="58AA3F15" w14:textId="54FCB590" w:rsidR="00BE0437" w:rsidRPr="00873B6C" w:rsidRDefault="00BE0437" w:rsidP="00591B52">
            <w:pPr>
              <w:pStyle w:val="TAC"/>
              <w:rPr>
                <w:sz w:val="16"/>
                <w:szCs w:val="16"/>
              </w:rPr>
            </w:pPr>
            <w:r w:rsidRPr="00873B6C">
              <w:rPr>
                <w:sz w:val="16"/>
                <w:szCs w:val="16"/>
              </w:rPr>
              <w:t>18.4.0</w:t>
            </w:r>
          </w:p>
        </w:tc>
      </w:tr>
      <w:tr w:rsidR="00BE0437" w:rsidRPr="00873B6C" w14:paraId="0A928E75" w14:textId="77777777" w:rsidTr="009D14FB">
        <w:tc>
          <w:tcPr>
            <w:tcW w:w="800" w:type="dxa"/>
            <w:shd w:val="solid" w:color="FFFFFF" w:fill="auto"/>
          </w:tcPr>
          <w:p w14:paraId="2DAF7719" w14:textId="336FD7E6"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3F78C0BD" w14:textId="64BA71A3"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1686F784" w14:textId="0D9A3676" w:rsidR="00BE0437" w:rsidRPr="00873B6C" w:rsidRDefault="00BE0437" w:rsidP="00591B52">
            <w:pPr>
              <w:pStyle w:val="TAC"/>
              <w:rPr>
                <w:sz w:val="16"/>
                <w:szCs w:val="16"/>
              </w:rPr>
            </w:pPr>
            <w:r w:rsidRPr="00873B6C">
              <w:rPr>
                <w:sz w:val="16"/>
                <w:szCs w:val="16"/>
              </w:rPr>
              <w:t>SP-231259</w:t>
            </w:r>
          </w:p>
        </w:tc>
        <w:tc>
          <w:tcPr>
            <w:tcW w:w="567" w:type="dxa"/>
            <w:shd w:val="solid" w:color="FFFFFF" w:fill="auto"/>
          </w:tcPr>
          <w:p w14:paraId="52D24929" w14:textId="5FA6674F" w:rsidR="00BE0437" w:rsidRPr="00873B6C" w:rsidRDefault="00BE0437" w:rsidP="00591B52">
            <w:pPr>
              <w:pStyle w:val="TAL"/>
              <w:rPr>
                <w:sz w:val="16"/>
                <w:szCs w:val="16"/>
              </w:rPr>
            </w:pPr>
            <w:r w:rsidRPr="00873B6C">
              <w:rPr>
                <w:sz w:val="16"/>
                <w:szCs w:val="16"/>
              </w:rPr>
              <w:t>4786</w:t>
            </w:r>
          </w:p>
        </w:tc>
        <w:tc>
          <w:tcPr>
            <w:tcW w:w="425" w:type="dxa"/>
            <w:shd w:val="solid" w:color="FFFFFF" w:fill="auto"/>
          </w:tcPr>
          <w:p w14:paraId="684D8B4D" w14:textId="0DD62D86" w:rsidR="00BE0437" w:rsidRPr="00873B6C" w:rsidRDefault="00BE0437" w:rsidP="00591B52">
            <w:pPr>
              <w:pStyle w:val="TAL"/>
              <w:rPr>
                <w:sz w:val="16"/>
                <w:szCs w:val="16"/>
              </w:rPr>
            </w:pPr>
            <w:r w:rsidRPr="00873B6C">
              <w:rPr>
                <w:sz w:val="16"/>
                <w:szCs w:val="16"/>
              </w:rPr>
              <w:t>3</w:t>
            </w:r>
          </w:p>
        </w:tc>
        <w:tc>
          <w:tcPr>
            <w:tcW w:w="425" w:type="dxa"/>
            <w:shd w:val="solid" w:color="FFFFFF" w:fill="auto"/>
          </w:tcPr>
          <w:p w14:paraId="01E5E7E9" w14:textId="6C9D2FC4" w:rsidR="00BE0437" w:rsidRPr="00873B6C" w:rsidRDefault="00BE0437" w:rsidP="00591B52">
            <w:pPr>
              <w:pStyle w:val="TAL"/>
              <w:rPr>
                <w:sz w:val="16"/>
                <w:szCs w:val="16"/>
              </w:rPr>
            </w:pPr>
            <w:r w:rsidRPr="00873B6C">
              <w:rPr>
                <w:sz w:val="16"/>
                <w:szCs w:val="16"/>
              </w:rPr>
              <w:t>F</w:t>
            </w:r>
          </w:p>
        </w:tc>
        <w:tc>
          <w:tcPr>
            <w:tcW w:w="4820" w:type="dxa"/>
            <w:shd w:val="solid" w:color="FFFFFF" w:fill="auto"/>
          </w:tcPr>
          <w:p w14:paraId="6BFE8E70" w14:textId="653E53FC" w:rsidR="00BE0437" w:rsidRPr="00873B6C" w:rsidRDefault="00BE0437" w:rsidP="00591B52">
            <w:pPr>
              <w:pStyle w:val="TAL"/>
              <w:rPr>
                <w:sz w:val="16"/>
                <w:szCs w:val="16"/>
              </w:rPr>
            </w:pPr>
            <w:r w:rsidRPr="00873B6C">
              <w:rPr>
                <w:sz w:val="16"/>
                <w:szCs w:val="16"/>
              </w:rPr>
              <w:t>SNPN N3WIF FQDN terminology alignment with stage 3</w:t>
            </w:r>
          </w:p>
        </w:tc>
        <w:tc>
          <w:tcPr>
            <w:tcW w:w="708" w:type="dxa"/>
            <w:shd w:val="solid" w:color="FFFFFF" w:fill="auto"/>
          </w:tcPr>
          <w:p w14:paraId="1FAB52C2" w14:textId="2328C609" w:rsidR="00BE0437" w:rsidRPr="00873B6C" w:rsidRDefault="00BE0437" w:rsidP="00591B52">
            <w:pPr>
              <w:pStyle w:val="TAC"/>
              <w:rPr>
                <w:sz w:val="16"/>
                <w:szCs w:val="16"/>
              </w:rPr>
            </w:pPr>
            <w:r w:rsidRPr="00873B6C">
              <w:rPr>
                <w:sz w:val="16"/>
                <w:szCs w:val="16"/>
              </w:rPr>
              <w:t>18.4.0</w:t>
            </w:r>
          </w:p>
        </w:tc>
      </w:tr>
      <w:tr w:rsidR="00BE0437" w:rsidRPr="00873B6C" w14:paraId="6C2BDA99" w14:textId="77777777" w:rsidTr="009D14FB">
        <w:tc>
          <w:tcPr>
            <w:tcW w:w="800" w:type="dxa"/>
            <w:shd w:val="solid" w:color="FFFFFF" w:fill="auto"/>
          </w:tcPr>
          <w:p w14:paraId="5D295B9E" w14:textId="696E2135" w:rsidR="00BE0437" w:rsidRPr="00873B6C" w:rsidRDefault="00BE0437" w:rsidP="00591B52">
            <w:pPr>
              <w:pStyle w:val="TAC"/>
              <w:rPr>
                <w:sz w:val="16"/>
                <w:szCs w:val="16"/>
              </w:rPr>
            </w:pPr>
            <w:r w:rsidRPr="00873B6C">
              <w:rPr>
                <w:sz w:val="16"/>
                <w:szCs w:val="16"/>
              </w:rPr>
              <w:lastRenderedPageBreak/>
              <w:t>2023-12</w:t>
            </w:r>
          </w:p>
        </w:tc>
        <w:tc>
          <w:tcPr>
            <w:tcW w:w="800" w:type="dxa"/>
            <w:shd w:val="solid" w:color="FFFFFF" w:fill="auto"/>
          </w:tcPr>
          <w:p w14:paraId="16AC9B7C" w14:textId="40FCD162"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76D5AAC7" w14:textId="48C3733C" w:rsidR="00BE0437" w:rsidRPr="00873B6C" w:rsidRDefault="00BE0437" w:rsidP="00591B52">
            <w:pPr>
              <w:pStyle w:val="TAC"/>
              <w:rPr>
                <w:sz w:val="16"/>
                <w:szCs w:val="16"/>
              </w:rPr>
            </w:pPr>
            <w:r w:rsidRPr="00873B6C">
              <w:rPr>
                <w:sz w:val="16"/>
                <w:szCs w:val="16"/>
              </w:rPr>
              <w:t>SP-231258</w:t>
            </w:r>
          </w:p>
        </w:tc>
        <w:tc>
          <w:tcPr>
            <w:tcW w:w="567" w:type="dxa"/>
            <w:shd w:val="solid" w:color="FFFFFF" w:fill="auto"/>
          </w:tcPr>
          <w:p w14:paraId="7E05801C" w14:textId="3DF9825B" w:rsidR="00BE0437" w:rsidRPr="00873B6C" w:rsidRDefault="00BE0437" w:rsidP="00591B52">
            <w:pPr>
              <w:pStyle w:val="TAL"/>
              <w:rPr>
                <w:sz w:val="16"/>
                <w:szCs w:val="16"/>
              </w:rPr>
            </w:pPr>
            <w:r w:rsidRPr="00873B6C">
              <w:rPr>
                <w:sz w:val="16"/>
                <w:szCs w:val="16"/>
              </w:rPr>
              <w:t>4788</w:t>
            </w:r>
          </w:p>
        </w:tc>
        <w:tc>
          <w:tcPr>
            <w:tcW w:w="425" w:type="dxa"/>
            <w:shd w:val="solid" w:color="FFFFFF" w:fill="auto"/>
          </w:tcPr>
          <w:p w14:paraId="3410C110" w14:textId="280AAA29" w:rsidR="00BE0437" w:rsidRPr="00873B6C" w:rsidRDefault="00BE0437" w:rsidP="00591B52">
            <w:pPr>
              <w:pStyle w:val="TAL"/>
              <w:rPr>
                <w:sz w:val="16"/>
                <w:szCs w:val="16"/>
              </w:rPr>
            </w:pPr>
            <w:r w:rsidRPr="00873B6C">
              <w:rPr>
                <w:sz w:val="16"/>
                <w:szCs w:val="16"/>
              </w:rPr>
              <w:t>3</w:t>
            </w:r>
          </w:p>
        </w:tc>
        <w:tc>
          <w:tcPr>
            <w:tcW w:w="425" w:type="dxa"/>
            <w:shd w:val="solid" w:color="FFFFFF" w:fill="auto"/>
          </w:tcPr>
          <w:p w14:paraId="01CB4547" w14:textId="3C2EBD36" w:rsidR="00BE0437" w:rsidRPr="00873B6C" w:rsidRDefault="00BE0437" w:rsidP="00591B52">
            <w:pPr>
              <w:pStyle w:val="TAL"/>
              <w:rPr>
                <w:sz w:val="16"/>
                <w:szCs w:val="16"/>
              </w:rPr>
            </w:pPr>
            <w:r w:rsidRPr="00873B6C">
              <w:rPr>
                <w:sz w:val="16"/>
                <w:szCs w:val="16"/>
              </w:rPr>
              <w:t>F</w:t>
            </w:r>
          </w:p>
        </w:tc>
        <w:tc>
          <w:tcPr>
            <w:tcW w:w="4820" w:type="dxa"/>
            <w:shd w:val="solid" w:color="FFFFFF" w:fill="auto"/>
          </w:tcPr>
          <w:p w14:paraId="6E2D6CB0" w14:textId="681DA40B" w:rsidR="00BE0437" w:rsidRPr="00873B6C" w:rsidRDefault="00BE0437" w:rsidP="00591B52">
            <w:pPr>
              <w:pStyle w:val="TAL"/>
              <w:rPr>
                <w:sz w:val="16"/>
                <w:szCs w:val="16"/>
              </w:rPr>
            </w:pPr>
            <w:r w:rsidRPr="00873B6C">
              <w:rPr>
                <w:sz w:val="16"/>
                <w:szCs w:val="16"/>
              </w:rPr>
              <w:t>Add FL capability and ML model training related services</w:t>
            </w:r>
          </w:p>
        </w:tc>
        <w:tc>
          <w:tcPr>
            <w:tcW w:w="708" w:type="dxa"/>
            <w:shd w:val="solid" w:color="FFFFFF" w:fill="auto"/>
          </w:tcPr>
          <w:p w14:paraId="5FAF891C" w14:textId="542B3B9F" w:rsidR="00BE0437" w:rsidRPr="00873B6C" w:rsidRDefault="00BE0437" w:rsidP="00591B52">
            <w:pPr>
              <w:pStyle w:val="TAC"/>
              <w:rPr>
                <w:sz w:val="16"/>
                <w:szCs w:val="16"/>
              </w:rPr>
            </w:pPr>
            <w:r w:rsidRPr="00873B6C">
              <w:rPr>
                <w:sz w:val="16"/>
                <w:szCs w:val="16"/>
              </w:rPr>
              <w:t>18.4.0</w:t>
            </w:r>
          </w:p>
        </w:tc>
      </w:tr>
      <w:tr w:rsidR="009F0D6B" w:rsidRPr="00873B6C" w14:paraId="1ABD2F62" w14:textId="77777777" w:rsidTr="009D14FB">
        <w:tc>
          <w:tcPr>
            <w:tcW w:w="800" w:type="dxa"/>
            <w:shd w:val="solid" w:color="FFFFFF" w:fill="auto"/>
          </w:tcPr>
          <w:p w14:paraId="0BE06964" w14:textId="66CF8210" w:rsidR="009F0D6B" w:rsidRPr="00873B6C" w:rsidRDefault="009F0D6B" w:rsidP="00591B52">
            <w:pPr>
              <w:pStyle w:val="TAC"/>
              <w:rPr>
                <w:sz w:val="16"/>
                <w:szCs w:val="16"/>
              </w:rPr>
            </w:pPr>
            <w:r w:rsidRPr="00873B6C">
              <w:rPr>
                <w:sz w:val="16"/>
                <w:szCs w:val="16"/>
              </w:rPr>
              <w:t>2023-12</w:t>
            </w:r>
          </w:p>
        </w:tc>
        <w:tc>
          <w:tcPr>
            <w:tcW w:w="800" w:type="dxa"/>
            <w:shd w:val="solid" w:color="FFFFFF" w:fill="auto"/>
          </w:tcPr>
          <w:p w14:paraId="3B37D1CF" w14:textId="41BD9A3F" w:rsidR="009F0D6B" w:rsidRPr="00873B6C" w:rsidRDefault="009F0D6B" w:rsidP="00591B52">
            <w:pPr>
              <w:pStyle w:val="TAL"/>
              <w:rPr>
                <w:sz w:val="16"/>
                <w:szCs w:val="16"/>
              </w:rPr>
            </w:pPr>
            <w:r w:rsidRPr="00873B6C">
              <w:rPr>
                <w:sz w:val="16"/>
                <w:szCs w:val="16"/>
              </w:rPr>
              <w:t>SP#102</w:t>
            </w:r>
          </w:p>
        </w:tc>
        <w:tc>
          <w:tcPr>
            <w:tcW w:w="1094" w:type="dxa"/>
            <w:shd w:val="solid" w:color="FFFFFF" w:fill="auto"/>
          </w:tcPr>
          <w:p w14:paraId="6778B9AE" w14:textId="480D769E" w:rsidR="009F0D6B" w:rsidRPr="00873B6C" w:rsidRDefault="009F0D6B" w:rsidP="00591B52">
            <w:pPr>
              <w:pStyle w:val="TAC"/>
              <w:rPr>
                <w:sz w:val="16"/>
                <w:szCs w:val="16"/>
              </w:rPr>
            </w:pPr>
            <w:r w:rsidRPr="00873B6C">
              <w:rPr>
                <w:sz w:val="16"/>
                <w:szCs w:val="16"/>
              </w:rPr>
              <w:t>SP-231259</w:t>
            </w:r>
          </w:p>
        </w:tc>
        <w:tc>
          <w:tcPr>
            <w:tcW w:w="567" w:type="dxa"/>
            <w:shd w:val="solid" w:color="FFFFFF" w:fill="auto"/>
          </w:tcPr>
          <w:p w14:paraId="1D782CFE" w14:textId="21D33516" w:rsidR="009F0D6B" w:rsidRPr="00873B6C" w:rsidRDefault="009F0D6B" w:rsidP="00591B52">
            <w:pPr>
              <w:pStyle w:val="TAL"/>
              <w:rPr>
                <w:sz w:val="16"/>
                <w:szCs w:val="16"/>
              </w:rPr>
            </w:pPr>
            <w:r w:rsidRPr="00873B6C">
              <w:rPr>
                <w:sz w:val="16"/>
                <w:szCs w:val="16"/>
              </w:rPr>
              <w:t>4803</w:t>
            </w:r>
          </w:p>
        </w:tc>
        <w:tc>
          <w:tcPr>
            <w:tcW w:w="425" w:type="dxa"/>
            <w:shd w:val="solid" w:color="FFFFFF" w:fill="auto"/>
          </w:tcPr>
          <w:p w14:paraId="2662CB84" w14:textId="3EA84A6F" w:rsidR="009F0D6B" w:rsidRPr="00873B6C" w:rsidRDefault="009F0D6B" w:rsidP="00591B52">
            <w:pPr>
              <w:pStyle w:val="TAL"/>
              <w:rPr>
                <w:sz w:val="16"/>
                <w:szCs w:val="16"/>
              </w:rPr>
            </w:pPr>
            <w:r w:rsidRPr="00873B6C">
              <w:rPr>
                <w:sz w:val="16"/>
                <w:szCs w:val="16"/>
              </w:rPr>
              <w:t>2</w:t>
            </w:r>
          </w:p>
        </w:tc>
        <w:tc>
          <w:tcPr>
            <w:tcW w:w="425" w:type="dxa"/>
            <w:shd w:val="solid" w:color="FFFFFF" w:fill="auto"/>
          </w:tcPr>
          <w:p w14:paraId="3726461E" w14:textId="593C5C10" w:rsidR="009F0D6B" w:rsidRPr="00873B6C" w:rsidRDefault="009F0D6B" w:rsidP="00591B52">
            <w:pPr>
              <w:pStyle w:val="TAL"/>
              <w:rPr>
                <w:sz w:val="16"/>
                <w:szCs w:val="16"/>
              </w:rPr>
            </w:pPr>
            <w:r w:rsidRPr="00873B6C">
              <w:rPr>
                <w:sz w:val="16"/>
                <w:szCs w:val="16"/>
              </w:rPr>
              <w:t>F</w:t>
            </w:r>
          </w:p>
        </w:tc>
        <w:tc>
          <w:tcPr>
            <w:tcW w:w="4820" w:type="dxa"/>
            <w:shd w:val="solid" w:color="FFFFFF" w:fill="auto"/>
          </w:tcPr>
          <w:p w14:paraId="525CCB75" w14:textId="7BA4C68C" w:rsidR="009F0D6B" w:rsidRPr="00873B6C" w:rsidRDefault="009F0D6B" w:rsidP="00591B52">
            <w:pPr>
              <w:pStyle w:val="TAL"/>
              <w:rPr>
                <w:sz w:val="16"/>
                <w:szCs w:val="16"/>
              </w:rPr>
            </w:pPr>
            <w:r w:rsidRPr="00873B6C">
              <w:rPr>
                <w:sz w:val="16"/>
                <w:szCs w:val="16"/>
              </w:rPr>
              <w:t>Clarification on NAI format in NSWO scenario</w:t>
            </w:r>
          </w:p>
        </w:tc>
        <w:tc>
          <w:tcPr>
            <w:tcW w:w="708" w:type="dxa"/>
            <w:shd w:val="solid" w:color="FFFFFF" w:fill="auto"/>
          </w:tcPr>
          <w:p w14:paraId="4CF62A2F" w14:textId="7B61E8E9" w:rsidR="009F0D6B" w:rsidRPr="00873B6C" w:rsidRDefault="009F0D6B" w:rsidP="00591B52">
            <w:pPr>
              <w:pStyle w:val="TAC"/>
              <w:rPr>
                <w:sz w:val="16"/>
                <w:szCs w:val="16"/>
              </w:rPr>
            </w:pPr>
            <w:r w:rsidRPr="00873B6C">
              <w:rPr>
                <w:sz w:val="16"/>
                <w:szCs w:val="16"/>
              </w:rPr>
              <w:t>18.4.0</w:t>
            </w:r>
          </w:p>
        </w:tc>
      </w:tr>
      <w:tr w:rsidR="009F0D6B" w:rsidRPr="00873B6C" w14:paraId="2BF9E8E5" w14:textId="77777777" w:rsidTr="009D14FB">
        <w:tc>
          <w:tcPr>
            <w:tcW w:w="800" w:type="dxa"/>
            <w:shd w:val="solid" w:color="FFFFFF" w:fill="auto"/>
          </w:tcPr>
          <w:p w14:paraId="5F413500" w14:textId="2D6852BD" w:rsidR="009F0D6B" w:rsidRPr="00873B6C" w:rsidRDefault="009F0D6B" w:rsidP="00591B52">
            <w:pPr>
              <w:pStyle w:val="TAC"/>
              <w:rPr>
                <w:sz w:val="16"/>
                <w:szCs w:val="16"/>
              </w:rPr>
            </w:pPr>
            <w:r w:rsidRPr="00873B6C">
              <w:rPr>
                <w:sz w:val="16"/>
                <w:szCs w:val="16"/>
              </w:rPr>
              <w:t>2023-12</w:t>
            </w:r>
          </w:p>
        </w:tc>
        <w:tc>
          <w:tcPr>
            <w:tcW w:w="800" w:type="dxa"/>
            <w:shd w:val="solid" w:color="FFFFFF" w:fill="auto"/>
          </w:tcPr>
          <w:p w14:paraId="639B27BA" w14:textId="163AE352" w:rsidR="009F0D6B" w:rsidRPr="00873B6C" w:rsidRDefault="009F0D6B" w:rsidP="00591B52">
            <w:pPr>
              <w:pStyle w:val="TAL"/>
              <w:rPr>
                <w:sz w:val="16"/>
                <w:szCs w:val="16"/>
              </w:rPr>
            </w:pPr>
            <w:r w:rsidRPr="00873B6C">
              <w:rPr>
                <w:sz w:val="16"/>
                <w:szCs w:val="16"/>
              </w:rPr>
              <w:t>SP#102</w:t>
            </w:r>
          </w:p>
        </w:tc>
        <w:tc>
          <w:tcPr>
            <w:tcW w:w="1094" w:type="dxa"/>
            <w:shd w:val="solid" w:color="FFFFFF" w:fill="auto"/>
          </w:tcPr>
          <w:p w14:paraId="524FE588" w14:textId="3BB6EA5F" w:rsidR="009F0D6B" w:rsidRPr="00873B6C" w:rsidRDefault="009F0D6B" w:rsidP="00591B52">
            <w:pPr>
              <w:pStyle w:val="TAC"/>
              <w:rPr>
                <w:sz w:val="16"/>
                <w:szCs w:val="16"/>
              </w:rPr>
            </w:pPr>
            <w:r w:rsidRPr="00873B6C">
              <w:rPr>
                <w:sz w:val="16"/>
                <w:szCs w:val="16"/>
              </w:rPr>
              <w:t>SP-231277</w:t>
            </w:r>
          </w:p>
        </w:tc>
        <w:tc>
          <w:tcPr>
            <w:tcW w:w="567" w:type="dxa"/>
            <w:shd w:val="solid" w:color="FFFFFF" w:fill="auto"/>
          </w:tcPr>
          <w:p w14:paraId="5E257FE0" w14:textId="6C2F7F47" w:rsidR="009F0D6B" w:rsidRPr="00873B6C" w:rsidRDefault="009F0D6B" w:rsidP="00591B52">
            <w:pPr>
              <w:pStyle w:val="TAL"/>
              <w:rPr>
                <w:sz w:val="16"/>
                <w:szCs w:val="16"/>
              </w:rPr>
            </w:pPr>
            <w:r w:rsidRPr="00873B6C">
              <w:rPr>
                <w:sz w:val="16"/>
                <w:szCs w:val="16"/>
              </w:rPr>
              <w:t>4807</w:t>
            </w:r>
          </w:p>
        </w:tc>
        <w:tc>
          <w:tcPr>
            <w:tcW w:w="425" w:type="dxa"/>
            <w:shd w:val="solid" w:color="FFFFFF" w:fill="auto"/>
          </w:tcPr>
          <w:p w14:paraId="5FA79CAC" w14:textId="7532B35C" w:rsidR="009F0D6B" w:rsidRPr="00873B6C" w:rsidRDefault="009F0D6B" w:rsidP="00591B52">
            <w:pPr>
              <w:pStyle w:val="TAL"/>
              <w:rPr>
                <w:sz w:val="16"/>
                <w:szCs w:val="16"/>
              </w:rPr>
            </w:pPr>
            <w:r w:rsidRPr="00873B6C">
              <w:rPr>
                <w:sz w:val="16"/>
                <w:szCs w:val="16"/>
              </w:rPr>
              <w:t>3</w:t>
            </w:r>
          </w:p>
        </w:tc>
        <w:tc>
          <w:tcPr>
            <w:tcW w:w="425" w:type="dxa"/>
            <w:shd w:val="solid" w:color="FFFFFF" w:fill="auto"/>
          </w:tcPr>
          <w:p w14:paraId="3C326CB1" w14:textId="3517D845" w:rsidR="009F0D6B" w:rsidRPr="00873B6C" w:rsidRDefault="009F0D6B" w:rsidP="00591B52">
            <w:pPr>
              <w:pStyle w:val="TAL"/>
              <w:rPr>
                <w:sz w:val="16"/>
                <w:szCs w:val="16"/>
              </w:rPr>
            </w:pPr>
            <w:r w:rsidRPr="00873B6C">
              <w:rPr>
                <w:sz w:val="16"/>
                <w:szCs w:val="16"/>
              </w:rPr>
              <w:t>F</w:t>
            </w:r>
          </w:p>
        </w:tc>
        <w:tc>
          <w:tcPr>
            <w:tcW w:w="4820" w:type="dxa"/>
            <w:shd w:val="solid" w:color="FFFFFF" w:fill="auto"/>
          </w:tcPr>
          <w:p w14:paraId="7580A5F4" w14:textId="6ED08EAE" w:rsidR="009F0D6B" w:rsidRPr="00873B6C" w:rsidRDefault="009F0D6B" w:rsidP="00591B52">
            <w:pPr>
              <w:pStyle w:val="TAL"/>
              <w:rPr>
                <w:sz w:val="16"/>
                <w:szCs w:val="16"/>
              </w:rPr>
            </w:pPr>
            <w:r w:rsidRPr="00873B6C">
              <w:rPr>
                <w:sz w:val="16"/>
                <w:szCs w:val="16"/>
              </w:rPr>
              <w:t>RT latency control and RT delay exposure for XR data flow</w:t>
            </w:r>
          </w:p>
        </w:tc>
        <w:tc>
          <w:tcPr>
            <w:tcW w:w="708" w:type="dxa"/>
            <w:shd w:val="solid" w:color="FFFFFF" w:fill="auto"/>
          </w:tcPr>
          <w:p w14:paraId="636B71CE" w14:textId="51FE8B37" w:rsidR="009F0D6B" w:rsidRPr="00873B6C" w:rsidRDefault="009F0D6B" w:rsidP="00591B52">
            <w:pPr>
              <w:pStyle w:val="TAC"/>
              <w:rPr>
                <w:sz w:val="16"/>
                <w:szCs w:val="16"/>
              </w:rPr>
            </w:pPr>
            <w:r w:rsidRPr="00873B6C">
              <w:rPr>
                <w:sz w:val="16"/>
                <w:szCs w:val="16"/>
              </w:rPr>
              <w:t>18.4.0</w:t>
            </w:r>
          </w:p>
        </w:tc>
      </w:tr>
      <w:tr w:rsidR="009F0D6B" w:rsidRPr="00873B6C" w14:paraId="71AC2596" w14:textId="77777777" w:rsidTr="009D14FB">
        <w:tc>
          <w:tcPr>
            <w:tcW w:w="800" w:type="dxa"/>
            <w:shd w:val="solid" w:color="FFFFFF" w:fill="auto"/>
          </w:tcPr>
          <w:p w14:paraId="090FC240" w14:textId="742AE2DA" w:rsidR="009F0D6B" w:rsidRPr="00873B6C" w:rsidRDefault="009F0D6B" w:rsidP="00591B52">
            <w:pPr>
              <w:pStyle w:val="TAC"/>
              <w:rPr>
                <w:sz w:val="16"/>
                <w:szCs w:val="16"/>
              </w:rPr>
            </w:pPr>
            <w:r w:rsidRPr="00873B6C">
              <w:rPr>
                <w:sz w:val="16"/>
                <w:szCs w:val="16"/>
              </w:rPr>
              <w:t>2023-12</w:t>
            </w:r>
          </w:p>
        </w:tc>
        <w:tc>
          <w:tcPr>
            <w:tcW w:w="800" w:type="dxa"/>
            <w:shd w:val="solid" w:color="FFFFFF" w:fill="auto"/>
          </w:tcPr>
          <w:p w14:paraId="3C9BC70D" w14:textId="2C4DC39A" w:rsidR="009F0D6B" w:rsidRPr="00873B6C" w:rsidRDefault="009F0D6B" w:rsidP="00591B52">
            <w:pPr>
              <w:pStyle w:val="TAL"/>
              <w:rPr>
                <w:sz w:val="16"/>
                <w:szCs w:val="16"/>
              </w:rPr>
            </w:pPr>
            <w:r w:rsidRPr="00873B6C">
              <w:rPr>
                <w:sz w:val="16"/>
                <w:szCs w:val="16"/>
              </w:rPr>
              <w:t>SP#102</w:t>
            </w:r>
          </w:p>
        </w:tc>
        <w:tc>
          <w:tcPr>
            <w:tcW w:w="1094" w:type="dxa"/>
            <w:shd w:val="solid" w:color="FFFFFF" w:fill="auto"/>
          </w:tcPr>
          <w:p w14:paraId="3F30183A" w14:textId="680F5E61" w:rsidR="009F0D6B" w:rsidRPr="00873B6C" w:rsidRDefault="009F0D6B" w:rsidP="00591B52">
            <w:pPr>
              <w:pStyle w:val="TAC"/>
              <w:rPr>
                <w:sz w:val="16"/>
                <w:szCs w:val="16"/>
              </w:rPr>
            </w:pPr>
            <w:r w:rsidRPr="00873B6C">
              <w:rPr>
                <w:sz w:val="16"/>
                <w:szCs w:val="16"/>
              </w:rPr>
              <w:t>SP-231254</w:t>
            </w:r>
          </w:p>
        </w:tc>
        <w:tc>
          <w:tcPr>
            <w:tcW w:w="567" w:type="dxa"/>
            <w:shd w:val="solid" w:color="FFFFFF" w:fill="auto"/>
          </w:tcPr>
          <w:p w14:paraId="331E43CF" w14:textId="3E55AEE8" w:rsidR="009F0D6B" w:rsidRPr="00873B6C" w:rsidRDefault="009F0D6B" w:rsidP="00591B52">
            <w:pPr>
              <w:pStyle w:val="TAL"/>
              <w:rPr>
                <w:sz w:val="16"/>
                <w:szCs w:val="16"/>
              </w:rPr>
            </w:pPr>
            <w:r w:rsidRPr="00873B6C">
              <w:rPr>
                <w:sz w:val="16"/>
                <w:szCs w:val="16"/>
              </w:rPr>
              <w:t>4813</w:t>
            </w:r>
          </w:p>
        </w:tc>
        <w:tc>
          <w:tcPr>
            <w:tcW w:w="425" w:type="dxa"/>
            <w:shd w:val="solid" w:color="FFFFFF" w:fill="auto"/>
          </w:tcPr>
          <w:p w14:paraId="2B1C34C4" w14:textId="7823CA74" w:rsidR="009F0D6B" w:rsidRPr="00873B6C" w:rsidRDefault="009F0D6B" w:rsidP="00591B52">
            <w:pPr>
              <w:pStyle w:val="TAL"/>
              <w:rPr>
                <w:sz w:val="16"/>
                <w:szCs w:val="16"/>
              </w:rPr>
            </w:pPr>
            <w:r w:rsidRPr="00873B6C">
              <w:rPr>
                <w:sz w:val="16"/>
                <w:szCs w:val="16"/>
              </w:rPr>
              <w:t>3</w:t>
            </w:r>
          </w:p>
        </w:tc>
        <w:tc>
          <w:tcPr>
            <w:tcW w:w="425" w:type="dxa"/>
            <w:shd w:val="solid" w:color="FFFFFF" w:fill="auto"/>
          </w:tcPr>
          <w:p w14:paraId="74211180" w14:textId="101AAB9F" w:rsidR="009F0D6B" w:rsidRPr="00873B6C" w:rsidRDefault="009F0D6B" w:rsidP="00591B52">
            <w:pPr>
              <w:pStyle w:val="TAL"/>
              <w:rPr>
                <w:sz w:val="16"/>
                <w:szCs w:val="16"/>
              </w:rPr>
            </w:pPr>
            <w:r w:rsidRPr="00873B6C">
              <w:rPr>
                <w:sz w:val="16"/>
                <w:szCs w:val="16"/>
              </w:rPr>
              <w:t>F</w:t>
            </w:r>
          </w:p>
        </w:tc>
        <w:tc>
          <w:tcPr>
            <w:tcW w:w="4820" w:type="dxa"/>
            <w:shd w:val="solid" w:color="FFFFFF" w:fill="auto"/>
          </w:tcPr>
          <w:p w14:paraId="33A95496" w14:textId="6A36A064" w:rsidR="009F0D6B" w:rsidRPr="00873B6C" w:rsidRDefault="009F0D6B" w:rsidP="00591B52">
            <w:pPr>
              <w:pStyle w:val="TAL"/>
              <w:rPr>
                <w:sz w:val="16"/>
                <w:szCs w:val="16"/>
              </w:rPr>
            </w:pPr>
            <w:r w:rsidRPr="00873B6C">
              <w:rPr>
                <w:sz w:val="16"/>
                <w:szCs w:val="16"/>
              </w:rPr>
              <w:t>Clarifications on redundant steering mode for GBR QoS Flow</w:t>
            </w:r>
          </w:p>
        </w:tc>
        <w:tc>
          <w:tcPr>
            <w:tcW w:w="708" w:type="dxa"/>
            <w:shd w:val="solid" w:color="FFFFFF" w:fill="auto"/>
          </w:tcPr>
          <w:p w14:paraId="021EC65A" w14:textId="4CB40DEB" w:rsidR="009F0D6B" w:rsidRPr="00873B6C" w:rsidRDefault="009F0D6B" w:rsidP="00591B52">
            <w:pPr>
              <w:pStyle w:val="TAC"/>
              <w:rPr>
                <w:sz w:val="16"/>
                <w:szCs w:val="16"/>
              </w:rPr>
            </w:pPr>
            <w:r w:rsidRPr="00873B6C">
              <w:rPr>
                <w:sz w:val="16"/>
                <w:szCs w:val="16"/>
              </w:rPr>
              <w:t>18.4.0</w:t>
            </w:r>
          </w:p>
        </w:tc>
      </w:tr>
      <w:tr w:rsidR="007E4CBA" w:rsidRPr="00873B6C" w14:paraId="61F9E42B" w14:textId="77777777" w:rsidTr="009D14FB">
        <w:tc>
          <w:tcPr>
            <w:tcW w:w="800" w:type="dxa"/>
            <w:shd w:val="solid" w:color="FFFFFF" w:fill="auto"/>
          </w:tcPr>
          <w:p w14:paraId="753B02C7" w14:textId="4AB321C8"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73E67437" w14:textId="5523DF87"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6B055FC8" w14:textId="79A91629" w:rsidR="007E4CBA" w:rsidRPr="00873B6C" w:rsidRDefault="007E4CBA" w:rsidP="00591B52">
            <w:pPr>
              <w:pStyle w:val="TAC"/>
              <w:rPr>
                <w:sz w:val="16"/>
                <w:szCs w:val="16"/>
              </w:rPr>
            </w:pPr>
            <w:r w:rsidRPr="00873B6C">
              <w:rPr>
                <w:sz w:val="16"/>
                <w:szCs w:val="16"/>
              </w:rPr>
              <w:t>SP-231259</w:t>
            </w:r>
          </w:p>
        </w:tc>
        <w:tc>
          <w:tcPr>
            <w:tcW w:w="567" w:type="dxa"/>
            <w:shd w:val="solid" w:color="FFFFFF" w:fill="auto"/>
          </w:tcPr>
          <w:p w14:paraId="48387AF6" w14:textId="5C433122" w:rsidR="007E4CBA" w:rsidRPr="00873B6C" w:rsidRDefault="007E4CBA" w:rsidP="00591B52">
            <w:pPr>
              <w:pStyle w:val="TAL"/>
              <w:rPr>
                <w:sz w:val="16"/>
                <w:szCs w:val="16"/>
              </w:rPr>
            </w:pPr>
            <w:r w:rsidRPr="00873B6C">
              <w:rPr>
                <w:sz w:val="16"/>
                <w:szCs w:val="16"/>
              </w:rPr>
              <w:t>4818</w:t>
            </w:r>
          </w:p>
        </w:tc>
        <w:tc>
          <w:tcPr>
            <w:tcW w:w="425" w:type="dxa"/>
            <w:shd w:val="solid" w:color="FFFFFF" w:fill="auto"/>
          </w:tcPr>
          <w:p w14:paraId="39D1FA39" w14:textId="18C0BF31" w:rsidR="007E4CBA" w:rsidRPr="00873B6C" w:rsidRDefault="007E4CBA" w:rsidP="00591B52">
            <w:pPr>
              <w:pStyle w:val="TAL"/>
              <w:rPr>
                <w:sz w:val="16"/>
                <w:szCs w:val="16"/>
              </w:rPr>
            </w:pPr>
            <w:r w:rsidRPr="00873B6C">
              <w:rPr>
                <w:sz w:val="16"/>
                <w:szCs w:val="16"/>
              </w:rPr>
              <w:t>1</w:t>
            </w:r>
          </w:p>
        </w:tc>
        <w:tc>
          <w:tcPr>
            <w:tcW w:w="425" w:type="dxa"/>
            <w:shd w:val="solid" w:color="FFFFFF" w:fill="auto"/>
          </w:tcPr>
          <w:p w14:paraId="477921CA" w14:textId="35738C79" w:rsidR="007E4CBA" w:rsidRPr="00873B6C" w:rsidRDefault="007E4CBA" w:rsidP="00591B52">
            <w:pPr>
              <w:pStyle w:val="TAL"/>
              <w:rPr>
                <w:sz w:val="16"/>
                <w:szCs w:val="16"/>
              </w:rPr>
            </w:pPr>
            <w:r w:rsidRPr="00873B6C">
              <w:rPr>
                <w:sz w:val="16"/>
                <w:szCs w:val="16"/>
              </w:rPr>
              <w:t>F</w:t>
            </w:r>
          </w:p>
        </w:tc>
        <w:tc>
          <w:tcPr>
            <w:tcW w:w="4820" w:type="dxa"/>
            <w:shd w:val="solid" w:color="FFFFFF" w:fill="auto"/>
          </w:tcPr>
          <w:p w14:paraId="0D122E5C" w14:textId="2CE0D759" w:rsidR="007E4CBA" w:rsidRPr="00873B6C" w:rsidRDefault="007E4CBA" w:rsidP="00591B52">
            <w:pPr>
              <w:pStyle w:val="TAL"/>
              <w:rPr>
                <w:sz w:val="16"/>
                <w:szCs w:val="16"/>
              </w:rPr>
            </w:pPr>
            <w:r w:rsidRPr="00873B6C">
              <w:rPr>
                <w:sz w:val="16"/>
                <w:szCs w:val="16"/>
              </w:rPr>
              <w:t>Clarification on SNPN list for NSWO in CH scenario</w:t>
            </w:r>
          </w:p>
        </w:tc>
        <w:tc>
          <w:tcPr>
            <w:tcW w:w="708" w:type="dxa"/>
            <w:shd w:val="solid" w:color="FFFFFF" w:fill="auto"/>
          </w:tcPr>
          <w:p w14:paraId="0D892916" w14:textId="48B23F8F" w:rsidR="007E4CBA" w:rsidRPr="00873B6C" w:rsidRDefault="007E4CBA" w:rsidP="00591B52">
            <w:pPr>
              <w:pStyle w:val="TAC"/>
              <w:rPr>
                <w:sz w:val="16"/>
                <w:szCs w:val="16"/>
              </w:rPr>
            </w:pPr>
            <w:r w:rsidRPr="00873B6C">
              <w:rPr>
                <w:sz w:val="16"/>
                <w:szCs w:val="16"/>
              </w:rPr>
              <w:t>18.4.0</w:t>
            </w:r>
          </w:p>
        </w:tc>
      </w:tr>
      <w:tr w:rsidR="007E4CBA" w:rsidRPr="00873B6C" w14:paraId="0DFDD466" w14:textId="77777777" w:rsidTr="009D14FB">
        <w:tc>
          <w:tcPr>
            <w:tcW w:w="800" w:type="dxa"/>
            <w:shd w:val="solid" w:color="FFFFFF" w:fill="auto"/>
          </w:tcPr>
          <w:p w14:paraId="073E3D91" w14:textId="5DC9F2DB"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79CC8E02" w14:textId="27769AAF"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3770D49E" w14:textId="1AA21633" w:rsidR="007E4CBA" w:rsidRPr="00873B6C" w:rsidRDefault="007E4CBA" w:rsidP="00591B52">
            <w:pPr>
              <w:pStyle w:val="TAC"/>
              <w:rPr>
                <w:sz w:val="16"/>
                <w:szCs w:val="16"/>
              </w:rPr>
            </w:pPr>
            <w:r w:rsidRPr="00873B6C">
              <w:rPr>
                <w:sz w:val="16"/>
                <w:szCs w:val="16"/>
              </w:rPr>
              <w:t>SP-231260</w:t>
            </w:r>
          </w:p>
        </w:tc>
        <w:tc>
          <w:tcPr>
            <w:tcW w:w="567" w:type="dxa"/>
            <w:shd w:val="solid" w:color="FFFFFF" w:fill="auto"/>
          </w:tcPr>
          <w:p w14:paraId="7E998ED5" w14:textId="0C18E293" w:rsidR="007E4CBA" w:rsidRPr="00873B6C" w:rsidRDefault="007E4CBA" w:rsidP="00591B52">
            <w:pPr>
              <w:pStyle w:val="TAL"/>
              <w:rPr>
                <w:sz w:val="16"/>
                <w:szCs w:val="16"/>
              </w:rPr>
            </w:pPr>
            <w:r w:rsidRPr="00873B6C">
              <w:rPr>
                <w:sz w:val="16"/>
                <w:szCs w:val="16"/>
              </w:rPr>
              <w:t>4850</w:t>
            </w:r>
          </w:p>
        </w:tc>
        <w:tc>
          <w:tcPr>
            <w:tcW w:w="425" w:type="dxa"/>
            <w:shd w:val="solid" w:color="FFFFFF" w:fill="auto"/>
          </w:tcPr>
          <w:p w14:paraId="64096E9F" w14:textId="31B8E151" w:rsidR="007E4CBA" w:rsidRPr="00873B6C" w:rsidRDefault="007E4CBA" w:rsidP="00591B52">
            <w:pPr>
              <w:pStyle w:val="TAL"/>
              <w:rPr>
                <w:sz w:val="16"/>
                <w:szCs w:val="16"/>
              </w:rPr>
            </w:pPr>
            <w:r w:rsidRPr="00873B6C">
              <w:rPr>
                <w:sz w:val="16"/>
                <w:szCs w:val="16"/>
              </w:rPr>
              <w:t>4</w:t>
            </w:r>
          </w:p>
        </w:tc>
        <w:tc>
          <w:tcPr>
            <w:tcW w:w="425" w:type="dxa"/>
            <w:shd w:val="solid" w:color="FFFFFF" w:fill="auto"/>
          </w:tcPr>
          <w:p w14:paraId="58E5C3AB" w14:textId="1CA8B7F2" w:rsidR="007E4CBA" w:rsidRPr="00873B6C" w:rsidRDefault="007E4CBA" w:rsidP="00591B52">
            <w:pPr>
              <w:pStyle w:val="TAL"/>
              <w:rPr>
                <w:sz w:val="16"/>
                <w:szCs w:val="16"/>
              </w:rPr>
            </w:pPr>
            <w:r w:rsidRPr="00873B6C">
              <w:rPr>
                <w:sz w:val="16"/>
                <w:szCs w:val="16"/>
              </w:rPr>
              <w:t>F</w:t>
            </w:r>
          </w:p>
        </w:tc>
        <w:tc>
          <w:tcPr>
            <w:tcW w:w="4820" w:type="dxa"/>
            <w:shd w:val="solid" w:color="FFFFFF" w:fill="auto"/>
          </w:tcPr>
          <w:p w14:paraId="01906545" w14:textId="0FA57863" w:rsidR="007E4CBA" w:rsidRPr="00873B6C" w:rsidRDefault="007E4CBA" w:rsidP="00591B52">
            <w:pPr>
              <w:pStyle w:val="TAL"/>
              <w:rPr>
                <w:sz w:val="16"/>
                <w:szCs w:val="16"/>
              </w:rPr>
            </w:pPr>
            <w:r w:rsidRPr="00873B6C">
              <w:rPr>
                <w:sz w:val="16"/>
                <w:szCs w:val="16"/>
              </w:rPr>
              <w:t>Clarification for temporary slices having validity time information</w:t>
            </w:r>
          </w:p>
        </w:tc>
        <w:tc>
          <w:tcPr>
            <w:tcW w:w="708" w:type="dxa"/>
            <w:shd w:val="solid" w:color="FFFFFF" w:fill="auto"/>
          </w:tcPr>
          <w:p w14:paraId="1B89BBFF" w14:textId="5A082DA7" w:rsidR="007E4CBA" w:rsidRPr="00873B6C" w:rsidRDefault="007E4CBA" w:rsidP="00591B52">
            <w:pPr>
              <w:pStyle w:val="TAC"/>
              <w:rPr>
                <w:sz w:val="16"/>
                <w:szCs w:val="16"/>
              </w:rPr>
            </w:pPr>
            <w:r w:rsidRPr="00873B6C">
              <w:rPr>
                <w:sz w:val="16"/>
                <w:szCs w:val="16"/>
              </w:rPr>
              <w:t>18.4.0</w:t>
            </w:r>
          </w:p>
        </w:tc>
      </w:tr>
      <w:tr w:rsidR="007E4CBA" w:rsidRPr="00873B6C" w14:paraId="1C3255DF" w14:textId="77777777" w:rsidTr="009D14FB">
        <w:tc>
          <w:tcPr>
            <w:tcW w:w="800" w:type="dxa"/>
            <w:shd w:val="solid" w:color="FFFFFF" w:fill="auto"/>
          </w:tcPr>
          <w:p w14:paraId="767BC4D0" w14:textId="5215015C"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053A5AAC" w14:textId="0AE20CDA"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2AB53CBF" w14:textId="382631C0" w:rsidR="007E4CBA" w:rsidRPr="00873B6C" w:rsidRDefault="007E4CBA" w:rsidP="00591B52">
            <w:pPr>
              <w:pStyle w:val="TAC"/>
              <w:rPr>
                <w:sz w:val="16"/>
                <w:szCs w:val="16"/>
              </w:rPr>
            </w:pPr>
            <w:r w:rsidRPr="00873B6C">
              <w:rPr>
                <w:sz w:val="16"/>
                <w:szCs w:val="16"/>
              </w:rPr>
              <w:t>SP-231259</w:t>
            </w:r>
          </w:p>
        </w:tc>
        <w:tc>
          <w:tcPr>
            <w:tcW w:w="567" w:type="dxa"/>
            <w:shd w:val="solid" w:color="FFFFFF" w:fill="auto"/>
          </w:tcPr>
          <w:p w14:paraId="05E83113" w14:textId="1D13C64A" w:rsidR="007E4CBA" w:rsidRPr="00873B6C" w:rsidRDefault="007E4CBA" w:rsidP="00591B52">
            <w:pPr>
              <w:pStyle w:val="TAL"/>
              <w:rPr>
                <w:sz w:val="16"/>
                <w:szCs w:val="16"/>
              </w:rPr>
            </w:pPr>
            <w:r w:rsidRPr="00873B6C">
              <w:rPr>
                <w:sz w:val="16"/>
                <w:szCs w:val="16"/>
              </w:rPr>
              <w:t>4865</w:t>
            </w:r>
          </w:p>
        </w:tc>
        <w:tc>
          <w:tcPr>
            <w:tcW w:w="425" w:type="dxa"/>
            <w:shd w:val="solid" w:color="FFFFFF" w:fill="auto"/>
          </w:tcPr>
          <w:p w14:paraId="37AF5688" w14:textId="1AAAB61D" w:rsidR="007E4CBA" w:rsidRPr="00873B6C" w:rsidRDefault="007E4CBA" w:rsidP="00591B52">
            <w:pPr>
              <w:pStyle w:val="TAL"/>
              <w:rPr>
                <w:sz w:val="16"/>
                <w:szCs w:val="16"/>
              </w:rPr>
            </w:pPr>
            <w:r w:rsidRPr="00873B6C">
              <w:rPr>
                <w:sz w:val="16"/>
                <w:szCs w:val="16"/>
              </w:rPr>
              <w:t>2</w:t>
            </w:r>
          </w:p>
        </w:tc>
        <w:tc>
          <w:tcPr>
            <w:tcW w:w="425" w:type="dxa"/>
            <w:shd w:val="solid" w:color="FFFFFF" w:fill="auto"/>
          </w:tcPr>
          <w:p w14:paraId="5C9774D3" w14:textId="221936FA" w:rsidR="007E4CBA" w:rsidRPr="00873B6C" w:rsidRDefault="007E4CBA" w:rsidP="00591B52">
            <w:pPr>
              <w:pStyle w:val="TAL"/>
              <w:rPr>
                <w:sz w:val="16"/>
                <w:szCs w:val="16"/>
              </w:rPr>
            </w:pPr>
            <w:r w:rsidRPr="00873B6C">
              <w:rPr>
                <w:sz w:val="16"/>
                <w:szCs w:val="16"/>
              </w:rPr>
              <w:t>F</w:t>
            </w:r>
          </w:p>
        </w:tc>
        <w:tc>
          <w:tcPr>
            <w:tcW w:w="4820" w:type="dxa"/>
            <w:shd w:val="solid" w:color="FFFFFF" w:fill="auto"/>
          </w:tcPr>
          <w:p w14:paraId="39699F31" w14:textId="3C5ED064" w:rsidR="007E4CBA" w:rsidRPr="00873B6C" w:rsidRDefault="007E4CBA" w:rsidP="00591B52">
            <w:pPr>
              <w:pStyle w:val="TAL"/>
              <w:rPr>
                <w:sz w:val="16"/>
                <w:szCs w:val="16"/>
              </w:rPr>
            </w:pPr>
            <w:r w:rsidRPr="00873B6C">
              <w:rPr>
                <w:sz w:val="16"/>
                <w:szCs w:val="16"/>
              </w:rPr>
              <w:t>Correction to AMF selection for SNPN onboarding</w:t>
            </w:r>
          </w:p>
        </w:tc>
        <w:tc>
          <w:tcPr>
            <w:tcW w:w="708" w:type="dxa"/>
            <w:shd w:val="solid" w:color="FFFFFF" w:fill="auto"/>
          </w:tcPr>
          <w:p w14:paraId="240CDACB" w14:textId="1C6D4F51" w:rsidR="007E4CBA" w:rsidRPr="00873B6C" w:rsidRDefault="007E4CBA" w:rsidP="00591B52">
            <w:pPr>
              <w:pStyle w:val="TAC"/>
              <w:rPr>
                <w:sz w:val="16"/>
                <w:szCs w:val="16"/>
              </w:rPr>
            </w:pPr>
            <w:r w:rsidRPr="00873B6C">
              <w:rPr>
                <w:sz w:val="16"/>
                <w:szCs w:val="16"/>
              </w:rPr>
              <w:t>18.4.0</w:t>
            </w:r>
          </w:p>
        </w:tc>
      </w:tr>
      <w:tr w:rsidR="007E4CBA" w:rsidRPr="00873B6C" w14:paraId="204F8545" w14:textId="77777777" w:rsidTr="009D14FB">
        <w:tc>
          <w:tcPr>
            <w:tcW w:w="800" w:type="dxa"/>
            <w:shd w:val="solid" w:color="FFFFFF" w:fill="auto"/>
          </w:tcPr>
          <w:p w14:paraId="2BB09A61" w14:textId="25B85D58"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311F34B6" w14:textId="2CE1B211"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1535E9CF" w14:textId="34C5018B" w:rsidR="007E4CBA" w:rsidRPr="00873B6C" w:rsidRDefault="007E4CBA" w:rsidP="00591B52">
            <w:pPr>
              <w:pStyle w:val="TAC"/>
              <w:rPr>
                <w:sz w:val="16"/>
                <w:szCs w:val="16"/>
              </w:rPr>
            </w:pPr>
            <w:r w:rsidRPr="00873B6C">
              <w:rPr>
                <w:sz w:val="16"/>
                <w:szCs w:val="16"/>
              </w:rPr>
              <w:t>SP-231277</w:t>
            </w:r>
          </w:p>
        </w:tc>
        <w:tc>
          <w:tcPr>
            <w:tcW w:w="567" w:type="dxa"/>
            <w:shd w:val="solid" w:color="FFFFFF" w:fill="auto"/>
          </w:tcPr>
          <w:p w14:paraId="50576CCF" w14:textId="6978F962" w:rsidR="007E4CBA" w:rsidRPr="00873B6C" w:rsidRDefault="007E4CBA" w:rsidP="00591B52">
            <w:pPr>
              <w:pStyle w:val="TAL"/>
              <w:rPr>
                <w:sz w:val="16"/>
                <w:szCs w:val="16"/>
              </w:rPr>
            </w:pPr>
            <w:r w:rsidRPr="00873B6C">
              <w:rPr>
                <w:sz w:val="16"/>
                <w:szCs w:val="16"/>
              </w:rPr>
              <w:t>4871</w:t>
            </w:r>
          </w:p>
        </w:tc>
        <w:tc>
          <w:tcPr>
            <w:tcW w:w="425" w:type="dxa"/>
            <w:shd w:val="solid" w:color="FFFFFF" w:fill="auto"/>
          </w:tcPr>
          <w:p w14:paraId="44F62D65" w14:textId="6104222E" w:rsidR="007E4CBA" w:rsidRPr="00873B6C" w:rsidRDefault="007E4CBA" w:rsidP="00591B52">
            <w:pPr>
              <w:pStyle w:val="TAL"/>
              <w:rPr>
                <w:sz w:val="16"/>
                <w:szCs w:val="16"/>
              </w:rPr>
            </w:pPr>
            <w:r w:rsidRPr="00873B6C">
              <w:rPr>
                <w:sz w:val="16"/>
                <w:szCs w:val="16"/>
              </w:rPr>
              <w:t>3</w:t>
            </w:r>
          </w:p>
        </w:tc>
        <w:tc>
          <w:tcPr>
            <w:tcW w:w="425" w:type="dxa"/>
            <w:shd w:val="solid" w:color="FFFFFF" w:fill="auto"/>
          </w:tcPr>
          <w:p w14:paraId="3338609F" w14:textId="76A02908" w:rsidR="007E4CBA" w:rsidRPr="00873B6C" w:rsidRDefault="007E4CBA" w:rsidP="00591B52">
            <w:pPr>
              <w:pStyle w:val="TAL"/>
              <w:rPr>
                <w:sz w:val="16"/>
                <w:szCs w:val="16"/>
              </w:rPr>
            </w:pPr>
            <w:r w:rsidRPr="00873B6C">
              <w:rPr>
                <w:sz w:val="16"/>
                <w:szCs w:val="16"/>
              </w:rPr>
              <w:t>F</w:t>
            </w:r>
          </w:p>
        </w:tc>
        <w:tc>
          <w:tcPr>
            <w:tcW w:w="4820" w:type="dxa"/>
            <w:shd w:val="solid" w:color="FFFFFF" w:fill="auto"/>
          </w:tcPr>
          <w:p w14:paraId="14DF80F1" w14:textId="79530E71" w:rsidR="007E4CBA" w:rsidRPr="00873B6C" w:rsidRDefault="007E4CBA" w:rsidP="00591B52">
            <w:pPr>
              <w:pStyle w:val="TAL"/>
              <w:rPr>
                <w:sz w:val="16"/>
                <w:szCs w:val="16"/>
              </w:rPr>
            </w:pPr>
            <w:r w:rsidRPr="00873B6C">
              <w:rPr>
                <w:sz w:val="16"/>
                <w:szCs w:val="16"/>
              </w:rPr>
              <w:t>Clarifications of policy control enhancements for multi-modal services</w:t>
            </w:r>
          </w:p>
        </w:tc>
        <w:tc>
          <w:tcPr>
            <w:tcW w:w="708" w:type="dxa"/>
            <w:shd w:val="solid" w:color="FFFFFF" w:fill="auto"/>
          </w:tcPr>
          <w:p w14:paraId="5D625479" w14:textId="025DECAE" w:rsidR="007E4CBA" w:rsidRPr="00873B6C" w:rsidRDefault="007E4CBA" w:rsidP="00591B52">
            <w:pPr>
              <w:pStyle w:val="TAC"/>
              <w:rPr>
                <w:sz w:val="16"/>
                <w:szCs w:val="16"/>
              </w:rPr>
            </w:pPr>
            <w:r w:rsidRPr="00873B6C">
              <w:rPr>
                <w:sz w:val="16"/>
                <w:szCs w:val="16"/>
              </w:rPr>
              <w:t>18.4.0</w:t>
            </w:r>
          </w:p>
        </w:tc>
      </w:tr>
      <w:tr w:rsidR="007E4CBA" w:rsidRPr="00873B6C" w14:paraId="479099C1" w14:textId="77777777" w:rsidTr="009D14FB">
        <w:tc>
          <w:tcPr>
            <w:tcW w:w="800" w:type="dxa"/>
            <w:shd w:val="solid" w:color="FFFFFF" w:fill="auto"/>
          </w:tcPr>
          <w:p w14:paraId="7A7463AB" w14:textId="11675C87"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5E209AB2" w14:textId="45557199"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23DB7702" w14:textId="7B1B6A1A" w:rsidR="007E4CBA" w:rsidRPr="00873B6C" w:rsidRDefault="007E4CBA" w:rsidP="00591B52">
            <w:pPr>
              <w:pStyle w:val="TAC"/>
              <w:rPr>
                <w:sz w:val="16"/>
                <w:szCs w:val="16"/>
              </w:rPr>
            </w:pPr>
            <w:r w:rsidRPr="00873B6C">
              <w:rPr>
                <w:sz w:val="16"/>
                <w:szCs w:val="16"/>
              </w:rPr>
              <w:t>SP-231238</w:t>
            </w:r>
          </w:p>
        </w:tc>
        <w:tc>
          <w:tcPr>
            <w:tcW w:w="567" w:type="dxa"/>
            <w:shd w:val="solid" w:color="FFFFFF" w:fill="auto"/>
          </w:tcPr>
          <w:p w14:paraId="3571411F" w14:textId="79F3CA27" w:rsidR="007E4CBA" w:rsidRPr="00873B6C" w:rsidRDefault="007E4CBA" w:rsidP="00591B52">
            <w:pPr>
              <w:pStyle w:val="TAL"/>
              <w:rPr>
                <w:sz w:val="16"/>
                <w:szCs w:val="16"/>
              </w:rPr>
            </w:pPr>
            <w:r w:rsidRPr="00873B6C">
              <w:rPr>
                <w:sz w:val="16"/>
                <w:szCs w:val="16"/>
              </w:rPr>
              <w:t>4910</w:t>
            </w:r>
          </w:p>
        </w:tc>
        <w:tc>
          <w:tcPr>
            <w:tcW w:w="425" w:type="dxa"/>
            <w:shd w:val="solid" w:color="FFFFFF" w:fill="auto"/>
          </w:tcPr>
          <w:p w14:paraId="54DC2158" w14:textId="189F36A0" w:rsidR="007E4CBA" w:rsidRPr="00873B6C" w:rsidRDefault="007E4CBA" w:rsidP="00591B52">
            <w:pPr>
              <w:pStyle w:val="TAL"/>
              <w:rPr>
                <w:sz w:val="16"/>
                <w:szCs w:val="16"/>
              </w:rPr>
            </w:pPr>
            <w:r w:rsidRPr="00873B6C">
              <w:rPr>
                <w:sz w:val="16"/>
                <w:szCs w:val="16"/>
              </w:rPr>
              <w:t>2</w:t>
            </w:r>
          </w:p>
        </w:tc>
        <w:tc>
          <w:tcPr>
            <w:tcW w:w="425" w:type="dxa"/>
            <w:shd w:val="solid" w:color="FFFFFF" w:fill="auto"/>
          </w:tcPr>
          <w:p w14:paraId="1BF81A11" w14:textId="2EFF66BA" w:rsidR="007E4CBA" w:rsidRPr="00873B6C" w:rsidRDefault="007E4CBA" w:rsidP="00591B52">
            <w:pPr>
              <w:pStyle w:val="TAL"/>
              <w:rPr>
                <w:sz w:val="16"/>
                <w:szCs w:val="16"/>
              </w:rPr>
            </w:pPr>
            <w:r w:rsidRPr="00873B6C">
              <w:rPr>
                <w:sz w:val="16"/>
                <w:szCs w:val="16"/>
              </w:rPr>
              <w:t>A</w:t>
            </w:r>
          </w:p>
        </w:tc>
        <w:tc>
          <w:tcPr>
            <w:tcW w:w="4820" w:type="dxa"/>
            <w:shd w:val="solid" w:color="FFFFFF" w:fill="auto"/>
          </w:tcPr>
          <w:p w14:paraId="180CC3A3" w14:textId="1714B5CE" w:rsidR="007E4CBA" w:rsidRPr="00873B6C" w:rsidRDefault="007E4CBA" w:rsidP="00591B52">
            <w:pPr>
              <w:pStyle w:val="TAL"/>
              <w:rPr>
                <w:sz w:val="16"/>
                <w:szCs w:val="16"/>
              </w:rPr>
            </w:pPr>
            <w:r w:rsidRPr="00873B6C">
              <w:rPr>
                <w:sz w:val="16"/>
                <w:szCs w:val="16"/>
              </w:rPr>
              <w:t>Add missing gate control information</w:t>
            </w:r>
          </w:p>
        </w:tc>
        <w:tc>
          <w:tcPr>
            <w:tcW w:w="708" w:type="dxa"/>
            <w:shd w:val="solid" w:color="FFFFFF" w:fill="auto"/>
          </w:tcPr>
          <w:p w14:paraId="3CBA064D" w14:textId="108F5736" w:rsidR="007E4CBA" w:rsidRPr="00873B6C" w:rsidRDefault="007E4CBA" w:rsidP="00591B52">
            <w:pPr>
              <w:pStyle w:val="TAC"/>
              <w:rPr>
                <w:sz w:val="16"/>
                <w:szCs w:val="16"/>
              </w:rPr>
            </w:pPr>
            <w:r w:rsidRPr="00873B6C">
              <w:rPr>
                <w:sz w:val="16"/>
                <w:szCs w:val="16"/>
              </w:rPr>
              <w:t>18.4.0</w:t>
            </w:r>
          </w:p>
        </w:tc>
      </w:tr>
      <w:tr w:rsidR="004001F9" w:rsidRPr="00873B6C" w14:paraId="633D514F" w14:textId="77777777" w:rsidTr="009D14FB">
        <w:tc>
          <w:tcPr>
            <w:tcW w:w="800" w:type="dxa"/>
            <w:shd w:val="solid" w:color="FFFFFF" w:fill="auto"/>
          </w:tcPr>
          <w:p w14:paraId="6EAD82A7" w14:textId="42652D33" w:rsidR="004001F9" w:rsidRPr="00873B6C" w:rsidRDefault="004001F9" w:rsidP="00591B52">
            <w:pPr>
              <w:pStyle w:val="TAC"/>
              <w:rPr>
                <w:sz w:val="16"/>
                <w:szCs w:val="16"/>
              </w:rPr>
            </w:pPr>
            <w:r w:rsidRPr="00873B6C">
              <w:rPr>
                <w:sz w:val="16"/>
                <w:szCs w:val="16"/>
              </w:rPr>
              <w:t>2023-12</w:t>
            </w:r>
          </w:p>
        </w:tc>
        <w:tc>
          <w:tcPr>
            <w:tcW w:w="800" w:type="dxa"/>
            <w:shd w:val="solid" w:color="FFFFFF" w:fill="auto"/>
          </w:tcPr>
          <w:p w14:paraId="117A358F" w14:textId="3E83CDC7" w:rsidR="004001F9" w:rsidRPr="00873B6C" w:rsidRDefault="004001F9" w:rsidP="00591B52">
            <w:pPr>
              <w:pStyle w:val="TAL"/>
              <w:rPr>
                <w:sz w:val="16"/>
                <w:szCs w:val="16"/>
              </w:rPr>
            </w:pPr>
            <w:r w:rsidRPr="00873B6C">
              <w:rPr>
                <w:sz w:val="16"/>
                <w:szCs w:val="16"/>
              </w:rPr>
              <w:t>SP#102</w:t>
            </w:r>
          </w:p>
        </w:tc>
        <w:tc>
          <w:tcPr>
            <w:tcW w:w="1094" w:type="dxa"/>
            <w:shd w:val="solid" w:color="FFFFFF" w:fill="auto"/>
          </w:tcPr>
          <w:p w14:paraId="18657037" w14:textId="20B570C1" w:rsidR="004001F9" w:rsidRPr="00873B6C" w:rsidRDefault="004001F9" w:rsidP="00591B52">
            <w:pPr>
              <w:pStyle w:val="TAC"/>
              <w:rPr>
                <w:sz w:val="16"/>
                <w:szCs w:val="16"/>
              </w:rPr>
            </w:pPr>
            <w:r w:rsidRPr="00873B6C">
              <w:rPr>
                <w:sz w:val="16"/>
                <w:szCs w:val="16"/>
              </w:rPr>
              <w:t>SP-231248</w:t>
            </w:r>
          </w:p>
        </w:tc>
        <w:tc>
          <w:tcPr>
            <w:tcW w:w="567" w:type="dxa"/>
            <w:shd w:val="solid" w:color="FFFFFF" w:fill="auto"/>
          </w:tcPr>
          <w:p w14:paraId="068EA97A" w14:textId="617A135F" w:rsidR="004001F9" w:rsidRPr="00873B6C" w:rsidRDefault="004001F9" w:rsidP="00591B52">
            <w:pPr>
              <w:pStyle w:val="TAL"/>
              <w:rPr>
                <w:sz w:val="16"/>
                <w:szCs w:val="16"/>
              </w:rPr>
            </w:pPr>
            <w:r w:rsidRPr="00873B6C">
              <w:rPr>
                <w:sz w:val="16"/>
                <w:szCs w:val="16"/>
              </w:rPr>
              <w:t>4921</w:t>
            </w:r>
          </w:p>
        </w:tc>
        <w:tc>
          <w:tcPr>
            <w:tcW w:w="425" w:type="dxa"/>
            <w:shd w:val="solid" w:color="FFFFFF" w:fill="auto"/>
          </w:tcPr>
          <w:p w14:paraId="2A086957" w14:textId="234619AD" w:rsidR="004001F9" w:rsidRPr="00873B6C" w:rsidRDefault="004001F9" w:rsidP="00591B52">
            <w:pPr>
              <w:pStyle w:val="TAL"/>
              <w:rPr>
                <w:sz w:val="16"/>
                <w:szCs w:val="16"/>
              </w:rPr>
            </w:pPr>
            <w:r w:rsidRPr="00873B6C">
              <w:rPr>
                <w:sz w:val="16"/>
                <w:szCs w:val="16"/>
              </w:rPr>
              <w:t>1</w:t>
            </w:r>
          </w:p>
        </w:tc>
        <w:tc>
          <w:tcPr>
            <w:tcW w:w="425" w:type="dxa"/>
            <w:shd w:val="solid" w:color="FFFFFF" w:fill="auto"/>
          </w:tcPr>
          <w:p w14:paraId="1FBDF50A" w14:textId="5353C67B" w:rsidR="004001F9" w:rsidRPr="00873B6C" w:rsidRDefault="004001F9" w:rsidP="00591B52">
            <w:pPr>
              <w:pStyle w:val="TAL"/>
              <w:rPr>
                <w:sz w:val="16"/>
                <w:szCs w:val="16"/>
              </w:rPr>
            </w:pPr>
            <w:r w:rsidRPr="00873B6C">
              <w:rPr>
                <w:sz w:val="16"/>
                <w:szCs w:val="16"/>
              </w:rPr>
              <w:t>F</w:t>
            </w:r>
          </w:p>
        </w:tc>
        <w:tc>
          <w:tcPr>
            <w:tcW w:w="4820" w:type="dxa"/>
            <w:shd w:val="solid" w:color="FFFFFF" w:fill="auto"/>
          </w:tcPr>
          <w:p w14:paraId="556E5095" w14:textId="4FF24535" w:rsidR="004001F9" w:rsidRPr="00873B6C" w:rsidRDefault="004001F9" w:rsidP="00591B52">
            <w:pPr>
              <w:pStyle w:val="TAL"/>
              <w:rPr>
                <w:sz w:val="16"/>
                <w:szCs w:val="16"/>
              </w:rPr>
            </w:pPr>
            <w:r w:rsidRPr="00873B6C">
              <w:rPr>
                <w:sz w:val="16"/>
                <w:szCs w:val="16"/>
              </w:rPr>
              <w:t>QoS Monitoring Report clarification</w:t>
            </w:r>
          </w:p>
        </w:tc>
        <w:tc>
          <w:tcPr>
            <w:tcW w:w="708" w:type="dxa"/>
            <w:shd w:val="solid" w:color="FFFFFF" w:fill="auto"/>
          </w:tcPr>
          <w:p w14:paraId="041636B4" w14:textId="1C55EB02" w:rsidR="004001F9" w:rsidRPr="00873B6C" w:rsidRDefault="004001F9" w:rsidP="00591B52">
            <w:pPr>
              <w:pStyle w:val="TAC"/>
              <w:rPr>
                <w:sz w:val="16"/>
                <w:szCs w:val="16"/>
              </w:rPr>
            </w:pPr>
            <w:r w:rsidRPr="00873B6C">
              <w:rPr>
                <w:sz w:val="16"/>
                <w:szCs w:val="16"/>
              </w:rPr>
              <w:t>18.4.0</w:t>
            </w:r>
          </w:p>
        </w:tc>
      </w:tr>
      <w:tr w:rsidR="004001F9" w:rsidRPr="00873B6C" w14:paraId="39941F7A" w14:textId="77777777" w:rsidTr="009D14FB">
        <w:tc>
          <w:tcPr>
            <w:tcW w:w="800" w:type="dxa"/>
            <w:shd w:val="solid" w:color="FFFFFF" w:fill="auto"/>
          </w:tcPr>
          <w:p w14:paraId="2375CC56" w14:textId="02884E4F" w:rsidR="004001F9" w:rsidRPr="00873B6C" w:rsidRDefault="004001F9" w:rsidP="00591B52">
            <w:pPr>
              <w:pStyle w:val="TAC"/>
              <w:rPr>
                <w:sz w:val="16"/>
                <w:szCs w:val="16"/>
              </w:rPr>
            </w:pPr>
            <w:r w:rsidRPr="00873B6C">
              <w:rPr>
                <w:sz w:val="16"/>
                <w:szCs w:val="16"/>
              </w:rPr>
              <w:t>2023-12</w:t>
            </w:r>
          </w:p>
        </w:tc>
        <w:tc>
          <w:tcPr>
            <w:tcW w:w="800" w:type="dxa"/>
            <w:shd w:val="solid" w:color="FFFFFF" w:fill="auto"/>
          </w:tcPr>
          <w:p w14:paraId="792CCEE3" w14:textId="4230EF03" w:rsidR="004001F9" w:rsidRPr="00873B6C" w:rsidRDefault="004001F9" w:rsidP="00591B52">
            <w:pPr>
              <w:pStyle w:val="TAL"/>
              <w:rPr>
                <w:sz w:val="16"/>
                <w:szCs w:val="16"/>
              </w:rPr>
            </w:pPr>
            <w:r w:rsidRPr="00873B6C">
              <w:rPr>
                <w:sz w:val="16"/>
                <w:szCs w:val="16"/>
              </w:rPr>
              <w:t>SP#102</w:t>
            </w:r>
          </w:p>
        </w:tc>
        <w:tc>
          <w:tcPr>
            <w:tcW w:w="1094" w:type="dxa"/>
            <w:shd w:val="solid" w:color="FFFFFF" w:fill="auto"/>
          </w:tcPr>
          <w:p w14:paraId="4709DDE4" w14:textId="1AEC0EDB" w:rsidR="004001F9" w:rsidRPr="00873B6C" w:rsidRDefault="004001F9" w:rsidP="00591B52">
            <w:pPr>
              <w:pStyle w:val="TAC"/>
              <w:rPr>
                <w:sz w:val="16"/>
                <w:szCs w:val="16"/>
              </w:rPr>
            </w:pPr>
            <w:r w:rsidRPr="00873B6C">
              <w:rPr>
                <w:sz w:val="16"/>
                <w:szCs w:val="16"/>
              </w:rPr>
              <w:t>SP-231248</w:t>
            </w:r>
          </w:p>
        </w:tc>
        <w:tc>
          <w:tcPr>
            <w:tcW w:w="567" w:type="dxa"/>
            <w:shd w:val="solid" w:color="FFFFFF" w:fill="auto"/>
          </w:tcPr>
          <w:p w14:paraId="60923E61" w14:textId="6A4E166A" w:rsidR="004001F9" w:rsidRPr="00873B6C" w:rsidRDefault="004001F9" w:rsidP="00591B52">
            <w:pPr>
              <w:pStyle w:val="TAL"/>
              <w:rPr>
                <w:sz w:val="16"/>
                <w:szCs w:val="16"/>
              </w:rPr>
            </w:pPr>
            <w:r w:rsidRPr="00873B6C">
              <w:rPr>
                <w:sz w:val="16"/>
                <w:szCs w:val="16"/>
              </w:rPr>
              <w:t>4922</w:t>
            </w:r>
          </w:p>
        </w:tc>
        <w:tc>
          <w:tcPr>
            <w:tcW w:w="425" w:type="dxa"/>
            <w:shd w:val="solid" w:color="FFFFFF" w:fill="auto"/>
          </w:tcPr>
          <w:p w14:paraId="6570052C" w14:textId="50BEC68F" w:rsidR="004001F9" w:rsidRPr="00873B6C" w:rsidRDefault="004001F9" w:rsidP="00591B52">
            <w:pPr>
              <w:pStyle w:val="TAL"/>
              <w:rPr>
                <w:sz w:val="16"/>
                <w:szCs w:val="16"/>
              </w:rPr>
            </w:pPr>
            <w:r w:rsidRPr="00873B6C">
              <w:rPr>
                <w:sz w:val="16"/>
                <w:szCs w:val="16"/>
              </w:rPr>
              <w:t>1</w:t>
            </w:r>
          </w:p>
        </w:tc>
        <w:tc>
          <w:tcPr>
            <w:tcW w:w="425" w:type="dxa"/>
            <w:shd w:val="solid" w:color="FFFFFF" w:fill="auto"/>
          </w:tcPr>
          <w:p w14:paraId="15836571" w14:textId="41D444ED" w:rsidR="004001F9" w:rsidRPr="00873B6C" w:rsidRDefault="004001F9" w:rsidP="00591B52">
            <w:pPr>
              <w:pStyle w:val="TAL"/>
              <w:rPr>
                <w:sz w:val="16"/>
                <w:szCs w:val="16"/>
              </w:rPr>
            </w:pPr>
            <w:r w:rsidRPr="00873B6C">
              <w:rPr>
                <w:sz w:val="16"/>
                <w:szCs w:val="16"/>
              </w:rPr>
              <w:t>F</w:t>
            </w:r>
          </w:p>
        </w:tc>
        <w:tc>
          <w:tcPr>
            <w:tcW w:w="4820" w:type="dxa"/>
            <w:shd w:val="solid" w:color="FFFFFF" w:fill="auto"/>
          </w:tcPr>
          <w:p w14:paraId="6CD76E93" w14:textId="0764FDEF" w:rsidR="004001F9" w:rsidRPr="00873B6C" w:rsidRDefault="004001F9" w:rsidP="00591B52">
            <w:pPr>
              <w:pStyle w:val="TAL"/>
              <w:rPr>
                <w:sz w:val="16"/>
                <w:szCs w:val="16"/>
              </w:rPr>
            </w:pPr>
            <w:r w:rsidRPr="00873B6C">
              <w:rPr>
                <w:sz w:val="16"/>
                <w:szCs w:val="16"/>
              </w:rPr>
              <w:t>Dual Connectivity terminology fixes and removal of obsolete Editor's Note</w:t>
            </w:r>
          </w:p>
        </w:tc>
        <w:tc>
          <w:tcPr>
            <w:tcW w:w="708" w:type="dxa"/>
            <w:shd w:val="solid" w:color="FFFFFF" w:fill="auto"/>
          </w:tcPr>
          <w:p w14:paraId="1FB9E508" w14:textId="486E7864" w:rsidR="004001F9" w:rsidRPr="00873B6C" w:rsidRDefault="004001F9" w:rsidP="00591B52">
            <w:pPr>
              <w:pStyle w:val="TAC"/>
              <w:rPr>
                <w:sz w:val="16"/>
                <w:szCs w:val="16"/>
              </w:rPr>
            </w:pPr>
            <w:r w:rsidRPr="00873B6C">
              <w:rPr>
                <w:sz w:val="16"/>
                <w:szCs w:val="16"/>
              </w:rPr>
              <w:t>18.4.0</w:t>
            </w:r>
          </w:p>
        </w:tc>
      </w:tr>
      <w:tr w:rsidR="004001F9" w:rsidRPr="00873B6C" w14:paraId="01DFE9D7" w14:textId="77777777" w:rsidTr="009D14FB">
        <w:tc>
          <w:tcPr>
            <w:tcW w:w="800" w:type="dxa"/>
            <w:shd w:val="solid" w:color="FFFFFF" w:fill="auto"/>
          </w:tcPr>
          <w:p w14:paraId="2FD65135" w14:textId="061A941B" w:rsidR="004001F9" w:rsidRPr="00873B6C" w:rsidRDefault="004001F9" w:rsidP="00591B52">
            <w:pPr>
              <w:pStyle w:val="TAC"/>
              <w:rPr>
                <w:sz w:val="16"/>
                <w:szCs w:val="16"/>
              </w:rPr>
            </w:pPr>
            <w:r w:rsidRPr="00873B6C">
              <w:rPr>
                <w:sz w:val="16"/>
                <w:szCs w:val="16"/>
              </w:rPr>
              <w:t>2023-12</w:t>
            </w:r>
          </w:p>
        </w:tc>
        <w:tc>
          <w:tcPr>
            <w:tcW w:w="800" w:type="dxa"/>
            <w:shd w:val="solid" w:color="FFFFFF" w:fill="auto"/>
          </w:tcPr>
          <w:p w14:paraId="4BF6389E" w14:textId="44B08FBA" w:rsidR="004001F9" w:rsidRPr="00873B6C" w:rsidRDefault="004001F9" w:rsidP="00591B52">
            <w:pPr>
              <w:pStyle w:val="TAL"/>
              <w:rPr>
                <w:sz w:val="16"/>
                <w:szCs w:val="16"/>
              </w:rPr>
            </w:pPr>
            <w:r w:rsidRPr="00873B6C">
              <w:rPr>
                <w:sz w:val="16"/>
                <w:szCs w:val="16"/>
              </w:rPr>
              <w:t>SP#102</w:t>
            </w:r>
          </w:p>
        </w:tc>
        <w:tc>
          <w:tcPr>
            <w:tcW w:w="1094" w:type="dxa"/>
            <w:shd w:val="solid" w:color="FFFFFF" w:fill="auto"/>
          </w:tcPr>
          <w:p w14:paraId="3FE6E17C" w14:textId="6F6009CB" w:rsidR="004001F9" w:rsidRPr="00873B6C" w:rsidRDefault="004001F9" w:rsidP="00591B52">
            <w:pPr>
              <w:pStyle w:val="TAC"/>
              <w:rPr>
                <w:sz w:val="16"/>
                <w:szCs w:val="16"/>
              </w:rPr>
            </w:pPr>
            <w:r w:rsidRPr="00873B6C">
              <w:rPr>
                <w:sz w:val="16"/>
                <w:szCs w:val="16"/>
              </w:rPr>
              <w:t>SP-231259</w:t>
            </w:r>
          </w:p>
        </w:tc>
        <w:tc>
          <w:tcPr>
            <w:tcW w:w="567" w:type="dxa"/>
            <w:shd w:val="solid" w:color="FFFFFF" w:fill="auto"/>
          </w:tcPr>
          <w:p w14:paraId="176534F4" w14:textId="44869AB8" w:rsidR="004001F9" w:rsidRPr="00873B6C" w:rsidRDefault="004001F9" w:rsidP="00591B52">
            <w:pPr>
              <w:pStyle w:val="TAL"/>
              <w:rPr>
                <w:sz w:val="16"/>
                <w:szCs w:val="16"/>
              </w:rPr>
            </w:pPr>
            <w:r w:rsidRPr="00873B6C">
              <w:rPr>
                <w:sz w:val="16"/>
                <w:szCs w:val="16"/>
              </w:rPr>
              <w:t>4933</w:t>
            </w:r>
          </w:p>
        </w:tc>
        <w:tc>
          <w:tcPr>
            <w:tcW w:w="425" w:type="dxa"/>
            <w:shd w:val="solid" w:color="FFFFFF" w:fill="auto"/>
          </w:tcPr>
          <w:p w14:paraId="20AD457E" w14:textId="7AEA4C52" w:rsidR="004001F9" w:rsidRPr="00873B6C" w:rsidRDefault="004001F9" w:rsidP="00591B52">
            <w:pPr>
              <w:pStyle w:val="TAL"/>
              <w:rPr>
                <w:sz w:val="16"/>
                <w:szCs w:val="16"/>
              </w:rPr>
            </w:pPr>
            <w:r w:rsidRPr="00873B6C">
              <w:rPr>
                <w:sz w:val="16"/>
                <w:szCs w:val="16"/>
              </w:rPr>
              <w:t>2</w:t>
            </w:r>
          </w:p>
        </w:tc>
        <w:tc>
          <w:tcPr>
            <w:tcW w:w="425" w:type="dxa"/>
            <w:shd w:val="solid" w:color="FFFFFF" w:fill="auto"/>
          </w:tcPr>
          <w:p w14:paraId="324FA5E0" w14:textId="097EF0EF" w:rsidR="004001F9" w:rsidRPr="00873B6C" w:rsidRDefault="004001F9" w:rsidP="00591B52">
            <w:pPr>
              <w:pStyle w:val="TAL"/>
              <w:rPr>
                <w:sz w:val="16"/>
                <w:szCs w:val="16"/>
              </w:rPr>
            </w:pPr>
            <w:r w:rsidRPr="00873B6C">
              <w:rPr>
                <w:sz w:val="16"/>
                <w:szCs w:val="16"/>
              </w:rPr>
              <w:t>D</w:t>
            </w:r>
          </w:p>
        </w:tc>
        <w:tc>
          <w:tcPr>
            <w:tcW w:w="4820" w:type="dxa"/>
            <w:shd w:val="solid" w:color="FFFFFF" w:fill="auto"/>
          </w:tcPr>
          <w:p w14:paraId="349B5792" w14:textId="65EDC023" w:rsidR="004001F9" w:rsidRPr="00873B6C" w:rsidRDefault="004001F9" w:rsidP="00591B52">
            <w:pPr>
              <w:pStyle w:val="TAL"/>
              <w:rPr>
                <w:sz w:val="16"/>
                <w:szCs w:val="16"/>
              </w:rPr>
            </w:pPr>
            <w:r w:rsidRPr="00873B6C">
              <w:rPr>
                <w:sz w:val="16"/>
                <w:szCs w:val="16"/>
              </w:rPr>
              <w:t>Clarification on Stand-alone Non-Public Networks</w:t>
            </w:r>
          </w:p>
        </w:tc>
        <w:tc>
          <w:tcPr>
            <w:tcW w:w="708" w:type="dxa"/>
            <w:shd w:val="solid" w:color="FFFFFF" w:fill="auto"/>
          </w:tcPr>
          <w:p w14:paraId="467B43AC" w14:textId="6CF0EB35" w:rsidR="004001F9" w:rsidRPr="00873B6C" w:rsidRDefault="004001F9" w:rsidP="00591B52">
            <w:pPr>
              <w:pStyle w:val="TAC"/>
              <w:rPr>
                <w:sz w:val="16"/>
                <w:szCs w:val="16"/>
              </w:rPr>
            </w:pPr>
            <w:r w:rsidRPr="00873B6C">
              <w:rPr>
                <w:sz w:val="16"/>
                <w:szCs w:val="16"/>
              </w:rPr>
              <w:t>18.4.0</w:t>
            </w:r>
          </w:p>
        </w:tc>
      </w:tr>
      <w:tr w:rsidR="00517FBD" w:rsidRPr="00873B6C" w14:paraId="0E5F655A" w14:textId="77777777" w:rsidTr="009D14FB">
        <w:tc>
          <w:tcPr>
            <w:tcW w:w="800" w:type="dxa"/>
            <w:shd w:val="solid" w:color="FFFFFF" w:fill="auto"/>
          </w:tcPr>
          <w:p w14:paraId="2B6B3C00" w14:textId="7CBFDB19"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4BE99CC6" w14:textId="67455121"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5C302A6D" w14:textId="5DD9FCAF" w:rsidR="00517FBD" w:rsidRPr="00873B6C" w:rsidRDefault="00517FBD" w:rsidP="00591B52">
            <w:pPr>
              <w:pStyle w:val="TAC"/>
              <w:rPr>
                <w:sz w:val="16"/>
                <w:szCs w:val="16"/>
              </w:rPr>
            </w:pPr>
            <w:r w:rsidRPr="00873B6C">
              <w:rPr>
                <w:sz w:val="16"/>
                <w:szCs w:val="16"/>
              </w:rPr>
              <w:t>SP-231275</w:t>
            </w:r>
          </w:p>
        </w:tc>
        <w:tc>
          <w:tcPr>
            <w:tcW w:w="567" w:type="dxa"/>
            <w:shd w:val="solid" w:color="FFFFFF" w:fill="auto"/>
          </w:tcPr>
          <w:p w14:paraId="3ED870EA" w14:textId="6946535A" w:rsidR="00517FBD" w:rsidRPr="00873B6C" w:rsidRDefault="00517FBD" w:rsidP="00591B52">
            <w:pPr>
              <w:pStyle w:val="TAL"/>
              <w:rPr>
                <w:sz w:val="16"/>
                <w:szCs w:val="16"/>
              </w:rPr>
            </w:pPr>
            <w:r w:rsidRPr="00873B6C">
              <w:rPr>
                <w:sz w:val="16"/>
                <w:szCs w:val="16"/>
              </w:rPr>
              <w:t>4935</w:t>
            </w:r>
          </w:p>
        </w:tc>
        <w:tc>
          <w:tcPr>
            <w:tcW w:w="425" w:type="dxa"/>
            <w:shd w:val="solid" w:color="FFFFFF" w:fill="auto"/>
          </w:tcPr>
          <w:p w14:paraId="10708845" w14:textId="49F880E8" w:rsidR="00517FBD" w:rsidRPr="00873B6C" w:rsidRDefault="00517FBD" w:rsidP="00591B52">
            <w:pPr>
              <w:pStyle w:val="TAL"/>
              <w:rPr>
                <w:sz w:val="16"/>
                <w:szCs w:val="16"/>
              </w:rPr>
            </w:pPr>
            <w:r w:rsidRPr="00873B6C">
              <w:rPr>
                <w:sz w:val="16"/>
                <w:szCs w:val="16"/>
              </w:rPr>
              <w:t>2</w:t>
            </w:r>
          </w:p>
        </w:tc>
        <w:tc>
          <w:tcPr>
            <w:tcW w:w="425" w:type="dxa"/>
            <w:shd w:val="solid" w:color="FFFFFF" w:fill="auto"/>
          </w:tcPr>
          <w:p w14:paraId="48286894" w14:textId="5D761C9F"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5140C15E" w14:textId="1734DF86" w:rsidR="00517FBD" w:rsidRPr="00873B6C" w:rsidRDefault="00517FBD" w:rsidP="00591B52">
            <w:pPr>
              <w:pStyle w:val="TAL"/>
              <w:rPr>
                <w:sz w:val="16"/>
                <w:szCs w:val="16"/>
              </w:rPr>
            </w:pPr>
            <w:r w:rsidRPr="00873B6C">
              <w:rPr>
                <w:sz w:val="16"/>
                <w:szCs w:val="16"/>
              </w:rPr>
              <w:t>Clarification on Data exposure via SBI</w:t>
            </w:r>
          </w:p>
        </w:tc>
        <w:tc>
          <w:tcPr>
            <w:tcW w:w="708" w:type="dxa"/>
            <w:shd w:val="solid" w:color="FFFFFF" w:fill="auto"/>
          </w:tcPr>
          <w:p w14:paraId="3C47178E" w14:textId="626FD066" w:rsidR="00517FBD" w:rsidRPr="00873B6C" w:rsidRDefault="00517FBD" w:rsidP="00591B52">
            <w:pPr>
              <w:pStyle w:val="TAC"/>
              <w:rPr>
                <w:sz w:val="16"/>
                <w:szCs w:val="16"/>
              </w:rPr>
            </w:pPr>
            <w:r w:rsidRPr="00873B6C">
              <w:rPr>
                <w:sz w:val="16"/>
                <w:szCs w:val="16"/>
              </w:rPr>
              <w:t>18.4.0</w:t>
            </w:r>
          </w:p>
        </w:tc>
      </w:tr>
      <w:tr w:rsidR="00517FBD" w:rsidRPr="00873B6C" w14:paraId="692F79F0" w14:textId="77777777" w:rsidTr="009D14FB">
        <w:tc>
          <w:tcPr>
            <w:tcW w:w="800" w:type="dxa"/>
            <w:shd w:val="solid" w:color="FFFFFF" w:fill="auto"/>
          </w:tcPr>
          <w:p w14:paraId="772E8C86" w14:textId="5D65D4C9"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4FD1DCBA" w14:textId="26A112BD"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410DA2B6" w14:textId="08F0C30E" w:rsidR="00517FBD" w:rsidRPr="00873B6C" w:rsidRDefault="00517FBD" w:rsidP="00591B52">
            <w:pPr>
              <w:pStyle w:val="TAC"/>
              <w:rPr>
                <w:sz w:val="16"/>
                <w:szCs w:val="16"/>
              </w:rPr>
            </w:pPr>
            <w:r w:rsidRPr="00873B6C">
              <w:rPr>
                <w:sz w:val="16"/>
                <w:szCs w:val="16"/>
              </w:rPr>
              <w:t>SP-231275</w:t>
            </w:r>
          </w:p>
        </w:tc>
        <w:tc>
          <w:tcPr>
            <w:tcW w:w="567" w:type="dxa"/>
            <w:shd w:val="solid" w:color="FFFFFF" w:fill="auto"/>
          </w:tcPr>
          <w:p w14:paraId="43280379" w14:textId="0C58AFD6" w:rsidR="00517FBD" w:rsidRPr="00873B6C" w:rsidRDefault="00517FBD" w:rsidP="00591B52">
            <w:pPr>
              <w:pStyle w:val="TAL"/>
              <w:rPr>
                <w:sz w:val="16"/>
                <w:szCs w:val="16"/>
              </w:rPr>
            </w:pPr>
            <w:r w:rsidRPr="00873B6C">
              <w:rPr>
                <w:sz w:val="16"/>
                <w:szCs w:val="16"/>
              </w:rPr>
              <w:t>4937</w:t>
            </w:r>
          </w:p>
        </w:tc>
        <w:tc>
          <w:tcPr>
            <w:tcW w:w="425" w:type="dxa"/>
            <w:shd w:val="solid" w:color="FFFFFF" w:fill="auto"/>
          </w:tcPr>
          <w:p w14:paraId="711A0D40" w14:textId="415E49AF" w:rsidR="00517FBD" w:rsidRPr="00873B6C" w:rsidRDefault="00517FBD" w:rsidP="00591B52">
            <w:pPr>
              <w:pStyle w:val="TAL"/>
              <w:rPr>
                <w:sz w:val="16"/>
                <w:szCs w:val="16"/>
              </w:rPr>
            </w:pPr>
            <w:r w:rsidRPr="00873B6C">
              <w:rPr>
                <w:sz w:val="16"/>
                <w:szCs w:val="16"/>
              </w:rPr>
              <w:t>3</w:t>
            </w:r>
          </w:p>
        </w:tc>
        <w:tc>
          <w:tcPr>
            <w:tcW w:w="425" w:type="dxa"/>
            <w:shd w:val="solid" w:color="FFFFFF" w:fill="auto"/>
          </w:tcPr>
          <w:p w14:paraId="0F7B375B" w14:textId="593D871B"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05074F24" w14:textId="2874EA0E" w:rsidR="00517FBD" w:rsidRPr="00873B6C" w:rsidRDefault="00517FBD" w:rsidP="00591B52">
            <w:pPr>
              <w:pStyle w:val="TAL"/>
              <w:rPr>
                <w:sz w:val="16"/>
                <w:szCs w:val="16"/>
              </w:rPr>
            </w:pPr>
            <w:r w:rsidRPr="00873B6C">
              <w:rPr>
                <w:sz w:val="16"/>
                <w:szCs w:val="16"/>
              </w:rPr>
              <w:t>Update Architecture for UPF SBI interface</w:t>
            </w:r>
          </w:p>
        </w:tc>
        <w:tc>
          <w:tcPr>
            <w:tcW w:w="708" w:type="dxa"/>
            <w:shd w:val="solid" w:color="FFFFFF" w:fill="auto"/>
          </w:tcPr>
          <w:p w14:paraId="0473CA95" w14:textId="2843ED5C" w:rsidR="00517FBD" w:rsidRPr="00873B6C" w:rsidRDefault="00517FBD" w:rsidP="00591B52">
            <w:pPr>
              <w:pStyle w:val="TAC"/>
              <w:rPr>
                <w:sz w:val="16"/>
                <w:szCs w:val="16"/>
              </w:rPr>
            </w:pPr>
            <w:r w:rsidRPr="00873B6C">
              <w:rPr>
                <w:sz w:val="16"/>
                <w:szCs w:val="16"/>
              </w:rPr>
              <w:t>18.4.0</w:t>
            </w:r>
          </w:p>
        </w:tc>
      </w:tr>
      <w:tr w:rsidR="00517FBD" w:rsidRPr="00873B6C" w14:paraId="728F1C79" w14:textId="77777777" w:rsidTr="009D14FB">
        <w:tc>
          <w:tcPr>
            <w:tcW w:w="800" w:type="dxa"/>
            <w:shd w:val="solid" w:color="FFFFFF" w:fill="auto"/>
          </w:tcPr>
          <w:p w14:paraId="678CCF74" w14:textId="774447F0"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1FFF81CA" w14:textId="1188B74E"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2822E465" w14:textId="747A70B3" w:rsidR="00517FBD" w:rsidRPr="00873B6C" w:rsidRDefault="00517FBD" w:rsidP="00591B52">
            <w:pPr>
              <w:pStyle w:val="TAC"/>
              <w:rPr>
                <w:sz w:val="16"/>
                <w:szCs w:val="16"/>
              </w:rPr>
            </w:pPr>
            <w:r w:rsidRPr="00873B6C">
              <w:rPr>
                <w:sz w:val="16"/>
                <w:szCs w:val="16"/>
              </w:rPr>
              <w:t>SP-231275</w:t>
            </w:r>
          </w:p>
        </w:tc>
        <w:tc>
          <w:tcPr>
            <w:tcW w:w="567" w:type="dxa"/>
            <w:shd w:val="solid" w:color="FFFFFF" w:fill="auto"/>
          </w:tcPr>
          <w:p w14:paraId="5DA0D181" w14:textId="44ECDB37" w:rsidR="00517FBD" w:rsidRPr="00873B6C" w:rsidRDefault="00517FBD" w:rsidP="00591B52">
            <w:pPr>
              <w:pStyle w:val="TAL"/>
              <w:rPr>
                <w:sz w:val="16"/>
                <w:szCs w:val="16"/>
              </w:rPr>
            </w:pPr>
            <w:r w:rsidRPr="00873B6C">
              <w:rPr>
                <w:sz w:val="16"/>
                <w:szCs w:val="16"/>
              </w:rPr>
              <w:t>4942</w:t>
            </w:r>
          </w:p>
        </w:tc>
        <w:tc>
          <w:tcPr>
            <w:tcW w:w="425" w:type="dxa"/>
            <w:shd w:val="solid" w:color="FFFFFF" w:fill="auto"/>
          </w:tcPr>
          <w:p w14:paraId="7D922165" w14:textId="4DA2A971" w:rsidR="00517FBD" w:rsidRPr="00873B6C" w:rsidRDefault="00517FBD" w:rsidP="00591B52">
            <w:pPr>
              <w:pStyle w:val="TAL"/>
              <w:rPr>
                <w:sz w:val="16"/>
                <w:szCs w:val="16"/>
              </w:rPr>
            </w:pPr>
            <w:r w:rsidRPr="00873B6C">
              <w:rPr>
                <w:sz w:val="16"/>
                <w:szCs w:val="16"/>
              </w:rPr>
              <w:t>4</w:t>
            </w:r>
          </w:p>
        </w:tc>
        <w:tc>
          <w:tcPr>
            <w:tcW w:w="425" w:type="dxa"/>
            <w:shd w:val="solid" w:color="FFFFFF" w:fill="auto"/>
          </w:tcPr>
          <w:p w14:paraId="6A18103B" w14:textId="744B336E"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3833A10B" w14:textId="04010BEF" w:rsidR="00517FBD" w:rsidRPr="00873B6C" w:rsidRDefault="00517FBD" w:rsidP="00591B52">
            <w:pPr>
              <w:pStyle w:val="TAL"/>
              <w:rPr>
                <w:sz w:val="16"/>
                <w:szCs w:val="16"/>
              </w:rPr>
            </w:pPr>
            <w:r w:rsidRPr="00873B6C">
              <w:rPr>
                <w:sz w:val="16"/>
                <w:szCs w:val="16"/>
              </w:rPr>
              <w:t>Clarification on SMF and UPF functional description for UPF event exposure services</w:t>
            </w:r>
          </w:p>
        </w:tc>
        <w:tc>
          <w:tcPr>
            <w:tcW w:w="708" w:type="dxa"/>
            <w:shd w:val="solid" w:color="FFFFFF" w:fill="auto"/>
          </w:tcPr>
          <w:p w14:paraId="2FB5F545" w14:textId="373384CD" w:rsidR="00517FBD" w:rsidRPr="00873B6C" w:rsidRDefault="00517FBD" w:rsidP="00591B52">
            <w:pPr>
              <w:pStyle w:val="TAC"/>
              <w:rPr>
                <w:sz w:val="16"/>
                <w:szCs w:val="16"/>
              </w:rPr>
            </w:pPr>
            <w:r w:rsidRPr="00873B6C">
              <w:rPr>
                <w:sz w:val="16"/>
                <w:szCs w:val="16"/>
              </w:rPr>
              <w:t>18.4.0</w:t>
            </w:r>
          </w:p>
        </w:tc>
      </w:tr>
      <w:tr w:rsidR="00517FBD" w:rsidRPr="00873B6C" w14:paraId="7CE8E6A3" w14:textId="77777777" w:rsidTr="009D14FB">
        <w:tc>
          <w:tcPr>
            <w:tcW w:w="800" w:type="dxa"/>
            <w:shd w:val="solid" w:color="FFFFFF" w:fill="auto"/>
          </w:tcPr>
          <w:p w14:paraId="76DA7311" w14:textId="0DE4F9C6"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357D4D76" w14:textId="244ECC77"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23116C21" w14:textId="4CEA693B" w:rsidR="00517FBD" w:rsidRPr="00873B6C" w:rsidRDefault="00517FBD" w:rsidP="00591B52">
            <w:pPr>
              <w:pStyle w:val="TAC"/>
              <w:rPr>
                <w:sz w:val="16"/>
                <w:szCs w:val="16"/>
              </w:rPr>
            </w:pPr>
            <w:r w:rsidRPr="00873B6C">
              <w:rPr>
                <w:sz w:val="16"/>
                <w:szCs w:val="16"/>
              </w:rPr>
              <w:t>SP-231277</w:t>
            </w:r>
          </w:p>
        </w:tc>
        <w:tc>
          <w:tcPr>
            <w:tcW w:w="567" w:type="dxa"/>
            <w:shd w:val="solid" w:color="FFFFFF" w:fill="auto"/>
          </w:tcPr>
          <w:p w14:paraId="6E6DF3AB" w14:textId="7E06B928" w:rsidR="00517FBD" w:rsidRPr="00873B6C" w:rsidRDefault="00517FBD" w:rsidP="00591B52">
            <w:pPr>
              <w:pStyle w:val="TAL"/>
              <w:rPr>
                <w:sz w:val="16"/>
                <w:szCs w:val="16"/>
              </w:rPr>
            </w:pPr>
            <w:r w:rsidRPr="00873B6C">
              <w:rPr>
                <w:sz w:val="16"/>
                <w:szCs w:val="16"/>
              </w:rPr>
              <w:t>4943</w:t>
            </w:r>
          </w:p>
        </w:tc>
        <w:tc>
          <w:tcPr>
            <w:tcW w:w="425" w:type="dxa"/>
            <w:shd w:val="solid" w:color="FFFFFF" w:fill="auto"/>
          </w:tcPr>
          <w:p w14:paraId="0B29E47B" w14:textId="62FA421E" w:rsidR="00517FBD" w:rsidRPr="00873B6C" w:rsidRDefault="00517FBD" w:rsidP="00591B52">
            <w:pPr>
              <w:pStyle w:val="TAL"/>
              <w:rPr>
                <w:sz w:val="16"/>
                <w:szCs w:val="16"/>
              </w:rPr>
            </w:pPr>
            <w:r w:rsidRPr="00873B6C">
              <w:rPr>
                <w:sz w:val="16"/>
                <w:szCs w:val="16"/>
              </w:rPr>
              <w:t>1</w:t>
            </w:r>
          </w:p>
        </w:tc>
        <w:tc>
          <w:tcPr>
            <w:tcW w:w="425" w:type="dxa"/>
            <w:shd w:val="solid" w:color="FFFFFF" w:fill="auto"/>
          </w:tcPr>
          <w:p w14:paraId="612EF1D0" w14:textId="35C76C37"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60FF9C11" w14:textId="3E8F425D" w:rsidR="00517FBD" w:rsidRPr="00873B6C" w:rsidRDefault="00517FBD" w:rsidP="00591B52">
            <w:pPr>
              <w:pStyle w:val="TAL"/>
              <w:rPr>
                <w:sz w:val="16"/>
                <w:szCs w:val="16"/>
              </w:rPr>
            </w:pPr>
            <w:r w:rsidRPr="00873B6C">
              <w:rPr>
                <w:sz w:val="16"/>
                <w:szCs w:val="16"/>
              </w:rPr>
              <w:t>Correction on network exposure of estimated bandwidth</w:t>
            </w:r>
          </w:p>
        </w:tc>
        <w:tc>
          <w:tcPr>
            <w:tcW w:w="708" w:type="dxa"/>
            <w:shd w:val="solid" w:color="FFFFFF" w:fill="auto"/>
          </w:tcPr>
          <w:p w14:paraId="49131A68" w14:textId="18F1AF19" w:rsidR="00517FBD" w:rsidRPr="00873B6C" w:rsidRDefault="00517FBD" w:rsidP="00591B52">
            <w:pPr>
              <w:pStyle w:val="TAC"/>
              <w:rPr>
                <w:sz w:val="16"/>
                <w:szCs w:val="16"/>
              </w:rPr>
            </w:pPr>
            <w:r w:rsidRPr="00873B6C">
              <w:rPr>
                <w:sz w:val="16"/>
                <w:szCs w:val="16"/>
              </w:rPr>
              <w:t>18.4.0</w:t>
            </w:r>
          </w:p>
        </w:tc>
      </w:tr>
      <w:tr w:rsidR="00517FBD" w:rsidRPr="00873B6C" w14:paraId="0CDA6B8B" w14:textId="77777777" w:rsidTr="009D14FB">
        <w:tc>
          <w:tcPr>
            <w:tcW w:w="800" w:type="dxa"/>
            <w:shd w:val="solid" w:color="FFFFFF" w:fill="auto"/>
          </w:tcPr>
          <w:p w14:paraId="0810320A" w14:textId="325C707D"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705C6AD1" w14:textId="1F543FB5"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247AD52E" w14:textId="08350CF7" w:rsidR="00517FBD" w:rsidRPr="00873B6C" w:rsidRDefault="00517FBD" w:rsidP="00591B52">
            <w:pPr>
              <w:pStyle w:val="TAC"/>
              <w:rPr>
                <w:sz w:val="16"/>
                <w:szCs w:val="16"/>
              </w:rPr>
            </w:pPr>
            <w:r w:rsidRPr="00873B6C">
              <w:rPr>
                <w:sz w:val="16"/>
                <w:szCs w:val="16"/>
              </w:rPr>
              <w:t>SP-231259</w:t>
            </w:r>
          </w:p>
        </w:tc>
        <w:tc>
          <w:tcPr>
            <w:tcW w:w="567" w:type="dxa"/>
            <w:shd w:val="solid" w:color="FFFFFF" w:fill="auto"/>
          </w:tcPr>
          <w:p w14:paraId="175105ED" w14:textId="7E1CC37D" w:rsidR="00517FBD" w:rsidRPr="00873B6C" w:rsidRDefault="00517FBD" w:rsidP="00591B52">
            <w:pPr>
              <w:pStyle w:val="TAL"/>
              <w:rPr>
                <w:sz w:val="16"/>
                <w:szCs w:val="16"/>
              </w:rPr>
            </w:pPr>
            <w:r w:rsidRPr="00873B6C">
              <w:rPr>
                <w:sz w:val="16"/>
                <w:szCs w:val="16"/>
              </w:rPr>
              <w:t>4947</w:t>
            </w:r>
          </w:p>
        </w:tc>
        <w:tc>
          <w:tcPr>
            <w:tcW w:w="425" w:type="dxa"/>
            <w:shd w:val="solid" w:color="FFFFFF" w:fill="auto"/>
          </w:tcPr>
          <w:p w14:paraId="1A5D2220" w14:textId="30849037" w:rsidR="00517FBD" w:rsidRPr="00873B6C" w:rsidRDefault="00517FBD" w:rsidP="00591B52">
            <w:pPr>
              <w:pStyle w:val="TAL"/>
              <w:rPr>
                <w:sz w:val="16"/>
                <w:szCs w:val="16"/>
              </w:rPr>
            </w:pPr>
            <w:r w:rsidRPr="00873B6C">
              <w:rPr>
                <w:sz w:val="16"/>
                <w:szCs w:val="16"/>
              </w:rPr>
              <w:t>2</w:t>
            </w:r>
          </w:p>
        </w:tc>
        <w:tc>
          <w:tcPr>
            <w:tcW w:w="425" w:type="dxa"/>
            <w:shd w:val="solid" w:color="FFFFFF" w:fill="auto"/>
          </w:tcPr>
          <w:p w14:paraId="01F2F4FA" w14:textId="689D66EB"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60ACDC02" w14:textId="79823682" w:rsidR="00517FBD" w:rsidRPr="00873B6C" w:rsidRDefault="00517FBD" w:rsidP="00591B52">
            <w:pPr>
              <w:pStyle w:val="TAL"/>
              <w:rPr>
                <w:sz w:val="16"/>
                <w:szCs w:val="16"/>
              </w:rPr>
            </w:pPr>
            <w:r w:rsidRPr="00873B6C">
              <w:rPr>
                <w:sz w:val="16"/>
                <w:szCs w:val="16"/>
              </w:rPr>
              <w:t>Clarifications for Enabling Access to Localized Services</w:t>
            </w:r>
          </w:p>
        </w:tc>
        <w:tc>
          <w:tcPr>
            <w:tcW w:w="708" w:type="dxa"/>
            <w:shd w:val="solid" w:color="FFFFFF" w:fill="auto"/>
          </w:tcPr>
          <w:p w14:paraId="6281139D" w14:textId="13722412" w:rsidR="00517FBD" w:rsidRPr="00873B6C" w:rsidRDefault="00517FBD" w:rsidP="00591B52">
            <w:pPr>
              <w:pStyle w:val="TAC"/>
              <w:rPr>
                <w:sz w:val="16"/>
                <w:szCs w:val="16"/>
              </w:rPr>
            </w:pPr>
            <w:r w:rsidRPr="00873B6C">
              <w:rPr>
                <w:sz w:val="16"/>
                <w:szCs w:val="16"/>
              </w:rPr>
              <w:t>18.4.0</w:t>
            </w:r>
          </w:p>
        </w:tc>
      </w:tr>
      <w:tr w:rsidR="00EF4A8B" w:rsidRPr="00873B6C" w14:paraId="3164925F" w14:textId="77777777" w:rsidTr="00C9561D">
        <w:tc>
          <w:tcPr>
            <w:tcW w:w="800" w:type="dxa"/>
            <w:shd w:val="solid" w:color="FFFFFF" w:fill="auto"/>
          </w:tcPr>
          <w:p w14:paraId="5F00B225" w14:textId="77777777" w:rsidR="00EF4A8B" w:rsidRPr="00873B6C" w:rsidRDefault="00EF4A8B" w:rsidP="00C9561D">
            <w:pPr>
              <w:pStyle w:val="TAC"/>
              <w:rPr>
                <w:sz w:val="16"/>
                <w:szCs w:val="16"/>
              </w:rPr>
            </w:pPr>
            <w:r w:rsidRPr="00873B6C">
              <w:rPr>
                <w:sz w:val="16"/>
                <w:szCs w:val="16"/>
              </w:rPr>
              <w:t>2023-12</w:t>
            </w:r>
          </w:p>
        </w:tc>
        <w:tc>
          <w:tcPr>
            <w:tcW w:w="800" w:type="dxa"/>
            <w:shd w:val="solid" w:color="FFFFFF" w:fill="auto"/>
          </w:tcPr>
          <w:p w14:paraId="38BF2A41" w14:textId="77777777" w:rsidR="00EF4A8B" w:rsidRPr="00873B6C" w:rsidRDefault="00EF4A8B" w:rsidP="00C9561D">
            <w:pPr>
              <w:pStyle w:val="TAL"/>
              <w:rPr>
                <w:sz w:val="16"/>
                <w:szCs w:val="16"/>
              </w:rPr>
            </w:pPr>
            <w:r w:rsidRPr="00873B6C">
              <w:rPr>
                <w:sz w:val="16"/>
                <w:szCs w:val="16"/>
              </w:rPr>
              <w:t>SP#102</w:t>
            </w:r>
          </w:p>
        </w:tc>
        <w:tc>
          <w:tcPr>
            <w:tcW w:w="1094" w:type="dxa"/>
            <w:shd w:val="solid" w:color="FFFFFF" w:fill="auto"/>
          </w:tcPr>
          <w:p w14:paraId="18C4E046" w14:textId="77777777" w:rsidR="00EF4A8B" w:rsidRPr="00873B6C" w:rsidRDefault="00EF4A8B" w:rsidP="00C9561D">
            <w:pPr>
              <w:pStyle w:val="TAC"/>
              <w:rPr>
                <w:sz w:val="16"/>
                <w:szCs w:val="16"/>
              </w:rPr>
            </w:pPr>
            <w:r w:rsidRPr="00873B6C">
              <w:rPr>
                <w:sz w:val="16"/>
                <w:szCs w:val="16"/>
              </w:rPr>
              <w:t>SP-231616</w:t>
            </w:r>
          </w:p>
        </w:tc>
        <w:tc>
          <w:tcPr>
            <w:tcW w:w="567" w:type="dxa"/>
            <w:shd w:val="solid" w:color="FFFFFF" w:fill="auto"/>
          </w:tcPr>
          <w:p w14:paraId="53DC9D0B" w14:textId="77777777" w:rsidR="00EF4A8B" w:rsidRPr="00873B6C" w:rsidRDefault="00EF4A8B" w:rsidP="00C9561D">
            <w:pPr>
              <w:pStyle w:val="TAL"/>
              <w:rPr>
                <w:sz w:val="16"/>
                <w:szCs w:val="16"/>
              </w:rPr>
            </w:pPr>
            <w:r w:rsidRPr="00873B6C">
              <w:rPr>
                <w:sz w:val="16"/>
                <w:szCs w:val="16"/>
              </w:rPr>
              <w:t>4949</w:t>
            </w:r>
          </w:p>
        </w:tc>
        <w:tc>
          <w:tcPr>
            <w:tcW w:w="425" w:type="dxa"/>
            <w:shd w:val="solid" w:color="FFFFFF" w:fill="auto"/>
          </w:tcPr>
          <w:p w14:paraId="51819100" w14:textId="77777777" w:rsidR="00EF4A8B" w:rsidRPr="00873B6C" w:rsidRDefault="00EF4A8B" w:rsidP="00C9561D">
            <w:pPr>
              <w:pStyle w:val="TAL"/>
              <w:rPr>
                <w:sz w:val="16"/>
                <w:szCs w:val="16"/>
              </w:rPr>
            </w:pPr>
            <w:r w:rsidRPr="00873B6C">
              <w:rPr>
                <w:sz w:val="16"/>
                <w:szCs w:val="16"/>
              </w:rPr>
              <w:t>5</w:t>
            </w:r>
          </w:p>
        </w:tc>
        <w:tc>
          <w:tcPr>
            <w:tcW w:w="425" w:type="dxa"/>
            <w:shd w:val="solid" w:color="FFFFFF" w:fill="auto"/>
          </w:tcPr>
          <w:p w14:paraId="72A49D51" w14:textId="77777777" w:rsidR="00EF4A8B" w:rsidRPr="00873B6C" w:rsidRDefault="00EF4A8B" w:rsidP="00C9561D">
            <w:pPr>
              <w:pStyle w:val="TAL"/>
              <w:rPr>
                <w:sz w:val="16"/>
                <w:szCs w:val="16"/>
              </w:rPr>
            </w:pPr>
            <w:r w:rsidRPr="00873B6C">
              <w:rPr>
                <w:sz w:val="16"/>
                <w:szCs w:val="16"/>
              </w:rPr>
              <w:t>F</w:t>
            </w:r>
          </w:p>
        </w:tc>
        <w:tc>
          <w:tcPr>
            <w:tcW w:w="4820" w:type="dxa"/>
            <w:shd w:val="solid" w:color="FFFFFF" w:fill="auto"/>
          </w:tcPr>
          <w:p w14:paraId="303410FB" w14:textId="77777777" w:rsidR="00EF4A8B" w:rsidRPr="00873B6C" w:rsidRDefault="00EF4A8B" w:rsidP="00C9561D">
            <w:pPr>
              <w:pStyle w:val="TAL"/>
              <w:rPr>
                <w:sz w:val="16"/>
                <w:szCs w:val="16"/>
              </w:rPr>
            </w:pPr>
            <w:r w:rsidRPr="00873B6C">
              <w:rPr>
                <w:sz w:val="16"/>
                <w:szCs w:val="16"/>
              </w:rPr>
              <w:t xml:space="preserve">Removing the Editor's Note about the interaction between NAS and AS </w:t>
            </w:r>
          </w:p>
        </w:tc>
        <w:tc>
          <w:tcPr>
            <w:tcW w:w="708" w:type="dxa"/>
            <w:shd w:val="solid" w:color="FFFFFF" w:fill="auto"/>
          </w:tcPr>
          <w:p w14:paraId="587C3E08" w14:textId="77777777" w:rsidR="00EF4A8B" w:rsidRPr="00873B6C" w:rsidRDefault="00EF4A8B" w:rsidP="00C9561D">
            <w:pPr>
              <w:pStyle w:val="TAC"/>
              <w:rPr>
                <w:sz w:val="16"/>
                <w:szCs w:val="16"/>
              </w:rPr>
            </w:pPr>
            <w:r w:rsidRPr="00873B6C">
              <w:rPr>
                <w:sz w:val="16"/>
                <w:szCs w:val="16"/>
              </w:rPr>
              <w:t>18.4.0</w:t>
            </w:r>
          </w:p>
        </w:tc>
      </w:tr>
      <w:tr w:rsidR="00517FBD" w:rsidRPr="00873B6C" w14:paraId="63DEF865" w14:textId="77777777" w:rsidTr="009D14FB">
        <w:tc>
          <w:tcPr>
            <w:tcW w:w="800" w:type="dxa"/>
            <w:shd w:val="solid" w:color="FFFFFF" w:fill="auto"/>
          </w:tcPr>
          <w:p w14:paraId="493E8494" w14:textId="7BEC247D"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7E70EB7E" w14:textId="2D40BB88"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4D0736C9" w14:textId="64E3D43E" w:rsidR="00517FBD" w:rsidRPr="00873B6C" w:rsidRDefault="00517FBD" w:rsidP="00591B52">
            <w:pPr>
              <w:pStyle w:val="TAC"/>
              <w:rPr>
                <w:sz w:val="16"/>
                <w:szCs w:val="16"/>
              </w:rPr>
            </w:pPr>
            <w:r w:rsidRPr="00873B6C">
              <w:rPr>
                <w:sz w:val="16"/>
                <w:szCs w:val="16"/>
              </w:rPr>
              <w:t>SP-231276</w:t>
            </w:r>
          </w:p>
        </w:tc>
        <w:tc>
          <w:tcPr>
            <w:tcW w:w="567" w:type="dxa"/>
            <w:shd w:val="solid" w:color="FFFFFF" w:fill="auto"/>
          </w:tcPr>
          <w:p w14:paraId="28CD9A28" w14:textId="27672E71" w:rsidR="00517FBD" w:rsidRPr="00873B6C" w:rsidRDefault="00517FBD" w:rsidP="00591B52">
            <w:pPr>
              <w:pStyle w:val="TAL"/>
              <w:rPr>
                <w:sz w:val="16"/>
                <w:szCs w:val="16"/>
              </w:rPr>
            </w:pPr>
            <w:r w:rsidRPr="00873B6C">
              <w:rPr>
                <w:sz w:val="16"/>
                <w:szCs w:val="16"/>
              </w:rPr>
              <w:t>4950</w:t>
            </w:r>
          </w:p>
        </w:tc>
        <w:tc>
          <w:tcPr>
            <w:tcW w:w="425" w:type="dxa"/>
            <w:shd w:val="solid" w:color="FFFFFF" w:fill="auto"/>
          </w:tcPr>
          <w:p w14:paraId="729FC1E7" w14:textId="3C6D7D51" w:rsidR="00517FBD" w:rsidRPr="00873B6C" w:rsidRDefault="00517FBD" w:rsidP="00591B52">
            <w:pPr>
              <w:pStyle w:val="TAL"/>
              <w:rPr>
                <w:sz w:val="16"/>
                <w:szCs w:val="16"/>
              </w:rPr>
            </w:pPr>
            <w:r w:rsidRPr="00873B6C">
              <w:rPr>
                <w:sz w:val="16"/>
                <w:szCs w:val="16"/>
              </w:rPr>
              <w:t>1</w:t>
            </w:r>
          </w:p>
        </w:tc>
        <w:tc>
          <w:tcPr>
            <w:tcW w:w="425" w:type="dxa"/>
            <w:shd w:val="solid" w:color="FFFFFF" w:fill="auto"/>
          </w:tcPr>
          <w:p w14:paraId="75DE9ECB" w14:textId="4F6D6537"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787ED6E4" w14:textId="32D0D230" w:rsidR="00517FBD" w:rsidRPr="00873B6C" w:rsidRDefault="00517FBD" w:rsidP="00591B52">
            <w:pPr>
              <w:pStyle w:val="TAL"/>
              <w:rPr>
                <w:sz w:val="16"/>
                <w:szCs w:val="16"/>
              </w:rPr>
            </w:pPr>
            <w:r w:rsidRPr="00873B6C">
              <w:rPr>
                <w:sz w:val="16"/>
                <w:szCs w:val="16"/>
              </w:rPr>
              <w:t>Providing both ULI and Additional ULI to other NFs</w:t>
            </w:r>
          </w:p>
        </w:tc>
        <w:tc>
          <w:tcPr>
            <w:tcW w:w="708" w:type="dxa"/>
            <w:shd w:val="solid" w:color="FFFFFF" w:fill="auto"/>
          </w:tcPr>
          <w:p w14:paraId="3506E07D" w14:textId="101C41CC" w:rsidR="00517FBD" w:rsidRPr="00873B6C" w:rsidRDefault="00517FBD" w:rsidP="00591B52">
            <w:pPr>
              <w:pStyle w:val="TAC"/>
              <w:rPr>
                <w:sz w:val="16"/>
                <w:szCs w:val="16"/>
              </w:rPr>
            </w:pPr>
            <w:r w:rsidRPr="00873B6C">
              <w:rPr>
                <w:sz w:val="16"/>
                <w:szCs w:val="16"/>
              </w:rPr>
              <w:t>18.4.0</w:t>
            </w:r>
          </w:p>
        </w:tc>
      </w:tr>
      <w:tr w:rsidR="00517FBD" w:rsidRPr="00873B6C" w14:paraId="4EAAD961" w14:textId="77777777" w:rsidTr="009D14FB">
        <w:tc>
          <w:tcPr>
            <w:tcW w:w="800" w:type="dxa"/>
            <w:shd w:val="solid" w:color="FFFFFF" w:fill="auto"/>
          </w:tcPr>
          <w:p w14:paraId="3C932AE7" w14:textId="0B6239E1"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74E1B6AF" w14:textId="525325D5"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122A3E74" w14:textId="4BD24A35" w:rsidR="00517FBD" w:rsidRPr="00873B6C" w:rsidRDefault="00517FBD" w:rsidP="00591B52">
            <w:pPr>
              <w:pStyle w:val="TAC"/>
              <w:rPr>
                <w:sz w:val="16"/>
                <w:szCs w:val="16"/>
              </w:rPr>
            </w:pPr>
            <w:r w:rsidRPr="00873B6C">
              <w:rPr>
                <w:sz w:val="16"/>
                <w:szCs w:val="16"/>
              </w:rPr>
              <w:t>SP-231273</w:t>
            </w:r>
          </w:p>
        </w:tc>
        <w:tc>
          <w:tcPr>
            <w:tcW w:w="567" w:type="dxa"/>
            <w:shd w:val="solid" w:color="FFFFFF" w:fill="auto"/>
          </w:tcPr>
          <w:p w14:paraId="79AAAAC0" w14:textId="5ADF45F4" w:rsidR="00517FBD" w:rsidRPr="00873B6C" w:rsidRDefault="00517FBD" w:rsidP="00591B52">
            <w:pPr>
              <w:pStyle w:val="TAL"/>
              <w:rPr>
                <w:sz w:val="16"/>
                <w:szCs w:val="16"/>
              </w:rPr>
            </w:pPr>
            <w:r w:rsidRPr="00873B6C">
              <w:rPr>
                <w:sz w:val="16"/>
                <w:szCs w:val="16"/>
              </w:rPr>
              <w:t>4955</w:t>
            </w:r>
          </w:p>
        </w:tc>
        <w:tc>
          <w:tcPr>
            <w:tcW w:w="425" w:type="dxa"/>
            <w:shd w:val="solid" w:color="FFFFFF" w:fill="auto"/>
          </w:tcPr>
          <w:p w14:paraId="236573F3" w14:textId="428B78DB" w:rsidR="00517FBD" w:rsidRPr="00873B6C" w:rsidRDefault="00517FBD" w:rsidP="00591B52">
            <w:pPr>
              <w:pStyle w:val="TAL"/>
              <w:rPr>
                <w:sz w:val="16"/>
                <w:szCs w:val="16"/>
              </w:rPr>
            </w:pPr>
            <w:r w:rsidRPr="00873B6C">
              <w:rPr>
                <w:sz w:val="16"/>
                <w:szCs w:val="16"/>
              </w:rPr>
              <w:t>4</w:t>
            </w:r>
          </w:p>
        </w:tc>
        <w:tc>
          <w:tcPr>
            <w:tcW w:w="425" w:type="dxa"/>
            <w:shd w:val="solid" w:color="FFFFFF" w:fill="auto"/>
          </w:tcPr>
          <w:p w14:paraId="061DEFD9" w14:textId="7BA853E1"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4586FEA5" w14:textId="03A6D547" w:rsidR="00517FBD" w:rsidRPr="00873B6C" w:rsidRDefault="00517FBD" w:rsidP="00591B52">
            <w:pPr>
              <w:pStyle w:val="TAL"/>
              <w:rPr>
                <w:sz w:val="16"/>
                <w:szCs w:val="16"/>
              </w:rPr>
            </w:pPr>
            <w:r w:rsidRPr="00873B6C">
              <w:rPr>
                <w:sz w:val="16"/>
                <w:szCs w:val="16"/>
              </w:rPr>
              <w:t>Correction on Support of Time Sensitive Networking (TSN) enabled Transport Network (TN)</w:t>
            </w:r>
          </w:p>
        </w:tc>
        <w:tc>
          <w:tcPr>
            <w:tcW w:w="708" w:type="dxa"/>
            <w:shd w:val="solid" w:color="FFFFFF" w:fill="auto"/>
          </w:tcPr>
          <w:p w14:paraId="66E3DD3A" w14:textId="3250C60F" w:rsidR="00517FBD" w:rsidRPr="00873B6C" w:rsidRDefault="00517FBD" w:rsidP="00591B52">
            <w:pPr>
              <w:pStyle w:val="TAC"/>
              <w:rPr>
                <w:sz w:val="16"/>
                <w:szCs w:val="16"/>
              </w:rPr>
            </w:pPr>
            <w:r w:rsidRPr="00873B6C">
              <w:rPr>
                <w:sz w:val="16"/>
                <w:szCs w:val="16"/>
              </w:rPr>
              <w:t>18.4.0</w:t>
            </w:r>
          </w:p>
        </w:tc>
      </w:tr>
      <w:tr w:rsidR="00E26BE3" w:rsidRPr="00873B6C" w14:paraId="60B2A8C6" w14:textId="77777777" w:rsidTr="009D14FB">
        <w:tc>
          <w:tcPr>
            <w:tcW w:w="800" w:type="dxa"/>
            <w:shd w:val="solid" w:color="FFFFFF" w:fill="auto"/>
          </w:tcPr>
          <w:p w14:paraId="4464D2D2" w14:textId="41019A6F"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6AF89515" w14:textId="758E5A61"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5D7C3BD1" w14:textId="12D48A4B" w:rsidR="00E26BE3" w:rsidRPr="00873B6C" w:rsidRDefault="00E26BE3" w:rsidP="00591B52">
            <w:pPr>
              <w:pStyle w:val="TAC"/>
              <w:rPr>
                <w:sz w:val="16"/>
                <w:szCs w:val="16"/>
              </w:rPr>
            </w:pPr>
            <w:r w:rsidRPr="00873B6C">
              <w:rPr>
                <w:sz w:val="16"/>
                <w:szCs w:val="16"/>
              </w:rPr>
              <w:t>SP-231277</w:t>
            </w:r>
          </w:p>
        </w:tc>
        <w:tc>
          <w:tcPr>
            <w:tcW w:w="567" w:type="dxa"/>
            <w:shd w:val="solid" w:color="FFFFFF" w:fill="auto"/>
          </w:tcPr>
          <w:p w14:paraId="020F9E11" w14:textId="712E3512" w:rsidR="00E26BE3" w:rsidRPr="00873B6C" w:rsidRDefault="00E26BE3" w:rsidP="00591B52">
            <w:pPr>
              <w:pStyle w:val="TAL"/>
              <w:rPr>
                <w:sz w:val="16"/>
                <w:szCs w:val="16"/>
              </w:rPr>
            </w:pPr>
            <w:r w:rsidRPr="00873B6C">
              <w:rPr>
                <w:sz w:val="16"/>
                <w:szCs w:val="16"/>
              </w:rPr>
              <w:t>4957</w:t>
            </w:r>
          </w:p>
        </w:tc>
        <w:tc>
          <w:tcPr>
            <w:tcW w:w="425" w:type="dxa"/>
            <w:shd w:val="solid" w:color="FFFFFF" w:fill="auto"/>
          </w:tcPr>
          <w:p w14:paraId="2C2F9D30" w14:textId="14B6DADE" w:rsidR="00E26BE3" w:rsidRPr="00873B6C" w:rsidRDefault="00E26BE3" w:rsidP="00591B52">
            <w:pPr>
              <w:pStyle w:val="TAL"/>
              <w:rPr>
                <w:sz w:val="16"/>
                <w:szCs w:val="16"/>
              </w:rPr>
            </w:pPr>
            <w:r w:rsidRPr="00873B6C">
              <w:rPr>
                <w:sz w:val="16"/>
                <w:szCs w:val="16"/>
              </w:rPr>
              <w:t>3</w:t>
            </w:r>
          </w:p>
        </w:tc>
        <w:tc>
          <w:tcPr>
            <w:tcW w:w="425" w:type="dxa"/>
            <w:shd w:val="solid" w:color="FFFFFF" w:fill="auto"/>
          </w:tcPr>
          <w:p w14:paraId="39ADF7F5" w14:textId="45F73CB5"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620E415A" w14:textId="38E0BF3A" w:rsidR="00E26BE3" w:rsidRPr="00873B6C" w:rsidRDefault="00E26BE3" w:rsidP="00591B52">
            <w:pPr>
              <w:pStyle w:val="TAL"/>
              <w:rPr>
                <w:sz w:val="16"/>
                <w:szCs w:val="16"/>
              </w:rPr>
            </w:pPr>
            <w:r w:rsidRPr="00873B6C">
              <w:rPr>
                <w:sz w:val="16"/>
                <w:szCs w:val="16"/>
              </w:rPr>
              <w:t>Correcting the Description of the N6 Traffic Parameter Measurement Report</w:t>
            </w:r>
          </w:p>
        </w:tc>
        <w:tc>
          <w:tcPr>
            <w:tcW w:w="708" w:type="dxa"/>
            <w:shd w:val="solid" w:color="FFFFFF" w:fill="auto"/>
          </w:tcPr>
          <w:p w14:paraId="57EE013F" w14:textId="2114D4E3" w:rsidR="00E26BE3" w:rsidRPr="00873B6C" w:rsidRDefault="00E26BE3" w:rsidP="00591B52">
            <w:pPr>
              <w:pStyle w:val="TAC"/>
              <w:rPr>
                <w:sz w:val="16"/>
                <w:szCs w:val="16"/>
              </w:rPr>
            </w:pPr>
            <w:r w:rsidRPr="00873B6C">
              <w:rPr>
                <w:sz w:val="16"/>
                <w:szCs w:val="16"/>
              </w:rPr>
              <w:t>18.4.0</w:t>
            </w:r>
          </w:p>
        </w:tc>
      </w:tr>
      <w:tr w:rsidR="00E26BE3" w:rsidRPr="00873B6C" w14:paraId="5CC5A2CD" w14:textId="77777777" w:rsidTr="009D14FB">
        <w:tc>
          <w:tcPr>
            <w:tcW w:w="800" w:type="dxa"/>
            <w:shd w:val="solid" w:color="FFFFFF" w:fill="auto"/>
          </w:tcPr>
          <w:p w14:paraId="530FDE1B" w14:textId="25036A24"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22C8A341" w14:textId="0F0BAE7D"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062BA83E" w14:textId="235AE176" w:rsidR="00E26BE3" w:rsidRPr="00873B6C" w:rsidRDefault="00E26BE3" w:rsidP="00591B52">
            <w:pPr>
              <w:pStyle w:val="TAC"/>
              <w:rPr>
                <w:sz w:val="16"/>
                <w:szCs w:val="16"/>
              </w:rPr>
            </w:pPr>
            <w:r w:rsidRPr="00873B6C">
              <w:rPr>
                <w:sz w:val="16"/>
                <w:szCs w:val="16"/>
              </w:rPr>
              <w:t>SP-231267</w:t>
            </w:r>
          </w:p>
        </w:tc>
        <w:tc>
          <w:tcPr>
            <w:tcW w:w="567" w:type="dxa"/>
            <w:shd w:val="solid" w:color="FFFFFF" w:fill="auto"/>
          </w:tcPr>
          <w:p w14:paraId="53E20BC5" w14:textId="4E31A8DB" w:rsidR="00E26BE3" w:rsidRPr="00873B6C" w:rsidRDefault="00E26BE3" w:rsidP="00591B52">
            <w:pPr>
              <w:pStyle w:val="TAL"/>
              <w:rPr>
                <w:sz w:val="16"/>
                <w:szCs w:val="16"/>
              </w:rPr>
            </w:pPr>
            <w:r w:rsidRPr="00873B6C">
              <w:rPr>
                <w:sz w:val="16"/>
                <w:szCs w:val="16"/>
              </w:rPr>
              <w:t>4960</w:t>
            </w:r>
          </w:p>
        </w:tc>
        <w:tc>
          <w:tcPr>
            <w:tcW w:w="425" w:type="dxa"/>
            <w:shd w:val="solid" w:color="FFFFFF" w:fill="auto"/>
          </w:tcPr>
          <w:p w14:paraId="21EA55B7" w14:textId="6227C348" w:rsidR="00E26BE3" w:rsidRPr="00873B6C" w:rsidRDefault="00E26BE3" w:rsidP="00591B52">
            <w:pPr>
              <w:pStyle w:val="TAL"/>
              <w:rPr>
                <w:sz w:val="16"/>
                <w:szCs w:val="16"/>
              </w:rPr>
            </w:pPr>
            <w:r w:rsidRPr="00873B6C">
              <w:rPr>
                <w:sz w:val="16"/>
                <w:szCs w:val="16"/>
              </w:rPr>
              <w:t>1</w:t>
            </w:r>
          </w:p>
        </w:tc>
        <w:tc>
          <w:tcPr>
            <w:tcW w:w="425" w:type="dxa"/>
            <w:shd w:val="solid" w:color="FFFFFF" w:fill="auto"/>
          </w:tcPr>
          <w:p w14:paraId="35E71C75" w14:textId="2A7B8650"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7E3B7936" w14:textId="5FDC66C7" w:rsidR="00E26BE3" w:rsidRPr="00873B6C" w:rsidRDefault="00E26BE3" w:rsidP="00591B52">
            <w:pPr>
              <w:pStyle w:val="TAL"/>
              <w:rPr>
                <w:sz w:val="16"/>
                <w:szCs w:val="16"/>
              </w:rPr>
            </w:pPr>
            <w:r w:rsidRPr="00873B6C">
              <w:rPr>
                <w:sz w:val="16"/>
                <w:szCs w:val="16"/>
              </w:rPr>
              <w:t xml:space="preserve">NGAP DL Data Notification Message update </w:t>
            </w:r>
          </w:p>
        </w:tc>
        <w:tc>
          <w:tcPr>
            <w:tcW w:w="708" w:type="dxa"/>
            <w:shd w:val="solid" w:color="FFFFFF" w:fill="auto"/>
          </w:tcPr>
          <w:p w14:paraId="4AA5FC1C" w14:textId="255FD795" w:rsidR="00E26BE3" w:rsidRPr="00873B6C" w:rsidRDefault="00E26BE3" w:rsidP="00591B52">
            <w:pPr>
              <w:pStyle w:val="TAC"/>
              <w:rPr>
                <w:sz w:val="16"/>
                <w:szCs w:val="16"/>
              </w:rPr>
            </w:pPr>
            <w:r w:rsidRPr="00873B6C">
              <w:rPr>
                <w:sz w:val="16"/>
                <w:szCs w:val="16"/>
              </w:rPr>
              <w:t>18.4.0</w:t>
            </w:r>
          </w:p>
        </w:tc>
      </w:tr>
      <w:tr w:rsidR="00E26BE3" w:rsidRPr="00873B6C" w14:paraId="5B34C04D" w14:textId="77777777" w:rsidTr="009D14FB">
        <w:tc>
          <w:tcPr>
            <w:tcW w:w="800" w:type="dxa"/>
            <w:shd w:val="solid" w:color="FFFFFF" w:fill="auto"/>
          </w:tcPr>
          <w:p w14:paraId="3BA4100E" w14:textId="11C23ABE"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2008B2E5" w14:textId="63544CA9"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08C3AB73" w14:textId="406796C4" w:rsidR="00E26BE3" w:rsidRPr="00873B6C" w:rsidRDefault="00E26BE3" w:rsidP="00591B52">
            <w:pPr>
              <w:pStyle w:val="TAC"/>
              <w:rPr>
                <w:sz w:val="16"/>
                <w:szCs w:val="16"/>
              </w:rPr>
            </w:pPr>
            <w:r w:rsidRPr="00873B6C">
              <w:rPr>
                <w:sz w:val="16"/>
                <w:szCs w:val="16"/>
              </w:rPr>
              <w:t>SP-231269</w:t>
            </w:r>
          </w:p>
        </w:tc>
        <w:tc>
          <w:tcPr>
            <w:tcW w:w="567" w:type="dxa"/>
            <w:shd w:val="solid" w:color="FFFFFF" w:fill="auto"/>
          </w:tcPr>
          <w:p w14:paraId="55950D5A" w14:textId="340DCDBB" w:rsidR="00E26BE3" w:rsidRPr="00873B6C" w:rsidRDefault="00E26BE3" w:rsidP="00591B52">
            <w:pPr>
              <w:pStyle w:val="TAL"/>
              <w:rPr>
                <w:sz w:val="16"/>
                <w:szCs w:val="16"/>
              </w:rPr>
            </w:pPr>
            <w:r w:rsidRPr="00873B6C">
              <w:rPr>
                <w:sz w:val="16"/>
                <w:szCs w:val="16"/>
              </w:rPr>
              <w:t>4961</w:t>
            </w:r>
          </w:p>
        </w:tc>
        <w:tc>
          <w:tcPr>
            <w:tcW w:w="425" w:type="dxa"/>
            <w:shd w:val="solid" w:color="FFFFFF" w:fill="auto"/>
          </w:tcPr>
          <w:p w14:paraId="522E26D6" w14:textId="109A4CB6" w:rsidR="00E26BE3" w:rsidRPr="00873B6C" w:rsidRDefault="00E26BE3" w:rsidP="00591B52">
            <w:pPr>
              <w:pStyle w:val="TAL"/>
              <w:rPr>
                <w:sz w:val="16"/>
                <w:szCs w:val="16"/>
              </w:rPr>
            </w:pPr>
            <w:r w:rsidRPr="00873B6C">
              <w:rPr>
                <w:sz w:val="16"/>
                <w:szCs w:val="16"/>
              </w:rPr>
              <w:t>3</w:t>
            </w:r>
          </w:p>
        </w:tc>
        <w:tc>
          <w:tcPr>
            <w:tcW w:w="425" w:type="dxa"/>
            <w:shd w:val="solid" w:color="FFFFFF" w:fill="auto"/>
          </w:tcPr>
          <w:p w14:paraId="4F94C438" w14:textId="0A7DAA6D"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19388870" w14:textId="11FFD5F1" w:rsidR="00E26BE3" w:rsidRPr="00873B6C" w:rsidRDefault="00E26BE3" w:rsidP="00591B52">
            <w:pPr>
              <w:pStyle w:val="TAL"/>
              <w:rPr>
                <w:sz w:val="16"/>
                <w:szCs w:val="16"/>
              </w:rPr>
            </w:pPr>
            <w:r w:rsidRPr="00873B6C">
              <w:rPr>
                <w:sz w:val="16"/>
                <w:szCs w:val="16"/>
              </w:rPr>
              <w:t>PIN ID clarification</w:t>
            </w:r>
          </w:p>
        </w:tc>
        <w:tc>
          <w:tcPr>
            <w:tcW w:w="708" w:type="dxa"/>
            <w:shd w:val="solid" w:color="FFFFFF" w:fill="auto"/>
          </w:tcPr>
          <w:p w14:paraId="28D70057" w14:textId="1EBF36D3" w:rsidR="00E26BE3" w:rsidRPr="00873B6C" w:rsidRDefault="00E26BE3" w:rsidP="00591B52">
            <w:pPr>
              <w:pStyle w:val="TAC"/>
              <w:rPr>
                <w:sz w:val="16"/>
                <w:szCs w:val="16"/>
              </w:rPr>
            </w:pPr>
            <w:r w:rsidRPr="00873B6C">
              <w:rPr>
                <w:sz w:val="16"/>
                <w:szCs w:val="16"/>
              </w:rPr>
              <w:t>18.4.0</w:t>
            </w:r>
          </w:p>
        </w:tc>
      </w:tr>
      <w:tr w:rsidR="00E26BE3" w:rsidRPr="00873B6C" w14:paraId="308517BE" w14:textId="77777777" w:rsidTr="009D14FB">
        <w:tc>
          <w:tcPr>
            <w:tcW w:w="800" w:type="dxa"/>
            <w:shd w:val="solid" w:color="FFFFFF" w:fill="auto"/>
          </w:tcPr>
          <w:p w14:paraId="52D1A2C6" w14:textId="7CECB128"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4F5E5A99" w14:textId="1F554345"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71C68329" w14:textId="18CCDECA" w:rsidR="00E26BE3" w:rsidRPr="00873B6C" w:rsidRDefault="00E26BE3" w:rsidP="00591B52">
            <w:pPr>
              <w:pStyle w:val="TAC"/>
              <w:rPr>
                <w:sz w:val="16"/>
                <w:szCs w:val="16"/>
              </w:rPr>
            </w:pPr>
            <w:r w:rsidRPr="00873B6C">
              <w:rPr>
                <w:sz w:val="16"/>
                <w:szCs w:val="16"/>
              </w:rPr>
              <w:t>SP-231276</w:t>
            </w:r>
          </w:p>
        </w:tc>
        <w:tc>
          <w:tcPr>
            <w:tcW w:w="567" w:type="dxa"/>
            <w:shd w:val="solid" w:color="FFFFFF" w:fill="auto"/>
          </w:tcPr>
          <w:p w14:paraId="67A2A517" w14:textId="25026BBC" w:rsidR="00E26BE3" w:rsidRPr="00873B6C" w:rsidRDefault="00E26BE3" w:rsidP="00591B52">
            <w:pPr>
              <w:pStyle w:val="TAL"/>
              <w:rPr>
                <w:sz w:val="16"/>
                <w:szCs w:val="16"/>
              </w:rPr>
            </w:pPr>
            <w:r w:rsidRPr="00873B6C">
              <w:rPr>
                <w:sz w:val="16"/>
                <w:szCs w:val="16"/>
              </w:rPr>
              <w:t>4962</w:t>
            </w:r>
          </w:p>
        </w:tc>
        <w:tc>
          <w:tcPr>
            <w:tcW w:w="425" w:type="dxa"/>
            <w:shd w:val="solid" w:color="FFFFFF" w:fill="auto"/>
          </w:tcPr>
          <w:p w14:paraId="65A46474" w14:textId="68EBD194" w:rsidR="00E26BE3" w:rsidRPr="00873B6C" w:rsidRDefault="00E26BE3" w:rsidP="00591B52">
            <w:pPr>
              <w:pStyle w:val="TAL"/>
              <w:rPr>
                <w:sz w:val="16"/>
                <w:szCs w:val="16"/>
              </w:rPr>
            </w:pPr>
            <w:r w:rsidRPr="00873B6C">
              <w:rPr>
                <w:sz w:val="16"/>
                <w:szCs w:val="16"/>
              </w:rPr>
              <w:t>2</w:t>
            </w:r>
          </w:p>
        </w:tc>
        <w:tc>
          <w:tcPr>
            <w:tcW w:w="425" w:type="dxa"/>
            <w:shd w:val="solid" w:color="FFFFFF" w:fill="auto"/>
          </w:tcPr>
          <w:p w14:paraId="6EAEB511" w14:textId="39D40324"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3F6541D7" w14:textId="158956E5" w:rsidR="00E26BE3" w:rsidRPr="00873B6C" w:rsidRDefault="00E26BE3" w:rsidP="00591B52">
            <w:pPr>
              <w:pStyle w:val="TAL"/>
              <w:rPr>
                <w:sz w:val="16"/>
                <w:szCs w:val="16"/>
              </w:rPr>
            </w:pPr>
            <w:r w:rsidRPr="00873B6C">
              <w:rPr>
                <w:sz w:val="16"/>
                <w:szCs w:val="16"/>
              </w:rPr>
              <w:t>MBSR authorization handling update</w:t>
            </w:r>
          </w:p>
        </w:tc>
        <w:tc>
          <w:tcPr>
            <w:tcW w:w="708" w:type="dxa"/>
            <w:shd w:val="solid" w:color="FFFFFF" w:fill="auto"/>
          </w:tcPr>
          <w:p w14:paraId="2A9BA7E7" w14:textId="50D7485C" w:rsidR="00E26BE3" w:rsidRPr="00873B6C" w:rsidRDefault="00E26BE3" w:rsidP="00591B52">
            <w:pPr>
              <w:pStyle w:val="TAC"/>
              <w:rPr>
                <w:sz w:val="16"/>
                <w:szCs w:val="16"/>
              </w:rPr>
            </w:pPr>
            <w:r w:rsidRPr="00873B6C">
              <w:rPr>
                <w:sz w:val="16"/>
                <w:szCs w:val="16"/>
              </w:rPr>
              <w:t>18.4.0</w:t>
            </w:r>
          </w:p>
        </w:tc>
      </w:tr>
      <w:tr w:rsidR="00E26BE3" w:rsidRPr="00873B6C" w14:paraId="4968A7F5" w14:textId="77777777" w:rsidTr="009D14FB">
        <w:tc>
          <w:tcPr>
            <w:tcW w:w="800" w:type="dxa"/>
            <w:shd w:val="solid" w:color="FFFFFF" w:fill="auto"/>
          </w:tcPr>
          <w:p w14:paraId="33F75EC9" w14:textId="4F004762"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33FC1079" w14:textId="58BF4B39"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6810C86C" w14:textId="2A53BFD2" w:rsidR="00E26BE3" w:rsidRPr="00873B6C" w:rsidRDefault="00E26BE3" w:rsidP="00591B52">
            <w:pPr>
              <w:pStyle w:val="TAC"/>
              <w:rPr>
                <w:sz w:val="16"/>
                <w:szCs w:val="16"/>
              </w:rPr>
            </w:pPr>
            <w:r w:rsidRPr="00873B6C">
              <w:rPr>
                <w:sz w:val="16"/>
                <w:szCs w:val="16"/>
              </w:rPr>
              <w:t>SP-231265</w:t>
            </w:r>
          </w:p>
        </w:tc>
        <w:tc>
          <w:tcPr>
            <w:tcW w:w="567" w:type="dxa"/>
            <w:shd w:val="solid" w:color="FFFFFF" w:fill="auto"/>
          </w:tcPr>
          <w:p w14:paraId="66E5C899" w14:textId="3DB5B4A1" w:rsidR="00E26BE3" w:rsidRPr="00873B6C" w:rsidRDefault="00E26BE3" w:rsidP="00591B52">
            <w:pPr>
              <w:pStyle w:val="TAL"/>
              <w:rPr>
                <w:sz w:val="16"/>
                <w:szCs w:val="16"/>
              </w:rPr>
            </w:pPr>
            <w:r w:rsidRPr="00873B6C">
              <w:rPr>
                <w:sz w:val="16"/>
                <w:szCs w:val="16"/>
              </w:rPr>
              <w:t>4964</w:t>
            </w:r>
          </w:p>
        </w:tc>
        <w:tc>
          <w:tcPr>
            <w:tcW w:w="425" w:type="dxa"/>
            <w:shd w:val="solid" w:color="FFFFFF" w:fill="auto"/>
          </w:tcPr>
          <w:p w14:paraId="184D8EF8" w14:textId="7EDF660B" w:rsidR="00E26BE3" w:rsidRPr="00873B6C" w:rsidRDefault="00E26BE3" w:rsidP="00591B52">
            <w:pPr>
              <w:pStyle w:val="TAL"/>
              <w:rPr>
                <w:sz w:val="16"/>
                <w:szCs w:val="16"/>
              </w:rPr>
            </w:pPr>
            <w:r w:rsidRPr="00873B6C">
              <w:rPr>
                <w:sz w:val="16"/>
                <w:szCs w:val="16"/>
              </w:rPr>
              <w:t>2</w:t>
            </w:r>
          </w:p>
        </w:tc>
        <w:tc>
          <w:tcPr>
            <w:tcW w:w="425" w:type="dxa"/>
            <w:shd w:val="solid" w:color="FFFFFF" w:fill="auto"/>
          </w:tcPr>
          <w:p w14:paraId="72727D75" w14:textId="5B5AA0DE"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2D43E8A4" w14:textId="3EDA3BA4" w:rsidR="00E26BE3" w:rsidRPr="00873B6C" w:rsidRDefault="00E26BE3" w:rsidP="00591B52">
            <w:pPr>
              <w:pStyle w:val="TAL"/>
              <w:rPr>
                <w:sz w:val="16"/>
                <w:szCs w:val="16"/>
              </w:rPr>
            </w:pPr>
            <w:r w:rsidRPr="00873B6C">
              <w:rPr>
                <w:sz w:val="16"/>
                <w:szCs w:val="16"/>
              </w:rPr>
              <w:t>IAB authorization handling correction</w:t>
            </w:r>
          </w:p>
        </w:tc>
        <w:tc>
          <w:tcPr>
            <w:tcW w:w="708" w:type="dxa"/>
            <w:shd w:val="solid" w:color="FFFFFF" w:fill="auto"/>
          </w:tcPr>
          <w:p w14:paraId="2140AE3A" w14:textId="552ED7FF" w:rsidR="00E26BE3" w:rsidRPr="00873B6C" w:rsidRDefault="00E26BE3" w:rsidP="00591B52">
            <w:pPr>
              <w:pStyle w:val="TAC"/>
              <w:rPr>
                <w:sz w:val="16"/>
                <w:szCs w:val="16"/>
              </w:rPr>
            </w:pPr>
            <w:r w:rsidRPr="00873B6C">
              <w:rPr>
                <w:sz w:val="16"/>
                <w:szCs w:val="16"/>
              </w:rPr>
              <w:t>18.4.0</w:t>
            </w:r>
          </w:p>
        </w:tc>
      </w:tr>
      <w:tr w:rsidR="00146841" w:rsidRPr="00873B6C" w14:paraId="4DA5C3FA" w14:textId="77777777" w:rsidTr="009D14FB">
        <w:tc>
          <w:tcPr>
            <w:tcW w:w="800" w:type="dxa"/>
            <w:shd w:val="solid" w:color="FFFFFF" w:fill="auto"/>
          </w:tcPr>
          <w:p w14:paraId="4092CD34" w14:textId="6B5C3D3D" w:rsidR="00146841" w:rsidRPr="00873B6C" w:rsidRDefault="00146841" w:rsidP="00591B52">
            <w:pPr>
              <w:pStyle w:val="TAC"/>
              <w:rPr>
                <w:sz w:val="16"/>
                <w:szCs w:val="16"/>
              </w:rPr>
            </w:pPr>
            <w:r w:rsidRPr="00873B6C">
              <w:rPr>
                <w:sz w:val="16"/>
                <w:szCs w:val="16"/>
              </w:rPr>
              <w:t>2023-12</w:t>
            </w:r>
          </w:p>
        </w:tc>
        <w:tc>
          <w:tcPr>
            <w:tcW w:w="800" w:type="dxa"/>
            <w:shd w:val="solid" w:color="FFFFFF" w:fill="auto"/>
          </w:tcPr>
          <w:p w14:paraId="5AD72452" w14:textId="4CA62AD2" w:rsidR="00146841" w:rsidRPr="00873B6C" w:rsidRDefault="00146841" w:rsidP="00591B52">
            <w:pPr>
              <w:pStyle w:val="TAL"/>
              <w:rPr>
                <w:sz w:val="16"/>
                <w:szCs w:val="16"/>
              </w:rPr>
            </w:pPr>
            <w:r w:rsidRPr="00873B6C">
              <w:rPr>
                <w:sz w:val="16"/>
                <w:szCs w:val="16"/>
              </w:rPr>
              <w:t>SP#102</w:t>
            </w:r>
          </w:p>
        </w:tc>
        <w:tc>
          <w:tcPr>
            <w:tcW w:w="1094" w:type="dxa"/>
            <w:shd w:val="solid" w:color="FFFFFF" w:fill="auto"/>
          </w:tcPr>
          <w:p w14:paraId="0A99553A" w14:textId="043BE32D" w:rsidR="00146841" w:rsidRPr="00873B6C" w:rsidRDefault="0001193E" w:rsidP="00591B52">
            <w:pPr>
              <w:pStyle w:val="TAC"/>
              <w:rPr>
                <w:sz w:val="16"/>
                <w:szCs w:val="16"/>
              </w:rPr>
            </w:pPr>
            <w:r w:rsidRPr="00873B6C">
              <w:rPr>
                <w:sz w:val="16"/>
                <w:szCs w:val="16"/>
              </w:rPr>
              <w:t>SP-231264</w:t>
            </w:r>
          </w:p>
        </w:tc>
        <w:tc>
          <w:tcPr>
            <w:tcW w:w="567" w:type="dxa"/>
            <w:shd w:val="solid" w:color="FFFFFF" w:fill="auto"/>
          </w:tcPr>
          <w:p w14:paraId="37675A14" w14:textId="1DC5963A" w:rsidR="00146841" w:rsidRPr="00873B6C" w:rsidRDefault="00146841" w:rsidP="00591B52">
            <w:pPr>
              <w:pStyle w:val="TAL"/>
              <w:rPr>
                <w:sz w:val="16"/>
                <w:szCs w:val="16"/>
              </w:rPr>
            </w:pPr>
            <w:r w:rsidRPr="00873B6C">
              <w:rPr>
                <w:sz w:val="16"/>
                <w:szCs w:val="16"/>
              </w:rPr>
              <w:t>4965</w:t>
            </w:r>
          </w:p>
        </w:tc>
        <w:tc>
          <w:tcPr>
            <w:tcW w:w="425" w:type="dxa"/>
            <w:shd w:val="solid" w:color="FFFFFF" w:fill="auto"/>
          </w:tcPr>
          <w:p w14:paraId="12F77A19" w14:textId="4021040A" w:rsidR="00146841" w:rsidRPr="00873B6C" w:rsidRDefault="00146841" w:rsidP="00591B52">
            <w:pPr>
              <w:pStyle w:val="TAL"/>
              <w:rPr>
                <w:sz w:val="16"/>
                <w:szCs w:val="16"/>
              </w:rPr>
            </w:pPr>
            <w:r w:rsidRPr="00873B6C">
              <w:rPr>
                <w:sz w:val="16"/>
                <w:szCs w:val="16"/>
              </w:rPr>
              <w:t>2</w:t>
            </w:r>
          </w:p>
        </w:tc>
        <w:tc>
          <w:tcPr>
            <w:tcW w:w="425" w:type="dxa"/>
            <w:shd w:val="solid" w:color="FFFFFF" w:fill="auto"/>
          </w:tcPr>
          <w:p w14:paraId="3B13D9D7" w14:textId="4DA4CCB9" w:rsidR="00146841" w:rsidRPr="00873B6C" w:rsidRDefault="00146841" w:rsidP="00591B52">
            <w:pPr>
              <w:pStyle w:val="TAL"/>
              <w:rPr>
                <w:sz w:val="16"/>
                <w:szCs w:val="16"/>
              </w:rPr>
            </w:pPr>
            <w:r w:rsidRPr="00873B6C">
              <w:rPr>
                <w:sz w:val="16"/>
                <w:szCs w:val="16"/>
              </w:rPr>
              <w:t>F</w:t>
            </w:r>
          </w:p>
        </w:tc>
        <w:tc>
          <w:tcPr>
            <w:tcW w:w="4820" w:type="dxa"/>
            <w:shd w:val="solid" w:color="FFFFFF" w:fill="auto"/>
          </w:tcPr>
          <w:p w14:paraId="0398CEE6" w14:textId="464EADEC" w:rsidR="00146841" w:rsidRPr="00873B6C" w:rsidRDefault="00146841" w:rsidP="00591B52">
            <w:pPr>
              <w:pStyle w:val="TAL"/>
              <w:rPr>
                <w:sz w:val="16"/>
                <w:szCs w:val="16"/>
              </w:rPr>
            </w:pPr>
            <w:r w:rsidRPr="00873B6C">
              <w:rPr>
                <w:sz w:val="16"/>
                <w:szCs w:val="16"/>
              </w:rPr>
              <w:t xml:space="preserve">Corrections to QoS provisioning for a group </w:t>
            </w:r>
          </w:p>
        </w:tc>
        <w:tc>
          <w:tcPr>
            <w:tcW w:w="708" w:type="dxa"/>
            <w:shd w:val="solid" w:color="FFFFFF" w:fill="auto"/>
          </w:tcPr>
          <w:p w14:paraId="1845ED1A" w14:textId="537312F8" w:rsidR="00146841" w:rsidRPr="00873B6C" w:rsidRDefault="00146841" w:rsidP="00591B52">
            <w:pPr>
              <w:pStyle w:val="TAC"/>
              <w:rPr>
                <w:sz w:val="16"/>
                <w:szCs w:val="16"/>
              </w:rPr>
            </w:pPr>
            <w:r w:rsidRPr="00873B6C">
              <w:rPr>
                <w:sz w:val="16"/>
                <w:szCs w:val="16"/>
              </w:rPr>
              <w:t>18.4.0</w:t>
            </w:r>
          </w:p>
        </w:tc>
      </w:tr>
      <w:tr w:rsidR="0001193E" w:rsidRPr="00873B6C" w14:paraId="3BB9E5AC" w14:textId="77777777" w:rsidTr="009D14FB">
        <w:tc>
          <w:tcPr>
            <w:tcW w:w="800" w:type="dxa"/>
            <w:shd w:val="solid" w:color="FFFFFF" w:fill="auto"/>
          </w:tcPr>
          <w:p w14:paraId="113B4FBC" w14:textId="65ACDC90" w:rsidR="0001193E" w:rsidRPr="00873B6C" w:rsidRDefault="0001193E" w:rsidP="00591B52">
            <w:pPr>
              <w:pStyle w:val="TAC"/>
              <w:rPr>
                <w:sz w:val="16"/>
                <w:szCs w:val="16"/>
              </w:rPr>
            </w:pPr>
            <w:r w:rsidRPr="00873B6C">
              <w:rPr>
                <w:sz w:val="16"/>
                <w:szCs w:val="16"/>
              </w:rPr>
              <w:t>2023-12</w:t>
            </w:r>
          </w:p>
        </w:tc>
        <w:tc>
          <w:tcPr>
            <w:tcW w:w="800" w:type="dxa"/>
            <w:shd w:val="solid" w:color="FFFFFF" w:fill="auto"/>
          </w:tcPr>
          <w:p w14:paraId="2B6E93C0" w14:textId="33965B6D" w:rsidR="0001193E" w:rsidRPr="00873B6C" w:rsidRDefault="0001193E" w:rsidP="00591B52">
            <w:pPr>
              <w:pStyle w:val="TAL"/>
              <w:rPr>
                <w:sz w:val="16"/>
                <w:szCs w:val="16"/>
              </w:rPr>
            </w:pPr>
            <w:r w:rsidRPr="00873B6C">
              <w:rPr>
                <w:sz w:val="16"/>
                <w:szCs w:val="16"/>
              </w:rPr>
              <w:t>SP#102</w:t>
            </w:r>
          </w:p>
        </w:tc>
        <w:tc>
          <w:tcPr>
            <w:tcW w:w="1094" w:type="dxa"/>
            <w:shd w:val="solid" w:color="FFFFFF" w:fill="auto"/>
          </w:tcPr>
          <w:p w14:paraId="4C26F16C" w14:textId="64FDB510" w:rsidR="0001193E" w:rsidRPr="00873B6C" w:rsidRDefault="0001193E" w:rsidP="00591B52">
            <w:pPr>
              <w:pStyle w:val="TAC"/>
              <w:rPr>
                <w:sz w:val="16"/>
                <w:szCs w:val="16"/>
              </w:rPr>
            </w:pPr>
            <w:r w:rsidRPr="00873B6C">
              <w:rPr>
                <w:sz w:val="16"/>
                <w:szCs w:val="16"/>
              </w:rPr>
              <w:t>SP-231250</w:t>
            </w:r>
          </w:p>
        </w:tc>
        <w:tc>
          <w:tcPr>
            <w:tcW w:w="567" w:type="dxa"/>
            <w:shd w:val="solid" w:color="FFFFFF" w:fill="auto"/>
          </w:tcPr>
          <w:p w14:paraId="0D089511" w14:textId="2A3E39A5" w:rsidR="0001193E" w:rsidRPr="00873B6C" w:rsidRDefault="0001193E" w:rsidP="00591B52">
            <w:pPr>
              <w:pStyle w:val="TAL"/>
              <w:rPr>
                <w:sz w:val="16"/>
                <w:szCs w:val="16"/>
              </w:rPr>
            </w:pPr>
            <w:r w:rsidRPr="00873B6C">
              <w:rPr>
                <w:sz w:val="16"/>
                <w:szCs w:val="16"/>
              </w:rPr>
              <w:t>4969</w:t>
            </w:r>
          </w:p>
        </w:tc>
        <w:tc>
          <w:tcPr>
            <w:tcW w:w="425" w:type="dxa"/>
            <w:shd w:val="solid" w:color="FFFFFF" w:fill="auto"/>
          </w:tcPr>
          <w:p w14:paraId="1D4B5A49" w14:textId="303628A3" w:rsidR="0001193E" w:rsidRPr="00873B6C" w:rsidRDefault="0001193E" w:rsidP="00591B52">
            <w:pPr>
              <w:pStyle w:val="TAL"/>
              <w:rPr>
                <w:sz w:val="16"/>
                <w:szCs w:val="16"/>
              </w:rPr>
            </w:pPr>
            <w:r w:rsidRPr="00873B6C">
              <w:rPr>
                <w:sz w:val="16"/>
                <w:szCs w:val="16"/>
              </w:rPr>
              <w:t>2</w:t>
            </w:r>
          </w:p>
        </w:tc>
        <w:tc>
          <w:tcPr>
            <w:tcW w:w="425" w:type="dxa"/>
            <w:shd w:val="solid" w:color="FFFFFF" w:fill="auto"/>
          </w:tcPr>
          <w:p w14:paraId="6ED36354" w14:textId="28C1C9D0" w:rsidR="0001193E" w:rsidRPr="00873B6C" w:rsidRDefault="0001193E" w:rsidP="00591B52">
            <w:pPr>
              <w:pStyle w:val="TAL"/>
              <w:rPr>
                <w:sz w:val="16"/>
                <w:szCs w:val="16"/>
              </w:rPr>
            </w:pPr>
            <w:r w:rsidRPr="00873B6C">
              <w:rPr>
                <w:sz w:val="16"/>
                <w:szCs w:val="16"/>
              </w:rPr>
              <w:t>F</w:t>
            </w:r>
          </w:p>
        </w:tc>
        <w:tc>
          <w:tcPr>
            <w:tcW w:w="4820" w:type="dxa"/>
            <w:shd w:val="solid" w:color="FFFFFF" w:fill="auto"/>
          </w:tcPr>
          <w:p w14:paraId="3E96924A" w14:textId="2D67E6D0" w:rsidR="0001193E" w:rsidRPr="00873B6C" w:rsidRDefault="0001193E" w:rsidP="00591B52">
            <w:pPr>
              <w:pStyle w:val="TAL"/>
              <w:rPr>
                <w:sz w:val="16"/>
                <w:szCs w:val="16"/>
              </w:rPr>
            </w:pPr>
            <w:r w:rsidRPr="00873B6C">
              <w:rPr>
                <w:sz w:val="16"/>
                <w:szCs w:val="16"/>
              </w:rPr>
              <w:t>Updates of functional description for 5G Satellite Backhaul</w:t>
            </w:r>
          </w:p>
        </w:tc>
        <w:tc>
          <w:tcPr>
            <w:tcW w:w="708" w:type="dxa"/>
            <w:shd w:val="solid" w:color="FFFFFF" w:fill="auto"/>
          </w:tcPr>
          <w:p w14:paraId="3176F5A1" w14:textId="060E8086" w:rsidR="0001193E" w:rsidRPr="00873B6C" w:rsidRDefault="0001193E" w:rsidP="00591B52">
            <w:pPr>
              <w:pStyle w:val="TAC"/>
              <w:rPr>
                <w:sz w:val="16"/>
                <w:szCs w:val="16"/>
              </w:rPr>
            </w:pPr>
            <w:r w:rsidRPr="00873B6C">
              <w:rPr>
                <w:sz w:val="16"/>
                <w:szCs w:val="16"/>
              </w:rPr>
              <w:t>18.4.0</w:t>
            </w:r>
          </w:p>
        </w:tc>
      </w:tr>
      <w:tr w:rsidR="000C6BFB" w:rsidRPr="00873B6C" w14:paraId="441BEAF1" w14:textId="77777777" w:rsidTr="009D14FB">
        <w:tc>
          <w:tcPr>
            <w:tcW w:w="800" w:type="dxa"/>
            <w:shd w:val="solid" w:color="FFFFFF" w:fill="auto"/>
          </w:tcPr>
          <w:p w14:paraId="1760E83B" w14:textId="7E10FC62"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7BB9E2B7" w14:textId="6CAF3DD3"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253B8B08" w14:textId="79CF8E74" w:rsidR="000C6BFB" w:rsidRPr="00873B6C" w:rsidRDefault="000C6BFB" w:rsidP="00591B52">
            <w:pPr>
              <w:pStyle w:val="TAC"/>
              <w:rPr>
                <w:sz w:val="16"/>
                <w:szCs w:val="16"/>
              </w:rPr>
            </w:pPr>
            <w:r w:rsidRPr="00873B6C">
              <w:rPr>
                <w:sz w:val="16"/>
                <w:szCs w:val="16"/>
              </w:rPr>
              <w:t>SP-231264</w:t>
            </w:r>
          </w:p>
        </w:tc>
        <w:tc>
          <w:tcPr>
            <w:tcW w:w="567" w:type="dxa"/>
            <w:shd w:val="solid" w:color="FFFFFF" w:fill="auto"/>
          </w:tcPr>
          <w:p w14:paraId="785171D1" w14:textId="19E3BC2B" w:rsidR="000C6BFB" w:rsidRPr="00873B6C" w:rsidRDefault="000C6BFB" w:rsidP="00591B52">
            <w:pPr>
              <w:pStyle w:val="TAL"/>
              <w:rPr>
                <w:sz w:val="16"/>
                <w:szCs w:val="16"/>
              </w:rPr>
            </w:pPr>
            <w:r w:rsidRPr="00873B6C">
              <w:rPr>
                <w:sz w:val="16"/>
                <w:szCs w:val="16"/>
              </w:rPr>
              <w:t>4970</w:t>
            </w:r>
          </w:p>
        </w:tc>
        <w:tc>
          <w:tcPr>
            <w:tcW w:w="425" w:type="dxa"/>
            <w:shd w:val="solid" w:color="FFFFFF" w:fill="auto"/>
          </w:tcPr>
          <w:p w14:paraId="67885CCE" w14:textId="50B6827B" w:rsidR="000C6BFB" w:rsidRPr="00873B6C" w:rsidRDefault="000C6BFB" w:rsidP="00591B52">
            <w:pPr>
              <w:pStyle w:val="TAL"/>
              <w:rPr>
                <w:sz w:val="16"/>
                <w:szCs w:val="16"/>
              </w:rPr>
            </w:pPr>
            <w:r w:rsidRPr="00873B6C">
              <w:rPr>
                <w:sz w:val="16"/>
                <w:szCs w:val="16"/>
              </w:rPr>
              <w:t>1</w:t>
            </w:r>
          </w:p>
        </w:tc>
        <w:tc>
          <w:tcPr>
            <w:tcW w:w="425" w:type="dxa"/>
            <w:shd w:val="solid" w:color="FFFFFF" w:fill="auto"/>
          </w:tcPr>
          <w:p w14:paraId="755D2AAB" w14:textId="04B87FC1"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123AC82D" w14:textId="3509C523" w:rsidR="000C6BFB" w:rsidRPr="00873B6C" w:rsidRDefault="000C6BFB" w:rsidP="00591B52">
            <w:pPr>
              <w:pStyle w:val="TAL"/>
              <w:rPr>
                <w:sz w:val="16"/>
                <w:szCs w:val="16"/>
              </w:rPr>
            </w:pPr>
            <w:r w:rsidRPr="00873B6C">
              <w:rPr>
                <w:sz w:val="16"/>
                <w:szCs w:val="16"/>
              </w:rPr>
              <w:t>Updates of functional description for LADN per DNN and S-NSSAI</w:t>
            </w:r>
          </w:p>
        </w:tc>
        <w:tc>
          <w:tcPr>
            <w:tcW w:w="708" w:type="dxa"/>
            <w:shd w:val="solid" w:color="FFFFFF" w:fill="auto"/>
          </w:tcPr>
          <w:p w14:paraId="741E291B" w14:textId="52DCA821" w:rsidR="000C6BFB" w:rsidRPr="00873B6C" w:rsidRDefault="000C6BFB" w:rsidP="00591B52">
            <w:pPr>
              <w:pStyle w:val="TAC"/>
              <w:rPr>
                <w:sz w:val="16"/>
                <w:szCs w:val="16"/>
              </w:rPr>
            </w:pPr>
            <w:r w:rsidRPr="00873B6C">
              <w:rPr>
                <w:sz w:val="16"/>
                <w:szCs w:val="16"/>
              </w:rPr>
              <w:t>18.4.0</w:t>
            </w:r>
          </w:p>
        </w:tc>
      </w:tr>
      <w:tr w:rsidR="000C6BFB" w:rsidRPr="00873B6C" w14:paraId="6EA21B44" w14:textId="77777777" w:rsidTr="009D14FB">
        <w:tc>
          <w:tcPr>
            <w:tcW w:w="800" w:type="dxa"/>
            <w:shd w:val="solid" w:color="FFFFFF" w:fill="auto"/>
          </w:tcPr>
          <w:p w14:paraId="26C54A1A" w14:textId="5BFCFC28"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79B89751" w14:textId="13627F7F"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3991F064" w14:textId="5147ACCB" w:rsidR="000C6BFB" w:rsidRPr="00873B6C" w:rsidRDefault="000C6BFB" w:rsidP="00591B52">
            <w:pPr>
              <w:pStyle w:val="TAC"/>
              <w:rPr>
                <w:sz w:val="16"/>
                <w:szCs w:val="16"/>
              </w:rPr>
            </w:pPr>
            <w:r w:rsidRPr="00873B6C">
              <w:rPr>
                <w:sz w:val="16"/>
                <w:szCs w:val="16"/>
              </w:rPr>
              <w:t>SP-231250</w:t>
            </w:r>
          </w:p>
        </w:tc>
        <w:tc>
          <w:tcPr>
            <w:tcW w:w="567" w:type="dxa"/>
            <w:shd w:val="solid" w:color="FFFFFF" w:fill="auto"/>
          </w:tcPr>
          <w:p w14:paraId="2EC010CF" w14:textId="44C1F35E" w:rsidR="000C6BFB" w:rsidRPr="00873B6C" w:rsidRDefault="000C6BFB" w:rsidP="00591B52">
            <w:pPr>
              <w:pStyle w:val="TAL"/>
              <w:rPr>
                <w:sz w:val="16"/>
                <w:szCs w:val="16"/>
              </w:rPr>
            </w:pPr>
            <w:r w:rsidRPr="00873B6C">
              <w:rPr>
                <w:sz w:val="16"/>
                <w:szCs w:val="16"/>
              </w:rPr>
              <w:t>4975</w:t>
            </w:r>
          </w:p>
        </w:tc>
        <w:tc>
          <w:tcPr>
            <w:tcW w:w="425" w:type="dxa"/>
            <w:shd w:val="solid" w:color="FFFFFF" w:fill="auto"/>
          </w:tcPr>
          <w:p w14:paraId="19519EEE" w14:textId="5FA23AE2" w:rsidR="000C6BFB" w:rsidRPr="00873B6C" w:rsidRDefault="000C6BFB" w:rsidP="00591B52">
            <w:pPr>
              <w:pStyle w:val="TAL"/>
              <w:rPr>
                <w:sz w:val="16"/>
                <w:szCs w:val="16"/>
              </w:rPr>
            </w:pPr>
            <w:r w:rsidRPr="00873B6C">
              <w:rPr>
                <w:sz w:val="16"/>
                <w:szCs w:val="16"/>
              </w:rPr>
              <w:t>1</w:t>
            </w:r>
          </w:p>
        </w:tc>
        <w:tc>
          <w:tcPr>
            <w:tcW w:w="425" w:type="dxa"/>
            <w:shd w:val="solid" w:color="FFFFFF" w:fill="auto"/>
          </w:tcPr>
          <w:p w14:paraId="6B4AE01B" w14:textId="6DB9D2DB"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32846F3C" w14:textId="0CDB04D6" w:rsidR="000C6BFB" w:rsidRPr="00873B6C" w:rsidRDefault="000C6BFB" w:rsidP="00591B52">
            <w:pPr>
              <w:pStyle w:val="TAL"/>
              <w:rPr>
                <w:sz w:val="16"/>
                <w:szCs w:val="16"/>
              </w:rPr>
            </w:pPr>
            <w:r w:rsidRPr="00873B6C">
              <w:rPr>
                <w:sz w:val="16"/>
                <w:szCs w:val="16"/>
              </w:rPr>
              <w:t>Clarifications to local switching via UPF deployed on satellite</w:t>
            </w:r>
          </w:p>
        </w:tc>
        <w:tc>
          <w:tcPr>
            <w:tcW w:w="708" w:type="dxa"/>
            <w:shd w:val="solid" w:color="FFFFFF" w:fill="auto"/>
          </w:tcPr>
          <w:p w14:paraId="1DAC1B5A" w14:textId="49554129" w:rsidR="000C6BFB" w:rsidRPr="00873B6C" w:rsidRDefault="000C6BFB" w:rsidP="00591B52">
            <w:pPr>
              <w:pStyle w:val="TAC"/>
              <w:rPr>
                <w:sz w:val="16"/>
                <w:szCs w:val="16"/>
              </w:rPr>
            </w:pPr>
            <w:r w:rsidRPr="00873B6C">
              <w:rPr>
                <w:sz w:val="16"/>
                <w:szCs w:val="16"/>
              </w:rPr>
              <w:t>18.4.0</w:t>
            </w:r>
          </w:p>
        </w:tc>
      </w:tr>
      <w:tr w:rsidR="000C6BFB" w:rsidRPr="00873B6C" w14:paraId="10AD6EB2" w14:textId="77777777" w:rsidTr="009D14FB">
        <w:tc>
          <w:tcPr>
            <w:tcW w:w="800" w:type="dxa"/>
            <w:shd w:val="solid" w:color="FFFFFF" w:fill="auto"/>
          </w:tcPr>
          <w:p w14:paraId="5E2E8658" w14:textId="687C6E6A"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39E4B782" w14:textId="08A4CADA"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1660D264" w14:textId="0D488D91" w:rsidR="000C6BFB" w:rsidRPr="00873B6C" w:rsidRDefault="000C6BFB" w:rsidP="00591B52">
            <w:pPr>
              <w:pStyle w:val="TAC"/>
              <w:rPr>
                <w:sz w:val="16"/>
                <w:szCs w:val="16"/>
              </w:rPr>
            </w:pPr>
            <w:r w:rsidRPr="00873B6C">
              <w:rPr>
                <w:sz w:val="16"/>
                <w:szCs w:val="16"/>
              </w:rPr>
              <w:t>SP-231250</w:t>
            </w:r>
          </w:p>
        </w:tc>
        <w:tc>
          <w:tcPr>
            <w:tcW w:w="567" w:type="dxa"/>
            <w:shd w:val="solid" w:color="FFFFFF" w:fill="auto"/>
          </w:tcPr>
          <w:p w14:paraId="1B7409D7" w14:textId="3506C7B7" w:rsidR="000C6BFB" w:rsidRPr="00873B6C" w:rsidRDefault="000C6BFB" w:rsidP="00591B52">
            <w:pPr>
              <w:pStyle w:val="TAL"/>
              <w:rPr>
                <w:sz w:val="16"/>
                <w:szCs w:val="16"/>
              </w:rPr>
            </w:pPr>
            <w:r w:rsidRPr="00873B6C">
              <w:rPr>
                <w:sz w:val="16"/>
                <w:szCs w:val="16"/>
              </w:rPr>
              <w:t>4976</w:t>
            </w:r>
          </w:p>
        </w:tc>
        <w:tc>
          <w:tcPr>
            <w:tcW w:w="425" w:type="dxa"/>
            <w:shd w:val="solid" w:color="FFFFFF" w:fill="auto"/>
          </w:tcPr>
          <w:p w14:paraId="4DAA49D5" w14:textId="60288BFF" w:rsidR="000C6BFB" w:rsidRPr="00873B6C" w:rsidRDefault="000C6BFB" w:rsidP="00591B52">
            <w:pPr>
              <w:pStyle w:val="TAL"/>
              <w:rPr>
                <w:sz w:val="16"/>
                <w:szCs w:val="16"/>
              </w:rPr>
            </w:pPr>
            <w:r w:rsidRPr="00873B6C">
              <w:rPr>
                <w:sz w:val="16"/>
                <w:szCs w:val="16"/>
              </w:rPr>
              <w:t>2</w:t>
            </w:r>
          </w:p>
        </w:tc>
        <w:tc>
          <w:tcPr>
            <w:tcW w:w="425" w:type="dxa"/>
            <w:shd w:val="solid" w:color="FFFFFF" w:fill="auto"/>
          </w:tcPr>
          <w:p w14:paraId="18DF4A38" w14:textId="0E8FB1A5"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492F1804" w14:textId="399ED205" w:rsidR="000C6BFB" w:rsidRPr="00873B6C" w:rsidRDefault="000C6BFB" w:rsidP="00591B52">
            <w:pPr>
              <w:pStyle w:val="TAL"/>
              <w:rPr>
                <w:sz w:val="16"/>
                <w:szCs w:val="16"/>
              </w:rPr>
            </w:pPr>
            <w:r w:rsidRPr="00873B6C">
              <w:rPr>
                <w:sz w:val="16"/>
                <w:szCs w:val="16"/>
              </w:rPr>
              <w:t>Correction to Edge Computing via UPF deployed on satellite</w:t>
            </w:r>
          </w:p>
        </w:tc>
        <w:tc>
          <w:tcPr>
            <w:tcW w:w="708" w:type="dxa"/>
            <w:shd w:val="solid" w:color="FFFFFF" w:fill="auto"/>
          </w:tcPr>
          <w:p w14:paraId="2EB92AD8" w14:textId="1CEBE3CF" w:rsidR="000C6BFB" w:rsidRPr="00873B6C" w:rsidRDefault="000C6BFB" w:rsidP="00591B52">
            <w:pPr>
              <w:pStyle w:val="TAC"/>
              <w:rPr>
                <w:sz w:val="16"/>
                <w:szCs w:val="16"/>
              </w:rPr>
            </w:pPr>
            <w:r w:rsidRPr="00873B6C">
              <w:rPr>
                <w:sz w:val="16"/>
                <w:szCs w:val="16"/>
              </w:rPr>
              <w:t>18.4.0</w:t>
            </w:r>
          </w:p>
        </w:tc>
      </w:tr>
      <w:tr w:rsidR="000C6BFB" w:rsidRPr="00873B6C" w14:paraId="0E3D2055" w14:textId="77777777" w:rsidTr="009D14FB">
        <w:tc>
          <w:tcPr>
            <w:tcW w:w="800" w:type="dxa"/>
            <w:shd w:val="solid" w:color="FFFFFF" w:fill="auto"/>
          </w:tcPr>
          <w:p w14:paraId="6B8DB583" w14:textId="5A0E0A82"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3679457F" w14:textId="67B60ED1"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656BE9FB" w14:textId="1B828FCF" w:rsidR="000C6BFB" w:rsidRPr="00873B6C" w:rsidRDefault="000C6BFB" w:rsidP="00591B52">
            <w:pPr>
              <w:pStyle w:val="TAC"/>
              <w:rPr>
                <w:sz w:val="16"/>
                <w:szCs w:val="16"/>
              </w:rPr>
            </w:pPr>
            <w:r w:rsidRPr="00873B6C">
              <w:rPr>
                <w:sz w:val="16"/>
                <w:szCs w:val="16"/>
              </w:rPr>
              <w:t>SP-231258</w:t>
            </w:r>
          </w:p>
        </w:tc>
        <w:tc>
          <w:tcPr>
            <w:tcW w:w="567" w:type="dxa"/>
            <w:shd w:val="solid" w:color="FFFFFF" w:fill="auto"/>
          </w:tcPr>
          <w:p w14:paraId="77FC4202" w14:textId="4E634FDA" w:rsidR="000C6BFB" w:rsidRPr="00873B6C" w:rsidRDefault="000C6BFB" w:rsidP="00591B52">
            <w:pPr>
              <w:pStyle w:val="TAL"/>
              <w:rPr>
                <w:sz w:val="16"/>
                <w:szCs w:val="16"/>
              </w:rPr>
            </w:pPr>
            <w:r w:rsidRPr="00873B6C">
              <w:rPr>
                <w:sz w:val="16"/>
                <w:szCs w:val="16"/>
              </w:rPr>
              <w:t>4980</w:t>
            </w:r>
          </w:p>
        </w:tc>
        <w:tc>
          <w:tcPr>
            <w:tcW w:w="425" w:type="dxa"/>
            <w:shd w:val="solid" w:color="FFFFFF" w:fill="auto"/>
          </w:tcPr>
          <w:p w14:paraId="237D4249" w14:textId="52FB3590" w:rsidR="000C6BFB" w:rsidRPr="00873B6C" w:rsidRDefault="000C6BFB" w:rsidP="00591B52">
            <w:pPr>
              <w:pStyle w:val="TAL"/>
              <w:rPr>
                <w:sz w:val="16"/>
                <w:szCs w:val="16"/>
              </w:rPr>
            </w:pPr>
            <w:r w:rsidRPr="00873B6C">
              <w:rPr>
                <w:sz w:val="16"/>
                <w:szCs w:val="16"/>
              </w:rPr>
              <w:t>1</w:t>
            </w:r>
          </w:p>
        </w:tc>
        <w:tc>
          <w:tcPr>
            <w:tcW w:w="425" w:type="dxa"/>
            <w:shd w:val="solid" w:color="FFFFFF" w:fill="auto"/>
          </w:tcPr>
          <w:p w14:paraId="1764B23B" w14:textId="0A42A736"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0D162E65" w14:textId="3A158A8D" w:rsidR="000C6BFB" w:rsidRPr="00873B6C" w:rsidRDefault="000C6BFB" w:rsidP="00591B52">
            <w:pPr>
              <w:pStyle w:val="TAL"/>
              <w:rPr>
                <w:sz w:val="16"/>
                <w:szCs w:val="16"/>
              </w:rPr>
            </w:pPr>
            <w:r w:rsidRPr="00873B6C">
              <w:rPr>
                <w:sz w:val="16"/>
                <w:szCs w:val="16"/>
              </w:rPr>
              <w:t>Updates for registration and discovery for FL entity</w:t>
            </w:r>
          </w:p>
        </w:tc>
        <w:tc>
          <w:tcPr>
            <w:tcW w:w="708" w:type="dxa"/>
            <w:shd w:val="solid" w:color="FFFFFF" w:fill="auto"/>
          </w:tcPr>
          <w:p w14:paraId="26FE8B92" w14:textId="67710515" w:rsidR="000C6BFB" w:rsidRPr="00873B6C" w:rsidRDefault="000C6BFB" w:rsidP="00591B52">
            <w:pPr>
              <w:pStyle w:val="TAC"/>
              <w:rPr>
                <w:sz w:val="16"/>
                <w:szCs w:val="16"/>
              </w:rPr>
            </w:pPr>
            <w:r w:rsidRPr="00873B6C">
              <w:rPr>
                <w:sz w:val="16"/>
                <w:szCs w:val="16"/>
              </w:rPr>
              <w:t>18.4.0</w:t>
            </w:r>
          </w:p>
        </w:tc>
      </w:tr>
      <w:tr w:rsidR="000C6BFB" w:rsidRPr="00873B6C" w14:paraId="49829A92" w14:textId="77777777" w:rsidTr="009D14FB">
        <w:tc>
          <w:tcPr>
            <w:tcW w:w="800" w:type="dxa"/>
            <w:shd w:val="solid" w:color="FFFFFF" w:fill="auto"/>
          </w:tcPr>
          <w:p w14:paraId="19E8EE94" w14:textId="3270BE56"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181560E9" w14:textId="2A42C747"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07338684" w14:textId="326092F5" w:rsidR="000C6BFB" w:rsidRPr="00873B6C" w:rsidRDefault="000C6BFB" w:rsidP="00591B52">
            <w:pPr>
              <w:pStyle w:val="TAC"/>
              <w:rPr>
                <w:sz w:val="16"/>
                <w:szCs w:val="16"/>
              </w:rPr>
            </w:pPr>
            <w:r w:rsidRPr="00873B6C">
              <w:rPr>
                <w:sz w:val="16"/>
                <w:szCs w:val="16"/>
              </w:rPr>
              <w:t>SP-231259</w:t>
            </w:r>
          </w:p>
        </w:tc>
        <w:tc>
          <w:tcPr>
            <w:tcW w:w="567" w:type="dxa"/>
            <w:shd w:val="solid" w:color="FFFFFF" w:fill="auto"/>
          </w:tcPr>
          <w:p w14:paraId="5EBC2E73" w14:textId="5EE3C70F" w:rsidR="000C6BFB" w:rsidRPr="00873B6C" w:rsidRDefault="000C6BFB" w:rsidP="00591B52">
            <w:pPr>
              <w:pStyle w:val="TAL"/>
              <w:rPr>
                <w:sz w:val="16"/>
                <w:szCs w:val="16"/>
              </w:rPr>
            </w:pPr>
            <w:r w:rsidRPr="00873B6C">
              <w:rPr>
                <w:sz w:val="16"/>
                <w:szCs w:val="16"/>
              </w:rPr>
              <w:t>4981</w:t>
            </w:r>
          </w:p>
        </w:tc>
        <w:tc>
          <w:tcPr>
            <w:tcW w:w="425" w:type="dxa"/>
            <w:shd w:val="solid" w:color="FFFFFF" w:fill="auto"/>
          </w:tcPr>
          <w:p w14:paraId="744EC9F7" w14:textId="6358633D" w:rsidR="000C6BFB" w:rsidRPr="00873B6C" w:rsidRDefault="000C6BFB" w:rsidP="00591B52">
            <w:pPr>
              <w:pStyle w:val="TAL"/>
              <w:rPr>
                <w:sz w:val="16"/>
                <w:szCs w:val="16"/>
              </w:rPr>
            </w:pPr>
            <w:r w:rsidRPr="00873B6C">
              <w:rPr>
                <w:sz w:val="16"/>
                <w:szCs w:val="16"/>
              </w:rPr>
              <w:t>3</w:t>
            </w:r>
          </w:p>
        </w:tc>
        <w:tc>
          <w:tcPr>
            <w:tcW w:w="425" w:type="dxa"/>
            <w:shd w:val="solid" w:color="FFFFFF" w:fill="auto"/>
          </w:tcPr>
          <w:p w14:paraId="0DA700EB" w14:textId="50E3FE5D"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5ADAF855" w14:textId="55A22281" w:rsidR="000C6BFB" w:rsidRPr="00873B6C" w:rsidRDefault="000C6BFB" w:rsidP="00591B52">
            <w:pPr>
              <w:pStyle w:val="TAL"/>
              <w:rPr>
                <w:sz w:val="16"/>
                <w:szCs w:val="16"/>
              </w:rPr>
            </w:pPr>
            <w:r w:rsidRPr="00873B6C">
              <w:rPr>
                <w:sz w:val="16"/>
                <w:szCs w:val="16"/>
              </w:rPr>
              <w:t>Congestion handling when a UE accesses an SNPN for Localized Services</w:t>
            </w:r>
          </w:p>
        </w:tc>
        <w:tc>
          <w:tcPr>
            <w:tcW w:w="708" w:type="dxa"/>
            <w:shd w:val="solid" w:color="FFFFFF" w:fill="auto"/>
          </w:tcPr>
          <w:p w14:paraId="1D75C13A" w14:textId="48129E35" w:rsidR="000C6BFB" w:rsidRPr="00873B6C" w:rsidRDefault="000C6BFB" w:rsidP="00591B52">
            <w:pPr>
              <w:pStyle w:val="TAC"/>
              <w:rPr>
                <w:sz w:val="16"/>
                <w:szCs w:val="16"/>
              </w:rPr>
            </w:pPr>
            <w:r w:rsidRPr="00873B6C">
              <w:rPr>
                <w:sz w:val="16"/>
                <w:szCs w:val="16"/>
              </w:rPr>
              <w:t>18.4.0</w:t>
            </w:r>
          </w:p>
        </w:tc>
      </w:tr>
      <w:tr w:rsidR="000C6BFB" w:rsidRPr="00873B6C" w14:paraId="2E7C7F87" w14:textId="77777777" w:rsidTr="009D14FB">
        <w:tc>
          <w:tcPr>
            <w:tcW w:w="800" w:type="dxa"/>
            <w:shd w:val="solid" w:color="FFFFFF" w:fill="auto"/>
          </w:tcPr>
          <w:p w14:paraId="3FE5DD08" w14:textId="793519D5"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705D5EF5" w14:textId="052CFEA3"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4910E227" w14:textId="7987259B" w:rsidR="000C6BFB" w:rsidRPr="00873B6C" w:rsidRDefault="000C6BFB" w:rsidP="00591B52">
            <w:pPr>
              <w:pStyle w:val="TAC"/>
              <w:rPr>
                <w:sz w:val="16"/>
                <w:szCs w:val="16"/>
              </w:rPr>
            </w:pPr>
            <w:r w:rsidRPr="00873B6C">
              <w:rPr>
                <w:sz w:val="16"/>
                <w:szCs w:val="16"/>
              </w:rPr>
              <w:t>SP-231259</w:t>
            </w:r>
          </w:p>
        </w:tc>
        <w:tc>
          <w:tcPr>
            <w:tcW w:w="567" w:type="dxa"/>
            <w:shd w:val="solid" w:color="FFFFFF" w:fill="auto"/>
          </w:tcPr>
          <w:p w14:paraId="27C0C378" w14:textId="2A31693D" w:rsidR="000C6BFB" w:rsidRPr="00873B6C" w:rsidRDefault="000C6BFB" w:rsidP="00591B52">
            <w:pPr>
              <w:pStyle w:val="TAL"/>
              <w:rPr>
                <w:sz w:val="16"/>
                <w:szCs w:val="16"/>
              </w:rPr>
            </w:pPr>
            <w:r w:rsidRPr="00873B6C">
              <w:rPr>
                <w:sz w:val="16"/>
                <w:szCs w:val="16"/>
              </w:rPr>
              <w:t>4987</w:t>
            </w:r>
          </w:p>
        </w:tc>
        <w:tc>
          <w:tcPr>
            <w:tcW w:w="425" w:type="dxa"/>
            <w:shd w:val="solid" w:color="FFFFFF" w:fill="auto"/>
          </w:tcPr>
          <w:p w14:paraId="29178925" w14:textId="449F2193" w:rsidR="000C6BFB" w:rsidRPr="00873B6C" w:rsidRDefault="000C6BFB" w:rsidP="00591B52">
            <w:pPr>
              <w:pStyle w:val="TAL"/>
              <w:rPr>
                <w:sz w:val="16"/>
                <w:szCs w:val="16"/>
              </w:rPr>
            </w:pPr>
            <w:r w:rsidRPr="00873B6C">
              <w:rPr>
                <w:sz w:val="16"/>
                <w:szCs w:val="16"/>
              </w:rPr>
              <w:t>3</w:t>
            </w:r>
          </w:p>
        </w:tc>
        <w:tc>
          <w:tcPr>
            <w:tcW w:w="425" w:type="dxa"/>
            <w:shd w:val="solid" w:color="FFFFFF" w:fill="auto"/>
          </w:tcPr>
          <w:p w14:paraId="06F50CEA" w14:textId="27D7EB21"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01FD1087" w14:textId="21642BF4" w:rsidR="000C6BFB" w:rsidRPr="00873B6C" w:rsidRDefault="000C6BFB" w:rsidP="00591B52">
            <w:pPr>
              <w:pStyle w:val="TAL"/>
              <w:rPr>
                <w:sz w:val="16"/>
                <w:szCs w:val="16"/>
              </w:rPr>
            </w:pPr>
            <w:r w:rsidRPr="00873B6C">
              <w:rPr>
                <w:sz w:val="16"/>
                <w:szCs w:val="16"/>
              </w:rPr>
              <w:t>Adding architectures on supporting authentication for NSWO using CH with AAA Server via 5GC</w:t>
            </w:r>
          </w:p>
        </w:tc>
        <w:tc>
          <w:tcPr>
            <w:tcW w:w="708" w:type="dxa"/>
            <w:shd w:val="solid" w:color="FFFFFF" w:fill="auto"/>
          </w:tcPr>
          <w:p w14:paraId="646FC243" w14:textId="1AF6F6C0" w:rsidR="000C6BFB" w:rsidRPr="00873B6C" w:rsidRDefault="000C6BFB" w:rsidP="00591B52">
            <w:pPr>
              <w:pStyle w:val="TAC"/>
              <w:rPr>
                <w:sz w:val="16"/>
                <w:szCs w:val="16"/>
              </w:rPr>
            </w:pPr>
            <w:r w:rsidRPr="00873B6C">
              <w:rPr>
                <w:sz w:val="16"/>
                <w:szCs w:val="16"/>
              </w:rPr>
              <w:t>18.4.0</w:t>
            </w:r>
          </w:p>
        </w:tc>
      </w:tr>
      <w:tr w:rsidR="000C6BFB" w:rsidRPr="00873B6C" w14:paraId="2610EEA7" w14:textId="77777777" w:rsidTr="009D14FB">
        <w:tc>
          <w:tcPr>
            <w:tcW w:w="800" w:type="dxa"/>
            <w:shd w:val="solid" w:color="FFFFFF" w:fill="auto"/>
          </w:tcPr>
          <w:p w14:paraId="337E715C" w14:textId="72A03469"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14CF9D62" w14:textId="0707A5BF"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7BD56C99" w14:textId="21307CD7" w:rsidR="000C6BFB" w:rsidRPr="00873B6C" w:rsidRDefault="000C6BFB" w:rsidP="00591B52">
            <w:pPr>
              <w:pStyle w:val="TAC"/>
              <w:rPr>
                <w:sz w:val="16"/>
                <w:szCs w:val="16"/>
              </w:rPr>
            </w:pPr>
            <w:r w:rsidRPr="00873B6C">
              <w:rPr>
                <w:sz w:val="16"/>
                <w:szCs w:val="16"/>
              </w:rPr>
              <w:t>SP-231259</w:t>
            </w:r>
          </w:p>
        </w:tc>
        <w:tc>
          <w:tcPr>
            <w:tcW w:w="567" w:type="dxa"/>
            <w:shd w:val="solid" w:color="FFFFFF" w:fill="auto"/>
          </w:tcPr>
          <w:p w14:paraId="45B42C08" w14:textId="4B6E3EC4" w:rsidR="000C6BFB" w:rsidRPr="00873B6C" w:rsidRDefault="000C6BFB" w:rsidP="00591B52">
            <w:pPr>
              <w:pStyle w:val="TAL"/>
              <w:rPr>
                <w:sz w:val="16"/>
                <w:szCs w:val="16"/>
              </w:rPr>
            </w:pPr>
            <w:r w:rsidRPr="00873B6C">
              <w:rPr>
                <w:sz w:val="16"/>
                <w:szCs w:val="16"/>
              </w:rPr>
              <w:t>4988</w:t>
            </w:r>
          </w:p>
        </w:tc>
        <w:tc>
          <w:tcPr>
            <w:tcW w:w="425" w:type="dxa"/>
            <w:shd w:val="solid" w:color="FFFFFF" w:fill="auto"/>
          </w:tcPr>
          <w:p w14:paraId="2C0A11E3" w14:textId="5F6ACFC0" w:rsidR="000C6BFB" w:rsidRPr="00873B6C" w:rsidRDefault="000C6BFB" w:rsidP="00591B52">
            <w:pPr>
              <w:pStyle w:val="TAL"/>
              <w:rPr>
                <w:sz w:val="16"/>
                <w:szCs w:val="16"/>
              </w:rPr>
            </w:pPr>
            <w:r w:rsidRPr="00873B6C">
              <w:rPr>
                <w:sz w:val="16"/>
                <w:szCs w:val="16"/>
              </w:rPr>
              <w:t>-</w:t>
            </w:r>
          </w:p>
        </w:tc>
        <w:tc>
          <w:tcPr>
            <w:tcW w:w="425" w:type="dxa"/>
            <w:shd w:val="solid" w:color="FFFFFF" w:fill="auto"/>
          </w:tcPr>
          <w:p w14:paraId="195D0949" w14:textId="1FB0DDD5"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2139E480" w14:textId="5F3AE920" w:rsidR="000C6BFB" w:rsidRPr="00873B6C" w:rsidRDefault="000C6BFB" w:rsidP="00591B52">
            <w:pPr>
              <w:pStyle w:val="TAL"/>
              <w:rPr>
                <w:sz w:val="16"/>
                <w:szCs w:val="16"/>
              </w:rPr>
            </w:pPr>
            <w:r w:rsidRPr="00873B6C">
              <w:rPr>
                <w:sz w:val="16"/>
                <w:szCs w:val="16"/>
              </w:rPr>
              <w:t>Correction the interface in the NSWO architecture for SNPN</w:t>
            </w:r>
          </w:p>
        </w:tc>
        <w:tc>
          <w:tcPr>
            <w:tcW w:w="708" w:type="dxa"/>
            <w:shd w:val="solid" w:color="FFFFFF" w:fill="auto"/>
          </w:tcPr>
          <w:p w14:paraId="44FFD811" w14:textId="720E6C07" w:rsidR="000C6BFB" w:rsidRPr="00873B6C" w:rsidRDefault="000C6BFB" w:rsidP="00591B52">
            <w:pPr>
              <w:pStyle w:val="TAC"/>
              <w:rPr>
                <w:sz w:val="16"/>
                <w:szCs w:val="16"/>
              </w:rPr>
            </w:pPr>
            <w:r w:rsidRPr="00873B6C">
              <w:rPr>
                <w:sz w:val="16"/>
                <w:szCs w:val="16"/>
              </w:rPr>
              <w:t>18.4.0</w:t>
            </w:r>
          </w:p>
        </w:tc>
      </w:tr>
      <w:tr w:rsidR="000C6BFB" w:rsidRPr="00873B6C" w14:paraId="3B660A81" w14:textId="77777777" w:rsidTr="009D14FB">
        <w:tc>
          <w:tcPr>
            <w:tcW w:w="800" w:type="dxa"/>
            <w:shd w:val="solid" w:color="FFFFFF" w:fill="auto"/>
          </w:tcPr>
          <w:p w14:paraId="417400B0" w14:textId="54ADB833"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1A4B3FD9" w14:textId="2780655B"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53DD2E7D" w14:textId="11E151EA" w:rsidR="000C6BFB" w:rsidRPr="00873B6C" w:rsidRDefault="000C6BFB" w:rsidP="00591B52">
            <w:pPr>
              <w:pStyle w:val="TAC"/>
              <w:rPr>
                <w:sz w:val="16"/>
                <w:szCs w:val="16"/>
              </w:rPr>
            </w:pPr>
            <w:r w:rsidRPr="00873B6C">
              <w:rPr>
                <w:sz w:val="16"/>
                <w:szCs w:val="16"/>
              </w:rPr>
              <w:t>SP-231264</w:t>
            </w:r>
          </w:p>
        </w:tc>
        <w:tc>
          <w:tcPr>
            <w:tcW w:w="567" w:type="dxa"/>
            <w:shd w:val="solid" w:color="FFFFFF" w:fill="auto"/>
          </w:tcPr>
          <w:p w14:paraId="674D5643" w14:textId="03BD0BF6" w:rsidR="000C6BFB" w:rsidRPr="00873B6C" w:rsidRDefault="000C6BFB" w:rsidP="00591B52">
            <w:pPr>
              <w:pStyle w:val="TAL"/>
              <w:rPr>
                <w:sz w:val="16"/>
                <w:szCs w:val="16"/>
              </w:rPr>
            </w:pPr>
            <w:r w:rsidRPr="00873B6C">
              <w:rPr>
                <w:sz w:val="16"/>
                <w:szCs w:val="16"/>
              </w:rPr>
              <w:t>4989</w:t>
            </w:r>
          </w:p>
        </w:tc>
        <w:tc>
          <w:tcPr>
            <w:tcW w:w="425" w:type="dxa"/>
            <w:shd w:val="solid" w:color="FFFFFF" w:fill="auto"/>
          </w:tcPr>
          <w:p w14:paraId="1CF334EA" w14:textId="06807CD1" w:rsidR="000C6BFB" w:rsidRPr="00873B6C" w:rsidRDefault="000C6BFB" w:rsidP="00591B52">
            <w:pPr>
              <w:pStyle w:val="TAL"/>
              <w:rPr>
                <w:sz w:val="16"/>
                <w:szCs w:val="16"/>
              </w:rPr>
            </w:pPr>
            <w:r w:rsidRPr="00873B6C">
              <w:rPr>
                <w:sz w:val="16"/>
                <w:szCs w:val="16"/>
              </w:rPr>
              <w:t>1</w:t>
            </w:r>
          </w:p>
        </w:tc>
        <w:tc>
          <w:tcPr>
            <w:tcW w:w="425" w:type="dxa"/>
            <w:shd w:val="solid" w:color="FFFFFF" w:fill="auto"/>
          </w:tcPr>
          <w:p w14:paraId="3941B00D" w14:textId="0A4103FE"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280BC1A9" w14:textId="7B42E53C" w:rsidR="000C6BFB" w:rsidRPr="00873B6C" w:rsidRDefault="000C6BFB" w:rsidP="00591B52">
            <w:pPr>
              <w:pStyle w:val="TAL"/>
              <w:rPr>
                <w:sz w:val="16"/>
                <w:szCs w:val="16"/>
              </w:rPr>
            </w:pPr>
            <w:r w:rsidRPr="00873B6C">
              <w:rPr>
                <w:sz w:val="16"/>
                <w:szCs w:val="16"/>
              </w:rPr>
              <w:t>LADN (DNN+S-NSSAI) provisioning for individual subscriber and SMF behaviour</w:t>
            </w:r>
          </w:p>
        </w:tc>
        <w:tc>
          <w:tcPr>
            <w:tcW w:w="708" w:type="dxa"/>
            <w:shd w:val="solid" w:color="FFFFFF" w:fill="auto"/>
          </w:tcPr>
          <w:p w14:paraId="66112930" w14:textId="50613751" w:rsidR="000C6BFB" w:rsidRPr="00873B6C" w:rsidRDefault="000C6BFB" w:rsidP="00591B52">
            <w:pPr>
              <w:pStyle w:val="TAC"/>
              <w:rPr>
                <w:sz w:val="16"/>
                <w:szCs w:val="16"/>
              </w:rPr>
            </w:pPr>
            <w:r w:rsidRPr="00873B6C">
              <w:rPr>
                <w:sz w:val="16"/>
                <w:szCs w:val="16"/>
              </w:rPr>
              <w:t>18.4.0</w:t>
            </w:r>
          </w:p>
        </w:tc>
      </w:tr>
      <w:tr w:rsidR="000C6BFB" w:rsidRPr="00873B6C" w14:paraId="5C8AABE4" w14:textId="77777777" w:rsidTr="009D14FB">
        <w:tc>
          <w:tcPr>
            <w:tcW w:w="800" w:type="dxa"/>
            <w:shd w:val="solid" w:color="FFFFFF" w:fill="auto"/>
          </w:tcPr>
          <w:p w14:paraId="1F63D5F7" w14:textId="4EF123D1"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541437FA" w14:textId="13F7E88A"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26B44418" w14:textId="34300D56" w:rsidR="000C6BFB" w:rsidRPr="00873B6C" w:rsidRDefault="000C6BFB" w:rsidP="00591B52">
            <w:pPr>
              <w:pStyle w:val="TAC"/>
              <w:rPr>
                <w:sz w:val="16"/>
                <w:szCs w:val="16"/>
              </w:rPr>
            </w:pPr>
            <w:r w:rsidRPr="00873B6C">
              <w:rPr>
                <w:sz w:val="16"/>
                <w:szCs w:val="16"/>
              </w:rPr>
              <w:t>SP-231264</w:t>
            </w:r>
          </w:p>
        </w:tc>
        <w:tc>
          <w:tcPr>
            <w:tcW w:w="567" w:type="dxa"/>
            <w:shd w:val="solid" w:color="FFFFFF" w:fill="auto"/>
          </w:tcPr>
          <w:p w14:paraId="6CA51120" w14:textId="28A0A0EB" w:rsidR="000C6BFB" w:rsidRPr="00873B6C" w:rsidRDefault="000C6BFB" w:rsidP="00591B52">
            <w:pPr>
              <w:pStyle w:val="TAL"/>
              <w:rPr>
                <w:sz w:val="16"/>
                <w:szCs w:val="16"/>
              </w:rPr>
            </w:pPr>
            <w:r w:rsidRPr="00873B6C">
              <w:rPr>
                <w:sz w:val="16"/>
                <w:szCs w:val="16"/>
              </w:rPr>
              <w:t>4993</w:t>
            </w:r>
          </w:p>
        </w:tc>
        <w:tc>
          <w:tcPr>
            <w:tcW w:w="425" w:type="dxa"/>
            <w:shd w:val="solid" w:color="FFFFFF" w:fill="auto"/>
          </w:tcPr>
          <w:p w14:paraId="138EF29C" w14:textId="354A2659" w:rsidR="000C6BFB" w:rsidRPr="00873B6C" w:rsidRDefault="000C6BFB" w:rsidP="00591B52">
            <w:pPr>
              <w:pStyle w:val="TAL"/>
              <w:rPr>
                <w:sz w:val="16"/>
                <w:szCs w:val="16"/>
              </w:rPr>
            </w:pPr>
            <w:r w:rsidRPr="00873B6C">
              <w:rPr>
                <w:sz w:val="16"/>
                <w:szCs w:val="16"/>
              </w:rPr>
              <w:t>2</w:t>
            </w:r>
          </w:p>
        </w:tc>
        <w:tc>
          <w:tcPr>
            <w:tcW w:w="425" w:type="dxa"/>
            <w:shd w:val="solid" w:color="FFFFFF" w:fill="auto"/>
          </w:tcPr>
          <w:p w14:paraId="6DFE196B" w14:textId="78ADE90A"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48221A67" w14:textId="42D21420" w:rsidR="000C6BFB" w:rsidRPr="00873B6C" w:rsidRDefault="000C6BFB" w:rsidP="00591B52">
            <w:pPr>
              <w:pStyle w:val="TAL"/>
              <w:rPr>
                <w:sz w:val="16"/>
                <w:szCs w:val="16"/>
              </w:rPr>
            </w:pPr>
            <w:r w:rsidRPr="00873B6C">
              <w:rPr>
                <w:sz w:val="16"/>
                <w:szCs w:val="16"/>
              </w:rPr>
              <w:t>Change of PDU Session Type correction</w:t>
            </w:r>
          </w:p>
        </w:tc>
        <w:tc>
          <w:tcPr>
            <w:tcW w:w="708" w:type="dxa"/>
            <w:shd w:val="solid" w:color="FFFFFF" w:fill="auto"/>
          </w:tcPr>
          <w:p w14:paraId="5F5BB70F" w14:textId="105AF442" w:rsidR="000C6BFB" w:rsidRPr="00873B6C" w:rsidRDefault="000C6BFB" w:rsidP="00591B52">
            <w:pPr>
              <w:pStyle w:val="TAC"/>
              <w:rPr>
                <w:sz w:val="16"/>
                <w:szCs w:val="16"/>
              </w:rPr>
            </w:pPr>
            <w:r w:rsidRPr="00873B6C">
              <w:rPr>
                <w:sz w:val="16"/>
                <w:szCs w:val="16"/>
              </w:rPr>
              <w:t>18.4.0</w:t>
            </w:r>
          </w:p>
        </w:tc>
      </w:tr>
      <w:tr w:rsidR="000C6BFB" w:rsidRPr="00873B6C" w14:paraId="2656347E" w14:textId="77777777" w:rsidTr="009D14FB">
        <w:tc>
          <w:tcPr>
            <w:tcW w:w="800" w:type="dxa"/>
            <w:shd w:val="solid" w:color="FFFFFF" w:fill="auto"/>
          </w:tcPr>
          <w:p w14:paraId="6FDF468F" w14:textId="54289DD0"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63A2CC91" w14:textId="353B1ED0"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778EB0D0" w14:textId="2FDA5FBA" w:rsidR="000C6BFB" w:rsidRPr="00873B6C" w:rsidRDefault="000C6BFB" w:rsidP="00591B52">
            <w:pPr>
              <w:pStyle w:val="TAC"/>
              <w:rPr>
                <w:sz w:val="16"/>
                <w:szCs w:val="16"/>
              </w:rPr>
            </w:pPr>
            <w:r w:rsidRPr="00873B6C">
              <w:rPr>
                <w:sz w:val="16"/>
                <w:szCs w:val="16"/>
              </w:rPr>
              <w:t>SP-231275</w:t>
            </w:r>
          </w:p>
        </w:tc>
        <w:tc>
          <w:tcPr>
            <w:tcW w:w="567" w:type="dxa"/>
            <w:shd w:val="solid" w:color="FFFFFF" w:fill="auto"/>
          </w:tcPr>
          <w:p w14:paraId="3822091C" w14:textId="3819DAC5" w:rsidR="000C6BFB" w:rsidRPr="00873B6C" w:rsidRDefault="000C6BFB" w:rsidP="00591B52">
            <w:pPr>
              <w:pStyle w:val="TAL"/>
              <w:rPr>
                <w:sz w:val="16"/>
                <w:szCs w:val="16"/>
              </w:rPr>
            </w:pPr>
            <w:r w:rsidRPr="00873B6C">
              <w:rPr>
                <w:sz w:val="16"/>
                <w:szCs w:val="16"/>
              </w:rPr>
              <w:t>5001</w:t>
            </w:r>
          </w:p>
        </w:tc>
        <w:tc>
          <w:tcPr>
            <w:tcW w:w="425" w:type="dxa"/>
            <w:shd w:val="solid" w:color="FFFFFF" w:fill="auto"/>
          </w:tcPr>
          <w:p w14:paraId="0CC4403B" w14:textId="52EA7CCD" w:rsidR="000C6BFB" w:rsidRPr="00873B6C" w:rsidRDefault="000C6BFB" w:rsidP="00591B52">
            <w:pPr>
              <w:pStyle w:val="TAL"/>
              <w:rPr>
                <w:sz w:val="16"/>
                <w:szCs w:val="16"/>
              </w:rPr>
            </w:pPr>
            <w:r w:rsidRPr="00873B6C">
              <w:rPr>
                <w:sz w:val="16"/>
                <w:szCs w:val="16"/>
              </w:rPr>
              <w:t>3</w:t>
            </w:r>
          </w:p>
        </w:tc>
        <w:tc>
          <w:tcPr>
            <w:tcW w:w="425" w:type="dxa"/>
            <w:shd w:val="solid" w:color="FFFFFF" w:fill="auto"/>
          </w:tcPr>
          <w:p w14:paraId="5FE0CEBB" w14:textId="08C29805"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4E67B7B8" w14:textId="2C4EBF99" w:rsidR="000C6BFB" w:rsidRPr="00873B6C" w:rsidRDefault="000C6BFB" w:rsidP="00591B52">
            <w:pPr>
              <w:pStyle w:val="TAL"/>
              <w:rPr>
                <w:sz w:val="16"/>
                <w:szCs w:val="16"/>
              </w:rPr>
            </w:pPr>
            <w:r w:rsidRPr="00873B6C">
              <w:rPr>
                <w:sz w:val="16"/>
                <w:szCs w:val="16"/>
              </w:rPr>
              <w:t>Corrections to UPF Services</w:t>
            </w:r>
          </w:p>
        </w:tc>
        <w:tc>
          <w:tcPr>
            <w:tcW w:w="708" w:type="dxa"/>
            <w:shd w:val="solid" w:color="FFFFFF" w:fill="auto"/>
          </w:tcPr>
          <w:p w14:paraId="7BFFFB3C" w14:textId="64192ADE" w:rsidR="000C6BFB" w:rsidRPr="00873B6C" w:rsidRDefault="000C6BFB" w:rsidP="00591B52">
            <w:pPr>
              <w:pStyle w:val="TAC"/>
              <w:rPr>
                <w:sz w:val="16"/>
                <w:szCs w:val="16"/>
              </w:rPr>
            </w:pPr>
            <w:r w:rsidRPr="00873B6C">
              <w:rPr>
                <w:sz w:val="16"/>
                <w:szCs w:val="16"/>
              </w:rPr>
              <w:t>18.4.0</w:t>
            </w:r>
          </w:p>
        </w:tc>
      </w:tr>
      <w:tr w:rsidR="00FB6BEB" w:rsidRPr="00873B6C" w14:paraId="3BF72EC2" w14:textId="77777777" w:rsidTr="009D14FB">
        <w:tc>
          <w:tcPr>
            <w:tcW w:w="800" w:type="dxa"/>
            <w:shd w:val="solid" w:color="FFFFFF" w:fill="auto"/>
          </w:tcPr>
          <w:p w14:paraId="340AE5A1" w14:textId="14C99FFF" w:rsidR="00FB6BEB" w:rsidRPr="00873B6C" w:rsidRDefault="00FB6BEB" w:rsidP="00591B52">
            <w:pPr>
              <w:pStyle w:val="TAC"/>
              <w:rPr>
                <w:sz w:val="16"/>
                <w:szCs w:val="16"/>
              </w:rPr>
            </w:pPr>
            <w:r w:rsidRPr="00873B6C">
              <w:rPr>
                <w:sz w:val="16"/>
                <w:szCs w:val="16"/>
              </w:rPr>
              <w:t>2023-12</w:t>
            </w:r>
          </w:p>
        </w:tc>
        <w:tc>
          <w:tcPr>
            <w:tcW w:w="800" w:type="dxa"/>
            <w:shd w:val="solid" w:color="FFFFFF" w:fill="auto"/>
          </w:tcPr>
          <w:p w14:paraId="21182FD3" w14:textId="160BB31C" w:rsidR="00FB6BEB" w:rsidRPr="00873B6C" w:rsidRDefault="00FB6BEB" w:rsidP="00591B52">
            <w:pPr>
              <w:pStyle w:val="TAL"/>
              <w:rPr>
                <w:sz w:val="16"/>
                <w:szCs w:val="16"/>
              </w:rPr>
            </w:pPr>
            <w:r w:rsidRPr="00873B6C">
              <w:rPr>
                <w:sz w:val="16"/>
                <w:szCs w:val="16"/>
              </w:rPr>
              <w:t>SP#102</w:t>
            </w:r>
          </w:p>
        </w:tc>
        <w:tc>
          <w:tcPr>
            <w:tcW w:w="1094" w:type="dxa"/>
            <w:shd w:val="solid" w:color="FFFFFF" w:fill="auto"/>
          </w:tcPr>
          <w:p w14:paraId="37EF7F6E" w14:textId="06821994" w:rsidR="00FB6BEB" w:rsidRPr="00873B6C" w:rsidRDefault="00FB6BEB" w:rsidP="00591B52">
            <w:pPr>
              <w:pStyle w:val="TAC"/>
              <w:rPr>
                <w:sz w:val="16"/>
                <w:szCs w:val="16"/>
              </w:rPr>
            </w:pPr>
            <w:r w:rsidRPr="00873B6C">
              <w:rPr>
                <w:sz w:val="16"/>
                <w:szCs w:val="16"/>
              </w:rPr>
              <w:t>SP-231275</w:t>
            </w:r>
          </w:p>
        </w:tc>
        <w:tc>
          <w:tcPr>
            <w:tcW w:w="567" w:type="dxa"/>
            <w:shd w:val="solid" w:color="FFFFFF" w:fill="auto"/>
          </w:tcPr>
          <w:p w14:paraId="79F86743" w14:textId="59E2F8DC" w:rsidR="00FB6BEB" w:rsidRPr="00873B6C" w:rsidRDefault="00FB6BEB" w:rsidP="00591B52">
            <w:pPr>
              <w:pStyle w:val="TAL"/>
              <w:rPr>
                <w:sz w:val="16"/>
                <w:szCs w:val="16"/>
              </w:rPr>
            </w:pPr>
            <w:r w:rsidRPr="00873B6C">
              <w:rPr>
                <w:sz w:val="16"/>
                <w:szCs w:val="16"/>
              </w:rPr>
              <w:t>5002</w:t>
            </w:r>
          </w:p>
        </w:tc>
        <w:tc>
          <w:tcPr>
            <w:tcW w:w="425" w:type="dxa"/>
            <w:shd w:val="solid" w:color="FFFFFF" w:fill="auto"/>
          </w:tcPr>
          <w:p w14:paraId="499E8068" w14:textId="7371F8E5" w:rsidR="00FB6BEB" w:rsidRPr="00873B6C" w:rsidRDefault="00FB6BEB" w:rsidP="00591B52">
            <w:pPr>
              <w:pStyle w:val="TAL"/>
              <w:rPr>
                <w:sz w:val="16"/>
                <w:szCs w:val="16"/>
              </w:rPr>
            </w:pPr>
            <w:r w:rsidRPr="00873B6C">
              <w:rPr>
                <w:sz w:val="16"/>
                <w:szCs w:val="16"/>
              </w:rPr>
              <w:t>3</w:t>
            </w:r>
          </w:p>
        </w:tc>
        <w:tc>
          <w:tcPr>
            <w:tcW w:w="425" w:type="dxa"/>
            <w:shd w:val="solid" w:color="FFFFFF" w:fill="auto"/>
          </w:tcPr>
          <w:p w14:paraId="60B0F46A" w14:textId="76665563" w:rsidR="00FB6BEB" w:rsidRPr="00873B6C" w:rsidRDefault="00FB6BEB" w:rsidP="00591B52">
            <w:pPr>
              <w:pStyle w:val="TAL"/>
              <w:rPr>
                <w:sz w:val="16"/>
                <w:szCs w:val="16"/>
              </w:rPr>
            </w:pPr>
            <w:r w:rsidRPr="00873B6C">
              <w:rPr>
                <w:sz w:val="16"/>
                <w:szCs w:val="16"/>
              </w:rPr>
              <w:t>F</w:t>
            </w:r>
          </w:p>
        </w:tc>
        <w:tc>
          <w:tcPr>
            <w:tcW w:w="4820" w:type="dxa"/>
            <w:shd w:val="solid" w:color="FFFFFF" w:fill="auto"/>
          </w:tcPr>
          <w:p w14:paraId="7F9D7027" w14:textId="4EE69BE5" w:rsidR="00FB6BEB" w:rsidRPr="00873B6C" w:rsidRDefault="00FB6BEB" w:rsidP="00591B52">
            <w:pPr>
              <w:pStyle w:val="TAL"/>
              <w:rPr>
                <w:sz w:val="16"/>
                <w:szCs w:val="16"/>
              </w:rPr>
            </w:pPr>
            <w:r w:rsidRPr="00873B6C">
              <w:rPr>
                <w:sz w:val="16"/>
                <w:szCs w:val="16"/>
              </w:rPr>
              <w:t>UPF Data Collection with QoS Monitoring event</w:t>
            </w:r>
          </w:p>
        </w:tc>
        <w:tc>
          <w:tcPr>
            <w:tcW w:w="708" w:type="dxa"/>
            <w:shd w:val="solid" w:color="FFFFFF" w:fill="auto"/>
          </w:tcPr>
          <w:p w14:paraId="55E48CB7" w14:textId="7FF76D70" w:rsidR="00FB6BEB" w:rsidRPr="00873B6C" w:rsidRDefault="00FB6BEB" w:rsidP="00591B52">
            <w:pPr>
              <w:pStyle w:val="TAC"/>
              <w:rPr>
                <w:sz w:val="16"/>
                <w:szCs w:val="16"/>
              </w:rPr>
            </w:pPr>
            <w:r w:rsidRPr="00873B6C">
              <w:rPr>
                <w:sz w:val="16"/>
                <w:szCs w:val="16"/>
              </w:rPr>
              <w:t>18.4.0</w:t>
            </w:r>
          </w:p>
        </w:tc>
      </w:tr>
      <w:tr w:rsidR="00FB6BEB" w:rsidRPr="00873B6C" w14:paraId="1912B976" w14:textId="77777777" w:rsidTr="009D14FB">
        <w:tc>
          <w:tcPr>
            <w:tcW w:w="800" w:type="dxa"/>
            <w:shd w:val="solid" w:color="FFFFFF" w:fill="auto"/>
          </w:tcPr>
          <w:p w14:paraId="038C6C4D" w14:textId="7E61B550" w:rsidR="00FB6BEB" w:rsidRPr="00873B6C" w:rsidRDefault="00FB6BEB" w:rsidP="00591B52">
            <w:pPr>
              <w:pStyle w:val="TAC"/>
              <w:rPr>
                <w:sz w:val="16"/>
                <w:szCs w:val="16"/>
              </w:rPr>
            </w:pPr>
            <w:r w:rsidRPr="00873B6C">
              <w:rPr>
                <w:sz w:val="16"/>
                <w:szCs w:val="16"/>
              </w:rPr>
              <w:t>2023-12</w:t>
            </w:r>
          </w:p>
        </w:tc>
        <w:tc>
          <w:tcPr>
            <w:tcW w:w="800" w:type="dxa"/>
            <w:shd w:val="solid" w:color="FFFFFF" w:fill="auto"/>
          </w:tcPr>
          <w:p w14:paraId="3D23886F" w14:textId="0575A8EA" w:rsidR="00FB6BEB" w:rsidRPr="00873B6C" w:rsidRDefault="00FB6BEB" w:rsidP="00591B52">
            <w:pPr>
              <w:pStyle w:val="TAL"/>
              <w:rPr>
                <w:sz w:val="16"/>
                <w:szCs w:val="16"/>
              </w:rPr>
            </w:pPr>
            <w:r w:rsidRPr="00873B6C">
              <w:rPr>
                <w:sz w:val="16"/>
                <w:szCs w:val="16"/>
              </w:rPr>
              <w:t>SP#102</w:t>
            </w:r>
          </w:p>
        </w:tc>
        <w:tc>
          <w:tcPr>
            <w:tcW w:w="1094" w:type="dxa"/>
            <w:shd w:val="solid" w:color="FFFFFF" w:fill="auto"/>
          </w:tcPr>
          <w:p w14:paraId="1735E896" w14:textId="10F3011F" w:rsidR="00FB6BEB" w:rsidRPr="00873B6C" w:rsidRDefault="00FB6BEB" w:rsidP="00591B52">
            <w:pPr>
              <w:pStyle w:val="TAC"/>
              <w:rPr>
                <w:sz w:val="16"/>
                <w:szCs w:val="16"/>
              </w:rPr>
            </w:pPr>
            <w:r w:rsidRPr="00873B6C">
              <w:rPr>
                <w:sz w:val="16"/>
                <w:szCs w:val="16"/>
              </w:rPr>
              <w:t>SP-231277</w:t>
            </w:r>
          </w:p>
        </w:tc>
        <w:tc>
          <w:tcPr>
            <w:tcW w:w="567" w:type="dxa"/>
            <w:shd w:val="solid" w:color="FFFFFF" w:fill="auto"/>
          </w:tcPr>
          <w:p w14:paraId="0A28894E" w14:textId="0DDDCD63" w:rsidR="00FB6BEB" w:rsidRPr="00873B6C" w:rsidRDefault="00FB6BEB" w:rsidP="00591B52">
            <w:pPr>
              <w:pStyle w:val="TAL"/>
              <w:rPr>
                <w:sz w:val="16"/>
                <w:szCs w:val="16"/>
              </w:rPr>
            </w:pPr>
            <w:r w:rsidRPr="00873B6C">
              <w:rPr>
                <w:sz w:val="16"/>
                <w:szCs w:val="16"/>
              </w:rPr>
              <w:t>5012</w:t>
            </w:r>
          </w:p>
        </w:tc>
        <w:tc>
          <w:tcPr>
            <w:tcW w:w="425" w:type="dxa"/>
            <w:shd w:val="solid" w:color="FFFFFF" w:fill="auto"/>
          </w:tcPr>
          <w:p w14:paraId="50281B66" w14:textId="111D012C" w:rsidR="00FB6BEB" w:rsidRPr="00873B6C" w:rsidRDefault="00FB6BEB" w:rsidP="00591B52">
            <w:pPr>
              <w:pStyle w:val="TAL"/>
              <w:rPr>
                <w:sz w:val="16"/>
                <w:szCs w:val="16"/>
              </w:rPr>
            </w:pPr>
            <w:r w:rsidRPr="00873B6C">
              <w:rPr>
                <w:sz w:val="16"/>
                <w:szCs w:val="16"/>
              </w:rPr>
              <w:t>5</w:t>
            </w:r>
          </w:p>
        </w:tc>
        <w:tc>
          <w:tcPr>
            <w:tcW w:w="425" w:type="dxa"/>
            <w:shd w:val="solid" w:color="FFFFFF" w:fill="auto"/>
          </w:tcPr>
          <w:p w14:paraId="2DAFFC63" w14:textId="20C29CEC" w:rsidR="00FB6BEB" w:rsidRPr="00873B6C" w:rsidRDefault="00FB6BEB" w:rsidP="00591B52">
            <w:pPr>
              <w:pStyle w:val="TAL"/>
              <w:rPr>
                <w:sz w:val="16"/>
                <w:szCs w:val="16"/>
              </w:rPr>
            </w:pPr>
            <w:r w:rsidRPr="00873B6C">
              <w:rPr>
                <w:sz w:val="16"/>
                <w:szCs w:val="16"/>
              </w:rPr>
              <w:t>F</w:t>
            </w:r>
          </w:p>
        </w:tc>
        <w:tc>
          <w:tcPr>
            <w:tcW w:w="4820" w:type="dxa"/>
            <w:shd w:val="solid" w:color="FFFFFF" w:fill="auto"/>
          </w:tcPr>
          <w:p w14:paraId="53721DC2" w14:textId="650ADC74" w:rsidR="00FB6BEB" w:rsidRPr="00873B6C" w:rsidRDefault="00FB6BEB" w:rsidP="00591B52">
            <w:pPr>
              <w:pStyle w:val="TAL"/>
              <w:rPr>
                <w:sz w:val="16"/>
                <w:szCs w:val="16"/>
              </w:rPr>
            </w:pPr>
            <w:r w:rsidRPr="00873B6C">
              <w:rPr>
                <w:sz w:val="16"/>
                <w:szCs w:val="16"/>
              </w:rPr>
              <w:t xml:space="preserve">Clarification on scenarios for enabling/disabling downlink PDU Set based Handling </w:t>
            </w:r>
          </w:p>
        </w:tc>
        <w:tc>
          <w:tcPr>
            <w:tcW w:w="708" w:type="dxa"/>
            <w:shd w:val="solid" w:color="FFFFFF" w:fill="auto"/>
          </w:tcPr>
          <w:p w14:paraId="5BEC735E" w14:textId="6CB83C5C" w:rsidR="00FB6BEB" w:rsidRPr="00873B6C" w:rsidRDefault="00FB6BEB" w:rsidP="00591B52">
            <w:pPr>
              <w:pStyle w:val="TAC"/>
              <w:rPr>
                <w:sz w:val="16"/>
                <w:szCs w:val="16"/>
              </w:rPr>
            </w:pPr>
            <w:r w:rsidRPr="00873B6C">
              <w:rPr>
                <w:sz w:val="16"/>
                <w:szCs w:val="16"/>
              </w:rPr>
              <w:t>18.4.0</w:t>
            </w:r>
          </w:p>
        </w:tc>
      </w:tr>
      <w:tr w:rsidR="00FB6BEB" w:rsidRPr="00873B6C" w14:paraId="782E8025" w14:textId="77777777" w:rsidTr="009D14FB">
        <w:tc>
          <w:tcPr>
            <w:tcW w:w="800" w:type="dxa"/>
            <w:shd w:val="solid" w:color="FFFFFF" w:fill="auto"/>
          </w:tcPr>
          <w:p w14:paraId="4C7BEC74" w14:textId="2AF70833" w:rsidR="00FB6BEB" w:rsidRPr="00873B6C" w:rsidRDefault="00FB6BEB" w:rsidP="00591B52">
            <w:pPr>
              <w:pStyle w:val="TAC"/>
              <w:rPr>
                <w:sz w:val="16"/>
                <w:szCs w:val="16"/>
              </w:rPr>
            </w:pPr>
            <w:r w:rsidRPr="00873B6C">
              <w:rPr>
                <w:sz w:val="16"/>
                <w:szCs w:val="16"/>
              </w:rPr>
              <w:t>2023-12</w:t>
            </w:r>
          </w:p>
        </w:tc>
        <w:tc>
          <w:tcPr>
            <w:tcW w:w="800" w:type="dxa"/>
            <w:shd w:val="solid" w:color="FFFFFF" w:fill="auto"/>
          </w:tcPr>
          <w:p w14:paraId="492AF3EF" w14:textId="620250A3" w:rsidR="00FB6BEB" w:rsidRPr="00873B6C" w:rsidRDefault="00FB6BEB" w:rsidP="00591B52">
            <w:pPr>
              <w:pStyle w:val="TAL"/>
              <w:rPr>
                <w:sz w:val="16"/>
                <w:szCs w:val="16"/>
              </w:rPr>
            </w:pPr>
            <w:r w:rsidRPr="00873B6C">
              <w:rPr>
                <w:sz w:val="16"/>
                <w:szCs w:val="16"/>
              </w:rPr>
              <w:t>SP#102</w:t>
            </w:r>
          </w:p>
        </w:tc>
        <w:tc>
          <w:tcPr>
            <w:tcW w:w="1094" w:type="dxa"/>
            <w:shd w:val="solid" w:color="FFFFFF" w:fill="auto"/>
          </w:tcPr>
          <w:p w14:paraId="0FDCF0D8" w14:textId="26B33ADC" w:rsidR="00FB6BEB" w:rsidRPr="00873B6C" w:rsidRDefault="00FB6BEB" w:rsidP="00591B52">
            <w:pPr>
              <w:pStyle w:val="TAC"/>
              <w:rPr>
                <w:sz w:val="16"/>
                <w:szCs w:val="16"/>
              </w:rPr>
            </w:pPr>
            <w:r w:rsidRPr="00873B6C">
              <w:rPr>
                <w:sz w:val="16"/>
                <w:szCs w:val="16"/>
              </w:rPr>
              <w:t>SP-231255</w:t>
            </w:r>
          </w:p>
        </w:tc>
        <w:tc>
          <w:tcPr>
            <w:tcW w:w="567" w:type="dxa"/>
            <w:shd w:val="solid" w:color="FFFFFF" w:fill="auto"/>
          </w:tcPr>
          <w:p w14:paraId="2A1039DB" w14:textId="0DDC5B54" w:rsidR="00FB6BEB" w:rsidRPr="00873B6C" w:rsidRDefault="00FB6BEB" w:rsidP="00591B52">
            <w:pPr>
              <w:pStyle w:val="TAL"/>
              <w:rPr>
                <w:sz w:val="16"/>
                <w:szCs w:val="16"/>
              </w:rPr>
            </w:pPr>
            <w:r w:rsidRPr="00873B6C">
              <w:rPr>
                <w:sz w:val="16"/>
                <w:szCs w:val="16"/>
              </w:rPr>
              <w:t>5016</w:t>
            </w:r>
          </w:p>
        </w:tc>
        <w:tc>
          <w:tcPr>
            <w:tcW w:w="425" w:type="dxa"/>
            <w:shd w:val="solid" w:color="FFFFFF" w:fill="auto"/>
          </w:tcPr>
          <w:p w14:paraId="4B88408D" w14:textId="59A85E63" w:rsidR="00FB6BEB" w:rsidRPr="00873B6C" w:rsidRDefault="00FB6BEB" w:rsidP="00591B52">
            <w:pPr>
              <w:pStyle w:val="TAL"/>
              <w:rPr>
                <w:sz w:val="16"/>
                <w:szCs w:val="16"/>
              </w:rPr>
            </w:pPr>
            <w:r w:rsidRPr="00873B6C">
              <w:rPr>
                <w:sz w:val="16"/>
                <w:szCs w:val="16"/>
              </w:rPr>
              <w:t>1</w:t>
            </w:r>
          </w:p>
        </w:tc>
        <w:tc>
          <w:tcPr>
            <w:tcW w:w="425" w:type="dxa"/>
            <w:shd w:val="solid" w:color="FFFFFF" w:fill="auto"/>
          </w:tcPr>
          <w:p w14:paraId="452151B1" w14:textId="2B39D0A3" w:rsidR="00FB6BEB" w:rsidRPr="00873B6C" w:rsidRDefault="00FB6BEB" w:rsidP="00591B52">
            <w:pPr>
              <w:pStyle w:val="TAL"/>
              <w:rPr>
                <w:sz w:val="16"/>
                <w:szCs w:val="16"/>
              </w:rPr>
            </w:pPr>
            <w:r w:rsidRPr="00873B6C">
              <w:rPr>
                <w:sz w:val="16"/>
                <w:szCs w:val="16"/>
              </w:rPr>
              <w:t>F</w:t>
            </w:r>
          </w:p>
        </w:tc>
        <w:tc>
          <w:tcPr>
            <w:tcW w:w="4820" w:type="dxa"/>
            <w:shd w:val="solid" w:color="FFFFFF" w:fill="auto"/>
          </w:tcPr>
          <w:p w14:paraId="2A47BF6E" w14:textId="6405BA6E" w:rsidR="00FB6BEB" w:rsidRPr="00873B6C" w:rsidRDefault="00FB6BEB" w:rsidP="00591B52">
            <w:pPr>
              <w:pStyle w:val="TAL"/>
              <w:rPr>
                <w:sz w:val="16"/>
                <w:szCs w:val="16"/>
              </w:rPr>
            </w:pPr>
            <w:r w:rsidRPr="00873B6C">
              <w:rPr>
                <w:sz w:val="16"/>
                <w:szCs w:val="16"/>
              </w:rPr>
              <w:t>UPF behaviour alignment for DetNet</w:t>
            </w:r>
          </w:p>
        </w:tc>
        <w:tc>
          <w:tcPr>
            <w:tcW w:w="708" w:type="dxa"/>
            <w:shd w:val="solid" w:color="FFFFFF" w:fill="auto"/>
          </w:tcPr>
          <w:p w14:paraId="1D87A76B" w14:textId="4ACDF729" w:rsidR="00FB6BEB" w:rsidRPr="00873B6C" w:rsidRDefault="00FB6BEB" w:rsidP="00591B52">
            <w:pPr>
              <w:pStyle w:val="TAC"/>
              <w:rPr>
                <w:sz w:val="16"/>
                <w:szCs w:val="16"/>
              </w:rPr>
            </w:pPr>
            <w:r w:rsidRPr="00873B6C">
              <w:rPr>
                <w:sz w:val="16"/>
                <w:szCs w:val="16"/>
              </w:rPr>
              <w:t>18.4.0</w:t>
            </w:r>
          </w:p>
        </w:tc>
      </w:tr>
      <w:tr w:rsidR="00FB6BEB" w:rsidRPr="00873B6C" w14:paraId="22282493" w14:textId="77777777" w:rsidTr="009D14FB">
        <w:tc>
          <w:tcPr>
            <w:tcW w:w="800" w:type="dxa"/>
            <w:shd w:val="solid" w:color="FFFFFF" w:fill="auto"/>
          </w:tcPr>
          <w:p w14:paraId="2383EF55" w14:textId="790FE9A0" w:rsidR="00FB6BEB" w:rsidRPr="00873B6C" w:rsidRDefault="00FB6BEB" w:rsidP="00591B52">
            <w:pPr>
              <w:pStyle w:val="TAC"/>
              <w:rPr>
                <w:sz w:val="16"/>
                <w:szCs w:val="16"/>
              </w:rPr>
            </w:pPr>
            <w:r w:rsidRPr="00873B6C">
              <w:rPr>
                <w:sz w:val="16"/>
                <w:szCs w:val="16"/>
              </w:rPr>
              <w:t>2023-12</w:t>
            </w:r>
          </w:p>
        </w:tc>
        <w:tc>
          <w:tcPr>
            <w:tcW w:w="800" w:type="dxa"/>
            <w:shd w:val="solid" w:color="FFFFFF" w:fill="auto"/>
          </w:tcPr>
          <w:p w14:paraId="17815FE8" w14:textId="7282913D" w:rsidR="00FB6BEB" w:rsidRPr="00873B6C" w:rsidRDefault="00FB6BEB" w:rsidP="00591B52">
            <w:pPr>
              <w:pStyle w:val="TAL"/>
              <w:rPr>
                <w:sz w:val="16"/>
                <w:szCs w:val="16"/>
              </w:rPr>
            </w:pPr>
            <w:r w:rsidRPr="00873B6C">
              <w:rPr>
                <w:sz w:val="16"/>
                <w:szCs w:val="16"/>
              </w:rPr>
              <w:t>SP#102</w:t>
            </w:r>
          </w:p>
        </w:tc>
        <w:tc>
          <w:tcPr>
            <w:tcW w:w="1094" w:type="dxa"/>
            <w:shd w:val="solid" w:color="FFFFFF" w:fill="auto"/>
          </w:tcPr>
          <w:p w14:paraId="5948FA75" w14:textId="2E0C6908" w:rsidR="00FB6BEB" w:rsidRPr="00873B6C" w:rsidRDefault="00FB6BEB" w:rsidP="00591B52">
            <w:pPr>
              <w:pStyle w:val="TAC"/>
              <w:rPr>
                <w:sz w:val="16"/>
                <w:szCs w:val="16"/>
              </w:rPr>
            </w:pPr>
            <w:r w:rsidRPr="00873B6C">
              <w:rPr>
                <w:sz w:val="16"/>
                <w:szCs w:val="16"/>
              </w:rPr>
              <w:t>SP-231273</w:t>
            </w:r>
          </w:p>
        </w:tc>
        <w:tc>
          <w:tcPr>
            <w:tcW w:w="567" w:type="dxa"/>
            <w:shd w:val="solid" w:color="FFFFFF" w:fill="auto"/>
          </w:tcPr>
          <w:p w14:paraId="5FBD36AA" w14:textId="160AC394" w:rsidR="00FB6BEB" w:rsidRPr="00873B6C" w:rsidRDefault="00FB6BEB" w:rsidP="00591B52">
            <w:pPr>
              <w:pStyle w:val="TAL"/>
              <w:rPr>
                <w:sz w:val="16"/>
                <w:szCs w:val="16"/>
              </w:rPr>
            </w:pPr>
            <w:r w:rsidRPr="00873B6C">
              <w:rPr>
                <w:sz w:val="16"/>
                <w:szCs w:val="16"/>
              </w:rPr>
              <w:t>5024</w:t>
            </w:r>
          </w:p>
        </w:tc>
        <w:tc>
          <w:tcPr>
            <w:tcW w:w="425" w:type="dxa"/>
            <w:shd w:val="solid" w:color="FFFFFF" w:fill="auto"/>
          </w:tcPr>
          <w:p w14:paraId="78E701A1" w14:textId="35FDC654" w:rsidR="00FB6BEB" w:rsidRPr="00873B6C" w:rsidRDefault="00FB6BEB" w:rsidP="00591B52">
            <w:pPr>
              <w:pStyle w:val="TAL"/>
              <w:rPr>
                <w:sz w:val="16"/>
                <w:szCs w:val="16"/>
              </w:rPr>
            </w:pPr>
            <w:r w:rsidRPr="00873B6C">
              <w:rPr>
                <w:sz w:val="16"/>
                <w:szCs w:val="16"/>
              </w:rPr>
              <w:t>7</w:t>
            </w:r>
          </w:p>
        </w:tc>
        <w:tc>
          <w:tcPr>
            <w:tcW w:w="425" w:type="dxa"/>
            <w:shd w:val="solid" w:color="FFFFFF" w:fill="auto"/>
          </w:tcPr>
          <w:p w14:paraId="51367094" w14:textId="63AE5BE1" w:rsidR="00FB6BEB" w:rsidRPr="00873B6C" w:rsidRDefault="00FB6BEB" w:rsidP="00591B52">
            <w:pPr>
              <w:pStyle w:val="TAL"/>
              <w:rPr>
                <w:sz w:val="16"/>
                <w:szCs w:val="16"/>
              </w:rPr>
            </w:pPr>
            <w:r w:rsidRPr="00873B6C">
              <w:rPr>
                <w:sz w:val="16"/>
                <w:szCs w:val="16"/>
              </w:rPr>
              <w:t>F</w:t>
            </w:r>
          </w:p>
        </w:tc>
        <w:tc>
          <w:tcPr>
            <w:tcW w:w="4820" w:type="dxa"/>
            <w:shd w:val="solid" w:color="FFFFFF" w:fill="auto"/>
          </w:tcPr>
          <w:p w14:paraId="3089B79B" w14:textId="3307BF00" w:rsidR="00FB6BEB" w:rsidRPr="00873B6C" w:rsidRDefault="00FB6BEB" w:rsidP="00591B52">
            <w:pPr>
              <w:pStyle w:val="TAL"/>
              <w:rPr>
                <w:sz w:val="16"/>
                <w:szCs w:val="16"/>
              </w:rPr>
            </w:pPr>
            <w:r w:rsidRPr="00873B6C">
              <w:rPr>
                <w:sz w:val="16"/>
                <w:szCs w:val="16"/>
              </w:rPr>
              <w:t>Clarification on the support for AMF discovery at the TSCTSF</w:t>
            </w:r>
          </w:p>
        </w:tc>
        <w:tc>
          <w:tcPr>
            <w:tcW w:w="708" w:type="dxa"/>
            <w:shd w:val="solid" w:color="FFFFFF" w:fill="auto"/>
          </w:tcPr>
          <w:p w14:paraId="2E5586FB" w14:textId="4B372AEE" w:rsidR="00FB6BEB" w:rsidRPr="00873B6C" w:rsidRDefault="00FB6BEB" w:rsidP="00591B52">
            <w:pPr>
              <w:pStyle w:val="TAC"/>
              <w:rPr>
                <w:sz w:val="16"/>
                <w:szCs w:val="16"/>
              </w:rPr>
            </w:pPr>
            <w:r w:rsidRPr="00873B6C">
              <w:rPr>
                <w:sz w:val="16"/>
                <w:szCs w:val="16"/>
              </w:rPr>
              <w:t>18.4.0</w:t>
            </w:r>
          </w:p>
        </w:tc>
      </w:tr>
      <w:tr w:rsidR="0054077B" w:rsidRPr="00873B6C" w14:paraId="7495B756" w14:textId="77777777" w:rsidTr="009D14FB">
        <w:tc>
          <w:tcPr>
            <w:tcW w:w="800" w:type="dxa"/>
            <w:shd w:val="solid" w:color="FFFFFF" w:fill="auto"/>
          </w:tcPr>
          <w:p w14:paraId="101D9EE0" w14:textId="2EA76650" w:rsidR="0054077B" w:rsidRPr="00873B6C" w:rsidRDefault="0054077B" w:rsidP="00591B52">
            <w:pPr>
              <w:pStyle w:val="TAC"/>
              <w:rPr>
                <w:sz w:val="16"/>
                <w:szCs w:val="16"/>
              </w:rPr>
            </w:pPr>
            <w:r w:rsidRPr="00873B6C">
              <w:rPr>
                <w:sz w:val="16"/>
                <w:szCs w:val="16"/>
              </w:rPr>
              <w:t>2023-12</w:t>
            </w:r>
          </w:p>
        </w:tc>
        <w:tc>
          <w:tcPr>
            <w:tcW w:w="800" w:type="dxa"/>
            <w:shd w:val="solid" w:color="FFFFFF" w:fill="auto"/>
          </w:tcPr>
          <w:p w14:paraId="5B64C021" w14:textId="670CDF81" w:rsidR="0054077B" w:rsidRPr="00873B6C" w:rsidRDefault="0054077B" w:rsidP="00591B52">
            <w:pPr>
              <w:pStyle w:val="TAL"/>
              <w:rPr>
                <w:sz w:val="16"/>
                <w:szCs w:val="16"/>
              </w:rPr>
            </w:pPr>
            <w:r w:rsidRPr="00873B6C">
              <w:rPr>
                <w:sz w:val="16"/>
                <w:szCs w:val="16"/>
              </w:rPr>
              <w:t>SP#102</w:t>
            </w:r>
          </w:p>
        </w:tc>
        <w:tc>
          <w:tcPr>
            <w:tcW w:w="1094" w:type="dxa"/>
            <w:shd w:val="solid" w:color="FFFFFF" w:fill="auto"/>
          </w:tcPr>
          <w:p w14:paraId="432B9A24" w14:textId="06E4EA32" w:rsidR="0054077B" w:rsidRPr="00873B6C" w:rsidRDefault="0054077B" w:rsidP="00591B52">
            <w:pPr>
              <w:pStyle w:val="TAC"/>
              <w:rPr>
                <w:sz w:val="16"/>
                <w:szCs w:val="16"/>
              </w:rPr>
            </w:pPr>
            <w:r w:rsidRPr="00873B6C">
              <w:rPr>
                <w:sz w:val="16"/>
                <w:szCs w:val="16"/>
              </w:rPr>
              <w:t>SP-231277</w:t>
            </w:r>
          </w:p>
        </w:tc>
        <w:tc>
          <w:tcPr>
            <w:tcW w:w="567" w:type="dxa"/>
            <w:shd w:val="solid" w:color="FFFFFF" w:fill="auto"/>
          </w:tcPr>
          <w:p w14:paraId="7AC51CFC" w14:textId="73E74CE6" w:rsidR="0054077B" w:rsidRPr="00873B6C" w:rsidRDefault="0054077B" w:rsidP="00591B52">
            <w:pPr>
              <w:pStyle w:val="TAL"/>
              <w:rPr>
                <w:sz w:val="16"/>
                <w:szCs w:val="16"/>
              </w:rPr>
            </w:pPr>
            <w:r w:rsidRPr="00873B6C">
              <w:rPr>
                <w:sz w:val="16"/>
                <w:szCs w:val="16"/>
              </w:rPr>
              <w:t>5026</w:t>
            </w:r>
          </w:p>
        </w:tc>
        <w:tc>
          <w:tcPr>
            <w:tcW w:w="425" w:type="dxa"/>
            <w:shd w:val="solid" w:color="FFFFFF" w:fill="auto"/>
          </w:tcPr>
          <w:p w14:paraId="76F5DB71" w14:textId="0B7E091F" w:rsidR="0054077B" w:rsidRPr="00873B6C" w:rsidRDefault="0054077B" w:rsidP="00591B52">
            <w:pPr>
              <w:pStyle w:val="TAL"/>
              <w:rPr>
                <w:sz w:val="16"/>
                <w:szCs w:val="16"/>
              </w:rPr>
            </w:pPr>
            <w:r w:rsidRPr="00873B6C">
              <w:rPr>
                <w:sz w:val="16"/>
                <w:szCs w:val="16"/>
              </w:rPr>
              <w:t>2</w:t>
            </w:r>
          </w:p>
        </w:tc>
        <w:tc>
          <w:tcPr>
            <w:tcW w:w="425" w:type="dxa"/>
            <w:shd w:val="solid" w:color="FFFFFF" w:fill="auto"/>
          </w:tcPr>
          <w:p w14:paraId="50F06D78" w14:textId="7D309D96" w:rsidR="0054077B" w:rsidRPr="00873B6C" w:rsidRDefault="0054077B" w:rsidP="00591B52">
            <w:pPr>
              <w:pStyle w:val="TAL"/>
              <w:rPr>
                <w:sz w:val="16"/>
                <w:szCs w:val="16"/>
              </w:rPr>
            </w:pPr>
            <w:r w:rsidRPr="00873B6C">
              <w:rPr>
                <w:sz w:val="16"/>
                <w:szCs w:val="16"/>
              </w:rPr>
              <w:t>F</w:t>
            </w:r>
          </w:p>
        </w:tc>
        <w:tc>
          <w:tcPr>
            <w:tcW w:w="4820" w:type="dxa"/>
            <w:shd w:val="solid" w:color="FFFFFF" w:fill="auto"/>
          </w:tcPr>
          <w:p w14:paraId="32A47255" w14:textId="4D1A6D97" w:rsidR="0054077B" w:rsidRPr="00873B6C" w:rsidRDefault="0054077B" w:rsidP="00591B52">
            <w:pPr>
              <w:pStyle w:val="TAL"/>
              <w:rPr>
                <w:sz w:val="16"/>
                <w:szCs w:val="16"/>
              </w:rPr>
            </w:pPr>
            <w:r w:rsidRPr="00873B6C">
              <w:rPr>
                <w:sz w:val="16"/>
                <w:szCs w:val="16"/>
              </w:rPr>
              <w:t>Corrections of XRM-specific clauses</w:t>
            </w:r>
          </w:p>
        </w:tc>
        <w:tc>
          <w:tcPr>
            <w:tcW w:w="708" w:type="dxa"/>
            <w:shd w:val="solid" w:color="FFFFFF" w:fill="auto"/>
          </w:tcPr>
          <w:p w14:paraId="69C2E345" w14:textId="09EB1B7E" w:rsidR="0054077B" w:rsidRPr="00873B6C" w:rsidRDefault="0054077B" w:rsidP="00591B52">
            <w:pPr>
              <w:pStyle w:val="TAC"/>
              <w:rPr>
                <w:sz w:val="16"/>
                <w:szCs w:val="16"/>
              </w:rPr>
            </w:pPr>
            <w:r w:rsidRPr="00873B6C">
              <w:rPr>
                <w:sz w:val="16"/>
                <w:szCs w:val="16"/>
              </w:rPr>
              <w:t>18.4.0</w:t>
            </w:r>
          </w:p>
        </w:tc>
      </w:tr>
      <w:tr w:rsidR="0054077B" w:rsidRPr="00873B6C" w14:paraId="6AA90569" w14:textId="77777777" w:rsidTr="009D14FB">
        <w:tc>
          <w:tcPr>
            <w:tcW w:w="800" w:type="dxa"/>
            <w:shd w:val="solid" w:color="FFFFFF" w:fill="auto"/>
          </w:tcPr>
          <w:p w14:paraId="3E489DF0" w14:textId="71418E05" w:rsidR="0054077B" w:rsidRPr="00873B6C" w:rsidRDefault="0054077B" w:rsidP="00591B52">
            <w:pPr>
              <w:pStyle w:val="TAC"/>
              <w:rPr>
                <w:sz w:val="16"/>
                <w:szCs w:val="16"/>
              </w:rPr>
            </w:pPr>
            <w:r w:rsidRPr="00873B6C">
              <w:rPr>
                <w:sz w:val="16"/>
                <w:szCs w:val="16"/>
              </w:rPr>
              <w:t>2023-12</w:t>
            </w:r>
          </w:p>
        </w:tc>
        <w:tc>
          <w:tcPr>
            <w:tcW w:w="800" w:type="dxa"/>
            <w:shd w:val="solid" w:color="FFFFFF" w:fill="auto"/>
          </w:tcPr>
          <w:p w14:paraId="02DFD5FC" w14:textId="7AF23FD6" w:rsidR="0054077B" w:rsidRPr="00873B6C" w:rsidRDefault="0054077B" w:rsidP="00591B52">
            <w:pPr>
              <w:pStyle w:val="TAL"/>
              <w:rPr>
                <w:sz w:val="16"/>
                <w:szCs w:val="16"/>
              </w:rPr>
            </w:pPr>
            <w:r w:rsidRPr="00873B6C">
              <w:rPr>
                <w:sz w:val="16"/>
                <w:szCs w:val="16"/>
              </w:rPr>
              <w:t>SP#102</w:t>
            </w:r>
          </w:p>
        </w:tc>
        <w:tc>
          <w:tcPr>
            <w:tcW w:w="1094" w:type="dxa"/>
            <w:shd w:val="solid" w:color="FFFFFF" w:fill="auto"/>
          </w:tcPr>
          <w:p w14:paraId="6020D732" w14:textId="014A2888" w:rsidR="0054077B" w:rsidRPr="00873B6C" w:rsidRDefault="0054077B" w:rsidP="00591B52">
            <w:pPr>
              <w:pStyle w:val="TAC"/>
              <w:rPr>
                <w:sz w:val="16"/>
                <w:szCs w:val="16"/>
              </w:rPr>
            </w:pPr>
            <w:r w:rsidRPr="00873B6C">
              <w:rPr>
                <w:sz w:val="16"/>
                <w:szCs w:val="16"/>
              </w:rPr>
              <w:t>SP-231264</w:t>
            </w:r>
          </w:p>
        </w:tc>
        <w:tc>
          <w:tcPr>
            <w:tcW w:w="567" w:type="dxa"/>
            <w:shd w:val="solid" w:color="FFFFFF" w:fill="auto"/>
          </w:tcPr>
          <w:p w14:paraId="66EC9146" w14:textId="3A87F5D8" w:rsidR="0054077B" w:rsidRPr="00873B6C" w:rsidRDefault="0054077B" w:rsidP="00591B52">
            <w:pPr>
              <w:pStyle w:val="TAL"/>
              <w:rPr>
                <w:sz w:val="16"/>
                <w:szCs w:val="16"/>
              </w:rPr>
            </w:pPr>
            <w:r w:rsidRPr="00873B6C">
              <w:rPr>
                <w:sz w:val="16"/>
                <w:szCs w:val="16"/>
              </w:rPr>
              <w:t>5034</w:t>
            </w:r>
          </w:p>
        </w:tc>
        <w:tc>
          <w:tcPr>
            <w:tcW w:w="425" w:type="dxa"/>
            <w:shd w:val="solid" w:color="FFFFFF" w:fill="auto"/>
          </w:tcPr>
          <w:p w14:paraId="1C8E21CB" w14:textId="0CEF381D" w:rsidR="0054077B" w:rsidRPr="00873B6C" w:rsidRDefault="0054077B" w:rsidP="00591B52">
            <w:pPr>
              <w:pStyle w:val="TAL"/>
              <w:rPr>
                <w:sz w:val="16"/>
                <w:szCs w:val="16"/>
              </w:rPr>
            </w:pPr>
            <w:r w:rsidRPr="00873B6C">
              <w:rPr>
                <w:sz w:val="16"/>
                <w:szCs w:val="16"/>
              </w:rPr>
              <w:t>2</w:t>
            </w:r>
          </w:p>
        </w:tc>
        <w:tc>
          <w:tcPr>
            <w:tcW w:w="425" w:type="dxa"/>
            <w:shd w:val="solid" w:color="FFFFFF" w:fill="auto"/>
          </w:tcPr>
          <w:p w14:paraId="13B329C9" w14:textId="50485F71" w:rsidR="0054077B" w:rsidRPr="00873B6C" w:rsidRDefault="0054077B" w:rsidP="00591B52">
            <w:pPr>
              <w:pStyle w:val="TAL"/>
              <w:rPr>
                <w:sz w:val="16"/>
                <w:szCs w:val="16"/>
              </w:rPr>
            </w:pPr>
            <w:r w:rsidRPr="00873B6C">
              <w:rPr>
                <w:sz w:val="16"/>
                <w:szCs w:val="16"/>
              </w:rPr>
              <w:t>F</w:t>
            </w:r>
          </w:p>
        </w:tc>
        <w:tc>
          <w:tcPr>
            <w:tcW w:w="4820" w:type="dxa"/>
            <w:shd w:val="solid" w:color="FFFFFF" w:fill="auto"/>
          </w:tcPr>
          <w:p w14:paraId="5B56D0F8" w14:textId="038240A8" w:rsidR="0054077B" w:rsidRPr="00873B6C" w:rsidRDefault="0054077B" w:rsidP="00591B52">
            <w:pPr>
              <w:pStyle w:val="TAL"/>
              <w:rPr>
                <w:sz w:val="16"/>
                <w:szCs w:val="16"/>
              </w:rPr>
            </w:pPr>
            <w:r w:rsidRPr="00873B6C">
              <w:rPr>
                <w:sz w:val="16"/>
                <w:szCs w:val="16"/>
              </w:rPr>
              <w:t>Provisioning of LADN information</w:t>
            </w:r>
          </w:p>
        </w:tc>
        <w:tc>
          <w:tcPr>
            <w:tcW w:w="708" w:type="dxa"/>
            <w:shd w:val="solid" w:color="FFFFFF" w:fill="auto"/>
          </w:tcPr>
          <w:p w14:paraId="2C9BA8D7" w14:textId="36F70EE6" w:rsidR="0054077B" w:rsidRPr="00873B6C" w:rsidRDefault="0054077B" w:rsidP="00591B52">
            <w:pPr>
              <w:pStyle w:val="TAC"/>
              <w:rPr>
                <w:sz w:val="16"/>
                <w:szCs w:val="16"/>
              </w:rPr>
            </w:pPr>
            <w:r w:rsidRPr="00873B6C">
              <w:rPr>
                <w:sz w:val="16"/>
                <w:szCs w:val="16"/>
              </w:rPr>
              <w:t>18.4.0</w:t>
            </w:r>
          </w:p>
        </w:tc>
      </w:tr>
      <w:tr w:rsidR="00C62779" w:rsidRPr="00873B6C" w14:paraId="0063FAC8" w14:textId="77777777" w:rsidTr="009D14FB">
        <w:tc>
          <w:tcPr>
            <w:tcW w:w="800" w:type="dxa"/>
            <w:shd w:val="solid" w:color="FFFFFF" w:fill="auto"/>
          </w:tcPr>
          <w:p w14:paraId="6BD4E738" w14:textId="16988DA5" w:rsidR="00C62779" w:rsidRPr="00873B6C" w:rsidRDefault="00C62779" w:rsidP="00591B52">
            <w:pPr>
              <w:pStyle w:val="TAC"/>
              <w:rPr>
                <w:sz w:val="16"/>
                <w:szCs w:val="16"/>
              </w:rPr>
            </w:pPr>
            <w:r w:rsidRPr="00873B6C">
              <w:rPr>
                <w:sz w:val="16"/>
                <w:szCs w:val="16"/>
              </w:rPr>
              <w:t>2023-12</w:t>
            </w:r>
          </w:p>
        </w:tc>
        <w:tc>
          <w:tcPr>
            <w:tcW w:w="800" w:type="dxa"/>
            <w:shd w:val="solid" w:color="FFFFFF" w:fill="auto"/>
          </w:tcPr>
          <w:p w14:paraId="61B74175" w14:textId="757EB540" w:rsidR="00C62779" w:rsidRPr="00873B6C" w:rsidRDefault="00C62779" w:rsidP="00591B52">
            <w:pPr>
              <w:pStyle w:val="TAL"/>
              <w:rPr>
                <w:sz w:val="16"/>
                <w:szCs w:val="16"/>
              </w:rPr>
            </w:pPr>
            <w:r w:rsidRPr="00873B6C">
              <w:rPr>
                <w:sz w:val="16"/>
                <w:szCs w:val="16"/>
              </w:rPr>
              <w:t>SP#102</w:t>
            </w:r>
          </w:p>
        </w:tc>
        <w:tc>
          <w:tcPr>
            <w:tcW w:w="1094" w:type="dxa"/>
            <w:shd w:val="solid" w:color="FFFFFF" w:fill="auto"/>
          </w:tcPr>
          <w:p w14:paraId="4E5717EB" w14:textId="11C4BB63" w:rsidR="00C62779" w:rsidRPr="00873B6C" w:rsidRDefault="00C62779" w:rsidP="00591B52">
            <w:pPr>
              <w:pStyle w:val="TAC"/>
              <w:rPr>
                <w:sz w:val="16"/>
                <w:szCs w:val="16"/>
              </w:rPr>
            </w:pPr>
            <w:r w:rsidRPr="00873B6C">
              <w:rPr>
                <w:sz w:val="16"/>
                <w:szCs w:val="16"/>
              </w:rPr>
              <w:t>SP-231260</w:t>
            </w:r>
          </w:p>
        </w:tc>
        <w:tc>
          <w:tcPr>
            <w:tcW w:w="567" w:type="dxa"/>
            <w:shd w:val="solid" w:color="FFFFFF" w:fill="auto"/>
          </w:tcPr>
          <w:p w14:paraId="7E3D7A38" w14:textId="18FC5D4E" w:rsidR="00C62779" w:rsidRPr="00873B6C" w:rsidRDefault="00C62779" w:rsidP="00591B52">
            <w:pPr>
              <w:pStyle w:val="TAL"/>
              <w:rPr>
                <w:sz w:val="16"/>
                <w:szCs w:val="16"/>
              </w:rPr>
            </w:pPr>
            <w:r w:rsidRPr="00873B6C">
              <w:rPr>
                <w:sz w:val="16"/>
                <w:szCs w:val="16"/>
              </w:rPr>
              <w:t>5036</w:t>
            </w:r>
          </w:p>
        </w:tc>
        <w:tc>
          <w:tcPr>
            <w:tcW w:w="425" w:type="dxa"/>
            <w:shd w:val="solid" w:color="FFFFFF" w:fill="auto"/>
          </w:tcPr>
          <w:p w14:paraId="1786AD1C" w14:textId="24944B89" w:rsidR="00C62779" w:rsidRPr="00873B6C" w:rsidRDefault="00C62779" w:rsidP="00591B52">
            <w:pPr>
              <w:pStyle w:val="TAL"/>
              <w:rPr>
                <w:sz w:val="16"/>
                <w:szCs w:val="16"/>
              </w:rPr>
            </w:pPr>
            <w:r w:rsidRPr="00873B6C">
              <w:rPr>
                <w:sz w:val="16"/>
                <w:szCs w:val="16"/>
              </w:rPr>
              <w:t>5</w:t>
            </w:r>
          </w:p>
        </w:tc>
        <w:tc>
          <w:tcPr>
            <w:tcW w:w="425" w:type="dxa"/>
            <w:shd w:val="solid" w:color="FFFFFF" w:fill="auto"/>
          </w:tcPr>
          <w:p w14:paraId="24ABBAE7" w14:textId="68228435" w:rsidR="00C62779" w:rsidRPr="00873B6C" w:rsidRDefault="00C62779" w:rsidP="00591B52">
            <w:pPr>
              <w:pStyle w:val="TAL"/>
              <w:rPr>
                <w:sz w:val="16"/>
                <w:szCs w:val="16"/>
              </w:rPr>
            </w:pPr>
            <w:r w:rsidRPr="00873B6C">
              <w:rPr>
                <w:sz w:val="16"/>
                <w:szCs w:val="16"/>
              </w:rPr>
              <w:t>F</w:t>
            </w:r>
          </w:p>
        </w:tc>
        <w:tc>
          <w:tcPr>
            <w:tcW w:w="4820" w:type="dxa"/>
            <w:shd w:val="solid" w:color="FFFFFF" w:fill="auto"/>
          </w:tcPr>
          <w:p w14:paraId="6B2DFE71" w14:textId="0F36E35D" w:rsidR="00C62779" w:rsidRPr="00873B6C" w:rsidRDefault="00C62779" w:rsidP="00591B52">
            <w:pPr>
              <w:pStyle w:val="TAL"/>
              <w:rPr>
                <w:sz w:val="16"/>
                <w:szCs w:val="16"/>
              </w:rPr>
            </w:pPr>
            <w:r w:rsidRPr="00873B6C">
              <w:rPr>
                <w:sz w:val="16"/>
                <w:szCs w:val="16"/>
              </w:rPr>
              <w:t>Addressing EN on Downlink packet handling for UE with CM-IDLE mode when outside of slice support area</w:t>
            </w:r>
          </w:p>
        </w:tc>
        <w:tc>
          <w:tcPr>
            <w:tcW w:w="708" w:type="dxa"/>
            <w:shd w:val="solid" w:color="FFFFFF" w:fill="auto"/>
          </w:tcPr>
          <w:p w14:paraId="5E871CAD" w14:textId="47BD0ECC" w:rsidR="00C62779" w:rsidRPr="00873B6C" w:rsidRDefault="00C62779" w:rsidP="00591B52">
            <w:pPr>
              <w:pStyle w:val="TAC"/>
              <w:rPr>
                <w:sz w:val="16"/>
                <w:szCs w:val="16"/>
              </w:rPr>
            </w:pPr>
            <w:r w:rsidRPr="00873B6C">
              <w:rPr>
                <w:sz w:val="16"/>
                <w:szCs w:val="16"/>
              </w:rPr>
              <w:t>18.4.0</w:t>
            </w:r>
          </w:p>
        </w:tc>
      </w:tr>
      <w:tr w:rsidR="00C62779" w:rsidRPr="00873B6C" w14:paraId="4422A5A1" w14:textId="77777777" w:rsidTr="009D14FB">
        <w:tc>
          <w:tcPr>
            <w:tcW w:w="800" w:type="dxa"/>
            <w:shd w:val="solid" w:color="FFFFFF" w:fill="auto"/>
          </w:tcPr>
          <w:p w14:paraId="3B9B248F" w14:textId="0038EDF4" w:rsidR="00C62779" w:rsidRPr="00873B6C" w:rsidRDefault="00C62779" w:rsidP="00591B52">
            <w:pPr>
              <w:pStyle w:val="TAC"/>
              <w:rPr>
                <w:sz w:val="16"/>
                <w:szCs w:val="16"/>
              </w:rPr>
            </w:pPr>
            <w:r w:rsidRPr="00873B6C">
              <w:rPr>
                <w:sz w:val="16"/>
                <w:szCs w:val="16"/>
              </w:rPr>
              <w:t>2023-12</w:t>
            </w:r>
          </w:p>
        </w:tc>
        <w:tc>
          <w:tcPr>
            <w:tcW w:w="800" w:type="dxa"/>
            <w:shd w:val="solid" w:color="FFFFFF" w:fill="auto"/>
          </w:tcPr>
          <w:p w14:paraId="49D65E7C" w14:textId="230D62AA" w:rsidR="00C62779" w:rsidRPr="00873B6C" w:rsidRDefault="00C62779" w:rsidP="00591B52">
            <w:pPr>
              <w:pStyle w:val="TAL"/>
              <w:rPr>
                <w:sz w:val="16"/>
                <w:szCs w:val="16"/>
              </w:rPr>
            </w:pPr>
            <w:r w:rsidRPr="00873B6C">
              <w:rPr>
                <w:sz w:val="16"/>
                <w:szCs w:val="16"/>
              </w:rPr>
              <w:t>SP#102</w:t>
            </w:r>
          </w:p>
        </w:tc>
        <w:tc>
          <w:tcPr>
            <w:tcW w:w="1094" w:type="dxa"/>
            <w:shd w:val="solid" w:color="FFFFFF" w:fill="auto"/>
          </w:tcPr>
          <w:p w14:paraId="3FF3A166" w14:textId="449ECD27" w:rsidR="00C62779" w:rsidRPr="00873B6C" w:rsidRDefault="00C62779" w:rsidP="00591B52">
            <w:pPr>
              <w:pStyle w:val="TAC"/>
              <w:rPr>
                <w:sz w:val="16"/>
                <w:szCs w:val="16"/>
              </w:rPr>
            </w:pPr>
            <w:r w:rsidRPr="00873B6C">
              <w:rPr>
                <w:sz w:val="16"/>
                <w:szCs w:val="16"/>
              </w:rPr>
              <w:t>SP-231273</w:t>
            </w:r>
          </w:p>
        </w:tc>
        <w:tc>
          <w:tcPr>
            <w:tcW w:w="567" w:type="dxa"/>
            <w:shd w:val="solid" w:color="FFFFFF" w:fill="auto"/>
          </w:tcPr>
          <w:p w14:paraId="0083A48B" w14:textId="538ED000" w:rsidR="00C62779" w:rsidRPr="00873B6C" w:rsidRDefault="00C62779" w:rsidP="00591B52">
            <w:pPr>
              <w:pStyle w:val="TAL"/>
              <w:rPr>
                <w:sz w:val="16"/>
                <w:szCs w:val="16"/>
              </w:rPr>
            </w:pPr>
            <w:r w:rsidRPr="00873B6C">
              <w:rPr>
                <w:sz w:val="16"/>
                <w:szCs w:val="16"/>
              </w:rPr>
              <w:t>5039</w:t>
            </w:r>
          </w:p>
        </w:tc>
        <w:tc>
          <w:tcPr>
            <w:tcW w:w="425" w:type="dxa"/>
            <w:shd w:val="solid" w:color="FFFFFF" w:fill="auto"/>
          </w:tcPr>
          <w:p w14:paraId="554C1DD8" w14:textId="28CE79BA" w:rsidR="00C62779" w:rsidRPr="00873B6C" w:rsidRDefault="00C62779" w:rsidP="00591B52">
            <w:pPr>
              <w:pStyle w:val="TAL"/>
              <w:rPr>
                <w:sz w:val="16"/>
                <w:szCs w:val="16"/>
              </w:rPr>
            </w:pPr>
            <w:r w:rsidRPr="00873B6C">
              <w:rPr>
                <w:sz w:val="16"/>
                <w:szCs w:val="16"/>
              </w:rPr>
              <w:t>4</w:t>
            </w:r>
          </w:p>
        </w:tc>
        <w:tc>
          <w:tcPr>
            <w:tcW w:w="425" w:type="dxa"/>
            <w:shd w:val="solid" w:color="FFFFFF" w:fill="auto"/>
          </w:tcPr>
          <w:p w14:paraId="6421CDE5" w14:textId="1420935D" w:rsidR="00C62779" w:rsidRPr="00873B6C" w:rsidRDefault="00C62779" w:rsidP="00591B52">
            <w:pPr>
              <w:pStyle w:val="TAL"/>
              <w:rPr>
                <w:sz w:val="16"/>
                <w:szCs w:val="16"/>
              </w:rPr>
            </w:pPr>
            <w:r w:rsidRPr="00873B6C">
              <w:rPr>
                <w:sz w:val="16"/>
                <w:szCs w:val="16"/>
              </w:rPr>
              <w:t>F</w:t>
            </w:r>
          </w:p>
        </w:tc>
        <w:tc>
          <w:tcPr>
            <w:tcW w:w="4820" w:type="dxa"/>
            <w:shd w:val="solid" w:color="FFFFFF" w:fill="auto"/>
          </w:tcPr>
          <w:p w14:paraId="7FE4BB1B" w14:textId="40C21281" w:rsidR="00C62779" w:rsidRPr="00873B6C" w:rsidRDefault="00C62779" w:rsidP="00591B52">
            <w:pPr>
              <w:pStyle w:val="TAL"/>
              <w:rPr>
                <w:sz w:val="16"/>
                <w:szCs w:val="16"/>
              </w:rPr>
            </w:pPr>
            <w:r w:rsidRPr="00873B6C">
              <w:rPr>
                <w:sz w:val="16"/>
                <w:szCs w:val="16"/>
              </w:rPr>
              <w:t>Clarifications of Event ID broadcast in SIB9</w:t>
            </w:r>
          </w:p>
        </w:tc>
        <w:tc>
          <w:tcPr>
            <w:tcW w:w="708" w:type="dxa"/>
            <w:shd w:val="solid" w:color="FFFFFF" w:fill="auto"/>
          </w:tcPr>
          <w:p w14:paraId="04EAF0C0" w14:textId="704CAFC9" w:rsidR="00C62779" w:rsidRPr="00873B6C" w:rsidRDefault="00C62779" w:rsidP="00591B52">
            <w:pPr>
              <w:pStyle w:val="TAC"/>
              <w:rPr>
                <w:sz w:val="16"/>
                <w:szCs w:val="16"/>
              </w:rPr>
            </w:pPr>
            <w:r w:rsidRPr="00873B6C">
              <w:rPr>
                <w:sz w:val="16"/>
                <w:szCs w:val="16"/>
              </w:rPr>
              <w:t>18.4.0</w:t>
            </w:r>
          </w:p>
        </w:tc>
      </w:tr>
      <w:tr w:rsidR="00FE24CE" w:rsidRPr="00873B6C" w14:paraId="3B046317" w14:textId="77777777" w:rsidTr="009D14FB">
        <w:tc>
          <w:tcPr>
            <w:tcW w:w="800" w:type="dxa"/>
            <w:shd w:val="solid" w:color="FFFFFF" w:fill="auto"/>
          </w:tcPr>
          <w:p w14:paraId="3F39FA1B" w14:textId="325A3662"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2E3CC3A3" w14:textId="49E51CF3"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6C2A1848" w14:textId="01601B6B" w:rsidR="00FE24CE" w:rsidRPr="00873B6C" w:rsidRDefault="00FE24CE" w:rsidP="00591B52">
            <w:pPr>
              <w:pStyle w:val="TAC"/>
              <w:rPr>
                <w:sz w:val="16"/>
                <w:szCs w:val="16"/>
              </w:rPr>
            </w:pPr>
            <w:r w:rsidRPr="00873B6C">
              <w:rPr>
                <w:sz w:val="16"/>
                <w:szCs w:val="16"/>
              </w:rPr>
              <w:t>SP-231248</w:t>
            </w:r>
          </w:p>
        </w:tc>
        <w:tc>
          <w:tcPr>
            <w:tcW w:w="567" w:type="dxa"/>
            <w:shd w:val="solid" w:color="FFFFFF" w:fill="auto"/>
          </w:tcPr>
          <w:p w14:paraId="25F27AB8" w14:textId="75947DD3" w:rsidR="00FE24CE" w:rsidRPr="00873B6C" w:rsidRDefault="00FE24CE" w:rsidP="00591B52">
            <w:pPr>
              <w:pStyle w:val="TAL"/>
              <w:rPr>
                <w:sz w:val="16"/>
                <w:szCs w:val="16"/>
              </w:rPr>
            </w:pPr>
            <w:r w:rsidRPr="00873B6C">
              <w:rPr>
                <w:sz w:val="16"/>
                <w:szCs w:val="16"/>
              </w:rPr>
              <w:t>5041</w:t>
            </w:r>
          </w:p>
        </w:tc>
        <w:tc>
          <w:tcPr>
            <w:tcW w:w="425" w:type="dxa"/>
            <w:shd w:val="solid" w:color="FFFFFF" w:fill="auto"/>
          </w:tcPr>
          <w:p w14:paraId="625AA25C" w14:textId="5CAC08E7" w:rsidR="00FE24CE" w:rsidRPr="00873B6C" w:rsidRDefault="00FE24CE" w:rsidP="00591B52">
            <w:pPr>
              <w:pStyle w:val="TAL"/>
              <w:rPr>
                <w:sz w:val="16"/>
                <w:szCs w:val="16"/>
              </w:rPr>
            </w:pPr>
            <w:r w:rsidRPr="00873B6C">
              <w:rPr>
                <w:sz w:val="16"/>
                <w:szCs w:val="16"/>
              </w:rPr>
              <w:t>3</w:t>
            </w:r>
          </w:p>
        </w:tc>
        <w:tc>
          <w:tcPr>
            <w:tcW w:w="425" w:type="dxa"/>
            <w:shd w:val="solid" w:color="FFFFFF" w:fill="auto"/>
          </w:tcPr>
          <w:p w14:paraId="4A138222" w14:textId="4EDE6C7F"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69741C9A" w14:textId="45F5112A" w:rsidR="00FE24CE" w:rsidRPr="00873B6C" w:rsidRDefault="00FE24CE" w:rsidP="00591B52">
            <w:pPr>
              <w:pStyle w:val="TAL"/>
              <w:rPr>
                <w:sz w:val="16"/>
                <w:szCs w:val="16"/>
              </w:rPr>
            </w:pPr>
            <w:r w:rsidRPr="00873B6C">
              <w:rPr>
                <w:sz w:val="16"/>
                <w:szCs w:val="16"/>
              </w:rPr>
              <w:t>Support of NR coverage enhancements</w:t>
            </w:r>
          </w:p>
        </w:tc>
        <w:tc>
          <w:tcPr>
            <w:tcW w:w="708" w:type="dxa"/>
            <w:shd w:val="solid" w:color="FFFFFF" w:fill="auto"/>
          </w:tcPr>
          <w:p w14:paraId="267A4060" w14:textId="65A0479B" w:rsidR="00FE24CE" w:rsidRPr="00873B6C" w:rsidRDefault="00FE24CE" w:rsidP="00591B52">
            <w:pPr>
              <w:pStyle w:val="TAC"/>
              <w:rPr>
                <w:sz w:val="16"/>
                <w:szCs w:val="16"/>
              </w:rPr>
            </w:pPr>
            <w:r w:rsidRPr="00873B6C">
              <w:rPr>
                <w:sz w:val="16"/>
                <w:szCs w:val="16"/>
              </w:rPr>
              <w:t>18.4.0</w:t>
            </w:r>
          </w:p>
        </w:tc>
      </w:tr>
      <w:tr w:rsidR="00FE24CE" w:rsidRPr="00873B6C" w14:paraId="39D4A6B0" w14:textId="77777777" w:rsidTr="009D14FB">
        <w:tc>
          <w:tcPr>
            <w:tcW w:w="800" w:type="dxa"/>
            <w:shd w:val="solid" w:color="FFFFFF" w:fill="auto"/>
          </w:tcPr>
          <w:p w14:paraId="74543ADF" w14:textId="2E0B8E72"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5E637DBD" w14:textId="0C648375"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29DB97E6" w14:textId="1BB3B8DE" w:rsidR="00FE24CE" w:rsidRPr="00873B6C" w:rsidRDefault="00FE24CE" w:rsidP="00591B52">
            <w:pPr>
              <w:pStyle w:val="TAC"/>
              <w:rPr>
                <w:sz w:val="16"/>
                <w:szCs w:val="16"/>
              </w:rPr>
            </w:pPr>
            <w:r w:rsidRPr="00873B6C">
              <w:rPr>
                <w:sz w:val="16"/>
                <w:szCs w:val="16"/>
              </w:rPr>
              <w:t>SP-231248</w:t>
            </w:r>
          </w:p>
        </w:tc>
        <w:tc>
          <w:tcPr>
            <w:tcW w:w="567" w:type="dxa"/>
            <w:shd w:val="solid" w:color="FFFFFF" w:fill="auto"/>
          </w:tcPr>
          <w:p w14:paraId="685F1D08" w14:textId="0713E365" w:rsidR="00FE24CE" w:rsidRPr="00873B6C" w:rsidRDefault="00FE24CE" w:rsidP="00591B52">
            <w:pPr>
              <w:pStyle w:val="TAL"/>
              <w:rPr>
                <w:sz w:val="16"/>
                <w:szCs w:val="16"/>
              </w:rPr>
            </w:pPr>
            <w:r w:rsidRPr="00873B6C">
              <w:rPr>
                <w:sz w:val="16"/>
                <w:szCs w:val="16"/>
              </w:rPr>
              <w:t>5043</w:t>
            </w:r>
          </w:p>
        </w:tc>
        <w:tc>
          <w:tcPr>
            <w:tcW w:w="425" w:type="dxa"/>
            <w:shd w:val="solid" w:color="FFFFFF" w:fill="auto"/>
          </w:tcPr>
          <w:p w14:paraId="23E9AAE1" w14:textId="21073C89" w:rsidR="00FE24CE" w:rsidRPr="00873B6C" w:rsidRDefault="00FE24CE" w:rsidP="00591B52">
            <w:pPr>
              <w:pStyle w:val="TAL"/>
              <w:rPr>
                <w:sz w:val="16"/>
                <w:szCs w:val="16"/>
              </w:rPr>
            </w:pPr>
            <w:r w:rsidRPr="00873B6C">
              <w:rPr>
                <w:sz w:val="16"/>
                <w:szCs w:val="16"/>
              </w:rPr>
              <w:t>2</w:t>
            </w:r>
          </w:p>
        </w:tc>
        <w:tc>
          <w:tcPr>
            <w:tcW w:w="425" w:type="dxa"/>
            <w:shd w:val="solid" w:color="FFFFFF" w:fill="auto"/>
          </w:tcPr>
          <w:p w14:paraId="564D2D96" w14:textId="2DAA1901"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69DAC801" w14:textId="718E0EE8" w:rsidR="00FE24CE" w:rsidRPr="00873B6C" w:rsidRDefault="00FE24CE" w:rsidP="00591B52">
            <w:pPr>
              <w:pStyle w:val="TAL"/>
              <w:rPr>
                <w:sz w:val="16"/>
                <w:szCs w:val="16"/>
              </w:rPr>
            </w:pPr>
            <w:r w:rsidRPr="00873B6C">
              <w:rPr>
                <w:sz w:val="16"/>
                <w:szCs w:val="16"/>
              </w:rPr>
              <w:t>Relaxation of 5QI delay requirements for first packets should also apply for RRC-INACTIVE mode and for other best effort 5QIs</w:t>
            </w:r>
          </w:p>
        </w:tc>
        <w:tc>
          <w:tcPr>
            <w:tcW w:w="708" w:type="dxa"/>
            <w:shd w:val="solid" w:color="FFFFFF" w:fill="auto"/>
          </w:tcPr>
          <w:p w14:paraId="0937B984" w14:textId="71DEC86C" w:rsidR="00FE24CE" w:rsidRPr="00873B6C" w:rsidRDefault="00FE24CE" w:rsidP="00591B52">
            <w:pPr>
              <w:pStyle w:val="TAC"/>
              <w:rPr>
                <w:sz w:val="16"/>
                <w:szCs w:val="16"/>
              </w:rPr>
            </w:pPr>
            <w:r w:rsidRPr="00873B6C">
              <w:rPr>
                <w:sz w:val="16"/>
                <w:szCs w:val="16"/>
              </w:rPr>
              <w:t>18.4.0</w:t>
            </w:r>
          </w:p>
        </w:tc>
      </w:tr>
      <w:tr w:rsidR="00FE24CE" w:rsidRPr="00873B6C" w14:paraId="4C306AE2" w14:textId="77777777" w:rsidTr="009D14FB">
        <w:tc>
          <w:tcPr>
            <w:tcW w:w="800" w:type="dxa"/>
            <w:shd w:val="solid" w:color="FFFFFF" w:fill="auto"/>
          </w:tcPr>
          <w:p w14:paraId="18F1ADF5" w14:textId="78812D46"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0AAB4701" w14:textId="0EB2DA15"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67CFB146" w14:textId="4F9D9568" w:rsidR="00FE24CE" w:rsidRPr="00873B6C" w:rsidRDefault="00FE24CE" w:rsidP="00591B52">
            <w:pPr>
              <w:pStyle w:val="TAC"/>
              <w:rPr>
                <w:sz w:val="16"/>
                <w:szCs w:val="16"/>
              </w:rPr>
            </w:pPr>
            <w:r w:rsidRPr="00873B6C">
              <w:rPr>
                <w:sz w:val="16"/>
                <w:szCs w:val="16"/>
              </w:rPr>
              <w:t>SP-231239</w:t>
            </w:r>
          </w:p>
        </w:tc>
        <w:tc>
          <w:tcPr>
            <w:tcW w:w="567" w:type="dxa"/>
            <w:shd w:val="solid" w:color="FFFFFF" w:fill="auto"/>
          </w:tcPr>
          <w:p w14:paraId="25D0C850" w14:textId="7E6510A5" w:rsidR="00FE24CE" w:rsidRPr="00873B6C" w:rsidRDefault="00FE24CE" w:rsidP="00591B52">
            <w:pPr>
              <w:pStyle w:val="TAL"/>
              <w:rPr>
                <w:sz w:val="16"/>
                <w:szCs w:val="16"/>
              </w:rPr>
            </w:pPr>
            <w:r w:rsidRPr="00873B6C">
              <w:rPr>
                <w:sz w:val="16"/>
                <w:szCs w:val="16"/>
              </w:rPr>
              <w:t>5054</w:t>
            </w:r>
          </w:p>
        </w:tc>
        <w:tc>
          <w:tcPr>
            <w:tcW w:w="425" w:type="dxa"/>
            <w:shd w:val="solid" w:color="FFFFFF" w:fill="auto"/>
          </w:tcPr>
          <w:p w14:paraId="55A15E88" w14:textId="063C92EA" w:rsidR="00FE24CE" w:rsidRPr="00873B6C" w:rsidRDefault="00FE24CE" w:rsidP="00591B52">
            <w:pPr>
              <w:pStyle w:val="TAL"/>
              <w:rPr>
                <w:sz w:val="16"/>
                <w:szCs w:val="16"/>
              </w:rPr>
            </w:pPr>
            <w:r w:rsidRPr="00873B6C">
              <w:rPr>
                <w:sz w:val="16"/>
                <w:szCs w:val="16"/>
              </w:rPr>
              <w:t>1</w:t>
            </w:r>
          </w:p>
        </w:tc>
        <w:tc>
          <w:tcPr>
            <w:tcW w:w="425" w:type="dxa"/>
            <w:shd w:val="solid" w:color="FFFFFF" w:fill="auto"/>
          </w:tcPr>
          <w:p w14:paraId="2AB46D76" w14:textId="5CDCCFFB" w:rsidR="00FE24CE" w:rsidRPr="00873B6C" w:rsidRDefault="00FE24CE" w:rsidP="00591B52">
            <w:pPr>
              <w:pStyle w:val="TAL"/>
              <w:rPr>
                <w:sz w:val="16"/>
                <w:szCs w:val="16"/>
              </w:rPr>
            </w:pPr>
            <w:r w:rsidRPr="00873B6C">
              <w:rPr>
                <w:sz w:val="16"/>
                <w:szCs w:val="16"/>
              </w:rPr>
              <w:t>A</w:t>
            </w:r>
          </w:p>
        </w:tc>
        <w:tc>
          <w:tcPr>
            <w:tcW w:w="4820" w:type="dxa"/>
            <w:shd w:val="solid" w:color="FFFFFF" w:fill="auto"/>
          </w:tcPr>
          <w:p w14:paraId="66D80A7A" w14:textId="1E23BA22" w:rsidR="00FE24CE" w:rsidRPr="00873B6C" w:rsidRDefault="00FE24CE" w:rsidP="00591B52">
            <w:pPr>
              <w:pStyle w:val="TAL"/>
              <w:rPr>
                <w:sz w:val="16"/>
                <w:szCs w:val="16"/>
              </w:rPr>
            </w:pPr>
            <w:r w:rsidRPr="00873B6C">
              <w:rPr>
                <w:sz w:val="16"/>
                <w:szCs w:val="16"/>
              </w:rPr>
              <w:t>Addressing packet loss and first packet delay for public safety UEs</w:t>
            </w:r>
          </w:p>
        </w:tc>
        <w:tc>
          <w:tcPr>
            <w:tcW w:w="708" w:type="dxa"/>
            <w:shd w:val="solid" w:color="FFFFFF" w:fill="auto"/>
          </w:tcPr>
          <w:p w14:paraId="0916D685" w14:textId="5BA87E0C" w:rsidR="00FE24CE" w:rsidRPr="00873B6C" w:rsidRDefault="00FE24CE" w:rsidP="00591B52">
            <w:pPr>
              <w:pStyle w:val="TAC"/>
              <w:rPr>
                <w:sz w:val="16"/>
                <w:szCs w:val="16"/>
              </w:rPr>
            </w:pPr>
            <w:r w:rsidRPr="00873B6C">
              <w:rPr>
                <w:sz w:val="16"/>
                <w:szCs w:val="16"/>
              </w:rPr>
              <w:t>18.4.0</w:t>
            </w:r>
          </w:p>
        </w:tc>
      </w:tr>
      <w:tr w:rsidR="00FE24CE" w:rsidRPr="00873B6C" w14:paraId="4DB76A34" w14:textId="77777777" w:rsidTr="009D14FB">
        <w:tc>
          <w:tcPr>
            <w:tcW w:w="800" w:type="dxa"/>
            <w:shd w:val="solid" w:color="FFFFFF" w:fill="auto"/>
          </w:tcPr>
          <w:p w14:paraId="66F1200C" w14:textId="10723977"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4B674C7E" w14:textId="09134547"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54EE5956" w14:textId="2E9D6731" w:rsidR="00FE24CE" w:rsidRPr="00873B6C" w:rsidRDefault="00FE24CE" w:rsidP="00591B52">
            <w:pPr>
              <w:pStyle w:val="TAC"/>
              <w:rPr>
                <w:sz w:val="16"/>
                <w:szCs w:val="16"/>
              </w:rPr>
            </w:pPr>
            <w:r w:rsidRPr="00873B6C">
              <w:rPr>
                <w:sz w:val="16"/>
                <w:szCs w:val="16"/>
              </w:rPr>
              <w:t>SP-231248</w:t>
            </w:r>
          </w:p>
        </w:tc>
        <w:tc>
          <w:tcPr>
            <w:tcW w:w="567" w:type="dxa"/>
            <w:shd w:val="solid" w:color="FFFFFF" w:fill="auto"/>
          </w:tcPr>
          <w:p w14:paraId="56E610BB" w14:textId="43556D5D" w:rsidR="00FE24CE" w:rsidRPr="00873B6C" w:rsidRDefault="00FE24CE" w:rsidP="00591B52">
            <w:pPr>
              <w:pStyle w:val="TAL"/>
              <w:rPr>
                <w:sz w:val="16"/>
                <w:szCs w:val="16"/>
              </w:rPr>
            </w:pPr>
            <w:r w:rsidRPr="00873B6C">
              <w:rPr>
                <w:sz w:val="16"/>
                <w:szCs w:val="16"/>
              </w:rPr>
              <w:t>5062</w:t>
            </w:r>
          </w:p>
        </w:tc>
        <w:tc>
          <w:tcPr>
            <w:tcW w:w="425" w:type="dxa"/>
            <w:shd w:val="solid" w:color="FFFFFF" w:fill="auto"/>
          </w:tcPr>
          <w:p w14:paraId="531CC3A1" w14:textId="3F5167F2" w:rsidR="00FE24CE" w:rsidRPr="00873B6C" w:rsidRDefault="00FE24CE" w:rsidP="00591B52">
            <w:pPr>
              <w:pStyle w:val="TAL"/>
              <w:rPr>
                <w:sz w:val="16"/>
                <w:szCs w:val="16"/>
              </w:rPr>
            </w:pPr>
            <w:r w:rsidRPr="00873B6C">
              <w:rPr>
                <w:sz w:val="16"/>
                <w:szCs w:val="16"/>
              </w:rPr>
              <w:t>1</w:t>
            </w:r>
          </w:p>
        </w:tc>
        <w:tc>
          <w:tcPr>
            <w:tcW w:w="425" w:type="dxa"/>
            <w:shd w:val="solid" w:color="FFFFFF" w:fill="auto"/>
          </w:tcPr>
          <w:p w14:paraId="1189CE55" w14:textId="310D7C9E"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6EBD5A5C" w14:textId="6D727ABC" w:rsidR="00FE24CE" w:rsidRPr="00873B6C" w:rsidRDefault="00FE24CE" w:rsidP="00591B52">
            <w:pPr>
              <w:pStyle w:val="TAL"/>
              <w:rPr>
                <w:sz w:val="16"/>
                <w:szCs w:val="16"/>
              </w:rPr>
            </w:pPr>
            <w:r w:rsidRPr="00873B6C">
              <w:rPr>
                <w:sz w:val="16"/>
                <w:szCs w:val="16"/>
              </w:rPr>
              <w:t>Move text on providing a back-off timer to the UE during NSAC for maximum number of PDU Sessions</w:t>
            </w:r>
          </w:p>
        </w:tc>
        <w:tc>
          <w:tcPr>
            <w:tcW w:w="708" w:type="dxa"/>
            <w:shd w:val="solid" w:color="FFFFFF" w:fill="auto"/>
          </w:tcPr>
          <w:p w14:paraId="71406033" w14:textId="5BDB671F" w:rsidR="00FE24CE" w:rsidRPr="00873B6C" w:rsidRDefault="00FE24CE" w:rsidP="00591B52">
            <w:pPr>
              <w:pStyle w:val="TAC"/>
              <w:rPr>
                <w:sz w:val="16"/>
                <w:szCs w:val="16"/>
              </w:rPr>
            </w:pPr>
            <w:r w:rsidRPr="00873B6C">
              <w:rPr>
                <w:sz w:val="16"/>
                <w:szCs w:val="16"/>
              </w:rPr>
              <w:t>18.4.0</w:t>
            </w:r>
          </w:p>
        </w:tc>
      </w:tr>
      <w:tr w:rsidR="00FE24CE" w:rsidRPr="00873B6C" w14:paraId="3D6DE8B2" w14:textId="77777777" w:rsidTr="009D14FB">
        <w:tc>
          <w:tcPr>
            <w:tcW w:w="800" w:type="dxa"/>
            <w:shd w:val="solid" w:color="FFFFFF" w:fill="auto"/>
          </w:tcPr>
          <w:p w14:paraId="7EBD66B2" w14:textId="3C84DC5E"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4319C1C3" w14:textId="5006C49C"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4E2B1C7F" w14:textId="236072E7" w:rsidR="00FE24CE" w:rsidRPr="00873B6C" w:rsidRDefault="00FE24CE" w:rsidP="00591B52">
            <w:pPr>
              <w:pStyle w:val="TAC"/>
              <w:rPr>
                <w:sz w:val="16"/>
                <w:szCs w:val="16"/>
              </w:rPr>
            </w:pPr>
            <w:r w:rsidRPr="00873B6C">
              <w:rPr>
                <w:sz w:val="16"/>
                <w:szCs w:val="16"/>
              </w:rPr>
              <w:t>SP-231259</w:t>
            </w:r>
          </w:p>
        </w:tc>
        <w:tc>
          <w:tcPr>
            <w:tcW w:w="567" w:type="dxa"/>
            <w:shd w:val="solid" w:color="FFFFFF" w:fill="auto"/>
          </w:tcPr>
          <w:p w14:paraId="66F118FD" w14:textId="2EB172EF" w:rsidR="00FE24CE" w:rsidRPr="00873B6C" w:rsidRDefault="00FE24CE" w:rsidP="00591B52">
            <w:pPr>
              <w:pStyle w:val="TAL"/>
              <w:rPr>
                <w:sz w:val="16"/>
                <w:szCs w:val="16"/>
              </w:rPr>
            </w:pPr>
            <w:r w:rsidRPr="00873B6C">
              <w:rPr>
                <w:sz w:val="16"/>
                <w:szCs w:val="16"/>
              </w:rPr>
              <w:t>5063</w:t>
            </w:r>
          </w:p>
        </w:tc>
        <w:tc>
          <w:tcPr>
            <w:tcW w:w="425" w:type="dxa"/>
            <w:shd w:val="solid" w:color="FFFFFF" w:fill="auto"/>
          </w:tcPr>
          <w:p w14:paraId="4A588E7B" w14:textId="689301A1" w:rsidR="00FE24CE" w:rsidRPr="00873B6C" w:rsidRDefault="00FE24CE" w:rsidP="00591B52">
            <w:pPr>
              <w:pStyle w:val="TAL"/>
              <w:rPr>
                <w:sz w:val="16"/>
                <w:szCs w:val="16"/>
              </w:rPr>
            </w:pPr>
            <w:r w:rsidRPr="00873B6C">
              <w:rPr>
                <w:sz w:val="16"/>
                <w:szCs w:val="16"/>
              </w:rPr>
              <w:t>2</w:t>
            </w:r>
          </w:p>
        </w:tc>
        <w:tc>
          <w:tcPr>
            <w:tcW w:w="425" w:type="dxa"/>
            <w:shd w:val="solid" w:color="FFFFFF" w:fill="auto"/>
          </w:tcPr>
          <w:p w14:paraId="425EE617" w14:textId="6AB27047"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4DADDF4A" w14:textId="5A8A381F" w:rsidR="00FE24CE" w:rsidRPr="00873B6C" w:rsidRDefault="00FE24CE" w:rsidP="00591B52">
            <w:pPr>
              <w:pStyle w:val="TAL"/>
              <w:rPr>
                <w:sz w:val="16"/>
                <w:szCs w:val="16"/>
              </w:rPr>
            </w:pPr>
            <w:r w:rsidRPr="00873B6C">
              <w:rPr>
                <w:sz w:val="16"/>
                <w:szCs w:val="16"/>
              </w:rPr>
              <w:t>ESNPN during registration for onboarding</w:t>
            </w:r>
          </w:p>
        </w:tc>
        <w:tc>
          <w:tcPr>
            <w:tcW w:w="708" w:type="dxa"/>
            <w:shd w:val="solid" w:color="FFFFFF" w:fill="auto"/>
          </w:tcPr>
          <w:p w14:paraId="225BF90B" w14:textId="0397DF6C" w:rsidR="00FE24CE" w:rsidRPr="00873B6C" w:rsidRDefault="00FE24CE" w:rsidP="00591B52">
            <w:pPr>
              <w:pStyle w:val="TAC"/>
              <w:rPr>
                <w:sz w:val="16"/>
                <w:szCs w:val="16"/>
              </w:rPr>
            </w:pPr>
            <w:r w:rsidRPr="00873B6C">
              <w:rPr>
                <w:sz w:val="16"/>
                <w:szCs w:val="16"/>
              </w:rPr>
              <w:t>18.4.0</w:t>
            </w:r>
          </w:p>
        </w:tc>
      </w:tr>
      <w:tr w:rsidR="00FE24CE" w:rsidRPr="00873B6C" w14:paraId="62B4B77F" w14:textId="77777777" w:rsidTr="009D14FB">
        <w:tc>
          <w:tcPr>
            <w:tcW w:w="800" w:type="dxa"/>
            <w:shd w:val="solid" w:color="FFFFFF" w:fill="auto"/>
          </w:tcPr>
          <w:p w14:paraId="6A378B79" w14:textId="49F06106"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6FEE88E1" w14:textId="25C6ED83"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2D061D78" w14:textId="7A8B0842" w:rsidR="00FE24CE" w:rsidRPr="00873B6C" w:rsidRDefault="00FE24CE" w:rsidP="00591B52">
            <w:pPr>
              <w:pStyle w:val="TAC"/>
              <w:rPr>
                <w:sz w:val="16"/>
                <w:szCs w:val="16"/>
              </w:rPr>
            </w:pPr>
            <w:r w:rsidRPr="00873B6C">
              <w:rPr>
                <w:sz w:val="16"/>
                <w:szCs w:val="16"/>
              </w:rPr>
              <w:t>SP-231259</w:t>
            </w:r>
          </w:p>
        </w:tc>
        <w:tc>
          <w:tcPr>
            <w:tcW w:w="567" w:type="dxa"/>
            <w:shd w:val="solid" w:color="FFFFFF" w:fill="auto"/>
          </w:tcPr>
          <w:p w14:paraId="5EA556A4" w14:textId="5B927542" w:rsidR="00FE24CE" w:rsidRPr="00873B6C" w:rsidRDefault="00FE24CE" w:rsidP="00591B52">
            <w:pPr>
              <w:pStyle w:val="TAL"/>
              <w:rPr>
                <w:sz w:val="16"/>
                <w:szCs w:val="16"/>
              </w:rPr>
            </w:pPr>
            <w:r w:rsidRPr="00873B6C">
              <w:rPr>
                <w:sz w:val="16"/>
                <w:szCs w:val="16"/>
              </w:rPr>
              <w:t>5064</w:t>
            </w:r>
          </w:p>
        </w:tc>
        <w:tc>
          <w:tcPr>
            <w:tcW w:w="425" w:type="dxa"/>
            <w:shd w:val="solid" w:color="FFFFFF" w:fill="auto"/>
          </w:tcPr>
          <w:p w14:paraId="07F9A773" w14:textId="1CA9476F" w:rsidR="00FE24CE" w:rsidRPr="00873B6C" w:rsidRDefault="00FE24CE" w:rsidP="00591B52">
            <w:pPr>
              <w:pStyle w:val="TAL"/>
              <w:rPr>
                <w:sz w:val="16"/>
                <w:szCs w:val="16"/>
              </w:rPr>
            </w:pPr>
            <w:r w:rsidRPr="00873B6C">
              <w:rPr>
                <w:sz w:val="16"/>
                <w:szCs w:val="16"/>
              </w:rPr>
              <w:t>2</w:t>
            </w:r>
          </w:p>
        </w:tc>
        <w:tc>
          <w:tcPr>
            <w:tcW w:w="425" w:type="dxa"/>
            <w:shd w:val="solid" w:color="FFFFFF" w:fill="auto"/>
          </w:tcPr>
          <w:p w14:paraId="0F99A067" w14:textId="25263ABA"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13AB36AF" w14:textId="46A7BD66" w:rsidR="00FE24CE" w:rsidRPr="00873B6C" w:rsidRDefault="00FE24CE" w:rsidP="00591B52">
            <w:pPr>
              <w:pStyle w:val="TAL"/>
              <w:rPr>
                <w:sz w:val="16"/>
                <w:szCs w:val="16"/>
              </w:rPr>
            </w:pPr>
            <w:r w:rsidRPr="00873B6C">
              <w:rPr>
                <w:sz w:val="16"/>
                <w:szCs w:val="16"/>
              </w:rPr>
              <w:t>Correction on automatic SNPN selection for localized service</w:t>
            </w:r>
          </w:p>
        </w:tc>
        <w:tc>
          <w:tcPr>
            <w:tcW w:w="708" w:type="dxa"/>
            <w:shd w:val="solid" w:color="FFFFFF" w:fill="auto"/>
          </w:tcPr>
          <w:p w14:paraId="2A5D91F2" w14:textId="2C19C500" w:rsidR="00FE24CE" w:rsidRPr="00873B6C" w:rsidRDefault="00FE24CE" w:rsidP="00591B52">
            <w:pPr>
              <w:pStyle w:val="TAC"/>
              <w:rPr>
                <w:sz w:val="16"/>
                <w:szCs w:val="16"/>
              </w:rPr>
            </w:pPr>
            <w:r w:rsidRPr="00873B6C">
              <w:rPr>
                <w:sz w:val="16"/>
                <w:szCs w:val="16"/>
              </w:rPr>
              <w:t>18.4.0</w:t>
            </w:r>
          </w:p>
        </w:tc>
      </w:tr>
      <w:tr w:rsidR="00FE24CE" w:rsidRPr="00873B6C" w14:paraId="37FE67DB" w14:textId="77777777" w:rsidTr="009D14FB">
        <w:tc>
          <w:tcPr>
            <w:tcW w:w="800" w:type="dxa"/>
            <w:shd w:val="solid" w:color="FFFFFF" w:fill="auto"/>
          </w:tcPr>
          <w:p w14:paraId="5C4F640F" w14:textId="35E30DDB"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6CBE8B08" w14:textId="62976778"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64E8AE36" w14:textId="084B99F6" w:rsidR="00FE24CE" w:rsidRPr="00873B6C" w:rsidRDefault="00FE24CE" w:rsidP="00591B52">
            <w:pPr>
              <w:pStyle w:val="TAC"/>
              <w:rPr>
                <w:sz w:val="16"/>
                <w:szCs w:val="16"/>
              </w:rPr>
            </w:pPr>
            <w:r w:rsidRPr="00873B6C">
              <w:rPr>
                <w:sz w:val="16"/>
                <w:szCs w:val="16"/>
              </w:rPr>
              <w:t>SP-231259</w:t>
            </w:r>
          </w:p>
        </w:tc>
        <w:tc>
          <w:tcPr>
            <w:tcW w:w="567" w:type="dxa"/>
            <w:shd w:val="solid" w:color="FFFFFF" w:fill="auto"/>
          </w:tcPr>
          <w:p w14:paraId="4D7034A5" w14:textId="6569496C" w:rsidR="00FE24CE" w:rsidRPr="00873B6C" w:rsidRDefault="00FE24CE" w:rsidP="00591B52">
            <w:pPr>
              <w:pStyle w:val="TAL"/>
              <w:rPr>
                <w:sz w:val="16"/>
                <w:szCs w:val="16"/>
              </w:rPr>
            </w:pPr>
            <w:r w:rsidRPr="00873B6C">
              <w:rPr>
                <w:sz w:val="16"/>
                <w:szCs w:val="16"/>
              </w:rPr>
              <w:t>5065</w:t>
            </w:r>
          </w:p>
        </w:tc>
        <w:tc>
          <w:tcPr>
            <w:tcW w:w="425" w:type="dxa"/>
            <w:shd w:val="solid" w:color="FFFFFF" w:fill="auto"/>
          </w:tcPr>
          <w:p w14:paraId="64A06E6A" w14:textId="1332A47B" w:rsidR="00FE24CE" w:rsidRPr="00873B6C" w:rsidRDefault="00FE24CE" w:rsidP="00591B52">
            <w:pPr>
              <w:pStyle w:val="TAL"/>
              <w:rPr>
                <w:sz w:val="16"/>
                <w:szCs w:val="16"/>
              </w:rPr>
            </w:pPr>
            <w:r w:rsidRPr="00873B6C">
              <w:rPr>
                <w:sz w:val="16"/>
                <w:szCs w:val="16"/>
              </w:rPr>
              <w:t>-</w:t>
            </w:r>
          </w:p>
        </w:tc>
        <w:tc>
          <w:tcPr>
            <w:tcW w:w="425" w:type="dxa"/>
            <w:shd w:val="solid" w:color="FFFFFF" w:fill="auto"/>
          </w:tcPr>
          <w:p w14:paraId="79B8B57E" w14:textId="18DCB9E9"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3E178C93" w14:textId="66D4CE19" w:rsidR="00FE24CE" w:rsidRPr="00873B6C" w:rsidRDefault="00FE24CE" w:rsidP="00591B52">
            <w:pPr>
              <w:pStyle w:val="TAL"/>
              <w:rPr>
                <w:sz w:val="16"/>
                <w:szCs w:val="16"/>
              </w:rPr>
            </w:pPr>
            <w:r w:rsidRPr="00873B6C">
              <w:rPr>
                <w:sz w:val="16"/>
                <w:szCs w:val="16"/>
              </w:rPr>
              <w:t>Clarification on LADN support in SNPN</w:t>
            </w:r>
          </w:p>
        </w:tc>
        <w:tc>
          <w:tcPr>
            <w:tcW w:w="708" w:type="dxa"/>
            <w:shd w:val="solid" w:color="FFFFFF" w:fill="auto"/>
          </w:tcPr>
          <w:p w14:paraId="2878A92A" w14:textId="0CF3869A" w:rsidR="00FE24CE" w:rsidRPr="00873B6C" w:rsidRDefault="00FE24CE" w:rsidP="00591B52">
            <w:pPr>
              <w:pStyle w:val="TAC"/>
              <w:rPr>
                <w:sz w:val="16"/>
                <w:szCs w:val="16"/>
              </w:rPr>
            </w:pPr>
            <w:r w:rsidRPr="00873B6C">
              <w:rPr>
                <w:sz w:val="16"/>
                <w:szCs w:val="16"/>
              </w:rPr>
              <w:t>18.4.0</w:t>
            </w:r>
          </w:p>
        </w:tc>
      </w:tr>
      <w:tr w:rsidR="00FE24CE" w:rsidRPr="00873B6C" w14:paraId="58777E86" w14:textId="77777777" w:rsidTr="009D14FB">
        <w:tc>
          <w:tcPr>
            <w:tcW w:w="800" w:type="dxa"/>
            <w:shd w:val="solid" w:color="FFFFFF" w:fill="auto"/>
          </w:tcPr>
          <w:p w14:paraId="5765C92B" w14:textId="7B3DD303"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76E34B23" w14:textId="0DD50F5B"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08C679BA" w14:textId="61B09A72" w:rsidR="00FE24CE" w:rsidRPr="00873B6C" w:rsidRDefault="00FE24CE" w:rsidP="00591B52">
            <w:pPr>
              <w:pStyle w:val="TAC"/>
              <w:rPr>
                <w:sz w:val="16"/>
                <w:szCs w:val="16"/>
              </w:rPr>
            </w:pPr>
            <w:r w:rsidRPr="00873B6C">
              <w:rPr>
                <w:sz w:val="16"/>
                <w:szCs w:val="16"/>
              </w:rPr>
              <w:t>SP-231276</w:t>
            </w:r>
          </w:p>
        </w:tc>
        <w:tc>
          <w:tcPr>
            <w:tcW w:w="567" w:type="dxa"/>
            <w:shd w:val="solid" w:color="FFFFFF" w:fill="auto"/>
          </w:tcPr>
          <w:p w14:paraId="4138795C" w14:textId="41BAD3E0" w:rsidR="00FE24CE" w:rsidRPr="00873B6C" w:rsidRDefault="00FE24CE" w:rsidP="00591B52">
            <w:pPr>
              <w:pStyle w:val="TAL"/>
              <w:rPr>
                <w:sz w:val="16"/>
                <w:szCs w:val="16"/>
              </w:rPr>
            </w:pPr>
            <w:r w:rsidRPr="00873B6C">
              <w:rPr>
                <w:sz w:val="16"/>
                <w:szCs w:val="16"/>
              </w:rPr>
              <w:t>5067</w:t>
            </w:r>
          </w:p>
        </w:tc>
        <w:tc>
          <w:tcPr>
            <w:tcW w:w="425" w:type="dxa"/>
            <w:shd w:val="solid" w:color="FFFFFF" w:fill="auto"/>
          </w:tcPr>
          <w:p w14:paraId="2E949F61" w14:textId="375F0C98" w:rsidR="00FE24CE" w:rsidRPr="00873B6C" w:rsidRDefault="00FE24CE" w:rsidP="00591B52">
            <w:pPr>
              <w:pStyle w:val="TAL"/>
              <w:rPr>
                <w:sz w:val="16"/>
                <w:szCs w:val="16"/>
              </w:rPr>
            </w:pPr>
            <w:r w:rsidRPr="00873B6C">
              <w:rPr>
                <w:sz w:val="16"/>
                <w:szCs w:val="16"/>
              </w:rPr>
              <w:t>1</w:t>
            </w:r>
          </w:p>
        </w:tc>
        <w:tc>
          <w:tcPr>
            <w:tcW w:w="425" w:type="dxa"/>
            <w:shd w:val="solid" w:color="FFFFFF" w:fill="auto"/>
          </w:tcPr>
          <w:p w14:paraId="16B327BB" w14:textId="5473035A"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7207DC17" w14:textId="5B546F42" w:rsidR="00FE24CE" w:rsidRPr="00873B6C" w:rsidRDefault="00FE24CE" w:rsidP="00591B52">
            <w:pPr>
              <w:pStyle w:val="TAL"/>
              <w:rPr>
                <w:sz w:val="16"/>
                <w:szCs w:val="16"/>
              </w:rPr>
            </w:pPr>
            <w:r w:rsidRPr="00873B6C">
              <w:rPr>
                <w:sz w:val="16"/>
                <w:szCs w:val="16"/>
              </w:rPr>
              <w:t xml:space="preserve">Clarification on delay in deregistration procedure </w:t>
            </w:r>
          </w:p>
        </w:tc>
        <w:tc>
          <w:tcPr>
            <w:tcW w:w="708" w:type="dxa"/>
            <w:shd w:val="solid" w:color="FFFFFF" w:fill="auto"/>
          </w:tcPr>
          <w:p w14:paraId="3293502C" w14:textId="513D0F77" w:rsidR="00FE24CE" w:rsidRPr="00873B6C" w:rsidRDefault="00FE24CE" w:rsidP="00591B52">
            <w:pPr>
              <w:pStyle w:val="TAC"/>
              <w:rPr>
                <w:sz w:val="16"/>
                <w:szCs w:val="16"/>
              </w:rPr>
            </w:pPr>
            <w:r w:rsidRPr="00873B6C">
              <w:rPr>
                <w:sz w:val="16"/>
                <w:szCs w:val="16"/>
              </w:rPr>
              <w:t>18.4.0</w:t>
            </w:r>
          </w:p>
        </w:tc>
      </w:tr>
      <w:tr w:rsidR="00FE24CE" w:rsidRPr="00873B6C" w14:paraId="3E7A3D93" w14:textId="77777777" w:rsidTr="009D14FB">
        <w:tc>
          <w:tcPr>
            <w:tcW w:w="800" w:type="dxa"/>
            <w:shd w:val="solid" w:color="FFFFFF" w:fill="auto"/>
          </w:tcPr>
          <w:p w14:paraId="51D66AFF" w14:textId="7299187A"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29D3A9B5" w14:textId="764CE59F"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38223BE7" w14:textId="7FF41587" w:rsidR="00FE24CE" w:rsidRPr="00873B6C" w:rsidRDefault="00FE24CE" w:rsidP="00591B52">
            <w:pPr>
              <w:pStyle w:val="TAC"/>
              <w:rPr>
                <w:sz w:val="16"/>
                <w:szCs w:val="16"/>
              </w:rPr>
            </w:pPr>
            <w:r w:rsidRPr="00873B6C">
              <w:rPr>
                <w:sz w:val="16"/>
                <w:szCs w:val="16"/>
              </w:rPr>
              <w:t>SP-231263</w:t>
            </w:r>
          </w:p>
        </w:tc>
        <w:tc>
          <w:tcPr>
            <w:tcW w:w="567" w:type="dxa"/>
            <w:shd w:val="solid" w:color="FFFFFF" w:fill="auto"/>
          </w:tcPr>
          <w:p w14:paraId="1460DAC5" w14:textId="7F11F4C7" w:rsidR="00FE24CE" w:rsidRPr="00873B6C" w:rsidRDefault="00FE24CE" w:rsidP="00591B52">
            <w:pPr>
              <w:pStyle w:val="TAL"/>
              <w:rPr>
                <w:sz w:val="16"/>
                <w:szCs w:val="16"/>
              </w:rPr>
            </w:pPr>
            <w:r w:rsidRPr="00873B6C">
              <w:rPr>
                <w:sz w:val="16"/>
                <w:szCs w:val="16"/>
              </w:rPr>
              <w:t>5070</w:t>
            </w:r>
          </w:p>
        </w:tc>
        <w:tc>
          <w:tcPr>
            <w:tcW w:w="425" w:type="dxa"/>
            <w:shd w:val="solid" w:color="FFFFFF" w:fill="auto"/>
          </w:tcPr>
          <w:p w14:paraId="62B586D7" w14:textId="6EE86569" w:rsidR="00FE24CE" w:rsidRPr="00873B6C" w:rsidRDefault="00FE24CE" w:rsidP="00591B52">
            <w:pPr>
              <w:pStyle w:val="TAL"/>
              <w:rPr>
                <w:sz w:val="16"/>
                <w:szCs w:val="16"/>
              </w:rPr>
            </w:pPr>
            <w:r w:rsidRPr="00873B6C">
              <w:rPr>
                <w:sz w:val="16"/>
                <w:szCs w:val="16"/>
              </w:rPr>
              <w:t>3</w:t>
            </w:r>
          </w:p>
        </w:tc>
        <w:tc>
          <w:tcPr>
            <w:tcW w:w="425" w:type="dxa"/>
            <w:shd w:val="solid" w:color="FFFFFF" w:fill="auto"/>
          </w:tcPr>
          <w:p w14:paraId="6902C6B0" w14:textId="6487555E"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2A8D2CF3" w14:textId="36E2EA77" w:rsidR="00FE24CE" w:rsidRPr="00873B6C" w:rsidRDefault="00FE24CE" w:rsidP="00591B52">
            <w:pPr>
              <w:pStyle w:val="TAL"/>
              <w:rPr>
                <w:sz w:val="16"/>
                <w:szCs w:val="16"/>
              </w:rPr>
            </w:pPr>
            <w:r w:rsidRPr="00873B6C">
              <w:rPr>
                <w:sz w:val="16"/>
                <w:szCs w:val="16"/>
              </w:rPr>
              <w:t>URSP delivery via EPS</w:t>
            </w:r>
          </w:p>
        </w:tc>
        <w:tc>
          <w:tcPr>
            <w:tcW w:w="708" w:type="dxa"/>
            <w:shd w:val="solid" w:color="FFFFFF" w:fill="auto"/>
          </w:tcPr>
          <w:p w14:paraId="0502260C" w14:textId="3A499F9D" w:rsidR="00FE24CE" w:rsidRPr="00873B6C" w:rsidRDefault="00FE24CE" w:rsidP="00591B52">
            <w:pPr>
              <w:pStyle w:val="TAC"/>
              <w:rPr>
                <w:sz w:val="16"/>
                <w:szCs w:val="16"/>
              </w:rPr>
            </w:pPr>
            <w:r w:rsidRPr="00873B6C">
              <w:rPr>
                <w:sz w:val="16"/>
                <w:szCs w:val="16"/>
              </w:rPr>
              <w:t>18.4.0</w:t>
            </w:r>
          </w:p>
        </w:tc>
      </w:tr>
      <w:tr w:rsidR="003B4BD9" w:rsidRPr="00873B6C" w14:paraId="2D7D7755" w14:textId="77777777" w:rsidTr="009D14FB">
        <w:tc>
          <w:tcPr>
            <w:tcW w:w="800" w:type="dxa"/>
            <w:shd w:val="solid" w:color="FFFFFF" w:fill="auto"/>
          </w:tcPr>
          <w:p w14:paraId="3EEED6A7" w14:textId="4157D16B" w:rsidR="003B4BD9" w:rsidRPr="00873B6C" w:rsidRDefault="003B4BD9" w:rsidP="00591B52">
            <w:pPr>
              <w:pStyle w:val="TAC"/>
              <w:rPr>
                <w:sz w:val="16"/>
                <w:szCs w:val="16"/>
              </w:rPr>
            </w:pPr>
            <w:r w:rsidRPr="00873B6C">
              <w:rPr>
                <w:sz w:val="16"/>
                <w:szCs w:val="16"/>
              </w:rPr>
              <w:t>2023-12</w:t>
            </w:r>
          </w:p>
        </w:tc>
        <w:tc>
          <w:tcPr>
            <w:tcW w:w="800" w:type="dxa"/>
            <w:shd w:val="solid" w:color="FFFFFF" w:fill="auto"/>
          </w:tcPr>
          <w:p w14:paraId="6BAD98F6" w14:textId="6109D208" w:rsidR="003B4BD9" w:rsidRPr="00873B6C" w:rsidRDefault="003B4BD9" w:rsidP="00591B52">
            <w:pPr>
              <w:pStyle w:val="TAL"/>
              <w:rPr>
                <w:sz w:val="16"/>
                <w:szCs w:val="16"/>
              </w:rPr>
            </w:pPr>
            <w:r w:rsidRPr="00873B6C">
              <w:rPr>
                <w:sz w:val="16"/>
                <w:szCs w:val="16"/>
              </w:rPr>
              <w:t>SP#102</w:t>
            </w:r>
          </w:p>
        </w:tc>
        <w:tc>
          <w:tcPr>
            <w:tcW w:w="1094" w:type="dxa"/>
            <w:shd w:val="solid" w:color="FFFFFF" w:fill="auto"/>
          </w:tcPr>
          <w:p w14:paraId="7DD1FC77" w14:textId="0C94E70D" w:rsidR="003B4BD9" w:rsidRPr="00873B6C" w:rsidRDefault="003B4BD9" w:rsidP="00591B52">
            <w:pPr>
              <w:pStyle w:val="TAC"/>
              <w:rPr>
                <w:sz w:val="16"/>
                <w:szCs w:val="16"/>
              </w:rPr>
            </w:pPr>
            <w:r w:rsidRPr="00873B6C">
              <w:rPr>
                <w:sz w:val="16"/>
                <w:szCs w:val="16"/>
              </w:rPr>
              <w:t>SP-231253</w:t>
            </w:r>
          </w:p>
        </w:tc>
        <w:tc>
          <w:tcPr>
            <w:tcW w:w="567" w:type="dxa"/>
            <w:shd w:val="solid" w:color="FFFFFF" w:fill="auto"/>
          </w:tcPr>
          <w:p w14:paraId="7BCF5F08" w14:textId="50CB66C7" w:rsidR="003B4BD9" w:rsidRPr="00873B6C" w:rsidRDefault="003B4BD9" w:rsidP="00591B52">
            <w:pPr>
              <w:pStyle w:val="TAL"/>
              <w:rPr>
                <w:sz w:val="16"/>
                <w:szCs w:val="16"/>
              </w:rPr>
            </w:pPr>
            <w:r w:rsidRPr="00873B6C">
              <w:rPr>
                <w:sz w:val="16"/>
                <w:szCs w:val="16"/>
              </w:rPr>
              <w:t>5073</w:t>
            </w:r>
          </w:p>
        </w:tc>
        <w:tc>
          <w:tcPr>
            <w:tcW w:w="425" w:type="dxa"/>
            <w:shd w:val="solid" w:color="FFFFFF" w:fill="auto"/>
          </w:tcPr>
          <w:p w14:paraId="5D7DB535" w14:textId="2632D362" w:rsidR="003B4BD9" w:rsidRPr="00873B6C" w:rsidRDefault="003B4BD9" w:rsidP="00591B52">
            <w:pPr>
              <w:pStyle w:val="TAL"/>
              <w:rPr>
                <w:sz w:val="16"/>
                <w:szCs w:val="16"/>
              </w:rPr>
            </w:pPr>
            <w:r w:rsidRPr="00873B6C">
              <w:rPr>
                <w:sz w:val="16"/>
                <w:szCs w:val="16"/>
              </w:rPr>
              <w:t>2</w:t>
            </w:r>
          </w:p>
        </w:tc>
        <w:tc>
          <w:tcPr>
            <w:tcW w:w="425" w:type="dxa"/>
            <w:shd w:val="solid" w:color="FFFFFF" w:fill="auto"/>
          </w:tcPr>
          <w:p w14:paraId="3A9DA379" w14:textId="06E43072" w:rsidR="003B4BD9" w:rsidRPr="00873B6C" w:rsidRDefault="003B4BD9" w:rsidP="00591B52">
            <w:pPr>
              <w:pStyle w:val="TAL"/>
              <w:rPr>
                <w:sz w:val="16"/>
                <w:szCs w:val="16"/>
              </w:rPr>
            </w:pPr>
            <w:r w:rsidRPr="00873B6C">
              <w:rPr>
                <w:sz w:val="16"/>
                <w:szCs w:val="16"/>
              </w:rPr>
              <w:t>F</w:t>
            </w:r>
          </w:p>
        </w:tc>
        <w:tc>
          <w:tcPr>
            <w:tcW w:w="4820" w:type="dxa"/>
            <w:shd w:val="solid" w:color="FFFFFF" w:fill="auto"/>
          </w:tcPr>
          <w:p w14:paraId="4C951E0A" w14:textId="7B2330B8" w:rsidR="003B4BD9" w:rsidRPr="00873B6C" w:rsidRDefault="003B4BD9" w:rsidP="00591B52">
            <w:pPr>
              <w:pStyle w:val="TAL"/>
              <w:rPr>
                <w:sz w:val="16"/>
                <w:szCs w:val="16"/>
              </w:rPr>
            </w:pPr>
            <w:r w:rsidRPr="00873B6C">
              <w:rPr>
                <w:sz w:val="16"/>
                <w:szCs w:val="16"/>
              </w:rPr>
              <w:t>Removal of Editor's Note on charging of AI/ML traffic</w:t>
            </w:r>
          </w:p>
        </w:tc>
        <w:tc>
          <w:tcPr>
            <w:tcW w:w="708" w:type="dxa"/>
            <w:shd w:val="solid" w:color="FFFFFF" w:fill="auto"/>
          </w:tcPr>
          <w:p w14:paraId="0FAE519C" w14:textId="1011029A" w:rsidR="003B4BD9" w:rsidRPr="00873B6C" w:rsidRDefault="003B4BD9" w:rsidP="00591B52">
            <w:pPr>
              <w:pStyle w:val="TAC"/>
              <w:rPr>
                <w:sz w:val="16"/>
                <w:szCs w:val="16"/>
              </w:rPr>
            </w:pPr>
            <w:r w:rsidRPr="00873B6C">
              <w:rPr>
                <w:sz w:val="16"/>
                <w:szCs w:val="16"/>
              </w:rPr>
              <w:t>18.4.0</w:t>
            </w:r>
          </w:p>
        </w:tc>
      </w:tr>
      <w:tr w:rsidR="003B4BD9" w:rsidRPr="00873B6C" w14:paraId="252C4E46" w14:textId="77777777" w:rsidTr="009D14FB">
        <w:tc>
          <w:tcPr>
            <w:tcW w:w="800" w:type="dxa"/>
            <w:shd w:val="solid" w:color="FFFFFF" w:fill="auto"/>
          </w:tcPr>
          <w:p w14:paraId="4F994DB1" w14:textId="2FC38B7A" w:rsidR="003B4BD9" w:rsidRPr="00873B6C" w:rsidRDefault="003B4BD9" w:rsidP="00591B52">
            <w:pPr>
              <w:pStyle w:val="TAC"/>
              <w:rPr>
                <w:sz w:val="16"/>
                <w:szCs w:val="16"/>
              </w:rPr>
            </w:pPr>
            <w:r w:rsidRPr="00873B6C">
              <w:rPr>
                <w:sz w:val="16"/>
                <w:szCs w:val="16"/>
              </w:rPr>
              <w:t>2023-12</w:t>
            </w:r>
          </w:p>
        </w:tc>
        <w:tc>
          <w:tcPr>
            <w:tcW w:w="800" w:type="dxa"/>
            <w:shd w:val="solid" w:color="FFFFFF" w:fill="auto"/>
          </w:tcPr>
          <w:p w14:paraId="47466354" w14:textId="7BCA9C10" w:rsidR="003B4BD9" w:rsidRPr="00873B6C" w:rsidRDefault="003B4BD9" w:rsidP="00591B52">
            <w:pPr>
              <w:pStyle w:val="TAL"/>
              <w:rPr>
                <w:sz w:val="16"/>
                <w:szCs w:val="16"/>
              </w:rPr>
            </w:pPr>
            <w:r w:rsidRPr="00873B6C">
              <w:rPr>
                <w:sz w:val="16"/>
                <w:szCs w:val="16"/>
              </w:rPr>
              <w:t>SP#102</w:t>
            </w:r>
          </w:p>
        </w:tc>
        <w:tc>
          <w:tcPr>
            <w:tcW w:w="1094" w:type="dxa"/>
            <w:shd w:val="solid" w:color="FFFFFF" w:fill="auto"/>
          </w:tcPr>
          <w:p w14:paraId="725D7A29" w14:textId="0E71F7F1" w:rsidR="003B4BD9" w:rsidRPr="00873B6C" w:rsidRDefault="003B4BD9" w:rsidP="00591B52">
            <w:pPr>
              <w:pStyle w:val="TAC"/>
              <w:rPr>
                <w:sz w:val="16"/>
                <w:szCs w:val="16"/>
              </w:rPr>
            </w:pPr>
            <w:r w:rsidRPr="00873B6C">
              <w:rPr>
                <w:sz w:val="16"/>
                <w:szCs w:val="16"/>
              </w:rPr>
              <w:t>SP-231277</w:t>
            </w:r>
          </w:p>
        </w:tc>
        <w:tc>
          <w:tcPr>
            <w:tcW w:w="567" w:type="dxa"/>
            <w:shd w:val="solid" w:color="FFFFFF" w:fill="auto"/>
          </w:tcPr>
          <w:p w14:paraId="07245F46" w14:textId="26D1FC5D" w:rsidR="003B4BD9" w:rsidRPr="00873B6C" w:rsidRDefault="003B4BD9" w:rsidP="00591B52">
            <w:pPr>
              <w:pStyle w:val="TAL"/>
              <w:rPr>
                <w:sz w:val="16"/>
                <w:szCs w:val="16"/>
              </w:rPr>
            </w:pPr>
            <w:r w:rsidRPr="00873B6C">
              <w:rPr>
                <w:sz w:val="16"/>
                <w:szCs w:val="16"/>
              </w:rPr>
              <w:t>5080</w:t>
            </w:r>
          </w:p>
        </w:tc>
        <w:tc>
          <w:tcPr>
            <w:tcW w:w="425" w:type="dxa"/>
            <w:shd w:val="solid" w:color="FFFFFF" w:fill="auto"/>
          </w:tcPr>
          <w:p w14:paraId="1967B4F5" w14:textId="60CB3AA6" w:rsidR="003B4BD9" w:rsidRPr="00873B6C" w:rsidRDefault="003B4BD9" w:rsidP="00591B52">
            <w:pPr>
              <w:pStyle w:val="TAL"/>
              <w:rPr>
                <w:sz w:val="16"/>
                <w:szCs w:val="16"/>
              </w:rPr>
            </w:pPr>
            <w:r w:rsidRPr="00873B6C">
              <w:rPr>
                <w:sz w:val="16"/>
                <w:szCs w:val="16"/>
              </w:rPr>
              <w:t>4</w:t>
            </w:r>
          </w:p>
        </w:tc>
        <w:tc>
          <w:tcPr>
            <w:tcW w:w="425" w:type="dxa"/>
            <w:shd w:val="solid" w:color="FFFFFF" w:fill="auto"/>
          </w:tcPr>
          <w:p w14:paraId="3A95DB25" w14:textId="6F95DB5A" w:rsidR="003B4BD9" w:rsidRPr="00873B6C" w:rsidRDefault="003B4BD9" w:rsidP="00591B52">
            <w:pPr>
              <w:pStyle w:val="TAL"/>
              <w:rPr>
                <w:sz w:val="16"/>
                <w:szCs w:val="16"/>
              </w:rPr>
            </w:pPr>
            <w:r w:rsidRPr="00873B6C">
              <w:rPr>
                <w:sz w:val="16"/>
                <w:szCs w:val="16"/>
              </w:rPr>
              <w:t>F</w:t>
            </w:r>
          </w:p>
        </w:tc>
        <w:tc>
          <w:tcPr>
            <w:tcW w:w="4820" w:type="dxa"/>
            <w:shd w:val="solid" w:color="FFFFFF" w:fill="auto"/>
          </w:tcPr>
          <w:p w14:paraId="2204E080" w14:textId="630CFEDC" w:rsidR="003B4BD9" w:rsidRPr="00873B6C" w:rsidRDefault="003B4BD9" w:rsidP="00591B52">
            <w:pPr>
              <w:pStyle w:val="TAL"/>
              <w:rPr>
                <w:sz w:val="16"/>
                <w:szCs w:val="16"/>
              </w:rPr>
            </w:pPr>
            <w:r w:rsidRPr="00873B6C">
              <w:rPr>
                <w:sz w:val="16"/>
                <w:szCs w:val="16"/>
              </w:rPr>
              <w:t xml:space="preserve">Support of PDU Set handling on a per direction basis </w:t>
            </w:r>
          </w:p>
        </w:tc>
        <w:tc>
          <w:tcPr>
            <w:tcW w:w="708" w:type="dxa"/>
            <w:shd w:val="solid" w:color="FFFFFF" w:fill="auto"/>
          </w:tcPr>
          <w:p w14:paraId="302561F9" w14:textId="049A1ECF" w:rsidR="003B4BD9" w:rsidRPr="00873B6C" w:rsidRDefault="003B4BD9" w:rsidP="00591B52">
            <w:pPr>
              <w:pStyle w:val="TAC"/>
              <w:rPr>
                <w:sz w:val="16"/>
                <w:szCs w:val="16"/>
              </w:rPr>
            </w:pPr>
            <w:r w:rsidRPr="00873B6C">
              <w:rPr>
                <w:sz w:val="16"/>
                <w:szCs w:val="16"/>
              </w:rPr>
              <w:t>18.4.0</w:t>
            </w:r>
          </w:p>
        </w:tc>
      </w:tr>
      <w:tr w:rsidR="00717746" w:rsidRPr="00873B6C" w14:paraId="06E0E4C8" w14:textId="77777777" w:rsidTr="009D14FB">
        <w:tc>
          <w:tcPr>
            <w:tcW w:w="800" w:type="dxa"/>
            <w:shd w:val="solid" w:color="FFFFFF" w:fill="auto"/>
          </w:tcPr>
          <w:p w14:paraId="6A4522D1" w14:textId="7CB59050" w:rsidR="00717746" w:rsidRPr="00873B6C" w:rsidRDefault="00717746" w:rsidP="00591B52">
            <w:pPr>
              <w:pStyle w:val="TAC"/>
              <w:rPr>
                <w:sz w:val="16"/>
                <w:szCs w:val="16"/>
              </w:rPr>
            </w:pPr>
            <w:r w:rsidRPr="00873B6C">
              <w:rPr>
                <w:sz w:val="16"/>
                <w:szCs w:val="16"/>
              </w:rPr>
              <w:t>2023-12</w:t>
            </w:r>
          </w:p>
        </w:tc>
        <w:tc>
          <w:tcPr>
            <w:tcW w:w="800" w:type="dxa"/>
            <w:shd w:val="solid" w:color="FFFFFF" w:fill="auto"/>
          </w:tcPr>
          <w:p w14:paraId="79559113" w14:textId="5C6E4E16" w:rsidR="00717746" w:rsidRPr="00873B6C" w:rsidRDefault="00717746" w:rsidP="00591B52">
            <w:pPr>
              <w:pStyle w:val="TAL"/>
              <w:rPr>
                <w:sz w:val="16"/>
                <w:szCs w:val="16"/>
              </w:rPr>
            </w:pPr>
            <w:r w:rsidRPr="00873B6C">
              <w:rPr>
                <w:sz w:val="16"/>
                <w:szCs w:val="16"/>
              </w:rPr>
              <w:t>SP#102</w:t>
            </w:r>
          </w:p>
        </w:tc>
        <w:tc>
          <w:tcPr>
            <w:tcW w:w="1094" w:type="dxa"/>
            <w:shd w:val="solid" w:color="FFFFFF" w:fill="auto"/>
          </w:tcPr>
          <w:p w14:paraId="62AB8E58" w14:textId="252FCB00" w:rsidR="00717746" w:rsidRPr="00873B6C" w:rsidRDefault="00717746" w:rsidP="00591B52">
            <w:pPr>
              <w:pStyle w:val="TAC"/>
              <w:rPr>
                <w:sz w:val="16"/>
                <w:szCs w:val="16"/>
              </w:rPr>
            </w:pPr>
            <w:r w:rsidRPr="00873B6C">
              <w:rPr>
                <w:sz w:val="16"/>
                <w:szCs w:val="16"/>
              </w:rPr>
              <w:t>SP-231269</w:t>
            </w:r>
          </w:p>
        </w:tc>
        <w:tc>
          <w:tcPr>
            <w:tcW w:w="567" w:type="dxa"/>
            <w:shd w:val="solid" w:color="FFFFFF" w:fill="auto"/>
          </w:tcPr>
          <w:p w14:paraId="6A80BD54" w14:textId="0EB69A1B" w:rsidR="00717746" w:rsidRPr="00873B6C" w:rsidRDefault="00717746" w:rsidP="00591B52">
            <w:pPr>
              <w:pStyle w:val="TAL"/>
              <w:rPr>
                <w:sz w:val="16"/>
                <w:szCs w:val="16"/>
              </w:rPr>
            </w:pPr>
            <w:r w:rsidRPr="00873B6C">
              <w:rPr>
                <w:sz w:val="16"/>
                <w:szCs w:val="16"/>
              </w:rPr>
              <w:t>5083</w:t>
            </w:r>
          </w:p>
        </w:tc>
        <w:tc>
          <w:tcPr>
            <w:tcW w:w="425" w:type="dxa"/>
            <w:shd w:val="solid" w:color="FFFFFF" w:fill="auto"/>
          </w:tcPr>
          <w:p w14:paraId="67EC26EA" w14:textId="0E42B7CE" w:rsidR="00717746" w:rsidRPr="00873B6C" w:rsidRDefault="00717746" w:rsidP="00591B52">
            <w:pPr>
              <w:pStyle w:val="TAL"/>
              <w:rPr>
                <w:sz w:val="16"/>
                <w:szCs w:val="16"/>
              </w:rPr>
            </w:pPr>
            <w:r w:rsidRPr="00873B6C">
              <w:rPr>
                <w:sz w:val="16"/>
                <w:szCs w:val="16"/>
              </w:rPr>
              <w:t>1</w:t>
            </w:r>
          </w:p>
        </w:tc>
        <w:tc>
          <w:tcPr>
            <w:tcW w:w="425" w:type="dxa"/>
            <w:shd w:val="solid" w:color="FFFFFF" w:fill="auto"/>
          </w:tcPr>
          <w:p w14:paraId="699DD252" w14:textId="309223F1" w:rsidR="00717746" w:rsidRPr="00873B6C" w:rsidRDefault="00717746" w:rsidP="00591B52">
            <w:pPr>
              <w:pStyle w:val="TAL"/>
              <w:rPr>
                <w:sz w:val="16"/>
                <w:szCs w:val="16"/>
              </w:rPr>
            </w:pPr>
            <w:r w:rsidRPr="00873B6C">
              <w:rPr>
                <w:sz w:val="16"/>
                <w:szCs w:val="16"/>
              </w:rPr>
              <w:t>F</w:t>
            </w:r>
          </w:p>
        </w:tc>
        <w:tc>
          <w:tcPr>
            <w:tcW w:w="4820" w:type="dxa"/>
            <w:shd w:val="solid" w:color="FFFFFF" w:fill="auto"/>
          </w:tcPr>
          <w:p w14:paraId="669A8288" w14:textId="7179A0AD" w:rsidR="00717746" w:rsidRPr="00873B6C" w:rsidRDefault="00717746" w:rsidP="00591B52">
            <w:pPr>
              <w:pStyle w:val="TAL"/>
              <w:rPr>
                <w:sz w:val="16"/>
                <w:szCs w:val="16"/>
              </w:rPr>
            </w:pPr>
            <w:r w:rsidRPr="00873B6C">
              <w:rPr>
                <w:sz w:val="16"/>
                <w:szCs w:val="16"/>
              </w:rPr>
              <w:t>AF for PIN description update</w:t>
            </w:r>
          </w:p>
        </w:tc>
        <w:tc>
          <w:tcPr>
            <w:tcW w:w="708" w:type="dxa"/>
            <w:shd w:val="solid" w:color="FFFFFF" w:fill="auto"/>
          </w:tcPr>
          <w:p w14:paraId="508E8714" w14:textId="6215FBAA" w:rsidR="00717746" w:rsidRPr="00873B6C" w:rsidRDefault="00717746" w:rsidP="00591B52">
            <w:pPr>
              <w:pStyle w:val="TAC"/>
              <w:rPr>
                <w:sz w:val="16"/>
                <w:szCs w:val="16"/>
              </w:rPr>
            </w:pPr>
            <w:r w:rsidRPr="00873B6C">
              <w:rPr>
                <w:sz w:val="16"/>
                <w:szCs w:val="16"/>
              </w:rPr>
              <w:t>18.4.0</w:t>
            </w:r>
          </w:p>
        </w:tc>
      </w:tr>
      <w:tr w:rsidR="00FA5436" w:rsidRPr="00873B6C" w14:paraId="68DEABB7" w14:textId="77777777" w:rsidTr="009D14FB">
        <w:tc>
          <w:tcPr>
            <w:tcW w:w="800" w:type="dxa"/>
            <w:shd w:val="solid" w:color="FFFFFF" w:fill="auto"/>
          </w:tcPr>
          <w:p w14:paraId="3E51FA1C" w14:textId="416E7820"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69F4E80D" w14:textId="46034C00"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7377196E" w14:textId="53D20C27" w:rsidR="00FA5436" w:rsidRPr="00873B6C" w:rsidRDefault="00FA5436" w:rsidP="00591B52">
            <w:pPr>
              <w:pStyle w:val="TAC"/>
              <w:rPr>
                <w:sz w:val="16"/>
                <w:szCs w:val="16"/>
              </w:rPr>
            </w:pPr>
            <w:r w:rsidRPr="00873B6C">
              <w:rPr>
                <w:sz w:val="16"/>
                <w:szCs w:val="16"/>
              </w:rPr>
              <w:t>SP-231269</w:t>
            </w:r>
          </w:p>
        </w:tc>
        <w:tc>
          <w:tcPr>
            <w:tcW w:w="567" w:type="dxa"/>
            <w:shd w:val="solid" w:color="FFFFFF" w:fill="auto"/>
          </w:tcPr>
          <w:p w14:paraId="3B178194" w14:textId="078776D1" w:rsidR="00FA5436" w:rsidRPr="00873B6C" w:rsidRDefault="00FA5436" w:rsidP="00591B52">
            <w:pPr>
              <w:pStyle w:val="TAL"/>
              <w:rPr>
                <w:sz w:val="16"/>
                <w:szCs w:val="16"/>
              </w:rPr>
            </w:pPr>
            <w:r w:rsidRPr="00873B6C">
              <w:rPr>
                <w:sz w:val="16"/>
                <w:szCs w:val="16"/>
              </w:rPr>
              <w:t>5084</w:t>
            </w:r>
          </w:p>
        </w:tc>
        <w:tc>
          <w:tcPr>
            <w:tcW w:w="425" w:type="dxa"/>
            <w:shd w:val="solid" w:color="FFFFFF" w:fill="auto"/>
          </w:tcPr>
          <w:p w14:paraId="0FD2E4E8" w14:textId="72E5E918" w:rsidR="00FA5436" w:rsidRPr="00873B6C" w:rsidRDefault="00FA5436" w:rsidP="00591B52">
            <w:pPr>
              <w:pStyle w:val="TAL"/>
              <w:rPr>
                <w:sz w:val="16"/>
                <w:szCs w:val="16"/>
              </w:rPr>
            </w:pPr>
            <w:r w:rsidRPr="00873B6C">
              <w:rPr>
                <w:sz w:val="16"/>
                <w:szCs w:val="16"/>
              </w:rPr>
              <w:t>-</w:t>
            </w:r>
          </w:p>
        </w:tc>
        <w:tc>
          <w:tcPr>
            <w:tcW w:w="425" w:type="dxa"/>
            <w:shd w:val="solid" w:color="FFFFFF" w:fill="auto"/>
          </w:tcPr>
          <w:p w14:paraId="28A45F77" w14:textId="792C2E42"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4EF2123" w14:textId="2EF79396" w:rsidR="00FA5436" w:rsidRPr="00873B6C" w:rsidRDefault="00FA5436" w:rsidP="00591B52">
            <w:pPr>
              <w:pStyle w:val="TAL"/>
              <w:rPr>
                <w:sz w:val="16"/>
                <w:szCs w:val="16"/>
              </w:rPr>
            </w:pPr>
            <w:r w:rsidRPr="00873B6C">
              <w:rPr>
                <w:sz w:val="16"/>
                <w:szCs w:val="16"/>
              </w:rPr>
              <w:t>Non-3GPP Delay clarification</w:t>
            </w:r>
          </w:p>
        </w:tc>
        <w:tc>
          <w:tcPr>
            <w:tcW w:w="708" w:type="dxa"/>
            <w:shd w:val="solid" w:color="FFFFFF" w:fill="auto"/>
          </w:tcPr>
          <w:p w14:paraId="24D70B71" w14:textId="6AE5B3D6" w:rsidR="00FA5436" w:rsidRPr="00873B6C" w:rsidRDefault="00FA5436" w:rsidP="00591B52">
            <w:pPr>
              <w:pStyle w:val="TAC"/>
              <w:rPr>
                <w:sz w:val="16"/>
                <w:szCs w:val="16"/>
              </w:rPr>
            </w:pPr>
            <w:r w:rsidRPr="00873B6C">
              <w:rPr>
                <w:sz w:val="16"/>
                <w:szCs w:val="16"/>
              </w:rPr>
              <w:t>18.4.0</w:t>
            </w:r>
          </w:p>
        </w:tc>
      </w:tr>
      <w:tr w:rsidR="00FA5436" w:rsidRPr="00873B6C" w14:paraId="77B8B01A" w14:textId="77777777" w:rsidTr="009D14FB">
        <w:tc>
          <w:tcPr>
            <w:tcW w:w="800" w:type="dxa"/>
            <w:shd w:val="solid" w:color="FFFFFF" w:fill="auto"/>
          </w:tcPr>
          <w:p w14:paraId="0822082D" w14:textId="0348DBF2"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1CA06DE8" w14:textId="1D2A8831"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51A522AA" w14:textId="10ED82DB" w:rsidR="00FA5436" w:rsidRPr="00873B6C" w:rsidRDefault="00FA5436" w:rsidP="00591B52">
            <w:pPr>
              <w:pStyle w:val="TAC"/>
              <w:rPr>
                <w:sz w:val="16"/>
                <w:szCs w:val="16"/>
              </w:rPr>
            </w:pPr>
            <w:r w:rsidRPr="00873B6C">
              <w:rPr>
                <w:sz w:val="16"/>
                <w:szCs w:val="16"/>
              </w:rPr>
              <w:t>SP-231276</w:t>
            </w:r>
          </w:p>
        </w:tc>
        <w:tc>
          <w:tcPr>
            <w:tcW w:w="567" w:type="dxa"/>
            <w:shd w:val="solid" w:color="FFFFFF" w:fill="auto"/>
          </w:tcPr>
          <w:p w14:paraId="472FB53D" w14:textId="03B778E7" w:rsidR="00FA5436" w:rsidRPr="00873B6C" w:rsidRDefault="00FA5436" w:rsidP="00591B52">
            <w:pPr>
              <w:pStyle w:val="TAL"/>
              <w:rPr>
                <w:sz w:val="16"/>
                <w:szCs w:val="16"/>
              </w:rPr>
            </w:pPr>
            <w:r w:rsidRPr="00873B6C">
              <w:rPr>
                <w:sz w:val="16"/>
                <w:szCs w:val="16"/>
              </w:rPr>
              <w:t>5085</w:t>
            </w:r>
          </w:p>
        </w:tc>
        <w:tc>
          <w:tcPr>
            <w:tcW w:w="425" w:type="dxa"/>
            <w:shd w:val="solid" w:color="FFFFFF" w:fill="auto"/>
          </w:tcPr>
          <w:p w14:paraId="0C48CB11" w14:textId="30A5E9C5" w:rsidR="00FA5436" w:rsidRPr="00873B6C" w:rsidRDefault="00FA5436" w:rsidP="00591B52">
            <w:pPr>
              <w:pStyle w:val="TAL"/>
              <w:rPr>
                <w:sz w:val="16"/>
                <w:szCs w:val="16"/>
              </w:rPr>
            </w:pPr>
            <w:r w:rsidRPr="00873B6C">
              <w:rPr>
                <w:sz w:val="16"/>
                <w:szCs w:val="16"/>
              </w:rPr>
              <w:t>3</w:t>
            </w:r>
          </w:p>
        </w:tc>
        <w:tc>
          <w:tcPr>
            <w:tcW w:w="425" w:type="dxa"/>
            <w:shd w:val="solid" w:color="FFFFFF" w:fill="auto"/>
          </w:tcPr>
          <w:p w14:paraId="5FA2FFD9" w14:textId="6805F8B7"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0B3E1C46" w14:textId="48236FA1" w:rsidR="00FA5436" w:rsidRPr="00873B6C" w:rsidRDefault="00FA5436" w:rsidP="00591B52">
            <w:pPr>
              <w:pStyle w:val="TAL"/>
              <w:rPr>
                <w:sz w:val="16"/>
                <w:szCs w:val="16"/>
              </w:rPr>
            </w:pPr>
            <w:r w:rsidRPr="00873B6C">
              <w:rPr>
                <w:sz w:val="16"/>
                <w:szCs w:val="16"/>
              </w:rPr>
              <w:t>MBSR authorization area restriction</w:t>
            </w:r>
          </w:p>
        </w:tc>
        <w:tc>
          <w:tcPr>
            <w:tcW w:w="708" w:type="dxa"/>
            <w:shd w:val="solid" w:color="FFFFFF" w:fill="auto"/>
          </w:tcPr>
          <w:p w14:paraId="68CF673E" w14:textId="127E4397" w:rsidR="00FA5436" w:rsidRPr="00873B6C" w:rsidRDefault="00FA5436" w:rsidP="00591B52">
            <w:pPr>
              <w:pStyle w:val="TAC"/>
              <w:rPr>
                <w:sz w:val="16"/>
                <w:szCs w:val="16"/>
              </w:rPr>
            </w:pPr>
            <w:r w:rsidRPr="00873B6C">
              <w:rPr>
                <w:sz w:val="16"/>
                <w:szCs w:val="16"/>
              </w:rPr>
              <w:t>18.4.0</w:t>
            </w:r>
          </w:p>
        </w:tc>
      </w:tr>
      <w:tr w:rsidR="00FA5436" w:rsidRPr="00873B6C" w14:paraId="06291C23" w14:textId="77777777" w:rsidTr="009D14FB">
        <w:tc>
          <w:tcPr>
            <w:tcW w:w="800" w:type="dxa"/>
            <w:shd w:val="solid" w:color="FFFFFF" w:fill="auto"/>
          </w:tcPr>
          <w:p w14:paraId="0F9A234C" w14:textId="72292CCD" w:rsidR="00FA5436" w:rsidRPr="00873B6C" w:rsidRDefault="00FA5436" w:rsidP="00591B52">
            <w:pPr>
              <w:pStyle w:val="TAC"/>
              <w:rPr>
                <w:sz w:val="16"/>
                <w:szCs w:val="16"/>
              </w:rPr>
            </w:pPr>
            <w:r w:rsidRPr="00873B6C">
              <w:rPr>
                <w:sz w:val="16"/>
                <w:szCs w:val="16"/>
              </w:rPr>
              <w:lastRenderedPageBreak/>
              <w:t>2023-12</w:t>
            </w:r>
          </w:p>
        </w:tc>
        <w:tc>
          <w:tcPr>
            <w:tcW w:w="800" w:type="dxa"/>
            <w:shd w:val="solid" w:color="FFFFFF" w:fill="auto"/>
          </w:tcPr>
          <w:p w14:paraId="2748D01C" w14:textId="30A89641"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2F64902C" w14:textId="43F5BDAF" w:rsidR="00FA5436" w:rsidRPr="00873B6C" w:rsidRDefault="00FA5436" w:rsidP="00591B52">
            <w:pPr>
              <w:pStyle w:val="TAC"/>
              <w:rPr>
                <w:sz w:val="16"/>
                <w:szCs w:val="16"/>
              </w:rPr>
            </w:pPr>
            <w:r w:rsidRPr="00873B6C">
              <w:rPr>
                <w:sz w:val="16"/>
                <w:szCs w:val="16"/>
              </w:rPr>
              <w:t>SP-231253</w:t>
            </w:r>
          </w:p>
        </w:tc>
        <w:tc>
          <w:tcPr>
            <w:tcW w:w="567" w:type="dxa"/>
            <w:shd w:val="solid" w:color="FFFFFF" w:fill="auto"/>
          </w:tcPr>
          <w:p w14:paraId="3FFBC532" w14:textId="4E99171A" w:rsidR="00FA5436" w:rsidRPr="00873B6C" w:rsidRDefault="00FA5436" w:rsidP="00591B52">
            <w:pPr>
              <w:pStyle w:val="TAL"/>
              <w:rPr>
                <w:sz w:val="16"/>
                <w:szCs w:val="16"/>
              </w:rPr>
            </w:pPr>
            <w:r w:rsidRPr="00873B6C">
              <w:rPr>
                <w:sz w:val="16"/>
                <w:szCs w:val="16"/>
              </w:rPr>
              <w:t>5087</w:t>
            </w:r>
          </w:p>
        </w:tc>
        <w:tc>
          <w:tcPr>
            <w:tcW w:w="425" w:type="dxa"/>
            <w:shd w:val="solid" w:color="FFFFFF" w:fill="auto"/>
          </w:tcPr>
          <w:p w14:paraId="38C8E781" w14:textId="621811F7" w:rsidR="00FA5436" w:rsidRPr="00873B6C" w:rsidRDefault="00FA5436" w:rsidP="00591B52">
            <w:pPr>
              <w:pStyle w:val="TAL"/>
              <w:rPr>
                <w:sz w:val="16"/>
                <w:szCs w:val="16"/>
              </w:rPr>
            </w:pPr>
            <w:r w:rsidRPr="00873B6C">
              <w:rPr>
                <w:sz w:val="16"/>
                <w:szCs w:val="16"/>
              </w:rPr>
              <w:t>-</w:t>
            </w:r>
          </w:p>
        </w:tc>
        <w:tc>
          <w:tcPr>
            <w:tcW w:w="425" w:type="dxa"/>
            <w:shd w:val="solid" w:color="FFFFFF" w:fill="auto"/>
          </w:tcPr>
          <w:p w14:paraId="0E661FA0" w14:textId="5076228C"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7ED7F5D8" w14:textId="5F182B53" w:rsidR="00FA5436" w:rsidRPr="00873B6C" w:rsidRDefault="00FA5436" w:rsidP="00591B52">
            <w:pPr>
              <w:pStyle w:val="TAL"/>
              <w:rPr>
                <w:sz w:val="16"/>
                <w:szCs w:val="16"/>
              </w:rPr>
            </w:pPr>
            <w:r w:rsidRPr="00873B6C">
              <w:rPr>
                <w:sz w:val="16"/>
                <w:szCs w:val="16"/>
              </w:rPr>
              <w:t>R18 AIMLsys_KI7_23501 CR for clarifying AF filtering criteria</w:t>
            </w:r>
          </w:p>
        </w:tc>
        <w:tc>
          <w:tcPr>
            <w:tcW w:w="708" w:type="dxa"/>
            <w:shd w:val="solid" w:color="FFFFFF" w:fill="auto"/>
          </w:tcPr>
          <w:p w14:paraId="3DFF4C91" w14:textId="3D430085" w:rsidR="00FA5436" w:rsidRPr="00873B6C" w:rsidRDefault="00FA5436" w:rsidP="00591B52">
            <w:pPr>
              <w:pStyle w:val="TAC"/>
              <w:rPr>
                <w:sz w:val="16"/>
                <w:szCs w:val="16"/>
              </w:rPr>
            </w:pPr>
            <w:r w:rsidRPr="00873B6C">
              <w:rPr>
                <w:sz w:val="16"/>
                <w:szCs w:val="16"/>
              </w:rPr>
              <w:t>18.4.0</w:t>
            </w:r>
          </w:p>
        </w:tc>
      </w:tr>
      <w:tr w:rsidR="00FA5436" w:rsidRPr="00873B6C" w14:paraId="780AE724" w14:textId="77777777" w:rsidTr="009D14FB">
        <w:tc>
          <w:tcPr>
            <w:tcW w:w="800" w:type="dxa"/>
            <w:shd w:val="solid" w:color="FFFFFF" w:fill="auto"/>
          </w:tcPr>
          <w:p w14:paraId="47104D87" w14:textId="55525753"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577B0710" w14:textId="52ECDFBF"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25CAD48B" w14:textId="5699C5CC" w:rsidR="00FA5436" w:rsidRPr="00873B6C" w:rsidRDefault="00FA5436" w:rsidP="00591B52">
            <w:pPr>
              <w:pStyle w:val="TAC"/>
              <w:rPr>
                <w:sz w:val="16"/>
                <w:szCs w:val="16"/>
              </w:rPr>
            </w:pPr>
            <w:r w:rsidRPr="00873B6C">
              <w:rPr>
                <w:sz w:val="16"/>
                <w:szCs w:val="16"/>
              </w:rPr>
              <w:t>SP-231254</w:t>
            </w:r>
          </w:p>
        </w:tc>
        <w:tc>
          <w:tcPr>
            <w:tcW w:w="567" w:type="dxa"/>
            <w:shd w:val="solid" w:color="FFFFFF" w:fill="auto"/>
          </w:tcPr>
          <w:p w14:paraId="7148A944" w14:textId="64507EFF" w:rsidR="00FA5436" w:rsidRPr="00873B6C" w:rsidRDefault="00FA5436" w:rsidP="00591B52">
            <w:pPr>
              <w:pStyle w:val="TAL"/>
              <w:rPr>
                <w:sz w:val="16"/>
                <w:szCs w:val="16"/>
              </w:rPr>
            </w:pPr>
            <w:r w:rsidRPr="00873B6C">
              <w:rPr>
                <w:sz w:val="16"/>
                <w:szCs w:val="16"/>
              </w:rPr>
              <w:t>5091</w:t>
            </w:r>
          </w:p>
        </w:tc>
        <w:tc>
          <w:tcPr>
            <w:tcW w:w="425" w:type="dxa"/>
            <w:shd w:val="solid" w:color="FFFFFF" w:fill="auto"/>
          </w:tcPr>
          <w:p w14:paraId="0B928E91" w14:textId="7F24E9F4" w:rsidR="00FA5436" w:rsidRPr="00873B6C" w:rsidRDefault="00FA5436" w:rsidP="00591B52">
            <w:pPr>
              <w:pStyle w:val="TAL"/>
              <w:rPr>
                <w:sz w:val="16"/>
                <w:szCs w:val="16"/>
              </w:rPr>
            </w:pPr>
            <w:r w:rsidRPr="00873B6C">
              <w:rPr>
                <w:sz w:val="16"/>
                <w:szCs w:val="16"/>
              </w:rPr>
              <w:t>1</w:t>
            </w:r>
          </w:p>
        </w:tc>
        <w:tc>
          <w:tcPr>
            <w:tcW w:w="425" w:type="dxa"/>
            <w:shd w:val="solid" w:color="FFFFFF" w:fill="auto"/>
          </w:tcPr>
          <w:p w14:paraId="107403B5" w14:textId="4630365E"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DBEDE9E" w14:textId="42A29063" w:rsidR="00FA5436" w:rsidRPr="00873B6C" w:rsidRDefault="00FA5436" w:rsidP="00591B52">
            <w:pPr>
              <w:pStyle w:val="TAL"/>
              <w:rPr>
                <w:sz w:val="16"/>
                <w:szCs w:val="16"/>
              </w:rPr>
            </w:pPr>
            <w:r w:rsidRPr="00873B6C">
              <w:rPr>
                <w:sz w:val="16"/>
                <w:szCs w:val="16"/>
              </w:rPr>
              <w:t>Clarification on Suspend and Resume Traffic Duplication</w:t>
            </w:r>
          </w:p>
        </w:tc>
        <w:tc>
          <w:tcPr>
            <w:tcW w:w="708" w:type="dxa"/>
            <w:shd w:val="solid" w:color="FFFFFF" w:fill="auto"/>
          </w:tcPr>
          <w:p w14:paraId="2E6F1F27" w14:textId="7189F071" w:rsidR="00FA5436" w:rsidRPr="00873B6C" w:rsidRDefault="00FA5436" w:rsidP="00591B52">
            <w:pPr>
              <w:pStyle w:val="TAC"/>
              <w:rPr>
                <w:sz w:val="16"/>
                <w:szCs w:val="16"/>
              </w:rPr>
            </w:pPr>
            <w:r w:rsidRPr="00873B6C">
              <w:rPr>
                <w:sz w:val="16"/>
                <w:szCs w:val="16"/>
              </w:rPr>
              <w:t>18.4.0</w:t>
            </w:r>
          </w:p>
        </w:tc>
      </w:tr>
      <w:tr w:rsidR="00FA5436" w:rsidRPr="00873B6C" w14:paraId="4F14C686" w14:textId="77777777" w:rsidTr="009D14FB">
        <w:tc>
          <w:tcPr>
            <w:tcW w:w="800" w:type="dxa"/>
            <w:shd w:val="solid" w:color="FFFFFF" w:fill="auto"/>
          </w:tcPr>
          <w:p w14:paraId="6812BF3E" w14:textId="6B10DEEA"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323F99CC" w14:textId="0144A7DB"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4CFBECA4" w14:textId="1BE16A83" w:rsidR="00FA5436" w:rsidRPr="00873B6C" w:rsidRDefault="00FA5436" w:rsidP="00591B52">
            <w:pPr>
              <w:pStyle w:val="TAC"/>
              <w:rPr>
                <w:sz w:val="16"/>
                <w:szCs w:val="16"/>
              </w:rPr>
            </w:pPr>
            <w:r w:rsidRPr="00873B6C">
              <w:rPr>
                <w:sz w:val="16"/>
                <w:szCs w:val="16"/>
              </w:rPr>
              <w:t>SP-231263</w:t>
            </w:r>
          </w:p>
        </w:tc>
        <w:tc>
          <w:tcPr>
            <w:tcW w:w="567" w:type="dxa"/>
            <w:shd w:val="solid" w:color="FFFFFF" w:fill="auto"/>
          </w:tcPr>
          <w:p w14:paraId="77B23EFE" w14:textId="41E81EF3" w:rsidR="00FA5436" w:rsidRPr="00873B6C" w:rsidRDefault="00FA5436" w:rsidP="00591B52">
            <w:pPr>
              <w:pStyle w:val="TAL"/>
              <w:rPr>
                <w:sz w:val="16"/>
                <w:szCs w:val="16"/>
              </w:rPr>
            </w:pPr>
            <w:r w:rsidRPr="00873B6C">
              <w:rPr>
                <w:sz w:val="16"/>
                <w:szCs w:val="16"/>
              </w:rPr>
              <w:t>5096</w:t>
            </w:r>
          </w:p>
        </w:tc>
        <w:tc>
          <w:tcPr>
            <w:tcW w:w="425" w:type="dxa"/>
            <w:shd w:val="solid" w:color="FFFFFF" w:fill="auto"/>
          </w:tcPr>
          <w:p w14:paraId="0C279A4D" w14:textId="00F8386F" w:rsidR="00FA5436" w:rsidRPr="00873B6C" w:rsidRDefault="00FA5436" w:rsidP="00591B52">
            <w:pPr>
              <w:pStyle w:val="TAL"/>
              <w:rPr>
                <w:sz w:val="16"/>
                <w:szCs w:val="16"/>
              </w:rPr>
            </w:pPr>
            <w:r w:rsidRPr="00873B6C">
              <w:rPr>
                <w:sz w:val="16"/>
                <w:szCs w:val="16"/>
              </w:rPr>
              <w:t>-</w:t>
            </w:r>
          </w:p>
        </w:tc>
        <w:tc>
          <w:tcPr>
            <w:tcW w:w="425" w:type="dxa"/>
            <w:shd w:val="solid" w:color="FFFFFF" w:fill="auto"/>
          </w:tcPr>
          <w:p w14:paraId="6657318B" w14:textId="4D99A555"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3A149CD4" w14:textId="1A6891C3" w:rsidR="00FA5436" w:rsidRPr="00873B6C" w:rsidRDefault="00FA5436" w:rsidP="00591B52">
            <w:pPr>
              <w:pStyle w:val="TAL"/>
              <w:rPr>
                <w:sz w:val="16"/>
                <w:szCs w:val="16"/>
              </w:rPr>
            </w:pPr>
            <w:r w:rsidRPr="00873B6C">
              <w:rPr>
                <w:sz w:val="16"/>
                <w:szCs w:val="16"/>
              </w:rPr>
              <w:t>Clarification on URSP delivery in EPS</w:t>
            </w:r>
          </w:p>
        </w:tc>
        <w:tc>
          <w:tcPr>
            <w:tcW w:w="708" w:type="dxa"/>
            <w:shd w:val="solid" w:color="FFFFFF" w:fill="auto"/>
          </w:tcPr>
          <w:p w14:paraId="43D14A1B" w14:textId="38ACA9A7" w:rsidR="00FA5436" w:rsidRPr="00873B6C" w:rsidRDefault="00FA5436" w:rsidP="00591B52">
            <w:pPr>
              <w:pStyle w:val="TAC"/>
              <w:rPr>
                <w:sz w:val="16"/>
                <w:szCs w:val="16"/>
              </w:rPr>
            </w:pPr>
            <w:r w:rsidRPr="00873B6C">
              <w:rPr>
                <w:sz w:val="16"/>
                <w:szCs w:val="16"/>
              </w:rPr>
              <w:t>18.4.0</w:t>
            </w:r>
          </w:p>
        </w:tc>
      </w:tr>
      <w:tr w:rsidR="00FA5436" w:rsidRPr="00873B6C" w14:paraId="0F4B36DA" w14:textId="77777777" w:rsidTr="009D14FB">
        <w:tc>
          <w:tcPr>
            <w:tcW w:w="800" w:type="dxa"/>
            <w:shd w:val="solid" w:color="FFFFFF" w:fill="auto"/>
          </w:tcPr>
          <w:p w14:paraId="77E28663" w14:textId="53840057"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484A6CDD" w14:textId="0A0DFDD3"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6A3F3F83" w14:textId="7277C0DB" w:rsidR="00FA5436" w:rsidRPr="00873B6C" w:rsidRDefault="00FA5436" w:rsidP="00591B52">
            <w:pPr>
              <w:pStyle w:val="TAC"/>
              <w:rPr>
                <w:sz w:val="16"/>
                <w:szCs w:val="16"/>
              </w:rPr>
            </w:pPr>
            <w:r w:rsidRPr="00873B6C">
              <w:rPr>
                <w:sz w:val="16"/>
                <w:szCs w:val="16"/>
              </w:rPr>
              <w:t>SP-231253</w:t>
            </w:r>
          </w:p>
        </w:tc>
        <w:tc>
          <w:tcPr>
            <w:tcW w:w="567" w:type="dxa"/>
            <w:shd w:val="solid" w:color="FFFFFF" w:fill="auto"/>
          </w:tcPr>
          <w:p w14:paraId="17746DA4" w14:textId="55CF3090" w:rsidR="00FA5436" w:rsidRPr="00873B6C" w:rsidRDefault="00FA5436" w:rsidP="00591B52">
            <w:pPr>
              <w:pStyle w:val="TAL"/>
              <w:rPr>
                <w:sz w:val="16"/>
                <w:szCs w:val="16"/>
              </w:rPr>
            </w:pPr>
            <w:r w:rsidRPr="00873B6C">
              <w:rPr>
                <w:sz w:val="16"/>
                <w:szCs w:val="16"/>
              </w:rPr>
              <w:t>5103</w:t>
            </w:r>
          </w:p>
        </w:tc>
        <w:tc>
          <w:tcPr>
            <w:tcW w:w="425" w:type="dxa"/>
            <w:shd w:val="solid" w:color="FFFFFF" w:fill="auto"/>
          </w:tcPr>
          <w:p w14:paraId="689EF961" w14:textId="0886E4E6" w:rsidR="00FA5436" w:rsidRPr="00873B6C" w:rsidRDefault="00FA5436" w:rsidP="00591B52">
            <w:pPr>
              <w:pStyle w:val="TAL"/>
              <w:rPr>
                <w:sz w:val="16"/>
                <w:szCs w:val="16"/>
              </w:rPr>
            </w:pPr>
            <w:r w:rsidRPr="00873B6C">
              <w:rPr>
                <w:sz w:val="16"/>
                <w:szCs w:val="16"/>
              </w:rPr>
              <w:t>1</w:t>
            </w:r>
          </w:p>
        </w:tc>
        <w:tc>
          <w:tcPr>
            <w:tcW w:w="425" w:type="dxa"/>
            <w:shd w:val="solid" w:color="FFFFFF" w:fill="auto"/>
          </w:tcPr>
          <w:p w14:paraId="35D1DF0C" w14:textId="3A080433"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F669CE9" w14:textId="6095FEA7" w:rsidR="00FA5436" w:rsidRPr="00873B6C" w:rsidRDefault="00FA5436" w:rsidP="00591B52">
            <w:pPr>
              <w:pStyle w:val="TAL"/>
              <w:rPr>
                <w:sz w:val="16"/>
                <w:szCs w:val="16"/>
              </w:rPr>
            </w:pPr>
            <w:r w:rsidRPr="00873B6C">
              <w:rPr>
                <w:sz w:val="16"/>
                <w:szCs w:val="16"/>
              </w:rPr>
              <w:t>Clarification on the Member UE selection</w:t>
            </w:r>
          </w:p>
        </w:tc>
        <w:tc>
          <w:tcPr>
            <w:tcW w:w="708" w:type="dxa"/>
            <w:shd w:val="solid" w:color="FFFFFF" w:fill="auto"/>
          </w:tcPr>
          <w:p w14:paraId="2E9E7069" w14:textId="75573C9C" w:rsidR="00FA5436" w:rsidRPr="00873B6C" w:rsidRDefault="00FA5436" w:rsidP="00591B52">
            <w:pPr>
              <w:pStyle w:val="TAC"/>
              <w:rPr>
                <w:sz w:val="16"/>
                <w:szCs w:val="16"/>
              </w:rPr>
            </w:pPr>
            <w:r w:rsidRPr="00873B6C">
              <w:rPr>
                <w:sz w:val="16"/>
                <w:szCs w:val="16"/>
              </w:rPr>
              <w:t>18.4.0</w:t>
            </w:r>
          </w:p>
        </w:tc>
      </w:tr>
      <w:tr w:rsidR="00FA5436" w:rsidRPr="00873B6C" w14:paraId="7B23D3AF" w14:textId="77777777" w:rsidTr="009D14FB">
        <w:tc>
          <w:tcPr>
            <w:tcW w:w="800" w:type="dxa"/>
            <w:shd w:val="solid" w:color="FFFFFF" w:fill="auto"/>
          </w:tcPr>
          <w:p w14:paraId="0365115E" w14:textId="287CE3B3"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57580529" w14:textId="5A381F12"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66CAD0B5" w14:textId="71369DCC" w:rsidR="00FA5436" w:rsidRPr="00873B6C" w:rsidRDefault="00FA5436" w:rsidP="00591B52">
            <w:pPr>
              <w:pStyle w:val="TAC"/>
              <w:rPr>
                <w:sz w:val="16"/>
                <w:szCs w:val="16"/>
              </w:rPr>
            </w:pPr>
            <w:r w:rsidRPr="00873B6C">
              <w:rPr>
                <w:sz w:val="16"/>
                <w:szCs w:val="16"/>
              </w:rPr>
              <w:t>SP-231248</w:t>
            </w:r>
          </w:p>
        </w:tc>
        <w:tc>
          <w:tcPr>
            <w:tcW w:w="567" w:type="dxa"/>
            <w:shd w:val="solid" w:color="FFFFFF" w:fill="auto"/>
          </w:tcPr>
          <w:p w14:paraId="0DB58F4A" w14:textId="360CD599" w:rsidR="00FA5436" w:rsidRPr="00873B6C" w:rsidRDefault="00FA5436" w:rsidP="00591B52">
            <w:pPr>
              <w:pStyle w:val="TAL"/>
              <w:rPr>
                <w:sz w:val="16"/>
                <w:szCs w:val="16"/>
              </w:rPr>
            </w:pPr>
            <w:r w:rsidRPr="00873B6C">
              <w:rPr>
                <w:sz w:val="16"/>
                <w:szCs w:val="16"/>
              </w:rPr>
              <w:t>5104</w:t>
            </w:r>
          </w:p>
        </w:tc>
        <w:tc>
          <w:tcPr>
            <w:tcW w:w="425" w:type="dxa"/>
            <w:shd w:val="solid" w:color="FFFFFF" w:fill="auto"/>
          </w:tcPr>
          <w:p w14:paraId="0946D411" w14:textId="256B232E" w:rsidR="00FA5436" w:rsidRPr="00873B6C" w:rsidRDefault="00FA5436" w:rsidP="00591B52">
            <w:pPr>
              <w:pStyle w:val="TAL"/>
              <w:rPr>
                <w:sz w:val="16"/>
                <w:szCs w:val="16"/>
              </w:rPr>
            </w:pPr>
            <w:r w:rsidRPr="00873B6C">
              <w:rPr>
                <w:sz w:val="16"/>
                <w:szCs w:val="16"/>
              </w:rPr>
              <w:t>1</w:t>
            </w:r>
          </w:p>
        </w:tc>
        <w:tc>
          <w:tcPr>
            <w:tcW w:w="425" w:type="dxa"/>
            <w:shd w:val="solid" w:color="FFFFFF" w:fill="auto"/>
          </w:tcPr>
          <w:p w14:paraId="7D423CE8" w14:textId="1A3151F6"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71277AFA" w14:textId="71221152" w:rsidR="00FA5436" w:rsidRPr="00873B6C" w:rsidRDefault="00FA5436" w:rsidP="00591B52">
            <w:pPr>
              <w:pStyle w:val="TAL"/>
              <w:rPr>
                <w:sz w:val="16"/>
                <w:szCs w:val="16"/>
              </w:rPr>
            </w:pPr>
            <w:r w:rsidRPr="00873B6C">
              <w:rPr>
                <w:sz w:val="16"/>
                <w:szCs w:val="16"/>
              </w:rPr>
              <w:t>Spending Limits for AM and UE Policies in the 5GC</w:t>
            </w:r>
          </w:p>
        </w:tc>
        <w:tc>
          <w:tcPr>
            <w:tcW w:w="708" w:type="dxa"/>
            <w:shd w:val="solid" w:color="FFFFFF" w:fill="auto"/>
          </w:tcPr>
          <w:p w14:paraId="12A5BBD7" w14:textId="42FF7784" w:rsidR="00FA5436" w:rsidRPr="00873B6C" w:rsidRDefault="00FA5436" w:rsidP="00591B52">
            <w:pPr>
              <w:pStyle w:val="TAC"/>
              <w:rPr>
                <w:sz w:val="16"/>
                <w:szCs w:val="16"/>
              </w:rPr>
            </w:pPr>
            <w:r w:rsidRPr="00873B6C">
              <w:rPr>
                <w:sz w:val="16"/>
                <w:szCs w:val="16"/>
              </w:rPr>
              <w:t>18.4.0</w:t>
            </w:r>
          </w:p>
        </w:tc>
      </w:tr>
      <w:tr w:rsidR="00FA5436" w:rsidRPr="00873B6C" w14:paraId="26A1D681" w14:textId="77777777" w:rsidTr="009D14FB">
        <w:tc>
          <w:tcPr>
            <w:tcW w:w="800" w:type="dxa"/>
            <w:shd w:val="solid" w:color="FFFFFF" w:fill="auto"/>
          </w:tcPr>
          <w:p w14:paraId="59806CF5" w14:textId="29AEE210"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2EE0D5B0" w14:textId="3523596D"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02727CE2" w14:textId="171C38AF" w:rsidR="00FA5436" w:rsidRPr="00873B6C" w:rsidRDefault="00FA5436" w:rsidP="00591B52">
            <w:pPr>
              <w:pStyle w:val="TAC"/>
              <w:rPr>
                <w:sz w:val="16"/>
                <w:szCs w:val="16"/>
              </w:rPr>
            </w:pPr>
            <w:r w:rsidRPr="00873B6C">
              <w:rPr>
                <w:sz w:val="16"/>
                <w:szCs w:val="16"/>
              </w:rPr>
              <w:t>SP-231258</w:t>
            </w:r>
          </w:p>
        </w:tc>
        <w:tc>
          <w:tcPr>
            <w:tcW w:w="567" w:type="dxa"/>
            <w:shd w:val="solid" w:color="FFFFFF" w:fill="auto"/>
          </w:tcPr>
          <w:p w14:paraId="7D2DA990" w14:textId="282A8DBB" w:rsidR="00FA5436" w:rsidRPr="00873B6C" w:rsidRDefault="00FA5436" w:rsidP="00591B52">
            <w:pPr>
              <w:pStyle w:val="TAL"/>
              <w:rPr>
                <w:sz w:val="16"/>
                <w:szCs w:val="16"/>
              </w:rPr>
            </w:pPr>
            <w:r w:rsidRPr="00873B6C">
              <w:rPr>
                <w:sz w:val="16"/>
                <w:szCs w:val="16"/>
              </w:rPr>
              <w:t>5105</w:t>
            </w:r>
          </w:p>
        </w:tc>
        <w:tc>
          <w:tcPr>
            <w:tcW w:w="425" w:type="dxa"/>
            <w:shd w:val="solid" w:color="FFFFFF" w:fill="auto"/>
          </w:tcPr>
          <w:p w14:paraId="5BCEF3BF" w14:textId="038BFE54" w:rsidR="00FA5436" w:rsidRPr="00873B6C" w:rsidRDefault="00FA5436" w:rsidP="00591B52">
            <w:pPr>
              <w:pStyle w:val="TAL"/>
              <w:rPr>
                <w:sz w:val="16"/>
                <w:szCs w:val="16"/>
              </w:rPr>
            </w:pPr>
            <w:r w:rsidRPr="00873B6C">
              <w:rPr>
                <w:sz w:val="16"/>
                <w:szCs w:val="16"/>
              </w:rPr>
              <w:t>2</w:t>
            </w:r>
          </w:p>
        </w:tc>
        <w:tc>
          <w:tcPr>
            <w:tcW w:w="425" w:type="dxa"/>
            <w:shd w:val="solid" w:color="FFFFFF" w:fill="auto"/>
          </w:tcPr>
          <w:p w14:paraId="2D69CFAA" w14:textId="2CA88341"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F50681A" w14:textId="57C02AEE" w:rsidR="00FA5436" w:rsidRPr="00873B6C" w:rsidRDefault="00FA5436" w:rsidP="00591B52">
            <w:pPr>
              <w:pStyle w:val="TAL"/>
              <w:rPr>
                <w:sz w:val="16"/>
                <w:szCs w:val="16"/>
              </w:rPr>
            </w:pPr>
            <w:r w:rsidRPr="00873B6C">
              <w:rPr>
                <w:sz w:val="16"/>
                <w:szCs w:val="16"/>
              </w:rPr>
              <w:t>Correct NWDAF discovery principles</w:t>
            </w:r>
          </w:p>
        </w:tc>
        <w:tc>
          <w:tcPr>
            <w:tcW w:w="708" w:type="dxa"/>
            <w:shd w:val="solid" w:color="FFFFFF" w:fill="auto"/>
          </w:tcPr>
          <w:p w14:paraId="5AB681E3" w14:textId="023BCFE5" w:rsidR="00FA5436" w:rsidRPr="00873B6C" w:rsidRDefault="00FA5436" w:rsidP="00591B52">
            <w:pPr>
              <w:pStyle w:val="TAC"/>
              <w:rPr>
                <w:sz w:val="16"/>
                <w:szCs w:val="16"/>
              </w:rPr>
            </w:pPr>
            <w:r w:rsidRPr="00873B6C">
              <w:rPr>
                <w:sz w:val="16"/>
                <w:szCs w:val="16"/>
              </w:rPr>
              <w:t>18.4.0</w:t>
            </w:r>
          </w:p>
        </w:tc>
      </w:tr>
      <w:tr w:rsidR="00FA5436" w:rsidRPr="00873B6C" w14:paraId="6583723B" w14:textId="77777777" w:rsidTr="009D14FB">
        <w:tc>
          <w:tcPr>
            <w:tcW w:w="800" w:type="dxa"/>
            <w:shd w:val="solid" w:color="FFFFFF" w:fill="auto"/>
          </w:tcPr>
          <w:p w14:paraId="0CEEA8EC" w14:textId="7EC238F1"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3AD31803" w14:textId="7C0F6AE3"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4F4D005C" w14:textId="3F7FF76F" w:rsidR="00FA5436" w:rsidRPr="00873B6C" w:rsidRDefault="00FA5436" w:rsidP="00591B52">
            <w:pPr>
              <w:pStyle w:val="TAC"/>
              <w:rPr>
                <w:sz w:val="16"/>
                <w:szCs w:val="16"/>
              </w:rPr>
            </w:pPr>
            <w:r w:rsidRPr="00873B6C">
              <w:rPr>
                <w:sz w:val="16"/>
                <w:szCs w:val="16"/>
              </w:rPr>
              <w:t>SP-231260</w:t>
            </w:r>
          </w:p>
        </w:tc>
        <w:tc>
          <w:tcPr>
            <w:tcW w:w="567" w:type="dxa"/>
            <w:shd w:val="solid" w:color="FFFFFF" w:fill="auto"/>
          </w:tcPr>
          <w:p w14:paraId="58139805" w14:textId="768471AF" w:rsidR="00FA5436" w:rsidRPr="00873B6C" w:rsidRDefault="00FA5436" w:rsidP="00591B52">
            <w:pPr>
              <w:pStyle w:val="TAL"/>
              <w:rPr>
                <w:sz w:val="16"/>
                <w:szCs w:val="16"/>
              </w:rPr>
            </w:pPr>
            <w:r w:rsidRPr="00873B6C">
              <w:rPr>
                <w:sz w:val="16"/>
                <w:szCs w:val="16"/>
              </w:rPr>
              <w:t>5109</w:t>
            </w:r>
          </w:p>
        </w:tc>
        <w:tc>
          <w:tcPr>
            <w:tcW w:w="425" w:type="dxa"/>
            <w:shd w:val="solid" w:color="FFFFFF" w:fill="auto"/>
          </w:tcPr>
          <w:p w14:paraId="02BBE66A" w14:textId="520A4414" w:rsidR="00FA5436" w:rsidRPr="00873B6C" w:rsidRDefault="00FA5436" w:rsidP="00591B52">
            <w:pPr>
              <w:pStyle w:val="TAL"/>
              <w:rPr>
                <w:sz w:val="16"/>
                <w:szCs w:val="16"/>
              </w:rPr>
            </w:pPr>
            <w:r w:rsidRPr="00873B6C">
              <w:rPr>
                <w:sz w:val="16"/>
                <w:szCs w:val="16"/>
              </w:rPr>
              <w:t>3</w:t>
            </w:r>
          </w:p>
        </w:tc>
        <w:tc>
          <w:tcPr>
            <w:tcW w:w="425" w:type="dxa"/>
            <w:shd w:val="solid" w:color="FFFFFF" w:fill="auto"/>
          </w:tcPr>
          <w:p w14:paraId="7D8327E0" w14:textId="6EE296B1"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2B9DC57F" w14:textId="05BC05EE" w:rsidR="00FA5436" w:rsidRPr="00873B6C" w:rsidRDefault="00FA5436" w:rsidP="00591B52">
            <w:pPr>
              <w:pStyle w:val="TAL"/>
              <w:rPr>
                <w:sz w:val="16"/>
                <w:szCs w:val="16"/>
              </w:rPr>
            </w:pPr>
            <w:r w:rsidRPr="00873B6C">
              <w:rPr>
                <w:sz w:val="16"/>
                <w:szCs w:val="16"/>
              </w:rPr>
              <w:t xml:space="preserve">Further clarification of NSAC </w:t>
            </w:r>
          </w:p>
        </w:tc>
        <w:tc>
          <w:tcPr>
            <w:tcW w:w="708" w:type="dxa"/>
            <w:shd w:val="solid" w:color="FFFFFF" w:fill="auto"/>
          </w:tcPr>
          <w:p w14:paraId="5EAE7320" w14:textId="193C383B" w:rsidR="00FA5436" w:rsidRPr="00873B6C" w:rsidRDefault="00FA5436" w:rsidP="00591B52">
            <w:pPr>
              <w:pStyle w:val="TAC"/>
              <w:rPr>
                <w:sz w:val="16"/>
                <w:szCs w:val="16"/>
              </w:rPr>
            </w:pPr>
            <w:r w:rsidRPr="00873B6C">
              <w:rPr>
                <w:sz w:val="16"/>
                <w:szCs w:val="16"/>
              </w:rPr>
              <w:t>18.4.0</w:t>
            </w:r>
          </w:p>
        </w:tc>
      </w:tr>
      <w:tr w:rsidR="00FA5436" w:rsidRPr="00873B6C" w14:paraId="517720C1" w14:textId="77777777" w:rsidTr="009D14FB">
        <w:tc>
          <w:tcPr>
            <w:tcW w:w="800" w:type="dxa"/>
            <w:shd w:val="solid" w:color="FFFFFF" w:fill="auto"/>
          </w:tcPr>
          <w:p w14:paraId="03EE48B5" w14:textId="62305BE9"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6767FE86" w14:textId="7442E4A4"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1B9C526B" w14:textId="7AB2FBAB" w:rsidR="00FA5436" w:rsidRPr="00873B6C" w:rsidRDefault="00FA5436" w:rsidP="00591B52">
            <w:pPr>
              <w:pStyle w:val="TAC"/>
              <w:rPr>
                <w:sz w:val="16"/>
                <w:szCs w:val="16"/>
              </w:rPr>
            </w:pPr>
            <w:r w:rsidRPr="00873B6C">
              <w:rPr>
                <w:sz w:val="16"/>
                <w:szCs w:val="16"/>
              </w:rPr>
              <w:t>SP-231263</w:t>
            </w:r>
          </w:p>
        </w:tc>
        <w:tc>
          <w:tcPr>
            <w:tcW w:w="567" w:type="dxa"/>
            <w:shd w:val="solid" w:color="FFFFFF" w:fill="auto"/>
          </w:tcPr>
          <w:p w14:paraId="57129063" w14:textId="454A501A" w:rsidR="00FA5436" w:rsidRPr="00873B6C" w:rsidRDefault="00FA5436" w:rsidP="00591B52">
            <w:pPr>
              <w:pStyle w:val="TAL"/>
              <w:rPr>
                <w:sz w:val="16"/>
                <w:szCs w:val="16"/>
              </w:rPr>
            </w:pPr>
            <w:r w:rsidRPr="00873B6C">
              <w:rPr>
                <w:sz w:val="16"/>
                <w:szCs w:val="16"/>
              </w:rPr>
              <w:t>5110</w:t>
            </w:r>
          </w:p>
        </w:tc>
        <w:tc>
          <w:tcPr>
            <w:tcW w:w="425" w:type="dxa"/>
            <w:shd w:val="solid" w:color="FFFFFF" w:fill="auto"/>
          </w:tcPr>
          <w:p w14:paraId="7E3A04AC" w14:textId="4EEFDE45" w:rsidR="00FA5436" w:rsidRPr="00873B6C" w:rsidRDefault="00FA5436" w:rsidP="00591B52">
            <w:pPr>
              <w:pStyle w:val="TAL"/>
              <w:rPr>
                <w:sz w:val="16"/>
                <w:szCs w:val="16"/>
              </w:rPr>
            </w:pPr>
            <w:r w:rsidRPr="00873B6C">
              <w:rPr>
                <w:sz w:val="16"/>
                <w:szCs w:val="16"/>
              </w:rPr>
              <w:t>2</w:t>
            </w:r>
          </w:p>
        </w:tc>
        <w:tc>
          <w:tcPr>
            <w:tcW w:w="425" w:type="dxa"/>
            <w:shd w:val="solid" w:color="FFFFFF" w:fill="auto"/>
          </w:tcPr>
          <w:p w14:paraId="12D22B1B" w14:textId="632EDB53"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23CC5E96" w14:textId="17A0EC53" w:rsidR="00FA5436" w:rsidRPr="00873B6C" w:rsidRDefault="00FA5436" w:rsidP="00591B52">
            <w:pPr>
              <w:pStyle w:val="TAL"/>
              <w:rPr>
                <w:sz w:val="16"/>
                <w:szCs w:val="16"/>
              </w:rPr>
            </w:pPr>
            <w:r w:rsidRPr="00873B6C">
              <w:rPr>
                <w:sz w:val="16"/>
                <w:szCs w:val="16"/>
              </w:rPr>
              <w:t>Providing URSP support indication in EPS in PDN connectivity request</w:t>
            </w:r>
          </w:p>
        </w:tc>
        <w:tc>
          <w:tcPr>
            <w:tcW w:w="708" w:type="dxa"/>
            <w:shd w:val="solid" w:color="FFFFFF" w:fill="auto"/>
          </w:tcPr>
          <w:p w14:paraId="725567AC" w14:textId="1396F895" w:rsidR="00FA5436" w:rsidRPr="00873B6C" w:rsidRDefault="00FA5436" w:rsidP="00591B52">
            <w:pPr>
              <w:pStyle w:val="TAC"/>
              <w:rPr>
                <w:sz w:val="16"/>
                <w:szCs w:val="16"/>
              </w:rPr>
            </w:pPr>
            <w:r w:rsidRPr="00873B6C">
              <w:rPr>
                <w:sz w:val="16"/>
                <w:szCs w:val="16"/>
              </w:rPr>
              <w:t>18.4.0</w:t>
            </w:r>
          </w:p>
        </w:tc>
      </w:tr>
      <w:tr w:rsidR="00FA5436" w:rsidRPr="00873B6C" w14:paraId="3425E4E3" w14:textId="77777777" w:rsidTr="009D14FB">
        <w:tc>
          <w:tcPr>
            <w:tcW w:w="800" w:type="dxa"/>
            <w:shd w:val="solid" w:color="FFFFFF" w:fill="auto"/>
          </w:tcPr>
          <w:p w14:paraId="3851C51D" w14:textId="2CCAB920"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3403AA6D" w14:textId="782CC03C"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0BADD69E" w14:textId="1F1B8637" w:rsidR="00FA5436" w:rsidRPr="00873B6C" w:rsidRDefault="00FA5436" w:rsidP="00591B52">
            <w:pPr>
              <w:pStyle w:val="TAC"/>
              <w:rPr>
                <w:sz w:val="16"/>
                <w:szCs w:val="16"/>
              </w:rPr>
            </w:pPr>
            <w:r w:rsidRPr="00873B6C">
              <w:rPr>
                <w:sz w:val="16"/>
                <w:szCs w:val="16"/>
              </w:rPr>
              <w:t>SP-231263</w:t>
            </w:r>
          </w:p>
        </w:tc>
        <w:tc>
          <w:tcPr>
            <w:tcW w:w="567" w:type="dxa"/>
            <w:shd w:val="solid" w:color="FFFFFF" w:fill="auto"/>
          </w:tcPr>
          <w:p w14:paraId="270F15A9" w14:textId="67D7C62A" w:rsidR="00FA5436" w:rsidRPr="00873B6C" w:rsidRDefault="00FA5436" w:rsidP="00591B52">
            <w:pPr>
              <w:pStyle w:val="TAL"/>
              <w:rPr>
                <w:sz w:val="16"/>
                <w:szCs w:val="16"/>
              </w:rPr>
            </w:pPr>
            <w:r w:rsidRPr="00873B6C">
              <w:rPr>
                <w:sz w:val="16"/>
                <w:szCs w:val="16"/>
              </w:rPr>
              <w:t>5111</w:t>
            </w:r>
          </w:p>
        </w:tc>
        <w:tc>
          <w:tcPr>
            <w:tcW w:w="425" w:type="dxa"/>
            <w:shd w:val="solid" w:color="FFFFFF" w:fill="auto"/>
          </w:tcPr>
          <w:p w14:paraId="08BEB8F5" w14:textId="5BDA2993" w:rsidR="00FA5436" w:rsidRPr="00873B6C" w:rsidRDefault="00FA5436" w:rsidP="00591B52">
            <w:pPr>
              <w:pStyle w:val="TAL"/>
              <w:rPr>
                <w:sz w:val="16"/>
                <w:szCs w:val="16"/>
              </w:rPr>
            </w:pPr>
            <w:r w:rsidRPr="00873B6C">
              <w:rPr>
                <w:sz w:val="16"/>
                <w:szCs w:val="16"/>
              </w:rPr>
              <w:t>2</w:t>
            </w:r>
          </w:p>
        </w:tc>
        <w:tc>
          <w:tcPr>
            <w:tcW w:w="425" w:type="dxa"/>
            <w:shd w:val="solid" w:color="FFFFFF" w:fill="auto"/>
          </w:tcPr>
          <w:p w14:paraId="17CA4A33" w14:textId="5B79D0F4"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68D4D09" w14:textId="6B5217B3" w:rsidR="00FA5436" w:rsidRPr="00873B6C" w:rsidRDefault="00FA5436" w:rsidP="00591B52">
            <w:pPr>
              <w:pStyle w:val="TAL"/>
              <w:rPr>
                <w:sz w:val="16"/>
                <w:szCs w:val="16"/>
              </w:rPr>
            </w:pPr>
            <w:r w:rsidRPr="00873B6C">
              <w:rPr>
                <w:sz w:val="16"/>
                <w:szCs w:val="16"/>
              </w:rPr>
              <w:t>Clarification on PCO support</w:t>
            </w:r>
          </w:p>
        </w:tc>
        <w:tc>
          <w:tcPr>
            <w:tcW w:w="708" w:type="dxa"/>
            <w:shd w:val="solid" w:color="FFFFFF" w:fill="auto"/>
          </w:tcPr>
          <w:p w14:paraId="35D12930" w14:textId="47641FEB" w:rsidR="00FA5436" w:rsidRPr="00873B6C" w:rsidRDefault="00FA5436" w:rsidP="00591B52">
            <w:pPr>
              <w:pStyle w:val="TAC"/>
              <w:rPr>
                <w:sz w:val="16"/>
                <w:szCs w:val="16"/>
              </w:rPr>
            </w:pPr>
            <w:r w:rsidRPr="00873B6C">
              <w:rPr>
                <w:sz w:val="16"/>
                <w:szCs w:val="16"/>
              </w:rPr>
              <w:t>18.4.0</w:t>
            </w:r>
          </w:p>
        </w:tc>
      </w:tr>
      <w:tr w:rsidR="0059213C" w:rsidRPr="00873B6C" w14:paraId="0DB48885" w14:textId="77777777" w:rsidTr="009D14FB">
        <w:tc>
          <w:tcPr>
            <w:tcW w:w="800" w:type="dxa"/>
            <w:shd w:val="solid" w:color="FFFFFF" w:fill="auto"/>
          </w:tcPr>
          <w:p w14:paraId="09641E3D" w14:textId="61E608BE" w:rsidR="0059213C" w:rsidRPr="00873B6C" w:rsidRDefault="0059213C" w:rsidP="00591B52">
            <w:pPr>
              <w:pStyle w:val="TAC"/>
              <w:rPr>
                <w:sz w:val="16"/>
                <w:szCs w:val="16"/>
              </w:rPr>
            </w:pPr>
            <w:r w:rsidRPr="00873B6C">
              <w:rPr>
                <w:sz w:val="16"/>
                <w:szCs w:val="16"/>
              </w:rPr>
              <w:t>2023-12</w:t>
            </w:r>
          </w:p>
        </w:tc>
        <w:tc>
          <w:tcPr>
            <w:tcW w:w="800" w:type="dxa"/>
            <w:shd w:val="solid" w:color="FFFFFF" w:fill="auto"/>
          </w:tcPr>
          <w:p w14:paraId="60E8B5D7" w14:textId="50EA443A" w:rsidR="0059213C" w:rsidRPr="00873B6C" w:rsidRDefault="0059213C" w:rsidP="00591B52">
            <w:pPr>
              <w:pStyle w:val="TAL"/>
              <w:rPr>
                <w:sz w:val="16"/>
                <w:szCs w:val="16"/>
              </w:rPr>
            </w:pPr>
            <w:r w:rsidRPr="00873B6C">
              <w:rPr>
                <w:sz w:val="16"/>
                <w:szCs w:val="16"/>
              </w:rPr>
              <w:t>SP#102</w:t>
            </w:r>
          </w:p>
        </w:tc>
        <w:tc>
          <w:tcPr>
            <w:tcW w:w="1094" w:type="dxa"/>
            <w:shd w:val="solid" w:color="FFFFFF" w:fill="auto"/>
          </w:tcPr>
          <w:p w14:paraId="5A94F556" w14:textId="695E5ED8" w:rsidR="0059213C" w:rsidRPr="00873B6C" w:rsidRDefault="0059213C" w:rsidP="00591B52">
            <w:pPr>
              <w:pStyle w:val="TAC"/>
              <w:rPr>
                <w:sz w:val="16"/>
                <w:szCs w:val="16"/>
              </w:rPr>
            </w:pPr>
            <w:r w:rsidRPr="00873B6C">
              <w:rPr>
                <w:sz w:val="16"/>
                <w:szCs w:val="16"/>
              </w:rPr>
              <w:t>SP-231273</w:t>
            </w:r>
          </w:p>
        </w:tc>
        <w:tc>
          <w:tcPr>
            <w:tcW w:w="567" w:type="dxa"/>
            <w:shd w:val="solid" w:color="FFFFFF" w:fill="auto"/>
          </w:tcPr>
          <w:p w14:paraId="1F94C43A" w14:textId="464851CB" w:rsidR="0059213C" w:rsidRPr="00873B6C" w:rsidRDefault="0059213C" w:rsidP="00591B52">
            <w:pPr>
              <w:pStyle w:val="TAL"/>
              <w:rPr>
                <w:sz w:val="16"/>
                <w:szCs w:val="16"/>
              </w:rPr>
            </w:pPr>
            <w:r w:rsidRPr="00873B6C">
              <w:rPr>
                <w:sz w:val="16"/>
                <w:szCs w:val="16"/>
              </w:rPr>
              <w:t>5115</w:t>
            </w:r>
          </w:p>
        </w:tc>
        <w:tc>
          <w:tcPr>
            <w:tcW w:w="425" w:type="dxa"/>
            <w:shd w:val="solid" w:color="FFFFFF" w:fill="auto"/>
          </w:tcPr>
          <w:p w14:paraId="2938B2B3" w14:textId="5F76A1BA" w:rsidR="0059213C" w:rsidRPr="00873B6C" w:rsidRDefault="0059213C" w:rsidP="00591B52">
            <w:pPr>
              <w:pStyle w:val="TAL"/>
              <w:rPr>
                <w:sz w:val="16"/>
                <w:szCs w:val="16"/>
              </w:rPr>
            </w:pPr>
            <w:r w:rsidRPr="00873B6C">
              <w:rPr>
                <w:sz w:val="16"/>
                <w:szCs w:val="16"/>
              </w:rPr>
              <w:t>3</w:t>
            </w:r>
          </w:p>
        </w:tc>
        <w:tc>
          <w:tcPr>
            <w:tcW w:w="425" w:type="dxa"/>
            <w:shd w:val="solid" w:color="FFFFFF" w:fill="auto"/>
          </w:tcPr>
          <w:p w14:paraId="7F2C3765" w14:textId="65273343" w:rsidR="0059213C" w:rsidRPr="00873B6C" w:rsidRDefault="0059213C" w:rsidP="00591B52">
            <w:pPr>
              <w:pStyle w:val="TAL"/>
              <w:rPr>
                <w:sz w:val="16"/>
                <w:szCs w:val="16"/>
              </w:rPr>
            </w:pPr>
            <w:r w:rsidRPr="00873B6C">
              <w:rPr>
                <w:sz w:val="16"/>
                <w:szCs w:val="16"/>
              </w:rPr>
              <w:t>F</w:t>
            </w:r>
          </w:p>
        </w:tc>
        <w:tc>
          <w:tcPr>
            <w:tcW w:w="4820" w:type="dxa"/>
            <w:shd w:val="solid" w:color="FFFFFF" w:fill="auto"/>
          </w:tcPr>
          <w:p w14:paraId="5E560AA3" w14:textId="2BE67140" w:rsidR="0059213C" w:rsidRPr="00873B6C" w:rsidRDefault="0059213C" w:rsidP="00591B52">
            <w:pPr>
              <w:pStyle w:val="TAL"/>
              <w:rPr>
                <w:sz w:val="16"/>
                <w:szCs w:val="16"/>
              </w:rPr>
            </w:pPr>
            <w:r w:rsidRPr="00873B6C">
              <w:rPr>
                <w:sz w:val="16"/>
                <w:szCs w:val="16"/>
              </w:rPr>
              <w:t>Alignment with RAN3 on the network timing synchronization status information</w:t>
            </w:r>
          </w:p>
        </w:tc>
        <w:tc>
          <w:tcPr>
            <w:tcW w:w="708" w:type="dxa"/>
            <w:shd w:val="solid" w:color="FFFFFF" w:fill="auto"/>
          </w:tcPr>
          <w:p w14:paraId="25E2ED40" w14:textId="42936AE8" w:rsidR="0059213C" w:rsidRPr="00873B6C" w:rsidRDefault="0059213C" w:rsidP="00591B52">
            <w:pPr>
              <w:pStyle w:val="TAC"/>
              <w:rPr>
                <w:sz w:val="16"/>
                <w:szCs w:val="16"/>
              </w:rPr>
            </w:pPr>
            <w:r w:rsidRPr="00873B6C">
              <w:rPr>
                <w:sz w:val="16"/>
                <w:szCs w:val="16"/>
              </w:rPr>
              <w:t>18.4.0</w:t>
            </w:r>
          </w:p>
        </w:tc>
      </w:tr>
      <w:tr w:rsidR="0059213C" w:rsidRPr="00873B6C" w14:paraId="4C99244B" w14:textId="77777777" w:rsidTr="009D14FB">
        <w:tc>
          <w:tcPr>
            <w:tcW w:w="800" w:type="dxa"/>
            <w:shd w:val="solid" w:color="FFFFFF" w:fill="auto"/>
          </w:tcPr>
          <w:p w14:paraId="054AC7F2" w14:textId="2A1237AD" w:rsidR="0059213C" w:rsidRPr="00873B6C" w:rsidRDefault="0059213C" w:rsidP="00591B52">
            <w:pPr>
              <w:pStyle w:val="TAC"/>
              <w:rPr>
                <w:sz w:val="16"/>
                <w:szCs w:val="16"/>
              </w:rPr>
            </w:pPr>
            <w:r w:rsidRPr="00873B6C">
              <w:rPr>
                <w:sz w:val="16"/>
                <w:szCs w:val="16"/>
              </w:rPr>
              <w:t>2023-12</w:t>
            </w:r>
          </w:p>
        </w:tc>
        <w:tc>
          <w:tcPr>
            <w:tcW w:w="800" w:type="dxa"/>
            <w:shd w:val="solid" w:color="FFFFFF" w:fill="auto"/>
          </w:tcPr>
          <w:p w14:paraId="20E53428" w14:textId="17EEA6F1" w:rsidR="0059213C" w:rsidRPr="00873B6C" w:rsidRDefault="0059213C" w:rsidP="00591B52">
            <w:pPr>
              <w:pStyle w:val="TAL"/>
              <w:rPr>
                <w:sz w:val="16"/>
                <w:szCs w:val="16"/>
              </w:rPr>
            </w:pPr>
            <w:r w:rsidRPr="00873B6C">
              <w:rPr>
                <w:sz w:val="16"/>
                <w:szCs w:val="16"/>
              </w:rPr>
              <w:t>SP#102</w:t>
            </w:r>
          </w:p>
        </w:tc>
        <w:tc>
          <w:tcPr>
            <w:tcW w:w="1094" w:type="dxa"/>
            <w:shd w:val="solid" w:color="FFFFFF" w:fill="auto"/>
          </w:tcPr>
          <w:p w14:paraId="140EA093" w14:textId="63924533" w:rsidR="0059213C" w:rsidRPr="00873B6C" w:rsidRDefault="0059213C" w:rsidP="00591B52">
            <w:pPr>
              <w:pStyle w:val="TAC"/>
              <w:rPr>
                <w:sz w:val="16"/>
                <w:szCs w:val="16"/>
              </w:rPr>
            </w:pPr>
            <w:r w:rsidRPr="00873B6C">
              <w:rPr>
                <w:sz w:val="16"/>
                <w:szCs w:val="16"/>
              </w:rPr>
              <w:t>SP-231237</w:t>
            </w:r>
          </w:p>
        </w:tc>
        <w:tc>
          <w:tcPr>
            <w:tcW w:w="567" w:type="dxa"/>
            <w:shd w:val="solid" w:color="FFFFFF" w:fill="auto"/>
          </w:tcPr>
          <w:p w14:paraId="1032EA2B" w14:textId="39871CC8" w:rsidR="0059213C" w:rsidRPr="00873B6C" w:rsidRDefault="0059213C" w:rsidP="00591B52">
            <w:pPr>
              <w:pStyle w:val="TAL"/>
              <w:rPr>
                <w:sz w:val="16"/>
                <w:szCs w:val="16"/>
              </w:rPr>
            </w:pPr>
            <w:r w:rsidRPr="00873B6C">
              <w:rPr>
                <w:sz w:val="16"/>
                <w:szCs w:val="16"/>
              </w:rPr>
              <w:t>5121</w:t>
            </w:r>
          </w:p>
        </w:tc>
        <w:tc>
          <w:tcPr>
            <w:tcW w:w="425" w:type="dxa"/>
            <w:shd w:val="solid" w:color="FFFFFF" w:fill="auto"/>
          </w:tcPr>
          <w:p w14:paraId="0C4E2108" w14:textId="0F67E519" w:rsidR="0059213C" w:rsidRPr="00873B6C" w:rsidRDefault="0059213C" w:rsidP="00591B52">
            <w:pPr>
              <w:pStyle w:val="TAL"/>
              <w:rPr>
                <w:sz w:val="16"/>
                <w:szCs w:val="16"/>
              </w:rPr>
            </w:pPr>
            <w:r w:rsidRPr="00873B6C">
              <w:rPr>
                <w:sz w:val="16"/>
                <w:szCs w:val="16"/>
              </w:rPr>
              <w:t>1</w:t>
            </w:r>
          </w:p>
        </w:tc>
        <w:tc>
          <w:tcPr>
            <w:tcW w:w="425" w:type="dxa"/>
            <w:shd w:val="solid" w:color="FFFFFF" w:fill="auto"/>
          </w:tcPr>
          <w:p w14:paraId="2C55E63B" w14:textId="1FCCABA7" w:rsidR="0059213C" w:rsidRPr="00873B6C" w:rsidRDefault="0059213C" w:rsidP="00591B52">
            <w:pPr>
              <w:pStyle w:val="TAL"/>
              <w:rPr>
                <w:sz w:val="16"/>
                <w:szCs w:val="16"/>
              </w:rPr>
            </w:pPr>
            <w:r w:rsidRPr="00873B6C">
              <w:rPr>
                <w:sz w:val="16"/>
                <w:szCs w:val="16"/>
              </w:rPr>
              <w:t>A</w:t>
            </w:r>
          </w:p>
        </w:tc>
        <w:tc>
          <w:tcPr>
            <w:tcW w:w="4820" w:type="dxa"/>
            <w:shd w:val="solid" w:color="FFFFFF" w:fill="auto"/>
          </w:tcPr>
          <w:p w14:paraId="766E335B" w14:textId="09E1E8A8" w:rsidR="0059213C" w:rsidRPr="00873B6C" w:rsidRDefault="0059213C" w:rsidP="00591B52">
            <w:pPr>
              <w:pStyle w:val="TAL"/>
              <w:rPr>
                <w:sz w:val="16"/>
                <w:szCs w:val="16"/>
              </w:rPr>
            </w:pPr>
            <w:r w:rsidRPr="00873B6C">
              <w:rPr>
                <w:sz w:val="16"/>
                <w:szCs w:val="16"/>
              </w:rPr>
              <w:t>Alignment of how Allowed NSSAI can be determined</w:t>
            </w:r>
          </w:p>
        </w:tc>
        <w:tc>
          <w:tcPr>
            <w:tcW w:w="708" w:type="dxa"/>
            <w:shd w:val="solid" w:color="FFFFFF" w:fill="auto"/>
          </w:tcPr>
          <w:p w14:paraId="7CB526A9" w14:textId="3AA73758" w:rsidR="0059213C" w:rsidRPr="00873B6C" w:rsidRDefault="0059213C" w:rsidP="00591B52">
            <w:pPr>
              <w:pStyle w:val="TAC"/>
              <w:rPr>
                <w:sz w:val="16"/>
                <w:szCs w:val="16"/>
              </w:rPr>
            </w:pPr>
            <w:r w:rsidRPr="00873B6C">
              <w:rPr>
                <w:sz w:val="16"/>
                <w:szCs w:val="16"/>
              </w:rPr>
              <w:t>18.4.0</w:t>
            </w:r>
          </w:p>
        </w:tc>
      </w:tr>
      <w:tr w:rsidR="004119E4" w:rsidRPr="00873B6C" w14:paraId="4099F742" w14:textId="77777777" w:rsidTr="009D14FB">
        <w:tc>
          <w:tcPr>
            <w:tcW w:w="800" w:type="dxa"/>
            <w:shd w:val="solid" w:color="FFFFFF" w:fill="auto"/>
          </w:tcPr>
          <w:p w14:paraId="24CF69B5" w14:textId="6DAF6A0D"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4417166D" w14:textId="7D847512"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44C42CFD" w14:textId="6D4EDBAD" w:rsidR="004119E4" w:rsidRPr="00873B6C" w:rsidRDefault="004119E4" w:rsidP="00591B52">
            <w:pPr>
              <w:pStyle w:val="TAC"/>
              <w:rPr>
                <w:sz w:val="16"/>
                <w:szCs w:val="16"/>
              </w:rPr>
            </w:pPr>
            <w:r w:rsidRPr="00873B6C">
              <w:rPr>
                <w:sz w:val="16"/>
                <w:szCs w:val="16"/>
              </w:rPr>
              <w:t>SP-231254</w:t>
            </w:r>
          </w:p>
        </w:tc>
        <w:tc>
          <w:tcPr>
            <w:tcW w:w="567" w:type="dxa"/>
            <w:shd w:val="solid" w:color="FFFFFF" w:fill="auto"/>
          </w:tcPr>
          <w:p w14:paraId="34FEB423" w14:textId="5D8C3996" w:rsidR="004119E4" w:rsidRPr="00873B6C" w:rsidRDefault="004119E4" w:rsidP="00591B52">
            <w:pPr>
              <w:pStyle w:val="TAL"/>
              <w:rPr>
                <w:sz w:val="16"/>
                <w:szCs w:val="16"/>
              </w:rPr>
            </w:pPr>
            <w:r w:rsidRPr="00873B6C">
              <w:rPr>
                <w:sz w:val="16"/>
                <w:szCs w:val="16"/>
              </w:rPr>
              <w:t>5123</w:t>
            </w:r>
          </w:p>
        </w:tc>
        <w:tc>
          <w:tcPr>
            <w:tcW w:w="425" w:type="dxa"/>
            <w:shd w:val="solid" w:color="FFFFFF" w:fill="auto"/>
          </w:tcPr>
          <w:p w14:paraId="2A516E78" w14:textId="678A07AE" w:rsidR="004119E4" w:rsidRPr="00873B6C" w:rsidRDefault="004119E4" w:rsidP="00591B52">
            <w:pPr>
              <w:pStyle w:val="TAL"/>
              <w:rPr>
                <w:sz w:val="16"/>
                <w:szCs w:val="16"/>
              </w:rPr>
            </w:pPr>
            <w:r w:rsidRPr="00873B6C">
              <w:rPr>
                <w:sz w:val="16"/>
                <w:szCs w:val="16"/>
              </w:rPr>
              <w:t>3</w:t>
            </w:r>
          </w:p>
        </w:tc>
        <w:tc>
          <w:tcPr>
            <w:tcW w:w="425" w:type="dxa"/>
            <w:shd w:val="solid" w:color="FFFFFF" w:fill="auto"/>
          </w:tcPr>
          <w:p w14:paraId="1107BD93" w14:textId="35559666"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71006AEB" w14:textId="2F778805" w:rsidR="004119E4" w:rsidRPr="00873B6C" w:rsidRDefault="004119E4" w:rsidP="00591B52">
            <w:pPr>
              <w:pStyle w:val="TAL"/>
              <w:rPr>
                <w:sz w:val="16"/>
                <w:szCs w:val="16"/>
              </w:rPr>
            </w:pPr>
            <w:r w:rsidRPr="00873B6C">
              <w:rPr>
                <w:sz w:val="16"/>
                <w:szCs w:val="16"/>
              </w:rPr>
              <w:t xml:space="preserve">Clarify MRU handling for non-3GPP access path switching </w:t>
            </w:r>
          </w:p>
        </w:tc>
        <w:tc>
          <w:tcPr>
            <w:tcW w:w="708" w:type="dxa"/>
            <w:shd w:val="solid" w:color="FFFFFF" w:fill="auto"/>
          </w:tcPr>
          <w:p w14:paraId="3812B441" w14:textId="17A9EDCD" w:rsidR="004119E4" w:rsidRPr="00873B6C" w:rsidRDefault="004119E4" w:rsidP="00591B52">
            <w:pPr>
              <w:pStyle w:val="TAC"/>
              <w:rPr>
                <w:sz w:val="16"/>
                <w:szCs w:val="16"/>
              </w:rPr>
            </w:pPr>
            <w:r w:rsidRPr="00873B6C">
              <w:rPr>
                <w:sz w:val="16"/>
                <w:szCs w:val="16"/>
              </w:rPr>
              <w:t>18.4.0</w:t>
            </w:r>
          </w:p>
        </w:tc>
      </w:tr>
      <w:tr w:rsidR="004119E4" w:rsidRPr="00873B6C" w14:paraId="09DA0624" w14:textId="77777777" w:rsidTr="009D14FB">
        <w:tc>
          <w:tcPr>
            <w:tcW w:w="800" w:type="dxa"/>
            <w:shd w:val="solid" w:color="FFFFFF" w:fill="auto"/>
          </w:tcPr>
          <w:p w14:paraId="5B4F5912" w14:textId="0C2A3F11"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0E18FF6D" w14:textId="4BC21431"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700BC40C" w14:textId="2A9BC43B" w:rsidR="004119E4" w:rsidRPr="00873B6C" w:rsidRDefault="004119E4" w:rsidP="00591B52">
            <w:pPr>
              <w:pStyle w:val="TAC"/>
              <w:rPr>
                <w:sz w:val="16"/>
                <w:szCs w:val="16"/>
              </w:rPr>
            </w:pPr>
            <w:r w:rsidRPr="00873B6C">
              <w:rPr>
                <w:sz w:val="16"/>
                <w:szCs w:val="16"/>
              </w:rPr>
              <w:t>SP-231258</w:t>
            </w:r>
          </w:p>
        </w:tc>
        <w:tc>
          <w:tcPr>
            <w:tcW w:w="567" w:type="dxa"/>
            <w:shd w:val="solid" w:color="FFFFFF" w:fill="auto"/>
          </w:tcPr>
          <w:p w14:paraId="0E6CFD31" w14:textId="6F8D6B4C" w:rsidR="004119E4" w:rsidRPr="00873B6C" w:rsidRDefault="004119E4" w:rsidP="00591B52">
            <w:pPr>
              <w:pStyle w:val="TAL"/>
              <w:rPr>
                <w:sz w:val="16"/>
                <w:szCs w:val="16"/>
              </w:rPr>
            </w:pPr>
            <w:r w:rsidRPr="00873B6C">
              <w:rPr>
                <w:sz w:val="16"/>
                <w:szCs w:val="16"/>
              </w:rPr>
              <w:t>5125</w:t>
            </w:r>
          </w:p>
        </w:tc>
        <w:tc>
          <w:tcPr>
            <w:tcW w:w="425" w:type="dxa"/>
            <w:shd w:val="solid" w:color="FFFFFF" w:fill="auto"/>
          </w:tcPr>
          <w:p w14:paraId="063A0BF5" w14:textId="1F5A3819" w:rsidR="004119E4" w:rsidRPr="00873B6C" w:rsidRDefault="004119E4" w:rsidP="00591B52">
            <w:pPr>
              <w:pStyle w:val="TAL"/>
              <w:rPr>
                <w:sz w:val="16"/>
                <w:szCs w:val="16"/>
              </w:rPr>
            </w:pPr>
            <w:r w:rsidRPr="00873B6C">
              <w:rPr>
                <w:sz w:val="16"/>
                <w:szCs w:val="16"/>
              </w:rPr>
              <w:t>2</w:t>
            </w:r>
          </w:p>
        </w:tc>
        <w:tc>
          <w:tcPr>
            <w:tcW w:w="425" w:type="dxa"/>
            <w:shd w:val="solid" w:color="FFFFFF" w:fill="auto"/>
          </w:tcPr>
          <w:p w14:paraId="7BE97098" w14:textId="6326E9BA"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45917912" w14:textId="66E16BD2" w:rsidR="004119E4" w:rsidRPr="00873B6C" w:rsidRDefault="004119E4" w:rsidP="00591B52">
            <w:pPr>
              <w:pStyle w:val="TAL"/>
              <w:rPr>
                <w:sz w:val="16"/>
                <w:szCs w:val="16"/>
              </w:rPr>
            </w:pPr>
            <w:r w:rsidRPr="00873B6C">
              <w:rPr>
                <w:sz w:val="16"/>
                <w:szCs w:val="16"/>
              </w:rPr>
              <w:t>Correction for alignment with TS 23.288 regarding ML Model interoperability per Analytics ID</w:t>
            </w:r>
          </w:p>
        </w:tc>
        <w:tc>
          <w:tcPr>
            <w:tcW w:w="708" w:type="dxa"/>
            <w:shd w:val="solid" w:color="FFFFFF" w:fill="auto"/>
          </w:tcPr>
          <w:p w14:paraId="78DE7922" w14:textId="70F23CAA" w:rsidR="004119E4" w:rsidRPr="00873B6C" w:rsidRDefault="004119E4" w:rsidP="00591B52">
            <w:pPr>
              <w:pStyle w:val="TAC"/>
              <w:rPr>
                <w:sz w:val="16"/>
                <w:szCs w:val="16"/>
              </w:rPr>
            </w:pPr>
            <w:r w:rsidRPr="00873B6C">
              <w:rPr>
                <w:sz w:val="16"/>
                <w:szCs w:val="16"/>
              </w:rPr>
              <w:t>18.4.0</w:t>
            </w:r>
          </w:p>
        </w:tc>
      </w:tr>
      <w:tr w:rsidR="00EF4A8B" w:rsidRPr="00873B6C" w14:paraId="19C4908C" w14:textId="77777777" w:rsidTr="00C9561D">
        <w:tc>
          <w:tcPr>
            <w:tcW w:w="800" w:type="dxa"/>
            <w:shd w:val="solid" w:color="FFFFFF" w:fill="auto"/>
          </w:tcPr>
          <w:p w14:paraId="730D337F" w14:textId="77777777" w:rsidR="00EF4A8B" w:rsidRPr="00873B6C" w:rsidRDefault="00EF4A8B" w:rsidP="00C9561D">
            <w:pPr>
              <w:pStyle w:val="TAC"/>
              <w:rPr>
                <w:sz w:val="16"/>
                <w:szCs w:val="16"/>
              </w:rPr>
            </w:pPr>
            <w:r w:rsidRPr="00873B6C">
              <w:rPr>
                <w:sz w:val="16"/>
                <w:szCs w:val="16"/>
              </w:rPr>
              <w:t>2023-12</w:t>
            </w:r>
          </w:p>
        </w:tc>
        <w:tc>
          <w:tcPr>
            <w:tcW w:w="800" w:type="dxa"/>
            <w:shd w:val="solid" w:color="FFFFFF" w:fill="auto"/>
          </w:tcPr>
          <w:p w14:paraId="5C7D9050" w14:textId="77777777" w:rsidR="00EF4A8B" w:rsidRPr="00873B6C" w:rsidRDefault="00EF4A8B" w:rsidP="00C9561D">
            <w:pPr>
              <w:pStyle w:val="TAL"/>
              <w:rPr>
                <w:sz w:val="16"/>
                <w:szCs w:val="16"/>
              </w:rPr>
            </w:pPr>
            <w:r w:rsidRPr="00873B6C">
              <w:rPr>
                <w:sz w:val="16"/>
                <w:szCs w:val="16"/>
              </w:rPr>
              <w:t>SP#102</w:t>
            </w:r>
          </w:p>
        </w:tc>
        <w:tc>
          <w:tcPr>
            <w:tcW w:w="1094" w:type="dxa"/>
            <w:shd w:val="solid" w:color="FFFFFF" w:fill="auto"/>
          </w:tcPr>
          <w:p w14:paraId="58162C98" w14:textId="5C65F267" w:rsidR="00EF4A8B" w:rsidRPr="00873B6C" w:rsidRDefault="00EF4A8B" w:rsidP="00C9561D">
            <w:pPr>
              <w:pStyle w:val="TAC"/>
              <w:rPr>
                <w:sz w:val="16"/>
                <w:szCs w:val="16"/>
              </w:rPr>
            </w:pPr>
            <w:r w:rsidRPr="00873B6C">
              <w:rPr>
                <w:sz w:val="16"/>
                <w:szCs w:val="16"/>
              </w:rPr>
              <w:t>SP-231512</w:t>
            </w:r>
          </w:p>
        </w:tc>
        <w:tc>
          <w:tcPr>
            <w:tcW w:w="567" w:type="dxa"/>
            <w:shd w:val="solid" w:color="FFFFFF" w:fill="auto"/>
          </w:tcPr>
          <w:p w14:paraId="65B9B3C2" w14:textId="77777777" w:rsidR="00EF4A8B" w:rsidRPr="00873B6C" w:rsidRDefault="00EF4A8B" w:rsidP="00C9561D">
            <w:pPr>
              <w:pStyle w:val="TAL"/>
              <w:rPr>
                <w:sz w:val="16"/>
                <w:szCs w:val="16"/>
              </w:rPr>
            </w:pPr>
            <w:r w:rsidRPr="00873B6C">
              <w:rPr>
                <w:sz w:val="16"/>
                <w:szCs w:val="16"/>
              </w:rPr>
              <w:t>5126</w:t>
            </w:r>
          </w:p>
        </w:tc>
        <w:tc>
          <w:tcPr>
            <w:tcW w:w="425" w:type="dxa"/>
            <w:shd w:val="solid" w:color="FFFFFF" w:fill="auto"/>
          </w:tcPr>
          <w:p w14:paraId="203212F0" w14:textId="77777777" w:rsidR="00EF4A8B" w:rsidRPr="00873B6C" w:rsidRDefault="00EF4A8B" w:rsidP="00C9561D">
            <w:pPr>
              <w:pStyle w:val="TAL"/>
              <w:rPr>
                <w:sz w:val="16"/>
                <w:szCs w:val="16"/>
              </w:rPr>
            </w:pPr>
            <w:r w:rsidRPr="00873B6C">
              <w:rPr>
                <w:sz w:val="16"/>
                <w:szCs w:val="16"/>
              </w:rPr>
              <w:t>5</w:t>
            </w:r>
          </w:p>
        </w:tc>
        <w:tc>
          <w:tcPr>
            <w:tcW w:w="425" w:type="dxa"/>
            <w:shd w:val="solid" w:color="FFFFFF" w:fill="auto"/>
          </w:tcPr>
          <w:p w14:paraId="3C0D4586" w14:textId="77777777" w:rsidR="00EF4A8B" w:rsidRPr="00873B6C" w:rsidRDefault="00EF4A8B" w:rsidP="00C9561D">
            <w:pPr>
              <w:pStyle w:val="TAL"/>
              <w:rPr>
                <w:sz w:val="16"/>
                <w:szCs w:val="16"/>
              </w:rPr>
            </w:pPr>
            <w:r w:rsidRPr="00873B6C">
              <w:rPr>
                <w:sz w:val="16"/>
                <w:szCs w:val="16"/>
              </w:rPr>
              <w:t>F</w:t>
            </w:r>
          </w:p>
        </w:tc>
        <w:tc>
          <w:tcPr>
            <w:tcW w:w="4820" w:type="dxa"/>
            <w:shd w:val="solid" w:color="FFFFFF" w:fill="auto"/>
          </w:tcPr>
          <w:p w14:paraId="6430F254" w14:textId="77777777" w:rsidR="00EF4A8B" w:rsidRPr="00873B6C" w:rsidRDefault="00EF4A8B" w:rsidP="00C9561D">
            <w:pPr>
              <w:pStyle w:val="TAL"/>
              <w:rPr>
                <w:sz w:val="16"/>
                <w:szCs w:val="16"/>
              </w:rPr>
            </w:pPr>
            <w:r w:rsidRPr="00873B6C">
              <w:rPr>
                <w:sz w:val="16"/>
                <w:szCs w:val="16"/>
              </w:rPr>
              <w:t>Handling of Alternative S-NSSAI</w:t>
            </w:r>
          </w:p>
        </w:tc>
        <w:tc>
          <w:tcPr>
            <w:tcW w:w="708" w:type="dxa"/>
            <w:shd w:val="solid" w:color="FFFFFF" w:fill="auto"/>
          </w:tcPr>
          <w:p w14:paraId="44CD79C0" w14:textId="77777777" w:rsidR="00EF4A8B" w:rsidRPr="00873B6C" w:rsidRDefault="00EF4A8B" w:rsidP="00C9561D">
            <w:pPr>
              <w:pStyle w:val="TAC"/>
              <w:rPr>
                <w:sz w:val="16"/>
                <w:szCs w:val="16"/>
              </w:rPr>
            </w:pPr>
            <w:r w:rsidRPr="00873B6C">
              <w:rPr>
                <w:sz w:val="16"/>
                <w:szCs w:val="16"/>
              </w:rPr>
              <w:t>18.4.0</w:t>
            </w:r>
          </w:p>
        </w:tc>
      </w:tr>
      <w:tr w:rsidR="004119E4" w:rsidRPr="00873B6C" w14:paraId="1118FCA9" w14:textId="77777777" w:rsidTr="009D14FB">
        <w:tc>
          <w:tcPr>
            <w:tcW w:w="800" w:type="dxa"/>
            <w:shd w:val="solid" w:color="FFFFFF" w:fill="auto"/>
          </w:tcPr>
          <w:p w14:paraId="14A2EBCD" w14:textId="06A19678"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493CE5EC" w14:textId="0016407B"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404D6F64" w14:textId="3A7A6BF1" w:rsidR="004119E4" w:rsidRPr="00873B6C" w:rsidRDefault="004119E4" w:rsidP="00591B52">
            <w:pPr>
              <w:pStyle w:val="TAC"/>
              <w:rPr>
                <w:sz w:val="16"/>
                <w:szCs w:val="16"/>
              </w:rPr>
            </w:pPr>
            <w:r w:rsidRPr="00873B6C">
              <w:rPr>
                <w:sz w:val="16"/>
                <w:szCs w:val="16"/>
              </w:rPr>
              <w:t>SP-231239</w:t>
            </w:r>
          </w:p>
        </w:tc>
        <w:tc>
          <w:tcPr>
            <w:tcW w:w="567" w:type="dxa"/>
            <w:shd w:val="solid" w:color="FFFFFF" w:fill="auto"/>
          </w:tcPr>
          <w:p w14:paraId="75B7354D" w14:textId="70B45BB6" w:rsidR="004119E4" w:rsidRPr="00873B6C" w:rsidRDefault="004119E4" w:rsidP="00591B52">
            <w:pPr>
              <w:pStyle w:val="TAL"/>
              <w:rPr>
                <w:sz w:val="16"/>
                <w:szCs w:val="16"/>
              </w:rPr>
            </w:pPr>
            <w:r w:rsidRPr="00873B6C">
              <w:rPr>
                <w:sz w:val="16"/>
                <w:szCs w:val="16"/>
              </w:rPr>
              <w:t>5128</w:t>
            </w:r>
          </w:p>
        </w:tc>
        <w:tc>
          <w:tcPr>
            <w:tcW w:w="425" w:type="dxa"/>
            <w:shd w:val="solid" w:color="FFFFFF" w:fill="auto"/>
          </w:tcPr>
          <w:p w14:paraId="1084D358" w14:textId="522F5BB0" w:rsidR="004119E4" w:rsidRPr="00873B6C" w:rsidRDefault="004119E4" w:rsidP="00591B52">
            <w:pPr>
              <w:pStyle w:val="TAL"/>
              <w:rPr>
                <w:sz w:val="16"/>
                <w:szCs w:val="16"/>
              </w:rPr>
            </w:pPr>
            <w:r w:rsidRPr="00873B6C">
              <w:rPr>
                <w:sz w:val="16"/>
                <w:szCs w:val="16"/>
              </w:rPr>
              <w:t>1</w:t>
            </w:r>
          </w:p>
        </w:tc>
        <w:tc>
          <w:tcPr>
            <w:tcW w:w="425" w:type="dxa"/>
            <w:shd w:val="solid" w:color="FFFFFF" w:fill="auto"/>
          </w:tcPr>
          <w:p w14:paraId="52ACA0EC" w14:textId="7DDD5F40" w:rsidR="004119E4" w:rsidRPr="00873B6C" w:rsidRDefault="004119E4" w:rsidP="00591B52">
            <w:pPr>
              <w:pStyle w:val="TAL"/>
              <w:rPr>
                <w:sz w:val="16"/>
                <w:szCs w:val="16"/>
              </w:rPr>
            </w:pPr>
            <w:r w:rsidRPr="00873B6C">
              <w:rPr>
                <w:sz w:val="16"/>
                <w:szCs w:val="16"/>
              </w:rPr>
              <w:t>A</w:t>
            </w:r>
          </w:p>
        </w:tc>
        <w:tc>
          <w:tcPr>
            <w:tcW w:w="4820" w:type="dxa"/>
            <w:shd w:val="solid" w:color="FFFFFF" w:fill="auto"/>
          </w:tcPr>
          <w:p w14:paraId="43A6624A" w14:textId="309C252B" w:rsidR="004119E4" w:rsidRPr="00873B6C" w:rsidRDefault="004119E4" w:rsidP="00591B52">
            <w:pPr>
              <w:pStyle w:val="TAL"/>
              <w:rPr>
                <w:sz w:val="16"/>
                <w:szCs w:val="16"/>
              </w:rPr>
            </w:pPr>
            <w:r w:rsidRPr="00873B6C">
              <w:rPr>
                <w:sz w:val="16"/>
                <w:szCs w:val="16"/>
              </w:rPr>
              <w:t>Requesting Configured NSSAI from NSSF</w:t>
            </w:r>
          </w:p>
        </w:tc>
        <w:tc>
          <w:tcPr>
            <w:tcW w:w="708" w:type="dxa"/>
            <w:shd w:val="solid" w:color="FFFFFF" w:fill="auto"/>
          </w:tcPr>
          <w:p w14:paraId="61158194" w14:textId="714AB377" w:rsidR="004119E4" w:rsidRPr="00873B6C" w:rsidRDefault="004119E4" w:rsidP="00591B52">
            <w:pPr>
              <w:pStyle w:val="TAC"/>
              <w:rPr>
                <w:sz w:val="16"/>
                <w:szCs w:val="16"/>
              </w:rPr>
            </w:pPr>
            <w:r w:rsidRPr="00873B6C">
              <w:rPr>
                <w:sz w:val="16"/>
                <w:szCs w:val="16"/>
              </w:rPr>
              <w:t>18.4.0</w:t>
            </w:r>
          </w:p>
        </w:tc>
      </w:tr>
      <w:tr w:rsidR="004119E4" w:rsidRPr="00873B6C" w14:paraId="47B2DF79" w14:textId="77777777" w:rsidTr="009D14FB">
        <w:tc>
          <w:tcPr>
            <w:tcW w:w="800" w:type="dxa"/>
            <w:shd w:val="solid" w:color="FFFFFF" w:fill="auto"/>
          </w:tcPr>
          <w:p w14:paraId="15C478E2" w14:textId="34340F82"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2D5E374A" w14:textId="4C43ACF1"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127BECC6" w14:textId="1523B02D" w:rsidR="004119E4" w:rsidRPr="00873B6C" w:rsidRDefault="004119E4" w:rsidP="00591B52">
            <w:pPr>
              <w:pStyle w:val="TAC"/>
              <w:rPr>
                <w:sz w:val="16"/>
                <w:szCs w:val="16"/>
              </w:rPr>
            </w:pPr>
            <w:r w:rsidRPr="00873B6C">
              <w:rPr>
                <w:sz w:val="16"/>
                <w:szCs w:val="16"/>
              </w:rPr>
              <w:t>SP-231260</w:t>
            </w:r>
          </w:p>
        </w:tc>
        <w:tc>
          <w:tcPr>
            <w:tcW w:w="567" w:type="dxa"/>
            <w:shd w:val="solid" w:color="FFFFFF" w:fill="auto"/>
          </w:tcPr>
          <w:p w14:paraId="37372812" w14:textId="5B4E74AA" w:rsidR="004119E4" w:rsidRPr="00873B6C" w:rsidRDefault="004119E4" w:rsidP="00591B52">
            <w:pPr>
              <w:pStyle w:val="TAL"/>
              <w:rPr>
                <w:sz w:val="16"/>
                <w:szCs w:val="16"/>
              </w:rPr>
            </w:pPr>
            <w:r w:rsidRPr="00873B6C">
              <w:rPr>
                <w:sz w:val="16"/>
                <w:szCs w:val="16"/>
              </w:rPr>
              <w:t>5137</w:t>
            </w:r>
          </w:p>
        </w:tc>
        <w:tc>
          <w:tcPr>
            <w:tcW w:w="425" w:type="dxa"/>
            <w:shd w:val="solid" w:color="FFFFFF" w:fill="auto"/>
          </w:tcPr>
          <w:p w14:paraId="5A090099" w14:textId="6BDE72CD" w:rsidR="004119E4" w:rsidRPr="00873B6C" w:rsidRDefault="004119E4" w:rsidP="00591B52">
            <w:pPr>
              <w:pStyle w:val="TAL"/>
              <w:rPr>
                <w:sz w:val="16"/>
                <w:szCs w:val="16"/>
              </w:rPr>
            </w:pPr>
            <w:r w:rsidRPr="00873B6C">
              <w:rPr>
                <w:sz w:val="16"/>
                <w:szCs w:val="16"/>
              </w:rPr>
              <w:t>1</w:t>
            </w:r>
          </w:p>
        </w:tc>
        <w:tc>
          <w:tcPr>
            <w:tcW w:w="425" w:type="dxa"/>
            <w:shd w:val="solid" w:color="FFFFFF" w:fill="auto"/>
          </w:tcPr>
          <w:p w14:paraId="2668C10E" w14:textId="4FE70288"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1BC2F6E7" w14:textId="6C58F026" w:rsidR="004119E4" w:rsidRPr="00873B6C" w:rsidRDefault="004119E4" w:rsidP="00591B52">
            <w:pPr>
              <w:pStyle w:val="TAL"/>
              <w:rPr>
                <w:sz w:val="16"/>
                <w:szCs w:val="16"/>
              </w:rPr>
            </w:pPr>
            <w:r w:rsidRPr="00873B6C">
              <w:rPr>
                <w:sz w:val="16"/>
                <w:szCs w:val="16"/>
              </w:rPr>
              <w:t>Clarification on slice replacement from Alternative S-NSSAI to original S-NSSAI</w:t>
            </w:r>
          </w:p>
        </w:tc>
        <w:tc>
          <w:tcPr>
            <w:tcW w:w="708" w:type="dxa"/>
            <w:shd w:val="solid" w:color="FFFFFF" w:fill="auto"/>
          </w:tcPr>
          <w:p w14:paraId="2186B3F7" w14:textId="2B01CC5B" w:rsidR="004119E4" w:rsidRPr="00873B6C" w:rsidRDefault="004119E4" w:rsidP="00591B52">
            <w:pPr>
              <w:pStyle w:val="TAC"/>
              <w:rPr>
                <w:sz w:val="16"/>
                <w:szCs w:val="16"/>
              </w:rPr>
            </w:pPr>
            <w:r w:rsidRPr="00873B6C">
              <w:rPr>
                <w:sz w:val="16"/>
                <w:szCs w:val="16"/>
              </w:rPr>
              <w:t>18.4.0</w:t>
            </w:r>
          </w:p>
        </w:tc>
      </w:tr>
      <w:tr w:rsidR="004119E4" w:rsidRPr="00873B6C" w14:paraId="56157458" w14:textId="77777777" w:rsidTr="009D14FB">
        <w:tc>
          <w:tcPr>
            <w:tcW w:w="800" w:type="dxa"/>
            <w:shd w:val="solid" w:color="FFFFFF" w:fill="auto"/>
          </w:tcPr>
          <w:p w14:paraId="6DC7EF16" w14:textId="101D4796"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2A2C1C33" w14:textId="4E500362"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79429815" w14:textId="3365CC2E" w:rsidR="004119E4" w:rsidRPr="00873B6C" w:rsidRDefault="004119E4" w:rsidP="00591B52">
            <w:pPr>
              <w:pStyle w:val="TAC"/>
              <w:rPr>
                <w:sz w:val="16"/>
                <w:szCs w:val="16"/>
              </w:rPr>
            </w:pPr>
            <w:r w:rsidRPr="00873B6C">
              <w:rPr>
                <w:sz w:val="16"/>
                <w:szCs w:val="16"/>
              </w:rPr>
              <w:t>SP-231249</w:t>
            </w:r>
          </w:p>
        </w:tc>
        <w:tc>
          <w:tcPr>
            <w:tcW w:w="567" w:type="dxa"/>
            <w:shd w:val="solid" w:color="FFFFFF" w:fill="auto"/>
          </w:tcPr>
          <w:p w14:paraId="0AD14961" w14:textId="6E9EA1C9" w:rsidR="004119E4" w:rsidRPr="00873B6C" w:rsidRDefault="004119E4" w:rsidP="00591B52">
            <w:pPr>
              <w:pStyle w:val="TAL"/>
              <w:rPr>
                <w:sz w:val="16"/>
                <w:szCs w:val="16"/>
              </w:rPr>
            </w:pPr>
            <w:r w:rsidRPr="00873B6C">
              <w:rPr>
                <w:sz w:val="16"/>
                <w:szCs w:val="16"/>
              </w:rPr>
              <w:t>5141</w:t>
            </w:r>
          </w:p>
        </w:tc>
        <w:tc>
          <w:tcPr>
            <w:tcW w:w="425" w:type="dxa"/>
            <w:shd w:val="solid" w:color="FFFFFF" w:fill="auto"/>
          </w:tcPr>
          <w:p w14:paraId="19F8C982" w14:textId="56B19E65" w:rsidR="004119E4" w:rsidRPr="00873B6C" w:rsidRDefault="004119E4" w:rsidP="00591B52">
            <w:pPr>
              <w:pStyle w:val="TAL"/>
              <w:rPr>
                <w:sz w:val="16"/>
                <w:szCs w:val="16"/>
              </w:rPr>
            </w:pPr>
            <w:r w:rsidRPr="00873B6C">
              <w:rPr>
                <w:sz w:val="16"/>
                <w:szCs w:val="16"/>
              </w:rPr>
              <w:t>2</w:t>
            </w:r>
          </w:p>
        </w:tc>
        <w:tc>
          <w:tcPr>
            <w:tcW w:w="425" w:type="dxa"/>
            <w:shd w:val="solid" w:color="FFFFFF" w:fill="auto"/>
          </w:tcPr>
          <w:p w14:paraId="78574DB3" w14:textId="771664A0"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484CC530" w14:textId="311F4975" w:rsidR="004119E4" w:rsidRPr="00873B6C" w:rsidRDefault="004119E4" w:rsidP="00591B52">
            <w:pPr>
              <w:pStyle w:val="TAL"/>
              <w:rPr>
                <w:sz w:val="16"/>
                <w:szCs w:val="16"/>
              </w:rPr>
            </w:pPr>
            <w:r w:rsidRPr="00873B6C">
              <w:rPr>
                <w:sz w:val="16"/>
                <w:szCs w:val="16"/>
              </w:rPr>
              <w:t>Corrections to Support of Unavailability Period and Overload control</w:t>
            </w:r>
          </w:p>
        </w:tc>
        <w:tc>
          <w:tcPr>
            <w:tcW w:w="708" w:type="dxa"/>
            <w:shd w:val="solid" w:color="FFFFFF" w:fill="auto"/>
          </w:tcPr>
          <w:p w14:paraId="44359156" w14:textId="1851E6BF" w:rsidR="004119E4" w:rsidRPr="00873B6C" w:rsidRDefault="004119E4" w:rsidP="00591B52">
            <w:pPr>
              <w:pStyle w:val="TAC"/>
              <w:rPr>
                <w:sz w:val="16"/>
                <w:szCs w:val="16"/>
              </w:rPr>
            </w:pPr>
            <w:r w:rsidRPr="00873B6C">
              <w:rPr>
                <w:sz w:val="16"/>
                <w:szCs w:val="16"/>
              </w:rPr>
              <w:t>18.4.0</w:t>
            </w:r>
          </w:p>
        </w:tc>
      </w:tr>
      <w:tr w:rsidR="004119E4" w:rsidRPr="00873B6C" w14:paraId="33804816" w14:textId="77777777" w:rsidTr="009D14FB">
        <w:tc>
          <w:tcPr>
            <w:tcW w:w="800" w:type="dxa"/>
            <w:shd w:val="solid" w:color="FFFFFF" w:fill="auto"/>
          </w:tcPr>
          <w:p w14:paraId="71E4C864" w14:textId="5B5A3B19"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70E8A4E7" w14:textId="2F9A21E3"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280B266F" w14:textId="156CDB8F" w:rsidR="004119E4" w:rsidRPr="00873B6C" w:rsidRDefault="004119E4" w:rsidP="00591B52">
            <w:pPr>
              <w:pStyle w:val="TAC"/>
              <w:rPr>
                <w:sz w:val="16"/>
                <w:szCs w:val="16"/>
              </w:rPr>
            </w:pPr>
            <w:r w:rsidRPr="00873B6C">
              <w:rPr>
                <w:sz w:val="16"/>
                <w:szCs w:val="16"/>
              </w:rPr>
              <w:t>SP-231253</w:t>
            </w:r>
          </w:p>
        </w:tc>
        <w:tc>
          <w:tcPr>
            <w:tcW w:w="567" w:type="dxa"/>
            <w:shd w:val="solid" w:color="FFFFFF" w:fill="auto"/>
          </w:tcPr>
          <w:p w14:paraId="4ECE352F" w14:textId="4712BD8F" w:rsidR="004119E4" w:rsidRPr="00873B6C" w:rsidRDefault="004119E4" w:rsidP="00591B52">
            <w:pPr>
              <w:pStyle w:val="TAL"/>
              <w:rPr>
                <w:sz w:val="16"/>
                <w:szCs w:val="16"/>
              </w:rPr>
            </w:pPr>
            <w:r w:rsidRPr="00873B6C">
              <w:rPr>
                <w:sz w:val="16"/>
                <w:szCs w:val="16"/>
              </w:rPr>
              <w:t>5142</w:t>
            </w:r>
          </w:p>
        </w:tc>
        <w:tc>
          <w:tcPr>
            <w:tcW w:w="425" w:type="dxa"/>
            <w:shd w:val="solid" w:color="FFFFFF" w:fill="auto"/>
          </w:tcPr>
          <w:p w14:paraId="57DB2324" w14:textId="34FEE45A" w:rsidR="004119E4" w:rsidRPr="00873B6C" w:rsidRDefault="004119E4" w:rsidP="00591B52">
            <w:pPr>
              <w:pStyle w:val="TAL"/>
              <w:rPr>
                <w:sz w:val="16"/>
                <w:szCs w:val="16"/>
              </w:rPr>
            </w:pPr>
            <w:r w:rsidRPr="00873B6C">
              <w:rPr>
                <w:sz w:val="16"/>
                <w:szCs w:val="16"/>
              </w:rPr>
              <w:t>1</w:t>
            </w:r>
          </w:p>
        </w:tc>
        <w:tc>
          <w:tcPr>
            <w:tcW w:w="425" w:type="dxa"/>
            <w:shd w:val="solid" w:color="FFFFFF" w:fill="auto"/>
          </w:tcPr>
          <w:p w14:paraId="0CDFF878" w14:textId="318B1C86"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074BC5A6" w14:textId="40D213A0" w:rsidR="004119E4" w:rsidRPr="00873B6C" w:rsidRDefault="004119E4" w:rsidP="00591B52">
            <w:pPr>
              <w:pStyle w:val="TAL"/>
              <w:rPr>
                <w:sz w:val="16"/>
                <w:szCs w:val="16"/>
              </w:rPr>
            </w:pPr>
            <w:r w:rsidRPr="00873B6C">
              <w:rPr>
                <w:sz w:val="16"/>
                <w:szCs w:val="16"/>
              </w:rPr>
              <w:t>Clarification on the Member UE selection assistance functionality for application operation</w:t>
            </w:r>
          </w:p>
        </w:tc>
        <w:tc>
          <w:tcPr>
            <w:tcW w:w="708" w:type="dxa"/>
            <w:shd w:val="solid" w:color="FFFFFF" w:fill="auto"/>
          </w:tcPr>
          <w:p w14:paraId="00EA31AC" w14:textId="5647BDE3" w:rsidR="004119E4" w:rsidRPr="00873B6C" w:rsidRDefault="004119E4" w:rsidP="00591B52">
            <w:pPr>
              <w:pStyle w:val="TAC"/>
              <w:rPr>
                <w:sz w:val="16"/>
                <w:szCs w:val="16"/>
              </w:rPr>
            </w:pPr>
            <w:r w:rsidRPr="00873B6C">
              <w:rPr>
                <w:sz w:val="16"/>
                <w:szCs w:val="16"/>
              </w:rPr>
              <w:t>18.4.0</w:t>
            </w:r>
          </w:p>
        </w:tc>
      </w:tr>
      <w:tr w:rsidR="004119E4" w:rsidRPr="00873B6C" w14:paraId="2B647CA5" w14:textId="77777777" w:rsidTr="009D14FB">
        <w:tc>
          <w:tcPr>
            <w:tcW w:w="800" w:type="dxa"/>
            <w:shd w:val="solid" w:color="FFFFFF" w:fill="auto"/>
          </w:tcPr>
          <w:p w14:paraId="13312566" w14:textId="490E8781"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5F747638" w14:textId="4D71373B"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11E83D14" w14:textId="57BB8000" w:rsidR="004119E4" w:rsidRPr="00873B6C" w:rsidRDefault="004119E4" w:rsidP="00591B52">
            <w:pPr>
              <w:pStyle w:val="TAC"/>
              <w:rPr>
                <w:sz w:val="16"/>
                <w:szCs w:val="16"/>
              </w:rPr>
            </w:pPr>
            <w:r w:rsidRPr="00873B6C">
              <w:rPr>
                <w:sz w:val="16"/>
                <w:szCs w:val="16"/>
              </w:rPr>
              <w:t>SP-231260</w:t>
            </w:r>
          </w:p>
        </w:tc>
        <w:tc>
          <w:tcPr>
            <w:tcW w:w="567" w:type="dxa"/>
            <w:shd w:val="solid" w:color="FFFFFF" w:fill="auto"/>
          </w:tcPr>
          <w:p w14:paraId="157BEFFA" w14:textId="0B60A455" w:rsidR="004119E4" w:rsidRPr="00873B6C" w:rsidRDefault="004119E4" w:rsidP="00591B52">
            <w:pPr>
              <w:pStyle w:val="TAL"/>
              <w:rPr>
                <w:sz w:val="16"/>
                <w:szCs w:val="16"/>
              </w:rPr>
            </w:pPr>
            <w:r w:rsidRPr="00873B6C">
              <w:rPr>
                <w:sz w:val="16"/>
                <w:szCs w:val="16"/>
              </w:rPr>
              <w:t>5156</w:t>
            </w:r>
          </w:p>
        </w:tc>
        <w:tc>
          <w:tcPr>
            <w:tcW w:w="425" w:type="dxa"/>
            <w:shd w:val="solid" w:color="FFFFFF" w:fill="auto"/>
          </w:tcPr>
          <w:p w14:paraId="4EB1F6C7" w14:textId="158D18D0" w:rsidR="004119E4" w:rsidRPr="00873B6C" w:rsidRDefault="004119E4" w:rsidP="00591B52">
            <w:pPr>
              <w:pStyle w:val="TAL"/>
              <w:rPr>
                <w:sz w:val="16"/>
                <w:szCs w:val="16"/>
              </w:rPr>
            </w:pPr>
            <w:r w:rsidRPr="00873B6C">
              <w:rPr>
                <w:sz w:val="16"/>
                <w:szCs w:val="16"/>
              </w:rPr>
              <w:t>4</w:t>
            </w:r>
          </w:p>
        </w:tc>
        <w:tc>
          <w:tcPr>
            <w:tcW w:w="425" w:type="dxa"/>
            <w:shd w:val="solid" w:color="FFFFFF" w:fill="auto"/>
          </w:tcPr>
          <w:p w14:paraId="1C550989" w14:textId="60FDA56C"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055B8D10" w14:textId="7DC01378" w:rsidR="004119E4" w:rsidRPr="00873B6C" w:rsidRDefault="004119E4" w:rsidP="00591B52">
            <w:pPr>
              <w:pStyle w:val="TAL"/>
              <w:rPr>
                <w:sz w:val="16"/>
                <w:szCs w:val="16"/>
              </w:rPr>
            </w:pPr>
            <w:r w:rsidRPr="00873B6C">
              <w:rPr>
                <w:sz w:val="16"/>
                <w:szCs w:val="16"/>
              </w:rPr>
              <w:t>Clarification on Network Slice Replacement</w:t>
            </w:r>
          </w:p>
        </w:tc>
        <w:tc>
          <w:tcPr>
            <w:tcW w:w="708" w:type="dxa"/>
            <w:shd w:val="solid" w:color="FFFFFF" w:fill="auto"/>
          </w:tcPr>
          <w:p w14:paraId="243F4C72" w14:textId="4CB7F0BB" w:rsidR="004119E4" w:rsidRPr="00873B6C" w:rsidRDefault="004119E4" w:rsidP="00591B52">
            <w:pPr>
              <w:pStyle w:val="TAC"/>
              <w:rPr>
                <w:sz w:val="16"/>
                <w:szCs w:val="16"/>
              </w:rPr>
            </w:pPr>
            <w:r w:rsidRPr="00873B6C">
              <w:rPr>
                <w:sz w:val="16"/>
                <w:szCs w:val="16"/>
              </w:rPr>
              <w:t>18.4.0</w:t>
            </w:r>
          </w:p>
        </w:tc>
      </w:tr>
      <w:tr w:rsidR="004119E4" w:rsidRPr="00873B6C" w14:paraId="17987C00" w14:textId="77777777" w:rsidTr="009D14FB">
        <w:tc>
          <w:tcPr>
            <w:tcW w:w="800" w:type="dxa"/>
            <w:shd w:val="solid" w:color="FFFFFF" w:fill="auto"/>
          </w:tcPr>
          <w:p w14:paraId="773396A3" w14:textId="4FD9C8B1"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1126E174" w14:textId="70F50D15"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1BA3EAE5" w14:textId="2057735D" w:rsidR="004119E4" w:rsidRPr="00873B6C" w:rsidRDefault="004119E4" w:rsidP="00591B52">
            <w:pPr>
              <w:pStyle w:val="TAC"/>
              <w:rPr>
                <w:sz w:val="16"/>
                <w:szCs w:val="16"/>
              </w:rPr>
            </w:pPr>
            <w:r w:rsidRPr="00873B6C">
              <w:rPr>
                <w:sz w:val="16"/>
                <w:szCs w:val="16"/>
              </w:rPr>
              <w:t>SP-231262</w:t>
            </w:r>
          </w:p>
        </w:tc>
        <w:tc>
          <w:tcPr>
            <w:tcW w:w="567" w:type="dxa"/>
            <w:shd w:val="solid" w:color="FFFFFF" w:fill="auto"/>
          </w:tcPr>
          <w:p w14:paraId="7A771F2A" w14:textId="0403D638" w:rsidR="004119E4" w:rsidRPr="00873B6C" w:rsidRDefault="004119E4" w:rsidP="00591B52">
            <w:pPr>
              <w:pStyle w:val="TAL"/>
              <w:rPr>
                <w:sz w:val="16"/>
                <w:szCs w:val="16"/>
              </w:rPr>
            </w:pPr>
            <w:r w:rsidRPr="00873B6C">
              <w:rPr>
                <w:sz w:val="16"/>
                <w:szCs w:val="16"/>
              </w:rPr>
              <w:t>5162</w:t>
            </w:r>
          </w:p>
        </w:tc>
        <w:tc>
          <w:tcPr>
            <w:tcW w:w="425" w:type="dxa"/>
            <w:shd w:val="solid" w:color="FFFFFF" w:fill="auto"/>
          </w:tcPr>
          <w:p w14:paraId="46F39581" w14:textId="223DD1ED" w:rsidR="004119E4" w:rsidRPr="00873B6C" w:rsidRDefault="004119E4" w:rsidP="00591B52">
            <w:pPr>
              <w:pStyle w:val="TAL"/>
              <w:rPr>
                <w:sz w:val="16"/>
                <w:szCs w:val="16"/>
              </w:rPr>
            </w:pPr>
            <w:r w:rsidRPr="00873B6C">
              <w:rPr>
                <w:sz w:val="16"/>
                <w:szCs w:val="16"/>
              </w:rPr>
              <w:t>3</w:t>
            </w:r>
          </w:p>
        </w:tc>
        <w:tc>
          <w:tcPr>
            <w:tcW w:w="425" w:type="dxa"/>
            <w:shd w:val="solid" w:color="FFFFFF" w:fill="auto"/>
          </w:tcPr>
          <w:p w14:paraId="09BB4A76" w14:textId="38AB31B0"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7124471D" w14:textId="1A9DF672" w:rsidR="004119E4" w:rsidRPr="00873B6C" w:rsidRDefault="004119E4" w:rsidP="00591B52">
            <w:pPr>
              <w:pStyle w:val="TAL"/>
              <w:rPr>
                <w:sz w:val="16"/>
                <w:szCs w:val="16"/>
              </w:rPr>
            </w:pPr>
            <w:r w:rsidRPr="00873B6C">
              <w:rPr>
                <w:sz w:val="16"/>
                <w:szCs w:val="16"/>
              </w:rPr>
              <w:t>Clarification on eNSAC Option 1</w:t>
            </w:r>
          </w:p>
        </w:tc>
        <w:tc>
          <w:tcPr>
            <w:tcW w:w="708" w:type="dxa"/>
            <w:shd w:val="solid" w:color="FFFFFF" w:fill="auto"/>
          </w:tcPr>
          <w:p w14:paraId="17C910DC" w14:textId="39042E29" w:rsidR="004119E4" w:rsidRPr="00873B6C" w:rsidRDefault="004119E4" w:rsidP="00591B52">
            <w:pPr>
              <w:pStyle w:val="TAC"/>
              <w:rPr>
                <w:sz w:val="16"/>
                <w:szCs w:val="16"/>
              </w:rPr>
            </w:pPr>
            <w:r w:rsidRPr="00873B6C">
              <w:rPr>
                <w:sz w:val="16"/>
                <w:szCs w:val="16"/>
              </w:rPr>
              <w:t>18.4.0</w:t>
            </w:r>
          </w:p>
        </w:tc>
      </w:tr>
      <w:tr w:rsidR="004119E4" w:rsidRPr="00873B6C" w14:paraId="66072902" w14:textId="77777777" w:rsidTr="009D14FB">
        <w:tc>
          <w:tcPr>
            <w:tcW w:w="800" w:type="dxa"/>
            <w:shd w:val="solid" w:color="FFFFFF" w:fill="auto"/>
          </w:tcPr>
          <w:p w14:paraId="67D24EA5" w14:textId="3BBD0D84"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0A1FEDC1" w14:textId="5EBC47FC"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05F0C87A" w14:textId="13D35F22" w:rsidR="004119E4" w:rsidRPr="00873B6C" w:rsidRDefault="004119E4" w:rsidP="00591B52">
            <w:pPr>
              <w:pStyle w:val="TAC"/>
              <w:rPr>
                <w:sz w:val="16"/>
                <w:szCs w:val="16"/>
              </w:rPr>
            </w:pPr>
            <w:r w:rsidRPr="00873B6C">
              <w:rPr>
                <w:sz w:val="16"/>
                <w:szCs w:val="16"/>
              </w:rPr>
              <w:t>SP-231249</w:t>
            </w:r>
          </w:p>
        </w:tc>
        <w:tc>
          <w:tcPr>
            <w:tcW w:w="567" w:type="dxa"/>
            <w:shd w:val="solid" w:color="FFFFFF" w:fill="auto"/>
          </w:tcPr>
          <w:p w14:paraId="0147AF1D" w14:textId="78226FE0" w:rsidR="004119E4" w:rsidRPr="00873B6C" w:rsidRDefault="004119E4" w:rsidP="00591B52">
            <w:pPr>
              <w:pStyle w:val="TAL"/>
              <w:rPr>
                <w:sz w:val="16"/>
                <w:szCs w:val="16"/>
              </w:rPr>
            </w:pPr>
            <w:r w:rsidRPr="00873B6C">
              <w:rPr>
                <w:sz w:val="16"/>
                <w:szCs w:val="16"/>
              </w:rPr>
              <w:t>5163</w:t>
            </w:r>
          </w:p>
        </w:tc>
        <w:tc>
          <w:tcPr>
            <w:tcW w:w="425" w:type="dxa"/>
            <w:shd w:val="solid" w:color="FFFFFF" w:fill="auto"/>
          </w:tcPr>
          <w:p w14:paraId="3615A741" w14:textId="5C2AE2B4" w:rsidR="004119E4" w:rsidRPr="00873B6C" w:rsidRDefault="004119E4" w:rsidP="00591B52">
            <w:pPr>
              <w:pStyle w:val="TAL"/>
              <w:rPr>
                <w:sz w:val="16"/>
                <w:szCs w:val="16"/>
              </w:rPr>
            </w:pPr>
            <w:r w:rsidRPr="00873B6C">
              <w:rPr>
                <w:sz w:val="16"/>
                <w:szCs w:val="16"/>
              </w:rPr>
              <w:t>2</w:t>
            </w:r>
          </w:p>
        </w:tc>
        <w:tc>
          <w:tcPr>
            <w:tcW w:w="425" w:type="dxa"/>
            <w:shd w:val="solid" w:color="FFFFFF" w:fill="auto"/>
          </w:tcPr>
          <w:p w14:paraId="77BE3989" w14:textId="7447F6D1"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57B228AA" w14:textId="07D4B18E" w:rsidR="004119E4" w:rsidRPr="00873B6C" w:rsidRDefault="004119E4" w:rsidP="00591B52">
            <w:pPr>
              <w:pStyle w:val="TAL"/>
              <w:rPr>
                <w:sz w:val="16"/>
                <w:szCs w:val="16"/>
              </w:rPr>
            </w:pPr>
            <w:r w:rsidRPr="00873B6C">
              <w:rPr>
                <w:sz w:val="16"/>
                <w:szCs w:val="16"/>
              </w:rPr>
              <w:t>Update on support of discontinuous coverage for satellite access</w:t>
            </w:r>
          </w:p>
        </w:tc>
        <w:tc>
          <w:tcPr>
            <w:tcW w:w="708" w:type="dxa"/>
            <w:shd w:val="solid" w:color="FFFFFF" w:fill="auto"/>
          </w:tcPr>
          <w:p w14:paraId="68CEF12D" w14:textId="05AC515B" w:rsidR="004119E4" w:rsidRPr="00873B6C" w:rsidRDefault="004119E4" w:rsidP="00591B52">
            <w:pPr>
              <w:pStyle w:val="TAC"/>
              <w:rPr>
                <w:sz w:val="16"/>
                <w:szCs w:val="16"/>
              </w:rPr>
            </w:pPr>
            <w:r w:rsidRPr="00873B6C">
              <w:rPr>
                <w:sz w:val="16"/>
                <w:szCs w:val="16"/>
              </w:rPr>
              <w:t>18.4.0</w:t>
            </w:r>
          </w:p>
        </w:tc>
      </w:tr>
      <w:tr w:rsidR="004119E4" w:rsidRPr="00873B6C" w14:paraId="617B5356" w14:textId="77777777" w:rsidTr="009D14FB">
        <w:tc>
          <w:tcPr>
            <w:tcW w:w="800" w:type="dxa"/>
            <w:shd w:val="solid" w:color="FFFFFF" w:fill="auto"/>
          </w:tcPr>
          <w:p w14:paraId="723B300A" w14:textId="5338F2D7"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63AEDA07" w14:textId="4AC911D3"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45EF3C0C" w14:textId="5DAF3F5F" w:rsidR="004119E4" w:rsidRPr="00873B6C" w:rsidRDefault="004119E4" w:rsidP="00591B52">
            <w:pPr>
              <w:pStyle w:val="TAC"/>
              <w:rPr>
                <w:sz w:val="16"/>
                <w:szCs w:val="16"/>
              </w:rPr>
            </w:pPr>
            <w:r w:rsidRPr="00873B6C">
              <w:rPr>
                <w:sz w:val="16"/>
                <w:szCs w:val="16"/>
              </w:rPr>
              <w:t>SP-231249</w:t>
            </w:r>
          </w:p>
        </w:tc>
        <w:tc>
          <w:tcPr>
            <w:tcW w:w="567" w:type="dxa"/>
            <w:shd w:val="solid" w:color="FFFFFF" w:fill="auto"/>
          </w:tcPr>
          <w:p w14:paraId="05DF7BB8" w14:textId="1EBD9ED3" w:rsidR="004119E4" w:rsidRPr="00873B6C" w:rsidRDefault="004119E4" w:rsidP="00591B52">
            <w:pPr>
              <w:pStyle w:val="TAL"/>
              <w:rPr>
                <w:sz w:val="16"/>
                <w:szCs w:val="16"/>
              </w:rPr>
            </w:pPr>
            <w:r w:rsidRPr="00873B6C">
              <w:rPr>
                <w:sz w:val="16"/>
                <w:szCs w:val="16"/>
              </w:rPr>
              <w:t>5164</w:t>
            </w:r>
          </w:p>
        </w:tc>
        <w:tc>
          <w:tcPr>
            <w:tcW w:w="425" w:type="dxa"/>
            <w:shd w:val="solid" w:color="FFFFFF" w:fill="auto"/>
          </w:tcPr>
          <w:p w14:paraId="6999EFC6" w14:textId="6B82CFF4" w:rsidR="004119E4" w:rsidRPr="00873B6C" w:rsidRDefault="004119E4" w:rsidP="00591B52">
            <w:pPr>
              <w:pStyle w:val="TAL"/>
              <w:rPr>
                <w:sz w:val="16"/>
                <w:szCs w:val="16"/>
              </w:rPr>
            </w:pPr>
            <w:r w:rsidRPr="00873B6C">
              <w:rPr>
                <w:sz w:val="16"/>
                <w:szCs w:val="16"/>
              </w:rPr>
              <w:t>-</w:t>
            </w:r>
          </w:p>
        </w:tc>
        <w:tc>
          <w:tcPr>
            <w:tcW w:w="425" w:type="dxa"/>
            <w:shd w:val="solid" w:color="FFFFFF" w:fill="auto"/>
          </w:tcPr>
          <w:p w14:paraId="51906608" w14:textId="1470B28A"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2BA71859" w14:textId="427E0504" w:rsidR="004119E4" w:rsidRPr="00873B6C" w:rsidRDefault="004119E4" w:rsidP="00591B52">
            <w:pPr>
              <w:pStyle w:val="TAL"/>
              <w:rPr>
                <w:sz w:val="16"/>
                <w:szCs w:val="16"/>
              </w:rPr>
            </w:pPr>
            <w:r w:rsidRPr="00873B6C">
              <w:rPr>
                <w:sz w:val="16"/>
                <w:szCs w:val="16"/>
              </w:rPr>
              <w:t>Discontinuous coverage overload control priority users term alignment</w:t>
            </w:r>
          </w:p>
        </w:tc>
        <w:tc>
          <w:tcPr>
            <w:tcW w:w="708" w:type="dxa"/>
            <w:shd w:val="solid" w:color="FFFFFF" w:fill="auto"/>
          </w:tcPr>
          <w:p w14:paraId="445DE732" w14:textId="77933CB9" w:rsidR="004119E4" w:rsidRPr="00873B6C" w:rsidRDefault="004119E4" w:rsidP="00591B52">
            <w:pPr>
              <w:pStyle w:val="TAC"/>
              <w:rPr>
                <w:sz w:val="16"/>
                <w:szCs w:val="16"/>
              </w:rPr>
            </w:pPr>
            <w:r w:rsidRPr="00873B6C">
              <w:rPr>
                <w:sz w:val="16"/>
                <w:szCs w:val="16"/>
              </w:rPr>
              <w:t>18.4.0</w:t>
            </w:r>
          </w:p>
        </w:tc>
      </w:tr>
      <w:tr w:rsidR="004119E4" w:rsidRPr="00873B6C" w14:paraId="63890D06" w14:textId="77777777" w:rsidTr="009D14FB">
        <w:tc>
          <w:tcPr>
            <w:tcW w:w="800" w:type="dxa"/>
            <w:shd w:val="solid" w:color="FFFFFF" w:fill="auto"/>
          </w:tcPr>
          <w:p w14:paraId="339217A4" w14:textId="1BC5841C"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06A1BAEF" w14:textId="0369F35A"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058D19D3" w14:textId="06A2F198" w:rsidR="004119E4" w:rsidRPr="00873B6C" w:rsidRDefault="004119E4" w:rsidP="00591B52">
            <w:pPr>
              <w:pStyle w:val="TAC"/>
              <w:rPr>
                <w:sz w:val="16"/>
                <w:szCs w:val="16"/>
              </w:rPr>
            </w:pPr>
            <w:r w:rsidRPr="00873B6C">
              <w:rPr>
                <w:sz w:val="16"/>
                <w:szCs w:val="16"/>
              </w:rPr>
              <w:t>SP-231260</w:t>
            </w:r>
          </w:p>
        </w:tc>
        <w:tc>
          <w:tcPr>
            <w:tcW w:w="567" w:type="dxa"/>
            <w:shd w:val="solid" w:color="FFFFFF" w:fill="auto"/>
          </w:tcPr>
          <w:p w14:paraId="11247392" w14:textId="12A97A9F" w:rsidR="004119E4" w:rsidRPr="00873B6C" w:rsidRDefault="004119E4" w:rsidP="00591B52">
            <w:pPr>
              <w:pStyle w:val="TAL"/>
              <w:rPr>
                <w:sz w:val="16"/>
                <w:szCs w:val="16"/>
              </w:rPr>
            </w:pPr>
            <w:r w:rsidRPr="00873B6C">
              <w:rPr>
                <w:sz w:val="16"/>
                <w:szCs w:val="16"/>
              </w:rPr>
              <w:t>5170</w:t>
            </w:r>
          </w:p>
        </w:tc>
        <w:tc>
          <w:tcPr>
            <w:tcW w:w="425" w:type="dxa"/>
            <w:shd w:val="solid" w:color="FFFFFF" w:fill="auto"/>
          </w:tcPr>
          <w:p w14:paraId="3E725931" w14:textId="0AD1DEB6" w:rsidR="004119E4" w:rsidRPr="00873B6C" w:rsidRDefault="004119E4" w:rsidP="00591B52">
            <w:pPr>
              <w:pStyle w:val="TAL"/>
              <w:rPr>
                <w:sz w:val="16"/>
                <w:szCs w:val="16"/>
              </w:rPr>
            </w:pPr>
            <w:r w:rsidRPr="00873B6C">
              <w:rPr>
                <w:sz w:val="16"/>
                <w:szCs w:val="16"/>
              </w:rPr>
              <w:t>4</w:t>
            </w:r>
          </w:p>
        </w:tc>
        <w:tc>
          <w:tcPr>
            <w:tcW w:w="425" w:type="dxa"/>
            <w:shd w:val="solid" w:color="FFFFFF" w:fill="auto"/>
          </w:tcPr>
          <w:p w14:paraId="43D48CA2" w14:textId="3059A164"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4C2408E7" w14:textId="799158C9" w:rsidR="004119E4" w:rsidRPr="00873B6C" w:rsidRDefault="004119E4" w:rsidP="00591B52">
            <w:pPr>
              <w:pStyle w:val="TAL"/>
              <w:rPr>
                <w:sz w:val="16"/>
                <w:szCs w:val="16"/>
              </w:rPr>
            </w:pPr>
            <w:r w:rsidRPr="00873B6C">
              <w:rPr>
                <w:sz w:val="16"/>
                <w:szCs w:val="16"/>
              </w:rPr>
              <w:t>Clarifications about the Alternative S-NSSAI subject to NSSAA</w:t>
            </w:r>
          </w:p>
        </w:tc>
        <w:tc>
          <w:tcPr>
            <w:tcW w:w="708" w:type="dxa"/>
            <w:shd w:val="solid" w:color="FFFFFF" w:fill="auto"/>
          </w:tcPr>
          <w:p w14:paraId="1D766EE5" w14:textId="58080098" w:rsidR="004119E4" w:rsidRPr="00873B6C" w:rsidRDefault="004119E4" w:rsidP="00591B52">
            <w:pPr>
              <w:pStyle w:val="TAC"/>
              <w:rPr>
                <w:sz w:val="16"/>
                <w:szCs w:val="16"/>
              </w:rPr>
            </w:pPr>
            <w:r w:rsidRPr="00873B6C">
              <w:rPr>
                <w:sz w:val="16"/>
                <w:szCs w:val="16"/>
              </w:rPr>
              <w:t>18.4.0</w:t>
            </w:r>
          </w:p>
        </w:tc>
      </w:tr>
      <w:tr w:rsidR="004119E4" w:rsidRPr="00873B6C" w14:paraId="6F0A5EDC" w14:textId="77777777" w:rsidTr="009D14FB">
        <w:tc>
          <w:tcPr>
            <w:tcW w:w="800" w:type="dxa"/>
            <w:shd w:val="solid" w:color="FFFFFF" w:fill="auto"/>
          </w:tcPr>
          <w:p w14:paraId="423298B4" w14:textId="7BE61DBF"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2A191173" w14:textId="46102418"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1EBF3D60" w14:textId="2A5EF8BB" w:rsidR="004119E4" w:rsidRPr="00873B6C" w:rsidRDefault="004119E4" w:rsidP="00591B52">
            <w:pPr>
              <w:pStyle w:val="TAC"/>
              <w:rPr>
                <w:sz w:val="16"/>
                <w:szCs w:val="16"/>
              </w:rPr>
            </w:pPr>
            <w:r w:rsidRPr="00873B6C">
              <w:rPr>
                <w:sz w:val="16"/>
                <w:szCs w:val="16"/>
              </w:rPr>
              <w:t>SP-231260</w:t>
            </w:r>
          </w:p>
        </w:tc>
        <w:tc>
          <w:tcPr>
            <w:tcW w:w="567" w:type="dxa"/>
            <w:shd w:val="solid" w:color="FFFFFF" w:fill="auto"/>
          </w:tcPr>
          <w:p w14:paraId="29A24220" w14:textId="7445825C" w:rsidR="004119E4" w:rsidRPr="00873B6C" w:rsidRDefault="004119E4" w:rsidP="00591B52">
            <w:pPr>
              <w:pStyle w:val="TAL"/>
              <w:rPr>
                <w:sz w:val="16"/>
                <w:szCs w:val="16"/>
              </w:rPr>
            </w:pPr>
            <w:r w:rsidRPr="00873B6C">
              <w:rPr>
                <w:sz w:val="16"/>
                <w:szCs w:val="16"/>
              </w:rPr>
              <w:t>5172</w:t>
            </w:r>
          </w:p>
        </w:tc>
        <w:tc>
          <w:tcPr>
            <w:tcW w:w="425" w:type="dxa"/>
            <w:shd w:val="solid" w:color="FFFFFF" w:fill="auto"/>
          </w:tcPr>
          <w:p w14:paraId="50CF8C95" w14:textId="29A6F4DD" w:rsidR="004119E4" w:rsidRPr="00873B6C" w:rsidRDefault="004119E4" w:rsidP="00591B52">
            <w:pPr>
              <w:pStyle w:val="TAL"/>
              <w:rPr>
                <w:sz w:val="16"/>
                <w:szCs w:val="16"/>
              </w:rPr>
            </w:pPr>
            <w:r w:rsidRPr="00873B6C">
              <w:rPr>
                <w:sz w:val="16"/>
                <w:szCs w:val="16"/>
              </w:rPr>
              <w:t>3</w:t>
            </w:r>
          </w:p>
        </w:tc>
        <w:tc>
          <w:tcPr>
            <w:tcW w:w="425" w:type="dxa"/>
            <w:shd w:val="solid" w:color="FFFFFF" w:fill="auto"/>
          </w:tcPr>
          <w:p w14:paraId="45510A7E" w14:textId="050C9C6E"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510C5FDC" w14:textId="4FD9C8C7" w:rsidR="004119E4" w:rsidRPr="00873B6C" w:rsidRDefault="004119E4" w:rsidP="00591B52">
            <w:pPr>
              <w:pStyle w:val="TAL"/>
              <w:rPr>
                <w:sz w:val="16"/>
                <w:szCs w:val="16"/>
              </w:rPr>
            </w:pPr>
            <w:r w:rsidRPr="00873B6C">
              <w:rPr>
                <w:sz w:val="16"/>
                <w:szCs w:val="16"/>
              </w:rPr>
              <w:t>Update of definition of NSAC Service area.</w:t>
            </w:r>
          </w:p>
        </w:tc>
        <w:tc>
          <w:tcPr>
            <w:tcW w:w="708" w:type="dxa"/>
            <w:shd w:val="solid" w:color="FFFFFF" w:fill="auto"/>
          </w:tcPr>
          <w:p w14:paraId="62C65DD3" w14:textId="70F8698F" w:rsidR="004119E4" w:rsidRPr="00873B6C" w:rsidRDefault="004119E4" w:rsidP="00591B52">
            <w:pPr>
              <w:pStyle w:val="TAC"/>
              <w:rPr>
                <w:sz w:val="16"/>
                <w:szCs w:val="16"/>
              </w:rPr>
            </w:pPr>
            <w:r w:rsidRPr="00873B6C">
              <w:rPr>
                <w:sz w:val="16"/>
                <w:szCs w:val="16"/>
              </w:rPr>
              <w:t>18.4.0</w:t>
            </w:r>
          </w:p>
        </w:tc>
      </w:tr>
      <w:tr w:rsidR="0014088C" w:rsidRPr="00873B6C" w14:paraId="69566C67" w14:textId="77777777" w:rsidTr="009D14FB">
        <w:tc>
          <w:tcPr>
            <w:tcW w:w="800" w:type="dxa"/>
            <w:shd w:val="solid" w:color="FFFFFF" w:fill="auto"/>
          </w:tcPr>
          <w:p w14:paraId="20BBCEC4" w14:textId="3389A7BA"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5FF80A05" w14:textId="42F44B29"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49A55355" w14:textId="2D58EDBD" w:rsidR="0014088C" w:rsidRPr="00873B6C" w:rsidRDefault="0014088C" w:rsidP="00591B52">
            <w:pPr>
              <w:pStyle w:val="TAC"/>
              <w:rPr>
                <w:sz w:val="16"/>
                <w:szCs w:val="16"/>
              </w:rPr>
            </w:pPr>
            <w:r w:rsidRPr="00873B6C">
              <w:rPr>
                <w:sz w:val="16"/>
                <w:szCs w:val="16"/>
              </w:rPr>
              <w:t>SP-231248</w:t>
            </w:r>
          </w:p>
        </w:tc>
        <w:tc>
          <w:tcPr>
            <w:tcW w:w="567" w:type="dxa"/>
            <w:shd w:val="solid" w:color="FFFFFF" w:fill="auto"/>
          </w:tcPr>
          <w:p w14:paraId="667AC4D6" w14:textId="30F42D67" w:rsidR="0014088C" w:rsidRPr="00873B6C" w:rsidRDefault="0014088C" w:rsidP="00591B52">
            <w:pPr>
              <w:pStyle w:val="TAL"/>
              <w:rPr>
                <w:sz w:val="16"/>
                <w:szCs w:val="16"/>
              </w:rPr>
            </w:pPr>
            <w:r w:rsidRPr="00873B6C">
              <w:rPr>
                <w:sz w:val="16"/>
                <w:szCs w:val="16"/>
              </w:rPr>
              <w:t>5185</w:t>
            </w:r>
          </w:p>
        </w:tc>
        <w:tc>
          <w:tcPr>
            <w:tcW w:w="425" w:type="dxa"/>
            <w:shd w:val="solid" w:color="FFFFFF" w:fill="auto"/>
          </w:tcPr>
          <w:p w14:paraId="0EDE213C" w14:textId="227E832A" w:rsidR="0014088C" w:rsidRPr="00873B6C" w:rsidRDefault="0014088C" w:rsidP="00591B52">
            <w:pPr>
              <w:pStyle w:val="TAL"/>
              <w:rPr>
                <w:sz w:val="16"/>
                <w:szCs w:val="16"/>
              </w:rPr>
            </w:pPr>
            <w:r w:rsidRPr="00873B6C">
              <w:rPr>
                <w:sz w:val="16"/>
                <w:szCs w:val="16"/>
              </w:rPr>
              <w:t>1</w:t>
            </w:r>
          </w:p>
        </w:tc>
        <w:tc>
          <w:tcPr>
            <w:tcW w:w="425" w:type="dxa"/>
            <w:shd w:val="solid" w:color="FFFFFF" w:fill="auto"/>
          </w:tcPr>
          <w:p w14:paraId="7AADA5F4" w14:textId="6A7AA551"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72C47374" w14:textId="7E250411" w:rsidR="0014088C" w:rsidRPr="00873B6C" w:rsidRDefault="0014088C" w:rsidP="00591B52">
            <w:pPr>
              <w:pStyle w:val="TAL"/>
              <w:rPr>
                <w:sz w:val="16"/>
                <w:szCs w:val="16"/>
              </w:rPr>
            </w:pPr>
            <w:r w:rsidRPr="00873B6C">
              <w:rPr>
                <w:sz w:val="16"/>
                <w:szCs w:val="16"/>
              </w:rPr>
              <w:t>UE 5GSM capability indication for supporting secondary auth over EPC</w:t>
            </w:r>
          </w:p>
        </w:tc>
        <w:tc>
          <w:tcPr>
            <w:tcW w:w="708" w:type="dxa"/>
            <w:shd w:val="solid" w:color="FFFFFF" w:fill="auto"/>
          </w:tcPr>
          <w:p w14:paraId="758E260B" w14:textId="6D19F2BD" w:rsidR="0014088C" w:rsidRPr="00873B6C" w:rsidRDefault="0014088C" w:rsidP="00591B52">
            <w:pPr>
              <w:pStyle w:val="TAC"/>
              <w:rPr>
                <w:sz w:val="16"/>
                <w:szCs w:val="16"/>
              </w:rPr>
            </w:pPr>
            <w:r w:rsidRPr="00873B6C">
              <w:rPr>
                <w:sz w:val="16"/>
                <w:szCs w:val="16"/>
              </w:rPr>
              <w:t>18.4.0</w:t>
            </w:r>
          </w:p>
        </w:tc>
      </w:tr>
      <w:tr w:rsidR="0014088C" w:rsidRPr="00873B6C" w14:paraId="0E55FA93" w14:textId="77777777" w:rsidTr="009D14FB">
        <w:tc>
          <w:tcPr>
            <w:tcW w:w="800" w:type="dxa"/>
            <w:shd w:val="solid" w:color="FFFFFF" w:fill="auto"/>
          </w:tcPr>
          <w:p w14:paraId="4B386429" w14:textId="137A9B91"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4D675A87" w14:textId="61AECC0F"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1108BA86" w14:textId="56418A06" w:rsidR="0014088C" w:rsidRPr="00873B6C" w:rsidRDefault="0014088C" w:rsidP="00591B52">
            <w:pPr>
              <w:pStyle w:val="TAC"/>
              <w:rPr>
                <w:sz w:val="16"/>
                <w:szCs w:val="16"/>
              </w:rPr>
            </w:pPr>
            <w:r w:rsidRPr="00873B6C">
              <w:rPr>
                <w:sz w:val="16"/>
                <w:szCs w:val="16"/>
              </w:rPr>
              <w:t>SP-231249</w:t>
            </w:r>
          </w:p>
        </w:tc>
        <w:tc>
          <w:tcPr>
            <w:tcW w:w="567" w:type="dxa"/>
            <w:shd w:val="solid" w:color="FFFFFF" w:fill="auto"/>
          </w:tcPr>
          <w:p w14:paraId="16E8531D" w14:textId="09D7591C" w:rsidR="0014088C" w:rsidRPr="00873B6C" w:rsidRDefault="0014088C" w:rsidP="00591B52">
            <w:pPr>
              <w:pStyle w:val="TAL"/>
              <w:rPr>
                <w:sz w:val="16"/>
                <w:szCs w:val="16"/>
              </w:rPr>
            </w:pPr>
            <w:r w:rsidRPr="00873B6C">
              <w:rPr>
                <w:sz w:val="16"/>
                <w:szCs w:val="16"/>
              </w:rPr>
              <w:t>5187</w:t>
            </w:r>
          </w:p>
        </w:tc>
        <w:tc>
          <w:tcPr>
            <w:tcW w:w="425" w:type="dxa"/>
            <w:shd w:val="solid" w:color="FFFFFF" w:fill="auto"/>
          </w:tcPr>
          <w:p w14:paraId="69C94E5C" w14:textId="15C1FFA6" w:rsidR="0014088C" w:rsidRPr="00873B6C" w:rsidRDefault="0014088C" w:rsidP="00591B52">
            <w:pPr>
              <w:pStyle w:val="TAL"/>
              <w:rPr>
                <w:sz w:val="16"/>
                <w:szCs w:val="16"/>
              </w:rPr>
            </w:pPr>
            <w:r w:rsidRPr="00873B6C">
              <w:rPr>
                <w:sz w:val="16"/>
                <w:szCs w:val="16"/>
              </w:rPr>
              <w:t>-</w:t>
            </w:r>
          </w:p>
        </w:tc>
        <w:tc>
          <w:tcPr>
            <w:tcW w:w="425" w:type="dxa"/>
            <w:shd w:val="solid" w:color="FFFFFF" w:fill="auto"/>
          </w:tcPr>
          <w:p w14:paraId="6ACFFC8E" w14:textId="25822BBD"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4818CB52" w14:textId="0DD4BDB7" w:rsidR="0014088C" w:rsidRPr="00873B6C" w:rsidRDefault="0014088C" w:rsidP="00591B52">
            <w:pPr>
              <w:pStyle w:val="TAL"/>
              <w:rPr>
                <w:sz w:val="16"/>
                <w:szCs w:val="16"/>
              </w:rPr>
            </w:pPr>
            <w:r w:rsidRPr="00873B6C">
              <w:rPr>
                <w:sz w:val="16"/>
                <w:szCs w:val="16"/>
              </w:rPr>
              <w:t>Satellite RAT Types in TS 23.501</w:t>
            </w:r>
          </w:p>
        </w:tc>
        <w:tc>
          <w:tcPr>
            <w:tcW w:w="708" w:type="dxa"/>
            <w:shd w:val="solid" w:color="FFFFFF" w:fill="auto"/>
          </w:tcPr>
          <w:p w14:paraId="7A3CECD1" w14:textId="357ED6F8" w:rsidR="0014088C" w:rsidRPr="00873B6C" w:rsidRDefault="0014088C" w:rsidP="00591B52">
            <w:pPr>
              <w:pStyle w:val="TAC"/>
              <w:rPr>
                <w:sz w:val="16"/>
                <w:szCs w:val="16"/>
              </w:rPr>
            </w:pPr>
            <w:r w:rsidRPr="00873B6C">
              <w:rPr>
                <w:sz w:val="16"/>
                <w:szCs w:val="16"/>
              </w:rPr>
              <w:t>18.4.0</w:t>
            </w:r>
          </w:p>
        </w:tc>
      </w:tr>
      <w:tr w:rsidR="0014088C" w:rsidRPr="00873B6C" w14:paraId="46398BE7" w14:textId="77777777" w:rsidTr="009D14FB">
        <w:tc>
          <w:tcPr>
            <w:tcW w:w="800" w:type="dxa"/>
            <w:shd w:val="solid" w:color="FFFFFF" w:fill="auto"/>
          </w:tcPr>
          <w:p w14:paraId="1CFFFB37" w14:textId="28B8F064"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235535E3" w14:textId="59EAED24"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17011531" w14:textId="727CD73E" w:rsidR="0014088C" w:rsidRPr="00873B6C" w:rsidRDefault="0014088C" w:rsidP="00591B52">
            <w:pPr>
              <w:pStyle w:val="TAC"/>
              <w:rPr>
                <w:sz w:val="16"/>
                <w:szCs w:val="16"/>
              </w:rPr>
            </w:pPr>
            <w:r w:rsidRPr="00873B6C">
              <w:rPr>
                <w:sz w:val="16"/>
                <w:szCs w:val="16"/>
              </w:rPr>
              <w:t>SP-231239</w:t>
            </w:r>
          </w:p>
        </w:tc>
        <w:tc>
          <w:tcPr>
            <w:tcW w:w="567" w:type="dxa"/>
            <w:shd w:val="solid" w:color="FFFFFF" w:fill="auto"/>
          </w:tcPr>
          <w:p w14:paraId="1F96B678" w14:textId="24985C7D" w:rsidR="0014088C" w:rsidRPr="00873B6C" w:rsidRDefault="0014088C" w:rsidP="00591B52">
            <w:pPr>
              <w:pStyle w:val="TAL"/>
              <w:rPr>
                <w:sz w:val="16"/>
                <w:szCs w:val="16"/>
              </w:rPr>
            </w:pPr>
            <w:r w:rsidRPr="00873B6C">
              <w:rPr>
                <w:sz w:val="16"/>
                <w:szCs w:val="16"/>
              </w:rPr>
              <w:t>5195</w:t>
            </w:r>
          </w:p>
        </w:tc>
        <w:tc>
          <w:tcPr>
            <w:tcW w:w="425" w:type="dxa"/>
            <w:shd w:val="solid" w:color="FFFFFF" w:fill="auto"/>
          </w:tcPr>
          <w:p w14:paraId="73E2DFE0" w14:textId="0420FC28" w:rsidR="0014088C" w:rsidRPr="00873B6C" w:rsidRDefault="0014088C" w:rsidP="00591B52">
            <w:pPr>
              <w:pStyle w:val="TAL"/>
              <w:rPr>
                <w:sz w:val="16"/>
                <w:szCs w:val="16"/>
              </w:rPr>
            </w:pPr>
            <w:r w:rsidRPr="00873B6C">
              <w:rPr>
                <w:sz w:val="16"/>
                <w:szCs w:val="16"/>
              </w:rPr>
              <w:t>2</w:t>
            </w:r>
          </w:p>
        </w:tc>
        <w:tc>
          <w:tcPr>
            <w:tcW w:w="425" w:type="dxa"/>
            <w:shd w:val="solid" w:color="FFFFFF" w:fill="auto"/>
          </w:tcPr>
          <w:p w14:paraId="61B37CC0" w14:textId="00764EB8" w:rsidR="0014088C" w:rsidRPr="00873B6C" w:rsidRDefault="0014088C" w:rsidP="00591B52">
            <w:pPr>
              <w:pStyle w:val="TAL"/>
              <w:rPr>
                <w:sz w:val="16"/>
                <w:szCs w:val="16"/>
              </w:rPr>
            </w:pPr>
            <w:r w:rsidRPr="00873B6C">
              <w:rPr>
                <w:sz w:val="16"/>
                <w:szCs w:val="16"/>
              </w:rPr>
              <w:t>A</w:t>
            </w:r>
          </w:p>
        </w:tc>
        <w:tc>
          <w:tcPr>
            <w:tcW w:w="4820" w:type="dxa"/>
            <w:shd w:val="solid" w:color="FFFFFF" w:fill="auto"/>
          </w:tcPr>
          <w:p w14:paraId="3DC5ACA3" w14:textId="55B6A78F" w:rsidR="0014088C" w:rsidRPr="00873B6C" w:rsidRDefault="0014088C" w:rsidP="00591B52">
            <w:pPr>
              <w:pStyle w:val="TAL"/>
              <w:rPr>
                <w:sz w:val="16"/>
                <w:szCs w:val="16"/>
              </w:rPr>
            </w:pPr>
            <w:r w:rsidRPr="00873B6C">
              <w:rPr>
                <w:sz w:val="16"/>
                <w:szCs w:val="16"/>
              </w:rPr>
              <w:t>Correction to Notification Endpoint</w:t>
            </w:r>
          </w:p>
        </w:tc>
        <w:tc>
          <w:tcPr>
            <w:tcW w:w="708" w:type="dxa"/>
            <w:shd w:val="solid" w:color="FFFFFF" w:fill="auto"/>
          </w:tcPr>
          <w:p w14:paraId="637CCFB7" w14:textId="5B46F410" w:rsidR="0014088C" w:rsidRPr="00873B6C" w:rsidRDefault="0014088C" w:rsidP="00591B52">
            <w:pPr>
              <w:pStyle w:val="TAC"/>
              <w:rPr>
                <w:sz w:val="16"/>
                <w:szCs w:val="16"/>
              </w:rPr>
            </w:pPr>
            <w:r w:rsidRPr="00873B6C">
              <w:rPr>
                <w:sz w:val="16"/>
                <w:szCs w:val="16"/>
              </w:rPr>
              <w:t>18.4.0</w:t>
            </w:r>
          </w:p>
        </w:tc>
      </w:tr>
      <w:tr w:rsidR="0014088C" w:rsidRPr="00873B6C" w14:paraId="75AC5F11" w14:textId="77777777" w:rsidTr="009D14FB">
        <w:tc>
          <w:tcPr>
            <w:tcW w:w="800" w:type="dxa"/>
            <w:shd w:val="solid" w:color="FFFFFF" w:fill="auto"/>
          </w:tcPr>
          <w:p w14:paraId="3B57F758" w14:textId="70C80D81"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38B8ACC2" w14:textId="45BAF14B"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1FC85463" w14:textId="4D557C2F" w:rsidR="0014088C" w:rsidRPr="00873B6C" w:rsidRDefault="0014088C" w:rsidP="00591B52">
            <w:pPr>
              <w:pStyle w:val="TAC"/>
              <w:rPr>
                <w:sz w:val="16"/>
                <w:szCs w:val="16"/>
              </w:rPr>
            </w:pPr>
            <w:r w:rsidRPr="00873B6C">
              <w:rPr>
                <w:sz w:val="16"/>
                <w:szCs w:val="16"/>
              </w:rPr>
              <w:t>SP-231256</w:t>
            </w:r>
          </w:p>
        </w:tc>
        <w:tc>
          <w:tcPr>
            <w:tcW w:w="567" w:type="dxa"/>
            <w:shd w:val="solid" w:color="FFFFFF" w:fill="auto"/>
          </w:tcPr>
          <w:p w14:paraId="635A1F7F" w14:textId="2FC7A596" w:rsidR="0014088C" w:rsidRPr="00873B6C" w:rsidRDefault="0014088C" w:rsidP="00591B52">
            <w:pPr>
              <w:pStyle w:val="TAL"/>
              <w:rPr>
                <w:sz w:val="16"/>
                <w:szCs w:val="16"/>
              </w:rPr>
            </w:pPr>
            <w:r w:rsidRPr="00873B6C">
              <w:rPr>
                <w:sz w:val="16"/>
                <w:szCs w:val="16"/>
              </w:rPr>
              <w:t>5203</w:t>
            </w:r>
          </w:p>
        </w:tc>
        <w:tc>
          <w:tcPr>
            <w:tcW w:w="425" w:type="dxa"/>
            <w:shd w:val="solid" w:color="FFFFFF" w:fill="auto"/>
          </w:tcPr>
          <w:p w14:paraId="13773A8F" w14:textId="19282F15" w:rsidR="0014088C" w:rsidRPr="00873B6C" w:rsidRDefault="0014088C" w:rsidP="00591B52">
            <w:pPr>
              <w:pStyle w:val="TAL"/>
              <w:rPr>
                <w:sz w:val="16"/>
                <w:szCs w:val="16"/>
              </w:rPr>
            </w:pPr>
            <w:r w:rsidRPr="00873B6C">
              <w:rPr>
                <w:sz w:val="16"/>
                <w:szCs w:val="16"/>
              </w:rPr>
              <w:t>3</w:t>
            </w:r>
          </w:p>
        </w:tc>
        <w:tc>
          <w:tcPr>
            <w:tcW w:w="425" w:type="dxa"/>
            <w:shd w:val="solid" w:color="FFFFFF" w:fill="auto"/>
          </w:tcPr>
          <w:p w14:paraId="600E373F" w14:textId="35A2E5F6"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1C6A47AD" w14:textId="455CE416" w:rsidR="0014088C" w:rsidRPr="00873B6C" w:rsidRDefault="0014088C" w:rsidP="00591B52">
            <w:pPr>
              <w:pStyle w:val="TAL"/>
              <w:rPr>
                <w:sz w:val="16"/>
                <w:szCs w:val="16"/>
              </w:rPr>
            </w:pPr>
            <w:r w:rsidRPr="00873B6C">
              <w:rPr>
                <w:sz w:val="16"/>
                <w:szCs w:val="16"/>
              </w:rPr>
              <w:t>KI#1 Alignment and correction on PLMN IDs in AF request</w:t>
            </w:r>
          </w:p>
        </w:tc>
        <w:tc>
          <w:tcPr>
            <w:tcW w:w="708" w:type="dxa"/>
            <w:shd w:val="solid" w:color="FFFFFF" w:fill="auto"/>
          </w:tcPr>
          <w:p w14:paraId="344C7EE1" w14:textId="17A6F20B" w:rsidR="0014088C" w:rsidRPr="00873B6C" w:rsidRDefault="0014088C" w:rsidP="00591B52">
            <w:pPr>
              <w:pStyle w:val="TAC"/>
              <w:rPr>
                <w:sz w:val="16"/>
                <w:szCs w:val="16"/>
              </w:rPr>
            </w:pPr>
            <w:r w:rsidRPr="00873B6C">
              <w:rPr>
                <w:sz w:val="16"/>
                <w:szCs w:val="16"/>
              </w:rPr>
              <w:t>18.4.0</w:t>
            </w:r>
          </w:p>
        </w:tc>
      </w:tr>
      <w:tr w:rsidR="0014088C" w:rsidRPr="00873B6C" w14:paraId="46EC9BBE" w14:textId="77777777" w:rsidTr="009D14FB">
        <w:tc>
          <w:tcPr>
            <w:tcW w:w="800" w:type="dxa"/>
            <w:shd w:val="solid" w:color="FFFFFF" w:fill="auto"/>
          </w:tcPr>
          <w:p w14:paraId="7126F102" w14:textId="7E1FA5E8"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7DF8BE0D" w14:textId="1F2CA5FA"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4AA00151" w14:textId="7F6B04A1" w:rsidR="0014088C" w:rsidRPr="00873B6C" w:rsidRDefault="0014088C" w:rsidP="00591B52">
            <w:pPr>
              <w:pStyle w:val="TAC"/>
              <w:rPr>
                <w:sz w:val="16"/>
                <w:szCs w:val="16"/>
              </w:rPr>
            </w:pPr>
            <w:r w:rsidRPr="00873B6C">
              <w:rPr>
                <w:sz w:val="16"/>
                <w:szCs w:val="16"/>
              </w:rPr>
              <w:t>SP-231248</w:t>
            </w:r>
          </w:p>
        </w:tc>
        <w:tc>
          <w:tcPr>
            <w:tcW w:w="567" w:type="dxa"/>
            <w:shd w:val="solid" w:color="FFFFFF" w:fill="auto"/>
          </w:tcPr>
          <w:p w14:paraId="775F5F5B" w14:textId="0EE8227E" w:rsidR="0014088C" w:rsidRPr="00873B6C" w:rsidRDefault="0014088C" w:rsidP="00591B52">
            <w:pPr>
              <w:pStyle w:val="TAL"/>
              <w:rPr>
                <w:sz w:val="16"/>
                <w:szCs w:val="16"/>
              </w:rPr>
            </w:pPr>
            <w:r w:rsidRPr="00873B6C">
              <w:rPr>
                <w:sz w:val="16"/>
                <w:szCs w:val="16"/>
              </w:rPr>
              <w:t>5207</w:t>
            </w:r>
          </w:p>
        </w:tc>
        <w:tc>
          <w:tcPr>
            <w:tcW w:w="425" w:type="dxa"/>
            <w:shd w:val="solid" w:color="FFFFFF" w:fill="auto"/>
          </w:tcPr>
          <w:p w14:paraId="20DA2B95" w14:textId="7A7FF7DD" w:rsidR="0014088C" w:rsidRPr="00873B6C" w:rsidRDefault="0014088C" w:rsidP="00591B52">
            <w:pPr>
              <w:pStyle w:val="TAL"/>
              <w:rPr>
                <w:sz w:val="16"/>
                <w:szCs w:val="16"/>
              </w:rPr>
            </w:pPr>
            <w:r w:rsidRPr="00873B6C">
              <w:rPr>
                <w:sz w:val="16"/>
                <w:szCs w:val="16"/>
              </w:rPr>
              <w:t>2</w:t>
            </w:r>
          </w:p>
        </w:tc>
        <w:tc>
          <w:tcPr>
            <w:tcW w:w="425" w:type="dxa"/>
            <w:shd w:val="solid" w:color="FFFFFF" w:fill="auto"/>
          </w:tcPr>
          <w:p w14:paraId="6CC6C0FA" w14:textId="1A54CD0D"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1FE62C76" w14:textId="32E8A4F8" w:rsidR="0014088C" w:rsidRPr="00873B6C" w:rsidRDefault="0014088C" w:rsidP="00591B52">
            <w:pPr>
              <w:pStyle w:val="TAL"/>
              <w:rPr>
                <w:sz w:val="16"/>
                <w:szCs w:val="16"/>
              </w:rPr>
            </w:pPr>
            <w:r w:rsidRPr="00873B6C">
              <w:rPr>
                <w:sz w:val="16"/>
                <w:szCs w:val="16"/>
              </w:rPr>
              <w:t>Clarifying the ownership of data in UDSF</w:t>
            </w:r>
          </w:p>
        </w:tc>
        <w:tc>
          <w:tcPr>
            <w:tcW w:w="708" w:type="dxa"/>
            <w:shd w:val="solid" w:color="FFFFFF" w:fill="auto"/>
          </w:tcPr>
          <w:p w14:paraId="5C44653C" w14:textId="5AA1CF0A" w:rsidR="0014088C" w:rsidRPr="00873B6C" w:rsidRDefault="0014088C" w:rsidP="00591B52">
            <w:pPr>
              <w:pStyle w:val="TAC"/>
              <w:rPr>
                <w:sz w:val="16"/>
                <w:szCs w:val="16"/>
              </w:rPr>
            </w:pPr>
            <w:r w:rsidRPr="00873B6C">
              <w:rPr>
                <w:sz w:val="16"/>
                <w:szCs w:val="16"/>
              </w:rPr>
              <w:t>18.4.0</w:t>
            </w:r>
          </w:p>
        </w:tc>
      </w:tr>
      <w:tr w:rsidR="0014088C" w:rsidRPr="00873B6C" w14:paraId="0FE40D90" w14:textId="77777777" w:rsidTr="009D14FB">
        <w:tc>
          <w:tcPr>
            <w:tcW w:w="800" w:type="dxa"/>
            <w:shd w:val="solid" w:color="FFFFFF" w:fill="auto"/>
          </w:tcPr>
          <w:p w14:paraId="0889B416" w14:textId="3AE90057"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25CE57DB" w14:textId="17BED7D5"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780D384F" w14:textId="773A7FA8" w:rsidR="0014088C" w:rsidRPr="00873B6C" w:rsidRDefault="0014088C" w:rsidP="00591B52">
            <w:pPr>
              <w:pStyle w:val="TAC"/>
              <w:rPr>
                <w:sz w:val="16"/>
                <w:szCs w:val="16"/>
              </w:rPr>
            </w:pPr>
            <w:r w:rsidRPr="00873B6C">
              <w:rPr>
                <w:sz w:val="16"/>
                <w:szCs w:val="16"/>
              </w:rPr>
              <w:t>SP-231276</w:t>
            </w:r>
          </w:p>
        </w:tc>
        <w:tc>
          <w:tcPr>
            <w:tcW w:w="567" w:type="dxa"/>
            <w:shd w:val="solid" w:color="FFFFFF" w:fill="auto"/>
          </w:tcPr>
          <w:p w14:paraId="2E36210B" w14:textId="0F6AD222" w:rsidR="0014088C" w:rsidRPr="00873B6C" w:rsidRDefault="0014088C" w:rsidP="00591B52">
            <w:pPr>
              <w:pStyle w:val="TAL"/>
              <w:rPr>
                <w:sz w:val="16"/>
                <w:szCs w:val="16"/>
              </w:rPr>
            </w:pPr>
            <w:r w:rsidRPr="00873B6C">
              <w:rPr>
                <w:sz w:val="16"/>
                <w:szCs w:val="16"/>
              </w:rPr>
              <w:t>5208</w:t>
            </w:r>
          </w:p>
        </w:tc>
        <w:tc>
          <w:tcPr>
            <w:tcW w:w="425" w:type="dxa"/>
            <w:shd w:val="solid" w:color="FFFFFF" w:fill="auto"/>
          </w:tcPr>
          <w:p w14:paraId="6D9E5DAA" w14:textId="100C2E55" w:rsidR="0014088C" w:rsidRPr="00873B6C" w:rsidRDefault="0014088C" w:rsidP="00591B52">
            <w:pPr>
              <w:pStyle w:val="TAL"/>
              <w:rPr>
                <w:sz w:val="16"/>
                <w:szCs w:val="16"/>
              </w:rPr>
            </w:pPr>
            <w:r w:rsidRPr="00873B6C">
              <w:rPr>
                <w:sz w:val="16"/>
                <w:szCs w:val="16"/>
              </w:rPr>
              <w:t>1</w:t>
            </w:r>
          </w:p>
        </w:tc>
        <w:tc>
          <w:tcPr>
            <w:tcW w:w="425" w:type="dxa"/>
            <w:shd w:val="solid" w:color="FFFFFF" w:fill="auto"/>
          </w:tcPr>
          <w:p w14:paraId="6F7C2536" w14:textId="3E5A2D66"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08AC7C89" w14:textId="248C7693" w:rsidR="0014088C" w:rsidRPr="00873B6C" w:rsidRDefault="0014088C" w:rsidP="00591B52">
            <w:pPr>
              <w:pStyle w:val="TAL"/>
              <w:rPr>
                <w:sz w:val="16"/>
                <w:szCs w:val="16"/>
              </w:rPr>
            </w:pPr>
            <w:r w:rsidRPr="00873B6C">
              <w:rPr>
                <w:sz w:val="16"/>
                <w:szCs w:val="16"/>
              </w:rPr>
              <w:t>Remove the editor's note for MBSR authorization indication</w:t>
            </w:r>
          </w:p>
        </w:tc>
        <w:tc>
          <w:tcPr>
            <w:tcW w:w="708" w:type="dxa"/>
            <w:shd w:val="solid" w:color="FFFFFF" w:fill="auto"/>
          </w:tcPr>
          <w:p w14:paraId="5C32473E" w14:textId="3BADBB0C" w:rsidR="0014088C" w:rsidRPr="00873B6C" w:rsidRDefault="0014088C" w:rsidP="00591B52">
            <w:pPr>
              <w:pStyle w:val="TAC"/>
              <w:rPr>
                <w:sz w:val="16"/>
                <w:szCs w:val="16"/>
              </w:rPr>
            </w:pPr>
            <w:r w:rsidRPr="00873B6C">
              <w:rPr>
                <w:sz w:val="16"/>
                <w:szCs w:val="16"/>
              </w:rPr>
              <w:t>18.4.0</w:t>
            </w:r>
          </w:p>
        </w:tc>
      </w:tr>
      <w:tr w:rsidR="00644F65" w:rsidRPr="00873B6C" w14:paraId="4A8AA722" w14:textId="77777777" w:rsidTr="009D14FB">
        <w:tc>
          <w:tcPr>
            <w:tcW w:w="800" w:type="dxa"/>
            <w:shd w:val="solid" w:color="FFFFFF" w:fill="auto"/>
          </w:tcPr>
          <w:p w14:paraId="6FD1DAC6" w14:textId="443A96E6"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60C2C0D5" w14:textId="16BBBD57"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2A6CA297" w14:textId="6071530B" w:rsidR="00644F65" w:rsidRPr="00873B6C" w:rsidRDefault="00644F65" w:rsidP="00591B52">
            <w:pPr>
              <w:pStyle w:val="TAC"/>
              <w:rPr>
                <w:sz w:val="16"/>
                <w:szCs w:val="16"/>
              </w:rPr>
            </w:pPr>
            <w:r w:rsidRPr="00873B6C">
              <w:rPr>
                <w:sz w:val="16"/>
                <w:szCs w:val="16"/>
              </w:rPr>
              <w:t>SP-231767</w:t>
            </w:r>
          </w:p>
        </w:tc>
        <w:tc>
          <w:tcPr>
            <w:tcW w:w="567" w:type="dxa"/>
            <w:shd w:val="solid" w:color="FFFFFF" w:fill="auto"/>
          </w:tcPr>
          <w:p w14:paraId="24A65452" w14:textId="3B5B6688" w:rsidR="00644F65" w:rsidRPr="00873B6C" w:rsidRDefault="00644F65" w:rsidP="00591B52">
            <w:pPr>
              <w:pStyle w:val="TAL"/>
              <w:rPr>
                <w:sz w:val="16"/>
                <w:szCs w:val="16"/>
              </w:rPr>
            </w:pPr>
            <w:r w:rsidRPr="00873B6C">
              <w:rPr>
                <w:sz w:val="16"/>
                <w:szCs w:val="16"/>
              </w:rPr>
              <w:t>4736</w:t>
            </w:r>
          </w:p>
        </w:tc>
        <w:tc>
          <w:tcPr>
            <w:tcW w:w="425" w:type="dxa"/>
            <w:shd w:val="solid" w:color="FFFFFF" w:fill="auto"/>
          </w:tcPr>
          <w:p w14:paraId="1BFDA2FC" w14:textId="3C794486" w:rsidR="00644F65" w:rsidRPr="00873B6C" w:rsidRDefault="00644F65" w:rsidP="00591B52">
            <w:pPr>
              <w:pStyle w:val="TAL"/>
              <w:rPr>
                <w:sz w:val="16"/>
                <w:szCs w:val="16"/>
              </w:rPr>
            </w:pPr>
            <w:r w:rsidRPr="00873B6C">
              <w:rPr>
                <w:sz w:val="16"/>
                <w:szCs w:val="16"/>
              </w:rPr>
              <w:t>9</w:t>
            </w:r>
          </w:p>
        </w:tc>
        <w:tc>
          <w:tcPr>
            <w:tcW w:w="425" w:type="dxa"/>
            <w:shd w:val="solid" w:color="FFFFFF" w:fill="auto"/>
          </w:tcPr>
          <w:p w14:paraId="6C62652D" w14:textId="1346AFB6"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15D06211" w14:textId="19CF833B" w:rsidR="00644F65" w:rsidRPr="00873B6C" w:rsidRDefault="00644F65" w:rsidP="00591B52">
            <w:pPr>
              <w:pStyle w:val="TAL"/>
              <w:rPr>
                <w:sz w:val="16"/>
                <w:szCs w:val="16"/>
              </w:rPr>
            </w:pPr>
            <w:r w:rsidRPr="00873B6C">
              <w:rPr>
                <w:sz w:val="16"/>
                <w:szCs w:val="16"/>
              </w:rPr>
              <w:t>Update for QoS monitoring and network exposure</w:t>
            </w:r>
          </w:p>
        </w:tc>
        <w:tc>
          <w:tcPr>
            <w:tcW w:w="708" w:type="dxa"/>
            <w:shd w:val="solid" w:color="FFFFFF" w:fill="auto"/>
          </w:tcPr>
          <w:p w14:paraId="764EDD3F" w14:textId="48EA250E" w:rsidR="00644F65" w:rsidRPr="00873B6C" w:rsidRDefault="00644F65" w:rsidP="00591B52">
            <w:pPr>
              <w:pStyle w:val="TAC"/>
              <w:rPr>
                <w:sz w:val="16"/>
                <w:szCs w:val="16"/>
              </w:rPr>
            </w:pPr>
            <w:r w:rsidRPr="00873B6C">
              <w:rPr>
                <w:sz w:val="16"/>
                <w:szCs w:val="16"/>
              </w:rPr>
              <w:t>18.4.0</w:t>
            </w:r>
          </w:p>
        </w:tc>
      </w:tr>
      <w:tr w:rsidR="00644F65" w:rsidRPr="00873B6C" w14:paraId="72663F64" w14:textId="77777777" w:rsidTr="009D14FB">
        <w:tc>
          <w:tcPr>
            <w:tcW w:w="800" w:type="dxa"/>
            <w:shd w:val="solid" w:color="FFFFFF" w:fill="auto"/>
          </w:tcPr>
          <w:p w14:paraId="59320B9F" w14:textId="579AD617"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6FF4B6CA" w14:textId="6A140672"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1A155008" w14:textId="7C048FB9" w:rsidR="00644F65" w:rsidRPr="00873B6C" w:rsidRDefault="00644F65" w:rsidP="00591B52">
            <w:pPr>
              <w:pStyle w:val="TAC"/>
              <w:rPr>
                <w:sz w:val="16"/>
                <w:szCs w:val="16"/>
              </w:rPr>
            </w:pPr>
            <w:r w:rsidRPr="00873B6C">
              <w:rPr>
                <w:sz w:val="16"/>
                <w:szCs w:val="16"/>
              </w:rPr>
              <w:t>SP-231763</w:t>
            </w:r>
          </w:p>
        </w:tc>
        <w:tc>
          <w:tcPr>
            <w:tcW w:w="567" w:type="dxa"/>
            <w:shd w:val="solid" w:color="FFFFFF" w:fill="auto"/>
          </w:tcPr>
          <w:p w14:paraId="3EAC0511" w14:textId="1D48384E" w:rsidR="00644F65" w:rsidRPr="00873B6C" w:rsidRDefault="00644F65" w:rsidP="00591B52">
            <w:pPr>
              <w:pStyle w:val="TAL"/>
              <w:rPr>
                <w:sz w:val="16"/>
                <w:szCs w:val="16"/>
              </w:rPr>
            </w:pPr>
            <w:r w:rsidRPr="00873B6C">
              <w:rPr>
                <w:sz w:val="16"/>
                <w:szCs w:val="16"/>
              </w:rPr>
              <w:t>5008</w:t>
            </w:r>
          </w:p>
        </w:tc>
        <w:tc>
          <w:tcPr>
            <w:tcW w:w="425" w:type="dxa"/>
            <w:shd w:val="solid" w:color="FFFFFF" w:fill="auto"/>
          </w:tcPr>
          <w:p w14:paraId="684B45EC" w14:textId="76A4C998" w:rsidR="00644F65" w:rsidRPr="00873B6C" w:rsidRDefault="00644F65" w:rsidP="00591B52">
            <w:pPr>
              <w:pStyle w:val="TAL"/>
              <w:rPr>
                <w:sz w:val="16"/>
                <w:szCs w:val="16"/>
              </w:rPr>
            </w:pPr>
            <w:r w:rsidRPr="00873B6C">
              <w:rPr>
                <w:sz w:val="16"/>
                <w:szCs w:val="16"/>
              </w:rPr>
              <w:t>7</w:t>
            </w:r>
          </w:p>
        </w:tc>
        <w:tc>
          <w:tcPr>
            <w:tcW w:w="425" w:type="dxa"/>
            <w:shd w:val="solid" w:color="FFFFFF" w:fill="auto"/>
          </w:tcPr>
          <w:p w14:paraId="2AC66C64" w14:textId="2AD6D471"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19390342" w14:textId="0EA0AF39" w:rsidR="00644F65" w:rsidRPr="00873B6C" w:rsidRDefault="00644F65" w:rsidP="00591B52">
            <w:pPr>
              <w:pStyle w:val="TAL"/>
              <w:rPr>
                <w:sz w:val="16"/>
                <w:szCs w:val="16"/>
              </w:rPr>
            </w:pPr>
            <w:r w:rsidRPr="00873B6C">
              <w:rPr>
                <w:sz w:val="16"/>
                <w:szCs w:val="16"/>
              </w:rPr>
              <w:t>Correction and clarification of the Protocol Description definition</w:t>
            </w:r>
          </w:p>
        </w:tc>
        <w:tc>
          <w:tcPr>
            <w:tcW w:w="708" w:type="dxa"/>
            <w:shd w:val="solid" w:color="FFFFFF" w:fill="auto"/>
          </w:tcPr>
          <w:p w14:paraId="3B3EC708" w14:textId="456ECBB7" w:rsidR="00644F65" w:rsidRPr="00873B6C" w:rsidRDefault="00644F65" w:rsidP="00591B52">
            <w:pPr>
              <w:pStyle w:val="TAC"/>
              <w:rPr>
                <w:sz w:val="16"/>
                <w:szCs w:val="16"/>
              </w:rPr>
            </w:pPr>
            <w:r w:rsidRPr="00873B6C">
              <w:rPr>
                <w:sz w:val="16"/>
                <w:szCs w:val="16"/>
              </w:rPr>
              <w:t>18.4.0</w:t>
            </w:r>
          </w:p>
        </w:tc>
      </w:tr>
      <w:tr w:rsidR="00644F65" w:rsidRPr="00873B6C" w14:paraId="3E071C78" w14:textId="77777777" w:rsidTr="009D14FB">
        <w:tc>
          <w:tcPr>
            <w:tcW w:w="800" w:type="dxa"/>
            <w:shd w:val="solid" w:color="FFFFFF" w:fill="auto"/>
          </w:tcPr>
          <w:p w14:paraId="57CEA25C" w14:textId="31DBF585"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2D379468" w14:textId="5E66C58F"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4845210A" w14:textId="03B27912" w:rsidR="00644F65" w:rsidRPr="00873B6C" w:rsidRDefault="00644F65" w:rsidP="00591B52">
            <w:pPr>
              <w:pStyle w:val="TAC"/>
              <w:rPr>
                <w:sz w:val="16"/>
                <w:szCs w:val="16"/>
              </w:rPr>
            </w:pPr>
            <w:r w:rsidRPr="00873B6C">
              <w:rPr>
                <w:sz w:val="16"/>
                <w:szCs w:val="16"/>
              </w:rPr>
              <w:t>SP-231765</w:t>
            </w:r>
          </w:p>
        </w:tc>
        <w:tc>
          <w:tcPr>
            <w:tcW w:w="567" w:type="dxa"/>
            <w:shd w:val="solid" w:color="FFFFFF" w:fill="auto"/>
          </w:tcPr>
          <w:p w14:paraId="1F114C82" w14:textId="27B5DB6A" w:rsidR="00644F65" w:rsidRPr="00873B6C" w:rsidRDefault="00644F65" w:rsidP="00591B52">
            <w:pPr>
              <w:pStyle w:val="TAL"/>
              <w:rPr>
                <w:sz w:val="16"/>
                <w:szCs w:val="16"/>
              </w:rPr>
            </w:pPr>
            <w:r w:rsidRPr="00873B6C">
              <w:rPr>
                <w:sz w:val="16"/>
                <w:szCs w:val="16"/>
              </w:rPr>
              <w:t>5014</w:t>
            </w:r>
          </w:p>
        </w:tc>
        <w:tc>
          <w:tcPr>
            <w:tcW w:w="425" w:type="dxa"/>
            <w:shd w:val="solid" w:color="FFFFFF" w:fill="auto"/>
          </w:tcPr>
          <w:p w14:paraId="75B0E2D4" w14:textId="06AF2A88" w:rsidR="00644F65" w:rsidRPr="00873B6C" w:rsidRDefault="00644F65" w:rsidP="00591B52">
            <w:pPr>
              <w:pStyle w:val="TAL"/>
              <w:rPr>
                <w:sz w:val="16"/>
                <w:szCs w:val="16"/>
              </w:rPr>
            </w:pPr>
            <w:r w:rsidRPr="00873B6C">
              <w:rPr>
                <w:sz w:val="16"/>
                <w:szCs w:val="16"/>
              </w:rPr>
              <w:t>6</w:t>
            </w:r>
          </w:p>
        </w:tc>
        <w:tc>
          <w:tcPr>
            <w:tcW w:w="425" w:type="dxa"/>
            <w:shd w:val="solid" w:color="FFFFFF" w:fill="auto"/>
          </w:tcPr>
          <w:p w14:paraId="1DFAC36C" w14:textId="08FF5FA7"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3827C8FF" w14:textId="48053EA4" w:rsidR="00644F65" w:rsidRPr="00873B6C" w:rsidRDefault="00644F65" w:rsidP="00591B52">
            <w:pPr>
              <w:pStyle w:val="TAL"/>
              <w:rPr>
                <w:sz w:val="16"/>
                <w:szCs w:val="16"/>
              </w:rPr>
            </w:pPr>
            <w:r w:rsidRPr="00873B6C">
              <w:rPr>
                <w:sz w:val="16"/>
                <w:szCs w:val="16"/>
              </w:rPr>
              <w:t>Clarification on QoS flow mapping and service data flow</w:t>
            </w:r>
          </w:p>
        </w:tc>
        <w:tc>
          <w:tcPr>
            <w:tcW w:w="708" w:type="dxa"/>
            <w:shd w:val="solid" w:color="FFFFFF" w:fill="auto"/>
          </w:tcPr>
          <w:p w14:paraId="6956B268" w14:textId="0C410388" w:rsidR="00644F65" w:rsidRPr="00873B6C" w:rsidRDefault="00644F65" w:rsidP="00591B52">
            <w:pPr>
              <w:pStyle w:val="TAC"/>
              <w:rPr>
                <w:sz w:val="16"/>
                <w:szCs w:val="16"/>
              </w:rPr>
            </w:pPr>
            <w:r w:rsidRPr="00873B6C">
              <w:rPr>
                <w:sz w:val="16"/>
                <w:szCs w:val="16"/>
              </w:rPr>
              <w:t>18.4.0</w:t>
            </w:r>
          </w:p>
        </w:tc>
      </w:tr>
      <w:tr w:rsidR="00644F65" w:rsidRPr="00873B6C" w14:paraId="091C22CC" w14:textId="77777777" w:rsidTr="009D14FB">
        <w:tc>
          <w:tcPr>
            <w:tcW w:w="800" w:type="dxa"/>
            <w:shd w:val="solid" w:color="FFFFFF" w:fill="auto"/>
          </w:tcPr>
          <w:p w14:paraId="5F39DAB7" w14:textId="176FA3B5"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49887B77" w14:textId="30E8280D"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13F56E08" w14:textId="40BF3178" w:rsidR="00644F65" w:rsidRPr="00873B6C" w:rsidRDefault="00644F65" w:rsidP="00591B52">
            <w:pPr>
              <w:pStyle w:val="TAC"/>
              <w:rPr>
                <w:sz w:val="16"/>
                <w:szCs w:val="16"/>
              </w:rPr>
            </w:pPr>
            <w:r w:rsidRPr="00873B6C">
              <w:rPr>
                <w:sz w:val="16"/>
                <w:szCs w:val="16"/>
              </w:rPr>
              <w:t>SP-231766</w:t>
            </w:r>
          </w:p>
        </w:tc>
        <w:tc>
          <w:tcPr>
            <w:tcW w:w="567" w:type="dxa"/>
            <w:shd w:val="solid" w:color="FFFFFF" w:fill="auto"/>
          </w:tcPr>
          <w:p w14:paraId="498AEEAA" w14:textId="555557A2" w:rsidR="00644F65" w:rsidRPr="00873B6C" w:rsidRDefault="00644F65" w:rsidP="00591B52">
            <w:pPr>
              <w:pStyle w:val="TAL"/>
              <w:rPr>
                <w:sz w:val="16"/>
                <w:szCs w:val="16"/>
              </w:rPr>
            </w:pPr>
            <w:r w:rsidRPr="00873B6C">
              <w:rPr>
                <w:sz w:val="16"/>
                <w:szCs w:val="16"/>
              </w:rPr>
              <w:t>5175</w:t>
            </w:r>
          </w:p>
        </w:tc>
        <w:tc>
          <w:tcPr>
            <w:tcW w:w="425" w:type="dxa"/>
            <w:shd w:val="solid" w:color="FFFFFF" w:fill="auto"/>
          </w:tcPr>
          <w:p w14:paraId="71F2CDB7" w14:textId="460FC4AF" w:rsidR="00644F65" w:rsidRPr="00873B6C" w:rsidRDefault="00644F65" w:rsidP="00591B52">
            <w:pPr>
              <w:pStyle w:val="TAL"/>
              <w:rPr>
                <w:sz w:val="16"/>
                <w:szCs w:val="16"/>
              </w:rPr>
            </w:pPr>
            <w:r w:rsidRPr="00873B6C">
              <w:rPr>
                <w:sz w:val="16"/>
                <w:szCs w:val="16"/>
              </w:rPr>
              <w:t>6</w:t>
            </w:r>
          </w:p>
        </w:tc>
        <w:tc>
          <w:tcPr>
            <w:tcW w:w="425" w:type="dxa"/>
            <w:shd w:val="solid" w:color="FFFFFF" w:fill="auto"/>
          </w:tcPr>
          <w:p w14:paraId="0ACADD25" w14:textId="65F93774"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23928B11" w14:textId="24D13ABA" w:rsidR="00644F65" w:rsidRPr="00873B6C" w:rsidRDefault="00644F65" w:rsidP="00591B52">
            <w:pPr>
              <w:pStyle w:val="TAL"/>
              <w:rPr>
                <w:sz w:val="16"/>
                <w:szCs w:val="16"/>
              </w:rPr>
            </w:pPr>
            <w:r w:rsidRPr="00873B6C">
              <w:rPr>
                <w:sz w:val="16"/>
                <w:szCs w:val="16"/>
              </w:rPr>
              <w:t>Clarification of the Unmarked PDUs with SN Offset and PSI Value</w:t>
            </w:r>
          </w:p>
        </w:tc>
        <w:tc>
          <w:tcPr>
            <w:tcW w:w="708" w:type="dxa"/>
            <w:shd w:val="solid" w:color="FFFFFF" w:fill="auto"/>
          </w:tcPr>
          <w:p w14:paraId="47EDCE9C" w14:textId="09C6C665" w:rsidR="00644F65" w:rsidRPr="00873B6C" w:rsidRDefault="00644F65" w:rsidP="00591B52">
            <w:pPr>
              <w:pStyle w:val="TAC"/>
              <w:rPr>
                <w:sz w:val="16"/>
                <w:szCs w:val="16"/>
              </w:rPr>
            </w:pPr>
            <w:r w:rsidRPr="00873B6C">
              <w:rPr>
                <w:sz w:val="16"/>
                <w:szCs w:val="16"/>
              </w:rPr>
              <w:t>18.4.0</w:t>
            </w:r>
          </w:p>
        </w:tc>
      </w:tr>
      <w:tr w:rsidR="00644F65" w:rsidRPr="00873B6C" w14:paraId="2FD7A273" w14:textId="77777777" w:rsidTr="009D14FB">
        <w:tc>
          <w:tcPr>
            <w:tcW w:w="800" w:type="dxa"/>
            <w:shd w:val="solid" w:color="FFFFFF" w:fill="auto"/>
          </w:tcPr>
          <w:p w14:paraId="64C42136" w14:textId="7E7FD3AA"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533AF13A" w14:textId="08E82250"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17452B65" w14:textId="3322D38D" w:rsidR="00644F65" w:rsidRPr="00873B6C" w:rsidRDefault="00644F65" w:rsidP="00591B52">
            <w:pPr>
              <w:pStyle w:val="TAC"/>
              <w:rPr>
                <w:sz w:val="16"/>
                <w:szCs w:val="16"/>
              </w:rPr>
            </w:pPr>
            <w:r w:rsidRPr="00873B6C">
              <w:rPr>
                <w:sz w:val="16"/>
                <w:szCs w:val="16"/>
              </w:rPr>
              <w:t>SP-231762</w:t>
            </w:r>
          </w:p>
        </w:tc>
        <w:tc>
          <w:tcPr>
            <w:tcW w:w="567" w:type="dxa"/>
            <w:shd w:val="solid" w:color="FFFFFF" w:fill="auto"/>
          </w:tcPr>
          <w:p w14:paraId="539E75B1" w14:textId="4C790CC9" w:rsidR="00644F65" w:rsidRPr="00873B6C" w:rsidRDefault="00644F65" w:rsidP="00591B52">
            <w:pPr>
              <w:pStyle w:val="TAL"/>
              <w:rPr>
                <w:sz w:val="16"/>
                <w:szCs w:val="16"/>
              </w:rPr>
            </w:pPr>
            <w:r w:rsidRPr="00873B6C">
              <w:rPr>
                <w:sz w:val="16"/>
                <w:szCs w:val="16"/>
              </w:rPr>
              <w:t>5186</w:t>
            </w:r>
          </w:p>
        </w:tc>
        <w:tc>
          <w:tcPr>
            <w:tcW w:w="425" w:type="dxa"/>
            <w:shd w:val="solid" w:color="FFFFFF" w:fill="auto"/>
          </w:tcPr>
          <w:p w14:paraId="0115E364" w14:textId="5AEC5DEC" w:rsidR="00644F65" w:rsidRPr="00873B6C" w:rsidRDefault="00644F65" w:rsidP="00591B52">
            <w:pPr>
              <w:pStyle w:val="TAL"/>
              <w:rPr>
                <w:sz w:val="16"/>
                <w:szCs w:val="16"/>
              </w:rPr>
            </w:pPr>
            <w:r w:rsidRPr="00873B6C">
              <w:rPr>
                <w:sz w:val="16"/>
                <w:szCs w:val="16"/>
              </w:rPr>
              <w:t>3</w:t>
            </w:r>
          </w:p>
        </w:tc>
        <w:tc>
          <w:tcPr>
            <w:tcW w:w="425" w:type="dxa"/>
            <w:shd w:val="solid" w:color="FFFFFF" w:fill="auto"/>
          </w:tcPr>
          <w:p w14:paraId="3FC12FDF" w14:textId="38DC1DF2"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71564EDC" w14:textId="6F75A660" w:rsidR="00644F65" w:rsidRPr="00873B6C" w:rsidRDefault="00644F65" w:rsidP="00591B52">
            <w:pPr>
              <w:pStyle w:val="TAL"/>
              <w:rPr>
                <w:sz w:val="16"/>
                <w:szCs w:val="16"/>
              </w:rPr>
            </w:pPr>
            <w:r w:rsidRPr="00873B6C">
              <w:rPr>
                <w:sz w:val="16"/>
                <w:szCs w:val="16"/>
              </w:rPr>
              <w:t>Incorrect reference in clause 5.15.17 for procedure for RAN initiated PDU session release</w:t>
            </w:r>
          </w:p>
        </w:tc>
        <w:tc>
          <w:tcPr>
            <w:tcW w:w="708" w:type="dxa"/>
            <w:shd w:val="solid" w:color="FFFFFF" w:fill="auto"/>
          </w:tcPr>
          <w:p w14:paraId="171C32DA" w14:textId="0F7CAC6F" w:rsidR="00644F65" w:rsidRPr="00873B6C" w:rsidRDefault="00644F65" w:rsidP="00591B52">
            <w:pPr>
              <w:pStyle w:val="TAC"/>
              <w:rPr>
                <w:sz w:val="16"/>
                <w:szCs w:val="16"/>
              </w:rPr>
            </w:pPr>
            <w:r w:rsidRPr="00873B6C">
              <w:rPr>
                <w:sz w:val="16"/>
                <w:szCs w:val="16"/>
              </w:rPr>
              <w:t>18.4.0</w:t>
            </w:r>
          </w:p>
        </w:tc>
      </w:tr>
      <w:tr w:rsidR="00060FE0" w:rsidRPr="00873B6C" w14:paraId="2B4E75EE" w14:textId="77777777" w:rsidTr="009D14FB">
        <w:tc>
          <w:tcPr>
            <w:tcW w:w="800" w:type="dxa"/>
            <w:shd w:val="solid" w:color="FFFFFF" w:fill="auto"/>
          </w:tcPr>
          <w:p w14:paraId="201FC383" w14:textId="7C0F0752"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7D9C429E" w14:textId="6798C927"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6EB492EB" w14:textId="0336D357" w:rsidR="00060FE0" w:rsidRPr="00873B6C" w:rsidRDefault="00060FE0" w:rsidP="00591B52">
            <w:pPr>
              <w:pStyle w:val="TAC"/>
              <w:rPr>
                <w:sz w:val="16"/>
                <w:szCs w:val="16"/>
              </w:rPr>
            </w:pPr>
            <w:r w:rsidRPr="00873B6C">
              <w:rPr>
                <w:sz w:val="16"/>
                <w:szCs w:val="16"/>
              </w:rPr>
              <w:t>SP-240101</w:t>
            </w:r>
          </w:p>
        </w:tc>
        <w:tc>
          <w:tcPr>
            <w:tcW w:w="567" w:type="dxa"/>
            <w:shd w:val="solid" w:color="FFFFFF" w:fill="auto"/>
          </w:tcPr>
          <w:p w14:paraId="20753463" w14:textId="6B69BA74" w:rsidR="00060FE0" w:rsidRPr="00873B6C" w:rsidRDefault="00060FE0" w:rsidP="00591B52">
            <w:pPr>
              <w:pStyle w:val="TAL"/>
              <w:rPr>
                <w:sz w:val="16"/>
                <w:szCs w:val="16"/>
              </w:rPr>
            </w:pPr>
            <w:r w:rsidRPr="00873B6C">
              <w:rPr>
                <w:sz w:val="16"/>
                <w:szCs w:val="16"/>
              </w:rPr>
              <w:t>4489</w:t>
            </w:r>
          </w:p>
        </w:tc>
        <w:tc>
          <w:tcPr>
            <w:tcW w:w="425" w:type="dxa"/>
            <w:shd w:val="solid" w:color="FFFFFF" w:fill="auto"/>
          </w:tcPr>
          <w:p w14:paraId="4B678CE9" w14:textId="5222D373" w:rsidR="00060FE0" w:rsidRPr="00873B6C" w:rsidRDefault="00060FE0" w:rsidP="00591B52">
            <w:pPr>
              <w:pStyle w:val="TAL"/>
              <w:rPr>
                <w:sz w:val="16"/>
                <w:szCs w:val="16"/>
              </w:rPr>
            </w:pPr>
            <w:r w:rsidRPr="00873B6C">
              <w:rPr>
                <w:sz w:val="16"/>
                <w:szCs w:val="16"/>
              </w:rPr>
              <w:t>8</w:t>
            </w:r>
          </w:p>
        </w:tc>
        <w:tc>
          <w:tcPr>
            <w:tcW w:w="425" w:type="dxa"/>
            <w:shd w:val="solid" w:color="FFFFFF" w:fill="auto"/>
          </w:tcPr>
          <w:p w14:paraId="5E95A367" w14:textId="1D16BE6B"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2DAAA1AD" w14:textId="0C93C7F8" w:rsidR="00060FE0" w:rsidRPr="00873B6C" w:rsidRDefault="00060FE0" w:rsidP="00591B52">
            <w:pPr>
              <w:pStyle w:val="TAL"/>
              <w:rPr>
                <w:sz w:val="16"/>
                <w:szCs w:val="16"/>
              </w:rPr>
            </w:pPr>
            <w:r w:rsidRPr="00873B6C">
              <w:rPr>
                <w:sz w:val="16"/>
                <w:szCs w:val="16"/>
              </w:rPr>
              <w:t>Registration status after S-NSSAI removal based on S-NSSAI validity time information</w:t>
            </w:r>
          </w:p>
        </w:tc>
        <w:tc>
          <w:tcPr>
            <w:tcW w:w="708" w:type="dxa"/>
            <w:shd w:val="solid" w:color="FFFFFF" w:fill="auto"/>
          </w:tcPr>
          <w:p w14:paraId="06093BF9" w14:textId="1C6B384F" w:rsidR="00060FE0" w:rsidRPr="00873B6C" w:rsidRDefault="00060FE0" w:rsidP="00591B52">
            <w:pPr>
              <w:pStyle w:val="TAC"/>
              <w:rPr>
                <w:sz w:val="16"/>
                <w:szCs w:val="16"/>
              </w:rPr>
            </w:pPr>
            <w:r w:rsidRPr="00873B6C">
              <w:rPr>
                <w:sz w:val="16"/>
                <w:szCs w:val="16"/>
              </w:rPr>
              <w:t>18.5.0</w:t>
            </w:r>
          </w:p>
        </w:tc>
      </w:tr>
      <w:tr w:rsidR="00060FE0" w:rsidRPr="00873B6C" w14:paraId="59DDBCA9" w14:textId="77777777" w:rsidTr="009D14FB">
        <w:tc>
          <w:tcPr>
            <w:tcW w:w="800" w:type="dxa"/>
            <w:shd w:val="solid" w:color="FFFFFF" w:fill="auto"/>
          </w:tcPr>
          <w:p w14:paraId="259905BD" w14:textId="2A9B93D6"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7A7DE093" w14:textId="2D83368F"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4A1D5B17" w14:textId="0B3F4590" w:rsidR="00060FE0" w:rsidRPr="00873B6C" w:rsidRDefault="00060FE0" w:rsidP="00591B52">
            <w:pPr>
              <w:pStyle w:val="TAC"/>
              <w:rPr>
                <w:sz w:val="16"/>
                <w:szCs w:val="16"/>
              </w:rPr>
            </w:pPr>
            <w:r w:rsidRPr="00873B6C">
              <w:rPr>
                <w:sz w:val="16"/>
                <w:szCs w:val="16"/>
              </w:rPr>
              <w:t>SP-240101</w:t>
            </w:r>
          </w:p>
        </w:tc>
        <w:tc>
          <w:tcPr>
            <w:tcW w:w="567" w:type="dxa"/>
            <w:shd w:val="solid" w:color="FFFFFF" w:fill="auto"/>
          </w:tcPr>
          <w:p w14:paraId="633C6C93" w14:textId="1DD0E02C" w:rsidR="00060FE0" w:rsidRPr="00873B6C" w:rsidRDefault="00060FE0" w:rsidP="00591B52">
            <w:pPr>
              <w:pStyle w:val="TAL"/>
              <w:rPr>
                <w:sz w:val="16"/>
                <w:szCs w:val="16"/>
              </w:rPr>
            </w:pPr>
            <w:r w:rsidRPr="00873B6C">
              <w:rPr>
                <w:sz w:val="16"/>
                <w:szCs w:val="16"/>
              </w:rPr>
              <w:t>4583</w:t>
            </w:r>
          </w:p>
        </w:tc>
        <w:tc>
          <w:tcPr>
            <w:tcW w:w="425" w:type="dxa"/>
            <w:shd w:val="solid" w:color="FFFFFF" w:fill="auto"/>
          </w:tcPr>
          <w:p w14:paraId="201E40D6" w14:textId="7134B1C0" w:rsidR="00060FE0" w:rsidRPr="00873B6C" w:rsidRDefault="00060FE0" w:rsidP="00591B52">
            <w:pPr>
              <w:pStyle w:val="TAL"/>
              <w:rPr>
                <w:sz w:val="16"/>
                <w:szCs w:val="16"/>
              </w:rPr>
            </w:pPr>
            <w:r w:rsidRPr="00873B6C">
              <w:rPr>
                <w:sz w:val="16"/>
                <w:szCs w:val="16"/>
              </w:rPr>
              <w:t>5</w:t>
            </w:r>
          </w:p>
        </w:tc>
        <w:tc>
          <w:tcPr>
            <w:tcW w:w="425" w:type="dxa"/>
            <w:shd w:val="solid" w:color="FFFFFF" w:fill="auto"/>
          </w:tcPr>
          <w:p w14:paraId="43AA07C4" w14:textId="0D9414AE"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6CF8C29E" w14:textId="04EA097E" w:rsidR="00060FE0" w:rsidRPr="00873B6C" w:rsidRDefault="00060FE0" w:rsidP="00591B52">
            <w:pPr>
              <w:pStyle w:val="TAL"/>
              <w:rPr>
                <w:sz w:val="16"/>
                <w:szCs w:val="16"/>
              </w:rPr>
            </w:pPr>
            <w:r w:rsidRPr="00873B6C">
              <w:rPr>
                <w:sz w:val="16"/>
                <w:szCs w:val="16"/>
              </w:rPr>
              <w:t>Congestion handling with Alternative S-NSSAI</w:t>
            </w:r>
          </w:p>
        </w:tc>
        <w:tc>
          <w:tcPr>
            <w:tcW w:w="708" w:type="dxa"/>
            <w:shd w:val="solid" w:color="FFFFFF" w:fill="auto"/>
          </w:tcPr>
          <w:p w14:paraId="1E4F0E21" w14:textId="217AD5AE" w:rsidR="00060FE0" w:rsidRPr="00873B6C" w:rsidRDefault="00060FE0" w:rsidP="00591B52">
            <w:pPr>
              <w:pStyle w:val="TAC"/>
              <w:rPr>
                <w:sz w:val="16"/>
                <w:szCs w:val="16"/>
              </w:rPr>
            </w:pPr>
            <w:r w:rsidRPr="00873B6C">
              <w:rPr>
                <w:sz w:val="16"/>
                <w:szCs w:val="16"/>
              </w:rPr>
              <w:t>18.5.0</w:t>
            </w:r>
          </w:p>
        </w:tc>
      </w:tr>
      <w:tr w:rsidR="00060FE0" w:rsidRPr="00873B6C" w14:paraId="2B3047A9" w14:textId="77777777" w:rsidTr="009D14FB">
        <w:tc>
          <w:tcPr>
            <w:tcW w:w="800" w:type="dxa"/>
            <w:shd w:val="solid" w:color="FFFFFF" w:fill="auto"/>
          </w:tcPr>
          <w:p w14:paraId="3B73EB34" w14:textId="7639F6F5"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6912F651" w14:textId="28C409AB"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178065C2" w14:textId="7AA547D8" w:rsidR="00060FE0" w:rsidRPr="00873B6C" w:rsidRDefault="00060FE0" w:rsidP="00591B52">
            <w:pPr>
              <w:pStyle w:val="TAC"/>
              <w:rPr>
                <w:sz w:val="16"/>
                <w:szCs w:val="16"/>
              </w:rPr>
            </w:pPr>
            <w:r w:rsidRPr="00873B6C">
              <w:rPr>
                <w:sz w:val="16"/>
                <w:szCs w:val="16"/>
              </w:rPr>
              <w:t>SP-240086</w:t>
            </w:r>
          </w:p>
        </w:tc>
        <w:tc>
          <w:tcPr>
            <w:tcW w:w="567" w:type="dxa"/>
            <w:shd w:val="solid" w:color="FFFFFF" w:fill="auto"/>
          </w:tcPr>
          <w:p w14:paraId="33CC7F45" w14:textId="03B3B7EC" w:rsidR="00060FE0" w:rsidRPr="00873B6C" w:rsidRDefault="00060FE0" w:rsidP="00591B52">
            <w:pPr>
              <w:pStyle w:val="TAL"/>
              <w:rPr>
                <w:sz w:val="16"/>
                <w:szCs w:val="16"/>
              </w:rPr>
            </w:pPr>
            <w:r w:rsidRPr="00873B6C">
              <w:rPr>
                <w:sz w:val="16"/>
                <w:szCs w:val="16"/>
              </w:rPr>
              <w:t>4660</w:t>
            </w:r>
          </w:p>
        </w:tc>
        <w:tc>
          <w:tcPr>
            <w:tcW w:w="425" w:type="dxa"/>
            <w:shd w:val="solid" w:color="FFFFFF" w:fill="auto"/>
          </w:tcPr>
          <w:p w14:paraId="473B51F5" w14:textId="20A38133" w:rsidR="00060FE0" w:rsidRPr="00873B6C" w:rsidRDefault="00060FE0" w:rsidP="00591B52">
            <w:pPr>
              <w:pStyle w:val="TAL"/>
              <w:rPr>
                <w:sz w:val="16"/>
                <w:szCs w:val="16"/>
              </w:rPr>
            </w:pPr>
            <w:r w:rsidRPr="00873B6C">
              <w:rPr>
                <w:sz w:val="16"/>
                <w:szCs w:val="16"/>
              </w:rPr>
              <w:t>6</w:t>
            </w:r>
          </w:p>
        </w:tc>
        <w:tc>
          <w:tcPr>
            <w:tcW w:w="425" w:type="dxa"/>
            <w:shd w:val="solid" w:color="FFFFFF" w:fill="auto"/>
          </w:tcPr>
          <w:p w14:paraId="49C40051" w14:textId="3BA0384D" w:rsidR="00060FE0" w:rsidRPr="00873B6C" w:rsidRDefault="00060FE0" w:rsidP="00591B52">
            <w:pPr>
              <w:pStyle w:val="TAL"/>
              <w:rPr>
                <w:sz w:val="16"/>
                <w:szCs w:val="16"/>
              </w:rPr>
            </w:pPr>
            <w:r w:rsidRPr="00873B6C">
              <w:rPr>
                <w:sz w:val="16"/>
                <w:szCs w:val="16"/>
              </w:rPr>
              <w:t>A</w:t>
            </w:r>
          </w:p>
        </w:tc>
        <w:tc>
          <w:tcPr>
            <w:tcW w:w="4820" w:type="dxa"/>
            <w:shd w:val="solid" w:color="FFFFFF" w:fill="auto"/>
          </w:tcPr>
          <w:p w14:paraId="7F4CF4DF" w14:textId="0C9CB359" w:rsidR="00060FE0" w:rsidRPr="00873B6C" w:rsidRDefault="00060FE0" w:rsidP="00591B52">
            <w:pPr>
              <w:pStyle w:val="TAL"/>
              <w:rPr>
                <w:sz w:val="16"/>
                <w:szCs w:val="16"/>
              </w:rPr>
            </w:pPr>
            <w:r w:rsidRPr="00873B6C">
              <w:rPr>
                <w:sz w:val="16"/>
                <w:szCs w:val="16"/>
              </w:rPr>
              <w:t>Non-Allowed areas clarifications related to MPS</w:t>
            </w:r>
          </w:p>
        </w:tc>
        <w:tc>
          <w:tcPr>
            <w:tcW w:w="708" w:type="dxa"/>
            <w:shd w:val="solid" w:color="FFFFFF" w:fill="auto"/>
          </w:tcPr>
          <w:p w14:paraId="465AF9DC" w14:textId="72991AD8" w:rsidR="00060FE0" w:rsidRPr="00873B6C" w:rsidRDefault="00060FE0" w:rsidP="00591B52">
            <w:pPr>
              <w:pStyle w:val="TAC"/>
              <w:rPr>
                <w:sz w:val="16"/>
                <w:szCs w:val="16"/>
              </w:rPr>
            </w:pPr>
            <w:r w:rsidRPr="00873B6C">
              <w:rPr>
                <w:sz w:val="16"/>
                <w:szCs w:val="16"/>
              </w:rPr>
              <w:t>18.5.0</w:t>
            </w:r>
          </w:p>
        </w:tc>
      </w:tr>
      <w:tr w:rsidR="00060FE0" w:rsidRPr="00873B6C" w14:paraId="3CE53267" w14:textId="77777777" w:rsidTr="009D14FB">
        <w:tc>
          <w:tcPr>
            <w:tcW w:w="800" w:type="dxa"/>
            <w:shd w:val="solid" w:color="FFFFFF" w:fill="auto"/>
          </w:tcPr>
          <w:p w14:paraId="5DD71159" w14:textId="3FCB62D9"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1EC1699D" w14:textId="789BF8F8"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7CFD5D2F" w14:textId="48B2D78C" w:rsidR="00060FE0" w:rsidRPr="00873B6C" w:rsidRDefault="00060FE0" w:rsidP="00591B52">
            <w:pPr>
              <w:pStyle w:val="TAC"/>
              <w:rPr>
                <w:sz w:val="16"/>
                <w:szCs w:val="16"/>
              </w:rPr>
            </w:pPr>
            <w:r w:rsidRPr="00873B6C">
              <w:rPr>
                <w:sz w:val="16"/>
                <w:szCs w:val="16"/>
              </w:rPr>
              <w:t>SP-240113</w:t>
            </w:r>
          </w:p>
        </w:tc>
        <w:tc>
          <w:tcPr>
            <w:tcW w:w="567" w:type="dxa"/>
            <w:shd w:val="solid" w:color="FFFFFF" w:fill="auto"/>
          </w:tcPr>
          <w:p w14:paraId="1EECDA46" w14:textId="12AB2FA4" w:rsidR="00060FE0" w:rsidRPr="00873B6C" w:rsidRDefault="00060FE0" w:rsidP="00591B52">
            <w:pPr>
              <w:pStyle w:val="TAL"/>
              <w:rPr>
                <w:sz w:val="16"/>
                <w:szCs w:val="16"/>
              </w:rPr>
            </w:pPr>
            <w:r w:rsidRPr="00873B6C">
              <w:rPr>
                <w:sz w:val="16"/>
                <w:szCs w:val="16"/>
              </w:rPr>
              <w:t>4812</w:t>
            </w:r>
          </w:p>
        </w:tc>
        <w:tc>
          <w:tcPr>
            <w:tcW w:w="425" w:type="dxa"/>
            <w:shd w:val="solid" w:color="FFFFFF" w:fill="auto"/>
          </w:tcPr>
          <w:p w14:paraId="7F7E6F31" w14:textId="4C4F6FA2" w:rsidR="00060FE0" w:rsidRPr="00873B6C" w:rsidRDefault="00060FE0" w:rsidP="00591B52">
            <w:pPr>
              <w:pStyle w:val="TAL"/>
              <w:rPr>
                <w:sz w:val="16"/>
                <w:szCs w:val="16"/>
              </w:rPr>
            </w:pPr>
            <w:r w:rsidRPr="00873B6C">
              <w:rPr>
                <w:sz w:val="16"/>
                <w:szCs w:val="16"/>
              </w:rPr>
              <w:t>7</w:t>
            </w:r>
          </w:p>
        </w:tc>
        <w:tc>
          <w:tcPr>
            <w:tcW w:w="425" w:type="dxa"/>
            <w:shd w:val="solid" w:color="FFFFFF" w:fill="auto"/>
          </w:tcPr>
          <w:p w14:paraId="307C9ABF" w14:textId="1E7A7784"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37495340" w14:textId="5B47B860" w:rsidR="00060FE0" w:rsidRPr="00873B6C" w:rsidRDefault="00060FE0" w:rsidP="00591B52">
            <w:pPr>
              <w:pStyle w:val="TAL"/>
              <w:rPr>
                <w:sz w:val="16"/>
                <w:szCs w:val="16"/>
              </w:rPr>
            </w:pPr>
            <w:r w:rsidRPr="00873B6C">
              <w:rPr>
                <w:sz w:val="16"/>
                <w:szCs w:val="16"/>
              </w:rPr>
              <w:t>Corrections for traffic characteristics parameters in Alternative QoS Profile</w:t>
            </w:r>
          </w:p>
        </w:tc>
        <w:tc>
          <w:tcPr>
            <w:tcW w:w="708" w:type="dxa"/>
            <w:shd w:val="solid" w:color="FFFFFF" w:fill="auto"/>
          </w:tcPr>
          <w:p w14:paraId="130B8B21" w14:textId="69792845" w:rsidR="00060FE0" w:rsidRPr="00873B6C" w:rsidRDefault="00060FE0" w:rsidP="00591B52">
            <w:pPr>
              <w:pStyle w:val="TAC"/>
              <w:rPr>
                <w:sz w:val="16"/>
                <w:szCs w:val="16"/>
              </w:rPr>
            </w:pPr>
            <w:r w:rsidRPr="00873B6C">
              <w:rPr>
                <w:sz w:val="16"/>
                <w:szCs w:val="16"/>
              </w:rPr>
              <w:t>18.5.0</w:t>
            </w:r>
          </w:p>
        </w:tc>
      </w:tr>
      <w:tr w:rsidR="00060FE0" w:rsidRPr="00873B6C" w14:paraId="029B3773" w14:textId="77777777" w:rsidTr="009D14FB">
        <w:tc>
          <w:tcPr>
            <w:tcW w:w="800" w:type="dxa"/>
            <w:shd w:val="solid" w:color="FFFFFF" w:fill="auto"/>
          </w:tcPr>
          <w:p w14:paraId="51B48BE5" w14:textId="17AAF678"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1667A9A9" w14:textId="14BE1C36"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21E4673A" w14:textId="67B3921F" w:rsidR="00060FE0" w:rsidRPr="00873B6C" w:rsidRDefault="00060FE0" w:rsidP="00591B52">
            <w:pPr>
              <w:pStyle w:val="TAC"/>
              <w:rPr>
                <w:sz w:val="16"/>
                <w:szCs w:val="16"/>
              </w:rPr>
            </w:pPr>
            <w:r w:rsidRPr="00873B6C">
              <w:rPr>
                <w:sz w:val="16"/>
                <w:szCs w:val="16"/>
              </w:rPr>
              <w:t>SP-240093</w:t>
            </w:r>
          </w:p>
        </w:tc>
        <w:tc>
          <w:tcPr>
            <w:tcW w:w="567" w:type="dxa"/>
            <w:shd w:val="solid" w:color="FFFFFF" w:fill="auto"/>
          </w:tcPr>
          <w:p w14:paraId="5258E3B3" w14:textId="5C4CFA17" w:rsidR="00060FE0" w:rsidRPr="00873B6C" w:rsidRDefault="00060FE0" w:rsidP="00591B52">
            <w:pPr>
              <w:pStyle w:val="TAL"/>
              <w:rPr>
                <w:sz w:val="16"/>
                <w:szCs w:val="16"/>
              </w:rPr>
            </w:pPr>
            <w:r w:rsidRPr="00873B6C">
              <w:rPr>
                <w:sz w:val="16"/>
                <w:szCs w:val="16"/>
              </w:rPr>
              <w:t>4929</w:t>
            </w:r>
          </w:p>
        </w:tc>
        <w:tc>
          <w:tcPr>
            <w:tcW w:w="425" w:type="dxa"/>
            <w:shd w:val="solid" w:color="FFFFFF" w:fill="auto"/>
          </w:tcPr>
          <w:p w14:paraId="37243CBE" w14:textId="10232039" w:rsidR="00060FE0" w:rsidRPr="00873B6C" w:rsidRDefault="00060FE0" w:rsidP="00591B52">
            <w:pPr>
              <w:pStyle w:val="TAL"/>
              <w:rPr>
                <w:sz w:val="16"/>
                <w:szCs w:val="16"/>
              </w:rPr>
            </w:pPr>
            <w:r w:rsidRPr="00873B6C">
              <w:rPr>
                <w:sz w:val="16"/>
                <w:szCs w:val="16"/>
              </w:rPr>
              <w:t>1</w:t>
            </w:r>
          </w:p>
        </w:tc>
        <w:tc>
          <w:tcPr>
            <w:tcW w:w="425" w:type="dxa"/>
            <w:shd w:val="solid" w:color="FFFFFF" w:fill="auto"/>
          </w:tcPr>
          <w:p w14:paraId="043B2263" w14:textId="2E97D258"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6BA2EFE0" w14:textId="116D572F" w:rsidR="00060FE0" w:rsidRPr="00873B6C" w:rsidRDefault="00060FE0" w:rsidP="00591B52">
            <w:pPr>
              <w:pStyle w:val="TAL"/>
              <w:rPr>
                <w:sz w:val="16"/>
                <w:szCs w:val="16"/>
              </w:rPr>
            </w:pPr>
            <w:r w:rsidRPr="00873B6C">
              <w:rPr>
                <w:sz w:val="16"/>
                <w:szCs w:val="16"/>
              </w:rPr>
              <w:t>Removing editor's note on Prefixed N3IWF FQDN format</w:t>
            </w:r>
          </w:p>
        </w:tc>
        <w:tc>
          <w:tcPr>
            <w:tcW w:w="708" w:type="dxa"/>
            <w:shd w:val="solid" w:color="FFFFFF" w:fill="auto"/>
          </w:tcPr>
          <w:p w14:paraId="64D96241" w14:textId="2AB6580E" w:rsidR="00060FE0" w:rsidRPr="00873B6C" w:rsidRDefault="00060FE0" w:rsidP="00591B52">
            <w:pPr>
              <w:pStyle w:val="TAC"/>
              <w:rPr>
                <w:sz w:val="16"/>
                <w:szCs w:val="16"/>
              </w:rPr>
            </w:pPr>
            <w:r w:rsidRPr="00873B6C">
              <w:rPr>
                <w:sz w:val="16"/>
                <w:szCs w:val="16"/>
              </w:rPr>
              <w:t>18.5.0</w:t>
            </w:r>
          </w:p>
        </w:tc>
      </w:tr>
      <w:tr w:rsidR="00060FE0" w:rsidRPr="00873B6C" w14:paraId="734CEFB9" w14:textId="77777777" w:rsidTr="009D14FB">
        <w:tc>
          <w:tcPr>
            <w:tcW w:w="800" w:type="dxa"/>
            <w:shd w:val="solid" w:color="FFFFFF" w:fill="auto"/>
          </w:tcPr>
          <w:p w14:paraId="675588F4" w14:textId="69959121"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5773D434" w14:textId="29ED81D2"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11A0A762" w14:textId="650A1B7B" w:rsidR="00060FE0" w:rsidRPr="00873B6C" w:rsidRDefault="00060FE0" w:rsidP="00591B52">
            <w:pPr>
              <w:pStyle w:val="TAC"/>
              <w:rPr>
                <w:sz w:val="16"/>
                <w:szCs w:val="16"/>
              </w:rPr>
            </w:pPr>
            <w:r w:rsidRPr="00873B6C">
              <w:rPr>
                <w:sz w:val="16"/>
                <w:szCs w:val="16"/>
              </w:rPr>
              <w:t>SP-240085</w:t>
            </w:r>
          </w:p>
        </w:tc>
        <w:tc>
          <w:tcPr>
            <w:tcW w:w="567" w:type="dxa"/>
            <w:shd w:val="solid" w:color="FFFFFF" w:fill="auto"/>
          </w:tcPr>
          <w:p w14:paraId="5B4221EF" w14:textId="179A1F2C" w:rsidR="00060FE0" w:rsidRPr="00873B6C" w:rsidRDefault="00060FE0" w:rsidP="00591B52">
            <w:pPr>
              <w:pStyle w:val="TAL"/>
              <w:rPr>
                <w:sz w:val="16"/>
                <w:szCs w:val="16"/>
              </w:rPr>
            </w:pPr>
            <w:r w:rsidRPr="00873B6C">
              <w:rPr>
                <w:sz w:val="16"/>
                <w:szCs w:val="16"/>
              </w:rPr>
              <w:t>4992</w:t>
            </w:r>
          </w:p>
        </w:tc>
        <w:tc>
          <w:tcPr>
            <w:tcW w:w="425" w:type="dxa"/>
            <w:shd w:val="solid" w:color="FFFFFF" w:fill="auto"/>
          </w:tcPr>
          <w:p w14:paraId="131CA4AB" w14:textId="0EAA9236" w:rsidR="00060FE0" w:rsidRPr="00873B6C" w:rsidRDefault="00060FE0" w:rsidP="00591B52">
            <w:pPr>
              <w:pStyle w:val="TAL"/>
              <w:rPr>
                <w:sz w:val="16"/>
                <w:szCs w:val="16"/>
              </w:rPr>
            </w:pPr>
            <w:r w:rsidRPr="00873B6C">
              <w:rPr>
                <w:sz w:val="16"/>
                <w:szCs w:val="16"/>
              </w:rPr>
              <w:t>5</w:t>
            </w:r>
          </w:p>
        </w:tc>
        <w:tc>
          <w:tcPr>
            <w:tcW w:w="425" w:type="dxa"/>
            <w:shd w:val="solid" w:color="FFFFFF" w:fill="auto"/>
          </w:tcPr>
          <w:p w14:paraId="4CE5FB9A" w14:textId="40B7D013" w:rsidR="00060FE0" w:rsidRPr="00873B6C" w:rsidRDefault="00060FE0" w:rsidP="00591B52">
            <w:pPr>
              <w:pStyle w:val="TAL"/>
              <w:rPr>
                <w:sz w:val="16"/>
                <w:szCs w:val="16"/>
              </w:rPr>
            </w:pPr>
            <w:r w:rsidRPr="00873B6C">
              <w:rPr>
                <w:sz w:val="16"/>
                <w:szCs w:val="16"/>
              </w:rPr>
              <w:t>A</w:t>
            </w:r>
          </w:p>
        </w:tc>
        <w:tc>
          <w:tcPr>
            <w:tcW w:w="4820" w:type="dxa"/>
            <w:shd w:val="solid" w:color="FFFFFF" w:fill="auto"/>
          </w:tcPr>
          <w:p w14:paraId="2DF227BA" w14:textId="66B6340E" w:rsidR="00060FE0" w:rsidRPr="00873B6C" w:rsidRDefault="00060FE0" w:rsidP="00591B52">
            <w:pPr>
              <w:pStyle w:val="TAL"/>
              <w:rPr>
                <w:sz w:val="16"/>
                <w:szCs w:val="16"/>
              </w:rPr>
            </w:pPr>
            <w:r w:rsidRPr="00873B6C">
              <w:rPr>
                <w:sz w:val="16"/>
                <w:szCs w:val="16"/>
              </w:rPr>
              <w:t>Support of QMC configuration information</w:t>
            </w:r>
          </w:p>
        </w:tc>
        <w:tc>
          <w:tcPr>
            <w:tcW w:w="708" w:type="dxa"/>
            <w:shd w:val="solid" w:color="FFFFFF" w:fill="auto"/>
          </w:tcPr>
          <w:p w14:paraId="3DEAC9CF" w14:textId="76F7DE0A" w:rsidR="00060FE0" w:rsidRPr="00873B6C" w:rsidRDefault="00060FE0" w:rsidP="00591B52">
            <w:pPr>
              <w:pStyle w:val="TAC"/>
              <w:rPr>
                <w:sz w:val="16"/>
                <w:szCs w:val="16"/>
              </w:rPr>
            </w:pPr>
            <w:r w:rsidRPr="00873B6C">
              <w:rPr>
                <w:sz w:val="16"/>
                <w:szCs w:val="16"/>
              </w:rPr>
              <w:t>18.5.0</w:t>
            </w:r>
          </w:p>
        </w:tc>
      </w:tr>
      <w:tr w:rsidR="00060FE0" w:rsidRPr="00873B6C" w14:paraId="1E82EED2" w14:textId="77777777" w:rsidTr="009D14FB">
        <w:tc>
          <w:tcPr>
            <w:tcW w:w="800" w:type="dxa"/>
            <w:shd w:val="solid" w:color="FFFFFF" w:fill="auto"/>
          </w:tcPr>
          <w:p w14:paraId="69F87EB3" w14:textId="2010B9AB"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7D2184A9" w14:textId="3CAFA49F"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09EB31A6" w14:textId="7E4F8A0B" w:rsidR="00060FE0" w:rsidRPr="00873B6C" w:rsidRDefault="00060FE0" w:rsidP="00591B52">
            <w:pPr>
              <w:pStyle w:val="TAC"/>
              <w:rPr>
                <w:sz w:val="16"/>
                <w:szCs w:val="16"/>
              </w:rPr>
            </w:pPr>
            <w:r w:rsidRPr="00873B6C">
              <w:rPr>
                <w:sz w:val="16"/>
                <w:szCs w:val="16"/>
              </w:rPr>
              <w:t>SP-240115</w:t>
            </w:r>
          </w:p>
        </w:tc>
        <w:tc>
          <w:tcPr>
            <w:tcW w:w="567" w:type="dxa"/>
            <w:shd w:val="solid" w:color="FFFFFF" w:fill="auto"/>
          </w:tcPr>
          <w:p w14:paraId="1EDC504C" w14:textId="394B36E3" w:rsidR="00060FE0" w:rsidRPr="00873B6C" w:rsidRDefault="00060FE0" w:rsidP="00591B52">
            <w:pPr>
              <w:pStyle w:val="TAL"/>
              <w:rPr>
                <w:sz w:val="16"/>
                <w:szCs w:val="16"/>
              </w:rPr>
            </w:pPr>
            <w:r w:rsidRPr="00873B6C">
              <w:rPr>
                <w:sz w:val="16"/>
                <w:szCs w:val="16"/>
              </w:rPr>
              <w:t>5011</w:t>
            </w:r>
          </w:p>
        </w:tc>
        <w:tc>
          <w:tcPr>
            <w:tcW w:w="425" w:type="dxa"/>
            <w:shd w:val="solid" w:color="FFFFFF" w:fill="auto"/>
          </w:tcPr>
          <w:p w14:paraId="050146C9" w14:textId="1585751D" w:rsidR="00060FE0" w:rsidRPr="00873B6C" w:rsidRDefault="00060FE0" w:rsidP="00591B52">
            <w:pPr>
              <w:pStyle w:val="TAL"/>
              <w:rPr>
                <w:sz w:val="16"/>
                <w:szCs w:val="16"/>
              </w:rPr>
            </w:pPr>
            <w:r w:rsidRPr="00873B6C">
              <w:rPr>
                <w:sz w:val="16"/>
                <w:szCs w:val="16"/>
              </w:rPr>
              <w:t>8</w:t>
            </w:r>
          </w:p>
        </w:tc>
        <w:tc>
          <w:tcPr>
            <w:tcW w:w="425" w:type="dxa"/>
            <w:shd w:val="solid" w:color="FFFFFF" w:fill="auto"/>
          </w:tcPr>
          <w:p w14:paraId="1D0531F6" w14:textId="3BEA9A6C"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6B5A72E5" w14:textId="3233069D" w:rsidR="00060FE0" w:rsidRPr="00873B6C" w:rsidRDefault="00060FE0" w:rsidP="00591B52">
            <w:pPr>
              <w:pStyle w:val="TAL"/>
              <w:rPr>
                <w:sz w:val="16"/>
                <w:szCs w:val="16"/>
              </w:rPr>
            </w:pPr>
            <w:r w:rsidRPr="00873B6C">
              <w:rPr>
                <w:sz w:val="16"/>
                <w:szCs w:val="16"/>
              </w:rPr>
              <w:t>Corrections to remove Nnef_UEId Service restrictions</w:t>
            </w:r>
          </w:p>
        </w:tc>
        <w:tc>
          <w:tcPr>
            <w:tcW w:w="708" w:type="dxa"/>
            <w:shd w:val="solid" w:color="FFFFFF" w:fill="auto"/>
          </w:tcPr>
          <w:p w14:paraId="07F6B4CE" w14:textId="6A9185A8" w:rsidR="00060FE0" w:rsidRPr="00873B6C" w:rsidRDefault="00060FE0" w:rsidP="00591B52">
            <w:pPr>
              <w:pStyle w:val="TAC"/>
              <w:rPr>
                <w:sz w:val="16"/>
                <w:szCs w:val="16"/>
              </w:rPr>
            </w:pPr>
            <w:r w:rsidRPr="00873B6C">
              <w:rPr>
                <w:sz w:val="16"/>
                <w:szCs w:val="16"/>
              </w:rPr>
              <w:t>18.5.0</w:t>
            </w:r>
          </w:p>
        </w:tc>
      </w:tr>
      <w:tr w:rsidR="00883CA6" w:rsidRPr="00873B6C" w14:paraId="5C7086BD" w14:textId="77777777" w:rsidTr="009D14FB">
        <w:tc>
          <w:tcPr>
            <w:tcW w:w="800" w:type="dxa"/>
            <w:shd w:val="solid" w:color="FFFFFF" w:fill="auto"/>
          </w:tcPr>
          <w:p w14:paraId="5BDCF272" w14:textId="63EDEDE7" w:rsidR="00883CA6" w:rsidRPr="00873B6C" w:rsidRDefault="00883CA6" w:rsidP="00591B52">
            <w:pPr>
              <w:pStyle w:val="TAC"/>
              <w:rPr>
                <w:sz w:val="16"/>
                <w:szCs w:val="16"/>
              </w:rPr>
            </w:pPr>
            <w:r w:rsidRPr="00873B6C">
              <w:rPr>
                <w:sz w:val="16"/>
                <w:szCs w:val="16"/>
              </w:rPr>
              <w:t>2024-03</w:t>
            </w:r>
          </w:p>
        </w:tc>
        <w:tc>
          <w:tcPr>
            <w:tcW w:w="800" w:type="dxa"/>
            <w:shd w:val="solid" w:color="FFFFFF" w:fill="auto"/>
          </w:tcPr>
          <w:p w14:paraId="464DE012" w14:textId="39CCB0AD" w:rsidR="00883CA6" w:rsidRPr="00873B6C" w:rsidRDefault="00883CA6" w:rsidP="00591B52">
            <w:pPr>
              <w:pStyle w:val="TAL"/>
              <w:rPr>
                <w:sz w:val="16"/>
                <w:szCs w:val="16"/>
              </w:rPr>
            </w:pPr>
            <w:r w:rsidRPr="00873B6C">
              <w:rPr>
                <w:sz w:val="16"/>
                <w:szCs w:val="16"/>
              </w:rPr>
              <w:t>SP#103</w:t>
            </w:r>
          </w:p>
        </w:tc>
        <w:tc>
          <w:tcPr>
            <w:tcW w:w="1094" w:type="dxa"/>
            <w:shd w:val="solid" w:color="FFFFFF" w:fill="auto"/>
          </w:tcPr>
          <w:p w14:paraId="3499F884" w14:textId="43A54AB0" w:rsidR="00883CA6" w:rsidRPr="00873B6C" w:rsidRDefault="00883CA6" w:rsidP="00591B52">
            <w:pPr>
              <w:pStyle w:val="TAC"/>
              <w:rPr>
                <w:sz w:val="16"/>
                <w:szCs w:val="16"/>
              </w:rPr>
            </w:pPr>
            <w:r w:rsidRPr="00873B6C">
              <w:rPr>
                <w:sz w:val="16"/>
                <w:szCs w:val="16"/>
              </w:rPr>
              <w:t>SP-240089</w:t>
            </w:r>
          </w:p>
        </w:tc>
        <w:tc>
          <w:tcPr>
            <w:tcW w:w="567" w:type="dxa"/>
            <w:shd w:val="solid" w:color="FFFFFF" w:fill="auto"/>
          </w:tcPr>
          <w:p w14:paraId="11DFC1F6" w14:textId="7CA2BD0D" w:rsidR="00883CA6" w:rsidRPr="00873B6C" w:rsidRDefault="00883CA6" w:rsidP="00591B52">
            <w:pPr>
              <w:pStyle w:val="TAL"/>
              <w:rPr>
                <w:sz w:val="16"/>
                <w:szCs w:val="16"/>
              </w:rPr>
            </w:pPr>
            <w:r w:rsidRPr="00873B6C">
              <w:rPr>
                <w:sz w:val="16"/>
                <w:szCs w:val="16"/>
              </w:rPr>
              <w:t>5032</w:t>
            </w:r>
          </w:p>
        </w:tc>
        <w:tc>
          <w:tcPr>
            <w:tcW w:w="425" w:type="dxa"/>
            <w:shd w:val="solid" w:color="FFFFFF" w:fill="auto"/>
          </w:tcPr>
          <w:p w14:paraId="5020C452" w14:textId="0A3BA49F" w:rsidR="00883CA6" w:rsidRPr="00873B6C" w:rsidRDefault="00883CA6" w:rsidP="00591B52">
            <w:pPr>
              <w:pStyle w:val="TAL"/>
              <w:rPr>
                <w:sz w:val="16"/>
                <w:szCs w:val="16"/>
              </w:rPr>
            </w:pPr>
            <w:r w:rsidRPr="00873B6C">
              <w:rPr>
                <w:sz w:val="16"/>
                <w:szCs w:val="16"/>
              </w:rPr>
              <w:t>4</w:t>
            </w:r>
          </w:p>
        </w:tc>
        <w:tc>
          <w:tcPr>
            <w:tcW w:w="425" w:type="dxa"/>
            <w:shd w:val="solid" w:color="FFFFFF" w:fill="auto"/>
          </w:tcPr>
          <w:p w14:paraId="14186259" w14:textId="2D2715D8" w:rsidR="00883CA6" w:rsidRPr="00873B6C" w:rsidRDefault="00883CA6" w:rsidP="00591B52">
            <w:pPr>
              <w:pStyle w:val="TAL"/>
              <w:rPr>
                <w:sz w:val="16"/>
                <w:szCs w:val="16"/>
              </w:rPr>
            </w:pPr>
            <w:r w:rsidRPr="00873B6C">
              <w:rPr>
                <w:sz w:val="16"/>
                <w:szCs w:val="16"/>
              </w:rPr>
              <w:t>F</w:t>
            </w:r>
          </w:p>
        </w:tc>
        <w:tc>
          <w:tcPr>
            <w:tcW w:w="4820" w:type="dxa"/>
            <w:shd w:val="solid" w:color="FFFFFF" w:fill="auto"/>
          </w:tcPr>
          <w:p w14:paraId="06819AAC" w14:textId="4F7DCE25" w:rsidR="00883CA6" w:rsidRPr="00873B6C" w:rsidRDefault="00883CA6" w:rsidP="00591B52">
            <w:pPr>
              <w:pStyle w:val="TAL"/>
              <w:rPr>
                <w:sz w:val="16"/>
                <w:szCs w:val="16"/>
              </w:rPr>
            </w:pPr>
            <w:r w:rsidRPr="00873B6C">
              <w:rPr>
                <w:sz w:val="16"/>
                <w:szCs w:val="16"/>
              </w:rPr>
              <w:t>Updated description of UE Location verification for NTN</w:t>
            </w:r>
          </w:p>
        </w:tc>
        <w:tc>
          <w:tcPr>
            <w:tcW w:w="708" w:type="dxa"/>
            <w:shd w:val="solid" w:color="FFFFFF" w:fill="auto"/>
          </w:tcPr>
          <w:p w14:paraId="35175DA6" w14:textId="285A30A4" w:rsidR="00883CA6" w:rsidRPr="00873B6C" w:rsidRDefault="00883CA6" w:rsidP="00591B52">
            <w:pPr>
              <w:pStyle w:val="TAC"/>
              <w:rPr>
                <w:sz w:val="16"/>
                <w:szCs w:val="16"/>
              </w:rPr>
            </w:pPr>
            <w:r w:rsidRPr="00873B6C">
              <w:rPr>
                <w:sz w:val="16"/>
                <w:szCs w:val="16"/>
              </w:rPr>
              <w:t>18.5.0</w:t>
            </w:r>
          </w:p>
        </w:tc>
      </w:tr>
      <w:tr w:rsidR="00883CA6" w:rsidRPr="00873B6C" w14:paraId="590376B2" w14:textId="77777777" w:rsidTr="009D14FB">
        <w:tc>
          <w:tcPr>
            <w:tcW w:w="800" w:type="dxa"/>
            <w:shd w:val="solid" w:color="FFFFFF" w:fill="auto"/>
          </w:tcPr>
          <w:p w14:paraId="5BBFA111" w14:textId="74ED7BE1" w:rsidR="00883CA6" w:rsidRPr="00873B6C" w:rsidRDefault="00883CA6" w:rsidP="00591B52">
            <w:pPr>
              <w:pStyle w:val="TAC"/>
              <w:rPr>
                <w:sz w:val="16"/>
                <w:szCs w:val="16"/>
              </w:rPr>
            </w:pPr>
            <w:r w:rsidRPr="00873B6C">
              <w:rPr>
                <w:sz w:val="16"/>
                <w:szCs w:val="16"/>
              </w:rPr>
              <w:t>2024-03</w:t>
            </w:r>
          </w:p>
        </w:tc>
        <w:tc>
          <w:tcPr>
            <w:tcW w:w="800" w:type="dxa"/>
            <w:shd w:val="solid" w:color="FFFFFF" w:fill="auto"/>
          </w:tcPr>
          <w:p w14:paraId="6192F5AC" w14:textId="55B6522F" w:rsidR="00883CA6" w:rsidRPr="00873B6C" w:rsidRDefault="00883CA6" w:rsidP="00591B52">
            <w:pPr>
              <w:pStyle w:val="TAL"/>
              <w:rPr>
                <w:sz w:val="16"/>
                <w:szCs w:val="16"/>
              </w:rPr>
            </w:pPr>
            <w:r w:rsidRPr="00873B6C">
              <w:rPr>
                <w:sz w:val="16"/>
                <w:szCs w:val="16"/>
              </w:rPr>
              <w:t>SP#103</w:t>
            </w:r>
          </w:p>
        </w:tc>
        <w:tc>
          <w:tcPr>
            <w:tcW w:w="1094" w:type="dxa"/>
            <w:shd w:val="solid" w:color="FFFFFF" w:fill="auto"/>
          </w:tcPr>
          <w:p w14:paraId="5DE7A1EC" w14:textId="6E4623A9" w:rsidR="00883CA6" w:rsidRPr="00873B6C" w:rsidRDefault="00883CA6" w:rsidP="00591B52">
            <w:pPr>
              <w:pStyle w:val="TAC"/>
              <w:rPr>
                <w:sz w:val="16"/>
                <w:szCs w:val="16"/>
              </w:rPr>
            </w:pPr>
            <w:r w:rsidRPr="00873B6C">
              <w:rPr>
                <w:sz w:val="16"/>
                <w:szCs w:val="16"/>
              </w:rPr>
              <w:t>SP-240113</w:t>
            </w:r>
          </w:p>
        </w:tc>
        <w:tc>
          <w:tcPr>
            <w:tcW w:w="567" w:type="dxa"/>
            <w:shd w:val="solid" w:color="FFFFFF" w:fill="auto"/>
          </w:tcPr>
          <w:p w14:paraId="1A3BBDCB" w14:textId="4E7BC132" w:rsidR="00883CA6" w:rsidRPr="00873B6C" w:rsidRDefault="00883CA6" w:rsidP="00591B52">
            <w:pPr>
              <w:pStyle w:val="TAL"/>
              <w:rPr>
                <w:sz w:val="16"/>
                <w:szCs w:val="16"/>
              </w:rPr>
            </w:pPr>
            <w:r w:rsidRPr="00873B6C">
              <w:rPr>
                <w:sz w:val="16"/>
                <w:szCs w:val="16"/>
              </w:rPr>
              <w:t>5081</w:t>
            </w:r>
          </w:p>
        </w:tc>
        <w:tc>
          <w:tcPr>
            <w:tcW w:w="425" w:type="dxa"/>
            <w:shd w:val="solid" w:color="FFFFFF" w:fill="auto"/>
          </w:tcPr>
          <w:p w14:paraId="00ECCD2C" w14:textId="7CAF791F" w:rsidR="00883CA6" w:rsidRPr="00873B6C" w:rsidRDefault="00883CA6" w:rsidP="00591B52">
            <w:pPr>
              <w:pStyle w:val="TAL"/>
              <w:rPr>
                <w:sz w:val="16"/>
                <w:szCs w:val="16"/>
              </w:rPr>
            </w:pPr>
            <w:r w:rsidRPr="00873B6C">
              <w:rPr>
                <w:sz w:val="16"/>
                <w:szCs w:val="16"/>
              </w:rPr>
              <w:t>2</w:t>
            </w:r>
          </w:p>
        </w:tc>
        <w:tc>
          <w:tcPr>
            <w:tcW w:w="425" w:type="dxa"/>
            <w:shd w:val="solid" w:color="FFFFFF" w:fill="auto"/>
          </w:tcPr>
          <w:p w14:paraId="1787BBD9" w14:textId="72C691EB" w:rsidR="00883CA6" w:rsidRPr="00873B6C" w:rsidRDefault="00883CA6" w:rsidP="00591B52">
            <w:pPr>
              <w:pStyle w:val="TAL"/>
              <w:rPr>
                <w:sz w:val="16"/>
                <w:szCs w:val="16"/>
              </w:rPr>
            </w:pPr>
            <w:r w:rsidRPr="00873B6C">
              <w:rPr>
                <w:sz w:val="16"/>
                <w:szCs w:val="16"/>
              </w:rPr>
              <w:t>F</w:t>
            </w:r>
          </w:p>
        </w:tc>
        <w:tc>
          <w:tcPr>
            <w:tcW w:w="4820" w:type="dxa"/>
            <w:shd w:val="solid" w:color="FFFFFF" w:fill="auto"/>
          </w:tcPr>
          <w:p w14:paraId="4D3E236A" w14:textId="46D8E7B8" w:rsidR="00883CA6" w:rsidRPr="00873B6C" w:rsidRDefault="00883CA6" w:rsidP="00591B52">
            <w:pPr>
              <w:pStyle w:val="TAL"/>
              <w:rPr>
                <w:sz w:val="16"/>
                <w:szCs w:val="16"/>
              </w:rPr>
            </w:pPr>
            <w:r w:rsidRPr="00873B6C">
              <w:rPr>
                <w:sz w:val="16"/>
                <w:szCs w:val="16"/>
              </w:rPr>
              <w:t xml:space="preserve">Correction on Congestion Information Exposure </w:t>
            </w:r>
          </w:p>
        </w:tc>
        <w:tc>
          <w:tcPr>
            <w:tcW w:w="708" w:type="dxa"/>
            <w:shd w:val="solid" w:color="FFFFFF" w:fill="auto"/>
          </w:tcPr>
          <w:p w14:paraId="63E16598" w14:textId="0A3E67B9" w:rsidR="00883CA6" w:rsidRPr="00873B6C" w:rsidRDefault="00883CA6" w:rsidP="00591B52">
            <w:pPr>
              <w:pStyle w:val="TAC"/>
              <w:rPr>
                <w:sz w:val="16"/>
                <w:szCs w:val="16"/>
              </w:rPr>
            </w:pPr>
            <w:r w:rsidRPr="00873B6C">
              <w:rPr>
                <w:sz w:val="16"/>
                <w:szCs w:val="16"/>
              </w:rPr>
              <w:t>18.5.0</w:t>
            </w:r>
          </w:p>
        </w:tc>
      </w:tr>
      <w:tr w:rsidR="00883CA6" w:rsidRPr="00873B6C" w14:paraId="5EF0E717" w14:textId="77777777" w:rsidTr="009D14FB">
        <w:tc>
          <w:tcPr>
            <w:tcW w:w="800" w:type="dxa"/>
            <w:shd w:val="solid" w:color="FFFFFF" w:fill="auto"/>
          </w:tcPr>
          <w:p w14:paraId="1E753817" w14:textId="5ADE3B3D" w:rsidR="00883CA6" w:rsidRPr="00873B6C" w:rsidRDefault="00883CA6" w:rsidP="00591B52">
            <w:pPr>
              <w:pStyle w:val="TAC"/>
              <w:rPr>
                <w:sz w:val="16"/>
                <w:szCs w:val="16"/>
              </w:rPr>
            </w:pPr>
            <w:r w:rsidRPr="00873B6C">
              <w:rPr>
                <w:sz w:val="16"/>
                <w:szCs w:val="16"/>
              </w:rPr>
              <w:t>2024-03</w:t>
            </w:r>
          </w:p>
        </w:tc>
        <w:tc>
          <w:tcPr>
            <w:tcW w:w="800" w:type="dxa"/>
            <w:shd w:val="solid" w:color="FFFFFF" w:fill="auto"/>
          </w:tcPr>
          <w:p w14:paraId="11F579F0" w14:textId="1A9383DB" w:rsidR="00883CA6" w:rsidRPr="00873B6C" w:rsidRDefault="00883CA6" w:rsidP="00591B52">
            <w:pPr>
              <w:pStyle w:val="TAL"/>
              <w:rPr>
                <w:sz w:val="16"/>
                <w:szCs w:val="16"/>
              </w:rPr>
            </w:pPr>
            <w:r w:rsidRPr="00873B6C">
              <w:rPr>
                <w:sz w:val="16"/>
                <w:szCs w:val="16"/>
              </w:rPr>
              <w:t>SP#103</w:t>
            </w:r>
          </w:p>
        </w:tc>
        <w:tc>
          <w:tcPr>
            <w:tcW w:w="1094" w:type="dxa"/>
            <w:shd w:val="solid" w:color="FFFFFF" w:fill="auto"/>
          </w:tcPr>
          <w:p w14:paraId="1153ACC7" w14:textId="594D5302" w:rsidR="00883CA6" w:rsidRPr="00873B6C" w:rsidRDefault="00883CA6" w:rsidP="00591B52">
            <w:pPr>
              <w:pStyle w:val="TAC"/>
              <w:rPr>
                <w:sz w:val="16"/>
                <w:szCs w:val="16"/>
              </w:rPr>
            </w:pPr>
            <w:r w:rsidRPr="00873B6C">
              <w:rPr>
                <w:sz w:val="16"/>
                <w:szCs w:val="16"/>
              </w:rPr>
              <w:t>SP-240077</w:t>
            </w:r>
          </w:p>
        </w:tc>
        <w:tc>
          <w:tcPr>
            <w:tcW w:w="567" w:type="dxa"/>
            <w:shd w:val="solid" w:color="FFFFFF" w:fill="auto"/>
          </w:tcPr>
          <w:p w14:paraId="521817CC" w14:textId="2836233B" w:rsidR="00883CA6" w:rsidRPr="00873B6C" w:rsidRDefault="00883CA6" w:rsidP="00591B52">
            <w:pPr>
              <w:pStyle w:val="TAL"/>
              <w:rPr>
                <w:sz w:val="16"/>
                <w:szCs w:val="16"/>
              </w:rPr>
            </w:pPr>
            <w:r w:rsidRPr="00873B6C">
              <w:rPr>
                <w:sz w:val="16"/>
                <w:szCs w:val="16"/>
              </w:rPr>
              <w:t>5082</w:t>
            </w:r>
          </w:p>
        </w:tc>
        <w:tc>
          <w:tcPr>
            <w:tcW w:w="425" w:type="dxa"/>
            <w:shd w:val="solid" w:color="FFFFFF" w:fill="auto"/>
          </w:tcPr>
          <w:p w14:paraId="0155CE38" w14:textId="3FF24A87" w:rsidR="00883CA6" w:rsidRPr="00873B6C" w:rsidRDefault="00883CA6" w:rsidP="00591B52">
            <w:pPr>
              <w:pStyle w:val="TAL"/>
              <w:rPr>
                <w:sz w:val="16"/>
                <w:szCs w:val="16"/>
              </w:rPr>
            </w:pPr>
            <w:r w:rsidRPr="00873B6C">
              <w:rPr>
                <w:sz w:val="16"/>
                <w:szCs w:val="16"/>
              </w:rPr>
              <w:t>3</w:t>
            </w:r>
          </w:p>
        </w:tc>
        <w:tc>
          <w:tcPr>
            <w:tcW w:w="425" w:type="dxa"/>
            <w:shd w:val="solid" w:color="FFFFFF" w:fill="auto"/>
          </w:tcPr>
          <w:p w14:paraId="53D4FD67" w14:textId="4D21EA72" w:rsidR="00883CA6" w:rsidRPr="00873B6C" w:rsidRDefault="00883CA6" w:rsidP="00591B52">
            <w:pPr>
              <w:pStyle w:val="TAL"/>
              <w:rPr>
                <w:sz w:val="16"/>
                <w:szCs w:val="16"/>
              </w:rPr>
            </w:pPr>
            <w:r w:rsidRPr="00873B6C">
              <w:rPr>
                <w:sz w:val="16"/>
                <w:szCs w:val="16"/>
              </w:rPr>
              <w:t>F</w:t>
            </w:r>
          </w:p>
        </w:tc>
        <w:tc>
          <w:tcPr>
            <w:tcW w:w="4820" w:type="dxa"/>
            <w:shd w:val="solid" w:color="FFFFFF" w:fill="auto"/>
          </w:tcPr>
          <w:p w14:paraId="2D0A4810" w14:textId="292BE33E" w:rsidR="00883CA6" w:rsidRPr="00873B6C" w:rsidRDefault="00883CA6" w:rsidP="00591B52">
            <w:pPr>
              <w:pStyle w:val="TAL"/>
              <w:rPr>
                <w:sz w:val="16"/>
                <w:szCs w:val="16"/>
              </w:rPr>
            </w:pPr>
            <w:r w:rsidRPr="00873B6C">
              <w:rPr>
                <w:sz w:val="16"/>
                <w:szCs w:val="16"/>
              </w:rPr>
              <w:t xml:space="preserve">Correction of UPF reporting of QoS Monitoring packet delay </w:t>
            </w:r>
          </w:p>
        </w:tc>
        <w:tc>
          <w:tcPr>
            <w:tcW w:w="708" w:type="dxa"/>
            <w:shd w:val="solid" w:color="FFFFFF" w:fill="auto"/>
          </w:tcPr>
          <w:p w14:paraId="7E7B657A" w14:textId="13B99479" w:rsidR="00883CA6" w:rsidRPr="00873B6C" w:rsidRDefault="00883CA6" w:rsidP="00591B52">
            <w:pPr>
              <w:pStyle w:val="TAC"/>
              <w:rPr>
                <w:sz w:val="16"/>
                <w:szCs w:val="16"/>
              </w:rPr>
            </w:pPr>
            <w:r w:rsidRPr="00873B6C">
              <w:rPr>
                <w:sz w:val="16"/>
                <w:szCs w:val="16"/>
              </w:rPr>
              <w:t>18.5.0</w:t>
            </w:r>
          </w:p>
        </w:tc>
      </w:tr>
      <w:tr w:rsidR="00CA7C83" w:rsidRPr="00873B6C" w14:paraId="6D0D5291" w14:textId="77777777" w:rsidTr="009D14FB">
        <w:tc>
          <w:tcPr>
            <w:tcW w:w="800" w:type="dxa"/>
            <w:shd w:val="solid" w:color="FFFFFF" w:fill="auto"/>
          </w:tcPr>
          <w:p w14:paraId="4FBE7AB0" w14:textId="332566C2" w:rsidR="00CA7C83" w:rsidRPr="00873B6C" w:rsidRDefault="00CA7C83" w:rsidP="00591B52">
            <w:pPr>
              <w:pStyle w:val="TAC"/>
              <w:rPr>
                <w:sz w:val="16"/>
                <w:szCs w:val="16"/>
              </w:rPr>
            </w:pPr>
            <w:r w:rsidRPr="00873B6C">
              <w:rPr>
                <w:sz w:val="16"/>
                <w:szCs w:val="16"/>
              </w:rPr>
              <w:t>2024-03</w:t>
            </w:r>
          </w:p>
        </w:tc>
        <w:tc>
          <w:tcPr>
            <w:tcW w:w="800" w:type="dxa"/>
            <w:shd w:val="solid" w:color="FFFFFF" w:fill="auto"/>
          </w:tcPr>
          <w:p w14:paraId="597588C7" w14:textId="3CE3F179" w:rsidR="00CA7C83" w:rsidRPr="00873B6C" w:rsidRDefault="00CA7C83" w:rsidP="00591B52">
            <w:pPr>
              <w:pStyle w:val="TAL"/>
              <w:rPr>
                <w:sz w:val="16"/>
                <w:szCs w:val="16"/>
              </w:rPr>
            </w:pPr>
            <w:r w:rsidRPr="00873B6C">
              <w:rPr>
                <w:sz w:val="16"/>
                <w:szCs w:val="16"/>
              </w:rPr>
              <w:t>SP#103</w:t>
            </w:r>
          </w:p>
        </w:tc>
        <w:tc>
          <w:tcPr>
            <w:tcW w:w="1094" w:type="dxa"/>
            <w:shd w:val="solid" w:color="FFFFFF" w:fill="auto"/>
          </w:tcPr>
          <w:p w14:paraId="0D0D2824" w14:textId="40AA8A5A" w:rsidR="00CA7C83" w:rsidRPr="00873B6C" w:rsidRDefault="00CA7C83" w:rsidP="00591B52">
            <w:pPr>
              <w:pStyle w:val="TAC"/>
              <w:rPr>
                <w:sz w:val="16"/>
                <w:szCs w:val="16"/>
              </w:rPr>
            </w:pPr>
            <w:r w:rsidRPr="00873B6C">
              <w:rPr>
                <w:sz w:val="16"/>
                <w:szCs w:val="16"/>
              </w:rPr>
              <w:t>SP-240098</w:t>
            </w:r>
          </w:p>
        </w:tc>
        <w:tc>
          <w:tcPr>
            <w:tcW w:w="567" w:type="dxa"/>
            <w:shd w:val="solid" w:color="FFFFFF" w:fill="auto"/>
          </w:tcPr>
          <w:p w14:paraId="4CC9AB7E" w14:textId="0FB3965D" w:rsidR="00CA7C83" w:rsidRPr="00873B6C" w:rsidRDefault="00CA7C83" w:rsidP="00591B52">
            <w:pPr>
              <w:pStyle w:val="TAL"/>
              <w:rPr>
                <w:sz w:val="16"/>
                <w:szCs w:val="16"/>
              </w:rPr>
            </w:pPr>
            <w:r w:rsidRPr="00873B6C">
              <w:rPr>
                <w:sz w:val="16"/>
                <w:szCs w:val="16"/>
              </w:rPr>
              <w:t>5095</w:t>
            </w:r>
          </w:p>
        </w:tc>
        <w:tc>
          <w:tcPr>
            <w:tcW w:w="425" w:type="dxa"/>
            <w:shd w:val="solid" w:color="FFFFFF" w:fill="auto"/>
          </w:tcPr>
          <w:p w14:paraId="6FC4E660" w14:textId="779C145F" w:rsidR="00CA7C83" w:rsidRPr="00873B6C" w:rsidRDefault="00CA7C83" w:rsidP="00591B52">
            <w:pPr>
              <w:pStyle w:val="TAL"/>
              <w:rPr>
                <w:sz w:val="16"/>
                <w:szCs w:val="16"/>
              </w:rPr>
            </w:pPr>
            <w:r w:rsidRPr="00873B6C">
              <w:rPr>
                <w:sz w:val="16"/>
                <w:szCs w:val="16"/>
              </w:rPr>
              <w:t>2</w:t>
            </w:r>
          </w:p>
        </w:tc>
        <w:tc>
          <w:tcPr>
            <w:tcW w:w="425" w:type="dxa"/>
            <w:shd w:val="solid" w:color="FFFFFF" w:fill="auto"/>
          </w:tcPr>
          <w:p w14:paraId="6FC6D666" w14:textId="39C66F42" w:rsidR="00CA7C83" w:rsidRPr="00873B6C" w:rsidRDefault="00CA7C83" w:rsidP="00591B52">
            <w:pPr>
              <w:pStyle w:val="TAL"/>
              <w:rPr>
                <w:sz w:val="16"/>
                <w:szCs w:val="16"/>
              </w:rPr>
            </w:pPr>
            <w:r w:rsidRPr="00873B6C">
              <w:rPr>
                <w:sz w:val="16"/>
                <w:szCs w:val="16"/>
              </w:rPr>
              <w:t>F</w:t>
            </w:r>
          </w:p>
        </w:tc>
        <w:tc>
          <w:tcPr>
            <w:tcW w:w="4820" w:type="dxa"/>
            <w:shd w:val="solid" w:color="FFFFFF" w:fill="auto"/>
          </w:tcPr>
          <w:p w14:paraId="3A1C0C0E" w14:textId="0CA6FC70" w:rsidR="00CA7C83" w:rsidRPr="00873B6C" w:rsidRDefault="00CA7C83" w:rsidP="00591B52">
            <w:pPr>
              <w:pStyle w:val="TAL"/>
              <w:rPr>
                <w:sz w:val="16"/>
                <w:szCs w:val="16"/>
              </w:rPr>
            </w:pPr>
            <w:r w:rsidRPr="00873B6C">
              <w:rPr>
                <w:sz w:val="16"/>
                <w:szCs w:val="16"/>
              </w:rPr>
              <w:t>Clarification on DL Session AMBR for Offloading in HR-SBO sessions</w:t>
            </w:r>
          </w:p>
        </w:tc>
        <w:tc>
          <w:tcPr>
            <w:tcW w:w="708" w:type="dxa"/>
            <w:shd w:val="solid" w:color="FFFFFF" w:fill="auto"/>
          </w:tcPr>
          <w:p w14:paraId="61073872" w14:textId="7D2F16C5" w:rsidR="00CA7C83" w:rsidRPr="00873B6C" w:rsidRDefault="00CA7C83" w:rsidP="00591B52">
            <w:pPr>
              <w:pStyle w:val="TAC"/>
              <w:rPr>
                <w:sz w:val="16"/>
                <w:szCs w:val="16"/>
              </w:rPr>
            </w:pPr>
            <w:r w:rsidRPr="00873B6C">
              <w:rPr>
                <w:sz w:val="16"/>
                <w:szCs w:val="16"/>
              </w:rPr>
              <w:t>18.5.0</w:t>
            </w:r>
          </w:p>
        </w:tc>
      </w:tr>
      <w:tr w:rsidR="00D72F02" w:rsidRPr="00873B6C" w14:paraId="646C8A15" w14:textId="77777777" w:rsidTr="009D14FB">
        <w:tc>
          <w:tcPr>
            <w:tcW w:w="800" w:type="dxa"/>
            <w:shd w:val="solid" w:color="FFFFFF" w:fill="auto"/>
          </w:tcPr>
          <w:p w14:paraId="15F8AB78" w14:textId="32FA2417" w:rsidR="00D72F02" w:rsidRPr="00873B6C" w:rsidRDefault="00D72F02" w:rsidP="00591B52">
            <w:pPr>
              <w:pStyle w:val="TAC"/>
              <w:rPr>
                <w:sz w:val="16"/>
                <w:szCs w:val="16"/>
              </w:rPr>
            </w:pPr>
            <w:r w:rsidRPr="00873B6C">
              <w:rPr>
                <w:sz w:val="16"/>
                <w:szCs w:val="16"/>
              </w:rPr>
              <w:t>2024-03</w:t>
            </w:r>
          </w:p>
        </w:tc>
        <w:tc>
          <w:tcPr>
            <w:tcW w:w="800" w:type="dxa"/>
            <w:shd w:val="solid" w:color="FFFFFF" w:fill="auto"/>
          </w:tcPr>
          <w:p w14:paraId="7FD6D20A" w14:textId="414765BD" w:rsidR="00D72F02" w:rsidRPr="00873B6C" w:rsidRDefault="00D72F02" w:rsidP="00591B52">
            <w:pPr>
              <w:pStyle w:val="TAL"/>
              <w:rPr>
                <w:sz w:val="16"/>
                <w:szCs w:val="16"/>
              </w:rPr>
            </w:pPr>
            <w:r w:rsidRPr="00873B6C">
              <w:rPr>
                <w:sz w:val="16"/>
                <w:szCs w:val="16"/>
              </w:rPr>
              <w:t>SP#103</w:t>
            </w:r>
          </w:p>
        </w:tc>
        <w:tc>
          <w:tcPr>
            <w:tcW w:w="1094" w:type="dxa"/>
            <w:shd w:val="solid" w:color="FFFFFF" w:fill="auto"/>
          </w:tcPr>
          <w:p w14:paraId="6F44B35B" w14:textId="65C97149" w:rsidR="00D72F02" w:rsidRPr="00873B6C" w:rsidRDefault="00D72F02" w:rsidP="00591B52">
            <w:pPr>
              <w:pStyle w:val="TAC"/>
              <w:rPr>
                <w:sz w:val="16"/>
                <w:szCs w:val="16"/>
              </w:rPr>
            </w:pPr>
            <w:r w:rsidRPr="00873B6C">
              <w:rPr>
                <w:sz w:val="16"/>
                <w:szCs w:val="16"/>
              </w:rPr>
              <w:t>SP-240110</w:t>
            </w:r>
          </w:p>
        </w:tc>
        <w:tc>
          <w:tcPr>
            <w:tcW w:w="567" w:type="dxa"/>
            <w:shd w:val="solid" w:color="FFFFFF" w:fill="auto"/>
          </w:tcPr>
          <w:p w14:paraId="39A18F4A" w14:textId="6B16E643" w:rsidR="00D72F02" w:rsidRPr="00873B6C" w:rsidRDefault="00D72F02" w:rsidP="00591B52">
            <w:pPr>
              <w:pStyle w:val="TAL"/>
              <w:rPr>
                <w:sz w:val="16"/>
                <w:szCs w:val="16"/>
              </w:rPr>
            </w:pPr>
            <w:r w:rsidRPr="00873B6C">
              <w:rPr>
                <w:sz w:val="16"/>
                <w:szCs w:val="16"/>
              </w:rPr>
              <w:t>5106</w:t>
            </w:r>
          </w:p>
        </w:tc>
        <w:tc>
          <w:tcPr>
            <w:tcW w:w="425" w:type="dxa"/>
            <w:shd w:val="solid" w:color="FFFFFF" w:fill="auto"/>
          </w:tcPr>
          <w:p w14:paraId="0602CCA6" w14:textId="688C9A0A" w:rsidR="00D72F02" w:rsidRPr="00873B6C" w:rsidRDefault="00D72F02" w:rsidP="00591B52">
            <w:pPr>
              <w:pStyle w:val="TAL"/>
              <w:rPr>
                <w:sz w:val="16"/>
                <w:szCs w:val="16"/>
              </w:rPr>
            </w:pPr>
            <w:r w:rsidRPr="00873B6C">
              <w:rPr>
                <w:sz w:val="16"/>
                <w:szCs w:val="16"/>
              </w:rPr>
              <w:t>2</w:t>
            </w:r>
          </w:p>
        </w:tc>
        <w:tc>
          <w:tcPr>
            <w:tcW w:w="425" w:type="dxa"/>
            <w:shd w:val="solid" w:color="FFFFFF" w:fill="auto"/>
          </w:tcPr>
          <w:p w14:paraId="3471A9B6" w14:textId="74FE5BA7" w:rsidR="00D72F02" w:rsidRPr="00873B6C" w:rsidRDefault="00D72F02" w:rsidP="00591B52">
            <w:pPr>
              <w:pStyle w:val="TAL"/>
              <w:rPr>
                <w:sz w:val="16"/>
                <w:szCs w:val="16"/>
              </w:rPr>
            </w:pPr>
            <w:r w:rsidRPr="00873B6C">
              <w:rPr>
                <w:sz w:val="16"/>
                <w:szCs w:val="16"/>
              </w:rPr>
              <w:t>F</w:t>
            </w:r>
          </w:p>
        </w:tc>
        <w:tc>
          <w:tcPr>
            <w:tcW w:w="4820" w:type="dxa"/>
            <w:shd w:val="solid" w:color="FFFFFF" w:fill="auto"/>
          </w:tcPr>
          <w:p w14:paraId="078887CF" w14:textId="5D0F16B1" w:rsidR="00D72F02" w:rsidRPr="00873B6C" w:rsidRDefault="00D72F02" w:rsidP="00591B52">
            <w:pPr>
              <w:pStyle w:val="TAL"/>
              <w:rPr>
                <w:sz w:val="16"/>
                <w:szCs w:val="16"/>
              </w:rPr>
            </w:pPr>
            <w:r w:rsidRPr="00873B6C">
              <w:rPr>
                <w:sz w:val="16"/>
                <w:szCs w:val="16"/>
              </w:rPr>
              <w:t>Clarification on AoI of time synchronization service</w:t>
            </w:r>
          </w:p>
        </w:tc>
        <w:tc>
          <w:tcPr>
            <w:tcW w:w="708" w:type="dxa"/>
            <w:shd w:val="solid" w:color="FFFFFF" w:fill="auto"/>
          </w:tcPr>
          <w:p w14:paraId="1BCEB7C4" w14:textId="26E67C6A" w:rsidR="00D72F02" w:rsidRPr="00873B6C" w:rsidRDefault="00D72F02" w:rsidP="00591B52">
            <w:pPr>
              <w:pStyle w:val="TAC"/>
              <w:rPr>
                <w:sz w:val="16"/>
                <w:szCs w:val="16"/>
              </w:rPr>
            </w:pPr>
            <w:r w:rsidRPr="00873B6C">
              <w:rPr>
                <w:sz w:val="16"/>
                <w:szCs w:val="16"/>
              </w:rPr>
              <w:t>18.5.0</w:t>
            </w:r>
          </w:p>
        </w:tc>
      </w:tr>
      <w:tr w:rsidR="00500903" w:rsidRPr="00873B6C" w14:paraId="53F560CD" w14:textId="77777777" w:rsidTr="009D14FB">
        <w:tc>
          <w:tcPr>
            <w:tcW w:w="800" w:type="dxa"/>
            <w:shd w:val="solid" w:color="FFFFFF" w:fill="auto"/>
          </w:tcPr>
          <w:p w14:paraId="63B80E98" w14:textId="078F8606"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2714DAF3" w14:textId="281536B9"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66206E2C" w14:textId="7408C688" w:rsidR="00500903" w:rsidRPr="00873B6C" w:rsidRDefault="00500903" w:rsidP="00591B52">
            <w:pPr>
              <w:pStyle w:val="TAC"/>
              <w:rPr>
                <w:sz w:val="16"/>
                <w:szCs w:val="16"/>
              </w:rPr>
            </w:pPr>
            <w:r w:rsidRPr="00873B6C">
              <w:rPr>
                <w:sz w:val="16"/>
                <w:szCs w:val="16"/>
              </w:rPr>
              <w:t>SP-240110</w:t>
            </w:r>
          </w:p>
        </w:tc>
        <w:tc>
          <w:tcPr>
            <w:tcW w:w="567" w:type="dxa"/>
            <w:shd w:val="solid" w:color="FFFFFF" w:fill="auto"/>
          </w:tcPr>
          <w:p w14:paraId="052F7C48" w14:textId="50E126EE" w:rsidR="00500903" w:rsidRPr="00873B6C" w:rsidRDefault="00500903" w:rsidP="00591B52">
            <w:pPr>
              <w:pStyle w:val="TAL"/>
              <w:rPr>
                <w:sz w:val="16"/>
                <w:szCs w:val="16"/>
              </w:rPr>
            </w:pPr>
            <w:r w:rsidRPr="00873B6C">
              <w:rPr>
                <w:sz w:val="16"/>
                <w:szCs w:val="16"/>
              </w:rPr>
              <w:t>5122</w:t>
            </w:r>
          </w:p>
        </w:tc>
        <w:tc>
          <w:tcPr>
            <w:tcW w:w="425" w:type="dxa"/>
            <w:shd w:val="solid" w:color="FFFFFF" w:fill="auto"/>
          </w:tcPr>
          <w:p w14:paraId="09BF9806" w14:textId="689F5C7D"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1637C4B2" w14:textId="44AC140E"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7481A213" w14:textId="188A4577" w:rsidR="00500903" w:rsidRPr="00873B6C" w:rsidRDefault="00500903" w:rsidP="00591B52">
            <w:pPr>
              <w:pStyle w:val="TAL"/>
              <w:rPr>
                <w:sz w:val="16"/>
                <w:szCs w:val="16"/>
              </w:rPr>
            </w:pPr>
            <w:r w:rsidRPr="00873B6C">
              <w:rPr>
                <w:sz w:val="16"/>
                <w:szCs w:val="16"/>
              </w:rPr>
              <w:t xml:space="preserve">Correction of additional parameters inside AF Request Authorization  </w:t>
            </w:r>
          </w:p>
        </w:tc>
        <w:tc>
          <w:tcPr>
            <w:tcW w:w="708" w:type="dxa"/>
            <w:shd w:val="solid" w:color="FFFFFF" w:fill="auto"/>
          </w:tcPr>
          <w:p w14:paraId="2C33A2B2" w14:textId="0B979AAF" w:rsidR="00500903" w:rsidRPr="00873B6C" w:rsidRDefault="00500903" w:rsidP="00591B52">
            <w:pPr>
              <w:pStyle w:val="TAC"/>
              <w:rPr>
                <w:sz w:val="16"/>
                <w:szCs w:val="16"/>
              </w:rPr>
            </w:pPr>
            <w:r w:rsidRPr="00873B6C">
              <w:rPr>
                <w:sz w:val="16"/>
                <w:szCs w:val="16"/>
              </w:rPr>
              <w:t>18.5.0</w:t>
            </w:r>
          </w:p>
        </w:tc>
      </w:tr>
      <w:tr w:rsidR="00500903" w:rsidRPr="00873B6C" w14:paraId="6826D46C" w14:textId="77777777" w:rsidTr="009D14FB">
        <w:tc>
          <w:tcPr>
            <w:tcW w:w="800" w:type="dxa"/>
            <w:shd w:val="solid" w:color="FFFFFF" w:fill="auto"/>
          </w:tcPr>
          <w:p w14:paraId="5DC88208" w14:textId="34B01132"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70314458" w14:textId="61907C76"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2D17E333" w14:textId="62A7BEA2" w:rsidR="00500903" w:rsidRPr="00873B6C" w:rsidRDefault="00500903" w:rsidP="00591B52">
            <w:pPr>
              <w:pStyle w:val="TAC"/>
              <w:rPr>
                <w:sz w:val="16"/>
                <w:szCs w:val="16"/>
              </w:rPr>
            </w:pPr>
            <w:r w:rsidRPr="00873B6C">
              <w:rPr>
                <w:sz w:val="16"/>
                <w:szCs w:val="16"/>
              </w:rPr>
              <w:t>SP-240191</w:t>
            </w:r>
          </w:p>
        </w:tc>
        <w:tc>
          <w:tcPr>
            <w:tcW w:w="567" w:type="dxa"/>
            <w:shd w:val="solid" w:color="FFFFFF" w:fill="auto"/>
          </w:tcPr>
          <w:p w14:paraId="0873DF7E" w14:textId="7F0397C6" w:rsidR="00500903" w:rsidRPr="00873B6C" w:rsidRDefault="00500903" w:rsidP="00591B52">
            <w:pPr>
              <w:pStyle w:val="TAL"/>
              <w:rPr>
                <w:sz w:val="16"/>
                <w:szCs w:val="16"/>
              </w:rPr>
            </w:pPr>
            <w:r w:rsidRPr="00873B6C">
              <w:rPr>
                <w:sz w:val="16"/>
                <w:szCs w:val="16"/>
              </w:rPr>
              <w:t>5145</w:t>
            </w:r>
          </w:p>
        </w:tc>
        <w:tc>
          <w:tcPr>
            <w:tcW w:w="425" w:type="dxa"/>
            <w:shd w:val="solid" w:color="FFFFFF" w:fill="auto"/>
          </w:tcPr>
          <w:p w14:paraId="60518E95" w14:textId="47E29020"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33D7D19B" w14:textId="59BFE594"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7990FB3A" w14:textId="31D74352" w:rsidR="00500903" w:rsidRPr="00873B6C" w:rsidRDefault="00500903" w:rsidP="00591B52">
            <w:pPr>
              <w:pStyle w:val="TAL"/>
              <w:rPr>
                <w:sz w:val="16"/>
                <w:szCs w:val="16"/>
              </w:rPr>
            </w:pPr>
            <w:r w:rsidRPr="00873B6C">
              <w:rPr>
                <w:sz w:val="16"/>
                <w:szCs w:val="16"/>
              </w:rPr>
              <w:t>Corrections for NWDAF functionality description</w:t>
            </w:r>
          </w:p>
        </w:tc>
        <w:tc>
          <w:tcPr>
            <w:tcW w:w="708" w:type="dxa"/>
            <w:shd w:val="solid" w:color="FFFFFF" w:fill="auto"/>
          </w:tcPr>
          <w:p w14:paraId="4A02CAB1" w14:textId="2A3E717D" w:rsidR="00500903" w:rsidRPr="00873B6C" w:rsidRDefault="00500903" w:rsidP="00591B52">
            <w:pPr>
              <w:pStyle w:val="TAC"/>
              <w:rPr>
                <w:sz w:val="16"/>
                <w:szCs w:val="16"/>
              </w:rPr>
            </w:pPr>
            <w:r w:rsidRPr="00873B6C">
              <w:rPr>
                <w:sz w:val="16"/>
                <w:szCs w:val="16"/>
              </w:rPr>
              <w:t>18.5.0</w:t>
            </w:r>
          </w:p>
        </w:tc>
      </w:tr>
      <w:tr w:rsidR="00500903" w:rsidRPr="00873B6C" w14:paraId="4C2FEE1D" w14:textId="77777777" w:rsidTr="009D14FB">
        <w:tc>
          <w:tcPr>
            <w:tcW w:w="800" w:type="dxa"/>
            <w:shd w:val="solid" w:color="FFFFFF" w:fill="auto"/>
          </w:tcPr>
          <w:p w14:paraId="717A6328" w14:textId="65CE9C89"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7F3AE10D" w14:textId="425810FB"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10D8A2BE" w14:textId="0FA63761" w:rsidR="00500903" w:rsidRPr="00873B6C" w:rsidRDefault="00500903" w:rsidP="00591B52">
            <w:pPr>
              <w:pStyle w:val="TAC"/>
              <w:rPr>
                <w:sz w:val="16"/>
                <w:szCs w:val="16"/>
              </w:rPr>
            </w:pPr>
            <w:r w:rsidRPr="00873B6C">
              <w:rPr>
                <w:sz w:val="16"/>
                <w:szCs w:val="16"/>
              </w:rPr>
              <w:t>SP-240102</w:t>
            </w:r>
          </w:p>
        </w:tc>
        <w:tc>
          <w:tcPr>
            <w:tcW w:w="567" w:type="dxa"/>
            <w:shd w:val="solid" w:color="FFFFFF" w:fill="auto"/>
          </w:tcPr>
          <w:p w14:paraId="61E7FF9B" w14:textId="47904586" w:rsidR="00500903" w:rsidRPr="00873B6C" w:rsidRDefault="00500903" w:rsidP="00591B52">
            <w:pPr>
              <w:pStyle w:val="TAL"/>
              <w:rPr>
                <w:sz w:val="16"/>
                <w:szCs w:val="16"/>
              </w:rPr>
            </w:pPr>
            <w:r w:rsidRPr="00873B6C">
              <w:rPr>
                <w:sz w:val="16"/>
                <w:szCs w:val="16"/>
              </w:rPr>
              <w:t>5179</w:t>
            </w:r>
          </w:p>
        </w:tc>
        <w:tc>
          <w:tcPr>
            <w:tcW w:w="425" w:type="dxa"/>
            <w:shd w:val="solid" w:color="FFFFFF" w:fill="auto"/>
          </w:tcPr>
          <w:p w14:paraId="1C45BA13" w14:textId="04C80571" w:rsidR="00500903" w:rsidRPr="00873B6C" w:rsidRDefault="00500903" w:rsidP="00591B52">
            <w:pPr>
              <w:pStyle w:val="TAL"/>
              <w:rPr>
                <w:sz w:val="16"/>
                <w:szCs w:val="16"/>
              </w:rPr>
            </w:pPr>
            <w:r w:rsidRPr="00873B6C">
              <w:rPr>
                <w:sz w:val="16"/>
                <w:szCs w:val="16"/>
              </w:rPr>
              <w:t>5</w:t>
            </w:r>
          </w:p>
        </w:tc>
        <w:tc>
          <w:tcPr>
            <w:tcW w:w="425" w:type="dxa"/>
            <w:shd w:val="solid" w:color="FFFFFF" w:fill="auto"/>
          </w:tcPr>
          <w:p w14:paraId="3A00196F" w14:textId="088578C6"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30DC8972" w14:textId="03770AAB" w:rsidR="00500903" w:rsidRPr="00873B6C" w:rsidRDefault="00500903" w:rsidP="00591B52">
            <w:pPr>
              <w:pStyle w:val="TAL"/>
              <w:rPr>
                <w:sz w:val="16"/>
                <w:szCs w:val="16"/>
              </w:rPr>
            </w:pPr>
            <w:r w:rsidRPr="00873B6C">
              <w:rPr>
                <w:sz w:val="16"/>
                <w:szCs w:val="16"/>
              </w:rPr>
              <w:t>Clarifications related to the scenario when the PDN connection handlig the UE Policy Container is released.</w:t>
            </w:r>
          </w:p>
        </w:tc>
        <w:tc>
          <w:tcPr>
            <w:tcW w:w="708" w:type="dxa"/>
            <w:shd w:val="solid" w:color="FFFFFF" w:fill="auto"/>
          </w:tcPr>
          <w:p w14:paraId="1791B741" w14:textId="08E0E138" w:rsidR="00500903" w:rsidRPr="00873B6C" w:rsidRDefault="00500903" w:rsidP="00591B52">
            <w:pPr>
              <w:pStyle w:val="TAC"/>
              <w:rPr>
                <w:sz w:val="16"/>
                <w:szCs w:val="16"/>
              </w:rPr>
            </w:pPr>
            <w:r w:rsidRPr="00873B6C">
              <w:rPr>
                <w:sz w:val="16"/>
                <w:szCs w:val="16"/>
              </w:rPr>
              <w:t>18.5.0</w:t>
            </w:r>
          </w:p>
        </w:tc>
      </w:tr>
      <w:tr w:rsidR="00500903" w:rsidRPr="00873B6C" w14:paraId="3572784F" w14:textId="77777777" w:rsidTr="009D14FB">
        <w:tc>
          <w:tcPr>
            <w:tcW w:w="800" w:type="dxa"/>
            <w:shd w:val="solid" w:color="FFFFFF" w:fill="auto"/>
          </w:tcPr>
          <w:p w14:paraId="56642EFC" w14:textId="037E2D7E"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5C6B6EE2" w14:textId="1AA3F67E"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2089BF2D" w14:textId="5F48E1FF" w:rsidR="00500903" w:rsidRPr="00873B6C" w:rsidRDefault="00500903" w:rsidP="00591B52">
            <w:pPr>
              <w:pStyle w:val="TAC"/>
              <w:rPr>
                <w:sz w:val="16"/>
                <w:szCs w:val="16"/>
              </w:rPr>
            </w:pPr>
            <w:r w:rsidRPr="00873B6C">
              <w:rPr>
                <w:sz w:val="16"/>
                <w:szCs w:val="16"/>
              </w:rPr>
              <w:t>SP-240110</w:t>
            </w:r>
          </w:p>
        </w:tc>
        <w:tc>
          <w:tcPr>
            <w:tcW w:w="567" w:type="dxa"/>
            <w:shd w:val="solid" w:color="FFFFFF" w:fill="auto"/>
          </w:tcPr>
          <w:p w14:paraId="5F77EA7A" w14:textId="1F3410B3" w:rsidR="00500903" w:rsidRPr="00873B6C" w:rsidRDefault="00500903" w:rsidP="00591B52">
            <w:pPr>
              <w:pStyle w:val="TAL"/>
              <w:rPr>
                <w:sz w:val="16"/>
                <w:szCs w:val="16"/>
              </w:rPr>
            </w:pPr>
            <w:r w:rsidRPr="00873B6C">
              <w:rPr>
                <w:sz w:val="16"/>
                <w:szCs w:val="16"/>
              </w:rPr>
              <w:t>5181</w:t>
            </w:r>
          </w:p>
        </w:tc>
        <w:tc>
          <w:tcPr>
            <w:tcW w:w="425" w:type="dxa"/>
            <w:shd w:val="solid" w:color="FFFFFF" w:fill="auto"/>
          </w:tcPr>
          <w:p w14:paraId="166B2EF4" w14:textId="2B715D19" w:rsidR="00500903" w:rsidRPr="00873B6C" w:rsidRDefault="00500903" w:rsidP="00591B52">
            <w:pPr>
              <w:pStyle w:val="TAL"/>
              <w:rPr>
                <w:sz w:val="16"/>
                <w:szCs w:val="16"/>
              </w:rPr>
            </w:pPr>
            <w:r w:rsidRPr="00873B6C">
              <w:rPr>
                <w:sz w:val="16"/>
                <w:szCs w:val="16"/>
              </w:rPr>
              <w:t>2</w:t>
            </w:r>
          </w:p>
        </w:tc>
        <w:tc>
          <w:tcPr>
            <w:tcW w:w="425" w:type="dxa"/>
            <w:shd w:val="solid" w:color="FFFFFF" w:fill="auto"/>
          </w:tcPr>
          <w:p w14:paraId="28F4F7F2" w14:textId="370D5928"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58D8C652" w14:textId="16221B8A" w:rsidR="00500903" w:rsidRPr="00873B6C" w:rsidRDefault="00500903" w:rsidP="00591B52">
            <w:pPr>
              <w:pStyle w:val="TAL"/>
              <w:rPr>
                <w:sz w:val="16"/>
                <w:szCs w:val="16"/>
              </w:rPr>
            </w:pPr>
            <w:r w:rsidRPr="00873B6C">
              <w:rPr>
                <w:sz w:val="16"/>
                <w:szCs w:val="16"/>
              </w:rPr>
              <w:t>KI#5 Corrections on Proactive RAN Feedback and TSN enabled TN</w:t>
            </w:r>
          </w:p>
        </w:tc>
        <w:tc>
          <w:tcPr>
            <w:tcW w:w="708" w:type="dxa"/>
            <w:shd w:val="solid" w:color="FFFFFF" w:fill="auto"/>
          </w:tcPr>
          <w:p w14:paraId="0F3D159A" w14:textId="358745F7" w:rsidR="00500903" w:rsidRPr="00873B6C" w:rsidRDefault="00500903" w:rsidP="00591B52">
            <w:pPr>
              <w:pStyle w:val="TAC"/>
              <w:rPr>
                <w:sz w:val="16"/>
                <w:szCs w:val="16"/>
              </w:rPr>
            </w:pPr>
            <w:r w:rsidRPr="00873B6C">
              <w:rPr>
                <w:sz w:val="16"/>
                <w:szCs w:val="16"/>
              </w:rPr>
              <w:t>18.5.0</w:t>
            </w:r>
          </w:p>
        </w:tc>
      </w:tr>
      <w:tr w:rsidR="00500903" w:rsidRPr="00873B6C" w14:paraId="3EA6E672" w14:textId="77777777" w:rsidTr="009D14FB">
        <w:tc>
          <w:tcPr>
            <w:tcW w:w="800" w:type="dxa"/>
            <w:shd w:val="solid" w:color="FFFFFF" w:fill="auto"/>
          </w:tcPr>
          <w:p w14:paraId="28030FEB" w14:textId="23E367FA"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1886814A" w14:textId="66189D03"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7B1AC254" w14:textId="4DDBC40C" w:rsidR="00500903" w:rsidRPr="00873B6C" w:rsidRDefault="00500903" w:rsidP="00591B52">
            <w:pPr>
              <w:pStyle w:val="TAC"/>
              <w:rPr>
                <w:sz w:val="16"/>
                <w:szCs w:val="16"/>
              </w:rPr>
            </w:pPr>
            <w:r w:rsidRPr="00873B6C">
              <w:rPr>
                <w:sz w:val="16"/>
                <w:szCs w:val="16"/>
              </w:rPr>
              <w:t>SP-240107</w:t>
            </w:r>
          </w:p>
        </w:tc>
        <w:tc>
          <w:tcPr>
            <w:tcW w:w="567" w:type="dxa"/>
            <w:shd w:val="solid" w:color="FFFFFF" w:fill="auto"/>
          </w:tcPr>
          <w:p w14:paraId="4C9E1789" w14:textId="594C68F6" w:rsidR="00500903" w:rsidRPr="00873B6C" w:rsidRDefault="00500903" w:rsidP="00591B52">
            <w:pPr>
              <w:pStyle w:val="TAL"/>
              <w:rPr>
                <w:sz w:val="16"/>
                <w:szCs w:val="16"/>
              </w:rPr>
            </w:pPr>
            <w:r w:rsidRPr="00873B6C">
              <w:rPr>
                <w:sz w:val="16"/>
                <w:szCs w:val="16"/>
              </w:rPr>
              <w:t>5182</w:t>
            </w:r>
          </w:p>
        </w:tc>
        <w:tc>
          <w:tcPr>
            <w:tcW w:w="425" w:type="dxa"/>
            <w:shd w:val="solid" w:color="FFFFFF" w:fill="auto"/>
          </w:tcPr>
          <w:p w14:paraId="67F9C8E5" w14:textId="63637C48" w:rsidR="00500903" w:rsidRPr="00873B6C" w:rsidRDefault="00500903" w:rsidP="00591B52">
            <w:pPr>
              <w:pStyle w:val="TAL"/>
              <w:rPr>
                <w:sz w:val="16"/>
                <w:szCs w:val="16"/>
              </w:rPr>
            </w:pPr>
            <w:r w:rsidRPr="00873B6C">
              <w:rPr>
                <w:sz w:val="16"/>
                <w:szCs w:val="16"/>
              </w:rPr>
              <w:t>2</w:t>
            </w:r>
          </w:p>
        </w:tc>
        <w:tc>
          <w:tcPr>
            <w:tcW w:w="425" w:type="dxa"/>
            <w:shd w:val="solid" w:color="FFFFFF" w:fill="auto"/>
          </w:tcPr>
          <w:p w14:paraId="749CE922" w14:textId="7AA3CAF7"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42A8A56D" w14:textId="78AE6CC0" w:rsidR="00500903" w:rsidRPr="00873B6C" w:rsidRDefault="00500903" w:rsidP="00591B52">
            <w:pPr>
              <w:pStyle w:val="TAL"/>
              <w:rPr>
                <w:sz w:val="16"/>
                <w:szCs w:val="16"/>
              </w:rPr>
            </w:pPr>
            <w:r w:rsidRPr="00873B6C">
              <w:rPr>
                <w:sz w:val="16"/>
                <w:szCs w:val="16"/>
              </w:rPr>
              <w:t>Mega CR for editorial modification</w:t>
            </w:r>
          </w:p>
        </w:tc>
        <w:tc>
          <w:tcPr>
            <w:tcW w:w="708" w:type="dxa"/>
            <w:shd w:val="solid" w:color="FFFFFF" w:fill="auto"/>
          </w:tcPr>
          <w:p w14:paraId="5ADF2BF9" w14:textId="568EE7E0" w:rsidR="00500903" w:rsidRPr="00873B6C" w:rsidRDefault="00500903" w:rsidP="00591B52">
            <w:pPr>
              <w:pStyle w:val="TAC"/>
              <w:rPr>
                <w:sz w:val="16"/>
                <w:szCs w:val="16"/>
              </w:rPr>
            </w:pPr>
            <w:r w:rsidRPr="00873B6C">
              <w:rPr>
                <w:sz w:val="16"/>
                <w:szCs w:val="16"/>
              </w:rPr>
              <w:t>18.5.0</w:t>
            </w:r>
          </w:p>
        </w:tc>
      </w:tr>
      <w:tr w:rsidR="00500903" w:rsidRPr="00873B6C" w14:paraId="7BAC3E03" w14:textId="77777777" w:rsidTr="009D14FB">
        <w:tc>
          <w:tcPr>
            <w:tcW w:w="800" w:type="dxa"/>
            <w:shd w:val="solid" w:color="FFFFFF" w:fill="auto"/>
          </w:tcPr>
          <w:p w14:paraId="295EA23E" w14:textId="19D3EA3C"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2E82F021" w14:textId="71CDBE0F"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7042E007" w14:textId="57E6D5D5" w:rsidR="00500903" w:rsidRPr="00873B6C" w:rsidRDefault="00500903" w:rsidP="00591B52">
            <w:pPr>
              <w:pStyle w:val="TAC"/>
              <w:rPr>
                <w:sz w:val="16"/>
                <w:szCs w:val="16"/>
              </w:rPr>
            </w:pPr>
            <w:r w:rsidRPr="00873B6C">
              <w:rPr>
                <w:sz w:val="16"/>
                <w:szCs w:val="16"/>
              </w:rPr>
              <w:t>SP-240089</w:t>
            </w:r>
          </w:p>
        </w:tc>
        <w:tc>
          <w:tcPr>
            <w:tcW w:w="567" w:type="dxa"/>
            <w:shd w:val="solid" w:color="FFFFFF" w:fill="auto"/>
          </w:tcPr>
          <w:p w14:paraId="509955AB" w14:textId="7D01437A" w:rsidR="00500903" w:rsidRPr="00873B6C" w:rsidRDefault="00500903" w:rsidP="00591B52">
            <w:pPr>
              <w:pStyle w:val="TAL"/>
              <w:rPr>
                <w:sz w:val="16"/>
                <w:szCs w:val="16"/>
              </w:rPr>
            </w:pPr>
            <w:r w:rsidRPr="00873B6C">
              <w:rPr>
                <w:sz w:val="16"/>
                <w:szCs w:val="16"/>
              </w:rPr>
              <w:t>5202</w:t>
            </w:r>
          </w:p>
        </w:tc>
        <w:tc>
          <w:tcPr>
            <w:tcW w:w="425" w:type="dxa"/>
            <w:shd w:val="solid" w:color="FFFFFF" w:fill="auto"/>
          </w:tcPr>
          <w:p w14:paraId="257854F8" w14:textId="34868D3E" w:rsidR="00500903" w:rsidRPr="00873B6C" w:rsidRDefault="00500903" w:rsidP="00591B52">
            <w:pPr>
              <w:pStyle w:val="TAL"/>
              <w:rPr>
                <w:sz w:val="16"/>
                <w:szCs w:val="16"/>
              </w:rPr>
            </w:pPr>
            <w:r w:rsidRPr="00873B6C">
              <w:rPr>
                <w:sz w:val="16"/>
                <w:szCs w:val="16"/>
              </w:rPr>
              <w:t>2</w:t>
            </w:r>
          </w:p>
        </w:tc>
        <w:tc>
          <w:tcPr>
            <w:tcW w:w="425" w:type="dxa"/>
            <w:shd w:val="solid" w:color="FFFFFF" w:fill="auto"/>
          </w:tcPr>
          <w:p w14:paraId="14606B63" w14:textId="28E548FC"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52047EC5" w14:textId="7F2DADA1" w:rsidR="00500903" w:rsidRPr="00873B6C" w:rsidRDefault="00500903" w:rsidP="00591B52">
            <w:pPr>
              <w:pStyle w:val="TAL"/>
              <w:rPr>
                <w:sz w:val="16"/>
                <w:szCs w:val="16"/>
              </w:rPr>
            </w:pPr>
            <w:r w:rsidRPr="00873B6C">
              <w:rPr>
                <w:sz w:val="16"/>
                <w:szCs w:val="16"/>
              </w:rPr>
              <w:t>UE capability for network verified location</w:t>
            </w:r>
          </w:p>
        </w:tc>
        <w:tc>
          <w:tcPr>
            <w:tcW w:w="708" w:type="dxa"/>
            <w:shd w:val="solid" w:color="FFFFFF" w:fill="auto"/>
          </w:tcPr>
          <w:p w14:paraId="11802230" w14:textId="166B01A3" w:rsidR="00500903" w:rsidRPr="00873B6C" w:rsidRDefault="00500903" w:rsidP="00591B52">
            <w:pPr>
              <w:pStyle w:val="TAC"/>
              <w:rPr>
                <w:sz w:val="16"/>
                <w:szCs w:val="16"/>
              </w:rPr>
            </w:pPr>
            <w:r w:rsidRPr="00873B6C">
              <w:rPr>
                <w:sz w:val="16"/>
                <w:szCs w:val="16"/>
              </w:rPr>
              <w:t>18.5.0</w:t>
            </w:r>
          </w:p>
        </w:tc>
      </w:tr>
      <w:tr w:rsidR="00500903" w:rsidRPr="00873B6C" w14:paraId="7FCFBF1D" w14:textId="77777777" w:rsidTr="009D14FB">
        <w:tc>
          <w:tcPr>
            <w:tcW w:w="800" w:type="dxa"/>
            <w:shd w:val="solid" w:color="FFFFFF" w:fill="auto"/>
          </w:tcPr>
          <w:p w14:paraId="480AE8E6" w14:textId="5FE3B345"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659599FE" w14:textId="3D614219"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37418854" w14:textId="7694A2E1" w:rsidR="00500903" w:rsidRPr="00873B6C" w:rsidRDefault="00500903" w:rsidP="00591B52">
            <w:pPr>
              <w:pStyle w:val="TAC"/>
              <w:rPr>
                <w:sz w:val="16"/>
                <w:szCs w:val="16"/>
              </w:rPr>
            </w:pPr>
            <w:r w:rsidRPr="00873B6C">
              <w:rPr>
                <w:sz w:val="16"/>
                <w:szCs w:val="16"/>
              </w:rPr>
              <w:t>SP-240090</w:t>
            </w:r>
          </w:p>
        </w:tc>
        <w:tc>
          <w:tcPr>
            <w:tcW w:w="567" w:type="dxa"/>
            <w:shd w:val="solid" w:color="FFFFFF" w:fill="auto"/>
          </w:tcPr>
          <w:p w14:paraId="6817DD4C" w14:textId="57317F5D" w:rsidR="00500903" w:rsidRPr="00873B6C" w:rsidRDefault="00500903" w:rsidP="00591B52">
            <w:pPr>
              <w:pStyle w:val="TAL"/>
              <w:rPr>
                <w:sz w:val="16"/>
                <w:szCs w:val="16"/>
              </w:rPr>
            </w:pPr>
            <w:r w:rsidRPr="00873B6C">
              <w:rPr>
                <w:sz w:val="16"/>
                <w:szCs w:val="16"/>
              </w:rPr>
              <w:t>5214</w:t>
            </w:r>
          </w:p>
        </w:tc>
        <w:tc>
          <w:tcPr>
            <w:tcW w:w="425" w:type="dxa"/>
            <w:shd w:val="solid" w:color="FFFFFF" w:fill="auto"/>
          </w:tcPr>
          <w:p w14:paraId="7691A431" w14:textId="20EFFB2A"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4C54E81B" w14:textId="31832EB5"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70593AD5" w14:textId="10A3B54A" w:rsidR="00500903" w:rsidRPr="00873B6C" w:rsidRDefault="00500903" w:rsidP="00591B52">
            <w:pPr>
              <w:pStyle w:val="TAL"/>
              <w:rPr>
                <w:sz w:val="16"/>
                <w:szCs w:val="16"/>
              </w:rPr>
            </w:pPr>
            <w:r w:rsidRPr="00873B6C">
              <w:rPr>
                <w:sz w:val="16"/>
                <w:szCs w:val="16"/>
              </w:rPr>
              <w:t>Correction for multiple broadcast TA reporting in NR Satellite access</w:t>
            </w:r>
          </w:p>
        </w:tc>
        <w:tc>
          <w:tcPr>
            <w:tcW w:w="708" w:type="dxa"/>
            <w:shd w:val="solid" w:color="FFFFFF" w:fill="auto"/>
          </w:tcPr>
          <w:p w14:paraId="2A32F438" w14:textId="736EA20F" w:rsidR="00500903" w:rsidRPr="00873B6C" w:rsidRDefault="00500903" w:rsidP="00591B52">
            <w:pPr>
              <w:pStyle w:val="TAC"/>
              <w:rPr>
                <w:sz w:val="16"/>
                <w:szCs w:val="16"/>
              </w:rPr>
            </w:pPr>
            <w:r w:rsidRPr="00873B6C">
              <w:rPr>
                <w:sz w:val="16"/>
                <w:szCs w:val="16"/>
              </w:rPr>
              <w:t>18.5.0</w:t>
            </w:r>
          </w:p>
        </w:tc>
      </w:tr>
      <w:tr w:rsidR="00500903" w:rsidRPr="00873B6C" w14:paraId="308D281C" w14:textId="77777777" w:rsidTr="009D14FB">
        <w:tc>
          <w:tcPr>
            <w:tcW w:w="800" w:type="dxa"/>
            <w:shd w:val="solid" w:color="FFFFFF" w:fill="auto"/>
          </w:tcPr>
          <w:p w14:paraId="4E599C90" w14:textId="3248755E"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5ED817C1" w14:textId="20CB5DA8"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23141FFB" w14:textId="4BF0F594" w:rsidR="00500903" w:rsidRPr="00873B6C" w:rsidRDefault="00500903" w:rsidP="00591B52">
            <w:pPr>
              <w:pStyle w:val="TAC"/>
              <w:rPr>
                <w:sz w:val="16"/>
                <w:szCs w:val="16"/>
              </w:rPr>
            </w:pPr>
            <w:r w:rsidRPr="00873B6C">
              <w:rPr>
                <w:sz w:val="16"/>
                <w:szCs w:val="16"/>
              </w:rPr>
              <w:t>SP-240113</w:t>
            </w:r>
          </w:p>
        </w:tc>
        <w:tc>
          <w:tcPr>
            <w:tcW w:w="567" w:type="dxa"/>
            <w:shd w:val="solid" w:color="FFFFFF" w:fill="auto"/>
          </w:tcPr>
          <w:p w14:paraId="561BA3FE" w14:textId="34D4CCF3" w:rsidR="00500903" w:rsidRPr="00873B6C" w:rsidRDefault="00500903" w:rsidP="00591B52">
            <w:pPr>
              <w:pStyle w:val="TAL"/>
              <w:rPr>
                <w:sz w:val="16"/>
                <w:szCs w:val="16"/>
              </w:rPr>
            </w:pPr>
            <w:r w:rsidRPr="00873B6C">
              <w:rPr>
                <w:sz w:val="16"/>
                <w:szCs w:val="16"/>
              </w:rPr>
              <w:t>5215</w:t>
            </w:r>
          </w:p>
        </w:tc>
        <w:tc>
          <w:tcPr>
            <w:tcW w:w="425" w:type="dxa"/>
            <w:shd w:val="solid" w:color="FFFFFF" w:fill="auto"/>
          </w:tcPr>
          <w:p w14:paraId="7D6F2FDF" w14:textId="62C754BA"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2D8C6DBB" w14:textId="140A443B"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7F5A722D" w14:textId="68E84B0C" w:rsidR="00500903" w:rsidRPr="00873B6C" w:rsidRDefault="00500903" w:rsidP="00591B52">
            <w:pPr>
              <w:pStyle w:val="TAL"/>
              <w:rPr>
                <w:sz w:val="16"/>
                <w:szCs w:val="16"/>
              </w:rPr>
            </w:pPr>
            <w:r w:rsidRPr="00873B6C">
              <w:rPr>
                <w:sz w:val="16"/>
                <w:szCs w:val="16"/>
              </w:rPr>
              <w:t>Clarification on periodicity change from AF</w:t>
            </w:r>
          </w:p>
        </w:tc>
        <w:tc>
          <w:tcPr>
            <w:tcW w:w="708" w:type="dxa"/>
            <w:shd w:val="solid" w:color="FFFFFF" w:fill="auto"/>
          </w:tcPr>
          <w:p w14:paraId="4BDB20FB" w14:textId="3293ED5E" w:rsidR="00500903" w:rsidRPr="00873B6C" w:rsidRDefault="00500903" w:rsidP="00591B52">
            <w:pPr>
              <w:pStyle w:val="TAC"/>
              <w:rPr>
                <w:sz w:val="16"/>
                <w:szCs w:val="16"/>
              </w:rPr>
            </w:pPr>
            <w:r w:rsidRPr="00873B6C">
              <w:rPr>
                <w:sz w:val="16"/>
                <w:szCs w:val="16"/>
              </w:rPr>
              <w:t>18.5.0</w:t>
            </w:r>
          </w:p>
        </w:tc>
      </w:tr>
      <w:tr w:rsidR="00500903" w:rsidRPr="00873B6C" w14:paraId="5CF83177" w14:textId="77777777" w:rsidTr="009D14FB">
        <w:tc>
          <w:tcPr>
            <w:tcW w:w="800" w:type="dxa"/>
            <w:shd w:val="solid" w:color="FFFFFF" w:fill="auto"/>
          </w:tcPr>
          <w:p w14:paraId="592DE008" w14:textId="388E8FDA"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4FF884B9" w14:textId="50316E11"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0C0883AE" w14:textId="2CA33B1A" w:rsidR="00500903" w:rsidRPr="00873B6C" w:rsidRDefault="00500903" w:rsidP="00591B52">
            <w:pPr>
              <w:pStyle w:val="TAC"/>
              <w:rPr>
                <w:sz w:val="16"/>
                <w:szCs w:val="16"/>
              </w:rPr>
            </w:pPr>
            <w:r w:rsidRPr="00873B6C">
              <w:rPr>
                <w:sz w:val="16"/>
                <w:szCs w:val="16"/>
              </w:rPr>
              <w:t>SP-240102</w:t>
            </w:r>
          </w:p>
        </w:tc>
        <w:tc>
          <w:tcPr>
            <w:tcW w:w="567" w:type="dxa"/>
            <w:shd w:val="solid" w:color="FFFFFF" w:fill="auto"/>
          </w:tcPr>
          <w:p w14:paraId="3DB04EDA" w14:textId="13587425" w:rsidR="00500903" w:rsidRPr="00873B6C" w:rsidRDefault="00500903" w:rsidP="00591B52">
            <w:pPr>
              <w:pStyle w:val="TAL"/>
              <w:rPr>
                <w:sz w:val="16"/>
                <w:szCs w:val="16"/>
              </w:rPr>
            </w:pPr>
            <w:r w:rsidRPr="00873B6C">
              <w:rPr>
                <w:sz w:val="16"/>
                <w:szCs w:val="16"/>
              </w:rPr>
              <w:t>5217</w:t>
            </w:r>
          </w:p>
        </w:tc>
        <w:tc>
          <w:tcPr>
            <w:tcW w:w="425" w:type="dxa"/>
            <w:shd w:val="solid" w:color="FFFFFF" w:fill="auto"/>
          </w:tcPr>
          <w:p w14:paraId="2FCDD438" w14:textId="436C6D7B"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065325B7" w14:textId="31B0F0CF"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3EDA87E4" w14:textId="6C1308F7" w:rsidR="00500903" w:rsidRPr="00873B6C" w:rsidRDefault="00500903" w:rsidP="00591B52">
            <w:pPr>
              <w:pStyle w:val="TAL"/>
              <w:rPr>
                <w:sz w:val="16"/>
                <w:szCs w:val="16"/>
              </w:rPr>
            </w:pPr>
            <w:r w:rsidRPr="00873B6C">
              <w:rPr>
                <w:sz w:val="16"/>
                <w:szCs w:val="16"/>
              </w:rPr>
              <w:t>PDN Selection for URSP delivery in EPS</w:t>
            </w:r>
          </w:p>
        </w:tc>
        <w:tc>
          <w:tcPr>
            <w:tcW w:w="708" w:type="dxa"/>
            <w:shd w:val="solid" w:color="FFFFFF" w:fill="auto"/>
          </w:tcPr>
          <w:p w14:paraId="609C0853" w14:textId="314BEEC8" w:rsidR="00500903" w:rsidRPr="00873B6C" w:rsidRDefault="00500903" w:rsidP="00591B52">
            <w:pPr>
              <w:pStyle w:val="TAC"/>
              <w:rPr>
                <w:sz w:val="16"/>
                <w:szCs w:val="16"/>
              </w:rPr>
            </w:pPr>
            <w:r w:rsidRPr="00873B6C">
              <w:rPr>
                <w:sz w:val="16"/>
                <w:szCs w:val="16"/>
              </w:rPr>
              <w:t>18.5.0</w:t>
            </w:r>
          </w:p>
        </w:tc>
      </w:tr>
      <w:tr w:rsidR="00500903" w:rsidRPr="00873B6C" w14:paraId="129D130E" w14:textId="77777777" w:rsidTr="009D14FB">
        <w:tc>
          <w:tcPr>
            <w:tcW w:w="800" w:type="dxa"/>
            <w:shd w:val="solid" w:color="FFFFFF" w:fill="auto"/>
          </w:tcPr>
          <w:p w14:paraId="23F9268B" w14:textId="2EF0AE51" w:rsidR="00500903" w:rsidRPr="00873B6C" w:rsidRDefault="00500903" w:rsidP="00591B52">
            <w:pPr>
              <w:pStyle w:val="TAC"/>
              <w:rPr>
                <w:sz w:val="16"/>
                <w:szCs w:val="16"/>
              </w:rPr>
            </w:pPr>
            <w:r w:rsidRPr="00873B6C">
              <w:rPr>
                <w:sz w:val="16"/>
                <w:szCs w:val="16"/>
              </w:rPr>
              <w:lastRenderedPageBreak/>
              <w:t>2024-03</w:t>
            </w:r>
          </w:p>
        </w:tc>
        <w:tc>
          <w:tcPr>
            <w:tcW w:w="800" w:type="dxa"/>
            <w:shd w:val="solid" w:color="FFFFFF" w:fill="auto"/>
          </w:tcPr>
          <w:p w14:paraId="28485FDD" w14:textId="625C3609"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7B92720E" w14:textId="1F810917" w:rsidR="00500903" w:rsidRPr="00873B6C" w:rsidRDefault="00500903" w:rsidP="00591B52">
            <w:pPr>
              <w:pStyle w:val="TAC"/>
              <w:rPr>
                <w:sz w:val="16"/>
                <w:szCs w:val="16"/>
              </w:rPr>
            </w:pPr>
            <w:r w:rsidRPr="00873B6C">
              <w:rPr>
                <w:sz w:val="16"/>
                <w:szCs w:val="16"/>
              </w:rPr>
              <w:t>SP-240112</w:t>
            </w:r>
          </w:p>
        </w:tc>
        <w:tc>
          <w:tcPr>
            <w:tcW w:w="567" w:type="dxa"/>
            <w:shd w:val="solid" w:color="FFFFFF" w:fill="auto"/>
          </w:tcPr>
          <w:p w14:paraId="3C2E7BF2" w14:textId="0691E498" w:rsidR="00500903" w:rsidRPr="00873B6C" w:rsidRDefault="00500903" w:rsidP="00591B52">
            <w:pPr>
              <w:pStyle w:val="TAL"/>
              <w:rPr>
                <w:sz w:val="16"/>
                <w:szCs w:val="16"/>
              </w:rPr>
            </w:pPr>
            <w:r w:rsidRPr="00873B6C">
              <w:rPr>
                <w:sz w:val="16"/>
                <w:szCs w:val="16"/>
              </w:rPr>
              <w:t>5220</w:t>
            </w:r>
          </w:p>
        </w:tc>
        <w:tc>
          <w:tcPr>
            <w:tcW w:w="425" w:type="dxa"/>
            <w:shd w:val="solid" w:color="FFFFFF" w:fill="auto"/>
          </w:tcPr>
          <w:p w14:paraId="5E55CC4D" w14:textId="25FB4F39" w:rsidR="00500903" w:rsidRPr="00873B6C" w:rsidRDefault="00500903" w:rsidP="00591B52">
            <w:pPr>
              <w:pStyle w:val="TAL"/>
              <w:rPr>
                <w:sz w:val="16"/>
                <w:szCs w:val="16"/>
              </w:rPr>
            </w:pPr>
            <w:r w:rsidRPr="00873B6C">
              <w:rPr>
                <w:sz w:val="16"/>
                <w:szCs w:val="16"/>
              </w:rPr>
              <w:t>7</w:t>
            </w:r>
          </w:p>
        </w:tc>
        <w:tc>
          <w:tcPr>
            <w:tcW w:w="425" w:type="dxa"/>
            <w:shd w:val="solid" w:color="FFFFFF" w:fill="auto"/>
          </w:tcPr>
          <w:p w14:paraId="1C8B9A90" w14:textId="351AF36E"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32B55211" w14:textId="0D1A09CE" w:rsidR="00500903" w:rsidRPr="00873B6C" w:rsidRDefault="00500903" w:rsidP="00591B52">
            <w:pPr>
              <w:pStyle w:val="TAL"/>
              <w:rPr>
                <w:sz w:val="16"/>
                <w:szCs w:val="16"/>
              </w:rPr>
            </w:pPr>
            <w:r w:rsidRPr="00873B6C">
              <w:rPr>
                <w:sz w:val="16"/>
                <w:szCs w:val="16"/>
              </w:rPr>
              <w:t>MBSR mobility</w:t>
            </w:r>
          </w:p>
        </w:tc>
        <w:tc>
          <w:tcPr>
            <w:tcW w:w="708" w:type="dxa"/>
            <w:shd w:val="solid" w:color="FFFFFF" w:fill="auto"/>
          </w:tcPr>
          <w:p w14:paraId="711A2227" w14:textId="355D067F" w:rsidR="00500903" w:rsidRPr="00873B6C" w:rsidRDefault="00500903" w:rsidP="00591B52">
            <w:pPr>
              <w:pStyle w:val="TAC"/>
              <w:rPr>
                <w:sz w:val="16"/>
                <w:szCs w:val="16"/>
              </w:rPr>
            </w:pPr>
            <w:r w:rsidRPr="00873B6C">
              <w:rPr>
                <w:sz w:val="16"/>
                <w:szCs w:val="16"/>
              </w:rPr>
              <w:t>18.5.0</w:t>
            </w:r>
          </w:p>
        </w:tc>
      </w:tr>
      <w:tr w:rsidR="00500903" w:rsidRPr="00873B6C" w14:paraId="2622FFD1" w14:textId="77777777" w:rsidTr="009D14FB">
        <w:tc>
          <w:tcPr>
            <w:tcW w:w="800" w:type="dxa"/>
            <w:shd w:val="solid" w:color="FFFFFF" w:fill="auto"/>
          </w:tcPr>
          <w:p w14:paraId="789ADD99" w14:textId="27BCAE2C"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68342B2B" w14:textId="0C729F23"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346902BD" w14:textId="4D816A8E" w:rsidR="00500903" w:rsidRPr="00873B6C" w:rsidRDefault="00500903" w:rsidP="00591B52">
            <w:pPr>
              <w:pStyle w:val="TAC"/>
              <w:rPr>
                <w:sz w:val="16"/>
                <w:szCs w:val="16"/>
              </w:rPr>
            </w:pPr>
            <w:r w:rsidRPr="00873B6C">
              <w:rPr>
                <w:sz w:val="16"/>
                <w:szCs w:val="16"/>
              </w:rPr>
              <w:t>SP-240101</w:t>
            </w:r>
          </w:p>
        </w:tc>
        <w:tc>
          <w:tcPr>
            <w:tcW w:w="567" w:type="dxa"/>
            <w:shd w:val="solid" w:color="FFFFFF" w:fill="auto"/>
          </w:tcPr>
          <w:p w14:paraId="3B9AD8A3" w14:textId="244FAA54" w:rsidR="00500903" w:rsidRPr="00873B6C" w:rsidRDefault="00500903" w:rsidP="00591B52">
            <w:pPr>
              <w:pStyle w:val="TAL"/>
              <w:rPr>
                <w:sz w:val="16"/>
                <w:szCs w:val="16"/>
              </w:rPr>
            </w:pPr>
            <w:r w:rsidRPr="00873B6C">
              <w:rPr>
                <w:sz w:val="16"/>
                <w:szCs w:val="16"/>
              </w:rPr>
              <w:t>5221</w:t>
            </w:r>
          </w:p>
        </w:tc>
        <w:tc>
          <w:tcPr>
            <w:tcW w:w="425" w:type="dxa"/>
            <w:shd w:val="solid" w:color="FFFFFF" w:fill="auto"/>
          </w:tcPr>
          <w:p w14:paraId="3E75C619" w14:textId="1F461D3A"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473D819A" w14:textId="5FDC0333"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1DA1C697" w14:textId="1673A029" w:rsidR="00500903" w:rsidRPr="00873B6C" w:rsidRDefault="00500903" w:rsidP="00591B52">
            <w:pPr>
              <w:pStyle w:val="TAL"/>
              <w:rPr>
                <w:sz w:val="16"/>
                <w:szCs w:val="16"/>
              </w:rPr>
            </w:pPr>
            <w:r w:rsidRPr="00873B6C">
              <w:rPr>
                <w:sz w:val="16"/>
                <w:szCs w:val="16"/>
              </w:rPr>
              <w:t>Clarification on Slice Replacement</w:t>
            </w:r>
          </w:p>
        </w:tc>
        <w:tc>
          <w:tcPr>
            <w:tcW w:w="708" w:type="dxa"/>
            <w:shd w:val="solid" w:color="FFFFFF" w:fill="auto"/>
          </w:tcPr>
          <w:p w14:paraId="624C59EF" w14:textId="6CD3F632" w:rsidR="00500903" w:rsidRPr="00873B6C" w:rsidRDefault="00500903" w:rsidP="00591B52">
            <w:pPr>
              <w:pStyle w:val="TAC"/>
              <w:rPr>
                <w:sz w:val="16"/>
                <w:szCs w:val="16"/>
              </w:rPr>
            </w:pPr>
            <w:r w:rsidRPr="00873B6C">
              <w:rPr>
                <w:sz w:val="16"/>
                <w:szCs w:val="16"/>
              </w:rPr>
              <w:t>18.5.0</w:t>
            </w:r>
          </w:p>
        </w:tc>
      </w:tr>
      <w:tr w:rsidR="00500903" w:rsidRPr="00873B6C" w14:paraId="091D12A9" w14:textId="77777777" w:rsidTr="009D14FB">
        <w:tc>
          <w:tcPr>
            <w:tcW w:w="800" w:type="dxa"/>
            <w:shd w:val="solid" w:color="FFFFFF" w:fill="auto"/>
          </w:tcPr>
          <w:p w14:paraId="1093CF55" w14:textId="3B618688"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1185B9FC" w14:textId="2772DE88"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523CC4AC" w14:textId="2633B85C" w:rsidR="00500903" w:rsidRPr="00873B6C" w:rsidRDefault="00500903" w:rsidP="00591B52">
            <w:pPr>
              <w:pStyle w:val="TAC"/>
              <w:rPr>
                <w:sz w:val="16"/>
                <w:szCs w:val="16"/>
              </w:rPr>
            </w:pPr>
            <w:r w:rsidRPr="00873B6C">
              <w:rPr>
                <w:sz w:val="16"/>
                <w:szCs w:val="16"/>
              </w:rPr>
              <w:t>SP-240113</w:t>
            </w:r>
          </w:p>
        </w:tc>
        <w:tc>
          <w:tcPr>
            <w:tcW w:w="567" w:type="dxa"/>
            <w:shd w:val="solid" w:color="FFFFFF" w:fill="auto"/>
          </w:tcPr>
          <w:p w14:paraId="0051E94F" w14:textId="7CCFDA0C" w:rsidR="00500903" w:rsidRPr="00873B6C" w:rsidRDefault="00500903" w:rsidP="00591B52">
            <w:pPr>
              <w:pStyle w:val="TAL"/>
              <w:rPr>
                <w:sz w:val="16"/>
                <w:szCs w:val="16"/>
              </w:rPr>
            </w:pPr>
            <w:r w:rsidRPr="00873B6C">
              <w:rPr>
                <w:sz w:val="16"/>
                <w:szCs w:val="16"/>
              </w:rPr>
              <w:t>5222</w:t>
            </w:r>
          </w:p>
        </w:tc>
        <w:tc>
          <w:tcPr>
            <w:tcW w:w="425" w:type="dxa"/>
            <w:shd w:val="solid" w:color="FFFFFF" w:fill="auto"/>
          </w:tcPr>
          <w:p w14:paraId="6170219C" w14:textId="4CED0BF9"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25C65A6E" w14:textId="3CF134FC"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45880062" w14:textId="0C8A861C" w:rsidR="00500903" w:rsidRPr="00873B6C" w:rsidRDefault="00500903" w:rsidP="00591B52">
            <w:pPr>
              <w:pStyle w:val="TAL"/>
              <w:rPr>
                <w:sz w:val="16"/>
                <w:szCs w:val="16"/>
              </w:rPr>
            </w:pPr>
            <w:r w:rsidRPr="00873B6C">
              <w:rPr>
                <w:sz w:val="16"/>
                <w:szCs w:val="16"/>
              </w:rPr>
              <w:t>Packet filter with DSCP and ECN</w:t>
            </w:r>
          </w:p>
        </w:tc>
        <w:tc>
          <w:tcPr>
            <w:tcW w:w="708" w:type="dxa"/>
            <w:shd w:val="solid" w:color="FFFFFF" w:fill="auto"/>
          </w:tcPr>
          <w:p w14:paraId="0D8381F3" w14:textId="39479C7D" w:rsidR="00500903" w:rsidRPr="00873B6C" w:rsidRDefault="00500903" w:rsidP="00591B52">
            <w:pPr>
              <w:pStyle w:val="TAC"/>
              <w:rPr>
                <w:sz w:val="16"/>
                <w:szCs w:val="16"/>
              </w:rPr>
            </w:pPr>
            <w:r w:rsidRPr="00873B6C">
              <w:rPr>
                <w:sz w:val="16"/>
                <w:szCs w:val="16"/>
              </w:rPr>
              <w:t>18.5.0</w:t>
            </w:r>
          </w:p>
        </w:tc>
      </w:tr>
      <w:tr w:rsidR="0028472D" w:rsidRPr="00873B6C" w14:paraId="7DE1D7D3" w14:textId="77777777" w:rsidTr="009D14FB">
        <w:tc>
          <w:tcPr>
            <w:tcW w:w="800" w:type="dxa"/>
            <w:shd w:val="solid" w:color="FFFFFF" w:fill="auto"/>
          </w:tcPr>
          <w:p w14:paraId="725A2309" w14:textId="5C21C53E" w:rsidR="0028472D" w:rsidRPr="00873B6C" w:rsidRDefault="0028472D" w:rsidP="00591B52">
            <w:pPr>
              <w:pStyle w:val="TAC"/>
              <w:rPr>
                <w:sz w:val="16"/>
                <w:szCs w:val="16"/>
              </w:rPr>
            </w:pPr>
            <w:r w:rsidRPr="00873B6C">
              <w:rPr>
                <w:sz w:val="16"/>
                <w:szCs w:val="16"/>
              </w:rPr>
              <w:t>2024-03</w:t>
            </w:r>
          </w:p>
        </w:tc>
        <w:tc>
          <w:tcPr>
            <w:tcW w:w="800" w:type="dxa"/>
            <w:shd w:val="solid" w:color="FFFFFF" w:fill="auto"/>
          </w:tcPr>
          <w:p w14:paraId="06FF083C" w14:textId="1698C4A7" w:rsidR="0028472D" w:rsidRPr="00873B6C" w:rsidRDefault="0028472D" w:rsidP="00591B52">
            <w:pPr>
              <w:pStyle w:val="TAL"/>
              <w:rPr>
                <w:sz w:val="16"/>
                <w:szCs w:val="16"/>
              </w:rPr>
            </w:pPr>
            <w:r w:rsidRPr="00873B6C">
              <w:rPr>
                <w:sz w:val="16"/>
                <w:szCs w:val="16"/>
              </w:rPr>
              <w:t>SP#103</w:t>
            </w:r>
          </w:p>
        </w:tc>
        <w:tc>
          <w:tcPr>
            <w:tcW w:w="1094" w:type="dxa"/>
            <w:shd w:val="solid" w:color="FFFFFF" w:fill="auto"/>
          </w:tcPr>
          <w:p w14:paraId="00EB9D79" w14:textId="3F30730E" w:rsidR="0028472D" w:rsidRPr="00873B6C" w:rsidRDefault="0028472D" w:rsidP="00591B52">
            <w:pPr>
              <w:pStyle w:val="TAC"/>
              <w:rPr>
                <w:sz w:val="16"/>
                <w:szCs w:val="16"/>
              </w:rPr>
            </w:pPr>
            <w:r w:rsidRPr="00873B6C">
              <w:rPr>
                <w:sz w:val="16"/>
                <w:szCs w:val="16"/>
              </w:rPr>
              <w:t>SP-240113</w:t>
            </w:r>
          </w:p>
        </w:tc>
        <w:tc>
          <w:tcPr>
            <w:tcW w:w="567" w:type="dxa"/>
            <w:shd w:val="solid" w:color="FFFFFF" w:fill="auto"/>
          </w:tcPr>
          <w:p w14:paraId="6A04DCDB" w14:textId="7DBCE812" w:rsidR="0028472D" w:rsidRPr="00873B6C" w:rsidRDefault="0028472D" w:rsidP="00591B52">
            <w:pPr>
              <w:pStyle w:val="TAL"/>
              <w:rPr>
                <w:sz w:val="16"/>
                <w:szCs w:val="16"/>
              </w:rPr>
            </w:pPr>
            <w:r w:rsidRPr="00873B6C">
              <w:rPr>
                <w:sz w:val="16"/>
                <w:szCs w:val="16"/>
              </w:rPr>
              <w:t>5224</w:t>
            </w:r>
          </w:p>
        </w:tc>
        <w:tc>
          <w:tcPr>
            <w:tcW w:w="425" w:type="dxa"/>
            <w:shd w:val="solid" w:color="FFFFFF" w:fill="auto"/>
          </w:tcPr>
          <w:p w14:paraId="5799BCB6" w14:textId="531FFD96" w:rsidR="0028472D" w:rsidRPr="00873B6C" w:rsidRDefault="0028472D" w:rsidP="00591B52">
            <w:pPr>
              <w:pStyle w:val="TAL"/>
              <w:rPr>
                <w:sz w:val="16"/>
                <w:szCs w:val="16"/>
              </w:rPr>
            </w:pPr>
            <w:r w:rsidRPr="00873B6C">
              <w:rPr>
                <w:sz w:val="16"/>
                <w:szCs w:val="16"/>
              </w:rPr>
              <w:t>3</w:t>
            </w:r>
          </w:p>
        </w:tc>
        <w:tc>
          <w:tcPr>
            <w:tcW w:w="425" w:type="dxa"/>
            <w:shd w:val="solid" w:color="FFFFFF" w:fill="auto"/>
          </w:tcPr>
          <w:p w14:paraId="3FE980C9" w14:textId="0D5057DC" w:rsidR="0028472D" w:rsidRPr="00873B6C" w:rsidRDefault="0028472D" w:rsidP="00591B52">
            <w:pPr>
              <w:pStyle w:val="TAL"/>
              <w:rPr>
                <w:sz w:val="16"/>
                <w:szCs w:val="16"/>
              </w:rPr>
            </w:pPr>
            <w:r w:rsidRPr="00873B6C">
              <w:rPr>
                <w:sz w:val="16"/>
                <w:szCs w:val="16"/>
              </w:rPr>
              <w:t>F</w:t>
            </w:r>
          </w:p>
        </w:tc>
        <w:tc>
          <w:tcPr>
            <w:tcW w:w="4820" w:type="dxa"/>
            <w:shd w:val="solid" w:color="FFFFFF" w:fill="auto"/>
          </w:tcPr>
          <w:p w14:paraId="7BFE83B8" w14:textId="5E4749C5" w:rsidR="0028472D" w:rsidRPr="00873B6C" w:rsidRDefault="0028472D" w:rsidP="00591B52">
            <w:pPr>
              <w:pStyle w:val="TAL"/>
              <w:rPr>
                <w:sz w:val="16"/>
                <w:szCs w:val="16"/>
              </w:rPr>
            </w:pPr>
            <w:r w:rsidRPr="00873B6C">
              <w:rPr>
                <w:sz w:val="16"/>
                <w:szCs w:val="16"/>
              </w:rPr>
              <w:t>PSER and PSDB supersede the PER and PDB per direction</w:t>
            </w:r>
          </w:p>
        </w:tc>
        <w:tc>
          <w:tcPr>
            <w:tcW w:w="708" w:type="dxa"/>
            <w:shd w:val="solid" w:color="FFFFFF" w:fill="auto"/>
          </w:tcPr>
          <w:p w14:paraId="6E102ED7" w14:textId="6FE5E2E7" w:rsidR="0028472D" w:rsidRPr="00873B6C" w:rsidRDefault="0028472D" w:rsidP="00591B52">
            <w:pPr>
              <w:pStyle w:val="TAC"/>
              <w:rPr>
                <w:sz w:val="16"/>
                <w:szCs w:val="16"/>
              </w:rPr>
            </w:pPr>
            <w:r w:rsidRPr="00873B6C">
              <w:rPr>
                <w:sz w:val="16"/>
                <w:szCs w:val="16"/>
              </w:rPr>
              <w:t>18.5.0</w:t>
            </w:r>
          </w:p>
        </w:tc>
      </w:tr>
      <w:tr w:rsidR="0028472D" w:rsidRPr="00873B6C" w14:paraId="44FBFB4E" w14:textId="77777777" w:rsidTr="009D14FB">
        <w:tc>
          <w:tcPr>
            <w:tcW w:w="800" w:type="dxa"/>
            <w:shd w:val="solid" w:color="FFFFFF" w:fill="auto"/>
          </w:tcPr>
          <w:p w14:paraId="79618CA6" w14:textId="11E4ABD7" w:rsidR="0028472D" w:rsidRPr="00873B6C" w:rsidRDefault="0028472D" w:rsidP="00591B52">
            <w:pPr>
              <w:pStyle w:val="TAC"/>
              <w:rPr>
                <w:sz w:val="16"/>
                <w:szCs w:val="16"/>
              </w:rPr>
            </w:pPr>
            <w:r w:rsidRPr="00873B6C">
              <w:rPr>
                <w:sz w:val="16"/>
                <w:szCs w:val="16"/>
              </w:rPr>
              <w:t>2024-03</w:t>
            </w:r>
          </w:p>
        </w:tc>
        <w:tc>
          <w:tcPr>
            <w:tcW w:w="800" w:type="dxa"/>
            <w:shd w:val="solid" w:color="FFFFFF" w:fill="auto"/>
          </w:tcPr>
          <w:p w14:paraId="2E5DC413" w14:textId="0CA11C0B" w:rsidR="0028472D" w:rsidRPr="00873B6C" w:rsidRDefault="0028472D" w:rsidP="00591B52">
            <w:pPr>
              <w:pStyle w:val="TAL"/>
              <w:rPr>
                <w:sz w:val="16"/>
                <w:szCs w:val="16"/>
              </w:rPr>
            </w:pPr>
            <w:r w:rsidRPr="00873B6C">
              <w:rPr>
                <w:sz w:val="16"/>
                <w:szCs w:val="16"/>
              </w:rPr>
              <w:t>SP#103</w:t>
            </w:r>
          </w:p>
        </w:tc>
        <w:tc>
          <w:tcPr>
            <w:tcW w:w="1094" w:type="dxa"/>
            <w:shd w:val="solid" w:color="FFFFFF" w:fill="auto"/>
          </w:tcPr>
          <w:p w14:paraId="5E37EBD6" w14:textId="253F2F17" w:rsidR="0028472D" w:rsidRPr="00873B6C" w:rsidRDefault="0028472D" w:rsidP="00591B52">
            <w:pPr>
              <w:pStyle w:val="TAC"/>
              <w:rPr>
                <w:sz w:val="16"/>
                <w:szCs w:val="16"/>
              </w:rPr>
            </w:pPr>
            <w:r w:rsidRPr="00873B6C">
              <w:rPr>
                <w:sz w:val="16"/>
                <w:szCs w:val="16"/>
              </w:rPr>
              <w:t>SP-240110</w:t>
            </w:r>
          </w:p>
        </w:tc>
        <w:tc>
          <w:tcPr>
            <w:tcW w:w="567" w:type="dxa"/>
            <w:shd w:val="solid" w:color="FFFFFF" w:fill="auto"/>
          </w:tcPr>
          <w:p w14:paraId="225F4FE7" w14:textId="1BBD89AC" w:rsidR="0028472D" w:rsidRPr="00873B6C" w:rsidRDefault="0028472D" w:rsidP="00591B52">
            <w:pPr>
              <w:pStyle w:val="TAL"/>
              <w:rPr>
                <w:sz w:val="16"/>
                <w:szCs w:val="16"/>
              </w:rPr>
            </w:pPr>
            <w:r w:rsidRPr="00873B6C">
              <w:rPr>
                <w:sz w:val="16"/>
                <w:szCs w:val="16"/>
              </w:rPr>
              <w:t>5225</w:t>
            </w:r>
          </w:p>
        </w:tc>
        <w:tc>
          <w:tcPr>
            <w:tcW w:w="425" w:type="dxa"/>
            <w:shd w:val="solid" w:color="FFFFFF" w:fill="auto"/>
          </w:tcPr>
          <w:p w14:paraId="3D891E9E" w14:textId="51573D63" w:rsidR="0028472D" w:rsidRPr="00873B6C" w:rsidRDefault="0028472D" w:rsidP="00591B52">
            <w:pPr>
              <w:pStyle w:val="TAL"/>
              <w:rPr>
                <w:sz w:val="16"/>
                <w:szCs w:val="16"/>
              </w:rPr>
            </w:pPr>
            <w:r w:rsidRPr="00873B6C">
              <w:rPr>
                <w:sz w:val="16"/>
                <w:szCs w:val="16"/>
              </w:rPr>
              <w:t>4</w:t>
            </w:r>
          </w:p>
        </w:tc>
        <w:tc>
          <w:tcPr>
            <w:tcW w:w="425" w:type="dxa"/>
            <w:shd w:val="solid" w:color="FFFFFF" w:fill="auto"/>
          </w:tcPr>
          <w:p w14:paraId="50687B19" w14:textId="1ADAD7C2" w:rsidR="0028472D" w:rsidRPr="00873B6C" w:rsidRDefault="0028472D" w:rsidP="00591B52">
            <w:pPr>
              <w:pStyle w:val="TAL"/>
              <w:rPr>
                <w:sz w:val="16"/>
                <w:szCs w:val="16"/>
              </w:rPr>
            </w:pPr>
            <w:r w:rsidRPr="00873B6C">
              <w:rPr>
                <w:sz w:val="16"/>
                <w:szCs w:val="16"/>
              </w:rPr>
              <w:t>F</w:t>
            </w:r>
          </w:p>
        </w:tc>
        <w:tc>
          <w:tcPr>
            <w:tcW w:w="4820" w:type="dxa"/>
            <w:shd w:val="solid" w:color="FFFFFF" w:fill="auto"/>
          </w:tcPr>
          <w:p w14:paraId="534756E8" w14:textId="5893EA51" w:rsidR="0028472D" w:rsidRPr="00873B6C" w:rsidRDefault="0028472D" w:rsidP="00591B52">
            <w:pPr>
              <w:pStyle w:val="TAL"/>
              <w:rPr>
                <w:sz w:val="16"/>
                <w:szCs w:val="16"/>
              </w:rPr>
            </w:pPr>
            <w:r w:rsidRPr="00873B6C">
              <w:rPr>
                <w:sz w:val="16"/>
                <w:szCs w:val="16"/>
              </w:rPr>
              <w:t>Correction on CN PDB configured in NG-RAN</w:t>
            </w:r>
          </w:p>
        </w:tc>
        <w:tc>
          <w:tcPr>
            <w:tcW w:w="708" w:type="dxa"/>
            <w:shd w:val="solid" w:color="FFFFFF" w:fill="auto"/>
          </w:tcPr>
          <w:p w14:paraId="72DDE08A" w14:textId="3D911226" w:rsidR="0028472D" w:rsidRPr="00873B6C" w:rsidRDefault="0028472D" w:rsidP="00591B52">
            <w:pPr>
              <w:pStyle w:val="TAC"/>
              <w:rPr>
                <w:sz w:val="16"/>
                <w:szCs w:val="16"/>
              </w:rPr>
            </w:pPr>
            <w:r w:rsidRPr="00873B6C">
              <w:rPr>
                <w:sz w:val="16"/>
                <w:szCs w:val="16"/>
              </w:rPr>
              <w:t>18.5.0</w:t>
            </w:r>
          </w:p>
        </w:tc>
      </w:tr>
      <w:tr w:rsidR="0028472D" w:rsidRPr="00873B6C" w14:paraId="22380C1D" w14:textId="77777777" w:rsidTr="009D14FB">
        <w:tc>
          <w:tcPr>
            <w:tcW w:w="800" w:type="dxa"/>
            <w:shd w:val="solid" w:color="FFFFFF" w:fill="auto"/>
          </w:tcPr>
          <w:p w14:paraId="0CDCF4B6" w14:textId="5B357C51" w:rsidR="0028472D" w:rsidRPr="00873B6C" w:rsidRDefault="0028472D" w:rsidP="00591B52">
            <w:pPr>
              <w:pStyle w:val="TAC"/>
              <w:rPr>
                <w:sz w:val="16"/>
                <w:szCs w:val="16"/>
              </w:rPr>
            </w:pPr>
            <w:r w:rsidRPr="00873B6C">
              <w:rPr>
                <w:sz w:val="16"/>
                <w:szCs w:val="16"/>
              </w:rPr>
              <w:t>2024-03</w:t>
            </w:r>
          </w:p>
        </w:tc>
        <w:tc>
          <w:tcPr>
            <w:tcW w:w="800" w:type="dxa"/>
            <w:shd w:val="solid" w:color="FFFFFF" w:fill="auto"/>
          </w:tcPr>
          <w:p w14:paraId="13A4AEE8" w14:textId="2DEF09B7" w:rsidR="0028472D" w:rsidRPr="00873B6C" w:rsidRDefault="0028472D" w:rsidP="00591B52">
            <w:pPr>
              <w:pStyle w:val="TAL"/>
              <w:rPr>
                <w:sz w:val="16"/>
                <w:szCs w:val="16"/>
              </w:rPr>
            </w:pPr>
            <w:r w:rsidRPr="00873B6C">
              <w:rPr>
                <w:sz w:val="16"/>
                <w:szCs w:val="16"/>
              </w:rPr>
              <w:t>SP#103</w:t>
            </w:r>
          </w:p>
        </w:tc>
        <w:tc>
          <w:tcPr>
            <w:tcW w:w="1094" w:type="dxa"/>
            <w:shd w:val="solid" w:color="FFFFFF" w:fill="auto"/>
          </w:tcPr>
          <w:p w14:paraId="2FD6A405" w14:textId="44D03928" w:rsidR="0028472D" w:rsidRPr="00873B6C" w:rsidRDefault="0028472D" w:rsidP="00591B52">
            <w:pPr>
              <w:pStyle w:val="TAC"/>
              <w:rPr>
                <w:sz w:val="16"/>
                <w:szCs w:val="16"/>
              </w:rPr>
            </w:pPr>
            <w:r w:rsidRPr="00873B6C">
              <w:rPr>
                <w:sz w:val="16"/>
                <w:szCs w:val="16"/>
              </w:rPr>
              <w:t>SP-240091</w:t>
            </w:r>
          </w:p>
        </w:tc>
        <w:tc>
          <w:tcPr>
            <w:tcW w:w="567" w:type="dxa"/>
            <w:shd w:val="solid" w:color="FFFFFF" w:fill="auto"/>
          </w:tcPr>
          <w:p w14:paraId="585F0DF6" w14:textId="46548699" w:rsidR="0028472D" w:rsidRPr="00873B6C" w:rsidRDefault="0028472D" w:rsidP="00591B52">
            <w:pPr>
              <w:pStyle w:val="TAL"/>
              <w:rPr>
                <w:sz w:val="16"/>
                <w:szCs w:val="16"/>
              </w:rPr>
            </w:pPr>
            <w:r w:rsidRPr="00873B6C">
              <w:rPr>
                <w:sz w:val="16"/>
                <w:szCs w:val="16"/>
              </w:rPr>
              <w:t>5226</w:t>
            </w:r>
          </w:p>
        </w:tc>
        <w:tc>
          <w:tcPr>
            <w:tcW w:w="425" w:type="dxa"/>
            <w:shd w:val="solid" w:color="FFFFFF" w:fill="auto"/>
          </w:tcPr>
          <w:p w14:paraId="51A76E68" w14:textId="33BC829C" w:rsidR="0028472D" w:rsidRPr="00873B6C" w:rsidRDefault="0028472D" w:rsidP="00591B52">
            <w:pPr>
              <w:pStyle w:val="TAL"/>
              <w:rPr>
                <w:sz w:val="16"/>
                <w:szCs w:val="16"/>
              </w:rPr>
            </w:pPr>
            <w:r w:rsidRPr="00873B6C">
              <w:rPr>
                <w:sz w:val="16"/>
                <w:szCs w:val="16"/>
              </w:rPr>
              <w:t>1</w:t>
            </w:r>
          </w:p>
        </w:tc>
        <w:tc>
          <w:tcPr>
            <w:tcW w:w="425" w:type="dxa"/>
            <w:shd w:val="solid" w:color="FFFFFF" w:fill="auto"/>
          </w:tcPr>
          <w:p w14:paraId="1F437608" w14:textId="61EB6B25" w:rsidR="0028472D" w:rsidRPr="00873B6C" w:rsidRDefault="0028472D" w:rsidP="00591B52">
            <w:pPr>
              <w:pStyle w:val="TAL"/>
              <w:rPr>
                <w:sz w:val="16"/>
                <w:szCs w:val="16"/>
              </w:rPr>
            </w:pPr>
            <w:r w:rsidRPr="00873B6C">
              <w:rPr>
                <w:sz w:val="16"/>
                <w:szCs w:val="16"/>
              </w:rPr>
              <w:t>F</w:t>
            </w:r>
          </w:p>
        </w:tc>
        <w:tc>
          <w:tcPr>
            <w:tcW w:w="4820" w:type="dxa"/>
            <w:shd w:val="solid" w:color="FFFFFF" w:fill="auto"/>
          </w:tcPr>
          <w:p w14:paraId="7A13DA1C" w14:textId="1F7A476E" w:rsidR="0028472D" w:rsidRPr="00873B6C" w:rsidRDefault="0028472D" w:rsidP="00591B52">
            <w:pPr>
              <w:pStyle w:val="TAL"/>
              <w:rPr>
                <w:sz w:val="16"/>
                <w:szCs w:val="16"/>
              </w:rPr>
            </w:pPr>
            <w:r w:rsidRPr="00873B6C">
              <w:rPr>
                <w:sz w:val="16"/>
                <w:szCs w:val="16"/>
              </w:rPr>
              <w:t>Clarification on satellite backhaul category change indication</w:t>
            </w:r>
          </w:p>
        </w:tc>
        <w:tc>
          <w:tcPr>
            <w:tcW w:w="708" w:type="dxa"/>
            <w:shd w:val="solid" w:color="FFFFFF" w:fill="auto"/>
          </w:tcPr>
          <w:p w14:paraId="66A34FC4" w14:textId="31130A66" w:rsidR="0028472D" w:rsidRPr="00873B6C" w:rsidRDefault="0028472D" w:rsidP="00591B52">
            <w:pPr>
              <w:pStyle w:val="TAC"/>
              <w:rPr>
                <w:sz w:val="16"/>
                <w:szCs w:val="16"/>
              </w:rPr>
            </w:pPr>
            <w:r w:rsidRPr="00873B6C">
              <w:rPr>
                <w:sz w:val="16"/>
                <w:szCs w:val="16"/>
              </w:rPr>
              <w:t>18.5.0</w:t>
            </w:r>
          </w:p>
        </w:tc>
      </w:tr>
      <w:tr w:rsidR="00456BDF" w:rsidRPr="00873B6C" w14:paraId="12575242" w14:textId="77777777" w:rsidTr="009D14FB">
        <w:tc>
          <w:tcPr>
            <w:tcW w:w="800" w:type="dxa"/>
            <w:shd w:val="solid" w:color="FFFFFF" w:fill="auto"/>
          </w:tcPr>
          <w:p w14:paraId="4B56FDF5" w14:textId="3AFB6845"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63598EE5" w14:textId="59DC050B"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7DCBE0CC" w14:textId="383ADF28" w:rsidR="00456BDF" w:rsidRPr="00873B6C" w:rsidRDefault="00456BDF" w:rsidP="00591B52">
            <w:pPr>
              <w:pStyle w:val="TAC"/>
              <w:rPr>
                <w:sz w:val="16"/>
                <w:szCs w:val="16"/>
              </w:rPr>
            </w:pPr>
            <w:r w:rsidRPr="00873B6C">
              <w:rPr>
                <w:sz w:val="16"/>
                <w:szCs w:val="16"/>
              </w:rPr>
              <w:t>SP-240113</w:t>
            </w:r>
          </w:p>
        </w:tc>
        <w:tc>
          <w:tcPr>
            <w:tcW w:w="567" w:type="dxa"/>
            <w:shd w:val="solid" w:color="FFFFFF" w:fill="auto"/>
          </w:tcPr>
          <w:p w14:paraId="117BEABF" w14:textId="68BA5900" w:rsidR="00456BDF" w:rsidRPr="00873B6C" w:rsidRDefault="00456BDF" w:rsidP="00591B52">
            <w:pPr>
              <w:pStyle w:val="TAL"/>
              <w:rPr>
                <w:sz w:val="16"/>
                <w:szCs w:val="16"/>
              </w:rPr>
            </w:pPr>
            <w:r w:rsidRPr="00873B6C">
              <w:rPr>
                <w:sz w:val="16"/>
                <w:szCs w:val="16"/>
              </w:rPr>
              <w:t>5228</w:t>
            </w:r>
          </w:p>
        </w:tc>
        <w:tc>
          <w:tcPr>
            <w:tcW w:w="425" w:type="dxa"/>
            <w:shd w:val="solid" w:color="FFFFFF" w:fill="auto"/>
          </w:tcPr>
          <w:p w14:paraId="59E965F2" w14:textId="4FF54551" w:rsidR="00456BDF" w:rsidRPr="00873B6C" w:rsidRDefault="00456BDF" w:rsidP="00591B52">
            <w:pPr>
              <w:pStyle w:val="TAL"/>
              <w:rPr>
                <w:sz w:val="16"/>
                <w:szCs w:val="16"/>
              </w:rPr>
            </w:pPr>
            <w:r w:rsidRPr="00873B6C">
              <w:rPr>
                <w:sz w:val="16"/>
                <w:szCs w:val="16"/>
              </w:rPr>
              <w:t>3</w:t>
            </w:r>
          </w:p>
        </w:tc>
        <w:tc>
          <w:tcPr>
            <w:tcW w:w="425" w:type="dxa"/>
            <w:shd w:val="solid" w:color="FFFFFF" w:fill="auto"/>
          </w:tcPr>
          <w:p w14:paraId="69F8D678" w14:textId="0F7118FC"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0A48A678" w14:textId="00D825E3" w:rsidR="00456BDF" w:rsidRPr="00873B6C" w:rsidRDefault="00456BDF" w:rsidP="00591B52">
            <w:pPr>
              <w:pStyle w:val="TAL"/>
              <w:rPr>
                <w:sz w:val="16"/>
                <w:szCs w:val="16"/>
              </w:rPr>
            </w:pPr>
            <w:r w:rsidRPr="00873B6C">
              <w:rPr>
                <w:sz w:val="16"/>
                <w:szCs w:val="16"/>
              </w:rPr>
              <w:t>Protocol Descriptions for UL and DL traffic</w:t>
            </w:r>
          </w:p>
        </w:tc>
        <w:tc>
          <w:tcPr>
            <w:tcW w:w="708" w:type="dxa"/>
            <w:shd w:val="solid" w:color="FFFFFF" w:fill="auto"/>
          </w:tcPr>
          <w:p w14:paraId="2026FA26" w14:textId="7F321AA0" w:rsidR="00456BDF" w:rsidRPr="00873B6C" w:rsidRDefault="00456BDF" w:rsidP="00591B52">
            <w:pPr>
              <w:pStyle w:val="TAC"/>
              <w:rPr>
                <w:sz w:val="16"/>
                <w:szCs w:val="16"/>
              </w:rPr>
            </w:pPr>
            <w:r w:rsidRPr="00873B6C">
              <w:rPr>
                <w:sz w:val="16"/>
                <w:szCs w:val="16"/>
              </w:rPr>
              <w:t>18.5.0</w:t>
            </w:r>
          </w:p>
        </w:tc>
      </w:tr>
      <w:tr w:rsidR="00456BDF" w:rsidRPr="00873B6C" w14:paraId="2E8A40E7" w14:textId="77777777" w:rsidTr="009D14FB">
        <w:tc>
          <w:tcPr>
            <w:tcW w:w="800" w:type="dxa"/>
            <w:shd w:val="solid" w:color="FFFFFF" w:fill="auto"/>
          </w:tcPr>
          <w:p w14:paraId="03E3E142" w14:textId="08E8B7FC"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584555F3" w14:textId="62E6FEC2"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76FF3539" w14:textId="0FCCA1D6" w:rsidR="00456BDF" w:rsidRPr="00873B6C" w:rsidRDefault="00456BDF" w:rsidP="00591B52">
            <w:pPr>
              <w:pStyle w:val="TAC"/>
              <w:rPr>
                <w:sz w:val="16"/>
                <w:szCs w:val="16"/>
              </w:rPr>
            </w:pPr>
            <w:r w:rsidRPr="00873B6C">
              <w:rPr>
                <w:sz w:val="16"/>
                <w:szCs w:val="16"/>
              </w:rPr>
              <w:t>SP-240136</w:t>
            </w:r>
          </w:p>
        </w:tc>
        <w:tc>
          <w:tcPr>
            <w:tcW w:w="567" w:type="dxa"/>
            <w:shd w:val="solid" w:color="FFFFFF" w:fill="auto"/>
          </w:tcPr>
          <w:p w14:paraId="37A9C5C4" w14:textId="52C84BDE" w:rsidR="00456BDF" w:rsidRPr="00873B6C" w:rsidRDefault="00456BDF" w:rsidP="00591B52">
            <w:pPr>
              <w:pStyle w:val="TAL"/>
              <w:rPr>
                <w:sz w:val="16"/>
                <w:szCs w:val="16"/>
              </w:rPr>
            </w:pPr>
            <w:r w:rsidRPr="00873B6C">
              <w:rPr>
                <w:sz w:val="16"/>
                <w:szCs w:val="16"/>
              </w:rPr>
              <w:t>5229</w:t>
            </w:r>
          </w:p>
        </w:tc>
        <w:tc>
          <w:tcPr>
            <w:tcW w:w="425" w:type="dxa"/>
            <w:shd w:val="solid" w:color="FFFFFF" w:fill="auto"/>
          </w:tcPr>
          <w:p w14:paraId="0714C600" w14:textId="691352FF" w:rsidR="00456BDF" w:rsidRPr="00873B6C" w:rsidRDefault="00456BDF" w:rsidP="00591B52">
            <w:pPr>
              <w:pStyle w:val="TAL"/>
              <w:rPr>
                <w:sz w:val="16"/>
                <w:szCs w:val="16"/>
              </w:rPr>
            </w:pPr>
            <w:r w:rsidRPr="00873B6C">
              <w:rPr>
                <w:sz w:val="16"/>
                <w:szCs w:val="16"/>
              </w:rPr>
              <w:t>1</w:t>
            </w:r>
          </w:p>
        </w:tc>
        <w:tc>
          <w:tcPr>
            <w:tcW w:w="425" w:type="dxa"/>
            <w:shd w:val="solid" w:color="FFFFFF" w:fill="auto"/>
          </w:tcPr>
          <w:p w14:paraId="42FCA0A7" w14:textId="2563E831"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70ABF869" w14:textId="04CF5454" w:rsidR="00456BDF" w:rsidRPr="00873B6C" w:rsidRDefault="00456BDF" w:rsidP="00591B52">
            <w:pPr>
              <w:pStyle w:val="TAL"/>
              <w:rPr>
                <w:sz w:val="16"/>
                <w:szCs w:val="16"/>
              </w:rPr>
            </w:pPr>
            <w:r w:rsidRPr="00873B6C">
              <w:rPr>
                <w:sz w:val="16"/>
                <w:szCs w:val="16"/>
              </w:rPr>
              <w:t>Spending Limits for AM and UE Policies in the 5GC</w:t>
            </w:r>
          </w:p>
        </w:tc>
        <w:tc>
          <w:tcPr>
            <w:tcW w:w="708" w:type="dxa"/>
            <w:shd w:val="solid" w:color="FFFFFF" w:fill="auto"/>
          </w:tcPr>
          <w:p w14:paraId="1065DADE" w14:textId="20E2DAA8" w:rsidR="00456BDF" w:rsidRPr="00873B6C" w:rsidRDefault="00456BDF" w:rsidP="00591B52">
            <w:pPr>
              <w:pStyle w:val="TAC"/>
              <w:rPr>
                <w:sz w:val="16"/>
                <w:szCs w:val="16"/>
              </w:rPr>
            </w:pPr>
            <w:r w:rsidRPr="00873B6C">
              <w:rPr>
                <w:sz w:val="16"/>
                <w:szCs w:val="16"/>
              </w:rPr>
              <w:t>18.5.0</w:t>
            </w:r>
          </w:p>
        </w:tc>
      </w:tr>
      <w:tr w:rsidR="00456BDF" w:rsidRPr="00873B6C" w14:paraId="2826C200" w14:textId="77777777" w:rsidTr="009D14FB">
        <w:tc>
          <w:tcPr>
            <w:tcW w:w="800" w:type="dxa"/>
            <w:shd w:val="solid" w:color="FFFFFF" w:fill="auto"/>
          </w:tcPr>
          <w:p w14:paraId="009B3098" w14:textId="71ED3DBC"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5CA3E885" w14:textId="356636EE"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171C2417" w14:textId="2EDDDF0E" w:rsidR="00456BDF" w:rsidRPr="00873B6C" w:rsidRDefault="00456BDF" w:rsidP="00591B52">
            <w:pPr>
              <w:pStyle w:val="TAC"/>
              <w:rPr>
                <w:sz w:val="16"/>
                <w:szCs w:val="16"/>
              </w:rPr>
            </w:pPr>
            <w:r w:rsidRPr="00873B6C">
              <w:rPr>
                <w:sz w:val="16"/>
                <w:szCs w:val="16"/>
              </w:rPr>
              <w:t>SP-240096</w:t>
            </w:r>
          </w:p>
        </w:tc>
        <w:tc>
          <w:tcPr>
            <w:tcW w:w="567" w:type="dxa"/>
            <w:shd w:val="solid" w:color="FFFFFF" w:fill="auto"/>
          </w:tcPr>
          <w:p w14:paraId="2DA14945" w14:textId="2D561603" w:rsidR="00456BDF" w:rsidRPr="00873B6C" w:rsidRDefault="00456BDF" w:rsidP="00591B52">
            <w:pPr>
              <w:pStyle w:val="TAL"/>
              <w:rPr>
                <w:sz w:val="16"/>
                <w:szCs w:val="16"/>
              </w:rPr>
            </w:pPr>
            <w:r w:rsidRPr="00873B6C">
              <w:rPr>
                <w:sz w:val="16"/>
                <w:szCs w:val="16"/>
              </w:rPr>
              <w:t>5230</w:t>
            </w:r>
          </w:p>
        </w:tc>
        <w:tc>
          <w:tcPr>
            <w:tcW w:w="425" w:type="dxa"/>
            <w:shd w:val="solid" w:color="FFFFFF" w:fill="auto"/>
          </w:tcPr>
          <w:p w14:paraId="1F849769" w14:textId="5A974ADA" w:rsidR="00456BDF" w:rsidRPr="00873B6C" w:rsidRDefault="00456BDF" w:rsidP="00591B52">
            <w:pPr>
              <w:pStyle w:val="TAL"/>
              <w:rPr>
                <w:sz w:val="16"/>
                <w:szCs w:val="16"/>
              </w:rPr>
            </w:pPr>
            <w:r w:rsidRPr="00873B6C">
              <w:rPr>
                <w:sz w:val="16"/>
                <w:szCs w:val="16"/>
              </w:rPr>
              <w:t>1</w:t>
            </w:r>
          </w:p>
        </w:tc>
        <w:tc>
          <w:tcPr>
            <w:tcW w:w="425" w:type="dxa"/>
            <w:shd w:val="solid" w:color="FFFFFF" w:fill="auto"/>
          </w:tcPr>
          <w:p w14:paraId="3CB16B97" w14:textId="791F7E42"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7D794E87" w14:textId="483BADDA" w:rsidR="00456BDF" w:rsidRPr="00873B6C" w:rsidRDefault="00456BDF" w:rsidP="00591B52">
            <w:pPr>
              <w:pStyle w:val="TAL"/>
              <w:rPr>
                <w:sz w:val="16"/>
                <w:szCs w:val="16"/>
              </w:rPr>
            </w:pPr>
            <w:r w:rsidRPr="00873B6C">
              <w:rPr>
                <w:sz w:val="16"/>
                <w:szCs w:val="16"/>
              </w:rPr>
              <w:t>Clarify MRU handling for non-3GPP access path switching when UE has only one PDU Session</w:t>
            </w:r>
          </w:p>
        </w:tc>
        <w:tc>
          <w:tcPr>
            <w:tcW w:w="708" w:type="dxa"/>
            <w:shd w:val="solid" w:color="FFFFFF" w:fill="auto"/>
          </w:tcPr>
          <w:p w14:paraId="31C6869B" w14:textId="3489520C" w:rsidR="00456BDF" w:rsidRPr="00873B6C" w:rsidRDefault="00456BDF" w:rsidP="00591B52">
            <w:pPr>
              <w:pStyle w:val="TAC"/>
              <w:rPr>
                <w:sz w:val="16"/>
                <w:szCs w:val="16"/>
              </w:rPr>
            </w:pPr>
            <w:r w:rsidRPr="00873B6C">
              <w:rPr>
                <w:sz w:val="16"/>
                <w:szCs w:val="16"/>
              </w:rPr>
              <w:t>18.5.0</w:t>
            </w:r>
          </w:p>
        </w:tc>
      </w:tr>
      <w:tr w:rsidR="00456BDF" w:rsidRPr="00873B6C" w14:paraId="2362A448" w14:textId="77777777" w:rsidTr="009D14FB">
        <w:tc>
          <w:tcPr>
            <w:tcW w:w="800" w:type="dxa"/>
            <w:shd w:val="solid" w:color="FFFFFF" w:fill="auto"/>
          </w:tcPr>
          <w:p w14:paraId="22C4576D" w14:textId="1A451D40"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615AB647" w14:textId="687FD17A"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700FBF25" w14:textId="1259E01F" w:rsidR="00456BDF" w:rsidRPr="00873B6C" w:rsidRDefault="00456BDF" w:rsidP="00591B52">
            <w:pPr>
              <w:pStyle w:val="TAC"/>
              <w:rPr>
                <w:sz w:val="16"/>
                <w:szCs w:val="16"/>
              </w:rPr>
            </w:pPr>
            <w:r w:rsidRPr="00873B6C">
              <w:rPr>
                <w:sz w:val="16"/>
                <w:szCs w:val="16"/>
              </w:rPr>
              <w:t>SP-240101</w:t>
            </w:r>
          </w:p>
        </w:tc>
        <w:tc>
          <w:tcPr>
            <w:tcW w:w="567" w:type="dxa"/>
            <w:shd w:val="solid" w:color="FFFFFF" w:fill="auto"/>
          </w:tcPr>
          <w:p w14:paraId="2724EA3A" w14:textId="0A941C20" w:rsidR="00456BDF" w:rsidRPr="00873B6C" w:rsidRDefault="00456BDF" w:rsidP="00591B52">
            <w:pPr>
              <w:pStyle w:val="TAL"/>
              <w:rPr>
                <w:sz w:val="16"/>
                <w:szCs w:val="16"/>
              </w:rPr>
            </w:pPr>
            <w:r w:rsidRPr="00873B6C">
              <w:rPr>
                <w:sz w:val="16"/>
                <w:szCs w:val="16"/>
              </w:rPr>
              <w:t>5233</w:t>
            </w:r>
          </w:p>
        </w:tc>
        <w:tc>
          <w:tcPr>
            <w:tcW w:w="425" w:type="dxa"/>
            <w:shd w:val="solid" w:color="FFFFFF" w:fill="auto"/>
          </w:tcPr>
          <w:p w14:paraId="4E3A693E" w14:textId="6F07B331" w:rsidR="00456BDF" w:rsidRPr="00873B6C" w:rsidRDefault="00456BDF" w:rsidP="00591B52">
            <w:pPr>
              <w:pStyle w:val="TAL"/>
              <w:rPr>
                <w:sz w:val="16"/>
                <w:szCs w:val="16"/>
              </w:rPr>
            </w:pPr>
            <w:r w:rsidRPr="00873B6C">
              <w:rPr>
                <w:sz w:val="16"/>
                <w:szCs w:val="16"/>
              </w:rPr>
              <w:t>6</w:t>
            </w:r>
          </w:p>
        </w:tc>
        <w:tc>
          <w:tcPr>
            <w:tcW w:w="425" w:type="dxa"/>
            <w:shd w:val="solid" w:color="FFFFFF" w:fill="auto"/>
          </w:tcPr>
          <w:p w14:paraId="31E455E0" w14:textId="15724827"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1FBF50DD" w14:textId="5C46C2A1" w:rsidR="00456BDF" w:rsidRPr="00873B6C" w:rsidRDefault="00456BDF" w:rsidP="00591B52">
            <w:pPr>
              <w:pStyle w:val="TAL"/>
              <w:rPr>
                <w:sz w:val="16"/>
                <w:szCs w:val="16"/>
              </w:rPr>
            </w:pPr>
            <w:r w:rsidRPr="00873B6C">
              <w:rPr>
                <w:sz w:val="16"/>
                <w:szCs w:val="16"/>
              </w:rPr>
              <w:t>Clarifications on PDU Sessions due to Network Slice Replacement</w:t>
            </w:r>
          </w:p>
        </w:tc>
        <w:tc>
          <w:tcPr>
            <w:tcW w:w="708" w:type="dxa"/>
            <w:shd w:val="solid" w:color="FFFFFF" w:fill="auto"/>
          </w:tcPr>
          <w:p w14:paraId="098DE3A3" w14:textId="21A578C0" w:rsidR="00456BDF" w:rsidRPr="00873B6C" w:rsidRDefault="00456BDF" w:rsidP="00591B52">
            <w:pPr>
              <w:pStyle w:val="TAC"/>
              <w:rPr>
                <w:sz w:val="16"/>
                <w:szCs w:val="16"/>
              </w:rPr>
            </w:pPr>
            <w:r w:rsidRPr="00873B6C">
              <w:rPr>
                <w:sz w:val="16"/>
                <w:szCs w:val="16"/>
              </w:rPr>
              <w:t>18.5.0</w:t>
            </w:r>
          </w:p>
        </w:tc>
      </w:tr>
      <w:tr w:rsidR="00456BDF" w:rsidRPr="00873B6C" w14:paraId="6E71FD27" w14:textId="77777777" w:rsidTr="009D14FB">
        <w:tc>
          <w:tcPr>
            <w:tcW w:w="800" w:type="dxa"/>
            <w:shd w:val="solid" w:color="FFFFFF" w:fill="auto"/>
          </w:tcPr>
          <w:p w14:paraId="207EB862" w14:textId="2609C079"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38743875" w14:textId="5F29ACCF"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5DA6BB77" w14:textId="1531A597" w:rsidR="00456BDF" w:rsidRPr="00873B6C" w:rsidRDefault="00456BDF" w:rsidP="00591B52">
            <w:pPr>
              <w:pStyle w:val="TAC"/>
              <w:rPr>
                <w:sz w:val="16"/>
                <w:szCs w:val="16"/>
              </w:rPr>
            </w:pPr>
            <w:r w:rsidRPr="00873B6C">
              <w:rPr>
                <w:sz w:val="16"/>
                <w:szCs w:val="16"/>
              </w:rPr>
              <w:t>SP-240095</w:t>
            </w:r>
          </w:p>
        </w:tc>
        <w:tc>
          <w:tcPr>
            <w:tcW w:w="567" w:type="dxa"/>
            <w:shd w:val="solid" w:color="FFFFFF" w:fill="auto"/>
          </w:tcPr>
          <w:p w14:paraId="6072B1B3" w14:textId="5CD76CA5" w:rsidR="00456BDF" w:rsidRPr="00873B6C" w:rsidRDefault="00456BDF" w:rsidP="00591B52">
            <w:pPr>
              <w:pStyle w:val="TAL"/>
              <w:rPr>
                <w:sz w:val="16"/>
                <w:szCs w:val="16"/>
              </w:rPr>
            </w:pPr>
            <w:r w:rsidRPr="00873B6C">
              <w:rPr>
                <w:sz w:val="16"/>
                <w:szCs w:val="16"/>
              </w:rPr>
              <w:t>5235</w:t>
            </w:r>
          </w:p>
        </w:tc>
        <w:tc>
          <w:tcPr>
            <w:tcW w:w="425" w:type="dxa"/>
            <w:shd w:val="solid" w:color="FFFFFF" w:fill="auto"/>
          </w:tcPr>
          <w:p w14:paraId="2B180854" w14:textId="4F6FE1EA" w:rsidR="00456BDF" w:rsidRPr="00873B6C" w:rsidRDefault="00456BDF" w:rsidP="00591B52">
            <w:pPr>
              <w:pStyle w:val="TAL"/>
              <w:rPr>
                <w:sz w:val="16"/>
                <w:szCs w:val="16"/>
              </w:rPr>
            </w:pPr>
            <w:r w:rsidRPr="00873B6C">
              <w:rPr>
                <w:sz w:val="16"/>
                <w:szCs w:val="16"/>
              </w:rPr>
              <w:t>1</w:t>
            </w:r>
          </w:p>
        </w:tc>
        <w:tc>
          <w:tcPr>
            <w:tcW w:w="425" w:type="dxa"/>
            <w:shd w:val="solid" w:color="FFFFFF" w:fill="auto"/>
          </w:tcPr>
          <w:p w14:paraId="5404525C" w14:textId="123A9E09" w:rsidR="00456BDF" w:rsidRPr="00873B6C" w:rsidRDefault="00456BDF" w:rsidP="00591B52">
            <w:pPr>
              <w:pStyle w:val="TAL"/>
              <w:rPr>
                <w:sz w:val="16"/>
                <w:szCs w:val="16"/>
              </w:rPr>
            </w:pPr>
            <w:r w:rsidRPr="00873B6C">
              <w:rPr>
                <w:sz w:val="16"/>
                <w:szCs w:val="16"/>
              </w:rPr>
              <w:t>D</w:t>
            </w:r>
          </w:p>
        </w:tc>
        <w:tc>
          <w:tcPr>
            <w:tcW w:w="4820" w:type="dxa"/>
            <w:shd w:val="solid" w:color="FFFFFF" w:fill="auto"/>
          </w:tcPr>
          <w:p w14:paraId="44D87714" w14:textId="6DCD7271" w:rsidR="00456BDF" w:rsidRPr="00873B6C" w:rsidRDefault="00456BDF" w:rsidP="00591B52">
            <w:pPr>
              <w:pStyle w:val="TAL"/>
              <w:rPr>
                <w:sz w:val="16"/>
                <w:szCs w:val="16"/>
              </w:rPr>
            </w:pPr>
            <w:r w:rsidRPr="00873B6C">
              <w:rPr>
                <w:sz w:val="16"/>
                <w:szCs w:val="16"/>
              </w:rPr>
              <w:t>Cleaning up the term of RFSP Index in Use Validity Time</w:t>
            </w:r>
          </w:p>
        </w:tc>
        <w:tc>
          <w:tcPr>
            <w:tcW w:w="708" w:type="dxa"/>
            <w:shd w:val="solid" w:color="FFFFFF" w:fill="auto"/>
          </w:tcPr>
          <w:p w14:paraId="3F5D0412" w14:textId="7DAC5B93" w:rsidR="00456BDF" w:rsidRPr="00873B6C" w:rsidRDefault="00456BDF" w:rsidP="00591B52">
            <w:pPr>
              <w:pStyle w:val="TAC"/>
              <w:rPr>
                <w:sz w:val="16"/>
                <w:szCs w:val="16"/>
              </w:rPr>
            </w:pPr>
            <w:r w:rsidRPr="00873B6C">
              <w:rPr>
                <w:sz w:val="16"/>
                <w:szCs w:val="16"/>
              </w:rPr>
              <w:t>18.5.0</w:t>
            </w:r>
          </w:p>
        </w:tc>
      </w:tr>
      <w:tr w:rsidR="00456BDF" w:rsidRPr="00873B6C" w14:paraId="187DA6DB" w14:textId="77777777" w:rsidTr="009D14FB">
        <w:tc>
          <w:tcPr>
            <w:tcW w:w="800" w:type="dxa"/>
            <w:shd w:val="solid" w:color="FFFFFF" w:fill="auto"/>
          </w:tcPr>
          <w:p w14:paraId="0EF062E0" w14:textId="2776ED1C"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370DE213" w14:textId="187324F0"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2AA6BD4F" w14:textId="301F92CA" w:rsidR="00456BDF" w:rsidRPr="00873B6C" w:rsidRDefault="00456BDF" w:rsidP="00591B52">
            <w:pPr>
              <w:pStyle w:val="TAC"/>
              <w:rPr>
                <w:sz w:val="16"/>
                <w:szCs w:val="16"/>
              </w:rPr>
            </w:pPr>
            <w:r w:rsidRPr="00873B6C">
              <w:rPr>
                <w:sz w:val="16"/>
                <w:szCs w:val="16"/>
              </w:rPr>
              <w:t>SP-240104</w:t>
            </w:r>
          </w:p>
        </w:tc>
        <w:tc>
          <w:tcPr>
            <w:tcW w:w="567" w:type="dxa"/>
            <w:shd w:val="solid" w:color="FFFFFF" w:fill="auto"/>
          </w:tcPr>
          <w:p w14:paraId="59B94156" w14:textId="145CD5E5" w:rsidR="00456BDF" w:rsidRPr="00873B6C" w:rsidRDefault="00456BDF" w:rsidP="00591B52">
            <w:pPr>
              <w:pStyle w:val="TAL"/>
              <w:rPr>
                <w:sz w:val="16"/>
                <w:szCs w:val="16"/>
              </w:rPr>
            </w:pPr>
            <w:r w:rsidRPr="00873B6C">
              <w:rPr>
                <w:sz w:val="16"/>
                <w:szCs w:val="16"/>
              </w:rPr>
              <w:t>5237</w:t>
            </w:r>
          </w:p>
        </w:tc>
        <w:tc>
          <w:tcPr>
            <w:tcW w:w="425" w:type="dxa"/>
            <w:shd w:val="solid" w:color="FFFFFF" w:fill="auto"/>
          </w:tcPr>
          <w:p w14:paraId="330C5E94" w14:textId="48866957" w:rsidR="00456BDF" w:rsidRPr="00873B6C" w:rsidRDefault="00456BDF" w:rsidP="00591B52">
            <w:pPr>
              <w:pStyle w:val="TAL"/>
              <w:rPr>
                <w:sz w:val="16"/>
                <w:szCs w:val="16"/>
              </w:rPr>
            </w:pPr>
            <w:r w:rsidRPr="00873B6C">
              <w:rPr>
                <w:sz w:val="16"/>
                <w:szCs w:val="16"/>
              </w:rPr>
              <w:t>1</w:t>
            </w:r>
          </w:p>
        </w:tc>
        <w:tc>
          <w:tcPr>
            <w:tcW w:w="425" w:type="dxa"/>
            <w:shd w:val="solid" w:color="FFFFFF" w:fill="auto"/>
          </w:tcPr>
          <w:p w14:paraId="7C95218A" w14:textId="6783FC74"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003499CE" w14:textId="4D78E3C7" w:rsidR="00456BDF" w:rsidRPr="00873B6C" w:rsidRDefault="00456BDF" w:rsidP="00591B52">
            <w:pPr>
              <w:pStyle w:val="TAL"/>
              <w:rPr>
                <w:sz w:val="16"/>
                <w:szCs w:val="16"/>
              </w:rPr>
            </w:pPr>
            <w:r w:rsidRPr="00873B6C">
              <w:rPr>
                <w:sz w:val="16"/>
                <w:szCs w:val="16"/>
              </w:rPr>
              <w:t>LADN provisioning when there is existing PDU session</w:t>
            </w:r>
          </w:p>
        </w:tc>
        <w:tc>
          <w:tcPr>
            <w:tcW w:w="708" w:type="dxa"/>
            <w:shd w:val="solid" w:color="FFFFFF" w:fill="auto"/>
          </w:tcPr>
          <w:p w14:paraId="7CFD323F" w14:textId="31C729E0" w:rsidR="00456BDF" w:rsidRPr="00873B6C" w:rsidRDefault="00456BDF" w:rsidP="00591B52">
            <w:pPr>
              <w:pStyle w:val="TAC"/>
              <w:rPr>
                <w:sz w:val="16"/>
                <w:szCs w:val="16"/>
              </w:rPr>
            </w:pPr>
            <w:r w:rsidRPr="00873B6C">
              <w:rPr>
                <w:sz w:val="16"/>
                <w:szCs w:val="16"/>
              </w:rPr>
              <w:t>18.5.0</w:t>
            </w:r>
          </w:p>
        </w:tc>
      </w:tr>
      <w:tr w:rsidR="00965644" w:rsidRPr="00873B6C" w14:paraId="400821A5" w14:textId="77777777" w:rsidTr="009D14FB">
        <w:tc>
          <w:tcPr>
            <w:tcW w:w="800" w:type="dxa"/>
            <w:shd w:val="solid" w:color="FFFFFF" w:fill="auto"/>
          </w:tcPr>
          <w:p w14:paraId="53505816" w14:textId="12FF95CE"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4C501643" w14:textId="7222B1A9"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3772F31D" w14:textId="69D9C23D" w:rsidR="00965644" w:rsidRPr="00873B6C" w:rsidRDefault="00965644" w:rsidP="00591B52">
            <w:pPr>
              <w:pStyle w:val="TAC"/>
              <w:rPr>
                <w:sz w:val="16"/>
                <w:szCs w:val="16"/>
              </w:rPr>
            </w:pPr>
            <w:r w:rsidRPr="00873B6C">
              <w:rPr>
                <w:sz w:val="16"/>
                <w:szCs w:val="16"/>
              </w:rPr>
              <w:t>SP-240104</w:t>
            </w:r>
          </w:p>
        </w:tc>
        <w:tc>
          <w:tcPr>
            <w:tcW w:w="567" w:type="dxa"/>
            <w:shd w:val="solid" w:color="FFFFFF" w:fill="auto"/>
          </w:tcPr>
          <w:p w14:paraId="4FE57328" w14:textId="38069895" w:rsidR="00965644" w:rsidRPr="00873B6C" w:rsidRDefault="00965644" w:rsidP="00591B52">
            <w:pPr>
              <w:pStyle w:val="TAL"/>
              <w:rPr>
                <w:sz w:val="16"/>
                <w:szCs w:val="16"/>
              </w:rPr>
            </w:pPr>
            <w:r w:rsidRPr="00873B6C">
              <w:rPr>
                <w:sz w:val="16"/>
                <w:szCs w:val="16"/>
              </w:rPr>
              <w:t>5238</w:t>
            </w:r>
          </w:p>
        </w:tc>
        <w:tc>
          <w:tcPr>
            <w:tcW w:w="425" w:type="dxa"/>
            <w:shd w:val="solid" w:color="FFFFFF" w:fill="auto"/>
          </w:tcPr>
          <w:p w14:paraId="307F9448" w14:textId="70184D17" w:rsidR="00965644" w:rsidRPr="00873B6C" w:rsidRDefault="00965644" w:rsidP="00591B52">
            <w:pPr>
              <w:pStyle w:val="TAL"/>
              <w:rPr>
                <w:sz w:val="16"/>
                <w:szCs w:val="16"/>
              </w:rPr>
            </w:pPr>
            <w:r w:rsidRPr="00873B6C">
              <w:rPr>
                <w:sz w:val="16"/>
                <w:szCs w:val="16"/>
              </w:rPr>
              <w:t>1</w:t>
            </w:r>
          </w:p>
        </w:tc>
        <w:tc>
          <w:tcPr>
            <w:tcW w:w="425" w:type="dxa"/>
            <w:shd w:val="solid" w:color="FFFFFF" w:fill="auto"/>
          </w:tcPr>
          <w:p w14:paraId="29686453" w14:textId="6F5257B3"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24DD99A6" w14:textId="44FB610B" w:rsidR="00965644" w:rsidRPr="00873B6C" w:rsidRDefault="00965644" w:rsidP="00591B52">
            <w:pPr>
              <w:pStyle w:val="TAL"/>
              <w:rPr>
                <w:sz w:val="16"/>
                <w:szCs w:val="16"/>
              </w:rPr>
            </w:pPr>
            <w:r w:rsidRPr="00873B6C">
              <w:rPr>
                <w:sz w:val="16"/>
                <w:szCs w:val="16"/>
              </w:rPr>
              <w:t>Clarification on the temporal invalidity conditions</w:t>
            </w:r>
          </w:p>
        </w:tc>
        <w:tc>
          <w:tcPr>
            <w:tcW w:w="708" w:type="dxa"/>
            <w:shd w:val="solid" w:color="FFFFFF" w:fill="auto"/>
          </w:tcPr>
          <w:p w14:paraId="645C3272" w14:textId="7AC6B5F0" w:rsidR="00965644" w:rsidRPr="00873B6C" w:rsidRDefault="00965644" w:rsidP="00591B52">
            <w:pPr>
              <w:pStyle w:val="TAC"/>
              <w:rPr>
                <w:sz w:val="16"/>
                <w:szCs w:val="16"/>
              </w:rPr>
            </w:pPr>
            <w:r w:rsidRPr="00873B6C">
              <w:rPr>
                <w:sz w:val="16"/>
                <w:szCs w:val="16"/>
              </w:rPr>
              <w:t>18.5.0</w:t>
            </w:r>
          </w:p>
        </w:tc>
      </w:tr>
      <w:tr w:rsidR="00965644" w:rsidRPr="00873B6C" w14:paraId="55DF36DB" w14:textId="77777777" w:rsidTr="009D14FB">
        <w:tc>
          <w:tcPr>
            <w:tcW w:w="800" w:type="dxa"/>
            <w:shd w:val="solid" w:color="FFFFFF" w:fill="auto"/>
          </w:tcPr>
          <w:p w14:paraId="25B6F045" w14:textId="6F4864D2"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762C4CD2" w14:textId="4750B065"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1C8C189D" w14:textId="6F33C6F0" w:rsidR="00965644" w:rsidRPr="00873B6C" w:rsidRDefault="00965644" w:rsidP="00591B52">
            <w:pPr>
              <w:pStyle w:val="TAC"/>
              <w:rPr>
                <w:sz w:val="16"/>
                <w:szCs w:val="16"/>
              </w:rPr>
            </w:pPr>
            <w:r w:rsidRPr="00873B6C">
              <w:rPr>
                <w:sz w:val="16"/>
                <w:szCs w:val="16"/>
              </w:rPr>
              <w:t>SP-240110</w:t>
            </w:r>
          </w:p>
        </w:tc>
        <w:tc>
          <w:tcPr>
            <w:tcW w:w="567" w:type="dxa"/>
            <w:shd w:val="solid" w:color="FFFFFF" w:fill="auto"/>
          </w:tcPr>
          <w:p w14:paraId="4599107B" w14:textId="7D8BDFF0" w:rsidR="00965644" w:rsidRPr="00873B6C" w:rsidRDefault="00965644" w:rsidP="00591B52">
            <w:pPr>
              <w:pStyle w:val="TAL"/>
              <w:rPr>
                <w:sz w:val="16"/>
                <w:szCs w:val="16"/>
              </w:rPr>
            </w:pPr>
            <w:r w:rsidRPr="00873B6C">
              <w:rPr>
                <w:sz w:val="16"/>
                <w:szCs w:val="16"/>
              </w:rPr>
              <w:t>5239</w:t>
            </w:r>
          </w:p>
        </w:tc>
        <w:tc>
          <w:tcPr>
            <w:tcW w:w="425" w:type="dxa"/>
            <w:shd w:val="solid" w:color="FFFFFF" w:fill="auto"/>
          </w:tcPr>
          <w:p w14:paraId="1C1A2989" w14:textId="7A1B04CD" w:rsidR="00965644" w:rsidRPr="00873B6C" w:rsidRDefault="00965644" w:rsidP="00591B52">
            <w:pPr>
              <w:pStyle w:val="TAL"/>
              <w:rPr>
                <w:sz w:val="16"/>
                <w:szCs w:val="16"/>
              </w:rPr>
            </w:pPr>
            <w:r w:rsidRPr="00873B6C">
              <w:rPr>
                <w:sz w:val="16"/>
                <w:szCs w:val="16"/>
              </w:rPr>
              <w:t>2</w:t>
            </w:r>
          </w:p>
        </w:tc>
        <w:tc>
          <w:tcPr>
            <w:tcW w:w="425" w:type="dxa"/>
            <w:shd w:val="solid" w:color="FFFFFF" w:fill="auto"/>
          </w:tcPr>
          <w:p w14:paraId="32B820FF" w14:textId="79942E2C"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5CD6A144" w14:textId="44BC3802" w:rsidR="00965644" w:rsidRPr="00873B6C" w:rsidRDefault="00965644" w:rsidP="00591B52">
            <w:pPr>
              <w:pStyle w:val="TAL"/>
              <w:rPr>
                <w:sz w:val="16"/>
                <w:szCs w:val="16"/>
              </w:rPr>
            </w:pPr>
            <w:r w:rsidRPr="00873B6C">
              <w:rPr>
                <w:sz w:val="16"/>
                <w:szCs w:val="16"/>
              </w:rPr>
              <w:t>CQRCI check issue when there are both AF requests and subscriptions</w:t>
            </w:r>
          </w:p>
        </w:tc>
        <w:tc>
          <w:tcPr>
            <w:tcW w:w="708" w:type="dxa"/>
            <w:shd w:val="solid" w:color="FFFFFF" w:fill="auto"/>
          </w:tcPr>
          <w:p w14:paraId="30F5843F" w14:textId="03BD7F78" w:rsidR="00965644" w:rsidRPr="00873B6C" w:rsidRDefault="00965644" w:rsidP="00591B52">
            <w:pPr>
              <w:pStyle w:val="TAC"/>
              <w:rPr>
                <w:sz w:val="16"/>
                <w:szCs w:val="16"/>
              </w:rPr>
            </w:pPr>
            <w:r w:rsidRPr="00873B6C">
              <w:rPr>
                <w:sz w:val="16"/>
                <w:szCs w:val="16"/>
              </w:rPr>
              <w:t>18.5.0</w:t>
            </w:r>
          </w:p>
        </w:tc>
      </w:tr>
      <w:tr w:rsidR="00965644" w:rsidRPr="00873B6C" w14:paraId="18BC813E" w14:textId="77777777" w:rsidTr="009D14FB">
        <w:tc>
          <w:tcPr>
            <w:tcW w:w="800" w:type="dxa"/>
            <w:shd w:val="solid" w:color="FFFFFF" w:fill="auto"/>
          </w:tcPr>
          <w:p w14:paraId="246CDD34" w14:textId="12B6D502"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7F6ECDF5" w14:textId="0B166B05"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58E02770" w14:textId="45897CED" w:rsidR="00965644" w:rsidRPr="00873B6C" w:rsidRDefault="00965644" w:rsidP="00591B52">
            <w:pPr>
              <w:pStyle w:val="TAC"/>
              <w:rPr>
                <w:sz w:val="16"/>
                <w:szCs w:val="16"/>
              </w:rPr>
            </w:pPr>
            <w:r w:rsidRPr="00873B6C">
              <w:rPr>
                <w:sz w:val="16"/>
                <w:szCs w:val="16"/>
              </w:rPr>
              <w:t>SP-240110</w:t>
            </w:r>
          </w:p>
        </w:tc>
        <w:tc>
          <w:tcPr>
            <w:tcW w:w="567" w:type="dxa"/>
            <w:shd w:val="solid" w:color="FFFFFF" w:fill="auto"/>
          </w:tcPr>
          <w:p w14:paraId="2A55E235" w14:textId="7614689E" w:rsidR="00965644" w:rsidRPr="00873B6C" w:rsidRDefault="00965644" w:rsidP="00591B52">
            <w:pPr>
              <w:pStyle w:val="TAL"/>
              <w:rPr>
                <w:sz w:val="16"/>
                <w:szCs w:val="16"/>
              </w:rPr>
            </w:pPr>
            <w:r w:rsidRPr="00873B6C">
              <w:rPr>
                <w:sz w:val="16"/>
                <w:szCs w:val="16"/>
              </w:rPr>
              <w:t>5240</w:t>
            </w:r>
          </w:p>
        </w:tc>
        <w:tc>
          <w:tcPr>
            <w:tcW w:w="425" w:type="dxa"/>
            <w:shd w:val="solid" w:color="FFFFFF" w:fill="auto"/>
          </w:tcPr>
          <w:p w14:paraId="3BD3E205" w14:textId="07FE7262" w:rsidR="00965644" w:rsidRPr="00873B6C" w:rsidRDefault="00965644" w:rsidP="00591B52">
            <w:pPr>
              <w:pStyle w:val="TAL"/>
              <w:rPr>
                <w:sz w:val="16"/>
                <w:szCs w:val="16"/>
              </w:rPr>
            </w:pPr>
            <w:r w:rsidRPr="00873B6C">
              <w:rPr>
                <w:sz w:val="16"/>
                <w:szCs w:val="16"/>
              </w:rPr>
              <w:t>1</w:t>
            </w:r>
          </w:p>
        </w:tc>
        <w:tc>
          <w:tcPr>
            <w:tcW w:w="425" w:type="dxa"/>
            <w:shd w:val="solid" w:color="FFFFFF" w:fill="auto"/>
          </w:tcPr>
          <w:p w14:paraId="4A92C0B1" w14:textId="4776CC2E"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7AF72F32" w14:textId="3383CB7E" w:rsidR="00965644" w:rsidRPr="00873B6C" w:rsidRDefault="00965644" w:rsidP="00591B52">
            <w:pPr>
              <w:pStyle w:val="TAL"/>
              <w:rPr>
                <w:sz w:val="16"/>
                <w:szCs w:val="16"/>
              </w:rPr>
            </w:pPr>
            <w:r w:rsidRPr="00873B6C">
              <w:rPr>
                <w:sz w:val="16"/>
                <w:szCs w:val="16"/>
              </w:rPr>
              <w:t>Clarification on the UE capability and re-connection indication</w:t>
            </w:r>
          </w:p>
        </w:tc>
        <w:tc>
          <w:tcPr>
            <w:tcW w:w="708" w:type="dxa"/>
            <w:shd w:val="solid" w:color="FFFFFF" w:fill="auto"/>
          </w:tcPr>
          <w:p w14:paraId="77DA9CC1" w14:textId="62225EE3" w:rsidR="00965644" w:rsidRPr="00873B6C" w:rsidRDefault="00965644" w:rsidP="00591B52">
            <w:pPr>
              <w:pStyle w:val="TAC"/>
              <w:rPr>
                <w:sz w:val="16"/>
                <w:szCs w:val="16"/>
              </w:rPr>
            </w:pPr>
            <w:r w:rsidRPr="00873B6C">
              <w:rPr>
                <w:sz w:val="16"/>
                <w:szCs w:val="16"/>
              </w:rPr>
              <w:t>18.5.0</w:t>
            </w:r>
          </w:p>
        </w:tc>
      </w:tr>
      <w:tr w:rsidR="00965644" w:rsidRPr="00873B6C" w14:paraId="27795A52" w14:textId="77777777" w:rsidTr="009D14FB">
        <w:tc>
          <w:tcPr>
            <w:tcW w:w="800" w:type="dxa"/>
            <w:shd w:val="solid" w:color="FFFFFF" w:fill="auto"/>
          </w:tcPr>
          <w:p w14:paraId="3863B239" w14:textId="758AB93A"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63B90926" w14:textId="65F0E42C"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4CA0EBD8" w14:textId="06F44B04" w:rsidR="00965644" w:rsidRPr="00873B6C" w:rsidRDefault="00965644" w:rsidP="00591B52">
            <w:pPr>
              <w:pStyle w:val="TAC"/>
              <w:rPr>
                <w:sz w:val="16"/>
                <w:szCs w:val="16"/>
              </w:rPr>
            </w:pPr>
            <w:r w:rsidRPr="00873B6C">
              <w:rPr>
                <w:sz w:val="16"/>
                <w:szCs w:val="16"/>
              </w:rPr>
              <w:t>SP-240110</w:t>
            </w:r>
          </w:p>
        </w:tc>
        <w:tc>
          <w:tcPr>
            <w:tcW w:w="567" w:type="dxa"/>
            <w:shd w:val="solid" w:color="FFFFFF" w:fill="auto"/>
          </w:tcPr>
          <w:p w14:paraId="54848CAB" w14:textId="656E60CC" w:rsidR="00965644" w:rsidRPr="00873B6C" w:rsidRDefault="00965644" w:rsidP="00591B52">
            <w:pPr>
              <w:pStyle w:val="TAL"/>
              <w:rPr>
                <w:sz w:val="16"/>
                <w:szCs w:val="16"/>
              </w:rPr>
            </w:pPr>
            <w:r w:rsidRPr="00873B6C">
              <w:rPr>
                <w:sz w:val="16"/>
                <w:szCs w:val="16"/>
              </w:rPr>
              <w:t>5241</w:t>
            </w:r>
          </w:p>
        </w:tc>
        <w:tc>
          <w:tcPr>
            <w:tcW w:w="425" w:type="dxa"/>
            <w:shd w:val="solid" w:color="FFFFFF" w:fill="auto"/>
          </w:tcPr>
          <w:p w14:paraId="7C1555BB" w14:textId="568452C4" w:rsidR="00965644" w:rsidRPr="00873B6C" w:rsidRDefault="00965644" w:rsidP="00591B52">
            <w:pPr>
              <w:pStyle w:val="TAL"/>
              <w:rPr>
                <w:sz w:val="16"/>
                <w:szCs w:val="16"/>
              </w:rPr>
            </w:pPr>
            <w:r w:rsidRPr="00873B6C">
              <w:rPr>
                <w:sz w:val="16"/>
                <w:szCs w:val="16"/>
              </w:rPr>
              <w:t>1</w:t>
            </w:r>
          </w:p>
        </w:tc>
        <w:tc>
          <w:tcPr>
            <w:tcW w:w="425" w:type="dxa"/>
            <w:shd w:val="solid" w:color="FFFFFF" w:fill="auto"/>
          </w:tcPr>
          <w:p w14:paraId="5986F06D" w14:textId="2D680F2F"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28C26B6D" w14:textId="0C1B39B8" w:rsidR="00965644" w:rsidRPr="00873B6C" w:rsidRDefault="00965644" w:rsidP="00591B52">
            <w:pPr>
              <w:pStyle w:val="TAL"/>
              <w:rPr>
                <w:sz w:val="16"/>
                <w:szCs w:val="16"/>
              </w:rPr>
            </w:pPr>
            <w:r w:rsidRPr="00873B6C">
              <w:rPr>
                <w:sz w:val="16"/>
                <w:szCs w:val="16"/>
              </w:rPr>
              <w:t>Correction on InterfaceConfiguration and InterfaceCapability</w:t>
            </w:r>
          </w:p>
        </w:tc>
        <w:tc>
          <w:tcPr>
            <w:tcW w:w="708" w:type="dxa"/>
            <w:shd w:val="solid" w:color="FFFFFF" w:fill="auto"/>
          </w:tcPr>
          <w:p w14:paraId="45A008AB" w14:textId="0B8211CD" w:rsidR="00965644" w:rsidRPr="00873B6C" w:rsidRDefault="00965644" w:rsidP="00591B52">
            <w:pPr>
              <w:pStyle w:val="TAC"/>
              <w:rPr>
                <w:sz w:val="16"/>
                <w:szCs w:val="16"/>
              </w:rPr>
            </w:pPr>
            <w:r w:rsidRPr="00873B6C">
              <w:rPr>
                <w:sz w:val="16"/>
                <w:szCs w:val="16"/>
              </w:rPr>
              <w:t>18.5.0</w:t>
            </w:r>
          </w:p>
        </w:tc>
      </w:tr>
      <w:tr w:rsidR="00965644" w:rsidRPr="00873B6C" w14:paraId="1D9F52A9" w14:textId="77777777" w:rsidTr="009D14FB">
        <w:tc>
          <w:tcPr>
            <w:tcW w:w="800" w:type="dxa"/>
            <w:shd w:val="solid" w:color="FFFFFF" w:fill="auto"/>
          </w:tcPr>
          <w:p w14:paraId="206069B3" w14:textId="0432EA33"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2DC3BE16" w14:textId="304F60F9"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49602576" w14:textId="3B4AF0CB" w:rsidR="00965644" w:rsidRPr="00873B6C" w:rsidRDefault="00965644" w:rsidP="00591B52">
            <w:pPr>
              <w:pStyle w:val="TAC"/>
              <w:rPr>
                <w:sz w:val="16"/>
                <w:szCs w:val="16"/>
              </w:rPr>
            </w:pPr>
            <w:r w:rsidRPr="00873B6C">
              <w:rPr>
                <w:sz w:val="16"/>
                <w:szCs w:val="16"/>
              </w:rPr>
              <w:t>SP-240101</w:t>
            </w:r>
          </w:p>
        </w:tc>
        <w:tc>
          <w:tcPr>
            <w:tcW w:w="567" w:type="dxa"/>
            <w:shd w:val="solid" w:color="FFFFFF" w:fill="auto"/>
          </w:tcPr>
          <w:p w14:paraId="088A070C" w14:textId="7047FE01" w:rsidR="00965644" w:rsidRPr="00873B6C" w:rsidRDefault="00965644" w:rsidP="00591B52">
            <w:pPr>
              <w:pStyle w:val="TAL"/>
              <w:rPr>
                <w:sz w:val="16"/>
                <w:szCs w:val="16"/>
              </w:rPr>
            </w:pPr>
            <w:r w:rsidRPr="00873B6C">
              <w:rPr>
                <w:sz w:val="16"/>
                <w:szCs w:val="16"/>
              </w:rPr>
              <w:t>5243</w:t>
            </w:r>
          </w:p>
        </w:tc>
        <w:tc>
          <w:tcPr>
            <w:tcW w:w="425" w:type="dxa"/>
            <w:shd w:val="solid" w:color="FFFFFF" w:fill="auto"/>
          </w:tcPr>
          <w:p w14:paraId="323D0F68" w14:textId="14E86C7E" w:rsidR="00965644" w:rsidRPr="00873B6C" w:rsidRDefault="00965644" w:rsidP="00591B52">
            <w:pPr>
              <w:pStyle w:val="TAL"/>
              <w:rPr>
                <w:sz w:val="16"/>
                <w:szCs w:val="16"/>
              </w:rPr>
            </w:pPr>
            <w:r w:rsidRPr="00873B6C">
              <w:rPr>
                <w:sz w:val="16"/>
                <w:szCs w:val="16"/>
              </w:rPr>
              <w:t>5</w:t>
            </w:r>
          </w:p>
        </w:tc>
        <w:tc>
          <w:tcPr>
            <w:tcW w:w="425" w:type="dxa"/>
            <w:shd w:val="solid" w:color="FFFFFF" w:fill="auto"/>
          </w:tcPr>
          <w:p w14:paraId="6B84DD86" w14:textId="3396E8A1"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6333483A" w14:textId="3F672D93" w:rsidR="00965644" w:rsidRPr="00873B6C" w:rsidRDefault="00965644" w:rsidP="00591B52">
            <w:pPr>
              <w:pStyle w:val="TAL"/>
              <w:rPr>
                <w:sz w:val="16"/>
                <w:szCs w:val="16"/>
              </w:rPr>
            </w:pPr>
            <w:r w:rsidRPr="00873B6C">
              <w:rPr>
                <w:sz w:val="16"/>
                <w:szCs w:val="16"/>
              </w:rPr>
              <w:t>Clarification on subscription retrieval during slice replacement</w:t>
            </w:r>
          </w:p>
        </w:tc>
        <w:tc>
          <w:tcPr>
            <w:tcW w:w="708" w:type="dxa"/>
            <w:shd w:val="solid" w:color="FFFFFF" w:fill="auto"/>
          </w:tcPr>
          <w:p w14:paraId="4166BE4C" w14:textId="744C2602" w:rsidR="00965644" w:rsidRPr="00873B6C" w:rsidRDefault="00965644" w:rsidP="00591B52">
            <w:pPr>
              <w:pStyle w:val="TAC"/>
              <w:rPr>
                <w:sz w:val="16"/>
                <w:szCs w:val="16"/>
              </w:rPr>
            </w:pPr>
            <w:r w:rsidRPr="00873B6C">
              <w:rPr>
                <w:sz w:val="16"/>
                <w:szCs w:val="16"/>
              </w:rPr>
              <w:t>18.5.0</w:t>
            </w:r>
          </w:p>
        </w:tc>
      </w:tr>
      <w:tr w:rsidR="00965644" w:rsidRPr="00873B6C" w14:paraId="0D0761AF" w14:textId="77777777" w:rsidTr="009D14FB">
        <w:tc>
          <w:tcPr>
            <w:tcW w:w="800" w:type="dxa"/>
            <w:shd w:val="solid" w:color="FFFFFF" w:fill="auto"/>
          </w:tcPr>
          <w:p w14:paraId="2DD8EC49" w14:textId="6F3B3B95"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75ED71FA" w14:textId="4E69A822"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313A6C46" w14:textId="47FF4086" w:rsidR="00965644" w:rsidRPr="00873B6C" w:rsidRDefault="00965644" w:rsidP="00591B52">
            <w:pPr>
              <w:pStyle w:val="TAC"/>
              <w:rPr>
                <w:sz w:val="16"/>
                <w:szCs w:val="16"/>
              </w:rPr>
            </w:pPr>
            <w:r w:rsidRPr="00873B6C">
              <w:rPr>
                <w:sz w:val="16"/>
                <w:szCs w:val="16"/>
              </w:rPr>
              <w:t>SP-240113</w:t>
            </w:r>
          </w:p>
        </w:tc>
        <w:tc>
          <w:tcPr>
            <w:tcW w:w="567" w:type="dxa"/>
            <w:shd w:val="solid" w:color="FFFFFF" w:fill="auto"/>
          </w:tcPr>
          <w:p w14:paraId="29587500" w14:textId="4663F47F" w:rsidR="00965644" w:rsidRPr="00873B6C" w:rsidRDefault="00965644" w:rsidP="00591B52">
            <w:pPr>
              <w:pStyle w:val="TAL"/>
              <w:rPr>
                <w:sz w:val="16"/>
                <w:szCs w:val="16"/>
              </w:rPr>
            </w:pPr>
            <w:r w:rsidRPr="00873B6C">
              <w:rPr>
                <w:sz w:val="16"/>
                <w:szCs w:val="16"/>
              </w:rPr>
              <w:t>5245</w:t>
            </w:r>
          </w:p>
        </w:tc>
        <w:tc>
          <w:tcPr>
            <w:tcW w:w="425" w:type="dxa"/>
            <w:shd w:val="solid" w:color="FFFFFF" w:fill="auto"/>
          </w:tcPr>
          <w:p w14:paraId="418D43FC" w14:textId="03A7854E" w:rsidR="00965644" w:rsidRPr="00873B6C" w:rsidRDefault="00965644" w:rsidP="00591B52">
            <w:pPr>
              <w:pStyle w:val="TAL"/>
              <w:rPr>
                <w:sz w:val="16"/>
                <w:szCs w:val="16"/>
              </w:rPr>
            </w:pPr>
            <w:r w:rsidRPr="00873B6C">
              <w:rPr>
                <w:sz w:val="16"/>
                <w:szCs w:val="16"/>
              </w:rPr>
              <w:t>3</w:t>
            </w:r>
          </w:p>
        </w:tc>
        <w:tc>
          <w:tcPr>
            <w:tcW w:w="425" w:type="dxa"/>
            <w:shd w:val="solid" w:color="FFFFFF" w:fill="auto"/>
          </w:tcPr>
          <w:p w14:paraId="63760338" w14:textId="4CB1BAA8"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41667208" w14:textId="59529725" w:rsidR="00965644" w:rsidRPr="00873B6C" w:rsidRDefault="00965644" w:rsidP="00591B52">
            <w:pPr>
              <w:pStyle w:val="TAL"/>
              <w:rPr>
                <w:sz w:val="16"/>
                <w:szCs w:val="16"/>
              </w:rPr>
            </w:pPr>
            <w:r w:rsidRPr="00873B6C">
              <w:rPr>
                <w:sz w:val="16"/>
                <w:szCs w:val="16"/>
              </w:rPr>
              <w:t>Corrections of XRM related clauses</w:t>
            </w:r>
          </w:p>
        </w:tc>
        <w:tc>
          <w:tcPr>
            <w:tcW w:w="708" w:type="dxa"/>
            <w:shd w:val="solid" w:color="FFFFFF" w:fill="auto"/>
          </w:tcPr>
          <w:p w14:paraId="12316BF5" w14:textId="507D57A8" w:rsidR="00965644" w:rsidRPr="00873B6C" w:rsidRDefault="00965644" w:rsidP="00591B52">
            <w:pPr>
              <w:pStyle w:val="TAC"/>
              <w:rPr>
                <w:sz w:val="16"/>
                <w:szCs w:val="16"/>
              </w:rPr>
            </w:pPr>
            <w:r w:rsidRPr="00873B6C">
              <w:rPr>
                <w:sz w:val="16"/>
                <w:szCs w:val="16"/>
              </w:rPr>
              <w:t>18.5.0</w:t>
            </w:r>
          </w:p>
        </w:tc>
      </w:tr>
      <w:tr w:rsidR="00F13E92" w:rsidRPr="00873B6C" w14:paraId="2CEEB181" w14:textId="77777777" w:rsidTr="009D14FB">
        <w:tc>
          <w:tcPr>
            <w:tcW w:w="800" w:type="dxa"/>
            <w:shd w:val="solid" w:color="FFFFFF" w:fill="auto"/>
          </w:tcPr>
          <w:p w14:paraId="7D14427C" w14:textId="5C1C7688"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0D479180" w14:textId="4AFC22FC"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0DA5981F" w14:textId="484D26AB" w:rsidR="00F13E92" w:rsidRPr="00873B6C" w:rsidRDefault="00F13E92" w:rsidP="00591B52">
            <w:pPr>
              <w:pStyle w:val="TAC"/>
              <w:rPr>
                <w:sz w:val="16"/>
                <w:szCs w:val="16"/>
              </w:rPr>
            </w:pPr>
            <w:r w:rsidRPr="00873B6C">
              <w:rPr>
                <w:sz w:val="16"/>
                <w:szCs w:val="16"/>
              </w:rPr>
              <w:t>SP-240110</w:t>
            </w:r>
          </w:p>
        </w:tc>
        <w:tc>
          <w:tcPr>
            <w:tcW w:w="567" w:type="dxa"/>
            <w:shd w:val="solid" w:color="FFFFFF" w:fill="auto"/>
          </w:tcPr>
          <w:p w14:paraId="24C98EB7" w14:textId="45D706BF" w:rsidR="00F13E92" w:rsidRPr="00873B6C" w:rsidRDefault="00F13E92" w:rsidP="00591B52">
            <w:pPr>
              <w:pStyle w:val="TAL"/>
              <w:rPr>
                <w:sz w:val="16"/>
                <w:szCs w:val="16"/>
              </w:rPr>
            </w:pPr>
            <w:r w:rsidRPr="00873B6C">
              <w:rPr>
                <w:sz w:val="16"/>
                <w:szCs w:val="16"/>
              </w:rPr>
              <w:t>5246</w:t>
            </w:r>
          </w:p>
        </w:tc>
        <w:tc>
          <w:tcPr>
            <w:tcW w:w="425" w:type="dxa"/>
            <w:shd w:val="solid" w:color="FFFFFF" w:fill="auto"/>
          </w:tcPr>
          <w:p w14:paraId="6374D7D2" w14:textId="652AA81F" w:rsidR="00F13E92" w:rsidRPr="00873B6C" w:rsidRDefault="00F13E92" w:rsidP="00591B52">
            <w:pPr>
              <w:pStyle w:val="TAL"/>
              <w:rPr>
                <w:sz w:val="16"/>
                <w:szCs w:val="16"/>
              </w:rPr>
            </w:pPr>
            <w:r w:rsidRPr="00873B6C">
              <w:rPr>
                <w:sz w:val="16"/>
                <w:szCs w:val="16"/>
              </w:rPr>
              <w:t>5</w:t>
            </w:r>
          </w:p>
        </w:tc>
        <w:tc>
          <w:tcPr>
            <w:tcW w:w="425" w:type="dxa"/>
            <w:shd w:val="solid" w:color="FFFFFF" w:fill="auto"/>
          </w:tcPr>
          <w:p w14:paraId="14888F39" w14:textId="3080AC31"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55EB41D1" w14:textId="535AA21A" w:rsidR="00F13E92" w:rsidRPr="00873B6C" w:rsidRDefault="00F13E92" w:rsidP="00591B52">
            <w:pPr>
              <w:pStyle w:val="TAL"/>
              <w:rPr>
                <w:sz w:val="16"/>
                <w:szCs w:val="16"/>
              </w:rPr>
            </w:pPr>
            <w:r w:rsidRPr="00873B6C">
              <w:rPr>
                <w:sz w:val="16"/>
                <w:szCs w:val="16"/>
              </w:rPr>
              <w:t>TSCTSF subscribing to RAN TSS based on list of TAs, correction to ASTI without AF request</w:t>
            </w:r>
          </w:p>
        </w:tc>
        <w:tc>
          <w:tcPr>
            <w:tcW w:w="708" w:type="dxa"/>
            <w:shd w:val="solid" w:color="FFFFFF" w:fill="auto"/>
          </w:tcPr>
          <w:p w14:paraId="3D48CD09" w14:textId="5709922A" w:rsidR="00F13E92" w:rsidRPr="00873B6C" w:rsidRDefault="00F13E92" w:rsidP="00591B52">
            <w:pPr>
              <w:pStyle w:val="TAC"/>
              <w:rPr>
                <w:sz w:val="16"/>
                <w:szCs w:val="16"/>
              </w:rPr>
            </w:pPr>
            <w:r w:rsidRPr="00873B6C">
              <w:rPr>
                <w:sz w:val="16"/>
                <w:szCs w:val="16"/>
              </w:rPr>
              <w:t>18.5.0</w:t>
            </w:r>
          </w:p>
        </w:tc>
      </w:tr>
      <w:tr w:rsidR="00F13E92" w:rsidRPr="00873B6C" w14:paraId="43995476" w14:textId="77777777" w:rsidTr="009D14FB">
        <w:tc>
          <w:tcPr>
            <w:tcW w:w="800" w:type="dxa"/>
            <w:shd w:val="solid" w:color="FFFFFF" w:fill="auto"/>
          </w:tcPr>
          <w:p w14:paraId="416DA381" w14:textId="6C4A022D"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26265C90" w14:textId="6E426FA2"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28B9CBD8" w14:textId="3FD907C0" w:rsidR="00F13E92" w:rsidRPr="00873B6C" w:rsidRDefault="00F13E92" w:rsidP="00591B52">
            <w:pPr>
              <w:pStyle w:val="TAC"/>
              <w:rPr>
                <w:sz w:val="16"/>
                <w:szCs w:val="16"/>
              </w:rPr>
            </w:pPr>
            <w:r w:rsidRPr="00873B6C">
              <w:rPr>
                <w:sz w:val="16"/>
                <w:szCs w:val="16"/>
              </w:rPr>
              <w:t>SP-240110</w:t>
            </w:r>
          </w:p>
        </w:tc>
        <w:tc>
          <w:tcPr>
            <w:tcW w:w="567" w:type="dxa"/>
            <w:shd w:val="solid" w:color="FFFFFF" w:fill="auto"/>
          </w:tcPr>
          <w:p w14:paraId="7ACDD48A" w14:textId="05C17A4A" w:rsidR="00F13E92" w:rsidRPr="00873B6C" w:rsidRDefault="00F13E92" w:rsidP="00591B52">
            <w:pPr>
              <w:pStyle w:val="TAL"/>
              <w:rPr>
                <w:sz w:val="16"/>
                <w:szCs w:val="16"/>
              </w:rPr>
            </w:pPr>
            <w:r w:rsidRPr="00873B6C">
              <w:rPr>
                <w:sz w:val="16"/>
                <w:szCs w:val="16"/>
              </w:rPr>
              <w:t>5248</w:t>
            </w:r>
          </w:p>
        </w:tc>
        <w:tc>
          <w:tcPr>
            <w:tcW w:w="425" w:type="dxa"/>
            <w:shd w:val="solid" w:color="FFFFFF" w:fill="auto"/>
          </w:tcPr>
          <w:p w14:paraId="455F9F61" w14:textId="6A7D13AA"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00721FCA" w14:textId="5B685618"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353A29CD" w14:textId="4CBBC1CA" w:rsidR="00F13E92" w:rsidRPr="00873B6C" w:rsidRDefault="00F13E92" w:rsidP="00591B52">
            <w:pPr>
              <w:pStyle w:val="TAL"/>
              <w:rPr>
                <w:sz w:val="16"/>
                <w:szCs w:val="16"/>
              </w:rPr>
            </w:pPr>
            <w:r w:rsidRPr="00873B6C">
              <w:rPr>
                <w:sz w:val="16"/>
                <w:szCs w:val="16"/>
              </w:rPr>
              <w:t>Updating TSCAI and TSCAC to Traffic Assistance Information</w:t>
            </w:r>
          </w:p>
        </w:tc>
        <w:tc>
          <w:tcPr>
            <w:tcW w:w="708" w:type="dxa"/>
            <w:shd w:val="solid" w:color="FFFFFF" w:fill="auto"/>
          </w:tcPr>
          <w:p w14:paraId="136277C4" w14:textId="5A0651E0" w:rsidR="00F13E92" w:rsidRPr="00873B6C" w:rsidRDefault="00F13E92" w:rsidP="00591B52">
            <w:pPr>
              <w:pStyle w:val="TAC"/>
              <w:rPr>
                <w:sz w:val="16"/>
                <w:szCs w:val="16"/>
              </w:rPr>
            </w:pPr>
            <w:r w:rsidRPr="00873B6C">
              <w:rPr>
                <w:sz w:val="16"/>
                <w:szCs w:val="16"/>
              </w:rPr>
              <w:t>18.5.0</w:t>
            </w:r>
          </w:p>
        </w:tc>
      </w:tr>
      <w:tr w:rsidR="00F13E92" w:rsidRPr="00873B6C" w14:paraId="7323F6C7" w14:textId="77777777" w:rsidTr="009D14FB">
        <w:tc>
          <w:tcPr>
            <w:tcW w:w="800" w:type="dxa"/>
            <w:shd w:val="solid" w:color="FFFFFF" w:fill="auto"/>
          </w:tcPr>
          <w:p w14:paraId="5A19D9EC" w14:textId="45BF30B8"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2CCA2693" w14:textId="52BCE992"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6236A832" w14:textId="1AA74305" w:rsidR="00F13E92" w:rsidRPr="00873B6C" w:rsidRDefault="00F13E92" w:rsidP="00591B52">
            <w:pPr>
              <w:pStyle w:val="TAC"/>
              <w:rPr>
                <w:sz w:val="16"/>
                <w:szCs w:val="16"/>
              </w:rPr>
            </w:pPr>
            <w:r w:rsidRPr="00873B6C">
              <w:rPr>
                <w:sz w:val="16"/>
                <w:szCs w:val="16"/>
              </w:rPr>
              <w:t>SP-240112</w:t>
            </w:r>
          </w:p>
        </w:tc>
        <w:tc>
          <w:tcPr>
            <w:tcW w:w="567" w:type="dxa"/>
            <w:shd w:val="solid" w:color="FFFFFF" w:fill="auto"/>
          </w:tcPr>
          <w:p w14:paraId="65DF7B5A" w14:textId="34596101" w:rsidR="00F13E92" w:rsidRPr="00873B6C" w:rsidRDefault="00F13E92" w:rsidP="00591B52">
            <w:pPr>
              <w:pStyle w:val="TAL"/>
              <w:rPr>
                <w:sz w:val="16"/>
                <w:szCs w:val="16"/>
              </w:rPr>
            </w:pPr>
            <w:r w:rsidRPr="00873B6C">
              <w:rPr>
                <w:sz w:val="16"/>
                <w:szCs w:val="16"/>
              </w:rPr>
              <w:t>5250</w:t>
            </w:r>
          </w:p>
        </w:tc>
        <w:tc>
          <w:tcPr>
            <w:tcW w:w="425" w:type="dxa"/>
            <w:shd w:val="solid" w:color="FFFFFF" w:fill="auto"/>
          </w:tcPr>
          <w:p w14:paraId="498C08D5" w14:textId="63EB2A78"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1C3BA4C1" w14:textId="4FC925E5"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372C3DA1" w14:textId="72BF9609" w:rsidR="00F13E92" w:rsidRPr="00873B6C" w:rsidRDefault="00F13E92" w:rsidP="00591B52">
            <w:pPr>
              <w:pStyle w:val="TAL"/>
              <w:rPr>
                <w:sz w:val="16"/>
                <w:szCs w:val="16"/>
              </w:rPr>
            </w:pPr>
            <w:r w:rsidRPr="00873B6C">
              <w:rPr>
                <w:sz w:val="16"/>
                <w:szCs w:val="16"/>
              </w:rPr>
              <w:t>Corrections on mobile IAB-DU's TAC provisioning</w:t>
            </w:r>
          </w:p>
        </w:tc>
        <w:tc>
          <w:tcPr>
            <w:tcW w:w="708" w:type="dxa"/>
            <w:shd w:val="solid" w:color="FFFFFF" w:fill="auto"/>
          </w:tcPr>
          <w:p w14:paraId="37452833" w14:textId="3AEBBAED" w:rsidR="00F13E92" w:rsidRPr="00873B6C" w:rsidRDefault="00F13E92" w:rsidP="00591B52">
            <w:pPr>
              <w:pStyle w:val="TAC"/>
              <w:rPr>
                <w:sz w:val="16"/>
                <w:szCs w:val="16"/>
              </w:rPr>
            </w:pPr>
            <w:r w:rsidRPr="00873B6C">
              <w:rPr>
                <w:sz w:val="16"/>
                <w:szCs w:val="16"/>
              </w:rPr>
              <w:t>18.5.0</w:t>
            </w:r>
          </w:p>
        </w:tc>
      </w:tr>
      <w:tr w:rsidR="00F13E92" w:rsidRPr="00873B6C" w14:paraId="3EB8CDF1" w14:textId="77777777" w:rsidTr="009D14FB">
        <w:tc>
          <w:tcPr>
            <w:tcW w:w="800" w:type="dxa"/>
            <w:shd w:val="solid" w:color="FFFFFF" w:fill="auto"/>
          </w:tcPr>
          <w:p w14:paraId="78E6B871" w14:textId="52C16C6B"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463ED185" w14:textId="616924DA"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72F8A891" w14:textId="2270A457" w:rsidR="00F13E92" w:rsidRPr="00873B6C" w:rsidRDefault="00F13E92" w:rsidP="00591B52">
            <w:pPr>
              <w:pStyle w:val="TAC"/>
              <w:rPr>
                <w:sz w:val="16"/>
                <w:szCs w:val="16"/>
              </w:rPr>
            </w:pPr>
            <w:r w:rsidRPr="00873B6C">
              <w:rPr>
                <w:sz w:val="16"/>
                <w:szCs w:val="16"/>
              </w:rPr>
              <w:t>SP-240100</w:t>
            </w:r>
          </w:p>
        </w:tc>
        <w:tc>
          <w:tcPr>
            <w:tcW w:w="567" w:type="dxa"/>
            <w:shd w:val="solid" w:color="FFFFFF" w:fill="auto"/>
          </w:tcPr>
          <w:p w14:paraId="4867A6EE" w14:textId="19B7B330" w:rsidR="00F13E92" w:rsidRPr="00873B6C" w:rsidRDefault="00F13E92" w:rsidP="00591B52">
            <w:pPr>
              <w:pStyle w:val="TAL"/>
              <w:rPr>
                <w:sz w:val="16"/>
                <w:szCs w:val="16"/>
              </w:rPr>
            </w:pPr>
            <w:r w:rsidRPr="00873B6C">
              <w:rPr>
                <w:sz w:val="16"/>
                <w:szCs w:val="16"/>
              </w:rPr>
              <w:t>5252</w:t>
            </w:r>
          </w:p>
        </w:tc>
        <w:tc>
          <w:tcPr>
            <w:tcW w:w="425" w:type="dxa"/>
            <w:shd w:val="solid" w:color="FFFFFF" w:fill="auto"/>
          </w:tcPr>
          <w:p w14:paraId="4B7BD3CC" w14:textId="3761F2CF"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6879230E" w14:textId="43ACB5C8"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0A42CA26" w14:textId="53C6978A" w:rsidR="00F13E92" w:rsidRPr="00873B6C" w:rsidRDefault="00F13E92" w:rsidP="00591B52">
            <w:pPr>
              <w:pStyle w:val="TAL"/>
              <w:rPr>
                <w:sz w:val="16"/>
                <w:szCs w:val="16"/>
              </w:rPr>
            </w:pPr>
            <w:r w:rsidRPr="00873B6C">
              <w:rPr>
                <w:sz w:val="16"/>
                <w:szCs w:val="16"/>
              </w:rPr>
              <w:t>Clarification/Alignment on usage of Decorated NAI for 5G-NSWO in case of SNPNs.</w:t>
            </w:r>
          </w:p>
        </w:tc>
        <w:tc>
          <w:tcPr>
            <w:tcW w:w="708" w:type="dxa"/>
            <w:shd w:val="solid" w:color="FFFFFF" w:fill="auto"/>
          </w:tcPr>
          <w:p w14:paraId="3F51C329" w14:textId="04B079D4" w:rsidR="00F13E92" w:rsidRPr="00873B6C" w:rsidRDefault="00F13E92" w:rsidP="00591B52">
            <w:pPr>
              <w:pStyle w:val="TAC"/>
              <w:rPr>
                <w:sz w:val="16"/>
                <w:szCs w:val="16"/>
              </w:rPr>
            </w:pPr>
            <w:r w:rsidRPr="00873B6C">
              <w:rPr>
                <w:sz w:val="16"/>
                <w:szCs w:val="16"/>
              </w:rPr>
              <w:t>18.5.0</w:t>
            </w:r>
          </w:p>
        </w:tc>
      </w:tr>
      <w:tr w:rsidR="00F13E92" w:rsidRPr="00873B6C" w14:paraId="709A9FBF" w14:textId="77777777" w:rsidTr="009D14FB">
        <w:tc>
          <w:tcPr>
            <w:tcW w:w="800" w:type="dxa"/>
            <w:shd w:val="solid" w:color="FFFFFF" w:fill="auto"/>
          </w:tcPr>
          <w:p w14:paraId="2EC01109" w14:textId="76EF6522"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195A5BEA" w14:textId="5907C834"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3A84EB16" w14:textId="7CFF0817" w:rsidR="00F13E92" w:rsidRPr="00873B6C" w:rsidRDefault="00F13E92" w:rsidP="00591B52">
            <w:pPr>
              <w:pStyle w:val="TAC"/>
              <w:rPr>
                <w:sz w:val="16"/>
                <w:szCs w:val="16"/>
              </w:rPr>
            </w:pPr>
            <w:r w:rsidRPr="00873B6C">
              <w:rPr>
                <w:sz w:val="16"/>
                <w:szCs w:val="16"/>
              </w:rPr>
              <w:t>SP-240100</w:t>
            </w:r>
          </w:p>
        </w:tc>
        <w:tc>
          <w:tcPr>
            <w:tcW w:w="567" w:type="dxa"/>
            <w:shd w:val="solid" w:color="FFFFFF" w:fill="auto"/>
          </w:tcPr>
          <w:p w14:paraId="183B84FC" w14:textId="1A9860AA" w:rsidR="00F13E92" w:rsidRPr="00873B6C" w:rsidRDefault="00F13E92" w:rsidP="00591B52">
            <w:pPr>
              <w:pStyle w:val="TAL"/>
              <w:rPr>
                <w:sz w:val="16"/>
                <w:szCs w:val="16"/>
              </w:rPr>
            </w:pPr>
            <w:r w:rsidRPr="00873B6C">
              <w:rPr>
                <w:sz w:val="16"/>
                <w:szCs w:val="16"/>
              </w:rPr>
              <w:t>5253</w:t>
            </w:r>
          </w:p>
        </w:tc>
        <w:tc>
          <w:tcPr>
            <w:tcW w:w="425" w:type="dxa"/>
            <w:shd w:val="solid" w:color="FFFFFF" w:fill="auto"/>
          </w:tcPr>
          <w:p w14:paraId="3E6970CB" w14:textId="62C11134" w:rsidR="00F13E92" w:rsidRPr="00873B6C" w:rsidRDefault="00F13E92" w:rsidP="00591B52">
            <w:pPr>
              <w:pStyle w:val="TAL"/>
              <w:rPr>
                <w:sz w:val="16"/>
                <w:szCs w:val="16"/>
              </w:rPr>
            </w:pPr>
            <w:r w:rsidRPr="00873B6C">
              <w:rPr>
                <w:sz w:val="16"/>
                <w:szCs w:val="16"/>
              </w:rPr>
              <w:t>-</w:t>
            </w:r>
          </w:p>
        </w:tc>
        <w:tc>
          <w:tcPr>
            <w:tcW w:w="425" w:type="dxa"/>
            <w:shd w:val="solid" w:color="FFFFFF" w:fill="auto"/>
          </w:tcPr>
          <w:p w14:paraId="6E18ECE4" w14:textId="23BDE19E"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4D44DC2A" w14:textId="46852930" w:rsidR="00F13E92" w:rsidRPr="00873B6C" w:rsidRDefault="00F13E92" w:rsidP="00591B52">
            <w:pPr>
              <w:pStyle w:val="TAL"/>
              <w:rPr>
                <w:sz w:val="16"/>
                <w:szCs w:val="16"/>
              </w:rPr>
            </w:pPr>
            <w:r w:rsidRPr="00873B6C">
              <w:rPr>
                <w:sz w:val="16"/>
                <w:szCs w:val="16"/>
              </w:rPr>
              <w:t>Correction on NSSAAF Selection in case of SNPN</w:t>
            </w:r>
          </w:p>
        </w:tc>
        <w:tc>
          <w:tcPr>
            <w:tcW w:w="708" w:type="dxa"/>
            <w:shd w:val="solid" w:color="FFFFFF" w:fill="auto"/>
          </w:tcPr>
          <w:p w14:paraId="65BF227A" w14:textId="7D89F884" w:rsidR="00F13E92" w:rsidRPr="00873B6C" w:rsidRDefault="00F13E92" w:rsidP="00591B52">
            <w:pPr>
              <w:pStyle w:val="TAC"/>
              <w:rPr>
                <w:sz w:val="16"/>
                <w:szCs w:val="16"/>
              </w:rPr>
            </w:pPr>
            <w:r w:rsidRPr="00873B6C">
              <w:rPr>
                <w:sz w:val="16"/>
                <w:szCs w:val="16"/>
              </w:rPr>
              <w:t>18.5.0</w:t>
            </w:r>
          </w:p>
        </w:tc>
      </w:tr>
      <w:tr w:rsidR="00F13E92" w:rsidRPr="00873B6C" w14:paraId="62B25954" w14:textId="77777777" w:rsidTr="009D14FB">
        <w:tc>
          <w:tcPr>
            <w:tcW w:w="800" w:type="dxa"/>
            <w:shd w:val="solid" w:color="FFFFFF" w:fill="auto"/>
          </w:tcPr>
          <w:p w14:paraId="2ECE0527" w14:textId="6F19C98C"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30A86509" w14:textId="4B55FE7D"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4738E921" w14:textId="40FF90C3" w:rsidR="00F13E92" w:rsidRPr="00873B6C" w:rsidRDefault="00F13E92" w:rsidP="00591B52">
            <w:pPr>
              <w:pStyle w:val="TAC"/>
              <w:rPr>
                <w:sz w:val="16"/>
                <w:szCs w:val="16"/>
              </w:rPr>
            </w:pPr>
            <w:r w:rsidRPr="00873B6C">
              <w:rPr>
                <w:sz w:val="16"/>
                <w:szCs w:val="16"/>
              </w:rPr>
              <w:t>SP-240096</w:t>
            </w:r>
          </w:p>
        </w:tc>
        <w:tc>
          <w:tcPr>
            <w:tcW w:w="567" w:type="dxa"/>
            <w:shd w:val="solid" w:color="FFFFFF" w:fill="auto"/>
          </w:tcPr>
          <w:p w14:paraId="6D546F2D" w14:textId="3D10DA5A" w:rsidR="00F13E92" w:rsidRPr="00873B6C" w:rsidRDefault="00F13E92" w:rsidP="00591B52">
            <w:pPr>
              <w:pStyle w:val="TAL"/>
              <w:rPr>
                <w:sz w:val="16"/>
                <w:szCs w:val="16"/>
              </w:rPr>
            </w:pPr>
            <w:r w:rsidRPr="00873B6C">
              <w:rPr>
                <w:sz w:val="16"/>
                <w:szCs w:val="16"/>
              </w:rPr>
              <w:t>5261</w:t>
            </w:r>
          </w:p>
        </w:tc>
        <w:tc>
          <w:tcPr>
            <w:tcW w:w="425" w:type="dxa"/>
            <w:shd w:val="solid" w:color="FFFFFF" w:fill="auto"/>
          </w:tcPr>
          <w:p w14:paraId="5B3A0988" w14:textId="4A957979"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5C8C8DBB" w14:textId="6361FB6F"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17262B48" w14:textId="40F7C16B" w:rsidR="00F13E92" w:rsidRPr="00873B6C" w:rsidRDefault="00F13E92" w:rsidP="00591B52">
            <w:pPr>
              <w:pStyle w:val="TAL"/>
              <w:rPr>
                <w:sz w:val="16"/>
                <w:szCs w:val="16"/>
              </w:rPr>
            </w:pPr>
            <w:r w:rsidRPr="00873B6C">
              <w:rPr>
                <w:sz w:val="16"/>
                <w:szCs w:val="16"/>
              </w:rPr>
              <w:t>Clarifications on interworking with EPS</w:t>
            </w:r>
          </w:p>
        </w:tc>
        <w:tc>
          <w:tcPr>
            <w:tcW w:w="708" w:type="dxa"/>
            <w:shd w:val="solid" w:color="FFFFFF" w:fill="auto"/>
          </w:tcPr>
          <w:p w14:paraId="2E5735A9" w14:textId="7BC3F584" w:rsidR="00F13E92" w:rsidRPr="00873B6C" w:rsidRDefault="00F13E92" w:rsidP="00591B52">
            <w:pPr>
              <w:pStyle w:val="TAC"/>
              <w:rPr>
                <w:sz w:val="16"/>
                <w:szCs w:val="16"/>
              </w:rPr>
            </w:pPr>
            <w:r w:rsidRPr="00873B6C">
              <w:rPr>
                <w:sz w:val="16"/>
                <w:szCs w:val="16"/>
              </w:rPr>
              <w:t>18.5.0</w:t>
            </w:r>
          </w:p>
        </w:tc>
      </w:tr>
      <w:tr w:rsidR="00F13E92" w:rsidRPr="00873B6C" w14:paraId="21A26D74" w14:textId="77777777" w:rsidTr="009D14FB">
        <w:tc>
          <w:tcPr>
            <w:tcW w:w="800" w:type="dxa"/>
            <w:shd w:val="solid" w:color="FFFFFF" w:fill="auto"/>
          </w:tcPr>
          <w:p w14:paraId="4A7CF9E5" w14:textId="6F4DB2CF"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378BA86C" w14:textId="12D1ADD5"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03C91619" w14:textId="2CFD04C7" w:rsidR="00F13E92" w:rsidRPr="00873B6C" w:rsidRDefault="00F13E92" w:rsidP="00591B52">
            <w:pPr>
              <w:pStyle w:val="TAC"/>
              <w:rPr>
                <w:sz w:val="16"/>
                <w:szCs w:val="16"/>
              </w:rPr>
            </w:pPr>
            <w:r w:rsidRPr="00873B6C">
              <w:rPr>
                <w:sz w:val="16"/>
                <w:szCs w:val="16"/>
              </w:rPr>
              <w:t>SP-240100</w:t>
            </w:r>
          </w:p>
        </w:tc>
        <w:tc>
          <w:tcPr>
            <w:tcW w:w="567" w:type="dxa"/>
            <w:shd w:val="solid" w:color="FFFFFF" w:fill="auto"/>
          </w:tcPr>
          <w:p w14:paraId="54616EE9" w14:textId="110676F5" w:rsidR="00F13E92" w:rsidRPr="00873B6C" w:rsidRDefault="00F13E92" w:rsidP="00591B52">
            <w:pPr>
              <w:pStyle w:val="TAL"/>
              <w:rPr>
                <w:sz w:val="16"/>
                <w:szCs w:val="16"/>
              </w:rPr>
            </w:pPr>
            <w:r w:rsidRPr="00873B6C">
              <w:rPr>
                <w:sz w:val="16"/>
                <w:szCs w:val="16"/>
              </w:rPr>
              <w:t>5262</w:t>
            </w:r>
          </w:p>
        </w:tc>
        <w:tc>
          <w:tcPr>
            <w:tcW w:w="425" w:type="dxa"/>
            <w:shd w:val="solid" w:color="FFFFFF" w:fill="auto"/>
          </w:tcPr>
          <w:p w14:paraId="38E8B278" w14:textId="400E5FC8"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5213668E" w14:textId="027D6024"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4D5241EF" w14:textId="1EDDE872" w:rsidR="00F13E92" w:rsidRPr="00873B6C" w:rsidRDefault="00F13E92" w:rsidP="00591B52">
            <w:pPr>
              <w:pStyle w:val="TAL"/>
              <w:rPr>
                <w:sz w:val="16"/>
                <w:szCs w:val="16"/>
              </w:rPr>
            </w:pPr>
            <w:r w:rsidRPr="00873B6C">
              <w:rPr>
                <w:sz w:val="16"/>
                <w:szCs w:val="16"/>
              </w:rPr>
              <w:t>Clarifications on network re-selection for SNPN for accessing Localized Services</w:t>
            </w:r>
          </w:p>
        </w:tc>
        <w:tc>
          <w:tcPr>
            <w:tcW w:w="708" w:type="dxa"/>
            <w:shd w:val="solid" w:color="FFFFFF" w:fill="auto"/>
          </w:tcPr>
          <w:p w14:paraId="67B83A53" w14:textId="422B2D11" w:rsidR="00F13E92" w:rsidRPr="00873B6C" w:rsidRDefault="00F13E92" w:rsidP="00591B52">
            <w:pPr>
              <w:pStyle w:val="TAC"/>
              <w:rPr>
                <w:sz w:val="16"/>
                <w:szCs w:val="16"/>
              </w:rPr>
            </w:pPr>
            <w:r w:rsidRPr="00873B6C">
              <w:rPr>
                <w:sz w:val="16"/>
                <w:szCs w:val="16"/>
              </w:rPr>
              <w:t>18.5.0</w:t>
            </w:r>
          </w:p>
        </w:tc>
      </w:tr>
      <w:tr w:rsidR="00F13E92" w:rsidRPr="00873B6C" w14:paraId="043FF3B9" w14:textId="77777777" w:rsidTr="009D14FB">
        <w:tc>
          <w:tcPr>
            <w:tcW w:w="800" w:type="dxa"/>
            <w:shd w:val="solid" w:color="FFFFFF" w:fill="auto"/>
          </w:tcPr>
          <w:p w14:paraId="0C2FAC0D" w14:textId="2475A560"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1BE8347C" w14:textId="50560AF2"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363230A5" w14:textId="79DD0E4A" w:rsidR="00F13E92" w:rsidRPr="00873B6C" w:rsidRDefault="00F13E92" w:rsidP="00591B52">
            <w:pPr>
              <w:pStyle w:val="TAC"/>
              <w:rPr>
                <w:sz w:val="16"/>
                <w:szCs w:val="16"/>
              </w:rPr>
            </w:pPr>
            <w:r w:rsidRPr="00873B6C">
              <w:rPr>
                <w:sz w:val="16"/>
                <w:szCs w:val="16"/>
              </w:rPr>
              <w:t>SP-240100</w:t>
            </w:r>
          </w:p>
        </w:tc>
        <w:tc>
          <w:tcPr>
            <w:tcW w:w="567" w:type="dxa"/>
            <w:shd w:val="solid" w:color="FFFFFF" w:fill="auto"/>
          </w:tcPr>
          <w:p w14:paraId="3E80FB3D" w14:textId="0FEED32A" w:rsidR="00F13E92" w:rsidRPr="00873B6C" w:rsidRDefault="00F13E92" w:rsidP="00591B52">
            <w:pPr>
              <w:pStyle w:val="TAL"/>
              <w:rPr>
                <w:sz w:val="16"/>
                <w:szCs w:val="16"/>
              </w:rPr>
            </w:pPr>
            <w:r w:rsidRPr="00873B6C">
              <w:rPr>
                <w:sz w:val="16"/>
                <w:szCs w:val="16"/>
              </w:rPr>
              <w:t>5263</w:t>
            </w:r>
          </w:p>
        </w:tc>
        <w:tc>
          <w:tcPr>
            <w:tcW w:w="425" w:type="dxa"/>
            <w:shd w:val="solid" w:color="FFFFFF" w:fill="auto"/>
          </w:tcPr>
          <w:p w14:paraId="75333011" w14:textId="58279F4A"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47C8055F" w14:textId="0316BA18"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5F82D777" w14:textId="19EDE6E4" w:rsidR="00F13E92" w:rsidRPr="00873B6C" w:rsidRDefault="00F13E92" w:rsidP="00591B52">
            <w:pPr>
              <w:pStyle w:val="TAL"/>
              <w:rPr>
                <w:sz w:val="16"/>
                <w:szCs w:val="16"/>
              </w:rPr>
            </w:pPr>
            <w:r w:rsidRPr="00873B6C">
              <w:rPr>
                <w:sz w:val="16"/>
                <w:szCs w:val="16"/>
              </w:rPr>
              <w:t>Correction on validity information for SNPN</w:t>
            </w:r>
          </w:p>
        </w:tc>
        <w:tc>
          <w:tcPr>
            <w:tcW w:w="708" w:type="dxa"/>
            <w:shd w:val="solid" w:color="FFFFFF" w:fill="auto"/>
          </w:tcPr>
          <w:p w14:paraId="3990D4C9" w14:textId="56BF66D6" w:rsidR="00F13E92" w:rsidRPr="00873B6C" w:rsidRDefault="00F13E92" w:rsidP="00591B52">
            <w:pPr>
              <w:pStyle w:val="TAC"/>
              <w:rPr>
                <w:sz w:val="16"/>
                <w:szCs w:val="16"/>
              </w:rPr>
            </w:pPr>
            <w:r w:rsidRPr="00873B6C">
              <w:rPr>
                <w:sz w:val="16"/>
                <w:szCs w:val="16"/>
              </w:rPr>
              <w:t>18.5.0</w:t>
            </w:r>
          </w:p>
        </w:tc>
      </w:tr>
      <w:tr w:rsidR="00494FD0" w:rsidRPr="00873B6C" w14:paraId="5E2531B6" w14:textId="77777777" w:rsidTr="009D14FB">
        <w:tc>
          <w:tcPr>
            <w:tcW w:w="800" w:type="dxa"/>
            <w:shd w:val="solid" w:color="FFFFFF" w:fill="auto"/>
          </w:tcPr>
          <w:p w14:paraId="43AD6744" w14:textId="53F10DA0"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6E5F7491" w14:textId="61A48C4A"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5F07C8D9" w14:textId="3FB7D5AA" w:rsidR="00494FD0" w:rsidRPr="00873B6C" w:rsidRDefault="00494FD0" w:rsidP="00591B52">
            <w:pPr>
              <w:pStyle w:val="TAC"/>
              <w:rPr>
                <w:sz w:val="16"/>
                <w:szCs w:val="16"/>
              </w:rPr>
            </w:pPr>
            <w:r w:rsidRPr="00873B6C">
              <w:rPr>
                <w:sz w:val="16"/>
                <w:szCs w:val="16"/>
              </w:rPr>
              <w:t>SP-240100</w:t>
            </w:r>
          </w:p>
        </w:tc>
        <w:tc>
          <w:tcPr>
            <w:tcW w:w="567" w:type="dxa"/>
            <w:shd w:val="solid" w:color="FFFFFF" w:fill="auto"/>
          </w:tcPr>
          <w:p w14:paraId="48B11582" w14:textId="00A6D292" w:rsidR="00494FD0" w:rsidRPr="00873B6C" w:rsidRDefault="00494FD0" w:rsidP="00591B52">
            <w:pPr>
              <w:pStyle w:val="TAL"/>
              <w:rPr>
                <w:sz w:val="16"/>
                <w:szCs w:val="16"/>
              </w:rPr>
            </w:pPr>
            <w:r w:rsidRPr="00873B6C">
              <w:rPr>
                <w:sz w:val="16"/>
                <w:szCs w:val="16"/>
              </w:rPr>
              <w:t>5264</w:t>
            </w:r>
          </w:p>
        </w:tc>
        <w:tc>
          <w:tcPr>
            <w:tcW w:w="425" w:type="dxa"/>
            <w:shd w:val="solid" w:color="FFFFFF" w:fill="auto"/>
          </w:tcPr>
          <w:p w14:paraId="4C92EC8D" w14:textId="1AE8DCCB" w:rsidR="00494FD0" w:rsidRPr="00873B6C" w:rsidRDefault="00494FD0" w:rsidP="00591B52">
            <w:pPr>
              <w:pStyle w:val="TAL"/>
              <w:rPr>
                <w:sz w:val="16"/>
                <w:szCs w:val="16"/>
              </w:rPr>
            </w:pPr>
            <w:r w:rsidRPr="00873B6C">
              <w:rPr>
                <w:sz w:val="16"/>
                <w:szCs w:val="16"/>
              </w:rPr>
              <w:t>1</w:t>
            </w:r>
          </w:p>
        </w:tc>
        <w:tc>
          <w:tcPr>
            <w:tcW w:w="425" w:type="dxa"/>
            <w:shd w:val="solid" w:color="FFFFFF" w:fill="auto"/>
          </w:tcPr>
          <w:p w14:paraId="3B89AC46" w14:textId="726B2299" w:rsidR="00494FD0" w:rsidRPr="00873B6C" w:rsidRDefault="00494FD0" w:rsidP="00591B52">
            <w:pPr>
              <w:pStyle w:val="TAL"/>
              <w:rPr>
                <w:sz w:val="16"/>
                <w:szCs w:val="16"/>
              </w:rPr>
            </w:pPr>
            <w:r w:rsidRPr="00873B6C">
              <w:rPr>
                <w:sz w:val="16"/>
                <w:szCs w:val="16"/>
              </w:rPr>
              <w:t>F</w:t>
            </w:r>
          </w:p>
        </w:tc>
        <w:tc>
          <w:tcPr>
            <w:tcW w:w="4820" w:type="dxa"/>
            <w:shd w:val="solid" w:color="FFFFFF" w:fill="auto"/>
          </w:tcPr>
          <w:p w14:paraId="2BA2C51C" w14:textId="131B3E89" w:rsidR="00494FD0" w:rsidRPr="00873B6C" w:rsidRDefault="00494FD0" w:rsidP="00591B52">
            <w:pPr>
              <w:pStyle w:val="TAL"/>
              <w:rPr>
                <w:sz w:val="16"/>
                <w:szCs w:val="16"/>
              </w:rPr>
            </w:pPr>
            <w:r w:rsidRPr="00873B6C">
              <w:rPr>
                <w:sz w:val="16"/>
                <w:szCs w:val="16"/>
              </w:rPr>
              <w:t>Correction on validity information for CAG</w:t>
            </w:r>
          </w:p>
        </w:tc>
        <w:tc>
          <w:tcPr>
            <w:tcW w:w="708" w:type="dxa"/>
            <w:shd w:val="solid" w:color="FFFFFF" w:fill="auto"/>
          </w:tcPr>
          <w:p w14:paraId="1E70882F" w14:textId="173ABBB4" w:rsidR="00494FD0" w:rsidRPr="00873B6C" w:rsidRDefault="00494FD0" w:rsidP="00591B52">
            <w:pPr>
              <w:pStyle w:val="TAC"/>
              <w:rPr>
                <w:sz w:val="16"/>
                <w:szCs w:val="16"/>
              </w:rPr>
            </w:pPr>
            <w:r w:rsidRPr="00873B6C">
              <w:rPr>
                <w:sz w:val="16"/>
                <w:szCs w:val="16"/>
              </w:rPr>
              <w:t>18.5.0</w:t>
            </w:r>
          </w:p>
        </w:tc>
      </w:tr>
      <w:tr w:rsidR="00494FD0" w:rsidRPr="00873B6C" w14:paraId="0EF7F920" w14:textId="77777777" w:rsidTr="009D14FB">
        <w:tc>
          <w:tcPr>
            <w:tcW w:w="800" w:type="dxa"/>
            <w:shd w:val="solid" w:color="FFFFFF" w:fill="auto"/>
          </w:tcPr>
          <w:p w14:paraId="00151B8E" w14:textId="5A1D0290"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44CED24E" w14:textId="25F82229"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4D66CB42" w14:textId="01A47A40" w:rsidR="00494FD0" w:rsidRPr="00873B6C" w:rsidRDefault="00494FD0" w:rsidP="00591B52">
            <w:pPr>
              <w:pStyle w:val="TAC"/>
              <w:rPr>
                <w:sz w:val="16"/>
                <w:szCs w:val="16"/>
              </w:rPr>
            </w:pPr>
            <w:r w:rsidRPr="00873B6C">
              <w:rPr>
                <w:sz w:val="16"/>
                <w:szCs w:val="16"/>
              </w:rPr>
              <w:t>SP-240101</w:t>
            </w:r>
          </w:p>
        </w:tc>
        <w:tc>
          <w:tcPr>
            <w:tcW w:w="567" w:type="dxa"/>
            <w:shd w:val="solid" w:color="FFFFFF" w:fill="auto"/>
          </w:tcPr>
          <w:p w14:paraId="7B90910B" w14:textId="3B433C30" w:rsidR="00494FD0" w:rsidRPr="00873B6C" w:rsidRDefault="00494FD0" w:rsidP="00591B52">
            <w:pPr>
              <w:pStyle w:val="TAL"/>
              <w:rPr>
                <w:sz w:val="16"/>
                <w:szCs w:val="16"/>
              </w:rPr>
            </w:pPr>
            <w:r w:rsidRPr="00873B6C">
              <w:rPr>
                <w:sz w:val="16"/>
                <w:szCs w:val="16"/>
              </w:rPr>
              <w:t>5265</w:t>
            </w:r>
          </w:p>
        </w:tc>
        <w:tc>
          <w:tcPr>
            <w:tcW w:w="425" w:type="dxa"/>
            <w:shd w:val="solid" w:color="FFFFFF" w:fill="auto"/>
          </w:tcPr>
          <w:p w14:paraId="74194CAD" w14:textId="1D68C73F" w:rsidR="00494FD0" w:rsidRPr="00873B6C" w:rsidRDefault="00494FD0" w:rsidP="00591B52">
            <w:pPr>
              <w:pStyle w:val="TAL"/>
              <w:rPr>
                <w:sz w:val="16"/>
                <w:szCs w:val="16"/>
              </w:rPr>
            </w:pPr>
            <w:r w:rsidRPr="00873B6C">
              <w:rPr>
                <w:sz w:val="16"/>
                <w:szCs w:val="16"/>
              </w:rPr>
              <w:t>7</w:t>
            </w:r>
          </w:p>
        </w:tc>
        <w:tc>
          <w:tcPr>
            <w:tcW w:w="425" w:type="dxa"/>
            <w:shd w:val="solid" w:color="FFFFFF" w:fill="auto"/>
          </w:tcPr>
          <w:p w14:paraId="099F8874" w14:textId="57B06C24" w:rsidR="00494FD0" w:rsidRPr="00873B6C" w:rsidRDefault="00494FD0" w:rsidP="00591B52">
            <w:pPr>
              <w:pStyle w:val="TAL"/>
              <w:rPr>
                <w:sz w:val="16"/>
                <w:szCs w:val="16"/>
              </w:rPr>
            </w:pPr>
            <w:r w:rsidRPr="00873B6C">
              <w:rPr>
                <w:sz w:val="16"/>
                <w:szCs w:val="16"/>
              </w:rPr>
              <w:t>F</w:t>
            </w:r>
          </w:p>
        </w:tc>
        <w:tc>
          <w:tcPr>
            <w:tcW w:w="4820" w:type="dxa"/>
            <w:shd w:val="solid" w:color="FFFFFF" w:fill="auto"/>
          </w:tcPr>
          <w:p w14:paraId="48428A81" w14:textId="26317A05" w:rsidR="00494FD0" w:rsidRPr="00873B6C" w:rsidRDefault="00494FD0" w:rsidP="00591B52">
            <w:pPr>
              <w:pStyle w:val="TAL"/>
              <w:rPr>
                <w:sz w:val="16"/>
                <w:szCs w:val="16"/>
              </w:rPr>
            </w:pPr>
            <w:r w:rsidRPr="00873B6C">
              <w:rPr>
                <w:sz w:val="16"/>
                <w:szCs w:val="16"/>
              </w:rPr>
              <w:t xml:space="preserve">Clarification on Network Slice usage control timer </w:t>
            </w:r>
          </w:p>
        </w:tc>
        <w:tc>
          <w:tcPr>
            <w:tcW w:w="708" w:type="dxa"/>
            <w:shd w:val="solid" w:color="FFFFFF" w:fill="auto"/>
          </w:tcPr>
          <w:p w14:paraId="3BC851D4" w14:textId="5322DC98" w:rsidR="00494FD0" w:rsidRPr="00873B6C" w:rsidRDefault="00494FD0" w:rsidP="00591B52">
            <w:pPr>
              <w:pStyle w:val="TAC"/>
              <w:rPr>
                <w:sz w:val="16"/>
                <w:szCs w:val="16"/>
              </w:rPr>
            </w:pPr>
            <w:r w:rsidRPr="00873B6C">
              <w:rPr>
                <w:sz w:val="16"/>
                <w:szCs w:val="16"/>
              </w:rPr>
              <w:t>18.5.0</w:t>
            </w:r>
          </w:p>
        </w:tc>
      </w:tr>
      <w:tr w:rsidR="00494FD0" w:rsidRPr="00873B6C" w14:paraId="13096A67" w14:textId="77777777" w:rsidTr="009D14FB">
        <w:tc>
          <w:tcPr>
            <w:tcW w:w="800" w:type="dxa"/>
            <w:shd w:val="solid" w:color="FFFFFF" w:fill="auto"/>
          </w:tcPr>
          <w:p w14:paraId="0037CFAE" w14:textId="6B439E99"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7826EE5F" w14:textId="1C2841BB"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08939A25" w14:textId="3C77CD6C" w:rsidR="00494FD0" w:rsidRPr="00873B6C" w:rsidRDefault="00494FD0" w:rsidP="00591B52">
            <w:pPr>
              <w:pStyle w:val="TAC"/>
              <w:rPr>
                <w:sz w:val="16"/>
                <w:szCs w:val="16"/>
              </w:rPr>
            </w:pPr>
            <w:r w:rsidRPr="00873B6C">
              <w:rPr>
                <w:sz w:val="16"/>
                <w:szCs w:val="16"/>
              </w:rPr>
              <w:t>SP-240113</w:t>
            </w:r>
          </w:p>
        </w:tc>
        <w:tc>
          <w:tcPr>
            <w:tcW w:w="567" w:type="dxa"/>
            <w:shd w:val="solid" w:color="FFFFFF" w:fill="auto"/>
          </w:tcPr>
          <w:p w14:paraId="218D2109" w14:textId="4F6E5702" w:rsidR="00494FD0" w:rsidRPr="00873B6C" w:rsidRDefault="00494FD0" w:rsidP="00591B52">
            <w:pPr>
              <w:pStyle w:val="TAL"/>
              <w:rPr>
                <w:sz w:val="16"/>
                <w:szCs w:val="16"/>
              </w:rPr>
            </w:pPr>
            <w:r w:rsidRPr="00873B6C">
              <w:rPr>
                <w:sz w:val="16"/>
                <w:szCs w:val="16"/>
              </w:rPr>
              <w:t>5267</w:t>
            </w:r>
          </w:p>
        </w:tc>
        <w:tc>
          <w:tcPr>
            <w:tcW w:w="425" w:type="dxa"/>
            <w:shd w:val="solid" w:color="FFFFFF" w:fill="auto"/>
          </w:tcPr>
          <w:p w14:paraId="3E391476" w14:textId="570CCAC8" w:rsidR="00494FD0" w:rsidRPr="00873B6C" w:rsidRDefault="00494FD0" w:rsidP="00591B52">
            <w:pPr>
              <w:pStyle w:val="TAL"/>
              <w:rPr>
                <w:sz w:val="16"/>
                <w:szCs w:val="16"/>
              </w:rPr>
            </w:pPr>
            <w:r w:rsidRPr="00873B6C">
              <w:rPr>
                <w:sz w:val="16"/>
                <w:szCs w:val="16"/>
              </w:rPr>
              <w:t>1</w:t>
            </w:r>
          </w:p>
        </w:tc>
        <w:tc>
          <w:tcPr>
            <w:tcW w:w="425" w:type="dxa"/>
            <w:shd w:val="solid" w:color="FFFFFF" w:fill="auto"/>
          </w:tcPr>
          <w:p w14:paraId="2ED2C391" w14:textId="20CC3971" w:rsidR="00494FD0" w:rsidRPr="00873B6C" w:rsidRDefault="00494FD0" w:rsidP="00591B52">
            <w:pPr>
              <w:pStyle w:val="TAL"/>
              <w:rPr>
                <w:sz w:val="16"/>
                <w:szCs w:val="16"/>
              </w:rPr>
            </w:pPr>
            <w:r w:rsidRPr="00873B6C">
              <w:rPr>
                <w:sz w:val="16"/>
                <w:szCs w:val="16"/>
              </w:rPr>
              <w:t>F</w:t>
            </w:r>
          </w:p>
        </w:tc>
        <w:tc>
          <w:tcPr>
            <w:tcW w:w="4820" w:type="dxa"/>
            <w:shd w:val="solid" w:color="FFFFFF" w:fill="auto"/>
          </w:tcPr>
          <w:p w14:paraId="66A55D34" w14:textId="55C47546" w:rsidR="00494FD0" w:rsidRPr="00873B6C" w:rsidRDefault="00494FD0" w:rsidP="00591B52">
            <w:pPr>
              <w:pStyle w:val="TAL"/>
              <w:rPr>
                <w:sz w:val="16"/>
                <w:szCs w:val="16"/>
              </w:rPr>
            </w:pPr>
            <w:r w:rsidRPr="00873B6C">
              <w:rPr>
                <w:sz w:val="16"/>
                <w:szCs w:val="16"/>
              </w:rPr>
              <w:t>Modification to the Packet delay variation monitoring</w:t>
            </w:r>
          </w:p>
        </w:tc>
        <w:tc>
          <w:tcPr>
            <w:tcW w:w="708" w:type="dxa"/>
            <w:shd w:val="solid" w:color="FFFFFF" w:fill="auto"/>
          </w:tcPr>
          <w:p w14:paraId="70F57153" w14:textId="6CD3D45F" w:rsidR="00494FD0" w:rsidRPr="00873B6C" w:rsidRDefault="00494FD0" w:rsidP="00591B52">
            <w:pPr>
              <w:pStyle w:val="TAC"/>
              <w:rPr>
                <w:sz w:val="16"/>
                <w:szCs w:val="16"/>
              </w:rPr>
            </w:pPr>
            <w:r w:rsidRPr="00873B6C">
              <w:rPr>
                <w:sz w:val="16"/>
                <w:szCs w:val="16"/>
              </w:rPr>
              <w:t>18.5.0</w:t>
            </w:r>
          </w:p>
        </w:tc>
      </w:tr>
      <w:tr w:rsidR="00494FD0" w:rsidRPr="00873B6C" w14:paraId="67916351" w14:textId="77777777" w:rsidTr="009D14FB">
        <w:tc>
          <w:tcPr>
            <w:tcW w:w="800" w:type="dxa"/>
            <w:shd w:val="solid" w:color="FFFFFF" w:fill="auto"/>
          </w:tcPr>
          <w:p w14:paraId="1B566F15" w14:textId="4F9C087F"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5DF03339" w14:textId="2FFEC375"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62E9ED31" w14:textId="19618139" w:rsidR="00494FD0" w:rsidRPr="00873B6C" w:rsidRDefault="00494FD0" w:rsidP="00591B52">
            <w:pPr>
              <w:pStyle w:val="TAC"/>
              <w:rPr>
                <w:sz w:val="16"/>
                <w:szCs w:val="16"/>
              </w:rPr>
            </w:pPr>
            <w:r w:rsidRPr="00873B6C">
              <w:rPr>
                <w:sz w:val="16"/>
                <w:szCs w:val="16"/>
              </w:rPr>
              <w:t>SP-240115</w:t>
            </w:r>
          </w:p>
        </w:tc>
        <w:tc>
          <w:tcPr>
            <w:tcW w:w="567" w:type="dxa"/>
            <w:shd w:val="solid" w:color="FFFFFF" w:fill="auto"/>
          </w:tcPr>
          <w:p w14:paraId="433D68B0" w14:textId="5B9D38BE" w:rsidR="00494FD0" w:rsidRPr="00873B6C" w:rsidRDefault="00494FD0" w:rsidP="00591B52">
            <w:pPr>
              <w:pStyle w:val="TAL"/>
              <w:rPr>
                <w:sz w:val="16"/>
                <w:szCs w:val="16"/>
              </w:rPr>
            </w:pPr>
            <w:r w:rsidRPr="00873B6C">
              <w:rPr>
                <w:sz w:val="16"/>
                <w:szCs w:val="16"/>
              </w:rPr>
              <w:t>5273</w:t>
            </w:r>
          </w:p>
        </w:tc>
        <w:tc>
          <w:tcPr>
            <w:tcW w:w="425" w:type="dxa"/>
            <w:shd w:val="solid" w:color="FFFFFF" w:fill="auto"/>
          </w:tcPr>
          <w:p w14:paraId="25E5F364" w14:textId="3996B7AD" w:rsidR="00494FD0" w:rsidRPr="00873B6C" w:rsidRDefault="00494FD0" w:rsidP="00591B52">
            <w:pPr>
              <w:pStyle w:val="TAL"/>
              <w:rPr>
                <w:sz w:val="16"/>
                <w:szCs w:val="16"/>
              </w:rPr>
            </w:pPr>
            <w:r w:rsidRPr="00873B6C">
              <w:rPr>
                <w:sz w:val="16"/>
                <w:szCs w:val="16"/>
              </w:rPr>
              <w:t>1</w:t>
            </w:r>
          </w:p>
        </w:tc>
        <w:tc>
          <w:tcPr>
            <w:tcW w:w="425" w:type="dxa"/>
            <w:shd w:val="solid" w:color="FFFFFF" w:fill="auto"/>
          </w:tcPr>
          <w:p w14:paraId="01B719CD" w14:textId="66113BD7" w:rsidR="00494FD0" w:rsidRPr="00873B6C" w:rsidRDefault="00494FD0" w:rsidP="00591B52">
            <w:pPr>
              <w:pStyle w:val="TAL"/>
              <w:rPr>
                <w:sz w:val="16"/>
                <w:szCs w:val="16"/>
              </w:rPr>
            </w:pPr>
            <w:r w:rsidRPr="00873B6C">
              <w:rPr>
                <w:sz w:val="16"/>
                <w:szCs w:val="16"/>
              </w:rPr>
              <w:t>B</w:t>
            </w:r>
          </w:p>
        </w:tc>
        <w:tc>
          <w:tcPr>
            <w:tcW w:w="4820" w:type="dxa"/>
            <w:shd w:val="solid" w:color="FFFFFF" w:fill="auto"/>
          </w:tcPr>
          <w:p w14:paraId="6865721C" w14:textId="3E3198B2" w:rsidR="00494FD0" w:rsidRPr="00873B6C" w:rsidRDefault="00494FD0" w:rsidP="00591B52">
            <w:pPr>
              <w:pStyle w:val="TAL"/>
              <w:rPr>
                <w:sz w:val="16"/>
                <w:szCs w:val="16"/>
              </w:rPr>
            </w:pPr>
            <w:r w:rsidRPr="00873B6C">
              <w:rPr>
                <w:sz w:val="16"/>
                <w:szCs w:val="16"/>
              </w:rPr>
              <w:t>Update to Support Network Controlled Repeater</w:t>
            </w:r>
          </w:p>
        </w:tc>
        <w:tc>
          <w:tcPr>
            <w:tcW w:w="708" w:type="dxa"/>
            <w:shd w:val="solid" w:color="FFFFFF" w:fill="auto"/>
          </w:tcPr>
          <w:p w14:paraId="16D79590" w14:textId="0FBBCC98" w:rsidR="00494FD0" w:rsidRPr="00873B6C" w:rsidRDefault="00494FD0" w:rsidP="00591B52">
            <w:pPr>
              <w:pStyle w:val="TAC"/>
              <w:rPr>
                <w:sz w:val="16"/>
                <w:szCs w:val="16"/>
              </w:rPr>
            </w:pPr>
            <w:r w:rsidRPr="00873B6C">
              <w:rPr>
                <w:sz w:val="16"/>
                <w:szCs w:val="16"/>
              </w:rPr>
              <w:t>18.5.0</w:t>
            </w:r>
          </w:p>
        </w:tc>
      </w:tr>
      <w:tr w:rsidR="00494FD0" w:rsidRPr="00873B6C" w14:paraId="4DCF5825" w14:textId="77777777" w:rsidTr="009D14FB">
        <w:tc>
          <w:tcPr>
            <w:tcW w:w="800" w:type="dxa"/>
            <w:shd w:val="solid" w:color="FFFFFF" w:fill="auto"/>
          </w:tcPr>
          <w:p w14:paraId="3A3851C3" w14:textId="26755C29"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1DA567A1" w14:textId="7F5D46C4"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6D855165" w14:textId="40CC4693" w:rsidR="00494FD0" w:rsidRPr="00873B6C" w:rsidRDefault="00494FD0" w:rsidP="00591B52">
            <w:pPr>
              <w:pStyle w:val="TAC"/>
              <w:rPr>
                <w:sz w:val="16"/>
                <w:szCs w:val="16"/>
              </w:rPr>
            </w:pPr>
            <w:r w:rsidRPr="00873B6C">
              <w:rPr>
                <w:sz w:val="16"/>
                <w:szCs w:val="16"/>
              </w:rPr>
              <w:t>SP-240101</w:t>
            </w:r>
          </w:p>
        </w:tc>
        <w:tc>
          <w:tcPr>
            <w:tcW w:w="567" w:type="dxa"/>
            <w:shd w:val="solid" w:color="FFFFFF" w:fill="auto"/>
          </w:tcPr>
          <w:p w14:paraId="2E907B97" w14:textId="3870BE0C" w:rsidR="00494FD0" w:rsidRPr="00873B6C" w:rsidRDefault="00494FD0" w:rsidP="00591B52">
            <w:pPr>
              <w:pStyle w:val="TAL"/>
              <w:rPr>
                <w:sz w:val="16"/>
                <w:szCs w:val="16"/>
              </w:rPr>
            </w:pPr>
            <w:r w:rsidRPr="00873B6C">
              <w:rPr>
                <w:sz w:val="16"/>
                <w:szCs w:val="16"/>
              </w:rPr>
              <w:t>5277</w:t>
            </w:r>
          </w:p>
        </w:tc>
        <w:tc>
          <w:tcPr>
            <w:tcW w:w="425" w:type="dxa"/>
            <w:shd w:val="solid" w:color="FFFFFF" w:fill="auto"/>
          </w:tcPr>
          <w:p w14:paraId="77E218E8" w14:textId="58379B1D" w:rsidR="00494FD0" w:rsidRPr="00873B6C" w:rsidRDefault="00494FD0" w:rsidP="00591B52">
            <w:pPr>
              <w:pStyle w:val="TAL"/>
              <w:rPr>
                <w:sz w:val="16"/>
                <w:szCs w:val="16"/>
              </w:rPr>
            </w:pPr>
            <w:r w:rsidRPr="00873B6C">
              <w:rPr>
                <w:sz w:val="16"/>
                <w:szCs w:val="16"/>
              </w:rPr>
              <w:t>8</w:t>
            </w:r>
          </w:p>
        </w:tc>
        <w:tc>
          <w:tcPr>
            <w:tcW w:w="425" w:type="dxa"/>
            <w:shd w:val="solid" w:color="FFFFFF" w:fill="auto"/>
          </w:tcPr>
          <w:p w14:paraId="37E2804E" w14:textId="68468FAF" w:rsidR="00494FD0" w:rsidRPr="00873B6C" w:rsidRDefault="00494FD0" w:rsidP="00591B52">
            <w:pPr>
              <w:pStyle w:val="TAL"/>
              <w:rPr>
                <w:sz w:val="16"/>
                <w:szCs w:val="16"/>
              </w:rPr>
            </w:pPr>
            <w:r w:rsidRPr="00873B6C">
              <w:rPr>
                <w:sz w:val="16"/>
                <w:szCs w:val="16"/>
              </w:rPr>
              <w:t>F</w:t>
            </w:r>
          </w:p>
        </w:tc>
        <w:tc>
          <w:tcPr>
            <w:tcW w:w="4820" w:type="dxa"/>
            <w:shd w:val="solid" w:color="FFFFFF" w:fill="auto"/>
          </w:tcPr>
          <w:p w14:paraId="07610C47" w14:textId="760318D8" w:rsidR="00494FD0" w:rsidRPr="00873B6C" w:rsidRDefault="00494FD0" w:rsidP="00591B52">
            <w:pPr>
              <w:pStyle w:val="TAL"/>
              <w:rPr>
                <w:sz w:val="16"/>
                <w:szCs w:val="16"/>
              </w:rPr>
            </w:pPr>
            <w:r w:rsidRPr="00873B6C">
              <w:rPr>
                <w:sz w:val="16"/>
                <w:szCs w:val="16"/>
              </w:rPr>
              <w:t>Support of Network Slice Replacement and area restrictions at UE mobility</w:t>
            </w:r>
          </w:p>
        </w:tc>
        <w:tc>
          <w:tcPr>
            <w:tcW w:w="708" w:type="dxa"/>
            <w:shd w:val="solid" w:color="FFFFFF" w:fill="auto"/>
          </w:tcPr>
          <w:p w14:paraId="3120AE66" w14:textId="6FDD025D" w:rsidR="00494FD0" w:rsidRPr="00873B6C" w:rsidRDefault="00494FD0" w:rsidP="00591B52">
            <w:pPr>
              <w:pStyle w:val="TAC"/>
              <w:rPr>
                <w:sz w:val="16"/>
                <w:szCs w:val="16"/>
              </w:rPr>
            </w:pPr>
            <w:r w:rsidRPr="00873B6C">
              <w:rPr>
                <w:sz w:val="16"/>
                <w:szCs w:val="16"/>
              </w:rPr>
              <w:t>18.5.0</w:t>
            </w:r>
          </w:p>
        </w:tc>
      </w:tr>
      <w:tr w:rsidR="00516747" w:rsidRPr="00873B6C" w14:paraId="736BBB87" w14:textId="77777777" w:rsidTr="009D14FB">
        <w:tc>
          <w:tcPr>
            <w:tcW w:w="800" w:type="dxa"/>
            <w:shd w:val="solid" w:color="FFFFFF" w:fill="auto"/>
          </w:tcPr>
          <w:p w14:paraId="3AD1D985" w14:textId="07061FD6"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1F92948A" w14:textId="10FFF68A"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55594813" w14:textId="5D30701E" w:rsidR="00516747" w:rsidRPr="00873B6C" w:rsidRDefault="00516747" w:rsidP="00591B52">
            <w:pPr>
              <w:pStyle w:val="TAC"/>
              <w:rPr>
                <w:sz w:val="16"/>
                <w:szCs w:val="16"/>
              </w:rPr>
            </w:pPr>
            <w:r w:rsidRPr="00873B6C">
              <w:rPr>
                <w:sz w:val="16"/>
                <w:szCs w:val="16"/>
              </w:rPr>
              <w:t>SP-240101</w:t>
            </w:r>
          </w:p>
        </w:tc>
        <w:tc>
          <w:tcPr>
            <w:tcW w:w="567" w:type="dxa"/>
            <w:shd w:val="solid" w:color="FFFFFF" w:fill="auto"/>
          </w:tcPr>
          <w:p w14:paraId="5D2EE7DA" w14:textId="46A1BC89" w:rsidR="00516747" w:rsidRPr="00873B6C" w:rsidRDefault="00516747" w:rsidP="00591B52">
            <w:pPr>
              <w:pStyle w:val="TAL"/>
              <w:rPr>
                <w:sz w:val="16"/>
                <w:szCs w:val="16"/>
              </w:rPr>
            </w:pPr>
            <w:r w:rsidRPr="00873B6C">
              <w:rPr>
                <w:sz w:val="16"/>
                <w:szCs w:val="16"/>
              </w:rPr>
              <w:t>5278</w:t>
            </w:r>
          </w:p>
        </w:tc>
        <w:tc>
          <w:tcPr>
            <w:tcW w:w="425" w:type="dxa"/>
            <w:shd w:val="solid" w:color="FFFFFF" w:fill="auto"/>
          </w:tcPr>
          <w:p w14:paraId="6B818610" w14:textId="45CABAA5" w:rsidR="00516747" w:rsidRPr="00873B6C" w:rsidRDefault="00516747" w:rsidP="00591B52">
            <w:pPr>
              <w:pStyle w:val="TAL"/>
              <w:rPr>
                <w:sz w:val="16"/>
                <w:szCs w:val="16"/>
              </w:rPr>
            </w:pPr>
            <w:r w:rsidRPr="00873B6C">
              <w:rPr>
                <w:sz w:val="16"/>
                <w:szCs w:val="16"/>
              </w:rPr>
              <w:t>1</w:t>
            </w:r>
          </w:p>
        </w:tc>
        <w:tc>
          <w:tcPr>
            <w:tcW w:w="425" w:type="dxa"/>
            <w:shd w:val="solid" w:color="FFFFFF" w:fill="auto"/>
          </w:tcPr>
          <w:p w14:paraId="6300F4EB" w14:textId="0D6734D8"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36C0C4CC" w14:textId="4B630155" w:rsidR="00516747" w:rsidRPr="00873B6C" w:rsidRDefault="00516747" w:rsidP="00591B52">
            <w:pPr>
              <w:pStyle w:val="TAL"/>
              <w:rPr>
                <w:sz w:val="16"/>
                <w:szCs w:val="16"/>
              </w:rPr>
            </w:pPr>
            <w:r w:rsidRPr="00873B6C">
              <w:rPr>
                <w:sz w:val="16"/>
                <w:szCs w:val="16"/>
              </w:rPr>
              <w:t>Determination of release or deactivation of PDU Session due to S-NSSAI not supported</w:t>
            </w:r>
          </w:p>
        </w:tc>
        <w:tc>
          <w:tcPr>
            <w:tcW w:w="708" w:type="dxa"/>
            <w:shd w:val="solid" w:color="FFFFFF" w:fill="auto"/>
          </w:tcPr>
          <w:p w14:paraId="1C4A8F64" w14:textId="303702EE" w:rsidR="00516747" w:rsidRPr="00873B6C" w:rsidRDefault="00516747" w:rsidP="00591B52">
            <w:pPr>
              <w:pStyle w:val="TAC"/>
              <w:rPr>
                <w:sz w:val="16"/>
                <w:szCs w:val="16"/>
              </w:rPr>
            </w:pPr>
            <w:r w:rsidRPr="00873B6C">
              <w:rPr>
                <w:sz w:val="16"/>
                <w:szCs w:val="16"/>
              </w:rPr>
              <w:t>18.5.0</w:t>
            </w:r>
          </w:p>
        </w:tc>
      </w:tr>
      <w:tr w:rsidR="00516747" w:rsidRPr="00873B6C" w14:paraId="0FEAABC8" w14:textId="77777777" w:rsidTr="009D14FB">
        <w:tc>
          <w:tcPr>
            <w:tcW w:w="800" w:type="dxa"/>
            <w:shd w:val="solid" w:color="FFFFFF" w:fill="auto"/>
          </w:tcPr>
          <w:p w14:paraId="61734E36" w14:textId="38CCD459"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1F8C5745" w14:textId="24FB391E"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65FCA9E3" w14:textId="243B0B74" w:rsidR="00516747" w:rsidRPr="00873B6C" w:rsidRDefault="00516747" w:rsidP="00591B52">
            <w:pPr>
              <w:pStyle w:val="TAC"/>
              <w:rPr>
                <w:sz w:val="16"/>
                <w:szCs w:val="16"/>
              </w:rPr>
            </w:pPr>
            <w:r w:rsidRPr="00873B6C">
              <w:rPr>
                <w:sz w:val="16"/>
                <w:szCs w:val="16"/>
              </w:rPr>
              <w:t>SP-240113</w:t>
            </w:r>
          </w:p>
        </w:tc>
        <w:tc>
          <w:tcPr>
            <w:tcW w:w="567" w:type="dxa"/>
            <w:shd w:val="solid" w:color="FFFFFF" w:fill="auto"/>
          </w:tcPr>
          <w:p w14:paraId="290E4FAB" w14:textId="54CB051F" w:rsidR="00516747" w:rsidRPr="00873B6C" w:rsidRDefault="00516747" w:rsidP="00591B52">
            <w:pPr>
              <w:pStyle w:val="TAL"/>
              <w:rPr>
                <w:sz w:val="16"/>
                <w:szCs w:val="16"/>
              </w:rPr>
            </w:pPr>
            <w:r w:rsidRPr="00873B6C">
              <w:rPr>
                <w:sz w:val="16"/>
                <w:szCs w:val="16"/>
              </w:rPr>
              <w:t>5281</w:t>
            </w:r>
          </w:p>
        </w:tc>
        <w:tc>
          <w:tcPr>
            <w:tcW w:w="425" w:type="dxa"/>
            <w:shd w:val="solid" w:color="FFFFFF" w:fill="auto"/>
          </w:tcPr>
          <w:p w14:paraId="251323AC" w14:textId="0B904C35" w:rsidR="00516747" w:rsidRPr="00873B6C" w:rsidRDefault="00516747" w:rsidP="00591B52">
            <w:pPr>
              <w:pStyle w:val="TAL"/>
              <w:rPr>
                <w:sz w:val="16"/>
                <w:szCs w:val="16"/>
              </w:rPr>
            </w:pPr>
            <w:r w:rsidRPr="00873B6C">
              <w:rPr>
                <w:sz w:val="16"/>
                <w:szCs w:val="16"/>
              </w:rPr>
              <w:t>1</w:t>
            </w:r>
          </w:p>
        </w:tc>
        <w:tc>
          <w:tcPr>
            <w:tcW w:w="425" w:type="dxa"/>
            <w:shd w:val="solid" w:color="FFFFFF" w:fill="auto"/>
          </w:tcPr>
          <w:p w14:paraId="6A4C3B13" w14:textId="39C84DD8"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09832D95" w14:textId="545F20F9" w:rsidR="00516747" w:rsidRPr="00873B6C" w:rsidRDefault="00516747" w:rsidP="00591B52">
            <w:pPr>
              <w:pStyle w:val="TAL"/>
              <w:rPr>
                <w:sz w:val="16"/>
                <w:szCs w:val="16"/>
              </w:rPr>
            </w:pPr>
            <w:r w:rsidRPr="00873B6C">
              <w:rPr>
                <w:sz w:val="16"/>
                <w:szCs w:val="16"/>
              </w:rPr>
              <w:t>Clarifications on non-homogeneous support of PDU set based handling in NG-RAN</w:t>
            </w:r>
          </w:p>
        </w:tc>
        <w:tc>
          <w:tcPr>
            <w:tcW w:w="708" w:type="dxa"/>
            <w:shd w:val="solid" w:color="FFFFFF" w:fill="auto"/>
          </w:tcPr>
          <w:p w14:paraId="08787344" w14:textId="6080D190" w:rsidR="00516747" w:rsidRPr="00873B6C" w:rsidRDefault="00516747" w:rsidP="00591B52">
            <w:pPr>
              <w:pStyle w:val="TAC"/>
              <w:rPr>
                <w:sz w:val="16"/>
                <w:szCs w:val="16"/>
              </w:rPr>
            </w:pPr>
            <w:r w:rsidRPr="00873B6C">
              <w:rPr>
                <w:sz w:val="16"/>
                <w:szCs w:val="16"/>
              </w:rPr>
              <w:t>18.5.0</w:t>
            </w:r>
          </w:p>
        </w:tc>
      </w:tr>
      <w:tr w:rsidR="00516747" w:rsidRPr="00873B6C" w14:paraId="5DC1BAA8" w14:textId="77777777" w:rsidTr="009D14FB">
        <w:tc>
          <w:tcPr>
            <w:tcW w:w="800" w:type="dxa"/>
            <w:shd w:val="solid" w:color="FFFFFF" w:fill="auto"/>
          </w:tcPr>
          <w:p w14:paraId="036A52D0" w14:textId="6C22A575"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20F7A2F9" w14:textId="08325EF6"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5733E0C7" w14:textId="68663F1A" w:rsidR="00516747" w:rsidRPr="00873B6C" w:rsidRDefault="00516747" w:rsidP="00591B52">
            <w:pPr>
              <w:pStyle w:val="TAC"/>
              <w:rPr>
                <w:sz w:val="16"/>
                <w:szCs w:val="16"/>
              </w:rPr>
            </w:pPr>
            <w:r w:rsidRPr="00873B6C">
              <w:rPr>
                <w:sz w:val="16"/>
                <w:szCs w:val="16"/>
              </w:rPr>
              <w:t>SP-240113</w:t>
            </w:r>
          </w:p>
        </w:tc>
        <w:tc>
          <w:tcPr>
            <w:tcW w:w="567" w:type="dxa"/>
            <w:shd w:val="solid" w:color="FFFFFF" w:fill="auto"/>
          </w:tcPr>
          <w:p w14:paraId="7C432694" w14:textId="0F71B4C0" w:rsidR="00516747" w:rsidRPr="00873B6C" w:rsidRDefault="00516747" w:rsidP="00591B52">
            <w:pPr>
              <w:pStyle w:val="TAL"/>
              <w:rPr>
                <w:sz w:val="16"/>
                <w:szCs w:val="16"/>
              </w:rPr>
            </w:pPr>
            <w:r w:rsidRPr="00873B6C">
              <w:rPr>
                <w:sz w:val="16"/>
                <w:szCs w:val="16"/>
              </w:rPr>
              <w:t>5282</w:t>
            </w:r>
          </w:p>
        </w:tc>
        <w:tc>
          <w:tcPr>
            <w:tcW w:w="425" w:type="dxa"/>
            <w:shd w:val="solid" w:color="FFFFFF" w:fill="auto"/>
          </w:tcPr>
          <w:p w14:paraId="372BF85F" w14:textId="182FD1C4" w:rsidR="00516747" w:rsidRPr="00873B6C" w:rsidRDefault="00516747" w:rsidP="00591B52">
            <w:pPr>
              <w:pStyle w:val="TAL"/>
              <w:rPr>
                <w:sz w:val="16"/>
                <w:szCs w:val="16"/>
              </w:rPr>
            </w:pPr>
            <w:r w:rsidRPr="00873B6C">
              <w:rPr>
                <w:sz w:val="16"/>
                <w:szCs w:val="16"/>
              </w:rPr>
              <w:t>1</w:t>
            </w:r>
          </w:p>
        </w:tc>
        <w:tc>
          <w:tcPr>
            <w:tcW w:w="425" w:type="dxa"/>
            <w:shd w:val="solid" w:color="FFFFFF" w:fill="auto"/>
          </w:tcPr>
          <w:p w14:paraId="2CE4310D" w14:textId="7D8EFF87"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493A7FB6" w14:textId="71EDC824" w:rsidR="00516747" w:rsidRPr="00873B6C" w:rsidRDefault="00516747" w:rsidP="00591B52">
            <w:pPr>
              <w:pStyle w:val="TAL"/>
              <w:rPr>
                <w:sz w:val="16"/>
                <w:szCs w:val="16"/>
              </w:rPr>
            </w:pPr>
            <w:r w:rsidRPr="00873B6C">
              <w:rPr>
                <w:sz w:val="16"/>
                <w:szCs w:val="16"/>
              </w:rPr>
              <w:t>Clarifications on ECN marking for L4S</w:t>
            </w:r>
          </w:p>
        </w:tc>
        <w:tc>
          <w:tcPr>
            <w:tcW w:w="708" w:type="dxa"/>
            <w:shd w:val="solid" w:color="FFFFFF" w:fill="auto"/>
          </w:tcPr>
          <w:p w14:paraId="6442479A" w14:textId="4A23EEB6" w:rsidR="00516747" w:rsidRPr="00873B6C" w:rsidRDefault="00516747" w:rsidP="00591B52">
            <w:pPr>
              <w:pStyle w:val="TAC"/>
              <w:rPr>
                <w:sz w:val="16"/>
                <w:szCs w:val="16"/>
              </w:rPr>
            </w:pPr>
            <w:r w:rsidRPr="00873B6C">
              <w:rPr>
                <w:sz w:val="16"/>
                <w:szCs w:val="16"/>
              </w:rPr>
              <w:t>18.5.0</w:t>
            </w:r>
          </w:p>
        </w:tc>
      </w:tr>
      <w:tr w:rsidR="00516747" w:rsidRPr="00873B6C" w14:paraId="47810EF6" w14:textId="77777777" w:rsidTr="009D14FB">
        <w:tc>
          <w:tcPr>
            <w:tcW w:w="800" w:type="dxa"/>
            <w:shd w:val="solid" w:color="FFFFFF" w:fill="auto"/>
          </w:tcPr>
          <w:p w14:paraId="41B4155B" w14:textId="3D27DE4A"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34A41668" w14:textId="3D879E71"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15FC5F29" w14:textId="58B0BED5" w:rsidR="00516747" w:rsidRPr="00873B6C" w:rsidRDefault="00516747" w:rsidP="00591B52">
            <w:pPr>
              <w:pStyle w:val="TAC"/>
              <w:rPr>
                <w:sz w:val="16"/>
                <w:szCs w:val="16"/>
              </w:rPr>
            </w:pPr>
            <w:r w:rsidRPr="00873B6C">
              <w:rPr>
                <w:sz w:val="16"/>
                <w:szCs w:val="16"/>
              </w:rPr>
              <w:t>SP-240101</w:t>
            </w:r>
          </w:p>
        </w:tc>
        <w:tc>
          <w:tcPr>
            <w:tcW w:w="567" w:type="dxa"/>
            <w:shd w:val="solid" w:color="FFFFFF" w:fill="auto"/>
          </w:tcPr>
          <w:p w14:paraId="0DDB7766" w14:textId="16D61B90" w:rsidR="00516747" w:rsidRPr="00873B6C" w:rsidRDefault="00516747" w:rsidP="00591B52">
            <w:pPr>
              <w:pStyle w:val="TAL"/>
              <w:rPr>
                <w:sz w:val="16"/>
                <w:szCs w:val="16"/>
              </w:rPr>
            </w:pPr>
            <w:r w:rsidRPr="00873B6C">
              <w:rPr>
                <w:sz w:val="16"/>
                <w:szCs w:val="16"/>
              </w:rPr>
              <w:t>5286</w:t>
            </w:r>
          </w:p>
        </w:tc>
        <w:tc>
          <w:tcPr>
            <w:tcW w:w="425" w:type="dxa"/>
            <w:shd w:val="solid" w:color="FFFFFF" w:fill="auto"/>
          </w:tcPr>
          <w:p w14:paraId="37802CD1" w14:textId="2EEC13DE" w:rsidR="00516747" w:rsidRPr="00873B6C" w:rsidRDefault="00516747" w:rsidP="00591B52">
            <w:pPr>
              <w:pStyle w:val="TAL"/>
              <w:rPr>
                <w:sz w:val="16"/>
                <w:szCs w:val="16"/>
              </w:rPr>
            </w:pPr>
            <w:r w:rsidRPr="00873B6C">
              <w:rPr>
                <w:sz w:val="16"/>
                <w:szCs w:val="16"/>
              </w:rPr>
              <w:t>3</w:t>
            </w:r>
          </w:p>
        </w:tc>
        <w:tc>
          <w:tcPr>
            <w:tcW w:w="425" w:type="dxa"/>
            <w:shd w:val="solid" w:color="FFFFFF" w:fill="auto"/>
          </w:tcPr>
          <w:p w14:paraId="4B442092" w14:textId="31C2FA19"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0FA2684B" w14:textId="200171BE" w:rsidR="00516747" w:rsidRPr="00873B6C" w:rsidRDefault="00516747" w:rsidP="00591B52">
            <w:pPr>
              <w:pStyle w:val="TAL"/>
              <w:rPr>
                <w:sz w:val="16"/>
                <w:szCs w:val="16"/>
              </w:rPr>
            </w:pPr>
            <w:r w:rsidRPr="00873B6C">
              <w:rPr>
                <w:sz w:val="16"/>
                <w:szCs w:val="16"/>
              </w:rPr>
              <w:t>Clarification on Allowed NSSAI for network slice replacement</w:t>
            </w:r>
          </w:p>
        </w:tc>
        <w:tc>
          <w:tcPr>
            <w:tcW w:w="708" w:type="dxa"/>
            <w:shd w:val="solid" w:color="FFFFFF" w:fill="auto"/>
          </w:tcPr>
          <w:p w14:paraId="6487C442" w14:textId="727545A3" w:rsidR="00516747" w:rsidRPr="00873B6C" w:rsidRDefault="00516747" w:rsidP="00591B52">
            <w:pPr>
              <w:pStyle w:val="TAC"/>
              <w:rPr>
                <w:sz w:val="16"/>
                <w:szCs w:val="16"/>
              </w:rPr>
            </w:pPr>
            <w:r w:rsidRPr="00873B6C">
              <w:rPr>
                <w:sz w:val="16"/>
                <w:szCs w:val="16"/>
              </w:rPr>
              <w:t>18.5.0</w:t>
            </w:r>
          </w:p>
        </w:tc>
      </w:tr>
      <w:tr w:rsidR="00516747" w:rsidRPr="00873B6C" w14:paraId="2408C6D0" w14:textId="77777777" w:rsidTr="009D14FB">
        <w:tc>
          <w:tcPr>
            <w:tcW w:w="800" w:type="dxa"/>
            <w:shd w:val="solid" w:color="FFFFFF" w:fill="auto"/>
          </w:tcPr>
          <w:p w14:paraId="3D5330DB" w14:textId="7FBFDA12"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3B8605D2" w14:textId="7E1DF3CC"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1F9A0EFA" w14:textId="552CBEFF" w:rsidR="00516747" w:rsidRPr="00873B6C" w:rsidRDefault="00516747" w:rsidP="00591B52">
            <w:pPr>
              <w:pStyle w:val="TAC"/>
              <w:rPr>
                <w:sz w:val="16"/>
                <w:szCs w:val="16"/>
              </w:rPr>
            </w:pPr>
            <w:r w:rsidRPr="00873B6C">
              <w:rPr>
                <w:sz w:val="16"/>
                <w:szCs w:val="16"/>
              </w:rPr>
              <w:t>SP-240101</w:t>
            </w:r>
          </w:p>
        </w:tc>
        <w:tc>
          <w:tcPr>
            <w:tcW w:w="567" w:type="dxa"/>
            <w:shd w:val="solid" w:color="FFFFFF" w:fill="auto"/>
          </w:tcPr>
          <w:p w14:paraId="743D3D72" w14:textId="5E1EE4B3" w:rsidR="00516747" w:rsidRPr="00873B6C" w:rsidRDefault="00516747" w:rsidP="00591B52">
            <w:pPr>
              <w:pStyle w:val="TAL"/>
              <w:rPr>
                <w:sz w:val="16"/>
                <w:szCs w:val="16"/>
              </w:rPr>
            </w:pPr>
            <w:r w:rsidRPr="00873B6C">
              <w:rPr>
                <w:sz w:val="16"/>
                <w:szCs w:val="16"/>
              </w:rPr>
              <w:t>5291</w:t>
            </w:r>
          </w:p>
        </w:tc>
        <w:tc>
          <w:tcPr>
            <w:tcW w:w="425" w:type="dxa"/>
            <w:shd w:val="solid" w:color="FFFFFF" w:fill="auto"/>
          </w:tcPr>
          <w:p w14:paraId="6C6B3A31" w14:textId="62389026" w:rsidR="00516747" w:rsidRPr="00873B6C" w:rsidRDefault="00516747" w:rsidP="00591B52">
            <w:pPr>
              <w:pStyle w:val="TAL"/>
              <w:rPr>
                <w:sz w:val="16"/>
                <w:szCs w:val="16"/>
              </w:rPr>
            </w:pPr>
            <w:r w:rsidRPr="00873B6C">
              <w:rPr>
                <w:sz w:val="16"/>
                <w:szCs w:val="16"/>
              </w:rPr>
              <w:t>1</w:t>
            </w:r>
          </w:p>
        </w:tc>
        <w:tc>
          <w:tcPr>
            <w:tcW w:w="425" w:type="dxa"/>
            <w:shd w:val="solid" w:color="FFFFFF" w:fill="auto"/>
          </w:tcPr>
          <w:p w14:paraId="68A46CB3" w14:textId="2EFEFBF0"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06EAF575" w14:textId="071402E1" w:rsidR="00516747" w:rsidRPr="00873B6C" w:rsidRDefault="00516747" w:rsidP="00591B52">
            <w:pPr>
              <w:pStyle w:val="TAL"/>
              <w:rPr>
                <w:sz w:val="16"/>
                <w:szCs w:val="16"/>
              </w:rPr>
            </w:pPr>
            <w:r w:rsidRPr="00873B6C">
              <w:rPr>
                <w:sz w:val="16"/>
                <w:szCs w:val="16"/>
              </w:rPr>
              <w:t>Network Slice usage control for emergency service</w:t>
            </w:r>
          </w:p>
        </w:tc>
        <w:tc>
          <w:tcPr>
            <w:tcW w:w="708" w:type="dxa"/>
            <w:shd w:val="solid" w:color="FFFFFF" w:fill="auto"/>
          </w:tcPr>
          <w:p w14:paraId="7ED74897" w14:textId="25BF194D" w:rsidR="00516747" w:rsidRPr="00873B6C" w:rsidRDefault="00516747" w:rsidP="00591B52">
            <w:pPr>
              <w:pStyle w:val="TAC"/>
              <w:rPr>
                <w:sz w:val="16"/>
                <w:szCs w:val="16"/>
              </w:rPr>
            </w:pPr>
            <w:r w:rsidRPr="00873B6C">
              <w:rPr>
                <w:sz w:val="16"/>
                <w:szCs w:val="16"/>
              </w:rPr>
              <w:t>18.5.0</w:t>
            </w:r>
          </w:p>
        </w:tc>
      </w:tr>
      <w:tr w:rsidR="00516747" w:rsidRPr="00873B6C" w14:paraId="56A15D38" w14:textId="77777777" w:rsidTr="009D14FB">
        <w:tc>
          <w:tcPr>
            <w:tcW w:w="800" w:type="dxa"/>
            <w:shd w:val="solid" w:color="FFFFFF" w:fill="auto"/>
          </w:tcPr>
          <w:p w14:paraId="3B4D9BA1" w14:textId="078213D9"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2B583732" w14:textId="244031E4"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724A4C7B" w14:textId="385D8133" w:rsidR="00516747" w:rsidRPr="00873B6C" w:rsidRDefault="00516747" w:rsidP="00591B52">
            <w:pPr>
              <w:pStyle w:val="TAC"/>
              <w:rPr>
                <w:sz w:val="16"/>
                <w:szCs w:val="16"/>
              </w:rPr>
            </w:pPr>
            <w:r w:rsidRPr="00873B6C">
              <w:rPr>
                <w:sz w:val="16"/>
                <w:szCs w:val="16"/>
              </w:rPr>
              <w:t>SP-240101</w:t>
            </w:r>
          </w:p>
        </w:tc>
        <w:tc>
          <w:tcPr>
            <w:tcW w:w="567" w:type="dxa"/>
            <w:shd w:val="solid" w:color="FFFFFF" w:fill="auto"/>
          </w:tcPr>
          <w:p w14:paraId="27650A4A" w14:textId="4DC6CB4C" w:rsidR="00516747" w:rsidRPr="00873B6C" w:rsidRDefault="00516747" w:rsidP="00591B52">
            <w:pPr>
              <w:pStyle w:val="TAL"/>
              <w:rPr>
                <w:sz w:val="16"/>
                <w:szCs w:val="16"/>
              </w:rPr>
            </w:pPr>
            <w:r w:rsidRPr="00873B6C">
              <w:rPr>
                <w:sz w:val="16"/>
                <w:szCs w:val="16"/>
              </w:rPr>
              <w:t>5292</w:t>
            </w:r>
          </w:p>
        </w:tc>
        <w:tc>
          <w:tcPr>
            <w:tcW w:w="425" w:type="dxa"/>
            <w:shd w:val="solid" w:color="FFFFFF" w:fill="auto"/>
          </w:tcPr>
          <w:p w14:paraId="6A48793E" w14:textId="5E7209C9" w:rsidR="00516747" w:rsidRPr="00873B6C" w:rsidRDefault="00516747" w:rsidP="00591B52">
            <w:pPr>
              <w:pStyle w:val="TAL"/>
              <w:rPr>
                <w:sz w:val="16"/>
                <w:szCs w:val="16"/>
              </w:rPr>
            </w:pPr>
            <w:r w:rsidRPr="00873B6C">
              <w:rPr>
                <w:sz w:val="16"/>
                <w:szCs w:val="16"/>
              </w:rPr>
              <w:t>4</w:t>
            </w:r>
          </w:p>
        </w:tc>
        <w:tc>
          <w:tcPr>
            <w:tcW w:w="425" w:type="dxa"/>
            <w:shd w:val="solid" w:color="FFFFFF" w:fill="auto"/>
          </w:tcPr>
          <w:p w14:paraId="796040D9" w14:textId="57EE426E"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7CA4B24D" w14:textId="6A774AB4" w:rsidR="00516747" w:rsidRPr="00873B6C" w:rsidRDefault="00516747" w:rsidP="00591B52">
            <w:pPr>
              <w:pStyle w:val="TAL"/>
              <w:rPr>
                <w:sz w:val="16"/>
                <w:szCs w:val="16"/>
              </w:rPr>
            </w:pPr>
            <w:r w:rsidRPr="00873B6C">
              <w:rPr>
                <w:sz w:val="16"/>
                <w:szCs w:val="16"/>
              </w:rPr>
              <w:t>Clarification on Network based monitoring and enforcement for NS-AoS and partially Allowed NSSAI</w:t>
            </w:r>
          </w:p>
        </w:tc>
        <w:tc>
          <w:tcPr>
            <w:tcW w:w="708" w:type="dxa"/>
            <w:shd w:val="solid" w:color="FFFFFF" w:fill="auto"/>
          </w:tcPr>
          <w:p w14:paraId="55591C59" w14:textId="7D79C5EF" w:rsidR="00516747" w:rsidRPr="00873B6C" w:rsidRDefault="00516747" w:rsidP="00591B52">
            <w:pPr>
              <w:pStyle w:val="TAC"/>
              <w:rPr>
                <w:sz w:val="16"/>
                <w:szCs w:val="16"/>
              </w:rPr>
            </w:pPr>
            <w:r w:rsidRPr="00873B6C">
              <w:rPr>
                <w:sz w:val="16"/>
                <w:szCs w:val="16"/>
              </w:rPr>
              <w:t>18.5.0</w:t>
            </w:r>
          </w:p>
        </w:tc>
      </w:tr>
      <w:tr w:rsidR="003D49E0" w:rsidRPr="00873B6C" w14:paraId="4AC32B60" w14:textId="77777777" w:rsidTr="009D14FB">
        <w:tc>
          <w:tcPr>
            <w:tcW w:w="800" w:type="dxa"/>
            <w:shd w:val="solid" w:color="FFFFFF" w:fill="auto"/>
          </w:tcPr>
          <w:p w14:paraId="6263F64F" w14:textId="3C63DC50"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FED2817" w14:textId="5E07CC1E"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3827C9B5" w14:textId="5E780956" w:rsidR="003D49E0" w:rsidRPr="00873B6C" w:rsidRDefault="003D49E0" w:rsidP="00591B52">
            <w:pPr>
              <w:pStyle w:val="TAC"/>
              <w:rPr>
                <w:sz w:val="16"/>
                <w:szCs w:val="16"/>
              </w:rPr>
            </w:pPr>
            <w:r w:rsidRPr="00873B6C">
              <w:rPr>
                <w:sz w:val="16"/>
                <w:szCs w:val="16"/>
              </w:rPr>
              <w:t>SP-240113</w:t>
            </w:r>
          </w:p>
        </w:tc>
        <w:tc>
          <w:tcPr>
            <w:tcW w:w="567" w:type="dxa"/>
            <w:shd w:val="solid" w:color="FFFFFF" w:fill="auto"/>
          </w:tcPr>
          <w:p w14:paraId="6971E5F0" w14:textId="6C2E79AE" w:rsidR="003D49E0" w:rsidRPr="00873B6C" w:rsidRDefault="003D49E0" w:rsidP="00591B52">
            <w:pPr>
              <w:pStyle w:val="TAL"/>
              <w:rPr>
                <w:sz w:val="16"/>
                <w:szCs w:val="16"/>
              </w:rPr>
            </w:pPr>
            <w:r w:rsidRPr="00873B6C">
              <w:rPr>
                <w:sz w:val="16"/>
                <w:szCs w:val="16"/>
              </w:rPr>
              <w:t>5295</w:t>
            </w:r>
          </w:p>
        </w:tc>
        <w:tc>
          <w:tcPr>
            <w:tcW w:w="425" w:type="dxa"/>
            <w:shd w:val="solid" w:color="FFFFFF" w:fill="auto"/>
          </w:tcPr>
          <w:p w14:paraId="518F2970" w14:textId="4DFEFFCC" w:rsidR="003D49E0" w:rsidRPr="00873B6C" w:rsidRDefault="003D49E0" w:rsidP="00591B52">
            <w:pPr>
              <w:pStyle w:val="TAL"/>
              <w:rPr>
                <w:sz w:val="16"/>
                <w:szCs w:val="16"/>
              </w:rPr>
            </w:pPr>
            <w:r w:rsidRPr="00873B6C">
              <w:rPr>
                <w:sz w:val="16"/>
                <w:szCs w:val="16"/>
              </w:rPr>
              <w:t>3</w:t>
            </w:r>
          </w:p>
        </w:tc>
        <w:tc>
          <w:tcPr>
            <w:tcW w:w="425" w:type="dxa"/>
            <w:shd w:val="solid" w:color="FFFFFF" w:fill="auto"/>
          </w:tcPr>
          <w:p w14:paraId="7C359430" w14:textId="4AA80B0D"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2E82E1DC" w14:textId="2BBCD8AD" w:rsidR="003D49E0" w:rsidRPr="00873B6C" w:rsidRDefault="003D49E0" w:rsidP="00591B52">
            <w:pPr>
              <w:pStyle w:val="TAL"/>
              <w:rPr>
                <w:sz w:val="16"/>
                <w:szCs w:val="16"/>
              </w:rPr>
            </w:pPr>
            <w:r w:rsidRPr="00873B6C">
              <w:rPr>
                <w:sz w:val="16"/>
                <w:szCs w:val="16"/>
              </w:rPr>
              <w:t>Clarifications on applicability of Protocol Description in PDR for EoDB identification in DL</w:t>
            </w:r>
          </w:p>
        </w:tc>
        <w:tc>
          <w:tcPr>
            <w:tcW w:w="708" w:type="dxa"/>
            <w:shd w:val="solid" w:color="FFFFFF" w:fill="auto"/>
          </w:tcPr>
          <w:p w14:paraId="6E1F8877" w14:textId="06D12E5B" w:rsidR="003D49E0" w:rsidRPr="00873B6C" w:rsidRDefault="003D49E0" w:rsidP="00591B52">
            <w:pPr>
              <w:pStyle w:val="TAC"/>
              <w:rPr>
                <w:sz w:val="16"/>
                <w:szCs w:val="16"/>
              </w:rPr>
            </w:pPr>
            <w:r w:rsidRPr="00873B6C">
              <w:rPr>
                <w:sz w:val="16"/>
                <w:szCs w:val="16"/>
              </w:rPr>
              <w:t>18.5.0</w:t>
            </w:r>
          </w:p>
        </w:tc>
      </w:tr>
      <w:tr w:rsidR="003D49E0" w:rsidRPr="00873B6C" w14:paraId="4F7C8490" w14:textId="77777777" w:rsidTr="009D14FB">
        <w:tc>
          <w:tcPr>
            <w:tcW w:w="800" w:type="dxa"/>
            <w:shd w:val="solid" w:color="FFFFFF" w:fill="auto"/>
          </w:tcPr>
          <w:p w14:paraId="4AF150EE" w14:textId="76F66D3D"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6BA86D1" w14:textId="66C9B0B3"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5CD2B6EC" w14:textId="7A721B32" w:rsidR="003D49E0" w:rsidRPr="00873B6C" w:rsidRDefault="003D49E0" w:rsidP="00591B52">
            <w:pPr>
              <w:pStyle w:val="TAC"/>
              <w:rPr>
                <w:sz w:val="16"/>
                <w:szCs w:val="16"/>
              </w:rPr>
            </w:pPr>
            <w:r w:rsidRPr="00873B6C">
              <w:rPr>
                <w:sz w:val="16"/>
                <w:szCs w:val="16"/>
              </w:rPr>
              <w:t>SP-240081</w:t>
            </w:r>
          </w:p>
        </w:tc>
        <w:tc>
          <w:tcPr>
            <w:tcW w:w="567" w:type="dxa"/>
            <w:shd w:val="solid" w:color="FFFFFF" w:fill="auto"/>
          </w:tcPr>
          <w:p w14:paraId="1AC06204" w14:textId="628CA076" w:rsidR="003D49E0" w:rsidRPr="00873B6C" w:rsidRDefault="003D49E0" w:rsidP="00591B52">
            <w:pPr>
              <w:pStyle w:val="TAL"/>
              <w:rPr>
                <w:sz w:val="16"/>
                <w:szCs w:val="16"/>
              </w:rPr>
            </w:pPr>
            <w:r w:rsidRPr="00873B6C">
              <w:rPr>
                <w:sz w:val="16"/>
                <w:szCs w:val="16"/>
              </w:rPr>
              <w:t>5297</w:t>
            </w:r>
          </w:p>
        </w:tc>
        <w:tc>
          <w:tcPr>
            <w:tcW w:w="425" w:type="dxa"/>
            <w:shd w:val="solid" w:color="FFFFFF" w:fill="auto"/>
          </w:tcPr>
          <w:p w14:paraId="617CE49B" w14:textId="47F4BC1D"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0F5AEE25" w14:textId="12E177EF"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2E6EC122" w14:textId="6EC2C5AB" w:rsidR="003D49E0" w:rsidRPr="00873B6C" w:rsidRDefault="003D49E0" w:rsidP="00591B52">
            <w:pPr>
              <w:pStyle w:val="TAL"/>
              <w:rPr>
                <w:sz w:val="16"/>
                <w:szCs w:val="16"/>
              </w:rPr>
            </w:pPr>
            <w:r w:rsidRPr="00873B6C">
              <w:rPr>
                <w:sz w:val="16"/>
                <w:szCs w:val="16"/>
              </w:rPr>
              <w:t>Access control for users with eRedcap/Redcap subscriptions</w:t>
            </w:r>
          </w:p>
        </w:tc>
        <w:tc>
          <w:tcPr>
            <w:tcW w:w="708" w:type="dxa"/>
            <w:shd w:val="solid" w:color="FFFFFF" w:fill="auto"/>
          </w:tcPr>
          <w:p w14:paraId="69F3F7F6" w14:textId="412613A7" w:rsidR="003D49E0" w:rsidRPr="00873B6C" w:rsidRDefault="003D49E0" w:rsidP="00591B52">
            <w:pPr>
              <w:pStyle w:val="TAC"/>
              <w:rPr>
                <w:sz w:val="16"/>
                <w:szCs w:val="16"/>
              </w:rPr>
            </w:pPr>
            <w:r w:rsidRPr="00873B6C">
              <w:rPr>
                <w:sz w:val="16"/>
                <w:szCs w:val="16"/>
              </w:rPr>
              <w:t>18.5.0</w:t>
            </w:r>
          </w:p>
        </w:tc>
      </w:tr>
      <w:tr w:rsidR="003D49E0" w:rsidRPr="00873B6C" w14:paraId="180FF097" w14:textId="77777777" w:rsidTr="009D14FB">
        <w:tc>
          <w:tcPr>
            <w:tcW w:w="800" w:type="dxa"/>
            <w:shd w:val="solid" w:color="FFFFFF" w:fill="auto"/>
          </w:tcPr>
          <w:p w14:paraId="07BB0384" w14:textId="368D93D8"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C829EF2" w14:textId="706D87C7"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2A186209" w14:textId="705BAC91" w:rsidR="003D49E0" w:rsidRPr="00873B6C" w:rsidRDefault="003D49E0" w:rsidP="00591B52">
            <w:pPr>
              <w:pStyle w:val="TAC"/>
              <w:rPr>
                <w:sz w:val="16"/>
                <w:szCs w:val="16"/>
              </w:rPr>
            </w:pPr>
            <w:r w:rsidRPr="00873B6C">
              <w:rPr>
                <w:sz w:val="16"/>
                <w:szCs w:val="16"/>
              </w:rPr>
              <w:t>SP-240096</w:t>
            </w:r>
          </w:p>
        </w:tc>
        <w:tc>
          <w:tcPr>
            <w:tcW w:w="567" w:type="dxa"/>
            <w:shd w:val="solid" w:color="FFFFFF" w:fill="auto"/>
          </w:tcPr>
          <w:p w14:paraId="0475CEFC" w14:textId="34FED3FB" w:rsidR="003D49E0" w:rsidRPr="00873B6C" w:rsidRDefault="003D49E0" w:rsidP="00591B52">
            <w:pPr>
              <w:pStyle w:val="TAL"/>
              <w:rPr>
                <w:sz w:val="16"/>
                <w:szCs w:val="16"/>
              </w:rPr>
            </w:pPr>
            <w:r w:rsidRPr="00873B6C">
              <w:rPr>
                <w:sz w:val="16"/>
                <w:szCs w:val="16"/>
              </w:rPr>
              <w:t>5299</w:t>
            </w:r>
          </w:p>
        </w:tc>
        <w:tc>
          <w:tcPr>
            <w:tcW w:w="425" w:type="dxa"/>
            <w:shd w:val="solid" w:color="FFFFFF" w:fill="auto"/>
          </w:tcPr>
          <w:p w14:paraId="3692599D" w14:textId="2F17133C" w:rsidR="003D49E0" w:rsidRPr="00873B6C" w:rsidRDefault="003D49E0" w:rsidP="00591B52">
            <w:pPr>
              <w:pStyle w:val="TAL"/>
              <w:rPr>
                <w:sz w:val="16"/>
                <w:szCs w:val="16"/>
              </w:rPr>
            </w:pPr>
            <w:r w:rsidRPr="00873B6C">
              <w:rPr>
                <w:sz w:val="16"/>
                <w:szCs w:val="16"/>
              </w:rPr>
              <w:t>-</w:t>
            </w:r>
          </w:p>
        </w:tc>
        <w:tc>
          <w:tcPr>
            <w:tcW w:w="425" w:type="dxa"/>
            <w:shd w:val="solid" w:color="FFFFFF" w:fill="auto"/>
          </w:tcPr>
          <w:p w14:paraId="27849B20" w14:textId="2349B07A"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253FF238" w14:textId="5D03FD54" w:rsidR="003D49E0" w:rsidRPr="00873B6C" w:rsidRDefault="003D49E0" w:rsidP="00591B52">
            <w:pPr>
              <w:pStyle w:val="TAL"/>
              <w:rPr>
                <w:sz w:val="16"/>
                <w:szCs w:val="16"/>
              </w:rPr>
            </w:pPr>
            <w:r w:rsidRPr="00873B6C">
              <w:rPr>
                <w:sz w:val="16"/>
                <w:szCs w:val="16"/>
              </w:rPr>
              <w:t>MPQUIC support related corrections</w:t>
            </w:r>
          </w:p>
        </w:tc>
        <w:tc>
          <w:tcPr>
            <w:tcW w:w="708" w:type="dxa"/>
            <w:shd w:val="solid" w:color="FFFFFF" w:fill="auto"/>
          </w:tcPr>
          <w:p w14:paraId="213C0EC9" w14:textId="7D1A6484" w:rsidR="003D49E0" w:rsidRPr="00873B6C" w:rsidRDefault="003D49E0" w:rsidP="00591B52">
            <w:pPr>
              <w:pStyle w:val="TAC"/>
              <w:rPr>
                <w:sz w:val="16"/>
                <w:szCs w:val="16"/>
              </w:rPr>
            </w:pPr>
            <w:r w:rsidRPr="00873B6C">
              <w:rPr>
                <w:sz w:val="16"/>
                <w:szCs w:val="16"/>
              </w:rPr>
              <w:t>18.5.0</w:t>
            </w:r>
          </w:p>
        </w:tc>
      </w:tr>
      <w:tr w:rsidR="003D49E0" w:rsidRPr="00873B6C" w14:paraId="54576BA3" w14:textId="77777777" w:rsidTr="009D14FB">
        <w:tc>
          <w:tcPr>
            <w:tcW w:w="800" w:type="dxa"/>
            <w:shd w:val="solid" w:color="FFFFFF" w:fill="auto"/>
          </w:tcPr>
          <w:p w14:paraId="3A3A3904" w14:textId="38C92D8C"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66AA2F09" w14:textId="18E52BD4"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29DB4B48" w14:textId="73CDE19E" w:rsidR="003D49E0" w:rsidRPr="00873B6C" w:rsidRDefault="003D49E0" w:rsidP="00591B52">
            <w:pPr>
              <w:pStyle w:val="TAC"/>
              <w:rPr>
                <w:sz w:val="16"/>
                <w:szCs w:val="16"/>
              </w:rPr>
            </w:pPr>
            <w:r w:rsidRPr="00873B6C">
              <w:rPr>
                <w:sz w:val="16"/>
                <w:szCs w:val="16"/>
              </w:rPr>
              <w:t>SP-240084</w:t>
            </w:r>
          </w:p>
        </w:tc>
        <w:tc>
          <w:tcPr>
            <w:tcW w:w="567" w:type="dxa"/>
            <w:shd w:val="solid" w:color="FFFFFF" w:fill="auto"/>
          </w:tcPr>
          <w:p w14:paraId="5CE3C8EB" w14:textId="2ACF20EF" w:rsidR="003D49E0" w:rsidRPr="00873B6C" w:rsidRDefault="003D49E0" w:rsidP="00591B52">
            <w:pPr>
              <w:pStyle w:val="TAL"/>
              <w:rPr>
                <w:sz w:val="16"/>
                <w:szCs w:val="16"/>
              </w:rPr>
            </w:pPr>
            <w:r w:rsidRPr="00873B6C">
              <w:rPr>
                <w:sz w:val="16"/>
                <w:szCs w:val="16"/>
              </w:rPr>
              <w:t>5301</w:t>
            </w:r>
          </w:p>
        </w:tc>
        <w:tc>
          <w:tcPr>
            <w:tcW w:w="425" w:type="dxa"/>
            <w:shd w:val="solid" w:color="FFFFFF" w:fill="auto"/>
          </w:tcPr>
          <w:p w14:paraId="299FCF51" w14:textId="672F3E26"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72E11823" w14:textId="1A702308" w:rsidR="003D49E0" w:rsidRPr="00873B6C" w:rsidRDefault="003D49E0" w:rsidP="00591B52">
            <w:pPr>
              <w:pStyle w:val="TAL"/>
              <w:rPr>
                <w:sz w:val="16"/>
                <w:szCs w:val="16"/>
              </w:rPr>
            </w:pPr>
            <w:r w:rsidRPr="00873B6C">
              <w:rPr>
                <w:sz w:val="16"/>
                <w:szCs w:val="16"/>
              </w:rPr>
              <w:t>A</w:t>
            </w:r>
          </w:p>
        </w:tc>
        <w:tc>
          <w:tcPr>
            <w:tcW w:w="4820" w:type="dxa"/>
            <w:shd w:val="solid" w:color="FFFFFF" w:fill="auto"/>
          </w:tcPr>
          <w:p w14:paraId="4067DC05" w14:textId="5AFC9A9C" w:rsidR="003D49E0" w:rsidRPr="00873B6C" w:rsidRDefault="003D49E0" w:rsidP="00591B52">
            <w:pPr>
              <w:pStyle w:val="TAL"/>
              <w:rPr>
                <w:sz w:val="16"/>
                <w:szCs w:val="16"/>
              </w:rPr>
            </w:pPr>
            <w:r w:rsidRPr="00873B6C">
              <w:rPr>
                <w:sz w:val="16"/>
                <w:szCs w:val="16"/>
              </w:rPr>
              <w:t xml:space="preserve">Handover control for NR-terrestrial to LTE satellite access </w:t>
            </w:r>
          </w:p>
        </w:tc>
        <w:tc>
          <w:tcPr>
            <w:tcW w:w="708" w:type="dxa"/>
            <w:shd w:val="solid" w:color="FFFFFF" w:fill="auto"/>
          </w:tcPr>
          <w:p w14:paraId="6B707578" w14:textId="27C42F0F" w:rsidR="003D49E0" w:rsidRPr="00873B6C" w:rsidRDefault="003D49E0" w:rsidP="00591B52">
            <w:pPr>
              <w:pStyle w:val="TAC"/>
              <w:rPr>
                <w:sz w:val="16"/>
                <w:szCs w:val="16"/>
              </w:rPr>
            </w:pPr>
            <w:r w:rsidRPr="00873B6C">
              <w:rPr>
                <w:sz w:val="16"/>
                <w:szCs w:val="16"/>
              </w:rPr>
              <w:t>18.5.0</w:t>
            </w:r>
          </w:p>
        </w:tc>
      </w:tr>
      <w:tr w:rsidR="003D49E0" w:rsidRPr="00873B6C" w14:paraId="2BFAEF2D" w14:textId="77777777" w:rsidTr="009D14FB">
        <w:tc>
          <w:tcPr>
            <w:tcW w:w="800" w:type="dxa"/>
            <w:shd w:val="solid" w:color="FFFFFF" w:fill="auto"/>
          </w:tcPr>
          <w:p w14:paraId="63458D56" w14:textId="54B66BA3"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7E4C0091" w14:textId="754C2155"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44BEC332" w14:textId="11CECE42" w:rsidR="003D49E0" w:rsidRPr="00873B6C" w:rsidRDefault="003D49E0" w:rsidP="00591B52">
            <w:pPr>
              <w:pStyle w:val="TAC"/>
              <w:rPr>
                <w:sz w:val="16"/>
                <w:szCs w:val="16"/>
              </w:rPr>
            </w:pPr>
            <w:r w:rsidRPr="00873B6C">
              <w:rPr>
                <w:sz w:val="16"/>
                <w:szCs w:val="16"/>
              </w:rPr>
              <w:t>SP-240112</w:t>
            </w:r>
          </w:p>
        </w:tc>
        <w:tc>
          <w:tcPr>
            <w:tcW w:w="567" w:type="dxa"/>
            <w:shd w:val="solid" w:color="FFFFFF" w:fill="auto"/>
          </w:tcPr>
          <w:p w14:paraId="65532D34" w14:textId="04A7A0E9" w:rsidR="003D49E0" w:rsidRPr="00873B6C" w:rsidRDefault="003D49E0" w:rsidP="00591B52">
            <w:pPr>
              <w:pStyle w:val="TAL"/>
              <w:rPr>
                <w:sz w:val="16"/>
                <w:szCs w:val="16"/>
              </w:rPr>
            </w:pPr>
            <w:r w:rsidRPr="00873B6C">
              <w:rPr>
                <w:sz w:val="16"/>
                <w:szCs w:val="16"/>
              </w:rPr>
              <w:t>5302</w:t>
            </w:r>
          </w:p>
        </w:tc>
        <w:tc>
          <w:tcPr>
            <w:tcW w:w="425" w:type="dxa"/>
            <w:shd w:val="solid" w:color="FFFFFF" w:fill="auto"/>
          </w:tcPr>
          <w:p w14:paraId="42FA0E24" w14:textId="2DD4B4D5"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0DFD4449" w14:textId="542A0CF8"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483169C1" w14:textId="6C406BC5" w:rsidR="003D49E0" w:rsidRPr="00873B6C" w:rsidRDefault="003D49E0" w:rsidP="00591B52">
            <w:pPr>
              <w:pStyle w:val="TAL"/>
              <w:rPr>
                <w:sz w:val="16"/>
                <w:szCs w:val="16"/>
              </w:rPr>
            </w:pPr>
            <w:r w:rsidRPr="00873B6C">
              <w:rPr>
                <w:sz w:val="16"/>
                <w:szCs w:val="16"/>
              </w:rPr>
              <w:t>Clarification on mobile IAB indication when establishing RRC connection</w:t>
            </w:r>
          </w:p>
        </w:tc>
        <w:tc>
          <w:tcPr>
            <w:tcW w:w="708" w:type="dxa"/>
            <w:shd w:val="solid" w:color="FFFFFF" w:fill="auto"/>
          </w:tcPr>
          <w:p w14:paraId="2AB2E4A9" w14:textId="7E73510F" w:rsidR="003D49E0" w:rsidRPr="00873B6C" w:rsidRDefault="003D49E0" w:rsidP="00591B52">
            <w:pPr>
              <w:pStyle w:val="TAC"/>
              <w:rPr>
                <w:sz w:val="16"/>
                <w:szCs w:val="16"/>
              </w:rPr>
            </w:pPr>
            <w:r w:rsidRPr="00873B6C">
              <w:rPr>
                <w:sz w:val="16"/>
                <w:szCs w:val="16"/>
              </w:rPr>
              <w:t>18.5.0</w:t>
            </w:r>
          </w:p>
        </w:tc>
      </w:tr>
      <w:tr w:rsidR="003D49E0" w:rsidRPr="00873B6C" w14:paraId="5FE2249C" w14:textId="77777777" w:rsidTr="009D14FB">
        <w:tc>
          <w:tcPr>
            <w:tcW w:w="800" w:type="dxa"/>
            <w:shd w:val="solid" w:color="FFFFFF" w:fill="auto"/>
          </w:tcPr>
          <w:p w14:paraId="64320269" w14:textId="01A35AF4"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6D936F87" w14:textId="72E4F3CA"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4C2A71C6" w14:textId="6225C23A" w:rsidR="003D49E0" w:rsidRPr="00873B6C" w:rsidRDefault="003D49E0" w:rsidP="00591B52">
            <w:pPr>
              <w:pStyle w:val="TAC"/>
              <w:rPr>
                <w:sz w:val="16"/>
                <w:szCs w:val="16"/>
              </w:rPr>
            </w:pPr>
            <w:r w:rsidRPr="00873B6C">
              <w:rPr>
                <w:sz w:val="16"/>
                <w:szCs w:val="16"/>
              </w:rPr>
              <w:t>SP-240112</w:t>
            </w:r>
          </w:p>
        </w:tc>
        <w:tc>
          <w:tcPr>
            <w:tcW w:w="567" w:type="dxa"/>
            <w:shd w:val="solid" w:color="FFFFFF" w:fill="auto"/>
          </w:tcPr>
          <w:p w14:paraId="135B89C8" w14:textId="54699294" w:rsidR="003D49E0" w:rsidRPr="00873B6C" w:rsidRDefault="003D49E0" w:rsidP="00591B52">
            <w:pPr>
              <w:pStyle w:val="TAL"/>
              <w:rPr>
                <w:sz w:val="16"/>
                <w:szCs w:val="16"/>
              </w:rPr>
            </w:pPr>
            <w:r w:rsidRPr="00873B6C">
              <w:rPr>
                <w:sz w:val="16"/>
                <w:szCs w:val="16"/>
              </w:rPr>
              <w:t>5303</w:t>
            </w:r>
          </w:p>
        </w:tc>
        <w:tc>
          <w:tcPr>
            <w:tcW w:w="425" w:type="dxa"/>
            <w:shd w:val="solid" w:color="FFFFFF" w:fill="auto"/>
          </w:tcPr>
          <w:p w14:paraId="39C170C2" w14:textId="7129296E"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4D0F97AB" w14:textId="53274FDB"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6A3A691D" w14:textId="262F57CE" w:rsidR="003D49E0" w:rsidRPr="00873B6C" w:rsidRDefault="003D49E0" w:rsidP="00591B52">
            <w:pPr>
              <w:pStyle w:val="TAL"/>
              <w:rPr>
                <w:sz w:val="16"/>
                <w:szCs w:val="16"/>
              </w:rPr>
            </w:pPr>
            <w:r w:rsidRPr="00873B6C">
              <w:rPr>
                <w:sz w:val="16"/>
                <w:szCs w:val="16"/>
              </w:rPr>
              <w:t>Indication to AMF for MBSR connection release</w:t>
            </w:r>
          </w:p>
        </w:tc>
        <w:tc>
          <w:tcPr>
            <w:tcW w:w="708" w:type="dxa"/>
            <w:shd w:val="solid" w:color="FFFFFF" w:fill="auto"/>
          </w:tcPr>
          <w:p w14:paraId="5DDF7040" w14:textId="01484C1D" w:rsidR="003D49E0" w:rsidRPr="00873B6C" w:rsidRDefault="003D49E0" w:rsidP="00591B52">
            <w:pPr>
              <w:pStyle w:val="TAC"/>
              <w:rPr>
                <w:sz w:val="16"/>
                <w:szCs w:val="16"/>
              </w:rPr>
            </w:pPr>
            <w:r w:rsidRPr="00873B6C">
              <w:rPr>
                <w:sz w:val="16"/>
                <w:szCs w:val="16"/>
              </w:rPr>
              <w:t>18.5.0</w:t>
            </w:r>
          </w:p>
        </w:tc>
      </w:tr>
      <w:tr w:rsidR="003D49E0" w:rsidRPr="00873B6C" w14:paraId="70D09A5C" w14:textId="77777777" w:rsidTr="009D14FB">
        <w:tc>
          <w:tcPr>
            <w:tcW w:w="800" w:type="dxa"/>
            <w:shd w:val="solid" w:color="FFFFFF" w:fill="auto"/>
          </w:tcPr>
          <w:p w14:paraId="726AFCCC" w14:textId="0DBE9F3B"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0D7102E4" w14:textId="64EF4BCF"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4388A425" w14:textId="004E8EA8" w:rsidR="003D49E0" w:rsidRPr="00873B6C" w:rsidRDefault="003D49E0" w:rsidP="00591B52">
            <w:pPr>
              <w:pStyle w:val="TAC"/>
              <w:rPr>
                <w:sz w:val="16"/>
                <w:szCs w:val="16"/>
              </w:rPr>
            </w:pPr>
            <w:r w:rsidRPr="00873B6C">
              <w:rPr>
                <w:sz w:val="16"/>
                <w:szCs w:val="16"/>
              </w:rPr>
              <w:t>SP-240090</w:t>
            </w:r>
          </w:p>
        </w:tc>
        <w:tc>
          <w:tcPr>
            <w:tcW w:w="567" w:type="dxa"/>
            <w:shd w:val="solid" w:color="FFFFFF" w:fill="auto"/>
          </w:tcPr>
          <w:p w14:paraId="6C0DE592" w14:textId="4B3C38F0" w:rsidR="003D49E0" w:rsidRPr="00873B6C" w:rsidRDefault="003D49E0" w:rsidP="00591B52">
            <w:pPr>
              <w:pStyle w:val="TAL"/>
              <w:rPr>
                <w:sz w:val="16"/>
                <w:szCs w:val="16"/>
              </w:rPr>
            </w:pPr>
            <w:r w:rsidRPr="00873B6C">
              <w:rPr>
                <w:sz w:val="16"/>
                <w:szCs w:val="16"/>
              </w:rPr>
              <w:t>5304</w:t>
            </w:r>
          </w:p>
        </w:tc>
        <w:tc>
          <w:tcPr>
            <w:tcW w:w="425" w:type="dxa"/>
            <w:shd w:val="solid" w:color="FFFFFF" w:fill="auto"/>
          </w:tcPr>
          <w:p w14:paraId="6C2D12D7" w14:textId="606128E0"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1838A53D" w14:textId="0A6A037A"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5027D4A0" w14:textId="20141A97" w:rsidR="003D49E0" w:rsidRPr="00873B6C" w:rsidRDefault="003D49E0" w:rsidP="00591B52">
            <w:pPr>
              <w:pStyle w:val="TAL"/>
              <w:rPr>
                <w:sz w:val="16"/>
                <w:szCs w:val="16"/>
              </w:rPr>
            </w:pPr>
            <w:r w:rsidRPr="00873B6C">
              <w:rPr>
                <w:sz w:val="16"/>
                <w:szCs w:val="16"/>
              </w:rPr>
              <w:t>Clarification on unavailability period</w:t>
            </w:r>
          </w:p>
        </w:tc>
        <w:tc>
          <w:tcPr>
            <w:tcW w:w="708" w:type="dxa"/>
            <w:shd w:val="solid" w:color="FFFFFF" w:fill="auto"/>
          </w:tcPr>
          <w:p w14:paraId="2314D232" w14:textId="3E4CE055" w:rsidR="003D49E0" w:rsidRPr="00873B6C" w:rsidRDefault="003D49E0" w:rsidP="00591B52">
            <w:pPr>
              <w:pStyle w:val="TAC"/>
              <w:rPr>
                <w:sz w:val="16"/>
                <w:szCs w:val="16"/>
              </w:rPr>
            </w:pPr>
            <w:r w:rsidRPr="00873B6C">
              <w:rPr>
                <w:sz w:val="16"/>
                <w:szCs w:val="16"/>
              </w:rPr>
              <w:t>18.5.0</w:t>
            </w:r>
          </w:p>
        </w:tc>
      </w:tr>
      <w:tr w:rsidR="003D49E0" w:rsidRPr="00873B6C" w14:paraId="24C8CE6A" w14:textId="77777777" w:rsidTr="009D14FB">
        <w:tc>
          <w:tcPr>
            <w:tcW w:w="800" w:type="dxa"/>
            <w:shd w:val="solid" w:color="FFFFFF" w:fill="auto"/>
          </w:tcPr>
          <w:p w14:paraId="12DA6E18" w14:textId="46A38E13"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60BE3EBF" w14:textId="0B8E5961"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7D7A0FC8" w14:textId="598D41E8" w:rsidR="003D49E0" w:rsidRPr="00873B6C" w:rsidRDefault="003D49E0" w:rsidP="00591B52">
            <w:pPr>
              <w:pStyle w:val="TAC"/>
              <w:rPr>
                <w:sz w:val="16"/>
                <w:szCs w:val="16"/>
              </w:rPr>
            </w:pPr>
            <w:r w:rsidRPr="00873B6C">
              <w:rPr>
                <w:sz w:val="16"/>
                <w:szCs w:val="16"/>
              </w:rPr>
              <w:t>SP-240112</w:t>
            </w:r>
          </w:p>
        </w:tc>
        <w:tc>
          <w:tcPr>
            <w:tcW w:w="567" w:type="dxa"/>
            <w:shd w:val="solid" w:color="FFFFFF" w:fill="auto"/>
          </w:tcPr>
          <w:p w14:paraId="4EBC6929" w14:textId="6F0795FB" w:rsidR="003D49E0" w:rsidRPr="00873B6C" w:rsidRDefault="003D49E0" w:rsidP="00591B52">
            <w:pPr>
              <w:pStyle w:val="TAL"/>
              <w:rPr>
                <w:sz w:val="16"/>
                <w:szCs w:val="16"/>
              </w:rPr>
            </w:pPr>
            <w:r w:rsidRPr="00873B6C">
              <w:rPr>
                <w:sz w:val="16"/>
                <w:szCs w:val="16"/>
              </w:rPr>
              <w:t>5305</w:t>
            </w:r>
          </w:p>
        </w:tc>
        <w:tc>
          <w:tcPr>
            <w:tcW w:w="425" w:type="dxa"/>
            <w:shd w:val="solid" w:color="FFFFFF" w:fill="auto"/>
          </w:tcPr>
          <w:p w14:paraId="2D1B2D53" w14:textId="1111C3C9" w:rsidR="003D49E0" w:rsidRPr="00873B6C" w:rsidRDefault="003D49E0" w:rsidP="00591B52">
            <w:pPr>
              <w:pStyle w:val="TAL"/>
              <w:rPr>
                <w:sz w:val="16"/>
                <w:szCs w:val="16"/>
              </w:rPr>
            </w:pPr>
            <w:r w:rsidRPr="00873B6C">
              <w:rPr>
                <w:sz w:val="16"/>
                <w:szCs w:val="16"/>
              </w:rPr>
              <w:t>-</w:t>
            </w:r>
          </w:p>
        </w:tc>
        <w:tc>
          <w:tcPr>
            <w:tcW w:w="425" w:type="dxa"/>
            <w:shd w:val="solid" w:color="FFFFFF" w:fill="auto"/>
          </w:tcPr>
          <w:p w14:paraId="06A6A46B" w14:textId="7190A466"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41FE597D" w14:textId="54FFC79A" w:rsidR="003D49E0" w:rsidRPr="00873B6C" w:rsidRDefault="003D49E0" w:rsidP="00591B52">
            <w:pPr>
              <w:pStyle w:val="TAL"/>
              <w:rPr>
                <w:sz w:val="16"/>
                <w:szCs w:val="16"/>
              </w:rPr>
            </w:pPr>
            <w:r w:rsidRPr="00873B6C">
              <w:rPr>
                <w:sz w:val="16"/>
                <w:szCs w:val="16"/>
              </w:rPr>
              <w:t>Clarification on AMF selection</w:t>
            </w:r>
          </w:p>
        </w:tc>
        <w:tc>
          <w:tcPr>
            <w:tcW w:w="708" w:type="dxa"/>
            <w:shd w:val="solid" w:color="FFFFFF" w:fill="auto"/>
          </w:tcPr>
          <w:p w14:paraId="55BBE83A" w14:textId="7399442C" w:rsidR="003D49E0" w:rsidRPr="00873B6C" w:rsidRDefault="003D49E0" w:rsidP="00591B52">
            <w:pPr>
              <w:pStyle w:val="TAC"/>
              <w:rPr>
                <w:sz w:val="16"/>
                <w:szCs w:val="16"/>
              </w:rPr>
            </w:pPr>
            <w:r w:rsidRPr="00873B6C">
              <w:rPr>
                <w:sz w:val="16"/>
                <w:szCs w:val="16"/>
              </w:rPr>
              <w:t>18.5.0</w:t>
            </w:r>
          </w:p>
        </w:tc>
      </w:tr>
      <w:tr w:rsidR="003D49E0" w:rsidRPr="00873B6C" w14:paraId="6D2C6BD7" w14:textId="77777777" w:rsidTr="009D14FB">
        <w:tc>
          <w:tcPr>
            <w:tcW w:w="800" w:type="dxa"/>
            <w:shd w:val="solid" w:color="FFFFFF" w:fill="auto"/>
          </w:tcPr>
          <w:p w14:paraId="6BD8F93C" w14:textId="5C32173B"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7DDE631C" w14:textId="08B223A7"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578D342A" w14:textId="2F764D3A" w:rsidR="003D49E0" w:rsidRPr="00873B6C" w:rsidRDefault="003D49E0" w:rsidP="00591B52">
            <w:pPr>
              <w:pStyle w:val="TAC"/>
              <w:rPr>
                <w:sz w:val="16"/>
                <w:szCs w:val="16"/>
              </w:rPr>
            </w:pPr>
            <w:r w:rsidRPr="00873B6C">
              <w:rPr>
                <w:sz w:val="16"/>
                <w:szCs w:val="16"/>
              </w:rPr>
              <w:t>SP-240098</w:t>
            </w:r>
          </w:p>
        </w:tc>
        <w:tc>
          <w:tcPr>
            <w:tcW w:w="567" w:type="dxa"/>
            <w:shd w:val="solid" w:color="FFFFFF" w:fill="auto"/>
          </w:tcPr>
          <w:p w14:paraId="5F1706FF" w14:textId="350E82C1" w:rsidR="003D49E0" w:rsidRPr="00873B6C" w:rsidRDefault="003D49E0" w:rsidP="00591B52">
            <w:pPr>
              <w:pStyle w:val="TAL"/>
              <w:rPr>
                <w:sz w:val="16"/>
                <w:szCs w:val="16"/>
              </w:rPr>
            </w:pPr>
            <w:r w:rsidRPr="00873B6C">
              <w:rPr>
                <w:sz w:val="16"/>
                <w:szCs w:val="16"/>
              </w:rPr>
              <w:t>5310</w:t>
            </w:r>
          </w:p>
        </w:tc>
        <w:tc>
          <w:tcPr>
            <w:tcW w:w="425" w:type="dxa"/>
            <w:shd w:val="solid" w:color="FFFFFF" w:fill="auto"/>
          </w:tcPr>
          <w:p w14:paraId="11745961" w14:textId="08BAEBBA" w:rsidR="003D49E0" w:rsidRPr="00873B6C" w:rsidRDefault="003D49E0" w:rsidP="00591B52">
            <w:pPr>
              <w:pStyle w:val="TAL"/>
              <w:rPr>
                <w:sz w:val="16"/>
                <w:szCs w:val="16"/>
              </w:rPr>
            </w:pPr>
            <w:r w:rsidRPr="00873B6C">
              <w:rPr>
                <w:sz w:val="16"/>
                <w:szCs w:val="16"/>
              </w:rPr>
              <w:t>2</w:t>
            </w:r>
          </w:p>
        </w:tc>
        <w:tc>
          <w:tcPr>
            <w:tcW w:w="425" w:type="dxa"/>
            <w:shd w:val="solid" w:color="FFFFFF" w:fill="auto"/>
          </w:tcPr>
          <w:p w14:paraId="37959191" w14:textId="05F1E83C"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7FFE2B68" w14:textId="2C66F8F9" w:rsidR="003D49E0" w:rsidRPr="00873B6C" w:rsidRDefault="003D49E0" w:rsidP="00591B52">
            <w:pPr>
              <w:pStyle w:val="TAL"/>
              <w:rPr>
                <w:sz w:val="16"/>
                <w:szCs w:val="16"/>
              </w:rPr>
            </w:pPr>
            <w:r w:rsidRPr="00873B6C">
              <w:rPr>
                <w:sz w:val="16"/>
                <w:szCs w:val="16"/>
              </w:rPr>
              <w:t>KI#4 Clarifications on common EAS/DNAI procedure</w:t>
            </w:r>
          </w:p>
        </w:tc>
        <w:tc>
          <w:tcPr>
            <w:tcW w:w="708" w:type="dxa"/>
            <w:shd w:val="solid" w:color="FFFFFF" w:fill="auto"/>
          </w:tcPr>
          <w:p w14:paraId="54D43CC6" w14:textId="056A449F" w:rsidR="003D49E0" w:rsidRPr="00873B6C" w:rsidRDefault="003D49E0" w:rsidP="00591B52">
            <w:pPr>
              <w:pStyle w:val="TAC"/>
              <w:rPr>
                <w:sz w:val="16"/>
                <w:szCs w:val="16"/>
              </w:rPr>
            </w:pPr>
            <w:r w:rsidRPr="00873B6C">
              <w:rPr>
                <w:sz w:val="16"/>
                <w:szCs w:val="16"/>
              </w:rPr>
              <w:t>18.5.0</w:t>
            </w:r>
          </w:p>
        </w:tc>
      </w:tr>
      <w:tr w:rsidR="003D49E0" w:rsidRPr="00873B6C" w14:paraId="475B46AF" w14:textId="77777777" w:rsidTr="009D14FB">
        <w:tc>
          <w:tcPr>
            <w:tcW w:w="800" w:type="dxa"/>
            <w:shd w:val="solid" w:color="FFFFFF" w:fill="auto"/>
          </w:tcPr>
          <w:p w14:paraId="23D74B80" w14:textId="13B377AD"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1578203B" w14:textId="6702E1FD"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3C7929C9" w14:textId="06DAC31F" w:rsidR="003D49E0" w:rsidRPr="00873B6C" w:rsidRDefault="003D49E0" w:rsidP="00591B52">
            <w:pPr>
              <w:pStyle w:val="TAC"/>
              <w:rPr>
                <w:sz w:val="16"/>
                <w:szCs w:val="16"/>
              </w:rPr>
            </w:pPr>
            <w:r w:rsidRPr="00873B6C">
              <w:rPr>
                <w:sz w:val="16"/>
                <w:szCs w:val="16"/>
              </w:rPr>
              <w:t>SP-240110</w:t>
            </w:r>
          </w:p>
        </w:tc>
        <w:tc>
          <w:tcPr>
            <w:tcW w:w="567" w:type="dxa"/>
            <w:shd w:val="solid" w:color="FFFFFF" w:fill="auto"/>
          </w:tcPr>
          <w:p w14:paraId="0F44E042" w14:textId="74A4A550" w:rsidR="003D49E0" w:rsidRPr="00873B6C" w:rsidRDefault="003D49E0" w:rsidP="00591B52">
            <w:pPr>
              <w:pStyle w:val="TAL"/>
              <w:rPr>
                <w:sz w:val="16"/>
                <w:szCs w:val="16"/>
              </w:rPr>
            </w:pPr>
            <w:r w:rsidRPr="00873B6C">
              <w:rPr>
                <w:sz w:val="16"/>
                <w:szCs w:val="16"/>
              </w:rPr>
              <w:t>5311</w:t>
            </w:r>
          </w:p>
        </w:tc>
        <w:tc>
          <w:tcPr>
            <w:tcW w:w="425" w:type="dxa"/>
            <w:shd w:val="solid" w:color="FFFFFF" w:fill="auto"/>
          </w:tcPr>
          <w:p w14:paraId="605C0E74" w14:textId="6B66D84F" w:rsidR="003D49E0" w:rsidRPr="00873B6C" w:rsidRDefault="003D49E0" w:rsidP="00591B52">
            <w:pPr>
              <w:pStyle w:val="TAL"/>
              <w:rPr>
                <w:sz w:val="16"/>
                <w:szCs w:val="16"/>
              </w:rPr>
            </w:pPr>
            <w:r w:rsidRPr="00873B6C">
              <w:rPr>
                <w:sz w:val="16"/>
                <w:szCs w:val="16"/>
              </w:rPr>
              <w:t>3</w:t>
            </w:r>
          </w:p>
        </w:tc>
        <w:tc>
          <w:tcPr>
            <w:tcW w:w="425" w:type="dxa"/>
            <w:shd w:val="solid" w:color="FFFFFF" w:fill="auto"/>
          </w:tcPr>
          <w:p w14:paraId="46A3671C" w14:textId="63853E6A"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05B77764" w14:textId="09B8621F" w:rsidR="003D49E0" w:rsidRPr="00873B6C" w:rsidRDefault="003D49E0" w:rsidP="00591B52">
            <w:pPr>
              <w:pStyle w:val="TAL"/>
              <w:rPr>
                <w:sz w:val="16"/>
                <w:szCs w:val="16"/>
              </w:rPr>
            </w:pPr>
            <w:r w:rsidRPr="00873B6C">
              <w:rPr>
                <w:sz w:val="16"/>
                <w:szCs w:val="16"/>
              </w:rPr>
              <w:t>Update TSCAI at SMF based on proactive RAN feedback on BAT and periodicity</w:t>
            </w:r>
          </w:p>
        </w:tc>
        <w:tc>
          <w:tcPr>
            <w:tcW w:w="708" w:type="dxa"/>
            <w:shd w:val="solid" w:color="FFFFFF" w:fill="auto"/>
          </w:tcPr>
          <w:p w14:paraId="6A6BDF1D" w14:textId="0198EB2D" w:rsidR="003D49E0" w:rsidRPr="00873B6C" w:rsidRDefault="003D49E0" w:rsidP="00591B52">
            <w:pPr>
              <w:pStyle w:val="TAC"/>
              <w:rPr>
                <w:sz w:val="16"/>
                <w:szCs w:val="16"/>
              </w:rPr>
            </w:pPr>
            <w:r w:rsidRPr="00873B6C">
              <w:rPr>
                <w:sz w:val="16"/>
                <w:szCs w:val="16"/>
              </w:rPr>
              <w:t>18.5.0</w:t>
            </w:r>
          </w:p>
        </w:tc>
      </w:tr>
      <w:tr w:rsidR="003D49E0" w:rsidRPr="00873B6C" w14:paraId="074196EA" w14:textId="77777777" w:rsidTr="009D14FB">
        <w:tc>
          <w:tcPr>
            <w:tcW w:w="800" w:type="dxa"/>
            <w:shd w:val="solid" w:color="FFFFFF" w:fill="auto"/>
          </w:tcPr>
          <w:p w14:paraId="47E15728" w14:textId="7A475390"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AD968CF" w14:textId="1D5DC33C"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7196876A" w14:textId="0C318520" w:rsidR="003D49E0" w:rsidRPr="00873B6C" w:rsidRDefault="003D49E0" w:rsidP="00591B52">
            <w:pPr>
              <w:pStyle w:val="TAC"/>
              <w:rPr>
                <w:sz w:val="16"/>
                <w:szCs w:val="16"/>
              </w:rPr>
            </w:pPr>
            <w:r w:rsidRPr="00873B6C">
              <w:rPr>
                <w:sz w:val="16"/>
                <w:szCs w:val="16"/>
              </w:rPr>
              <w:t>SP-240113</w:t>
            </w:r>
          </w:p>
        </w:tc>
        <w:tc>
          <w:tcPr>
            <w:tcW w:w="567" w:type="dxa"/>
            <w:shd w:val="solid" w:color="FFFFFF" w:fill="auto"/>
          </w:tcPr>
          <w:p w14:paraId="36D5F2E2" w14:textId="31179B75" w:rsidR="003D49E0" w:rsidRPr="00873B6C" w:rsidRDefault="003D49E0" w:rsidP="00591B52">
            <w:pPr>
              <w:pStyle w:val="TAL"/>
              <w:rPr>
                <w:sz w:val="16"/>
                <w:szCs w:val="16"/>
              </w:rPr>
            </w:pPr>
            <w:r w:rsidRPr="00873B6C">
              <w:rPr>
                <w:sz w:val="16"/>
                <w:szCs w:val="16"/>
              </w:rPr>
              <w:t>5313</w:t>
            </w:r>
          </w:p>
        </w:tc>
        <w:tc>
          <w:tcPr>
            <w:tcW w:w="425" w:type="dxa"/>
            <w:shd w:val="solid" w:color="FFFFFF" w:fill="auto"/>
          </w:tcPr>
          <w:p w14:paraId="48D387DE" w14:textId="71B395FE" w:rsidR="003D49E0" w:rsidRPr="00873B6C" w:rsidRDefault="003D49E0" w:rsidP="00591B52">
            <w:pPr>
              <w:pStyle w:val="TAL"/>
              <w:rPr>
                <w:sz w:val="16"/>
                <w:szCs w:val="16"/>
              </w:rPr>
            </w:pPr>
            <w:r w:rsidRPr="00873B6C">
              <w:rPr>
                <w:sz w:val="16"/>
                <w:szCs w:val="16"/>
              </w:rPr>
              <w:t>2</w:t>
            </w:r>
          </w:p>
        </w:tc>
        <w:tc>
          <w:tcPr>
            <w:tcW w:w="425" w:type="dxa"/>
            <w:shd w:val="solid" w:color="FFFFFF" w:fill="auto"/>
          </w:tcPr>
          <w:p w14:paraId="7610193A" w14:textId="118E1DD9"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62A4AE25" w14:textId="141BC8F4" w:rsidR="003D49E0" w:rsidRPr="00873B6C" w:rsidRDefault="003D49E0" w:rsidP="00591B52">
            <w:pPr>
              <w:pStyle w:val="TAL"/>
              <w:rPr>
                <w:sz w:val="16"/>
                <w:szCs w:val="16"/>
              </w:rPr>
            </w:pPr>
            <w:r w:rsidRPr="00873B6C">
              <w:rPr>
                <w:sz w:val="16"/>
                <w:szCs w:val="16"/>
              </w:rPr>
              <w:t>Correct the misalignment for congestion exposure and L4S</w:t>
            </w:r>
          </w:p>
        </w:tc>
        <w:tc>
          <w:tcPr>
            <w:tcW w:w="708" w:type="dxa"/>
            <w:shd w:val="solid" w:color="FFFFFF" w:fill="auto"/>
          </w:tcPr>
          <w:p w14:paraId="62B9A6D1" w14:textId="08F8F82F" w:rsidR="003D49E0" w:rsidRPr="00873B6C" w:rsidRDefault="003D49E0" w:rsidP="00591B52">
            <w:pPr>
              <w:pStyle w:val="TAC"/>
              <w:rPr>
                <w:sz w:val="16"/>
                <w:szCs w:val="16"/>
              </w:rPr>
            </w:pPr>
            <w:r w:rsidRPr="00873B6C">
              <w:rPr>
                <w:sz w:val="16"/>
                <w:szCs w:val="16"/>
              </w:rPr>
              <w:t>18.5.0</w:t>
            </w:r>
          </w:p>
        </w:tc>
      </w:tr>
      <w:tr w:rsidR="003D49E0" w:rsidRPr="00873B6C" w14:paraId="360D9488" w14:textId="77777777" w:rsidTr="009D14FB">
        <w:tc>
          <w:tcPr>
            <w:tcW w:w="800" w:type="dxa"/>
            <w:shd w:val="solid" w:color="FFFFFF" w:fill="auto"/>
          </w:tcPr>
          <w:p w14:paraId="00D66F64" w14:textId="4207E924"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3D7C0534" w14:textId="4487EBB6"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59E0665F" w14:textId="2C267994" w:rsidR="003D49E0" w:rsidRPr="00873B6C" w:rsidRDefault="003D49E0" w:rsidP="00591B52">
            <w:pPr>
              <w:pStyle w:val="TAC"/>
              <w:rPr>
                <w:sz w:val="16"/>
                <w:szCs w:val="16"/>
              </w:rPr>
            </w:pPr>
            <w:r w:rsidRPr="00873B6C">
              <w:rPr>
                <w:sz w:val="16"/>
                <w:szCs w:val="16"/>
              </w:rPr>
              <w:t>SP-240098</w:t>
            </w:r>
          </w:p>
        </w:tc>
        <w:tc>
          <w:tcPr>
            <w:tcW w:w="567" w:type="dxa"/>
            <w:shd w:val="solid" w:color="FFFFFF" w:fill="auto"/>
          </w:tcPr>
          <w:p w14:paraId="10C41E96" w14:textId="2D6A7298" w:rsidR="003D49E0" w:rsidRPr="00873B6C" w:rsidRDefault="003D49E0" w:rsidP="00591B52">
            <w:pPr>
              <w:pStyle w:val="TAL"/>
              <w:rPr>
                <w:sz w:val="16"/>
                <w:szCs w:val="16"/>
              </w:rPr>
            </w:pPr>
            <w:r w:rsidRPr="00873B6C">
              <w:rPr>
                <w:sz w:val="16"/>
                <w:szCs w:val="16"/>
              </w:rPr>
              <w:t>5319</w:t>
            </w:r>
          </w:p>
        </w:tc>
        <w:tc>
          <w:tcPr>
            <w:tcW w:w="425" w:type="dxa"/>
            <w:shd w:val="solid" w:color="FFFFFF" w:fill="auto"/>
          </w:tcPr>
          <w:p w14:paraId="4ED60C53" w14:textId="67BB0403"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04A3AFF6" w14:textId="0C95DC48"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16A221BF" w14:textId="6C306CED" w:rsidR="003D49E0" w:rsidRPr="00873B6C" w:rsidRDefault="003D49E0" w:rsidP="00591B52">
            <w:pPr>
              <w:pStyle w:val="TAL"/>
              <w:rPr>
                <w:sz w:val="16"/>
                <w:szCs w:val="16"/>
              </w:rPr>
            </w:pPr>
            <w:r w:rsidRPr="00873B6C">
              <w:rPr>
                <w:sz w:val="16"/>
                <w:szCs w:val="16"/>
              </w:rPr>
              <w:t>Update Network function update of SMF and UPF selection for HR-SBO</w:t>
            </w:r>
          </w:p>
        </w:tc>
        <w:tc>
          <w:tcPr>
            <w:tcW w:w="708" w:type="dxa"/>
            <w:shd w:val="solid" w:color="FFFFFF" w:fill="auto"/>
          </w:tcPr>
          <w:p w14:paraId="64F56AC3" w14:textId="18CFB7D6" w:rsidR="003D49E0" w:rsidRPr="00873B6C" w:rsidRDefault="003D49E0" w:rsidP="00591B52">
            <w:pPr>
              <w:pStyle w:val="TAC"/>
              <w:rPr>
                <w:sz w:val="16"/>
                <w:szCs w:val="16"/>
              </w:rPr>
            </w:pPr>
            <w:r w:rsidRPr="00873B6C">
              <w:rPr>
                <w:sz w:val="16"/>
                <w:szCs w:val="16"/>
              </w:rPr>
              <w:t>18.5.0</w:t>
            </w:r>
          </w:p>
        </w:tc>
      </w:tr>
      <w:tr w:rsidR="003D49E0" w:rsidRPr="00873B6C" w14:paraId="11319A5F" w14:textId="77777777" w:rsidTr="009D14FB">
        <w:tc>
          <w:tcPr>
            <w:tcW w:w="800" w:type="dxa"/>
            <w:shd w:val="solid" w:color="FFFFFF" w:fill="auto"/>
          </w:tcPr>
          <w:p w14:paraId="6F67D5A1" w14:textId="36FBED3A"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7D7B7A7E" w14:textId="79C8A52E"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05174177" w14:textId="190D3B30" w:rsidR="003D49E0" w:rsidRPr="00873B6C" w:rsidRDefault="003D49E0" w:rsidP="00591B52">
            <w:pPr>
              <w:pStyle w:val="TAC"/>
              <w:rPr>
                <w:sz w:val="16"/>
                <w:szCs w:val="16"/>
              </w:rPr>
            </w:pPr>
            <w:r w:rsidRPr="00873B6C">
              <w:rPr>
                <w:sz w:val="16"/>
                <w:szCs w:val="16"/>
              </w:rPr>
              <w:t>SP-240191</w:t>
            </w:r>
          </w:p>
        </w:tc>
        <w:tc>
          <w:tcPr>
            <w:tcW w:w="567" w:type="dxa"/>
            <w:shd w:val="solid" w:color="FFFFFF" w:fill="auto"/>
          </w:tcPr>
          <w:p w14:paraId="68373849" w14:textId="2175D11F" w:rsidR="003D49E0" w:rsidRPr="00873B6C" w:rsidRDefault="003D49E0" w:rsidP="00591B52">
            <w:pPr>
              <w:pStyle w:val="TAL"/>
              <w:rPr>
                <w:sz w:val="16"/>
                <w:szCs w:val="16"/>
              </w:rPr>
            </w:pPr>
            <w:r w:rsidRPr="00873B6C">
              <w:rPr>
                <w:sz w:val="16"/>
                <w:szCs w:val="16"/>
              </w:rPr>
              <w:t>5320</w:t>
            </w:r>
          </w:p>
        </w:tc>
        <w:tc>
          <w:tcPr>
            <w:tcW w:w="425" w:type="dxa"/>
            <w:shd w:val="solid" w:color="FFFFFF" w:fill="auto"/>
          </w:tcPr>
          <w:p w14:paraId="2977425B" w14:textId="3FE44C08" w:rsidR="003D49E0" w:rsidRPr="00873B6C" w:rsidRDefault="003D49E0" w:rsidP="00591B52">
            <w:pPr>
              <w:pStyle w:val="TAL"/>
              <w:rPr>
                <w:sz w:val="16"/>
                <w:szCs w:val="16"/>
              </w:rPr>
            </w:pPr>
            <w:r w:rsidRPr="00873B6C">
              <w:rPr>
                <w:sz w:val="16"/>
                <w:szCs w:val="16"/>
              </w:rPr>
              <w:t>2</w:t>
            </w:r>
          </w:p>
        </w:tc>
        <w:tc>
          <w:tcPr>
            <w:tcW w:w="425" w:type="dxa"/>
            <w:shd w:val="solid" w:color="FFFFFF" w:fill="auto"/>
          </w:tcPr>
          <w:p w14:paraId="5F395DDF" w14:textId="3445AA78"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36D3126C" w14:textId="6FA99615" w:rsidR="003D49E0" w:rsidRPr="00873B6C" w:rsidRDefault="003D49E0" w:rsidP="00591B52">
            <w:pPr>
              <w:pStyle w:val="TAL"/>
              <w:rPr>
                <w:sz w:val="16"/>
                <w:szCs w:val="16"/>
              </w:rPr>
            </w:pPr>
            <w:r w:rsidRPr="00873B6C">
              <w:rPr>
                <w:sz w:val="16"/>
                <w:szCs w:val="16"/>
              </w:rPr>
              <w:t>Correction to the FL capability type</w:t>
            </w:r>
          </w:p>
        </w:tc>
        <w:tc>
          <w:tcPr>
            <w:tcW w:w="708" w:type="dxa"/>
            <w:shd w:val="solid" w:color="FFFFFF" w:fill="auto"/>
          </w:tcPr>
          <w:p w14:paraId="5A768DFA" w14:textId="57EF9153" w:rsidR="003D49E0" w:rsidRPr="00873B6C" w:rsidRDefault="003D49E0" w:rsidP="00591B52">
            <w:pPr>
              <w:pStyle w:val="TAC"/>
              <w:rPr>
                <w:sz w:val="16"/>
                <w:szCs w:val="16"/>
              </w:rPr>
            </w:pPr>
            <w:r w:rsidRPr="00873B6C">
              <w:rPr>
                <w:sz w:val="16"/>
                <w:szCs w:val="16"/>
              </w:rPr>
              <w:t>18.5.0</w:t>
            </w:r>
          </w:p>
        </w:tc>
      </w:tr>
      <w:tr w:rsidR="003D49E0" w:rsidRPr="00873B6C" w14:paraId="6762811A" w14:textId="77777777" w:rsidTr="009D14FB">
        <w:tc>
          <w:tcPr>
            <w:tcW w:w="800" w:type="dxa"/>
            <w:shd w:val="solid" w:color="FFFFFF" w:fill="auto"/>
          </w:tcPr>
          <w:p w14:paraId="2031AFB2" w14:textId="48FFA114"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D2DF876" w14:textId="11D365EB"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57A19491" w14:textId="370DF040" w:rsidR="003D49E0" w:rsidRPr="00873B6C" w:rsidRDefault="003D49E0" w:rsidP="00591B52">
            <w:pPr>
              <w:pStyle w:val="TAC"/>
              <w:rPr>
                <w:sz w:val="16"/>
                <w:szCs w:val="16"/>
              </w:rPr>
            </w:pPr>
            <w:r w:rsidRPr="00873B6C">
              <w:rPr>
                <w:sz w:val="16"/>
                <w:szCs w:val="16"/>
              </w:rPr>
              <w:t>SP-240101</w:t>
            </w:r>
          </w:p>
        </w:tc>
        <w:tc>
          <w:tcPr>
            <w:tcW w:w="567" w:type="dxa"/>
            <w:shd w:val="solid" w:color="FFFFFF" w:fill="auto"/>
          </w:tcPr>
          <w:p w14:paraId="6CCD6660" w14:textId="75F9A031" w:rsidR="003D49E0" w:rsidRPr="00873B6C" w:rsidRDefault="003D49E0" w:rsidP="00591B52">
            <w:pPr>
              <w:pStyle w:val="TAL"/>
              <w:rPr>
                <w:sz w:val="16"/>
                <w:szCs w:val="16"/>
              </w:rPr>
            </w:pPr>
            <w:r w:rsidRPr="00873B6C">
              <w:rPr>
                <w:sz w:val="16"/>
                <w:szCs w:val="16"/>
              </w:rPr>
              <w:t>5321</w:t>
            </w:r>
          </w:p>
        </w:tc>
        <w:tc>
          <w:tcPr>
            <w:tcW w:w="425" w:type="dxa"/>
            <w:shd w:val="solid" w:color="FFFFFF" w:fill="auto"/>
          </w:tcPr>
          <w:p w14:paraId="1EDD59B4" w14:textId="04835E02" w:rsidR="003D49E0" w:rsidRPr="00873B6C" w:rsidRDefault="003D49E0" w:rsidP="00591B52">
            <w:pPr>
              <w:pStyle w:val="TAL"/>
              <w:rPr>
                <w:sz w:val="16"/>
                <w:szCs w:val="16"/>
              </w:rPr>
            </w:pPr>
            <w:r w:rsidRPr="00873B6C">
              <w:rPr>
                <w:sz w:val="16"/>
                <w:szCs w:val="16"/>
              </w:rPr>
              <w:t>3</w:t>
            </w:r>
          </w:p>
        </w:tc>
        <w:tc>
          <w:tcPr>
            <w:tcW w:w="425" w:type="dxa"/>
            <w:shd w:val="solid" w:color="FFFFFF" w:fill="auto"/>
          </w:tcPr>
          <w:p w14:paraId="2CC7065D" w14:textId="3EBA1CE9"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6A4BEB8F" w14:textId="04F3FA9A" w:rsidR="003D49E0" w:rsidRPr="00873B6C" w:rsidRDefault="003D49E0" w:rsidP="00591B52">
            <w:pPr>
              <w:pStyle w:val="TAL"/>
              <w:rPr>
                <w:sz w:val="16"/>
                <w:szCs w:val="16"/>
              </w:rPr>
            </w:pPr>
            <w:r w:rsidRPr="00873B6C">
              <w:rPr>
                <w:sz w:val="16"/>
                <w:szCs w:val="16"/>
              </w:rPr>
              <w:t>DNN selection for Alternative S-NSSAI</w:t>
            </w:r>
          </w:p>
        </w:tc>
        <w:tc>
          <w:tcPr>
            <w:tcW w:w="708" w:type="dxa"/>
            <w:shd w:val="solid" w:color="FFFFFF" w:fill="auto"/>
          </w:tcPr>
          <w:p w14:paraId="7D98BB9D" w14:textId="1EE1A543" w:rsidR="003D49E0" w:rsidRPr="00873B6C" w:rsidRDefault="003D49E0" w:rsidP="00591B52">
            <w:pPr>
              <w:pStyle w:val="TAC"/>
              <w:rPr>
                <w:sz w:val="16"/>
                <w:szCs w:val="16"/>
              </w:rPr>
            </w:pPr>
            <w:r w:rsidRPr="00873B6C">
              <w:rPr>
                <w:sz w:val="16"/>
                <w:szCs w:val="16"/>
              </w:rPr>
              <w:t>18.5.0</w:t>
            </w:r>
          </w:p>
        </w:tc>
      </w:tr>
      <w:tr w:rsidR="003D49E0" w:rsidRPr="00873B6C" w14:paraId="69DF2FFC" w14:textId="77777777" w:rsidTr="009D14FB">
        <w:tc>
          <w:tcPr>
            <w:tcW w:w="800" w:type="dxa"/>
            <w:shd w:val="solid" w:color="FFFFFF" w:fill="auto"/>
          </w:tcPr>
          <w:p w14:paraId="481EBA18" w14:textId="3240C9CA"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5DD6115E" w14:textId="7A8A0BCB"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78653D81" w14:textId="7C6B17BC" w:rsidR="003D49E0" w:rsidRPr="00873B6C" w:rsidRDefault="003D49E0" w:rsidP="00591B52">
            <w:pPr>
              <w:pStyle w:val="TAC"/>
              <w:rPr>
                <w:sz w:val="16"/>
                <w:szCs w:val="16"/>
              </w:rPr>
            </w:pPr>
            <w:r w:rsidRPr="00873B6C">
              <w:rPr>
                <w:sz w:val="16"/>
                <w:szCs w:val="16"/>
              </w:rPr>
              <w:t>SP-240110</w:t>
            </w:r>
          </w:p>
        </w:tc>
        <w:tc>
          <w:tcPr>
            <w:tcW w:w="567" w:type="dxa"/>
            <w:shd w:val="solid" w:color="FFFFFF" w:fill="auto"/>
          </w:tcPr>
          <w:p w14:paraId="5EF56F74" w14:textId="1CF35A8B" w:rsidR="003D49E0" w:rsidRPr="00873B6C" w:rsidRDefault="003D49E0" w:rsidP="00591B52">
            <w:pPr>
              <w:pStyle w:val="TAL"/>
              <w:rPr>
                <w:sz w:val="16"/>
                <w:szCs w:val="16"/>
              </w:rPr>
            </w:pPr>
            <w:r w:rsidRPr="00873B6C">
              <w:rPr>
                <w:sz w:val="16"/>
                <w:szCs w:val="16"/>
              </w:rPr>
              <w:t>5327</w:t>
            </w:r>
          </w:p>
        </w:tc>
        <w:tc>
          <w:tcPr>
            <w:tcW w:w="425" w:type="dxa"/>
            <w:shd w:val="solid" w:color="FFFFFF" w:fill="auto"/>
          </w:tcPr>
          <w:p w14:paraId="08C19D12" w14:textId="3EE53A46" w:rsidR="003D49E0" w:rsidRPr="00873B6C" w:rsidRDefault="003D49E0" w:rsidP="00591B52">
            <w:pPr>
              <w:pStyle w:val="TAL"/>
              <w:rPr>
                <w:sz w:val="16"/>
                <w:szCs w:val="16"/>
              </w:rPr>
            </w:pPr>
            <w:r w:rsidRPr="00873B6C">
              <w:rPr>
                <w:sz w:val="16"/>
                <w:szCs w:val="16"/>
              </w:rPr>
              <w:t>2</w:t>
            </w:r>
          </w:p>
        </w:tc>
        <w:tc>
          <w:tcPr>
            <w:tcW w:w="425" w:type="dxa"/>
            <w:shd w:val="solid" w:color="FFFFFF" w:fill="auto"/>
          </w:tcPr>
          <w:p w14:paraId="06B36C8C" w14:textId="7AF9569C"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2C57E265" w14:textId="4A7C8DF1" w:rsidR="003D49E0" w:rsidRPr="00873B6C" w:rsidRDefault="003D49E0" w:rsidP="00591B52">
            <w:pPr>
              <w:pStyle w:val="TAL"/>
              <w:rPr>
                <w:sz w:val="16"/>
                <w:szCs w:val="16"/>
              </w:rPr>
            </w:pPr>
            <w:r w:rsidRPr="00873B6C">
              <w:rPr>
                <w:sz w:val="16"/>
                <w:szCs w:val="16"/>
              </w:rPr>
              <w:t>Corrections to timing synchronization status reporting</w:t>
            </w:r>
          </w:p>
        </w:tc>
        <w:tc>
          <w:tcPr>
            <w:tcW w:w="708" w:type="dxa"/>
            <w:shd w:val="solid" w:color="FFFFFF" w:fill="auto"/>
          </w:tcPr>
          <w:p w14:paraId="4295049F" w14:textId="275E265A" w:rsidR="003D49E0" w:rsidRPr="00873B6C" w:rsidRDefault="003D49E0" w:rsidP="00591B52">
            <w:pPr>
              <w:pStyle w:val="TAC"/>
              <w:rPr>
                <w:sz w:val="16"/>
                <w:szCs w:val="16"/>
              </w:rPr>
            </w:pPr>
            <w:r w:rsidRPr="00873B6C">
              <w:rPr>
                <w:sz w:val="16"/>
                <w:szCs w:val="16"/>
              </w:rPr>
              <w:t>18.5.0</w:t>
            </w:r>
          </w:p>
        </w:tc>
      </w:tr>
      <w:tr w:rsidR="00AF2D89" w:rsidRPr="00873B6C" w14:paraId="4A167DCC" w14:textId="77777777" w:rsidTr="009D14FB">
        <w:tc>
          <w:tcPr>
            <w:tcW w:w="800" w:type="dxa"/>
            <w:shd w:val="solid" w:color="FFFFFF" w:fill="auto"/>
          </w:tcPr>
          <w:p w14:paraId="7480FF4A" w14:textId="5BE4D3AD"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13CEBE49" w14:textId="74997926"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7D66A87E" w14:textId="16AFB20B" w:rsidR="00AF2D89" w:rsidRPr="00873B6C" w:rsidRDefault="00AF2D89" w:rsidP="00591B52">
            <w:pPr>
              <w:pStyle w:val="TAC"/>
              <w:rPr>
                <w:sz w:val="16"/>
                <w:szCs w:val="16"/>
              </w:rPr>
            </w:pPr>
            <w:r w:rsidRPr="00873B6C">
              <w:rPr>
                <w:sz w:val="16"/>
                <w:szCs w:val="16"/>
              </w:rPr>
              <w:t>SP-240113</w:t>
            </w:r>
          </w:p>
        </w:tc>
        <w:tc>
          <w:tcPr>
            <w:tcW w:w="567" w:type="dxa"/>
            <w:shd w:val="solid" w:color="FFFFFF" w:fill="auto"/>
          </w:tcPr>
          <w:p w14:paraId="665AEFE5" w14:textId="3EC996D3" w:rsidR="00AF2D89" w:rsidRPr="00873B6C" w:rsidRDefault="00AF2D89" w:rsidP="00591B52">
            <w:pPr>
              <w:pStyle w:val="TAL"/>
              <w:rPr>
                <w:sz w:val="16"/>
                <w:szCs w:val="16"/>
              </w:rPr>
            </w:pPr>
            <w:r w:rsidRPr="00873B6C">
              <w:rPr>
                <w:sz w:val="16"/>
                <w:szCs w:val="16"/>
              </w:rPr>
              <w:t>5328</w:t>
            </w:r>
          </w:p>
        </w:tc>
        <w:tc>
          <w:tcPr>
            <w:tcW w:w="425" w:type="dxa"/>
            <w:shd w:val="solid" w:color="FFFFFF" w:fill="auto"/>
          </w:tcPr>
          <w:p w14:paraId="49B2036D" w14:textId="56ABE568" w:rsidR="00AF2D89" w:rsidRPr="00873B6C" w:rsidRDefault="00AF2D89" w:rsidP="00591B52">
            <w:pPr>
              <w:pStyle w:val="TAL"/>
              <w:rPr>
                <w:sz w:val="16"/>
                <w:szCs w:val="16"/>
              </w:rPr>
            </w:pPr>
            <w:r w:rsidRPr="00873B6C">
              <w:rPr>
                <w:sz w:val="16"/>
                <w:szCs w:val="16"/>
              </w:rPr>
              <w:t>1</w:t>
            </w:r>
          </w:p>
        </w:tc>
        <w:tc>
          <w:tcPr>
            <w:tcW w:w="425" w:type="dxa"/>
            <w:shd w:val="solid" w:color="FFFFFF" w:fill="auto"/>
          </w:tcPr>
          <w:p w14:paraId="4D3A4144" w14:textId="1B8CAEEF"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4EE6B148" w14:textId="7F1FCCBB" w:rsidR="00AF2D89" w:rsidRPr="00873B6C" w:rsidRDefault="00AF2D89" w:rsidP="00591B52">
            <w:pPr>
              <w:pStyle w:val="TAL"/>
              <w:rPr>
                <w:sz w:val="16"/>
                <w:szCs w:val="16"/>
              </w:rPr>
            </w:pPr>
            <w:r w:rsidRPr="00873B6C">
              <w:rPr>
                <w:sz w:val="16"/>
                <w:szCs w:val="16"/>
              </w:rPr>
              <w:t>Correction of ECN Marking for L4S by UPF</w:t>
            </w:r>
          </w:p>
        </w:tc>
        <w:tc>
          <w:tcPr>
            <w:tcW w:w="708" w:type="dxa"/>
            <w:shd w:val="solid" w:color="FFFFFF" w:fill="auto"/>
          </w:tcPr>
          <w:p w14:paraId="032C005C" w14:textId="01FE0DD6" w:rsidR="00AF2D89" w:rsidRPr="00873B6C" w:rsidRDefault="00AF2D89" w:rsidP="00591B52">
            <w:pPr>
              <w:pStyle w:val="TAC"/>
              <w:rPr>
                <w:sz w:val="16"/>
                <w:szCs w:val="16"/>
              </w:rPr>
            </w:pPr>
            <w:r w:rsidRPr="00873B6C">
              <w:rPr>
                <w:sz w:val="16"/>
                <w:szCs w:val="16"/>
              </w:rPr>
              <w:t>18.5.0</w:t>
            </w:r>
          </w:p>
        </w:tc>
      </w:tr>
      <w:tr w:rsidR="00AF2D89" w:rsidRPr="00873B6C" w14:paraId="00BEEEC2" w14:textId="77777777" w:rsidTr="009D14FB">
        <w:tc>
          <w:tcPr>
            <w:tcW w:w="800" w:type="dxa"/>
            <w:shd w:val="solid" w:color="FFFFFF" w:fill="auto"/>
          </w:tcPr>
          <w:p w14:paraId="3F41F024" w14:textId="37DA2E3E"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5FA65969" w14:textId="482CC8FB"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0BC1042A" w14:textId="07F56D25" w:rsidR="00AF2D89" w:rsidRPr="00873B6C" w:rsidRDefault="00AF2D89" w:rsidP="00591B52">
            <w:pPr>
              <w:pStyle w:val="TAC"/>
              <w:rPr>
                <w:sz w:val="16"/>
                <w:szCs w:val="16"/>
              </w:rPr>
            </w:pPr>
            <w:r w:rsidRPr="00873B6C">
              <w:rPr>
                <w:sz w:val="16"/>
                <w:szCs w:val="16"/>
              </w:rPr>
              <w:t>SP-240113</w:t>
            </w:r>
          </w:p>
        </w:tc>
        <w:tc>
          <w:tcPr>
            <w:tcW w:w="567" w:type="dxa"/>
            <w:shd w:val="solid" w:color="FFFFFF" w:fill="auto"/>
          </w:tcPr>
          <w:p w14:paraId="06C96BC5" w14:textId="79271CEC" w:rsidR="00AF2D89" w:rsidRPr="00873B6C" w:rsidRDefault="00AF2D89" w:rsidP="00591B52">
            <w:pPr>
              <w:pStyle w:val="TAL"/>
              <w:rPr>
                <w:sz w:val="16"/>
                <w:szCs w:val="16"/>
              </w:rPr>
            </w:pPr>
            <w:r w:rsidRPr="00873B6C">
              <w:rPr>
                <w:sz w:val="16"/>
                <w:szCs w:val="16"/>
              </w:rPr>
              <w:t>5331</w:t>
            </w:r>
          </w:p>
        </w:tc>
        <w:tc>
          <w:tcPr>
            <w:tcW w:w="425" w:type="dxa"/>
            <w:shd w:val="solid" w:color="FFFFFF" w:fill="auto"/>
          </w:tcPr>
          <w:p w14:paraId="783813FE" w14:textId="6C8D7E78" w:rsidR="00AF2D89" w:rsidRPr="00873B6C" w:rsidRDefault="00AF2D89" w:rsidP="00591B52">
            <w:pPr>
              <w:pStyle w:val="TAL"/>
              <w:rPr>
                <w:sz w:val="16"/>
                <w:szCs w:val="16"/>
              </w:rPr>
            </w:pPr>
            <w:r w:rsidRPr="00873B6C">
              <w:rPr>
                <w:sz w:val="16"/>
                <w:szCs w:val="16"/>
              </w:rPr>
              <w:t>4</w:t>
            </w:r>
          </w:p>
        </w:tc>
        <w:tc>
          <w:tcPr>
            <w:tcW w:w="425" w:type="dxa"/>
            <w:shd w:val="solid" w:color="FFFFFF" w:fill="auto"/>
          </w:tcPr>
          <w:p w14:paraId="1A63F6A7" w14:textId="0B39C1CD"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07FA366B" w14:textId="41CC80DB" w:rsidR="00AF2D89" w:rsidRPr="00873B6C" w:rsidRDefault="00AF2D89" w:rsidP="00591B52">
            <w:pPr>
              <w:pStyle w:val="TAL"/>
              <w:rPr>
                <w:sz w:val="16"/>
                <w:szCs w:val="16"/>
              </w:rPr>
            </w:pPr>
            <w:r w:rsidRPr="00873B6C">
              <w:rPr>
                <w:sz w:val="16"/>
                <w:szCs w:val="16"/>
              </w:rPr>
              <w:t>Clarification on support of PDU Set based QoS</w:t>
            </w:r>
          </w:p>
        </w:tc>
        <w:tc>
          <w:tcPr>
            <w:tcW w:w="708" w:type="dxa"/>
            <w:shd w:val="solid" w:color="FFFFFF" w:fill="auto"/>
          </w:tcPr>
          <w:p w14:paraId="250660DE" w14:textId="5D7831EA" w:rsidR="00AF2D89" w:rsidRPr="00873B6C" w:rsidRDefault="00AF2D89" w:rsidP="00591B52">
            <w:pPr>
              <w:pStyle w:val="TAC"/>
              <w:rPr>
                <w:sz w:val="16"/>
                <w:szCs w:val="16"/>
              </w:rPr>
            </w:pPr>
            <w:r w:rsidRPr="00873B6C">
              <w:rPr>
                <w:sz w:val="16"/>
                <w:szCs w:val="16"/>
              </w:rPr>
              <w:t>18.5.0</w:t>
            </w:r>
          </w:p>
        </w:tc>
      </w:tr>
      <w:tr w:rsidR="00AF2D89" w:rsidRPr="00873B6C" w14:paraId="42CEB101" w14:textId="77777777" w:rsidTr="009D14FB">
        <w:tc>
          <w:tcPr>
            <w:tcW w:w="800" w:type="dxa"/>
            <w:shd w:val="solid" w:color="FFFFFF" w:fill="auto"/>
          </w:tcPr>
          <w:p w14:paraId="0E40C685" w14:textId="0E695CDE"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660C9EED" w14:textId="7B1C5A88"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0D39D64C" w14:textId="0C867E5A" w:rsidR="00AF2D89" w:rsidRPr="00873B6C" w:rsidRDefault="00AF2D89" w:rsidP="00591B52">
            <w:pPr>
              <w:pStyle w:val="TAC"/>
              <w:rPr>
                <w:sz w:val="16"/>
                <w:szCs w:val="16"/>
              </w:rPr>
            </w:pPr>
            <w:r w:rsidRPr="00873B6C">
              <w:rPr>
                <w:sz w:val="16"/>
                <w:szCs w:val="16"/>
              </w:rPr>
              <w:t>SP-240094</w:t>
            </w:r>
          </w:p>
        </w:tc>
        <w:tc>
          <w:tcPr>
            <w:tcW w:w="567" w:type="dxa"/>
            <w:shd w:val="solid" w:color="FFFFFF" w:fill="auto"/>
          </w:tcPr>
          <w:p w14:paraId="7EDEE02C" w14:textId="09CA01DB" w:rsidR="00AF2D89" w:rsidRPr="00873B6C" w:rsidRDefault="00AF2D89" w:rsidP="00591B52">
            <w:pPr>
              <w:pStyle w:val="TAL"/>
              <w:rPr>
                <w:sz w:val="16"/>
                <w:szCs w:val="16"/>
              </w:rPr>
            </w:pPr>
            <w:r w:rsidRPr="00873B6C">
              <w:rPr>
                <w:sz w:val="16"/>
                <w:szCs w:val="16"/>
              </w:rPr>
              <w:t>5332</w:t>
            </w:r>
          </w:p>
        </w:tc>
        <w:tc>
          <w:tcPr>
            <w:tcW w:w="425" w:type="dxa"/>
            <w:shd w:val="solid" w:color="FFFFFF" w:fill="auto"/>
          </w:tcPr>
          <w:p w14:paraId="474AEB86" w14:textId="25B5D825" w:rsidR="00AF2D89" w:rsidRPr="00873B6C" w:rsidRDefault="00AF2D89" w:rsidP="00591B52">
            <w:pPr>
              <w:pStyle w:val="TAL"/>
              <w:rPr>
                <w:sz w:val="16"/>
                <w:szCs w:val="16"/>
              </w:rPr>
            </w:pPr>
            <w:r w:rsidRPr="00873B6C">
              <w:rPr>
                <w:sz w:val="16"/>
                <w:szCs w:val="16"/>
              </w:rPr>
              <w:t>2</w:t>
            </w:r>
          </w:p>
        </w:tc>
        <w:tc>
          <w:tcPr>
            <w:tcW w:w="425" w:type="dxa"/>
            <w:shd w:val="solid" w:color="FFFFFF" w:fill="auto"/>
          </w:tcPr>
          <w:p w14:paraId="203A511E" w14:textId="4C31D603"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7846B2C7" w14:textId="2EEC1160" w:rsidR="00AF2D89" w:rsidRPr="00873B6C" w:rsidRDefault="00AF2D89" w:rsidP="00591B52">
            <w:pPr>
              <w:pStyle w:val="TAL"/>
              <w:rPr>
                <w:sz w:val="16"/>
                <w:szCs w:val="16"/>
              </w:rPr>
            </w:pPr>
            <w:r w:rsidRPr="00873B6C">
              <w:rPr>
                <w:sz w:val="16"/>
                <w:szCs w:val="16"/>
              </w:rPr>
              <w:t xml:space="preserve">Support of 5GC UE level measurements collection </w:t>
            </w:r>
          </w:p>
        </w:tc>
        <w:tc>
          <w:tcPr>
            <w:tcW w:w="708" w:type="dxa"/>
            <w:shd w:val="solid" w:color="FFFFFF" w:fill="auto"/>
          </w:tcPr>
          <w:p w14:paraId="4B45760D" w14:textId="31635303" w:rsidR="00AF2D89" w:rsidRPr="00873B6C" w:rsidRDefault="00AF2D89" w:rsidP="00591B52">
            <w:pPr>
              <w:pStyle w:val="TAC"/>
              <w:rPr>
                <w:sz w:val="16"/>
                <w:szCs w:val="16"/>
              </w:rPr>
            </w:pPr>
            <w:r w:rsidRPr="00873B6C">
              <w:rPr>
                <w:sz w:val="16"/>
                <w:szCs w:val="16"/>
              </w:rPr>
              <w:t>18.5.0</w:t>
            </w:r>
          </w:p>
        </w:tc>
      </w:tr>
      <w:tr w:rsidR="00AF2D89" w:rsidRPr="00873B6C" w14:paraId="400D2FE2" w14:textId="77777777" w:rsidTr="009D14FB">
        <w:tc>
          <w:tcPr>
            <w:tcW w:w="800" w:type="dxa"/>
            <w:shd w:val="solid" w:color="FFFFFF" w:fill="auto"/>
          </w:tcPr>
          <w:p w14:paraId="064AFC06" w14:textId="54F2D2BB"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05B331A6" w14:textId="028B43C7"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46845B03" w14:textId="549B236F" w:rsidR="00AF2D89" w:rsidRPr="00873B6C" w:rsidRDefault="00AF2D89" w:rsidP="00591B52">
            <w:pPr>
              <w:pStyle w:val="TAC"/>
              <w:rPr>
                <w:sz w:val="16"/>
                <w:szCs w:val="16"/>
              </w:rPr>
            </w:pPr>
            <w:r w:rsidRPr="00873B6C">
              <w:rPr>
                <w:sz w:val="16"/>
                <w:szCs w:val="16"/>
              </w:rPr>
              <w:t>SP-240191</w:t>
            </w:r>
          </w:p>
        </w:tc>
        <w:tc>
          <w:tcPr>
            <w:tcW w:w="567" w:type="dxa"/>
            <w:shd w:val="solid" w:color="FFFFFF" w:fill="auto"/>
          </w:tcPr>
          <w:p w14:paraId="5EA45449" w14:textId="33B3D5BA" w:rsidR="00AF2D89" w:rsidRPr="00873B6C" w:rsidRDefault="00AF2D89" w:rsidP="00591B52">
            <w:pPr>
              <w:pStyle w:val="TAL"/>
              <w:rPr>
                <w:sz w:val="16"/>
                <w:szCs w:val="16"/>
              </w:rPr>
            </w:pPr>
            <w:r w:rsidRPr="00873B6C">
              <w:rPr>
                <w:sz w:val="16"/>
                <w:szCs w:val="16"/>
              </w:rPr>
              <w:t>5334</w:t>
            </w:r>
          </w:p>
        </w:tc>
        <w:tc>
          <w:tcPr>
            <w:tcW w:w="425" w:type="dxa"/>
            <w:shd w:val="solid" w:color="FFFFFF" w:fill="auto"/>
          </w:tcPr>
          <w:p w14:paraId="61425853" w14:textId="151B0F66" w:rsidR="00AF2D89" w:rsidRPr="00873B6C" w:rsidRDefault="00AF2D89" w:rsidP="00591B52">
            <w:pPr>
              <w:pStyle w:val="TAL"/>
              <w:rPr>
                <w:sz w:val="16"/>
                <w:szCs w:val="16"/>
              </w:rPr>
            </w:pPr>
            <w:r w:rsidRPr="00873B6C">
              <w:rPr>
                <w:sz w:val="16"/>
                <w:szCs w:val="16"/>
              </w:rPr>
              <w:t>1</w:t>
            </w:r>
          </w:p>
        </w:tc>
        <w:tc>
          <w:tcPr>
            <w:tcW w:w="425" w:type="dxa"/>
            <w:shd w:val="solid" w:color="FFFFFF" w:fill="auto"/>
          </w:tcPr>
          <w:p w14:paraId="49433FE5" w14:textId="4A2A89D4"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33F70291" w14:textId="5CF678AF" w:rsidR="00AF2D89" w:rsidRPr="00873B6C" w:rsidRDefault="00AF2D89" w:rsidP="00591B52">
            <w:pPr>
              <w:pStyle w:val="TAL"/>
              <w:rPr>
                <w:sz w:val="16"/>
                <w:szCs w:val="16"/>
              </w:rPr>
            </w:pPr>
            <w:r w:rsidRPr="00873B6C">
              <w:rPr>
                <w:sz w:val="16"/>
                <w:szCs w:val="16"/>
              </w:rPr>
              <w:t>Alignments for the Accuracy checking capability in TS 23.501</w:t>
            </w:r>
          </w:p>
        </w:tc>
        <w:tc>
          <w:tcPr>
            <w:tcW w:w="708" w:type="dxa"/>
            <w:shd w:val="solid" w:color="FFFFFF" w:fill="auto"/>
          </w:tcPr>
          <w:p w14:paraId="262A4E5E" w14:textId="7680B646" w:rsidR="00AF2D89" w:rsidRPr="00873B6C" w:rsidRDefault="00AF2D89" w:rsidP="00591B52">
            <w:pPr>
              <w:pStyle w:val="TAC"/>
              <w:rPr>
                <w:sz w:val="16"/>
                <w:szCs w:val="16"/>
              </w:rPr>
            </w:pPr>
            <w:r w:rsidRPr="00873B6C">
              <w:rPr>
                <w:sz w:val="16"/>
                <w:szCs w:val="16"/>
              </w:rPr>
              <w:t>18.5.0</w:t>
            </w:r>
          </w:p>
        </w:tc>
      </w:tr>
      <w:tr w:rsidR="00AF2D89" w:rsidRPr="00873B6C" w14:paraId="02D046FD" w14:textId="77777777" w:rsidTr="009D14FB">
        <w:tc>
          <w:tcPr>
            <w:tcW w:w="800" w:type="dxa"/>
            <w:shd w:val="solid" w:color="FFFFFF" w:fill="auto"/>
          </w:tcPr>
          <w:p w14:paraId="77A78724" w14:textId="0B400133"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70F8620B" w14:textId="317AB83B"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03D6247B" w14:textId="21A702EC" w:rsidR="00AF2D89" w:rsidRPr="00873B6C" w:rsidRDefault="00AF2D89" w:rsidP="00591B52">
            <w:pPr>
              <w:pStyle w:val="TAC"/>
              <w:rPr>
                <w:sz w:val="16"/>
                <w:szCs w:val="16"/>
              </w:rPr>
            </w:pPr>
            <w:r w:rsidRPr="00873B6C">
              <w:rPr>
                <w:sz w:val="16"/>
                <w:szCs w:val="16"/>
              </w:rPr>
              <w:t>SP-240113</w:t>
            </w:r>
          </w:p>
        </w:tc>
        <w:tc>
          <w:tcPr>
            <w:tcW w:w="567" w:type="dxa"/>
            <w:shd w:val="solid" w:color="FFFFFF" w:fill="auto"/>
          </w:tcPr>
          <w:p w14:paraId="49422620" w14:textId="4BFA6A78" w:rsidR="00AF2D89" w:rsidRPr="00873B6C" w:rsidRDefault="00AF2D89" w:rsidP="00591B52">
            <w:pPr>
              <w:pStyle w:val="TAL"/>
              <w:rPr>
                <w:sz w:val="16"/>
                <w:szCs w:val="16"/>
              </w:rPr>
            </w:pPr>
            <w:r w:rsidRPr="00873B6C">
              <w:rPr>
                <w:sz w:val="16"/>
                <w:szCs w:val="16"/>
              </w:rPr>
              <w:t>5339</w:t>
            </w:r>
          </w:p>
        </w:tc>
        <w:tc>
          <w:tcPr>
            <w:tcW w:w="425" w:type="dxa"/>
            <w:shd w:val="solid" w:color="FFFFFF" w:fill="auto"/>
          </w:tcPr>
          <w:p w14:paraId="09BD703F" w14:textId="60D34D47" w:rsidR="00AF2D89" w:rsidRPr="00873B6C" w:rsidRDefault="00AF2D89" w:rsidP="00591B52">
            <w:pPr>
              <w:pStyle w:val="TAL"/>
              <w:rPr>
                <w:sz w:val="16"/>
                <w:szCs w:val="16"/>
              </w:rPr>
            </w:pPr>
            <w:r w:rsidRPr="00873B6C">
              <w:rPr>
                <w:sz w:val="16"/>
                <w:szCs w:val="16"/>
              </w:rPr>
              <w:t>2</w:t>
            </w:r>
          </w:p>
        </w:tc>
        <w:tc>
          <w:tcPr>
            <w:tcW w:w="425" w:type="dxa"/>
            <w:shd w:val="solid" w:color="FFFFFF" w:fill="auto"/>
          </w:tcPr>
          <w:p w14:paraId="4387D377" w14:textId="2548907C"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4CC84702" w14:textId="6BDBA9E7" w:rsidR="00AF2D89" w:rsidRPr="00873B6C" w:rsidRDefault="00AF2D89" w:rsidP="00591B52">
            <w:pPr>
              <w:pStyle w:val="TAL"/>
              <w:rPr>
                <w:sz w:val="16"/>
                <w:szCs w:val="16"/>
              </w:rPr>
            </w:pPr>
            <w:r w:rsidRPr="00873B6C">
              <w:rPr>
                <w:sz w:val="16"/>
                <w:szCs w:val="16"/>
              </w:rPr>
              <w:t>Incorrect Protocol Description options including SRTP together with RTP Payload Format</w:t>
            </w:r>
          </w:p>
        </w:tc>
        <w:tc>
          <w:tcPr>
            <w:tcW w:w="708" w:type="dxa"/>
            <w:shd w:val="solid" w:color="FFFFFF" w:fill="auto"/>
          </w:tcPr>
          <w:p w14:paraId="3A58FC35" w14:textId="65120059" w:rsidR="00AF2D89" w:rsidRPr="00873B6C" w:rsidRDefault="00AF2D89" w:rsidP="00591B52">
            <w:pPr>
              <w:pStyle w:val="TAC"/>
              <w:rPr>
                <w:sz w:val="16"/>
                <w:szCs w:val="16"/>
              </w:rPr>
            </w:pPr>
            <w:r w:rsidRPr="00873B6C">
              <w:rPr>
                <w:sz w:val="16"/>
                <w:szCs w:val="16"/>
              </w:rPr>
              <w:t>18.5.0</w:t>
            </w:r>
          </w:p>
        </w:tc>
      </w:tr>
      <w:tr w:rsidR="00AF2D89" w:rsidRPr="00873B6C" w14:paraId="357F06CF" w14:textId="77777777" w:rsidTr="009D14FB">
        <w:tc>
          <w:tcPr>
            <w:tcW w:w="800" w:type="dxa"/>
            <w:shd w:val="solid" w:color="FFFFFF" w:fill="auto"/>
          </w:tcPr>
          <w:p w14:paraId="76A35FFA" w14:textId="6534F85B"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74A5FE11" w14:textId="3C28AE00"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1F10C2F2" w14:textId="29D1B78F" w:rsidR="00AF2D89" w:rsidRPr="00873B6C" w:rsidRDefault="00AF2D89" w:rsidP="00591B52">
            <w:pPr>
              <w:pStyle w:val="TAC"/>
              <w:rPr>
                <w:sz w:val="16"/>
                <w:szCs w:val="16"/>
              </w:rPr>
            </w:pPr>
            <w:r w:rsidRPr="00873B6C">
              <w:rPr>
                <w:sz w:val="16"/>
                <w:szCs w:val="16"/>
              </w:rPr>
              <w:t>SP-240114</w:t>
            </w:r>
          </w:p>
        </w:tc>
        <w:tc>
          <w:tcPr>
            <w:tcW w:w="567" w:type="dxa"/>
            <w:shd w:val="solid" w:color="FFFFFF" w:fill="auto"/>
          </w:tcPr>
          <w:p w14:paraId="61137FA0" w14:textId="7FA801E6" w:rsidR="00AF2D89" w:rsidRPr="00873B6C" w:rsidRDefault="00AF2D89" w:rsidP="00591B52">
            <w:pPr>
              <w:pStyle w:val="TAL"/>
              <w:rPr>
                <w:sz w:val="16"/>
                <w:szCs w:val="16"/>
              </w:rPr>
            </w:pPr>
            <w:r w:rsidRPr="00873B6C">
              <w:rPr>
                <w:sz w:val="16"/>
                <w:szCs w:val="16"/>
              </w:rPr>
              <w:t>5342</w:t>
            </w:r>
          </w:p>
        </w:tc>
        <w:tc>
          <w:tcPr>
            <w:tcW w:w="425" w:type="dxa"/>
            <w:shd w:val="solid" w:color="FFFFFF" w:fill="auto"/>
          </w:tcPr>
          <w:p w14:paraId="4414026E" w14:textId="6B5DD4D4" w:rsidR="00AF2D89" w:rsidRPr="00873B6C" w:rsidRDefault="00AF2D89" w:rsidP="00591B52">
            <w:pPr>
              <w:pStyle w:val="TAL"/>
              <w:rPr>
                <w:sz w:val="16"/>
                <w:szCs w:val="16"/>
              </w:rPr>
            </w:pPr>
            <w:r w:rsidRPr="00873B6C">
              <w:rPr>
                <w:sz w:val="16"/>
                <w:szCs w:val="16"/>
              </w:rPr>
              <w:t>2</w:t>
            </w:r>
          </w:p>
        </w:tc>
        <w:tc>
          <w:tcPr>
            <w:tcW w:w="425" w:type="dxa"/>
            <w:shd w:val="solid" w:color="FFFFFF" w:fill="auto"/>
          </w:tcPr>
          <w:p w14:paraId="4EADFF9D" w14:textId="09BAC806"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04341915" w14:textId="5D983D29" w:rsidR="00AF2D89" w:rsidRPr="00873B6C" w:rsidRDefault="00AF2D89" w:rsidP="00591B52">
            <w:pPr>
              <w:pStyle w:val="TAL"/>
              <w:rPr>
                <w:sz w:val="16"/>
                <w:szCs w:val="16"/>
              </w:rPr>
            </w:pPr>
            <w:r w:rsidRPr="00873B6C">
              <w:rPr>
                <w:sz w:val="16"/>
                <w:szCs w:val="16"/>
              </w:rPr>
              <w:t>DSCP and ECN within the IP Header</w:t>
            </w:r>
          </w:p>
        </w:tc>
        <w:tc>
          <w:tcPr>
            <w:tcW w:w="708" w:type="dxa"/>
            <w:shd w:val="solid" w:color="FFFFFF" w:fill="auto"/>
          </w:tcPr>
          <w:p w14:paraId="5DB2F572" w14:textId="346F2377" w:rsidR="00AF2D89" w:rsidRPr="00873B6C" w:rsidRDefault="00AF2D89" w:rsidP="00591B52">
            <w:pPr>
              <w:pStyle w:val="TAC"/>
              <w:rPr>
                <w:sz w:val="16"/>
                <w:szCs w:val="16"/>
              </w:rPr>
            </w:pPr>
            <w:r w:rsidRPr="00873B6C">
              <w:rPr>
                <w:sz w:val="16"/>
                <w:szCs w:val="16"/>
              </w:rPr>
              <w:t>18.5.0</w:t>
            </w:r>
          </w:p>
        </w:tc>
      </w:tr>
      <w:tr w:rsidR="00AF2D89" w:rsidRPr="00873B6C" w14:paraId="01F43B5B" w14:textId="77777777" w:rsidTr="009D14FB">
        <w:tc>
          <w:tcPr>
            <w:tcW w:w="800" w:type="dxa"/>
            <w:shd w:val="solid" w:color="FFFFFF" w:fill="auto"/>
          </w:tcPr>
          <w:p w14:paraId="12DD003A" w14:textId="1195BB92" w:rsidR="00AF2D89" w:rsidRPr="00873B6C" w:rsidRDefault="00AF2D89" w:rsidP="00591B52">
            <w:pPr>
              <w:pStyle w:val="TAC"/>
              <w:rPr>
                <w:sz w:val="16"/>
                <w:szCs w:val="16"/>
              </w:rPr>
            </w:pPr>
            <w:r w:rsidRPr="00873B6C">
              <w:rPr>
                <w:sz w:val="16"/>
                <w:szCs w:val="16"/>
              </w:rPr>
              <w:lastRenderedPageBreak/>
              <w:t>2024-03</w:t>
            </w:r>
          </w:p>
        </w:tc>
        <w:tc>
          <w:tcPr>
            <w:tcW w:w="800" w:type="dxa"/>
            <w:shd w:val="solid" w:color="FFFFFF" w:fill="auto"/>
          </w:tcPr>
          <w:p w14:paraId="435E612D" w14:textId="38499BA5"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16C2C65B" w14:textId="60875CE4" w:rsidR="00AF2D89" w:rsidRPr="00873B6C" w:rsidRDefault="00AF2D89" w:rsidP="00591B52">
            <w:pPr>
              <w:pStyle w:val="TAC"/>
              <w:rPr>
                <w:sz w:val="16"/>
                <w:szCs w:val="16"/>
              </w:rPr>
            </w:pPr>
            <w:r w:rsidRPr="00873B6C">
              <w:rPr>
                <w:sz w:val="16"/>
                <w:szCs w:val="16"/>
              </w:rPr>
              <w:t>SP-240114</w:t>
            </w:r>
          </w:p>
        </w:tc>
        <w:tc>
          <w:tcPr>
            <w:tcW w:w="567" w:type="dxa"/>
            <w:shd w:val="solid" w:color="FFFFFF" w:fill="auto"/>
          </w:tcPr>
          <w:p w14:paraId="49403DB7" w14:textId="7AE4DDFB" w:rsidR="00AF2D89" w:rsidRPr="00873B6C" w:rsidRDefault="00AF2D89" w:rsidP="00591B52">
            <w:pPr>
              <w:pStyle w:val="TAL"/>
              <w:rPr>
                <w:sz w:val="16"/>
                <w:szCs w:val="16"/>
              </w:rPr>
            </w:pPr>
            <w:r w:rsidRPr="00873B6C">
              <w:rPr>
                <w:sz w:val="16"/>
                <w:szCs w:val="16"/>
              </w:rPr>
              <w:t>5343</w:t>
            </w:r>
          </w:p>
        </w:tc>
        <w:tc>
          <w:tcPr>
            <w:tcW w:w="425" w:type="dxa"/>
            <w:shd w:val="solid" w:color="FFFFFF" w:fill="auto"/>
          </w:tcPr>
          <w:p w14:paraId="408C7936" w14:textId="3924EC9B" w:rsidR="00AF2D89" w:rsidRPr="00873B6C" w:rsidRDefault="00AF2D89" w:rsidP="00591B52">
            <w:pPr>
              <w:pStyle w:val="TAL"/>
              <w:rPr>
                <w:sz w:val="16"/>
                <w:szCs w:val="16"/>
              </w:rPr>
            </w:pPr>
            <w:r w:rsidRPr="00873B6C">
              <w:rPr>
                <w:sz w:val="16"/>
                <w:szCs w:val="16"/>
              </w:rPr>
              <w:t>1</w:t>
            </w:r>
          </w:p>
        </w:tc>
        <w:tc>
          <w:tcPr>
            <w:tcW w:w="425" w:type="dxa"/>
            <w:shd w:val="solid" w:color="FFFFFF" w:fill="auto"/>
          </w:tcPr>
          <w:p w14:paraId="6812DD63" w14:textId="5895CB0D"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36C417D3" w14:textId="619E87E4" w:rsidR="00AF2D89" w:rsidRPr="00873B6C" w:rsidRDefault="00AF2D89" w:rsidP="00591B52">
            <w:pPr>
              <w:pStyle w:val="TAL"/>
              <w:rPr>
                <w:sz w:val="16"/>
                <w:szCs w:val="16"/>
              </w:rPr>
            </w:pPr>
            <w:r w:rsidRPr="00873B6C">
              <w:rPr>
                <w:sz w:val="16"/>
                <w:szCs w:val="16"/>
              </w:rPr>
              <w:t>Max MTU for XR</w:t>
            </w:r>
            <w:r w:rsidR="00472CD7" w:rsidRPr="00873B6C">
              <w:rPr>
                <w:sz w:val="16"/>
                <w:szCs w:val="16"/>
              </w:rPr>
              <w:t xml:space="preserve"> and</w:t>
            </w:r>
            <w:r w:rsidRPr="00873B6C">
              <w:rPr>
                <w:sz w:val="16"/>
                <w:szCs w:val="16"/>
              </w:rPr>
              <w:t>, for PDU sessions subject to handover from EPS to 5GC</w:t>
            </w:r>
          </w:p>
        </w:tc>
        <w:tc>
          <w:tcPr>
            <w:tcW w:w="708" w:type="dxa"/>
            <w:shd w:val="solid" w:color="FFFFFF" w:fill="auto"/>
          </w:tcPr>
          <w:p w14:paraId="1BD2D2F8" w14:textId="3DC6E825" w:rsidR="00AF2D89" w:rsidRPr="00873B6C" w:rsidRDefault="00AF2D89" w:rsidP="00591B52">
            <w:pPr>
              <w:pStyle w:val="TAC"/>
              <w:rPr>
                <w:sz w:val="16"/>
                <w:szCs w:val="16"/>
              </w:rPr>
            </w:pPr>
            <w:r w:rsidRPr="00873B6C">
              <w:rPr>
                <w:sz w:val="16"/>
                <w:szCs w:val="16"/>
              </w:rPr>
              <w:t>18.5.0</w:t>
            </w:r>
          </w:p>
        </w:tc>
      </w:tr>
      <w:tr w:rsidR="004D6126" w:rsidRPr="00873B6C" w14:paraId="566A0649" w14:textId="77777777" w:rsidTr="009D14FB">
        <w:tc>
          <w:tcPr>
            <w:tcW w:w="800" w:type="dxa"/>
            <w:shd w:val="solid" w:color="FFFFFF" w:fill="auto"/>
          </w:tcPr>
          <w:p w14:paraId="29E7B7D4" w14:textId="3C7FF8A9" w:rsidR="004D6126" w:rsidRPr="00873B6C" w:rsidRDefault="004D6126" w:rsidP="00591B52">
            <w:pPr>
              <w:pStyle w:val="TAC"/>
              <w:rPr>
                <w:sz w:val="16"/>
                <w:szCs w:val="16"/>
              </w:rPr>
            </w:pPr>
            <w:r w:rsidRPr="00873B6C">
              <w:rPr>
                <w:sz w:val="16"/>
                <w:szCs w:val="16"/>
              </w:rPr>
              <w:t>2024-03</w:t>
            </w:r>
          </w:p>
        </w:tc>
        <w:tc>
          <w:tcPr>
            <w:tcW w:w="800" w:type="dxa"/>
            <w:shd w:val="solid" w:color="FFFFFF" w:fill="auto"/>
          </w:tcPr>
          <w:p w14:paraId="39840194" w14:textId="14733294" w:rsidR="004D6126" w:rsidRPr="00873B6C" w:rsidRDefault="004D6126" w:rsidP="00591B52">
            <w:pPr>
              <w:pStyle w:val="TAL"/>
              <w:rPr>
                <w:sz w:val="16"/>
                <w:szCs w:val="16"/>
              </w:rPr>
            </w:pPr>
            <w:r w:rsidRPr="00873B6C">
              <w:rPr>
                <w:sz w:val="16"/>
                <w:szCs w:val="16"/>
              </w:rPr>
              <w:t>SP#103</w:t>
            </w:r>
          </w:p>
        </w:tc>
        <w:tc>
          <w:tcPr>
            <w:tcW w:w="1094" w:type="dxa"/>
            <w:shd w:val="solid" w:color="FFFFFF" w:fill="auto"/>
          </w:tcPr>
          <w:p w14:paraId="183D6223" w14:textId="787DC16A" w:rsidR="004D6126" w:rsidRPr="00873B6C" w:rsidRDefault="004D6126" w:rsidP="00591B52">
            <w:pPr>
              <w:pStyle w:val="TAC"/>
              <w:rPr>
                <w:sz w:val="16"/>
                <w:szCs w:val="16"/>
              </w:rPr>
            </w:pPr>
            <w:r w:rsidRPr="00873B6C">
              <w:rPr>
                <w:sz w:val="16"/>
                <w:szCs w:val="16"/>
              </w:rPr>
              <w:t>SP-240110</w:t>
            </w:r>
          </w:p>
        </w:tc>
        <w:tc>
          <w:tcPr>
            <w:tcW w:w="567" w:type="dxa"/>
            <w:shd w:val="solid" w:color="FFFFFF" w:fill="auto"/>
          </w:tcPr>
          <w:p w14:paraId="05EA8441" w14:textId="226820AC" w:rsidR="004D6126" w:rsidRPr="00873B6C" w:rsidRDefault="004D6126" w:rsidP="00591B52">
            <w:pPr>
              <w:pStyle w:val="TAL"/>
              <w:rPr>
                <w:sz w:val="16"/>
                <w:szCs w:val="16"/>
              </w:rPr>
            </w:pPr>
            <w:r w:rsidRPr="00873B6C">
              <w:rPr>
                <w:sz w:val="16"/>
                <w:szCs w:val="16"/>
              </w:rPr>
              <w:t>5344</w:t>
            </w:r>
          </w:p>
        </w:tc>
        <w:tc>
          <w:tcPr>
            <w:tcW w:w="425" w:type="dxa"/>
            <w:shd w:val="solid" w:color="FFFFFF" w:fill="auto"/>
          </w:tcPr>
          <w:p w14:paraId="10E0532F" w14:textId="0FBA3636" w:rsidR="004D6126" w:rsidRPr="00873B6C" w:rsidRDefault="004D6126" w:rsidP="00591B52">
            <w:pPr>
              <w:pStyle w:val="TAL"/>
              <w:rPr>
                <w:sz w:val="16"/>
                <w:szCs w:val="16"/>
              </w:rPr>
            </w:pPr>
            <w:r w:rsidRPr="00873B6C">
              <w:rPr>
                <w:sz w:val="16"/>
                <w:szCs w:val="16"/>
              </w:rPr>
              <w:t>2</w:t>
            </w:r>
          </w:p>
        </w:tc>
        <w:tc>
          <w:tcPr>
            <w:tcW w:w="425" w:type="dxa"/>
            <w:shd w:val="solid" w:color="FFFFFF" w:fill="auto"/>
          </w:tcPr>
          <w:p w14:paraId="08E3F3F1" w14:textId="75BE7348" w:rsidR="004D6126" w:rsidRPr="00873B6C" w:rsidRDefault="004D6126" w:rsidP="00591B52">
            <w:pPr>
              <w:pStyle w:val="TAL"/>
              <w:rPr>
                <w:sz w:val="16"/>
                <w:szCs w:val="16"/>
              </w:rPr>
            </w:pPr>
            <w:r w:rsidRPr="00873B6C">
              <w:rPr>
                <w:sz w:val="16"/>
                <w:szCs w:val="16"/>
              </w:rPr>
              <w:t>F</w:t>
            </w:r>
          </w:p>
        </w:tc>
        <w:tc>
          <w:tcPr>
            <w:tcW w:w="4820" w:type="dxa"/>
            <w:shd w:val="solid" w:color="FFFFFF" w:fill="auto"/>
          </w:tcPr>
          <w:p w14:paraId="2C120B11" w14:textId="26597DCE" w:rsidR="004D6126" w:rsidRPr="00873B6C" w:rsidRDefault="004D6126" w:rsidP="00591B52">
            <w:pPr>
              <w:pStyle w:val="TAL"/>
              <w:rPr>
                <w:sz w:val="16"/>
                <w:szCs w:val="16"/>
              </w:rPr>
            </w:pPr>
            <w:r w:rsidRPr="00873B6C">
              <w:rPr>
                <w:sz w:val="16"/>
                <w:szCs w:val="16"/>
              </w:rPr>
              <w:t>Clock status indication from RAN to TSCTSF</w:t>
            </w:r>
          </w:p>
        </w:tc>
        <w:tc>
          <w:tcPr>
            <w:tcW w:w="708" w:type="dxa"/>
            <w:shd w:val="solid" w:color="FFFFFF" w:fill="auto"/>
          </w:tcPr>
          <w:p w14:paraId="4B3F4C96" w14:textId="523C09FF" w:rsidR="004D6126" w:rsidRPr="00873B6C" w:rsidRDefault="004D6126" w:rsidP="00591B52">
            <w:pPr>
              <w:pStyle w:val="TAC"/>
              <w:rPr>
                <w:sz w:val="16"/>
                <w:szCs w:val="16"/>
              </w:rPr>
            </w:pPr>
            <w:r w:rsidRPr="00873B6C">
              <w:rPr>
                <w:sz w:val="16"/>
                <w:szCs w:val="16"/>
              </w:rPr>
              <w:t>18.5.0</w:t>
            </w:r>
          </w:p>
        </w:tc>
      </w:tr>
      <w:tr w:rsidR="00153C7D" w:rsidRPr="00873B6C" w14:paraId="63974F19" w14:textId="77777777" w:rsidTr="009D14FB">
        <w:tc>
          <w:tcPr>
            <w:tcW w:w="800" w:type="dxa"/>
            <w:shd w:val="solid" w:color="FFFFFF" w:fill="auto"/>
          </w:tcPr>
          <w:p w14:paraId="046C4093" w14:textId="3EC26EB0"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47F5F8BE" w14:textId="441D3266"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42546F19" w14:textId="331B08CD" w:rsidR="00153C7D" w:rsidRPr="00873B6C" w:rsidRDefault="00153C7D" w:rsidP="00591B52">
            <w:pPr>
              <w:pStyle w:val="TAC"/>
              <w:rPr>
                <w:sz w:val="16"/>
                <w:szCs w:val="16"/>
              </w:rPr>
            </w:pPr>
            <w:r w:rsidRPr="00873B6C">
              <w:rPr>
                <w:sz w:val="16"/>
                <w:szCs w:val="16"/>
              </w:rPr>
              <w:t>SP-240597</w:t>
            </w:r>
          </w:p>
        </w:tc>
        <w:tc>
          <w:tcPr>
            <w:tcW w:w="567" w:type="dxa"/>
            <w:shd w:val="solid" w:color="FFFFFF" w:fill="auto"/>
          </w:tcPr>
          <w:p w14:paraId="3C36DA9D" w14:textId="2F235271" w:rsidR="00153C7D" w:rsidRPr="00873B6C" w:rsidRDefault="00153C7D" w:rsidP="00591B52">
            <w:pPr>
              <w:pStyle w:val="TAL"/>
              <w:rPr>
                <w:sz w:val="16"/>
                <w:szCs w:val="16"/>
              </w:rPr>
            </w:pPr>
            <w:r w:rsidRPr="00873B6C">
              <w:rPr>
                <w:sz w:val="16"/>
                <w:szCs w:val="16"/>
              </w:rPr>
              <w:t>4926</w:t>
            </w:r>
          </w:p>
        </w:tc>
        <w:tc>
          <w:tcPr>
            <w:tcW w:w="425" w:type="dxa"/>
            <w:shd w:val="solid" w:color="FFFFFF" w:fill="auto"/>
          </w:tcPr>
          <w:p w14:paraId="1F6D8C48" w14:textId="791E754A" w:rsidR="00153C7D" w:rsidRPr="00873B6C" w:rsidRDefault="00153C7D" w:rsidP="00591B52">
            <w:pPr>
              <w:pStyle w:val="TAL"/>
              <w:rPr>
                <w:sz w:val="16"/>
                <w:szCs w:val="16"/>
              </w:rPr>
            </w:pPr>
            <w:r w:rsidRPr="00873B6C">
              <w:rPr>
                <w:sz w:val="16"/>
                <w:szCs w:val="16"/>
              </w:rPr>
              <w:t>5</w:t>
            </w:r>
          </w:p>
        </w:tc>
        <w:tc>
          <w:tcPr>
            <w:tcW w:w="425" w:type="dxa"/>
            <w:shd w:val="solid" w:color="FFFFFF" w:fill="auto"/>
          </w:tcPr>
          <w:p w14:paraId="48AB786D" w14:textId="20869996"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7537D85E" w14:textId="66BED327" w:rsidR="00153C7D" w:rsidRPr="00873B6C" w:rsidRDefault="00153C7D" w:rsidP="00591B52">
            <w:pPr>
              <w:pStyle w:val="TAL"/>
              <w:rPr>
                <w:sz w:val="16"/>
                <w:szCs w:val="16"/>
              </w:rPr>
            </w:pPr>
            <w:r w:rsidRPr="00873B6C">
              <w:rPr>
                <w:sz w:val="16"/>
                <w:szCs w:val="16"/>
              </w:rPr>
              <w:t>Clarification on access dependency of Alternative S-NSSAI</w:t>
            </w:r>
          </w:p>
        </w:tc>
        <w:tc>
          <w:tcPr>
            <w:tcW w:w="708" w:type="dxa"/>
            <w:shd w:val="solid" w:color="FFFFFF" w:fill="auto"/>
          </w:tcPr>
          <w:p w14:paraId="7A748821" w14:textId="41B759D5" w:rsidR="00153C7D" w:rsidRPr="00873B6C" w:rsidRDefault="00153C7D" w:rsidP="00591B52">
            <w:pPr>
              <w:pStyle w:val="TAC"/>
              <w:rPr>
                <w:sz w:val="16"/>
                <w:szCs w:val="16"/>
              </w:rPr>
            </w:pPr>
            <w:r w:rsidRPr="00873B6C">
              <w:rPr>
                <w:sz w:val="16"/>
                <w:szCs w:val="16"/>
              </w:rPr>
              <w:t>18.6.0</w:t>
            </w:r>
          </w:p>
        </w:tc>
      </w:tr>
      <w:tr w:rsidR="00153C7D" w:rsidRPr="00873B6C" w14:paraId="378F5056" w14:textId="77777777" w:rsidTr="009D14FB">
        <w:tc>
          <w:tcPr>
            <w:tcW w:w="800" w:type="dxa"/>
            <w:shd w:val="solid" w:color="FFFFFF" w:fill="auto"/>
          </w:tcPr>
          <w:p w14:paraId="1B12B75A" w14:textId="1009B46F"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3810C911" w14:textId="5F5BBAD9"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76FE750D" w14:textId="6D10C577" w:rsidR="00153C7D" w:rsidRPr="00873B6C" w:rsidRDefault="00153C7D" w:rsidP="00591B52">
            <w:pPr>
              <w:pStyle w:val="TAC"/>
              <w:rPr>
                <w:sz w:val="16"/>
                <w:szCs w:val="16"/>
              </w:rPr>
            </w:pPr>
            <w:r w:rsidRPr="00873B6C">
              <w:rPr>
                <w:sz w:val="16"/>
                <w:szCs w:val="16"/>
              </w:rPr>
              <w:t>SP-240591</w:t>
            </w:r>
          </w:p>
        </w:tc>
        <w:tc>
          <w:tcPr>
            <w:tcW w:w="567" w:type="dxa"/>
            <w:shd w:val="solid" w:color="FFFFFF" w:fill="auto"/>
          </w:tcPr>
          <w:p w14:paraId="1ADD78CC" w14:textId="5D1BFD55" w:rsidR="00153C7D" w:rsidRPr="00873B6C" w:rsidRDefault="00153C7D" w:rsidP="00591B52">
            <w:pPr>
              <w:pStyle w:val="TAL"/>
              <w:rPr>
                <w:sz w:val="16"/>
                <w:szCs w:val="16"/>
              </w:rPr>
            </w:pPr>
            <w:r w:rsidRPr="00873B6C">
              <w:rPr>
                <w:sz w:val="16"/>
                <w:szCs w:val="16"/>
              </w:rPr>
              <w:t>4951</w:t>
            </w:r>
          </w:p>
        </w:tc>
        <w:tc>
          <w:tcPr>
            <w:tcW w:w="425" w:type="dxa"/>
            <w:shd w:val="solid" w:color="FFFFFF" w:fill="auto"/>
          </w:tcPr>
          <w:p w14:paraId="3D6FF45D" w14:textId="15D2924E" w:rsidR="00153C7D" w:rsidRPr="00873B6C" w:rsidRDefault="00153C7D" w:rsidP="00591B52">
            <w:pPr>
              <w:pStyle w:val="TAL"/>
              <w:rPr>
                <w:sz w:val="16"/>
                <w:szCs w:val="16"/>
              </w:rPr>
            </w:pPr>
            <w:r w:rsidRPr="00873B6C">
              <w:rPr>
                <w:sz w:val="16"/>
                <w:szCs w:val="16"/>
              </w:rPr>
              <w:t>2</w:t>
            </w:r>
          </w:p>
        </w:tc>
        <w:tc>
          <w:tcPr>
            <w:tcW w:w="425" w:type="dxa"/>
            <w:shd w:val="solid" w:color="FFFFFF" w:fill="auto"/>
          </w:tcPr>
          <w:p w14:paraId="0AFE6DDA" w14:textId="4A436771"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5DC90468" w14:textId="16E4413B" w:rsidR="00153C7D" w:rsidRPr="00873B6C" w:rsidRDefault="00153C7D" w:rsidP="00591B52">
            <w:pPr>
              <w:pStyle w:val="TAL"/>
              <w:rPr>
                <w:sz w:val="16"/>
                <w:szCs w:val="16"/>
              </w:rPr>
            </w:pPr>
            <w:r w:rsidRPr="00873B6C">
              <w:rPr>
                <w:sz w:val="16"/>
                <w:szCs w:val="16"/>
              </w:rPr>
              <w:t>Clarification on TNGF identifiers</w:t>
            </w:r>
          </w:p>
        </w:tc>
        <w:tc>
          <w:tcPr>
            <w:tcW w:w="708" w:type="dxa"/>
            <w:shd w:val="solid" w:color="FFFFFF" w:fill="auto"/>
          </w:tcPr>
          <w:p w14:paraId="03BAFD2D" w14:textId="4DA72C7B" w:rsidR="00153C7D" w:rsidRPr="00873B6C" w:rsidRDefault="00153C7D" w:rsidP="00591B52">
            <w:pPr>
              <w:pStyle w:val="TAC"/>
              <w:rPr>
                <w:sz w:val="16"/>
                <w:szCs w:val="16"/>
              </w:rPr>
            </w:pPr>
            <w:r w:rsidRPr="00873B6C">
              <w:rPr>
                <w:sz w:val="16"/>
                <w:szCs w:val="16"/>
              </w:rPr>
              <w:t>18.6.0</w:t>
            </w:r>
          </w:p>
        </w:tc>
      </w:tr>
      <w:tr w:rsidR="00153C7D" w:rsidRPr="00873B6C" w14:paraId="7F04CB3A" w14:textId="77777777" w:rsidTr="009D14FB">
        <w:tc>
          <w:tcPr>
            <w:tcW w:w="800" w:type="dxa"/>
            <w:shd w:val="solid" w:color="FFFFFF" w:fill="auto"/>
          </w:tcPr>
          <w:p w14:paraId="2B129C97" w14:textId="75F57298"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040E1CE2" w14:textId="643A1B3E"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2C76BD47" w14:textId="3F0EA7F6" w:rsidR="00153C7D" w:rsidRPr="00873B6C" w:rsidRDefault="00153C7D" w:rsidP="00591B52">
            <w:pPr>
              <w:pStyle w:val="TAC"/>
              <w:rPr>
                <w:sz w:val="16"/>
                <w:szCs w:val="16"/>
              </w:rPr>
            </w:pPr>
            <w:r w:rsidRPr="00873B6C">
              <w:rPr>
                <w:sz w:val="16"/>
                <w:szCs w:val="16"/>
              </w:rPr>
              <w:t>SP-240602</w:t>
            </w:r>
          </w:p>
        </w:tc>
        <w:tc>
          <w:tcPr>
            <w:tcW w:w="567" w:type="dxa"/>
            <w:shd w:val="solid" w:color="FFFFFF" w:fill="auto"/>
          </w:tcPr>
          <w:p w14:paraId="624828F4" w14:textId="2433F443" w:rsidR="00153C7D" w:rsidRPr="00873B6C" w:rsidRDefault="00153C7D" w:rsidP="00591B52">
            <w:pPr>
              <w:pStyle w:val="TAL"/>
              <w:rPr>
                <w:sz w:val="16"/>
                <w:szCs w:val="16"/>
              </w:rPr>
            </w:pPr>
            <w:r w:rsidRPr="00873B6C">
              <w:rPr>
                <w:sz w:val="16"/>
                <w:szCs w:val="16"/>
              </w:rPr>
              <w:t>5204</w:t>
            </w:r>
          </w:p>
        </w:tc>
        <w:tc>
          <w:tcPr>
            <w:tcW w:w="425" w:type="dxa"/>
            <w:shd w:val="solid" w:color="FFFFFF" w:fill="auto"/>
          </w:tcPr>
          <w:p w14:paraId="05580285" w14:textId="782E86E7" w:rsidR="00153C7D" w:rsidRPr="00873B6C" w:rsidRDefault="00153C7D" w:rsidP="00591B52">
            <w:pPr>
              <w:pStyle w:val="TAL"/>
              <w:rPr>
                <w:sz w:val="16"/>
                <w:szCs w:val="16"/>
              </w:rPr>
            </w:pPr>
            <w:r w:rsidRPr="00873B6C">
              <w:rPr>
                <w:sz w:val="16"/>
                <w:szCs w:val="16"/>
              </w:rPr>
              <w:t>6</w:t>
            </w:r>
          </w:p>
        </w:tc>
        <w:tc>
          <w:tcPr>
            <w:tcW w:w="425" w:type="dxa"/>
            <w:shd w:val="solid" w:color="FFFFFF" w:fill="auto"/>
          </w:tcPr>
          <w:p w14:paraId="1C654EAF" w14:textId="2BFA4095"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7588430C" w14:textId="3A8C66ED" w:rsidR="00153C7D" w:rsidRPr="00873B6C" w:rsidRDefault="00153C7D" w:rsidP="00591B52">
            <w:pPr>
              <w:pStyle w:val="TAL"/>
              <w:rPr>
                <w:sz w:val="16"/>
                <w:szCs w:val="16"/>
              </w:rPr>
            </w:pPr>
            <w:r w:rsidRPr="00873B6C">
              <w:rPr>
                <w:sz w:val="16"/>
                <w:szCs w:val="16"/>
              </w:rPr>
              <w:t>Operator specific QoS and handling at inter-PLMN mobility</w:t>
            </w:r>
          </w:p>
        </w:tc>
        <w:tc>
          <w:tcPr>
            <w:tcW w:w="708" w:type="dxa"/>
            <w:shd w:val="solid" w:color="FFFFFF" w:fill="auto"/>
          </w:tcPr>
          <w:p w14:paraId="07811B66" w14:textId="375560EC" w:rsidR="00153C7D" w:rsidRPr="00873B6C" w:rsidRDefault="00153C7D" w:rsidP="00591B52">
            <w:pPr>
              <w:pStyle w:val="TAC"/>
              <w:rPr>
                <w:sz w:val="16"/>
                <w:szCs w:val="16"/>
              </w:rPr>
            </w:pPr>
            <w:r w:rsidRPr="00873B6C">
              <w:rPr>
                <w:sz w:val="16"/>
                <w:szCs w:val="16"/>
              </w:rPr>
              <w:t>18.6.0</w:t>
            </w:r>
          </w:p>
        </w:tc>
      </w:tr>
      <w:tr w:rsidR="00153C7D" w:rsidRPr="00873B6C" w14:paraId="26094C37" w14:textId="77777777" w:rsidTr="009D14FB">
        <w:tc>
          <w:tcPr>
            <w:tcW w:w="800" w:type="dxa"/>
            <w:shd w:val="solid" w:color="FFFFFF" w:fill="auto"/>
          </w:tcPr>
          <w:p w14:paraId="1C339D3D" w14:textId="4DBDB338"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0323E74F" w14:textId="01915200"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136D7361" w14:textId="3C953501" w:rsidR="00153C7D" w:rsidRPr="00873B6C" w:rsidRDefault="00153C7D" w:rsidP="00591B52">
            <w:pPr>
              <w:pStyle w:val="TAC"/>
              <w:rPr>
                <w:sz w:val="16"/>
                <w:szCs w:val="16"/>
              </w:rPr>
            </w:pPr>
            <w:r w:rsidRPr="00873B6C">
              <w:rPr>
                <w:sz w:val="16"/>
                <w:szCs w:val="16"/>
              </w:rPr>
              <w:t>SP-240600</w:t>
            </w:r>
          </w:p>
        </w:tc>
        <w:tc>
          <w:tcPr>
            <w:tcW w:w="567" w:type="dxa"/>
            <w:shd w:val="solid" w:color="FFFFFF" w:fill="auto"/>
          </w:tcPr>
          <w:p w14:paraId="68F01420" w14:textId="3F0377A2" w:rsidR="00153C7D" w:rsidRPr="00873B6C" w:rsidRDefault="00153C7D" w:rsidP="00591B52">
            <w:pPr>
              <w:pStyle w:val="TAL"/>
              <w:rPr>
                <w:sz w:val="16"/>
                <w:szCs w:val="16"/>
              </w:rPr>
            </w:pPr>
            <w:r w:rsidRPr="00873B6C">
              <w:rPr>
                <w:sz w:val="16"/>
                <w:szCs w:val="16"/>
              </w:rPr>
              <w:t>5254</w:t>
            </w:r>
          </w:p>
        </w:tc>
        <w:tc>
          <w:tcPr>
            <w:tcW w:w="425" w:type="dxa"/>
            <w:shd w:val="solid" w:color="FFFFFF" w:fill="auto"/>
          </w:tcPr>
          <w:p w14:paraId="5D40EFD5" w14:textId="03114D16" w:rsidR="00153C7D" w:rsidRPr="00873B6C" w:rsidRDefault="00153C7D" w:rsidP="00591B52">
            <w:pPr>
              <w:pStyle w:val="TAL"/>
              <w:rPr>
                <w:sz w:val="16"/>
                <w:szCs w:val="16"/>
              </w:rPr>
            </w:pPr>
            <w:r w:rsidRPr="00873B6C">
              <w:rPr>
                <w:sz w:val="16"/>
                <w:szCs w:val="16"/>
              </w:rPr>
              <w:t>6</w:t>
            </w:r>
          </w:p>
        </w:tc>
        <w:tc>
          <w:tcPr>
            <w:tcW w:w="425" w:type="dxa"/>
            <w:shd w:val="solid" w:color="FFFFFF" w:fill="auto"/>
          </w:tcPr>
          <w:p w14:paraId="1F3DA0E9" w14:textId="49C6EBA8"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1A52DF04" w14:textId="6F4B5B61" w:rsidR="00153C7D" w:rsidRPr="00873B6C" w:rsidRDefault="00153C7D" w:rsidP="00591B52">
            <w:pPr>
              <w:pStyle w:val="TAL"/>
              <w:rPr>
                <w:sz w:val="16"/>
                <w:szCs w:val="16"/>
              </w:rPr>
            </w:pPr>
            <w:r w:rsidRPr="00873B6C">
              <w:rPr>
                <w:sz w:val="16"/>
                <w:szCs w:val="16"/>
              </w:rPr>
              <w:t xml:space="preserve">Clarification on (e)RedCap UE </w:t>
            </w:r>
          </w:p>
        </w:tc>
        <w:tc>
          <w:tcPr>
            <w:tcW w:w="708" w:type="dxa"/>
            <w:shd w:val="solid" w:color="FFFFFF" w:fill="auto"/>
          </w:tcPr>
          <w:p w14:paraId="78426428" w14:textId="38FD96CB" w:rsidR="00153C7D" w:rsidRPr="00873B6C" w:rsidRDefault="00153C7D" w:rsidP="00591B52">
            <w:pPr>
              <w:pStyle w:val="TAC"/>
              <w:rPr>
                <w:sz w:val="16"/>
                <w:szCs w:val="16"/>
              </w:rPr>
            </w:pPr>
            <w:r w:rsidRPr="00873B6C">
              <w:rPr>
                <w:sz w:val="16"/>
                <w:szCs w:val="16"/>
              </w:rPr>
              <w:t>18.6.0</w:t>
            </w:r>
          </w:p>
        </w:tc>
      </w:tr>
      <w:tr w:rsidR="00153C7D" w:rsidRPr="00873B6C" w14:paraId="4BB7393B" w14:textId="77777777" w:rsidTr="009D14FB">
        <w:tc>
          <w:tcPr>
            <w:tcW w:w="800" w:type="dxa"/>
            <w:shd w:val="solid" w:color="FFFFFF" w:fill="auto"/>
          </w:tcPr>
          <w:p w14:paraId="027BD9EC" w14:textId="4F1B7D20"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6463E216" w14:textId="6C9C15A8"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66E55E67" w14:textId="7506716A" w:rsidR="00153C7D" w:rsidRPr="00873B6C" w:rsidRDefault="00153C7D" w:rsidP="00591B52">
            <w:pPr>
              <w:pStyle w:val="TAC"/>
              <w:rPr>
                <w:sz w:val="16"/>
                <w:szCs w:val="16"/>
              </w:rPr>
            </w:pPr>
            <w:r w:rsidRPr="00873B6C">
              <w:rPr>
                <w:sz w:val="16"/>
                <w:szCs w:val="16"/>
              </w:rPr>
              <w:t>SP-240604</w:t>
            </w:r>
          </w:p>
        </w:tc>
        <w:tc>
          <w:tcPr>
            <w:tcW w:w="567" w:type="dxa"/>
            <w:shd w:val="solid" w:color="FFFFFF" w:fill="auto"/>
          </w:tcPr>
          <w:p w14:paraId="0863824B" w14:textId="3AF7B07D" w:rsidR="00153C7D" w:rsidRPr="00873B6C" w:rsidRDefault="00153C7D" w:rsidP="00591B52">
            <w:pPr>
              <w:pStyle w:val="TAL"/>
              <w:rPr>
                <w:sz w:val="16"/>
                <w:szCs w:val="16"/>
              </w:rPr>
            </w:pPr>
            <w:r w:rsidRPr="00873B6C">
              <w:rPr>
                <w:sz w:val="16"/>
                <w:szCs w:val="16"/>
              </w:rPr>
              <w:t>5258</w:t>
            </w:r>
          </w:p>
        </w:tc>
        <w:tc>
          <w:tcPr>
            <w:tcW w:w="425" w:type="dxa"/>
            <w:shd w:val="solid" w:color="FFFFFF" w:fill="auto"/>
          </w:tcPr>
          <w:p w14:paraId="6C8A27CC" w14:textId="4B3A78F6" w:rsidR="00153C7D" w:rsidRPr="00873B6C" w:rsidRDefault="00153C7D" w:rsidP="00591B52">
            <w:pPr>
              <w:pStyle w:val="TAL"/>
              <w:rPr>
                <w:sz w:val="16"/>
                <w:szCs w:val="16"/>
              </w:rPr>
            </w:pPr>
            <w:r w:rsidRPr="00873B6C">
              <w:rPr>
                <w:sz w:val="16"/>
                <w:szCs w:val="16"/>
              </w:rPr>
              <w:t>3</w:t>
            </w:r>
          </w:p>
        </w:tc>
        <w:tc>
          <w:tcPr>
            <w:tcW w:w="425" w:type="dxa"/>
            <w:shd w:val="solid" w:color="FFFFFF" w:fill="auto"/>
          </w:tcPr>
          <w:p w14:paraId="0B25B1ED" w14:textId="1D3F4F22"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40278B78" w14:textId="20CB960F" w:rsidR="00153C7D" w:rsidRPr="00873B6C" w:rsidRDefault="00153C7D" w:rsidP="00591B52">
            <w:pPr>
              <w:pStyle w:val="TAL"/>
              <w:rPr>
                <w:sz w:val="16"/>
                <w:szCs w:val="16"/>
              </w:rPr>
            </w:pPr>
            <w:r w:rsidRPr="00873B6C">
              <w:rPr>
                <w:sz w:val="16"/>
                <w:szCs w:val="16"/>
              </w:rPr>
              <w:t>Clarification on providing the additional location and time restrictions information to the MBSR IAB-UE</w:t>
            </w:r>
          </w:p>
        </w:tc>
        <w:tc>
          <w:tcPr>
            <w:tcW w:w="708" w:type="dxa"/>
            <w:shd w:val="solid" w:color="FFFFFF" w:fill="auto"/>
          </w:tcPr>
          <w:p w14:paraId="481E412D" w14:textId="3D487499" w:rsidR="00153C7D" w:rsidRPr="00873B6C" w:rsidRDefault="00153C7D" w:rsidP="00591B52">
            <w:pPr>
              <w:pStyle w:val="TAC"/>
              <w:rPr>
                <w:sz w:val="16"/>
                <w:szCs w:val="16"/>
              </w:rPr>
            </w:pPr>
            <w:r w:rsidRPr="00873B6C">
              <w:rPr>
                <w:sz w:val="16"/>
                <w:szCs w:val="16"/>
              </w:rPr>
              <w:t>18.6.0</w:t>
            </w:r>
          </w:p>
        </w:tc>
      </w:tr>
      <w:tr w:rsidR="002A4DF8" w:rsidRPr="00873B6C" w14:paraId="73A65DE1" w14:textId="77777777" w:rsidTr="009D14FB">
        <w:tc>
          <w:tcPr>
            <w:tcW w:w="800" w:type="dxa"/>
            <w:shd w:val="solid" w:color="FFFFFF" w:fill="auto"/>
          </w:tcPr>
          <w:p w14:paraId="04F13372" w14:textId="506C6F2F"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344F57E8" w14:textId="6AF22E05"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62EC41A9" w14:textId="6BBB76DB" w:rsidR="002A4DF8" w:rsidRPr="00873B6C" w:rsidRDefault="002A4DF8" w:rsidP="00591B52">
            <w:pPr>
              <w:pStyle w:val="TAC"/>
              <w:rPr>
                <w:sz w:val="16"/>
                <w:szCs w:val="16"/>
              </w:rPr>
            </w:pPr>
            <w:r w:rsidRPr="00873B6C">
              <w:rPr>
                <w:sz w:val="16"/>
                <w:szCs w:val="16"/>
              </w:rPr>
              <w:t>SP-240593</w:t>
            </w:r>
          </w:p>
        </w:tc>
        <w:tc>
          <w:tcPr>
            <w:tcW w:w="567" w:type="dxa"/>
            <w:shd w:val="solid" w:color="FFFFFF" w:fill="auto"/>
          </w:tcPr>
          <w:p w14:paraId="1C9FDD31" w14:textId="67DC6EC0" w:rsidR="002A4DF8" w:rsidRPr="00873B6C" w:rsidRDefault="002A4DF8" w:rsidP="00591B52">
            <w:pPr>
              <w:pStyle w:val="TAL"/>
              <w:rPr>
                <w:sz w:val="16"/>
                <w:szCs w:val="16"/>
              </w:rPr>
            </w:pPr>
            <w:r w:rsidRPr="00873B6C">
              <w:rPr>
                <w:sz w:val="16"/>
                <w:szCs w:val="16"/>
              </w:rPr>
              <w:t>5322</w:t>
            </w:r>
          </w:p>
        </w:tc>
        <w:tc>
          <w:tcPr>
            <w:tcW w:w="425" w:type="dxa"/>
            <w:shd w:val="solid" w:color="FFFFFF" w:fill="auto"/>
          </w:tcPr>
          <w:p w14:paraId="3BF570C0" w14:textId="0E919C30" w:rsidR="002A4DF8" w:rsidRPr="00873B6C" w:rsidRDefault="002A4DF8" w:rsidP="00591B52">
            <w:pPr>
              <w:pStyle w:val="TAL"/>
              <w:rPr>
                <w:sz w:val="16"/>
                <w:szCs w:val="16"/>
              </w:rPr>
            </w:pPr>
            <w:r w:rsidRPr="00873B6C">
              <w:rPr>
                <w:sz w:val="16"/>
                <w:szCs w:val="16"/>
              </w:rPr>
              <w:t>1</w:t>
            </w:r>
          </w:p>
        </w:tc>
        <w:tc>
          <w:tcPr>
            <w:tcW w:w="425" w:type="dxa"/>
            <w:shd w:val="solid" w:color="FFFFFF" w:fill="auto"/>
          </w:tcPr>
          <w:p w14:paraId="51F34852" w14:textId="03218827"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7D2A5212" w14:textId="3870E1D0" w:rsidR="002A4DF8" w:rsidRPr="00873B6C" w:rsidRDefault="002A4DF8" w:rsidP="00591B52">
            <w:pPr>
              <w:pStyle w:val="TAL"/>
              <w:rPr>
                <w:sz w:val="16"/>
                <w:szCs w:val="16"/>
              </w:rPr>
            </w:pPr>
            <w:r w:rsidRPr="00873B6C">
              <w:rPr>
                <w:sz w:val="16"/>
                <w:szCs w:val="16"/>
              </w:rPr>
              <w:t xml:space="preserve">Corrections on supported Steering Modes for a MA PDU Session </w:t>
            </w:r>
          </w:p>
        </w:tc>
        <w:tc>
          <w:tcPr>
            <w:tcW w:w="708" w:type="dxa"/>
            <w:shd w:val="solid" w:color="FFFFFF" w:fill="auto"/>
          </w:tcPr>
          <w:p w14:paraId="5B9B6609" w14:textId="5D93B165" w:rsidR="002A4DF8" w:rsidRPr="00873B6C" w:rsidRDefault="002A4DF8" w:rsidP="00591B52">
            <w:pPr>
              <w:pStyle w:val="TAC"/>
              <w:rPr>
                <w:sz w:val="16"/>
                <w:szCs w:val="16"/>
              </w:rPr>
            </w:pPr>
            <w:r w:rsidRPr="00873B6C">
              <w:rPr>
                <w:sz w:val="16"/>
                <w:szCs w:val="16"/>
              </w:rPr>
              <w:t>18.6.0</w:t>
            </w:r>
          </w:p>
        </w:tc>
      </w:tr>
      <w:tr w:rsidR="002A4DF8" w:rsidRPr="00873B6C" w14:paraId="31FB4689" w14:textId="77777777" w:rsidTr="009D14FB">
        <w:tc>
          <w:tcPr>
            <w:tcW w:w="800" w:type="dxa"/>
            <w:shd w:val="solid" w:color="FFFFFF" w:fill="auto"/>
          </w:tcPr>
          <w:p w14:paraId="5A2BC040" w14:textId="0FCDC665"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5B7B5008" w14:textId="6440D540"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24BA3B9E" w14:textId="03FC0798" w:rsidR="002A4DF8" w:rsidRPr="00873B6C" w:rsidRDefault="002A4DF8" w:rsidP="00591B52">
            <w:pPr>
              <w:pStyle w:val="TAC"/>
              <w:rPr>
                <w:sz w:val="16"/>
                <w:szCs w:val="16"/>
              </w:rPr>
            </w:pPr>
            <w:r w:rsidRPr="00873B6C">
              <w:rPr>
                <w:sz w:val="16"/>
                <w:szCs w:val="16"/>
              </w:rPr>
              <w:t>SP-240597</w:t>
            </w:r>
          </w:p>
        </w:tc>
        <w:tc>
          <w:tcPr>
            <w:tcW w:w="567" w:type="dxa"/>
            <w:shd w:val="solid" w:color="FFFFFF" w:fill="auto"/>
          </w:tcPr>
          <w:p w14:paraId="178DE7C7" w14:textId="2641D9CF" w:rsidR="002A4DF8" w:rsidRPr="00873B6C" w:rsidRDefault="002A4DF8" w:rsidP="00591B52">
            <w:pPr>
              <w:pStyle w:val="TAL"/>
              <w:rPr>
                <w:sz w:val="16"/>
                <w:szCs w:val="16"/>
              </w:rPr>
            </w:pPr>
            <w:r w:rsidRPr="00873B6C">
              <w:rPr>
                <w:sz w:val="16"/>
                <w:szCs w:val="16"/>
              </w:rPr>
              <w:t>5326</w:t>
            </w:r>
          </w:p>
        </w:tc>
        <w:tc>
          <w:tcPr>
            <w:tcW w:w="425" w:type="dxa"/>
            <w:shd w:val="solid" w:color="FFFFFF" w:fill="auto"/>
          </w:tcPr>
          <w:p w14:paraId="3A018CCB" w14:textId="474DA0B5" w:rsidR="002A4DF8" w:rsidRPr="00873B6C" w:rsidRDefault="002A4DF8" w:rsidP="00591B52">
            <w:pPr>
              <w:pStyle w:val="TAL"/>
              <w:rPr>
                <w:sz w:val="16"/>
                <w:szCs w:val="16"/>
              </w:rPr>
            </w:pPr>
            <w:r w:rsidRPr="00873B6C">
              <w:rPr>
                <w:sz w:val="16"/>
                <w:szCs w:val="16"/>
              </w:rPr>
              <w:t>5</w:t>
            </w:r>
          </w:p>
        </w:tc>
        <w:tc>
          <w:tcPr>
            <w:tcW w:w="425" w:type="dxa"/>
            <w:shd w:val="solid" w:color="FFFFFF" w:fill="auto"/>
          </w:tcPr>
          <w:p w14:paraId="688316DE" w14:textId="081B16AD"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08113BA9" w14:textId="124192F0" w:rsidR="002A4DF8" w:rsidRPr="00873B6C" w:rsidRDefault="002A4DF8" w:rsidP="00591B52">
            <w:pPr>
              <w:pStyle w:val="TAL"/>
              <w:rPr>
                <w:sz w:val="16"/>
                <w:szCs w:val="16"/>
              </w:rPr>
            </w:pPr>
            <w:r w:rsidRPr="00873B6C">
              <w:rPr>
                <w:sz w:val="16"/>
                <w:szCs w:val="16"/>
              </w:rPr>
              <w:t>Distinction between network slice supported and available in an area</w:t>
            </w:r>
          </w:p>
        </w:tc>
        <w:tc>
          <w:tcPr>
            <w:tcW w:w="708" w:type="dxa"/>
            <w:shd w:val="solid" w:color="FFFFFF" w:fill="auto"/>
          </w:tcPr>
          <w:p w14:paraId="182A8349" w14:textId="78AEBB7B" w:rsidR="002A4DF8" w:rsidRPr="00873B6C" w:rsidRDefault="002A4DF8" w:rsidP="00591B52">
            <w:pPr>
              <w:pStyle w:val="TAC"/>
              <w:rPr>
                <w:sz w:val="16"/>
                <w:szCs w:val="16"/>
              </w:rPr>
            </w:pPr>
            <w:r w:rsidRPr="00873B6C">
              <w:rPr>
                <w:sz w:val="16"/>
                <w:szCs w:val="16"/>
              </w:rPr>
              <w:t>18.6.0</w:t>
            </w:r>
          </w:p>
        </w:tc>
      </w:tr>
      <w:tr w:rsidR="002A4DF8" w:rsidRPr="00873B6C" w14:paraId="4A762F58" w14:textId="77777777" w:rsidTr="009D14FB">
        <w:tc>
          <w:tcPr>
            <w:tcW w:w="800" w:type="dxa"/>
            <w:shd w:val="solid" w:color="FFFFFF" w:fill="auto"/>
          </w:tcPr>
          <w:p w14:paraId="307A29EB" w14:textId="33030CED"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59A6F47C" w14:textId="17139E4A"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74FE2A43" w14:textId="30F76D7E" w:rsidR="002A4DF8" w:rsidRPr="00873B6C" w:rsidRDefault="002A4DF8" w:rsidP="00591B52">
            <w:pPr>
              <w:pStyle w:val="TAC"/>
              <w:rPr>
                <w:sz w:val="16"/>
                <w:szCs w:val="16"/>
              </w:rPr>
            </w:pPr>
            <w:r w:rsidRPr="00873B6C">
              <w:rPr>
                <w:sz w:val="16"/>
                <w:szCs w:val="16"/>
              </w:rPr>
              <w:t>SP-240597</w:t>
            </w:r>
          </w:p>
        </w:tc>
        <w:tc>
          <w:tcPr>
            <w:tcW w:w="567" w:type="dxa"/>
            <w:shd w:val="solid" w:color="FFFFFF" w:fill="auto"/>
          </w:tcPr>
          <w:p w14:paraId="55A837C9" w14:textId="66AC4D94" w:rsidR="002A4DF8" w:rsidRPr="00873B6C" w:rsidRDefault="002A4DF8" w:rsidP="00591B52">
            <w:pPr>
              <w:pStyle w:val="TAL"/>
              <w:rPr>
                <w:sz w:val="16"/>
                <w:szCs w:val="16"/>
              </w:rPr>
            </w:pPr>
            <w:r w:rsidRPr="00873B6C">
              <w:rPr>
                <w:sz w:val="16"/>
                <w:szCs w:val="16"/>
              </w:rPr>
              <w:t>5346</w:t>
            </w:r>
          </w:p>
        </w:tc>
        <w:tc>
          <w:tcPr>
            <w:tcW w:w="425" w:type="dxa"/>
            <w:shd w:val="solid" w:color="FFFFFF" w:fill="auto"/>
          </w:tcPr>
          <w:p w14:paraId="31710624" w14:textId="7B2918A7" w:rsidR="002A4DF8" w:rsidRPr="00873B6C" w:rsidRDefault="002A4DF8" w:rsidP="00591B52">
            <w:pPr>
              <w:pStyle w:val="TAL"/>
              <w:rPr>
                <w:sz w:val="16"/>
                <w:szCs w:val="16"/>
              </w:rPr>
            </w:pPr>
            <w:r w:rsidRPr="00873B6C">
              <w:rPr>
                <w:sz w:val="16"/>
                <w:szCs w:val="16"/>
              </w:rPr>
              <w:t>5</w:t>
            </w:r>
          </w:p>
        </w:tc>
        <w:tc>
          <w:tcPr>
            <w:tcW w:w="425" w:type="dxa"/>
            <w:shd w:val="solid" w:color="FFFFFF" w:fill="auto"/>
          </w:tcPr>
          <w:p w14:paraId="58057109" w14:textId="72A3C277"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63CE5DEE" w14:textId="0F683C8E" w:rsidR="002A4DF8" w:rsidRPr="00873B6C" w:rsidRDefault="002A4DF8" w:rsidP="00591B52">
            <w:pPr>
              <w:pStyle w:val="TAL"/>
              <w:rPr>
                <w:sz w:val="16"/>
                <w:szCs w:val="16"/>
              </w:rPr>
            </w:pPr>
            <w:r w:rsidRPr="00873B6C">
              <w:rPr>
                <w:sz w:val="16"/>
                <w:szCs w:val="16"/>
              </w:rPr>
              <w:t>Slice deregistration inactvity timer clarification</w:t>
            </w:r>
          </w:p>
        </w:tc>
        <w:tc>
          <w:tcPr>
            <w:tcW w:w="708" w:type="dxa"/>
            <w:shd w:val="solid" w:color="FFFFFF" w:fill="auto"/>
          </w:tcPr>
          <w:p w14:paraId="7EF6505E" w14:textId="2CE7C7AA" w:rsidR="002A4DF8" w:rsidRPr="00873B6C" w:rsidRDefault="002A4DF8" w:rsidP="00591B52">
            <w:pPr>
              <w:pStyle w:val="TAC"/>
              <w:rPr>
                <w:sz w:val="16"/>
                <w:szCs w:val="16"/>
              </w:rPr>
            </w:pPr>
            <w:r w:rsidRPr="00873B6C">
              <w:rPr>
                <w:sz w:val="16"/>
                <w:szCs w:val="16"/>
              </w:rPr>
              <w:t>18.6.0</w:t>
            </w:r>
          </w:p>
        </w:tc>
      </w:tr>
      <w:tr w:rsidR="002A4DF8" w:rsidRPr="00873B6C" w14:paraId="6FEBB5EF" w14:textId="77777777" w:rsidTr="009D14FB">
        <w:tc>
          <w:tcPr>
            <w:tcW w:w="800" w:type="dxa"/>
            <w:shd w:val="solid" w:color="FFFFFF" w:fill="auto"/>
          </w:tcPr>
          <w:p w14:paraId="7D0E3310" w14:textId="40AF7CF9"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24C9F09D" w14:textId="275A2CB5"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72207DFD" w14:textId="1220CB95" w:rsidR="002A4DF8" w:rsidRPr="00873B6C" w:rsidRDefault="002A4DF8" w:rsidP="00591B52">
            <w:pPr>
              <w:pStyle w:val="TAC"/>
              <w:rPr>
                <w:sz w:val="16"/>
                <w:szCs w:val="16"/>
              </w:rPr>
            </w:pPr>
            <w:r w:rsidRPr="00873B6C">
              <w:rPr>
                <w:sz w:val="16"/>
                <w:szCs w:val="16"/>
              </w:rPr>
              <w:t>SP-240602</w:t>
            </w:r>
          </w:p>
        </w:tc>
        <w:tc>
          <w:tcPr>
            <w:tcW w:w="567" w:type="dxa"/>
            <w:shd w:val="solid" w:color="FFFFFF" w:fill="auto"/>
          </w:tcPr>
          <w:p w14:paraId="638E53A3" w14:textId="4971E3D6" w:rsidR="002A4DF8" w:rsidRPr="00873B6C" w:rsidRDefault="002A4DF8" w:rsidP="00591B52">
            <w:pPr>
              <w:pStyle w:val="TAL"/>
              <w:rPr>
                <w:sz w:val="16"/>
                <w:szCs w:val="16"/>
              </w:rPr>
            </w:pPr>
            <w:r w:rsidRPr="00873B6C">
              <w:rPr>
                <w:sz w:val="16"/>
                <w:szCs w:val="16"/>
              </w:rPr>
              <w:t>5355</w:t>
            </w:r>
          </w:p>
        </w:tc>
        <w:tc>
          <w:tcPr>
            <w:tcW w:w="425" w:type="dxa"/>
            <w:shd w:val="solid" w:color="FFFFFF" w:fill="auto"/>
          </w:tcPr>
          <w:p w14:paraId="662B7073" w14:textId="313E588B" w:rsidR="002A4DF8" w:rsidRPr="00873B6C" w:rsidRDefault="002A4DF8" w:rsidP="00591B52">
            <w:pPr>
              <w:pStyle w:val="TAL"/>
              <w:rPr>
                <w:sz w:val="16"/>
                <w:szCs w:val="16"/>
              </w:rPr>
            </w:pPr>
            <w:r w:rsidRPr="00873B6C">
              <w:rPr>
                <w:sz w:val="16"/>
                <w:szCs w:val="16"/>
              </w:rPr>
              <w:t>1</w:t>
            </w:r>
          </w:p>
        </w:tc>
        <w:tc>
          <w:tcPr>
            <w:tcW w:w="425" w:type="dxa"/>
            <w:shd w:val="solid" w:color="FFFFFF" w:fill="auto"/>
          </w:tcPr>
          <w:p w14:paraId="2B85DC9F" w14:textId="3FD79121"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496D885E" w14:textId="4BE78783" w:rsidR="002A4DF8" w:rsidRPr="00873B6C" w:rsidRDefault="002A4DF8" w:rsidP="00591B52">
            <w:pPr>
              <w:pStyle w:val="TAL"/>
              <w:rPr>
                <w:sz w:val="16"/>
                <w:szCs w:val="16"/>
              </w:rPr>
            </w:pPr>
            <w:r w:rsidRPr="00873B6C">
              <w:rPr>
                <w:sz w:val="16"/>
                <w:szCs w:val="16"/>
              </w:rPr>
              <w:t>Alignment of NWDAF discovery parameters</w:t>
            </w:r>
          </w:p>
        </w:tc>
        <w:tc>
          <w:tcPr>
            <w:tcW w:w="708" w:type="dxa"/>
            <w:shd w:val="solid" w:color="FFFFFF" w:fill="auto"/>
          </w:tcPr>
          <w:p w14:paraId="0A15585E" w14:textId="0C469558" w:rsidR="002A4DF8" w:rsidRPr="00873B6C" w:rsidRDefault="002A4DF8" w:rsidP="00591B52">
            <w:pPr>
              <w:pStyle w:val="TAC"/>
              <w:rPr>
                <w:sz w:val="16"/>
                <w:szCs w:val="16"/>
              </w:rPr>
            </w:pPr>
            <w:r w:rsidRPr="00873B6C">
              <w:rPr>
                <w:sz w:val="16"/>
                <w:szCs w:val="16"/>
              </w:rPr>
              <w:t>18.6.0</w:t>
            </w:r>
          </w:p>
        </w:tc>
      </w:tr>
      <w:tr w:rsidR="002A4DF8" w:rsidRPr="00873B6C" w14:paraId="16526FF4" w14:textId="77777777" w:rsidTr="009D14FB">
        <w:tc>
          <w:tcPr>
            <w:tcW w:w="800" w:type="dxa"/>
            <w:shd w:val="solid" w:color="FFFFFF" w:fill="auto"/>
          </w:tcPr>
          <w:p w14:paraId="3AA16B54" w14:textId="739D90F8"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5D9F5233" w14:textId="7ECF762C"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442162D1" w14:textId="18CA7D40" w:rsidR="002A4DF8" w:rsidRPr="00873B6C" w:rsidRDefault="002A4DF8" w:rsidP="00591B52">
            <w:pPr>
              <w:pStyle w:val="TAC"/>
              <w:rPr>
                <w:sz w:val="16"/>
                <w:szCs w:val="16"/>
              </w:rPr>
            </w:pPr>
            <w:r w:rsidRPr="00873B6C">
              <w:rPr>
                <w:sz w:val="16"/>
                <w:szCs w:val="16"/>
              </w:rPr>
              <w:t>SP-240582</w:t>
            </w:r>
          </w:p>
        </w:tc>
        <w:tc>
          <w:tcPr>
            <w:tcW w:w="567" w:type="dxa"/>
            <w:shd w:val="solid" w:color="FFFFFF" w:fill="auto"/>
          </w:tcPr>
          <w:p w14:paraId="4FD8C22B" w14:textId="77F56E64" w:rsidR="002A4DF8" w:rsidRPr="00873B6C" w:rsidRDefault="002A4DF8" w:rsidP="00591B52">
            <w:pPr>
              <w:pStyle w:val="TAL"/>
              <w:rPr>
                <w:sz w:val="16"/>
                <w:szCs w:val="16"/>
              </w:rPr>
            </w:pPr>
            <w:r w:rsidRPr="00873B6C">
              <w:rPr>
                <w:sz w:val="16"/>
                <w:szCs w:val="16"/>
              </w:rPr>
              <w:t>5359</w:t>
            </w:r>
          </w:p>
        </w:tc>
        <w:tc>
          <w:tcPr>
            <w:tcW w:w="425" w:type="dxa"/>
            <w:shd w:val="solid" w:color="FFFFFF" w:fill="auto"/>
          </w:tcPr>
          <w:p w14:paraId="499DC815" w14:textId="1D98EEA3" w:rsidR="002A4DF8" w:rsidRPr="00873B6C" w:rsidRDefault="002A4DF8" w:rsidP="00591B52">
            <w:pPr>
              <w:pStyle w:val="TAL"/>
              <w:rPr>
                <w:sz w:val="16"/>
                <w:szCs w:val="16"/>
              </w:rPr>
            </w:pPr>
            <w:r w:rsidRPr="00873B6C">
              <w:rPr>
                <w:sz w:val="16"/>
                <w:szCs w:val="16"/>
              </w:rPr>
              <w:t>1</w:t>
            </w:r>
          </w:p>
        </w:tc>
        <w:tc>
          <w:tcPr>
            <w:tcW w:w="425" w:type="dxa"/>
            <w:shd w:val="solid" w:color="FFFFFF" w:fill="auto"/>
          </w:tcPr>
          <w:p w14:paraId="4511AD03" w14:textId="0F07A3E2" w:rsidR="002A4DF8" w:rsidRPr="00873B6C" w:rsidRDefault="002A4DF8" w:rsidP="00591B52">
            <w:pPr>
              <w:pStyle w:val="TAL"/>
              <w:rPr>
                <w:sz w:val="16"/>
                <w:szCs w:val="16"/>
              </w:rPr>
            </w:pPr>
            <w:r w:rsidRPr="00873B6C">
              <w:rPr>
                <w:sz w:val="16"/>
                <w:szCs w:val="16"/>
              </w:rPr>
              <w:t>A</w:t>
            </w:r>
          </w:p>
        </w:tc>
        <w:tc>
          <w:tcPr>
            <w:tcW w:w="4820" w:type="dxa"/>
            <w:shd w:val="solid" w:color="FFFFFF" w:fill="auto"/>
          </w:tcPr>
          <w:p w14:paraId="52272EB2" w14:textId="3326BF36" w:rsidR="002A4DF8" w:rsidRPr="00873B6C" w:rsidRDefault="002A4DF8" w:rsidP="00591B52">
            <w:pPr>
              <w:pStyle w:val="TAL"/>
              <w:rPr>
                <w:sz w:val="16"/>
                <w:szCs w:val="16"/>
              </w:rPr>
            </w:pPr>
            <w:r w:rsidRPr="00873B6C">
              <w:rPr>
                <w:sz w:val="16"/>
                <w:szCs w:val="16"/>
              </w:rPr>
              <w:t>Correction on TSCAI calculation</w:t>
            </w:r>
          </w:p>
        </w:tc>
        <w:tc>
          <w:tcPr>
            <w:tcW w:w="708" w:type="dxa"/>
            <w:shd w:val="solid" w:color="FFFFFF" w:fill="auto"/>
          </w:tcPr>
          <w:p w14:paraId="44373E00" w14:textId="7082579A" w:rsidR="002A4DF8" w:rsidRPr="00873B6C" w:rsidRDefault="002A4DF8" w:rsidP="00591B52">
            <w:pPr>
              <w:pStyle w:val="TAC"/>
              <w:rPr>
                <w:sz w:val="16"/>
                <w:szCs w:val="16"/>
              </w:rPr>
            </w:pPr>
            <w:r w:rsidRPr="00873B6C">
              <w:rPr>
                <w:sz w:val="16"/>
                <w:szCs w:val="16"/>
              </w:rPr>
              <w:t>18.6.0</w:t>
            </w:r>
          </w:p>
        </w:tc>
      </w:tr>
      <w:tr w:rsidR="002A4DF8" w:rsidRPr="00873B6C" w14:paraId="4BAAC9B9" w14:textId="77777777" w:rsidTr="009D14FB">
        <w:tc>
          <w:tcPr>
            <w:tcW w:w="800" w:type="dxa"/>
            <w:shd w:val="solid" w:color="FFFFFF" w:fill="auto"/>
          </w:tcPr>
          <w:p w14:paraId="3D7C938E" w14:textId="720993EC"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6F3575EB" w14:textId="747CBD24"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70F9A637" w14:textId="509C357D" w:rsidR="002A4DF8" w:rsidRPr="00873B6C" w:rsidRDefault="002A4DF8" w:rsidP="00591B52">
            <w:pPr>
              <w:pStyle w:val="TAC"/>
              <w:rPr>
                <w:sz w:val="16"/>
                <w:szCs w:val="16"/>
              </w:rPr>
            </w:pPr>
            <w:r w:rsidRPr="00873B6C">
              <w:rPr>
                <w:sz w:val="16"/>
                <w:szCs w:val="16"/>
              </w:rPr>
              <w:t>SP-240594</w:t>
            </w:r>
          </w:p>
        </w:tc>
        <w:tc>
          <w:tcPr>
            <w:tcW w:w="567" w:type="dxa"/>
            <w:shd w:val="solid" w:color="FFFFFF" w:fill="auto"/>
          </w:tcPr>
          <w:p w14:paraId="346A70E9" w14:textId="70710A62" w:rsidR="002A4DF8" w:rsidRPr="00873B6C" w:rsidRDefault="002A4DF8" w:rsidP="00591B52">
            <w:pPr>
              <w:pStyle w:val="TAL"/>
              <w:rPr>
                <w:sz w:val="16"/>
                <w:szCs w:val="16"/>
              </w:rPr>
            </w:pPr>
            <w:r w:rsidRPr="00873B6C">
              <w:rPr>
                <w:sz w:val="16"/>
                <w:szCs w:val="16"/>
              </w:rPr>
              <w:t>5361</w:t>
            </w:r>
          </w:p>
        </w:tc>
        <w:tc>
          <w:tcPr>
            <w:tcW w:w="425" w:type="dxa"/>
            <w:shd w:val="solid" w:color="FFFFFF" w:fill="auto"/>
          </w:tcPr>
          <w:p w14:paraId="727A67E5" w14:textId="3BA838A1" w:rsidR="002A4DF8" w:rsidRPr="00873B6C" w:rsidRDefault="002A4DF8" w:rsidP="00591B52">
            <w:pPr>
              <w:pStyle w:val="TAL"/>
              <w:rPr>
                <w:sz w:val="16"/>
                <w:szCs w:val="16"/>
              </w:rPr>
            </w:pPr>
            <w:r w:rsidRPr="00873B6C">
              <w:rPr>
                <w:sz w:val="16"/>
                <w:szCs w:val="16"/>
              </w:rPr>
              <w:t>3</w:t>
            </w:r>
          </w:p>
        </w:tc>
        <w:tc>
          <w:tcPr>
            <w:tcW w:w="425" w:type="dxa"/>
            <w:shd w:val="solid" w:color="FFFFFF" w:fill="auto"/>
          </w:tcPr>
          <w:p w14:paraId="5CF0A072" w14:textId="3F914909"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164810C1" w14:textId="43ABC239" w:rsidR="002A4DF8" w:rsidRPr="00873B6C" w:rsidRDefault="002A4DF8" w:rsidP="00591B52">
            <w:pPr>
              <w:pStyle w:val="TAL"/>
              <w:rPr>
                <w:sz w:val="16"/>
                <w:szCs w:val="16"/>
              </w:rPr>
            </w:pPr>
            <w:r w:rsidRPr="00873B6C">
              <w:rPr>
                <w:sz w:val="16"/>
                <w:szCs w:val="16"/>
              </w:rPr>
              <w:t>Security for EAS discovery procedure via (V-)EASDF</w:t>
            </w:r>
          </w:p>
        </w:tc>
        <w:tc>
          <w:tcPr>
            <w:tcW w:w="708" w:type="dxa"/>
            <w:shd w:val="solid" w:color="FFFFFF" w:fill="auto"/>
          </w:tcPr>
          <w:p w14:paraId="65B77FB2" w14:textId="2F46EA63" w:rsidR="002A4DF8" w:rsidRPr="00873B6C" w:rsidRDefault="002A4DF8" w:rsidP="00591B52">
            <w:pPr>
              <w:pStyle w:val="TAC"/>
              <w:rPr>
                <w:sz w:val="16"/>
                <w:szCs w:val="16"/>
              </w:rPr>
            </w:pPr>
            <w:r w:rsidRPr="00873B6C">
              <w:rPr>
                <w:sz w:val="16"/>
                <w:szCs w:val="16"/>
              </w:rPr>
              <w:t>18.6.0</w:t>
            </w:r>
          </w:p>
        </w:tc>
      </w:tr>
      <w:tr w:rsidR="00CD22D1" w:rsidRPr="00873B6C" w14:paraId="4D698C08" w14:textId="77777777" w:rsidTr="009D14FB">
        <w:tc>
          <w:tcPr>
            <w:tcW w:w="800" w:type="dxa"/>
            <w:shd w:val="solid" w:color="FFFFFF" w:fill="auto"/>
          </w:tcPr>
          <w:p w14:paraId="50CAA7E2" w14:textId="652DDDE1"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09977B72" w14:textId="2BA5EBD0"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13677EF0" w14:textId="282FDD51" w:rsidR="00CD22D1" w:rsidRPr="00873B6C" w:rsidRDefault="00CD22D1" w:rsidP="00591B52">
            <w:pPr>
              <w:pStyle w:val="TAC"/>
              <w:rPr>
                <w:sz w:val="16"/>
                <w:szCs w:val="16"/>
              </w:rPr>
            </w:pPr>
            <w:r w:rsidRPr="00873B6C">
              <w:rPr>
                <w:sz w:val="16"/>
                <w:szCs w:val="16"/>
              </w:rPr>
              <w:t>SP-240602</w:t>
            </w:r>
          </w:p>
        </w:tc>
        <w:tc>
          <w:tcPr>
            <w:tcW w:w="567" w:type="dxa"/>
            <w:shd w:val="solid" w:color="FFFFFF" w:fill="auto"/>
          </w:tcPr>
          <w:p w14:paraId="047D6B59" w14:textId="175453B2" w:rsidR="00CD22D1" w:rsidRPr="00873B6C" w:rsidRDefault="00CD22D1" w:rsidP="00591B52">
            <w:pPr>
              <w:pStyle w:val="TAL"/>
              <w:rPr>
                <w:sz w:val="16"/>
                <w:szCs w:val="16"/>
              </w:rPr>
            </w:pPr>
            <w:r w:rsidRPr="00873B6C">
              <w:rPr>
                <w:sz w:val="16"/>
                <w:szCs w:val="16"/>
              </w:rPr>
              <w:t>5362</w:t>
            </w:r>
          </w:p>
        </w:tc>
        <w:tc>
          <w:tcPr>
            <w:tcW w:w="425" w:type="dxa"/>
            <w:shd w:val="solid" w:color="FFFFFF" w:fill="auto"/>
          </w:tcPr>
          <w:p w14:paraId="5A8BE49C" w14:textId="191B91EF" w:rsidR="00CD22D1" w:rsidRPr="00873B6C" w:rsidRDefault="00CD22D1" w:rsidP="00591B52">
            <w:pPr>
              <w:pStyle w:val="TAL"/>
              <w:rPr>
                <w:sz w:val="16"/>
                <w:szCs w:val="16"/>
              </w:rPr>
            </w:pPr>
            <w:r w:rsidRPr="00873B6C">
              <w:rPr>
                <w:sz w:val="16"/>
                <w:szCs w:val="16"/>
              </w:rPr>
              <w:t>-</w:t>
            </w:r>
          </w:p>
        </w:tc>
        <w:tc>
          <w:tcPr>
            <w:tcW w:w="425" w:type="dxa"/>
            <w:shd w:val="solid" w:color="FFFFFF" w:fill="auto"/>
          </w:tcPr>
          <w:p w14:paraId="43CE261D" w14:textId="51BA2F20"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56990086" w14:textId="6EAECC64" w:rsidR="00CD22D1" w:rsidRPr="00873B6C" w:rsidRDefault="00CD22D1" w:rsidP="00591B52">
            <w:pPr>
              <w:pStyle w:val="TAL"/>
              <w:rPr>
                <w:sz w:val="16"/>
                <w:szCs w:val="16"/>
              </w:rPr>
            </w:pPr>
            <w:r w:rsidRPr="00873B6C">
              <w:rPr>
                <w:sz w:val="16"/>
                <w:szCs w:val="16"/>
              </w:rPr>
              <w:t>Adding a missing Nudm service (Nudm_UEIdentifier used in 33.503)</w:t>
            </w:r>
          </w:p>
        </w:tc>
        <w:tc>
          <w:tcPr>
            <w:tcW w:w="708" w:type="dxa"/>
            <w:shd w:val="solid" w:color="FFFFFF" w:fill="auto"/>
          </w:tcPr>
          <w:p w14:paraId="46B5F44A" w14:textId="42E41C80" w:rsidR="00CD22D1" w:rsidRPr="00873B6C" w:rsidRDefault="00CD22D1" w:rsidP="00591B52">
            <w:pPr>
              <w:pStyle w:val="TAC"/>
              <w:rPr>
                <w:sz w:val="16"/>
                <w:szCs w:val="16"/>
              </w:rPr>
            </w:pPr>
            <w:r w:rsidRPr="00873B6C">
              <w:rPr>
                <w:sz w:val="16"/>
                <w:szCs w:val="16"/>
              </w:rPr>
              <w:t>18.6.0</w:t>
            </w:r>
          </w:p>
        </w:tc>
      </w:tr>
      <w:tr w:rsidR="00CD22D1" w:rsidRPr="00873B6C" w14:paraId="508F2DE2" w14:textId="77777777" w:rsidTr="009D14FB">
        <w:tc>
          <w:tcPr>
            <w:tcW w:w="800" w:type="dxa"/>
            <w:shd w:val="solid" w:color="FFFFFF" w:fill="auto"/>
          </w:tcPr>
          <w:p w14:paraId="272A7CDB" w14:textId="1FE005A1"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24049322" w14:textId="7044B2C0"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5E8D5452" w14:textId="06044135" w:rsidR="00CD22D1" w:rsidRPr="00873B6C" w:rsidRDefault="00CD22D1" w:rsidP="00591B52">
            <w:pPr>
              <w:pStyle w:val="TAC"/>
              <w:rPr>
                <w:sz w:val="16"/>
                <w:szCs w:val="16"/>
              </w:rPr>
            </w:pPr>
            <w:r w:rsidRPr="00873B6C">
              <w:rPr>
                <w:sz w:val="16"/>
                <w:szCs w:val="16"/>
              </w:rPr>
              <w:t>SP-240602</w:t>
            </w:r>
          </w:p>
        </w:tc>
        <w:tc>
          <w:tcPr>
            <w:tcW w:w="567" w:type="dxa"/>
            <w:shd w:val="solid" w:color="FFFFFF" w:fill="auto"/>
          </w:tcPr>
          <w:p w14:paraId="6EE8A6E0" w14:textId="168A519C" w:rsidR="00CD22D1" w:rsidRPr="00873B6C" w:rsidRDefault="00CD22D1" w:rsidP="00591B52">
            <w:pPr>
              <w:pStyle w:val="TAL"/>
              <w:rPr>
                <w:sz w:val="16"/>
                <w:szCs w:val="16"/>
              </w:rPr>
            </w:pPr>
            <w:r w:rsidRPr="00873B6C">
              <w:rPr>
                <w:sz w:val="16"/>
                <w:szCs w:val="16"/>
              </w:rPr>
              <w:t>5366</w:t>
            </w:r>
          </w:p>
        </w:tc>
        <w:tc>
          <w:tcPr>
            <w:tcW w:w="425" w:type="dxa"/>
            <w:shd w:val="solid" w:color="FFFFFF" w:fill="auto"/>
          </w:tcPr>
          <w:p w14:paraId="6E56DE73" w14:textId="536989D7"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15A0E461" w14:textId="12D9D17A"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586627CA" w14:textId="4945FD07" w:rsidR="00CD22D1" w:rsidRPr="00873B6C" w:rsidRDefault="00CD22D1" w:rsidP="00591B52">
            <w:pPr>
              <w:pStyle w:val="TAL"/>
              <w:rPr>
                <w:sz w:val="16"/>
                <w:szCs w:val="16"/>
              </w:rPr>
            </w:pPr>
            <w:r w:rsidRPr="00873B6C">
              <w:rPr>
                <w:sz w:val="16"/>
                <w:szCs w:val="16"/>
              </w:rPr>
              <w:t>RAT type change impact to AM Policy association</w:t>
            </w:r>
          </w:p>
        </w:tc>
        <w:tc>
          <w:tcPr>
            <w:tcW w:w="708" w:type="dxa"/>
            <w:shd w:val="solid" w:color="FFFFFF" w:fill="auto"/>
          </w:tcPr>
          <w:p w14:paraId="62116651" w14:textId="1D08C8DE" w:rsidR="00CD22D1" w:rsidRPr="00873B6C" w:rsidRDefault="00CD22D1" w:rsidP="00591B52">
            <w:pPr>
              <w:pStyle w:val="TAC"/>
              <w:rPr>
                <w:sz w:val="16"/>
                <w:szCs w:val="16"/>
              </w:rPr>
            </w:pPr>
            <w:r w:rsidRPr="00873B6C">
              <w:rPr>
                <w:sz w:val="16"/>
                <w:szCs w:val="16"/>
              </w:rPr>
              <w:t>18.6.0</w:t>
            </w:r>
          </w:p>
        </w:tc>
      </w:tr>
      <w:tr w:rsidR="00CD22D1" w:rsidRPr="00873B6C" w14:paraId="6355728B" w14:textId="77777777" w:rsidTr="009D14FB">
        <w:tc>
          <w:tcPr>
            <w:tcW w:w="800" w:type="dxa"/>
            <w:shd w:val="solid" w:color="FFFFFF" w:fill="auto"/>
          </w:tcPr>
          <w:p w14:paraId="5E271FA3" w14:textId="601835EE"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1DF59EE3" w14:textId="1BD9D9D5"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72DD28CD" w14:textId="51F37AEF" w:rsidR="00CD22D1" w:rsidRPr="00873B6C" w:rsidRDefault="00CD22D1" w:rsidP="00591B52">
            <w:pPr>
              <w:pStyle w:val="TAC"/>
              <w:rPr>
                <w:sz w:val="16"/>
                <w:szCs w:val="16"/>
              </w:rPr>
            </w:pPr>
            <w:r w:rsidRPr="00873B6C">
              <w:rPr>
                <w:sz w:val="16"/>
                <w:szCs w:val="16"/>
              </w:rPr>
              <w:t>SP-240598</w:t>
            </w:r>
          </w:p>
        </w:tc>
        <w:tc>
          <w:tcPr>
            <w:tcW w:w="567" w:type="dxa"/>
            <w:shd w:val="solid" w:color="FFFFFF" w:fill="auto"/>
          </w:tcPr>
          <w:p w14:paraId="29734579" w14:textId="0F868936" w:rsidR="00CD22D1" w:rsidRPr="00873B6C" w:rsidRDefault="00CD22D1" w:rsidP="00591B52">
            <w:pPr>
              <w:pStyle w:val="TAL"/>
              <w:rPr>
                <w:sz w:val="16"/>
                <w:szCs w:val="16"/>
              </w:rPr>
            </w:pPr>
            <w:r w:rsidRPr="00873B6C">
              <w:rPr>
                <w:sz w:val="16"/>
                <w:szCs w:val="16"/>
              </w:rPr>
              <w:t>5368</w:t>
            </w:r>
          </w:p>
        </w:tc>
        <w:tc>
          <w:tcPr>
            <w:tcW w:w="425" w:type="dxa"/>
            <w:shd w:val="solid" w:color="FFFFFF" w:fill="auto"/>
          </w:tcPr>
          <w:p w14:paraId="463CF651" w14:textId="374AA560" w:rsidR="00CD22D1" w:rsidRPr="00873B6C" w:rsidRDefault="00CD22D1" w:rsidP="00591B52">
            <w:pPr>
              <w:pStyle w:val="TAL"/>
              <w:rPr>
                <w:sz w:val="16"/>
                <w:szCs w:val="16"/>
              </w:rPr>
            </w:pPr>
            <w:r w:rsidRPr="00873B6C">
              <w:rPr>
                <w:sz w:val="16"/>
                <w:szCs w:val="16"/>
              </w:rPr>
              <w:t>1</w:t>
            </w:r>
          </w:p>
        </w:tc>
        <w:tc>
          <w:tcPr>
            <w:tcW w:w="425" w:type="dxa"/>
            <w:shd w:val="solid" w:color="FFFFFF" w:fill="auto"/>
          </w:tcPr>
          <w:p w14:paraId="2BC26695" w14:textId="45B715A9"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5BE61DD8" w14:textId="1BC6E0AB" w:rsidR="00CD22D1" w:rsidRPr="00873B6C" w:rsidRDefault="00CD22D1" w:rsidP="00591B52">
            <w:pPr>
              <w:pStyle w:val="TAL"/>
              <w:rPr>
                <w:sz w:val="16"/>
                <w:szCs w:val="16"/>
              </w:rPr>
            </w:pPr>
            <w:r w:rsidRPr="00873B6C">
              <w:rPr>
                <w:sz w:val="16"/>
                <w:szCs w:val="16"/>
              </w:rPr>
              <w:t>Corrections on the clause reference and ID mapping</w:t>
            </w:r>
          </w:p>
        </w:tc>
        <w:tc>
          <w:tcPr>
            <w:tcW w:w="708" w:type="dxa"/>
            <w:shd w:val="solid" w:color="FFFFFF" w:fill="auto"/>
          </w:tcPr>
          <w:p w14:paraId="2613DEC2" w14:textId="37A5C5A8" w:rsidR="00CD22D1" w:rsidRPr="00873B6C" w:rsidRDefault="00CD22D1" w:rsidP="00591B52">
            <w:pPr>
              <w:pStyle w:val="TAC"/>
              <w:rPr>
                <w:sz w:val="16"/>
                <w:szCs w:val="16"/>
              </w:rPr>
            </w:pPr>
            <w:r w:rsidRPr="00873B6C">
              <w:rPr>
                <w:sz w:val="16"/>
                <w:szCs w:val="16"/>
              </w:rPr>
              <w:t>18.6.0</w:t>
            </w:r>
          </w:p>
        </w:tc>
      </w:tr>
      <w:tr w:rsidR="00CD22D1" w:rsidRPr="00873B6C" w14:paraId="736755F2" w14:textId="77777777" w:rsidTr="009D14FB">
        <w:tc>
          <w:tcPr>
            <w:tcW w:w="800" w:type="dxa"/>
            <w:shd w:val="solid" w:color="FFFFFF" w:fill="auto"/>
          </w:tcPr>
          <w:p w14:paraId="63A50D99" w14:textId="5E5916F4"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4E0790C1" w14:textId="1AD27A2A"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134924B7" w14:textId="4348E0B9" w:rsidR="00CD22D1" w:rsidRPr="00873B6C" w:rsidRDefault="00CD22D1" w:rsidP="00591B52">
            <w:pPr>
              <w:pStyle w:val="TAC"/>
              <w:rPr>
                <w:sz w:val="16"/>
                <w:szCs w:val="16"/>
              </w:rPr>
            </w:pPr>
            <w:r w:rsidRPr="00873B6C">
              <w:rPr>
                <w:sz w:val="16"/>
                <w:szCs w:val="16"/>
              </w:rPr>
              <w:t>SP-240602</w:t>
            </w:r>
          </w:p>
        </w:tc>
        <w:tc>
          <w:tcPr>
            <w:tcW w:w="567" w:type="dxa"/>
            <w:shd w:val="solid" w:color="FFFFFF" w:fill="auto"/>
          </w:tcPr>
          <w:p w14:paraId="781249D5" w14:textId="17A569D6" w:rsidR="00CD22D1" w:rsidRPr="00873B6C" w:rsidRDefault="00CD22D1" w:rsidP="00591B52">
            <w:pPr>
              <w:pStyle w:val="TAL"/>
              <w:rPr>
                <w:sz w:val="16"/>
                <w:szCs w:val="16"/>
              </w:rPr>
            </w:pPr>
            <w:r w:rsidRPr="00873B6C">
              <w:rPr>
                <w:sz w:val="16"/>
                <w:szCs w:val="16"/>
              </w:rPr>
              <w:t>5369</w:t>
            </w:r>
          </w:p>
        </w:tc>
        <w:tc>
          <w:tcPr>
            <w:tcW w:w="425" w:type="dxa"/>
            <w:shd w:val="solid" w:color="FFFFFF" w:fill="auto"/>
          </w:tcPr>
          <w:p w14:paraId="70A769E9" w14:textId="3FDA02A5" w:rsidR="00CD22D1" w:rsidRPr="00873B6C" w:rsidRDefault="00CD22D1" w:rsidP="00591B52">
            <w:pPr>
              <w:pStyle w:val="TAL"/>
              <w:rPr>
                <w:sz w:val="16"/>
                <w:szCs w:val="16"/>
              </w:rPr>
            </w:pPr>
            <w:r w:rsidRPr="00873B6C">
              <w:rPr>
                <w:sz w:val="16"/>
                <w:szCs w:val="16"/>
              </w:rPr>
              <w:t>1</w:t>
            </w:r>
          </w:p>
        </w:tc>
        <w:tc>
          <w:tcPr>
            <w:tcW w:w="425" w:type="dxa"/>
            <w:shd w:val="solid" w:color="FFFFFF" w:fill="auto"/>
          </w:tcPr>
          <w:p w14:paraId="61970175" w14:textId="29A44DDB"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791FE268" w14:textId="1F4BA333" w:rsidR="00CD22D1" w:rsidRPr="00873B6C" w:rsidRDefault="00CD22D1" w:rsidP="00591B52">
            <w:pPr>
              <w:pStyle w:val="TAL"/>
              <w:rPr>
                <w:sz w:val="16"/>
                <w:szCs w:val="16"/>
              </w:rPr>
            </w:pPr>
            <w:r w:rsidRPr="00873B6C">
              <w:rPr>
                <w:sz w:val="16"/>
                <w:szCs w:val="16"/>
              </w:rPr>
              <w:t>Clarification on UEs accessing to GERAN/UTRAN over Gn/Gp</w:t>
            </w:r>
          </w:p>
        </w:tc>
        <w:tc>
          <w:tcPr>
            <w:tcW w:w="708" w:type="dxa"/>
            <w:shd w:val="solid" w:color="FFFFFF" w:fill="auto"/>
          </w:tcPr>
          <w:p w14:paraId="573DA81D" w14:textId="33C0B0CC" w:rsidR="00CD22D1" w:rsidRPr="00873B6C" w:rsidRDefault="00CD22D1" w:rsidP="00591B52">
            <w:pPr>
              <w:pStyle w:val="TAC"/>
              <w:rPr>
                <w:sz w:val="16"/>
                <w:szCs w:val="16"/>
              </w:rPr>
            </w:pPr>
            <w:r w:rsidRPr="00873B6C">
              <w:rPr>
                <w:sz w:val="16"/>
                <w:szCs w:val="16"/>
              </w:rPr>
              <w:t>18.6.0</w:t>
            </w:r>
          </w:p>
        </w:tc>
      </w:tr>
      <w:tr w:rsidR="00CD22D1" w:rsidRPr="00873B6C" w14:paraId="2A8708F4" w14:textId="77777777" w:rsidTr="009D14FB">
        <w:tc>
          <w:tcPr>
            <w:tcW w:w="800" w:type="dxa"/>
            <w:shd w:val="solid" w:color="FFFFFF" w:fill="auto"/>
          </w:tcPr>
          <w:p w14:paraId="54C78E1B" w14:textId="196F2F57"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06A38578" w14:textId="5977E702"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4A43F009" w14:textId="521177BF" w:rsidR="00CD22D1" w:rsidRPr="00873B6C" w:rsidRDefault="00CD22D1" w:rsidP="00591B52">
            <w:pPr>
              <w:pStyle w:val="TAC"/>
              <w:rPr>
                <w:sz w:val="16"/>
                <w:szCs w:val="16"/>
              </w:rPr>
            </w:pPr>
            <w:r w:rsidRPr="00873B6C">
              <w:rPr>
                <w:sz w:val="16"/>
                <w:szCs w:val="16"/>
              </w:rPr>
              <w:t>SP-240600</w:t>
            </w:r>
          </w:p>
        </w:tc>
        <w:tc>
          <w:tcPr>
            <w:tcW w:w="567" w:type="dxa"/>
            <w:shd w:val="solid" w:color="FFFFFF" w:fill="auto"/>
          </w:tcPr>
          <w:p w14:paraId="2B5C5FE3" w14:textId="67E61FBA" w:rsidR="00CD22D1" w:rsidRPr="00873B6C" w:rsidRDefault="00CD22D1" w:rsidP="00591B52">
            <w:pPr>
              <w:pStyle w:val="TAL"/>
              <w:rPr>
                <w:sz w:val="16"/>
                <w:szCs w:val="16"/>
              </w:rPr>
            </w:pPr>
            <w:r w:rsidRPr="00873B6C">
              <w:rPr>
                <w:sz w:val="16"/>
                <w:szCs w:val="16"/>
              </w:rPr>
              <w:t>5371</w:t>
            </w:r>
          </w:p>
        </w:tc>
        <w:tc>
          <w:tcPr>
            <w:tcW w:w="425" w:type="dxa"/>
            <w:shd w:val="solid" w:color="FFFFFF" w:fill="auto"/>
          </w:tcPr>
          <w:p w14:paraId="11D76068" w14:textId="025C00E9" w:rsidR="00CD22D1" w:rsidRPr="00873B6C" w:rsidRDefault="00CD22D1" w:rsidP="00591B52">
            <w:pPr>
              <w:pStyle w:val="TAL"/>
              <w:rPr>
                <w:sz w:val="16"/>
                <w:szCs w:val="16"/>
              </w:rPr>
            </w:pPr>
            <w:r w:rsidRPr="00873B6C">
              <w:rPr>
                <w:sz w:val="16"/>
                <w:szCs w:val="16"/>
              </w:rPr>
              <w:t>3</w:t>
            </w:r>
          </w:p>
        </w:tc>
        <w:tc>
          <w:tcPr>
            <w:tcW w:w="425" w:type="dxa"/>
            <w:shd w:val="solid" w:color="FFFFFF" w:fill="auto"/>
          </w:tcPr>
          <w:p w14:paraId="0E9A4090" w14:textId="1E9B920F"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4EAB926D" w14:textId="513F11C2" w:rsidR="00CD22D1" w:rsidRPr="00873B6C" w:rsidRDefault="00CD22D1" w:rsidP="00591B52">
            <w:pPr>
              <w:pStyle w:val="TAL"/>
              <w:rPr>
                <w:sz w:val="16"/>
                <w:szCs w:val="16"/>
              </w:rPr>
            </w:pPr>
            <w:r w:rsidRPr="00873B6C">
              <w:rPr>
                <w:sz w:val="16"/>
                <w:szCs w:val="16"/>
              </w:rPr>
              <w:t>RedCap/eRedCap UE differentiation upon change of radio capabilities</w:t>
            </w:r>
          </w:p>
        </w:tc>
        <w:tc>
          <w:tcPr>
            <w:tcW w:w="708" w:type="dxa"/>
            <w:shd w:val="solid" w:color="FFFFFF" w:fill="auto"/>
          </w:tcPr>
          <w:p w14:paraId="271D4FB1" w14:textId="7B9914D1" w:rsidR="00CD22D1" w:rsidRPr="00873B6C" w:rsidRDefault="00CD22D1" w:rsidP="00591B52">
            <w:pPr>
              <w:pStyle w:val="TAC"/>
              <w:rPr>
                <w:sz w:val="16"/>
                <w:szCs w:val="16"/>
              </w:rPr>
            </w:pPr>
            <w:r w:rsidRPr="00873B6C">
              <w:rPr>
                <w:sz w:val="16"/>
                <w:szCs w:val="16"/>
              </w:rPr>
              <w:t>18.6.0</w:t>
            </w:r>
          </w:p>
        </w:tc>
      </w:tr>
      <w:tr w:rsidR="00CD22D1" w:rsidRPr="00873B6C" w14:paraId="112DBC59" w14:textId="77777777" w:rsidTr="009D14FB">
        <w:tc>
          <w:tcPr>
            <w:tcW w:w="800" w:type="dxa"/>
            <w:shd w:val="solid" w:color="FFFFFF" w:fill="auto"/>
          </w:tcPr>
          <w:p w14:paraId="64CDD37D" w14:textId="229F49D2"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473747DD" w14:textId="53DFCC90"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2ECCC0E1" w14:textId="7D7BA141" w:rsidR="00CD22D1" w:rsidRPr="00873B6C" w:rsidRDefault="00CD22D1" w:rsidP="00591B52">
            <w:pPr>
              <w:pStyle w:val="TAC"/>
              <w:rPr>
                <w:sz w:val="16"/>
                <w:szCs w:val="16"/>
              </w:rPr>
            </w:pPr>
            <w:r w:rsidRPr="00873B6C">
              <w:rPr>
                <w:sz w:val="16"/>
                <w:szCs w:val="16"/>
              </w:rPr>
              <w:t>SP-240589</w:t>
            </w:r>
          </w:p>
        </w:tc>
        <w:tc>
          <w:tcPr>
            <w:tcW w:w="567" w:type="dxa"/>
            <w:shd w:val="solid" w:color="FFFFFF" w:fill="auto"/>
          </w:tcPr>
          <w:p w14:paraId="0010382E" w14:textId="4BB790E5" w:rsidR="00CD22D1" w:rsidRPr="00873B6C" w:rsidRDefault="00CD22D1" w:rsidP="00591B52">
            <w:pPr>
              <w:pStyle w:val="TAL"/>
              <w:rPr>
                <w:sz w:val="16"/>
                <w:szCs w:val="16"/>
              </w:rPr>
            </w:pPr>
            <w:r w:rsidRPr="00873B6C">
              <w:rPr>
                <w:sz w:val="16"/>
                <w:szCs w:val="16"/>
              </w:rPr>
              <w:t>5372</w:t>
            </w:r>
          </w:p>
        </w:tc>
        <w:tc>
          <w:tcPr>
            <w:tcW w:w="425" w:type="dxa"/>
            <w:shd w:val="solid" w:color="FFFFFF" w:fill="auto"/>
          </w:tcPr>
          <w:p w14:paraId="0947F848" w14:textId="5C3E8033" w:rsidR="00CD22D1" w:rsidRPr="00873B6C" w:rsidRDefault="00CD22D1" w:rsidP="00591B52">
            <w:pPr>
              <w:pStyle w:val="TAL"/>
              <w:rPr>
                <w:sz w:val="16"/>
                <w:szCs w:val="16"/>
              </w:rPr>
            </w:pPr>
            <w:r w:rsidRPr="00873B6C">
              <w:rPr>
                <w:sz w:val="16"/>
                <w:szCs w:val="16"/>
              </w:rPr>
              <w:t>3</w:t>
            </w:r>
          </w:p>
        </w:tc>
        <w:tc>
          <w:tcPr>
            <w:tcW w:w="425" w:type="dxa"/>
            <w:shd w:val="solid" w:color="FFFFFF" w:fill="auto"/>
          </w:tcPr>
          <w:p w14:paraId="290CA525" w14:textId="64C90AA7"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65284C68" w14:textId="0FAA989D" w:rsidR="00CD22D1" w:rsidRPr="00873B6C" w:rsidRDefault="00CD22D1" w:rsidP="00591B52">
            <w:pPr>
              <w:pStyle w:val="TAL"/>
              <w:rPr>
                <w:sz w:val="16"/>
                <w:szCs w:val="16"/>
              </w:rPr>
            </w:pPr>
            <w:r w:rsidRPr="00873B6C">
              <w:rPr>
                <w:sz w:val="16"/>
                <w:szCs w:val="16"/>
              </w:rPr>
              <w:t>Unavailability period during initial Registration procedure</w:t>
            </w:r>
          </w:p>
        </w:tc>
        <w:tc>
          <w:tcPr>
            <w:tcW w:w="708" w:type="dxa"/>
            <w:shd w:val="solid" w:color="FFFFFF" w:fill="auto"/>
          </w:tcPr>
          <w:p w14:paraId="560822D9" w14:textId="1EAD80C0" w:rsidR="00CD22D1" w:rsidRPr="00873B6C" w:rsidRDefault="00CD22D1" w:rsidP="00591B52">
            <w:pPr>
              <w:pStyle w:val="TAC"/>
              <w:rPr>
                <w:sz w:val="16"/>
                <w:szCs w:val="16"/>
              </w:rPr>
            </w:pPr>
            <w:r w:rsidRPr="00873B6C">
              <w:rPr>
                <w:sz w:val="16"/>
                <w:szCs w:val="16"/>
              </w:rPr>
              <w:t>18.6.0</w:t>
            </w:r>
          </w:p>
        </w:tc>
      </w:tr>
      <w:tr w:rsidR="00CD22D1" w:rsidRPr="00873B6C" w14:paraId="34252131" w14:textId="77777777" w:rsidTr="009D14FB">
        <w:tc>
          <w:tcPr>
            <w:tcW w:w="800" w:type="dxa"/>
            <w:shd w:val="solid" w:color="FFFFFF" w:fill="auto"/>
          </w:tcPr>
          <w:p w14:paraId="770F6760" w14:textId="0F772D85"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24FDB2CE" w14:textId="6A19FD30"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33C15617" w14:textId="5B56DD33" w:rsidR="00CD22D1" w:rsidRPr="00873B6C" w:rsidRDefault="00CD22D1" w:rsidP="00591B52">
            <w:pPr>
              <w:pStyle w:val="TAC"/>
              <w:rPr>
                <w:sz w:val="16"/>
                <w:szCs w:val="16"/>
              </w:rPr>
            </w:pPr>
            <w:r w:rsidRPr="00873B6C">
              <w:rPr>
                <w:sz w:val="16"/>
                <w:szCs w:val="16"/>
              </w:rPr>
              <w:t>SP-240589</w:t>
            </w:r>
          </w:p>
        </w:tc>
        <w:tc>
          <w:tcPr>
            <w:tcW w:w="567" w:type="dxa"/>
            <w:shd w:val="solid" w:color="FFFFFF" w:fill="auto"/>
          </w:tcPr>
          <w:p w14:paraId="1B106E40" w14:textId="02130B49" w:rsidR="00CD22D1" w:rsidRPr="00873B6C" w:rsidRDefault="00CD22D1" w:rsidP="00591B52">
            <w:pPr>
              <w:pStyle w:val="TAL"/>
              <w:rPr>
                <w:sz w:val="16"/>
                <w:szCs w:val="16"/>
              </w:rPr>
            </w:pPr>
            <w:r w:rsidRPr="00873B6C">
              <w:rPr>
                <w:sz w:val="16"/>
                <w:szCs w:val="16"/>
              </w:rPr>
              <w:t>5379</w:t>
            </w:r>
          </w:p>
        </w:tc>
        <w:tc>
          <w:tcPr>
            <w:tcW w:w="425" w:type="dxa"/>
            <w:shd w:val="solid" w:color="FFFFFF" w:fill="auto"/>
          </w:tcPr>
          <w:p w14:paraId="60624213" w14:textId="2FA491C3"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348DAEEA" w14:textId="5778C00E"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3A7C22F2" w14:textId="4E6CBE3D" w:rsidR="00CD22D1" w:rsidRPr="00873B6C" w:rsidRDefault="00CD22D1" w:rsidP="00591B52">
            <w:pPr>
              <w:pStyle w:val="TAL"/>
              <w:rPr>
                <w:sz w:val="16"/>
                <w:szCs w:val="16"/>
              </w:rPr>
            </w:pPr>
            <w:r w:rsidRPr="00873B6C">
              <w:rPr>
                <w:sz w:val="16"/>
                <w:szCs w:val="16"/>
              </w:rPr>
              <w:t>Clarification on Discontinuous coverage for satellite access</w:t>
            </w:r>
          </w:p>
        </w:tc>
        <w:tc>
          <w:tcPr>
            <w:tcW w:w="708" w:type="dxa"/>
            <w:shd w:val="solid" w:color="FFFFFF" w:fill="auto"/>
          </w:tcPr>
          <w:p w14:paraId="475572E2" w14:textId="3CCB0C3E" w:rsidR="00CD22D1" w:rsidRPr="00873B6C" w:rsidRDefault="00CD22D1" w:rsidP="00591B52">
            <w:pPr>
              <w:pStyle w:val="TAC"/>
              <w:rPr>
                <w:sz w:val="16"/>
                <w:szCs w:val="16"/>
              </w:rPr>
            </w:pPr>
            <w:r w:rsidRPr="00873B6C">
              <w:rPr>
                <w:sz w:val="16"/>
                <w:szCs w:val="16"/>
              </w:rPr>
              <w:t>18.6.0</w:t>
            </w:r>
          </w:p>
        </w:tc>
      </w:tr>
      <w:tr w:rsidR="00CD22D1" w:rsidRPr="00873B6C" w14:paraId="47A76F14" w14:textId="77777777" w:rsidTr="009D14FB">
        <w:tc>
          <w:tcPr>
            <w:tcW w:w="800" w:type="dxa"/>
            <w:shd w:val="solid" w:color="FFFFFF" w:fill="auto"/>
          </w:tcPr>
          <w:p w14:paraId="657E5918" w14:textId="7D5D237C"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3B2CD7F8" w14:textId="7927485A"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42660E4D" w14:textId="3305D17C" w:rsidR="00CD22D1" w:rsidRPr="00873B6C" w:rsidRDefault="00CD22D1" w:rsidP="00591B52">
            <w:pPr>
              <w:pStyle w:val="TAC"/>
              <w:rPr>
                <w:sz w:val="16"/>
                <w:szCs w:val="16"/>
              </w:rPr>
            </w:pPr>
            <w:r w:rsidRPr="00873B6C">
              <w:rPr>
                <w:sz w:val="16"/>
                <w:szCs w:val="16"/>
              </w:rPr>
              <w:t>SP-240596</w:t>
            </w:r>
          </w:p>
        </w:tc>
        <w:tc>
          <w:tcPr>
            <w:tcW w:w="567" w:type="dxa"/>
            <w:shd w:val="solid" w:color="FFFFFF" w:fill="auto"/>
          </w:tcPr>
          <w:p w14:paraId="603F6534" w14:textId="730F8BB8" w:rsidR="00CD22D1" w:rsidRPr="00873B6C" w:rsidRDefault="00CD22D1" w:rsidP="00591B52">
            <w:pPr>
              <w:pStyle w:val="TAL"/>
              <w:rPr>
                <w:sz w:val="16"/>
                <w:szCs w:val="16"/>
              </w:rPr>
            </w:pPr>
            <w:r w:rsidRPr="00873B6C">
              <w:rPr>
                <w:sz w:val="16"/>
                <w:szCs w:val="16"/>
              </w:rPr>
              <w:t>5381</w:t>
            </w:r>
          </w:p>
        </w:tc>
        <w:tc>
          <w:tcPr>
            <w:tcW w:w="425" w:type="dxa"/>
            <w:shd w:val="solid" w:color="FFFFFF" w:fill="auto"/>
          </w:tcPr>
          <w:p w14:paraId="7B1A75CC" w14:textId="367008C2"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41260141" w14:textId="030CB826"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6A0AF50D" w14:textId="1A0129BA" w:rsidR="00CD22D1" w:rsidRPr="00873B6C" w:rsidRDefault="00CD22D1" w:rsidP="00591B52">
            <w:pPr>
              <w:pStyle w:val="TAL"/>
              <w:rPr>
                <w:sz w:val="16"/>
                <w:szCs w:val="16"/>
              </w:rPr>
            </w:pPr>
            <w:r w:rsidRPr="00873B6C">
              <w:rPr>
                <w:sz w:val="16"/>
                <w:szCs w:val="16"/>
              </w:rPr>
              <w:t>Clarification on location validity information.</w:t>
            </w:r>
          </w:p>
        </w:tc>
        <w:tc>
          <w:tcPr>
            <w:tcW w:w="708" w:type="dxa"/>
            <w:shd w:val="solid" w:color="FFFFFF" w:fill="auto"/>
          </w:tcPr>
          <w:p w14:paraId="4167D6C7" w14:textId="39AA8696" w:rsidR="00CD22D1" w:rsidRPr="00873B6C" w:rsidRDefault="00CD22D1" w:rsidP="00591B52">
            <w:pPr>
              <w:pStyle w:val="TAC"/>
              <w:rPr>
                <w:sz w:val="16"/>
                <w:szCs w:val="16"/>
              </w:rPr>
            </w:pPr>
            <w:r w:rsidRPr="00873B6C">
              <w:rPr>
                <w:sz w:val="16"/>
                <w:szCs w:val="16"/>
              </w:rPr>
              <w:t>18.6.0</w:t>
            </w:r>
          </w:p>
        </w:tc>
      </w:tr>
      <w:tr w:rsidR="00CD22D1" w:rsidRPr="00873B6C" w14:paraId="2D570464" w14:textId="77777777" w:rsidTr="009D14FB">
        <w:tc>
          <w:tcPr>
            <w:tcW w:w="800" w:type="dxa"/>
            <w:shd w:val="solid" w:color="FFFFFF" w:fill="auto"/>
          </w:tcPr>
          <w:p w14:paraId="4D0703E6" w14:textId="7E5049F0"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212D7D27" w14:textId="693185AE"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6926F88A" w14:textId="3105CECE" w:rsidR="00CD22D1" w:rsidRPr="00873B6C" w:rsidRDefault="00CD22D1" w:rsidP="00591B52">
            <w:pPr>
              <w:pStyle w:val="TAC"/>
              <w:rPr>
                <w:sz w:val="16"/>
                <w:szCs w:val="16"/>
              </w:rPr>
            </w:pPr>
            <w:r w:rsidRPr="00873B6C">
              <w:rPr>
                <w:sz w:val="16"/>
                <w:szCs w:val="16"/>
              </w:rPr>
              <w:t>SP-240603</w:t>
            </w:r>
          </w:p>
        </w:tc>
        <w:tc>
          <w:tcPr>
            <w:tcW w:w="567" w:type="dxa"/>
            <w:shd w:val="solid" w:color="FFFFFF" w:fill="auto"/>
          </w:tcPr>
          <w:p w14:paraId="1719A8E4" w14:textId="2BE24A0A" w:rsidR="00CD22D1" w:rsidRPr="00873B6C" w:rsidRDefault="00CD22D1" w:rsidP="00591B52">
            <w:pPr>
              <w:pStyle w:val="TAL"/>
              <w:rPr>
                <w:sz w:val="16"/>
                <w:szCs w:val="16"/>
              </w:rPr>
            </w:pPr>
            <w:r w:rsidRPr="00873B6C">
              <w:rPr>
                <w:sz w:val="16"/>
                <w:szCs w:val="16"/>
              </w:rPr>
              <w:t>5385</w:t>
            </w:r>
          </w:p>
        </w:tc>
        <w:tc>
          <w:tcPr>
            <w:tcW w:w="425" w:type="dxa"/>
            <w:shd w:val="solid" w:color="FFFFFF" w:fill="auto"/>
          </w:tcPr>
          <w:p w14:paraId="4E70F5BD" w14:textId="233F35B4"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5E90355D" w14:textId="4AFC0C96"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5D5C2B97" w14:textId="427BBA4C" w:rsidR="00CD22D1" w:rsidRPr="00873B6C" w:rsidRDefault="00CD22D1" w:rsidP="00591B52">
            <w:pPr>
              <w:pStyle w:val="TAL"/>
              <w:rPr>
                <w:sz w:val="16"/>
                <w:szCs w:val="16"/>
              </w:rPr>
            </w:pPr>
            <w:r w:rsidRPr="00873B6C">
              <w:rPr>
                <w:sz w:val="16"/>
                <w:szCs w:val="16"/>
              </w:rPr>
              <w:t>Clarifications for UPF selection</w:t>
            </w:r>
          </w:p>
        </w:tc>
        <w:tc>
          <w:tcPr>
            <w:tcW w:w="708" w:type="dxa"/>
            <w:shd w:val="solid" w:color="FFFFFF" w:fill="auto"/>
          </w:tcPr>
          <w:p w14:paraId="340134E5" w14:textId="1FA6CD5A" w:rsidR="00CD22D1" w:rsidRPr="00873B6C" w:rsidRDefault="00CD22D1" w:rsidP="00591B52">
            <w:pPr>
              <w:pStyle w:val="TAC"/>
              <w:rPr>
                <w:sz w:val="16"/>
                <w:szCs w:val="16"/>
              </w:rPr>
            </w:pPr>
            <w:r w:rsidRPr="00873B6C">
              <w:rPr>
                <w:sz w:val="16"/>
                <w:szCs w:val="16"/>
              </w:rPr>
              <w:t>18.6.0</w:t>
            </w:r>
          </w:p>
        </w:tc>
      </w:tr>
      <w:tr w:rsidR="00CD22D1" w:rsidRPr="00873B6C" w14:paraId="23E6A520" w14:textId="77777777" w:rsidTr="009D14FB">
        <w:tc>
          <w:tcPr>
            <w:tcW w:w="800" w:type="dxa"/>
            <w:shd w:val="solid" w:color="FFFFFF" w:fill="auto"/>
          </w:tcPr>
          <w:p w14:paraId="50149E6C" w14:textId="625993EA"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420E816E" w14:textId="218C694D"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41883DE4" w14:textId="692A0931" w:rsidR="00CD22D1" w:rsidRPr="00873B6C" w:rsidRDefault="00CD22D1" w:rsidP="00591B52">
            <w:pPr>
              <w:pStyle w:val="TAC"/>
              <w:rPr>
                <w:sz w:val="16"/>
                <w:szCs w:val="16"/>
              </w:rPr>
            </w:pPr>
            <w:r w:rsidRPr="00873B6C">
              <w:rPr>
                <w:sz w:val="16"/>
                <w:szCs w:val="16"/>
              </w:rPr>
              <w:t>SP-240602</w:t>
            </w:r>
          </w:p>
        </w:tc>
        <w:tc>
          <w:tcPr>
            <w:tcW w:w="567" w:type="dxa"/>
            <w:shd w:val="solid" w:color="FFFFFF" w:fill="auto"/>
          </w:tcPr>
          <w:p w14:paraId="22BB2102" w14:textId="22B07B07" w:rsidR="00CD22D1" w:rsidRPr="00873B6C" w:rsidRDefault="00CD22D1" w:rsidP="00591B52">
            <w:pPr>
              <w:pStyle w:val="TAL"/>
              <w:rPr>
                <w:sz w:val="16"/>
                <w:szCs w:val="16"/>
              </w:rPr>
            </w:pPr>
            <w:r w:rsidRPr="00873B6C">
              <w:rPr>
                <w:sz w:val="16"/>
                <w:szCs w:val="16"/>
              </w:rPr>
              <w:t>5386</w:t>
            </w:r>
          </w:p>
        </w:tc>
        <w:tc>
          <w:tcPr>
            <w:tcW w:w="425" w:type="dxa"/>
            <w:shd w:val="solid" w:color="FFFFFF" w:fill="auto"/>
          </w:tcPr>
          <w:p w14:paraId="7FEE00A5" w14:textId="676C7D07"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689BBF9C" w14:textId="48056C4E"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3A12C5AC" w14:textId="1318C25B" w:rsidR="00CD22D1" w:rsidRPr="00873B6C" w:rsidRDefault="00CD22D1" w:rsidP="00591B52">
            <w:pPr>
              <w:pStyle w:val="TAL"/>
              <w:rPr>
                <w:sz w:val="16"/>
                <w:szCs w:val="16"/>
              </w:rPr>
            </w:pPr>
            <w:r w:rsidRPr="00873B6C">
              <w:rPr>
                <w:sz w:val="16"/>
                <w:szCs w:val="16"/>
              </w:rPr>
              <w:t>Update description of UE location verification for NTN</w:t>
            </w:r>
          </w:p>
        </w:tc>
        <w:tc>
          <w:tcPr>
            <w:tcW w:w="708" w:type="dxa"/>
            <w:shd w:val="solid" w:color="FFFFFF" w:fill="auto"/>
          </w:tcPr>
          <w:p w14:paraId="7D3636F1" w14:textId="37E4E49E" w:rsidR="00CD22D1" w:rsidRPr="00873B6C" w:rsidRDefault="00CD22D1" w:rsidP="00591B52">
            <w:pPr>
              <w:pStyle w:val="TAC"/>
              <w:rPr>
                <w:sz w:val="16"/>
                <w:szCs w:val="16"/>
              </w:rPr>
            </w:pPr>
            <w:r w:rsidRPr="00873B6C">
              <w:rPr>
                <w:sz w:val="16"/>
                <w:szCs w:val="16"/>
              </w:rPr>
              <w:t>18.6.0</w:t>
            </w:r>
          </w:p>
        </w:tc>
      </w:tr>
      <w:tr w:rsidR="00CA290C" w:rsidRPr="00873B6C" w14:paraId="2F109F29" w14:textId="77777777" w:rsidTr="009D14FB">
        <w:tc>
          <w:tcPr>
            <w:tcW w:w="800" w:type="dxa"/>
            <w:shd w:val="solid" w:color="FFFFFF" w:fill="auto"/>
          </w:tcPr>
          <w:p w14:paraId="0D1A8953" w14:textId="2BB6AFE7"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4E12FC8F" w14:textId="1A86F9C0"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496FD7C2" w14:textId="531050F1" w:rsidR="00CA290C" w:rsidRPr="00873B6C" w:rsidRDefault="00CA290C" w:rsidP="00591B52">
            <w:pPr>
              <w:pStyle w:val="TAC"/>
              <w:rPr>
                <w:sz w:val="16"/>
                <w:szCs w:val="16"/>
              </w:rPr>
            </w:pPr>
            <w:r w:rsidRPr="00873B6C">
              <w:rPr>
                <w:sz w:val="16"/>
                <w:szCs w:val="16"/>
              </w:rPr>
              <w:t>SP-240600</w:t>
            </w:r>
          </w:p>
        </w:tc>
        <w:tc>
          <w:tcPr>
            <w:tcW w:w="567" w:type="dxa"/>
            <w:shd w:val="solid" w:color="FFFFFF" w:fill="auto"/>
          </w:tcPr>
          <w:p w14:paraId="62B51733" w14:textId="47280381" w:rsidR="00CA290C" w:rsidRPr="00873B6C" w:rsidRDefault="00CA290C" w:rsidP="00591B52">
            <w:pPr>
              <w:pStyle w:val="TAL"/>
              <w:rPr>
                <w:sz w:val="16"/>
                <w:szCs w:val="16"/>
              </w:rPr>
            </w:pPr>
            <w:r w:rsidRPr="00873B6C">
              <w:rPr>
                <w:sz w:val="16"/>
                <w:szCs w:val="16"/>
              </w:rPr>
              <w:t>5388</w:t>
            </w:r>
          </w:p>
        </w:tc>
        <w:tc>
          <w:tcPr>
            <w:tcW w:w="425" w:type="dxa"/>
            <w:shd w:val="solid" w:color="FFFFFF" w:fill="auto"/>
          </w:tcPr>
          <w:p w14:paraId="5847E4AE" w14:textId="651B5403" w:rsidR="00CA290C" w:rsidRPr="00873B6C" w:rsidRDefault="00CA290C" w:rsidP="00591B52">
            <w:pPr>
              <w:pStyle w:val="TAL"/>
              <w:rPr>
                <w:sz w:val="16"/>
                <w:szCs w:val="16"/>
              </w:rPr>
            </w:pPr>
            <w:r w:rsidRPr="00873B6C">
              <w:rPr>
                <w:sz w:val="16"/>
                <w:szCs w:val="16"/>
              </w:rPr>
              <w:t>1</w:t>
            </w:r>
          </w:p>
        </w:tc>
        <w:tc>
          <w:tcPr>
            <w:tcW w:w="425" w:type="dxa"/>
            <w:shd w:val="solid" w:color="FFFFFF" w:fill="auto"/>
          </w:tcPr>
          <w:p w14:paraId="591CC94A" w14:textId="6472E35C" w:rsidR="00CA290C" w:rsidRPr="00873B6C" w:rsidRDefault="00CA290C" w:rsidP="00591B52">
            <w:pPr>
              <w:pStyle w:val="TAL"/>
              <w:rPr>
                <w:sz w:val="16"/>
                <w:szCs w:val="16"/>
              </w:rPr>
            </w:pPr>
            <w:r w:rsidRPr="00873B6C">
              <w:rPr>
                <w:sz w:val="16"/>
                <w:szCs w:val="16"/>
              </w:rPr>
              <w:t>F</w:t>
            </w:r>
          </w:p>
        </w:tc>
        <w:tc>
          <w:tcPr>
            <w:tcW w:w="4820" w:type="dxa"/>
            <w:shd w:val="solid" w:color="FFFFFF" w:fill="auto"/>
          </w:tcPr>
          <w:p w14:paraId="4063132B" w14:textId="26892C52" w:rsidR="00CA290C" w:rsidRPr="00873B6C" w:rsidRDefault="00CA290C" w:rsidP="00591B52">
            <w:pPr>
              <w:pStyle w:val="TAL"/>
              <w:rPr>
                <w:sz w:val="16"/>
                <w:szCs w:val="16"/>
              </w:rPr>
            </w:pPr>
            <w:r w:rsidRPr="00873B6C">
              <w:rPr>
                <w:sz w:val="16"/>
                <w:szCs w:val="16"/>
              </w:rPr>
              <w:t>Activation of DL data size reporting for support of MT-SDT</w:t>
            </w:r>
          </w:p>
        </w:tc>
        <w:tc>
          <w:tcPr>
            <w:tcW w:w="708" w:type="dxa"/>
            <w:shd w:val="solid" w:color="FFFFFF" w:fill="auto"/>
          </w:tcPr>
          <w:p w14:paraId="33E3390E" w14:textId="77760ED7" w:rsidR="00CA290C" w:rsidRPr="00873B6C" w:rsidRDefault="00CA290C" w:rsidP="00591B52">
            <w:pPr>
              <w:pStyle w:val="TAC"/>
              <w:rPr>
                <w:sz w:val="16"/>
                <w:szCs w:val="16"/>
              </w:rPr>
            </w:pPr>
            <w:r w:rsidRPr="00873B6C">
              <w:rPr>
                <w:sz w:val="16"/>
                <w:szCs w:val="16"/>
              </w:rPr>
              <w:t>18.6.0</w:t>
            </w:r>
          </w:p>
        </w:tc>
      </w:tr>
      <w:tr w:rsidR="00CA290C" w:rsidRPr="00873B6C" w14:paraId="6BAA9C0D" w14:textId="77777777" w:rsidTr="009D14FB">
        <w:tc>
          <w:tcPr>
            <w:tcW w:w="800" w:type="dxa"/>
            <w:shd w:val="solid" w:color="FFFFFF" w:fill="auto"/>
          </w:tcPr>
          <w:p w14:paraId="086F2925" w14:textId="0B31939D"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2B8A27D1" w14:textId="07F8AF4D"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6E263951" w14:textId="733BCF32" w:rsidR="00CA290C" w:rsidRPr="00873B6C" w:rsidRDefault="00CA290C" w:rsidP="00591B52">
            <w:pPr>
              <w:pStyle w:val="TAC"/>
              <w:rPr>
                <w:sz w:val="16"/>
                <w:szCs w:val="16"/>
              </w:rPr>
            </w:pPr>
            <w:r w:rsidRPr="00873B6C">
              <w:rPr>
                <w:sz w:val="16"/>
                <w:szCs w:val="16"/>
              </w:rPr>
              <w:t>SP-240605</w:t>
            </w:r>
          </w:p>
        </w:tc>
        <w:tc>
          <w:tcPr>
            <w:tcW w:w="567" w:type="dxa"/>
            <w:shd w:val="solid" w:color="FFFFFF" w:fill="auto"/>
          </w:tcPr>
          <w:p w14:paraId="4B71C1B3" w14:textId="6A69D877" w:rsidR="00CA290C" w:rsidRPr="00873B6C" w:rsidRDefault="00CA290C" w:rsidP="00591B52">
            <w:pPr>
              <w:pStyle w:val="TAL"/>
              <w:rPr>
                <w:sz w:val="16"/>
                <w:szCs w:val="16"/>
              </w:rPr>
            </w:pPr>
            <w:r w:rsidRPr="00873B6C">
              <w:rPr>
                <w:sz w:val="16"/>
                <w:szCs w:val="16"/>
              </w:rPr>
              <w:t>5391</w:t>
            </w:r>
          </w:p>
        </w:tc>
        <w:tc>
          <w:tcPr>
            <w:tcW w:w="425" w:type="dxa"/>
            <w:shd w:val="solid" w:color="FFFFFF" w:fill="auto"/>
          </w:tcPr>
          <w:p w14:paraId="6620D1CF" w14:textId="79A22F9C" w:rsidR="00CA290C" w:rsidRPr="00873B6C" w:rsidRDefault="00CA290C" w:rsidP="00591B52">
            <w:pPr>
              <w:pStyle w:val="TAL"/>
              <w:rPr>
                <w:sz w:val="16"/>
                <w:szCs w:val="16"/>
              </w:rPr>
            </w:pPr>
            <w:r w:rsidRPr="00873B6C">
              <w:rPr>
                <w:sz w:val="16"/>
                <w:szCs w:val="16"/>
              </w:rPr>
              <w:t>1</w:t>
            </w:r>
          </w:p>
        </w:tc>
        <w:tc>
          <w:tcPr>
            <w:tcW w:w="425" w:type="dxa"/>
            <w:shd w:val="solid" w:color="FFFFFF" w:fill="auto"/>
          </w:tcPr>
          <w:p w14:paraId="141DCD9D" w14:textId="5E096077" w:rsidR="00CA290C" w:rsidRPr="00873B6C" w:rsidRDefault="00CA290C" w:rsidP="00591B52">
            <w:pPr>
              <w:pStyle w:val="TAL"/>
              <w:rPr>
                <w:sz w:val="16"/>
                <w:szCs w:val="16"/>
              </w:rPr>
            </w:pPr>
            <w:r w:rsidRPr="00873B6C">
              <w:rPr>
                <w:sz w:val="16"/>
                <w:szCs w:val="16"/>
              </w:rPr>
              <w:t>F</w:t>
            </w:r>
          </w:p>
        </w:tc>
        <w:tc>
          <w:tcPr>
            <w:tcW w:w="4820" w:type="dxa"/>
            <w:shd w:val="solid" w:color="FFFFFF" w:fill="auto"/>
          </w:tcPr>
          <w:p w14:paraId="5665CA96" w14:textId="28C6AB8B" w:rsidR="00CA290C" w:rsidRPr="00873B6C" w:rsidRDefault="00CA290C" w:rsidP="00591B52">
            <w:pPr>
              <w:pStyle w:val="TAL"/>
              <w:rPr>
                <w:sz w:val="16"/>
                <w:szCs w:val="16"/>
              </w:rPr>
            </w:pPr>
            <w:r w:rsidRPr="00873B6C">
              <w:rPr>
                <w:sz w:val="16"/>
                <w:szCs w:val="16"/>
              </w:rPr>
              <w:t>Clarification on the TSCAI parameters for XR</w:t>
            </w:r>
          </w:p>
        </w:tc>
        <w:tc>
          <w:tcPr>
            <w:tcW w:w="708" w:type="dxa"/>
            <w:shd w:val="solid" w:color="FFFFFF" w:fill="auto"/>
          </w:tcPr>
          <w:p w14:paraId="1A19D26F" w14:textId="68AFC611" w:rsidR="00CA290C" w:rsidRPr="00873B6C" w:rsidRDefault="00CA290C" w:rsidP="00591B52">
            <w:pPr>
              <w:pStyle w:val="TAC"/>
              <w:rPr>
                <w:sz w:val="16"/>
                <w:szCs w:val="16"/>
              </w:rPr>
            </w:pPr>
            <w:r w:rsidRPr="00873B6C">
              <w:rPr>
                <w:sz w:val="16"/>
                <w:szCs w:val="16"/>
              </w:rPr>
              <w:t>18.6.0</w:t>
            </w:r>
          </w:p>
        </w:tc>
      </w:tr>
      <w:tr w:rsidR="00CA290C" w:rsidRPr="00873B6C" w14:paraId="1A7B673B" w14:textId="77777777" w:rsidTr="009D14FB">
        <w:tc>
          <w:tcPr>
            <w:tcW w:w="800" w:type="dxa"/>
            <w:shd w:val="solid" w:color="FFFFFF" w:fill="auto"/>
          </w:tcPr>
          <w:p w14:paraId="6D33DF0A" w14:textId="0B3407AC"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7A006B9B" w14:textId="6616FEAA"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7D2D0594" w14:textId="3DFCEFC8" w:rsidR="00CA290C" w:rsidRPr="00873B6C" w:rsidRDefault="00CA290C" w:rsidP="00591B52">
            <w:pPr>
              <w:pStyle w:val="TAC"/>
              <w:rPr>
                <w:sz w:val="16"/>
                <w:szCs w:val="16"/>
              </w:rPr>
            </w:pPr>
            <w:r w:rsidRPr="00873B6C">
              <w:rPr>
                <w:sz w:val="16"/>
                <w:szCs w:val="16"/>
              </w:rPr>
              <w:t>SP-240597</w:t>
            </w:r>
          </w:p>
        </w:tc>
        <w:tc>
          <w:tcPr>
            <w:tcW w:w="567" w:type="dxa"/>
            <w:shd w:val="solid" w:color="FFFFFF" w:fill="auto"/>
          </w:tcPr>
          <w:p w14:paraId="433BEABD" w14:textId="1B34ADE8" w:rsidR="00CA290C" w:rsidRPr="00873B6C" w:rsidRDefault="00CA290C" w:rsidP="00591B52">
            <w:pPr>
              <w:pStyle w:val="TAL"/>
              <w:rPr>
                <w:sz w:val="16"/>
                <w:szCs w:val="16"/>
              </w:rPr>
            </w:pPr>
            <w:r w:rsidRPr="00873B6C">
              <w:rPr>
                <w:sz w:val="16"/>
                <w:szCs w:val="16"/>
              </w:rPr>
              <w:t>5394</w:t>
            </w:r>
          </w:p>
        </w:tc>
        <w:tc>
          <w:tcPr>
            <w:tcW w:w="425" w:type="dxa"/>
            <w:shd w:val="solid" w:color="FFFFFF" w:fill="auto"/>
          </w:tcPr>
          <w:p w14:paraId="6CA924C2" w14:textId="4F005135" w:rsidR="00CA290C" w:rsidRPr="00873B6C" w:rsidRDefault="00CA290C" w:rsidP="00591B52">
            <w:pPr>
              <w:pStyle w:val="TAL"/>
              <w:rPr>
                <w:sz w:val="16"/>
                <w:szCs w:val="16"/>
              </w:rPr>
            </w:pPr>
            <w:r w:rsidRPr="00873B6C">
              <w:rPr>
                <w:sz w:val="16"/>
                <w:szCs w:val="16"/>
              </w:rPr>
              <w:t>2</w:t>
            </w:r>
          </w:p>
        </w:tc>
        <w:tc>
          <w:tcPr>
            <w:tcW w:w="425" w:type="dxa"/>
            <w:shd w:val="solid" w:color="FFFFFF" w:fill="auto"/>
          </w:tcPr>
          <w:p w14:paraId="2FF406FC" w14:textId="5A38335F" w:rsidR="00CA290C" w:rsidRPr="00873B6C" w:rsidRDefault="00CA290C" w:rsidP="00591B52">
            <w:pPr>
              <w:pStyle w:val="TAL"/>
              <w:rPr>
                <w:sz w:val="16"/>
                <w:szCs w:val="16"/>
              </w:rPr>
            </w:pPr>
            <w:r w:rsidRPr="00873B6C">
              <w:rPr>
                <w:sz w:val="16"/>
                <w:szCs w:val="16"/>
              </w:rPr>
              <w:t>F</w:t>
            </w:r>
          </w:p>
        </w:tc>
        <w:tc>
          <w:tcPr>
            <w:tcW w:w="4820" w:type="dxa"/>
            <w:shd w:val="solid" w:color="FFFFFF" w:fill="auto"/>
          </w:tcPr>
          <w:p w14:paraId="3FBCC997" w14:textId="3917AA8A" w:rsidR="00CA290C" w:rsidRPr="00873B6C" w:rsidRDefault="00CA290C" w:rsidP="00591B52">
            <w:pPr>
              <w:pStyle w:val="TAL"/>
              <w:rPr>
                <w:sz w:val="16"/>
                <w:szCs w:val="16"/>
              </w:rPr>
            </w:pPr>
            <w:r w:rsidRPr="00873B6C">
              <w:rPr>
                <w:sz w:val="16"/>
                <w:szCs w:val="16"/>
              </w:rPr>
              <w:t>Temporary slice expiry</w:t>
            </w:r>
          </w:p>
        </w:tc>
        <w:tc>
          <w:tcPr>
            <w:tcW w:w="708" w:type="dxa"/>
            <w:shd w:val="solid" w:color="FFFFFF" w:fill="auto"/>
          </w:tcPr>
          <w:p w14:paraId="488E69BE" w14:textId="5BF6409B" w:rsidR="00CA290C" w:rsidRPr="00873B6C" w:rsidRDefault="00CA290C" w:rsidP="00591B52">
            <w:pPr>
              <w:pStyle w:val="TAC"/>
              <w:rPr>
                <w:sz w:val="16"/>
                <w:szCs w:val="16"/>
              </w:rPr>
            </w:pPr>
            <w:r w:rsidRPr="00873B6C">
              <w:rPr>
                <w:sz w:val="16"/>
                <w:szCs w:val="16"/>
              </w:rPr>
              <w:t>18.6.0</w:t>
            </w:r>
          </w:p>
        </w:tc>
      </w:tr>
      <w:tr w:rsidR="00CA290C" w:rsidRPr="00873B6C" w14:paraId="1D80BC3E" w14:textId="77777777" w:rsidTr="009D14FB">
        <w:tc>
          <w:tcPr>
            <w:tcW w:w="800" w:type="dxa"/>
            <w:shd w:val="solid" w:color="FFFFFF" w:fill="auto"/>
          </w:tcPr>
          <w:p w14:paraId="64505DDC" w14:textId="6EC25815"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7A2DB236" w14:textId="30BA1B5C"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461AB408" w14:textId="5CFECB12" w:rsidR="00CA290C" w:rsidRPr="00873B6C" w:rsidRDefault="00CA290C" w:rsidP="00591B52">
            <w:pPr>
              <w:pStyle w:val="TAC"/>
              <w:rPr>
                <w:sz w:val="16"/>
                <w:szCs w:val="16"/>
              </w:rPr>
            </w:pPr>
            <w:r w:rsidRPr="00873B6C">
              <w:rPr>
                <w:sz w:val="16"/>
                <w:szCs w:val="16"/>
              </w:rPr>
              <w:t>SP-240597</w:t>
            </w:r>
          </w:p>
        </w:tc>
        <w:tc>
          <w:tcPr>
            <w:tcW w:w="567" w:type="dxa"/>
            <w:shd w:val="solid" w:color="FFFFFF" w:fill="auto"/>
          </w:tcPr>
          <w:p w14:paraId="09797ED6" w14:textId="6EB86A77" w:rsidR="00CA290C" w:rsidRPr="00873B6C" w:rsidRDefault="00CA290C" w:rsidP="00591B52">
            <w:pPr>
              <w:pStyle w:val="TAL"/>
              <w:rPr>
                <w:sz w:val="16"/>
                <w:szCs w:val="16"/>
              </w:rPr>
            </w:pPr>
            <w:r w:rsidRPr="00873B6C">
              <w:rPr>
                <w:sz w:val="16"/>
                <w:szCs w:val="16"/>
              </w:rPr>
              <w:t>5396</w:t>
            </w:r>
          </w:p>
        </w:tc>
        <w:tc>
          <w:tcPr>
            <w:tcW w:w="425" w:type="dxa"/>
            <w:shd w:val="solid" w:color="FFFFFF" w:fill="auto"/>
          </w:tcPr>
          <w:p w14:paraId="150388C0" w14:textId="33D95376" w:rsidR="00CA290C" w:rsidRPr="00873B6C" w:rsidRDefault="00CA290C" w:rsidP="00591B52">
            <w:pPr>
              <w:pStyle w:val="TAL"/>
              <w:rPr>
                <w:sz w:val="16"/>
                <w:szCs w:val="16"/>
              </w:rPr>
            </w:pPr>
            <w:r w:rsidRPr="00873B6C">
              <w:rPr>
                <w:sz w:val="16"/>
                <w:szCs w:val="16"/>
              </w:rPr>
              <w:t>2</w:t>
            </w:r>
          </w:p>
        </w:tc>
        <w:tc>
          <w:tcPr>
            <w:tcW w:w="425" w:type="dxa"/>
            <w:shd w:val="solid" w:color="FFFFFF" w:fill="auto"/>
          </w:tcPr>
          <w:p w14:paraId="43A1D949" w14:textId="3363B600" w:rsidR="00CA290C" w:rsidRPr="00873B6C" w:rsidRDefault="00CA290C" w:rsidP="00591B52">
            <w:pPr>
              <w:pStyle w:val="TAL"/>
              <w:rPr>
                <w:sz w:val="16"/>
                <w:szCs w:val="16"/>
              </w:rPr>
            </w:pPr>
            <w:r w:rsidRPr="00873B6C">
              <w:rPr>
                <w:sz w:val="16"/>
                <w:szCs w:val="16"/>
              </w:rPr>
              <w:t>F</w:t>
            </w:r>
          </w:p>
        </w:tc>
        <w:tc>
          <w:tcPr>
            <w:tcW w:w="4820" w:type="dxa"/>
            <w:shd w:val="solid" w:color="FFFFFF" w:fill="auto"/>
          </w:tcPr>
          <w:p w14:paraId="33198D74" w14:textId="1349F991" w:rsidR="00CA290C" w:rsidRPr="00873B6C" w:rsidRDefault="00CA290C" w:rsidP="00591B52">
            <w:pPr>
              <w:pStyle w:val="TAL"/>
              <w:rPr>
                <w:sz w:val="16"/>
                <w:szCs w:val="16"/>
              </w:rPr>
            </w:pPr>
            <w:r w:rsidRPr="00873B6C">
              <w:rPr>
                <w:sz w:val="16"/>
                <w:szCs w:val="16"/>
              </w:rPr>
              <w:t>Slice area restriction in case of ETSUN or roaming</w:t>
            </w:r>
          </w:p>
        </w:tc>
        <w:tc>
          <w:tcPr>
            <w:tcW w:w="708" w:type="dxa"/>
            <w:shd w:val="solid" w:color="FFFFFF" w:fill="auto"/>
          </w:tcPr>
          <w:p w14:paraId="76545D00" w14:textId="17F7E1CE" w:rsidR="00CA290C" w:rsidRPr="00873B6C" w:rsidRDefault="00CA290C" w:rsidP="00591B52">
            <w:pPr>
              <w:pStyle w:val="TAC"/>
              <w:rPr>
                <w:sz w:val="16"/>
                <w:szCs w:val="16"/>
              </w:rPr>
            </w:pPr>
            <w:r w:rsidRPr="00873B6C">
              <w:rPr>
                <w:sz w:val="16"/>
                <w:szCs w:val="16"/>
              </w:rPr>
              <w:t>18.6.0</w:t>
            </w:r>
          </w:p>
        </w:tc>
      </w:tr>
      <w:tr w:rsidR="00CA290C" w:rsidRPr="00873B6C" w14:paraId="646F2B3D" w14:textId="77777777" w:rsidTr="009D14FB">
        <w:tc>
          <w:tcPr>
            <w:tcW w:w="800" w:type="dxa"/>
            <w:shd w:val="solid" w:color="FFFFFF" w:fill="auto"/>
          </w:tcPr>
          <w:p w14:paraId="3108980D" w14:textId="17DABF2B"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31BE017E" w14:textId="3DE49FB3"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614BFF49" w14:textId="3208BD59" w:rsidR="00CA290C" w:rsidRPr="00873B6C" w:rsidRDefault="00CA290C" w:rsidP="00591B52">
            <w:pPr>
              <w:pStyle w:val="TAC"/>
              <w:rPr>
                <w:sz w:val="16"/>
                <w:szCs w:val="16"/>
              </w:rPr>
            </w:pPr>
            <w:r w:rsidRPr="00873B6C">
              <w:rPr>
                <w:sz w:val="16"/>
                <w:szCs w:val="16"/>
              </w:rPr>
              <w:t>SP-240602</w:t>
            </w:r>
          </w:p>
        </w:tc>
        <w:tc>
          <w:tcPr>
            <w:tcW w:w="567" w:type="dxa"/>
            <w:shd w:val="solid" w:color="FFFFFF" w:fill="auto"/>
          </w:tcPr>
          <w:p w14:paraId="3B8D7C6B" w14:textId="06CF7005" w:rsidR="00CA290C" w:rsidRPr="00873B6C" w:rsidRDefault="00CA290C" w:rsidP="00591B52">
            <w:pPr>
              <w:pStyle w:val="TAL"/>
              <w:rPr>
                <w:sz w:val="16"/>
                <w:szCs w:val="16"/>
              </w:rPr>
            </w:pPr>
            <w:r w:rsidRPr="00873B6C">
              <w:rPr>
                <w:sz w:val="16"/>
                <w:szCs w:val="16"/>
              </w:rPr>
              <w:t>5404</w:t>
            </w:r>
          </w:p>
        </w:tc>
        <w:tc>
          <w:tcPr>
            <w:tcW w:w="425" w:type="dxa"/>
            <w:shd w:val="solid" w:color="FFFFFF" w:fill="auto"/>
          </w:tcPr>
          <w:p w14:paraId="3DEAFA1A" w14:textId="5F09290F" w:rsidR="00CA290C" w:rsidRPr="00873B6C" w:rsidRDefault="00CA290C" w:rsidP="00591B52">
            <w:pPr>
              <w:pStyle w:val="TAL"/>
              <w:rPr>
                <w:sz w:val="16"/>
                <w:szCs w:val="16"/>
              </w:rPr>
            </w:pPr>
            <w:r w:rsidRPr="00873B6C">
              <w:rPr>
                <w:sz w:val="16"/>
                <w:szCs w:val="16"/>
              </w:rPr>
              <w:t>2</w:t>
            </w:r>
          </w:p>
        </w:tc>
        <w:tc>
          <w:tcPr>
            <w:tcW w:w="425" w:type="dxa"/>
            <w:shd w:val="solid" w:color="FFFFFF" w:fill="auto"/>
          </w:tcPr>
          <w:p w14:paraId="7A897A21" w14:textId="7D791BF5" w:rsidR="00CA290C" w:rsidRPr="00873B6C" w:rsidRDefault="00CA290C" w:rsidP="00591B52">
            <w:pPr>
              <w:pStyle w:val="TAL"/>
              <w:rPr>
                <w:sz w:val="16"/>
                <w:szCs w:val="16"/>
              </w:rPr>
            </w:pPr>
            <w:r w:rsidRPr="00873B6C">
              <w:rPr>
                <w:sz w:val="16"/>
                <w:szCs w:val="16"/>
              </w:rPr>
              <w:t>D</w:t>
            </w:r>
          </w:p>
        </w:tc>
        <w:tc>
          <w:tcPr>
            <w:tcW w:w="4820" w:type="dxa"/>
            <w:shd w:val="solid" w:color="FFFFFF" w:fill="auto"/>
          </w:tcPr>
          <w:p w14:paraId="071F3728" w14:textId="2A327B58" w:rsidR="00CA290C" w:rsidRPr="00873B6C" w:rsidRDefault="00CA290C" w:rsidP="00591B52">
            <w:pPr>
              <w:pStyle w:val="TAL"/>
              <w:rPr>
                <w:sz w:val="16"/>
                <w:szCs w:val="16"/>
              </w:rPr>
            </w:pPr>
            <w:r w:rsidRPr="00873B6C">
              <w:rPr>
                <w:sz w:val="16"/>
                <w:szCs w:val="16"/>
              </w:rPr>
              <w:t>23.501 Cleanup CR</w:t>
            </w:r>
          </w:p>
        </w:tc>
        <w:tc>
          <w:tcPr>
            <w:tcW w:w="708" w:type="dxa"/>
            <w:shd w:val="solid" w:color="FFFFFF" w:fill="auto"/>
          </w:tcPr>
          <w:p w14:paraId="5393B40D" w14:textId="6DB2A3D3" w:rsidR="00CA290C" w:rsidRPr="00873B6C" w:rsidRDefault="00CA290C" w:rsidP="00591B52">
            <w:pPr>
              <w:pStyle w:val="TAC"/>
              <w:rPr>
                <w:sz w:val="16"/>
                <w:szCs w:val="16"/>
              </w:rPr>
            </w:pPr>
            <w:r w:rsidRPr="00873B6C">
              <w:rPr>
                <w:sz w:val="16"/>
                <w:szCs w:val="16"/>
              </w:rPr>
              <w:t>18.6.0</w:t>
            </w:r>
          </w:p>
        </w:tc>
      </w:tr>
      <w:tr w:rsidR="00640EBF" w:rsidRPr="00873B6C" w14:paraId="5A8289C8" w14:textId="77777777" w:rsidTr="009D14FB">
        <w:tc>
          <w:tcPr>
            <w:tcW w:w="800" w:type="dxa"/>
            <w:shd w:val="solid" w:color="FFFFFF" w:fill="auto"/>
          </w:tcPr>
          <w:p w14:paraId="6EC9842B" w14:textId="5CECAC8C" w:rsidR="00640EBF" w:rsidRPr="00873B6C" w:rsidRDefault="00640EBF" w:rsidP="00591B52">
            <w:pPr>
              <w:pStyle w:val="TAC"/>
              <w:rPr>
                <w:sz w:val="16"/>
                <w:szCs w:val="16"/>
              </w:rPr>
            </w:pPr>
            <w:r w:rsidRPr="00873B6C">
              <w:rPr>
                <w:sz w:val="16"/>
                <w:szCs w:val="16"/>
              </w:rPr>
              <w:t>2024-09</w:t>
            </w:r>
          </w:p>
        </w:tc>
        <w:tc>
          <w:tcPr>
            <w:tcW w:w="800" w:type="dxa"/>
            <w:shd w:val="solid" w:color="FFFFFF" w:fill="auto"/>
          </w:tcPr>
          <w:p w14:paraId="43E04D8C" w14:textId="7EA47077" w:rsidR="00640EBF" w:rsidRPr="00873B6C" w:rsidRDefault="00640EBF" w:rsidP="00591B52">
            <w:pPr>
              <w:pStyle w:val="TAL"/>
              <w:rPr>
                <w:sz w:val="16"/>
                <w:szCs w:val="16"/>
              </w:rPr>
            </w:pPr>
            <w:r w:rsidRPr="00873B6C">
              <w:rPr>
                <w:sz w:val="16"/>
                <w:szCs w:val="16"/>
              </w:rPr>
              <w:t>SP#105</w:t>
            </w:r>
          </w:p>
        </w:tc>
        <w:tc>
          <w:tcPr>
            <w:tcW w:w="1094" w:type="dxa"/>
            <w:shd w:val="solid" w:color="FFFFFF" w:fill="auto"/>
          </w:tcPr>
          <w:p w14:paraId="0F0BCB4E" w14:textId="475C5DB6" w:rsidR="00640EBF" w:rsidRPr="00873B6C" w:rsidRDefault="00640EBF" w:rsidP="00591B52">
            <w:pPr>
              <w:pStyle w:val="TAC"/>
              <w:rPr>
                <w:sz w:val="16"/>
                <w:szCs w:val="16"/>
              </w:rPr>
            </w:pPr>
            <w:r w:rsidRPr="00873B6C">
              <w:rPr>
                <w:sz w:val="16"/>
                <w:szCs w:val="16"/>
              </w:rPr>
              <w:t>SP-241244</w:t>
            </w:r>
          </w:p>
        </w:tc>
        <w:tc>
          <w:tcPr>
            <w:tcW w:w="567" w:type="dxa"/>
            <w:shd w:val="solid" w:color="FFFFFF" w:fill="auto"/>
          </w:tcPr>
          <w:p w14:paraId="528321D6" w14:textId="057B7DDE" w:rsidR="00640EBF" w:rsidRPr="00873B6C" w:rsidRDefault="00640EBF" w:rsidP="00591B52">
            <w:pPr>
              <w:pStyle w:val="TAL"/>
              <w:rPr>
                <w:sz w:val="16"/>
                <w:szCs w:val="16"/>
              </w:rPr>
            </w:pPr>
            <w:r w:rsidRPr="00873B6C">
              <w:rPr>
                <w:sz w:val="16"/>
                <w:szCs w:val="16"/>
              </w:rPr>
              <w:t>5345</w:t>
            </w:r>
          </w:p>
        </w:tc>
        <w:tc>
          <w:tcPr>
            <w:tcW w:w="425" w:type="dxa"/>
            <w:shd w:val="solid" w:color="FFFFFF" w:fill="auto"/>
          </w:tcPr>
          <w:p w14:paraId="0BB5F8EB" w14:textId="6D987235" w:rsidR="00640EBF" w:rsidRPr="00873B6C" w:rsidRDefault="00640EBF" w:rsidP="00591B52">
            <w:pPr>
              <w:pStyle w:val="TAL"/>
              <w:rPr>
                <w:sz w:val="16"/>
                <w:szCs w:val="16"/>
              </w:rPr>
            </w:pPr>
            <w:r w:rsidRPr="00873B6C">
              <w:rPr>
                <w:sz w:val="16"/>
                <w:szCs w:val="16"/>
              </w:rPr>
              <w:t>5</w:t>
            </w:r>
          </w:p>
        </w:tc>
        <w:tc>
          <w:tcPr>
            <w:tcW w:w="425" w:type="dxa"/>
            <w:shd w:val="solid" w:color="FFFFFF" w:fill="auto"/>
          </w:tcPr>
          <w:p w14:paraId="5F1B119B" w14:textId="0C623CD0" w:rsidR="00640EBF" w:rsidRPr="00873B6C" w:rsidRDefault="00640EBF" w:rsidP="00591B52">
            <w:pPr>
              <w:pStyle w:val="TAL"/>
              <w:rPr>
                <w:sz w:val="16"/>
                <w:szCs w:val="16"/>
              </w:rPr>
            </w:pPr>
            <w:r w:rsidRPr="00873B6C">
              <w:rPr>
                <w:sz w:val="16"/>
                <w:szCs w:val="16"/>
              </w:rPr>
              <w:t>F</w:t>
            </w:r>
          </w:p>
        </w:tc>
        <w:tc>
          <w:tcPr>
            <w:tcW w:w="4820" w:type="dxa"/>
            <w:shd w:val="solid" w:color="FFFFFF" w:fill="auto"/>
          </w:tcPr>
          <w:p w14:paraId="2C7F5707" w14:textId="2FC3BE39" w:rsidR="00640EBF" w:rsidRPr="00873B6C" w:rsidRDefault="00640EBF" w:rsidP="00591B52">
            <w:pPr>
              <w:pStyle w:val="TAL"/>
              <w:rPr>
                <w:sz w:val="16"/>
                <w:szCs w:val="16"/>
              </w:rPr>
            </w:pPr>
            <w:r w:rsidRPr="00873B6C">
              <w:rPr>
                <w:sz w:val="16"/>
                <w:szCs w:val="16"/>
              </w:rPr>
              <w:t>Handling for UE when present in overlapping of non-allowed area and slice location availability area</w:t>
            </w:r>
          </w:p>
        </w:tc>
        <w:tc>
          <w:tcPr>
            <w:tcW w:w="708" w:type="dxa"/>
            <w:shd w:val="solid" w:color="FFFFFF" w:fill="auto"/>
          </w:tcPr>
          <w:p w14:paraId="2C3A7AB7" w14:textId="03654F34" w:rsidR="00640EBF" w:rsidRPr="00873B6C" w:rsidRDefault="00640EBF" w:rsidP="00591B52">
            <w:pPr>
              <w:pStyle w:val="TAC"/>
              <w:rPr>
                <w:sz w:val="16"/>
                <w:szCs w:val="16"/>
              </w:rPr>
            </w:pPr>
            <w:r w:rsidRPr="00873B6C">
              <w:rPr>
                <w:sz w:val="16"/>
                <w:szCs w:val="16"/>
              </w:rPr>
              <w:t>18.7.0</w:t>
            </w:r>
          </w:p>
        </w:tc>
      </w:tr>
      <w:tr w:rsidR="00640EBF" w:rsidRPr="00873B6C" w14:paraId="4200D42E" w14:textId="77777777" w:rsidTr="009D14FB">
        <w:tc>
          <w:tcPr>
            <w:tcW w:w="800" w:type="dxa"/>
            <w:shd w:val="solid" w:color="FFFFFF" w:fill="auto"/>
          </w:tcPr>
          <w:p w14:paraId="790185E1" w14:textId="34D8AF25" w:rsidR="00640EBF" w:rsidRPr="00873B6C" w:rsidRDefault="00640EBF" w:rsidP="00591B52">
            <w:pPr>
              <w:pStyle w:val="TAC"/>
              <w:rPr>
                <w:sz w:val="16"/>
                <w:szCs w:val="16"/>
              </w:rPr>
            </w:pPr>
            <w:r w:rsidRPr="00873B6C">
              <w:rPr>
                <w:sz w:val="16"/>
                <w:szCs w:val="16"/>
              </w:rPr>
              <w:t>2024-09</w:t>
            </w:r>
          </w:p>
        </w:tc>
        <w:tc>
          <w:tcPr>
            <w:tcW w:w="800" w:type="dxa"/>
            <w:shd w:val="solid" w:color="FFFFFF" w:fill="auto"/>
          </w:tcPr>
          <w:p w14:paraId="4A7A0C2A" w14:textId="77C3EE63" w:rsidR="00640EBF" w:rsidRPr="00873B6C" w:rsidRDefault="00640EBF" w:rsidP="00591B52">
            <w:pPr>
              <w:pStyle w:val="TAL"/>
              <w:rPr>
                <w:sz w:val="16"/>
                <w:szCs w:val="16"/>
              </w:rPr>
            </w:pPr>
            <w:r w:rsidRPr="00873B6C">
              <w:rPr>
                <w:sz w:val="16"/>
                <w:szCs w:val="16"/>
              </w:rPr>
              <w:t>SP#105</w:t>
            </w:r>
          </w:p>
        </w:tc>
        <w:tc>
          <w:tcPr>
            <w:tcW w:w="1094" w:type="dxa"/>
            <w:shd w:val="solid" w:color="FFFFFF" w:fill="auto"/>
          </w:tcPr>
          <w:p w14:paraId="473171D0" w14:textId="52F1B671" w:rsidR="00640EBF" w:rsidRPr="00873B6C" w:rsidRDefault="00640EBF" w:rsidP="00591B52">
            <w:pPr>
              <w:pStyle w:val="TAC"/>
              <w:rPr>
                <w:sz w:val="16"/>
                <w:szCs w:val="16"/>
              </w:rPr>
            </w:pPr>
            <w:r w:rsidRPr="00873B6C">
              <w:rPr>
                <w:sz w:val="16"/>
                <w:szCs w:val="16"/>
              </w:rPr>
              <w:t>SP-241244</w:t>
            </w:r>
          </w:p>
        </w:tc>
        <w:tc>
          <w:tcPr>
            <w:tcW w:w="567" w:type="dxa"/>
            <w:shd w:val="solid" w:color="FFFFFF" w:fill="auto"/>
          </w:tcPr>
          <w:p w14:paraId="4EE80823" w14:textId="329D44E6" w:rsidR="00640EBF" w:rsidRPr="00873B6C" w:rsidRDefault="00640EBF" w:rsidP="00591B52">
            <w:pPr>
              <w:pStyle w:val="TAL"/>
              <w:rPr>
                <w:sz w:val="16"/>
                <w:szCs w:val="16"/>
              </w:rPr>
            </w:pPr>
            <w:r w:rsidRPr="00873B6C">
              <w:rPr>
                <w:sz w:val="16"/>
                <w:szCs w:val="16"/>
              </w:rPr>
              <w:t>5370</w:t>
            </w:r>
          </w:p>
        </w:tc>
        <w:tc>
          <w:tcPr>
            <w:tcW w:w="425" w:type="dxa"/>
            <w:shd w:val="solid" w:color="FFFFFF" w:fill="auto"/>
          </w:tcPr>
          <w:p w14:paraId="368CFCCF" w14:textId="56690BFD" w:rsidR="00640EBF" w:rsidRPr="00873B6C" w:rsidRDefault="00640EBF" w:rsidP="00591B52">
            <w:pPr>
              <w:pStyle w:val="TAL"/>
              <w:rPr>
                <w:sz w:val="16"/>
                <w:szCs w:val="16"/>
              </w:rPr>
            </w:pPr>
            <w:r w:rsidRPr="00873B6C">
              <w:rPr>
                <w:sz w:val="16"/>
                <w:szCs w:val="16"/>
              </w:rPr>
              <w:t>4</w:t>
            </w:r>
          </w:p>
        </w:tc>
        <w:tc>
          <w:tcPr>
            <w:tcW w:w="425" w:type="dxa"/>
            <w:shd w:val="solid" w:color="FFFFFF" w:fill="auto"/>
          </w:tcPr>
          <w:p w14:paraId="59CB5FB9" w14:textId="16FDB9FC" w:rsidR="00640EBF" w:rsidRPr="00873B6C" w:rsidRDefault="00640EBF" w:rsidP="00591B52">
            <w:pPr>
              <w:pStyle w:val="TAL"/>
              <w:rPr>
                <w:sz w:val="16"/>
                <w:szCs w:val="16"/>
              </w:rPr>
            </w:pPr>
            <w:r w:rsidRPr="00873B6C">
              <w:rPr>
                <w:sz w:val="16"/>
                <w:szCs w:val="16"/>
              </w:rPr>
              <w:t>F</w:t>
            </w:r>
          </w:p>
        </w:tc>
        <w:tc>
          <w:tcPr>
            <w:tcW w:w="4820" w:type="dxa"/>
            <w:shd w:val="solid" w:color="FFFFFF" w:fill="auto"/>
          </w:tcPr>
          <w:p w14:paraId="6A2423D5" w14:textId="1ED4C08E" w:rsidR="00640EBF" w:rsidRPr="00873B6C" w:rsidRDefault="00640EBF" w:rsidP="00591B52">
            <w:pPr>
              <w:pStyle w:val="TAL"/>
              <w:rPr>
                <w:sz w:val="16"/>
                <w:szCs w:val="16"/>
              </w:rPr>
            </w:pPr>
            <w:r w:rsidRPr="00873B6C">
              <w:rPr>
                <w:sz w:val="16"/>
                <w:szCs w:val="16"/>
              </w:rPr>
              <w:t>Handling of the slice deregistration inactivity timer in the inter AMF mobility</w:t>
            </w:r>
          </w:p>
        </w:tc>
        <w:tc>
          <w:tcPr>
            <w:tcW w:w="708" w:type="dxa"/>
            <w:shd w:val="solid" w:color="FFFFFF" w:fill="auto"/>
          </w:tcPr>
          <w:p w14:paraId="077F843D" w14:textId="62EBD06A" w:rsidR="00640EBF" w:rsidRPr="00873B6C" w:rsidRDefault="00640EBF" w:rsidP="00591B52">
            <w:pPr>
              <w:pStyle w:val="TAC"/>
              <w:rPr>
                <w:sz w:val="16"/>
                <w:szCs w:val="16"/>
              </w:rPr>
            </w:pPr>
            <w:r w:rsidRPr="00873B6C">
              <w:rPr>
                <w:sz w:val="16"/>
                <w:szCs w:val="16"/>
              </w:rPr>
              <w:t>18.7.0</w:t>
            </w:r>
          </w:p>
        </w:tc>
      </w:tr>
      <w:tr w:rsidR="00640EBF" w:rsidRPr="00873B6C" w14:paraId="7D1BD4B6" w14:textId="77777777" w:rsidTr="009D14FB">
        <w:tc>
          <w:tcPr>
            <w:tcW w:w="800" w:type="dxa"/>
            <w:shd w:val="solid" w:color="FFFFFF" w:fill="auto"/>
          </w:tcPr>
          <w:p w14:paraId="15DC4D0D" w14:textId="2FBC39E9" w:rsidR="00640EBF" w:rsidRPr="00873B6C" w:rsidRDefault="00640EBF" w:rsidP="00591B52">
            <w:pPr>
              <w:pStyle w:val="TAC"/>
              <w:rPr>
                <w:sz w:val="16"/>
                <w:szCs w:val="16"/>
              </w:rPr>
            </w:pPr>
            <w:r w:rsidRPr="00873B6C">
              <w:rPr>
                <w:sz w:val="16"/>
                <w:szCs w:val="16"/>
              </w:rPr>
              <w:t>2024-09</w:t>
            </w:r>
          </w:p>
        </w:tc>
        <w:tc>
          <w:tcPr>
            <w:tcW w:w="800" w:type="dxa"/>
            <w:shd w:val="solid" w:color="FFFFFF" w:fill="auto"/>
          </w:tcPr>
          <w:p w14:paraId="3F84A5CB" w14:textId="630679C8" w:rsidR="00640EBF" w:rsidRPr="00873B6C" w:rsidRDefault="00640EBF" w:rsidP="00591B52">
            <w:pPr>
              <w:pStyle w:val="TAL"/>
              <w:rPr>
                <w:sz w:val="16"/>
                <w:szCs w:val="16"/>
              </w:rPr>
            </w:pPr>
            <w:r w:rsidRPr="00873B6C">
              <w:rPr>
                <w:sz w:val="16"/>
                <w:szCs w:val="16"/>
              </w:rPr>
              <w:t>SP#105</w:t>
            </w:r>
          </w:p>
        </w:tc>
        <w:tc>
          <w:tcPr>
            <w:tcW w:w="1094" w:type="dxa"/>
            <w:shd w:val="solid" w:color="FFFFFF" w:fill="auto"/>
          </w:tcPr>
          <w:p w14:paraId="5ED92DD1" w14:textId="627ED5F8" w:rsidR="00640EBF" w:rsidRPr="00873B6C" w:rsidRDefault="00640EBF" w:rsidP="00591B52">
            <w:pPr>
              <w:pStyle w:val="TAC"/>
              <w:rPr>
                <w:sz w:val="16"/>
                <w:szCs w:val="16"/>
              </w:rPr>
            </w:pPr>
            <w:r w:rsidRPr="00873B6C">
              <w:rPr>
                <w:sz w:val="16"/>
                <w:szCs w:val="16"/>
              </w:rPr>
              <w:t>SP-241261</w:t>
            </w:r>
          </w:p>
        </w:tc>
        <w:tc>
          <w:tcPr>
            <w:tcW w:w="567" w:type="dxa"/>
            <w:shd w:val="solid" w:color="FFFFFF" w:fill="auto"/>
          </w:tcPr>
          <w:p w14:paraId="4CBF994B" w14:textId="0A7ADB34" w:rsidR="00640EBF" w:rsidRPr="00873B6C" w:rsidRDefault="00640EBF" w:rsidP="00591B52">
            <w:pPr>
              <w:pStyle w:val="TAL"/>
              <w:rPr>
                <w:sz w:val="16"/>
                <w:szCs w:val="16"/>
              </w:rPr>
            </w:pPr>
            <w:r w:rsidRPr="00873B6C">
              <w:rPr>
                <w:sz w:val="16"/>
                <w:szCs w:val="16"/>
              </w:rPr>
              <w:t>5401</w:t>
            </w:r>
          </w:p>
        </w:tc>
        <w:tc>
          <w:tcPr>
            <w:tcW w:w="425" w:type="dxa"/>
            <w:shd w:val="solid" w:color="FFFFFF" w:fill="auto"/>
          </w:tcPr>
          <w:p w14:paraId="6D68C170" w14:textId="263822CC" w:rsidR="00640EBF" w:rsidRPr="00873B6C" w:rsidRDefault="00640EBF" w:rsidP="00591B52">
            <w:pPr>
              <w:pStyle w:val="TAL"/>
              <w:rPr>
                <w:sz w:val="16"/>
                <w:szCs w:val="16"/>
              </w:rPr>
            </w:pPr>
            <w:r w:rsidRPr="00873B6C">
              <w:rPr>
                <w:sz w:val="16"/>
                <w:szCs w:val="16"/>
              </w:rPr>
              <w:t>3</w:t>
            </w:r>
          </w:p>
        </w:tc>
        <w:tc>
          <w:tcPr>
            <w:tcW w:w="425" w:type="dxa"/>
            <w:shd w:val="solid" w:color="FFFFFF" w:fill="auto"/>
          </w:tcPr>
          <w:p w14:paraId="66D1D4CE" w14:textId="529BBBD5" w:rsidR="00640EBF" w:rsidRPr="00873B6C" w:rsidRDefault="00640EBF" w:rsidP="00591B52">
            <w:pPr>
              <w:pStyle w:val="TAL"/>
              <w:rPr>
                <w:sz w:val="16"/>
                <w:szCs w:val="16"/>
              </w:rPr>
            </w:pPr>
            <w:r w:rsidRPr="00873B6C">
              <w:rPr>
                <w:sz w:val="16"/>
                <w:szCs w:val="16"/>
              </w:rPr>
              <w:t>F</w:t>
            </w:r>
          </w:p>
        </w:tc>
        <w:tc>
          <w:tcPr>
            <w:tcW w:w="4820" w:type="dxa"/>
            <w:shd w:val="solid" w:color="FFFFFF" w:fill="auto"/>
          </w:tcPr>
          <w:p w14:paraId="1ADDCB10" w14:textId="3B81BE69" w:rsidR="00640EBF" w:rsidRPr="00873B6C" w:rsidRDefault="00640EBF" w:rsidP="00591B52">
            <w:pPr>
              <w:pStyle w:val="TAL"/>
              <w:rPr>
                <w:sz w:val="16"/>
                <w:szCs w:val="16"/>
              </w:rPr>
            </w:pPr>
            <w:r w:rsidRPr="00873B6C">
              <w:rPr>
                <w:sz w:val="16"/>
                <w:szCs w:val="16"/>
              </w:rPr>
              <w:t>Session level priority realization in AMF</w:t>
            </w:r>
          </w:p>
        </w:tc>
        <w:tc>
          <w:tcPr>
            <w:tcW w:w="708" w:type="dxa"/>
            <w:shd w:val="solid" w:color="FFFFFF" w:fill="auto"/>
          </w:tcPr>
          <w:p w14:paraId="49C3F1B0" w14:textId="7B72886D" w:rsidR="00640EBF" w:rsidRPr="00873B6C" w:rsidRDefault="00640EBF" w:rsidP="00591B52">
            <w:pPr>
              <w:pStyle w:val="TAC"/>
              <w:rPr>
                <w:sz w:val="16"/>
                <w:szCs w:val="16"/>
              </w:rPr>
            </w:pPr>
            <w:r w:rsidRPr="00873B6C">
              <w:rPr>
                <w:sz w:val="16"/>
                <w:szCs w:val="16"/>
              </w:rPr>
              <w:t>18.7.0</w:t>
            </w:r>
          </w:p>
        </w:tc>
      </w:tr>
      <w:tr w:rsidR="00640EBF" w:rsidRPr="00873B6C" w14:paraId="6633871B" w14:textId="77777777" w:rsidTr="009D14FB">
        <w:tc>
          <w:tcPr>
            <w:tcW w:w="800" w:type="dxa"/>
            <w:shd w:val="solid" w:color="FFFFFF" w:fill="auto"/>
          </w:tcPr>
          <w:p w14:paraId="6BF7C787" w14:textId="61D308FF" w:rsidR="00640EBF" w:rsidRPr="00873B6C" w:rsidRDefault="00640EBF" w:rsidP="00591B52">
            <w:pPr>
              <w:pStyle w:val="TAC"/>
              <w:rPr>
                <w:sz w:val="16"/>
                <w:szCs w:val="16"/>
              </w:rPr>
            </w:pPr>
            <w:r w:rsidRPr="00873B6C">
              <w:rPr>
                <w:sz w:val="16"/>
                <w:szCs w:val="16"/>
              </w:rPr>
              <w:t>2024-09</w:t>
            </w:r>
          </w:p>
        </w:tc>
        <w:tc>
          <w:tcPr>
            <w:tcW w:w="800" w:type="dxa"/>
            <w:shd w:val="solid" w:color="FFFFFF" w:fill="auto"/>
          </w:tcPr>
          <w:p w14:paraId="1BAE7A09" w14:textId="780D17F1" w:rsidR="00640EBF" w:rsidRPr="00873B6C" w:rsidRDefault="00640EBF" w:rsidP="00591B52">
            <w:pPr>
              <w:pStyle w:val="TAL"/>
              <w:rPr>
                <w:sz w:val="16"/>
                <w:szCs w:val="16"/>
              </w:rPr>
            </w:pPr>
            <w:r w:rsidRPr="00873B6C">
              <w:rPr>
                <w:sz w:val="16"/>
                <w:szCs w:val="16"/>
              </w:rPr>
              <w:t>SP#105</w:t>
            </w:r>
          </w:p>
        </w:tc>
        <w:tc>
          <w:tcPr>
            <w:tcW w:w="1094" w:type="dxa"/>
            <w:shd w:val="solid" w:color="FFFFFF" w:fill="auto"/>
          </w:tcPr>
          <w:p w14:paraId="0F8C65A4" w14:textId="1F8664F8" w:rsidR="00640EBF" w:rsidRPr="00873B6C" w:rsidRDefault="00640EBF" w:rsidP="00591B52">
            <w:pPr>
              <w:pStyle w:val="TAC"/>
              <w:rPr>
                <w:sz w:val="16"/>
                <w:szCs w:val="16"/>
              </w:rPr>
            </w:pPr>
            <w:r w:rsidRPr="00873B6C">
              <w:rPr>
                <w:sz w:val="16"/>
                <w:szCs w:val="16"/>
              </w:rPr>
              <w:t>SP-241251</w:t>
            </w:r>
          </w:p>
        </w:tc>
        <w:tc>
          <w:tcPr>
            <w:tcW w:w="567" w:type="dxa"/>
            <w:shd w:val="solid" w:color="FFFFFF" w:fill="auto"/>
          </w:tcPr>
          <w:p w14:paraId="18240B2A" w14:textId="295C7BAD" w:rsidR="00640EBF" w:rsidRPr="00873B6C" w:rsidRDefault="00640EBF" w:rsidP="00591B52">
            <w:pPr>
              <w:pStyle w:val="TAL"/>
              <w:rPr>
                <w:sz w:val="16"/>
                <w:szCs w:val="16"/>
              </w:rPr>
            </w:pPr>
            <w:r w:rsidRPr="00873B6C">
              <w:rPr>
                <w:sz w:val="16"/>
                <w:szCs w:val="16"/>
              </w:rPr>
              <w:t>5410</w:t>
            </w:r>
          </w:p>
        </w:tc>
        <w:tc>
          <w:tcPr>
            <w:tcW w:w="425" w:type="dxa"/>
            <w:shd w:val="solid" w:color="FFFFFF" w:fill="auto"/>
          </w:tcPr>
          <w:p w14:paraId="39CD01C8" w14:textId="5C0170E4" w:rsidR="00640EBF" w:rsidRPr="00873B6C" w:rsidRDefault="00640EBF" w:rsidP="00591B52">
            <w:pPr>
              <w:pStyle w:val="TAL"/>
              <w:rPr>
                <w:sz w:val="16"/>
                <w:szCs w:val="16"/>
              </w:rPr>
            </w:pPr>
            <w:r w:rsidRPr="00873B6C">
              <w:rPr>
                <w:sz w:val="16"/>
                <w:szCs w:val="16"/>
              </w:rPr>
              <w:t>1</w:t>
            </w:r>
          </w:p>
        </w:tc>
        <w:tc>
          <w:tcPr>
            <w:tcW w:w="425" w:type="dxa"/>
            <w:shd w:val="solid" w:color="FFFFFF" w:fill="auto"/>
          </w:tcPr>
          <w:p w14:paraId="08CA1FFD" w14:textId="3E54BAE3" w:rsidR="00640EBF" w:rsidRPr="00873B6C" w:rsidRDefault="00640EBF" w:rsidP="00591B52">
            <w:pPr>
              <w:pStyle w:val="TAL"/>
              <w:rPr>
                <w:sz w:val="16"/>
                <w:szCs w:val="16"/>
              </w:rPr>
            </w:pPr>
            <w:r w:rsidRPr="00873B6C">
              <w:rPr>
                <w:sz w:val="16"/>
                <w:szCs w:val="16"/>
              </w:rPr>
              <w:t>F</w:t>
            </w:r>
          </w:p>
        </w:tc>
        <w:tc>
          <w:tcPr>
            <w:tcW w:w="4820" w:type="dxa"/>
            <w:shd w:val="solid" w:color="FFFFFF" w:fill="auto"/>
          </w:tcPr>
          <w:p w14:paraId="4D39E794" w14:textId="53926B0F" w:rsidR="00640EBF" w:rsidRPr="00873B6C" w:rsidRDefault="00640EBF" w:rsidP="00591B52">
            <w:pPr>
              <w:pStyle w:val="TAL"/>
              <w:rPr>
                <w:sz w:val="16"/>
                <w:szCs w:val="16"/>
              </w:rPr>
            </w:pPr>
            <w:r w:rsidRPr="00873B6C">
              <w:rPr>
                <w:sz w:val="16"/>
                <w:szCs w:val="16"/>
              </w:rPr>
              <w:t>KI#5 correction to reference of IEEE</w:t>
            </w:r>
          </w:p>
        </w:tc>
        <w:tc>
          <w:tcPr>
            <w:tcW w:w="708" w:type="dxa"/>
            <w:shd w:val="solid" w:color="FFFFFF" w:fill="auto"/>
          </w:tcPr>
          <w:p w14:paraId="4175FB39" w14:textId="3321FB10" w:rsidR="00640EBF" w:rsidRPr="00873B6C" w:rsidRDefault="00640EBF" w:rsidP="00591B52">
            <w:pPr>
              <w:pStyle w:val="TAC"/>
              <w:rPr>
                <w:sz w:val="16"/>
                <w:szCs w:val="16"/>
              </w:rPr>
            </w:pPr>
            <w:r w:rsidRPr="00873B6C">
              <w:rPr>
                <w:sz w:val="16"/>
                <w:szCs w:val="16"/>
              </w:rPr>
              <w:t>18.7.0</w:t>
            </w:r>
          </w:p>
        </w:tc>
      </w:tr>
      <w:tr w:rsidR="00BA4B57" w:rsidRPr="00873B6C" w14:paraId="567B2705" w14:textId="77777777" w:rsidTr="009D14FB">
        <w:tc>
          <w:tcPr>
            <w:tcW w:w="800" w:type="dxa"/>
            <w:shd w:val="solid" w:color="FFFFFF" w:fill="auto"/>
          </w:tcPr>
          <w:p w14:paraId="33961B48" w14:textId="4D94D716"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20A168CF" w14:textId="620C52E3"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6B3E83E5" w14:textId="1842CA63" w:rsidR="00BA4B57" w:rsidRPr="00873B6C" w:rsidRDefault="00BA4B57" w:rsidP="00591B52">
            <w:pPr>
              <w:pStyle w:val="TAC"/>
              <w:rPr>
                <w:sz w:val="16"/>
                <w:szCs w:val="16"/>
              </w:rPr>
            </w:pPr>
            <w:r w:rsidRPr="00873B6C">
              <w:rPr>
                <w:sz w:val="16"/>
                <w:szCs w:val="16"/>
              </w:rPr>
              <w:t>SP-241261</w:t>
            </w:r>
          </w:p>
        </w:tc>
        <w:tc>
          <w:tcPr>
            <w:tcW w:w="567" w:type="dxa"/>
            <w:shd w:val="solid" w:color="FFFFFF" w:fill="auto"/>
          </w:tcPr>
          <w:p w14:paraId="5856D8F5" w14:textId="0DD4BDE3" w:rsidR="00BA4B57" w:rsidRPr="00873B6C" w:rsidRDefault="00BA4B57" w:rsidP="00591B52">
            <w:pPr>
              <w:pStyle w:val="TAL"/>
              <w:rPr>
                <w:sz w:val="16"/>
                <w:szCs w:val="16"/>
              </w:rPr>
            </w:pPr>
            <w:r w:rsidRPr="00873B6C">
              <w:rPr>
                <w:sz w:val="16"/>
                <w:szCs w:val="16"/>
              </w:rPr>
              <w:t>5416</w:t>
            </w:r>
          </w:p>
        </w:tc>
        <w:tc>
          <w:tcPr>
            <w:tcW w:w="425" w:type="dxa"/>
            <w:shd w:val="solid" w:color="FFFFFF" w:fill="auto"/>
          </w:tcPr>
          <w:p w14:paraId="16CE1715" w14:textId="358564C3" w:rsidR="00BA4B57" w:rsidRPr="00873B6C" w:rsidRDefault="00BA4B57" w:rsidP="00591B52">
            <w:pPr>
              <w:pStyle w:val="TAL"/>
              <w:rPr>
                <w:sz w:val="16"/>
                <w:szCs w:val="16"/>
              </w:rPr>
            </w:pPr>
            <w:r w:rsidRPr="00873B6C">
              <w:rPr>
                <w:sz w:val="16"/>
                <w:szCs w:val="16"/>
              </w:rPr>
              <w:t>1</w:t>
            </w:r>
          </w:p>
        </w:tc>
        <w:tc>
          <w:tcPr>
            <w:tcW w:w="425" w:type="dxa"/>
            <w:shd w:val="solid" w:color="FFFFFF" w:fill="auto"/>
          </w:tcPr>
          <w:p w14:paraId="7B583F91" w14:textId="597768A0"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038B8DB3" w14:textId="54F5AF85" w:rsidR="00BA4B57" w:rsidRPr="00873B6C" w:rsidRDefault="00BA4B57" w:rsidP="00591B52">
            <w:pPr>
              <w:pStyle w:val="TAL"/>
              <w:rPr>
                <w:sz w:val="16"/>
                <w:szCs w:val="16"/>
              </w:rPr>
            </w:pPr>
            <w:r w:rsidRPr="00873B6C">
              <w:rPr>
                <w:sz w:val="16"/>
                <w:szCs w:val="16"/>
              </w:rPr>
              <w:t>Support for SMS over NAS in Disaster Roaming</w:t>
            </w:r>
          </w:p>
        </w:tc>
        <w:tc>
          <w:tcPr>
            <w:tcW w:w="708" w:type="dxa"/>
            <w:shd w:val="solid" w:color="FFFFFF" w:fill="auto"/>
          </w:tcPr>
          <w:p w14:paraId="1BC7AE6C" w14:textId="705B62A5" w:rsidR="00BA4B57" w:rsidRPr="00873B6C" w:rsidRDefault="00BA4B57" w:rsidP="00591B52">
            <w:pPr>
              <w:pStyle w:val="TAC"/>
              <w:rPr>
                <w:sz w:val="16"/>
                <w:szCs w:val="16"/>
              </w:rPr>
            </w:pPr>
            <w:r w:rsidRPr="00873B6C">
              <w:rPr>
                <w:sz w:val="16"/>
                <w:szCs w:val="16"/>
              </w:rPr>
              <w:t>18.7.0</w:t>
            </w:r>
          </w:p>
        </w:tc>
      </w:tr>
      <w:tr w:rsidR="00BA4B57" w:rsidRPr="00873B6C" w14:paraId="6534DC94" w14:textId="77777777" w:rsidTr="009D14FB">
        <w:tc>
          <w:tcPr>
            <w:tcW w:w="800" w:type="dxa"/>
            <w:shd w:val="solid" w:color="FFFFFF" w:fill="auto"/>
          </w:tcPr>
          <w:p w14:paraId="3740A4AB" w14:textId="37FF13AD"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45FA0245" w14:textId="4FA29BA1"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2335FC37" w14:textId="4ED8DEEA" w:rsidR="00BA4B57" w:rsidRPr="00873B6C" w:rsidRDefault="00BA4B57" w:rsidP="00591B52">
            <w:pPr>
              <w:pStyle w:val="TAC"/>
              <w:rPr>
                <w:sz w:val="16"/>
                <w:szCs w:val="16"/>
              </w:rPr>
            </w:pPr>
            <w:r w:rsidRPr="00873B6C">
              <w:rPr>
                <w:sz w:val="16"/>
                <w:szCs w:val="16"/>
              </w:rPr>
              <w:t>SP-241278</w:t>
            </w:r>
          </w:p>
        </w:tc>
        <w:tc>
          <w:tcPr>
            <w:tcW w:w="567" w:type="dxa"/>
            <w:shd w:val="solid" w:color="FFFFFF" w:fill="auto"/>
          </w:tcPr>
          <w:p w14:paraId="69199A14" w14:textId="2C3949C7" w:rsidR="00BA4B57" w:rsidRPr="00873B6C" w:rsidRDefault="00BA4B57" w:rsidP="00591B52">
            <w:pPr>
              <w:pStyle w:val="TAL"/>
              <w:rPr>
                <w:sz w:val="16"/>
                <w:szCs w:val="16"/>
              </w:rPr>
            </w:pPr>
            <w:r w:rsidRPr="00873B6C">
              <w:rPr>
                <w:sz w:val="16"/>
                <w:szCs w:val="16"/>
              </w:rPr>
              <w:t>5418</w:t>
            </w:r>
          </w:p>
        </w:tc>
        <w:tc>
          <w:tcPr>
            <w:tcW w:w="425" w:type="dxa"/>
            <w:shd w:val="solid" w:color="FFFFFF" w:fill="auto"/>
          </w:tcPr>
          <w:p w14:paraId="1638D1C7" w14:textId="2CD02C6A" w:rsidR="00BA4B57" w:rsidRPr="00873B6C" w:rsidRDefault="00BA4B57" w:rsidP="00591B52">
            <w:pPr>
              <w:pStyle w:val="TAL"/>
              <w:rPr>
                <w:sz w:val="16"/>
                <w:szCs w:val="16"/>
              </w:rPr>
            </w:pPr>
            <w:r w:rsidRPr="00873B6C">
              <w:rPr>
                <w:sz w:val="16"/>
                <w:szCs w:val="16"/>
              </w:rPr>
              <w:t>1</w:t>
            </w:r>
          </w:p>
        </w:tc>
        <w:tc>
          <w:tcPr>
            <w:tcW w:w="425" w:type="dxa"/>
            <w:shd w:val="solid" w:color="FFFFFF" w:fill="auto"/>
          </w:tcPr>
          <w:p w14:paraId="1CD470F9" w14:textId="49449F2C"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1CFEC458" w14:textId="689B2B75" w:rsidR="00BA4B57" w:rsidRPr="00873B6C" w:rsidRDefault="00BA4B57" w:rsidP="00591B52">
            <w:pPr>
              <w:pStyle w:val="TAL"/>
              <w:rPr>
                <w:sz w:val="16"/>
                <w:szCs w:val="16"/>
              </w:rPr>
            </w:pPr>
            <w:r w:rsidRPr="00873B6C">
              <w:rPr>
                <w:sz w:val="16"/>
                <w:szCs w:val="16"/>
              </w:rPr>
              <w:t>Lack of indication of Emergency Service Support over NG</w:t>
            </w:r>
          </w:p>
        </w:tc>
        <w:tc>
          <w:tcPr>
            <w:tcW w:w="708" w:type="dxa"/>
            <w:shd w:val="solid" w:color="FFFFFF" w:fill="auto"/>
          </w:tcPr>
          <w:p w14:paraId="74BF2D2C" w14:textId="23DF047E" w:rsidR="00BA4B57" w:rsidRPr="00873B6C" w:rsidRDefault="00BA4B57" w:rsidP="00591B52">
            <w:pPr>
              <w:pStyle w:val="TAC"/>
              <w:rPr>
                <w:sz w:val="16"/>
                <w:szCs w:val="16"/>
              </w:rPr>
            </w:pPr>
            <w:r w:rsidRPr="00873B6C">
              <w:rPr>
                <w:sz w:val="16"/>
                <w:szCs w:val="16"/>
              </w:rPr>
              <w:t>18.7.0</w:t>
            </w:r>
          </w:p>
        </w:tc>
      </w:tr>
      <w:tr w:rsidR="00BA4B57" w:rsidRPr="00873B6C" w14:paraId="50540360" w14:textId="77777777" w:rsidTr="009D14FB">
        <w:tc>
          <w:tcPr>
            <w:tcW w:w="800" w:type="dxa"/>
            <w:shd w:val="solid" w:color="FFFFFF" w:fill="auto"/>
          </w:tcPr>
          <w:p w14:paraId="09C0B069" w14:textId="42125031"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403C677D" w14:textId="539B4B3B"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685AFADA" w14:textId="317CB818" w:rsidR="00BA4B57" w:rsidRPr="00873B6C" w:rsidRDefault="00BA4B57" w:rsidP="00591B52">
            <w:pPr>
              <w:pStyle w:val="TAC"/>
              <w:rPr>
                <w:sz w:val="16"/>
                <w:szCs w:val="16"/>
              </w:rPr>
            </w:pPr>
            <w:r w:rsidRPr="00873B6C">
              <w:rPr>
                <w:sz w:val="16"/>
                <w:szCs w:val="16"/>
              </w:rPr>
              <w:t>SP-241278</w:t>
            </w:r>
          </w:p>
        </w:tc>
        <w:tc>
          <w:tcPr>
            <w:tcW w:w="567" w:type="dxa"/>
            <w:shd w:val="solid" w:color="FFFFFF" w:fill="auto"/>
          </w:tcPr>
          <w:p w14:paraId="0556723D" w14:textId="07A1F1B3" w:rsidR="00BA4B57" w:rsidRPr="00873B6C" w:rsidRDefault="00BA4B57" w:rsidP="00591B52">
            <w:pPr>
              <w:pStyle w:val="TAL"/>
              <w:rPr>
                <w:sz w:val="16"/>
                <w:szCs w:val="16"/>
              </w:rPr>
            </w:pPr>
            <w:r w:rsidRPr="00873B6C">
              <w:rPr>
                <w:sz w:val="16"/>
                <w:szCs w:val="16"/>
              </w:rPr>
              <w:t>5426</w:t>
            </w:r>
          </w:p>
        </w:tc>
        <w:tc>
          <w:tcPr>
            <w:tcW w:w="425" w:type="dxa"/>
            <w:shd w:val="solid" w:color="FFFFFF" w:fill="auto"/>
          </w:tcPr>
          <w:p w14:paraId="606936FF" w14:textId="6AC21CA4" w:rsidR="00BA4B57" w:rsidRPr="00873B6C" w:rsidRDefault="00BA4B57" w:rsidP="00591B52">
            <w:pPr>
              <w:pStyle w:val="TAL"/>
              <w:rPr>
                <w:sz w:val="16"/>
                <w:szCs w:val="16"/>
              </w:rPr>
            </w:pPr>
            <w:r w:rsidRPr="00873B6C">
              <w:rPr>
                <w:sz w:val="16"/>
                <w:szCs w:val="16"/>
              </w:rPr>
              <w:t>2</w:t>
            </w:r>
          </w:p>
        </w:tc>
        <w:tc>
          <w:tcPr>
            <w:tcW w:w="425" w:type="dxa"/>
            <w:shd w:val="solid" w:color="FFFFFF" w:fill="auto"/>
          </w:tcPr>
          <w:p w14:paraId="3F6FAE40" w14:textId="33D1BDC2"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3A7CB061" w14:textId="106990D3" w:rsidR="00BA4B57" w:rsidRPr="00873B6C" w:rsidRDefault="00BA4B57" w:rsidP="00591B52">
            <w:pPr>
              <w:pStyle w:val="TAL"/>
              <w:rPr>
                <w:sz w:val="16"/>
                <w:szCs w:val="16"/>
              </w:rPr>
            </w:pPr>
            <w:r w:rsidRPr="00873B6C">
              <w:rPr>
                <w:sz w:val="16"/>
                <w:szCs w:val="16"/>
              </w:rPr>
              <w:t>Clarifications on NWDAF serving area</w:t>
            </w:r>
          </w:p>
        </w:tc>
        <w:tc>
          <w:tcPr>
            <w:tcW w:w="708" w:type="dxa"/>
            <w:shd w:val="solid" w:color="FFFFFF" w:fill="auto"/>
          </w:tcPr>
          <w:p w14:paraId="5C875EFD" w14:textId="3CE59DDC" w:rsidR="00BA4B57" w:rsidRPr="00873B6C" w:rsidRDefault="00BA4B57" w:rsidP="00591B52">
            <w:pPr>
              <w:pStyle w:val="TAC"/>
              <w:rPr>
                <w:sz w:val="16"/>
                <w:szCs w:val="16"/>
              </w:rPr>
            </w:pPr>
            <w:r w:rsidRPr="00873B6C">
              <w:rPr>
                <w:sz w:val="16"/>
                <w:szCs w:val="16"/>
              </w:rPr>
              <w:t>18.7.0</w:t>
            </w:r>
          </w:p>
        </w:tc>
      </w:tr>
      <w:tr w:rsidR="00BA4B57" w:rsidRPr="00873B6C" w14:paraId="227D7386" w14:textId="77777777" w:rsidTr="009D14FB">
        <w:tc>
          <w:tcPr>
            <w:tcW w:w="800" w:type="dxa"/>
            <w:shd w:val="solid" w:color="FFFFFF" w:fill="auto"/>
          </w:tcPr>
          <w:p w14:paraId="4EACE966" w14:textId="41C5A0D7"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5A82CCD6" w14:textId="55B824AE"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66F92553" w14:textId="75355A10" w:rsidR="00BA4B57" w:rsidRPr="00873B6C" w:rsidRDefault="00BA4B57" w:rsidP="00591B52">
            <w:pPr>
              <w:pStyle w:val="TAC"/>
              <w:rPr>
                <w:sz w:val="16"/>
                <w:szCs w:val="16"/>
              </w:rPr>
            </w:pPr>
            <w:r w:rsidRPr="00873B6C">
              <w:rPr>
                <w:sz w:val="16"/>
                <w:szCs w:val="16"/>
              </w:rPr>
              <w:t>SP-241259</w:t>
            </w:r>
          </w:p>
        </w:tc>
        <w:tc>
          <w:tcPr>
            <w:tcW w:w="567" w:type="dxa"/>
            <w:shd w:val="solid" w:color="FFFFFF" w:fill="auto"/>
          </w:tcPr>
          <w:p w14:paraId="7F19DD74" w14:textId="1464197B" w:rsidR="00BA4B57" w:rsidRPr="00873B6C" w:rsidRDefault="00BA4B57" w:rsidP="00591B52">
            <w:pPr>
              <w:pStyle w:val="TAL"/>
              <w:rPr>
                <w:sz w:val="16"/>
                <w:szCs w:val="16"/>
              </w:rPr>
            </w:pPr>
            <w:r w:rsidRPr="00873B6C">
              <w:rPr>
                <w:sz w:val="16"/>
                <w:szCs w:val="16"/>
              </w:rPr>
              <w:t>5428</w:t>
            </w:r>
          </w:p>
        </w:tc>
        <w:tc>
          <w:tcPr>
            <w:tcW w:w="425" w:type="dxa"/>
            <w:shd w:val="solid" w:color="FFFFFF" w:fill="auto"/>
          </w:tcPr>
          <w:p w14:paraId="1E51B875" w14:textId="5F32373C" w:rsidR="00BA4B57" w:rsidRPr="00873B6C" w:rsidRDefault="00BA4B57" w:rsidP="00591B52">
            <w:pPr>
              <w:pStyle w:val="TAL"/>
              <w:rPr>
                <w:sz w:val="16"/>
                <w:szCs w:val="16"/>
              </w:rPr>
            </w:pPr>
            <w:r w:rsidRPr="00873B6C">
              <w:rPr>
                <w:sz w:val="16"/>
                <w:szCs w:val="16"/>
              </w:rPr>
              <w:t>1</w:t>
            </w:r>
          </w:p>
        </w:tc>
        <w:tc>
          <w:tcPr>
            <w:tcW w:w="425" w:type="dxa"/>
            <w:shd w:val="solid" w:color="FFFFFF" w:fill="auto"/>
          </w:tcPr>
          <w:p w14:paraId="401E2A29" w14:textId="247DD170"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60442F93" w14:textId="09D88AF6" w:rsidR="00BA4B57" w:rsidRPr="00873B6C" w:rsidRDefault="00BA4B57" w:rsidP="00591B52">
            <w:pPr>
              <w:pStyle w:val="TAL"/>
              <w:rPr>
                <w:sz w:val="16"/>
                <w:szCs w:val="16"/>
              </w:rPr>
            </w:pPr>
            <w:r w:rsidRPr="00873B6C">
              <w:rPr>
                <w:sz w:val="16"/>
                <w:szCs w:val="16"/>
              </w:rPr>
              <w:t>Removal of Editor's note on the use of TLS with MPQUIC</w:t>
            </w:r>
          </w:p>
        </w:tc>
        <w:tc>
          <w:tcPr>
            <w:tcW w:w="708" w:type="dxa"/>
            <w:shd w:val="solid" w:color="FFFFFF" w:fill="auto"/>
          </w:tcPr>
          <w:p w14:paraId="32E1FB96" w14:textId="5357A79A" w:rsidR="00BA4B57" w:rsidRPr="00873B6C" w:rsidRDefault="00BA4B57" w:rsidP="00591B52">
            <w:pPr>
              <w:pStyle w:val="TAC"/>
              <w:rPr>
                <w:sz w:val="16"/>
                <w:szCs w:val="16"/>
              </w:rPr>
            </w:pPr>
            <w:r w:rsidRPr="00873B6C">
              <w:rPr>
                <w:sz w:val="16"/>
                <w:szCs w:val="16"/>
              </w:rPr>
              <w:t>18.7.0</w:t>
            </w:r>
          </w:p>
        </w:tc>
      </w:tr>
      <w:tr w:rsidR="00BA4B57" w:rsidRPr="00873B6C" w14:paraId="25122BFF" w14:textId="77777777" w:rsidTr="009D14FB">
        <w:tc>
          <w:tcPr>
            <w:tcW w:w="800" w:type="dxa"/>
            <w:shd w:val="solid" w:color="FFFFFF" w:fill="auto"/>
          </w:tcPr>
          <w:p w14:paraId="4F8A6341" w14:textId="452EA3DD"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0B0E84A4" w14:textId="2951210A"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47033AC1" w14:textId="3A650BCB" w:rsidR="00BA4B57" w:rsidRPr="00873B6C" w:rsidRDefault="00BA4B57" w:rsidP="00591B52">
            <w:pPr>
              <w:pStyle w:val="TAC"/>
              <w:rPr>
                <w:sz w:val="16"/>
                <w:szCs w:val="16"/>
              </w:rPr>
            </w:pPr>
            <w:r w:rsidRPr="00873B6C">
              <w:rPr>
                <w:sz w:val="16"/>
                <w:szCs w:val="16"/>
              </w:rPr>
              <w:t>SP-241261</w:t>
            </w:r>
          </w:p>
        </w:tc>
        <w:tc>
          <w:tcPr>
            <w:tcW w:w="567" w:type="dxa"/>
            <w:shd w:val="solid" w:color="FFFFFF" w:fill="auto"/>
          </w:tcPr>
          <w:p w14:paraId="61F1DA46" w14:textId="286D489D" w:rsidR="00BA4B57" w:rsidRPr="00873B6C" w:rsidRDefault="00BA4B57" w:rsidP="00591B52">
            <w:pPr>
              <w:pStyle w:val="TAL"/>
              <w:rPr>
                <w:sz w:val="16"/>
                <w:szCs w:val="16"/>
              </w:rPr>
            </w:pPr>
            <w:r w:rsidRPr="00873B6C">
              <w:rPr>
                <w:sz w:val="16"/>
                <w:szCs w:val="16"/>
              </w:rPr>
              <w:t>5432</w:t>
            </w:r>
          </w:p>
        </w:tc>
        <w:tc>
          <w:tcPr>
            <w:tcW w:w="425" w:type="dxa"/>
            <w:shd w:val="solid" w:color="FFFFFF" w:fill="auto"/>
          </w:tcPr>
          <w:p w14:paraId="164F994E" w14:textId="0387698F" w:rsidR="00BA4B57" w:rsidRPr="00873B6C" w:rsidRDefault="00BA4B57" w:rsidP="00591B52">
            <w:pPr>
              <w:pStyle w:val="TAL"/>
              <w:rPr>
                <w:sz w:val="16"/>
                <w:szCs w:val="16"/>
              </w:rPr>
            </w:pPr>
            <w:r w:rsidRPr="00873B6C">
              <w:rPr>
                <w:sz w:val="16"/>
                <w:szCs w:val="16"/>
              </w:rPr>
              <w:t>2</w:t>
            </w:r>
          </w:p>
        </w:tc>
        <w:tc>
          <w:tcPr>
            <w:tcW w:w="425" w:type="dxa"/>
            <w:shd w:val="solid" w:color="FFFFFF" w:fill="auto"/>
          </w:tcPr>
          <w:p w14:paraId="06B91211" w14:textId="7CE9411A"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04F6C9A8" w14:textId="1B737E74" w:rsidR="00BA4B57" w:rsidRPr="00873B6C" w:rsidRDefault="00BA4B57" w:rsidP="00591B52">
            <w:pPr>
              <w:pStyle w:val="TAL"/>
              <w:rPr>
                <w:sz w:val="16"/>
                <w:szCs w:val="16"/>
              </w:rPr>
            </w:pPr>
            <w:r w:rsidRPr="00873B6C">
              <w:rPr>
                <w:sz w:val="16"/>
                <w:szCs w:val="16"/>
              </w:rPr>
              <w:t>Align H-PCF selection with H-SMF selection in 23.501 R18</w:t>
            </w:r>
          </w:p>
        </w:tc>
        <w:tc>
          <w:tcPr>
            <w:tcW w:w="708" w:type="dxa"/>
            <w:shd w:val="solid" w:color="FFFFFF" w:fill="auto"/>
          </w:tcPr>
          <w:p w14:paraId="0AA2DD58" w14:textId="38C6F34B" w:rsidR="00BA4B57" w:rsidRPr="00873B6C" w:rsidRDefault="00BA4B57" w:rsidP="00591B52">
            <w:pPr>
              <w:pStyle w:val="TAC"/>
              <w:rPr>
                <w:sz w:val="16"/>
                <w:szCs w:val="16"/>
              </w:rPr>
            </w:pPr>
            <w:r w:rsidRPr="00873B6C">
              <w:rPr>
                <w:sz w:val="16"/>
                <w:szCs w:val="16"/>
              </w:rPr>
              <w:t>18.7.0</w:t>
            </w:r>
          </w:p>
        </w:tc>
      </w:tr>
      <w:tr w:rsidR="00DD4756" w:rsidRPr="00873B6C" w14:paraId="3A56634E" w14:textId="77777777" w:rsidTr="009D14FB">
        <w:tc>
          <w:tcPr>
            <w:tcW w:w="800" w:type="dxa"/>
            <w:shd w:val="solid" w:color="FFFFFF" w:fill="auto"/>
          </w:tcPr>
          <w:p w14:paraId="2FE75B69" w14:textId="1F2C68D3"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59AA9339" w14:textId="05BE370E"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7FDEE7DE" w14:textId="6B80F943" w:rsidR="00DD4756" w:rsidRPr="00873B6C" w:rsidRDefault="00DD4756" w:rsidP="00591B52">
            <w:pPr>
              <w:pStyle w:val="TAC"/>
              <w:rPr>
                <w:sz w:val="16"/>
                <w:szCs w:val="16"/>
              </w:rPr>
            </w:pPr>
            <w:r w:rsidRPr="00873B6C">
              <w:rPr>
                <w:sz w:val="16"/>
                <w:szCs w:val="16"/>
              </w:rPr>
              <w:t>SP-241261</w:t>
            </w:r>
          </w:p>
        </w:tc>
        <w:tc>
          <w:tcPr>
            <w:tcW w:w="567" w:type="dxa"/>
            <w:shd w:val="solid" w:color="FFFFFF" w:fill="auto"/>
          </w:tcPr>
          <w:p w14:paraId="25721AA6" w14:textId="6D52C3BD" w:rsidR="00DD4756" w:rsidRPr="00873B6C" w:rsidRDefault="00DD4756" w:rsidP="00591B52">
            <w:pPr>
              <w:pStyle w:val="TAL"/>
              <w:rPr>
                <w:sz w:val="16"/>
                <w:szCs w:val="16"/>
              </w:rPr>
            </w:pPr>
            <w:r w:rsidRPr="00873B6C">
              <w:rPr>
                <w:sz w:val="16"/>
                <w:szCs w:val="16"/>
              </w:rPr>
              <w:t>5434</w:t>
            </w:r>
          </w:p>
        </w:tc>
        <w:tc>
          <w:tcPr>
            <w:tcW w:w="425" w:type="dxa"/>
            <w:shd w:val="solid" w:color="FFFFFF" w:fill="auto"/>
          </w:tcPr>
          <w:p w14:paraId="25751478" w14:textId="1B2C1795" w:rsidR="00DD4756" w:rsidRPr="00873B6C" w:rsidRDefault="00DD4756" w:rsidP="00591B52">
            <w:pPr>
              <w:pStyle w:val="TAL"/>
              <w:rPr>
                <w:sz w:val="16"/>
                <w:szCs w:val="16"/>
              </w:rPr>
            </w:pPr>
            <w:r w:rsidRPr="00873B6C">
              <w:rPr>
                <w:sz w:val="16"/>
                <w:szCs w:val="16"/>
              </w:rPr>
              <w:t>1</w:t>
            </w:r>
          </w:p>
        </w:tc>
        <w:tc>
          <w:tcPr>
            <w:tcW w:w="425" w:type="dxa"/>
            <w:shd w:val="solid" w:color="FFFFFF" w:fill="auto"/>
          </w:tcPr>
          <w:p w14:paraId="179F01FC" w14:textId="05917497"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4A1BD17A" w14:textId="383286F1" w:rsidR="00DD4756" w:rsidRPr="00873B6C" w:rsidRDefault="00DD4756" w:rsidP="00591B52">
            <w:pPr>
              <w:pStyle w:val="TAL"/>
              <w:rPr>
                <w:sz w:val="16"/>
                <w:szCs w:val="16"/>
              </w:rPr>
            </w:pPr>
            <w:r w:rsidRPr="00873B6C">
              <w:rPr>
                <w:sz w:val="16"/>
                <w:szCs w:val="16"/>
              </w:rPr>
              <w:t>Support of a UE registered over both 3GPP and Non-3GPP access</w:t>
            </w:r>
          </w:p>
        </w:tc>
        <w:tc>
          <w:tcPr>
            <w:tcW w:w="708" w:type="dxa"/>
            <w:shd w:val="solid" w:color="FFFFFF" w:fill="auto"/>
          </w:tcPr>
          <w:p w14:paraId="28400040" w14:textId="056FAD56" w:rsidR="00DD4756" w:rsidRPr="00873B6C" w:rsidRDefault="00DD4756" w:rsidP="00591B52">
            <w:pPr>
              <w:pStyle w:val="TAC"/>
              <w:rPr>
                <w:sz w:val="16"/>
                <w:szCs w:val="16"/>
              </w:rPr>
            </w:pPr>
            <w:r w:rsidRPr="00873B6C">
              <w:rPr>
                <w:sz w:val="16"/>
                <w:szCs w:val="16"/>
              </w:rPr>
              <w:t>18.7.0</w:t>
            </w:r>
          </w:p>
        </w:tc>
      </w:tr>
      <w:tr w:rsidR="00DD4756" w:rsidRPr="00873B6C" w14:paraId="30D1D01A" w14:textId="77777777" w:rsidTr="009D14FB">
        <w:tc>
          <w:tcPr>
            <w:tcW w:w="800" w:type="dxa"/>
            <w:shd w:val="solid" w:color="FFFFFF" w:fill="auto"/>
          </w:tcPr>
          <w:p w14:paraId="4AB75F32" w14:textId="7C293F79"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77CBCB31" w14:textId="5574F07A"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603F0252" w14:textId="17625F86" w:rsidR="00DD4756" w:rsidRPr="00873B6C" w:rsidRDefault="00DD4756" w:rsidP="00591B52">
            <w:pPr>
              <w:pStyle w:val="TAC"/>
              <w:rPr>
                <w:sz w:val="16"/>
                <w:szCs w:val="16"/>
              </w:rPr>
            </w:pPr>
            <w:r w:rsidRPr="00873B6C">
              <w:rPr>
                <w:sz w:val="16"/>
                <w:szCs w:val="16"/>
              </w:rPr>
              <w:t>SP-241260</w:t>
            </w:r>
          </w:p>
        </w:tc>
        <w:tc>
          <w:tcPr>
            <w:tcW w:w="567" w:type="dxa"/>
            <w:shd w:val="solid" w:color="FFFFFF" w:fill="auto"/>
          </w:tcPr>
          <w:p w14:paraId="6C48F6CD" w14:textId="023A6B57" w:rsidR="00DD4756" w:rsidRPr="00873B6C" w:rsidRDefault="00DD4756" w:rsidP="00591B52">
            <w:pPr>
              <w:pStyle w:val="TAL"/>
              <w:rPr>
                <w:sz w:val="16"/>
                <w:szCs w:val="16"/>
              </w:rPr>
            </w:pPr>
            <w:r w:rsidRPr="00873B6C">
              <w:rPr>
                <w:sz w:val="16"/>
                <w:szCs w:val="16"/>
              </w:rPr>
              <w:t>5448</w:t>
            </w:r>
          </w:p>
        </w:tc>
        <w:tc>
          <w:tcPr>
            <w:tcW w:w="425" w:type="dxa"/>
            <w:shd w:val="solid" w:color="FFFFFF" w:fill="auto"/>
          </w:tcPr>
          <w:p w14:paraId="46310FB5" w14:textId="1634951E" w:rsidR="00DD4756" w:rsidRPr="00873B6C" w:rsidRDefault="00DD4756" w:rsidP="00591B52">
            <w:pPr>
              <w:pStyle w:val="TAL"/>
              <w:rPr>
                <w:sz w:val="16"/>
                <w:szCs w:val="16"/>
              </w:rPr>
            </w:pPr>
            <w:r w:rsidRPr="00873B6C">
              <w:rPr>
                <w:sz w:val="16"/>
                <w:szCs w:val="16"/>
              </w:rPr>
              <w:t>1</w:t>
            </w:r>
          </w:p>
        </w:tc>
        <w:tc>
          <w:tcPr>
            <w:tcW w:w="425" w:type="dxa"/>
            <w:shd w:val="solid" w:color="FFFFFF" w:fill="auto"/>
          </w:tcPr>
          <w:p w14:paraId="633468B2" w14:textId="7A494F54"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6CA15B9D" w14:textId="69753988" w:rsidR="00DD4756" w:rsidRPr="00873B6C" w:rsidRDefault="00DD4756" w:rsidP="00591B52">
            <w:pPr>
              <w:pStyle w:val="TAL"/>
              <w:rPr>
                <w:sz w:val="16"/>
                <w:szCs w:val="16"/>
              </w:rPr>
            </w:pPr>
            <w:r w:rsidRPr="00873B6C">
              <w:rPr>
                <w:sz w:val="16"/>
                <w:szCs w:val="16"/>
              </w:rPr>
              <w:t>Alignment action of EAS IP replacement in SMF and UPF</w:t>
            </w:r>
          </w:p>
        </w:tc>
        <w:tc>
          <w:tcPr>
            <w:tcW w:w="708" w:type="dxa"/>
            <w:shd w:val="solid" w:color="FFFFFF" w:fill="auto"/>
          </w:tcPr>
          <w:p w14:paraId="054485E8" w14:textId="512D0586" w:rsidR="00DD4756" w:rsidRPr="00873B6C" w:rsidRDefault="00DD4756" w:rsidP="00591B52">
            <w:pPr>
              <w:pStyle w:val="TAC"/>
              <w:rPr>
                <w:sz w:val="16"/>
                <w:szCs w:val="16"/>
              </w:rPr>
            </w:pPr>
            <w:r w:rsidRPr="00873B6C">
              <w:rPr>
                <w:sz w:val="16"/>
                <w:szCs w:val="16"/>
              </w:rPr>
              <w:t>18.7.0</w:t>
            </w:r>
          </w:p>
        </w:tc>
      </w:tr>
      <w:tr w:rsidR="00DD4756" w:rsidRPr="00873B6C" w14:paraId="4461FBE9" w14:textId="77777777" w:rsidTr="009D14FB">
        <w:tc>
          <w:tcPr>
            <w:tcW w:w="800" w:type="dxa"/>
            <w:shd w:val="solid" w:color="FFFFFF" w:fill="auto"/>
          </w:tcPr>
          <w:p w14:paraId="6331B945" w14:textId="7E09FD4C"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059D8980" w14:textId="60473CC6"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07B0A987" w14:textId="68CF2B2C" w:rsidR="00DD4756" w:rsidRPr="00873B6C" w:rsidRDefault="00DD4756" w:rsidP="00591B52">
            <w:pPr>
              <w:pStyle w:val="TAC"/>
              <w:rPr>
                <w:sz w:val="16"/>
                <w:szCs w:val="16"/>
              </w:rPr>
            </w:pPr>
            <w:r w:rsidRPr="00873B6C">
              <w:rPr>
                <w:sz w:val="16"/>
                <w:szCs w:val="16"/>
              </w:rPr>
              <w:t>SP-241254</w:t>
            </w:r>
          </w:p>
        </w:tc>
        <w:tc>
          <w:tcPr>
            <w:tcW w:w="567" w:type="dxa"/>
            <w:shd w:val="solid" w:color="FFFFFF" w:fill="auto"/>
          </w:tcPr>
          <w:p w14:paraId="1F645219" w14:textId="27F374FD" w:rsidR="00DD4756" w:rsidRPr="00873B6C" w:rsidRDefault="00DD4756" w:rsidP="00591B52">
            <w:pPr>
              <w:pStyle w:val="TAL"/>
              <w:rPr>
                <w:sz w:val="16"/>
                <w:szCs w:val="16"/>
              </w:rPr>
            </w:pPr>
            <w:r w:rsidRPr="00873B6C">
              <w:rPr>
                <w:sz w:val="16"/>
                <w:szCs w:val="16"/>
              </w:rPr>
              <w:t>5456</w:t>
            </w:r>
          </w:p>
        </w:tc>
        <w:tc>
          <w:tcPr>
            <w:tcW w:w="425" w:type="dxa"/>
            <w:shd w:val="solid" w:color="FFFFFF" w:fill="auto"/>
          </w:tcPr>
          <w:p w14:paraId="66AE4972" w14:textId="41DBC775" w:rsidR="00DD4756" w:rsidRPr="00873B6C" w:rsidRDefault="00DD4756" w:rsidP="00591B52">
            <w:pPr>
              <w:pStyle w:val="TAL"/>
              <w:rPr>
                <w:sz w:val="16"/>
                <w:szCs w:val="16"/>
              </w:rPr>
            </w:pPr>
            <w:r w:rsidRPr="00873B6C">
              <w:rPr>
                <w:sz w:val="16"/>
                <w:szCs w:val="16"/>
              </w:rPr>
              <w:t>2</w:t>
            </w:r>
          </w:p>
        </w:tc>
        <w:tc>
          <w:tcPr>
            <w:tcW w:w="425" w:type="dxa"/>
            <w:shd w:val="solid" w:color="FFFFFF" w:fill="auto"/>
          </w:tcPr>
          <w:p w14:paraId="47447560" w14:textId="277F9A2A"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2857D159" w14:textId="6549FBBF" w:rsidR="00DD4756" w:rsidRPr="00873B6C" w:rsidRDefault="00DD4756" w:rsidP="00591B52">
            <w:pPr>
              <w:pStyle w:val="TAL"/>
              <w:rPr>
                <w:sz w:val="16"/>
                <w:szCs w:val="16"/>
              </w:rPr>
            </w:pPr>
            <w:r w:rsidRPr="00873B6C">
              <w:rPr>
                <w:sz w:val="16"/>
                <w:szCs w:val="16"/>
              </w:rPr>
              <w:t xml:space="preserve">Corrections of Traffic Detection Information related descriptions </w:t>
            </w:r>
          </w:p>
        </w:tc>
        <w:tc>
          <w:tcPr>
            <w:tcW w:w="708" w:type="dxa"/>
            <w:shd w:val="solid" w:color="FFFFFF" w:fill="auto"/>
          </w:tcPr>
          <w:p w14:paraId="4C070545" w14:textId="624BBAF5" w:rsidR="00DD4756" w:rsidRPr="00873B6C" w:rsidRDefault="00DD4756" w:rsidP="00591B52">
            <w:pPr>
              <w:pStyle w:val="TAC"/>
              <w:rPr>
                <w:sz w:val="16"/>
                <w:szCs w:val="16"/>
              </w:rPr>
            </w:pPr>
            <w:r w:rsidRPr="00873B6C">
              <w:rPr>
                <w:sz w:val="16"/>
                <w:szCs w:val="16"/>
              </w:rPr>
              <w:t>18.7.0</w:t>
            </w:r>
          </w:p>
        </w:tc>
      </w:tr>
      <w:tr w:rsidR="00DD4756" w:rsidRPr="00873B6C" w14:paraId="526F9789" w14:textId="77777777" w:rsidTr="009D14FB">
        <w:tc>
          <w:tcPr>
            <w:tcW w:w="800" w:type="dxa"/>
            <w:shd w:val="solid" w:color="FFFFFF" w:fill="auto"/>
          </w:tcPr>
          <w:p w14:paraId="201CF5BE" w14:textId="1E1549CC"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120C3FA3" w14:textId="31BCE795"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7AF1F9DF" w14:textId="1631B55F" w:rsidR="00DD4756" w:rsidRPr="00873B6C" w:rsidRDefault="00DD4756" w:rsidP="00591B52">
            <w:pPr>
              <w:pStyle w:val="TAC"/>
              <w:rPr>
                <w:sz w:val="16"/>
                <w:szCs w:val="16"/>
              </w:rPr>
            </w:pPr>
            <w:r w:rsidRPr="00873B6C">
              <w:rPr>
                <w:sz w:val="16"/>
                <w:szCs w:val="16"/>
              </w:rPr>
              <w:t>SP-241261</w:t>
            </w:r>
          </w:p>
        </w:tc>
        <w:tc>
          <w:tcPr>
            <w:tcW w:w="567" w:type="dxa"/>
            <w:shd w:val="solid" w:color="FFFFFF" w:fill="auto"/>
          </w:tcPr>
          <w:p w14:paraId="300BDFEA" w14:textId="370D1C1E" w:rsidR="00DD4756" w:rsidRPr="00873B6C" w:rsidRDefault="00DD4756" w:rsidP="00591B52">
            <w:pPr>
              <w:pStyle w:val="TAL"/>
              <w:rPr>
                <w:sz w:val="16"/>
                <w:szCs w:val="16"/>
              </w:rPr>
            </w:pPr>
            <w:r w:rsidRPr="00873B6C">
              <w:rPr>
                <w:sz w:val="16"/>
                <w:szCs w:val="16"/>
              </w:rPr>
              <w:t>5458</w:t>
            </w:r>
          </w:p>
        </w:tc>
        <w:tc>
          <w:tcPr>
            <w:tcW w:w="425" w:type="dxa"/>
            <w:shd w:val="solid" w:color="FFFFFF" w:fill="auto"/>
          </w:tcPr>
          <w:p w14:paraId="5299F03E" w14:textId="0CFC6E56" w:rsidR="00DD4756" w:rsidRPr="00873B6C" w:rsidRDefault="00DD4756" w:rsidP="00591B52">
            <w:pPr>
              <w:pStyle w:val="TAL"/>
              <w:rPr>
                <w:sz w:val="16"/>
                <w:szCs w:val="16"/>
              </w:rPr>
            </w:pPr>
            <w:r w:rsidRPr="00873B6C">
              <w:rPr>
                <w:sz w:val="16"/>
                <w:szCs w:val="16"/>
              </w:rPr>
              <w:t>-</w:t>
            </w:r>
          </w:p>
        </w:tc>
        <w:tc>
          <w:tcPr>
            <w:tcW w:w="425" w:type="dxa"/>
            <w:shd w:val="solid" w:color="FFFFFF" w:fill="auto"/>
          </w:tcPr>
          <w:p w14:paraId="76A26B5D" w14:textId="4B219F00"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4FFDBDC1" w14:textId="63DDA0F5" w:rsidR="00DD4756" w:rsidRPr="00873B6C" w:rsidRDefault="00DD4756" w:rsidP="00591B52">
            <w:pPr>
              <w:pStyle w:val="TAL"/>
              <w:rPr>
                <w:sz w:val="16"/>
                <w:szCs w:val="16"/>
              </w:rPr>
            </w:pPr>
            <w:r w:rsidRPr="00873B6C">
              <w:rPr>
                <w:sz w:val="16"/>
                <w:szCs w:val="16"/>
              </w:rPr>
              <w:t>Correction on MSISDN exposure</w:t>
            </w:r>
          </w:p>
        </w:tc>
        <w:tc>
          <w:tcPr>
            <w:tcW w:w="708" w:type="dxa"/>
            <w:shd w:val="solid" w:color="FFFFFF" w:fill="auto"/>
          </w:tcPr>
          <w:p w14:paraId="54656F67" w14:textId="4874CEAA" w:rsidR="00DD4756" w:rsidRPr="00873B6C" w:rsidRDefault="00DD4756" w:rsidP="00591B52">
            <w:pPr>
              <w:pStyle w:val="TAC"/>
              <w:rPr>
                <w:sz w:val="16"/>
                <w:szCs w:val="16"/>
              </w:rPr>
            </w:pPr>
            <w:r w:rsidRPr="00873B6C">
              <w:rPr>
                <w:sz w:val="16"/>
                <w:szCs w:val="16"/>
              </w:rPr>
              <w:t>18.7.0</w:t>
            </w:r>
          </w:p>
        </w:tc>
      </w:tr>
      <w:tr w:rsidR="00DD4756" w:rsidRPr="00873B6C" w14:paraId="22C7F4D2" w14:textId="77777777" w:rsidTr="009D14FB">
        <w:tc>
          <w:tcPr>
            <w:tcW w:w="800" w:type="dxa"/>
            <w:shd w:val="solid" w:color="FFFFFF" w:fill="auto"/>
          </w:tcPr>
          <w:p w14:paraId="19D5E8D4" w14:textId="6C07E93D"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3E51C164" w14:textId="068BB7E8"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6174F1E4" w14:textId="3D3292E1" w:rsidR="00DD4756" w:rsidRPr="00873B6C" w:rsidRDefault="00DD4756" w:rsidP="00591B52">
            <w:pPr>
              <w:pStyle w:val="TAC"/>
              <w:rPr>
                <w:sz w:val="16"/>
                <w:szCs w:val="16"/>
              </w:rPr>
            </w:pPr>
            <w:r w:rsidRPr="00873B6C">
              <w:rPr>
                <w:sz w:val="16"/>
                <w:szCs w:val="16"/>
              </w:rPr>
              <w:t>SP-241252</w:t>
            </w:r>
          </w:p>
        </w:tc>
        <w:tc>
          <w:tcPr>
            <w:tcW w:w="567" w:type="dxa"/>
            <w:shd w:val="solid" w:color="FFFFFF" w:fill="auto"/>
          </w:tcPr>
          <w:p w14:paraId="5E70AC7D" w14:textId="391B04BE" w:rsidR="00DD4756" w:rsidRPr="00873B6C" w:rsidRDefault="00DD4756" w:rsidP="00591B52">
            <w:pPr>
              <w:pStyle w:val="TAL"/>
              <w:rPr>
                <w:sz w:val="16"/>
                <w:szCs w:val="16"/>
              </w:rPr>
            </w:pPr>
            <w:r w:rsidRPr="00873B6C">
              <w:rPr>
                <w:sz w:val="16"/>
                <w:szCs w:val="16"/>
              </w:rPr>
              <w:t>5473</w:t>
            </w:r>
          </w:p>
        </w:tc>
        <w:tc>
          <w:tcPr>
            <w:tcW w:w="425" w:type="dxa"/>
            <w:shd w:val="solid" w:color="FFFFFF" w:fill="auto"/>
          </w:tcPr>
          <w:p w14:paraId="2396307F" w14:textId="5C91AF1C" w:rsidR="00DD4756" w:rsidRPr="00873B6C" w:rsidRDefault="00DD4756" w:rsidP="00591B52">
            <w:pPr>
              <w:pStyle w:val="TAL"/>
              <w:rPr>
                <w:sz w:val="16"/>
                <w:szCs w:val="16"/>
              </w:rPr>
            </w:pPr>
            <w:r w:rsidRPr="00873B6C">
              <w:rPr>
                <w:sz w:val="16"/>
                <w:szCs w:val="16"/>
              </w:rPr>
              <w:t>2</w:t>
            </w:r>
          </w:p>
        </w:tc>
        <w:tc>
          <w:tcPr>
            <w:tcW w:w="425" w:type="dxa"/>
            <w:shd w:val="solid" w:color="FFFFFF" w:fill="auto"/>
          </w:tcPr>
          <w:p w14:paraId="53CF3FFE" w14:textId="5BF7A6F4"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50D6D488" w14:textId="46CCBA0E" w:rsidR="00DD4756" w:rsidRPr="00873B6C" w:rsidRDefault="00DD4756" w:rsidP="00591B52">
            <w:pPr>
              <w:pStyle w:val="TAL"/>
              <w:rPr>
                <w:sz w:val="16"/>
                <w:szCs w:val="16"/>
              </w:rPr>
            </w:pPr>
            <w:r w:rsidRPr="00873B6C">
              <w:rPr>
                <w:sz w:val="16"/>
                <w:szCs w:val="16"/>
              </w:rPr>
              <w:t>Subscription of UPF event via I-SMF</w:t>
            </w:r>
          </w:p>
        </w:tc>
        <w:tc>
          <w:tcPr>
            <w:tcW w:w="708" w:type="dxa"/>
            <w:shd w:val="solid" w:color="FFFFFF" w:fill="auto"/>
          </w:tcPr>
          <w:p w14:paraId="5CA43667" w14:textId="370A75A4" w:rsidR="00DD4756" w:rsidRPr="00873B6C" w:rsidRDefault="00DD4756" w:rsidP="00591B52">
            <w:pPr>
              <w:pStyle w:val="TAC"/>
              <w:rPr>
                <w:sz w:val="16"/>
                <w:szCs w:val="16"/>
              </w:rPr>
            </w:pPr>
            <w:r w:rsidRPr="00873B6C">
              <w:rPr>
                <w:sz w:val="16"/>
                <w:szCs w:val="16"/>
              </w:rPr>
              <w:t>18.7.0</w:t>
            </w:r>
          </w:p>
        </w:tc>
      </w:tr>
      <w:tr w:rsidR="00DD4756" w:rsidRPr="00873B6C" w14:paraId="7F666319" w14:textId="77777777" w:rsidTr="009D14FB">
        <w:tc>
          <w:tcPr>
            <w:tcW w:w="800" w:type="dxa"/>
            <w:shd w:val="solid" w:color="FFFFFF" w:fill="auto"/>
          </w:tcPr>
          <w:p w14:paraId="7FA2134D" w14:textId="15F4C174"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07CB7EF7" w14:textId="69AE2CEB"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24D2854D" w14:textId="67D9B882" w:rsidR="00DD4756" w:rsidRPr="00873B6C" w:rsidRDefault="00DD4756" w:rsidP="00591B52">
            <w:pPr>
              <w:pStyle w:val="TAC"/>
              <w:rPr>
                <w:sz w:val="16"/>
                <w:szCs w:val="16"/>
              </w:rPr>
            </w:pPr>
            <w:r w:rsidRPr="00873B6C">
              <w:rPr>
                <w:sz w:val="16"/>
                <w:szCs w:val="16"/>
              </w:rPr>
              <w:t>SP-241251</w:t>
            </w:r>
          </w:p>
        </w:tc>
        <w:tc>
          <w:tcPr>
            <w:tcW w:w="567" w:type="dxa"/>
            <w:shd w:val="solid" w:color="FFFFFF" w:fill="auto"/>
          </w:tcPr>
          <w:p w14:paraId="3B509DF6" w14:textId="59FE32E6" w:rsidR="00DD4756" w:rsidRPr="00873B6C" w:rsidRDefault="00DD4756" w:rsidP="00591B52">
            <w:pPr>
              <w:pStyle w:val="TAL"/>
              <w:rPr>
                <w:sz w:val="16"/>
                <w:szCs w:val="16"/>
              </w:rPr>
            </w:pPr>
            <w:r w:rsidRPr="00873B6C">
              <w:rPr>
                <w:sz w:val="16"/>
                <w:szCs w:val="16"/>
              </w:rPr>
              <w:t>5477</w:t>
            </w:r>
          </w:p>
        </w:tc>
        <w:tc>
          <w:tcPr>
            <w:tcW w:w="425" w:type="dxa"/>
            <w:shd w:val="solid" w:color="FFFFFF" w:fill="auto"/>
          </w:tcPr>
          <w:p w14:paraId="1EC8A8AE" w14:textId="07F3813E" w:rsidR="00DD4756" w:rsidRPr="00873B6C" w:rsidRDefault="00DD4756" w:rsidP="00591B52">
            <w:pPr>
              <w:pStyle w:val="TAL"/>
              <w:rPr>
                <w:sz w:val="16"/>
                <w:szCs w:val="16"/>
              </w:rPr>
            </w:pPr>
            <w:r w:rsidRPr="00873B6C">
              <w:rPr>
                <w:sz w:val="16"/>
                <w:szCs w:val="16"/>
              </w:rPr>
              <w:t>-</w:t>
            </w:r>
          </w:p>
        </w:tc>
        <w:tc>
          <w:tcPr>
            <w:tcW w:w="425" w:type="dxa"/>
            <w:shd w:val="solid" w:color="FFFFFF" w:fill="auto"/>
          </w:tcPr>
          <w:p w14:paraId="12FBEB8A" w14:textId="23B1D947"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6587B5D1" w14:textId="78E943A5" w:rsidR="00DD4756" w:rsidRPr="00873B6C" w:rsidRDefault="00DD4756" w:rsidP="00591B52">
            <w:pPr>
              <w:pStyle w:val="TAL"/>
              <w:rPr>
                <w:sz w:val="16"/>
                <w:szCs w:val="16"/>
              </w:rPr>
            </w:pPr>
            <w:r w:rsidRPr="00873B6C">
              <w:rPr>
                <w:sz w:val="16"/>
                <w:szCs w:val="16"/>
              </w:rPr>
              <w:t>Correct to align with RAN for reactive RAN feedback for Burst Arrival Time adaptation</w:t>
            </w:r>
          </w:p>
        </w:tc>
        <w:tc>
          <w:tcPr>
            <w:tcW w:w="708" w:type="dxa"/>
            <w:shd w:val="solid" w:color="FFFFFF" w:fill="auto"/>
          </w:tcPr>
          <w:p w14:paraId="225704F8" w14:textId="27D4FC64" w:rsidR="00DD4756" w:rsidRPr="00873B6C" w:rsidRDefault="00DD4756" w:rsidP="00591B52">
            <w:pPr>
              <w:pStyle w:val="TAC"/>
              <w:rPr>
                <w:sz w:val="16"/>
                <w:szCs w:val="16"/>
              </w:rPr>
            </w:pPr>
            <w:r w:rsidRPr="00873B6C">
              <w:rPr>
                <w:sz w:val="16"/>
                <w:szCs w:val="16"/>
              </w:rPr>
              <w:t>18.7.0</w:t>
            </w:r>
          </w:p>
        </w:tc>
      </w:tr>
      <w:tr w:rsidR="00DD4756" w:rsidRPr="00873B6C" w14:paraId="6523572C" w14:textId="77777777" w:rsidTr="009D14FB">
        <w:tc>
          <w:tcPr>
            <w:tcW w:w="800" w:type="dxa"/>
            <w:shd w:val="solid" w:color="FFFFFF" w:fill="auto"/>
          </w:tcPr>
          <w:p w14:paraId="405FA0F5" w14:textId="17D42015"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2FAEBE55" w14:textId="3FDF8B16"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5DC888DC" w14:textId="42658324" w:rsidR="00DD4756" w:rsidRPr="00873B6C" w:rsidRDefault="00DD4756" w:rsidP="00591B52">
            <w:pPr>
              <w:pStyle w:val="TAC"/>
              <w:rPr>
                <w:sz w:val="16"/>
                <w:szCs w:val="16"/>
              </w:rPr>
            </w:pPr>
            <w:r w:rsidRPr="00873B6C">
              <w:rPr>
                <w:sz w:val="16"/>
                <w:szCs w:val="16"/>
              </w:rPr>
              <w:t>SP-241251</w:t>
            </w:r>
          </w:p>
        </w:tc>
        <w:tc>
          <w:tcPr>
            <w:tcW w:w="567" w:type="dxa"/>
            <w:shd w:val="solid" w:color="FFFFFF" w:fill="auto"/>
          </w:tcPr>
          <w:p w14:paraId="713752C9" w14:textId="7DE7B370" w:rsidR="00DD4756" w:rsidRPr="00873B6C" w:rsidRDefault="00DD4756" w:rsidP="00591B52">
            <w:pPr>
              <w:pStyle w:val="TAL"/>
              <w:rPr>
                <w:sz w:val="16"/>
                <w:szCs w:val="16"/>
              </w:rPr>
            </w:pPr>
            <w:r w:rsidRPr="00873B6C">
              <w:rPr>
                <w:sz w:val="16"/>
                <w:szCs w:val="16"/>
              </w:rPr>
              <w:t>5479</w:t>
            </w:r>
          </w:p>
        </w:tc>
        <w:tc>
          <w:tcPr>
            <w:tcW w:w="425" w:type="dxa"/>
            <w:shd w:val="solid" w:color="FFFFFF" w:fill="auto"/>
          </w:tcPr>
          <w:p w14:paraId="726FD450" w14:textId="3CDBD7D5" w:rsidR="00DD4756" w:rsidRPr="00873B6C" w:rsidRDefault="00DD4756" w:rsidP="00591B52">
            <w:pPr>
              <w:pStyle w:val="TAL"/>
              <w:rPr>
                <w:sz w:val="16"/>
                <w:szCs w:val="16"/>
              </w:rPr>
            </w:pPr>
            <w:r w:rsidRPr="00873B6C">
              <w:rPr>
                <w:sz w:val="16"/>
                <w:szCs w:val="16"/>
              </w:rPr>
              <w:t>-</w:t>
            </w:r>
          </w:p>
        </w:tc>
        <w:tc>
          <w:tcPr>
            <w:tcW w:w="425" w:type="dxa"/>
            <w:shd w:val="solid" w:color="FFFFFF" w:fill="auto"/>
          </w:tcPr>
          <w:p w14:paraId="47310576" w14:textId="58F3E1DD"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3EAB5835" w14:textId="1F2CD32C" w:rsidR="00DD4756" w:rsidRPr="00873B6C" w:rsidRDefault="00DD4756" w:rsidP="00591B52">
            <w:pPr>
              <w:pStyle w:val="TAL"/>
              <w:rPr>
                <w:sz w:val="16"/>
                <w:szCs w:val="16"/>
              </w:rPr>
            </w:pPr>
            <w:r w:rsidRPr="00873B6C">
              <w:rPr>
                <w:sz w:val="16"/>
                <w:szCs w:val="16"/>
              </w:rPr>
              <w:t>Correction on mapping of the parameters between 5GS and TSN UNI</w:t>
            </w:r>
          </w:p>
        </w:tc>
        <w:tc>
          <w:tcPr>
            <w:tcW w:w="708" w:type="dxa"/>
            <w:shd w:val="solid" w:color="FFFFFF" w:fill="auto"/>
          </w:tcPr>
          <w:p w14:paraId="4E63C903" w14:textId="15AE0A71" w:rsidR="00DD4756" w:rsidRPr="00873B6C" w:rsidRDefault="00DD4756" w:rsidP="00591B52">
            <w:pPr>
              <w:pStyle w:val="TAC"/>
              <w:rPr>
                <w:sz w:val="16"/>
                <w:szCs w:val="16"/>
              </w:rPr>
            </w:pPr>
            <w:r w:rsidRPr="00873B6C">
              <w:rPr>
                <w:sz w:val="16"/>
                <w:szCs w:val="16"/>
              </w:rPr>
              <w:t>18.7.0</w:t>
            </w:r>
          </w:p>
        </w:tc>
      </w:tr>
      <w:tr w:rsidR="00F1595A" w:rsidRPr="00873B6C" w14:paraId="7B719FE7" w14:textId="77777777" w:rsidTr="009D14FB">
        <w:tc>
          <w:tcPr>
            <w:tcW w:w="800" w:type="dxa"/>
            <w:shd w:val="solid" w:color="FFFFFF" w:fill="auto"/>
          </w:tcPr>
          <w:p w14:paraId="6D3AE4F6" w14:textId="51106924"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076E9254" w14:textId="7D9E5D2C"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37F055CA" w14:textId="235095CE" w:rsidR="00F1595A" w:rsidRPr="00873B6C" w:rsidRDefault="00F1595A" w:rsidP="00591B52">
            <w:pPr>
              <w:pStyle w:val="TAC"/>
              <w:rPr>
                <w:sz w:val="16"/>
                <w:szCs w:val="16"/>
              </w:rPr>
            </w:pPr>
            <w:r w:rsidRPr="00873B6C">
              <w:rPr>
                <w:sz w:val="16"/>
                <w:szCs w:val="16"/>
              </w:rPr>
              <w:t>SP-241243</w:t>
            </w:r>
          </w:p>
        </w:tc>
        <w:tc>
          <w:tcPr>
            <w:tcW w:w="567" w:type="dxa"/>
            <w:shd w:val="solid" w:color="FFFFFF" w:fill="auto"/>
          </w:tcPr>
          <w:p w14:paraId="1A1805D8" w14:textId="3F694BAF" w:rsidR="00F1595A" w:rsidRPr="00873B6C" w:rsidRDefault="00F1595A" w:rsidP="00591B52">
            <w:pPr>
              <w:pStyle w:val="TAL"/>
              <w:rPr>
                <w:sz w:val="16"/>
                <w:szCs w:val="16"/>
              </w:rPr>
            </w:pPr>
            <w:r w:rsidRPr="00873B6C">
              <w:rPr>
                <w:sz w:val="16"/>
                <w:szCs w:val="16"/>
              </w:rPr>
              <w:t>5481</w:t>
            </w:r>
          </w:p>
        </w:tc>
        <w:tc>
          <w:tcPr>
            <w:tcW w:w="425" w:type="dxa"/>
            <w:shd w:val="solid" w:color="FFFFFF" w:fill="auto"/>
          </w:tcPr>
          <w:p w14:paraId="26A4F2AE" w14:textId="4589453A" w:rsidR="00F1595A" w:rsidRPr="00873B6C" w:rsidRDefault="00F1595A" w:rsidP="00591B52">
            <w:pPr>
              <w:pStyle w:val="TAL"/>
              <w:rPr>
                <w:sz w:val="16"/>
                <w:szCs w:val="16"/>
              </w:rPr>
            </w:pPr>
            <w:r w:rsidRPr="00873B6C">
              <w:rPr>
                <w:sz w:val="16"/>
                <w:szCs w:val="16"/>
              </w:rPr>
              <w:t>3</w:t>
            </w:r>
          </w:p>
        </w:tc>
        <w:tc>
          <w:tcPr>
            <w:tcW w:w="425" w:type="dxa"/>
            <w:shd w:val="solid" w:color="FFFFFF" w:fill="auto"/>
          </w:tcPr>
          <w:p w14:paraId="20FED46E" w14:textId="3E3194F1"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6B2843EB" w14:textId="0F2BB759" w:rsidR="00F1595A" w:rsidRPr="00873B6C" w:rsidRDefault="00F1595A" w:rsidP="00591B52">
            <w:pPr>
              <w:pStyle w:val="TAL"/>
              <w:rPr>
                <w:sz w:val="16"/>
                <w:szCs w:val="16"/>
              </w:rPr>
            </w:pPr>
            <w:r w:rsidRPr="00873B6C">
              <w:rPr>
                <w:sz w:val="16"/>
                <w:szCs w:val="16"/>
              </w:rPr>
              <w:t xml:space="preserve">Correction NWDAF discovery and selection </w:t>
            </w:r>
          </w:p>
        </w:tc>
        <w:tc>
          <w:tcPr>
            <w:tcW w:w="708" w:type="dxa"/>
            <w:shd w:val="solid" w:color="FFFFFF" w:fill="auto"/>
          </w:tcPr>
          <w:p w14:paraId="02C284E9" w14:textId="1B2583FC" w:rsidR="00F1595A" w:rsidRPr="00873B6C" w:rsidRDefault="00F1595A" w:rsidP="00591B52">
            <w:pPr>
              <w:pStyle w:val="TAC"/>
              <w:rPr>
                <w:sz w:val="16"/>
                <w:szCs w:val="16"/>
              </w:rPr>
            </w:pPr>
            <w:r w:rsidRPr="00873B6C">
              <w:rPr>
                <w:sz w:val="16"/>
                <w:szCs w:val="16"/>
              </w:rPr>
              <w:t>18.7.0</w:t>
            </w:r>
          </w:p>
        </w:tc>
      </w:tr>
      <w:tr w:rsidR="00F1595A" w:rsidRPr="00873B6C" w14:paraId="440E8985" w14:textId="77777777" w:rsidTr="009D14FB">
        <w:tc>
          <w:tcPr>
            <w:tcW w:w="800" w:type="dxa"/>
            <w:shd w:val="solid" w:color="FFFFFF" w:fill="auto"/>
          </w:tcPr>
          <w:p w14:paraId="57717CAC" w14:textId="7CBE9133"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37C8A62E" w14:textId="35D54238"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279C086E" w14:textId="3ED5BAE3" w:rsidR="00F1595A" w:rsidRPr="00873B6C" w:rsidRDefault="00F1595A" w:rsidP="00591B52">
            <w:pPr>
              <w:pStyle w:val="TAC"/>
              <w:rPr>
                <w:sz w:val="16"/>
                <w:szCs w:val="16"/>
              </w:rPr>
            </w:pPr>
            <w:r w:rsidRPr="00873B6C">
              <w:rPr>
                <w:sz w:val="16"/>
                <w:szCs w:val="16"/>
              </w:rPr>
              <w:t>SP-241253</w:t>
            </w:r>
          </w:p>
        </w:tc>
        <w:tc>
          <w:tcPr>
            <w:tcW w:w="567" w:type="dxa"/>
            <w:shd w:val="solid" w:color="FFFFFF" w:fill="auto"/>
          </w:tcPr>
          <w:p w14:paraId="27FC3602" w14:textId="515A3F60" w:rsidR="00F1595A" w:rsidRPr="00873B6C" w:rsidRDefault="00F1595A" w:rsidP="00591B52">
            <w:pPr>
              <w:pStyle w:val="TAL"/>
              <w:rPr>
                <w:sz w:val="16"/>
                <w:szCs w:val="16"/>
              </w:rPr>
            </w:pPr>
            <w:r w:rsidRPr="00873B6C">
              <w:rPr>
                <w:sz w:val="16"/>
                <w:szCs w:val="16"/>
              </w:rPr>
              <w:t>5486</w:t>
            </w:r>
          </w:p>
        </w:tc>
        <w:tc>
          <w:tcPr>
            <w:tcW w:w="425" w:type="dxa"/>
            <w:shd w:val="solid" w:color="FFFFFF" w:fill="auto"/>
          </w:tcPr>
          <w:p w14:paraId="11B0C099" w14:textId="0E3E2856" w:rsidR="00F1595A" w:rsidRPr="00873B6C" w:rsidRDefault="00F1595A" w:rsidP="00591B52">
            <w:pPr>
              <w:pStyle w:val="TAL"/>
              <w:rPr>
                <w:sz w:val="16"/>
                <w:szCs w:val="16"/>
              </w:rPr>
            </w:pPr>
            <w:r w:rsidRPr="00873B6C">
              <w:rPr>
                <w:sz w:val="16"/>
                <w:szCs w:val="16"/>
              </w:rPr>
              <w:t>1</w:t>
            </w:r>
          </w:p>
        </w:tc>
        <w:tc>
          <w:tcPr>
            <w:tcW w:w="425" w:type="dxa"/>
            <w:shd w:val="solid" w:color="FFFFFF" w:fill="auto"/>
          </w:tcPr>
          <w:p w14:paraId="44D96734" w14:textId="019E1249"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63590384" w14:textId="28301FFC" w:rsidR="00F1595A" w:rsidRPr="00873B6C" w:rsidRDefault="00F1595A" w:rsidP="00591B52">
            <w:pPr>
              <w:pStyle w:val="TAL"/>
              <w:rPr>
                <w:sz w:val="16"/>
                <w:szCs w:val="16"/>
              </w:rPr>
            </w:pPr>
            <w:r w:rsidRPr="00873B6C">
              <w:rPr>
                <w:sz w:val="16"/>
                <w:szCs w:val="16"/>
              </w:rPr>
              <w:t>Correction of the reference clause and duplicate description</w:t>
            </w:r>
          </w:p>
        </w:tc>
        <w:tc>
          <w:tcPr>
            <w:tcW w:w="708" w:type="dxa"/>
            <w:shd w:val="solid" w:color="FFFFFF" w:fill="auto"/>
          </w:tcPr>
          <w:p w14:paraId="68E8BFAF" w14:textId="5947D97E" w:rsidR="00F1595A" w:rsidRPr="00873B6C" w:rsidRDefault="00F1595A" w:rsidP="00591B52">
            <w:pPr>
              <w:pStyle w:val="TAC"/>
              <w:rPr>
                <w:sz w:val="16"/>
                <w:szCs w:val="16"/>
              </w:rPr>
            </w:pPr>
            <w:r w:rsidRPr="00873B6C">
              <w:rPr>
                <w:sz w:val="16"/>
                <w:szCs w:val="16"/>
              </w:rPr>
              <w:t>18.7.0</w:t>
            </w:r>
          </w:p>
        </w:tc>
      </w:tr>
      <w:tr w:rsidR="00F1595A" w:rsidRPr="00873B6C" w14:paraId="5788F15F" w14:textId="77777777" w:rsidTr="009D14FB">
        <w:tc>
          <w:tcPr>
            <w:tcW w:w="800" w:type="dxa"/>
            <w:shd w:val="solid" w:color="FFFFFF" w:fill="auto"/>
          </w:tcPr>
          <w:p w14:paraId="43EF062C" w14:textId="3BA0BA21"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43CC90C3" w14:textId="20115E0E"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19DA6D52" w14:textId="638DE8E9" w:rsidR="00F1595A" w:rsidRPr="00873B6C" w:rsidRDefault="00F1595A" w:rsidP="00591B52">
            <w:pPr>
              <w:pStyle w:val="TAC"/>
              <w:rPr>
                <w:sz w:val="16"/>
                <w:szCs w:val="16"/>
              </w:rPr>
            </w:pPr>
            <w:r w:rsidRPr="00873B6C">
              <w:rPr>
                <w:sz w:val="16"/>
                <w:szCs w:val="16"/>
              </w:rPr>
              <w:t>SP-241247</w:t>
            </w:r>
          </w:p>
        </w:tc>
        <w:tc>
          <w:tcPr>
            <w:tcW w:w="567" w:type="dxa"/>
            <w:shd w:val="solid" w:color="FFFFFF" w:fill="auto"/>
          </w:tcPr>
          <w:p w14:paraId="6BA0AC84" w14:textId="5551FF4C" w:rsidR="00F1595A" w:rsidRPr="00873B6C" w:rsidRDefault="00F1595A" w:rsidP="00591B52">
            <w:pPr>
              <w:pStyle w:val="TAL"/>
              <w:rPr>
                <w:sz w:val="16"/>
                <w:szCs w:val="16"/>
              </w:rPr>
            </w:pPr>
            <w:r w:rsidRPr="00873B6C">
              <w:rPr>
                <w:sz w:val="16"/>
                <w:szCs w:val="16"/>
              </w:rPr>
              <w:t>5494</w:t>
            </w:r>
          </w:p>
        </w:tc>
        <w:tc>
          <w:tcPr>
            <w:tcW w:w="425" w:type="dxa"/>
            <w:shd w:val="solid" w:color="FFFFFF" w:fill="auto"/>
          </w:tcPr>
          <w:p w14:paraId="0E0739F8" w14:textId="45BBFA00" w:rsidR="00F1595A" w:rsidRPr="00873B6C" w:rsidRDefault="00F1595A" w:rsidP="00591B52">
            <w:pPr>
              <w:pStyle w:val="TAL"/>
              <w:rPr>
                <w:sz w:val="16"/>
                <w:szCs w:val="16"/>
              </w:rPr>
            </w:pPr>
            <w:r w:rsidRPr="00873B6C">
              <w:rPr>
                <w:sz w:val="16"/>
                <w:szCs w:val="16"/>
              </w:rPr>
              <w:t>2</w:t>
            </w:r>
          </w:p>
        </w:tc>
        <w:tc>
          <w:tcPr>
            <w:tcW w:w="425" w:type="dxa"/>
            <w:shd w:val="solid" w:color="FFFFFF" w:fill="auto"/>
          </w:tcPr>
          <w:p w14:paraId="464795DE" w14:textId="5772A159"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434D3705" w14:textId="63A4BAE2" w:rsidR="00F1595A" w:rsidRPr="00873B6C" w:rsidRDefault="00F1595A" w:rsidP="00591B52">
            <w:pPr>
              <w:pStyle w:val="TAL"/>
              <w:rPr>
                <w:sz w:val="16"/>
                <w:szCs w:val="16"/>
              </w:rPr>
            </w:pPr>
            <w:r w:rsidRPr="00873B6C">
              <w:rPr>
                <w:sz w:val="16"/>
                <w:szCs w:val="16"/>
              </w:rPr>
              <w:t>Access restrictions for satellite access in the context of 5GC-EPC interworking</w:t>
            </w:r>
          </w:p>
        </w:tc>
        <w:tc>
          <w:tcPr>
            <w:tcW w:w="708" w:type="dxa"/>
            <w:shd w:val="solid" w:color="FFFFFF" w:fill="auto"/>
          </w:tcPr>
          <w:p w14:paraId="04449EB3" w14:textId="41A24AFD" w:rsidR="00F1595A" w:rsidRPr="00873B6C" w:rsidRDefault="00F1595A" w:rsidP="00591B52">
            <w:pPr>
              <w:pStyle w:val="TAC"/>
              <w:rPr>
                <w:sz w:val="16"/>
                <w:szCs w:val="16"/>
              </w:rPr>
            </w:pPr>
            <w:r w:rsidRPr="00873B6C">
              <w:rPr>
                <w:sz w:val="16"/>
                <w:szCs w:val="16"/>
              </w:rPr>
              <w:t>18.7.0</w:t>
            </w:r>
          </w:p>
        </w:tc>
      </w:tr>
      <w:tr w:rsidR="00F1595A" w:rsidRPr="00873B6C" w14:paraId="10F61574" w14:textId="77777777" w:rsidTr="009D14FB">
        <w:tc>
          <w:tcPr>
            <w:tcW w:w="800" w:type="dxa"/>
            <w:shd w:val="solid" w:color="FFFFFF" w:fill="auto"/>
          </w:tcPr>
          <w:p w14:paraId="4A08C1A9" w14:textId="4BA1CD18"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4CFA4477" w14:textId="1945F646"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38215B6D" w14:textId="61E66970" w:rsidR="00F1595A" w:rsidRPr="00873B6C" w:rsidRDefault="00F1595A" w:rsidP="00591B52">
            <w:pPr>
              <w:pStyle w:val="TAC"/>
              <w:rPr>
                <w:sz w:val="16"/>
                <w:szCs w:val="16"/>
              </w:rPr>
            </w:pPr>
            <w:r w:rsidRPr="00873B6C">
              <w:rPr>
                <w:sz w:val="16"/>
                <w:szCs w:val="16"/>
              </w:rPr>
              <w:t>SP-241253</w:t>
            </w:r>
          </w:p>
        </w:tc>
        <w:tc>
          <w:tcPr>
            <w:tcW w:w="567" w:type="dxa"/>
            <w:shd w:val="solid" w:color="FFFFFF" w:fill="auto"/>
          </w:tcPr>
          <w:p w14:paraId="72BD4866" w14:textId="2C05AC21" w:rsidR="00F1595A" w:rsidRPr="00873B6C" w:rsidRDefault="00F1595A" w:rsidP="00591B52">
            <w:pPr>
              <w:pStyle w:val="TAL"/>
              <w:rPr>
                <w:sz w:val="16"/>
                <w:szCs w:val="16"/>
              </w:rPr>
            </w:pPr>
            <w:r w:rsidRPr="00873B6C">
              <w:rPr>
                <w:sz w:val="16"/>
                <w:szCs w:val="16"/>
              </w:rPr>
              <w:t>5509</w:t>
            </w:r>
          </w:p>
        </w:tc>
        <w:tc>
          <w:tcPr>
            <w:tcW w:w="425" w:type="dxa"/>
            <w:shd w:val="solid" w:color="FFFFFF" w:fill="auto"/>
          </w:tcPr>
          <w:p w14:paraId="628F6F28" w14:textId="2CA821EA" w:rsidR="00F1595A" w:rsidRPr="00873B6C" w:rsidRDefault="00F1595A" w:rsidP="00591B52">
            <w:pPr>
              <w:pStyle w:val="TAL"/>
              <w:rPr>
                <w:sz w:val="16"/>
                <w:szCs w:val="16"/>
              </w:rPr>
            </w:pPr>
            <w:r w:rsidRPr="00873B6C">
              <w:rPr>
                <w:sz w:val="16"/>
                <w:szCs w:val="16"/>
              </w:rPr>
              <w:t>-</w:t>
            </w:r>
          </w:p>
        </w:tc>
        <w:tc>
          <w:tcPr>
            <w:tcW w:w="425" w:type="dxa"/>
            <w:shd w:val="solid" w:color="FFFFFF" w:fill="auto"/>
          </w:tcPr>
          <w:p w14:paraId="33A84658" w14:textId="27105A64"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599F7EA0" w14:textId="39687549" w:rsidR="00F1595A" w:rsidRPr="00873B6C" w:rsidRDefault="00F1595A" w:rsidP="00591B52">
            <w:pPr>
              <w:pStyle w:val="TAL"/>
              <w:rPr>
                <w:sz w:val="16"/>
                <w:szCs w:val="16"/>
              </w:rPr>
            </w:pPr>
            <w:r w:rsidRPr="00873B6C">
              <w:rPr>
                <w:sz w:val="16"/>
                <w:szCs w:val="16"/>
              </w:rPr>
              <w:t>Clarification on CAG related UE access restriction</w:t>
            </w:r>
          </w:p>
        </w:tc>
        <w:tc>
          <w:tcPr>
            <w:tcW w:w="708" w:type="dxa"/>
            <w:shd w:val="solid" w:color="FFFFFF" w:fill="auto"/>
          </w:tcPr>
          <w:p w14:paraId="56C9A61A" w14:textId="77684BE1" w:rsidR="00F1595A" w:rsidRPr="00873B6C" w:rsidRDefault="00F1595A" w:rsidP="00591B52">
            <w:pPr>
              <w:pStyle w:val="TAC"/>
              <w:rPr>
                <w:sz w:val="16"/>
                <w:szCs w:val="16"/>
              </w:rPr>
            </w:pPr>
            <w:r w:rsidRPr="00873B6C">
              <w:rPr>
                <w:sz w:val="16"/>
                <w:szCs w:val="16"/>
              </w:rPr>
              <w:t>18.7.0</w:t>
            </w:r>
          </w:p>
        </w:tc>
      </w:tr>
      <w:tr w:rsidR="00F1595A" w:rsidRPr="00873B6C" w14:paraId="5BAF662F" w14:textId="77777777" w:rsidTr="009D14FB">
        <w:tc>
          <w:tcPr>
            <w:tcW w:w="800" w:type="dxa"/>
            <w:shd w:val="solid" w:color="FFFFFF" w:fill="auto"/>
          </w:tcPr>
          <w:p w14:paraId="488FA7CC" w14:textId="72F006D7"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4A251719" w14:textId="7D436A47"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0BF3F9B2" w14:textId="2ECAD33B" w:rsidR="00F1595A" w:rsidRPr="00873B6C" w:rsidRDefault="00F1595A" w:rsidP="00591B52">
            <w:pPr>
              <w:pStyle w:val="TAC"/>
              <w:rPr>
                <w:sz w:val="16"/>
                <w:szCs w:val="16"/>
              </w:rPr>
            </w:pPr>
            <w:r w:rsidRPr="00873B6C">
              <w:rPr>
                <w:sz w:val="16"/>
                <w:szCs w:val="16"/>
              </w:rPr>
              <w:t>SP-241254</w:t>
            </w:r>
          </w:p>
        </w:tc>
        <w:tc>
          <w:tcPr>
            <w:tcW w:w="567" w:type="dxa"/>
            <w:shd w:val="solid" w:color="FFFFFF" w:fill="auto"/>
          </w:tcPr>
          <w:p w14:paraId="29BECC73" w14:textId="1E510F85" w:rsidR="00F1595A" w:rsidRPr="00873B6C" w:rsidRDefault="00F1595A" w:rsidP="00591B52">
            <w:pPr>
              <w:pStyle w:val="TAL"/>
              <w:rPr>
                <w:sz w:val="16"/>
                <w:szCs w:val="16"/>
              </w:rPr>
            </w:pPr>
            <w:r w:rsidRPr="00873B6C">
              <w:rPr>
                <w:sz w:val="16"/>
                <w:szCs w:val="16"/>
              </w:rPr>
              <w:t>5511</w:t>
            </w:r>
          </w:p>
        </w:tc>
        <w:tc>
          <w:tcPr>
            <w:tcW w:w="425" w:type="dxa"/>
            <w:shd w:val="solid" w:color="FFFFFF" w:fill="auto"/>
          </w:tcPr>
          <w:p w14:paraId="17B626C1" w14:textId="26CD202F" w:rsidR="00F1595A" w:rsidRPr="00873B6C" w:rsidRDefault="00F1595A" w:rsidP="00591B52">
            <w:pPr>
              <w:pStyle w:val="TAL"/>
              <w:rPr>
                <w:sz w:val="16"/>
                <w:szCs w:val="16"/>
              </w:rPr>
            </w:pPr>
            <w:r w:rsidRPr="00873B6C">
              <w:rPr>
                <w:sz w:val="16"/>
                <w:szCs w:val="16"/>
              </w:rPr>
              <w:t xml:space="preserve">- </w:t>
            </w:r>
          </w:p>
        </w:tc>
        <w:tc>
          <w:tcPr>
            <w:tcW w:w="425" w:type="dxa"/>
            <w:shd w:val="solid" w:color="FFFFFF" w:fill="auto"/>
          </w:tcPr>
          <w:p w14:paraId="41F97ED3" w14:textId="26586DC3"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1B832DC9" w14:textId="29779EA5" w:rsidR="00F1595A" w:rsidRPr="00873B6C" w:rsidRDefault="00F1595A" w:rsidP="00591B52">
            <w:pPr>
              <w:pStyle w:val="TAL"/>
              <w:rPr>
                <w:sz w:val="16"/>
                <w:szCs w:val="16"/>
              </w:rPr>
            </w:pPr>
            <w:r w:rsidRPr="00873B6C">
              <w:rPr>
                <w:sz w:val="16"/>
                <w:szCs w:val="16"/>
              </w:rPr>
              <w:t>Clarification on End of Data Burst Indication</w:t>
            </w:r>
          </w:p>
        </w:tc>
        <w:tc>
          <w:tcPr>
            <w:tcW w:w="708" w:type="dxa"/>
            <w:shd w:val="solid" w:color="FFFFFF" w:fill="auto"/>
          </w:tcPr>
          <w:p w14:paraId="1280364A" w14:textId="6D0DDA62" w:rsidR="00F1595A" w:rsidRPr="00873B6C" w:rsidRDefault="00F1595A" w:rsidP="00591B52">
            <w:pPr>
              <w:pStyle w:val="TAC"/>
              <w:rPr>
                <w:sz w:val="16"/>
                <w:szCs w:val="16"/>
              </w:rPr>
            </w:pPr>
            <w:r w:rsidRPr="00873B6C">
              <w:rPr>
                <w:sz w:val="16"/>
                <w:szCs w:val="16"/>
              </w:rPr>
              <w:t>18.7.0</w:t>
            </w:r>
          </w:p>
        </w:tc>
      </w:tr>
      <w:tr w:rsidR="00F1595A" w:rsidRPr="00873B6C" w14:paraId="220959D0" w14:textId="77777777" w:rsidTr="009D14FB">
        <w:tc>
          <w:tcPr>
            <w:tcW w:w="800" w:type="dxa"/>
            <w:shd w:val="solid" w:color="FFFFFF" w:fill="auto"/>
          </w:tcPr>
          <w:p w14:paraId="11D85A1B" w14:textId="5BC74E90"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340565D2" w14:textId="081DC787"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4E2002FA" w14:textId="79048468" w:rsidR="00F1595A" w:rsidRPr="00873B6C" w:rsidRDefault="00F1595A" w:rsidP="00591B52">
            <w:pPr>
              <w:pStyle w:val="TAC"/>
              <w:rPr>
                <w:sz w:val="16"/>
                <w:szCs w:val="16"/>
              </w:rPr>
            </w:pPr>
            <w:r w:rsidRPr="00873B6C">
              <w:rPr>
                <w:sz w:val="16"/>
                <w:szCs w:val="16"/>
              </w:rPr>
              <w:t>SP-241258</w:t>
            </w:r>
          </w:p>
        </w:tc>
        <w:tc>
          <w:tcPr>
            <w:tcW w:w="567" w:type="dxa"/>
            <w:shd w:val="solid" w:color="FFFFFF" w:fill="auto"/>
          </w:tcPr>
          <w:p w14:paraId="3D1F1AEB" w14:textId="797C3804" w:rsidR="00F1595A" w:rsidRPr="00873B6C" w:rsidRDefault="00F1595A" w:rsidP="00591B52">
            <w:pPr>
              <w:pStyle w:val="TAL"/>
              <w:rPr>
                <w:sz w:val="16"/>
                <w:szCs w:val="16"/>
              </w:rPr>
            </w:pPr>
            <w:r w:rsidRPr="00873B6C">
              <w:rPr>
                <w:sz w:val="16"/>
                <w:szCs w:val="16"/>
              </w:rPr>
              <w:t>5535</w:t>
            </w:r>
          </w:p>
        </w:tc>
        <w:tc>
          <w:tcPr>
            <w:tcW w:w="425" w:type="dxa"/>
            <w:shd w:val="solid" w:color="FFFFFF" w:fill="auto"/>
          </w:tcPr>
          <w:p w14:paraId="6D588B00" w14:textId="2D7DF794" w:rsidR="00F1595A" w:rsidRPr="00873B6C" w:rsidRDefault="00F1595A" w:rsidP="00591B52">
            <w:pPr>
              <w:pStyle w:val="TAL"/>
              <w:rPr>
                <w:sz w:val="16"/>
                <w:szCs w:val="16"/>
              </w:rPr>
            </w:pPr>
            <w:r w:rsidRPr="00873B6C">
              <w:rPr>
                <w:sz w:val="16"/>
                <w:szCs w:val="16"/>
              </w:rPr>
              <w:t>-</w:t>
            </w:r>
          </w:p>
        </w:tc>
        <w:tc>
          <w:tcPr>
            <w:tcW w:w="425" w:type="dxa"/>
            <w:shd w:val="solid" w:color="FFFFFF" w:fill="auto"/>
          </w:tcPr>
          <w:p w14:paraId="78D972D6" w14:textId="548FA1A3"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4917750D" w14:textId="2538BEE3" w:rsidR="00F1595A" w:rsidRPr="00873B6C" w:rsidRDefault="00F1595A" w:rsidP="00591B52">
            <w:pPr>
              <w:pStyle w:val="TAL"/>
              <w:rPr>
                <w:sz w:val="16"/>
                <w:szCs w:val="16"/>
              </w:rPr>
            </w:pPr>
            <w:r w:rsidRPr="00873B6C">
              <w:rPr>
                <w:sz w:val="16"/>
                <w:szCs w:val="16"/>
              </w:rPr>
              <w:t>Correction on N3IWF selection</w:t>
            </w:r>
          </w:p>
        </w:tc>
        <w:tc>
          <w:tcPr>
            <w:tcW w:w="708" w:type="dxa"/>
            <w:shd w:val="solid" w:color="FFFFFF" w:fill="auto"/>
          </w:tcPr>
          <w:p w14:paraId="23F25090" w14:textId="0CFFC7AF" w:rsidR="00F1595A" w:rsidRPr="00873B6C" w:rsidRDefault="00F1595A" w:rsidP="00591B52">
            <w:pPr>
              <w:pStyle w:val="TAC"/>
              <w:rPr>
                <w:sz w:val="16"/>
                <w:szCs w:val="16"/>
              </w:rPr>
            </w:pPr>
            <w:r w:rsidRPr="00873B6C">
              <w:rPr>
                <w:sz w:val="16"/>
                <w:szCs w:val="16"/>
              </w:rPr>
              <w:t>18.7.0</w:t>
            </w:r>
          </w:p>
        </w:tc>
      </w:tr>
      <w:tr w:rsidR="00F1595A" w:rsidRPr="00873B6C" w14:paraId="6EED8AD5" w14:textId="77777777" w:rsidTr="009D14FB">
        <w:tc>
          <w:tcPr>
            <w:tcW w:w="800" w:type="dxa"/>
            <w:shd w:val="solid" w:color="FFFFFF" w:fill="auto"/>
          </w:tcPr>
          <w:p w14:paraId="0AD8D152" w14:textId="29F3F681"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3AE2F428" w14:textId="0F4486B6"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2FBD734E" w14:textId="6BF2B5D4" w:rsidR="00F1595A" w:rsidRPr="00873B6C" w:rsidRDefault="00F1595A" w:rsidP="00591B52">
            <w:pPr>
              <w:pStyle w:val="TAC"/>
              <w:rPr>
                <w:sz w:val="16"/>
                <w:szCs w:val="16"/>
              </w:rPr>
            </w:pPr>
            <w:r w:rsidRPr="00873B6C">
              <w:rPr>
                <w:sz w:val="16"/>
                <w:szCs w:val="16"/>
              </w:rPr>
              <w:t>SP-241241</w:t>
            </w:r>
          </w:p>
        </w:tc>
        <w:tc>
          <w:tcPr>
            <w:tcW w:w="567" w:type="dxa"/>
            <w:shd w:val="solid" w:color="FFFFFF" w:fill="auto"/>
          </w:tcPr>
          <w:p w14:paraId="11FD49D6" w14:textId="52F0B168" w:rsidR="00F1595A" w:rsidRPr="00873B6C" w:rsidRDefault="00F1595A" w:rsidP="00591B52">
            <w:pPr>
              <w:pStyle w:val="TAL"/>
              <w:rPr>
                <w:sz w:val="16"/>
                <w:szCs w:val="16"/>
              </w:rPr>
            </w:pPr>
            <w:r w:rsidRPr="00873B6C">
              <w:rPr>
                <w:sz w:val="16"/>
                <w:szCs w:val="16"/>
              </w:rPr>
              <w:t>5558</w:t>
            </w:r>
          </w:p>
        </w:tc>
        <w:tc>
          <w:tcPr>
            <w:tcW w:w="425" w:type="dxa"/>
            <w:shd w:val="solid" w:color="FFFFFF" w:fill="auto"/>
          </w:tcPr>
          <w:p w14:paraId="3D0649B2" w14:textId="76D2D2F2" w:rsidR="00F1595A" w:rsidRPr="00873B6C" w:rsidRDefault="00F1595A" w:rsidP="00591B52">
            <w:pPr>
              <w:pStyle w:val="TAL"/>
              <w:rPr>
                <w:sz w:val="16"/>
                <w:szCs w:val="16"/>
              </w:rPr>
            </w:pPr>
            <w:r w:rsidRPr="00873B6C">
              <w:rPr>
                <w:sz w:val="16"/>
                <w:szCs w:val="16"/>
              </w:rPr>
              <w:t>1</w:t>
            </w:r>
          </w:p>
        </w:tc>
        <w:tc>
          <w:tcPr>
            <w:tcW w:w="425" w:type="dxa"/>
            <w:shd w:val="solid" w:color="FFFFFF" w:fill="auto"/>
          </w:tcPr>
          <w:p w14:paraId="3545F8EC" w14:textId="10F38AE6" w:rsidR="00F1595A" w:rsidRPr="00873B6C" w:rsidRDefault="00F1595A" w:rsidP="00591B52">
            <w:pPr>
              <w:pStyle w:val="TAL"/>
              <w:rPr>
                <w:sz w:val="16"/>
                <w:szCs w:val="16"/>
              </w:rPr>
            </w:pPr>
            <w:r w:rsidRPr="00873B6C">
              <w:rPr>
                <w:sz w:val="16"/>
                <w:szCs w:val="16"/>
              </w:rPr>
              <w:t>A</w:t>
            </w:r>
          </w:p>
        </w:tc>
        <w:tc>
          <w:tcPr>
            <w:tcW w:w="4820" w:type="dxa"/>
            <w:shd w:val="solid" w:color="FFFFFF" w:fill="auto"/>
          </w:tcPr>
          <w:p w14:paraId="586B459B" w14:textId="6A244C21" w:rsidR="00F1595A" w:rsidRPr="00873B6C" w:rsidRDefault="00F1595A" w:rsidP="00591B52">
            <w:pPr>
              <w:pStyle w:val="TAL"/>
              <w:rPr>
                <w:sz w:val="16"/>
                <w:szCs w:val="16"/>
              </w:rPr>
            </w:pPr>
            <w:r w:rsidRPr="00873B6C">
              <w:rPr>
                <w:sz w:val="16"/>
                <w:szCs w:val="16"/>
              </w:rPr>
              <w:t>Network Slicing handling for EHPLMN case</w:t>
            </w:r>
          </w:p>
        </w:tc>
        <w:tc>
          <w:tcPr>
            <w:tcW w:w="708" w:type="dxa"/>
            <w:shd w:val="solid" w:color="FFFFFF" w:fill="auto"/>
          </w:tcPr>
          <w:p w14:paraId="265A3D47" w14:textId="0D897F22" w:rsidR="00F1595A" w:rsidRPr="00873B6C" w:rsidRDefault="00F1595A" w:rsidP="00591B52">
            <w:pPr>
              <w:pStyle w:val="TAC"/>
              <w:rPr>
                <w:sz w:val="16"/>
                <w:szCs w:val="16"/>
              </w:rPr>
            </w:pPr>
            <w:r w:rsidRPr="00873B6C">
              <w:rPr>
                <w:sz w:val="16"/>
                <w:szCs w:val="16"/>
              </w:rPr>
              <w:t>18.7.0</w:t>
            </w:r>
          </w:p>
        </w:tc>
      </w:tr>
      <w:tr w:rsidR="00F1595A" w:rsidRPr="00873B6C" w14:paraId="06572A8F" w14:textId="77777777" w:rsidTr="009D14FB">
        <w:tc>
          <w:tcPr>
            <w:tcW w:w="800" w:type="dxa"/>
            <w:shd w:val="solid" w:color="FFFFFF" w:fill="auto"/>
          </w:tcPr>
          <w:p w14:paraId="70811B03" w14:textId="59086080"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23F63794" w14:textId="316B0350"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37BEFB6A" w14:textId="60644139" w:rsidR="00F1595A" w:rsidRPr="00873B6C" w:rsidRDefault="00F1595A" w:rsidP="00591B52">
            <w:pPr>
              <w:pStyle w:val="TAC"/>
              <w:rPr>
                <w:sz w:val="16"/>
                <w:szCs w:val="16"/>
              </w:rPr>
            </w:pPr>
            <w:r w:rsidRPr="00873B6C">
              <w:rPr>
                <w:sz w:val="16"/>
                <w:szCs w:val="16"/>
              </w:rPr>
              <w:t>SP-241261</w:t>
            </w:r>
          </w:p>
        </w:tc>
        <w:tc>
          <w:tcPr>
            <w:tcW w:w="567" w:type="dxa"/>
            <w:shd w:val="solid" w:color="FFFFFF" w:fill="auto"/>
          </w:tcPr>
          <w:p w14:paraId="34BFD266" w14:textId="716AF4B8" w:rsidR="00F1595A" w:rsidRPr="00873B6C" w:rsidRDefault="00F1595A" w:rsidP="00591B52">
            <w:pPr>
              <w:pStyle w:val="TAL"/>
              <w:rPr>
                <w:sz w:val="16"/>
                <w:szCs w:val="16"/>
              </w:rPr>
            </w:pPr>
            <w:r w:rsidRPr="00873B6C">
              <w:rPr>
                <w:sz w:val="16"/>
                <w:szCs w:val="16"/>
              </w:rPr>
              <w:t>5566</w:t>
            </w:r>
          </w:p>
        </w:tc>
        <w:tc>
          <w:tcPr>
            <w:tcW w:w="425" w:type="dxa"/>
            <w:shd w:val="solid" w:color="FFFFFF" w:fill="auto"/>
          </w:tcPr>
          <w:p w14:paraId="3DF75212" w14:textId="2F3B1CD3" w:rsidR="00F1595A" w:rsidRPr="00873B6C" w:rsidRDefault="00F1595A" w:rsidP="00591B52">
            <w:pPr>
              <w:pStyle w:val="TAL"/>
              <w:rPr>
                <w:sz w:val="16"/>
                <w:szCs w:val="16"/>
              </w:rPr>
            </w:pPr>
            <w:r w:rsidRPr="00873B6C">
              <w:rPr>
                <w:sz w:val="16"/>
                <w:szCs w:val="16"/>
              </w:rPr>
              <w:t>-</w:t>
            </w:r>
          </w:p>
        </w:tc>
        <w:tc>
          <w:tcPr>
            <w:tcW w:w="425" w:type="dxa"/>
            <w:shd w:val="solid" w:color="FFFFFF" w:fill="auto"/>
          </w:tcPr>
          <w:p w14:paraId="54144D29" w14:textId="09CD8660"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29E108D2" w14:textId="2CA8BB70" w:rsidR="00F1595A" w:rsidRPr="00873B6C" w:rsidRDefault="00F1595A" w:rsidP="00591B52">
            <w:pPr>
              <w:pStyle w:val="TAL"/>
              <w:rPr>
                <w:sz w:val="16"/>
                <w:szCs w:val="16"/>
              </w:rPr>
            </w:pPr>
            <w:r w:rsidRPr="00873B6C">
              <w:rPr>
                <w:sz w:val="16"/>
                <w:szCs w:val="16"/>
              </w:rPr>
              <w:t>Correction of PCF related terminology</w:t>
            </w:r>
          </w:p>
        </w:tc>
        <w:tc>
          <w:tcPr>
            <w:tcW w:w="708" w:type="dxa"/>
            <w:shd w:val="solid" w:color="FFFFFF" w:fill="auto"/>
          </w:tcPr>
          <w:p w14:paraId="391C1B7C" w14:textId="602B71C1" w:rsidR="00F1595A" w:rsidRPr="00873B6C" w:rsidRDefault="00F1595A" w:rsidP="00591B52">
            <w:pPr>
              <w:pStyle w:val="TAC"/>
              <w:rPr>
                <w:sz w:val="16"/>
                <w:szCs w:val="16"/>
              </w:rPr>
            </w:pPr>
            <w:r w:rsidRPr="00873B6C">
              <w:rPr>
                <w:sz w:val="16"/>
                <w:szCs w:val="16"/>
              </w:rPr>
              <w:t>18.7.0</w:t>
            </w:r>
          </w:p>
        </w:tc>
      </w:tr>
      <w:tr w:rsidR="00F04A40" w:rsidRPr="00873B6C" w14:paraId="2C899EBA" w14:textId="77777777" w:rsidTr="009D14FB">
        <w:tc>
          <w:tcPr>
            <w:tcW w:w="800" w:type="dxa"/>
            <w:shd w:val="solid" w:color="FFFFFF" w:fill="auto"/>
          </w:tcPr>
          <w:p w14:paraId="296C6CEF" w14:textId="369B05C9"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3F9BC52C" w14:textId="7439BD0B"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55E7F33D" w14:textId="70C3C0F5" w:rsidR="00F04A40" w:rsidRPr="00873B6C" w:rsidRDefault="00F04A40" w:rsidP="00591B52">
            <w:pPr>
              <w:pStyle w:val="TAC"/>
              <w:rPr>
                <w:sz w:val="16"/>
                <w:szCs w:val="16"/>
              </w:rPr>
            </w:pPr>
            <w:r w:rsidRPr="00873B6C">
              <w:rPr>
                <w:sz w:val="16"/>
                <w:szCs w:val="16"/>
              </w:rPr>
              <w:t>SP-241256</w:t>
            </w:r>
          </w:p>
        </w:tc>
        <w:tc>
          <w:tcPr>
            <w:tcW w:w="567" w:type="dxa"/>
            <w:shd w:val="solid" w:color="FFFFFF" w:fill="auto"/>
          </w:tcPr>
          <w:p w14:paraId="3E6B4539" w14:textId="661644B5" w:rsidR="00F04A40" w:rsidRPr="00873B6C" w:rsidRDefault="00F04A40" w:rsidP="00591B52">
            <w:pPr>
              <w:pStyle w:val="TAL"/>
              <w:rPr>
                <w:sz w:val="16"/>
                <w:szCs w:val="16"/>
              </w:rPr>
            </w:pPr>
            <w:r w:rsidRPr="00873B6C">
              <w:rPr>
                <w:sz w:val="16"/>
                <w:szCs w:val="16"/>
              </w:rPr>
              <w:t>5569</w:t>
            </w:r>
          </w:p>
        </w:tc>
        <w:tc>
          <w:tcPr>
            <w:tcW w:w="425" w:type="dxa"/>
            <w:shd w:val="solid" w:color="FFFFFF" w:fill="auto"/>
          </w:tcPr>
          <w:p w14:paraId="344B8249" w14:textId="7F56BB60" w:rsidR="00F04A40" w:rsidRPr="00873B6C" w:rsidRDefault="00F04A40" w:rsidP="00591B52">
            <w:pPr>
              <w:pStyle w:val="TAL"/>
              <w:rPr>
                <w:sz w:val="16"/>
                <w:szCs w:val="16"/>
              </w:rPr>
            </w:pPr>
            <w:r w:rsidRPr="00873B6C">
              <w:rPr>
                <w:sz w:val="16"/>
                <w:szCs w:val="16"/>
              </w:rPr>
              <w:t>2</w:t>
            </w:r>
          </w:p>
        </w:tc>
        <w:tc>
          <w:tcPr>
            <w:tcW w:w="425" w:type="dxa"/>
            <w:shd w:val="solid" w:color="FFFFFF" w:fill="auto"/>
          </w:tcPr>
          <w:p w14:paraId="4FD1F78C" w14:textId="3D5F5A18"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45128535" w14:textId="0E102D41" w:rsidR="00F04A40" w:rsidRPr="00873B6C" w:rsidRDefault="00F04A40" w:rsidP="00591B52">
            <w:pPr>
              <w:pStyle w:val="TAL"/>
              <w:rPr>
                <w:sz w:val="16"/>
                <w:szCs w:val="16"/>
              </w:rPr>
            </w:pPr>
            <w:r w:rsidRPr="00873B6C">
              <w:rPr>
                <w:sz w:val="16"/>
                <w:szCs w:val="16"/>
              </w:rPr>
              <w:t>Clarification on PRU timer considering start of unavailability period</w:t>
            </w:r>
          </w:p>
        </w:tc>
        <w:tc>
          <w:tcPr>
            <w:tcW w:w="708" w:type="dxa"/>
            <w:shd w:val="solid" w:color="FFFFFF" w:fill="auto"/>
          </w:tcPr>
          <w:p w14:paraId="728D29CD" w14:textId="1DA4C49F" w:rsidR="00F04A40" w:rsidRPr="00873B6C" w:rsidRDefault="00F04A40" w:rsidP="00591B52">
            <w:pPr>
              <w:pStyle w:val="TAC"/>
              <w:rPr>
                <w:sz w:val="16"/>
                <w:szCs w:val="16"/>
              </w:rPr>
            </w:pPr>
            <w:r w:rsidRPr="00873B6C">
              <w:rPr>
                <w:sz w:val="16"/>
                <w:szCs w:val="16"/>
              </w:rPr>
              <w:t>18.7.0</w:t>
            </w:r>
          </w:p>
        </w:tc>
      </w:tr>
      <w:tr w:rsidR="00F04A40" w:rsidRPr="00873B6C" w14:paraId="23C3E10D" w14:textId="77777777" w:rsidTr="009D14FB">
        <w:tc>
          <w:tcPr>
            <w:tcW w:w="800" w:type="dxa"/>
            <w:shd w:val="solid" w:color="FFFFFF" w:fill="auto"/>
          </w:tcPr>
          <w:p w14:paraId="5F26DBBE" w14:textId="2C9D70D6"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70C8F98A" w14:textId="2EFE95AA"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691A0416" w14:textId="2100FA28" w:rsidR="00F04A40" w:rsidRPr="00873B6C" w:rsidRDefault="00F04A40" w:rsidP="00591B52">
            <w:pPr>
              <w:pStyle w:val="TAC"/>
              <w:rPr>
                <w:sz w:val="16"/>
                <w:szCs w:val="16"/>
              </w:rPr>
            </w:pPr>
            <w:r w:rsidRPr="00873B6C">
              <w:rPr>
                <w:sz w:val="16"/>
                <w:szCs w:val="16"/>
              </w:rPr>
              <w:t>SP-241259</w:t>
            </w:r>
          </w:p>
        </w:tc>
        <w:tc>
          <w:tcPr>
            <w:tcW w:w="567" w:type="dxa"/>
            <w:shd w:val="solid" w:color="FFFFFF" w:fill="auto"/>
          </w:tcPr>
          <w:p w14:paraId="261BC1FF" w14:textId="77C05F04" w:rsidR="00F04A40" w:rsidRPr="00873B6C" w:rsidRDefault="00F04A40" w:rsidP="00591B52">
            <w:pPr>
              <w:pStyle w:val="TAL"/>
              <w:rPr>
                <w:sz w:val="16"/>
                <w:szCs w:val="16"/>
              </w:rPr>
            </w:pPr>
            <w:r w:rsidRPr="00873B6C">
              <w:rPr>
                <w:sz w:val="16"/>
                <w:szCs w:val="16"/>
              </w:rPr>
              <w:t>5576</w:t>
            </w:r>
          </w:p>
        </w:tc>
        <w:tc>
          <w:tcPr>
            <w:tcW w:w="425" w:type="dxa"/>
            <w:shd w:val="solid" w:color="FFFFFF" w:fill="auto"/>
          </w:tcPr>
          <w:p w14:paraId="11EE0CBC" w14:textId="2A0A0880" w:rsidR="00F04A40" w:rsidRPr="00873B6C" w:rsidRDefault="00F04A40" w:rsidP="00591B52">
            <w:pPr>
              <w:pStyle w:val="TAL"/>
              <w:rPr>
                <w:sz w:val="16"/>
                <w:szCs w:val="16"/>
              </w:rPr>
            </w:pPr>
            <w:r w:rsidRPr="00873B6C">
              <w:rPr>
                <w:sz w:val="16"/>
                <w:szCs w:val="16"/>
              </w:rPr>
              <w:t>1</w:t>
            </w:r>
          </w:p>
        </w:tc>
        <w:tc>
          <w:tcPr>
            <w:tcW w:w="425" w:type="dxa"/>
            <w:shd w:val="solid" w:color="FFFFFF" w:fill="auto"/>
          </w:tcPr>
          <w:p w14:paraId="746B4B81" w14:textId="5DF4EDA4"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533C9171" w14:textId="184D8FF0" w:rsidR="00F04A40" w:rsidRPr="00873B6C" w:rsidRDefault="00F04A40" w:rsidP="00591B52">
            <w:pPr>
              <w:pStyle w:val="TAL"/>
              <w:rPr>
                <w:sz w:val="16"/>
                <w:szCs w:val="16"/>
              </w:rPr>
            </w:pPr>
            <w:r w:rsidRPr="00873B6C">
              <w:rPr>
                <w:sz w:val="16"/>
                <w:szCs w:val="16"/>
              </w:rPr>
              <w:t>Correction of MPQUIC Datagram mode 1</w:t>
            </w:r>
          </w:p>
        </w:tc>
        <w:tc>
          <w:tcPr>
            <w:tcW w:w="708" w:type="dxa"/>
            <w:shd w:val="solid" w:color="FFFFFF" w:fill="auto"/>
          </w:tcPr>
          <w:p w14:paraId="55A4865F" w14:textId="7297981E" w:rsidR="00F04A40" w:rsidRPr="00873B6C" w:rsidRDefault="00F04A40" w:rsidP="00591B52">
            <w:pPr>
              <w:pStyle w:val="TAC"/>
              <w:rPr>
                <w:sz w:val="16"/>
                <w:szCs w:val="16"/>
              </w:rPr>
            </w:pPr>
            <w:r w:rsidRPr="00873B6C">
              <w:rPr>
                <w:sz w:val="16"/>
                <w:szCs w:val="16"/>
              </w:rPr>
              <w:t>18.7.0</w:t>
            </w:r>
          </w:p>
        </w:tc>
      </w:tr>
      <w:tr w:rsidR="00F04A40" w:rsidRPr="00873B6C" w14:paraId="1B5906EF" w14:textId="77777777" w:rsidTr="009D14FB">
        <w:tc>
          <w:tcPr>
            <w:tcW w:w="800" w:type="dxa"/>
            <w:shd w:val="solid" w:color="FFFFFF" w:fill="auto"/>
          </w:tcPr>
          <w:p w14:paraId="7B511C75" w14:textId="416BB7B2"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71BDB60D" w14:textId="5C72FC55"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15FE132D" w14:textId="1C6A457C" w:rsidR="00F04A40" w:rsidRPr="00873B6C" w:rsidRDefault="00F04A40" w:rsidP="00591B52">
            <w:pPr>
              <w:pStyle w:val="TAC"/>
              <w:rPr>
                <w:sz w:val="16"/>
                <w:szCs w:val="16"/>
              </w:rPr>
            </w:pPr>
            <w:r w:rsidRPr="00873B6C">
              <w:rPr>
                <w:sz w:val="16"/>
                <w:szCs w:val="16"/>
              </w:rPr>
              <w:t>SP-241244</w:t>
            </w:r>
          </w:p>
        </w:tc>
        <w:tc>
          <w:tcPr>
            <w:tcW w:w="567" w:type="dxa"/>
            <w:shd w:val="solid" w:color="FFFFFF" w:fill="auto"/>
          </w:tcPr>
          <w:p w14:paraId="4F3261F7" w14:textId="42472C75" w:rsidR="00F04A40" w:rsidRPr="00873B6C" w:rsidRDefault="00F04A40" w:rsidP="00591B52">
            <w:pPr>
              <w:pStyle w:val="TAL"/>
              <w:rPr>
                <w:sz w:val="16"/>
                <w:szCs w:val="16"/>
              </w:rPr>
            </w:pPr>
            <w:r w:rsidRPr="00873B6C">
              <w:rPr>
                <w:sz w:val="16"/>
                <w:szCs w:val="16"/>
              </w:rPr>
              <w:t>5585</w:t>
            </w:r>
          </w:p>
        </w:tc>
        <w:tc>
          <w:tcPr>
            <w:tcW w:w="425" w:type="dxa"/>
            <w:shd w:val="solid" w:color="FFFFFF" w:fill="auto"/>
          </w:tcPr>
          <w:p w14:paraId="5AE5188C" w14:textId="3F816DB4" w:rsidR="00F04A40" w:rsidRPr="00873B6C" w:rsidRDefault="00F04A40" w:rsidP="00591B52">
            <w:pPr>
              <w:pStyle w:val="TAL"/>
              <w:rPr>
                <w:sz w:val="16"/>
                <w:szCs w:val="16"/>
              </w:rPr>
            </w:pPr>
            <w:r w:rsidRPr="00873B6C">
              <w:rPr>
                <w:sz w:val="16"/>
                <w:szCs w:val="16"/>
              </w:rPr>
              <w:t>3</w:t>
            </w:r>
          </w:p>
        </w:tc>
        <w:tc>
          <w:tcPr>
            <w:tcW w:w="425" w:type="dxa"/>
            <w:shd w:val="solid" w:color="FFFFFF" w:fill="auto"/>
          </w:tcPr>
          <w:p w14:paraId="21EB8834" w14:textId="635A6D21"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63D50875" w14:textId="1F19638E" w:rsidR="00F04A40" w:rsidRPr="00873B6C" w:rsidRDefault="00F04A40" w:rsidP="00591B52">
            <w:pPr>
              <w:pStyle w:val="TAL"/>
              <w:rPr>
                <w:sz w:val="16"/>
                <w:szCs w:val="16"/>
              </w:rPr>
            </w:pPr>
            <w:r w:rsidRPr="00873B6C">
              <w:rPr>
                <w:sz w:val="16"/>
                <w:szCs w:val="16"/>
              </w:rPr>
              <w:t>PDU Session clarification when the slice is associated with slice restricted area</w:t>
            </w:r>
          </w:p>
        </w:tc>
        <w:tc>
          <w:tcPr>
            <w:tcW w:w="708" w:type="dxa"/>
            <w:shd w:val="solid" w:color="FFFFFF" w:fill="auto"/>
          </w:tcPr>
          <w:p w14:paraId="7EB25AF9" w14:textId="2C0D0CE3" w:rsidR="00F04A40" w:rsidRPr="00873B6C" w:rsidRDefault="00F04A40" w:rsidP="00591B52">
            <w:pPr>
              <w:pStyle w:val="TAC"/>
              <w:rPr>
                <w:sz w:val="16"/>
                <w:szCs w:val="16"/>
              </w:rPr>
            </w:pPr>
            <w:r w:rsidRPr="00873B6C">
              <w:rPr>
                <w:sz w:val="16"/>
                <w:szCs w:val="16"/>
              </w:rPr>
              <w:t>18.7.0</w:t>
            </w:r>
          </w:p>
        </w:tc>
      </w:tr>
      <w:tr w:rsidR="00F04A40" w:rsidRPr="00873B6C" w14:paraId="10B16007" w14:textId="77777777" w:rsidTr="009D14FB">
        <w:tc>
          <w:tcPr>
            <w:tcW w:w="800" w:type="dxa"/>
            <w:shd w:val="solid" w:color="FFFFFF" w:fill="auto"/>
          </w:tcPr>
          <w:p w14:paraId="0EBA79C1" w14:textId="7FBD9740"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22DD926B" w14:textId="2760609F"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2946DA48" w14:textId="7E1F4A3D" w:rsidR="00F04A40" w:rsidRPr="00873B6C" w:rsidRDefault="00F04A40" w:rsidP="00591B52">
            <w:pPr>
              <w:pStyle w:val="TAC"/>
              <w:rPr>
                <w:sz w:val="16"/>
                <w:szCs w:val="16"/>
              </w:rPr>
            </w:pPr>
            <w:r w:rsidRPr="00873B6C">
              <w:rPr>
                <w:sz w:val="16"/>
                <w:szCs w:val="16"/>
              </w:rPr>
              <w:t>SP-241254</w:t>
            </w:r>
          </w:p>
        </w:tc>
        <w:tc>
          <w:tcPr>
            <w:tcW w:w="567" w:type="dxa"/>
            <w:shd w:val="solid" w:color="FFFFFF" w:fill="auto"/>
          </w:tcPr>
          <w:p w14:paraId="1E30B39B" w14:textId="37677CAB" w:rsidR="00F04A40" w:rsidRPr="00873B6C" w:rsidRDefault="00F04A40" w:rsidP="00591B52">
            <w:pPr>
              <w:pStyle w:val="TAL"/>
              <w:rPr>
                <w:sz w:val="16"/>
                <w:szCs w:val="16"/>
              </w:rPr>
            </w:pPr>
            <w:r w:rsidRPr="00873B6C">
              <w:rPr>
                <w:sz w:val="16"/>
                <w:szCs w:val="16"/>
              </w:rPr>
              <w:t>5599</w:t>
            </w:r>
          </w:p>
        </w:tc>
        <w:tc>
          <w:tcPr>
            <w:tcW w:w="425" w:type="dxa"/>
            <w:shd w:val="solid" w:color="FFFFFF" w:fill="auto"/>
          </w:tcPr>
          <w:p w14:paraId="4D6704AB" w14:textId="18267BD9" w:rsidR="00F04A40" w:rsidRPr="00873B6C" w:rsidRDefault="00F04A40" w:rsidP="00591B52">
            <w:pPr>
              <w:pStyle w:val="TAL"/>
              <w:rPr>
                <w:sz w:val="16"/>
                <w:szCs w:val="16"/>
              </w:rPr>
            </w:pPr>
            <w:r w:rsidRPr="00873B6C">
              <w:rPr>
                <w:sz w:val="16"/>
                <w:szCs w:val="16"/>
              </w:rPr>
              <w:t>2</w:t>
            </w:r>
          </w:p>
        </w:tc>
        <w:tc>
          <w:tcPr>
            <w:tcW w:w="425" w:type="dxa"/>
            <w:shd w:val="solid" w:color="FFFFFF" w:fill="auto"/>
          </w:tcPr>
          <w:p w14:paraId="042AF947" w14:textId="1769F180"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7FA9D482" w14:textId="566281C8" w:rsidR="00F04A40" w:rsidRPr="00873B6C" w:rsidRDefault="00F04A40" w:rsidP="00591B52">
            <w:pPr>
              <w:pStyle w:val="TAL"/>
              <w:rPr>
                <w:sz w:val="16"/>
                <w:szCs w:val="16"/>
              </w:rPr>
            </w:pPr>
            <w:r w:rsidRPr="00873B6C">
              <w:rPr>
                <w:sz w:val="16"/>
                <w:szCs w:val="16"/>
              </w:rPr>
              <w:t>Clarification on Congestion Event Triggered Reporting</w:t>
            </w:r>
          </w:p>
        </w:tc>
        <w:tc>
          <w:tcPr>
            <w:tcW w:w="708" w:type="dxa"/>
            <w:shd w:val="solid" w:color="FFFFFF" w:fill="auto"/>
          </w:tcPr>
          <w:p w14:paraId="314A7683" w14:textId="1C19BE09" w:rsidR="00F04A40" w:rsidRPr="00873B6C" w:rsidRDefault="00F04A40" w:rsidP="00591B52">
            <w:pPr>
              <w:pStyle w:val="TAC"/>
              <w:rPr>
                <w:sz w:val="16"/>
                <w:szCs w:val="16"/>
              </w:rPr>
            </w:pPr>
            <w:r w:rsidRPr="00873B6C">
              <w:rPr>
                <w:sz w:val="16"/>
                <w:szCs w:val="16"/>
              </w:rPr>
              <w:t>18.7.0</w:t>
            </w:r>
          </w:p>
        </w:tc>
      </w:tr>
      <w:tr w:rsidR="00F04A40" w:rsidRPr="00873B6C" w14:paraId="4926776E" w14:textId="77777777" w:rsidTr="009D14FB">
        <w:tc>
          <w:tcPr>
            <w:tcW w:w="800" w:type="dxa"/>
            <w:shd w:val="solid" w:color="FFFFFF" w:fill="auto"/>
          </w:tcPr>
          <w:p w14:paraId="35C61EAD" w14:textId="63C08C01"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0C93A86B" w14:textId="6CC7E26B"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17B0D4FC" w14:textId="4D147F5D" w:rsidR="00F04A40" w:rsidRPr="00873B6C" w:rsidRDefault="00F04A40" w:rsidP="00591B52">
            <w:pPr>
              <w:pStyle w:val="TAC"/>
              <w:rPr>
                <w:sz w:val="16"/>
                <w:szCs w:val="16"/>
              </w:rPr>
            </w:pPr>
            <w:r w:rsidRPr="00873B6C">
              <w:rPr>
                <w:sz w:val="16"/>
                <w:szCs w:val="16"/>
              </w:rPr>
              <w:t>SP-241256</w:t>
            </w:r>
          </w:p>
        </w:tc>
        <w:tc>
          <w:tcPr>
            <w:tcW w:w="567" w:type="dxa"/>
            <w:shd w:val="solid" w:color="FFFFFF" w:fill="auto"/>
          </w:tcPr>
          <w:p w14:paraId="75E77F4A" w14:textId="4B461DD4" w:rsidR="00F04A40" w:rsidRPr="00873B6C" w:rsidRDefault="00F04A40" w:rsidP="00591B52">
            <w:pPr>
              <w:pStyle w:val="TAL"/>
              <w:rPr>
                <w:sz w:val="16"/>
                <w:szCs w:val="16"/>
              </w:rPr>
            </w:pPr>
            <w:r w:rsidRPr="00873B6C">
              <w:rPr>
                <w:sz w:val="16"/>
                <w:szCs w:val="16"/>
              </w:rPr>
              <w:t>5614</w:t>
            </w:r>
          </w:p>
        </w:tc>
        <w:tc>
          <w:tcPr>
            <w:tcW w:w="425" w:type="dxa"/>
            <w:shd w:val="solid" w:color="FFFFFF" w:fill="auto"/>
          </w:tcPr>
          <w:p w14:paraId="4D0B3F7B" w14:textId="5BF32AB3" w:rsidR="00F04A40" w:rsidRPr="00873B6C" w:rsidRDefault="00F04A40" w:rsidP="00591B52">
            <w:pPr>
              <w:pStyle w:val="TAL"/>
              <w:rPr>
                <w:sz w:val="16"/>
                <w:szCs w:val="16"/>
              </w:rPr>
            </w:pPr>
            <w:r w:rsidRPr="00873B6C">
              <w:rPr>
                <w:sz w:val="16"/>
                <w:szCs w:val="16"/>
              </w:rPr>
              <w:t>2</w:t>
            </w:r>
          </w:p>
        </w:tc>
        <w:tc>
          <w:tcPr>
            <w:tcW w:w="425" w:type="dxa"/>
            <w:shd w:val="solid" w:color="FFFFFF" w:fill="auto"/>
          </w:tcPr>
          <w:p w14:paraId="438F266D" w14:textId="1ABA0952"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65C20E25" w14:textId="6E043EAA" w:rsidR="00F04A40" w:rsidRPr="00873B6C" w:rsidRDefault="00F04A40" w:rsidP="00591B52">
            <w:pPr>
              <w:pStyle w:val="TAL"/>
              <w:rPr>
                <w:sz w:val="16"/>
                <w:szCs w:val="16"/>
              </w:rPr>
            </w:pPr>
            <w:r w:rsidRPr="00873B6C">
              <w:rPr>
                <w:sz w:val="16"/>
                <w:szCs w:val="16"/>
              </w:rPr>
              <w:t>Applying AMF determined unavailability values</w:t>
            </w:r>
          </w:p>
        </w:tc>
        <w:tc>
          <w:tcPr>
            <w:tcW w:w="708" w:type="dxa"/>
            <w:shd w:val="solid" w:color="FFFFFF" w:fill="auto"/>
          </w:tcPr>
          <w:p w14:paraId="60A58685" w14:textId="33E50295" w:rsidR="00F04A40" w:rsidRPr="00873B6C" w:rsidRDefault="00F04A40" w:rsidP="00591B52">
            <w:pPr>
              <w:pStyle w:val="TAC"/>
              <w:rPr>
                <w:sz w:val="16"/>
                <w:szCs w:val="16"/>
              </w:rPr>
            </w:pPr>
            <w:r w:rsidRPr="00873B6C">
              <w:rPr>
                <w:sz w:val="16"/>
                <w:szCs w:val="16"/>
              </w:rPr>
              <w:t>18.7.0</w:t>
            </w:r>
          </w:p>
        </w:tc>
      </w:tr>
      <w:tr w:rsidR="00472CD7" w:rsidRPr="00873B6C" w14:paraId="225531A3" w14:textId="77777777" w:rsidTr="009D14FB">
        <w:tc>
          <w:tcPr>
            <w:tcW w:w="800" w:type="dxa"/>
            <w:shd w:val="solid" w:color="FFFFFF" w:fill="auto"/>
          </w:tcPr>
          <w:p w14:paraId="22E523A0" w14:textId="395DFA0E"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4B9487F7" w14:textId="654EBBA2"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1C30FC94" w14:textId="0D3CEBAB" w:rsidR="00472CD7" w:rsidRPr="00873B6C" w:rsidRDefault="00472CD7" w:rsidP="00591B52">
            <w:pPr>
              <w:pStyle w:val="TAC"/>
              <w:rPr>
                <w:sz w:val="16"/>
                <w:szCs w:val="16"/>
              </w:rPr>
            </w:pPr>
            <w:r w:rsidRPr="00873B6C">
              <w:rPr>
                <w:sz w:val="16"/>
                <w:szCs w:val="16"/>
              </w:rPr>
              <w:t>SP-241475</w:t>
            </w:r>
          </w:p>
        </w:tc>
        <w:tc>
          <w:tcPr>
            <w:tcW w:w="567" w:type="dxa"/>
            <w:shd w:val="solid" w:color="FFFFFF" w:fill="auto"/>
          </w:tcPr>
          <w:p w14:paraId="1E56782F" w14:textId="188119CF" w:rsidR="00472CD7" w:rsidRPr="00873B6C" w:rsidRDefault="00472CD7" w:rsidP="00591B52">
            <w:pPr>
              <w:pStyle w:val="TAL"/>
              <w:rPr>
                <w:sz w:val="16"/>
                <w:szCs w:val="16"/>
              </w:rPr>
            </w:pPr>
            <w:r w:rsidRPr="00873B6C">
              <w:rPr>
                <w:sz w:val="16"/>
                <w:szCs w:val="16"/>
              </w:rPr>
              <w:t>5408</w:t>
            </w:r>
          </w:p>
        </w:tc>
        <w:tc>
          <w:tcPr>
            <w:tcW w:w="425" w:type="dxa"/>
            <w:shd w:val="solid" w:color="FFFFFF" w:fill="auto"/>
          </w:tcPr>
          <w:p w14:paraId="764D6250" w14:textId="2BC7D984" w:rsidR="00472CD7" w:rsidRPr="00873B6C" w:rsidRDefault="00472CD7" w:rsidP="00591B52">
            <w:pPr>
              <w:pStyle w:val="TAL"/>
              <w:rPr>
                <w:sz w:val="16"/>
                <w:szCs w:val="16"/>
              </w:rPr>
            </w:pPr>
            <w:r w:rsidRPr="00873B6C">
              <w:rPr>
                <w:sz w:val="16"/>
                <w:szCs w:val="16"/>
              </w:rPr>
              <w:t>5</w:t>
            </w:r>
          </w:p>
        </w:tc>
        <w:tc>
          <w:tcPr>
            <w:tcW w:w="425" w:type="dxa"/>
            <w:shd w:val="solid" w:color="FFFFFF" w:fill="auto"/>
          </w:tcPr>
          <w:p w14:paraId="11C17C98" w14:textId="2CF06316"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46D58B7D" w14:textId="1D161D6F" w:rsidR="00472CD7" w:rsidRPr="00873B6C" w:rsidRDefault="00472CD7" w:rsidP="00591B52">
            <w:pPr>
              <w:pStyle w:val="TAL"/>
              <w:rPr>
                <w:sz w:val="16"/>
                <w:szCs w:val="16"/>
              </w:rPr>
            </w:pPr>
            <w:r w:rsidRPr="00873B6C">
              <w:rPr>
                <w:sz w:val="16"/>
                <w:szCs w:val="16"/>
              </w:rPr>
              <w:t>URSP provisioning in EPS support indication at PDU Session Establishment</w:t>
            </w:r>
          </w:p>
        </w:tc>
        <w:tc>
          <w:tcPr>
            <w:tcW w:w="708" w:type="dxa"/>
            <w:shd w:val="solid" w:color="FFFFFF" w:fill="auto"/>
          </w:tcPr>
          <w:p w14:paraId="09552410" w14:textId="7473E803" w:rsidR="00472CD7" w:rsidRPr="00873B6C" w:rsidRDefault="00472CD7" w:rsidP="00591B52">
            <w:pPr>
              <w:pStyle w:val="TAC"/>
              <w:rPr>
                <w:sz w:val="16"/>
                <w:szCs w:val="16"/>
              </w:rPr>
            </w:pPr>
            <w:r w:rsidRPr="00873B6C">
              <w:rPr>
                <w:sz w:val="16"/>
                <w:szCs w:val="16"/>
              </w:rPr>
              <w:t>18.8.0</w:t>
            </w:r>
          </w:p>
        </w:tc>
      </w:tr>
      <w:tr w:rsidR="00472CD7" w:rsidRPr="00873B6C" w14:paraId="555FB84F" w14:textId="77777777" w:rsidTr="009D14FB">
        <w:tc>
          <w:tcPr>
            <w:tcW w:w="800" w:type="dxa"/>
            <w:shd w:val="solid" w:color="FFFFFF" w:fill="auto"/>
          </w:tcPr>
          <w:p w14:paraId="2A898BA9" w14:textId="542E8C49"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79BFA650" w14:textId="18C8A157"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485C35AF" w14:textId="46593AC7" w:rsidR="00472CD7" w:rsidRPr="00873B6C" w:rsidRDefault="00472CD7" w:rsidP="00591B52">
            <w:pPr>
              <w:pStyle w:val="TAC"/>
              <w:rPr>
                <w:sz w:val="16"/>
                <w:szCs w:val="16"/>
              </w:rPr>
            </w:pPr>
            <w:r w:rsidRPr="00873B6C">
              <w:rPr>
                <w:sz w:val="16"/>
                <w:szCs w:val="16"/>
              </w:rPr>
              <w:t>SP-241471</w:t>
            </w:r>
          </w:p>
        </w:tc>
        <w:tc>
          <w:tcPr>
            <w:tcW w:w="567" w:type="dxa"/>
            <w:shd w:val="solid" w:color="FFFFFF" w:fill="auto"/>
          </w:tcPr>
          <w:p w14:paraId="148466B3" w14:textId="63E251C2" w:rsidR="00472CD7" w:rsidRPr="00873B6C" w:rsidRDefault="00472CD7" w:rsidP="00591B52">
            <w:pPr>
              <w:pStyle w:val="TAL"/>
              <w:rPr>
                <w:sz w:val="16"/>
                <w:szCs w:val="16"/>
              </w:rPr>
            </w:pPr>
            <w:r w:rsidRPr="00873B6C">
              <w:rPr>
                <w:sz w:val="16"/>
                <w:szCs w:val="16"/>
              </w:rPr>
              <w:t>5609</w:t>
            </w:r>
          </w:p>
        </w:tc>
        <w:tc>
          <w:tcPr>
            <w:tcW w:w="425" w:type="dxa"/>
            <w:shd w:val="solid" w:color="FFFFFF" w:fill="auto"/>
          </w:tcPr>
          <w:p w14:paraId="366498A0" w14:textId="7C67606E" w:rsidR="00472CD7" w:rsidRPr="00873B6C" w:rsidRDefault="00472CD7" w:rsidP="00591B52">
            <w:pPr>
              <w:pStyle w:val="TAL"/>
              <w:rPr>
                <w:sz w:val="16"/>
                <w:szCs w:val="16"/>
              </w:rPr>
            </w:pPr>
            <w:r w:rsidRPr="00873B6C">
              <w:rPr>
                <w:sz w:val="16"/>
                <w:szCs w:val="16"/>
              </w:rPr>
              <w:t>1</w:t>
            </w:r>
          </w:p>
        </w:tc>
        <w:tc>
          <w:tcPr>
            <w:tcW w:w="425" w:type="dxa"/>
            <w:shd w:val="solid" w:color="FFFFFF" w:fill="auto"/>
          </w:tcPr>
          <w:p w14:paraId="4C40036C" w14:textId="24EB5DD0"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4ED02325" w14:textId="747AC628" w:rsidR="00472CD7" w:rsidRPr="00873B6C" w:rsidRDefault="00472CD7" w:rsidP="00591B52">
            <w:pPr>
              <w:pStyle w:val="TAL"/>
              <w:rPr>
                <w:sz w:val="16"/>
                <w:szCs w:val="16"/>
              </w:rPr>
            </w:pPr>
            <w:r w:rsidRPr="00873B6C">
              <w:rPr>
                <w:sz w:val="16"/>
                <w:szCs w:val="16"/>
              </w:rPr>
              <w:t>Add missing MFAF Services</w:t>
            </w:r>
          </w:p>
        </w:tc>
        <w:tc>
          <w:tcPr>
            <w:tcW w:w="708" w:type="dxa"/>
            <w:shd w:val="solid" w:color="FFFFFF" w:fill="auto"/>
          </w:tcPr>
          <w:p w14:paraId="21E12546" w14:textId="2510E551" w:rsidR="00472CD7" w:rsidRPr="00873B6C" w:rsidRDefault="00472CD7" w:rsidP="00591B52">
            <w:pPr>
              <w:pStyle w:val="TAC"/>
              <w:rPr>
                <w:sz w:val="16"/>
                <w:szCs w:val="16"/>
              </w:rPr>
            </w:pPr>
            <w:r w:rsidRPr="00873B6C">
              <w:rPr>
                <w:sz w:val="16"/>
                <w:szCs w:val="16"/>
              </w:rPr>
              <w:t>18.8.0</w:t>
            </w:r>
          </w:p>
        </w:tc>
      </w:tr>
      <w:tr w:rsidR="00472CD7" w:rsidRPr="00873B6C" w14:paraId="0602237E" w14:textId="77777777" w:rsidTr="009D14FB">
        <w:tc>
          <w:tcPr>
            <w:tcW w:w="800" w:type="dxa"/>
            <w:shd w:val="solid" w:color="FFFFFF" w:fill="auto"/>
          </w:tcPr>
          <w:p w14:paraId="59FBB9AF" w14:textId="1B184655" w:rsidR="00472CD7" w:rsidRPr="00873B6C" w:rsidRDefault="00472CD7" w:rsidP="00591B52">
            <w:pPr>
              <w:pStyle w:val="TAC"/>
              <w:rPr>
                <w:sz w:val="16"/>
                <w:szCs w:val="16"/>
              </w:rPr>
            </w:pPr>
            <w:r w:rsidRPr="00873B6C">
              <w:rPr>
                <w:sz w:val="16"/>
                <w:szCs w:val="16"/>
              </w:rPr>
              <w:lastRenderedPageBreak/>
              <w:t>2024-12</w:t>
            </w:r>
          </w:p>
        </w:tc>
        <w:tc>
          <w:tcPr>
            <w:tcW w:w="800" w:type="dxa"/>
            <w:shd w:val="solid" w:color="FFFFFF" w:fill="auto"/>
          </w:tcPr>
          <w:p w14:paraId="290F4DE2" w14:textId="0D4EEF24"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4B2BB2BD" w14:textId="5980E67F" w:rsidR="00472CD7" w:rsidRPr="00873B6C" w:rsidRDefault="00472CD7" w:rsidP="00591B52">
            <w:pPr>
              <w:pStyle w:val="TAC"/>
              <w:rPr>
                <w:sz w:val="16"/>
                <w:szCs w:val="16"/>
              </w:rPr>
            </w:pPr>
            <w:r w:rsidRPr="00873B6C">
              <w:rPr>
                <w:sz w:val="16"/>
                <w:szCs w:val="16"/>
              </w:rPr>
              <w:t>SP-241468</w:t>
            </w:r>
          </w:p>
        </w:tc>
        <w:tc>
          <w:tcPr>
            <w:tcW w:w="567" w:type="dxa"/>
            <w:shd w:val="solid" w:color="FFFFFF" w:fill="auto"/>
          </w:tcPr>
          <w:p w14:paraId="6674DC1E" w14:textId="2838FDC3" w:rsidR="00472CD7" w:rsidRPr="00873B6C" w:rsidRDefault="00472CD7" w:rsidP="00591B52">
            <w:pPr>
              <w:pStyle w:val="TAL"/>
              <w:rPr>
                <w:sz w:val="16"/>
                <w:szCs w:val="16"/>
              </w:rPr>
            </w:pPr>
            <w:r w:rsidRPr="00873B6C">
              <w:rPr>
                <w:sz w:val="16"/>
                <w:szCs w:val="16"/>
              </w:rPr>
              <w:t>5647</w:t>
            </w:r>
          </w:p>
        </w:tc>
        <w:tc>
          <w:tcPr>
            <w:tcW w:w="425" w:type="dxa"/>
            <w:shd w:val="solid" w:color="FFFFFF" w:fill="auto"/>
          </w:tcPr>
          <w:p w14:paraId="2C2D5479" w14:textId="2D6BF8D5" w:rsidR="00472CD7" w:rsidRPr="00873B6C" w:rsidRDefault="00472CD7" w:rsidP="00591B52">
            <w:pPr>
              <w:pStyle w:val="TAL"/>
              <w:rPr>
                <w:sz w:val="16"/>
                <w:szCs w:val="16"/>
              </w:rPr>
            </w:pPr>
            <w:r w:rsidRPr="00873B6C">
              <w:rPr>
                <w:sz w:val="16"/>
                <w:szCs w:val="16"/>
              </w:rPr>
              <w:t>1</w:t>
            </w:r>
          </w:p>
        </w:tc>
        <w:tc>
          <w:tcPr>
            <w:tcW w:w="425" w:type="dxa"/>
            <w:shd w:val="solid" w:color="FFFFFF" w:fill="auto"/>
          </w:tcPr>
          <w:p w14:paraId="620E7D2C" w14:textId="2235D8CD"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60E4EB4E" w14:textId="06CAE6A6" w:rsidR="00472CD7" w:rsidRPr="00873B6C" w:rsidRDefault="00472CD7" w:rsidP="00591B52">
            <w:pPr>
              <w:pStyle w:val="TAL"/>
              <w:rPr>
                <w:sz w:val="16"/>
                <w:szCs w:val="16"/>
              </w:rPr>
            </w:pPr>
            <w:r w:rsidRPr="00873B6C">
              <w:rPr>
                <w:sz w:val="16"/>
                <w:szCs w:val="16"/>
              </w:rPr>
              <w:t>Correction on PDU Session supporting CIoT</w:t>
            </w:r>
          </w:p>
        </w:tc>
        <w:tc>
          <w:tcPr>
            <w:tcW w:w="708" w:type="dxa"/>
            <w:shd w:val="solid" w:color="FFFFFF" w:fill="auto"/>
          </w:tcPr>
          <w:p w14:paraId="492405DF" w14:textId="30FF2E4B" w:rsidR="00472CD7" w:rsidRPr="00873B6C" w:rsidRDefault="00472CD7" w:rsidP="00591B52">
            <w:pPr>
              <w:pStyle w:val="TAC"/>
              <w:rPr>
                <w:sz w:val="16"/>
                <w:szCs w:val="16"/>
              </w:rPr>
            </w:pPr>
            <w:r w:rsidRPr="00873B6C">
              <w:rPr>
                <w:sz w:val="16"/>
                <w:szCs w:val="16"/>
              </w:rPr>
              <w:t>18.8.0</w:t>
            </w:r>
          </w:p>
        </w:tc>
      </w:tr>
      <w:tr w:rsidR="00472CD7" w:rsidRPr="00873B6C" w14:paraId="038A8DC7" w14:textId="77777777" w:rsidTr="009D14FB">
        <w:tc>
          <w:tcPr>
            <w:tcW w:w="800" w:type="dxa"/>
            <w:shd w:val="solid" w:color="FFFFFF" w:fill="auto"/>
          </w:tcPr>
          <w:p w14:paraId="03B88ECB" w14:textId="756DC9A1"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5A4AC242" w14:textId="0FDD2A7D"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010B46E1" w14:textId="199AFDD2" w:rsidR="00472CD7" w:rsidRPr="00873B6C" w:rsidRDefault="00472CD7" w:rsidP="00591B52">
            <w:pPr>
              <w:pStyle w:val="TAC"/>
              <w:rPr>
                <w:sz w:val="16"/>
                <w:szCs w:val="16"/>
              </w:rPr>
            </w:pPr>
            <w:r w:rsidRPr="00873B6C">
              <w:rPr>
                <w:sz w:val="16"/>
                <w:szCs w:val="16"/>
              </w:rPr>
              <w:t>SP-241</w:t>
            </w:r>
            <w:r w:rsidR="008F4686" w:rsidRPr="00873B6C">
              <w:rPr>
                <w:sz w:val="16"/>
                <w:szCs w:val="16"/>
              </w:rPr>
              <w:t>968</w:t>
            </w:r>
          </w:p>
        </w:tc>
        <w:tc>
          <w:tcPr>
            <w:tcW w:w="567" w:type="dxa"/>
            <w:shd w:val="solid" w:color="FFFFFF" w:fill="auto"/>
          </w:tcPr>
          <w:p w14:paraId="28AAE49B" w14:textId="32B3C0C6" w:rsidR="00472CD7" w:rsidRPr="00873B6C" w:rsidRDefault="00472CD7" w:rsidP="00591B52">
            <w:pPr>
              <w:pStyle w:val="TAL"/>
              <w:rPr>
                <w:sz w:val="16"/>
                <w:szCs w:val="16"/>
              </w:rPr>
            </w:pPr>
            <w:r w:rsidRPr="00873B6C">
              <w:rPr>
                <w:sz w:val="16"/>
                <w:szCs w:val="16"/>
              </w:rPr>
              <w:t>5682</w:t>
            </w:r>
          </w:p>
        </w:tc>
        <w:tc>
          <w:tcPr>
            <w:tcW w:w="425" w:type="dxa"/>
            <w:shd w:val="solid" w:color="FFFFFF" w:fill="auto"/>
          </w:tcPr>
          <w:p w14:paraId="3F10D0FF" w14:textId="6A082612" w:rsidR="00472CD7" w:rsidRPr="00873B6C" w:rsidRDefault="008F4686" w:rsidP="00591B52">
            <w:pPr>
              <w:pStyle w:val="TAL"/>
              <w:rPr>
                <w:sz w:val="16"/>
                <w:szCs w:val="16"/>
              </w:rPr>
            </w:pPr>
            <w:r w:rsidRPr="00873B6C">
              <w:rPr>
                <w:sz w:val="16"/>
                <w:szCs w:val="16"/>
              </w:rPr>
              <w:t>5</w:t>
            </w:r>
          </w:p>
        </w:tc>
        <w:tc>
          <w:tcPr>
            <w:tcW w:w="425" w:type="dxa"/>
            <w:shd w:val="solid" w:color="FFFFFF" w:fill="auto"/>
          </w:tcPr>
          <w:p w14:paraId="032E9EF2" w14:textId="092EB6EE"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2E944CAF" w14:textId="602C7305" w:rsidR="00472CD7" w:rsidRPr="00873B6C" w:rsidRDefault="00472CD7" w:rsidP="00591B52">
            <w:pPr>
              <w:pStyle w:val="TAL"/>
              <w:rPr>
                <w:sz w:val="16"/>
                <w:szCs w:val="16"/>
              </w:rPr>
            </w:pPr>
            <w:r w:rsidRPr="00873B6C">
              <w:rPr>
                <w:sz w:val="16"/>
                <w:szCs w:val="16"/>
              </w:rPr>
              <w:t>Clarification on network slice handling for EHPLMN</w:t>
            </w:r>
          </w:p>
        </w:tc>
        <w:tc>
          <w:tcPr>
            <w:tcW w:w="708" w:type="dxa"/>
            <w:shd w:val="solid" w:color="FFFFFF" w:fill="auto"/>
          </w:tcPr>
          <w:p w14:paraId="0A4E93D8" w14:textId="24456740" w:rsidR="00472CD7" w:rsidRPr="00873B6C" w:rsidRDefault="00472CD7" w:rsidP="00591B52">
            <w:pPr>
              <w:pStyle w:val="TAC"/>
              <w:rPr>
                <w:sz w:val="16"/>
                <w:szCs w:val="16"/>
              </w:rPr>
            </w:pPr>
            <w:r w:rsidRPr="00873B6C">
              <w:rPr>
                <w:sz w:val="16"/>
                <w:szCs w:val="16"/>
              </w:rPr>
              <w:t>18.8.0</w:t>
            </w:r>
          </w:p>
        </w:tc>
      </w:tr>
      <w:tr w:rsidR="00472CD7" w:rsidRPr="00873B6C" w14:paraId="2E2D183C" w14:textId="77777777" w:rsidTr="009D14FB">
        <w:tc>
          <w:tcPr>
            <w:tcW w:w="800" w:type="dxa"/>
            <w:shd w:val="solid" w:color="FFFFFF" w:fill="auto"/>
          </w:tcPr>
          <w:p w14:paraId="2DB393B3" w14:textId="130788BF"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5D3615AA" w14:textId="2315BDC9"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7EE9FA37" w14:textId="36487820" w:rsidR="00472CD7" w:rsidRPr="00873B6C" w:rsidRDefault="00472CD7" w:rsidP="00591B52">
            <w:pPr>
              <w:pStyle w:val="TAC"/>
              <w:rPr>
                <w:sz w:val="16"/>
                <w:szCs w:val="16"/>
              </w:rPr>
            </w:pPr>
            <w:r w:rsidRPr="00873B6C">
              <w:rPr>
                <w:sz w:val="16"/>
                <w:szCs w:val="16"/>
              </w:rPr>
              <w:t>SP-241478</w:t>
            </w:r>
          </w:p>
        </w:tc>
        <w:tc>
          <w:tcPr>
            <w:tcW w:w="567" w:type="dxa"/>
            <w:shd w:val="solid" w:color="FFFFFF" w:fill="auto"/>
          </w:tcPr>
          <w:p w14:paraId="7130F98D" w14:textId="141E9CEB" w:rsidR="00472CD7" w:rsidRPr="00873B6C" w:rsidRDefault="00472CD7" w:rsidP="00591B52">
            <w:pPr>
              <w:pStyle w:val="TAL"/>
              <w:rPr>
                <w:sz w:val="16"/>
                <w:szCs w:val="16"/>
              </w:rPr>
            </w:pPr>
            <w:r w:rsidRPr="00873B6C">
              <w:rPr>
                <w:sz w:val="16"/>
                <w:szCs w:val="16"/>
              </w:rPr>
              <w:t>5701</w:t>
            </w:r>
          </w:p>
        </w:tc>
        <w:tc>
          <w:tcPr>
            <w:tcW w:w="425" w:type="dxa"/>
            <w:shd w:val="solid" w:color="FFFFFF" w:fill="auto"/>
          </w:tcPr>
          <w:p w14:paraId="7EE293E0" w14:textId="75768F20" w:rsidR="00472CD7" w:rsidRPr="00873B6C" w:rsidRDefault="00472CD7" w:rsidP="00591B52">
            <w:pPr>
              <w:pStyle w:val="TAL"/>
              <w:rPr>
                <w:sz w:val="16"/>
                <w:szCs w:val="16"/>
              </w:rPr>
            </w:pPr>
            <w:r w:rsidRPr="00873B6C">
              <w:rPr>
                <w:sz w:val="16"/>
                <w:szCs w:val="16"/>
              </w:rPr>
              <w:t>-</w:t>
            </w:r>
          </w:p>
        </w:tc>
        <w:tc>
          <w:tcPr>
            <w:tcW w:w="425" w:type="dxa"/>
            <w:shd w:val="solid" w:color="FFFFFF" w:fill="auto"/>
          </w:tcPr>
          <w:p w14:paraId="554FE9BE" w14:textId="605DC1D3"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75C6F11E" w14:textId="55A97700" w:rsidR="00472CD7" w:rsidRPr="00873B6C" w:rsidRDefault="00472CD7" w:rsidP="00591B52">
            <w:pPr>
              <w:pStyle w:val="TAL"/>
              <w:rPr>
                <w:sz w:val="16"/>
                <w:szCs w:val="16"/>
                <w:lang w:val="fr-FR"/>
              </w:rPr>
            </w:pPr>
            <w:r w:rsidRPr="00873B6C">
              <w:rPr>
                <w:sz w:val="16"/>
                <w:szCs w:val="16"/>
                <w:lang w:val="fr-FR"/>
              </w:rPr>
              <w:t>Non-3GPP QoS Assistance information update</w:t>
            </w:r>
          </w:p>
        </w:tc>
        <w:tc>
          <w:tcPr>
            <w:tcW w:w="708" w:type="dxa"/>
            <w:shd w:val="solid" w:color="FFFFFF" w:fill="auto"/>
          </w:tcPr>
          <w:p w14:paraId="6C1CF698" w14:textId="748150D2" w:rsidR="00472CD7" w:rsidRPr="00873B6C" w:rsidRDefault="00472CD7" w:rsidP="00591B52">
            <w:pPr>
              <w:pStyle w:val="TAC"/>
              <w:rPr>
                <w:sz w:val="16"/>
                <w:szCs w:val="16"/>
              </w:rPr>
            </w:pPr>
            <w:r w:rsidRPr="00873B6C">
              <w:rPr>
                <w:sz w:val="16"/>
                <w:szCs w:val="16"/>
              </w:rPr>
              <w:t>18.8.0</w:t>
            </w:r>
          </w:p>
        </w:tc>
      </w:tr>
      <w:tr w:rsidR="00472CD7" w:rsidRPr="00873B6C" w14:paraId="0E2007B9" w14:textId="77777777" w:rsidTr="009D14FB">
        <w:tc>
          <w:tcPr>
            <w:tcW w:w="800" w:type="dxa"/>
            <w:shd w:val="solid" w:color="FFFFFF" w:fill="auto"/>
          </w:tcPr>
          <w:p w14:paraId="763751D4" w14:textId="7DD4F522"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434B366A" w14:textId="6DCD0AA4"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377358D9" w14:textId="49A3E9CF" w:rsidR="00472CD7" w:rsidRPr="00873B6C" w:rsidRDefault="00472CD7" w:rsidP="00591B52">
            <w:pPr>
              <w:pStyle w:val="TAC"/>
              <w:rPr>
                <w:sz w:val="16"/>
                <w:szCs w:val="16"/>
              </w:rPr>
            </w:pPr>
            <w:r w:rsidRPr="00873B6C">
              <w:rPr>
                <w:sz w:val="16"/>
                <w:szCs w:val="16"/>
              </w:rPr>
              <w:t>SP-241468</w:t>
            </w:r>
          </w:p>
        </w:tc>
        <w:tc>
          <w:tcPr>
            <w:tcW w:w="567" w:type="dxa"/>
            <w:shd w:val="solid" w:color="FFFFFF" w:fill="auto"/>
          </w:tcPr>
          <w:p w14:paraId="5F245C97" w14:textId="6E1E27FE" w:rsidR="00472CD7" w:rsidRPr="00873B6C" w:rsidRDefault="00472CD7" w:rsidP="00591B52">
            <w:pPr>
              <w:pStyle w:val="TAL"/>
              <w:rPr>
                <w:sz w:val="16"/>
                <w:szCs w:val="16"/>
              </w:rPr>
            </w:pPr>
            <w:r w:rsidRPr="00873B6C">
              <w:rPr>
                <w:sz w:val="16"/>
                <w:szCs w:val="16"/>
              </w:rPr>
              <w:t>5704</w:t>
            </w:r>
          </w:p>
        </w:tc>
        <w:tc>
          <w:tcPr>
            <w:tcW w:w="425" w:type="dxa"/>
            <w:shd w:val="solid" w:color="FFFFFF" w:fill="auto"/>
          </w:tcPr>
          <w:p w14:paraId="1100EBF1" w14:textId="15F12334" w:rsidR="00472CD7" w:rsidRPr="00873B6C" w:rsidRDefault="00472CD7" w:rsidP="00591B52">
            <w:pPr>
              <w:pStyle w:val="TAL"/>
              <w:rPr>
                <w:sz w:val="16"/>
                <w:szCs w:val="16"/>
              </w:rPr>
            </w:pPr>
            <w:r w:rsidRPr="00873B6C">
              <w:rPr>
                <w:sz w:val="16"/>
                <w:szCs w:val="16"/>
              </w:rPr>
              <w:t>1</w:t>
            </w:r>
          </w:p>
        </w:tc>
        <w:tc>
          <w:tcPr>
            <w:tcW w:w="425" w:type="dxa"/>
            <w:shd w:val="solid" w:color="FFFFFF" w:fill="auto"/>
          </w:tcPr>
          <w:p w14:paraId="6B684348" w14:textId="5EE032F8"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19EA0CFB" w14:textId="5A102CF5" w:rsidR="00472CD7" w:rsidRPr="00873B6C" w:rsidRDefault="00472CD7" w:rsidP="00591B52">
            <w:pPr>
              <w:pStyle w:val="TAL"/>
              <w:rPr>
                <w:sz w:val="16"/>
                <w:szCs w:val="16"/>
              </w:rPr>
            </w:pPr>
            <w:r w:rsidRPr="00873B6C">
              <w:rPr>
                <w:sz w:val="16"/>
                <w:szCs w:val="16"/>
              </w:rPr>
              <w:t>Missing NRF NF instances for CHF and correction</w:t>
            </w:r>
          </w:p>
        </w:tc>
        <w:tc>
          <w:tcPr>
            <w:tcW w:w="708" w:type="dxa"/>
            <w:shd w:val="solid" w:color="FFFFFF" w:fill="auto"/>
          </w:tcPr>
          <w:p w14:paraId="4300BB58" w14:textId="39999D2E" w:rsidR="00472CD7" w:rsidRPr="00873B6C" w:rsidRDefault="00472CD7" w:rsidP="00591B52">
            <w:pPr>
              <w:pStyle w:val="TAC"/>
              <w:rPr>
                <w:sz w:val="16"/>
                <w:szCs w:val="16"/>
              </w:rPr>
            </w:pPr>
            <w:r w:rsidRPr="00873B6C">
              <w:rPr>
                <w:sz w:val="16"/>
                <w:szCs w:val="16"/>
              </w:rPr>
              <w:t>18.8.0</w:t>
            </w:r>
          </w:p>
        </w:tc>
      </w:tr>
      <w:tr w:rsidR="00472CD7" w:rsidRPr="00873B6C" w14:paraId="4AED304C" w14:textId="77777777" w:rsidTr="009D14FB">
        <w:tc>
          <w:tcPr>
            <w:tcW w:w="800" w:type="dxa"/>
            <w:shd w:val="solid" w:color="FFFFFF" w:fill="auto"/>
          </w:tcPr>
          <w:p w14:paraId="62922838" w14:textId="0862B7F1"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1C1DD360" w14:textId="4E375458"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3F42CAFD" w14:textId="2C513399" w:rsidR="00472CD7" w:rsidRPr="00873B6C" w:rsidRDefault="00472CD7" w:rsidP="00591B52">
            <w:pPr>
              <w:pStyle w:val="TAC"/>
              <w:rPr>
                <w:sz w:val="16"/>
                <w:szCs w:val="16"/>
              </w:rPr>
            </w:pPr>
            <w:r w:rsidRPr="00873B6C">
              <w:rPr>
                <w:sz w:val="16"/>
                <w:szCs w:val="16"/>
              </w:rPr>
              <w:t>SP-241466</w:t>
            </w:r>
          </w:p>
        </w:tc>
        <w:tc>
          <w:tcPr>
            <w:tcW w:w="567" w:type="dxa"/>
            <w:shd w:val="solid" w:color="FFFFFF" w:fill="auto"/>
          </w:tcPr>
          <w:p w14:paraId="00721FD6" w14:textId="3BAB8BDC" w:rsidR="00472CD7" w:rsidRPr="00873B6C" w:rsidRDefault="00472CD7" w:rsidP="00591B52">
            <w:pPr>
              <w:pStyle w:val="TAL"/>
              <w:rPr>
                <w:sz w:val="16"/>
                <w:szCs w:val="16"/>
              </w:rPr>
            </w:pPr>
            <w:r w:rsidRPr="00873B6C">
              <w:rPr>
                <w:sz w:val="16"/>
                <w:szCs w:val="16"/>
              </w:rPr>
              <w:t>5715</w:t>
            </w:r>
          </w:p>
        </w:tc>
        <w:tc>
          <w:tcPr>
            <w:tcW w:w="425" w:type="dxa"/>
            <w:shd w:val="solid" w:color="FFFFFF" w:fill="auto"/>
          </w:tcPr>
          <w:p w14:paraId="353BF2A4" w14:textId="3F21533C" w:rsidR="00472CD7" w:rsidRPr="00873B6C" w:rsidRDefault="00472CD7" w:rsidP="00591B52">
            <w:pPr>
              <w:pStyle w:val="TAL"/>
              <w:rPr>
                <w:sz w:val="16"/>
                <w:szCs w:val="16"/>
              </w:rPr>
            </w:pPr>
            <w:r w:rsidRPr="00873B6C">
              <w:rPr>
                <w:sz w:val="16"/>
                <w:szCs w:val="16"/>
              </w:rPr>
              <w:t>1</w:t>
            </w:r>
          </w:p>
        </w:tc>
        <w:tc>
          <w:tcPr>
            <w:tcW w:w="425" w:type="dxa"/>
            <w:shd w:val="solid" w:color="FFFFFF" w:fill="auto"/>
          </w:tcPr>
          <w:p w14:paraId="57D84343" w14:textId="7C82F63E"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1E9943D6" w14:textId="472D935F" w:rsidR="00472CD7" w:rsidRPr="00873B6C" w:rsidRDefault="00472CD7" w:rsidP="00591B52">
            <w:pPr>
              <w:pStyle w:val="TAL"/>
              <w:rPr>
                <w:sz w:val="16"/>
                <w:szCs w:val="16"/>
              </w:rPr>
            </w:pPr>
            <w:r w:rsidRPr="00873B6C">
              <w:rPr>
                <w:sz w:val="16"/>
                <w:szCs w:val="16"/>
              </w:rPr>
              <w:t>Additional ULI only provided to LMF</w:t>
            </w:r>
          </w:p>
        </w:tc>
        <w:tc>
          <w:tcPr>
            <w:tcW w:w="708" w:type="dxa"/>
            <w:shd w:val="solid" w:color="FFFFFF" w:fill="auto"/>
          </w:tcPr>
          <w:p w14:paraId="78CC267B" w14:textId="3A7B7E40" w:rsidR="00472CD7" w:rsidRPr="00873B6C" w:rsidRDefault="00472CD7" w:rsidP="00591B52">
            <w:pPr>
              <w:pStyle w:val="TAC"/>
              <w:rPr>
                <w:sz w:val="16"/>
                <w:szCs w:val="16"/>
              </w:rPr>
            </w:pPr>
            <w:r w:rsidRPr="00873B6C">
              <w:rPr>
                <w:sz w:val="16"/>
                <w:szCs w:val="16"/>
              </w:rPr>
              <w:t>18.8.0</w:t>
            </w:r>
          </w:p>
        </w:tc>
      </w:tr>
      <w:tr w:rsidR="00472CD7" w:rsidRPr="00873B6C" w14:paraId="14CDF799" w14:textId="77777777" w:rsidTr="009D14FB">
        <w:tc>
          <w:tcPr>
            <w:tcW w:w="800" w:type="dxa"/>
            <w:shd w:val="solid" w:color="FFFFFF" w:fill="auto"/>
          </w:tcPr>
          <w:p w14:paraId="2A6195C1" w14:textId="3CA06653"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7CBACF32" w14:textId="70824B67"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25ABB950" w14:textId="5530E6D3" w:rsidR="00472CD7" w:rsidRPr="00873B6C" w:rsidRDefault="00472CD7" w:rsidP="00591B52">
            <w:pPr>
              <w:pStyle w:val="TAC"/>
              <w:rPr>
                <w:sz w:val="16"/>
                <w:szCs w:val="16"/>
              </w:rPr>
            </w:pPr>
            <w:r w:rsidRPr="00873B6C">
              <w:rPr>
                <w:sz w:val="16"/>
                <w:szCs w:val="16"/>
              </w:rPr>
              <w:t>SP-241468</w:t>
            </w:r>
          </w:p>
        </w:tc>
        <w:tc>
          <w:tcPr>
            <w:tcW w:w="567" w:type="dxa"/>
            <w:shd w:val="solid" w:color="FFFFFF" w:fill="auto"/>
          </w:tcPr>
          <w:p w14:paraId="47F0E730" w14:textId="519392AC" w:rsidR="00472CD7" w:rsidRPr="00873B6C" w:rsidRDefault="00472CD7" w:rsidP="00591B52">
            <w:pPr>
              <w:pStyle w:val="TAL"/>
              <w:rPr>
                <w:sz w:val="16"/>
                <w:szCs w:val="16"/>
              </w:rPr>
            </w:pPr>
            <w:r w:rsidRPr="00873B6C">
              <w:rPr>
                <w:sz w:val="16"/>
                <w:szCs w:val="16"/>
              </w:rPr>
              <w:t>5779</w:t>
            </w:r>
          </w:p>
        </w:tc>
        <w:tc>
          <w:tcPr>
            <w:tcW w:w="425" w:type="dxa"/>
            <w:shd w:val="solid" w:color="FFFFFF" w:fill="auto"/>
          </w:tcPr>
          <w:p w14:paraId="7FE1EDF5" w14:textId="256EABD3" w:rsidR="00472CD7" w:rsidRPr="00873B6C" w:rsidRDefault="00472CD7" w:rsidP="00591B52">
            <w:pPr>
              <w:pStyle w:val="TAL"/>
              <w:rPr>
                <w:sz w:val="16"/>
                <w:szCs w:val="16"/>
              </w:rPr>
            </w:pPr>
            <w:r w:rsidRPr="00873B6C">
              <w:rPr>
                <w:sz w:val="16"/>
                <w:szCs w:val="16"/>
              </w:rPr>
              <w:t>-</w:t>
            </w:r>
          </w:p>
        </w:tc>
        <w:tc>
          <w:tcPr>
            <w:tcW w:w="425" w:type="dxa"/>
            <w:shd w:val="solid" w:color="FFFFFF" w:fill="auto"/>
          </w:tcPr>
          <w:p w14:paraId="1972C1D3" w14:textId="21C2813D"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62826BD4" w14:textId="3DE4D4DB" w:rsidR="00472CD7" w:rsidRPr="00873B6C" w:rsidRDefault="00472CD7" w:rsidP="00591B52">
            <w:pPr>
              <w:pStyle w:val="TAL"/>
              <w:rPr>
                <w:sz w:val="16"/>
                <w:szCs w:val="16"/>
              </w:rPr>
            </w:pPr>
            <w:r w:rsidRPr="00873B6C">
              <w:rPr>
                <w:sz w:val="16"/>
                <w:szCs w:val="16"/>
              </w:rPr>
              <w:t>UDR Discovery/Selection for Group ID Mapping</w:t>
            </w:r>
          </w:p>
        </w:tc>
        <w:tc>
          <w:tcPr>
            <w:tcW w:w="708" w:type="dxa"/>
            <w:shd w:val="solid" w:color="FFFFFF" w:fill="auto"/>
          </w:tcPr>
          <w:p w14:paraId="406F9C5A" w14:textId="0EC6AB48" w:rsidR="00472CD7" w:rsidRPr="00873B6C" w:rsidRDefault="00472CD7" w:rsidP="00591B52">
            <w:pPr>
              <w:pStyle w:val="TAC"/>
              <w:rPr>
                <w:sz w:val="16"/>
                <w:szCs w:val="16"/>
              </w:rPr>
            </w:pPr>
            <w:r w:rsidRPr="00873B6C">
              <w:rPr>
                <w:sz w:val="16"/>
                <w:szCs w:val="16"/>
              </w:rPr>
              <w:t>18.8.0</w:t>
            </w:r>
          </w:p>
        </w:tc>
      </w:tr>
      <w:tr w:rsidR="00857A0D" w:rsidRPr="00873B6C" w14:paraId="1011FDF9" w14:textId="77777777" w:rsidTr="009D14FB">
        <w:tc>
          <w:tcPr>
            <w:tcW w:w="800" w:type="dxa"/>
            <w:shd w:val="solid" w:color="FFFFFF" w:fill="auto"/>
          </w:tcPr>
          <w:p w14:paraId="350ACF26" w14:textId="1D48F0AE" w:rsidR="00857A0D" w:rsidRPr="00873B6C" w:rsidRDefault="00857A0D" w:rsidP="00591B52">
            <w:pPr>
              <w:pStyle w:val="TAC"/>
              <w:rPr>
                <w:sz w:val="16"/>
                <w:szCs w:val="16"/>
              </w:rPr>
            </w:pPr>
            <w:r w:rsidRPr="00873B6C">
              <w:rPr>
                <w:sz w:val="16"/>
                <w:szCs w:val="16"/>
              </w:rPr>
              <w:t>2025-03</w:t>
            </w:r>
          </w:p>
        </w:tc>
        <w:tc>
          <w:tcPr>
            <w:tcW w:w="800" w:type="dxa"/>
            <w:shd w:val="solid" w:color="FFFFFF" w:fill="auto"/>
          </w:tcPr>
          <w:p w14:paraId="7AB9B294" w14:textId="12461808" w:rsidR="00857A0D" w:rsidRPr="00873B6C" w:rsidRDefault="00857A0D" w:rsidP="00591B52">
            <w:pPr>
              <w:pStyle w:val="TAL"/>
              <w:rPr>
                <w:sz w:val="16"/>
                <w:szCs w:val="16"/>
              </w:rPr>
            </w:pPr>
            <w:r w:rsidRPr="00873B6C">
              <w:rPr>
                <w:sz w:val="16"/>
                <w:szCs w:val="16"/>
              </w:rPr>
              <w:t>SP#107</w:t>
            </w:r>
          </w:p>
        </w:tc>
        <w:tc>
          <w:tcPr>
            <w:tcW w:w="1094" w:type="dxa"/>
            <w:shd w:val="solid" w:color="FFFFFF" w:fill="auto"/>
          </w:tcPr>
          <w:p w14:paraId="4104C66F" w14:textId="4D4B6740" w:rsidR="00857A0D" w:rsidRPr="00873B6C" w:rsidRDefault="00857A0D" w:rsidP="00591B52">
            <w:pPr>
              <w:pStyle w:val="TAC"/>
              <w:rPr>
                <w:sz w:val="16"/>
                <w:szCs w:val="16"/>
              </w:rPr>
            </w:pPr>
            <w:r w:rsidRPr="00873B6C">
              <w:rPr>
                <w:sz w:val="16"/>
                <w:szCs w:val="16"/>
              </w:rPr>
              <w:t>SP-250053</w:t>
            </w:r>
          </w:p>
        </w:tc>
        <w:tc>
          <w:tcPr>
            <w:tcW w:w="567" w:type="dxa"/>
            <w:shd w:val="solid" w:color="FFFFFF" w:fill="auto"/>
          </w:tcPr>
          <w:p w14:paraId="6F3D751A" w14:textId="2614B610" w:rsidR="00857A0D" w:rsidRPr="00873B6C" w:rsidRDefault="00857A0D" w:rsidP="00591B52">
            <w:pPr>
              <w:pStyle w:val="TAL"/>
              <w:rPr>
                <w:sz w:val="16"/>
                <w:szCs w:val="16"/>
              </w:rPr>
            </w:pPr>
            <w:r w:rsidRPr="00873B6C">
              <w:rPr>
                <w:sz w:val="16"/>
                <w:szCs w:val="16"/>
              </w:rPr>
              <w:t>5890</w:t>
            </w:r>
          </w:p>
        </w:tc>
        <w:tc>
          <w:tcPr>
            <w:tcW w:w="425" w:type="dxa"/>
            <w:shd w:val="solid" w:color="FFFFFF" w:fill="auto"/>
          </w:tcPr>
          <w:p w14:paraId="23C24C0D" w14:textId="03993E69" w:rsidR="00857A0D" w:rsidRPr="00873B6C" w:rsidRDefault="00857A0D" w:rsidP="00591B52">
            <w:pPr>
              <w:pStyle w:val="TAL"/>
              <w:rPr>
                <w:sz w:val="16"/>
                <w:szCs w:val="16"/>
              </w:rPr>
            </w:pPr>
            <w:r w:rsidRPr="00873B6C">
              <w:rPr>
                <w:sz w:val="16"/>
                <w:szCs w:val="16"/>
              </w:rPr>
              <w:t>1</w:t>
            </w:r>
          </w:p>
        </w:tc>
        <w:tc>
          <w:tcPr>
            <w:tcW w:w="425" w:type="dxa"/>
            <w:shd w:val="solid" w:color="FFFFFF" w:fill="auto"/>
          </w:tcPr>
          <w:p w14:paraId="6FEC4DE2" w14:textId="28FBF745" w:rsidR="00857A0D" w:rsidRPr="00873B6C" w:rsidRDefault="00857A0D" w:rsidP="00591B52">
            <w:pPr>
              <w:pStyle w:val="TAL"/>
              <w:rPr>
                <w:sz w:val="16"/>
                <w:szCs w:val="16"/>
              </w:rPr>
            </w:pPr>
            <w:r w:rsidRPr="00873B6C">
              <w:rPr>
                <w:sz w:val="16"/>
                <w:szCs w:val="16"/>
              </w:rPr>
              <w:t>F</w:t>
            </w:r>
          </w:p>
        </w:tc>
        <w:tc>
          <w:tcPr>
            <w:tcW w:w="4820" w:type="dxa"/>
            <w:shd w:val="solid" w:color="FFFFFF" w:fill="auto"/>
          </w:tcPr>
          <w:p w14:paraId="5774DC06" w14:textId="6549E396" w:rsidR="00857A0D" w:rsidRPr="00873B6C" w:rsidRDefault="00857A0D" w:rsidP="00591B52">
            <w:pPr>
              <w:pStyle w:val="TAL"/>
              <w:rPr>
                <w:sz w:val="16"/>
                <w:szCs w:val="16"/>
              </w:rPr>
            </w:pPr>
            <w:r w:rsidRPr="00873B6C">
              <w:rPr>
                <w:sz w:val="16"/>
                <w:szCs w:val="16"/>
              </w:rPr>
              <w:t>XRM services support in Roaming scenarios</w:t>
            </w:r>
          </w:p>
        </w:tc>
        <w:tc>
          <w:tcPr>
            <w:tcW w:w="708" w:type="dxa"/>
            <w:shd w:val="solid" w:color="FFFFFF" w:fill="auto"/>
          </w:tcPr>
          <w:p w14:paraId="3929B503" w14:textId="5EACE34F" w:rsidR="00857A0D" w:rsidRPr="00873B6C" w:rsidRDefault="00857A0D" w:rsidP="00591B52">
            <w:pPr>
              <w:pStyle w:val="TAC"/>
              <w:rPr>
                <w:sz w:val="16"/>
                <w:szCs w:val="16"/>
              </w:rPr>
            </w:pPr>
            <w:r w:rsidRPr="00873B6C">
              <w:rPr>
                <w:sz w:val="16"/>
                <w:szCs w:val="16"/>
              </w:rPr>
              <w:t>18.9.0</w:t>
            </w:r>
          </w:p>
        </w:tc>
      </w:tr>
      <w:tr w:rsidR="00857A0D" w:rsidRPr="00873B6C" w14:paraId="4E28DBB1" w14:textId="77777777" w:rsidTr="009D14FB">
        <w:tc>
          <w:tcPr>
            <w:tcW w:w="800" w:type="dxa"/>
            <w:shd w:val="solid" w:color="FFFFFF" w:fill="auto"/>
          </w:tcPr>
          <w:p w14:paraId="2B73A20B" w14:textId="1080FB22" w:rsidR="00857A0D" w:rsidRPr="00873B6C" w:rsidRDefault="00857A0D" w:rsidP="00591B52">
            <w:pPr>
              <w:pStyle w:val="TAC"/>
              <w:rPr>
                <w:sz w:val="16"/>
                <w:szCs w:val="16"/>
              </w:rPr>
            </w:pPr>
            <w:r w:rsidRPr="00873B6C">
              <w:rPr>
                <w:sz w:val="16"/>
                <w:szCs w:val="16"/>
              </w:rPr>
              <w:t>2025-03</w:t>
            </w:r>
          </w:p>
        </w:tc>
        <w:tc>
          <w:tcPr>
            <w:tcW w:w="800" w:type="dxa"/>
            <w:shd w:val="solid" w:color="FFFFFF" w:fill="auto"/>
          </w:tcPr>
          <w:p w14:paraId="0E1C3FFD" w14:textId="3F2EF50F" w:rsidR="00857A0D" w:rsidRPr="00873B6C" w:rsidRDefault="00857A0D" w:rsidP="00591B52">
            <w:pPr>
              <w:pStyle w:val="TAL"/>
              <w:rPr>
                <w:sz w:val="16"/>
                <w:szCs w:val="16"/>
              </w:rPr>
            </w:pPr>
            <w:r w:rsidRPr="00873B6C">
              <w:rPr>
                <w:sz w:val="16"/>
                <w:szCs w:val="16"/>
              </w:rPr>
              <w:t>SP#107</w:t>
            </w:r>
          </w:p>
        </w:tc>
        <w:tc>
          <w:tcPr>
            <w:tcW w:w="1094" w:type="dxa"/>
            <w:shd w:val="solid" w:color="FFFFFF" w:fill="auto"/>
          </w:tcPr>
          <w:p w14:paraId="6CCF8507" w14:textId="12EA7D2E" w:rsidR="00857A0D" w:rsidRPr="00873B6C" w:rsidRDefault="00857A0D" w:rsidP="00591B52">
            <w:pPr>
              <w:pStyle w:val="TAC"/>
              <w:rPr>
                <w:sz w:val="16"/>
                <w:szCs w:val="16"/>
              </w:rPr>
            </w:pPr>
            <w:r w:rsidRPr="00873B6C">
              <w:rPr>
                <w:sz w:val="16"/>
                <w:szCs w:val="16"/>
              </w:rPr>
              <w:t>SP-250045</w:t>
            </w:r>
          </w:p>
        </w:tc>
        <w:tc>
          <w:tcPr>
            <w:tcW w:w="567" w:type="dxa"/>
            <w:shd w:val="solid" w:color="FFFFFF" w:fill="auto"/>
          </w:tcPr>
          <w:p w14:paraId="702F5F9E" w14:textId="077C12A6" w:rsidR="00857A0D" w:rsidRPr="00873B6C" w:rsidRDefault="00857A0D" w:rsidP="00591B52">
            <w:pPr>
              <w:pStyle w:val="TAL"/>
              <w:rPr>
                <w:sz w:val="16"/>
                <w:szCs w:val="16"/>
              </w:rPr>
            </w:pPr>
            <w:r w:rsidRPr="00873B6C">
              <w:rPr>
                <w:sz w:val="16"/>
                <w:szCs w:val="16"/>
              </w:rPr>
              <w:t>5895</w:t>
            </w:r>
          </w:p>
        </w:tc>
        <w:tc>
          <w:tcPr>
            <w:tcW w:w="425" w:type="dxa"/>
            <w:shd w:val="solid" w:color="FFFFFF" w:fill="auto"/>
          </w:tcPr>
          <w:p w14:paraId="647416D3" w14:textId="3DE427BF" w:rsidR="00857A0D" w:rsidRPr="00873B6C" w:rsidRDefault="00857A0D" w:rsidP="00591B52">
            <w:pPr>
              <w:pStyle w:val="TAL"/>
              <w:rPr>
                <w:sz w:val="16"/>
                <w:szCs w:val="16"/>
              </w:rPr>
            </w:pPr>
            <w:r w:rsidRPr="00873B6C">
              <w:rPr>
                <w:sz w:val="16"/>
                <w:szCs w:val="16"/>
              </w:rPr>
              <w:t>3</w:t>
            </w:r>
          </w:p>
        </w:tc>
        <w:tc>
          <w:tcPr>
            <w:tcW w:w="425" w:type="dxa"/>
            <w:shd w:val="solid" w:color="FFFFFF" w:fill="auto"/>
          </w:tcPr>
          <w:p w14:paraId="549C822E" w14:textId="74D5A220" w:rsidR="00857A0D" w:rsidRPr="00873B6C" w:rsidRDefault="00857A0D" w:rsidP="00591B52">
            <w:pPr>
              <w:pStyle w:val="TAL"/>
              <w:rPr>
                <w:sz w:val="16"/>
                <w:szCs w:val="16"/>
              </w:rPr>
            </w:pPr>
            <w:r w:rsidRPr="00873B6C">
              <w:rPr>
                <w:sz w:val="16"/>
                <w:szCs w:val="16"/>
              </w:rPr>
              <w:t>F</w:t>
            </w:r>
          </w:p>
        </w:tc>
        <w:tc>
          <w:tcPr>
            <w:tcW w:w="4820" w:type="dxa"/>
            <w:shd w:val="solid" w:color="FFFFFF" w:fill="auto"/>
          </w:tcPr>
          <w:p w14:paraId="133AFD46" w14:textId="42B99A5D" w:rsidR="00857A0D" w:rsidRPr="00873B6C" w:rsidRDefault="00857A0D" w:rsidP="00591B52">
            <w:pPr>
              <w:pStyle w:val="TAL"/>
              <w:rPr>
                <w:sz w:val="16"/>
                <w:szCs w:val="16"/>
              </w:rPr>
            </w:pPr>
            <w:r w:rsidRPr="00873B6C">
              <w:rPr>
                <w:sz w:val="16"/>
                <w:szCs w:val="16"/>
              </w:rPr>
              <w:t>Prioritization between UDM, OAM and NSSF based slice validity time</w:t>
            </w:r>
          </w:p>
        </w:tc>
        <w:tc>
          <w:tcPr>
            <w:tcW w:w="708" w:type="dxa"/>
            <w:shd w:val="solid" w:color="FFFFFF" w:fill="auto"/>
          </w:tcPr>
          <w:p w14:paraId="591322BF" w14:textId="6563BB9F" w:rsidR="00857A0D" w:rsidRPr="00873B6C" w:rsidRDefault="00857A0D" w:rsidP="00591B52">
            <w:pPr>
              <w:pStyle w:val="TAC"/>
              <w:rPr>
                <w:sz w:val="16"/>
                <w:szCs w:val="16"/>
              </w:rPr>
            </w:pPr>
            <w:r w:rsidRPr="00873B6C">
              <w:rPr>
                <w:sz w:val="16"/>
                <w:szCs w:val="16"/>
              </w:rPr>
              <w:t>18.9.0</w:t>
            </w:r>
          </w:p>
        </w:tc>
      </w:tr>
      <w:tr w:rsidR="00857A0D" w:rsidRPr="00873B6C" w14:paraId="3BA30926" w14:textId="77777777" w:rsidTr="009D14FB">
        <w:tc>
          <w:tcPr>
            <w:tcW w:w="800" w:type="dxa"/>
            <w:shd w:val="solid" w:color="FFFFFF" w:fill="auto"/>
          </w:tcPr>
          <w:p w14:paraId="54A22C97" w14:textId="78A2D01E" w:rsidR="00857A0D" w:rsidRPr="00873B6C" w:rsidRDefault="00857A0D" w:rsidP="00591B52">
            <w:pPr>
              <w:pStyle w:val="TAC"/>
              <w:rPr>
                <w:sz w:val="16"/>
                <w:szCs w:val="16"/>
              </w:rPr>
            </w:pPr>
            <w:r w:rsidRPr="00873B6C">
              <w:rPr>
                <w:sz w:val="16"/>
                <w:szCs w:val="16"/>
              </w:rPr>
              <w:t>2025-03</w:t>
            </w:r>
          </w:p>
        </w:tc>
        <w:tc>
          <w:tcPr>
            <w:tcW w:w="800" w:type="dxa"/>
            <w:shd w:val="solid" w:color="FFFFFF" w:fill="auto"/>
          </w:tcPr>
          <w:p w14:paraId="6C95871A" w14:textId="1916FC85" w:rsidR="00857A0D" w:rsidRPr="00873B6C" w:rsidRDefault="00857A0D" w:rsidP="00591B52">
            <w:pPr>
              <w:pStyle w:val="TAL"/>
              <w:rPr>
                <w:sz w:val="16"/>
                <w:szCs w:val="16"/>
              </w:rPr>
            </w:pPr>
            <w:r w:rsidRPr="00873B6C">
              <w:rPr>
                <w:sz w:val="16"/>
                <w:szCs w:val="16"/>
              </w:rPr>
              <w:t>SP#107</w:t>
            </w:r>
          </w:p>
        </w:tc>
        <w:tc>
          <w:tcPr>
            <w:tcW w:w="1094" w:type="dxa"/>
            <w:shd w:val="solid" w:color="FFFFFF" w:fill="auto"/>
          </w:tcPr>
          <w:p w14:paraId="3F6CE004" w14:textId="3580A523" w:rsidR="00857A0D" w:rsidRPr="00873B6C" w:rsidRDefault="00857A0D" w:rsidP="00591B52">
            <w:pPr>
              <w:pStyle w:val="TAC"/>
              <w:rPr>
                <w:sz w:val="16"/>
                <w:szCs w:val="16"/>
              </w:rPr>
            </w:pPr>
            <w:r w:rsidRPr="00873B6C">
              <w:rPr>
                <w:sz w:val="16"/>
                <w:szCs w:val="16"/>
              </w:rPr>
              <w:t>SP-250033</w:t>
            </w:r>
          </w:p>
        </w:tc>
        <w:tc>
          <w:tcPr>
            <w:tcW w:w="567" w:type="dxa"/>
            <w:shd w:val="solid" w:color="FFFFFF" w:fill="auto"/>
          </w:tcPr>
          <w:p w14:paraId="4EDABEC3" w14:textId="21E24A44" w:rsidR="00857A0D" w:rsidRPr="00873B6C" w:rsidRDefault="00857A0D" w:rsidP="00591B52">
            <w:pPr>
              <w:pStyle w:val="TAL"/>
              <w:rPr>
                <w:sz w:val="16"/>
                <w:szCs w:val="16"/>
              </w:rPr>
            </w:pPr>
            <w:r w:rsidRPr="00873B6C">
              <w:rPr>
                <w:sz w:val="16"/>
                <w:szCs w:val="16"/>
              </w:rPr>
              <w:t>5931</w:t>
            </w:r>
          </w:p>
        </w:tc>
        <w:tc>
          <w:tcPr>
            <w:tcW w:w="425" w:type="dxa"/>
            <w:shd w:val="solid" w:color="FFFFFF" w:fill="auto"/>
          </w:tcPr>
          <w:p w14:paraId="38D5195B" w14:textId="0147E547" w:rsidR="00857A0D" w:rsidRPr="00873B6C" w:rsidRDefault="00857A0D" w:rsidP="00591B52">
            <w:pPr>
              <w:pStyle w:val="TAL"/>
              <w:rPr>
                <w:sz w:val="16"/>
                <w:szCs w:val="16"/>
              </w:rPr>
            </w:pPr>
            <w:r w:rsidRPr="00873B6C">
              <w:rPr>
                <w:sz w:val="16"/>
                <w:szCs w:val="16"/>
              </w:rPr>
              <w:t>1</w:t>
            </w:r>
          </w:p>
        </w:tc>
        <w:tc>
          <w:tcPr>
            <w:tcW w:w="425" w:type="dxa"/>
            <w:shd w:val="solid" w:color="FFFFFF" w:fill="auto"/>
          </w:tcPr>
          <w:p w14:paraId="623A7BB8" w14:textId="3E338EB7" w:rsidR="00857A0D" w:rsidRPr="00873B6C" w:rsidRDefault="00857A0D" w:rsidP="00591B52">
            <w:pPr>
              <w:pStyle w:val="TAL"/>
              <w:rPr>
                <w:sz w:val="16"/>
                <w:szCs w:val="16"/>
              </w:rPr>
            </w:pPr>
            <w:r w:rsidRPr="00873B6C">
              <w:rPr>
                <w:sz w:val="16"/>
                <w:szCs w:val="16"/>
              </w:rPr>
              <w:t>F</w:t>
            </w:r>
          </w:p>
        </w:tc>
        <w:tc>
          <w:tcPr>
            <w:tcW w:w="4820" w:type="dxa"/>
            <w:shd w:val="solid" w:color="FFFFFF" w:fill="auto"/>
          </w:tcPr>
          <w:p w14:paraId="78A91C81" w14:textId="5AF6C59E" w:rsidR="00857A0D" w:rsidRPr="00873B6C" w:rsidRDefault="00857A0D" w:rsidP="00591B52">
            <w:pPr>
              <w:pStyle w:val="TAL"/>
              <w:rPr>
                <w:sz w:val="16"/>
                <w:szCs w:val="16"/>
              </w:rPr>
            </w:pPr>
            <w:r w:rsidRPr="00873B6C">
              <w:rPr>
                <w:sz w:val="16"/>
                <w:szCs w:val="16"/>
              </w:rPr>
              <w:t>VPLMN QoS constraint clarification</w:t>
            </w:r>
          </w:p>
        </w:tc>
        <w:tc>
          <w:tcPr>
            <w:tcW w:w="708" w:type="dxa"/>
            <w:shd w:val="solid" w:color="FFFFFF" w:fill="auto"/>
          </w:tcPr>
          <w:p w14:paraId="0AB778D4" w14:textId="48081A1C" w:rsidR="00857A0D" w:rsidRPr="00873B6C" w:rsidRDefault="00857A0D" w:rsidP="00591B52">
            <w:pPr>
              <w:pStyle w:val="TAC"/>
              <w:rPr>
                <w:sz w:val="16"/>
                <w:szCs w:val="16"/>
              </w:rPr>
            </w:pPr>
            <w:r w:rsidRPr="00873B6C">
              <w:rPr>
                <w:sz w:val="16"/>
                <w:szCs w:val="16"/>
              </w:rPr>
              <w:t>18.9.0</w:t>
            </w:r>
          </w:p>
        </w:tc>
      </w:tr>
      <w:tr w:rsidR="00857A0D" w:rsidRPr="00873B6C" w14:paraId="6B5DFB51" w14:textId="77777777" w:rsidTr="009D14FB">
        <w:tc>
          <w:tcPr>
            <w:tcW w:w="800" w:type="dxa"/>
            <w:shd w:val="solid" w:color="FFFFFF" w:fill="auto"/>
          </w:tcPr>
          <w:p w14:paraId="42DCC3C5" w14:textId="0F7F3662" w:rsidR="00857A0D" w:rsidRPr="00873B6C" w:rsidRDefault="00857A0D" w:rsidP="00591B52">
            <w:pPr>
              <w:pStyle w:val="TAC"/>
              <w:rPr>
                <w:sz w:val="16"/>
                <w:szCs w:val="16"/>
              </w:rPr>
            </w:pPr>
            <w:r w:rsidRPr="00873B6C">
              <w:rPr>
                <w:sz w:val="16"/>
                <w:szCs w:val="16"/>
              </w:rPr>
              <w:t>2025-03</w:t>
            </w:r>
          </w:p>
        </w:tc>
        <w:tc>
          <w:tcPr>
            <w:tcW w:w="800" w:type="dxa"/>
            <w:shd w:val="solid" w:color="FFFFFF" w:fill="auto"/>
          </w:tcPr>
          <w:p w14:paraId="2A4F2A58" w14:textId="1E560D11" w:rsidR="00857A0D" w:rsidRPr="00873B6C" w:rsidRDefault="00857A0D" w:rsidP="00591B52">
            <w:pPr>
              <w:pStyle w:val="TAL"/>
              <w:rPr>
                <w:sz w:val="16"/>
                <w:szCs w:val="16"/>
              </w:rPr>
            </w:pPr>
            <w:r w:rsidRPr="00873B6C">
              <w:rPr>
                <w:sz w:val="16"/>
                <w:szCs w:val="16"/>
              </w:rPr>
              <w:t>SP#107</w:t>
            </w:r>
          </w:p>
        </w:tc>
        <w:tc>
          <w:tcPr>
            <w:tcW w:w="1094" w:type="dxa"/>
            <w:shd w:val="solid" w:color="FFFFFF" w:fill="auto"/>
          </w:tcPr>
          <w:p w14:paraId="3A183A46" w14:textId="236F3233" w:rsidR="00857A0D" w:rsidRPr="00873B6C" w:rsidRDefault="00857A0D" w:rsidP="00591B52">
            <w:pPr>
              <w:pStyle w:val="TAC"/>
              <w:rPr>
                <w:sz w:val="16"/>
                <w:szCs w:val="16"/>
              </w:rPr>
            </w:pPr>
            <w:r w:rsidRPr="00873B6C">
              <w:rPr>
                <w:sz w:val="16"/>
                <w:szCs w:val="16"/>
              </w:rPr>
              <w:t>SP-250052</w:t>
            </w:r>
          </w:p>
        </w:tc>
        <w:tc>
          <w:tcPr>
            <w:tcW w:w="567" w:type="dxa"/>
            <w:shd w:val="solid" w:color="FFFFFF" w:fill="auto"/>
          </w:tcPr>
          <w:p w14:paraId="4E807422" w14:textId="6640193E" w:rsidR="00857A0D" w:rsidRPr="00873B6C" w:rsidRDefault="00857A0D" w:rsidP="00591B52">
            <w:pPr>
              <w:pStyle w:val="TAL"/>
              <w:rPr>
                <w:sz w:val="16"/>
                <w:szCs w:val="16"/>
              </w:rPr>
            </w:pPr>
            <w:r w:rsidRPr="00873B6C">
              <w:rPr>
                <w:sz w:val="16"/>
                <w:szCs w:val="16"/>
              </w:rPr>
              <w:t>5947</w:t>
            </w:r>
          </w:p>
        </w:tc>
        <w:tc>
          <w:tcPr>
            <w:tcW w:w="425" w:type="dxa"/>
            <w:shd w:val="solid" w:color="FFFFFF" w:fill="auto"/>
          </w:tcPr>
          <w:p w14:paraId="30F41AFD" w14:textId="44155815" w:rsidR="00857A0D" w:rsidRPr="00873B6C" w:rsidRDefault="00857A0D" w:rsidP="00591B52">
            <w:pPr>
              <w:pStyle w:val="TAL"/>
              <w:rPr>
                <w:sz w:val="16"/>
                <w:szCs w:val="16"/>
              </w:rPr>
            </w:pPr>
            <w:r w:rsidRPr="00873B6C">
              <w:rPr>
                <w:sz w:val="16"/>
                <w:szCs w:val="16"/>
              </w:rPr>
              <w:t>1</w:t>
            </w:r>
          </w:p>
        </w:tc>
        <w:tc>
          <w:tcPr>
            <w:tcW w:w="425" w:type="dxa"/>
            <w:shd w:val="solid" w:color="FFFFFF" w:fill="auto"/>
          </w:tcPr>
          <w:p w14:paraId="1FBC1F33" w14:textId="01E10170" w:rsidR="00857A0D" w:rsidRPr="00873B6C" w:rsidRDefault="00857A0D" w:rsidP="00591B52">
            <w:pPr>
              <w:pStyle w:val="TAL"/>
              <w:rPr>
                <w:sz w:val="16"/>
                <w:szCs w:val="16"/>
              </w:rPr>
            </w:pPr>
            <w:r w:rsidRPr="00873B6C">
              <w:rPr>
                <w:sz w:val="16"/>
                <w:szCs w:val="16"/>
              </w:rPr>
              <w:t>F</w:t>
            </w:r>
          </w:p>
        </w:tc>
        <w:tc>
          <w:tcPr>
            <w:tcW w:w="4820" w:type="dxa"/>
            <w:shd w:val="solid" w:color="FFFFFF" w:fill="auto"/>
          </w:tcPr>
          <w:p w14:paraId="0F059F5A" w14:textId="3000D711" w:rsidR="00857A0D" w:rsidRPr="00873B6C" w:rsidRDefault="00857A0D" w:rsidP="00591B52">
            <w:pPr>
              <w:pStyle w:val="TAL"/>
              <w:rPr>
                <w:sz w:val="16"/>
                <w:szCs w:val="16"/>
              </w:rPr>
            </w:pPr>
            <w:r w:rsidRPr="00873B6C">
              <w:rPr>
                <w:sz w:val="16"/>
                <w:szCs w:val="16"/>
              </w:rPr>
              <w:t>Addition of missing LLDP TLVs</w:t>
            </w:r>
          </w:p>
        </w:tc>
        <w:tc>
          <w:tcPr>
            <w:tcW w:w="708" w:type="dxa"/>
            <w:shd w:val="solid" w:color="FFFFFF" w:fill="auto"/>
          </w:tcPr>
          <w:p w14:paraId="65BEFF88" w14:textId="2B47758E" w:rsidR="00857A0D" w:rsidRPr="00873B6C" w:rsidRDefault="00857A0D" w:rsidP="00591B52">
            <w:pPr>
              <w:pStyle w:val="TAC"/>
              <w:rPr>
                <w:sz w:val="16"/>
                <w:szCs w:val="16"/>
              </w:rPr>
            </w:pPr>
            <w:r w:rsidRPr="00873B6C">
              <w:rPr>
                <w:sz w:val="16"/>
                <w:szCs w:val="16"/>
              </w:rPr>
              <w:t>18.9.0</w:t>
            </w:r>
          </w:p>
        </w:tc>
      </w:tr>
      <w:tr w:rsidR="000F3F9B" w:rsidRPr="00873B6C" w14:paraId="73FDC49A" w14:textId="77777777" w:rsidTr="009D14FB">
        <w:tc>
          <w:tcPr>
            <w:tcW w:w="800" w:type="dxa"/>
            <w:shd w:val="solid" w:color="FFFFFF" w:fill="auto"/>
          </w:tcPr>
          <w:p w14:paraId="1EBFCB33" w14:textId="696C3C15" w:rsidR="000F3F9B" w:rsidRPr="00873B6C" w:rsidRDefault="000F3F9B" w:rsidP="00591B52">
            <w:pPr>
              <w:pStyle w:val="TAC"/>
              <w:rPr>
                <w:sz w:val="16"/>
                <w:szCs w:val="16"/>
              </w:rPr>
            </w:pPr>
            <w:r w:rsidRPr="00873B6C">
              <w:rPr>
                <w:sz w:val="16"/>
                <w:szCs w:val="16"/>
              </w:rPr>
              <w:t>2025-03</w:t>
            </w:r>
          </w:p>
        </w:tc>
        <w:tc>
          <w:tcPr>
            <w:tcW w:w="800" w:type="dxa"/>
            <w:shd w:val="solid" w:color="FFFFFF" w:fill="auto"/>
          </w:tcPr>
          <w:p w14:paraId="3EE31402" w14:textId="7849E072" w:rsidR="000F3F9B" w:rsidRPr="00873B6C" w:rsidRDefault="000F3F9B" w:rsidP="00591B52">
            <w:pPr>
              <w:pStyle w:val="TAL"/>
              <w:rPr>
                <w:sz w:val="16"/>
                <w:szCs w:val="16"/>
              </w:rPr>
            </w:pPr>
            <w:r w:rsidRPr="00873B6C">
              <w:rPr>
                <w:sz w:val="16"/>
                <w:szCs w:val="16"/>
              </w:rPr>
              <w:t>SP#107</w:t>
            </w:r>
          </w:p>
        </w:tc>
        <w:tc>
          <w:tcPr>
            <w:tcW w:w="1094" w:type="dxa"/>
            <w:shd w:val="solid" w:color="FFFFFF" w:fill="auto"/>
          </w:tcPr>
          <w:p w14:paraId="28835836" w14:textId="2A14910D" w:rsidR="000F3F9B" w:rsidRPr="00873B6C" w:rsidRDefault="000F3F9B" w:rsidP="00591B52">
            <w:pPr>
              <w:pStyle w:val="TAC"/>
              <w:rPr>
                <w:sz w:val="16"/>
                <w:szCs w:val="16"/>
              </w:rPr>
            </w:pPr>
            <w:r w:rsidRPr="00873B6C">
              <w:rPr>
                <w:sz w:val="16"/>
                <w:szCs w:val="16"/>
              </w:rPr>
              <w:t>SP-250035</w:t>
            </w:r>
          </w:p>
        </w:tc>
        <w:tc>
          <w:tcPr>
            <w:tcW w:w="567" w:type="dxa"/>
            <w:shd w:val="solid" w:color="FFFFFF" w:fill="auto"/>
          </w:tcPr>
          <w:p w14:paraId="51DBCE08" w14:textId="4534680E" w:rsidR="000F3F9B" w:rsidRPr="00873B6C" w:rsidRDefault="000F3F9B" w:rsidP="00591B52">
            <w:pPr>
              <w:pStyle w:val="TAL"/>
              <w:rPr>
                <w:sz w:val="16"/>
                <w:szCs w:val="16"/>
              </w:rPr>
            </w:pPr>
            <w:r w:rsidRPr="00873B6C">
              <w:rPr>
                <w:sz w:val="16"/>
                <w:szCs w:val="16"/>
              </w:rPr>
              <w:t>5949</w:t>
            </w:r>
          </w:p>
        </w:tc>
        <w:tc>
          <w:tcPr>
            <w:tcW w:w="425" w:type="dxa"/>
            <w:shd w:val="solid" w:color="FFFFFF" w:fill="auto"/>
          </w:tcPr>
          <w:p w14:paraId="787BEE82" w14:textId="0688B7A2" w:rsidR="000F3F9B" w:rsidRPr="00873B6C" w:rsidRDefault="000F3F9B" w:rsidP="00591B52">
            <w:pPr>
              <w:pStyle w:val="TAL"/>
              <w:rPr>
                <w:sz w:val="16"/>
                <w:szCs w:val="16"/>
              </w:rPr>
            </w:pPr>
            <w:r w:rsidRPr="00873B6C">
              <w:rPr>
                <w:sz w:val="16"/>
                <w:szCs w:val="16"/>
              </w:rPr>
              <w:t>-</w:t>
            </w:r>
          </w:p>
        </w:tc>
        <w:tc>
          <w:tcPr>
            <w:tcW w:w="425" w:type="dxa"/>
            <w:shd w:val="solid" w:color="FFFFFF" w:fill="auto"/>
          </w:tcPr>
          <w:p w14:paraId="4579D6C1" w14:textId="45F96D76" w:rsidR="000F3F9B" w:rsidRPr="00873B6C" w:rsidRDefault="000F3F9B" w:rsidP="00591B52">
            <w:pPr>
              <w:pStyle w:val="TAL"/>
              <w:rPr>
                <w:sz w:val="16"/>
                <w:szCs w:val="16"/>
              </w:rPr>
            </w:pPr>
            <w:r w:rsidRPr="00873B6C">
              <w:rPr>
                <w:sz w:val="16"/>
                <w:szCs w:val="16"/>
              </w:rPr>
              <w:t>F</w:t>
            </w:r>
          </w:p>
        </w:tc>
        <w:tc>
          <w:tcPr>
            <w:tcW w:w="4820" w:type="dxa"/>
            <w:shd w:val="solid" w:color="FFFFFF" w:fill="auto"/>
          </w:tcPr>
          <w:p w14:paraId="6E3088BF" w14:textId="0CE916C5" w:rsidR="000F3F9B" w:rsidRPr="00873B6C" w:rsidRDefault="000F3F9B" w:rsidP="00591B52">
            <w:pPr>
              <w:pStyle w:val="TAL"/>
              <w:rPr>
                <w:sz w:val="16"/>
                <w:szCs w:val="16"/>
              </w:rPr>
            </w:pPr>
            <w:r w:rsidRPr="00873B6C">
              <w:rPr>
                <w:sz w:val="16"/>
                <w:szCs w:val="16"/>
              </w:rPr>
              <w:t>Updated reference for DetNet RFC</w:t>
            </w:r>
          </w:p>
        </w:tc>
        <w:tc>
          <w:tcPr>
            <w:tcW w:w="708" w:type="dxa"/>
            <w:shd w:val="solid" w:color="FFFFFF" w:fill="auto"/>
          </w:tcPr>
          <w:p w14:paraId="56FAF109" w14:textId="651B414E" w:rsidR="000F3F9B" w:rsidRPr="00873B6C" w:rsidRDefault="000F3F9B" w:rsidP="00591B52">
            <w:pPr>
              <w:pStyle w:val="TAC"/>
              <w:rPr>
                <w:sz w:val="16"/>
                <w:szCs w:val="16"/>
              </w:rPr>
            </w:pPr>
            <w:r w:rsidRPr="00873B6C">
              <w:rPr>
                <w:sz w:val="16"/>
                <w:szCs w:val="16"/>
              </w:rPr>
              <w:t>18.9.0</w:t>
            </w:r>
          </w:p>
        </w:tc>
      </w:tr>
      <w:tr w:rsidR="008056BA" w:rsidRPr="00873B6C" w14:paraId="5FDD070A" w14:textId="77777777" w:rsidTr="009D14FB">
        <w:tc>
          <w:tcPr>
            <w:tcW w:w="800" w:type="dxa"/>
            <w:shd w:val="solid" w:color="FFFFFF" w:fill="auto"/>
          </w:tcPr>
          <w:p w14:paraId="600F8423" w14:textId="3D63E4FF" w:rsidR="008056BA" w:rsidRPr="00873B6C" w:rsidRDefault="008056BA" w:rsidP="00591B52">
            <w:pPr>
              <w:pStyle w:val="TAC"/>
              <w:rPr>
                <w:sz w:val="16"/>
                <w:szCs w:val="16"/>
              </w:rPr>
            </w:pPr>
            <w:r w:rsidRPr="00873B6C">
              <w:rPr>
                <w:sz w:val="16"/>
                <w:szCs w:val="16"/>
              </w:rPr>
              <w:t>2025-03</w:t>
            </w:r>
          </w:p>
        </w:tc>
        <w:tc>
          <w:tcPr>
            <w:tcW w:w="800" w:type="dxa"/>
            <w:shd w:val="solid" w:color="FFFFFF" w:fill="auto"/>
          </w:tcPr>
          <w:p w14:paraId="4E4D0DE7" w14:textId="3C54E6B9" w:rsidR="008056BA" w:rsidRPr="00873B6C" w:rsidRDefault="008056BA" w:rsidP="00591B52">
            <w:pPr>
              <w:pStyle w:val="TAL"/>
              <w:rPr>
                <w:sz w:val="16"/>
                <w:szCs w:val="16"/>
              </w:rPr>
            </w:pPr>
            <w:r w:rsidRPr="00873B6C">
              <w:rPr>
                <w:sz w:val="16"/>
                <w:szCs w:val="16"/>
              </w:rPr>
              <w:t>SP#107</w:t>
            </w:r>
          </w:p>
        </w:tc>
        <w:tc>
          <w:tcPr>
            <w:tcW w:w="1094" w:type="dxa"/>
            <w:shd w:val="solid" w:color="FFFFFF" w:fill="auto"/>
          </w:tcPr>
          <w:p w14:paraId="7D1B32ED" w14:textId="52BCB3FB" w:rsidR="008056BA" w:rsidRPr="00873B6C" w:rsidRDefault="008056BA" w:rsidP="00591B52">
            <w:pPr>
              <w:pStyle w:val="TAC"/>
              <w:rPr>
                <w:sz w:val="16"/>
                <w:szCs w:val="16"/>
              </w:rPr>
            </w:pPr>
            <w:r w:rsidRPr="00873B6C">
              <w:rPr>
                <w:sz w:val="16"/>
                <w:szCs w:val="16"/>
              </w:rPr>
              <w:t>SP-250045</w:t>
            </w:r>
          </w:p>
        </w:tc>
        <w:tc>
          <w:tcPr>
            <w:tcW w:w="567" w:type="dxa"/>
            <w:shd w:val="solid" w:color="FFFFFF" w:fill="auto"/>
          </w:tcPr>
          <w:p w14:paraId="177DB067" w14:textId="20242A1D" w:rsidR="008056BA" w:rsidRPr="00873B6C" w:rsidRDefault="008056BA" w:rsidP="00591B52">
            <w:pPr>
              <w:pStyle w:val="TAL"/>
              <w:rPr>
                <w:sz w:val="16"/>
                <w:szCs w:val="16"/>
              </w:rPr>
            </w:pPr>
            <w:r w:rsidRPr="00873B6C">
              <w:rPr>
                <w:sz w:val="16"/>
                <w:szCs w:val="16"/>
              </w:rPr>
              <w:t>6032</w:t>
            </w:r>
          </w:p>
        </w:tc>
        <w:tc>
          <w:tcPr>
            <w:tcW w:w="425" w:type="dxa"/>
            <w:shd w:val="solid" w:color="FFFFFF" w:fill="auto"/>
          </w:tcPr>
          <w:p w14:paraId="4BE50E19" w14:textId="26706B62" w:rsidR="008056BA" w:rsidRPr="00873B6C" w:rsidRDefault="008056BA" w:rsidP="00591B52">
            <w:pPr>
              <w:pStyle w:val="TAL"/>
              <w:rPr>
                <w:sz w:val="16"/>
                <w:szCs w:val="16"/>
              </w:rPr>
            </w:pPr>
            <w:r w:rsidRPr="00873B6C">
              <w:rPr>
                <w:sz w:val="16"/>
                <w:szCs w:val="16"/>
              </w:rPr>
              <w:t>1</w:t>
            </w:r>
          </w:p>
        </w:tc>
        <w:tc>
          <w:tcPr>
            <w:tcW w:w="425" w:type="dxa"/>
            <w:shd w:val="solid" w:color="FFFFFF" w:fill="auto"/>
          </w:tcPr>
          <w:p w14:paraId="2D5AB524" w14:textId="41D46811" w:rsidR="008056BA" w:rsidRPr="00873B6C" w:rsidRDefault="008056BA" w:rsidP="00591B52">
            <w:pPr>
              <w:pStyle w:val="TAL"/>
              <w:rPr>
                <w:sz w:val="16"/>
                <w:szCs w:val="16"/>
              </w:rPr>
            </w:pPr>
            <w:r w:rsidRPr="00873B6C">
              <w:rPr>
                <w:sz w:val="16"/>
                <w:szCs w:val="16"/>
              </w:rPr>
              <w:t>F</w:t>
            </w:r>
          </w:p>
        </w:tc>
        <w:tc>
          <w:tcPr>
            <w:tcW w:w="4820" w:type="dxa"/>
            <w:shd w:val="solid" w:color="FFFFFF" w:fill="auto"/>
          </w:tcPr>
          <w:p w14:paraId="0BE3FAAD" w14:textId="02D6AC78" w:rsidR="008056BA" w:rsidRPr="00873B6C" w:rsidRDefault="008056BA" w:rsidP="00591B52">
            <w:pPr>
              <w:pStyle w:val="TAL"/>
              <w:rPr>
                <w:sz w:val="16"/>
                <w:szCs w:val="16"/>
              </w:rPr>
            </w:pPr>
            <w:r w:rsidRPr="00873B6C">
              <w:rPr>
                <w:sz w:val="16"/>
                <w:szCs w:val="16"/>
              </w:rPr>
              <w:t>Slice deregistration inactivity timer for Alternative S-NSSAI</w:t>
            </w:r>
          </w:p>
        </w:tc>
        <w:tc>
          <w:tcPr>
            <w:tcW w:w="708" w:type="dxa"/>
            <w:shd w:val="solid" w:color="FFFFFF" w:fill="auto"/>
          </w:tcPr>
          <w:p w14:paraId="44147519" w14:textId="50A4E924" w:rsidR="008056BA" w:rsidRPr="00873B6C" w:rsidRDefault="008056BA" w:rsidP="00591B52">
            <w:pPr>
              <w:pStyle w:val="TAC"/>
              <w:rPr>
                <w:sz w:val="16"/>
                <w:szCs w:val="16"/>
              </w:rPr>
            </w:pPr>
            <w:r w:rsidRPr="00873B6C">
              <w:rPr>
                <w:sz w:val="16"/>
                <w:szCs w:val="16"/>
              </w:rPr>
              <w:t>18.9.0</w:t>
            </w:r>
          </w:p>
        </w:tc>
      </w:tr>
      <w:tr w:rsidR="008056BA" w:rsidRPr="00873B6C" w14:paraId="26180787" w14:textId="77777777" w:rsidTr="009D14FB">
        <w:tc>
          <w:tcPr>
            <w:tcW w:w="800" w:type="dxa"/>
            <w:shd w:val="solid" w:color="FFFFFF" w:fill="auto"/>
          </w:tcPr>
          <w:p w14:paraId="2C34FFFC" w14:textId="02E59279" w:rsidR="008056BA" w:rsidRPr="00873B6C" w:rsidRDefault="008056BA" w:rsidP="00591B52">
            <w:pPr>
              <w:pStyle w:val="TAC"/>
              <w:rPr>
                <w:sz w:val="16"/>
                <w:szCs w:val="16"/>
              </w:rPr>
            </w:pPr>
            <w:r w:rsidRPr="00873B6C">
              <w:rPr>
                <w:sz w:val="16"/>
                <w:szCs w:val="16"/>
              </w:rPr>
              <w:t>2025-03</w:t>
            </w:r>
          </w:p>
        </w:tc>
        <w:tc>
          <w:tcPr>
            <w:tcW w:w="800" w:type="dxa"/>
            <w:shd w:val="solid" w:color="FFFFFF" w:fill="auto"/>
          </w:tcPr>
          <w:p w14:paraId="084D4363" w14:textId="3C30E9EC" w:rsidR="008056BA" w:rsidRPr="00873B6C" w:rsidRDefault="008056BA" w:rsidP="00591B52">
            <w:pPr>
              <w:pStyle w:val="TAL"/>
              <w:rPr>
                <w:sz w:val="16"/>
                <w:szCs w:val="16"/>
              </w:rPr>
            </w:pPr>
            <w:r w:rsidRPr="00873B6C">
              <w:rPr>
                <w:sz w:val="16"/>
                <w:szCs w:val="16"/>
              </w:rPr>
              <w:t>SP#107</w:t>
            </w:r>
          </w:p>
        </w:tc>
        <w:tc>
          <w:tcPr>
            <w:tcW w:w="1094" w:type="dxa"/>
            <w:shd w:val="solid" w:color="FFFFFF" w:fill="auto"/>
          </w:tcPr>
          <w:p w14:paraId="171EE277" w14:textId="6ABEE7E5" w:rsidR="008056BA" w:rsidRPr="00873B6C" w:rsidRDefault="008056BA" w:rsidP="00591B52">
            <w:pPr>
              <w:pStyle w:val="TAC"/>
              <w:rPr>
                <w:sz w:val="16"/>
                <w:szCs w:val="16"/>
              </w:rPr>
            </w:pPr>
            <w:r w:rsidRPr="00873B6C">
              <w:rPr>
                <w:sz w:val="16"/>
                <w:szCs w:val="16"/>
              </w:rPr>
              <w:t>SP-250051</w:t>
            </w:r>
          </w:p>
        </w:tc>
        <w:tc>
          <w:tcPr>
            <w:tcW w:w="567" w:type="dxa"/>
            <w:shd w:val="solid" w:color="FFFFFF" w:fill="auto"/>
          </w:tcPr>
          <w:p w14:paraId="16E2BD3C" w14:textId="3B8AE4E5" w:rsidR="008056BA" w:rsidRPr="00873B6C" w:rsidRDefault="008056BA" w:rsidP="00591B52">
            <w:pPr>
              <w:pStyle w:val="TAL"/>
              <w:rPr>
                <w:sz w:val="16"/>
                <w:szCs w:val="16"/>
              </w:rPr>
            </w:pPr>
            <w:r w:rsidRPr="00873B6C">
              <w:rPr>
                <w:sz w:val="16"/>
                <w:szCs w:val="16"/>
              </w:rPr>
              <w:t>6062</w:t>
            </w:r>
          </w:p>
        </w:tc>
        <w:tc>
          <w:tcPr>
            <w:tcW w:w="425" w:type="dxa"/>
            <w:shd w:val="solid" w:color="FFFFFF" w:fill="auto"/>
          </w:tcPr>
          <w:p w14:paraId="13825DA6" w14:textId="5A7BEDB9" w:rsidR="008056BA" w:rsidRPr="00873B6C" w:rsidRDefault="008056BA" w:rsidP="00591B52">
            <w:pPr>
              <w:pStyle w:val="TAL"/>
              <w:rPr>
                <w:sz w:val="16"/>
                <w:szCs w:val="16"/>
              </w:rPr>
            </w:pPr>
            <w:r w:rsidRPr="00873B6C">
              <w:rPr>
                <w:sz w:val="16"/>
                <w:szCs w:val="16"/>
              </w:rPr>
              <w:t>1</w:t>
            </w:r>
          </w:p>
        </w:tc>
        <w:tc>
          <w:tcPr>
            <w:tcW w:w="425" w:type="dxa"/>
            <w:shd w:val="solid" w:color="FFFFFF" w:fill="auto"/>
          </w:tcPr>
          <w:p w14:paraId="0B4F5B49" w14:textId="5F5BA573" w:rsidR="008056BA" w:rsidRPr="00873B6C" w:rsidRDefault="008056BA" w:rsidP="00591B52">
            <w:pPr>
              <w:pStyle w:val="TAL"/>
              <w:rPr>
                <w:sz w:val="16"/>
                <w:szCs w:val="16"/>
              </w:rPr>
            </w:pPr>
            <w:r w:rsidRPr="00873B6C">
              <w:rPr>
                <w:sz w:val="16"/>
                <w:szCs w:val="16"/>
              </w:rPr>
              <w:t>F</w:t>
            </w:r>
          </w:p>
        </w:tc>
        <w:tc>
          <w:tcPr>
            <w:tcW w:w="4820" w:type="dxa"/>
            <w:shd w:val="solid" w:color="FFFFFF" w:fill="auto"/>
          </w:tcPr>
          <w:p w14:paraId="7E6DB8E9" w14:textId="4532812C" w:rsidR="008056BA" w:rsidRPr="00873B6C" w:rsidRDefault="008056BA" w:rsidP="00591B52">
            <w:pPr>
              <w:pStyle w:val="TAL"/>
              <w:rPr>
                <w:sz w:val="16"/>
                <w:szCs w:val="16"/>
              </w:rPr>
            </w:pPr>
            <w:r w:rsidRPr="00873B6C">
              <w:rPr>
                <w:sz w:val="16"/>
                <w:szCs w:val="16"/>
              </w:rPr>
              <w:t>Alignment of Subscription of UPF event via I-SMF</w:t>
            </w:r>
          </w:p>
        </w:tc>
        <w:tc>
          <w:tcPr>
            <w:tcW w:w="708" w:type="dxa"/>
            <w:shd w:val="solid" w:color="FFFFFF" w:fill="auto"/>
          </w:tcPr>
          <w:p w14:paraId="525BC817" w14:textId="139317EC" w:rsidR="008056BA" w:rsidRPr="00873B6C" w:rsidRDefault="008056BA" w:rsidP="00591B52">
            <w:pPr>
              <w:pStyle w:val="TAC"/>
              <w:rPr>
                <w:sz w:val="16"/>
                <w:szCs w:val="16"/>
              </w:rPr>
            </w:pPr>
            <w:r w:rsidRPr="00873B6C">
              <w:rPr>
                <w:sz w:val="16"/>
                <w:szCs w:val="16"/>
              </w:rPr>
              <w:t>18.9.0</w:t>
            </w:r>
          </w:p>
        </w:tc>
      </w:tr>
      <w:tr w:rsidR="008056BA" w:rsidRPr="00873B6C" w14:paraId="443CE956" w14:textId="77777777" w:rsidTr="009D14FB">
        <w:tc>
          <w:tcPr>
            <w:tcW w:w="800" w:type="dxa"/>
            <w:shd w:val="solid" w:color="FFFFFF" w:fill="auto"/>
          </w:tcPr>
          <w:p w14:paraId="7F4D0D26" w14:textId="6FD06DD8" w:rsidR="008056BA" w:rsidRPr="00873B6C" w:rsidRDefault="008056BA" w:rsidP="00591B52">
            <w:pPr>
              <w:pStyle w:val="TAC"/>
              <w:rPr>
                <w:sz w:val="16"/>
                <w:szCs w:val="16"/>
              </w:rPr>
            </w:pPr>
            <w:r w:rsidRPr="00873B6C">
              <w:rPr>
                <w:sz w:val="16"/>
                <w:szCs w:val="16"/>
              </w:rPr>
              <w:t>2025-03</w:t>
            </w:r>
          </w:p>
        </w:tc>
        <w:tc>
          <w:tcPr>
            <w:tcW w:w="800" w:type="dxa"/>
            <w:shd w:val="solid" w:color="FFFFFF" w:fill="auto"/>
          </w:tcPr>
          <w:p w14:paraId="49FE6563" w14:textId="2A12DD00" w:rsidR="008056BA" w:rsidRPr="00873B6C" w:rsidRDefault="008056BA" w:rsidP="00591B52">
            <w:pPr>
              <w:pStyle w:val="TAL"/>
              <w:rPr>
                <w:sz w:val="16"/>
                <w:szCs w:val="16"/>
              </w:rPr>
            </w:pPr>
            <w:r w:rsidRPr="00873B6C">
              <w:rPr>
                <w:sz w:val="16"/>
                <w:szCs w:val="16"/>
              </w:rPr>
              <w:t>SP#107</w:t>
            </w:r>
          </w:p>
        </w:tc>
        <w:tc>
          <w:tcPr>
            <w:tcW w:w="1094" w:type="dxa"/>
            <w:shd w:val="solid" w:color="FFFFFF" w:fill="auto"/>
          </w:tcPr>
          <w:p w14:paraId="3F846719" w14:textId="7847B207" w:rsidR="008056BA" w:rsidRPr="00873B6C" w:rsidRDefault="008056BA" w:rsidP="00591B52">
            <w:pPr>
              <w:pStyle w:val="TAC"/>
              <w:rPr>
                <w:sz w:val="16"/>
                <w:szCs w:val="16"/>
              </w:rPr>
            </w:pPr>
            <w:r w:rsidRPr="00873B6C">
              <w:rPr>
                <w:sz w:val="16"/>
                <w:szCs w:val="16"/>
              </w:rPr>
              <w:t>SP-250051</w:t>
            </w:r>
          </w:p>
        </w:tc>
        <w:tc>
          <w:tcPr>
            <w:tcW w:w="567" w:type="dxa"/>
            <w:shd w:val="solid" w:color="FFFFFF" w:fill="auto"/>
          </w:tcPr>
          <w:p w14:paraId="557405A5" w14:textId="30B50146" w:rsidR="008056BA" w:rsidRPr="00873B6C" w:rsidRDefault="008056BA" w:rsidP="00591B52">
            <w:pPr>
              <w:pStyle w:val="TAL"/>
              <w:rPr>
                <w:sz w:val="16"/>
                <w:szCs w:val="16"/>
              </w:rPr>
            </w:pPr>
            <w:r w:rsidRPr="00873B6C">
              <w:rPr>
                <w:sz w:val="16"/>
                <w:szCs w:val="16"/>
              </w:rPr>
              <w:t>6123</w:t>
            </w:r>
          </w:p>
        </w:tc>
        <w:tc>
          <w:tcPr>
            <w:tcW w:w="425" w:type="dxa"/>
            <w:shd w:val="solid" w:color="FFFFFF" w:fill="auto"/>
          </w:tcPr>
          <w:p w14:paraId="5F09636E" w14:textId="2AFE9DB8" w:rsidR="008056BA" w:rsidRPr="00873B6C" w:rsidRDefault="008056BA" w:rsidP="00591B52">
            <w:pPr>
              <w:pStyle w:val="TAL"/>
              <w:rPr>
                <w:sz w:val="16"/>
                <w:szCs w:val="16"/>
              </w:rPr>
            </w:pPr>
            <w:r w:rsidRPr="00873B6C">
              <w:rPr>
                <w:sz w:val="16"/>
                <w:szCs w:val="16"/>
              </w:rPr>
              <w:t>3</w:t>
            </w:r>
          </w:p>
        </w:tc>
        <w:tc>
          <w:tcPr>
            <w:tcW w:w="425" w:type="dxa"/>
            <w:shd w:val="solid" w:color="FFFFFF" w:fill="auto"/>
          </w:tcPr>
          <w:p w14:paraId="063860A9" w14:textId="04F553AB" w:rsidR="008056BA" w:rsidRPr="00873B6C" w:rsidRDefault="008056BA" w:rsidP="00591B52">
            <w:pPr>
              <w:pStyle w:val="TAL"/>
              <w:rPr>
                <w:sz w:val="16"/>
                <w:szCs w:val="16"/>
              </w:rPr>
            </w:pPr>
            <w:r w:rsidRPr="00873B6C">
              <w:rPr>
                <w:sz w:val="16"/>
                <w:szCs w:val="16"/>
              </w:rPr>
              <w:t>F</w:t>
            </w:r>
          </w:p>
        </w:tc>
        <w:tc>
          <w:tcPr>
            <w:tcW w:w="4820" w:type="dxa"/>
            <w:shd w:val="solid" w:color="FFFFFF" w:fill="auto"/>
          </w:tcPr>
          <w:p w14:paraId="3BE0E3E0" w14:textId="529786F6" w:rsidR="008056BA" w:rsidRPr="00873B6C" w:rsidRDefault="008056BA" w:rsidP="00591B52">
            <w:pPr>
              <w:pStyle w:val="TAL"/>
              <w:rPr>
                <w:sz w:val="16"/>
                <w:szCs w:val="16"/>
              </w:rPr>
            </w:pPr>
            <w:r w:rsidRPr="00873B6C">
              <w:rPr>
                <w:sz w:val="16"/>
                <w:szCs w:val="16"/>
              </w:rPr>
              <w:t>Clarification on the UPF Event Exposure</w:t>
            </w:r>
          </w:p>
        </w:tc>
        <w:tc>
          <w:tcPr>
            <w:tcW w:w="708" w:type="dxa"/>
            <w:shd w:val="solid" w:color="FFFFFF" w:fill="auto"/>
          </w:tcPr>
          <w:p w14:paraId="3D92CFDB" w14:textId="1A215BEB" w:rsidR="008056BA" w:rsidRPr="00873B6C" w:rsidRDefault="008056BA" w:rsidP="00591B52">
            <w:pPr>
              <w:pStyle w:val="TAC"/>
              <w:rPr>
                <w:sz w:val="16"/>
                <w:szCs w:val="16"/>
              </w:rPr>
            </w:pPr>
            <w:r w:rsidRPr="00873B6C">
              <w:rPr>
                <w:sz w:val="16"/>
                <w:szCs w:val="16"/>
              </w:rPr>
              <w:t>18.9.0</w:t>
            </w:r>
          </w:p>
        </w:tc>
      </w:tr>
      <w:tr w:rsidR="008D6138" w:rsidRPr="00873B6C" w14:paraId="0634D331" w14:textId="77777777" w:rsidTr="009D14FB">
        <w:tc>
          <w:tcPr>
            <w:tcW w:w="800" w:type="dxa"/>
            <w:shd w:val="solid" w:color="FFFFFF" w:fill="auto"/>
          </w:tcPr>
          <w:p w14:paraId="4CAE2675" w14:textId="3396A9E3" w:rsidR="008D6138" w:rsidRPr="00873B6C" w:rsidRDefault="008D6138" w:rsidP="00591B52">
            <w:pPr>
              <w:pStyle w:val="TAC"/>
              <w:rPr>
                <w:sz w:val="16"/>
                <w:szCs w:val="16"/>
              </w:rPr>
            </w:pPr>
            <w:r>
              <w:rPr>
                <w:sz w:val="16"/>
                <w:szCs w:val="16"/>
              </w:rPr>
              <w:t>2025-06</w:t>
            </w:r>
          </w:p>
        </w:tc>
        <w:tc>
          <w:tcPr>
            <w:tcW w:w="800" w:type="dxa"/>
            <w:shd w:val="solid" w:color="FFFFFF" w:fill="auto"/>
          </w:tcPr>
          <w:p w14:paraId="500637FC" w14:textId="36002DF3" w:rsidR="008D6138" w:rsidRPr="00873B6C" w:rsidRDefault="008D6138" w:rsidP="00591B52">
            <w:pPr>
              <w:pStyle w:val="TAL"/>
              <w:rPr>
                <w:sz w:val="16"/>
                <w:szCs w:val="16"/>
              </w:rPr>
            </w:pPr>
            <w:r>
              <w:rPr>
                <w:sz w:val="16"/>
                <w:szCs w:val="16"/>
              </w:rPr>
              <w:t>SP#108</w:t>
            </w:r>
          </w:p>
        </w:tc>
        <w:tc>
          <w:tcPr>
            <w:tcW w:w="1094" w:type="dxa"/>
            <w:shd w:val="solid" w:color="FFFFFF" w:fill="auto"/>
          </w:tcPr>
          <w:p w14:paraId="199EA474" w14:textId="022C64AC" w:rsidR="008D6138" w:rsidRPr="00873B6C" w:rsidRDefault="008D6138" w:rsidP="00591B52">
            <w:pPr>
              <w:pStyle w:val="TAC"/>
              <w:rPr>
                <w:sz w:val="16"/>
                <w:szCs w:val="16"/>
              </w:rPr>
            </w:pPr>
            <w:r>
              <w:rPr>
                <w:sz w:val="16"/>
                <w:szCs w:val="16"/>
              </w:rPr>
              <w:t>SP-250458</w:t>
            </w:r>
          </w:p>
        </w:tc>
        <w:tc>
          <w:tcPr>
            <w:tcW w:w="567" w:type="dxa"/>
            <w:shd w:val="solid" w:color="FFFFFF" w:fill="auto"/>
          </w:tcPr>
          <w:p w14:paraId="7617AAD0" w14:textId="3FEF9DDE" w:rsidR="008D6138" w:rsidRPr="00873B6C" w:rsidRDefault="008D6138" w:rsidP="00591B52">
            <w:pPr>
              <w:pStyle w:val="TAL"/>
              <w:rPr>
                <w:sz w:val="16"/>
                <w:szCs w:val="16"/>
              </w:rPr>
            </w:pPr>
            <w:r>
              <w:rPr>
                <w:sz w:val="16"/>
                <w:szCs w:val="16"/>
              </w:rPr>
              <w:t>5255</w:t>
            </w:r>
          </w:p>
        </w:tc>
        <w:tc>
          <w:tcPr>
            <w:tcW w:w="425" w:type="dxa"/>
            <w:shd w:val="solid" w:color="FFFFFF" w:fill="auto"/>
          </w:tcPr>
          <w:p w14:paraId="0500E201" w14:textId="66881846" w:rsidR="008D6138" w:rsidRPr="00873B6C" w:rsidRDefault="008D6138" w:rsidP="00591B52">
            <w:pPr>
              <w:pStyle w:val="TAL"/>
              <w:rPr>
                <w:sz w:val="16"/>
                <w:szCs w:val="16"/>
              </w:rPr>
            </w:pPr>
            <w:r>
              <w:rPr>
                <w:sz w:val="16"/>
                <w:szCs w:val="16"/>
              </w:rPr>
              <w:t>12</w:t>
            </w:r>
          </w:p>
        </w:tc>
        <w:tc>
          <w:tcPr>
            <w:tcW w:w="425" w:type="dxa"/>
            <w:shd w:val="solid" w:color="FFFFFF" w:fill="auto"/>
          </w:tcPr>
          <w:p w14:paraId="0DEAFE55" w14:textId="0E183257" w:rsidR="008D6138" w:rsidRPr="00873B6C" w:rsidRDefault="008D6138" w:rsidP="00591B52">
            <w:pPr>
              <w:pStyle w:val="TAL"/>
              <w:rPr>
                <w:sz w:val="16"/>
                <w:szCs w:val="16"/>
              </w:rPr>
            </w:pPr>
            <w:r>
              <w:rPr>
                <w:sz w:val="16"/>
                <w:szCs w:val="16"/>
              </w:rPr>
              <w:t>F</w:t>
            </w:r>
          </w:p>
        </w:tc>
        <w:tc>
          <w:tcPr>
            <w:tcW w:w="4820" w:type="dxa"/>
            <w:shd w:val="solid" w:color="FFFFFF" w:fill="auto"/>
          </w:tcPr>
          <w:p w14:paraId="0B2BBEAD" w14:textId="514FDF37" w:rsidR="008D6138" w:rsidRPr="00873B6C" w:rsidRDefault="008D6138" w:rsidP="00591B52">
            <w:pPr>
              <w:pStyle w:val="TAL"/>
              <w:rPr>
                <w:sz w:val="16"/>
                <w:szCs w:val="16"/>
              </w:rPr>
            </w:pPr>
            <w:r>
              <w:rPr>
                <w:sz w:val="16"/>
                <w:szCs w:val="16"/>
              </w:rPr>
              <w:t>Clarifications for multi-modal services</w:t>
            </w:r>
          </w:p>
        </w:tc>
        <w:tc>
          <w:tcPr>
            <w:tcW w:w="708" w:type="dxa"/>
            <w:shd w:val="solid" w:color="FFFFFF" w:fill="auto"/>
          </w:tcPr>
          <w:p w14:paraId="283EA461" w14:textId="00330FE2" w:rsidR="008D6138" w:rsidRPr="00873B6C" w:rsidRDefault="008D6138" w:rsidP="00591B52">
            <w:pPr>
              <w:pStyle w:val="TAC"/>
              <w:rPr>
                <w:sz w:val="16"/>
                <w:szCs w:val="16"/>
              </w:rPr>
            </w:pPr>
            <w:r>
              <w:rPr>
                <w:sz w:val="16"/>
                <w:szCs w:val="16"/>
              </w:rPr>
              <w:t>18.10.0</w:t>
            </w:r>
          </w:p>
        </w:tc>
      </w:tr>
      <w:tr w:rsidR="0036079D" w:rsidRPr="00873B6C" w14:paraId="4D2D9DE9" w14:textId="77777777" w:rsidTr="009D14FB">
        <w:tc>
          <w:tcPr>
            <w:tcW w:w="800" w:type="dxa"/>
            <w:shd w:val="solid" w:color="FFFFFF" w:fill="auto"/>
          </w:tcPr>
          <w:p w14:paraId="51AA111E" w14:textId="6A0FCD8E" w:rsidR="0036079D" w:rsidRDefault="0036079D" w:rsidP="00591B52">
            <w:pPr>
              <w:pStyle w:val="TAC"/>
              <w:rPr>
                <w:sz w:val="16"/>
                <w:szCs w:val="16"/>
              </w:rPr>
            </w:pPr>
            <w:r>
              <w:rPr>
                <w:sz w:val="16"/>
                <w:szCs w:val="16"/>
              </w:rPr>
              <w:t>2025-06</w:t>
            </w:r>
          </w:p>
        </w:tc>
        <w:tc>
          <w:tcPr>
            <w:tcW w:w="800" w:type="dxa"/>
            <w:shd w:val="solid" w:color="FFFFFF" w:fill="auto"/>
          </w:tcPr>
          <w:p w14:paraId="045F8CA3" w14:textId="7B4DBF96" w:rsidR="0036079D" w:rsidRDefault="0036079D" w:rsidP="00591B52">
            <w:pPr>
              <w:pStyle w:val="TAL"/>
              <w:rPr>
                <w:sz w:val="16"/>
                <w:szCs w:val="16"/>
              </w:rPr>
            </w:pPr>
            <w:r>
              <w:rPr>
                <w:sz w:val="16"/>
                <w:szCs w:val="16"/>
              </w:rPr>
              <w:t>SP#108</w:t>
            </w:r>
          </w:p>
        </w:tc>
        <w:tc>
          <w:tcPr>
            <w:tcW w:w="1094" w:type="dxa"/>
            <w:shd w:val="solid" w:color="FFFFFF" w:fill="auto"/>
          </w:tcPr>
          <w:p w14:paraId="60A2E96F" w14:textId="310D0110" w:rsidR="0036079D" w:rsidRDefault="0036079D" w:rsidP="00591B52">
            <w:pPr>
              <w:pStyle w:val="TAC"/>
              <w:rPr>
                <w:sz w:val="16"/>
                <w:szCs w:val="16"/>
              </w:rPr>
            </w:pPr>
            <w:r>
              <w:rPr>
                <w:sz w:val="16"/>
                <w:szCs w:val="16"/>
              </w:rPr>
              <w:t>SP-250458</w:t>
            </w:r>
          </w:p>
        </w:tc>
        <w:tc>
          <w:tcPr>
            <w:tcW w:w="567" w:type="dxa"/>
            <w:shd w:val="solid" w:color="FFFFFF" w:fill="auto"/>
          </w:tcPr>
          <w:p w14:paraId="64E22535" w14:textId="70BBD91F" w:rsidR="0036079D" w:rsidRDefault="0036079D" w:rsidP="00591B52">
            <w:pPr>
              <w:pStyle w:val="TAL"/>
              <w:rPr>
                <w:sz w:val="16"/>
                <w:szCs w:val="16"/>
              </w:rPr>
            </w:pPr>
            <w:r>
              <w:rPr>
                <w:sz w:val="16"/>
                <w:szCs w:val="16"/>
              </w:rPr>
              <w:t>6204</w:t>
            </w:r>
          </w:p>
        </w:tc>
        <w:tc>
          <w:tcPr>
            <w:tcW w:w="425" w:type="dxa"/>
            <w:shd w:val="solid" w:color="FFFFFF" w:fill="auto"/>
          </w:tcPr>
          <w:p w14:paraId="52BA52F2" w14:textId="71856F5F" w:rsidR="0036079D" w:rsidRDefault="0036079D" w:rsidP="00591B52">
            <w:pPr>
              <w:pStyle w:val="TAL"/>
              <w:rPr>
                <w:sz w:val="16"/>
                <w:szCs w:val="16"/>
              </w:rPr>
            </w:pPr>
            <w:r>
              <w:rPr>
                <w:sz w:val="16"/>
                <w:szCs w:val="16"/>
              </w:rPr>
              <w:t>2</w:t>
            </w:r>
          </w:p>
        </w:tc>
        <w:tc>
          <w:tcPr>
            <w:tcW w:w="425" w:type="dxa"/>
            <w:shd w:val="solid" w:color="FFFFFF" w:fill="auto"/>
          </w:tcPr>
          <w:p w14:paraId="510CEEF2" w14:textId="270E8C1F" w:rsidR="0036079D" w:rsidRDefault="0036079D" w:rsidP="00591B52">
            <w:pPr>
              <w:pStyle w:val="TAL"/>
              <w:rPr>
                <w:sz w:val="16"/>
                <w:szCs w:val="16"/>
              </w:rPr>
            </w:pPr>
            <w:r>
              <w:rPr>
                <w:sz w:val="16"/>
                <w:szCs w:val="16"/>
              </w:rPr>
              <w:t>F</w:t>
            </w:r>
          </w:p>
        </w:tc>
        <w:tc>
          <w:tcPr>
            <w:tcW w:w="4820" w:type="dxa"/>
            <w:shd w:val="solid" w:color="FFFFFF" w:fill="auto"/>
          </w:tcPr>
          <w:p w14:paraId="78379C5E" w14:textId="7422376F" w:rsidR="0036079D" w:rsidRDefault="0036079D" w:rsidP="00591B52">
            <w:pPr>
              <w:pStyle w:val="TAL"/>
              <w:rPr>
                <w:sz w:val="16"/>
                <w:szCs w:val="16"/>
              </w:rPr>
            </w:pPr>
            <w:r>
              <w:rPr>
                <w:sz w:val="16"/>
                <w:szCs w:val="16"/>
              </w:rPr>
              <w:t>Fix PDU Set based Handling description</w:t>
            </w:r>
          </w:p>
        </w:tc>
        <w:tc>
          <w:tcPr>
            <w:tcW w:w="708" w:type="dxa"/>
            <w:shd w:val="solid" w:color="FFFFFF" w:fill="auto"/>
          </w:tcPr>
          <w:p w14:paraId="0876B5EB" w14:textId="5FB583AD" w:rsidR="0036079D" w:rsidRDefault="0036079D" w:rsidP="00591B52">
            <w:pPr>
              <w:pStyle w:val="TAC"/>
              <w:rPr>
                <w:sz w:val="16"/>
                <w:szCs w:val="16"/>
              </w:rPr>
            </w:pPr>
            <w:r>
              <w:rPr>
                <w:sz w:val="16"/>
                <w:szCs w:val="16"/>
              </w:rPr>
              <w:t>18.10.0</w:t>
            </w:r>
          </w:p>
        </w:tc>
      </w:tr>
      <w:tr w:rsidR="0036079D" w:rsidRPr="00873B6C" w14:paraId="5D767333" w14:textId="77777777" w:rsidTr="009D14FB">
        <w:tc>
          <w:tcPr>
            <w:tcW w:w="800" w:type="dxa"/>
            <w:shd w:val="solid" w:color="FFFFFF" w:fill="auto"/>
          </w:tcPr>
          <w:p w14:paraId="4605EF17" w14:textId="242E4897" w:rsidR="0036079D" w:rsidRDefault="0036079D" w:rsidP="00591B52">
            <w:pPr>
              <w:pStyle w:val="TAC"/>
              <w:rPr>
                <w:sz w:val="16"/>
                <w:szCs w:val="16"/>
              </w:rPr>
            </w:pPr>
            <w:r>
              <w:rPr>
                <w:sz w:val="16"/>
                <w:szCs w:val="16"/>
              </w:rPr>
              <w:t>2025-06</w:t>
            </w:r>
          </w:p>
        </w:tc>
        <w:tc>
          <w:tcPr>
            <w:tcW w:w="800" w:type="dxa"/>
            <w:shd w:val="solid" w:color="FFFFFF" w:fill="auto"/>
          </w:tcPr>
          <w:p w14:paraId="6CB22470" w14:textId="1EA39343" w:rsidR="0036079D" w:rsidRDefault="0036079D" w:rsidP="00591B52">
            <w:pPr>
              <w:pStyle w:val="TAL"/>
              <w:rPr>
                <w:sz w:val="16"/>
                <w:szCs w:val="16"/>
              </w:rPr>
            </w:pPr>
            <w:r>
              <w:rPr>
                <w:sz w:val="16"/>
                <w:szCs w:val="16"/>
              </w:rPr>
              <w:t>SP#108</w:t>
            </w:r>
          </w:p>
        </w:tc>
        <w:tc>
          <w:tcPr>
            <w:tcW w:w="1094" w:type="dxa"/>
            <w:shd w:val="solid" w:color="FFFFFF" w:fill="auto"/>
          </w:tcPr>
          <w:p w14:paraId="092CC9C9" w14:textId="1D36352C" w:rsidR="0036079D" w:rsidRDefault="0036079D" w:rsidP="00591B52">
            <w:pPr>
              <w:pStyle w:val="TAC"/>
              <w:rPr>
                <w:sz w:val="16"/>
                <w:szCs w:val="16"/>
              </w:rPr>
            </w:pPr>
            <w:r>
              <w:rPr>
                <w:sz w:val="16"/>
                <w:szCs w:val="16"/>
              </w:rPr>
              <w:t>SP-250457</w:t>
            </w:r>
          </w:p>
        </w:tc>
        <w:tc>
          <w:tcPr>
            <w:tcW w:w="567" w:type="dxa"/>
            <w:shd w:val="solid" w:color="FFFFFF" w:fill="auto"/>
          </w:tcPr>
          <w:p w14:paraId="1645E97B" w14:textId="045532FB" w:rsidR="0036079D" w:rsidRDefault="0036079D" w:rsidP="00591B52">
            <w:pPr>
              <w:pStyle w:val="TAL"/>
              <w:rPr>
                <w:sz w:val="16"/>
                <w:szCs w:val="16"/>
              </w:rPr>
            </w:pPr>
            <w:r>
              <w:rPr>
                <w:sz w:val="16"/>
                <w:szCs w:val="16"/>
              </w:rPr>
              <w:t>6211</w:t>
            </w:r>
          </w:p>
        </w:tc>
        <w:tc>
          <w:tcPr>
            <w:tcW w:w="425" w:type="dxa"/>
            <w:shd w:val="solid" w:color="FFFFFF" w:fill="auto"/>
          </w:tcPr>
          <w:p w14:paraId="131AD5C6" w14:textId="53917F27" w:rsidR="0036079D" w:rsidRDefault="0036079D" w:rsidP="00591B52">
            <w:pPr>
              <w:pStyle w:val="TAL"/>
              <w:rPr>
                <w:sz w:val="16"/>
                <w:szCs w:val="16"/>
              </w:rPr>
            </w:pPr>
            <w:r>
              <w:rPr>
                <w:sz w:val="16"/>
                <w:szCs w:val="16"/>
              </w:rPr>
              <w:t>2</w:t>
            </w:r>
          </w:p>
        </w:tc>
        <w:tc>
          <w:tcPr>
            <w:tcW w:w="425" w:type="dxa"/>
            <w:shd w:val="solid" w:color="FFFFFF" w:fill="auto"/>
          </w:tcPr>
          <w:p w14:paraId="0787C85A" w14:textId="0FC7EF4F" w:rsidR="0036079D" w:rsidRDefault="0036079D" w:rsidP="00591B52">
            <w:pPr>
              <w:pStyle w:val="TAL"/>
              <w:rPr>
                <w:sz w:val="16"/>
                <w:szCs w:val="16"/>
              </w:rPr>
            </w:pPr>
            <w:r>
              <w:rPr>
                <w:sz w:val="16"/>
                <w:szCs w:val="16"/>
              </w:rPr>
              <w:t>F</w:t>
            </w:r>
          </w:p>
        </w:tc>
        <w:tc>
          <w:tcPr>
            <w:tcW w:w="4820" w:type="dxa"/>
            <w:shd w:val="solid" w:color="FFFFFF" w:fill="auto"/>
          </w:tcPr>
          <w:p w14:paraId="7F1DD9BE" w14:textId="04347202" w:rsidR="0036079D" w:rsidRDefault="0036079D" w:rsidP="00591B52">
            <w:pPr>
              <w:pStyle w:val="TAL"/>
              <w:rPr>
                <w:sz w:val="16"/>
                <w:szCs w:val="16"/>
              </w:rPr>
            </w:pPr>
            <w:r>
              <w:rPr>
                <w:sz w:val="16"/>
                <w:szCs w:val="16"/>
              </w:rPr>
              <w:t>PWS enhancements for MBSR</w:t>
            </w:r>
          </w:p>
        </w:tc>
        <w:tc>
          <w:tcPr>
            <w:tcW w:w="708" w:type="dxa"/>
            <w:shd w:val="solid" w:color="FFFFFF" w:fill="auto"/>
          </w:tcPr>
          <w:p w14:paraId="37373EF1" w14:textId="6B067511" w:rsidR="0036079D" w:rsidRDefault="0036079D" w:rsidP="00591B52">
            <w:pPr>
              <w:pStyle w:val="TAC"/>
              <w:rPr>
                <w:sz w:val="16"/>
                <w:szCs w:val="16"/>
              </w:rPr>
            </w:pPr>
            <w:r>
              <w:rPr>
                <w:sz w:val="16"/>
                <w:szCs w:val="16"/>
              </w:rPr>
              <w:t>18.10.0</w:t>
            </w:r>
          </w:p>
        </w:tc>
      </w:tr>
      <w:tr w:rsidR="0036079D" w:rsidRPr="00873B6C" w14:paraId="5AEBDE64" w14:textId="77777777" w:rsidTr="009D14FB">
        <w:tc>
          <w:tcPr>
            <w:tcW w:w="800" w:type="dxa"/>
            <w:shd w:val="solid" w:color="FFFFFF" w:fill="auto"/>
          </w:tcPr>
          <w:p w14:paraId="53006456" w14:textId="25BF8F33" w:rsidR="0036079D" w:rsidRDefault="0036079D" w:rsidP="00591B52">
            <w:pPr>
              <w:pStyle w:val="TAC"/>
              <w:rPr>
                <w:sz w:val="16"/>
                <w:szCs w:val="16"/>
              </w:rPr>
            </w:pPr>
            <w:r>
              <w:rPr>
                <w:sz w:val="16"/>
                <w:szCs w:val="16"/>
              </w:rPr>
              <w:t>2025-06</w:t>
            </w:r>
          </w:p>
        </w:tc>
        <w:tc>
          <w:tcPr>
            <w:tcW w:w="800" w:type="dxa"/>
            <w:shd w:val="solid" w:color="FFFFFF" w:fill="auto"/>
          </w:tcPr>
          <w:p w14:paraId="51162A08" w14:textId="40E56E72" w:rsidR="0036079D" w:rsidRDefault="0036079D" w:rsidP="00591B52">
            <w:pPr>
              <w:pStyle w:val="TAL"/>
              <w:rPr>
                <w:sz w:val="16"/>
                <w:szCs w:val="16"/>
              </w:rPr>
            </w:pPr>
            <w:r>
              <w:rPr>
                <w:sz w:val="16"/>
                <w:szCs w:val="16"/>
              </w:rPr>
              <w:t>SP#108</w:t>
            </w:r>
          </w:p>
        </w:tc>
        <w:tc>
          <w:tcPr>
            <w:tcW w:w="1094" w:type="dxa"/>
            <w:shd w:val="solid" w:color="FFFFFF" w:fill="auto"/>
          </w:tcPr>
          <w:p w14:paraId="5A57593C" w14:textId="2411112C" w:rsidR="0036079D" w:rsidRDefault="0036079D" w:rsidP="00591B52">
            <w:pPr>
              <w:pStyle w:val="TAC"/>
              <w:rPr>
                <w:sz w:val="16"/>
                <w:szCs w:val="16"/>
              </w:rPr>
            </w:pPr>
            <w:r>
              <w:rPr>
                <w:sz w:val="16"/>
                <w:szCs w:val="16"/>
              </w:rPr>
              <w:t>SP-250455</w:t>
            </w:r>
          </w:p>
        </w:tc>
        <w:tc>
          <w:tcPr>
            <w:tcW w:w="567" w:type="dxa"/>
            <w:shd w:val="solid" w:color="FFFFFF" w:fill="auto"/>
          </w:tcPr>
          <w:p w14:paraId="640734F3" w14:textId="3CCAD9DD" w:rsidR="0036079D" w:rsidRDefault="0036079D" w:rsidP="00591B52">
            <w:pPr>
              <w:pStyle w:val="TAL"/>
              <w:rPr>
                <w:sz w:val="16"/>
                <w:szCs w:val="16"/>
              </w:rPr>
            </w:pPr>
            <w:r>
              <w:rPr>
                <w:sz w:val="16"/>
                <w:szCs w:val="16"/>
              </w:rPr>
              <w:t>6237</w:t>
            </w:r>
          </w:p>
        </w:tc>
        <w:tc>
          <w:tcPr>
            <w:tcW w:w="425" w:type="dxa"/>
            <w:shd w:val="solid" w:color="FFFFFF" w:fill="auto"/>
          </w:tcPr>
          <w:p w14:paraId="03874C89" w14:textId="4D14D3F1" w:rsidR="0036079D" w:rsidRDefault="0036079D" w:rsidP="00591B52">
            <w:pPr>
              <w:pStyle w:val="TAL"/>
              <w:rPr>
                <w:sz w:val="16"/>
                <w:szCs w:val="16"/>
              </w:rPr>
            </w:pPr>
            <w:r>
              <w:rPr>
                <w:sz w:val="16"/>
                <w:szCs w:val="16"/>
              </w:rPr>
              <w:t>4</w:t>
            </w:r>
          </w:p>
        </w:tc>
        <w:tc>
          <w:tcPr>
            <w:tcW w:w="425" w:type="dxa"/>
            <w:shd w:val="solid" w:color="FFFFFF" w:fill="auto"/>
          </w:tcPr>
          <w:p w14:paraId="788FD9B7" w14:textId="3313AA88" w:rsidR="0036079D" w:rsidRDefault="0036079D" w:rsidP="00591B52">
            <w:pPr>
              <w:pStyle w:val="TAL"/>
              <w:rPr>
                <w:sz w:val="16"/>
                <w:szCs w:val="16"/>
              </w:rPr>
            </w:pPr>
            <w:r>
              <w:rPr>
                <w:sz w:val="16"/>
                <w:szCs w:val="16"/>
              </w:rPr>
              <w:t>F</w:t>
            </w:r>
          </w:p>
        </w:tc>
        <w:tc>
          <w:tcPr>
            <w:tcW w:w="4820" w:type="dxa"/>
            <w:shd w:val="solid" w:color="FFFFFF" w:fill="auto"/>
          </w:tcPr>
          <w:p w14:paraId="41A0394B" w14:textId="1481DF0D" w:rsidR="0036079D" w:rsidRDefault="0036079D" w:rsidP="00591B52">
            <w:pPr>
              <w:pStyle w:val="TAL"/>
              <w:rPr>
                <w:sz w:val="16"/>
                <w:szCs w:val="16"/>
              </w:rPr>
            </w:pPr>
            <w:r>
              <w:rPr>
                <w:sz w:val="16"/>
                <w:szCs w:val="16"/>
              </w:rPr>
              <w:t>Clarification on always-on PDU Session</w:t>
            </w:r>
          </w:p>
        </w:tc>
        <w:tc>
          <w:tcPr>
            <w:tcW w:w="708" w:type="dxa"/>
            <w:shd w:val="solid" w:color="FFFFFF" w:fill="auto"/>
          </w:tcPr>
          <w:p w14:paraId="3AC2B6CE" w14:textId="5556BFAD" w:rsidR="0036079D" w:rsidRDefault="0036079D" w:rsidP="00591B52">
            <w:pPr>
              <w:pStyle w:val="TAC"/>
              <w:rPr>
                <w:sz w:val="16"/>
                <w:szCs w:val="16"/>
              </w:rPr>
            </w:pPr>
            <w:r>
              <w:rPr>
                <w:sz w:val="16"/>
                <w:szCs w:val="16"/>
              </w:rPr>
              <w:t>18.10.0</w:t>
            </w:r>
          </w:p>
        </w:tc>
      </w:tr>
      <w:tr w:rsidR="0036079D" w:rsidRPr="00873B6C" w14:paraId="5921E8AB" w14:textId="77777777" w:rsidTr="009D14FB">
        <w:tc>
          <w:tcPr>
            <w:tcW w:w="800" w:type="dxa"/>
            <w:shd w:val="solid" w:color="FFFFFF" w:fill="auto"/>
          </w:tcPr>
          <w:p w14:paraId="2AE2E719" w14:textId="04E7CFD3" w:rsidR="0036079D" w:rsidRDefault="0036079D" w:rsidP="00591B52">
            <w:pPr>
              <w:pStyle w:val="TAC"/>
              <w:rPr>
                <w:sz w:val="16"/>
                <w:szCs w:val="16"/>
              </w:rPr>
            </w:pPr>
            <w:r>
              <w:rPr>
                <w:sz w:val="16"/>
                <w:szCs w:val="16"/>
              </w:rPr>
              <w:t>2025-06</w:t>
            </w:r>
          </w:p>
        </w:tc>
        <w:tc>
          <w:tcPr>
            <w:tcW w:w="800" w:type="dxa"/>
            <w:shd w:val="solid" w:color="FFFFFF" w:fill="auto"/>
          </w:tcPr>
          <w:p w14:paraId="5DC87AA1" w14:textId="4C1C941D" w:rsidR="0036079D" w:rsidRDefault="0036079D" w:rsidP="00591B52">
            <w:pPr>
              <w:pStyle w:val="TAL"/>
              <w:rPr>
                <w:sz w:val="16"/>
                <w:szCs w:val="16"/>
              </w:rPr>
            </w:pPr>
            <w:r>
              <w:rPr>
                <w:sz w:val="16"/>
                <w:szCs w:val="16"/>
              </w:rPr>
              <w:t>SP#108</w:t>
            </w:r>
          </w:p>
        </w:tc>
        <w:tc>
          <w:tcPr>
            <w:tcW w:w="1094" w:type="dxa"/>
            <w:shd w:val="solid" w:color="FFFFFF" w:fill="auto"/>
          </w:tcPr>
          <w:p w14:paraId="6F155671" w14:textId="1A2551EC" w:rsidR="0036079D" w:rsidRDefault="0036079D" w:rsidP="00591B52">
            <w:pPr>
              <w:pStyle w:val="TAC"/>
              <w:rPr>
                <w:sz w:val="16"/>
                <w:szCs w:val="16"/>
              </w:rPr>
            </w:pPr>
            <w:r>
              <w:rPr>
                <w:sz w:val="16"/>
                <w:szCs w:val="16"/>
              </w:rPr>
              <w:t>SP-250451</w:t>
            </w:r>
          </w:p>
        </w:tc>
        <w:tc>
          <w:tcPr>
            <w:tcW w:w="567" w:type="dxa"/>
            <w:shd w:val="solid" w:color="FFFFFF" w:fill="auto"/>
          </w:tcPr>
          <w:p w14:paraId="20A212BB" w14:textId="7F6AFACB" w:rsidR="0036079D" w:rsidRDefault="0036079D" w:rsidP="00591B52">
            <w:pPr>
              <w:pStyle w:val="TAL"/>
              <w:rPr>
                <w:sz w:val="16"/>
                <w:szCs w:val="16"/>
              </w:rPr>
            </w:pPr>
            <w:r>
              <w:rPr>
                <w:sz w:val="16"/>
                <w:szCs w:val="16"/>
              </w:rPr>
              <w:t>6268</w:t>
            </w:r>
          </w:p>
        </w:tc>
        <w:tc>
          <w:tcPr>
            <w:tcW w:w="425" w:type="dxa"/>
            <w:shd w:val="solid" w:color="FFFFFF" w:fill="auto"/>
          </w:tcPr>
          <w:p w14:paraId="04B55625" w14:textId="46242AEB" w:rsidR="0036079D" w:rsidRDefault="0036079D" w:rsidP="00591B52">
            <w:pPr>
              <w:pStyle w:val="TAL"/>
              <w:rPr>
                <w:sz w:val="16"/>
                <w:szCs w:val="16"/>
              </w:rPr>
            </w:pPr>
            <w:r>
              <w:rPr>
                <w:sz w:val="16"/>
                <w:szCs w:val="16"/>
              </w:rPr>
              <w:t>6</w:t>
            </w:r>
          </w:p>
        </w:tc>
        <w:tc>
          <w:tcPr>
            <w:tcW w:w="425" w:type="dxa"/>
            <w:shd w:val="solid" w:color="FFFFFF" w:fill="auto"/>
          </w:tcPr>
          <w:p w14:paraId="3BB6847C" w14:textId="748F45DF" w:rsidR="0036079D" w:rsidRDefault="0036079D" w:rsidP="00591B52">
            <w:pPr>
              <w:pStyle w:val="TAL"/>
              <w:rPr>
                <w:sz w:val="16"/>
                <w:szCs w:val="16"/>
              </w:rPr>
            </w:pPr>
            <w:r>
              <w:rPr>
                <w:sz w:val="16"/>
                <w:szCs w:val="16"/>
              </w:rPr>
              <w:t>F</w:t>
            </w:r>
          </w:p>
        </w:tc>
        <w:tc>
          <w:tcPr>
            <w:tcW w:w="4820" w:type="dxa"/>
            <w:shd w:val="solid" w:color="FFFFFF" w:fill="auto"/>
          </w:tcPr>
          <w:p w14:paraId="640567FB" w14:textId="3778674F" w:rsidR="0036079D" w:rsidRDefault="0036079D" w:rsidP="00591B52">
            <w:pPr>
              <w:pStyle w:val="TAL"/>
              <w:rPr>
                <w:sz w:val="16"/>
                <w:szCs w:val="16"/>
              </w:rPr>
            </w:pPr>
            <w:r>
              <w:rPr>
                <w:sz w:val="16"/>
                <w:szCs w:val="16"/>
              </w:rPr>
              <w:t>5GS common time reference traceable to UTC</w:t>
            </w:r>
          </w:p>
        </w:tc>
        <w:tc>
          <w:tcPr>
            <w:tcW w:w="708" w:type="dxa"/>
            <w:shd w:val="solid" w:color="FFFFFF" w:fill="auto"/>
          </w:tcPr>
          <w:p w14:paraId="3E72E758" w14:textId="21201FBD" w:rsidR="0036079D" w:rsidRDefault="0036079D" w:rsidP="00591B52">
            <w:pPr>
              <w:pStyle w:val="TAC"/>
              <w:rPr>
                <w:sz w:val="16"/>
                <w:szCs w:val="16"/>
              </w:rPr>
            </w:pPr>
            <w:r>
              <w:rPr>
                <w:sz w:val="16"/>
                <w:szCs w:val="16"/>
              </w:rPr>
              <w:t>18.10.0</w:t>
            </w:r>
          </w:p>
        </w:tc>
      </w:tr>
      <w:tr w:rsidR="0036079D" w:rsidRPr="00873B6C" w14:paraId="4E5A04A5" w14:textId="77777777" w:rsidTr="009D14FB">
        <w:tc>
          <w:tcPr>
            <w:tcW w:w="800" w:type="dxa"/>
            <w:shd w:val="solid" w:color="FFFFFF" w:fill="auto"/>
          </w:tcPr>
          <w:p w14:paraId="6D62D6EA" w14:textId="6E7112DE" w:rsidR="0036079D" w:rsidRDefault="0036079D" w:rsidP="00591B52">
            <w:pPr>
              <w:pStyle w:val="TAC"/>
              <w:rPr>
                <w:sz w:val="16"/>
                <w:szCs w:val="16"/>
              </w:rPr>
            </w:pPr>
            <w:r>
              <w:rPr>
                <w:sz w:val="16"/>
                <w:szCs w:val="16"/>
              </w:rPr>
              <w:t>2025-06</w:t>
            </w:r>
          </w:p>
        </w:tc>
        <w:tc>
          <w:tcPr>
            <w:tcW w:w="800" w:type="dxa"/>
            <w:shd w:val="solid" w:color="FFFFFF" w:fill="auto"/>
          </w:tcPr>
          <w:p w14:paraId="03DBB6A3" w14:textId="02EDC231" w:rsidR="0036079D" w:rsidRDefault="0036079D" w:rsidP="00591B52">
            <w:pPr>
              <w:pStyle w:val="TAL"/>
              <w:rPr>
                <w:sz w:val="16"/>
                <w:szCs w:val="16"/>
              </w:rPr>
            </w:pPr>
            <w:r>
              <w:rPr>
                <w:sz w:val="16"/>
                <w:szCs w:val="16"/>
              </w:rPr>
              <w:t>SP#108</w:t>
            </w:r>
          </w:p>
        </w:tc>
        <w:tc>
          <w:tcPr>
            <w:tcW w:w="1094" w:type="dxa"/>
            <w:shd w:val="solid" w:color="FFFFFF" w:fill="auto"/>
          </w:tcPr>
          <w:p w14:paraId="1EFA46C9" w14:textId="357E21EF" w:rsidR="0036079D" w:rsidRDefault="0036079D" w:rsidP="00591B52">
            <w:pPr>
              <w:pStyle w:val="TAC"/>
              <w:rPr>
                <w:sz w:val="16"/>
                <w:szCs w:val="16"/>
              </w:rPr>
            </w:pPr>
            <w:r>
              <w:rPr>
                <w:sz w:val="16"/>
                <w:szCs w:val="16"/>
              </w:rPr>
              <w:t>SP-250452</w:t>
            </w:r>
          </w:p>
        </w:tc>
        <w:tc>
          <w:tcPr>
            <w:tcW w:w="567" w:type="dxa"/>
            <w:shd w:val="solid" w:color="FFFFFF" w:fill="auto"/>
          </w:tcPr>
          <w:p w14:paraId="027A5002" w14:textId="763F88DF" w:rsidR="0036079D" w:rsidRDefault="0036079D" w:rsidP="00591B52">
            <w:pPr>
              <w:pStyle w:val="TAL"/>
              <w:rPr>
                <w:sz w:val="16"/>
                <w:szCs w:val="16"/>
              </w:rPr>
            </w:pPr>
            <w:r>
              <w:rPr>
                <w:sz w:val="16"/>
                <w:szCs w:val="16"/>
              </w:rPr>
              <w:t>6276</w:t>
            </w:r>
          </w:p>
        </w:tc>
        <w:tc>
          <w:tcPr>
            <w:tcW w:w="425" w:type="dxa"/>
            <w:shd w:val="solid" w:color="FFFFFF" w:fill="auto"/>
          </w:tcPr>
          <w:p w14:paraId="295C1F0A" w14:textId="7E72C042" w:rsidR="0036079D" w:rsidRDefault="0036079D" w:rsidP="00591B52">
            <w:pPr>
              <w:pStyle w:val="TAL"/>
              <w:rPr>
                <w:sz w:val="16"/>
                <w:szCs w:val="16"/>
              </w:rPr>
            </w:pPr>
            <w:r>
              <w:rPr>
                <w:sz w:val="16"/>
                <w:szCs w:val="16"/>
              </w:rPr>
              <w:t>3</w:t>
            </w:r>
          </w:p>
        </w:tc>
        <w:tc>
          <w:tcPr>
            <w:tcW w:w="425" w:type="dxa"/>
            <w:shd w:val="solid" w:color="FFFFFF" w:fill="auto"/>
          </w:tcPr>
          <w:p w14:paraId="4E1F92F5" w14:textId="13468E74" w:rsidR="0036079D" w:rsidRDefault="0036079D" w:rsidP="00591B52">
            <w:pPr>
              <w:pStyle w:val="TAL"/>
              <w:rPr>
                <w:sz w:val="16"/>
                <w:szCs w:val="16"/>
              </w:rPr>
            </w:pPr>
            <w:r>
              <w:rPr>
                <w:sz w:val="16"/>
                <w:szCs w:val="16"/>
              </w:rPr>
              <w:t>F</w:t>
            </w:r>
          </w:p>
        </w:tc>
        <w:tc>
          <w:tcPr>
            <w:tcW w:w="4820" w:type="dxa"/>
            <w:shd w:val="solid" w:color="FFFFFF" w:fill="auto"/>
          </w:tcPr>
          <w:p w14:paraId="2C55A70F" w14:textId="14D3AFF7" w:rsidR="0036079D" w:rsidRDefault="0036079D" w:rsidP="00591B52">
            <w:pPr>
              <w:pStyle w:val="TAL"/>
              <w:rPr>
                <w:sz w:val="16"/>
                <w:szCs w:val="16"/>
              </w:rPr>
            </w:pPr>
            <w:r>
              <w:rPr>
                <w:sz w:val="16"/>
                <w:szCs w:val="16"/>
              </w:rPr>
              <w:t>Alignment with ATSSS Capability IE</w:t>
            </w:r>
          </w:p>
        </w:tc>
        <w:tc>
          <w:tcPr>
            <w:tcW w:w="708" w:type="dxa"/>
            <w:shd w:val="solid" w:color="FFFFFF" w:fill="auto"/>
          </w:tcPr>
          <w:p w14:paraId="6CF6AD0F" w14:textId="18125692" w:rsidR="0036079D" w:rsidRDefault="0036079D" w:rsidP="00591B52">
            <w:pPr>
              <w:pStyle w:val="TAC"/>
              <w:rPr>
                <w:sz w:val="16"/>
                <w:szCs w:val="16"/>
              </w:rPr>
            </w:pPr>
            <w:r>
              <w:rPr>
                <w:sz w:val="16"/>
                <w:szCs w:val="16"/>
              </w:rPr>
              <w:t>18.10.0</w:t>
            </w:r>
          </w:p>
        </w:tc>
      </w:tr>
    </w:tbl>
    <w:p w14:paraId="36D66803" w14:textId="77777777" w:rsidR="009C14A7" w:rsidRPr="00873B6C" w:rsidRDefault="009C14A7" w:rsidP="00D40151"/>
    <w:sectPr w:rsidR="009C14A7" w:rsidRPr="00873B6C">
      <w:headerReference w:type="default" r:id="rId309"/>
      <w:footerReference w:type="default" r:id="rId3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CD1AE7" w14:textId="77777777" w:rsidR="00D109B3" w:rsidRDefault="00D109B3">
      <w:r>
        <w:separator/>
      </w:r>
    </w:p>
  </w:endnote>
  <w:endnote w:type="continuationSeparator" w:id="0">
    <w:p w14:paraId="7448206D" w14:textId="77777777" w:rsidR="00D109B3" w:rsidRDefault="00D109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6"/>
    <w:family w:val="swiss"/>
    <w:pitch w:val="default"/>
    <w:sig w:usb0="00000000" w:usb1="E9FFFFFF" w:usb2="0000003F" w:usb3="00000000" w:csb0="603F01FF" w:csb1="FFFF0000"/>
  </w:font>
  <w:font w:name="PMingLiU">
    <w:altName w:val="新細明體"/>
    <w:panose1 w:val="02010601000101010101"/>
    <w:charset w:val="88"/>
    <w:family w:val="roman"/>
    <w:pitch w:val="variable"/>
    <w:sig w:usb0="A00002FF" w:usb1="28CFFCFA" w:usb2="00000016" w:usb3="00000000" w:csb0="00100001" w:csb1="00000000"/>
  </w:font>
  <w:font w:name="Yu Mincho">
    <w:altName w:val="游ゴシック"/>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C9561D" w:rsidRPr="006C1B74" w:rsidRDefault="00C9561D" w:rsidP="006C1B74">
    <w:pPr>
      <w:pStyle w:val="Footer"/>
      <w:rPr>
        <w:rFonts w:cs="Arial"/>
        <w:sz w:val="20"/>
      </w:rPr>
    </w:pPr>
    <w:r w:rsidRPr="006C1B7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DA123F" w14:textId="77777777" w:rsidR="00D109B3" w:rsidRDefault="00D109B3">
      <w:r>
        <w:separator/>
      </w:r>
    </w:p>
  </w:footnote>
  <w:footnote w:type="continuationSeparator" w:id="0">
    <w:p w14:paraId="2A66C4C3" w14:textId="77777777" w:rsidR="00D109B3" w:rsidRDefault="00D109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17171522" w:rsidR="00C9561D" w:rsidRDefault="00C9561D">
    <w:pPr>
      <w:framePr w:h="284" w:hRule="exact" w:wrap="around" w:vAnchor="text" w:hAnchor="margin" w:xAlign="right" w:y="1"/>
      <w:rPr>
        <w:rFonts w:ascii="Arial" w:hAnsi="Arial" w:cs="Arial"/>
        <w:b/>
        <w:sz w:val="18"/>
        <w:szCs w:val="18"/>
      </w:rPr>
    </w:pPr>
    <w:r w:rsidRPr="006C1B74">
      <w:rPr>
        <w:rFonts w:ascii="Arial" w:hAnsi="Arial" w:cs="Arial"/>
        <w:b/>
        <w:szCs w:val="18"/>
      </w:rPr>
      <w:fldChar w:fldCharType="begin"/>
    </w:r>
    <w:r w:rsidRPr="006C1B74">
      <w:rPr>
        <w:rFonts w:ascii="Arial" w:hAnsi="Arial" w:cs="Arial"/>
        <w:b/>
        <w:szCs w:val="18"/>
      </w:rPr>
      <w:instrText xml:space="preserve"> STYLEREF ZA </w:instrText>
    </w:r>
    <w:r w:rsidRPr="006C1B74">
      <w:rPr>
        <w:rFonts w:ascii="Arial" w:hAnsi="Arial" w:cs="Arial"/>
        <w:b/>
        <w:szCs w:val="18"/>
      </w:rPr>
      <w:fldChar w:fldCharType="separate"/>
    </w:r>
    <w:r w:rsidR="006C1B74">
      <w:rPr>
        <w:rFonts w:ascii="Arial" w:hAnsi="Arial" w:cs="Arial"/>
        <w:b/>
        <w:noProof/>
        <w:szCs w:val="18"/>
      </w:rPr>
      <w:t>3GPP TS 23.501 V18.10.0 (2025-06)</w:t>
    </w:r>
    <w:r w:rsidRPr="006C1B74">
      <w:rPr>
        <w:rFonts w:ascii="Arial" w:hAnsi="Arial" w:cs="Arial"/>
        <w:b/>
        <w:szCs w:val="18"/>
      </w:rPr>
      <w:fldChar w:fldCharType="end"/>
    </w:r>
  </w:p>
  <w:p w14:paraId="25C4C7E4" w14:textId="77777777" w:rsidR="00C9561D" w:rsidRDefault="00C9561D">
    <w:pPr>
      <w:framePr w:h="284" w:hRule="exact" w:wrap="around" w:vAnchor="text" w:hAnchor="margin" w:xAlign="center" w:y="7"/>
      <w:rPr>
        <w:rFonts w:ascii="Arial" w:hAnsi="Arial" w:cs="Arial"/>
        <w:b/>
        <w:sz w:val="18"/>
        <w:szCs w:val="18"/>
      </w:rPr>
    </w:pPr>
    <w:r w:rsidRPr="006C1B74">
      <w:rPr>
        <w:rFonts w:ascii="Arial" w:hAnsi="Arial" w:cs="Arial"/>
        <w:b/>
        <w:szCs w:val="18"/>
      </w:rPr>
      <w:fldChar w:fldCharType="begin"/>
    </w:r>
    <w:r w:rsidRPr="006C1B74">
      <w:rPr>
        <w:rFonts w:ascii="Arial" w:hAnsi="Arial" w:cs="Arial"/>
        <w:b/>
        <w:szCs w:val="18"/>
      </w:rPr>
      <w:instrText xml:space="preserve"> PAGE </w:instrText>
    </w:r>
    <w:r w:rsidRPr="006C1B74">
      <w:rPr>
        <w:rFonts w:ascii="Arial" w:hAnsi="Arial" w:cs="Arial"/>
        <w:b/>
        <w:szCs w:val="18"/>
      </w:rPr>
      <w:fldChar w:fldCharType="separate"/>
    </w:r>
    <w:r w:rsidRPr="006C1B74">
      <w:rPr>
        <w:rFonts w:ascii="Arial" w:hAnsi="Arial" w:cs="Arial"/>
        <w:b/>
        <w:noProof/>
        <w:szCs w:val="18"/>
      </w:rPr>
      <w:t>14</w:t>
    </w:r>
    <w:r w:rsidRPr="006C1B74">
      <w:rPr>
        <w:rFonts w:ascii="Arial" w:hAnsi="Arial" w:cs="Arial"/>
        <w:b/>
        <w:szCs w:val="18"/>
      </w:rPr>
      <w:fldChar w:fldCharType="end"/>
    </w:r>
  </w:p>
  <w:p w14:paraId="09353812" w14:textId="6DE6D5D8" w:rsidR="00C9561D" w:rsidRDefault="00C9561D">
    <w:pPr>
      <w:framePr w:h="284" w:hRule="exact" w:wrap="around" w:vAnchor="text" w:hAnchor="margin" w:y="7"/>
      <w:rPr>
        <w:rFonts w:ascii="Arial" w:hAnsi="Arial" w:cs="Arial"/>
        <w:b/>
        <w:sz w:val="18"/>
        <w:szCs w:val="18"/>
      </w:rPr>
    </w:pPr>
    <w:r w:rsidRPr="006C1B74">
      <w:rPr>
        <w:rFonts w:ascii="Arial" w:hAnsi="Arial" w:cs="Arial"/>
        <w:b/>
        <w:szCs w:val="18"/>
      </w:rPr>
      <w:fldChar w:fldCharType="begin"/>
    </w:r>
    <w:r w:rsidRPr="006C1B74">
      <w:rPr>
        <w:rFonts w:ascii="Arial" w:hAnsi="Arial" w:cs="Arial"/>
        <w:b/>
        <w:szCs w:val="18"/>
      </w:rPr>
      <w:instrText xml:space="preserve"> STYLEREF ZGSM </w:instrText>
    </w:r>
    <w:r w:rsidRPr="006C1B74">
      <w:rPr>
        <w:rFonts w:ascii="Arial" w:hAnsi="Arial" w:cs="Arial"/>
        <w:b/>
        <w:szCs w:val="18"/>
      </w:rPr>
      <w:fldChar w:fldCharType="separate"/>
    </w:r>
    <w:r w:rsidR="006C1B74">
      <w:rPr>
        <w:rFonts w:ascii="Arial" w:hAnsi="Arial" w:cs="Arial"/>
        <w:b/>
        <w:noProof/>
        <w:szCs w:val="18"/>
      </w:rPr>
      <w:t>Release 18</w:t>
    </w:r>
    <w:r w:rsidRPr="006C1B74">
      <w:rPr>
        <w:rFonts w:ascii="Arial" w:hAnsi="Arial" w:cs="Arial"/>
        <w:b/>
        <w:szCs w:val="18"/>
      </w:rPr>
      <w:fldChar w:fldCharType="end"/>
    </w:r>
  </w:p>
  <w:p w14:paraId="59B4AD88" w14:textId="77777777" w:rsidR="00C9561D" w:rsidRDefault="00C956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8288157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70440585">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97342355">
    <w:abstractNumId w:val="10"/>
  </w:num>
  <w:num w:numId="4" w16cid:durableId="1244297081">
    <w:abstractNumId w:val="11"/>
  </w:num>
  <w:num w:numId="5" w16cid:durableId="1966813173">
    <w:abstractNumId w:val="8"/>
  </w:num>
  <w:num w:numId="6" w16cid:durableId="1321730924">
    <w:abstractNumId w:val="7"/>
  </w:num>
  <w:num w:numId="7" w16cid:durableId="710347148">
    <w:abstractNumId w:val="6"/>
  </w:num>
  <w:num w:numId="8" w16cid:durableId="744034329">
    <w:abstractNumId w:val="5"/>
  </w:num>
  <w:num w:numId="9" w16cid:durableId="597786316">
    <w:abstractNumId w:val="4"/>
  </w:num>
  <w:num w:numId="10" w16cid:durableId="985473778">
    <w:abstractNumId w:val="3"/>
  </w:num>
  <w:num w:numId="11" w16cid:durableId="151411621">
    <w:abstractNumId w:val="2"/>
  </w:num>
  <w:num w:numId="12" w16cid:durableId="242183259">
    <w:abstractNumId w:val="1"/>
  </w:num>
  <w:num w:numId="13" w16cid:durableId="15443626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046DD"/>
    <w:rsid w:val="0001193E"/>
    <w:rsid w:val="00013087"/>
    <w:rsid w:val="0001796C"/>
    <w:rsid w:val="00022CB9"/>
    <w:rsid w:val="00033397"/>
    <w:rsid w:val="000342C3"/>
    <w:rsid w:val="00040095"/>
    <w:rsid w:val="0004047F"/>
    <w:rsid w:val="00041197"/>
    <w:rsid w:val="00051834"/>
    <w:rsid w:val="00054A22"/>
    <w:rsid w:val="000555AB"/>
    <w:rsid w:val="00055D0B"/>
    <w:rsid w:val="00060FE0"/>
    <w:rsid w:val="00062023"/>
    <w:rsid w:val="000655A6"/>
    <w:rsid w:val="00080512"/>
    <w:rsid w:val="000B59A0"/>
    <w:rsid w:val="000C47C3"/>
    <w:rsid w:val="000C6BFB"/>
    <w:rsid w:val="000D58AB"/>
    <w:rsid w:val="000E0238"/>
    <w:rsid w:val="000E35F2"/>
    <w:rsid w:val="000E5655"/>
    <w:rsid w:val="000F3F9B"/>
    <w:rsid w:val="000F5D21"/>
    <w:rsid w:val="0010039C"/>
    <w:rsid w:val="001029D4"/>
    <w:rsid w:val="0010573D"/>
    <w:rsid w:val="0010576F"/>
    <w:rsid w:val="00111015"/>
    <w:rsid w:val="00112E2C"/>
    <w:rsid w:val="00114986"/>
    <w:rsid w:val="001151EB"/>
    <w:rsid w:val="00120E23"/>
    <w:rsid w:val="00124D8F"/>
    <w:rsid w:val="00131D56"/>
    <w:rsid w:val="0013348C"/>
    <w:rsid w:val="00133525"/>
    <w:rsid w:val="00133F31"/>
    <w:rsid w:val="00134859"/>
    <w:rsid w:val="0014088C"/>
    <w:rsid w:val="00141A61"/>
    <w:rsid w:val="00146841"/>
    <w:rsid w:val="00153C7D"/>
    <w:rsid w:val="00160667"/>
    <w:rsid w:val="00182EE7"/>
    <w:rsid w:val="00183D3D"/>
    <w:rsid w:val="0018715C"/>
    <w:rsid w:val="001A4A6F"/>
    <w:rsid w:val="001A4C42"/>
    <w:rsid w:val="001A5272"/>
    <w:rsid w:val="001A5FBA"/>
    <w:rsid w:val="001A7420"/>
    <w:rsid w:val="001B6637"/>
    <w:rsid w:val="001B7C50"/>
    <w:rsid w:val="001C07EC"/>
    <w:rsid w:val="001C21C3"/>
    <w:rsid w:val="001C7C66"/>
    <w:rsid w:val="001D02C2"/>
    <w:rsid w:val="001E021F"/>
    <w:rsid w:val="001F0C1D"/>
    <w:rsid w:val="001F1132"/>
    <w:rsid w:val="001F168B"/>
    <w:rsid w:val="001F2194"/>
    <w:rsid w:val="001F3682"/>
    <w:rsid w:val="001F5968"/>
    <w:rsid w:val="002062D8"/>
    <w:rsid w:val="002154F5"/>
    <w:rsid w:val="0022127D"/>
    <w:rsid w:val="00227007"/>
    <w:rsid w:val="00233A0B"/>
    <w:rsid w:val="002347A2"/>
    <w:rsid w:val="0024540E"/>
    <w:rsid w:val="00246EB9"/>
    <w:rsid w:val="002506F3"/>
    <w:rsid w:val="00252264"/>
    <w:rsid w:val="0026280E"/>
    <w:rsid w:val="002675F0"/>
    <w:rsid w:val="00270EDE"/>
    <w:rsid w:val="002768E9"/>
    <w:rsid w:val="00283ED6"/>
    <w:rsid w:val="0028472D"/>
    <w:rsid w:val="00286939"/>
    <w:rsid w:val="0028739B"/>
    <w:rsid w:val="0029208C"/>
    <w:rsid w:val="00295BD4"/>
    <w:rsid w:val="00296EC9"/>
    <w:rsid w:val="002A3DAF"/>
    <w:rsid w:val="002A4DF8"/>
    <w:rsid w:val="002B09F2"/>
    <w:rsid w:val="002B6339"/>
    <w:rsid w:val="002C404F"/>
    <w:rsid w:val="002C4A81"/>
    <w:rsid w:val="002D6443"/>
    <w:rsid w:val="002D6B6E"/>
    <w:rsid w:val="002E00EE"/>
    <w:rsid w:val="002E6C8C"/>
    <w:rsid w:val="00301C42"/>
    <w:rsid w:val="0030234B"/>
    <w:rsid w:val="00316AF4"/>
    <w:rsid w:val="003172DC"/>
    <w:rsid w:val="00320307"/>
    <w:rsid w:val="00323277"/>
    <w:rsid w:val="00335A94"/>
    <w:rsid w:val="0035462D"/>
    <w:rsid w:val="00354C8E"/>
    <w:rsid w:val="00357584"/>
    <w:rsid w:val="0036079D"/>
    <w:rsid w:val="00366291"/>
    <w:rsid w:val="003765B8"/>
    <w:rsid w:val="00386935"/>
    <w:rsid w:val="0039193E"/>
    <w:rsid w:val="003965ED"/>
    <w:rsid w:val="00397D37"/>
    <w:rsid w:val="003A2901"/>
    <w:rsid w:val="003A48EC"/>
    <w:rsid w:val="003A5CE6"/>
    <w:rsid w:val="003B4BD9"/>
    <w:rsid w:val="003B4D25"/>
    <w:rsid w:val="003B51EA"/>
    <w:rsid w:val="003B6826"/>
    <w:rsid w:val="003B7084"/>
    <w:rsid w:val="003C3971"/>
    <w:rsid w:val="003D25E4"/>
    <w:rsid w:val="003D306B"/>
    <w:rsid w:val="003D4653"/>
    <w:rsid w:val="003D49E0"/>
    <w:rsid w:val="003E03C2"/>
    <w:rsid w:val="003E5241"/>
    <w:rsid w:val="003E5E0D"/>
    <w:rsid w:val="003F2E5D"/>
    <w:rsid w:val="004001F9"/>
    <w:rsid w:val="00405088"/>
    <w:rsid w:val="00407EAE"/>
    <w:rsid w:val="00410C49"/>
    <w:rsid w:val="004119E4"/>
    <w:rsid w:val="00411DE4"/>
    <w:rsid w:val="00412DC3"/>
    <w:rsid w:val="00423334"/>
    <w:rsid w:val="00424087"/>
    <w:rsid w:val="00426DE4"/>
    <w:rsid w:val="00433EFC"/>
    <w:rsid w:val="004345EC"/>
    <w:rsid w:val="00443CF9"/>
    <w:rsid w:val="0044530F"/>
    <w:rsid w:val="00446041"/>
    <w:rsid w:val="00456BDF"/>
    <w:rsid w:val="00461850"/>
    <w:rsid w:val="00465515"/>
    <w:rsid w:val="00472CD7"/>
    <w:rsid w:val="0047544D"/>
    <w:rsid w:val="004817F2"/>
    <w:rsid w:val="00483AB7"/>
    <w:rsid w:val="00494FD0"/>
    <w:rsid w:val="004969CB"/>
    <w:rsid w:val="004A0323"/>
    <w:rsid w:val="004B41E0"/>
    <w:rsid w:val="004C0C4E"/>
    <w:rsid w:val="004C682E"/>
    <w:rsid w:val="004D3578"/>
    <w:rsid w:val="004D6126"/>
    <w:rsid w:val="004D7805"/>
    <w:rsid w:val="004E15CA"/>
    <w:rsid w:val="004E213A"/>
    <w:rsid w:val="004E7C02"/>
    <w:rsid w:val="004F0988"/>
    <w:rsid w:val="004F3340"/>
    <w:rsid w:val="004F3F92"/>
    <w:rsid w:val="00500903"/>
    <w:rsid w:val="0050142C"/>
    <w:rsid w:val="00511811"/>
    <w:rsid w:val="005163AE"/>
    <w:rsid w:val="00516747"/>
    <w:rsid w:val="00517B35"/>
    <w:rsid w:val="00517FBD"/>
    <w:rsid w:val="0052001B"/>
    <w:rsid w:val="005309E6"/>
    <w:rsid w:val="0053150F"/>
    <w:rsid w:val="0053388B"/>
    <w:rsid w:val="00535773"/>
    <w:rsid w:val="0054077B"/>
    <w:rsid w:val="00541AF2"/>
    <w:rsid w:val="00543E6C"/>
    <w:rsid w:val="0054498C"/>
    <w:rsid w:val="005457D5"/>
    <w:rsid w:val="00552FA2"/>
    <w:rsid w:val="005551CC"/>
    <w:rsid w:val="00562E84"/>
    <w:rsid w:val="00565087"/>
    <w:rsid w:val="005656CA"/>
    <w:rsid w:val="00570265"/>
    <w:rsid w:val="00571A57"/>
    <w:rsid w:val="00571B2E"/>
    <w:rsid w:val="00575D44"/>
    <w:rsid w:val="00584738"/>
    <w:rsid w:val="00587044"/>
    <w:rsid w:val="00591B52"/>
    <w:rsid w:val="0059213C"/>
    <w:rsid w:val="0059537E"/>
    <w:rsid w:val="00597B11"/>
    <w:rsid w:val="005A13C0"/>
    <w:rsid w:val="005A6F3B"/>
    <w:rsid w:val="005C1DEB"/>
    <w:rsid w:val="005D2E01"/>
    <w:rsid w:val="005D7526"/>
    <w:rsid w:val="005E204B"/>
    <w:rsid w:val="005E258C"/>
    <w:rsid w:val="005E4BB2"/>
    <w:rsid w:val="00602AEA"/>
    <w:rsid w:val="00607A94"/>
    <w:rsid w:val="006101B9"/>
    <w:rsid w:val="00611C81"/>
    <w:rsid w:val="00614FDF"/>
    <w:rsid w:val="00616F73"/>
    <w:rsid w:val="00627C2F"/>
    <w:rsid w:val="006310D8"/>
    <w:rsid w:val="00633BD1"/>
    <w:rsid w:val="0063543D"/>
    <w:rsid w:val="006357E4"/>
    <w:rsid w:val="00640EBF"/>
    <w:rsid w:val="00644F65"/>
    <w:rsid w:val="00647114"/>
    <w:rsid w:val="006514B8"/>
    <w:rsid w:val="006648CD"/>
    <w:rsid w:val="00680C07"/>
    <w:rsid w:val="006810D1"/>
    <w:rsid w:val="00681FC7"/>
    <w:rsid w:val="00685322"/>
    <w:rsid w:val="0069561D"/>
    <w:rsid w:val="00695DF1"/>
    <w:rsid w:val="006A323F"/>
    <w:rsid w:val="006A69CB"/>
    <w:rsid w:val="006B30D0"/>
    <w:rsid w:val="006B65B5"/>
    <w:rsid w:val="006C1B74"/>
    <w:rsid w:val="006C3D95"/>
    <w:rsid w:val="006D2D57"/>
    <w:rsid w:val="006E1B0F"/>
    <w:rsid w:val="006E26ED"/>
    <w:rsid w:val="006E42D8"/>
    <w:rsid w:val="006E5C86"/>
    <w:rsid w:val="006E7E83"/>
    <w:rsid w:val="006F101E"/>
    <w:rsid w:val="00700DBF"/>
    <w:rsid w:val="00701116"/>
    <w:rsid w:val="00704A9E"/>
    <w:rsid w:val="00713C44"/>
    <w:rsid w:val="0071554A"/>
    <w:rsid w:val="00717746"/>
    <w:rsid w:val="007229DB"/>
    <w:rsid w:val="00733F50"/>
    <w:rsid w:val="00734A5B"/>
    <w:rsid w:val="0073598F"/>
    <w:rsid w:val="0074026F"/>
    <w:rsid w:val="007429F6"/>
    <w:rsid w:val="00744E76"/>
    <w:rsid w:val="00745A3E"/>
    <w:rsid w:val="00753E54"/>
    <w:rsid w:val="00757CAF"/>
    <w:rsid w:val="00763F42"/>
    <w:rsid w:val="00774DA4"/>
    <w:rsid w:val="00774ED5"/>
    <w:rsid w:val="00781F0F"/>
    <w:rsid w:val="007918F2"/>
    <w:rsid w:val="007B0B8F"/>
    <w:rsid w:val="007B3699"/>
    <w:rsid w:val="007B5880"/>
    <w:rsid w:val="007B600E"/>
    <w:rsid w:val="007B6EB9"/>
    <w:rsid w:val="007C0A9B"/>
    <w:rsid w:val="007C1B83"/>
    <w:rsid w:val="007C2ADF"/>
    <w:rsid w:val="007C344D"/>
    <w:rsid w:val="007C5118"/>
    <w:rsid w:val="007D1AB8"/>
    <w:rsid w:val="007E4CBA"/>
    <w:rsid w:val="007F0F4A"/>
    <w:rsid w:val="007F79AC"/>
    <w:rsid w:val="008028A4"/>
    <w:rsid w:val="008056BA"/>
    <w:rsid w:val="008117B9"/>
    <w:rsid w:val="008118B9"/>
    <w:rsid w:val="00820D64"/>
    <w:rsid w:val="00821D9E"/>
    <w:rsid w:val="00824EE1"/>
    <w:rsid w:val="0082686E"/>
    <w:rsid w:val="00830747"/>
    <w:rsid w:val="00831F54"/>
    <w:rsid w:val="00836789"/>
    <w:rsid w:val="00840EAC"/>
    <w:rsid w:val="00846E0B"/>
    <w:rsid w:val="008546A1"/>
    <w:rsid w:val="00857A0D"/>
    <w:rsid w:val="008606DA"/>
    <w:rsid w:val="00867873"/>
    <w:rsid w:val="00872C86"/>
    <w:rsid w:val="00873B6C"/>
    <w:rsid w:val="008768CA"/>
    <w:rsid w:val="00883CA6"/>
    <w:rsid w:val="00893B12"/>
    <w:rsid w:val="008A60FE"/>
    <w:rsid w:val="008B15DC"/>
    <w:rsid w:val="008C384C"/>
    <w:rsid w:val="008D4C5F"/>
    <w:rsid w:val="008D4CC2"/>
    <w:rsid w:val="008D5A3F"/>
    <w:rsid w:val="008D6138"/>
    <w:rsid w:val="008E3A01"/>
    <w:rsid w:val="008E3DA0"/>
    <w:rsid w:val="008E69B3"/>
    <w:rsid w:val="008E737F"/>
    <w:rsid w:val="008F2101"/>
    <w:rsid w:val="008F4686"/>
    <w:rsid w:val="0090271F"/>
    <w:rsid w:val="00902C1F"/>
    <w:rsid w:val="00902E23"/>
    <w:rsid w:val="009114D7"/>
    <w:rsid w:val="0091348E"/>
    <w:rsid w:val="00914CD1"/>
    <w:rsid w:val="00917CCB"/>
    <w:rsid w:val="00932380"/>
    <w:rsid w:val="0094242B"/>
    <w:rsid w:val="00942EC2"/>
    <w:rsid w:val="0095237B"/>
    <w:rsid w:val="00960CDA"/>
    <w:rsid w:val="00965644"/>
    <w:rsid w:val="00967FB9"/>
    <w:rsid w:val="00972189"/>
    <w:rsid w:val="009722D9"/>
    <w:rsid w:val="00972BA6"/>
    <w:rsid w:val="00972E70"/>
    <w:rsid w:val="0097471D"/>
    <w:rsid w:val="00985055"/>
    <w:rsid w:val="00985165"/>
    <w:rsid w:val="00995BDD"/>
    <w:rsid w:val="009A4851"/>
    <w:rsid w:val="009B42A2"/>
    <w:rsid w:val="009C14A7"/>
    <w:rsid w:val="009D14FB"/>
    <w:rsid w:val="009D1A77"/>
    <w:rsid w:val="009D2FD1"/>
    <w:rsid w:val="009D3726"/>
    <w:rsid w:val="009D42BF"/>
    <w:rsid w:val="009E505E"/>
    <w:rsid w:val="009E78C1"/>
    <w:rsid w:val="009F0D6B"/>
    <w:rsid w:val="009F2095"/>
    <w:rsid w:val="009F37B7"/>
    <w:rsid w:val="00A0570F"/>
    <w:rsid w:val="00A10084"/>
    <w:rsid w:val="00A10F02"/>
    <w:rsid w:val="00A1192D"/>
    <w:rsid w:val="00A13197"/>
    <w:rsid w:val="00A164B4"/>
    <w:rsid w:val="00A2272A"/>
    <w:rsid w:val="00A25791"/>
    <w:rsid w:val="00A26956"/>
    <w:rsid w:val="00A27486"/>
    <w:rsid w:val="00A30D67"/>
    <w:rsid w:val="00A346EF"/>
    <w:rsid w:val="00A37F57"/>
    <w:rsid w:val="00A4240B"/>
    <w:rsid w:val="00A43299"/>
    <w:rsid w:val="00A46717"/>
    <w:rsid w:val="00A51A83"/>
    <w:rsid w:val="00A53724"/>
    <w:rsid w:val="00A56066"/>
    <w:rsid w:val="00A57580"/>
    <w:rsid w:val="00A725B6"/>
    <w:rsid w:val="00A73129"/>
    <w:rsid w:val="00A82346"/>
    <w:rsid w:val="00A84CD4"/>
    <w:rsid w:val="00A92B4B"/>
    <w:rsid w:val="00A92BA1"/>
    <w:rsid w:val="00AA4C8A"/>
    <w:rsid w:val="00AA610D"/>
    <w:rsid w:val="00AB1E8D"/>
    <w:rsid w:val="00AC6BC6"/>
    <w:rsid w:val="00AD480D"/>
    <w:rsid w:val="00AE12FC"/>
    <w:rsid w:val="00AE2D10"/>
    <w:rsid w:val="00AE65E2"/>
    <w:rsid w:val="00AF2D89"/>
    <w:rsid w:val="00AF315F"/>
    <w:rsid w:val="00AF6F28"/>
    <w:rsid w:val="00B00E92"/>
    <w:rsid w:val="00B04F2B"/>
    <w:rsid w:val="00B15449"/>
    <w:rsid w:val="00B17714"/>
    <w:rsid w:val="00B37A78"/>
    <w:rsid w:val="00B45567"/>
    <w:rsid w:val="00B5050B"/>
    <w:rsid w:val="00B7083B"/>
    <w:rsid w:val="00B7520E"/>
    <w:rsid w:val="00B816DF"/>
    <w:rsid w:val="00B93086"/>
    <w:rsid w:val="00B93E3D"/>
    <w:rsid w:val="00B96062"/>
    <w:rsid w:val="00B975A9"/>
    <w:rsid w:val="00BA19ED"/>
    <w:rsid w:val="00BA212C"/>
    <w:rsid w:val="00BA4B57"/>
    <w:rsid w:val="00BA4B8D"/>
    <w:rsid w:val="00BB2064"/>
    <w:rsid w:val="00BC0F7D"/>
    <w:rsid w:val="00BC24B5"/>
    <w:rsid w:val="00BD307B"/>
    <w:rsid w:val="00BD3ADB"/>
    <w:rsid w:val="00BD7D31"/>
    <w:rsid w:val="00BE0437"/>
    <w:rsid w:val="00BE3255"/>
    <w:rsid w:val="00BF128E"/>
    <w:rsid w:val="00BF6E11"/>
    <w:rsid w:val="00C05113"/>
    <w:rsid w:val="00C074DD"/>
    <w:rsid w:val="00C14125"/>
    <w:rsid w:val="00C1496A"/>
    <w:rsid w:val="00C1580A"/>
    <w:rsid w:val="00C17CB0"/>
    <w:rsid w:val="00C20C6C"/>
    <w:rsid w:val="00C25C3D"/>
    <w:rsid w:val="00C30502"/>
    <w:rsid w:val="00C33079"/>
    <w:rsid w:val="00C374F9"/>
    <w:rsid w:val="00C4403A"/>
    <w:rsid w:val="00C45231"/>
    <w:rsid w:val="00C5166C"/>
    <w:rsid w:val="00C56FEA"/>
    <w:rsid w:val="00C60901"/>
    <w:rsid w:val="00C62779"/>
    <w:rsid w:val="00C72833"/>
    <w:rsid w:val="00C74FFE"/>
    <w:rsid w:val="00C80F1D"/>
    <w:rsid w:val="00C84B6D"/>
    <w:rsid w:val="00C86B51"/>
    <w:rsid w:val="00C92133"/>
    <w:rsid w:val="00C922CA"/>
    <w:rsid w:val="00C93F40"/>
    <w:rsid w:val="00C950EF"/>
    <w:rsid w:val="00C9561D"/>
    <w:rsid w:val="00C95D46"/>
    <w:rsid w:val="00CA290C"/>
    <w:rsid w:val="00CA3D0C"/>
    <w:rsid w:val="00CA6217"/>
    <w:rsid w:val="00CA7C83"/>
    <w:rsid w:val="00CB22D2"/>
    <w:rsid w:val="00CB6EDC"/>
    <w:rsid w:val="00CC3191"/>
    <w:rsid w:val="00CC33CA"/>
    <w:rsid w:val="00CD1405"/>
    <w:rsid w:val="00CD22D1"/>
    <w:rsid w:val="00CD55B0"/>
    <w:rsid w:val="00CD64F1"/>
    <w:rsid w:val="00CE60A9"/>
    <w:rsid w:val="00CF2EC5"/>
    <w:rsid w:val="00CF5B1E"/>
    <w:rsid w:val="00D006C1"/>
    <w:rsid w:val="00D01473"/>
    <w:rsid w:val="00D109B3"/>
    <w:rsid w:val="00D2515B"/>
    <w:rsid w:val="00D34376"/>
    <w:rsid w:val="00D40151"/>
    <w:rsid w:val="00D409DD"/>
    <w:rsid w:val="00D43923"/>
    <w:rsid w:val="00D45059"/>
    <w:rsid w:val="00D51D1B"/>
    <w:rsid w:val="00D52AA2"/>
    <w:rsid w:val="00D52D28"/>
    <w:rsid w:val="00D57972"/>
    <w:rsid w:val="00D602DF"/>
    <w:rsid w:val="00D63C5A"/>
    <w:rsid w:val="00D64A02"/>
    <w:rsid w:val="00D67200"/>
    <w:rsid w:val="00D675A9"/>
    <w:rsid w:val="00D71283"/>
    <w:rsid w:val="00D72F02"/>
    <w:rsid w:val="00D738D6"/>
    <w:rsid w:val="00D755EB"/>
    <w:rsid w:val="00D76048"/>
    <w:rsid w:val="00D841E1"/>
    <w:rsid w:val="00D87E00"/>
    <w:rsid w:val="00D9134D"/>
    <w:rsid w:val="00D95A16"/>
    <w:rsid w:val="00D97B4E"/>
    <w:rsid w:val="00DA3BBC"/>
    <w:rsid w:val="00DA6F9C"/>
    <w:rsid w:val="00DA7A03"/>
    <w:rsid w:val="00DB1818"/>
    <w:rsid w:val="00DB2C67"/>
    <w:rsid w:val="00DB3C92"/>
    <w:rsid w:val="00DC309B"/>
    <w:rsid w:val="00DC49BB"/>
    <w:rsid w:val="00DC4DA2"/>
    <w:rsid w:val="00DD4756"/>
    <w:rsid w:val="00DD4C17"/>
    <w:rsid w:val="00DD6726"/>
    <w:rsid w:val="00DD74A5"/>
    <w:rsid w:val="00DF2B1F"/>
    <w:rsid w:val="00DF6095"/>
    <w:rsid w:val="00DF62CD"/>
    <w:rsid w:val="00E02643"/>
    <w:rsid w:val="00E06501"/>
    <w:rsid w:val="00E16509"/>
    <w:rsid w:val="00E21C2B"/>
    <w:rsid w:val="00E23065"/>
    <w:rsid w:val="00E2466C"/>
    <w:rsid w:val="00E26BE3"/>
    <w:rsid w:val="00E3255E"/>
    <w:rsid w:val="00E44582"/>
    <w:rsid w:val="00E47495"/>
    <w:rsid w:val="00E537C9"/>
    <w:rsid w:val="00E60FE4"/>
    <w:rsid w:val="00E637EF"/>
    <w:rsid w:val="00E73E60"/>
    <w:rsid w:val="00E77645"/>
    <w:rsid w:val="00E83620"/>
    <w:rsid w:val="00E96B6B"/>
    <w:rsid w:val="00EA15B0"/>
    <w:rsid w:val="00EA5EA7"/>
    <w:rsid w:val="00EB6920"/>
    <w:rsid w:val="00EC4A25"/>
    <w:rsid w:val="00EC5600"/>
    <w:rsid w:val="00EC6AAB"/>
    <w:rsid w:val="00EC761C"/>
    <w:rsid w:val="00ED0998"/>
    <w:rsid w:val="00EE23D1"/>
    <w:rsid w:val="00EE6BB1"/>
    <w:rsid w:val="00EF4A8B"/>
    <w:rsid w:val="00EF74F8"/>
    <w:rsid w:val="00F00626"/>
    <w:rsid w:val="00F025A2"/>
    <w:rsid w:val="00F03116"/>
    <w:rsid w:val="00F04712"/>
    <w:rsid w:val="00F04A40"/>
    <w:rsid w:val="00F05BA4"/>
    <w:rsid w:val="00F13360"/>
    <w:rsid w:val="00F13E92"/>
    <w:rsid w:val="00F1595A"/>
    <w:rsid w:val="00F20C2F"/>
    <w:rsid w:val="00F22EC7"/>
    <w:rsid w:val="00F325C8"/>
    <w:rsid w:val="00F36287"/>
    <w:rsid w:val="00F50296"/>
    <w:rsid w:val="00F60DC2"/>
    <w:rsid w:val="00F653B8"/>
    <w:rsid w:val="00F8101C"/>
    <w:rsid w:val="00F84AAF"/>
    <w:rsid w:val="00F860C3"/>
    <w:rsid w:val="00F9008D"/>
    <w:rsid w:val="00F92505"/>
    <w:rsid w:val="00FA1266"/>
    <w:rsid w:val="00FA1F66"/>
    <w:rsid w:val="00FA5436"/>
    <w:rsid w:val="00FA7B3B"/>
    <w:rsid w:val="00FA7D5B"/>
    <w:rsid w:val="00FB1520"/>
    <w:rsid w:val="00FB2152"/>
    <w:rsid w:val="00FB5439"/>
    <w:rsid w:val="00FB6BEB"/>
    <w:rsid w:val="00FC0C60"/>
    <w:rsid w:val="00FC1192"/>
    <w:rsid w:val="00FC2DD0"/>
    <w:rsid w:val="00FD5C4A"/>
    <w:rsid w:val="00FE24CE"/>
    <w:rsid w:val="00FE36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C1B74"/>
    <w:pPr>
      <w:overflowPunct w:val="0"/>
      <w:autoSpaceDE w:val="0"/>
      <w:autoSpaceDN w:val="0"/>
      <w:adjustRightInd w:val="0"/>
      <w:spacing w:after="180"/>
      <w:textAlignment w:val="baseline"/>
    </w:pPr>
  </w:style>
  <w:style w:type="paragraph" w:styleId="Heading1">
    <w:name w:val="heading 1"/>
    <w:next w:val="Normal"/>
    <w:qFormat/>
    <w:rsid w:val="006C1B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6C1B74"/>
    <w:pPr>
      <w:pBdr>
        <w:top w:val="none" w:sz="0" w:space="0" w:color="auto"/>
      </w:pBdr>
      <w:spacing w:before="180"/>
      <w:outlineLvl w:val="1"/>
    </w:pPr>
    <w:rPr>
      <w:sz w:val="32"/>
    </w:rPr>
  </w:style>
  <w:style w:type="paragraph" w:styleId="Heading3">
    <w:name w:val="heading 3"/>
    <w:basedOn w:val="Heading2"/>
    <w:next w:val="Normal"/>
    <w:qFormat/>
    <w:rsid w:val="006C1B74"/>
    <w:pPr>
      <w:spacing w:before="120"/>
      <w:outlineLvl w:val="2"/>
    </w:pPr>
    <w:rPr>
      <w:sz w:val="28"/>
    </w:rPr>
  </w:style>
  <w:style w:type="paragraph" w:styleId="Heading4">
    <w:name w:val="heading 4"/>
    <w:basedOn w:val="Heading3"/>
    <w:next w:val="Normal"/>
    <w:link w:val="Heading4Char"/>
    <w:qFormat/>
    <w:rsid w:val="006C1B74"/>
    <w:pPr>
      <w:ind w:left="1418" w:hanging="1418"/>
      <w:outlineLvl w:val="3"/>
    </w:pPr>
    <w:rPr>
      <w:sz w:val="24"/>
    </w:rPr>
  </w:style>
  <w:style w:type="paragraph" w:styleId="Heading5">
    <w:name w:val="heading 5"/>
    <w:basedOn w:val="Heading4"/>
    <w:next w:val="Normal"/>
    <w:qFormat/>
    <w:rsid w:val="006C1B7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6C1B74"/>
    <w:pPr>
      <w:ind w:left="0" w:firstLine="0"/>
      <w:outlineLvl w:val="7"/>
    </w:pPr>
  </w:style>
  <w:style w:type="paragraph" w:styleId="Heading9">
    <w:name w:val="heading 9"/>
    <w:basedOn w:val="Heading8"/>
    <w:next w:val="Normal"/>
    <w:qFormat/>
    <w:rsid w:val="006C1B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C1B74"/>
    <w:pPr>
      <w:ind w:left="1985" w:hanging="1985"/>
      <w:outlineLvl w:val="9"/>
    </w:pPr>
    <w:rPr>
      <w:sz w:val="20"/>
    </w:rPr>
  </w:style>
  <w:style w:type="paragraph" w:styleId="TOC9">
    <w:name w:val="toc 9"/>
    <w:basedOn w:val="TOC8"/>
    <w:uiPriority w:val="39"/>
    <w:rsid w:val="006C1B74"/>
    <w:pPr>
      <w:ind w:left="1418" w:hanging="1418"/>
    </w:pPr>
  </w:style>
  <w:style w:type="paragraph" w:styleId="TOC8">
    <w:name w:val="toc 8"/>
    <w:basedOn w:val="TOC1"/>
    <w:uiPriority w:val="39"/>
    <w:rsid w:val="006C1B74"/>
    <w:pPr>
      <w:spacing w:before="180"/>
      <w:ind w:left="2693" w:hanging="2693"/>
    </w:pPr>
    <w:rPr>
      <w:b/>
    </w:rPr>
  </w:style>
  <w:style w:type="paragraph" w:styleId="TOC1">
    <w:name w:val="toc 1"/>
    <w:uiPriority w:val="39"/>
    <w:rsid w:val="006C1B7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6C1B74"/>
    <w:pPr>
      <w:keepLines/>
      <w:tabs>
        <w:tab w:val="center" w:pos="4536"/>
        <w:tab w:val="right" w:pos="9072"/>
      </w:tabs>
    </w:pPr>
    <w:rPr>
      <w:noProof/>
    </w:rPr>
  </w:style>
  <w:style w:type="character" w:customStyle="1" w:styleId="ZGSM">
    <w:name w:val="ZGSM"/>
    <w:rsid w:val="006C1B74"/>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C1B7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6C1B74"/>
    <w:pPr>
      <w:ind w:left="1701" w:hanging="1701"/>
    </w:pPr>
  </w:style>
  <w:style w:type="paragraph" w:styleId="TOC4">
    <w:name w:val="toc 4"/>
    <w:basedOn w:val="TOC3"/>
    <w:uiPriority w:val="39"/>
    <w:rsid w:val="006C1B74"/>
    <w:pPr>
      <w:ind w:left="1418" w:hanging="1418"/>
    </w:pPr>
  </w:style>
  <w:style w:type="paragraph" w:styleId="TOC3">
    <w:name w:val="toc 3"/>
    <w:basedOn w:val="TOC2"/>
    <w:uiPriority w:val="39"/>
    <w:rsid w:val="006C1B74"/>
    <w:pPr>
      <w:ind w:left="1134" w:hanging="1134"/>
    </w:pPr>
  </w:style>
  <w:style w:type="paragraph" w:styleId="TOC2">
    <w:name w:val="toc 2"/>
    <w:basedOn w:val="TOC1"/>
    <w:uiPriority w:val="39"/>
    <w:rsid w:val="006C1B74"/>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6C1B74"/>
    <w:pPr>
      <w:outlineLvl w:val="9"/>
    </w:pPr>
  </w:style>
  <w:style w:type="paragraph" w:customStyle="1" w:styleId="NF">
    <w:name w:val="NF"/>
    <w:basedOn w:val="NO"/>
    <w:rsid w:val="006C1B74"/>
    <w:pPr>
      <w:keepNext/>
      <w:spacing w:after="0"/>
    </w:pPr>
    <w:rPr>
      <w:rFonts w:ascii="Arial" w:hAnsi="Arial"/>
      <w:sz w:val="18"/>
    </w:rPr>
  </w:style>
  <w:style w:type="paragraph" w:customStyle="1" w:styleId="NO">
    <w:name w:val="NO"/>
    <w:basedOn w:val="Normal"/>
    <w:link w:val="NOZchn"/>
    <w:rsid w:val="006C1B74"/>
    <w:pPr>
      <w:keepLines/>
      <w:ind w:left="1135" w:hanging="851"/>
    </w:pPr>
  </w:style>
  <w:style w:type="paragraph" w:customStyle="1" w:styleId="PL">
    <w:name w:val="PL"/>
    <w:rsid w:val="006C1B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6C1B74"/>
    <w:pPr>
      <w:jc w:val="right"/>
    </w:pPr>
  </w:style>
  <w:style w:type="paragraph" w:customStyle="1" w:styleId="TAL">
    <w:name w:val="TAL"/>
    <w:basedOn w:val="Normal"/>
    <w:link w:val="TALChar"/>
    <w:rsid w:val="006C1B74"/>
    <w:pPr>
      <w:keepNext/>
      <w:keepLines/>
      <w:spacing w:after="0"/>
    </w:pPr>
    <w:rPr>
      <w:rFonts w:ascii="Arial" w:hAnsi="Arial"/>
      <w:sz w:val="18"/>
    </w:rPr>
  </w:style>
  <w:style w:type="paragraph" w:customStyle="1" w:styleId="TAH">
    <w:name w:val="TAH"/>
    <w:basedOn w:val="TAC"/>
    <w:link w:val="TAHCar"/>
    <w:rsid w:val="006C1B74"/>
    <w:rPr>
      <w:b/>
    </w:rPr>
  </w:style>
  <w:style w:type="paragraph" w:customStyle="1" w:styleId="TAC">
    <w:name w:val="TAC"/>
    <w:basedOn w:val="TAL"/>
    <w:link w:val="TACChar"/>
    <w:rsid w:val="006C1B74"/>
    <w:pPr>
      <w:jc w:val="center"/>
    </w:pPr>
  </w:style>
  <w:style w:type="paragraph" w:customStyle="1" w:styleId="LD">
    <w:name w:val="LD"/>
    <w:rsid w:val="006C1B7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6C1B74"/>
    <w:pPr>
      <w:keepLines/>
      <w:ind w:left="1702" w:hanging="1418"/>
    </w:pPr>
  </w:style>
  <w:style w:type="paragraph" w:customStyle="1" w:styleId="FP">
    <w:name w:val="FP"/>
    <w:basedOn w:val="Normal"/>
    <w:rsid w:val="006C1B74"/>
    <w:pPr>
      <w:spacing w:after="0"/>
    </w:pPr>
  </w:style>
  <w:style w:type="paragraph" w:customStyle="1" w:styleId="NW">
    <w:name w:val="NW"/>
    <w:basedOn w:val="NO"/>
    <w:rsid w:val="006C1B74"/>
    <w:pPr>
      <w:spacing w:after="0"/>
    </w:pPr>
  </w:style>
  <w:style w:type="paragraph" w:customStyle="1" w:styleId="EW">
    <w:name w:val="EW"/>
    <w:basedOn w:val="EX"/>
    <w:rsid w:val="006C1B74"/>
    <w:pPr>
      <w:spacing w:after="0"/>
    </w:pPr>
  </w:style>
  <w:style w:type="paragraph" w:customStyle="1" w:styleId="B1">
    <w:name w:val="B1"/>
    <w:basedOn w:val="List"/>
    <w:link w:val="B1Char"/>
    <w:rsid w:val="006C1B74"/>
    <w:pPr>
      <w:ind w:left="568" w:hanging="284"/>
      <w:contextualSpacing w:val="0"/>
    </w:pPr>
  </w:style>
  <w:style w:type="paragraph" w:styleId="TOC6">
    <w:name w:val="toc 6"/>
    <w:basedOn w:val="TOC5"/>
    <w:next w:val="Normal"/>
    <w:uiPriority w:val="39"/>
    <w:rsid w:val="006C1B74"/>
    <w:pPr>
      <w:ind w:left="1985" w:hanging="1985"/>
    </w:pPr>
  </w:style>
  <w:style w:type="paragraph" w:styleId="TOC7">
    <w:name w:val="toc 7"/>
    <w:basedOn w:val="TOC6"/>
    <w:next w:val="Normal"/>
    <w:uiPriority w:val="39"/>
    <w:rsid w:val="006C1B74"/>
    <w:pPr>
      <w:ind w:left="2268" w:hanging="2268"/>
    </w:pPr>
  </w:style>
  <w:style w:type="paragraph" w:customStyle="1" w:styleId="EditorsNote">
    <w:name w:val="Editor's Note"/>
    <w:basedOn w:val="NO"/>
    <w:link w:val="EditorsNoteChar"/>
    <w:rsid w:val="006C1B74"/>
    <w:pPr>
      <w:ind w:left="1559" w:hanging="1276"/>
    </w:pPr>
    <w:rPr>
      <w:color w:val="FF0000"/>
    </w:rPr>
  </w:style>
  <w:style w:type="paragraph" w:customStyle="1" w:styleId="TH">
    <w:name w:val="TH"/>
    <w:basedOn w:val="Normal"/>
    <w:link w:val="THChar"/>
    <w:rsid w:val="006C1B74"/>
    <w:pPr>
      <w:keepNext/>
      <w:keepLines/>
      <w:spacing w:before="60"/>
      <w:jc w:val="center"/>
    </w:pPr>
    <w:rPr>
      <w:rFonts w:ascii="Arial" w:hAnsi="Arial"/>
      <w:b/>
    </w:rPr>
  </w:style>
  <w:style w:type="paragraph" w:customStyle="1" w:styleId="ZA">
    <w:name w:val="ZA"/>
    <w:rsid w:val="006C1B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C1B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C1B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C1B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C1B74"/>
    <w:pPr>
      <w:ind w:left="851" w:hanging="851"/>
    </w:pPr>
  </w:style>
  <w:style w:type="paragraph" w:customStyle="1" w:styleId="ZH">
    <w:name w:val="ZH"/>
    <w:rsid w:val="006C1B7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6C1B74"/>
    <w:pPr>
      <w:keepNext w:val="0"/>
      <w:spacing w:before="0" w:after="240"/>
    </w:pPr>
  </w:style>
  <w:style w:type="paragraph" w:customStyle="1" w:styleId="ZG">
    <w:name w:val="ZG"/>
    <w:rsid w:val="006C1B7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6C1B74"/>
    <w:pPr>
      <w:ind w:left="851" w:hanging="284"/>
      <w:contextualSpacing w:val="0"/>
    </w:pPr>
  </w:style>
  <w:style w:type="paragraph" w:customStyle="1" w:styleId="B3">
    <w:name w:val="B3"/>
    <w:basedOn w:val="List3"/>
    <w:rsid w:val="006C1B74"/>
    <w:pPr>
      <w:ind w:left="1135" w:hanging="284"/>
      <w:contextualSpacing w:val="0"/>
    </w:pPr>
  </w:style>
  <w:style w:type="paragraph" w:customStyle="1" w:styleId="B4">
    <w:name w:val="B4"/>
    <w:basedOn w:val="List4"/>
    <w:rsid w:val="006C1B74"/>
    <w:pPr>
      <w:ind w:left="1418" w:hanging="284"/>
      <w:contextualSpacing w:val="0"/>
    </w:pPr>
  </w:style>
  <w:style w:type="paragraph" w:customStyle="1" w:styleId="B5">
    <w:name w:val="B5"/>
    <w:basedOn w:val="List5"/>
    <w:rsid w:val="006C1B74"/>
    <w:pPr>
      <w:ind w:left="1702" w:hanging="284"/>
      <w:contextualSpacing w:val="0"/>
    </w:pPr>
  </w:style>
  <w:style w:type="paragraph" w:customStyle="1" w:styleId="ZTD">
    <w:name w:val="ZTD"/>
    <w:basedOn w:val="ZB"/>
    <w:rsid w:val="006C1B74"/>
    <w:pPr>
      <w:framePr w:hRule="auto" w:wrap="notBeside" w:y="852"/>
    </w:pPr>
    <w:rPr>
      <w:i w:val="0"/>
      <w:sz w:val="40"/>
    </w:rPr>
  </w:style>
  <w:style w:type="paragraph" w:customStyle="1" w:styleId="ZV">
    <w:name w:val="ZV"/>
    <w:basedOn w:val="ZU"/>
    <w:rsid w:val="006C1B7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CChar">
    <w:name w:val="TAC Char"/>
    <w:link w:val="TAC"/>
    <w:qFormat/>
    <w:rsid w:val="007C1B83"/>
    <w:rPr>
      <w:rFonts w:ascii="Arial" w:hAnsi="Arial"/>
      <w:sz w:val="18"/>
    </w:rPr>
  </w:style>
  <w:style w:type="character" w:customStyle="1" w:styleId="TAHChar">
    <w:name w:val="TAH Char"/>
    <w:qFormat/>
    <w:rsid w:val="007C1B83"/>
    <w:rPr>
      <w:rFonts w:ascii="Arial" w:hAnsi="Arial"/>
      <w:b/>
      <w:color w:val="000000"/>
      <w:sz w:val="18"/>
      <w:lang w:val="en-GB" w:eastAsia="ja-JP"/>
    </w:rPr>
  </w:style>
  <w:style w:type="character" w:customStyle="1" w:styleId="ui-provider">
    <w:name w:val="ui-provider"/>
    <w:basedOn w:val="DefaultParagraphFont"/>
    <w:rsid w:val="00EC6A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303" Type="http://schemas.openxmlformats.org/officeDocument/2006/relationships/image" Target="media/image148.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package" Target="embeddings/Microsoft_Visio_Drawing8.vsdx"/><Relationship Id="rId138" Type="http://schemas.openxmlformats.org/officeDocument/2006/relationships/oleObject" Target="embeddings/oleObject30.bin"/><Relationship Id="rId159" Type="http://schemas.openxmlformats.org/officeDocument/2006/relationships/image" Target="media/image76.emf"/><Relationship Id="rId170" Type="http://schemas.openxmlformats.org/officeDocument/2006/relationships/package" Target="embeddings/Microsoft_Visio_Drawing11.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34.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5.bin"/><Relationship Id="rId289" Type="http://schemas.openxmlformats.org/officeDocument/2006/relationships/image" Target="media/image141.emf"/><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package" Target="embeddings/Microsoft_Visio_Drawing4.vsdx"/><Relationship Id="rId128" Type="http://schemas.openxmlformats.org/officeDocument/2006/relationships/oleObject" Target="embeddings/oleObject26.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40.bin"/><Relationship Id="rId181" Type="http://schemas.openxmlformats.org/officeDocument/2006/relationships/image" Target="media/image87.emf"/><Relationship Id="rId216" Type="http://schemas.openxmlformats.org/officeDocument/2006/relationships/oleObject" Target="embeddings/oleObject54.bin"/><Relationship Id="rId237" Type="http://schemas.openxmlformats.org/officeDocument/2006/relationships/image" Target="media/image115.emf"/><Relationship Id="rId258" Type="http://schemas.openxmlformats.org/officeDocument/2006/relationships/oleObject" Target="embeddings/oleObject61.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1.bin"/><Relationship Id="rId139" Type="http://schemas.openxmlformats.org/officeDocument/2006/relationships/image" Target="media/image66.emf"/><Relationship Id="rId290" Type="http://schemas.openxmlformats.org/officeDocument/2006/relationships/oleObject" Target="embeddings/oleObject75.bin"/><Relationship Id="rId304" Type="http://schemas.openxmlformats.org/officeDocument/2006/relationships/package" Target="embeddings/Microsoft_Visio_Drawing19.vsdx"/><Relationship Id="rId85" Type="http://schemas.openxmlformats.org/officeDocument/2006/relationships/image" Target="media/image39.emf"/><Relationship Id="rId150" Type="http://schemas.openxmlformats.org/officeDocument/2006/relationships/oleObject" Target="embeddings/oleObject36.bin"/><Relationship Id="rId171" Type="http://schemas.openxmlformats.org/officeDocument/2006/relationships/image" Target="media/image82.emf"/><Relationship Id="rId192" Type="http://schemas.openxmlformats.org/officeDocument/2006/relationships/oleObject" Target="embeddings/Microsoft_Visio_2003-2010_Drawing28.vsd"/><Relationship Id="rId206" Type="http://schemas.openxmlformats.org/officeDocument/2006/relationships/oleObject" Target="embeddings/oleObject49.bin"/><Relationship Id="rId227" Type="http://schemas.openxmlformats.org/officeDocument/2006/relationships/image" Target="media/image110.emf"/><Relationship Id="rId248" Type="http://schemas.openxmlformats.org/officeDocument/2006/relationships/oleObject" Target="embeddings/Microsoft_Visio_2003-2010_Drawing43.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18.bin"/><Relationship Id="rId129" Type="http://schemas.openxmlformats.org/officeDocument/2006/relationships/image" Target="media/image61.emf"/><Relationship Id="rId280" Type="http://schemas.openxmlformats.org/officeDocument/2006/relationships/oleObject" Target="embeddings/oleObject70.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2.bin"/><Relationship Id="rId140" Type="http://schemas.openxmlformats.org/officeDocument/2006/relationships/oleObject" Target="embeddings/oleObject31.bin"/><Relationship Id="rId161" Type="http://schemas.openxmlformats.org/officeDocument/2006/relationships/image" Target="media/image77.emf"/><Relationship Id="rId182" Type="http://schemas.openxmlformats.org/officeDocument/2006/relationships/package" Target="embeddings/Microsoft_Visio_Drawing14.vsdx"/><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39.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package" Target="embeddings/Microsoft_Visio_Drawing16.vsdx"/><Relationship Id="rId291" Type="http://schemas.openxmlformats.org/officeDocument/2006/relationships/image" Target="media/image142.emf"/><Relationship Id="rId305" Type="http://schemas.openxmlformats.org/officeDocument/2006/relationships/image" Target="media/image149.emf"/><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package" Target="embeddings/Microsoft_Visio_Drawing9.vsdx"/><Relationship Id="rId130" Type="http://schemas.openxmlformats.org/officeDocument/2006/relationships/oleObject" Target="embeddings/oleObject27.bin"/><Relationship Id="rId151" Type="http://schemas.openxmlformats.org/officeDocument/2006/relationships/image" Target="media/image72.emf"/><Relationship Id="rId172" Type="http://schemas.openxmlformats.org/officeDocument/2006/relationships/package" Target="embeddings/Microsoft_Visio_Drawing12.vsdx"/><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oleObject58.bin"/><Relationship Id="rId249" Type="http://schemas.openxmlformats.org/officeDocument/2006/relationships/image" Target="media/image121.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oleObject62.bin"/><Relationship Id="rId281" Type="http://schemas.openxmlformats.org/officeDocument/2006/relationships/image" Target="media/image137.emf"/><Relationship Id="rId34"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oleObject" Target="embeddings/oleObject22.bin"/><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oleObject" Target="embeddings/oleObject41.bin"/><Relationship Id="rId183" Type="http://schemas.openxmlformats.org/officeDocument/2006/relationships/image" Target="media/image88.emf"/><Relationship Id="rId218" Type="http://schemas.openxmlformats.org/officeDocument/2006/relationships/oleObject" Target="embeddings/oleObject55.bin"/><Relationship Id="rId239" Type="http://schemas.openxmlformats.org/officeDocument/2006/relationships/image" Target="media/image116.emf"/><Relationship Id="rId250" Type="http://schemas.openxmlformats.org/officeDocument/2006/relationships/oleObject" Target="embeddings/Microsoft_Visio_2003-2010_Drawing44.vsd"/><Relationship Id="rId271" Type="http://schemas.openxmlformats.org/officeDocument/2006/relationships/image" Target="media/image132.emf"/><Relationship Id="rId292" Type="http://schemas.openxmlformats.org/officeDocument/2006/relationships/oleObject" Target="embeddings/oleObject76.bin"/><Relationship Id="rId306" Type="http://schemas.openxmlformats.org/officeDocument/2006/relationships/package" Target="embeddings/Microsoft_Visio_Drawing20.vsdx"/><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19.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9.bin"/><Relationship Id="rId157" Type="http://schemas.openxmlformats.org/officeDocument/2006/relationships/image" Target="media/image75.emf"/><Relationship Id="rId178" Type="http://schemas.openxmlformats.org/officeDocument/2006/relationships/oleObject" Target="embeddings/oleObject44.bin"/><Relationship Id="rId301" Type="http://schemas.openxmlformats.org/officeDocument/2006/relationships/image" Target="media/image147.emf"/><Relationship Id="rId61" Type="http://schemas.openxmlformats.org/officeDocument/2006/relationships/image" Target="media/image27.emf"/><Relationship Id="rId82" Type="http://schemas.openxmlformats.org/officeDocument/2006/relationships/package" Target="embeddings/Microsoft_Visio_Drawing7.vsdx"/><Relationship Id="rId152" Type="http://schemas.openxmlformats.org/officeDocument/2006/relationships/oleObject" Target="embeddings/oleObject37.bin"/><Relationship Id="rId173" Type="http://schemas.openxmlformats.org/officeDocument/2006/relationships/image" Target="media/image83.emf"/><Relationship Id="rId194" Type="http://schemas.openxmlformats.org/officeDocument/2006/relationships/oleObject" Target="embeddings/Microsoft_Visio_2003-2010_Drawing29.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50.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33.vsd"/><Relationship Id="rId240" Type="http://schemas.openxmlformats.org/officeDocument/2006/relationships/oleObject" Target="embeddings/Microsoft_Visio_2003-2010_Drawing40.vsd"/><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oleObject" Target="embeddings/oleObject64.bin"/><Relationship Id="rId287" Type="http://schemas.openxmlformats.org/officeDocument/2006/relationships/image" Target="media/image140.emf"/><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4.bin"/><Relationship Id="rId105" Type="http://schemas.openxmlformats.org/officeDocument/2006/relationships/image" Target="media/image49.emf"/><Relationship Id="rId126" Type="http://schemas.openxmlformats.org/officeDocument/2006/relationships/oleObject" Target="embeddings/oleObject25.bin"/><Relationship Id="rId147" Type="http://schemas.openxmlformats.org/officeDocument/2006/relationships/image" Target="media/image70.emf"/><Relationship Id="rId168" Type="http://schemas.openxmlformats.org/officeDocument/2006/relationships/oleObject" Target="embeddings/Microsoft_Visio_2003-2010_Drawing25.vsd"/><Relationship Id="rId282" Type="http://schemas.openxmlformats.org/officeDocument/2006/relationships/oleObject" Target="embeddings/oleObject71.bin"/><Relationship Id="rId312"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93" Type="http://schemas.openxmlformats.org/officeDocument/2006/relationships/image" Target="media/image43.emf"/><Relationship Id="rId98" Type="http://schemas.openxmlformats.org/officeDocument/2006/relationships/oleObject" Target="embeddings/oleObject13.bin"/><Relationship Id="rId121" Type="http://schemas.openxmlformats.org/officeDocument/2006/relationships/image" Target="media/image57.emf"/><Relationship Id="rId142" Type="http://schemas.openxmlformats.org/officeDocument/2006/relationships/oleObject" Target="embeddings/oleObject32.bin"/><Relationship Id="rId163" Type="http://schemas.openxmlformats.org/officeDocument/2006/relationships/image" Target="media/image78.emf"/><Relationship Id="rId184" Type="http://schemas.openxmlformats.org/officeDocument/2006/relationships/package" Target="embeddings/Microsoft_Visio_Drawing15.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53.bin"/><Relationship Id="rId230" Type="http://schemas.openxmlformats.org/officeDocument/2006/relationships/oleObject" Target="embeddings/Microsoft_Visio_2003-2010_Drawing35.vsd"/><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60.bin"/><Relationship Id="rId277" Type="http://schemas.openxmlformats.org/officeDocument/2006/relationships/image" Target="media/image135.emf"/><Relationship Id="rId298" Type="http://schemas.openxmlformats.org/officeDocument/2006/relationships/oleObject" Target="embeddings/oleObject79.bin"/><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Microsoft_Visio_2003-2010_Drawing22.vsd"/><Relationship Id="rId137" Type="http://schemas.openxmlformats.org/officeDocument/2006/relationships/image" Target="media/image65.emf"/><Relationship Id="rId158" Type="http://schemas.openxmlformats.org/officeDocument/2006/relationships/oleObject" Target="embeddings/oleObject39.bin"/><Relationship Id="rId272" Type="http://schemas.openxmlformats.org/officeDocument/2006/relationships/oleObject" Target="embeddings/oleObject66.bin"/><Relationship Id="rId293" Type="http://schemas.openxmlformats.org/officeDocument/2006/relationships/image" Target="media/image143.emf"/><Relationship Id="rId302" Type="http://schemas.openxmlformats.org/officeDocument/2006/relationships/package" Target="embeddings/Microsoft_Visio_Drawing18.vsdx"/><Relationship Id="rId307" Type="http://schemas.openxmlformats.org/officeDocument/2006/relationships/image" Target="media/image150.emf"/><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package" Target="embeddings/Microsoft_Word_Document.docx"/><Relationship Id="rId153" Type="http://schemas.openxmlformats.org/officeDocument/2006/relationships/image" Target="media/image73.emf"/><Relationship Id="rId174" Type="http://schemas.openxmlformats.org/officeDocument/2006/relationships/package" Target="embeddings/Microsoft_Visio_Drawing13.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27.vsd"/><Relationship Id="rId204" Type="http://schemas.openxmlformats.org/officeDocument/2006/relationships/oleObject" Target="embeddings/Microsoft_Visio_2003-2010_Drawing32.vsd"/><Relationship Id="rId220" Type="http://schemas.openxmlformats.org/officeDocument/2006/relationships/oleObject" Target="embeddings/oleObject56.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59.bin"/><Relationship Id="rId267" Type="http://schemas.openxmlformats.org/officeDocument/2006/relationships/image" Target="media/image130.emf"/><Relationship Id="rId288" Type="http://schemas.openxmlformats.org/officeDocument/2006/relationships/oleObject" Target="embeddings/oleObject74.bin"/><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7.bin"/><Relationship Id="rId127" Type="http://schemas.openxmlformats.org/officeDocument/2006/relationships/image" Target="media/image60.emf"/><Relationship Id="rId262" Type="http://schemas.openxmlformats.org/officeDocument/2006/relationships/oleObject" Target="embeddings/oleObject63.bin"/><Relationship Id="rId283" Type="http://schemas.openxmlformats.org/officeDocument/2006/relationships/image" Target="media/image13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package" Target="embeddings/Microsoft_Visio_Drawing1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3.bin"/><Relationship Id="rId143" Type="http://schemas.openxmlformats.org/officeDocument/2006/relationships/image" Target="media/image68.emf"/><Relationship Id="rId148" Type="http://schemas.openxmlformats.org/officeDocument/2006/relationships/oleObject" Target="embeddings/oleObject35.bin"/><Relationship Id="rId164" Type="http://schemas.openxmlformats.org/officeDocument/2006/relationships/oleObject" Target="embeddings/oleObject42.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5.bin"/><Relationship Id="rId210" Type="http://schemas.openxmlformats.org/officeDocument/2006/relationships/oleObject" Target="embeddings/oleObject51.bin"/><Relationship Id="rId215" Type="http://schemas.openxmlformats.org/officeDocument/2006/relationships/image" Target="media/image104.emf"/><Relationship Id="rId236" Type="http://schemas.openxmlformats.org/officeDocument/2006/relationships/oleObject" Target="embeddings/Microsoft_Visio_2003-2010_Drawing38.vsd"/><Relationship Id="rId257" Type="http://schemas.openxmlformats.org/officeDocument/2006/relationships/image" Target="media/image125.emf"/><Relationship Id="rId278" Type="http://schemas.openxmlformats.org/officeDocument/2006/relationships/oleObject" Target="embeddings/oleObject69.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Microsoft_Visio_2003-2010_Drawing45.vsd"/><Relationship Id="rId273" Type="http://schemas.openxmlformats.org/officeDocument/2006/relationships/image" Target="media/image133.emf"/><Relationship Id="rId294" Type="http://schemas.openxmlformats.org/officeDocument/2006/relationships/oleObject" Target="embeddings/oleObject77.bin"/><Relationship Id="rId308" Type="http://schemas.openxmlformats.org/officeDocument/2006/relationships/package" Target="embeddings/Microsoft_Visio_Drawing21.vsdx"/><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0.bin"/><Relationship Id="rId133" Type="http://schemas.openxmlformats.org/officeDocument/2006/relationships/image" Target="media/image63.emf"/><Relationship Id="rId154" Type="http://schemas.openxmlformats.org/officeDocument/2006/relationships/oleObject" Target="embeddings/Microsoft_Visio_2003-2010_Drawing23.vsd"/><Relationship Id="rId175" Type="http://schemas.openxmlformats.org/officeDocument/2006/relationships/image" Target="media/image84.emf"/><Relationship Id="rId196" Type="http://schemas.openxmlformats.org/officeDocument/2006/relationships/oleObject" Target="embeddings/Microsoft_Visio_2003-2010_Drawing30.vsd"/><Relationship Id="rId200" Type="http://schemas.openxmlformats.org/officeDocument/2006/relationships/oleObject" Target="embeddings/oleObject48.bin"/><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Microsoft_Visio_2003-2010_Drawing41.vsd"/><Relationship Id="rId263" Type="http://schemas.openxmlformats.org/officeDocument/2006/relationships/image" Target="media/image128.emf"/><Relationship Id="rId284" Type="http://schemas.openxmlformats.org/officeDocument/2006/relationships/oleObject" Target="embeddings/oleObject72.bin"/><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5.bin"/><Relationship Id="rId123" Type="http://schemas.openxmlformats.org/officeDocument/2006/relationships/image" Target="media/image58.emf"/><Relationship Id="rId144" Type="http://schemas.openxmlformats.org/officeDocument/2006/relationships/oleObject" Target="embeddings/oleObject33.bin"/><Relationship Id="rId90" Type="http://schemas.openxmlformats.org/officeDocument/2006/relationships/oleObject" Target="embeddings/oleObject10.bin"/><Relationship Id="rId165" Type="http://schemas.openxmlformats.org/officeDocument/2006/relationships/image" Target="media/image79.emf"/><Relationship Id="rId186" Type="http://schemas.openxmlformats.org/officeDocument/2006/relationships/oleObject" Target="embeddings/oleObject46.bin"/><Relationship Id="rId211" Type="http://schemas.openxmlformats.org/officeDocument/2006/relationships/image" Target="media/image102.emf"/><Relationship Id="rId232" Type="http://schemas.openxmlformats.org/officeDocument/2006/relationships/oleObject" Target="embeddings/Microsoft_Visio_2003-2010_Drawing36.vsd"/><Relationship Id="rId253" Type="http://schemas.openxmlformats.org/officeDocument/2006/relationships/image" Target="media/image123.emf"/><Relationship Id="rId274" Type="http://schemas.openxmlformats.org/officeDocument/2006/relationships/oleObject" Target="embeddings/oleObject67.bin"/><Relationship Id="rId295" Type="http://schemas.openxmlformats.org/officeDocument/2006/relationships/image" Target="media/image144.emf"/><Relationship Id="rId309" Type="http://schemas.openxmlformats.org/officeDocument/2006/relationships/header" Target="header1.xml"/><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28.bin"/><Relationship Id="rId80" Type="http://schemas.openxmlformats.org/officeDocument/2006/relationships/package" Target="embeddings/Microsoft_Visio_Drawing6.vsdx"/><Relationship Id="rId155" Type="http://schemas.openxmlformats.org/officeDocument/2006/relationships/image" Target="media/image74.emf"/><Relationship Id="rId176" Type="http://schemas.openxmlformats.org/officeDocument/2006/relationships/oleObject" Target="embeddings/oleObject43.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57.bin"/><Relationship Id="rId243" Type="http://schemas.openxmlformats.org/officeDocument/2006/relationships/image" Target="media/image118.emf"/><Relationship Id="rId264" Type="http://schemas.openxmlformats.org/officeDocument/2006/relationships/package" Target="embeddings/Microsoft_Visio_Drawing1516.vsdx"/><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4.bin"/><Relationship Id="rId310" Type="http://schemas.openxmlformats.org/officeDocument/2006/relationships/footer" Target="footer1.xml"/><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24.vsd"/><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2.bin"/><Relationship Id="rId233" Type="http://schemas.openxmlformats.org/officeDocument/2006/relationships/image" Target="media/image113.emf"/><Relationship Id="rId254" Type="http://schemas.openxmlformats.org/officeDocument/2006/relationships/oleObject" Target="embeddings/Microsoft_Visio_2003-2010_Drawing46.vsd"/><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Microsoft_Visio_2003-2010_Drawing21.vsd"/><Relationship Id="rId275" Type="http://schemas.openxmlformats.org/officeDocument/2006/relationships/image" Target="media/image134.emf"/><Relationship Id="rId296" Type="http://schemas.openxmlformats.org/officeDocument/2006/relationships/oleObject" Target="embeddings/oleObject78.bin"/><Relationship Id="rId300" Type="http://schemas.openxmlformats.org/officeDocument/2006/relationships/package" Target="embeddings/Microsoft_Visio_Drawing17.vsdx"/><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38.bin"/><Relationship Id="rId177" Type="http://schemas.openxmlformats.org/officeDocument/2006/relationships/image" Target="media/image85.emf"/><Relationship Id="rId198" Type="http://schemas.openxmlformats.org/officeDocument/2006/relationships/oleObject" Target="embeddings/oleObject47.bin"/><Relationship Id="rId202" Type="http://schemas.openxmlformats.org/officeDocument/2006/relationships/oleObject" Target="embeddings/Microsoft_Visio_2003-2010_Drawing31.vsd"/><Relationship Id="rId223" Type="http://schemas.openxmlformats.org/officeDocument/2006/relationships/image" Target="media/image108.emf"/><Relationship Id="rId244" Type="http://schemas.openxmlformats.org/officeDocument/2006/relationships/oleObject" Target="embeddings/Microsoft_Visio_2003-2010_Drawing42.vsd"/><Relationship Id="rId18" Type="http://schemas.openxmlformats.org/officeDocument/2006/relationships/oleObject" Target="embeddings/Microsoft_Visio_2003-2010_Drawing1.vsd"/><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73.bin"/><Relationship Id="rId50" Type="http://schemas.openxmlformats.org/officeDocument/2006/relationships/oleObject" Target="embeddings/Microsoft_Visio_2003-2010_Drawing14.vsd"/><Relationship Id="rId104" Type="http://schemas.openxmlformats.org/officeDocument/2006/relationships/oleObject" Target="embeddings/oleObject16.bin"/><Relationship Id="rId125" Type="http://schemas.openxmlformats.org/officeDocument/2006/relationships/image" Target="media/image59.emf"/><Relationship Id="rId146" Type="http://schemas.openxmlformats.org/officeDocument/2006/relationships/oleObject" Target="embeddings/oleObject34.bin"/><Relationship Id="rId167" Type="http://schemas.openxmlformats.org/officeDocument/2006/relationships/image" Target="media/image80.emf"/><Relationship Id="rId188" Type="http://schemas.openxmlformats.org/officeDocument/2006/relationships/oleObject" Target="embeddings/Microsoft_Visio_2003-2010_Drawing26.vsd"/><Relationship Id="rId311" Type="http://schemas.openxmlformats.org/officeDocument/2006/relationships/fontTable" Target="fontTable.xml"/><Relationship Id="rId71" Type="http://schemas.openxmlformats.org/officeDocument/2006/relationships/image" Target="media/image32.emf"/><Relationship Id="rId92" Type="http://schemas.openxmlformats.org/officeDocument/2006/relationships/oleObject" Target="embeddings/oleObject11.bin"/><Relationship Id="rId213" Type="http://schemas.openxmlformats.org/officeDocument/2006/relationships/image" Target="media/image103.emf"/><Relationship Id="rId234" Type="http://schemas.openxmlformats.org/officeDocument/2006/relationships/oleObject" Target="embeddings/Microsoft_Visio_2003-2010_Drawing37.vsd"/><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8.bin"/><Relationship Id="rId297" Type="http://schemas.openxmlformats.org/officeDocument/2006/relationships/image" Target="media/image14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655BA4-9D09-4257-8A8C-7E5B99ACB6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720</Pages>
  <Words>409981</Words>
  <Characters>2070406</Characters>
  <Application>Microsoft Office Word</Application>
  <DocSecurity>0</DocSecurity>
  <Lines>53087</Lines>
  <Paragraphs>42040</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2438347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18)</dc:subject>
  <dc:creator>MCC Support</dc:creator>
  <cp:keywords/>
  <dc:description/>
  <cp:lastModifiedBy>23.273_CR0703R5_(Rel-18)_5G_eLCS_Ph3</cp:lastModifiedBy>
  <cp:revision>2</cp:revision>
  <cp:lastPrinted>2019-02-25T14:05:00Z</cp:lastPrinted>
  <dcterms:created xsi:type="dcterms:W3CDTF">2025-06-18T14:37:00Z</dcterms:created>
  <dcterms:modified xsi:type="dcterms:W3CDTF">2025-06-18T14:37:00Z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.501%Rel-17%2995%23.501%Rel-17%2998%23.501%Rel-17%2999%23.501%Rel-17%3001%23.501%Rel-17%3002%23.501%Rel-17%3003%23.501%Rel-17%3004%23.501%Rel-17%3009%23.501%Rel-17%3010%23.501%Rel-18%3813%</vt:lpwstr>
  </property>
</Properties>
</file>